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16F142" w14:textId="15288427" w:rsidR="00E33B6A" w:rsidRPr="001D5327" w:rsidRDefault="007617C7" w:rsidP="00E33B6A">
      <w:pPr>
        <w:spacing w:before="2400"/>
        <w:jc w:val="center"/>
        <w:rPr>
          <w:rFonts w:cs="Calibri"/>
          <w:sz w:val="24"/>
        </w:rPr>
      </w:pPr>
      <w:bookmarkStart w:id="0" w:name="_top"/>
      <w:bookmarkStart w:id="1" w:name="_Toc36224384"/>
      <w:bookmarkStart w:id="2" w:name="_Toc68786304"/>
      <w:bookmarkStart w:id="3" w:name="_Toc164154173"/>
      <w:bookmarkStart w:id="4" w:name="_Hlk191030436"/>
      <w:bookmarkEnd w:id="0"/>
      <w:r>
        <w:rPr>
          <w:rFonts w:cs="Calibri"/>
          <w:noProof/>
          <w:sz w:val="24"/>
        </w:rPr>
        <w:drawing>
          <wp:anchor distT="0" distB="0" distL="114300" distR="114300" simplePos="0" relativeHeight="251658240" behindDoc="0" locked="0" layoutInCell="1" allowOverlap="1" wp14:anchorId="4E629AEB" wp14:editId="102C3739">
            <wp:simplePos x="0" y="0"/>
            <wp:positionH relativeFrom="page">
              <wp:posOffset>0</wp:posOffset>
            </wp:positionH>
            <wp:positionV relativeFrom="paragraph">
              <wp:posOffset>-3587257</wp:posOffset>
            </wp:positionV>
            <wp:extent cx="7558585" cy="10691740"/>
            <wp:effectExtent l="0" t="0" r="4445" b="0"/>
            <wp:wrapNone/>
            <wp:docPr id="1537119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19895" name="Picture 1"/>
                    <pic:cNvPicPr/>
                  </pic:nvPicPr>
                  <pic:blipFill>
                    <a:blip r:embed="rId11"/>
                    <a:stretch>
                      <a:fillRect/>
                    </a:stretch>
                  </pic:blipFill>
                  <pic:spPr>
                    <a:xfrm>
                      <a:off x="0" y="0"/>
                      <a:ext cx="7558585" cy="10691740"/>
                    </a:xfrm>
                    <a:prstGeom prst="rect">
                      <a:avLst/>
                    </a:prstGeom>
                  </pic:spPr>
                </pic:pic>
              </a:graphicData>
            </a:graphic>
            <wp14:sizeRelH relativeFrom="page">
              <wp14:pctWidth>0</wp14:pctWidth>
            </wp14:sizeRelH>
            <wp14:sizeRelV relativeFrom="page">
              <wp14:pctHeight>0</wp14:pctHeight>
            </wp14:sizeRelV>
          </wp:anchor>
        </w:drawing>
      </w:r>
    </w:p>
    <w:p w14:paraId="52325B86" w14:textId="77777777" w:rsidR="00E33B6A" w:rsidRPr="001D5327" w:rsidRDefault="00E33B6A" w:rsidP="00E33B6A">
      <w:pPr>
        <w:rPr>
          <w:rFonts w:cs="Calibri"/>
        </w:rPr>
      </w:pPr>
    </w:p>
    <w:p w14:paraId="70EE08E8" w14:textId="77777777" w:rsidR="00E33B6A" w:rsidRPr="001D5327" w:rsidRDefault="00E33B6A" w:rsidP="00E33B6A">
      <w:pPr>
        <w:sectPr w:rsidR="00E33B6A" w:rsidRPr="001D5327" w:rsidSect="00E33B6A">
          <w:headerReference w:type="even" r:id="rId12"/>
          <w:headerReference w:type="default" r:id="rId13"/>
          <w:footerReference w:type="even" r:id="rId14"/>
          <w:footerReference w:type="default" r:id="rId15"/>
          <w:headerReference w:type="first" r:id="rId16"/>
          <w:footerReference w:type="first" r:id="rId17"/>
          <w:pgSz w:w="11907" w:h="16840" w:code="9"/>
          <w:pgMar w:top="5670" w:right="1418" w:bottom="1701" w:left="1418" w:header="567" w:footer="567" w:gutter="0"/>
          <w:cols w:space="720"/>
        </w:sectPr>
      </w:pPr>
    </w:p>
    <w:p w14:paraId="76D89554" w14:textId="77777777" w:rsidR="00E33B6A" w:rsidRPr="001D5327" w:rsidRDefault="00E33B6A" w:rsidP="00E33B6A">
      <w:pPr>
        <w:pStyle w:val="Imprint"/>
        <w:spacing w:after="0"/>
        <w:jc w:val="left"/>
        <w:rPr>
          <w:b/>
        </w:rPr>
      </w:pPr>
      <w:r w:rsidRPr="001D5327">
        <w:rPr>
          <w:b/>
        </w:rPr>
        <w:lastRenderedPageBreak/>
        <w:t>Disclaimer</w:t>
      </w:r>
    </w:p>
    <w:p w14:paraId="6DE5AAD4" w14:textId="5540A2C7" w:rsidR="00E33B6A" w:rsidRPr="001D5327" w:rsidRDefault="00E33B6A" w:rsidP="00E33B6A">
      <w:pPr>
        <w:pStyle w:val="BodyText"/>
      </w:pPr>
      <w:r w:rsidRPr="001D5327">
        <w:t>The information in this publication is, according to the Ministry for the Environment’s best efforts, accurate at the time of publication. The Ministry will make every reasonable effort to</w:t>
      </w:r>
      <w:r w:rsidR="001B7C1F">
        <w:t> </w:t>
      </w:r>
      <w:r w:rsidRPr="001D5327">
        <w:t xml:space="preserve">keep it current and accurate. However, users of this publication are advised that: </w:t>
      </w:r>
    </w:p>
    <w:p w14:paraId="1ED775D6" w14:textId="77777777" w:rsidR="00E33B6A" w:rsidRPr="001D5327" w:rsidRDefault="00E33B6A" w:rsidP="00E33B6A">
      <w:pPr>
        <w:pStyle w:val="Bullet"/>
      </w:pPr>
      <w:r w:rsidRPr="001D5327">
        <w:t xml:space="preserve">the information does not alter the laws of New Zealand, other official guidelines, or requirements </w:t>
      </w:r>
    </w:p>
    <w:p w14:paraId="4AD05F18" w14:textId="77777777" w:rsidR="00E33B6A" w:rsidRPr="001D5327" w:rsidRDefault="00E33B6A" w:rsidP="00E33B6A">
      <w:pPr>
        <w:pStyle w:val="Bullet"/>
      </w:pPr>
      <w:r w:rsidRPr="001D5327">
        <w:t xml:space="preserve">it does not constitute legal advice, and users should take specific advice from qualified professionals before taking any action based on information in this publication </w:t>
      </w:r>
    </w:p>
    <w:p w14:paraId="36DCF915" w14:textId="77777777" w:rsidR="00E33B6A" w:rsidRPr="001D5327" w:rsidRDefault="00E33B6A" w:rsidP="00E33B6A">
      <w:pPr>
        <w:pStyle w:val="Bullet"/>
      </w:pPr>
      <w:r w:rsidRPr="001D5327">
        <w:t xml:space="preserve">the Ministry does not accept any responsibility or liability whatsoever whether in contract, tort, equity, or otherwise for any action taken as a result of reading, or reliance placed on this publication because of having read any part, or all, of the information in this publication or for any error, or inadequacy, deficiency, flaw in, or omission from the information in this publication </w:t>
      </w:r>
    </w:p>
    <w:p w14:paraId="564C5A8B" w14:textId="77777777" w:rsidR="00E33B6A" w:rsidRPr="001D5327" w:rsidRDefault="00E33B6A" w:rsidP="00E33B6A">
      <w:pPr>
        <w:pStyle w:val="Bullet"/>
        <w:rPr>
          <w:rFonts w:cs="Calibri"/>
          <w:color w:val="000000"/>
        </w:rPr>
      </w:pPr>
      <w:r w:rsidRPr="001D5327">
        <w:t>all references to websites, organisations or people not within the Ministry are for convenience only and should not be taken as endorsement of those websites or information contained in those websites nor of organisations or people referred to.</w:t>
      </w:r>
    </w:p>
    <w:p w14:paraId="4A3A5E03" w14:textId="77777777" w:rsidR="00E33B6A" w:rsidRPr="001D5327" w:rsidRDefault="00E33B6A" w:rsidP="00E33B6A">
      <w:pPr>
        <w:pStyle w:val="Imprint"/>
        <w:spacing w:after="120"/>
        <w:jc w:val="left"/>
        <w:rPr>
          <w:rFonts w:cs="Calibri"/>
          <w:color w:val="000000"/>
        </w:rPr>
      </w:pPr>
    </w:p>
    <w:p w14:paraId="3C3578EC" w14:textId="77777777" w:rsidR="00E33B6A" w:rsidRPr="001D5327" w:rsidRDefault="00E33B6A" w:rsidP="00E33B6A">
      <w:pPr>
        <w:pStyle w:val="Imprint"/>
        <w:spacing w:after="120"/>
        <w:jc w:val="left"/>
        <w:rPr>
          <w:rFonts w:cs="Calibri"/>
          <w:color w:val="000000"/>
        </w:rPr>
      </w:pPr>
    </w:p>
    <w:p w14:paraId="6A6CDBC9" w14:textId="77777777" w:rsidR="00E33B6A" w:rsidRPr="001D5327" w:rsidRDefault="00E33B6A" w:rsidP="00E33B6A">
      <w:pPr>
        <w:pStyle w:val="Imprint"/>
        <w:spacing w:after="120"/>
        <w:jc w:val="left"/>
        <w:rPr>
          <w:rFonts w:cs="Calibri"/>
          <w:color w:val="000000"/>
        </w:rPr>
      </w:pPr>
    </w:p>
    <w:p w14:paraId="6D3896FE" w14:textId="77777777" w:rsidR="00E33B6A" w:rsidRPr="001D5327" w:rsidRDefault="00E33B6A" w:rsidP="00E33B6A">
      <w:pPr>
        <w:pStyle w:val="Imprint"/>
        <w:spacing w:after="120"/>
        <w:jc w:val="left"/>
        <w:rPr>
          <w:rFonts w:cs="Calibri"/>
        </w:rPr>
      </w:pPr>
      <w:r w:rsidRPr="001D5327">
        <w:rPr>
          <w:rFonts w:cs="Calibri"/>
          <w:color w:val="000000"/>
        </w:rPr>
        <w:t xml:space="preserve">This document may be cited as: Ministry for the Environment. 2025. </w:t>
      </w:r>
      <w:r w:rsidRPr="001D5327">
        <w:rPr>
          <w:rFonts w:cs="Calibri"/>
          <w:i/>
          <w:iCs/>
          <w:color w:val="000000"/>
        </w:rPr>
        <w:t xml:space="preserve">New Zealand’s Greenhouse Gas Inventory 1990–2023. </w:t>
      </w:r>
      <w:r w:rsidRPr="001D5327">
        <w:rPr>
          <w:rFonts w:cs="Calibri"/>
          <w:color w:val="000000"/>
        </w:rPr>
        <w:t>Wellington: Ministry for the Environment.</w:t>
      </w:r>
    </w:p>
    <w:p w14:paraId="2F057A79" w14:textId="77777777" w:rsidR="00E33B6A" w:rsidRPr="001D5327" w:rsidRDefault="00E33B6A" w:rsidP="00E33B6A">
      <w:pPr>
        <w:pStyle w:val="Imprint"/>
        <w:spacing w:after="120"/>
        <w:jc w:val="left"/>
        <w:rPr>
          <w:rFonts w:cs="Calibri"/>
        </w:rPr>
      </w:pPr>
    </w:p>
    <w:p w14:paraId="00383287" w14:textId="77777777" w:rsidR="00E33B6A" w:rsidRPr="001D5327" w:rsidRDefault="00E33B6A" w:rsidP="00E33B6A">
      <w:pPr>
        <w:spacing w:after="120"/>
      </w:pPr>
    </w:p>
    <w:p w14:paraId="06F70BDC" w14:textId="77777777" w:rsidR="00E33B6A" w:rsidRPr="001D5327" w:rsidRDefault="00E33B6A" w:rsidP="00E33B6A">
      <w:pPr>
        <w:spacing w:after="120"/>
      </w:pPr>
    </w:p>
    <w:p w14:paraId="4E8EADD8" w14:textId="77777777" w:rsidR="00E33B6A" w:rsidRPr="001D5327" w:rsidRDefault="00E33B6A" w:rsidP="00E33B6A">
      <w:pPr>
        <w:spacing w:after="120"/>
      </w:pPr>
    </w:p>
    <w:p w14:paraId="52B02527" w14:textId="77777777" w:rsidR="00E33B6A" w:rsidRPr="001D5327" w:rsidRDefault="00E33B6A" w:rsidP="00E33B6A">
      <w:pPr>
        <w:spacing w:after="120"/>
      </w:pPr>
    </w:p>
    <w:p w14:paraId="4A8E3716" w14:textId="77777777" w:rsidR="00E33B6A" w:rsidRPr="001D5327" w:rsidRDefault="00E33B6A" w:rsidP="00E33B6A">
      <w:pPr>
        <w:spacing w:after="120"/>
      </w:pPr>
    </w:p>
    <w:p w14:paraId="4CE432BD" w14:textId="77777777" w:rsidR="00E33B6A" w:rsidRPr="001D5327" w:rsidRDefault="00E33B6A" w:rsidP="00E33B6A">
      <w:pPr>
        <w:spacing w:after="120"/>
      </w:pPr>
    </w:p>
    <w:p w14:paraId="697B5E24" w14:textId="77777777" w:rsidR="00E33B6A" w:rsidRPr="001D5327" w:rsidRDefault="00E33B6A" w:rsidP="00E33B6A"/>
    <w:p w14:paraId="3CD770FB" w14:textId="77777777" w:rsidR="00E33B6A" w:rsidRPr="001D5327" w:rsidRDefault="00E33B6A" w:rsidP="00E33B6A">
      <w:pPr>
        <w:pStyle w:val="Imprint"/>
        <w:spacing w:after="120"/>
        <w:jc w:val="left"/>
        <w:rPr>
          <w:rFonts w:cs="Arial"/>
        </w:rPr>
      </w:pPr>
      <w:r w:rsidRPr="001D5327">
        <w:rPr>
          <w:rFonts w:cs="Calibri"/>
        </w:rPr>
        <w:t>Volume 1, chapters 1–10</w:t>
      </w:r>
    </w:p>
    <w:p w14:paraId="30162839" w14:textId="77777777" w:rsidR="00E33B6A" w:rsidRPr="001D5327" w:rsidRDefault="00E33B6A" w:rsidP="00E33B6A">
      <w:pPr>
        <w:pStyle w:val="Imprint"/>
        <w:jc w:val="left"/>
        <w:rPr>
          <w:rFonts w:cs="Arial"/>
        </w:rPr>
      </w:pPr>
      <w:r w:rsidRPr="001D5327">
        <w:rPr>
          <w:rFonts w:cs="Calibri"/>
        </w:rPr>
        <w:t>Published in April 2025 by the</w:t>
      </w:r>
      <w:r w:rsidRPr="001D5327">
        <w:rPr>
          <w:rFonts w:cs="Arial"/>
        </w:rPr>
        <w:br/>
        <w:t xml:space="preserve">Ministry for the Environment </w:t>
      </w:r>
      <w:r w:rsidRPr="001D5327">
        <w:rPr>
          <w:rFonts w:cs="Arial"/>
        </w:rPr>
        <w:br/>
        <w:t>Manatū Mō Te Taiao</w:t>
      </w:r>
      <w:r w:rsidRPr="001D5327">
        <w:rPr>
          <w:rFonts w:cs="Arial"/>
        </w:rPr>
        <w:br/>
        <w:t>PO Box 10-362, Wellington, New Zealand</w:t>
      </w:r>
    </w:p>
    <w:p w14:paraId="5D11E0C8" w14:textId="77777777" w:rsidR="00E33B6A" w:rsidRPr="001D5327" w:rsidRDefault="00E33B6A" w:rsidP="00E33B6A">
      <w:pPr>
        <w:pStyle w:val="Imprint"/>
        <w:tabs>
          <w:tab w:val="left" w:pos="709"/>
        </w:tabs>
        <w:spacing w:after="0"/>
        <w:jc w:val="left"/>
      </w:pPr>
      <w:r w:rsidRPr="001D5327">
        <w:t xml:space="preserve">ISSN: </w:t>
      </w:r>
      <w:r w:rsidRPr="001D5327">
        <w:rPr>
          <w:lang w:eastAsia="en-GB"/>
        </w:rPr>
        <w:t xml:space="preserve">1179-223X </w:t>
      </w:r>
      <w:r w:rsidRPr="001D5327">
        <w:t>(electronic)</w:t>
      </w:r>
    </w:p>
    <w:p w14:paraId="11E93CD7" w14:textId="5F845490" w:rsidR="00E33B6A" w:rsidRPr="001D5327" w:rsidRDefault="00E33B6A" w:rsidP="00E33B6A">
      <w:pPr>
        <w:pStyle w:val="Imprint"/>
        <w:tabs>
          <w:tab w:val="left" w:pos="709"/>
        </w:tabs>
        <w:jc w:val="left"/>
        <w:rPr>
          <w:lang w:eastAsia="en-GB"/>
        </w:rPr>
      </w:pPr>
      <w:r w:rsidRPr="001D5327">
        <w:t xml:space="preserve">Publication number: </w:t>
      </w:r>
      <w:r w:rsidRPr="001D5327">
        <w:rPr>
          <w:lang w:eastAsia="en-GB"/>
        </w:rPr>
        <w:t xml:space="preserve">ME </w:t>
      </w:r>
      <w:r w:rsidR="00FE0ACD" w:rsidRPr="00FE0ACD">
        <w:rPr>
          <w:lang w:eastAsia="en-GB"/>
        </w:rPr>
        <w:t>1885</w:t>
      </w:r>
    </w:p>
    <w:p w14:paraId="3BCFB1F6" w14:textId="77777777" w:rsidR="00E33B6A" w:rsidRPr="001D5327" w:rsidRDefault="00E33B6A" w:rsidP="00E33B6A">
      <w:pPr>
        <w:rPr>
          <w:rFonts w:cs="Calibri"/>
        </w:rPr>
      </w:pPr>
      <w:r w:rsidRPr="001D5327">
        <w:rPr>
          <w:rFonts w:cs="Calibri"/>
        </w:rPr>
        <w:t>© Crown copyright New Zealand 2025</w:t>
      </w:r>
    </w:p>
    <w:p w14:paraId="29EB0A80" w14:textId="77777777" w:rsidR="00E33B6A" w:rsidRPr="001D5327" w:rsidRDefault="00E33B6A" w:rsidP="00E33B6A">
      <w:pPr>
        <w:rPr>
          <w:rFonts w:cs="Calibri"/>
        </w:rPr>
      </w:pPr>
    </w:p>
    <w:p w14:paraId="38FEAC10" w14:textId="77777777" w:rsidR="00E33B6A" w:rsidRPr="001D5327" w:rsidRDefault="00E33B6A" w:rsidP="00E33B6A">
      <w:pPr>
        <w:autoSpaceDE w:val="0"/>
        <w:autoSpaceDN w:val="0"/>
        <w:adjustRightInd w:val="0"/>
        <w:rPr>
          <w:rFonts w:cs="Calibri"/>
          <w:color w:val="000000"/>
        </w:rPr>
      </w:pPr>
      <w:r w:rsidRPr="001D5327">
        <w:rPr>
          <w:rFonts w:cs="Calibri"/>
          <w:color w:val="000000"/>
        </w:rPr>
        <w:t>This document is available on the Ministry for the Environment website:</w:t>
      </w:r>
    </w:p>
    <w:p w14:paraId="1D1BBA4E" w14:textId="77777777" w:rsidR="00E33B6A" w:rsidRPr="001D5327" w:rsidRDefault="00E33B6A" w:rsidP="00E33B6A">
      <w:hyperlink r:id="rId18" w:history="1">
        <w:r w:rsidRPr="001D5327">
          <w:rPr>
            <w:rStyle w:val="Hyperlink"/>
            <w:rFonts w:cs="Calibri"/>
          </w:rPr>
          <w:t>environment.govt.nz</w:t>
        </w:r>
      </w:hyperlink>
      <w:r w:rsidRPr="001D5327">
        <w:rPr>
          <w:rFonts w:cs="Calibri"/>
          <w:color w:val="000000"/>
        </w:rPr>
        <w:t>.</w:t>
      </w:r>
    </w:p>
    <w:p w14:paraId="4BC709AB" w14:textId="77777777" w:rsidR="00E33B6A" w:rsidRPr="001D5327" w:rsidRDefault="00E33B6A" w:rsidP="00E33B6A">
      <w:pPr>
        <w:sectPr w:rsidR="00E33B6A" w:rsidRPr="001D5327" w:rsidSect="0055146F">
          <w:headerReference w:type="default" r:id="rId19"/>
          <w:footerReference w:type="default" r:id="rId20"/>
          <w:pgSz w:w="11907" w:h="16840" w:code="9"/>
          <w:pgMar w:top="1701" w:right="1701" w:bottom="1701" w:left="1701" w:header="567" w:footer="567" w:gutter="0"/>
          <w:pgNumType w:fmt="lowerRoman"/>
          <w:cols w:space="720"/>
        </w:sectPr>
      </w:pPr>
    </w:p>
    <w:p w14:paraId="068CB32B" w14:textId="77777777" w:rsidR="003B0F83" w:rsidRPr="001D5327" w:rsidRDefault="003B0F83" w:rsidP="003B0F83">
      <w:pPr>
        <w:pStyle w:val="Heading1"/>
      </w:pPr>
      <w:bookmarkStart w:id="5" w:name="_Toc194311973"/>
      <w:r w:rsidRPr="001D5327">
        <w:lastRenderedPageBreak/>
        <w:t>Acknowledgements</w:t>
      </w:r>
      <w:bookmarkEnd w:id="5"/>
    </w:p>
    <w:p w14:paraId="5EC21AF0" w14:textId="77777777" w:rsidR="003B0F83" w:rsidRPr="001D5327" w:rsidRDefault="003B0F83" w:rsidP="003B0F83">
      <w:pPr>
        <w:pStyle w:val="BodyText"/>
        <w:spacing w:before="0"/>
      </w:pPr>
      <w:r w:rsidRPr="001D5327">
        <w:t>The Ministry for the Environment thanks and acknowledges the many experts from central and local government agencies, and industry and science organisations who contributed to the development and compilation of this inventory. Members of the Reporting Governance Group (RGG) are also acknowledged for their general advice and guidance over the production of this report.</w:t>
      </w:r>
    </w:p>
    <w:p w14:paraId="57904A5E" w14:textId="77777777" w:rsidR="003B0F83" w:rsidRPr="001D5327" w:rsidRDefault="003B0F83" w:rsidP="003B0F83">
      <w:pPr>
        <w:pStyle w:val="Heading6"/>
        <w:spacing w:before="120"/>
      </w:pPr>
      <w:r w:rsidRPr="001D5327">
        <w:t>Key contributors</w:t>
      </w:r>
    </w:p>
    <w:p w14:paraId="5581E88A" w14:textId="77777777" w:rsidR="003B0F83" w:rsidRPr="001D5327" w:rsidRDefault="003B0F83" w:rsidP="003B0F83">
      <w:pPr>
        <w:spacing w:before="120"/>
        <w:rPr>
          <w:b/>
          <w:bCs/>
          <w:i/>
          <w:iCs/>
        </w:rPr>
      </w:pPr>
      <w:r w:rsidRPr="001D5327">
        <w:rPr>
          <w:b/>
          <w:bCs/>
          <w:i/>
          <w:iCs/>
        </w:rPr>
        <w:t xml:space="preserve">Ministry for the Environment </w:t>
      </w:r>
    </w:p>
    <w:p w14:paraId="73C2E1A7" w14:textId="77777777" w:rsidR="003B0F83" w:rsidRPr="001D5327" w:rsidRDefault="003B0F83" w:rsidP="003B0F83">
      <w:pPr>
        <w:pStyle w:val="BodyText"/>
        <w:spacing w:after="80"/>
        <w:rPr>
          <w:i/>
        </w:rPr>
      </w:pPr>
      <w:r w:rsidRPr="001D5327">
        <w:rPr>
          <w:i/>
        </w:rPr>
        <w:t>Cross-sector and sector compilation</w:t>
      </w:r>
    </w:p>
    <w:p w14:paraId="1657B69C" w14:textId="77777777" w:rsidR="003B0F83" w:rsidRPr="001D5327" w:rsidRDefault="003B0F83" w:rsidP="003B0F83">
      <w:pPr>
        <w:pStyle w:val="Bullet"/>
        <w:spacing w:after="60"/>
      </w:pPr>
      <w:r w:rsidRPr="001D5327">
        <w:t>Dr Andrea Brandon (National Inventory Focal Point, National Inventory Compiler)</w:t>
      </w:r>
    </w:p>
    <w:p w14:paraId="3E054AB9" w14:textId="08486A18" w:rsidR="003B0F83" w:rsidRPr="001D5327" w:rsidRDefault="003B0F83" w:rsidP="003B0F83">
      <w:pPr>
        <w:pStyle w:val="Bullet"/>
        <w:spacing w:after="60"/>
      </w:pPr>
      <w:r w:rsidRPr="001D5327">
        <w:t>Chris Bean (technical lead, Tokelau sector lead, cross-sector analyses, Tokelau chapter automation)</w:t>
      </w:r>
    </w:p>
    <w:p w14:paraId="6C10830E" w14:textId="77777777" w:rsidR="003B0F83" w:rsidRPr="001D5327" w:rsidRDefault="003B0F83" w:rsidP="003B0F83">
      <w:pPr>
        <w:pStyle w:val="Bullet"/>
        <w:spacing w:after="60"/>
      </w:pPr>
      <w:r w:rsidRPr="001D5327">
        <w:t>Dr Daniel Boczniewicz (quality assurance and quality control (QA/QC) lead, GHG Inventory automation lead, cross-sector analyses)</w:t>
      </w:r>
    </w:p>
    <w:p w14:paraId="5080A6D9" w14:textId="77777777" w:rsidR="003B0F83" w:rsidRPr="001D5327" w:rsidRDefault="003B0F83" w:rsidP="003B0F83">
      <w:pPr>
        <w:pStyle w:val="Bullet"/>
        <w:spacing w:after="60"/>
      </w:pPr>
      <w:r w:rsidRPr="001D5327">
        <w:t xml:space="preserve">Dr Ann Yang (Industrial Processes and Product Use (IPPU) sector lead, cross-sector analyses) </w:t>
      </w:r>
    </w:p>
    <w:p w14:paraId="728DA8EC" w14:textId="77777777" w:rsidR="003B0F83" w:rsidRPr="001D5327" w:rsidRDefault="003B0F83" w:rsidP="003B0F83">
      <w:pPr>
        <w:pStyle w:val="Bullet"/>
        <w:spacing w:after="60"/>
      </w:pPr>
      <w:r w:rsidRPr="001D5327">
        <w:t>Dr Ivan Chirino-Valle (Waste sector lead, Waste chapter automation)</w:t>
      </w:r>
    </w:p>
    <w:p w14:paraId="3F965A9F" w14:textId="77777777" w:rsidR="003B0F83" w:rsidRPr="001D5327" w:rsidRDefault="003B0F83" w:rsidP="003B0F83">
      <w:pPr>
        <w:pStyle w:val="Bullet"/>
        <w:spacing w:after="60"/>
      </w:pPr>
      <w:r w:rsidRPr="001D5327">
        <w:t>Riki Taylor (Land Use, Land-Use Change and Forestry (LULUCF) sector lead)</w:t>
      </w:r>
    </w:p>
    <w:p w14:paraId="7EB450D1" w14:textId="654C73D3" w:rsidR="003B0F83" w:rsidRPr="001D5327" w:rsidRDefault="003B0F83" w:rsidP="003B0F83">
      <w:pPr>
        <w:pStyle w:val="BodyText"/>
        <w:spacing w:after="0"/>
        <w:rPr>
          <w:i/>
          <w:iCs/>
        </w:rPr>
      </w:pPr>
      <w:r w:rsidRPr="001D5327">
        <w:rPr>
          <w:i/>
          <w:iCs/>
        </w:rPr>
        <w:t>Peer review and quality control</w:t>
      </w:r>
    </w:p>
    <w:p w14:paraId="668D6AAB" w14:textId="77777777" w:rsidR="003B0F83" w:rsidRPr="001D5327" w:rsidRDefault="003B0F83" w:rsidP="003B0F83">
      <w:pPr>
        <w:pStyle w:val="Bullet"/>
        <w:spacing w:before="60" w:after="60"/>
      </w:pPr>
      <w:r w:rsidRPr="001D5327">
        <w:t>Chris Bean (QA/QC and peer review)</w:t>
      </w:r>
    </w:p>
    <w:p w14:paraId="5A420EFE" w14:textId="77777777" w:rsidR="003B0F83" w:rsidRPr="001D5327" w:rsidRDefault="003B0F83" w:rsidP="003B0F83">
      <w:pPr>
        <w:pStyle w:val="Bullet"/>
        <w:spacing w:after="60"/>
      </w:pPr>
      <w:r w:rsidRPr="001D5327">
        <w:t>Charissa Billings (QA/QC)</w:t>
      </w:r>
    </w:p>
    <w:p w14:paraId="3345FD31" w14:textId="77777777" w:rsidR="003B0F83" w:rsidRPr="001D5327" w:rsidRDefault="003B0F83" w:rsidP="003B0F83">
      <w:pPr>
        <w:pStyle w:val="Bullet"/>
        <w:spacing w:after="60"/>
      </w:pPr>
      <w:r w:rsidRPr="001D5327">
        <w:t>Joyce Ormond (QA/QC)</w:t>
      </w:r>
    </w:p>
    <w:p w14:paraId="1F0F0F41" w14:textId="77777777" w:rsidR="003B0F83" w:rsidRDefault="003B0F83" w:rsidP="003B0F83">
      <w:pPr>
        <w:pStyle w:val="Bullet"/>
        <w:spacing w:after="60"/>
      </w:pPr>
      <w:r w:rsidRPr="001D5327">
        <w:t>Alice Ryan (QA/QC and peer review)</w:t>
      </w:r>
    </w:p>
    <w:p w14:paraId="18896700" w14:textId="7621E4D2" w:rsidR="000C0BB4" w:rsidRPr="001D5327" w:rsidRDefault="000C0BB4" w:rsidP="00244F1E">
      <w:pPr>
        <w:pStyle w:val="Bullet"/>
        <w:spacing w:after="60"/>
      </w:pPr>
      <w:r>
        <w:t>Frances Barnett, Chris Bean, Charissa Billings, Izzy Hart, Audrey Lustig, Heather McLeod, Samuel Roper, Alice Ryan, Georgia Sharp, Hayden Skinner, Riki Taylor (</w:t>
      </w:r>
      <w:r w:rsidR="001565CF" w:rsidRPr="001565CF">
        <w:t>final formatting QC</w:t>
      </w:r>
      <w:r w:rsidR="001565CF">
        <w:t>)</w:t>
      </w:r>
    </w:p>
    <w:p w14:paraId="1FC8EAE9" w14:textId="77777777" w:rsidR="003B0F83" w:rsidRPr="001D5327" w:rsidRDefault="003B0F83" w:rsidP="003B0F83">
      <w:pPr>
        <w:pStyle w:val="BodyText"/>
        <w:spacing w:after="60"/>
        <w:rPr>
          <w:i/>
          <w:iCs/>
        </w:rPr>
      </w:pPr>
      <w:r w:rsidRPr="001D5327">
        <w:rPr>
          <w:i/>
          <w:iCs/>
        </w:rPr>
        <w:t>Other contributors</w:t>
      </w:r>
    </w:p>
    <w:p w14:paraId="74FEDB6A" w14:textId="172BAB24" w:rsidR="001565CF" w:rsidRDefault="001565CF" w:rsidP="003B0F83">
      <w:pPr>
        <w:pStyle w:val="Bullet"/>
        <w:spacing w:after="60"/>
      </w:pPr>
      <w:r w:rsidRPr="001565CF">
        <w:t>Charissa Billings (project lead)</w:t>
      </w:r>
    </w:p>
    <w:p w14:paraId="79E8AC41" w14:textId="24F806CF" w:rsidR="003B0F83" w:rsidRPr="001D5327" w:rsidRDefault="003B0F83" w:rsidP="003B0F83">
      <w:pPr>
        <w:pStyle w:val="Bullet"/>
        <w:spacing w:after="60"/>
      </w:pPr>
      <w:r w:rsidRPr="001D5327">
        <w:t>Frances Barnett (</w:t>
      </w:r>
      <w:r w:rsidR="001565CF">
        <w:t>s</w:t>
      </w:r>
      <w:r w:rsidRPr="001D5327">
        <w:t>upplementary products lead)</w:t>
      </w:r>
    </w:p>
    <w:p w14:paraId="6E2541FB" w14:textId="1934E1F7" w:rsidR="003B0F83" w:rsidRPr="001D5327" w:rsidRDefault="003B0F83" w:rsidP="003B0F83">
      <w:pPr>
        <w:pStyle w:val="Bullet"/>
        <w:spacing w:after="60"/>
      </w:pPr>
      <w:r w:rsidRPr="001D5327">
        <w:t>Clare Browne (</w:t>
      </w:r>
      <w:r w:rsidR="001565CF">
        <w:t>s</w:t>
      </w:r>
      <w:r w:rsidRPr="001D5327">
        <w:t>upplementary products support)</w:t>
      </w:r>
    </w:p>
    <w:p w14:paraId="26612A81" w14:textId="77777777" w:rsidR="003B0F83" w:rsidRPr="001D5327" w:rsidRDefault="003B0F83" w:rsidP="003B0F83">
      <w:pPr>
        <w:pStyle w:val="Bullet"/>
        <w:spacing w:after="60"/>
      </w:pPr>
      <w:r w:rsidRPr="001D5327">
        <w:t xml:space="preserve">Deborah Burgess (LULUCF sector lead support) </w:t>
      </w:r>
    </w:p>
    <w:p w14:paraId="78A85520" w14:textId="77777777" w:rsidR="003B0F83" w:rsidRPr="001D5327" w:rsidRDefault="003B0F83" w:rsidP="003B0F83">
      <w:pPr>
        <w:pStyle w:val="Bullet"/>
        <w:spacing w:after="60"/>
      </w:pPr>
      <w:r w:rsidRPr="001D5327">
        <w:t>Joanne Butcher, Lisette du Plessis and Emily Wikingi (communications and publishing)</w:t>
      </w:r>
    </w:p>
    <w:p w14:paraId="6CD6AAA7" w14:textId="77777777" w:rsidR="003B0F83" w:rsidRPr="001D5327" w:rsidRDefault="003B0F83" w:rsidP="003B0F83">
      <w:pPr>
        <w:pStyle w:val="Bullet"/>
        <w:spacing w:after="60"/>
      </w:pPr>
      <w:r w:rsidRPr="001D5327">
        <w:t>Hayden Skinner (project coordinator)</w:t>
      </w:r>
    </w:p>
    <w:p w14:paraId="025DB698" w14:textId="77777777" w:rsidR="003B0F83" w:rsidRPr="001D5327" w:rsidRDefault="003B0F83" w:rsidP="003B0F83">
      <w:pPr>
        <w:pStyle w:val="BodyText"/>
        <w:spacing w:after="60"/>
        <w:rPr>
          <w:i/>
          <w:iCs/>
        </w:rPr>
      </w:pPr>
      <w:r w:rsidRPr="001D5327">
        <w:rPr>
          <w:i/>
          <w:iCs/>
        </w:rPr>
        <w:t>Governance</w:t>
      </w:r>
    </w:p>
    <w:p w14:paraId="60328450" w14:textId="77777777" w:rsidR="003B0F83" w:rsidRPr="001D5327" w:rsidRDefault="003B0F83" w:rsidP="003B0F83">
      <w:pPr>
        <w:pStyle w:val="Bullet"/>
        <w:spacing w:after="60"/>
      </w:pPr>
      <w:r w:rsidRPr="001D5327">
        <w:t>Dr Alice Cleland (RGG Chair; RGG manager – IPPU; general advice and guidance)</w:t>
      </w:r>
    </w:p>
    <w:p w14:paraId="0D0AD985" w14:textId="77777777" w:rsidR="003B0F83" w:rsidRPr="001D5327" w:rsidRDefault="003B0F83" w:rsidP="003B0F83">
      <w:pPr>
        <w:pStyle w:val="Bullet"/>
        <w:spacing w:after="60"/>
      </w:pPr>
      <w:r w:rsidRPr="001D5327">
        <w:t>Robyn Crisford (RGG manager, Tokelau)</w:t>
      </w:r>
    </w:p>
    <w:p w14:paraId="74476F5F" w14:textId="77777777" w:rsidR="003B0F83" w:rsidRPr="001D5327" w:rsidRDefault="003B0F83" w:rsidP="003B0F83">
      <w:pPr>
        <w:pStyle w:val="Bullet"/>
        <w:spacing w:after="60"/>
      </w:pPr>
      <w:r w:rsidRPr="001D5327">
        <w:t>Dan Elder (RGG manager, LULUCF)</w:t>
      </w:r>
    </w:p>
    <w:p w14:paraId="73888838" w14:textId="77777777" w:rsidR="003B0F83" w:rsidRPr="001D5327" w:rsidRDefault="003B0F83" w:rsidP="003B0F83">
      <w:pPr>
        <w:pStyle w:val="Bullet"/>
        <w:spacing w:after="60"/>
      </w:pPr>
      <w:r w:rsidRPr="001D5327">
        <w:t>Kara Lok (RGG manager, Waste)</w:t>
      </w:r>
    </w:p>
    <w:p w14:paraId="57DEBE29" w14:textId="77777777" w:rsidR="003B0F83" w:rsidRPr="001D5327" w:rsidRDefault="003B0F83" w:rsidP="003B0F83">
      <w:pPr>
        <w:pStyle w:val="Bullet"/>
        <w:spacing w:after="60"/>
      </w:pPr>
      <w:r w:rsidRPr="001D5327">
        <w:t>Aaron Napier (general advice and guidance)</w:t>
      </w:r>
    </w:p>
    <w:p w14:paraId="17320171" w14:textId="77777777" w:rsidR="003B0F83" w:rsidRPr="001D5327" w:rsidRDefault="003B0F83" w:rsidP="005E45BA">
      <w:pPr>
        <w:pStyle w:val="Heading6"/>
        <w:spacing w:before="120" w:after="80"/>
        <w:rPr>
          <w:i/>
          <w:iCs/>
        </w:rPr>
      </w:pPr>
      <w:r w:rsidRPr="001D5327">
        <w:rPr>
          <w:i/>
          <w:iCs/>
        </w:rPr>
        <w:lastRenderedPageBreak/>
        <w:t>Ministry for Primary Industries</w:t>
      </w:r>
    </w:p>
    <w:p w14:paraId="746DF7A8" w14:textId="77777777" w:rsidR="003B0F83" w:rsidRPr="001D5327" w:rsidRDefault="003B0F83" w:rsidP="005942E3">
      <w:pPr>
        <w:pStyle w:val="Bullet"/>
        <w:spacing w:after="40"/>
      </w:pPr>
      <w:r w:rsidRPr="001D5327">
        <w:t>Jamie Higgison (Agriculture sector lead)</w:t>
      </w:r>
    </w:p>
    <w:p w14:paraId="39C2DD4B" w14:textId="77777777" w:rsidR="003B0F83" w:rsidRPr="001D5327" w:rsidRDefault="003B0F83" w:rsidP="005942E3">
      <w:pPr>
        <w:pStyle w:val="Bullet"/>
        <w:spacing w:after="40"/>
      </w:pPr>
      <w:r w:rsidRPr="001D5327">
        <w:t>Catherine Sangster (Agriculture inventory team member)</w:t>
      </w:r>
    </w:p>
    <w:p w14:paraId="03B06A6E" w14:textId="77777777" w:rsidR="003B0F83" w:rsidRPr="001D5327" w:rsidRDefault="003B0F83" w:rsidP="005942E3">
      <w:pPr>
        <w:pStyle w:val="Bullet"/>
        <w:spacing w:after="40"/>
      </w:pPr>
      <w:r w:rsidRPr="001D5327">
        <w:t>Mark Lieffering (Agriculture inventory team member)</w:t>
      </w:r>
    </w:p>
    <w:p w14:paraId="21EFABD2" w14:textId="77777777" w:rsidR="003B0F83" w:rsidRPr="001D5327" w:rsidRDefault="003B0F83" w:rsidP="005942E3">
      <w:pPr>
        <w:pStyle w:val="Bullet"/>
        <w:spacing w:after="40"/>
      </w:pPr>
      <w:r w:rsidRPr="001D5327">
        <w:t>Ben Morrow (Agriculture inventory team member)</w:t>
      </w:r>
    </w:p>
    <w:p w14:paraId="029F5110" w14:textId="77777777" w:rsidR="003B0F83" w:rsidRPr="001D5327" w:rsidRDefault="003B0F83" w:rsidP="005942E3">
      <w:pPr>
        <w:pStyle w:val="Bullet"/>
        <w:spacing w:after="40"/>
      </w:pPr>
      <w:r w:rsidRPr="001D5327">
        <w:t>Joel Gibbs (RGG manager, Agriculture)</w:t>
      </w:r>
    </w:p>
    <w:p w14:paraId="34F58803" w14:textId="77777777" w:rsidR="003B0F83" w:rsidRPr="001D5327" w:rsidRDefault="003B0F83" w:rsidP="00EE4D1B">
      <w:pPr>
        <w:pStyle w:val="Heading6"/>
        <w:spacing w:before="120" w:after="80"/>
        <w:rPr>
          <w:i/>
          <w:iCs/>
        </w:rPr>
      </w:pPr>
      <w:r w:rsidRPr="001D5327">
        <w:rPr>
          <w:i/>
          <w:iCs/>
        </w:rPr>
        <w:t>Ministry of Business, Innovation and Employment</w:t>
      </w:r>
    </w:p>
    <w:p w14:paraId="4A6FB395" w14:textId="77777777" w:rsidR="003B0F83" w:rsidRPr="00DD32D7" w:rsidRDefault="003B0F83" w:rsidP="005942E3">
      <w:pPr>
        <w:pStyle w:val="Bullet"/>
        <w:spacing w:after="40"/>
      </w:pPr>
      <w:r w:rsidRPr="00DD32D7">
        <w:t xml:space="preserve">Dr Michael Smith (Energy sector lead, IPPU: carbon dioxide) </w:t>
      </w:r>
    </w:p>
    <w:p w14:paraId="3A493977" w14:textId="77777777" w:rsidR="003B0F83" w:rsidRPr="00DD32D7" w:rsidRDefault="003B0F83" w:rsidP="005942E3">
      <w:pPr>
        <w:pStyle w:val="Bullet"/>
        <w:spacing w:after="40"/>
      </w:pPr>
      <w:r w:rsidRPr="00DD32D7">
        <w:t>Dr Jan-Yves Ruzicka (QA/QC, Energy)</w:t>
      </w:r>
    </w:p>
    <w:p w14:paraId="4C64429E" w14:textId="77777777" w:rsidR="00DD32D7" w:rsidRPr="00DD32D7" w:rsidRDefault="00DD32D7" w:rsidP="005942E3">
      <w:pPr>
        <w:pStyle w:val="Bullet"/>
        <w:spacing w:after="40"/>
      </w:pPr>
      <w:r w:rsidRPr="00DD32D7">
        <w:t>Maria Botes (QA/QC and peer review, Energy)</w:t>
      </w:r>
    </w:p>
    <w:p w14:paraId="262E5802" w14:textId="581C2FD7" w:rsidR="003B0F83" w:rsidRPr="00DD32D7" w:rsidRDefault="003B0F83" w:rsidP="005942E3">
      <w:pPr>
        <w:pStyle w:val="Bullet"/>
        <w:spacing w:after="40"/>
      </w:pPr>
      <w:r w:rsidRPr="00DD32D7">
        <w:t>Dr Amapola Generosa (RGG manager, Energy)</w:t>
      </w:r>
    </w:p>
    <w:p w14:paraId="5AF30D08" w14:textId="77777777" w:rsidR="003B0F83" w:rsidRPr="001D5327" w:rsidRDefault="003B0F83" w:rsidP="00EE4D1B">
      <w:pPr>
        <w:pStyle w:val="Heading6"/>
        <w:spacing w:before="120" w:after="80"/>
        <w:rPr>
          <w:i/>
          <w:iCs/>
        </w:rPr>
      </w:pPr>
      <w:r w:rsidRPr="001D5327">
        <w:rPr>
          <w:i/>
          <w:iCs/>
        </w:rPr>
        <w:t xml:space="preserve">Environmental Protection Authority </w:t>
      </w:r>
    </w:p>
    <w:p w14:paraId="3947D09C" w14:textId="77777777" w:rsidR="003B0F83" w:rsidRPr="001D5327" w:rsidRDefault="003B0F83" w:rsidP="003B0F83">
      <w:pPr>
        <w:pStyle w:val="Bullet"/>
        <w:spacing w:after="60"/>
      </w:pPr>
      <w:r w:rsidRPr="001D5327">
        <w:t>Johanna Milius (peer review, IPPU)</w:t>
      </w:r>
    </w:p>
    <w:p w14:paraId="131ACF4F" w14:textId="77777777" w:rsidR="003B0F83" w:rsidRPr="001D5327" w:rsidRDefault="003B0F83" w:rsidP="003B0F83">
      <w:pPr>
        <w:pStyle w:val="Bullet"/>
        <w:spacing w:after="60"/>
      </w:pPr>
      <w:r w:rsidRPr="001D5327">
        <w:t xml:space="preserve">Dave Stuart (team leader, Emissions Trading Scheme operations) </w:t>
      </w:r>
    </w:p>
    <w:p w14:paraId="068FCCFD" w14:textId="77777777" w:rsidR="003B0F83" w:rsidRPr="001D5327" w:rsidRDefault="003B0F83" w:rsidP="00EE4D1B">
      <w:pPr>
        <w:pStyle w:val="Heading6"/>
        <w:spacing w:before="120" w:after="80"/>
        <w:rPr>
          <w:i/>
          <w:iCs/>
        </w:rPr>
      </w:pPr>
      <w:r w:rsidRPr="001D5327">
        <w:rPr>
          <w:i/>
          <w:iCs/>
        </w:rPr>
        <w:t>Tokelau Government</w:t>
      </w:r>
    </w:p>
    <w:p w14:paraId="55B7BDBB" w14:textId="77777777" w:rsidR="003B0F83" w:rsidRPr="001D5327" w:rsidRDefault="003B0F83" w:rsidP="003B0F83">
      <w:pPr>
        <w:pStyle w:val="Bullet"/>
        <w:spacing w:after="60"/>
      </w:pPr>
      <w:r w:rsidRPr="001D5327">
        <w:t>Paula Faiva, Celine Iose, Aukusitino Vitale, (Tokelau Ministry of Climate, Oceans and Resilience) (general advice and guidance)</w:t>
      </w:r>
    </w:p>
    <w:p w14:paraId="04F69524" w14:textId="77777777" w:rsidR="003B0F83" w:rsidRPr="001D5327" w:rsidRDefault="003B0F83" w:rsidP="003B0F83">
      <w:pPr>
        <w:pStyle w:val="Bullet"/>
        <w:spacing w:after="60"/>
      </w:pPr>
      <w:r w:rsidRPr="001D5327">
        <w:t>Penehuro Lefale (LeA International) (peer review, general advice and guidance)</w:t>
      </w:r>
    </w:p>
    <w:p w14:paraId="02C43044" w14:textId="77777777" w:rsidR="003B0F83" w:rsidRPr="001D5327" w:rsidRDefault="003B0F83" w:rsidP="003B0F83">
      <w:pPr>
        <w:pStyle w:val="Bullet"/>
        <w:spacing w:after="60"/>
      </w:pPr>
      <w:r w:rsidRPr="001D5327">
        <w:t>Malama Uaina Kitiona (Tokelau national statistician)</w:t>
      </w:r>
    </w:p>
    <w:p w14:paraId="3B7C5E4B" w14:textId="77777777" w:rsidR="003B0F83" w:rsidRPr="001D5327" w:rsidRDefault="003B0F83" w:rsidP="00EE4D1B">
      <w:pPr>
        <w:pStyle w:val="Heading6"/>
        <w:spacing w:before="180"/>
      </w:pPr>
      <w:r w:rsidRPr="001D5327">
        <w:t>Technical contributors and specialists</w:t>
      </w:r>
    </w:p>
    <w:p w14:paraId="2D3A48ED" w14:textId="77777777" w:rsidR="003B0F83" w:rsidRPr="001D5327" w:rsidRDefault="003B0F83" w:rsidP="005E45BA">
      <w:pPr>
        <w:pStyle w:val="Heading6"/>
        <w:spacing w:before="120" w:after="80"/>
        <w:rPr>
          <w:i/>
          <w:iCs/>
        </w:rPr>
      </w:pPr>
      <w:r w:rsidRPr="001D5327">
        <w:rPr>
          <w:i/>
          <w:iCs/>
        </w:rPr>
        <w:t>Industrial Processes and Product Use sector</w:t>
      </w:r>
    </w:p>
    <w:p w14:paraId="300C893C" w14:textId="77777777" w:rsidR="003B0F83" w:rsidRPr="001D5327" w:rsidRDefault="003B0F83" w:rsidP="003B0F83">
      <w:pPr>
        <w:pStyle w:val="Bullet"/>
        <w:spacing w:after="60"/>
      </w:pPr>
      <w:r w:rsidRPr="001D5327">
        <w:t xml:space="preserve">Verum Group: Wayne Hennessy </w:t>
      </w:r>
    </w:p>
    <w:p w14:paraId="6BF9942B" w14:textId="77777777" w:rsidR="003B0F83" w:rsidRPr="001D5327" w:rsidRDefault="003B0F83" w:rsidP="003B0F83">
      <w:pPr>
        <w:pStyle w:val="Bullet"/>
        <w:spacing w:after="60"/>
      </w:pPr>
      <w:r w:rsidRPr="001D5327">
        <w:t>Ministry of Business, Innovation and Employment: Dr Jan-Yves Ruzicka (technical advice)</w:t>
      </w:r>
    </w:p>
    <w:p w14:paraId="60B61980" w14:textId="77777777" w:rsidR="003B0F83" w:rsidRPr="001D5327" w:rsidRDefault="003B0F83" w:rsidP="005E45BA">
      <w:pPr>
        <w:pStyle w:val="Heading6"/>
        <w:spacing w:before="120" w:after="80"/>
        <w:rPr>
          <w:i/>
          <w:iCs/>
        </w:rPr>
      </w:pPr>
      <w:r w:rsidRPr="001D5327">
        <w:rPr>
          <w:i/>
          <w:iCs/>
        </w:rPr>
        <w:t xml:space="preserve">Agriculture sector </w:t>
      </w:r>
    </w:p>
    <w:p w14:paraId="44FD2249" w14:textId="77777777" w:rsidR="003B0F83" w:rsidRPr="001D5327" w:rsidRDefault="003B0F83" w:rsidP="005942E3">
      <w:pPr>
        <w:pStyle w:val="Bullet"/>
        <w:spacing w:after="40"/>
      </w:pPr>
      <w:r w:rsidRPr="001D5327">
        <w:t xml:space="preserve">AgResearch: Alison Rutherford, David Stevens, Tony van der Weerden, Jamie Ward </w:t>
      </w:r>
    </w:p>
    <w:p w14:paraId="3E191BBE" w14:textId="77777777" w:rsidR="003B0F83" w:rsidRPr="001D5327" w:rsidRDefault="003B0F83" w:rsidP="005942E3">
      <w:pPr>
        <w:pStyle w:val="Bullet"/>
        <w:spacing w:after="40"/>
      </w:pPr>
      <w:r w:rsidRPr="001D5327">
        <w:t>AbacusBio: Jude Sise</w:t>
      </w:r>
    </w:p>
    <w:p w14:paraId="644A1DF7" w14:textId="77777777" w:rsidR="003B0F83" w:rsidRPr="001D5327" w:rsidRDefault="003B0F83" w:rsidP="005942E3">
      <w:pPr>
        <w:pStyle w:val="Bullet"/>
        <w:spacing w:after="40"/>
      </w:pPr>
      <w:r w:rsidRPr="001D5327">
        <w:t>Lincoln University: Keith Cameron, Tim Clough, Hong Di</w:t>
      </w:r>
    </w:p>
    <w:p w14:paraId="0A6C73AF" w14:textId="77777777" w:rsidR="003B0F83" w:rsidRPr="001D5327" w:rsidRDefault="003B0F83" w:rsidP="005942E3">
      <w:pPr>
        <w:pStyle w:val="Bullet"/>
        <w:spacing w:after="40"/>
      </w:pPr>
      <w:r w:rsidRPr="001D5327">
        <w:t>NZ Pork: Hannah Ritchie</w:t>
      </w:r>
    </w:p>
    <w:p w14:paraId="7D9ECA13" w14:textId="77777777" w:rsidR="003B0F83" w:rsidRPr="001D5327" w:rsidRDefault="003B0F83" w:rsidP="005942E3">
      <w:pPr>
        <w:pStyle w:val="Bullet"/>
        <w:spacing w:after="40"/>
      </w:pPr>
      <w:r w:rsidRPr="001D5327">
        <w:t>Ministry for Primary Industries: Shania Brooks, Joelle Kuiper, Jordana Pointon-Haimona, Dr Gerald Rys</w:t>
      </w:r>
    </w:p>
    <w:p w14:paraId="4FBB425F" w14:textId="77777777" w:rsidR="003B0F83" w:rsidRPr="001D5327" w:rsidRDefault="003B0F83" w:rsidP="005E45BA">
      <w:pPr>
        <w:pStyle w:val="Heading6"/>
        <w:spacing w:before="120" w:after="80"/>
        <w:rPr>
          <w:i/>
          <w:iCs/>
        </w:rPr>
      </w:pPr>
      <w:r w:rsidRPr="001D5327">
        <w:rPr>
          <w:i/>
          <w:iCs/>
        </w:rPr>
        <w:t xml:space="preserve">Land Use, Land-Use Change and Forestry sector </w:t>
      </w:r>
    </w:p>
    <w:p w14:paraId="5DEE1FEF" w14:textId="77777777" w:rsidR="003B0F83" w:rsidRPr="001D5327" w:rsidRDefault="003B0F83" w:rsidP="005942E3">
      <w:pPr>
        <w:pStyle w:val="Bullet"/>
        <w:spacing w:after="40"/>
      </w:pPr>
      <w:r w:rsidRPr="001D5327">
        <w:t>Ministry for the Environment: Tom Argyle, Deborah Burgess, Michael Cooper, Dr Carla Gomez, Dr Jordan Goodrich, Dr Jenny Hurst, Dr Nina Koele, Prem Sivakanthan, Riki Taylor, and Dr Anne Wekesa</w:t>
      </w:r>
    </w:p>
    <w:p w14:paraId="134C0378" w14:textId="77777777" w:rsidR="003B0F83" w:rsidRPr="001D5327" w:rsidRDefault="003B0F83" w:rsidP="005942E3">
      <w:pPr>
        <w:pStyle w:val="Bullet"/>
        <w:spacing w:after="40"/>
      </w:pPr>
      <w:r w:rsidRPr="001D5327">
        <w:t>Ministry for Primary Industries: Craig Elvidge (peer review), Jamie Higgison (peer review), Helen Lane (peer review), Sophie Mead (peer review), Ben Morrow (peer review)</w:t>
      </w:r>
    </w:p>
    <w:p w14:paraId="662DDECB" w14:textId="77777777" w:rsidR="003B0F83" w:rsidRPr="001D5327" w:rsidRDefault="003B0F83" w:rsidP="005E45BA">
      <w:pPr>
        <w:pStyle w:val="Heading6"/>
        <w:spacing w:before="120" w:after="80"/>
        <w:rPr>
          <w:i/>
          <w:iCs/>
        </w:rPr>
      </w:pPr>
      <w:r w:rsidRPr="001D5327">
        <w:rPr>
          <w:i/>
          <w:iCs/>
        </w:rPr>
        <w:t>Waste sector</w:t>
      </w:r>
    </w:p>
    <w:p w14:paraId="08C90789" w14:textId="57B74768" w:rsidR="003B0F83" w:rsidRPr="001D5327" w:rsidRDefault="003B0F83" w:rsidP="003B0F83">
      <w:pPr>
        <w:pStyle w:val="Bullet"/>
        <w:spacing w:after="60"/>
      </w:pPr>
      <w:r w:rsidRPr="001D5327">
        <w:t>Ministry for the Environment: Roderick Boys, Dr Dan Harvey, Kara Lok,</w:t>
      </w:r>
      <w:r w:rsidR="001023C6" w:rsidRPr="001D5327">
        <w:t xml:space="preserve"> </w:t>
      </w:r>
      <w:r w:rsidRPr="001D5327">
        <w:t>Dr Ella van Gool and Briar Wyatt</w:t>
      </w:r>
    </w:p>
    <w:p w14:paraId="2332DAED" w14:textId="77777777" w:rsidR="003B0F83" w:rsidRPr="001D5327" w:rsidRDefault="003B0F83" w:rsidP="005E45BA">
      <w:pPr>
        <w:pStyle w:val="Heading6"/>
        <w:spacing w:before="120" w:after="80"/>
      </w:pPr>
      <w:r w:rsidRPr="001D5327">
        <w:t xml:space="preserve">Proof reading and formatting </w:t>
      </w:r>
    </w:p>
    <w:p w14:paraId="193FCADF" w14:textId="4195A0D5" w:rsidR="003B0F83" w:rsidRPr="001D5327" w:rsidRDefault="003B0F83" w:rsidP="007F061A">
      <w:pPr>
        <w:pStyle w:val="Bullet"/>
        <w:spacing w:after="60"/>
      </w:pPr>
      <w:r w:rsidRPr="001D5327">
        <w:t>Jenny Heine and Tanya Tremewan</w:t>
      </w:r>
      <w:r w:rsidR="00EE4D1B">
        <w:t xml:space="preserve"> </w:t>
      </w:r>
    </w:p>
    <w:p w14:paraId="2F41B36A" w14:textId="77777777" w:rsidR="003B0F83" w:rsidRPr="001D5327" w:rsidRDefault="003B0F83" w:rsidP="003B0F83">
      <w:pPr>
        <w:pStyle w:val="BodyText"/>
        <w:sectPr w:rsidR="003B0F83" w:rsidRPr="001D5327" w:rsidSect="00E33B6A">
          <w:headerReference w:type="even" r:id="rId21"/>
          <w:headerReference w:type="default" r:id="rId22"/>
          <w:footerReference w:type="even" r:id="rId23"/>
          <w:footerReference w:type="default" r:id="rId24"/>
          <w:pgSz w:w="11907" w:h="16840" w:code="9"/>
          <w:pgMar w:top="1418" w:right="1701" w:bottom="1418" w:left="1701" w:header="567" w:footer="567" w:gutter="0"/>
          <w:pgNumType w:fmt="lowerRoman"/>
          <w:cols w:space="720"/>
        </w:sectPr>
      </w:pPr>
    </w:p>
    <w:p w14:paraId="67021131" w14:textId="77777777" w:rsidR="004C3FC8" w:rsidRPr="001D5327" w:rsidRDefault="004C3FC8" w:rsidP="00EA733B">
      <w:pPr>
        <w:pStyle w:val="Heading"/>
        <w:spacing w:after="360"/>
      </w:pPr>
      <w:r w:rsidRPr="001D5327">
        <w:lastRenderedPageBreak/>
        <w:t>Contents</w:t>
      </w:r>
    </w:p>
    <w:p w14:paraId="7D1F4425" w14:textId="36B7B9C8" w:rsidR="009F49B5" w:rsidRPr="001D5327" w:rsidRDefault="00412FF7">
      <w:pPr>
        <w:pStyle w:val="TOC1"/>
        <w:rPr>
          <w:rFonts w:asciiTheme="minorHAnsi" w:eastAsiaTheme="minorEastAsia" w:hAnsiTheme="minorHAnsi" w:cstheme="minorBidi"/>
          <w:noProof/>
          <w:kern w:val="2"/>
          <w:sz w:val="24"/>
          <w:szCs w:val="24"/>
          <w14:ligatures w14:val="standardContextual"/>
        </w:rPr>
      </w:pPr>
      <w:r w:rsidRPr="001D5327">
        <w:rPr>
          <w:sz w:val="28"/>
        </w:rPr>
        <w:fldChar w:fldCharType="begin"/>
      </w:r>
      <w:r w:rsidRPr="001D5327">
        <w:rPr>
          <w:sz w:val="28"/>
        </w:rPr>
        <w:instrText xml:space="preserve"> TOC \h \z \t "Heading 1,1,Heading 2,2" </w:instrText>
      </w:r>
      <w:r w:rsidRPr="001D5327">
        <w:rPr>
          <w:sz w:val="28"/>
        </w:rPr>
        <w:fldChar w:fldCharType="separate"/>
      </w:r>
      <w:hyperlink w:anchor="_Toc194311973" w:history="1">
        <w:r w:rsidR="009F49B5" w:rsidRPr="001D5327">
          <w:rPr>
            <w:rStyle w:val="Hyperlink"/>
            <w:noProof/>
          </w:rPr>
          <w:t>Acknowledgements</w:t>
        </w:r>
        <w:r w:rsidR="009F49B5" w:rsidRPr="001D5327">
          <w:rPr>
            <w:noProof/>
            <w:webHidden/>
          </w:rPr>
          <w:tab/>
        </w:r>
        <w:r w:rsidR="009F49B5" w:rsidRPr="001D5327">
          <w:rPr>
            <w:noProof/>
            <w:webHidden/>
          </w:rPr>
          <w:fldChar w:fldCharType="begin"/>
        </w:r>
        <w:r w:rsidR="009F49B5" w:rsidRPr="001D5327">
          <w:rPr>
            <w:noProof/>
            <w:webHidden/>
          </w:rPr>
          <w:instrText xml:space="preserve"> PAGEREF _Toc194311973 \h </w:instrText>
        </w:r>
        <w:r w:rsidR="009F49B5" w:rsidRPr="001D5327">
          <w:rPr>
            <w:noProof/>
            <w:webHidden/>
          </w:rPr>
        </w:r>
        <w:r w:rsidR="009F49B5" w:rsidRPr="001D5327">
          <w:rPr>
            <w:noProof/>
            <w:webHidden/>
          </w:rPr>
          <w:fldChar w:fldCharType="separate"/>
        </w:r>
        <w:r w:rsidR="00B93180">
          <w:rPr>
            <w:noProof/>
            <w:webHidden/>
          </w:rPr>
          <w:t>iii</w:t>
        </w:r>
        <w:r w:rsidR="009F49B5" w:rsidRPr="001D5327">
          <w:rPr>
            <w:noProof/>
            <w:webHidden/>
          </w:rPr>
          <w:fldChar w:fldCharType="end"/>
        </w:r>
      </w:hyperlink>
    </w:p>
    <w:p w14:paraId="33864198" w14:textId="28576108" w:rsidR="009F49B5" w:rsidRPr="001D5327" w:rsidRDefault="009F49B5">
      <w:pPr>
        <w:pStyle w:val="TOC1"/>
        <w:rPr>
          <w:rFonts w:asciiTheme="minorHAnsi" w:eastAsiaTheme="minorEastAsia" w:hAnsiTheme="minorHAnsi" w:cstheme="minorBidi"/>
          <w:noProof/>
          <w:kern w:val="2"/>
          <w:sz w:val="24"/>
          <w:szCs w:val="24"/>
          <w14:ligatures w14:val="standardContextual"/>
        </w:rPr>
      </w:pPr>
      <w:hyperlink w:anchor="_Toc194311974" w:history="1">
        <w:r w:rsidRPr="001D5327">
          <w:rPr>
            <w:rStyle w:val="Hyperlink"/>
            <w:noProof/>
          </w:rPr>
          <w:t>Abbreviations</w:t>
        </w:r>
        <w:r w:rsidRPr="001D5327">
          <w:rPr>
            <w:noProof/>
            <w:webHidden/>
          </w:rPr>
          <w:tab/>
        </w:r>
        <w:r w:rsidRPr="001D5327">
          <w:rPr>
            <w:noProof/>
            <w:webHidden/>
          </w:rPr>
          <w:fldChar w:fldCharType="begin"/>
        </w:r>
        <w:r w:rsidRPr="001D5327">
          <w:rPr>
            <w:noProof/>
            <w:webHidden/>
          </w:rPr>
          <w:instrText xml:space="preserve"> PAGEREF _Toc194311974 \h </w:instrText>
        </w:r>
        <w:r w:rsidRPr="001D5327">
          <w:rPr>
            <w:noProof/>
            <w:webHidden/>
          </w:rPr>
        </w:r>
        <w:r w:rsidRPr="001D5327">
          <w:rPr>
            <w:noProof/>
            <w:webHidden/>
          </w:rPr>
          <w:fldChar w:fldCharType="separate"/>
        </w:r>
        <w:r w:rsidR="00B93180">
          <w:rPr>
            <w:noProof/>
            <w:webHidden/>
          </w:rPr>
          <w:t>xviii</w:t>
        </w:r>
        <w:r w:rsidRPr="001D5327">
          <w:rPr>
            <w:noProof/>
            <w:webHidden/>
          </w:rPr>
          <w:fldChar w:fldCharType="end"/>
        </w:r>
      </w:hyperlink>
    </w:p>
    <w:p w14:paraId="408F2B53" w14:textId="107B1622" w:rsidR="009F49B5" w:rsidRPr="001D5327" w:rsidRDefault="009F49B5">
      <w:pPr>
        <w:pStyle w:val="TOC1"/>
        <w:rPr>
          <w:rFonts w:asciiTheme="minorHAnsi" w:eastAsiaTheme="minorEastAsia" w:hAnsiTheme="minorHAnsi" w:cstheme="minorBidi"/>
          <w:noProof/>
          <w:kern w:val="2"/>
          <w:sz w:val="24"/>
          <w:szCs w:val="24"/>
          <w14:ligatures w14:val="standardContextual"/>
        </w:rPr>
      </w:pPr>
      <w:hyperlink w:anchor="_Toc194311975" w:history="1">
        <w:r w:rsidRPr="001D5327">
          <w:rPr>
            <w:rStyle w:val="Hyperlink"/>
            <w:noProof/>
          </w:rPr>
          <w:t>Executive summary</w:t>
        </w:r>
        <w:r w:rsidRPr="001D5327">
          <w:rPr>
            <w:noProof/>
            <w:webHidden/>
          </w:rPr>
          <w:tab/>
        </w:r>
        <w:r w:rsidRPr="001D5327">
          <w:rPr>
            <w:noProof/>
            <w:webHidden/>
          </w:rPr>
          <w:fldChar w:fldCharType="begin"/>
        </w:r>
        <w:r w:rsidRPr="001D5327">
          <w:rPr>
            <w:noProof/>
            <w:webHidden/>
          </w:rPr>
          <w:instrText xml:space="preserve"> PAGEREF _Toc194311975 \h </w:instrText>
        </w:r>
        <w:r w:rsidRPr="001D5327">
          <w:rPr>
            <w:noProof/>
            <w:webHidden/>
          </w:rPr>
        </w:r>
        <w:r w:rsidRPr="001D5327">
          <w:rPr>
            <w:noProof/>
            <w:webHidden/>
          </w:rPr>
          <w:fldChar w:fldCharType="separate"/>
        </w:r>
        <w:r w:rsidR="00B93180">
          <w:rPr>
            <w:noProof/>
            <w:webHidden/>
          </w:rPr>
          <w:t>xxii</w:t>
        </w:r>
        <w:r w:rsidRPr="001D5327">
          <w:rPr>
            <w:noProof/>
            <w:webHidden/>
          </w:rPr>
          <w:fldChar w:fldCharType="end"/>
        </w:r>
      </w:hyperlink>
    </w:p>
    <w:p w14:paraId="4F7DF774" w14:textId="5245320B"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76" w:history="1">
        <w:r w:rsidRPr="001D5327">
          <w:rPr>
            <w:rStyle w:val="Hyperlink"/>
            <w:noProof/>
          </w:rPr>
          <w:t>ES.1</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Background information on greenhouse gas inventories and climate change</w:t>
        </w:r>
        <w:r w:rsidRPr="001D5327">
          <w:rPr>
            <w:noProof/>
            <w:webHidden/>
          </w:rPr>
          <w:tab/>
        </w:r>
        <w:r w:rsidRPr="001D5327">
          <w:rPr>
            <w:noProof/>
            <w:webHidden/>
          </w:rPr>
          <w:fldChar w:fldCharType="begin"/>
        </w:r>
        <w:r w:rsidRPr="001D5327">
          <w:rPr>
            <w:noProof/>
            <w:webHidden/>
          </w:rPr>
          <w:instrText xml:space="preserve"> PAGEREF _Toc194311976 \h </w:instrText>
        </w:r>
        <w:r w:rsidRPr="001D5327">
          <w:rPr>
            <w:noProof/>
            <w:webHidden/>
          </w:rPr>
        </w:r>
        <w:r w:rsidRPr="001D5327">
          <w:rPr>
            <w:noProof/>
            <w:webHidden/>
          </w:rPr>
          <w:fldChar w:fldCharType="separate"/>
        </w:r>
        <w:r w:rsidR="00B93180">
          <w:rPr>
            <w:noProof/>
            <w:webHidden/>
          </w:rPr>
          <w:t>xxiii</w:t>
        </w:r>
        <w:r w:rsidRPr="001D5327">
          <w:rPr>
            <w:noProof/>
            <w:webHidden/>
          </w:rPr>
          <w:fldChar w:fldCharType="end"/>
        </w:r>
      </w:hyperlink>
    </w:p>
    <w:p w14:paraId="2E8AF0FD" w14:textId="14D3AE09"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77" w:history="1">
        <w:r w:rsidRPr="001D5327">
          <w:rPr>
            <w:rStyle w:val="Hyperlink"/>
            <w:noProof/>
          </w:rPr>
          <w:t>ES.2</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Summary of trends related to national emissions and removals</w:t>
        </w:r>
        <w:r w:rsidRPr="001D5327">
          <w:rPr>
            <w:noProof/>
            <w:webHidden/>
          </w:rPr>
          <w:tab/>
        </w:r>
        <w:r w:rsidRPr="001D5327">
          <w:rPr>
            <w:noProof/>
            <w:webHidden/>
          </w:rPr>
          <w:fldChar w:fldCharType="begin"/>
        </w:r>
        <w:r w:rsidRPr="001D5327">
          <w:rPr>
            <w:noProof/>
            <w:webHidden/>
          </w:rPr>
          <w:instrText xml:space="preserve"> PAGEREF _Toc194311977 \h </w:instrText>
        </w:r>
        <w:r w:rsidRPr="001D5327">
          <w:rPr>
            <w:noProof/>
            <w:webHidden/>
          </w:rPr>
        </w:r>
        <w:r w:rsidRPr="001D5327">
          <w:rPr>
            <w:noProof/>
            <w:webHidden/>
          </w:rPr>
          <w:fldChar w:fldCharType="separate"/>
        </w:r>
        <w:r w:rsidR="00B93180">
          <w:rPr>
            <w:noProof/>
            <w:webHidden/>
          </w:rPr>
          <w:t>xxiv</w:t>
        </w:r>
        <w:r w:rsidRPr="001D5327">
          <w:rPr>
            <w:noProof/>
            <w:webHidden/>
          </w:rPr>
          <w:fldChar w:fldCharType="end"/>
        </w:r>
      </w:hyperlink>
    </w:p>
    <w:p w14:paraId="234BD734" w14:textId="7922A624"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78" w:history="1">
        <w:r w:rsidRPr="001D5327">
          <w:rPr>
            <w:rStyle w:val="Hyperlink"/>
            <w:noProof/>
          </w:rPr>
          <w:t>ES.3</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Overview of source and sink category emissions estimates and trends</w:t>
        </w:r>
        <w:r w:rsidRPr="001D5327">
          <w:rPr>
            <w:noProof/>
            <w:webHidden/>
          </w:rPr>
          <w:tab/>
        </w:r>
        <w:r w:rsidRPr="001D5327">
          <w:rPr>
            <w:noProof/>
            <w:webHidden/>
          </w:rPr>
          <w:fldChar w:fldCharType="begin"/>
        </w:r>
        <w:r w:rsidRPr="001D5327">
          <w:rPr>
            <w:noProof/>
            <w:webHidden/>
          </w:rPr>
          <w:instrText xml:space="preserve"> PAGEREF _Toc194311978 \h </w:instrText>
        </w:r>
        <w:r w:rsidRPr="001D5327">
          <w:rPr>
            <w:noProof/>
            <w:webHidden/>
          </w:rPr>
        </w:r>
        <w:r w:rsidRPr="001D5327">
          <w:rPr>
            <w:noProof/>
            <w:webHidden/>
          </w:rPr>
          <w:fldChar w:fldCharType="separate"/>
        </w:r>
        <w:r w:rsidR="00B93180">
          <w:rPr>
            <w:noProof/>
            <w:webHidden/>
          </w:rPr>
          <w:t>xxviii</w:t>
        </w:r>
        <w:r w:rsidRPr="001D5327">
          <w:rPr>
            <w:noProof/>
            <w:webHidden/>
          </w:rPr>
          <w:fldChar w:fldCharType="end"/>
        </w:r>
      </w:hyperlink>
    </w:p>
    <w:p w14:paraId="2F8BAFB2" w14:textId="35FCA91D"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79" w:history="1">
        <w:r w:rsidRPr="001D5327">
          <w:rPr>
            <w:rStyle w:val="Hyperlink"/>
            <w:noProof/>
          </w:rPr>
          <w:t>ES.4</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Other information</w:t>
        </w:r>
        <w:r w:rsidRPr="001D5327">
          <w:rPr>
            <w:noProof/>
            <w:webHidden/>
          </w:rPr>
          <w:tab/>
        </w:r>
        <w:r w:rsidRPr="001D5327">
          <w:rPr>
            <w:noProof/>
            <w:webHidden/>
          </w:rPr>
          <w:fldChar w:fldCharType="begin"/>
        </w:r>
        <w:r w:rsidRPr="001D5327">
          <w:rPr>
            <w:noProof/>
            <w:webHidden/>
          </w:rPr>
          <w:instrText xml:space="preserve"> PAGEREF _Toc194311979 \h </w:instrText>
        </w:r>
        <w:r w:rsidRPr="001D5327">
          <w:rPr>
            <w:noProof/>
            <w:webHidden/>
          </w:rPr>
        </w:r>
        <w:r w:rsidRPr="001D5327">
          <w:rPr>
            <w:noProof/>
            <w:webHidden/>
          </w:rPr>
          <w:fldChar w:fldCharType="separate"/>
        </w:r>
        <w:r w:rsidR="00B93180">
          <w:rPr>
            <w:noProof/>
            <w:webHidden/>
          </w:rPr>
          <w:t>xxxv</w:t>
        </w:r>
        <w:r w:rsidRPr="001D5327">
          <w:rPr>
            <w:noProof/>
            <w:webHidden/>
          </w:rPr>
          <w:fldChar w:fldCharType="end"/>
        </w:r>
      </w:hyperlink>
    </w:p>
    <w:p w14:paraId="1CE01649" w14:textId="7D0C5C29"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80" w:history="1">
        <w:r w:rsidRPr="001D5327">
          <w:rPr>
            <w:rStyle w:val="Hyperlink"/>
            <w:noProof/>
          </w:rPr>
          <w:t>ES.5</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Key category analysis</w:t>
        </w:r>
        <w:r w:rsidRPr="001D5327">
          <w:rPr>
            <w:noProof/>
            <w:webHidden/>
          </w:rPr>
          <w:tab/>
        </w:r>
        <w:r w:rsidRPr="001D5327">
          <w:rPr>
            <w:noProof/>
            <w:webHidden/>
          </w:rPr>
          <w:fldChar w:fldCharType="begin"/>
        </w:r>
        <w:r w:rsidRPr="001D5327">
          <w:rPr>
            <w:noProof/>
            <w:webHidden/>
          </w:rPr>
          <w:instrText xml:space="preserve"> PAGEREF _Toc194311980 \h </w:instrText>
        </w:r>
        <w:r w:rsidRPr="001D5327">
          <w:rPr>
            <w:noProof/>
            <w:webHidden/>
          </w:rPr>
        </w:r>
        <w:r w:rsidRPr="001D5327">
          <w:rPr>
            <w:noProof/>
            <w:webHidden/>
          </w:rPr>
          <w:fldChar w:fldCharType="separate"/>
        </w:r>
        <w:r w:rsidR="00B93180">
          <w:rPr>
            <w:noProof/>
            <w:webHidden/>
          </w:rPr>
          <w:t>xxxv</w:t>
        </w:r>
        <w:r w:rsidRPr="001D5327">
          <w:rPr>
            <w:noProof/>
            <w:webHidden/>
          </w:rPr>
          <w:fldChar w:fldCharType="end"/>
        </w:r>
      </w:hyperlink>
    </w:p>
    <w:p w14:paraId="5BC3A118" w14:textId="3B6B1A85"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81" w:history="1">
        <w:r w:rsidRPr="001D5327">
          <w:rPr>
            <w:rStyle w:val="Hyperlink"/>
            <w:noProof/>
          </w:rPr>
          <w:t>ES.6</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Improvements introduced</w:t>
        </w:r>
        <w:r w:rsidRPr="001D5327">
          <w:rPr>
            <w:noProof/>
            <w:webHidden/>
          </w:rPr>
          <w:tab/>
        </w:r>
        <w:r w:rsidRPr="001D5327">
          <w:rPr>
            <w:noProof/>
            <w:webHidden/>
          </w:rPr>
          <w:fldChar w:fldCharType="begin"/>
        </w:r>
        <w:r w:rsidRPr="001D5327">
          <w:rPr>
            <w:noProof/>
            <w:webHidden/>
          </w:rPr>
          <w:instrText xml:space="preserve"> PAGEREF _Toc194311981 \h </w:instrText>
        </w:r>
        <w:r w:rsidRPr="001D5327">
          <w:rPr>
            <w:noProof/>
            <w:webHidden/>
          </w:rPr>
        </w:r>
        <w:r w:rsidRPr="001D5327">
          <w:rPr>
            <w:noProof/>
            <w:webHidden/>
          </w:rPr>
          <w:fldChar w:fldCharType="separate"/>
        </w:r>
        <w:r w:rsidR="00B93180">
          <w:rPr>
            <w:noProof/>
            <w:webHidden/>
          </w:rPr>
          <w:t>xxxvi</w:t>
        </w:r>
        <w:r w:rsidRPr="001D5327">
          <w:rPr>
            <w:noProof/>
            <w:webHidden/>
          </w:rPr>
          <w:fldChar w:fldCharType="end"/>
        </w:r>
      </w:hyperlink>
    </w:p>
    <w:p w14:paraId="7B0806DB" w14:textId="74B26E28"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82" w:history="1">
        <w:r w:rsidRPr="001D5327">
          <w:rPr>
            <w:rStyle w:val="Hyperlink"/>
            <w:noProof/>
          </w:rPr>
          <w:t>Executive summary: References</w:t>
        </w:r>
        <w:r w:rsidRPr="001D5327">
          <w:rPr>
            <w:noProof/>
            <w:webHidden/>
          </w:rPr>
          <w:tab/>
        </w:r>
        <w:r w:rsidRPr="001D5327">
          <w:rPr>
            <w:noProof/>
            <w:webHidden/>
          </w:rPr>
          <w:fldChar w:fldCharType="begin"/>
        </w:r>
        <w:r w:rsidRPr="001D5327">
          <w:rPr>
            <w:noProof/>
            <w:webHidden/>
          </w:rPr>
          <w:instrText xml:space="preserve"> PAGEREF _Toc194311982 \h </w:instrText>
        </w:r>
        <w:r w:rsidRPr="001D5327">
          <w:rPr>
            <w:noProof/>
            <w:webHidden/>
          </w:rPr>
        </w:r>
        <w:r w:rsidRPr="001D5327">
          <w:rPr>
            <w:noProof/>
            <w:webHidden/>
          </w:rPr>
          <w:fldChar w:fldCharType="separate"/>
        </w:r>
        <w:r w:rsidR="00B93180">
          <w:rPr>
            <w:noProof/>
            <w:webHidden/>
          </w:rPr>
          <w:t>xxxviii</w:t>
        </w:r>
        <w:r w:rsidRPr="001D5327">
          <w:rPr>
            <w:noProof/>
            <w:webHidden/>
          </w:rPr>
          <w:fldChar w:fldCharType="end"/>
        </w:r>
      </w:hyperlink>
    </w:p>
    <w:p w14:paraId="7DFC0A66" w14:textId="2C432DD0" w:rsidR="009F49B5" w:rsidRPr="001D5327" w:rsidRDefault="009F49B5">
      <w:pPr>
        <w:pStyle w:val="TOC1"/>
        <w:rPr>
          <w:rFonts w:asciiTheme="minorHAnsi" w:eastAsiaTheme="minorEastAsia" w:hAnsiTheme="minorHAnsi" w:cstheme="minorBidi"/>
          <w:noProof/>
          <w:kern w:val="2"/>
          <w:sz w:val="24"/>
          <w:szCs w:val="24"/>
          <w14:ligatures w14:val="standardContextual"/>
        </w:rPr>
      </w:pPr>
      <w:hyperlink w:anchor="_Toc194311983" w:history="1">
        <w:r w:rsidRPr="001D5327">
          <w:rPr>
            <w:rStyle w:val="Hyperlink"/>
            <w:noProof/>
          </w:rPr>
          <w:t>Chapter 1: National circumstances, institutional arrangements and cross</w:t>
        </w:r>
        <w:r w:rsidRPr="001D5327">
          <w:rPr>
            <w:rStyle w:val="Hyperlink"/>
            <w:noProof/>
          </w:rPr>
          <w:noBreakHyphen/>
          <w:t>cutting information</w:t>
        </w:r>
        <w:r w:rsidRPr="001D5327">
          <w:rPr>
            <w:noProof/>
            <w:webHidden/>
          </w:rPr>
          <w:tab/>
        </w:r>
        <w:r w:rsidRPr="001D5327">
          <w:rPr>
            <w:noProof/>
            <w:webHidden/>
          </w:rPr>
          <w:fldChar w:fldCharType="begin"/>
        </w:r>
        <w:r w:rsidRPr="001D5327">
          <w:rPr>
            <w:noProof/>
            <w:webHidden/>
          </w:rPr>
          <w:instrText xml:space="preserve"> PAGEREF _Toc194311983 \h </w:instrText>
        </w:r>
        <w:r w:rsidRPr="001D5327">
          <w:rPr>
            <w:noProof/>
            <w:webHidden/>
          </w:rPr>
        </w:r>
        <w:r w:rsidRPr="001D5327">
          <w:rPr>
            <w:noProof/>
            <w:webHidden/>
          </w:rPr>
          <w:fldChar w:fldCharType="separate"/>
        </w:r>
        <w:r w:rsidR="00B93180">
          <w:rPr>
            <w:noProof/>
            <w:webHidden/>
          </w:rPr>
          <w:t>1</w:t>
        </w:r>
        <w:r w:rsidRPr="001D5327">
          <w:rPr>
            <w:noProof/>
            <w:webHidden/>
          </w:rPr>
          <w:fldChar w:fldCharType="end"/>
        </w:r>
      </w:hyperlink>
    </w:p>
    <w:p w14:paraId="4927DB39" w14:textId="6B658E67"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84" w:history="1">
        <w:r w:rsidRPr="001D5327">
          <w:rPr>
            <w:rStyle w:val="Hyperlink"/>
            <w:noProof/>
          </w:rPr>
          <w:t>1.1</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Background information on greenhouse gas inventories and climate change</w:t>
        </w:r>
        <w:r w:rsidRPr="001D5327">
          <w:rPr>
            <w:noProof/>
            <w:webHidden/>
          </w:rPr>
          <w:tab/>
        </w:r>
        <w:r w:rsidRPr="001D5327">
          <w:rPr>
            <w:noProof/>
            <w:webHidden/>
          </w:rPr>
          <w:fldChar w:fldCharType="begin"/>
        </w:r>
        <w:r w:rsidRPr="001D5327">
          <w:rPr>
            <w:noProof/>
            <w:webHidden/>
          </w:rPr>
          <w:instrText xml:space="preserve"> PAGEREF _Toc194311984 \h </w:instrText>
        </w:r>
        <w:r w:rsidRPr="001D5327">
          <w:rPr>
            <w:noProof/>
            <w:webHidden/>
          </w:rPr>
        </w:r>
        <w:r w:rsidRPr="001D5327">
          <w:rPr>
            <w:noProof/>
            <w:webHidden/>
          </w:rPr>
          <w:fldChar w:fldCharType="separate"/>
        </w:r>
        <w:r w:rsidR="00B93180">
          <w:rPr>
            <w:noProof/>
            <w:webHidden/>
          </w:rPr>
          <w:t>1</w:t>
        </w:r>
        <w:r w:rsidRPr="001D5327">
          <w:rPr>
            <w:noProof/>
            <w:webHidden/>
          </w:rPr>
          <w:fldChar w:fldCharType="end"/>
        </w:r>
      </w:hyperlink>
    </w:p>
    <w:p w14:paraId="1911F067" w14:textId="697A4E0B"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85" w:history="1">
        <w:r w:rsidRPr="001D5327">
          <w:rPr>
            <w:rStyle w:val="Hyperlink"/>
            <w:noProof/>
          </w:rPr>
          <w:t>1.2</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A description of national circumstances and institutional arrangements</w:t>
        </w:r>
        <w:r w:rsidRPr="001D5327">
          <w:rPr>
            <w:noProof/>
            <w:webHidden/>
          </w:rPr>
          <w:tab/>
        </w:r>
        <w:r w:rsidRPr="001D5327">
          <w:rPr>
            <w:noProof/>
            <w:webHidden/>
          </w:rPr>
          <w:fldChar w:fldCharType="begin"/>
        </w:r>
        <w:r w:rsidRPr="001D5327">
          <w:rPr>
            <w:noProof/>
            <w:webHidden/>
          </w:rPr>
          <w:instrText xml:space="preserve"> PAGEREF _Toc194311985 \h </w:instrText>
        </w:r>
        <w:r w:rsidRPr="001D5327">
          <w:rPr>
            <w:noProof/>
            <w:webHidden/>
          </w:rPr>
        </w:r>
        <w:r w:rsidRPr="001D5327">
          <w:rPr>
            <w:noProof/>
            <w:webHidden/>
          </w:rPr>
          <w:fldChar w:fldCharType="separate"/>
        </w:r>
        <w:r w:rsidR="00B93180">
          <w:rPr>
            <w:noProof/>
            <w:webHidden/>
          </w:rPr>
          <w:t>4</w:t>
        </w:r>
        <w:r w:rsidRPr="001D5327">
          <w:rPr>
            <w:noProof/>
            <w:webHidden/>
          </w:rPr>
          <w:fldChar w:fldCharType="end"/>
        </w:r>
      </w:hyperlink>
    </w:p>
    <w:p w14:paraId="604058F6" w14:textId="690CF4B1"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86" w:history="1">
        <w:r w:rsidRPr="001D5327">
          <w:rPr>
            <w:rStyle w:val="Hyperlink"/>
            <w:noProof/>
          </w:rPr>
          <w:t>1.3</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Brief general description of methodologies (including tiers used) and data sources used</w:t>
        </w:r>
        <w:r w:rsidRPr="001D5327">
          <w:rPr>
            <w:noProof/>
            <w:webHidden/>
          </w:rPr>
          <w:tab/>
        </w:r>
        <w:r w:rsidRPr="001D5327">
          <w:rPr>
            <w:noProof/>
            <w:webHidden/>
          </w:rPr>
          <w:fldChar w:fldCharType="begin"/>
        </w:r>
        <w:r w:rsidRPr="001D5327">
          <w:rPr>
            <w:noProof/>
            <w:webHidden/>
          </w:rPr>
          <w:instrText xml:space="preserve"> PAGEREF _Toc194311986 \h </w:instrText>
        </w:r>
        <w:r w:rsidRPr="001D5327">
          <w:rPr>
            <w:noProof/>
            <w:webHidden/>
          </w:rPr>
        </w:r>
        <w:r w:rsidRPr="001D5327">
          <w:rPr>
            <w:noProof/>
            <w:webHidden/>
          </w:rPr>
          <w:fldChar w:fldCharType="separate"/>
        </w:r>
        <w:r w:rsidR="00B93180">
          <w:rPr>
            <w:noProof/>
            <w:webHidden/>
          </w:rPr>
          <w:t>10</w:t>
        </w:r>
        <w:r w:rsidRPr="001D5327">
          <w:rPr>
            <w:noProof/>
            <w:webHidden/>
          </w:rPr>
          <w:fldChar w:fldCharType="end"/>
        </w:r>
      </w:hyperlink>
    </w:p>
    <w:p w14:paraId="1FA1C264" w14:textId="69F23399"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87" w:history="1">
        <w:r w:rsidRPr="001D5327">
          <w:rPr>
            <w:rStyle w:val="Hyperlink"/>
            <w:noProof/>
          </w:rPr>
          <w:t>1.4</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Brief description of key categories</w:t>
        </w:r>
        <w:r w:rsidRPr="001D5327">
          <w:rPr>
            <w:noProof/>
            <w:webHidden/>
          </w:rPr>
          <w:tab/>
        </w:r>
        <w:r w:rsidRPr="001D5327">
          <w:rPr>
            <w:noProof/>
            <w:webHidden/>
          </w:rPr>
          <w:fldChar w:fldCharType="begin"/>
        </w:r>
        <w:r w:rsidRPr="001D5327">
          <w:rPr>
            <w:noProof/>
            <w:webHidden/>
          </w:rPr>
          <w:instrText xml:space="preserve"> PAGEREF _Toc194311987 \h </w:instrText>
        </w:r>
        <w:r w:rsidRPr="001D5327">
          <w:rPr>
            <w:noProof/>
            <w:webHidden/>
          </w:rPr>
        </w:r>
        <w:r w:rsidRPr="001D5327">
          <w:rPr>
            <w:noProof/>
            <w:webHidden/>
          </w:rPr>
          <w:fldChar w:fldCharType="separate"/>
        </w:r>
        <w:r w:rsidR="00B93180">
          <w:rPr>
            <w:noProof/>
            <w:webHidden/>
          </w:rPr>
          <w:t>13</w:t>
        </w:r>
        <w:r w:rsidRPr="001D5327">
          <w:rPr>
            <w:noProof/>
            <w:webHidden/>
          </w:rPr>
          <w:fldChar w:fldCharType="end"/>
        </w:r>
      </w:hyperlink>
    </w:p>
    <w:p w14:paraId="1BAB34D2" w14:textId="56D58499"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88" w:history="1">
        <w:r w:rsidRPr="001D5327">
          <w:rPr>
            <w:rStyle w:val="Hyperlink"/>
            <w:noProof/>
          </w:rPr>
          <w:t>1.5</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Brief general description of QA/QC plan and implementation</w:t>
        </w:r>
        <w:r w:rsidRPr="001D5327">
          <w:rPr>
            <w:noProof/>
            <w:webHidden/>
          </w:rPr>
          <w:tab/>
        </w:r>
        <w:r w:rsidRPr="001D5327">
          <w:rPr>
            <w:noProof/>
            <w:webHidden/>
          </w:rPr>
          <w:fldChar w:fldCharType="begin"/>
        </w:r>
        <w:r w:rsidRPr="001D5327">
          <w:rPr>
            <w:noProof/>
            <w:webHidden/>
          </w:rPr>
          <w:instrText xml:space="preserve"> PAGEREF _Toc194311988 \h </w:instrText>
        </w:r>
        <w:r w:rsidRPr="001D5327">
          <w:rPr>
            <w:noProof/>
            <w:webHidden/>
          </w:rPr>
        </w:r>
        <w:r w:rsidRPr="001D5327">
          <w:rPr>
            <w:noProof/>
            <w:webHidden/>
          </w:rPr>
          <w:fldChar w:fldCharType="separate"/>
        </w:r>
        <w:r w:rsidR="00B93180">
          <w:rPr>
            <w:noProof/>
            <w:webHidden/>
          </w:rPr>
          <w:t>14</w:t>
        </w:r>
        <w:r w:rsidRPr="001D5327">
          <w:rPr>
            <w:noProof/>
            <w:webHidden/>
          </w:rPr>
          <w:fldChar w:fldCharType="end"/>
        </w:r>
      </w:hyperlink>
    </w:p>
    <w:p w14:paraId="12162280" w14:textId="13E70297"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89" w:history="1">
        <w:r w:rsidRPr="001D5327">
          <w:rPr>
            <w:rStyle w:val="Hyperlink"/>
            <w:noProof/>
          </w:rPr>
          <w:t>1.6</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General uncertainty assessment, including data pertaining to the overall uncertainty of inventory totals</w:t>
        </w:r>
        <w:r w:rsidRPr="001D5327">
          <w:rPr>
            <w:noProof/>
            <w:webHidden/>
          </w:rPr>
          <w:tab/>
        </w:r>
        <w:r w:rsidRPr="001D5327">
          <w:rPr>
            <w:noProof/>
            <w:webHidden/>
          </w:rPr>
          <w:fldChar w:fldCharType="begin"/>
        </w:r>
        <w:r w:rsidRPr="001D5327">
          <w:rPr>
            <w:noProof/>
            <w:webHidden/>
          </w:rPr>
          <w:instrText xml:space="preserve"> PAGEREF _Toc194311989 \h </w:instrText>
        </w:r>
        <w:r w:rsidRPr="001D5327">
          <w:rPr>
            <w:noProof/>
            <w:webHidden/>
          </w:rPr>
        </w:r>
        <w:r w:rsidRPr="001D5327">
          <w:rPr>
            <w:noProof/>
            <w:webHidden/>
          </w:rPr>
          <w:fldChar w:fldCharType="separate"/>
        </w:r>
        <w:r w:rsidR="00B93180">
          <w:rPr>
            <w:noProof/>
            <w:webHidden/>
          </w:rPr>
          <w:t>19</w:t>
        </w:r>
        <w:r w:rsidRPr="001D5327">
          <w:rPr>
            <w:noProof/>
            <w:webHidden/>
          </w:rPr>
          <w:fldChar w:fldCharType="end"/>
        </w:r>
      </w:hyperlink>
    </w:p>
    <w:p w14:paraId="7636438A" w14:textId="5FD18998"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90" w:history="1">
        <w:r w:rsidRPr="001D5327">
          <w:rPr>
            <w:rStyle w:val="Hyperlink"/>
            <w:noProof/>
          </w:rPr>
          <w:t>1.7</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General assessment of completeness</w:t>
        </w:r>
        <w:r w:rsidRPr="001D5327">
          <w:rPr>
            <w:noProof/>
            <w:webHidden/>
          </w:rPr>
          <w:tab/>
        </w:r>
        <w:r w:rsidRPr="001D5327">
          <w:rPr>
            <w:noProof/>
            <w:webHidden/>
          </w:rPr>
          <w:fldChar w:fldCharType="begin"/>
        </w:r>
        <w:r w:rsidRPr="001D5327">
          <w:rPr>
            <w:noProof/>
            <w:webHidden/>
          </w:rPr>
          <w:instrText xml:space="preserve"> PAGEREF _Toc194311990 \h </w:instrText>
        </w:r>
        <w:r w:rsidRPr="001D5327">
          <w:rPr>
            <w:noProof/>
            <w:webHidden/>
          </w:rPr>
        </w:r>
        <w:r w:rsidRPr="001D5327">
          <w:rPr>
            <w:noProof/>
            <w:webHidden/>
          </w:rPr>
          <w:fldChar w:fldCharType="separate"/>
        </w:r>
        <w:r w:rsidR="00B93180">
          <w:rPr>
            <w:noProof/>
            <w:webHidden/>
          </w:rPr>
          <w:t>21</w:t>
        </w:r>
        <w:r w:rsidRPr="001D5327">
          <w:rPr>
            <w:noProof/>
            <w:webHidden/>
          </w:rPr>
          <w:fldChar w:fldCharType="end"/>
        </w:r>
      </w:hyperlink>
    </w:p>
    <w:p w14:paraId="1ACA0A6F" w14:textId="6695B35A"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91" w:history="1">
        <w:r w:rsidRPr="001D5327">
          <w:rPr>
            <w:rStyle w:val="Hyperlink"/>
            <w:noProof/>
          </w:rPr>
          <w:t>1.8</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Metrics</w:t>
        </w:r>
        <w:r w:rsidRPr="001D5327">
          <w:rPr>
            <w:noProof/>
            <w:webHidden/>
          </w:rPr>
          <w:tab/>
        </w:r>
        <w:r w:rsidRPr="001D5327">
          <w:rPr>
            <w:noProof/>
            <w:webHidden/>
          </w:rPr>
          <w:fldChar w:fldCharType="begin"/>
        </w:r>
        <w:r w:rsidRPr="001D5327">
          <w:rPr>
            <w:noProof/>
            <w:webHidden/>
          </w:rPr>
          <w:instrText xml:space="preserve"> PAGEREF _Toc194311991 \h </w:instrText>
        </w:r>
        <w:r w:rsidRPr="001D5327">
          <w:rPr>
            <w:noProof/>
            <w:webHidden/>
          </w:rPr>
        </w:r>
        <w:r w:rsidRPr="001D5327">
          <w:rPr>
            <w:noProof/>
            <w:webHidden/>
          </w:rPr>
          <w:fldChar w:fldCharType="separate"/>
        </w:r>
        <w:r w:rsidR="00B93180">
          <w:rPr>
            <w:noProof/>
            <w:webHidden/>
          </w:rPr>
          <w:t>29</w:t>
        </w:r>
        <w:r w:rsidRPr="001D5327">
          <w:rPr>
            <w:noProof/>
            <w:webHidden/>
          </w:rPr>
          <w:fldChar w:fldCharType="end"/>
        </w:r>
      </w:hyperlink>
    </w:p>
    <w:p w14:paraId="53FEFD32" w14:textId="7B607457"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92" w:history="1">
        <w:r w:rsidRPr="001D5327">
          <w:rPr>
            <w:rStyle w:val="Hyperlink"/>
            <w:noProof/>
          </w:rPr>
          <w:t>Chapter 1: References</w:t>
        </w:r>
        <w:r w:rsidRPr="001D5327">
          <w:rPr>
            <w:noProof/>
            <w:webHidden/>
          </w:rPr>
          <w:tab/>
        </w:r>
        <w:r w:rsidRPr="001D5327">
          <w:rPr>
            <w:noProof/>
            <w:webHidden/>
          </w:rPr>
          <w:fldChar w:fldCharType="begin"/>
        </w:r>
        <w:r w:rsidRPr="001D5327">
          <w:rPr>
            <w:noProof/>
            <w:webHidden/>
          </w:rPr>
          <w:instrText xml:space="preserve"> PAGEREF _Toc194311992 \h </w:instrText>
        </w:r>
        <w:r w:rsidRPr="001D5327">
          <w:rPr>
            <w:noProof/>
            <w:webHidden/>
          </w:rPr>
        </w:r>
        <w:r w:rsidRPr="001D5327">
          <w:rPr>
            <w:noProof/>
            <w:webHidden/>
          </w:rPr>
          <w:fldChar w:fldCharType="separate"/>
        </w:r>
        <w:r w:rsidR="00B93180">
          <w:rPr>
            <w:noProof/>
            <w:webHidden/>
          </w:rPr>
          <w:t>30</w:t>
        </w:r>
        <w:r w:rsidRPr="001D5327">
          <w:rPr>
            <w:noProof/>
            <w:webHidden/>
          </w:rPr>
          <w:fldChar w:fldCharType="end"/>
        </w:r>
      </w:hyperlink>
    </w:p>
    <w:p w14:paraId="78443BD4" w14:textId="72F13D86" w:rsidR="009F49B5" w:rsidRPr="001D5327" w:rsidRDefault="009F49B5">
      <w:pPr>
        <w:pStyle w:val="TOC1"/>
        <w:rPr>
          <w:rFonts w:asciiTheme="minorHAnsi" w:eastAsiaTheme="minorEastAsia" w:hAnsiTheme="minorHAnsi" w:cstheme="minorBidi"/>
          <w:noProof/>
          <w:kern w:val="2"/>
          <w:sz w:val="24"/>
          <w:szCs w:val="24"/>
          <w14:ligatures w14:val="standardContextual"/>
        </w:rPr>
      </w:pPr>
      <w:hyperlink w:anchor="_Toc194311993" w:history="1">
        <w:r w:rsidRPr="001D5327">
          <w:rPr>
            <w:rStyle w:val="Hyperlink"/>
            <w:noProof/>
          </w:rPr>
          <w:t>Chapter 2: Trends in greenhouse gas emissions and removals</w:t>
        </w:r>
        <w:r w:rsidRPr="001D5327">
          <w:rPr>
            <w:noProof/>
            <w:webHidden/>
          </w:rPr>
          <w:tab/>
        </w:r>
        <w:r w:rsidRPr="001D5327">
          <w:rPr>
            <w:noProof/>
            <w:webHidden/>
          </w:rPr>
          <w:fldChar w:fldCharType="begin"/>
        </w:r>
        <w:r w:rsidRPr="001D5327">
          <w:rPr>
            <w:noProof/>
            <w:webHidden/>
          </w:rPr>
          <w:instrText xml:space="preserve"> PAGEREF _Toc194311993 \h </w:instrText>
        </w:r>
        <w:r w:rsidRPr="001D5327">
          <w:rPr>
            <w:noProof/>
            <w:webHidden/>
          </w:rPr>
        </w:r>
        <w:r w:rsidRPr="001D5327">
          <w:rPr>
            <w:noProof/>
            <w:webHidden/>
          </w:rPr>
          <w:fldChar w:fldCharType="separate"/>
        </w:r>
        <w:r w:rsidR="00B93180">
          <w:rPr>
            <w:noProof/>
            <w:webHidden/>
          </w:rPr>
          <w:t>32</w:t>
        </w:r>
        <w:r w:rsidRPr="001D5327">
          <w:rPr>
            <w:noProof/>
            <w:webHidden/>
          </w:rPr>
          <w:fldChar w:fldCharType="end"/>
        </w:r>
      </w:hyperlink>
    </w:p>
    <w:p w14:paraId="6CB83DF5" w14:textId="3B8E7992"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94" w:history="1">
        <w:r w:rsidRPr="001D5327">
          <w:rPr>
            <w:rStyle w:val="Hyperlink"/>
            <w:noProof/>
          </w:rPr>
          <w:t>2.1</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Description of emission and removal trends for aggregated GHG emissions and removals</w:t>
        </w:r>
        <w:r w:rsidRPr="001D5327">
          <w:rPr>
            <w:noProof/>
            <w:webHidden/>
          </w:rPr>
          <w:tab/>
        </w:r>
        <w:r w:rsidRPr="001D5327">
          <w:rPr>
            <w:noProof/>
            <w:webHidden/>
          </w:rPr>
          <w:fldChar w:fldCharType="begin"/>
        </w:r>
        <w:r w:rsidRPr="001D5327">
          <w:rPr>
            <w:noProof/>
            <w:webHidden/>
          </w:rPr>
          <w:instrText xml:space="preserve"> PAGEREF _Toc194311994 \h </w:instrText>
        </w:r>
        <w:r w:rsidRPr="001D5327">
          <w:rPr>
            <w:noProof/>
            <w:webHidden/>
          </w:rPr>
        </w:r>
        <w:r w:rsidRPr="001D5327">
          <w:rPr>
            <w:noProof/>
            <w:webHidden/>
          </w:rPr>
          <w:fldChar w:fldCharType="separate"/>
        </w:r>
        <w:r w:rsidR="00B93180">
          <w:rPr>
            <w:noProof/>
            <w:webHidden/>
          </w:rPr>
          <w:t>32</w:t>
        </w:r>
        <w:r w:rsidRPr="001D5327">
          <w:rPr>
            <w:noProof/>
            <w:webHidden/>
          </w:rPr>
          <w:fldChar w:fldCharType="end"/>
        </w:r>
      </w:hyperlink>
    </w:p>
    <w:p w14:paraId="732DC946" w14:textId="56F643C8"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95" w:history="1">
        <w:r w:rsidRPr="001D5327">
          <w:rPr>
            <w:rStyle w:val="Hyperlink"/>
            <w:noProof/>
          </w:rPr>
          <w:t>2.2</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Description of emission and removal trends by sector and by gas</w:t>
        </w:r>
        <w:r w:rsidRPr="001D5327">
          <w:rPr>
            <w:noProof/>
            <w:webHidden/>
          </w:rPr>
          <w:tab/>
        </w:r>
        <w:r w:rsidRPr="001D5327">
          <w:rPr>
            <w:noProof/>
            <w:webHidden/>
          </w:rPr>
          <w:fldChar w:fldCharType="begin"/>
        </w:r>
        <w:r w:rsidRPr="001D5327">
          <w:rPr>
            <w:noProof/>
            <w:webHidden/>
          </w:rPr>
          <w:instrText xml:space="preserve"> PAGEREF _Toc194311995 \h </w:instrText>
        </w:r>
        <w:r w:rsidRPr="001D5327">
          <w:rPr>
            <w:noProof/>
            <w:webHidden/>
          </w:rPr>
        </w:r>
        <w:r w:rsidRPr="001D5327">
          <w:rPr>
            <w:noProof/>
            <w:webHidden/>
          </w:rPr>
          <w:fldChar w:fldCharType="separate"/>
        </w:r>
        <w:r w:rsidR="00B93180">
          <w:rPr>
            <w:noProof/>
            <w:webHidden/>
          </w:rPr>
          <w:t>35</w:t>
        </w:r>
        <w:r w:rsidRPr="001D5327">
          <w:rPr>
            <w:noProof/>
            <w:webHidden/>
          </w:rPr>
          <w:fldChar w:fldCharType="end"/>
        </w:r>
      </w:hyperlink>
    </w:p>
    <w:p w14:paraId="3E8F8A93" w14:textId="694F976F"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96" w:history="1">
        <w:r w:rsidRPr="001D5327">
          <w:rPr>
            <w:rStyle w:val="Hyperlink"/>
            <w:noProof/>
          </w:rPr>
          <w:t>Chapter 2: References</w:t>
        </w:r>
        <w:r w:rsidRPr="001D5327">
          <w:rPr>
            <w:noProof/>
            <w:webHidden/>
          </w:rPr>
          <w:tab/>
        </w:r>
        <w:r w:rsidRPr="001D5327">
          <w:rPr>
            <w:noProof/>
            <w:webHidden/>
          </w:rPr>
          <w:fldChar w:fldCharType="begin"/>
        </w:r>
        <w:r w:rsidRPr="001D5327">
          <w:rPr>
            <w:noProof/>
            <w:webHidden/>
          </w:rPr>
          <w:instrText xml:space="preserve"> PAGEREF _Toc194311996 \h </w:instrText>
        </w:r>
        <w:r w:rsidRPr="001D5327">
          <w:rPr>
            <w:noProof/>
            <w:webHidden/>
          </w:rPr>
        </w:r>
        <w:r w:rsidRPr="001D5327">
          <w:rPr>
            <w:noProof/>
            <w:webHidden/>
          </w:rPr>
          <w:fldChar w:fldCharType="separate"/>
        </w:r>
        <w:r w:rsidR="00B93180">
          <w:rPr>
            <w:noProof/>
            <w:webHidden/>
          </w:rPr>
          <w:t>55</w:t>
        </w:r>
        <w:r w:rsidRPr="001D5327">
          <w:rPr>
            <w:noProof/>
            <w:webHidden/>
          </w:rPr>
          <w:fldChar w:fldCharType="end"/>
        </w:r>
      </w:hyperlink>
    </w:p>
    <w:p w14:paraId="23C404E4" w14:textId="75231EA3" w:rsidR="009F49B5" w:rsidRPr="001D5327" w:rsidRDefault="009F49B5">
      <w:pPr>
        <w:pStyle w:val="TOC1"/>
        <w:rPr>
          <w:rFonts w:asciiTheme="minorHAnsi" w:eastAsiaTheme="minorEastAsia" w:hAnsiTheme="minorHAnsi" w:cstheme="minorBidi"/>
          <w:noProof/>
          <w:kern w:val="2"/>
          <w:sz w:val="24"/>
          <w:szCs w:val="24"/>
          <w14:ligatures w14:val="standardContextual"/>
        </w:rPr>
      </w:pPr>
      <w:hyperlink w:anchor="_Toc194311997" w:history="1">
        <w:r w:rsidRPr="001D5327">
          <w:rPr>
            <w:rStyle w:val="Hyperlink"/>
            <w:rFonts w:cs="Calibri"/>
            <w:noProof/>
            <w:lang w:eastAsia="en-GB"/>
          </w:rPr>
          <w:t>Chapter 3: Energy</w:t>
        </w:r>
        <w:r w:rsidRPr="001D5327">
          <w:rPr>
            <w:noProof/>
            <w:webHidden/>
          </w:rPr>
          <w:tab/>
        </w:r>
        <w:r w:rsidRPr="001D5327">
          <w:rPr>
            <w:noProof/>
            <w:webHidden/>
          </w:rPr>
          <w:fldChar w:fldCharType="begin"/>
        </w:r>
        <w:r w:rsidRPr="001D5327">
          <w:rPr>
            <w:noProof/>
            <w:webHidden/>
          </w:rPr>
          <w:instrText xml:space="preserve"> PAGEREF _Toc194311997 \h </w:instrText>
        </w:r>
        <w:r w:rsidRPr="001D5327">
          <w:rPr>
            <w:noProof/>
            <w:webHidden/>
          </w:rPr>
        </w:r>
        <w:r w:rsidRPr="001D5327">
          <w:rPr>
            <w:noProof/>
            <w:webHidden/>
          </w:rPr>
          <w:fldChar w:fldCharType="separate"/>
        </w:r>
        <w:r w:rsidR="00B93180">
          <w:rPr>
            <w:noProof/>
            <w:webHidden/>
          </w:rPr>
          <w:t>56</w:t>
        </w:r>
        <w:r w:rsidRPr="001D5327">
          <w:rPr>
            <w:noProof/>
            <w:webHidden/>
          </w:rPr>
          <w:fldChar w:fldCharType="end"/>
        </w:r>
      </w:hyperlink>
    </w:p>
    <w:p w14:paraId="31FC705A" w14:textId="4A29893F"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98" w:history="1">
        <w:r w:rsidRPr="001D5327">
          <w:rPr>
            <w:rStyle w:val="Hyperlink"/>
            <w:rFonts w:cs="Calibri"/>
            <w:noProof/>
          </w:rPr>
          <w:t>3.1</w:t>
        </w:r>
        <w:r w:rsidRPr="001D5327">
          <w:rPr>
            <w:rFonts w:asciiTheme="minorHAnsi" w:eastAsiaTheme="minorEastAsia" w:hAnsiTheme="minorHAnsi" w:cstheme="minorBidi"/>
            <w:noProof/>
            <w:kern w:val="2"/>
            <w:sz w:val="24"/>
            <w:szCs w:val="24"/>
            <w14:ligatures w14:val="standardContextual"/>
          </w:rPr>
          <w:tab/>
        </w:r>
        <w:r w:rsidRPr="001D5327">
          <w:rPr>
            <w:rStyle w:val="Hyperlink"/>
            <w:rFonts w:cs="Calibri"/>
            <w:noProof/>
          </w:rPr>
          <w:t>Sector overview</w:t>
        </w:r>
        <w:r w:rsidRPr="001D5327">
          <w:rPr>
            <w:noProof/>
            <w:webHidden/>
          </w:rPr>
          <w:tab/>
        </w:r>
        <w:r w:rsidRPr="001D5327">
          <w:rPr>
            <w:noProof/>
            <w:webHidden/>
          </w:rPr>
          <w:fldChar w:fldCharType="begin"/>
        </w:r>
        <w:r w:rsidRPr="001D5327">
          <w:rPr>
            <w:noProof/>
            <w:webHidden/>
          </w:rPr>
          <w:instrText xml:space="preserve"> PAGEREF _Toc194311998 \h </w:instrText>
        </w:r>
        <w:r w:rsidRPr="001D5327">
          <w:rPr>
            <w:noProof/>
            <w:webHidden/>
          </w:rPr>
        </w:r>
        <w:r w:rsidRPr="001D5327">
          <w:rPr>
            <w:noProof/>
            <w:webHidden/>
          </w:rPr>
          <w:fldChar w:fldCharType="separate"/>
        </w:r>
        <w:r w:rsidR="00B93180">
          <w:rPr>
            <w:noProof/>
            <w:webHidden/>
          </w:rPr>
          <w:t>56</w:t>
        </w:r>
        <w:r w:rsidRPr="001D5327">
          <w:rPr>
            <w:noProof/>
            <w:webHidden/>
          </w:rPr>
          <w:fldChar w:fldCharType="end"/>
        </w:r>
      </w:hyperlink>
    </w:p>
    <w:p w14:paraId="3C6EF826" w14:textId="5CCE4670"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1999" w:history="1">
        <w:r w:rsidRPr="001D5327">
          <w:rPr>
            <w:rStyle w:val="Hyperlink"/>
            <w:noProof/>
          </w:rPr>
          <w:t>3.2</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Fuel combustion (CRT 1.A)</w:t>
        </w:r>
        <w:r w:rsidRPr="001D5327">
          <w:rPr>
            <w:noProof/>
            <w:webHidden/>
          </w:rPr>
          <w:tab/>
        </w:r>
        <w:r w:rsidRPr="001D5327">
          <w:rPr>
            <w:noProof/>
            <w:webHidden/>
          </w:rPr>
          <w:fldChar w:fldCharType="begin"/>
        </w:r>
        <w:r w:rsidRPr="001D5327">
          <w:rPr>
            <w:noProof/>
            <w:webHidden/>
          </w:rPr>
          <w:instrText xml:space="preserve"> PAGEREF _Toc194311999 \h </w:instrText>
        </w:r>
        <w:r w:rsidRPr="001D5327">
          <w:rPr>
            <w:noProof/>
            <w:webHidden/>
          </w:rPr>
        </w:r>
        <w:r w:rsidRPr="001D5327">
          <w:rPr>
            <w:noProof/>
            <w:webHidden/>
          </w:rPr>
          <w:fldChar w:fldCharType="separate"/>
        </w:r>
        <w:r w:rsidR="00B93180">
          <w:rPr>
            <w:noProof/>
            <w:webHidden/>
          </w:rPr>
          <w:t>62</w:t>
        </w:r>
        <w:r w:rsidRPr="001D5327">
          <w:rPr>
            <w:noProof/>
            <w:webHidden/>
          </w:rPr>
          <w:fldChar w:fldCharType="end"/>
        </w:r>
      </w:hyperlink>
    </w:p>
    <w:p w14:paraId="0832A047" w14:textId="414286C9"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00" w:history="1">
        <w:r w:rsidRPr="001D5327">
          <w:rPr>
            <w:rStyle w:val="Hyperlink"/>
            <w:rFonts w:cs="Calibri"/>
            <w:noProof/>
          </w:rPr>
          <w:t>3.3</w:t>
        </w:r>
        <w:r w:rsidRPr="001D5327">
          <w:rPr>
            <w:rFonts w:asciiTheme="minorHAnsi" w:eastAsiaTheme="minorEastAsia" w:hAnsiTheme="minorHAnsi" w:cstheme="minorBidi"/>
            <w:noProof/>
            <w:kern w:val="2"/>
            <w:sz w:val="24"/>
            <w:szCs w:val="24"/>
            <w14:ligatures w14:val="standardContextual"/>
          </w:rPr>
          <w:tab/>
        </w:r>
        <w:r w:rsidRPr="001D5327">
          <w:rPr>
            <w:rStyle w:val="Hyperlink"/>
            <w:rFonts w:cs="Calibri"/>
            <w:noProof/>
          </w:rPr>
          <w:t>Fugitive emissions from solid fuels and oil and natural gas and other emissions from energy production (CRT 1.B)</w:t>
        </w:r>
        <w:r w:rsidRPr="001D5327">
          <w:rPr>
            <w:noProof/>
            <w:webHidden/>
          </w:rPr>
          <w:tab/>
        </w:r>
        <w:r w:rsidRPr="001D5327">
          <w:rPr>
            <w:noProof/>
            <w:webHidden/>
          </w:rPr>
          <w:fldChar w:fldCharType="begin"/>
        </w:r>
        <w:r w:rsidRPr="001D5327">
          <w:rPr>
            <w:noProof/>
            <w:webHidden/>
          </w:rPr>
          <w:instrText xml:space="preserve"> PAGEREF _Toc194312000 \h </w:instrText>
        </w:r>
        <w:r w:rsidRPr="001D5327">
          <w:rPr>
            <w:noProof/>
            <w:webHidden/>
          </w:rPr>
        </w:r>
        <w:r w:rsidRPr="001D5327">
          <w:rPr>
            <w:noProof/>
            <w:webHidden/>
          </w:rPr>
          <w:fldChar w:fldCharType="separate"/>
        </w:r>
        <w:r w:rsidR="00B93180">
          <w:rPr>
            <w:noProof/>
            <w:webHidden/>
          </w:rPr>
          <w:t>92</w:t>
        </w:r>
        <w:r w:rsidRPr="001D5327">
          <w:rPr>
            <w:noProof/>
            <w:webHidden/>
          </w:rPr>
          <w:fldChar w:fldCharType="end"/>
        </w:r>
      </w:hyperlink>
    </w:p>
    <w:p w14:paraId="193B6870" w14:textId="2FE28AAA"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01" w:history="1">
        <w:r w:rsidRPr="001D5327">
          <w:rPr>
            <w:rStyle w:val="Hyperlink"/>
            <w:rFonts w:cs="Calibri"/>
            <w:noProof/>
          </w:rPr>
          <w:t>3.4</w:t>
        </w:r>
        <w:r w:rsidRPr="001D5327">
          <w:rPr>
            <w:rFonts w:asciiTheme="minorHAnsi" w:eastAsiaTheme="minorEastAsia" w:hAnsiTheme="minorHAnsi" w:cstheme="minorBidi"/>
            <w:noProof/>
            <w:kern w:val="2"/>
            <w:sz w:val="24"/>
            <w:szCs w:val="24"/>
            <w14:ligatures w14:val="standardContextual"/>
          </w:rPr>
          <w:tab/>
        </w:r>
        <w:r w:rsidRPr="001D5327">
          <w:rPr>
            <w:rStyle w:val="Hyperlink"/>
            <w:rFonts w:cs="Calibri"/>
            <w:noProof/>
          </w:rPr>
          <w:t>Carbon dioxide transport and storage (CRT 1.C)</w:t>
        </w:r>
        <w:r w:rsidRPr="001D5327">
          <w:rPr>
            <w:noProof/>
            <w:webHidden/>
          </w:rPr>
          <w:tab/>
        </w:r>
        <w:r w:rsidRPr="001D5327">
          <w:rPr>
            <w:noProof/>
            <w:webHidden/>
          </w:rPr>
          <w:fldChar w:fldCharType="begin"/>
        </w:r>
        <w:r w:rsidRPr="001D5327">
          <w:rPr>
            <w:noProof/>
            <w:webHidden/>
          </w:rPr>
          <w:instrText xml:space="preserve"> PAGEREF _Toc194312001 \h </w:instrText>
        </w:r>
        <w:r w:rsidRPr="001D5327">
          <w:rPr>
            <w:noProof/>
            <w:webHidden/>
          </w:rPr>
        </w:r>
        <w:r w:rsidRPr="001D5327">
          <w:rPr>
            <w:noProof/>
            <w:webHidden/>
          </w:rPr>
          <w:fldChar w:fldCharType="separate"/>
        </w:r>
        <w:r w:rsidR="00B93180">
          <w:rPr>
            <w:noProof/>
            <w:webHidden/>
          </w:rPr>
          <w:t>101</w:t>
        </w:r>
        <w:r w:rsidRPr="001D5327">
          <w:rPr>
            <w:noProof/>
            <w:webHidden/>
          </w:rPr>
          <w:fldChar w:fldCharType="end"/>
        </w:r>
      </w:hyperlink>
    </w:p>
    <w:p w14:paraId="17223D59" w14:textId="72CCB22C"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02" w:history="1">
        <w:r w:rsidRPr="001D5327">
          <w:rPr>
            <w:rStyle w:val="Hyperlink"/>
            <w:noProof/>
          </w:rPr>
          <w:t>Chapter 3: References</w:t>
        </w:r>
        <w:r w:rsidRPr="001D5327">
          <w:rPr>
            <w:noProof/>
            <w:webHidden/>
          </w:rPr>
          <w:tab/>
        </w:r>
        <w:r w:rsidRPr="001D5327">
          <w:rPr>
            <w:noProof/>
            <w:webHidden/>
          </w:rPr>
          <w:fldChar w:fldCharType="begin"/>
        </w:r>
        <w:r w:rsidRPr="001D5327">
          <w:rPr>
            <w:noProof/>
            <w:webHidden/>
          </w:rPr>
          <w:instrText xml:space="preserve"> PAGEREF _Toc194312002 \h </w:instrText>
        </w:r>
        <w:r w:rsidRPr="001D5327">
          <w:rPr>
            <w:noProof/>
            <w:webHidden/>
          </w:rPr>
        </w:r>
        <w:r w:rsidRPr="001D5327">
          <w:rPr>
            <w:noProof/>
            <w:webHidden/>
          </w:rPr>
          <w:fldChar w:fldCharType="separate"/>
        </w:r>
        <w:r w:rsidR="00B93180">
          <w:rPr>
            <w:noProof/>
            <w:webHidden/>
          </w:rPr>
          <w:t>102</w:t>
        </w:r>
        <w:r w:rsidRPr="001D5327">
          <w:rPr>
            <w:noProof/>
            <w:webHidden/>
          </w:rPr>
          <w:fldChar w:fldCharType="end"/>
        </w:r>
      </w:hyperlink>
    </w:p>
    <w:p w14:paraId="17983CB3" w14:textId="66BF2165" w:rsidR="009F49B5" w:rsidRPr="001D5327" w:rsidRDefault="009F49B5">
      <w:pPr>
        <w:pStyle w:val="TOC1"/>
        <w:rPr>
          <w:rFonts w:asciiTheme="minorHAnsi" w:eastAsiaTheme="minorEastAsia" w:hAnsiTheme="minorHAnsi" w:cstheme="minorBidi"/>
          <w:noProof/>
          <w:kern w:val="2"/>
          <w:sz w:val="24"/>
          <w:szCs w:val="24"/>
          <w14:ligatures w14:val="standardContextual"/>
        </w:rPr>
      </w:pPr>
      <w:hyperlink w:anchor="_Toc194312003" w:history="1">
        <w:r w:rsidRPr="001D5327">
          <w:rPr>
            <w:rStyle w:val="Hyperlink"/>
            <w:noProof/>
          </w:rPr>
          <w:t>Chapter 4: Industrial Processes and Product Use (IPPU)</w:t>
        </w:r>
        <w:r w:rsidRPr="001D5327">
          <w:rPr>
            <w:noProof/>
            <w:webHidden/>
          </w:rPr>
          <w:tab/>
        </w:r>
        <w:r w:rsidRPr="001D5327">
          <w:rPr>
            <w:noProof/>
            <w:webHidden/>
          </w:rPr>
          <w:fldChar w:fldCharType="begin"/>
        </w:r>
        <w:r w:rsidRPr="001D5327">
          <w:rPr>
            <w:noProof/>
            <w:webHidden/>
          </w:rPr>
          <w:instrText xml:space="preserve"> PAGEREF _Toc194312003 \h </w:instrText>
        </w:r>
        <w:r w:rsidRPr="001D5327">
          <w:rPr>
            <w:noProof/>
            <w:webHidden/>
          </w:rPr>
        </w:r>
        <w:r w:rsidRPr="001D5327">
          <w:rPr>
            <w:noProof/>
            <w:webHidden/>
          </w:rPr>
          <w:fldChar w:fldCharType="separate"/>
        </w:r>
        <w:r w:rsidR="00B93180">
          <w:rPr>
            <w:noProof/>
            <w:webHidden/>
          </w:rPr>
          <w:t>104</w:t>
        </w:r>
        <w:r w:rsidRPr="001D5327">
          <w:rPr>
            <w:noProof/>
            <w:webHidden/>
          </w:rPr>
          <w:fldChar w:fldCharType="end"/>
        </w:r>
      </w:hyperlink>
    </w:p>
    <w:p w14:paraId="465D6FCD" w14:textId="038EB7A8"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04" w:history="1">
        <w:r w:rsidRPr="001D5327">
          <w:rPr>
            <w:rStyle w:val="Hyperlink"/>
            <w:noProof/>
          </w:rPr>
          <w:t xml:space="preserve">4.1 </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Sector overview</w:t>
        </w:r>
        <w:r w:rsidRPr="001D5327">
          <w:rPr>
            <w:noProof/>
            <w:webHidden/>
          </w:rPr>
          <w:tab/>
        </w:r>
        <w:r w:rsidRPr="001D5327">
          <w:rPr>
            <w:noProof/>
            <w:webHidden/>
          </w:rPr>
          <w:fldChar w:fldCharType="begin"/>
        </w:r>
        <w:r w:rsidRPr="001D5327">
          <w:rPr>
            <w:noProof/>
            <w:webHidden/>
          </w:rPr>
          <w:instrText xml:space="preserve"> PAGEREF _Toc194312004 \h </w:instrText>
        </w:r>
        <w:r w:rsidRPr="001D5327">
          <w:rPr>
            <w:noProof/>
            <w:webHidden/>
          </w:rPr>
        </w:r>
        <w:r w:rsidRPr="001D5327">
          <w:rPr>
            <w:noProof/>
            <w:webHidden/>
          </w:rPr>
          <w:fldChar w:fldCharType="separate"/>
        </w:r>
        <w:r w:rsidR="00B93180">
          <w:rPr>
            <w:noProof/>
            <w:webHidden/>
          </w:rPr>
          <w:t>104</w:t>
        </w:r>
        <w:r w:rsidRPr="001D5327">
          <w:rPr>
            <w:noProof/>
            <w:webHidden/>
          </w:rPr>
          <w:fldChar w:fldCharType="end"/>
        </w:r>
      </w:hyperlink>
    </w:p>
    <w:p w14:paraId="0996DDF9" w14:textId="4A482502"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05" w:history="1">
        <w:r w:rsidRPr="001D5327">
          <w:rPr>
            <w:rStyle w:val="Hyperlink"/>
            <w:noProof/>
          </w:rPr>
          <w:t xml:space="preserve">4.2 </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Mineral industry (2.A)</w:t>
        </w:r>
        <w:r w:rsidRPr="001D5327">
          <w:rPr>
            <w:noProof/>
            <w:webHidden/>
          </w:rPr>
          <w:tab/>
        </w:r>
        <w:r w:rsidRPr="001D5327">
          <w:rPr>
            <w:noProof/>
            <w:webHidden/>
          </w:rPr>
          <w:fldChar w:fldCharType="begin"/>
        </w:r>
        <w:r w:rsidRPr="001D5327">
          <w:rPr>
            <w:noProof/>
            <w:webHidden/>
          </w:rPr>
          <w:instrText xml:space="preserve"> PAGEREF _Toc194312005 \h </w:instrText>
        </w:r>
        <w:r w:rsidRPr="001D5327">
          <w:rPr>
            <w:noProof/>
            <w:webHidden/>
          </w:rPr>
        </w:r>
        <w:r w:rsidRPr="001D5327">
          <w:rPr>
            <w:noProof/>
            <w:webHidden/>
          </w:rPr>
          <w:fldChar w:fldCharType="separate"/>
        </w:r>
        <w:r w:rsidR="00B93180">
          <w:rPr>
            <w:noProof/>
            <w:webHidden/>
          </w:rPr>
          <w:t>110</w:t>
        </w:r>
        <w:r w:rsidRPr="001D5327">
          <w:rPr>
            <w:noProof/>
            <w:webHidden/>
          </w:rPr>
          <w:fldChar w:fldCharType="end"/>
        </w:r>
      </w:hyperlink>
    </w:p>
    <w:p w14:paraId="7BCE4C68" w14:textId="135E0908"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06" w:history="1">
        <w:r w:rsidRPr="001D5327">
          <w:rPr>
            <w:rStyle w:val="Hyperlink"/>
            <w:noProof/>
          </w:rPr>
          <w:t xml:space="preserve">4.3 </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Chemical industry (2.B)</w:t>
        </w:r>
        <w:r w:rsidRPr="001D5327">
          <w:rPr>
            <w:noProof/>
            <w:webHidden/>
          </w:rPr>
          <w:tab/>
        </w:r>
        <w:r w:rsidRPr="001D5327">
          <w:rPr>
            <w:noProof/>
            <w:webHidden/>
          </w:rPr>
          <w:fldChar w:fldCharType="begin"/>
        </w:r>
        <w:r w:rsidRPr="001D5327">
          <w:rPr>
            <w:noProof/>
            <w:webHidden/>
          </w:rPr>
          <w:instrText xml:space="preserve"> PAGEREF _Toc194312006 \h </w:instrText>
        </w:r>
        <w:r w:rsidRPr="001D5327">
          <w:rPr>
            <w:noProof/>
            <w:webHidden/>
          </w:rPr>
        </w:r>
        <w:r w:rsidRPr="001D5327">
          <w:rPr>
            <w:noProof/>
            <w:webHidden/>
          </w:rPr>
          <w:fldChar w:fldCharType="separate"/>
        </w:r>
        <w:r w:rsidR="00B93180">
          <w:rPr>
            <w:noProof/>
            <w:webHidden/>
          </w:rPr>
          <w:t>115</w:t>
        </w:r>
        <w:r w:rsidRPr="001D5327">
          <w:rPr>
            <w:noProof/>
            <w:webHidden/>
          </w:rPr>
          <w:fldChar w:fldCharType="end"/>
        </w:r>
      </w:hyperlink>
    </w:p>
    <w:p w14:paraId="34561F67" w14:textId="59FC66CC"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07" w:history="1">
        <w:r w:rsidRPr="001D5327">
          <w:rPr>
            <w:rStyle w:val="Hyperlink"/>
            <w:noProof/>
          </w:rPr>
          <w:t xml:space="preserve">4.4 </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Metal industry (2.C)</w:t>
        </w:r>
        <w:r w:rsidRPr="001D5327">
          <w:rPr>
            <w:noProof/>
            <w:webHidden/>
          </w:rPr>
          <w:tab/>
        </w:r>
        <w:r w:rsidRPr="001D5327">
          <w:rPr>
            <w:noProof/>
            <w:webHidden/>
          </w:rPr>
          <w:fldChar w:fldCharType="begin"/>
        </w:r>
        <w:r w:rsidRPr="001D5327">
          <w:rPr>
            <w:noProof/>
            <w:webHidden/>
          </w:rPr>
          <w:instrText xml:space="preserve"> PAGEREF _Toc194312007 \h </w:instrText>
        </w:r>
        <w:r w:rsidRPr="001D5327">
          <w:rPr>
            <w:noProof/>
            <w:webHidden/>
          </w:rPr>
        </w:r>
        <w:r w:rsidRPr="001D5327">
          <w:rPr>
            <w:noProof/>
            <w:webHidden/>
          </w:rPr>
          <w:fldChar w:fldCharType="separate"/>
        </w:r>
        <w:r w:rsidR="00B93180">
          <w:rPr>
            <w:noProof/>
            <w:webHidden/>
          </w:rPr>
          <w:t>119</w:t>
        </w:r>
        <w:r w:rsidRPr="001D5327">
          <w:rPr>
            <w:noProof/>
            <w:webHidden/>
          </w:rPr>
          <w:fldChar w:fldCharType="end"/>
        </w:r>
      </w:hyperlink>
    </w:p>
    <w:p w14:paraId="66FF825D" w14:textId="03535C77"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08" w:history="1">
        <w:r w:rsidRPr="001D5327">
          <w:rPr>
            <w:rStyle w:val="Hyperlink"/>
            <w:noProof/>
          </w:rPr>
          <w:t xml:space="preserve">4.5 </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Non-energy products from fuels and solvent use (2.D)</w:t>
        </w:r>
        <w:r w:rsidRPr="001D5327">
          <w:rPr>
            <w:noProof/>
            <w:webHidden/>
          </w:rPr>
          <w:tab/>
        </w:r>
        <w:r w:rsidRPr="001D5327">
          <w:rPr>
            <w:noProof/>
            <w:webHidden/>
          </w:rPr>
          <w:fldChar w:fldCharType="begin"/>
        </w:r>
        <w:r w:rsidRPr="001D5327">
          <w:rPr>
            <w:noProof/>
            <w:webHidden/>
          </w:rPr>
          <w:instrText xml:space="preserve"> PAGEREF _Toc194312008 \h </w:instrText>
        </w:r>
        <w:r w:rsidRPr="001D5327">
          <w:rPr>
            <w:noProof/>
            <w:webHidden/>
          </w:rPr>
        </w:r>
        <w:r w:rsidRPr="001D5327">
          <w:rPr>
            <w:noProof/>
            <w:webHidden/>
          </w:rPr>
          <w:fldChar w:fldCharType="separate"/>
        </w:r>
        <w:r w:rsidR="00B93180">
          <w:rPr>
            <w:noProof/>
            <w:webHidden/>
          </w:rPr>
          <w:t>125</w:t>
        </w:r>
        <w:r w:rsidRPr="001D5327">
          <w:rPr>
            <w:noProof/>
            <w:webHidden/>
          </w:rPr>
          <w:fldChar w:fldCharType="end"/>
        </w:r>
      </w:hyperlink>
    </w:p>
    <w:p w14:paraId="733922B7" w14:textId="4636934D"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09" w:history="1">
        <w:r w:rsidRPr="001D5327">
          <w:rPr>
            <w:rStyle w:val="Hyperlink"/>
            <w:noProof/>
          </w:rPr>
          <w:t xml:space="preserve">4.6 </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Electronics industry (2.E)</w:t>
        </w:r>
        <w:r w:rsidRPr="001D5327">
          <w:rPr>
            <w:noProof/>
            <w:webHidden/>
          </w:rPr>
          <w:tab/>
        </w:r>
        <w:r w:rsidRPr="001D5327">
          <w:rPr>
            <w:noProof/>
            <w:webHidden/>
          </w:rPr>
          <w:fldChar w:fldCharType="begin"/>
        </w:r>
        <w:r w:rsidRPr="001D5327">
          <w:rPr>
            <w:noProof/>
            <w:webHidden/>
          </w:rPr>
          <w:instrText xml:space="preserve"> PAGEREF _Toc194312009 \h </w:instrText>
        </w:r>
        <w:r w:rsidRPr="001D5327">
          <w:rPr>
            <w:noProof/>
            <w:webHidden/>
          </w:rPr>
        </w:r>
        <w:r w:rsidRPr="001D5327">
          <w:rPr>
            <w:noProof/>
            <w:webHidden/>
          </w:rPr>
          <w:fldChar w:fldCharType="separate"/>
        </w:r>
        <w:r w:rsidR="00B93180">
          <w:rPr>
            <w:noProof/>
            <w:webHidden/>
          </w:rPr>
          <w:t>128</w:t>
        </w:r>
        <w:r w:rsidRPr="001D5327">
          <w:rPr>
            <w:noProof/>
            <w:webHidden/>
          </w:rPr>
          <w:fldChar w:fldCharType="end"/>
        </w:r>
      </w:hyperlink>
    </w:p>
    <w:p w14:paraId="71F5CD20" w14:textId="2C6A8498"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10" w:history="1">
        <w:r w:rsidRPr="001D5327">
          <w:rPr>
            <w:rStyle w:val="Hyperlink"/>
            <w:noProof/>
          </w:rPr>
          <w:t xml:space="preserve">4.7 </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Product uses as substitutes for ODS (2.F)</w:t>
        </w:r>
        <w:r w:rsidRPr="001D5327">
          <w:rPr>
            <w:noProof/>
            <w:webHidden/>
          </w:rPr>
          <w:tab/>
        </w:r>
        <w:r w:rsidRPr="001D5327">
          <w:rPr>
            <w:noProof/>
            <w:webHidden/>
          </w:rPr>
          <w:fldChar w:fldCharType="begin"/>
        </w:r>
        <w:r w:rsidRPr="001D5327">
          <w:rPr>
            <w:noProof/>
            <w:webHidden/>
          </w:rPr>
          <w:instrText xml:space="preserve"> PAGEREF _Toc194312010 \h </w:instrText>
        </w:r>
        <w:r w:rsidRPr="001D5327">
          <w:rPr>
            <w:noProof/>
            <w:webHidden/>
          </w:rPr>
        </w:r>
        <w:r w:rsidRPr="001D5327">
          <w:rPr>
            <w:noProof/>
            <w:webHidden/>
          </w:rPr>
          <w:fldChar w:fldCharType="separate"/>
        </w:r>
        <w:r w:rsidR="00B93180">
          <w:rPr>
            <w:noProof/>
            <w:webHidden/>
          </w:rPr>
          <w:t>128</w:t>
        </w:r>
        <w:r w:rsidRPr="001D5327">
          <w:rPr>
            <w:noProof/>
            <w:webHidden/>
          </w:rPr>
          <w:fldChar w:fldCharType="end"/>
        </w:r>
      </w:hyperlink>
    </w:p>
    <w:p w14:paraId="7DCB2E32" w14:textId="3F2D3B6F"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11" w:history="1">
        <w:r w:rsidRPr="001D5327">
          <w:rPr>
            <w:rStyle w:val="Hyperlink"/>
            <w:noProof/>
          </w:rPr>
          <w:t xml:space="preserve">4.8 </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Other product manufacture and use (2.G)</w:t>
        </w:r>
        <w:r w:rsidRPr="001D5327">
          <w:rPr>
            <w:noProof/>
            <w:webHidden/>
          </w:rPr>
          <w:tab/>
        </w:r>
        <w:r w:rsidRPr="001D5327">
          <w:rPr>
            <w:noProof/>
            <w:webHidden/>
          </w:rPr>
          <w:fldChar w:fldCharType="begin"/>
        </w:r>
        <w:r w:rsidRPr="001D5327">
          <w:rPr>
            <w:noProof/>
            <w:webHidden/>
          </w:rPr>
          <w:instrText xml:space="preserve"> PAGEREF _Toc194312011 \h </w:instrText>
        </w:r>
        <w:r w:rsidRPr="001D5327">
          <w:rPr>
            <w:noProof/>
            <w:webHidden/>
          </w:rPr>
        </w:r>
        <w:r w:rsidRPr="001D5327">
          <w:rPr>
            <w:noProof/>
            <w:webHidden/>
          </w:rPr>
          <w:fldChar w:fldCharType="separate"/>
        </w:r>
        <w:r w:rsidR="00B93180">
          <w:rPr>
            <w:noProof/>
            <w:webHidden/>
          </w:rPr>
          <w:t>137</w:t>
        </w:r>
        <w:r w:rsidRPr="001D5327">
          <w:rPr>
            <w:noProof/>
            <w:webHidden/>
          </w:rPr>
          <w:fldChar w:fldCharType="end"/>
        </w:r>
      </w:hyperlink>
    </w:p>
    <w:p w14:paraId="76B831D1" w14:textId="57AB4E4B"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12" w:history="1">
        <w:r w:rsidRPr="001D5327">
          <w:rPr>
            <w:rStyle w:val="Hyperlink"/>
            <w:noProof/>
          </w:rPr>
          <w:t>4.9</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Other (2.H)</w:t>
        </w:r>
        <w:r w:rsidRPr="001D5327">
          <w:rPr>
            <w:noProof/>
            <w:webHidden/>
          </w:rPr>
          <w:tab/>
        </w:r>
        <w:r w:rsidRPr="001D5327">
          <w:rPr>
            <w:noProof/>
            <w:webHidden/>
          </w:rPr>
          <w:fldChar w:fldCharType="begin"/>
        </w:r>
        <w:r w:rsidRPr="001D5327">
          <w:rPr>
            <w:noProof/>
            <w:webHidden/>
          </w:rPr>
          <w:instrText xml:space="preserve"> PAGEREF _Toc194312012 \h </w:instrText>
        </w:r>
        <w:r w:rsidRPr="001D5327">
          <w:rPr>
            <w:noProof/>
            <w:webHidden/>
          </w:rPr>
        </w:r>
        <w:r w:rsidRPr="001D5327">
          <w:rPr>
            <w:noProof/>
            <w:webHidden/>
          </w:rPr>
          <w:fldChar w:fldCharType="separate"/>
        </w:r>
        <w:r w:rsidR="00B93180">
          <w:rPr>
            <w:noProof/>
            <w:webHidden/>
          </w:rPr>
          <w:t>140</w:t>
        </w:r>
        <w:r w:rsidRPr="001D5327">
          <w:rPr>
            <w:noProof/>
            <w:webHidden/>
          </w:rPr>
          <w:fldChar w:fldCharType="end"/>
        </w:r>
      </w:hyperlink>
    </w:p>
    <w:p w14:paraId="135C104C" w14:textId="07B526A2"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13" w:history="1">
        <w:r w:rsidRPr="001D5327">
          <w:rPr>
            <w:rStyle w:val="Hyperlink"/>
            <w:noProof/>
          </w:rPr>
          <w:t>Chapter 4: References</w:t>
        </w:r>
        <w:r w:rsidRPr="001D5327">
          <w:rPr>
            <w:noProof/>
            <w:webHidden/>
          </w:rPr>
          <w:tab/>
        </w:r>
        <w:r w:rsidRPr="001D5327">
          <w:rPr>
            <w:noProof/>
            <w:webHidden/>
          </w:rPr>
          <w:fldChar w:fldCharType="begin"/>
        </w:r>
        <w:r w:rsidRPr="001D5327">
          <w:rPr>
            <w:noProof/>
            <w:webHidden/>
          </w:rPr>
          <w:instrText xml:space="preserve"> PAGEREF _Toc194312013 \h </w:instrText>
        </w:r>
        <w:r w:rsidRPr="001D5327">
          <w:rPr>
            <w:noProof/>
            <w:webHidden/>
          </w:rPr>
        </w:r>
        <w:r w:rsidRPr="001D5327">
          <w:rPr>
            <w:noProof/>
            <w:webHidden/>
          </w:rPr>
          <w:fldChar w:fldCharType="separate"/>
        </w:r>
        <w:r w:rsidR="00B93180">
          <w:rPr>
            <w:noProof/>
            <w:webHidden/>
          </w:rPr>
          <w:t>142</w:t>
        </w:r>
        <w:r w:rsidRPr="001D5327">
          <w:rPr>
            <w:noProof/>
            <w:webHidden/>
          </w:rPr>
          <w:fldChar w:fldCharType="end"/>
        </w:r>
      </w:hyperlink>
    </w:p>
    <w:p w14:paraId="4DE9E057" w14:textId="1704662D" w:rsidR="009F49B5" w:rsidRPr="001D5327" w:rsidRDefault="009F49B5">
      <w:pPr>
        <w:pStyle w:val="TOC1"/>
        <w:rPr>
          <w:rFonts w:asciiTheme="minorHAnsi" w:eastAsiaTheme="minorEastAsia" w:hAnsiTheme="minorHAnsi" w:cstheme="minorBidi"/>
          <w:noProof/>
          <w:kern w:val="2"/>
          <w:sz w:val="24"/>
          <w:szCs w:val="24"/>
          <w14:ligatures w14:val="standardContextual"/>
        </w:rPr>
      </w:pPr>
      <w:hyperlink w:anchor="_Toc194312014" w:history="1">
        <w:r w:rsidRPr="001D5327">
          <w:rPr>
            <w:rStyle w:val="Hyperlink"/>
            <w:noProof/>
          </w:rPr>
          <w:t>Chapter 5: Agriculture</w:t>
        </w:r>
        <w:r w:rsidRPr="001D5327">
          <w:rPr>
            <w:noProof/>
            <w:webHidden/>
          </w:rPr>
          <w:tab/>
        </w:r>
        <w:r w:rsidRPr="001D5327">
          <w:rPr>
            <w:noProof/>
            <w:webHidden/>
          </w:rPr>
          <w:fldChar w:fldCharType="begin"/>
        </w:r>
        <w:r w:rsidRPr="001D5327">
          <w:rPr>
            <w:noProof/>
            <w:webHidden/>
          </w:rPr>
          <w:instrText xml:space="preserve"> PAGEREF _Toc194312014 \h </w:instrText>
        </w:r>
        <w:r w:rsidRPr="001D5327">
          <w:rPr>
            <w:noProof/>
            <w:webHidden/>
          </w:rPr>
        </w:r>
        <w:r w:rsidRPr="001D5327">
          <w:rPr>
            <w:noProof/>
            <w:webHidden/>
          </w:rPr>
          <w:fldChar w:fldCharType="separate"/>
        </w:r>
        <w:r w:rsidR="00B93180">
          <w:rPr>
            <w:noProof/>
            <w:webHidden/>
          </w:rPr>
          <w:t>143</w:t>
        </w:r>
        <w:r w:rsidRPr="001D5327">
          <w:rPr>
            <w:noProof/>
            <w:webHidden/>
          </w:rPr>
          <w:fldChar w:fldCharType="end"/>
        </w:r>
      </w:hyperlink>
    </w:p>
    <w:p w14:paraId="2050544E" w14:textId="413482C5"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15" w:history="1">
        <w:r w:rsidRPr="001D5327">
          <w:rPr>
            <w:rStyle w:val="Hyperlink"/>
            <w:noProof/>
          </w:rPr>
          <w:t xml:space="preserve">5.1 </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Sector overview</w:t>
        </w:r>
        <w:r w:rsidRPr="001D5327">
          <w:rPr>
            <w:noProof/>
            <w:webHidden/>
          </w:rPr>
          <w:tab/>
        </w:r>
        <w:r w:rsidRPr="001D5327">
          <w:rPr>
            <w:noProof/>
            <w:webHidden/>
          </w:rPr>
          <w:fldChar w:fldCharType="begin"/>
        </w:r>
        <w:r w:rsidRPr="001D5327">
          <w:rPr>
            <w:noProof/>
            <w:webHidden/>
          </w:rPr>
          <w:instrText xml:space="preserve"> PAGEREF _Toc194312015 \h </w:instrText>
        </w:r>
        <w:r w:rsidRPr="001D5327">
          <w:rPr>
            <w:noProof/>
            <w:webHidden/>
          </w:rPr>
        </w:r>
        <w:r w:rsidRPr="001D5327">
          <w:rPr>
            <w:noProof/>
            <w:webHidden/>
          </w:rPr>
          <w:fldChar w:fldCharType="separate"/>
        </w:r>
        <w:r w:rsidR="00B93180">
          <w:rPr>
            <w:noProof/>
            <w:webHidden/>
          </w:rPr>
          <w:t>143</w:t>
        </w:r>
        <w:r w:rsidRPr="001D5327">
          <w:rPr>
            <w:noProof/>
            <w:webHidden/>
          </w:rPr>
          <w:fldChar w:fldCharType="end"/>
        </w:r>
      </w:hyperlink>
    </w:p>
    <w:p w14:paraId="44BF00FD" w14:textId="392DACAD"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16" w:history="1">
        <w:r w:rsidRPr="001D5327">
          <w:rPr>
            <w:rStyle w:val="Hyperlink"/>
            <w:noProof/>
          </w:rPr>
          <w:t>5.2</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Enteric fermentation (3.A)</w:t>
        </w:r>
        <w:r w:rsidRPr="001D5327">
          <w:rPr>
            <w:noProof/>
            <w:webHidden/>
          </w:rPr>
          <w:tab/>
        </w:r>
        <w:r w:rsidRPr="001D5327">
          <w:rPr>
            <w:noProof/>
            <w:webHidden/>
          </w:rPr>
          <w:fldChar w:fldCharType="begin"/>
        </w:r>
        <w:r w:rsidRPr="001D5327">
          <w:rPr>
            <w:noProof/>
            <w:webHidden/>
          </w:rPr>
          <w:instrText xml:space="preserve"> PAGEREF _Toc194312016 \h </w:instrText>
        </w:r>
        <w:r w:rsidRPr="001D5327">
          <w:rPr>
            <w:noProof/>
            <w:webHidden/>
          </w:rPr>
        </w:r>
        <w:r w:rsidRPr="001D5327">
          <w:rPr>
            <w:noProof/>
            <w:webHidden/>
          </w:rPr>
          <w:fldChar w:fldCharType="separate"/>
        </w:r>
        <w:r w:rsidR="00B93180">
          <w:rPr>
            <w:noProof/>
            <w:webHidden/>
          </w:rPr>
          <w:t>167</w:t>
        </w:r>
        <w:r w:rsidRPr="001D5327">
          <w:rPr>
            <w:noProof/>
            <w:webHidden/>
          </w:rPr>
          <w:fldChar w:fldCharType="end"/>
        </w:r>
      </w:hyperlink>
    </w:p>
    <w:p w14:paraId="6E95BCC7" w14:textId="29CCB35F"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17" w:history="1">
        <w:r w:rsidRPr="001D5327">
          <w:rPr>
            <w:rStyle w:val="Hyperlink"/>
            <w:noProof/>
          </w:rPr>
          <w:t>5.3</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Manure management (3.B)</w:t>
        </w:r>
        <w:r w:rsidRPr="001D5327">
          <w:rPr>
            <w:noProof/>
            <w:webHidden/>
          </w:rPr>
          <w:tab/>
        </w:r>
        <w:r w:rsidRPr="001D5327">
          <w:rPr>
            <w:noProof/>
            <w:webHidden/>
          </w:rPr>
          <w:fldChar w:fldCharType="begin"/>
        </w:r>
        <w:r w:rsidRPr="001D5327">
          <w:rPr>
            <w:noProof/>
            <w:webHidden/>
          </w:rPr>
          <w:instrText xml:space="preserve"> PAGEREF _Toc194312017 \h </w:instrText>
        </w:r>
        <w:r w:rsidRPr="001D5327">
          <w:rPr>
            <w:noProof/>
            <w:webHidden/>
          </w:rPr>
        </w:r>
        <w:r w:rsidRPr="001D5327">
          <w:rPr>
            <w:noProof/>
            <w:webHidden/>
          </w:rPr>
          <w:fldChar w:fldCharType="separate"/>
        </w:r>
        <w:r w:rsidR="00B93180">
          <w:rPr>
            <w:noProof/>
            <w:webHidden/>
          </w:rPr>
          <w:t>181</w:t>
        </w:r>
        <w:r w:rsidRPr="001D5327">
          <w:rPr>
            <w:noProof/>
            <w:webHidden/>
          </w:rPr>
          <w:fldChar w:fldCharType="end"/>
        </w:r>
      </w:hyperlink>
    </w:p>
    <w:p w14:paraId="01781A74" w14:textId="74D33CDE"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18" w:history="1">
        <w:r w:rsidRPr="001D5327">
          <w:rPr>
            <w:rStyle w:val="Hyperlink"/>
            <w:noProof/>
          </w:rPr>
          <w:t>5.4</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Rice cultivation (3.C)</w:t>
        </w:r>
        <w:r w:rsidRPr="001D5327">
          <w:rPr>
            <w:noProof/>
            <w:webHidden/>
          </w:rPr>
          <w:tab/>
        </w:r>
        <w:r w:rsidRPr="001D5327">
          <w:rPr>
            <w:noProof/>
            <w:webHidden/>
          </w:rPr>
          <w:fldChar w:fldCharType="begin"/>
        </w:r>
        <w:r w:rsidRPr="001D5327">
          <w:rPr>
            <w:noProof/>
            <w:webHidden/>
          </w:rPr>
          <w:instrText xml:space="preserve"> PAGEREF _Toc194312018 \h </w:instrText>
        </w:r>
        <w:r w:rsidRPr="001D5327">
          <w:rPr>
            <w:noProof/>
            <w:webHidden/>
          </w:rPr>
        </w:r>
        <w:r w:rsidRPr="001D5327">
          <w:rPr>
            <w:noProof/>
            <w:webHidden/>
          </w:rPr>
          <w:fldChar w:fldCharType="separate"/>
        </w:r>
        <w:r w:rsidR="00B93180">
          <w:rPr>
            <w:noProof/>
            <w:webHidden/>
          </w:rPr>
          <w:t>196</w:t>
        </w:r>
        <w:r w:rsidRPr="001D5327">
          <w:rPr>
            <w:noProof/>
            <w:webHidden/>
          </w:rPr>
          <w:fldChar w:fldCharType="end"/>
        </w:r>
      </w:hyperlink>
    </w:p>
    <w:p w14:paraId="779B86DD" w14:textId="4B0943A1"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19" w:history="1">
        <w:r w:rsidRPr="001D5327">
          <w:rPr>
            <w:rStyle w:val="Hyperlink"/>
            <w:noProof/>
          </w:rPr>
          <w:t>5.5</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Agricultural soils (3.D)</w:t>
        </w:r>
        <w:r w:rsidRPr="001D5327">
          <w:rPr>
            <w:noProof/>
            <w:webHidden/>
          </w:rPr>
          <w:tab/>
        </w:r>
        <w:r w:rsidRPr="001D5327">
          <w:rPr>
            <w:noProof/>
            <w:webHidden/>
          </w:rPr>
          <w:fldChar w:fldCharType="begin"/>
        </w:r>
        <w:r w:rsidRPr="001D5327">
          <w:rPr>
            <w:noProof/>
            <w:webHidden/>
          </w:rPr>
          <w:instrText xml:space="preserve"> PAGEREF _Toc194312019 \h </w:instrText>
        </w:r>
        <w:r w:rsidRPr="001D5327">
          <w:rPr>
            <w:noProof/>
            <w:webHidden/>
          </w:rPr>
        </w:r>
        <w:r w:rsidRPr="001D5327">
          <w:rPr>
            <w:noProof/>
            <w:webHidden/>
          </w:rPr>
          <w:fldChar w:fldCharType="separate"/>
        </w:r>
        <w:r w:rsidR="00B93180">
          <w:rPr>
            <w:noProof/>
            <w:webHidden/>
          </w:rPr>
          <w:t>196</w:t>
        </w:r>
        <w:r w:rsidRPr="001D5327">
          <w:rPr>
            <w:noProof/>
            <w:webHidden/>
          </w:rPr>
          <w:fldChar w:fldCharType="end"/>
        </w:r>
      </w:hyperlink>
    </w:p>
    <w:p w14:paraId="2491CB5E" w14:textId="34E1D859"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20" w:history="1">
        <w:r w:rsidRPr="001D5327">
          <w:rPr>
            <w:rStyle w:val="Hyperlink"/>
            <w:bCs/>
            <w:noProof/>
          </w:rPr>
          <w:t>5.6</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Prescribed burning of savanna (3.E)</w:t>
        </w:r>
        <w:r w:rsidRPr="001D5327">
          <w:rPr>
            <w:noProof/>
            <w:webHidden/>
          </w:rPr>
          <w:tab/>
        </w:r>
        <w:r w:rsidRPr="001D5327">
          <w:rPr>
            <w:noProof/>
            <w:webHidden/>
          </w:rPr>
          <w:fldChar w:fldCharType="begin"/>
        </w:r>
        <w:r w:rsidRPr="001D5327">
          <w:rPr>
            <w:noProof/>
            <w:webHidden/>
          </w:rPr>
          <w:instrText xml:space="preserve"> PAGEREF _Toc194312020 \h </w:instrText>
        </w:r>
        <w:r w:rsidRPr="001D5327">
          <w:rPr>
            <w:noProof/>
            <w:webHidden/>
          </w:rPr>
        </w:r>
        <w:r w:rsidRPr="001D5327">
          <w:rPr>
            <w:noProof/>
            <w:webHidden/>
          </w:rPr>
          <w:fldChar w:fldCharType="separate"/>
        </w:r>
        <w:r w:rsidR="00B93180">
          <w:rPr>
            <w:noProof/>
            <w:webHidden/>
          </w:rPr>
          <w:t>224</w:t>
        </w:r>
        <w:r w:rsidRPr="001D5327">
          <w:rPr>
            <w:noProof/>
            <w:webHidden/>
          </w:rPr>
          <w:fldChar w:fldCharType="end"/>
        </w:r>
      </w:hyperlink>
    </w:p>
    <w:p w14:paraId="08339691" w14:textId="40B24F75"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21" w:history="1">
        <w:r w:rsidRPr="001D5327">
          <w:rPr>
            <w:rStyle w:val="Hyperlink"/>
            <w:noProof/>
          </w:rPr>
          <w:t>5.7</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Field burning of agricultural residues (3.F)</w:t>
        </w:r>
        <w:r w:rsidRPr="001D5327">
          <w:rPr>
            <w:noProof/>
            <w:webHidden/>
          </w:rPr>
          <w:tab/>
        </w:r>
        <w:r w:rsidRPr="001D5327">
          <w:rPr>
            <w:noProof/>
            <w:webHidden/>
          </w:rPr>
          <w:fldChar w:fldCharType="begin"/>
        </w:r>
        <w:r w:rsidRPr="001D5327">
          <w:rPr>
            <w:noProof/>
            <w:webHidden/>
          </w:rPr>
          <w:instrText xml:space="preserve"> PAGEREF _Toc194312021 \h </w:instrText>
        </w:r>
        <w:r w:rsidRPr="001D5327">
          <w:rPr>
            <w:noProof/>
            <w:webHidden/>
          </w:rPr>
        </w:r>
        <w:r w:rsidRPr="001D5327">
          <w:rPr>
            <w:noProof/>
            <w:webHidden/>
          </w:rPr>
          <w:fldChar w:fldCharType="separate"/>
        </w:r>
        <w:r w:rsidR="00B93180">
          <w:rPr>
            <w:noProof/>
            <w:webHidden/>
          </w:rPr>
          <w:t>224</w:t>
        </w:r>
        <w:r w:rsidRPr="001D5327">
          <w:rPr>
            <w:noProof/>
            <w:webHidden/>
          </w:rPr>
          <w:fldChar w:fldCharType="end"/>
        </w:r>
      </w:hyperlink>
    </w:p>
    <w:p w14:paraId="3E23DBBE" w14:textId="59F137E8"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22" w:history="1">
        <w:r w:rsidRPr="001D5327">
          <w:rPr>
            <w:rStyle w:val="Hyperlink"/>
            <w:noProof/>
          </w:rPr>
          <w:t>5.8</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Liming (3.G)</w:t>
        </w:r>
        <w:r w:rsidRPr="001D5327">
          <w:rPr>
            <w:noProof/>
            <w:webHidden/>
          </w:rPr>
          <w:tab/>
        </w:r>
        <w:r w:rsidRPr="001D5327">
          <w:rPr>
            <w:noProof/>
            <w:webHidden/>
          </w:rPr>
          <w:fldChar w:fldCharType="begin"/>
        </w:r>
        <w:r w:rsidRPr="001D5327">
          <w:rPr>
            <w:noProof/>
            <w:webHidden/>
          </w:rPr>
          <w:instrText xml:space="preserve"> PAGEREF _Toc194312022 \h </w:instrText>
        </w:r>
        <w:r w:rsidRPr="001D5327">
          <w:rPr>
            <w:noProof/>
            <w:webHidden/>
          </w:rPr>
        </w:r>
        <w:r w:rsidRPr="001D5327">
          <w:rPr>
            <w:noProof/>
            <w:webHidden/>
          </w:rPr>
          <w:fldChar w:fldCharType="separate"/>
        </w:r>
        <w:r w:rsidR="00B93180">
          <w:rPr>
            <w:noProof/>
            <w:webHidden/>
          </w:rPr>
          <w:t>228</w:t>
        </w:r>
        <w:r w:rsidRPr="001D5327">
          <w:rPr>
            <w:noProof/>
            <w:webHidden/>
          </w:rPr>
          <w:fldChar w:fldCharType="end"/>
        </w:r>
      </w:hyperlink>
    </w:p>
    <w:p w14:paraId="00B1E22B" w14:textId="4A3B6726"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23" w:history="1">
        <w:r w:rsidRPr="001D5327">
          <w:rPr>
            <w:rStyle w:val="Hyperlink"/>
            <w:noProof/>
          </w:rPr>
          <w:t>5.9</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Urea application (3.H)</w:t>
        </w:r>
        <w:r w:rsidRPr="001D5327">
          <w:rPr>
            <w:noProof/>
            <w:webHidden/>
          </w:rPr>
          <w:tab/>
        </w:r>
        <w:r w:rsidRPr="001D5327">
          <w:rPr>
            <w:noProof/>
            <w:webHidden/>
          </w:rPr>
          <w:fldChar w:fldCharType="begin"/>
        </w:r>
        <w:r w:rsidRPr="001D5327">
          <w:rPr>
            <w:noProof/>
            <w:webHidden/>
          </w:rPr>
          <w:instrText xml:space="preserve"> PAGEREF _Toc194312023 \h </w:instrText>
        </w:r>
        <w:r w:rsidRPr="001D5327">
          <w:rPr>
            <w:noProof/>
            <w:webHidden/>
          </w:rPr>
        </w:r>
        <w:r w:rsidRPr="001D5327">
          <w:rPr>
            <w:noProof/>
            <w:webHidden/>
          </w:rPr>
          <w:fldChar w:fldCharType="separate"/>
        </w:r>
        <w:r w:rsidR="00B93180">
          <w:rPr>
            <w:noProof/>
            <w:webHidden/>
          </w:rPr>
          <w:t>230</w:t>
        </w:r>
        <w:r w:rsidRPr="001D5327">
          <w:rPr>
            <w:noProof/>
            <w:webHidden/>
          </w:rPr>
          <w:fldChar w:fldCharType="end"/>
        </w:r>
      </w:hyperlink>
    </w:p>
    <w:p w14:paraId="433E2C71" w14:textId="2E4708B6"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24" w:history="1">
        <w:r w:rsidRPr="001D5327">
          <w:rPr>
            <w:rStyle w:val="Hyperlink"/>
            <w:noProof/>
          </w:rPr>
          <w:t xml:space="preserve">5.10 </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Other carbon-containing fertilisers (3.I)</w:t>
        </w:r>
        <w:r w:rsidRPr="001D5327">
          <w:rPr>
            <w:noProof/>
            <w:webHidden/>
          </w:rPr>
          <w:tab/>
        </w:r>
        <w:r w:rsidRPr="001D5327">
          <w:rPr>
            <w:noProof/>
            <w:webHidden/>
          </w:rPr>
          <w:fldChar w:fldCharType="begin"/>
        </w:r>
        <w:r w:rsidRPr="001D5327">
          <w:rPr>
            <w:noProof/>
            <w:webHidden/>
          </w:rPr>
          <w:instrText xml:space="preserve"> PAGEREF _Toc194312024 \h </w:instrText>
        </w:r>
        <w:r w:rsidRPr="001D5327">
          <w:rPr>
            <w:noProof/>
            <w:webHidden/>
          </w:rPr>
        </w:r>
        <w:r w:rsidRPr="001D5327">
          <w:rPr>
            <w:noProof/>
            <w:webHidden/>
          </w:rPr>
          <w:fldChar w:fldCharType="separate"/>
        </w:r>
        <w:r w:rsidR="00B93180">
          <w:rPr>
            <w:noProof/>
            <w:webHidden/>
          </w:rPr>
          <w:t>232</w:t>
        </w:r>
        <w:r w:rsidRPr="001D5327">
          <w:rPr>
            <w:noProof/>
            <w:webHidden/>
          </w:rPr>
          <w:fldChar w:fldCharType="end"/>
        </w:r>
      </w:hyperlink>
    </w:p>
    <w:p w14:paraId="433BB3F5" w14:textId="27A8263E"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25" w:history="1">
        <w:r w:rsidRPr="001D5327">
          <w:rPr>
            <w:rStyle w:val="Hyperlink"/>
            <w:noProof/>
          </w:rPr>
          <w:t>Chapter 5: References</w:t>
        </w:r>
        <w:r w:rsidRPr="001D5327">
          <w:rPr>
            <w:noProof/>
            <w:webHidden/>
          </w:rPr>
          <w:tab/>
        </w:r>
        <w:r w:rsidRPr="001D5327">
          <w:rPr>
            <w:noProof/>
            <w:webHidden/>
          </w:rPr>
          <w:fldChar w:fldCharType="begin"/>
        </w:r>
        <w:r w:rsidRPr="001D5327">
          <w:rPr>
            <w:noProof/>
            <w:webHidden/>
          </w:rPr>
          <w:instrText xml:space="preserve"> PAGEREF _Toc194312025 \h </w:instrText>
        </w:r>
        <w:r w:rsidRPr="001D5327">
          <w:rPr>
            <w:noProof/>
            <w:webHidden/>
          </w:rPr>
        </w:r>
        <w:r w:rsidRPr="001D5327">
          <w:rPr>
            <w:noProof/>
            <w:webHidden/>
          </w:rPr>
          <w:fldChar w:fldCharType="separate"/>
        </w:r>
        <w:r w:rsidR="00B93180">
          <w:rPr>
            <w:noProof/>
            <w:webHidden/>
          </w:rPr>
          <w:t>233</w:t>
        </w:r>
        <w:r w:rsidRPr="001D5327">
          <w:rPr>
            <w:noProof/>
            <w:webHidden/>
          </w:rPr>
          <w:fldChar w:fldCharType="end"/>
        </w:r>
      </w:hyperlink>
    </w:p>
    <w:p w14:paraId="64739931" w14:textId="5C862BF9" w:rsidR="009F49B5" w:rsidRPr="001D5327" w:rsidRDefault="009F49B5">
      <w:pPr>
        <w:pStyle w:val="TOC1"/>
        <w:rPr>
          <w:rFonts w:asciiTheme="minorHAnsi" w:eastAsiaTheme="minorEastAsia" w:hAnsiTheme="minorHAnsi" w:cstheme="minorBidi"/>
          <w:noProof/>
          <w:kern w:val="2"/>
          <w:sz w:val="24"/>
          <w:szCs w:val="24"/>
          <w14:ligatures w14:val="standardContextual"/>
        </w:rPr>
      </w:pPr>
      <w:hyperlink w:anchor="_Toc194312026" w:history="1">
        <w:r w:rsidRPr="001D5327">
          <w:rPr>
            <w:rStyle w:val="Hyperlink"/>
            <w:noProof/>
          </w:rPr>
          <w:t>Chapter 6: Land Use, Land-Use Change and Forestry (LULUCF)</w:t>
        </w:r>
        <w:r w:rsidRPr="001D5327">
          <w:rPr>
            <w:noProof/>
            <w:webHidden/>
          </w:rPr>
          <w:tab/>
        </w:r>
        <w:r w:rsidRPr="001D5327">
          <w:rPr>
            <w:noProof/>
            <w:webHidden/>
          </w:rPr>
          <w:fldChar w:fldCharType="begin"/>
        </w:r>
        <w:r w:rsidRPr="001D5327">
          <w:rPr>
            <w:noProof/>
            <w:webHidden/>
          </w:rPr>
          <w:instrText xml:space="preserve"> PAGEREF _Toc194312026 \h </w:instrText>
        </w:r>
        <w:r w:rsidRPr="001D5327">
          <w:rPr>
            <w:noProof/>
            <w:webHidden/>
          </w:rPr>
        </w:r>
        <w:r w:rsidRPr="001D5327">
          <w:rPr>
            <w:noProof/>
            <w:webHidden/>
          </w:rPr>
          <w:fldChar w:fldCharType="separate"/>
        </w:r>
        <w:r w:rsidR="00B93180">
          <w:rPr>
            <w:noProof/>
            <w:webHidden/>
          </w:rPr>
          <w:t>240</w:t>
        </w:r>
        <w:r w:rsidRPr="001D5327">
          <w:rPr>
            <w:noProof/>
            <w:webHidden/>
          </w:rPr>
          <w:fldChar w:fldCharType="end"/>
        </w:r>
      </w:hyperlink>
    </w:p>
    <w:p w14:paraId="41C8C8D0" w14:textId="39111E59"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27" w:history="1">
        <w:r w:rsidRPr="001D5327">
          <w:rPr>
            <w:rStyle w:val="Hyperlink"/>
            <w:noProof/>
          </w:rPr>
          <w:t>6.1</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Sector overview</w:t>
        </w:r>
        <w:r w:rsidRPr="001D5327">
          <w:rPr>
            <w:noProof/>
            <w:webHidden/>
          </w:rPr>
          <w:tab/>
        </w:r>
        <w:r w:rsidRPr="001D5327">
          <w:rPr>
            <w:noProof/>
            <w:webHidden/>
          </w:rPr>
          <w:fldChar w:fldCharType="begin"/>
        </w:r>
        <w:r w:rsidRPr="001D5327">
          <w:rPr>
            <w:noProof/>
            <w:webHidden/>
          </w:rPr>
          <w:instrText xml:space="preserve"> PAGEREF _Toc194312027 \h </w:instrText>
        </w:r>
        <w:r w:rsidRPr="001D5327">
          <w:rPr>
            <w:noProof/>
            <w:webHidden/>
          </w:rPr>
        </w:r>
        <w:r w:rsidRPr="001D5327">
          <w:rPr>
            <w:noProof/>
            <w:webHidden/>
          </w:rPr>
          <w:fldChar w:fldCharType="separate"/>
        </w:r>
        <w:r w:rsidR="00B93180">
          <w:rPr>
            <w:noProof/>
            <w:webHidden/>
          </w:rPr>
          <w:t>240</w:t>
        </w:r>
        <w:r w:rsidRPr="001D5327">
          <w:rPr>
            <w:noProof/>
            <w:webHidden/>
          </w:rPr>
          <w:fldChar w:fldCharType="end"/>
        </w:r>
      </w:hyperlink>
    </w:p>
    <w:p w14:paraId="4ECCAF80" w14:textId="291135E2"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28" w:history="1">
        <w:r w:rsidRPr="001D5327">
          <w:rPr>
            <w:rStyle w:val="Hyperlink"/>
            <w:noProof/>
          </w:rPr>
          <w:t>6.2</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shd w:val="clear" w:color="auto" w:fill="FFFFFF"/>
          </w:rPr>
          <w:t>Land use definitions and the land representation approach(es) used and their correspondence to the land use, land-use change and forestry categories</w:t>
        </w:r>
        <w:r w:rsidRPr="001D5327">
          <w:rPr>
            <w:noProof/>
            <w:webHidden/>
          </w:rPr>
          <w:tab/>
        </w:r>
        <w:r w:rsidRPr="001D5327">
          <w:rPr>
            <w:noProof/>
            <w:webHidden/>
          </w:rPr>
          <w:fldChar w:fldCharType="begin"/>
        </w:r>
        <w:r w:rsidRPr="001D5327">
          <w:rPr>
            <w:noProof/>
            <w:webHidden/>
          </w:rPr>
          <w:instrText xml:space="preserve"> PAGEREF _Toc194312028 \h </w:instrText>
        </w:r>
        <w:r w:rsidRPr="001D5327">
          <w:rPr>
            <w:noProof/>
            <w:webHidden/>
          </w:rPr>
        </w:r>
        <w:r w:rsidRPr="001D5327">
          <w:rPr>
            <w:noProof/>
            <w:webHidden/>
          </w:rPr>
          <w:fldChar w:fldCharType="separate"/>
        </w:r>
        <w:r w:rsidR="00B93180">
          <w:rPr>
            <w:noProof/>
            <w:webHidden/>
          </w:rPr>
          <w:t>250</w:t>
        </w:r>
        <w:r w:rsidRPr="001D5327">
          <w:rPr>
            <w:noProof/>
            <w:webHidden/>
          </w:rPr>
          <w:fldChar w:fldCharType="end"/>
        </w:r>
      </w:hyperlink>
    </w:p>
    <w:p w14:paraId="1D759679" w14:textId="66D79427"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29" w:history="1">
        <w:r w:rsidRPr="001D5327">
          <w:rPr>
            <w:rStyle w:val="Hyperlink"/>
            <w:noProof/>
          </w:rPr>
          <w:t>6.3</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Country-specific approaches</w:t>
        </w:r>
        <w:r w:rsidRPr="001D5327">
          <w:rPr>
            <w:noProof/>
            <w:webHidden/>
          </w:rPr>
          <w:tab/>
        </w:r>
        <w:r w:rsidRPr="001D5327">
          <w:rPr>
            <w:noProof/>
            <w:webHidden/>
          </w:rPr>
          <w:fldChar w:fldCharType="begin"/>
        </w:r>
        <w:r w:rsidRPr="001D5327">
          <w:rPr>
            <w:noProof/>
            <w:webHidden/>
          </w:rPr>
          <w:instrText xml:space="preserve"> PAGEREF _Toc194312029 \h </w:instrText>
        </w:r>
        <w:r w:rsidRPr="001D5327">
          <w:rPr>
            <w:noProof/>
            <w:webHidden/>
          </w:rPr>
        </w:r>
        <w:r w:rsidRPr="001D5327">
          <w:rPr>
            <w:noProof/>
            <w:webHidden/>
          </w:rPr>
          <w:fldChar w:fldCharType="separate"/>
        </w:r>
        <w:r w:rsidR="00B93180">
          <w:rPr>
            <w:noProof/>
            <w:webHidden/>
          </w:rPr>
          <w:t>254</w:t>
        </w:r>
        <w:r w:rsidRPr="001D5327">
          <w:rPr>
            <w:noProof/>
            <w:webHidden/>
          </w:rPr>
          <w:fldChar w:fldCharType="end"/>
        </w:r>
      </w:hyperlink>
    </w:p>
    <w:p w14:paraId="431A52AF" w14:textId="0EFE0C09"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30" w:history="1">
        <w:r w:rsidRPr="001D5327">
          <w:rPr>
            <w:rStyle w:val="Hyperlink"/>
            <w:noProof/>
          </w:rPr>
          <w:t>6.4</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Forest land (4A)</w:t>
        </w:r>
        <w:r w:rsidRPr="001D5327">
          <w:rPr>
            <w:noProof/>
            <w:webHidden/>
          </w:rPr>
          <w:tab/>
        </w:r>
        <w:r w:rsidRPr="001D5327">
          <w:rPr>
            <w:noProof/>
            <w:webHidden/>
          </w:rPr>
          <w:fldChar w:fldCharType="begin"/>
        </w:r>
        <w:r w:rsidRPr="001D5327">
          <w:rPr>
            <w:noProof/>
            <w:webHidden/>
          </w:rPr>
          <w:instrText xml:space="preserve"> PAGEREF _Toc194312030 \h </w:instrText>
        </w:r>
        <w:r w:rsidRPr="001D5327">
          <w:rPr>
            <w:noProof/>
            <w:webHidden/>
          </w:rPr>
        </w:r>
        <w:r w:rsidRPr="001D5327">
          <w:rPr>
            <w:noProof/>
            <w:webHidden/>
          </w:rPr>
          <w:fldChar w:fldCharType="separate"/>
        </w:r>
        <w:r w:rsidR="00B93180">
          <w:rPr>
            <w:noProof/>
            <w:webHidden/>
          </w:rPr>
          <w:t>256</w:t>
        </w:r>
        <w:r w:rsidRPr="001D5327">
          <w:rPr>
            <w:noProof/>
            <w:webHidden/>
          </w:rPr>
          <w:fldChar w:fldCharType="end"/>
        </w:r>
      </w:hyperlink>
    </w:p>
    <w:p w14:paraId="63E2DC4A" w14:textId="4C4B4579"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31" w:history="1">
        <w:r w:rsidRPr="001D5327">
          <w:rPr>
            <w:rStyle w:val="Hyperlink"/>
            <w:noProof/>
          </w:rPr>
          <w:t>6.5</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Cropland (4B)</w:t>
        </w:r>
        <w:r w:rsidRPr="001D5327">
          <w:rPr>
            <w:noProof/>
            <w:webHidden/>
          </w:rPr>
          <w:tab/>
        </w:r>
        <w:r w:rsidRPr="001D5327">
          <w:rPr>
            <w:noProof/>
            <w:webHidden/>
          </w:rPr>
          <w:fldChar w:fldCharType="begin"/>
        </w:r>
        <w:r w:rsidRPr="001D5327">
          <w:rPr>
            <w:noProof/>
            <w:webHidden/>
          </w:rPr>
          <w:instrText xml:space="preserve"> PAGEREF _Toc194312031 \h </w:instrText>
        </w:r>
        <w:r w:rsidRPr="001D5327">
          <w:rPr>
            <w:noProof/>
            <w:webHidden/>
          </w:rPr>
        </w:r>
        <w:r w:rsidRPr="001D5327">
          <w:rPr>
            <w:noProof/>
            <w:webHidden/>
          </w:rPr>
          <w:fldChar w:fldCharType="separate"/>
        </w:r>
        <w:r w:rsidR="00B93180">
          <w:rPr>
            <w:noProof/>
            <w:webHidden/>
          </w:rPr>
          <w:t>271</w:t>
        </w:r>
        <w:r w:rsidRPr="001D5327">
          <w:rPr>
            <w:noProof/>
            <w:webHidden/>
          </w:rPr>
          <w:fldChar w:fldCharType="end"/>
        </w:r>
      </w:hyperlink>
    </w:p>
    <w:p w14:paraId="1129DF1F" w14:textId="04736BDE"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32" w:history="1">
        <w:r w:rsidRPr="001D5327">
          <w:rPr>
            <w:rStyle w:val="Hyperlink"/>
            <w:noProof/>
          </w:rPr>
          <w:t>6.6</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Grassland (4C)</w:t>
        </w:r>
        <w:r w:rsidRPr="001D5327">
          <w:rPr>
            <w:noProof/>
            <w:webHidden/>
          </w:rPr>
          <w:tab/>
        </w:r>
        <w:r w:rsidRPr="001D5327">
          <w:rPr>
            <w:noProof/>
            <w:webHidden/>
          </w:rPr>
          <w:fldChar w:fldCharType="begin"/>
        </w:r>
        <w:r w:rsidRPr="001D5327">
          <w:rPr>
            <w:noProof/>
            <w:webHidden/>
          </w:rPr>
          <w:instrText xml:space="preserve"> PAGEREF _Toc194312032 \h </w:instrText>
        </w:r>
        <w:r w:rsidRPr="001D5327">
          <w:rPr>
            <w:noProof/>
            <w:webHidden/>
          </w:rPr>
        </w:r>
        <w:r w:rsidRPr="001D5327">
          <w:rPr>
            <w:noProof/>
            <w:webHidden/>
          </w:rPr>
          <w:fldChar w:fldCharType="separate"/>
        </w:r>
        <w:r w:rsidR="00B93180">
          <w:rPr>
            <w:noProof/>
            <w:webHidden/>
          </w:rPr>
          <w:t>277</w:t>
        </w:r>
        <w:r w:rsidRPr="001D5327">
          <w:rPr>
            <w:noProof/>
            <w:webHidden/>
          </w:rPr>
          <w:fldChar w:fldCharType="end"/>
        </w:r>
      </w:hyperlink>
    </w:p>
    <w:p w14:paraId="0E6172BE" w14:textId="59C21ACF"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33" w:history="1">
        <w:r w:rsidRPr="001D5327">
          <w:rPr>
            <w:rStyle w:val="Hyperlink"/>
            <w:noProof/>
          </w:rPr>
          <w:t>6.7</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Wetlands (4D)</w:t>
        </w:r>
        <w:r w:rsidRPr="001D5327">
          <w:rPr>
            <w:noProof/>
            <w:webHidden/>
          </w:rPr>
          <w:tab/>
        </w:r>
        <w:r w:rsidRPr="001D5327">
          <w:rPr>
            <w:noProof/>
            <w:webHidden/>
          </w:rPr>
          <w:fldChar w:fldCharType="begin"/>
        </w:r>
        <w:r w:rsidRPr="001D5327">
          <w:rPr>
            <w:noProof/>
            <w:webHidden/>
          </w:rPr>
          <w:instrText xml:space="preserve"> PAGEREF _Toc194312033 \h </w:instrText>
        </w:r>
        <w:r w:rsidRPr="001D5327">
          <w:rPr>
            <w:noProof/>
            <w:webHidden/>
          </w:rPr>
        </w:r>
        <w:r w:rsidRPr="001D5327">
          <w:rPr>
            <w:noProof/>
            <w:webHidden/>
          </w:rPr>
          <w:fldChar w:fldCharType="separate"/>
        </w:r>
        <w:r w:rsidR="00B93180">
          <w:rPr>
            <w:noProof/>
            <w:webHidden/>
          </w:rPr>
          <w:t>282</w:t>
        </w:r>
        <w:r w:rsidRPr="001D5327">
          <w:rPr>
            <w:noProof/>
            <w:webHidden/>
          </w:rPr>
          <w:fldChar w:fldCharType="end"/>
        </w:r>
      </w:hyperlink>
    </w:p>
    <w:p w14:paraId="4B7BABA1" w14:textId="2C8ADD75"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34" w:history="1">
        <w:r w:rsidRPr="001D5327">
          <w:rPr>
            <w:rStyle w:val="Hyperlink"/>
            <w:noProof/>
          </w:rPr>
          <w:t>6.8</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Settlements (4E)</w:t>
        </w:r>
        <w:r w:rsidRPr="001D5327">
          <w:rPr>
            <w:noProof/>
            <w:webHidden/>
          </w:rPr>
          <w:tab/>
        </w:r>
        <w:r w:rsidRPr="001D5327">
          <w:rPr>
            <w:noProof/>
            <w:webHidden/>
          </w:rPr>
          <w:fldChar w:fldCharType="begin"/>
        </w:r>
        <w:r w:rsidRPr="001D5327">
          <w:rPr>
            <w:noProof/>
            <w:webHidden/>
          </w:rPr>
          <w:instrText xml:space="preserve"> PAGEREF _Toc194312034 \h </w:instrText>
        </w:r>
        <w:r w:rsidRPr="001D5327">
          <w:rPr>
            <w:noProof/>
            <w:webHidden/>
          </w:rPr>
        </w:r>
        <w:r w:rsidRPr="001D5327">
          <w:rPr>
            <w:noProof/>
            <w:webHidden/>
          </w:rPr>
          <w:fldChar w:fldCharType="separate"/>
        </w:r>
        <w:r w:rsidR="00B93180">
          <w:rPr>
            <w:noProof/>
            <w:webHidden/>
          </w:rPr>
          <w:t>286</w:t>
        </w:r>
        <w:r w:rsidRPr="001D5327">
          <w:rPr>
            <w:noProof/>
            <w:webHidden/>
          </w:rPr>
          <w:fldChar w:fldCharType="end"/>
        </w:r>
      </w:hyperlink>
    </w:p>
    <w:p w14:paraId="627419B3" w14:textId="572B344C"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35" w:history="1">
        <w:r w:rsidRPr="001D5327">
          <w:rPr>
            <w:rStyle w:val="Hyperlink"/>
            <w:noProof/>
          </w:rPr>
          <w:t>6.9</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Other land (4F)</w:t>
        </w:r>
        <w:r w:rsidRPr="001D5327">
          <w:rPr>
            <w:noProof/>
            <w:webHidden/>
          </w:rPr>
          <w:tab/>
        </w:r>
        <w:r w:rsidRPr="001D5327">
          <w:rPr>
            <w:noProof/>
            <w:webHidden/>
          </w:rPr>
          <w:fldChar w:fldCharType="begin"/>
        </w:r>
        <w:r w:rsidRPr="001D5327">
          <w:rPr>
            <w:noProof/>
            <w:webHidden/>
          </w:rPr>
          <w:instrText xml:space="preserve"> PAGEREF _Toc194312035 \h </w:instrText>
        </w:r>
        <w:r w:rsidRPr="001D5327">
          <w:rPr>
            <w:noProof/>
            <w:webHidden/>
          </w:rPr>
        </w:r>
        <w:r w:rsidRPr="001D5327">
          <w:rPr>
            <w:noProof/>
            <w:webHidden/>
          </w:rPr>
          <w:fldChar w:fldCharType="separate"/>
        </w:r>
        <w:r w:rsidR="00B93180">
          <w:rPr>
            <w:noProof/>
            <w:webHidden/>
          </w:rPr>
          <w:t>289</w:t>
        </w:r>
        <w:r w:rsidRPr="001D5327">
          <w:rPr>
            <w:noProof/>
            <w:webHidden/>
          </w:rPr>
          <w:fldChar w:fldCharType="end"/>
        </w:r>
      </w:hyperlink>
    </w:p>
    <w:p w14:paraId="1B0ADC8B" w14:textId="301BB580"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36" w:history="1">
        <w:r w:rsidRPr="001D5327">
          <w:rPr>
            <w:rStyle w:val="Hyperlink"/>
            <w:noProof/>
          </w:rPr>
          <w:t>6.10</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Harvested wood products (4G)</w:t>
        </w:r>
        <w:r w:rsidRPr="001D5327">
          <w:rPr>
            <w:noProof/>
            <w:webHidden/>
          </w:rPr>
          <w:tab/>
        </w:r>
        <w:r w:rsidRPr="001D5327">
          <w:rPr>
            <w:noProof/>
            <w:webHidden/>
          </w:rPr>
          <w:fldChar w:fldCharType="begin"/>
        </w:r>
        <w:r w:rsidRPr="001D5327">
          <w:rPr>
            <w:noProof/>
            <w:webHidden/>
          </w:rPr>
          <w:instrText xml:space="preserve"> PAGEREF _Toc194312036 \h </w:instrText>
        </w:r>
        <w:r w:rsidRPr="001D5327">
          <w:rPr>
            <w:noProof/>
            <w:webHidden/>
          </w:rPr>
        </w:r>
        <w:r w:rsidRPr="001D5327">
          <w:rPr>
            <w:noProof/>
            <w:webHidden/>
          </w:rPr>
          <w:fldChar w:fldCharType="separate"/>
        </w:r>
        <w:r w:rsidR="00B93180">
          <w:rPr>
            <w:noProof/>
            <w:webHidden/>
          </w:rPr>
          <w:t>291</w:t>
        </w:r>
        <w:r w:rsidRPr="001D5327">
          <w:rPr>
            <w:noProof/>
            <w:webHidden/>
          </w:rPr>
          <w:fldChar w:fldCharType="end"/>
        </w:r>
      </w:hyperlink>
    </w:p>
    <w:p w14:paraId="0ABB8549" w14:textId="79ED7BB1"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37" w:history="1">
        <w:r w:rsidRPr="001D5327">
          <w:rPr>
            <w:rStyle w:val="Hyperlink"/>
            <w:noProof/>
          </w:rPr>
          <w:t>6.11</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Non-CO</w:t>
        </w:r>
        <w:r w:rsidRPr="001D5327">
          <w:rPr>
            <w:rStyle w:val="Hyperlink"/>
            <w:noProof/>
            <w:vertAlign w:val="subscript"/>
          </w:rPr>
          <w:t>2</w:t>
        </w:r>
        <w:r w:rsidRPr="001D5327">
          <w:rPr>
            <w:rStyle w:val="Hyperlink"/>
            <w:noProof/>
          </w:rPr>
          <w:t xml:space="preserve"> emissions (4(I–IV))</w:t>
        </w:r>
        <w:r w:rsidRPr="001D5327">
          <w:rPr>
            <w:noProof/>
            <w:webHidden/>
          </w:rPr>
          <w:tab/>
        </w:r>
        <w:r w:rsidRPr="001D5327">
          <w:rPr>
            <w:noProof/>
            <w:webHidden/>
          </w:rPr>
          <w:fldChar w:fldCharType="begin"/>
        </w:r>
        <w:r w:rsidRPr="001D5327">
          <w:rPr>
            <w:noProof/>
            <w:webHidden/>
          </w:rPr>
          <w:instrText xml:space="preserve"> PAGEREF _Toc194312037 \h </w:instrText>
        </w:r>
        <w:r w:rsidRPr="001D5327">
          <w:rPr>
            <w:noProof/>
            <w:webHidden/>
          </w:rPr>
        </w:r>
        <w:r w:rsidRPr="001D5327">
          <w:rPr>
            <w:noProof/>
            <w:webHidden/>
          </w:rPr>
          <w:fldChar w:fldCharType="separate"/>
        </w:r>
        <w:r w:rsidR="00B93180">
          <w:rPr>
            <w:noProof/>
            <w:webHidden/>
          </w:rPr>
          <w:t>296</w:t>
        </w:r>
        <w:r w:rsidRPr="001D5327">
          <w:rPr>
            <w:noProof/>
            <w:webHidden/>
          </w:rPr>
          <w:fldChar w:fldCharType="end"/>
        </w:r>
      </w:hyperlink>
    </w:p>
    <w:p w14:paraId="56F4EB41" w14:textId="2945B764"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38" w:history="1">
        <w:r w:rsidRPr="001D5327">
          <w:rPr>
            <w:rStyle w:val="Hyperlink"/>
            <w:noProof/>
          </w:rPr>
          <w:t>Chapter 6: References</w:t>
        </w:r>
        <w:r w:rsidRPr="001D5327">
          <w:rPr>
            <w:noProof/>
            <w:webHidden/>
          </w:rPr>
          <w:tab/>
        </w:r>
        <w:r w:rsidRPr="001D5327">
          <w:rPr>
            <w:noProof/>
            <w:webHidden/>
          </w:rPr>
          <w:fldChar w:fldCharType="begin"/>
        </w:r>
        <w:r w:rsidRPr="001D5327">
          <w:rPr>
            <w:noProof/>
            <w:webHidden/>
          </w:rPr>
          <w:instrText xml:space="preserve"> PAGEREF _Toc194312038 \h </w:instrText>
        </w:r>
        <w:r w:rsidRPr="001D5327">
          <w:rPr>
            <w:noProof/>
            <w:webHidden/>
          </w:rPr>
        </w:r>
        <w:r w:rsidRPr="001D5327">
          <w:rPr>
            <w:noProof/>
            <w:webHidden/>
          </w:rPr>
          <w:fldChar w:fldCharType="separate"/>
        </w:r>
        <w:r w:rsidR="00B93180">
          <w:rPr>
            <w:noProof/>
            <w:webHidden/>
          </w:rPr>
          <w:t>303</w:t>
        </w:r>
        <w:r w:rsidRPr="001D5327">
          <w:rPr>
            <w:noProof/>
            <w:webHidden/>
          </w:rPr>
          <w:fldChar w:fldCharType="end"/>
        </w:r>
      </w:hyperlink>
    </w:p>
    <w:p w14:paraId="0CF1FD20" w14:textId="7AA14045" w:rsidR="009F49B5" w:rsidRPr="001D5327" w:rsidRDefault="009F49B5" w:rsidP="00ED2705">
      <w:pPr>
        <w:pStyle w:val="TOC1"/>
        <w:keepNext/>
        <w:rPr>
          <w:rFonts w:asciiTheme="minorHAnsi" w:eastAsiaTheme="minorEastAsia" w:hAnsiTheme="minorHAnsi" w:cstheme="minorBidi"/>
          <w:noProof/>
          <w:kern w:val="2"/>
          <w:sz w:val="24"/>
          <w:szCs w:val="24"/>
          <w14:ligatures w14:val="standardContextual"/>
        </w:rPr>
      </w:pPr>
      <w:hyperlink w:anchor="_Toc194312039" w:history="1">
        <w:r w:rsidRPr="001D5327">
          <w:rPr>
            <w:rStyle w:val="Hyperlink"/>
            <w:noProof/>
          </w:rPr>
          <w:t>Chapter 7: Waste</w:t>
        </w:r>
        <w:r w:rsidRPr="001D5327">
          <w:rPr>
            <w:noProof/>
            <w:webHidden/>
          </w:rPr>
          <w:tab/>
        </w:r>
        <w:r w:rsidRPr="001D5327">
          <w:rPr>
            <w:noProof/>
            <w:webHidden/>
          </w:rPr>
          <w:fldChar w:fldCharType="begin"/>
        </w:r>
        <w:r w:rsidRPr="001D5327">
          <w:rPr>
            <w:noProof/>
            <w:webHidden/>
          </w:rPr>
          <w:instrText xml:space="preserve"> PAGEREF _Toc194312039 \h </w:instrText>
        </w:r>
        <w:r w:rsidRPr="001D5327">
          <w:rPr>
            <w:noProof/>
            <w:webHidden/>
          </w:rPr>
        </w:r>
        <w:r w:rsidRPr="001D5327">
          <w:rPr>
            <w:noProof/>
            <w:webHidden/>
          </w:rPr>
          <w:fldChar w:fldCharType="separate"/>
        </w:r>
        <w:r w:rsidR="00B93180">
          <w:rPr>
            <w:noProof/>
            <w:webHidden/>
          </w:rPr>
          <w:t>307</w:t>
        </w:r>
        <w:r w:rsidRPr="001D5327">
          <w:rPr>
            <w:noProof/>
            <w:webHidden/>
          </w:rPr>
          <w:fldChar w:fldCharType="end"/>
        </w:r>
      </w:hyperlink>
    </w:p>
    <w:p w14:paraId="3A88664E" w14:textId="7D710E28"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40" w:history="1">
        <w:r w:rsidRPr="001D5327">
          <w:rPr>
            <w:rStyle w:val="Hyperlink"/>
            <w:noProof/>
          </w:rPr>
          <w:t xml:space="preserve">7.1 </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Sector overview</w:t>
        </w:r>
        <w:r w:rsidRPr="001D5327">
          <w:rPr>
            <w:noProof/>
            <w:webHidden/>
          </w:rPr>
          <w:tab/>
        </w:r>
        <w:r w:rsidRPr="001D5327">
          <w:rPr>
            <w:noProof/>
            <w:webHidden/>
          </w:rPr>
          <w:fldChar w:fldCharType="begin"/>
        </w:r>
        <w:r w:rsidRPr="001D5327">
          <w:rPr>
            <w:noProof/>
            <w:webHidden/>
          </w:rPr>
          <w:instrText xml:space="preserve"> PAGEREF _Toc194312040 \h </w:instrText>
        </w:r>
        <w:r w:rsidRPr="001D5327">
          <w:rPr>
            <w:noProof/>
            <w:webHidden/>
          </w:rPr>
        </w:r>
        <w:r w:rsidRPr="001D5327">
          <w:rPr>
            <w:noProof/>
            <w:webHidden/>
          </w:rPr>
          <w:fldChar w:fldCharType="separate"/>
        </w:r>
        <w:r w:rsidR="00B93180">
          <w:rPr>
            <w:noProof/>
            <w:webHidden/>
          </w:rPr>
          <w:t>307</w:t>
        </w:r>
        <w:r w:rsidRPr="001D5327">
          <w:rPr>
            <w:noProof/>
            <w:webHidden/>
          </w:rPr>
          <w:fldChar w:fldCharType="end"/>
        </w:r>
      </w:hyperlink>
    </w:p>
    <w:p w14:paraId="1DC98239" w14:textId="288171C5"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41" w:history="1">
        <w:r w:rsidRPr="001D5327">
          <w:rPr>
            <w:rStyle w:val="Hyperlink"/>
            <w:noProof/>
          </w:rPr>
          <w:t xml:space="preserve">7.2 </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Solid waste disposal (5.A)</w:t>
        </w:r>
        <w:r w:rsidRPr="001D5327">
          <w:rPr>
            <w:noProof/>
            <w:webHidden/>
          </w:rPr>
          <w:tab/>
        </w:r>
        <w:r w:rsidRPr="001D5327">
          <w:rPr>
            <w:noProof/>
            <w:webHidden/>
          </w:rPr>
          <w:fldChar w:fldCharType="begin"/>
        </w:r>
        <w:r w:rsidRPr="001D5327">
          <w:rPr>
            <w:noProof/>
            <w:webHidden/>
          </w:rPr>
          <w:instrText xml:space="preserve"> PAGEREF _Toc194312041 \h </w:instrText>
        </w:r>
        <w:r w:rsidRPr="001D5327">
          <w:rPr>
            <w:noProof/>
            <w:webHidden/>
          </w:rPr>
        </w:r>
        <w:r w:rsidRPr="001D5327">
          <w:rPr>
            <w:noProof/>
            <w:webHidden/>
          </w:rPr>
          <w:fldChar w:fldCharType="separate"/>
        </w:r>
        <w:r w:rsidR="00B93180">
          <w:rPr>
            <w:noProof/>
            <w:webHidden/>
          </w:rPr>
          <w:t>312</w:t>
        </w:r>
        <w:r w:rsidRPr="001D5327">
          <w:rPr>
            <w:noProof/>
            <w:webHidden/>
          </w:rPr>
          <w:fldChar w:fldCharType="end"/>
        </w:r>
      </w:hyperlink>
    </w:p>
    <w:p w14:paraId="56958DE9" w14:textId="6CEF4E63"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42" w:history="1">
        <w:r w:rsidRPr="001D5327">
          <w:rPr>
            <w:rStyle w:val="Hyperlink"/>
            <w:noProof/>
          </w:rPr>
          <w:t xml:space="preserve">7.3 </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Biological treatment of solid waste (5.B)</w:t>
        </w:r>
        <w:r w:rsidRPr="001D5327">
          <w:rPr>
            <w:noProof/>
            <w:webHidden/>
          </w:rPr>
          <w:tab/>
        </w:r>
        <w:r w:rsidRPr="001D5327">
          <w:rPr>
            <w:noProof/>
            <w:webHidden/>
          </w:rPr>
          <w:fldChar w:fldCharType="begin"/>
        </w:r>
        <w:r w:rsidRPr="001D5327">
          <w:rPr>
            <w:noProof/>
            <w:webHidden/>
          </w:rPr>
          <w:instrText xml:space="preserve"> PAGEREF _Toc194312042 \h </w:instrText>
        </w:r>
        <w:r w:rsidRPr="001D5327">
          <w:rPr>
            <w:noProof/>
            <w:webHidden/>
          </w:rPr>
        </w:r>
        <w:r w:rsidRPr="001D5327">
          <w:rPr>
            <w:noProof/>
            <w:webHidden/>
          </w:rPr>
          <w:fldChar w:fldCharType="separate"/>
        </w:r>
        <w:r w:rsidR="00B93180">
          <w:rPr>
            <w:noProof/>
            <w:webHidden/>
          </w:rPr>
          <w:t>327</w:t>
        </w:r>
        <w:r w:rsidRPr="001D5327">
          <w:rPr>
            <w:noProof/>
            <w:webHidden/>
          </w:rPr>
          <w:fldChar w:fldCharType="end"/>
        </w:r>
      </w:hyperlink>
    </w:p>
    <w:p w14:paraId="42720F3E" w14:textId="7A6E9662"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43" w:history="1">
        <w:r w:rsidRPr="001D5327">
          <w:rPr>
            <w:rStyle w:val="Hyperlink"/>
            <w:noProof/>
          </w:rPr>
          <w:t xml:space="preserve">7.4 </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Incineration and open burning of waste (5.C)</w:t>
        </w:r>
        <w:r w:rsidRPr="001D5327">
          <w:rPr>
            <w:noProof/>
            <w:webHidden/>
          </w:rPr>
          <w:tab/>
        </w:r>
        <w:r w:rsidRPr="001D5327">
          <w:rPr>
            <w:noProof/>
            <w:webHidden/>
          </w:rPr>
          <w:fldChar w:fldCharType="begin"/>
        </w:r>
        <w:r w:rsidRPr="001D5327">
          <w:rPr>
            <w:noProof/>
            <w:webHidden/>
          </w:rPr>
          <w:instrText xml:space="preserve"> PAGEREF _Toc194312043 \h </w:instrText>
        </w:r>
        <w:r w:rsidRPr="001D5327">
          <w:rPr>
            <w:noProof/>
            <w:webHidden/>
          </w:rPr>
        </w:r>
        <w:r w:rsidRPr="001D5327">
          <w:rPr>
            <w:noProof/>
            <w:webHidden/>
          </w:rPr>
          <w:fldChar w:fldCharType="separate"/>
        </w:r>
        <w:r w:rsidR="00B93180">
          <w:rPr>
            <w:noProof/>
            <w:webHidden/>
          </w:rPr>
          <w:t>330</w:t>
        </w:r>
        <w:r w:rsidRPr="001D5327">
          <w:rPr>
            <w:noProof/>
            <w:webHidden/>
          </w:rPr>
          <w:fldChar w:fldCharType="end"/>
        </w:r>
      </w:hyperlink>
    </w:p>
    <w:p w14:paraId="2CBF9112" w14:textId="4172563D"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44" w:history="1">
        <w:r w:rsidRPr="001D5327">
          <w:rPr>
            <w:rStyle w:val="Hyperlink"/>
            <w:noProof/>
          </w:rPr>
          <w:t xml:space="preserve">7.5 </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Wastewater treatment and discharge (5.D)</w:t>
        </w:r>
        <w:r w:rsidRPr="001D5327">
          <w:rPr>
            <w:noProof/>
            <w:webHidden/>
          </w:rPr>
          <w:tab/>
        </w:r>
        <w:r w:rsidRPr="001D5327">
          <w:rPr>
            <w:noProof/>
            <w:webHidden/>
          </w:rPr>
          <w:fldChar w:fldCharType="begin"/>
        </w:r>
        <w:r w:rsidRPr="001D5327">
          <w:rPr>
            <w:noProof/>
            <w:webHidden/>
          </w:rPr>
          <w:instrText xml:space="preserve"> PAGEREF _Toc194312044 \h </w:instrText>
        </w:r>
        <w:r w:rsidRPr="001D5327">
          <w:rPr>
            <w:noProof/>
            <w:webHidden/>
          </w:rPr>
        </w:r>
        <w:r w:rsidRPr="001D5327">
          <w:rPr>
            <w:noProof/>
            <w:webHidden/>
          </w:rPr>
          <w:fldChar w:fldCharType="separate"/>
        </w:r>
        <w:r w:rsidR="00B93180">
          <w:rPr>
            <w:noProof/>
            <w:webHidden/>
          </w:rPr>
          <w:t>335</w:t>
        </w:r>
        <w:r w:rsidRPr="001D5327">
          <w:rPr>
            <w:noProof/>
            <w:webHidden/>
          </w:rPr>
          <w:fldChar w:fldCharType="end"/>
        </w:r>
      </w:hyperlink>
    </w:p>
    <w:p w14:paraId="4C2D2752" w14:textId="2BEA9EB5"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45" w:history="1">
        <w:r w:rsidRPr="001D5327">
          <w:rPr>
            <w:rStyle w:val="Hyperlink"/>
            <w:noProof/>
          </w:rPr>
          <w:t>Chapter 7: References</w:t>
        </w:r>
        <w:r w:rsidRPr="001D5327">
          <w:rPr>
            <w:noProof/>
            <w:webHidden/>
          </w:rPr>
          <w:tab/>
        </w:r>
        <w:r w:rsidRPr="001D5327">
          <w:rPr>
            <w:noProof/>
            <w:webHidden/>
          </w:rPr>
          <w:fldChar w:fldCharType="begin"/>
        </w:r>
        <w:r w:rsidRPr="001D5327">
          <w:rPr>
            <w:noProof/>
            <w:webHidden/>
          </w:rPr>
          <w:instrText xml:space="preserve"> PAGEREF _Toc194312045 \h </w:instrText>
        </w:r>
        <w:r w:rsidRPr="001D5327">
          <w:rPr>
            <w:noProof/>
            <w:webHidden/>
          </w:rPr>
        </w:r>
        <w:r w:rsidRPr="001D5327">
          <w:rPr>
            <w:noProof/>
            <w:webHidden/>
          </w:rPr>
          <w:fldChar w:fldCharType="separate"/>
        </w:r>
        <w:r w:rsidR="00B93180">
          <w:rPr>
            <w:noProof/>
            <w:webHidden/>
          </w:rPr>
          <w:t>349</w:t>
        </w:r>
        <w:r w:rsidRPr="001D5327">
          <w:rPr>
            <w:noProof/>
            <w:webHidden/>
          </w:rPr>
          <w:fldChar w:fldCharType="end"/>
        </w:r>
      </w:hyperlink>
    </w:p>
    <w:p w14:paraId="7B4A4F13" w14:textId="7A9AE5FA" w:rsidR="009F49B5" w:rsidRPr="001D5327" w:rsidRDefault="009F49B5">
      <w:pPr>
        <w:pStyle w:val="TOC1"/>
        <w:rPr>
          <w:rFonts w:asciiTheme="minorHAnsi" w:eastAsiaTheme="minorEastAsia" w:hAnsiTheme="minorHAnsi" w:cstheme="minorBidi"/>
          <w:noProof/>
          <w:kern w:val="2"/>
          <w:sz w:val="24"/>
          <w:szCs w:val="24"/>
          <w14:ligatures w14:val="standardContextual"/>
        </w:rPr>
      </w:pPr>
      <w:hyperlink w:anchor="_Toc194312046" w:history="1">
        <w:r w:rsidRPr="001D5327">
          <w:rPr>
            <w:rStyle w:val="Hyperlink"/>
            <w:noProof/>
          </w:rPr>
          <w:t>Chapter 8: Tokelau (other) sector</w:t>
        </w:r>
        <w:r w:rsidRPr="001D5327">
          <w:rPr>
            <w:noProof/>
            <w:webHidden/>
          </w:rPr>
          <w:tab/>
        </w:r>
        <w:r w:rsidRPr="001D5327">
          <w:rPr>
            <w:noProof/>
            <w:webHidden/>
          </w:rPr>
          <w:fldChar w:fldCharType="begin"/>
        </w:r>
        <w:r w:rsidRPr="001D5327">
          <w:rPr>
            <w:noProof/>
            <w:webHidden/>
          </w:rPr>
          <w:instrText xml:space="preserve"> PAGEREF _Toc194312046 \h </w:instrText>
        </w:r>
        <w:r w:rsidRPr="001D5327">
          <w:rPr>
            <w:noProof/>
            <w:webHidden/>
          </w:rPr>
        </w:r>
        <w:r w:rsidRPr="001D5327">
          <w:rPr>
            <w:noProof/>
            <w:webHidden/>
          </w:rPr>
          <w:fldChar w:fldCharType="separate"/>
        </w:r>
        <w:r w:rsidR="00B93180">
          <w:rPr>
            <w:noProof/>
            <w:webHidden/>
          </w:rPr>
          <w:t>351</w:t>
        </w:r>
        <w:r w:rsidRPr="001D5327">
          <w:rPr>
            <w:noProof/>
            <w:webHidden/>
          </w:rPr>
          <w:fldChar w:fldCharType="end"/>
        </w:r>
      </w:hyperlink>
    </w:p>
    <w:p w14:paraId="6CC88762" w14:textId="701869D3"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47" w:history="1">
        <w:r w:rsidRPr="001D5327">
          <w:rPr>
            <w:rStyle w:val="Hyperlink"/>
            <w:noProof/>
          </w:rPr>
          <w:t>8.1</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Tokelau overview</w:t>
        </w:r>
        <w:r w:rsidRPr="001D5327">
          <w:rPr>
            <w:noProof/>
            <w:webHidden/>
          </w:rPr>
          <w:tab/>
        </w:r>
        <w:r w:rsidRPr="001D5327">
          <w:rPr>
            <w:noProof/>
            <w:webHidden/>
          </w:rPr>
          <w:fldChar w:fldCharType="begin"/>
        </w:r>
        <w:r w:rsidRPr="001D5327">
          <w:rPr>
            <w:noProof/>
            <w:webHidden/>
          </w:rPr>
          <w:instrText xml:space="preserve"> PAGEREF _Toc194312047 \h </w:instrText>
        </w:r>
        <w:r w:rsidRPr="001D5327">
          <w:rPr>
            <w:noProof/>
            <w:webHidden/>
          </w:rPr>
        </w:r>
        <w:r w:rsidRPr="001D5327">
          <w:rPr>
            <w:noProof/>
            <w:webHidden/>
          </w:rPr>
          <w:fldChar w:fldCharType="separate"/>
        </w:r>
        <w:r w:rsidR="00B93180">
          <w:rPr>
            <w:noProof/>
            <w:webHidden/>
          </w:rPr>
          <w:t>351</w:t>
        </w:r>
        <w:r w:rsidRPr="001D5327">
          <w:rPr>
            <w:noProof/>
            <w:webHidden/>
          </w:rPr>
          <w:fldChar w:fldCharType="end"/>
        </w:r>
      </w:hyperlink>
    </w:p>
    <w:p w14:paraId="63FEA1A0" w14:textId="79611C0F"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48" w:history="1">
        <w:r w:rsidRPr="001D5327">
          <w:rPr>
            <w:rStyle w:val="Hyperlink"/>
            <w:noProof/>
          </w:rPr>
          <w:t>8.2</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Energy emissions from Tokelau (6. Tokelau_1)</w:t>
        </w:r>
        <w:r w:rsidRPr="001D5327">
          <w:rPr>
            <w:noProof/>
            <w:webHidden/>
          </w:rPr>
          <w:tab/>
        </w:r>
        <w:r w:rsidRPr="001D5327">
          <w:rPr>
            <w:noProof/>
            <w:webHidden/>
          </w:rPr>
          <w:fldChar w:fldCharType="begin"/>
        </w:r>
        <w:r w:rsidRPr="001D5327">
          <w:rPr>
            <w:noProof/>
            <w:webHidden/>
          </w:rPr>
          <w:instrText xml:space="preserve"> PAGEREF _Toc194312048 \h </w:instrText>
        </w:r>
        <w:r w:rsidRPr="001D5327">
          <w:rPr>
            <w:noProof/>
            <w:webHidden/>
          </w:rPr>
        </w:r>
        <w:r w:rsidRPr="001D5327">
          <w:rPr>
            <w:noProof/>
            <w:webHidden/>
          </w:rPr>
          <w:fldChar w:fldCharType="separate"/>
        </w:r>
        <w:r w:rsidR="00B93180">
          <w:rPr>
            <w:noProof/>
            <w:webHidden/>
          </w:rPr>
          <w:t>360</w:t>
        </w:r>
        <w:r w:rsidRPr="001D5327">
          <w:rPr>
            <w:noProof/>
            <w:webHidden/>
          </w:rPr>
          <w:fldChar w:fldCharType="end"/>
        </w:r>
      </w:hyperlink>
    </w:p>
    <w:p w14:paraId="3A8B6E09" w14:textId="1484C7F9"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49" w:history="1">
        <w:r w:rsidRPr="001D5327">
          <w:rPr>
            <w:rStyle w:val="Hyperlink"/>
            <w:noProof/>
          </w:rPr>
          <w:t>8.3</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Stationary combustion: Public electricity and heat production</w:t>
        </w:r>
        <w:r w:rsidRPr="001D5327">
          <w:rPr>
            <w:noProof/>
            <w:webHidden/>
          </w:rPr>
          <w:tab/>
        </w:r>
        <w:r w:rsidRPr="001D5327">
          <w:rPr>
            <w:noProof/>
            <w:webHidden/>
          </w:rPr>
          <w:fldChar w:fldCharType="begin"/>
        </w:r>
        <w:r w:rsidRPr="001D5327">
          <w:rPr>
            <w:noProof/>
            <w:webHidden/>
          </w:rPr>
          <w:instrText xml:space="preserve"> PAGEREF _Toc194312049 \h </w:instrText>
        </w:r>
        <w:r w:rsidRPr="001D5327">
          <w:rPr>
            <w:noProof/>
            <w:webHidden/>
          </w:rPr>
        </w:r>
        <w:r w:rsidRPr="001D5327">
          <w:rPr>
            <w:noProof/>
            <w:webHidden/>
          </w:rPr>
          <w:fldChar w:fldCharType="separate"/>
        </w:r>
        <w:r w:rsidR="00B93180">
          <w:rPr>
            <w:noProof/>
            <w:webHidden/>
          </w:rPr>
          <w:t>361</w:t>
        </w:r>
        <w:r w:rsidRPr="001D5327">
          <w:rPr>
            <w:noProof/>
            <w:webHidden/>
          </w:rPr>
          <w:fldChar w:fldCharType="end"/>
        </w:r>
      </w:hyperlink>
    </w:p>
    <w:p w14:paraId="1209333A" w14:textId="04831DCD"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50" w:history="1">
        <w:r w:rsidRPr="001D5327">
          <w:rPr>
            <w:rStyle w:val="Hyperlink"/>
            <w:noProof/>
          </w:rPr>
          <w:t>8.4</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Stationary combustion: Other sectors – Residential</w:t>
        </w:r>
        <w:r w:rsidRPr="001D5327">
          <w:rPr>
            <w:noProof/>
            <w:webHidden/>
          </w:rPr>
          <w:tab/>
        </w:r>
        <w:r w:rsidRPr="001D5327">
          <w:rPr>
            <w:noProof/>
            <w:webHidden/>
          </w:rPr>
          <w:fldChar w:fldCharType="begin"/>
        </w:r>
        <w:r w:rsidRPr="001D5327">
          <w:rPr>
            <w:noProof/>
            <w:webHidden/>
          </w:rPr>
          <w:instrText xml:space="preserve"> PAGEREF _Toc194312050 \h </w:instrText>
        </w:r>
        <w:r w:rsidRPr="001D5327">
          <w:rPr>
            <w:noProof/>
            <w:webHidden/>
          </w:rPr>
        </w:r>
        <w:r w:rsidRPr="001D5327">
          <w:rPr>
            <w:noProof/>
            <w:webHidden/>
          </w:rPr>
          <w:fldChar w:fldCharType="separate"/>
        </w:r>
        <w:r w:rsidR="00B93180">
          <w:rPr>
            <w:noProof/>
            <w:webHidden/>
          </w:rPr>
          <w:t>365</w:t>
        </w:r>
        <w:r w:rsidRPr="001D5327">
          <w:rPr>
            <w:noProof/>
            <w:webHidden/>
          </w:rPr>
          <w:fldChar w:fldCharType="end"/>
        </w:r>
      </w:hyperlink>
    </w:p>
    <w:p w14:paraId="05FEF763" w14:textId="6875A5F4"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51" w:history="1">
        <w:r w:rsidRPr="001D5327">
          <w:rPr>
            <w:rStyle w:val="Hyperlink"/>
            <w:noProof/>
          </w:rPr>
          <w:t>8.5</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Mobile combustion: Domestic navigation</w:t>
        </w:r>
        <w:r w:rsidRPr="001D5327">
          <w:rPr>
            <w:noProof/>
            <w:webHidden/>
          </w:rPr>
          <w:tab/>
        </w:r>
        <w:r w:rsidRPr="001D5327">
          <w:rPr>
            <w:noProof/>
            <w:webHidden/>
          </w:rPr>
          <w:fldChar w:fldCharType="begin"/>
        </w:r>
        <w:r w:rsidRPr="001D5327">
          <w:rPr>
            <w:noProof/>
            <w:webHidden/>
          </w:rPr>
          <w:instrText xml:space="preserve"> PAGEREF _Toc194312051 \h </w:instrText>
        </w:r>
        <w:r w:rsidRPr="001D5327">
          <w:rPr>
            <w:noProof/>
            <w:webHidden/>
          </w:rPr>
        </w:r>
        <w:r w:rsidRPr="001D5327">
          <w:rPr>
            <w:noProof/>
            <w:webHidden/>
          </w:rPr>
          <w:fldChar w:fldCharType="separate"/>
        </w:r>
        <w:r w:rsidR="00B93180">
          <w:rPr>
            <w:noProof/>
            <w:webHidden/>
          </w:rPr>
          <w:t>367</w:t>
        </w:r>
        <w:r w:rsidRPr="001D5327">
          <w:rPr>
            <w:noProof/>
            <w:webHidden/>
          </w:rPr>
          <w:fldChar w:fldCharType="end"/>
        </w:r>
      </w:hyperlink>
    </w:p>
    <w:p w14:paraId="2165571A" w14:textId="4E45D51A"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52" w:history="1">
        <w:r w:rsidRPr="001D5327">
          <w:rPr>
            <w:rStyle w:val="Hyperlink"/>
            <w:noProof/>
          </w:rPr>
          <w:t>8.6</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Emissions from Industrial Processes and Product Use in Tokelau (6. Tokelau_2)</w:t>
        </w:r>
        <w:r w:rsidRPr="001D5327">
          <w:rPr>
            <w:noProof/>
            <w:webHidden/>
          </w:rPr>
          <w:tab/>
        </w:r>
        <w:r w:rsidRPr="001D5327">
          <w:rPr>
            <w:noProof/>
            <w:webHidden/>
          </w:rPr>
          <w:fldChar w:fldCharType="begin"/>
        </w:r>
        <w:r w:rsidRPr="001D5327">
          <w:rPr>
            <w:noProof/>
            <w:webHidden/>
          </w:rPr>
          <w:instrText xml:space="preserve"> PAGEREF _Toc194312052 \h </w:instrText>
        </w:r>
        <w:r w:rsidRPr="001D5327">
          <w:rPr>
            <w:noProof/>
            <w:webHidden/>
          </w:rPr>
        </w:r>
        <w:r w:rsidRPr="001D5327">
          <w:rPr>
            <w:noProof/>
            <w:webHidden/>
          </w:rPr>
          <w:fldChar w:fldCharType="separate"/>
        </w:r>
        <w:r w:rsidR="00B93180">
          <w:rPr>
            <w:noProof/>
            <w:webHidden/>
          </w:rPr>
          <w:t>369</w:t>
        </w:r>
        <w:r w:rsidRPr="001D5327">
          <w:rPr>
            <w:noProof/>
            <w:webHidden/>
          </w:rPr>
          <w:fldChar w:fldCharType="end"/>
        </w:r>
      </w:hyperlink>
    </w:p>
    <w:p w14:paraId="47CB3485" w14:textId="5BA7B62A"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53" w:history="1">
        <w:r w:rsidRPr="001D5327">
          <w:rPr>
            <w:rStyle w:val="Hyperlink"/>
            <w:noProof/>
          </w:rPr>
          <w:t>8.7</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Emissions from Refrigeration and air conditioning in Tokelau</w:t>
        </w:r>
        <w:r w:rsidRPr="001D5327">
          <w:rPr>
            <w:noProof/>
            <w:webHidden/>
          </w:rPr>
          <w:tab/>
        </w:r>
        <w:r w:rsidRPr="001D5327">
          <w:rPr>
            <w:noProof/>
            <w:webHidden/>
          </w:rPr>
          <w:fldChar w:fldCharType="begin"/>
        </w:r>
        <w:r w:rsidRPr="001D5327">
          <w:rPr>
            <w:noProof/>
            <w:webHidden/>
          </w:rPr>
          <w:instrText xml:space="preserve"> PAGEREF _Toc194312053 \h </w:instrText>
        </w:r>
        <w:r w:rsidRPr="001D5327">
          <w:rPr>
            <w:noProof/>
            <w:webHidden/>
          </w:rPr>
        </w:r>
        <w:r w:rsidRPr="001D5327">
          <w:rPr>
            <w:noProof/>
            <w:webHidden/>
          </w:rPr>
          <w:fldChar w:fldCharType="separate"/>
        </w:r>
        <w:r w:rsidR="00B93180">
          <w:rPr>
            <w:noProof/>
            <w:webHidden/>
          </w:rPr>
          <w:t>370</w:t>
        </w:r>
        <w:r w:rsidRPr="001D5327">
          <w:rPr>
            <w:noProof/>
            <w:webHidden/>
          </w:rPr>
          <w:fldChar w:fldCharType="end"/>
        </w:r>
      </w:hyperlink>
    </w:p>
    <w:p w14:paraId="59AAB55F" w14:textId="5A8C07E2"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54" w:history="1">
        <w:r w:rsidRPr="001D5327">
          <w:rPr>
            <w:rStyle w:val="Hyperlink"/>
            <w:noProof/>
          </w:rPr>
          <w:t>8.8</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Emissions from Metered dose inhalers and Medical applications in Tokelau</w:t>
        </w:r>
        <w:r w:rsidRPr="001D5327">
          <w:rPr>
            <w:noProof/>
            <w:webHidden/>
          </w:rPr>
          <w:tab/>
        </w:r>
        <w:r w:rsidRPr="001D5327">
          <w:rPr>
            <w:noProof/>
            <w:webHidden/>
          </w:rPr>
          <w:fldChar w:fldCharType="begin"/>
        </w:r>
        <w:r w:rsidRPr="001D5327">
          <w:rPr>
            <w:noProof/>
            <w:webHidden/>
          </w:rPr>
          <w:instrText xml:space="preserve"> PAGEREF _Toc194312054 \h </w:instrText>
        </w:r>
        <w:r w:rsidRPr="001D5327">
          <w:rPr>
            <w:noProof/>
            <w:webHidden/>
          </w:rPr>
        </w:r>
        <w:r w:rsidRPr="001D5327">
          <w:rPr>
            <w:noProof/>
            <w:webHidden/>
          </w:rPr>
          <w:fldChar w:fldCharType="separate"/>
        </w:r>
        <w:r w:rsidR="00B93180">
          <w:rPr>
            <w:noProof/>
            <w:webHidden/>
          </w:rPr>
          <w:t>373</w:t>
        </w:r>
        <w:r w:rsidRPr="001D5327">
          <w:rPr>
            <w:noProof/>
            <w:webHidden/>
          </w:rPr>
          <w:fldChar w:fldCharType="end"/>
        </w:r>
      </w:hyperlink>
    </w:p>
    <w:p w14:paraId="04FCDC4D" w14:textId="1CFCC2E3"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55" w:history="1">
        <w:r w:rsidRPr="001D5327">
          <w:rPr>
            <w:rStyle w:val="Hyperlink"/>
            <w:noProof/>
          </w:rPr>
          <w:t>8.9</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Emissions from the Agriculture sector in Tokelau (6. Tokelau_3)</w:t>
        </w:r>
        <w:r w:rsidRPr="001D5327">
          <w:rPr>
            <w:noProof/>
            <w:webHidden/>
          </w:rPr>
          <w:tab/>
        </w:r>
        <w:r w:rsidRPr="001D5327">
          <w:rPr>
            <w:noProof/>
            <w:webHidden/>
          </w:rPr>
          <w:fldChar w:fldCharType="begin"/>
        </w:r>
        <w:r w:rsidRPr="001D5327">
          <w:rPr>
            <w:noProof/>
            <w:webHidden/>
          </w:rPr>
          <w:instrText xml:space="preserve"> PAGEREF _Toc194312055 \h </w:instrText>
        </w:r>
        <w:r w:rsidRPr="001D5327">
          <w:rPr>
            <w:noProof/>
            <w:webHidden/>
          </w:rPr>
        </w:r>
        <w:r w:rsidRPr="001D5327">
          <w:rPr>
            <w:noProof/>
            <w:webHidden/>
          </w:rPr>
          <w:fldChar w:fldCharType="separate"/>
        </w:r>
        <w:r w:rsidR="00B93180">
          <w:rPr>
            <w:noProof/>
            <w:webHidden/>
          </w:rPr>
          <w:t>374</w:t>
        </w:r>
        <w:r w:rsidRPr="001D5327">
          <w:rPr>
            <w:noProof/>
            <w:webHidden/>
          </w:rPr>
          <w:fldChar w:fldCharType="end"/>
        </w:r>
      </w:hyperlink>
    </w:p>
    <w:p w14:paraId="739C20D4" w14:textId="0A2C2C3F"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56" w:history="1">
        <w:r w:rsidRPr="001D5327">
          <w:rPr>
            <w:rStyle w:val="Hyperlink"/>
            <w:noProof/>
          </w:rPr>
          <w:t>8.10</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Emissions from Enteric fermentation in Tokelau</w:t>
        </w:r>
        <w:r w:rsidRPr="001D5327">
          <w:rPr>
            <w:noProof/>
            <w:webHidden/>
          </w:rPr>
          <w:tab/>
        </w:r>
        <w:r w:rsidRPr="001D5327">
          <w:rPr>
            <w:noProof/>
            <w:webHidden/>
          </w:rPr>
          <w:fldChar w:fldCharType="begin"/>
        </w:r>
        <w:r w:rsidRPr="001D5327">
          <w:rPr>
            <w:noProof/>
            <w:webHidden/>
          </w:rPr>
          <w:instrText xml:space="preserve"> PAGEREF _Toc194312056 \h </w:instrText>
        </w:r>
        <w:r w:rsidRPr="001D5327">
          <w:rPr>
            <w:noProof/>
            <w:webHidden/>
          </w:rPr>
        </w:r>
        <w:r w:rsidRPr="001D5327">
          <w:rPr>
            <w:noProof/>
            <w:webHidden/>
          </w:rPr>
          <w:fldChar w:fldCharType="separate"/>
        </w:r>
        <w:r w:rsidR="00B93180">
          <w:rPr>
            <w:noProof/>
            <w:webHidden/>
          </w:rPr>
          <w:t>375</w:t>
        </w:r>
        <w:r w:rsidRPr="001D5327">
          <w:rPr>
            <w:noProof/>
            <w:webHidden/>
          </w:rPr>
          <w:fldChar w:fldCharType="end"/>
        </w:r>
      </w:hyperlink>
    </w:p>
    <w:p w14:paraId="47A46152" w14:textId="296EB889"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57" w:history="1">
        <w:r w:rsidRPr="001D5327">
          <w:rPr>
            <w:rStyle w:val="Hyperlink"/>
            <w:noProof/>
          </w:rPr>
          <w:t>8.11</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Emissions from Manure management in Tokelau</w:t>
        </w:r>
        <w:r w:rsidRPr="001D5327">
          <w:rPr>
            <w:noProof/>
            <w:webHidden/>
          </w:rPr>
          <w:tab/>
        </w:r>
        <w:r w:rsidRPr="001D5327">
          <w:rPr>
            <w:noProof/>
            <w:webHidden/>
          </w:rPr>
          <w:fldChar w:fldCharType="begin"/>
        </w:r>
        <w:r w:rsidRPr="001D5327">
          <w:rPr>
            <w:noProof/>
            <w:webHidden/>
          </w:rPr>
          <w:instrText xml:space="preserve"> PAGEREF _Toc194312057 \h </w:instrText>
        </w:r>
        <w:r w:rsidRPr="001D5327">
          <w:rPr>
            <w:noProof/>
            <w:webHidden/>
          </w:rPr>
        </w:r>
        <w:r w:rsidRPr="001D5327">
          <w:rPr>
            <w:noProof/>
            <w:webHidden/>
          </w:rPr>
          <w:fldChar w:fldCharType="separate"/>
        </w:r>
        <w:r w:rsidR="00B93180">
          <w:rPr>
            <w:noProof/>
            <w:webHidden/>
          </w:rPr>
          <w:t>377</w:t>
        </w:r>
        <w:r w:rsidRPr="001D5327">
          <w:rPr>
            <w:noProof/>
            <w:webHidden/>
          </w:rPr>
          <w:fldChar w:fldCharType="end"/>
        </w:r>
      </w:hyperlink>
    </w:p>
    <w:p w14:paraId="08366DD2" w14:textId="76012368"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58" w:history="1">
        <w:r w:rsidRPr="001D5327">
          <w:rPr>
            <w:rStyle w:val="Hyperlink"/>
            <w:noProof/>
          </w:rPr>
          <w:t>8.12</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Emissions from the Waste sector in Tokelau (6. Tokelau_5)</w:t>
        </w:r>
        <w:r w:rsidRPr="001D5327">
          <w:rPr>
            <w:noProof/>
            <w:webHidden/>
          </w:rPr>
          <w:tab/>
        </w:r>
        <w:r w:rsidRPr="001D5327">
          <w:rPr>
            <w:noProof/>
            <w:webHidden/>
          </w:rPr>
          <w:fldChar w:fldCharType="begin"/>
        </w:r>
        <w:r w:rsidRPr="001D5327">
          <w:rPr>
            <w:noProof/>
            <w:webHidden/>
          </w:rPr>
          <w:instrText xml:space="preserve"> PAGEREF _Toc194312058 \h </w:instrText>
        </w:r>
        <w:r w:rsidRPr="001D5327">
          <w:rPr>
            <w:noProof/>
            <w:webHidden/>
          </w:rPr>
        </w:r>
        <w:r w:rsidRPr="001D5327">
          <w:rPr>
            <w:noProof/>
            <w:webHidden/>
          </w:rPr>
          <w:fldChar w:fldCharType="separate"/>
        </w:r>
        <w:r w:rsidR="00B93180">
          <w:rPr>
            <w:noProof/>
            <w:webHidden/>
          </w:rPr>
          <w:t>378</w:t>
        </w:r>
        <w:r w:rsidRPr="001D5327">
          <w:rPr>
            <w:noProof/>
            <w:webHidden/>
          </w:rPr>
          <w:fldChar w:fldCharType="end"/>
        </w:r>
      </w:hyperlink>
    </w:p>
    <w:p w14:paraId="2B1FBB66" w14:textId="49663FA5"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59" w:history="1">
        <w:r w:rsidRPr="001D5327">
          <w:rPr>
            <w:rStyle w:val="Hyperlink"/>
            <w:noProof/>
          </w:rPr>
          <w:t>8.13</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Emissions from Solid waste disposal in Tokelau</w:t>
        </w:r>
        <w:r w:rsidRPr="001D5327">
          <w:rPr>
            <w:noProof/>
            <w:webHidden/>
          </w:rPr>
          <w:tab/>
        </w:r>
        <w:r w:rsidRPr="001D5327">
          <w:rPr>
            <w:noProof/>
            <w:webHidden/>
          </w:rPr>
          <w:fldChar w:fldCharType="begin"/>
        </w:r>
        <w:r w:rsidRPr="001D5327">
          <w:rPr>
            <w:noProof/>
            <w:webHidden/>
          </w:rPr>
          <w:instrText xml:space="preserve"> PAGEREF _Toc194312059 \h </w:instrText>
        </w:r>
        <w:r w:rsidRPr="001D5327">
          <w:rPr>
            <w:noProof/>
            <w:webHidden/>
          </w:rPr>
        </w:r>
        <w:r w:rsidRPr="001D5327">
          <w:rPr>
            <w:noProof/>
            <w:webHidden/>
          </w:rPr>
          <w:fldChar w:fldCharType="separate"/>
        </w:r>
        <w:r w:rsidR="00B93180">
          <w:rPr>
            <w:noProof/>
            <w:webHidden/>
          </w:rPr>
          <w:t>378</w:t>
        </w:r>
        <w:r w:rsidRPr="001D5327">
          <w:rPr>
            <w:noProof/>
            <w:webHidden/>
          </w:rPr>
          <w:fldChar w:fldCharType="end"/>
        </w:r>
      </w:hyperlink>
    </w:p>
    <w:p w14:paraId="7B65150A" w14:textId="2D9B23BB"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60" w:history="1">
        <w:r w:rsidRPr="001D5327">
          <w:rPr>
            <w:rStyle w:val="Hyperlink"/>
            <w:noProof/>
          </w:rPr>
          <w:t>8.14</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Emissions from Incineration and open burning in Tokelau</w:t>
        </w:r>
        <w:r w:rsidRPr="001D5327">
          <w:rPr>
            <w:noProof/>
            <w:webHidden/>
          </w:rPr>
          <w:tab/>
        </w:r>
        <w:r w:rsidRPr="001D5327">
          <w:rPr>
            <w:noProof/>
            <w:webHidden/>
          </w:rPr>
          <w:fldChar w:fldCharType="begin"/>
        </w:r>
        <w:r w:rsidRPr="001D5327">
          <w:rPr>
            <w:noProof/>
            <w:webHidden/>
          </w:rPr>
          <w:instrText xml:space="preserve"> PAGEREF _Toc194312060 \h </w:instrText>
        </w:r>
        <w:r w:rsidRPr="001D5327">
          <w:rPr>
            <w:noProof/>
            <w:webHidden/>
          </w:rPr>
        </w:r>
        <w:r w:rsidRPr="001D5327">
          <w:rPr>
            <w:noProof/>
            <w:webHidden/>
          </w:rPr>
          <w:fldChar w:fldCharType="separate"/>
        </w:r>
        <w:r w:rsidR="00B93180">
          <w:rPr>
            <w:noProof/>
            <w:webHidden/>
          </w:rPr>
          <w:t>380</w:t>
        </w:r>
        <w:r w:rsidRPr="001D5327">
          <w:rPr>
            <w:noProof/>
            <w:webHidden/>
          </w:rPr>
          <w:fldChar w:fldCharType="end"/>
        </w:r>
      </w:hyperlink>
    </w:p>
    <w:p w14:paraId="6FE50A6E" w14:textId="7C6756C2"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61" w:history="1">
        <w:r w:rsidRPr="001D5327">
          <w:rPr>
            <w:rStyle w:val="Hyperlink"/>
            <w:noProof/>
          </w:rPr>
          <w:t>8.15</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Emissions from Wastewater treatment and discharge in Tokelau</w:t>
        </w:r>
        <w:r w:rsidRPr="001D5327">
          <w:rPr>
            <w:noProof/>
            <w:webHidden/>
          </w:rPr>
          <w:tab/>
        </w:r>
        <w:r w:rsidRPr="001D5327">
          <w:rPr>
            <w:noProof/>
            <w:webHidden/>
          </w:rPr>
          <w:fldChar w:fldCharType="begin"/>
        </w:r>
        <w:r w:rsidRPr="001D5327">
          <w:rPr>
            <w:noProof/>
            <w:webHidden/>
          </w:rPr>
          <w:instrText xml:space="preserve"> PAGEREF _Toc194312061 \h </w:instrText>
        </w:r>
        <w:r w:rsidRPr="001D5327">
          <w:rPr>
            <w:noProof/>
            <w:webHidden/>
          </w:rPr>
        </w:r>
        <w:r w:rsidRPr="001D5327">
          <w:rPr>
            <w:noProof/>
            <w:webHidden/>
          </w:rPr>
          <w:fldChar w:fldCharType="separate"/>
        </w:r>
        <w:r w:rsidR="00B93180">
          <w:rPr>
            <w:noProof/>
            <w:webHidden/>
          </w:rPr>
          <w:t>382</w:t>
        </w:r>
        <w:r w:rsidRPr="001D5327">
          <w:rPr>
            <w:noProof/>
            <w:webHidden/>
          </w:rPr>
          <w:fldChar w:fldCharType="end"/>
        </w:r>
      </w:hyperlink>
    </w:p>
    <w:p w14:paraId="40CE0A15" w14:textId="572112F6"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62" w:history="1">
        <w:r w:rsidRPr="001D5327">
          <w:rPr>
            <w:rStyle w:val="Hyperlink"/>
            <w:noProof/>
          </w:rPr>
          <w:t>Chapter 8: References</w:t>
        </w:r>
        <w:r w:rsidRPr="001D5327">
          <w:rPr>
            <w:noProof/>
            <w:webHidden/>
          </w:rPr>
          <w:tab/>
        </w:r>
        <w:r w:rsidRPr="001D5327">
          <w:rPr>
            <w:noProof/>
            <w:webHidden/>
          </w:rPr>
          <w:fldChar w:fldCharType="begin"/>
        </w:r>
        <w:r w:rsidRPr="001D5327">
          <w:rPr>
            <w:noProof/>
            <w:webHidden/>
          </w:rPr>
          <w:instrText xml:space="preserve"> PAGEREF _Toc194312062 \h </w:instrText>
        </w:r>
        <w:r w:rsidRPr="001D5327">
          <w:rPr>
            <w:noProof/>
            <w:webHidden/>
          </w:rPr>
        </w:r>
        <w:r w:rsidRPr="001D5327">
          <w:rPr>
            <w:noProof/>
            <w:webHidden/>
          </w:rPr>
          <w:fldChar w:fldCharType="separate"/>
        </w:r>
        <w:r w:rsidR="00B93180">
          <w:rPr>
            <w:noProof/>
            <w:webHidden/>
          </w:rPr>
          <w:t>385</w:t>
        </w:r>
        <w:r w:rsidRPr="001D5327">
          <w:rPr>
            <w:noProof/>
            <w:webHidden/>
          </w:rPr>
          <w:fldChar w:fldCharType="end"/>
        </w:r>
      </w:hyperlink>
    </w:p>
    <w:p w14:paraId="3B65A5AA" w14:textId="1F1679DA" w:rsidR="009F49B5" w:rsidRPr="001D5327" w:rsidRDefault="009F49B5">
      <w:pPr>
        <w:pStyle w:val="TOC1"/>
        <w:rPr>
          <w:rFonts w:asciiTheme="minorHAnsi" w:eastAsiaTheme="minorEastAsia" w:hAnsiTheme="minorHAnsi" w:cstheme="minorBidi"/>
          <w:noProof/>
          <w:kern w:val="2"/>
          <w:sz w:val="24"/>
          <w:szCs w:val="24"/>
          <w14:ligatures w14:val="standardContextual"/>
        </w:rPr>
      </w:pPr>
      <w:hyperlink w:anchor="_Toc194312063" w:history="1">
        <w:r w:rsidRPr="001D5327">
          <w:rPr>
            <w:rStyle w:val="Hyperlink"/>
            <w:noProof/>
          </w:rPr>
          <w:t>Chapter 9: Indirect carbon dioxide and nitrous oxide emissions</w:t>
        </w:r>
        <w:r w:rsidRPr="001D5327">
          <w:rPr>
            <w:noProof/>
            <w:webHidden/>
          </w:rPr>
          <w:tab/>
        </w:r>
        <w:r w:rsidRPr="001D5327">
          <w:rPr>
            <w:noProof/>
            <w:webHidden/>
          </w:rPr>
          <w:fldChar w:fldCharType="begin"/>
        </w:r>
        <w:r w:rsidRPr="001D5327">
          <w:rPr>
            <w:noProof/>
            <w:webHidden/>
          </w:rPr>
          <w:instrText xml:space="preserve"> PAGEREF _Toc194312063 \h </w:instrText>
        </w:r>
        <w:r w:rsidRPr="001D5327">
          <w:rPr>
            <w:noProof/>
            <w:webHidden/>
          </w:rPr>
        </w:r>
        <w:r w:rsidRPr="001D5327">
          <w:rPr>
            <w:noProof/>
            <w:webHidden/>
          </w:rPr>
          <w:fldChar w:fldCharType="separate"/>
        </w:r>
        <w:r w:rsidR="00B93180">
          <w:rPr>
            <w:noProof/>
            <w:webHidden/>
          </w:rPr>
          <w:t>386</w:t>
        </w:r>
        <w:r w:rsidRPr="001D5327">
          <w:rPr>
            <w:noProof/>
            <w:webHidden/>
          </w:rPr>
          <w:fldChar w:fldCharType="end"/>
        </w:r>
      </w:hyperlink>
    </w:p>
    <w:p w14:paraId="45914306" w14:textId="7D36A329" w:rsidR="009F49B5" w:rsidRPr="001D5327" w:rsidRDefault="009F49B5">
      <w:pPr>
        <w:pStyle w:val="TOC1"/>
        <w:rPr>
          <w:rFonts w:asciiTheme="minorHAnsi" w:eastAsiaTheme="minorEastAsia" w:hAnsiTheme="minorHAnsi" w:cstheme="minorBidi"/>
          <w:noProof/>
          <w:kern w:val="2"/>
          <w:sz w:val="24"/>
          <w:szCs w:val="24"/>
          <w14:ligatures w14:val="standardContextual"/>
        </w:rPr>
      </w:pPr>
      <w:hyperlink w:anchor="_Toc194312064" w:history="1">
        <w:r w:rsidRPr="001D5327">
          <w:rPr>
            <w:rStyle w:val="Hyperlink"/>
            <w:noProof/>
          </w:rPr>
          <w:t>Chapter 10: Recalculations and improvements</w:t>
        </w:r>
        <w:r w:rsidRPr="001D5327">
          <w:rPr>
            <w:noProof/>
            <w:webHidden/>
          </w:rPr>
          <w:tab/>
        </w:r>
        <w:r w:rsidRPr="001D5327">
          <w:rPr>
            <w:noProof/>
            <w:webHidden/>
          </w:rPr>
          <w:fldChar w:fldCharType="begin"/>
        </w:r>
        <w:r w:rsidRPr="001D5327">
          <w:rPr>
            <w:noProof/>
            <w:webHidden/>
          </w:rPr>
          <w:instrText xml:space="preserve"> PAGEREF _Toc194312064 \h </w:instrText>
        </w:r>
        <w:r w:rsidRPr="001D5327">
          <w:rPr>
            <w:noProof/>
            <w:webHidden/>
          </w:rPr>
        </w:r>
        <w:r w:rsidRPr="001D5327">
          <w:rPr>
            <w:noProof/>
            <w:webHidden/>
          </w:rPr>
          <w:fldChar w:fldCharType="separate"/>
        </w:r>
        <w:r w:rsidR="00B93180">
          <w:rPr>
            <w:noProof/>
            <w:webHidden/>
          </w:rPr>
          <w:t>387</w:t>
        </w:r>
        <w:r w:rsidRPr="001D5327">
          <w:rPr>
            <w:noProof/>
            <w:webHidden/>
          </w:rPr>
          <w:fldChar w:fldCharType="end"/>
        </w:r>
      </w:hyperlink>
    </w:p>
    <w:p w14:paraId="70C515F8" w14:textId="0D9487D4"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65" w:history="1">
        <w:r w:rsidRPr="001D5327">
          <w:rPr>
            <w:rStyle w:val="Hyperlink"/>
            <w:noProof/>
          </w:rPr>
          <w:t xml:space="preserve">10.1 </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Explanations and justifications for recalculations, including in response to the review process</w:t>
        </w:r>
        <w:r w:rsidRPr="001D5327">
          <w:rPr>
            <w:noProof/>
            <w:webHidden/>
          </w:rPr>
          <w:tab/>
        </w:r>
        <w:r w:rsidRPr="001D5327">
          <w:rPr>
            <w:noProof/>
            <w:webHidden/>
          </w:rPr>
          <w:fldChar w:fldCharType="begin"/>
        </w:r>
        <w:r w:rsidRPr="001D5327">
          <w:rPr>
            <w:noProof/>
            <w:webHidden/>
          </w:rPr>
          <w:instrText xml:space="preserve"> PAGEREF _Toc194312065 \h </w:instrText>
        </w:r>
        <w:r w:rsidRPr="001D5327">
          <w:rPr>
            <w:noProof/>
            <w:webHidden/>
          </w:rPr>
        </w:r>
        <w:r w:rsidRPr="001D5327">
          <w:rPr>
            <w:noProof/>
            <w:webHidden/>
          </w:rPr>
          <w:fldChar w:fldCharType="separate"/>
        </w:r>
        <w:r w:rsidR="00B93180">
          <w:rPr>
            <w:noProof/>
            <w:webHidden/>
          </w:rPr>
          <w:t>387</w:t>
        </w:r>
        <w:r w:rsidRPr="001D5327">
          <w:rPr>
            <w:noProof/>
            <w:webHidden/>
          </w:rPr>
          <w:fldChar w:fldCharType="end"/>
        </w:r>
      </w:hyperlink>
    </w:p>
    <w:p w14:paraId="53E8AE4C" w14:textId="1D7774EC"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66" w:history="1">
        <w:r w:rsidRPr="001D5327">
          <w:rPr>
            <w:rStyle w:val="Hyperlink"/>
            <w:noProof/>
          </w:rPr>
          <w:t>10.2</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Implications for emissions and removal levels and trends, including time-series consistency</w:t>
        </w:r>
        <w:r w:rsidRPr="001D5327">
          <w:rPr>
            <w:noProof/>
            <w:webHidden/>
          </w:rPr>
          <w:tab/>
        </w:r>
        <w:r w:rsidRPr="001D5327">
          <w:rPr>
            <w:noProof/>
            <w:webHidden/>
          </w:rPr>
          <w:fldChar w:fldCharType="begin"/>
        </w:r>
        <w:r w:rsidRPr="001D5327">
          <w:rPr>
            <w:noProof/>
            <w:webHidden/>
          </w:rPr>
          <w:instrText xml:space="preserve"> PAGEREF _Toc194312066 \h </w:instrText>
        </w:r>
        <w:r w:rsidRPr="001D5327">
          <w:rPr>
            <w:noProof/>
            <w:webHidden/>
          </w:rPr>
        </w:r>
        <w:r w:rsidRPr="001D5327">
          <w:rPr>
            <w:noProof/>
            <w:webHidden/>
          </w:rPr>
          <w:fldChar w:fldCharType="separate"/>
        </w:r>
        <w:r w:rsidR="00B93180">
          <w:rPr>
            <w:noProof/>
            <w:webHidden/>
          </w:rPr>
          <w:t>388</w:t>
        </w:r>
        <w:r w:rsidRPr="001D5327">
          <w:rPr>
            <w:noProof/>
            <w:webHidden/>
          </w:rPr>
          <w:fldChar w:fldCharType="end"/>
        </w:r>
      </w:hyperlink>
    </w:p>
    <w:p w14:paraId="20738655" w14:textId="0175DCA4"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67" w:history="1">
        <w:r w:rsidRPr="001D5327">
          <w:rPr>
            <w:rStyle w:val="Hyperlink"/>
            <w:noProof/>
          </w:rPr>
          <w:t xml:space="preserve">10.3 </w:t>
        </w:r>
        <w:r w:rsidRPr="001D5327">
          <w:rPr>
            <w:rFonts w:asciiTheme="minorHAnsi" w:eastAsiaTheme="minorEastAsia" w:hAnsiTheme="minorHAnsi" w:cstheme="minorBidi"/>
            <w:noProof/>
            <w:kern w:val="2"/>
            <w:sz w:val="24"/>
            <w:szCs w:val="24"/>
            <w14:ligatures w14:val="standardContextual"/>
          </w:rPr>
          <w:tab/>
        </w:r>
        <w:r w:rsidRPr="001D5327">
          <w:rPr>
            <w:rStyle w:val="Hyperlink"/>
            <w:noProof/>
          </w:rPr>
          <w:t>Areas of improvement and/or capacity building in response to the review process</w:t>
        </w:r>
        <w:r w:rsidRPr="001D5327">
          <w:rPr>
            <w:noProof/>
            <w:webHidden/>
          </w:rPr>
          <w:tab/>
        </w:r>
        <w:r w:rsidRPr="001D5327">
          <w:rPr>
            <w:noProof/>
            <w:webHidden/>
          </w:rPr>
          <w:fldChar w:fldCharType="begin"/>
        </w:r>
        <w:r w:rsidRPr="001D5327">
          <w:rPr>
            <w:noProof/>
            <w:webHidden/>
          </w:rPr>
          <w:instrText xml:space="preserve"> PAGEREF _Toc194312067 \h </w:instrText>
        </w:r>
        <w:r w:rsidRPr="001D5327">
          <w:rPr>
            <w:noProof/>
            <w:webHidden/>
          </w:rPr>
        </w:r>
        <w:r w:rsidRPr="001D5327">
          <w:rPr>
            <w:noProof/>
            <w:webHidden/>
          </w:rPr>
          <w:fldChar w:fldCharType="separate"/>
        </w:r>
        <w:r w:rsidR="00B93180">
          <w:rPr>
            <w:noProof/>
            <w:webHidden/>
          </w:rPr>
          <w:t>402</w:t>
        </w:r>
        <w:r w:rsidRPr="001D5327">
          <w:rPr>
            <w:noProof/>
            <w:webHidden/>
          </w:rPr>
          <w:fldChar w:fldCharType="end"/>
        </w:r>
      </w:hyperlink>
    </w:p>
    <w:p w14:paraId="0AF533DD" w14:textId="4D7E0D3B" w:rsidR="009F49B5" w:rsidRPr="001D5327" w:rsidRDefault="009F49B5">
      <w:pPr>
        <w:pStyle w:val="TOC2"/>
        <w:rPr>
          <w:rFonts w:asciiTheme="minorHAnsi" w:eastAsiaTheme="minorEastAsia" w:hAnsiTheme="minorHAnsi" w:cstheme="minorBidi"/>
          <w:noProof/>
          <w:kern w:val="2"/>
          <w:sz w:val="24"/>
          <w:szCs w:val="24"/>
          <w14:ligatures w14:val="standardContextual"/>
        </w:rPr>
      </w:pPr>
      <w:hyperlink w:anchor="_Toc194312068" w:history="1">
        <w:r w:rsidRPr="001D5327">
          <w:rPr>
            <w:rStyle w:val="Hyperlink"/>
            <w:noProof/>
          </w:rPr>
          <w:t>Chapter 10: References</w:t>
        </w:r>
        <w:r w:rsidRPr="001D5327">
          <w:rPr>
            <w:noProof/>
            <w:webHidden/>
          </w:rPr>
          <w:tab/>
        </w:r>
        <w:r w:rsidRPr="001D5327">
          <w:rPr>
            <w:noProof/>
            <w:webHidden/>
          </w:rPr>
          <w:fldChar w:fldCharType="begin"/>
        </w:r>
        <w:r w:rsidRPr="001D5327">
          <w:rPr>
            <w:noProof/>
            <w:webHidden/>
          </w:rPr>
          <w:instrText xml:space="preserve"> PAGEREF _Toc194312068 \h </w:instrText>
        </w:r>
        <w:r w:rsidRPr="001D5327">
          <w:rPr>
            <w:noProof/>
            <w:webHidden/>
          </w:rPr>
        </w:r>
        <w:r w:rsidRPr="001D5327">
          <w:rPr>
            <w:noProof/>
            <w:webHidden/>
          </w:rPr>
          <w:fldChar w:fldCharType="separate"/>
        </w:r>
        <w:r w:rsidR="00B93180">
          <w:rPr>
            <w:noProof/>
            <w:webHidden/>
          </w:rPr>
          <w:t>426</w:t>
        </w:r>
        <w:r w:rsidRPr="001D5327">
          <w:rPr>
            <w:noProof/>
            <w:webHidden/>
          </w:rPr>
          <w:fldChar w:fldCharType="end"/>
        </w:r>
      </w:hyperlink>
    </w:p>
    <w:p w14:paraId="09289E4C" w14:textId="7BD3559C" w:rsidR="00E33B6A" w:rsidRDefault="00412FF7" w:rsidP="009D7D38">
      <w:pPr>
        <w:pStyle w:val="BodyText"/>
      </w:pPr>
      <w:r w:rsidRPr="001D5327">
        <w:fldChar w:fldCharType="end"/>
      </w:r>
    </w:p>
    <w:p w14:paraId="3051BFA5" w14:textId="76D80625" w:rsidR="009D7D38" w:rsidRPr="00BB3235" w:rsidRDefault="00BB3235" w:rsidP="00BB3235">
      <w:pPr>
        <w:pStyle w:val="BodyText"/>
      </w:pPr>
      <w:r w:rsidRPr="00BB3235">
        <w:rPr>
          <w:rFonts w:eastAsia="Aptos"/>
        </w:rPr>
        <w:t xml:space="preserve">Annexes 1 to 9: </w:t>
      </w:r>
      <w:hyperlink r:id="rId25" w:history="1">
        <w:r w:rsidRPr="006D7902">
          <w:rPr>
            <w:rStyle w:val="Hyperlink"/>
            <w:i/>
            <w:iCs/>
          </w:rPr>
          <w:t>New Zealand’s Greenhouse Gas Inventory 1990–2023: Volume 2</w:t>
        </w:r>
      </w:hyperlink>
    </w:p>
    <w:p w14:paraId="53F5496F" w14:textId="77777777" w:rsidR="009D7D38" w:rsidRPr="001D5327" w:rsidRDefault="009D7D38" w:rsidP="00E33B6A"/>
    <w:p w14:paraId="5892414D" w14:textId="77777777" w:rsidR="00CB0864" w:rsidRPr="001D5327" w:rsidRDefault="00CB0864" w:rsidP="00CB0864">
      <w:pPr>
        <w:pStyle w:val="BodyText"/>
        <w:sectPr w:rsidR="00CB0864" w:rsidRPr="001D5327" w:rsidSect="00E33B6A">
          <w:pgSz w:w="11907" w:h="16840" w:code="9"/>
          <w:pgMar w:top="1418" w:right="1701" w:bottom="1418" w:left="1701" w:header="567" w:footer="567" w:gutter="0"/>
          <w:pgNumType w:fmt="lowerRoman"/>
          <w:cols w:space="720"/>
        </w:sectPr>
      </w:pPr>
    </w:p>
    <w:p w14:paraId="764D88C5" w14:textId="64AD4322" w:rsidR="00E33B6A" w:rsidRPr="001D5327" w:rsidRDefault="00E33B6A" w:rsidP="003B0F83">
      <w:pPr>
        <w:pStyle w:val="Heading"/>
      </w:pPr>
      <w:r w:rsidRPr="001D5327">
        <w:lastRenderedPageBreak/>
        <w:t>Tables</w:t>
      </w:r>
    </w:p>
    <w:p w14:paraId="769C405F" w14:textId="66BAB3ED" w:rsidR="00EA733B" w:rsidRPr="001D5327" w:rsidRDefault="00AA0E48">
      <w:pPr>
        <w:pStyle w:val="TableofFigures"/>
        <w:rPr>
          <w:rFonts w:asciiTheme="minorHAnsi" w:eastAsiaTheme="minorEastAsia" w:hAnsiTheme="minorHAnsi" w:cstheme="minorBidi"/>
          <w:kern w:val="2"/>
          <w:sz w:val="24"/>
          <w:szCs w:val="24"/>
          <w14:ligatures w14:val="standardContextual"/>
        </w:rPr>
      </w:pPr>
      <w:r w:rsidRPr="001D5327">
        <w:rPr>
          <w:rFonts w:ascii="Arial" w:hAnsi="Arial"/>
        </w:rPr>
        <w:fldChar w:fldCharType="begin"/>
      </w:r>
      <w:r w:rsidRPr="001D5327">
        <w:rPr>
          <w:rFonts w:ascii="Arial" w:hAnsi="Arial"/>
        </w:rPr>
        <w:instrText xml:space="preserve"> TOC \h \z \t "Table" \c </w:instrText>
      </w:r>
      <w:r w:rsidRPr="001D5327">
        <w:rPr>
          <w:rFonts w:ascii="Arial" w:hAnsi="Arial"/>
        </w:rPr>
        <w:fldChar w:fldCharType="separate"/>
      </w:r>
      <w:hyperlink w:anchor="_Toc194241657" w:history="1">
        <w:r w:rsidR="00EA733B" w:rsidRPr="001D5327">
          <w:rPr>
            <w:rStyle w:val="Hyperlink"/>
            <w:bCs/>
          </w:rPr>
          <w:t>Table ES 2.1</w:t>
        </w:r>
        <w:r w:rsidR="00EA733B" w:rsidRPr="001D5327">
          <w:rPr>
            <w:rFonts w:asciiTheme="minorHAnsi" w:eastAsiaTheme="minorEastAsia" w:hAnsiTheme="minorHAnsi" w:cstheme="minorBidi"/>
            <w:kern w:val="2"/>
            <w:sz w:val="24"/>
            <w:szCs w:val="24"/>
            <w14:ligatures w14:val="standardContextual"/>
          </w:rPr>
          <w:tab/>
        </w:r>
        <w:r w:rsidR="00EA733B" w:rsidRPr="001D5327">
          <w:rPr>
            <w:rStyle w:val="Hyperlink"/>
          </w:rPr>
          <w:t xml:space="preserve">New Zealand’s gross emissions by gas in </w:t>
        </w:r>
        <w:r w:rsidR="00EA733B" w:rsidRPr="001D5327">
          <w:rPr>
            <w:rStyle w:val="Hyperlink"/>
            <w:bCs/>
          </w:rPr>
          <w:t>1990</w:t>
        </w:r>
        <w:r w:rsidR="00EA733B" w:rsidRPr="001D5327">
          <w:rPr>
            <w:rStyle w:val="Hyperlink"/>
          </w:rPr>
          <w:t xml:space="preserve"> and </w:t>
        </w:r>
        <w:r w:rsidR="00EA733B" w:rsidRPr="001D5327">
          <w:rPr>
            <w:rStyle w:val="Hyperlink"/>
            <w:bCs/>
          </w:rPr>
          <w:t>2023</w:t>
        </w:r>
        <w:r w:rsidR="00EA733B" w:rsidRPr="001D5327">
          <w:rPr>
            <w:webHidden/>
          </w:rPr>
          <w:tab/>
        </w:r>
        <w:r w:rsidR="00EA733B" w:rsidRPr="001D5327">
          <w:rPr>
            <w:webHidden/>
          </w:rPr>
          <w:fldChar w:fldCharType="begin"/>
        </w:r>
        <w:r w:rsidR="00EA733B" w:rsidRPr="001D5327">
          <w:rPr>
            <w:webHidden/>
          </w:rPr>
          <w:instrText xml:space="preserve"> PAGEREF _Toc194241657 \h </w:instrText>
        </w:r>
        <w:r w:rsidR="00EA733B" w:rsidRPr="001D5327">
          <w:rPr>
            <w:webHidden/>
          </w:rPr>
        </w:r>
        <w:r w:rsidR="00EA733B" w:rsidRPr="001D5327">
          <w:rPr>
            <w:webHidden/>
          </w:rPr>
          <w:fldChar w:fldCharType="separate"/>
        </w:r>
        <w:r w:rsidR="00B93180">
          <w:rPr>
            <w:noProof/>
            <w:webHidden/>
          </w:rPr>
          <w:t>xxvii</w:t>
        </w:r>
        <w:r w:rsidR="00EA733B" w:rsidRPr="001D5327">
          <w:rPr>
            <w:webHidden/>
          </w:rPr>
          <w:fldChar w:fldCharType="end"/>
        </w:r>
      </w:hyperlink>
    </w:p>
    <w:p w14:paraId="635E742C" w14:textId="38E8D35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58" w:history="1">
        <w:r w:rsidRPr="001D5327">
          <w:rPr>
            <w:rStyle w:val="Hyperlink"/>
            <w:bCs/>
          </w:rPr>
          <w:t>Table ES 4.1</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New Zealand’s indirect greenhouse gas emissions (excluding LULUCF) in </w:t>
        </w:r>
        <w:r w:rsidRPr="001D5327">
          <w:rPr>
            <w:rStyle w:val="Hyperlink"/>
            <w:bCs/>
          </w:rPr>
          <w:t>1990</w:t>
        </w:r>
        <w:r w:rsidRPr="001D5327">
          <w:rPr>
            <w:rStyle w:val="Hyperlink"/>
          </w:rPr>
          <w:t> and </w:t>
        </w:r>
        <w:r w:rsidRPr="001D5327">
          <w:rPr>
            <w:rStyle w:val="Hyperlink"/>
            <w:bCs/>
          </w:rPr>
          <w:t>2023</w:t>
        </w:r>
        <w:r w:rsidRPr="001D5327">
          <w:rPr>
            <w:webHidden/>
          </w:rPr>
          <w:tab/>
        </w:r>
        <w:r w:rsidRPr="001D5327">
          <w:rPr>
            <w:webHidden/>
          </w:rPr>
          <w:fldChar w:fldCharType="begin"/>
        </w:r>
        <w:r w:rsidRPr="001D5327">
          <w:rPr>
            <w:webHidden/>
          </w:rPr>
          <w:instrText xml:space="preserve"> PAGEREF _Toc194241658 \h </w:instrText>
        </w:r>
        <w:r w:rsidRPr="001D5327">
          <w:rPr>
            <w:webHidden/>
          </w:rPr>
        </w:r>
        <w:r w:rsidRPr="001D5327">
          <w:rPr>
            <w:webHidden/>
          </w:rPr>
          <w:fldChar w:fldCharType="separate"/>
        </w:r>
        <w:r w:rsidR="00B93180">
          <w:rPr>
            <w:noProof/>
            <w:webHidden/>
          </w:rPr>
          <w:t>xxxv</w:t>
        </w:r>
        <w:r w:rsidRPr="001D5327">
          <w:rPr>
            <w:webHidden/>
          </w:rPr>
          <w:fldChar w:fldCharType="end"/>
        </w:r>
      </w:hyperlink>
    </w:p>
    <w:p w14:paraId="399B98F9" w14:textId="53744560"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59" w:history="1">
        <w:r w:rsidRPr="001D5327">
          <w:rPr>
            <w:rStyle w:val="Hyperlink"/>
          </w:rPr>
          <w:t>Table 1.5.1</w:t>
        </w:r>
        <w:r w:rsidRPr="001D5327">
          <w:rPr>
            <w:rFonts w:asciiTheme="minorHAnsi" w:eastAsiaTheme="minorEastAsia" w:hAnsiTheme="minorHAnsi" w:cstheme="minorBidi"/>
            <w:kern w:val="2"/>
            <w:sz w:val="24"/>
            <w:szCs w:val="24"/>
            <w14:ligatures w14:val="standardContextual"/>
          </w:rPr>
          <w:tab/>
        </w:r>
        <w:r w:rsidRPr="001D5327">
          <w:rPr>
            <w:rStyle w:val="Hyperlink"/>
          </w:rPr>
          <w:t>Agency responsible for each sector</w:t>
        </w:r>
        <w:r w:rsidRPr="001D5327">
          <w:rPr>
            <w:webHidden/>
          </w:rPr>
          <w:tab/>
        </w:r>
        <w:r w:rsidRPr="001D5327">
          <w:rPr>
            <w:webHidden/>
          </w:rPr>
          <w:fldChar w:fldCharType="begin"/>
        </w:r>
        <w:r w:rsidRPr="001D5327">
          <w:rPr>
            <w:webHidden/>
          </w:rPr>
          <w:instrText xml:space="preserve"> PAGEREF _Toc194241659 \h </w:instrText>
        </w:r>
        <w:r w:rsidRPr="001D5327">
          <w:rPr>
            <w:webHidden/>
          </w:rPr>
        </w:r>
        <w:r w:rsidRPr="001D5327">
          <w:rPr>
            <w:webHidden/>
          </w:rPr>
          <w:fldChar w:fldCharType="separate"/>
        </w:r>
        <w:r w:rsidR="00B93180">
          <w:rPr>
            <w:noProof/>
            <w:webHidden/>
          </w:rPr>
          <w:t>15</w:t>
        </w:r>
        <w:r w:rsidRPr="001D5327">
          <w:rPr>
            <w:webHidden/>
          </w:rPr>
          <w:fldChar w:fldCharType="end"/>
        </w:r>
      </w:hyperlink>
    </w:p>
    <w:p w14:paraId="21484BE5" w14:textId="58248C2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60" w:history="1">
        <w:r w:rsidRPr="001D5327">
          <w:rPr>
            <w:rStyle w:val="Hyperlink"/>
          </w:rPr>
          <w:t>Table 1.5.2</w:t>
        </w:r>
        <w:r w:rsidRPr="001D5327">
          <w:rPr>
            <w:rFonts w:asciiTheme="minorHAnsi" w:eastAsiaTheme="minorEastAsia" w:hAnsiTheme="minorHAnsi" w:cstheme="minorBidi"/>
            <w:kern w:val="2"/>
            <w:sz w:val="24"/>
            <w:szCs w:val="24"/>
            <w14:ligatures w14:val="standardContextual"/>
          </w:rPr>
          <w:tab/>
        </w:r>
        <w:r w:rsidRPr="001D5327">
          <w:rPr>
            <w:rStyle w:val="Hyperlink"/>
          </w:rPr>
          <w:t>Dates for sector entry into the New Zealand Emissions Trading Scheme</w:t>
        </w:r>
        <w:r w:rsidRPr="001D5327">
          <w:rPr>
            <w:webHidden/>
          </w:rPr>
          <w:tab/>
        </w:r>
        <w:r w:rsidRPr="001D5327">
          <w:rPr>
            <w:webHidden/>
          </w:rPr>
          <w:fldChar w:fldCharType="begin"/>
        </w:r>
        <w:r w:rsidRPr="001D5327">
          <w:rPr>
            <w:webHidden/>
          </w:rPr>
          <w:instrText xml:space="preserve"> PAGEREF _Toc194241660 \h </w:instrText>
        </w:r>
        <w:r w:rsidRPr="001D5327">
          <w:rPr>
            <w:webHidden/>
          </w:rPr>
        </w:r>
        <w:r w:rsidRPr="001D5327">
          <w:rPr>
            <w:webHidden/>
          </w:rPr>
          <w:fldChar w:fldCharType="separate"/>
        </w:r>
        <w:r w:rsidR="00B93180">
          <w:rPr>
            <w:noProof/>
            <w:webHidden/>
          </w:rPr>
          <w:t>18</w:t>
        </w:r>
        <w:r w:rsidRPr="001D5327">
          <w:rPr>
            <w:webHidden/>
          </w:rPr>
          <w:fldChar w:fldCharType="end"/>
        </w:r>
      </w:hyperlink>
    </w:p>
    <w:p w14:paraId="6D9455F2" w14:textId="65FF5968"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61" w:history="1">
        <w:r w:rsidRPr="001D5327">
          <w:rPr>
            <w:rStyle w:val="Hyperlink"/>
          </w:rPr>
          <w:t>Table 1.7.1</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Summary of ‘NE’ (not estimated) entries in the </w:t>
        </w:r>
        <w:r w:rsidRPr="001D5327">
          <w:rPr>
            <w:rStyle w:val="Hyperlink"/>
            <w:bCs/>
          </w:rPr>
          <w:t>2025</w:t>
        </w:r>
        <w:r w:rsidRPr="001D5327">
          <w:rPr>
            <w:rStyle w:val="Hyperlink"/>
          </w:rPr>
          <w:t xml:space="preserve"> submission</w:t>
        </w:r>
        <w:r w:rsidRPr="001D5327">
          <w:rPr>
            <w:webHidden/>
          </w:rPr>
          <w:tab/>
        </w:r>
        <w:r w:rsidRPr="001D5327">
          <w:rPr>
            <w:webHidden/>
          </w:rPr>
          <w:fldChar w:fldCharType="begin"/>
        </w:r>
        <w:r w:rsidRPr="001D5327">
          <w:rPr>
            <w:webHidden/>
          </w:rPr>
          <w:instrText xml:space="preserve"> PAGEREF _Toc194241661 \h </w:instrText>
        </w:r>
        <w:r w:rsidRPr="001D5327">
          <w:rPr>
            <w:webHidden/>
          </w:rPr>
        </w:r>
        <w:r w:rsidRPr="001D5327">
          <w:rPr>
            <w:webHidden/>
          </w:rPr>
          <w:fldChar w:fldCharType="separate"/>
        </w:r>
        <w:r w:rsidR="00B93180">
          <w:rPr>
            <w:noProof/>
            <w:webHidden/>
          </w:rPr>
          <w:t>22</w:t>
        </w:r>
        <w:r w:rsidRPr="001D5327">
          <w:rPr>
            <w:webHidden/>
          </w:rPr>
          <w:fldChar w:fldCharType="end"/>
        </w:r>
      </w:hyperlink>
    </w:p>
    <w:p w14:paraId="6EB2293C" w14:textId="32EA827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62" w:history="1">
        <w:r w:rsidRPr="001D5327">
          <w:rPr>
            <w:rStyle w:val="Hyperlink"/>
          </w:rPr>
          <w:t>Table 1.7.2</w:t>
        </w:r>
        <w:r w:rsidRPr="001D5327">
          <w:rPr>
            <w:rFonts w:asciiTheme="minorHAnsi" w:eastAsiaTheme="minorEastAsia" w:hAnsiTheme="minorHAnsi" w:cstheme="minorBidi"/>
            <w:kern w:val="2"/>
            <w:sz w:val="24"/>
            <w:szCs w:val="24"/>
            <w14:ligatures w14:val="standardContextual"/>
          </w:rPr>
          <w:tab/>
        </w:r>
        <w:r w:rsidRPr="001D5327">
          <w:rPr>
            <w:rStyle w:val="Hyperlink"/>
          </w:rPr>
          <w:t>Emissions reported using the ‘IE’ (included elsewhere) notation key in the 2025 submission</w:t>
        </w:r>
        <w:r w:rsidRPr="001D5327">
          <w:rPr>
            <w:webHidden/>
          </w:rPr>
          <w:tab/>
        </w:r>
        <w:r w:rsidRPr="001D5327">
          <w:rPr>
            <w:webHidden/>
          </w:rPr>
          <w:fldChar w:fldCharType="begin"/>
        </w:r>
        <w:r w:rsidRPr="001D5327">
          <w:rPr>
            <w:webHidden/>
          </w:rPr>
          <w:instrText xml:space="preserve"> PAGEREF _Toc194241662 \h </w:instrText>
        </w:r>
        <w:r w:rsidRPr="001D5327">
          <w:rPr>
            <w:webHidden/>
          </w:rPr>
        </w:r>
        <w:r w:rsidRPr="001D5327">
          <w:rPr>
            <w:webHidden/>
          </w:rPr>
          <w:fldChar w:fldCharType="separate"/>
        </w:r>
        <w:r w:rsidR="00B93180">
          <w:rPr>
            <w:noProof/>
            <w:webHidden/>
          </w:rPr>
          <w:t>25</w:t>
        </w:r>
        <w:r w:rsidRPr="001D5327">
          <w:rPr>
            <w:webHidden/>
          </w:rPr>
          <w:fldChar w:fldCharType="end"/>
        </w:r>
      </w:hyperlink>
    </w:p>
    <w:p w14:paraId="43E4DA9B" w14:textId="24F470E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63" w:history="1">
        <w:r w:rsidRPr="001D5327">
          <w:rPr>
            <w:rStyle w:val="Hyperlink"/>
          </w:rPr>
          <w:t>Table 2.2.1</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New Zealand’s emissions by sector, comparing </w:t>
        </w:r>
        <w:r w:rsidRPr="001D5327">
          <w:rPr>
            <w:rStyle w:val="Hyperlink"/>
            <w:bCs/>
          </w:rPr>
          <w:t>1990</w:t>
        </w:r>
        <w:r w:rsidRPr="001D5327">
          <w:rPr>
            <w:rStyle w:val="Hyperlink"/>
          </w:rPr>
          <w:t xml:space="preserve"> and </w:t>
        </w:r>
        <w:r w:rsidRPr="001D5327">
          <w:rPr>
            <w:rStyle w:val="Hyperlink"/>
            <w:bCs/>
          </w:rPr>
          <w:t>2023</w:t>
        </w:r>
        <w:r w:rsidRPr="001D5327">
          <w:rPr>
            <w:webHidden/>
          </w:rPr>
          <w:tab/>
        </w:r>
        <w:r w:rsidRPr="001D5327">
          <w:rPr>
            <w:webHidden/>
          </w:rPr>
          <w:fldChar w:fldCharType="begin"/>
        </w:r>
        <w:r w:rsidRPr="001D5327">
          <w:rPr>
            <w:webHidden/>
          </w:rPr>
          <w:instrText xml:space="preserve"> PAGEREF _Toc194241663 \h </w:instrText>
        </w:r>
        <w:r w:rsidRPr="001D5327">
          <w:rPr>
            <w:webHidden/>
          </w:rPr>
        </w:r>
        <w:r w:rsidRPr="001D5327">
          <w:rPr>
            <w:webHidden/>
          </w:rPr>
          <w:fldChar w:fldCharType="separate"/>
        </w:r>
        <w:r w:rsidR="00B93180">
          <w:rPr>
            <w:noProof/>
            <w:webHidden/>
          </w:rPr>
          <w:t>38</w:t>
        </w:r>
        <w:r w:rsidRPr="001D5327">
          <w:rPr>
            <w:webHidden/>
          </w:rPr>
          <w:fldChar w:fldCharType="end"/>
        </w:r>
      </w:hyperlink>
    </w:p>
    <w:p w14:paraId="3DA3573B" w14:textId="72BED370"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64" w:history="1">
        <w:r w:rsidRPr="001D5327">
          <w:rPr>
            <w:rStyle w:val="Hyperlink"/>
          </w:rPr>
          <w:t>Table 2.2.2</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Emissions from Tokelau, </w:t>
        </w:r>
        <w:r w:rsidRPr="001D5327">
          <w:rPr>
            <w:rStyle w:val="Hyperlink"/>
            <w:bCs/>
          </w:rPr>
          <w:t>1990</w:t>
        </w:r>
        <w:r w:rsidRPr="001D5327">
          <w:rPr>
            <w:rStyle w:val="Hyperlink"/>
          </w:rPr>
          <w:t xml:space="preserve"> and </w:t>
        </w:r>
        <w:r w:rsidRPr="001D5327">
          <w:rPr>
            <w:rStyle w:val="Hyperlink"/>
            <w:bCs/>
          </w:rPr>
          <w:t>2023</w:t>
        </w:r>
        <w:r w:rsidRPr="001D5327">
          <w:rPr>
            <w:webHidden/>
          </w:rPr>
          <w:tab/>
        </w:r>
        <w:r w:rsidRPr="001D5327">
          <w:rPr>
            <w:webHidden/>
          </w:rPr>
          <w:fldChar w:fldCharType="begin"/>
        </w:r>
        <w:r w:rsidRPr="001D5327">
          <w:rPr>
            <w:webHidden/>
          </w:rPr>
          <w:instrText xml:space="preserve"> PAGEREF _Toc194241664 \h </w:instrText>
        </w:r>
        <w:r w:rsidRPr="001D5327">
          <w:rPr>
            <w:webHidden/>
          </w:rPr>
        </w:r>
        <w:r w:rsidRPr="001D5327">
          <w:rPr>
            <w:webHidden/>
          </w:rPr>
          <w:fldChar w:fldCharType="separate"/>
        </w:r>
        <w:r w:rsidR="00B93180">
          <w:rPr>
            <w:noProof/>
            <w:webHidden/>
          </w:rPr>
          <w:t>49</w:t>
        </w:r>
        <w:r w:rsidRPr="001D5327">
          <w:rPr>
            <w:webHidden/>
          </w:rPr>
          <w:fldChar w:fldCharType="end"/>
        </w:r>
      </w:hyperlink>
    </w:p>
    <w:p w14:paraId="3E5653FE" w14:textId="46EC73EB"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65" w:history="1">
        <w:r w:rsidRPr="001D5327">
          <w:rPr>
            <w:rStyle w:val="Hyperlink"/>
            <w:bCs/>
          </w:rPr>
          <w:t>Table 2.2.3</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New Zealand’s gross emissions by gas in </w:t>
        </w:r>
        <w:r w:rsidRPr="001D5327">
          <w:rPr>
            <w:rStyle w:val="Hyperlink"/>
            <w:bCs/>
          </w:rPr>
          <w:t>1990</w:t>
        </w:r>
        <w:r w:rsidRPr="001D5327">
          <w:rPr>
            <w:rStyle w:val="Hyperlink"/>
          </w:rPr>
          <w:t xml:space="preserve"> and </w:t>
        </w:r>
        <w:r w:rsidRPr="001D5327">
          <w:rPr>
            <w:rStyle w:val="Hyperlink"/>
            <w:bCs/>
          </w:rPr>
          <w:t>2023</w:t>
        </w:r>
        <w:r w:rsidRPr="001D5327">
          <w:rPr>
            <w:webHidden/>
          </w:rPr>
          <w:tab/>
        </w:r>
        <w:r w:rsidRPr="001D5327">
          <w:rPr>
            <w:webHidden/>
          </w:rPr>
          <w:fldChar w:fldCharType="begin"/>
        </w:r>
        <w:r w:rsidRPr="001D5327">
          <w:rPr>
            <w:webHidden/>
          </w:rPr>
          <w:instrText xml:space="preserve"> PAGEREF _Toc194241665 \h </w:instrText>
        </w:r>
        <w:r w:rsidRPr="001D5327">
          <w:rPr>
            <w:webHidden/>
          </w:rPr>
        </w:r>
        <w:r w:rsidRPr="001D5327">
          <w:rPr>
            <w:webHidden/>
          </w:rPr>
          <w:fldChar w:fldCharType="separate"/>
        </w:r>
        <w:r w:rsidR="00B93180">
          <w:rPr>
            <w:noProof/>
            <w:webHidden/>
          </w:rPr>
          <w:t>52</w:t>
        </w:r>
        <w:r w:rsidRPr="001D5327">
          <w:rPr>
            <w:webHidden/>
          </w:rPr>
          <w:fldChar w:fldCharType="end"/>
        </w:r>
      </w:hyperlink>
    </w:p>
    <w:p w14:paraId="10E0FDC9" w14:textId="2B060825"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66" w:history="1">
        <w:r w:rsidRPr="001D5327">
          <w:rPr>
            <w:rStyle w:val="Hyperlink"/>
            <w:bCs/>
          </w:rPr>
          <w:t>Table 2.2.4</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New Zealand’s indirect greenhouse gas emissions (excluding LULUCF) in </w:t>
        </w:r>
        <w:r w:rsidRPr="001D5327">
          <w:rPr>
            <w:rStyle w:val="Hyperlink"/>
            <w:bCs/>
          </w:rPr>
          <w:t>1990</w:t>
        </w:r>
        <w:r w:rsidRPr="001D5327">
          <w:rPr>
            <w:rStyle w:val="Hyperlink"/>
          </w:rPr>
          <w:t xml:space="preserve"> and </w:t>
        </w:r>
        <w:r w:rsidRPr="001D5327">
          <w:rPr>
            <w:rStyle w:val="Hyperlink"/>
            <w:bCs/>
          </w:rPr>
          <w:t>2023</w:t>
        </w:r>
        <w:r w:rsidRPr="001D5327">
          <w:rPr>
            <w:webHidden/>
          </w:rPr>
          <w:tab/>
        </w:r>
        <w:r w:rsidRPr="001D5327">
          <w:rPr>
            <w:webHidden/>
          </w:rPr>
          <w:fldChar w:fldCharType="begin"/>
        </w:r>
        <w:r w:rsidRPr="001D5327">
          <w:rPr>
            <w:webHidden/>
          </w:rPr>
          <w:instrText xml:space="preserve"> PAGEREF _Toc194241666 \h </w:instrText>
        </w:r>
        <w:r w:rsidRPr="001D5327">
          <w:rPr>
            <w:webHidden/>
          </w:rPr>
        </w:r>
        <w:r w:rsidRPr="001D5327">
          <w:rPr>
            <w:webHidden/>
          </w:rPr>
          <w:fldChar w:fldCharType="separate"/>
        </w:r>
        <w:r w:rsidR="00B93180">
          <w:rPr>
            <w:noProof/>
            <w:webHidden/>
          </w:rPr>
          <w:t>54</w:t>
        </w:r>
        <w:r w:rsidRPr="001D5327">
          <w:rPr>
            <w:webHidden/>
          </w:rPr>
          <w:fldChar w:fldCharType="end"/>
        </w:r>
      </w:hyperlink>
    </w:p>
    <w:p w14:paraId="2274B893" w14:textId="5D96E9C7"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67" w:history="1">
        <w:r w:rsidRPr="001D5327">
          <w:rPr>
            <w:rStyle w:val="Hyperlink"/>
          </w:rPr>
          <w:t xml:space="preserve">Table 3.1.1 </w:t>
        </w:r>
        <w:r w:rsidRPr="001D5327">
          <w:rPr>
            <w:rFonts w:asciiTheme="minorHAnsi" w:eastAsiaTheme="minorEastAsia" w:hAnsiTheme="minorHAnsi" w:cstheme="minorBidi"/>
            <w:kern w:val="2"/>
            <w:sz w:val="24"/>
            <w:szCs w:val="24"/>
            <w14:ligatures w14:val="standardContextual"/>
          </w:rPr>
          <w:tab/>
        </w:r>
        <w:r w:rsidRPr="001D5327">
          <w:rPr>
            <w:rStyle w:val="Hyperlink"/>
          </w:rPr>
          <w:t>Key categories in the Energy sector</w:t>
        </w:r>
        <w:r w:rsidRPr="001D5327">
          <w:rPr>
            <w:webHidden/>
          </w:rPr>
          <w:tab/>
        </w:r>
        <w:r w:rsidRPr="001D5327">
          <w:rPr>
            <w:webHidden/>
          </w:rPr>
          <w:fldChar w:fldCharType="begin"/>
        </w:r>
        <w:r w:rsidRPr="001D5327">
          <w:rPr>
            <w:webHidden/>
          </w:rPr>
          <w:instrText xml:space="preserve"> PAGEREF _Toc194241667 \h </w:instrText>
        </w:r>
        <w:r w:rsidRPr="001D5327">
          <w:rPr>
            <w:webHidden/>
          </w:rPr>
        </w:r>
        <w:r w:rsidRPr="001D5327">
          <w:rPr>
            <w:webHidden/>
          </w:rPr>
          <w:fldChar w:fldCharType="separate"/>
        </w:r>
        <w:r w:rsidR="00B93180">
          <w:rPr>
            <w:noProof/>
            <w:webHidden/>
          </w:rPr>
          <w:t>58</w:t>
        </w:r>
        <w:r w:rsidRPr="001D5327">
          <w:rPr>
            <w:webHidden/>
          </w:rPr>
          <w:fldChar w:fldCharType="end"/>
        </w:r>
      </w:hyperlink>
    </w:p>
    <w:p w14:paraId="72D9ADD9" w14:textId="0DDB3D2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68" w:history="1">
        <w:r w:rsidRPr="001D5327">
          <w:rPr>
            <w:rStyle w:val="Hyperlink"/>
            <w:rFonts w:cs="Calibri"/>
          </w:rPr>
          <w:t xml:space="preserve">Table 3.1.2 </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Use of natural gas as a feedstock in New Zealand</w:t>
        </w:r>
        <w:r w:rsidRPr="001D5327">
          <w:rPr>
            <w:webHidden/>
          </w:rPr>
          <w:tab/>
        </w:r>
        <w:r w:rsidRPr="001D5327">
          <w:rPr>
            <w:webHidden/>
          </w:rPr>
          <w:fldChar w:fldCharType="begin"/>
        </w:r>
        <w:r w:rsidRPr="001D5327">
          <w:rPr>
            <w:webHidden/>
          </w:rPr>
          <w:instrText xml:space="preserve"> PAGEREF _Toc194241668 \h </w:instrText>
        </w:r>
        <w:r w:rsidRPr="001D5327">
          <w:rPr>
            <w:webHidden/>
          </w:rPr>
        </w:r>
        <w:r w:rsidRPr="001D5327">
          <w:rPr>
            <w:webHidden/>
          </w:rPr>
          <w:fldChar w:fldCharType="separate"/>
        </w:r>
        <w:r w:rsidR="00B93180">
          <w:rPr>
            <w:noProof/>
            <w:webHidden/>
          </w:rPr>
          <w:t>60</w:t>
        </w:r>
        <w:r w:rsidRPr="001D5327">
          <w:rPr>
            <w:webHidden/>
          </w:rPr>
          <w:fldChar w:fldCharType="end"/>
        </w:r>
      </w:hyperlink>
    </w:p>
    <w:p w14:paraId="23EF64DB" w14:textId="00151553"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69" w:history="1">
        <w:r w:rsidRPr="001D5327">
          <w:rPr>
            <w:rStyle w:val="Hyperlink"/>
          </w:rPr>
          <w:t>Table 3.1.3</w:t>
        </w:r>
        <w:r w:rsidRPr="001D5327">
          <w:rPr>
            <w:rFonts w:asciiTheme="minorHAnsi" w:eastAsiaTheme="minorEastAsia" w:hAnsiTheme="minorHAnsi" w:cstheme="minorBidi"/>
            <w:kern w:val="2"/>
            <w:sz w:val="24"/>
            <w:szCs w:val="24"/>
            <w14:ligatures w14:val="standardContextual"/>
          </w:rPr>
          <w:tab/>
        </w:r>
        <w:r w:rsidRPr="001D5327">
          <w:rPr>
            <w:rStyle w:val="Hyperlink"/>
          </w:rPr>
          <w:t>Emission factors for gas biomass</w:t>
        </w:r>
        <w:r w:rsidRPr="001D5327">
          <w:rPr>
            <w:webHidden/>
          </w:rPr>
          <w:tab/>
        </w:r>
        <w:r w:rsidRPr="001D5327">
          <w:rPr>
            <w:webHidden/>
          </w:rPr>
          <w:fldChar w:fldCharType="begin"/>
        </w:r>
        <w:r w:rsidRPr="001D5327">
          <w:rPr>
            <w:webHidden/>
          </w:rPr>
          <w:instrText xml:space="preserve"> PAGEREF _Toc194241669 \h </w:instrText>
        </w:r>
        <w:r w:rsidRPr="001D5327">
          <w:rPr>
            <w:webHidden/>
          </w:rPr>
        </w:r>
        <w:r w:rsidRPr="001D5327">
          <w:rPr>
            <w:webHidden/>
          </w:rPr>
          <w:fldChar w:fldCharType="separate"/>
        </w:r>
        <w:r w:rsidR="00B93180">
          <w:rPr>
            <w:noProof/>
            <w:webHidden/>
          </w:rPr>
          <w:t>65</w:t>
        </w:r>
        <w:r w:rsidRPr="001D5327">
          <w:rPr>
            <w:webHidden/>
          </w:rPr>
          <w:fldChar w:fldCharType="end"/>
        </w:r>
      </w:hyperlink>
    </w:p>
    <w:p w14:paraId="31FCE553" w14:textId="788BCCFC"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70" w:history="1">
        <w:r w:rsidRPr="001D5327">
          <w:rPr>
            <w:rStyle w:val="Hyperlink"/>
          </w:rPr>
          <w:t>Table 3.1.4</w:t>
        </w:r>
        <w:r w:rsidRPr="001D5327">
          <w:rPr>
            <w:rFonts w:asciiTheme="minorHAnsi" w:eastAsiaTheme="minorEastAsia" w:hAnsiTheme="minorHAnsi" w:cstheme="minorBidi"/>
            <w:kern w:val="2"/>
            <w:sz w:val="24"/>
            <w:szCs w:val="24"/>
            <w14:ligatures w14:val="standardContextual"/>
          </w:rPr>
          <w:tab/>
        </w:r>
        <w:r w:rsidRPr="001D5327">
          <w:rPr>
            <w:rStyle w:val="Hyperlink"/>
          </w:rPr>
          <w:t>Net-to-gross calorific value conversion factors</w:t>
        </w:r>
        <w:r w:rsidRPr="001D5327">
          <w:rPr>
            <w:webHidden/>
          </w:rPr>
          <w:tab/>
        </w:r>
        <w:r w:rsidRPr="001D5327">
          <w:rPr>
            <w:webHidden/>
          </w:rPr>
          <w:fldChar w:fldCharType="begin"/>
        </w:r>
        <w:r w:rsidRPr="001D5327">
          <w:rPr>
            <w:webHidden/>
          </w:rPr>
          <w:instrText xml:space="preserve"> PAGEREF _Toc194241670 \h </w:instrText>
        </w:r>
        <w:r w:rsidRPr="001D5327">
          <w:rPr>
            <w:webHidden/>
          </w:rPr>
        </w:r>
        <w:r w:rsidRPr="001D5327">
          <w:rPr>
            <w:webHidden/>
          </w:rPr>
          <w:fldChar w:fldCharType="separate"/>
        </w:r>
        <w:r w:rsidR="00B93180">
          <w:rPr>
            <w:noProof/>
            <w:webHidden/>
          </w:rPr>
          <w:t>66</w:t>
        </w:r>
        <w:r w:rsidRPr="001D5327">
          <w:rPr>
            <w:webHidden/>
          </w:rPr>
          <w:fldChar w:fldCharType="end"/>
        </w:r>
      </w:hyperlink>
    </w:p>
    <w:p w14:paraId="4DF66ABB" w14:textId="13CC276F"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71" w:history="1">
        <w:r w:rsidRPr="001D5327">
          <w:rPr>
            <w:rStyle w:val="Hyperlink"/>
          </w:rPr>
          <w:t>Table 3.2.1</w:t>
        </w:r>
        <w:r w:rsidRPr="001D5327">
          <w:rPr>
            <w:rFonts w:asciiTheme="minorHAnsi" w:eastAsiaTheme="minorEastAsia" w:hAnsiTheme="minorHAnsi" w:cstheme="minorBidi"/>
            <w:kern w:val="2"/>
            <w:sz w:val="24"/>
            <w:szCs w:val="24"/>
            <w14:ligatures w14:val="standardContextual"/>
          </w:rPr>
          <w:tab/>
        </w:r>
        <w:r w:rsidRPr="001D5327">
          <w:rPr>
            <w:rStyle w:val="Hyperlink"/>
          </w:rPr>
          <w:t>Uncertainty for New Zealand’s Energy sector emission estimates for 2023</w:t>
        </w:r>
        <w:r w:rsidRPr="001D5327">
          <w:rPr>
            <w:webHidden/>
          </w:rPr>
          <w:tab/>
        </w:r>
        <w:r w:rsidRPr="001D5327">
          <w:rPr>
            <w:webHidden/>
          </w:rPr>
          <w:fldChar w:fldCharType="begin"/>
        </w:r>
        <w:r w:rsidRPr="001D5327">
          <w:rPr>
            <w:webHidden/>
          </w:rPr>
          <w:instrText xml:space="preserve"> PAGEREF _Toc194241671 \h </w:instrText>
        </w:r>
        <w:r w:rsidRPr="001D5327">
          <w:rPr>
            <w:webHidden/>
          </w:rPr>
        </w:r>
        <w:r w:rsidRPr="001D5327">
          <w:rPr>
            <w:webHidden/>
          </w:rPr>
          <w:fldChar w:fldCharType="separate"/>
        </w:r>
        <w:r w:rsidR="00B93180">
          <w:rPr>
            <w:noProof/>
            <w:webHidden/>
          </w:rPr>
          <w:t>68</w:t>
        </w:r>
        <w:r w:rsidRPr="001D5327">
          <w:rPr>
            <w:webHidden/>
          </w:rPr>
          <w:fldChar w:fldCharType="end"/>
        </w:r>
      </w:hyperlink>
    </w:p>
    <w:p w14:paraId="01697003" w14:textId="2C05AFF7"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72" w:history="1">
        <w:r w:rsidRPr="001D5327">
          <w:rPr>
            <w:rStyle w:val="Hyperlink"/>
          </w:rPr>
          <w:t>Table 3.2.2</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Key categories for 1.A.1 </w:t>
        </w:r>
        <w:r w:rsidRPr="001D5327">
          <w:rPr>
            <w:rStyle w:val="Hyperlink"/>
            <w:i/>
            <w:iCs/>
          </w:rPr>
          <w:t>Energy industries</w:t>
        </w:r>
        <w:r w:rsidRPr="001D5327">
          <w:rPr>
            <w:webHidden/>
          </w:rPr>
          <w:tab/>
        </w:r>
        <w:r w:rsidRPr="001D5327">
          <w:rPr>
            <w:webHidden/>
          </w:rPr>
          <w:fldChar w:fldCharType="begin"/>
        </w:r>
        <w:r w:rsidRPr="001D5327">
          <w:rPr>
            <w:webHidden/>
          </w:rPr>
          <w:instrText xml:space="preserve"> PAGEREF _Toc194241672 \h </w:instrText>
        </w:r>
        <w:r w:rsidRPr="001D5327">
          <w:rPr>
            <w:webHidden/>
          </w:rPr>
        </w:r>
        <w:r w:rsidRPr="001D5327">
          <w:rPr>
            <w:webHidden/>
          </w:rPr>
          <w:fldChar w:fldCharType="separate"/>
        </w:r>
        <w:r w:rsidR="00B93180">
          <w:rPr>
            <w:noProof/>
            <w:webHidden/>
          </w:rPr>
          <w:t>71</w:t>
        </w:r>
        <w:r w:rsidRPr="001D5327">
          <w:rPr>
            <w:webHidden/>
          </w:rPr>
          <w:fldChar w:fldCharType="end"/>
        </w:r>
      </w:hyperlink>
    </w:p>
    <w:p w14:paraId="44FAE208" w14:textId="35B1CE7B"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73" w:history="1">
        <w:r w:rsidRPr="001D5327">
          <w:rPr>
            <w:rStyle w:val="Hyperlink"/>
            <w:rFonts w:cs="Calibri"/>
          </w:rPr>
          <w:t>Table 3.2.3</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 xml:space="preserve">Key categories for 1.A.2 </w:t>
        </w:r>
        <w:r w:rsidRPr="001D5327">
          <w:rPr>
            <w:rStyle w:val="Hyperlink"/>
            <w:i/>
            <w:iCs/>
          </w:rPr>
          <w:t>Manufacturing industries and construction</w:t>
        </w:r>
        <w:r w:rsidRPr="001D5327">
          <w:rPr>
            <w:webHidden/>
          </w:rPr>
          <w:tab/>
        </w:r>
        <w:r w:rsidRPr="001D5327">
          <w:rPr>
            <w:webHidden/>
          </w:rPr>
          <w:fldChar w:fldCharType="begin"/>
        </w:r>
        <w:r w:rsidRPr="001D5327">
          <w:rPr>
            <w:webHidden/>
          </w:rPr>
          <w:instrText xml:space="preserve"> PAGEREF _Toc194241673 \h </w:instrText>
        </w:r>
        <w:r w:rsidRPr="001D5327">
          <w:rPr>
            <w:webHidden/>
          </w:rPr>
        </w:r>
        <w:r w:rsidRPr="001D5327">
          <w:rPr>
            <w:webHidden/>
          </w:rPr>
          <w:fldChar w:fldCharType="separate"/>
        </w:r>
        <w:r w:rsidR="00B93180">
          <w:rPr>
            <w:noProof/>
            <w:webHidden/>
          </w:rPr>
          <w:t>75</w:t>
        </w:r>
        <w:r w:rsidRPr="001D5327">
          <w:rPr>
            <w:webHidden/>
          </w:rPr>
          <w:fldChar w:fldCharType="end"/>
        </w:r>
      </w:hyperlink>
    </w:p>
    <w:p w14:paraId="67BE168F" w14:textId="3885DBDF"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74" w:history="1">
        <w:r w:rsidRPr="001D5327">
          <w:rPr>
            <w:rStyle w:val="Hyperlink"/>
            <w:rFonts w:cs="Calibri"/>
          </w:rPr>
          <w:t xml:space="preserve">Table 3.2.4 </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 xml:space="preserve">Solid biomass splits for 2006 that were used to disaggregate the </w:t>
        </w:r>
        <w:r w:rsidRPr="001D5327">
          <w:rPr>
            <w:rStyle w:val="Hyperlink"/>
            <w:rFonts w:cs="Calibri"/>
            <w:i/>
            <w:iCs/>
          </w:rPr>
          <w:t>Manufacturing industries and construction</w:t>
        </w:r>
        <w:r w:rsidRPr="001D5327">
          <w:rPr>
            <w:rStyle w:val="Hyperlink"/>
            <w:rFonts w:cs="Calibri"/>
          </w:rPr>
          <w:t xml:space="preserve"> category between 1990 and 2023</w:t>
        </w:r>
        <w:r w:rsidRPr="001D5327">
          <w:rPr>
            <w:webHidden/>
          </w:rPr>
          <w:tab/>
        </w:r>
        <w:r w:rsidRPr="001D5327">
          <w:rPr>
            <w:webHidden/>
          </w:rPr>
          <w:fldChar w:fldCharType="begin"/>
        </w:r>
        <w:r w:rsidRPr="001D5327">
          <w:rPr>
            <w:webHidden/>
          </w:rPr>
          <w:instrText xml:space="preserve"> PAGEREF _Toc194241674 \h </w:instrText>
        </w:r>
        <w:r w:rsidRPr="001D5327">
          <w:rPr>
            <w:webHidden/>
          </w:rPr>
        </w:r>
        <w:r w:rsidRPr="001D5327">
          <w:rPr>
            <w:webHidden/>
          </w:rPr>
          <w:fldChar w:fldCharType="separate"/>
        </w:r>
        <w:r w:rsidR="00B93180">
          <w:rPr>
            <w:noProof/>
            <w:webHidden/>
          </w:rPr>
          <w:t>77</w:t>
        </w:r>
        <w:r w:rsidRPr="001D5327">
          <w:rPr>
            <w:webHidden/>
          </w:rPr>
          <w:fldChar w:fldCharType="end"/>
        </w:r>
      </w:hyperlink>
    </w:p>
    <w:p w14:paraId="02746676" w14:textId="7129F75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75" w:history="1">
        <w:r w:rsidRPr="001D5327">
          <w:rPr>
            <w:rStyle w:val="Hyperlink"/>
            <w:rFonts w:cs="Calibri"/>
          </w:rPr>
          <w:t xml:space="preserve">Table 3.2.5 </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Energy intensity values used to disaggregate liquid fuel use for manufacturing (gigajoules </w:t>
        </w:r>
        <w:r w:rsidRPr="001D5327">
          <w:rPr>
            <w:rStyle w:val="Hyperlink"/>
          </w:rPr>
          <w:t>per </w:t>
        </w:r>
        <w:r w:rsidRPr="001D5327">
          <w:rPr>
            <w:rStyle w:val="Hyperlink"/>
            <w:rFonts w:cs="Calibri"/>
          </w:rPr>
          <w:t>gross domestic product index)</w:t>
        </w:r>
        <w:r w:rsidRPr="001D5327">
          <w:rPr>
            <w:webHidden/>
          </w:rPr>
          <w:tab/>
        </w:r>
        <w:r w:rsidRPr="001D5327">
          <w:rPr>
            <w:webHidden/>
          </w:rPr>
          <w:fldChar w:fldCharType="begin"/>
        </w:r>
        <w:r w:rsidRPr="001D5327">
          <w:rPr>
            <w:webHidden/>
          </w:rPr>
          <w:instrText xml:space="preserve"> PAGEREF _Toc194241675 \h </w:instrText>
        </w:r>
        <w:r w:rsidRPr="001D5327">
          <w:rPr>
            <w:webHidden/>
          </w:rPr>
        </w:r>
        <w:r w:rsidRPr="001D5327">
          <w:rPr>
            <w:webHidden/>
          </w:rPr>
          <w:fldChar w:fldCharType="separate"/>
        </w:r>
        <w:r w:rsidR="00B93180">
          <w:rPr>
            <w:noProof/>
            <w:webHidden/>
          </w:rPr>
          <w:t>78</w:t>
        </w:r>
        <w:r w:rsidRPr="001D5327">
          <w:rPr>
            <w:webHidden/>
          </w:rPr>
          <w:fldChar w:fldCharType="end"/>
        </w:r>
      </w:hyperlink>
    </w:p>
    <w:p w14:paraId="468B6FAB" w14:textId="778BA2A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76" w:history="1">
        <w:r w:rsidRPr="001D5327">
          <w:rPr>
            <w:rStyle w:val="Hyperlink"/>
          </w:rPr>
          <w:t>Table 3.2.6</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Key categories for 1.A.3 </w:t>
        </w:r>
        <w:r w:rsidRPr="001D5327">
          <w:rPr>
            <w:rStyle w:val="Hyperlink"/>
            <w:i/>
            <w:iCs/>
          </w:rPr>
          <w:t>Transport</w:t>
        </w:r>
        <w:r w:rsidRPr="001D5327">
          <w:rPr>
            <w:webHidden/>
          </w:rPr>
          <w:tab/>
        </w:r>
        <w:r w:rsidRPr="001D5327">
          <w:rPr>
            <w:webHidden/>
          </w:rPr>
          <w:fldChar w:fldCharType="begin"/>
        </w:r>
        <w:r w:rsidRPr="001D5327">
          <w:rPr>
            <w:webHidden/>
          </w:rPr>
          <w:instrText xml:space="preserve"> PAGEREF _Toc194241676 \h </w:instrText>
        </w:r>
        <w:r w:rsidRPr="001D5327">
          <w:rPr>
            <w:webHidden/>
          </w:rPr>
        </w:r>
        <w:r w:rsidRPr="001D5327">
          <w:rPr>
            <w:webHidden/>
          </w:rPr>
          <w:fldChar w:fldCharType="separate"/>
        </w:r>
        <w:r w:rsidR="00B93180">
          <w:rPr>
            <w:noProof/>
            <w:webHidden/>
          </w:rPr>
          <w:t>82</w:t>
        </w:r>
        <w:r w:rsidRPr="001D5327">
          <w:rPr>
            <w:webHidden/>
          </w:rPr>
          <w:fldChar w:fldCharType="end"/>
        </w:r>
      </w:hyperlink>
    </w:p>
    <w:p w14:paraId="6E47D2CE" w14:textId="5006F75A"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77" w:history="1">
        <w:r w:rsidRPr="001D5327">
          <w:rPr>
            <w:rStyle w:val="Hyperlink"/>
          </w:rPr>
          <w:t>Table 3.2.7</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Key categories for 1.A.4 </w:t>
        </w:r>
        <w:r w:rsidRPr="001D5327">
          <w:rPr>
            <w:rStyle w:val="Hyperlink"/>
            <w:i/>
            <w:iCs/>
            <w:lang w:eastAsia="en-GB"/>
          </w:rPr>
          <w:t>Other sectors</w:t>
        </w:r>
        <w:r w:rsidRPr="001D5327">
          <w:rPr>
            <w:webHidden/>
          </w:rPr>
          <w:tab/>
        </w:r>
        <w:r w:rsidRPr="001D5327">
          <w:rPr>
            <w:webHidden/>
          </w:rPr>
          <w:fldChar w:fldCharType="begin"/>
        </w:r>
        <w:r w:rsidRPr="001D5327">
          <w:rPr>
            <w:webHidden/>
          </w:rPr>
          <w:instrText xml:space="preserve"> PAGEREF _Toc194241677 \h </w:instrText>
        </w:r>
        <w:r w:rsidRPr="001D5327">
          <w:rPr>
            <w:webHidden/>
          </w:rPr>
        </w:r>
        <w:r w:rsidRPr="001D5327">
          <w:rPr>
            <w:webHidden/>
          </w:rPr>
          <w:fldChar w:fldCharType="separate"/>
        </w:r>
        <w:r w:rsidR="00B93180">
          <w:rPr>
            <w:noProof/>
            <w:webHidden/>
          </w:rPr>
          <w:t>90</w:t>
        </w:r>
        <w:r w:rsidRPr="001D5327">
          <w:rPr>
            <w:webHidden/>
          </w:rPr>
          <w:fldChar w:fldCharType="end"/>
        </w:r>
      </w:hyperlink>
    </w:p>
    <w:p w14:paraId="546F17F4" w14:textId="1FA2A26F"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78" w:history="1">
        <w:r w:rsidRPr="001D5327">
          <w:rPr>
            <w:rStyle w:val="Hyperlink"/>
          </w:rPr>
          <w:t xml:space="preserve">Table 3.2.8 </w:t>
        </w:r>
        <w:r w:rsidRPr="001D5327">
          <w:rPr>
            <w:rFonts w:asciiTheme="minorHAnsi" w:eastAsiaTheme="minorEastAsia" w:hAnsiTheme="minorHAnsi" w:cstheme="minorBidi"/>
            <w:kern w:val="2"/>
            <w:sz w:val="24"/>
            <w:szCs w:val="24"/>
            <w14:ligatures w14:val="standardContextual"/>
          </w:rPr>
          <w:tab/>
        </w:r>
        <w:r w:rsidRPr="001D5327">
          <w:rPr>
            <w:rStyle w:val="Hyperlink"/>
          </w:rPr>
          <w:t>Split of fuel oil activity for ‘other primary industry’</w:t>
        </w:r>
        <w:r w:rsidRPr="001D5327">
          <w:rPr>
            <w:webHidden/>
          </w:rPr>
          <w:tab/>
        </w:r>
        <w:r w:rsidRPr="001D5327">
          <w:rPr>
            <w:webHidden/>
          </w:rPr>
          <w:fldChar w:fldCharType="begin"/>
        </w:r>
        <w:r w:rsidRPr="001D5327">
          <w:rPr>
            <w:webHidden/>
          </w:rPr>
          <w:instrText xml:space="preserve"> PAGEREF _Toc194241678 \h </w:instrText>
        </w:r>
        <w:r w:rsidRPr="001D5327">
          <w:rPr>
            <w:webHidden/>
          </w:rPr>
        </w:r>
        <w:r w:rsidRPr="001D5327">
          <w:rPr>
            <w:webHidden/>
          </w:rPr>
          <w:fldChar w:fldCharType="separate"/>
        </w:r>
        <w:r w:rsidR="00B93180">
          <w:rPr>
            <w:noProof/>
            <w:webHidden/>
          </w:rPr>
          <w:t>91</w:t>
        </w:r>
        <w:r w:rsidRPr="001D5327">
          <w:rPr>
            <w:webHidden/>
          </w:rPr>
          <w:fldChar w:fldCharType="end"/>
        </w:r>
      </w:hyperlink>
    </w:p>
    <w:p w14:paraId="44F6D3DE" w14:textId="19855190"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79" w:history="1">
        <w:r w:rsidRPr="001D5327">
          <w:rPr>
            <w:rStyle w:val="Hyperlink"/>
          </w:rPr>
          <w:t>Table 3.3.1</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Key categories for 1.B </w:t>
        </w:r>
        <w:r w:rsidRPr="001D5327">
          <w:rPr>
            <w:rStyle w:val="Hyperlink"/>
            <w:i/>
            <w:iCs/>
          </w:rPr>
          <w:t>Fugitive emissions</w:t>
        </w:r>
        <w:r w:rsidRPr="001D5327">
          <w:rPr>
            <w:webHidden/>
          </w:rPr>
          <w:tab/>
        </w:r>
        <w:r w:rsidRPr="001D5327">
          <w:rPr>
            <w:webHidden/>
          </w:rPr>
          <w:fldChar w:fldCharType="begin"/>
        </w:r>
        <w:r w:rsidRPr="001D5327">
          <w:rPr>
            <w:webHidden/>
          </w:rPr>
          <w:instrText xml:space="preserve"> PAGEREF _Toc194241679 \h </w:instrText>
        </w:r>
        <w:r w:rsidRPr="001D5327">
          <w:rPr>
            <w:webHidden/>
          </w:rPr>
        </w:r>
        <w:r w:rsidRPr="001D5327">
          <w:rPr>
            <w:webHidden/>
          </w:rPr>
          <w:fldChar w:fldCharType="separate"/>
        </w:r>
        <w:r w:rsidR="00B93180">
          <w:rPr>
            <w:noProof/>
            <w:webHidden/>
          </w:rPr>
          <w:t>92</w:t>
        </w:r>
        <w:r w:rsidRPr="001D5327">
          <w:rPr>
            <w:webHidden/>
          </w:rPr>
          <w:fldChar w:fldCharType="end"/>
        </w:r>
      </w:hyperlink>
    </w:p>
    <w:p w14:paraId="4C2AB886" w14:textId="7728E6EF"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80" w:history="1">
        <w:r w:rsidRPr="001D5327">
          <w:rPr>
            <w:rStyle w:val="Hyperlink"/>
            <w:rFonts w:cs="Calibri"/>
          </w:rPr>
          <w:t xml:space="preserve">Table 3.3.2 </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Details of abandoned underground mines in the North Island</w:t>
        </w:r>
        <w:r w:rsidRPr="001D5327">
          <w:rPr>
            <w:webHidden/>
          </w:rPr>
          <w:tab/>
        </w:r>
        <w:r w:rsidRPr="001D5327">
          <w:rPr>
            <w:webHidden/>
          </w:rPr>
          <w:fldChar w:fldCharType="begin"/>
        </w:r>
        <w:r w:rsidRPr="001D5327">
          <w:rPr>
            <w:webHidden/>
          </w:rPr>
          <w:instrText xml:space="preserve"> PAGEREF _Toc194241680 \h </w:instrText>
        </w:r>
        <w:r w:rsidRPr="001D5327">
          <w:rPr>
            <w:webHidden/>
          </w:rPr>
        </w:r>
        <w:r w:rsidRPr="001D5327">
          <w:rPr>
            <w:webHidden/>
          </w:rPr>
          <w:fldChar w:fldCharType="separate"/>
        </w:r>
        <w:r w:rsidR="00B93180">
          <w:rPr>
            <w:noProof/>
            <w:webHidden/>
          </w:rPr>
          <w:t>95</w:t>
        </w:r>
        <w:r w:rsidRPr="001D5327">
          <w:rPr>
            <w:webHidden/>
          </w:rPr>
          <w:fldChar w:fldCharType="end"/>
        </w:r>
      </w:hyperlink>
    </w:p>
    <w:p w14:paraId="1DF5D475" w14:textId="13FCD543"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81" w:history="1">
        <w:r w:rsidRPr="001D5327">
          <w:rPr>
            <w:rStyle w:val="Hyperlink"/>
          </w:rPr>
          <w:t xml:space="preserve">Table 4.1.1 </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New Zealand’s greenhouse gas emissions for the IPPU sector by category in </w:t>
        </w:r>
        <w:r w:rsidRPr="001D5327">
          <w:rPr>
            <w:rStyle w:val="Hyperlink"/>
            <w:bCs/>
          </w:rPr>
          <w:t>1990</w:t>
        </w:r>
        <w:r w:rsidRPr="001D5327">
          <w:rPr>
            <w:rStyle w:val="Hyperlink"/>
          </w:rPr>
          <w:t> and </w:t>
        </w:r>
        <w:r w:rsidRPr="001D5327">
          <w:rPr>
            <w:rStyle w:val="Hyperlink"/>
            <w:bCs/>
          </w:rPr>
          <w:t>2023</w:t>
        </w:r>
        <w:r w:rsidRPr="001D5327">
          <w:rPr>
            <w:webHidden/>
          </w:rPr>
          <w:tab/>
        </w:r>
        <w:r w:rsidRPr="001D5327">
          <w:rPr>
            <w:webHidden/>
          </w:rPr>
          <w:fldChar w:fldCharType="begin"/>
        </w:r>
        <w:r w:rsidRPr="001D5327">
          <w:rPr>
            <w:webHidden/>
          </w:rPr>
          <w:instrText xml:space="preserve"> PAGEREF _Toc194241681 \h </w:instrText>
        </w:r>
        <w:r w:rsidRPr="001D5327">
          <w:rPr>
            <w:webHidden/>
          </w:rPr>
        </w:r>
        <w:r w:rsidRPr="001D5327">
          <w:rPr>
            <w:webHidden/>
          </w:rPr>
          <w:fldChar w:fldCharType="separate"/>
        </w:r>
        <w:r w:rsidR="00B93180">
          <w:rPr>
            <w:noProof/>
            <w:webHidden/>
          </w:rPr>
          <w:t>106</w:t>
        </w:r>
        <w:r w:rsidRPr="001D5327">
          <w:rPr>
            <w:webHidden/>
          </w:rPr>
          <w:fldChar w:fldCharType="end"/>
        </w:r>
      </w:hyperlink>
    </w:p>
    <w:p w14:paraId="7AE455EE" w14:textId="1BEFDF2E"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82" w:history="1">
        <w:r w:rsidRPr="001D5327">
          <w:rPr>
            <w:rStyle w:val="Hyperlink"/>
          </w:rPr>
          <w:t xml:space="preserve">Table 4.1.2 </w:t>
        </w:r>
        <w:r w:rsidRPr="001D5327">
          <w:rPr>
            <w:rFonts w:asciiTheme="minorHAnsi" w:eastAsiaTheme="minorEastAsia" w:hAnsiTheme="minorHAnsi" w:cstheme="minorBidi"/>
            <w:kern w:val="2"/>
            <w:sz w:val="24"/>
            <w:szCs w:val="24"/>
            <w14:ligatures w14:val="standardContextual"/>
          </w:rPr>
          <w:tab/>
        </w:r>
        <w:r w:rsidRPr="001D5327">
          <w:rPr>
            <w:rStyle w:val="Hyperlink"/>
          </w:rPr>
          <w:t>Key categories in the IPPU sector</w:t>
        </w:r>
        <w:r w:rsidRPr="001D5327">
          <w:rPr>
            <w:webHidden/>
          </w:rPr>
          <w:tab/>
        </w:r>
        <w:r w:rsidRPr="001D5327">
          <w:rPr>
            <w:webHidden/>
          </w:rPr>
          <w:fldChar w:fldCharType="begin"/>
        </w:r>
        <w:r w:rsidRPr="001D5327">
          <w:rPr>
            <w:webHidden/>
          </w:rPr>
          <w:instrText xml:space="preserve"> PAGEREF _Toc194241682 \h </w:instrText>
        </w:r>
        <w:r w:rsidRPr="001D5327">
          <w:rPr>
            <w:webHidden/>
          </w:rPr>
        </w:r>
        <w:r w:rsidRPr="001D5327">
          <w:rPr>
            <w:webHidden/>
          </w:rPr>
          <w:fldChar w:fldCharType="separate"/>
        </w:r>
        <w:r w:rsidR="00B93180">
          <w:rPr>
            <w:noProof/>
            <w:webHidden/>
          </w:rPr>
          <w:t>107</w:t>
        </w:r>
        <w:r w:rsidRPr="001D5327">
          <w:rPr>
            <w:webHidden/>
          </w:rPr>
          <w:fldChar w:fldCharType="end"/>
        </w:r>
      </w:hyperlink>
    </w:p>
    <w:p w14:paraId="24C18BF7" w14:textId="4610E031"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83" w:history="1">
        <w:r w:rsidRPr="001D5327">
          <w:rPr>
            <w:rStyle w:val="Hyperlink"/>
          </w:rPr>
          <w:t xml:space="preserve">Table 4.2.1 </w:t>
        </w:r>
        <w:r w:rsidRPr="001D5327">
          <w:rPr>
            <w:rFonts w:asciiTheme="minorHAnsi" w:eastAsiaTheme="minorEastAsia" w:hAnsiTheme="minorHAnsi" w:cstheme="minorBidi"/>
            <w:kern w:val="2"/>
            <w:sz w:val="24"/>
            <w:szCs w:val="24"/>
            <w14:ligatures w14:val="standardContextual"/>
          </w:rPr>
          <w:tab/>
        </w:r>
        <w:r w:rsidRPr="001D5327">
          <w:rPr>
            <w:rStyle w:val="Hyperlink"/>
          </w:rPr>
          <w:t>Uncertainty in emissions from mineral products</w:t>
        </w:r>
        <w:r w:rsidRPr="001D5327">
          <w:rPr>
            <w:webHidden/>
          </w:rPr>
          <w:tab/>
        </w:r>
        <w:r w:rsidRPr="001D5327">
          <w:rPr>
            <w:webHidden/>
          </w:rPr>
          <w:fldChar w:fldCharType="begin"/>
        </w:r>
        <w:r w:rsidRPr="001D5327">
          <w:rPr>
            <w:webHidden/>
          </w:rPr>
          <w:instrText xml:space="preserve"> PAGEREF _Toc194241683 \h </w:instrText>
        </w:r>
        <w:r w:rsidRPr="001D5327">
          <w:rPr>
            <w:webHidden/>
          </w:rPr>
        </w:r>
        <w:r w:rsidRPr="001D5327">
          <w:rPr>
            <w:webHidden/>
          </w:rPr>
          <w:fldChar w:fldCharType="separate"/>
        </w:r>
        <w:r w:rsidR="00B93180">
          <w:rPr>
            <w:noProof/>
            <w:webHidden/>
          </w:rPr>
          <w:t>114</w:t>
        </w:r>
        <w:r w:rsidRPr="001D5327">
          <w:rPr>
            <w:webHidden/>
          </w:rPr>
          <w:fldChar w:fldCharType="end"/>
        </w:r>
      </w:hyperlink>
    </w:p>
    <w:p w14:paraId="302349FD" w14:textId="06A3B1CF"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84" w:history="1">
        <w:r w:rsidRPr="001D5327">
          <w:rPr>
            <w:rStyle w:val="Hyperlink"/>
          </w:rPr>
          <w:t xml:space="preserve">Table 4.3.1 </w:t>
        </w:r>
        <w:r w:rsidRPr="001D5327">
          <w:rPr>
            <w:rFonts w:asciiTheme="minorHAnsi" w:eastAsiaTheme="minorEastAsia" w:hAnsiTheme="minorHAnsi" w:cstheme="minorBidi"/>
            <w:kern w:val="2"/>
            <w:sz w:val="24"/>
            <w:szCs w:val="24"/>
            <w14:ligatures w14:val="standardContextual"/>
          </w:rPr>
          <w:tab/>
        </w:r>
        <w:r w:rsidRPr="001D5327">
          <w:rPr>
            <w:rStyle w:val="Hyperlink"/>
          </w:rPr>
          <w:t>Country-specific emission factors for indirect emissions</w:t>
        </w:r>
        <w:r w:rsidRPr="001D5327">
          <w:rPr>
            <w:webHidden/>
          </w:rPr>
          <w:tab/>
        </w:r>
        <w:r w:rsidRPr="001D5327">
          <w:rPr>
            <w:webHidden/>
          </w:rPr>
          <w:fldChar w:fldCharType="begin"/>
        </w:r>
        <w:r w:rsidRPr="001D5327">
          <w:rPr>
            <w:webHidden/>
          </w:rPr>
          <w:instrText xml:space="preserve"> PAGEREF _Toc194241684 \h </w:instrText>
        </w:r>
        <w:r w:rsidRPr="001D5327">
          <w:rPr>
            <w:webHidden/>
          </w:rPr>
        </w:r>
        <w:r w:rsidRPr="001D5327">
          <w:rPr>
            <w:webHidden/>
          </w:rPr>
          <w:fldChar w:fldCharType="separate"/>
        </w:r>
        <w:r w:rsidR="00B93180">
          <w:rPr>
            <w:noProof/>
            <w:webHidden/>
          </w:rPr>
          <w:t>118</w:t>
        </w:r>
        <w:r w:rsidRPr="001D5327">
          <w:rPr>
            <w:webHidden/>
          </w:rPr>
          <w:fldChar w:fldCharType="end"/>
        </w:r>
      </w:hyperlink>
    </w:p>
    <w:p w14:paraId="54DA3EC8" w14:textId="17B0C255"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85" w:history="1">
        <w:r w:rsidRPr="001D5327">
          <w:rPr>
            <w:rStyle w:val="Hyperlink"/>
          </w:rPr>
          <w:t xml:space="preserve">Table 4.3.2 </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Uncertainty in emissions from the </w:t>
        </w:r>
        <w:r w:rsidRPr="001D5327">
          <w:rPr>
            <w:rStyle w:val="Hyperlink"/>
            <w:i/>
            <w:iCs/>
          </w:rPr>
          <w:t>Chemical industry</w:t>
        </w:r>
        <w:r w:rsidRPr="001D5327">
          <w:rPr>
            <w:rStyle w:val="Hyperlink"/>
          </w:rPr>
          <w:t xml:space="preserve"> category</w:t>
        </w:r>
        <w:r w:rsidRPr="001D5327">
          <w:rPr>
            <w:webHidden/>
          </w:rPr>
          <w:tab/>
        </w:r>
        <w:r w:rsidRPr="001D5327">
          <w:rPr>
            <w:webHidden/>
          </w:rPr>
          <w:fldChar w:fldCharType="begin"/>
        </w:r>
        <w:r w:rsidRPr="001D5327">
          <w:rPr>
            <w:webHidden/>
          </w:rPr>
          <w:instrText xml:space="preserve"> PAGEREF _Toc194241685 \h </w:instrText>
        </w:r>
        <w:r w:rsidRPr="001D5327">
          <w:rPr>
            <w:webHidden/>
          </w:rPr>
        </w:r>
        <w:r w:rsidRPr="001D5327">
          <w:rPr>
            <w:webHidden/>
          </w:rPr>
          <w:fldChar w:fldCharType="separate"/>
        </w:r>
        <w:r w:rsidR="00B93180">
          <w:rPr>
            <w:noProof/>
            <w:webHidden/>
          </w:rPr>
          <w:t>118</w:t>
        </w:r>
        <w:r w:rsidRPr="001D5327">
          <w:rPr>
            <w:webHidden/>
          </w:rPr>
          <w:fldChar w:fldCharType="end"/>
        </w:r>
      </w:hyperlink>
    </w:p>
    <w:p w14:paraId="53A7709F" w14:textId="112874AA"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86" w:history="1">
        <w:r w:rsidRPr="001D5327">
          <w:rPr>
            <w:rStyle w:val="Hyperlink"/>
          </w:rPr>
          <w:t xml:space="preserve">Table 4.4.1 </w:t>
        </w:r>
        <w:r w:rsidRPr="001D5327">
          <w:rPr>
            <w:rFonts w:asciiTheme="minorHAnsi" w:eastAsiaTheme="minorEastAsia" w:hAnsiTheme="minorHAnsi" w:cstheme="minorBidi"/>
            <w:kern w:val="2"/>
            <w:sz w:val="24"/>
            <w:szCs w:val="24"/>
            <w14:ligatures w14:val="standardContextual"/>
          </w:rPr>
          <w:tab/>
        </w:r>
        <w:r w:rsidRPr="001D5327">
          <w:rPr>
            <w:rStyle w:val="Hyperlink"/>
          </w:rPr>
          <w:t>Typical analysis from New Zealand Steel Limited of the primary concentrate (provided by New Zealand Steel Limited)</w:t>
        </w:r>
        <w:r w:rsidRPr="001D5327">
          <w:rPr>
            <w:webHidden/>
          </w:rPr>
          <w:tab/>
        </w:r>
        <w:r w:rsidRPr="001D5327">
          <w:rPr>
            <w:webHidden/>
          </w:rPr>
          <w:fldChar w:fldCharType="begin"/>
        </w:r>
        <w:r w:rsidRPr="001D5327">
          <w:rPr>
            <w:webHidden/>
          </w:rPr>
          <w:instrText xml:space="preserve"> PAGEREF _Toc194241686 \h </w:instrText>
        </w:r>
        <w:r w:rsidRPr="001D5327">
          <w:rPr>
            <w:webHidden/>
          </w:rPr>
        </w:r>
        <w:r w:rsidRPr="001D5327">
          <w:rPr>
            <w:webHidden/>
          </w:rPr>
          <w:fldChar w:fldCharType="separate"/>
        </w:r>
        <w:r w:rsidR="00B93180">
          <w:rPr>
            <w:noProof/>
            <w:webHidden/>
          </w:rPr>
          <w:t>120</w:t>
        </w:r>
        <w:r w:rsidRPr="001D5327">
          <w:rPr>
            <w:webHidden/>
          </w:rPr>
          <w:fldChar w:fldCharType="end"/>
        </w:r>
      </w:hyperlink>
    </w:p>
    <w:p w14:paraId="5998682A" w14:textId="069BAA5E"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87" w:history="1">
        <w:r w:rsidRPr="001D5327">
          <w:rPr>
            <w:rStyle w:val="Hyperlink"/>
          </w:rPr>
          <w:t xml:space="preserve">Table 4.4.2 </w:t>
        </w:r>
        <w:r w:rsidRPr="001D5327">
          <w:rPr>
            <w:rFonts w:asciiTheme="minorHAnsi" w:eastAsiaTheme="minorEastAsia" w:hAnsiTheme="minorHAnsi" w:cstheme="minorBidi"/>
            <w:kern w:val="2"/>
            <w:sz w:val="24"/>
            <w:szCs w:val="24"/>
            <w14:ligatures w14:val="standardContextual"/>
          </w:rPr>
          <w:tab/>
        </w:r>
        <w:r w:rsidRPr="001D5327">
          <w:rPr>
            <w:rStyle w:val="Hyperlink"/>
          </w:rPr>
          <w:t>Uncertainty in emissions from the metal industry</w:t>
        </w:r>
        <w:r w:rsidRPr="001D5327">
          <w:rPr>
            <w:webHidden/>
          </w:rPr>
          <w:tab/>
        </w:r>
        <w:r w:rsidRPr="001D5327">
          <w:rPr>
            <w:webHidden/>
          </w:rPr>
          <w:fldChar w:fldCharType="begin"/>
        </w:r>
        <w:r w:rsidRPr="001D5327">
          <w:rPr>
            <w:webHidden/>
          </w:rPr>
          <w:instrText xml:space="preserve"> PAGEREF _Toc194241687 \h </w:instrText>
        </w:r>
        <w:r w:rsidRPr="001D5327">
          <w:rPr>
            <w:webHidden/>
          </w:rPr>
        </w:r>
        <w:r w:rsidRPr="001D5327">
          <w:rPr>
            <w:webHidden/>
          </w:rPr>
          <w:fldChar w:fldCharType="separate"/>
        </w:r>
        <w:r w:rsidR="00B93180">
          <w:rPr>
            <w:noProof/>
            <w:webHidden/>
          </w:rPr>
          <w:t>124</w:t>
        </w:r>
        <w:r w:rsidRPr="001D5327">
          <w:rPr>
            <w:webHidden/>
          </w:rPr>
          <w:fldChar w:fldCharType="end"/>
        </w:r>
      </w:hyperlink>
    </w:p>
    <w:p w14:paraId="46E0FC62" w14:textId="60258E28"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88" w:history="1">
        <w:r w:rsidRPr="001D5327">
          <w:rPr>
            <w:rStyle w:val="Hyperlink"/>
          </w:rPr>
          <w:t xml:space="preserve">Table 4.4.3 </w:t>
        </w:r>
        <w:r w:rsidRPr="001D5327">
          <w:rPr>
            <w:rFonts w:asciiTheme="minorHAnsi" w:eastAsiaTheme="minorEastAsia" w:hAnsiTheme="minorHAnsi" w:cstheme="minorBidi"/>
            <w:kern w:val="2"/>
            <w:sz w:val="24"/>
            <w:szCs w:val="24"/>
            <w14:ligatures w14:val="standardContextual"/>
          </w:rPr>
          <w:tab/>
        </w:r>
        <w:r w:rsidRPr="001D5327">
          <w:rPr>
            <w:rStyle w:val="Hyperlink"/>
          </w:rPr>
          <w:t>Explanation of variations in New Zealand’s aluminium emissions</w:t>
        </w:r>
        <w:r w:rsidRPr="001D5327">
          <w:rPr>
            <w:webHidden/>
          </w:rPr>
          <w:tab/>
        </w:r>
        <w:r w:rsidRPr="001D5327">
          <w:rPr>
            <w:webHidden/>
          </w:rPr>
          <w:fldChar w:fldCharType="begin"/>
        </w:r>
        <w:r w:rsidRPr="001D5327">
          <w:rPr>
            <w:webHidden/>
          </w:rPr>
          <w:instrText xml:space="preserve"> PAGEREF _Toc194241688 \h </w:instrText>
        </w:r>
        <w:r w:rsidRPr="001D5327">
          <w:rPr>
            <w:webHidden/>
          </w:rPr>
        </w:r>
        <w:r w:rsidRPr="001D5327">
          <w:rPr>
            <w:webHidden/>
          </w:rPr>
          <w:fldChar w:fldCharType="separate"/>
        </w:r>
        <w:r w:rsidR="00B93180">
          <w:rPr>
            <w:noProof/>
            <w:webHidden/>
          </w:rPr>
          <w:t>124</w:t>
        </w:r>
        <w:r w:rsidRPr="001D5327">
          <w:rPr>
            <w:webHidden/>
          </w:rPr>
          <w:fldChar w:fldCharType="end"/>
        </w:r>
      </w:hyperlink>
    </w:p>
    <w:p w14:paraId="403F0F5F" w14:textId="6AD3D073"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89" w:history="1">
        <w:r w:rsidRPr="001D5327">
          <w:rPr>
            <w:rStyle w:val="Hyperlink"/>
          </w:rPr>
          <w:t xml:space="preserve">Table 4.5.1 </w:t>
        </w:r>
        <w:r w:rsidRPr="001D5327">
          <w:rPr>
            <w:rFonts w:asciiTheme="minorHAnsi" w:eastAsiaTheme="minorEastAsia" w:hAnsiTheme="minorHAnsi" w:cstheme="minorBidi"/>
            <w:kern w:val="2"/>
            <w:sz w:val="24"/>
            <w:szCs w:val="24"/>
            <w14:ligatures w14:val="standardContextual"/>
          </w:rPr>
          <w:tab/>
        </w:r>
        <w:r w:rsidRPr="001D5327">
          <w:rPr>
            <w:rStyle w:val="Hyperlink"/>
          </w:rPr>
          <w:t>Calculation of NMVOC emissions from road paving</w:t>
        </w:r>
        <w:r w:rsidRPr="001D5327">
          <w:rPr>
            <w:webHidden/>
          </w:rPr>
          <w:tab/>
        </w:r>
        <w:r w:rsidRPr="001D5327">
          <w:rPr>
            <w:webHidden/>
          </w:rPr>
          <w:fldChar w:fldCharType="begin"/>
        </w:r>
        <w:r w:rsidRPr="001D5327">
          <w:rPr>
            <w:webHidden/>
          </w:rPr>
          <w:instrText xml:space="preserve"> PAGEREF _Toc194241689 \h </w:instrText>
        </w:r>
        <w:r w:rsidRPr="001D5327">
          <w:rPr>
            <w:webHidden/>
          </w:rPr>
        </w:r>
        <w:r w:rsidRPr="001D5327">
          <w:rPr>
            <w:webHidden/>
          </w:rPr>
          <w:fldChar w:fldCharType="separate"/>
        </w:r>
        <w:r w:rsidR="00B93180">
          <w:rPr>
            <w:noProof/>
            <w:webHidden/>
          </w:rPr>
          <w:t>127</w:t>
        </w:r>
        <w:r w:rsidRPr="001D5327">
          <w:rPr>
            <w:webHidden/>
          </w:rPr>
          <w:fldChar w:fldCharType="end"/>
        </w:r>
      </w:hyperlink>
    </w:p>
    <w:p w14:paraId="4E3D8C33" w14:textId="62EAECA3"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90" w:history="1">
        <w:r w:rsidRPr="001D5327">
          <w:rPr>
            <w:rStyle w:val="Hyperlink"/>
          </w:rPr>
          <w:t xml:space="preserve">Table 4.5.2 </w:t>
        </w:r>
        <w:r w:rsidRPr="001D5327">
          <w:rPr>
            <w:rFonts w:asciiTheme="minorHAnsi" w:eastAsiaTheme="minorEastAsia" w:hAnsiTheme="minorHAnsi" w:cstheme="minorBidi"/>
            <w:kern w:val="2"/>
            <w:sz w:val="24"/>
            <w:szCs w:val="24"/>
            <w14:ligatures w14:val="standardContextual"/>
          </w:rPr>
          <w:tab/>
        </w:r>
        <w:r w:rsidRPr="001D5327">
          <w:rPr>
            <w:rStyle w:val="Hyperlink"/>
          </w:rPr>
          <w:t>Fraction of bitumen in road paving material</w:t>
        </w:r>
        <w:r w:rsidRPr="001D5327">
          <w:rPr>
            <w:webHidden/>
          </w:rPr>
          <w:tab/>
        </w:r>
        <w:r w:rsidRPr="001D5327">
          <w:rPr>
            <w:webHidden/>
          </w:rPr>
          <w:fldChar w:fldCharType="begin"/>
        </w:r>
        <w:r w:rsidRPr="001D5327">
          <w:rPr>
            <w:webHidden/>
          </w:rPr>
          <w:instrText xml:space="preserve"> PAGEREF _Toc194241690 \h </w:instrText>
        </w:r>
        <w:r w:rsidRPr="001D5327">
          <w:rPr>
            <w:webHidden/>
          </w:rPr>
        </w:r>
        <w:r w:rsidRPr="001D5327">
          <w:rPr>
            <w:webHidden/>
          </w:rPr>
          <w:fldChar w:fldCharType="separate"/>
        </w:r>
        <w:r w:rsidR="00B93180">
          <w:rPr>
            <w:noProof/>
            <w:webHidden/>
          </w:rPr>
          <w:t>127</w:t>
        </w:r>
        <w:r w:rsidRPr="001D5327">
          <w:rPr>
            <w:webHidden/>
          </w:rPr>
          <w:fldChar w:fldCharType="end"/>
        </w:r>
      </w:hyperlink>
    </w:p>
    <w:p w14:paraId="2A384E74" w14:textId="2F5FDB6C"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91" w:history="1">
        <w:r w:rsidRPr="001D5327">
          <w:rPr>
            <w:rStyle w:val="Hyperlink"/>
          </w:rPr>
          <w:t xml:space="preserve">Table 4.5.3 </w:t>
        </w:r>
        <w:r w:rsidRPr="001D5327">
          <w:rPr>
            <w:rFonts w:asciiTheme="minorHAnsi" w:eastAsiaTheme="minorEastAsia" w:hAnsiTheme="minorHAnsi" w:cstheme="minorBidi"/>
            <w:kern w:val="2"/>
            <w:sz w:val="24"/>
            <w:szCs w:val="24"/>
            <w14:ligatures w14:val="standardContextual"/>
          </w:rPr>
          <w:tab/>
        </w:r>
        <w:r w:rsidRPr="001D5327">
          <w:rPr>
            <w:rStyle w:val="Hyperlink"/>
          </w:rPr>
          <w:t>Uncertainty in emissions in non-energy products from fuels and solvent use</w:t>
        </w:r>
        <w:r w:rsidRPr="001D5327">
          <w:rPr>
            <w:webHidden/>
          </w:rPr>
          <w:tab/>
        </w:r>
        <w:r w:rsidRPr="001D5327">
          <w:rPr>
            <w:webHidden/>
          </w:rPr>
          <w:fldChar w:fldCharType="begin"/>
        </w:r>
        <w:r w:rsidRPr="001D5327">
          <w:rPr>
            <w:webHidden/>
          </w:rPr>
          <w:instrText xml:space="preserve"> PAGEREF _Toc194241691 \h </w:instrText>
        </w:r>
        <w:r w:rsidRPr="001D5327">
          <w:rPr>
            <w:webHidden/>
          </w:rPr>
        </w:r>
        <w:r w:rsidRPr="001D5327">
          <w:rPr>
            <w:webHidden/>
          </w:rPr>
          <w:fldChar w:fldCharType="separate"/>
        </w:r>
        <w:r w:rsidR="00B93180">
          <w:rPr>
            <w:noProof/>
            <w:webHidden/>
          </w:rPr>
          <w:t>127</w:t>
        </w:r>
        <w:r w:rsidRPr="001D5327">
          <w:rPr>
            <w:webHidden/>
          </w:rPr>
          <w:fldChar w:fldCharType="end"/>
        </w:r>
      </w:hyperlink>
    </w:p>
    <w:p w14:paraId="4D268E62" w14:textId="1E4E94D0"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92" w:history="1">
        <w:r w:rsidRPr="001D5327">
          <w:rPr>
            <w:rStyle w:val="Hyperlink"/>
          </w:rPr>
          <w:t xml:space="preserve">Table 4.7.1 </w:t>
        </w:r>
        <w:r w:rsidRPr="001D5327">
          <w:rPr>
            <w:rFonts w:asciiTheme="minorHAnsi" w:eastAsiaTheme="minorEastAsia" w:hAnsiTheme="minorHAnsi" w:cstheme="minorBidi"/>
            <w:kern w:val="2"/>
            <w:sz w:val="24"/>
            <w:szCs w:val="24"/>
            <w14:ligatures w14:val="standardContextual"/>
          </w:rPr>
          <w:tab/>
        </w:r>
        <w:r w:rsidRPr="001D5327">
          <w:rPr>
            <w:rStyle w:val="Hyperlink"/>
          </w:rPr>
          <w:t>Average charge (grams) of HFC-134a in mobile air conditioners, 2009</w:t>
        </w:r>
        <w:r w:rsidRPr="001D5327">
          <w:rPr>
            <w:webHidden/>
          </w:rPr>
          <w:tab/>
        </w:r>
        <w:r w:rsidRPr="001D5327">
          <w:rPr>
            <w:webHidden/>
          </w:rPr>
          <w:fldChar w:fldCharType="begin"/>
        </w:r>
        <w:r w:rsidRPr="001D5327">
          <w:rPr>
            <w:webHidden/>
          </w:rPr>
          <w:instrText xml:space="preserve"> PAGEREF _Toc194241692 \h </w:instrText>
        </w:r>
        <w:r w:rsidRPr="001D5327">
          <w:rPr>
            <w:webHidden/>
          </w:rPr>
        </w:r>
        <w:r w:rsidRPr="001D5327">
          <w:rPr>
            <w:webHidden/>
          </w:rPr>
          <w:fldChar w:fldCharType="separate"/>
        </w:r>
        <w:r w:rsidR="00B93180">
          <w:rPr>
            <w:noProof/>
            <w:webHidden/>
          </w:rPr>
          <w:t>130</w:t>
        </w:r>
        <w:r w:rsidRPr="001D5327">
          <w:rPr>
            <w:webHidden/>
          </w:rPr>
          <w:fldChar w:fldCharType="end"/>
        </w:r>
      </w:hyperlink>
    </w:p>
    <w:p w14:paraId="5B312210" w14:textId="38D4DF6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93" w:history="1">
        <w:r w:rsidRPr="001D5327">
          <w:rPr>
            <w:rStyle w:val="Hyperlink"/>
          </w:rPr>
          <w:t xml:space="preserve">Table 4.7.2 </w:t>
        </w:r>
        <w:r w:rsidRPr="001D5327">
          <w:rPr>
            <w:rFonts w:asciiTheme="minorHAnsi" w:eastAsiaTheme="minorEastAsia" w:hAnsiTheme="minorHAnsi" w:cstheme="minorBidi"/>
            <w:kern w:val="2"/>
            <w:sz w:val="24"/>
            <w:szCs w:val="24"/>
            <w14:ligatures w14:val="standardContextual"/>
          </w:rPr>
          <w:tab/>
        </w:r>
        <w:r w:rsidRPr="001D5327">
          <w:rPr>
            <w:rStyle w:val="Hyperlink"/>
          </w:rPr>
          <w:t>Average emissions per dose in metered dose inhalers (milligrams)</w:t>
        </w:r>
        <w:r w:rsidRPr="001D5327">
          <w:rPr>
            <w:webHidden/>
          </w:rPr>
          <w:tab/>
        </w:r>
        <w:r w:rsidRPr="001D5327">
          <w:rPr>
            <w:webHidden/>
          </w:rPr>
          <w:fldChar w:fldCharType="begin"/>
        </w:r>
        <w:r w:rsidRPr="001D5327">
          <w:rPr>
            <w:webHidden/>
          </w:rPr>
          <w:instrText xml:space="preserve"> PAGEREF _Toc194241693 \h </w:instrText>
        </w:r>
        <w:r w:rsidRPr="001D5327">
          <w:rPr>
            <w:webHidden/>
          </w:rPr>
        </w:r>
        <w:r w:rsidRPr="001D5327">
          <w:rPr>
            <w:webHidden/>
          </w:rPr>
          <w:fldChar w:fldCharType="separate"/>
        </w:r>
        <w:r w:rsidR="00B93180">
          <w:rPr>
            <w:noProof/>
            <w:webHidden/>
          </w:rPr>
          <w:t>131</w:t>
        </w:r>
        <w:r w:rsidRPr="001D5327">
          <w:rPr>
            <w:webHidden/>
          </w:rPr>
          <w:fldChar w:fldCharType="end"/>
        </w:r>
      </w:hyperlink>
    </w:p>
    <w:p w14:paraId="06F49F33" w14:textId="30CAD8CA"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94" w:history="1">
        <w:r w:rsidRPr="001D5327">
          <w:rPr>
            <w:rStyle w:val="Hyperlink"/>
          </w:rPr>
          <w:t xml:space="preserve">Table 4.7.3 </w:t>
        </w:r>
        <w:r w:rsidRPr="001D5327">
          <w:rPr>
            <w:rFonts w:asciiTheme="minorHAnsi" w:eastAsiaTheme="minorEastAsia" w:hAnsiTheme="minorHAnsi" w:cstheme="minorBidi"/>
            <w:kern w:val="2"/>
            <w:sz w:val="24"/>
            <w:szCs w:val="24"/>
            <w14:ligatures w14:val="standardContextual"/>
          </w:rPr>
          <w:tab/>
        </w:r>
        <w:r w:rsidRPr="001D5327">
          <w:rPr>
            <w:rStyle w:val="Hyperlink"/>
          </w:rPr>
          <w:t>Summary of methodological tiers by sub-application</w:t>
        </w:r>
        <w:r w:rsidRPr="001D5327">
          <w:rPr>
            <w:webHidden/>
          </w:rPr>
          <w:tab/>
        </w:r>
        <w:r w:rsidRPr="001D5327">
          <w:rPr>
            <w:webHidden/>
          </w:rPr>
          <w:fldChar w:fldCharType="begin"/>
        </w:r>
        <w:r w:rsidRPr="001D5327">
          <w:rPr>
            <w:webHidden/>
          </w:rPr>
          <w:instrText xml:space="preserve"> PAGEREF _Toc194241694 \h </w:instrText>
        </w:r>
        <w:r w:rsidRPr="001D5327">
          <w:rPr>
            <w:webHidden/>
          </w:rPr>
        </w:r>
        <w:r w:rsidRPr="001D5327">
          <w:rPr>
            <w:webHidden/>
          </w:rPr>
          <w:fldChar w:fldCharType="separate"/>
        </w:r>
        <w:r w:rsidR="00B93180">
          <w:rPr>
            <w:noProof/>
            <w:webHidden/>
          </w:rPr>
          <w:t>133</w:t>
        </w:r>
        <w:r w:rsidRPr="001D5327">
          <w:rPr>
            <w:webHidden/>
          </w:rPr>
          <w:fldChar w:fldCharType="end"/>
        </w:r>
      </w:hyperlink>
    </w:p>
    <w:p w14:paraId="718C23C4" w14:textId="150D45CF"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95" w:history="1">
        <w:r w:rsidRPr="001D5327">
          <w:rPr>
            <w:rStyle w:val="Hyperlink"/>
          </w:rPr>
          <w:t xml:space="preserve">Table 4.7.4 </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New Zealand’s uncertainties in </w:t>
        </w:r>
        <w:r w:rsidRPr="001D5327">
          <w:rPr>
            <w:rStyle w:val="Hyperlink"/>
            <w:i/>
          </w:rPr>
          <w:t>Product uses as substitutes for ODS</w:t>
        </w:r>
        <w:r w:rsidRPr="001D5327">
          <w:rPr>
            <w:webHidden/>
          </w:rPr>
          <w:tab/>
        </w:r>
        <w:r w:rsidRPr="001D5327">
          <w:rPr>
            <w:webHidden/>
          </w:rPr>
          <w:fldChar w:fldCharType="begin"/>
        </w:r>
        <w:r w:rsidRPr="001D5327">
          <w:rPr>
            <w:webHidden/>
          </w:rPr>
          <w:instrText xml:space="preserve"> PAGEREF _Toc194241695 \h </w:instrText>
        </w:r>
        <w:r w:rsidRPr="001D5327">
          <w:rPr>
            <w:webHidden/>
          </w:rPr>
        </w:r>
        <w:r w:rsidRPr="001D5327">
          <w:rPr>
            <w:webHidden/>
          </w:rPr>
          <w:fldChar w:fldCharType="separate"/>
        </w:r>
        <w:r w:rsidR="00B93180">
          <w:rPr>
            <w:noProof/>
            <w:webHidden/>
          </w:rPr>
          <w:t>135</w:t>
        </w:r>
        <w:r w:rsidRPr="001D5327">
          <w:rPr>
            <w:webHidden/>
          </w:rPr>
          <w:fldChar w:fldCharType="end"/>
        </w:r>
      </w:hyperlink>
    </w:p>
    <w:p w14:paraId="284517E8" w14:textId="48E51ECA"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96" w:history="1">
        <w:r w:rsidRPr="001D5327">
          <w:rPr>
            <w:rStyle w:val="Hyperlink"/>
          </w:rPr>
          <w:t xml:space="preserve">Table 4.8.1 </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Uncertainty in emissions from </w:t>
        </w:r>
        <w:r w:rsidRPr="001D5327">
          <w:rPr>
            <w:rStyle w:val="Hyperlink"/>
            <w:i/>
          </w:rPr>
          <w:t>Other product manufacture and use</w:t>
        </w:r>
        <w:r w:rsidRPr="001D5327">
          <w:rPr>
            <w:webHidden/>
          </w:rPr>
          <w:tab/>
        </w:r>
        <w:r w:rsidRPr="001D5327">
          <w:rPr>
            <w:webHidden/>
          </w:rPr>
          <w:fldChar w:fldCharType="begin"/>
        </w:r>
        <w:r w:rsidRPr="001D5327">
          <w:rPr>
            <w:webHidden/>
          </w:rPr>
          <w:instrText xml:space="preserve"> PAGEREF _Toc194241696 \h </w:instrText>
        </w:r>
        <w:r w:rsidRPr="001D5327">
          <w:rPr>
            <w:webHidden/>
          </w:rPr>
        </w:r>
        <w:r w:rsidRPr="001D5327">
          <w:rPr>
            <w:webHidden/>
          </w:rPr>
          <w:fldChar w:fldCharType="separate"/>
        </w:r>
        <w:r w:rsidR="00B93180">
          <w:rPr>
            <w:noProof/>
            <w:webHidden/>
          </w:rPr>
          <w:t>139</w:t>
        </w:r>
        <w:r w:rsidRPr="001D5327">
          <w:rPr>
            <w:webHidden/>
          </w:rPr>
          <w:fldChar w:fldCharType="end"/>
        </w:r>
      </w:hyperlink>
    </w:p>
    <w:p w14:paraId="7DB2E2F0" w14:textId="28274D91"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97" w:history="1">
        <w:r w:rsidRPr="001D5327">
          <w:rPr>
            <w:rStyle w:val="Hyperlink"/>
            <w:rFonts w:cs="Calibri"/>
          </w:rPr>
          <w:t xml:space="preserve">Table 5.1.1 </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 xml:space="preserve">Trends and relative contribution of </w:t>
        </w:r>
        <w:r w:rsidRPr="001D5327">
          <w:rPr>
            <w:rStyle w:val="Hyperlink"/>
          </w:rPr>
          <w:t>New Zealand’s</w:t>
        </w:r>
        <w:r w:rsidRPr="001D5327">
          <w:rPr>
            <w:rStyle w:val="Hyperlink"/>
            <w:rFonts w:cs="Calibri"/>
          </w:rPr>
          <w:t xml:space="preserve"> agricultural greenhouse gas emissions by category between 1990 and 2022</w:t>
        </w:r>
        <w:r w:rsidRPr="001D5327">
          <w:rPr>
            <w:webHidden/>
          </w:rPr>
          <w:tab/>
        </w:r>
        <w:r w:rsidRPr="001D5327">
          <w:rPr>
            <w:webHidden/>
          </w:rPr>
          <w:fldChar w:fldCharType="begin"/>
        </w:r>
        <w:r w:rsidRPr="001D5327">
          <w:rPr>
            <w:webHidden/>
          </w:rPr>
          <w:instrText xml:space="preserve"> PAGEREF _Toc194241697 \h </w:instrText>
        </w:r>
        <w:r w:rsidRPr="001D5327">
          <w:rPr>
            <w:webHidden/>
          </w:rPr>
        </w:r>
        <w:r w:rsidRPr="001D5327">
          <w:rPr>
            <w:webHidden/>
          </w:rPr>
          <w:fldChar w:fldCharType="separate"/>
        </w:r>
        <w:r w:rsidR="00B93180">
          <w:rPr>
            <w:noProof/>
            <w:webHidden/>
          </w:rPr>
          <w:t>143</w:t>
        </w:r>
        <w:r w:rsidRPr="001D5327">
          <w:rPr>
            <w:webHidden/>
          </w:rPr>
          <w:fldChar w:fldCharType="end"/>
        </w:r>
      </w:hyperlink>
    </w:p>
    <w:p w14:paraId="52B91237" w14:textId="13D8EF9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98" w:history="1">
        <w:r w:rsidRPr="001D5327">
          <w:rPr>
            <w:rStyle w:val="Hyperlink"/>
          </w:rPr>
          <w:t xml:space="preserve">Table 5.1.2 </w:t>
        </w:r>
        <w:r w:rsidRPr="001D5327">
          <w:rPr>
            <w:rFonts w:asciiTheme="minorHAnsi" w:eastAsiaTheme="minorEastAsia" w:hAnsiTheme="minorHAnsi" w:cstheme="minorBidi"/>
            <w:kern w:val="2"/>
            <w:sz w:val="24"/>
            <w:szCs w:val="24"/>
            <w14:ligatures w14:val="standardContextual"/>
          </w:rPr>
          <w:tab/>
        </w:r>
        <w:r w:rsidRPr="001D5327">
          <w:rPr>
            <w:rStyle w:val="Hyperlink"/>
          </w:rPr>
          <w:t>Key categories in the Agriculture sector</w:t>
        </w:r>
        <w:r w:rsidRPr="001D5327">
          <w:rPr>
            <w:webHidden/>
          </w:rPr>
          <w:tab/>
        </w:r>
        <w:r w:rsidRPr="001D5327">
          <w:rPr>
            <w:webHidden/>
          </w:rPr>
          <w:fldChar w:fldCharType="begin"/>
        </w:r>
        <w:r w:rsidRPr="001D5327">
          <w:rPr>
            <w:webHidden/>
          </w:rPr>
          <w:instrText xml:space="preserve"> PAGEREF _Toc194241698 \h </w:instrText>
        </w:r>
        <w:r w:rsidRPr="001D5327">
          <w:rPr>
            <w:webHidden/>
          </w:rPr>
        </w:r>
        <w:r w:rsidRPr="001D5327">
          <w:rPr>
            <w:webHidden/>
          </w:rPr>
          <w:fldChar w:fldCharType="separate"/>
        </w:r>
        <w:r w:rsidR="00B93180">
          <w:rPr>
            <w:noProof/>
            <w:webHidden/>
          </w:rPr>
          <w:t>149</w:t>
        </w:r>
        <w:r w:rsidRPr="001D5327">
          <w:rPr>
            <w:webHidden/>
          </w:rPr>
          <w:fldChar w:fldCharType="end"/>
        </w:r>
      </w:hyperlink>
    </w:p>
    <w:p w14:paraId="20FC99BB" w14:textId="4FF7F1C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699" w:history="1">
        <w:r w:rsidRPr="001D5327">
          <w:rPr>
            <w:rStyle w:val="Hyperlink"/>
            <w:rFonts w:cs="Calibri"/>
          </w:rPr>
          <w:t xml:space="preserve">Table 5.1.3 </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Methods and emission factors in the Agriculture sector</w:t>
        </w:r>
        <w:r w:rsidRPr="001D5327">
          <w:rPr>
            <w:webHidden/>
          </w:rPr>
          <w:tab/>
        </w:r>
        <w:r w:rsidRPr="001D5327">
          <w:rPr>
            <w:webHidden/>
          </w:rPr>
          <w:fldChar w:fldCharType="begin"/>
        </w:r>
        <w:r w:rsidRPr="001D5327">
          <w:rPr>
            <w:webHidden/>
          </w:rPr>
          <w:instrText xml:space="preserve"> PAGEREF _Toc194241699 \h </w:instrText>
        </w:r>
        <w:r w:rsidRPr="001D5327">
          <w:rPr>
            <w:webHidden/>
          </w:rPr>
        </w:r>
        <w:r w:rsidRPr="001D5327">
          <w:rPr>
            <w:webHidden/>
          </w:rPr>
          <w:fldChar w:fldCharType="separate"/>
        </w:r>
        <w:r w:rsidR="00B93180">
          <w:rPr>
            <w:noProof/>
            <w:webHidden/>
          </w:rPr>
          <w:t>150</w:t>
        </w:r>
        <w:r w:rsidRPr="001D5327">
          <w:rPr>
            <w:webHidden/>
          </w:rPr>
          <w:fldChar w:fldCharType="end"/>
        </w:r>
      </w:hyperlink>
    </w:p>
    <w:p w14:paraId="15A254EE" w14:textId="59145D2A"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00" w:history="1">
        <w:r w:rsidRPr="001D5327">
          <w:rPr>
            <w:rStyle w:val="Hyperlink"/>
          </w:rPr>
          <w:t xml:space="preserve">Table 5.1.4 </w:t>
        </w:r>
        <w:r w:rsidRPr="001D5327">
          <w:rPr>
            <w:rFonts w:asciiTheme="minorHAnsi" w:eastAsiaTheme="minorEastAsia" w:hAnsiTheme="minorHAnsi" w:cstheme="minorBidi"/>
            <w:kern w:val="2"/>
            <w:sz w:val="24"/>
            <w:szCs w:val="24"/>
            <w14:ligatures w14:val="standardContextual"/>
          </w:rPr>
          <w:tab/>
        </w:r>
        <w:r w:rsidRPr="001D5327">
          <w:rPr>
            <w:rStyle w:val="Hyperlink"/>
          </w:rPr>
          <w:t>Agriculture sectoral approval process for inventory recalculations and improvements</w:t>
        </w:r>
        <w:r w:rsidRPr="001D5327">
          <w:rPr>
            <w:webHidden/>
          </w:rPr>
          <w:tab/>
        </w:r>
        <w:r w:rsidRPr="001D5327">
          <w:rPr>
            <w:webHidden/>
          </w:rPr>
          <w:fldChar w:fldCharType="begin"/>
        </w:r>
        <w:r w:rsidRPr="001D5327">
          <w:rPr>
            <w:webHidden/>
          </w:rPr>
          <w:instrText xml:space="preserve"> PAGEREF _Toc194241700 \h </w:instrText>
        </w:r>
        <w:r w:rsidRPr="001D5327">
          <w:rPr>
            <w:webHidden/>
          </w:rPr>
        </w:r>
        <w:r w:rsidRPr="001D5327">
          <w:rPr>
            <w:webHidden/>
          </w:rPr>
          <w:fldChar w:fldCharType="separate"/>
        </w:r>
        <w:r w:rsidR="00B93180">
          <w:rPr>
            <w:noProof/>
            <w:webHidden/>
          </w:rPr>
          <w:t>163</w:t>
        </w:r>
        <w:r w:rsidRPr="001D5327">
          <w:rPr>
            <w:webHidden/>
          </w:rPr>
          <w:fldChar w:fldCharType="end"/>
        </w:r>
      </w:hyperlink>
    </w:p>
    <w:p w14:paraId="0FA0F891" w14:textId="2698F634"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01" w:history="1">
        <w:r w:rsidRPr="001D5327">
          <w:rPr>
            <w:rStyle w:val="Hyperlink"/>
            <w:rFonts w:cs="Calibri"/>
          </w:rPr>
          <w:t>Table 5.2.1</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Trends and relative contribution of enteric fermentation (methane expressed in kt CO</w:t>
        </w:r>
        <w:r w:rsidRPr="001D5327">
          <w:rPr>
            <w:rStyle w:val="Hyperlink"/>
            <w:rFonts w:cs="Calibri"/>
            <w:vertAlign w:val="subscript"/>
          </w:rPr>
          <w:t>2</w:t>
        </w:r>
        <w:r w:rsidRPr="001D5327">
          <w:rPr>
            <w:rStyle w:val="Hyperlink"/>
            <w:rFonts w:cs="Calibri"/>
          </w:rPr>
          <w:t>-e) from livestock categories between 1990 and 2022</w:t>
        </w:r>
        <w:r w:rsidRPr="001D5327">
          <w:rPr>
            <w:webHidden/>
          </w:rPr>
          <w:tab/>
        </w:r>
        <w:r w:rsidRPr="001D5327">
          <w:rPr>
            <w:webHidden/>
          </w:rPr>
          <w:fldChar w:fldCharType="begin"/>
        </w:r>
        <w:r w:rsidRPr="001D5327">
          <w:rPr>
            <w:webHidden/>
          </w:rPr>
          <w:instrText xml:space="preserve"> PAGEREF _Toc194241701 \h </w:instrText>
        </w:r>
        <w:r w:rsidRPr="001D5327">
          <w:rPr>
            <w:webHidden/>
          </w:rPr>
        </w:r>
        <w:r w:rsidRPr="001D5327">
          <w:rPr>
            <w:webHidden/>
          </w:rPr>
          <w:fldChar w:fldCharType="separate"/>
        </w:r>
        <w:r w:rsidR="00B93180">
          <w:rPr>
            <w:noProof/>
            <w:webHidden/>
          </w:rPr>
          <w:t>168</w:t>
        </w:r>
        <w:r w:rsidRPr="001D5327">
          <w:rPr>
            <w:webHidden/>
          </w:rPr>
          <w:fldChar w:fldCharType="end"/>
        </w:r>
      </w:hyperlink>
    </w:p>
    <w:p w14:paraId="2D6C9ECE" w14:textId="435C43C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02" w:history="1">
        <w:r w:rsidRPr="001D5327">
          <w:rPr>
            <w:rStyle w:val="Hyperlink"/>
            <w:rFonts w:cs="Calibri"/>
          </w:rPr>
          <w:t>Table 5.2.2</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Methane (CH</w:t>
        </w:r>
        <w:r w:rsidRPr="001D5327">
          <w:rPr>
            <w:rStyle w:val="Hyperlink"/>
            <w:rFonts w:cs="Calibri"/>
            <w:vertAlign w:val="subscript"/>
          </w:rPr>
          <w:t>4</w:t>
        </w:r>
        <w:r w:rsidRPr="001D5327">
          <w:rPr>
            <w:rStyle w:val="Hyperlink"/>
            <w:rFonts w:cs="Calibri"/>
          </w:rPr>
          <w:t>) emissions and gross energy intake (GEI) from New Zealand measurements and IPCC (2006) default values</w:t>
        </w:r>
        <w:r w:rsidRPr="001D5327">
          <w:rPr>
            <w:webHidden/>
          </w:rPr>
          <w:tab/>
        </w:r>
        <w:r w:rsidRPr="001D5327">
          <w:rPr>
            <w:webHidden/>
          </w:rPr>
          <w:fldChar w:fldCharType="begin"/>
        </w:r>
        <w:r w:rsidRPr="001D5327">
          <w:rPr>
            <w:webHidden/>
          </w:rPr>
          <w:instrText xml:space="preserve"> PAGEREF _Toc194241702 \h </w:instrText>
        </w:r>
        <w:r w:rsidRPr="001D5327">
          <w:rPr>
            <w:webHidden/>
          </w:rPr>
        </w:r>
        <w:r w:rsidRPr="001D5327">
          <w:rPr>
            <w:webHidden/>
          </w:rPr>
          <w:fldChar w:fldCharType="separate"/>
        </w:r>
        <w:r w:rsidR="00B93180">
          <w:rPr>
            <w:noProof/>
            <w:webHidden/>
          </w:rPr>
          <w:t>171</w:t>
        </w:r>
        <w:r w:rsidRPr="001D5327">
          <w:rPr>
            <w:webHidden/>
          </w:rPr>
          <w:fldChar w:fldCharType="end"/>
        </w:r>
      </w:hyperlink>
    </w:p>
    <w:p w14:paraId="3B150D4B" w14:textId="5698D294"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03" w:history="1">
        <w:r w:rsidRPr="001D5327">
          <w:rPr>
            <w:rStyle w:val="Hyperlink"/>
            <w:rFonts w:cs="Calibri"/>
          </w:rPr>
          <w:t>Table 5.2.3</w:t>
        </w:r>
        <w:r w:rsidRPr="001D5327">
          <w:rPr>
            <w:rFonts w:asciiTheme="minorHAnsi" w:eastAsiaTheme="minorEastAsia" w:hAnsiTheme="minorHAnsi" w:cstheme="minorBidi"/>
            <w:kern w:val="2"/>
            <w:sz w:val="24"/>
            <w:szCs w:val="24"/>
            <w14:ligatures w14:val="standardContextual"/>
          </w:rPr>
          <w:tab/>
        </w:r>
        <w:r w:rsidRPr="001D5327">
          <w:rPr>
            <w:rStyle w:val="Hyperlink"/>
          </w:rPr>
          <w:t>New Zealand’s</w:t>
        </w:r>
        <w:r w:rsidRPr="001D5327">
          <w:rPr>
            <w:rStyle w:val="Hyperlink"/>
            <w:rFonts w:cs="Calibri"/>
          </w:rPr>
          <w:t xml:space="preserve"> implied emission factors for enteric fermentation, from 1990 to 2023</w:t>
        </w:r>
        <w:r w:rsidRPr="001D5327">
          <w:rPr>
            <w:webHidden/>
          </w:rPr>
          <w:tab/>
        </w:r>
        <w:r w:rsidRPr="001D5327">
          <w:rPr>
            <w:webHidden/>
          </w:rPr>
          <w:fldChar w:fldCharType="begin"/>
        </w:r>
        <w:r w:rsidRPr="001D5327">
          <w:rPr>
            <w:webHidden/>
          </w:rPr>
          <w:instrText xml:space="preserve"> PAGEREF _Toc194241703 \h </w:instrText>
        </w:r>
        <w:r w:rsidRPr="001D5327">
          <w:rPr>
            <w:webHidden/>
          </w:rPr>
        </w:r>
        <w:r w:rsidRPr="001D5327">
          <w:rPr>
            <w:webHidden/>
          </w:rPr>
          <w:fldChar w:fldCharType="separate"/>
        </w:r>
        <w:r w:rsidR="00B93180">
          <w:rPr>
            <w:noProof/>
            <w:webHidden/>
          </w:rPr>
          <w:t>171</w:t>
        </w:r>
        <w:r w:rsidRPr="001D5327">
          <w:rPr>
            <w:webHidden/>
          </w:rPr>
          <w:fldChar w:fldCharType="end"/>
        </w:r>
      </w:hyperlink>
    </w:p>
    <w:p w14:paraId="31ABC286" w14:textId="2A5E686E"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04" w:history="1">
        <w:r w:rsidRPr="001D5327">
          <w:rPr>
            <w:rStyle w:val="Hyperlink"/>
            <w:rFonts w:cs="Calibri"/>
          </w:rPr>
          <w:t xml:space="preserve">Table 5.2.4 </w:t>
        </w:r>
        <w:r w:rsidR="007A1A55" w:rsidRPr="001D5327">
          <w:rPr>
            <w:rStyle w:val="Hyperlink"/>
            <w:rFonts w:cs="Calibri"/>
          </w:rPr>
          <w:tab/>
        </w:r>
        <w:r w:rsidRPr="001D5327">
          <w:rPr>
            <w:rStyle w:val="Hyperlink"/>
            <w:rFonts w:cs="Calibri"/>
          </w:rPr>
          <w:t>Enteric fermentation emissions factors (kg CH</w:t>
        </w:r>
        <w:r w:rsidRPr="001D5327">
          <w:rPr>
            <w:rStyle w:val="Hyperlink"/>
            <w:rFonts w:cs="Calibri"/>
            <w:vertAlign w:val="subscript"/>
          </w:rPr>
          <w:t>4</w:t>
        </w:r>
        <w:r w:rsidRPr="001D5327">
          <w:rPr>
            <w:rStyle w:val="Hyperlink"/>
            <w:rFonts w:cs="Calibri"/>
          </w:rPr>
          <w:t xml:space="preserve"> head</w:t>
        </w:r>
        <w:r w:rsidRPr="001D5327">
          <w:rPr>
            <w:rStyle w:val="Hyperlink"/>
            <w:rFonts w:cs="Calibri"/>
            <w:vertAlign w:val="superscript"/>
          </w:rPr>
          <w:t>-1</w:t>
        </w:r>
        <w:r w:rsidRPr="001D5327">
          <w:rPr>
            <w:rStyle w:val="Hyperlink"/>
            <w:rFonts w:cs="Calibri"/>
          </w:rPr>
          <w:t xml:space="preserve"> year</w:t>
        </w:r>
        <w:r w:rsidRPr="001D5327">
          <w:rPr>
            <w:rStyle w:val="Hyperlink"/>
            <w:rFonts w:cs="Calibri"/>
            <w:vertAlign w:val="superscript"/>
          </w:rPr>
          <w:t>-1</w:t>
        </w:r>
        <w:r w:rsidRPr="001D5327">
          <w:rPr>
            <w:rStyle w:val="Hyperlink"/>
            <w:rFonts w:cs="Calibri"/>
          </w:rPr>
          <w:t>) for pig classes</w:t>
        </w:r>
        <w:r w:rsidRPr="001D5327">
          <w:rPr>
            <w:webHidden/>
          </w:rPr>
          <w:tab/>
        </w:r>
        <w:r w:rsidRPr="001D5327">
          <w:rPr>
            <w:webHidden/>
          </w:rPr>
          <w:fldChar w:fldCharType="begin"/>
        </w:r>
        <w:r w:rsidRPr="001D5327">
          <w:rPr>
            <w:webHidden/>
          </w:rPr>
          <w:instrText xml:space="preserve"> PAGEREF _Toc194241704 \h </w:instrText>
        </w:r>
        <w:r w:rsidRPr="001D5327">
          <w:rPr>
            <w:webHidden/>
          </w:rPr>
        </w:r>
        <w:r w:rsidRPr="001D5327">
          <w:rPr>
            <w:webHidden/>
          </w:rPr>
          <w:fldChar w:fldCharType="separate"/>
        </w:r>
        <w:r w:rsidR="00B93180">
          <w:rPr>
            <w:noProof/>
            <w:webHidden/>
          </w:rPr>
          <w:t>172</w:t>
        </w:r>
        <w:r w:rsidRPr="001D5327">
          <w:rPr>
            <w:webHidden/>
          </w:rPr>
          <w:fldChar w:fldCharType="end"/>
        </w:r>
      </w:hyperlink>
    </w:p>
    <w:p w14:paraId="25526513" w14:textId="59F80595"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05" w:history="1">
        <w:r w:rsidRPr="001D5327">
          <w:rPr>
            <w:rStyle w:val="Hyperlink"/>
            <w:rFonts w:cs="Calibri"/>
          </w:rPr>
          <w:t>Table 5.2.5</w:t>
        </w:r>
        <w:r w:rsidRPr="001D5327">
          <w:rPr>
            <w:rFonts w:asciiTheme="minorHAnsi" w:eastAsiaTheme="minorEastAsia" w:hAnsiTheme="minorHAnsi" w:cstheme="minorBidi"/>
            <w:kern w:val="2"/>
            <w:sz w:val="24"/>
            <w:szCs w:val="24"/>
            <w14:ligatures w14:val="standardContextual"/>
          </w:rPr>
          <w:tab/>
        </w:r>
        <w:r w:rsidRPr="001D5327">
          <w:rPr>
            <w:rStyle w:val="Hyperlink"/>
          </w:rPr>
          <w:t>New Zealand’s</w:t>
        </w:r>
        <w:r w:rsidRPr="001D5327">
          <w:rPr>
            <w:rStyle w:val="Hyperlink"/>
            <w:rFonts w:cs="Calibri"/>
          </w:rPr>
          <w:t xml:space="preserve"> uncertainty in the annual estimate of enteric fermentation emissions for 1990 and 2023, estimated using the 95 per cent confidence interval (±16 per cent)</w:t>
        </w:r>
        <w:r w:rsidRPr="001D5327">
          <w:rPr>
            <w:webHidden/>
          </w:rPr>
          <w:tab/>
        </w:r>
        <w:r w:rsidRPr="001D5327">
          <w:rPr>
            <w:webHidden/>
          </w:rPr>
          <w:fldChar w:fldCharType="begin"/>
        </w:r>
        <w:r w:rsidRPr="001D5327">
          <w:rPr>
            <w:webHidden/>
          </w:rPr>
          <w:instrText xml:space="preserve"> PAGEREF _Toc194241705 \h </w:instrText>
        </w:r>
        <w:r w:rsidRPr="001D5327">
          <w:rPr>
            <w:webHidden/>
          </w:rPr>
        </w:r>
        <w:r w:rsidRPr="001D5327">
          <w:rPr>
            <w:webHidden/>
          </w:rPr>
          <w:fldChar w:fldCharType="separate"/>
        </w:r>
        <w:r w:rsidR="00B93180">
          <w:rPr>
            <w:noProof/>
            <w:webHidden/>
          </w:rPr>
          <w:t>173</w:t>
        </w:r>
        <w:r w:rsidRPr="001D5327">
          <w:rPr>
            <w:webHidden/>
          </w:rPr>
          <w:fldChar w:fldCharType="end"/>
        </w:r>
      </w:hyperlink>
    </w:p>
    <w:p w14:paraId="64FC4DEF" w14:textId="2967E088"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06" w:history="1">
        <w:r w:rsidRPr="001D5327">
          <w:rPr>
            <w:rStyle w:val="Hyperlink"/>
            <w:rFonts w:cs="Calibri"/>
          </w:rPr>
          <w:t>Table 5.2.6</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Comparison of the IPCC (2006) default emission factor and country-specific implied emission factors (IEFs) for methane (CH</w:t>
        </w:r>
        <w:r w:rsidRPr="001D5327">
          <w:rPr>
            <w:rStyle w:val="Hyperlink"/>
            <w:rFonts w:cs="Calibri"/>
            <w:vertAlign w:val="subscript"/>
          </w:rPr>
          <w:t>4</w:t>
        </w:r>
        <w:r w:rsidRPr="001D5327">
          <w:rPr>
            <w:rStyle w:val="Hyperlink"/>
            <w:rFonts w:cs="Calibri"/>
          </w:rPr>
          <w:t xml:space="preserve">) from </w:t>
        </w:r>
        <w:r w:rsidRPr="001D5327">
          <w:rPr>
            <w:rStyle w:val="Hyperlink"/>
            <w:rFonts w:cs="Calibri"/>
            <w:i/>
            <w:iCs/>
          </w:rPr>
          <w:t>Enteric fermentation</w:t>
        </w:r>
        <w:r w:rsidRPr="001D5327">
          <w:rPr>
            <w:rStyle w:val="Hyperlink"/>
            <w:rFonts w:cs="Calibri"/>
          </w:rPr>
          <w:t xml:space="preserve"> for </w:t>
        </w:r>
        <w:r w:rsidRPr="001D5327">
          <w:rPr>
            <w:rStyle w:val="Hyperlink"/>
            <w:rFonts w:cs="Calibri"/>
            <w:i/>
            <w:iCs/>
          </w:rPr>
          <w:t>Dairy cattle</w:t>
        </w:r>
        <w:r w:rsidRPr="001D5327">
          <w:rPr>
            <w:rStyle w:val="Hyperlink"/>
            <w:rFonts w:cs="Calibri"/>
          </w:rPr>
          <w:t xml:space="preserve">, </w:t>
        </w:r>
        <w:r w:rsidRPr="001D5327">
          <w:rPr>
            <w:rStyle w:val="Hyperlink"/>
            <w:rFonts w:cs="Calibri"/>
            <w:i/>
            <w:iCs/>
          </w:rPr>
          <w:t>Non</w:t>
        </w:r>
        <w:r w:rsidRPr="001D5327">
          <w:rPr>
            <w:rStyle w:val="Hyperlink"/>
            <w:rFonts w:cs="Calibri"/>
            <w:i/>
            <w:iCs/>
          </w:rPr>
          <w:noBreakHyphen/>
          <w:t>dairy</w:t>
        </w:r>
        <w:r w:rsidRPr="001D5327">
          <w:rPr>
            <w:rStyle w:val="Hyperlink"/>
            <w:rFonts w:cs="Calibri"/>
          </w:rPr>
          <w:t xml:space="preserve"> </w:t>
        </w:r>
        <w:r w:rsidRPr="001D5327">
          <w:rPr>
            <w:rStyle w:val="Hyperlink"/>
            <w:rFonts w:cs="Calibri"/>
            <w:i/>
            <w:iCs/>
          </w:rPr>
          <w:t>cattle</w:t>
        </w:r>
        <w:r w:rsidRPr="001D5327">
          <w:rPr>
            <w:rStyle w:val="Hyperlink"/>
            <w:rFonts w:cs="Calibri"/>
          </w:rPr>
          <w:t xml:space="preserve"> and </w:t>
        </w:r>
        <w:r w:rsidRPr="001D5327">
          <w:rPr>
            <w:rStyle w:val="Hyperlink"/>
            <w:rFonts w:cs="Calibri"/>
            <w:i/>
            <w:iCs/>
          </w:rPr>
          <w:t>Sheep</w:t>
        </w:r>
        <w:r w:rsidRPr="001D5327">
          <w:rPr>
            <w:webHidden/>
          </w:rPr>
          <w:tab/>
        </w:r>
        <w:r w:rsidRPr="001D5327">
          <w:rPr>
            <w:webHidden/>
          </w:rPr>
          <w:fldChar w:fldCharType="begin"/>
        </w:r>
        <w:r w:rsidRPr="001D5327">
          <w:rPr>
            <w:webHidden/>
          </w:rPr>
          <w:instrText xml:space="preserve"> PAGEREF _Toc194241706 \h </w:instrText>
        </w:r>
        <w:r w:rsidRPr="001D5327">
          <w:rPr>
            <w:webHidden/>
          </w:rPr>
        </w:r>
        <w:r w:rsidRPr="001D5327">
          <w:rPr>
            <w:webHidden/>
          </w:rPr>
          <w:fldChar w:fldCharType="separate"/>
        </w:r>
        <w:r w:rsidR="00B93180">
          <w:rPr>
            <w:noProof/>
            <w:webHidden/>
          </w:rPr>
          <w:t>174</w:t>
        </w:r>
        <w:r w:rsidRPr="001D5327">
          <w:rPr>
            <w:webHidden/>
          </w:rPr>
          <w:fldChar w:fldCharType="end"/>
        </w:r>
      </w:hyperlink>
    </w:p>
    <w:p w14:paraId="3E46C754" w14:textId="333C26B6"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07" w:history="1">
        <w:r w:rsidRPr="001D5327">
          <w:rPr>
            <w:rStyle w:val="Hyperlink"/>
            <w:rFonts w:cs="Calibri"/>
          </w:rPr>
          <w:t>Table 5.2.7</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 xml:space="preserve">Comparison of the previous minor species populations and the updated minor species populations for emissions from </w:t>
        </w:r>
        <w:r w:rsidRPr="001D5327">
          <w:rPr>
            <w:rStyle w:val="Hyperlink"/>
            <w:rFonts w:cs="Calibri"/>
            <w:i/>
            <w:iCs/>
          </w:rPr>
          <w:t>Enteric fermentation</w:t>
        </w:r>
        <w:r w:rsidRPr="001D5327">
          <w:rPr>
            <w:webHidden/>
          </w:rPr>
          <w:tab/>
        </w:r>
        <w:r w:rsidRPr="001D5327">
          <w:rPr>
            <w:webHidden/>
          </w:rPr>
          <w:fldChar w:fldCharType="begin"/>
        </w:r>
        <w:r w:rsidRPr="001D5327">
          <w:rPr>
            <w:webHidden/>
          </w:rPr>
          <w:instrText xml:space="preserve"> PAGEREF _Toc194241707 \h </w:instrText>
        </w:r>
        <w:r w:rsidRPr="001D5327">
          <w:rPr>
            <w:webHidden/>
          </w:rPr>
        </w:r>
        <w:r w:rsidRPr="001D5327">
          <w:rPr>
            <w:webHidden/>
          </w:rPr>
          <w:fldChar w:fldCharType="separate"/>
        </w:r>
        <w:r w:rsidR="00B93180">
          <w:rPr>
            <w:noProof/>
            <w:webHidden/>
          </w:rPr>
          <w:t>177</w:t>
        </w:r>
        <w:r w:rsidRPr="001D5327">
          <w:rPr>
            <w:webHidden/>
          </w:rPr>
          <w:fldChar w:fldCharType="end"/>
        </w:r>
      </w:hyperlink>
    </w:p>
    <w:p w14:paraId="3C59C4DF" w14:textId="6A72B87E"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08" w:history="1">
        <w:r w:rsidRPr="001D5327">
          <w:rPr>
            <w:rStyle w:val="Hyperlink"/>
            <w:rFonts w:cs="Calibri"/>
          </w:rPr>
          <w:t>Table 5.2.8</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Comparison emissions from </w:t>
        </w:r>
        <w:r w:rsidRPr="001D5327">
          <w:rPr>
            <w:rStyle w:val="Hyperlink"/>
            <w:rFonts w:cs="Calibri"/>
            <w:i/>
            <w:iCs/>
          </w:rPr>
          <w:t xml:space="preserve">Enteric fermentation </w:t>
        </w:r>
        <w:r w:rsidRPr="001D5327">
          <w:rPr>
            <w:rStyle w:val="Hyperlink"/>
            <w:rFonts w:cs="Calibri"/>
          </w:rPr>
          <w:t>using the updated deer population and productivity statistics</w:t>
        </w:r>
        <w:r w:rsidRPr="001D5327">
          <w:rPr>
            <w:webHidden/>
          </w:rPr>
          <w:tab/>
        </w:r>
        <w:r w:rsidRPr="001D5327">
          <w:rPr>
            <w:webHidden/>
          </w:rPr>
          <w:fldChar w:fldCharType="begin"/>
        </w:r>
        <w:r w:rsidRPr="001D5327">
          <w:rPr>
            <w:webHidden/>
          </w:rPr>
          <w:instrText xml:space="preserve"> PAGEREF _Toc194241708 \h </w:instrText>
        </w:r>
        <w:r w:rsidRPr="001D5327">
          <w:rPr>
            <w:webHidden/>
          </w:rPr>
        </w:r>
        <w:r w:rsidRPr="001D5327">
          <w:rPr>
            <w:webHidden/>
          </w:rPr>
          <w:fldChar w:fldCharType="separate"/>
        </w:r>
        <w:r w:rsidR="00B93180">
          <w:rPr>
            <w:noProof/>
            <w:webHidden/>
          </w:rPr>
          <w:t>178</w:t>
        </w:r>
        <w:r w:rsidRPr="001D5327">
          <w:rPr>
            <w:webHidden/>
          </w:rPr>
          <w:fldChar w:fldCharType="end"/>
        </w:r>
      </w:hyperlink>
    </w:p>
    <w:p w14:paraId="5AE2734E" w14:textId="3B6B87C8"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09" w:history="1">
        <w:r w:rsidRPr="001D5327">
          <w:rPr>
            <w:rStyle w:val="Hyperlink"/>
            <w:rFonts w:cs="Calibri"/>
          </w:rPr>
          <w:t>Table 5.2.9</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Comparison emissions from </w:t>
        </w:r>
        <w:r w:rsidRPr="001D5327">
          <w:rPr>
            <w:rStyle w:val="Hyperlink"/>
            <w:rFonts w:cs="Calibri"/>
            <w:i/>
            <w:iCs/>
          </w:rPr>
          <w:t xml:space="preserve">Enteric fermentation </w:t>
        </w:r>
        <w:r w:rsidRPr="001D5327">
          <w:rPr>
            <w:rStyle w:val="Hyperlink"/>
            <w:rFonts w:cs="Calibri"/>
          </w:rPr>
          <w:t>using the updated pig calculations</w:t>
        </w:r>
        <w:r w:rsidRPr="001D5327">
          <w:rPr>
            <w:webHidden/>
          </w:rPr>
          <w:tab/>
        </w:r>
        <w:r w:rsidRPr="001D5327">
          <w:rPr>
            <w:webHidden/>
          </w:rPr>
          <w:fldChar w:fldCharType="begin"/>
        </w:r>
        <w:r w:rsidRPr="001D5327">
          <w:rPr>
            <w:webHidden/>
          </w:rPr>
          <w:instrText xml:space="preserve"> PAGEREF _Toc194241709 \h </w:instrText>
        </w:r>
        <w:r w:rsidRPr="001D5327">
          <w:rPr>
            <w:webHidden/>
          </w:rPr>
        </w:r>
        <w:r w:rsidRPr="001D5327">
          <w:rPr>
            <w:webHidden/>
          </w:rPr>
          <w:fldChar w:fldCharType="separate"/>
        </w:r>
        <w:r w:rsidR="00B93180">
          <w:rPr>
            <w:noProof/>
            <w:webHidden/>
          </w:rPr>
          <w:t>179</w:t>
        </w:r>
        <w:r w:rsidRPr="001D5327">
          <w:rPr>
            <w:webHidden/>
          </w:rPr>
          <w:fldChar w:fldCharType="end"/>
        </w:r>
      </w:hyperlink>
    </w:p>
    <w:p w14:paraId="3C6E5E70" w14:textId="189BBB2E"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10" w:history="1">
        <w:r w:rsidRPr="001D5327">
          <w:rPr>
            <w:rStyle w:val="Hyperlink"/>
            <w:rFonts w:cs="Calibri"/>
          </w:rPr>
          <w:t>Table 5.2.10</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Comparison emissions from </w:t>
        </w:r>
        <w:r w:rsidRPr="001D5327">
          <w:rPr>
            <w:rStyle w:val="Hyperlink"/>
            <w:rFonts w:cs="Calibri"/>
            <w:i/>
            <w:iCs/>
          </w:rPr>
          <w:t xml:space="preserve">Enteric fermentation </w:t>
        </w:r>
        <w:r w:rsidRPr="001D5327">
          <w:rPr>
            <w:rStyle w:val="Hyperlink"/>
            <w:rFonts w:cs="Calibri"/>
          </w:rPr>
          <w:t>using the updated monthly wool calculations</w:t>
        </w:r>
        <w:r w:rsidRPr="001D5327">
          <w:rPr>
            <w:webHidden/>
          </w:rPr>
          <w:tab/>
        </w:r>
        <w:r w:rsidRPr="001D5327">
          <w:rPr>
            <w:webHidden/>
          </w:rPr>
          <w:fldChar w:fldCharType="begin"/>
        </w:r>
        <w:r w:rsidRPr="001D5327">
          <w:rPr>
            <w:webHidden/>
          </w:rPr>
          <w:instrText xml:space="preserve"> PAGEREF _Toc194241710 \h </w:instrText>
        </w:r>
        <w:r w:rsidRPr="001D5327">
          <w:rPr>
            <w:webHidden/>
          </w:rPr>
        </w:r>
        <w:r w:rsidRPr="001D5327">
          <w:rPr>
            <w:webHidden/>
          </w:rPr>
          <w:fldChar w:fldCharType="separate"/>
        </w:r>
        <w:r w:rsidR="00B93180">
          <w:rPr>
            <w:noProof/>
            <w:webHidden/>
          </w:rPr>
          <w:t>180</w:t>
        </w:r>
        <w:r w:rsidRPr="001D5327">
          <w:rPr>
            <w:webHidden/>
          </w:rPr>
          <w:fldChar w:fldCharType="end"/>
        </w:r>
      </w:hyperlink>
    </w:p>
    <w:p w14:paraId="7129C620" w14:textId="2DD4430C"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11" w:history="1">
        <w:r w:rsidRPr="001D5327">
          <w:rPr>
            <w:rStyle w:val="Hyperlink"/>
            <w:rFonts w:cs="Calibri"/>
          </w:rPr>
          <w:t>Table 5.2.11</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Comparison of model results with and without corrections for emissions from </w:t>
        </w:r>
        <w:r w:rsidRPr="001D5327">
          <w:rPr>
            <w:rStyle w:val="Hyperlink"/>
            <w:rFonts w:cs="Calibri"/>
            <w:i/>
            <w:iCs/>
          </w:rPr>
          <w:t>Enteric fermentation</w:t>
        </w:r>
        <w:r w:rsidRPr="001D5327">
          <w:rPr>
            <w:webHidden/>
          </w:rPr>
          <w:tab/>
        </w:r>
        <w:r w:rsidRPr="001D5327">
          <w:rPr>
            <w:webHidden/>
          </w:rPr>
          <w:fldChar w:fldCharType="begin"/>
        </w:r>
        <w:r w:rsidRPr="001D5327">
          <w:rPr>
            <w:webHidden/>
          </w:rPr>
          <w:instrText xml:space="preserve"> PAGEREF _Toc194241711 \h </w:instrText>
        </w:r>
        <w:r w:rsidRPr="001D5327">
          <w:rPr>
            <w:webHidden/>
          </w:rPr>
        </w:r>
        <w:r w:rsidRPr="001D5327">
          <w:rPr>
            <w:webHidden/>
          </w:rPr>
          <w:fldChar w:fldCharType="separate"/>
        </w:r>
        <w:r w:rsidR="00B93180">
          <w:rPr>
            <w:noProof/>
            <w:webHidden/>
          </w:rPr>
          <w:t>180</w:t>
        </w:r>
        <w:r w:rsidRPr="001D5327">
          <w:rPr>
            <w:webHidden/>
          </w:rPr>
          <w:fldChar w:fldCharType="end"/>
        </w:r>
      </w:hyperlink>
    </w:p>
    <w:p w14:paraId="6AA2B8DA" w14:textId="45A9B30F"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12" w:history="1">
        <w:r w:rsidRPr="001D5327">
          <w:rPr>
            <w:rStyle w:val="Hyperlink"/>
            <w:rFonts w:cs="Calibri"/>
          </w:rPr>
          <w:t>Table 5.3.1</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 xml:space="preserve">Trends and relative contribution of methane and nitrous oxide emissions in the </w:t>
        </w:r>
        <w:r w:rsidRPr="001D5327">
          <w:rPr>
            <w:rStyle w:val="Hyperlink"/>
            <w:rFonts w:cs="Calibri"/>
            <w:i/>
            <w:iCs/>
          </w:rPr>
          <w:t>Manure management</w:t>
        </w:r>
        <w:r w:rsidRPr="001D5327">
          <w:rPr>
            <w:rStyle w:val="Hyperlink"/>
            <w:rFonts w:cs="Calibri"/>
          </w:rPr>
          <w:t xml:space="preserve"> category between 1990 and 2023</w:t>
        </w:r>
        <w:r w:rsidRPr="001D5327">
          <w:rPr>
            <w:webHidden/>
          </w:rPr>
          <w:tab/>
        </w:r>
        <w:r w:rsidRPr="001D5327">
          <w:rPr>
            <w:webHidden/>
          </w:rPr>
          <w:fldChar w:fldCharType="begin"/>
        </w:r>
        <w:r w:rsidRPr="001D5327">
          <w:rPr>
            <w:webHidden/>
          </w:rPr>
          <w:instrText xml:space="preserve"> PAGEREF _Toc194241712 \h </w:instrText>
        </w:r>
        <w:r w:rsidRPr="001D5327">
          <w:rPr>
            <w:webHidden/>
          </w:rPr>
        </w:r>
        <w:r w:rsidRPr="001D5327">
          <w:rPr>
            <w:webHidden/>
          </w:rPr>
          <w:fldChar w:fldCharType="separate"/>
        </w:r>
        <w:r w:rsidR="00B93180">
          <w:rPr>
            <w:noProof/>
            <w:webHidden/>
          </w:rPr>
          <w:t>182</w:t>
        </w:r>
        <w:r w:rsidRPr="001D5327">
          <w:rPr>
            <w:webHidden/>
          </w:rPr>
          <w:fldChar w:fldCharType="end"/>
        </w:r>
      </w:hyperlink>
    </w:p>
    <w:p w14:paraId="7F9A6D84" w14:textId="360D644A"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13" w:history="1">
        <w:r w:rsidRPr="001D5327">
          <w:rPr>
            <w:rStyle w:val="Hyperlink"/>
            <w:rFonts w:cs="Calibri"/>
          </w:rPr>
          <w:t>Table 5.3.2</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Distribution of livestock waste across animal waste management systems in</w:t>
        </w:r>
        <w:r w:rsidRPr="001D5327">
          <w:rPr>
            <w:rStyle w:val="Hyperlink"/>
          </w:rPr>
          <w:t> </w:t>
        </w:r>
        <w:r w:rsidRPr="001D5327">
          <w:rPr>
            <w:rStyle w:val="Hyperlink"/>
            <w:rFonts w:cs="Calibri"/>
          </w:rPr>
          <w:t>New Zealand in 2023</w:t>
        </w:r>
        <w:r w:rsidRPr="001D5327">
          <w:rPr>
            <w:webHidden/>
          </w:rPr>
          <w:tab/>
        </w:r>
        <w:r w:rsidRPr="001D5327">
          <w:rPr>
            <w:webHidden/>
          </w:rPr>
          <w:fldChar w:fldCharType="begin"/>
        </w:r>
        <w:r w:rsidRPr="001D5327">
          <w:rPr>
            <w:webHidden/>
          </w:rPr>
          <w:instrText xml:space="preserve"> PAGEREF _Toc194241713 \h </w:instrText>
        </w:r>
        <w:r w:rsidRPr="001D5327">
          <w:rPr>
            <w:webHidden/>
          </w:rPr>
        </w:r>
        <w:r w:rsidRPr="001D5327">
          <w:rPr>
            <w:webHidden/>
          </w:rPr>
          <w:fldChar w:fldCharType="separate"/>
        </w:r>
        <w:r w:rsidR="00B93180">
          <w:rPr>
            <w:noProof/>
            <w:webHidden/>
          </w:rPr>
          <w:t>183</w:t>
        </w:r>
        <w:r w:rsidRPr="001D5327">
          <w:rPr>
            <w:webHidden/>
          </w:rPr>
          <w:fldChar w:fldCharType="end"/>
        </w:r>
      </w:hyperlink>
    </w:p>
    <w:p w14:paraId="6268577D" w14:textId="6C9F03BC"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14" w:history="1">
        <w:r w:rsidRPr="001D5327">
          <w:rPr>
            <w:rStyle w:val="Hyperlink"/>
            <w:rFonts w:cs="Calibri"/>
          </w:rPr>
          <w:t xml:space="preserve">Table 5.3.3 </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Average annual methane emissions factors from manure management systems (kg CH</w:t>
        </w:r>
        <w:r w:rsidRPr="001D5327">
          <w:rPr>
            <w:rStyle w:val="Hyperlink"/>
            <w:rFonts w:cs="Calibri"/>
            <w:vertAlign w:val="subscript"/>
          </w:rPr>
          <w:t>4</w:t>
        </w:r>
        <w:r w:rsidRPr="001D5327">
          <w:rPr>
            <w:rStyle w:val="Hyperlink"/>
            <w:rFonts w:cs="Calibri"/>
          </w:rPr>
          <w:t> head</w:t>
        </w:r>
        <w:r w:rsidRPr="001D5327">
          <w:rPr>
            <w:rStyle w:val="Hyperlink"/>
            <w:rFonts w:cs="Calibri"/>
            <w:vertAlign w:val="superscript"/>
          </w:rPr>
          <w:t>-1</w:t>
        </w:r>
        <w:r w:rsidRPr="001D5327">
          <w:rPr>
            <w:rStyle w:val="Hyperlink"/>
            <w:rFonts w:cs="Calibri"/>
          </w:rPr>
          <w:t> yr</w:t>
        </w:r>
        <w:r w:rsidRPr="001D5327">
          <w:rPr>
            <w:rStyle w:val="Hyperlink"/>
            <w:rFonts w:cs="Calibri"/>
            <w:vertAlign w:val="superscript"/>
          </w:rPr>
          <w:t>-1</w:t>
        </w:r>
        <w:r w:rsidRPr="001D5327">
          <w:rPr>
            <w:rStyle w:val="Hyperlink"/>
            <w:rFonts w:cs="Calibri"/>
          </w:rPr>
          <w:t>) for pigs</w:t>
        </w:r>
        <w:r w:rsidRPr="001D5327">
          <w:rPr>
            <w:webHidden/>
          </w:rPr>
          <w:tab/>
        </w:r>
        <w:r w:rsidRPr="001D5327">
          <w:rPr>
            <w:webHidden/>
          </w:rPr>
          <w:fldChar w:fldCharType="begin"/>
        </w:r>
        <w:r w:rsidRPr="001D5327">
          <w:rPr>
            <w:webHidden/>
          </w:rPr>
          <w:instrText xml:space="preserve"> PAGEREF _Toc194241714 \h </w:instrText>
        </w:r>
        <w:r w:rsidRPr="001D5327">
          <w:rPr>
            <w:webHidden/>
          </w:rPr>
        </w:r>
        <w:r w:rsidRPr="001D5327">
          <w:rPr>
            <w:webHidden/>
          </w:rPr>
          <w:fldChar w:fldCharType="separate"/>
        </w:r>
        <w:r w:rsidR="00B93180">
          <w:rPr>
            <w:noProof/>
            <w:webHidden/>
          </w:rPr>
          <w:t>186</w:t>
        </w:r>
        <w:r w:rsidRPr="001D5327">
          <w:rPr>
            <w:webHidden/>
          </w:rPr>
          <w:fldChar w:fldCharType="end"/>
        </w:r>
      </w:hyperlink>
    </w:p>
    <w:p w14:paraId="57F13E09" w14:textId="7E65D16C"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15" w:history="1">
        <w:r w:rsidRPr="001D5327">
          <w:rPr>
            <w:rStyle w:val="Hyperlink"/>
            <w:rFonts w:cs="Calibri"/>
          </w:rPr>
          <w:t>Table 5.3.4</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Nitrogen excretion rates (N</w:t>
        </w:r>
        <w:r w:rsidRPr="001D5327">
          <w:rPr>
            <w:rStyle w:val="Hyperlink"/>
            <w:rFonts w:cs="Calibri"/>
            <w:vertAlign w:val="subscript"/>
          </w:rPr>
          <w:t>ex</w:t>
        </w:r>
        <w:r w:rsidRPr="001D5327">
          <w:rPr>
            <w:rStyle w:val="Hyperlink"/>
            <w:rFonts w:cs="Calibri"/>
          </w:rPr>
          <w:t xml:space="preserve">) for </w:t>
        </w:r>
        <w:r w:rsidRPr="001D5327">
          <w:rPr>
            <w:rStyle w:val="Hyperlink"/>
          </w:rPr>
          <w:t>New Zealand’s</w:t>
        </w:r>
        <w:r w:rsidRPr="001D5327">
          <w:rPr>
            <w:rStyle w:val="Hyperlink"/>
            <w:rFonts w:cs="Calibri"/>
          </w:rPr>
          <w:t xml:space="preserve"> major livestock categories, from 1990 to 2023</w:t>
        </w:r>
        <w:r w:rsidRPr="001D5327">
          <w:rPr>
            <w:webHidden/>
          </w:rPr>
          <w:tab/>
        </w:r>
        <w:r w:rsidRPr="001D5327">
          <w:rPr>
            <w:webHidden/>
          </w:rPr>
          <w:fldChar w:fldCharType="begin"/>
        </w:r>
        <w:r w:rsidRPr="001D5327">
          <w:rPr>
            <w:webHidden/>
          </w:rPr>
          <w:instrText xml:space="preserve"> PAGEREF _Toc194241715 \h </w:instrText>
        </w:r>
        <w:r w:rsidRPr="001D5327">
          <w:rPr>
            <w:webHidden/>
          </w:rPr>
        </w:r>
        <w:r w:rsidRPr="001D5327">
          <w:rPr>
            <w:webHidden/>
          </w:rPr>
          <w:fldChar w:fldCharType="separate"/>
        </w:r>
        <w:r w:rsidR="00B93180">
          <w:rPr>
            <w:noProof/>
            <w:webHidden/>
          </w:rPr>
          <w:t>187</w:t>
        </w:r>
        <w:r w:rsidRPr="001D5327">
          <w:rPr>
            <w:webHidden/>
          </w:rPr>
          <w:fldChar w:fldCharType="end"/>
        </w:r>
      </w:hyperlink>
    </w:p>
    <w:p w14:paraId="5CE5C120" w14:textId="20C1F417"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16" w:history="1">
        <w:r w:rsidRPr="001D5327">
          <w:rPr>
            <w:rStyle w:val="Hyperlink"/>
            <w:rFonts w:cs="Calibri"/>
          </w:rPr>
          <w:t>Table 5.3.5</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Nitrogen excretion (N</w:t>
        </w:r>
        <w:r w:rsidRPr="001D5327">
          <w:rPr>
            <w:rStyle w:val="Hyperlink"/>
            <w:rFonts w:cs="Calibri"/>
            <w:vertAlign w:val="subscript"/>
          </w:rPr>
          <w:t>ex</w:t>
        </w:r>
        <w:r w:rsidRPr="001D5327">
          <w:rPr>
            <w:rStyle w:val="Hyperlink"/>
            <w:rFonts w:cs="Calibri"/>
          </w:rPr>
          <w:t xml:space="preserve">) rates for </w:t>
        </w:r>
        <w:r w:rsidRPr="001D5327">
          <w:rPr>
            <w:rStyle w:val="Hyperlink"/>
          </w:rPr>
          <w:t>New Zealand’s</w:t>
        </w:r>
        <w:r w:rsidRPr="001D5327">
          <w:rPr>
            <w:rStyle w:val="Hyperlink"/>
            <w:rFonts w:cs="Calibri"/>
          </w:rPr>
          <w:t xml:space="preserve"> swine and goats, from 1990 to 2023</w:t>
        </w:r>
        <w:r w:rsidRPr="001D5327">
          <w:rPr>
            <w:webHidden/>
          </w:rPr>
          <w:tab/>
        </w:r>
        <w:r w:rsidRPr="001D5327">
          <w:rPr>
            <w:webHidden/>
          </w:rPr>
          <w:fldChar w:fldCharType="begin"/>
        </w:r>
        <w:r w:rsidRPr="001D5327">
          <w:rPr>
            <w:webHidden/>
          </w:rPr>
          <w:instrText xml:space="preserve"> PAGEREF _Toc194241716 \h </w:instrText>
        </w:r>
        <w:r w:rsidRPr="001D5327">
          <w:rPr>
            <w:webHidden/>
          </w:rPr>
        </w:r>
        <w:r w:rsidRPr="001D5327">
          <w:rPr>
            <w:webHidden/>
          </w:rPr>
          <w:fldChar w:fldCharType="separate"/>
        </w:r>
        <w:r w:rsidR="00B93180">
          <w:rPr>
            <w:noProof/>
            <w:webHidden/>
          </w:rPr>
          <w:t>188</w:t>
        </w:r>
        <w:r w:rsidRPr="001D5327">
          <w:rPr>
            <w:webHidden/>
          </w:rPr>
          <w:fldChar w:fldCharType="end"/>
        </w:r>
      </w:hyperlink>
    </w:p>
    <w:p w14:paraId="752ECB01" w14:textId="4E953847"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17" w:history="1">
        <w:r w:rsidRPr="001D5327">
          <w:rPr>
            <w:rStyle w:val="Hyperlink"/>
            <w:rFonts w:cs="Calibri"/>
          </w:rPr>
          <w:t>Table 5.3.6</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IPCC default values for the fraction of managed manure nitrogen that volatilises as ammonia and oxides of nitrogen (Frac</w:t>
        </w:r>
        <w:r w:rsidRPr="001D5327">
          <w:rPr>
            <w:rStyle w:val="Hyperlink"/>
            <w:rFonts w:cs="Calibri"/>
            <w:vertAlign w:val="subscript"/>
          </w:rPr>
          <w:t>GasMS</w:t>
        </w:r>
        <w:r w:rsidRPr="001D5327">
          <w:rPr>
            <w:rStyle w:val="Hyperlink"/>
            <w:rFonts w:cs="Calibri"/>
          </w:rPr>
          <w:t>/100) for livestock categories per manure management system in New Zealand</w:t>
        </w:r>
        <w:r w:rsidRPr="001D5327">
          <w:rPr>
            <w:webHidden/>
          </w:rPr>
          <w:tab/>
        </w:r>
        <w:r w:rsidRPr="001D5327">
          <w:rPr>
            <w:webHidden/>
          </w:rPr>
          <w:fldChar w:fldCharType="begin"/>
        </w:r>
        <w:r w:rsidRPr="001D5327">
          <w:rPr>
            <w:webHidden/>
          </w:rPr>
          <w:instrText xml:space="preserve"> PAGEREF _Toc194241717 \h </w:instrText>
        </w:r>
        <w:r w:rsidRPr="001D5327">
          <w:rPr>
            <w:webHidden/>
          </w:rPr>
        </w:r>
        <w:r w:rsidRPr="001D5327">
          <w:rPr>
            <w:webHidden/>
          </w:rPr>
          <w:fldChar w:fldCharType="separate"/>
        </w:r>
        <w:r w:rsidR="00B93180">
          <w:rPr>
            <w:noProof/>
            <w:webHidden/>
          </w:rPr>
          <w:t>190</w:t>
        </w:r>
        <w:r w:rsidRPr="001D5327">
          <w:rPr>
            <w:webHidden/>
          </w:rPr>
          <w:fldChar w:fldCharType="end"/>
        </w:r>
      </w:hyperlink>
    </w:p>
    <w:p w14:paraId="1F2ED229" w14:textId="1668C64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18" w:history="1">
        <w:r w:rsidRPr="001D5327">
          <w:rPr>
            <w:rStyle w:val="Hyperlink"/>
            <w:rFonts w:cs="Calibri"/>
          </w:rPr>
          <w:t>Table 5.3.7</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Comparison of IPCC (2006) table 10A-4 default emission factors and country-specific implied emission factors (IEFs) for methane from manure management</w:t>
        </w:r>
        <w:r w:rsidRPr="001D5327">
          <w:rPr>
            <w:webHidden/>
          </w:rPr>
          <w:tab/>
        </w:r>
        <w:r w:rsidRPr="001D5327">
          <w:rPr>
            <w:webHidden/>
          </w:rPr>
          <w:fldChar w:fldCharType="begin"/>
        </w:r>
        <w:r w:rsidRPr="001D5327">
          <w:rPr>
            <w:webHidden/>
          </w:rPr>
          <w:instrText xml:space="preserve"> PAGEREF _Toc194241718 \h </w:instrText>
        </w:r>
        <w:r w:rsidRPr="001D5327">
          <w:rPr>
            <w:webHidden/>
          </w:rPr>
        </w:r>
        <w:r w:rsidRPr="001D5327">
          <w:rPr>
            <w:webHidden/>
          </w:rPr>
          <w:fldChar w:fldCharType="separate"/>
        </w:r>
        <w:r w:rsidR="00B93180">
          <w:rPr>
            <w:noProof/>
            <w:webHidden/>
          </w:rPr>
          <w:t>192</w:t>
        </w:r>
        <w:r w:rsidRPr="001D5327">
          <w:rPr>
            <w:webHidden/>
          </w:rPr>
          <w:fldChar w:fldCharType="end"/>
        </w:r>
      </w:hyperlink>
    </w:p>
    <w:p w14:paraId="62413ED7" w14:textId="7914A5F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19" w:history="1">
        <w:r w:rsidRPr="001D5327">
          <w:rPr>
            <w:rStyle w:val="Hyperlink"/>
            <w:rFonts w:cs="Calibri"/>
          </w:rPr>
          <w:t>Table 5.3.8</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 xml:space="preserve">Comparison of the previous minor species populations and the updated minor species populations for emissions from </w:t>
        </w:r>
        <w:r w:rsidRPr="001D5327">
          <w:rPr>
            <w:rStyle w:val="Hyperlink"/>
            <w:rFonts w:cs="Calibri"/>
            <w:i/>
          </w:rPr>
          <w:t>Manure management</w:t>
        </w:r>
        <w:r w:rsidRPr="001D5327">
          <w:rPr>
            <w:webHidden/>
          </w:rPr>
          <w:tab/>
        </w:r>
        <w:r w:rsidRPr="001D5327">
          <w:rPr>
            <w:webHidden/>
          </w:rPr>
          <w:fldChar w:fldCharType="begin"/>
        </w:r>
        <w:r w:rsidRPr="001D5327">
          <w:rPr>
            <w:webHidden/>
          </w:rPr>
          <w:instrText xml:space="preserve"> PAGEREF _Toc194241719 \h </w:instrText>
        </w:r>
        <w:r w:rsidRPr="001D5327">
          <w:rPr>
            <w:webHidden/>
          </w:rPr>
        </w:r>
        <w:r w:rsidRPr="001D5327">
          <w:rPr>
            <w:webHidden/>
          </w:rPr>
          <w:fldChar w:fldCharType="separate"/>
        </w:r>
        <w:r w:rsidR="00B93180">
          <w:rPr>
            <w:noProof/>
            <w:webHidden/>
          </w:rPr>
          <w:t>193</w:t>
        </w:r>
        <w:r w:rsidRPr="001D5327">
          <w:rPr>
            <w:webHidden/>
          </w:rPr>
          <w:fldChar w:fldCharType="end"/>
        </w:r>
      </w:hyperlink>
    </w:p>
    <w:p w14:paraId="7C14B709" w14:textId="5E11A50A"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20" w:history="1">
        <w:r w:rsidRPr="001D5327">
          <w:rPr>
            <w:rStyle w:val="Hyperlink"/>
            <w:rFonts w:cs="Calibri"/>
          </w:rPr>
          <w:t>Table 5.3.9</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Comparison of emissions from </w:t>
        </w:r>
        <w:r w:rsidRPr="001D5327">
          <w:rPr>
            <w:rStyle w:val="Hyperlink"/>
            <w:rFonts w:cs="Calibri"/>
            <w:i/>
          </w:rPr>
          <w:t>Manure management</w:t>
        </w:r>
        <w:r w:rsidRPr="001D5327">
          <w:rPr>
            <w:rStyle w:val="Hyperlink"/>
            <w:rFonts w:cs="Calibri"/>
            <w:i/>
            <w:iCs/>
          </w:rPr>
          <w:t xml:space="preserve"> </w:t>
        </w:r>
        <w:r w:rsidRPr="001D5327">
          <w:rPr>
            <w:rStyle w:val="Hyperlink"/>
            <w:rFonts w:cs="Calibri"/>
          </w:rPr>
          <w:t>using the updated deer population and productivity statistics</w:t>
        </w:r>
        <w:r w:rsidRPr="001D5327">
          <w:rPr>
            <w:webHidden/>
          </w:rPr>
          <w:tab/>
        </w:r>
        <w:r w:rsidRPr="001D5327">
          <w:rPr>
            <w:webHidden/>
          </w:rPr>
          <w:fldChar w:fldCharType="begin"/>
        </w:r>
        <w:r w:rsidRPr="001D5327">
          <w:rPr>
            <w:webHidden/>
          </w:rPr>
          <w:instrText xml:space="preserve"> PAGEREF _Toc194241720 \h </w:instrText>
        </w:r>
        <w:r w:rsidRPr="001D5327">
          <w:rPr>
            <w:webHidden/>
          </w:rPr>
        </w:r>
        <w:r w:rsidRPr="001D5327">
          <w:rPr>
            <w:webHidden/>
          </w:rPr>
          <w:fldChar w:fldCharType="separate"/>
        </w:r>
        <w:r w:rsidR="00B93180">
          <w:rPr>
            <w:noProof/>
            <w:webHidden/>
          </w:rPr>
          <w:t>193</w:t>
        </w:r>
        <w:r w:rsidRPr="001D5327">
          <w:rPr>
            <w:webHidden/>
          </w:rPr>
          <w:fldChar w:fldCharType="end"/>
        </w:r>
      </w:hyperlink>
    </w:p>
    <w:p w14:paraId="41BEDAEA" w14:textId="10DA573E"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21" w:history="1">
        <w:r w:rsidRPr="001D5327">
          <w:rPr>
            <w:rStyle w:val="Hyperlink"/>
            <w:rFonts w:cs="Calibri"/>
          </w:rPr>
          <w:t xml:space="preserve">Table 5.3.10 </w:t>
        </w:r>
        <w:r w:rsidR="008E3514" w:rsidRPr="001D5327">
          <w:rPr>
            <w:rStyle w:val="Hyperlink"/>
            <w:rFonts w:cs="Calibri"/>
          </w:rPr>
          <w:tab/>
        </w:r>
        <w:r w:rsidRPr="001D5327">
          <w:rPr>
            <w:rStyle w:val="Hyperlink"/>
            <w:rFonts w:cs="Calibri"/>
          </w:rPr>
          <w:t>Proportion of pig manure treated in each manure management system in 2022</w:t>
        </w:r>
        <w:r w:rsidRPr="001D5327">
          <w:rPr>
            <w:webHidden/>
          </w:rPr>
          <w:tab/>
        </w:r>
        <w:r w:rsidRPr="001D5327">
          <w:rPr>
            <w:webHidden/>
          </w:rPr>
          <w:fldChar w:fldCharType="begin"/>
        </w:r>
        <w:r w:rsidRPr="001D5327">
          <w:rPr>
            <w:webHidden/>
          </w:rPr>
          <w:instrText xml:space="preserve"> PAGEREF _Toc194241721 \h </w:instrText>
        </w:r>
        <w:r w:rsidRPr="001D5327">
          <w:rPr>
            <w:webHidden/>
          </w:rPr>
        </w:r>
        <w:r w:rsidRPr="001D5327">
          <w:rPr>
            <w:webHidden/>
          </w:rPr>
          <w:fldChar w:fldCharType="separate"/>
        </w:r>
        <w:r w:rsidR="00B93180">
          <w:rPr>
            <w:noProof/>
            <w:webHidden/>
          </w:rPr>
          <w:t>194</w:t>
        </w:r>
        <w:r w:rsidRPr="001D5327">
          <w:rPr>
            <w:webHidden/>
          </w:rPr>
          <w:fldChar w:fldCharType="end"/>
        </w:r>
      </w:hyperlink>
    </w:p>
    <w:p w14:paraId="51E12C95" w14:textId="0AEED79E"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22" w:history="1">
        <w:r w:rsidRPr="001D5327">
          <w:rPr>
            <w:rStyle w:val="Hyperlink"/>
            <w:rFonts w:cs="Calibri"/>
          </w:rPr>
          <w:t>Table 5.3.11</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 xml:space="preserve">Comparison for emissions from </w:t>
        </w:r>
        <w:r w:rsidRPr="001D5327">
          <w:rPr>
            <w:rStyle w:val="Hyperlink"/>
            <w:rFonts w:cs="Calibri"/>
            <w:i/>
          </w:rPr>
          <w:t>Manure management</w:t>
        </w:r>
        <w:r w:rsidRPr="001D5327">
          <w:rPr>
            <w:rStyle w:val="Hyperlink"/>
            <w:rFonts w:cs="Calibri"/>
            <w:i/>
            <w:iCs/>
          </w:rPr>
          <w:t xml:space="preserve"> </w:t>
        </w:r>
        <w:r w:rsidRPr="001D5327">
          <w:rPr>
            <w:rStyle w:val="Hyperlink"/>
            <w:rFonts w:cs="Calibri"/>
          </w:rPr>
          <w:t>using the updated pig calculations</w:t>
        </w:r>
        <w:r w:rsidRPr="001D5327">
          <w:rPr>
            <w:webHidden/>
          </w:rPr>
          <w:tab/>
        </w:r>
        <w:r w:rsidRPr="001D5327">
          <w:rPr>
            <w:webHidden/>
          </w:rPr>
          <w:fldChar w:fldCharType="begin"/>
        </w:r>
        <w:r w:rsidRPr="001D5327">
          <w:rPr>
            <w:webHidden/>
          </w:rPr>
          <w:instrText xml:space="preserve"> PAGEREF _Toc194241722 \h </w:instrText>
        </w:r>
        <w:r w:rsidRPr="001D5327">
          <w:rPr>
            <w:webHidden/>
          </w:rPr>
        </w:r>
        <w:r w:rsidRPr="001D5327">
          <w:rPr>
            <w:webHidden/>
          </w:rPr>
          <w:fldChar w:fldCharType="separate"/>
        </w:r>
        <w:r w:rsidR="00B93180">
          <w:rPr>
            <w:noProof/>
            <w:webHidden/>
          </w:rPr>
          <w:t>195</w:t>
        </w:r>
        <w:r w:rsidRPr="001D5327">
          <w:rPr>
            <w:webHidden/>
          </w:rPr>
          <w:fldChar w:fldCharType="end"/>
        </w:r>
      </w:hyperlink>
    </w:p>
    <w:p w14:paraId="46782758" w14:textId="31402E0A"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23" w:history="1">
        <w:r w:rsidRPr="001D5327">
          <w:rPr>
            <w:rStyle w:val="Hyperlink"/>
            <w:rFonts w:cs="Calibri"/>
          </w:rPr>
          <w:t>Table 5.3.12</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 xml:space="preserve">Comparison of emissions from </w:t>
        </w:r>
        <w:r w:rsidRPr="001D5327">
          <w:rPr>
            <w:rStyle w:val="Hyperlink"/>
            <w:rFonts w:cs="Calibri"/>
            <w:i/>
          </w:rPr>
          <w:t>Manure management</w:t>
        </w:r>
        <w:r w:rsidRPr="001D5327">
          <w:rPr>
            <w:rStyle w:val="Hyperlink"/>
            <w:rFonts w:cs="Calibri"/>
            <w:i/>
            <w:iCs/>
          </w:rPr>
          <w:t xml:space="preserve"> </w:t>
        </w:r>
        <w:r w:rsidRPr="001D5327">
          <w:rPr>
            <w:rStyle w:val="Hyperlink"/>
            <w:rFonts w:cs="Calibri"/>
          </w:rPr>
          <w:t>using the updated monthly wool calculations</w:t>
        </w:r>
        <w:r w:rsidRPr="001D5327">
          <w:rPr>
            <w:webHidden/>
          </w:rPr>
          <w:tab/>
        </w:r>
        <w:r w:rsidRPr="001D5327">
          <w:rPr>
            <w:webHidden/>
          </w:rPr>
          <w:fldChar w:fldCharType="begin"/>
        </w:r>
        <w:r w:rsidRPr="001D5327">
          <w:rPr>
            <w:webHidden/>
          </w:rPr>
          <w:instrText xml:space="preserve"> PAGEREF _Toc194241723 \h </w:instrText>
        </w:r>
        <w:r w:rsidRPr="001D5327">
          <w:rPr>
            <w:webHidden/>
          </w:rPr>
        </w:r>
        <w:r w:rsidRPr="001D5327">
          <w:rPr>
            <w:webHidden/>
          </w:rPr>
          <w:fldChar w:fldCharType="separate"/>
        </w:r>
        <w:r w:rsidR="00B93180">
          <w:rPr>
            <w:noProof/>
            <w:webHidden/>
          </w:rPr>
          <w:t>195</w:t>
        </w:r>
        <w:r w:rsidRPr="001D5327">
          <w:rPr>
            <w:webHidden/>
          </w:rPr>
          <w:fldChar w:fldCharType="end"/>
        </w:r>
      </w:hyperlink>
    </w:p>
    <w:p w14:paraId="0A8A454C" w14:textId="6DEE5D4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24" w:history="1">
        <w:r w:rsidRPr="001D5327">
          <w:rPr>
            <w:rStyle w:val="Hyperlink"/>
            <w:rFonts w:cs="Calibri"/>
          </w:rPr>
          <w:t>Table 5.3.13</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 xml:space="preserve">Comparison of model results with and without corrections for emissions from </w:t>
        </w:r>
        <w:r w:rsidRPr="001D5327">
          <w:rPr>
            <w:rStyle w:val="Hyperlink"/>
            <w:rFonts w:cs="Calibri"/>
            <w:i/>
          </w:rPr>
          <w:t>Manure management</w:t>
        </w:r>
        <w:r w:rsidRPr="001D5327">
          <w:rPr>
            <w:webHidden/>
          </w:rPr>
          <w:tab/>
        </w:r>
        <w:r w:rsidRPr="001D5327">
          <w:rPr>
            <w:webHidden/>
          </w:rPr>
          <w:fldChar w:fldCharType="begin"/>
        </w:r>
        <w:r w:rsidRPr="001D5327">
          <w:rPr>
            <w:webHidden/>
          </w:rPr>
          <w:instrText xml:space="preserve"> PAGEREF _Toc194241724 \h </w:instrText>
        </w:r>
        <w:r w:rsidRPr="001D5327">
          <w:rPr>
            <w:webHidden/>
          </w:rPr>
        </w:r>
        <w:r w:rsidRPr="001D5327">
          <w:rPr>
            <w:webHidden/>
          </w:rPr>
          <w:fldChar w:fldCharType="separate"/>
        </w:r>
        <w:r w:rsidR="00B93180">
          <w:rPr>
            <w:noProof/>
            <w:webHidden/>
          </w:rPr>
          <w:t>195</w:t>
        </w:r>
        <w:r w:rsidRPr="001D5327">
          <w:rPr>
            <w:webHidden/>
          </w:rPr>
          <w:fldChar w:fldCharType="end"/>
        </w:r>
      </w:hyperlink>
    </w:p>
    <w:p w14:paraId="75911E6B" w14:textId="04D33DA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25" w:history="1">
        <w:r w:rsidRPr="001D5327">
          <w:rPr>
            <w:rStyle w:val="Hyperlink"/>
            <w:rFonts w:cs="Calibri"/>
          </w:rPr>
          <w:t>Table 5.5.1</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 xml:space="preserve">Trends and relative contribution of nitrous oxide emissions from </w:t>
        </w:r>
        <w:r w:rsidRPr="001D5327">
          <w:rPr>
            <w:rStyle w:val="Hyperlink"/>
            <w:rFonts w:cs="Calibri"/>
            <w:i/>
            <w:iCs/>
          </w:rPr>
          <w:t>Agricultural soils</w:t>
        </w:r>
        <w:r w:rsidRPr="001D5327">
          <w:rPr>
            <w:rStyle w:val="Hyperlink"/>
            <w:rFonts w:cs="Calibri"/>
          </w:rPr>
          <w:t xml:space="preserve"> categories between 1990 and 2023</w:t>
        </w:r>
        <w:r w:rsidRPr="001D5327">
          <w:rPr>
            <w:webHidden/>
          </w:rPr>
          <w:tab/>
        </w:r>
        <w:r w:rsidRPr="001D5327">
          <w:rPr>
            <w:webHidden/>
          </w:rPr>
          <w:fldChar w:fldCharType="begin"/>
        </w:r>
        <w:r w:rsidRPr="001D5327">
          <w:rPr>
            <w:webHidden/>
          </w:rPr>
          <w:instrText xml:space="preserve"> PAGEREF _Toc194241725 \h </w:instrText>
        </w:r>
        <w:r w:rsidRPr="001D5327">
          <w:rPr>
            <w:webHidden/>
          </w:rPr>
        </w:r>
        <w:r w:rsidRPr="001D5327">
          <w:rPr>
            <w:webHidden/>
          </w:rPr>
          <w:fldChar w:fldCharType="separate"/>
        </w:r>
        <w:r w:rsidR="00B93180">
          <w:rPr>
            <w:noProof/>
            <w:webHidden/>
          </w:rPr>
          <w:t>199</w:t>
        </w:r>
        <w:r w:rsidRPr="001D5327">
          <w:rPr>
            <w:webHidden/>
          </w:rPr>
          <w:fldChar w:fldCharType="end"/>
        </w:r>
      </w:hyperlink>
    </w:p>
    <w:p w14:paraId="5B48D659" w14:textId="35E41B0D"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26" w:history="1">
        <w:r w:rsidRPr="001D5327">
          <w:rPr>
            <w:rStyle w:val="Hyperlink"/>
            <w:rFonts w:cs="Calibri"/>
          </w:rPr>
          <w:t>Table 5.5.2</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Nitrous oxide (N</w:t>
        </w:r>
        <w:r w:rsidRPr="001D5327">
          <w:rPr>
            <w:rStyle w:val="Hyperlink"/>
            <w:rFonts w:cs="Calibri"/>
            <w:vertAlign w:val="subscript"/>
          </w:rPr>
          <w:t>2</w:t>
        </w:r>
        <w:r w:rsidRPr="001D5327">
          <w:rPr>
            <w:rStyle w:val="Hyperlink"/>
            <w:rFonts w:cs="Calibri"/>
          </w:rPr>
          <w:t xml:space="preserve">O) emission factors for </w:t>
        </w:r>
        <w:r w:rsidRPr="001D5327">
          <w:rPr>
            <w:rStyle w:val="Hyperlink"/>
            <w:rFonts w:cs="Calibri"/>
            <w:i/>
            <w:iCs/>
          </w:rPr>
          <w:t>Agricultural soils</w:t>
        </w:r>
        <w:r w:rsidRPr="001D5327">
          <w:rPr>
            <w:rStyle w:val="Hyperlink"/>
            <w:rFonts w:cs="Calibri"/>
          </w:rPr>
          <w:t xml:space="preserve"> in New Zealand, excluding EF</w:t>
        </w:r>
        <w:r w:rsidRPr="001D5327">
          <w:rPr>
            <w:rStyle w:val="Hyperlink"/>
            <w:rFonts w:cs="Calibri"/>
            <w:vertAlign w:val="subscript"/>
          </w:rPr>
          <w:t>3,PRP</w:t>
        </w:r>
        <w:r w:rsidRPr="001D5327">
          <w:rPr>
            <w:rStyle w:val="Hyperlink"/>
            <w:rFonts w:cs="Calibri"/>
            <w:vertAlign w:val="subscript"/>
          </w:rPr>
          <w:noBreakHyphen/>
          <w:t xml:space="preserve"> URINE</w:t>
        </w:r>
        <w:r w:rsidRPr="001D5327">
          <w:rPr>
            <w:rStyle w:val="Hyperlink"/>
            <w:rFonts w:cs="Calibri"/>
          </w:rPr>
          <w:t xml:space="preserve"> for cattle, sheep and deer</w:t>
        </w:r>
        <w:r w:rsidRPr="001D5327">
          <w:rPr>
            <w:webHidden/>
          </w:rPr>
          <w:tab/>
        </w:r>
        <w:r w:rsidRPr="001D5327">
          <w:rPr>
            <w:webHidden/>
          </w:rPr>
          <w:fldChar w:fldCharType="begin"/>
        </w:r>
        <w:r w:rsidRPr="001D5327">
          <w:rPr>
            <w:webHidden/>
          </w:rPr>
          <w:instrText xml:space="preserve"> PAGEREF _Toc194241726 \h </w:instrText>
        </w:r>
        <w:r w:rsidRPr="001D5327">
          <w:rPr>
            <w:webHidden/>
          </w:rPr>
        </w:r>
        <w:r w:rsidRPr="001D5327">
          <w:rPr>
            <w:webHidden/>
          </w:rPr>
          <w:fldChar w:fldCharType="separate"/>
        </w:r>
        <w:r w:rsidR="00B93180">
          <w:rPr>
            <w:noProof/>
            <w:webHidden/>
          </w:rPr>
          <w:t>200</w:t>
        </w:r>
        <w:r w:rsidRPr="001D5327">
          <w:rPr>
            <w:webHidden/>
          </w:rPr>
          <w:fldChar w:fldCharType="end"/>
        </w:r>
      </w:hyperlink>
    </w:p>
    <w:p w14:paraId="1453E854" w14:textId="7C3D92BA"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27" w:history="1">
        <w:r w:rsidRPr="001D5327">
          <w:rPr>
            <w:rStyle w:val="Hyperlink"/>
            <w:rFonts w:cs="Calibri"/>
          </w:rPr>
          <w:t>Table 5.5.3</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Direct nitrous oxide emission factors for urine deposited by cattle, sheep and deer, by livestock type and slope, using values calculated by van der Weerden et al. (2019, 2020)</w:t>
        </w:r>
        <w:r w:rsidRPr="001D5327">
          <w:rPr>
            <w:webHidden/>
          </w:rPr>
          <w:tab/>
        </w:r>
        <w:r w:rsidRPr="001D5327">
          <w:rPr>
            <w:webHidden/>
          </w:rPr>
          <w:fldChar w:fldCharType="begin"/>
        </w:r>
        <w:r w:rsidRPr="001D5327">
          <w:rPr>
            <w:webHidden/>
          </w:rPr>
          <w:instrText xml:space="preserve"> PAGEREF _Toc194241727 \h </w:instrText>
        </w:r>
        <w:r w:rsidRPr="001D5327">
          <w:rPr>
            <w:webHidden/>
          </w:rPr>
        </w:r>
        <w:r w:rsidRPr="001D5327">
          <w:rPr>
            <w:webHidden/>
          </w:rPr>
          <w:fldChar w:fldCharType="separate"/>
        </w:r>
        <w:r w:rsidR="00B93180">
          <w:rPr>
            <w:noProof/>
            <w:webHidden/>
          </w:rPr>
          <w:t>201</w:t>
        </w:r>
        <w:r w:rsidRPr="001D5327">
          <w:rPr>
            <w:webHidden/>
          </w:rPr>
          <w:fldChar w:fldCharType="end"/>
        </w:r>
      </w:hyperlink>
    </w:p>
    <w:p w14:paraId="7204A9BE" w14:textId="777EB6D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28" w:history="1">
        <w:r w:rsidRPr="001D5327">
          <w:rPr>
            <w:rStyle w:val="Hyperlink"/>
            <w:rFonts w:cs="Calibri"/>
          </w:rPr>
          <w:t>Table 5.5.4</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Parameters for indirect nitrous oxide (N</w:t>
        </w:r>
        <w:r w:rsidRPr="001D5327">
          <w:rPr>
            <w:rStyle w:val="Hyperlink"/>
            <w:rFonts w:cs="Calibri"/>
            <w:vertAlign w:val="subscript"/>
          </w:rPr>
          <w:t>2</w:t>
        </w:r>
        <w:r w:rsidRPr="001D5327">
          <w:rPr>
            <w:rStyle w:val="Hyperlink"/>
            <w:rFonts w:cs="Calibri"/>
          </w:rPr>
          <w:t xml:space="preserve">O) emissions from </w:t>
        </w:r>
        <w:r w:rsidRPr="001D5327">
          <w:rPr>
            <w:rStyle w:val="Hyperlink"/>
            <w:rFonts w:cs="Calibri"/>
            <w:i/>
            <w:iCs/>
          </w:rPr>
          <w:t>Agricultural soils</w:t>
        </w:r>
        <w:r w:rsidRPr="001D5327">
          <w:rPr>
            <w:rStyle w:val="Hyperlink"/>
            <w:rFonts w:cs="Calibri"/>
          </w:rPr>
          <w:t xml:space="preserve"> in New Zealand</w:t>
        </w:r>
        <w:r w:rsidRPr="001D5327">
          <w:rPr>
            <w:webHidden/>
          </w:rPr>
          <w:tab/>
        </w:r>
        <w:r w:rsidRPr="001D5327">
          <w:rPr>
            <w:webHidden/>
          </w:rPr>
          <w:fldChar w:fldCharType="begin"/>
        </w:r>
        <w:r w:rsidRPr="001D5327">
          <w:rPr>
            <w:webHidden/>
          </w:rPr>
          <w:instrText xml:space="preserve"> PAGEREF _Toc194241728 \h </w:instrText>
        </w:r>
        <w:r w:rsidRPr="001D5327">
          <w:rPr>
            <w:webHidden/>
          </w:rPr>
        </w:r>
        <w:r w:rsidRPr="001D5327">
          <w:rPr>
            <w:webHidden/>
          </w:rPr>
          <w:fldChar w:fldCharType="separate"/>
        </w:r>
        <w:r w:rsidR="00B93180">
          <w:rPr>
            <w:noProof/>
            <w:webHidden/>
          </w:rPr>
          <w:t>201</w:t>
        </w:r>
        <w:r w:rsidRPr="001D5327">
          <w:rPr>
            <w:webHidden/>
          </w:rPr>
          <w:fldChar w:fldCharType="end"/>
        </w:r>
      </w:hyperlink>
    </w:p>
    <w:p w14:paraId="37F0C5F3" w14:textId="64C606E0"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29" w:history="1">
        <w:r w:rsidRPr="001D5327">
          <w:rPr>
            <w:rStyle w:val="Hyperlink"/>
            <w:rFonts w:cs="Calibri"/>
          </w:rPr>
          <w:t>Table 5.5.5</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Emission factors and parameter values for use of mitigation technologies</w:t>
        </w:r>
        <w:r w:rsidRPr="001D5327">
          <w:rPr>
            <w:webHidden/>
          </w:rPr>
          <w:tab/>
        </w:r>
        <w:r w:rsidRPr="001D5327">
          <w:rPr>
            <w:webHidden/>
          </w:rPr>
          <w:fldChar w:fldCharType="begin"/>
        </w:r>
        <w:r w:rsidRPr="001D5327">
          <w:rPr>
            <w:webHidden/>
          </w:rPr>
          <w:instrText xml:space="preserve"> PAGEREF _Toc194241729 \h </w:instrText>
        </w:r>
        <w:r w:rsidRPr="001D5327">
          <w:rPr>
            <w:webHidden/>
          </w:rPr>
        </w:r>
        <w:r w:rsidRPr="001D5327">
          <w:rPr>
            <w:webHidden/>
          </w:rPr>
          <w:fldChar w:fldCharType="separate"/>
        </w:r>
        <w:r w:rsidR="00B93180">
          <w:rPr>
            <w:noProof/>
            <w:webHidden/>
          </w:rPr>
          <w:t>201</w:t>
        </w:r>
        <w:r w:rsidRPr="001D5327">
          <w:rPr>
            <w:webHidden/>
          </w:rPr>
          <w:fldChar w:fldCharType="end"/>
        </w:r>
      </w:hyperlink>
    </w:p>
    <w:p w14:paraId="2AE6D2B8" w14:textId="2C9CAF0E"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30" w:history="1">
        <w:r w:rsidRPr="001D5327">
          <w:rPr>
            <w:rStyle w:val="Hyperlink"/>
            <w:rFonts w:cs="Calibri"/>
          </w:rPr>
          <w:t>Table 5.5.6</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Number of replicate-level EF</w:t>
        </w:r>
        <w:r w:rsidRPr="001D5327">
          <w:rPr>
            <w:rStyle w:val="Hyperlink"/>
            <w:rFonts w:cs="Calibri"/>
            <w:vertAlign w:val="subscript"/>
          </w:rPr>
          <w:t>3</w:t>
        </w:r>
        <w:r w:rsidRPr="001D5327">
          <w:rPr>
            <w:rStyle w:val="Hyperlink"/>
            <w:rFonts w:cs="Calibri"/>
          </w:rPr>
          <w:t xml:space="preserve"> values collated by the van der Weerden et al. (2019, 2020) analysis, for each nitrogen source and topography (number of individual trials shown in brackets)</w:t>
        </w:r>
        <w:r w:rsidRPr="001D5327">
          <w:rPr>
            <w:webHidden/>
          </w:rPr>
          <w:tab/>
        </w:r>
        <w:r w:rsidRPr="001D5327">
          <w:rPr>
            <w:webHidden/>
          </w:rPr>
          <w:fldChar w:fldCharType="begin"/>
        </w:r>
        <w:r w:rsidRPr="001D5327">
          <w:rPr>
            <w:webHidden/>
          </w:rPr>
          <w:instrText xml:space="preserve"> PAGEREF _Toc194241730 \h </w:instrText>
        </w:r>
        <w:r w:rsidRPr="001D5327">
          <w:rPr>
            <w:webHidden/>
          </w:rPr>
        </w:r>
        <w:r w:rsidRPr="001D5327">
          <w:rPr>
            <w:webHidden/>
          </w:rPr>
          <w:fldChar w:fldCharType="separate"/>
        </w:r>
        <w:r w:rsidR="00B93180">
          <w:rPr>
            <w:noProof/>
            <w:webHidden/>
          </w:rPr>
          <w:t>207</w:t>
        </w:r>
        <w:r w:rsidRPr="001D5327">
          <w:rPr>
            <w:webHidden/>
          </w:rPr>
          <w:fldChar w:fldCharType="end"/>
        </w:r>
      </w:hyperlink>
    </w:p>
    <w:p w14:paraId="742EB5B5" w14:textId="6D0A838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31" w:history="1">
        <w:r w:rsidRPr="001D5327">
          <w:rPr>
            <w:rStyle w:val="Hyperlink"/>
            <w:rFonts w:cs="Calibri"/>
          </w:rPr>
          <w:t>Table 5.5.7</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Number of replicate-level EF</w:t>
        </w:r>
        <w:r w:rsidRPr="001D5327">
          <w:rPr>
            <w:rStyle w:val="Hyperlink"/>
            <w:rFonts w:cs="Calibri"/>
            <w:vertAlign w:val="subscript"/>
          </w:rPr>
          <w:t>3</w:t>
        </w:r>
        <w:r w:rsidRPr="001D5327">
          <w:rPr>
            <w:rStyle w:val="Hyperlink"/>
            <w:rFonts w:cs="Calibri"/>
          </w:rPr>
          <w:t xml:space="preserve"> values collated by the van der Weerden et al. (2019, 2020) analysis, for each nitrogen source, season that trial was undertaken and topography</w:t>
        </w:r>
        <w:r w:rsidRPr="001D5327">
          <w:rPr>
            <w:webHidden/>
          </w:rPr>
          <w:tab/>
        </w:r>
        <w:r w:rsidRPr="001D5327">
          <w:rPr>
            <w:webHidden/>
          </w:rPr>
          <w:fldChar w:fldCharType="begin"/>
        </w:r>
        <w:r w:rsidRPr="001D5327">
          <w:rPr>
            <w:webHidden/>
          </w:rPr>
          <w:instrText xml:space="preserve"> PAGEREF _Toc194241731 \h </w:instrText>
        </w:r>
        <w:r w:rsidRPr="001D5327">
          <w:rPr>
            <w:webHidden/>
          </w:rPr>
        </w:r>
        <w:r w:rsidRPr="001D5327">
          <w:rPr>
            <w:webHidden/>
          </w:rPr>
          <w:fldChar w:fldCharType="separate"/>
        </w:r>
        <w:r w:rsidR="00B93180">
          <w:rPr>
            <w:noProof/>
            <w:webHidden/>
          </w:rPr>
          <w:t>208</w:t>
        </w:r>
        <w:r w:rsidRPr="001D5327">
          <w:rPr>
            <w:webHidden/>
          </w:rPr>
          <w:fldChar w:fldCharType="end"/>
        </w:r>
      </w:hyperlink>
    </w:p>
    <w:p w14:paraId="3EFDCAED" w14:textId="095FD674"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32" w:history="1">
        <w:r w:rsidRPr="001D5327">
          <w:rPr>
            <w:rStyle w:val="Hyperlink"/>
            <w:rFonts w:cs="Calibri"/>
          </w:rPr>
          <w:t>Table 5.5.8</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Trends and relative contribution of direct nitrous oxide emissions from urine and dung deposited by grazing animals per livestock category between 1990 and 2022</w:t>
        </w:r>
        <w:r w:rsidRPr="001D5327">
          <w:rPr>
            <w:webHidden/>
          </w:rPr>
          <w:tab/>
        </w:r>
        <w:r w:rsidRPr="001D5327">
          <w:rPr>
            <w:webHidden/>
          </w:rPr>
          <w:fldChar w:fldCharType="begin"/>
        </w:r>
        <w:r w:rsidRPr="001D5327">
          <w:rPr>
            <w:webHidden/>
          </w:rPr>
          <w:instrText xml:space="preserve"> PAGEREF _Toc194241732 \h </w:instrText>
        </w:r>
        <w:r w:rsidRPr="001D5327">
          <w:rPr>
            <w:webHidden/>
          </w:rPr>
        </w:r>
        <w:r w:rsidRPr="001D5327">
          <w:rPr>
            <w:webHidden/>
          </w:rPr>
          <w:fldChar w:fldCharType="separate"/>
        </w:r>
        <w:r w:rsidR="00B93180">
          <w:rPr>
            <w:noProof/>
            <w:webHidden/>
          </w:rPr>
          <w:t>209</w:t>
        </w:r>
        <w:r w:rsidRPr="001D5327">
          <w:rPr>
            <w:webHidden/>
          </w:rPr>
          <w:fldChar w:fldCharType="end"/>
        </w:r>
      </w:hyperlink>
    </w:p>
    <w:p w14:paraId="295ECEC6" w14:textId="31B559DC"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33" w:history="1">
        <w:r w:rsidRPr="001D5327">
          <w:rPr>
            <w:rStyle w:val="Hyperlink"/>
            <w:rFonts w:cs="Calibri"/>
          </w:rPr>
          <w:t>Table 5.5.9</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Mitigation impact of urease inhibitors on nitrous oxide emissions from volatilisation, from 2001 to 2023</w:t>
        </w:r>
        <w:r w:rsidRPr="001D5327">
          <w:rPr>
            <w:webHidden/>
          </w:rPr>
          <w:tab/>
        </w:r>
        <w:r w:rsidRPr="001D5327">
          <w:rPr>
            <w:webHidden/>
          </w:rPr>
          <w:fldChar w:fldCharType="begin"/>
        </w:r>
        <w:r w:rsidRPr="001D5327">
          <w:rPr>
            <w:webHidden/>
          </w:rPr>
          <w:instrText xml:space="preserve"> PAGEREF _Toc194241733 \h </w:instrText>
        </w:r>
        <w:r w:rsidRPr="001D5327">
          <w:rPr>
            <w:webHidden/>
          </w:rPr>
        </w:r>
        <w:r w:rsidRPr="001D5327">
          <w:rPr>
            <w:webHidden/>
          </w:rPr>
          <w:fldChar w:fldCharType="separate"/>
        </w:r>
        <w:r w:rsidR="00B93180">
          <w:rPr>
            <w:noProof/>
            <w:webHidden/>
          </w:rPr>
          <w:t>216</w:t>
        </w:r>
        <w:r w:rsidRPr="001D5327">
          <w:rPr>
            <w:webHidden/>
          </w:rPr>
          <w:fldChar w:fldCharType="end"/>
        </w:r>
      </w:hyperlink>
    </w:p>
    <w:p w14:paraId="352F5241" w14:textId="159CDEAA"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34" w:history="1">
        <w:r w:rsidRPr="001D5327">
          <w:rPr>
            <w:rStyle w:val="Hyperlink"/>
            <w:rFonts w:cs="Calibri"/>
          </w:rPr>
          <w:t>Table 5.5.10</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 xml:space="preserve">Emission factors, parameters and mitigation for </w:t>
        </w:r>
        <w:r w:rsidRPr="001D5327">
          <w:rPr>
            <w:rStyle w:val="Hyperlink"/>
            <w:rFonts w:cs="Calibri"/>
            <w:spacing w:val="-2"/>
          </w:rPr>
          <w:t>New Zealand’s</w:t>
        </w:r>
        <w:r w:rsidRPr="001D5327">
          <w:rPr>
            <w:rStyle w:val="Hyperlink"/>
            <w:rFonts w:cs="Calibri"/>
          </w:rPr>
          <w:t xml:space="preserve"> dicyandiamide inhibitor calculations, from 2007 to 2012</w:t>
        </w:r>
        <w:r w:rsidRPr="001D5327">
          <w:rPr>
            <w:webHidden/>
          </w:rPr>
          <w:tab/>
        </w:r>
        <w:r w:rsidRPr="001D5327">
          <w:rPr>
            <w:webHidden/>
          </w:rPr>
          <w:fldChar w:fldCharType="begin"/>
        </w:r>
        <w:r w:rsidRPr="001D5327">
          <w:rPr>
            <w:webHidden/>
          </w:rPr>
          <w:instrText xml:space="preserve"> PAGEREF _Toc194241734 \h </w:instrText>
        </w:r>
        <w:r w:rsidRPr="001D5327">
          <w:rPr>
            <w:webHidden/>
          </w:rPr>
        </w:r>
        <w:r w:rsidRPr="001D5327">
          <w:rPr>
            <w:webHidden/>
          </w:rPr>
          <w:fldChar w:fldCharType="separate"/>
        </w:r>
        <w:r w:rsidR="00B93180">
          <w:rPr>
            <w:noProof/>
            <w:webHidden/>
          </w:rPr>
          <w:t>218</w:t>
        </w:r>
        <w:r w:rsidRPr="001D5327">
          <w:rPr>
            <w:webHidden/>
          </w:rPr>
          <w:fldChar w:fldCharType="end"/>
        </w:r>
      </w:hyperlink>
    </w:p>
    <w:p w14:paraId="737356A9" w14:textId="1097E99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35" w:history="1">
        <w:r w:rsidRPr="001D5327">
          <w:rPr>
            <w:rStyle w:val="Hyperlink"/>
            <w:rFonts w:cs="Calibri"/>
          </w:rPr>
          <w:t>Table 5.5.11</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 xml:space="preserve">Comparison of </w:t>
        </w:r>
        <w:r w:rsidRPr="001D5327">
          <w:rPr>
            <w:rStyle w:val="Hyperlink"/>
            <w:rFonts w:cs="Calibri"/>
            <w:spacing w:val="-2"/>
          </w:rPr>
          <w:t>New Zealand’s</w:t>
        </w:r>
        <w:r w:rsidRPr="001D5327">
          <w:rPr>
            <w:rStyle w:val="Hyperlink"/>
            <w:rFonts w:cs="Calibri"/>
          </w:rPr>
          <w:t xml:space="preserve"> implied emission factors (IEFs) for EF</w:t>
        </w:r>
        <w:r w:rsidRPr="001D5327">
          <w:rPr>
            <w:rStyle w:val="Hyperlink"/>
            <w:rFonts w:cs="Calibri"/>
            <w:vertAlign w:val="subscript"/>
          </w:rPr>
          <w:t>1</w:t>
        </w:r>
        <w:r w:rsidRPr="001D5327">
          <w:rPr>
            <w:rStyle w:val="Hyperlink"/>
            <w:rFonts w:cs="Calibri"/>
          </w:rPr>
          <w:t xml:space="preserve"> (synthetic nitrogen fertiliser) and EF</w:t>
        </w:r>
        <w:r w:rsidRPr="001D5327">
          <w:rPr>
            <w:rStyle w:val="Hyperlink"/>
            <w:rFonts w:cs="Calibri"/>
            <w:vertAlign w:val="subscript"/>
          </w:rPr>
          <w:t>3(PRP)</w:t>
        </w:r>
        <w:r w:rsidRPr="001D5327">
          <w:rPr>
            <w:rStyle w:val="Hyperlink"/>
            <w:rFonts w:cs="Calibri"/>
          </w:rPr>
          <w:t xml:space="preserve"> (pasture, range and paddock manure) with the IPCC default and the Australian-specific value</w:t>
        </w:r>
        <w:r w:rsidRPr="001D5327">
          <w:rPr>
            <w:webHidden/>
          </w:rPr>
          <w:tab/>
        </w:r>
        <w:r w:rsidRPr="001D5327">
          <w:rPr>
            <w:webHidden/>
          </w:rPr>
          <w:fldChar w:fldCharType="begin"/>
        </w:r>
        <w:r w:rsidRPr="001D5327">
          <w:rPr>
            <w:webHidden/>
          </w:rPr>
          <w:instrText xml:space="preserve"> PAGEREF _Toc194241735 \h </w:instrText>
        </w:r>
        <w:r w:rsidRPr="001D5327">
          <w:rPr>
            <w:webHidden/>
          </w:rPr>
        </w:r>
        <w:r w:rsidRPr="001D5327">
          <w:rPr>
            <w:webHidden/>
          </w:rPr>
          <w:fldChar w:fldCharType="separate"/>
        </w:r>
        <w:r w:rsidR="00B93180">
          <w:rPr>
            <w:noProof/>
            <w:webHidden/>
          </w:rPr>
          <w:t>219</w:t>
        </w:r>
        <w:r w:rsidRPr="001D5327">
          <w:rPr>
            <w:webHidden/>
          </w:rPr>
          <w:fldChar w:fldCharType="end"/>
        </w:r>
      </w:hyperlink>
    </w:p>
    <w:p w14:paraId="2AD08370" w14:textId="448AF22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36" w:history="1">
        <w:r w:rsidRPr="001D5327">
          <w:rPr>
            <w:rStyle w:val="Hyperlink"/>
            <w:rFonts w:cs="Calibri"/>
          </w:rPr>
          <w:t>Table 5.5.12</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 xml:space="preserve">Comparison of </w:t>
        </w:r>
        <w:r w:rsidRPr="001D5327">
          <w:rPr>
            <w:rStyle w:val="Hyperlink"/>
            <w:rFonts w:cs="Calibri"/>
            <w:spacing w:val="-2"/>
          </w:rPr>
          <w:t>New Zealand’s</w:t>
        </w:r>
        <w:r w:rsidRPr="001D5327">
          <w:rPr>
            <w:rStyle w:val="Hyperlink"/>
            <w:rFonts w:cs="Calibri"/>
          </w:rPr>
          <w:t xml:space="preserve"> country-specific factors for volatilisation (Frac</w:t>
        </w:r>
        <w:r w:rsidRPr="001D5327">
          <w:rPr>
            <w:rStyle w:val="Hyperlink"/>
            <w:rFonts w:cs="Calibri"/>
            <w:vertAlign w:val="subscript"/>
          </w:rPr>
          <w:t>GASF</w:t>
        </w:r>
        <w:r w:rsidRPr="001D5327">
          <w:rPr>
            <w:rStyle w:val="Hyperlink"/>
            <w:rFonts w:cs="Calibri"/>
          </w:rPr>
          <w:t>, Frac</w:t>
        </w:r>
        <w:r w:rsidRPr="001D5327">
          <w:rPr>
            <w:rStyle w:val="Hyperlink"/>
            <w:rFonts w:cs="Calibri"/>
            <w:vertAlign w:val="subscript"/>
          </w:rPr>
          <w:t>GASM</w:t>
        </w:r>
        <w:r w:rsidRPr="001D5327">
          <w:rPr>
            <w:rStyle w:val="Hyperlink"/>
            <w:rFonts w:cs="Calibri"/>
          </w:rPr>
          <w:t>) and leaching and runoff (Frac</w:t>
        </w:r>
        <w:r w:rsidRPr="001D5327">
          <w:rPr>
            <w:rStyle w:val="Hyperlink"/>
            <w:rFonts w:cs="Calibri"/>
            <w:vertAlign w:val="subscript"/>
          </w:rPr>
          <w:t>LEACH-(H)</w:t>
        </w:r>
        <w:r w:rsidRPr="001D5327">
          <w:rPr>
            <w:rStyle w:val="Hyperlink"/>
            <w:rFonts w:cs="Calibri"/>
          </w:rPr>
          <w:t>) with the IPCC default value and the Australian implied emission factor (IEF)</w:t>
        </w:r>
        <w:r w:rsidRPr="001D5327">
          <w:rPr>
            <w:webHidden/>
          </w:rPr>
          <w:tab/>
        </w:r>
        <w:r w:rsidRPr="001D5327">
          <w:rPr>
            <w:webHidden/>
          </w:rPr>
          <w:fldChar w:fldCharType="begin"/>
        </w:r>
        <w:r w:rsidRPr="001D5327">
          <w:rPr>
            <w:webHidden/>
          </w:rPr>
          <w:instrText xml:space="preserve"> PAGEREF _Toc194241736 \h </w:instrText>
        </w:r>
        <w:r w:rsidRPr="001D5327">
          <w:rPr>
            <w:webHidden/>
          </w:rPr>
        </w:r>
        <w:r w:rsidRPr="001D5327">
          <w:rPr>
            <w:webHidden/>
          </w:rPr>
          <w:fldChar w:fldCharType="separate"/>
        </w:r>
        <w:r w:rsidR="00B93180">
          <w:rPr>
            <w:noProof/>
            <w:webHidden/>
          </w:rPr>
          <w:t>220</w:t>
        </w:r>
        <w:r w:rsidRPr="001D5327">
          <w:rPr>
            <w:webHidden/>
          </w:rPr>
          <w:fldChar w:fldCharType="end"/>
        </w:r>
      </w:hyperlink>
    </w:p>
    <w:p w14:paraId="1C4F24D9" w14:textId="0D024417"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37" w:history="1">
        <w:r w:rsidRPr="001D5327">
          <w:rPr>
            <w:rStyle w:val="Hyperlink"/>
            <w:rFonts w:cs="Calibri"/>
          </w:rPr>
          <w:t>Table 5.5.13</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Comparison of emissions from </w:t>
        </w:r>
        <w:r w:rsidRPr="001D5327">
          <w:rPr>
            <w:rStyle w:val="Hyperlink"/>
            <w:rFonts w:cs="Calibri"/>
            <w:i/>
            <w:iCs/>
          </w:rPr>
          <w:t>Agricultural soils</w:t>
        </w:r>
        <w:r w:rsidRPr="001D5327">
          <w:rPr>
            <w:rStyle w:val="Hyperlink"/>
            <w:rFonts w:cs="Calibri"/>
          </w:rPr>
          <w:t xml:space="preserve"> before and after the inclusion of emissions from </w:t>
        </w:r>
        <w:r w:rsidRPr="001D5327">
          <w:rPr>
            <w:rStyle w:val="Hyperlink"/>
          </w:rPr>
          <w:t>non-manure organic amendments to soil</w:t>
        </w:r>
        <w:r w:rsidRPr="001D5327">
          <w:rPr>
            <w:webHidden/>
          </w:rPr>
          <w:tab/>
        </w:r>
        <w:r w:rsidRPr="001D5327">
          <w:rPr>
            <w:webHidden/>
          </w:rPr>
          <w:fldChar w:fldCharType="begin"/>
        </w:r>
        <w:r w:rsidRPr="001D5327">
          <w:rPr>
            <w:webHidden/>
          </w:rPr>
          <w:instrText xml:space="preserve"> PAGEREF _Toc194241737 \h </w:instrText>
        </w:r>
        <w:r w:rsidRPr="001D5327">
          <w:rPr>
            <w:webHidden/>
          </w:rPr>
        </w:r>
        <w:r w:rsidRPr="001D5327">
          <w:rPr>
            <w:webHidden/>
          </w:rPr>
          <w:fldChar w:fldCharType="separate"/>
        </w:r>
        <w:r w:rsidR="00B93180">
          <w:rPr>
            <w:noProof/>
            <w:webHidden/>
          </w:rPr>
          <w:t>221</w:t>
        </w:r>
        <w:r w:rsidRPr="001D5327">
          <w:rPr>
            <w:webHidden/>
          </w:rPr>
          <w:fldChar w:fldCharType="end"/>
        </w:r>
      </w:hyperlink>
    </w:p>
    <w:p w14:paraId="23456569" w14:textId="753E69A4"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38" w:history="1">
        <w:r w:rsidRPr="001D5327">
          <w:rPr>
            <w:rStyle w:val="Hyperlink"/>
            <w:rFonts w:cs="Calibri"/>
          </w:rPr>
          <w:t>Table 5.5.14</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Comparison of the previous minor species populations and the updated minor species populations for emissions from</w:t>
        </w:r>
        <w:r w:rsidRPr="001D5327">
          <w:rPr>
            <w:rStyle w:val="Hyperlink"/>
            <w:rFonts w:cs="Calibri"/>
            <w:i/>
            <w:iCs/>
          </w:rPr>
          <w:t xml:space="preserve"> Agricultural soils</w:t>
        </w:r>
        <w:r w:rsidRPr="001D5327">
          <w:rPr>
            <w:webHidden/>
          </w:rPr>
          <w:tab/>
        </w:r>
        <w:r w:rsidRPr="001D5327">
          <w:rPr>
            <w:webHidden/>
          </w:rPr>
          <w:fldChar w:fldCharType="begin"/>
        </w:r>
        <w:r w:rsidRPr="001D5327">
          <w:rPr>
            <w:webHidden/>
          </w:rPr>
          <w:instrText xml:space="preserve"> PAGEREF _Toc194241738 \h </w:instrText>
        </w:r>
        <w:r w:rsidRPr="001D5327">
          <w:rPr>
            <w:webHidden/>
          </w:rPr>
        </w:r>
        <w:r w:rsidRPr="001D5327">
          <w:rPr>
            <w:webHidden/>
          </w:rPr>
          <w:fldChar w:fldCharType="separate"/>
        </w:r>
        <w:r w:rsidR="00B93180">
          <w:rPr>
            <w:noProof/>
            <w:webHidden/>
          </w:rPr>
          <w:t>221</w:t>
        </w:r>
        <w:r w:rsidRPr="001D5327">
          <w:rPr>
            <w:webHidden/>
          </w:rPr>
          <w:fldChar w:fldCharType="end"/>
        </w:r>
      </w:hyperlink>
    </w:p>
    <w:p w14:paraId="3850390C" w14:textId="04314218"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39" w:history="1">
        <w:r w:rsidRPr="001D5327">
          <w:rPr>
            <w:rStyle w:val="Hyperlink"/>
            <w:rFonts w:cs="Calibri"/>
          </w:rPr>
          <w:t>Table 5.5.15</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Comparison of emissions from </w:t>
        </w:r>
        <w:r w:rsidRPr="001D5327">
          <w:rPr>
            <w:rStyle w:val="Hyperlink"/>
            <w:rFonts w:cs="Calibri"/>
            <w:i/>
          </w:rPr>
          <w:t>Agricultural soils</w:t>
        </w:r>
        <w:r w:rsidRPr="001D5327">
          <w:rPr>
            <w:rStyle w:val="Hyperlink"/>
            <w:rFonts w:cs="Calibri"/>
            <w:i/>
            <w:iCs/>
          </w:rPr>
          <w:t xml:space="preserve"> </w:t>
        </w:r>
        <w:r w:rsidRPr="001D5327">
          <w:rPr>
            <w:rStyle w:val="Hyperlink"/>
            <w:rFonts w:cs="Calibri"/>
          </w:rPr>
          <w:t>using the updated deer population and productivity statistics</w:t>
        </w:r>
        <w:r w:rsidRPr="001D5327">
          <w:rPr>
            <w:webHidden/>
          </w:rPr>
          <w:tab/>
        </w:r>
        <w:r w:rsidRPr="001D5327">
          <w:rPr>
            <w:webHidden/>
          </w:rPr>
          <w:fldChar w:fldCharType="begin"/>
        </w:r>
        <w:r w:rsidRPr="001D5327">
          <w:rPr>
            <w:webHidden/>
          </w:rPr>
          <w:instrText xml:space="preserve"> PAGEREF _Toc194241739 \h </w:instrText>
        </w:r>
        <w:r w:rsidRPr="001D5327">
          <w:rPr>
            <w:webHidden/>
          </w:rPr>
        </w:r>
        <w:r w:rsidRPr="001D5327">
          <w:rPr>
            <w:webHidden/>
          </w:rPr>
          <w:fldChar w:fldCharType="separate"/>
        </w:r>
        <w:r w:rsidR="00B93180">
          <w:rPr>
            <w:noProof/>
            <w:webHidden/>
          </w:rPr>
          <w:t>222</w:t>
        </w:r>
        <w:r w:rsidRPr="001D5327">
          <w:rPr>
            <w:webHidden/>
          </w:rPr>
          <w:fldChar w:fldCharType="end"/>
        </w:r>
      </w:hyperlink>
    </w:p>
    <w:p w14:paraId="78A95B45" w14:textId="41DCBBC4"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40" w:history="1">
        <w:r w:rsidRPr="001D5327">
          <w:rPr>
            <w:rStyle w:val="Hyperlink"/>
            <w:rFonts w:cs="Calibri"/>
          </w:rPr>
          <w:t>Table 5.5.16</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Comparison of emissions from </w:t>
        </w:r>
        <w:r w:rsidRPr="001D5327">
          <w:rPr>
            <w:rStyle w:val="Hyperlink"/>
            <w:rFonts w:cs="Calibri"/>
            <w:i/>
          </w:rPr>
          <w:t>Agricultural soils</w:t>
        </w:r>
        <w:r w:rsidRPr="001D5327">
          <w:rPr>
            <w:rStyle w:val="Hyperlink"/>
            <w:rFonts w:cs="Calibri"/>
            <w:i/>
            <w:iCs/>
          </w:rPr>
          <w:t xml:space="preserve"> </w:t>
        </w:r>
        <w:r w:rsidRPr="001D5327">
          <w:rPr>
            <w:rStyle w:val="Hyperlink"/>
            <w:rFonts w:cs="Calibri"/>
          </w:rPr>
          <w:t>using the updated pig calculations</w:t>
        </w:r>
        <w:r w:rsidRPr="001D5327">
          <w:rPr>
            <w:webHidden/>
          </w:rPr>
          <w:tab/>
        </w:r>
        <w:r w:rsidRPr="001D5327">
          <w:rPr>
            <w:webHidden/>
          </w:rPr>
          <w:fldChar w:fldCharType="begin"/>
        </w:r>
        <w:r w:rsidRPr="001D5327">
          <w:rPr>
            <w:webHidden/>
          </w:rPr>
          <w:instrText xml:space="preserve"> PAGEREF _Toc194241740 \h </w:instrText>
        </w:r>
        <w:r w:rsidRPr="001D5327">
          <w:rPr>
            <w:webHidden/>
          </w:rPr>
        </w:r>
        <w:r w:rsidRPr="001D5327">
          <w:rPr>
            <w:webHidden/>
          </w:rPr>
          <w:fldChar w:fldCharType="separate"/>
        </w:r>
        <w:r w:rsidR="00B93180">
          <w:rPr>
            <w:noProof/>
            <w:webHidden/>
          </w:rPr>
          <w:t>222</w:t>
        </w:r>
        <w:r w:rsidRPr="001D5327">
          <w:rPr>
            <w:webHidden/>
          </w:rPr>
          <w:fldChar w:fldCharType="end"/>
        </w:r>
      </w:hyperlink>
    </w:p>
    <w:p w14:paraId="141F6513" w14:textId="70CB6D8F"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41" w:history="1">
        <w:r w:rsidRPr="001D5327">
          <w:rPr>
            <w:rStyle w:val="Hyperlink"/>
            <w:rFonts w:cs="Calibri"/>
          </w:rPr>
          <w:t>Table 5.5.17</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Comparison of emissions from </w:t>
        </w:r>
        <w:r w:rsidRPr="001D5327">
          <w:rPr>
            <w:rStyle w:val="Hyperlink"/>
            <w:rFonts w:cs="Calibri"/>
            <w:i/>
          </w:rPr>
          <w:t>Agricultural soils</w:t>
        </w:r>
        <w:r w:rsidRPr="001D5327">
          <w:rPr>
            <w:rStyle w:val="Hyperlink"/>
            <w:rFonts w:cs="Calibri"/>
            <w:i/>
            <w:iCs/>
          </w:rPr>
          <w:t xml:space="preserve"> </w:t>
        </w:r>
        <w:r w:rsidRPr="001D5327">
          <w:rPr>
            <w:rStyle w:val="Hyperlink"/>
            <w:rFonts w:cs="Calibri"/>
          </w:rPr>
          <w:t>using the updated monthly wool calculations</w:t>
        </w:r>
        <w:r w:rsidRPr="001D5327">
          <w:rPr>
            <w:webHidden/>
          </w:rPr>
          <w:tab/>
        </w:r>
        <w:r w:rsidRPr="001D5327">
          <w:rPr>
            <w:webHidden/>
          </w:rPr>
          <w:fldChar w:fldCharType="begin"/>
        </w:r>
        <w:r w:rsidRPr="001D5327">
          <w:rPr>
            <w:webHidden/>
          </w:rPr>
          <w:instrText xml:space="preserve"> PAGEREF _Toc194241741 \h </w:instrText>
        </w:r>
        <w:r w:rsidRPr="001D5327">
          <w:rPr>
            <w:webHidden/>
          </w:rPr>
        </w:r>
        <w:r w:rsidRPr="001D5327">
          <w:rPr>
            <w:webHidden/>
          </w:rPr>
          <w:fldChar w:fldCharType="separate"/>
        </w:r>
        <w:r w:rsidR="00B93180">
          <w:rPr>
            <w:noProof/>
            <w:webHidden/>
          </w:rPr>
          <w:t>223</w:t>
        </w:r>
        <w:r w:rsidRPr="001D5327">
          <w:rPr>
            <w:webHidden/>
          </w:rPr>
          <w:fldChar w:fldCharType="end"/>
        </w:r>
      </w:hyperlink>
    </w:p>
    <w:p w14:paraId="137538E3" w14:textId="24CF7847"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42" w:history="1">
        <w:r w:rsidRPr="001D5327">
          <w:rPr>
            <w:rStyle w:val="Hyperlink"/>
            <w:rFonts w:cs="Calibri"/>
          </w:rPr>
          <w:t>Table 5.5.18</w:t>
        </w:r>
        <w:r w:rsidRPr="001D5327">
          <w:rPr>
            <w:rFonts w:asciiTheme="minorHAnsi" w:eastAsiaTheme="minorEastAsia" w:hAnsiTheme="minorHAnsi" w:cstheme="minorBidi"/>
            <w:kern w:val="2"/>
            <w:sz w:val="24"/>
            <w:szCs w:val="24"/>
            <w14:ligatures w14:val="standardContextual"/>
          </w:rPr>
          <w:tab/>
        </w:r>
        <w:r w:rsidRPr="001D5327">
          <w:rPr>
            <w:rStyle w:val="Hyperlink"/>
            <w:rFonts w:eastAsia="Calibri" w:cs="Calibri"/>
          </w:rPr>
          <w:t>Comparison of model results with and without corrections for emissions from</w:t>
        </w:r>
        <w:r w:rsidRPr="001D5327">
          <w:rPr>
            <w:rStyle w:val="Hyperlink"/>
            <w:rFonts w:cs="Calibri"/>
          </w:rPr>
          <w:t> </w:t>
        </w:r>
        <w:r w:rsidRPr="001D5327">
          <w:rPr>
            <w:rStyle w:val="Hyperlink"/>
            <w:rFonts w:cs="Calibri"/>
            <w:i/>
          </w:rPr>
          <w:t>Agricultural soils</w:t>
        </w:r>
        <w:r w:rsidRPr="001D5327">
          <w:rPr>
            <w:webHidden/>
          </w:rPr>
          <w:tab/>
        </w:r>
        <w:r w:rsidRPr="001D5327">
          <w:rPr>
            <w:webHidden/>
          </w:rPr>
          <w:fldChar w:fldCharType="begin"/>
        </w:r>
        <w:r w:rsidRPr="001D5327">
          <w:rPr>
            <w:webHidden/>
          </w:rPr>
          <w:instrText xml:space="preserve"> PAGEREF _Toc194241742 \h </w:instrText>
        </w:r>
        <w:r w:rsidRPr="001D5327">
          <w:rPr>
            <w:webHidden/>
          </w:rPr>
        </w:r>
        <w:r w:rsidRPr="001D5327">
          <w:rPr>
            <w:webHidden/>
          </w:rPr>
          <w:fldChar w:fldCharType="separate"/>
        </w:r>
        <w:r w:rsidR="00B93180">
          <w:rPr>
            <w:noProof/>
            <w:webHidden/>
          </w:rPr>
          <w:t>223</w:t>
        </w:r>
        <w:r w:rsidRPr="001D5327">
          <w:rPr>
            <w:webHidden/>
          </w:rPr>
          <w:fldChar w:fldCharType="end"/>
        </w:r>
      </w:hyperlink>
    </w:p>
    <w:p w14:paraId="13140BAC" w14:textId="09821BFC"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43" w:history="1">
        <w:r w:rsidRPr="001D5327">
          <w:rPr>
            <w:rStyle w:val="Hyperlink"/>
            <w:rFonts w:cs="Calibri"/>
          </w:rPr>
          <w:t>Table 5.7.1</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Emission ratios for agricultural residue burning</w:t>
        </w:r>
        <w:r w:rsidRPr="001D5327">
          <w:rPr>
            <w:webHidden/>
          </w:rPr>
          <w:tab/>
        </w:r>
        <w:r w:rsidRPr="001D5327">
          <w:rPr>
            <w:webHidden/>
          </w:rPr>
          <w:fldChar w:fldCharType="begin"/>
        </w:r>
        <w:r w:rsidRPr="001D5327">
          <w:rPr>
            <w:webHidden/>
          </w:rPr>
          <w:instrText xml:space="preserve"> PAGEREF _Toc194241743 \h </w:instrText>
        </w:r>
        <w:r w:rsidRPr="001D5327">
          <w:rPr>
            <w:webHidden/>
          </w:rPr>
        </w:r>
        <w:r w:rsidRPr="001D5327">
          <w:rPr>
            <w:webHidden/>
          </w:rPr>
          <w:fldChar w:fldCharType="separate"/>
        </w:r>
        <w:r w:rsidR="00B93180">
          <w:rPr>
            <w:noProof/>
            <w:webHidden/>
          </w:rPr>
          <w:t>225</w:t>
        </w:r>
        <w:r w:rsidRPr="001D5327">
          <w:rPr>
            <w:webHidden/>
          </w:rPr>
          <w:fldChar w:fldCharType="end"/>
        </w:r>
      </w:hyperlink>
    </w:p>
    <w:p w14:paraId="03108999" w14:textId="244E43EA"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44" w:history="1">
        <w:r w:rsidRPr="001D5327">
          <w:rPr>
            <w:rStyle w:val="Hyperlink"/>
            <w:rFonts w:cs="Calibri"/>
          </w:rPr>
          <w:t xml:space="preserve">Table 5.7.2 </w:t>
        </w:r>
        <w:r w:rsidRPr="001D5327">
          <w:rPr>
            <w:rFonts w:asciiTheme="minorHAnsi" w:eastAsiaTheme="minorEastAsia" w:hAnsiTheme="minorHAnsi" w:cstheme="minorBidi"/>
            <w:kern w:val="2"/>
            <w:sz w:val="24"/>
            <w:szCs w:val="24"/>
            <w14:ligatures w14:val="standardContextual"/>
          </w:rPr>
          <w:tab/>
        </w:r>
        <w:r w:rsidRPr="001D5327">
          <w:rPr>
            <w:rStyle w:val="Hyperlink"/>
            <w:rFonts w:cs="Calibri"/>
          </w:rPr>
          <w:t>Values used to calculate New Zealand emissions from burning of agricultural residues</w:t>
        </w:r>
        <w:r w:rsidRPr="001D5327">
          <w:rPr>
            <w:webHidden/>
          </w:rPr>
          <w:tab/>
        </w:r>
        <w:r w:rsidRPr="001D5327">
          <w:rPr>
            <w:webHidden/>
          </w:rPr>
          <w:fldChar w:fldCharType="begin"/>
        </w:r>
        <w:r w:rsidRPr="001D5327">
          <w:rPr>
            <w:webHidden/>
          </w:rPr>
          <w:instrText xml:space="preserve"> PAGEREF _Toc194241744 \h </w:instrText>
        </w:r>
        <w:r w:rsidRPr="001D5327">
          <w:rPr>
            <w:webHidden/>
          </w:rPr>
        </w:r>
        <w:r w:rsidRPr="001D5327">
          <w:rPr>
            <w:webHidden/>
          </w:rPr>
          <w:fldChar w:fldCharType="separate"/>
        </w:r>
        <w:r w:rsidR="00B93180">
          <w:rPr>
            <w:noProof/>
            <w:webHidden/>
          </w:rPr>
          <w:t>226</w:t>
        </w:r>
        <w:r w:rsidRPr="001D5327">
          <w:rPr>
            <w:webHidden/>
          </w:rPr>
          <w:fldChar w:fldCharType="end"/>
        </w:r>
      </w:hyperlink>
    </w:p>
    <w:p w14:paraId="2C7B6A55" w14:textId="5AA5FCC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45" w:history="1">
        <w:r w:rsidRPr="001D5327">
          <w:rPr>
            <w:rStyle w:val="Hyperlink"/>
          </w:rPr>
          <w:t xml:space="preserve">Table 6.1.1 </w:t>
        </w:r>
        <w:r w:rsidRPr="001D5327">
          <w:rPr>
            <w:rFonts w:asciiTheme="minorHAnsi" w:eastAsiaTheme="minorEastAsia" w:hAnsiTheme="minorHAnsi" w:cstheme="minorBidi"/>
            <w:kern w:val="2"/>
            <w:sz w:val="24"/>
            <w:szCs w:val="24"/>
            <w14:ligatures w14:val="standardContextual"/>
          </w:rPr>
          <w:tab/>
        </w:r>
        <w:r w:rsidRPr="001D5327">
          <w:rPr>
            <w:rStyle w:val="Hyperlink"/>
          </w:rPr>
          <w:t>New Zealand’s greenhouse gas net emissions for the LULUCF sector by category in 1990 and 2023</w:t>
        </w:r>
        <w:r w:rsidRPr="001D5327">
          <w:rPr>
            <w:webHidden/>
          </w:rPr>
          <w:tab/>
        </w:r>
        <w:r w:rsidRPr="001D5327">
          <w:rPr>
            <w:webHidden/>
          </w:rPr>
          <w:fldChar w:fldCharType="begin"/>
        </w:r>
        <w:r w:rsidRPr="001D5327">
          <w:rPr>
            <w:webHidden/>
          </w:rPr>
          <w:instrText xml:space="preserve"> PAGEREF _Toc194241745 \h </w:instrText>
        </w:r>
        <w:r w:rsidRPr="001D5327">
          <w:rPr>
            <w:webHidden/>
          </w:rPr>
        </w:r>
        <w:r w:rsidRPr="001D5327">
          <w:rPr>
            <w:webHidden/>
          </w:rPr>
          <w:fldChar w:fldCharType="separate"/>
        </w:r>
        <w:r w:rsidR="00B93180">
          <w:rPr>
            <w:noProof/>
            <w:webHidden/>
          </w:rPr>
          <w:t>241</w:t>
        </w:r>
        <w:r w:rsidRPr="001D5327">
          <w:rPr>
            <w:webHidden/>
          </w:rPr>
          <w:fldChar w:fldCharType="end"/>
        </w:r>
      </w:hyperlink>
    </w:p>
    <w:p w14:paraId="15AAF7C1" w14:textId="6F331C27"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46" w:history="1">
        <w:r w:rsidRPr="001D5327">
          <w:rPr>
            <w:rStyle w:val="Hyperlink"/>
          </w:rPr>
          <w:t xml:space="preserve">Table 6.1.2 </w:t>
        </w:r>
        <w:r w:rsidRPr="001D5327">
          <w:rPr>
            <w:rFonts w:asciiTheme="minorHAnsi" w:eastAsiaTheme="minorEastAsia" w:hAnsiTheme="minorHAnsi" w:cstheme="minorBidi"/>
            <w:kern w:val="2"/>
            <w:sz w:val="24"/>
            <w:szCs w:val="24"/>
            <w14:ligatures w14:val="standardContextual"/>
          </w:rPr>
          <w:tab/>
        </w:r>
        <w:r w:rsidRPr="001D5327">
          <w:rPr>
            <w:rStyle w:val="Hyperlink"/>
          </w:rPr>
          <w:t>New Zealand’s greenhouse gas net emissions for the LULUCF sector by land use category in 2022 and 2023</w:t>
        </w:r>
        <w:r w:rsidRPr="001D5327">
          <w:rPr>
            <w:webHidden/>
          </w:rPr>
          <w:tab/>
        </w:r>
        <w:r w:rsidRPr="001D5327">
          <w:rPr>
            <w:webHidden/>
          </w:rPr>
          <w:fldChar w:fldCharType="begin"/>
        </w:r>
        <w:r w:rsidRPr="001D5327">
          <w:rPr>
            <w:webHidden/>
          </w:rPr>
          <w:instrText xml:space="preserve"> PAGEREF _Toc194241746 \h </w:instrText>
        </w:r>
        <w:r w:rsidRPr="001D5327">
          <w:rPr>
            <w:webHidden/>
          </w:rPr>
        </w:r>
        <w:r w:rsidRPr="001D5327">
          <w:rPr>
            <w:webHidden/>
          </w:rPr>
          <w:fldChar w:fldCharType="separate"/>
        </w:r>
        <w:r w:rsidR="00B93180">
          <w:rPr>
            <w:noProof/>
            <w:webHidden/>
          </w:rPr>
          <w:t>242</w:t>
        </w:r>
        <w:r w:rsidRPr="001D5327">
          <w:rPr>
            <w:webHidden/>
          </w:rPr>
          <w:fldChar w:fldCharType="end"/>
        </w:r>
      </w:hyperlink>
    </w:p>
    <w:p w14:paraId="5AEF6C6C" w14:textId="2B54E7BF"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47" w:history="1">
        <w:r w:rsidRPr="001D5327">
          <w:rPr>
            <w:rStyle w:val="Hyperlink"/>
          </w:rPr>
          <w:t xml:space="preserve">Table 6.1.3 </w:t>
        </w:r>
        <w:r w:rsidRPr="001D5327">
          <w:rPr>
            <w:rFonts w:asciiTheme="minorHAnsi" w:eastAsiaTheme="minorEastAsia" w:hAnsiTheme="minorHAnsi" w:cstheme="minorBidi"/>
            <w:kern w:val="2"/>
            <w:sz w:val="24"/>
            <w:szCs w:val="24"/>
            <w14:ligatures w14:val="standardContextual"/>
          </w:rPr>
          <w:tab/>
        </w:r>
        <w:r w:rsidRPr="001D5327">
          <w:rPr>
            <w:rStyle w:val="Hyperlink"/>
          </w:rPr>
          <w:t>Land use in New Zealand in 2023</w:t>
        </w:r>
        <w:r w:rsidRPr="001D5327">
          <w:rPr>
            <w:webHidden/>
          </w:rPr>
          <w:tab/>
        </w:r>
        <w:r w:rsidRPr="001D5327">
          <w:rPr>
            <w:webHidden/>
          </w:rPr>
          <w:fldChar w:fldCharType="begin"/>
        </w:r>
        <w:r w:rsidRPr="001D5327">
          <w:rPr>
            <w:webHidden/>
          </w:rPr>
          <w:instrText xml:space="preserve"> PAGEREF _Toc194241747 \h </w:instrText>
        </w:r>
        <w:r w:rsidRPr="001D5327">
          <w:rPr>
            <w:webHidden/>
          </w:rPr>
        </w:r>
        <w:r w:rsidRPr="001D5327">
          <w:rPr>
            <w:webHidden/>
          </w:rPr>
          <w:fldChar w:fldCharType="separate"/>
        </w:r>
        <w:r w:rsidR="00B93180">
          <w:rPr>
            <w:noProof/>
            <w:webHidden/>
          </w:rPr>
          <w:t>243</w:t>
        </w:r>
        <w:r w:rsidRPr="001D5327">
          <w:rPr>
            <w:webHidden/>
          </w:rPr>
          <w:fldChar w:fldCharType="end"/>
        </w:r>
      </w:hyperlink>
    </w:p>
    <w:p w14:paraId="2E1F45C0" w14:textId="2C0F10BD"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48" w:history="1">
        <w:r w:rsidRPr="001D5327">
          <w:rPr>
            <w:rStyle w:val="Hyperlink"/>
          </w:rPr>
          <w:t>Table 6.1.4</w:t>
        </w:r>
        <w:r w:rsidRPr="001D5327">
          <w:rPr>
            <w:rFonts w:asciiTheme="minorHAnsi" w:eastAsiaTheme="minorEastAsia" w:hAnsiTheme="minorHAnsi" w:cstheme="minorBidi"/>
            <w:kern w:val="2"/>
            <w:sz w:val="24"/>
            <w:szCs w:val="24"/>
            <w14:ligatures w14:val="standardContextual"/>
          </w:rPr>
          <w:tab/>
        </w:r>
        <w:r w:rsidRPr="001D5327">
          <w:rPr>
            <w:rStyle w:val="Hyperlink"/>
          </w:rPr>
          <w:t>Relationships between land use, carbon pool and method of calculation used by New Zealand</w:t>
        </w:r>
        <w:r w:rsidRPr="001D5327">
          <w:rPr>
            <w:webHidden/>
          </w:rPr>
          <w:tab/>
        </w:r>
        <w:r w:rsidRPr="001D5327">
          <w:rPr>
            <w:webHidden/>
          </w:rPr>
          <w:fldChar w:fldCharType="begin"/>
        </w:r>
        <w:r w:rsidRPr="001D5327">
          <w:rPr>
            <w:webHidden/>
          </w:rPr>
          <w:instrText xml:space="preserve"> PAGEREF _Toc194241748 \h </w:instrText>
        </w:r>
        <w:r w:rsidRPr="001D5327">
          <w:rPr>
            <w:webHidden/>
          </w:rPr>
        </w:r>
        <w:r w:rsidRPr="001D5327">
          <w:rPr>
            <w:webHidden/>
          </w:rPr>
          <w:fldChar w:fldCharType="separate"/>
        </w:r>
        <w:r w:rsidR="00B93180">
          <w:rPr>
            <w:noProof/>
            <w:webHidden/>
          </w:rPr>
          <w:t>245</w:t>
        </w:r>
        <w:r w:rsidRPr="001D5327">
          <w:rPr>
            <w:webHidden/>
          </w:rPr>
          <w:fldChar w:fldCharType="end"/>
        </w:r>
      </w:hyperlink>
    </w:p>
    <w:p w14:paraId="00C39A6A" w14:textId="39D967D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49" w:history="1">
        <w:r w:rsidRPr="001D5327">
          <w:rPr>
            <w:rStyle w:val="Hyperlink"/>
          </w:rPr>
          <w:t>Table 6.1.5</w:t>
        </w:r>
        <w:r w:rsidRPr="001D5327">
          <w:rPr>
            <w:rFonts w:asciiTheme="minorHAnsi" w:eastAsiaTheme="minorEastAsia" w:hAnsiTheme="minorHAnsi" w:cstheme="minorBidi"/>
            <w:kern w:val="2"/>
            <w:sz w:val="24"/>
            <w:szCs w:val="24"/>
            <w14:ligatures w14:val="standardContextual"/>
          </w:rPr>
          <w:tab/>
        </w:r>
        <w:r w:rsidRPr="001D5327">
          <w:rPr>
            <w:rStyle w:val="Hyperlink"/>
          </w:rPr>
          <w:t>Land use categories making the greatest contribution to uncertainty in the LULUCF sector</w:t>
        </w:r>
        <w:r w:rsidRPr="001D5327">
          <w:rPr>
            <w:webHidden/>
          </w:rPr>
          <w:tab/>
        </w:r>
        <w:r w:rsidRPr="001D5327">
          <w:rPr>
            <w:webHidden/>
          </w:rPr>
          <w:fldChar w:fldCharType="begin"/>
        </w:r>
        <w:r w:rsidRPr="001D5327">
          <w:rPr>
            <w:webHidden/>
          </w:rPr>
          <w:instrText xml:space="preserve"> PAGEREF _Toc194241749 \h </w:instrText>
        </w:r>
        <w:r w:rsidRPr="001D5327">
          <w:rPr>
            <w:webHidden/>
          </w:rPr>
        </w:r>
        <w:r w:rsidRPr="001D5327">
          <w:rPr>
            <w:webHidden/>
          </w:rPr>
          <w:fldChar w:fldCharType="separate"/>
        </w:r>
        <w:r w:rsidR="00B93180">
          <w:rPr>
            <w:noProof/>
            <w:webHidden/>
          </w:rPr>
          <w:t>247</w:t>
        </w:r>
        <w:r w:rsidRPr="001D5327">
          <w:rPr>
            <w:webHidden/>
          </w:rPr>
          <w:fldChar w:fldCharType="end"/>
        </w:r>
      </w:hyperlink>
    </w:p>
    <w:p w14:paraId="6B0788CE" w14:textId="7C301EB4"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50" w:history="1">
        <w:r w:rsidRPr="001D5327">
          <w:rPr>
            <w:rStyle w:val="Hyperlink"/>
          </w:rPr>
          <w:t>Table 6.1.6</w:t>
        </w:r>
        <w:r w:rsidRPr="001D5327">
          <w:rPr>
            <w:rFonts w:asciiTheme="minorHAnsi" w:eastAsiaTheme="minorEastAsia" w:hAnsiTheme="minorHAnsi" w:cstheme="minorBidi"/>
            <w:kern w:val="2"/>
            <w:sz w:val="24"/>
            <w:szCs w:val="24"/>
            <w14:ligatures w14:val="standardContextual"/>
          </w:rPr>
          <w:tab/>
        </w:r>
        <w:r w:rsidRPr="001D5327">
          <w:rPr>
            <w:rStyle w:val="Hyperlink"/>
          </w:rPr>
          <w:t>Recalculations to New Zealand’s total net LULUCF emissions for 1990 and 2022</w:t>
        </w:r>
        <w:r w:rsidRPr="001D5327">
          <w:rPr>
            <w:webHidden/>
          </w:rPr>
          <w:tab/>
        </w:r>
        <w:r w:rsidRPr="001D5327">
          <w:rPr>
            <w:webHidden/>
          </w:rPr>
          <w:fldChar w:fldCharType="begin"/>
        </w:r>
        <w:r w:rsidRPr="001D5327">
          <w:rPr>
            <w:webHidden/>
          </w:rPr>
          <w:instrText xml:space="preserve"> PAGEREF _Toc194241750 \h </w:instrText>
        </w:r>
        <w:r w:rsidRPr="001D5327">
          <w:rPr>
            <w:webHidden/>
          </w:rPr>
        </w:r>
        <w:r w:rsidRPr="001D5327">
          <w:rPr>
            <w:webHidden/>
          </w:rPr>
          <w:fldChar w:fldCharType="separate"/>
        </w:r>
        <w:r w:rsidR="00B93180">
          <w:rPr>
            <w:noProof/>
            <w:webHidden/>
          </w:rPr>
          <w:t>248</w:t>
        </w:r>
        <w:r w:rsidRPr="001D5327">
          <w:rPr>
            <w:webHidden/>
          </w:rPr>
          <w:fldChar w:fldCharType="end"/>
        </w:r>
      </w:hyperlink>
    </w:p>
    <w:p w14:paraId="1B183ECD" w14:textId="5324C99A"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51" w:history="1">
        <w:r w:rsidRPr="001D5327">
          <w:rPr>
            <w:rStyle w:val="Hyperlink"/>
          </w:rPr>
          <w:t>Table 6.1.7</w:t>
        </w:r>
        <w:r w:rsidRPr="001D5327">
          <w:rPr>
            <w:rFonts w:asciiTheme="minorHAnsi" w:eastAsiaTheme="minorEastAsia" w:hAnsiTheme="minorHAnsi" w:cstheme="minorBidi"/>
            <w:kern w:val="2"/>
            <w:sz w:val="24"/>
            <w:szCs w:val="24"/>
            <w14:ligatures w14:val="standardContextual"/>
          </w:rPr>
          <w:tab/>
        </w:r>
        <w:r w:rsidRPr="001D5327">
          <w:rPr>
            <w:rStyle w:val="Hyperlink"/>
          </w:rPr>
          <w:t>Recalculations to New Zealand’s net LULUCF emissions for 1990 and 2022 by category</w:t>
        </w:r>
        <w:r w:rsidRPr="001D5327">
          <w:rPr>
            <w:webHidden/>
          </w:rPr>
          <w:tab/>
        </w:r>
        <w:r w:rsidRPr="001D5327">
          <w:rPr>
            <w:webHidden/>
          </w:rPr>
          <w:fldChar w:fldCharType="begin"/>
        </w:r>
        <w:r w:rsidRPr="001D5327">
          <w:rPr>
            <w:webHidden/>
          </w:rPr>
          <w:instrText xml:space="preserve"> PAGEREF _Toc194241751 \h </w:instrText>
        </w:r>
        <w:r w:rsidRPr="001D5327">
          <w:rPr>
            <w:webHidden/>
          </w:rPr>
        </w:r>
        <w:r w:rsidRPr="001D5327">
          <w:rPr>
            <w:webHidden/>
          </w:rPr>
          <w:fldChar w:fldCharType="separate"/>
        </w:r>
        <w:r w:rsidR="00B93180">
          <w:rPr>
            <w:noProof/>
            <w:webHidden/>
          </w:rPr>
          <w:t>248</w:t>
        </w:r>
        <w:r w:rsidRPr="001D5327">
          <w:rPr>
            <w:webHidden/>
          </w:rPr>
          <w:fldChar w:fldCharType="end"/>
        </w:r>
      </w:hyperlink>
    </w:p>
    <w:p w14:paraId="0C2DF626" w14:textId="33314041"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52" w:history="1">
        <w:r w:rsidRPr="001D5327">
          <w:rPr>
            <w:rStyle w:val="Hyperlink"/>
          </w:rPr>
          <w:t>Table 6.2.1</w:t>
        </w:r>
        <w:r w:rsidRPr="001D5327">
          <w:rPr>
            <w:rFonts w:asciiTheme="minorHAnsi" w:eastAsiaTheme="minorEastAsia" w:hAnsiTheme="minorHAnsi" w:cstheme="minorBidi"/>
            <w:kern w:val="2"/>
            <w:sz w:val="24"/>
            <w:szCs w:val="24"/>
            <w14:ligatures w14:val="standardContextual"/>
          </w:rPr>
          <w:tab/>
        </w:r>
        <w:r w:rsidRPr="001D5327">
          <w:rPr>
            <w:rStyle w:val="Hyperlink"/>
          </w:rPr>
          <w:t>New Zealand’s land use categories and land uses</w:t>
        </w:r>
        <w:r w:rsidRPr="001D5327">
          <w:rPr>
            <w:webHidden/>
          </w:rPr>
          <w:tab/>
        </w:r>
        <w:r w:rsidRPr="001D5327">
          <w:rPr>
            <w:webHidden/>
          </w:rPr>
          <w:fldChar w:fldCharType="begin"/>
        </w:r>
        <w:r w:rsidRPr="001D5327">
          <w:rPr>
            <w:webHidden/>
          </w:rPr>
          <w:instrText xml:space="preserve"> PAGEREF _Toc194241752 \h </w:instrText>
        </w:r>
        <w:r w:rsidRPr="001D5327">
          <w:rPr>
            <w:webHidden/>
          </w:rPr>
        </w:r>
        <w:r w:rsidRPr="001D5327">
          <w:rPr>
            <w:webHidden/>
          </w:rPr>
          <w:fldChar w:fldCharType="separate"/>
        </w:r>
        <w:r w:rsidR="00B93180">
          <w:rPr>
            <w:noProof/>
            <w:webHidden/>
          </w:rPr>
          <w:t>250</w:t>
        </w:r>
        <w:r w:rsidRPr="001D5327">
          <w:rPr>
            <w:webHidden/>
          </w:rPr>
          <w:fldChar w:fldCharType="end"/>
        </w:r>
      </w:hyperlink>
    </w:p>
    <w:p w14:paraId="5A48C1B5" w14:textId="186688CF"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53" w:history="1">
        <w:r w:rsidRPr="001D5327">
          <w:rPr>
            <w:rStyle w:val="Hyperlink"/>
          </w:rPr>
          <w:t>Table 6.2.2</w:t>
        </w:r>
        <w:r w:rsidRPr="001D5327">
          <w:rPr>
            <w:rFonts w:asciiTheme="minorHAnsi" w:eastAsiaTheme="minorEastAsia" w:hAnsiTheme="minorHAnsi" w:cstheme="minorBidi"/>
            <w:kern w:val="2"/>
            <w:sz w:val="24"/>
            <w:szCs w:val="24"/>
            <w14:ligatures w14:val="standardContextual"/>
          </w:rPr>
          <w:tab/>
        </w:r>
        <w:r w:rsidRPr="001D5327">
          <w:rPr>
            <w:rStyle w:val="Hyperlink"/>
          </w:rPr>
          <w:t>New Zealand’s mapping definitions for each land use</w:t>
        </w:r>
        <w:r w:rsidRPr="001D5327">
          <w:rPr>
            <w:webHidden/>
          </w:rPr>
          <w:tab/>
        </w:r>
        <w:r w:rsidRPr="001D5327">
          <w:rPr>
            <w:webHidden/>
          </w:rPr>
          <w:fldChar w:fldCharType="begin"/>
        </w:r>
        <w:r w:rsidRPr="001D5327">
          <w:rPr>
            <w:webHidden/>
          </w:rPr>
          <w:instrText xml:space="preserve"> PAGEREF _Toc194241753 \h </w:instrText>
        </w:r>
        <w:r w:rsidRPr="001D5327">
          <w:rPr>
            <w:webHidden/>
          </w:rPr>
        </w:r>
        <w:r w:rsidRPr="001D5327">
          <w:rPr>
            <w:webHidden/>
          </w:rPr>
          <w:fldChar w:fldCharType="separate"/>
        </w:r>
        <w:r w:rsidR="00B93180">
          <w:rPr>
            <w:noProof/>
            <w:webHidden/>
          </w:rPr>
          <w:t>251</w:t>
        </w:r>
        <w:r w:rsidRPr="001D5327">
          <w:rPr>
            <w:webHidden/>
          </w:rPr>
          <w:fldChar w:fldCharType="end"/>
        </w:r>
      </w:hyperlink>
    </w:p>
    <w:p w14:paraId="343C158C" w14:textId="4D97181C"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54" w:history="1">
        <w:r w:rsidRPr="001D5327">
          <w:rPr>
            <w:rStyle w:val="Hyperlink"/>
          </w:rPr>
          <w:t>Table 6.2.3</w:t>
        </w:r>
        <w:r w:rsidRPr="001D5327">
          <w:rPr>
            <w:rFonts w:asciiTheme="minorHAnsi" w:eastAsiaTheme="minorEastAsia" w:hAnsiTheme="minorHAnsi" w:cstheme="minorBidi"/>
            <w:kern w:val="2"/>
            <w:sz w:val="24"/>
            <w:szCs w:val="24"/>
            <w14:ligatures w14:val="standardContextual"/>
          </w:rPr>
          <w:tab/>
        </w:r>
        <w:r w:rsidRPr="001D5327">
          <w:rPr>
            <w:rStyle w:val="Hyperlink"/>
          </w:rPr>
          <w:t>New Zealand’s land-use change matrix, from 1962 to 1989 (kha)</w:t>
        </w:r>
        <w:r w:rsidRPr="001D5327">
          <w:rPr>
            <w:webHidden/>
          </w:rPr>
          <w:tab/>
        </w:r>
        <w:r w:rsidRPr="001D5327">
          <w:rPr>
            <w:webHidden/>
          </w:rPr>
          <w:fldChar w:fldCharType="begin"/>
        </w:r>
        <w:r w:rsidRPr="001D5327">
          <w:rPr>
            <w:webHidden/>
          </w:rPr>
          <w:instrText xml:space="preserve"> PAGEREF _Toc194241754 \h </w:instrText>
        </w:r>
        <w:r w:rsidRPr="001D5327">
          <w:rPr>
            <w:webHidden/>
          </w:rPr>
        </w:r>
        <w:r w:rsidRPr="001D5327">
          <w:rPr>
            <w:webHidden/>
          </w:rPr>
          <w:fldChar w:fldCharType="separate"/>
        </w:r>
        <w:r w:rsidR="00B93180">
          <w:rPr>
            <w:noProof/>
            <w:webHidden/>
          </w:rPr>
          <w:t>253</w:t>
        </w:r>
        <w:r w:rsidRPr="001D5327">
          <w:rPr>
            <w:webHidden/>
          </w:rPr>
          <w:fldChar w:fldCharType="end"/>
        </w:r>
      </w:hyperlink>
    </w:p>
    <w:p w14:paraId="001358B5" w14:textId="58DC1333"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55" w:history="1">
        <w:r w:rsidRPr="001D5327">
          <w:rPr>
            <w:rStyle w:val="Hyperlink"/>
          </w:rPr>
          <w:t>Table 6.4.1</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New Zealand’s land-use change for the </w:t>
        </w:r>
        <w:r w:rsidRPr="001D5327">
          <w:rPr>
            <w:rStyle w:val="Hyperlink"/>
            <w:i/>
          </w:rPr>
          <w:t>Forest land</w:t>
        </w:r>
        <w:r w:rsidRPr="001D5327">
          <w:rPr>
            <w:rStyle w:val="Hyperlink"/>
          </w:rPr>
          <w:t xml:space="preserve"> category, and associated CO</w:t>
        </w:r>
        <w:r w:rsidRPr="001D5327">
          <w:rPr>
            <w:rStyle w:val="Hyperlink"/>
            <w:vertAlign w:val="subscript"/>
          </w:rPr>
          <w:t>2</w:t>
        </w:r>
        <w:r w:rsidRPr="001D5327">
          <w:rPr>
            <w:rStyle w:val="Hyperlink"/>
          </w:rPr>
          <w:t>-e emissions, in 1990 and 2023</w:t>
        </w:r>
        <w:r w:rsidRPr="001D5327">
          <w:rPr>
            <w:webHidden/>
          </w:rPr>
          <w:tab/>
        </w:r>
        <w:r w:rsidRPr="001D5327">
          <w:rPr>
            <w:webHidden/>
          </w:rPr>
          <w:fldChar w:fldCharType="begin"/>
        </w:r>
        <w:r w:rsidRPr="001D5327">
          <w:rPr>
            <w:webHidden/>
          </w:rPr>
          <w:instrText xml:space="preserve"> PAGEREF _Toc194241755 \h </w:instrText>
        </w:r>
        <w:r w:rsidRPr="001D5327">
          <w:rPr>
            <w:webHidden/>
          </w:rPr>
        </w:r>
        <w:r w:rsidRPr="001D5327">
          <w:rPr>
            <w:webHidden/>
          </w:rPr>
          <w:fldChar w:fldCharType="separate"/>
        </w:r>
        <w:r w:rsidR="00B93180">
          <w:rPr>
            <w:noProof/>
            <w:webHidden/>
          </w:rPr>
          <w:t>256</w:t>
        </w:r>
        <w:r w:rsidRPr="001D5327">
          <w:rPr>
            <w:webHidden/>
          </w:rPr>
          <w:fldChar w:fldCharType="end"/>
        </w:r>
      </w:hyperlink>
    </w:p>
    <w:p w14:paraId="013EB7C1" w14:textId="6A31E060"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56" w:history="1">
        <w:r w:rsidRPr="001D5327">
          <w:rPr>
            <w:rStyle w:val="Hyperlink"/>
          </w:rPr>
          <w:t>Table 6.4.2</w:t>
        </w:r>
        <w:r w:rsidRPr="001D5327">
          <w:rPr>
            <w:rFonts w:asciiTheme="minorHAnsi" w:eastAsiaTheme="minorEastAsia" w:hAnsiTheme="minorHAnsi" w:cstheme="minorBidi"/>
            <w:kern w:val="2"/>
            <w:sz w:val="24"/>
            <w:szCs w:val="24"/>
            <w14:ligatures w14:val="standardContextual"/>
          </w:rPr>
          <w:tab/>
        </w:r>
        <w:r w:rsidRPr="001D5327">
          <w:rPr>
            <w:rStyle w:val="Hyperlink"/>
          </w:rPr>
          <w:t>Change in land area and associated CO</w:t>
        </w:r>
        <w:r w:rsidRPr="001D5327">
          <w:rPr>
            <w:rStyle w:val="Hyperlink"/>
            <w:vertAlign w:val="subscript"/>
          </w:rPr>
          <w:t>2</w:t>
        </w:r>
        <w:r w:rsidRPr="001D5327">
          <w:rPr>
            <w:rStyle w:val="Hyperlink"/>
          </w:rPr>
          <w:t xml:space="preserve"> emissions from carbon stock change between 1990 and 2023 for New Zealand’s</w:t>
        </w:r>
        <w:r w:rsidRPr="001D5327">
          <w:rPr>
            <w:rStyle w:val="Hyperlink"/>
            <w:i/>
          </w:rPr>
          <w:t xml:space="preserve"> Forest land</w:t>
        </w:r>
        <w:r w:rsidRPr="001D5327">
          <w:rPr>
            <w:webHidden/>
          </w:rPr>
          <w:tab/>
        </w:r>
        <w:r w:rsidRPr="001D5327">
          <w:rPr>
            <w:webHidden/>
          </w:rPr>
          <w:fldChar w:fldCharType="begin"/>
        </w:r>
        <w:r w:rsidRPr="001D5327">
          <w:rPr>
            <w:webHidden/>
          </w:rPr>
          <w:instrText xml:space="preserve"> PAGEREF _Toc194241756 \h </w:instrText>
        </w:r>
        <w:r w:rsidRPr="001D5327">
          <w:rPr>
            <w:webHidden/>
          </w:rPr>
        </w:r>
        <w:r w:rsidRPr="001D5327">
          <w:rPr>
            <w:webHidden/>
          </w:rPr>
          <w:fldChar w:fldCharType="separate"/>
        </w:r>
        <w:r w:rsidR="00B93180">
          <w:rPr>
            <w:noProof/>
            <w:webHidden/>
          </w:rPr>
          <w:t>257</w:t>
        </w:r>
        <w:r w:rsidRPr="001D5327">
          <w:rPr>
            <w:webHidden/>
          </w:rPr>
          <w:fldChar w:fldCharType="end"/>
        </w:r>
      </w:hyperlink>
    </w:p>
    <w:p w14:paraId="5E1C09BB" w14:textId="566EDCC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57" w:history="1">
        <w:r w:rsidRPr="001D5327">
          <w:rPr>
            <w:rStyle w:val="Hyperlink"/>
          </w:rPr>
          <w:t>Table 6.4.3</w:t>
        </w:r>
        <w:r w:rsidRPr="001D5327">
          <w:rPr>
            <w:rFonts w:asciiTheme="minorHAnsi" w:eastAsiaTheme="minorEastAsia" w:hAnsiTheme="minorHAnsi" w:cstheme="minorBidi"/>
            <w:kern w:val="2"/>
            <w:sz w:val="24"/>
            <w:szCs w:val="24"/>
            <w14:ligatures w14:val="standardContextual"/>
          </w:rPr>
          <w:tab/>
        </w:r>
        <w:r w:rsidRPr="001D5327">
          <w:rPr>
            <w:rStyle w:val="Hyperlink"/>
          </w:rPr>
          <w:t>New Zealand’s net carbon stock change by carbon pool for the</w:t>
        </w:r>
        <w:r w:rsidRPr="001D5327">
          <w:rPr>
            <w:rStyle w:val="Hyperlink"/>
            <w:rFonts w:cs="Arial Bold"/>
          </w:rPr>
          <w:t xml:space="preserve"> </w:t>
        </w:r>
        <w:r w:rsidRPr="001D5327">
          <w:rPr>
            <w:rStyle w:val="Hyperlink"/>
            <w:rFonts w:cs="Arial Bold"/>
            <w:i/>
          </w:rPr>
          <w:t>Forest</w:t>
        </w:r>
        <w:r w:rsidRPr="001D5327">
          <w:rPr>
            <w:rStyle w:val="Hyperlink"/>
            <w:i/>
          </w:rPr>
          <w:t xml:space="preserve"> land </w:t>
        </w:r>
        <w:r w:rsidRPr="001D5327">
          <w:rPr>
            <w:rStyle w:val="Hyperlink"/>
          </w:rPr>
          <w:t>category, from 1990 to 2023</w:t>
        </w:r>
        <w:r w:rsidRPr="001D5327">
          <w:rPr>
            <w:webHidden/>
          </w:rPr>
          <w:tab/>
        </w:r>
        <w:r w:rsidRPr="001D5327">
          <w:rPr>
            <w:webHidden/>
          </w:rPr>
          <w:fldChar w:fldCharType="begin"/>
        </w:r>
        <w:r w:rsidRPr="001D5327">
          <w:rPr>
            <w:webHidden/>
          </w:rPr>
          <w:instrText xml:space="preserve"> PAGEREF _Toc194241757 \h </w:instrText>
        </w:r>
        <w:r w:rsidRPr="001D5327">
          <w:rPr>
            <w:webHidden/>
          </w:rPr>
        </w:r>
        <w:r w:rsidRPr="001D5327">
          <w:rPr>
            <w:webHidden/>
          </w:rPr>
          <w:fldChar w:fldCharType="separate"/>
        </w:r>
        <w:r w:rsidR="00B93180">
          <w:rPr>
            <w:noProof/>
            <w:webHidden/>
          </w:rPr>
          <w:t>258</w:t>
        </w:r>
        <w:r w:rsidRPr="001D5327">
          <w:rPr>
            <w:webHidden/>
          </w:rPr>
          <w:fldChar w:fldCharType="end"/>
        </w:r>
      </w:hyperlink>
    </w:p>
    <w:p w14:paraId="74AE2F47" w14:textId="0D733A5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58" w:history="1">
        <w:r w:rsidRPr="001D5327">
          <w:rPr>
            <w:rStyle w:val="Hyperlink"/>
          </w:rPr>
          <w:t>Table 6.4.4</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New Zealand’s </w:t>
        </w:r>
        <w:r w:rsidRPr="001D5327">
          <w:rPr>
            <w:rStyle w:val="Hyperlink"/>
            <w:i/>
          </w:rPr>
          <w:t xml:space="preserve">Forest land </w:t>
        </w:r>
        <w:r w:rsidRPr="001D5327">
          <w:rPr>
            <w:rStyle w:val="Hyperlink"/>
          </w:rPr>
          <w:t>subject to deforestation, 1990 and 2023</w:t>
        </w:r>
        <w:r w:rsidRPr="001D5327">
          <w:rPr>
            <w:webHidden/>
          </w:rPr>
          <w:tab/>
        </w:r>
        <w:r w:rsidRPr="001D5327">
          <w:rPr>
            <w:webHidden/>
          </w:rPr>
          <w:fldChar w:fldCharType="begin"/>
        </w:r>
        <w:r w:rsidRPr="001D5327">
          <w:rPr>
            <w:webHidden/>
          </w:rPr>
          <w:instrText xml:space="preserve"> PAGEREF _Toc194241758 \h </w:instrText>
        </w:r>
        <w:r w:rsidRPr="001D5327">
          <w:rPr>
            <w:webHidden/>
          </w:rPr>
        </w:r>
        <w:r w:rsidRPr="001D5327">
          <w:rPr>
            <w:webHidden/>
          </w:rPr>
          <w:fldChar w:fldCharType="separate"/>
        </w:r>
        <w:r w:rsidR="00B93180">
          <w:rPr>
            <w:noProof/>
            <w:webHidden/>
          </w:rPr>
          <w:t>260</w:t>
        </w:r>
        <w:r w:rsidRPr="001D5327">
          <w:rPr>
            <w:webHidden/>
          </w:rPr>
          <w:fldChar w:fldCharType="end"/>
        </w:r>
      </w:hyperlink>
    </w:p>
    <w:p w14:paraId="5958ABFB" w14:textId="3AA30A74"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59" w:history="1">
        <w:r w:rsidRPr="001D5327">
          <w:rPr>
            <w:rStyle w:val="Hyperlink"/>
          </w:rPr>
          <w:t>Table 6.4.5</w:t>
        </w:r>
        <w:r w:rsidRPr="001D5327">
          <w:rPr>
            <w:rFonts w:asciiTheme="minorHAnsi" w:eastAsiaTheme="minorEastAsia" w:hAnsiTheme="minorHAnsi" w:cstheme="minorBidi"/>
            <w:kern w:val="2"/>
            <w:sz w:val="24"/>
            <w:szCs w:val="24"/>
            <w14:ligatures w14:val="standardContextual"/>
          </w:rPr>
          <w:tab/>
        </w:r>
        <w:r w:rsidRPr="001D5327">
          <w:rPr>
            <w:rStyle w:val="Hyperlink"/>
          </w:rPr>
          <w:t>Pre-1990 natural forest categories and description</w:t>
        </w:r>
        <w:r w:rsidRPr="001D5327">
          <w:rPr>
            <w:webHidden/>
          </w:rPr>
          <w:tab/>
        </w:r>
        <w:r w:rsidRPr="001D5327">
          <w:rPr>
            <w:webHidden/>
          </w:rPr>
          <w:fldChar w:fldCharType="begin"/>
        </w:r>
        <w:r w:rsidRPr="001D5327">
          <w:rPr>
            <w:webHidden/>
          </w:rPr>
          <w:instrText xml:space="preserve"> PAGEREF _Toc194241759 \h </w:instrText>
        </w:r>
        <w:r w:rsidRPr="001D5327">
          <w:rPr>
            <w:webHidden/>
          </w:rPr>
        </w:r>
        <w:r w:rsidRPr="001D5327">
          <w:rPr>
            <w:webHidden/>
          </w:rPr>
          <w:fldChar w:fldCharType="separate"/>
        </w:r>
        <w:r w:rsidR="00B93180">
          <w:rPr>
            <w:noProof/>
            <w:webHidden/>
          </w:rPr>
          <w:t>262</w:t>
        </w:r>
        <w:r w:rsidRPr="001D5327">
          <w:rPr>
            <w:webHidden/>
          </w:rPr>
          <w:fldChar w:fldCharType="end"/>
        </w:r>
      </w:hyperlink>
    </w:p>
    <w:p w14:paraId="39CA9952" w14:textId="5190E9A1"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60" w:history="1">
        <w:r w:rsidRPr="001D5327">
          <w:rPr>
            <w:rStyle w:val="Hyperlink"/>
          </w:rPr>
          <w:t>Table 6.4.6</w:t>
        </w:r>
        <w:r w:rsidRPr="001D5327">
          <w:rPr>
            <w:rFonts w:asciiTheme="minorHAnsi" w:eastAsiaTheme="minorEastAsia" w:hAnsiTheme="minorHAnsi" w:cstheme="minorBidi"/>
            <w:kern w:val="2"/>
            <w:sz w:val="24"/>
            <w:szCs w:val="24"/>
            <w14:ligatures w14:val="standardContextual"/>
          </w:rPr>
          <w:tab/>
        </w:r>
        <w:r w:rsidRPr="001D5327">
          <w:rPr>
            <w:rStyle w:val="Hyperlink"/>
          </w:rPr>
          <w:t>Areas of tall and regenerating pre-1990 natural forest in 1990 and 2023</w:t>
        </w:r>
        <w:r w:rsidRPr="001D5327">
          <w:rPr>
            <w:webHidden/>
          </w:rPr>
          <w:tab/>
        </w:r>
        <w:r w:rsidRPr="001D5327">
          <w:rPr>
            <w:webHidden/>
          </w:rPr>
          <w:fldChar w:fldCharType="begin"/>
        </w:r>
        <w:r w:rsidRPr="001D5327">
          <w:rPr>
            <w:webHidden/>
          </w:rPr>
          <w:instrText xml:space="preserve"> PAGEREF _Toc194241760 \h </w:instrText>
        </w:r>
        <w:r w:rsidRPr="001D5327">
          <w:rPr>
            <w:webHidden/>
          </w:rPr>
        </w:r>
        <w:r w:rsidRPr="001D5327">
          <w:rPr>
            <w:webHidden/>
          </w:rPr>
          <w:fldChar w:fldCharType="separate"/>
        </w:r>
        <w:r w:rsidR="00B93180">
          <w:rPr>
            <w:noProof/>
            <w:webHidden/>
          </w:rPr>
          <w:t>262</w:t>
        </w:r>
        <w:r w:rsidRPr="001D5327">
          <w:rPr>
            <w:webHidden/>
          </w:rPr>
          <w:fldChar w:fldCharType="end"/>
        </w:r>
      </w:hyperlink>
    </w:p>
    <w:p w14:paraId="2C68B02A" w14:textId="536D1FCE"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61" w:history="1">
        <w:r w:rsidRPr="001D5327">
          <w:rPr>
            <w:rStyle w:val="Hyperlink"/>
          </w:rPr>
          <w:t>Table 6.4.7</w:t>
        </w:r>
        <w:r w:rsidRPr="001D5327">
          <w:rPr>
            <w:rFonts w:asciiTheme="minorHAnsi" w:eastAsiaTheme="minorEastAsia" w:hAnsiTheme="minorHAnsi" w:cstheme="minorBidi"/>
            <w:kern w:val="2"/>
            <w:sz w:val="24"/>
            <w:szCs w:val="24"/>
            <w14:ligatures w14:val="standardContextual"/>
          </w:rPr>
          <w:tab/>
        </w:r>
        <w:r w:rsidRPr="001D5327">
          <w:rPr>
            <w:rStyle w:val="Hyperlink"/>
          </w:rPr>
          <w:t>New Zealand’s pre-1990 natural forest deforestation area (ha), for natural forest categories, estimated by type, from 1990</w:t>
        </w:r>
        <w:r w:rsidRPr="001D5327">
          <w:rPr>
            <w:rStyle w:val="Hyperlink"/>
            <w:rFonts w:ascii="Arial" w:hAnsi="Arial" w:cs="Arial"/>
          </w:rPr>
          <w:t> </w:t>
        </w:r>
        <w:r w:rsidRPr="001D5327">
          <w:rPr>
            <w:rStyle w:val="Hyperlink"/>
          </w:rPr>
          <w:t>to</w:t>
        </w:r>
        <w:r w:rsidRPr="001D5327">
          <w:rPr>
            <w:rStyle w:val="Hyperlink"/>
            <w:rFonts w:ascii="Arial" w:hAnsi="Arial" w:cs="Arial"/>
          </w:rPr>
          <w:t> </w:t>
        </w:r>
        <w:r w:rsidRPr="001D5327">
          <w:rPr>
            <w:rStyle w:val="Hyperlink"/>
          </w:rPr>
          <w:t>2023</w:t>
        </w:r>
        <w:r w:rsidRPr="001D5327">
          <w:rPr>
            <w:webHidden/>
          </w:rPr>
          <w:tab/>
        </w:r>
        <w:r w:rsidRPr="001D5327">
          <w:rPr>
            <w:webHidden/>
          </w:rPr>
          <w:fldChar w:fldCharType="begin"/>
        </w:r>
        <w:r w:rsidRPr="001D5327">
          <w:rPr>
            <w:webHidden/>
          </w:rPr>
          <w:instrText xml:space="preserve"> PAGEREF _Toc194241761 \h </w:instrText>
        </w:r>
        <w:r w:rsidRPr="001D5327">
          <w:rPr>
            <w:webHidden/>
          </w:rPr>
        </w:r>
        <w:r w:rsidRPr="001D5327">
          <w:rPr>
            <w:webHidden/>
          </w:rPr>
          <w:fldChar w:fldCharType="separate"/>
        </w:r>
        <w:r w:rsidR="00B93180">
          <w:rPr>
            <w:noProof/>
            <w:webHidden/>
          </w:rPr>
          <w:t>262</w:t>
        </w:r>
        <w:r w:rsidRPr="001D5327">
          <w:rPr>
            <w:webHidden/>
          </w:rPr>
          <w:fldChar w:fldCharType="end"/>
        </w:r>
      </w:hyperlink>
    </w:p>
    <w:p w14:paraId="473AF8C6" w14:textId="2BFC8A16"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62" w:history="1">
        <w:r w:rsidRPr="001D5327">
          <w:rPr>
            <w:rStyle w:val="Hyperlink"/>
          </w:rPr>
          <w:t>Table 6.4.8</w:t>
        </w:r>
        <w:r w:rsidRPr="001D5327">
          <w:rPr>
            <w:rFonts w:asciiTheme="minorHAnsi" w:eastAsiaTheme="minorEastAsia" w:hAnsiTheme="minorHAnsi" w:cstheme="minorBidi"/>
            <w:kern w:val="2"/>
            <w:sz w:val="24"/>
            <w:szCs w:val="24"/>
            <w14:ligatures w14:val="standardContextual"/>
          </w:rPr>
          <w:tab/>
        </w:r>
        <w:r w:rsidRPr="001D5327">
          <w:rPr>
            <w:rStyle w:val="Hyperlink"/>
          </w:rPr>
          <w:t>Summary of methods used to calculate New Zealand’s forest biomass carbon stock from plot data</w:t>
        </w:r>
        <w:r w:rsidRPr="001D5327">
          <w:rPr>
            <w:webHidden/>
          </w:rPr>
          <w:tab/>
        </w:r>
        <w:r w:rsidRPr="001D5327">
          <w:rPr>
            <w:webHidden/>
          </w:rPr>
          <w:fldChar w:fldCharType="begin"/>
        </w:r>
        <w:r w:rsidRPr="001D5327">
          <w:rPr>
            <w:webHidden/>
          </w:rPr>
          <w:instrText xml:space="preserve"> PAGEREF _Toc194241762 \h </w:instrText>
        </w:r>
        <w:r w:rsidRPr="001D5327">
          <w:rPr>
            <w:webHidden/>
          </w:rPr>
        </w:r>
        <w:r w:rsidRPr="001D5327">
          <w:rPr>
            <w:webHidden/>
          </w:rPr>
          <w:fldChar w:fldCharType="separate"/>
        </w:r>
        <w:r w:rsidR="00B93180">
          <w:rPr>
            <w:noProof/>
            <w:webHidden/>
          </w:rPr>
          <w:t>266</w:t>
        </w:r>
        <w:r w:rsidRPr="001D5327">
          <w:rPr>
            <w:webHidden/>
          </w:rPr>
          <w:fldChar w:fldCharType="end"/>
        </w:r>
      </w:hyperlink>
    </w:p>
    <w:p w14:paraId="3C66A2A4" w14:textId="4423258A"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63" w:history="1">
        <w:r w:rsidRPr="001D5327">
          <w:rPr>
            <w:rStyle w:val="Hyperlink"/>
          </w:rPr>
          <w:t>Table 6.4.9</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Uncertainty in carbon stock change emissions in 2023 from </w:t>
        </w:r>
        <w:r w:rsidRPr="001D5327">
          <w:rPr>
            <w:rStyle w:val="Hyperlink"/>
            <w:i/>
          </w:rPr>
          <w:t>Forest land</w:t>
        </w:r>
        <w:r w:rsidRPr="001D5327">
          <w:rPr>
            <w:webHidden/>
          </w:rPr>
          <w:tab/>
        </w:r>
        <w:r w:rsidRPr="001D5327">
          <w:rPr>
            <w:webHidden/>
          </w:rPr>
          <w:fldChar w:fldCharType="begin"/>
        </w:r>
        <w:r w:rsidRPr="001D5327">
          <w:rPr>
            <w:webHidden/>
          </w:rPr>
          <w:instrText xml:space="preserve"> PAGEREF _Toc194241763 \h </w:instrText>
        </w:r>
        <w:r w:rsidRPr="001D5327">
          <w:rPr>
            <w:webHidden/>
          </w:rPr>
        </w:r>
        <w:r w:rsidRPr="001D5327">
          <w:rPr>
            <w:webHidden/>
          </w:rPr>
          <w:fldChar w:fldCharType="separate"/>
        </w:r>
        <w:r w:rsidR="00B93180">
          <w:rPr>
            <w:noProof/>
            <w:webHidden/>
          </w:rPr>
          <w:t>268</w:t>
        </w:r>
        <w:r w:rsidRPr="001D5327">
          <w:rPr>
            <w:webHidden/>
          </w:rPr>
          <w:fldChar w:fldCharType="end"/>
        </w:r>
      </w:hyperlink>
    </w:p>
    <w:p w14:paraId="487A37D5" w14:textId="7A569C87"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64" w:history="1">
        <w:r w:rsidRPr="001D5327">
          <w:rPr>
            <w:rStyle w:val="Hyperlink"/>
          </w:rPr>
          <w:t xml:space="preserve">Table 6.4.10 </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Recalculations of New Zealand’s estimates for the </w:t>
        </w:r>
        <w:r w:rsidRPr="001D5327">
          <w:rPr>
            <w:rStyle w:val="Hyperlink"/>
            <w:i/>
          </w:rPr>
          <w:t>Forest land</w:t>
        </w:r>
        <w:r w:rsidRPr="001D5327">
          <w:rPr>
            <w:rStyle w:val="Hyperlink"/>
          </w:rPr>
          <w:t xml:space="preserve"> category in 1990 and 2022</w:t>
        </w:r>
        <w:r w:rsidRPr="001D5327">
          <w:rPr>
            <w:webHidden/>
          </w:rPr>
          <w:tab/>
        </w:r>
        <w:r w:rsidRPr="001D5327">
          <w:rPr>
            <w:webHidden/>
          </w:rPr>
          <w:fldChar w:fldCharType="begin"/>
        </w:r>
        <w:r w:rsidRPr="001D5327">
          <w:rPr>
            <w:webHidden/>
          </w:rPr>
          <w:instrText xml:space="preserve"> PAGEREF _Toc194241764 \h </w:instrText>
        </w:r>
        <w:r w:rsidRPr="001D5327">
          <w:rPr>
            <w:webHidden/>
          </w:rPr>
        </w:r>
        <w:r w:rsidRPr="001D5327">
          <w:rPr>
            <w:webHidden/>
          </w:rPr>
          <w:fldChar w:fldCharType="separate"/>
        </w:r>
        <w:r w:rsidR="00B93180">
          <w:rPr>
            <w:noProof/>
            <w:webHidden/>
          </w:rPr>
          <w:t>268</w:t>
        </w:r>
        <w:r w:rsidRPr="001D5327">
          <w:rPr>
            <w:webHidden/>
          </w:rPr>
          <w:fldChar w:fldCharType="end"/>
        </w:r>
      </w:hyperlink>
    </w:p>
    <w:p w14:paraId="13BCC072" w14:textId="45934A9A"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65" w:history="1">
        <w:r w:rsidRPr="001D5327">
          <w:rPr>
            <w:rStyle w:val="Hyperlink"/>
          </w:rPr>
          <w:t>Table 6.5.1</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New Zealand’s land-use change by </w:t>
        </w:r>
        <w:r w:rsidRPr="001D5327">
          <w:rPr>
            <w:rStyle w:val="Hyperlink"/>
            <w:i/>
          </w:rPr>
          <w:t>Cropland</w:t>
        </w:r>
        <w:r w:rsidRPr="001D5327">
          <w:rPr>
            <w:rStyle w:val="Hyperlink"/>
          </w:rPr>
          <w:t xml:space="preserve"> category, and associated CO</w:t>
        </w:r>
        <w:r w:rsidRPr="001D5327">
          <w:rPr>
            <w:rStyle w:val="Hyperlink"/>
            <w:vertAlign w:val="subscript"/>
          </w:rPr>
          <w:t>2</w:t>
        </w:r>
        <w:r w:rsidRPr="001D5327">
          <w:rPr>
            <w:rStyle w:val="Hyperlink"/>
            <w:spacing w:val="-2"/>
          </w:rPr>
          <w:t>-</w:t>
        </w:r>
        <w:r w:rsidRPr="001D5327">
          <w:rPr>
            <w:rStyle w:val="Hyperlink"/>
          </w:rPr>
          <w:t>e emissions, 1990 and 2023</w:t>
        </w:r>
        <w:r w:rsidRPr="001D5327">
          <w:rPr>
            <w:webHidden/>
          </w:rPr>
          <w:tab/>
        </w:r>
        <w:r w:rsidRPr="001D5327">
          <w:rPr>
            <w:webHidden/>
          </w:rPr>
          <w:fldChar w:fldCharType="begin"/>
        </w:r>
        <w:r w:rsidRPr="001D5327">
          <w:rPr>
            <w:webHidden/>
          </w:rPr>
          <w:instrText xml:space="preserve"> PAGEREF _Toc194241765 \h </w:instrText>
        </w:r>
        <w:r w:rsidRPr="001D5327">
          <w:rPr>
            <w:webHidden/>
          </w:rPr>
        </w:r>
        <w:r w:rsidRPr="001D5327">
          <w:rPr>
            <w:webHidden/>
          </w:rPr>
          <w:fldChar w:fldCharType="separate"/>
        </w:r>
        <w:r w:rsidR="00B93180">
          <w:rPr>
            <w:noProof/>
            <w:webHidden/>
          </w:rPr>
          <w:t>271</w:t>
        </w:r>
        <w:r w:rsidRPr="001D5327">
          <w:rPr>
            <w:webHidden/>
          </w:rPr>
          <w:fldChar w:fldCharType="end"/>
        </w:r>
      </w:hyperlink>
    </w:p>
    <w:p w14:paraId="4B2F95A1" w14:textId="6203344D"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66" w:history="1">
        <w:r w:rsidRPr="001D5327">
          <w:rPr>
            <w:rStyle w:val="Hyperlink"/>
          </w:rPr>
          <w:t>Table 6.5.2</w:t>
        </w:r>
        <w:r w:rsidRPr="001D5327">
          <w:rPr>
            <w:rFonts w:asciiTheme="minorHAnsi" w:eastAsiaTheme="minorEastAsia" w:hAnsiTheme="minorHAnsi" w:cstheme="minorBidi"/>
            <w:kern w:val="2"/>
            <w:sz w:val="24"/>
            <w:szCs w:val="24"/>
            <w14:ligatures w14:val="standardContextual"/>
          </w:rPr>
          <w:tab/>
        </w:r>
        <w:r w:rsidRPr="001D5327">
          <w:rPr>
            <w:rStyle w:val="Hyperlink"/>
          </w:rPr>
          <w:t>New Zealand’s carbon stock change by carbon pool for the</w:t>
        </w:r>
        <w:r w:rsidRPr="001D5327">
          <w:rPr>
            <w:rStyle w:val="Hyperlink"/>
            <w:rFonts w:cs="Arial Bold"/>
          </w:rPr>
          <w:t xml:space="preserve"> </w:t>
        </w:r>
        <w:r w:rsidRPr="001D5327">
          <w:rPr>
            <w:rStyle w:val="Hyperlink"/>
            <w:rFonts w:cs="Arial Bold"/>
            <w:i/>
          </w:rPr>
          <w:t>Crop</w:t>
        </w:r>
        <w:r w:rsidRPr="001D5327">
          <w:rPr>
            <w:rStyle w:val="Hyperlink"/>
            <w:i/>
          </w:rPr>
          <w:t>land</w:t>
        </w:r>
        <w:r w:rsidRPr="001D5327">
          <w:rPr>
            <w:rStyle w:val="Hyperlink"/>
          </w:rPr>
          <w:t xml:space="preserve"> category, from 1990 to 2023</w:t>
        </w:r>
        <w:r w:rsidRPr="001D5327">
          <w:rPr>
            <w:webHidden/>
          </w:rPr>
          <w:tab/>
        </w:r>
        <w:r w:rsidRPr="001D5327">
          <w:rPr>
            <w:webHidden/>
          </w:rPr>
          <w:fldChar w:fldCharType="begin"/>
        </w:r>
        <w:r w:rsidRPr="001D5327">
          <w:rPr>
            <w:webHidden/>
          </w:rPr>
          <w:instrText xml:space="preserve"> PAGEREF _Toc194241766 \h </w:instrText>
        </w:r>
        <w:r w:rsidRPr="001D5327">
          <w:rPr>
            <w:webHidden/>
          </w:rPr>
        </w:r>
        <w:r w:rsidRPr="001D5327">
          <w:rPr>
            <w:webHidden/>
          </w:rPr>
          <w:fldChar w:fldCharType="separate"/>
        </w:r>
        <w:r w:rsidR="00B93180">
          <w:rPr>
            <w:noProof/>
            <w:webHidden/>
          </w:rPr>
          <w:t>271</w:t>
        </w:r>
        <w:r w:rsidRPr="001D5327">
          <w:rPr>
            <w:webHidden/>
          </w:rPr>
          <w:fldChar w:fldCharType="end"/>
        </w:r>
      </w:hyperlink>
    </w:p>
    <w:p w14:paraId="7B8C0E83" w14:textId="30CF9AA8"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67" w:history="1">
        <w:r w:rsidRPr="001D5327">
          <w:rPr>
            <w:rStyle w:val="Hyperlink"/>
          </w:rPr>
          <w:t>Table 6.5.3</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New Zealand’s land-use change by </w:t>
        </w:r>
        <w:r w:rsidRPr="001D5327">
          <w:rPr>
            <w:rStyle w:val="Hyperlink"/>
            <w:i/>
          </w:rPr>
          <w:t>Cropland</w:t>
        </w:r>
        <w:r w:rsidRPr="001D5327">
          <w:rPr>
            <w:rStyle w:val="Hyperlink"/>
          </w:rPr>
          <w:t xml:space="preserve"> land use, and associated CO</w:t>
        </w:r>
        <w:r w:rsidRPr="001D5327">
          <w:rPr>
            <w:rStyle w:val="Hyperlink"/>
            <w:vertAlign w:val="subscript"/>
          </w:rPr>
          <w:t>2</w:t>
        </w:r>
        <w:r w:rsidRPr="001D5327">
          <w:rPr>
            <w:rStyle w:val="Hyperlink"/>
          </w:rPr>
          <w:t xml:space="preserve"> emissions from carbon stock change, from 1990 to 2023</w:t>
        </w:r>
        <w:r w:rsidRPr="001D5327">
          <w:rPr>
            <w:webHidden/>
          </w:rPr>
          <w:tab/>
        </w:r>
        <w:r w:rsidRPr="001D5327">
          <w:rPr>
            <w:webHidden/>
          </w:rPr>
          <w:fldChar w:fldCharType="begin"/>
        </w:r>
        <w:r w:rsidRPr="001D5327">
          <w:rPr>
            <w:webHidden/>
          </w:rPr>
          <w:instrText xml:space="preserve"> PAGEREF _Toc194241767 \h </w:instrText>
        </w:r>
        <w:r w:rsidRPr="001D5327">
          <w:rPr>
            <w:webHidden/>
          </w:rPr>
        </w:r>
        <w:r w:rsidRPr="001D5327">
          <w:rPr>
            <w:webHidden/>
          </w:rPr>
          <w:fldChar w:fldCharType="separate"/>
        </w:r>
        <w:r w:rsidR="00B93180">
          <w:rPr>
            <w:noProof/>
            <w:webHidden/>
          </w:rPr>
          <w:t>272</w:t>
        </w:r>
        <w:r w:rsidRPr="001D5327">
          <w:rPr>
            <w:webHidden/>
          </w:rPr>
          <w:fldChar w:fldCharType="end"/>
        </w:r>
      </w:hyperlink>
    </w:p>
    <w:p w14:paraId="4715AD4D" w14:textId="18E807F5"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68" w:history="1">
        <w:r w:rsidRPr="001D5327">
          <w:rPr>
            <w:rStyle w:val="Hyperlink"/>
          </w:rPr>
          <w:t>Table 6.5.4</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New Zealand’s land-use change for the </w:t>
        </w:r>
        <w:r w:rsidRPr="001D5327">
          <w:rPr>
            <w:rStyle w:val="Hyperlink"/>
            <w:i/>
          </w:rPr>
          <w:t>Cropland</w:t>
        </w:r>
        <w:r w:rsidRPr="001D5327">
          <w:rPr>
            <w:rStyle w:val="Hyperlink"/>
          </w:rPr>
          <w:t xml:space="preserve"> category, from 1990 to 2023</w:t>
        </w:r>
        <w:r w:rsidRPr="001D5327">
          <w:rPr>
            <w:webHidden/>
          </w:rPr>
          <w:tab/>
        </w:r>
        <w:r w:rsidRPr="001D5327">
          <w:rPr>
            <w:webHidden/>
          </w:rPr>
          <w:fldChar w:fldCharType="begin"/>
        </w:r>
        <w:r w:rsidRPr="001D5327">
          <w:rPr>
            <w:webHidden/>
          </w:rPr>
          <w:instrText xml:space="preserve"> PAGEREF _Toc194241768 \h </w:instrText>
        </w:r>
        <w:r w:rsidRPr="001D5327">
          <w:rPr>
            <w:webHidden/>
          </w:rPr>
        </w:r>
        <w:r w:rsidRPr="001D5327">
          <w:rPr>
            <w:webHidden/>
          </w:rPr>
          <w:fldChar w:fldCharType="separate"/>
        </w:r>
        <w:r w:rsidR="00B93180">
          <w:rPr>
            <w:noProof/>
            <w:webHidden/>
          </w:rPr>
          <w:t>272</w:t>
        </w:r>
        <w:r w:rsidRPr="001D5327">
          <w:rPr>
            <w:webHidden/>
          </w:rPr>
          <w:fldChar w:fldCharType="end"/>
        </w:r>
      </w:hyperlink>
    </w:p>
    <w:p w14:paraId="25A64A9A" w14:textId="661EA1BE"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69" w:history="1">
        <w:r w:rsidRPr="001D5327">
          <w:rPr>
            <w:rStyle w:val="Hyperlink"/>
          </w:rPr>
          <w:t>Table 6.5.5</w:t>
        </w:r>
        <w:r w:rsidRPr="001D5327">
          <w:rPr>
            <w:rFonts w:asciiTheme="minorHAnsi" w:eastAsiaTheme="minorEastAsia" w:hAnsiTheme="minorHAnsi" w:cstheme="minorBidi"/>
            <w:kern w:val="2"/>
            <w:sz w:val="24"/>
            <w:szCs w:val="24"/>
            <w14:ligatures w14:val="standardContextual"/>
          </w:rPr>
          <w:tab/>
        </w:r>
        <w:r w:rsidRPr="001D5327">
          <w:rPr>
            <w:rStyle w:val="Hyperlink"/>
          </w:rPr>
          <w:t>Summary of New Zealand’s carbon stock change emission factors for the </w:t>
        </w:r>
        <w:r w:rsidRPr="001D5327">
          <w:rPr>
            <w:rStyle w:val="Hyperlink"/>
            <w:i/>
          </w:rPr>
          <w:t>Cropland</w:t>
        </w:r>
        <w:r w:rsidRPr="001D5327">
          <w:rPr>
            <w:rStyle w:val="Hyperlink"/>
          </w:rPr>
          <w:t xml:space="preserve"> category</w:t>
        </w:r>
        <w:r w:rsidRPr="001D5327">
          <w:rPr>
            <w:webHidden/>
          </w:rPr>
          <w:tab/>
        </w:r>
        <w:r w:rsidRPr="001D5327">
          <w:rPr>
            <w:webHidden/>
          </w:rPr>
          <w:fldChar w:fldCharType="begin"/>
        </w:r>
        <w:r w:rsidRPr="001D5327">
          <w:rPr>
            <w:webHidden/>
          </w:rPr>
          <w:instrText xml:space="preserve"> PAGEREF _Toc194241769 \h </w:instrText>
        </w:r>
        <w:r w:rsidRPr="001D5327">
          <w:rPr>
            <w:webHidden/>
          </w:rPr>
        </w:r>
        <w:r w:rsidRPr="001D5327">
          <w:rPr>
            <w:webHidden/>
          </w:rPr>
          <w:fldChar w:fldCharType="separate"/>
        </w:r>
        <w:r w:rsidR="00B93180">
          <w:rPr>
            <w:noProof/>
            <w:webHidden/>
          </w:rPr>
          <w:t>273</w:t>
        </w:r>
        <w:r w:rsidRPr="001D5327">
          <w:rPr>
            <w:webHidden/>
          </w:rPr>
          <w:fldChar w:fldCharType="end"/>
        </w:r>
      </w:hyperlink>
    </w:p>
    <w:p w14:paraId="7788B16F" w14:textId="070F2E66"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70" w:history="1">
        <w:r w:rsidRPr="001D5327">
          <w:rPr>
            <w:rStyle w:val="Hyperlink"/>
          </w:rPr>
          <w:t>Table 6.5.6</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Uncertainty in net carbon stock change emissions in 2023 for </w:t>
        </w:r>
        <w:r w:rsidRPr="001D5327">
          <w:rPr>
            <w:rStyle w:val="Hyperlink"/>
            <w:bCs/>
          </w:rPr>
          <w:t xml:space="preserve">the </w:t>
        </w:r>
        <w:r w:rsidRPr="001D5327">
          <w:rPr>
            <w:rStyle w:val="Hyperlink"/>
            <w:i/>
          </w:rPr>
          <w:t>Cropland</w:t>
        </w:r>
        <w:r w:rsidRPr="001D5327">
          <w:rPr>
            <w:rStyle w:val="Hyperlink"/>
          </w:rPr>
          <w:t xml:space="preserve"> </w:t>
        </w:r>
        <w:r w:rsidRPr="001D5327">
          <w:rPr>
            <w:rStyle w:val="Hyperlink"/>
            <w:bCs/>
            <w:iCs/>
          </w:rPr>
          <w:t>category</w:t>
        </w:r>
        <w:r w:rsidRPr="001D5327">
          <w:rPr>
            <w:webHidden/>
          </w:rPr>
          <w:tab/>
        </w:r>
        <w:r w:rsidRPr="001D5327">
          <w:rPr>
            <w:webHidden/>
          </w:rPr>
          <w:fldChar w:fldCharType="begin"/>
        </w:r>
        <w:r w:rsidRPr="001D5327">
          <w:rPr>
            <w:webHidden/>
          </w:rPr>
          <w:instrText xml:space="preserve"> PAGEREF _Toc194241770 \h </w:instrText>
        </w:r>
        <w:r w:rsidRPr="001D5327">
          <w:rPr>
            <w:webHidden/>
          </w:rPr>
        </w:r>
        <w:r w:rsidRPr="001D5327">
          <w:rPr>
            <w:webHidden/>
          </w:rPr>
          <w:fldChar w:fldCharType="separate"/>
        </w:r>
        <w:r w:rsidR="00B93180">
          <w:rPr>
            <w:noProof/>
            <w:webHidden/>
          </w:rPr>
          <w:t>275</w:t>
        </w:r>
        <w:r w:rsidRPr="001D5327">
          <w:rPr>
            <w:webHidden/>
          </w:rPr>
          <w:fldChar w:fldCharType="end"/>
        </w:r>
      </w:hyperlink>
    </w:p>
    <w:p w14:paraId="520BF811" w14:textId="2D0DC328"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71" w:history="1">
        <w:r w:rsidRPr="001D5327">
          <w:rPr>
            <w:rStyle w:val="Hyperlink"/>
          </w:rPr>
          <w:t>Table 6.5.7</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Recalculations of New Zealand’s net emissions from the </w:t>
        </w:r>
        <w:r w:rsidRPr="001D5327">
          <w:rPr>
            <w:rStyle w:val="Hyperlink"/>
            <w:i/>
          </w:rPr>
          <w:t>Cropland</w:t>
        </w:r>
        <w:r w:rsidRPr="001D5327">
          <w:rPr>
            <w:rStyle w:val="Hyperlink"/>
          </w:rPr>
          <w:t xml:space="preserve"> category in 1990 and 2022</w:t>
        </w:r>
        <w:r w:rsidRPr="001D5327">
          <w:rPr>
            <w:webHidden/>
          </w:rPr>
          <w:tab/>
        </w:r>
        <w:r w:rsidRPr="001D5327">
          <w:rPr>
            <w:webHidden/>
          </w:rPr>
          <w:fldChar w:fldCharType="begin"/>
        </w:r>
        <w:r w:rsidRPr="001D5327">
          <w:rPr>
            <w:webHidden/>
          </w:rPr>
          <w:instrText xml:space="preserve"> PAGEREF _Toc194241771 \h </w:instrText>
        </w:r>
        <w:r w:rsidRPr="001D5327">
          <w:rPr>
            <w:webHidden/>
          </w:rPr>
        </w:r>
        <w:r w:rsidRPr="001D5327">
          <w:rPr>
            <w:webHidden/>
          </w:rPr>
          <w:fldChar w:fldCharType="separate"/>
        </w:r>
        <w:r w:rsidR="00B93180">
          <w:rPr>
            <w:noProof/>
            <w:webHidden/>
          </w:rPr>
          <w:t>276</w:t>
        </w:r>
        <w:r w:rsidRPr="001D5327">
          <w:rPr>
            <w:webHidden/>
          </w:rPr>
          <w:fldChar w:fldCharType="end"/>
        </w:r>
      </w:hyperlink>
    </w:p>
    <w:p w14:paraId="3038910C" w14:textId="43021E9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72" w:history="1">
        <w:r w:rsidRPr="001D5327">
          <w:rPr>
            <w:rStyle w:val="Hyperlink"/>
          </w:rPr>
          <w:t>Table 6.6.1</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New Zealand’s land-use change for the </w:t>
        </w:r>
        <w:r w:rsidRPr="001D5327">
          <w:rPr>
            <w:rStyle w:val="Hyperlink"/>
            <w:i/>
          </w:rPr>
          <w:t>Grassland</w:t>
        </w:r>
        <w:r w:rsidRPr="001D5327">
          <w:rPr>
            <w:rStyle w:val="Hyperlink"/>
          </w:rPr>
          <w:t xml:space="preserve"> category, and associated CO</w:t>
        </w:r>
        <w:r w:rsidRPr="001D5327">
          <w:rPr>
            <w:rStyle w:val="Hyperlink"/>
            <w:vertAlign w:val="subscript"/>
          </w:rPr>
          <w:t>2</w:t>
        </w:r>
        <w:r w:rsidRPr="001D5327">
          <w:rPr>
            <w:rStyle w:val="Hyperlink"/>
          </w:rPr>
          <w:t>-e emissions, from 1990 to 2023</w:t>
        </w:r>
        <w:r w:rsidRPr="001D5327">
          <w:rPr>
            <w:webHidden/>
          </w:rPr>
          <w:tab/>
        </w:r>
        <w:r w:rsidRPr="001D5327">
          <w:rPr>
            <w:webHidden/>
          </w:rPr>
          <w:fldChar w:fldCharType="begin"/>
        </w:r>
        <w:r w:rsidRPr="001D5327">
          <w:rPr>
            <w:webHidden/>
          </w:rPr>
          <w:instrText xml:space="preserve"> PAGEREF _Toc194241772 \h </w:instrText>
        </w:r>
        <w:r w:rsidRPr="001D5327">
          <w:rPr>
            <w:webHidden/>
          </w:rPr>
        </w:r>
        <w:r w:rsidRPr="001D5327">
          <w:rPr>
            <w:webHidden/>
          </w:rPr>
          <w:fldChar w:fldCharType="separate"/>
        </w:r>
        <w:r w:rsidR="00B93180">
          <w:rPr>
            <w:noProof/>
            <w:webHidden/>
          </w:rPr>
          <w:t>277</w:t>
        </w:r>
        <w:r w:rsidRPr="001D5327">
          <w:rPr>
            <w:webHidden/>
          </w:rPr>
          <w:fldChar w:fldCharType="end"/>
        </w:r>
      </w:hyperlink>
    </w:p>
    <w:p w14:paraId="05215048" w14:textId="548A2483"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73" w:history="1">
        <w:r w:rsidRPr="001D5327">
          <w:rPr>
            <w:rStyle w:val="Hyperlink"/>
          </w:rPr>
          <w:t>Table 6.6.2</w:t>
        </w:r>
        <w:r w:rsidRPr="001D5327">
          <w:rPr>
            <w:rFonts w:asciiTheme="minorHAnsi" w:eastAsiaTheme="minorEastAsia" w:hAnsiTheme="minorHAnsi" w:cstheme="minorBidi"/>
            <w:kern w:val="2"/>
            <w:sz w:val="24"/>
            <w:szCs w:val="24"/>
            <w14:ligatures w14:val="standardContextual"/>
          </w:rPr>
          <w:tab/>
        </w:r>
        <w:r w:rsidRPr="001D5327">
          <w:rPr>
            <w:rStyle w:val="Hyperlink"/>
            <w:i/>
            <w:iCs/>
          </w:rPr>
          <w:t>Grassland with woody biomass</w:t>
        </w:r>
        <w:r w:rsidRPr="001D5327">
          <w:rPr>
            <w:rStyle w:val="Hyperlink"/>
          </w:rPr>
          <w:t xml:space="preserve"> categories and description</w:t>
        </w:r>
        <w:r w:rsidRPr="001D5327">
          <w:rPr>
            <w:webHidden/>
          </w:rPr>
          <w:tab/>
        </w:r>
        <w:r w:rsidRPr="001D5327">
          <w:rPr>
            <w:webHidden/>
          </w:rPr>
          <w:fldChar w:fldCharType="begin"/>
        </w:r>
        <w:r w:rsidRPr="001D5327">
          <w:rPr>
            <w:webHidden/>
          </w:rPr>
          <w:instrText xml:space="preserve"> PAGEREF _Toc194241773 \h </w:instrText>
        </w:r>
        <w:r w:rsidRPr="001D5327">
          <w:rPr>
            <w:webHidden/>
          </w:rPr>
        </w:r>
        <w:r w:rsidRPr="001D5327">
          <w:rPr>
            <w:webHidden/>
          </w:rPr>
          <w:fldChar w:fldCharType="separate"/>
        </w:r>
        <w:r w:rsidR="00B93180">
          <w:rPr>
            <w:noProof/>
            <w:webHidden/>
          </w:rPr>
          <w:t>278</w:t>
        </w:r>
        <w:r w:rsidRPr="001D5327">
          <w:rPr>
            <w:webHidden/>
          </w:rPr>
          <w:fldChar w:fldCharType="end"/>
        </w:r>
      </w:hyperlink>
    </w:p>
    <w:p w14:paraId="6A11823E" w14:textId="000B4E16"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74" w:history="1">
        <w:r w:rsidRPr="001D5327">
          <w:rPr>
            <w:rStyle w:val="Hyperlink"/>
          </w:rPr>
          <w:t>Table 6.6.3</w:t>
        </w:r>
        <w:r w:rsidRPr="001D5327">
          <w:rPr>
            <w:rFonts w:asciiTheme="minorHAnsi" w:eastAsiaTheme="minorEastAsia" w:hAnsiTheme="minorHAnsi" w:cstheme="minorBidi"/>
            <w:kern w:val="2"/>
            <w:sz w:val="24"/>
            <w:szCs w:val="24"/>
            <w14:ligatures w14:val="standardContextual"/>
          </w:rPr>
          <w:tab/>
        </w:r>
        <w:r w:rsidRPr="001D5327">
          <w:rPr>
            <w:rStyle w:val="Hyperlink"/>
          </w:rPr>
          <w:t>New Zealand’s carbon stock change by carbon pool for the</w:t>
        </w:r>
        <w:r w:rsidRPr="001D5327">
          <w:rPr>
            <w:rStyle w:val="Hyperlink"/>
            <w:rFonts w:cs="Arial Bold"/>
          </w:rPr>
          <w:t xml:space="preserve"> </w:t>
        </w:r>
        <w:r w:rsidRPr="001D5327">
          <w:rPr>
            <w:rStyle w:val="Hyperlink"/>
            <w:rFonts w:cs="Arial Bold"/>
            <w:i/>
          </w:rPr>
          <w:t>Grassland</w:t>
        </w:r>
        <w:r w:rsidRPr="001D5327">
          <w:rPr>
            <w:rStyle w:val="Hyperlink"/>
          </w:rPr>
          <w:t xml:space="preserve"> category, from 1990 to 2023</w:t>
        </w:r>
        <w:r w:rsidRPr="001D5327">
          <w:rPr>
            <w:webHidden/>
          </w:rPr>
          <w:tab/>
        </w:r>
        <w:r w:rsidRPr="001D5327">
          <w:rPr>
            <w:webHidden/>
          </w:rPr>
          <w:fldChar w:fldCharType="begin"/>
        </w:r>
        <w:r w:rsidRPr="001D5327">
          <w:rPr>
            <w:webHidden/>
          </w:rPr>
          <w:instrText xml:space="preserve"> PAGEREF _Toc194241774 \h </w:instrText>
        </w:r>
        <w:r w:rsidRPr="001D5327">
          <w:rPr>
            <w:webHidden/>
          </w:rPr>
        </w:r>
        <w:r w:rsidRPr="001D5327">
          <w:rPr>
            <w:webHidden/>
          </w:rPr>
          <w:fldChar w:fldCharType="separate"/>
        </w:r>
        <w:r w:rsidR="00B93180">
          <w:rPr>
            <w:noProof/>
            <w:webHidden/>
          </w:rPr>
          <w:t>278</w:t>
        </w:r>
        <w:r w:rsidRPr="001D5327">
          <w:rPr>
            <w:webHidden/>
          </w:rPr>
          <w:fldChar w:fldCharType="end"/>
        </w:r>
      </w:hyperlink>
    </w:p>
    <w:p w14:paraId="3CBE652E" w14:textId="642A63A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75" w:history="1">
        <w:r w:rsidRPr="001D5327">
          <w:rPr>
            <w:rStyle w:val="Hyperlink"/>
          </w:rPr>
          <w:t>Table 6.6.4</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Summary of New Zealand’s biomass emission factors for </w:t>
        </w:r>
        <w:r w:rsidRPr="001D5327">
          <w:rPr>
            <w:rStyle w:val="Hyperlink"/>
            <w:i/>
          </w:rPr>
          <w:t>Grassland</w:t>
        </w:r>
        <w:r w:rsidRPr="001D5327">
          <w:rPr>
            <w:webHidden/>
          </w:rPr>
          <w:tab/>
        </w:r>
        <w:r w:rsidRPr="001D5327">
          <w:rPr>
            <w:webHidden/>
          </w:rPr>
          <w:fldChar w:fldCharType="begin"/>
        </w:r>
        <w:r w:rsidRPr="001D5327">
          <w:rPr>
            <w:webHidden/>
          </w:rPr>
          <w:instrText xml:space="preserve"> PAGEREF _Toc194241775 \h </w:instrText>
        </w:r>
        <w:r w:rsidRPr="001D5327">
          <w:rPr>
            <w:webHidden/>
          </w:rPr>
        </w:r>
        <w:r w:rsidRPr="001D5327">
          <w:rPr>
            <w:webHidden/>
          </w:rPr>
          <w:fldChar w:fldCharType="separate"/>
        </w:r>
        <w:r w:rsidR="00B93180">
          <w:rPr>
            <w:noProof/>
            <w:webHidden/>
          </w:rPr>
          <w:t>279</w:t>
        </w:r>
        <w:r w:rsidRPr="001D5327">
          <w:rPr>
            <w:webHidden/>
          </w:rPr>
          <w:fldChar w:fldCharType="end"/>
        </w:r>
      </w:hyperlink>
    </w:p>
    <w:p w14:paraId="6F3C7BB0" w14:textId="73148008"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76" w:history="1">
        <w:r w:rsidRPr="001D5327">
          <w:rPr>
            <w:rStyle w:val="Hyperlink"/>
          </w:rPr>
          <w:t>Table 6.6.5</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Uncertainty in carbon stock change emissions in 2023 for </w:t>
        </w:r>
        <w:r w:rsidRPr="001D5327">
          <w:rPr>
            <w:rStyle w:val="Hyperlink"/>
            <w:i/>
          </w:rPr>
          <w:t>Grassland</w:t>
        </w:r>
        <w:r w:rsidRPr="001D5327">
          <w:rPr>
            <w:webHidden/>
          </w:rPr>
          <w:tab/>
        </w:r>
        <w:r w:rsidRPr="001D5327">
          <w:rPr>
            <w:webHidden/>
          </w:rPr>
          <w:fldChar w:fldCharType="begin"/>
        </w:r>
        <w:r w:rsidRPr="001D5327">
          <w:rPr>
            <w:webHidden/>
          </w:rPr>
          <w:instrText xml:space="preserve"> PAGEREF _Toc194241776 \h </w:instrText>
        </w:r>
        <w:r w:rsidRPr="001D5327">
          <w:rPr>
            <w:webHidden/>
          </w:rPr>
        </w:r>
        <w:r w:rsidRPr="001D5327">
          <w:rPr>
            <w:webHidden/>
          </w:rPr>
          <w:fldChar w:fldCharType="separate"/>
        </w:r>
        <w:r w:rsidR="00B93180">
          <w:rPr>
            <w:noProof/>
            <w:webHidden/>
          </w:rPr>
          <w:t>281</w:t>
        </w:r>
        <w:r w:rsidRPr="001D5327">
          <w:rPr>
            <w:webHidden/>
          </w:rPr>
          <w:fldChar w:fldCharType="end"/>
        </w:r>
      </w:hyperlink>
    </w:p>
    <w:p w14:paraId="7E61F0F1" w14:textId="05D4A86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77" w:history="1">
        <w:r w:rsidRPr="001D5327">
          <w:rPr>
            <w:rStyle w:val="Hyperlink"/>
          </w:rPr>
          <w:t>Table 6.6.6</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Recalculations of New Zealand’s net emissions from the </w:t>
        </w:r>
        <w:r w:rsidRPr="001D5327">
          <w:rPr>
            <w:rStyle w:val="Hyperlink"/>
            <w:i/>
          </w:rPr>
          <w:t>Grassland</w:t>
        </w:r>
        <w:r w:rsidRPr="001D5327">
          <w:rPr>
            <w:rStyle w:val="Hyperlink"/>
          </w:rPr>
          <w:t xml:space="preserve"> category in 1990 and 2022</w:t>
        </w:r>
        <w:r w:rsidRPr="001D5327">
          <w:rPr>
            <w:webHidden/>
          </w:rPr>
          <w:tab/>
        </w:r>
        <w:r w:rsidRPr="001D5327">
          <w:rPr>
            <w:webHidden/>
          </w:rPr>
          <w:fldChar w:fldCharType="begin"/>
        </w:r>
        <w:r w:rsidRPr="001D5327">
          <w:rPr>
            <w:webHidden/>
          </w:rPr>
          <w:instrText xml:space="preserve"> PAGEREF _Toc194241777 \h </w:instrText>
        </w:r>
        <w:r w:rsidRPr="001D5327">
          <w:rPr>
            <w:webHidden/>
          </w:rPr>
        </w:r>
        <w:r w:rsidRPr="001D5327">
          <w:rPr>
            <w:webHidden/>
          </w:rPr>
          <w:fldChar w:fldCharType="separate"/>
        </w:r>
        <w:r w:rsidR="00B93180">
          <w:rPr>
            <w:noProof/>
            <w:webHidden/>
          </w:rPr>
          <w:t>282</w:t>
        </w:r>
        <w:r w:rsidRPr="001D5327">
          <w:rPr>
            <w:webHidden/>
          </w:rPr>
          <w:fldChar w:fldCharType="end"/>
        </w:r>
      </w:hyperlink>
    </w:p>
    <w:p w14:paraId="0E653DDF" w14:textId="170476AE"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78" w:history="1">
        <w:r w:rsidRPr="001D5327">
          <w:rPr>
            <w:rStyle w:val="Hyperlink"/>
          </w:rPr>
          <w:t>Table 6.7.1</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New Zealand’s land-use change for the </w:t>
        </w:r>
        <w:r w:rsidRPr="001D5327">
          <w:rPr>
            <w:rStyle w:val="Hyperlink"/>
            <w:i/>
          </w:rPr>
          <w:t>Wetlands</w:t>
        </w:r>
        <w:r w:rsidRPr="001D5327">
          <w:rPr>
            <w:rStyle w:val="Hyperlink"/>
          </w:rPr>
          <w:t xml:space="preserve"> category, and associated CO</w:t>
        </w:r>
        <w:r w:rsidRPr="001D5327">
          <w:rPr>
            <w:rStyle w:val="Hyperlink"/>
            <w:vertAlign w:val="subscript"/>
          </w:rPr>
          <w:t>2</w:t>
        </w:r>
        <w:r w:rsidRPr="001D5327">
          <w:rPr>
            <w:rStyle w:val="Hyperlink"/>
          </w:rPr>
          <w:noBreakHyphen/>
          <w:t>e emissions, in 1990 and 2023</w:t>
        </w:r>
        <w:r w:rsidRPr="001D5327">
          <w:rPr>
            <w:webHidden/>
          </w:rPr>
          <w:tab/>
        </w:r>
        <w:r w:rsidRPr="001D5327">
          <w:rPr>
            <w:webHidden/>
          </w:rPr>
          <w:fldChar w:fldCharType="begin"/>
        </w:r>
        <w:r w:rsidRPr="001D5327">
          <w:rPr>
            <w:webHidden/>
          </w:rPr>
          <w:instrText xml:space="preserve"> PAGEREF _Toc194241778 \h </w:instrText>
        </w:r>
        <w:r w:rsidRPr="001D5327">
          <w:rPr>
            <w:webHidden/>
          </w:rPr>
        </w:r>
        <w:r w:rsidRPr="001D5327">
          <w:rPr>
            <w:webHidden/>
          </w:rPr>
          <w:fldChar w:fldCharType="separate"/>
        </w:r>
        <w:r w:rsidR="00B93180">
          <w:rPr>
            <w:noProof/>
            <w:webHidden/>
          </w:rPr>
          <w:t>282</w:t>
        </w:r>
        <w:r w:rsidRPr="001D5327">
          <w:rPr>
            <w:webHidden/>
          </w:rPr>
          <w:fldChar w:fldCharType="end"/>
        </w:r>
      </w:hyperlink>
    </w:p>
    <w:p w14:paraId="5D035247" w14:textId="23EBE6D5"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79" w:history="1">
        <w:r w:rsidRPr="001D5327">
          <w:rPr>
            <w:rStyle w:val="Hyperlink"/>
          </w:rPr>
          <w:t>Table 6.7.2</w:t>
        </w:r>
        <w:r w:rsidRPr="001D5327">
          <w:rPr>
            <w:rFonts w:asciiTheme="minorHAnsi" w:eastAsiaTheme="minorEastAsia" w:hAnsiTheme="minorHAnsi" w:cstheme="minorBidi"/>
            <w:kern w:val="2"/>
            <w:sz w:val="24"/>
            <w:szCs w:val="24"/>
            <w14:ligatures w14:val="standardContextual"/>
          </w:rPr>
          <w:tab/>
        </w:r>
        <w:r w:rsidRPr="001D5327">
          <w:rPr>
            <w:rStyle w:val="Hyperlink"/>
            <w:spacing w:val="-2"/>
          </w:rPr>
          <w:t xml:space="preserve">New Zealand’s carbon stock change by carbon pool for the </w:t>
        </w:r>
        <w:r w:rsidRPr="001D5327">
          <w:rPr>
            <w:rStyle w:val="Hyperlink"/>
            <w:i/>
            <w:spacing w:val="-2"/>
          </w:rPr>
          <w:t>Wetlands</w:t>
        </w:r>
        <w:r w:rsidRPr="001D5327">
          <w:rPr>
            <w:rStyle w:val="Hyperlink"/>
            <w:spacing w:val="-2"/>
          </w:rPr>
          <w:t xml:space="preserve"> category, from 1990 to 2023</w:t>
        </w:r>
        <w:r w:rsidRPr="001D5327">
          <w:rPr>
            <w:webHidden/>
          </w:rPr>
          <w:tab/>
        </w:r>
        <w:r w:rsidRPr="001D5327">
          <w:rPr>
            <w:webHidden/>
          </w:rPr>
          <w:fldChar w:fldCharType="begin"/>
        </w:r>
        <w:r w:rsidRPr="001D5327">
          <w:rPr>
            <w:webHidden/>
          </w:rPr>
          <w:instrText xml:space="preserve"> PAGEREF _Toc194241779 \h </w:instrText>
        </w:r>
        <w:r w:rsidRPr="001D5327">
          <w:rPr>
            <w:webHidden/>
          </w:rPr>
        </w:r>
        <w:r w:rsidRPr="001D5327">
          <w:rPr>
            <w:webHidden/>
          </w:rPr>
          <w:fldChar w:fldCharType="separate"/>
        </w:r>
        <w:r w:rsidR="00B93180">
          <w:rPr>
            <w:noProof/>
            <w:webHidden/>
          </w:rPr>
          <w:t>283</w:t>
        </w:r>
        <w:r w:rsidRPr="001D5327">
          <w:rPr>
            <w:webHidden/>
          </w:rPr>
          <w:fldChar w:fldCharType="end"/>
        </w:r>
      </w:hyperlink>
    </w:p>
    <w:p w14:paraId="63784575" w14:textId="1349834D"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80" w:history="1">
        <w:r w:rsidRPr="001D5327">
          <w:rPr>
            <w:rStyle w:val="Hyperlink"/>
          </w:rPr>
          <w:t>Table 6.7.3</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Summary of New Zealand’s biomass emission factors for </w:t>
        </w:r>
        <w:r w:rsidRPr="001D5327">
          <w:rPr>
            <w:rStyle w:val="Hyperlink"/>
            <w:i/>
          </w:rPr>
          <w:t>Wetlands</w:t>
        </w:r>
        <w:r w:rsidRPr="001D5327">
          <w:rPr>
            <w:webHidden/>
          </w:rPr>
          <w:tab/>
        </w:r>
        <w:r w:rsidRPr="001D5327">
          <w:rPr>
            <w:webHidden/>
          </w:rPr>
          <w:fldChar w:fldCharType="begin"/>
        </w:r>
        <w:r w:rsidRPr="001D5327">
          <w:rPr>
            <w:webHidden/>
          </w:rPr>
          <w:instrText xml:space="preserve"> PAGEREF _Toc194241780 \h </w:instrText>
        </w:r>
        <w:r w:rsidRPr="001D5327">
          <w:rPr>
            <w:webHidden/>
          </w:rPr>
        </w:r>
        <w:r w:rsidRPr="001D5327">
          <w:rPr>
            <w:webHidden/>
          </w:rPr>
          <w:fldChar w:fldCharType="separate"/>
        </w:r>
        <w:r w:rsidR="00B93180">
          <w:rPr>
            <w:noProof/>
            <w:webHidden/>
          </w:rPr>
          <w:t>285</w:t>
        </w:r>
        <w:r w:rsidRPr="001D5327">
          <w:rPr>
            <w:webHidden/>
          </w:rPr>
          <w:fldChar w:fldCharType="end"/>
        </w:r>
      </w:hyperlink>
    </w:p>
    <w:p w14:paraId="180D8747" w14:textId="322CDFAD"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81" w:history="1">
        <w:r w:rsidRPr="001D5327">
          <w:rPr>
            <w:rStyle w:val="Hyperlink"/>
          </w:rPr>
          <w:t>Table 6.7.4</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Uncertainty in carbon stock change emissions in 2023 for </w:t>
        </w:r>
        <w:r w:rsidRPr="001D5327">
          <w:rPr>
            <w:rStyle w:val="Hyperlink"/>
            <w:i/>
          </w:rPr>
          <w:t>Wetlands</w:t>
        </w:r>
        <w:r w:rsidRPr="001D5327">
          <w:rPr>
            <w:webHidden/>
          </w:rPr>
          <w:tab/>
        </w:r>
        <w:r w:rsidRPr="001D5327">
          <w:rPr>
            <w:webHidden/>
          </w:rPr>
          <w:fldChar w:fldCharType="begin"/>
        </w:r>
        <w:r w:rsidRPr="001D5327">
          <w:rPr>
            <w:webHidden/>
          </w:rPr>
          <w:instrText xml:space="preserve"> PAGEREF _Toc194241781 \h </w:instrText>
        </w:r>
        <w:r w:rsidRPr="001D5327">
          <w:rPr>
            <w:webHidden/>
          </w:rPr>
        </w:r>
        <w:r w:rsidRPr="001D5327">
          <w:rPr>
            <w:webHidden/>
          </w:rPr>
          <w:fldChar w:fldCharType="separate"/>
        </w:r>
        <w:r w:rsidR="00B93180">
          <w:rPr>
            <w:noProof/>
            <w:webHidden/>
          </w:rPr>
          <w:t>286</w:t>
        </w:r>
        <w:r w:rsidRPr="001D5327">
          <w:rPr>
            <w:webHidden/>
          </w:rPr>
          <w:fldChar w:fldCharType="end"/>
        </w:r>
      </w:hyperlink>
    </w:p>
    <w:p w14:paraId="5A0B663D" w14:textId="1F5FC38B"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82" w:history="1">
        <w:r w:rsidRPr="001D5327">
          <w:rPr>
            <w:rStyle w:val="Hyperlink"/>
          </w:rPr>
          <w:t>Table 6.7.5</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Recalculations for New Zealand’s net emissions from the </w:t>
        </w:r>
        <w:r w:rsidRPr="001D5327">
          <w:rPr>
            <w:rStyle w:val="Hyperlink"/>
            <w:i/>
          </w:rPr>
          <w:t>Wetlands</w:t>
        </w:r>
        <w:r w:rsidRPr="001D5327">
          <w:rPr>
            <w:rStyle w:val="Hyperlink"/>
          </w:rPr>
          <w:t xml:space="preserve"> category in 1990 and 2022</w:t>
        </w:r>
        <w:r w:rsidRPr="001D5327">
          <w:rPr>
            <w:webHidden/>
          </w:rPr>
          <w:tab/>
        </w:r>
        <w:r w:rsidRPr="001D5327">
          <w:rPr>
            <w:webHidden/>
          </w:rPr>
          <w:fldChar w:fldCharType="begin"/>
        </w:r>
        <w:r w:rsidRPr="001D5327">
          <w:rPr>
            <w:webHidden/>
          </w:rPr>
          <w:instrText xml:space="preserve"> PAGEREF _Toc194241782 \h </w:instrText>
        </w:r>
        <w:r w:rsidRPr="001D5327">
          <w:rPr>
            <w:webHidden/>
          </w:rPr>
        </w:r>
        <w:r w:rsidRPr="001D5327">
          <w:rPr>
            <w:webHidden/>
          </w:rPr>
          <w:fldChar w:fldCharType="separate"/>
        </w:r>
        <w:r w:rsidR="00B93180">
          <w:rPr>
            <w:noProof/>
            <w:webHidden/>
          </w:rPr>
          <w:t>286</w:t>
        </w:r>
        <w:r w:rsidRPr="001D5327">
          <w:rPr>
            <w:webHidden/>
          </w:rPr>
          <w:fldChar w:fldCharType="end"/>
        </w:r>
      </w:hyperlink>
    </w:p>
    <w:p w14:paraId="025E1BE3" w14:textId="46CA1781"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83" w:history="1">
        <w:r w:rsidRPr="001D5327">
          <w:rPr>
            <w:rStyle w:val="Hyperlink"/>
          </w:rPr>
          <w:t>Table 6.8.1</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New Zealand’s land-use change for the </w:t>
        </w:r>
        <w:r w:rsidRPr="001D5327">
          <w:rPr>
            <w:rStyle w:val="Hyperlink"/>
            <w:i/>
          </w:rPr>
          <w:t>Settlements</w:t>
        </w:r>
        <w:r w:rsidRPr="001D5327">
          <w:rPr>
            <w:rStyle w:val="Hyperlink"/>
          </w:rPr>
          <w:t xml:space="preserve"> category, and associated CO</w:t>
        </w:r>
        <w:r w:rsidRPr="001D5327">
          <w:rPr>
            <w:rStyle w:val="Hyperlink"/>
            <w:vertAlign w:val="subscript"/>
          </w:rPr>
          <w:t>2</w:t>
        </w:r>
        <w:r w:rsidRPr="001D5327">
          <w:rPr>
            <w:rStyle w:val="Hyperlink"/>
          </w:rPr>
          <w:noBreakHyphen/>
          <w:t>e emissions, from 1990 to 2023</w:t>
        </w:r>
        <w:r w:rsidRPr="001D5327">
          <w:rPr>
            <w:webHidden/>
          </w:rPr>
          <w:tab/>
        </w:r>
        <w:r w:rsidRPr="001D5327">
          <w:rPr>
            <w:webHidden/>
          </w:rPr>
          <w:fldChar w:fldCharType="begin"/>
        </w:r>
        <w:r w:rsidRPr="001D5327">
          <w:rPr>
            <w:webHidden/>
          </w:rPr>
          <w:instrText xml:space="preserve"> PAGEREF _Toc194241783 \h </w:instrText>
        </w:r>
        <w:r w:rsidRPr="001D5327">
          <w:rPr>
            <w:webHidden/>
          </w:rPr>
        </w:r>
        <w:r w:rsidRPr="001D5327">
          <w:rPr>
            <w:webHidden/>
          </w:rPr>
          <w:fldChar w:fldCharType="separate"/>
        </w:r>
        <w:r w:rsidR="00B93180">
          <w:rPr>
            <w:noProof/>
            <w:webHidden/>
          </w:rPr>
          <w:t>287</w:t>
        </w:r>
        <w:r w:rsidRPr="001D5327">
          <w:rPr>
            <w:webHidden/>
          </w:rPr>
          <w:fldChar w:fldCharType="end"/>
        </w:r>
      </w:hyperlink>
    </w:p>
    <w:p w14:paraId="6F609241" w14:textId="2B036AB5"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84" w:history="1">
        <w:r w:rsidRPr="001D5327">
          <w:rPr>
            <w:rStyle w:val="Hyperlink"/>
          </w:rPr>
          <w:t>Table 6.8.2</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New Zealand’s carbon stock change by carbon pool for the </w:t>
        </w:r>
        <w:r w:rsidRPr="001D5327">
          <w:rPr>
            <w:rStyle w:val="Hyperlink"/>
            <w:i/>
          </w:rPr>
          <w:t>Settlements</w:t>
        </w:r>
        <w:r w:rsidRPr="001D5327">
          <w:rPr>
            <w:rStyle w:val="Hyperlink"/>
          </w:rPr>
          <w:t xml:space="preserve"> category, from 1990 to 2023</w:t>
        </w:r>
        <w:r w:rsidRPr="001D5327">
          <w:rPr>
            <w:webHidden/>
          </w:rPr>
          <w:tab/>
        </w:r>
        <w:r w:rsidRPr="001D5327">
          <w:rPr>
            <w:webHidden/>
          </w:rPr>
          <w:fldChar w:fldCharType="begin"/>
        </w:r>
        <w:r w:rsidRPr="001D5327">
          <w:rPr>
            <w:webHidden/>
          </w:rPr>
          <w:instrText xml:space="preserve"> PAGEREF _Toc194241784 \h </w:instrText>
        </w:r>
        <w:r w:rsidRPr="001D5327">
          <w:rPr>
            <w:webHidden/>
          </w:rPr>
        </w:r>
        <w:r w:rsidRPr="001D5327">
          <w:rPr>
            <w:webHidden/>
          </w:rPr>
          <w:fldChar w:fldCharType="separate"/>
        </w:r>
        <w:r w:rsidR="00B93180">
          <w:rPr>
            <w:noProof/>
            <w:webHidden/>
          </w:rPr>
          <w:t>287</w:t>
        </w:r>
        <w:r w:rsidRPr="001D5327">
          <w:rPr>
            <w:webHidden/>
          </w:rPr>
          <w:fldChar w:fldCharType="end"/>
        </w:r>
      </w:hyperlink>
    </w:p>
    <w:p w14:paraId="66D7A9B2" w14:textId="437C025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85" w:history="1">
        <w:r w:rsidRPr="001D5327">
          <w:rPr>
            <w:rStyle w:val="Hyperlink"/>
          </w:rPr>
          <w:t>Table 6.8.3</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Recalculations for New Zealand’s net emissions from the </w:t>
        </w:r>
        <w:r w:rsidRPr="001D5327">
          <w:rPr>
            <w:rStyle w:val="Hyperlink"/>
            <w:i/>
          </w:rPr>
          <w:t>Settlements</w:t>
        </w:r>
        <w:r w:rsidRPr="001D5327">
          <w:rPr>
            <w:rStyle w:val="Hyperlink"/>
          </w:rPr>
          <w:t xml:space="preserve"> category in 1990 and 2022</w:t>
        </w:r>
        <w:r w:rsidRPr="001D5327">
          <w:rPr>
            <w:webHidden/>
          </w:rPr>
          <w:tab/>
        </w:r>
        <w:r w:rsidRPr="001D5327">
          <w:rPr>
            <w:webHidden/>
          </w:rPr>
          <w:fldChar w:fldCharType="begin"/>
        </w:r>
        <w:r w:rsidRPr="001D5327">
          <w:rPr>
            <w:webHidden/>
          </w:rPr>
          <w:instrText xml:space="preserve"> PAGEREF _Toc194241785 \h </w:instrText>
        </w:r>
        <w:r w:rsidRPr="001D5327">
          <w:rPr>
            <w:webHidden/>
          </w:rPr>
        </w:r>
        <w:r w:rsidRPr="001D5327">
          <w:rPr>
            <w:webHidden/>
          </w:rPr>
          <w:fldChar w:fldCharType="separate"/>
        </w:r>
        <w:r w:rsidR="00B93180">
          <w:rPr>
            <w:noProof/>
            <w:webHidden/>
          </w:rPr>
          <w:t>288</w:t>
        </w:r>
        <w:r w:rsidRPr="001D5327">
          <w:rPr>
            <w:webHidden/>
          </w:rPr>
          <w:fldChar w:fldCharType="end"/>
        </w:r>
      </w:hyperlink>
    </w:p>
    <w:p w14:paraId="7A95F996" w14:textId="5BEDC9EB"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86" w:history="1">
        <w:r w:rsidRPr="001D5327">
          <w:rPr>
            <w:rStyle w:val="Hyperlink"/>
          </w:rPr>
          <w:t>Table 6.9.1</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New Zealand’s land-use change for the land use category </w:t>
        </w:r>
        <w:r w:rsidRPr="001D5327">
          <w:rPr>
            <w:rStyle w:val="Hyperlink"/>
            <w:i/>
          </w:rPr>
          <w:t>Other land</w:t>
        </w:r>
        <w:r w:rsidRPr="001D5327">
          <w:rPr>
            <w:rStyle w:val="Hyperlink"/>
            <w:iCs/>
          </w:rPr>
          <w:t>,</w:t>
        </w:r>
        <w:r w:rsidRPr="001D5327">
          <w:rPr>
            <w:rStyle w:val="Hyperlink"/>
          </w:rPr>
          <w:t xml:space="preserve"> from 1990 to 2023</w:t>
        </w:r>
        <w:r w:rsidRPr="001D5327">
          <w:rPr>
            <w:webHidden/>
          </w:rPr>
          <w:tab/>
        </w:r>
        <w:r w:rsidRPr="001D5327">
          <w:rPr>
            <w:webHidden/>
          </w:rPr>
          <w:fldChar w:fldCharType="begin"/>
        </w:r>
        <w:r w:rsidRPr="001D5327">
          <w:rPr>
            <w:webHidden/>
          </w:rPr>
          <w:instrText xml:space="preserve"> PAGEREF _Toc194241786 \h </w:instrText>
        </w:r>
        <w:r w:rsidRPr="001D5327">
          <w:rPr>
            <w:webHidden/>
          </w:rPr>
        </w:r>
        <w:r w:rsidRPr="001D5327">
          <w:rPr>
            <w:webHidden/>
          </w:rPr>
          <w:fldChar w:fldCharType="separate"/>
        </w:r>
        <w:r w:rsidR="00B93180">
          <w:rPr>
            <w:noProof/>
            <w:webHidden/>
          </w:rPr>
          <w:t>289</w:t>
        </w:r>
        <w:r w:rsidRPr="001D5327">
          <w:rPr>
            <w:webHidden/>
          </w:rPr>
          <w:fldChar w:fldCharType="end"/>
        </w:r>
      </w:hyperlink>
    </w:p>
    <w:p w14:paraId="6694ED38" w14:textId="50E0DF03"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87" w:history="1">
        <w:r w:rsidRPr="001D5327">
          <w:rPr>
            <w:rStyle w:val="Hyperlink"/>
          </w:rPr>
          <w:t>Table 6.9.2</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Summary of New Zealand emission factors for the land use category </w:t>
        </w:r>
        <w:r w:rsidRPr="001D5327">
          <w:rPr>
            <w:rStyle w:val="Hyperlink"/>
            <w:i/>
          </w:rPr>
          <w:t>Other land</w:t>
        </w:r>
        <w:r w:rsidRPr="001D5327">
          <w:rPr>
            <w:webHidden/>
          </w:rPr>
          <w:tab/>
        </w:r>
        <w:r w:rsidRPr="001D5327">
          <w:rPr>
            <w:webHidden/>
          </w:rPr>
          <w:fldChar w:fldCharType="begin"/>
        </w:r>
        <w:r w:rsidRPr="001D5327">
          <w:rPr>
            <w:webHidden/>
          </w:rPr>
          <w:instrText xml:space="preserve"> PAGEREF _Toc194241787 \h </w:instrText>
        </w:r>
        <w:r w:rsidRPr="001D5327">
          <w:rPr>
            <w:webHidden/>
          </w:rPr>
        </w:r>
        <w:r w:rsidRPr="001D5327">
          <w:rPr>
            <w:webHidden/>
          </w:rPr>
          <w:fldChar w:fldCharType="separate"/>
        </w:r>
        <w:r w:rsidR="00B93180">
          <w:rPr>
            <w:noProof/>
            <w:webHidden/>
          </w:rPr>
          <w:t>290</w:t>
        </w:r>
        <w:r w:rsidRPr="001D5327">
          <w:rPr>
            <w:webHidden/>
          </w:rPr>
          <w:fldChar w:fldCharType="end"/>
        </w:r>
      </w:hyperlink>
    </w:p>
    <w:p w14:paraId="7A5D75C0" w14:textId="4F25E7A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88" w:history="1">
        <w:r w:rsidRPr="001D5327">
          <w:rPr>
            <w:rStyle w:val="Hyperlink"/>
          </w:rPr>
          <w:t>Table 6.9.3</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Recalculations for New Zealand’s net emissions from the </w:t>
        </w:r>
        <w:r w:rsidRPr="001D5327">
          <w:rPr>
            <w:rStyle w:val="Hyperlink"/>
            <w:i/>
          </w:rPr>
          <w:t>Other land</w:t>
        </w:r>
        <w:r w:rsidRPr="001D5327">
          <w:rPr>
            <w:rStyle w:val="Hyperlink"/>
          </w:rPr>
          <w:t xml:space="preserve"> category in 1990 and 2022</w:t>
        </w:r>
        <w:r w:rsidRPr="001D5327">
          <w:rPr>
            <w:webHidden/>
          </w:rPr>
          <w:tab/>
        </w:r>
        <w:r w:rsidRPr="001D5327">
          <w:rPr>
            <w:webHidden/>
          </w:rPr>
          <w:fldChar w:fldCharType="begin"/>
        </w:r>
        <w:r w:rsidRPr="001D5327">
          <w:rPr>
            <w:webHidden/>
          </w:rPr>
          <w:instrText xml:space="preserve"> PAGEREF _Toc194241788 \h </w:instrText>
        </w:r>
        <w:r w:rsidRPr="001D5327">
          <w:rPr>
            <w:webHidden/>
          </w:rPr>
        </w:r>
        <w:r w:rsidRPr="001D5327">
          <w:rPr>
            <w:webHidden/>
          </w:rPr>
          <w:fldChar w:fldCharType="separate"/>
        </w:r>
        <w:r w:rsidR="00B93180">
          <w:rPr>
            <w:noProof/>
            <w:webHidden/>
          </w:rPr>
          <w:t>291</w:t>
        </w:r>
        <w:r w:rsidRPr="001D5327">
          <w:rPr>
            <w:webHidden/>
          </w:rPr>
          <w:fldChar w:fldCharType="end"/>
        </w:r>
      </w:hyperlink>
    </w:p>
    <w:p w14:paraId="6E7B42FB" w14:textId="724CE70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89" w:history="1">
        <w:r w:rsidRPr="001D5327">
          <w:rPr>
            <w:rStyle w:val="Hyperlink"/>
          </w:rPr>
          <w:t>Table 6.10.1</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Conversion factors for </w:t>
        </w:r>
        <w:r w:rsidRPr="001D5327">
          <w:rPr>
            <w:rStyle w:val="Hyperlink"/>
            <w:i/>
          </w:rPr>
          <w:t>Harvested wood products</w:t>
        </w:r>
        <w:r w:rsidRPr="001D5327">
          <w:rPr>
            <w:rStyle w:val="Hyperlink"/>
          </w:rPr>
          <w:t xml:space="preserve"> produced from New Zealand wood in New Zealand</w:t>
        </w:r>
        <w:r w:rsidRPr="001D5327">
          <w:rPr>
            <w:webHidden/>
          </w:rPr>
          <w:tab/>
        </w:r>
        <w:r w:rsidRPr="001D5327">
          <w:rPr>
            <w:webHidden/>
          </w:rPr>
          <w:fldChar w:fldCharType="begin"/>
        </w:r>
        <w:r w:rsidRPr="001D5327">
          <w:rPr>
            <w:webHidden/>
          </w:rPr>
          <w:instrText xml:space="preserve"> PAGEREF _Toc194241789 \h </w:instrText>
        </w:r>
        <w:r w:rsidRPr="001D5327">
          <w:rPr>
            <w:webHidden/>
          </w:rPr>
        </w:r>
        <w:r w:rsidRPr="001D5327">
          <w:rPr>
            <w:webHidden/>
          </w:rPr>
          <w:fldChar w:fldCharType="separate"/>
        </w:r>
        <w:r w:rsidR="00B93180">
          <w:rPr>
            <w:noProof/>
            <w:webHidden/>
          </w:rPr>
          <w:t>294</w:t>
        </w:r>
        <w:r w:rsidRPr="001D5327">
          <w:rPr>
            <w:webHidden/>
          </w:rPr>
          <w:fldChar w:fldCharType="end"/>
        </w:r>
      </w:hyperlink>
    </w:p>
    <w:p w14:paraId="09C57752" w14:textId="4245A4BB"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90" w:history="1">
        <w:r w:rsidRPr="001D5327">
          <w:rPr>
            <w:rStyle w:val="Hyperlink"/>
          </w:rPr>
          <w:t>Table 6.10.2</w:t>
        </w:r>
        <w:r w:rsidRPr="001D5327">
          <w:rPr>
            <w:rFonts w:asciiTheme="minorHAnsi" w:eastAsiaTheme="minorEastAsia" w:hAnsiTheme="minorHAnsi" w:cstheme="minorBidi"/>
            <w:kern w:val="2"/>
            <w:sz w:val="24"/>
            <w:szCs w:val="24"/>
            <w14:ligatures w14:val="standardContextual"/>
          </w:rPr>
          <w:tab/>
        </w:r>
        <w:r w:rsidRPr="001D5327">
          <w:rPr>
            <w:rStyle w:val="Hyperlink"/>
          </w:rPr>
          <w:t>Weighted half-lives for harvested wood products produced in export markets</w:t>
        </w:r>
        <w:r w:rsidRPr="001D5327">
          <w:rPr>
            <w:webHidden/>
          </w:rPr>
          <w:tab/>
        </w:r>
        <w:r w:rsidRPr="001D5327">
          <w:rPr>
            <w:webHidden/>
          </w:rPr>
          <w:fldChar w:fldCharType="begin"/>
        </w:r>
        <w:r w:rsidRPr="001D5327">
          <w:rPr>
            <w:webHidden/>
          </w:rPr>
          <w:instrText xml:space="preserve"> PAGEREF _Toc194241790 \h </w:instrText>
        </w:r>
        <w:r w:rsidRPr="001D5327">
          <w:rPr>
            <w:webHidden/>
          </w:rPr>
        </w:r>
        <w:r w:rsidRPr="001D5327">
          <w:rPr>
            <w:webHidden/>
          </w:rPr>
          <w:fldChar w:fldCharType="separate"/>
        </w:r>
        <w:r w:rsidR="00B93180">
          <w:rPr>
            <w:noProof/>
            <w:webHidden/>
          </w:rPr>
          <w:t>295</w:t>
        </w:r>
        <w:r w:rsidRPr="001D5327">
          <w:rPr>
            <w:webHidden/>
          </w:rPr>
          <w:fldChar w:fldCharType="end"/>
        </w:r>
      </w:hyperlink>
    </w:p>
    <w:p w14:paraId="777F3A0F" w14:textId="58C565C4"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91" w:history="1">
        <w:r w:rsidRPr="001D5327">
          <w:rPr>
            <w:rStyle w:val="Hyperlink"/>
          </w:rPr>
          <w:t>Table 6.10.3</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Recalculations for New Zealand’s net emissions from the </w:t>
        </w:r>
        <w:r w:rsidRPr="001D5327">
          <w:rPr>
            <w:rStyle w:val="Hyperlink"/>
            <w:i/>
          </w:rPr>
          <w:t>Harvested wood products</w:t>
        </w:r>
        <w:r w:rsidRPr="001D5327">
          <w:rPr>
            <w:rStyle w:val="Hyperlink"/>
          </w:rPr>
          <w:t xml:space="preserve"> category in 1990 and 2022</w:t>
        </w:r>
        <w:r w:rsidRPr="001D5327">
          <w:rPr>
            <w:webHidden/>
          </w:rPr>
          <w:tab/>
        </w:r>
        <w:r w:rsidRPr="001D5327">
          <w:rPr>
            <w:webHidden/>
          </w:rPr>
          <w:fldChar w:fldCharType="begin"/>
        </w:r>
        <w:r w:rsidRPr="001D5327">
          <w:rPr>
            <w:webHidden/>
          </w:rPr>
          <w:instrText xml:space="preserve"> PAGEREF _Toc194241791 \h </w:instrText>
        </w:r>
        <w:r w:rsidRPr="001D5327">
          <w:rPr>
            <w:webHidden/>
          </w:rPr>
        </w:r>
        <w:r w:rsidRPr="001D5327">
          <w:rPr>
            <w:webHidden/>
          </w:rPr>
          <w:fldChar w:fldCharType="separate"/>
        </w:r>
        <w:r w:rsidR="00B93180">
          <w:rPr>
            <w:noProof/>
            <w:webHidden/>
          </w:rPr>
          <w:t>296</w:t>
        </w:r>
        <w:r w:rsidRPr="001D5327">
          <w:rPr>
            <w:webHidden/>
          </w:rPr>
          <w:fldChar w:fldCharType="end"/>
        </w:r>
      </w:hyperlink>
    </w:p>
    <w:p w14:paraId="66E35745" w14:textId="07265CA5"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92" w:history="1">
        <w:r w:rsidRPr="001D5327">
          <w:rPr>
            <w:rStyle w:val="Hyperlink"/>
          </w:rPr>
          <w:t>Table 6.11.1</w:t>
        </w:r>
        <w:r w:rsidRPr="001D5327">
          <w:rPr>
            <w:rFonts w:asciiTheme="minorHAnsi" w:eastAsiaTheme="minorEastAsia" w:hAnsiTheme="minorHAnsi" w:cstheme="minorBidi"/>
            <w:kern w:val="2"/>
            <w:sz w:val="24"/>
            <w:szCs w:val="24"/>
            <w14:ligatures w14:val="standardContextual"/>
          </w:rPr>
          <w:tab/>
        </w:r>
        <w:r w:rsidRPr="001D5327">
          <w:rPr>
            <w:rStyle w:val="Hyperlink"/>
          </w:rPr>
          <w:t>Nitrous oxide emissions from soils associated with land-use change reported in the LULUCF sector, from 1990 to 2023</w:t>
        </w:r>
        <w:r w:rsidRPr="001D5327">
          <w:rPr>
            <w:webHidden/>
          </w:rPr>
          <w:tab/>
        </w:r>
        <w:r w:rsidRPr="001D5327">
          <w:rPr>
            <w:webHidden/>
          </w:rPr>
          <w:fldChar w:fldCharType="begin"/>
        </w:r>
        <w:r w:rsidRPr="001D5327">
          <w:rPr>
            <w:webHidden/>
          </w:rPr>
          <w:instrText xml:space="preserve"> PAGEREF _Toc194241792 \h </w:instrText>
        </w:r>
        <w:r w:rsidRPr="001D5327">
          <w:rPr>
            <w:webHidden/>
          </w:rPr>
        </w:r>
        <w:r w:rsidRPr="001D5327">
          <w:rPr>
            <w:webHidden/>
          </w:rPr>
          <w:fldChar w:fldCharType="separate"/>
        </w:r>
        <w:r w:rsidR="00B93180">
          <w:rPr>
            <w:noProof/>
            <w:webHidden/>
          </w:rPr>
          <w:t>296</w:t>
        </w:r>
        <w:r w:rsidRPr="001D5327">
          <w:rPr>
            <w:webHidden/>
          </w:rPr>
          <w:fldChar w:fldCharType="end"/>
        </w:r>
      </w:hyperlink>
    </w:p>
    <w:p w14:paraId="3A97DBCA" w14:textId="1B913127"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93" w:history="1">
        <w:r w:rsidRPr="001D5327">
          <w:rPr>
            <w:rStyle w:val="Hyperlink"/>
          </w:rPr>
          <w:t>Table 6.11.2</w:t>
        </w:r>
        <w:r w:rsidRPr="001D5327">
          <w:rPr>
            <w:rFonts w:asciiTheme="minorHAnsi" w:eastAsiaTheme="minorEastAsia" w:hAnsiTheme="minorHAnsi" w:cstheme="minorBidi"/>
            <w:kern w:val="2"/>
            <w:sz w:val="24"/>
            <w:szCs w:val="24"/>
            <w14:ligatures w14:val="standardContextual"/>
          </w:rPr>
          <w:tab/>
        </w:r>
        <w:r w:rsidRPr="001D5327">
          <w:rPr>
            <w:rStyle w:val="Hyperlink"/>
          </w:rPr>
          <w:t>Net N</w:t>
        </w:r>
        <w:r w:rsidRPr="001D5327">
          <w:rPr>
            <w:rStyle w:val="Hyperlink"/>
            <w:vertAlign w:val="subscript"/>
          </w:rPr>
          <w:t>2</w:t>
        </w:r>
        <w:r w:rsidRPr="001D5327">
          <w:rPr>
            <w:rStyle w:val="Hyperlink"/>
          </w:rPr>
          <w:t>O emissions from nitrogen in soils associated with land-use change in 2023</w:t>
        </w:r>
        <w:r w:rsidRPr="001D5327">
          <w:rPr>
            <w:webHidden/>
          </w:rPr>
          <w:tab/>
        </w:r>
        <w:r w:rsidRPr="001D5327">
          <w:rPr>
            <w:webHidden/>
          </w:rPr>
          <w:fldChar w:fldCharType="begin"/>
        </w:r>
        <w:r w:rsidRPr="001D5327">
          <w:rPr>
            <w:webHidden/>
          </w:rPr>
          <w:instrText xml:space="preserve"> PAGEREF _Toc194241793 \h </w:instrText>
        </w:r>
        <w:r w:rsidRPr="001D5327">
          <w:rPr>
            <w:webHidden/>
          </w:rPr>
        </w:r>
        <w:r w:rsidRPr="001D5327">
          <w:rPr>
            <w:webHidden/>
          </w:rPr>
          <w:fldChar w:fldCharType="separate"/>
        </w:r>
        <w:r w:rsidR="00B93180">
          <w:rPr>
            <w:noProof/>
            <w:webHidden/>
          </w:rPr>
          <w:t>298</w:t>
        </w:r>
        <w:r w:rsidRPr="001D5327">
          <w:rPr>
            <w:webHidden/>
          </w:rPr>
          <w:fldChar w:fldCharType="end"/>
        </w:r>
      </w:hyperlink>
    </w:p>
    <w:p w14:paraId="6ED7B989" w14:textId="1AF7B258"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94" w:history="1">
        <w:r w:rsidRPr="001D5327">
          <w:rPr>
            <w:rStyle w:val="Hyperlink"/>
          </w:rPr>
          <w:t>Table 6.11.3</w:t>
        </w:r>
        <w:r w:rsidRPr="001D5327">
          <w:rPr>
            <w:rFonts w:asciiTheme="minorHAnsi" w:eastAsiaTheme="minorEastAsia" w:hAnsiTheme="minorHAnsi" w:cstheme="minorBidi"/>
            <w:kern w:val="2"/>
            <w:sz w:val="24"/>
            <w:szCs w:val="24"/>
            <w14:ligatures w14:val="standardContextual"/>
          </w:rPr>
          <w:tab/>
        </w:r>
        <w:r w:rsidRPr="001D5327">
          <w:rPr>
            <w:rStyle w:val="Hyperlink"/>
          </w:rPr>
          <w:t>Non-CO</w:t>
        </w:r>
        <w:r w:rsidRPr="001D5327">
          <w:rPr>
            <w:rStyle w:val="Hyperlink"/>
            <w:vertAlign w:val="subscript"/>
          </w:rPr>
          <w:t>2</w:t>
        </w:r>
        <w:r w:rsidRPr="001D5327">
          <w:rPr>
            <w:rStyle w:val="Hyperlink"/>
          </w:rPr>
          <w:t xml:space="preserve"> emissions from </w:t>
        </w:r>
        <w:r w:rsidRPr="001D5327">
          <w:rPr>
            <w:rStyle w:val="Hyperlink"/>
            <w:i/>
          </w:rPr>
          <w:t>Biomass burning</w:t>
        </w:r>
        <w:r w:rsidRPr="001D5327">
          <w:rPr>
            <w:webHidden/>
          </w:rPr>
          <w:tab/>
        </w:r>
        <w:r w:rsidRPr="001D5327">
          <w:rPr>
            <w:webHidden/>
          </w:rPr>
          <w:fldChar w:fldCharType="begin"/>
        </w:r>
        <w:r w:rsidRPr="001D5327">
          <w:rPr>
            <w:webHidden/>
          </w:rPr>
          <w:instrText xml:space="preserve"> PAGEREF _Toc194241794 \h </w:instrText>
        </w:r>
        <w:r w:rsidRPr="001D5327">
          <w:rPr>
            <w:webHidden/>
          </w:rPr>
        </w:r>
        <w:r w:rsidRPr="001D5327">
          <w:rPr>
            <w:webHidden/>
          </w:rPr>
          <w:fldChar w:fldCharType="separate"/>
        </w:r>
        <w:r w:rsidR="00B93180">
          <w:rPr>
            <w:noProof/>
            <w:webHidden/>
          </w:rPr>
          <w:t>299</w:t>
        </w:r>
        <w:r w:rsidRPr="001D5327">
          <w:rPr>
            <w:webHidden/>
          </w:rPr>
          <w:fldChar w:fldCharType="end"/>
        </w:r>
      </w:hyperlink>
    </w:p>
    <w:p w14:paraId="64F59ED9" w14:textId="24753C14"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95" w:history="1">
        <w:r w:rsidRPr="001D5327">
          <w:rPr>
            <w:rStyle w:val="Hyperlink"/>
          </w:rPr>
          <w:t>Table 6.11.4</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Summary of </w:t>
        </w:r>
        <w:r w:rsidRPr="001D5327">
          <w:rPr>
            <w:rStyle w:val="Hyperlink"/>
            <w:i/>
          </w:rPr>
          <w:t>Biomass burning</w:t>
        </w:r>
        <w:r w:rsidRPr="001D5327">
          <w:rPr>
            <w:rStyle w:val="Hyperlink"/>
          </w:rPr>
          <w:t xml:space="preserve"> carbon fractions and emission factors</w:t>
        </w:r>
        <w:r w:rsidRPr="001D5327">
          <w:rPr>
            <w:webHidden/>
          </w:rPr>
          <w:tab/>
        </w:r>
        <w:r w:rsidRPr="001D5327">
          <w:rPr>
            <w:webHidden/>
          </w:rPr>
          <w:fldChar w:fldCharType="begin"/>
        </w:r>
        <w:r w:rsidRPr="001D5327">
          <w:rPr>
            <w:webHidden/>
          </w:rPr>
          <w:instrText xml:space="preserve"> PAGEREF _Toc194241795 \h </w:instrText>
        </w:r>
        <w:r w:rsidRPr="001D5327">
          <w:rPr>
            <w:webHidden/>
          </w:rPr>
        </w:r>
        <w:r w:rsidRPr="001D5327">
          <w:rPr>
            <w:webHidden/>
          </w:rPr>
          <w:fldChar w:fldCharType="separate"/>
        </w:r>
        <w:r w:rsidR="00B93180">
          <w:rPr>
            <w:noProof/>
            <w:webHidden/>
          </w:rPr>
          <w:t>300</w:t>
        </w:r>
        <w:r w:rsidRPr="001D5327">
          <w:rPr>
            <w:webHidden/>
          </w:rPr>
          <w:fldChar w:fldCharType="end"/>
        </w:r>
      </w:hyperlink>
    </w:p>
    <w:p w14:paraId="3DDBE231" w14:textId="3969C51D"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96" w:history="1">
        <w:r w:rsidRPr="001D5327">
          <w:rPr>
            <w:rStyle w:val="Hyperlink"/>
          </w:rPr>
          <w:t>Table 6.11.5</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Summary of </w:t>
        </w:r>
        <w:r w:rsidRPr="001D5327">
          <w:rPr>
            <w:rStyle w:val="Hyperlink"/>
            <w:i/>
          </w:rPr>
          <w:t>Biomass burning</w:t>
        </w:r>
        <w:r w:rsidRPr="001D5327">
          <w:rPr>
            <w:rStyle w:val="Hyperlink"/>
          </w:rPr>
          <w:t xml:space="preserve"> combustion factor values</w:t>
        </w:r>
        <w:r w:rsidRPr="001D5327">
          <w:rPr>
            <w:webHidden/>
          </w:rPr>
          <w:tab/>
        </w:r>
        <w:r w:rsidRPr="001D5327">
          <w:rPr>
            <w:webHidden/>
          </w:rPr>
          <w:fldChar w:fldCharType="begin"/>
        </w:r>
        <w:r w:rsidRPr="001D5327">
          <w:rPr>
            <w:webHidden/>
          </w:rPr>
          <w:instrText xml:space="preserve"> PAGEREF _Toc194241796 \h </w:instrText>
        </w:r>
        <w:r w:rsidRPr="001D5327">
          <w:rPr>
            <w:webHidden/>
          </w:rPr>
        </w:r>
        <w:r w:rsidRPr="001D5327">
          <w:rPr>
            <w:webHidden/>
          </w:rPr>
          <w:fldChar w:fldCharType="separate"/>
        </w:r>
        <w:r w:rsidR="00B93180">
          <w:rPr>
            <w:noProof/>
            <w:webHidden/>
          </w:rPr>
          <w:t>301</w:t>
        </w:r>
        <w:r w:rsidRPr="001D5327">
          <w:rPr>
            <w:webHidden/>
          </w:rPr>
          <w:fldChar w:fldCharType="end"/>
        </w:r>
      </w:hyperlink>
    </w:p>
    <w:p w14:paraId="37815934" w14:textId="2209B9A5"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97" w:history="1">
        <w:r w:rsidRPr="001D5327">
          <w:rPr>
            <w:rStyle w:val="Hyperlink"/>
          </w:rPr>
          <w:t xml:space="preserve">Table 7.1.1 </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New Zealand’s greenhouse gas emissions for the Waste sector by source category in </w:t>
        </w:r>
        <w:r w:rsidRPr="001D5327">
          <w:rPr>
            <w:rStyle w:val="Hyperlink"/>
            <w:bCs/>
          </w:rPr>
          <w:t>1990</w:t>
        </w:r>
        <w:r w:rsidRPr="001D5327">
          <w:rPr>
            <w:rStyle w:val="Hyperlink"/>
          </w:rPr>
          <w:t> and </w:t>
        </w:r>
        <w:r w:rsidRPr="001D5327">
          <w:rPr>
            <w:rStyle w:val="Hyperlink"/>
            <w:bCs/>
          </w:rPr>
          <w:t>2023</w:t>
        </w:r>
        <w:r w:rsidRPr="001D5327">
          <w:rPr>
            <w:webHidden/>
          </w:rPr>
          <w:tab/>
        </w:r>
        <w:r w:rsidRPr="001D5327">
          <w:rPr>
            <w:webHidden/>
          </w:rPr>
          <w:fldChar w:fldCharType="begin"/>
        </w:r>
        <w:r w:rsidRPr="001D5327">
          <w:rPr>
            <w:webHidden/>
          </w:rPr>
          <w:instrText xml:space="preserve"> PAGEREF _Toc194241797 \h </w:instrText>
        </w:r>
        <w:r w:rsidRPr="001D5327">
          <w:rPr>
            <w:webHidden/>
          </w:rPr>
        </w:r>
        <w:r w:rsidRPr="001D5327">
          <w:rPr>
            <w:webHidden/>
          </w:rPr>
          <w:fldChar w:fldCharType="separate"/>
        </w:r>
        <w:r w:rsidR="00B93180">
          <w:rPr>
            <w:noProof/>
            <w:webHidden/>
          </w:rPr>
          <w:t>309</w:t>
        </w:r>
        <w:r w:rsidRPr="001D5327">
          <w:rPr>
            <w:webHidden/>
          </w:rPr>
          <w:fldChar w:fldCharType="end"/>
        </w:r>
      </w:hyperlink>
    </w:p>
    <w:p w14:paraId="7847ECD7" w14:textId="781CE65F"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98" w:history="1">
        <w:r w:rsidRPr="001D5327">
          <w:rPr>
            <w:rStyle w:val="Hyperlink"/>
          </w:rPr>
          <w:t xml:space="preserve">Table 7.1.2 </w:t>
        </w:r>
        <w:r w:rsidRPr="001D5327">
          <w:rPr>
            <w:rFonts w:asciiTheme="minorHAnsi" w:eastAsiaTheme="minorEastAsia" w:hAnsiTheme="minorHAnsi" w:cstheme="minorBidi"/>
            <w:kern w:val="2"/>
            <w:sz w:val="24"/>
            <w:szCs w:val="24"/>
            <w14:ligatures w14:val="standardContextual"/>
          </w:rPr>
          <w:tab/>
        </w:r>
        <w:r w:rsidRPr="001D5327">
          <w:rPr>
            <w:rStyle w:val="Hyperlink"/>
          </w:rPr>
          <w:t>Key categories in the Waste sector</w:t>
        </w:r>
        <w:r w:rsidRPr="001D5327">
          <w:rPr>
            <w:webHidden/>
          </w:rPr>
          <w:tab/>
        </w:r>
        <w:r w:rsidRPr="001D5327">
          <w:rPr>
            <w:webHidden/>
          </w:rPr>
          <w:fldChar w:fldCharType="begin"/>
        </w:r>
        <w:r w:rsidRPr="001D5327">
          <w:rPr>
            <w:webHidden/>
          </w:rPr>
          <w:instrText xml:space="preserve"> PAGEREF _Toc194241798 \h </w:instrText>
        </w:r>
        <w:r w:rsidRPr="001D5327">
          <w:rPr>
            <w:webHidden/>
          </w:rPr>
        </w:r>
        <w:r w:rsidRPr="001D5327">
          <w:rPr>
            <w:webHidden/>
          </w:rPr>
          <w:fldChar w:fldCharType="separate"/>
        </w:r>
        <w:r w:rsidR="00B93180">
          <w:rPr>
            <w:noProof/>
            <w:webHidden/>
          </w:rPr>
          <w:t>310</w:t>
        </w:r>
        <w:r w:rsidRPr="001D5327">
          <w:rPr>
            <w:webHidden/>
          </w:rPr>
          <w:fldChar w:fldCharType="end"/>
        </w:r>
      </w:hyperlink>
    </w:p>
    <w:p w14:paraId="7A55E2D9" w14:textId="3B5FD83A"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799" w:history="1">
        <w:r w:rsidRPr="001D5327">
          <w:rPr>
            <w:rStyle w:val="Hyperlink"/>
          </w:rPr>
          <w:t xml:space="preserve">Table 7.2.1 </w:t>
        </w:r>
        <w:r w:rsidRPr="001D5327">
          <w:rPr>
            <w:rFonts w:asciiTheme="minorHAnsi" w:eastAsiaTheme="minorEastAsia" w:hAnsiTheme="minorHAnsi" w:cstheme="minorBidi"/>
            <w:kern w:val="2"/>
            <w:sz w:val="24"/>
            <w:szCs w:val="24"/>
            <w14:ligatures w14:val="standardContextual"/>
          </w:rPr>
          <w:tab/>
        </w:r>
        <w:r w:rsidRPr="001D5327">
          <w:rPr>
            <w:rStyle w:val="Hyperlink"/>
          </w:rPr>
          <w:t>Landfill emissions in the common reporting tables</w:t>
        </w:r>
        <w:r w:rsidRPr="001D5327">
          <w:rPr>
            <w:webHidden/>
          </w:rPr>
          <w:tab/>
        </w:r>
        <w:r w:rsidRPr="001D5327">
          <w:rPr>
            <w:webHidden/>
          </w:rPr>
          <w:fldChar w:fldCharType="begin"/>
        </w:r>
        <w:r w:rsidRPr="001D5327">
          <w:rPr>
            <w:webHidden/>
          </w:rPr>
          <w:instrText xml:space="preserve"> PAGEREF _Toc194241799 \h </w:instrText>
        </w:r>
        <w:r w:rsidRPr="001D5327">
          <w:rPr>
            <w:webHidden/>
          </w:rPr>
        </w:r>
        <w:r w:rsidRPr="001D5327">
          <w:rPr>
            <w:webHidden/>
          </w:rPr>
          <w:fldChar w:fldCharType="separate"/>
        </w:r>
        <w:r w:rsidR="00B93180">
          <w:rPr>
            <w:noProof/>
            <w:webHidden/>
          </w:rPr>
          <w:t>313</w:t>
        </w:r>
        <w:r w:rsidRPr="001D5327">
          <w:rPr>
            <w:webHidden/>
          </w:rPr>
          <w:fldChar w:fldCharType="end"/>
        </w:r>
      </w:hyperlink>
    </w:p>
    <w:p w14:paraId="4BEC8AA7" w14:textId="2E82077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00" w:history="1">
        <w:r w:rsidRPr="001D5327">
          <w:rPr>
            <w:rStyle w:val="Hyperlink"/>
          </w:rPr>
          <w:t xml:space="preserve">Table 7.2.2 </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Landfill categories in </w:t>
        </w:r>
        <w:r w:rsidRPr="001D5327">
          <w:rPr>
            <w:rStyle w:val="Hyperlink"/>
            <w:bCs/>
          </w:rPr>
          <w:t>2023</w:t>
        </w:r>
        <w:r w:rsidRPr="001D5327">
          <w:rPr>
            <w:webHidden/>
          </w:rPr>
          <w:tab/>
        </w:r>
        <w:r w:rsidRPr="001D5327">
          <w:rPr>
            <w:webHidden/>
          </w:rPr>
          <w:fldChar w:fldCharType="begin"/>
        </w:r>
        <w:r w:rsidRPr="001D5327">
          <w:rPr>
            <w:webHidden/>
          </w:rPr>
          <w:instrText xml:space="preserve"> PAGEREF _Toc194241800 \h </w:instrText>
        </w:r>
        <w:r w:rsidRPr="001D5327">
          <w:rPr>
            <w:webHidden/>
          </w:rPr>
        </w:r>
        <w:r w:rsidRPr="001D5327">
          <w:rPr>
            <w:webHidden/>
          </w:rPr>
          <w:fldChar w:fldCharType="separate"/>
        </w:r>
        <w:r w:rsidR="00B93180">
          <w:rPr>
            <w:noProof/>
            <w:webHidden/>
          </w:rPr>
          <w:t>315</w:t>
        </w:r>
        <w:r w:rsidRPr="001D5327">
          <w:rPr>
            <w:webHidden/>
          </w:rPr>
          <w:fldChar w:fldCharType="end"/>
        </w:r>
      </w:hyperlink>
    </w:p>
    <w:p w14:paraId="4C901131" w14:textId="2099597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01" w:history="1">
        <w:r w:rsidRPr="001D5327">
          <w:rPr>
            <w:rStyle w:val="Hyperlink"/>
          </w:rPr>
          <w:t xml:space="preserve">Table 7.2.3 </w:t>
        </w:r>
        <w:r w:rsidRPr="001D5327">
          <w:rPr>
            <w:rFonts w:asciiTheme="minorHAnsi" w:eastAsiaTheme="minorEastAsia" w:hAnsiTheme="minorHAnsi" w:cstheme="minorBidi"/>
            <w:kern w:val="2"/>
            <w:sz w:val="24"/>
            <w:szCs w:val="24"/>
            <w14:ligatures w14:val="standardContextual"/>
          </w:rPr>
          <w:tab/>
        </w:r>
        <w:r w:rsidRPr="001D5327">
          <w:rPr>
            <w:rStyle w:val="Hyperlink"/>
          </w:rPr>
          <w:t>Solid waste deposited to municipal and uncategorised landfills, from 1950 to </w:t>
        </w:r>
        <w:r w:rsidRPr="001D5327">
          <w:rPr>
            <w:rStyle w:val="Hyperlink"/>
            <w:bCs/>
          </w:rPr>
          <w:t>2023</w:t>
        </w:r>
        <w:r w:rsidRPr="001D5327">
          <w:rPr>
            <w:webHidden/>
          </w:rPr>
          <w:tab/>
        </w:r>
        <w:r w:rsidRPr="001D5327">
          <w:rPr>
            <w:webHidden/>
          </w:rPr>
          <w:fldChar w:fldCharType="begin"/>
        </w:r>
        <w:r w:rsidRPr="001D5327">
          <w:rPr>
            <w:webHidden/>
          </w:rPr>
          <w:instrText xml:space="preserve"> PAGEREF _Toc194241801 \h </w:instrText>
        </w:r>
        <w:r w:rsidRPr="001D5327">
          <w:rPr>
            <w:webHidden/>
          </w:rPr>
        </w:r>
        <w:r w:rsidRPr="001D5327">
          <w:rPr>
            <w:webHidden/>
          </w:rPr>
          <w:fldChar w:fldCharType="separate"/>
        </w:r>
        <w:r w:rsidR="00B93180">
          <w:rPr>
            <w:noProof/>
            <w:webHidden/>
          </w:rPr>
          <w:t>315</w:t>
        </w:r>
        <w:r w:rsidRPr="001D5327">
          <w:rPr>
            <w:webHidden/>
          </w:rPr>
          <w:fldChar w:fldCharType="end"/>
        </w:r>
      </w:hyperlink>
    </w:p>
    <w:p w14:paraId="4DF06D8D" w14:textId="3F7AD0F4"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02" w:history="1">
        <w:r w:rsidRPr="001D5327">
          <w:rPr>
            <w:rStyle w:val="Hyperlink"/>
          </w:rPr>
          <w:t xml:space="preserve">Table 7.2.4 </w:t>
        </w:r>
        <w:r w:rsidRPr="001D5327">
          <w:rPr>
            <w:rFonts w:asciiTheme="minorHAnsi" w:eastAsiaTheme="minorEastAsia" w:hAnsiTheme="minorHAnsi" w:cstheme="minorBidi"/>
            <w:kern w:val="2"/>
            <w:sz w:val="24"/>
            <w:szCs w:val="24"/>
            <w14:ligatures w14:val="standardContextual"/>
          </w:rPr>
          <w:tab/>
        </w:r>
        <w:r w:rsidRPr="001D5327">
          <w:rPr>
            <w:rStyle w:val="Hyperlink"/>
          </w:rPr>
          <w:t>Solid waste deposited to unmanaged landfills, from 1950 to </w:t>
        </w:r>
        <w:r w:rsidRPr="001D5327">
          <w:rPr>
            <w:rStyle w:val="Hyperlink"/>
            <w:bCs/>
          </w:rPr>
          <w:t>2023</w:t>
        </w:r>
        <w:r w:rsidRPr="001D5327">
          <w:rPr>
            <w:webHidden/>
          </w:rPr>
          <w:tab/>
        </w:r>
        <w:r w:rsidRPr="001D5327">
          <w:rPr>
            <w:webHidden/>
          </w:rPr>
          <w:fldChar w:fldCharType="begin"/>
        </w:r>
        <w:r w:rsidRPr="001D5327">
          <w:rPr>
            <w:webHidden/>
          </w:rPr>
          <w:instrText xml:space="preserve"> PAGEREF _Toc194241802 \h </w:instrText>
        </w:r>
        <w:r w:rsidRPr="001D5327">
          <w:rPr>
            <w:webHidden/>
          </w:rPr>
        </w:r>
        <w:r w:rsidRPr="001D5327">
          <w:rPr>
            <w:webHidden/>
          </w:rPr>
          <w:fldChar w:fldCharType="separate"/>
        </w:r>
        <w:r w:rsidR="00B93180">
          <w:rPr>
            <w:noProof/>
            <w:webHidden/>
          </w:rPr>
          <w:t>318</w:t>
        </w:r>
        <w:r w:rsidRPr="001D5327">
          <w:rPr>
            <w:webHidden/>
          </w:rPr>
          <w:fldChar w:fldCharType="end"/>
        </w:r>
      </w:hyperlink>
    </w:p>
    <w:p w14:paraId="1BA79184" w14:textId="03A3FFAE"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03" w:history="1">
        <w:r w:rsidRPr="001D5327">
          <w:rPr>
            <w:rStyle w:val="Hyperlink"/>
          </w:rPr>
          <w:t xml:space="preserve">Table 7.2.5 </w:t>
        </w:r>
        <w:r w:rsidRPr="001D5327">
          <w:rPr>
            <w:rFonts w:asciiTheme="minorHAnsi" w:eastAsiaTheme="minorEastAsia" w:hAnsiTheme="minorHAnsi" w:cstheme="minorBidi"/>
            <w:kern w:val="2"/>
            <w:sz w:val="24"/>
            <w:szCs w:val="24"/>
            <w14:ligatures w14:val="standardContextual"/>
          </w:rPr>
          <w:tab/>
        </w:r>
        <w:r w:rsidRPr="001D5327">
          <w:rPr>
            <w:rStyle w:val="Hyperlink"/>
          </w:rPr>
          <w:t>Estimated composition of waste disposed to municipal landfills, from 1950 to </w:t>
        </w:r>
        <w:r w:rsidRPr="001D5327">
          <w:rPr>
            <w:rStyle w:val="Hyperlink"/>
            <w:bCs/>
          </w:rPr>
          <w:t>2023</w:t>
        </w:r>
        <w:r w:rsidRPr="001D5327">
          <w:rPr>
            <w:webHidden/>
          </w:rPr>
          <w:tab/>
        </w:r>
        <w:r w:rsidRPr="001D5327">
          <w:rPr>
            <w:webHidden/>
          </w:rPr>
          <w:fldChar w:fldCharType="begin"/>
        </w:r>
        <w:r w:rsidRPr="001D5327">
          <w:rPr>
            <w:webHidden/>
          </w:rPr>
          <w:instrText xml:space="preserve"> PAGEREF _Toc194241803 \h </w:instrText>
        </w:r>
        <w:r w:rsidRPr="001D5327">
          <w:rPr>
            <w:webHidden/>
          </w:rPr>
        </w:r>
        <w:r w:rsidRPr="001D5327">
          <w:rPr>
            <w:webHidden/>
          </w:rPr>
          <w:fldChar w:fldCharType="separate"/>
        </w:r>
        <w:r w:rsidR="00B93180">
          <w:rPr>
            <w:noProof/>
            <w:webHidden/>
          </w:rPr>
          <w:t>321</w:t>
        </w:r>
        <w:r w:rsidRPr="001D5327">
          <w:rPr>
            <w:webHidden/>
          </w:rPr>
          <w:fldChar w:fldCharType="end"/>
        </w:r>
      </w:hyperlink>
    </w:p>
    <w:p w14:paraId="06863FE3" w14:textId="69F4F31E"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04" w:history="1">
        <w:r w:rsidRPr="001D5327">
          <w:rPr>
            <w:rStyle w:val="Hyperlink"/>
          </w:rPr>
          <w:t xml:space="preserve">Table 7.2.6 </w:t>
        </w:r>
        <w:r w:rsidRPr="001D5327">
          <w:rPr>
            <w:rFonts w:asciiTheme="minorHAnsi" w:eastAsiaTheme="minorEastAsia" w:hAnsiTheme="minorHAnsi" w:cstheme="minorBidi"/>
            <w:kern w:val="2"/>
            <w:sz w:val="24"/>
            <w:szCs w:val="24"/>
            <w14:ligatures w14:val="standardContextual"/>
          </w:rPr>
          <w:tab/>
        </w:r>
        <w:r w:rsidRPr="001D5327">
          <w:rPr>
            <w:rStyle w:val="Hyperlink"/>
          </w:rPr>
          <w:t>Parameters by waste type that determine the quantity and rate of methane generation</w:t>
        </w:r>
        <w:r w:rsidRPr="001D5327">
          <w:rPr>
            <w:webHidden/>
          </w:rPr>
          <w:tab/>
        </w:r>
        <w:r w:rsidRPr="001D5327">
          <w:rPr>
            <w:webHidden/>
          </w:rPr>
          <w:fldChar w:fldCharType="begin"/>
        </w:r>
        <w:r w:rsidRPr="001D5327">
          <w:rPr>
            <w:webHidden/>
          </w:rPr>
          <w:instrText xml:space="preserve"> PAGEREF _Toc194241804 \h </w:instrText>
        </w:r>
        <w:r w:rsidRPr="001D5327">
          <w:rPr>
            <w:webHidden/>
          </w:rPr>
        </w:r>
        <w:r w:rsidRPr="001D5327">
          <w:rPr>
            <w:webHidden/>
          </w:rPr>
          <w:fldChar w:fldCharType="separate"/>
        </w:r>
        <w:r w:rsidR="00B93180">
          <w:rPr>
            <w:noProof/>
            <w:webHidden/>
          </w:rPr>
          <w:t>322</w:t>
        </w:r>
        <w:r w:rsidRPr="001D5327">
          <w:rPr>
            <w:webHidden/>
          </w:rPr>
          <w:fldChar w:fldCharType="end"/>
        </w:r>
      </w:hyperlink>
    </w:p>
    <w:p w14:paraId="674D8D27" w14:textId="59C14183"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05" w:history="1">
        <w:r w:rsidRPr="001D5327">
          <w:rPr>
            <w:rStyle w:val="Hyperlink"/>
          </w:rPr>
          <w:t xml:space="preserve">Table 7.2.7 </w:t>
        </w:r>
        <w:r w:rsidRPr="001D5327">
          <w:rPr>
            <w:rFonts w:asciiTheme="minorHAnsi" w:eastAsiaTheme="minorEastAsia" w:hAnsiTheme="minorHAnsi" w:cstheme="minorBidi"/>
            <w:kern w:val="2"/>
            <w:sz w:val="24"/>
            <w:szCs w:val="24"/>
            <w14:ligatures w14:val="standardContextual"/>
          </w:rPr>
          <w:tab/>
        </w:r>
        <w:r w:rsidRPr="001D5327">
          <w:rPr>
            <w:rStyle w:val="Hyperlink"/>
          </w:rPr>
          <w:t>Summary of parameters for municipal landfills</w:t>
        </w:r>
        <w:r w:rsidRPr="001D5327">
          <w:rPr>
            <w:webHidden/>
          </w:rPr>
          <w:tab/>
        </w:r>
        <w:r w:rsidRPr="001D5327">
          <w:rPr>
            <w:webHidden/>
          </w:rPr>
          <w:fldChar w:fldCharType="begin"/>
        </w:r>
        <w:r w:rsidRPr="001D5327">
          <w:rPr>
            <w:webHidden/>
          </w:rPr>
          <w:instrText xml:space="preserve"> PAGEREF _Toc194241805 \h </w:instrText>
        </w:r>
        <w:r w:rsidRPr="001D5327">
          <w:rPr>
            <w:webHidden/>
          </w:rPr>
        </w:r>
        <w:r w:rsidRPr="001D5327">
          <w:rPr>
            <w:webHidden/>
          </w:rPr>
          <w:fldChar w:fldCharType="separate"/>
        </w:r>
        <w:r w:rsidR="00B93180">
          <w:rPr>
            <w:noProof/>
            <w:webHidden/>
          </w:rPr>
          <w:t>324</w:t>
        </w:r>
        <w:r w:rsidRPr="001D5327">
          <w:rPr>
            <w:webHidden/>
          </w:rPr>
          <w:fldChar w:fldCharType="end"/>
        </w:r>
      </w:hyperlink>
    </w:p>
    <w:p w14:paraId="252CF905" w14:textId="6DCAFB4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06" w:history="1">
        <w:r w:rsidRPr="001D5327">
          <w:rPr>
            <w:rStyle w:val="Hyperlink"/>
          </w:rPr>
          <w:t>Table 7.2.8</w:t>
        </w:r>
        <w:r w:rsidRPr="001D5327">
          <w:rPr>
            <w:rFonts w:asciiTheme="minorHAnsi" w:eastAsiaTheme="minorEastAsia" w:hAnsiTheme="minorHAnsi" w:cstheme="minorBidi"/>
            <w:kern w:val="2"/>
            <w:sz w:val="24"/>
            <w:szCs w:val="24"/>
            <w14:ligatures w14:val="standardContextual"/>
          </w:rPr>
          <w:tab/>
        </w:r>
        <w:r w:rsidRPr="001D5327">
          <w:rPr>
            <w:rStyle w:val="Hyperlink"/>
          </w:rPr>
          <w:t>Summary of parameters for non-municipal landfills and farm fills</w:t>
        </w:r>
        <w:r w:rsidRPr="001D5327">
          <w:rPr>
            <w:webHidden/>
          </w:rPr>
          <w:tab/>
        </w:r>
        <w:r w:rsidRPr="001D5327">
          <w:rPr>
            <w:webHidden/>
          </w:rPr>
          <w:fldChar w:fldCharType="begin"/>
        </w:r>
        <w:r w:rsidRPr="001D5327">
          <w:rPr>
            <w:webHidden/>
          </w:rPr>
          <w:instrText xml:space="preserve"> PAGEREF _Toc194241806 \h </w:instrText>
        </w:r>
        <w:r w:rsidRPr="001D5327">
          <w:rPr>
            <w:webHidden/>
          </w:rPr>
        </w:r>
        <w:r w:rsidRPr="001D5327">
          <w:rPr>
            <w:webHidden/>
          </w:rPr>
          <w:fldChar w:fldCharType="separate"/>
        </w:r>
        <w:r w:rsidR="00B93180">
          <w:rPr>
            <w:noProof/>
            <w:webHidden/>
          </w:rPr>
          <w:t>325</w:t>
        </w:r>
        <w:r w:rsidRPr="001D5327">
          <w:rPr>
            <w:webHidden/>
          </w:rPr>
          <w:fldChar w:fldCharType="end"/>
        </w:r>
      </w:hyperlink>
    </w:p>
    <w:p w14:paraId="495A0537" w14:textId="51ADB60B"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07" w:history="1">
        <w:r w:rsidRPr="001D5327">
          <w:rPr>
            <w:rStyle w:val="Hyperlink"/>
          </w:rPr>
          <w:t xml:space="preserve">Table 7.2.9 </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Uncertainty in emissions from </w:t>
        </w:r>
        <w:r w:rsidRPr="001D5327">
          <w:rPr>
            <w:rStyle w:val="Hyperlink"/>
            <w:i/>
            <w:iCs/>
          </w:rPr>
          <w:t>Solid waste disposal</w:t>
        </w:r>
        <w:r w:rsidRPr="001D5327">
          <w:rPr>
            <w:webHidden/>
          </w:rPr>
          <w:tab/>
        </w:r>
        <w:r w:rsidRPr="001D5327">
          <w:rPr>
            <w:webHidden/>
          </w:rPr>
          <w:fldChar w:fldCharType="begin"/>
        </w:r>
        <w:r w:rsidRPr="001D5327">
          <w:rPr>
            <w:webHidden/>
          </w:rPr>
          <w:instrText xml:space="preserve"> PAGEREF _Toc194241807 \h </w:instrText>
        </w:r>
        <w:r w:rsidRPr="001D5327">
          <w:rPr>
            <w:webHidden/>
          </w:rPr>
        </w:r>
        <w:r w:rsidRPr="001D5327">
          <w:rPr>
            <w:webHidden/>
          </w:rPr>
          <w:fldChar w:fldCharType="separate"/>
        </w:r>
        <w:r w:rsidR="00B93180">
          <w:rPr>
            <w:noProof/>
            <w:webHidden/>
          </w:rPr>
          <w:t>326</w:t>
        </w:r>
        <w:r w:rsidRPr="001D5327">
          <w:rPr>
            <w:webHidden/>
          </w:rPr>
          <w:fldChar w:fldCharType="end"/>
        </w:r>
      </w:hyperlink>
    </w:p>
    <w:p w14:paraId="1D86E500" w14:textId="43C1AD3F"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08" w:history="1">
        <w:r w:rsidRPr="001D5327">
          <w:rPr>
            <w:rStyle w:val="Hyperlink"/>
          </w:rPr>
          <w:t xml:space="preserve">Table 7.3.1 </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Emission factors applied to estimate emissions from </w:t>
        </w:r>
        <w:r w:rsidRPr="001D5327">
          <w:rPr>
            <w:rStyle w:val="Hyperlink"/>
            <w:i/>
            <w:iCs/>
          </w:rPr>
          <w:t xml:space="preserve">Composting </w:t>
        </w:r>
        <w:r w:rsidRPr="001D5327">
          <w:rPr>
            <w:rStyle w:val="Hyperlink"/>
          </w:rPr>
          <w:t>and</w:t>
        </w:r>
        <w:r w:rsidRPr="001D5327">
          <w:rPr>
            <w:rStyle w:val="Hyperlink"/>
            <w:i/>
            <w:iCs/>
          </w:rPr>
          <w:t xml:space="preserve"> Anaerobic digestion</w:t>
        </w:r>
        <w:r w:rsidRPr="001D5327">
          <w:rPr>
            <w:webHidden/>
          </w:rPr>
          <w:tab/>
        </w:r>
        <w:r w:rsidRPr="001D5327">
          <w:rPr>
            <w:webHidden/>
          </w:rPr>
          <w:fldChar w:fldCharType="begin"/>
        </w:r>
        <w:r w:rsidRPr="001D5327">
          <w:rPr>
            <w:webHidden/>
          </w:rPr>
          <w:instrText xml:space="preserve"> PAGEREF _Toc194241808 \h </w:instrText>
        </w:r>
        <w:r w:rsidRPr="001D5327">
          <w:rPr>
            <w:webHidden/>
          </w:rPr>
        </w:r>
        <w:r w:rsidRPr="001D5327">
          <w:rPr>
            <w:webHidden/>
          </w:rPr>
          <w:fldChar w:fldCharType="separate"/>
        </w:r>
        <w:r w:rsidR="00B93180">
          <w:rPr>
            <w:noProof/>
            <w:webHidden/>
          </w:rPr>
          <w:t>329</w:t>
        </w:r>
        <w:r w:rsidRPr="001D5327">
          <w:rPr>
            <w:webHidden/>
          </w:rPr>
          <w:fldChar w:fldCharType="end"/>
        </w:r>
      </w:hyperlink>
    </w:p>
    <w:p w14:paraId="5B0BF88E" w14:textId="049A01A7"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09" w:history="1">
        <w:r w:rsidRPr="001D5327">
          <w:rPr>
            <w:rStyle w:val="Hyperlink"/>
          </w:rPr>
          <w:t xml:space="preserve">Table 7.3.2 </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Uncertainty in emissions from </w:t>
        </w:r>
        <w:r w:rsidRPr="001D5327">
          <w:rPr>
            <w:rStyle w:val="Hyperlink"/>
            <w:i/>
            <w:iCs/>
          </w:rPr>
          <w:t>Composting and Anaerobic digestion</w:t>
        </w:r>
        <w:r w:rsidRPr="001D5327">
          <w:rPr>
            <w:webHidden/>
          </w:rPr>
          <w:tab/>
        </w:r>
        <w:r w:rsidRPr="001D5327">
          <w:rPr>
            <w:webHidden/>
          </w:rPr>
          <w:fldChar w:fldCharType="begin"/>
        </w:r>
        <w:r w:rsidRPr="001D5327">
          <w:rPr>
            <w:webHidden/>
          </w:rPr>
          <w:instrText xml:space="preserve"> PAGEREF _Toc194241809 \h </w:instrText>
        </w:r>
        <w:r w:rsidRPr="001D5327">
          <w:rPr>
            <w:webHidden/>
          </w:rPr>
        </w:r>
        <w:r w:rsidRPr="001D5327">
          <w:rPr>
            <w:webHidden/>
          </w:rPr>
          <w:fldChar w:fldCharType="separate"/>
        </w:r>
        <w:r w:rsidR="00B93180">
          <w:rPr>
            <w:noProof/>
            <w:webHidden/>
          </w:rPr>
          <w:t>329</w:t>
        </w:r>
        <w:r w:rsidRPr="001D5327">
          <w:rPr>
            <w:webHidden/>
          </w:rPr>
          <w:fldChar w:fldCharType="end"/>
        </w:r>
      </w:hyperlink>
    </w:p>
    <w:p w14:paraId="754B4B54" w14:textId="1D3C187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10" w:history="1">
        <w:r w:rsidRPr="001D5327">
          <w:rPr>
            <w:rStyle w:val="Hyperlink"/>
          </w:rPr>
          <w:t xml:space="preserve">Table 7.4.1 </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Emissions from </w:t>
        </w:r>
        <w:r w:rsidRPr="001D5327">
          <w:rPr>
            <w:rStyle w:val="Hyperlink"/>
            <w:i/>
            <w:iCs/>
          </w:rPr>
          <w:t>Incineration and open burning of waste</w:t>
        </w:r>
        <w:r w:rsidRPr="001D5327">
          <w:rPr>
            <w:rStyle w:val="Hyperlink"/>
          </w:rPr>
          <w:t xml:space="preserve"> (5.C)</w:t>
        </w:r>
        <w:r w:rsidRPr="001D5327">
          <w:rPr>
            <w:webHidden/>
          </w:rPr>
          <w:tab/>
        </w:r>
        <w:r w:rsidRPr="001D5327">
          <w:rPr>
            <w:webHidden/>
          </w:rPr>
          <w:fldChar w:fldCharType="begin"/>
        </w:r>
        <w:r w:rsidRPr="001D5327">
          <w:rPr>
            <w:webHidden/>
          </w:rPr>
          <w:instrText xml:space="preserve"> PAGEREF _Toc194241810 \h </w:instrText>
        </w:r>
        <w:r w:rsidRPr="001D5327">
          <w:rPr>
            <w:webHidden/>
          </w:rPr>
        </w:r>
        <w:r w:rsidRPr="001D5327">
          <w:rPr>
            <w:webHidden/>
          </w:rPr>
          <w:fldChar w:fldCharType="separate"/>
        </w:r>
        <w:r w:rsidR="00B93180">
          <w:rPr>
            <w:noProof/>
            <w:webHidden/>
          </w:rPr>
          <w:t>331</w:t>
        </w:r>
        <w:r w:rsidRPr="001D5327">
          <w:rPr>
            <w:webHidden/>
          </w:rPr>
          <w:fldChar w:fldCharType="end"/>
        </w:r>
      </w:hyperlink>
    </w:p>
    <w:p w14:paraId="6495DD5C" w14:textId="1F7144A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11" w:history="1">
        <w:r w:rsidRPr="001D5327">
          <w:rPr>
            <w:rStyle w:val="Hyperlink"/>
          </w:rPr>
          <w:t xml:space="preserve">Table 7.4.2 </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Amounts of waste incinerated, from </w:t>
        </w:r>
        <w:r w:rsidRPr="001D5327">
          <w:rPr>
            <w:rStyle w:val="Hyperlink"/>
            <w:bCs/>
          </w:rPr>
          <w:t>1990</w:t>
        </w:r>
        <w:r w:rsidRPr="001D5327">
          <w:rPr>
            <w:rStyle w:val="Hyperlink"/>
          </w:rPr>
          <w:t> to </w:t>
        </w:r>
        <w:r w:rsidRPr="001D5327">
          <w:rPr>
            <w:rStyle w:val="Hyperlink"/>
            <w:bCs/>
          </w:rPr>
          <w:t>2023</w:t>
        </w:r>
        <w:r w:rsidRPr="001D5327">
          <w:rPr>
            <w:webHidden/>
          </w:rPr>
          <w:tab/>
        </w:r>
        <w:r w:rsidRPr="001D5327">
          <w:rPr>
            <w:webHidden/>
          </w:rPr>
          <w:fldChar w:fldCharType="begin"/>
        </w:r>
        <w:r w:rsidRPr="001D5327">
          <w:rPr>
            <w:webHidden/>
          </w:rPr>
          <w:instrText xml:space="preserve"> PAGEREF _Toc194241811 \h </w:instrText>
        </w:r>
        <w:r w:rsidRPr="001D5327">
          <w:rPr>
            <w:webHidden/>
          </w:rPr>
        </w:r>
        <w:r w:rsidRPr="001D5327">
          <w:rPr>
            <w:webHidden/>
          </w:rPr>
          <w:fldChar w:fldCharType="separate"/>
        </w:r>
        <w:r w:rsidR="00B93180">
          <w:rPr>
            <w:noProof/>
            <w:webHidden/>
          </w:rPr>
          <w:t>331</w:t>
        </w:r>
        <w:r w:rsidRPr="001D5327">
          <w:rPr>
            <w:webHidden/>
          </w:rPr>
          <w:fldChar w:fldCharType="end"/>
        </w:r>
      </w:hyperlink>
    </w:p>
    <w:p w14:paraId="6459F866" w14:textId="031F37A7"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12" w:history="1">
        <w:r w:rsidRPr="001D5327">
          <w:rPr>
            <w:rStyle w:val="Hyperlink"/>
          </w:rPr>
          <w:t xml:space="preserve">Table 7.4.3 </w:t>
        </w:r>
        <w:r w:rsidRPr="001D5327">
          <w:rPr>
            <w:rFonts w:asciiTheme="minorHAnsi" w:eastAsiaTheme="minorEastAsia" w:hAnsiTheme="minorHAnsi" w:cstheme="minorBidi"/>
            <w:kern w:val="2"/>
            <w:sz w:val="24"/>
            <w:szCs w:val="24"/>
            <w14:ligatures w14:val="standardContextual"/>
          </w:rPr>
          <w:tab/>
        </w:r>
        <w:r w:rsidRPr="001D5327">
          <w:rPr>
            <w:rStyle w:val="Hyperlink"/>
          </w:rPr>
          <w:t>Values applied to estimate carbon dioxide emissions from open burning of rural waste</w:t>
        </w:r>
        <w:r w:rsidRPr="001D5327">
          <w:rPr>
            <w:webHidden/>
          </w:rPr>
          <w:tab/>
        </w:r>
        <w:r w:rsidRPr="001D5327">
          <w:rPr>
            <w:webHidden/>
          </w:rPr>
          <w:fldChar w:fldCharType="begin"/>
        </w:r>
        <w:r w:rsidRPr="001D5327">
          <w:rPr>
            <w:webHidden/>
          </w:rPr>
          <w:instrText xml:space="preserve"> PAGEREF _Toc194241812 \h </w:instrText>
        </w:r>
        <w:r w:rsidRPr="001D5327">
          <w:rPr>
            <w:webHidden/>
          </w:rPr>
        </w:r>
        <w:r w:rsidRPr="001D5327">
          <w:rPr>
            <w:webHidden/>
          </w:rPr>
          <w:fldChar w:fldCharType="separate"/>
        </w:r>
        <w:r w:rsidR="00B93180">
          <w:rPr>
            <w:noProof/>
            <w:webHidden/>
          </w:rPr>
          <w:t>333</w:t>
        </w:r>
        <w:r w:rsidRPr="001D5327">
          <w:rPr>
            <w:webHidden/>
          </w:rPr>
          <w:fldChar w:fldCharType="end"/>
        </w:r>
      </w:hyperlink>
    </w:p>
    <w:p w14:paraId="6A9B430F" w14:textId="195D9FAC"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13" w:history="1">
        <w:r w:rsidRPr="001D5327">
          <w:rPr>
            <w:rStyle w:val="Hyperlink"/>
          </w:rPr>
          <w:t xml:space="preserve">Table 7.4.4 </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Parameter values applied to estimate emissions from </w:t>
        </w:r>
        <w:r w:rsidRPr="001D5327">
          <w:rPr>
            <w:rStyle w:val="Hyperlink"/>
            <w:i/>
            <w:iCs/>
          </w:rPr>
          <w:t>Incineration</w:t>
        </w:r>
        <w:r w:rsidRPr="001D5327">
          <w:rPr>
            <w:webHidden/>
          </w:rPr>
          <w:tab/>
        </w:r>
        <w:r w:rsidRPr="001D5327">
          <w:rPr>
            <w:webHidden/>
          </w:rPr>
          <w:fldChar w:fldCharType="begin"/>
        </w:r>
        <w:r w:rsidRPr="001D5327">
          <w:rPr>
            <w:webHidden/>
          </w:rPr>
          <w:instrText xml:space="preserve"> PAGEREF _Toc194241813 \h </w:instrText>
        </w:r>
        <w:r w:rsidRPr="001D5327">
          <w:rPr>
            <w:webHidden/>
          </w:rPr>
        </w:r>
        <w:r w:rsidRPr="001D5327">
          <w:rPr>
            <w:webHidden/>
          </w:rPr>
          <w:fldChar w:fldCharType="separate"/>
        </w:r>
        <w:r w:rsidR="00B93180">
          <w:rPr>
            <w:noProof/>
            <w:webHidden/>
          </w:rPr>
          <w:t>333</w:t>
        </w:r>
        <w:r w:rsidRPr="001D5327">
          <w:rPr>
            <w:webHidden/>
          </w:rPr>
          <w:fldChar w:fldCharType="end"/>
        </w:r>
      </w:hyperlink>
    </w:p>
    <w:p w14:paraId="616886C4" w14:textId="5751632F"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14" w:history="1">
        <w:r w:rsidRPr="001D5327">
          <w:rPr>
            <w:rStyle w:val="Hyperlink"/>
          </w:rPr>
          <w:t xml:space="preserve">Table 7.4.5 </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Parameters used to estimate emissions from </w:t>
        </w:r>
        <w:r w:rsidRPr="001D5327">
          <w:rPr>
            <w:rStyle w:val="Hyperlink"/>
            <w:i/>
            <w:iCs/>
          </w:rPr>
          <w:t>Open burning of waste</w:t>
        </w:r>
        <w:r w:rsidRPr="001D5327">
          <w:rPr>
            <w:webHidden/>
          </w:rPr>
          <w:tab/>
        </w:r>
        <w:r w:rsidRPr="001D5327">
          <w:rPr>
            <w:webHidden/>
          </w:rPr>
          <w:fldChar w:fldCharType="begin"/>
        </w:r>
        <w:r w:rsidRPr="001D5327">
          <w:rPr>
            <w:webHidden/>
          </w:rPr>
          <w:instrText xml:space="preserve"> PAGEREF _Toc194241814 \h </w:instrText>
        </w:r>
        <w:r w:rsidRPr="001D5327">
          <w:rPr>
            <w:webHidden/>
          </w:rPr>
        </w:r>
        <w:r w:rsidRPr="001D5327">
          <w:rPr>
            <w:webHidden/>
          </w:rPr>
          <w:fldChar w:fldCharType="separate"/>
        </w:r>
        <w:r w:rsidR="00B93180">
          <w:rPr>
            <w:noProof/>
            <w:webHidden/>
          </w:rPr>
          <w:t>334</w:t>
        </w:r>
        <w:r w:rsidRPr="001D5327">
          <w:rPr>
            <w:webHidden/>
          </w:rPr>
          <w:fldChar w:fldCharType="end"/>
        </w:r>
      </w:hyperlink>
    </w:p>
    <w:p w14:paraId="0206F1C3" w14:textId="6B97DFA1"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15" w:history="1">
        <w:r w:rsidRPr="001D5327">
          <w:rPr>
            <w:rStyle w:val="Hyperlink"/>
          </w:rPr>
          <w:t xml:space="preserve">Table 7.4.6 </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Uncertainty in emissions from </w:t>
        </w:r>
        <w:r w:rsidRPr="001D5327">
          <w:rPr>
            <w:rStyle w:val="Hyperlink"/>
            <w:i/>
            <w:iCs/>
          </w:rPr>
          <w:t>Incineration and open burning of waste</w:t>
        </w:r>
        <w:r w:rsidRPr="001D5327">
          <w:rPr>
            <w:webHidden/>
          </w:rPr>
          <w:tab/>
        </w:r>
        <w:r w:rsidRPr="001D5327">
          <w:rPr>
            <w:webHidden/>
          </w:rPr>
          <w:fldChar w:fldCharType="begin"/>
        </w:r>
        <w:r w:rsidRPr="001D5327">
          <w:rPr>
            <w:webHidden/>
          </w:rPr>
          <w:instrText xml:space="preserve"> PAGEREF _Toc194241815 \h </w:instrText>
        </w:r>
        <w:r w:rsidRPr="001D5327">
          <w:rPr>
            <w:webHidden/>
          </w:rPr>
        </w:r>
        <w:r w:rsidRPr="001D5327">
          <w:rPr>
            <w:webHidden/>
          </w:rPr>
          <w:fldChar w:fldCharType="separate"/>
        </w:r>
        <w:r w:rsidR="00B93180">
          <w:rPr>
            <w:noProof/>
            <w:webHidden/>
          </w:rPr>
          <w:t>335</w:t>
        </w:r>
        <w:r w:rsidRPr="001D5327">
          <w:rPr>
            <w:webHidden/>
          </w:rPr>
          <w:fldChar w:fldCharType="end"/>
        </w:r>
      </w:hyperlink>
    </w:p>
    <w:p w14:paraId="5F75702C" w14:textId="71E995A3"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16" w:history="1">
        <w:r w:rsidRPr="001D5327">
          <w:rPr>
            <w:rStyle w:val="Hyperlink"/>
          </w:rPr>
          <w:t xml:space="preserve">Table 7.5.1 </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Emissions from </w:t>
        </w:r>
        <w:r w:rsidRPr="001D5327">
          <w:rPr>
            <w:rStyle w:val="Hyperlink"/>
            <w:i/>
            <w:iCs/>
          </w:rPr>
          <w:t>Wastewater treatment and discharge</w:t>
        </w:r>
        <w:r w:rsidRPr="001D5327">
          <w:rPr>
            <w:rStyle w:val="Hyperlink"/>
          </w:rPr>
          <w:t xml:space="preserve"> (5.D)</w:t>
        </w:r>
        <w:r w:rsidRPr="001D5327">
          <w:rPr>
            <w:webHidden/>
          </w:rPr>
          <w:tab/>
        </w:r>
        <w:r w:rsidRPr="001D5327">
          <w:rPr>
            <w:webHidden/>
          </w:rPr>
          <w:fldChar w:fldCharType="begin"/>
        </w:r>
        <w:r w:rsidRPr="001D5327">
          <w:rPr>
            <w:webHidden/>
          </w:rPr>
          <w:instrText xml:space="preserve"> PAGEREF _Toc194241816 \h </w:instrText>
        </w:r>
        <w:r w:rsidRPr="001D5327">
          <w:rPr>
            <w:webHidden/>
          </w:rPr>
        </w:r>
        <w:r w:rsidRPr="001D5327">
          <w:rPr>
            <w:webHidden/>
          </w:rPr>
          <w:fldChar w:fldCharType="separate"/>
        </w:r>
        <w:r w:rsidR="00B93180">
          <w:rPr>
            <w:noProof/>
            <w:webHidden/>
          </w:rPr>
          <w:t>336</w:t>
        </w:r>
        <w:r w:rsidRPr="001D5327">
          <w:rPr>
            <w:webHidden/>
          </w:rPr>
          <w:fldChar w:fldCharType="end"/>
        </w:r>
      </w:hyperlink>
    </w:p>
    <w:p w14:paraId="375D39E1" w14:textId="14E88995"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17" w:history="1">
        <w:r w:rsidRPr="001D5327">
          <w:rPr>
            <w:rStyle w:val="Hyperlink"/>
          </w:rPr>
          <w:t xml:space="preserve">Table 7.5.2 </w:t>
        </w:r>
        <w:r w:rsidRPr="001D5327">
          <w:rPr>
            <w:rFonts w:asciiTheme="minorHAnsi" w:eastAsiaTheme="minorEastAsia" w:hAnsiTheme="minorHAnsi" w:cstheme="minorBidi"/>
            <w:kern w:val="2"/>
            <w:sz w:val="24"/>
            <w:szCs w:val="24"/>
            <w14:ligatures w14:val="standardContextual"/>
          </w:rPr>
          <w:tab/>
        </w:r>
        <w:r w:rsidRPr="001D5327">
          <w:rPr>
            <w:rStyle w:val="Hyperlink"/>
          </w:rPr>
          <w:t>Activity data and key factors for domestic wastewater from 1990 to 2023</w:t>
        </w:r>
        <w:r w:rsidRPr="001D5327">
          <w:rPr>
            <w:webHidden/>
          </w:rPr>
          <w:tab/>
        </w:r>
        <w:r w:rsidRPr="001D5327">
          <w:rPr>
            <w:webHidden/>
          </w:rPr>
          <w:fldChar w:fldCharType="begin"/>
        </w:r>
        <w:r w:rsidRPr="001D5327">
          <w:rPr>
            <w:webHidden/>
          </w:rPr>
          <w:instrText xml:space="preserve"> PAGEREF _Toc194241817 \h </w:instrText>
        </w:r>
        <w:r w:rsidRPr="001D5327">
          <w:rPr>
            <w:webHidden/>
          </w:rPr>
        </w:r>
        <w:r w:rsidRPr="001D5327">
          <w:rPr>
            <w:webHidden/>
          </w:rPr>
          <w:fldChar w:fldCharType="separate"/>
        </w:r>
        <w:r w:rsidR="00B93180">
          <w:rPr>
            <w:noProof/>
            <w:webHidden/>
          </w:rPr>
          <w:t>337</w:t>
        </w:r>
        <w:r w:rsidRPr="001D5327">
          <w:rPr>
            <w:webHidden/>
          </w:rPr>
          <w:fldChar w:fldCharType="end"/>
        </w:r>
      </w:hyperlink>
    </w:p>
    <w:p w14:paraId="0E823AD1" w14:textId="7B2CAA9F"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18" w:history="1">
        <w:r w:rsidRPr="001D5327">
          <w:rPr>
            <w:rStyle w:val="Hyperlink"/>
          </w:rPr>
          <w:t xml:space="preserve">Table 7.5.3 </w:t>
        </w:r>
        <w:r w:rsidRPr="001D5327">
          <w:rPr>
            <w:rFonts w:asciiTheme="minorHAnsi" w:eastAsiaTheme="minorEastAsia" w:hAnsiTheme="minorHAnsi" w:cstheme="minorBidi"/>
            <w:kern w:val="2"/>
            <w:sz w:val="24"/>
            <w:szCs w:val="24"/>
            <w14:ligatures w14:val="standardContextual"/>
          </w:rPr>
          <w:tab/>
        </w:r>
        <w:r w:rsidRPr="001D5327">
          <w:rPr>
            <w:rStyle w:val="Hyperlink"/>
          </w:rPr>
          <w:t>Total organic product producing methane from industrial wastewater, from 1990 to 2023</w:t>
        </w:r>
        <w:r w:rsidRPr="001D5327">
          <w:rPr>
            <w:webHidden/>
          </w:rPr>
          <w:tab/>
        </w:r>
        <w:r w:rsidRPr="001D5327">
          <w:rPr>
            <w:webHidden/>
          </w:rPr>
          <w:fldChar w:fldCharType="begin"/>
        </w:r>
        <w:r w:rsidRPr="001D5327">
          <w:rPr>
            <w:webHidden/>
          </w:rPr>
          <w:instrText xml:space="preserve"> PAGEREF _Toc194241818 \h </w:instrText>
        </w:r>
        <w:r w:rsidRPr="001D5327">
          <w:rPr>
            <w:webHidden/>
          </w:rPr>
        </w:r>
        <w:r w:rsidRPr="001D5327">
          <w:rPr>
            <w:webHidden/>
          </w:rPr>
          <w:fldChar w:fldCharType="separate"/>
        </w:r>
        <w:r w:rsidR="00B93180">
          <w:rPr>
            <w:noProof/>
            <w:webHidden/>
          </w:rPr>
          <w:t>338</w:t>
        </w:r>
        <w:r w:rsidRPr="001D5327">
          <w:rPr>
            <w:webHidden/>
          </w:rPr>
          <w:fldChar w:fldCharType="end"/>
        </w:r>
      </w:hyperlink>
    </w:p>
    <w:p w14:paraId="351721BE" w14:textId="723070A7"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19" w:history="1">
        <w:r w:rsidRPr="001D5327">
          <w:rPr>
            <w:rStyle w:val="Hyperlink"/>
          </w:rPr>
          <w:t xml:space="preserve">Table 7.5.4 </w:t>
        </w:r>
        <w:r w:rsidRPr="001D5327">
          <w:rPr>
            <w:rFonts w:asciiTheme="minorHAnsi" w:eastAsiaTheme="minorEastAsia" w:hAnsiTheme="minorHAnsi" w:cstheme="minorBidi"/>
            <w:kern w:val="2"/>
            <w:sz w:val="24"/>
            <w:szCs w:val="24"/>
            <w14:ligatures w14:val="standardContextual"/>
          </w:rPr>
          <w:tab/>
        </w:r>
        <w:r w:rsidRPr="001D5327">
          <w:rPr>
            <w:rStyle w:val="Hyperlink"/>
          </w:rPr>
          <w:t>Nitrogen (N) in effluent from industrial wastewater, from 1990 to 2023</w:t>
        </w:r>
        <w:r w:rsidRPr="001D5327">
          <w:rPr>
            <w:webHidden/>
          </w:rPr>
          <w:tab/>
        </w:r>
        <w:r w:rsidRPr="001D5327">
          <w:rPr>
            <w:webHidden/>
          </w:rPr>
          <w:fldChar w:fldCharType="begin"/>
        </w:r>
        <w:r w:rsidRPr="001D5327">
          <w:rPr>
            <w:webHidden/>
          </w:rPr>
          <w:instrText xml:space="preserve"> PAGEREF _Toc194241819 \h </w:instrText>
        </w:r>
        <w:r w:rsidRPr="001D5327">
          <w:rPr>
            <w:webHidden/>
          </w:rPr>
        </w:r>
        <w:r w:rsidRPr="001D5327">
          <w:rPr>
            <w:webHidden/>
          </w:rPr>
          <w:fldChar w:fldCharType="separate"/>
        </w:r>
        <w:r w:rsidR="00B93180">
          <w:rPr>
            <w:noProof/>
            <w:webHidden/>
          </w:rPr>
          <w:t>339</w:t>
        </w:r>
        <w:r w:rsidRPr="001D5327">
          <w:rPr>
            <w:webHidden/>
          </w:rPr>
          <w:fldChar w:fldCharType="end"/>
        </w:r>
      </w:hyperlink>
    </w:p>
    <w:p w14:paraId="53764A3E" w14:textId="166F6836"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20" w:history="1">
        <w:r w:rsidRPr="001D5327">
          <w:rPr>
            <w:rStyle w:val="Hyperlink"/>
          </w:rPr>
          <w:t xml:space="preserve">Table 7.5.5 </w:t>
        </w:r>
        <w:r w:rsidRPr="001D5327">
          <w:rPr>
            <w:rFonts w:asciiTheme="minorHAnsi" w:eastAsiaTheme="minorEastAsia" w:hAnsiTheme="minorHAnsi" w:cstheme="minorBidi"/>
            <w:kern w:val="2"/>
            <w:sz w:val="24"/>
            <w:szCs w:val="24"/>
            <w14:ligatures w14:val="standardContextual"/>
          </w:rPr>
          <w:tab/>
        </w:r>
        <w:r w:rsidRPr="001D5327">
          <w:rPr>
            <w:rStyle w:val="Hyperlink"/>
          </w:rPr>
          <w:t>Methods used for calculating emissions from wastewater treatment</w:t>
        </w:r>
        <w:r w:rsidRPr="001D5327">
          <w:rPr>
            <w:webHidden/>
          </w:rPr>
          <w:tab/>
        </w:r>
        <w:r w:rsidRPr="001D5327">
          <w:rPr>
            <w:webHidden/>
          </w:rPr>
          <w:fldChar w:fldCharType="begin"/>
        </w:r>
        <w:r w:rsidRPr="001D5327">
          <w:rPr>
            <w:webHidden/>
          </w:rPr>
          <w:instrText xml:space="preserve"> PAGEREF _Toc194241820 \h </w:instrText>
        </w:r>
        <w:r w:rsidRPr="001D5327">
          <w:rPr>
            <w:webHidden/>
          </w:rPr>
        </w:r>
        <w:r w:rsidRPr="001D5327">
          <w:rPr>
            <w:webHidden/>
          </w:rPr>
          <w:fldChar w:fldCharType="separate"/>
        </w:r>
        <w:r w:rsidR="00B93180">
          <w:rPr>
            <w:noProof/>
            <w:webHidden/>
          </w:rPr>
          <w:t>341</w:t>
        </w:r>
        <w:r w:rsidRPr="001D5327">
          <w:rPr>
            <w:webHidden/>
          </w:rPr>
          <w:fldChar w:fldCharType="end"/>
        </w:r>
      </w:hyperlink>
    </w:p>
    <w:p w14:paraId="7C0B0CA7" w14:textId="7EF7DAC1"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21" w:history="1">
        <w:r w:rsidRPr="001D5327">
          <w:rPr>
            <w:rStyle w:val="Hyperlink"/>
          </w:rPr>
          <w:t xml:space="preserve">Table 7.5.6 </w:t>
        </w:r>
        <w:r w:rsidRPr="001D5327">
          <w:rPr>
            <w:rFonts w:asciiTheme="minorHAnsi" w:eastAsiaTheme="minorEastAsia" w:hAnsiTheme="minorHAnsi" w:cstheme="minorBidi"/>
            <w:kern w:val="2"/>
            <w:sz w:val="24"/>
            <w:szCs w:val="24"/>
            <w14:ligatures w14:val="standardContextual"/>
          </w:rPr>
          <w:tab/>
        </w:r>
        <w:r w:rsidRPr="001D5327">
          <w:rPr>
            <w:rStyle w:val="Hyperlink"/>
          </w:rPr>
          <w:t>Parameter values applied by New Zealand for estimating methane emissions for domestic wastewater treatment</w:t>
        </w:r>
        <w:r w:rsidRPr="001D5327">
          <w:rPr>
            <w:webHidden/>
          </w:rPr>
          <w:tab/>
        </w:r>
        <w:r w:rsidRPr="001D5327">
          <w:rPr>
            <w:webHidden/>
          </w:rPr>
          <w:fldChar w:fldCharType="begin"/>
        </w:r>
        <w:r w:rsidRPr="001D5327">
          <w:rPr>
            <w:webHidden/>
          </w:rPr>
          <w:instrText xml:space="preserve"> PAGEREF _Toc194241821 \h </w:instrText>
        </w:r>
        <w:r w:rsidRPr="001D5327">
          <w:rPr>
            <w:webHidden/>
          </w:rPr>
        </w:r>
        <w:r w:rsidRPr="001D5327">
          <w:rPr>
            <w:webHidden/>
          </w:rPr>
          <w:fldChar w:fldCharType="separate"/>
        </w:r>
        <w:r w:rsidR="00B93180">
          <w:rPr>
            <w:noProof/>
            <w:webHidden/>
          </w:rPr>
          <w:t>343</w:t>
        </w:r>
        <w:r w:rsidRPr="001D5327">
          <w:rPr>
            <w:webHidden/>
          </w:rPr>
          <w:fldChar w:fldCharType="end"/>
        </w:r>
      </w:hyperlink>
    </w:p>
    <w:p w14:paraId="4EF16498" w14:textId="05FEAE8F"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22" w:history="1">
        <w:r w:rsidRPr="001D5327">
          <w:rPr>
            <w:rStyle w:val="Hyperlink"/>
          </w:rPr>
          <w:t xml:space="preserve">Table 7.5.7 </w:t>
        </w:r>
        <w:r w:rsidRPr="001D5327">
          <w:rPr>
            <w:rFonts w:asciiTheme="minorHAnsi" w:eastAsiaTheme="minorEastAsia" w:hAnsiTheme="minorHAnsi" w:cstheme="minorBidi"/>
            <w:kern w:val="2"/>
            <w:sz w:val="24"/>
            <w:szCs w:val="24"/>
            <w14:ligatures w14:val="standardContextual"/>
          </w:rPr>
          <w:tab/>
        </w:r>
        <w:r w:rsidRPr="001D5327">
          <w:rPr>
            <w:rStyle w:val="Hyperlink"/>
          </w:rPr>
          <w:t>Parameter values applied by New Zealand for estimating nitrous oxide emissions from domestic and commercial wastewater treatment</w:t>
        </w:r>
        <w:r w:rsidRPr="001D5327">
          <w:rPr>
            <w:webHidden/>
          </w:rPr>
          <w:tab/>
        </w:r>
        <w:r w:rsidRPr="001D5327">
          <w:rPr>
            <w:webHidden/>
          </w:rPr>
          <w:fldChar w:fldCharType="begin"/>
        </w:r>
        <w:r w:rsidRPr="001D5327">
          <w:rPr>
            <w:webHidden/>
          </w:rPr>
          <w:instrText xml:space="preserve"> PAGEREF _Toc194241822 \h </w:instrText>
        </w:r>
        <w:r w:rsidRPr="001D5327">
          <w:rPr>
            <w:webHidden/>
          </w:rPr>
        </w:r>
        <w:r w:rsidRPr="001D5327">
          <w:rPr>
            <w:webHidden/>
          </w:rPr>
          <w:fldChar w:fldCharType="separate"/>
        </w:r>
        <w:r w:rsidR="00B93180">
          <w:rPr>
            <w:noProof/>
            <w:webHidden/>
          </w:rPr>
          <w:t>344</w:t>
        </w:r>
        <w:r w:rsidRPr="001D5327">
          <w:rPr>
            <w:webHidden/>
          </w:rPr>
          <w:fldChar w:fldCharType="end"/>
        </w:r>
      </w:hyperlink>
    </w:p>
    <w:p w14:paraId="1DACF3DD" w14:textId="125A7EDB"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23" w:history="1">
        <w:r w:rsidRPr="001D5327">
          <w:rPr>
            <w:rStyle w:val="Hyperlink"/>
          </w:rPr>
          <w:t xml:space="preserve">Table 7.5.8 </w:t>
        </w:r>
        <w:r w:rsidRPr="001D5327">
          <w:rPr>
            <w:rFonts w:asciiTheme="minorHAnsi" w:eastAsiaTheme="minorEastAsia" w:hAnsiTheme="minorHAnsi" w:cstheme="minorBidi"/>
            <w:kern w:val="2"/>
            <w:sz w:val="24"/>
            <w:szCs w:val="24"/>
            <w14:ligatures w14:val="standardContextual"/>
          </w:rPr>
          <w:tab/>
        </w:r>
        <w:r w:rsidRPr="001D5327">
          <w:rPr>
            <w:rStyle w:val="Hyperlink"/>
          </w:rPr>
          <w:t>Parameter values applied by New Zealand for estimating methane emissions from wastewater treatment by the meat industry</w:t>
        </w:r>
        <w:r w:rsidRPr="001D5327">
          <w:rPr>
            <w:webHidden/>
          </w:rPr>
          <w:tab/>
        </w:r>
        <w:r w:rsidRPr="001D5327">
          <w:rPr>
            <w:webHidden/>
          </w:rPr>
          <w:fldChar w:fldCharType="begin"/>
        </w:r>
        <w:r w:rsidRPr="001D5327">
          <w:rPr>
            <w:webHidden/>
          </w:rPr>
          <w:instrText xml:space="preserve"> PAGEREF _Toc194241823 \h </w:instrText>
        </w:r>
        <w:r w:rsidRPr="001D5327">
          <w:rPr>
            <w:webHidden/>
          </w:rPr>
        </w:r>
        <w:r w:rsidRPr="001D5327">
          <w:rPr>
            <w:webHidden/>
          </w:rPr>
          <w:fldChar w:fldCharType="separate"/>
        </w:r>
        <w:r w:rsidR="00B93180">
          <w:rPr>
            <w:noProof/>
            <w:webHidden/>
          </w:rPr>
          <w:t>344</w:t>
        </w:r>
        <w:r w:rsidRPr="001D5327">
          <w:rPr>
            <w:webHidden/>
          </w:rPr>
          <w:fldChar w:fldCharType="end"/>
        </w:r>
      </w:hyperlink>
    </w:p>
    <w:p w14:paraId="0F141432" w14:textId="74D8DBEA"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24" w:history="1">
        <w:r w:rsidRPr="001D5327">
          <w:rPr>
            <w:rStyle w:val="Hyperlink"/>
          </w:rPr>
          <w:t xml:space="preserve">Table 7.5.9 </w:t>
        </w:r>
        <w:r w:rsidRPr="001D5327">
          <w:rPr>
            <w:rFonts w:asciiTheme="minorHAnsi" w:eastAsiaTheme="minorEastAsia" w:hAnsiTheme="minorHAnsi" w:cstheme="minorBidi"/>
            <w:kern w:val="2"/>
            <w:sz w:val="24"/>
            <w:szCs w:val="24"/>
            <w14:ligatures w14:val="standardContextual"/>
          </w:rPr>
          <w:tab/>
        </w:r>
        <w:r w:rsidRPr="001D5327">
          <w:rPr>
            <w:rStyle w:val="Hyperlink"/>
          </w:rPr>
          <w:t>Parameter values applied by New Zealand for estimating methane emissions for wastewater treatment by the pulp and paper industry</w:t>
        </w:r>
        <w:r w:rsidRPr="001D5327">
          <w:rPr>
            <w:webHidden/>
          </w:rPr>
          <w:tab/>
        </w:r>
        <w:r w:rsidRPr="001D5327">
          <w:rPr>
            <w:webHidden/>
          </w:rPr>
          <w:fldChar w:fldCharType="begin"/>
        </w:r>
        <w:r w:rsidRPr="001D5327">
          <w:rPr>
            <w:webHidden/>
          </w:rPr>
          <w:instrText xml:space="preserve"> PAGEREF _Toc194241824 \h </w:instrText>
        </w:r>
        <w:r w:rsidRPr="001D5327">
          <w:rPr>
            <w:webHidden/>
          </w:rPr>
        </w:r>
        <w:r w:rsidRPr="001D5327">
          <w:rPr>
            <w:webHidden/>
          </w:rPr>
          <w:fldChar w:fldCharType="separate"/>
        </w:r>
        <w:r w:rsidR="00B93180">
          <w:rPr>
            <w:noProof/>
            <w:webHidden/>
          </w:rPr>
          <w:t>345</w:t>
        </w:r>
        <w:r w:rsidRPr="001D5327">
          <w:rPr>
            <w:webHidden/>
          </w:rPr>
          <w:fldChar w:fldCharType="end"/>
        </w:r>
      </w:hyperlink>
    </w:p>
    <w:p w14:paraId="10576A67" w14:textId="5A8E2EBD"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25" w:history="1">
        <w:r w:rsidRPr="001D5327">
          <w:rPr>
            <w:rStyle w:val="Hyperlink"/>
          </w:rPr>
          <w:t xml:space="preserve">Table 7.5.10 </w:t>
        </w:r>
        <w:r w:rsidRPr="001D5327">
          <w:rPr>
            <w:rFonts w:asciiTheme="minorHAnsi" w:eastAsiaTheme="minorEastAsia" w:hAnsiTheme="minorHAnsi" w:cstheme="minorBidi"/>
            <w:kern w:val="2"/>
            <w:sz w:val="24"/>
            <w:szCs w:val="24"/>
            <w14:ligatures w14:val="standardContextual"/>
          </w:rPr>
          <w:tab/>
        </w:r>
        <w:r w:rsidRPr="001D5327">
          <w:rPr>
            <w:rStyle w:val="Hyperlink"/>
          </w:rPr>
          <w:t>Parameter values applied by New Zealand for estimating methane emissions for wastewater treatment by the wine industry</w:t>
        </w:r>
        <w:r w:rsidRPr="001D5327">
          <w:rPr>
            <w:webHidden/>
          </w:rPr>
          <w:tab/>
        </w:r>
        <w:r w:rsidRPr="001D5327">
          <w:rPr>
            <w:webHidden/>
          </w:rPr>
          <w:fldChar w:fldCharType="begin"/>
        </w:r>
        <w:r w:rsidRPr="001D5327">
          <w:rPr>
            <w:webHidden/>
          </w:rPr>
          <w:instrText xml:space="preserve"> PAGEREF _Toc194241825 \h </w:instrText>
        </w:r>
        <w:r w:rsidRPr="001D5327">
          <w:rPr>
            <w:webHidden/>
          </w:rPr>
        </w:r>
        <w:r w:rsidRPr="001D5327">
          <w:rPr>
            <w:webHidden/>
          </w:rPr>
          <w:fldChar w:fldCharType="separate"/>
        </w:r>
        <w:r w:rsidR="00B93180">
          <w:rPr>
            <w:noProof/>
            <w:webHidden/>
          </w:rPr>
          <w:t>345</w:t>
        </w:r>
        <w:r w:rsidRPr="001D5327">
          <w:rPr>
            <w:webHidden/>
          </w:rPr>
          <w:fldChar w:fldCharType="end"/>
        </w:r>
      </w:hyperlink>
    </w:p>
    <w:p w14:paraId="0499B9A7" w14:textId="7D8D881F"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26" w:history="1">
        <w:r w:rsidRPr="001D5327">
          <w:rPr>
            <w:rStyle w:val="Hyperlink"/>
          </w:rPr>
          <w:t xml:space="preserve">Table 7.5.11 </w:t>
        </w:r>
        <w:r w:rsidRPr="001D5327">
          <w:rPr>
            <w:rFonts w:asciiTheme="minorHAnsi" w:eastAsiaTheme="minorEastAsia" w:hAnsiTheme="minorHAnsi" w:cstheme="minorBidi"/>
            <w:kern w:val="2"/>
            <w:sz w:val="24"/>
            <w:szCs w:val="24"/>
            <w14:ligatures w14:val="standardContextual"/>
          </w:rPr>
          <w:tab/>
        </w:r>
        <w:r w:rsidRPr="001D5327">
          <w:rPr>
            <w:rStyle w:val="Hyperlink"/>
          </w:rPr>
          <w:t>Parameter values applied by New Zealand for estimating methane emissions for wastewater treatment by the wool scouring industry</w:t>
        </w:r>
        <w:r w:rsidRPr="001D5327">
          <w:rPr>
            <w:webHidden/>
          </w:rPr>
          <w:tab/>
        </w:r>
        <w:r w:rsidRPr="001D5327">
          <w:rPr>
            <w:webHidden/>
          </w:rPr>
          <w:fldChar w:fldCharType="begin"/>
        </w:r>
        <w:r w:rsidRPr="001D5327">
          <w:rPr>
            <w:webHidden/>
          </w:rPr>
          <w:instrText xml:space="preserve"> PAGEREF _Toc194241826 \h </w:instrText>
        </w:r>
        <w:r w:rsidRPr="001D5327">
          <w:rPr>
            <w:webHidden/>
          </w:rPr>
        </w:r>
        <w:r w:rsidRPr="001D5327">
          <w:rPr>
            <w:webHidden/>
          </w:rPr>
          <w:fldChar w:fldCharType="separate"/>
        </w:r>
        <w:r w:rsidR="00B93180">
          <w:rPr>
            <w:noProof/>
            <w:webHidden/>
          </w:rPr>
          <w:t>345</w:t>
        </w:r>
        <w:r w:rsidRPr="001D5327">
          <w:rPr>
            <w:webHidden/>
          </w:rPr>
          <w:fldChar w:fldCharType="end"/>
        </w:r>
      </w:hyperlink>
    </w:p>
    <w:p w14:paraId="1873F30B" w14:textId="1531E693"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27" w:history="1">
        <w:r w:rsidRPr="001D5327">
          <w:rPr>
            <w:rStyle w:val="Hyperlink"/>
          </w:rPr>
          <w:t xml:space="preserve">Table 7.5.12 </w:t>
        </w:r>
        <w:r w:rsidRPr="001D5327">
          <w:rPr>
            <w:rFonts w:asciiTheme="minorHAnsi" w:eastAsiaTheme="minorEastAsia" w:hAnsiTheme="minorHAnsi" w:cstheme="minorBidi"/>
            <w:kern w:val="2"/>
            <w:sz w:val="24"/>
            <w:szCs w:val="24"/>
            <w14:ligatures w14:val="standardContextual"/>
          </w:rPr>
          <w:tab/>
        </w:r>
        <w:r w:rsidRPr="001D5327">
          <w:rPr>
            <w:rStyle w:val="Hyperlink"/>
          </w:rPr>
          <w:t>Parameter values applied by New Zealand for estimating methane emissions for wastewater treatment by the leather and skins industry</w:t>
        </w:r>
        <w:r w:rsidRPr="001D5327">
          <w:rPr>
            <w:webHidden/>
          </w:rPr>
          <w:tab/>
        </w:r>
        <w:r w:rsidRPr="001D5327">
          <w:rPr>
            <w:webHidden/>
          </w:rPr>
          <w:fldChar w:fldCharType="begin"/>
        </w:r>
        <w:r w:rsidRPr="001D5327">
          <w:rPr>
            <w:webHidden/>
          </w:rPr>
          <w:instrText xml:space="preserve"> PAGEREF _Toc194241827 \h </w:instrText>
        </w:r>
        <w:r w:rsidRPr="001D5327">
          <w:rPr>
            <w:webHidden/>
          </w:rPr>
        </w:r>
        <w:r w:rsidRPr="001D5327">
          <w:rPr>
            <w:webHidden/>
          </w:rPr>
          <w:fldChar w:fldCharType="separate"/>
        </w:r>
        <w:r w:rsidR="00B93180">
          <w:rPr>
            <w:noProof/>
            <w:webHidden/>
          </w:rPr>
          <w:t>346</w:t>
        </w:r>
        <w:r w:rsidRPr="001D5327">
          <w:rPr>
            <w:webHidden/>
          </w:rPr>
          <w:fldChar w:fldCharType="end"/>
        </w:r>
      </w:hyperlink>
    </w:p>
    <w:p w14:paraId="333FA964" w14:textId="3401CA4C"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28" w:history="1">
        <w:r w:rsidRPr="001D5327">
          <w:rPr>
            <w:rStyle w:val="Hyperlink"/>
          </w:rPr>
          <w:t xml:space="preserve">Table 7.5.13 </w:t>
        </w:r>
        <w:r w:rsidRPr="001D5327">
          <w:rPr>
            <w:rFonts w:asciiTheme="minorHAnsi" w:eastAsiaTheme="minorEastAsia" w:hAnsiTheme="minorHAnsi" w:cstheme="minorBidi"/>
            <w:kern w:val="2"/>
            <w:sz w:val="24"/>
            <w:szCs w:val="24"/>
            <w14:ligatures w14:val="standardContextual"/>
          </w:rPr>
          <w:tab/>
        </w:r>
        <w:r w:rsidRPr="001D5327">
          <w:rPr>
            <w:rStyle w:val="Hyperlink"/>
          </w:rPr>
          <w:t>Parameter values applied by New Zealand for estimating nitrous oxide emissions for wastewater treatment for the meat industry</w:t>
        </w:r>
        <w:r w:rsidRPr="001D5327">
          <w:rPr>
            <w:webHidden/>
          </w:rPr>
          <w:tab/>
        </w:r>
        <w:r w:rsidRPr="001D5327">
          <w:rPr>
            <w:webHidden/>
          </w:rPr>
          <w:fldChar w:fldCharType="begin"/>
        </w:r>
        <w:r w:rsidRPr="001D5327">
          <w:rPr>
            <w:webHidden/>
          </w:rPr>
          <w:instrText xml:space="preserve"> PAGEREF _Toc194241828 \h </w:instrText>
        </w:r>
        <w:r w:rsidRPr="001D5327">
          <w:rPr>
            <w:webHidden/>
          </w:rPr>
        </w:r>
        <w:r w:rsidRPr="001D5327">
          <w:rPr>
            <w:webHidden/>
          </w:rPr>
          <w:fldChar w:fldCharType="separate"/>
        </w:r>
        <w:r w:rsidR="00B93180">
          <w:rPr>
            <w:noProof/>
            <w:webHidden/>
          </w:rPr>
          <w:t>346</w:t>
        </w:r>
        <w:r w:rsidRPr="001D5327">
          <w:rPr>
            <w:webHidden/>
          </w:rPr>
          <w:fldChar w:fldCharType="end"/>
        </w:r>
      </w:hyperlink>
    </w:p>
    <w:p w14:paraId="2C52243E" w14:textId="69F9AB25"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29" w:history="1">
        <w:r w:rsidRPr="001D5327">
          <w:rPr>
            <w:rStyle w:val="Hyperlink"/>
          </w:rPr>
          <w:t xml:space="preserve">Table 7.5.14 </w:t>
        </w:r>
        <w:r w:rsidRPr="001D5327">
          <w:rPr>
            <w:rFonts w:asciiTheme="minorHAnsi" w:eastAsiaTheme="minorEastAsia" w:hAnsiTheme="minorHAnsi" w:cstheme="minorBidi"/>
            <w:kern w:val="2"/>
            <w:sz w:val="24"/>
            <w:szCs w:val="24"/>
            <w14:ligatures w14:val="standardContextual"/>
          </w:rPr>
          <w:tab/>
        </w:r>
        <w:r w:rsidRPr="001D5327">
          <w:rPr>
            <w:rStyle w:val="Hyperlink"/>
          </w:rPr>
          <w:t>Parameter values applied by New Zealand for estimating nitrous oxide emissions for wastewater treatment for the dairy processing industry</w:t>
        </w:r>
        <w:r w:rsidRPr="001D5327">
          <w:rPr>
            <w:webHidden/>
          </w:rPr>
          <w:tab/>
        </w:r>
        <w:r w:rsidRPr="001D5327">
          <w:rPr>
            <w:webHidden/>
          </w:rPr>
          <w:fldChar w:fldCharType="begin"/>
        </w:r>
        <w:r w:rsidRPr="001D5327">
          <w:rPr>
            <w:webHidden/>
          </w:rPr>
          <w:instrText xml:space="preserve"> PAGEREF _Toc194241829 \h </w:instrText>
        </w:r>
        <w:r w:rsidRPr="001D5327">
          <w:rPr>
            <w:webHidden/>
          </w:rPr>
        </w:r>
        <w:r w:rsidRPr="001D5327">
          <w:rPr>
            <w:webHidden/>
          </w:rPr>
          <w:fldChar w:fldCharType="separate"/>
        </w:r>
        <w:r w:rsidR="00B93180">
          <w:rPr>
            <w:noProof/>
            <w:webHidden/>
          </w:rPr>
          <w:t>347</w:t>
        </w:r>
        <w:r w:rsidRPr="001D5327">
          <w:rPr>
            <w:webHidden/>
          </w:rPr>
          <w:fldChar w:fldCharType="end"/>
        </w:r>
      </w:hyperlink>
    </w:p>
    <w:p w14:paraId="664519DD" w14:textId="4C66092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30" w:history="1">
        <w:r w:rsidRPr="001D5327">
          <w:rPr>
            <w:rStyle w:val="Hyperlink"/>
          </w:rPr>
          <w:t xml:space="preserve">Table 7.5.15 </w:t>
        </w:r>
        <w:r w:rsidRPr="001D5327">
          <w:rPr>
            <w:rFonts w:asciiTheme="minorHAnsi" w:eastAsiaTheme="minorEastAsia" w:hAnsiTheme="minorHAnsi" w:cstheme="minorBidi"/>
            <w:kern w:val="2"/>
            <w:sz w:val="24"/>
            <w:szCs w:val="24"/>
            <w14:ligatures w14:val="standardContextual"/>
          </w:rPr>
          <w:tab/>
        </w:r>
        <w:r w:rsidRPr="001D5327">
          <w:rPr>
            <w:rStyle w:val="Hyperlink"/>
          </w:rPr>
          <w:t>Parameter values applied by New Zealand for estimating nitrous oxide emissions for wastewater treatment for the leather and skins industry</w:t>
        </w:r>
        <w:r w:rsidRPr="001D5327">
          <w:rPr>
            <w:webHidden/>
          </w:rPr>
          <w:tab/>
        </w:r>
        <w:r w:rsidRPr="001D5327">
          <w:rPr>
            <w:webHidden/>
          </w:rPr>
          <w:fldChar w:fldCharType="begin"/>
        </w:r>
        <w:r w:rsidRPr="001D5327">
          <w:rPr>
            <w:webHidden/>
          </w:rPr>
          <w:instrText xml:space="preserve"> PAGEREF _Toc194241830 \h </w:instrText>
        </w:r>
        <w:r w:rsidRPr="001D5327">
          <w:rPr>
            <w:webHidden/>
          </w:rPr>
        </w:r>
        <w:r w:rsidRPr="001D5327">
          <w:rPr>
            <w:webHidden/>
          </w:rPr>
          <w:fldChar w:fldCharType="separate"/>
        </w:r>
        <w:r w:rsidR="00B93180">
          <w:rPr>
            <w:noProof/>
            <w:webHidden/>
          </w:rPr>
          <w:t>347</w:t>
        </w:r>
        <w:r w:rsidRPr="001D5327">
          <w:rPr>
            <w:webHidden/>
          </w:rPr>
          <w:fldChar w:fldCharType="end"/>
        </w:r>
      </w:hyperlink>
    </w:p>
    <w:p w14:paraId="03FE2E19" w14:textId="49C4BDA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31" w:history="1">
        <w:r w:rsidRPr="001D5327">
          <w:rPr>
            <w:rStyle w:val="Hyperlink"/>
          </w:rPr>
          <w:t xml:space="preserve">Table 7.5.16 </w:t>
        </w:r>
        <w:r w:rsidRPr="001D5327">
          <w:rPr>
            <w:rFonts w:asciiTheme="minorHAnsi" w:eastAsiaTheme="minorEastAsia" w:hAnsiTheme="minorHAnsi" w:cstheme="minorBidi"/>
            <w:kern w:val="2"/>
            <w:sz w:val="24"/>
            <w:szCs w:val="24"/>
            <w14:ligatures w14:val="standardContextual"/>
          </w:rPr>
          <w:tab/>
        </w:r>
        <w:r w:rsidRPr="001D5327">
          <w:rPr>
            <w:rStyle w:val="Hyperlink"/>
          </w:rPr>
          <w:t>Uncertainty in emissions from wastewater</w:t>
        </w:r>
        <w:r w:rsidRPr="001D5327">
          <w:rPr>
            <w:webHidden/>
          </w:rPr>
          <w:tab/>
        </w:r>
        <w:r w:rsidRPr="001D5327">
          <w:rPr>
            <w:webHidden/>
          </w:rPr>
          <w:fldChar w:fldCharType="begin"/>
        </w:r>
        <w:r w:rsidRPr="001D5327">
          <w:rPr>
            <w:webHidden/>
          </w:rPr>
          <w:instrText xml:space="preserve"> PAGEREF _Toc194241831 \h </w:instrText>
        </w:r>
        <w:r w:rsidRPr="001D5327">
          <w:rPr>
            <w:webHidden/>
          </w:rPr>
        </w:r>
        <w:r w:rsidRPr="001D5327">
          <w:rPr>
            <w:webHidden/>
          </w:rPr>
          <w:fldChar w:fldCharType="separate"/>
        </w:r>
        <w:r w:rsidR="00B93180">
          <w:rPr>
            <w:noProof/>
            <w:webHidden/>
          </w:rPr>
          <w:t>347</w:t>
        </w:r>
        <w:r w:rsidRPr="001D5327">
          <w:rPr>
            <w:webHidden/>
          </w:rPr>
          <w:fldChar w:fldCharType="end"/>
        </w:r>
      </w:hyperlink>
    </w:p>
    <w:p w14:paraId="493B1D65" w14:textId="29767C27"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32" w:history="1">
        <w:r w:rsidRPr="001D5327">
          <w:rPr>
            <w:rStyle w:val="Hyperlink"/>
          </w:rPr>
          <w:t>Table 8.1.1</w:t>
        </w:r>
        <w:r w:rsidRPr="001D5327">
          <w:rPr>
            <w:rFonts w:asciiTheme="minorHAnsi" w:eastAsiaTheme="minorEastAsia" w:hAnsiTheme="minorHAnsi" w:cstheme="minorBidi"/>
            <w:kern w:val="2"/>
            <w:sz w:val="24"/>
            <w:szCs w:val="24"/>
            <w14:ligatures w14:val="standardContextual"/>
          </w:rPr>
          <w:tab/>
        </w:r>
        <w:r w:rsidRPr="001D5327">
          <w:rPr>
            <w:rStyle w:val="Hyperlink"/>
          </w:rPr>
          <w:t>Key sources for activity data in Tokelau</w:t>
        </w:r>
        <w:r w:rsidRPr="001D5327">
          <w:rPr>
            <w:webHidden/>
          </w:rPr>
          <w:tab/>
        </w:r>
        <w:r w:rsidRPr="001D5327">
          <w:rPr>
            <w:webHidden/>
          </w:rPr>
          <w:fldChar w:fldCharType="begin"/>
        </w:r>
        <w:r w:rsidRPr="001D5327">
          <w:rPr>
            <w:webHidden/>
          </w:rPr>
          <w:instrText xml:space="preserve"> PAGEREF _Toc194241832 \h </w:instrText>
        </w:r>
        <w:r w:rsidRPr="001D5327">
          <w:rPr>
            <w:webHidden/>
          </w:rPr>
        </w:r>
        <w:r w:rsidRPr="001D5327">
          <w:rPr>
            <w:webHidden/>
          </w:rPr>
          <w:fldChar w:fldCharType="separate"/>
        </w:r>
        <w:r w:rsidR="00B93180">
          <w:rPr>
            <w:noProof/>
            <w:webHidden/>
          </w:rPr>
          <w:t>354</w:t>
        </w:r>
        <w:r w:rsidRPr="001D5327">
          <w:rPr>
            <w:webHidden/>
          </w:rPr>
          <w:fldChar w:fldCharType="end"/>
        </w:r>
      </w:hyperlink>
    </w:p>
    <w:p w14:paraId="7BE37AE3" w14:textId="40648097"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33" w:history="1">
        <w:r w:rsidRPr="001D5327">
          <w:rPr>
            <w:rStyle w:val="Hyperlink"/>
          </w:rPr>
          <w:t>Table 8.1.2</w:t>
        </w:r>
        <w:r w:rsidRPr="001D5327">
          <w:rPr>
            <w:rFonts w:asciiTheme="minorHAnsi" w:eastAsiaTheme="minorEastAsia" w:hAnsiTheme="minorHAnsi" w:cstheme="minorBidi"/>
            <w:kern w:val="2"/>
            <w:sz w:val="24"/>
            <w:szCs w:val="24"/>
            <w14:ligatures w14:val="standardContextual"/>
          </w:rPr>
          <w:tab/>
        </w:r>
        <w:r w:rsidRPr="001D5327">
          <w:rPr>
            <w:rStyle w:val="Hyperlink"/>
          </w:rPr>
          <w:t>Gross emissions from Tokelau by gas in 1990 and 2023</w:t>
        </w:r>
        <w:r w:rsidRPr="001D5327">
          <w:rPr>
            <w:webHidden/>
          </w:rPr>
          <w:tab/>
        </w:r>
        <w:r w:rsidRPr="001D5327">
          <w:rPr>
            <w:webHidden/>
          </w:rPr>
          <w:fldChar w:fldCharType="begin"/>
        </w:r>
        <w:r w:rsidRPr="001D5327">
          <w:rPr>
            <w:webHidden/>
          </w:rPr>
          <w:instrText xml:space="preserve"> PAGEREF _Toc194241833 \h </w:instrText>
        </w:r>
        <w:r w:rsidRPr="001D5327">
          <w:rPr>
            <w:webHidden/>
          </w:rPr>
        </w:r>
        <w:r w:rsidRPr="001D5327">
          <w:rPr>
            <w:webHidden/>
          </w:rPr>
          <w:fldChar w:fldCharType="separate"/>
        </w:r>
        <w:r w:rsidR="00B93180">
          <w:rPr>
            <w:noProof/>
            <w:webHidden/>
          </w:rPr>
          <w:t>358</w:t>
        </w:r>
        <w:r w:rsidRPr="001D5327">
          <w:rPr>
            <w:webHidden/>
          </w:rPr>
          <w:fldChar w:fldCharType="end"/>
        </w:r>
      </w:hyperlink>
    </w:p>
    <w:p w14:paraId="60EE5671" w14:textId="7EE5356F"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34" w:history="1">
        <w:r w:rsidRPr="001D5327">
          <w:rPr>
            <w:rStyle w:val="Hyperlink"/>
          </w:rPr>
          <w:t>Table 8.3.1</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Uncertainties for the </w:t>
        </w:r>
        <w:r w:rsidRPr="001D5327">
          <w:rPr>
            <w:rStyle w:val="Hyperlink"/>
            <w:i/>
            <w:iCs/>
          </w:rPr>
          <w:t>Energy industries</w:t>
        </w:r>
        <w:r w:rsidRPr="001D5327">
          <w:rPr>
            <w:rStyle w:val="Hyperlink"/>
          </w:rPr>
          <w:t xml:space="preserve"> category</w:t>
        </w:r>
        <w:r w:rsidRPr="001D5327">
          <w:rPr>
            <w:webHidden/>
          </w:rPr>
          <w:tab/>
        </w:r>
        <w:r w:rsidRPr="001D5327">
          <w:rPr>
            <w:webHidden/>
          </w:rPr>
          <w:fldChar w:fldCharType="begin"/>
        </w:r>
        <w:r w:rsidRPr="001D5327">
          <w:rPr>
            <w:webHidden/>
          </w:rPr>
          <w:instrText xml:space="preserve"> PAGEREF _Toc194241834 \h </w:instrText>
        </w:r>
        <w:r w:rsidRPr="001D5327">
          <w:rPr>
            <w:webHidden/>
          </w:rPr>
        </w:r>
        <w:r w:rsidRPr="001D5327">
          <w:rPr>
            <w:webHidden/>
          </w:rPr>
          <w:fldChar w:fldCharType="separate"/>
        </w:r>
        <w:r w:rsidR="00B93180">
          <w:rPr>
            <w:noProof/>
            <w:webHidden/>
          </w:rPr>
          <w:t>364</w:t>
        </w:r>
        <w:r w:rsidRPr="001D5327">
          <w:rPr>
            <w:webHidden/>
          </w:rPr>
          <w:fldChar w:fldCharType="end"/>
        </w:r>
      </w:hyperlink>
    </w:p>
    <w:p w14:paraId="3277102F" w14:textId="3DFD5B54"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35" w:history="1">
        <w:r w:rsidRPr="001D5327">
          <w:rPr>
            <w:rStyle w:val="Hyperlink"/>
          </w:rPr>
          <w:t>Table 8.4.1</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Uncertainties for the </w:t>
        </w:r>
        <w:r w:rsidRPr="001D5327">
          <w:rPr>
            <w:rStyle w:val="Hyperlink"/>
            <w:i/>
            <w:iCs/>
          </w:rPr>
          <w:t>Other sectors – Residential</w:t>
        </w:r>
        <w:r w:rsidRPr="001D5327">
          <w:rPr>
            <w:rStyle w:val="Hyperlink"/>
          </w:rPr>
          <w:t xml:space="preserve"> category</w:t>
        </w:r>
        <w:r w:rsidRPr="001D5327">
          <w:rPr>
            <w:webHidden/>
          </w:rPr>
          <w:tab/>
        </w:r>
        <w:r w:rsidRPr="001D5327">
          <w:rPr>
            <w:webHidden/>
          </w:rPr>
          <w:fldChar w:fldCharType="begin"/>
        </w:r>
        <w:r w:rsidRPr="001D5327">
          <w:rPr>
            <w:webHidden/>
          </w:rPr>
          <w:instrText xml:space="preserve"> PAGEREF _Toc194241835 \h </w:instrText>
        </w:r>
        <w:r w:rsidRPr="001D5327">
          <w:rPr>
            <w:webHidden/>
          </w:rPr>
        </w:r>
        <w:r w:rsidRPr="001D5327">
          <w:rPr>
            <w:webHidden/>
          </w:rPr>
          <w:fldChar w:fldCharType="separate"/>
        </w:r>
        <w:r w:rsidR="00B93180">
          <w:rPr>
            <w:noProof/>
            <w:webHidden/>
          </w:rPr>
          <w:t>366</w:t>
        </w:r>
        <w:r w:rsidRPr="001D5327">
          <w:rPr>
            <w:webHidden/>
          </w:rPr>
          <w:fldChar w:fldCharType="end"/>
        </w:r>
      </w:hyperlink>
    </w:p>
    <w:p w14:paraId="1CB49A77" w14:textId="55788A39"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36" w:history="1">
        <w:r w:rsidRPr="001D5327">
          <w:rPr>
            <w:rStyle w:val="Hyperlink"/>
          </w:rPr>
          <w:t>Table 8.5.1</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Uncertainties for the </w:t>
        </w:r>
        <w:r w:rsidRPr="001D5327">
          <w:rPr>
            <w:rStyle w:val="Hyperlink"/>
            <w:i/>
            <w:iCs/>
          </w:rPr>
          <w:t>Domestic navigation</w:t>
        </w:r>
        <w:r w:rsidRPr="001D5327">
          <w:rPr>
            <w:rStyle w:val="Hyperlink"/>
          </w:rPr>
          <w:t xml:space="preserve"> (diesel) category</w:t>
        </w:r>
        <w:r w:rsidRPr="001D5327">
          <w:rPr>
            <w:webHidden/>
          </w:rPr>
          <w:tab/>
        </w:r>
        <w:r w:rsidRPr="001D5327">
          <w:rPr>
            <w:webHidden/>
          </w:rPr>
          <w:fldChar w:fldCharType="begin"/>
        </w:r>
        <w:r w:rsidRPr="001D5327">
          <w:rPr>
            <w:webHidden/>
          </w:rPr>
          <w:instrText xml:space="preserve"> PAGEREF _Toc194241836 \h </w:instrText>
        </w:r>
        <w:r w:rsidRPr="001D5327">
          <w:rPr>
            <w:webHidden/>
          </w:rPr>
        </w:r>
        <w:r w:rsidRPr="001D5327">
          <w:rPr>
            <w:webHidden/>
          </w:rPr>
          <w:fldChar w:fldCharType="separate"/>
        </w:r>
        <w:r w:rsidR="00B93180">
          <w:rPr>
            <w:noProof/>
            <w:webHidden/>
          </w:rPr>
          <w:t>369</w:t>
        </w:r>
        <w:r w:rsidRPr="001D5327">
          <w:rPr>
            <w:webHidden/>
          </w:rPr>
          <w:fldChar w:fldCharType="end"/>
        </w:r>
      </w:hyperlink>
    </w:p>
    <w:p w14:paraId="57969455" w14:textId="3048036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37" w:history="1">
        <w:r w:rsidRPr="001D5327">
          <w:rPr>
            <w:rStyle w:val="Hyperlink"/>
          </w:rPr>
          <w:t>Table 8.7.1</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Uncertainties for the </w:t>
        </w:r>
        <w:r w:rsidRPr="001D5327">
          <w:rPr>
            <w:rStyle w:val="Hyperlink"/>
            <w:i/>
            <w:iCs/>
          </w:rPr>
          <w:t>Refrigeration and air conditioning</w:t>
        </w:r>
        <w:r w:rsidRPr="001D5327">
          <w:rPr>
            <w:rStyle w:val="Hyperlink"/>
          </w:rPr>
          <w:t xml:space="preserve"> category</w:t>
        </w:r>
        <w:r w:rsidRPr="001D5327">
          <w:rPr>
            <w:webHidden/>
          </w:rPr>
          <w:tab/>
        </w:r>
        <w:r w:rsidRPr="001D5327">
          <w:rPr>
            <w:webHidden/>
          </w:rPr>
          <w:fldChar w:fldCharType="begin"/>
        </w:r>
        <w:r w:rsidRPr="001D5327">
          <w:rPr>
            <w:webHidden/>
          </w:rPr>
          <w:instrText xml:space="preserve"> PAGEREF _Toc194241837 \h </w:instrText>
        </w:r>
        <w:r w:rsidRPr="001D5327">
          <w:rPr>
            <w:webHidden/>
          </w:rPr>
        </w:r>
        <w:r w:rsidRPr="001D5327">
          <w:rPr>
            <w:webHidden/>
          </w:rPr>
          <w:fldChar w:fldCharType="separate"/>
        </w:r>
        <w:r w:rsidR="00B93180">
          <w:rPr>
            <w:noProof/>
            <w:webHidden/>
          </w:rPr>
          <w:t>372</w:t>
        </w:r>
        <w:r w:rsidRPr="001D5327">
          <w:rPr>
            <w:webHidden/>
          </w:rPr>
          <w:fldChar w:fldCharType="end"/>
        </w:r>
      </w:hyperlink>
    </w:p>
    <w:p w14:paraId="46C55732" w14:textId="58D450A1"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38" w:history="1">
        <w:r w:rsidRPr="001D5327">
          <w:rPr>
            <w:rStyle w:val="Hyperlink"/>
          </w:rPr>
          <w:t>Table 8.8.1</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Uncertainties for the </w:t>
        </w:r>
        <w:r w:rsidRPr="001D5327">
          <w:rPr>
            <w:rStyle w:val="Hyperlink"/>
            <w:i/>
            <w:iCs/>
          </w:rPr>
          <w:t>Other product manufacture and use</w:t>
        </w:r>
        <w:r w:rsidRPr="001D5327">
          <w:rPr>
            <w:rStyle w:val="Hyperlink"/>
          </w:rPr>
          <w:t xml:space="preserve"> category</w:t>
        </w:r>
        <w:r w:rsidRPr="001D5327">
          <w:rPr>
            <w:webHidden/>
          </w:rPr>
          <w:tab/>
        </w:r>
        <w:r w:rsidRPr="001D5327">
          <w:rPr>
            <w:webHidden/>
          </w:rPr>
          <w:fldChar w:fldCharType="begin"/>
        </w:r>
        <w:r w:rsidRPr="001D5327">
          <w:rPr>
            <w:webHidden/>
          </w:rPr>
          <w:instrText xml:space="preserve"> PAGEREF _Toc194241838 \h </w:instrText>
        </w:r>
        <w:r w:rsidRPr="001D5327">
          <w:rPr>
            <w:webHidden/>
          </w:rPr>
        </w:r>
        <w:r w:rsidRPr="001D5327">
          <w:rPr>
            <w:webHidden/>
          </w:rPr>
          <w:fldChar w:fldCharType="separate"/>
        </w:r>
        <w:r w:rsidR="00B93180">
          <w:rPr>
            <w:noProof/>
            <w:webHidden/>
          </w:rPr>
          <w:t>373</w:t>
        </w:r>
        <w:r w:rsidRPr="001D5327">
          <w:rPr>
            <w:webHidden/>
          </w:rPr>
          <w:fldChar w:fldCharType="end"/>
        </w:r>
      </w:hyperlink>
    </w:p>
    <w:p w14:paraId="1BAEFC99" w14:textId="238F1CDE"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39" w:history="1">
        <w:r w:rsidRPr="001D5327">
          <w:rPr>
            <w:rStyle w:val="Hyperlink"/>
          </w:rPr>
          <w:t>Table 8.10.1</w:t>
        </w:r>
        <w:r w:rsidRPr="001D5327">
          <w:rPr>
            <w:rFonts w:asciiTheme="minorHAnsi" w:eastAsiaTheme="minorEastAsia" w:hAnsiTheme="minorHAnsi" w:cstheme="minorBidi"/>
            <w:kern w:val="2"/>
            <w:sz w:val="24"/>
            <w:szCs w:val="24"/>
            <w14:ligatures w14:val="standardContextual"/>
          </w:rPr>
          <w:tab/>
        </w:r>
        <w:r w:rsidRPr="001D5327">
          <w:rPr>
            <w:rStyle w:val="Hyperlink"/>
          </w:rPr>
          <w:t>Number of livestock in Tokelau (2016)</w:t>
        </w:r>
        <w:r w:rsidRPr="001D5327">
          <w:rPr>
            <w:webHidden/>
          </w:rPr>
          <w:tab/>
        </w:r>
        <w:r w:rsidRPr="001D5327">
          <w:rPr>
            <w:webHidden/>
          </w:rPr>
          <w:fldChar w:fldCharType="begin"/>
        </w:r>
        <w:r w:rsidRPr="001D5327">
          <w:rPr>
            <w:webHidden/>
          </w:rPr>
          <w:instrText xml:space="preserve"> PAGEREF _Toc194241839 \h </w:instrText>
        </w:r>
        <w:r w:rsidRPr="001D5327">
          <w:rPr>
            <w:webHidden/>
          </w:rPr>
        </w:r>
        <w:r w:rsidRPr="001D5327">
          <w:rPr>
            <w:webHidden/>
          </w:rPr>
          <w:fldChar w:fldCharType="separate"/>
        </w:r>
        <w:r w:rsidR="00B93180">
          <w:rPr>
            <w:noProof/>
            <w:webHidden/>
          </w:rPr>
          <w:t>375</w:t>
        </w:r>
        <w:r w:rsidRPr="001D5327">
          <w:rPr>
            <w:webHidden/>
          </w:rPr>
          <w:fldChar w:fldCharType="end"/>
        </w:r>
      </w:hyperlink>
    </w:p>
    <w:p w14:paraId="231D2E7C" w14:textId="49ED5420"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40" w:history="1">
        <w:r w:rsidRPr="001D5327">
          <w:rPr>
            <w:rStyle w:val="Hyperlink"/>
          </w:rPr>
          <w:t>Table 8.13.1</w:t>
        </w:r>
        <w:r w:rsidRPr="001D5327">
          <w:rPr>
            <w:rFonts w:asciiTheme="minorHAnsi" w:eastAsiaTheme="minorEastAsia" w:hAnsiTheme="minorHAnsi" w:cstheme="minorBidi"/>
            <w:kern w:val="2"/>
            <w:sz w:val="24"/>
            <w:szCs w:val="24"/>
            <w14:ligatures w14:val="standardContextual"/>
          </w:rPr>
          <w:tab/>
        </w:r>
        <w:r w:rsidRPr="001D5327">
          <w:rPr>
            <w:rStyle w:val="Hyperlink"/>
          </w:rPr>
          <w:t>Summary of parameters for uncategorised landfills in Tokelau</w:t>
        </w:r>
        <w:r w:rsidRPr="001D5327">
          <w:rPr>
            <w:webHidden/>
          </w:rPr>
          <w:tab/>
        </w:r>
        <w:r w:rsidRPr="001D5327">
          <w:rPr>
            <w:webHidden/>
          </w:rPr>
          <w:fldChar w:fldCharType="begin"/>
        </w:r>
        <w:r w:rsidRPr="001D5327">
          <w:rPr>
            <w:webHidden/>
          </w:rPr>
          <w:instrText xml:space="preserve"> PAGEREF _Toc194241840 \h </w:instrText>
        </w:r>
        <w:r w:rsidRPr="001D5327">
          <w:rPr>
            <w:webHidden/>
          </w:rPr>
        </w:r>
        <w:r w:rsidRPr="001D5327">
          <w:rPr>
            <w:webHidden/>
          </w:rPr>
          <w:fldChar w:fldCharType="separate"/>
        </w:r>
        <w:r w:rsidR="00B93180">
          <w:rPr>
            <w:noProof/>
            <w:webHidden/>
          </w:rPr>
          <w:t>379</w:t>
        </w:r>
        <w:r w:rsidRPr="001D5327">
          <w:rPr>
            <w:webHidden/>
          </w:rPr>
          <w:fldChar w:fldCharType="end"/>
        </w:r>
      </w:hyperlink>
    </w:p>
    <w:p w14:paraId="318D07AA" w14:textId="7E662021"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41" w:history="1">
        <w:r w:rsidRPr="001D5327">
          <w:rPr>
            <w:rStyle w:val="Hyperlink"/>
          </w:rPr>
          <w:t>Table 8.13.2</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Uncertainty in emissions from the </w:t>
        </w:r>
        <w:r w:rsidRPr="001D5327">
          <w:rPr>
            <w:rStyle w:val="Hyperlink"/>
            <w:i/>
            <w:iCs/>
          </w:rPr>
          <w:t>Solid waste disposal</w:t>
        </w:r>
        <w:r w:rsidRPr="001D5327">
          <w:rPr>
            <w:rStyle w:val="Hyperlink"/>
          </w:rPr>
          <w:t xml:space="preserve"> category</w:t>
        </w:r>
        <w:r w:rsidRPr="001D5327">
          <w:rPr>
            <w:webHidden/>
          </w:rPr>
          <w:tab/>
        </w:r>
        <w:r w:rsidRPr="001D5327">
          <w:rPr>
            <w:webHidden/>
          </w:rPr>
          <w:fldChar w:fldCharType="begin"/>
        </w:r>
        <w:r w:rsidRPr="001D5327">
          <w:rPr>
            <w:webHidden/>
          </w:rPr>
          <w:instrText xml:space="preserve"> PAGEREF _Toc194241841 \h </w:instrText>
        </w:r>
        <w:r w:rsidRPr="001D5327">
          <w:rPr>
            <w:webHidden/>
          </w:rPr>
        </w:r>
        <w:r w:rsidRPr="001D5327">
          <w:rPr>
            <w:webHidden/>
          </w:rPr>
          <w:fldChar w:fldCharType="separate"/>
        </w:r>
        <w:r w:rsidR="00B93180">
          <w:rPr>
            <w:noProof/>
            <w:webHidden/>
          </w:rPr>
          <w:t>380</w:t>
        </w:r>
        <w:r w:rsidRPr="001D5327">
          <w:rPr>
            <w:webHidden/>
          </w:rPr>
          <w:fldChar w:fldCharType="end"/>
        </w:r>
      </w:hyperlink>
    </w:p>
    <w:p w14:paraId="0A6BDC94" w14:textId="1F8D8561"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42" w:history="1">
        <w:r w:rsidRPr="001D5327">
          <w:rPr>
            <w:rStyle w:val="Hyperlink"/>
          </w:rPr>
          <w:t>Table 8.14.1</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Composition data and carbon content used for estimating emissions from </w:t>
        </w:r>
        <w:r w:rsidRPr="001D5327">
          <w:rPr>
            <w:rStyle w:val="Hyperlink"/>
            <w:i/>
            <w:iCs/>
          </w:rPr>
          <w:t>Open burning of waste</w:t>
        </w:r>
        <w:r w:rsidRPr="001D5327">
          <w:rPr>
            <w:webHidden/>
          </w:rPr>
          <w:tab/>
        </w:r>
        <w:r w:rsidRPr="001D5327">
          <w:rPr>
            <w:webHidden/>
          </w:rPr>
          <w:fldChar w:fldCharType="begin"/>
        </w:r>
        <w:r w:rsidRPr="001D5327">
          <w:rPr>
            <w:webHidden/>
          </w:rPr>
          <w:instrText xml:space="preserve"> PAGEREF _Toc194241842 \h </w:instrText>
        </w:r>
        <w:r w:rsidRPr="001D5327">
          <w:rPr>
            <w:webHidden/>
          </w:rPr>
        </w:r>
        <w:r w:rsidRPr="001D5327">
          <w:rPr>
            <w:webHidden/>
          </w:rPr>
          <w:fldChar w:fldCharType="separate"/>
        </w:r>
        <w:r w:rsidR="00B93180">
          <w:rPr>
            <w:noProof/>
            <w:webHidden/>
          </w:rPr>
          <w:t>381</w:t>
        </w:r>
        <w:r w:rsidRPr="001D5327">
          <w:rPr>
            <w:webHidden/>
          </w:rPr>
          <w:fldChar w:fldCharType="end"/>
        </w:r>
      </w:hyperlink>
    </w:p>
    <w:p w14:paraId="66F9C8BE" w14:textId="7CDE84A8"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43" w:history="1">
        <w:r w:rsidRPr="001D5327">
          <w:rPr>
            <w:rStyle w:val="Hyperlink"/>
          </w:rPr>
          <w:t>Table 8.14.2</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Uncertainty in emissions from </w:t>
        </w:r>
        <w:r w:rsidRPr="001D5327">
          <w:rPr>
            <w:rStyle w:val="Hyperlink"/>
            <w:i/>
            <w:iCs/>
          </w:rPr>
          <w:t>Open burning of waste</w:t>
        </w:r>
        <w:r w:rsidRPr="001D5327">
          <w:rPr>
            <w:rStyle w:val="Hyperlink"/>
          </w:rPr>
          <w:t xml:space="preserve"> for Tokelau</w:t>
        </w:r>
        <w:r w:rsidRPr="001D5327">
          <w:rPr>
            <w:webHidden/>
          </w:rPr>
          <w:tab/>
        </w:r>
        <w:r w:rsidRPr="001D5327">
          <w:rPr>
            <w:webHidden/>
          </w:rPr>
          <w:fldChar w:fldCharType="begin"/>
        </w:r>
        <w:r w:rsidRPr="001D5327">
          <w:rPr>
            <w:webHidden/>
          </w:rPr>
          <w:instrText xml:space="preserve"> PAGEREF _Toc194241843 \h </w:instrText>
        </w:r>
        <w:r w:rsidRPr="001D5327">
          <w:rPr>
            <w:webHidden/>
          </w:rPr>
        </w:r>
        <w:r w:rsidRPr="001D5327">
          <w:rPr>
            <w:webHidden/>
          </w:rPr>
          <w:fldChar w:fldCharType="separate"/>
        </w:r>
        <w:r w:rsidR="00B93180">
          <w:rPr>
            <w:noProof/>
            <w:webHidden/>
          </w:rPr>
          <w:t>382</w:t>
        </w:r>
        <w:r w:rsidRPr="001D5327">
          <w:rPr>
            <w:webHidden/>
          </w:rPr>
          <w:fldChar w:fldCharType="end"/>
        </w:r>
      </w:hyperlink>
    </w:p>
    <w:p w14:paraId="17971CF5" w14:textId="6EA6C52B"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44" w:history="1">
        <w:r w:rsidRPr="001D5327">
          <w:rPr>
            <w:rStyle w:val="Hyperlink"/>
          </w:rPr>
          <w:t>Table 8.15.1</w:t>
        </w:r>
        <w:r w:rsidRPr="001D5327">
          <w:rPr>
            <w:rFonts w:asciiTheme="minorHAnsi" w:eastAsiaTheme="minorEastAsia" w:hAnsiTheme="minorHAnsi" w:cstheme="minorBidi"/>
            <w:kern w:val="2"/>
            <w:sz w:val="24"/>
            <w:szCs w:val="24"/>
            <w14:ligatures w14:val="standardContextual"/>
          </w:rPr>
          <w:tab/>
        </w:r>
        <w:r w:rsidRPr="001D5327">
          <w:rPr>
            <w:rStyle w:val="Hyperlink"/>
          </w:rPr>
          <w:t>Parameters for estimating methane emissions for Tokelau wastewater treatment</w:t>
        </w:r>
        <w:r w:rsidRPr="001D5327">
          <w:rPr>
            <w:webHidden/>
          </w:rPr>
          <w:tab/>
        </w:r>
        <w:r w:rsidRPr="001D5327">
          <w:rPr>
            <w:webHidden/>
          </w:rPr>
          <w:fldChar w:fldCharType="begin"/>
        </w:r>
        <w:r w:rsidRPr="001D5327">
          <w:rPr>
            <w:webHidden/>
          </w:rPr>
          <w:instrText xml:space="preserve"> PAGEREF _Toc194241844 \h </w:instrText>
        </w:r>
        <w:r w:rsidRPr="001D5327">
          <w:rPr>
            <w:webHidden/>
          </w:rPr>
        </w:r>
        <w:r w:rsidRPr="001D5327">
          <w:rPr>
            <w:webHidden/>
          </w:rPr>
          <w:fldChar w:fldCharType="separate"/>
        </w:r>
        <w:r w:rsidR="00B93180">
          <w:rPr>
            <w:noProof/>
            <w:webHidden/>
          </w:rPr>
          <w:t>383</w:t>
        </w:r>
        <w:r w:rsidRPr="001D5327">
          <w:rPr>
            <w:webHidden/>
          </w:rPr>
          <w:fldChar w:fldCharType="end"/>
        </w:r>
      </w:hyperlink>
    </w:p>
    <w:p w14:paraId="1B3EA71E" w14:textId="4C8FCAFD"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45" w:history="1">
        <w:r w:rsidRPr="001D5327">
          <w:rPr>
            <w:rStyle w:val="Hyperlink"/>
          </w:rPr>
          <w:t>Table 8.15.2</w:t>
        </w:r>
        <w:r w:rsidRPr="001D5327">
          <w:rPr>
            <w:rFonts w:asciiTheme="minorHAnsi" w:eastAsiaTheme="minorEastAsia" w:hAnsiTheme="minorHAnsi" w:cstheme="minorBidi"/>
            <w:kern w:val="2"/>
            <w:sz w:val="24"/>
            <w:szCs w:val="24"/>
            <w14:ligatures w14:val="standardContextual"/>
          </w:rPr>
          <w:tab/>
        </w:r>
        <w:r w:rsidRPr="001D5327">
          <w:rPr>
            <w:rStyle w:val="Hyperlink"/>
          </w:rPr>
          <w:t>Parameter values applied for estimating nitrous oxide emissions for Tokelau wastewater treatment</w:t>
        </w:r>
        <w:r w:rsidRPr="001D5327">
          <w:rPr>
            <w:webHidden/>
          </w:rPr>
          <w:tab/>
        </w:r>
        <w:r w:rsidRPr="001D5327">
          <w:rPr>
            <w:webHidden/>
          </w:rPr>
          <w:fldChar w:fldCharType="begin"/>
        </w:r>
        <w:r w:rsidRPr="001D5327">
          <w:rPr>
            <w:webHidden/>
          </w:rPr>
          <w:instrText xml:space="preserve"> PAGEREF _Toc194241845 \h </w:instrText>
        </w:r>
        <w:r w:rsidRPr="001D5327">
          <w:rPr>
            <w:webHidden/>
          </w:rPr>
        </w:r>
        <w:r w:rsidRPr="001D5327">
          <w:rPr>
            <w:webHidden/>
          </w:rPr>
          <w:fldChar w:fldCharType="separate"/>
        </w:r>
        <w:r w:rsidR="00B93180">
          <w:rPr>
            <w:noProof/>
            <w:webHidden/>
          </w:rPr>
          <w:t>384</w:t>
        </w:r>
        <w:r w:rsidRPr="001D5327">
          <w:rPr>
            <w:webHidden/>
          </w:rPr>
          <w:fldChar w:fldCharType="end"/>
        </w:r>
      </w:hyperlink>
    </w:p>
    <w:p w14:paraId="4D9DE1A5" w14:textId="01F59885"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46" w:history="1">
        <w:r w:rsidRPr="001D5327">
          <w:rPr>
            <w:rStyle w:val="Hyperlink"/>
          </w:rPr>
          <w:t>Table 8.15.3</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Uncertainty in emissions from </w:t>
        </w:r>
        <w:r w:rsidRPr="001D5327">
          <w:rPr>
            <w:rStyle w:val="Hyperlink"/>
            <w:i/>
            <w:iCs/>
          </w:rPr>
          <w:t>Domestic wastewater</w:t>
        </w:r>
        <w:r w:rsidRPr="001D5327">
          <w:rPr>
            <w:webHidden/>
          </w:rPr>
          <w:tab/>
        </w:r>
        <w:r w:rsidRPr="001D5327">
          <w:rPr>
            <w:webHidden/>
          </w:rPr>
          <w:fldChar w:fldCharType="begin"/>
        </w:r>
        <w:r w:rsidRPr="001D5327">
          <w:rPr>
            <w:webHidden/>
          </w:rPr>
          <w:instrText xml:space="preserve"> PAGEREF _Toc194241846 \h </w:instrText>
        </w:r>
        <w:r w:rsidRPr="001D5327">
          <w:rPr>
            <w:webHidden/>
          </w:rPr>
        </w:r>
        <w:r w:rsidRPr="001D5327">
          <w:rPr>
            <w:webHidden/>
          </w:rPr>
          <w:fldChar w:fldCharType="separate"/>
        </w:r>
        <w:r w:rsidR="00B93180">
          <w:rPr>
            <w:noProof/>
            <w:webHidden/>
          </w:rPr>
          <w:t>384</w:t>
        </w:r>
        <w:r w:rsidRPr="001D5327">
          <w:rPr>
            <w:webHidden/>
          </w:rPr>
          <w:fldChar w:fldCharType="end"/>
        </w:r>
      </w:hyperlink>
    </w:p>
    <w:p w14:paraId="3CE6562D" w14:textId="0FAD814C"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47" w:history="1">
        <w:r w:rsidRPr="001D5327">
          <w:rPr>
            <w:rStyle w:val="Hyperlink"/>
          </w:rPr>
          <w:t xml:space="preserve">Table 10.1.1 </w:t>
        </w:r>
        <w:r w:rsidRPr="001D5327">
          <w:rPr>
            <w:rFonts w:asciiTheme="minorHAnsi" w:eastAsiaTheme="minorEastAsia" w:hAnsiTheme="minorHAnsi" w:cstheme="minorBidi"/>
            <w:kern w:val="2"/>
            <w:sz w:val="24"/>
            <w:szCs w:val="24"/>
            <w14:ligatures w14:val="standardContextual"/>
          </w:rPr>
          <w:tab/>
        </w:r>
        <w:r w:rsidRPr="001D5327">
          <w:rPr>
            <w:rStyle w:val="Hyperlink"/>
          </w:rPr>
          <w:t>Explanations and justifications for recalculations</w:t>
        </w:r>
        <w:r w:rsidRPr="001D5327">
          <w:rPr>
            <w:webHidden/>
          </w:rPr>
          <w:tab/>
        </w:r>
        <w:r w:rsidRPr="001D5327">
          <w:rPr>
            <w:webHidden/>
          </w:rPr>
          <w:fldChar w:fldCharType="begin"/>
        </w:r>
        <w:r w:rsidRPr="001D5327">
          <w:rPr>
            <w:webHidden/>
          </w:rPr>
          <w:instrText xml:space="preserve"> PAGEREF _Toc194241847 \h </w:instrText>
        </w:r>
        <w:r w:rsidRPr="001D5327">
          <w:rPr>
            <w:webHidden/>
          </w:rPr>
        </w:r>
        <w:r w:rsidRPr="001D5327">
          <w:rPr>
            <w:webHidden/>
          </w:rPr>
          <w:fldChar w:fldCharType="separate"/>
        </w:r>
        <w:r w:rsidR="00B93180">
          <w:rPr>
            <w:noProof/>
            <w:webHidden/>
          </w:rPr>
          <w:t>387</w:t>
        </w:r>
        <w:r w:rsidRPr="001D5327">
          <w:rPr>
            <w:webHidden/>
          </w:rPr>
          <w:fldChar w:fldCharType="end"/>
        </w:r>
      </w:hyperlink>
    </w:p>
    <w:p w14:paraId="6B84D104" w14:textId="2C5B858C"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48" w:history="1">
        <w:r w:rsidRPr="001D5327">
          <w:rPr>
            <w:rStyle w:val="Hyperlink"/>
          </w:rPr>
          <w:t xml:space="preserve">Table 10.2.1 </w:t>
        </w:r>
        <w:r w:rsidRPr="001D5327">
          <w:rPr>
            <w:rFonts w:asciiTheme="minorHAnsi" w:eastAsiaTheme="minorEastAsia" w:hAnsiTheme="minorHAnsi" w:cstheme="minorBidi"/>
            <w:kern w:val="2"/>
            <w:sz w:val="24"/>
            <w:szCs w:val="24"/>
            <w14:ligatures w14:val="standardContextual"/>
          </w:rPr>
          <w:tab/>
        </w:r>
        <w:r w:rsidRPr="001D5327">
          <w:rPr>
            <w:rStyle w:val="Hyperlink"/>
          </w:rPr>
          <w:t>Recalculations that led to the greatest increase in emissions estimates in each sector</w:t>
        </w:r>
        <w:r w:rsidRPr="001D5327">
          <w:rPr>
            <w:webHidden/>
          </w:rPr>
          <w:tab/>
        </w:r>
        <w:r w:rsidRPr="001D5327">
          <w:rPr>
            <w:webHidden/>
          </w:rPr>
          <w:fldChar w:fldCharType="begin"/>
        </w:r>
        <w:r w:rsidRPr="001D5327">
          <w:rPr>
            <w:webHidden/>
          </w:rPr>
          <w:instrText xml:space="preserve"> PAGEREF _Toc194241848 \h </w:instrText>
        </w:r>
        <w:r w:rsidRPr="001D5327">
          <w:rPr>
            <w:webHidden/>
          </w:rPr>
        </w:r>
        <w:r w:rsidRPr="001D5327">
          <w:rPr>
            <w:webHidden/>
          </w:rPr>
          <w:fldChar w:fldCharType="separate"/>
        </w:r>
        <w:r w:rsidR="00B93180">
          <w:rPr>
            <w:noProof/>
            <w:webHidden/>
          </w:rPr>
          <w:t>390</w:t>
        </w:r>
        <w:r w:rsidRPr="001D5327">
          <w:rPr>
            <w:webHidden/>
          </w:rPr>
          <w:fldChar w:fldCharType="end"/>
        </w:r>
      </w:hyperlink>
    </w:p>
    <w:p w14:paraId="61536A08" w14:textId="176CC9F3"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49" w:history="1">
        <w:r w:rsidRPr="001D5327">
          <w:rPr>
            <w:rStyle w:val="Hyperlink"/>
          </w:rPr>
          <w:t xml:space="preserve">Table 10.2.2 </w:t>
        </w:r>
        <w:r w:rsidRPr="001D5327">
          <w:rPr>
            <w:rFonts w:asciiTheme="minorHAnsi" w:eastAsiaTheme="minorEastAsia" w:hAnsiTheme="minorHAnsi" w:cstheme="minorBidi"/>
            <w:kern w:val="2"/>
            <w:sz w:val="24"/>
            <w:szCs w:val="24"/>
            <w14:ligatures w14:val="standardContextual"/>
          </w:rPr>
          <w:tab/>
        </w:r>
        <w:r w:rsidRPr="001D5327">
          <w:rPr>
            <w:rStyle w:val="Hyperlink"/>
          </w:rPr>
          <w:t>Recalculations that led to the greatest decrease in emissions estimates in each sector</w:t>
        </w:r>
        <w:r w:rsidRPr="001D5327">
          <w:rPr>
            <w:webHidden/>
          </w:rPr>
          <w:tab/>
        </w:r>
        <w:r w:rsidRPr="001D5327">
          <w:rPr>
            <w:webHidden/>
          </w:rPr>
          <w:fldChar w:fldCharType="begin"/>
        </w:r>
        <w:r w:rsidRPr="001D5327">
          <w:rPr>
            <w:webHidden/>
          </w:rPr>
          <w:instrText xml:space="preserve"> PAGEREF _Toc194241849 \h </w:instrText>
        </w:r>
        <w:r w:rsidRPr="001D5327">
          <w:rPr>
            <w:webHidden/>
          </w:rPr>
        </w:r>
        <w:r w:rsidRPr="001D5327">
          <w:rPr>
            <w:webHidden/>
          </w:rPr>
          <w:fldChar w:fldCharType="separate"/>
        </w:r>
        <w:r w:rsidR="00B93180">
          <w:rPr>
            <w:noProof/>
            <w:webHidden/>
          </w:rPr>
          <w:t>391</w:t>
        </w:r>
        <w:r w:rsidRPr="001D5327">
          <w:rPr>
            <w:webHidden/>
          </w:rPr>
          <w:fldChar w:fldCharType="end"/>
        </w:r>
      </w:hyperlink>
    </w:p>
    <w:p w14:paraId="58179E2E" w14:textId="74573E2D"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50" w:history="1">
        <w:r w:rsidRPr="001D5327">
          <w:rPr>
            <w:rStyle w:val="Hyperlink"/>
          </w:rPr>
          <w:t>Table 10.2.3</w:t>
        </w:r>
        <w:r w:rsidRPr="001D5327">
          <w:rPr>
            <w:rFonts w:asciiTheme="minorHAnsi" w:eastAsiaTheme="minorEastAsia" w:hAnsiTheme="minorHAnsi" w:cstheme="minorBidi"/>
            <w:kern w:val="2"/>
            <w:sz w:val="24"/>
            <w:szCs w:val="24"/>
            <w14:ligatures w14:val="standardContextual"/>
          </w:rPr>
          <w:tab/>
        </w:r>
        <w:r w:rsidRPr="001D5327">
          <w:rPr>
            <w:rStyle w:val="Hyperlink"/>
          </w:rPr>
          <w:t>Emissions impact of changing minor species population estimates</w:t>
        </w:r>
        <w:r w:rsidRPr="001D5327">
          <w:rPr>
            <w:webHidden/>
          </w:rPr>
          <w:tab/>
        </w:r>
        <w:r w:rsidRPr="001D5327">
          <w:rPr>
            <w:webHidden/>
          </w:rPr>
          <w:fldChar w:fldCharType="begin"/>
        </w:r>
        <w:r w:rsidRPr="001D5327">
          <w:rPr>
            <w:webHidden/>
          </w:rPr>
          <w:instrText xml:space="preserve"> PAGEREF _Toc194241850 \h </w:instrText>
        </w:r>
        <w:r w:rsidRPr="001D5327">
          <w:rPr>
            <w:webHidden/>
          </w:rPr>
        </w:r>
        <w:r w:rsidRPr="001D5327">
          <w:rPr>
            <w:webHidden/>
          </w:rPr>
          <w:fldChar w:fldCharType="separate"/>
        </w:r>
        <w:r w:rsidR="00B93180">
          <w:rPr>
            <w:noProof/>
            <w:webHidden/>
          </w:rPr>
          <w:t>394</w:t>
        </w:r>
        <w:r w:rsidRPr="001D5327">
          <w:rPr>
            <w:webHidden/>
          </w:rPr>
          <w:fldChar w:fldCharType="end"/>
        </w:r>
      </w:hyperlink>
    </w:p>
    <w:p w14:paraId="1D1C2C6B" w14:textId="6129B997"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51" w:history="1">
        <w:r w:rsidRPr="001D5327">
          <w:rPr>
            <w:rStyle w:val="Hyperlink"/>
          </w:rPr>
          <w:t>Table 10.2.4</w:t>
        </w:r>
        <w:r w:rsidRPr="001D5327">
          <w:rPr>
            <w:rFonts w:asciiTheme="minorHAnsi" w:eastAsiaTheme="minorEastAsia" w:hAnsiTheme="minorHAnsi" w:cstheme="minorBidi"/>
            <w:kern w:val="2"/>
            <w:sz w:val="24"/>
            <w:szCs w:val="24"/>
            <w14:ligatures w14:val="standardContextual"/>
          </w:rPr>
          <w:tab/>
        </w:r>
        <w:r w:rsidRPr="001D5327">
          <w:rPr>
            <w:rStyle w:val="Hyperlink"/>
          </w:rPr>
          <w:t>Emissions impact of updating the deer population and productivity statistics</w:t>
        </w:r>
        <w:r w:rsidRPr="001D5327">
          <w:rPr>
            <w:webHidden/>
          </w:rPr>
          <w:tab/>
        </w:r>
        <w:r w:rsidRPr="001D5327">
          <w:rPr>
            <w:webHidden/>
          </w:rPr>
          <w:fldChar w:fldCharType="begin"/>
        </w:r>
        <w:r w:rsidRPr="001D5327">
          <w:rPr>
            <w:webHidden/>
          </w:rPr>
          <w:instrText xml:space="preserve"> PAGEREF _Toc194241851 \h </w:instrText>
        </w:r>
        <w:r w:rsidRPr="001D5327">
          <w:rPr>
            <w:webHidden/>
          </w:rPr>
        </w:r>
        <w:r w:rsidRPr="001D5327">
          <w:rPr>
            <w:webHidden/>
          </w:rPr>
          <w:fldChar w:fldCharType="separate"/>
        </w:r>
        <w:r w:rsidR="00B93180">
          <w:rPr>
            <w:noProof/>
            <w:webHidden/>
          </w:rPr>
          <w:t>395</w:t>
        </w:r>
        <w:r w:rsidRPr="001D5327">
          <w:rPr>
            <w:webHidden/>
          </w:rPr>
          <w:fldChar w:fldCharType="end"/>
        </w:r>
      </w:hyperlink>
    </w:p>
    <w:p w14:paraId="5CE0D950" w14:textId="5D2A070B"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52" w:history="1">
        <w:r w:rsidRPr="001D5327">
          <w:rPr>
            <w:rStyle w:val="Hyperlink"/>
          </w:rPr>
          <w:t>Table 10.2.5</w:t>
        </w:r>
        <w:r w:rsidRPr="001D5327">
          <w:rPr>
            <w:rFonts w:asciiTheme="minorHAnsi" w:eastAsiaTheme="minorEastAsia" w:hAnsiTheme="minorHAnsi" w:cstheme="minorBidi"/>
            <w:kern w:val="2"/>
            <w:sz w:val="24"/>
            <w:szCs w:val="24"/>
            <w14:ligatures w14:val="standardContextual"/>
          </w:rPr>
          <w:tab/>
        </w:r>
        <w:r w:rsidRPr="001D5327">
          <w:rPr>
            <w:rStyle w:val="Hyperlink"/>
          </w:rPr>
          <w:t>Emissions impact of updating the pig calculations</w:t>
        </w:r>
        <w:r w:rsidRPr="001D5327">
          <w:rPr>
            <w:webHidden/>
          </w:rPr>
          <w:tab/>
        </w:r>
        <w:r w:rsidRPr="001D5327">
          <w:rPr>
            <w:webHidden/>
          </w:rPr>
          <w:fldChar w:fldCharType="begin"/>
        </w:r>
        <w:r w:rsidRPr="001D5327">
          <w:rPr>
            <w:webHidden/>
          </w:rPr>
          <w:instrText xml:space="preserve"> PAGEREF _Toc194241852 \h </w:instrText>
        </w:r>
        <w:r w:rsidRPr="001D5327">
          <w:rPr>
            <w:webHidden/>
          </w:rPr>
        </w:r>
        <w:r w:rsidRPr="001D5327">
          <w:rPr>
            <w:webHidden/>
          </w:rPr>
          <w:fldChar w:fldCharType="separate"/>
        </w:r>
        <w:r w:rsidR="00B93180">
          <w:rPr>
            <w:noProof/>
            <w:webHidden/>
          </w:rPr>
          <w:t>395</w:t>
        </w:r>
        <w:r w:rsidRPr="001D5327">
          <w:rPr>
            <w:webHidden/>
          </w:rPr>
          <w:fldChar w:fldCharType="end"/>
        </w:r>
      </w:hyperlink>
    </w:p>
    <w:p w14:paraId="38FDC71A" w14:textId="01692C63"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53" w:history="1">
        <w:r w:rsidRPr="001D5327">
          <w:rPr>
            <w:rStyle w:val="Hyperlink"/>
          </w:rPr>
          <w:t>Table 10.2.6</w:t>
        </w:r>
        <w:r w:rsidRPr="001D5327">
          <w:rPr>
            <w:rFonts w:asciiTheme="minorHAnsi" w:eastAsiaTheme="minorEastAsia" w:hAnsiTheme="minorHAnsi" w:cstheme="minorBidi"/>
            <w:kern w:val="2"/>
            <w:sz w:val="24"/>
            <w:szCs w:val="24"/>
            <w14:ligatures w14:val="standardContextual"/>
          </w:rPr>
          <w:tab/>
        </w:r>
        <w:r w:rsidRPr="001D5327">
          <w:rPr>
            <w:rStyle w:val="Hyperlink"/>
          </w:rPr>
          <w:t>Emissions impact of introducing seasonality into wool growth</w:t>
        </w:r>
        <w:r w:rsidRPr="001D5327">
          <w:rPr>
            <w:webHidden/>
          </w:rPr>
          <w:tab/>
        </w:r>
        <w:r w:rsidRPr="001D5327">
          <w:rPr>
            <w:webHidden/>
          </w:rPr>
          <w:fldChar w:fldCharType="begin"/>
        </w:r>
        <w:r w:rsidRPr="001D5327">
          <w:rPr>
            <w:webHidden/>
          </w:rPr>
          <w:instrText xml:space="preserve"> PAGEREF _Toc194241853 \h </w:instrText>
        </w:r>
        <w:r w:rsidRPr="001D5327">
          <w:rPr>
            <w:webHidden/>
          </w:rPr>
        </w:r>
        <w:r w:rsidRPr="001D5327">
          <w:rPr>
            <w:webHidden/>
          </w:rPr>
          <w:fldChar w:fldCharType="separate"/>
        </w:r>
        <w:r w:rsidR="00B93180">
          <w:rPr>
            <w:noProof/>
            <w:webHidden/>
          </w:rPr>
          <w:t>396</w:t>
        </w:r>
        <w:r w:rsidRPr="001D5327">
          <w:rPr>
            <w:webHidden/>
          </w:rPr>
          <w:fldChar w:fldCharType="end"/>
        </w:r>
      </w:hyperlink>
    </w:p>
    <w:p w14:paraId="7ACBFFA4" w14:textId="1D4DCB34"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54" w:history="1">
        <w:r w:rsidRPr="001D5327">
          <w:rPr>
            <w:rStyle w:val="Hyperlink"/>
          </w:rPr>
          <w:t>Table 10.2.7</w:t>
        </w:r>
        <w:r w:rsidRPr="001D5327">
          <w:rPr>
            <w:rFonts w:asciiTheme="minorHAnsi" w:eastAsiaTheme="minorEastAsia" w:hAnsiTheme="minorHAnsi" w:cstheme="minorBidi"/>
            <w:kern w:val="2"/>
            <w:sz w:val="24"/>
            <w:szCs w:val="24"/>
            <w14:ligatures w14:val="standardContextual"/>
          </w:rPr>
          <w:tab/>
        </w:r>
        <w:r w:rsidRPr="001D5327">
          <w:rPr>
            <w:rStyle w:val="Hyperlink"/>
          </w:rPr>
          <w:t>Emissions impact of including non-manure organic amendments to soil</w:t>
        </w:r>
        <w:r w:rsidRPr="001D5327">
          <w:rPr>
            <w:webHidden/>
          </w:rPr>
          <w:tab/>
        </w:r>
        <w:r w:rsidRPr="001D5327">
          <w:rPr>
            <w:webHidden/>
          </w:rPr>
          <w:fldChar w:fldCharType="begin"/>
        </w:r>
        <w:r w:rsidRPr="001D5327">
          <w:rPr>
            <w:webHidden/>
          </w:rPr>
          <w:instrText xml:space="preserve"> PAGEREF _Toc194241854 \h </w:instrText>
        </w:r>
        <w:r w:rsidRPr="001D5327">
          <w:rPr>
            <w:webHidden/>
          </w:rPr>
        </w:r>
        <w:r w:rsidRPr="001D5327">
          <w:rPr>
            <w:webHidden/>
          </w:rPr>
          <w:fldChar w:fldCharType="separate"/>
        </w:r>
        <w:r w:rsidR="00B93180">
          <w:rPr>
            <w:noProof/>
            <w:webHidden/>
          </w:rPr>
          <w:t>397</w:t>
        </w:r>
        <w:r w:rsidRPr="001D5327">
          <w:rPr>
            <w:webHidden/>
          </w:rPr>
          <w:fldChar w:fldCharType="end"/>
        </w:r>
      </w:hyperlink>
    </w:p>
    <w:p w14:paraId="7F1B368D" w14:textId="64C93313"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55" w:history="1">
        <w:r w:rsidRPr="001D5327">
          <w:rPr>
            <w:rStyle w:val="Hyperlink"/>
          </w:rPr>
          <w:t>Table 10.2.8</w:t>
        </w:r>
        <w:r w:rsidRPr="001D5327">
          <w:rPr>
            <w:rFonts w:asciiTheme="minorHAnsi" w:eastAsiaTheme="minorEastAsia" w:hAnsiTheme="minorHAnsi" w:cstheme="minorBidi"/>
            <w:kern w:val="2"/>
            <w:sz w:val="24"/>
            <w:szCs w:val="24"/>
            <w14:ligatures w14:val="standardContextual"/>
          </w:rPr>
          <w:tab/>
        </w:r>
        <w:r w:rsidRPr="001D5327">
          <w:rPr>
            <w:rStyle w:val="Hyperlink"/>
          </w:rPr>
          <w:t>Emissions impact of i</w:t>
        </w:r>
        <w:r w:rsidRPr="001D5327">
          <w:rPr>
            <w:rStyle w:val="Hyperlink"/>
            <w:bCs/>
          </w:rPr>
          <w:t>mprovements and corrections to model code</w:t>
        </w:r>
        <w:r w:rsidRPr="001D5327">
          <w:rPr>
            <w:webHidden/>
          </w:rPr>
          <w:tab/>
        </w:r>
        <w:r w:rsidRPr="001D5327">
          <w:rPr>
            <w:webHidden/>
          </w:rPr>
          <w:fldChar w:fldCharType="begin"/>
        </w:r>
        <w:r w:rsidRPr="001D5327">
          <w:rPr>
            <w:webHidden/>
          </w:rPr>
          <w:instrText xml:space="preserve"> PAGEREF _Toc194241855 \h </w:instrText>
        </w:r>
        <w:r w:rsidRPr="001D5327">
          <w:rPr>
            <w:webHidden/>
          </w:rPr>
        </w:r>
        <w:r w:rsidRPr="001D5327">
          <w:rPr>
            <w:webHidden/>
          </w:rPr>
          <w:fldChar w:fldCharType="separate"/>
        </w:r>
        <w:r w:rsidR="00B93180">
          <w:rPr>
            <w:noProof/>
            <w:webHidden/>
          </w:rPr>
          <w:t>397</w:t>
        </w:r>
        <w:r w:rsidRPr="001D5327">
          <w:rPr>
            <w:webHidden/>
          </w:rPr>
          <w:fldChar w:fldCharType="end"/>
        </w:r>
      </w:hyperlink>
    </w:p>
    <w:p w14:paraId="5208C8B7" w14:textId="7F86ED1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56" w:history="1">
        <w:r w:rsidRPr="001D5327">
          <w:rPr>
            <w:rStyle w:val="Hyperlink"/>
          </w:rPr>
          <w:t>Table 10.2.9</w:t>
        </w:r>
        <w:r w:rsidRPr="001D5327">
          <w:rPr>
            <w:rFonts w:asciiTheme="minorHAnsi" w:eastAsiaTheme="minorEastAsia" w:hAnsiTheme="minorHAnsi" w:cstheme="minorBidi"/>
            <w:kern w:val="2"/>
            <w:sz w:val="24"/>
            <w:szCs w:val="24"/>
            <w14:ligatures w14:val="standardContextual"/>
          </w:rPr>
          <w:tab/>
        </w:r>
        <w:r w:rsidRPr="001D5327">
          <w:rPr>
            <w:rStyle w:val="Hyperlink"/>
          </w:rPr>
          <w:t>Emissions impact of revision to agricultural statistics</w:t>
        </w:r>
        <w:r w:rsidRPr="001D5327">
          <w:rPr>
            <w:webHidden/>
          </w:rPr>
          <w:tab/>
        </w:r>
        <w:r w:rsidRPr="001D5327">
          <w:rPr>
            <w:webHidden/>
          </w:rPr>
          <w:fldChar w:fldCharType="begin"/>
        </w:r>
        <w:r w:rsidRPr="001D5327">
          <w:rPr>
            <w:webHidden/>
          </w:rPr>
          <w:instrText xml:space="preserve"> PAGEREF _Toc194241856 \h </w:instrText>
        </w:r>
        <w:r w:rsidRPr="001D5327">
          <w:rPr>
            <w:webHidden/>
          </w:rPr>
        </w:r>
        <w:r w:rsidRPr="001D5327">
          <w:rPr>
            <w:webHidden/>
          </w:rPr>
          <w:fldChar w:fldCharType="separate"/>
        </w:r>
        <w:r w:rsidR="00B93180">
          <w:rPr>
            <w:noProof/>
            <w:webHidden/>
          </w:rPr>
          <w:t>398</w:t>
        </w:r>
        <w:r w:rsidRPr="001D5327">
          <w:rPr>
            <w:webHidden/>
          </w:rPr>
          <w:fldChar w:fldCharType="end"/>
        </w:r>
      </w:hyperlink>
    </w:p>
    <w:p w14:paraId="3608FA4F" w14:textId="526EE995"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57" w:history="1">
        <w:r w:rsidRPr="001D5327">
          <w:rPr>
            <w:rStyle w:val="Hyperlink"/>
          </w:rPr>
          <w:t>Table 10.3.1</w:t>
        </w:r>
        <w:r w:rsidRPr="001D5327">
          <w:rPr>
            <w:rFonts w:asciiTheme="minorHAnsi" w:eastAsiaTheme="minorEastAsia" w:hAnsiTheme="minorHAnsi" w:cstheme="minorBidi"/>
            <w:kern w:val="2"/>
            <w:sz w:val="24"/>
            <w:szCs w:val="24"/>
            <w14:ligatures w14:val="standardContextual"/>
          </w:rPr>
          <w:tab/>
        </w:r>
        <w:r w:rsidRPr="001D5327">
          <w:rPr>
            <w:rStyle w:val="Hyperlink"/>
          </w:rPr>
          <w:t xml:space="preserve">New Zealand’s response to the status of the recommendations included in table 3 </w:t>
        </w:r>
        <w:r w:rsidRPr="001D5327">
          <w:rPr>
            <w:rStyle w:val="Hyperlink"/>
            <w:bCs/>
          </w:rPr>
          <w:t>of UNFCCC (2023)</w:t>
        </w:r>
        <w:r w:rsidRPr="001D5327">
          <w:rPr>
            <w:webHidden/>
          </w:rPr>
          <w:tab/>
        </w:r>
        <w:r w:rsidRPr="001D5327">
          <w:rPr>
            <w:webHidden/>
          </w:rPr>
          <w:fldChar w:fldCharType="begin"/>
        </w:r>
        <w:r w:rsidRPr="001D5327">
          <w:rPr>
            <w:webHidden/>
          </w:rPr>
          <w:instrText xml:space="preserve"> PAGEREF _Toc194241857 \h </w:instrText>
        </w:r>
        <w:r w:rsidRPr="001D5327">
          <w:rPr>
            <w:webHidden/>
          </w:rPr>
        </w:r>
        <w:r w:rsidRPr="001D5327">
          <w:rPr>
            <w:webHidden/>
          </w:rPr>
          <w:fldChar w:fldCharType="separate"/>
        </w:r>
        <w:r w:rsidR="00B93180">
          <w:rPr>
            <w:noProof/>
            <w:webHidden/>
          </w:rPr>
          <w:t>402</w:t>
        </w:r>
        <w:r w:rsidRPr="001D5327">
          <w:rPr>
            <w:webHidden/>
          </w:rPr>
          <w:fldChar w:fldCharType="end"/>
        </w:r>
      </w:hyperlink>
    </w:p>
    <w:p w14:paraId="11777CC6" w14:textId="2530DE32" w:rsidR="00EA733B" w:rsidRPr="001D5327" w:rsidRDefault="00EA733B">
      <w:pPr>
        <w:pStyle w:val="TableofFigures"/>
        <w:rPr>
          <w:rFonts w:asciiTheme="minorHAnsi" w:eastAsiaTheme="minorEastAsia" w:hAnsiTheme="minorHAnsi" w:cstheme="minorBidi"/>
          <w:kern w:val="2"/>
          <w:sz w:val="24"/>
          <w:szCs w:val="24"/>
          <w14:ligatures w14:val="standardContextual"/>
        </w:rPr>
      </w:pPr>
      <w:hyperlink w:anchor="_Toc194241858" w:history="1">
        <w:r w:rsidRPr="001D5327">
          <w:rPr>
            <w:rStyle w:val="Hyperlink"/>
          </w:rPr>
          <w:t xml:space="preserve">Table 10.3.2 </w:t>
        </w:r>
        <w:r w:rsidRPr="001D5327">
          <w:rPr>
            <w:rFonts w:asciiTheme="minorHAnsi" w:eastAsiaTheme="minorEastAsia" w:hAnsiTheme="minorHAnsi" w:cstheme="minorBidi"/>
            <w:kern w:val="2"/>
            <w:sz w:val="24"/>
            <w:szCs w:val="24"/>
            <w14:ligatures w14:val="standardContextual"/>
          </w:rPr>
          <w:tab/>
        </w:r>
        <w:r w:rsidRPr="001D5327">
          <w:rPr>
            <w:rStyle w:val="Hyperlink"/>
          </w:rPr>
          <w:t>New Zealand’s response to the additional findings made during the individual review of the 2022 annual submission</w:t>
        </w:r>
        <w:r w:rsidRPr="001D5327">
          <w:rPr>
            <w:webHidden/>
          </w:rPr>
          <w:tab/>
        </w:r>
        <w:r w:rsidRPr="001D5327">
          <w:rPr>
            <w:webHidden/>
          </w:rPr>
          <w:fldChar w:fldCharType="begin"/>
        </w:r>
        <w:r w:rsidRPr="001D5327">
          <w:rPr>
            <w:webHidden/>
          </w:rPr>
          <w:instrText xml:space="preserve"> PAGEREF _Toc194241858 \h </w:instrText>
        </w:r>
        <w:r w:rsidRPr="001D5327">
          <w:rPr>
            <w:webHidden/>
          </w:rPr>
        </w:r>
        <w:r w:rsidRPr="001D5327">
          <w:rPr>
            <w:webHidden/>
          </w:rPr>
          <w:fldChar w:fldCharType="separate"/>
        </w:r>
        <w:r w:rsidR="00B93180">
          <w:rPr>
            <w:noProof/>
            <w:webHidden/>
          </w:rPr>
          <w:t>421</w:t>
        </w:r>
        <w:r w:rsidRPr="001D5327">
          <w:rPr>
            <w:webHidden/>
          </w:rPr>
          <w:fldChar w:fldCharType="end"/>
        </w:r>
      </w:hyperlink>
    </w:p>
    <w:p w14:paraId="53127C67" w14:textId="2FFA63C4" w:rsidR="00E33B6A" w:rsidRPr="001D5327" w:rsidRDefault="00AA0E48" w:rsidP="00E33B6A">
      <w:r w:rsidRPr="001D5327">
        <w:rPr>
          <w:rFonts w:ascii="Arial" w:hAnsi="Arial"/>
          <w:sz w:val="20"/>
        </w:rPr>
        <w:fldChar w:fldCharType="end"/>
      </w:r>
    </w:p>
    <w:p w14:paraId="033B836B" w14:textId="77777777" w:rsidR="00E33B6A" w:rsidRPr="001D5327" w:rsidRDefault="00E33B6A" w:rsidP="00E33B6A"/>
    <w:p w14:paraId="24ACD834" w14:textId="77777777" w:rsidR="00244FA2" w:rsidRPr="00244FA2" w:rsidRDefault="00244FA2" w:rsidP="00244FA2">
      <w:pPr>
        <w:pStyle w:val="BodyText"/>
      </w:pPr>
      <w:r w:rsidRPr="00244FA2">
        <w:br w:type="page"/>
      </w:r>
    </w:p>
    <w:p w14:paraId="1D2D500D" w14:textId="3D133389" w:rsidR="00E33B6A" w:rsidRPr="001D5327" w:rsidRDefault="00E33B6A" w:rsidP="003B0F83">
      <w:pPr>
        <w:pStyle w:val="Heading"/>
      </w:pPr>
      <w:r w:rsidRPr="001D5327">
        <w:lastRenderedPageBreak/>
        <w:t>Figures</w:t>
      </w:r>
    </w:p>
    <w:p w14:paraId="19FE31D5" w14:textId="5AB1F87D" w:rsidR="004D35B8" w:rsidRDefault="004D35B8">
      <w:pPr>
        <w:pStyle w:val="TableofFigures"/>
        <w:rPr>
          <w:rFonts w:asciiTheme="minorHAnsi" w:eastAsiaTheme="minorEastAsia" w:hAnsiTheme="minorHAnsi" w:cstheme="minorBidi"/>
          <w:noProof/>
          <w:kern w:val="2"/>
          <w:sz w:val="24"/>
          <w:szCs w:val="24"/>
          <w14:ligatures w14:val="standardContextual"/>
        </w:rPr>
      </w:pPr>
      <w:r>
        <w:rPr>
          <w:rFonts w:ascii="Arial" w:hAnsi="Arial"/>
        </w:rPr>
        <w:fldChar w:fldCharType="begin"/>
      </w:r>
      <w:r>
        <w:rPr>
          <w:rFonts w:ascii="Arial" w:hAnsi="Arial"/>
        </w:rPr>
        <w:instrText xml:space="preserve"> TOC \h \z \t "Figure" \c </w:instrText>
      </w:r>
      <w:r>
        <w:rPr>
          <w:rFonts w:ascii="Arial" w:hAnsi="Arial"/>
        </w:rPr>
        <w:fldChar w:fldCharType="separate"/>
      </w:r>
      <w:hyperlink w:anchor="_Toc194674817" w:history="1">
        <w:r w:rsidRPr="009400D0">
          <w:rPr>
            <w:rStyle w:val="Hyperlink"/>
            <w:bCs/>
            <w:noProof/>
          </w:rPr>
          <w:t>Figure ES 2.1</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New Zealand’s gross and net emissions (under the Convention), from </w:t>
        </w:r>
        <w:r w:rsidRPr="009400D0">
          <w:rPr>
            <w:rStyle w:val="Hyperlink"/>
            <w:bCs/>
            <w:noProof/>
          </w:rPr>
          <w:t>1990</w:t>
        </w:r>
        <w:r w:rsidRPr="009400D0">
          <w:rPr>
            <w:rStyle w:val="Hyperlink"/>
            <w:noProof/>
          </w:rPr>
          <w:t> to </w:t>
        </w:r>
        <w:r w:rsidRPr="009400D0">
          <w:rPr>
            <w:rStyle w:val="Hyperlink"/>
            <w:bCs/>
            <w:noProof/>
          </w:rPr>
          <w:t>2023</w:t>
        </w:r>
        <w:r>
          <w:rPr>
            <w:noProof/>
            <w:webHidden/>
          </w:rPr>
          <w:tab/>
        </w:r>
        <w:r>
          <w:rPr>
            <w:noProof/>
            <w:webHidden/>
          </w:rPr>
          <w:fldChar w:fldCharType="begin"/>
        </w:r>
        <w:r>
          <w:rPr>
            <w:noProof/>
            <w:webHidden/>
          </w:rPr>
          <w:instrText xml:space="preserve"> PAGEREF _Toc194674817 \h </w:instrText>
        </w:r>
        <w:r>
          <w:rPr>
            <w:noProof/>
            <w:webHidden/>
          </w:rPr>
        </w:r>
        <w:r>
          <w:rPr>
            <w:noProof/>
            <w:webHidden/>
          </w:rPr>
          <w:fldChar w:fldCharType="separate"/>
        </w:r>
        <w:r w:rsidR="00B93180">
          <w:rPr>
            <w:noProof/>
            <w:webHidden/>
          </w:rPr>
          <w:t>xxv</w:t>
        </w:r>
        <w:r>
          <w:rPr>
            <w:noProof/>
            <w:webHidden/>
          </w:rPr>
          <w:fldChar w:fldCharType="end"/>
        </w:r>
      </w:hyperlink>
    </w:p>
    <w:p w14:paraId="47CA7944" w14:textId="4AA05DF8"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18" w:history="1">
        <w:r w:rsidRPr="009400D0">
          <w:rPr>
            <w:rStyle w:val="Hyperlink"/>
            <w:bCs/>
            <w:noProof/>
          </w:rPr>
          <w:t>Figure ES 2.2</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New Zealand’s gross emissions by gas in </w:t>
        </w:r>
        <w:r w:rsidRPr="009400D0">
          <w:rPr>
            <w:rStyle w:val="Hyperlink"/>
            <w:bCs/>
            <w:noProof/>
          </w:rPr>
          <w:t>1990</w:t>
        </w:r>
        <w:r w:rsidRPr="009400D0">
          <w:rPr>
            <w:rStyle w:val="Hyperlink"/>
            <w:noProof/>
          </w:rPr>
          <w:t xml:space="preserve"> and </w:t>
        </w:r>
        <w:r w:rsidRPr="009400D0">
          <w:rPr>
            <w:rStyle w:val="Hyperlink"/>
            <w:bCs/>
            <w:noProof/>
          </w:rPr>
          <w:t>2023</w:t>
        </w:r>
        <w:r>
          <w:rPr>
            <w:noProof/>
            <w:webHidden/>
          </w:rPr>
          <w:tab/>
        </w:r>
        <w:r>
          <w:rPr>
            <w:noProof/>
            <w:webHidden/>
          </w:rPr>
          <w:fldChar w:fldCharType="begin"/>
        </w:r>
        <w:r>
          <w:rPr>
            <w:noProof/>
            <w:webHidden/>
          </w:rPr>
          <w:instrText xml:space="preserve"> PAGEREF _Toc194674818 \h </w:instrText>
        </w:r>
        <w:r>
          <w:rPr>
            <w:noProof/>
            <w:webHidden/>
          </w:rPr>
        </w:r>
        <w:r>
          <w:rPr>
            <w:noProof/>
            <w:webHidden/>
          </w:rPr>
          <w:fldChar w:fldCharType="separate"/>
        </w:r>
        <w:r w:rsidR="00B93180">
          <w:rPr>
            <w:noProof/>
            <w:webHidden/>
          </w:rPr>
          <w:t>xxvii</w:t>
        </w:r>
        <w:r>
          <w:rPr>
            <w:noProof/>
            <w:webHidden/>
          </w:rPr>
          <w:fldChar w:fldCharType="end"/>
        </w:r>
      </w:hyperlink>
    </w:p>
    <w:p w14:paraId="3D9B0B15" w14:textId="4917B638"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19" w:history="1">
        <w:r w:rsidRPr="009400D0">
          <w:rPr>
            <w:rStyle w:val="Hyperlink"/>
            <w:bCs/>
            <w:noProof/>
          </w:rPr>
          <w:t>Figure ES 3.1</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Trends in New Zealand’s greenhouse gas emissions by sector, from </w:t>
        </w:r>
        <w:r w:rsidRPr="009400D0">
          <w:rPr>
            <w:rStyle w:val="Hyperlink"/>
            <w:bCs/>
            <w:noProof/>
          </w:rPr>
          <w:t>1990</w:t>
        </w:r>
        <w:r w:rsidRPr="009400D0">
          <w:rPr>
            <w:rStyle w:val="Hyperlink"/>
            <w:noProof/>
          </w:rPr>
          <w:t xml:space="preserve"> to </w:t>
        </w:r>
        <w:r w:rsidRPr="009400D0">
          <w:rPr>
            <w:rStyle w:val="Hyperlink"/>
            <w:bCs/>
            <w:noProof/>
          </w:rPr>
          <w:t>2023</w:t>
        </w:r>
        <w:r>
          <w:rPr>
            <w:noProof/>
            <w:webHidden/>
          </w:rPr>
          <w:tab/>
        </w:r>
        <w:r>
          <w:rPr>
            <w:noProof/>
            <w:webHidden/>
          </w:rPr>
          <w:fldChar w:fldCharType="begin"/>
        </w:r>
        <w:r>
          <w:rPr>
            <w:noProof/>
            <w:webHidden/>
          </w:rPr>
          <w:instrText xml:space="preserve"> PAGEREF _Toc194674819 \h </w:instrText>
        </w:r>
        <w:r>
          <w:rPr>
            <w:noProof/>
            <w:webHidden/>
          </w:rPr>
        </w:r>
        <w:r>
          <w:rPr>
            <w:noProof/>
            <w:webHidden/>
          </w:rPr>
          <w:fldChar w:fldCharType="separate"/>
        </w:r>
        <w:r w:rsidR="00B93180">
          <w:rPr>
            <w:noProof/>
            <w:webHidden/>
          </w:rPr>
          <w:t>xxviii</w:t>
        </w:r>
        <w:r>
          <w:rPr>
            <w:noProof/>
            <w:webHidden/>
          </w:rPr>
          <w:fldChar w:fldCharType="end"/>
        </w:r>
      </w:hyperlink>
    </w:p>
    <w:p w14:paraId="0004F542" w14:textId="48A2013F"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20" w:history="1">
        <w:r w:rsidRPr="009400D0">
          <w:rPr>
            <w:rStyle w:val="Hyperlink"/>
            <w:bCs/>
            <w:noProof/>
          </w:rPr>
          <w:t xml:space="preserve">Figure 1.2.1 </w:t>
        </w:r>
        <w:r>
          <w:rPr>
            <w:rFonts w:asciiTheme="minorHAnsi" w:eastAsiaTheme="minorEastAsia" w:hAnsiTheme="minorHAnsi" w:cstheme="minorBidi"/>
            <w:noProof/>
            <w:kern w:val="2"/>
            <w:sz w:val="24"/>
            <w:szCs w:val="24"/>
            <w14:ligatures w14:val="standardContextual"/>
          </w:rPr>
          <w:tab/>
        </w:r>
        <w:r w:rsidRPr="009400D0">
          <w:rPr>
            <w:rStyle w:val="Hyperlink"/>
            <w:bCs/>
            <w:noProof/>
          </w:rPr>
          <w:t>Summary of New Zealand’s inventory planning and preparation</w:t>
        </w:r>
        <w:r>
          <w:rPr>
            <w:noProof/>
            <w:webHidden/>
          </w:rPr>
          <w:tab/>
        </w:r>
        <w:r>
          <w:rPr>
            <w:noProof/>
            <w:webHidden/>
          </w:rPr>
          <w:fldChar w:fldCharType="begin"/>
        </w:r>
        <w:r>
          <w:rPr>
            <w:noProof/>
            <w:webHidden/>
          </w:rPr>
          <w:instrText xml:space="preserve"> PAGEREF _Toc194674820 \h </w:instrText>
        </w:r>
        <w:r>
          <w:rPr>
            <w:noProof/>
            <w:webHidden/>
          </w:rPr>
        </w:r>
        <w:r>
          <w:rPr>
            <w:noProof/>
            <w:webHidden/>
          </w:rPr>
          <w:fldChar w:fldCharType="separate"/>
        </w:r>
        <w:r w:rsidR="00B93180">
          <w:rPr>
            <w:noProof/>
            <w:webHidden/>
          </w:rPr>
          <w:t>5</w:t>
        </w:r>
        <w:r>
          <w:rPr>
            <w:noProof/>
            <w:webHidden/>
          </w:rPr>
          <w:fldChar w:fldCharType="end"/>
        </w:r>
      </w:hyperlink>
    </w:p>
    <w:p w14:paraId="5941832C" w14:textId="20C8EC48"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21" w:history="1">
        <w:r w:rsidRPr="009400D0">
          <w:rPr>
            <w:rStyle w:val="Hyperlink"/>
            <w:bCs/>
            <w:noProof/>
          </w:rPr>
          <w:t>Figure 1.2.2</w:t>
        </w:r>
        <w:r>
          <w:rPr>
            <w:rFonts w:asciiTheme="minorHAnsi" w:eastAsiaTheme="minorEastAsia" w:hAnsiTheme="minorHAnsi" w:cstheme="minorBidi"/>
            <w:noProof/>
            <w:kern w:val="2"/>
            <w:sz w:val="24"/>
            <w:szCs w:val="24"/>
            <w14:ligatures w14:val="standardContextual"/>
          </w:rPr>
          <w:tab/>
        </w:r>
        <w:r w:rsidRPr="009400D0">
          <w:rPr>
            <w:rStyle w:val="Hyperlink"/>
            <w:bCs/>
            <w:noProof/>
          </w:rPr>
          <w:t>New Zealand’s inventory system at a glance: how different agencies are involved</w:t>
        </w:r>
        <w:r>
          <w:rPr>
            <w:noProof/>
            <w:webHidden/>
          </w:rPr>
          <w:tab/>
        </w:r>
        <w:r>
          <w:rPr>
            <w:noProof/>
            <w:webHidden/>
          </w:rPr>
          <w:fldChar w:fldCharType="begin"/>
        </w:r>
        <w:r>
          <w:rPr>
            <w:noProof/>
            <w:webHidden/>
          </w:rPr>
          <w:instrText xml:space="preserve"> PAGEREF _Toc194674821 \h </w:instrText>
        </w:r>
        <w:r>
          <w:rPr>
            <w:noProof/>
            <w:webHidden/>
          </w:rPr>
        </w:r>
        <w:r>
          <w:rPr>
            <w:noProof/>
            <w:webHidden/>
          </w:rPr>
          <w:fldChar w:fldCharType="separate"/>
        </w:r>
        <w:r w:rsidR="00B93180">
          <w:rPr>
            <w:noProof/>
            <w:webHidden/>
          </w:rPr>
          <w:t>9</w:t>
        </w:r>
        <w:r>
          <w:rPr>
            <w:noProof/>
            <w:webHidden/>
          </w:rPr>
          <w:fldChar w:fldCharType="end"/>
        </w:r>
      </w:hyperlink>
    </w:p>
    <w:p w14:paraId="4152108B" w14:textId="18FEF918"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22" w:history="1">
        <w:r w:rsidRPr="009400D0">
          <w:rPr>
            <w:rStyle w:val="Hyperlink"/>
            <w:bCs/>
            <w:noProof/>
          </w:rPr>
          <w:t>Figure 2.1.1</w:t>
        </w:r>
        <w:r>
          <w:rPr>
            <w:rFonts w:asciiTheme="minorHAnsi" w:eastAsiaTheme="minorEastAsia" w:hAnsiTheme="minorHAnsi" w:cstheme="minorBidi"/>
            <w:noProof/>
            <w:kern w:val="2"/>
            <w:sz w:val="24"/>
            <w:szCs w:val="24"/>
            <w14:ligatures w14:val="standardContextual"/>
          </w:rPr>
          <w:tab/>
        </w:r>
        <w:r w:rsidRPr="009400D0">
          <w:rPr>
            <w:rStyle w:val="Hyperlink"/>
            <w:bCs/>
            <w:noProof/>
          </w:rPr>
          <w:t>New Zealand’s gross and net emissions, from 1990 to 2023</w:t>
        </w:r>
        <w:r>
          <w:rPr>
            <w:noProof/>
            <w:webHidden/>
          </w:rPr>
          <w:tab/>
        </w:r>
        <w:r>
          <w:rPr>
            <w:noProof/>
            <w:webHidden/>
          </w:rPr>
          <w:fldChar w:fldCharType="begin"/>
        </w:r>
        <w:r>
          <w:rPr>
            <w:noProof/>
            <w:webHidden/>
          </w:rPr>
          <w:instrText xml:space="preserve"> PAGEREF _Toc194674822 \h </w:instrText>
        </w:r>
        <w:r>
          <w:rPr>
            <w:noProof/>
            <w:webHidden/>
          </w:rPr>
        </w:r>
        <w:r>
          <w:rPr>
            <w:noProof/>
            <w:webHidden/>
          </w:rPr>
          <w:fldChar w:fldCharType="separate"/>
        </w:r>
        <w:r w:rsidR="00B93180">
          <w:rPr>
            <w:noProof/>
            <w:webHidden/>
          </w:rPr>
          <w:t>34</w:t>
        </w:r>
        <w:r>
          <w:rPr>
            <w:noProof/>
            <w:webHidden/>
          </w:rPr>
          <w:fldChar w:fldCharType="end"/>
        </w:r>
      </w:hyperlink>
    </w:p>
    <w:p w14:paraId="045178DF" w14:textId="00656BCE"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23" w:history="1">
        <w:r w:rsidRPr="009400D0">
          <w:rPr>
            <w:rStyle w:val="Hyperlink"/>
            <w:noProof/>
          </w:rPr>
          <w:t>Figure 2.2.1</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New Zealand’s emissions by sector in </w:t>
        </w:r>
        <w:r w:rsidRPr="009400D0">
          <w:rPr>
            <w:rStyle w:val="Hyperlink"/>
            <w:bCs/>
            <w:noProof/>
          </w:rPr>
          <w:t>2023</w:t>
        </w:r>
        <w:r>
          <w:rPr>
            <w:noProof/>
            <w:webHidden/>
          </w:rPr>
          <w:tab/>
        </w:r>
        <w:r>
          <w:rPr>
            <w:noProof/>
            <w:webHidden/>
          </w:rPr>
          <w:fldChar w:fldCharType="begin"/>
        </w:r>
        <w:r>
          <w:rPr>
            <w:noProof/>
            <w:webHidden/>
          </w:rPr>
          <w:instrText xml:space="preserve"> PAGEREF _Toc194674823 \h </w:instrText>
        </w:r>
        <w:r>
          <w:rPr>
            <w:noProof/>
            <w:webHidden/>
          </w:rPr>
        </w:r>
        <w:r>
          <w:rPr>
            <w:noProof/>
            <w:webHidden/>
          </w:rPr>
          <w:fldChar w:fldCharType="separate"/>
        </w:r>
        <w:r w:rsidR="00B93180">
          <w:rPr>
            <w:noProof/>
            <w:webHidden/>
          </w:rPr>
          <w:t>35</w:t>
        </w:r>
        <w:r>
          <w:rPr>
            <w:noProof/>
            <w:webHidden/>
          </w:rPr>
          <w:fldChar w:fldCharType="end"/>
        </w:r>
      </w:hyperlink>
    </w:p>
    <w:p w14:paraId="4496A45B" w14:textId="76F69333"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24" w:history="1">
        <w:r w:rsidRPr="009400D0">
          <w:rPr>
            <w:rStyle w:val="Hyperlink"/>
            <w:noProof/>
          </w:rPr>
          <w:t>Figure 2.2.2</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New Zealand’s gross emissions by gas in </w:t>
        </w:r>
        <w:r w:rsidRPr="009400D0">
          <w:rPr>
            <w:rStyle w:val="Hyperlink"/>
            <w:bCs/>
            <w:noProof/>
          </w:rPr>
          <w:t>2023</w:t>
        </w:r>
        <w:r>
          <w:rPr>
            <w:noProof/>
            <w:webHidden/>
          </w:rPr>
          <w:tab/>
        </w:r>
        <w:r>
          <w:rPr>
            <w:noProof/>
            <w:webHidden/>
          </w:rPr>
          <w:fldChar w:fldCharType="begin"/>
        </w:r>
        <w:r>
          <w:rPr>
            <w:noProof/>
            <w:webHidden/>
          </w:rPr>
          <w:instrText xml:space="preserve"> PAGEREF _Toc194674824 \h </w:instrText>
        </w:r>
        <w:r>
          <w:rPr>
            <w:noProof/>
            <w:webHidden/>
          </w:rPr>
        </w:r>
        <w:r>
          <w:rPr>
            <w:noProof/>
            <w:webHidden/>
          </w:rPr>
          <w:fldChar w:fldCharType="separate"/>
        </w:r>
        <w:r w:rsidR="00B93180">
          <w:rPr>
            <w:noProof/>
            <w:webHidden/>
          </w:rPr>
          <w:t>36</w:t>
        </w:r>
        <w:r>
          <w:rPr>
            <w:noProof/>
            <w:webHidden/>
          </w:rPr>
          <w:fldChar w:fldCharType="end"/>
        </w:r>
      </w:hyperlink>
    </w:p>
    <w:p w14:paraId="622C0A61" w14:textId="1CF386CB"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25" w:history="1">
        <w:r w:rsidRPr="009400D0">
          <w:rPr>
            <w:rStyle w:val="Hyperlink"/>
            <w:bCs/>
            <w:noProof/>
          </w:rPr>
          <w:t>Figure 2.2.3</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Trends in New Zealand’s greenhouse gas emissions by sector, from </w:t>
        </w:r>
        <w:r w:rsidRPr="009400D0">
          <w:rPr>
            <w:rStyle w:val="Hyperlink"/>
            <w:bCs/>
            <w:noProof/>
          </w:rPr>
          <w:t>1990</w:t>
        </w:r>
        <w:r w:rsidRPr="009400D0">
          <w:rPr>
            <w:rStyle w:val="Hyperlink"/>
            <w:noProof/>
          </w:rPr>
          <w:t xml:space="preserve"> to </w:t>
        </w:r>
        <w:r w:rsidRPr="009400D0">
          <w:rPr>
            <w:rStyle w:val="Hyperlink"/>
            <w:bCs/>
            <w:noProof/>
          </w:rPr>
          <w:t>2023</w:t>
        </w:r>
        <w:r>
          <w:rPr>
            <w:noProof/>
            <w:webHidden/>
          </w:rPr>
          <w:tab/>
        </w:r>
        <w:r>
          <w:rPr>
            <w:noProof/>
            <w:webHidden/>
          </w:rPr>
          <w:fldChar w:fldCharType="begin"/>
        </w:r>
        <w:r>
          <w:rPr>
            <w:noProof/>
            <w:webHidden/>
          </w:rPr>
          <w:instrText xml:space="preserve"> PAGEREF _Toc194674825 \h </w:instrText>
        </w:r>
        <w:r>
          <w:rPr>
            <w:noProof/>
            <w:webHidden/>
          </w:rPr>
        </w:r>
        <w:r>
          <w:rPr>
            <w:noProof/>
            <w:webHidden/>
          </w:rPr>
          <w:fldChar w:fldCharType="separate"/>
        </w:r>
        <w:r w:rsidR="00B93180">
          <w:rPr>
            <w:noProof/>
            <w:webHidden/>
          </w:rPr>
          <w:t>37</w:t>
        </w:r>
        <w:r>
          <w:rPr>
            <w:noProof/>
            <w:webHidden/>
          </w:rPr>
          <w:fldChar w:fldCharType="end"/>
        </w:r>
      </w:hyperlink>
    </w:p>
    <w:p w14:paraId="4E97047A" w14:textId="603F4C95"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26" w:history="1">
        <w:r w:rsidRPr="009400D0">
          <w:rPr>
            <w:rStyle w:val="Hyperlink"/>
            <w:noProof/>
          </w:rPr>
          <w:t>Figure 2.2.4</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Change in New Zealand’s emissions by sector comparing </w:t>
        </w:r>
        <w:r w:rsidRPr="009400D0">
          <w:rPr>
            <w:rStyle w:val="Hyperlink"/>
            <w:bCs/>
            <w:noProof/>
          </w:rPr>
          <w:t>1990</w:t>
        </w:r>
        <w:r w:rsidRPr="009400D0">
          <w:rPr>
            <w:rStyle w:val="Hyperlink"/>
            <w:noProof/>
          </w:rPr>
          <w:t xml:space="preserve"> and </w:t>
        </w:r>
        <w:r w:rsidRPr="009400D0">
          <w:rPr>
            <w:rStyle w:val="Hyperlink"/>
            <w:bCs/>
            <w:noProof/>
          </w:rPr>
          <w:t>2023</w:t>
        </w:r>
        <w:r>
          <w:rPr>
            <w:noProof/>
            <w:webHidden/>
          </w:rPr>
          <w:tab/>
        </w:r>
        <w:r>
          <w:rPr>
            <w:noProof/>
            <w:webHidden/>
          </w:rPr>
          <w:fldChar w:fldCharType="begin"/>
        </w:r>
        <w:r>
          <w:rPr>
            <w:noProof/>
            <w:webHidden/>
          </w:rPr>
          <w:instrText xml:space="preserve"> PAGEREF _Toc194674826 \h </w:instrText>
        </w:r>
        <w:r>
          <w:rPr>
            <w:noProof/>
            <w:webHidden/>
          </w:rPr>
        </w:r>
        <w:r>
          <w:rPr>
            <w:noProof/>
            <w:webHidden/>
          </w:rPr>
          <w:fldChar w:fldCharType="separate"/>
        </w:r>
        <w:r w:rsidR="00B93180">
          <w:rPr>
            <w:noProof/>
            <w:webHidden/>
          </w:rPr>
          <w:t>38</w:t>
        </w:r>
        <w:r>
          <w:rPr>
            <w:noProof/>
            <w:webHidden/>
          </w:rPr>
          <w:fldChar w:fldCharType="end"/>
        </w:r>
      </w:hyperlink>
    </w:p>
    <w:p w14:paraId="1293A2FA" w14:textId="34641381"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27" w:history="1">
        <w:r w:rsidRPr="009400D0">
          <w:rPr>
            <w:rStyle w:val="Hyperlink"/>
            <w:noProof/>
          </w:rPr>
          <w:t>Figure 2.2.5</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Absolute change in New Zealand’s gross emissions by sector, from </w:t>
        </w:r>
        <w:r w:rsidRPr="009400D0">
          <w:rPr>
            <w:rStyle w:val="Hyperlink"/>
            <w:bCs/>
            <w:noProof/>
          </w:rPr>
          <w:t>1990</w:t>
        </w:r>
        <w:r w:rsidRPr="009400D0">
          <w:rPr>
            <w:rStyle w:val="Hyperlink"/>
            <w:noProof/>
          </w:rPr>
          <w:t xml:space="preserve"> to </w:t>
        </w:r>
        <w:r w:rsidRPr="009400D0">
          <w:rPr>
            <w:rStyle w:val="Hyperlink"/>
            <w:bCs/>
            <w:noProof/>
          </w:rPr>
          <w:t>2023</w:t>
        </w:r>
        <w:r>
          <w:rPr>
            <w:noProof/>
            <w:webHidden/>
          </w:rPr>
          <w:tab/>
        </w:r>
        <w:r>
          <w:rPr>
            <w:noProof/>
            <w:webHidden/>
          </w:rPr>
          <w:fldChar w:fldCharType="begin"/>
        </w:r>
        <w:r>
          <w:rPr>
            <w:noProof/>
            <w:webHidden/>
          </w:rPr>
          <w:instrText xml:space="preserve"> PAGEREF _Toc194674827 \h </w:instrText>
        </w:r>
        <w:r>
          <w:rPr>
            <w:noProof/>
            <w:webHidden/>
          </w:rPr>
        </w:r>
        <w:r>
          <w:rPr>
            <w:noProof/>
            <w:webHidden/>
          </w:rPr>
          <w:fldChar w:fldCharType="separate"/>
        </w:r>
        <w:r w:rsidR="00B93180">
          <w:rPr>
            <w:noProof/>
            <w:webHidden/>
          </w:rPr>
          <w:t>39</w:t>
        </w:r>
        <w:r>
          <w:rPr>
            <w:noProof/>
            <w:webHidden/>
          </w:rPr>
          <w:fldChar w:fldCharType="end"/>
        </w:r>
      </w:hyperlink>
    </w:p>
    <w:p w14:paraId="44DFFE74" w14:textId="6AC59469"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28" w:history="1">
        <w:r w:rsidRPr="009400D0">
          <w:rPr>
            <w:rStyle w:val="Hyperlink"/>
            <w:noProof/>
          </w:rPr>
          <w:t>Figure 2.2.6</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Absolute change in net emissions from the LULUCF sector, from </w:t>
        </w:r>
        <w:r w:rsidRPr="009400D0">
          <w:rPr>
            <w:rStyle w:val="Hyperlink"/>
            <w:bCs/>
            <w:noProof/>
          </w:rPr>
          <w:t>1990</w:t>
        </w:r>
        <w:r w:rsidRPr="009400D0">
          <w:rPr>
            <w:rStyle w:val="Hyperlink"/>
            <w:noProof/>
          </w:rPr>
          <w:t xml:space="preserve"> to </w:t>
        </w:r>
        <w:r w:rsidRPr="009400D0">
          <w:rPr>
            <w:rStyle w:val="Hyperlink"/>
            <w:bCs/>
            <w:noProof/>
          </w:rPr>
          <w:t>2023</w:t>
        </w:r>
        <w:r>
          <w:rPr>
            <w:noProof/>
            <w:webHidden/>
          </w:rPr>
          <w:tab/>
        </w:r>
        <w:r>
          <w:rPr>
            <w:noProof/>
            <w:webHidden/>
          </w:rPr>
          <w:fldChar w:fldCharType="begin"/>
        </w:r>
        <w:r>
          <w:rPr>
            <w:noProof/>
            <w:webHidden/>
          </w:rPr>
          <w:instrText xml:space="preserve"> PAGEREF _Toc194674828 \h </w:instrText>
        </w:r>
        <w:r>
          <w:rPr>
            <w:noProof/>
            <w:webHidden/>
          </w:rPr>
        </w:r>
        <w:r>
          <w:rPr>
            <w:noProof/>
            <w:webHidden/>
          </w:rPr>
          <w:fldChar w:fldCharType="separate"/>
        </w:r>
        <w:r w:rsidR="00B93180">
          <w:rPr>
            <w:noProof/>
            <w:webHidden/>
          </w:rPr>
          <w:t>40</w:t>
        </w:r>
        <w:r>
          <w:rPr>
            <w:noProof/>
            <w:webHidden/>
          </w:rPr>
          <w:fldChar w:fldCharType="end"/>
        </w:r>
      </w:hyperlink>
    </w:p>
    <w:p w14:paraId="6031735E" w14:textId="550348AB"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29" w:history="1">
        <w:r w:rsidRPr="009400D0">
          <w:rPr>
            <w:rStyle w:val="Hyperlink"/>
            <w:noProof/>
          </w:rPr>
          <w:t>Figure 2.2.7</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New Zealand’s Energy sector emissions, from </w:t>
        </w:r>
        <w:r w:rsidRPr="009400D0">
          <w:rPr>
            <w:rStyle w:val="Hyperlink"/>
            <w:bCs/>
            <w:noProof/>
          </w:rPr>
          <w:t>1990</w:t>
        </w:r>
        <w:r w:rsidRPr="009400D0">
          <w:rPr>
            <w:rStyle w:val="Hyperlink"/>
            <w:noProof/>
          </w:rPr>
          <w:t xml:space="preserve"> to </w:t>
        </w:r>
        <w:r w:rsidRPr="009400D0">
          <w:rPr>
            <w:rStyle w:val="Hyperlink"/>
            <w:bCs/>
            <w:noProof/>
          </w:rPr>
          <w:t>2023</w:t>
        </w:r>
        <w:r>
          <w:rPr>
            <w:noProof/>
            <w:webHidden/>
          </w:rPr>
          <w:tab/>
        </w:r>
        <w:r>
          <w:rPr>
            <w:noProof/>
            <w:webHidden/>
          </w:rPr>
          <w:fldChar w:fldCharType="begin"/>
        </w:r>
        <w:r>
          <w:rPr>
            <w:noProof/>
            <w:webHidden/>
          </w:rPr>
          <w:instrText xml:space="preserve"> PAGEREF _Toc194674829 \h </w:instrText>
        </w:r>
        <w:r>
          <w:rPr>
            <w:noProof/>
            <w:webHidden/>
          </w:rPr>
        </w:r>
        <w:r>
          <w:rPr>
            <w:noProof/>
            <w:webHidden/>
          </w:rPr>
          <w:fldChar w:fldCharType="separate"/>
        </w:r>
        <w:r w:rsidR="00B93180">
          <w:rPr>
            <w:noProof/>
            <w:webHidden/>
          </w:rPr>
          <w:t>41</w:t>
        </w:r>
        <w:r>
          <w:rPr>
            <w:noProof/>
            <w:webHidden/>
          </w:rPr>
          <w:fldChar w:fldCharType="end"/>
        </w:r>
      </w:hyperlink>
    </w:p>
    <w:p w14:paraId="6423C512" w14:textId="133EBC23"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30" w:history="1">
        <w:r w:rsidRPr="009400D0">
          <w:rPr>
            <w:rStyle w:val="Hyperlink"/>
            <w:noProof/>
          </w:rPr>
          <w:t>Figure 2.2.8</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New Zealand’s IPPU sector emissions, from </w:t>
        </w:r>
        <w:r w:rsidRPr="009400D0">
          <w:rPr>
            <w:rStyle w:val="Hyperlink"/>
            <w:bCs/>
            <w:noProof/>
          </w:rPr>
          <w:t>1990</w:t>
        </w:r>
        <w:r w:rsidRPr="009400D0">
          <w:rPr>
            <w:rStyle w:val="Hyperlink"/>
            <w:noProof/>
          </w:rPr>
          <w:t xml:space="preserve"> to </w:t>
        </w:r>
        <w:r w:rsidRPr="009400D0">
          <w:rPr>
            <w:rStyle w:val="Hyperlink"/>
            <w:bCs/>
            <w:noProof/>
          </w:rPr>
          <w:t>2023</w:t>
        </w:r>
        <w:r>
          <w:rPr>
            <w:noProof/>
            <w:webHidden/>
          </w:rPr>
          <w:tab/>
        </w:r>
        <w:r>
          <w:rPr>
            <w:noProof/>
            <w:webHidden/>
          </w:rPr>
          <w:fldChar w:fldCharType="begin"/>
        </w:r>
        <w:r>
          <w:rPr>
            <w:noProof/>
            <w:webHidden/>
          </w:rPr>
          <w:instrText xml:space="preserve"> PAGEREF _Toc194674830 \h </w:instrText>
        </w:r>
        <w:r>
          <w:rPr>
            <w:noProof/>
            <w:webHidden/>
          </w:rPr>
        </w:r>
        <w:r>
          <w:rPr>
            <w:noProof/>
            <w:webHidden/>
          </w:rPr>
          <w:fldChar w:fldCharType="separate"/>
        </w:r>
        <w:r w:rsidR="00B93180">
          <w:rPr>
            <w:noProof/>
            <w:webHidden/>
          </w:rPr>
          <w:t>43</w:t>
        </w:r>
        <w:r>
          <w:rPr>
            <w:noProof/>
            <w:webHidden/>
          </w:rPr>
          <w:fldChar w:fldCharType="end"/>
        </w:r>
      </w:hyperlink>
    </w:p>
    <w:p w14:paraId="4B4C4145" w14:textId="4A4AFE37"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31" w:history="1">
        <w:r w:rsidRPr="009400D0">
          <w:rPr>
            <w:rStyle w:val="Hyperlink"/>
            <w:noProof/>
          </w:rPr>
          <w:t>Figure 2.2.9</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New Zealand’s Agriculture sector emissions, from </w:t>
        </w:r>
        <w:r w:rsidRPr="009400D0">
          <w:rPr>
            <w:rStyle w:val="Hyperlink"/>
            <w:bCs/>
            <w:noProof/>
          </w:rPr>
          <w:t>1990</w:t>
        </w:r>
        <w:r w:rsidRPr="009400D0">
          <w:rPr>
            <w:rStyle w:val="Hyperlink"/>
            <w:noProof/>
          </w:rPr>
          <w:t xml:space="preserve"> to </w:t>
        </w:r>
        <w:r w:rsidRPr="009400D0">
          <w:rPr>
            <w:rStyle w:val="Hyperlink"/>
            <w:bCs/>
            <w:noProof/>
          </w:rPr>
          <w:t>2023</w:t>
        </w:r>
        <w:r>
          <w:rPr>
            <w:noProof/>
            <w:webHidden/>
          </w:rPr>
          <w:tab/>
        </w:r>
        <w:r>
          <w:rPr>
            <w:noProof/>
            <w:webHidden/>
          </w:rPr>
          <w:fldChar w:fldCharType="begin"/>
        </w:r>
        <w:r>
          <w:rPr>
            <w:noProof/>
            <w:webHidden/>
          </w:rPr>
          <w:instrText xml:space="preserve"> PAGEREF _Toc194674831 \h </w:instrText>
        </w:r>
        <w:r>
          <w:rPr>
            <w:noProof/>
            <w:webHidden/>
          </w:rPr>
        </w:r>
        <w:r>
          <w:rPr>
            <w:noProof/>
            <w:webHidden/>
          </w:rPr>
          <w:fldChar w:fldCharType="separate"/>
        </w:r>
        <w:r w:rsidR="00B93180">
          <w:rPr>
            <w:noProof/>
            <w:webHidden/>
          </w:rPr>
          <w:t>44</w:t>
        </w:r>
        <w:r>
          <w:rPr>
            <w:noProof/>
            <w:webHidden/>
          </w:rPr>
          <w:fldChar w:fldCharType="end"/>
        </w:r>
      </w:hyperlink>
    </w:p>
    <w:p w14:paraId="4770C5F7" w14:textId="49000371"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32" w:history="1">
        <w:r w:rsidRPr="009400D0">
          <w:rPr>
            <w:rStyle w:val="Hyperlink"/>
            <w:noProof/>
          </w:rPr>
          <w:t>Figure 2.2.10</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New Zealand’s LULUCF sector net emissions, from </w:t>
        </w:r>
        <w:r w:rsidRPr="009400D0">
          <w:rPr>
            <w:rStyle w:val="Hyperlink"/>
            <w:bCs/>
            <w:noProof/>
          </w:rPr>
          <w:t>1990</w:t>
        </w:r>
        <w:r w:rsidRPr="009400D0">
          <w:rPr>
            <w:rStyle w:val="Hyperlink"/>
            <w:noProof/>
          </w:rPr>
          <w:t xml:space="preserve"> to </w:t>
        </w:r>
        <w:r w:rsidRPr="009400D0">
          <w:rPr>
            <w:rStyle w:val="Hyperlink"/>
            <w:bCs/>
            <w:noProof/>
          </w:rPr>
          <w:t>2023</w:t>
        </w:r>
        <w:r>
          <w:rPr>
            <w:noProof/>
            <w:webHidden/>
          </w:rPr>
          <w:tab/>
        </w:r>
        <w:r>
          <w:rPr>
            <w:noProof/>
            <w:webHidden/>
          </w:rPr>
          <w:fldChar w:fldCharType="begin"/>
        </w:r>
        <w:r>
          <w:rPr>
            <w:noProof/>
            <w:webHidden/>
          </w:rPr>
          <w:instrText xml:space="preserve"> PAGEREF _Toc194674832 \h </w:instrText>
        </w:r>
        <w:r>
          <w:rPr>
            <w:noProof/>
            <w:webHidden/>
          </w:rPr>
        </w:r>
        <w:r>
          <w:rPr>
            <w:noProof/>
            <w:webHidden/>
          </w:rPr>
          <w:fldChar w:fldCharType="separate"/>
        </w:r>
        <w:r w:rsidR="00B93180">
          <w:rPr>
            <w:noProof/>
            <w:webHidden/>
          </w:rPr>
          <w:t>47</w:t>
        </w:r>
        <w:r>
          <w:rPr>
            <w:noProof/>
            <w:webHidden/>
          </w:rPr>
          <w:fldChar w:fldCharType="end"/>
        </w:r>
      </w:hyperlink>
    </w:p>
    <w:p w14:paraId="4C675CA9" w14:textId="7179B908"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33" w:history="1">
        <w:r w:rsidRPr="009400D0">
          <w:rPr>
            <w:rStyle w:val="Hyperlink"/>
            <w:noProof/>
          </w:rPr>
          <w:t>Figure 2.2.11</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New Zealand’s Waste sector emissions, from </w:t>
        </w:r>
        <w:r w:rsidRPr="009400D0">
          <w:rPr>
            <w:rStyle w:val="Hyperlink"/>
            <w:bCs/>
            <w:noProof/>
          </w:rPr>
          <w:t>1990</w:t>
        </w:r>
        <w:r w:rsidRPr="009400D0">
          <w:rPr>
            <w:rStyle w:val="Hyperlink"/>
            <w:noProof/>
          </w:rPr>
          <w:t xml:space="preserve"> to </w:t>
        </w:r>
        <w:r w:rsidRPr="009400D0">
          <w:rPr>
            <w:rStyle w:val="Hyperlink"/>
            <w:bCs/>
            <w:noProof/>
          </w:rPr>
          <w:t>2023</w:t>
        </w:r>
        <w:r>
          <w:rPr>
            <w:noProof/>
            <w:webHidden/>
          </w:rPr>
          <w:tab/>
        </w:r>
        <w:r>
          <w:rPr>
            <w:noProof/>
            <w:webHidden/>
          </w:rPr>
          <w:fldChar w:fldCharType="begin"/>
        </w:r>
        <w:r>
          <w:rPr>
            <w:noProof/>
            <w:webHidden/>
          </w:rPr>
          <w:instrText xml:space="preserve"> PAGEREF _Toc194674833 \h </w:instrText>
        </w:r>
        <w:r>
          <w:rPr>
            <w:noProof/>
            <w:webHidden/>
          </w:rPr>
        </w:r>
        <w:r>
          <w:rPr>
            <w:noProof/>
            <w:webHidden/>
          </w:rPr>
          <w:fldChar w:fldCharType="separate"/>
        </w:r>
        <w:r w:rsidR="00B93180">
          <w:rPr>
            <w:noProof/>
            <w:webHidden/>
          </w:rPr>
          <w:t>48</w:t>
        </w:r>
        <w:r>
          <w:rPr>
            <w:noProof/>
            <w:webHidden/>
          </w:rPr>
          <w:fldChar w:fldCharType="end"/>
        </w:r>
      </w:hyperlink>
    </w:p>
    <w:p w14:paraId="345AA79F" w14:textId="05BF6545"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34" w:history="1">
        <w:r w:rsidRPr="009400D0">
          <w:rPr>
            <w:rStyle w:val="Hyperlink"/>
            <w:noProof/>
          </w:rPr>
          <w:t>Figure 2.2.12</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Emissions by sector for Tokelau, from </w:t>
        </w:r>
        <w:r w:rsidRPr="009400D0">
          <w:rPr>
            <w:rStyle w:val="Hyperlink"/>
            <w:bCs/>
            <w:noProof/>
          </w:rPr>
          <w:t>1990</w:t>
        </w:r>
        <w:r w:rsidRPr="009400D0">
          <w:rPr>
            <w:rStyle w:val="Hyperlink"/>
            <w:noProof/>
          </w:rPr>
          <w:t xml:space="preserve"> to </w:t>
        </w:r>
        <w:r w:rsidRPr="009400D0">
          <w:rPr>
            <w:rStyle w:val="Hyperlink"/>
            <w:bCs/>
            <w:noProof/>
          </w:rPr>
          <w:t>2023</w:t>
        </w:r>
        <w:r>
          <w:rPr>
            <w:noProof/>
            <w:webHidden/>
          </w:rPr>
          <w:tab/>
        </w:r>
        <w:r>
          <w:rPr>
            <w:noProof/>
            <w:webHidden/>
          </w:rPr>
          <w:fldChar w:fldCharType="begin"/>
        </w:r>
        <w:r>
          <w:rPr>
            <w:noProof/>
            <w:webHidden/>
          </w:rPr>
          <w:instrText xml:space="preserve"> PAGEREF _Toc194674834 \h </w:instrText>
        </w:r>
        <w:r>
          <w:rPr>
            <w:noProof/>
            <w:webHidden/>
          </w:rPr>
        </w:r>
        <w:r>
          <w:rPr>
            <w:noProof/>
            <w:webHidden/>
          </w:rPr>
          <w:fldChar w:fldCharType="separate"/>
        </w:r>
        <w:r w:rsidR="00B93180">
          <w:rPr>
            <w:noProof/>
            <w:webHidden/>
          </w:rPr>
          <w:t>51</w:t>
        </w:r>
        <w:r>
          <w:rPr>
            <w:noProof/>
            <w:webHidden/>
          </w:rPr>
          <w:fldChar w:fldCharType="end"/>
        </w:r>
      </w:hyperlink>
    </w:p>
    <w:p w14:paraId="14DD4BA4" w14:textId="0B1E264D"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35" w:history="1">
        <w:r w:rsidRPr="009400D0">
          <w:rPr>
            <w:rStyle w:val="Hyperlink"/>
            <w:bCs/>
            <w:noProof/>
          </w:rPr>
          <w:t>Figure 2.2.13</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New Zealand’s gross emissions by gas in </w:t>
        </w:r>
        <w:r w:rsidRPr="009400D0">
          <w:rPr>
            <w:rStyle w:val="Hyperlink"/>
            <w:bCs/>
            <w:noProof/>
          </w:rPr>
          <w:t>1990</w:t>
        </w:r>
        <w:r w:rsidRPr="009400D0">
          <w:rPr>
            <w:rStyle w:val="Hyperlink"/>
            <w:noProof/>
          </w:rPr>
          <w:t xml:space="preserve"> and </w:t>
        </w:r>
        <w:r w:rsidRPr="009400D0">
          <w:rPr>
            <w:rStyle w:val="Hyperlink"/>
            <w:bCs/>
            <w:noProof/>
          </w:rPr>
          <w:t>2023</w:t>
        </w:r>
        <w:r>
          <w:rPr>
            <w:noProof/>
            <w:webHidden/>
          </w:rPr>
          <w:tab/>
        </w:r>
        <w:r>
          <w:rPr>
            <w:noProof/>
            <w:webHidden/>
          </w:rPr>
          <w:fldChar w:fldCharType="begin"/>
        </w:r>
        <w:r>
          <w:rPr>
            <w:noProof/>
            <w:webHidden/>
          </w:rPr>
          <w:instrText xml:space="preserve"> PAGEREF _Toc194674835 \h </w:instrText>
        </w:r>
        <w:r>
          <w:rPr>
            <w:noProof/>
            <w:webHidden/>
          </w:rPr>
        </w:r>
        <w:r>
          <w:rPr>
            <w:noProof/>
            <w:webHidden/>
          </w:rPr>
          <w:fldChar w:fldCharType="separate"/>
        </w:r>
        <w:r w:rsidR="00B93180">
          <w:rPr>
            <w:noProof/>
            <w:webHidden/>
          </w:rPr>
          <w:t>52</w:t>
        </w:r>
        <w:r>
          <w:rPr>
            <w:noProof/>
            <w:webHidden/>
          </w:rPr>
          <w:fldChar w:fldCharType="end"/>
        </w:r>
      </w:hyperlink>
    </w:p>
    <w:p w14:paraId="08AB93FF" w14:textId="609A84A2"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36" w:history="1">
        <w:r w:rsidRPr="009400D0">
          <w:rPr>
            <w:rStyle w:val="Hyperlink"/>
            <w:bCs/>
            <w:noProof/>
          </w:rPr>
          <w:t>Figure 2.2.14</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Trends in New Zealand’s greenhouse gas emissions by gas, from </w:t>
        </w:r>
        <w:r w:rsidRPr="009400D0">
          <w:rPr>
            <w:rStyle w:val="Hyperlink"/>
            <w:bCs/>
            <w:noProof/>
          </w:rPr>
          <w:t>1990</w:t>
        </w:r>
        <w:r w:rsidRPr="009400D0">
          <w:rPr>
            <w:rStyle w:val="Hyperlink"/>
            <w:noProof/>
          </w:rPr>
          <w:t xml:space="preserve"> to </w:t>
        </w:r>
        <w:r w:rsidRPr="009400D0">
          <w:rPr>
            <w:rStyle w:val="Hyperlink"/>
            <w:bCs/>
            <w:noProof/>
          </w:rPr>
          <w:t>2023</w:t>
        </w:r>
        <w:r>
          <w:rPr>
            <w:noProof/>
            <w:webHidden/>
          </w:rPr>
          <w:tab/>
        </w:r>
        <w:r>
          <w:rPr>
            <w:noProof/>
            <w:webHidden/>
          </w:rPr>
          <w:fldChar w:fldCharType="begin"/>
        </w:r>
        <w:r>
          <w:rPr>
            <w:noProof/>
            <w:webHidden/>
          </w:rPr>
          <w:instrText xml:space="preserve"> PAGEREF _Toc194674836 \h </w:instrText>
        </w:r>
        <w:r>
          <w:rPr>
            <w:noProof/>
            <w:webHidden/>
          </w:rPr>
        </w:r>
        <w:r>
          <w:rPr>
            <w:noProof/>
            <w:webHidden/>
          </w:rPr>
          <w:fldChar w:fldCharType="separate"/>
        </w:r>
        <w:r w:rsidR="00B93180">
          <w:rPr>
            <w:noProof/>
            <w:webHidden/>
          </w:rPr>
          <w:t>53</w:t>
        </w:r>
        <w:r>
          <w:rPr>
            <w:noProof/>
            <w:webHidden/>
          </w:rPr>
          <w:fldChar w:fldCharType="end"/>
        </w:r>
      </w:hyperlink>
    </w:p>
    <w:p w14:paraId="395940B4" w14:textId="6399B6ED"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37" w:history="1">
        <w:r w:rsidRPr="009400D0">
          <w:rPr>
            <w:rStyle w:val="Hyperlink"/>
            <w:rFonts w:cs="Calibri"/>
            <w:noProof/>
          </w:rPr>
          <w:t>Figure 3.1.1</w:t>
        </w:r>
        <w:r>
          <w:rPr>
            <w:rFonts w:asciiTheme="minorHAnsi" w:eastAsiaTheme="minorEastAsia" w:hAnsiTheme="minorHAnsi" w:cstheme="minorBidi"/>
            <w:noProof/>
            <w:kern w:val="2"/>
            <w:sz w:val="24"/>
            <w:szCs w:val="24"/>
            <w14:ligatures w14:val="standardContextual"/>
          </w:rPr>
          <w:tab/>
        </w:r>
        <w:r w:rsidRPr="009400D0">
          <w:rPr>
            <w:rStyle w:val="Hyperlink"/>
            <w:rFonts w:cs="Calibri"/>
            <w:noProof/>
          </w:rPr>
          <w:t>New Zealand’s Energy sector emissions, from 1990 to 2023</w:t>
        </w:r>
        <w:r>
          <w:rPr>
            <w:noProof/>
            <w:webHidden/>
          </w:rPr>
          <w:tab/>
        </w:r>
        <w:r>
          <w:rPr>
            <w:noProof/>
            <w:webHidden/>
          </w:rPr>
          <w:fldChar w:fldCharType="begin"/>
        </w:r>
        <w:r>
          <w:rPr>
            <w:noProof/>
            <w:webHidden/>
          </w:rPr>
          <w:instrText xml:space="preserve"> PAGEREF _Toc194674837 \h </w:instrText>
        </w:r>
        <w:r>
          <w:rPr>
            <w:noProof/>
            <w:webHidden/>
          </w:rPr>
        </w:r>
        <w:r>
          <w:rPr>
            <w:noProof/>
            <w:webHidden/>
          </w:rPr>
          <w:fldChar w:fldCharType="separate"/>
        </w:r>
        <w:r w:rsidR="00B93180">
          <w:rPr>
            <w:noProof/>
            <w:webHidden/>
          </w:rPr>
          <w:t>57</w:t>
        </w:r>
        <w:r>
          <w:rPr>
            <w:noProof/>
            <w:webHidden/>
          </w:rPr>
          <w:fldChar w:fldCharType="end"/>
        </w:r>
      </w:hyperlink>
    </w:p>
    <w:p w14:paraId="30141388" w14:textId="273622F8"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38" w:history="1">
        <w:r w:rsidRPr="009400D0">
          <w:rPr>
            <w:rStyle w:val="Hyperlink"/>
            <w:rFonts w:cs="Calibri"/>
            <w:noProof/>
          </w:rPr>
          <w:t>Figure 3.1.2</w:t>
        </w:r>
        <w:r>
          <w:rPr>
            <w:rFonts w:asciiTheme="minorHAnsi" w:eastAsiaTheme="minorEastAsia" w:hAnsiTheme="minorHAnsi" w:cstheme="minorBidi"/>
            <w:noProof/>
            <w:kern w:val="2"/>
            <w:sz w:val="24"/>
            <w:szCs w:val="24"/>
            <w14:ligatures w14:val="standardContextual"/>
          </w:rPr>
          <w:tab/>
        </w:r>
        <w:r w:rsidRPr="009400D0">
          <w:rPr>
            <w:rStyle w:val="Hyperlink"/>
            <w:rFonts w:cs="Calibri"/>
            <w:noProof/>
          </w:rPr>
          <w:t>Natural gas consumption by end use type, from 1990 to 2023</w:t>
        </w:r>
        <w:r>
          <w:rPr>
            <w:noProof/>
            <w:webHidden/>
          </w:rPr>
          <w:tab/>
        </w:r>
        <w:r>
          <w:rPr>
            <w:noProof/>
            <w:webHidden/>
          </w:rPr>
          <w:fldChar w:fldCharType="begin"/>
        </w:r>
        <w:r>
          <w:rPr>
            <w:noProof/>
            <w:webHidden/>
          </w:rPr>
          <w:instrText xml:space="preserve"> PAGEREF _Toc194674838 \h </w:instrText>
        </w:r>
        <w:r>
          <w:rPr>
            <w:noProof/>
            <w:webHidden/>
          </w:rPr>
        </w:r>
        <w:r>
          <w:rPr>
            <w:noProof/>
            <w:webHidden/>
          </w:rPr>
          <w:fldChar w:fldCharType="separate"/>
        </w:r>
        <w:r w:rsidR="00B93180">
          <w:rPr>
            <w:noProof/>
            <w:webHidden/>
          </w:rPr>
          <w:t>61</w:t>
        </w:r>
        <w:r>
          <w:rPr>
            <w:noProof/>
            <w:webHidden/>
          </w:rPr>
          <w:fldChar w:fldCharType="end"/>
        </w:r>
      </w:hyperlink>
    </w:p>
    <w:p w14:paraId="0D3E0F97" w14:textId="01F64A39"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39" w:history="1">
        <w:r w:rsidRPr="009400D0">
          <w:rPr>
            <w:rStyle w:val="Hyperlink"/>
            <w:rFonts w:cs="Calibri"/>
            <w:noProof/>
          </w:rPr>
          <w:t>Figure 3.2.1</w:t>
        </w:r>
        <w:r>
          <w:rPr>
            <w:rFonts w:asciiTheme="minorHAnsi" w:eastAsiaTheme="minorEastAsia" w:hAnsiTheme="minorHAnsi" w:cstheme="minorBidi"/>
            <w:noProof/>
            <w:kern w:val="2"/>
            <w:sz w:val="24"/>
            <w:szCs w:val="24"/>
            <w14:ligatures w14:val="standardContextual"/>
          </w:rPr>
          <w:tab/>
        </w:r>
        <w:r w:rsidRPr="009400D0">
          <w:rPr>
            <w:rStyle w:val="Hyperlink"/>
            <w:rFonts w:cs="Calibri"/>
            <w:noProof/>
          </w:rPr>
          <w:t xml:space="preserve">New Zealand’s emissions from the </w:t>
        </w:r>
        <w:r w:rsidRPr="009400D0">
          <w:rPr>
            <w:rStyle w:val="Hyperlink"/>
            <w:rFonts w:cs="Calibri"/>
            <w:i/>
            <w:iCs/>
            <w:noProof/>
          </w:rPr>
          <w:t>Fuel</w:t>
        </w:r>
        <w:r w:rsidRPr="009400D0">
          <w:rPr>
            <w:rStyle w:val="Hyperlink"/>
            <w:rFonts w:cs="Calibri"/>
            <w:i/>
            <w:noProof/>
          </w:rPr>
          <w:t xml:space="preserve"> combustion</w:t>
        </w:r>
        <w:r w:rsidRPr="009400D0">
          <w:rPr>
            <w:rStyle w:val="Hyperlink"/>
            <w:rFonts w:cs="Calibri"/>
            <w:noProof/>
          </w:rPr>
          <w:t xml:space="preserve"> categories, 1990 versus 2023</w:t>
        </w:r>
        <w:r>
          <w:rPr>
            <w:noProof/>
            <w:webHidden/>
          </w:rPr>
          <w:tab/>
        </w:r>
        <w:r>
          <w:rPr>
            <w:noProof/>
            <w:webHidden/>
          </w:rPr>
          <w:fldChar w:fldCharType="begin"/>
        </w:r>
        <w:r>
          <w:rPr>
            <w:noProof/>
            <w:webHidden/>
          </w:rPr>
          <w:instrText xml:space="preserve"> PAGEREF _Toc194674839 \h </w:instrText>
        </w:r>
        <w:r>
          <w:rPr>
            <w:noProof/>
            <w:webHidden/>
          </w:rPr>
        </w:r>
        <w:r>
          <w:rPr>
            <w:noProof/>
            <w:webHidden/>
          </w:rPr>
          <w:fldChar w:fldCharType="separate"/>
        </w:r>
        <w:r w:rsidR="00B93180">
          <w:rPr>
            <w:noProof/>
            <w:webHidden/>
          </w:rPr>
          <w:t>62</w:t>
        </w:r>
        <w:r>
          <w:rPr>
            <w:noProof/>
            <w:webHidden/>
          </w:rPr>
          <w:fldChar w:fldCharType="end"/>
        </w:r>
      </w:hyperlink>
    </w:p>
    <w:p w14:paraId="20E8DCC3" w14:textId="2E82D6EE"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40" w:history="1">
        <w:r w:rsidRPr="009400D0">
          <w:rPr>
            <w:rStyle w:val="Hyperlink"/>
            <w:rFonts w:cs="Calibri"/>
            <w:noProof/>
          </w:rPr>
          <w:t xml:space="preserve">Figure 3.2.2 </w:t>
        </w:r>
        <w:r>
          <w:rPr>
            <w:rFonts w:asciiTheme="minorHAnsi" w:eastAsiaTheme="minorEastAsia" w:hAnsiTheme="minorHAnsi" w:cstheme="minorBidi"/>
            <w:noProof/>
            <w:kern w:val="2"/>
            <w:sz w:val="24"/>
            <w:szCs w:val="24"/>
            <w14:ligatures w14:val="standardContextual"/>
          </w:rPr>
          <w:tab/>
        </w:r>
        <w:r w:rsidRPr="009400D0">
          <w:rPr>
            <w:rStyle w:val="Hyperlink"/>
            <w:rFonts w:cs="Calibri"/>
            <w:noProof/>
          </w:rPr>
          <w:t>Energy sector quality control process map</w:t>
        </w:r>
        <w:r>
          <w:rPr>
            <w:noProof/>
            <w:webHidden/>
          </w:rPr>
          <w:tab/>
        </w:r>
        <w:r>
          <w:rPr>
            <w:noProof/>
            <w:webHidden/>
          </w:rPr>
          <w:fldChar w:fldCharType="begin"/>
        </w:r>
        <w:r>
          <w:rPr>
            <w:noProof/>
            <w:webHidden/>
          </w:rPr>
          <w:instrText xml:space="preserve"> PAGEREF _Toc194674840 \h </w:instrText>
        </w:r>
        <w:r>
          <w:rPr>
            <w:noProof/>
            <w:webHidden/>
          </w:rPr>
        </w:r>
        <w:r>
          <w:rPr>
            <w:noProof/>
            <w:webHidden/>
          </w:rPr>
          <w:fldChar w:fldCharType="separate"/>
        </w:r>
        <w:r w:rsidR="00B93180">
          <w:rPr>
            <w:noProof/>
            <w:webHidden/>
          </w:rPr>
          <w:t>69</w:t>
        </w:r>
        <w:r>
          <w:rPr>
            <w:noProof/>
            <w:webHidden/>
          </w:rPr>
          <w:fldChar w:fldCharType="end"/>
        </w:r>
      </w:hyperlink>
    </w:p>
    <w:p w14:paraId="2069F491" w14:textId="749E25F0"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41" w:history="1">
        <w:r w:rsidRPr="009400D0">
          <w:rPr>
            <w:rStyle w:val="Hyperlink"/>
            <w:rFonts w:cs="Calibri"/>
            <w:noProof/>
          </w:rPr>
          <w:t xml:space="preserve">Figure 3.2.3 </w:t>
        </w:r>
        <w:r>
          <w:rPr>
            <w:rFonts w:asciiTheme="minorHAnsi" w:eastAsiaTheme="minorEastAsia" w:hAnsiTheme="minorHAnsi" w:cstheme="minorBidi"/>
            <w:noProof/>
            <w:kern w:val="2"/>
            <w:sz w:val="24"/>
            <w:szCs w:val="24"/>
            <w14:ligatures w14:val="standardContextual"/>
          </w:rPr>
          <w:tab/>
        </w:r>
        <w:r w:rsidRPr="009400D0">
          <w:rPr>
            <w:rStyle w:val="Hyperlink"/>
            <w:rFonts w:cs="Calibri"/>
            <w:noProof/>
          </w:rPr>
          <w:t>Carbon dioxide implied emission factor (IEF) – Liquid fuel combustion, from 1990 to 2023</w:t>
        </w:r>
        <w:r>
          <w:rPr>
            <w:noProof/>
            <w:webHidden/>
          </w:rPr>
          <w:tab/>
        </w:r>
        <w:r>
          <w:rPr>
            <w:noProof/>
            <w:webHidden/>
          </w:rPr>
          <w:fldChar w:fldCharType="begin"/>
        </w:r>
        <w:r>
          <w:rPr>
            <w:noProof/>
            <w:webHidden/>
          </w:rPr>
          <w:instrText xml:space="preserve"> PAGEREF _Toc194674841 \h </w:instrText>
        </w:r>
        <w:r>
          <w:rPr>
            <w:noProof/>
            <w:webHidden/>
          </w:rPr>
        </w:r>
        <w:r>
          <w:rPr>
            <w:noProof/>
            <w:webHidden/>
          </w:rPr>
          <w:fldChar w:fldCharType="separate"/>
        </w:r>
        <w:r w:rsidR="00B93180">
          <w:rPr>
            <w:noProof/>
            <w:webHidden/>
          </w:rPr>
          <w:t>70</w:t>
        </w:r>
        <w:r>
          <w:rPr>
            <w:noProof/>
            <w:webHidden/>
          </w:rPr>
          <w:fldChar w:fldCharType="end"/>
        </w:r>
      </w:hyperlink>
    </w:p>
    <w:p w14:paraId="1BD81C58" w14:textId="2A4E35A2"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42" w:history="1">
        <w:r w:rsidRPr="009400D0">
          <w:rPr>
            <w:rStyle w:val="Hyperlink"/>
            <w:rFonts w:cs="Calibri"/>
            <w:noProof/>
          </w:rPr>
          <w:t xml:space="preserve">Figure 3.2.4 </w:t>
        </w:r>
        <w:r>
          <w:rPr>
            <w:rFonts w:asciiTheme="minorHAnsi" w:eastAsiaTheme="minorEastAsia" w:hAnsiTheme="minorHAnsi" w:cstheme="minorBidi"/>
            <w:noProof/>
            <w:kern w:val="2"/>
            <w:sz w:val="24"/>
            <w:szCs w:val="24"/>
            <w14:ligatures w14:val="standardContextual"/>
          </w:rPr>
          <w:tab/>
        </w:r>
        <w:r w:rsidRPr="009400D0">
          <w:rPr>
            <w:rStyle w:val="Hyperlink"/>
            <w:rFonts w:cs="Calibri"/>
            <w:noProof/>
          </w:rPr>
          <w:t>Carbon dioxide implied emission factor (IEF) – Solid fuel combustion, from 1990 to 2023</w:t>
        </w:r>
        <w:r>
          <w:rPr>
            <w:noProof/>
            <w:webHidden/>
          </w:rPr>
          <w:tab/>
        </w:r>
        <w:r>
          <w:rPr>
            <w:noProof/>
            <w:webHidden/>
          </w:rPr>
          <w:fldChar w:fldCharType="begin"/>
        </w:r>
        <w:r>
          <w:rPr>
            <w:noProof/>
            <w:webHidden/>
          </w:rPr>
          <w:instrText xml:space="preserve"> PAGEREF _Toc194674842 \h </w:instrText>
        </w:r>
        <w:r>
          <w:rPr>
            <w:noProof/>
            <w:webHidden/>
          </w:rPr>
        </w:r>
        <w:r>
          <w:rPr>
            <w:noProof/>
            <w:webHidden/>
          </w:rPr>
          <w:fldChar w:fldCharType="separate"/>
        </w:r>
        <w:r w:rsidR="00B93180">
          <w:rPr>
            <w:noProof/>
            <w:webHidden/>
          </w:rPr>
          <w:t>70</w:t>
        </w:r>
        <w:r>
          <w:rPr>
            <w:noProof/>
            <w:webHidden/>
          </w:rPr>
          <w:fldChar w:fldCharType="end"/>
        </w:r>
      </w:hyperlink>
    </w:p>
    <w:p w14:paraId="4CC42240" w14:textId="76603DD6"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43" w:history="1">
        <w:r w:rsidRPr="009400D0">
          <w:rPr>
            <w:rStyle w:val="Hyperlink"/>
            <w:rFonts w:cs="Calibri"/>
            <w:noProof/>
          </w:rPr>
          <w:t>Figure 3.2.5</w:t>
        </w:r>
        <w:r>
          <w:rPr>
            <w:rFonts w:asciiTheme="minorHAnsi" w:eastAsiaTheme="minorEastAsia" w:hAnsiTheme="minorHAnsi" w:cstheme="minorBidi"/>
            <w:noProof/>
            <w:kern w:val="2"/>
            <w:sz w:val="24"/>
            <w:szCs w:val="24"/>
            <w14:ligatures w14:val="standardContextual"/>
          </w:rPr>
          <w:tab/>
        </w:r>
        <w:r w:rsidRPr="009400D0">
          <w:rPr>
            <w:rStyle w:val="Hyperlink"/>
            <w:rFonts w:cs="Calibri"/>
            <w:noProof/>
            <w:lang w:eastAsia="en-GB"/>
          </w:rPr>
          <w:t xml:space="preserve">Carbon dioxide implied emission factor </w:t>
        </w:r>
        <w:r w:rsidRPr="009400D0">
          <w:rPr>
            <w:rStyle w:val="Hyperlink"/>
            <w:rFonts w:cs="Calibri"/>
            <w:noProof/>
          </w:rPr>
          <w:t>(IEF)</w:t>
        </w:r>
        <w:r w:rsidRPr="009400D0">
          <w:rPr>
            <w:rStyle w:val="Hyperlink"/>
            <w:rFonts w:cs="Calibri"/>
            <w:noProof/>
            <w:lang w:eastAsia="en-GB"/>
          </w:rPr>
          <w:t xml:space="preserve"> – Gaseous fuel combustion, </w:t>
        </w:r>
        <w:r w:rsidRPr="009400D0">
          <w:rPr>
            <w:rStyle w:val="Hyperlink"/>
            <w:rFonts w:cs="Calibri"/>
            <w:noProof/>
          </w:rPr>
          <w:t>from 1990 to 2023</w:t>
        </w:r>
        <w:r>
          <w:rPr>
            <w:noProof/>
            <w:webHidden/>
          </w:rPr>
          <w:tab/>
        </w:r>
        <w:r>
          <w:rPr>
            <w:noProof/>
            <w:webHidden/>
          </w:rPr>
          <w:fldChar w:fldCharType="begin"/>
        </w:r>
        <w:r>
          <w:rPr>
            <w:noProof/>
            <w:webHidden/>
          </w:rPr>
          <w:instrText xml:space="preserve"> PAGEREF _Toc194674843 \h </w:instrText>
        </w:r>
        <w:r>
          <w:rPr>
            <w:noProof/>
            <w:webHidden/>
          </w:rPr>
        </w:r>
        <w:r>
          <w:rPr>
            <w:noProof/>
            <w:webHidden/>
          </w:rPr>
          <w:fldChar w:fldCharType="separate"/>
        </w:r>
        <w:r w:rsidR="00B93180">
          <w:rPr>
            <w:noProof/>
            <w:webHidden/>
          </w:rPr>
          <w:t>70</w:t>
        </w:r>
        <w:r>
          <w:rPr>
            <w:noProof/>
            <w:webHidden/>
          </w:rPr>
          <w:fldChar w:fldCharType="end"/>
        </w:r>
      </w:hyperlink>
    </w:p>
    <w:p w14:paraId="1B62D9A1" w14:textId="2C4D6C0F"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44" w:history="1">
        <w:r w:rsidRPr="009400D0">
          <w:rPr>
            <w:rStyle w:val="Hyperlink"/>
            <w:rFonts w:cs="Calibri"/>
            <w:noProof/>
          </w:rPr>
          <w:t>Figure 3.2.6</w:t>
        </w:r>
        <w:r>
          <w:rPr>
            <w:rFonts w:asciiTheme="minorHAnsi" w:eastAsiaTheme="minorEastAsia" w:hAnsiTheme="minorHAnsi" w:cstheme="minorBidi"/>
            <w:noProof/>
            <w:kern w:val="2"/>
            <w:sz w:val="24"/>
            <w:szCs w:val="24"/>
            <w14:ligatures w14:val="standardContextual"/>
          </w:rPr>
          <w:tab/>
        </w:r>
        <w:r w:rsidRPr="009400D0">
          <w:rPr>
            <w:rStyle w:val="Hyperlink"/>
            <w:rFonts w:cs="Calibri"/>
            <w:noProof/>
            <w:lang w:eastAsia="en-GB"/>
          </w:rPr>
          <w:t xml:space="preserve">New Zealand’s </w:t>
        </w:r>
        <w:r w:rsidRPr="009400D0">
          <w:rPr>
            <w:rStyle w:val="Hyperlink"/>
            <w:rFonts w:cs="Calibri"/>
            <w:noProof/>
          </w:rPr>
          <w:t>electricity</w:t>
        </w:r>
        <w:r w:rsidRPr="009400D0">
          <w:rPr>
            <w:rStyle w:val="Hyperlink"/>
            <w:rFonts w:cs="Calibri"/>
            <w:noProof/>
            <w:lang w:eastAsia="en-GB"/>
          </w:rPr>
          <w:t xml:space="preserve"> generation by source, from 1990 to 2023</w:t>
        </w:r>
        <w:r>
          <w:rPr>
            <w:noProof/>
            <w:webHidden/>
          </w:rPr>
          <w:tab/>
        </w:r>
        <w:r>
          <w:rPr>
            <w:noProof/>
            <w:webHidden/>
          </w:rPr>
          <w:fldChar w:fldCharType="begin"/>
        </w:r>
        <w:r>
          <w:rPr>
            <w:noProof/>
            <w:webHidden/>
          </w:rPr>
          <w:instrText xml:space="preserve"> PAGEREF _Toc194674844 \h </w:instrText>
        </w:r>
        <w:r>
          <w:rPr>
            <w:noProof/>
            <w:webHidden/>
          </w:rPr>
        </w:r>
        <w:r>
          <w:rPr>
            <w:noProof/>
            <w:webHidden/>
          </w:rPr>
          <w:fldChar w:fldCharType="separate"/>
        </w:r>
        <w:r w:rsidR="00B93180">
          <w:rPr>
            <w:noProof/>
            <w:webHidden/>
          </w:rPr>
          <w:t>72</w:t>
        </w:r>
        <w:r>
          <w:rPr>
            <w:noProof/>
            <w:webHidden/>
          </w:rPr>
          <w:fldChar w:fldCharType="end"/>
        </w:r>
      </w:hyperlink>
    </w:p>
    <w:p w14:paraId="3A43A9F0" w14:textId="31CA3553"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45" w:history="1">
        <w:r w:rsidRPr="009400D0">
          <w:rPr>
            <w:rStyle w:val="Hyperlink"/>
            <w:rFonts w:cs="Calibri"/>
            <w:noProof/>
          </w:rPr>
          <w:t>Figure 3.2.7</w:t>
        </w:r>
        <w:r>
          <w:rPr>
            <w:rFonts w:asciiTheme="minorHAnsi" w:eastAsiaTheme="minorEastAsia" w:hAnsiTheme="minorHAnsi" w:cstheme="minorBidi"/>
            <w:noProof/>
            <w:kern w:val="2"/>
            <w:sz w:val="24"/>
            <w:szCs w:val="24"/>
            <w14:ligatures w14:val="standardContextual"/>
          </w:rPr>
          <w:tab/>
        </w:r>
        <w:r w:rsidRPr="009400D0">
          <w:rPr>
            <w:rStyle w:val="Hyperlink"/>
            <w:rFonts w:cs="Calibri"/>
            <w:noProof/>
            <w:lang w:eastAsia="en-GB"/>
          </w:rPr>
          <w:t>Decision tree to identify a main activity electricity generator or an autoproducer</w:t>
        </w:r>
        <w:r>
          <w:rPr>
            <w:noProof/>
            <w:webHidden/>
          </w:rPr>
          <w:tab/>
        </w:r>
        <w:r>
          <w:rPr>
            <w:noProof/>
            <w:webHidden/>
          </w:rPr>
          <w:fldChar w:fldCharType="begin"/>
        </w:r>
        <w:r>
          <w:rPr>
            <w:noProof/>
            <w:webHidden/>
          </w:rPr>
          <w:instrText xml:space="preserve"> PAGEREF _Toc194674845 \h </w:instrText>
        </w:r>
        <w:r>
          <w:rPr>
            <w:noProof/>
            <w:webHidden/>
          </w:rPr>
        </w:r>
        <w:r>
          <w:rPr>
            <w:noProof/>
            <w:webHidden/>
          </w:rPr>
          <w:fldChar w:fldCharType="separate"/>
        </w:r>
        <w:r w:rsidR="00B93180">
          <w:rPr>
            <w:noProof/>
            <w:webHidden/>
          </w:rPr>
          <w:t>73</w:t>
        </w:r>
        <w:r>
          <w:rPr>
            <w:noProof/>
            <w:webHidden/>
          </w:rPr>
          <w:fldChar w:fldCharType="end"/>
        </w:r>
      </w:hyperlink>
    </w:p>
    <w:p w14:paraId="50DB3BB8" w14:textId="1EC13399"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46" w:history="1">
        <w:r w:rsidRPr="009400D0">
          <w:rPr>
            <w:rStyle w:val="Hyperlink"/>
            <w:noProof/>
          </w:rPr>
          <w:t xml:space="preserve">Figure 3.2.8 </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Proportions used for </w:t>
        </w:r>
        <w:r w:rsidRPr="009400D0">
          <w:rPr>
            <w:rStyle w:val="Hyperlink"/>
            <w:i/>
            <w:iCs/>
            <w:noProof/>
          </w:rPr>
          <w:t>Manufacturing industries and construction</w:t>
        </w:r>
        <w:r w:rsidRPr="009400D0">
          <w:rPr>
            <w:rStyle w:val="Hyperlink"/>
            <w:noProof/>
          </w:rPr>
          <w:t xml:space="preserve"> category – Gasoline, from 1990 to 2023</w:t>
        </w:r>
        <w:r>
          <w:rPr>
            <w:noProof/>
            <w:webHidden/>
          </w:rPr>
          <w:tab/>
        </w:r>
        <w:r>
          <w:rPr>
            <w:noProof/>
            <w:webHidden/>
          </w:rPr>
          <w:fldChar w:fldCharType="begin"/>
        </w:r>
        <w:r>
          <w:rPr>
            <w:noProof/>
            <w:webHidden/>
          </w:rPr>
          <w:instrText xml:space="preserve"> PAGEREF _Toc194674846 \h </w:instrText>
        </w:r>
        <w:r>
          <w:rPr>
            <w:noProof/>
            <w:webHidden/>
          </w:rPr>
        </w:r>
        <w:r>
          <w:rPr>
            <w:noProof/>
            <w:webHidden/>
          </w:rPr>
          <w:fldChar w:fldCharType="separate"/>
        </w:r>
        <w:r w:rsidR="00B93180">
          <w:rPr>
            <w:noProof/>
            <w:webHidden/>
          </w:rPr>
          <w:t>78</w:t>
        </w:r>
        <w:r>
          <w:rPr>
            <w:noProof/>
            <w:webHidden/>
          </w:rPr>
          <w:fldChar w:fldCharType="end"/>
        </w:r>
      </w:hyperlink>
    </w:p>
    <w:p w14:paraId="058EF264" w14:textId="162A7A07"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47" w:history="1">
        <w:r w:rsidRPr="009400D0">
          <w:rPr>
            <w:rStyle w:val="Hyperlink"/>
            <w:noProof/>
          </w:rPr>
          <w:t xml:space="preserve">Figure 3.2.9 </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Proportions used for </w:t>
        </w:r>
        <w:r w:rsidRPr="009400D0">
          <w:rPr>
            <w:rStyle w:val="Hyperlink"/>
            <w:i/>
            <w:iCs/>
            <w:noProof/>
          </w:rPr>
          <w:t>Manufacturing industries and construction</w:t>
        </w:r>
        <w:r w:rsidRPr="009400D0">
          <w:rPr>
            <w:rStyle w:val="Hyperlink"/>
            <w:noProof/>
          </w:rPr>
          <w:t xml:space="preserve"> category – Diesel, from 1990 to 2023</w:t>
        </w:r>
        <w:r>
          <w:rPr>
            <w:noProof/>
            <w:webHidden/>
          </w:rPr>
          <w:tab/>
        </w:r>
        <w:r>
          <w:rPr>
            <w:noProof/>
            <w:webHidden/>
          </w:rPr>
          <w:fldChar w:fldCharType="begin"/>
        </w:r>
        <w:r>
          <w:rPr>
            <w:noProof/>
            <w:webHidden/>
          </w:rPr>
          <w:instrText xml:space="preserve"> PAGEREF _Toc194674847 \h </w:instrText>
        </w:r>
        <w:r>
          <w:rPr>
            <w:noProof/>
            <w:webHidden/>
          </w:rPr>
        </w:r>
        <w:r>
          <w:rPr>
            <w:noProof/>
            <w:webHidden/>
          </w:rPr>
          <w:fldChar w:fldCharType="separate"/>
        </w:r>
        <w:r w:rsidR="00B93180">
          <w:rPr>
            <w:noProof/>
            <w:webHidden/>
          </w:rPr>
          <w:t>79</w:t>
        </w:r>
        <w:r>
          <w:rPr>
            <w:noProof/>
            <w:webHidden/>
          </w:rPr>
          <w:fldChar w:fldCharType="end"/>
        </w:r>
      </w:hyperlink>
    </w:p>
    <w:p w14:paraId="57F5930F" w14:textId="473C6A58"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48" w:history="1">
        <w:r w:rsidRPr="009400D0">
          <w:rPr>
            <w:rStyle w:val="Hyperlink"/>
            <w:rFonts w:cs="Calibri"/>
            <w:noProof/>
          </w:rPr>
          <w:t>Figure 3.2.10</w:t>
        </w:r>
        <w:r w:rsidRPr="009400D0">
          <w:rPr>
            <w:rStyle w:val="Hyperlink"/>
            <w:rFonts w:cs="Calibri"/>
            <w:noProof/>
            <w:lang w:eastAsia="en-GB"/>
          </w:rPr>
          <w:t xml:space="preserve"> </w:t>
        </w:r>
        <w:r>
          <w:rPr>
            <w:rFonts w:asciiTheme="minorHAnsi" w:eastAsiaTheme="minorEastAsia" w:hAnsiTheme="minorHAnsi" w:cstheme="minorBidi"/>
            <w:noProof/>
            <w:kern w:val="2"/>
            <w:sz w:val="24"/>
            <w:szCs w:val="24"/>
            <w14:ligatures w14:val="standardContextual"/>
          </w:rPr>
          <w:tab/>
        </w:r>
        <w:r w:rsidRPr="009400D0">
          <w:rPr>
            <w:rStyle w:val="Hyperlink"/>
            <w:rFonts w:cs="Calibri"/>
            <w:noProof/>
            <w:lang w:eastAsia="en-GB"/>
          </w:rPr>
          <w:t>Splicing method decision tree for gasoline emissions</w:t>
        </w:r>
        <w:r>
          <w:rPr>
            <w:noProof/>
            <w:webHidden/>
          </w:rPr>
          <w:tab/>
        </w:r>
        <w:r>
          <w:rPr>
            <w:noProof/>
            <w:webHidden/>
          </w:rPr>
          <w:fldChar w:fldCharType="begin"/>
        </w:r>
        <w:r>
          <w:rPr>
            <w:noProof/>
            <w:webHidden/>
          </w:rPr>
          <w:instrText xml:space="preserve"> PAGEREF _Toc194674848 \h </w:instrText>
        </w:r>
        <w:r>
          <w:rPr>
            <w:noProof/>
            <w:webHidden/>
          </w:rPr>
        </w:r>
        <w:r>
          <w:rPr>
            <w:noProof/>
            <w:webHidden/>
          </w:rPr>
          <w:fldChar w:fldCharType="separate"/>
        </w:r>
        <w:r w:rsidR="00B93180">
          <w:rPr>
            <w:noProof/>
            <w:webHidden/>
          </w:rPr>
          <w:t>84</w:t>
        </w:r>
        <w:r>
          <w:rPr>
            <w:noProof/>
            <w:webHidden/>
          </w:rPr>
          <w:fldChar w:fldCharType="end"/>
        </w:r>
      </w:hyperlink>
    </w:p>
    <w:p w14:paraId="03179127" w14:textId="70A54A7D"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49" w:history="1">
        <w:r w:rsidRPr="009400D0">
          <w:rPr>
            <w:rStyle w:val="Hyperlink"/>
            <w:rFonts w:cs="Calibri"/>
            <w:noProof/>
          </w:rPr>
          <w:t xml:space="preserve">Figure 3.3.1 </w:t>
        </w:r>
        <w:r>
          <w:rPr>
            <w:rFonts w:asciiTheme="minorHAnsi" w:eastAsiaTheme="minorEastAsia" w:hAnsiTheme="minorHAnsi" w:cstheme="minorBidi"/>
            <w:noProof/>
            <w:kern w:val="2"/>
            <w:sz w:val="24"/>
            <w:szCs w:val="24"/>
            <w14:ligatures w14:val="standardContextual"/>
          </w:rPr>
          <w:tab/>
        </w:r>
        <w:r w:rsidRPr="009400D0">
          <w:rPr>
            <w:rStyle w:val="Hyperlink"/>
            <w:rFonts w:cs="Calibri"/>
            <w:noProof/>
          </w:rPr>
          <w:t>Schematic diagram of the use of geothermal fluid for electricity generation – as at Wairakei and Ohaaki geothermal stations (New Zealand Institute of Chemistry, 1998)</w:t>
        </w:r>
        <w:r>
          <w:rPr>
            <w:noProof/>
            <w:webHidden/>
          </w:rPr>
          <w:tab/>
        </w:r>
        <w:r>
          <w:rPr>
            <w:noProof/>
            <w:webHidden/>
          </w:rPr>
          <w:fldChar w:fldCharType="begin"/>
        </w:r>
        <w:r>
          <w:rPr>
            <w:noProof/>
            <w:webHidden/>
          </w:rPr>
          <w:instrText xml:space="preserve"> PAGEREF _Toc194674849 \h </w:instrText>
        </w:r>
        <w:r>
          <w:rPr>
            <w:noProof/>
            <w:webHidden/>
          </w:rPr>
        </w:r>
        <w:r>
          <w:rPr>
            <w:noProof/>
            <w:webHidden/>
          </w:rPr>
          <w:fldChar w:fldCharType="separate"/>
        </w:r>
        <w:r w:rsidR="00B93180">
          <w:rPr>
            <w:noProof/>
            <w:webHidden/>
          </w:rPr>
          <w:t>97</w:t>
        </w:r>
        <w:r>
          <w:rPr>
            <w:noProof/>
            <w:webHidden/>
          </w:rPr>
          <w:fldChar w:fldCharType="end"/>
        </w:r>
      </w:hyperlink>
    </w:p>
    <w:p w14:paraId="3A282B75" w14:textId="5830004D"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50" w:history="1">
        <w:r w:rsidRPr="009400D0">
          <w:rPr>
            <w:rStyle w:val="Hyperlink"/>
            <w:noProof/>
          </w:rPr>
          <w:t xml:space="preserve">Figure 4.1.1 </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New Zealand’s annual emissions from the IPPU sector, from </w:t>
        </w:r>
        <w:r w:rsidRPr="009400D0">
          <w:rPr>
            <w:rStyle w:val="Hyperlink"/>
            <w:bCs/>
            <w:noProof/>
          </w:rPr>
          <w:t>1990</w:t>
        </w:r>
        <w:r w:rsidRPr="009400D0">
          <w:rPr>
            <w:rStyle w:val="Hyperlink"/>
            <w:noProof/>
          </w:rPr>
          <w:t> to </w:t>
        </w:r>
        <w:r w:rsidRPr="009400D0">
          <w:rPr>
            <w:rStyle w:val="Hyperlink"/>
            <w:bCs/>
            <w:noProof/>
          </w:rPr>
          <w:t>2023</w:t>
        </w:r>
        <w:r>
          <w:rPr>
            <w:noProof/>
            <w:webHidden/>
          </w:rPr>
          <w:tab/>
        </w:r>
        <w:r>
          <w:rPr>
            <w:noProof/>
            <w:webHidden/>
          </w:rPr>
          <w:fldChar w:fldCharType="begin"/>
        </w:r>
        <w:r>
          <w:rPr>
            <w:noProof/>
            <w:webHidden/>
          </w:rPr>
          <w:instrText xml:space="preserve"> PAGEREF _Toc194674850 \h </w:instrText>
        </w:r>
        <w:r>
          <w:rPr>
            <w:noProof/>
            <w:webHidden/>
          </w:rPr>
        </w:r>
        <w:r>
          <w:rPr>
            <w:noProof/>
            <w:webHidden/>
          </w:rPr>
          <w:fldChar w:fldCharType="separate"/>
        </w:r>
        <w:r w:rsidR="00B93180">
          <w:rPr>
            <w:noProof/>
            <w:webHidden/>
          </w:rPr>
          <w:t>106</w:t>
        </w:r>
        <w:r>
          <w:rPr>
            <w:noProof/>
            <w:webHidden/>
          </w:rPr>
          <w:fldChar w:fldCharType="end"/>
        </w:r>
      </w:hyperlink>
    </w:p>
    <w:p w14:paraId="3217FA61" w14:textId="426971B4"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51" w:history="1">
        <w:r w:rsidRPr="009400D0">
          <w:rPr>
            <w:rStyle w:val="Hyperlink"/>
            <w:noProof/>
          </w:rPr>
          <w:t xml:space="preserve">Figure 4.1.2 </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New Zealand’s emissions from the IPPU sector in </w:t>
        </w:r>
        <w:r w:rsidRPr="009400D0">
          <w:rPr>
            <w:rStyle w:val="Hyperlink"/>
            <w:bCs/>
            <w:noProof/>
          </w:rPr>
          <w:t>1990</w:t>
        </w:r>
        <w:r w:rsidRPr="009400D0">
          <w:rPr>
            <w:rStyle w:val="Hyperlink"/>
            <w:noProof/>
          </w:rPr>
          <w:t> and </w:t>
        </w:r>
        <w:r w:rsidRPr="009400D0">
          <w:rPr>
            <w:rStyle w:val="Hyperlink"/>
            <w:bCs/>
            <w:noProof/>
          </w:rPr>
          <w:t>2023</w:t>
        </w:r>
        <w:r>
          <w:rPr>
            <w:noProof/>
            <w:webHidden/>
          </w:rPr>
          <w:tab/>
        </w:r>
        <w:r>
          <w:rPr>
            <w:noProof/>
            <w:webHidden/>
          </w:rPr>
          <w:fldChar w:fldCharType="begin"/>
        </w:r>
        <w:r>
          <w:rPr>
            <w:noProof/>
            <w:webHidden/>
          </w:rPr>
          <w:instrText xml:space="preserve"> PAGEREF _Toc194674851 \h </w:instrText>
        </w:r>
        <w:r>
          <w:rPr>
            <w:noProof/>
            <w:webHidden/>
          </w:rPr>
        </w:r>
        <w:r>
          <w:rPr>
            <w:noProof/>
            <w:webHidden/>
          </w:rPr>
          <w:fldChar w:fldCharType="separate"/>
        </w:r>
        <w:r w:rsidR="00B93180">
          <w:rPr>
            <w:noProof/>
            <w:webHidden/>
          </w:rPr>
          <w:t>107</w:t>
        </w:r>
        <w:r>
          <w:rPr>
            <w:noProof/>
            <w:webHidden/>
          </w:rPr>
          <w:fldChar w:fldCharType="end"/>
        </w:r>
      </w:hyperlink>
    </w:p>
    <w:p w14:paraId="5CED21AB" w14:textId="2FD954CD"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52" w:history="1">
        <w:r w:rsidRPr="009400D0">
          <w:rPr>
            <w:rStyle w:val="Hyperlink"/>
            <w:noProof/>
          </w:rPr>
          <w:t xml:space="preserve">Figure 4.1.3 </w:t>
        </w:r>
        <w:r>
          <w:rPr>
            <w:rFonts w:asciiTheme="minorHAnsi" w:eastAsiaTheme="minorEastAsia" w:hAnsiTheme="minorHAnsi" w:cstheme="minorBidi"/>
            <w:noProof/>
            <w:kern w:val="2"/>
            <w:sz w:val="24"/>
            <w:szCs w:val="24"/>
            <w14:ligatures w14:val="standardContextual"/>
          </w:rPr>
          <w:tab/>
        </w:r>
        <w:r w:rsidRPr="009400D0">
          <w:rPr>
            <w:rStyle w:val="Hyperlink"/>
            <w:noProof/>
          </w:rPr>
          <w:t>Example: Tier 1 quality checks for the IPPU sector</w:t>
        </w:r>
        <w:r>
          <w:rPr>
            <w:noProof/>
            <w:webHidden/>
          </w:rPr>
          <w:tab/>
        </w:r>
        <w:r>
          <w:rPr>
            <w:noProof/>
            <w:webHidden/>
          </w:rPr>
          <w:fldChar w:fldCharType="begin"/>
        </w:r>
        <w:r>
          <w:rPr>
            <w:noProof/>
            <w:webHidden/>
          </w:rPr>
          <w:instrText xml:space="preserve"> PAGEREF _Toc194674852 \h </w:instrText>
        </w:r>
        <w:r>
          <w:rPr>
            <w:noProof/>
            <w:webHidden/>
          </w:rPr>
        </w:r>
        <w:r>
          <w:rPr>
            <w:noProof/>
            <w:webHidden/>
          </w:rPr>
          <w:fldChar w:fldCharType="separate"/>
        </w:r>
        <w:r w:rsidR="00B93180">
          <w:rPr>
            <w:noProof/>
            <w:webHidden/>
          </w:rPr>
          <w:t>110</w:t>
        </w:r>
        <w:r>
          <w:rPr>
            <w:noProof/>
            <w:webHidden/>
          </w:rPr>
          <w:fldChar w:fldCharType="end"/>
        </w:r>
      </w:hyperlink>
    </w:p>
    <w:p w14:paraId="10319370" w14:textId="22F4E497"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53" w:history="1">
        <w:r w:rsidRPr="009400D0">
          <w:rPr>
            <w:rStyle w:val="Hyperlink"/>
            <w:noProof/>
          </w:rPr>
          <w:t xml:space="preserve">Figure 4.4.1 </w:t>
        </w:r>
        <w:r>
          <w:rPr>
            <w:rFonts w:asciiTheme="minorHAnsi" w:eastAsiaTheme="minorEastAsia" w:hAnsiTheme="minorHAnsi" w:cstheme="minorBidi"/>
            <w:noProof/>
            <w:kern w:val="2"/>
            <w:sz w:val="24"/>
            <w:szCs w:val="24"/>
            <w14:ligatures w14:val="standardContextual"/>
          </w:rPr>
          <w:tab/>
        </w:r>
        <w:r w:rsidRPr="009400D0">
          <w:rPr>
            <w:rStyle w:val="Hyperlink"/>
            <w:noProof/>
          </w:rPr>
          <w:t>Simplified schematic of steel production in New Zealand</w:t>
        </w:r>
        <w:r>
          <w:rPr>
            <w:noProof/>
            <w:webHidden/>
          </w:rPr>
          <w:tab/>
        </w:r>
        <w:r>
          <w:rPr>
            <w:noProof/>
            <w:webHidden/>
          </w:rPr>
          <w:fldChar w:fldCharType="begin"/>
        </w:r>
        <w:r>
          <w:rPr>
            <w:noProof/>
            <w:webHidden/>
          </w:rPr>
          <w:instrText xml:space="preserve"> PAGEREF _Toc194674853 \h </w:instrText>
        </w:r>
        <w:r>
          <w:rPr>
            <w:noProof/>
            <w:webHidden/>
          </w:rPr>
        </w:r>
        <w:r>
          <w:rPr>
            <w:noProof/>
            <w:webHidden/>
          </w:rPr>
          <w:fldChar w:fldCharType="separate"/>
        </w:r>
        <w:r w:rsidR="00B93180">
          <w:rPr>
            <w:noProof/>
            <w:webHidden/>
          </w:rPr>
          <w:t>121</w:t>
        </w:r>
        <w:r>
          <w:rPr>
            <w:noProof/>
            <w:webHidden/>
          </w:rPr>
          <w:fldChar w:fldCharType="end"/>
        </w:r>
      </w:hyperlink>
    </w:p>
    <w:p w14:paraId="58F1DBE5" w14:textId="1146E7F1"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54" w:history="1">
        <w:r w:rsidRPr="009400D0">
          <w:rPr>
            <w:rStyle w:val="Hyperlink"/>
            <w:noProof/>
          </w:rPr>
          <w:t>Figure 5.1.1</w:t>
        </w:r>
        <w:r>
          <w:rPr>
            <w:rFonts w:asciiTheme="minorHAnsi" w:eastAsiaTheme="minorEastAsia" w:hAnsiTheme="minorHAnsi" w:cstheme="minorBidi"/>
            <w:noProof/>
            <w:kern w:val="2"/>
            <w:sz w:val="24"/>
            <w:szCs w:val="24"/>
            <w14:ligatures w14:val="standardContextual"/>
          </w:rPr>
          <w:tab/>
        </w:r>
        <w:r w:rsidRPr="009400D0">
          <w:rPr>
            <w:rStyle w:val="Hyperlink"/>
            <w:noProof/>
          </w:rPr>
          <w:t>New Zealand’s emissions from the Agriculture sector, from 1990 to 2023</w:t>
        </w:r>
        <w:r>
          <w:rPr>
            <w:noProof/>
            <w:webHidden/>
          </w:rPr>
          <w:tab/>
        </w:r>
        <w:r>
          <w:rPr>
            <w:noProof/>
            <w:webHidden/>
          </w:rPr>
          <w:fldChar w:fldCharType="begin"/>
        </w:r>
        <w:r>
          <w:rPr>
            <w:noProof/>
            <w:webHidden/>
          </w:rPr>
          <w:instrText xml:space="preserve"> PAGEREF _Toc194674854 \h </w:instrText>
        </w:r>
        <w:r>
          <w:rPr>
            <w:noProof/>
            <w:webHidden/>
          </w:rPr>
        </w:r>
        <w:r>
          <w:rPr>
            <w:noProof/>
            <w:webHidden/>
          </w:rPr>
          <w:fldChar w:fldCharType="separate"/>
        </w:r>
        <w:r w:rsidR="00B93180">
          <w:rPr>
            <w:noProof/>
            <w:webHidden/>
          </w:rPr>
          <w:t>144</w:t>
        </w:r>
        <w:r>
          <w:rPr>
            <w:noProof/>
            <w:webHidden/>
          </w:rPr>
          <w:fldChar w:fldCharType="end"/>
        </w:r>
      </w:hyperlink>
    </w:p>
    <w:p w14:paraId="518DC079" w14:textId="7C28D42B"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55" w:history="1">
        <w:r w:rsidRPr="009400D0">
          <w:rPr>
            <w:rStyle w:val="Hyperlink"/>
            <w:noProof/>
          </w:rPr>
          <w:t>Figure 5.1.2</w:t>
        </w:r>
        <w:r>
          <w:rPr>
            <w:rFonts w:asciiTheme="minorHAnsi" w:eastAsiaTheme="minorEastAsia" w:hAnsiTheme="minorHAnsi" w:cstheme="minorBidi"/>
            <w:noProof/>
            <w:kern w:val="2"/>
            <w:sz w:val="24"/>
            <w:szCs w:val="24"/>
            <w14:ligatures w14:val="standardContextual"/>
          </w:rPr>
          <w:tab/>
        </w:r>
        <w:r w:rsidRPr="009400D0">
          <w:rPr>
            <w:rStyle w:val="Hyperlink"/>
            <w:noProof/>
          </w:rPr>
          <w:t>New Zealand’s Agriculture sector emissions, from 1990 to 2023</w:t>
        </w:r>
        <w:r>
          <w:rPr>
            <w:noProof/>
            <w:webHidden/>
          </w:rPr>
          <w:tab/>
        </w:r>
        <w:r>
          <w:rPr>
            <w:noProof/>
            <w:webHidden/>
          </w:rPr>
          <w:fldChar w:fldCharType="begin"/>
        </w:r>
        <w:r>
          <w:rPr>
            <w:noProof/>
            <w:webHidden/>
          </w:rPr>
          <w:instrText xml:space="preserve"> PAGEREF _Toc194674855 \h </w:instrText>
        </w:r>
        <w:r>
          <w:rPr>
            <w:noProof/>
            <w:webHidden/>
          </w:rPr>
        </w:r>
        <w:r>
          <w:rPr>
            <w:noProof/>
            <w:webHidden/>
          </w:rPr>
          <w:fldChar w:fldCharType="separate"/>
        </w:r>
        <w:r w:rsidR="00B93180">
          <w:rPr>
            <w:noProof/>
            <w:webHidden/>
          </w:rPr>
          <w:t>145</w:t>
        </w:r>
        <w:r>
          <w:rPr>
            <w:noProof/>
            <w:webHidden/>
          </w:rPr>
          <w:fldChar w:fldCharType="end"/>
        </w:r>
      </w:hyperlink>
    </w:p>
    <w:p w14:paraId="461DCB75" w14:textId="22134020"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56" w:history="1">
        <w:r w:rsidRPr="009400D0">
          <w:rPr>
            <w:rStyle w:val="Hyperlink"/>
            <w:noProof/>
          </w:rPr>
          <w:t xml:space="preserve">Figure 5.1.3(a) </w:t>
        </w:r>
        <w:r>
          <w:rPr>
            <w:rFonts w:asciiTheme="minorHAnsi" w:eastAsiaTheme="minorEastAsia" w:hAnsiTheme="minorHAnsi" w:cstheme="minorBidi"/>
            <w:noProof/>
            <w:kern w:val="2"/>
            <w:sz w:val="24"/>
            <w:szCs w:val="24"/>
            <w14:ligatures w14:val="standardContextual"/>
          </w:rPr>
          <w:tab/>
        </w:r>
        <w:r w:rsidRPr="009400D0">
          <w:rPr>
            <w:rStyle w:val="Hyperlink"/>
            <w:noProof/>
          </w:rPr>
          <w:t>Populations of New Zealand’s dairy cattle, non-dairy cattle and deer, from 1990 to 2023  (June year ending)</w:t>
        </w:r>
        <w:r>
          <w:rPr>
            <w:noProof/>
            <w:webHidden/>
          </w:rPr>
          <w:tab/>
        </w:r>
        <w:r>
          <w:rPr>
            <w:noProof/>
            <w:webHidden/>
          </w:rPr>
          <w:fldChar w:fldCharType="begin"/>
        </w:r>
        <w:r>
          <w:rPr>
            <w:noProof/>
            <w:webHidden/>
          </w:rPr>
          <w:instrText xml:space="preserve"> PAGEREF _Toc194674856 \h </w:instrText>
        </w:r>
        <w:r>
          <w:rPr>
            <w:noProof/>
            <w:webHidden/>
          </w:rPr>
        </w:r>
        <w:r>
          <w:rPr>
            <w:noProof/>
            <w:webHidden/>
          </w:rPr>
          <w:fldChar w:fldCharType="separate"/>
        </w:r>
        <w:r w:rsidR="00B93180">
          <w:rPr>
            <w:noProof/>
            <w:webHidden/>
          </w:rPr>
          <w:t>147</w:t>
        </w:r>
        <w:r>
          <w:rPr>
            <w:noProof/>
            <w:webHidden/>
          </w:rPr>
          <w:fldChar w:fldCharType="end"/>
        </w:r>
      </w:hyperlink>
    </w:p>
    <w:p w14:paraId="001317C2" w14:textId="44AB0BB0"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57" w:history="1">
        <w:r w:rsidRPr="009400D0">
          <w:rPr>
            <w:rStyle w:val="Hyperlink"/>
            <w:noProof/>
          </w:rPr>
          <w:t xml:space="preserve">Figure 5.1.3(b) </w:t>
        </w:r>
        <w:r>
          <w:rPr>
            <w:rFonts w:asciiTheme="minorHAnsi" w:eastAsiaTheme="minorEastAsia" w:hAnsiTheme="minorHAnsi" w:cstheme="minorBidi"/>
            <w:noProof/>
            <w:kern w:val="2"/>
            <w:sz w:val="24"/>
            <w:szCs w:val="24"/>
            <w14:ligatures w14:val="standardContextual"/>
          </w:rPr>
          <w:tab/>
        </w:r>
        <w:r w:rsidRPr="009400D0">
          <w:rPr>
            <w:rStyle w:val="Hyperlink"/>
            <w:noProof/>
          </w:rPr>
          <w:t>Population of New Zealand’s sheep, from 1990 to 2023 (June year ending)</w:t>
        </w:r>
        <w:r>
          <w:rPr>
            <w:noProof/>
            <w:webHidden/>
          </w:rPr>
          <w:tab/>
        </w:r>
        <w:r>
          <w:rPr>
            <w:noProof/>
            <w:webHidden/>
          </w:rPr>
          <w:fldChar w:fldCharType="begin"/>
        </w:r>
        <w:r>
          <w:rPr>
            <w:noProof/>
            <w:webHidden/>
          </w:rPr>
          <w:instrText xml:space="preserve"> PAGEREF _Toc194674857 \h </w:instrText>
        </w:r>
        <w:r>
          <w:rPr>
            <w:noProof/>
            <w:webHidden/>
          </w:rPr>
        </w:r>
        <w:r>
          <w:rPr>
            <w:noProof/>
            <w:webHidden/>
          </w:rPr>
          <w:fldChar w:fldCharType="separate"/>
        </w:r>
        <w:r w:rsidR="00B93180">
          <w:rPr>
            <w:noProof/>
            <w:webHidden/>
          </w:rPr>
          <w:t>147</w:t>
        </w:r>
        <w:r>
          <w:rPr>
            <w:noProof/>
            <w:webHidden/>
          </w:rPr>
          <w:fldChar w:fldCharType="end"/>
        </w:r>
      </w:hyperlink>
    </w:p>
    <w:p w14:paraId="77830F31" w14:textId="33BABFE7"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58" w:history="1">
        <w:r w:rsidRPr="009400D0">
          <w:rPr>
            <w:rStyle w:val="Hyperlink"/>
            <w:noProof/>
          </w:rPr>
          <w:t>Figure 5.1.4</w:t>
        </w:r>
        <w:r>
          <w:rPr>
            <w:rFonts w:asciiTheme="minorHAnsi" w:eastAsiaTheme="minorEastAsia" w:hAnsiTheme="minorHAnsi" w:cstheme="minorBidi"/>
            <w:noProof/>
            <w:kern w:val="2"/>
            <w:sz w:val="24"/>
            <w:szCs w:val="24"/>
            <w14:ligatures w14:val="standardContextual"/>
          </w:rPr>
          <w:tab/>
        </w:r>
        <w:r w:rsidRPr="009400D0">
          <w:rPr>
            <w:rStyle w:val="Hyperlink"/>
            <w:noProof/>
          </w:rPr>
          <w:t>Dairy milk productivity and implied enteric fermentation methane emission factors for dairy cows, from 1990 to 2023</w:t>
        </w:r>
        <w:r>
          <w:rPr>
            <w:noProof/>
            <w:webHidden/>
          </w:rPr>
          <w:tab/>
        </w:r>
        <w:r>
          <w:rPr>
            <w:noProof/>
            <w:webHidden/>
          </w:rPr>
          <w:fldChar w:fldCharType="begin"/>
        </w:r>
        <w:r>
          <w:rPr>
            <w:noProof/>
            <w:webHidden/>
          </w:rPr>
          <w:instrText xml:space="preserve"> PAGEREF _Toc194674858 \h </w:instrText>
        </w:r>
        <w:r>
          <w:rPr>
            <w:noProof/>
            <w:webHidden/>
          </w:rPr>
        </w:r>
        <w:r>
          <w:rPr>
            <w:noProof/>
            <w:webHidden/>
          </w:rPr>
          <w:fldChar w:fldCharType="separate"/>
        </w:r>
        <w:r w:rsidR="00B93180">
          <w:rPr>
            <w:noProof/>
            <w:webHidden/>
          </w:rPr>
          <w:t>148</w:t>
        </w:r>
        <w:r>
          <w:rPr>
            <w:noProof/>
            <w:webHidden/>
          </w:rPr>
          <w:fldChar w:fldCharType="end"/>
        </w:r>
      </w:hyperlink>
    </w:p>
    <w:p w14:paraId="79EAC0F6" w14:textId="02DDAB5D"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59" w:history="1">
        <w:r w:rsidRPr="009400D0">
          <w:rPr>
            <w:rStyle w:val="Hyperlink"/>
            <w:noProof/>
          </w:rPr>
          <w:t xml:space="preserve">Figure 5.1.5 </w:t>
        </w:r>
        <w:r>
          <w:rPr>
            <w:rFonts w:asciiTheme="minorHAnsi" w:eastAsiaTheme="minorEastAsia" w:hAnsiTheme="minorHAnsi" w:cstheme="minorBidi"/>
            <w:noProof/>
            <w:kern w:val="2"/>
            <w:sz w:val="24"/>
            <w:szCs w:val="24"/>
            <w14:ligatures w14:val="standardContextual"/>
          </w:rPr>
          <w:tab/>
        </w:r>
        <w:r w:rsidRPr="009400D0">
          <w:rPr>
            <w:rStyle w:val="Hyperlink"/>
            <w:noProof/>
          </w:rPr>
          <w:t>Simplified methodology for calculating emissions for major ruminant livestock categories</w:t>
        </w:r>
        <w:r>
          <w:rPr>
            <w:noProof/>
            <w:webHidden/>
          </w:rPr>
          <w:tab/>
        </w:r>
        <w:r>
          <w:rPr>
            <w:noProof/>
            <w:webHidden/>
          </w:rPr>
          <w:fldChar w:fldCharType="begin"/>
        </w:r>
        <w:r>
          <w:rPr>
            <w:noProof/>
            <w:webHidden/>
          </w:rPr>
          <w:instrText xml:space="preserve"> PAGEREF _Toc194674859 \h </w:instrText>
        </w:r>
        <w:r>
          <w:rPr>
            <w:noProof/>
            <w:webHidden/>
          </w:rPr>
        </w:r>
        <w:r>
          <w:rPr>
            <w:noProof/>
            <w:webHidden/>
          </w:rPr>
          <w:fldChar w:fldCharType="separate"/>
        </w:r>
        <w:r w:rsidR="00B93180">
          <w:rPr>
            <w:noProof/>
            <w:webHidden/>
          </w:rPr>
          <w:t>151</w:t>
        </w:r>
        <w:r>
          <w:rPr>
            <w:noProof/>
            <w:webHidden/>
          </w:rPr>
          <w:fldChar w:fldCharType="end"/>
        </w:r>
      </w:hyperlink>
    </w:p>
    <w:p w14:paraId="3DF99614" w14:textId="61FBB023"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60" w:history="1">
        <w:r w:rsidRPr="009400D0">
          <w:rPr>
            <w:rStyle w:val="Hyperlink"/>
            <w:noProof/>
          </w:rPr>
          <w:t xml:space="preserve">Figure 5.1.6 </w:t>
        </w:r>
        <w:r>
          <w:rPr>
            <w:rFonts w:asciiTheme="minorHAnsi" w:eastAsiaTheme="minorEastAsia" w:hAnsiTheme="minorHAnsi" w:cstheme="minorBidi"/>
            <w:noProof/>
            <w:kern w:val="2"/>
            <w:sz w:val="24"/>
            <w:szCs w:val="24"/>
            <w14:ligatures w14:val="standardContextual"/>
          </w:rPr>
          <w:tab/>
        </w:r>
        <w:r w:rsidRPr="009400D0">
          <w:rPr>
            <w:rStyle w:val="Hyperlink"/>
            <w:noProof/>
          </w:rPr>
          <w:t>National monthly milk production in New Zealand, from 2021 to 2023</w:t>
        </w:r>
        <w:r>
          <w:rPr>
            <w:noProof/>
            <w:webHidden/>
          </w:rPr>
          <w:tab/>
        </w:r>
        <w:r>
          <w:rPr>
            <w:noProof/>
            <w:webHidden/>
          </w:rPr>
          <w:fldChar w:fldCharType="begin"/>
        </w:r>
        <w:r>
          <w:rPr>
            <w:noProof/>
            <w:webHidden/>
          </w:rPr>
          <w:instrText xml:space="preserve"> PAGEREF _Toc194674860 \h </w:instrText>
        </w:r>
        <w:r>
          <w:rPr>
            <w:noProof/>
            <w:webHidden/>
          </w:rPr>
        </w:r>
        <w:r>
          <w:rPr>
            <w:noProof/>
            <w:webHidden/>
          </w:rPr>
          <w:fldChar w:fldCharType="separate"/>
        </w:r>
        <w:r w:rsidR="00B93180">
          <w:rPr>
            <w:noProof/>
            <w:webHidden/>
          </w:rPr>
          <w:t>156</w:t>
        </w:r>
        <w:r>
          <w:rPr>
            <w:noProof/>
            <w:webHidden/>
          </w:rPr>
          <w:fldChar w:fldCharType="end"/>
        </w:r>
      </w:hyperlink>
    </w:p>
    <w:p w14:paraId="2AFF48B8" w14:textId="3178323C"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61" w:history="1">
        <w:r w:rsidRPr="009400D0">
          <w:rPr>
            <w:rStyle w:val="Hyperlink"/>
            <w:noProof/>
          </w:rPr>
          <w:t xml:space="preserve">Figure 5.1.7 </w:t>
        </w:r>
        <w:r>
          <w:rPr>
            <w:rFonts w:asciiTheme="minorHAnsi" w:eastAsiaTheme="minorEastAsia" w:hAnsiTheme="minorHAnsi" w:cstheme="minorBidi"/>
            <w:noProof/>
            <w:kern w:val="2"/>
            <w:sz w:val="24"/>
            <w:szCs w:val="24"/>
            <w14:ligatures w14:val="standardContextual"/>
          </w:rPr>
          <w:tab/>
        </w:r>
        <w:r w:rsidRPr="009400D0">
          <w:rPr>
            <w:rStyle w:val="Hyperlink"/>
            <w:noProof/>
          </w:rPr>
          <w:t>Agriculture sectoral approval process for inventory recalculations and improvements</w:t>
        </w:r>
        <w:r>
          <w:rPr>
            <w:noProof/>
            <w:webHidden/>
          </w:rPr>
          <w:tab/>
        </w:r>
        <w:r>
          <w:rPr>
            <w:noProof/>
            <w:webHidden/>
          </w:rPr>
          <w:fldChar w:fldCharType="begin"/>
        </w:r>
        <w:r>
          <w:rPr>
            <w:noProof/>
            <w:webHidden/>
          </w:rPr>
          <w:instrText xml:space="preserve"> PAGEREF _Toc194674861 \h </w:instrText>
        </w:r>
        <w:r>
          <w:rPr>
            <w:noProof/>
            <w:webHidden/>
          </w:rPr>
        </w:r>
        <w:r>
          <w:rPr>
            <w:noProof/>
            <w:webHidden/>
          </w:rPr>
          <w:fldChar w:fldCharType="separate"/>
        </w:r>
        <w:r w:rsidR="00B93180">
          <w:rPr>
            <w:noProof/>
            <w:webHidden/>
          </w:rPr>
          <w:t>161</w:t>
        </w:r>
        <w:r>
          <w:rPr>
            <w:noProof/>
            <w:webHidden/>
          </w:rPr>
          <w:fldChar w:fldCharType="end"/>
        </w:r>
      </w:hyperlink>
    </w:p>
    <w:p w14:paraId="1E959150" w14:textId="13197273"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62" w:history="1">
        <w:r w:rsidRPr="009400D0">
          <w:rPr>
            <w:rStyle w:val="Hyperlink"/>
            <w:noProof/>
          </w:rPr>
          <w:t>Figure 5.2.1</w:t>
        </w:r>
        <w:r>
          <w:rPr>
            <w:rFonts w:asciiTheme="minorHAnsi" w:eastAsiaTheme="minorEastAsia" w:hAnsiTheme="minorHAnsi" w:cstheme="minorBidi"/>
            <w:noProof/>
            <w:kern w:val="2"/>
            <w:sz w:val="24"/>
            <w:szCs w:val="24"/>
            <w14:ligatures w14:val="standardContextual"/>
          </w:rPr>
          <w:tab/>
        </w:r>
        <w:r w:rsidRPr="009400D0">
          <w:rPr>
            <w:rStyle w:val="Hyperlink"/>
            <w:noProof/>
          </w:rPr>
          <w:t>Schematic diagram showing how New Zealand’s methane emissions from enteric fermentation for dairy and beef cattle and deer are calculated</w:t>
        </w:r>
        <w:r>
          <w:rPr>
            <w:noProof/>
            <w:webHidden/>
          </w:rPr>
          <w:tab/>
        </w:r>
        <w:r>
          <w:rPr>
            <w:noProof/>
            <w:webHidden/>
          </w:rPr>
          <w:fldChar w:fldCharType="begin"/>
        </w:r>
        <w:r>
          <w:rPr>
            <w:noProof/>
            <w:webHidden/>
          </w:rPr>
          <w:instrText xml:space="preserve"> PAGEREF _Toc194674862 \h </w:instrText>
        </w:r>
        <w:r>
          <w:rPr>
            <w:noProof/>
            <w:webHidden/>
          </w:rPr>
        </w:r>
        <w:r>
          <w:rPr>
            <w:noProof/>
            <w:webHidden/>
          </w:rPr>
          <w:fldChar w:fldCharType="separate"/>
        </w:r>
        <w:r w:rsidR="00B93180">
          <w:rPr>
            <w:noProof/>
            <w:webHidden/>
          </w:rPr>
          <w:t>169</w:t>
        </w:r>
        <w:r>
          <w:rPr>
            <w:noProof/>
            <w:webHidden/>
          </w:rPr>
          <w:fldChar w:fldCharType="end"/>
        </w:r>
      </w:hyperlink>
    </w:p>
    <w:p w14:paraId="6AF47510" w14:textId="3D6F5A75"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63" w:history="1">
        <w:r w:rsidRPr="009400D0">
          <w:rPr>
            <w:rStyle w:val="Hyperlink"/>
            <w:noProof/>
          </w:rPr>
          <w:t>Figure 5.5.1</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Sources of nitrous oxide emissions from </w:t>
        </w:r>
        <w:r w:rsidRPr="009400D0">
          <w:rPr>
            <w:rStyle w:val="Hyperlink"/>
            <w:i/>
            <w:iCs/>
            <w:noProof/>
          </w:rPr>
          <w:t>Agricultural soils</w:t>
        </w:r>
        <w:r w:rsidRPr="009400D0">
          <w:rPr>
            <w:rStyle w:val="Hyperlink"/>
            <w:noProof/>
          </w:rPr>
          <w:t>, showing the contribution of each source to emissions through both direct and indirect pathways</w:t>
        </w:r>
        <w:r>
          <w:rPr>
            <w:noProof/>
            <w:webHidden/>
          </w:rPr>
          <w:tab/>
        </w:r>
        <w:r>
          <w:rPr>
            <w:noProof/>
            <w:webHidden/>
          </w:rPr>
          <w:fldChar w:fldCharType="begin"/>
        </w:r>
        <w:r>
          <w:rPr>
            <w:noProof/>
            <w:webHidden/>
          </w:rPr>
          <w:instrText xml:space="preserve"> PAGEREF _Toc194674863 \h </w:instrText>
        </w:r>
        <w:r>
          <w:rPr>
            <w:noProof/>
            <w:webHidden/>
          </w:rPr>
        </w:r>
        <w:r>
          <w:rPr>
            <w:noProof/>
            <w:webHidden/>
          </w:rPr>
          <w:fldChar w:fldCharType="separate"/>
        </w:r>
        <w:r w:rsidR="00B93180">
          <w:rPr>
            <w:noProof/>
            <w:webHidden/>
          </w:rPr>
          <w:t>197</w:t>
        </w:r>
        <w:r>
          <w:rPr>
            <w:noProof/>
            <w:webHidden/>
          </w:rPr>
          <w:fldChar w:fldCharType="end"/>
        </w:r>
      </w:hyperlink>
    </w:p>
    <w:p w14:paraId="3F3BE032" w14:textId="0E8C9149"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64" w:history="1">
        <w:r w:rsidRPr="009400D0">
          <w:rPr>
            <w:rStyle w:val="Hyperlink"/>
            <w:noProof/>
          </w:rPr>
          <w:t>Figure 5.5.2</w:t>
        </w:r>
        <w:r>
          <w:rPr>
            <w:rFonts w:asciiTheme="minorHAnsi" w:eastAsiaTheme="minorEastAsia" w:hAnsiTheme="minorHAnsi" w:cstheme="minorBidi"/>
            <w:noProof/>
            <w:kern w:val="2"/>
            <w:sz w:val="24"/>
            <w:szCs w:val="24"/>
            <w14:ligatures w14:val="standardContextual"/>
          </w:rPr>
          <w:tab/>
        </w:r>
        <w:r w:rsidRPr="009400D0">
          <w:rPr>
            <w:rStyle w:val="Hyperlink"/>
            <w:noProof/>
          </w:rPr>
          <w:t>Synthetic nitrogen fertiliser use in New Zealand, from 1990 to 2023</w:t>
        </w:r>
        <w:r>
          <w:rPr>
            <w:noProof/>
            <w:webHidden/>
          </w:rPr>
          <w:tab/>
        </w:r>
        <w:r>
          <w:rPr>
            <w:noProof/>
            <w:webHidden/>
          </w:rPr>
          <w:fldChar w:fldCharType="begin"/>
        </w:r>
        <w:r>
          <w:rPr>
            <w:noProof/>
            <w:webHidden/>
          </w:rPr>
          <w:instrText xml:space="preserve"> PAGEREF _Toc194674864 \h </w:instrText>
        </w:r>
        <w:r>
          <w:rPr>
            <w:noProof/>
            <w:webHidden/>
          </w:rPr>
        </w:r>
        <w:r>
          <w:rPr>
            <w:noProof/>
            <w:webHidden/>
          </w:rPr>
          <w:fldChar w:fldCharType="separate"/>
        </w:r>
        <w:r w:rsidR="00B93180">
          <w:rPr>
            <w:noProof/>
            <w:webHidden/>
          </w:rPr>
          <w:t>203</w:t>
        </w:r>
        <w:r>
          <w:rPr>
            <w:noProof/>
            <w:webHidden/>
          </w:rPr>
          <w:fldChar w:fldCharType="end"/>
        </w:r>
      </w:hyperlink>
    </w:p>
    <w:p w14:paraId="7714C1E4" w14:textId="556C2F12"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65" w:history="1">
        <w:r w:rsidRPr="009400D0">
          <w:rPr>
            <w:rStyle w:val="Hyperlink"/>
            <w:noProof/>
          </w:rPr>
          <w:t>Figure 5.5.3</w:t>
        </w:r>
        <w:r>
          <w:rPr>
            <w:rFonts w:asciiTheme="minorHAnsi" w:eastAsiaTheme="minorEastAsia" w:hAnsiTheme="minorHAnsi" w:cstheme="minorBidi"/>
            <w:noProof/>
            <w:kern w:val="2"/>
            <w:sz w:val="24"/>
            <w:szCs w:val="24"/>
            <w14:ligatures w14:val="standardContextual"/>
          </w:rPr>
          <w:tab/>
        </w:r>
        <w:r w:rsidRPr="009400D0">
          <w:rPr>
            <w:rStyle w:val="Hyperlink"/>
            <w:noProof/>
          </w:rPr>
          <w:t>Percentage of total synthetic nitrogen fertiliser derived from urea, from 1990 to 2023</w:t>
        </w:r>
        <w:r>
          <w:rPr>
            <w:noProof/>
            <w:webHidden/>
          </w:rPr>
          <w:tab/>
        </w:r>
        <w:r>
          <w:rPr>
            <w:noProof/>
            <w:webHidden/>
          </w:rPr>
          <w:fldChar w:fldCharType="begin"/>
        </w:r>
        <w:r>
          <w:rPr>
            <w:noProof/>
            <w:webHidden/>
          </w:rPr>
          <w:instrText xml:space="preserve"> PAGEREF _Toc194674865 \h </w:instrText>
        </w:r>
        <w:r>
          <w:rPr>
            <w:noProof/>
            <w:webHidden/>
          </w:rPr>
        </w:r>
        <w:r>
          <w:rPr>
            <w:noProof/>
            <w:webHidden/>
          </w:rPr>
          <w:fldChar w:fldCharType="separate"/>
        </w:r>
        <w:r w:rsidR="00B93180">
          <w:rPr>
            <w:noProof/>
            <w:webHidden/>
          </w:rPr>
          <w:t>203</w:t>
        </w:r>
        <w:r>
          <w:rPr>
            <w:noProof/>
            <w:webHidden/>
          </w:rPr>
          <w:fldChar w:fldCharType="end"/>
        </w:r>
      </w:hyperlink>
    </w:p>
    <w:p w14:paraId="725F3EF6" w14:textId="3F91E4E5"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66" w:history="1">
        <w:r w:rsidRPr="009400D0">
          <w:rPr>
            <w:rStyle w:val="Hyperlink"/>
            <w:noProof/>
          </w:rPr>
          <w:t>Figure 5.8.1</w:t>
        </w:r>
        <w:r>
          <w:rPr>
            <w:rFonts w:asciiTheme="minorHAnsi" w:eastAsiaTheme="minorEastAsia" w:hAnsiTheme="minorHAnsi" w:cstheme="minorBidi"/>
            <w:noProof/>
            <w:kern w:val="2"/>
            <w:sz w:val="24"/>
            <w:szCs w:val="24"/>
            <w14:ligatures w14:val="standardContextual"/>
          </w:rPr>
          <w:tab/>
        </w:r>
        <w:r w:rsidRPr="009400D0">
          <w:rPr>
            <w:rStyle w:val="Hyperlink"/>
            <w:noProof/>
          </w:rPr>
          <w:t>Limestone usage on agricultural land in New Zealand, from 1990 to 2023</w:t>
        </w:r>
        <w:r>
          <w:rPr>
            <w:noProof/>
            <w:webHidden/>
          </w:rPr>
          <w:tab/>
        </w:r>
        <w:r>
          <w:rPr>
            <w:noProof/>
            <w:webHidden/>
          </w:rPr>
          <w:fldChar w:fldCharType="begin"/>
        </w:r>
        <w:r>
          <w:rPr>
            <w:noProof/>
            <w:webHidden/>
          </w:rPr>
          <w:instrText xml:space="preserve"> PAGEREF _Toc194674866 \h </w:instrText>
        </w:r>
        <w:r>
          <w:rPr>
            <w:noProof/>
            <w:webHidden/>
          </w:rPr>
        </w:r>
        <w:r>
          <w:rPr>
            <w:noProof/>
            <w:webHidden/>
          </w:rPr>
          <w:fldChar w:fldCharType="separate"/>
        </w:r>
        <w:r w:rsidR="00B93180">
          <w:rPr>
            <w:noProof/>
            <w:webHidden/>
          </w:rPr>
          <w:t>229</w:t>
        </w:r>
        <w:r>
          <w:rPr>
            <w:noProof/>
            <w:webHidden/>
          </w:rPr>
          <w:fldChar w:fldCharType="end"/>
        </w:r>
      </w:hyperlink>
    </w:p>
    <w:p w14:paraId="4AFF5C60" w14:textId="353C358C"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67" w:history="1">
        <w:r w:rsidRPr="009400D0">
          <w:rPr>
            <w:rStyle w:val="Hyperlink"/>
            <w:noProof/>
          </w:rPr>
          <w:t>Figure 5.8.2</w:t>
        </w:r>
        <w:r>
          <w:rPr>
            <w:rFonts w:asciiTheme="minorHAnsi" w:eastAsiaTheme="minorEastAsia" w:hAnsiTheme="minorHAnsi" w:cstheme="minorBidi"/>
            <w:noProof/>
            <w:kern w:val="2"/>
            <w:sz w:val="24"/>
            <w:szCs w:val="24"/>
            <w14:ligatures w14:val="standardContextual"/>
          </w:rPr>
          <w:tab/>
        </w:r>
        <w:r w:rsidRPr="009400D0">
          <w:rPr>
            <w:rStyle w:val="Hyperlink"/>
            <w:noProof/>
          </w:rPr>
          <w:t>Dolomite usage on agricultural land in New Zealand, from 1990 to 2023</w:t>
        </w:r>
        <w:r>
          <w:rPr>
            <w:noProof/>
            <w:webHidden/>
          </w:rPr>
          <w:tab/>
        </w:r>
        <w:r>
          <w:rPr>
            <w:noProof/>
            <w:webHidden/>
          </w:rPr>
          <w:fldChar w:fldCharType="begin"/>
        </w:r>
        <w:r>
          <w:rPr>
            <w:noProof/>
            <w:webHidden/>
          </w:rPr>
          <w:instrText xml:space="preserve"> PAGEREF _Toc194674867 \h </w:instrText>
        </w:r>
        <w:r>
          <w:rPr>
            <w:noProof/>
            <w:webHidden/>
          </w:rPr>
        </w:r>
        <w:r>
          <w:rPr>
            <w:noProof/>
            <w:webHidden/>
          </w:rPr>
          <w:fldChar w:fldCharType="separate"/>
        </w:r>
        <w:r w:rsidR="00B93180">
          <w:rPr>
            <w:noProof/>
            <w:webHidden/>
          </w:rPr>
          <w:t>229</w:t>
        </w:r>
        <w:r>
          <w:rPr>
            <w:noProof/>
            <w:webHidden/>
          </w:rPr>
          <w:fldChar w:fldCharType="end"/>
        </w:r>
      </w:hyperlink>
    </w:p>
    <w:p w14:paraId="4187B634" w14:textId="43F4A0DC"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68" w:history="1">
        <w:r w:rsidRPr="009400D0">
          <w:rPr>
            <w:rStyle w:val="Hyperlink"/>
            <w:noProof/>
          </w:rPr>
          <w:t>Figure 6.1.1</w:t>
        </w:r>
        <w:r>
          <w:rPr>
            <w:rFonts w:asciiTheme="minorHAnsi" w:eastAsiaTheme="minorEastAsia" w:hAnsiTheme="minorHAnsi" w:cstheme="minorBidi"/>
            <w:noProof/>
            <w:kern w:val="2"/>
            <w:sz w:val="24"/>
            <w:szCs w:val="24"/>
            <w14:ligatures w14:val="standardContextual"/>
          </w:rPr>
          <w:tab/>
        </w:r>
        <w:r w:rsidRPr="009400D0">
          <w:rPr>
            <w:rStyle w:val="Hyperlink"/>
            <w:noProof/>
          </w:rPr>
          <w:t>New Zealand’s annual net emissions from the LULUCF sector from 1990 to 2023</w:t>
        </w:r>
        <w:r>
          <w:rPr>
            <w:noProof/>
            <w:webHidden/>
          </w:rPr>
          <w:tab/>
        </w:r>
        <w:r>
          <w:rPr>
            <w:noProof/>
            <w:webHidden/>
          </w:rPr>
          <w:fldChar w:fldCharType="begin"/>
        </w:r>
        <w:r>
          <w:rPr>
            <w:noProof/>
            <w:webHidden/>
          </w:rPr>
          <w:instrText xml:space="preserve"> PAGEREF _Toc194674868 \h </w:instrText>
        </w:r>
        <w:r>
          <w:rPr>
            <w:noProof/>
            <w:webHidden/>
          </w:rPr>
        </w:r>
        <w:r>
          <w:rPr>
            <w:noProof/>
            <w:webHidden/>
          </w:rPr>
          <w:fldChar w:fldCharType="separate"/>
        </w:r>
        <w:r w:rsidR="00B93180">
          <w:rPr>
            <w:noProof/>
            <w:webHidden/>
          </w:rPr>
          <w:t>241</w:t>
        </w:r>
        <w:r>
          <w:rPr>
            <w:noProof/>
            <w:webHidden/>
          </w:rPr>
          <w:fldChar w:fldCharType="end"/>
        </w:r>
      </w:hyperlink>
    </w:p>
    <w:p w14:paraId="0E65AEE1" w14:textId="1A6BB585"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69" w:history="1">
        <w:r w:rsidRPr="009400D0">
          <w:rPr>
            <w:rStyle w:val="Hyperlink"/>
            <w:noProof/>
          </w:rPr>
          <w:t>Figure 6.1.2</w:t>
        </w:r>
        <w:r>
          <w:rPr>
            <w:rFonts w:asciiTheme="minorHAnsi" w:eastAsiaTheme="minorEastAsia" w:hAnsiTheme="minorHAnsi" w:cstheme="minorBidi"/>
            <w:noProof/>
            <w:kern w:val="2"/>
            <w:sz w:val="24"/>
            <w:szCs w:val="24"/>
            <w14:ligatures w14:val="standardContextual"/>
          </w:rPr>
          <w:tab/>
        </w:r>
        <w:r w:rsidRPr="009400D0">
          <w:rPr>
            <w:rStyle w:val="Hyperlink"/>
            <w:noProof/>
          </w:rPr>
          <w:t>Comparison of afforestation and deforestation rates with the changing NZ ETS unit price, from 2004 to 2023</w:t>
        </w:r>
        <w:r>
          <w:rPr>
            <w:noProof/>
            <w:webHidden/>
          </w:rPr>
          <w:tab/>
        </w:r>
        <w:r>
          <w:rPr>
            <w:noProof/>
            <w:webHidden/>
          </w:rPr>
          <w:fldChar w:fldCharType="begin"/>
        </w:r>
        <w:r>
          <w:rPr>
            <w:noProof/>
            <w:webHidden/>
          </w:rPr>
          <w:instrText xml:space="preserve"> PAGEREF _Toc194674869 \h </w:instrText>
        </w:r>
        <w:r>
          <w:rPr>
            <w:noProof/>
            <w:webHidden/>
          </w:rPr>
        </w:r>
        <w:r>
          <w:rPr>
            <w:noProof/>
            <w:webHidden/>
          </w:rPr>
          <w:fldChar w:fldCharType="separate"/>
        </w:r>
        <w:r w:rsidR="00B93180">
          <w:rPr>
            <w:noProof/>
            <w:webHidden/>
          </w:rPr>
          <w:t>244</w:t>
        </w:r>
        <w:r>
          <w:rPr>
            <w:noProof/>
            <w:webHidden/>
          </w:rPr>
          <w:fldChar w:fldCharType="end"/>
        </w:r>
      </w:hyperlink>
    </w:p>
    <w:p w14:paraId="6DF293E0" w14:textId="1B999D5F"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70" w:history="1">
        <w:r w:rsidRPr="009400D0">
          <w:rPr>
            <w:rStyle w:val="Hyperlink"/>
            <w:noProof/>
          </w:rPr>
          <w:t>Figure 6.3.1</w:t>
        </w:r>
        <w:r>
          <w:rPr>
            <w:rFonts w:asciiTheme="minorHAnsi" w:eastAsiaTheme="minorEastAsia" w:hAnsiTheme="minorHAnsi" w:cstheme="minorBidi"/>
            <w:noProof/>
            <w:kern w:val="2"/>
            <w:sz w:val="24"/>
            <w:szCs w:val="24"/>
            <w14:ligatures w14:val="standardContextual"/>
          </w:rPr>
          <w:tab/>
        </w:r>
        <w:r w:rsidRPr="009400D0">
          <w:rPr>
            <w:rStyle w:val="Hyperlink"/>
            <w:noProof/>
          </w:rPr>
          <w:t>Land use map of New Zealand as at 31 December 2020</w:t>
        </w:r>
        <w:r>
          <w:rPr>
            <w:noProof/>
            <w:webHidden/>
          </w:rPr>
          <w:tab/>
        </w:r>
        <w:r>
          <w:rPr>
            <w:noProof/>
            <w:webHidden/>
          </w:rPr>
          <w:fldChar w:fldCharType="begin"/>
        </w:r>
        <w:r>
          <w:rPr>
            <w:noProof/>
            <w:webHidden/>
          </w:rPr>
          <w:instrText xml:space="preserve"> PAGEREF _Toc194674870 \h </w:instrText>
        </w:r>
        <w:r>
          <w:rPr>
            <w:noProof/>
            <w:webHidden/>
          </w:rPr>
        </w:r>
        <w:r>
          <w:rPr>
            <w:noProof/>
            <w:webHidden/>
          </w:rPr>
          <w:fldChar w:fldCharType="separate"/>
        </w:r>
        <w:r w:rsidR="00B93180">
          <w:rPr>
            <w:noProof/>
            <w:webHidden/>
          </w:rPr>
          <w:t>255</w:t>
        </w:r>
        <w:r>
          <w:rPr>
            <w:noProof/>
            <w:webHidden/>
          </w:rPr>
          <w:fldChar w:fldCharType="end"/>
        </w:r>
      </w:hyperlink>
    </w:p>
    <w:p w14:paraId="0E1FE3AD" w14:textId="2A93583D"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71" w:history="1">
        <w:r w:rsidRPr="009400D0">
          <w:rPr>
            <w:rStyle w:val="Hyperlink"/>
            <w:noProof/>
          </w:rPr>
          <w:t>Figure 6.4.1</w:t>
        </w:r>
        <w:r>
          <w:rPr>
            <w:rFonts w:asciiTheme="minorHAnsi" w:eastAsiaTheme="minorEastAsia" w:hAnsiTheme="minorHAnsi" w:cstheme="minorBidi"/>
            <w:noProof/>
            <w:kern w:val="2"/>
            <w:sz w:val="24"/>
            <w:szCs w:val="24"/>
            <w14:ligatures w14:val="standardContextual"/>
          </w:rPr>
          <w:tab/>
        </w:r>
        <w:r w:rsidRPr="009400D0">
          <w:rPr>
            <w:rStyle w:val="Hyperlink"/>
            <w:noProof/>
          </w:rPr>
          <w:t>Annual areas of afforestation and reforestation in New Zealand, from 1990 to 2023</w:t>
        </w:r>
        <w:r>
          <w:rPr>
            <w:noProof/>
            <w:webHidden/>
          </w:rPr>
          <w:tab/>
        </w:r>
        <w:r>
          <w:rPr>
            <w:noProof/>
            <w:webHidden/>
          </w:rPr>
          <w:fldChar w:fldCharType="begin"/>
        </w:r>
        <w:r>
          <w:rPr>
            <w:noProof/>
            <w:webHidden/>
          </w:rPr>
          <w:instrText xml:space="preserve"> PAGEREF _Toc194674871 \h </w:instrText>
        </w:r>
        <w:r>
          <w:rPr>
            <w:noProof/>
            <w:webHidden/>
          </w:rPr>
        </w:r>
        <w:r>
          <w:rPr>
            <w:noProof/>
            <w:webHidden/>
          </w:rPr>
          <w:fldChar w:fldCharType="separate"/>
        </w:r>
        <w:r w:rsidR="00B93180">
          <w:rPr>
            <w:noProof/>
            <w:webHidden/>
          </w:rPr>
          <w:t>258</w:t>
        </w:r>
        <w:r>
          <w:rPr>
            <w:noProof/>
            <w:webHidden/>
          </w:rPr>
          <w:fldChar w:fldCharType="end"/>
        </w:r>
      </w:hyperlink>
    </w:p>
    <w:p w14:paraId="786E1B84" w14:textId="129738FD"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72" w:history="1">
        <w:r w:rsidRPr="009400D0">
          <w:rPr>
            <w:rStyle w:val="Hyperlink"/>
            <w:noProof/>
          </w:rPr>
          <w:t>Figure 6.4.2</w:t>
        </w:r>
        <w:r>
          <w:rPr>
            <w:rFonts w:asciiTheme="minorHAnsi" w:eastAsiaTheme="minorEastAsia" w:hAnsiTheme="minorHAnsi" w:cstheme="minorBidi"/>
            <w:noProof/>
            <w:kern w:val="2"/>
            <w:sz w:val="24"/>
            <w:szCs w:val="24"/>
            <w14:ligatures w14:val="standardContextual"/>
          </w:rPr>
          <w:tab/>
        </w:r>
        <w:r w:rsidRPr="009400D0">
          <w:rPr>
            <w:rStyle w:val="Hyperlink"/>
            <w:noProof/>
          </w:rPr>
          <w:t>New Zealand’s net carbon dioxide removals by post-1989 planted forests, from 1990 to 2023</w:t>
        </w:r>
        <w:r>
          <w:rPr>
            <w:noProof/>
            <w:webHidden/>
          </w:rPr>
          <w:tab/>
        </w:r>
        <w:r>
          <w:rPr>
            <w:noProof/>
            <w:webHidden/>
          </w:rPr>
          <w:fldChar w:fldCharType="begin"/>
        </w:r>
        <w:r>
          <w:rPr>
            <w:noProof/>
            <w:webHidden/>
          </w:rPr>
          <w:instrText xml:space="preserve"> PAGEREF _Toc194674872 \h </w:instrText>
        </w:r>
        <w:r>
          <w:rPr>
            <w:noProof/>
            <w:webHidden/>
          </w:rPr>
        </w:r>
        <w:r>
          <w:rPr>
            <w:noProof/>
            <w:webHidden/>
          </w:rPr>
          <w:fldChar w:fldCharType="separate"/>
        </w:r>
        <w:r w:rsidR="00B93180">
          <w:rPr>
            <w:noProof/>
            <w:webHidden/>
          </w:rPr>
          <w:t>259</w:t>
        </w:r>
        <w:r>
          <w:rPr>
            <w:noProof/>
            <w:webHidden/>
          </w:rPr>
          <w:fldChar w:fldCharType="end"/>
        </w:r>
      </w:hyperlink>
    </w:p>
    <w:p w14:paraId="33229595" w14:textId="034D3ABF"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73" w:history="1">
        <w:r w:rsidRPr="009400D0">
          <w:rPr>
            <w:rStyle w:val="Hyperlink"/>
            <w:noProof/>
          </w:rPr>
          <w:t>Figure 6.4.3</w:t>
        </w:r>
        <w:r>
          <w:rPr>
            <w:rFonts w:asciiTheme="minorHAnsi" w:eastAsiaTheme="minorEastAsia" w:hAnsiTheme="minorHAnsi" w:cstheme="minorBidi"/>
            <w:noProof/>
            <w:kern w:val="2"/>
            <w:sz w:val="24"/>
            <w:szCs w:val="24"/>
            <w14:ligatures w14:val="standardContextual"/>
          </w:rPr>
          <w:tab/>
        </w:r>
        <w:r w:rsidRPr="009400D0">
          <w:rPr>
            <w:rStyle w:val="Hyperlink"/>
            <w:noProof/>
          </w:rPr>
          <w:t>New Zealand’s area of planted forest harvest (inclusive of deforestation), from 1990 to 2023</w:t>
        </w:r>
        <w:r>
          <w:rPr>
            <w:noProof/>
            <w:webHidden/>
          </w:rPr>
          <w:tab/>
        </w:r>
        <w:r>
          <w:rPr>
            <w:noProof/>
            <w:webHidden/>
          </w:rPr>
          <w:fldChar w:fldCharType="begin"/>
        </w:r>
        <w:r>
          <w:rPr>
            <w:noProof/>
            <w:webHidden/>
          </w:rPr>
          <w:instrText xml:space="preserve"> PAGEREF _Toc194674873 \h </w:instrText>
        </w:r>
        <w:r>
          <w:rPr>
            <w:noProof/>
            <w:webHidden/>
          </w:rPr>
        </w:r>
        <w:r>
          <w:rPr>
            <w:noProof/>
            <w:webHidden/>
          </w:rPr>
          <w:fldChar w:fldCharType="separate"/>
        </w:r>
        <w:r w:rsidR="00B93180">
          <w:rPr>
            <w:noProof/>
            <w:webHidden/>
          </w:rPr>
          <w:t>260</w:t>
        </w:r>
        <w:r>
          <w:rPr>
            <w:noProof/>
            <w:webHidden/>
          </w:rPr>
          <w:fldChar w:fldCharType="end"/>
        </w:r>
      </w:hyperlink>
    </w:p>
    <w:p w14:paraId="50D14E11" w14:textId="7CF98225"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74" w:history="1">
        <w:r w:rsidRPr="009400D0">
          <w:rPr>
            <w:rStyle w:val="Hyperlink"/>
            <w:noProof/>
          </w:rPr>
          <w:t>Figure 6.4.4</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New Zealand’s area of deforestation since 1990, by </w:t>
        </w:r>
        <w:r w:rsidRPr="009400D0">
          <w:rPr>
            <w:rStyle w:val="Hyperlink"/>
            <w:i/>
            <w:noProof/>
          </w:rPr>
          <w:t>Forest land</w:t>
        </w:r>
        <w:r w:rsidRPr="009400D0">
          <w:rPr>
            <w:rStyle w:val="Hyperlink"/>
            <w:noProof/>
          </w:rPr>
          <w:t xml:space="preserve"> category</w:t>
        </w:r>
        <w:r>
          <w:rPr>
            <w:noProof/>
            <w:webHidden/>
          </w:rPr>
          <w:tab/>
        </w:r>
        <w:r>
          <w:rPr>
            <w:noProof/>
            <w:webHidden/>
          </w:rPr>
          <w:fldChar w:fldCharType="begin"/>
        </w:r>
        <w:r>
          <w:rPr>
            <w:noProof/>
            <w:webHidden/>
          </w:rPr>
          <w:instrText xml:space="preserve"> PAGEREF _Toc194674874 \h </w:instrText>
        </w:r>
        <w:r>
          <w:rPr>
            <w:noProof/>
            <w:webHidden/>
          </w:rPr>
        </w:r>
        <w:r>
          <w:rPr>
            <w:noProof/>
            <w:webHidden/>
          </w:rPr>
          <w:fldChar w:fldCharType="separate"/>
        </w:r>
        <w:r w:rsidR="00B93180">
          <w:rPr>
            <w:noProof/>
            <w:webHidden/>
          </w:rPr>
          <w:t>261</w:t>
        </w:r>
        <w:r>
          <w:rPr>
            <w:noProof/>
            <w:webHidden/>
          </w:rPr>
          <w:fldChar w:fldCharType="end"/>
        </w:r>
      </w:hyperlink>
    </w:p>
    <w:p w14:paraId="08ACD352" w14:textId="04E0B735"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75" w:history="1">
        <w:r w:rsidRPr="009400D0">
          <w:rPr>
            <w:rStyle w:val="Hyperlink"/>
            <w:noProof/>
          </w:rPr>
          <w:t>Figure 6.4.5</w:t>
        </w:r>
        <w:r>
          <w:rPr>
            <w:rFonts w:asciiTheme="minorHAnsi" w:eastAsiaTheme="minorEastAsia" w:hAnsiTheme="minorHAnsi" w:cstheme="minorBidi"/>
            <w:noProof/>
            <w:kern w:val="2"/>
            <w:sz w:val="24"/>
            <w:szCs w:val="24"/>
            <w14:ligatures w14:val="standardContextual"/>
          </w:rPr>
          <w:tab/>
        </w:r>
        <w:r w:rsidRPr="009400D0">
          <w:rPr>
            <w:rStyle w:val="Hyperlink"/>
            <w:noProof/>
          </w:rPr>
          <w:t>Locations of New Zealand’s pre-1990 forest carbon monitoring plots</w:t>
        </w:r>
        <w:r>
          <w:rPr>
            <w:noProof/>
            <w:webHidden/>
          </w:rPr>
          <w:tab/>
        </w:r>
        <w:r>
          <w:rPr>
            <w:noProof/>
            <w:webHidden/>
          </w:rPr>
          <w:fldChar w:fldCharType="begin"/>
        </w:r>
        <w:r>
          <w:rPr>
            <w:noProof/>
            <w:webHidden/>
          </w:rPr>
          <w:instrText xml:space="preserve"> PAGEREF _Toc194674875 \h </w:instrText>
        </w:r>
        <w:r>
          <w:rPr>
            <w:noProof/>
            <w:webHidden/>
          </w:rPr>
        </w:r>
        <w:r>
          <w:rPr>
            <w:noProof/>
            <w:webHidden/>
          </w:rPr>
          <w:fldChar w:fldCharType="separate"/>
        </w:r>
        <w:r w:rsidR="00B93180">
          <w:rPr>
            <w:noProof/>
            <w:webHidden/>
          </w:rPr>
          <w:t>263</w:t>
        </w:r>
        <w:r>
          <w:rPr>
            <w:noProof/>
            <w:webHidden/>
          </w:rPr>
          <w:fldChar w:fldCharType="end"/>
        </w:r>
      </w:hyperlink>
    </w:p>
    <w:p w14:paraId="6933AEE7" w14:textId="45014C53"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76" w:history="1">
        <w:r w:rsidRPr="009400D0">
          <w:rPr>
            <w:rStyle w:val="Hyperlink"/>
            <w:noProof/>
          </w:rPr>
          <w:t>Figure 6.4.6</w:t>
        </w:r>
        <w:r>
          <w:rPr>
            <w:rFonts w:asciiTheme="minorHAnsi" w:eastAsiaTheme="minorEastAsia" w:hAnsiTheme="minorHAnsi" w:cstheme="minorBidi"/>
            <w:noProof/>
            <w:kern w:val="2"/>
            <w:sz w:val="24"/>
            <w:szCs w:val="24"/>
            <w14:ligatures w14:val="standardContextual"/>
          </w:rPr>
          <w:tab/>
        </w:r>
        <w:r w:rsidRPr="009400D0">
          <w:rPr>
            <w:rStyle w:val="Hyperlink"/>
            <w:noProof/>
          </w:rPr>
          <w:t>Locations of New Zealand’s post-1989 forest plots</w:t>
        </w:r>
        <w:r>
          <w:rPr>
            <w:noProof/>
            <w:webHidden/>
          </w:rPr>
          <w:tab/>
        </w:r>
        <w:r>
          <w:rPr>
            <w:noProof/>
            <w:webHidden/>
          </w:rPr>
          <w:fldChar w:fldCharType="begin"/>
        </w:r>
        <w:r>
          <w:rPr>
            <w:noProof/>
            <w:webHidden/>
          </w:rPr>
          <w:instrText xml:space="preserve"> PAGEREF _Toc194674876 \h </w:instrText>
        </w:r>
        <w:r>
          <w:rPr>
            <w:noProof/>
            <w:webHidden/>
          </w:rPr>
        </w:r>
        <w:r>
          <w:rPr>
            <w:noProof/>
            <w:webHidden/>
          </w:rPr>
          <w:fldChar w:fldCharType="separate"/>
        </w:r>
        <w:r w:rsidR="00B93180">
          <w:rPr>
            <w:noProof/>
            <w:webHidden/>
          </w:rPr>
          <w:t>264</w:t>
        </w:r>
        <w:r>
          <w:rPr>
            <w:noProof/>
            <w:webHidden/>
          </w:rPr>
          <w:fldChar w:fldCharType="end"/>
        </w:r>
      </w:hyperlink>
    </w:p>
    <w:p w14:paraId="7EC9C402" w14:textId="09A7067A"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77" w:history="1">
        <w:r w:rsidRPr="009400D0">
          <w:rPr>
            <w:rStyle w:val="Hyperlink"/>
            <w:noProof/>
          </w:rPr>
          <w:t>Figure 6.10.1</w:t>
        </w:r>
        <w:r>
          <w:rPr>
            <w:rFonts w:asciiTheme="minorHAnsi" w:eastAsiaTheme="minorEastAsia" w:hAnsiTheme="minorHAnsi" w:cstheme="minorBidi"/>
            <w:noProof/>
            <w:kern w:val="2"/>
            <w:sz w:val="24"/>
            <w:szCs w:val="24"/>
            <w14:ligatures w14:val="standardContextual"/>
          </w:rPr>
          <w:tab/>
        </w:r>
        <w:r w:rsidRPr="009400D0">
          <w:rPr>
            <w:rStyle w:val="Hyperlink"/>
            <w:noProof/>
          </w:rPr>
          <w:t>Volume of roundwood produced and exported, from 1990 to 2023</w:t>
        </w:r>
        <w:r>
          <w:rPr>
            <w:noProof/>
            <w:webHidden/>
          </w:rPr>
          <w:tab/>
        </w:r>
        <w:r>
          <w:rPr>
            <w:noProof/>
            <w:webHidden/>
          </w:rPr>
          <w:fldChar w:fldCharType="begin"/>
        </w:r>
        <w:r>
          <w:rPr>
            <w:noProof/>
            <w:webHidden/>
          </w:rPr>
          <w:instrText xml:space="preserve"> PAGEREF _Toc194674877 \h </w:instrText>
        </w:r>
        <w:r>
          <w:rPr>
            <w:noProof/>
            <w:webHidden/>
          </w:rPr>
        </w:r>
        <w:r>
          <w:rPr>
            <w:noProof/>
            <w:webHidden/>
          </w:rPr>
          <w:fldChar w:fldCharType="separate"/>
        </w:r>
        <w:r w:rsidR="00B93180">
          <w:rPr>
            <w:noProof/>
            <w:webHidden/>
          </w:rPr>
          <w:t>292</w:t>
        </w:r>
        <w:r>
          <w:rPr>
            <w:noProof/>
            <w:webHidden/>
          </w:rPr>
          <w:fldChar w:fldCharType="end"/>
        </w:r>
      </w:hyperlink>
    </w:p>
    <w:p w14:paraId="1D7176BE" w14:textId="6D73DAF1"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78" w:history="1">
        <w:r w:rsidRPr="009400D0">
          <w:rPr>
            <w:rStyle w:val="Hyperlink"/>
            <w:noProof/>
          </w:rPr>
          <w:t>Figure 7.1.1</w:t>
        </w:r>
        <w:r>
          <w:rPr>
            <w:rFonts w:asciiTheme="minorHAnsi" w:eastAsiaTheme="minorEastAsia" w:hAnsiTheme="minorHAnsi" w:cstheme="minorBidi"/>
            <w:noProof/>
            <w:kern w:val="2"/>
            <w:sz w:val="24"/>
            <w:szCs w:val="24"/>
            <w14:ligatures w14:val="standardContextual"/>
          </w:rPr>
          <w:tab/>
        </w:r>
        <w:r w:rsidRPr="009400D0">
          <w:rPr>
            <w:rStyle w:val="Hyperlink"/>
            <w:noProof/>
          </w:rPr>
          <w:t>Sources of and disposal practices for solid waste in New Zealand</w:t>
        </w:r>
        <w:r>
          <w:rPr>
            <w:noProof/>
            <w:webHidden/>
          </w:rPr>
          <w:tab/>
        </w:r>
        <w:r>
          <w:rPr>
            <w:noProof/>
            <w:webHidden/>
          </w:rPr>
          <w:fldChar w:fldCharType="begin"/>
        </w:r>
        <w:r>
          <w:rPr>
            <w:noProof/>
            <w:webHidden/>
          </w:rPr>
          <w:instrText xml:space="preserve"> PAGEREF _Toc194674878 \h </w:instrText>
        </w:r>
        <w:r>
          <w:rPr>
            <w:noProof/>
            <w:webHidden/>
          </w:rPr>
        </w:r>
        <w:r>
          <w:rPr>
            <w:noProof/>
            <w:webHidden/>
          </w:rPr>
          <w:fldChar w:fldCharType="separate"/>
        </w:r>
        <w:r w:rsidR="00B93180">
          <w:rPr>
            <w:noProof/>
            <w:webHidden/>
          </w:rPr>
          <w:t>308</w:t>
        </w:r>
        <w:r>
          <w:rPr>
            <w:noProof/>
            <w:webHidden/>
          </w:rPr>
          <w:fldChar w:fldCharType="end"/>
        </w:r>
      </w:hyperlink>
    </w:p>
    <w:p w14:paraId="24E50DCC" w14:textId="614EF247"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79" w:history="1">
        <w:r w:rsidRPr="009400D0">
          <w:rPr>
            <w:rStyle w:val="Hyperlink"/>
            <w:noProof/>
          </w:rPr>
          <w:t xml:space="preserve">Figure 7.1.2 </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Profile of emissions from New Zealand’s Waste sector by source category from </w:t>
        </w:r>
        <w:r w:rsidRPr="009400D0">
          <w:rPr>
            <w:rStyle w:val="Hyperlink"/>
            <w:bCs/>
            <w:noProof/>
          </w:rPr>
          <w:t>1990</w:t>
        </w:r>
        <w:r w:rsidRPr="009400D0">
          <w:rPr>
            <w:rStyle w:val="Hyperlink"/>
            <w:noProof/>
          </w:rPr>
          <w:t> to </w:t>
        </w:r>
        <w:r w:rsidRPr="009400D0">
          <w:rPr>
            <w:rStyle w:val="Hyperlink"/>
            <w:bCs/>
            <w:noProof/>
          </w:rPr>
          <w:t>2023</w:t>
        </w:r>
        <w:r>
          <w:rPr>
            <w:noProof/>
            <w:webHidden/>
          </w:rPr>
          <w:tab/>
        </w:r>
        <w:r>
          <w:rPr>
            <w:noProof/>
            <w:webHidden/>
          </w:rPr>
          <w:fldChar w:fldCharType="begin"/>
        </w:r>
        <w:r>
          <w:rPr>
            <w:noProof/>
            <w:webHidden/>
          </w:rPr>
          <w:instrText xml:space="preserve"> PAGEREF _Toc194674879 \h </w:instrText>
        </w:r>
        <w:r>
          <w:rPr>
            <w:noProof/>
            <w:webHidden/>
          </w:rPr>
        </w:r>
        <w:r>
          <w:rPr>
            <w:noProof/>
            <w:webHidden/>
          </w:rPr>
          <w:fldChar w:fldCharType="separate"/>
        </w:r>
        <w:r w:rsidR="00B93180">
          <w:rPr>
            <w:noProof/>
            <w:webHidden/>
          </w:rPr>
          <w:t>309</w:t>
        </w:r>
        <w:r>
          <w:rPr>
            <w:noProof/>
            <w:webHidden/>
          </w:rPr>
          <w:fldChar w:fldCharType="end"/>
        </w:r>
      </w:hyperlink>
    </w:p>
    <w:p w14:paraId="024F1C7C" w14:textId="318A6DDB"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80" w:history="1">
        <w:r w:rsidRPr="009400D0">
          <w:rPr>
            <w:rStyle w:val="Hyperlink"/>
            <w:noProof/>
          </w:rPr>
          <w:t xml:space="preserve">Figure 7.1.3 </w:t>
        </w:r>
        <w:r>
          <w:rPr>
            <w:rFonts w:asciiTheme="minorHAnsi" w:eastAsiaTheme="minorEastAsia" w:hAnsiTheme="minorHAnsi" w:cstheme="minorBidi"/>
            <w:noProof/>
            <w:kern w:val="2"/>
            <w:sz w:val="24"/>
            <w:szCs w:val="24"/>
            <w14:ligatures w14:val="standardContextual"/>
          </w:rPr>
          <w:tab/>
        </w:r>
        <w:r w:rsidRPr="009400D0">
          <w:rPr>
            <w:rStyle w:val="Hyperlink"/>
            <w:noProof/>
          </w:rPr>
          <w:t xml:space="preserve">New Zealand’s emissions from the Waste sector by source category, from </w:t>
        </w:r>
        <w:r w:rsidRPr="009400D0">
          <w:rPr>
            <w:rStyle w:val="Hyperlink"/>
            <w:bCs/>
            <w:noProof/>
          </w:rPr>
          <w:t>1990</w:t>
        </w:r>
        <w:r w:rsidRPr="009400D0">
          <w:rPr>
            <w:rStyle w:val="Hyperlink"/>
            <w:noProof/>
          </w:rPr>
          <w:t> to </w:t>
        </w:r>
        <w:r w:rsidRPr="009400D0">
          <w:rPr>
            <w:rStyle w:val="Hyperlink"/>
            <w:bCs/>
            <w:noProof/>
          </w:rPr>
          <w:t>2023</w:t>
        </w:r>
        <w:r>
          <w:rPr>
            <w:noProof/>
            <w:webHidden/>
          </w:rPr>
          <w:tab/>
        </w:r>
        <w:r>
          <w:rPr>
            <w:noProof/>
            <w:webHidden/>
          </w:rPr>
          <w:fldChar w:fldCharType="begin"/>
        </w:r>
        <w:r>
          <w:rPr>
            <w:noProof/>
            <w:webHidden/>
          </w:rPr>
          <w:instrText xml:space="preserve"> PAGEREF _Toc194674880 \h </w:instrText>
        </w:r>
        <w:r>
          <w:rPr>
            <w:noProof/>
            <w:webHidden/>
          </w:rPr>
        </w:r>
        <w:r>
          <w:rPr>
            <w:noProof/>
            <w:webHidden/>
          </w:rPr>
          <w:fldChar w:fldCharType="separate"/>
        </w:r>
        <w:r w:rsidR="00B93180">
          <w:rPr>
            <w:noProof/>
            <w:webHidden/>
          </w:rPr>
          <w:t>310</w:t>
        </w:r>
        <w:r>
          <w:rPr>
            <w:noProof/>
            <w:webHidden/>
          </w:rPr>
          <w:fldChar w:fldCharType="end"/>
        </w:r>
      </w:hyperlink>
    </w:p>
    <w:p w14:paraId="30047E90" w14:textId="29D6D5EA"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81" w:history="1">
        <w:r w:rsidRPr="009400D0">
          <w:rPr>
            <w:rStyle w:val="Hyperlink"/>
            <w:noProof/>
          </w:rPr>
          <w:t xml:space="preserve">Figure 7.1.4 </w:t>
        </w:r>
        <w:r>
          <w:rPr>
            <w:rFonts w:asciiTheme="minorHAnsi" w:eastAsiaTheme="minorEastAsia" w:hAnsiTheme="minorHAnsi" w:cstheme="minorBidi"/>
            <w:noProof/>
            <w:kern w:val="2"/>
            <w:sz w:val="24"/>
            <w:szCs w:val="24"/>
            <w14:ligatures w14:val="standardContextual"/>
          </w:rPr>
          <w:tab/>
        </w:r>
        <w:r w:rsidRPr="009400D0">
          <w:rPr>
            <w:rStyle w:val="Hyperlink"/>
            <w:noProof/>
          </w:rPr>
          <w:t>Tier 1 quality checks for the Waste sector</w:t>
        </w:r>
        <w:r>
          <w:rPr>
            <w:noProof/>
            <w:webHidden/>
          </w:rPr>
          <w:tab/>
        </w:r>
        <w:r>
          <w:rPr>
            <w:noProof/>
            <w:webHidden/>
          </w:rPr>
          <w:fldChar w:fldCharType="begin"/>
        </w:r>
        <w:r>
          <w:rPr>
            <w:noProof/>
            <w:webHidden/>
          </w:rPr>
          <w:instrText xml:space="preserve"> PAGEREF _Toc194674881 \h </w:instrText>
        </w:r>
        <w:r>
          <w:rPr>
            <w:noProof/>
            <w:webHidden/>
          </w:rPr>
        </w:r>
        <w:r>
          <w:rPr>
            <w:noProof/>
            <w:webHidden/>
          </w:rPr>
          <w:fldChar w:fldCharType="separate"/>
        </w:r>
        <w:r w:rsidR="00B93180">
          <w:rPr>
            <w:noProof/>
            <w:webHidden/>
          </w:rPr>
          <w:t>312</w:t>
        </w:r>
        <w:r>
          <w:rPr>
            <w:noProof/>
            <w:webHidden/>
          </w:rPr>
          <w:fldChar w:fldCharType="end"/>
        </w:r>
      </w:hyperlink>
    </w:p>
    <w:p w14:paraId="37783906" w14:textId="75965427"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82" w:history="1">
        <w:r w:rsidRPr="009400D0">
          <w:rPr>
            <w:rStyle w:val="Hyperlink"/>
            <w:bCs/>
            <w:noProof/>
          </w:rPr>
          <w:t>Figure 8.1.1</w:t>
        </w:r>
        <w:r>
          <w:rPr>
            <w:rFonts w:asciiTheme="minorHAnsi" w:eastAsiaTheme="minorEastAsia" w:hAnsiTheme="minorHAnsi" w:cstheme="minorBidi"/>
            <w:noProof/>
            <w:kern w:val="2"/>
            <w:sz w:val="24"/>
            <w:szCs w:val="24"/>
            <w14:ligatures w14:val="standardContextual"/>
          </w:rPr>
          <w:tab/>
        </w:r>
        <w:r w:rsidRPr="009400D0">
          <w:rPr>
            <w:rStyle w:val="Hyperlink"/>
            <w:bCs/>
            <w:noProof/>
          </w:rPr>
          <w:t>Map of Tokelau</w:t>
        </w:r>
        <w:r>
          <w:rPr>
            <w:noProof/>
            <w:webHidden/>
          </w:rPr>
          <w:tab/>
        </w:r>
        <w:r>
          <w:rPr>
            <w:noProof/>
            <w:webHidden/>
          </w:rPr>
          <w:fldChar w:fldCharType="begin"/>
        </w:r>
        <w:r>
          <w:rPr>
            <w:noProof/>
            <w:webHidden/>
          </w:rPr>
          <w:instrText xml:space="preserve"> PAGEREF _Toc194674882 \h </w:instrText>
        </w:r>
        <w:r>
          <w:rPr>
            <w:noProof/>
            <w:webHidden/>
          </w:rPr>
        </w:r>
        <w:r>
          <w:rPr>
            <w:noProof/>
            <w:webHidden/>
          </w:rPr>
          <w:fldChar w:fldCharType="separate"/>
        </w:r>
        <w:r w:rsidR="00B93180">
          <w:rPr>
            <w:noProof/>
            <w:webHidden/>
          </w:rPr>
          <w:t>352</w:t>
        </w:r>
        <w:r>
          <w:rPr>
            <w:noProof/>
            <w:webHidden/>
          </w:rPr>
          <w:fldChar w:fldCharType="end"/>
        </w:r>
      </w:hyperlink>
    </w:p>
    <w:p w14:paraId="1A307C70" w14:textId="34E1FEC9"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83" w:history="1">
        <w:r w:rsidRPr="009400D0">
          <w:rPr>
            <w:rStyle w:val="Hyperlink"/>
            <w:bCs/>
            <w:noProof/>
          </w:rPr>
          <w:t>Figure 8.1.2</w:t>
        </w:r>
        <w:r>
          <w:rPr>
            <w:rFonts w:asciiTheme="minorHAnsi" w:eastAsiaTheme="minorEastAsia" w:hAnsiTheme="minorHAnsi" w:cstheme="minorBidi"/>
            <w:noProof/>
            <w:kern w:val="2"/>
            <w:sz w:val="24"/>
            <w:szCs w:val="24"/>
            <w14:ligatures w14:val="standardContextual"/>
          </w:rPr>
          <w:tab/>
        </w:r>
        <w:r w:rsidRPr="009400D0">
          <w:rPr>
            <w:rStyle w:val="Hyperlink"/>
            <w:bCs/>
            <w:noProof/>
          </w:rPr>
          <w:t>Tokelau’s emissions by gas in 2023</w:t>
        </w:r>
        <w:r>
          <w:rPr>
            <w:noProof/>
            <w:webHidden/>
          </w:rPr>
          <w:tab/>
        </w:r>
        <w:r>
          <w:rPr>
            <w:noProof/>
            <w:webHidden/>
          </w:rPr>
          <w:fldChar w:fldCharType="begin"/>
        </w:r>
        <w:r>
          <w:rPr>
            <w:noProof/>
            <w:webHidden/>
          </w:rPr>
          <w:instrText xml:space="preserve"> PAGEREF _Toc194674883 \h </w:instrText>
        </w:r>
        <w:r>
          <w:rPr>
            <w:noProof/>
            <w:webHidden/>
          </w:rPr>
        </w:r>
        <w:r>
          <w:rPr>
            <w:noProof/>
            <w:webHidden/>
          </w:rPr>
          <w:fldChar w:fldCharType="separate"/>
        </w:r>
        <w:r w:rsidR="00B93180">
          <w:rPr>
            <w:noProof/>
            <w:webHidden/>
          </w:rPr>
          <w:t>357</w:t>
        </w:r>
        <w:r>
          <w:rPr>
            <w:noProof/>
            <w:webHidden/>
          </w:rPr>
          <w:fldChar w:fldCharType="end"/>
        </w:r>
      </w:hyperlink>
    </w:p>
    <w:p w14:paraId="5122A5AF" w14:textId="370C9813"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84" w:history="1">
        <w:r w:rsidRPr="009400D0">
          <w:rPr>
            <w:rStyle w:val="Hyperlink"/>
            <w:bCs/>
            <w:noProof/>
          </w:rPr>
          <w:t>Figure 8.1.3</w:t>
        </w:r>
        <w:r>
          <w:rPr>
            <w:rFonts w:asciiTheme="minorHAnsi" w:eastAsiaTheme="minorEastAsia" w:hAnsiTheme="minorHAnsi" w:cstheme="minorBidi"/>
            <w:noProof/>
            <w:kern w:val="2"/>
            <w:sz w:val="24"/>
            <w:szCs w:val="24"/>
            <w14:ligatures w14:val="standardContextual"/>
          </w:rPr>
          <w:tab/>
        </w:r>
        <w:r w:rsidRPr="009400D0">
          <w:rPr>
            <w:rStyle w:val="Hyperlink"/>
            <w:bCs/>
            <w:noProof/>
          </w:rPr>
          <w:t>Tokelau’s emissions by sector in 2023</w:t>
        </w:r>
        <w:r>
          <w:rPr>
            <w:noProof/>
            <w:webHidden/>
          </w:rPr>
          <w:tab/>
        </w:r>
        <w:r>
          <w:rPr>
            <w:noProof/>
            <w:webHidden/>
          </w:rPr>
          <w:fldChar w:fldCharType="begin"/>
        </w:r>
        <w:r>
          <w:rPr>
            <w:noProof/>
            <w:webHidden/>
          </w:rPr>
          <w:instrText xml:space="preserve"> PAGEREF _Toc194674884 \h </w:instrText>
        </w:r>
        <w:r>
          <w:rPr>
            <w:noProof/>
            <w:webHidden/>
          </w:rPr>
        </w:r>
        <w:r>
          <w:rPr>
            <w:noProof/>
            <w:webHidden/>
          </w:rPr>
          <w:fldChar w:fldCharType="separate"/>
        </w:r>
        <w:r w:rsidR="00B93180">
          <w:rPr>
            <w:noProof/>
            <w:webHidden/>
          </w:rPr>
          <w:t>357</w:t>
        </w:r>
        <w:r>
          <w:rPr>
            <w:noProof/>
            <w:webHidden/>
          </w:rPr>
          <w:fldChar w:fldCharType="end"/>
        </w:r>
      </w:hyperlink>
    </w:p>
    <w:p w14:paraId="393B11FA" w14:textId="2F28466F"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85" w:history="1">
        <w:r w:rsidRPr="009400D0">
          <w:rPr>
            <w:rStyle w:val="Hyperlink"/>
            <w:bCs/>
            <w:noProof/>
          </w:rPr>
          <w:t>Figure 8.1.4</w:t>
        </w:r>
        <w:r>
          <w:rPr>
            <w:rFonts w:asciiTheme="minorHAnsi" w:eastAsiaTheme="minorEastAsia" w:hAnsiTheme="minorHAnsi" w:cstheme="minorBidi"/>
            <w:noProof/>
            <w:kern w:val="2"/>
            <w:sz w:val="24"/>
            <w:szCs w:val="24"/>
            <w14:ligatures w14:val="standardContextual"/>
          </w:rPr>
          <w:tab/>
        </w:r>
        <w:r w:rsidRPr="009400D0">
          <w:rPr>
            <w:rStyle w:val="Hyperlink"/>
            <w:bCs/>
            <w:noProof/>
          </w:rPr>
          <w:t>Emissions by sector for Tokelau (kt CO</w:t>
        </w:r>
        <w:r w:rsidRPr="009400D0">
          <w:rPr>
            <w:rStyle w:val="Hyperlink"/>
            <w:bCs/>
            <w:noProof/>
            <w:vertAlign w:val="subscript"/>
          </w:rPr>
          <w:t>2</w:t>
        </w:r>
        <w:r w:rsidRPr="009400D0">
          <w:rPr>
            <w:rStyle w:val="Hyperlink"/>
            <w:bCs/>
            <w:noProof/>
          </w:rPr>
          <w:t>-e), from 1990 to 2023</w:t>
        </w:r>
        <w:r>
          <w:rPr>
            <w:noProof/>
            <w:webHidden/>
          </w:rPr>
          <w:tab/>
        </w:r>
        <w:r>
          <w:rPr>
            <w:noProof/>
            <w:webHidden/>
          </w:rPr>
          <w:fldChar w:fldCharType="begin"/>
        </w:r>
        <w:r>
          <w:rPr>
            <w:noProof/>
            <w:webHidden/>
          </w:rPr>
          <w:instrText xml:space="preserve"> PAGEREF _Toc194674885 \h </w:instrText>
        </w:r>
        <w:r>
          <w:rPr>
            <w:noProof/>
            <w:webHidden/>
          </w:rPr>
        </w:r>
        <w:r>
          <w:rPr>
            <w:noProof/>
            <w:webHidden/>
          </w:rPr>
          <w:fldChar w:fldCharType="separate"/>
        </w:r>
        <w:r w:rsidR="00B93180">
          <w:rPr>
            <w:noProof/>
            <w:webHidden/>
          </w:rPr>
          <w:t>359</w:t>
        </w:r>
        <w:r>
          <w:rPr>
            <w:noProof/>
            <w:webHidden/>
          </w:rPr>
          <w:fldChar w:fldCharType="end"/>
        </w:r>
      </w:hyperlink>
    </w:p>
    <w:p w14:paraId="2A2D70C6" w14:textId="4DDAC8D5"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86" w:history="1">
        <w:r w:rsidRPr="009400D0">
          <w:rPr>
            <w:rStyle w:val="Hyperlink"/>
            <w:bCs/>
            <w:noProof/>
          </w:rPr>
          <w:t>Figure 8.1.5</w:t>
        </w:r>
        <w:r>
          <w:rPr>
            <w:rFonts w:asciiTheme="minorHAnsi" w:eastAsiaTheme="minorEastAsia" w:hAnsiTheme="minorHAnsi" w:cstheme="minorBidi"/>
            <w:noProof/>
            <w:kern w:val="2"/>
            <w:sz w:val="24"/>
            <w:szCs w:val="24"/>
            <w14:ligatures w14:val="standardContextual"/>
          </w:rPr>
          <w:tab/>
        </w:r>
        <w:r w:rsidRPr="009400D0">
          <w:rPr>
            <w:rStyle w:val="Hyperlink"/>
            <w:bCs/>
            <w:noProof/>
          </w:rPr>
          <w:t>Data processing, quality-assurance and quality-control processes applied to the inventory data from Tokelau and its integration into New Zealand’s inventory</w:t>
        </w:r>
        <w:r>
          <w:rPr>
            <w:noProof/>
            <w:webHidden/>
          </w:rPr>
          <w:tab/>
        </w:r>
        <w:r>
          <w:rPr>
            <w:noProof/>
            <w:webHidden/>
          </w:rPr>
          <w:fldChar w:fldCharType="begin"/>
        </w:r>
        <w:r>
          <w:rPr>
            <w:noProof/>
            <w:webHidden/>
          </w:rPr>
          <w:instrText xml:space="preserve"> PAGEREF _Toc194674886 \h </w:instrText>
        </w:r>
        <w:r>
          <w:rPr>
            <w:noProof/>
            <w:webHidden/>
          </w:rPr>
        </w:r>
        <w:r>
          <w:rPr>
            <w:noProof/>
            <w:webHidden/>
          </w:rPr>
          <w:fldChar w:fldCharType="separate"/>
        </w:r>
        <w:r w:rsidR="00B93180">
          <w:rPr>
            <w:noProof/>
            <w:webHidden/>
          </w:rPr>
          <w:t>360</w:t>
        </w:r>
        <w:r>
          <w:rPr>
            <w:noProof/>
            <w:webHidden/>
          </w:rPr>
          <w:fldChar w:fldCharType="end"/>
        </w:r>
      </w:hyperlink>
    </w:p>
    <w:p w14:paraId="2C4C2450" w14:textId="7CD51CB9"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87" w:history="1">
        <w:r w:rsidRPr="009400D0">
          <w:rPr>
            <w:rStyle w:val="Hyperlink"/>
            <w:bCs/>
            <w:noProof/>
          </w:rPr>
          <w:t>Figure 8.3.1</w:t>
        </w:r>
        <w:r>
          <w:rPr>
            <w:rFonts w:asciiTheme="minorHAnsi" w:eastAsiaTheme="minorEastAsia" w:hAnsiTheme="minorHAnsi" w:cstheme="minorBidi"/>
            <w:noProof/>
            <w:kern w:val="2"/>
            <w:sz w:val="24"/>
            <w:szCs w:val="24"/>
            <w14:ligatures w14:val="standardContextual"/>
          </w:rPr>
          <w:tab/>
        </w:r>
        <w:r w:rsidRPr="009400D0">
          <w:rPr>
            <w:rStyle w:val="Hyperlink"/>
            <w:bCs/>
            <w:noProof/>
          </w:rPr>
          <w:t>Cluster block diagram for Tokelau’s solar project</w:t>
        </w:r>
        <w:r>
          <w:rPr>
            <w:noProof/>
            <w:webHidden/>
          </w:rPr>
          <w:tab/>
        </w:r>
        <w:r>
          <w:rPr>
            <w:noProof/>
            <w:webHidden/>
          </w:rPr>
          <w:fldChar w:fldCharType="begin"/>
        </w:r>
        <w:r>
          <w:rPr>
            <w:noProof/>
            <w:webHidden/>
          </w:rPr>
          <w:instrText xml:space="preserve"> PAGEREF _Toc194674887 \h </w:instrText>
        </w:r>
        <w:r>
          <w:rPr>
            <w:noProof/>
            <w:webHidden/>
          </w:rPr>
        </w:r>
        <w:r>
          <w:rPr>
            <w:noProof/>
            <w:webHidden/>
          </w:rPr>
          <w:fldChar w:fldCharType="separate"/>
        </w:r>
        <w:r w:rsidR="00B93180">
          <w:rPr>
            <w:noProof/>
            <w:webHidden/>
          </w:rPr>
          <w:t>362</w:t>
        </w:r>
        <w:r>
          <w:rPr>
            <w:noProof/>
            <w:webHidden/>
          </w:rPr>
          <w:fldChar w:fldCharType="end"/>
        </w:r>
      </w:hyperlink>
    </w:p>
    <w:p w14:paraId="0019D660" w14:textId="3DC4E847"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88" w:history="1">
        <w:r w:rsidRPr="009400D0">
          <w:rPr>
            <w:rStyle w:val="Hyperlink"/>
            <w:bCs/>
            <w:noProof/>
          </w:rPr>
          <w:t>Figure 8.3.2</w:t>
        </w:r>
        <w:r>
          <w:rPr>
            <w:rFonts w:asciiTheme="minorHAnsi" w:eastAsiaTheme="minorEastAsia" w:hAnsiTheme="minorHAnsi" w:cstheme="minorBidi"/>
            <w:noProof/>
            <w:kern w:val="2"/>
            <w:sz w:val="24"/>
            <w:szCs w:val="24"/>
            <w14:ligatures w14:val="standardContextual"/>
          </w:rPr>
          <w:tab/>
        </w:r>
        <w:r w:rsidRPr="009400D0">
          <w:rPr>
            <w:rStyle w:val="Hyperlink"/>
            <w:noProof/>
          </w:rPr>
          <w:t>Energy emissions by category for Tokelau (kt CO</w:t>
        </w:r>
        <w:r w:rsidRPr="009400D0">
          <w:rPr>
            <w:rStyle w:val="Hyperlink"/>
            <w:noProof/>
            <w:vertAlign w:val="subscript"/>
          </w:rPr>
          <w:t>2</w:t>
        </w:r>
        <w:r w:rsidRPr="009400D0">
          <w:rPr>
            <w:rStyle w:val="Hyperlink"/>
            <w:noProof/>
          </w:rPr>
          <w:t xml:space="preserve">-e), from </w:t>
        </w:r>
        <w:r w:rsidRPr="009400D0">
          <w:rPr>
            <w:rStyle w:val="Hyperlink"/>
            <w:bCs/>
            <w:noProof/>
          </w:rPr>
          <w:t>1990</w:t>
        </w:r>
        <w:r w:rsidRPr="009400D0">
          <w:rPr>
            <w:rStyle w:val="Hyperlink"/>
            <w:noProof/>
          </w:rPr>
          <w:t xml:space="preserve"> to </w:t>
        </w:r>
        <w:r w:rsidRPr="009400D0">
          <w:rPr>
            <w:rStyle w:val="Hyperlink"/>
            <w:bCs/>
            <w:noProof/>
          </w:rPr>
          <w:t>2023</w:t>
        </w:r>
        <w:r>
          <w:rPr>
            <w:noProof/>
            <w:webHidden/>
          </w:rPr>
          <w:tab/>
        </w:r>
        <w:r>
          <w:rPr>
            <w:noProof/>
            <w:webHidden/>
          </w:rPr>
          <w:fldChar w:fldCharType="begin"/>
        </w:r>
        <w:r>
          <w:rPr>
            <w:noProof/>
            <w:webHidden/>
          </w:rPr>
          <w:instrText xml:space="preserve"> PAGEREF _Toc194674888 \h </w:instrText>
        </w:r>
        <w:r>
          <w:rPr>
            <w:noProof/>
            <w:webHidden/>
          </w:rPr>
        </w:r>
        <w:r>
          <w:rPr>
            <w:noProof/>
            <w:webHidden/>
          </w:rPr>
          <w:fldChar w:fldCharType="separate"/>
        </w:r>
        <w:r w:rsidR="00B93180">
          <w:rPr>
            <w:noProof/>
            <w:webHidden/>
          </w:rPr>
          <w:t>363</w:t>
        </w:r>
        <w:r>
          <w:rPr>
            <w:noProof/>
            <w:webHidden/>
          </w:rPr>
          <w:fldChar w:fldCharType="end"/>
        </w:r>
      </w:hyperlink>
    </w:p>
    <w:p w14:paraId="7A41D506" w14:textId="637FE7A8"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89" w:history="1">
        <w:r w:rsidRPr="009400D0">
          <w:rPr>
            <w:rStyle w:val="Hyperlink"/>
            <w:bCs/>
            <w:noProof/>
          </w:rPr>
          <w:t>Figure 8.6.1</w:t>
        </w:r>
        <w:r>
          <w:rPr>
            <w:rFonts w:asciiTheme="minorHAnsi" w:eastAsiaTheme="minorEastAsia" w:hAnsiTheme="minorHAnsi" w:cstheme="minorBidi"/>
            <w:noProof/>
            <w:kern w:val="2"/>
            <w:sz w:val="24"/>
            <w:szCs w:val="24"/>
            <w14:ligatures w14:val="standardContextual"/>
          </w:rPr>
          <w:tab/>
        </w:r>
        <w:r w:rsidRPr="009400D0">
          <w:rPr>
            <w:rStyle w:val="Hyperlink"/>
            <w:bCs/>
            <w:noProof/>
          </w:rPr>
          <w:t>Industrial Processes and Product Use emissions by category for Tokelau (kt CO</w:t>
        </w:r>
        <w:r w:rsidRPr="009400D0">
          <w:rPr>
            <w:rStyle w:val="Hyperlink"/>
            <w:bCs/>
            <w:noProof/>
            <w:vertAlign w:val="subscript"/>
          </w:rPr>
          <w:t>2</w:t>
        </w:r>
        <w:r w:rsidRPr="009400D0">
          <w:rPr>
            <w:rStyle w:val="Hyperlink"/>
            <w:bCs/>
            <w:noProof/>
          </w:rPr>
          <w:t>-e) from 1990 to 2023</w:t>
        </w:r>
        <w:r>
          <w:rPr>
            <w:noProof/>
            <w:webHidden/>
          </w:rPr>
          <w:tab/>
        </w:r>
        <w:r>
          <w:rPr>
            <w:noProof/>
            <w:webHidden/>
          </w:rPr>
          <w:fldChar w:fldCharType="begin"/>
        </w:r>
        <w:r>
          <w:rPr>
            <w:noProof/>
            <w:webHidden/>
          </w:rPr>
          <w:instrText xml:space="preserve"> PAGEREF _Toc194674889 \h </w:instrText>
        </w:r>
        <w:r>
          <w:rPr>
            <w:noProof/>
            <w:webHidden/>
          </w:rPr>
        </w:r>
        <w:r>
          <w:rPr>
            <w:noProof/>
            <w:webHidden/>
          </w:rPr>
          <w:fldChar w:fldCharType="separate"/>
        </w:r>
        <w:r w:rsidR="00B93180">
          <w:rPr>
            <w:noProof/>
            <w:webHidden/>
          </w:rPr>
          <w:t>370</w:t>
        </w:r>
        <w:r>
          <w:rPr>
            <w:noProof/>
            <w:webHidden/>
          </w:rPr>
          <w:fldChar w:fldCharType="end"/>
        </w:r>
      </w:hyperlink>
    </w:p>
    <w:p w14:paraId="4A963134" w14:textId="02F3A886"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90" w:history="1">
        <w:r w:rsidRPr="009400D0">
          <w:rPr>
            <w:rStyle w:val="Hyperlink"/>
            <w:bCs/>
            <w:noProof/>
          </w:rPr>
          <w:t>Figure 8.9.1</w:t>
        </w:r>
        <w:r>
          <w:rPr>
            <w:rFonts w:asciiTheme="minorHAnsi" w:eastAsiaTheme="minorEastAsia" w:hAnsiTheme="minorHAnsi" w:cstheme="minorBidi"/>
            <w:noProof/>
            <w:kern w:val="2"/>
            <w:sz w:val="24"/>
            <w:szCs w:val="24"/>
            <w14:ligatures w14:val="standardContextual"/>
          </w:rPr>
          <w:tab/>
        </w:r>
        <w:r w:rsidRPr="009400D0">
          <w:rPr>
            <w:rStyle w:val="Hyperlink"/>
            <w:bCs/>
            <w:noProof/>
          </w:rPr>
          <w:t>Agriculture emissions by category for Tokelau (kt CO</w:t>
        </w:r>
        <w:r w:rsidRPr="009400D0">
          <w:rPr>
            <w:rStyle w:val="Hyperlink"/>
            <w:bCs/>
            <w:noProof/>
            <w:vertAlign w:val="subscript"/>
          </w:rPr>
          <w:t>2</w:t>
        </w:r>
        <w:r w:rsidRPr="009400D0">
          <w:rPr>
            <w:rStyle w:val="Hyperlink"/>
            <w:bCs/>
            <w:noProof/>
          </w:rPr>
          <w:t>-e), from 1990 to 2023</w:t>
        </w:r>
        <w:r>
          <w:rPr>
            <w:noProof/>
            <w:webHidden/>
          </w:rPr>
          <w:tab/>
        </w:r>
        <w:r>
          <w:rPr>
            <w:noProof/>
            <w:webHidden/>
          </w:rPr>
          <w:fldChar w:fldCharType="begin"/>
        </w:r>
        <w:r>
          <w:rPr>
            <w:noProof/>
            <w:webHidden/>
          </w:rPr>
          <w:instrText xml:space="preserve"> PAGEREF _Toc194674890 \h </w:instrText>
        </w:r>
        <w:r>
          <w:rPr>
            <w:noProof/>
            <w:webHidden/>
          </w:rPr>
        </w:r>
        <w:r>
          <w:rPr>
            <w:noProof/>
            <w:webHidden/>
          </w:rPr>
          <w:fldChar w:fldCharType="separate"/>
        </w:r>
        <w:r w:rsidR="00B93180">
          <w:rPr>
            <w:noProof/>
            <w:webHidden/>
          </w:rPr>
          <w:t>375</w:t>
        </w:r>
        <w:r>
          <w:rPr>
            <w:noProof/>
            <w:webHidden/>
          </w:rPr>
          <w:fldChar w:fldCharType="end"/>
        </w:r>
      </w:hyperlink>
    </w:p>
    <w:p w14:paraId="7EEA8043" w14:textId="6021FEC8"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91" w:history="1">
        <w:r w:rsidRPr="009400D0">
          <w:rPr>
            <w:rStyle w:val="Hyperlink"/>
            <w:bCs/>
            <w:noProof/>
          </w:rPr>
          <w:t>Figure 8.12.1</w:t>
        </w:r>
        <w:r>
          <w:rPr>
            <w:rFonts w:asciiTheme="minorHAnsi" w:eastAsiaTheme="minorEastAsia" w:hAnsiTheme="minorHAnsi" w:cstheme="minorBidi"/>
            <w:noProof/>
            <w:kern w:val="2"/>
            <w:sz w:val="24"/>
            <w:szCs w:val="24"/>
            <w14:ligatures w14:val="standardContextual"/>
          </w:rPr>
          <w:tab/>
        </w:r>
        <w:r w:rsidRPr="009400D0">
          <w:rPr>
            <w:rStyle w:val="Hyperlink"/>
            <w:bCs/>
            <w:noProof/>
          </w:rPr>
          <w:t>Waste sector emissions by category for Tokelau (kt CO</w:t>
        </w:r>
        <w:r w:rsidRPr="009400D0">
          <w:rPr>
            <w:rStyle w:val="Hyperlink"/>
            <w:bCs/>
            <w:noProof/>
            <w:vertAlign w:val="subscript"/>
          </w:rPr>
          <w:t>2</w:t>
        </w:r>
        <w:r w:rsidRPr="009400D0">
          <w:rPr>
            <w:rStyle w:val="Hyperlink"/>
            <w:bCs/>
            <w:noProof/>
          </w:rPr>
          <w:t>-e), from 1990 to 2023</w:t>
        </w:r>
        <w:r>
          <w:rPr>
            <w:noProof/>
            <w:webHidden/>
          </w:rPr>
          <w:tab/>
        </w:r>
        <w:r>
          <w:rPr>
            <w:noProof/>
            <w:webHidden/>
          </w:rPr>
          <w:fldChar w:fldCharType="begin"/>
        </w:r>
        <w:r>
          <w:rPr>
            <w:noProof/>
            <w:webHidden/>
          </w:rPr>
          <w:instrText xml:space="preserve"> PAGEREF _Toc194674891 \h </w:instrText>
        </w:r>
        <w:r>
          <w:rPr>
            <w:noProof/>
            <w:webHidden/>
          </w:rPr>
        </w:r>
        <w:r>
          <w:rPr>
            <w:noProof/>
            <w:webHidden/>
          </w:rPr>
          <w:fldChar w:fldCharType="separate"/>
        </w:r>
        <w:r w:rsidR="00B93180">
          <w:rPr>
            <w:noProof/>
            <w:webHidden/>
          </w:rPr>
          <w:t>378</w:t>
        </w:r>
        <w:r>
          <w:rPr>
            <w:noProof/>
            <w:webHidden/>
          </w:rPr>
          <w:fldChar w:fldCharType="end"/>
        </w:r>
      </w:hyperlink>
    </w:p>
    <w:p w14:paraId="05478B85" w14:textId="6C6676E8"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92" w:history="1">
        <w:r w:rsidRPr="009400D0">
          <w:rPr>
            <w:rStyle w:val="Hyperlink"/>
            <w:noProof/>
          </w:rPr>
          <w:t xml:space="preserve">Figure 10.2.1 </w:t>
        </w:r>
        <w:r>
          <w:rPr>
            <w:rFonts w:asciiTheme="minorHAnsi" w:eastAsiaTheme="minorEastAsia" w:hAnsiTheme="minorHAnsi" w:cstheme="minorBidi"/>
            <w:noProof/>
            <w:kern w:val="2"/>
            <w:sz w:val="24"/>
            <w:szCs w:val="24"/>
            <w14:ligatures w14:val="standardContextual"/>
          </w:rPr>
          <w:tab/>
        </w:r>
        <w:r w:rsidRPr="009400D0">
          <w:rPr>
            <w:rStyle w:val="Hyperlink"/>
            <w:noProof/>
          </w:rPr>
          <w:t>Effect of recalculations on New Zealand’s gross greenhouse gas emissions estimates, from 1990 to 2022</w:t>
        </w:r>
        <w:r>
          <w:rPr>
            <w:noProof/>
            <w:webHidden/>
          </w:rPr>
          <w:tab/>
        </w:r>
        <w:r>
          <w:rPr>
            <w:noProof/>
            <w:webHidden/>
          </w:rPr>
          <w:fldChar w:fldCharType="begin"/>
        </w:r>
        <w:r>
          <w:rPr>
            <w:noProof/>
            <w:webHidden/>
          </w:rPr>
          <w:instrText xml:space="preserve"> PAGEREF _Toc194674892 \h </w:instrText>
        </w:r>
        <w:r>
          <w:rPr>
            <w:noProof/>
            <w:webHidden/>
          </w:rPr>
        </w:r>
        <w:r>
          <w:rPr>
            <w:noProof/>
            <w:webHidden/>
          </w:rPr>
          <w:fldChar w:fldCharType="separate"/>
        </w:r>
        <w:r w:rsidR="00B93180">
          <w:rPr>
            <w:noProof/>
            <w:webHidden/>
          </w:rPr>
          <w:t>389</w:t>
        </w:r>
        <w:r>
          <w:rPr>
            <w:noProof/>
            <w:webHidden/>
          </w:rPr>
          <w:fldChar w:fldCharType="end"/>
        </w:r>
      </w:hyperlink>
    </w:p>
    <w:p w14:paraId="24C0267D" w14:textId="5C171854"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93" w:history="1">
        <w:r w:rsidRPr="009400D0">
          <w:rPr>
            <w:rStyle w:val="Hyperlink"/>
            <w:noProof/>
          </w:rPr>
          <w:t xml:space="preserve">Figure 10.2.2 </w:t>
        </w:r>
        <w:r>
          <w:rPr>
            <w:rFonts w:asciiTheme="minorHAnsi" w:eastAsiaTheme="minorEastAsia" w:hAnsiTheme="minorHAnsi" w:cstheme="minorBidi"/>
            <w:noProof/>
            <w:kern w:val="2"/>
            <w:sz w:val="24"/>
            <w:szCs w:val="24"/>
            <w14:ligatures w14:val="standardContextual"/>
          </w:rPr>
          <w:tab/>
        </w:r>
        <w:r w:rsidRPr="009400D0">
          <w:rPr>
            <w:rStyle w:val="Hyperlink"/>
            <w:noProof/>
          </w:rPr>
          <w:t>Effect of recalculations on New Zealand’s net greenhouse gas emissions estimates, from 1990 to 2022</w:t>
        </w:r>
        <w:r>
          <w:rPr>
            <w:noProof/>
            <w:webHidden/>
          </w:rPr>
          <w:tab/>
        </w:r>
        <w:r>
          <w:rPr>
            <w:noProof/>
            <w:webHidden/>
          </w:rPr>
          <w:fldChar w:fldCharType="begin"/>
        </w:r>
        <w:r>
          <w:rPr>
            <w:noProof/>
            <w:webHidden/>
          </w:rPr>
          <w:instrText xml:space="preserve"> PAGEREF _Toc194674893 \h </w:instrText>
        </w:r>
        <w:r>
          <w:rPr>
            <w:noProof/>
            <w:webHidden/>
          </w:rPr>
        </w:r>
        <w:r>
          <w:rPr>
            <w:noProof/>
            <w:webHidden/>
          </w:rPr>
          <w:fldChar w:fldCharType="separate"/>
        </w:r>
        <w:r w:rsidR="00B93180">
          <w:rPr>
            <w:noProof/>
            <w:webHidden/>
          </w:rPr>
          <w:t>390</w:t>
        </w:r>
        <w:r>
          <w:rPr>
            <w:noProof/>
            <w:webHidden/>
          </w:rPr>
          <w:fldChar w:fldCharType="end"/>
        </w:r>
      </w:hyperlink>
    </w:p>
    <w:p w14:paraId="7A915396" w14:textId="00F6AD03"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94" w:history="1">
        <w:r w:rsidRPr="009400D0">
          <w:rPr>
            <w:rStyle w:val="Hyperlink"/>
            <w:bCs/>
            <w:noProof/>
          </w:rPr>
          <w:t xml:space="preserve">Figure 10.2.3 </w:t>
        </w:r>
        <w:r>
          <w:rPr>
            <w:rFonts w:asciiTheme="minorHAnsi" w:eastAsiaTheme="minorEastAsia" w:hAnsiTheme="minorHAnsi" w:cstheme="minorBidi"/>
            <w:noProof/>
            <w:kern w:val="2"/>
            <w:sz w:val="24"/>
            <w:szCs w:val="24"/>
            <w14:ligatures w14:val="standardContextual"/>
          </w:rPr>
          <w:tab/>
        </w:r>
        <w:r w:rsidRPr="009400D0">
          <w:rPr>
            <w:rStyle w:val="Hyperlink"/>
            <w:bCs/>
            <w:noProof/>
          </w:rPr>
          <w:t>Effect of changes to activity data on emissions estimates from New Zealand’s Energy sector, from 1990 to 2022</w:t>
        </w:r>
        <w:r>
          <w:rPr>
            <w:noProof/>
            <w:webHidden/>
          </w:rPr>
          <w:tab/>
        </w:r>
        <w:r>
          <w:rPr>
            <w:noProof/>
            <w:webHidden/>
          </w:rPr>
          <w:fldChar w:fldCharType="begin"/>
        </w:r>
        <w:r>
          <w:rPr>
            <w:noProof/>
            <w:webHidden/>
          </w:rPr>
          <w:instrText xml:space="preserve"> PAGEREF _Toc194674894 \h </w:instrText>
        </w:r>
        <w:r>
          <w:rPr>
            <w:noProof/>
            <w:webHidden/>
          </w:rPr>
        </w:r>
        <w:r>
          <w:rPr>
            <w:noProof/>
            <w:webHidden/>
          </w:rPr>
          <w:fldChar w:fldCharType="separate"/>
        </w:r>
        <w:r w:rsidR="00B93180">
          <w:rPr>
            <w:noProof/>
            <w:webHidden/>
          </w:rPr>
          <w:t>391</w:t>
        </w:r>
        <w:r>
          <w:rPr>
            <w:noProof/>
            <w:webHidden/>
          </w:rPr>
          <w:fldChar w:fldCharType="end"/>
        </w:r>
      </w:hyperlink>
    </w:p>
    <w:p w14:paraId="34409AF4" w14:textId="56F99812"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95" w:history="1">
        <w:r w:rsidRPr="009400D0">
          <w:rPr>
            <w:rStyle w:val="Hyperlink"/>
            <w:bCs/>
            <w:noProof/>
          </w:rPr>
          <w:t xml:space="preserve">Figure 10.2.4 </w:t>
        </w:r>
        <w:r>
          <w:rPr>
            <w:rFonts w:asciiTheme="minorHAnsi" w:eastAsiaTheme="minorEastAsia" w:hAnsiTheme="minorHAnsi" w:cstheme="minorBidi"/>
            <w:noProof/>
            <w:kern w:val="2"/>
            <w:sz w:val="24"/>
            <w:szCs w:val="24"/>
            <w14:ligatures w14:val="standardContextual"/>
          </w:rPr>
          <w:tab/>
        </w:r>
        <w:r w:rsidRPr="009400D0">
          <w:rPr>
            <w:rStyle w:val="Hyperlink"/>
            <w:bCs/>
            <w:noProof/>
          </w:rPr>
          <w:t>Effect of recalculations on emissions estimates from the IPPU sector, from 1990 to 2022</w:t>
        </w:r>
        <w:r>
          <w:rPr>
            <w:noProof/>
            <w:webHidden/>
          </w:rPr>
          <w:tab/>
        </w:r>
        <w:r>
          <w:rPr>
            <w:noProof/>
            <w:webHidden/>
          </w:rPr>
          <w:fldChar w:fldCharType="begin"/>
        </w:r>
        <w:r>
          <w:rPr>
            <w:noProof/>
            <w:webHidden/>
          </w:rPr>
          <w:instrText xml:space="preserve"> PAGEREF _Toc194674895 \h </w:instrText>
        </w:r>
        <w:r>
          <w:rPr>
            <w:noProof/>
            <w:webHidden/>
          </w:rPr>
        </w:r>
        <w:r>
          <w:rPr>
            <w:noProof/>
            <w:webHidden/>
          </w:rPr>
          <w:fldChar w:fldCharType="separate"/>
        </w:r>
        <w:r w:rsidR="00B93180">
          <w:rPr>
            <w:noProof/>
            <w:webHidden/>
          </w:rPr>
          <w:t>392</w:t>
        </w:r>
        <w:r>
          <w:rPr>
            <w:noProof/>
            <w:webHidden/>
          </w:rPr>
          <w:fldChar w:fldCharType="end"/>
        </w:r>
      </w:hyperlink>
    </w:p>
    <w:p w14:paraId="2D85470D" w14:textId="3573221E"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96" w:history="1">
        <w:r w:rsidRPr="009400D0">
          <w:rPr>
            <w:rStyle w:val="Hyperlink"/>
            <w:bCs/>
            <w:noProof/>
          </w:rPr>
          <w:t xml:space="preserve">Figure 10.2.5 </w:t>
        </w:r>
        <w:r>
          <w:rPr>
            <w:rFonts w:asciiTheme="minorHAnsi" w:eastAsiaTheme="minorEastAsia" w:hAnsiTheme="minorHAnsi" w:cstheme="minorBidi"/>
            <w:noProof/>
            <w:kern w:val="2"/>
            <w:sz w:val="24"/>
            <w:szCs w:val="24"/>
            <w14:ligatures w14:val="standardContextual"/>
          </w:rPr>
          <w:tab/>
        </w:r>
        <w:r w:rsidRPr="009400D0">
          <w:rPr>
            <w:rStyle w:val="Hyperlink"/>
            <w:bCs/>
            <w:noProof/>
          </w:rPr>
          <w:t>Effect of recalculations on emissions estimates from New Zealand’s Agriculture sector, from 1990 to 2022</w:t>
        </w:r>
        <w:r>
          <w:rPr>
            <w:noProof/>
            <w:webHidden/>
          </w:rPr>
          <w:tab/>
        </w:r>
        <w:r>
          <w:rPr>
            <w:noProof/>
            <w:webHidden/>
          </w:rPr>
          <w:fldChar w:fldCharType="begin"/>
        </w:r>
        <w:r>
          <w:rPr>
            <w:noProof/>
            <w:webHidden/>
          </w:rPr>
          <w:instrText xml:space="preserve"> PAGEREF _Toc194674896 \h </w:instrText>
        </w:r>
        <w:r>
          <w:rPr>
            <w:noProof/>
            <w:webHidden/>
          </w:rPr>
        </w:r>
        <w:r>
          <w:rPr>
            <w:noProof/>
            <w:webHidden/>
          </w:rPr>
          <w:fldChar w:fldCharType="separate"/>
        </w:r>
        <w:r w:rsidR="00B93180">
          <w:rPr>
            <w:noProof/>
            <w:webHidden/>
          </w:rPr>
          <w:t>393</w:t>
        </w:r>
        <w:r>
          <w:rPr>
            <w:noProof/>
            <w:webHidden/>
          </w:rPr>
          <w:fldChar w:fldCharType="end"/>
        </w:r>
      </w:hyperlink>
    </w:p>
    <w:p w14:paraId="6D039157" w14:textId="575C6179"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97" w:history="1">
        <w:r w:rsidRPr="009400D0">
          <w:rPr>
            <w:rStyle w:val="Hyperlink"/>
            <w:bCs/>
            <w:noProof/>
          </w:rPr>
          <w:t xml:space="preserve">Figure 10.2.6 </w:t>
        </w:r>
        <w:r>
          <w:rPr>
            <w:rFonts w:asciiTheme="minorHAnsi" w:eastAsiaTheme="minorEastAsia" w:hAnsiTheme="minorHAnsi" w:cstheme="minorBidi"/>
            <w:noProof/>
            <w:kern w:val="2"/>
            <w:sz w:val="24"/>
            <w:szCs w:val="24"/>
            <w14:ligatures w14:val="standardContextual"/>
          </w:rPr>
          <w:tab/>
        </w:r>
        <w:r w:rsidRPr="009400D0">
          <w:rPr>
            <w:rStyle w:val="Hyperlink"/>
            <w:bCs/>
            <w:noProof/>
          </w:rPr>
          <w:t>Effect of improvements on net emissions estimates from New Zealand’s LULUCF sector, from 1990 to 2022</w:t>
        </w:r>
        <w:r>
          <w:rPr>
            <w:noProof/>
            <w:webHidden/>
          </w:rPr>
          <w:tab/>
        </w:r>
        <w:r>
          <w:rPr>
            <w:noProof/>
            <w:webHidden/>
          </w:rPr>
          <w:fldChar w:fldCharType="begin"/>
        </w:r>
        <w:r>
          <w:rPr>
            <w:noProof/>
            <w:webHidden/>
          </w:rPr>
          <w:instrText xml:space="preserve"> PAGEREF _Toc194674897 \h </w:instrText>
        </w:r>
        <w:r>
          <w:rPr>
            <w:noProof/>
            <w:webHidden/>
          </w:rPr>
        </w:r>
        <w:r>
          <w:rPr>
            <w:noProof/>
            <w:webHidden/>
          </w:rPr>
          <w:fldChar w:fldCharType="separate"/>
        </w:r>
        <w:r w:rsidR="00B93180">
          <w:rPr>
            <w:noProof/>
            <w:webHidden/>
          </w:rPr>
          <w:t>399</w:t>
        </w:r>
        <w:r>
          <w:rPr>
            <w:noProof/>
            <w:webHidden/>
          </w:rPr>
          <w:fldChar w:fldCharType="end"/>
        </w:r>
      </w:hyperlink>
    </w:p>
    <w:p w14:paraId="3CEBABB8" w14:textId="382D0348"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98" w:history="1">
        <w:r w:rsidRPr="009400D0">
          <w:rPr>
            <w:rStyle w:val="Hyperlink"/>
            <w:bCs/>
            <w:noProof/>
          </w:rPr>
          <w:t xml:space="preserve">Figure 10.2.7 </w:t>
        </w:r>
        <w:r>
          <w:rPr>
            <w:rFonts w:asciiTheme="minorHAnsi" w:eastAsiaTheme="minorEastAsia" w:hAnsiTheme="minorHAnsi" w:cstheme="minorBidi"/>
            <w:noProof/>
            <w:kern w:val="2"/>
            <w:sz w:val="24"/>
            <w:szCs w:val="24"/>
            <w14:ligatures w14:val="standardContextual"/>
          </w:rPr>
          <w:tab/>
        </w:r>
        <w:r w:rsidRPr="009400D0">
          <w:rPr>
            <w:rStyle w:val="Hyperlink"/>
            <w:bCs/>
            <w:noProof/>
          </w:rPr>
          <w:t>Effect of recalculations on emissions estimates from New Zealand’s Waste sector, from 1990 to 2022</w:t>
        </w:r>
        <w:r>
          <w:rPr>
            <w:noProof/>
            <w:webHidden/>
          </w:rPr>
          <w:tab/>
        </w:r>
        <w:r>
          <w:rPr>
            <w:noProof/>
            <w:webHidden/>
          </w:rPr>
          <w:fldChar w:fldCharType="begin"/>
        </w:r>
        <w:r>
          <w:rPr>
            <w:noProof/>
            <w:webHidden/>
          </w:rPr>
          <w:instrText xml:space="preserve"> PAGEREF _Toc194674898 \h </w:instrText>
        </w:r>
        <w:r>
          <w:rPr>
            <w:noProof/>
            <w:webHidden/>
          </w:rPr>
        </w:r>
        <w:r>
          <w:rPr>
            <w:noProof/>
            <w:webHidden/>
          </w:rPr>
          <w:fldChar w:fldCharType="separate"/>
        </w:r>
        <w:r w:rsidR="00B93180">
          <w:rPr>
            <w:noProof/>
            <w:webHidden/>
          </w:rPr>
          <w:t>400</w:t>
        </w:r>
        <w:r>
          <w:rPr>
            <w:noProof/>
            <w:webHidden/>
          </w:rPr>
          <w:fldChar w:fldCharType="end"/>
        </w:r>
      </w:hyperlink>
    </w:p>
    <w:p w14:paraId="38278816" w14:textId="09CB8BD4" w:rsidR="004D35B8" w:rsidRDefault="004D35B8">
      <w:pPr>
        <w:pStyle w:val="TableofFigures"/>
        <w:rPr>
          <w:rFonts w:asciiTheme="minorHAnsi" w:eastAsiaTheme="minorEastAsia" w:hAnsiTheme="minorHAnsi" w:cstheme="minorBidi"/>
          <w:noProof/>
          <w:kern w:val="2"/>
          <w:sz w:val="24"/>
          <w:szCs w:val="24"/>
          <w14:ligatures w14:val="standardContextual"/>
        </w:rPr>
      </w:pPr>
      <w:hyperlink w:anchor="_Toc194674899" w:history="1">
        <w:r w:rsidRPr="009400D0">
          <w:rPr>
            <w:rStyle w:val="Hyperlink"/>
            <w:bCs/>
            <w:noProof/>
          </w:rPr>
          <w:t xml:space="preserve">Figure 10.2.8 </w:t>
        </w:r>
        <w:r>
          <w:rPr>
            <w:rFonts w:asciiTheme="minorHAnsi" w:eastAsiaTheme="minorEastAsia" w:hAnsiTheme="minorHAnsi" w:cstheme="minorBidi"/>
            <w:noProof/>
            <w:kern w:val="2"/>
            <w:sz w:val="24"/>
            <w:szCs w:val="24"/>
            <w14:ligatures w14:val="standardContextual"/>
          </w:rPr>
          <w:tab/>
        </w:r>
        <w:r w:rsidRPr="009400D0">
          <w:rPr>
            <w:rStyle w:val="Hyperlink"/>
            <w:bCs/>
            <w:noProof/>
          </w:rPr>
          <w:t>Effect of recalculations on emissions estimates from the Tokelau sector, from 1990 to 2022</w:t>
        </w:r>
        <w:r>
          <w:rPr>
            <w:noProof/>
            <w:webHidden/>
          </w:rPr>
          <w:tab/>
        </w:r>
        <w:r>
          <w:rPr>
            <w:noProof/>
            <w:webHidden/>
          </w:rPr>
          <w:fldChar w:fldCharType="begin"/>
        </w:r>
        <w:r>
          <w:rPr>
            <w:noProof/>
            <w:webHidden/>
          </w:rPr>
          <w:instrText xml:space="preserve"> PAGEREF _Toc194674899 \h </w:instrText>
        </w:r>
        <w:r>
          <w:rPr>
            <w:noProof/>
            <w:webHidden/>
          </w:rPr>
        </w:r>
        <w:r>
          <w:rPr>
            <w:noProof/>
            <w:webHidden/>
          </w:rPr>
          <w:fldChar w:fldCharType="separate"/>
        </w:r>
        <w:r w:rsidR="00B93180">
          <w:rPr>
            <w:noProof/>
            <w:webHidden/>
          </w:rPr>
          <w:t>401</w:t>
        </w:r>
        <w:r>
          <w:rPr>
            <w:noProof/>
            <w:webHidden/>
          </w:rPr>
          <w:fldChar w:fldCharType="end"/>
        </w:r>
      </w:hyperlink>
    </w:p>
    <w:p w14:paraId="21DD13B7" w14:textId="5F9C9074" w:rsidR="00E33B6A" w:rsidRPr="001D5327" w:rsidRDefault="004D35B8" w:rsidP="00E33B6A">
      <w:r>
        <w:rPr>
          <w:rFonts w:ascii="Arial" w:hAnsi="Arial"/>
          <w:sz w:val="20"/>
        </w:rPr>
        <w:fldChar w:fldCharType="end"/>
      </w:r>
    </w:p>
    <w:p w14:paraId="394A218E" w14:textId="77777777" w:rsidR="00E33B6A" w:rsidRPr="001D5327" w:rsidRDefault="00E33B6A" w:rsidP="00E33B6A"/>
    <w:p w14:paraId="6BF628C3" w14:textId="77777777" w:rsidR="00E33B6A" w:rsidRPr="001D5327" w:rsidRDefault="00E33B6A" w:rsidP="00E33B6A">
      <w:pPr>
        <w:sectPr w:rsidR="00E33B6A" w:rsidRPr="001D5327" w:rsidSect="00E33B6A">
          <w:pgSz w:w="11907" w:h="16840" w:code="9"/>
          <w:pgMar w:top="1418" w:right="1701" w:bottom="1418" w:left="1701" w:header="567" w:footer="567" w:gutter="0"/>
          <w:pgNumType w:fmt="lowerRoman"/>
          <w:cols w:space="720"/>
        </w:sectPr>
      </w:pPr>
    </w:p>
    <w:p w14:paraId="6CF257CA" w14:textId="77777777" w:rsidR="00EB3528" w:rsidRPr="001D5327" w:rsidRDefault="00EB3528" w:rsidP="00EB3528">
      <w:pPr>
        <w:pStyle w:val="Heading1"/>
      </w:pPr>
      <w:bookmarkStart w:id="6" w:name="_Toc164154150"/>
      <w:bookmarkStart w:id="7" w:name="_Toc194311974"/>
      <w:r w:rsidRPr="001D5327">
        <w:lastRenderedPageBreak/>
        <w:t>Abbreviations</w:t>
      </w:r>
      <w:bookmarkEnd w:id="6"/>
      <w:bookmarkEnd w:id="7"/>
    </w:p>
    <w:tbl>
      <w:tblPr>
        <w:tblW w:w="8618" w:type="dxa"/>
        <w:tblCellMar>
          <w:left w:w="57" w:type="dxa"/>
          <w:right w:w="57" w:type="dxa"/>
        </w:tblCellMar>
        <w:tblLook w:val="04A0" w:firstRow="1" w:lastRow="0" w:firstColumn="1" w:lastColumn="0" w:noHBand="0" w:noVBand="1"/>
      </w:tblPr>
      <w:tblGrid>
        <w:gridCol w:w="1526"/>
        <w:gridCol w:w="7092"/>
      </w:tblGrid>
      <w:tr w:rsidR="00EB3528" w:rsidRPr="001D5327" w14:paraId="74274EC9" w14:textId="77777777" w:rsidTr="00F95658">
        <w:tc>
          <w:tcPr>
            <w:tcW w:w="1526" w:type="dxa"/>
            <w:shd w:val="clear" w:color="auto" w:fill="auto"/>
          </w:tcPr>
          <w:p w14:paraId="3FDD7761"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AAP</w:t>
            </w:r>
          </w:p>
        </w:tc>
        <w:tc>
          <w:tcPr>
            <w:tcW w:w="7092" w:type="dxa"/>
            <w:shd w:val="clear" w:color="auto" w:fill="auto"/>
          </w:tcPr>
          <w:p w14:paraId="2E39A2CD"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average animal population</w:t>
            </w:r>
          </w:p>
        </w:tc>
      </w:tr>
      <w:tr w:rsidR="00EB3528" w:rsidRPr="001D5327" w14:paraId="5A0D6945" w14:textId="77777777" w:rsidTr="00F95658">
        <w:tc>
          <w:tcPr>
            <w:tcW w:w="1526" w:type="dxa"/>
            <w:shd w:val="clear" w:color="auto" w:fill="auto"/>
          </w:tcPr>
          <w:p w14:paraId="23067DB1"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AD</w:t>
            </w:r>
          </w:p>
        </w:tc>
        <w:tc>
          <w:tcPr>
            <w:tcW w:w="7092" w:type="dxa"/>
            <w:shd w:val="clear" w:color="auto" w:fill="auto"/>
          </w:tcPr>
          <w:p w14:paraId="4B10AEC4"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activity data</w:t>
            </w:r>
          </w:p>
        </w:tc>
      </w:tr>
      <w:tr w:rsidR="00EB3528" w:rsidRPr="001D5327" w14:paraId="234DDF34" w14:textId="77777777" w:rsidTr="00F95658">
        <w:tc>
          <w:tcPr>
            <w:tcW w:w="1526" w:type="dxa"/>
            <w:shd w:val="clear" w:color="auto" w:fill="auto"/>
          </w:tcPr>
          <w:p w14:paraId="4F8C74A0"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AGB</w:t>
            </w:r>
          </w:p>
        </w:tc>
        <w:tc>
          <w:tcPr>
            <w:tcW w:w="7092" w:type="dxa"/>
            <w:shd w:val="clear" w:color="auto" w:fill="auto"/>
          </w:tcPr>
          <w:p w14:paraId="5A6301EE"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above-ground biomass</w:t>
            </w:r>
          </w:p>
        </w:tc>
      </w:tr>
      <w:tr w:rsidR="00EB3528" w:rsidRPr="001D5327" w14:paraId="50D50480" w14:textId="77777777" w:rsidTr="00F95658">
        <w:tc>
          <w:tcPr>
            <w:tcW w:w="1526" w:type="dxa"/>
            <w:shd w:val="clear" w:color="auto" w:fill="auto"/>
          </w:tcPr>
          <w:p w14:paraId="7D789C43" w14:textId="77777777" w:rsidR="00EB3528" w:rsidRPr="00D420CC" w:rsidRDefault="00EB3528" w:rsidP="00F95658">
            <w:pPr>
              <w:pStyle w:val="BodyText"/>
              <w:spacing w:before="20" w:after="20" w:line="260" w:lineRule="atLeast"/>
              <w:rPr>
                <w:rFonts w:eastAsia="Calibri" w:cs="Calibri"/>
                <w:b/>
                <w:bCs/>
                <w:sz w:val="20"/>
                <w:szCs w:val="20"/>
              </w:rPr>
            </w:pPr>
            <w:r w:rsidRPr="00D420CC">
              <w:rPr>
                <w:rFonts w:cs="Calibri"/>
                <w:b/>
                <w:bCs/>
                <w:sz w:val="20"/>
                <w:szCs w:val="20"/>
              </w:rPr>
              <w:t>AG</w:t>
            </w:r>
            <w:r w:rsidRPr="00D420CC">
              <w:rPr>
                <w:rFonts w:cs="Calibri"/>
                <w:b/>
                <w:bCs/>
                <w:sz w:val="20"/>
                <w:szCs w:val="20"/>
                <w:vertAlign w:val="subscript"/>
              </w:rPr>
              <w:t>N</w:t>
            </w:r>
          </w:p>
        </w:tc>
        <w:tc>
          <w:tcPr>
            <w:tcW w:w="7092" w:type="dxa"/>
            <w:shd w:val="clear" w:color="auto" w:fill="auto"/>
          </w:tcPr>
          <w:p w14:paraId="170FB665"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above-ground nitrogen residue</w:t>
            </w:r>
          </w:p>
        </w:tc>
      </w:tr>
      <w:tr w:rsidR="00EB3528" w:rsidRPr="001D5327" w14:paraId="5B84E4A4" w14:textId="77777777" w:rsidTr="00F95658">
        <w:tc>
          <w:tcPr>
            <w:tcW w:w="1526" w:type="dxa"/>
            <w:shd w:val="clear" w:color="auto" w:fill="auto"/>
          </w:tcPr>
          <w:p w14:paraId="171A8B1A"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AIC</w:t>
            </w:r>
          </w:p>
        </w:tc>
        <w:tc>
          <w:tcPr>
            <w:tcW w:w="7092" w:type="dxa"/>
            <w:shd w:val="clear" w:color="auto" w:fill="auto"/>
          </w:tcPr>
          <w:p w14:paraId="70572DCC"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Akaike information criterion</w:t>
            </w:r>
          </w:p>
        </w:tc>
      </w:tr>
      <w:tr w:rsidR="00EB3528" w:rsidRPr="001D5327" w14:paraId="619145E5" w14:textId="77777777" w:rsidTr="00F95658">
        <w:tc>
          <w:tcPr>
            <w:tcW w:w="1526" w:type="dxa"/>
            <w:shd w:val="clear" w:color="auto" w:fill="auto"/>
          </w:tcPr>
          <w:p w14:paraId="14445966" w14:textId="77777777" w:rsidR="00EB3528" w:rsidRPr="001D5327" w:rsidRDefault="00EB3528" w:rsidP="00F95658">
            <w:pPr>
              <w:pStyle w:val="BodyText"/>
              <w:spacing w:before="20" w:after="20" w:line="260" w:lineRule="atLeast"/>
              <w:rPr>
                <w:rFonts w:eastAsia="Calibri" w:cs="Calibri"/>
                <w:b/>
                <w:bCs/>
                <w:sz w:val="20"/>
                <w:szCs w:val="20"/>
              </w:rPr>
            </w:pPr>
            <w:r w:rsidRPr="001D5327">
              <w:rPr>
                <w:rFonts w:cs="Calibri"/>
                <w:b/>
                <w:bCs/>
                <w:spacing w:val="-2"/>
                <w:sz w:val="20"/>
                <w:szCs w:val="20"/>
              </w:rPr>
              <w:t>ANZSIC</w:t>
            </w:r>
          </w:p>
        </w:tc>
        <w:tc>
          <w:tcPr>
            <w:tcW w:w="7092" w:type="dxa"/>
            <w:shd w:val="clear" w:color="auto" w:fill="auto"/>
          </w:tcPr>
          <w:p w14:paraId="1D264E29"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pacing w:val="-2"/>
                <w:sz w:val="20"/>
                <w:szCs w:val="20"/>
              </w:rPr>
              <w:t>Australian and New Zealand Standard Industrial Classification</w:t>
            </w:r>
          </w:p>
        </w:tc>
      </w:tr>
      <w:tr w:rsidR="00EB3528" w:rsidRPr="001D5327" w14:paraId="6224BB1F" w14:textId="77777777" w:rsidTr="00F95658">
        <w:tc>
          <w:tcPr>
            <w:tcW w:w="1526" w:type="dxa"/>
            <w:shd w:val="clear" w:color="auto" w:fill="auto"/>
          </w:tcPr>
          <w:p w14:paraId="1D335B94"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APC</w:t>
            </w:r>
          </w:p>
        </w:tc>
        <w:tc>
          <w:tcPr>
            <w:tcW w:w="7092" w:type="dxa"/>
            <w:shd w:val="clear" w:color="auto" w:fill="auto"/>
          </w:tcPr>
          <w:p w14:paraId="564CFA22"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Agricultural Production Census</w:t>
            </w:r>
          </w:p>
        </w:tc>
      </w:tr>
      <w:tr w:rsidR="00EB3528" w:rsidRPr="001D5327" w14:paraId="6B7C7005" w14:textId="77777777" w:rsidTr="00F95658">
        <w:tc>
          <w:tcPr>
            <w:tcW w:w="1526" w:type="dxa"/>
            <w:shd w:val="clear" w:color="auto" w:fill="auto"/>
          </w:tcPr>
          <w:p w14:paraId="362B8D1F"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APS</w:t>
            </w:r>
          </w:p>
        </w:tc>
        <w:tc>
          <w:tcPr>
            <w:tcW w:w="7092" w:type="dxa"/>
            <w:shd w:val="clear" w:color="auto" w:fill="auto"/>
          </w:tcPr>
          <w:p w14:paraId="3FD1B794"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Agricultural Production Survey</w:t>
            </w:r>
          </w:p>
        </w:tc>
      </w:tr>
      <w:tr w:rsidR="00EB3528" w:rsidRPr="001D5327" w14:paraId="6D7DEE15" w14:textId="77777777" w:rsidTr="00F95658">
        <w:tc>
          <w:tcPr>
            <w:tcW w:w="1526" w:type="dxa"/>
            <w:shd w:val="clear" w:color="auto" w:fill="auto"/>
          </w:tcPr>
          <w:p w14:paraId="1FE2660E"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bCs/>
                <w:sz w:val="20"/>
                <w:szCs w:val="20"/>
              </w:rPr>
              <w:t>BGB</w:t>
            </w:r>
          </w:p>
        </w:tc>
        <w:tc>
          <w:tcPr>
            <w:tcW w:w="7092" w:type="dxa"/>
            <w:shd w:val="clear" w:color="auto" w:fill="auto"/>
          </w:tcPr>
          <w:p w14:paraId="4B71F2D7"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below-ground biomass</w:t>
            </w:r>
          </w:p>
        </w:tc>
      </w:tr>
      <w:tr w:rsidR="00EB3528" w:rsidRPr="001D5327" w14:paraId="04CB21B1" w14:textId="77777777" w:rsidTr="00F95658">
        <w:tc>
          <w:tcPr>
            <w:tcW w:w="1526" w:type="dxa"/>
            <w:shd w:val="clear" w:color="auto" w:fill="auto"/>
          </w:tcPr>
          <w:p w14:paraId="13237C84" w14:textId="77777777" w:rsidR="00EB3528" w:rsidRPr="00D420CC" w:rsidRDefault="00EB3528" w:rsidP="00F95658">
            <w:pPr>
              <w:pStyle w:val="BodyText"/>
              <w:spacing w:before="20" w:after="20" w:line="260" w:lineRule="atLeast"/>
              <w:rPr>
                <w:rFonts w:eastAsia="Calibri" w:cs="Calibri"/>
                <w:b/>
                <w:bCs/>
                <w:sz w:val="20"/>
                <w:szCs w:val="20"/>
              </w:rPr>
            </w:pPr>
            <w:r w:rsidRPr="00D420CC">
              <w:rPr>
                <w:rFonts w:cs="Calibri"/>
                <w:b/>
                <w:bCs/>
                <w:sz w:val="20"/>
                <w:szCs w:val="20"/>
              </w:rPr>
              <w:t>BG</w:t>
            </w:r>
            <w:r w:rsidRPr="00D420CC">
              <w:rPr>
                <w:rFonts w:cs="Calibri"/>
                <w:b/>
                <w:bCs/>
                <w:sz w:val="20"/>
                <w:szCs w:val="20"/>
                <w:vertAlign w:val="subscript"/>
              </w:rPr>
              <w:t>N</w:t>
            </w:r>
          </w:p>
        </w:tc>
        <w:tc>
          <w:tcPr>
            <w:tcW w:w="7092" w:type="dxa"/>
            <w:shd w:val="clear" w:color="auto" w:fill="auto"/>
          </w:tcPr>
          <w:p w14:paraId="536C822F"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below-ground nitrogen residue</w:t>
            </w:r>
          </w:p>
        </w:tc>
      </w:tr>
      <w:tr w:rsidR="00EB3528" w:rsidRPr="001D5327" w14:paraId="0B313DD4" w14:textId="77777777" w:rsidTr="00F95658">
        <w:tc>
          <w:tcPr>
            <w:tcW w:w="1526" w:type="dxa"/>
            <w:shd w:val="clear" w:color="auto" w:fill="auto"/>
          </w:tcPr>
          <w:p w14:paraId="7FD823E4"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BOD</w:t>
            </w:r>
          </w:p>
        </w:tc>
        <w:tc>
          <w:tcPr>
            <w:tcW w:w="7092" w:type="dxa"/>
            <w:shd w:val="clear" w:color="auto" w:fill="auto"/>
          </w:tcPr>
          <w:p w14:paraId="21E5E28F"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biochemical oxygen demand</w:t>
            </w:r>
          </w:p>
        </w:tc>
      </w:tr>
      <w:tr w:rsidR="00EB3528" w:rsidRPr="001D5327" w14:paraId="656FBB09" w14:textId="77777777" w:rsidTr="00F95658">
        <w:tc>
          <w:tcPr>
            <w:tcW w:w="1526" w:type="dxa"/>
            <w:shd w:val="clear" w:color="auto" w:fill="auto"/>
          </w:tcPr>
          <w:p w14:paraId="42AC795D"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C</w:t>
            </w:r>
          </w:p>
        </w:tc>
        <w:tc>
          <w:tcPr>
            <w:tcW w:w="7092" w:type="dxa"/>
            <w:shd w:val="clear" w:color="auto" w:fill="auto"/>
          </w:tcPr>
          <w:p w14:paraId="6DB8CBCF"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carbon</w:t>
            </w:r>
          </w:p>
        </w:tc>
      </w:tr>
      <w:tr w:rsidR="00EB3528" w:rsidRPr="001D5327" w14:paraId="17FB340D" w14:textId="77777777" w:rsidTr="00F95658">
        <w:tc>
          <w:tcPr>
            <w:tcW w:w="1526" w:type="dxa"/>
            <w:shd w:val="clear" w:color="auto" w:fill="auto"/>
          </w:tcPr>
          <w:p w14:paraId="0A672569"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cs="Calibri"/>
                <w:b/>
                <w:sz w:val="20"/>
                <w:szCs w:val="20"/>
              </w:rPr>
              <w:t>C</w:t>
            </w:r>
            <w:r w:rsidRPr="001D5327">
              <w:rPr>
                <w:rFonts w:cs="Calibri"/>
                <w:b/>
                <w:sz w:val="20"/>
                <w:szCs w:val="20"/>
                <w:vertAlign w:val="subscript"/>
              </w:rPr>
              <w:t>2</w:t>
            </w:r>
            <w:r w:rsidRPr="001D5327">
              <w:rPr>
                <w:rFonts w:cs="Calibri"/>
                <w:b/>
                <w:sz w:val="20"/>
                <w:szCs w:val="20"/>
              </w:rPr>
              <w:t>F</w:t>
            </w:r>
            <w:r w:rsidRPr="001D5327">
              <w:rPr>
                <w:rFonts w:cs="Calibri"/>
                <w:b/>
                <w:sz w:val="20"/>
                <w:szCs w:val="20"/>
                <w:vertAlign w:val="subscript"/>
              </w:rPr>
              <w:t>6</w:t>
            </w:r>
          </w:p>
        </w:tc>
        <w:tc>
          <w:tcPr>
            <w:tcW w:w="7092" w:type="dxa"/>
            <w:shd w:val="clear" w:color="auto" w:fill="auto"/>
          </w:tcPr>
          <w:p w14:paraId="3212D828"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perfluoroethane</w:t>
            </w:r>
          </w:p>
        </w:tc>
      </w:tr>
      <w:tr w:rsidR="00EB3528" w:rsidRPr="001D5327" w14:paraId="787E98CF" w14:textId="77777777" w:rsidTr="00F95658">
        <w:tc>
          <w:tcPr>
            <w:tcW w:w="1526" w:type="dxa"/>
            <w:shd w:val="clear" w:color="auto" w:fill="auto"/>
          </w:tcPr>
          <w:p w14:paraId="1B088F12" w14:textId="77777777" w:rsidR="00EB3528" w:rsidRPr="001D5327" w:rsidRDefault="00EB3528" w:rsidP="00F95658">
            <w:pPr>
              <w:pStyle w:val="BodyText"/>
              <w:spacing w:before="20" w:after="20" w:line="260" w:lineRule="atLeast"/>
              <w:rPr>
                <w:rFonts w:cs="Calibri"/>
                <w:b/>
                <w:sz w:val="20"/>
                <w:szCs w:val="20"/>
              </w:rPr>
            </w:pPr>
            <w:r w:rsidRPr="001D5327">
              <w:rPr>
                <w:rFonts w:cs="Calibri"/>
                <w:b/>
                <w:sz w:val="20"/>
                <w:szCs w:val="20"/>
              </w:rPr>
              <w:t>C</w:t>
            </w:r>
            <w:r w:rsidRPr="001D5327">
              <w:rPr>
                <w:rFonts w:cs="Calibri"/>
                <w:b/>
                <w:sz w:val="20"/>
                <w:szCs w:val="20"/>
                <w:vertAlign w:val="subscript"/>
              </w:rPr>
              <w:t>3</w:t>
            </w:r>
            <w:r w:rsidRPr="001D5327">
              <w:rPr>
                <w:rFonts w:cs="Calibri"/>
                <w:b/>
                <w:sz w:val="20"/>
                <w:szCs w:val="20"/>
              </w:rPr>
              <w:t>F</w:t>
            </w:r>
            <w:r w:rsidRPr="001D5327">
              <w:rPr>
                <w:rFonts w:cs="Calibri"/>
                <w:b/>
                <w:sz w:val="20"/>
                <w:szCs w:val="20"/>
                <w:vertAlign w:val="subscript"/>
              </w:rPr>
              <w:t>8</w:t>
            </w:r>
          </w:p>
        </w:tc>
        <w:tc>
          <w:tcPr>
            <w:tcW w:w="7092" w:type="dxa"/>
            <w:shd w:val="clear" w:color="auto" w:fill="auto"/>
          </w:tcPr>
          <w:p w14:paraId="32656FCB" w14:textId="77777777" w:rsidR="00EB3528" w:rsidRPr="001D5327" w:rsidRDefault="00EB3528" w:rsidP="00F95658">
            <w:pPr>
              <w:pStyle w:val="BodyText"/>
              <w:spacing w:before="20" w:after="20" w:line="260" w:lineRule="atLeast"/>
              <w:rPr>
                <w:rFonts w:cs="Calibri"/>
                <w:sz w:val="20"/>
                <w:szCs w:val="20"/>
              </w:rPr>
            </w:pPr>
            <w:r w:rsidRPr="001D5327">
              <w:rPr>
                <w:rFonts w:cs="Calibri"/>
                <w:sz w:val="20"/>
                <w:szCs w:val="20"/>
              </w:rPr>
              <w:t xml:space="preserve">perfluoropropane </w:t>
            </w:r>
          </w:p>
        </w:tc>
      </w:tr>
      <w:tr w:rsidR="00EB3528" w:rsidRPr="001D5327" w14:paraId="6D653702" w14:textId="77777777" w:rsidTr="00F95658">
        <w:tc>
          <w:tcPr>
            <w:tcW w:w="1526" w:type="dxa"/>
            <w:shd w:val="clear" w:color="auto" w:fill="auto"/>
          </w:tcPr>
          <w:p w14:paraId="2BB923C7"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cs="Calibri"/>
                <w:b/>
                <w:sz w:val="20"/>
                <w:szCs w:val="20"/>
              </w:rPr>
              <w:t>CaO</w:t>
            </w:r>
          </w:p>
        </w:tc>
        <w:tc>
          <w:tcPr>
            <w:tcW w:w="7092" w:type="dxa"/>
            <w:shd w:val="clear" w:color="auto" w:fill="auto"/>
          </w:tcPr>
          <w:p w14:paraId="789E5664"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 xml:space="preserve">calcium oxide </w:t>
            </w:r>
          </w:p>
        </w:tc>
      </w:tr>
      <w:tr w:rsidR="00EB3528" w:rsidRPr="001D5327" w14:paraId="11F9C69A" w14:textId="77777777" w:rsidTr="00F95658">
        <w:tc>
          <w:tcPr>
            <w:tcW w:w="1526" w:type="dxa"/>
            <w:shd w:val="clear" w:color="auto" w:fill="auto"/>
          </w:tcPr>
          <w:p w14:paraId="5EFC2B28" w14:textId="77777777" w:rsidR="00EB3528" w:rsidRPr="001D5327" w:rsidRDefault="00EB3528" w:rsidP="00F95658">
            <w:pPr>
              <w:pStyle w:val="BodyText"/>
              <w:spacing w:before="20" w:after="20" w:line="260" w:lineRule="atLeast"/>
              <w:rPr>
                <w:rFonts w:cs="Calibri"/>
                <w:b/>
                <w:sz w:val="20"/>
                <w:szCs w:val="20"/>
              </w:rPr>
            </w:pPr>
            <w:r w:rsidRPr="001D5327">
              <w:rPr>
                <w:rFonts w:cs="Calibri"/>
                <w:b/>
                <w:sz w:val="20"/>
                <w:szCs w:val="20"/>
              </w:rPr>
              <w:t>Ca(OH)</w:t>
            </w:r>
            <w:r w:rsidRPr="001D5327">
              <w:rPr>
                <w:rFonts w:cs="Calibri"/>
                <w:b/>
                <w:sz w:val="20"/>
                <w:szCs w:val="20"/>
                <w:vertAlign w:val="subscript"/>
              </w:rPr>
              <w:t>2</w:t>
            </w:r>
          </w:p>
        </w:tc>
        <w:tc>
          <w:tcPr>
            <w:tcW w:w="7092" w:type="dxa"/>
            <w:shd w:val="clear" w:color="auto" w:fill="auto"/>
          </w:tcPr>
          <w:p w14:paraId="0B1078DF" w14:textId="77777777" w:rsidR="00EB3528" w:rsidRPr="001D5327" w:rsidRDefault="00EB3528" w:rsidP="00F95658">
            <w:pPr>
              <w:pStyle w:val="BodyText"/>
              <w:spacing w:before="20" w:after="20" w:line="260" w:lineRule="atLeast"/>
              <w:rPr>
                <w:rFonts w:cs="Calibri"/>
                <w:sz w:val="20"/>
                <w:szCs w:val="20"/>
              </w:rPr>
            </w:pPr>
            <w:r w:rsidRPr="001D5327">
              <w:rPr>
                <w:rFonts w:cs="Calibri"/>
                <w:sz w:val="20"/>
                <w:szCs w:val="20"/>
              </w:rPr>
              <w:t>calcium hydroxide</w:t>
            </w:r>
          </w:p>
        </w:tc>
      </w:tr>
      <w:tr w:rsidR="00EB3528" w:rsidRPr="001D5327" w14:paraId="50BDCFA3" w14:textId="77777777" w:rsidTr="00F95658">
        <w:tc>
          <w:tcPr>
            <w:tcW w:w="1526" w:type="dxa"/>
            <w:shd w:val="clear" w:color="auto" w:fill="auto"/>
          </w:tcPr>
          <w:p w14:paraId="3644AF47" w14:textId="77777777" w:rsidR="00EB3528" w:rsidRPr="001D5327" w:rsidRDefault="00EB3528" w:rsidP="00F95658">
            <w:pPr>
              <w:pStyle w:val="BodyText"/>
              <w:spacing w:before="20" w:after="20" w:line="260" w:lineRule="atLeast"/>
              <w:rPr>
                <w:rFonts w:cs="Calibri"/>
                <w:b/>
                <w:sz w:val="20"/>
                <w:szCs w:val="20"/>
              </w:rPr>
            </w:pPr>
            <w:r w:rsidRPr="001D5327">
              <w:rPr>
                <w:rFonts w:cs="Calibri"/>
                <w:b/>
                <w:sz w:val="20"/>
                <w:szCs w:val="20"/>
              </w:rPr>
              <w:t>CCF</w:t>
            </w:r>
            <w:r w:rsidRPr="001D5327">
              <w:rPr>
                <w:rFonts w:cs="Calibri"/>
                <w:b/>
                <w:sz w:val="20"/>
                <w:szCs w:val="20"/>
                <w:vertAlign w:val="subscript"/>
              </w:rPr>
              <w:t>i</w:t>
            </w:r>
          </w:p>
        </w:tc>
        <w:tc>
          <w:tcPr>
            <w:tcW w:w="7092" w:type="dxa"/>
            <w:shd w:val="clear" w:color="auto" w:fill="auto"/>
          </w:tcPr>
          <w:p w14:paraId="04050C84" w14:textId="77777777" w:rsidR="00EB3528" w:rsidRPr="001D5327" w:rsidRDefault="00EB3528" w:rsidP="00F95658">
            <w:pPr>
              <w:pStyle w:val="BodyText"/>
              <w:spacing w:before="20" w:after="20" w:line="260" w:lineRule="atLeast"/>
              <w:rPr>
                <w:rFonts w:cs="Calibri"/>
                <w:sz w:val="20"/>
                <w:szCs w:val="20"/>
              </w:rPr>
            </w:pPr>
            <w:r w:rsidRPr="001D5327">
              <w:rPr>
                <w:rFonts w:cs="Calibri"/>
                <w:spacing w:val="-2"/>
                <w:sz w:val="20"/>
                <w:szCs w:val="20"/>
              </w:rPr>
              <w:t>carbon content factor</w:t>
            </w:r>
          </w:p>
        </w:tc>
      </w:tr>
      <w:tr w:rsidR="00EB3528" w:rsidRPr="001D5327" w14:paraId="1AD9CBAA" w14:textId="77777777" w:rsidTr="00F95658">
        <w:tc>
          <w:tcPr>
            <w:tcW w:w="1526" w:type="dxa"/>
            <w:shd w:val="clear" w:color="auto" w:fill="auto"/>
          </w:tcPr>
          <w:p w14:paraId="1CD37616"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cs="Calibri"/>
                <w:b/>
                <w:sz w:val="20"/>
                <w:szCs w:val="20"/>
              </w:rPr>
              <w:t>CF</w:t>
            </w:r>
            <w:r w:rsidRPr="001D5327">
              <w:rPr>
                <w:rFonts w:cs="Calibri"/>
                <w:b/>
                <w:sz w:val="20"/>
                <w:szCs w:val="20"/>
                <w:vertAlign w:val="subscript"/>
              </w:rPr>
              <w:t>4</w:t>
            </w:r>
          </w:p>
        </w:tc>
        <w:tc>
          <w:tcPr>
            <w:tcW w:w="7092" w:type="dxa"/>
            <w:shd w:val="clear" w:color="auto" w:fill="auto"/>
          </w:tcPr>
          <w:p w14:paraId="7765E39C"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perfluoromethane</w:t>
            </w:r>
          </w:p>
        </w:tc>
      </w:tr>
      <w:tr w:rsidR="00EB3528" w:rsidRPr="001D5327" w14:paraId="611E61EC" w14:textId="77777777" w:rsidTr="00F95658">
        <w:tc>
          <w:tcPr>
            <w:tcW w:w="1526" w:type="dxa"/>
            <w:shd w:val="clear" w:color="auto" w:fill="auto"/>
          </w:tcPr>
          <w:p w14:paraId="3066F321"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cs="Calibri"/>
                <w:b/>
                <w:sz w:val="20"/>
                <w:szCs w:val="20"/>
              </w:rPr>
              <w:t>CFC</w:t>
            </w:r>
          </w:p>
        </w:tc>
        <w:tc>
          <w:tcPr>
            <w:tcW w:w="7092" w:type="dxa"/>
            <w:shd w:val="clear" w:color="auto" w:fill="auto"/>
          </w:tcPr>
          <w:p w14:paraId="7889FF91"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chlorofluorocarbon</w:t>
            </w:r>
          </w:p>
        </w:tc>
      </w:tr>
      <w:tr w:rsidR="00EB3528" w:rsidRPr="001D5327" w14:paraId="01EF2DD7" w14:textId="77777777" w:rsidTr="00F95658">
        <w:tc>
          <w:tcPr>
            <w:tcW w:w="1526" w:type="dxa"/>
            <w:shd w:val="clear" w:color="auto" w:fill="auto"/>
          </w:tcPr>
          <w:p w14:paraId="659F8B80"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CH</w:t>
            </w:r>
            <w:r w:rsidRPr="001D5327">
              <w:rPr>
                <w:rFonts w:eastAsia="Calibri" w:cs="Calibri"/>
                <w:b/>
                <w:sz w:val="20"/>
                <w:szCs w:val="20"/>
                <w:vertAlign w:val="subscript"/>
              </w:rPr>
              <w:t>4</w:t>
            </w:r>
          </w:p>
        </w:tc>
        <w:tc>
          <w:tcPr>
            <w:tcW w:w="7092" w:type="dxa"/>
            <w:shd w:val="clear" w:color="auto" w:fill="auto"/>
          </w:tcPr>
          <w:p w14:paraId="34B79580"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methane</w:t>
            </w:r>
          </w:p>
        </w:tc>
      </w:tr>
      <w:tr w:rsidR="00EB3528" w:rsidRPr="001D5327" w14:paraId="24BCE578" w14:textId="77777777" w:rsidTr="00F95658">
        <w:tc>
          <w:tcPr>
            <w:tcW w:w="1526" w:type="dxa"/>
            <w:shd w:val="clear" w:color="auto" w:fill="auto"/>
          </w:tcPr>
          <w:p w14:paraId="4FBE3884"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cs="Calibri"/>
                <w:b/>
                <w:sz w:val="20"/>
                <w:szCs w:val="20"/>
                <w:lang w:eastAsia="en-GB"/>
              </w:rPr>
              <w:t>CNG</w:t>
            </w:r>
          </w:p>
        </w:tc>
        <w:tc>
          <w:tcPr>
            <w:tcW w:w="7092" w:type="dxa"/>
            <w:shd w:val="clear" w:color="auto" w:fill="auto"/>
          </w:tcPr>
          <w:p w14:paraId="4F8B0EA0"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lang w:eastAsia="en-GB"/>
              </w:rPr>
              <w:t>compressed natural gas</w:t>
            </w:r>
          </w:p>
        </w:tc>
      </w:tr>
      <w:tr w:rsidR="00EB3528" w:rsidRPr="001D5327" w14:paraId="4958F955" w14:textId="77777777" w:rsidTr="00F95658">
        <w:tc>
          <w:tcPr>
            <w:tcW w:w="1526" w:type="dxa"/>
            <w:shd w:val="clear" w:color="auto" w:fill="auto"/>
          </w:tcPr>
          <w:p w14:paraId="7DBC0229"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 xml:space="preserve">CO </w:t>
            </w:r>
          </w:p>
        </w:tc>
        <w:tc>
          <w:tcPr>
            <w:tcW w:w="7092" w:type="dxa"/>
            <w:shd w:val="clear" w:color="auto" w:fill="auto"/>
          </w:tcPr>
          <w:p w14:paraId="30ABC95E"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carbon monoxide</w:t>
            </w:r>
          </w:p>
        </w:tc>
      </w:tr>
      <w:tr w:rsidR="00EB3528" w:rsidRPr="001D5327" w14:paraId="4C20D860" w14:textId="77777777" w:rsidTr="00F95658">
        <w:tc>
          <w:tcPr>
            <w:tcW w:w="1526" w:type="dxa"/>
            <w:shd w:val="clear" w:color="auto" w:fill="auto"/>
          </w:tcPr>
          <w:p w14:paraId="75621814"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COD</w:t>
            </w:r>
          </w:p>
        </w:tc>
        <w:tc>
          <w:tcPr>
            <w:tcW w:w="7092" w:type="dxa"/>
            <w:shd w:val="clear" w:color="auto" w:fill="auto"/>
          </w:tcPr>
          <w:p w14:paraId="4F42AE2D"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chemical oxygen demand</w:t>
            </w:r>
          </w:p>
        </w:tc>
      </w:tr>
      <w:tr w:rsidR="00EB3528" w:rsidRPr="001D5327" w14:paraId="04843FF1" w14:textId="77777777" w:rsidTr="00F95658">
        <w:tc>
          <w:tcPr>
            <w:tcW w:w="1526" w:type="dxa"/>
            <w:shd w:val="clear" w:color="auto" w:fill="auto"/>
          </w:tcPr>
          <w:p w14:paraId="5D845E11"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CO</w:t>
            </w:r>
            <w:r w:rsidRPr="001D5327">
              <w:rPr>
                <w:rFonts w:eastAsia="Calibri" w:cs="Calibri"/>
                <w:b/>
                <w:sz w:val="20"/>
                <w:szCs w:val="20"/>
                <w:vertAlign w:val="subscript"/>
              </w:rPr>
              <w:t>2</w:t>
            </w:r>
            <w:r w:rsidRPr="001D5327">
              <w:rPr>
                <w:rFonts w:eastAsia="Calibri" w:cs="Calibri"/>
                <w:b/>
                <w:sz w:val="20"/>
                <w:szCs w:val="20"/>
              </w:rPr>
              <w:t xml:space="preserve"> </w:t>
            </w:r>
          </w:p>
        </w:tc>
        <w:tc>
          <w:tcPr>
            <w:tcW w:w="7092" w:type="dxa"/>
            <w:shd w:val="clear" w:color="auto" w:fill="auto"/>
          </w:tcPr>
          <w:p w14:paraId="3A19A2B8"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carbon dioxide</w:t>
            </w:r>
          </w:p>
        </w:tc>
      </w:tr>
      <w:tr w:rsidR="00EB3528" w:rsidRPr="001D5327" w14:paraId="116422C6" w14:textId="77777777" w:rsidTr="00F95658">
        <w:tc>
          <w:tcPr>
            <w:tcW w:w="1526" w:type="dxa"/>
            <w:shd w:val="clear" w:color="auto" w:fill="auto"/>
          </w:tcPr>
          <w:p w14:paraId="6095C4E2"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CO</w:t>
            </w:r>
            <w:r w:rsidRPr="001D5327">
              <w:rPr>
                <w:rFonts w:eastAsia="Calibri" w:cs="Calibri"/>
                <w:b/>
                <w:sz w:val="20"/>
                <w:szCs w:val="20"/>
                <w:vertAlign w:val="subscript"/>
              </w:rPr>
              <w:t>2</w:t>
            </w:r>
            <w:r w:rsidRPr="001D5327">
              <w:rPr>
                <w:rFonts w:eastAsia="Calibri" w:cs="Calibri"/>
                <w:b/>
                <w:sz w:val="20"/>
                <w:szCs w:val="20"/>
              </w:rPr>
              <w:t>-e</w:t>
            </w:r>
          </w:p>
        </w:tc>
        <w:tc>
          <w:tcPr>
            <w:tcW w:w="7092" w:type="dxa"/>
            <w:shd w:val="clear" w:color="auto" w:fill="auto"/>
          </w:tcPr>
          <w:p w14:paraId="6CAF051D"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carbon dioxide equivalent</w:t>
            </w:r>
          </w:p>
        </w:tc>
      </w:tr>
      <w:tr w:rsidR="00EB3528" w:rsidRPr="001D5327" w14:paraId="5A586537" w14:textId="77777777" w:rsidTr="00F95658">
        <w:tc>
          <w:tcPr>
            <w:tcW w:w="1526" w:type="dxa"/>
            <w:shd w:val="clear" w:color="auto" w:fill="auto"/>
          </w:tcPr>
          <w:p w14:paraId="4996B582"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CRA</w:t>
            </w:r>
          </w:p>
        </w:tc>
        <w:tc>
          <w:tcPr>
            <w:tcW w:w="7092" w:type="dxa"/>
            <w:shd w:val="clear" w:color="auto" w:fill="auto"/>
          </w:tcPr>
          <w:p w14:paraId="35BE232E"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Calculation and Reporting Application</w:t>
            </w:r>
          </w:p>
        </w:tc>
      </w:tr>
      <w:tr w:rsidR="00EB3528" w:rsidRPr="001D5327" w14:paraId="65F86326" w14:textId="77777777" w:rsidTr="00F95658">
        <w:tc>
          <w:tcPr>
            <w:tcW w:w="1526" w:type="dxa"/>
            <w:shd w:val="clear" w:color="auto" w:fill="auto"/>
          </w:tcPr>
          <w:p w14:paraId="0C2FD017"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 xml:space="preserve">CRF </w:t>
            </w:r>
          </w:p>
        </w:tc>
        <w:tc>
          <w:tcPr>
            <w:tcW w:w="7092" w:type="dxa"/>
            <w:shd w:val="clear" w:color="auto" w:fill="auto"/>
          </w:tcPr>
          <w:p w14:paraId="214EC56B"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common reporting format</w:t>
            </w:r>
          </w:p>
        </w:tc>
      </w:tr>
      <w:tr w:rsidR="00EB3528" w:rsidRPr="001D5327" w14:paraId="7C8E7157" w14:textId="77777777" w:rsidTr="00F95658">
        <w:tc>
          <w:tcPr>
            <w:tcW w:w="1526" w:type="dxa"/>
            <w:shd w:val="clear" w:color="auto" w:fill="auto"/>
          </w:tcPr>
          <w:p w14:paraId="05009B60"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CRT</w:t>
            </w:r>
          </w:p>
        </w:tc>
        <w:tc>
          <w:tcPr>
            <w:tcW w:w="7092" w:type="dxa"/>
            <w:shd w:val="clear" w:color="auto" w:fill="auto"/>
          </w:tcPr>
          <w:p w14:paraId="03555AF1"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common reporting table</w:t>
            </w:r>
          </w:p>
        </w:tc>
      </w:tr>
      <w:tr w:rsidR="00EB3528" w:rsidRPr="001D5327" w14:paraId="6733AB20" w14:textId="77777777" w:rsidTr="00F95658">
        <w:tc>
          <w:tcPr>
            <w:tcW w:w="1526" w:type="dxa"/>
            <w:shd w:val="clear" w:color="auto" w:fill="auto"/>
          </w:tcPr>
          <w:p w14:paraId="7F9F13BC" w14:textId="77777777" w:rsidR="00EB3528" w:rsidRPr="001D5327" w:rsidRDefault="00EB3528" w:rsidP="00F95658">
            <w:pPr>
              <w:pStyle w:val="BodyText"/>
              <w:spacing w:before="20" w:after="20" w:line="260" w:lineRule="atLeast"/>
              <w:rPr>
                <w:rFonts w:cs="Calibri"/>
                <w:b/>
                <w:bCs/>
                <w:sz w:val="20"/>
                <w:szCs w:val="20"/>
              </w:rPr>
            </w:pPr>
            <w:r w:rsidRPr="001D5327">
              <w:rPr>
                <w:rFonts w:cs="Calibri"/>
                <w:b/>
                <w:bCs/>
                <w:sz w:val="20"/>
                <w:szCs w:val="20"/>
              </w:rPr>
              <w:t>CSC</w:t>
            </w:r>
          </w:p>
        </w:tc>
        <w:tc>
          <w:tcPr>
            <w:tcW w:w="7092" w:type="dxa"/>
            <w:shd w:val="clear" w:color="auto" w:fill="auto"/>
          </w:tcPr>
          <w:p w14:paraId="14C51141" w14:textId="77777777" w:rsidR="00EB3528" w:rsidRPr="001D5327" w:rsidRDefault="00EB3528" w:rsidP="00F95658">
            <w:pPr>
              <w:pStyle w:val="BodyText"/>
              <w:spacing w:before="20" w:after="20" w:line="260" w:lineRule="atLeast"/>
              <w:rPr>
                <w:rFonts w:cs="Calibri"/>
                <w:sz w:val="20"/>
                <w:szCs w:val="20"/>
              </w:rPr>
            </w:pPr>
            <w:r w:rsidRPr="001D5327">
              <w:rPr>
                <w:rFonts w:cs="Calibri"/>
                <w:sz w:val="20"/>
                <w:szCs w:val="20"/>
              </w:rPr>
              <w:t>carbon stock change</w:t>
            </w:r>
          </w:p>
        </w:tc>
      </w:tr>
      <w:tr w:rsidR="00EB3528" w:rsidRPr="001D5327" w14:paraId="4C84CD55" w14:textId="77777777" w:rsidTr="00F95658">
        <w:tc>
          <w:tcPr>
            <w:tcW w:w="1526" w:type="dxa"/>
            <w:shd w:val="clear" w:color="auto" w:fill="auto"/>
          </w:tcPr>
          <w:p w14:paraId="4438D386" w14:textId="77777777" w:rsidR="00EB3528" w:rsidRPr="001D5327" w:rsidRDefault="00EB3528" w:rsidP="00F95658">
            <w:pPr>
              <w:pStyle w:val="BodyText"/>
              <w:spacing w:before="20" w:after="20" w:line="260" w:lineRule="atLeast"/>
              <w:rPr>
                <w:rFonts w:eastAsia="Calibri" w:cs="Calibri"/>
                <w:b/>
                <w:bCs/>
                <w:sz w:val="20"/>
                <w:szCs w:val="20"/>
              </w:rPr>
            </w:pPr>
            <w:r w:rsidRPr="001D5327">
              <w:rPr>
                <w:rFonts w:cs="Calibri"/>
                <w:b/>
                <w:bCs/>
                <w:sz w:val="20"/>
                <w:szCs w:val="20"/>
              </w:rPr>
              <w:t>CSIRO</w:t>
            </w:r>
          </w:p>
        </w:tc>
        <w:tc>
          <w:tcPr>
            <w:tcW w:w="7092" w:type="dxa"/>
            <w:shd w:val="clear" w:color="auto" w:fill="auto"/>
          </w:tcPr>
          <w:p w14:paraId="5317A0E8"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Commonwealth Scientific and Industrial Research Organisation</w:t>
            </w:r>
          </w:p>
        </w:tc>
      </w:tr>
      <w:tr w:rsidR="00EB3528" w:rsidRPr="001D5327" w14:paraId="4E5DC35E" w14:textId="77777777" w:rsidTr="00F95658">
        <w:tc>
          <w:tcPr>
            <w:tcW w:w="1526" w:type="dxa"/>
            <w:shd w:val="clear" w:color="auto" w:fill="auto"/>
          </w:tcPr>
          <w:p w14:paraId="1DC602AF" w14:textId="77777777" w:rsidR="00EB3528" w:rsidRPr="001D5327" w:rsidRDefault="00EB3528" w:rsidP="00F95658">
            <w:pPr>
              <w:pStyle w:val="BodyText"/>
              <w:spacing w:before="20" w:after="20" w:line="260" w:lineRule="atLeast"/>
              <w:rPr>
                <w:rFonts w:cs="Calibri"/>
                <w:b/>
                <w:bCs/>
                <w:sz w:val="20"/>
                <w:szCs w:val="20"/>
              </w:rPr>
            </w:pPr>
            <w:r w:rsidRPr="001D5327">
              <w:rPr>
                <w:rFonts w:cs="Calibri"/>
                <w:b/>
                <w:bCs/>
                <w:sz w:val="20"/>
                <w:szCs w:val="20"/>
              </w:rPr>
              <w:t>DAP</w:t>
            </w:r>
          </w:p>
        </w:tc>
        <w:tc>
          <w:tcPr>
            <w:tcW w:w="7092" w:type="dxa"/>
            <w:shd w:val="clear" w:color="auto" w:fill="auto"/>
          </w:tcPr>
          <w:p w14:paraId="5061AE05" w14:textId="77777777" w:rsidR="00EB3528" w:rsidRPr="001D5327" w:rsidRDefault="00EB3528" w:rsidP="00F95658">
            <w:pPr>
              <w:pStyle w:val="BodyText"/>
              <w:spacing w:before="20" w:after="20" w:line="260" w:lineRule="atLeast"/>
              <w:rPr>
                <w:rFonts w:cs="Calibri"/>
                <w:sz w:val="20"/>
                <w:szCs w:val="20"/>
              </w:rPr>
            </w:pPr>
            <w:r w:rsidRPr="001D5327">
              <w:rPr>
                <w:rFonts w:cs="Calibri"/>
                <w:sz w:val="20"/>
                <w:szCs w:val="20"/>
              </w:rPr>
              <w:t>diammonium phosphate</w:t>
            </w:r>
          </w:p>
        </w:tc>
      </w:tr>
      <w:tr w:rsidR="00EB3528" w:rsidRPr="001D5327" w14:paraId="12D228B5" w14:textId="77777777" w:rsidTr="00F95658">
        <w:tc>
          <w:tcPr>
            <w:tcW w:w="1526" w:type="dxa"/>
            <w:shd w:val="clear" w:color="auto" w:fill="auto"/>
          </w:tcPr>
          <w:p w14:paraId="7E1CC6E9"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DCD</w:t>
            </w:r>
          </w:p>
        </w:tc>
        <w:tc>
          <w:tcPr>
            <w:tcW w:w="7092" w:type="dxa"/>
            <w:shd w:val="clear" w:color="auto" w:fill="auto"/>
          </w:tcPr>
          <w:p w14:paraId="3107C9B6"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dicyandiamide</w:t>
            </w:r>
          </w:p>
        </w:tc>
      </w:tr>
      <w:tr w:rsidR="00EB3528" w:rsidRPr="001D5327" w14:paraId="77FE0685" w14:textId="77777777" w:rsidTr="00F95658">
        <w:tc>
          <w:tcPr>
            <w:tcW w:w="1526" w:type="dxa"/>
            <w:shd w:val="clear" w:color="auto" w:fill="auto"/>
          </w:tcPr>
          <w:p w14:paraId="23705636" w14:textId="77777777" w:rsidR="00EB3528" w:rsidRPr="001D5327" w:rsidRDefault="00EB3528" w:rsidP="00F95658">
            <w:pPr>
              <w:pStyle w:val="BodyText"/>
              <w:spacing w:before="20" w:after="20" w:line="260" w:lineRule="atLeast"/>
              <w:rPr>
                <w:rFonts w:eastAsia="Calibri" w:cs="Calibri"/>
                <w:b/>
                <w:bCs/>
                <w:sz w:val="20"/>
                <w:szCs w:val="20"/>
              </w:rPr>
            </w:pPr>
            <w:r w:rsidRPr="001D5327">
              <w:rPr>
                <w:rFonts w:cs="Calibri"/>
                <w:b/>
                <w:bCs/>
                <w:spacing w:val="-2"/>
                <w:sz w:val="20"/>
                <w:szCs w:val="20"/>
              </w:rPr>
              <w:t>DDOC</w:t>
            </w:r>
          </w:p>
        </w:tc>
        <w:tc>
          <w:tcPr>
            <w:tcW w:w="7092" w:type="dxa"/>
            <w:shd w:val="clear" w:color="auto" w:fill="auto"/>
          </w:tcPr>
          <w:p w14:paraId="27A820C6"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pacing w:val="-2"/>
                <w:sz w:val="20"/>
                <w:szCs w:val="20"/>
              </w:rPr>
              <w:t>decomposable degradable organic carbon</w:t>
            </w:r>
          </w:p>
        </w:tc>
      </w:tr>
      <w:tr w:rsidR="00EB3528" w:rsidRPr="001D5327" w14:paraId="39B91BC4" w14:textId="77777777" w:rsidTr="00F95658">
        <w:tc>
          <w:tcPr>
            <w:tcW w:w="1526" w:type="dxa"/>
            <w:shd w:val="clear" w:color="auto" w:fill="auto"/>
          </w:tcPr>
          <w:p w14:paraId="674D1E2A"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DEF</w:t>
            </w:r>
          </w:p>
        </w:tc>
        <w:tc>
          <w:tcPr>
            <w:tcW w:w="7092" w:type="dxa"/>
            <w:shd w:val="clear" w:color="auto" w:fill="auto"/>
          </w:tcPr>
          <w:p w14:paraId="148B2939"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diesel exhaust fluid</w:t>
            </w:r>
          </w:p>
        </w:tc>
      </w:tr>
      <w:tr w:rsidR="00EB3528" w:rsidRPr="001D5327" w14:paraId="5DE2588B" w14:textId="77777777" w:rsidTr="00F95658">
        <w:tc>
          <w:tcPr>
            <w:tcW w:w="1526" w:type="dxa"/>
            <w:shd w:val="clear" w:color="auto" w:fill="auto"/>
          </w:tcPr>
          <w:p w14:paraId="12CEA78B"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DM</w:t>
            </w:r>
          </w:p>
        </w:tc>
        <w:tc>
          <w:tcPr>
            <w:tcW w:w="7092" w:type="dxa"/>
            <w:shd w:val="clear" w:color="auto" w:fill="auto"/>
          </w:tcPr>
          <w:p w14:paraId="1CFE2BC8"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dry matter</w:t>
            </w:r>
          </w:p>
        </w:tc>
      </w:tr>
      <w:tr w:rsidR="00EB3528" w:rsidRPr="001D5327" w14:paraId="49AD578F" w14:textId="77777777" w:rsidTr="00F95658">
        <w:tc>
          <w:tcPr>
            <w:tcW w:w="1526" w:type="dxa"/>
            <w:shd w:val="clear" w:color="auto" w:fill="auto"/>
          </w:tcPr>
          <w:p w14:paraId="4F6BB1E0"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DMD</w:t>
            </w:r>
          </w:p>
        </w:tc>
        <w:tc>
          <w:tcPr>
            <w:tcW w:w="7092" w:type="dxa"/>
            <w:shd w:val="clear" w:color="auto" w:fill="auto"/>
          </w:tcPr>
          <w:p w14:paraId="7193AEFF"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dry-matter digestibility</w:t>
            </w:r>
          </w:p>
        </w:tc>
      </w:tr>
      <w:tr w:rsidR="00EB3528" w:rsidRPr="001D5327" w14:paraId="526AC41B" w14:textId="77777777" w:rsidTr="00F95658">
        <w:tc>
          <w:tcPr>
            <w:tcW w:w="1526" w:type="dxa"/>
            <w:shd w:val="clear" w:color="auto" w:fill="auto"/>
          </w:tcPr>
          <w:p w14:paraId="1A04EA95" w14:textId="77777777" w:rsidR="00EB3528" w:rsidRPr="00D420CC" w:rsidRDefault="00EB3528" w:rsidP="00F95658">
            <w:pPr>
              <w:pStyle w:val="BodyText"/>
              <w:spacing w:before="20" w:after="20" w:line="260" w:lineRule="atLeast"/>
              <w:rPr>
                <w:rFonts w:eastAsia="Calibri" w:cs="Calibri"/>
                <w:b/>
                <w:bCs/>
                <w:sz w:val="20"/>
                <w:szCs w:val="20"/>
              </w:rPr>
            </w:pPr>
            <w:r w:rsidRPr="00D420CC">
              <w:rPr>
                <w:rFonts w:cs="Calibri"/>
                <w:b/>
                <w:bCs/>
                <w:sz w:val="20"/>
                <w:szCs w:val="20"/>
              </w:rPr>
              <w:t>dmf</w:t>
            </w:r>
          </w:p>
        </w:tc>
        <w:tc>
          <w:tcPr>
            <w:tcW w:w="7092" w:type="dxa"/>
            <w:shd w:val="clear" w:color="auto" w:fill="auto"/>
          </w:tcPr>
          <w:p w14:paraId="49A8239B"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dry-matter conversion factor</w:t>
            </w:r>
          </w:p>
        </w:tc>
      </w:tr>
      <w:tr w:rsidR="00EB3528" w:rsidRPr="001D5327" w14:paraId="63457048" w14:textId="77777777" w:rsidTr="00F95658">
        <w:tc>
          <w:tcPr>
            <w:tcW w:w="1526" w:type="dxa"/>
            <w:shd w:val="clear" w:color="auto" w:fill="auto"/>
          </w:tcPr>
          <w:p w14:paraId="64F20EA2"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DMI</w:t>
            </w:r>
          </w:p>
        </w:tc>
        <w:tc>
          <w:tcPr>
            <w:tcW w:w="7092" w:type="dxa"/>
            <w:shd w:val="clear" w:color="auto" w:fill="auto"/>
          </w:tcPr>
          <w:p w14:paraId="352839FD"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dry-matter intake</w:t>
            </w:r>
          </w:p>
        </w:tc>
      </w:tr>
      <w:tr w:rsidR="00EB3528" w:rsidRPr="001D5327" w14:paraId="1E6F3071" w14:textId="77777777" w:rsidTr="00F95658">
        <w:tc>
          <w:tcPr>
            <w:tcW w:w="1526" w:type="dxa"/>
            <w:shd w:val="clear" w:color="auto" w:fill="auto"/>
          </w:tcPr>
          <w:p w14:paraId="79F15E08"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cs="Calibri"/>
                <w:b/>
                <w:sz w:val="20"/>
                <w:szCs w:val="20"/>
              </w:rPr>
              <w:t>DOC</w:t>
            </w:r>
          </w:p>
        </w:tc>
        <w:tc>
          <w:tcPr>
            <w:tcW w:w="7092" w:type="dxa"/>
            <w:shd w:val="clear" w:color="auto" w:fill="auto"/>
          </w:tcPr>
          <w:p w14:paraId="3BB15DFB"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degradable organic carbon</w:t>
            </w:r>
          </w:p>
        </w:tc>
      </w:tr>
      <w:tr w:rsidR="00EB3528" w:rsidRPr="001D5327" w14:paraId="374F018B" w14:textId="77777777" w:rsidTr="00F95658">
        <w:tc>
          <w:tcPr>
            <w:tcW w:w="1526" w:type="dxa"/>
            <w:shd w:val="clear" w:color="auto" w:fill="auto"/>
          </w:tcPr>
          <w:p w14:paraId="2AA212C1" w14:textId="77777777" w:rsidR="00EB3528" w:rsidRPr="001D5327" w:rsidRDefault="00EB3528" w:rsidP="00F95658">
            <w:pPr>
              <w:pStyle w:val="BodyText"/>
              <w:spacing w:before="20" w:after="20" w:line="260" w:lineRule="atLeast"/>
              <w:rPr>
                <w:rFonts w:cs="Calibri"/>
                <w:b/>
                <w:bCs/>
                <w:sz w:val="20"/>
                <w:szCs w:val="20"/>
              </w:rPr>
            </w:pPr>
            <w:r w:rsidRPr="001D5327">
              <w:rPr>
                <w:rFonts w:cs="Calibri"/>
                <w:b/>
                <w:bCs/>
                <w:sz w:val="20"/>
                <w:szCs w:val="20"/>
              </w:rPr>
              <w:t>DOCf</w:t>
            </w:r>
          </w:p>
        </w:tc>
        <w:tc>
          <w:tcPr>
            <w:tcW w:w="7092" w:type="dxa"/>
            <w:shd w:val="clear" w:color="auto" w:fill="auto"/>
          </w:tcPr>
          <w:p w14:paraId="26B63654" w14:textId="77777777" w:rsidR="00EB3528" w:rsidRPr="001D5327" w:rsidRDefault="00EB3528" w:rsidP="00F95658">
            <w:pPr>
              <w:pStyle w:val="BodyText"/>
              <w:spacing w:before="20" w:after="20" w:line="260" w:lineRule="atLeast"/>
              <w:rPr>
                <w:rFonts w:cs="Calibri"/>
                <w:sz w:val="20"/>
                <w:szCs w:val="20"/>
              </w:rPr>
            </w:pPr>
            <w:r w:rsidRPr="001D5327">
              <w:rPr>
                <w:rFonts w:cs="Calibri"/>
                <w:sz w:val="20"/>
                <w:szCs w:val="20"/>
              </w:rPr>
              <w:t>fraction of degradable organic carbon</w:t>
            </w:r>
          </w:p>
        </w:tc>
      </w:tr>
      <w:tr w:rsidR="00EB3528" w:rsidRPr="001D5327" w14:paraId="12F708DB" w14:textId="77777777" w:rsidTr="00F95658">
        <w:tc>
          <w:tcPr>
            <w:tcW w:w="1526" w:type="dxa"/>
            <w:shd w:val="clear" w:color="auto" w:fill="auto"/>
          </w:tcPr>
          <w:p w14:paraId="6CFB00D8"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DPFI</w:t>
            </w:r>
          </w:p>
        </w:tc>
        <w:tc>
          <w:tcPr>
            <w:tcW w:w="7092" w:type="dxa"/>
            <w:shd w:val="clear" w:color="auto" w:fill="auto"/>
          </w:tcPr>
          <w:p w14:paraId="745C4604"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Delivery of Petroleum Fuels by Industry survey</w:t>
            </w:r>
          </w:p>
        </w:tc>
      </w:tr>
      <w:tr w:rsidR="00EB3528" w:rsidRPr="001D5327" w14:paraId="057F0F05" w14:textId="77777777" w:rsidTr="00F95658">
        <w:tc>
          <w:tcPr>
            <w:tcW w:w="1526" w:type="dxa"/>
            <w:shd w:val="clear" w:color="auto" w:fill="auto"/>
          </w:tcPr>
          <w:p w14:paraId="2A1B87B6"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EEZ</w:t>
            </w:r>
          </w:p>
        </w:tc>
        <w:tc>
          <w:tcPr>
            <w:tcW w:w="7092" w:type="dxa"/>
            <w:shd w:val="clear" w:color="auto" w:fill="auto"/>
          </w:tcPr>
          <w:p w14:paraId="7D3215E6"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Exclusive Economic Zone</w:t>
            </w:r>
          </w:p>
        </w:tc>
      </w:tr>
      <w:tr w:rsidR="00EB3528" w:rsidRPr="001D5327" w14:paraId="7E6BF6EB" w14:textId="77777777" w:rsidTr="00F95658">
        <w:tc>
          <w:tcPr>
            <w:tcW w:w="1526" w:type="dxa"/>
            <w:shd w:val="clear" w:color="auto" w:fill="auto"/>
          </w:tcPr>
          <w:p w14:paraId="766FED08"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lastRenderedPageBreak/>
              <w:t xml:space="preserve">EF </w:t>
            </w:r>
          </w:p>
        </w:tc>
        <w:tc>
          <w:tcPr>
            <w:tcW w:w="7092" w:type="dxa"/>
            <w:shd w:val="clear" w:color="auto" w:fill="auto"/>
          </w:tcPr>
          <w:p w14:paraId="3EE55147"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emission factor</w:t>
            </w:r>
          </w:p>
        </w:tc>
      </w:tr>
      <w:tr w:rsidR="00EB3528" w:rsidRPr="001D5327" w14:paraId="360681C3" w14:textId="77777777" w:rsidTr="00F95658">
        <w:tc>
          <w:tcPr>
            <w:tcW w:w="1526" w:type="dxa"/>
            <w:shd w:val="clear" w:color="auto" w:fill="auto"/>
          </w:tcPr>
          <w:p w14:paraId="0EEC8551"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EF</w:t>
            </w:r>
            <w:r w:rsidRPr="001D5327">
              <w:rPr>
                <w:rFonts w:eastAsia="Calibri" w:cs="Calibri"/>
                <w:b/>
                <w:sz w:val="20"/>
                <w:szCs w:val="20"/>
                <w:vertAlign w:val="subscript"/>
              </w:rPr>
              <w:t>3</w:t>
            </w:r>
          </w:p>
        </w:tc>
        <w:tc>
          <w:tcPr>
            <w:tcW w:w="7092" w:type="dxa"/>
            <w:shd w:val="clear" w:color="auto" w:fill="auto"/>
          </w:tcPr>
          <w:p w14:paraId="22C3364A"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emission factor for N</w:t>
            </w:r>
            <w:r w:rsidRPr="001D5327">
              <w:rPr>
                <w:rFonts w:cs="Calibri"/>
                <w:sz w:val="20"/>
                <w:szCs w:val="20"/>
                <w:vertAlign w:val="subscript"/>
              </w:rPr>
              <w:t>2</w:t>
            </w:r>
            <w:r w:rsidRPr="001D5327">
              <w:rPr>
                <w:rFonts w:cs="Calibri"/>
                <w:sz w:val="20"/>
                <w:szCs w:val="20"/>
              </w:rPr>
              <w:t>O emissions from urine and dung nitrogen</w:t>
            </w:r>
          </w:p>
        </w:tc>
      </w:tr>
      <w:tr w:rsidR="00EB3528" w:rsidRPr="001D5327" w14:paraId="17B75A23" w14:textId="77777777" w:rsidTr="00F95658">
        <w:tc>
          <w:tcPr>
            <w:tcW w:w="1526" w:type="dxa"/>
            <w:shd w:val="clear" w:color="auto" w:fill="auto"/>
          </w:tcPr>
          <w:p w14:paraId="32ACD741" w14:textId="77777777" w:rsidR="00EB3528" w:rsidRPr="001D5327" w:rsidRDefault="00EB3528" w:rsidP="00F95658">
            <w:pPr>
              <w:pStyle w:val="BodyText"/>
              <w:spacing w:before="20" w:after="20" w:line="260" w:lineRule="atLeast"/>
              <w:rPr>
                <w:rFonts w:eastAsia="Calibri" w:cs="Calibri"/>
                <w:b/>
                <w:bCs/>
                <w:sz w:val="20"/>
                <w:szCs w:val="20"/>
              </w:rPr>
            </w:pPr>
            <w:r w:rsidRPr="001D5327">
              <w:rPr>
                <w:rFonts w:cs="Calibri"/>
                <w:b/>
                <w:bCs/>
                <w:sz w:val="20"/>
                <w:szCs w:val="20"/>
              </w:rPr>
              <w:t>EF</w:t>
            </w:r>
            <w:r w:rsidRPr="001D5327">
              <w:rPr>
                <w:rFonts w:cs="Calibri"/>
                <w:b/>
                <w:bCs/>
                <w:sz w:val="20"/>
                <w:szCs w:val="20"/>
                <w:vertAlign w:val="subscript"/>
              </w:rPr>
              <w:t>3,PRP</w:t>
            </w:r>
          </w:p>
        </w:tc>
        <w:tc>
          <w:tcPr>
            <w:tcW w:w="7092" w:type="dxa"/>
            <w:shd w:val="clear" w:color="auto" w:fill="auto"/>
          </w:tcPr>
          <w:p w14:paraId="2BCAA20B"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emission factor for N</w:t>
            </w:r>
            <w:r w:rsidRPr="001D5327">
              <w:rPr>
                <w:rFonts w:cs="Calibri"/>
                <w:sz w:val="20"/>
                <w:szCs w:val="20"/>
                <w:vertAlign w:val="subscript"/>
              </w:rPr>
              <w:t>2</w:t>
            </w:r>
            <w:r w:rsidRPr="001D5327">
              <w:rPr>
                <w:rFonts w:cs="Calibri"/>
                <w:sz w:val="20"/>
                <w:szCs w:val="20"/>
              </w:rPr>
              <w:t>O emissions from urine and dung nitrogen deposited on pasture, range and paddock by grazing animals</w:t>
            </w:r>
          </w:p>
        </w:tc>
      </w:tr>
      <w:tr w:rsidR="00EB3528" w:rsidRPr="001D5327" w14:paraId="2B846DAB" w14:textId="77777777" w:rsidTr="00F95658">
        <w:tc>
          <w:tcPr>
            <w:tcW w:w="1526" w:type="dxa"/>
            <w:shd w:val="clear" w:color="auto" w:fill="auto"/>
          </w:tcPr>
          <w:p w14:paraId="7009B7E5"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EPA</w:t>
            </w:r>
          </w:p>
        </w:tc>
        <w:tc>
          <w:tcPr>
            <w:tcW w:w="7092" w:type="dxa"/>
            <w:shd w:val="clear" w:color="auto" w:fill="auto"/>
          </w:tcPr>
          <w:p w14:paraId="3FE0BB76"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Environmental Protection Authority</w:t>
            </w:r>
          </w:p>
        </w:tc>
      </w:tr>
      <w:tr w:rsidR="00EB3528" w:rsidRPr="001D5327" w14:paraId="1985FEF8" w14:textId="77777777" w:rsidTr="00F95658">
        <w:tc>
          <w:tcPr>
            <w:tcW w:w="1526" w:type="dxa"/>
            <w:shd w:val="clear" w:color="auto" w:fill="auto"/>
          </w:tcPr>
          <w:p w14:paraId="126FFDC2"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 xml:space="preserve">ERT </w:t>
            </w:r>
          </w:p>
        </w:tc>
        <w:tc>
          <w:tcPr>
            <w:tcW w:w="7092" w:type="dxa"/>
            <w:shd w:val="clear" w:color="auto" w:fill="auto"/>
          </w:tcPr>
          <w:p w14:paraId="6D66BDA3"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expert review team</w:t>
            </w:r>
          </w:p>
        </w:tc>
      </w:tr>
      <w:tr w:rsidR="00EB3528" w:rsidRPr="005630B3" w14:paraId="69BF0801" w14:textId="77777777" w:rsidTr="00F95658">
        <w:tc>
          <w:tcPr>
            <w:tcW w:w="1526" w:type="dxa"/>
            <w:shd w:val="clear" w:color="auto" w:fill="auto"/>
          </w:tcPr>
          <w:p w14:paraId="4493212C" w14:textId="77777777" w:rsidR="00EB3528" w:rsidRPr="005630B3" w:rsidRDefault="00EB3528" w:rsidP="00F95658">
            <w:pPr>
              <w:pStyle w:val="BodyText"/>
              <w:spacing w:before="20" w:after="20" w:line="260" w:lineRule="atLeast"/>
              <w:rPr>
                <w:rFonts w:eastAsia="Calibri" w:cs="Calibri"/>
                <w:b/>
                <w:sz w:val="20"/>
                <w:szCs w:val="20"/>
              </w:rPr>
            </w:pPr>
            <w:r w:rsidRPr="005630B3">
              <w:rPr>
                <w:rFonts w:eastAsia="Calibri" w:cs="Calibri"/>
                <w:b/>
                <w:sz w:val="20"/>
                <w:szCs w:val="20"/>
              </w:rPr>
              <w:t>ETF</w:t>
            </w:r>
          </w:p>
        </w:tc>
        <w:tc>
          <w:tcPr>
            <w:tcW w:w="7092" w:type="dxa"/>
            <w:shd w:val="clear" w:color="auto" w:fill="auto"/>
          </w:tcPr>
          <w:p w14:paraId="5B6C6DD9" w14:textId="77777777" w:rsidR="00EB3528" w:rsidRPr="005630B3" w:rsidRDefault="00EB3528" w:rsidP="00F95658">
            <w:pPr>
              <w:pStyle w:val="BodyText"/>
              <w:spacing w:before="20" w:after="20" w:line="260" w:lineRule="atLeast"/>
              <w:rPr>
                <w:rFonts w:eastAsia="Calibri" w:cs="Calibri"/>
                <w:sz w:val="20"/>
                <w:szCs w:val="20"/>
              </w:rPr>
            </w:pPr>
            <w:r w:rsidRPr="005630B3">
              <w:rPr>
                <w:rFonts w:eastAsia="Calibri" w:cs="Calibri"/>
                <w:sz w:val="20"/>
                <w:szCs w:val="20"/>
              </w:rPr>
              <w:t>Enhanced Transparency Framework</w:t>
            </w:r>
          </w:p>
        </w:tc>
      </w:tr>
      <w:tr w:rsidR="00EB3528" w:rsidRPr="001D5327" w14:paraId="1A26BE2A" w14:textId="77777777" w:rsidTr="00F95658">
        <w:tc>
          <w:tcPr>
            <w:tcW w:w="1526" w:type="dxa"/>
            <w:shd w:val="clear" w:color="auto" w:fill="auto"/>
          </w:tcPr>
          <w:p w14:paraId="60A2F6F6"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ETS</w:t>
            </w:r>
          </w:p>
        </w:tc>
        <w:tc>
          <w:tcPr>
            <w:tcW w:w="7092" w:type="dxa"/>
            <w:shd w:val="clear" w:color="auto" w:fill="auto"/>
          </w:tcPr>
          <w:p w14:paraId="66E92B15"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Emissions Trading Scheme</w:t>
            </w:r>
          </w:p>
        </w:tc>
      </w:tr>
      <w:tr w:rsidR="00EB3528" w:rsidRPr="001D5327" w14:paraId="34BC99B7" w14:textId="77777777" w:rsidTr="00F95658">
        <w:tc>
          <w:tcPr>
            <w:tcW w:w="1526" w:type="dxa"/>
            <w:shd w:val="clear" w:color="auto" w:fill="auto"/>
          </w:tcPr>
          <w:p w14:paraId="5B5A1C8F"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FAME</w:t>
            </w:r>
          </w:p>
        </w:tc>
        <w:tc>
          <w:tcPr>
            <w:tcW w:w="7092" w:type="dxa"/>
            <w:shd w:val="clear" w:color="auto" w:fill="auto"/>
          </w:tcPr>
          <w:p w14:paraId="2B0688D8"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fatty acid methyl ester</w:t>
            </w:r>
          </w:p>
        </w:tc>
      </w:tr>
      <w:tr w:rsidR="00EB3528" w:rsidRPr="001D5327" w14:paraId="6DFB834C" w14:textId="77777777" w:rsidTr="00F95658">
        <w:tc>
          <w:tcPr>
            <w:tcW w:w="1526" w:type="dxa"/>
            <w:shd w:val="clear" w:color="auto" w:fill="auto"/>
          </w:tcPr>
          <w:p w14:paraId="4261D3C0"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 xml:space="preserve">FAOSTAT </w:t>
            </w:r>
          </w:p>
        </w:tc>
        <w:tc>
          <w:tcPr>
            <w:tcW w:w="7092" w:type="dxa"/>
            <w:shd w:val="clear" w:color="auto" w:fill="auto"/>
          </w:tcPr>
          <w:p w14:paraId="3E055786"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Database produced by the Statistics Division of the Food and Agriculture Organization of the United Nations</w:t>
            </w:r>
          </w:p>
        </w:tc>
      </w:tr>
      <w:tr w:rsidR="00EB3528" w:rsidRPr="001D5327" w14:paraId="026AB23E" w14:textId="77777777" w:rsidTr="00F95658">
        <w:tc>
          <w:tcPr>
            <w:tcW w:w="1526" w:type="dxa"/>
            <w:shd w:val="clear" w:color="auto" w:fill="auto"/>
          </w:tcPr>
          <w:p w14:paraId="64E8EFB8"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FDM</w:t>
            </w:r>
          </w:p>
        </w:tc>
        <w:tc>
          <w:tcPr>
            <w:tcW w:w="7092" w:type="dxa"/>
            <w:shd w:val="clear" w:color="auto" w:fill="auto"/>
          </w:tcPr>
          <w:p w14:paraId="57416273"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faecal dry matter</w:t>
            </w:r>
          </w:p>
        </w:tc>
      </w:tr>
      <w:tr w:rsidR="00EB3528" w:rsidRPr="001D5327" w14:paraId="561F27C9" w14:textId="77777777" w:rsidTr="00F95658">
        <w:tc>
          <w:tcPr>
            <w:tcW w:w="1526" w:type="dxa"/>
            <w:shd w:val="clear" w:color="auto" w:fill="auto"/>
          </w:tcPr>
          <w:p w14:paraId="5244AD8B"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FENZ</w:t>
            </w:r>
          </w:p>
        </w:tc>
        <w:tc>
          <w:tcPr>
            <w:tcW w:w="7092" w:type="dxa"/>
            <w:shd w:val="clear" w:color="auto" w:fill="auto"/>
          </w:tcPr>
          <w:p w14:paraId="2FC2901B"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Fire and Emergency New Zealand</w:t>
            </w:r>
          </w:p>
        </w:tc>
      </w:tr>
      <w:tr w:rsidR="00EB3528" w:rsidRPr="001D5327" w14:paraId="045F0256" w14:textId="77777777" w:rsidTr="00F95658">
        <w:tc>
          <w:tcPr>
            <w:tcW w:w="1526" w:type="dxa"/>
            <w:shd w:val="clear" w:color="auto" w:fill="auto"/>
          </w:tcPr>
          <w:p w14:paraId="04462AE8"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F-gases</w:t>
            </w:r>
          </w:p>
        </w:tc>
        <w:tc>
          <w:tcPr>
            <w:tcW w:w="7092" w:type="dxa"/>
            <w:shd w:val="clear" w:color="auto" w:fill="auto"/>
          </w:tcPr>
          <w:p w14:paraId="12E8B471" w14:textId="77777777" w:rsidR="00EB3528" w:rsidRPr="001D5327" w:rsidRDefault="00EB3528" w:rsidP="00F95658">
            <w:pPr>
              <w:pStyle w:val="BodyText"/>
              <w:spacing w:before="20" w:after="20" w:line="260" w:lineRule="atLeast"/>
              <w:rPr>
                <w:rFonts w:cs="Calibri"/>
                <w:sz w:val="20"/>
                <w:szCs w:val="20"/>
              </w:rPr>
            </w:pPr>
            <w:r w:rsidRPr="001D5327">
              <w:rPr>
                <w:rFonts w:cs="Calibri"/>
                <w:sz w:val="20"/>
                <w:szCs w:val="20"/>
              </w:rPr>
              <w:t>fluorinated gases</w:t>
            </w:r>
          </w:p>
        </w:tc>
      </w:tr>
      <w:tr w:rsidR="00EB3528" w:rsidRPr="001D5327" w14:paraId="25B548E2" w14:textId="77777777" w:rsidTr="00F95658">
        <w:tc>
          <w:tcPr>
            <w:tcW w:w="1526" w:type="dxa"/>
            <w:shd w:val="clear" w:color="auto" w:fill="auto"/>
          </w:tcPr>
          <w:p w14:paraId="4BE941F5"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FOD</w:t>
            </w:r>
          </w:p>
        </w:tc>
        <w:tc>
          <w:tcPr>
            <w:tcW w:w="7092" w:type="dxa"/>
            <w:shd w:val="clear" w:color="auto" w:fill="auto"/>
          </w:tcPr>
          <w:p w14:paraId="4E942DFE"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 xml:space="preserve">first order decay </w:t>
            </w:r>
          </w:p>
        </w:tc>
      </w:tr>
      <w:tr w:rsidR="00EB3528" w:rsidRPr="001D5327" w14:paraId="5A0152C7" w14:textId="77777777" w:rsidTr="00F95658">
        <w:tc>
          <w:tcPr>
            <w:tcW w:w="1526" w:type="dxa"/>
            <w:shd w:val="clear" w:color="auto" w:fill="auto"/>
          </w:tcPr>
          <w:p w14:paraId="36B9D740"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FRL</w:t>
            </w:r>
          </w:p>
        </w:tc>
        <w:tc>
          <w:tcPr>
            <w:tcW w:w="7092" w:type="dxa"/>
            <w:shd w:val="clear" w:color="auto" w:fill="auto"/>
          </w:tcPr>
          <w:p w14:paraId="1283813A"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forest reference level</w:t>
            </w:r>
          </w:p>
        </w:tc>
      </w:tr>
      <w:tr w:rsidR="00EB3528" w:rsidRPr="001D5327" w14:paraId="205CF20C" w14:textId="77777777" w:rsidTr="00F95658">
        <w:tc>
          <w:tcPr>
            <w:tcW w:w="1526" w:type="dxa"/>
            <w:shd w:val="clear" w:color="auto" w:fill="auto"/>
          </w:tcPr>
          <w:p w14:paraId="7FD18BC8"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GDP</w:t>
            </w:r>
          </w:p>
        </w:tc>
        <w:tc>
          <w:tcPr>
            <w:tcW w:w="7092" w:type="dxa"/>
            <w:shd w:val="clear" w:color="auto" w:fill="auto"/>
          </w:tcPr>
          <w:p w14:paraId="24EC82A6"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gross domestic product</w:t>
            </w:r>
          </w:p>
        </w:tc>
      </w:tr>
      <w:tr w:rsidR="00EB3528" w:rsidRPr="001D5327" w14:paraId="30E122A6" w14:textId="77777777" w:rsidTr="00F95658">
        <w:tc>
          <w:tcPr>
            <w:tcW w:w="1526" w:type="dxa"/>
            <w:shd w:val="clear" w:color="auto" w:fill="auto"/>
          </w:tcPr>
          <w:p w14:paraId="28BE84BC"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GEI</w:t>
            </w:r>
          </w:p>
        </w:tc>
        <w:tc>
          <w:tcPr>
            <w:tcW w:w="7092" w:type="dxa"/>
            <w:shd w:val="clear" w:color="auto" w:fill="auto"/>
          </w:tcPr>
          <w:p w14:paraId="2FF6F9FD"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gross energy intake</w:t>
            </w:r>
          </w:p>
        </w:tc>
      </w:tr>
      <w:tr w:rsidR="00EB3528" w:rsidRPr="001D5327" w14:paraId="3838EB89" w14:textId="77777777" w:rsidTr="00F95658">
        <w:tc>
          <w:tcPr>
            <w:tcW w:w="1526" w:type="dxa"/>
            <w:shd w:val="clear" w:color="auto" w:fill="auto"/>
          </w:tcPr>
          <w:p w14:paraId="47FAF593"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Gg</w:t>
            </w:r>
          </w:p>
        </w:tc>
        <w:tc>
          <w:tcPr>
            <w:tcW w:w="7092" w:type="dxa"/>
            <w:shd w:val="clear" w:color="auto" w:fill="auto"/>
          </w:tcPr>
          <w:p w14:paraId="01ABD5E2"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gigagram(s)</w:t>
            </w:r>
          </w:p>
        </w:tc>
      </w:tr>
      <w:tr w:rsidR="00EB3528" w:rsidRPr="001D5327" w14:paraId="1A369DE1" w14:textId="77777777" w:rsidTr="00F95658">
        <w:tc>
          <w:tcPr>
            <w:tcW w:w="1526" w:type="dxa"/>
            <w:shd w:val="clear" w:color="auto" w:fill="auto"/>
          </w:tcPr>
          <w:p w14:paraId="7AB0B598"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GHG</w:t>
            </w:r>
          </w:p>
        </w:tc>
        <w:tc>
          <w:tcPr>
            <w:tcW w:w="7092" w:type="dxa"/>
            <w:shd w:val="clear" w:color="auto" w:fill="auto"/>
          </w:tcPr>
          <w:p w14:paraId="68337C5B"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greenhouse gas</w:t>
            </w:r>
          </w:p>
        </w:tc>
      </w:tr>
      <w:tr w:rsidR="00EB3528" w:rsidRPr="001D5327" w14:paraId="2D3B50DE" w14:textId="77777777" w:rsidTr="00F95658">
        <w:tc>
          <w:tcPr>
            <w:tcW w:w="1526" w:type="dxa"/>
            <w:shd w:val="clear" w:color="auto" w:fill="auto"/>
          </w:tcPr>
          <w:p w14:paraId="3C538D04"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GIS</w:t>
            </w:r>
          </w:p>
        </w:tc>
        <w:tc>
          <w:tcPr>
            <w:tcW w:w="7092" w:type="dxa"/>
            <w:shd w:val="clear" w:color="auto" w:fill="auto"/>
          </w:tcPr>
          <w:p w14:paraId="6C55A8D8"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geographic information system</w:t>
            </w:r>
          </w:p>
        </w:tc>
      </w:tr>
      <w:tr w:rsidR="00EB3528" w:rsidRPr="001D5327" w14:paraId="109171F5" w14:textId="77777777" w:rsidTr="00F95658">
        <w:tc>
          <w:tcPr>
            <w:tcW w:w="1526" w:type="dxa"/>
            <w:shd w:val="clear" w:color="auto" w:fill="auto"/>
          </w:tcPr>
          <w:p w14:paraId="579A2BCA"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GJ</w:t>
            </w:r>
          </w:p>
        </w:tc>
        <w:tc>
          <w:tcPr>
            <w:tcW w:w="7092" w:type="dxa"/>
            <w:shd w:val="clear" w:color="auto" w:fill="auto"/>
          </w:tcPr>
          <w:p w14:paraId="508EC7BD"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gigajoule(s)</w:t>
            </w:r>
          </w:p>
        </w:tc>
      </w:tr>
      <w:tr w:rsidR="00EB3528" w:rsidRPr="001D5327" w14:paraId="58D16218" w14:textId="77777777" w:rsidTr="00F95658">
        <w:tc>
          <w:tcPr>
            <w:tcW w:w="1526" w:type="dxa"/>
            <w:shd w:val="clear" w:color="auto" w:fill="auto"/>
          </w:tcPr>
          <w:p w14:paraId="36CD84BE" w14:textId="77777777" w:rsidR="00EB3528" w:rsidRPr="001D5327" w:rsidRDefault="00EB3528" w:rsidP="00F95658">
            <w:pPr>
              <w:pStyle w:val="BodyText"/>
              <w:spacing w:before="20" w:after="20" w:line="260" w:lineRule="atLeast"/>
              <w:rPr>
                <w:rFonts w:cs="Calibri"/>
                <w:b/>
                <w:sz w:val="20"/>
                <w:szCs w:val="20"/>
              </w:rPr>
            </w:pPr>
            <w:r w:rsidRPr="001D5327">
              <w:rPr>
                <w:rFonts w:cs="Calibri"/>
                <w:b/>
                <w:sz w:val="20"/>
                <w:szCs w:val="20"/>
              </w:rPr>
              <w:t>GPS</w:t>
            </w:r>
          </w:p>
        </w:tc>
        <w:tc>
          <w:tcPr>
            <w:tcW w:w="7092" w:type="dxa"/>
            <w:shd w:val="clear" w:color="auto" w:fill="auto"/>
          </w:tcPr>
          <w:p w14:paraId="056A4478"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global positioning system</w:t>
            </w:r>
          </w:p>
        </w:tc>
      </w:tr>
      <w:tr w:rsidR="00EB3528" w:rsidRPr="001D5327" w14:paraId="7CA02850" w14:textId="77777777" w:rsidTr="00F95658">
        <w:tc>
          <w:tcPr>
            <w:tcW w:w="1526" w:type="dxa"/>
            <w:shd w:val="clear" w:color="auto" w:fill="auto"/>
          </w:tcPr>
          <w:p w14:paraId="73AD1CE4" w14:textId="77777777" w:rsidR="00EB3528" w:rsidRPr="001D5327" w:rsidRDefault="00EB3528" w:rsidP="00F95658">
            <w:pPr>
              <w:pStyle w:val="BodyText"/>
              <w:spacing w:before="20" w:after="20" w:line="260" w:lineRule="atLeast"/>
              <w:rPr>
                <w:rFonts w:cs="Calibri"/>
                <w:b/>
                <w:sz w:val="20"/>
                <w:szCs w:val="20"/>
              </w:rPr>
            </w:pPr>
            <w:r w:rsidRPr="001D5327">
              <w:rPr>
                <w:rFonts w:cs="Calibri"/>
                <w:b/>
                <w:sz w:val="20"/>
                <w:szCs w:val="20"/>
              </w:rPr>
              <w:t>GRA</w:t>
            </w:r>
          </w:p>
        </w:tc>
        <w:tc>
          <w:tcPr>
            <w:tcW w:w="7092" w:type="dxa"/>
            <w:shd w:val="clear" w:color="auto" w:fill="auto"/>
          </w:tcPr>
          <w:p w14:paraId="533A3F6D"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Global Research Alliance on Agricultural Greenhouse Gases</w:t>
            </w:r>
          </w:p>
        </w:tc>
      </w:tr>
      <w:tr w:rsidR="00EB3528" w:rsidRPr="001D5327" w14:paraId="091652BE" w14:textId="77777777" w:rsidTr="00F95658">
        <w:tc>
          <w:tcPr>
            <w:tcW w:w="1526" w:type="dxa"/>
            <w:shd w:val="clear" w:color="auto" w:fill="auto"/>
          </w:tcPr>
          <w:p w14:paraId="27377E99" w14:textId="77777777" w:rsidR="00EB3528" w:rsidRPr="001D5327" w:rsidRDefault="00EB3528" w:rsidP="00F95658">
            <w:pPr>
              <w:pStyle w:val="BodyText"/>
              <w:spacing w:before="20" w:after="20" w:line="260" w:lineRule="atLeast"/>
              <w:rPr>
                <w:rFonts w:cs="Calibri"/>
                <w:b/>
                <w:sz w:val="20"/>
                <w:szCs w:val="20"/>
              </w:rPr>
            </w:pPr>
            <w:r w:rsidRPr="001D5327">
              <w:rPr>
                <w:rFonts w:cs="Calibri"/>
                <w:b/>
                <w:sz w:val="20"/>
                <w:szCs w:val="20"/>
              </w:rPr>
              <w:t>GST</w:t>
            </w:r>
          </w:p>
        </w:tc>
        <w:tc>
          <w:tcPr>
            <w:tcW w:w="7092" w:type="dxa"/>
            <w:shd w:val="clear" w:color="auto" w:fill="auto"/>
          </w:tcPr>
          <w:p w14:paraId="17007F0A"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 xml:space="preserve">goods and services tax </w:t>
            </w:r>
          </w:p>
        </w:tc>
      </w:tr>
      <w:tr w:rsidR="00EB3528" w:rsidRPr="001D5327" w14:paraId="2B8CB106" w14:textId="77777777" w:rsidTr="00F95658">
        <w:tc>
          <w:tcPr>
            <w:tcW w:w="1526" w:type="dxa"/>
            <w:shd w:val="clear" w:color="auto" w:fill="auto"/>
          </w:tcPr>
          <w:p w14:paraId="3870E7AA" w14:textId="77777777" w:rsidR="00EB3528" w:rsidRPr="001D5327" w:rsidRDefault="00EB3528" w:rsidP="00F95658">
            <w:pPr>
              <w:pStyle w:val="BodyText"/>
              <w:spacing w:before="20" w:after="20" w:line="260" w:lineRule="atLeast"/>
              <w:rPr>
                <w:rFonts w:cs="Calibri"/>
                <w:b/>
                <w:sz w:val="20"/>
                <w:szCs w:val="20"/>
              </w:rPr>
            </w:pPr>
            <w:r w:rsidRPr="001D5327">
              <w:rPr>
                <w:rFonts w:cs="Calibri"/>
                <w:b/>
                <w:sz w:val="20"/>
                <w:szCs w:val="20"/>
              </w:rPr>
              <w:t>GWB</w:t>
            </w:r>
          </w:p>
        </w:tc>
        <w:tc>
          <w:tcPr>
            <w:tcW w:w="7092" w:type="dxa"/>
            <w:shd w:val="clear" w:color="auto" w:fill="auto"/>
          </w:tcPr>
          <w:p w14:paraId="5E7437C7"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grassland with woody biomass</w:t>
            </w:r>
          </w:p>
        </w:tc>
      </w:tr>
      <w:tr w:rsidR="00EB3528" w:rsidRPr="001D5327" w14:paraId="1EDE6A08" w14:textId="77777777" w:rsidTr="00F95658">
        <w:tc>
          <w:tcPr>
            <w:tcW w:w="1526" w:type="dxa"/>
            <w:shd w:val="clear" w:color="auto" w:fill="auto"/>
          </w:tcPr>
          <w:p w14:paraId="4F7003F4"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ha</w:t>
            </w:r>
          </w:p>
        </w:tc>
        <w:tc>
          <w:tcPr>
            <w:tcW w:w="7092" w:type="dxa"/>
            <w:shd w:val="clear" w:color="auto" w:fill="auto"/>
          </w:tcPr>
          <w:p w14:paraId="17547A24"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hectare(s)</w:t>
            </w:r>
          </w:p>
        </w:tc>
      </w:tr>
      <w:tr w:rsidR="00EB3528" w:rsidRPr="001D5327" w14:paraId="17B80EF5" w14:textId="77777777" w:rsidTr="00F95658">
        <w:tc>
          <w:tcPr>
            <w:tcW w:w="1526" w:type="dxa"/>
            <w:shd w:val="clear" w:color="auto" w:fill="auto"/>
          </w:tcPr>
          <w:p w14:paraId="55967C29"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HCFC</w:t>
            </w:r>
          </w:p>
        </w:tc>
        <w:tc>
          <w:tcPr>
            <w:tcW w:w="7092" w:type="dxa"/>
            <w:shd w:val="clear" w:color="auto" w:fill="auto"/>
          </w:tcPr>
          <w:p w14:paraId="09262723"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hydrochlorofluorocarbon</w:t>
            </w:r>
          </w:p>
        </w:tc>
      </w:tr>
      <w:tr w:rsidR="00EB3528" w:rsidRPr="001D5327" w14:paraId="0C538F09" w14:textId="77777777" w:rsidTr="00F95658">
        <w:tc>
          <w:tcPr>
            <w:tcW w:w="1526" w:type="dxa"/>
            <w:shd w:val="clear" w:color="auto" w:fill="auto"/>
          </w:tcPr>
          <w:p w14:paraId="0B228B0C"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HFC</w:t>
            </w:r>
          </w:p>
        </w:tc>
        <w:tc>
          <w:tcPr>
            <w:tcW w:w="7092" w:type="dxa"/>
            <w:shd w:val="clear" w:color="auto" w:fill="auto"/>
          </w:tcPr>
          <w:p w14:paraId="473D0E1F"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hydrofluorocarbon</w:t>
            </w:r>
          </w:p>
        </w:tc>
      </w:tr>
      <w:tr w:rsidR="00EB3528" w:rsidRPr="001D5327" w14:paraId="719414AE" w14:textId="77777777" w:rsidTr="00F95658">
        <w:tc>
          <w:tcPr>
            <w:tcW w:w="1526" w:type="dxa"/>
            <w:shd w:val="clear" w:color="auto" w:fill="auto"/>
          </w:tcPr>
          <w:p w14:paraId="7CA30297"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HFO</w:t>
            </w:r>
          </w:p>
        </w:tc>
        <w:tc>
          <w:tcPr>
            <w:tcW w:w="7092" w:type="dxa"/>
            <w:shd w:val="clear" w:color="auto" w:fill="auto"/>
          </w:tcPr>
          <w:p w14:paraId="14A74F26"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hydrofluoroolefin</w:t>
            </w:r>
          </w:p>
        </w:tc>
      </w:tr>
      <w:tr w:rsidR="00EB3528" w:rsidRPr="001D5327" w14:paraId="0618AB05" w14:textId="77777777" w:rsidTr="00F95658">
        <w:tc>
          <w:tcPr>
            <w:tcW w:w="1526" w:type="dxa"/>
            <w:shd w:val="clear" w:color="auto" w:fill="auto"/>
          </w:tcPr>
          <w:p w14:paraId="58EA5A09" w14:textId="77777777" w:rsidR="00EB3528" w:rsidRPr="007146DA" w:rsidRDefault="00EB3528" w:rsidP="00F95658">
            <w:pPr>
              <w:pStyle w:val="BodyText"/>
              <w:spacing w:before="20" w:after="20" w:line="260" w:lineRule="atLeast"/>
              <w:rPr>
                <w:rFonts w:eastAsia="Calibri" w:cs="Calibri"/>
                <w:b/>
                <w:bCs/>
                <w:sz w:val="20"/>
                <w:szCs w:val="20"/>
              </w:rPr>
            </w:pPr>
            <w:r w:rsidRPr="007146DA">
              <w:rPr>
                <w:rFonts w:cs="Calibri"/>
                <w:b/>
                <w:bCs/>
                <w:sz w:val="20"/>
                <w:szCs w:val="20"/>
              </w:rPr>
              <w:t>HI</w:t>
            </w:r>
          </w:p>
        </w:tc>
        <w:tc>
          <w:tcPr>
            <w:tcW w:w="7092" w:type="dxa"/>
            <w:shd w:val="clear" w:color="auto" w:fill="auto"/>
          </w:tcPr>
          <w:p w14:paraId="318CEACE"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harvest index</w:t>
            </w:r>
          </w:p>
        </w:tc>
      </w:tr>
      <w:tr w:rsidR="00EB3528" w:rsidRPr="001D5327" w14:paraId="0DC98E9B" w14:textId="77777777" w:rsidTr="00F95658">
        <w:tc>
          <w:tcPr>
            <w:tcW w:w="1526" w:type="dxa"/>
            <w:shd w:val="clear" w:color="auto" w:fill="auto"/>
          </w:tcPr>
          <w:p w14:paraId="7B658B8C"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HWP</w:t>
            </w:r>
          </w:p>
        </w:tc>
        <w:tc>
          <w:tcPr>
            <w:tcW w:w="7092" w:type="dxa"/>
            <w:shd w:val="clear" w:color="auto" w:fill="auto"/>
          </w:tcPr>
          <w:p w14:paraId="01A76490"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harvested wood products</w:t>
            </w:r>
          </w:p>
        </w:tc>
      </w:tr>
      <w:tr w:rsidR="00EB3528" w:rsidRPr="001D5327" w14:paraId="39932F02" w14:textId="77777777" w:rsidTr="00F95658">
        <w:tc>
          <w:tcPr>
            <w:tcW w:w="1526" w:type="dxa"/>
            <w:shd w:val="clear" w:color="auto" w:fill="auto"/>
          </w:tcPr>
          <w:p w14:paraId="08707CD2"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IEA</w:t>
            </w:r>
          </w:p>
        </w:tc>
        <w:tc>
          <w:tcPr>
            <w:tcW w:w="7092" w:type="dxa"/>
            <w:shd w:val="clear" w:color="auto" w:fill="auto"/>
          </w:tcPr>
          <w:p w14:paraId="5E713F38"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lang w:eastAsia="en-GB"/>
              </w:rPr>
              <w:t>International Energy Agency</w:t>
            </w:r>
          </w:p>
        </w:tc>
      </w:tr>
      <w:tr w:rsidR="00EB3528" w:rsidRPr="001D5327" w14:paraId="5F1331FB" w14:textId="77777777" w:rsidTr="00F95658">
        <w:tc>
          <w:tcPr>
            <w:tcW w:w="1526" w:type="dxa"/>
            <w:shd w:val="clear" w:color="auto" w:fill="auto"/>
          </w:tcPr>
          <w:p w14:paraId="5E7F31D9"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IE</w:t>
            </w:r>
          </w:p>
        </w:tc>
        <w:tc>
          <w:tcPr>
            <w:tcW w:w="7092" w:type="dxa"/>
            <w:shd w:val="clear" w:color="auto" w:fill="auto"/>
          </w:tcPr>
          <w:p w14:paraId="50A82EAB"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included elsewhere</w:t>
            </w:r>
          </w:p>
        </w:tc>
      </w:tr>
      <w:tr w:rsidR="00EB3528" w:rsidRPr="001D5327" w14:paraId="17D3D0E2" w14:textId="77777777" w:rsidTr="00F95658">
        <w:tc>
          <w:tcPr>
            <w:tcW w:w="1526" w:type="dxa"/>
            <w:shd w:val="clear" w:color="auto" w:fill="auto"/>
          </w:tcPr>
          <w:p w14:paraId="7E715E8B"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IEF</w:t>
            </w:r>
          </w:p>
        </w:tc>
        <w:tc>
          <w:tcPr>
            <w:tcW w:w="7092" w:type="dxa"/>
            <w:shd w:val="clear" w:color="auto" w:fill="auto"/>
          </w:tcPr>
          <w:p w14:paraId="5E44FE12"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implied emission factor</w:t>
            </w:r>
          </w:p>
        </w:tc>
      </w:tr>
      <w:tr w:rsidR="00EB3528" w:rsidRPr="001D5327" w14:paraId="79A8DB70" w14:textId="77777777" w:rsidTr="00F95658">
        <w:tc>
          <w:tcPr>
            <w:tcW w:w="1526" w:type="dxa"/>
            <w:shd w:val="clear" w:color="auto" w:fill="auto"/>
          </w:tcPr>
          <w:p w14:paraId="3401277F"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 xml:space="preserve">IPCC </w:t>
            </w:r>
          </w:p>
        </w:tc>
        <w:tc>
          <w:tcPr>
            <w:tcW w:w="7092" w:type="dxa"/>
            <w:shd w:val="clear" w:color="auto" w:fill="auto"/>
          </w:tcPr>
          <w:p w14:paraId="2B551239"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Intergovernmental Panel on Climate Change</w:t>
            </w:r>
          </w:p>
        </w:tc>
      </w:tr>
      <w:tr w:rsidR="00EB3528" w:rsidRPr="001D5327" w14:paraId="153A4081" w14:textId="77777777" w:rsidTr="00F95658">
        <w:tc>
          <w:tcPr>
            <w:tcW w:w="1526" w:type="dxa"/>
            <w:shd w:val="clear" w:color="auto" w:fill="auto"/>
          </w:tcPr>
          <w:p w14:paraId="5DF74382"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 xml:space="preserve">IPPU </w:t>
            </w:r>
          </w:p>
        </w:tc>
        <w:tc>
          <w:tcPr>
            <w:tcW w:w="7092" w:type="dxa"/>
            <w:shd w:val="clear" w:color="auto" w:fill="auto"/>
          </w:tcPr>
          <w:p w14:paraId="71E5BAC0"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Industrial Processes and Product Use</w:t>
            </w:r>
          </w:p>
        </w:tc>
      </w:tr>
      <w:tr w:rsidR="00EB3528" w:rsidRPr="001D5327" w14:paraId="176257D5" w14:textId="77777777" w:rsidTr="00F95658">
        <w:tc>
          <w:tcPr>
            <w:tcW w:w="1526" w:type="dxa"/>
            <w:shd w:val="clear" w:color="auto" w:fill="auto"/>
          </w:tcPr>
          <w:p w14:paraId="76C945F0" w14:textId="77777777" w:rsidR="00EB3528" w:rsidRPr="001D5327" w:rsidRDefault="00EB3528" w:rsidP="00F95658">
            <w:pPr>
              <w:pStyle w:val="BodyText"/>
              <w:spacing w:before="20" w:after="20" w:line="260" w:lineRule="atLeast"/>
              <w:rPr>
                <w:rFonts w:cs="Calibri"/>
                <w:b/>
                <w:sz w:val="20"/>
                <w:szCs w:val="20"/>
              </w:rPr>
            </w:pPr>
            <w:r w:rsidRPr="001D5327">
              <w:rPr>
                <w:rFonts w:cs="Calibri"/>
                <w:b/>
                <w:sz w:val="20"/>
                <w:szCs w:val="20"/>
              </w:rPr>
              <w:t>kg</w:t>
            </w:r>
          </w:p>
        </w:tc>
        <w:tc>
          <w:tcPr>
            <w:tcW w:w="7092" w:type="dxa"/>
            <w:shd w:val="clear" w:color="auto" w:fill="auto"/>
          </w:tcPr>
          <w:p w14:paraId="228D076B" w14:textId="77777777" w:rsidR="00EB3528" w:rsidRPr="001D5327" w:rsidRDefault="00EB3528" w:rsidP="00F95658">
            <w:pPr>
              <w:pStyle w:val="BodyText"/>
              <w:spacing w:before="20" w:after="20" w:line="260" w:lineRule="atLeast"/>
              <w:rPr>
                <w:rFonts w:cs="Calibri"/>
                <w:sz w:val="20"/>
                <w:szCs w:val="20"/>
              </w:rPr>
            </w:pPr>
            <w:r w:rsidRPr="001D5327">
              <w:rPr>
                <w:rFonts w:cs="Calibri"/>
                <w:sz w:val="20"/>
                <w:szCs w:val="20"/>
              </w:rPr>
              <w:t>kilogram(s)</w:t>
            </w:r>
          </w:p>
        </w:tc>
      </w:tr>
      <w:tr w:rsidR="00EB3528" w:rsidRPr="001D5327" w14:paraId="62C614F2" w14:textId="77777777" w:rsidTr="00F95658">
        <w:tc>
          <w:tcPr>
            <w:tcW w:w="1526" w:type="dxa"/>
            <w:shd w:val="clear" w:color="auto" w:fill="auto"/>
          </w:tcPr>
          <w:p w14:paraId="32D0568E" w14:textId="77777777" w:rsidR="00EB3528" w:rsidRPr="001D5327" w:rsidRDefault="00EB3528" w:rsidP="00F95658">
            <w:pPr>
              <w:pStyle w:val="BodyText"/>
              <w:spacing w:before="20" w:after="20" w:line="260" w:lineRule="atLeast"/>
              <w:rPr>
                <w:rFonts w:cs="Calibri"/>
                <w:b/>
                <w:sz w:val="20"/>
                <w:szCs w:val="20"/>
              </w:rPr>
            </w:pPr>
            <w:r w:rsidRPr="001D5327">
              <w:rPr>
                <w:rFonts w:cs="Calibri"/>
                <w:b/>
                <w:sz w:val="20"/>
                <w:szCs w:val="20"/>
              </w:rPr>
              <w:t>kha</w:t>
            </w:r>
          </w:p>
        </w:tc>
        <w:tc>
          <w:tcPr>
            <w:tcW w:w="7092" w:type="dxa"/>
            <w:shd w:val="clear" w:color="auto" w:fill="auto"/>
          </w:tcPr>
          <w:p w14:paraId="7D9546B2" w14:textId="77777777" w:rsidR="00EB3528" w:rsidRPr="001D5327" w:rsidRDefault="00EB3528" w:rsidP="00F95658">
            <w:pPr>
              <w:pStyle w:val="BodyText"/>
              <w:spacing w:before="20" w:after="20" w:line="260" w:lineRule="atLeast"/>
              <w:rPr>
                <w:rFonts w:cs="Calibri"/>
                <w:sz w:val="20"/>
                <w:szCs w:val="20"/>
              </w:rPr>
            </w:pPr>
            <w:r w:rsidRPr="001D5327">
              <w:rPr>
                <w:rFonts w:cs="Calibri"/>
                <w:sz w:val="20"/>
                <w:szCs w:val="20"/>
              </w:rPr>
              <w:t>kilohectare(s)</w:t>
            </w:r>
          </w:p>
        </w:tc>
      </w:tr>
      <w:tr w:rsidR="00EB3528" w:rsidRPr="001D5327" w14:paraId="117671EC" w14:textId="77777777" w:rsidTr="00F95658">
        <w:tc>
          <w:tcPr>
            <w:tcW w:w="1526" w:type="dxa"/>
            <w:shd w:val="clear" w:color="auto" w:fill="auto"/>
          </w:tcPr>
          <w:p w14:paraId="641E7289" w14:textId="77777777" w:rsidR="00EB3528" w:rsidRPr="001D5327" w:rsidRDefault="00EB3528" w:rsidP="00F95658">
            <w:pPr>
              <w:pStyle w:val="BodyText"/>
              <w:spacing w:before="20" w:after="20" w:line="260" w:lineRule="atLeast"/>
              <w:rPr>
                <w:rFonts w:cs="Calibri"/>
                <w:b/>
                <w:sz w:val="20"/>
                <w:szCs w:val="20"/>
              </w:rPr>
            </w:pPr>
            <w:r w:rsidRPr="001D5327">
              <w:rPr>
                <w:rFonts w:cs="Calibri"/>
                <w:b/>
                <w:sz w:val="20"/>
                <w:szCs w:val="20"/>
              </w:rPr>
              <w:t>kJ</w:t>
            </w:r>
          </w:p>
        </w:tc>
        <w:tc>
          <w:tcPr>
            <w:tcW w:w="7092" w:type="dxa"/>
            <w:shd w:val="clear" w:color="auto" w:fill="auto"/>
          </w:tcPr>
          <w:p w14:paraId="7F1CDDD0" w14:textId="77777777" w:rsidR="00EB3528" w:rsidRPr="001D5327" w:rsidRDefault="00EB3528" w:rsidP="00F95658">
            <w:pPr>
              <w:pStyle w:val="BodyText"/>
              <w:spacing w:before="20" w:after="20" w:line="260" w:lineRule="atLeast"/>
              <w:rPr>
                <w:rFonts w:cs="Calibri"/>
                <w:sz w:val="20"/>
                <w:szCs w:val="20"/>
              </w:rPr>
            </w:pPr>
            <w:r w:rsidRPr="001D5327">
              <w:rPr>
                <w:rFonts w:cs="Calibri"/>
                <w:sz w:val="20"/>
                <w:szCs w:val="20"/>
              </w:rPr>
              <w:t>kilojoule(s)</w:t>
            </w:r>
          </w:p>
        </w:tc>
      </w:tr>
      <w:tr w:rsidR="00EB3528" w:rsidRPr="001D5327" w14:paraId="1735259E" w14:textId="77777777" w:rsidTr="00F95658">
        <w:tc>
          <w:tcPr>
            <w:tcW w:w="1526" w:type="dxa"/>
            <w:shd w:val="clear" w:color="auto" w:fill="auto"/>
          </w:tcPr>
          <w:p w14:paraId="07FD19DE"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kt</w:t>
            </w:r>
          </w:p>
        </w:tc>
        <w:tc>
          <w:tcPr>
            <w:tcW w:w="7092" w:type="dxa"/>
            <w:shd w:val="clear" w:color="auto" w:fill="auto"/>
          </w:tcPr>
          <w:p w14:paraId="13D616CB"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kilotonne(s)</w:t>
            </w:r>
          </w:p>
        </w:tc>
      </w:tr>
      <w:tr w:rsidR="00EB3528" w:rsidRPr="001D5327" w14:paraId="7C696C7F" w14:textId="77777777" w:rsidTr="00F95658">
        <w:tc>
          <w:tcPr>
            <w:tcW w:w="1526" w:type="dxa"/>
            <w:shd w:val="clear" w:color="auto" w:fill="auto"/>
          </w:tcPr>
          <w:p w14:paraId="6CF0D6E4"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l</w:t>
            </w:r>
          </w:p>
        </w:tc>
        <w:tc>
          <w:tcPr>
            <w:tcW w:w="7092" w:type="dxa"/>
            <w:shd w:val="clear" w:color="auto" w:fill="auto"/>
          </w:tcPr>
          <w:p w14:paraId="6E70E761"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litre</w:t>
            </w:r>
          </w:p>
        </w:tc>
      </w:tr>
      <w:tr w:rsidR="00EB3528" w:rsidRPr="001D5327" w14:paraId="7D07DE26" w14:textId="77777777" w:rsidTr="00F95658">
        <w:tc>
          <w:tcPr>
            <w:tcW w:w="1526" w:type="dxa"/>
            <w:shd w:val="clear" w:color="auto" w:fill="auto"/>
          </w:tcPr>
          <w:p w14:paraId="73743281"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LCDB</w:t>
            </w:r>
          </w:p>
        </w:tc>
        <w:tc>
          <w:tcPr>
            <w:tcW w:w="7092" w:type="dxa"/>
            <w:shd w:val="clear" w:color="auto" w:fill="auto"/>
          </w:tcPr>
          <w:p w14:paraId="4BC26E22"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Land Cover Database</w:t>
            </w:r>
          </w:p>
        </w:tc>
      </w:tr>
      <w:tr w:rsidR="00EB3528" w:rsidRPr="001D5327" w14:paraId="672C1162" w14:textId="77777777" w:rsidTr="00F95658">
        <w:tc>
          <w:tcPr>
            <w:tcW w:w="1526" w:type="dxa"/>
            <w:shd w:val="clear" w:color="auto" w:fill="auto"/>
          </w:tcPr>
          <w:p w14:paraId="31E242CE" w14:textId="77777777" w:rsidR="00EB3528" w:rsidRPr="001D5327" w:rsidRDefault="00EB3528" w:rsidP="00F95658">
            <w:pPr>
              <w:pStyle w:val="BodyText"/>
              <w:spacing w:before="20" w:after="20" w:line="260" w:lineRule="atLeast"/>
              <w:rPr>
                <w:rFonts w:eastAsia="Calibri" w:cs="Calibri"/>
                <w:b/>
                <w:bCs/>
                <w:sz w:val="20"/>
                <w:szCs w:val="20"/>
                <w:highlight w:val="yellow"/>
              </w:rPr>
            </w:pPr>
            <w:r w:rsidRPr="001D5327">
              <w:rPr>
                <w:rFonts w:cs="Calibri"/>
                <w:b/>
                <w:bCs/>
                <w:sz w:val="20"/>
                <w:szCs w:val="20"/>
              </w:rPr>
              <w:t>LCDB5</w:t>
            </w:r>
          </w:p>
        </w:tc>
        <w:tc>
          <w:tcPr>
            <w:tcW w:w="7092" w:type="dxa"/>
            <w:shd w:val="clear" w:color="auto" w:fill="auto"/>
          </w:tcPr>
          <w:p w14:paraId="50299AFF" w14:textId="77777777" w:rsidR="00EB3528" w:rsidRPr="001D5327" w:rsidRDefault="00EB3528" w:rsidP="00F95658">
            <w:pPr>
              <w:pStyle w:val="BodyText"/>
              <w:spacing w:before="20" w:after="20" w:line="260" w:lineRule="atLeast"/>
              <w:rPr>
                <w:rFonts w:eastAsia="Calibri" w:cs="Calibri"/>
                <w:sz w:val="20"/>
                <w:szCs w:val="20"/>
                <w:highlight w:val="yellow"/>
              </w:rPr>
            </w:pPr>
            <w:r w:rsidRPr="001D5327">
              <w:rPr>
                <w:rFonts w:cs="Calibri"/>
                <w:sz w:val="20"/>
                <w:szCs w:val="20"/>
              </w:rPr>
              <w:t>Land Cover Database version 5</w:t>
            </w:r>
          </w:p>
        </w:tc>
      </w:tr>
      <w:tr w:rsidR="00EB3528" w:rsidRPr="001D5327" w14:paraId="0ED8F056" w14:textId="77777777" w:rsidTr="00F95658">
        <w:tc>
          <w:tcPr>
            <w:tcW w:w="1526" w:type="dxa"/>
            <w:shd w:val="clear" w:color="auto" w:fill="auto"/>
          </w:tcPr>
          <w:p w14:paraId="20A3DA42"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LFG</w:t>
            </w:r>
          </w:p>
        </w:tc>
        <w:tc>
          <w:tcPr>
            <w:tcW w:w="7092" w:type="dxa"/>
            <w:shd w:val="clear" w:color="auto" w:fill="auto"/>
          </w:tcPr>
          <w:p w14:paraId="48F8E0E8"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landfill gas</w:t>
            </w:r>
          </w:p>
        </w:tc>
      </w:tr>
      <w:tr w:rsidR="00EB3528" w:rsidRPr="001D5327" w14:paraId="2FA5C4E6" w14:textId="77777777" w:rsidTr="00F95658">
        <w:tc>
          <w:tcPr>
            <w:tcW w:w="1526" w:type="dxa"/>
            <w:shd w:val="clear" w:color="auto" w:fill="auto"/>
          </w:tcPr>
          <w:p w14:paraId="3388D4BB"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LIC</w:t>
            </w:r>
          </w:p>
        </w:tc>
        <w:tc>
          <w:tcPr>
            <w:tcW w:w="7092" w:type="dxa"/>
            <w:shd w:val="clear" w:color="auto" w:fill="auto"/>
          </w:tcPr>
          <w:p w14:paraId="2355DA55"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Livestock Improvement Corporation</w:t>
            </w:r>
          </w:p>
        </w:tc>
      </w:tr>
      <w:tr w:rsidR="00EB3528" w:rsidRPr="001D5327" w14:paraId="30ADECDB" w14:textId="77777777" w:rsidTr="00F95658">
        <w:tc>
          <w:tcPr>
            <w:tcW w:w="1526" w:type="dxa"/>
            <w:shd w:val="clear" w:color="auto" w:fill="auto"/>
          </w:tcPr>
          <w:p w14:paraId="057F731D"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lastRenderedPageBreak/>
              <w:t>LiDAR</w:t>
            </w:r>
          </w:p>
        </w:tc>
        <w:tc>
          <w:tcPr>
            <w:tcW w:w="7092" w:type="dxa"/>
            <w:shd w:val="clear" w:color="auto" w:fill="auto"/>
          </w:tcPr>
          <w:p w14:paraId="056FE4EC"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Light Detection and Ranging</w:t>
            </w:r>
          </w:p>
        </w:tc>
      </w:tr>
      <w:tr w:rsidR="00EB3528" w:rsidRPr="001D5327" w14:paraId="688EDA56" w14:textId="77777777" w:rsidTr="00F95658">
        <w:tc>
          <w:tcPr>
            <w:tcW w:w="1526" w:type="dxa"/>
            <w:shd w:val="clear" w:color="auto" w:fill="auto"/>
          </w:tcPr>
          <w:p w14:paraId="1B644D1A"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cs="Calibri"/>
                <w:b/>
                <w:sz w:val="20"/>
                <w:szCs w:val="20"/>
                <w:lang w:eastAsia="en-GB"/>
              </w:rPr>
              <w:t>LPG</w:t>
            </w:r>
          </w:p>
        </w:tc>
        <w:tc>
          <w:tcPr>
            <w:tcW w:w="7092" w:type="dxa"/>
            <w:shd w:val="clear" w:color="auto" w:fill="auto"/>
          </w:tcPr>
          <w:p w14:paraId="71EE931E"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liquefied petroleu</w:t>
            </w:r>
            <w:r w:rsidRPr="001D5327">
              <w:rPr>
                <w:rFonts w:cs="Calibri"/>
                <w:sz w:val="20"/>
                <w:szCs w:val="20"/>
                <w:lang w:eastAsia="en-GB"/>
              </w:rPr>
              <w:t>m gas</w:t>
            </w:r>
          </w:p>
        </w:tc>
      </w:tr>
      <w:tr w:rsidR="00EB3528" w:rsidRPr="001D5327" w14:paraId="3AE9AE0E" w14:textId="77777777" w:rsidTr="00F95658">
        <w:tc>
          <w:tcPr>
            <w:tcW w:w="1526" w:type="dxa"/>
            <w:shd w:val="clear" w:color="auto" w:fill="auto"/>
          </w:tcPr>
          <w:p w14:paraId="4B5AF992" w14:textId="77777777" w:rsidR="00EB3528" w:rsidRPr="001D5327" w:rsidRDefault="00EB3528" w:rsidP="00F95658">
            <w:pPr>
              <w:pStyle w:val="BodyText"/>
              <w:spacing w:before="20" w:after="20" w:line="260" w:lineRule="atLeast"/>
              <w:rPr>
                <w:rFonts w:cs="Calibri"/>
                <w:b/>
                <w:sz w:val="20"/>
                <w:szCs w:val="20"/>
                <w:lang w:eastAsia="en-GB"/>
              </w:rPr>
            </w:pPr>
            <w:r w:rsidRPr="001D5327">
              <w:rPr>
                <w:rFonts w:cs="Calibri"/>
                <w:b/>
                <w:sz w:val="20"/>
                <w:szCs w:val="20"/>
                <w:lang w:eastAsia="en-GB"/>
              </w:rPr>
              <w:t>LTA</w:t>
            </w:r>
          </w:p>
        </w:tc>
        <w:tc>
          <w:tcPr>
            <w:tcW w:w="7092" w:type="dxa"/>
            <w:shd w:val="clear" w:color="auto" w:fill="auto"/>
          </w:tcPr>
          <w:p w14:paraId="7C253831" w14:textId="77777777" w:rsidR="00EB3528" w:rsidRPr="001D5327" w:rsidRDefault="00EB3528" w:rsidP="00F95658">
            <w:pPr>
              <w:pStyle w:val="BodyText"/>
              <w:spacing w:before="20" w:after="20" w:line="260" w:lineRule="atLeast"/>
              <w:rPr>
                <w:rFonts w:cs="Calibri"/>
                <w:sz w:val="20"/>
                <w:szCs w:val="20"/>
              </w:rPr>
            </w:pPr>
            <w:r w:rsidRPr="001D5327">
              <w:rPr>
                <w:rFonts w:cs="Calibri"/>
                <w:sz w:val="20"/>
                <w:szCs w:val="20"/>
              </w:rPr>
              <w:t>long-term average</w:t>
            </w:r>
          </w:p>
        </w:tc>
      </w:tr>
      <w:tr w:rsidR="00EB3528" w:rsidRPr="001D5327" w14:paraId="4397B83D" w14:textId="77777777" w:rsidTr="00F95658">
        <w:tc>
          <w:tcPr>
            <w:tcW w:w="1526" w:type="dxa"/>
            <w:shd w:val="clear" w:color="auto" w:fill="auto"/>
          </w:tcPr>
          <w:p w14:paraId="31C72B79"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LUCAS</w:t>
            </w:r>
          </w:p>
        </w:tc>
        <w:tc>
          <w:tcPr>
            <w:tcW w:w="7092" w:type="dxa"/>
            <w:shd w:val="clear" w:color="auto" w:fill="auto"/>
          </w:tcPr>
          <w:p w14:paraId="40DB995F"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Land Use and Carbon Analysis System</w:t>
            </w:r>
          </w:p>
        </w:tc>
      </w:tr>
      <w:tr w:rsidR="00EB3528" w:rsidRPr="001D5327" w14:paraId="5075C73C" w14:textId="77777777" w:rsidTr="00F95658">
        <w:tc>
          <w:tcPr>
            <w:tcW w:w="1526" w:type="dxa"/>
            <w:shd w:val="clear" w:color="auto" w:fill="auto"/>
          </w:tcPr>
          <w:p w14:paraId="2E83D720"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LUE</w:t>
            </w:r>
          </w:p>
        </w:tc>
        <w:tc>
          <w:tcPr>
            <w:tcW w:w="7092" w:type="dxa"/>
            <w:shd w:val="clear" w:color="auto" w:fill="auto"/>
          </w:tcPr>
          <w:p w14:paraId="12E0ADBC"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land use effect</w:t>
            </w:r>
          </w:p>
        </w:tc>
      </w:tr>
      <w:tr w:rsidR="00EB3528" w:rsidRPr="001D5327" w14:paraId="708EFE99" w14:textId="77777777" w:rsidTr="00F95658">
        <w:tc>
          <w:tcPr>
            <w:tcW w:w="1526" w:type="dxa"/>
            <w:shd w:val="clear" w:color="auto" w:fill="auto"/>
          </w:tcPr>
          <w:p w14:paraId="51691CA4"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LULUCF</w:t>
            </w:r>
          </w:p>
        </w:tc>
        <w:tc>
          <w:tcPr>
            <w:tcW w:w="7092" w:type="dxa"/>
            <w:shd w:val="clear" w:color="auto" w:fill="auto"/>
          </w:tcPr>
          <w:p w14:paraId="487CA33C"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Land Use, Land-Use Change and Forestry</w:t>
            </w:r>
          </w:p>
        </w:tc>
      </w:tr>
      <w:tr w:rsidR="00EB3528" w:rsidRPr="001D5327" w14:paraId="3EF5D164" w14:textId="77777777" w:rsidTr="00F95658">
        <w:tc>
          <w:tcPr>
            <w:tcW w:w="1526" w:type="dxa"/>
            <w:shd w:val="clear" w:color="auto" w:fill="auto"/>
          </w:tcPr>
          <w:p w14:paraId="38CA3090"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LUM</w:t>
            </w:r>
          </w:p>
        </w:tc>
        <w:tc>
          <w:tcPr>
            <w:tcW w:w="7092" w:type="dxa"/>
            <w:shd w:val="clear" w:color="auto" w:fill="auto"/>
          </w:tcPr>
          <w:p w14:paraId="3FB5DD41"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land use map</w:t>
            </w:r>
          </w:p>
        </w:tc>
      </w:tr>
      <w:tr w:rsidR="00EB3528" w:rsidRPr="001D5327" w14:paraId="0106451D" w14:textId="77777777" w:rsidTr="00F95658">
        <w:tc>
          <w:tcPr>
            <w:tcW w:w="1526" w:type="dxa"/>
            <w:shd w:val="clear" w:color="auto" w:fill="auto"/>
          </w:tcPr>
          <w:p w14:paraId="776ECDCE" w14:textId="77777777" w:rsidR="00EB3528" w:rsidRPr="001D5327" w:rsidRDefault="00EB3528" w:rsidP="00F95658">
            <w:pPr>
              <w:pStyle w:val="BodyText"/>
              <w:spacing w:before="20" w:after="20" w:line="260" w:lineRule="atLeast"/>
              <w:rPr>
                <w:rFonts w:eastAsia="Calibri" w:cs="Calibri"/>
                <w:b/>
                <w:bCs/>
                <w:sz w:val="20"/>
                <w:szCs w:val="20"/>
              </w:rPr>
            </w:pPr>
            <w:r w:rsidRPr="001D5327">
              <w:rPr>
                <w:rFonts w:eastAsia="Aptos" w:cs="Calibri"/>
                <w:b/>
                <w:bCs/>
                <w:sz w:val="20"/>
                <w:szCs w:val="20"/>
              </w:rPr>
              <w:t>m^3</w:t>
            </w:r>
          </w:p>
        </w:tc>
        <w:tc>
          <w:tcPr>
            <w:tcW w:w="7092" w:type="dxa"/>
            <w:shd w:val="clear" w:color="auto" w:fill="auto"/>
          </w:tcPr>
          <w:p w14:paraId="70DA47ED"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cubic metres</w:t>
            </w:r>
          </w:p>
        </w:tc>
      </w:tr>
      <w:tr w:rsidR="00EB3528" w:rsidRPr="001D5327" w14:paraId="6F73C9E1" w14:textId="77777777" w:rsidTr="00F95658">
        <w:tc>
          <w:tcPr>
            <w:tcW w:w="1526" w:type="dxa"/>
            <w:shd w:val="clear" w:color="auto" w:fill="auto"/>
          </w:tcPr>
          <w:p w14:paraId="6896204E"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 xml:space="preserve">MBIE </w:t>
            </w:r>
          </w:p>
        </w:tc>
        <w:tc>
          <w:tcPr>
            <w:tcW w:w="7092" w:type="dxa"/>
            <w:shd w:val="clear" w:color="auto" w:fill="auto"/>
          </w:tcPr>
          <w:p w14:paraId="62624812"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Ministry of Business, Innovation and Employment</w:t>
            </w:r>
          </w:p>
        </w:tc>
      </w:tr>
      <w:tr w:rsidR="00EB3528" w:rsidRPr="001D5327" w14:paraId="52DF538F" w14:textId="77777777" w:rsidTr="00F95658">
        <w:tc>
          <w:tcPr>
            <w:tcW w:w="1526" w:type="dxa"/>
            <w:shd w:val="clear" w:color="auto" w:fill="auto"/>
          </w:tcPr>
          <w:p w14:paraId="4814B9CB"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MCF</w:t>
            </w:r>
          </w:p>
        </w:tc>
        <w:tc>
          <w:tcPr>
            <w:tcW w:w="7092" w:type="dxa"/>
            <w:shd w:val="clear" w:color="auto" w:fill="auto"/>
          </w:tcPr>
          <w:p w14:paraId="5E2880BA"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methane conversion factor</w:t>
            </w:r>
          </w:p>
        </w:tc>
      </w:tr>
      <w:tr w:rsidR="00EB3528" w:rsidRPr="001D5327" w14:paraId="15F7B96B" w14:textId="77777777" w:rsidTr="00F95658">
        <w:tc>
          <w:tcPr>
            <w:tcW w:w="1526" w:type="dxa"/>
            <w:shd w:val="clear" w:color="auto" w:fill="auto"/>
          </w:tcPr>
          <w:p w14:paraId="5C9575AE"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MDI</w:t>
            </w:r>
          </w:p>
        </w:tc>
        <w:tc>
          <w:tcPr>
            <w:tcW w:w="7092" w:type="dxa"/>
            <w:shd w:val="clear" w:color="auto" w:fill="auto"/>
          </w:tcPr>
          <w:p w14:paraId="6CD08127"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metered dose inhaler</w:t>
            </w:r>
          </w:p>
        </w:tc>
      </w:tr>
      <w:tr w:rsidR="00EB3528" w:rsidRPr="001D5327" w14:paraId="5B62534B" w14:textId="77777777" w:rsidTr="00F95658">
        <w:tc>
          <w:tcPr>
            <w:tcW w:w="1526" w:type="dxa"/>
            <w:shd w:val="clear" w:color="auto" w:fill="auto"/>
          </w:tcPr>
          <w:p w14:paraId="5B910846"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MDO</w:t>
            </w:r>
          </w:p>
        </w:tc>
        <w:tc>
          <w:tcPr>
            <w:tcW w:w="7092" w:type="dxa"/>
            <w:shd w:val="clear" w:color="auto" w:fill="auto"/>
          </w:tcPr>
          <w:p w14:paraId="65F74D6E"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marine diesel oil</w:t>
            </w:r>
          </w:p>
        </w:tc>
      </w:tr>
      <w:tr w:rsidR="00EB3528" w:rsidRPr="001D5327" w14:paraId="4182B9C5" w14:textId="77777777" w:rsidTr="00F95658">
        <w:tc>
          <w:tcPr>
            <w:tcW w:w="1526" w:type="dxa"/>
            <w:shd w:val="clear" w:color="auto" w:fill="auto"/>
          </w:tcPr>
          <w:p w14:paraId="66225862"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ME</w:t>
            </w:r>
          </w:p>
        </w:tc>
        <w:tc>
          <w:tcPr>
            <w:tcW w:w="7092" w:type="dxa"/>
            <w:shd w:val="clear" w:color="auto" w:fill="auto"/>
          </w:tcPr>
          <w:p w14:paraId="4EA59645"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metabolisable energy</w:t>
            </w:r>
          </w:p>
        </w:tc>
      </w:tr>
      <w:tr w:rsidR="00EB3528" w:rsidRPr="001D5327" w14:paraId="1DD15389" w14:textId="77777777" w:rsidTr="00F95658">
        <w:tc>
          <w:tcPr>
            <w:tcW w:w="1526" w:type="dxa"/>
            <w:shd w:val="clear" w:color="auto" w:fill="auto"/>
          </w:tcPr>
          <w:p w14:paraId="4F1D9933"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MfE</w:t>
            </w:r>
          </w:p>
        </w:tc>
        <w:tc>
          <w:tcPr>
            <w:tcW w:w="7092" w:type="dxa"/>
            <w:shd w:val="clear" w:color="auto" w:fill="auto"/>
          </w:tcPr>
          <w:p w14:paraId="3D8B232D"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Ministry for the Environment</w:t>
            </w:r>
          </w:p>
        </w:tc>
      </w:tr>
      <w:tr w:rsidR="00EB3528" w:rsidRPr="001D5327" w14:paraId="34FB734D" w14:textId="77777777" w:rsidTr="00F95658">
        <w:tc>
          <w:tcPr>
            <w:tcW w:w="1526" w:type="dxa"/>
            <w:shd w:val="clear" w:color="auto" w:fill="auto"/>
          </w:tcPr>
          <w:p w14:paraId="027E6E9D"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cs="Calibri"/>
                <w:b/>
                <w:sz w:val="20"/>
                <w:szCs w:val="20"/>
              </w:rPr>
              <w:t>MgO</w:t>
            </w:r>
          </w:p>
        </w:tc>
        <w:tc>
          <w:tcPr>
            <w:tcW w:w="7092" w:type="dxa"/>
            <w:shd w:val="clear" w:color="auto" w:fill="auto"/>
          </w:tcPr>
          <w:p w14:paraId="47662738"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magnesium oxide</w:t>
            </w:r>
          </w:p>
        </w:tc>
      </w:tr>
      <w:tr w:rsidR="00EB3528" w:rsidRPr="001D5327" w14:paraId="2AAF4954" w14:textId="77777777" w:rsidTr="00F95658">
        <w:tc>
          <w:tcPr>
            <w:tcW w:w="1526" w:type="dxa"/>
            <w:shd w:val="clear" w:color="auto" w:fill="auto"/>
          </w:tcPr>
          <w:p w14:paraId="2D83274B" w14:textId="77777777" w:rsidR="00EB3528" w:rsidRPr="001D5327" w:rsidRDefault="00EB3528" w:rsidP="00F95658">
            <w:pPr>
              <w:pStyle w:val="BodyText"/>
              <w:spacing w:before="20" w:after="20" w:line="260" w:lineRule="atLeast"/>
              <w:rPr>
                <w:rFonts w:cs="Calibri"/>
                <w:b/>
                <w:sz w:val="20"/>
                <w:szCs w:val="20"/>
              </w:rPr>
            </w:pPr>
            <w:r w:rsidRPr="001D5327">
              <w:rPr>
                <w:rFonts w:cs="Calibri"/>
                <w:b/>
                <w:sz w:val="20"/>
                <w:szCs w:val="20"/>
              </w:rPr>
              <w:t>MiCORE</w:t>
            </w:r>
          </w:p>
        </w:tc>
        <w:tc>
          <w:tcPr>
            <w:tcW w:w="7092" w:type="dxa"/>
            <w:shd w:val="clear" w:color="auto" w:fill="auto"/>
          </w:tcPr>
          <w:p w14:paraId="1B872551" w14:textId="77777777" w:rsidR="00EB3528" w:rsidRPr="001D5327" w:rsidRDefault="00EB3528" w:rsidP="00F95658">
            <w:pPr>
              <w:pStyle w:val="BodyText"/>
              <w:spacing w:before="20" w:after="20" w:line="260" w:lineRule="atLeast"/>
              <w:rPr>
                <w:rFonts w:cs="Calibri"/>
                <w:sz w:val="20"/>
                <w:szCs w:val="20"/>
              </w:rPr>
            </w:pPr>
            <w:r w:rsidRPr="001D5327">
              <w:rPr>
                <w:rFonts w:cs="Calibri"/>
                <w:sz w:val="20"/>
                <w:szCs w:val="20"/>
              </w:rPr>
              <w:t>Ministry of Climate, Oceans and Resilience (Tokelau)</w:t>
            </w:r>
          </w:p>
        </w:tc>
      </w:tr>
      <w:tr w:rsidR="00EB3528" w:rsidRPr="001D5327" w14:paraId="71D50EF6" w14:textId="77777777" w:rsidTr="00F95658">
        <w:tc>
          <w:tcPr>
            <w:tcW w:w="1526" w:type="dxa"/>
            <w:shd w:val="clear" w:color="auto" w:fill="auto"/>
          </w:tcPr>
          <w:p w14:paraId="219CD823" w14:textId="77777777" w:rsidR="00EB3528" w:rsidRPr="001D5327" w:rsidRDefault="00EB3528" w:rsidP="00F95658">
            <w:pPr>
              <w:pStyle w:val="BodyText"/>
              <w:spacing w:before="20" w:after="20" w:line="260" w:lineRule="atLeast"/>
              <w:rPr>
                <w:rFonts w:cs="Calibri"/>
                <w:b/>
                <w:sz w:val="20"/>
                <w:szCs w:val="20"/>
              </w:rPr>
            </w:pPr>
            <w:r w:rsidRPr="001D5327">
              <w:rPr>
                <w:rFonts w:cs="Calibri"/>
                <w:b/>
                <w:sz w:val="20"/>
                <w:szCs w:val="20"/>
              </w:rPr>
              <w:t>MJ</w:t>
            </w:r>
          </w:p>
        </w:tc>
        <w:tc>
          <w:tcPr>
            <w:tcW w:w="7092" w:type="dxa"/>
            <w:shd w:val="clear" w:color="auto" w:fill="auto"/>
          </w:tcPr>
          <w:p w14:paraId="191C682C" w14:textId="77777777" w:rsidR="00EB3528" w:rsidRPr="001D5327" w:rsidRDefault="00EB3528" w:rsidP="00F95658">
            <w:pPr>
              <w:pStyle w:val="BodyText"/>
              <w:spacing w:before="20" w:after="20" w:line="260" w:lineRule="atLeast"/>
              <w:rPr>
                <w:rFonts w:cs="Calibri"/>
                <w:sz w:val="20"/>
                <w:szCs w:val="20"/>
              </w:rPr>
            </w:pPr>
            <w:r w:rsidRPr="001D5327">
              <w:rPr>
                <w:rFonts w:cs="Calibri"/>
                <w:sz w:val="20"/>
                <w:szCs w:val="20"/>
              </w:rPr>
              <w:t>megajoule(s)</w:t>
            </w:r>
          </w:p>
        </w:tc>
      </w:tr>
      <w:tr w:rsidR="00EB3528" w:rsidRPr="001D5327" w14:paraId="52EFC07B" w14:textId="77777777" w:rsidTr="00F95658">
        <w:tc>
          <w:tcPr>
            <w:tcW w:w="1526" w:type="dxa"/>
            <w:shd w:val="clear" w:color="auto" w:fill="auto"/>
          </w:tcPr>
          <w:p w14:paraId="15ABEF4D" w14:textId="77777777" w:rsidR="00EB3528" w:rsidRPr="001D5327" w:rsidRDefault="00EB3528" w:rsidP="00F95658">
            <w:pPr>
              <w:pStyle w:val="BodyText"/>
              <w:spacing w:before="20" w:after="20" w:line="260" w:lineRule="atLeast"/>
              <w:rPr>
                <w:rFonts w:cs="Calibri"/>
                <w:b/>
                <w:sz w:val="20"/>
                <w:szCs w:val="20"/>
              </w:rPr>
            </w:pPr>
            <w:r w:rsidRPr="001D5327">
              <w:rPr>
                <w:rFonts w:cs="Calibri"/>
                <w:b/>
                <w:sz w:val="20"/>
                <w:szCs w:val="20"/>
              </w:rPr>
              <w:t>MMS</w:t>
            </w:r>
          </w:p>
        </w:tc>
        <w:tc>
          <w:tcPr>
            <w:tcW w:w="7092" w:type="dxa"/>
            <w:shd w:val="clear" w:color="auto" w:fill="auto"/>
          </w:tcPr>
          <w:p w14:paraId="0008213D" w14:textId="77777777" w:rsidR="00EB3528" w:rsidRPr="001D5327" w:rsidRDefault="00EB3528" w:rsidP="00F95658">
            <w:pPr>
              <w:pStyle w:val="BodyText"/>
              <w:spacing w:before="20" w:after="20" w:line="260" w:lineRule="atLeast"/>
              <w:rPr>
                <w:rFonts w:cs="Calibri"/>
                <w:sz w:val="20"/>
                <w:szCs w:val="20"/>
              </w:rPr>
            </w:pPr>
            <w:r w:rsidRPr="001D5327">
              <w:rPr>
                <w:rFonts w:cs="Calibri"/>
                <w:sz w:val="20"/>
                <w:szCs w:val="20"/>
              </w:rPr>
              <w:t>manure management system</w:t>
            </w:r>
          </w:p>
        </w:tc>
      </w:tr>
      <w:tr w:rsidR="00EB3528" w:rsidRPr="001D5327" w14:paraId="442F9CB4" w14:textId="77777777" w:rsidTr="00F95658">
        <w:tc>
          <w:tcPr>
            <w:tcW w:w="1526" w:type="dxa"/>
            <w:shd w:val="clear" w:color="auto" w:fill="auto"/>
          </w:tcPr>
          <w:p w14:paraId="52B805AD" w14:textId="77777777" w:rsidR="00EB3528" w:rsidRPr="001D5327" w:rsidRDefault="00EB3528" w:rsidP="00F95658">
            <w:pPr>
              <w:pStyle w:val="BodyText"/>
              <w:spacing w:before="20" w:after="20" w:line="260" w:lineRule="atLeast"/>
              <w:rPr>
                <w:rFonts w:cs="Calibri"/>
                <w:b/>
                <w:sz w:val="20"/>
                <w:szCs w:val="20"/>
              </w:rPr>
            </w:pPr>
            <w:r w:rsidRPr="001D5327">
              <w:rPr>
                <w:rFonts w:cs="Calibri"/>
                <w:b/>
                <w:sz w:val="20"/>
                <w:szCs w:val="20"/>
              </w:rPr>
              <w:t>MoU</w:t>
            </w:r>
          </w:p>
        </w:tc>
        <w:tc>
          <w:tcPr>
            <w:tcW w:w="7092" w:type="dxa"/>
            <w:shd w:val="clear" w:color="auto" w:fill="auto"/>
          </w:tcPr>
          <w:p w14:paraId="78BEA0E6" w14:textId="77777777" w:rsidR="00EB3528" w:rsidRPr="001D5327" w:rsidRDefault="00EB3528" w:rsidP="00F95658">
            <w:pPr>
              <w:pStyle w:val="BodyText"/>
              <w:spacing w:before="20" w:after="20" w:line="260" w:lineRule="atLeast"/>
              <w:rPr>
                <w:rFonts w:cs="Calibri"/>
                <w:sz w:val="20"/>
                <w:szCs w:val="20"/>
              </w:rPr>
            </w:pPr>
            <w:r w:rsidRPr="001D5327">
              <w:rPr>
                <w:rFonts w:cs="Calibri"/>
                <w:sz w:val="20"/>
                <w:szCs w:val="20"/>
              </w:rPr>
              <w:t>memorandum of understanding</w:t>
            </w:r>
          </w:p>
        </w:tc>
      </w:tr>
      <w:tr w:rsidR="00EB3528" w:rsidRPr="001D5327" w14:paraId="4E83D9A9" w14:textId="77777777" w:rsidTr="00F95658">
        <w:tc>
          <w:tcPr>
            <w:tcW w:w="1526" w:type="dxa"/>
            <w:shd w:val="clear" w:color="auto" w:fill="auto"/>
          </w:tcPr>
          <w:p w14:paraId="719B76AF"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MOS</w:t>
            </w:r>
          </w:p>
        </w:tc>
        <w:tc>
          <w:tcPr>
            <w:tcW w:w="7092" w:type="dxa"/>
            <w:shd w:val="clear" w:color="auto" w:fill="auto"/>
          </w:tcPr>
          <w:p w14:paraId="74251AD9"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Monthly Oil Supply survey</w:t>
            </w:r>
          </w:p>
        </w:tc>
      </w:tr>
      <w:tr w:rsidR="00EB3528" w:rsidRPr="001D5327" w14:paraId="6196B12E" w14:textId="77777777" w:rsidTr="00F95658">
        <w:tc>
          <w:tcPr>
            <w:tcW w:w="1526" w:type="dxa"/>
            <w:shd w:val="clear" w:color="auto" w:fill="auto"/>
          </w:tcPr>
          <w:p w14:paraId="334218B7"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MPGs</w:t>
            </w:r>
          </w:p>
        </w:tc>
        <w:tc>
          <w:tcPr>
            <w:tcW w:w="7092" w:type="dxa"/>
            <w:shd w:val="clear" w:color="auto" w:fill="auto"/>
          </w:tcPr>
          <w:p w14:paraId="09BAE2AD"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modalities, procedures and guidelines</w:t>
            </w:r>
          </w:p>
        </w:tc>
      </w:tr>
      <w:tr w:rsidR="00EB3528" w:rsidRPr="001D5327" w14:paraId="63BA7E8F" w14:textId="77777777" w:rsidTr="00F95658">
        <w:tc>
          <w:tcPr>
            <w:tcW w:w="1526" w:type="dxa"/>
            <w:shd w:val="clear" w:color="auto" w:fill="auto"/>
          </w:tcPr>
          <w:p w14:paraId="6D182399"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MPI</w:t>
            </w:r>
          </w:p>
        </w:tc>
        <w:tc>
          <w:tcPr>
            <w:tcW w:w="7092" w:type="dxa"/>
            <w:shd w:val="clear" w:color="auto" w:fill="auto"/>
          </w:tcPr>
          <w:p w14:paraId="521AA861"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Ministry for Primary Industries</w:t>
            </w:r>
          </w:p>
        </w:tc>
      </w:tr>
      <w:tr w:rsidR="00EB3528" w:rsidRPr="001D5327" w14:paraId="777667B5" w14:textId="77777777" w:rsidTr="00F95658">
        <w:tc>
          <w:tcPr>
            <w:tcW w:w="1526" w:type="dxa"/>
            <w:shd w:val="clear" w:color="auto" w:fill="auto"/>
          </w:tcPr>
          <w:p w14:paraId="04960E51"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MSW</w:t>
            </w:r>
          </w:p>
        </w:tc>
        <w:tc>
          <w:tcPr>
            <w:tcW w:w="7092" w:type="dxa"/>
            <w:shd w:val="clear" w:color="auto" w:fill="auto"/>
          </w:tcPr>
          <w:p w14:paraId="0BAFEF27"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municipal waste disposal</w:t>
            </w:r>
          </w:p>
        </w:tc>
      </w:tr>
      <w:tr w:rsidR="00EB3528" w:rsidRPr="001D5327" w14:paraId="7281C53A" w14:textId="77777777" w:rsidTr="00F95658">
        <w:tc>
          <w:tcPr>
            <w:tcW w:w="1526" w:type="dxa"/>
            <w:shd w:val="clear" w:color="auto" w:fill="auto"/>
          </w:tcPr>
          <w:p w14:paraId="147581F8"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Mt</w:t>
            </w:r>
          </w:p>
        </w:tc>
        <w:tc>
          <w:tcPr>
            <w:tcW w:w="7092" w:type="dxa"/>
            <w:shd w:val="clear" w:color="auto" w:fill="auto"/>
          </w:tcPr>
          <w:p w14:paraId="7B07BA44"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megatonne(s) or million tonne(s)</w:t>
            </w:r>
          </w:p>
        </w:tc>
      </w:tr>
      <w:tr w:rsidR="00EB3528" w:rsidRPr="001D5327" w14:paraId="3B00B425" w14:textId="77777777" w:rsidTr="00F95658">
        <w:tc>
          <w:tcPr>
            <w:tcW w:w="1526" w:type="dxa"/>
            <w:shd w:val="clear" w:color="auto" w:fill="auto"/>
          </w:tcPr>
          <w:p w14:paraId="77782C17"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MW</w:t>
            </w:r>
          </w:p>
        </w:tc>
        <w:tc>
          <w:tcPr>
            <w:tcW w:w="7092" w:type="dxa"/>
            <w:shd w:val="clear" w:color="auto" w:fill="auto"/>
          </w:tcPr>
          <w:p w14:paraId="58406F75"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megawatt(s)</w:t>
            </w:r>
          </w:p>
        </w:tc>
      </w:tr>
      <w:tr w:rsidR="00EB3528" w:rsidRPr="001D5327" w14:paraId="6DA08312" w14:textId="77777777" w:rsidTr="00F95658">
        <w:tc>
          <w:tcPr>
            <w:tcW w:w="1526" w:type="dxa"/>
            <w:shd w:val="clear" w:color="auto" w:fill="auto"/>
          </w:tcPr>
          <w:p w14:paraId="250BC4B6"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N</w:t>
            </w:r>
          </w:p>
        </w:tc>
        <w:tc>
          <w:tcPr>
            <w:tcW w:w="7092" w:type="dxa"/>
            <w:shd w:val="clear" w:color="auto" w:fill="auto"/>
          </w:tcPr>
          <w:p w14:paraId="4F8648B7"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nitrogen</w:t>
            </w:r>
          </w:p>
        </w:tc>
      </w:tr>
      <w:tr w:rsidR="00EB3528" w:rsidRPr="001D5327" w14:paraId="27AB1B3E" w14:textId="77777777" w:rsidTr="00F95658">
        <w:tc>
          <w:tcPr>
            <w:tcW w:w="1526" w:type="dxa"/>
            <w:shd w:val="clear" w:color="auto" w:fill="auto"/>
          </w:tcPr>
          <w:p w14:paraId="41D14DA3"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N</w:t>
            </w:r>
            <w:r w:rsidRPr="001D5327">
              <w:rPr>
                <w:rFonts w:eastAsia="Calibri" w:cs="Calibri"/>
                <w:b/>
                <w:sz w:val="20"/>
                <w:szCs w:val="20"/>
                <w:vertAlign w:val="subscript"/>
              </w:rPr>
              <w:t>2</w:t>
            </w:r>
            <w:r w:rsidRPr="001D5327">
              <w:rPr>
                <w:rFonts w:eastAsia="Calibri" w:cs="Calibri"/>
                <w:b/>
                <w:sz w:val="20"/>
                <w:szCs w:val="20"/>
              </w:rPr>
              <w:t xml:space="preserve">O </w:t>
            </w:r>
          </w:p>
        </w:tc>
        <w:tc>
          <w:tcPr>
            <w:tcW w:w="7092" w:type="dxa"/>
            <w:shd w:val="clear" w:color="auto" w:fill="auto"/>
          </w:tcPr>
          <w:p w14:paraId="159C490C"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nitrous oxide</w:t>
            </w:r>
          </w:p>
        </w:tc>
      </w:tr>
      <w:tr w:rsidR="00EB3528" w:rsidRPr="001D5327" w14:paraId="16CF3069" w14:textId="77777777" w:rsidTr="00F95658">
        <w:tc>
          <w:tcPr>
            <w:tcW w:w="1526" w:type="dxa"/>
            <w:shd w:val="clear" w:color="auto" w:fill="auto"/>
          </w:tcPr>
          <w:p w14:paraId="6A40D0BE"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 xml:space="preserve">NA </w:t>
            </w:r>
          </w:p>
        </w:tc>
        <w:tc>
          <w:tcPr>
            <w:tcW w:w="7092" w:type="dxa"/>
            <w:shd w:val="clear" w:color="auto" w:fill="auto"/>
          </w:tcPr>
          <w:p w14:paraId="53950434"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not applicable</w:t>
            </w:r>
          </w:p>
        </w:tc>
      </w:tr>
      <w:tr w:rsidR="00EB3528" w:rsidRPr="001D5327" w14:paraId="4BDECF54" w14:textId="77777777" w:rsidTr="00F95658">
        <w:tc>
          <w:tcPr>
            <w:tcW w:w="1526" w:type="dxa"/>
            <w:shd w:val="clear" w:color="auto" w:fill="auto"/>
          </w:tcPr>
          <w:p w14:paraId="2580E6BE"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NDC1</w:t>
            </w:r>
          </w:p>
        </w:tc>
        <w:tc>
          <w:tcPr>
            <w:tcW w:w="7092" w:type="dxa"/>
            <w:shd w:val="clear" w:color="auto" w:fill="auto"/>
          </w:tcPr>
          <w:p w14:paraId="5D20BC25"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first Nationally Determined Contribution</w:t>
            </w:r>
          </w:p>
        </w:tc>
      </w:tr>
      <w:tr w:rsidR="00EB3528" w:rsidRPr="001D5327" w14:paraId="74E89350" w14:textId="77777777" w:rsidTr="00F95658">
        <w:tc>
          <w:tcPr>
            <w:tcW w:w="1526" w:type="dxa"/>
            <w:shd w:val="clear" w:color="auto" w:fill="auto"/>
          </w:tcPr>
          <w:p w14:paraId="3DC494F8"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NDVI</w:t>
            </w:r>
          </w:p>
        </w:tc>
        <w:tc>
          <w:tcPr>
            <w:tcW w:w="7092" w:type="dxa"/>
            <w:shd w:val="clear" w:color="auto" w:fill="auto"/>
          </w:tcPr>
          <w:p w14:paraId="3993C490"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normalized difference vegetation index</w:t>
            </w:r>
          </w:p>
        </w:tc>
      </w:tr>
      <w:tr w:rsidR="00EB3528" w:rsidRPr="001D5327" w14:paraId="4A85D637" w14:textId="77777777" w:rsidTr="00F95658">
        <w:tc>
          <w:tcPr>
            <w:tcW w:w="1526" w:type="dxa"/>
            <w:shd w:val="clear" w:color="auto" w:fill="auto"/>
          </w:tcPr>
          <w:p w14:paraId="19685D73"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NE</w:t>
            </w:r>
          </w:p>
        </w:tc>
        <w:tc>
          <w:tcPr>
            <w:tcW w:w="7092" w:type="dxa"/>
            <w:shd w:val="clear" w:color="auto" w:fill="auto"/>
          </w:tcPr>
          <w:p w14:paraId="53D5C225"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not estimated</w:t>
            </w:r>
          </w:p>
        </w:tc>
      </w:tr>
      <w:tr w:rsidR="00EB3528" w:rsidRPr="001D5327" w14:paraId="3A80EF79" w14:textId="77777777" w:rsidTr="00F95658">
        <w:tc>
          <w:tcPr>
            <w:tcW w:w="1526" w:type="dxa"/>
            <w:shd w:val="clear" w:color="auto" w:fill="auto"/>
          </w:tcPr>
          <w:p w14:paraId="0B77CE7B"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 xml:space="preserve">NEFD </w:t>
            </w:r>
          </w:p>
        </w:tc>
        <w:tc>
          <w:tcPr>
            <w:tcW w:w="7092" w:type="dxa"/>
            <w:shd w:val="clear" w:color="auto" w:fill="auto"/>
          </w:tcPr>
          <w:p w14:paraId="0E38F7A3"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National Exotic Forest Description</w:t>
            </w:r>
          </w:p>
        </w:tc>
      </w:tr>
      <w:tr w:rsidR="00EB3528" w:rsidRPr="001D5327" w14:paraId="6BE983A9" w14:textId="77777777" w:rsidTr="00F95658">
        <w:tc>
          <w:tcPr>
            <w:tcW w:w="1526" w:type="dxa"/>
            <w:shd w:val="clear" w:color="auto" w:fill="auto"/>
          </w:tcPr>
          <w:p w14:paraId="7F6FC4D4"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cs="Calibri"/>
                <w:b/>
                <w:sz w:val="20"/>
                <w:szCs w:val="20"/>
              </w:rPr>
              <w:t>N</w:t>
            </w:r>
            <w:r w:rsidRPr="001D5327">
              <w:rPr>
                <w:rFonts w:cs="Calibri"/>
                <w:b/>
                <w:sz w:val="20"/>
                <w:szCs w:val="20"/>
                <w:vertAlign w:val="subscript"/>
              </w:rPr>
              <w:t>ex</w:t>
            </w:r>
          </w:p>
        </w:tc>
        <w:tc>
          <w:tcPr>
            <w:tcW w:w="7092" w:type="dxa"/>
            <w:shd w:val="clear" w:color="auto" w:fill="auto"/>
          </w:tcPr>
          <w:p w14:paraId="7DDEEAFA"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 xml:space="preserve">nitrogen excretion rates </w:t>
            </w:r>
          </w:p>
        </w:tc>
      </w:tr>
      <w:tr w:rsidR="00EB3528" w:rsidRPr="001D5327" w14:paraId="22D90F59" w14:textId="77777777" w:rsidTr="00F95658">
        <w:tc>
          <w:tcPr>
            <w:tcW w:w="1526" w:type="dxa"/>
            <w:shd w:val="clear" w:color="auto" w:fill="auto"/>
          </w:tcPr>
          <w:p w14:paraId="786CDA8F"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NF</w:t>
            </w:r>
            <w:r w:rsidRPr="001D5327">
              <w:rPr>
                <w:rFonts w:eastAsia="Calibri" w:cs="Calibri"/>
                <w:b/>
                <w:sz w:val="20"/>
                <w:szCs w:val="20"/>
                <w:vertAlign w:val="subscript"/>
              </w:rPr>
              <w:t>3</w:t>
            </w:r>
          </w:p>
        </w:tc>
        <w:tc>
          <w:tcPr>
            <w:tcW w:w="7092" w:type="dxa"/>
            <w:shd w:val="clear" w:color="auto" w:fill="auto"/>
          </w:tcPr>
          <w:p w14:paraId="03099D02"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nitrogen trifluoride</w:t>
            </w:r>
          </w:p>
        </w:tc>
      </w:tr>
      <w:tr w:rsidR="00EB3528" w:rsidRPr="001D5327" w14:paraId="2B5B32B1" w14:textId="77777777" w:rsidTr="00F95658">
        <w:tc>
          <w:tcPr>
            <w:tcW w:w="1526" w:type="dxa"/>
            <w:shd w:val="clear" w:color="auto" w:fill="auto"/>
          </w:tcPr>
          <w:p w14:paraId="7C2E96F5"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cs="Calibri"/>
                <w:b/>
                <w:sz w:val="20"/>
                <w:szCs w:val="20"/>
              </w:rPr>
              <w:t>NH</w:t>
            </w:r>
            <w:r w:rsidRPr="001D5327">
              <w:rPr>
                <w:rFonts w:cs="Calibri"/>
                <w:b/>
                <w:sz w:val="20"/>
                <w:szCs w:val="20"/>
                <w:vertAlign w:val="subscript"/>
              </w:rPr>
              <w:t>3</w:t>
            </w:r>
          </w:p>
        </w:tc>
        <w:tc>
          <w:tcPr>
            <w:tcW w:w="7092" w:type="dxa"/>
            <w:shd w:val="clear" w:color="auto" w:fill="auto"/>
          </w:tcPr>
          <w:p w14:paraId="22622CBE"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ammonia</w:t>
            </w:r>
          </w:p>
        </w:tc>
      </w:tr>
      <w:tr w:rsidR="00EB3528" w:rsidRPr="001D5327" w14:paraId="08A3A1AE" w14:textId="77777777" w:rsidTr="00F95658">
        <w:tc>
          <w:tcPr>
            <w:tcW w:w="1526" w:type="dxa"/>
            <w:shd w:val="clear" w:color="auto" w:fill="auto"/>
          </w:tcPr>
          <w:p w14:paraId="64B47695"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NIR</w:t>
            </w:r>
          </w:p>
        </w:tc>
        <w:tc>
          <w:tcPr>
            <w:tcW w:w="7092" w:type="dxa"/>
            <w:shd w:val="clear" w:color="auto" w:fill="auto"/>
          </w:tcPr>
          <w:p w14:paraId="7A361A80"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national inventory report</w:t>
            </w:r>
          </w:p>
        </w:tc>
      </w:tr>
      <w:tr w:rsidR="00EB3528" w:rsidRPr="001D5327" w14:paraId="662811C0" w14:textId="77777777" w:rsidTr="00F95658">
        <w:tc>
          <w:tcPr>
            <w:tcW w:w="1526" w:type="dxa"/>
            <w:shd w:val="clear" w:color="auto" w:fill="auto"/>
          </w:tcPr>
          <w:p w14:paraId="087E4963"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NMVOC</w:t>
            </w:r>
          </w:p>
        </w:tc>
        <w:tc>
          <w:tcPr>
            <w:tcW w:w="7092" w:type="dxa"/>
            <w:shd w:val="clear" w:color="auto" w:fill="auto"/>
          </w:tcPr>
          <w:p w14:paraId="6FD1FEC7"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non-methane volatile organic compound</w:t>
            </w:r>
          </w:p>
        </w:tc>
      </w:tr>
      <w:tr w:rsidR="00EB3528" w:rsidRPr="001D5327" w14:paraId="123825BA" w14:textId="77777777" w:rsidTr="00F95658">
        <w:tc>
          <w:tcPr>
            <w:tcW w:w="1526" w:type="dxa"/>
            <w:shd w:val="clear" w:color="auto" w:fill="auto"/>
          </w:tcPr>
          <w:p w14:paraId="2A3DDD86"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NO</w:t>
            </w:r>
          </w:p>
        </w:tc>
        <w:tc>
          <w:tcPr>
            <w:tcW w:w="7092" w:type="dxa"/>
            <w:shd w:val="clear" w:color="auto" w:fill="auto"/>
          </w:tcPr>
          <w:p w14:paraId="2268314D"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not occurring</w:t>
            </w:r>
          </w:p>
        </w:tc>
      </w:tr>
      <w:tr w:rsidR="00EB3528" w:rsidRPr="001D5327" w14:paraId="2ABA51A8" w14:textId="77777777" w:rsidTr="00F95658">
        <w:tc>
          <w:tcPr>
            <w:tcW w:w="1526" w:type="dxa"/>
            <w:shd w:val="clear" w:color="auto" w:fill="auto"/>
          </w:tcPr>
          <w:p w14:paraId="0F0C0061"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NO</w:t>
            </w:r>
            <w:r w:rsidRPr="001D5327">
              <w:rPr>
                <w:rFonts w:eastAsia="Calibri" w:cs="Calibri"/>
                <w:b/>
                <w:sz w:val="20"/>
                <w:szCs w:val="20"/>
                <w:vertAlign w:val="subscript"/>
              </w:rPr>
              <w:t>3</w:t>
            </w:r>
          </w:p>
        </w:tc>
        <w:tc>
          <w:tcPr>
            <w:tcW w:w="7092" w:type="dxa"/>
            <w:shd w:val="clear" w:color="auto" w:fill="auto"/>
          </w:tcPr>
          <w:p w14:paraId="5A77385E"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nitrate</w:t>
            </w:r>
          </w:p>
        </w:tc>
      </w:tr>
      <w:tr w:rsidR="00EB3528" w:rsidRPr="001D5327" w14:paraId="0F09B5B4" w14:textId="77777777" w:rsidTr="00F95658">
        <w:tc>
          <w:tcPr>
            <w:tcW w:w="1526" w:type="dxa"/>
            <w:shd w:val="clear" w:color="auto" w:fill="auto"/>
          </w:tcPr>
          <w:p w14:paraId="48DB55E6"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NO</w:t>
            </w:r>
            <w:r w:rsidRPr="001D5327">
              <w:rPr>
                <w:rFonts w:eastAsia="Calibri" w:cs="Calibri"/>
                <w:b/>
                <w:sz w:val="20"/>
                <w:szCs w:val="20"/>
                <w:vertAlign w:val="subscript"/>
              </w:rPr>
              <w:t>x</w:t>
            </w:r>
          </w:p>
        </w:tc>
        <w:tc>
          <w:tcPr>
            <w:tcW w:w="7092" w:type="dxa"/>
            <w:shd w:val="clear" w:color="auto" w:fill="auto"/>
          </w:tcPr>
          <w:p w14:paraId="217B376B"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nitrogen oxides (other than nitrous oxide)</w:t>
            </w:r>
          </w:p>
        </w:tc>
      </w:tr>
      <w:tr w:rsidR="00EB3528" w:rsidRPr="001D5327" w14:paraId="3A6773E1" w14:textId="77777777" w:rsidTr="00F95658">
        <w:tc>
          <w:tcPr>
            <w:tcW w:w="1526" w:type="dxa"/>
            <w:shd w:val="clear" w:color="auto" w:fill="auto"/>
          </w:tcPr>
          <w:p w14:paraId="028C65DA"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NZAGRC</w:t>
            </w:r>
          </w:p>
        </w:tc>
        <w:tc>
          <w:tcPr>
            <w:tcW w:w="7092" w:type="dxa"/>
            <w:shd w:val="clear" w:color="auto" w:fill="auto"/>
          </w:tcPr>
          <w:p w14:paraId="5F2C1D28"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New Zealand Agricultural Greenhouse Gas Research Centre</w:t>
            </w:r>
          </w:p>
        </w:tc>
      </w:tr>
      <w:tr w:rsidR="00EB3528" w:rsidRPr="001D5327" w14:paraId="60A3B8F9" w14:textId="77777777" w:rsidTr="00F95658">
        <w:tc>
          <w:tcPr>
            <w:tcW w:w="1526" w:type="dxa"/>
            <w:shd w:val="clear" w:color="auto" w:fill="auto"/>
          </w:tcPr>
          <w:p w14:paraId="2DD5623F"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cs="Calibri"/>
                <w:b/>
                <w:sz w:val="20"/>
                <w:szCs w:val="20"/>
              </w:rPr>
              <w:t>NZAS</w:t>
            </w:r>
          </w:p>
        </w:tc>
        <w:tc>
          <w:tcPr>
            <w:tcW w:w="7092" w:type="dxa"/>
            <w:shd w:val="clear" w:color="auto" w:fill="auto"/>
          </w:tcPr>
          <w:p w14:paraId="6E26C6C0"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New Zealand Aluminium Smelters Limited</w:t>
            </w:r>
          </w:p>
        </w:tc>
      </w:tr>
      <w:tr w:rsidR="00EB3528" w:rsidRPr="001D5327" w14:paraId="199830BC" w14:textId="77777777" w:rsidTr="00F95658">
        <w:tc>
          <w:tcPr>
            <w:tcW w:w="1526" w:type="dxa"/>
            <w:shd w:val="clear" w:color="auto" w:fill="auto"/>
          </w:tcPr>
          <w:p w14:paraId="03FC00CD" w14:textId="77777777" w:rsidR="00EB3528" w:rsidRPr="001D5327" w:rsidRDefault="00EB3528" w:rsidP="00F95658">
            <w:pPr>
              <w:pStyle w:val="BodyText"/>
              <w:spacing w:before="20" w:after="20" w:line="260" w:lineRule="atLeast"/>
              <w:rPr>
                <w:rFonts w:cs="Calibri"/>
                <w:b/>
                <w:sz w:val="20"/>
                <w:szCs w:val="20"/>
              </w:rPr>
            </w:pPr>
            <w:r w:rsidRPr="001D5327">
              <w:rPr>
                <w:rFonts w:cs="Calibri"/>
                <w:b/>
                <w:sz w:val="20"/>
                <w:szCs w:val="20"/>
              </w:rPr>
              <w:t>NZD</w:t>
            </w:r>
          </w:p>
        </w:tc>
        <w:tc>
          <w:tcPr>
            <w:tcW w:w="7092" w:type="dxa"/>
            <w:shd w:val="clear" w:color="auto" w:fill="auto"/>
          </w:tcPr>
          <w:p w14:paraId="75B771DD" w14:textId="77777777" w:rsidR="00EB3528" w:rsidRPr="001D5327" w:rsidRDefault="00EB3528" w:rsidP="00F95658">
            <w:pPr>
              <w:pStyle w:val="BodyText"/>
              <w:spacing w:before="20" w:after="20" w:line="260" w:lineRule="atLeast"/>
              <w:rPr>
                <w:rFonts w:cs="Calibri"/>
                <w:sz w:val="20"/>
                <w:szCs w:val="20"/>
              </w:rPr>
            </w:pPr>
            <w:r w:rsidRPr="001D5327">
              <w:rPr>
                <w:rFonts w:cs="Calibri"/>
                <w:sz w:val="20"/>
                <w:szCs w:val="20"/>
              </w:rPr>
              <w:t>New Zealand dollars</w:t>
            </w:r>
          </w:p>
        </w:tc>
      </w:tr>
      <w:tr w:rsidR="00EB3528" w:rsidRPr="001D5327" w14:paraId="414B1520" w14:textId="77777777" w:rsidTr="00F95658">
        <w:tc>
          <w:tcPr>
            <w:tcW w:w="1526" w:type="dxa"/>
            <w:shd w:val="clear" w:color="auto" w:fill="auto"/>
          </w:tcPr>
          <w:p w14:paraId="7E92631A"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 xml:space="preserve">NZ ETS </w:t>
            </w:r>
          </w:p>
        </w:tc>
        <w:tc>
          <w:tcPr>
            <w:tcW w:w="7092" w:type="dxa"/>
            <w:shd w:val="clear" w:color="auto" w:fill="auto"/>
          </w:tcPr>
          <w:p w14:paraId="50F0CF3C"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New Zealand Emissions Trading Scheme</w:t>
            </w:r>
          </w:p>
        </w:tc>
      </w:tr>
      <w:tr w:rsidR="00EB3528" w:rsidRPr="001D5327" w14:paraId="7308A53E" w14:textId="77777777" w:rsidTr="00F95658">
        <w:tc>
          <w:tcPr>
            <w:tcW w:w="1526" w:type="dxa"/>
            <w:shd w:val="clear" w:color="auto" w:fill="auto"/>
          </w:tcPr>
          <w:p w14:paraId="78764EC7"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NZLRI</w:t>
            </w:r>
          </w:p>
        </w:tc>
        <w:tc>
          <w:tcPr>
            <w:tcW w:w="7092" w:type="dxa"/>
            <w:shd w:val="clear" w:color="auto" w:fill="auto"/>
          </w:tcPr>
          <w:p w14:paraId="6DB9268B"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New Zealand Land Resource Inventory</w:t>
            </w:r>
          </w:p>
        </w:tc>
      </w:tr>
      <w:tr w:rsidR="00EB3528" w:rsidRPr="001D5327" w14:paraId="306931C1" w14:textId="77777777" w:rsidTr="00F95658">
        <w:tc>
          <w:tcPr>
            <w:tcW w:w="1526" w:type="dxa"/>
            <w:shd w:val="clear" w:color="auto" w:fill="auto"/>
          </w:tcPr>
          <w:p w14:paraId="2DB83A61"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NZU</w:t>
            </w:r>
          </w:p>
        </w:tc>
        <w:tc>
          <w:tcPr>
            <w:tcW w:w="7092" w:type="dxa"/>
            <w:shd w:val="clear" w:color="auto" w:fill="auto"/>
          </w:tcPr>
          <w:p w14:paraId="0FA462A6"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New Zealand Unit</w:t>
            </w:r>
          </w:p>
        </w:tc>
      </w:tr>
      <w:tr w:rsidR="00EB3528" w:rsidRPr="001D5327" w14:paraId="3EA3FB41" w14:textId="77777777" w:rsidTr="00F95658">
        <w:tc>
          <w:tcPr>
            <w:tcW w:w="1526" w:type="dxa"/>
            <w:shd w:val="clear" w:color="auto" w:fill="auto"/>
          </w:tcPr>
          <w:p w14:paraId="4EA67C79"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lastRenderedPageBreak/>
              <w:t>ODS</w:t>
            </w:r>
          </w:p>
        </w:tc>
        <w:tc>
          <w:tcPr>
            <w:tcW w:w="7092" w:type="dxa"/>
            <w:shd w:val="clear" w:color="auto" w:fill="auto"/>
          </w:tcPr>
          <w:p w14:paraId="6402131C"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ozone depleting substances</w:t>
            </w:r>
          </w:p>
        </w:tc>
      </w:tr>
      <w:tr w:rsidR="00EB3528" w:rsidRPr="001D5327" w14:paraId="7F7EC8F6" w14:textId="77777777" w:rsidTr="00F95658">
        <w:tc>
          <w:tcPr>
            <w:tcW w:w="1526" w:type="dxa"/>
            <w:shd w:val="clear" w:color="auto" w:fill="auto"/>
          </w:tcPr>
          <w:p w14:paraId="33EABD89"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OECD</w:t>
            </w:r>
          </w:p>
        </w:tc>
        <w:tc>
          <w:tcPr>
            <w:tcW w:w="7092" w:type="dxa"/>
            <w:shd w:val="clear" w:color="auto" w:fill="auto"/>
          </w:tcPr>
          <w:p w14:paraId="4F761134"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 xml:space="preserve">Organisation for Economic Co-operation and Development </w:t>
            </w:r>
          </w:p>
        </w:tc>
      </w:tr>
      <w:tr w:rsidR="00EB3528" w:rsidRPr="001D5327" w14:paraId="06C4A467" w14:textId="77777777" w:rsidTr="00F95658">
        <w:tc>
          <w:tcPr>
            <w:tcW w:w="1526" w:type="dxa"/>
            <w:shd w:val="clear" w:color="auto" w:fill="auto"/>
          </w:tcPr>
          <w:p w14:paraId="3DF073BD"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PFC</w:t>
            </w:r>
          </w:p>
        </w:tc>
        <w:tc>
          <w:tcPr>
            <w:tcW w:w="7092" w:type="dxa"/>
            <w:shd w:val="clear" w:color="auto" w:fill="auto"/>
          </w:tcPr>
          <w:p w14:paraId="4C94E291"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perfluorocarbon</w:t>
            </w:r>
          </w:p>
        </w:tc>
      </w:tr>
      <w:tr w:rsidR="00EB3528" w:rsidRPr="001D5327" w14:paraId="69E978CD" w14:textId="77777777" w:rsidTr="00F95658">
        <w:tc>
          <w:tcPr>
            <w:tcW w:w="1526" w:type="dxa"/>
            <w:shd w:val="clear" w:color="auto" w:fill="auto"/>
          </w:tcPr>
          <w:p w14:paraId="40E3C116" w14:textId="77777777" w:rsidR="00EB3528" w:rsidRPr="001D5327" w:rsidRDefault="00EB3528" w:rsidP="00F95658">
            <w:pPr>
              <w:pStyle w:val="BodyText"/>
              <w:spacing w:before="20" w:after="20" w:line="260" w:lineRule="atLeast"/>
              <w:rPr>
                <w:rFonts w:eastAsia="Calibri" w:cs="Calibri"/>
                <w:b/>
                <w:bCs/>
                <w:sz w:val="20"/>
                <w:szCs w:val="20"/>
              </w:rPr>
            </w:pPr>
            <w:r w:rsidRPr="001D5327">
              <w:rPr>
                <w:rFonts w:cs="Calibri"/>
                <w:b/>
                <w:bCs/>
                <w:sz w:val="20"/>
                <w:szCs w:val="20"/>
              </w:rPr>
              <w:t>PGgRc</w:t>
            </w:r>
          </w:p>
        </w:tc>
        <w:tc>
          <w:tcPr>
            <w:tcW w:w="7092" w:type="dxa"/>
            <w:shd w:val="clear" w:color="auto" w:fill="auto"/>
          </w:tcPr>
          <w:p w14:paraId="7C732F46"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Pastoral Greenhouse Gas Research Consortium</w:t>
            </w:r>
          </w:p>
        </w:tc>
      </w:tr>
      <w:tr w:rsidR="00EB3528" w:rsidRPr="001D5327" w14:paraId="03BC682E" w14:textId="77777777" w:rsidTr="00F95658">
        <w:tc>
          <w:tcPr>
            <w:tcW w:w="1526" w:type="dxa"/>
            <w:shd w:val="clear" w:color="auto" w:fill="auto"/>
          </w:tcPr>
          <w:p w14:paraId="3CCC51B9"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PJ</w:t>
            </w:r>
          </w:p>
        </w:tc>
        <w:tc>
          <w:tcPr>
            <w:tcW w:w="7092" w:type="dxa"/>
            <w:shd w:val="clear" w:color="auto" w:fill="auto"/>
          </w:tcPr>
          <w:p w14:paraId="05680CB6"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petajoule(s)</w:t>
            </w:r>
          </w:p>
        </w:tc>
      </w:tr>
      <w:tr w:rsidR="00EB3528" w:rsidRPr="001D5327" w14:paraId="69EF59ED" w14:textId="77777777" w:rsidTr="00F95658">
        <w:tc>
          <w:tcPr>
            <w:tcW w:w="1526" w:type="dxa"/>
            <w:shd w:val="clear" w:color="auto" w:fill="auto"/>
          </w:tcPr>
          <w:p w14:paraId="6DF559D1"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PSP</w:t>
            </w:r>
          </w:p>
        </w:tc>
        <w:tc>
          <w:tcPr>
            <w:tcW w:w="7092" w:type="dxa"/>
            <w:shd w:val="clear" w:color="auto" w:fill="auto"/>
          </w:tcPr>
          <w:p w14:paraId="78838E19"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permanent sample plot</w:t>
            </w:r>
          </w:p>
        </w:tc>
      </w:tr>
      <w:tr w:rsidR="00EB3528" w:rsidRPr="001D5327" w14:paraId="5467C47D" w14:textId="77777777" w:rsidTr="00F95658">
        <w:tc>
          <w:tcPr>
            <w:tcW w:w="1526" w:type="dxa"/>
            <w:shd w:val="clear" w:color="auto" w:fill="auto"/>
          </w:tcPr>
          <w:p w14:paraId="1E59DB40"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PV</w:t>
            </w:r>
          </w:p>
        </w:tc>
        <w:tc>
          <w:tcPr>
            <w:tcW w:w="7092" w:type="dxa"/>
            <w:shd w:val="clear" w:color="auto" w:fill="auto"/>
          </w:tcPr>
          <w:p w14:paraId="783CED47"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photovoltaics</w:t>
            </w:r>
          </w:p>
        </w:tc>
      </w:tr>
      <w:tr w:rsidR="00EB3528" w:rsidRPr="001D5327" w14:paraId="7A1DE2BF" w14:textId="77777777" w:rsidTr="00F95658">
        <w:tc>
          <w:tcPr>
            <w:tcW w:w="1526" w:type="dxa"/>
            <w:shd w:val="clear" w:color="auto" w:fill="auto"/>
          </w:tcPr>
          <w:p w14:paraId="2BE9C774"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QA</w:t>
            </w:r>
          </w:p>
        </w:tc>
        <w:tc>
          <w:tcPr>
            <w:tcW w:w="7092" w:type="dxa"/>
            <w:shd w:val="clear" w:color="auto" w:fill="auto"/>
          </w:tcPr>
          <w:p w14:paraId="42957107"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quality assurance</w:t>
            </w:r>
          </w:p>
        </w:tc>
      </w:tr>
      <w:tr w:rsidR="00EB3528" w:rsidRPr="001D5327" w14:paraId="747FFF7F" w14:textId="77777777" w:rsidTr="00F95658">
        <w:tc>
          <w:tcPr>
            <w:tcW w:w="1526" w:type="dxa"/>
            <w:shd w:val="clear" w:color="auto" w:fill="auto"/>
          </w:tcPr>
          <w:p w14:paraId="6790A4FB"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 xml:space="preserve">QC </w:t>
            </w:r>
          </w:p>
        </w:tc>
        <w:tc>
          <w:tcPr>
            <w:tcW w:w="7092" w:type="dxa"/>
            <w:shd w:val="clear" w:color="auto" w:fill="auto"/>
          </w:tcPr>
          <w:p w14:paraId="33162B18"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quality control</w:t>
            </w:r>
          </w:p>
        </w:tc>
      </w:tr>
      <w:tr w:rsidR="00EB3528" w:rsidRPr="001D5327" w14:paraId="3C6DAA79" w14:textId="77777777" w:rsidTr="00F95658">
        <w:tc>
          <w:tcPr>
            <w:tcW w:w="1526" w:type="dxa"/>
            <w:shd w:val="clear" w:color="auto" w:fill="auto"/>
          </w:tcPr>
          <w:p w14:paraId="6D79ABC9" w14:textId="77777777" w:rsidR="00EB3528" w:rsidRPr="00D420CC" w:rsidRDefault="00EB3528" w:rsidP="00F95658">
            <w:pPr>
              <w:pStyle w:val="BodyText"/>
              <w:spacing w:before="20" w:after="20" w:line="260" w:lineRule="atLeast"/>
              <w:rPr>
                <w:rFonts w:eastAsia="Calibri" w:cs="Calibri"/>
                <w:b/>
                <w:bCs/>
                <w:sz w:val="20"/>
                <w:szCs w:val="20"/>
              </w:rPr>
            </w:pPr>
            <w:r w:rsidRPr="00D420CC">
              <w:rPr>
                <w:rFonts w:cs="Calibri"/>
                <w:b/>
                <w:bCs/>
                <w:sz w:val="20"/>
                <w:szCs w:val="20"/>
              </w:rPr>
              <w:t>R</w:t>
            </w:r>
            <w:r w:rsidRPr="00D420CC">
              <w:rPr>
                <w:rFonts w:cs="Calibri"/>
                <w:b/>
                <w:bCs/>
                <w:sz w:val="20"/>
                <w:szCs w:val="20"/>
                <w:vertAlign w:val="subscript"/>
              </w:rPr>
              <w:t>BG</w:t>
            </w:r>
          </w:p>
        </w:tc>
        <w:tc>
          <w:tcPr>
            <w:tcW w:w="7092" w:type="dxa"/>
            <w:shd w:val="clear" w:color="auto" w:fill="auto"/>
          </w:tcPr>
          <w:p w14:paraId="6FC03993" w14:textId="076CEF23"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ratio of below-ground residues to the harvest yield</w:t>
            </w:r>
          </w:p>
        </w:tc>
      </w:tr>
      <w:tr w:rsidR="00EB3528" w:rsidRPr="001D5327" w14:paraId="478E9B73" w14:textId="77777777" w:rsidTr="00F95658">
        <w:tc>
          <w:tcPr>
            <w:tcW w:w="1526" w:type="dxa"/>
            <w:shd w:val="clear" w:color="auto" w:fill="auto"/>
          </w:tcPr>
          <w:p w14:paraId="5631B75A"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RGG</w:t>
            </w:r>
          </w:p>
        </w:tc>
        <w:tc>
          <w:tcPr>
            <w:tcW w:w="7092" w:type="dxa"/>
            <w:shd w:val="clear" w:color="auto" w:fill="auto"/>
          </w:tcPr>
          <w:p w14:paraId="4C53D7E7"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 xml:space="preserve">Reporting Governance Group </w:t>
            </w:r>
          </w:p>
        </w:tc>
      </w:tr>
      <w:tr w:rsidR="00EB3528" w:rsidRPr="001D5327" w14:paraId="2B1800E9" w14:textId="77777777" w:rsidTr="00F95658">
        <w:tc>
          <w:tcPr>
            <w:tcW w:w="1526" w:type="dxa"/>
            <w:shd w:val="clear" w:color="auto" w:fill="auto"/>
          </w:tcPr>
          <w:p w14:paraId="44EE5F26"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SF</w:t>
            </w:r>
            <w:r w:rsidRPr="001D5327">
              <w:rPr>
                <w:rFonts w:eastAsia="Calibri" w:cs="Calibri"/>
                <w:b/>
                <w:sz w:val="20"/>
                <w:szCs w:val="20"/>
                <w:vertAlign w:val="subscript"/>
              </w:rPr>
              <w:t>6</w:t>
            </w:r>
          </w:p>
        </w:tc>
        <w:tc>
          <w:tcPr>
            <w:tcW w:w="7092" w:type="dxa"/>
            <w:shd w:val="clear" w:color="auto" w:fill="auto"/>
          </w:tcPr>
          <w:p w14:paraId="07C4FC84"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sulphur hexafluoride</w:t>
            </w:r>
          </w:p>
        </w:tc>
      </w:tr>
      <w:tr w:rsidR="00EB3528" w:rsidRPr="001D5327" w14:paraId="1C2E0F1C" w14:textId="77777777" w:rsidTr="00F95658">
        <w:tc>
          <w:tcPr>
            <w:tcW w:w="1526" w:type="dxa"/>
            <w:shd w:val="clear" w:color="auto" w:fill="auto"/>
          </w:tcPr>
          <w:p w14:paraId="52E7C3E2"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SO</w:t>
            </w:r>
            <w:r w:rsidRPr="001D5327">
              <w:rPr>
                <w:rFonts w:eastAsia="Calibri" w:cs="Calibri"/>
                <w:b/>
                <w:sz w:val="20"/>
                <w:szCs w:val="20"/>
                <w:vertAlign w:val="subscript"/>
              </w:rPr>
              <w:t>2</w:t>
            </w:r>
          </w:p>
        </w:tc>
        <w:tc>
          <w:tcPr>
            <w:tcW w:w="7092" w:type="dxa"/>
            <w:shd w:val="clear" w:color="auto" w:fill="auto"/>
          </w:tcPr>
          <w:p w14:paraId="20529BC1"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sulphur dioxide</w:t>
            </w:r>
          </w:p>
        </w:tc>
      </w:tr>
      <w:tr w:rsidR="00EB3528" w:rsidRPr="001D5327" w14:paraId="174DD48E" w14:textId="77777777" w:rsidTr="00F95658">
        <w:tc>
          <w:tcPr>
            <w:tcW w:w="1526" w:type="dxa"/>
            <w:shd w:val="clear" w:color="auto" w:fill="auto"/>
          </w:tcPr>
          <w:p w14:paraId="2E067067"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SOC</w:t>
            </w:r>
          </w:p>
        </w:tc>
        <w:tc>
          <w:tcPr>
            <w:tcW w:w="7092" w:type="dxa"/>
            <w:shd w:val="clear" w:color="auto" w:fill="auto"/>
          </w:tcPr>
          <w:p w14:paraId="4812E0FB"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soil organic carbon</w:t>
            </w:r>
          </w:p>
        </w:tc>
      </w:tr>
      <w:tr w:rsidR="00EB3528" w:rsidRPr="001D5327" w14:paraId="2FCAC807" w14:textId="77777777" w:rsidTr="00F95658">
        <w:tc>
          <w:tcPr>
            <w:tcW w:w="1526" w:type="dxa"/>
            <w:shd w:val="clear" w:color="auto" w:fill="auto"/>
          </w:tcPr>
          <w:p w14:paraId="1FDFF71F"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Soil CMS</w:t>
            </w:r>
          </w:p>
        </w:tc>
        <w:tc>
          <w:tcPr>
            <w:tcW w:w="7092" w:type="dxa"/>
            <w:shd w:val="clear" w:color="auto" w:fill="auto"/>
          </w:tcPr>
          <w:p w14:paraId="6E182831"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Soil Carbon Monitoring System</w:t>
            </w:r>
          </w:p>
        </w:tc>
      </w:tr>
      <w:tr w:rsidR="00EB3528" w:rsidRPr="001D5327" w14:paraId="3FD98CA0" w14:textId="77777777" w:rsidTr="00F95658">
        <w:tc>
          <w:tcPr>
            <w:tcW w:w="1526" w:type="dxa"/>
            <w:shd w:val="clear" w:color="auto" w:fill="auto"/>
          </w:tcPr>
          <w:p w14:paraId="1168817F" w14:textId="77777777" w:rsidR="00EB3528" w:rsidRPr="00D420CC" w:rsidRDefault="00EB3528" w:rsidP="00F95658">
            <w:pPr>
              <w:pStyle w:val="BodyText"/>
              <w:spacing w:before="20" w:after="20" w:line="260" w:lineRule="atLeast"/>
              <w:rPr>
                <w:rFonts w:eastAsia="Calibri" w:cs="Calibri"/>
                <w:b/>
                <w:bCs/>
                <w:sz w:val="20"/>
                <w:szCs w:val="20"/>
              </w:rPr>
            </w:pPr>
            <w:r w:rsidRPr="00D420CC">
              <w:rPr>
                <w:rFonts w:eastAsia="Aptos" w:cs="Calibri"/>
                <w:b/>
                <w:bCs/>
                <w:sz w:val="20"/>
                <w:szCs w:val="20"/>
              </w:rPr>
              <w:t>SO</w:t>
            </w:r>
            <w:r w:rsidRPr="00D420CC">
              <w:rPr>
                <w:rFonts w:eastAsia="Aptos" w:cs="Calibri"/>
                <w:b/>
                <w:bCs/>
                <w:sz w:val="20"/>
                <w:szCs w:val="20"/>
                <w:vertAlign w:val="subscript"/>
              </w:rPr>
              <w:t>X</w:t>
            </w:r>
          </w:p>
        </w:tc>
        <w:tc>
          <w:tcPr>
            <w:tcW w:w="7092" w:type="dxa"/>
            <w:shd w:val="clear" w:color="auto" w:fill="auto"/>
          </w:tcPr>
          <w:p w14:paraId="713CAD84" w14:textId="791ED7FF"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sulfur oxide</w:t>
            </w:r>
            <w:r w:rsidR="00D420CC">
              <w:rPr>
                <w:rFonts w:eastAsia="Calibri" w:cs="Calibri"/>
                <w:sz w:val="20"/>
                <w:szCs w:val="20"/>
              </w:rPr>
              <w:t>s</w:t>
            </w:r>
          </w:p>
        </w:tc>
      </w:tr>
      <w:tr w:rsidR="00EB3528" w:rsidRPr="001D5327" w14:paraId="60FCDDBC" w14:textId="77777777" w:rsidTr="00F95658">
        <w:tc>
          <w:tcPr>
            <w:tcW w:w="1526" w:type="dxa"/>
            <w:shd w:val="clear" w:color="auto" w:fill="auto"/>
          </w:tcPr>
          <w:p w14:paraId="34FDC574" w14:textId="77777777" w:rsidR="00EB3528" w:rsidRPr="001D5327" w:rsidRDefault="00EB3528" w:rsidP="00F95658">
            <w:pPr>
              <w:pStyle w:val="BodyText"/>
              <w:spacing w:before="20" w:after="20" w:line="260" w:lineRule="atLeast"/>
              <w:rPr>
                <w:rFonts w:eastAsia="Calibri" w:cs="Calibri"/>
                <w:b/>
                <w:bCs/>
                <w:sz w:val="20"/>
                <w:szCs w:val="20"/>
              </w:rPr>
            </w:pPr>
            <w:r w:rsidRPr="001D5327">
              <w:rPr>
                <w:rFonts w:cs="Calibri"/>
                <w:b/>
                <w:bCs/>
                <w:sz w:val="20"/>
                <w:szCs w:val="20"/>
              </w:rPr>
              <w:t>SWDS</w:t>
            </w:r>
          </w:p>
        </w:tc>
        <w:tc>
          <w:tcPr>
            <w:tcW w:w="7092" w:type="dxa"/>
            <w:shd w:val="clear" w:color="auto" w:fill="auto"/>
          </w:tcPr>
          <w:p w14:paraId="068CC20B" w14:textId="77777777" w:rsidR="00EB3528" w:rsidRPr="001D5327" w:rsidRDefault="00EB3528" w:rsidP="00F95658">
            <w:pPr>
              <w:pStyle w:val="BodyText"/>
              <w:spacing w:before="20" w:after="20" w:line="260" w:lineRule="atLeast"/>
              <w:rPr>
                <w:rFonts w:eastAsia="Calibri" w:cs="Calibri"/>
                <w:sz w:val="20"/>
                <w:szCs w:val="20"/>
              </w:rPr>
            </w:pPr>
            <w:r w:rsidRPr="001D5327">
              <w:rPr>
                <w:rFonts w:cs="Calibri"/>
                <w:sz w:val="20"/>
                <w:szCs w:val="20"/>
              </w:rPr>
              <w:t>solid waste disposable sites</w:t>
            </w:r>
          </w:p>
        </w:tc>
      </w:tr>
      <w:tr w:rsidR="00EB3528" w:rsidRPr="001D5327" w14:paraId="7CE5D0BD" w14:textId="77777777" w:rsidTr="00F95658">
        <w:tc>
          <w:tcPr>
            <w:tcW w:w="1526" w:type="dxa"/>
            <w:shd w:val="clear" w:color="auto" w:fill="auto"/>
          </w:tcPr>
          <w:p w14:paraId="5FD368E9"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t</w:t>
            </w:r>
          </w:p>
        </w:tc>
        <w:tc>
          <w:tcPr>
            <w:tcW w:w="7092" w:type="dxa"/>
            <w:shd w:val="clear" w:color="auto" w:fill="auto"/>
          </w:tcPr>
          <w:p w14:paraId="4C6C96E6"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tonne(s)</w:t>
            </w:r>
          </w:p>
        </w:tc>
      </w:tr>
      <w:tr w:rsidR="00EB3528" w:rsidRPr="001D5327" w14:paraId="384DD439" w14:textId="77777777" w:rsidTr="00F95658">
        <w:tc>
          <w:tcPr>
            <w:tcW w:w="1526" w:type="dxa"/>
            <w:shd w:val="clear" w:color="auto" w:fill="auto"/>
          </w:tcPr>
          <w:p w14:paraId="1785E50A"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t C</w:t>
            </w:r>
          </w:p>
        </w:tc>
        <w:tc>
          <w:tcPr>
            <w:tcW w:w="7092" w:type="dxa"/>
            <w:shd w:val="clear" w:color="auto" w:fill="auto"/>
          </w:tcPr>
          <w:p w14:paraId="06B06636"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tonne(s) carbon</w:t>
            </w:r>
          </w:p>
        </w:tc>
      </w:tr>
      <w:tr w:rsidR="00EB3528" w:rsidRPr="001D5327" w14:paraId="79B4DBE3" w14:textId="77777777" w:rsidTr="00F95658">
        <w:tc>
          <w:tcPr>
            <w:tcW w:w="1526" w:type="dxa"/>
            <w:shd w:val="clear" w:color="auto" w:fill="auto"/>
          </w:tcPr>
          <w:p w14:paraId="1CD367CD"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TE</w:t>
            </w:r>
          </w:p>
        </w:tc>
        <w:tc>
          <w:tcPr>
            <w:tcW w:w="7092" w:type="dxa"/>
            <w:shd w:val="clear" w:color="auto" w:fill="auto"/>
          </w:tcPr>
          <w:p w14:paraId="7541D5D2"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total emissions</w:t>
            </w:r>
          </w:p>
        </w:tc>
      </w:tr>
      <w:tr w:rsidR="00EB3528" w:rsidRPr="001D5327" w14:paraId="034D3B51" w14:textId="77777777" w:rsidTr="00F95658">
        <w:tc>
          <w:tcPr>
            <w:tcW w:w="1526" w:type="dxa"/>
            <w:shd w:val="clear" w:color="auto" w:fill="auto"/>
          </w:tcPr>
          <w:p w14:paraId="2A648462"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TACCC</w:t>
            </w:r>
          </w:p>
        </w:tc>
        <w:tc>
          <w:tcPr>
            <w:tcW w:w="7092" w:type="dxa"/>
            <w:shd w:val="clear" w:color="auto" w:fill="auto"/>
          </w:tcPr>
          <w:p w14:paraId="6D37733F"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transparency, accuracy, completeness, consistency and comparability</w:t>
            </w:r>
          </w:p>
        </w:tc>
      </w:tr>
      <w:tr w:rsidR="00EB3528" w:rsidRPr="001D5327" w14:paraId="73D4AF8D" w14:textId="77777777" w:rsidTr="00F95658">
        <w:tc>
          <w:tcPr>
            <w:tcW w:w="1526" w:type="dxa"/>
            <w:shd w:val="clear" w:color="auto" w:fill="auto"/>
          </w:tcPr>
          <w:p w14:paraId="44E9369E"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TJ</w:t>
            </w:r>
          </w:p>
        </w:tc>
        <w:tc>
          <w:tcPr>
            <w:tcW w:w="7092" w:type="dxa"/>
            <w:shd w:val="clear" w:color="auto" w:fill="auto"/>
          </w:tcPr>
          <w:p w14:paraId="41E11AFA"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terajoule(s)</w:t>
            </w:r>
          </w:p>
        </w:tc>
      </w:tr>
      <w:tr w:rsidR="00EB3528" w:rsidRPr="001D5327" w14:paraId="65B30D10" w14:textId="77777777" w:rsidTr="00F95658">
        <w:tc>
          <w:tcPr>
            <w:tcW w:w="1526" w:type="dxa"/>
            <w:shd w:val="clear" w:color="auto" w:fill="auto"/>
          </w:tcPr>
          <w:p w14:paraId="415FA00B"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t/kt</w:t>
            </w:r>
          </w:p>
        </w:tc>
        <w:tc>
          <w:tcPr>
            <w:tcW w:w="7092" w:type="dxa"/>
            <w:shd w:val="clear" w:color="auto" w:fill="auto"/>
          </w:tcPr>
          <w:p w14:paraId="0C8BAE86"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tonne(s) per kilotonne</w:t>
            </w:r>
          </w:p>
        </w:tc>
      </w:tr>
      <w:tr w:rsidR="00EB3528" w:rsidRPr="001D5327" w14:paraId="1485CABC" w14:textId="77777777" w:rsidTr="00F95658">
        <w:tc>
          <w:tcPr>
            <w:tcW w:w="1526" w:type="dxa"/>
            <w:shd w:val="clear" w:color="auto" w:fill="auto"/>
          </w:tcPr>
          <w:p w14:paraId="21091C78"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TOW</w:t>
            </w:r>
          </w:p>
        </w:tc>
        <w:tc>
          <w:tcPr>
            <w:tcW w:w="7092" w:type="dxa"/>
            <w:shd w:val="clear" w:color="auto" w:fill="auto"/>
          </w:tcPr>
          <w:p w14:paraId="7595F285"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total organic product in wastewater</w:t>
            </w:r>
          </w:p>
        </w:tc>
      </w:tr>
      <w:tr w:rsidR="00EB3528" w:rsidRPr="001D5327" w14:paraId="0EFE22EF" w14:textId="77777777" w:rsidTr="00F95658">
        <w:tc>
          <w:tcPr>
            <w:tcW w:w="1526" w:type="dxa"/>
            <w:shd w:val="clear" w:color="auto" w:fill="auto"/>
          </w:tcPr>
          <w:p w14:paraId="6BBF4FDB"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UEF</w:t>
            </w:r>
          </w:p>
        </w:tc>
        <w:tc>
          <w:tcPr>
            <w:tcW w:w="7092" w:type="dxa"/>
            <w:shd w:val="clear" w:color="auto" w:fill="auto"/>
          </w:tcPr>
          <w:p w14:paraId="2567824A"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unique emission factor</w:t>
            </w:r>
          </w:p>
        </w:tc>
      </w:tr>
      <w:tr w:rsidR="00EB3528" w:rsidRPr="001D5327" w14:paraId="3DFF0420" w14:textId="77777777" w:rsidTr="00F95658">
        <w:tc>
          <w:tcPr>
            <w:tcW w:w="1526" w:type="dxa"/>
            <w:shd w:val="clear" w:color="auto" w:fill="auto"/>
          </w:tcPr>
          <w:p w14:paraId="468EDA54" w14:textId="77777777" w:rsidR="00EB3528" w:rsidRPr="001D5327" w:rsidRDefault="00EB3528" w:rsidP="00F95658">
            <w:pPr>
              <w:pStyle w:val="BodyText"/>
              <w:spacing w:before="20" w:after="20" w:line="260" w:lineRule="atLeast"/>
              <w:rPr>
                <w:rFonts w:eastAsia="Calibri" w:cs="Calibri"/>
                <w:b/>
                <w:sz w:val="20"/>
                <w:szCs w:val="20"/>
              </w:rPr>
            </w:pPr>
            <w:r w:rsidRPr="001D5327">
              <w:rPr>
                <w:rFonts w:eastAsia="Calibri" w:cs="Calibri"/>
                <w:b/>
                <w:sz w:val="20"/>
                <w:szCs w:val="20"/>
              </w:rPr>
              <w:t xml:space="preserve">UNFCCC </w:t>
            </w:r>
          </w:p>
        </w:tc>
        <w:tc>
          <w:tcPr>
            <w:tcW w:w="7092" w:type="dxa"/>
            <w:shd w:val="clear" w:color="auto" w:fill="auto"/>
          </w:tcPr>
          <w:p w14:paraId="715AA87F" w14:textId="77777777" w:rsidR="00EB3528" w:rsidRPr="001D5327" w:rsidRDefault="00EB3528" w:rsidP="00F95658">
            <w:pPr>
              <w:pStyle w:val="BodyText"/>
              <w:spacing w:before="20" w:after="20" w:line="260" w:lineRule="atLeast"/>
              <w:rPr>
                <w:rFonts w:eastAsia="Calibri" w:cs="Calibri"/>
                <w:sz w:val="20"/>
                <w:szCs w:val="20"/>
              </w:rPr>
            </w:pPr>
            <w:r w:rsidRPr="001D5327">
              <w:rPr>
                <w:rFonts w:eastAsia="Calibri" w:cs="Calibri"/>
                <w:sz w:val="20"/>
                <w:szCs w:val="20"/>
              </w:rPr>
              <w:t xml:space="preserve">United Nations Framework Convention on Climate Change </w:t>
            </w:r>
          </w:p>
        </w:tc>
      </w:tr>
    </w:tbl>
    <w:p w14:paraId="7B4E205B" w14:textId="77777777" w:rsidR="00EB3528" w:rsidRPr="001D5327" w:rsidRDefault="00EB3528" w:rsidP="00EB3528"/>
    <w:p w14:paraId="7A4FE218" w14:textId="77777777" w:rsidR="00E33B6A" w:rsidRPr="001D5327" w:rsidRDefault="00E33B6A" w:rsidP="00E33B6A">
      <w:pPr>
        <w:pStyle w:val="BodyText"/>
      </w:pPr>
    </w:p>
    <w:p w14:paraId="3B9A9235" w14:textId="77777777" w:rsidR="00680C72" w:rsidRPr="001D5327" w:rsidRDefault="00680C72" w:rsidP="00E33B6A">
      <w:pPr>
        <w:pStyle w:val="Heading1"/>
        <w:sectPr w:rsidR="00680C72" w:rsidRPr="001D5327" w:rsidSect="002D5B8F">
          <w:footerReference w:type="default" r:id="rId26"/>
          <w:pgSz w:w="11907" w:h="16840" w:code="9"/>
          <w:pgMar w:top="1418" w:right="1701" w:bottom="1418" w:left="1701" w:header="567" w:footer="567" w:gutter="0"/>
          <w:pgNumType w:fmt="lowerRoman"/>
          <w:cols w:space="720"/>
        </w:sectPr>
      </w:pPr>
    </w:p>
    <w:p w14:paraId="68C7B285" w14:textId="77777777" w:rsidR="00680C72" w:rsidRPr="001D5327" w:rsidRDefault="00680C72" w:rsidP="00680C72">
      <w:pPr>
        <w:pStyle w:val="Heading1"/>
      </w:pPr>
      <w:bookmarkStart w:id="8" w:name="_Toc194311975"/>
      <w:bookmarkStart w:id="9" w:name="executive-summary"/>
      <w:r w:rsidRPr="001D5327">
        <w:lastRenderedPageBreak/>
        <w:t>Executive summary</w:t>
      </w:r>
      <w:bookmarkEnd w:id="8"/>
    </w:p>
    <w:p w14:paraId="50187D65" w14:textId="77777777" w:rsidR="00680C72" w:rsidRPr="001D5327" w:rsidRDefault="00680C72" w:rsidP="00680C72">
      <w:pPr>
        <w:pStyle w:val="BodyText"/>
        <w:spacing w:after="240"/>
      </w:pPr>
      <w:r w:rsidRPr="001D5327">
        <w:t xml:space="preserve">The 2025 submission of </w:t>
      </w:r>
      <w:r w:rsidRPr="001D5327">
        <w:rPr>
          <w:i/>
          <w:iCs/>
        </w:rPr>
        <w:t>New Zealand’s Greenhouse Gas Inventory</w:t>
      </w:r>
      <w:r w:rsidRPr="001D5327">
        <w:t xml:space="preserve"> (the Inventory) contains national greenhouse gas emissions estimates for the period 1990 to 2023.</w:t>
      </w:r>
    </w:p>
    <w:tbl>
      <w:tblPr>
        <w:tblStyle w:val="TableGrid"/>
        <w:tblW w:w="0" w:type="auto"/>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2"/>
        <w:tblLook w:val="04A0" w:firstRow="1" w:lastRow="0" w:firstColumn="1" w:lastColumn="0" w:noHBand="0" w:noVBand="1"/>
      </w:tblPr>
      <w:tblGrid>
        <w:gridCol w:w="8495"/>
      </w:tblGrid>
      <w:tr w:rsidR="00726871" w:rsidRPr="001D5327" w14:paraId="449CBDD3" w14:textId="77777777" w:rsidTr="00341FEF">
        <w:tc>
          <w:tcPr>
            <w:tcW w:w="8495" w:type="dxa"/>
            <w:shd w:val="clear" w:color="auto" w:fill="D2DDE2"/>
          </w:tcPr>
          <w:p w14:paraId="568F66CE" w14:textId="77777777" w:rsidR="00680C72" w:rsidRPr="001D5327" w:rsidRDefault="00680C72" w:rsidP="00436488">
            <w:pPr>
              <w:pStyle w:val="Keypointshead"/>
              <w:spacing w:after="0"/>
            </w:pPr>
            <w:r w:rsidRPr="001D5327">
              <w:t>Key points</w:t>
            </w:r>
          </w:p>
          <w:p w14:paraId="5667C1E1" w14:textId="77777777" w:rsidR="00680C72" w:rsidRPr="001D5327" w:rsidRDefault="00680C72" w:rsidP="00436488">
            <w:pPr>
              <w:pStyle w:val="Keypointshead"/>
              <w:spacing w:before="120"/>
            </w:pPr>
            <w:r w:rsidRPr="001D5327">
              <w:t>In 2023</w:t>
            </w:r>
          </w:p>
          <w:p w14:paraId="6585B4CB" w14:textId="77777777" w:rsidR="00680C72" w:rsidRPr="001D5327" w:rsidRDefault="00680C72" w:rsidP="00726871">
            <w:pPr>
              <w:pStyle w:val="Keypointsbullet"/>
            </w:pPr>
            <w:r w:rsidRPr="001D5327">
              <w:t>New Zealand’s gross greenhouse gas emissions were 76,416 kilotonnes carbon dioxide equivalent (kt CO</w:t>
            </w:r>
            <w:r w:rsidRPr="001D5327">
              <w:rPr>
                <w:vertAlign w:val="subscript"/>
              </w:rPr>
              <w:t>2</w:t>
            </w:r>
            <w:r w:rsidRPr="001D5327">
              <w:t>-e), comprising 41 per cent carbon dioxide, 48 per cent methane, 9 per cent nitrous oxide and 2 per cent fluorinated gases.</w:t>
            </w:r>
          </w:p>
          <w:p w14:paraId="5575CAB4" w14:textId="77777777" w:rsidR="00680C72" w:rsidRPr="001D5327" w:rsidRDefault="00680C72" w:rsidP="00726871">
            <w:pPr>
              <w:pStyle w:val="Keypointsbullet"/>
            </w:pPr>
            <w:r w:rsidRPr="001D5327">
              <w:t>The two largest contributors to gross emissions were the Agriculture sector, at 53 per cent, and the Energy sector, at 38 per cent.</w:t>
            </w:r>
          </w:p>
          <w:p w14:paraId="22EE3801" w14:textId="77777777" w:rsidR="00680C72" w:rsidRPr="001D5327" w:rsidRDefault="00680C72" w:rsidP="00726871">
            <w:pPr>
              <w:pStyle w:val="Keypointsbullet"/>
            </w:pPr>
            <w:r w:rsidRPr="001D5327">
              <w:t>The Land Use, Land-Use Change and Forestry (LULUCF) sector offset 26 per cent of New Zealand’s gross emissions.</w:t>
            </w:r>
          </w:p>
          <w:p w14:paraId="27E74552" w14:textId="77777777" w:rsidR="00680C72" w:rsidRPr="001D5327" w:rsidRDefault="00680C72" w:rsidP="00726871">
            <w:pPr>
              <w:pStyle w:val="Keypointsbullet"/>
            </w:pPr>
            <w:r w:rsidRPr="001D5327">
              <w:t>New Zealand’s net emissions were 56,219 kt CO</w:t>
            </w:r>
            <w:r w:rsidRPr="001D5327">
              <w:rPr>
                <w:vertAlign w:val="subscript"/>
              </w:rPr>
              <w:t>2</w:t>
            </w:r>
            <w:r w:rsidRPr="001D5327">
              <w:t>-e.</w:t>
            </w:r>
          </w:p>
          <w:p w14:paraId="6E5B3526" w14:textId="77777777" w:rsidR="00680C72" w:rsidRPr="001D5327" w:rsidRDefault="00680C72" w:rsidP="00436488">
            <w:pPr>
              <w:pStyle w:val="Keypointshead"/>
              <w:spacing w:before="120"/>
            </w:pPr>
            <w:r w:rsidRPr="001D5327">
              <w:t>Between 2022 and 2023</w:t>
            </w:r>
          </w:p>
          <w:p w14:paraId="3C12F541" w14:textId="77777777" w:rsidR="00680C72" w:rsidRPr="001D5327" w:rsidRDefault="00680C72" w:rsidP="00726871">
            <w:pPr>
              <w:pStyle w:val="Keypointsbullet"/>
            </w:pPr>
            <w:r w:rsidRPr="001D5327">
              <w:t>Gross emissions decreased by 2 per cent or 1,567 kt CO</w:t>
            </w:r>
            <w:r w:rsidRPr="001D5327">
              <w:rPr>
                <w:vertAlign w:val="subscript"/>
              </w:rPr>
              <w:t>2</w:t>
            </w:r>
            <w:r w:rsidRPr="001D5327">
              <w:t>-e, which was largely due to a decrease in emissions from the Agriculture sector (by 2 per cent or 908 kt CO</w:t>
            </w:r>
            <w:r w:rsidRPr="001D5327">
              <w:rPr>
                <w:vertAlign w:val="subscript"/>
              </w:rPr>
              <w:t>2</w:t>
            </w:r>
            <w:r w:rsidRPr="001D5327">
              <w:t xml:space="preserve">-e). The decrease in Agriculture sector emissions was driven mainly by reductions in </w:t>
            </w:r>
            <w:r w:rsidRPr="001D5327">
              <w:rPr>
                <w:i/>
                <w:iCs/>
              </w:rPr>
              <w:t>Enteric fermentation</w:t>
            </w:r>
            <w:r w:rsidRPr="001D5327">
              <w:t xml:space="preserve"> from the </w:t>
            </w:r>
            <w:r w:rsidRPr="001D5327">
              <w:rPr>
                <w:i/>
                <w:iCs/>
              </w:rPr>
              <w:t>Sheep</w:t>
            </w:r>
            <w:r w:rsidRPr="001D5327">
              <w:t xml:space="preserve"> and </w:t>
            </w:r>
            <w:r w:rsidRPr="001D5327">
              <w:rPr>
                <w:i/>
                <w:iCs/>
              </w:rPr>
              <w:t>Dairy cattle</w:t>
            </w:r>
            <w:r w:rsidRPr="001D5327">
              <w:t xml:space="preserve"> categories and a reduction in </w:t>
            </w:r>
            <w:r w:rsidRPr="001D5327">
              <w:rPr>
                <w:i/>
                <w:iCs/>
              </w:rPr>
              <w:t>Limestone</w:t>
            </w:r>
            <w:r w:rsidRPr="001D5327">
              <w:t xml:space="preserve"> emissions.</w:t>
            </w:r>
          </w:p>
          <w:p w14:paraId="3E57A198" w14:textId="77777777" w:rsidR="00680C72" w:rsidRPr="001D5327" w:rsidRDefault="00680C72" w:rsidP="00726871">
            <w:pPr>
              <w:pStyle w:val="Keypointsbullet"/>
            </w:pPr>
            <w:r w:rsidRPr="001D5327">
              <w:t>Emissions from the Energy sector decreased by 1 per cent (225 kt CO</w:t>
            </w:r>
            <w:r w:rsidRPr="001D5327">
              <w:rPr>
                <w:vertAlign w:val="subscript"/>
              </w:rPr>
              <w:t>2</w:t>
            </w:r>
            <w:r w:rsidRPr="001D5327">
              <w:t xml:space="preserve">-e), due to a combination of emissions reductions in the </w:t>
            </w:r>
            <w:r w:rsidRPr="001D5327">
              <w:rPr>
                <w:i/>
                <w:iCs/>
              </w:rPr>
              <w:t>Petroleum refining</w:t>
            </w:r>
            <w:r w:rsidRPr="001D5327">
              <w:t xml:space="preserve">, </w:t>
            </w:r>
            <w:r w:rsidRPr="001D5327">
              <w:rPr>
                <w:i/>
                <w:iCs/>
              </w:rPr>
              <w:t>Public electricity and heat production</w:t>
            </w:r>
            <w:r w:rsidRPr="001D5327">
              <w:t xml:space="preserve"> and </w:t>
            </w:r>
            <w:r w:rsidRPr="001D5327">
              <w:rPr>
                <w:i/>
                <w:iCs/>
              </w:rPr>
              <w:t xml:space="preserve">Commercial/institutional </w:t>
            </w:r>
            <w:r w:rsidRPr="001D5327">
              <w:t>categories.</w:t>
            </w:r>
          </w:p>
          <w:p w14:paraId="42DF1C09" w14:textId="77777777" w:rsidR="00680C72" w:rsidRPr="001D5327" w:rsidRDefault="00680C72" w:rsidP="00726871">
            <w:pPr>
              <w:pStyle w:val="Keypointsbullet"/>
            </w:pPr>
            <w:r w:rsidRPr="001D5327">
              <w:t>Emissions from the Industrial Processes and Product Use sector decreased by 9 per cent (412 kt CO</w:t>
            </w:r>
            <w:r w:rsidRPr="001D5327">
              <w:rPr>
                <w:vertAlign w:val="subscript"/>
              </w:rPr>
              <w:t>2</w:t>
            </w:r>
            <w:r w:rsidRPr="001D5327">
              <w:t xml:space="preserve">-e), due largely to emissions reductions in the </w:t>
            </w:r>
            <w:r w:rsidRPr="001D5327">
              <w:rPr>
                <w:i/>
                <w:iCs/>
              </w:rPr>
              <w:t>Refrigeration and air conditioning</w:t>
            </w:r>
            <w:r w:rsidRPr="001D5327">
              <w:t xml:space="preserve"> category.</w:t>
            </w:r>
          </w:p>
          <w:p w14:paraId="04435A9E" w14:textId="77777777" w:rsidR="00680C72" w:rsidRPr="001D5327" w:rsidRDefault="00680C72" w:rsidP="00726871">
            <w:pPr>
              <w:pStyle w:val="Keypointsbullet"/>
            </w:pPr>
            <w:r w:rsidRPr="001D5327">
              <w:t>Emissions from the Waste sector decreased by 1 per cent (20 kt CO</w:t>
            </w:r>
            <w:r w:rsidRPr="001D5327">
              <w:rPr>
                <w:vertAlign w:val="subscript"/>
              </w:rPr>
              <w:t>2</w:t>
            </w:r>
            <w:r w:rsidRPr="001D5327">
              <w:t xml:space="preserve">-e), due to emissions reductions from </w:t>
            </w:r>
            <w:r w:rsidRPr="001D5327">
              <w:rPr>
                <w:i/>
                <w:iCs/>
              </w:rPr>
              <w:t>Solid waste disposal</w:t>
            </w:r>
            <w:r w:rsidRPr="001D5327">
              <w:t>, as a result of ongoing improvements in municipal landfill management.</w:t>
            </w:r>
          </w:p>
          <w:p w14:paraId="26F80E9B" w14:textId="77777777" w:rsidR="00680C72" w:rsidRPr="001D5327" w:rsidRDefault="00680C72" w:rsidP="00726871">
            <w:pPr>
              <w:pStyle w:val="Keypointsbullet"/>
            </w:pPr>
            <w:r w:rsidRPr="001D5327">
              <w:t>Net emissions decreased by 4 per cent (2,391 kt CO</w:t>
            </w:r>
            <w:r w:rsidRPr="001D5327">
              <w:rPr>
                <w:vertAlign w:val="subscript"/>
              </w:rPr>
              <w:t>2</w:t>
            </w:r>
            <w:r w:rsidRPr="001D5327">
              <w:t>-e), due to the overall decrease in gross emissions and a decrease in net emissions of 4 per cent (824 kt CO</w:t>
            </w:r>
            <w:r w:rsidRPr="001D5327">
              <w:rPr>
                <w:vertAlign w:val="subscript"/>
              </w:rPr>
              <w:t>2</w:t>
            </w:r>
            <w:r w:rsidRPr="001D5327">
              <w:t xml:space="preserve">-e) from the LULUCF sector. The decrease in net emissions from the LULUCF sector was largely due to emissions reductions in the </w:t>
            </w:r>
            <w:r w:rsidRPr="001D5327">
              <w:rPr>
                <w:i/>
                <w:iCs/>
              </w:rPr>
              <w:t>Forest land</w:t>
            </w:r>
            <w:r w:rsidRPr="001D5327">
              <w:t xml:space="preserve"> and </w:t>
            </w:r>
            <w:r w:rsidRPr="001D5327">
              <w:rPr>
                <w:i/>
                <w:iCs/>
              </w:rPr>
              <w:t>Grassland</w:t>
            </w:r>
            <w:r w:rsidRPr="001D5327">
              <w:t xml:space="preserve"> categories, as less planted forests were harvested or deforested.</w:t>
            </w:r>
          </w:p>
          <w:p w14:paraId="1555146C" w14:textId="77777777" w:rsidR="00680C72" w:rsidRPr="001D5327" w:rsidRDefault="00680C72" w:rsidP="00436488">
            <w:pPr>
              <w:pStyle w:val="Keypointshead"/>
              <w:spacing w:before="120"/>
            </w:pPr>
            <w:r w:rsidRPr="001D5327">
              <w:t>Since 1990</w:t>
            </w:r>
          </w:p>
          <w:p w14:paraId="7BFD2AFA" w14:textId="77777777" w:rsidR="00680C72" w:rsidRPr="001D5327" w:rsidRDefault="00680C72" w:rsidP="00726871">
            <w:pPr>
              <w:pStyle w:val="Keypointsbullet"/>
            </w:pPr>
            <w:r w:rsidRPr="001D5327">
              <w:t>New Zealand’s gross and net emissions peaked in 2006 at 85,740</w:t>
            </w:r>
            <w:r w:rsidRPr="001D5327">
              <w:rPr>
                <w:rFonts w:ascii="Aptos Narrow" w:hAnsi="Aptos Narrow"/>
              </w:rPr>
              <w:t xml:space="preserve"> </w:t>
            </w:r>
            <w:r w:rsidRPr="001D5327">
              <w:t>kt CO</w:t>
            </w:r>
            <w:r w:rsidRPr="001D5327">
              <w:rPr>
                <w:vertAlign w:val="subscript"/>
              </w:rPr>
              <w:t>2</w:t>
            </w:r>
            <w:r w:rsidRPr="001D5327">
              <w:t>-e and 63,491 kt CO</w:t>
            </w:r>
            <w:r w:rsidRPr="001D5327">
              <w:rPr>
                <w:vertAlign w:val="subscript"/>
              </w:rPr>
              <w:t>2</w:t>
            </w:r>
            <w:r w:rsidRPr="001D5327">
              <w:t>-e, respectively.</w:t>
            </w:r>
          </w:p>
          <w:p w14:paraId="3A66BE6B" w14:textId="77777777" w:rsidR="00680C72" w:rsidRPr="001D5327" w:rsidRDefault="00680C72" w:rsidP="00726871">
            <w:pPr>
              <w:pStyle w:val="Keypointsbullet"/>
            </w:pPr>
            <w:r w:rsidRPr="001D5327">
              <w:t>New Zealand’s gross emissions increased by 13 per cent (8,737 kt CO</w:t>
            </w:r>
            <w:r w:rsidRPr="001D5327">
              <w:rPr>
                <w:vertAlign w:val="subscript"/>
              </w:rPr>
              <w:t>2</w:t>
            </w:r>
            <w:r w:rsidRPr="001D5327">
              <w:t>-e). The five emission sources that contributed the most to this increase were:</w:t>
            </w:r>
          </w:p>
          <w:p w14:paraId="12A3E39E" w14:textId="77777777" w:rsidR="00680C72" w:rsidRPr="00EC57BF" w:rsidRDefault="00680C72" w:rsidP="00EC57BF">
            <w:pPr>
              <w:pStyle w:val="Keypointsub-bullet"/>
            </w:pPr>
            <w:r w:rsidRPr="00EC57BF">
              <w:rPr>
                <w:i/>
                <w:iCs/>
              </w:rPr>
              <w:t>Enteric fermentation</w:t>
            </w:r>
            <w:r w:rsidRPr="00EC57BF">
              <w:t xml:space="preserve"> from </w:t>
            </w:r>
            <w:r w:rsidRPr="00EC57BF">
              <w:rPr>
                <w:i/>
                <w:iCs/>
              </w:rPr>
              <w:t>Dairy cattle</w:t>
            </w:r>
            <w:r w:rsidRPr="00EC57BF">
              <w:t xml:space="preserve"> largely due to an increase in the dairy cattle population (methane), an increase of 8,630 kt CO</w:t>
            </w:r>
            <w:r w:rsidRPr="00EC57BF">
              <w:rPr>
                <w:vertAlign w:val="subscript"/>
              </w:rPr>
              <w:t>2</w:t>
            </w:r>
            <w:r w:rsidRPr="00EC57BF">
              <w:t>-e</w:t>
            </w:r>
          </w:p>
          <w:p w14:paraId="345FE896" w14:textId="42F2AFC0" w:rsidR="00680C72" w:rsidRPr="001D5327" w:rsidRDefault="00680C72" w:rsidP="00EC57BF">
            <w:pPr>
              <w:pStyle w:val="Keypointsub-bullet"/>
            </w:pPr>
            <w:r w:rsidRPr="001D5327">
              <w:rPr>
                <w:i/>
                <w:iCs/>
              </w:rPr>
              <w:t>Road transportation</w:t>
            </w:r>
            <w:r w:rsidRPr="001D5327">
              <w:t xml:space="preserve"> due to traffic growth (carbon dioxide), an increase of </w:t>
            </w:r>
            <w:r w:rsidR="00053AB2" w:rsidRPr="00053AB2">
              <w:t>5,851</w:t>
            </w:r>
            <w:r w:rsidRPr="001D5327">
              <w:t xml:space="preserve"> kt CO</w:t>
            </w:r>
            <w:r w:rsidRPr="001D5327">
              <w:rPr>
                <w:vertAlign w:val="subscript"/>
              </w:rPr>
              <w:t>2</w:t>
            </w:r>
            <w:r w:rsidRPr="001D5327">
              <w:t>-e</w:t>
            </w:r>
          </w:p>
          <w:p w14:paraId="5E6A8135" w14:textId="77777777" w:rsidR="00680C72" w:rsidRPr="001D5327" w:rsidRDefault="00680C72" w:rsidP="00EC57BF">
            <w:pPr>
              <w:pStyle w:val="Keypointsub-bullet"/>
            </w:pPr>
            <w:r w:rsidRPr="001D5327">
              <w:rPr>
                <w:i/>
                <w:iCs/>
              </w:rPr>
              <w:t>Agricultural soils</w:t>
            </w:r>
            <w:r w:rsidRPr="001D5327">
              <w:t xml:space="preserve"> due to increased fertiliser use (nitrous oxide), an increase of 1,717 kt CO</w:t>
            </w:r>
            <w:r w:rsidRPr="001D5327">
              <w:rPr>
                <w:vertAlign w:val="subscript"/>
              </w:rPr>
              <w:t>2</w:t>
            </w:r>
            <w:r w:rsidRPr="001D5327">
              <w:t>-e</w:t>
            </w:r>
          </w:p>
          <w:p w14:paraId="36EBA95E" w14:textId="24DE7C44" w:rsidR="00680C72" w:rsidRPr="001D5327" w:rsidRDefault="00680C72" w:rsidP="00EC57BF">
            <w:pPr>
              <w:pStyle w:val="Keypointsub-bullet"/>
            </w:pPr>
            <w:r w:rsidRPr="001D5327">
              <w:rPr>
                <w:i/>
                <w:iCs/>
              </w:rPr>
              <w:t>Manufacturing industries and construction</w:t>
            </w:r>
            <w:r w:rsidRPr="001D5327">
              <w:t xml:space="preserve">, due to increased fuel use (carbon dioxide), an increase of </w:t>
            </w:r>
            <w:r w:rsidR="00572C90" w:rsidRPr="00572C90">
              <w:t>1,367</w:t>
            </w:r>
            <w:r w:rsidRPr="001D5327">
              <w:t xml:space="preserve"> kt CO</w:t>
            </w:r>
            <w:r w:rsidRPr="001D5327">
              <w:rPr>
                <w:vertAlign w:val="subscript"/>
              </w:rPr>
              <w:t>2</w:t>
            </w:r>
            <w:r w:rsidRPr="001D5327">
              <w:t>-e</w:t>
            </w:r>
          </w:p>
          <w:p w14:paraId="09CD5032" w14:textId="100695D7" w:rsidR="00680C72" w:rsidRPr="001D5327" w:rsidRDefault="008605A8" w:rsidP="00EC57BF">
            <w:pPr>
              <w:pStyle w:val="Keypointsub-bullet"/>
            </w:pPr>
            <w:r w:rsidRPr="008605A8">
              <w:rPr>
                <w:i/>
                <w:iCs/>
              </w:rPr>
              <w:t>Refrigeration and air-conditioning</w:t>
            </w:r>
            <w:r w:rsidRPr="008605A8">
              <w:t xml:space="preserve"> (hydrofluorocarbons), due to growth in refrigeration and air-conditioning use, in addition to the replacement of ozone depleting substances, an increase of 1,011 kt CO</w:t>
            </w:r>
            <w:r w:rsidRPr="008605A8">
              <w:rPr>
                <w:vertAlign w:val="subscript"/>
              </w:rPr>
              <w:t>2</w:t>
            </w:r>
            <w:r w:rsidRPr="008605A8">
              <w:t>-e.</w:t>
            </w:r>
          </w:p>
          <w:p w14:paraId="248A47DC" w14:textId="77777777" w:rsidR="00680C72" w:rsidRPr="001D5327" w:rsidRDefault="00680C72" w:rsidP="00436488">
            <w:pPr>
              <w:pStyle w:val="Keypointsbullet"/>
              <w:spacing w:before="240"/>
            </w:pPr>
            <w:r w:rsidRPr="001D5327">
              <w:lastRenderedPageBreak/>
              <w:t>Emissions from the Waste sector decreased by 11 per cent (361 kt CO</w:t>
            </w:r>
            <w:r w:rsidRPr="001D5327">
              <w:rPr>
                <w:vertAlign w:val="subscript"/>
              </w:rPr>
              <w:t>2</w:t>
            </w:r>
            <w:r w:rsidRPr="001D5327">
              <w:t xml:space="preserve">-e) mainly from </w:t>
            </w:r>
            <w:r w:rsidRPr="001D5327">
              <w:rPr>
                <w:i/>
                <w:iCs/>
              </w:rPr>
              <w:t>Solid waste disposal</w:t>
            </w:r>
            <w:r w:rsidRPr="001D5327">
              <w:t xml:space="preserve"> as a result of ongoing improvements in the management of municipal landfills, particularly in landfill gas recovery.</w:t>
            </w:r>
          </w:p>
          <w:p w14:paraId="67F39784" w14:textId="77777777" w:rsidR="00680C72" w:rsidRPr="001D5327" w:rsidRDefault="00680C72" w:rsidP="00726871">
            <w:pPr>
              <w:pStyle w:val="Keypointsbullet"/>
            </w:pPr>
            <w:r w:rsidRPr="001D5327">
              <w:t>New Zealand’s net emissions have increased by 30 per cent (12,874 kt CO</w:t>
            </w:r>
            <w:r w:rsidRPr="001D5327">
              <w:rPr>
                <w:vertAlign w:val="subscript"/>
              </w:rPr>
              <w:t>2</w:t>
            </w:r>
            <w:r w:rsidRPr="001D5327">
              <w:t xml:space="preserve">-e) largely due to the increase in gross emissions in addition to the increase in emissions in the </w:t>
            </w:r>
            <w:r w:rsidRPr="001D5327">
              <w:rPr>
                <w:i/>
                <w:iCs/>
              </w:rPr>
              <w:t>Forest land</w:t>
            </w:r>
            <w:r w:rsidRPr="001D5327">
              <w:t xml:space="preserve"> and </w:t>
            </w:r>
            <w:r w:rsidRPr="001D5327">
              <w:rPr>
                <w:i/>
                <w:iCs/>
              </w:rPr>
              <w:t>Grassland</w:t>
            </w:r>
            <w:r w:rsidRPr="001D5327">
              <w:t xml:space="preserve"> categories as a result of higher levels of planted forest harvest and deforestation.</w:t>
            </w:r>
          </w:p>
          <w:p w14:paraId="07087F91" w14:textId="77777777" w:rsidR="00680C72" w:rsidRPr="001D5327" w:rsidRDefault="00680C72" w:rsidP="00436488">
            <w:pPr>
              <w:pStyle w:val="Keypointshead"/>
              <w:spacing w:before="120"/>
            </w:pPr>
            <w:r w:rsidRPr="001D5327">
              <w:t>Inventory improvements</w:t>
            </w:r>
          </w:p>
          <w:p w14:paraId="6C12A4A1" w14:textId="77777777" w:rsidR="00680C72" w:rsidRPr="001D5327" w:rsidRDefault="00680C72" w:rsidP="00726871">
            <w:pPr>
              <w:pStyle w:val="Keypointsbullet"/>
            </w:pPr>
            <w:r w:rsidRPr="001D5327">
              <w:t>Improvements were introduced to the 2025 submission of the Inventory that required emissions estimates to be recalculated across the time series back to 1990.</w:t>
            </w:r>
          </w:p>
          <w:p w14:paraId="2242B538" w14:textId="77777777" w:rsidR="00680C72" w:rsidRPr="001D5327" w:rsidRDefault="00680C72" w:rsidP="00726871">
            <w:pPr>
              <w:pStyle w:val="Keypointsbullet"/>
            </w:pPr>
            <w:r w:rsidRPr="001D5327">
              <w:t>The overall impact of improvements on New Zealand’s gross emissions estimates was a decrease of 2 per cent (1,279 kt CO</w:t>
            </w:r>
            <w:r w:rsidRPr="001D5327">
              <w:rPr>
                <w:vertAlign w:val="subscript"/>
              </w:rPr>
              <w:t>2</w:t>
            </w:r>
            <w:r w:rsidRPr="001D5327">
              <w:t>-e) in 1990 and a decrease of 1 per cent (412 kt CO</w:t>
            </w:r>
            <w:r w:rsidRPr="001D5327">
              <w:rPr>
                <w:vertAlign w:val="subscript"/>
              </w:rPr>
              <w:t>2</w:t>
            </w:r>
            <w:r w:rsidRPr="001D5327">
              <w:t>-e) in 2022.</w:t>
            </w:r>
          </w:p>
          <w:p w14:paraId="742EDB37" w14:textId="77777777" w:rsidR="00680C72" w:rsidRPr="001D5327" w:rsidRDefault="00680C72" w:rsidP="00436488">
            <w:pPr>
              <w:pStyle w:val="Keypointsbullet"/>
              <w:spacing w:after="240"/>
            </w:pPr>
            <w:r w:rsidRPr="001D5327">
              <w:t>The overall impact of improvements on New Zealand’s net emissions estimates, which include the LULUCF sector, was a decrease of 3 per cent (1,289 kt CO</w:t>
            </w:r>
            <w:r w:rsidRPr="001D5327">
              <w:rPr>
                <w:vertAlign w:val="subscript"/>
              </w:rPr>
              <w:t>2</w:t>
            </w:r>
            <w:r w:rsidRPr="001D5327">
              <w:t>-e) in 1990 and a decrease of 1 per cent (546 kt CO</w:t>
            </w:r>
            <w:r w:rsidRPr="001D5327">
              <w:rPr>
                <w:vertAlign w:val="subscript"/>
              </w:rPr>
              <w:t>2</w:t>
            </w:r>
            <w:r w:rsidRPr="001D5327">
              <w:t>-e) in 2022.</w:t>
            </w:r>
          </w:p>
        </w:tc>
      </w:tr>
    </w:tbl>
    <w:p w14:paraId="4C2B1068" w14:textId="77777777" w:rsidR="00680C72" w:rsidRPr="001D5327" w:rsidRDefault="00680C72" w:rsidP="00436488">
      <w:pPr>
        <w:pStyle w:val="Heading2"/>
        <w:tabs>
          <w:tab w:val="clear" w:pos="851"/>
          <w:tab w:val="left" w:pos="993"/>
        </w:tabs>
        <w:spacing w:before="480"/>
      </w:pPr>
      <w:bookmarkStart w:id="10" w:name="_Toc194311976"/>
      <w:bookmarkStart w:id="11" w:name="Xe5410b2ef9ca26007f44a5b182a3c59606ed245"/>
      <w:r w:rsidRPr="001D5327">
        <w:t>ES.1</w:t>
      </w:r>
      <w:r w:rsidRPr="001D5327">
        <w:tab/>
        <w:t>Background information on greenhouse gas inventories and climate change</w:t>
      </w:r>
      <w:bookmarkEnd w:id="10"/>
    </w:p>
    <w:p w14:paraId="2B214DEF" w14:textId="77777777" w:rsidR="00680C72" w:rsidRPr="001D5327" w:rsidRDefault="00680C72" w:rsidP="00680C72">
      <w:pPr>
        <w:pStyle w:val="BodyText"/>
      </w:pPr>
      <w:r w:rsidRPr="001D5327">
        <w:rPr>
          <w:i/>
          <w:iCs/>
        </w:rPr>
        <w:t>New Zealand’s Greenhouse Gas Inventory</w:t>
      </w:r>
      <w:r w:rsidRPr="001D5327">
        <w:t xml:space="preserve"> (the Inventory) is the official annual estimate of all anthropogenic (human-induced) emissions and removals of greenhouse gases (GHGs) in New Zealand.</w:t>
      </w:r>
    </w:p>
    <w:p w14:paraId="37B78FBC" w14:textId="77777777" w:rsidR="00680C72" w:rsidRPr="001D5327" w:rsidRDefault="00680C72" w:rsidP="00680C72">
      <w:pPr>
        <w:pStyle w:val="BodyText"/>
      </w:pPr>
      <w:r w:rsidRPr="001D5327">
        <w:t>The Inventory provides the official basis for measuring New Zealand’s progress under the United Nations Framework Convention on Climate Change (UNFCCC or the Convention) and the Paris Agreement, and for tracking its emissions reduction targets.</w:t>
      </w:r>
    </w:p>
    <w:p w14:paraId="1811E4D5" w14:textId="77777777" w:rsidR="00680C72" w:rsidRPr="001D5327" w:rsidRDefault="00680C72" w:rsidP="00680C72">
      <w:pPr>
        <w:pStyle w:val="BodyText"/>
      </w:pPr>
      <w:r w:rsidRPr="001D5327">
        <w:t>New Zealand ratified the Convention on 16 September 1993 and the Paris Agreement on 4 October 2016. This commits New Zealand to submitting the Inventory under the Convention by 15 April of each year. From the 2024 reporting year onwards, the obligations for submitting annual greenhouse gas inventories under the Convention are met by applying the reporting guidelines for greenhouse gas inventories agreed to under the Paris Agreement (decision 1/CP.24).</w:t>
      </w:r>
    </w:p>
    <w:p w14:paraId="01848870" w14:textId="77777777" w:rsidR="00680C72" w:rsidRPr="001D5327" w:rsidRDefault="00680C72" w:rsidP="00680C72">
      <w:pPr>
        <w:pStyle w:val="BodyText"/>
      </w:pPr>
      <w:r w:rsidRPr="001D5327">
        <w:t>New Zealand’s ratification of the Convention and the Paris Agreement was extended to include Tokelau on 13 November 2017. Greenhouse gas emissions and removals estimates from Tokelau have therefore been included in the Inventory since the 2019 submission.</w:t>
      </w:r>
    </w:p>
    <w:p w14:paraId="5472E7FC" w14:textId="77777777" w:rsidR="00680C72" w:rsidRPr="001D5327" w:rsidRDefault="00680C72" w:rsidP="00680C72">
      <w:pPr>
        <w:pStyle w:val="BodyText"/>
      </w:pPr>
      <w:r w:rsidRPr="001D5327">
        <w:t>The Inventory adheres to the modalities, procedures and guidelines (MPGs) contained in the annex to decision 18/CMA.1 (UNFCCC, 2018) and the guidance for operationalising the MPGs contained in annexes I and V to decision 5/CMA.3 (UNFCCC, 2021). These MPGs supersede the measurement, reporting and verification system established by decisions 1/CP.16 and 2/CP.17. The Inventory includes a comprehensive and detailed description of the methodologies applied for estimating national sources and sinks of anthropogenic GHGs, and a common and consistent format that enables Parties to the Convention and Paris Agreement to compare the relative contribution of different emissions sources and GHGs to climate change.</w:t>
      </w:r>
    </w:p>
    <w:p w14:paraId="573A8A56" w14:textId="77777777" w:rsidR="00680C72" w:rsidRPr="001D5327" w:rsidRDefault="00680C72" w:rsidP="00680C72">
      <w:pPr>
        <w:pStyle w:val="BodyText"/>
      </w:pPr>
      <w:r w:rsidRPr="001D5327">
        <w:t xml:space="preserve">The Inventory comprises a national inventory document and a set of common reporting tables (CRTs). The national inventory document is a narrative that presents key findings, major emissions trends, and methodologies used for estimating emissions and removals. </w:t>
      </w:r>
      <w:r w:rsidRPr="001D5327">
        <w:lastRenderedPageBreak/>
        <w:t>It also includes sections on the uncertainties of the emissions estimates, recalculations and improvements. The CRTs contain inventory estimates that cover all emissions and removals from human-induced activities in New Zealand.</w:t>
      </w:r>
    </w:p>
    <w:p w14:paraId="7BD9D7BC" w14:textId="77777777" w:rsidR="00680C72" w:rsidRPr="001D5327" w:rsidRDefault="00680C72" w:rsidP="00680C72">
      <w:pPr>
        <w:pStyle w:val="BodyText"/>
      </w:pPr>
      <w:r w:rsidRPr="001D5327">
        <w:t>Inventory reporting covers seven direct GHGs: carbon dioxide (CO</w:t>
      </w:r>
      <w:r w:rsidRPr="001D5327">
        <w:rPr>
          <w:vertAlign w:val="subscript"/>
        </w:rPr>
        <w:t>2</w:t>
      </w:r>
      <w:r w:rsidRPr="001D5327">
        <w:t>), methane (CH</w:t>
      </w:r>
      <w:r w:rsidRPr="001D5327">
        <w:rPr>
          <w:vertAlign w:val="subscript"/>
        </w:rPr>
        <w:t>4</w:t>
      </w:r>
      <w:r w:rsidRPr="001D5327">
        <w:t>), nitrous oxide (N</w:t>
      </w:r>
      <w:r w:rsidRPr="001D5327">
        <w:rPr>
          <w:vertAlign w:val="subscript"/>
        </w:rPr>
        <w:t>2</w:t>
      </w:r>
      <w:r w:rsidRPr="001D5327">
        <w:t>O), hydrofluorocarbons (HFCs), perfluorocarbons (PFCs), sulphur hexafluoride (SF</w:t>
      </w:r>
      <w:r w:rsidRPr="001D5327">
        <w:rPr>
          <w:vertAlign w:val="subscript"/>
        </w:rPr>
        <w:t>6</w:t>
      </w:r>
      <w:r w:rsidRPr="001D5327">
        <w:t>) and nitrogen trifluoride (NF</w:t>
      </w:r>
      <w:r w:rsidRPr="001D5327">
        <w:rPr>
          <w:vertAlign w:val="subscript"/>
        </w:rPr>
        <w:t>3</w:t>
      </w:r>
      <w:r w:rsidRPr="001D5327">
        <w:t>). These are the most important GHGs directly emitted as a result of human activities. Indirect GHGs are also included in this report; however, only emissions and removals of the direct GHGs are included in estimates of total national emissions.</w:t>
      </w:r>
    </w:p>
    <w:p w14:paraId="6F3646F9" w14:textId="77777777" w:rsidR="00680C72" w:rsidRPr="001D5327" w:rsidRDefault="00680C72" w:rsidP="00680C72">
      <w:pPr>
        <w:pStyle w:val="BodyText"/>
      </w:pPr>
      <w:r w:rsidRPr="001D5327">
        <w:t>New Zealand’s GHGs are reported under five sectors: Energy; Industrial Processes and Product Use (IPPU); Agriculture; Land Use, Land-Use Change and Forestry (LULUCF); and Waste. Tokelau’s emissions are also reported separately by sector as ‘Other’.</w:t>
      </w:r>
    </w:p>
    <w:p w14:paraId="104DAC15" w14:textId="77777777" w:rsidR="00680C72" w:rsidRPr="001D5327" w:rsidRDefault="00680C72" w:rsidP="00C72031">
      <w:pPr>
        <w:pStyle w:val="Heading2"/>
        <w:tabs>
          <w:tab w:val="clear" w:pos="851"/>
          <w:tab w:val="left" w:pos="993"/>
        </w:tabs>
      </w:pPr>
      <w:bookmarkStart w:id="12" w:name="_Toc194311977"/>
      <w:bookmarkStart w:id="13" w:name="X027b55f82022d9a24d92508a06758f8547dfbfd"/>
      <w:bookmarkEnd w:id="11"/>
      <w:r w:rsidRPr="001D5327">
        <w:t>ES.2</w:t>
      </w:r>
      <w:r w:rsidRPr="001D5327">
        <w:tab/>
        <w:t>Summary of trends related to national emissions and removals</w:t>
      </w:r>
      <w:bookmarkEnd w:id="12"/>
    </w:p>
    <w:p w14:paraId="0ECF4B38" w14:textId="77777777" w:rsidR="00680C72" w:rsidRPr="001D5327" w:rsidRDefault="00680C72" w:rsidP="00680C72">
      <w:pPr>
        <w:pStyle w:val="Heading3"/>
        <w:spacing w:before="240"/>
      </w:pPr>
      <w:bookmarkStart w:id="14" w:name="gross-emissions"/>
      <w:r w:rsidRPr="001D5327">
        <w:t>Gross emissions</w:t>
      </w:r>
    </w:p>
    <w:p w14:paraId="41854F8D" w14:textId="77777777" w:rsidR="00680C72" w:rsidRPr="001D5327" w:rsidRDefault="00680C72" w:rsidP="00680C72">
      <w:pPr>
        <w:pStyle w:val="BodyText"/>
      </w:pPr>
      <w:r w:rsidRPr="001D5327">
        <w:t>Gross emissions include those from the Energy, IPPU, Agriculture and Waste sectors, and Tokelau, but do not include emissions and removals from the LULUCF sector.</w:t>
      </w:r>
    </w:p>
    <w:p w14:paraId="3249B482" w14:textId="77777777" w:rsidR="00680C72" w:rsidRPr="001D5327" w:rsidRDefault="00680C72" w:rsidP="00680C72">
      <w:pPr>
        <w:pStyle w:val="Heading4"/>
      </w:pPr>
      <w:r w:rsidRPr="001D5327">
        <w:t>2022–2023</w:t>
      </w:r>
    </w:p>
    <w:p w14:paraId="509EA25D" w14:textId="77777777" w:rsidR="00680C72" w:rsidRPr="001D5327" w:rsidRDefault="00680C72" w:rsidP="00680C72">
      <w:pPr>
        <w:pStyle w:val="BodyText"/>
      </w:pPr>
      <w:r w:rsidRPr="001D5327">
        <w:t>In 2023, gross emissions were 76,416.3 kilotonnes carbon dioxide equivalent (kt CO</w:t>
      </w:r>
      <w:r w:rsidRPr="001D5327">
        <w:rPr>
          <w:vertAlign w:val="subscript"/>
        </w:rPr>
        <w:t>2</w:t>
      </w:r>
      <w:r w:rsidRPr="001D5327">
        <w:t>-e). Between 2022 and 2023, New Zealand’s gross emissions decreased by 2.0 per cent (1,566.8 kt CO</w:t>
      </w:r>
      <w:r w:rsidRPr="001D5327">
        <w:rPr>
          <w:vertAlign w:val="subscript"/>
        </w:rPr>
        <w:t>2</w:t>
      </w:r>
      <w:r w:rsidRPr="001D5327">
        <w:t>-e). While emissions decreases were observed in all sectors, the largest reductions were in the Agriculture sector, with a decrease of 2.2 per cent (908.4 kt CO</w:t>
      </w:r>
      <w:r w:rsidRPr="001D5327">
        <w:rPr>
          <w:vertAlign w:val="subscript"/>
        </w:rPr>
        <w:t>2</w:t>
      </w:r>
      <w:r w:rsidRPr="001D5327">
        <w:t xml:space="preserve">-e), due to the combined </w:t>
      </w:r>
      <w:r w:rsidRPr="001D5327">
        <w:rPr>
          <w:spacing w:val="-2"/>
        </w:rPr>
        <w:t xml:space="preserve">impact of reductions in the </w:t>
      </w:r>
      <w:r w:rsidRPr="001D5327">
        <w:rPr>
          <w:i/>
          <w:iCs/>
          <w:spacing w:val="-2"/>
        </w:rPr>
        <w:t>Enteric fermentation</w:t>
      </w:r>
      <w:r w:rsidRPr="001D5327">
        <w:rPr>
          <w:spacing w:val="-2"/>
        </w:rPr>
        <w:t xml:space="preserve"> from </w:t>
      </w:r>
      <w:r w:rsidRPr="001D5327">
        <w:rPr>
          <w:i/>
          <w:iCs/>
          <w:spacing w:val="-2"/>
        </w:rPr>
        <w:t>Sheep</w:t>
      </w:r>
      <w:r w:rsidRPr="001D5327">
        <w:rPr>
          <w:spacing w:val="-2"/>
        </w:rPr>
        <w:t xml:space="preserve">, </w:t>
      </w:r>
      <w:r w:rsidRPr="001D5327">
        <w:rPr>
          <w:i/>
          <w:iCs/>
          <w:spacing w:val="-2"/>
        </w:rPr>
        <w:t>Dairy cattle</w:t>
      </w:r>
      <w:r w:rsidRPr="001D5327">
        <w:rPr>
          <w:spacing w:val="-2"/>
        </w:rPr>
        <w:t xml:space="preserve"> and </w:t>
      </w:r>
      <w:r w:rsidRPr="001D5327">
        <w:rPr>
          <w:i/>
          <w:iCs/>
          <w:spacing w:val="-2"/>
        </w:rPr>
        <w:t xml:space="preserve">Liming </w:t>
      </w:r>
      <w:r w:rsidRPr="001D5327">
        <w:rPr>
          <w:spacing w:val="-2"/>
        </w:rPr>
        <w:t>categories</w:t>
      </w:r>
      <w:r w:rsidRPr="001D5327">
        <w:t>. The largest contributors by category to the overall decrease in emissions were from:</w:t>
      </w:r>
    </w:p>
    <w:p w14:paraId="70C79A08" w14:textId="77777777" w:rsidR="00680C72" w:rsidRPr="001D5327" w:rsidRDefault="00680C72" w:rsidP="00680C72">
      <w:pPr>
        <w:pStyle w:val="Bullet"/>
      </w:pPr>
      <w:r w:rsidRPr="001D5327">
        <w:rPr>
          <w:i/>
          <w:iCs/>
        </w:rPr>
        <w:t>Product uses as substitutes for ODS</w:t>
      </w:r>
      <w:r w:rsidRPr="001D5327">
        <w:t xml:space="preserve"> (HFCs)</w:t>
      </w:r>
    </w:p>
    <w:p w14:paraId="346D135A" w14:textId="77777777" w:rsidR="00680C72" w:rsidRPr="001D5327" w:rsidRDefault="00680C72" w:rsidP="00680C72">
      <w:pPr>
        <w:pStyle w:val="Bullet"/>
      </w:pPr>
      <w:r w:rsidRPr="001D5327">
        <w:rPr>
          <w:i/>
          <w:iCs/>
        </w:rPr>
        <w:t>Enteric fermentation – Sheep</w:t>
      </w:r>
      <w:r w:rsidRPr="001D5327">
        <w:t xml:space="preserve"> (CH</w:t>
      </w:r>
      <w:r w:rsidRPr="001D5327">
        <w:rPr>
          <w:vertAlign w:val="subscript"/>
        </w:rPr>
        <w:t>4</w:t>
      </w:r>
      <w:r w:rsidRPr="001D5327">
        <w:t>)</w:t>
      </w:r>
    </w:p>
    <w:p w14:paraId="578C33A5" w14:textId="77777777" w:rsidR="00680C72" w:rsidRPr="001D5327" w:rsidRDefault="00680C72" w:rsidP="00680C72">
      <w:pPr>
        <w:pStyle w:val="Bullet"/>
      </w:pPr>
      <w:r w:rsidRPr="001D5327">
        <w:rPr>
          <w:i/>
          <w:iCs/>
        </w:rPr>
        <w:t>Enteric fermentation – Dairy cattle</w:t>
      </w:r>
      <w:r w:rsidRPr="001D5327">
        <w:t xml:space="preserve"> (CH</w:t>
      </w:r>
      <w:r w:rsidRPr="001D5327">
        <w:rPr>
          <w:vertAlign w:val="subscript"/>
        </w:rPr>
        <w:t>4</w:t>
      </w:r>
      <w:r w:rsidRPr="001D5327">
        <w:t>)</w:t>
      </w:r>
    </w:p>
    <w:p w14:paraId="38A61383" w14:textId="77777777" w:rsidR="00680C72" w:rsidRPr="001D5327" w:rsidRDefault="00680C72" w:rsidP="00680C72">
      <w:pPr>
        <w:pStyle w:val="Bullet"/>
      </w:pPr>
      <w:r w:rsidRPr="001D5327">
        <w:rPr>
          <w:i/>
          <w:iCs/>
        </w:rPr>
        <w:t>Liming</w:t>
      </w:r>
      <w:r w:rsidRPr="001D5327">
        <w:t xml:space="preserve"> (CO</w:t>
      </w:r>
      <w:r w:rsidRPr="001D5327">
        <w:rPr>
          <w:vertAlign w:val="subscript"/>
        </w:rPr>
        <w:t>2</w:t>
      </w:r>
      <w:r w:rsidRPr="001D5327">
        <w:t>).</w:t>
      </w:r>
    </w:p>
    <w:p w14:paraId="564768DF" w14:textId="77777777" w:rsidR="00680C72" w:rsidRPr="001D5327" w:rsidRDefault="00680C72" w:rsidP="00680C72">
      <w:pPr>
        <w:pStyle w:val="BodyText"/>
      </w:pPr>
      <w:r w:rsidRPr="001D5327">
        <w:t xml:space="preserve">The reduction in emissions from the </w:t>
      </w:r>
      <w:r w:rsidRPr="001D5327">
        <w:rPr>
          <w:i/>
          <w:iCs/>
        </w:rPr>
        <w:t>Enteric fermentation</w:t>
      </w:r>
      <w:r w:rsidRPr="001D5327">
        <w:t xml:space="preserve"> from </w:t>
      </w:r>
      <w:r w:rsidRPr="001D5327">
        <w:rPr>
          <w:i/>
          <w:iCs/>
        </w:rPr>
        <w:t>Sheep</w:t>
      </w:r>
      <w:r w:rsidRPr="001D5327">
        <w:t xml:space="preserve"> category was due to a decrease in the sheep population. This is a continuation of the long-term trend, which reflects the declining profitability of sheep farming relative to other land uses.</w:t>
      </w:r>
    </w:p>
    <w:p w14:paraId="0C8F1C84" w14:textId="77777777" w:rsidR="00680C72" w:rsidRPr="001D5327" w:rsidRDefault="00680C72" w:rsidP="00680C72">
      <w:pPr>
        <w:pStyle w:val="BodyText"/>
      </w:pPr>
      <w:r w:rsidRPr="001D5327">
        <w:t xml:space="preserve">The reduction in emissions from the </w:t>
      </w:r>
      <w:r w:rsidRPr="001D5327">
        <w:rPr>
          <w:i/>
          <w:iCs/>
        </w:rPr>
        <w:t>Enteric fermentation</w:t>
      </w:r>
      <w:r w:rsidRPr="001D5327">
        <w:t xml:space="preserve"> from </w:t>
      </w:r>
      <w:r w:rsidRPr="001D5327">
        <w:rPr>
          <w:i/>
          <w:iCs/>
        </w:rPr>
        <w:t>Dairy cattle</w:t>
      </w:r>
      <w:r w:rsidRPr="001D5327">
        <w:t xml:space="preserve"> category was due to a decrease in the dairy cattle population.</w:t>
      </w:r>
    </w:p>
    <w:p w14:paraId="69459DD6" w14:textId="77777777" w:rsidR="00680C72" w:rsidRPr="001D5327" w:rsidRDefault="00680C72" w:rsidP="00680C72">
      <w:pPr>
        <w:pStyle w:val="BodyText"/>
      </w:pPr>
      <w:r w:rsidRPr="001D5327">
        <w:t xml:space="preserve">The reduction in emissions from </w:t>
      </w:r>
      <w:r w:rsidRPr="001D5327">
        <w:rPr>
          <w:i/>
          <w:iCs/>
        </w:rPr>
        <w:t>Liming</w:t>
      </w:r>
      <w:r w:rsidRPr="001D5327">
        <w:t xml:space="preserve"> was due to a reduction in </w:t>
      </w:r>
      <w:r w:rsidRPr="001D5327">
        <w:rPr>
          <w:i/>
          <w:iCs/>
        </w:rPr>
        <w:t>Limestone</w:t>
      </w:r>
      <w:r w:rsidRPr="001D5327">
        <w:t xml:space="preserve"> emissions, which reflects a continuation of the long-term trend of decreasing limestone application combined with historically high year-to-year variation.</w:t>
      </w:r>
    </w:p>
    <w:p w14:paraId="2EC50930" w14:textId="77777777" w:rsidR="00680C72" w:rsidRPr="001D5327" w:rsidRDefault="00680C72" w:rsidP="00680C72">
      <w:pPr>
        <w:pStyle w:val="BodyText"/>
      </w:pPr>
      <w:r w:rsidRPr="001D5327">
        <w:t>Emissions from the Energy, IPPU and Waste sectors decreased by 0.8 per cent, 9.3 per cent and 0.7 per cent respectively. Emissions from Tokelau decreased by 10.4 per cent, due largely to a reduction in diesel fuel use.</w:t>
      </w:r>
    </w:p>
    <w:p w14:paraId="57FE463C" w14:textId="0F9AB22C" w:rsidR="00680C72" w:rsidRPr="001D5327" w:rsidRDefault="00680C72" w:rsidP="00680C72">
      <w:pPr>
        <w:pStyle w:val="BodyText"/>
      </w:pPr>
      <w:r w:rsidRPr="001D5327">
        <w:lastRenderedPageBreak/>
        <w:t xml:space="preserve">While the Agriculture sector contributed the overall largest decrease in emissions between 2022 and 2023, the category with the largest decrease was in IPPU: HFCs from </w:t>
      </w:r>
      <w:r w:rsidRPr="001D5327">
        <w:rPr>
          <w:i/>
          <w:iCs/>
        </w:rPr>
        <w:t>Product uses as substitutes for ODS</w:t>
      </w:r>
      <w:r w:rsidRPr="001D5327">
        <w:t xml:space="preserve"> represented the largest decrease in emissions (352.6 kt CO</w:t>
      </w:r>
      <w:r w:rsidRPr="001D5327">
        <w:rPr>
          <w:vertAlign w:val="subscript"/>
        </w:rPr>
        <w:t>2</w:t>
      </w:r>
      <w:r w:rsidRPr="001D5327">
        <w:t xml:space="preserve">-e). The main reasons for the decrease were that, following two exceptional years impacted by an increase in heat pump sales and an associated increase in emissions from the disposal of retired equipment, </w:t>
      </w:r>
      <w:r w:rsidR="00F74AC7" w:rsidRPr="00F74AC7">
        <w:t>heat pump sales slowed in 2023 and disposal emissions decreased</w:t>
      </w:r>
      <w:r w:rsidRPr="001D5327">
        <w:t>.</w:t>
      </w:r>
    </w:p>
    <w:p w14:paraId="50D956CB" w14:textId="77777777" w:rsidR="00680C72" w:rsidRPr="001D5327" w:rsidRDefault="00680C72" w:rsidP="00680C72">
      <w:pPr>
        <w:pStyle w:val="Heading4"/>
      </w:pPr>
      <w:r w:rsidRPr="001D5327">
        <w:t>1990–2023</w:t>
      </w:r>
    </w:p>
    <w:p w14:paraId="3CE39246" w14:textId="77777777" w:rsidR="00680C72" w:rsidRPr="001D5327" w:rsidRDefault="00680C72" w:rsidP="00680C72">
      <w:pPr>
        <w:pStyle w:val="BodyText"/>
      </w:pPr>
      <w:r w:rsidRPr="001D5327">
        <w:t>In 1990, New Zealand’s gross GHG emissions were 67,678.9 kt CO</w:t>
      </w:r>
      <w:r w:rsidRPr="001D5327">
        <w:rPr>
          <w:vertAlign w:val="subscript"/>
        </w:rPr>
        <w:t>2</w:t>
      </w:r>
      <w:r w:rsidRPr="001D5327">
        <w:t>-e. Between 1990 and 2023, GHG emissions increased by 12.9 per cent (8,737.4 kt CO</w:t>
      </w:r>
      <w:r w:rsidRPr="001D5327">
        <w:rPr>
          <w:vertAlign w:val="subscript"/>
        </w:rPr>
        <w:t>2</w:t>
      </w:r>
      <w:r w:rsidRPr="001D5327">
        <w:t>-e) to 76,416.3 kt CO</w:t>
      </w:r>
      <w:r w:rsidRPr="001D5327">
        <w:rPr>
          <w:vertAlign w:val="subscript"/>
        </w:rPr>
        <w:t>2</w:t>
      </w:r>
      <w:r w:rsidRPr="001D5327">
        <w:t>-e in 2023 (see figure ES 2.1).</w:t>
      </w:r>
    </w:p>
    <w:p w14:paraId="016F49D2" w14:textId="77777777" w:rsidR="00680C72" w:rsidRPr="001D5327" w:rsidRDefault="00680C72" w:rsidP="00680C72">
      <w:pPr>
        <w:pStyle w:val="BodyText"/>
      </w:pPr>
      <w:r w:rsidRPr="001D5327">
        <w:t>From 1990 to 2023, the average annual growth in gross emissions was 0.4 per cent.</w:t>
      </w:r>
    </w:p>
    <w:p w14:paraId="256FAE38" w14:textId="77777777" w:rsidR="00680C72" w:rsidRPr="001D5327" w:rsidRDefault="00680C72" w:rsidP="00680C72">
      <w:pPr>
        <w:pStyle w:val="BodyText"/>
      </w:pPr>
      <w:r w:rsidRPr="001D5327">
        <w:t xml:space="preserve">The emissions categories that contributed the most to this increase in gross emissions were: </w:t>
      </w:r>
      <w:r w:rsidRPr="001D5327">
        <w:rPr>
          <w:i/>
          <w:iCs/>
        </w:rPr>
        <w:t>Enteric fermentation</w:t>
      </w:r>
      <w:r w:rsidRPr="001D5327">
        <w:rPr>
          <w:rStyle w:val="FootnoteReference"/>
        </w:rPr>
        <w:footnoteReference w:id="2"/>
      </w:r>
      <w:r w:rsidRPr="001D5327">
        <w:t xml:space="preserve"> from </w:t>
      </w:r>
      <w:r w:rsidRPr="001D5327">
        <w:rPr>
          <w:i/>
          <w:iCs/>
        </w:rPr>
        <w:t>Dairy cattle</w:t>
      </w:r>
      <w:r w:rsidRPr="001D5327">
        <w:t xml:space="preserve">, </w:t>
      </w:r>
      <w:r w:rsidRPr="001D5327">
        <w:rPr>
          <w:i/>
          <w:iCs/>
        </w:rPr>
        <w:t>Road transportation</w:t>
      </w:r>
      <w:r w:rsidRPr="001D5327">
        <w:t xml:space="preserve">, </w:t>
      </w:r>
      <w:r w:rsidRPr="001D5327">
        <w:rPr>
          <w:i/>
          <w:iCs/>
        </w:rPr>
        <w:t>Agricultural soils</w:t>
      </w:r>
      <w:r w:rsidRPr="001D5327">
        <w:t xml:space="preserve">, </w:t>
      </w:r>
      <w:r w:rsidRPr="001D5327">
        <w:rPr>
          <w:i/>
          <w:iCs/>
        </w:rPr>
        <w:t>Manufacturing industries and construction</w:t>
      </w:r>
      <w:r w:rsidRPr="001D5327">
        <w:t xml:space="preserve"> (particularly from the </w:t>
      </w:r>
      <w:r w:rsidRPr="001D5327">
        <w:rPr>
          <w:i/>
          <w:iCs/>
        </w:rPr>
        <w:t>Food processing, beverages and tobacco</w:t>
      </w:r>
      <w:r w:rsidRPr="001D5327">
        <w:t xml:space="preserve"> category) and </w:t>
      </w:r>
      <w:r w:rsidRPr="001D5327">
        <w:rPr>
          <w:i/>
          <w:iCs/>
        </w:rPr>
        <w:t>Product uses as substitutes for ozone depleting substances (ODS)</w:t>
      </w:r>
      <w:r w:rsidRPr="001D5327">
        <w:t>.</w:t>
      </w:r>
    </w:p>
    <w:p w14:paraId="487B6546" w14:textId="3C7E4189" w:rsidR="00680C72" w:rsidRPr="001D5327" w:rsidRDefault="00680C72" w:rsidP="00680C72">
      <w:pPr>
        <w:pStyle w:val="Figure"/>
      </w:pPr>
      <w:bookmarkStart w:id="15" w:name="_Toc194674817"/>
      <w:r w:rsidRPr="001D5327">
        <w:rPr>
          <w:bCs/>
        </w:rPr>
        <w:t>Figure ES 2.1</w:t>
      </w:r>
      <w:r w:rsidRPr="001D5327">
        <w:tab/>
        <w:t>New Zealand’s gross and net emissions (under the Convention), from</w:t>
      </w:r>
      <w:r w:rsidR="002E14E1" w:rsidRPr="001D5327">
        <w:t xml:space="preserve"> </w:t>
      </w:r>
      <w:r w:rsidRPr="001D5327">
        <w:rPr>
          <w:bCs/>
        </w:rPr>
        <w:t>1990</w:t>
      </w:r>
      <w:r w:rsidR="002E14E1" w:rsidRPr="001D5327">
        <w:t> </w:t>
      </w:r>
      <w:r w:rsidRPr="001D5327">
        <w:t>to</w:t>
      </w:r>
      <w:r w:rsidR="002E14E1" w:rsidRPr="001D5327">
        <w:t> </w:t>
      </w:r>
      <w:r w:rsidRPr="001D5327">
        <w:rPr>
          <w:bCs/>
        </w:rPr>
        <w:t>2023</w:t>
      </w:r>
      <w:bookmarkEnd w:id="15"/>
    </w:p>
    <w:p w14:paraId="40E905FC" w14:textId="77777777" w:rsidR="00680C72" w:rsidRPr="001D5327" w:rsidRDefault="00680C72" w:rsidP="00680C72">
      <w:pPr>
        <w:pStyle w:val="BodyText"/>
      </w:pPr>
      <w:r w:rsidRPr="001D5327">
        <w:rPr>
          <w:noProof/>
        </w:rPr>
        <w:drawing>
          <wp:inline distT="0" distB="0" distL="0" distR="0" wp14:anchorId="04B3953E" wp14:editId="78712AC3">
            <wp:extent cx="5397500" cy="4048125"/>
            <wp:effectExtent l="0" t="0" r="0" b="0"/>
            <wp:docPr id="23" name="Picture"/>
            <wp:cNvGraphicFramePr/>
            <a:graphic xmlns:a="http://schemas.openxmlformats.org/drawingml/2006/main">
              <a:graphicData uri="http://schemas.openxmlformats.org/drawingml/2006/picture">
                <pic:pic xmlns:pic="http://schemas.openxmlformats.org/drawingml/2006/picture">
                  <pic:nvPicPr>
                    <pic:cNvPr id="24" name="Picture" descr="code/graphs/images/es_2_1_crf.png"/>
                    <pic:cNvPicPr>
                      <a:picLocks noChangeAspect="1" noChangeArrowheads="1"/>
                    </pic:cNvPicPr>
                  </pic:nvPicPr>
                  <pic:blipFill>
                    <a:blip r:embed="rId27"/>
                    <a:stretch>
                      <a:fillRect/>
                    </a:stretch>
                  </pic:blipFill>
                  <pic:spPr bwMode="auto">
                    <a:xfrm>
                      <a:off x="0" y="0"/>
                      <a:ext cx="5397500" cy="4048125"/>
                    </a:xfrm>
                    <a:prstGeom prst="rect">
                      <a:avLst/>
                    </a:prstGeom>
                    <a:noFill/>
                    <a:ln w="9525">
                      <a:noFill/>
                      <a:headEnd/>
                      <a:tailEnd/>
                    </a:ln>
                  </pic:spPr>
                </pic:pic>
              </a:graphicData>
            </a:graphic>
          </wp:inline>
        </w:drawing>
      </w:r>
    </w:p>
    <w:p w14:paraId="469764B8" w14:textId="50059071" w:rsidR="00680C72" w:rsidRPr="001D5327" w:rsidRDefault="00680C72" w:rsidP="00C72031">
      <w:pPr>
        <w:pStyle w:val="BodyText"/>
        <w:keepLines/>
      </w:pPr>
      <w:r w:rsidRPr="001D5327">
        <w:lastRenderedPageBreak/>
        <w:t>Restrictions on activity and movement as part of the response to the coronavirus (COVID-19) pandemic during the 2020 calendar year saw significant disruption to economic activity throughout New Zealand. The effects on the Energy sector were particularly notable, with national energy consumption falling 7.2 per cent compared with the 2019 level. The sector saw</w:t>
      </w:r>
      <w:r w:rsidR="00C72031" w:rsidRPr="001D5327">
        <w:t> </w:t>
      </w:r>
      <w:r w:rsidRPr="001D5327">
        <w:t xml:space="preserve">a slight rebound during 2021, but energy consumption has remained well below pre-2020 levels in subsequent years. </w:t>
      </w:r>
    </w:p>
    <w:p w14:paraId="38FFCE52" w14:textId="77777777" w:rsidR="00680C72" w:rsidRPr="001D5327" w:rsidRDefault="00680C72" w:rsidP="00680C72">
      <w:pPr>
        <w:pStyle w:val="Heading3"/>
      </w:pPr>
      <w:bookmarkStart w:id="16" w:name="net-emissions"/>
      <w:bookmarkEnd w:id="14"/>
      <w:r w:rsidRPr="001D5327">
        <w:t>Net emissions</w:t>
      </w:r>
    </w:p>
    <w:p w14:paraId="489AF3B5" w14:textId="77777777" w:rsidR="00680C72" w:rsidRPr="001D5327" w:rsidRDefault="00680C72" w:rsidP="00680C72">
      <w:pPr>
        <w:pStyle w:val="BodyText"/>
      </w:pPr>
      <w:r w:rsidRPr="001D5327">
        <w:t xml:space="preserve">Net emissions include gross emissions as defined above (i.e., from the Energy, IPPU, Agriculture and Waste sectors, including Tokelau) and net emissions from the LULUCF sector. </w:t>
      </w:r>
    </w:p>
    <w:p w14:paraId="7B845160" w14:textId="77777777" w:rsidR="00680C72" w:rsidRPr="001D5327" w:rsidRDefault="00680C72" w:rsidP="00680C72">
      <w:pPr>
        <w:pStyle w:val="Heading4"/>
      </w:pPr>
      <w:r w:rsidRPr="001D5327">
        <w:t>2022–2023</w:t>
      </w:r>
    </w:p>
    <w:p w14:paraId="1E32BBED" w14:textId="78DECAE5" w:rsidR="00680C72" w:rsidRPr="001D5327" w:rsidRDefault="00680C72" w:rsidP="00680C72">
      <w:pPr>
        <w:pStyle w:val="BodyText"/>
      </w:pPr>
      <w:r w:rsidRPr="001D5327">
        <w:t>In 2023, New Zealand’s net emissions were 56,219.2 kt CO</w:t>
      </w:r>
      <w:r w:rsidRPr="001D5327">
        <w:rPr>
          <w:vertAlign w:val="subscript"/>
        </w:rPr>
        <w:t>2</w:t>
      </w:r>
      <w:r w:rsidRPr="001D5327">
        <w:t>-e. Between 2022 and 2023, New Zealand’s net emissions decreased by 4.1 per cent (2,391.2 kt CO</w:t>
      </w:r>
      <w:r w:rsidRPr="001D5327">
        <w:rPr>
          <w:vertAlign w:val="subscript"/>
        </w:rPr>
        <w:t>2</w:t>
      </w:r>
      <w:r w:rsidRPr="001D5327">
        <w:t xml:space="preserve">-e). This was due to the overall decrease in gross emissions and a decrease in net emissions of 4.3 per cent </w:t>
      </w:r>
      <w:r w:rsidRPr="001D5327">
        <w:br/>
        <w:t>(824.4 kt CO</w:t>
      </w:r>
      <w:r w:rsidRPr="001D5327">
        <w:rPr>
          <w:vertAlign w:val="subscript"/>
        </w:rPr>
        <w:t>2</w:t>
      </w:r>
      <w:r w:rsidRPr="001D5327">
        <w:t xml:space="preserve">-e) from the LULUCF sector. The decrease in net emissions was driven by a decrease in emissions in </w:t>
      </w:r>
      <w:r w:rsidRPr="001D5327">
        <w:rPr>
          <w:i/>
          <w:iCs/>
        </w:rPr>
        <w:t>Forest land remaining forest land</w:t>
      </w:r>
      <w:r w:rsidRPr="001D5327">
        <w:t xml:space="preserve"> and </w:t>
      </w:r>
      <w:r w:rsidRPr="001D5327">
        <w:rPr>
          <w:i/>
          <w:iCs/>
        </w:rPr>
        <w:t xml:space="preserve">Land converted to </w:t>
      </w:r>
      <w:r w:rsidR="00083C68" w:rsidRPr="00083C68">
        <w:rPr>
          <w:i/>
          <w:iCs/>
        </w:rPr>
        <w:t>grassland</w:t>
      </w:r>
      <w:r w:rsidRPr="001D5327">
        <w:t xml:space="preserve"> in</w:t>
      </w:r>
      <w:r w:rsidR="00F80E20" w:rsidRPr="001D5327">
        <w:t> </w:t>
      </w:r>
      <w:r w:rsidRPr="001D5327">
        <w:t xml:space="preserve">the LULUCF sector, and the reduction in emissions from </w:t>
      </w:r>
      <w:r w:rsidRPr="001D5327">
        <w:rPr>
          <w:i/>
          <w:iCs/>
        </w:rPr>
        <w:t>Product uses as substitutes for ODS</w:t>
      </w:r>
      <w:r w:rsidRPr="001D5327">
        <w:t xml:space="preserve"> in the IPPU sector.</w:t>
      </w:r>
    </w:p>
    <w:p w14:paraId="1B6023E1" w14:textId="77777777" w:rsidR="00680C72" w:rsidRPr="001D5327" w:rsidRDefault="00680C72" w:rsidP="00680C72">
      <w:pPr>
        <w:pStyle w:val="BodyText"/>
      </w:pPr>
      <w:r w:rsidRPr="001D5327">
        <w:rPr>
          <w:spacing w:val="-2"/>
        </w:rPr>
        <w:t>The decrease in the LULUCF sector was largely driven by emissions reductions of 952.1 kt CO</w:t>
      </w:r>
      <w:r w:rsidRPr="001D5327">
        <w:rPr>
          <w:spacing w:val="-2"/>
          <w:vertAlign w:val="subscript"/>
        </w:rPr>
        <w:t>2</w:t>
      </w:r>
      <w:r w:rsidRPr="001D5327">
        <w:rPr>
          <w:spacing w:val="-2"/>
        </w:rPr>
        <w:t>-e</w:t>
      </w:r>
      <w:r w:rsidRPr="001D5327">
        <w:t xml:space="preserve"> in the </w:t>
      </w:r>
      <w:r w:rsidRPr="001D5327">
        <w:rPr>
          <w:i/>
          <w:iCs/>
        </w:rPr>
        <w:t>Forest land</w:t>
      </w:r>
      <w:r w:rsidRPr="001D5327">
        <w:t xml:space="preserve"> category, as harvesting rates in planted forests reduced between 2022 and 2023. However, this decrease was partially offset by a reduction in net removals from the </w:t>
      </w:r>
      <w:r w:rsidRPr="001D5327">
        <w:rPr>
          <w:i/>
          <w:iCs/>
        </w:rPr>
        <w:t>Harvested wood products</w:t>
      </w:r>
      <w:r w:rsidRPr="001D5327">
        <w:t xml:space="preserve"> category of 774.0 kt CO</w:t>
      </w:r>
      <w:r w:rsidRPr="001D5327">
        <w:rPr>
          <w:vertAlign w:val="subscript"/>
        </w:rPr>
        <w:t>2</w:t>
      </w:r>
      <w:r w:rsidRPr="001D5327">
        <w:t>-e. There was also a decrease in emissions of 684.7 kt CO</w:t>
      </w:r>
      <w:r w:rsidRPr="001D5327">
        <w:rPr>
          <w:vertAlign w:val="subscript"/>
        </w:rPr>
        <w:t>2</w:t>
      </w:r>
      <w:r w:rsidRPr="001D5327">
        <w:t xml:space="preserve">-e from the </w:t>
      </w:r>
      <w:r w:rsidRPr="001D5327">
        <w:rPr>
          <w:i/>
          <w:iCs/>
        </w:rPr>
        <w:t>Grassland</w:t>
      </w:r>
      <w:r w:rsidRPr="001D5327">
        <w:t xml:space="preserve"> category due to lower deforestation rates occurring in 2023 compared with 2022.</w:t>
      </w:r>
    </w:p>
    <w:p w14:paraId="524D2BBB" w14:textId="77777777" w:rsidR="00680C72" w:rsidRPr="001D5327" w:rsidRDefault="00680C72" w:rsidP="00680C72">
      <w:pPr>
        <w:pStyle w:val="Heading4"/>
      </w:pPr>
      <w:r w:rsidRPr="001D5327">
        <w:t>1990–2023</w:t>
      </w:r>
    </w:p>
    <w:p w14:paraId="7593793A" w14:textId="5149E6B0" w:rsidR="00680C72" w:rsidRPr="001D5327" w:rsidRDefault="00680C72" w:rsidP="00680C72">
      <w:pPr>
        <w:pStyle w:val="BodyText"/>
      </w:pPr>
      <w:r w:rsidRPr="001D5327">
        <w:t>In 1990, New Zealand’s net emissions were 43,344.8 kt CO</w:t>
      </w:r>
      <w:r w:rsidRPr="001D5327">
        <w:rPr>
          <w:vertAlign w:val="subscript"/>
        </w:rPr>
        <w:t>2</w:t>
      </w:r>
      <w:r w:rsidRPr="001D5327">
        <w:t>-e. Between 1990 and 2023, net</w:t>
      </w:r>
      <w:r w:rsidR="00C72031" w:rsidRPr="001D5327">
        <w:t> </w:t>
      </w:r>
      <w:r w:rsidRPr="001D5327">
        <w:t>GHG emissions increased by 29.7 per cent (12,874.3 kt CO</w:t>
      </w:r>
      <w:r w:rsidRPr="001D5327">
        <w:rPr>
          <w:vertAlign w:val="subscript"/>
        </w:rPr>
        <w:t>2</w:t>
      </w:r>
      <w:r w:rsidRPr="001D5327">
        <w:t>-e) to 56,219.2 kt CO</w:t>
      </w:r>
      <w:r w:rsidRPr="001D5327">
        <w:rPr>
          <w:vertAlign w:val="subscript"/>
        </w:rPr>
        <w:t>2</w:t>
      </w:r>
      <w:r w:rsidRPr="001D5327">
        <w:t>-e (see</w:t>
      </w:r>
      <w:r w:rsidR="00A94CF0" w:rsidRPr="001D5327">
        <w:t> </w:t>
      </w:r>
      <w:r w:rsidRPr="001D5327">
        <w:t>figure ES 2.1).</w:t>
      </w:r>
    </w:p>
    <w:p w14:paraId="359E8D2C" w14:textId="77777777" w:rsidR="00680C72" w:rsidRPr="001D5327" w:rsidRDefault="00680C72" w:rsidP="00680C72">
      <w:pPr>
        <w:pStyle w:val="BodyText"/>
      </w:pPr>
      <w:r w:rsidRPr="001D5327">
        <w:t xml:space="preserve">The four categories that contributed the most to the increase in net emissions between 1990 and 2023 were: </w:t>
      </w:r>
      <w:r w:rsidRPr="001D5327">
        <w:rPr>
          <w:i/>
          <w:iCs/>
        </w:rPr>
        <w:t>Land converted to forest land</w:t>
      </w:r>
      <w:r w:rsidRPr="001D5327">
        <w:t xml:space="preserve">; </w:t>
      </w:r>
      <w:r w:rsidRPr="001D5327">
        <w:rPr>
          <w:i/>
          <w:iCs/>
        </w:rPr>
        <w:t>Enteric fermentation</w:t>
      </w:r>
      <w:r w:rsidRPr="001D5327">
        <w:t xml:space="preserve"> from </w:t>
      </w:r>
      <w:r w:rsidRPr="001D5327">
        <w:rPr>
          <w:i/>
          <w:iCs/>
        </w:rPr>
        <w:t>Dairy cattle</w:t>
      </w:r>
      <w:r w:rsidRPr="001D5327">
        <w:t xml:space="preserve">; </w:t>
      </w:r>
      <w:r w:rsidRPr="001D5327">
        <w:rPr>
          <w:i/>
          <w:iCs/>
        </w:rPr>
        <w:t>Road transportation;</w:t>
      </w:r>
      <w:r w:rsidRPr="001D5327">
        <w:t xml:space="preserve"> and </w:t>
      </w:r>
      <w:r w:rsidRPr="001D5327">
        <w:rPr>
          <w:i/>
          <w:iCs/>
        </w:rPr>
        <w:t>Agricultural soils</w:t>
      </w:r>
      <w:r w:rsidRPr="001D5327">
        <w:t>.</w:t>
      </w:r>
    </w:p>
    <w:p w14:paraId="1E9AA86E" w14:textId="77777777" w:rsidR="00680C72" w:rsidRPr="001D5327" w:rsidRDefault="00680C72" w:rsidP="00680C72">
      <w:pPr>
        <w:pStyle w:val="Heading3"/>
      </w:pPr>
      <w:bookmarkStart w:id="17" w:name="greenhouse-gas-trends"/>
      <w:bookmarkEnd w:id="16"/>
      <w:r w:rsidRPr="001D5327">
        <w:t>Greenhouse gas trends</w:t>
      </w:r>
    </w:p>
    <w:p w14:paraId="2E3C3677" w14:textId="460496DB" w:rsidR="00680C72" w:rsidRPr="001D5327" w:rsidRDefault="00680C72" w:rsidP="00680C72">
      <w:pPr>
        <w:pStyle w:val="BodyText"/>
      </w:pPr>
      <w:r w:rsidRPr="001D5327">
        <w:t>Inventory reporting under the Convention covers the following direct GHGs: CO</w:t>
      </w:r>
      <w:r w:rsidRPr="001D5327">
        <w:rPr>
          <w:vertAlign w:val="subscript"/>
        </w:rPr>
        <w:t>2</w:t>
      </w:r>
      <w:r w:rsidRPr="001D5327">
        <w:t>, CH</w:t>
      </w:r>
      <w:r w:rsidRPr="001D5327">
        <w:rPr>
          <w:vertAlign w:val="subscript"/>
        </w:rPr>
        <w:t>4</w:t>
      </w:r>
      <w:r w:rsidRPr="001D5327">
        <w:t>, N</w:t>
      </w:r>
      <w:r w:rsidRPr="001D5327">
        <w:rPr>
          <w:vertAlign w:val="subscript"/>
        </w:rPr>
        <w:t>2</w:t>
      </w:r>
      <w:r w:rsidRPr="001D5327">
        <w:t>O, SF</w:t>
      </w:r>
      <w:r w:rsidRPr="001D5327">
        <w:rPr>
          <w:vertAlign w:val="subscript"/>
        </w:rPr>
        <w:t>6</w:t>
      </w:r>
      <w:r w:rsidRPr="001D5327">
        <w:t>,</w:t>
      </w:r>
      <w:r w:rsidR="00A94CF0" w:rsidRPr="001D5327">
        <w:t> </w:t>
      </w:r>
      <w:r w:rsidRPr="001D5327">
        <w:t>PFCs, HFCs and NF</w:t>
      </w:r>
      <w:r w:rsidRPr="001D5327">
        <w:rPr>
          <w:vertAlign w:val="subscript"/>
        </w:rPr>
        <w:t>3</w:t>
      </w:r>
      <w:r w:rsidRPr="001D5327">
        <w:t>. No NF</w:t>
      </w:r>
      <w:r w:rsidRPr="001D5327">
        <w:rPr>
          <w:vertAlign w:val="subscript"/>
        </w:rPr>
        <w:t>3</w:t>
      </w:r>
      <w:r w:rsidRPr="001D5327">
        <w:t xml:space="preserve"> data are included in this report because NF</w:t>
      </w:r>
      <w:r w:rsidRPr="001D5327">
        <w:rPr>
          <w:vertAlign w:val="subscript"/>
        </w:rPr>
        <w:t>3</w:t>
      </w:r>
      <w:r w:rsidRPr="001D5327">
        <w:t xml:space="preserve"> emissions do not occur in New Zealand.</w:t>
      </w:r>
    </w:p>
    <w:p w14:paraId="5702370A" w14:textId="77777777" w:rsidR="00680C72" w:rsidRPr="001D5327" w:rsidRDefault="00680C72" w:rsidP="00680C72">
      <w:pPr>
        <w:pStyle w:val="BodyText"/>
      </w:pPr>
      <w:r w:rsidRPr="001D5327">
        <w:t>Table ES 2.1 provides a summary of emissions for each gas in 1990 and 2023 and the changes since 1990. This is also illustrated in figure ES 2.2.</w:t>
      </w:r>
    </w:p>
    <w:p w14:paraId="0B06633C" w14:textId="77777777" w:rsidR="00680C72" w:rsidRPr="001D5327" w:rsidRDefault="00680C72" w:rsidP="00680C72">
      <w:pPr>
        <w:pStyle w:val="Table"/>
      </w:pPr>
      <w:bookmarkStart w:id="18" w:name="_Toc194241657"/>
      <w:r w:rsidRPr="001D5327">
        <w:rPr>
          <w:bCs/>
        </w:rPr>
        <w:lastRenderedPageBreak/>
        <w:t>Table ES 2.1</w:t>
      </w:r>
      <w:r w:rsidRPr="001D5327">
        <w:tab/>
        <w:t xml:space="preserve">New Zealand’s gross emissions by gas in </w:t>
      </w:r>
      <w:r w:rsidRPr="001D5327">
        <w:rPr>
          <w:bCs/>
        </w:rPr>
        <w:t>1990</w:t>
      </w:r>
      <w:r w:rsidRPr="001D5327">
        <w:t xml:space="preserve"> and </w:t>
      </w:r>
      <w:r w:rsidRPr="001D5327">
        <w:rPr>
          <w:bCs/>
        </w:rPr>
        <w:t>2023</w:t>
      </w:r>
      <w:bookmarkEnd w:id="18"/>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531"/>
        <w:gridCol w:w="1149"/>
        <w:gridCol w:w="804"/>
        <w:gridCol w:w="2236"/>
        <w:gridCol w:w="1774"/>
      </w:tblGrid>
      <w:tr w:rsidR="00680C72" w:rsidRPr="001D5327" w14:paraId="69E8767D" w14:textId="77777777" w:rsidTr="00341FEF">
        <w:trPr>
          <w:tblHeader/>
        </w:trPr>
        <w:tc>
          <w:tcPr>
            <w:tcW w:w="0" w:type="auto"/>
            <w:shd w:val="clear" w:color="auto" w:fill="1B556B"/>
            <w:tcMar>
              <w:top w:w="0" w:type="dxa"/>
              <w:left w:w="85" w:type="dxa"/>
              <w:bottom w:w="0" w:type="dxa"/>
              <w:right w:w="85" w:type="dxa"/>
            </w:tcMar>
          </w:tcPr>
          <w:p w14:paraId="0F19BE28" w14:textId="77777777" w:rsidR="00680C72" w:rsidRPr="001D5327" w:rsidRDefault="00680C72" w:rsidP="00341FEF">
            <w:pPr>
              <w:pStyle w:val="TableTextBold"/>
              <w:keepNext/>
              <w:spacing w:before="40" w:after="40"/>
              <w:rPr>
                <w:noProof w:val="0"/>
                <w:color w:val="FFFFFF" w:themeColor="background1"/>
              </w:rPr>
            </w:pPr>
            <w:r w:rsidRPr="001D5327">
              <w:rPr>
                <w:rFonts w:eastAsia="Calibri"/>
                <w:noProof w:val="0"/>
                <w:color w:val="FFFFFF" w:themeColor="background1"/>
              </w:rPr>
              <w:t>Direct greenhouse gas emissions</w:t>
            </w:r>
          </w:p>
        </w:tc>
        <w:tc>
          <w:tcPr>
            <w:tcW w:w="0" w:type="auto"/>
            <w:shd w:val="clear" w:color="auto" w:fill="1B556B"/>
            <w:tcMar>
              <w:top w:w="0" w:type="dxa"/>
              <w:left w:w="85" w:type="dxa"/>
              <w:bottom w:w="0" w:type="dxa"/>
              <w:right w:w="85" w:type="dxa"/>
            </w:tcMar>
          </w:tcPr>
          <w:p w14:paraId="69A0B156" w14:textId="77777777" w:rsidR="00680C72" w:rsidRPr="001D5327" w:rsidRDefault="00680C72" w:rsidP="00341FEF">
            <w:pPr>
              <w:pStyle w:val="TableTextBold"/>
              <w:keepNext/>
              <w:spacing w:before="40" w:after="40"/>
              <w:jc w:val="right"/>
              <w:rPr>
                <w:noProof w:val="0"/>
                <w:color w:val="FFFFFF" w:themeColor="background1"/>
              </w:rPr>
            </w:pPr>
            <w:r w:rsidRPr="001D5327">
              <w:rPr>
                <w:rFonts w:eastAsia="Calibri"/>
                <w:noProof w:val="0"/>
                <w:color w:val="FFFFFF" w:themeColor="background1"/>
              </w:rPr>
              <w:t>1990</w:t>
            </w:r>
          </w:p>
        </w:tc>
        <w:tc>
          <w:tcPr>
            <w:tcW w:w="0" w:type="auto"/>
            <w:shd w:val="clear" w:color="auto" w:fill="1B556B"/>
            <w:tcMar>
              <w:top w:w="0" w:type="dxa"/>
              <w:left w:w="85" w:type="dxa"/>
              <w:bottom w:w="0" w:type="dxa"/>
              <w:right w:w="85" w:type="dxa"/>
            </w:tcMar>
          </w:tcPr>
          <w:p w14:paraId="54C021E8" w14:textId="77777777" w:rsidR="00680C72" w:rsidRPr="001D5327" w:rsidRDefault="00680C72" w:rsidP="00341FEF">
            <w:pPr>
              <w:pStyle w:val="TableTextBold"/>
              <w:keepNext/>
              <w:spacing w:before="40" w:after="40"/>
              <w:jc w:val="right"/>
              <w:rPr>
                <w:noProof w:val="0"/>
                <w:color w:val="FFFFFF" w:themeColor="background1"/>
              </w:rPr>
            </w:pPr>
            <w:r w:rsidRPr="001D5327">
              <w:rPr>
                <w:rFonts w:eastAsia="Calibri"/>
                <w:noProof w:val="0"/>
                <w:color w:val="FFFFFF" w:themeColor="background1"/>
              </w:rPr>
              <w:t>2023</w:t>
            </w:r>
          </w:p>
        </w:tc>
        <w:tc>
          <w:tcPr>
            <w:tcW w:w="0" w:type="auto"/>
            <w:shd w:val="clear" w:color="auto" w:fill="1B556B"/>
            <w:tcMar>
              <w:top w:w="0" w:type="dxa"/>
              <w:left w:w="85" w:type="dxa"/>
              <w:bottom w:w="0" w:type="dxa"/>
              <w:right w:w="85" w:type="dxa"/>
            </w:tcMar>
          </w:tcPr>
          <w:p w14:paraId="69E1B02C" w14:textId="77777777" w:rsidR="00680C72" w:rsidRPr="001D5327" w:rsidRDefault="00680C72" w:rsidP="00341FEF">
            <w:pPr>
              <w:pStyle w:val="TableTextBold"/>
              <w:keepNext/>
              <w:spacing w:before="40" w:after="40"/>
              <w:jc w:val="right"/>
              <w:rPr>
                <w:noProof w:val="0"/>
                <w:color w:val="FFFFFF" w:themeColor="background1"/>
              </w:rPr>
            </w:pPr>
            <w:r w:rsidRPr="001D5327">
              <w:rPr>
                <w:rFonts w:eastAsia="Calibri"/>
                <w:noProof w:val="0"/>
                <w:color w:val="FFFFFF" w:themeColor="background1"/>
              </w:rPr>
              <w:t>Change from 1990 (kt CO</w:t>
            </w:r>
            <w:r w:rsidRPr="001D5327">
              <w:rPr>
                <w:rFonts w:eastAsia="Calibri"/>
                <w:noProof w:val="0"/>
                <w:color w:val="FFFFFF" w:themeColor="background1"/>
                <w:vertAlign w:val="subscript"/>
              </w:rPr>
              <w:t>2</w:t>
            </w:r>
            <w:r w:rsidRPr="001D5327">
              <w:rPr>
                <w:rFonts w:eastAsia="Calibri"/>
                <w:noProof w:val="0"/>
                <w:color w:val="FFFFFF" w:themeColor="background1"/>
              </w:rPr>
              <w:t>-e)</w:t>
            </w:r>
          </w:p>
        </w:tc>
        <w:tc>
          <w:tcPr>
            <w:tcW w:w="0" w:type="auto"/>
            <w:shd w:val="clear" w:color="auto" w:fill="1B556B"/>
            <w:tcMar>
              <w:top w:w="0" w:type="dxa"/>
              <w:left w:w="85" w:type="dxa"/>
              <w:bottom w:w="0" w:type="dxa"/>
              <w:right w:w="85" w:type="dxa"/>
            </w:tcMar>
          </w:tcPr>
          <w:p w14:paraId="12308199" w14:textId="77777777" w:rsidR="00680C72" w:rsidRPr="001D5327" w:rsidRDefault="00680C72" w:rsidP="00341FEF">
            <w:pPr>
              <w:pStyle w:val="TableTextBold"/>
              <w:keepNext/>
              <w:spacing w:before="40" w:after="40"/>
              <w:jc w:val="right"/>
              <w:rPr>
                <w:noProof w:val="0"/>
                <w:color w:val="FFFFFF" w:themeColor="background1"/>
              </w:rPr>
            </w:pPr>
            <w:r w:rsidRPr="001D5327">
              <w:rPr>
                <w:rFonts w:eastAsia="Calibri"/>
                <w:noProof w:val="0"/>
                <w:color w:val="FFFFFF" w:themeColor="background1"/>
              </w:rPr>
              <w:t>Change from 1990 (%)</w:t>
            </w:r>
          </w:p>
        </w:tc>
      </w:tr>
      <w:tr w:rsidR="00680C72" w:rsidRPr="001D5327" w14:paraId="3AD52200" w14:textId="77777777" w:rsidTr="00341FEF">
        <w:tc>
          <w:tcPr>
            <w:tcW w:w="0" w:type="auto"/>
            <w:shd w:val="clear" w:color="auto" w:fill="FFFFFF"/>
            <w:tcMar>
              <w:top w:w="0" w:type="dxa"/>
              <w:left w:w="85" w:type="dxa"/>
              <w:bottom w:w="0" w:type="dxa"/>
              <w:right w:w="85" w:type="dxa"/>
            </w:tcMar>
          </w:tcPr>
          <w:p w14:paraId="16168430" w14:textId="77777777" w:rsidR="00680C72" w:rsidRPr="001D5327" w:rsidRDefault="00680C72" w:rsidP="00341FEF">
            <w:pPr>
              <w:pStyle w:val="TableText"/>
              <w:keepNext/>
              <w:spacing w:before="40" w:after="40"/>
            </w:pPr>
            <w:r w:rsidRPr="001D5327">
              <w:rPr>
                <w:rFonts w:eastAsia="Calibri"/>
                <w:color w:val="000000"/>
              </w:rPr>
              <w:t>CO</w:t>
            </w:r>
            <w:r w:rsidRPr="001D5327">
              <w:rPr>
                <w:rFonts w:eastAsia="Calibri"/>
                <w:color w:val="000000"/>
                <w:vertAlign w:val="subscript"/>
              </w:rPr>
              <w:t>2</w:t>
            </w:r>
          </w:p>
        </w:tc>
        <w:tc>
          <w:tcPr>
            <w:tcW w:w="0" w:type="auto"/>
            <w:shd w:val="clear" w:color="auto" w:fill="FFFFFF"/>
            <w:tcMar>
              <w:top w:w="0" w:type="dxa"/>
              <w:left w:w="85" w:type="dxa"/>
              <w:bottom w:w="0" w:type="dxa"/>
              <w:right w:w="85" w:type="dxa"/>
            </w:tcMar>
          </w:tcPr>
          <w:p w14:paraId="78D9D2B1" w14:textId="77777777" w:rsidR="00680C72" w:rsidRPr="001D5327" w:rsidRDefault="00680C72" w:rsidP="00341FEF">
            <w:pPr>
              <w:pStyle w:val="TableText"/>
              <w:keepNext/>
              <w:spacing w:before="40" w:after="40"/>
              <w:jc w:val="right"/>
            </w:pPr>
            <w:r w:rsidRPr="001D5327">
              <w:rPr>
                <w:rFonts w:eastAsia="Calibri"/>
                <w:color w:val="000000"/>
              </w:rPr>
              <w:t>25,490.1</w:t>
            </w:r>
          </w:p>
        </w:tc>
        <w:tc>
          <w:tcPr>
            <w:tcW w:w="0" w:type="auto"/>
            <w:shd w:val="clear" w:color="auto" w:fill="FFFFFF"/>
            <w:tcMar>
              <w:top w:w="0" w:type="dxa"/>
              <w:left w:w="85" w:type="dxa"/>
              <w:bottom w:w="0" w:type="dxa"/>
              <w:right w:w="85" w:type="dxa"/>
            </w:tcMar>
          </w:tcPr>
          <w:p w14:paraId="5774C56A" w14:textId="77777777" w:rsidR="00680C72" w:rsidRPr="001D5327" w:rsidRDefault="00680C72" w:rsidP="00341FEF">
            <w:pPr>
              <w:pStyle w:val="TableText"/>
              <w:keepNext/>
              <w:spacing w:before="40" w:after="40"/>
              <w:jc w:val="right"/>
            </w:pPr>
            <w:r w:rsidRPr="001D5327">
              <w:rPr>
                <w:rFonts w:eastAsia="Calibri"/>
                <w:color w:val="000000"/>
              </w:rPr>
              <w:t>31,559.8</w:t>
            </w:r>
          </w:p>
        </w:tc>
        <w:tc>
          <w:tcPr>
            <w:tcW w:w="0" w:type="auto"/>
            <w:shd w:val="clear" w:color="auto" w:fill="FFFFFF"/>
            <w:tcMar>
              <w:top w:w="0" w:type="dxa"/>
              <w:left w:w="85" w:type="dxa"/>
              <w:bottom w:w="0" w:type="dxa"/>
              <w:right w:w="85" w:type="dxa"/>
            </w:tcMar>
          </w:tcPr>
          <w:p w14:paraId="35C649C0" w14:textId="77777777" w:rsidR="00680C72" w:rsidRPr="001D5327" w:rsidRDefault="00680C72" w:rsidP="00341FEF">
            <w:pPr>
              <w:pStyle w:val="TableText"/>
              <w:keepNext/>
              <w:spacing w:before="40" w:after="40"/>
              <w:jc w:val="right"/>
            </w:pPr>
            <w:r w:rsidRPr="001D5327">
              <w:rPr>
                <w:rFonts w:eastAsia="Calibri"/>
                <w:color w:val="000000"/>
              </w:rPr>
              <w:t>6,069.7</w:t>
            </w:r>
          </w:p>
        </w:tc>
        <w:tc>
          <w:tcPr>
            <w:tcW w:w="0" w:type="auto"/>
            <w:shd w:val="clear" w:color="auto" w:fill="FFFFFF"/>
            <w:tcMar>
              <w:top w:w="0" w:type="dxa"/>
              <w:left w:w="85" w:type="dxa"/>
              <w:bottom w:w="0" w:type="dxa"/>
              <w:right w:w="85" w:type="dxa"/>
            </w:tcMar>
          </w:tcPr>
          <w:p w14:paraId="13082737" w14:textId="77777777" w:rsidR="00680C72" w:rsidRPr="001D5327" w:rsidRDefault="00680C72" w:rsidP="00341FEF">
            <w:pPr>
              <w:pStyle w:val="TableText"/>
              <w:keepNext/>
              <w:spacing w:before="40" w:after="40"/>
              <w:jc w:val="right"/>
            </w:pPr>
            <w:r w:rsidRPr="001D5327">
              <w:rPr>
                <w:rFonts w:eastAsia="Calibri"/>
                <w:color w:val="000000"/>
              </w:rPr>
              <w:t>23.8</w:t>
            </w:r>
          </w:p>
        </w:tc>
      </w:tr>
      <w:tr w:rsidR="00680C72" w:rsidRPr="001D5327" w14:paraId="2A8A6B1A" w14:textId="77777777" w:rsidTr="00341FEF">
        <w:tc>
          <w:tcPr>
            <w:tcW w:w="0" w:type="auto"/>
            <w:shd w:val="clear" w:color="auto" w:fill="FFFFFF"/>
            <w:tcMar>
              <w:top w:w="0" w:type="dxa"/>
              <w:left w:w="85" w:type="dxa"/>
              <w:bottom w:w="0" w:type="dxa"/>
              <w:right w:w="85" w:type="dxa"/>
            </w:tcMar>
          </w:tcPr>
          <w:p w14:paraId="1D863C9C" w14:textId="77777777" w:rsidR="00680C72" w:rsidRPr="001D5327" w:rsidRDefault="00680C72" w:rsidP="00341FEF">
            <w:pPr>
              <w:pStyle w:val="TableText"/>
              <w:keepNext/>
              <w:spacing w:before="40" w:after="40"/>
            </w:pPr>
            <w:r w:rsidRPr="001D5327">
              <w:rPr>
                <w:rFonts w:eastAsia="Calibri"/>
                <w:color w:val="000000"/>
              </w:rPr>
              <w:t>CH</w:t>
            </w:r>
            <w:r w:rsidRPr="001D5327">
              <w:rPr>
                <w:rFonts w:eastAsia="Calibri"/>
                <w:color w:val="000000"/>
                <w:vertAlign w:val="subscript"/>
              </w:rPr>
              <w:t>4</w:t>
            </w:r>
          </w:p>
        </w:tc>
        <w:tc>
          <w:tcPr>
            <w:tcW w:w="0" w:type="auto"/>
            <w:shd w:val="clear" w:color="auto" w:fill="FFFFFF"/>
            <w:tcMar>
              <w:top w:w="0" w:type="dxa"/>
              <w:left w:w="85" w:type="dxa"/>
              <w:bottom w:w="0" w:type="dxa"/>
              <w:right w:w="85" w:type="dxa"/>
            </w:tcMar>
          </w:tcPr>
          <w:p w14:paraId="41CFE1A5" w14:textId="77777777" w:rsidR="00680C72" w:rsidRPr="001D5327" w:rsidRDefault="00680C72" w:rsidP="00341FEF">
            <w:pPr>
              <w:pStyle w:val="TableText"/>
              <w:keepNext/>
              <w:spacing w:before="40" w:after="40"/>
              <w:jc w:val="right"/>
            </w:pPr>
            <w:r w:rsidRPr="001D5327">
              <w:rPr>
                <w:rFonts w:eastAsia="Calibri"/>
                <w:color w:val="000000"/>
              </w:rPr>
              <w:t>36,271.1</w:t>
            </w:r>
          </w:p>
        </w:tc>
        <w:tc>
          <w:tcPr>
            <w:tcW w:w="0" w:type="auto"/>
            <w:shd w:val="clear" w:color="auto" w:fill="FFFFFF"/>
            <w:tcMar>
              <w:top w:w="0" w:type="dxa"/>
              <w:left w:w="85" w:type="dxa"/>
              <w:bottom w:w="0" w:type="dxa"/>
              <w:right w:w="85" w:type="dxa"/>
            </w:tcMar>
          </w:tcPr>
          <w:p w14:paraId="5F1060E3" w14:textId="77777777" w:rsidR="00680C72" w:rsidRPr="001D5327" w:rsidRDefault="00680C72" w:rsidP="00341FEF">
            <w:pPr>
              <w:pStyle w:val="TableText"/>
              <w:keepNext/>
              <w:spacing w:before="40" w:after="40"/>
              <w:jc w:val="right"/>
            </w:pPr>
            <w:r w:rsidRPr="001D5327">
              <w:rPr>
                <w:rFonts w:eastAsia="Calibri"/>
                <w:color w:val="000000"/>
              </w:rPr>
              <w:t>36,751.6</w:t>
            </w:r>
          </w:p>
        </w:tc>
        <w:tc>
          <w:tcPr>
            <w:tcW w:w="0" w:type="auto"/>
            <w:shd w:val="clear" w:color="auto" w:fill="FFFFFF"/>
            <w:tcMar>
              <w:top w:w="0" w:type="dxa"/>
              <w:left w:w="85" w:type="dxa"/>
              <w:bottom w:w="0" w:type="dxa"/>
              <w:right w:w="85" w:type="dxa"/>
            </w:tcMar>
          </w:tcPr>
          <w:p w14:paraId="1261DE87" w14:textId="77777777" w:rsidR="00680C72" w:rsidRPr="001D5327" w:rsidRDefault="00680C72" w:rsidP="00341FEF">
            <w:pPr>
              <w:pStyle w:val="TableText"/>
              <w:keepNext/>
              <w:spacing w:before="40" w:after="40"/>
              <w:jc w:val="right"/>
            </w:pPr>
            <w:r w:rsidRPr="001D5327">
              <w:rPr>
                <w:rFonts w:eastAsia="Calibri"/>
                <w:color w:val="000000"/>
              </w:rPr>
              <w:t>480.5</w:t>
            </w:r>
          </w:p>
        </w:tc>
        <w:tc>
          <w:tcPr>
            <w:tcW w:w="0" w:type="auto"/>
            <w:shd w:val="clear" w:color="auto" w:fill="FFFFFF"/>
            <w:tcMar>
              <w:top w:w="0" w:type="dxa"/>
              <w:left w:w="85" w:type="dxa"/>
              <w:bottom w:w="0" w:type="dxa"/>
              <w:right w:w="85" w:type="dxa"/>
            </w:tcMar>
          </w:tcPr>
          <w:p w14:paraId="4FA29066" w14:textId="77777777" w:rsidR="00680C72" w:rsidRPr="001D5327" w:rsidRDefault="00680C72" w:rsidP="00341FEF">
            <w:pPr>
              <w:pStyle w:val="TableText"/>
              <w:keepNext/>
              <w:spacing w:before="40" w:after="40"/>
              <w:jc w:val="right"/>
            </w:pPr>
            <w:r w:rsidRPr="001D5327">
              <w:rPr>
                <w:rFonts w:eastAsia="Calibri"/>
                <w:color w:val="000000"/>
              </w:rPr>
              <w:t>1.3</w:t>
            </w:r>
          </w:p>
        </w:tc>
      </w:tr>
      <w:tr w:rsidR="00680C72" w:rsidRPr="001D5327" w14:paraId="7D40206A" w14:textId="77777777" w:rsidTr="00341FEF">
        <w:tc>
          <w:tcPr>
            <w:tcW w:w="0" w:type="auto"/>
            <w:shd w:val="clear" w:color="auto" w:fill="FFFFFF"/>
            <w:tcMar>
              <w:top w:w="0" w:type="dxa"/>
              <w:left w:w="85" w:type="dxa"/>
              <w:bottom w:w="0" w:type="dxa"/>
              <w:right w:w="85" w:type="dxa"/>
            </w:tcMar>
          </w:tcPr>
          <w:p w14:paraId="1B3B9A51" w14:textId="77777777" w:rsidR="00680C72" w:rsidRPr="001D5327" w:rsidRDefault="00680C72" w:rsidP="00341FEF">
            <w:pPr>
              <w:pStyle w:val="TableText"/>
              <w:spacing w:before="40" w:after="40"/>
            </w:pPr>
            <w:r w:rsidRPr="001D5327">
              <w:rPr>
                <w:rFonts w:eastAsia="Calibri"/>
                <w:color w:val="000000"/>
              </w:rPr>
              <w:t>N</w:t>
            </w:r>
            <w:r w:rsidRPr="001D5327">
              <w:rPr>
                <w:rFonts w:eastAsia="Calibri"/>
                <w:color w:val="000000"/>
                <w:vertAlign w:val="subscript"/>
              </w:rPr>
              <w:t>2</w:t>
            </w:r>
            <w:r w:rsidRPr="001D5327">
              <w:rPr>
                <w:rFonts w:eastAsia="Calibri"/>
                <w:color w:val="000000"/>
              </w:rPr>
              <w:t>O</w:t>
            </w:r>
          </w:p>
        </w:tc>
        <w:tc>
          <w:tcPr>
            <w:tcW w:w="0" w:type="auto"/>
            <w:shd w:val="clear" w:color="auto" w:fill="FFFFFF"/>
            <w:tcMar>
              <w:top w:w="0" w:type="dxa"/>
              <w:left w:w="85" w:type="dxa"/>
              <w:bottom w:w="0" w:type="dxa"/>
              <w:right w:w="85" w:type="dxa"/>
            </w:tcMar>
          </w:tcPr>
          <w:p w14:paraId="589BCF0B" w14:textId="77777777" w:rsidR="00680C72" w:rsidRPr="001D5327" w:rsidRDefault="00680C72" w:rsidP="00341FEF">
            <w:pPr>
              <w:pStyle w:val="TableText"/>
              <w:spacing w:before="40" w:after="40"/>
              <w:jc w:val="right"/>
            </w:pPr>
            <w:r w:rsidRPr="001D5327">
              <w:rPr>
                <w:rFonts w:eastAsia="Calibri"/>
                <w:color w:val="000000"/>
              </w:rPr>
              <w:t>5,079.1</w:t>
            </w:r>
          </w:p>
        </w:tc>
        <w:tc>
          <w:tcPr>
            <w:tcW w:w="0" w:type="auto"/>
            <w:shd w:val="clear" w:color="auto" w:fill="FFFFFF"/>
            <w:tcMar>
              <w:top w:w="0" w:type="dxa"/>
              <w:left w:w="85" w:type="dxa"/>
              <w:bottom w:w="0" w:type="dxa"/>
              <w:right w:w="85" w:type="dxa"/>
            </w:tcMar>
          </w:tcPr>
          <w:p w14:paraId="6C62CCFC" w14:textId="77777777" w:rsidR="00680C72" w:rsidRPr="001D5327" w:rsidRDefault="00680C72" w:rsidP="00341FEF">
            <w:pPr>
              <w:pStyle w:val="TableText"/>
              <w:spacing w:before="40" w:after="40"/>
              <w:jc w:val="right"/>
            </w:pPr>
            <w:r w:rsidRPr="001D5327">
              <w:rPr>
                <w:rFonts w:eastAsia="Calibri"/>
                <w:color w:val="000000"/>
              </w:rPr>
              <w:t>6,940.0</w:t>
            </w:r>
          </w:p>
        </w:tc>
        <w:tc>
          <w:tcPr>
            <w:tcW w:w="0" w:type="auto"/>
            <w:shd w:val="clear" w:color="auto" w:fill="FFFFFF"/>
            <w:tcMar>
              <w:top w:w="0" w:type="dxa"/>
              <w:left w:w="85" w:type="dxa"/>
              <w:bottom w:w="0" w:type="dxa"/>
              <w:right w:w="85" w:type="dxa"/>
            </w:tcMar>
          </w:tcPr>
          <w:p w14:paraId="255EC048" w14:textId="77777777" w:rsidR="00680C72" w:rsidRPr="001D5327" w:rsidRDefault="00680C72" w:rsidP="00341FEF">
            <w:pPr>
              <w:pStyle w:val="TableText"/>
              <w:spacing w:before="40" w:after="40"/>
              <w:jc w:val="right"/>
            </w:pPr>
            <w:r w:rsidRPr="001D5327">
              <w:rPr>
                <w:rFonts w:eastAsia="Calibri"/>
                <w:color w:val="000000"/>
              </w:rPr>
              <w:t>1,860.9</w:t>
            </w:r>
          </w:p>
        </w:tc>
        <w:tc>
          <w:tcPr>
            <w:tcW w:w="0" w:type="auto"/>
            <w:shd w:val="clear" w:color="auto" w:fill="FFFFFF"/>
            <w:tcMar>
              <w:top w:w="0" w:type="dxa"/>
              <w:left w:w="85" w:type="dxa"/>
              <w:bottom w:w="0" w:type="dxa"/>
              <w:right w:w="85" w:type="dxa"/>
            </w:tcMar>
          </w:tcPr>
          <w:p w14:paraId="3F0350D0" w14:textId="77777777" w:rsidR="00680C72" w:rsidRPr="001D5327" w:rsidRDefault="00680C72" w:rsidP="00341FEF">
            <w:pPr>
              <w:pStyle w:val="TableText"/>
              <w:spacing w:before="40" w:after="40"/>
              <w:jc w:val="right"/>
            </w:pPr>
            <w:r w:rsidRPr="001D5327">
              <w:rPr>
                <w:rFonts w:eastAsia="Calibri"/>
                <w:color w:val="000000"/>
              </w:rPr>
              <w:t>36.6</w:t>
            </w:r>
          </w:p>
        </w:tc>
      </w:tr>
      <w:tr w:rsidR="00680C72" w:rsidRPr="001D5327" w14:paraId="5E86FD87" w14:textId="77777777" w:rsidTr="00341FEF">
        <w:tc>
          <w:tcPr>
            <w:tcW w:w="0" w:type="auto"/>
            <w:shd w:val="clear" w:color="auto" w:fill="FFFFFF"/>
            <w:tcMar>
              <w:top w:w="0" w:type="dxa"/>
              <w:left w:w="85" w:type="dxa"/>
              <w:bottom w:w="0" w:type="dxa"/>
              <w:right w:w="85" w:type="dxa"/>
            </w:tcMar>
          </w:tcPr>
          <w:p w14:paraId="20286F15" w14:textId="77777777" w:rsidR="00680C72" w:rsidRPr="001D5327" w:rsidRDefault="00680C72" w:rsidP="00341FEF">
            <w:pPr>
              <w:pStyle w:val="TableText"/>
              <w:spacing w:before="40" w:after="40"/>
            </w:pPr>
            <w:r w:rsidRPr="001D5327">
              <w:rPr>
                <w:rFonts w:eastAsia="Calibri"/>
                <w:color w:val="000000"/>
              </w:rPr>
              <w:t>HFCs</w:t>
            </w:r>
          </w:p>
        </w:tc>
        <w:tc>
          <w:tcPr>
            <w:tcW w:w="0" w:type="auto"/>
            <w:shd w:val="clear" w:color="auto" w:fill="FFFFFF"/>
            <w:tcMar>
              <w:top w:w="0" w:type="dxa"/>
              <w:left w:w="85" w:type="dxa"/>
              <w:bottom w:w="0" w:type="dxa"/>
              <w:right w:w="85" w:type="dxa"/>
            </w:tcMar>
          </w:tcPr>
          <w:p w14:paraId="4A3A33BF" w14:textId="77777777" w:rsidR="00680C72" w:rsidRPr="001D5327" w:rsidRDefault="00680C72" w:rsidP="00341FEF">
            <w:pPr>
              <w:pStyle w:val="TableText"/>
              <w:spacing w:before="40" w:after="40"/>
              <w:jc w:val="right"/>
            </w:pPr>
            <w:r w:rsidRPr="001D5327">
              <w:rPr>
                <w:rFonts w:eastAsia="Calibri"/>
                <w:color w:val="000000"/>
              </w:rPr>
              <w:t>Not occurring</w:t>
            </w:r>
          </w:p>
        </w:tc>
        <w:tc>
          <w:tcPr>
            <w:tcW w:w="0" w:type="auto"/>
            <w:shd w:val="clear" w:color="auto" w:fill="FFFFFF"/>
            <w:tcMar>
              <w:top w:w="0" w:type="dxa"/>
              <w:left w:w="85" w:type="dxa"/>
              <w:bottom w:w="0" w:type="dxa"/>
              <w:right w:w="85" w:type="dxa"/>
            </w:tcMar>
          </w:tcPr>
          <w:p w14:paraId="35E00C4A" w14:textId="77777777" w:rsidR="00680C72" w:rsidRPr="001D5327" w:rsidRDefault="00680C72" w:rsidP="00341FEF">
            <w:pPr>
              <w:pStyle w:val="TableText"/>
              <w:spacing w:before="40" w:after="40"/>
              <w:jc w:val="right"/>
            </w:pPr>
            <w:r w:rsidRPr="001D5327">
              <w:rPr>
                <w:rFonts w:eastAsia="Calibri"/>
                <w:color w:val="000000"/>
              </w:rPr>
              <w:t>1,087.3</w:t>
            </w:r>
          </w:p>
        </w:tc>
        <w:tc>
          <w:tcPr>
            <w:tcW w:w="0" w:type="auto"/>
            <w:shd w:val="clear" w:color="auto" w:fill="FFFFFF"/>
            <w:tcMar>
              <w:top w:w="0" w:type="dxa"/>
              <w:left w:w="85" w:type="dxa"/>
              <w:bottom w:w="0" w:type="dxa"/>
              <w:right w:w="85" w:type="dxa"/>
            </w:tcMar>
          </w:tcPr>
          <w:p w14:paraId="6F444DEB" w14:textId="77777777" w:rsidR="00680C72" w:rsidRPr="001D5327" w:rsidRDefault="00680C72" w:rsidP="00341FEF">
            <w:pPr>
              <w:pStyle w:val="TableText"/>
              <w:spacing w:before="40" w:after="40"/>
              <w:jc w:val="right"/>
            </w:pPr>
            <w:r w:rsidRPr="001D5327">
              <w:rPr>
                <w:rFonts w:eastAsia="Calibri"/>
                <w:color w:val="000000"/>
              </w:rPr>
              <w:t>1,087.3</w:t>
            </w:r>
          </w:p>
        </w:tc>
        <w:tc>
          <w:tcPr>
            <w:tcW w:w="0" w:type="auto"/>
            <w:shd w:val="clear" w:color="auto" w:fill="FFFFFF"/>
            <w:tcMar>
              <w:top w:w="0" w:type="dxa"/>
              <w:left w:w="85" w:type="dxa"/>
              <w:bottom w:w="0" w:type="dxa"/>
              <w:right w:w="85" w:type="dxa"/>
            </w:tcMar>
          </w:tcPr>
          <w:p w14:paraId="2A6E24D0" w14:textId="77777777" w:rsidR="00680C72" w:rsidRPr="001D5327" w:rsidRDefault="00680C72" w:rsidP="00341FEF">
            <w:pPr>
              <w:pStyle w:val="TableText"/>
              <w:spacing w:before="40" w:after="40"/>
              <w:jc w:val="right"/>
            </w:pPr>
            <w:r w:rsidRPr="001D5327">
              <w:rPr>
                <w:rFonts w:eastAsia="Calibri"/>
                <w:color w:val="000000"/>
              </w:rPr>
              <w:t>NA</w:t>
            </w:r>
          </w:p>
        </w:tc>
      </w:tr>
      <w:tr w:rsidR="00680C72" w:rsidRPr="001D5327" w14:paraId="1B504A0D" w14:textId="77777777" w:rsidTr="00341FEF">
        <w:tc>
          <w:tcPr>
            <w:tcW w:w="0" w:type="auto"/>
            <w:shd w:val="clear" w:color="auto" w:fill="FFFFFF"/>
            <w:tcMar>
              <w:top w:w="0" w:type="dxa"/>
              <w:left w:w="85" w:type="dxa"/>
              <w:bottom w:w="0" w:type="dxa"/>
              <w:right w:w="85" w:type="dxa"/>
            </w:tcMar>
          </w:tcPr>
          <w:p w14:paraId="7BB90632" w14:textId="77777777" w:rsidR="00680C72" w:rsidRPr="001D5327" w:rsidRDefault="00680C72" w:rsidP="00341FEF">
            <w:pPr>
              <w:pStyle w:val="TableText"/>
              <w:spacing w:before="40" w:after="40"/>
            </w:pPr>
            <w:r w:rsidRPr="001D5327">
              <w:rPr>
                <w:rFonts w:eastAsia="Calibri"/>
                <w:color w:val="000000"/>
              </w:rPr>
              <w:t>PFCs</w:t>
            </w:r>
          </w:p>
        </w:tc>
        <w:tc>
          <w:tcPr>
            <w:tcW w:w="0" w:type="auto"/>
            <w:shd w:val="clear" w:color="auto" w:fill="FFFFFF"/>
            <w:tcMar>
              <w:top w:w="0" w:type="dxa"/>
              <w:left w:w="85" w:type="dxa"/>
              <w:bottom w:w="0" w:type="dxa"/>
              <w:right w:w="85" w:type="dxa"/>
            </w:tcMar>
          </w:tcPr>
          <w:p w14:paraId="042FAA6C" w14:textId="77777777" w:rsidR="00680C72" w:rsidRPr="001D5327" w:rsidRDefault="00680C72" w:rsidP="00341FEF">
            <w:pPr>
              <w:pStyle w:val="TableText"/>
              <w:spacing w:before="40" w:after="40"/>
              <w:jc w:val="right"/>
            </w:pPr>
            <w:r w:rsidRPr="001D5327">
              <w:rPr>
                <w:rFonts w:eastAsia="Calibri"/>
                <w:color w:val="000000"/>
              </w:rPr>
              <w:t>818.0</w:t>
            </w:r>
          </w:p>
        </w:tc>
        <w:tc>
          <w:tcPr>
            <w:tcW w:w="0" w:type="auto"/>
            <w:shd w:val="clear" w:color="auto" w:fill="FFFFFF"/>
            <w:tcMar>
              <w:top w:w="0" w:type="dxa"/>
              <w:left w:w="85" w:type="dxa"/>
              <w:bottom w:w="0" w:type="dxa"/>
              <w:right w:w="85" w:type="dxa"/>
            </w:tcMar>
          </w:tcPr>
          <w:p w14:paraId="33A9A742" w14:textId="77777777" w:rsidR="00680C72" w:rsidRPr="001D5327" w:rsidRDefault="00680C72" w:rsidP="00341FEF">
            <w:pPr>
              <w:pStyle w:val="TableText"/>
              <w:spacing w:before="40" w:after="40"/>
              <w:jc w:val="right"/>
            </w:pPr>
            <w:r w:rsidRPr="001D5327">
              <w:rPr>
                <w:rFonts w:eastAsia="Calibri"/>
                <w:color w:val="000000"/>
              </w:rPr>
              <w:t>60.9</w:t>
            </w:r>
          </w:p>
        </w:tc>
        <w:tc>
          <w:tcPr>
            <w:tcW w:w="0" w:type="auto"/>
            <w:shd w:val="clear" w:color="auto" w:fill="FFFFFF"/>
            <w:tcMar>
              <w:top w:w="0" w:type="dxa"/>
              <w:left w:w="85" w:type="dxa"/>
              <w:bottom w:w="0" w:type="dxa"/>
              <w:right w:w="85" w:type="dxa"/>
            </w:tcMar>
          </w:tcPr>
          <w:p w14:paraId="0E826765" w14:textId="2D7FD93E" w:rsidR="00680C72" w:rsidRPr="001D5327" w:rsidRDefault="00121B69" w:rsidP="00341FEF">
            <w:pPr>
              <w:pStyle w:val="TableText"/>
              <w:spacing w:before="40" w:after="40"/>
              <w:jc w:val="right"/>
            </w:pPr>
            <w:r>
              <w:rPr>
                <w:rFonts w:eastAsia="Calibri"/>
                <w:color w:val="000000"/>
              </w:rPr>
              <w:t>-</w:t>
            </w:r>
            <w:r w:rsidR="00680C72" w:rsidRPr="001D5327">
              <w:rPr>
                <w:rFonts w:eastAsia="Calibri"/>
                <w:color w:val="000000"/>
              </w:rPr>
              <w:t>757.1</w:t>
            </w:r>
          </w:p>
        </w:tc>
        <w:tc>
          <w:tcPr>
            <w:tcW w:w="0" w:type="auto"/>
            <w:shd w:val="clear" w:color="auto" w:fill="FFFFFF"/>
            <w:tcMar>
              <w:top w:w="0" w:type="dxa"/>
              <w:left w:w="85" w:type="dxa"/>
              <w:bottom w:w="0" w:type="dxa"/>
              <w:right w:w="85" w:type="dxa"/>
            </w:tcMar>
          </w:tcPr>
          <w:p w14:paraId="3BC54E0E" w14:textId="5C19BD83" w:rsidR="00680C72" w:rsidRPr="001D5327" w:rsidRDefault="00121B69" w:rsidP="00341FEF">
            <w:pPr>
              <w:pStyle w:val="TableText"/>
              <w:spacing w:before="40" w:after="40"/>
              <w:jc w:val="right"/>
            </w:pPr>
            <w:r>
              <w:rPr>
                <w:rFonts w:eastAsia="Calibri"/>
                <w:color w:val="000000"/>
              </w:rPr>
              <w:t>-</w:t>
            </w:r>
            <w:r w:rsidR="00680C72" w:rsidRPr="001D5327">
              <w:rPr>
                <w:rFonts w:eastAsia="Calibri"/>
                <w:color w:val="000000"/>
              </w:rPr>
              <w:t>92.6</w:t>
            </w:r>
          </w:p>
        </w:tc>
      </w:tr>
      <w:tr w:rsidR="00680C72" w:rsidRPr="001D5327" w14:paraId="0743052D" w14:textId="77777777" w:rsidTr="00341FEF">
        <w:tc>
          <w:tcPr>
            <w:tcW w:w="0" w:type="auto"/>
            <w:shd w:val="clear" w:color="auto" w:fill="FFFFFF"/>
            <w:tcMar>
              <w:top w:w="0" w:type="dxa"/>
              <w:left w:w="85" w:type="dxa"/>
              <w:bottom w:w="0" w:type="dxa"/>
              <w:right w:w="85" w:type="dxa"/>
            </w:tcMar>
          </w:tcPr>
          <w:p w14:paraId="72359BD4" w14:textId="77777777" w:rsidR="00680C72" w:rsidRPr="001D5327" w:rsidRDefault="00680C72" w:rsidP="00341FEF">
            <w:pPr>
              <w:pStyle w:val="TableText"/>
              <w:spacing w:before="40" w:after="40"/>
            </w:pPr>
            <w:r w:rsidRPr="001D5327">
              <w:rPr>
                <w:rFonts w:eastAsia="Calibri"/>
                <w:color w:val="000000"/>
              </w:rPr>
              <w:t>SF</w:t>
            </w:r>
            <w:r w:rsidRPr="001D5327">
              <w:rPr>
                <w:rFonts w:eastAsia="Calibri"/>
                <w:color w:val="000000"/>
                <w:vertAlign w:val="subscript"/>
              </w:rPr>
              <w:t>6</w:t>
            </w:r>
          </w:p>
        </w:tc>
        <w:tc>
          <w:tcPr>
            <w:tcW w:w="0" w:type="auto"/>
            <w:shd w:val="clear" w:color="auto" w:fill="FFFFFF"/>
            <w:tcMar>
              <w:top w:w="0" w:type="dxa"/>
              <w:left w:w="85" w:type="dxa"/>
              <w:bottom w:w="0" w:type="dxa"/>
              <w:right w:w="85" w:type="dxa"/>
            </w:tcMar>
          </w:tcPr>
          <w:p w14:paraId="0DA7FC52" w14:textId="77777777" w:rsidR="00680C72" w:rsidRPr="001D5327" w:rsidRDefault="00680C72" w:rsidP="00341FEF">
            <w:pPr>
              <w:pStyle w:val="TableText"/>
              <w:spacing w:before="40" w:after="40"/>
              <w:jc w:val="right"/>
            </w:pPr>
            <w:r w:rsidRPr="001D5327">
              <w:rPr>
                <w:rFonts w:eastAsia="Calibri"/>
                <w:color w:val="000000"/>
              </w:rPr>
              <w:t>20.6</w:t>
            </w:r>
          </w:p>
        </w:tc>
        <w:tc>
          <w:tcPr>
            <w:tcW w:w="0" w:type="auto"/>
            <w:shd w:val="clear" w:color="auto" w:fill="FFFFFF"/>
            <w:tcMar>
              <w:top w:w="0" w:type="dxa"/>
              <w:left w:w="85" w:type="dxa"/>
              <w:bottom w:w="0" w:type="dxa"/>
              <w:right w:w="85" w:type="dxa"/>
            </w:tcMar>
          </w:tcPr>
          <w:p w14:paraId="00878346" w14:textId="77777777" w:rsidR="00680C72" w:rsidRPr="001D5327" w:rsidRDefault="00680C72" w:rsidP="00341FEF">
            <w:pPr>
              <w:pStyle w:val="TableText"/>
              <w:spacing w:before="40" w:after="40"/>
              <w:jc w:val="right"/>
            </w:pPr>
            <w:r w:rsidRPr="001D5327">
              <w:rPr>
                <w:rFonts w:eastAsia="Calibri"/>
                <w:color w:val="000000"/>
              </w:rPr>
              <w:t>16.6</w:t>
            </w:r>
          </w:p>
        </w:tc>
        <w:tc>
          <w:tcPr>
            <w:tcW w:w="0" w:type="auto"/>
            <w:shd w:val="clear" w:color="auto" w:fill="FFFFFF"/>
            <w:tcMar>
              <w:top w:w="0" w:type="dxa"/>
              <w:left w:w="85" w:type="dxa"/>
              <w:bottom w:w="0" w:type="dxa"/>
              <w:right w:w="85" w:type="dxa"/>
            </w:tcMar>
          </w:tcPr>
          <w:p w14:paraId="69C3D1B8" w14:textId="3D090DFF" w:rsidR="00680C72" w:rsidRPr="001D5327" w:rsidRDefault="00121B69" w:rsidP="00341FEF">
            <w:pPr>
              <w:pStyle w:val="TableText"/>
              <w:spacing w:before="40" w:after="40"/>
              <w:jc w:val="right"/>
            </w:pPr>
            <w:r>
              <w:rPr>
                <w:rFonts w:eastAsia="Calibri"/>
                <w:color w:val="000000"/>
              </w:rPr>
              <w:t>-</w:t>
            </w:r>
            <w:r w:rsidR="00680C72" w:rsidRPr="001D5327">
              <w:rPr>
                <w:rFonts w:eastAsia="Calibri"/>
                <w:color w:val="000000"/>
              </w:rPr>
              <w:t>4.0</w:t>
            </w:r>
          </w:p>
        </w:tc>
        <w:tc>
          <w:tcPr>
            <w:tcW w:w="0" w:type="auto"/>
            <w:shd w:val="clear" w:color="auto" w:fill="FFFFFF"/>
            <w:tcMar>
              <w:top w:w="0" w:type="dxa"/>
              <w:left w:w="85" w:type="dxa"/>
              <w:bottom w:w="0" w:type="dxa"/>
              <w:right w:w="85" w:type="dxa"/>
            </w:tcMar>
          </w:tcPr>
          <w:p w14:paraId="18517004" w14:textId="1DDE8B22" w:rsidR="00680C72" w:rsidRPr="001D5327" w:rsidRDefault="00121B69" w:rsidP="00341FEF">
            <w:pPr>
              <w:pStyle w:val="TableText"/>
              <w:spacing w:before="40" w:after="40"/>
              <w:jc w:val="right"/>
            </w:pPr>
            <w:r>
              <w:rPr>
                <w:rFonts w:eastAsia="Calibri"/>
                <w:color w:val="000000"/>
              </w:rPr>
              <w:t>-</w:t>
            </w:r>
            <w:r w:rsidR="00680C72" w:rsidRPr="001D5327">
              <w:rPr>
                <w:rFonts w:eastAsia="Calibri"/>
                <w:color w:val="000000"/>
              </w:rPr>
              <w:t>19.2</w:t>
            </w:r>
          </w:p>
        </w:tc>
      </w:tr>
      <w:tr w:rsidR="00680C72" w:rsidRPr="001D5327" w14:paraId="416FAC7A" w14:textId="77777777" w:rsidTr="00341FEF">
        <w:tc>
          <w:tcPr>
            <w:tcW w:w="0" w:type="auto"/>
            <w:shd w:val="clear" w:color="auto" w:fill="FFFFFF"/>
            <w:tcMar>
              <w:top w:w="0" w:type="dxa"/>
              <w:left w:w="85" w:type="dxa"/>
              <w:bottom w:w="0" w:type="dxa"/>
              <w:right w:w="85" w:type="dxa"/>
            </w:tcMar>
          </w:tcPr>
          <w:p w14:paraId="312A39E8" w14:textId="77777777" w:rsidR="00680C72" w:rsidRPr="001D5327" w:rsidRDefault="00680C72" w:rsidP="00341FEF">
            <w:pPr>
              <w:pStyle w:val="Tableboldblue"/>
            </w:pPr>
            <w:r w:rsidRPr="001D5327">
              <w:rPr>
                <w:rFonts w:eastAsia="Calibri"/>
              </w:rPr>
              <w:t>Gross, all gases</w:t>
            </w:r>
          </w:p>
        </w:tc>
        <w:tc>
          <w:tcPr>
            <w:tcW w:w="0" w:type="auto"/>
            <w:shd w:val="clear" w:color="auto" w:fill="FFFFFF"/>
            <w:tcMar>
              <w:top w:w="0" w:type="dxa"/>
              <w:left w:w="85" w:type="dxa"/>
              <w:bottom w:w="0" w:type="dxa"/>
              <w:right w:w="85" w:type="dxa"/>
            </w:tcMar>
          </w:tcPr>
          <w:p w14:paraId="3BFC59B7" w14:textId="77777777" w:rsidR="00680C72" w:rsidRPr="001D5327" w:rsidRDefault="00680C72" w:rsidP="00341FEF">
            <w:pPr>
              <w:pStyle w:val="Tableboldblue"/>
              <w:jc w:val="right"/>
            </w:pPr>
            <w:r w:rsidRPr="001D5327">
              <w:rPr>
                <w:rFonts w:eastAsia="Calibri"/>
              </w:rPr>
              <w:t>67,678.9</w:t>
            </w:r>
          </w:p>
        </w:tc>
        <w:tc>
          <w:tcPr>
            <w:tcW w:w="0" w:type="auto"/>
            <w:shd w:val="clear" w:color="auto" w:fill="FFFFFF"/>
            <w:tcMar>
              <w:top w:w="0" w:type="dxa"/>
              <w:left w:w="85" w:type="dxa"/>
              <w:bottom w:w="0" w:type="dxa"/>
              <w:right w:w="85" w:type="dxa"/>
            </w:tcMar>
          </w:tcPr>
          <w:p w14:paraId="5B0A928D" w14:textId="77777777" w:rsidR="00680C72" w:rsidRPr="001D5327" w:rsidRDefault="00680C72" w:rsidP="00341FEF">
            <w:pPr>
              <w:pStyle w:val="Tableboldblue"/>
              <w:jc w:val="right"/>
            </w:pPr>
            <w:r w:rsidRPr="001D5327">
              <w:rPr>
                <w:rFonts w:eastAsia="Calibri"/>
              </w:rPr>
              <w:t>76,416.3</w:t>
            </w:r>
          </w:p>
        </w:tc>
        <w:tc>
          <w:tcPr>
            <w:tcW w:w="0" w:type="auto"/>
            <w:shd w:val="clear" w:color="auto" w:fill="FFFFFF"/>
            <w:tcMar>
              <w:top w:w="0" w:type="dxa"/>
              <w:left w:w="85" w:type="dxa"/>
              <w:bottom w:w="0" w:type="dxa"/>
              <w:right w:w="85" w:type="dxa"/>
            </w:tcMar>
          </w:tcPr>
          <w:p w14:paraId="3FA51998" w14:textId="77777777" w:rsidR="00680C72" w:rsidRPr="001D5327" w:rsidRDefault="00680C72" w:rsidP="00341FEF">
            <w:pPr>
              <w:pStyle w:val="Tableboldblue"/>
              <w:jc w:val="right"/>
            </w:pPr>
            <w:r w:rsidRPr="001D5327">
              <w:rPr>
                <w:rFonts w:eastAsia="Calibri"/>
              </w:rPr>
              <w:t>8,737.4</w:t>
            </w:r>
          </w:p>
        </w:tc>
        <w:tc>
          <w:tcPr>
            <w:tcW w:w="0" w:type="auto"/>
            <w:shd w:val="clear" w:color="auto" w:fill="FFFFFF"/>
            <w:tcMar>
              <w:top w:w="0" w:type="dxa"/>
              <w:left w:w="85" w:type="dxa"/>
              <w:bottom w:w="0" w:type="dxa"/>
              <w:right w:w="85" w:type="dxa"/>
            </w:tcMar>
          </w:tcPr>
          <w:p w14:paraId="3BD3A50D" w14:textId="77777777" w:rsidR="00680C72" w:rsidRPr="001D5327" w:rsidRDefault="00680C72" w:rsidP="00341FEF">
            <w:pPr>
              <w:pStyle w:val="Tableboldblue"/>
              <w:jc w:val="right"/>
            </w:pPr>
            <w:r w:rsidRPr="001D5327">
              <w:rPr>
                <w:rFonts w:eastAsia="Calibri"/>
              </w:rPr>
              <w:t>12.9</w:t>
            </w:r>
          </w:p>
        </w:tc>
      </w:tr>
    </w:tbl>
    <w:p w14:paraId="7438AC78" w14:textId="77777777" w:rsidR="00680C72" w:rsidRPr="001D5327" w:rsidRDefault="00680C72" w:rsidP="00680C72">
      <w:pPr>
        <w:pStyle w:val="Noteundertable"/>
      </w:pPr>
      <w:r w:rsidRPr="001D5327">
        <w:rPr>
          <w:b/>
          <w:bCs/>
        </w:rPr>
        <w:t>Note:</w:t>
      </w:r>
      <w:r w:rsidRPr="001D5327">
        <w:tab/>
        <w:t>Gross emissions exclude net emissions from the LULUCF sector. The percentage change for HFCs is not applicable (NA) because no emissions of HFCs occurred in 1990. Columns may not total due to rounding. Percentages presented are calculated from unrounded values.</w:t>
      </w:r>
    </w:p>
    <w:p w14:paraId="3D3D63DE" w14:textId="77777777" w:rsidR="00680C72" w:rsidRPr="001D5327" w:rsidRDefault="00680C72" w:rsidP="00680C72">
      <w:pPr>
        <w:pStyle w:val="BodyText"/>
        <w:spacing w:before="100" w:after="100"/>
      </w:pPr>
      <w:r w:rsidRPr="001D5327">
        <w:t>Figure ES 2.2 presents for each gas the absolute change in gross emissions (LULUCF is excluded from the estimate of gross emissions), and the change between 1990 and 2023 estimates in kt CO</w:t>
      </w:r>
      <w:r w:rsidRPr="001D5327">
        <w:rPr>
          <w:vertAlign w:val="subscript"/>
        </w:rPr>
        <w:t>2</w:t>
      </w:r>
      <w:r w:rsidRPr="001D5327">
        <w:t>-e.</w:t>
      </w:r>
    </w:p>
    <w:p w14:paraId="772D0141" w14:textId="77777777" w:rsidR="00680C72" w:rsidRPr="001D5327" w:rsidRDefault="00680C72" w:rsidP="00680C72">
      <w:pPr>
        <w:pStyle w:val="Figure"/>
      </w:pPr>
      <w:bookmarkStart w:id="19" w:name="_Toc194674818"/>
      <w:r w:rsidRPr="001D5327">
        <w:rPr>
          <w:bCs/>
        </w:rPr>
        <w:t>Figure ES 2.2</w:t>
      </w:r>
      <w:r w:rsidRPr="001D5327">
        <w:tab/>
        <w:t xml:space="preserve">New Zealand’s gross emissions by gas in </w:t>
      </w:r>
      <w:r w:rsidRPr="001D5327">
        <w:rPr>
          <w:bCs/>
        </w:rPr>
        <w:t>1990</w:t>
      </w:r>
      <w:r w:rsidRPr="001D5327">
        <w:t xml:space="preserve"> and </w:t>
      </w:r>
      <w:r w:rsidRPr="001D5327">
        <w:rPr>
          <w:bCs/>
        </w:rPr>
        <w:t>2023</w:t>
      </w:r>
      <w:bookmarkEnd w:id="19"/>
    </w:p>
    <w:p w14:paraId="14961101" w14:textId="77777777" w:rsidR="00680C72" w:rsidRPr="001D5327" w:rsidRDefault="00680C72" w:rsidP="00680C72">
      <w:pPr>
        <w:pStyle w:val="BodyText"/>
      </w:pPr>
      <w:r w:rsidRPr="001D5327">
        <w:rPr>
          <w:noProof/>
        </w:rPr>
        <w:drawing>
          <wp:inline distT="0" distB="0" distL="0" distR="0" wp14:anchorId="2882605F" wp14:editId="2CB7D4C9">
            <wp:extent cx="5238750" cy="3790950"/>
            <wp:effectExtent l="0" t="0" r="0" b="0"/>
            <wp:docPr id="32" name="Picture"/>
            <wp:cNvGraphicFramePr/>
            <a:graphic xmlns:a="http://schemas.openxmlformats.org/drawingml/2006/main">
              <a:graphicData uri="http://schemas.openxmlformats.org/drawingml/2006/picture">
                <pic:pic xmlns:pic="http://schemas.openxmlformats.org/drawingml/2006/picture">
                  <pic:nvPicPr>
                    <pic:cNvPr id="33" name="Picture" descr="code/graphs/images/es_3_2_crf.png"/>
                    <pic:cNvPicPr>
                      <a:picLocks noChangeAspect="1" noChangeArrowheads="1"/>
                    </pic:cNvPicPr>
                  </pic:nvPicPr>
                  <pic:blipFill rotWithShape="1">
                    <a:blip r:embed="rId28"/>
                    <a:srcRect b="1647"/>
                    <a:stretch/>
                  </pic:blipFill>
                  <pic:spPr bwMode="auto">
                    <a:xfrm>
                      <a:off x="0" y="0"/>
                      <a:ext cx="5238750" cy="3790950"/>
                    </a:xfrm>
                    <a:prstGeom prst="rect">
                      <a:avLst/>
                    </a:prstGeom>
                    <a:noFill/>
                    <a:ln>
                      <a:noFill/>
                    </a:ln>
                    <a:extLst>
                      <a:ext uri="{53640926-AAD7-44D8-BBD7-CCE9431645EC}">
                        <a14:shadowObscured xmlns:a14="http://schemas.microsoft.com/office/drawing/2010/main"/>
                      </a:ext>
                    </a:extLst>
                  </pic:spPr>
                </pic:pic>
              </a:graphicData>
            </a:graphic>
          </wp:inline>
        </w:drawing>
      </w:r>
    </w:p>
    <w:p w14:paraId="5C17068A" w14:textId="77777777" w:rsidR="00680C72" w:rsidRPr="001D5327" w:rsidRDefault="00680C72" w:rsidP="00680C72">
      <w:pPr>
        <w:pStyle w:val="Noteundertable"/>
      </w:pPr>
      <w:r w:rsidRPr="001D5327">
        <w:rPr>
          <w:b/>
          <w:bCs/>
        </w:rPr>
        <w:t>Note:</w:t>
      </w:r>
      <w:r w:rsidRPr="001D5327">
        <w:tab/>
        <w:t>Emissions of sulphur hexafluoride (SF</w:t>
      </w:r>
      <w:r w:rsidRPr="001D5327">
        <w:rPr>
          <w:vertAlign w:val="subscript"/>
        </w:rPr>
        <w:t>6</w:t>
      </w:r>
      <w:r w:rsidRPr="001D5327">
        <w:t>) are not visible, due to its small emissions value, and emissions of hydrofluorocarbons (HFCs) did not occur in 1990.</w:t>
      </w:r>
    </w:p>
    <w:p w14:paraId="7A62B84B" w14:textId="77777777" w:rsidR="00680C72" w:rsidRPr="001D5327" w:rsidRDefault="00680C72" w:rsidP="00680C72">
      <w:pPr>
        <w:pStyle w:val="BodyText"/>
        <w:spacing w:before="100" w:after="100"/>
        <w:rPr>
          <w:spacing w:val="-2"/>
        </w:rPr>
      </w:pPr>
      <w:r w:rsidRPr="001D5327">
        <w:t>In 1990 and 2023, CH</w:t>
      </w:r>
      <w:r w:rsidRPr="001D5327">
        <w:rPr>
          <w:vertAlign w:val="subscript"/>
        </w:rPr>
        <w:t>4</w:t>
      </w:r>
      <w:r w:rsidRPr="001D5327">
        <w:t xml:space="preserve"> made the greatest contribution to gross emissions (see figure ES 2.2). While emissions of CH</w:t>
      </w:r>
      <w:r w:rsidRPr="001D5327">
        <w:rPr>
          <w:vertAlign w:val="subscript"/>
        </w:rPr>
        <w:t>4</w:t>
      </w:r>
      <w:r w:rsidRPr="001D5327">
        <w:t xml:space="preserve"> have increased between these years, the rate of increase in CH</w:t>
      </w:r>
      <w:r w:rsidRPr="001D5327">
        <w:rPr>
          <w:vertAlign w:val="subscript"/>
        </w:rPr>
        <w:t>4</w:t>
      </w:r>
      <w:r w:rsidRPr="001D5327">
        <w:t xml:space="preserve"> </w:t>
      </w:r>
      <w:r w:rsidRPr="001D5327">
        <w:rPr>
          <w:spacing w:val="-2"/>
        </w:rPr>
        <w:t>emissions relative to other gases in the Inventory has been lower over the same period. Nitrous oxide and CO</w:t>
      </w:r>
      <w:r w:rsidRPr="001D5327">
        <w:rPr>
          <w:spacing w:val="-2"/>
          <w:vertAlign w:val="subscript"/>
        </w:rPr>
        <w:t>2</w:t>
      </w:r>
      <w:r w:rsidRPr="001D5327">
        <w:rPr>
          <w:spacing w:val="-2"/>
        </w:rPr>
        <w:t xml:space="preserve"> emissions have increased at a greater rate between these years than CH</w:t>
      </w:r>
      <w:r w:rsidRPr="001D5327">
        <w:rPr>
          <w:spacing w:val="-2"/>
          <w:vertAlign w:val="subscript"/>
        </w:rPr>
        <w:t>4</w:t>
      </w:r>
      <w:r w:rsidRPr="001D5327">
        <w:rPr>
          <w:spacing w:val="-2"/>
        </w:rPr>
        <w:t>.</w:t>
      </w:r>
    </w:p>
    <w:p w14:paraId="3844FF1F" w14:textId="77777777" w:rsidR="00680C72" w:rsidRPr="001D5327" w:rsidRDefault="00680C72" w:rsidP="00680C72">
      <w:pPr>
        <w:pStyle w:val="BodyText"/>
        <w:spacing w:before="100"/>
      </w:pPr>
      <w:r w:rsidRPr="001D5327">
        <w:t>These trends reflect the changes that have occurred in the main livestock types that are farmed in New Zealand and the growth in road transport.</w:t>
      </w:r>
    </w:p>
    <w:p w14:paraId="49FC1510" w14:textId="529F0545" w:rsidR="00680C72" w:rsidRPr="001D5327" w:rsidRDefault="00680C72" w:rsidP="00680C72">
      <w:pPr>
        <w:pStyle w:val="BodyText"/>
      </w:pPr>
      <w:r w:rsidRPr="001D5327">
        <w:lastRenderedPageBreak/>
        <w:t xml:space="preserve">In 2023, net emissions from the LULUCF sector were </w:t>
      </w:r>
      <w:r w:rsidR="00121B69">
        <w:t>-</w:t>
      </w:r>
      <w:r w:rsidRPr="001D5327">
        <w:t>20,197.1 kt CO</w:t>
      </w:r>
      <w:r w:rsidRPr="001D5327">
        <w:rPr>
          <w:vertAlign w:val="subscript"/>
        </w:rPr>
        <w:t>2</w:t>
      </w:r>
      <w:r w:rsidRPr="001D5327">
        <w:t xml:space="preserve">-e, or </w:t>
      </w:r>
      <w:r w:rsidR="00121B69">
        <w:t>-</w:t>
      </w:r>
      <w:r w:rsidRPr="001D5327">
        <w:t xml:space="preserve">26.4 per cent of New Zealand’s gross GHG emissions. This was comprised of net emissions of </w:t>
      </w:r>
      <w:r w:rsidR="00121B69">
        <w:t>-</w:t>
      </w:r>
      <w:r w:rsidRPr="001D5327">
        <w:t>20,511.0 kt CO</w:t>
      </w:r>
      <w:r w:rsidRPr="001D5327">
        <w:rPr>
          <w:vertAlign w:val="subscript"/>
        </w:rPr>
        <w:t>2</w:t>
      </w:r>
      <w:r w:rsidRPr="001D5327">
        <w:t>, 45.8 kt CO</w:t>
      </w:r>
      <w:r w:rsidRPr="001D5327">
        <w:rPr>
          <w:vertAlign w:val="subscript"/>
        </w:rPr>
        <w:t>2</w:t>
      </w:r>
      <w:r w:rsidRPr="001D5327">
        <w:t>-e of CH</w:t>
      </w:r>
      <w:r w:rsidRPr="001D5327">
        <w:rPr>
          <w:vertAlign w:val="subscript"/>
        </w:rPr>
        <w:t>4</w:t>
      </w:r>
      <w:r w:rsidRPr="001D5327">
        <w:t xml:space="preserve"> and 268.0 kt CO</w:t>
      </w:r>
      <w:r w:rsidRPr="001D5327">
        <w:rPr>
          <w:vertAlign w:val="subscript"/>
        </w:rPr>
        <w:t>2</w:t>
      </w:r>
      <w:r w:rsidRPr="001D5327">
        <w:t>-e of N</w:t>
      </w:r>
      <w:r w:rsidRPr="001D5327">
        <w:rPr>
          <w:vertAlign w:val="subscript"/>
        </w:rPr>
        <w:t>2</w:t>
      </w:r>
      <w:r w:rsidRPr="001D5327">
        <w:t xml:space="preserve">O. </w:t>
      </w:r>
    </w:p>
    <w:p w14:paraId="66C0E79E" w14:textId="77777777" w:rsidR="00680C72" w:rsidRPr="001D5327" w:rsidRDefault="00680C72" w:rsidP="00CD7249">
      <w:pPr>
        <w:pStyle w:val="Heading2"/>
        <w:tabs>
          <w:tab w:val="clear" w:pos="851"/>
          <w:tab w:val="left" w:pos="993"/>
        </w:tabs>
      </w:pPr>
      <w:bookmarkStart w:id="20" w:name="_Toc194311978"/>
      <w:bookmarkStart w:id="21" w:name="X1ea691dbe5fde2324cf809013e16b7f5a1048d5"/>
      <w:bookmarkEnd w:id="13"/>
      <w:bookmarkEnd w:id="17"/>
      <w:r w:rsidRPr="001D5327">
        <w:t>ES.3</w:t>
      </w:r>
      <w:r w:rsidRPr="001D5327">
        <w:tab/>
        <w:t>Overview of source and sink category emissions estimates and trends</w:t>
      </w:r>
      <w:bookmarkEnd w:id="20"/>
    </w:p>
    <w:p w14:paraId="11828C51" w14:textId="77777777" w:rsidR="00680C72" w:rsidRPr="001D5327" w:rsidRDefault="00680C72" w:rsidP="00680C72">
      <w:pPr>
        <w:pStyle w:val="BodyText"/>
      </w:pPr>
      <w:r w:rsidRPr="001D5327">
        <w:t xml:space="preserve">Figure ES 3.1 shows the contribution to net emissions that each sector of </w:t>
      </w:r>
      <w:r w:rsidRPr="001D5327">
        <w:rPr>
          <w:i/>
          <w:iCs/>
        </w:rPr>
        <w:t>New Zealand’s Greenhouse Gas Inventory</w:t>
      </w:r>
      <w:r w:rsidRPr="001D5327">
        <w:t xml:space="preserve"> (the Inventory) has made since 1990. The Agriculture and Energy sectors have dominated New Zealand’s gross emissions profile. Together, these sectors produced 90.5 per cent of New Zealand’s annual gross GHG emissions from 1990 to 2023. The IPPU and Waste sectors produced relatively small amounts of GHGs, each contributing between 3.6 per cent and 6.0 per cent of annual gross emissions across the time series.</w:t>
      </w:r>
    </w:p>
    <w:p w14:paraId="584DB2D3" w14:textId="77777777" w:rsidR="00680C72" w:rsidRPr="001D5327" w:rsidRDefault="00680C72" w:rsidP="00680C72">
      <w:pPr>
        <w:pStyle w:val="BodyText"/>
      </w:pPr>
      <w:r w:rsidRPr="001D5327">
        <w:t>Conversely, the LULUCF sector was a net sink of GHG emissions between 1990 and 2023.</w:t>
      </w:r>
    </w:p>
    <w:p w14:paraId="37D239B8" w14:textId="77777777" w:rsidR="00680C72" w:rsidRPr="001D5327" w:rsidRDefault="00680C72" w:rsidP="00680C72">
      <w:pPr>
        <w:pStyle w:val="Figure"/>
      </w:pPr>
      <w:bookmarkStart w:id="22" w:name="_Toc194674819"/>
      <w:r w:rsidRPr="001D5327">
        <w:rPr>
          <w:bCs/>
        </w:rPr>
        <w:t>Figure ES 3.1</w:t>
      </w:r>
      <w:r w:rsidRPr="001D5327">
        <w:tab/>
        <w:t xml:space="preserve">Trends in New Zealand’s greenhouse gas emissions by sector, from </w:t>
      </w:r>
      <w:r w:rsidRPr="001D5327">
        <w:rPr>
          <w:bCs/>
        </w:rPr>
        <w:t>1990</w:t>
      </w:r>
      <w:r w:rsidRPr="001D5327">
        <w:t xml:space="preserve"> to </w:t>
      </w:r>
      <w:r w:rsidRPr="001D5327">
        <w:rPr>
          <w:bCs/>
        </w:rPr>
        <w:t>2023</w:t>
      </w:r>
      <w:bookmarkEnd w:id="22"/>
    </w:p>
    <w:p w14:paraId="16FD255B" w14:textId="77777777" w:rsidR="00680C72" w:rsidRPr="001D5327" w:rsidRDefault="00680C72" w:rsidP="00680C72">
      <w:pPr>
        <w:pStyle w:val="BodyText"/>
      </w:pPr>
      <w:r w:rsidRPr="001D5327">
        <w:rPr>
          <w:noProof/>
        </w:rPr>
        <w:drawing>
          <wp:inline distT="0" distB="0" distL="0" distR="0" wp14:anchorId="236AE64F" wp14:editId="57121C85">
            <wp:extent cx="5397500" cy="3956050"/>
            <wp:effectExtent l="0" t="0" r="0" b="6350"/>
            <wp:docPr id="1772962985" name="Picture"/>
            <wp:cNvGraphicFramePr/>
            <a:graphic xmlns:a="http://schemas.openxmlformats.org/drawingml/2006/main">
              <a:graphicData uri="http://schemas.openxmlformats.org/drawingml/2006/picture">
                <pic:pic xmlns:pic="http://schemas.openxmlformats.org/drawingml/2006/picture">
                  <pic:nvPicPr>
                    <pic:cNvPr id="38" name="Picture" descr="code/graphs/images/es_4_1_crf.png"/>
                    <pic:cNvPicPr>
                      <a:picLocks noChangeAspect="1" noChangeArrowheads="1"/>
                    </pic:cNvPicPr>
                  </pic:nvPicPr>
                  <pic:blipFill rotWithShape="1">
                    <a:blip r:embed="rId29"/>
                    <a:srcRect b="2275"/>
                    <a:stretch/>
                  </pic:blipFill>
                  <pic:spPr bwMode="auto">
                    <a:xfrm>
                      <a:off x="0" y="0"/>
                      <a:ext cx="5397500" cy="3956050"/>
                    </a:xfrm>
                    <a:prstGeom prst="rect">
                      <a:avLst/>
                    </a:prstGeom>
                    <a:noFill/>
                    <a:ln>
                      <a:noFill/>
                    </a:ln>
                    <a:extLst>
                      <a:ext uri="{53640926-AAD7-44D8-BBD7-CCE9431645EC}">
                        <a14:shadowObscured xmlns:a14="http://schemas.microsoft.com/office/drawing/2010/main"/>
                      </a:ext>
                    </a:extLst>
                  </pic:spPr>
                </pic:pic>
              </a:graphicData>
            </a:graphic>
          </wp:inline>
        </w:drawing>
      </w:r>
    </w:p>
    <w:p w14:paraId="088EE1EA" w14:textId="77777777" w:rsidR="00680C72" w:rsidRPr="001D5327" w:rsidRDefault="00680C72" w:rsidP="00680C72">
      <w:pPr>
        <w:pStyle w:val="Heading3"/>
        <w:spacing w:before="240"/>
      </w:pPr>
      <w:bookmarkStart w:id="23" w:name="energy-chapter-3"/>
      <w:r w:rsidRPr="001D5327">
        <w:t>Energy (chapter 3)</w:t>
      </w:r>
    </w:p>
    <w:p w14:paraId="6C7D76EB" w14:textId="77777777" w:rsidR="00680C72" w:rsidRPr="001D5327" w:rsidRDefault="00680C72" w:rsidP="00CD7249">
      <w:pPr>
        <w:pStyle w:val="Heading4"/>
        <w:spacing w:before="180"/>
      </w:pPr>
      <w:bookmarkStart w:id="24" w:name="section-4"/>
      <w:r w:rsidRPr="001D5327">
        <w:t>2023</w:t>
      </w:r>
    </w:p>
    <w:p w14:paraId="2447F5F5" w14:textId="77777777" w:rsidR="00680C72" w:rsidRPr="001D5327" w:rsidRDefault="00680C72" w:rsidP="00680C72">
      <w:pPr>
        <w:pStyle w:val="BodyText"/>
      </w:pPr>
      <w:r w:rsidRPr="001D5327">
        <w:t>In 2023, emissions from the Energy sector contributed 28,851.0 kt CO</w:t>
      </w:r>
      <w:r w:rsidRPr="001D5327">
        <w:rPr>
          <w:vertAlign w:val="subscript"/>
        </w:rPr>
        <w:t>2</w:t>
      </w:r>
      <w:r w:rsidRPr="001D5327">
        <w:t>-e, or 37.8 per cent of New Zealand’s gross GHG emissions.</w:t>
      </w:r>
    </w:p>
    <w:p w14:paraId="77B370B9" w14:textId="77777777" w:rsidR="00680C72" w:rsidRPr="001D5327" w:rsidRDefault="00680C72" w:rsidP="00680C72">
      <w:pPr>
        <w:pStyle w:val="BodyText"/>
      </w:pPr>
      <w:r w:rsidRPr="001D5327">
        <w:t xml:space="preserve">The largest sources of emissions in the Energy sector were the </w:t>
      </w:r>
      <w:r w:rsidRPr="001D5327">
        <w:rPr>
          <w:i/>
          <w:iCs/>
        </w:rPr>
        <w:t>Road transportation</w:t>
      </w:r>
      <w:r w:rsidRPr="001D5327">
        <w:t xml:space="preserve"> category, contributing 12,599.8 kt CO</w:t>
      </w:r>
      <w:r w:rsidRPr="001D5327">
        <w:rPr>
          <w:vertAlign w:val="subscript"/>
        </w:rPr>
        <w:t>2</w:t>
      </w:r>
      <w:r w:rsidRPr="001D5327">
        <w:t xml:space="preserve">-e (43.7 per cent), and the </w:t>
      </w:r>
      <w:r w:rsidRPr="001D5327">
        <w:rPr>
          <w:i/>
          <w:iCs/>
        </w:rPr>
        <w:t>Manufacturing industries and construction</w:t>
      </w:r>
      <w:r w:rsidRPr="001D5327">
        <w:t xml:space="preserve"> category, contributing 6,126.3 kt CO</w:t>
      </w:r>
      <w:r w:rsidRPr="001D5327">
        <w:rPr>
          <w:vertAlign w:val="subscript"/>
        </w:rPr>
        <w:t>2</w:t>
      </w:r>
      <w:r w:rsidRPr="001D5327">
        <w:t>-e (21.2 per cent) to energy emissions.</w:t>
      </w:r>
    </w:p>
    <w:p w14:paraId="39F8564E" w14:textId="77777777" w:rsidR="00680C72" w:rsidRPr="001D5327" w:rsidRDefault="00680C72" w:rsidP="00680C72">
      <w:pPr>
        <w:pStyle w:val="Heading4"/>
      </w:pPr>
      <w:bookmarkStart w:id="25" w:name="section-5"/>
      <w:bookmarkEnd w:id="24"/>
      <w:r w:rsidRPr="001D5327">
        <w:lastRenderedPageBreak/>
        <w:t>2022–2023</w:t>
      </w:r>
    </w:p>
    <w:p w14:paraId="0713B3CC" w14:textId="77777777" w:rsidR="00680C72" w:rsidRPr="001D5327" w:rsidRDefault="00680C72" w:rsidP="00680C72">
      <w:pPr>
        <w:pStyle w:val="BodyText"/>
      </w:pPr>
      <w:r w:rsidRPr="001D5327">
        <w:t>Between 2022 and 2023, emissions from the Energy sector decreased by 225.0 kt CO</w:t>
      </w:r>
      <w:r w:rsidRPr="001D5327">
        <w:rPr>
          <w:vertAlign w:val="subscript"/>
        </w:rPr>
        <w:t>2</w:t>
      </w:r>
      <w:r w:rsidRPr="001D5327">
        <w:t xml:space="preserve">-e (0.8 per cent). This was primarily due to a combination of emissions decreases in </w:t>
      </w:r>
      <w:r w:rsidRPr="001D5327">
        <w:rPr>
          <w:i/>
          <w:iCs/>
        </w:rPr>
        <w:t>Petroleum refining</w:t>
      </w:r>
      <w:r w:rsidRPr="001D5327">
        <w:t xml:space="preserve"> (down 166.1 kt CO</w:t>
      </w:r>
      <w:r w:rsidRPr="001D5327">
        <w:rPr>
          <w:vertAlign w:val="subscript"/>
        </w:rPr>
        <w:t>2</w:t>
      </w:r>
      <w:r w:rsidRPr="001D5327">
        <w:t xml:space="preserve">-e or 100 per cent), </w:t>
      </w:r>
      <w:r w:rsidRPr="001D5327">
        <w:rPr>
          <w:i/>
          <w:iCs/>
        </w:rPr>
        <w:t>Public electricity and heat production</w:t>
      </w:r>
      <w:r w:rsidRPr="001D5327">
        <w:t xml:space="preserve"> (down 153.5 kt CO</w:t>
      </w:r>
      <w:r w:rsidRPr="001D5327">
        <w:rPr>
          <w:vertAlign w:val="subscript"/>
        </w:rPr>
        <w:t>2</w:t>
      </w:r>
      <w:r w:rsidRPr="001D5327">
        <w:t xml:space="preserve">-e or 5.3 per cent) and </w:t>
      </w:r>
      <w:r w:rsidRPr="001D5327">
        <w:rPr>
          <w:i/>
          <w:iCs/>
        </w:rPr>
        <w:t>Commercial/institutional</w:t>
      </w:r>
      <w:r w:rsidRPr="001D5327">
        <w:t xml:space="preserve"> (down 143.1 kt CO</w:t>
      </w:r>
      <w:r w:rsidRPr="001D5327">
        <w:rPr>
          <w:vertAlign w:val="subscript"/>
        </w:rPr>
        <w:t>2</w:t>
      </w:r>
      <w:r w:rsidRPr="001D5327">
        <w:t xml:space="preserve">-e or 10.7 per cent). This decrease was partially offset by the </w:t>
      </w:r>
      <w:r w:rsidRPr="001D5327">
        <w:rPr>
          <w:i/>
          <w:iCs/>
        </w:rPr>
        <w:t>Domestic aviation</w:t>
      </w:r>
      <w:r w:rsidRPr="001D5327">
        <w:t xml:space="preserve"> category, which increased by 245.2 kt CO</w:t>
      </w:r>
      <w:r w:rsidRPr="001D5327">
        <w:rPr>
          <w:vertAlign w:val="subscript"/>
        </w:rPr>
        <w:t>2</w:t>
      </w:r>
      <w:r w:rsidRPr="001D5327">
        <w:t xml:space="preserve">-e (24.0 per cent) and </w:t>
      </w:r>
      <w:r w:rsidRPr="001D5327">
        <w:rPr>
          <w:i/>
          <w:iCs/>
        </w:rPr>
        <w:t>Road transportation</w:t>
      </w:r>
      <w:r w:rsidRPr="001D5327">
        <w:t>, which increased by 233.7 kt CO</w:t>
      </w:r>
      <w:r w:rsidRPr="001D5327">
        <w:rPr>
          <w:vertAlign w:val="subscript"/>
        </w:rPr>
        <w:t>2</w:t>
      </w:r>
      <w:r w:rsidRPr="001D5327">
        <w:t>-e (1.9 per cent). Further information on these changes is provided under the relevant categories of chapter 3, section 3.2.</w:t>
      </w:r>
    </w:p>
    <w:p w14:paraId="19E55B33" w14:textId="77777777" w:rsidR="00680C72" w:rsidRPr="001D5327" w:rsidRDefault="00680C72" w:rsidP="00680C72">
      <w:pPr>
        <w:pStyle w:val="BodyText"/>
      </w:pPr>
      <w:r w:rsidRPr="001D5327">
        <w:t>National energy consumption in 2023 remained the same as 2022 levels, and was still 6.1 per cent below the pre-COVID level seen in 2019.</w:t>
      </w:r>
    </w:p>
    <w:p w14:paraId="0EE86EF3" w14:textId="77777777" w:rsidR="00680C72" w:rsidRPr="001D5327" w:rsidRDefault="00680C72" w:rsidP="00680C72">
      <w:pPr>
        <w:pStyle w:val="Heading4"/>
      </w:pPr>
      <w:r w:rsidRPr="001D5327">
        <w:t>1990–2023</w:t>
      </w:r>
    </w:p>
    <w:p w14:paraId="05F51555" w14:textId="77777777" w:rsidR="00680C72" w:rsidRPr="001D5327" w:rsidRDefault="00680C72" w:rsidP="00680C72">
      <w:pPr>
        <w:pStyle w:val="BodyText"/>
      </w:pPr>
      <w:r w:rsidRPr="001D5327">
        <w:t>In 2023, emissions from the Energy sector had increased by 20.2 per cent (4,851.2 kt CO</w:t>
      </w:r>
      <w:r w:rsidRPr="001D5327">
        <w:rPr>
          <w:vertAlign w:val="subscript"/>
        </w:rPr>
        <w:t>2</w:t>
      </w:r>
      <w:r w:rsidRPr="001D5327">
        <w:t>-e) from the 1990 level of 23,999.7 kt CO</w:t>
      </w:r>
      <w:r w:rsidRPr="001D5327">
        <w:rPr>
          <w:vertAlign w:val="subscript"/>
        </w:rPr>
        <w:t>2</w:t>
      </w:r>
      <w:r w:rsidRPr="001D5327">
        <w:t xml:space="preserve">-e. This growth is primarily due to </w:t>
      </w:r>
      <w:r w:rsidRPr="001D5327">
        <w:rPr>
          <w:i/>
          <w:iCs/>
        </w:rPr>
        <w:t>Road transportation</w:t>
      </w:r>
      <w:r w:rsidRPr="001D5327">
        <w:t>, which increased by 5,771.3 kt CO</w:t>
      </w:r>
      <w:r w:rsidRPr="001D5327">
        <w:rPr>
          <w:vertAlign w:val="subscript"/>
        </w:rPr>
        <w:t>2</w:t>
      </w:r>
      <w:r w:rsidRPr="001D5327">
        <w:t xml:space="preserve">-e (84.5 per cent), </w:t>
      </w:r>
      <w:r w:rsidRPr="001D5327">
        <w:rPr>
          <w:i/>
          <w:iCs/>
        </w:rPr>
        <w:t>Food processing, beverages and tobacco</w:t>
      </w:r>
      <w:r w:rsidRPr="001D5327">
        <w:t>, which increased by 1,031.4 kt CO</w:t>
      </w:r>
      <w:r w:rsidRPr="001D5327">
        <w:rPr>
          <w:vertAlign w:val="subscript"/>
        </w:rPr>
        <w:t>2</w:t>
      </w:r>
      <w:r w:rsidRPr="001D5327">
        <w:t xml:space="preserve">-e (61.7 per cent), and </w:t>
      </w:r>
      <w:r w:rsidRPr="001D5327">
        <w:rPr>
          <w:i/>
          <w:iCs/>
        </w:rPr>
        <w:t>Chemicals</w:t>
      </w:r>
      <w:r w:rsidRPr="001D5327">
        <w:t>, which increased by 776.4 kt CO</w:t>
      </w:r>
      <w:r w:rsidRPr="001D5327">
        <w:rPr>
          <w:vertAlign w:val="subscript"/>
        </w:rPr>
        <w:t>2</w:t>
      </w:r>
      <w:r w:rsidRPr="001D5327">
        <w:t>-e (144.8 per cent). Although the underlying drivers of these increases are often nuanced, key factors include population growth and increased economic activity.</w:t>
      </w:r>
    </w:p>
    <w:p w14:paraId="26400212" w14:textId="77777777" w:rsidR="00680C72" w:rsidRPr="001D5327" w:rsidRDefault="00680C72" w:rsidP="00680C72">
      <w:pPr>
        <w:pStyle w:val="BodyText"/>
        <w:rPr>
          <w:spacing w:val="-2"/>
        </w:rPr>
      </w:pPr>
      <w:r w:rsidRPr="001D5327">
        <w:rPr>
          <w:spacing w:val="-2"/>
        </w:rPr>
        <w:t xml:space="preserve">The largest decrease since 1990 occurred in the </w:t>
      </w:r>
      <w:r w:rsidRPr="001D5327">
        <w:rPr>
          <w:i/>
          <w:iCs/>
          <w:spacing w:val="-2"/>
        </w:rPr>
        <w:t>Manufacture of solid fuels and other energy industries</w:t>
      </w:r>
      <w:r w:rsidRPr="001D5327">
        <w:rPr>
          <w:spacing w:val="-2"/>
        </w:rPr>
        <w:t xml:space="preserve"> category – a historically significant contributor to New Zealand’s emissions. Emissions for this category in 2023 had decreased from the 1990 level by 1,501.8 kt CO</w:t>
      </w:r>
      <w:r w:rsidRPr="001D5327">
        <w:rPr>
          <w:spacing w:val="-2"/>
          <w:vertAlign w:val="subscript"/>
        </w:rPr>
        <w:t>2</w:t>
      </w:r>
      <w:r w:rsidRPr="001D5327">
        <w:rPr>
          <w:spacing w:val="-2"/>
        </w:rPr>
        <w:t>-e (88.1 per cent). This decrease is primarily due to the cessation of synthetic gasoline production in 1997.</w:t>
      </w:r>
    </w:p>
    <w:p w14:paraId="009C3C1E" w14:textId="2CA68C22" w:rsidR="00680C72" w:rsidRPr="001D5327" w:rsidRDefault="00680C72" w:rsidP="00680C72">
      <w:pPr>
        <w:pStyle w:val="BodyText"/>
      </w:pPr>
      <w:r w:rsidRPr="001D5327">
        <w:t>Figure ES 3.1 shows the time series of Energy sector emissions from 1990 to 2023. Emissions increased from 1990 to around 2006, before decreasing slightly and then remaining steady until 2019. Since 2019, emissions have generally tracked downwards due to both the impact of</w:t>
      </w:r>
      <w:r w:rsidR="003D3774" w:rsidRPr="001D5327">
        <w:t> </w:t>
      </w:r>
      <w:r w:rsidRPr="001D5327">
        <w:t>the COVID-19 pandemic and the high levels of hydro power generation in 2022 and 2023.</w:t>
      </w:r>
    </w:p>
    <w:p w14:paraId="04BAFAA2" w14:textId="77777777" w:rsidR="00680C72" w:rsidRPr="001D5327" w:rsidRDefault="00680C72" w:rsidP="00680C72">
      <w:pPr>
        <w:pStyle w:val="Heading3"/>
      </w:pPr>
      <w:bookmarkStart w:id="26" w:name="ippu-chapter-4"/>
      <w:bookmarkEnd w:id="23"/>
      <w:bookmarkEnd w:id="25"/>
      <w:r w:rsidRPr="001D5327">
        <w:t>IPPU (chapter 4)</w:t>
      </w:r>
    </w:p>
    <w:p w14:paraId="142DC104" w14:textId="77777777" w:rsidR="00680C72" w:rsidRPr="001D5327" w:rsidRDefault="00680C72" w:rsidP="00680C72">
      <w:pPr>
        <w:pStyle w:val="Heading4"/>
      </w:pPr>
      <w:bookmarkStart w:id="27" w:name="section-7"/>
      <w:r w:rsidRPr="001D5327">
        <w:t>2023</w:t>
      </w:r>
    </w:p>
    <w:p w14:paraId="3A528337" w14:textId="77777777" w:rsidR="00680C72" w:rsidRPr="001D5327" w:rsidRDefault="00680C72" w:rsidP="00680C72">
      <w:pPr>
        <w:pStyle w:val="BodyText"/>
      </w:pPr>
      <w:r w:rsidRPr="001D5327">
        <w:t>In 2023, emissions in the IPPU sector contributed 4,031.5 kt CO</w:t>
      </w:r>
      <w:r w:rsidRPr="001D5327">
        <w:rPr>
          <w:vertAlign w:val="subscript"/>
        </w:rPr>
        <w:t>2</w:t>
      </w:r>
      <w:r w:rsidRPr="001D5327">
        <w:t>-e, or 5.3 per cent, of New Zealand’s gross GHG emissions.</w:t>
      </w:r>
    </w:p>
    <w:p w14:paraId="0A809780" w14:textId="77777777" w:rsidR="00680C72" w:rsidRPr="001D5327" w:rsidRDefault="00680C72" w:rsidP="00680C72">
      <w:pPr>
        <w:pStyle w:val="BodyText"/>
      </w:pPr>
      <w:r w:rsidRPr="001D5327">
        <w:t xml:space="preserve">The </w:t>
      </w:r>
      <w:r w:rsidRPr="001D5327">
        <w:rPr>
          <w:i/>
          <w:iCs/>
        </w:rPr>
        <w:t>Metal industry</w:t>
      </w:r>
      <w:r w:rsidRPr="001D5327">
        <w:t xml:space="preserve"> was the largest category of emissions, with substantial CO</w:t>
      </w:r>
      <w:r w:rsidRPr="001D5327">
        <w:rPr>
          <w:vertAlign w:val="subscript"/>
        </w:rPr>
        <w:t>2</w:t>
      </w:r>
      <w:r w:rsidRPr="001D5327">
        <w:t xml:space="preserve"> emissions from the </w:t>
      </w:r>
      <w:r w:rsidRPr="001D5327">
        <w:rPr>
          <w:i/>
          <w:iCs/>
        </w:rPr>
        <w:t>Iron and steel production</w:t>
      </w:r>
      <w:r w:rsidRPr="001D5327">
        <w:t xml:space="preserve"> and </w:t>
      </w:r>
      <w:r w:rsidRPr="001D5327">
        <w:rPr>
          <w:i/>
          <w:iCs/>
        </w:rPr>
        <w:t>Aluminium production</w:t>
      </w:r>
      <w:r w:rsidRPr="001D5327">
        <w:t xml:space="preserve"> categories, as well as PFCs from the </w:t>
      </w:r>
      <w:r w:rsidRPr="001D5327">
        <w:rPr>
          <w:i/>
          <w:iCs/>
        </w:rPr>
        <w:t>Aluminium production</w:t>
      </w:r>
      <w:r w:rsidRPr="001D5327">
        <w:t xml:space="preserve"> category in earlier years. The </w:t>
      </w:r>
      <w:r w:rsidRPr="001D5327">
        <w:rPr>
          <w:i/>
          <w:iCs/>
        </w:rPr>
        <w:t>Mineral industry</w:t>
      </w:r>
      <w:r w:rsidRPr="001D5327">
        <w:t xml:space="preserve"> and </w:t>
      </w:r>
      <w:r w:rsidRPr="001D5327">
        <w:rPr>
          <w:i/>
          <w:iCs/>
        </w:rPr>
        <w:t>Chemical industry</w:t>
      </w:r>
      <w:r w:rsidRPr="001D5327">
        <w:t xml:space="preserve"> categories also contributed significant CO</w:t>
      </w:r>
      <w:r w:rsidRPr="001D5327">
        <w:rPr>
          <w:vertAlign w:val="subscript"/>
        </w:rPr>
        <w:t>2</w:t>
      </w:r>
      <w:r w:rsidRPr="001D5327">
        <w:t xml:space="preserve"> emissions, and most of the non-CO</w:t>
      </w:r>
      <w:r w:rsidRPr="001D5327">
        <w:rPr>
          <w:vertAlign w:val="subscript"/>
        </w:rPr>
        <w:t>2</w:t>
      </w:r>
      <w:r w:rsidRPr="001D5327">
        <w:t xml:space="preserve"> emissions were from the </w:t>
      </w:r>
      <w:r w:rsidRPr="001D5327">
        <w:rPr>
          <w:i/>
          <w:iCs/>
        </w:rPr>
        <w:t>Product uses as substitutes for ODS</w:t>
      </w:r>
      <w:r w:rsidRPr="001D5327">
        <w:t xml:space="preserve"> category.</w:t>
      </w:r>
    </w:p>
    <w:p w14:paraId="0240D03D" w14:textId="77777777" w:rsidR="00680C72" w:rsidRPr="001D5327" w:rsidRDefault="00680C72" w:rsidP="00680C72">
      <w:pPr>
        <w:pStyle w:val="BodyText"/>
      </w:pPr>
      <w:r w:rsidRPr="001D5327">
        <w:t>The IPPU sector also produces smaller amounts of CH</w:t>
      </w:r>
      <w:r w:rsidRPr="001D5327">
        <w:rPr>
          <w:vertAlign w:val="subscript"/>
        </w:rPr>
        <w:t>4</w:t>
      </w:r>
      <w:r w:rsidRPr="001D5327">
        <w:t xml:space="preserve"> from methanol production and N</w:t>
      </w:r>
      <w:r w:rsidRPr="001D5327">
        <w:rPr>
          <w:vertAlign w:val="subscript"/>
        </w:rPr>
        <w:t>2</w:t>
      </w:r>
      <w:r w:rsidRPr="001D5327">
        <w:t xml:space="preserve">O used for medical applications in the </w:t>
      </w:r>
      <w:r w:rsidRPr="001D5327">
        <w:rPr>
          <w:i/>
          <w:iCs/>
        </w:rPr>
        <w:t>Other product manufacture and use</w:t>
      </w:r>
      <w:r w:rsidRPr="001D5327">
        <w:t xml:space="preserve"> category.</w:t>
      </w:r>
    </w:p>
    <w:p w14:paraId="0B815342" w14:textId="77777777" w:rsidR="00680C72" w:rsidRPr="001D5327" w:rsidRDefault="00680C72" w:rsidP="00680C72">
      <w:pPr>
        <w:pStyle w:val="BodyText"/>
      </w:pPr>
      <w:r w:rsidRPr="001D5327">
        <w:t xml:space="preserve">Coal and natural gas were also used on a significant scale for energy in these industries, and related emissions were reported under the Energy sector in the </w:t>
      </w:r>
      <w:r w:rsidRPr="001D5327">
        <w:rPr>
          <w:i/>
          <w:iCs/>
        </w:rPr>
        <w:t>Manufacturing industries and construction</w:t>
      </w:r>
      <w:r w:rsidRPr="001D5327">
        <w:t xml:space="preserve"> category.</w:t>
      </w:r>
    </w:p>
    <w:p w14:paraId="7B63CD10" w14:textId="77777777" w:rsidR="00680C72" w:rsidRPr="001D5327" w:rsidRDefault="00680C72" w:rsidP="00680C72">
      <w:pPr>
        <w:pStyle w:val="Heading4"/>
      </w:pPr>
      <w:r w:rsidRPr="001D5327">
        <w:lastRenderedPageBreak/>
        <w:t>2022–2023</w:t>
      </w:r>
    </w:p>
    <w:p w14:paraId="3EBED797" w14:textId="77777777" w:rsidR="00680C72" w:rsidRPr="001D5327" w:rsidRDefault="00680C72" w:rsidP="005B6305">
      <w:pPr>
        <w:pStyle w:val="BodyText"/>
        <w:spacing w:before="100" w:after="100"/>
      </w:pPr>
      <w:r w:rsidRPr="001D5327">
        <w:t>Between 2022 and 2023, emissions from the IPPU sector decreased by 412.4 kt CO</w:t>
      </w:r>
      <w:r w:rsidRPr="001D5327">
        <w:rPr>
          <w:vertAlign w:val="subscript"/>
        </w:rPr>
        <w:t>2</w:t>
      </w:r>
      <w:r w:rsidRPr="001D5327">
        <w:t>-e (9.3 per cent).</w:t>
      </w:r>
    </w:p>
    <w:p w14:paraId="3A617F11" w14:textId="77777777" w:rsidR="00680C72" w:rsidRPr="001D5327" w:rsidRDefault="00680C72" w:rsidP="005B6305">
      <w:pPr>
        <w:pStyle w:val="BodyText"/>
        <w:spacing w:before="100" w:after="100"/>
      </w:pPr>
      <w:r w:rsidRPr="001D5327">
        <w:t xml:space="preserve">This change was mainly the result of decreased emissions from the </w:t>
      </w:r>
      <w:r w:rsidRPr="001D5327">
        <w:rPr>
          <w:i/>
          <w:iCs/>
        </w:rPr>
        <w:t>Refrigeration and air conditioning</w:t>
      </w:r>
      <w:r w:rsidRPr="001D5327">
        <w:t xml:space="preserve"> category.</w:t>
      </w:r>
    </w:p>
    <w:p w14:paraId="49548664" w14:textId="77777777" w:rsidR="00680C72" w:rsidRPr="001D5327" w:rsidRDefault="00680C72" w:rsidP="003E68F4">
      <w:pPr>
        <w:pStyle w:val="Heading4"/>
        <w:spacing w:before="180"/>
      </w:pPr>
      <w:bookmarkStart w:id="28" w:name="section-8"/>
      <w:bookmarkEnd w:id="27"/>
      <w:r w:rsidRPr="001D5327">
        <w:t>1990–2023</w:t>
      </w:r>
    </w:p>
    <w:p w14:paraId="4AB494A7" w14:textId="77777777" w:rsidR="00680C72" w:rsidRPr="001D5327" w:rsidRDefault="00680C72" w:rsidP="005B6305">
      <w:pPr>
        <w:pStyle w:val="BodyText"/>
        <w:spacing w:before="100" w:after="100"/>
      </w:pPr>
      <w:r w:rsidRPr="001D5327">
        <w:t>Emissions from the IPPU sector in 2023 were 548.4 kt CO</w:t>
      </w:r>
      <w:r w:rsidRPr="001D5327">
        <w:rPr>
          <w:vertAlign w:val="subscript"/>
        </w:rPr>
        <w:t>2</w:t>
      </w:r>
      <w:r w:rsidRPr="001D5327">
        <w:t>-e (15.7 per cent) higher than emissions in 1990 (3,483.1 kt CO</w:t>
      </w:r>
      <w:r w:rsidRPr="001D5327">
        <w:rPr>
          <w:vertAlign w:val="subscript"/>
        </w:rPr>
        <w:t>2</w:t>
      </w:r>
      <w:r w:rsidRPr="001D5327">
        <w:t xml:space="preserve">-e). This increase was mainly driven by increasing emissions from the </w:t>
      </w:r>
      <w:r w:rsidRPr="001D5327">
        <w:rPr>
          <w:i/>
          <w:iCs/>
        </w:rPr>
        <w:t>Product uses as substitutes for ODS</w:t>
      </w:r>
      <w:r w:rsidRPr="001D5327">
        <w:t xml:space="preserve"> category, due to the introduction of HFCs to replace ODS in refrigeration and air conditioning, and the increased use of household and commercial air conditioning.</w:t>
      </w:r>
    </w:p>
    <w:p w14:paraId="0CB79AD8" w14:textId="77777777" w:rsidR="00680C72" w:rsidRPr="001D5327" w:rsidRDefault="00680C72" w:rsidP="005B6305">
      <w:pPr>
        <w:pStyle w:val="BodyText"/>
        <w:spacing w:before="100" w:after="100"/>
      </w:pPr>
      <w:r w:rsidRPr="001D5327">
        <w:t xml:space="preserve">Carbon dioxide emissions also increased, due largely to increased production of aluminium and steel. Between 2020 and 2022, the increase was offset by reduced emissions due to COVID-19 pandemic restrictions and the progressive shutdown of the Marsden Point Oil Refinery. There </w:t>
      </w:r>
      <w:r w:rsidRPr="001D5327">
        <w:rPr>
          <w:spacing w:val="-2"/>
        </w:rPr>
        <w:t>was a substantial reduction in emissions of PFCs due to improved management of anode effects</w:t>
      </w:r>
      <w:r w:rsidRPr="001D5327">
        <w:t xml:space="preserve"> in the </w:t>
      </w:r>
      <w:r w:rsidRPr="001D5327">
        <w:rPr>
          <w:i/>
          <w:iCs/>
        </w:rPr>
        <w:t>Aluminium production</w:t>
      </w:r>
      <w:r w:rsidRPr="001D5327">
        <w:t xml:space="preserve"> category and some reduction in emissions of N</w:t>
      </w:r>
      <w:r w:rsidRPr="001D5327">
        <w:rPr>
          <w:vertAlign w:val="subscript"/>
        </w:rPr>
        <w:t>2</w:t>
      </w:r>
      <w:r w:rsidRPr="001D5327">
        <w:t xml:space="preserve">O used for medical applications in the </w:t>
      </w:r>
      <w:r w:rsidRPr="001D5327">
        <w:rPr>
          <w:i/>
          <w:iCs/>
        </w:rPr>
        <w:t>Other product manufacture and use</w:t>
      </w:r>
      <w:r w:rsidRPr="001D5327">
        <w:t xml:space="preserve"> category.</w:t>
      </w:r>
    </w:p>
    <w:p w14:paraId="7ABC1194" w14:textId="77777777" w:rsidR="00680C72" w:rsidRPr="001D5327" w:rsidRDefault="00680C72" w:rsidP="00680C72">
      <w:pPr>
        <w:pStyle w:val="Heading3"/>
      </w:pPr>
      <w:bookmarkStart w:id="29" w:name="agriculture-chapter-5"/>
      <w:bookmarkEnd w:id="26"/>
      <w:bookmarkEnd w:id="28"/>
      <w:r w:rsidRPr="001D5327">
        <w:t>Agriculture (chapter 5)</w:t>
      </w:r>
    </w:p>
    <w:p w14:paraId="1BFB550D" w14:textId="77777777" w:rsidR="00680C72" w:rsidRPr="001D5327" w:rsidRDefault="00680C72" w:rsidP="003E68F4">
      <w:pPr>
        <w:pStyle w:val="Heading4"/>
        <w:spacing w:before="180"/>
      </w:pPr>
      <w:bookmarkStart w:id="30" w:name="section-10"/>
      <w:r w:rsidRPr="001D5327">
        <w:t>2023</w:t>
      </w:r>
    </w:p>
    <w:p w14:paraId="13FA97FC" w14:textId="77777777" w:rsidR="00680C72" w:rsidRPr="001D5327" w:rsidRDefault="00680C72" w:rsidP="005B6305">
      <w:pPr>
        <w:pStyle w:val="BodyText"/>
        <w:spacing w:before="100" w:after="100"/>
      </w:pPr>
      <w:r w:rsidRPr="001D5327">
        <w:t>In 2023, emissions from the Agriculture sector totalled 40,613.0 kt CO</w:t>
      </w:r>
      <w:r w:rsidRPr="001D5327">
        <w:rPr>
          <w:vertAlign w:val="subscript"/>
        </w:rPr>
        <w:t>2</w:t>
      </w:r>
      <w:r w:rsidRPr="001D5327">
        <w:t>-e, representing 53.1 per cent of New Zealand’s gross emissions in 2023.</w:t>
      </w:r>
    </w:p>
    <w:p w14:paraId="0FA5643C" w14:textId="77777777" w:rsidR="00680C72" w:rsidRPr="001D5327" w:rsidRDefault="00680C72" w:rsidP="005B6305">
      <w:pPr>
        <w:pStyle w:val="BodyText"/>
        <w:spacing w:before="100" w:after="100"/>
      </w:pPr>
      <w:r w:rsidRPr="001D5327">
        <w:t xml:space="preserve">Methane from </w:t>
      </w:r>
      <w:r w:rsidRPr="001D5327">
        <w:rPr>
          <w:i/>
          <w:iCs/>
        </w:rPr>
        <w:t>Enteric fermentation</w:t>
      </w:r>
      <w:r w:rsidRPr="001D5327">
        <w:t xml:space="preserve"> was the main source of Agriculture emissions, contributing 78.0 per cent (31,661.7 kt CO</w:t>
      </w:r>
      <w:r w:rsidRPr="001D5327">
        <w:rPr>
          <w:vertAlign w:val="subscript"/>
        </w:rPr>
        <w:t>2</w:t>
      </w:r>
      <w:r w:rsidRPr="001D5327">
        <w:t xml:space="preserve">-e) of the sector’s emissions. </w:t>
      </w:r>
      <w:r w:rsidRPr="001D5327">
        <w:rPr>
          <w:i/>
          <w:iCs/>
        </w:rPr>
        <w:t>Agricultural soils</w:t>
      </w:r>
      <w:r w:rsidRPr="001D5327">
        <w:t xml:space="preserve"> (15.7 per cent) were the second largest source followed by </w:t>
      </w:r>
      <w:r w:rsidRPr="001D5327">
        <w:rPr>
          <w:i/>
          <w:iCs/>
        </w:rPr>
        <w:t>Manure management</w:t>
      </w:r>
      <w:r w:rsidRPr="001D5327">
        <w:t xml:space="preserve"> (4.6 per cent). </w:t>
      </w:r>
      <w:r w:rsidRPr="001D5327">
        <w:rPr>
          <w:i/>
          <w:iCs/>
        </w:rPr>
        <w:t>Urea application</w:t>
      </w:r>
      <w:r w:rsidRPr="001D5327">
        <w:t xml:space="preserve"> and </w:t>
      </w:r>
      <w:r w:rsidRPr="001D5327">
        <w:rPr>
          <w:i/>
          <w:iCs/>
        </w:rPr>
        <w:t>Liming</w:t>
      </w:r>
      <w:r w:rsidRPr="001D5327">
        <w:t xml:space="preserve"> contributed 1.0 per cent and 0.7 per cent respectively. </w:t>
      </w:r>
      <w:r w:rsidRPr="001D5327">
        <w:rPr>
          <w:i/>
          <w:iCs/>
        </w:rPr>
        <w:t>Field burning of agricultural residues</w:t>
      </w:r>
      <w:r w:rsidRPr="001D5327">
        <w:t xml:space="preserve"> contributed less than 0.1 per cent.</w:t>
      </w:r>
    </w:p>
    <w:p w14:paraId="5703026D" w14:textId="77777777" w:rsidR="00680C72" w:rsidRPr="001D5327" w:rsidRDefault="00680C72" w:rsidP="005B6305">
      <w:pPr>
        <w:pStyle w:val="BodyText"/>
        <w:spacing w:before="100" w:after="100"/>
      </w:pPr>
      <w:r w:rsidRPr="001D5327">
        <w:t xml:space="preserve">Methane emissions from </w:t>
      </w:r>
      <w:r w:rsidRPr="001D5327">
        <w:rPr>
          <w:i/>
          <w:iCs/>
        </w:rPr>
        <w:t>Enteric fermentation</w:t>
      </w:r>
      <w:r w:rsidRPr="001D5327">
        <w:t xml:space="preserve"> contributed 41.4 per cent of New Zealand’s gross emissions, and N</w:t>
      </w:r>
      <w:r w:rsidRPr="001D5327">
        <w:rPr>
          <w:vertAlign w:val="subscript"/>
        </w:rPr>
        <w:t>2</w:t>
      </w:r>
      <w:r w:rsidRPr="001D5327">
        <w:t xml:space="preserve">O emissions from the </w:t>
      </w:r>
      <w:r w:rsidRPr="001D5327">
        <w:rPr>
          <w:i/>
          <w:iCs/>
        </w:rPr>
        <w:t>Agricultural soils</w:t>
      </w:r>
      <w:r w:rsidRPr="001D5327">
        <w:t xml:space="preserve"> category contributed 8.3 per cent of New Zealand’s gross emissions.</w:t>
      </w:r>
    </w:p>
    <w:p w14:paraId="2980E505" w14:textId="77777777" w:rsidR="00680C72" w:rsidRPr="001D5327" w:rsidRDefault="00680C72" w:rsidP="003E68F4">
      <w:pPr>
        <w:pStyle w:val="Heading4"/>
        <w:spacing w:before="180"/>
      </w:pPr>
      <w:r w:rsidRPr="001D5327">
        <w:t>2022–2023</w:t>
      </w:r>
    </w:p>
    <w:p w14:paraId="50DEA6FD" w14:textId="77777777" w:rsidR="00680C72" w:rsidRPr="001D5327" w:rsidRDefault="00680C72" w:rsidP="005B6305">
      <w:pPr>
        <w:pStyle w:val="BodyText"/>
        <w:spacing w:before="100" w:after="100"/>
      </w:pPr>
      <w:r w:rsidRPr="001D5327">
        <w:t>Between 2022 and 2023, total Agriculture emissions decreased 2.2 per cent (908.4 kt CO</w:t>
      </w:r>
      <w:r w:rsidRPr="001D5327">
        <w:rPr>
          <w:vertAlign w:val="subscript"/>
        </w:rPr>
        <w:t>2</w:t>
      </w:r>
      <w:r w:rsidRPr="001D5327">
        <w:t>-e), largely due to a decrease in emissions from dairy cattle, non-dairy cattle, sheep, and limestone application. Specifically:</w:t>
      </w:r>
    </w:p>
    <w:p w14:paraId="08B91E44" w14:textId="77777777" w:rsidR="00680C72" w:rsidRPr="001D5327" w:rsidRDefault="00680C72" w:rsidP="005B6305">
      <w:pPr>
        <w:pStyle w:val="Bullet"/>
        <w:spacing w:after="100"/>
      </w:pPr>
      <w:r w:rsidRPr="001D5327">
        <w:t>dairy cattle emissions decreased by 1.6 per cent (328.2 kt CO</w:t>
      </w:r>
      <w:r w:rsidRPr="001D5327">
        <w:rPr>
          <w:vertAlign w:val="subscript"/>
        </w:rPr>
        <w:t>2</w:t>
      </w:r>
      <w:r w:rsidRPr="001D5327">
        <w:t>-e) due to a decrease in the dairy cattle population</w:t>
      </w:r>
    </w:p>
    <w:p w14:paraId="40CACED3" w14:textId="77777777" w:rsidR="00680C72" w:rsidRPr="001D5327" w:rsidRDefault="00680C72" w:rsidP="005B6305">
      <w:pPr>
        <w:pStyle w:val="Bullet"/>
        <w:spacing w:after="100"/>
      </w:pPr>
      <w:r w:rsidRPr="001D5327">
        <w:t>sheep emissions decreased by 3.1 per cent (294.6 kt CO</w:t>
      </w:r>
      <w:r w:rsidRPr="001D5327">
        <w:rPr>
          <w:vertAlign w:val="subscript"/>
        </w:rPr>
        <w:t>2</w:t>
      </w:r>
      <w:r w:rsidRPr="001D5327">
        <w:t>-e) due to a continuing decrease in the sheep population</w:t>
      </w:r>
    </w:p>
    <w:p w14:paraId="3F6D505D" w14:textId="77777777" w:rsidR="00680C72" w:rsidRPr="001D5327" w:rsidRDefault="00680C72" w:rsidP="005B6305">
      <w:pPr>
        <w:pStyle w:val="Bullet"/>
        <w:spacing w:after="100"/>
      </w:pPr>
      <w:r w:rsidRPr="001D5327">
        <w:t>emissions from limestone use decreased by 38.8 per cent (166.6 kt CO</w:t>
      </w:r>
      <w:r w:rsidRPr="001D5327">
        <w:rPr>
          <w:vertAlign w:val="subscript"/>
        </w:rPr>
        <w:t>2</w:t>
      </w:r>
      <w:r w:rsidRPr="001D5327">
        <w:t>-e) due to a decrease in limestone use</w:t>
      </w:r>
    </w:p>
    <w:p w14:paraId="5FB0E636" w14:textId="77777777" w:rsidR="00680C72" w:rsidRPr="001D5327" w:rsidRDefault="00680C72" w:rsidP="00680C72">
      <w:pPr>
        <w:pStyle w:val="Bullet"/>
      </w:pPr>
      <w:r w:rsidRPr="001D5327">
        <w:t>non-dairy cattle emissions decreased by 1.5 per cent (127.8 kt CO</w:t>
      </w:r>
      <w:r w:rsidRPr="001D5327">
        <w:rPr>
          <w:vertAlign w:val="subscript"/>
        </w:rPr>
        <w:t>2</w:t>
      </w:r>
      <w:r w:rsidRPr="001D5327">
        <w:t>-e) due to a decrease in the beef cattle population.</w:t>
      </w:r>
    </w:p>
    <w:p w14:paraId="207C8B13" w14:textId="77777777" w:rsidR="00680C72" w:rsidRPr="001D5327" w:rsidRDefault="00680C72" w:rsidP="00680C72">
      <w:pPr>
        <w:pStyle w:val="BodyText"/>
      </w:pPr>
      <w:r w:rsidRPr="001D5327">
        <w:lastRenderedPageBreak/>
        <w:t>Emissions from urea (CO</w:t>
      </w:r>
      <w:r w:rsidRPr="001D5327">
        <w:rPr>
          <w:vertAlign w:val="subscript"/>
        </w:rPr>
        <w:t>2</w:t>
      </w:r>
      <w:r w:rsidRPr="001D5327">
        <w:t xml:space="preserve"> and N</w:t>
      </w:r>
      <w:r w:rsidRPr="001D5327">
        <w:rPr>
          <w:vertAlign w:val="subscript"/>
        </w:rPr>
        <w:t>2</w:t>
      </w:r>
      <w:r w:rsidRPr="001D5327">
        <w:t>O) increased by 11.3 per cent (126.0 kt CO</w:t>
      </w:r>
      <w:r w:rsidRPr="001D5327">
        <w:rPr>
          <w:vertAlign w:val="subscript"/>
        </w:rPr>
        <w:t>2</w:t>
      </w:r>
      <w:r w:rsidRPr="001D5327">
        <w:t>-e) due to an increase in urea use and a decrease in urease inhibitor use. This increase reflects a slight recovery in urea use following a significant decrease in 2022. The impact of increased emissions from urea from 2022 to 2023 was largely offset by a decrease in the use of other (non-urea) synthetic nitrogen fertilisers.</w:t>
      </w:r>
    </w:p>
    <w:p w14:paraId="64F00921" w14:textId="77777777" w:rsidR="00680C72" w:rsidRPr="001D5327" w:rsidRDefault="00680C72" w:rsidP="00680C72">
      <w:pPr>
        <w:pStyle w:val="Heading4"/>
      </w:pPr>
      <w:bookmarkStart w:id="31" w:name="section-11"/>
      <w:bookmarkEnd w:id="30"/>
      <w:r w:rsidRPr="001D5327">
        <w:t>1990–2023</w:t>
      </w:r>
    </w:p>
    <w:p w14:paraId="679B1DCA" w14:textId="77777777" w:rsidR="00680C72" w:rsidRPr="001D5327" w:rsidRDefault="00680C72" w:rsidP="00680C72">
      <w:pPr>
        <w:pStyle w:val="BodyText"/>
      </w:pPr>
      <w:r w:rsidRPr="001D5327">
        <w:t>In 2023, New Zealand’s Agriculture sector emissions were 10.0 per cent (3,697.9 kt CO</w:t>
      </w:r>
      <w:r w:rsidRPr="001D5327">
        <w:rPr>
          <w:vertAlign w:val="subscript"/>
        </w:rPr>
        <w:t>2</w:t>
      </w:r>
      <w:r w:rsidRPr="001D5327">
        <w:t>-e) above the 1990 level (36,915.1 kt CO</w:t>
      </w:r>
      <w:r w:rsidRPr="001D5327">
        <w:rPr>
          <w:vertAlign w:val="subscript"/>
        </w:rPr>
        <w:t>2</w:t>
      </w:r>
      <w:r w:rsidRPr="001D5327">
        <w:t>-e).</w:t>
      </w:r>
    </w:p>
    <w:p w14:paraId="44D2B050" w14:textId="0EB12D00" w:rsidR="00680C72" w:rsidRPr="001D5327" w:rsidRDefault="00680C72" w:rsidP="00680C72">
      <w:pPr>
        <w:pStyle w:val="BodyText"/>
      </w:pPr>
      <w:r w:rsidRPr="001D5327">
        <w:t>The greatest absolute contributions to the increase since 1990 were an increase of 1,717.3 kt</w:t>
      </w:r>
      <w:r w:rsidR="003D3774" w:rsidRPr="001D5327">
        <w:t xml:space="preserve"> </w:t>
      </w:r>
      <w:r w:rsidRPr="001D5327">
        <w:t>CO</w:t>
      </w:r>
      <w:r w:rsidRPr="001D5327">
        <w:rPr>
          <w:vertAlign w:val="subscript"/>
        </w:rPr>
        <w:t>2</w:t>
      </w:r>
      <w:r w:rsidRPr="001D5327">
        <w:t xml:space="preserve">-e (36.9 per cent) in emissions from </w:t>
      </w:r>
      <w:r w:rsidRPr="001D5327">
        <w:rPr>
          <w:i/>
          <w:iCs/>
        </w:rPr>
        <w:t>Agricultural soils</w:t>
      </w:r>
      <w:r w:rsidRPr="001D5327">
        <w:t>, an increase of 1,001.7 kt CO</w:t>
      </w:r>
      <w:r w:rsidRPr="001D5327">
        <w:rPr>
          <w:vertAlign w:val="subscript"/>
        </w:rPr>
        <w:t>2</w:t>
      </w:r>
      <w:r w:rsidRPr="001D5327">
        <w:t xml:space="preserve">-e (116.5 per cent) in emissions from </w:t>
      </w:r>
      <w:r w:rsidRPr="001D5327">
        <w:rPr>
          <w:i/>
          <w:iCs/>
        </w:rPr>
        <w:t>Manure management</w:t>
      </w:r>
      <w:r w:rsidRPr="001D5327">
        <w:t xml:space="preserve"> and an increase of 626.8 kt CO</w:t>
      </w:r>
      <w:r w:rsidRPr="001D5327">
        <w:rPr>
          <w:vertAlign w:val="subscript"/>
        </w:rPr>
        <w:t>2</w:t>
      </w:r>
      <w:r w:rsidRPr="001D5327">
        <w:t xml:space="preserve">-e (2.0 per cent) in methane emissions from </w:t>
      </w:r>
      <w:r w:rsidRPr="001D5327">
        <w:rPr>
          <w:i/>
          <w:iCs/>
        </w:rPr>
        <w:t>Enteric fermentation</w:t>
      </w:r>
      <w:r w:rsidRPr="001D5327">
        <w:t>.</w:t>
      </w:r>
    </w:p>
    <w:p w14:paraId="61C2D669" w14:textId="77777777" w:rsidR="00680C72" w:rsidRPr="001D5327" w:rsidRDefault="00680C72" w:rsidP="00680C72">
      <w:pPr>
        <w:pStyle w:val="BodyText"/>
      </w:pPr>
      <w:r w:rsidRPr="001D5327">
        <w:t>The increase in N</w:t>
      </w:r>
      <w:r w:rsidRPr="001D5327">
        <w:rPr>
          <w:vertAlign w:val="subscript"/>
        </w:rPr>
        <w:t>2</w:t>
      </w:r>
      <w:r w:rsidRPr="001D5327">
        <w:t xml:space="preserve">O emissions from </w:t>
      </w:r>
      <w:r w:rsidRPr="001D5327">
        <w:rPr>
          <w:i/>
          <w:iCs/>
        </w:rPr>
        <w:t>Agricultural soils</w:t>
      </w:r>
      <w:r w:rsidRPr="001D5327">
        <w:t xml:space="preserve"> was primarily a result of a 534 per cent increase in synthetic nitrogen fertiliser application since 1990. This is partly due to an increase in dairy farming, as well as increased use on other farm types. The emissions from synthetic nitrogen fertiliser use (N</w:t>
      </w:r>
      <w:r w:rsidRPr="001D5327">
        <w:rPr>
          <w:vertAlign w:val="subscript"/>
        </w:rPr>
        <w:t>2</w:t>
      </w:r>
      <w:r w:rsidRPr="001D5327">
        <w:t>O) increased by 1,094.3 kt CO</w:t>
      </w:r>
      <w:r w:rsidRPr="001D5327">
        <w:rPr>
          <w:vertAlign w:val="subscript"/>
        </w:rPr>
        <w:t>2</w:t>
      </w:r>
      <w:r w:rsidRPr="001D5327">
        <w:t xml:space="preserve">-e between 1990 and 2023. This is 63.7 per cent of the total increase in emissions from </w:t>
      </w:r>
      <w:r w:rsidRPr="001D5327">
        <w:rPr>
          <w:i/>
          <w:iCs/>
        </w:rPr>
        <w:t>Agricultural soils</w:t>
      </w:r>
      <w:r w:rsidRPr="001D5327">
        <w:t>.</w:t>
      </w:r>
    </w:p>
    <w:p w14:paraId="0AA862D3" w14:textId="77777777" w:rsidR="00680C72" w:rsidRPr="001D5327" w:rsidRDefault="00680C72" w:rsidP="00680C72">
      <w:pPr>
        <w:pStyle w:val="BodyText"/>
      </w:pPr>
      <w:r w:rsidRPr="001D5327">
        <w:t xml:space="preserve">The increase in emissions from </w:t>
      </w:r>
      <w:r w:rsidRPr="001D5327">
        <w:rPr>
          <w:i/>
          <w:iCs/>
        </w:rPr>
        <w:t>Manure management</w:t>
      </w:r>
      <w:r w:rsidRPr="001D5327">
        <w:t xml:space="preserve"> and </w:t>
      </w:r>
      <w:r w:rsidRPr="001D5327">
        <w:rPr>
          <w:i/>
          <w:iCs/>
        </w:rPr>
        <w:t>Enteric fermentation</w:t>
      </w:r>
      <w:r w:rsidRPr="001D5327">
        <w:t xml:space="preserve"> was driven by an increase in dairy cattle numbers. The increase in dairy </w:t>
      </w:r>
      <w:r w:rsidRPr="001D5327">
        <w:rPr>
          <w:i/>
          <w:iCs/>
        </w:rPr>
        <w:t>Enteric fermentation</w:t>
      </w:r>
      <w:r w:rsidRPr="001D5327">
        <w:t xml:space="preserve"> emissions was partially offset by declining numbers of sheep and non-dairy (beef) cattle. The change in animal populations since 1990 reflects the relative financial returns in each sector. (It has become more profitable to farm dairy cattle than non-dairy cattle or sheep in New Zealand over the reporting period.)</w:t>
      </w:r>
    </w:p>
    <w:p w14:paraId="78E3E29C" w14:textId="77777777" w:rsidR="00680C72" w:rsidRPr="001D5327" w:rsidRDefault="00680C72" w:rsidP="00680C72">
      <w:pPr>
        <w:pStyle w:val="Heading3"/>
      </w:pPr>
      <w:bookmarkStart w:id="32" w:name="lulucf-chapter-6"/>
      <w:bookmarkEnd w:id="29"/>
      <w:bookmarkEnd w:id="31"/>
      <w:r w:rsidRPr="001D5327">
        <w:t>LULUCF (chapter 6)</w:t>
      </w:r>
    </w:p>
    <w:p w14:paraId="59797015" w14:textId="77777777" w:rsidR="00680C72" w:rsidRPr="001D5327" w:rsidRDefault="00680C72" w:rsidP="00680C72">
      <w:pPr>
        <w:pStyle w:val="Heading4"/>
      </w:pPr>
      <w:bookmarkStart w:id="33" w:name="section-13"/>
      <w:r w:rsidRPr="001D5327">
        <w:t>2023</w:t>
      </w:r>
    </w:p>
    <w:p w14:paraId="22CDC7BF" w14:textId="659B855A" w:rsidR="00680C72" w:rsidRPr="001D5327" w:rsidRDefault="00680C72" w:rsidP="00680C72">
      <w:pPr>
        <w:pStyle w:val="BodyText"/>
      </w:pPr>
      <w:r w:rsidRPr="001D5327">
        <w:rPr>
          <w:spacing w:val="-2"/>
        </w:rPr>
        <w:t xml:space="preserve">In 2023, net emissions from the LULUCF sector were </w:t>
      </w:r>
      <w:r w:rsidR="002723B6">
        <w:rPr>
          <w:spacing w:val="-2"/>
        </w:rPr>
        <w:t>-</w:t>
      </w:r>
      <w:r w:rsidRPr="001D5327">
        <w:rPr>
          <w:spacing w:val="-2"/>
        </w:rPr>
        <w:t>20,197.1 kt CO</w:t>
      </w:r>
      <w:r w:rsidRPr="001D5327">
        <w:rPr>
          <w:spacing w:val="-2"/>
          <w:vertAlign w:val="subscript"/>
        </w:rPr>
        <w:t>2</w:t>
      </w:r>
      <w:r w:rsidRPr="001D5327">
        <w:rPr>
          <w:spacing w:val="-2"/>
        </w:rPr>
        <w:t>-e. This offset 26.4 per cent</w:t>
      </w:r>
      <w:r w:rsidRPr="001D5327">
        <w:t xml:space="preserve"> of New Zealand’s gross emissions.</w:t>
      </w:r>
    </w:p>
    <w:p w14:paraId="4B74B65D" w14:textId="77777777" w:rsidR="00680C72" w:rsidRPr="001D5327" w:rsidRDefault="00680C72" w:rsidP="00680C72">
      <w:pPr>
        <w:pStyle w:val="Heading4"/>
      </w:pPr>
      <w:r w:rsidRPr="001D5327">
        <w:t>2022–2023</w:t>
      </w:r>
    </w:p>
    <w:p w14:paraId="5784EEAB" w14:textId="77777777" w:rsidR="00680C72" w:rsidRPr="001D5327" w:rsidRDefault="00680C72" w:rsidP="00680C72">
      <w:pPr>
        <w:pStyle w:val="BodyText"/>
      </w:pPr>
      <w:r w:rsidRPr="001D5327">
        <w:t>Net emissions from the LULUCF sector decreased between 2022 and 2023 by 824.4 kt CO</w:t>
      </w:r>
      <w:r w:rsidRPr="001D5327">
        <w:rPr>
          <w:vertAlign w:val="subscript"/>
        </w:rPr>
        <w:t>2</w:t>
      </w:r>
      <w:r w:rsidRPr="001D5327">
        <w:t>-e (4.3 per cent).</w:t>
      </w:r>
    </w:p>
    <w:p w14:paraId="21C4EAA4" w14:textId="3A7E432F" w:rsidR="00680C72" w:rsidRPr="001D5327" w:rsidRDefault="00680C72" w:rsidP="00680C72">
      <w:pPr>
        <w:pStyle w:val="BodyText"/>
      </w:pPr>
      <w:r w:rsidRPr="001D5327">
        <w:t xml:space="preserve">The largest change occurred in the </w:t>
      </w:r>
      <w:r w:rsidRPr="001D5327">
        <w:rPr>
          <w:i/>
          <w:iCs/>
        </w:rPr>
        <w:t>Forest land</w:t>
      </w:r>
      <w:r w:rsidRPr="001D5327">
        <w:t xml:space="preserve"> category, with a decrease in emissions of 952.1 kt CO</w:t>
      </w:r>
      <w:r w:rsidRPr="001D5327">
        <w:rPr>
          <w:vertAlign w:val="subscript"/>
        </w:rPr>
        <w:t>2</w:t>
      </w:r>
      <w:r w:rsidRPr="001D5327">
        <w:t>-e, driven by reduced harvesting in planted forests between 2022 and 2023. The</w:t>
      </w:r>
      <w:r w:rsidR="003D3774" w:rsidRPr="001D5327">
        <w:t> </w:t>
      </w:r>
      <w:r w:rsidRPr="001D5327">
        <w:rPr>
          <w:i/>
          <w:iCs/>
        </w:rPr>
        <w:t>Harvested wood products</w:t>
      </w:r>
      <w:r w:rsidRPr="001D5327">
        <w:t xml:space="preserve"> category had the second-largest change, with a decrease in net removals of 774.0 kt CO</w:t>
      </w:r>
      <w:r w:rsidRPr="001D5327">
        <w:rPr>
          <w:vertAlign w:val="subscript"/>
        </w:rPr>
        <w:t>2</w:t>
      </w:r>
      <w:r w:rsidRPr="001D5327">
        <w:t xml:space="preserve">-e, which was also driven by the reduction in harvesting of planted forests, and corresponding reduction in products entering the harvested wood products pool. The </w:t>
      </w:r>
      <w:r w:rsidRPr="001D5327">
        <w:rPr>
          <w:i/>
          <w:iCs/>
        </w:rPr>
        <w:t>Grassland</w:t>
      </w:r>
      <w:r w:rsidRPr="001D5327">
        <w:t xml:space="preserve"> category had the third-largest change, with a decrease in emissions of 684.7 kt CO</w:t>
      </w:r>
      <w:r w:rsidRPr="001D5327">
        <w:rPr>
          <w:vertAlign w:val="subscript"/>
        </w:rPr>
        <w:t>2</w:t>
      </w:r>
      <w:r w:rsidRPr="001D5327">
        <w:t>-e. This was driven by lower rates of deforestation occurring in 2023 compared with 2022.</w:t>
      </w:r>
    </w:p>
    <w:p w14:paraId="1A6A6B39" w14:textId="77777777" w:rsidR="00680C72" w:rsidRPr="001D5327" w:rsidRDefault="00680C72" w:rsidP="00680C72">
      <w:pPr>
        <w:pStyle w:val="Heading4"/>
      </w:pPr>
      <w:bookmarkStart w:id="34" w:name="section-14"/>
      <w:bookmarkEnd w:id="33"/>
      <w:r w:rsidRPr="001D5327">
        <w:lastRenderedPageBreak/>
        <w:t>1990–2023</w:t>
      </w:r>
    </w:p>
    <w:p w14:paraId="7FA034C8" w14:textId="34776E41" w:rsidR="00680C72" w:rsidRPr="001D5327" w:rsidRDefault="00680C72" w:rsidP="00680C72">
      <w:pPr>
        <w:pStyle w:val="BodyText"/>
      </w:pPr>
      <w:r w:rsidRPr="001D5327">
        <w:t>Net emissions in 2023 increased by 4,136.9 kt CO</w:t>
      </w:r>
      <w:r w:rsidRPr="001D5327">
        <w:rPr>
          <w:vertAlign w:val="subscript"/>
        </w:rPr>
        <w:t>2</w:t>
      </w:r>
      <w:r w:rsidRPr="001D5327">
        <w:t xml:space="preserve">-e (17.0 per cent) from the 1990 level of </w:t>
      </w:r>
      <w:r w:rsidRPr="001D5327">
        <w:br/>
      </w:r>
      <w:r w:rsidR="002723B6">
        <w:t>-</w:t>
      </w:r>
      <w:r w:rsidRPr="001D5327">
        <w:t>24,334.1 kt CO</w:t>
      </w:r>
      <w:r w:rsidRPr="001D5327">
        <w:rPr>
          <w:vertAlign w:val="subscript"/>
        </w:rPr>
        <w:t>2</w:t>
      </w:r>
      <w:r w:rsidRPr="001D5327">
        <w:t xml:space="preserve">-e. This was largely due to a reduction in net removals from </w:t>
      </w:r>
      <w:r w:rsidRPr="001D5327">
        <w:rPr>
          <w:i/>
          <w:iCs/>
        </w:rPr>
        <w:t>Forest land</w:t>
      </w:r>
      <w:r w:rsidRPr="001D5327">
        <w:t xml:space="preserve"> and an</w:t>
      </w:r>
      <w:r w:rsidR="003D3774" w:rsidRPr="001D5327">
        <w:t> </w:t>
      </w:r>
      <w:r w:rsidRPr="001D5327">
        <w:t xml:space="preserve">increase in emissions from </w:t>
      </w:r>
      <w:r w:rsidRPr="001D5327">
        <w:rPr>
          <w:i/>
          <w:iCs/>
        </w:rPr>
        <w:t>Grassland</w:t>
      </w:r>
      <w:r w:rsidRPr="001D5327">
        <w:t xml:space="preserve"> (mainly due to emissions from deforestation and conversions among grassland categories) since 1990. The reduction in net removals from </w:t>
      </w:r>
      <w:r w:rsidRPr="001D5327">
        <w:rPr>
          <w:i/>
          <w:iCs/>
        </w:rPr>
        <w:t>Forest land</w:t>
      </w:r>
      <w:r w:rsidRPr="001D5327">
        <w:t xml:space="preserve"> was driven by high current harvest rates, which are a result of the significant land-use changes to forest land that occurred in the 1980s and 1990s. The planted forests that were </w:t>
      </w:r>
      <w:r w:rsidRPr="001D5327">
        <w:rPr>
          <w:spacing w:val="-2"/>
        </w:rPr>
        <w:t>established during this period have progressively been reaching harvesting age, and will continue</w:t>
      </w:r>
      <w:r w:rsidRPr="001D5327">
        <w:t xml:space="preserve"> to do so into the mid-2020s. As the high harvesting rates continue, the average age of the planted forest estate has been reducing each year as the harvested forests are replanted. Young forest stands have lower rates of removal than older stands.</w:t>
      </w:r>
    </w:p>
    <w:p w14:paraId="4015DD02" w14:textId="77777777" w:rsidR="00680C72" w:rsidRPr="001D5327" w:rsidRDefault="00680C72" w:rsidP="00680C72">
      <w:pPr>
        <w:pStyle w:val="BodyText"/>
      </w:pPr>
      <w:r w:rsidRPr="001D5327">
        <w:t xml:space="preserve">Harvesting and replanting cycles of New Zealand’s planted forests will continue to affect the trajectory of net emissions in the future due to their uneven age-class profile. The increased emissions from harvesting have been compensated for, to some extent, by increased removals </w:t>
      </w:r>
      <w:r w:rsidRPr="001D5327">
        <w:rPr>
          <w:spacing w:val="-2"/>
        </w:rPr>
        <w:t>in the harvested wood products pool because inputs into this pool exceed emissions from decay.</w:t>
      </w:r>
    </w:p>
    <w:p w14:paraId="21CC756A" w14:textId="373D141E" w:rsidR="00680C72" w:rsidRPr="001D5327" w:rsidRDefault="00680C72" w:rsidP="00680C72">
      <w:pPr>
        <w:pStyle w:val="BodyText"/>
      </w:pPr>
      <w:r w:rsidRPr="001D5327">
        <w:t xml:space="preserve">Emissions in the LULUCF sector are primarily driven by the harvest of production forests, deforestation and the decomposition of organic material following these activities. Removals </w:t>
      </w:r>
      <w:r w:rsidRPr="001D5327">
        <w:rPr>
          <w:spacing w:val="-2"/>
        </w:rPr>
        <w:t>are mainly from the sequestration of carbon that occurs due to plant growth and the productio</w:t>
      </w:r>
      <w:r w:rsidRPr="001D5327">
        <w:t>n of harvested wood products. Nitrous oxide can be emitted from the ecosystem as a by-product of nitrification and denitrification, and the burning of organic matter. Other gases released during biomass burning include CH</w:t>
      </w:r>
      <w:r w:rsidRPr="001D5327">
        <w:rPr>
          <w:vertAlign w:val="subscript"/>
        </w:rPr>
        <w:t>4</w:t>
      </w:r>
      <w:r w:rsidRPr="001D5327">
        <w:t>, carbon monoxide (CO), other oxides of nitrogen (NO</w:t>
      </w:r>
      <w:r w:rsidRPr="001D5327">
        <w:rPr>
          <w:vertAlign w:val="subscript"/>
        </w:rPr>
        <w:t>x</w:t>
      </w:r>
      <w:r w:rsidRPr="001D5327">
        <w:t>) and</w:t>
      </w:r>
      <w:r w:rsidR="003D3774" w:rsidRPr="001D5327">
        <w:t> </w:t>
      </w:r>
      <w:r w:rsidRPr="001D5327">
        <w:t>non-methane volatile organic compounds (NMVO</w:t>
      </w:r>
      <w:r w:rsidR="000E5ECA">
        <w:t>C</w:t>
      </w:r>
      <w:r w:rsidRPr="001D5327">
        <w:t>).</w:t>
      </w:r>
    </w:p>
    <w:p w14:paraId="3BC11543" w14:textId="77777777" w:rsidR="00680C72" w:rsidRPr="001D5327" w:rsidRDefault="00680C72" w:rsidP="00680C72">
      <w:pPr>
        <w:pStyle w:val="BodyText"/>
      </w:pPr>
      <w:r w:rsidRPr="001D5327">
        <w:t>The fluctuations in net emissions from the LULUCF sector since 1990 (see figure ES 3.1) were primarily influenced by afforestation, harvesting and deforestation rates. Harvesting rates are driven by several factors, particularly forest age and log prices.</w:t>
      </w:r>
    </w:p>
    <w:p w14:paraId="79597631" w14:textId="77777777" w:rsidR="00680C72" w:rsidRPr="001D5327" w:rsidRDefault="00680C72" w:rsidP="00680C72">
      <w:pPr>
        <w:pStyle w:val="BodyText"/>
      </w:pPr>
      <w:r w:rsidRPr="001D5327">
        <w:t>Net emissions in the LULUCF sector have been generally increasing over the past decade. Current harvest rates are at near historically high levels due to the significant land-use changes to forest land that occurred from the 1980s and into the early 1990s.</w:t>
      </w:r>
    </w:p>
    <w:p w14:paraId="7818213F" w14:textId="77777777" w:rsidR="00680C72" w:rsidRPr="001D5327" w:rsidRDefault="00680C72" w:rsidP="00680C72">
      <w:pPr>
        <w:pStyle w:val="BodyText"/>
      </w:pPr>
      <w:r w:rsidRPr="001D5327">
        <w:t>Deforestation rates were driven by the profitability of forestry relative to alternative land uses.</w:t>
      </w:r>
    </w:p>
    <w:p w14:paraId="50C05A02" w14:textId="75CA975A" w:rsidR="00680C72" w:rsidRPr="001D5327" w:rsidRDefault="00680C72" w:rsidP="00EE796D">
      <w:pPr>
        <w:pStyle w:val="Heading3"/>
      </w:pPr>
      <w:bookmarkStart w:id="35" w:name="waste-chapter-7"/>
      <w:bookmarkEnd w:id="32"/>
      <w:bookmarkEnd w:id="34"/>
      <w:r w:rsidRPr="001D5327">
        <w:t>Waste (</w:t>
      </w:r>
      <w:r w:rsidRPr="00EE796D">
        <w:t>chapter</w:t>
      </w:r>
      <w:r w:rsidRPr="001D5327">
        <w:t xml:space="preserve"> 7)</w:t>
      </w:r>
      <w:r w:rsidR="00747C71">
        <w:t>*</w:t>
      </w:r>
    </w:p>
    <w:p w14:paraId="7E49DCC2" w14:textId="68C8B10A" w:rsidR="00680C72" w:rsidRPr="001D5327" w:rsidRDefault="00680C72" w:rsidP="00EF0264">
      <w:pPr>
        <w:pStyle w:val="Heading4"/>
      </w:pPr>
      <w:bookmarkStart w:id="36" w:name="section-16"/>
      <w:r w:rsidRPr="001D5327">
        <w:t>2023</w:t>
      </w:r>
    </w:p>
    <w:p w14:paraId="72A6FD1A" w14:textId="2E05232F" w:rsidR="00680C72" w:rsidRDefault="00680C72" w:rsidP="00680C72">
      <w:pPr>
        <w:pStyle w:val="BodyText"/>
      </w:pPr>
      <w:r w:rsidRPr="001D5327">
        <w:t>In 2023, emissions from the Waste sector contributed 2,916.6 kt CO</w:t>
      </w:r>
      <w:r w:rsidRPr="001D5327">
        <w:rPr>
          <w:vertAlign w:val="subscript"/>
        </w:rPr>
        <w:t>2</w:t>
      </w:r>
      <w:r w:rsidRPr="001D5327">
        <w:t xml:space="preserve">-e or 3.8 per cent of New Zealand’s gross GHG emissions. The largest source of emissions is the </w:t>
      </w:r>
      <w:r w:rsidRPr="001D5327">
        <w:rPr>
          <w:i/>
          <w:iCs/>
        </w:rPr>
        <w:t>Solid waste disposal </w:t>
      </w:r>
      <w:r w:rsidRPr="001D5327">
        <w:t>category.</w:t>
      </w:r>
    </w:p>
    <w:p w14:paraId="5F6530ED" w14:textId="77777777" w:rsidR="00AD6C8A" w:rsidRDefault="00AD6C8A" w:rsidP="00680C72">
      <w:pPr>
        <w:pStyle w:val="BodyText"/>
      </w:pPr>
    </w:p>
    <w:p w14:paraId="54E48C7E" w14:textId="53C05D41" w:rsidR="00AD6C8A" w:rsidRPr="001D5327" w:rsidRDefault="00EF0264" w:rsidP="00680C72">
      <w:pPr>
        <w:pStyle w:val="BodyText"/>
      </w:pPr>
      <w:r>
        <w:rPr>
          <w:noProof/>
        </w:rPr>
        <mc:AlternateContent>
          <mc:Choice Requires="wps">
            <w:drawing>
              <wp:anchor distT="45720" distB="45720" distL="114300" distR="114300" simplePos="0" relativeHeight="251657215" behindDoc="1" locked="0" layoutInCell="1" allowOverlap="1" wp14:anchorId="5F3482D6" wp14:editId="15C676DC">
                <wp:simplePos x="0" y="0"/>
                <wp:positionH relativeFrom="margin">
                  <wp:align>left</wp:align>
                </wp:positionH>
                <wp:positionV relativeFrom="margin">
                  <wp:posOffset>8087149</wp:posOffset>
                </wp:positionV>
                <wp:extent cx="5705475" cy="819785"/>
                <wp:effectExtent l="0" t="0" r="9525" b="0"/>
                <wp:wrapTight wrapText="bothSides">
                  <wp:wrapPolygon edited="0">
                    <wp:start x="0" y="0"/>
                    <wp:lineTo x="0" y="21081"/>
                    <wp:lineTo x="21564" y="21081"/>
                    <wp:lineTo x="21564"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819785"/>
                        </a:xfrm>
                        <a:prstGeom prst="rect">
                          <a:avLst/>
                        </a:prstGeom>
                        <a:solidFill>
                          <a:srgbClr val="FFFFFF"/>
                        </a:solidFill>
                        <a:ln w="9525">
                          <a:noFill/>
                          <a:miter lim="800000"/>
                          <a:headEnd/>
                          <a:tailEnd/>
                        </a:ln>
                      </wps:spPr>
                      <wps:txbx>
                        <w:txbxContent>
                          <w:p w14:paraId="6EEDB29C" w14:textId="4B09C3E4" w:rsidR="00747C71" w:rsidRPr="00A73CE8" w:rsidRDefault="00A73CE8" w:rsidP="00A73CE8">
                            <w:pPr>
                              <w:ind w:left="142" w:hanging="284"/>
                              <w:rPr>
                                <w:sz w:val="18"/>
                                <w:szCs w:val="18"/>
                              </w:rPr>
                            </w:pPr>
                            <w:r>
                              <w:rPr>
                                <w:sz w:val="18"/>
                                <w:szCs w:val="18"/>
                              </w:rPr>
                              <w:t xml:space="preserve">*  </w:t>
                            </w:r>
                            <w:r w:rsidR="00747C71" w:rsidRPr="00A73CE8">
                              <w:rPr>
                                <w:sz w:val="18"/>
                                <w:szCs w:val="18"/>
                              </w:rPr>
                              <w:t xml:space="preserve"> </w:t>
                            </w:r>
                            <w:r>
                              <w:rPr>
                                <w:sz w:val="18"/>
                                <w:szCs w:val="18"/>
                              </w:rPr>
                              <w:t xml:space="preserve"> </w:t>
                            </w:r>
                            <w:r w:rsidR="00AD5F8E">
                              <w:rPr>
                                <w:sz w:val="18"/>
                                <w:szCs w:val="18"/>
                              </w:rPr>
                              <w:t xml:space="preserve"> </w:t>
                            </w:r>
                            <w:r w:rsidR="00DC58F8" w:rsidRPr="00A73CE8">
                              <w:rPr>
                                <w:sz w:val="18"/>
                                <w:szCs w:val="18"/>
                              </w:rPr>
                              <w:t>After the Inventory was finalised, a potential underestimate of emissions was identified in a Waste sector category (</w:t>
                            </w:r>
                            <w:r w:rsidR="00DC58F8" w:rsidRPr="00A73CE8">
                              <w:rPr>
                                <w:i/>
                                <w:iCs/>
                                <w:sz w:val="18"/>
                                <w:szCs w:val="18"/>
                              </w:rPr>
                              <w:t>Unmanaged waste disposal sites</w:t>
                            </w:r>
                            <w:r w:rsidR="00DC58F8" w:rsidRPr="00A73CE8">
                              <w:rPr>
                                <w:sz w:val="18"/>
                                <w:szCs w:val="18"/>
                              </w:rPr>
                              <w:t>). Preliminary analysis suggests that this may revise the decrease in Waste sector emissions from 11 per cent to 7 per cent between 1990 and 2023</w:t>
                            </w:r>
                            <w:r w:rsidR="001E7C4A">
                              <w:rPr>
                                <w:sz w:val="18"/>
                                <w:szCs w:val="18"/>
                              </w:rPr>
                              <w:t>,</w:t>
                            </w:r>
                            <w:r w:rsidR="00DC58F8" w:rsidRPr="00A73CE8">
                              <w:rPr>
                                <w:sz w:val="18"/>
                                <w:szCs w:val="18"/>
                              </w:rPr>
                              <w:t xml:space="preserve"> and from 0.7 per cent to 0.5 per cent between 2022 and 2023. However</w:t>
                            </w:r>
                            <w:r w:rsidR="00645489">
                              <w:rPr>
                                <w:sz w:val="18"/>
                                <w:szCs w:val="18"/>
                              </w:rPr>
                              <w:t>,</w:t>
                            </w:r>
                            <w:r w:rsidR="00DC58F8" w:rsidRPr="00A73CE8">
                              <w:rPr>
                                <w:sz w:val="18"/>
                                <w:szCs w:val="18"/>
                              </w:rPr>
                              <w:t xml:space="preserve"> the impact on New Zealand's overall emissions totals is expected to be minor. </w:t>
                            </w:r>
                            <w:r w:rsidR="00AD6C8A">
                              <w:rPr>
                                <w:sz w:val="18"/>
                                <w:szCs w:val="18"/>
                              </w:rPr>
                              <w:br/>
                            </w:r>
                            <w:r w:rsidR="00DC58F8" w:rsidRPr="00A73CE8">
                              <w:rPr>
                                <w:sz w:val="18"/>
                                <w:szCs w:val="18"/>
                              </w:rPr>
                              <w:t>Any adjustments will be made in future submissions, once a full review has been completed.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3482D6" id="_x0000_t202" coordsize="21600,21600" o:spt="202" path="m,l,21600r21600,l21600,xe">
                <v:stroke joinstyle="miter"/>
                <v:path gradientshapeok="t" o:connecttype="rect"/>
              </v:shapetype>
              <v:shape id="Text Box 2" o:spid="_x0000_s1026" type="#_x0000_t202" style="position:absolute;margin-left:0;margin-top:636.8pt;width:449.25pt;height:64.55pt;z-index:-251659265;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" stroked="f">
                <v:textbox>
                  <w:txbxContent>
                    <w:p w14:paraId="6EEDB29C" w14:textId="4B09C3E4" w:rsidR="00747C71" w:rsidRPr="00A73CE8" w:rsidRDefault="00A73CE8" w:rsidP="00A73CE8">
                      <w:pPr>
                        <w:ind w:left="142" w:hanging="284"/>
                        <w:rPr>
                          <w:sz w:val="18"/>
                          <w:szCs w:val="18"/>
                        </w:rPr>
                      </w:pPr>
                      <w:r>
                        <w:rPr>
                          <w:sz w:val="18"/>
                          <w:szCs w:val="18"/>
                        </w:rPr>
                        <w:t xml:space="preserve">*  </w:t>
                      </w:r>
                      <w:r w:rsidR="00747C71" w:rsidRPr="00A73CE8">
                        <w:rPr>
                          <w:sz w:val="18"/>
                          <w:szCs w:val="18"/>
                        </w:rPr>
                        <w:t xml:space="preserve"> </w:t>
                      </w:r>
                      <w:r>
                        <w:rPr>
                          <w:sz w:val="18"/>
                          <w:szCs w:val="18"/>
                        </w:rPr>
                        <w:t xml:space="preserve"> </w:t>
                      </w:r>
                      <w:r w:rsidR="00AD5F8E">
                        <w:rPr>
                          <w:sz w:val="18"/>
                          <w:szCs w:val="18"/>
                        </w:rPr>
                        <w:t xml:space="preserve"> </w:t>
                      </w:r>
                      <w:r w:rsidR="00DC58F8" w:rsidRPr="00A73CE8">
                        <w:rPr>
                          <w:sz w:val="18"/>
                          <w:szCs w:val="18"/>
                        </w:rPr>
                        <w:t>After the Inventory was finalised, a potential underestimate of emissions was identified in a Waste sector category (</w:t>
                      </w:r>
                      <w:r w:rsidR="00DC58F8" w:rsidRPr="00A73CE8">
                        <w:rPr>
                          <w:i/>
                          <w:iCs/>
                          <w:sz w:val="18"/>
                          <w:szCs w:val="18"/>
                        </w:rPr>
                        <w:t>Unmanaged waste disposal sites</w:t>
                      </w:r>
                      <w:r w:rsidR="00DC58F8" w:rsidRPr="00A73CE8">
                        <w:rPr>
                          <w:sz w:val="18"/>
                          <w:szCs w:val="18"/>
                        </w:rPr>
                        <w:t>). Preliminary analysis suggests that this may revise the decrease in Waste sector emissions from 11 per cent to 7 per cent between 1990 and 2023</w:t>
                      </w:r>
                      <w:r w:rsidR="001E7C4A">
                        <w:rPr>
                          <w:sz w:val="18"/>
                          <w:szCs w:val="18"/>
                        </w:rPr>
                        <w:t>,</w:t>
                      </w:r>
                      <w:r w:rsidR="00DC58F8" w:rsidRPr="00A73CE8">
                        <w:rPr>
                          <w:sz w:val="18"/>
                          <w:szCs w:val="18"/>
                        </w:rPr>
                        <w:t xml:space="preserve"> and from 0.7 per cent to 0.5 per cent between 2022 and 2023. However</w:t>
                      </w:r>
                      <w:r w:rsidR="00645489">
                        <w:rPr>
                          <w:sz w:val="18"/>
                          <w:szCs w:val="18"/>
                        </w:rPr>
                        <w:t>,</w:t>
                      </w:r>
                      <w:r w:rsidR="00DC58F8" w:rsidRPr="00A73CE8">
                        <w:rPr>
                          <w:sz w:val="18"/>
                          <w:szCs w:val="18"/>
                        </w:rPr>
                        <w:t xml:space="preserve"> the impact on New Zealand's overall emissions totals is expected to be minor. </w:t>
                      </w:r>
                      <w:r w:rsidR="00AD6C8A">
                        <w:rPr>
                          <w:sz w:val="18"/>
                          <w:szCs w:val="18"/>
                        </w:rPr>
                        <w:br/>
                      </w:r>
                      <w:r w:rsidR="00DC58F8" w:rsidRPr="00A73CE8">
                        <w:rPr>
                          <w:sz w:val="18"/>
                          <w:szCs w:val="18"/>
                        </w:rPr>
                        <w:t>Any adjustments will be made in future submissions, once a full review has been completed.</w:t>
                      </w:r>
                    </w:p>
                  </w:txbxContent>
                </v:textbox>
                <w10:wrap type="tight" anchorx="margin" anchory="margin"/>
              </v:shape>
            </w:pict>
          </mc:Fallback>
        </mc:AlternateContent>
      </w:r>
      <w:r w:rsidR="00EE796D">
        <w:rPr>
          <w:noProof/>
        </w:rPr>
        <mc:AlternateContent>
          <mc:Choice Requires="wps">
            <w:drawing>
              <wp:anchor distT="0" distB="0" distL="114300" distR="114300" simplePos="0" relativeHeight="251660288" behindDoc="0" locked="0" layoutInCell="1" allowOverlap="1" wp14:anchorId="04AB0EA6" wp14:editId="6CDBB19C">
                <wp:simplePos x="0" y="0"/>
                <wp:positionH relativeFrom="margin">
                  <wp:align>left</wp:align>
                </wp:positionH>
                <wp:positionV relativeFrom="paragraph">
                  <wp:posOffset>292100</wp:posOffset>
                </wp:positionV>
                <wp:extent cx="1533525" cy="0"/>
                <wp:effectExtent l="0" t="0" r="0" b="0"/>
                <wp:wrapNone/>
                <wp:docPr id="1950943584" name="Straight Connector 4"/>
                <wp:cNvGraphicFramePr/>
                <a:graphic xmlns:a="http://schemas.openxmlformats.org/drawingml/2006/main">
                  <a:graphicData uri="http://schemas.microsoft.com/office/word/2010/wordprocessingShape">
                    <wps:wsp>
                      <wps:cNvCnPr/>
                      <wps:spPr>
                        <a:xfrm>
                          <a:off x="0" y="0"/>
                          <a:ext cx="15335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8F8AFA1" id="Straight Connector 4" o:spid="_x0000_s1026" style="position:absolute;z-index:251660288;visibility:visible;mso-wrap-style:square;mso-wrap-distance-left:9pt;mso-wrap-distance-top:0;mso-wrap-distance-right:9pt;mso-wrap-distance-bottom:0;mso-position-horizontal:left;mso-position-horizontal-relative:margin;mso-position-vertical:absolute;mso-position-vertical-relative:text" from="0,23pt" to="120.7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" strokecolor="black [3200]" strokeweight=".5pt">
                <v:stroke joinstyle="miter"/>
                <w10:wrap anchorx="margin"/>
              </v:line>
            </w:pict>
          </mc:Fallback>
        </mc:AlternateContent>
      </w:r>
    </w:p>
    <w:p w14:paraId="0B48CDC1" w14:textId="565B8CA4" w:rsidR="00680C72" w:rsidRPr="001D5327" w:rsidRDefault="00680C72" w:rsidP="00E158D0">
      <w:pPr>
        <w:pStyle w:val="Heading4"/>
        <w:spacing w:before="160"/>
      </w:pPr>
      <w:r w:rsidRPr="001D5327">
        <w:lastRenderedPageBreak/>
        <w:t>2022–2023</w:t>
      </w:r>
    </w:p>
    <w:p w14:paraId="030A099B" w14:textId="111271AA" w:rsidR="00680C72" w:rsidRPr="001D5327" w:rsidRDefault="00680C72" w:rsidP="00680C72">
      <w:pPr>
        <w:pStyle w:val="BodyText"/>
      </w:pPr>
      <w:r w:rsidRPr="001D5327">
        <w:t>Between 2022 and 2023, emissions from the Waste sector decreased by 0.7 per cent (20.5 kt CO</w:t>
      </w:r>
      <w:r w:rsidRPr="001D5327">
        <w:rPr>
          <w:vertAlign w:val="subscript"/>
        </w:rPr>
        <w:t>2</w:t>
      </w:r>
      <w:r w:rsidRPr="001D5327">
        <w:t>-e). This decrease is largely the result of decreases in CH</w:t>
      </w:r>
      <w:r w:rsidRPr="001D5327">
        <w:rPr>
          <w:vertAlign w:val="subscript"/>
        </w:rPr>
        <w:t>4</w:t>
      </w:r>
      <w:r w:rsidRPr="001D5327">
        <w:t xml:space="preserve"> emissions in the </w:t>
      </w:r>
      <w:r w:rsidRPr="001D5327">
        <w:rPr>
          <w:i/>
          <w:iCs/>
        </w:rPr>
        <w:t>Managed waste disposal site</w:t>
      </w:r>
      <w:r w:rsidRPr="001D5327">
        <w:t xml:space="preserve"> category, mainly due to increasing landfill gas (LFG) capture and changes in the composition of waste, with a reduction in the proportion of garden, food and paper waste disposed of to those sites.</w:t>
      </w:r>
    </w:p>
    <w:p w14:paraId="331F4465" w14:textId="77777777" w:rsidR="00680C72" w:rsidRPr="001D5327" w:rsidRDefault="00680C72" w:rsidP="00680C72">
      <w:pPr>
        <w:pStyle w:val="Heading4"/>
      </w:pPr>
      <w:bookmarkStart w:id="37" w:name="section-17"/>
      <w:bookmarkEnd w:id="36"/>
      <w:r w:rsidRPr="001D5327">
        <w:t>1990–2023</w:t>
      </w:r>
    </w:p>
    <w:p w14:paraId="518F9C4D" w14:textId="77777777" w:rsidR="00680C72" w:rsidRPr="001D5327" w:rsidRDefault="00680C72" w:rsidP="00680C72">
      <w:pPr>
        <w:pStyle w:val="BodyText"/>
      </w:pPr>
      <w:r w:rsidRPr="001D5327">
        <w:t>In 2023, emissions from the Waste sector had decreased by 11.0 per cent (361.0 kt CO</w:t>
      </w:r>
      <w:r w:rsidRPr="001D5327">
        <w:rPr>
          <w:vertAlign w:val="subscript"/>
        </w:rPr>
        <w:t>2</w:t>
      </w:r>
      <w:r w:rsidRPr="001D5327">
        <w:t>-e), from 3,277.6 kt CO</w:t>
      </w:r>
      <w:r w:rsidRPr="001D5327">
        <w:rPr>
          <w:vertAlign w:val="subscript"/>
        </w:rPr>
        <w:t>2</w:t>
      </w:r>
      <w:r w:rsidRPr="001D5327">
        <w:t>-e in 1990.</w:t>
      </w:r>
    </w:p>
    <w:p w14:paraId="0D6C1D01" w14:textId="77777777" w:rsidR="00680C72" w:rsidRPr="001D5327" w:rsidRDefault="00680C72" w:rsidP="00680C72">
      <w:pPr>
        <w:pStyle w:val="BodyText"/>
      </w:pPr>
      <w:r w:rsidRPr="001D5327">
        <w:t>Annual emissions peaked at 3,830.2 kt CO</w:t>
      </w:r>
      <w:r w:rsidRPr="001D5327">
        <w:rPr>
          <w:vertAlign w:val="subscript"/>
        </w:rPr>
        <w:t>2</w:t>
      </w:r>
      <w:r w:rsidRPr="001D5327">
        <w:t xml:space="preserve">-e in 2002 and have generally been in decline since that time. Growth in both population size and economic activity since 1990 has resulted in increasing volumes of solid waste and wastewater for the whole of the time series. Ongoing improvements in the management of solid waste disposal at municipal landfills have meant total Waste sector emissions have been trending down since 2005, despite increasing volumes of solid waste and wastewater. </w:t>
      </w:r>
    </w:p>
    <w:p w14:paraId="07A1597A" w14:textId="77777777" w:rsidR="00680C72" w:rsidRPr="001D5327" w:rsidRDefault="00680C72" w:rsidP="00680C72">
      <w:pPr>
        <w:pStyle w:val="BodyText"/>
      </w:pPr>
      <w:r w:rsidRPr="001D5327">
        <w:t>The reduction in emissions is primarily the result of increased CH</w:t>
      </w:r>
      <w:r w:rsidRPr="001D5327">
        <w:rPr>
          <w:vertAlign w:val="subscript"/>
        </w:rPr>
        <w:t>4</w:t>
      </w:r>
      <w:r w:rsidRPr="001D5327">
        <w:t xml:space="preserve"> recovery through the installation of LFG capture systems, driven by National Environmental Standards for Air Quality introduced in 2004 and by the inclusion of the Waste sector in the New Zealand Emissions Trading Scheme in 2013. These legislative tools have been complemented by local government efforts to improve kerbside collections, including for organic waste, across the country, and by a central government waste work programme that includes product stewardship, plastic phase-outs and investment in resource recovery infrastructure for organic materials. </w:t>
      </w:r>
    </w:p>
    <w:p w14:paraId="53F253F1" w14:textId="77777777" w:rsidR="00680C72" w:rsidRPr="001D5327" w:rsidRDefault="00680C72" w:rsidP="00680C72">
      <w:pPr>
        <w:pStyle w:val="BodyText"/>
      </w:pPr>
      <w:r w:rsidRPr="001D5327">
        <w:t>Trends in annual Waste sector emissions are shown in figure ES 3.1.</w:t>
      </w:r>
    </w:p>
    <w:p w14:paraId="128B2E5A" w14:textId="77777777" w:rsidR="00680C72" w:rsidRPr="001D5327" w:rsidRDefault="00680C72" w:rsidP="00680C72">
      <w:pPr>
        <w:pStyle w:val="Heading3"/>
      </w:pPr>
      <w:bookmarkStart w:id="38" w:name="other-tokelau-chapter-8"/>
      <w:bookmarkEnd w:id="35"/>
      <w:bookmarkEnd w:id="37"/>
      <w:r w:rsidRPr="001D5327">
        <w:t>Other (Tokelau – chapter 8)</w:t>
      </w:r>
    </w:p>
    <w:p w14:paraId="007DF875" w14:textId="77777777" w:rsidR="00680C72" w:rsidRPr="001D5327" w:rsidRDefault="00680C72" w:rsidP="003D3774">
      <w:pPr>
        <w:pStyle w:val="Heading4"/>
        <w:spacing w:before="200"/>
      </w:pPr>
      <w:bookmarkStart w:id="39" w:name="section-19"/>
      <w:r w:rsidRPr="001D5327">
        <w:t>2023</w:t>
      </w:r>
    </w:p>
    <w:p w14:paraId="7BB15819" w14:textId="77777777" w:rsidR="00680C72" w:rsidRPr="001D5327" w:rsidRDefault="00680C72" w:rsidP="00680C72">
      <w:pPr>
        <w:pStyle w:val="BodyText"/>
      </w:pPr>
      <w:r w:rsidRPr="001D5327">
        <w:t>In 2023, emissions from Tokelau contributed 0.006 per cent (4.20 kt CO</w:t>
      </w:r>
      <w:r w:rsidRPr="001D5327">
        <w:rPr>
          <w:vertAlign w:val="subscript"/>
        </w:rPr>
        <w:t>2</w:t>
      </w:r>
      <w:r w:rsidRPr="001D5327">
        <w:t>-e) of New Zealand’s gross GHG emissions.</w:t>
      </w:r>
    </w:p>
    <w:p w14:paraId="5D8DAEBE" w14:textId="77777777" w:rsidR="00680C72" w:rsidRPr="001D5327" w:rsidRDefault="00680C72" w:rsidP="00680C72">
      <w:pPr>
        <w:pStyle w:val="BodyText"/>
      </w:pPr>
      <w:r w:rsidRPr="001D5327">
        <w:t xml:space="preserve">The largest source category was </w:t>
      </w:r>
      <w:r w:rsidRPr="001D5327">
        <w:rPr>
          <w:i/>
          <w:iCs/>
        </w:rPr>
        <w:t>Domestic navigation</w:t>
      </w:r>
      <w:r w:rsidRPr="001D5327">
        <w:t>, which contributed 63.2 per cent (1.43 kt CO</w:t>
      </w:r>
      <w:r w:rsidRPr="001D5327">
        <w:rPr>
          <w:vertAlign w:val="subscript"/>
        </w:rPr>
        <w:t>2</w:t>
      </w:r>
      <w:r w:rsidRPr="001D5327">
        <w:t>-e) of all energy emissions and 34.1 per cent of gross emissions from Tokelau.</w:t>
      </w:r>
    </w:p>
    <w:p w14:paraId="1F75978D" w14:textId="77777777" w:rsidR="00680C72" w:rsidRPr="001D5327" w:rsidRDefault="00680C72" w:rsidP="00680C72">
      <w:pPr>
        <w:pStyle w:val="BodyText"/>
      </w:pPr>
      <w:r w:rsidRPr="001D5327">
        <w:t>Carbon dioxide dominated emissions from Tokelau, contributing 54.5 per cent (2.29 kt CO</w:t>
      </w:r>
      <w:r w:rsidRPr="001D5327">
        <w:rPr>
          <w:vertAlign w:val="subscript"/>
        </w:rPr>
        <w:t>2</w:t>
      </w:r>
      <w:r w:rsidRPr="001D5327">
        <w:t>-e) of its total emissions in 2023. At 2.25 kt CO</w:t>
      </w:r>
      <w:r w:rsidRPr="001D5327">
        <w:rPr>
          <w:vertAlign w:val="subscript"/>
        </w:rPr>
        <w:t>2</w:t>
      </w:r>
      <w:r w:rsidRPr="001D5327">
        <w:t>, the Energy sector contributed 98.3 per cent of total CO</w:t>
      </w:r>
      <w:r w:rsidRPr="001D5327">
        <w:rPr>
          <w:vertAlign w:val="subscript"/>
        </w:rPr>
        <w:t>2</w:t>
      </w:r>
      <w:r w:rsidRPr="001D5327">
        <w:t xml:space="preserve"> emissions, mostly from </w:t>
      </w:r>
      <w:r w:rsidRPr="001D5327">
        <w:rPr>
          <w:i/>
          <w:iCs/>
        </w:rPr>
        <w:t>Domestic navigation</w:t>
      </w:r>
      <w:r w:rsidRPr="001D5327">
        <w:t xml:space="preserve">, with the remaining 1.7 per cent (0.04 kt) coming from </w:t>
      </w:r>
      <w:r w:rsidRPr="001D5327">
        <w:rPr>
          <w:i/>
          <w:iCs/>
        </w:rPr>
        <w:t>Open burning of waste</w:t>
      </w:r>
      <w:r w:rsidRPr="001D5327">
        <w:t xml:space="preserve"> in the Waste sector.</w:t>
      </w:r>
    </w:p>
    <w:p w14:paraId="7D43BE9B" w14:textId="77777777" w:rsidR="00680C72" w:rsidRPr="001D5327" w:rsidRDefault="00680C72" w:rsidP="00680C72">
      <w:pPr>
        <w:pStyle w:val="BodyText"/>
      </w:pPr>
      <w:r w:rsidRPr="001D5327">
        <w:t>Methane emissions contributed 39.4 per cent (1.65 kt CO</w:t>
      </w:r>
      <w:r w:rsidRPr="001D5327">
        <w:rPr>
          <w:vertAlign w:val="subscript"/>
        </w:rPr>
        <w:t>2</w:t>
      </w:r>
      <w:r w:rsidRPr="001D5327">
        <w:t>-e) to the total emissions from Tokelau. The Agriculture sector in Tokelau contributed 55.8 per cent of CH</w:t>
      </w:r>
      <w:r w:rsidRPr="001D5327">
        <w:rPr>
          <w:vertAlign w:val="subscript"/>
        </w:rPr>
        <w:t>4</w:t>
      </w:r>
      <w:r w:rsidRPr="001D5327">
        <w:t xml:space="preserve"> emissions (0.92 kt CO</w:t>
      </w:r>
      <w:r w:rsidRPr="001D5327">
        <w:rPr>
          <w:vertAlign w:val="subscript"/>
        </w:rPr>
        <w:t>2</w:t>
      </w:r>
      <w:r w:rsidRPr="001D5327">
        <w:t xml:space="preserve">-e), which mostly came from </w:t>
      </w:r>
      <w:r w:rsidRPr="001D5327">
        <w:rPr>
          <w:i/>
          <w:iCs/>
        </w:rPr>
        <w:t>Manure management</w:t>
      </w:r>
      <w:r w:rsidRPr="001D5327">
        <w:t>. A significant portion of CH</w:t>
      </w:r>
      <w:r w:rsidRPr="001D5327">
        <w:rPr>
          <w:vertAlign w:val="subscript"/>
        </w:rPr>
        <w:t>4</w:t>
      </w:r>
      <w:r w:rsidRPr="001D5327">
        <w:t xml:space="preserve"> emissions, 43.9 per cent (0.73 kt CO</w:t>
      </w:r>
      <w:r w:rsidRPr="001D5327">
        <w:rPr>
          <w:vertAlign w:val="subscript"/>
        </w:rPr>
        <w:t>2</w:t>
      </w:r>
      <w:r w:rsidRPr="001D5327">
        <w:t xml:space="preserve">-e), came from the Waste sector, largely from </w:t>
      </w:r>
      <w:r w:rsidRPr="001D5327">
        <w:rPr>
          <w:i/>
          <w:iCs/>
        </w:rPr>
        <w:t>Solid waste disposal</w:t>
      </w:r>
      <w:r w:rsidRPr="001D5327">
        <w:t>. The Energy sector contributed the remaining 0.4 per cent of CH</w:t>
      </w:r>
      <w:r w:rsidRPr="001D5327">
        <w:rPr>
          <w:vertAlign w:val="subscript"/>
        </w:rPr>
        <w:t>4</w:t>
      </w:r>
      <w:r w:rsidRPr="001D5327">
        <w:t xml:space="preserve"> emissions (0.01 kt CO</w:t>
      </w:r>
      <w:r w:rsidRPr="001D5327">
        <w:rPr>
          <w:vertAlign w:val="subscript"/>
        </w:rPr>
        <w:t>2</w:t>
      </w:r>
      <w:r w:rsidRPr="001D5327">
        <w:t xml:space="preserve">-e), which mostly came from </w:t>
      </w:r>
      <w:r w:rsidRPr="001D5327">
        <w:rPr>
          <w:i/>
          <w:iCs/>
        </w:rPr>
        <w:t>Domestic navigation</w:t>
      </w:r>
      <w:r w:rsidRPr="001D5327">
        <w:t>.</w:t>
      </w:r>
    </w:p>
    <w:p w14:paraId="2AF43DF7" w14:textId="77777777" w:rsidR="00680C72" w:rsidRPr="001D5327" w:rsidRDefault="00680C72" w:rsidP="00680C72">
      <w:pPr>
        <w:pStyle w:val="BodyText"/>
      </w:pPr>
      <w:r w:rsidRPr="001D5327">
        <w:lastRenderedPageBreak/>
        <w:t>Nitrous oxide emissions contributed 1.1 per cent (0.05 kt CO</w:t>
      </w:r>
      <w:r w:rsidRPr="001D5327">
        <w:rPr>
          <w:vertAlign w:val="subscript"/>
        </w:rPr>
        <w:t>2</w:t>
      </w:r>
      <w:r w:rsidRPr="001D5327">
        <w:t>-e) to the total emissions from Tokelau. The IPPU sector (</w:t>
      </w:r>
      <w:r w:rsidRPr="001D5327">
        <w:rPr>
          <w:i/>
          <w:iCs/>
        </w:rPr>
        <w:t>Medical applications</w:t>
      </w:r>
      <w:r w:rsidRPr="001D5327">
        <w:t>) contributed the largest amount of N</w:t>
      </w:r>
      <w:r w:rsidRPr="001D5327">
        <w:rPr>
          <w:vertAlign w:val="subscript"/>
        </w:rPr>
        <w:t>2</w:t>
      </w:r>
      <w:r w:rsidRPr="001D5327">
        <w:t>O, with 52.1 per cent (0.02 kt CO</w:t>
      </w:r>
      <w:r w:rsidRPr="001D5327">
        <w:rPr>
          <w:vertAlign w:val="subscript"/>
        </w:rPr>
        <w:t>2</w:t>
      </w:r>
      <w:r w:rsidRPr="001D5327">
        <w:t>-e) of the total N</w:t>
      </w:r>
      <w:r w:rsidRPr="001D5327">
        <w:rPr>
          <w:vertAlign w:val="subscript"/>
        </w:rPr>
        <w:t>2</w:t>
      </w:r>
      <w:r w:rsidRPr="001D5327">
        <w:t>O. The Energy sector contributed a further 26.0 per cent (0.01 kt CO</w:t>
      </w:r>
      <w:r w:rsidRPr="001D5327">
        <w:rPr>
          <w:vertAlign w:val="subscript"/>
        </w:rPr>
        <w:t>2</w:t>
      </w:r>
      <w:r w:rsidRPr="001D5327">
        <w:t xml:space="preserve">-e), which comes largely from </w:t>
      </w:r>
      <w:r w:rsidRPr="001D5327">
        <w:rPr>
          <w:i/>
          <w:iCs/>
        </w:rPr>
        <w:t>Domestic navigation</w:t>
      </w:r>
      <w:r w:rsidRPr="001D5327">
        <w:t>. The Waste sector contributed the remaining 21.8 per cent of N</w:t>
      </w:r>
      <w:r w:rsidRPr="001D5327">
        <w:rPr>
          <w:vertAlign w:val="subscript"/>
        </w:rPr>
        <w:t>2</w:t>
      </w:r>
      <w:r w:rsidRPr="001D5327">
        <w:t>O (0.01 kt CO</w:t>
      </w:r>
      <w:r w:rsidRPr="001D5327">
        <w:rPr>
          <w:sz w:val="20"/>
          <w:szCs w:val="20"/>
          <w:vertAlign w:val="subscript"/>
        </w:rPr>
        <w:t>2</w:t>
      </w:r>
      <w:r w:rsidRPr="001D5327">
        <w:t xml:space="preserve">-e) from </w:t>
      </w:r>
      <w:r w:rsidRPr="001D5327">
        <w:rPr>
          <w:i/>
          <w:iCs/>
        </w:rPr>
        <w:t>Open burning of waste</w:t>
      </w:r>
      <w:r w:rsidRPr="001D5327">
        <w:t>.</w:t>
      </w:r>
    </w:p>
    <w:p w14:paraId="76F9F7BB" w14:textId="77777777" w:rsidR="00680C72" w:rsidRPr="001D5327" w:rsidRDefault="00680C72" w:rsidP="00680C72">
      <w:pPr>
        <w:pStyle w:val="BodyText"/>
      </w:pPr>
      <w:r w:rsidRPr="001D5327">
        <w:t>Emissions of fluorinated gases from Tokelau consisted of HFC emissions only, contributing 5.0 per cent (0.21 kt CO</w:t>
      </w:r>
      <w:r w:rsidRPr="001D5327">
        <w:rPr>
          <w:vertAlign w:val="subscript"/>
        </w:rPr>
        <w:t>2</w:t>
      </w:r>
      <w:r w:rsidRPr="001D5327">
        <w:t>-e) to the total emissions from Tokelau. These emissions largely result from the use of air conditioning. Emissions of PFCs, NF</w:t>
      </w:r>
      <w:r w:rsidRPr="001D5327">
        <w:rPr>
          <w:vertAlign w:val="subscript"/>
        </w:rPr>
        <w:t>3</w:t>
      </w:r>
      <w:r w:rsidRPr="001D5327">
        <w:t xml:space="preserve"> and SF</w:t>
      </w:r>
      <w:r w:rsidRPr="001D5327">
        <w:rPr>
          <w:vertAlign w:val="subscript"/>
        </w:rPr>
        <w:t>6</w:t>
      </w:r>
      <w:r w:rsidRPr="001D5327">
        <w:t xml:space="preserve"> do not occur in Tokelau.</w:t>
      </w:r>
    </w:p>
    <w:p w14:paraId="6EA1BA51" w14:textId="77777777" w:rsidR="00680C72" w:rsidRPr="001D5327" w:rsidRDefault="00680C72" w:rsidP="00680C72">
      <w:pPr>
        <w:pStyle w:val="Heading4"/>
      </w:pPr>
      <w:r w:rsidRPr="001D5327">
        <w:t>2022–2023</w:t>
      </w:r>
    </w:p>
    <w:p w14:paraId="4D759928" w14:textId="3F4F5DC0" w:rsidR="00680C72" w:rsidRPr="001D5327" w:rsidRDefault="00680C72" w:rsidP="00680C72">
      <w:pPr>
        <w:pStyle w:val="BodyText"/>
      </w:pPr>
      <w:r w:rsidRPr="001D5327">
        <w:t>Total Tokelau emissions in 2023 were 0.49 kt CO</w:t>
      </w:r>
      <w:r w:rsidRPr="001D5327">
        <w:rPr>
          <w:vertAlign w:val="subscript"/>
        </w:rPr>
        <w:t>2</w:t>
      </w:r>
      <w:r w:rsidRPr="001D5327">
        <w:t xml:space="preserve">-e (10.4 per cent) lower than emissions in 2022. The decrease in emissions is largely in the </w:t>
      </w:r>
      <w:r w:rsidRPr="001D5327">
        <w:rPr>
          <w:i/>
          <w:iCs/>
        </w:rPr>
        <w:t>Electricity generation</w:t>
      </w:r>
      <w:r w:rsidRPr="001D5327">
        <w:t xml:space="preserve"> category, which is the result of reduced diesel due to fuel conservation initiatives and problems with the diesel electricity generators. The diesel generators have been in greater demand following issues with solar electricity generation since 2022. This decrease in emissions from </w:t>
      </w:r>
      <w:r w:rsidRPr="001D5327">
        <w:rPr>
          <w:i/>
          <w:iCs/>
        </w:rPr>
        <w:t>Electricity generation</w:t>
      </w:r>
      <w:r w:rsidRPr="001D5327">
        <w:t xml:space="preserve"> is slightly offset by a small increase in the </w:t>
      </w:r>
      <w:r w:rsidRPr="001D5327">
        <w:rPr>
          <w:i/>
          <w:iCs/>
        </w:rPr>
        <w:t>Domestic navigation</w:t>
      </w:r>
      <w:r w:rsidRPr="001D5327">
        <w:t xml:space="preserve"> category, due to</w:t>
      </w:r>
      <w:r w:rsidR="00A94CF0" w:rsidRPr="001D5327">
        <w:t> </w:t>
      </w:r>
      <w:r w:rsidRPr="001D5327">
        <w:t>an increase in shipping trips.</w:t>
      </w:r>
    </w:p>
    <w:p w14:paraId="33816461" w14:textId="77777777" w:rsidR="00680C72" w:rsidRPr="001D5327" w:rsidRDefault="00680C72" w:rsidP="00680C72">
      <w:pPr>
        <w:pStyle w:val="Heading4"/>
      </w:pPr>
      <w:bookmarkStart w:id="40" w:name="section-20"/>
      <w:bookmarkEnd w:id="39"/>
      <w:r w:rsidRPr="001D5327">
        <w:t>1990–2023</w:t>
      </w:r>
    </w:p>
    <w:p w14:paraId="05F4B6B5" w14:textId="77777777" w:rsidR="00680C72" w:rsidRPr="001D5327" w:rsidRDefault="00680C72" w:rsidP="00680C72">
      <w:pPr>
        <w:pStyle w:val="BodyText"/>
      </w:pPr>
      <w:r w:rsidRPr="001D5327">
        <w:t>In 1990, total emissions from Tokelau were 3.37 kt CO</w:t>
      </w:r>
      <w:r w:rsidRPr="001D5327">
        <w:rPr>
          <w:vertAlign w:val="subscript"/>
        </w:rPr>
        <w:t>2</w:t>
      </w:r>
      <w:r w:rsidRPr="001D5327">
        <w:t>-e. Between 1990 and 2023, total emissions increased by 24.7 per cent (0.83 kt CO</w:t>
      </w:r>
      <w:r w:rsidRPr="001D5327">
        <w:rPr>
          <w:vertAlign w:val="subscript"/>
        </w:rPr>
        <w:t>2</w:t>
      </w:r>
      <w:r w:rsidRPr="001D5327">
        <w:t>-e) to 4.20 kt CO</w:t>
      </w:r>
      <w:r w:rsidRPr="001D5327">
        <w:rPr>
          <w:vertAlign w:val="subscript"/>
        </w:rPr>
        <w:t>2</w:t>
      </w:r>
      <w:r w:rsidRPr="001D5327">
        <w:t>-e. From 1990 to 2023, the average annual increase in gross emissions was 0.89 per cent.</w:t>
      </w:r>
    </w:p>
    <w:p w14:paraId="1811EC96" w14:textId="55F224BE" w:rsidR="00680C72" w:rsidRPr="001D5327" w:rsidRDefault="00680C72" w:rsidP="00680C72">
      <w:pPr>
        <w:pStyle w:val="BodyText"/>
      </w:pPr>
      <w:r w:rsidRPr="001D5327">
        <w:t xml:space="preserve">The emissions increase was largely due to changes in the Energy sector. The emissions categories that contributed the most to this change were </w:t>
      </w:r>
      <w:r w:rsidRPr="001D5327">
        <w:rPr>
          <w:i/>
          <w:iCs/>
        </w:rPr>
        <w:t>Domestic navigation</w:t>
      </w:r>
      <w:r w:rsidRPr="001D5327">
        <w:t xml:space="preserve"> and </w:t>
      </w:r>
      <w:r w:rsidRPr="001D5327">
        <w:rPr>
          <w:i/>
          <w:iCs/>
        </w:rPr>
        <w:t>Electricity</w:t>
      </w:r>
      <w:r w:rsidR="00A94CF0" w:rsidRPr="001D5327">
        <w:rPr>
          <w:i/>
          <w:iCs/>
        </w:rPr>
        <w:t> </w:t>
      </w:r>
      <w:r w:rsidRPr="001D5327">
        <w:rPr>
          <w:i/>
          <w:iCs/>
        </w:rPr>
        <w:t>generation</w:t>
      </w:r>
      <w:r w:rsidRPr="001D5327">
        <w:t>.</w:t>
      </w:r>
    </w:p>
    <w:p w14:paraId="02ADFE21" w14:textId="39C97E88" w:rsidR="00680C72" w:rsidRPr="001D5327" w:rsidRDefault="00680C72" w:rsidP="00680C72">
      <w:pPr>
        <w:pStyle w:val="BodyText"/>
      </w:pPr>
      <w:r w:rsidRPr="001D5327">
        <w:t xml:space="preserve">The changes in </w:t>
      </w:r>
      <w:r w:rsidRPr="001D5327">
        <w:rPr>
          <w:i/>
          <w:iCs/>
        </w:rPr>
        <w:t>Domestic navigation</w:t>
      </w:r>
      <w:r w:rsidRPr="001D5327">
        <w:t xml:space="preserve"> were a result of Tokelau gaining ownership and use of the</w:t>
      </w:r>
      <w:r w:rsidR="00A94CF0" w:rsidRPr="001D5327">
        <w:t> </w:t>
      </w:r>
      <w:r w:rsidRPr="001D5327">
        <w:t xml:space="preserve">ferry </w:t>
      </w:r>
      <w:r w:rsidRPr="001D5327">
        <w:rPr>
          <w:i/>
          <w:iCs/>
        </w:rPr>
        <w:t>Mataliki</w:t>
      </w:r>
      <w:r w:rsidRPr="001D5327">
        <w:t xml:space="preserve"> in 2016, cargo vessel </w:t>
      </w:r>
      <w:r w:rsidRPr="001D5327">
        <w:rPr>
          <w:i/>
          <w:iCs/>
        </w:rPr>
        <w:t>Kalopaga</w:t>
      </w:r>
      <w:r w:rsidRPr="001D5327">
        <w:t xml:space="preserve"> in 2018 and search and rescue vessel </w:t>
      </w:r>
      <w:r w:rsidRPr="001D5327">
        <w:rPr>
          <w:i/>
          <w:iCs/>
        </w:rPr>
        <w:t>Fetu o te Moana</w:t>
      </w:r>
      <w:r w:rsidRPr="001D5327">
        <w:t xml:space="preserve"> in 2019, leading to an increasing number of sea voyages between the atolls, which increased transport emissions.</w:t>
      </w:r>
    </w:p>
    <w:p w14:paraId="67FADDFA" w14:textId="77777777" w:rsidR="00680C72" w:rsidRPr="001D5327" w:rsidRDefault="00680C72" w:rsidP="00680C72">
      <w:pPr>
        <w:pStyle w:val="BodyText"/>
      </w:pPr>
      <w:r w:rsidRPr="001D5327">
        <w:t xml:space="preserve">The changes in Tokelau’s Energy sector emissions from </w:t>
      </w:r>
      <w:r w:rsidRPr="001D5327">
        <w:rPr>
          <w:i/>
          <w:iCs/>
        </w:rPr>
        <w:t>Electricity generation</w:t>
      </w:r>
      <w:r w:rsidRPr="001D5327">
        <w:t xml:space="preserve"> drive the overall emissions trend observed across most of the time series. Initially, up until 2003, emissions from this source were relatively stable. A significant increase in emissions (of nearly 400 per cent) was then observed due to an increase in the use of diesel generators for electricity production occurring between 2003 and 2011. This was followed by a significant drop in emissions in 2012 and 2013 (by 82.5 per cent), when solar electricity generation began. Toward the end of the time series, diesel generator use increased again as the generation from solar power decreased, with emissions increasing accordingly.</w:t>
      </w:r>
    </w:p>
    <w:p w14:paraId="1E229D30" w14:textId="77777777" w:rsidR="00680C72" w:rsidRPr="001D5327" w:rsidRDefault="00680C72" w:rsidP="00680C72">
      <w:pPr>
        <w:pStyle w:val="BodyText"/>
      </w:pPr>
      <w:r w:rsidRPr="001D5327">
        <w:t>Emissions from Tokelau’s IPPU sector have also increased mainly due to the introduction of air conditioning after 2006. Emissions from Tokelau’s Agriculture sector decreased slightly as a result of a reduced population of pigs.</w:t>
      </w:r>
    </w:p>
    <w:p w14:paraId="30F4EAFE" w14:textId="77777777" w:rsidR="00680C72" w:rsidRPr="001D5327" w:rsidRDefault="00680C72" w:rsidP="00992E9B">
      <w:pPr>
        <w:pStyle w:val="Heading2"/>
        <w:tabs>
          <w:tab w:val="clear" w:pos="851"/>
          <w:tab w:val="left" w:pos="993"/>
        </w:tabs>
      </w:pPr>
      <w:bookmarkStart w:id="41" w:name="_Toc194311979"/>
      <w:bookmarkStart w:id="42" w:name="es.4-other-information"/>
      <w:bookmarkEnd w:id="21"/>
      <w:bookmarkEnd w:id="38"/>
      <w:bookmarkEnd w:id="40"/>
      <w:r w:rsidRPr="001D5327">
        <w:lastRenderedPageBreak/>
        <w:t>ES.4</w:t>
      </w:r>
      <w:r w:rsidRPr="001D5327">
        <w:tab/>
        <w:t>Other information</w:t>
      </w:r>
      <w:bookmarkEnd w:id="41"/>
    </w:p>
    <w:p w14:paraId="3EE7E0B9" w14:textId="77777777" w:rsidR="00680C72" w:rsidRPr="001D5327" w:rsidRDefault="00680C72" w:rsidP="00992E9B">
      <w:pPr>
        <w:pStyle w:val="Heading3"/>
        <w:spacing w:before="240"/>
      </w:pPr>
      <w:bookmarkStart w:id="43" w:name="indirect-gases"/>
      <w:r w:rsidRPr="001D5327">
        <w:t>Indirect gases</w:t>
      </w:r>
    </w:p>
    <w:p w14:paraId="60A4F9DD" w14:textId="77777777" w:rsidR="00680C72" w:rsidRPr="001D5327" w:rsidRDefault="00680C72" w:rsidP="00680C72">
      <w:pPr>
        <w:pStyle w:val="BodyText"/>
      </w:pPr>
      <w:r w:rsidRPr="001D5327">
        <w:t>New Zealand reports emissions estimates of indirect gases in accordance with the Intergovernmental Panel on Climate Change (IPCC) 2006 Guidelines for National Greenhouse Gas Inventories (2006 IPCC Guidelines) (Volume 1, Chapter 7) (IPCC, 2006). These indirect gases are CO, NO</w:t>
      </w:r>
      <w:r w:rsidRPr="001D5327">
        <w:rPr>
          <w:vertAlign w:val="subscript"/>
        </w:rPr>
        <w:t>X</w:t>
      </w:r>
      <w:r w:rsidRPr="001D5327">
        <w:t>, NMVOCs and sulphur dioxide (SO</w:t>
      </w:r>
      <w:r w:rsidRPr="001D5327">
        <w:rPr>
          <w:vertAlign w:val="subscript"/>
        </w:rPr>
        <w:t>2</w:t>
      </w:r>
      <w:r w:rsidRPr="001D5327">
        <w:t>). These gases are not greenhouse gases themselves and are not included in the national emissions totals; however, CO, NO</w:t>
      </w:r>
      <w:r w:rsidRPr="001D5327">
        <w:rPr>
          <w:vertAlign w:val="subscript"/>
        </w:rPr>
        <w:t>X</w:t>
      </w:r>
      <w:r w:rsidRPr="001D5327">
        <w:t xml:space="preserve"> and NMVOCs chemically alter the atmosphere, leading to an increase in tropospheric ozone concentrations, and SO</w:t>
      </w:r>
      <w:r w:rsidRPr="001D5327">
        <w:rPr>
          <w:vertAlign w:val="subscript"/>
        </w:rPr>
        <w:t>2</w:t>
      </w:r>
      <w:r w:rsidRPr="001D5327">
        <w:t xml:space="preserve"> contributes to aerosol formation. Table ES 4.1 summarises New Zealand’s indirect GHG emissions in 1990 and 2023 as well as the change between these years.</w:t>
      </w:r>
    </w:p>
    <w:p w14:paraId="34127943" w14:textId="07E4113D" w:rsidR="00680C72" w:rsidRPr="001D5327" w:rsidRDefault="00680C72" w:rsidP="00680C72">
      <w:pPr>
        <w:pStyle w:val="Table"/>
      </w:pPr>
      <w:bookmarkStart w:id="44" w:name="_Toc194241658"/>
      <w:r w:rsidRPr="001D5327">
        <w:rPr>
          <w:bCs/>
        </w:rPr>
        <w:t>Table ES 4.1</w:t>
      </w:r>
      <w:r w:rsidRPr="001D5327">
        <w:tab/>
        <w:t xml:space="preserve">New Zealand’s indirect greenhouse gas emissions (excluding LULUCF) in </w:t>
      </w:r>
      <w:r w:rsidRPr="001D5327">
        <w:rPr>
          <w:bCs/>
        </w:rPr>
        <w:t>1990</w:t>
      </w:r>
      <w:r w:rsidR="00023772" w:rsidRPr="001D5327">
        <w:t> </w:t>
      </w:r>
      <w:r w:rsidRPr="001D5327">
        <w:t>and</w:t>
      </w:r>
      <w:r w:rsidR="00023772" w:rsidRPr="001D5327">
        <w:t> </w:t>
      </w:r>
      <w:r w:rsidRPr="001D5327">
        <w:rPr>
          <w:bCs/>
        </w:rPr>
        <w:t>2023</w:t>
      </w:r>
      <w:bookmarkEnd w:id="44"/>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881"/>
        <w:gridCol w:w="630"/>
        <w:gridCol w:w="630"/>
        <w:gridCol w:w="2427"/>
        <w:gridCol w:w="1926"/>
      </w:tblGrid>
      <w:tr w:rsidR="00680C72" w:rsidRPr="001D5327" w14:paraId="4F0B4964" w14:textId="77777777" w:rsidTr="00341FEF">
        <w:trPr>
          <w:tblHeader/>
        </w:trPr>
        <w:tc>
          <w:tcPr>
            <w:tcW w:w="0" w:type="auto"/>
            <w:shd w:val="clear" w:color="auto" w:fill="1B556B"/>
            <w:tcMar>
              <w:top w:w="0" w:type="dxa"/>
              <w:left w:w="85" w:type="dxa"/>
              <w:bottom w:w="0" w:type="dxa"/>
              <w:right w:w="85" w:type="dxa"/>
            </w:tcMar>
          </w:tcPr>
          <w:p w14:paraId="43C2E159" w14:textId="77777777" w:rsidR="00680C72" w:rsidRPr="001D5327" w:rsidRDefault="00680C72" w:rsidP="00341FEF">
            <w:pPr>
              <w:pStyle w:val="TableTextBold"/>
              <w:spacing w:before="40" w:after="40"/>
              <w:rPr>
                <w:noProof w:val="0"/>
                <w:color w:val="FFFFFF" w:themeColor="background1"/>
              </w:rPr>
            </w:pPr>
            <w:r w:rsidRPr="001D5327">
              <w:rPr>
                <w:rFonts w:eastAsia="Calibri"/>
                <w:noProof w:val="0"/>
                <w:color w:val="FFFFFF" w:themeColor="background1"/>
              </w:rPr>
              <w:t>Indirect greenhouse gas emissions</w:t>
            </w:r>
          </w:p>
        </w:tc>
        <w:tc>
          <w:tcPr>
            <w:tcW w:w="0" w:type="auto"/>
            <w:shd w:val="clear" w:color="auto" w:fill="1B556B"/>
            <w:tcMar>
              <w:top w:w="0" w:type="dxa"/>
              <w:left w:w="85" w:type="dxa"/>
              <w:bottom w:w="0" w:type="dxa"/>
              <w:right w:w="85" w:type="dxa"/>
            </w:tcMar>
          </w:tcPr>
          <w:p w14:paraId="264BDD4A" w14:textId="77777777" w:rsidR="00680C72" w:rsidRPr="001D5327" w:rsidRDefault="00680C72" w:rsidP="00341FEF">
            <w:pPr>
              <w:pStyle w:val="TableTextBold"/>
              <w:spacing w:before="40" w:after="40"/>
              <w:jc w:val="right"/>
              <w:rPr>
                <w:noProof w:val="0"/>
                <w:color w:val="FFFFFF" w:themeColor="background1"/>
              </w:rPr>
            </w:pPr>
            <w:r w:rsidRPr="001D5327">
              <w:rPr>
                <w:rFonts w:eastAsia="Calibri"/>
                <w:noProof w:val="0"/>
                <w:color w:val="FFFFFF" w:themeColor="background1"/>
              </w:rPr>
              <w:t>1990</w:t>
            </w:r>
          </w:p>
        </w:tc>
        <w:tc>
          <w:tcPr>
            <w:tcW w:w="0" w:type="auto"/>
            <w:shd w:val="clear" w:color="auto" w:fill="1B556B"/>
            <w:tcMar>
              <w:top w:w="0" w:type="dxa"/>
              <w:left w:w="85" w:type="dxa"/>
              <w:bottom w:w="0" w:type="dxa"/>
              <w:right w:w="85" w:type="dxa"/>
            </w:tcMar>
          </w:tcPr>
          <w:p w14:paraId="47751E13" w14:textId="77777777" w:rsidR="00680C72" w:rsidRPr="001D5327" w:rsidRDefault="00680C72" w:rsidP="00341FEF">
            <w:pPr>
              <w:pStyle w:val="TableTextBold"/>
              <w:spacing w:before="40" w:after="40"/>
              <w:jc w:val="right"/>
              <w:rPr>
                <w:noProof w:val="0"/>
                <w:color w:val="FFFFFF" w:themeColor="background1"/>
              </w:rPr>
            </w:pPr>
            <w:r w:rsidRPr="001D5327">
              <w:rPr>
                <w:rFonts w:eastAsia="Calibri"/>
                <w:noProof w:val="0"/>
                <w:color w:val="FFFFFF" w:themeColor="background1"/>
              </w:rPr>
              <w:t>2023</w:t>
            </w:r>
          </w:p>
        </w:tc>
        <w:tc>
          <w:tcPr>
            <w:tcW w:w="0" w:type="auto"/>
            <w:shd w:val="clear" w:color="auto" w:fill="1B556B"/>
            <w:tcMar>
              <w:top w:w="0" w:type="dxa"/>
              <w:left w:w="85" w:type="dxa"/>
              <w:bottom w:w="0" w:type="dxa"/>
              <w:right w:w="85" w:type="dxa"/>
            </w:tcMar>
          </w:tcPr>
          <w:p w14:paraId="730F8F99" w14:textId="77777777" w:rsidR="00680C72" w:rsidRPr="001D5327" w:rsidRDefault="00680C72" w:rsidP="00341FEF">
            <w:pPr>
              <w:pStyle w:val="TableTextBold"/>
              <w:spacing w:before="40" w:after="40"/>
              <w:jc w:val="right"/>
              <w:rPr>
                <w:noProof w:val="0"/>
                <w:color w:val="FFFFFF" w:themeColor="background1"/>
              </w:rPr>
            </w:pPr>
            <w:r w:rsidRPr="001D5327">
              <w:rPr>
                <w:rFonts w:eastAsia="Calibri"/>
                <w:noProof w:val="0"/>
                <w:color w:val="FFFFFF" w:themeColor="background1"/>
              </w:rPr>
              <w:t>Change from 1990 (kt CO</w:t>
            </w:r>
            <w:r w:rsidRPr="001D5327">
              <w:rPr>
                <w:rFonts w:eastAsia="Calibri"/>
                <w:noProof w:val="0"/>
                <w:color w:val="FFFFFF" w:themeColor="background1"/>
                <w:vertAlign w:val="subscript"/>
              </w:rPr>
              <w:t>2</w:t>
            </w:r>
            <w:r w:rsidRPr="001D5327">
              <w:rPr>
                <w:rFonts w:eastAsia="Calibri"/>
                <w:noProof w:val="0"/>
                <w:color w:val="FFFFFF" w:themeColor="background1"/>
              </w:rPr>
              <w:t>-e)</w:t>
            </w:r>
          </w:p>
        </w:tc>
        <w:tc>
          <w:tcPr>
            <w:tcW w:w="0" w:type="auto"/>
            <w:shd w:val="clear" w:color="auto" w:fill="1B556B"/>
            <w:tcMar>
              <w:top w:w="0" w:type="dxa"/>
              <w:left w:w="85" w:type="dxa"/>
              <w:bottom w:w="0" w:type="dxa"/>
              <w:right w:w="85" w:type="dxa"/>
            </w:tcMar>
          </w:tcPr>
          <w:p w14:paraId="3704D279" w14:textId="77777777" w:rsidR="00680C72" w:rsidRPr="001D5327" w:rsidRDefault="00680C72" w:rsidP="00341FEF">
            <w:pPr>
              <w:pStyle w:val="TableTextBold"/>
              <w:spacing w:before="40" w:after="40"/>
              <w:jc w:val="right"/>
              <w:rPr>
                <w:noProof w:val="0"/>
                <w:color w:val="FFFFFF" w:themeColor="background1"/>
              </w:rPr>
            </w:pPr>
            <w:r w:rsidRPr="001D5327">
              <w:rPr>
                <w:rFonts w:eastAsia="Calibri"/>
                <w:noProof w:val="0"/>
                <w:color w:val="FFFFFF" w:themeColor="background1"/>
              </w:rPr>
              <w:t>Change from 1990 (%)</w:t>
            </w:r>
          </w:p>
        </w:tc>
      </w:tr>
      <w:tr w:rsidR="00680C72" w:rsidRPr="001D5327" w14:paraId="65155AAC" w14:textId="77777777" w:rsidTr="00341FEF">
        <w:tc>
          <w:tcPr>
            <w:tcW w:w="0" w:type="auto"/>
            <w:shd w:val="clear" w:color="auto" w:fill="FFFFFF"/>
            <w:tcMar>
              <w:top w:w="0" w:type="dxa"/>
              <w:left w:w="85" w:type="dxa"/>
              <w:bottom w:w="0" w:type="dxa"/>
              <w:right w:w="85" w:type="dxa"/>
            </w:tcMar>
          </w:tcPr>
          <w:p w14:paraId="7F0B6E92" w14:textId="77777777" w:rsidR="00680C72" w:rsidRPr="001D5327" w:rsidRDefault="00680C72" w:rsidP="00341FEF">
            <w:pPr>
              <w:pStyle w:val="TableText"/>
              <w:spacing w:before="40" w:after="40"/>
            </w:pPr>
            <w:r w:rsidRPr="001D5327">
              <w:rPr>
                <w:rFonts w:eastAsia="Calibri"/>
                <w:color w:val="000000"/>
              </w:rPr>
              <w:t>CO</w:t>
            </w:r>
          </w:p>
        </w:tc>
        <w:tc>
          <w:tcPr>
            <w:tcW w:w="0" w:type="auto"/>
            <w:shd w:val="clear" w:color="auto" w:fill="FFFFFF"/>
            <w:tcMar>
              <w:top w:w="0" w:type="dxa"/>
              <w:left w:w="85" w:type="dxa"/>
              <w:bottom w:w="0" w:type="dxa"/>
              <w:right w:w="85" w:type="dxa"/>
            </w:tcMar>
          </w:tcPr>
          <w:p w14:paraId="749DD0CB" w14:textId="77777777" w:rsidR="00680C72" w:rsidRPr="001D5327" w:rsidRDefault="00680C72" w:rsidP="00341FEF">
            <w:pPr>
              <w:pStyle w:val="TableText"/>
              <w:spacing w:before="40" w:after="40"/>
              <w:jc w:val="right"/>
            </w:pPr>
            <w:r w:rsidRPr="001D5327">
              <w:rPr>
                <w:rFonts w:eastAsia="Calibri"/>
                <w:color w:val="000000"/>
              </w:rPr>
              <w:t>622.6</w:t>
            </w:r>
          </w:p>
        </w:tc>
        <w:tc>
          <w:tcPr>
            <w:tcW w:w="0" w:type="auto"/>
            <w:shd w:val="clear" w:color="auto" w:fill="FFFFFF"/>
            <w:tcMar>
              <w:top w:w="0" w:type="dxa"/>
              <w:left w:w="85" w:type="dxa"/>
              <w:bottom w:w="0" w:type="dxa"/>
              <w:right w:w="85" w:type="dxa"/>
            </w:tcMar>
          </w:tcPr>
          <w:p w14:paraId="65600264" w14:textId="77777777" w:rsidR="00680C72" w:rsidRPr="001D5327" w:rsidRDefault="00680C72" w:rsidP="00341FEF">
            <w:pPr>
              <w:pStyle w:val="TableText"/>
              <w:spacing w:before="40" w:after="40"/>
              <w:jc w:val="right"/>
            </w:pPr>
            <w:r w:rsidRPr="001D5327">
              <w:rPr>
                <w:rFonts w:eastAsia="Calibri"/>
                <w:color w:val="000000"/>
              </w:rPr>
              <w:t>662.5</w:t>
            </w:r>
          </w:p>
        </w:tc>
        <w:tc>
          <w:tcPr>
            <w:tcW w:w="0" w:type="auto"/>
            <w:shd w:val="clear" w:color="auto" w:fill="FFFFFF"/>
            <w:tcMar>
              <w:top w:w="0" w:type="dxa"/>
              <w:left w:w="85" w:type="dxa"/>
              <w:bottom w:w="0" w:type="dxa"/>
              <w:right w:w="85" w:type="dxa"/>
            </w:tcMar>
          </w:tcPr>
          <w:p w14:paraId="2F489FE7" w14:textId="77777777" w:rsidR="00680C72" w:rsidRPr="001D5327" w:rsidRDefault="00680C72" w:rsidP="00341FEF">
            <w:pPr>
              <w:pStyle w:val="TableText"/>
              <w:spacing w:before="40" w:after="40"/>
              <w:jc w:val="right"/>
            </w:pPr>
            <w:r w:rsidRPr="001D5327">
              <w:rPr>
                <w:rFonts w:eastAsia="Calibri"/>
                <w:color w:val="000000"/>
              </w:rPr>
              <w:t>39.9</w:t>
            </w:r>
          </w:p>
        </w:tc>
        <w:tc>
          <w:tcPr>
            <w:tcW w:w="0" w:type="auto"/>
            <w:shd w:val="clear" w:color="auto" w:fill="FFFFFF"/>
            <w:tcMar>
              <w:top w:w="0" w:type="dxa"/>
              <w:left w:w="85" w:type="dxa"/>
              <w:bottom w:w="0" w:type="dxa"/>
              <w:right w:w="85" w:type="dxa"/>
            </w:tcMar>
          </w:tcPr>
          <w:p w14:paraId="102B3823" w14:textId="77777777" w:rsidR="00680C72" w:rsidRPr="001D5327" w:rsidRDefault="00680C72" w:rsidP="00341FEF">
            <w:pPr>
              <w:pStyle w:val="TableText"/>
              <w:spacing w:before="40" w:after="40"/>
              <w:jc w:val="right"/>
            </w:pPr>
            <w:r w:rsidRPr="001D5327">
              <w:rPr>
                <w:rFonts w:eastAsia="Calibri"/>
                <w:color w:val="000000"/>
              </w:rPr>
              <w:t xml:space="preserve"> 6.4</w:t>
            </w:r>
          </w:p>
        </w:tc>
      </w:tr>
      <w:tr w:rsidR="00680C72" w:rsidRPr="001D5327" w14:paraId="260BF31B" w14:textId="77777777" w:rsidTr="00341FEF">
        <w:tc>
          <w:tcPr>
            <w:tcW w:w="0" w:type="auto"/>
            <w:shd w:val="clear" w:color="auto" w:fill="FFFFFF"/>
            <w:tcMar>
              <w:top w:w="0" w:type="dxa"/>
              <w:left w:w="85" w:type="dxa"/>
              <w:bottom w:w="0" w:type="dxa"/>
              <w:right w:w="85" w:type="dxa"/>
            </w:tcMar>
          </w:tcPr>
          <w:p w14:paraId="7F446F04" w14:textId="77777777" w:rsidR="00680C72" w:rsidRPr="001D5327" w:rsidRDefault="00680C72" w:rsidP="00341FEF">
            <w:pPr>
              <w:pStyle w:val="TableText"/>
              <w:spacing w:before="40" w:after="40"/>
            </w:pPr>
            <w:r w:rsidRPr="001D5327">
              <w:rPr>
                <w:rFonts w:eastAsia="Calibri"/>
                <w:color w:val="000000"/>
              </w:rPr>
              <w:t>NMVOCs</w:t>
            </w:r>
          </w:p>
        </w:tc>
        <w:tc>
          <w:tcPr>
            <w:tcW w:w="0" w:type="auto"/>
            <w:shd w:val="clear" w:color="auto" w:fill="FFFFFF"/>
            <w:tcMar>
              <w:top w:w="0" w:type="dxa"/>
              <w:left w:w="85" w:type="dxa"/>
              <w:bottom w:w="0" w:type="dxa"/>
              <w:right w:w="85" w:type="dxa"/>
            </w:tcMar>
          </w:tcPr>
          <w:p w14:paraId="7F63FA4A" w14:textId="77777777" w:rsidR="00680C72" w:rsidRPr="001D5327" w:rsidRDefault="00680C72" w:rsidP="00341FEF">
            <w:pPr>
              <w:pStyle w:val="TableText"/>
              <w:spacing w:before="40" w:after="40"/>
              <w:jc w:val="right"/>
            </w:pPr>
            <w:r w:rsidRPr="001D5327">
              <w:rPr>
                <w:rFonts w:eastAsia="Calibri"/>
                <w:color w:val="000000"/>
              </w:rPr>
              <w:t>143.7</w:t>
            </w:r>
          </w:p>
        </w:tc>
        <w:tc>
          <w:tcPr>
            <w:tcW w:w="0" w:type="auto"/>
            <w:shd w:val="clear" w:color="auto" w:fill="FFFFFF"/>
            <w:tcMar>
              <w:top w:w="0" w:type="dxa"/>
              <w:left w:w="85" w:type="dxa"/>
              <w:bottom w:w="0" w:type="dxa"/>
              <w:right w:w="85" w:type="dxa"/>
            </w:tcMar>
          </w:tcPr>
          <w:p w14:paraId="3985E33E" w14:textId="77777777" w:rsidR="00680C72" w:rsidRPr="001D5327" w:rsidRDefault="00680C72" w:rsidP="00341FEF">
            <w:pPr>
              <w:pStyle w:val="TableText"/>
              <w:spacing w:before="40" w:after="40"/>
              <w:jc w:val="right"/>
            </w:pPr>
            <w:r w:rsidRPr="001D5327">
              <w:rPr>
                <w:rFonts w:eastAsia="Calibri"/>
                <w:color w:val="000000"/>
              </w:rPr>
              <w:t>172.3</w:t>
            </w:r>
          </w:p>
        </w:tc>
        <w:tc>
          <w:tcPr>
            <w:tcW w:w="0" w:type="auto"/>
            <w:shd w:val="clear" w:color="auto" w:fill="FFFFFF"/>
            <w:tcMar>
              <w:top w:w="0" w:type="dxa"/>
              <w:left w:w="85" w:type="dxa"/>
              <w:bottom w:w="0" w:type="dxa"/>
              <w:right w:w="85" w:type="dxa"/>
            </w:tcMar>
          </w:tcPr>
          <w:p w14:paraId="606B8CD3" w14:textId="77777777" w:rsidR="00680C72" w:rsidRPr="001D5327" w:rsidRDefault="00680C72" w:rsidP="00341FEF">
            <w:pPr>
              <w:pStyle w:val="TableText"/>
              <w:spacing w:before="40" w:after="40"/>
              <w:jc w:val="right"/>
            </w:pPr>
            <w:r w:rsidRPr="001D5327">
              <w:rPr>
                <w:rFonts w:eastAsia="Calibri"/>
                <w:color w:val="000000"/>
              </w:rPr>
              <w:t>28.6</w:t>
            </w:r>
          </w:p>
        </w:tc>
        <w:tc>
          <w:tcPr>
            <w:tcW w:w="0" w:type="auto"/>
            <w:shd w:val="clear" w:color="auto" w:fill="FFFFFF"/>
            <w:tcMar>
              <w:top w:w="0" w:type="dxa"/>
              <w:left w:w="85" w:type="dxa"/>
              <w:bottom w:w="0" w:type="dxa"/>
              <w:right w:w="85" w:type="dxa"/>
            </w:tcMar>
          </w:tcPr>
          <w:p w14:paraId="1906698D" w14:textId="77777777" w:rsidR="00680C72" w:rsidRPr="001D5327" w:rsidRDefault="00680C72" w:rsidP="00341FEF">
            <w:pPr>
              <w:pStyle w:val="TableText"/>
              <w:spacing w:before="40" w:after="40"/>
              <w:jc w:val="right"/>
            </w:pPr>
            <w:r w:rsidRPr="001D5327">
              <w:rPr>
                <w:rFonts w:eastAsia="Calibri"/>
                <w:color w:val="000000"/>
              </w:rPr>
              <w:t xml:space="preserve"> 19.9</w:t>
            </w:r>
          </w:p>
        </w:tc>
      </w:tr>
      <w:tr w:rsidR="00680C72" w:rsidRPr="001D5327" w14:paraId="2CBFAD02" w14:textId="77777777" w:rsidTr="00341FEF">
        <w:tc>
          <w:tcPr>
            <w:tcW w:w="0" w:type="auto"/>
            <w:shd w:val="clear" w:color="auto" w:fill="FFFFFF"/>
            <w:tcMar>
              <w:top w:w="0" w:type="dxa"/>
              <w:left w:w="85" w:type="dxa"/>
              <w:bottom w:w="0" w:type="dxa"/>
              <w:right w:w="85" w:type="dxa"/>
            </w:tcMar>
          </w:tcPr>
          <w:p w14:paraId="337A2515" w14:textId="77777777" w:rsidR="00680C72" w:rsidRPr="001D5327" w:rsidRDefault="00680C72" w:rsidP="00341FEF">
            <w:pPr>
              <w:pStyle w:val="TableText"/>
              <w:spacing w:before="40" w:after="40"/>
            </w:pPr>
            <w:r w:rsidRPr="001D5327">
              <w:rPr>
                <w:rFonts w:eastAsia="Calibri"/>
                <w:color w:val="000000"/>
              </w:rPr>
              <w:t>NO</w:t>
            </w:r>
            <w:r w:rsidRPr="001D5327">
              <w:rPr>
                <w:rFonts w:eastAsia="Calibri"/>
                <w:color w:val="000000"/>
                <w:vertAlign w:val="subscript"/>
              </w:rPr>
              <w:t>X</w:t>
            </w:r>
          </w:p>
        </w:tc>
        <w:tc>
          <w:tcPr>
            <w:tcW w:w="0" w:type="auto"/>
            <w:shd w:val="clear" w:color="auto" w:fill="FFFFFF"/>
            <w:tcMar>
              <w:top w:w="0" w:type="dxa"/>
              <w:left w:w="85" w:type="dxa"/>
              <w:bottom w:w="0" w:type="dxa"/>
              <w:right w:w="85" w:type="dxa"/>
            </w:tcMar>
          </w:tcPr>
          <w:p w14:paraId="6FED5B09" w14:textId="77777777" w:rsidR="00680C72" w:rsidRPr="001D5327" w:rsidRDefault="00680C72" w:rsidP="00341FEF">
            <w:pPr>
              <w:pStyle w:val="TableText"/>
              <w:spacing w:before="40" w:after="40"/>
              <w:jc w:val="right"/>
            </w:pPr>
            <w:r w:rsidRPr="001D5327">
              <w:rPr>
                <w:rFonts w:eastAsia="Calibri"/>
                <w:color w:val="000000"/>
              </w:rPr>
              <w:t>102.5</w:t>
            </w:r>
          </w:p>
        </w:tc>
        <w:tc>
          <w:tcPr>
            <w:tcW w:w="0" w:type="auto"/>
            <w:shd w:val="clear" w:color="auto" w:fill="FFFFFF"/>
            <w:tcMar>
              <w:top w:w="0" w:type="dxa"/>
              <w:left w:w="85" w:type="dxa"/>
              <w:bottom w:w="0" w:type="dxa"/>
              <w:right w:w="85" w:type="dxa"/>
            </w:tcMar>
          </w:tcPr>
          <w:p w14:paraId="7FCA6240" w14:textId="77777777" w:rsidR="00680C72" w:rsidRPr="001D5327" w:rsidRDefault="00680C72" w:rsidP="00341FEF">
            <w:pPr>
              <w:pStyle w:val="TableText"/>
              <w:spacing w:before="40" w:after="40"/>
              <w:jc w:val="right"/>
            </w:pPr>
            <w:r w:rsidRPr="001D5327">
              <w:rPr>
                <w:rFonts w:eastAsia="Calibri"/>
                <w:color w:val="000000"/>
              </w:rPr>
              <w:t>150.8</w:t>
            </w:r>
          </w:p>
        </w:tc>
        <w:tc>
          <w:tcPr>
            <w:tcW w:w="0" w:type="auto"/>
            <w:shd w:val="clear" w:color="auto" w:fill="FFFFFF"/>
            <w:tcMar>
              <w:top w:w="0" w:type="dxa"/>
              <w:left w:w="85" w:type="dxa"/>
              <w:bottom w:w="0" w:type="dxa"/>
              <w:right w:w="85" w:type="dxa"/>
            </w:tcMar>
          </w:tcPr>
          <w:p w14:paraId="1228265E" w14:textId="77777777" w:rsidR="00680C72" w:rsidRPr="001D5327" w:rsidRDefault="00680C72" w:rsidP="00341FEF">
            <w:pPr>
              <w:pStyle w:val="TableText"/>
              <w:spacing w:before="40" w:after="40"/>
              <w:jc w:val="right"/>
            </w:pPr>
            <w:r w:rsidRPr="001D5327">
              <w:rPr>
                <w:rFonts w:eastAsia="Calibri"/>
                <w:color w:val="000000"/>
              </w:rPr>
              <w:t>48.3</w:t>
            </w:r>
          </w:p>
        </w:tc>
        <w:tc>
          <w:tcPr>
            <w:tcW w:w="0" w:type="auto"/>
            <w:shd w:val="clear" w:color="auto" w:fill="FFFFFF"/>
            <w:tcMar>
              <w:top w:w="0" w:type="dxa"/>
              <w:left w:w="85" w:type="dxa"/>
              <w:bottom w:w="0" w:type="dxa"/>
              <w:right w:w="85" w:type="dxa"/>
            </w:tcMar>
          </w:tcPr>
          <w:p w14:paraId="29549408" w14:textId="77777777" w:rsidR="00680C72" w:rsidRPr="001D5327" w:rsidRDefault="00680C72" w:rsidP="00341FEF">
            <w:pPr>
              <w:pStyle w:val="TableText"/>
              <w:spacing w:before="40" w:after="40"/>
              <w:jc w:val="right"/>
            </w:pPr>
            <w:r w:rsidRPr="001D5327">
              <w:rPr>
                <w:rFonts w:eastAsia="Calibri"/>
                <w:color w:val="000000"/>
              </w:rPr>
              <w:t xml:space="preserve"> 47.1</w:t>
            </w:r>
          </w:p>
        </w:tc>
      </w:tr>
      <w:tr w:rsidR="00680C72" w:rsidRPr="001D5327" w14:paraId="35C050F7" w14:textId="77777777" w:rsidTr="00341FEF">
        <w:tc>
          <w:tcPr>
            <w:tcW w:w="0" w:type="auto"/>
            <w:shd w:val="clear" w:color="auto" w:fill="FFFFFF"/>
            <w:tcMar>
              <w:top w:w="0" w:type="dxa"/>
              <w:left w:w="85" w:type="dxa"/>
              <w:bottom w:w="0" w:type="dxa"/>
              <w:right w:w="85" w:type="dxa"/>
            </w:tcMar>
          </w:tcPr>
          <w:p w14:paraId="505CDEBF" w14:textId="77777777" w:rsidR="00680C72" w:rsidRPr="001D5327" w:rsidRDefault="00680C72" w:rsidP="00341FEF">
            <w:pPr>
              <w:pStyle w:val="TableText"/>
              <w:spacing w:before="40" w:after="40"/>
            </w:pPr>
            <w:r w:rsidRPr="001D5327">
              <w:rPr>
                <w:rFonts w:eastAsia="Calibri"/>
                <w:color w:val="000000"/>
              </w:rPr>
              <w:t>SO</w:t>
            </w:r>
            <w:r w:rsidRPr="001D5327">
              <w:rPr>
                <w:rFonts w:eastAsia="Calibri"/>
                <w:color w:val="000000"/>
                <w:vertAlign w:val="subscript"/>
              </w:rPr>
              <w:t>2</w:t>
            </w:r>
          </w:p>
        </w:tc>
        <w:tc>
          <w:tcPr>
            <w:tcW w:w="0" w:type="auto"/>
            <w:shd w:val="clear" w:color="auto" w:fill="FFFFFF"/>
            <w:tcMar>
              <w:top w:w="0" w:type="dxa"/>
              <w:left w:w="85" w:type="dxa"/>
              <w:bottom w:w="0" w:type="dxa"/>
              <w:right w:w="85" w:type="dxa"/>
            </w:tcMar>
          </w:tcPr>
          <w:p w14:paraId="15DA27FF" w14:textId="77777777" w:rsidR="00680C72" w:rsidRPr="001D5327" w:rsidRDefault="00680C72" w:rsidP="00341FEF">
            <w:pPr>
              <w:pStyle w:val="TableText"/>
              <w:spacing w:before="40" w:after="40"/>
              <w:jc w:val="right"/>
            </w:pPr>
            <w:r w:rsidRPr="001D5327">
              <w:rPr>
                <w:rFonts w:eastAsia="Calibri"/>
                <w:color w:val="000000"/>
              </w:rPr>
              <w:t xml:space="preserve"> 58.6</w:t>
            </w:r>
          </w:p>
        </w:tc>
        <w:tc>
          <w:tcPr>
            <w:tcW w:w="0" w:type="auto"/>
            <w:shd w:val="clear" w:color="auto" w:fill="FFFFFF"/>
            <w:tcMar>
              <w:top w:w="0" w:type="dxa"/>
              <w:left w:w="85" w:type="dxa"/>
              <w:bottom w:w="0" w:type="dxa"/>
              <w:right w:w="85" w:type="dxa"/>
            </w:tcMar>
          </w:tcPr>
          <w:p w14:paraId="6D3D169C" w14:textId="77777777" w:rsidR="00680C72" w:rsidRPr="001D5327" w:rsidRDefault="00680C72" w:rsidP="00341FEF">
            <w:pPr>
              <w:pStyle w:val="TableText"/>
              <w:spacing w:before="40" w:after="40"/>
              <w:jc w:val="right"/>
            </w:pPr>
            <w:r w:rsidRPr="001D5327">
              <w:rPr>
                <w:rFonts w:eastAsia="Calibri"/>
                <w:color w:val="000000"/>
              </w:rPr>
              <w:t xml:space="preserve"> 51.4</w:t>
            </w:r>
          </w:p>
        </w:tc>
        <w:tc>
          <w:tcPr>
            <w:tcW w:w="0" w:type="auto"/>
            <w:shd w:val="clear" w:color="auto" w:fill="FFFFFF"/>
            <w:tcMar>
              <w:top w:w="0" w:type="dxa"/>
              <w:left w:w="85" w:type="dxa"/>
              <w:bottom w:w="0" w:type="dxa"/>
              <w:right w:w="85" w:type="dxa"/>
            </w:tcMar>
          </w:tcPr>
          <w:p w14:paraId="5B99489E" w14:textId="13986EF8" w:rsidR="00680C72" w:rsidRPr="001D5327" w:rsidRDefault="00BB6FBB" w:rsidP="00341FEF">
            <w:pPr>
              <w:pStyle w:val="TableText"/>
              <w:spacing w:before="40" w:after="40"/>
              <w:jc w:val="right"/>
            </w:pPr>
            <w:r>
              <w:rPr>
                <w:rFonts w:eastAsia="Calibri"/>
                <w:color w:val="000000"/>
              </w:rPr>
              <w:t>-</w:t>
            </w:r>
            <w:r w:rsidR="00680C72" w:rsidRPr="001D5327">
              <w:rPr>
                <w:rFonts w:eastAsia="Calibri"/>
                <w:color w:val="000000"/>
              </w:rPr>
              <w:t>7.2</w:t>
            </w:r>
          </w:p>
        </w:tc>
        <w:tc>
          <w:tcPr>
            <w:tcW w:w="0" w:type="auto"/>
            <w:shd w:val="clear" w:color="auto" w:fill="FFFFFF"/>
            <w:tcMar>
              <w:top w:w="0" w:type="dxa"/>
              <w:left w:w="85" w:type="dxa"/>
              <w:bottom w:w="0" w:type="dxa"/>
              <w:right w:w="85" w:type="dxa"/>
            </w:tcMar>
          </w:tcPr>
          <w:p w14:paraId="2283CF9C" w14:textId="61AD314E" w:rsidR="00680C72" w:rsidRPr="001D5327" w:rsidRDefault="00BB6FBB" w:rsidP="00341FEF">
            <w:pPr>
              <w:pStyle w:val="TableText"/>
              <w:spacing w:before="40" w:after="40"/>
              <w:jc w:val="right"/>
            </w:pPr>
            <w:r>
              <w:rPr>
                <w:rFonts w:eastAsia="Calibri"/>
                <w:color w:val="000000"/>
              </w:rPr>
              <w:t>-</w:t>
            </w:r>
            <w:r w:rsidR="00680C72" w:rsidRPr="001D5327">
              <w:rPr>
                <w:rFonts w:eastAsia="Calibri"/>
                <w:color w:val="000000"/>
              </w:rPr>
              <w:t>12.3</w:t>
            </w:r>
          </w:p>
        </w:tc>
      </w:tr>
    </w:tbl>
    <w:p w14:paraId="2DEEDD89" w14:textId="77777777" w:rsidR="00680C72" w:rsidRPr="001D5327" w:rsidRDefault="00680C72" w:rsidP="00680C72">
      <w:pPr>
        <w:pStyle w:val="Noteundertable"/>
      </w:pPr>
      <w:r w:rsidRPr="001D5327">
        <w:rPr>
          <w:b/>
          <w:bCs/>
        </w:rPr>
        <w:t>Note:</w:t>
      </w:r>
      <w:r w:rsidRPr="001D5327">
        <w:t xml:space="preserve"> Columns may not total due to rounding. Percentages presented are calculated from unrounded values.</w:t>
      </w:r>
    </w:p>
    <w:p w14:paraId="3FB5A763" w14:textId="77777777" w:rsidR="00680C72" w:rsidRPr="001D5327" w:rsidRDefault="00680C72" w:rsidP="00116FA9">
      <w:pPr>
        <w:pStyle w:val="Heading2"/>
        <w:tabs>
          <w:tab w:val="clear" w:pos="851"/>
          <w:tab w:val="left" w:pos="993"/>
        </w:tabs>
      </w:pPr>
      <w:bookmarkStart w:id="45" w:name="_Toc194311980"/>
      <w:bookmarkStart w:id="46" w:name="es.5-key-category-analysis"/>
      <w:bookmarkEnd w:id="42"/>
      <w:bookmarkEnd w:id="43"/>
      <w:r w:rsidRPr="001D5327">
        <w:t>ES.5</w:t>
      </w:r>
      <w:r w:rsidRPr="001D5327">
        <w:tab/>
        <w:t>Key category analysis</w:t>
      </w:r>
      <w:bookmarkEnd w:id="45"/>
    </w:p>
    <w:p w14:paraId="36E359E8" w14:textId="77777777" w:rsidR="00680C72" w:rsidRPr="001D5327" w:rsidRDefault="00680C72" w:rsidP="00680C72">
      <w:pPr>
        <w:pStyle w:val="BodyText"/>
      </w:pPr>
      <w:r w:rsidRPr="001D5327">
        <w:t>The 2006 IPCC Guidelines (IPCC, 2006) identify a key category as one that is prioritised within the national inventory system because its estimate has a significant influence on a country’s total inventory of direct GHGs in terms of the absolute level of emissions, the trend in emissions, or both. Key categories identified within the Inventory are used to prioritise where to improve emissions estimates.</w:t>
      </w:r>
    </w:p>
    <w:p w14:paraId="4AFCE40F" w14:textId="77777777" w:rsidR="00680C72" w:rsidRPr="001D5327" w:rsidRDefault="00680C72" w:rsidP="00680C72">
      <w:pPr>
        <w:pStyle w:val="BodyText"/>
      </w:pPr>
      <w:r w:rsidRPr="001D5327">
        <w:t>The categories that had the largest relative influence on the national trend in gross emissions were:</w:t>
      </w:r>
    </w:p>
    <w:p w14:paraId="62C5F7ED" w14:textId="0D442F07" w:rsidR="00680C72" w:rsidRPr="001D5327" w:rsidRDefault="00680C72" w:rsidP="00680C72">
      <w:pPr>
        <w:pStyle w:val="Bullet"/>
      </w:pPr>
      <w:r w:rsidRPr="001D5327">
        <w:t>CH</w:t>
      </w:r>
      <w:r w:rsidRPr="001D5327">
        <w:rPr>
          <w:vertAlign w:val="subscript"/>
        </w:rPr>
        <w:t>4</w:t>
      </w:r>
      <w:r w:rsidRPr="001D5327">
        <w:t xml:space="preserve"> emissions from </w:t>
      </w:r>
      <w:r w:rsidRPr="001D5327">
        <w:rPr>
          <w:i/>
          <w:iCs/>
        </w:rPr>
        <w:t>Enteric fermentation</w:t>
      </w:r>
      <w:r w:rsidRPr="001D5327">
        <w:t xml:space="preserve"> </w:t>
      </w:r>
      <w:r w:rsidR="00ED175D">
        <w:t>–</w:t>
      </w:r>
      <w:r w:rsidR="00ED175D" w:rsidRPr="00ED175D">
        <w:rPr>
          <w:i/>
          <w:iCs/>
        </w:rPr>
        <w:t xml:space="preserve"> </w:t>
      </w:r>
      <w:r w:rsidR="00ED175D" w:rsidRPr="001D5327">
        <w:rPr>
          <w:i/>
          <w:iCs/>
        </w:rPr>
        <w:t xml:space="preserve">Sheep </w:t>
      </w:r>
      <w:r w:rsidRPr="001D5327">
        <w:t>(22.6 per cent as a decrease)</w:t>
      </w:r>
    </w:p>
    <w:p w14:paraId="5FC52F30" w14:textId="37458A4E" w:rsidR="00680C72" w:rsidRPr="001D5327" w:rsidRDefault="00680C72" w:rsidP="00680C72">
      <w:pPr>
        <w:pStyle w:val="Bullet"/>
      </w:pPr>
      <w:r w:rsidRPr="001D5327">
        <w:t>CH</w:t>
      </w:r>
      <w:r w:rsidRPr="001D5327">
        <w:rPr>
          <w:vertAlign w:val="subscript"/>
        </w:rPr>
        <w:t>4</w:t>
      </w:r>
      <w:r w:rsidRPr="001D5327">
        <w:t xml:space="preserve"> emissions from </w:t>
      </w:r>
      <w:r w:rsidRPr="001D5327">
        <w:rPr>
          <w:i/>
          <w:iCs/>
        </w:rPr>
        <w:t>Enteric fermentation</w:t>
      </w:r>
      <w:r w:rsidRPr="001D5327">
        <w:t xml:space="preserve"> </w:t>
      </w:r>
      <w:r w:rsidR="00D76523">
        <w:t xml:space="preserve">– </w:t>
      </w:r>
      <w:r w:rsidR="00D76523" w:rsidRPr="001D5327">
        <w:rPr>
          <w:i/>
          <w:iCs/>
        </w:rPr>
        <w:t xml:space="preserve">Dairy cattle </w:t>
      </w:r>
      <w:r w:rsidRPr="001D5327">
        <w:t>(18.4 per cent as an increase)</w:t>
      </w:r>
    </w:p>
    <w:p w14:paraId="2AB03A74" w14:textId="77777777" w:rsidR="00680C72" w:rsidRPr="001D5327" w:rsidRDefault="00680C72" w:rsidP="00680C72">
      <w:pPr>
        <w:pStyle w:val="Bullet"/>
      </w:pPr>
      <w:r w:rsidRPr="001D5327">
        <w:t>CO</w:t>
      </w:r>
      <w:r w:rsidRPr="001D5327">
        <w:rPr>
          <w:vertAlign w:val="subscript"/>
        </w:rPr>
        <w:t>2</w:t>
      </w:r>
      <w:r w:rsidRPr="001D5327">
        <w:t xml:space="preserve"> emissions from </w:t>
      </w:r>
      <w:r w:rsidRPr="001D5327">
        <w:rPr>
          <w:i/>
          <w:iCs/>
        </w:rPr>
        <w:t>Road transportation – Liquid fuels</w:t>
      </w:r>
      <w:r w:rsidRPr="001D5327">
        <w:t xml:space="preserve"> (12.2 per cent as an increase)</w:t>
      </w:r>
    </w:p>
    <w:p w14:paraId="45BF2AD7" w14:textId="77777777" w:rsidR="00680C72" w:rsidRPr="001D5327" w:rsidRDefault="00680C72" w:rsidP="00680C72">
      <w:pPr>
        <w:pStyle w:val="Bullet"/>
      </w:pPr>
      <w:r w:rsidRPr="001D5327">
        <w:t>CO</w:t>
      </w:r>
      <w:r w:rsidRPr="001D5327">
        <w:rPr>
          <w:vertAlign w:val="subscript"/>
        </w:rPr>
        <w:t>2</w:t>
      </w:r>
      <w:r w:rsidRPr="001D5327">
        <w:t xml:space="preserve"> emissions from </w:t>
      </w:r>
      <w:r w:rsidRPr="001D5327">
        <w:rPr>
          <w:i/>
          <w:iCs/>
        </w:rPr>
        <w:t>Energy industries – Manufacture of solid fuels and other energy industries – Gaseous fuels</w:t>
      </w:r>
      <w:r w:rsidRPr="001D5327">
        <w:t xml:space="preserve"> (4.2 per cent as a decrease).</w:t>
      </w:r>
    </w:p>
    <w:p w14:paraId="51DB4482" w14:textId="77777777" w:rsidR="00680C72" w:rsidRPr="001D5327" w:rsidRDefault="00680C72" w:rsidP="00680C72">
      <w:pPr>
        <w:pStyle w:val="BodyText"/>
      </w:pPr>
      <w:r w:rsidRPr="001D5327">
        <w:t>The categories that had the largest relative influence on the trend in net emissions were:</w:t>
      </w:r>
    </w:p>
    <w:p w14:paraId="63E0173A" w14:textId="77777777" w:rsidR="00680C72" w:rsidRPr="001D5327" w:rsidRDefault="00680C72" w:rsidP="00680C72">
      <w:pPr>
        <w:pStyle w:val="Bullet"/>
      </w:pPr>
      <w:r w:rsidRPr="001D5327">
        <w:t>CO</w:t>
      </w:r>
      <w:r w:rsidRPr="001D5327">
        <w:rPr>
          <w:vertAlign w:val="subscript"/>
        </w:rPr>
        <w:t>2</w:t>
      </w:r>
      <w:r w:rsidRPr="001D5327">
        <w:t xml:space="preserve"> emissions from </w:t>
      </w:r>
      <w:r w:rsidRPr="001D5327">
        <w:rPr>
          <w:i/>
          <w:iCs/>
        </w:rPr>
        <w:t>Carbon stock change – Forest land remaining forest land</w:t>
      </w:r>
      <w:r w:rsidRPr="001D5327">
        <w:t xml:space="preserve"> (16.2 per cent as a decrease)</w:t>
      </w:r>
    </w:p>
    <w:p w14:paraId="26E7EA68" w14:textId="184789CF" w:rsidR="00680C72" w:rsidRPr="001D5327" w:rsidRDefault="00680C72" w:rsidP="00680C72">
      <w:pPr>
        <w:pStyle w:val="Bullet"/>
      </w:pPr>
      <w:r w:rsidRPr="001D5327">
        <w:t>CH</w:t>
      </w:r>
      <w:r w:rsidRPr="001D5327">
        <w:rPr>
          <w:vertAlign w:val="subscript"/>
        </w:rPr>
        <w:t>4</w:t>
      </w:r>
      <w:r w:rsidRPr="001D5327">
        <w:t xml:space="preserve"> emissions from </w:t>
      </w:r>
      <w:r w:rsidRPr="001D5327">
        <w:rPr>
          <w:i/>
          <w:iCs/>
        </w:rPr>
        <w:t>Enteric fermentation</w:t>
      </w:r>
      <w:r w:rsidRPr="001D5327">
        <w:t xml:space="preserve"> </w:t>
      </w:r>
      <w:r w:rsidR="009C467F">
        <w:t>–</w:t>
      </w:r>
      <w:r w:rsidR="009C467F" w:rsidRPr="009C467F">
        <w:rPr>
          <w:i/>
          <w:iCs/>
        </w:rPr>
        <w:t xml:space="preserve"> </w:t>
      </w:r>
      <w:r w:rsidR="009C467F" w:rsidRPr="001D5327">
        <w:rPr>
          <w:i/>
          <w:iCs/>
        </w:rPr>
        <w:t xml:space="preserve">Sheep </w:t>
      </w:r>
      <w:r w:rsidRPr="001D5327">
        <w:t>(16.2 per cent as a decrease)</w:t>
      </w:r>
    </w:p>
    <w:p w14:paraId="2A18658F" w14:textId="77777777" w:rsidR="00680C72" w:rsidRPr="001D5327" w:rsidRDefault="00680C72" w:rsidP="00680C72">
      <w:pPr>
        <w:pStyle w:val="Bullet"/>
      </w:pPr>
      <w:r w:rsidRPr="001D5327">
        <w:t>CO</w:t>
      </w:r>
      <w:r w:rsidRPr="001D5327">
        <w:rPr>
          <w:vertAlign w:val="subscript"/>
        </w:rPr>
        <w:t>2</w:t>
      </w:r>
      <w:r w:rsidRPr="001D5327">
        <w:t xml:space="preserve"> emissions from </w:t>
      </w:r>
      <w:r w:rsidRPr="001D5327">
        <w:rPr>
          <w:i/>
          <w:iCs/>
        </w:rPr>
        <w:t xml:space="preserve">Carbon stock change – Land converted to forest land </w:t>
      </w:r>
      <w:r w:rsidRPr="001D5327">
        <w:t>(13.6 per cent as an increase)</w:t>
      </w:r>
    </w:p>
    <w:p w14:paraId="04FCE742" w14:textId="75A3A6FC" w:rsidR="00680C72" w:rsidRPr="001D5327" w:rsidRDefault="00680C72" w:rsidP="00680C72">
      <w:pPr>
        <w:pStyle w:val="Bullet"/>
      </w:pPr>
      <w:r w:rsidRPr="001D5327">
        <w:t>CH</w:t>
      </w:r>
      <w:r w:rsidRPr="001D5327">
        <w:rPr>
          <w:vertAlign w:val="subscript"/>
        </w:rPr>
        <w:t>4</w:t>
      </w:r>
      <w:r w:rsidRPr="001D5327">
        <w:t xml:space="preserve"> emissions from </w:t>
      </w:r>
      <w:r w:rsidRPr="001D5327">
        <w:rPr>
          <w:i/>
          <w:iCs/>
        </w:rPr>
        <w:t>Enteric fermentation</w:t>
      </w:r>
      <w:r w:rsidRPr="001D5327">
        <w:t xml:space="preserve"> </w:t>
      </w:r>
      <w:r w:rsidR="009C467F">
        <w:t xml:space="preserve">– </w:t>
      </w:r>
      <w:r w:rsidR="009C467F" w:rsidRPr="001D5327">
        <w:rPr>
          <w:i/>
          <w:iCs/>
        </w:rPr>
        <w:t xml:space="preserve">Dairy cattle </w:t>
      </w:r>
      <w:r w:rsidRPr="001D5327">
        <w:t>(8.7 per cent as an increase).</w:t>
      </w:r>
    </w:p>
    <w:p w14:paraId="75408D50" w14:textId="33AC3389" w:rsidR="00680C72" w:rsidRPr="001D5327" w:rsidRDefault="00680C72" w:rsidP="00680C72">
      <w:pPr>
        <w:pStyle w:val="BodyText"/>
      </w:pPr>
      <w:r w:rsidRPr="001D5327">
        <w:t xml:space="preserve">Details and results of the key category assessments are presented in </w:t>
      </w:r>
      <w:r w:rsidR="00D449D7">
        <w:t>a</w:t>
      </w:r>
      <w:r w:rsidRPr="001D5327">
        <w:t>nnex 1.</w:t>
      </w:r>
    </w:p>
    <w:p w14:paraId="487A3B0F" w14:textId="77777777" w:rsidR="00680C72" w:rsidRPr="001D5327" w:rsidRDefault="00680C72" w:rsidP="00680C72">
      <w:pPr>
        <w:pStyle w:val="Heading2"/>
        <w:ind w:left="993" w:hanging="993"/>
      </w:pPr>
      <w:bookmarkStart w:id="47" w:name="_Toc194311981"/>
      <w:bookmarkStart w:id="48" w:name="es.6-improvements-introduced"/>
      <w:bookmarkEnd w:id="46"/>
      <w:r w:rsidRPr="001D5327">
        <w:lastRenderedPageBreak/>
        <w:t>ES.6</w:t>
      </w:r>
      <w:r w:rsidRPr="001D5327">
        <w:tab/>
        <w:t>Improvements introduced</w:t>
      </w:r>
      <w:bookmarkEnd w:id="47"/>
    </w:p>
    <w:p w14:paraId="1438982D" w14:textId="77777777" w:rsidR="00680C72" w:rsidRPr="001D5327" w:rsidRDefault="00680C72" w:rsidP="00680C72">
      <w:pPr>
        <w:pStyle w:val="BodyText"/>
      </w:pPr>
      <w:r w:rsidRPr="001D5327">
        <w:t xml:space="preserve">The Inventory follows a process of continuous improvement consistent with the IPCC </w:t>
      </w:r>
      <w:r w:rsidRPr="001D5327">
        <w:rPr>
          <w:spacing w:val="-2"/>
        </w:rPr>
        <w:t>principles. The 2006 IPCC Guidelines (IPCC, 2006) provide guidance on building and maintainin</w:t>
      </w:r>
      <w:r w:rsidRPr="001D5327">
        <w:t>g inventories that are consistent, comparable, complete, accurate and transparent in a manner that improves the quality of the Inventory over time. Improvements are made from year to year, to follow recommendations from international expert review teams, correct errors and implement additional changes planned by the agencies involved in preparing the Inventory.</w:t>
      </w:r>
    </w:p>
    <w:p w14:paraId="5A32B523" w14:textId="77777777" w:rsidR="00680C72" w:rsidRPr="001D5327" w:rsidRDefault="00680C72" w:rsidP="00680C72">
      <w:pPr>
        <w:pStyle w:val="BodyText"/>
      </w:pPr>
      <w:r w:rsidRPr="001D5327">
        <w:t>When improvements are made, it is good practice to recalculate the whole time series back to 1990 to ensure a consistent time series. This means estimates of emissions and/or removals in a given year may differ from emissions and/or removals reported in the previous submission.</w:t>
      </w:r>
    </w:p>
    <w:p w14:paraId="665BE1CB" w14:textId="77777777" w:rsidR="00680C72" w:rsidRPr="001D5327" w:rsidRDefault="00680C72" w:rsidP="00680C72">
      <w:pPr>
        <w:pStyle w:val="BodyText"/>
      </w:pPr>
      <w:r w:rsidRPr="001D5327">
        <w:t>A range of improvements has been made to the Inventory since the last submission. The main improvements by sector are outlined below. Chapter 10 provides further information on the recalculations made to the estimates.</w:t>
      </w:r>
    </w:p>
    <w:p w14:paraId="6DF22008" w14:textId="77777777" w:rsidR="00680C72" w:rsidRPr="001D5327" w:rsidRDefault="00680C72" w:rsidP="00680C72">
      <w:pPr>
        <w:pStyle w:val="BodyText"/>
      </w:pPr>
      <w:r w:rsidRPr="001D5327">
        <w:t>The overall impact of improvements on New Zealand’s gross emissions was a decrease of 1.9 per cent (1,279.3 kt CO</w:t>
      </w:r>
      <w:r w:rsidRPr="001D5327">
        <w:rPr>
          <w:vertAlign w:val="subscript"/>
        </w:rPr>
        <w:t>2</w:t>
      </w:r>
      <w:r w:rsidRPr="001D5327">
        <w:t>-e) in 1990 and a decrease of 0.5 per cent (412.2 kt CO</w:t>
      </w:r>
      <w:r w:rsidRPr="001D5327">
        <w:rPr>
          <w:vertAlign w:val="subscript"/>
        </w:rPr>
        <w:t>2</w:t>
      </w:r>
      <w:r w:rsidRPr="001D5327">
        <w:t>-e) in 2022.</w:t>
      </w:r>
    </w:p>
    <w:p w14:paraId="7CC3B356" w14:textId="77777777" w:rsidR="00680C72" w:rsidRPr="001D5327" w:rsidRDefault="00680C72" w:rsidP="00680C72">
      <w:pPr>
        <w:pStyle w:val="BodyText"/>
      </w:pPr>
      <w:r w:rsidRPr="001D5327">
        <w:t>The overall impact of improvements on New Zealand’s net emissions estimates, which include the LULUCF sector, was a decrease of 2.9 per cent (1,288.7 kt CO</w:t>
      </w:r>
      <w:r w:rsidRPr="001D5327">
        <w:rPr>
          <w:vertAlign w:val="subscript"/>
        </w:rPr>
        <w:t>2</w:t>
      </w:r>
      <w:r w:rsidRPr="001D5327">
        <w:t>-e) in 1990 and a decrease of 0.9 per cent (546.2 kt CO</w:t>
      </w:r>
      <w:r w:rsidRPr="001D5327">
        <w:rPr>
          <w:vertAlign w:val="subscript"/>
        </w:rPr>
        <w:t>2</w:t>
      </w:r>
      <w:r w:rsidRPr="001D5327">
        <w:t>-e) in 2022.</w:t>
      </w:r>
    </w:p>
    <w:p w14:paraId="7AC3E1C0" w14:textId="77777777" w:rsidR="00680C72" w:rsidRPr="001D5327" w:rsidRDefault="00680C72" w:rsidP="00680C72">
      <w:pPr>
        <w:pStyle w:val="BodyText"/>
      </w:pPr>
      <w:r w:rsidRPr="001D5327">
        <w:t>The emissions impact of improvements introduced are provided in relation to 1990 and the previous year inventoried, as that is the last year in the time series that can be compared using previous methods.</w:t>
      </w:r>
    </w:p>
    <w:p w14:paraId="47B8782A" w14:textId="77777777" w:rsidR="00680C72" w:rsidRPr="001D5327" w:rsidRDefault="00680C72" w:rsidP="00680C72">
      <w:pPr>
        <w:pStyle w:val="Heading3"/>
      </w:pPr>
      <w:bookmarkStart w:id="49" w:name="energy-chapter-3-1"/>
      <w:r w:rsidRPr="001D5327">
        <w:t>Energy (chapter 3)</w:t>
      </w:r>
    </w:p>
    <w:p w14:paraId="0AE6AF04" w14:textId="77777777" w:rsidR="00680C72" w:rsidRPr="001D5327" w:rsidRDefault="00680C72" w:rsidP="00680C72">
      <w:pPr>
        <w:pStyle w:val="BodyText"/>
      </w:pPr>
      <w:r w:rsidRPr="001D5327">
        <w:t>Improvements and recalculations made to the Energy sector have resulted in an increase of 0.01 per cent (1.4 kt CO</w:t>
      </w:r>
      <w:r w:rsidRPr="001D5327">
        <w:rPr>
          <w:vertAlign w:val="subscript"/>
        </w:rPr>
        <w:t>2</w:t>
      </w:r>
      <w:r w:rsidRPr="001D5327">
        <w:t>-e) in estimated energy emissions for 1990 and an increase of 1.3 per cent (359.9 kt CO</w:t>
      </w:r>
      <w:r w:rsidRPr="001D5327">
        <w:rPr>
          <w:vertAlign w:val="subscript"/>
        </w:rPr>
        <w:t>2</w:t>
      </w:r>
      <w:r w:rsidRPr="001D5327">
        <w:t>-e) in estimated energy emissions for 2022.</w:t>
      </w:r>
    </w:p>
    <w:p w14:paraId="4ED4D211" w14:textId="77777777" w:rsidR="00680C72" w:rsidRPr="001D5327" w:rsidRDefault="00680C72" w:rsidP="00680C72">
      <w:pPr>
        <w:pStyle w:val="BodyText"/>
      </w:pPr>
      <w:r w:rsidRPr="001D5327">
        <w:rPr>
          <w:spacing w:val="-2"/>
        </w:rPr>
        <w:t>The improvements include a methodological improvement, a refinement to the implementation</w:t>
      </w:r>
      <w:r w:rsidRPr="001D5327">
        <w:t xml:space="preserve"> of software code and various changes to the underlying energy activity data. Further details on source-specific improvements are provided in their corresponding sections in chapter 3.</w:t>
      </w:r>
    </w:p>
    <w:p w14:paraId="558BB70F" w14:textId="77777777" w:rsidR="00680C72" w:rsidRPr="001D5327" w:rsidRDefault="00680C72" w:rsidP="00680C72">
      <w:pPr>
        <w:pStyle w:val="Heading3"/>
      </w:pPr>
      <w:bookmarkStart w:id="50" w:name="ippu-chapter-4-1"/>
      <w:bookmarkEnd w:id="49"/>
      <w:r w:rsidRPr="001D5327">
        <w:t>IPPU (chapter 4)</w:t>
      </w:r>
    </w:p>
    <w:p w14:paraId="6BFA8EF7" w14:textId="77777777" w:rsidR="00680C72" w:rsidRPr="001D5327" w:rsidRDefault="00680C72" w:rsidP="00680C72">
      <w:pPr>
        <w:pStyle w:val="BodyText"/>
      </w:pPr>
      <w:r w:rsidRPr="001D5327">
        <w:t>Improvements and recalculations made to the IPPU sector have resulted in an increase of 0.1 per cent (4.9 kt CO</w:t>
      </w:r>
      <w:r w:rsidRPr="001D5327">
        <w:rPr>
          <w:vertAlign w:val="subscript"/>
        </w:rPr>
        <w:t>2</w:t>
      </w:r>
      <w:r w:rsidRPr="001D5327">
        <w:t>-e) in estimated IPPU emissions in 1990 and a decrease of 0.6 per cent (25.2 kt CO</w:t>
      </w:r>
      <w:r w:rsidRPr="001D5327">
        <w:rPr>
          <w:vertAlign w:val="subscript"/>
        </w:rPr>
        <w:t>2</w:t>
      </w:r>
      <w:r w:rsidRPr="001D5327">
        <w:t>-e) in estimated IPPU emissions in 2022.</w:t>
      </w:r>
    </w:p>
    <w:p w14:paraId="064B95BE" w14:textId="77777777" w:rsidR="00680C72" w:rsidRPr="001D5327" w:rsidRDefault="00680C72" w:rsidP="00680C72">
      <w:pPr>
        <w:pStyle w:val="BodyText"/>
      </w:pPr>
      <w:r w:rsidRPr="001D5327">
        <w:t xml:space="preserve">Several improvements to the </w:t>
      </w:r>
      <w:r w:rsidRPr="001D5327">
        <w:rPr>
          <w:i/>
          <w:iCs/>
        </w:rPr>
        <w:t>Refrigeration and air conditioning</w:t>
      </w:r>
      <w:r w:rsidRPr="001D5327">
        <w:t xml:space="preserve"> category were undertaken, to better account for changes in stocks held by importers and users. </w:t>
      </w:r>
    </w:p>
    <w:p w14:paraId="1CBC3ED1" w14:textId="77777777" w:rsidR="00680C72" w:rsidRPr="001D5327" w:rsidRDefault="00680C72" w:rsidP="00680C72">
      <w:pPr>
        <w:pStyle w:val="BodyText"/>
      </w:pPr>
      <w:r w:rsidRPr="001D5327">
        <w:t>Further details on source-specific improvements are provided in their corresponding sections in chapter 4.</w:t>
      </w:r>
    </w:p>
    <w:p w14:paraId="7CC29284" w14:textId="77777777" w:rsidR="00680C72" w:rsidRPr="001D5327" w:rsidRDefault="00680C72" w:rsidP="00680C72">
      <w:pPr>
        <w:pStyle w:val="Heading3"/>
      </w:pPr>
      <w:bookmarkStart w:id="51" w:name="agriculture-chapter-5-1"/>
      <w:bookmarkEnd w:id="50"/>
      <w:r w:rsidRPr="001D5327">
        <w:lastRenderedPageBreak/>
        <w:t>Agriculture (chapter 5)</w:t>
      </w:r>
    </w:p>
    <w:p w14:paraId="4F7BD3CE" w14:textId="77777777" w:rsidR="00680C72" w:rsidRPr="001D5327" w:rsidRDefault="00680C72" w:rsidP="00680C72">
      <w:pPr>
        <w:pStyle w:val="BodyText"/>
      </w:pPr>
      <w:r w:rsidRPr="001D5327">
        <w:t>Improvements and recalculations made to the Agriculture sector have resulted in a decrease of 0.6 per cent (206.4 kt CO</w:t>
      </w:r>
      <w:r w:rsidRPr="001D5327">
        <w:rPr>
          <w:vertAlign w:val="subscript"/>
        </w:rPr>
        <w:t>2</w:t>
      </w:r>
      <w:r w:rsidRPr="001D5327">
        <w:t>-e) in estimated agriculture emissions in 1990 and a decrease of 0.5 per cent (191.3 kt CO</w:t>
      </w:r>
      <w:r w:rsidRPr="001D5327">
        <w:rPr>
          <w:vertAlign w:val="subscript"/>
        </w:rPr>
        <w:t>2</w:t>
      </w:r>
      <w:r w:rsidRPr="001D5327">
        <w:t>-e) in estimated agriculture emissions in 2022.</w:t>
      </w:r>
    </w:p>
    <w:p w14:paraId="5C79576E" w14:textId="77777777" w:rsidR="00680C72" w:rsidRPr="001D5327" w:rsidRDefault="00680C72" w:rsidP="00680C72">
      <w:pPr>
        <w:pStyle w:val="BodyText"/>
      </w:pPr>
      <w:r w:rsidRPr="001D5327">
        <w:t xml:space="preserve">The improvements included improved species population statistics, energy requirements, emissions factors and productivity statistics, reporting on non-manure organic amendments to soils and error corrections. </w:t>
      </w:r>
    </w:p>
    <w:p w14:paraId="361C0FBF" w14:textId="77777777" w:rsidR="00680C72" w:rsidRPr="001D5327" w:rsidRDefault="00680C72" w:rsidP="00680C72">
      <w:pPr>
        <w:pStyle w:val="BodyText"/>
      </w:pPr>
      <w:r w:rsidRPr="001D5327">
        <w:t>Further details are provided in the corresponding section in chapter 5.</w:t>
      </w:r>
    </w:p>
    <w:p w14:paraId="6D94E4BB" w14:textId="77777777" w:rsidR="00680C72" w:rsidRPr="001D5327" w:rsidRDefault="00680C72" w:rsidP="00791CD7">
      <w:pPr>
        <w:pStyle w:val="Heading3"/>
        <w:spacing w:before="240"/>
      </w:pPr>
      <w:bookmarkStart w:id="52" w:name="lulucf-chapter-6-1"/>
      <w:bookmarkEnd w:id="51"/>
      <w:r w:rsidRPr="001D5327">
        <w:t>LULUCF (chapter 6)</w:t>
      </w:r>
    </w:p>
    <w:p w14:paraId="0417CBAE" w14:textId="77777777" w:rsidR="00680C72" w:rsidRPr="001D5327" w:rsidRDefault="00680C72" w:rsidP="00680C72">
      <w:pPr>
        <w:pStyle w:val="BodyText"/>
      </w:pPr>
      <w:r w:rsidRPr="001D5327">
        <w:t>Improvements and recalculations made to the LULUCF sector have resulted in an increase of 0.04 per cent (9.4 kt CO</w:t>
      </w:r>
      <w:r w:rsidRPr="001D5327">
        <w:rPr>
          <w:vertAlign w:val="subscript"/>
        </w:rPr>
        <w:t>2</w:t>
      </w:r>
      <w:r w:rsidRPr="001D5327">
        <w:t>-e) in estimated net LULUCF removals in 1990 and an increase of 0.7 per cent (133.9 kt CO</w:t>
      </w:r>
      <w:r w:rsidRPr="001D5327">
        <w:rPr>
          <w:vertAlign w:val="subscript"/>
        </w:rPr>
        <w:t>2</w:t>
      </w:r>
      <w:r w:rsidRPr="001D5327">
        <w:t>-e) in estimated net LULUCF removals in 2022.</w:t>
      </w:r>
    </w:p>
    <w:p w14:paraId="1FED7B80" w14:textId="77777777" w:rsidR="00680C72" w:rsidRPr="001D5327" w:rsidRDefault="00680C72" w:rsidP="00680C72">
      <w:pPr>
        <w:pStyle w:val="BodyText"/>
      </w:pPr>
      <w:r w:rsidRPr="001D5327">
        <w:t>No methodological improvements were applied in the LULUCF sector for this submission, however, improvements were made to emissions estimates, as a result of updates to activity data arising from regular mapping improvements.</w:t>
      </w:r>
    </w:p>
    <w:p w14:paraId="74A79432" w14:textId="77777777" w:rsidR="00680C72" w:rsidRPr="001D5327" w:rsidRDefault="00680C72" w:rsidP="00680C72">
      <w:pPr>
        <w:pStyle w:val="BodyText"/>
      </w:pPr>
      <w:r w:rsidRPr="001D5327">
        <w:t>Further details on source-specific improvements are provided in their corresponding sections in chapter 6.</w:t>
      </w:r>
    </w:p>
    <w:p w14:paraId="5BED32EE" w14:textId="77777777" w:rsidR="00680C72" w:rsidRPr="001D5327" w:rsidRDefault="00680C72" w:rsidP="00791CD7">
      <w:pPr>
        <w:pStyle w:val="Heading3"/>
        <w:spacing w:before="240"/>
      </w:pPr>
      <w:bookmarkStart w:id="53" w:name="waste-chapter-7-1"/>
      <w:bookmarkEnd w:id="52"/>
      <w:r w:rsidRPr="001D5327">
        <w:t>Waste (chapter 7)</w:t>
      </w:r>
    </w:p>
    <w:p w14:paraId="35C7BC8A" w14:textId="77777777" w:rsidR="00680C72" w:rsidRPr="001D5327" w:rsidRDefault="00680C72" w:rsidP="00680C72">
      <w:pPr>
        <w:pStyle w:val="BodyText"/>
      </w:pPr>
      <w:r w:rsidRPr="001D5327">
        <w:t>Improvements and recalculations made to estimates in the Waste sector have resulted in a 24.8 per cent (1,079.2 kt CO</w:t>
      </w:r>
      <w:r w:rsidRPr="001D5327">
        <w:rPr>
          <w:vertAlign w:val="subscript"/>
        </w:rPr>
        <w:t>2</w:t>
      </w:r>
      <w:r w:rsidRPr="001D5327">
        <w:t>-e) decrease in emissions in 1990 and a 15.9 per cent (555.6 kt CO</w:t>
      </w:r>
      <w:r w:rsidRPr="001D5327">
        <w:rPr>
          <w:vertAlign w:val="subscript"/>
        </w:rPr>
        <w:t>2</w:t>
      </w:r>
      <w:r w:rsidRPr="001D5327">
        <w:t>-e) decrease in emissions in 2022.</w:t>
      </w:r>
    </w:p>
    <w:p w14:paraId="4A98B912" w14:textId="77777777" w:rsidR="00680C72" w:rsidRPr="001D5327" w:rsidRDefault="00680C72" w:rsidP="00680C72">
      <w:pPr>
        <w:pStyle w:val="BodyText"/>
      </w:pPr>
      <w:r w:rsidRPr="001D5327">
        <w:t xml:space="preserve">For the 2025 submission, significant updates have been introduced to three source categories: </w:t>
      </w:r>
      <w:r w:rsidRPr="001D5327">
        <w:rPr>
          <w:i/>
          <w:iCs/>
        </w:rPr>
        <w:t>Managed waste disposal sites</w:t>
      </w:r>
      <w:r w:rsidRPr="001D5327">
        <w:t xml:space="preserve">, </w:t>
      </w:r>
      <w:r w:rsidRPr="001D5327">
        <w:rPr>
          <w:i/>
          <w:iCs/>
        </w:rPr>
        <w:t>Unmanaged waste disposal sites</w:t>
      </w:r>
      <w:r w:rsidRPr="001D5327">
        <w:t xml:space="preserve"> and </w:t>
      </w:r>
      <w:r w:rsidRPr="001D5327">
        <w:rPr>
          <w:i/>
          <w:iCs/>
        </w:rPr>
        <w:t>Anaerobic digestion</w:t>
      </w:r>
      <w:r w:rsidRPr="001D5327">
        <w:t>.</w:t>
      </w:r>
    </w:p>
    <w:p w14:paraId="6000D78E" w14:textId="77777777" w:rsidR="00680C72" w:rsidRPr="001D5327" w:rsidRDefault="00680C72" w:rsidP="00680C72">
      <w:pPr>
        <w:pStyle w:val="BodyText"/>
      </w:pPr>
      <w:r w:rsidRPr="001D5327">
        <w:t>Further details on source-specific improvements are provided in their corresponding sections in chapter 7.</w:t>
      </w:r>
    </w:p>
    <w:p w14:paraId="1B5A51A2" w14:textId="77777777" w:rsidR="00680C72" w:rsidRPr="001D5327" w:rsidRDefault="00680C72" w:rsidP="00791CD7">
      <w:pPr>
        <w:pStyle w:val="Heading3"/>
        <w:spacing w:before="240"/>
      </w:pPr>
      <w:bookmarkStart w:id="54" w:name="other-tokelau-chapter-8-1"/>
      <w:bookmarkEnd w:id="53"/>
      <w:r w:rsidRPr="001D5327">
        <w:t>Other (Tokelau – chapter 8)</w:t>
      </w:r>
    </w:p>
    <w:p w14:paraId="72FA6EAB" w14:textId="77777777" w:rsidR="00680C72" w:rsidRPr="001D5327" w:rsidRDefault="00680C72" w:rsidP="00680C72">
      <w:pPr>
        <w:pStyle w:val="BodyText"/>
      </w:pPr>
      <w:r w:rsidRPr="001D5327">
        <w:t>Improvements and recalculations made to estimates in Tokelau have resulted in a decrease of 0.03 per cent (0.001 kt CO</w:t>
      </w:r>
      <w:r w:rsidRPr="001D5327">
        <w:rPr>
          <w:vertAlign w:val="subscript"/>
        </w:rPr>
        <w:t>2</w:t>
      </w:r>
      <w:r w:rsidRPr="001D5327">
        <w:t>-e) in estimated Tokelau emissions in 1990 and an increase of 0.1 per cent (0.004 kt CO</w:t>
      </w:r>
      <w:r w:rsidRPr="001D5327">
        <w:rPr>
          <w:vertAlign w:val="subscript"/>
        </w:rPr>
        <w:t>2</w:t>
      </w:r>
      <w:r w:rsidRPr="001D5327">
        <w:t xml:space="preserve">-e) in estimated Tokelau emissions in 2022. </w:t>
      </w:r>
    </w:p>
    <w:p w14:paraId="0C748684" w14:textId="77777777" w:rsidR="00680C72" w:rsidRPr="001D5327" w:rsidRDefault="00680C72" w:rsidP="00680C72">
      <w:pPr>
        <w:pStyle w:val="BodyText"/>
      </w:pPr>
      <w:r w:rsidRPr="001D5327">
        <w:t xml:space="preserve">One minor recalculation has been made in the Tokelau emissions estimates since the 2024 submission. This change was due to updates in New Zealand’s medical emissions data, which are assumed to be the same per capita in Tokelau. </w:t>
      </w:r>
    </w:p>
    <w:p w14:paraId="6D593B1C" w14:textId="77777777" w:rsidR="00680C72" w:rsidRPr="001D5327" w:rsidRDefault="00680C72" w:rsidP="00680C72">
      <w:pPr>
        <w:pStyle w:val="BodyText"/>
      </w:pPr>
      <w:r w:rsidRPr="001D5327">
        <w:t>Further details are provided in the corresponding section in chapter 8.</w:t>
      </w:r>
    </w:p>
    <w:p w14:paraId="133D941D" w14:textId="77777777" w:rsidR="00680C72" w:rsidRPr="001D5327" w:rsidRDefault="00680C72" w:rsidP="00680C72">
      <w:pPr>
        <w:pStyle w:val="Heading3"/>
      </w:pPr>
      <w:bookmarkStart w:id="55" w:name="Xfefb940a4f195fdf3cba221b6def840433b79bc"/>
      <w:bookmarkEnd w:id="54"/>
      <w:r w:rsidRPr="001D5327">
        <w:t>Improvements to national inventory system</w:t>
      </w:r>
    </w:p>
    <w:p w14:paraId="3C67E897" w14:textId="77777777" w:rsidR="00680C72" w:rsidRPr="001D5327" w:rsidRDefault="00680C72" w:rsidP="00680C72">
      <w:pPr>
        <w:pStyle w:val="BodyText"/>
      </w:pPr>
      <w:r w:rsidRPr="001D5327">
        <w:t>No changes were made to the legal or institutional arrangements of the national inventory system.</w:t>
      </w:r>
    </w:p>
    <w:p w14:paraId="735DC25D" w14:textId="77777777" w:rsidR="00680C72" w:rsidRPr="001D5327" w:rsidRDefault="00680C72" w:rsidP="00680C72">
      <w:pPr>
        <w:pStyle w:val="Heading2"/>
        <w:spacing w:after="360"/>
      </w:pPr>
      <w:bookmarkStart w:id="56" w:name="_Toc194311982"/>
      <w:bookmarkStart w:id="57" w:name="executive-summary-references"/>
      <w:bookmarkEnd w:id="48"/>
      <w:bookmarkEnd w:id="55"/>
      <w:r w:rsidRPr="001D5327">
        <w:lastRenderedPageBreak/>
        <w:t>Executive summary: References</w:t>
      </w:r>
      <w:bookmarkEnd w:id="56"/>
    </w:p>
    <w:p w14:paraId="6EF6663D" w14:textId="77777777" w:rsidR="00680C72" w:rsidRPr="001D5327" w:rsidRDefault="00680C72" w:rsidP="00680C72">
      <w:pPr>
        <w:pStyle w:val="References"/>
      </w:pPr>
      <w:r w:rsidRPr="001D5327">
        <w:t xml:space="preserve">IPCC. 2006. Eggleston HS, Buendia L, Miwa K, Ngara T, Tanabe K (eds). </w:t>
      </w:r>
      <w:r w:rsidRPr="001D5327">
        <w:rPr>
          <w:i/>
          <w:iCs/>
        </w:rPr>
        <w:t>2006 IPCC Guidelines for National Greenhouse Gas Inventories. Volume 1. General Guidance and Reporting</w:t>
      </w:r>
      <w:r w:rsidRPr="001D5327">
        <w:t xml:space="preserve"> IPCC National Greenhouse Gas Inventories Programme. Japan: Institute for Global Environmental Strategies for IPCC.</w:t>
      </w:r>
    </w:p>
    <w:p w14:paraId="7DBD271F" w14:textId="77777777" w:rsidR="00680C72" w:rsidRPr="001D5327" w:rsidRDefault="00680C72" w:rsidP="00680C72">
      <w:pPr>
        <w:pStyle w:val="References"/>
      </w:pPr>
      <w:r w:rsidRPr="001D5327">
        <w:t xml:space="preserve">UNFCCC. 2018. FCCC/PA/CMA/2018/3/Add.2. </w:t>
      </w:r>
      <w:r w:rsidRPr="001D5327">
        <w:rPr>
          <w:i/>
          <w:iCs/>
        </w:rPr>
        <w:t>Report of the Conference of the Parties serving as the meeting of the Parties to the Paris Agreement on the third part of its first session, held in Katowice from 2 to 15 December 2018. Addendum 2. Part two: Action taken by the Conference of the Parties serving as the meeting of the Parties to the Paris Agreement.</w:t>
      </w:r>
    </w:p>
    <w:p w14:paraId="5C92BEEE" w14:textId="77777777" w:rsidR="00680C72" w:rsidRPr="001D5327" w:rsidRDefault="00680C72" w:rsidP="00680C72">
      <w:pPr>
        <w:pStyle w:val="References"/>
      </w:pPr>
      <w:r w:rsidRPr="001D5327">
        <w:t xml:space="preserve">UNFCCC. 2021. FCCC/PA/CMA/2021/10/Add.2. </w:t>
      </w:r>
      <w:r w:rsidRPr="001D5327">
        <w:rPr>
          <w:i/>
          <w:iCs/>
        </w:rPr>
        <w:t>Report of the Conference of the Parties serving as the meeting of the Parties to the Paris Agreement on its third session, held in Glasgow from 31 October to 13 November 2021. Addendum Part two: Action taken by the Conference of the Parties serving as the meeting of the Parties to the Paris Agreement at its third session.</w:t>
      </w:r>
      <w:bookmarkEnd w:id="9"/>
      <w:bookmarkEnd w:id="57"/>
    </w:p>
    <w:p w14:paraId="46E1357F" w14:textId="77777777" w:rsidR="00745BB7" w:rsidRPr="001D5327" w:rsidRDefault="00745BB7" w:rsidP="00E33B6A">
      <w:pPr>
        <w:pStyle w:val="BodyText"/>
      </w:pPr>
    </w:p>
    <w:p w14:paraId="174B3F71" w14:textId="77777777" w:rsidR="00745BB7" w:rsidRPr="001D5327" w:rsidRDefault="00745BB7" w:rsidP="00E33B6A">
      <w:pPr>
        <w:pStyle w:val="BodyText"/>
      </w:pPr>
    </w:p>
    <w:p w14:paraId="072FA7F7" w14:textId="77777777" w:rsidR="00745BB7" w:rsidRPr="001D5327" w:rsidRDefault="00745BB7" w:rsidP="00E33B6A">
      <w:pPr>
        <w:pStyle w:val="BodyText"/>
        <w:sectPr w:rsidR="00745BB7" w:rsidRPr="001D5327" w:rsidSect="003B0F83">
          <w:footerReference w:type="even" r:id="rId30"/>
          <w:pgSz w:w="11907" w:h="16840" w:code="9"/>
          <w:pgMar w:top="1418" w:right="1701" w:bottom="1418" w:left="1701" w:header="567" w:footer="567" w:gutter="0"/>
          <w:pgNumType w:fmt="lowerRoman"/>
          <w:cols w:space="720"/>
        </w:sectPr>
      </w:pPr>
    </w:p>
    <w:p w14:paraId="09BEAC7E" w14:textId="77777777" w:rsidR="009D798A" w:rsidRPr="001D5327" w:rsidRDefault="009D798A" w:rsidP="00795762">
      <w:pPr>
        <w:pStyle w:val="Heading1"/>
      </w:pPr>
      <w:bookmarkStart w:id="58" w:name="_Toc194311983"/>
      <w:bookmarkStart w:id="59" w:name="X18d7c565108da87a73efc46d9b0d12bf3e78adb"/>
      <w:r w:rsidRPr="001D5327">
        <w:lastRenderedPageBreak/>
        <w:t>Chapter 1: National circumstances, institutional arrangements and cross</w:t>
      </w:r>
      <w:r w:rsidRPr="001D5327">
        <w:noBreakHyphen/>
        <w:t>cutting information</w:t>
      </w:r>
      <w:bookmarkEnd w:id="58"/>
    </w:p>
    <w:p w14:paraId="72EC20E8" w14:textId="038200B2" w:rsidR="009D798A" w:rsidRPr="001D5327" w:rsidRDefault="009D798A" w:rsidP="00795762">
      <w:pPr>
        <w:pStyle w:val="Heading2"/>
        <w:spacing w:before="0"/>
      </w:pPr>
      <w:bookmarkStart w:id="60" w:name="_Toc194311984"/>
      <w:bookmarkStart w:id="61" w:name="Xc6889965ccdd81dd425e7e93a008c6e5b427bfe"/>
      <w:r w:rsidRPr="001D5327">
        <w:t>1.1</w:t>
      </w:r>
      <w:r w:rsidRPr="001D5327">
        <w:tab/>
        <w:t>Background information on greenhouse gas</w:t>
      </w:r>
      <w:r w:rsidR="00795762" w:rsidRPr="001D5327">
        <w:t> </w:t>
      </w:r>
      <w:r w:rsidRPr="001D5327">
        <w:t>inventories and climate change</w:t>
      </w:r>
      <w:bookmarkEnd w:id="60"/>
    </w:p>
    <w:p w14:paraId="67B75AE4" w14:textId="77777777" w:rsidR="009D798A" w:rsidRPr="001D5327" w:rsidRDefault="009D798A" w:rsidP="00407428">
      <w:pPr>
        <w:pStyle w:val="BodyText"/>
        <w:spacing w:before="100" w:after="100"/>
        <w:rPr>
          <w:spacing w:val="-2"/>
        </w:rPr>
      </w:pPr>
      <w:r w:rsidRPr="001D5327">
        <w:t xml:space="preserve">Greenhouse gases (GHGs) in Earth’s atmosphere trap warmth from the sun and make life as we know it possible. The Intergovernmental Panel on Climate Change (IPCC) Sixth Assessment Report (IPCC, 2021) confirms that the evidence showing humans have an influence on the climate system is unequivocal. Human-induced climate change is evident in extreme weather events all around the world. Events such as heatwaves, severe rainfall and droughts have </w:t>
      </w:r>
      <w:r w:rsidRPr="001D5327">
        <w:rPr>
          <w:spacing w:val="-2"/>
        </w:rPr>
        <w:t>become more frequent and extreme as a result of climate change and will continue to intensify.</w:t>
      </w:r>
    </w:p>
    <w:p w14:paraId="0026CB5A" w14:textId="77777777" w:rsidR="009D798A" w:rsidRPr="001D5327" w:rsidRDefault="009D798A" w:rsidP="00407428">
      <w:pPr>
        <w:pStyle w:val="BodyText"/>
        <w:spacing w:before="100" w:after="100"/>
      </w:pPr>
      <w:r w:rsidRPr="001D5327">
        <w:t>Some of the changes to the climate system, including sea-level rise and loss of glaciers, are irreversible over centuries to millennia. The rate and magnitude of these committed changes, however, still depend on future GHG emissions. While the IPCC (2021) revised its estimate upwards of how much warming has occurred already, scenarios show that we can still limit warming to 1.5°C. To do that, the world must achieve net zero carbon dioxide (CO</w:t>
      </w:r>
      <w:r w:rsidRPr="001D5327">
        <w:rPr>
          <w:vertAlign w:val="subscript"/>
        </w:rPr>
        <w:t>2</w:t>
      </w:r>
      <w:r w:rsidRPr="001D5327">
        <w:t>) emissions by around 2050 along with deep reductions in other GHGs (IPCC, 2022).</w:t>
      </w:r>
    </w:p>
    <w:p w14:paraId="6B53EC19" w14:textId="77777777" w:rsidR="009D798A" w:rsidRPr="001D5327" w:rsidRDefault="009D798A" w:rsidP="00795762">
      <w:pPr>
        <w:pStyle w:val="Heading3"/>
        <w:spacing w:before="240"/>
      </w:pPr>
      <w:bookmarkStart w:id="62" w:name="X69b1f30f8a1117cea96180909738ad5b968a913"/>
      <w:r w:rsidRPr="001D5327">
        <w:t>1.1.1</w:t>
      </w:r>
      <w:r w:rsidRPr="001D5327">
        <w:tab/>
        <w:t>United Nations Framework Convention on Climate Change and the Paris Agreement</w:t>
      </w:r>
    </w:p>
    <w:p w14:paraId="0D9561F7" w14:textId="77777777" w:rsidR="009D798A" w:rsidRPr="001D5327" w:rsidRDefault="009D798A" w:rsidP="00E62B08">
      <w:pPr>
        <w:pStyle w:val="BodyText"/>
        <w:spacing w:before="100" w:after="100"/>
      </w:pPr>
      <w:r w:rsidRPr="001D5327">
        <w:t xml:space="preserve">The IPCC was established by the United Nations Environment Programme and the World Meteorological Organization in 1988. Its initial task was to prepare a comprehensive review </w:t>
      </w:r>
      <w:r w:rsidRPr="001D5327">
        <w:rPr>
          <w:spacing w:val="-2"/>
        </w:rPr>
        <w:t>and recommendations with respect to the state of knowledge of the science of climate change</w:t>
      </w:r>
      <w:r w:rsidRPr="001D5327">
        <w:t>; the social and economic impact of climate change; and potential response strategies and elements for inclusion in a possible future international convention on climate. In 1990, it concluded that human-induced climate change was a threat to our future.</w:t>
      </w:r>
    </w:p>
    <w:p w14:paraId="36DBEB5E" w14:textId="77777777" w:rsidR="009D798A" w:rsidRPr="001D5327" w:rsidRDefault="009D798A" w:rsidP="00E62B08">
      <w:pPr>
        <w:pStyle w:val="BodyText"/>
        <w:spacing w:before="100" w:after="100"/>
      </w:pPr>
      <w:r w:rsidRPr="001D5327">
        <w:t>In response, the United Nations General Assembly convened a series of meetings that culminated in the adoption of the United Nations Framework Convention on Climate Change (UNFCCC or the Convention) at the Earth Summit in Rio de Janeiro in May 1992.</w:t>
      </w:r>
    </w:p>
    <w:p w14:paraId="2DE13630" w14:textId="77777777" w:rsidR="009D798A" w:rsidRPr="001D5327" w:rsidRDefault="009D798A" w:rsidP="00E62B08">
      <w:pPr>
        <w:pStyle w:val="BodyText"/>
        <w:spacing w:before="100" w:after="100"/>
      </w:pPr>
      <w:r w:rsidRPr="001D5327">
        <w:t>The Convention has been signed and ratified by 197 nations, including New Zealand, and took effect on 21 March 1994.</w:t>
      </w:r>
    </w:p>
    <w:p w14:paraId="33E89C64" w14:textId="77777777" w:rsidR="009D798A" w:rsidRPr="001D5327" w:rsidRDefault="009D798A" w:rsidP="009D798A">
      <w:pPr>
        <w:pStyle w:val="BodyText"/>
      </w:pPr>
      <w:r w:rsidRPr="001D5327">
        <w:t>The main objective of the Convention (UNFCCC, 1992, Article 2) is to achieve:</w:t>
      </w:r>
    </w:p>
    <w:p w14:paraId="7DC470B5" w14:textId="77777777" w:rsidR="009D798A" w:rsidRPr="001D5327" w:rsidRDefault="009D798A" w:rsidP="00795762">
      <w:pPr>
        <w:pStyle w:val="Quote"/>
      </w:pPr>
      <w:r w:rsidRPr="001D5327">
        <w:t>… stabilization of greenhouse gas concentrations in the atmosphere at a level that would prevent dangerous anthropogenic interference with the climate system. Such a level should be achieved within a time-frame sufficient to allow ecosystems to adapt naturally to climate change, to ensure that food production is not threatened and to enable economic development to proceed in a sustainable manner.</w:t>
      </w:r>
    </w:p>
    <w:p w14:paraId="7424BB6C" w14:textId="77777777" w:rsidR="009D798A" w:rsidRPr="001D5327" w:rsidRDefault="009D798A" w:rsidP="0070137B">
      <w:pPr>
        <w:pStyle w:val="BodyText"/>
        <w:spacing w:before="100" w:after="100"/>
      </w:pPr>
      <w:r w:rsidRPr="001D5327">
        <w:t xml:space="preserve">All countries that ratify the Convention (the Parties) are required to take action to address climate change, including by monitoring trends in anthropogenic GHG emissions. Producing the annual inventory of GHG emissions and removals fulfils this obligation. Parties are also obliged to protect and enhance carbon sinks and reservoirs, for example, forests, and </w:t>
      </w:r>
      <w:r w:rsidRPr="001D5327">
        <w:lastRenderedPageBreak/>
        <w:t xml:space="preserve">implement measures that assist in national and/or regional climate change adaptation and </w:t>
      </w:r>
      <w:bookmarkStart w:id="63" w:name="_Hlk192592791"/>
      <w:r w:rsidRPr="001D5327">
        <w:t>mitigation. In addition, Parties listed in Annex II</w:t>
      </w:r>
      <w:r w:rsidRPr="001D5327">
        <w:rPr>
          <w:rStyle w:val="FootnoteReference"/>
        </w:rPr>
        <w:footnoteReference w:id="3"/>
      </w:r>
      <w:r w:rsidRPr="001D5327">
        <w:t xml:space="preserve"> to the Convention commit to providing technology transfer, capacity building and financial assistance to non-Annex I</w:t>
      </w:r>
      <w:r w:rsidRPr="001D5327">
        <w:rPr>
          <w:rStyle w:val="FootnoteReference"/>
        </w:rPr>
        <w:footnoteReference w:id="4"/>
      </w:r>
      <w:r w:rsidRPr="001D5327">
        <w:t xml:space="preserve"> Parties (developing country Parties).</w:t>
      </w:r>
    </w:p>
    <w:bookmarkEnd w:id="63"/>
    <w:p w14:paraId="40371F30" w14:textId="77777777" w:rsidR="009D798A" w:rsidRPr="001D5327" w:rsidRDefault="009D798A" w:rsidP="0070137B">
      <w:pPr>
        <w:pStyle w:val="BodyText"/>
        <w:spacing w:before="100" w:after="100"/>
      </w:pPr>
      <w:r w:rsidRPr="001D5327">
        <w:t>Annex I Parties also agreed to aim to return GHG emissions to 1990 levels by the year 2000. Only a few Annex I Parties made appreciable progress towards achieving this aim. The international community recognised that the existing commitments in the Convention were not enough to ensure GHGs would be stabilised at a safe level. In response, in 1995, Parties launched a new round of talks to provide stronger and more detailed commitments for Annex I Parties. After two-and-a-half years of negotiations, the Kyoto Protocol was adopted in Kyoto, Japan on 11 December 1997 with the goal of reducing emissions to 5 per cent below 1990 levels. New Zealand ratified the Kyoto Protocol on 19 December 2002. The Protocol came into force on 16 February 2005.</w:t>
      </w:r>
    </w:p>
    <w:p w14:paraId="1DB43F25" w14:textId="77777777" w:rsidR="009D798A" w:rsidRPr="001D5327" w:rsidRDefault="009D798A" w:rsidP="0070137B">
      <w:pPr>
        <w:pStyle w:val="BodyText"/>
        <w:spacing w:before="100" w:after="100"/>
      </w:pPr>
      <w:r w:rsidRPr="001D5327">
        <w:t>The Kyoto Protocol only required Annex I Parties to reduce emissions. While research suggests that most Annex I Parties had met their emissions reduction targets, global emissions were continuing to increase.</w:t>
      </w:r>
    </w:p>
    <w:p w14:paraId="26E72597" w14:textId="77777777" w:rsidR="009D798A" w:rsidRPr="001D5327" w:rsidRDefault="009D798A" w:rsidP="0070137B">
      <w:pPr>
        <w:pStyle w:val="BodyText"/>
        <w:spacing w:before="100" w:after="100"/>
      </w:pPr>
      <w:r w:rsidRPr="001D5327">
        <w:t>To accelerate and intensify the actions and investments needed for a sustainable low carbon future, Parties to the Convention reached a landmark agreement in Paris, France, on 12 December 2015: the Paris Agreement. New Zealand ratified the Paris Agreement on 4 October 2016.</w:t>
      </w:r>
    </w:p>
    <w:p w14:paraId="0C99DFB6" w14:textId="77777777" w:rsidR="009D798A" w:rsidRPr="001D5327" w:rsidRDefault="009D798A" w:rsidP="0070137B">
      <w:pPr>
        <w:pStyle w:val="BodyText"/>
        <w:spacing w:before="100" w:after="100"/>
      </w:pPr>
      <w:r w:rsidRPr="001D5327">
        <w:t>One result of the extension (as of 13 November 2017) of New Zealand’s ratification of the Convention and the Paris Agreement is that New Zealand’s national inventory now includes GHG emissions and removals estimates from Tokelau.</w:t>
      </w:r>
    </w:p>
    <w:p w14:paraId="0627F208" w14:textId="77777777" w:rsidR="009D798A" w:rsidRPr="001D5327" w:rsidRDefault="009D798A" w:rsidP="0070137B">
      <w:pPr>
        <w:pStyle w:val="BodyText"/>
        <w:spacing w:before="100" w:after="100"/>
      </w:pPr>
      <w:r w:rsidRPr="001D5327">
        <w:t>Although the 1997 Kyoto Protocol technically remains in force, the Paris Agreement has, in effect, superseded the Kyoto Protocol as the principal regulatory instrument governing the global response to climate change.</w:t>
      </w:r>
    </w:p>
    <w:p w14:paraId="457CD720" w14:textId="77777777" w:rsidR="009D798A" w:rsidRPr="001D5327" w:rsidRDefault="009D798A" w:rsidP="0070137B">
      <w:pPr>
        <w:pStyle w:val="Heading3"/>
        <w:spacing w:before="280"/>
      </w:pPr>
      <w:bookmarkStart w:id="64" w:name="inventory-reporting"/>
      <w:bookmarkEnd w:id="62"/>
      <w:r w:rsidRPr="001D5327">
        <w:t>1.1.2</w:t>
      </w:r>
      <w:r w:rsidRPr="001D5327">
        <w:tab/>
        <w:t>Inventory reporting</w:t>
      </w:r>
    </w:p>
    <w:p w14:paraId="6155C5A2" w14:textId="77777777" w:rsidR="009D798A" w:rsidRPr="001D5327" w:rsidRDefault="009D798A" w:rsidP="009D798A">
      <w:pPr>
        <w:pStyle w:val="BodyText"/>
      </w:pPr>
      <w:r w:rsidRPr="001D5327">
        <w:rPr>
          <w:i/>
          <w:iCs/>
        </w:rPr>
        <w:t>New Zealand’s Greenhouse Gas Inventory</w:t>
      </w:r>
      <w:r w:rsidRPr="001D5327">
        <w:t xml:space="preserve"> (the Inventory) is the official annual report of all anthropogenic GHGs not controlled by the Montreal Protocol that occur in New Zealand and Tokelau.</w:t>
      </w:r>
    </w:p>
    <w:p w14:paraId="328BBDFB" w14:textId="77777777" w:rsidR="009D798A" w:rsidRPr="001D5327" w:rsidRDefault="009D798A" w:rsidP="009D798A">
      <w:pPr>
        <w:pStyle w:val="BodyText"/>
      </w:pPr>
      <w:r w:rsidRPr="001D5327">
        <w:t>A complete inventory submission contains two main components: the national inventory document and the common reporting tables (CRT). The Inventory fulfils New Zealand’s national inventory reporting obligations under both the UNFCCC and the Paris Agreement, as agreed in decision 1/CP.24 of the Conference of the Parties to the UNFCCC (UNFCCC, 2018a). The Inventory has been prepared in accordance with chapter II of the Annex to the decision 18/CMA.1 Modalities, procedures and guidelines for the transparency framework for action and support referred to in Article 13 of the Paris Agreement and decision 5/CMA.3 Guidance for operationalizing the modalities, procedures and guidelines for the enhanced transparency framework referred to in Article 13 of the Paris Agreement.</w:t>
      </w:r>
    </w:p>
    <w:p w14:paraId="36040FC4" w14:textId="77777777" w:rsidR="009D798A" w:rsidRPr="001D5327" w:rsidRDefault="009D798A" w:rsidP="0070137B">
      <w:pPr>
        <w:pStyle w:val="BodyText"/>
        <w:spacing w:after="100"/>
      </w:pPr>
      <w:r w:rsidRPr="001D5327">
        <w:lastRenderedPageBreak/>
        <w:t>Consistent with the modalities, procedures and guidelines and decision 5/CMA.3, emissions estimates provided in this Inventory have been compiled in accordance with the 2006 IPCC Guidelines for National Greenhouse Gas Inventories (2006 IPCC Guidelines) (IPCC, 2006a). New Zealand’s methodologies have been improved over time and will continue to be refined as new information emerges and international practice evolves. The aim is to ensure that the estimates of emissions are accurate, transparent, complete, consistent through time and comparable with those produced in the inventories of other Parties.</w:t>
      </w:r>
    </w:p>
    <w:p w14:paraId="54DD93EA" w14:textId="6E0D0422" w:rsidR="009D798A" w:rsidRPr="001D5327" w:rsidRDefault="009D798A" w:rsidP="0070137B">
      <w:pPr>
        <w:pStyle w:val="BodyText"/>
        <w:spacing w:after="100"/>
      </w:pPr>
      <w:r w:rsidRPr="001D5327">
        <w:t>Inventories are subject to a technical review process administered by the United Nations Climate Change (UN Climate Change) secretariat. The results of these reviews are available on</w:t>
      </w:r>
      <w:r w:rsidR="00795762" w:rsidRPr="001D5327">
        <w:t> </w:t>
      </w:r>
      <w:r w:rsidRPr="001D5327">
        <w:t>the UN Climate Change website.</w:t>
      </w:r>
      <w:r w:rsidRPr="001D5327">
        <w:rPr>
          <w:rStyle w:val="FootnoteReference"/>
        </w:rPr>
        <w:footnoteReference w:id="5"/>
      </w:r>
    </w:p>
    <w:p w14:paraId="53805D4F" w14:textId="77777777" w:rsidR="009D798A" w:rsidRPr="001D5327" w:rsidRDefault="009D798A" w:rsidP="0070137B">
      <w:pPr>
        <w:pStyle w:val="BodyText"/>
        <w:spacing w:after="100"/>
      </w:pPr>
      <w:r w:rsidRPr="001D5327">
        <w:t>The Inventory reports on emissions and removals of the gases CO</w:t>
      </w:r>
      <w:r w:rsidRPr="001D5327">
        <w:rPr>
          <w:vertAlign w:val="subscript"/>
        </w:rPr>
        <w:t>2</w:t>
      </w:r>
      <w:r w:rsidRPr="001D5327">
        <w:t>, methane (CH</w:t>
      </w:r>
      <w:r w:rsidRPr="001D5327">
        <w:rPr>
          <w:vertAlign w:val="subscript"/>
        </w:rPr>
        <w:t>4</w:t>
      </w:r>
      <w:r w:rsidRPr="001D5327">
        <w:t>), nitrous oxide (N</w:t>
      </w:r>
      <w:r w:rsidRPr="001D5327">
        <w:rPr>
          <w:vertAlign w:val="subscript"/>
        </w:rPr>
        <w:t>2</w:t>
      </w:r>
      <w:r w:rsidRPr="001D5327">
        <w:t>O), hydrofluorocarbons (HFCs), perfluorocarbons (PFCs), sulphur hexafluoride (SF</w:t>
      </w:r>
      <w:r w:rsidRPr="001D5327">
        <w:rPr>
          <w:vertAlign w:val="subscript"/>
        </w:rPr>
        <w:t>6</w:t>
      </w:r>
      <w:r w:rsidRPr="001D5327">
        <w:t>) and nitrogen trifluoride (NF</w:t>
      </w:r>
      <w:r w:rsidRPr="001D5327">
        <w:rPr>
          <w:vertAlign w:val="subscript"/>
        </w:rPr>
        <w:t>3</w:t>
      </w:r>
      <w:r w:rsidRPr="001D5327">
        <w:t>).</w:t>
      </w:r>
      <w:r w:rsidRPr="001D5327">
        <w:rPr>
          <w:rStyle w:val="FootnoteReference"/>
        </w:rPr>
        <w:footnoteReference w:id="6"/>
      </w:r>
      <w:r w:rsidRPr="001D5327">
        <w:t xml:space="preserve"> The indirect GHGs,</w:t>
      </w:r>
      <w:r w:rsidRPr="001D5327">
        <w:rPr>
          <w:rStyle w:val="FootnoteReference"/>
        </w:rPr>
        <w:footnoteReference w:id="7"/>
      </w:r>
      <w:r w:rsidRPr="001D5327">
        <w:t xml:space="preserve"> carbon monoxide (CO), sulphur dioxide, oxides of nitrogen and non-methane volatile organic compounds, are also included. Only emissions and removals of the direct GHGs (CO</w:t>
      </w:r>
      <w:r w:rsidRPr="001D5327">
        <w:rPr>
          <w:vertAlign w:val="subscript"/>
        </w:rPr>
        <w:t>2</w:t>
      </w:r>
      <w:r w:rsidRPr="001D5327">
        <w:t>, CH</w:t>
      </w:r>
      <w:r w:rsidRPr="001D5327">
        <w:rPr>
          <w:vertAlign w:val="subscript"/>
        </w:rPr>
        <w:t>4</w:t>
      </w:r>
      <w:r w:rsidRPr="001D5327">
        <w:t>, N</w:t>
      </w:r>
      <w:r w:rsidRPr="001D5327">
        <w:rPr>
          <w:vertAlign w:val="subscript"/>
        </w:rPr>
        <w:t>2</w:t>
      </w:r>
      <w:r w:rsidRPr="001D5327">
        <w:t>O, SF</w:t>
      </w:r>
      <w:r w:rsidRPr="001D5327">
        <w:rPr>
          <w:vertAlign w:val="subscript"/>
        </w:rPr>
        <w:t>6</w:t>
      </w:r>
      <w:r w:rsidRPr="001D5327">
        <w:t>, PFCs, HFCs and NF</w:t>
      </w:r>
      <w:r w:rsidRPr="001D5327">
        <w:rPr>
          <w:vertAlign w:val="subscript"/>
        </w:rPr>
        <w:t>3</w:t>
      </w:r>
      <w:r w:rsidRPr="001D5327">
        <w:t>) are reported in total gross and net emissions under the Convention.</w:t>
      </w:r>
    </w:p>
    <w:p w14:paraId="7E888FB7" w14:textId="77777777" w:rsidR="009D798A" w:rsidRPr="001D5327" w:rsidRDefault="009D798A" w:rsidP="0070137B">
      <w:pPr>
        <w:pStyle w:val="BodyText"/>
        <w:spacing w:after="100"/>
      </w:pPr>
      <w:r w:rsidRPr="001D5327">
        <w:t>This Inventory presents emissions for each of the non-carbon dioxide GHGs as carbon dioxide equivalents (CO</w:t>
      </w:r>
      <w:r w:rsidRPr="001D5327">
        <w:rPr>
          <w:vertAlign w:val="subscript"/>
        </w:rPr>
        <w:t>2</w:t>
      </w:r>
      <w:r w:rsidRPr="001D5327">
        <w:t>-e) using the 100-year time horizon global warming potential values contained in the IPCC Fifth Assessment Report (IPCC, 2013). Because GHGs vary in their radiative activity, and in their atmospheric residence time, converting emissions into CO</w:t>
      </w:r>
      <w:r w:rsidRPr="001D5327">
        <w:rPr>
          <w:vertAlign w:val="subscript"/>
        </w:rPr>
        <w:t>2</w:t>
      </w:r>
      <w:r w:rsidRPr="001D5327">
        <w:t>-e allows the integrated effect of emissions of the various gases to be compared.</w:t>
      </w:r>
    </w:p>
    <w:p w14:paraId="57FE4E86" w14:textId="77777777" w:rsidR="009D798A" w:rsidRPr="001D5327" w:rsidRDefault="009D798A" w:rsidP="0070137B">
      <w:pPr>
        <w:pStyle w:val="BodyText"/>
        <w:spacing w:after="100"/>
      </w:pPr>
      <w:r w:rsidRPr="001D5327">
        <w:t>The GHGs are reported under five sectors in accordance with those included in the 2006 IPCC Guidelines (IPCC, 2006b). These represent the main human activities that contribute to the release or capture of GHGs into, or from, the atmosphere:</w:t>
      </w:r>
    </w:p>
    <w:p w14:paraId="52174C03" w14:textId="77777777" w:rsidR="009D798A" w:rsidRPr="001D5327" w:rsidRDefault="009D798A" w:rsidP="0070137B">
      <w:pPr>
        <w:pStyle w:val="Bullet"/>
        <w:tabs>
          <w:tab w:val="num" w:pos="567"/>
        </w:tabs>
        <w:spacing w:after="100"/>
      </w:pPr>
      <w:r w:rsidRPr="001D5327">
        <w:t>Energy</w:t>
      </w:r>
    </w:p>
    <w:p w14:paraId="62CBE70E" w14:textId="77777777" w:rsidR="009D798A" w:rsidRPr="001D5327" w:rsidRDefault="009D798A" w:rsidP="0070137B">
      <w:pPr>
        <w:pStyle w:val="Bullet"/>
        <w:tabs>
          <w:tab w:val="num" w:pos="567"/>
        </w:tabs>
        <w:spacing w:after="100"/>
      </w:pPr>
      <w:r w:rsidRPr="001D5327">
        <w:t>Industrial Processes and Product Use (IPPU)</w:t>
      </w:r>
    </w:p>
    <w:p w14:paraId="436BE75E" w14:textId="77777777" w:rsidR="009D798A" w:rsidRPr="001D5327" w:rsidRDefault="009D798A" w:rsidP="0070137B">
      <w:pPr>
        <w:pStyle w:val="Bullet"/>
        <w:tabs>
          <w:tab w:val="num" w:pos="567"/>
        </w:tabs>
        <w:spacing w:after="100"/>
      </w:pPr>
      <w:r w:rsidRPr="001D5327">
        <w:t>Agriculture</w:t>
      </w:r>
    </w:p>
    <w:p w14:paraId="1D97CE7A" w14:textId="77777777" w:rsidR="009D798A" w:rsidRPr="001D5327" w:rsidRDefault="009D798A" w:rsidP="0070137B">
      <w:pPr>
        <w:pStyle w:val="Bullet"/>
        <w:tabs>
          <w:tab w:val="num" w:pos="567"/>
        </w:tabs>
        <w:spacing w:after="100"/>
      </w:pPr>
      <w:r w:rsidRPr="001D5327">
        <w:t>Land Use, Land-Use Change and Forestry (LULUCF)</w:t>
      </w:r>
    </w:p>
    <w:p w14:paraId="63D8E32D" w14:textId="77777777" w:rsidR="009D798A" w:rsidRPr="001D5327" w:rsidRDefault="009D798A" w:rsidP="0070137B">
      <w:pPr>
        <w:pStyle w:val="Bullet"/>
        <w:tabs>
          <w:tab w:val="num" w:pos="567"/>
        </w:tabs>
        <w:spacing w:after="100"/>
      </w:pPr>
      <w:r w:rsidRPr="001D5327">
        <w:t>Waste.</w:t>
      </w:r>
    </w:p>
    <w:p w14:paraId="129032C8" w14:textId="77777777" w:rsidR="009D798A" w:rsidRPr="001D5327" w:rsidRDefault="009D798A" w:rsidP="0070137B">
      <w:pPr>
        <w:pStyle w:val="BodyText"/>
        <w:spacing w:after="100"/>
      </w:pPr>
      <w:r w:rsidRPr="001D5327">
        <w:t>Since the 2019 submission, GHG emissions from Tokelau, New Zealand’s overseas dependent territory,</w:t>
      </w:r>
      <w:r w:rsidRPr="001D5327">
        <w:rPr>
          <w:rStyle w:val="FootnoteReference"/>
        </w:rPr>
        <w:footnoteReference w:id="8"/>
      </w:r>
      <w:r w:rsidRPr="001D5327">
        <w:t xml:space="preserve"> have been included in the Inventory. Because emissions from Tokelau are small, and the methodology used varies greatly between Tokelau’s inventory and the inventory for New Zealand’s mainland territory, emissions from Tokelau are reported separately in the Other sector.</w:t>
      </w:r>
    </w:p>
    <w:p w14:paraId="40F8D8AE" w14:textId="77777777" w:rsidR="009D798A" w:rsidRPr="001D5327" w:rsidRDefault="009D798A" w:rsidP="009D798A">
      <w:pPr>
        <w:pStyle w:val="Heading2"/>
      </w:pPr>
      <w:bookmarkStart w:id="65" w:name="_Toc194311985"/>
      <w:bookmarkStart w:id="66" w:name="X80cf24aa2d0142356f3e0644f2d6d7bd8915396"/>
      <w:bookmarkEnd w:id="61"/>
      <w:bookmarkEnd w:id="64"/>
      <w:r w:rsidRPr="001D5327">
        <w:lastRenderedPageBreak/>
        <w:t>1.2</w:t>
      </w:r>
      <w:r w:rsidRPr="001D5327">
        <w:tab/>
        <w:t>A description of national circumstances and institutional arrangements</w:t>
      </w:r>
      <w:bookmarkEnd w:id="65"/>
    </w:p>
    <w:p w14:paraId="259D63A1" w14:textId="77777777" w:rsidR="009D798A" w:rsidRPr="001D5327" w:rsidRDefault="009D798A" w:rsidP="005E55E9">
      <w:pPr>
        <w:pStyle w:val="Heading3"/>
        <w:spacing w:before="180"/>
      </w:pPr>
      <w:bookmarkStart w:id="67" w:name="national-entity-or-national-focal-point"/>
      <w:r w:rsidRPr="001D5327">
        <w:t>1.2.1</w:t>
      </w:r>
      <w:r w:rsidRPr="001D5327">
        <w:tab/>
        <w:t>National entity or national focal point</w:t>
      </w:r>
    </w:p>
    <w:p w14:paraId="2203D7DB" w14:textId="77777777" w:rsidR="009D798A" w:rsidRPr="001D5327" w:rsidRDefault="009D798A" w:rsidP="009D798A">
      <w:pPr>
        <w:pStyle w:val="BodyText"/>
      </w:pPr>
      <w:r w:rsidRPr="001D5327">
        <w:t>In 2002, New Zealand enacted the Climate Change Response Act 2002 (the Act).</w:t>
      </w:r>
      <w:r w:rsidRPr="001D5327">
        <w:rPr>
          <w:rStyle w:val="FootnoteReference"/>
        </w:rPr>
        <w:footnoteReference w:id="9"/>
      </w:r>
      <w:r w:rsidRPr="001D5327">
        <w:t xml:space="preserve"> This enabled New Zealand to meet its international obligations under the Convention and Kyoto Protocol. The Act has subsequently been amended to enable New Zealand to meet its obligations under the Paris Agreement. A Prime Ministerial directive for the administration of the Act named the Ministry for the Environment (MfE) as New Zealand’s ‘inventory agency’. Part 3, section 32, of the Act specifies the following functions and requirements.</w:t>
      </w:r>
    </w:p>
    <w:p w14:paraId="087CA129" w14:textId="77777777" w:rsidR="009D798A" w:rsidRPr="001D5327" w:rsidRDefault="009D798A" w:rsidP="005E55E9">
      <w:pPr>
        <w:pStyle w:val="Quote"/>
        <w:spacing w:after="70"/>
        <w:ind w:left="964" w:hanging="397"/>
      </w:pPr>
      <w:r w:rsidRPr="001D5327">
        <w:t>(1)</w:t>
      </w:r>
      <w:r w:rsidRPr="001D5327">
        <w:tab/>
        <w:t>The primary functions of New Zealand’s inventory agency are to:</w:t>
      </w:r>
    </w:p>
    <w:p w14:paraId="303F6901" w14:textId="77777777" w:rsidR="009D798A" w:rsidRPr="001D5327" w:rsidRDefault="009D798A" w:rsidP="005E55E9">
      <w:pPr>
        <w:pStyle w:val="Quote"/>
        <w:spacing w:after="70"/>
        <w:ind w:left="1361" w:hanging="397"/>
      </w:pPr>
      <w:r w:rsidRPr="001D5327">
        <w:t>(a)</w:t>
      </w:r>
      <w:r w:rsidRPr="001D5327">
        <w:tab/>
        <w:t>estimate New Zealand’s human-induced emissions by sources and removals by sinks of greenhouse gases on an annual basis</w:t>
      </w:r>
    </w:p>
    <w:p w14:paraId="0BAC0D4E" w14:textId="77777777" w:rsidR="009D798A" w:rsidRPr="001D5327" w:rsidRDefault="009D798A" w:rsidP="005E55E9">
      <w:pPr>
        <w:pStyle w:val="Quote"/>
        <w:spacing w:after="70"/>
        <w:ind w:left="1361" w:hanging="397"/>
      </w:pPr>
      <w:r w:rsidRPr="001D5327">
        <w:t>(b)</w:t>
      </w:r>
      <w:r w:rsidRPr="001D5327">
        <w:tab/>
        <w:t>prepare the following reports for the purpose of discharging New Zealand’s obligations:</w:t>
      </w:r>
    </w:p>
    <w:p w14:paraId="628716D1" w14:textId="77777777" w:rsidR="009D798A" w:rsidRPr="001D5327" w:rsidRDefault="009D798A" w:rsidP="005E55E9">
      <w:pPr>
        <w:pStyle w:val="Quote"/>
        <w:spacing w:after="70"/>
        <w:ind w:left="1815" w:hanging="397"/>
      </w:pPr>
      <w:r w:rsidRPr="001D5327">
        <w:t>(i)</w:t>
      </w:r>
      <w:r w:rsidRPr="001D5327">
        <w:tab/>
        <w:t>New Zealand’s annual inventory report under Articles 4 and 12 of the Convention</w:t>
      </w:r>
    </w:p>
    <w:p w14:paraId="73833394" w14:textId="77777777" w:rsidR="009D798A" w:rsidRPr="001D5327" w:rsidRDefault="009D798A" w:rsidP="005E55E9">
      <w:pPr>
        <w:pStyle w:val="Quote"/>
        <w:spacing w:after="70"/>
        <w:ind w:left="1815" w:hanging="397"/>
        <w:rPr>
          <w:szCs w:val="20"/>
        </w:rPr>
      </w:pPr>
      <w:r w:rsidRPr="001D5327">
        <w:t>(ii)</w:t>
      </w:r>
      <w:r w:rsidRPr="001D5327">
        <w:tab/>
        <w:t xml:space="preserve">report of information by New Zealand under Article 13 of the Paris </w:t>
      </w:r>
      <w:r w:rsidRPr="001D5327">
        <w:rPr>
          <w:szCs w:val="20"/>
        </w:rPr>
        <w:t>Agreement</w:t>
      </w:r>
      <w:r w:rsidRPr="001D5327">
        <w:rPr>
          <w:rStyle w:val="FootnoteReference"/>
          <w:sz w:val="20"/>
          <w:szCs w:val="20"/>
        </w:rPr>
        <w:footnoteReference w:id="10"/>
      </w:r>
    </w:p>
    <w:p w14:paraId="0B5EA4F0" w14:textId="77777777" w:rsidR="009D798A" w:rsidRPr="001D5327" w:rsidRDefault="009D798A" w:rsidP="005E55E9">
      <w:pPr>
        <w:pStyle w:val="Quote"/>
        <w:spacing w:after="70"/>
        <w:ind w:left="1815" w:hanging="397"/>
      </w:pPr>
      <w:r w:rsidRPr="001D5327">
        <w:t>(iii)</w:t>
      </w:r>
      <w:r w:rsidRPr="001D5327">
        <w:tab/>
        <w:t>New Zealand’s national communication (or periodic report) under Article 12 of the Convention.</w:t>
      </w:r>
    </w:p>
    <w:p w14:paraId="48EA3B84" w14:textId="77777777" w:rsidR="009D798A" w:rsidRPr="001D5327" w:rsidRDefault="009D798A" w:rsidP="005E55E9">
      <w:pPr>
        <w:pStyle w:val="Quote"/>
        <w:spacing w:after="70"/>
        <w:ind w:left="964" w:hanging="397"/>
      </w:pPr>
      <w:r w:rsidRPr="001D5327">
        <w:t>(2)</w:t>
      </w:r>
      <w:r w:rsidRPr="001D5327">
        <w:tab/>
        <w:t>In carrying out its functions, the inventory agency must:</w:t>
      </w:r>
    </w:p>
    <w:p w14:paraId="5CFA16DC" w14:textId="77777777" w:rsidR="009D798A" w:rsidRPr="001D5327" w:rsidRDefault="009D798A" w:rsidP="005E55E9">
      <w:pPr>
        <w:pStyle w:val="Quote"/>
        <w:spacing w:after="70"/>
        <w:ind w:left="1361" w:hanging="397"/>
      </w:pPr>
      <w:r w:rsidRPr="001D5327">
        <w:t>(a)</w:t>
      </w:r>
      <w:r w:rsidRPr="001D5327">
        <w:tab/>
        <w:t>identify source categories</w:t>
      </w:r>
    </w:p>
    <w:p w14:paraId="014BE2F2" w14:textId="77777777" w:rsidR="009D798A" w:rsidRPr="001D5327" w:rsidRDefault="009D798A" w:rsidP="005E55E9">
      <w:pPr>
        <w:pStyle w:val="Quote"/>
        <w:spacing w:after="70"/>
        <w:ind w:left="1361" w:hanging="397"/>
      </w:pPr>
      <w:r w:rsidRPr="001D5327">
        <w:t>(b)</w:t>
      </w:r>
      <w:r w:rsidRPr="001D5327">
        <w:tab/>
        <w:t>collect data by means of:</w:t>
      </w:r>
    </w:p>
    <w:p w14:paraId="574E1C67" w14:textId="77777777" w:rsidR="009D798A" w:rsidRPr="001D5327" w:rsidRDefault="009D798A" w:rsidP="005E55E9">
      <w:pPr>
        <w:pStyle w:val="Quote"/>
        <w:spacing w:after="70"/>
        <w:ind w:left="1815" w:hanging="397"/>
      </w:pPr>
      <w:r w:rsidRPr="001D5327">
        <w:t>(i)</w:t>
      </w:r>
      <w:r w:rsidRPr="001D5327">
        <w:tab/>
        <w:t>voluntary collection</w:t>
      </w:r>
    </w:p>
    <w:p w14:paraId="6AA487FD" w14:textId="77777777" w:rsidR="009D798A" w:rsidRPr="001D5327" w:rsidRDefault="009D798A" w:rsidP="005E55E9">
      <w:pPr>
        <w:pStyle w:val="Quote"/>
        <w:spacing w:after="70"/>
        <w:ind w:left="1815" w:hanging="397"/>
      </w:pPr>
      <w:r w:rsidRPr="001D5327">
        <w:t>(ii)</w:t>
      </w:r>
      <w:r w:rsidRPr="001D5327">
        <w:tab/>
        <w:t>collection from government agencies and other agencies that hold relevant information</w:t>
      </w:r>
    </w:p>
    <w:p w14:paraId="4501E1C8" w14:textId="77777777" w:rsidR="009D798A" w:rsidRPr="001D5327" w:rsidRDefault="009D798A" w:rsidP="005E55E9">
      <w:pPr>
        <w:pStyle w:val="Quote"/>
        <w:spacing w:after="70"/>
        <w:ind w:left="1815" w:hanging="397"/>
      </w:pPr>
      <w:r w:rsidRPr="001D5327">
        <w:t>(iii)</w:t>
      </w:r>
      <w:r w:rsidRPr="001D5327">
        <w:tab/>
        <w:t>collection in accordance with regulations made under this Part (if any)</w:t>
      </w:r>
    </w:p>
    <w:p w14:paraId="743F8C92" w14:textId="77777777" w:rsidR="009D798A" w:rsidRPr="001D5327" w:rsidRDefault="009D798A" w:rsidP="005E55E9">
      <w:pPr>
        <w:pStyle w:val="Quote"/>
        <w:spacing w:after="70"/>
        <w:ind w:left="1361" w:hanging="397"/>
      </w:pPr>
      <w:r w:rsidRPr="001D5327">
        <w:t>(c)</w:t>
      </w:r>
      <w:r w:rsidRPr="001D5327">
        <w:tab/>
        <w:t>estimate the emissions and removals by sinks for each source category</w:t>
      </w:r>
    </w:p>
    <w:p w14:paraId="4500B1DA" w14:textId="77777777" w:rsidR="009D798A" w:rsidRPr="001D5327" w:rsidRDefault="009D798A" w:rsidP="005E55E9">
      <w:pPr>
        <w:pStyle w:val="Quote"/>
        <w:spacing w:after="70"/>
        <w:ind w:left="1361" w:hanging="397"/>
      </w:pPr>
      <w:r w:rsidRPr="001D5327">
        <w:t>(d)</w:t>
      </w:r>
      <w:r w:rsidRPr="001D5327">
        <w:tab/>
        <w:t>undertake assessments on uncertainties</w:t>
      </w:r>
    </w:p>
    <w:p w14:paraId="46B3D8ED" w14:textId="77777777" w:rsidR="009D798A" w:rsidRPr="001D5327" w:rsidRDefault="009D798A" w:rsidP="005E55E9">
      <w:pPr>
        <w:pStyle w:val="Quote"/>
        <w:spacing w:after="70"/>
        <w:ind w:left="1361" w:hanging="397"/>
      </w:pPr>
      <w:r w:rsidRPr="001D5327">
        <w:t>(e)</w:t>
      </w:r>
      <w:r w:rsidRPr="001D5327">
        <w:tab/>
        <w:t>undertake procedures to verify the data</w:t>
      </w:r>
    </w:p>
    <w:p w14:paraId="7C95E90A" w14:textId="77777777" w:rsidR="009D798A" w:rsidRPr="001D5327" w:rsidRDefault="009D798A" w:rsidP="00D557DC">
      <w:pPr>
        <w:pStyle w:val="Quote"/>
        <w:ind w:left="1361" w:hanging="397"/>
      </w:pPr>
      <w:r w:rsidRPr="001D5327">
        <w:t>(f)</w:t>
      </w:r>
      <w:r w:rsidRPr="001D5327">
        <w:tab/>
        <w:t>retain information and documents to show how the estimates were determined.</w:t>
      </w:r>
    </w:p>
    <w:p w14:paraId="1E1A28E2" w14:textId="77777777" w:rsidR="009D798A" w:rsidRPr="001D5327" w:rsidRDefault="009D798A" w:rsidP="00A80A55">
      <w:pPr>
        <w:pStyle w:val="BodyText"/>
        <w:spacing w:before="80" w:after="80"/>
      </w:pPr>
      <w:r w:rsidRPr="001D5327">
        <w:t>Compliance provisions in section 36 of the Act authorise inspectors to collect information needed to estimate emissions or removals of GHGs.</w:t>
      </w:r>
    </w:p>
    <w:p w14:paraId="6C9F3081" w14:textId="77777777" w:rsidR="009D798A" w:rsidRPr="001D5327" w:rsidRDefault="009D798A" w:rsidP="005E55E9">
      <w:pPr>
        <w:pStyle w:val="Heading3"/>
        <w:spacing w:before="240"/>
      </w:pPr>
      <w:bookmarkStart w:id="68" w:name="inventory-preparation-process"/>
      <w:bookmarkEnd w:id="67"/>
      <w:r w:rsidRPr="001D5327">
        <w:t>1.2.2</w:t>
      </w:r>
      <w:r w:rsidRPr="001D5327">
        <w:tab/>
        <w:t>National Inventory System</w:t>
      </w:r>
    </w:p>
    <w:p w14:paraId="3214ACDD" w14:textId="77777777" w:rsidR="009D798A" w:rsidRPr="001D5327" w:rsidRDefault="009D798A" w:rsidP="009D798A">
      <w:pPr>
        <w:pStyle w:val="BodyText"/>
      </w:pPr>
      <w:r w:rsidRPr="001D5327">
        <w:t>New Zealand has a national system in place for inventorying anthropogenic emissions by sources and removals by sinks of all GHGs not controlled by the Montreal Protocol.</w:t>
      </w:r>
    </w:p>
    <w:p w14:paraId="5E38789E" w14:textId="77777777" w:rsidR="009D798A" w:rsidRPr="001D5327" w:rsidRDefault="009D798A" w:rsidP="009D798A">
      <w:pPr>
        <w:pStyle w:val="BodyText"/>
      </w:pPr>
      <w:r w:rsidRPr="001D5327">
        <w:t xml:space="preserve">New Zealand maintains a set of guidelines, the National Inventory System Guidelines, in which the tasks required to officially submit the national inventory are documented. These guidelines </w:t>
      </w:r>
      <w:r w:rsidRPr="001D5327">
        <w:lastRenderedPageBreak/>
        <w:t xml:space="preserve">cover multiple aspects of the production of the inventory: inventory management, inventory planning and preparation, quality assurance and quality control (QA/QC) processes, communication and error management. </w:t>
      </w:r>
    </w:p>
    <w:p w14:paraId="3778398A" w14:textId="77777777" w:rsidR="009D798A" w:rsidRPr="001D5327" w:rsidRDefault="009D798A" w:rsidP="009D798A">
      <w:pPr>
        <w:pStyle w:val="Heading4"/>
      </w:pPr>
      <w:bookmarkStart w:id="69" w:name="inventory-planning-and-preparation"/>
      <w:r w:rsidRPr="001D5327">
        <w:t>Inventory planning and preparation</w:t>
      </w:r>
    </w:p>
    <w:p w14:paraId="1A442B71" w14:textId="77777777" w:rsidR="009D798A" w:rsidRPr="001D5327" w:rsidRDefault="009D798A" w:rsidP="009D798A">
      <w:pPr>
        <w:pStyle w:val="BodyText"/>
      </w:pPr>
      <w:r w:rsidRPr="001D5327">
        <w:t>Figure 1.2.1 summarises the inventory planning and preparation process.</w:t>
      </w:r>
    </w:p>
    <w:p w14:paraId="44434C64" w14:textId="77777777" w:rsidR="009D798A" w:rsidRPr="001D5327" w:rsidRDefault="009D798A" w:rsidP="009D798A">
      <w:pPr>
        <w:pStyle w:val="Figure"/>
        <w:spacing w:after="0"/>
      </w:pPr>
      <w:bookmarkStart w:id="70" w:name="_Toc194674820"/>
      <w:r w:rsidRPr="001D5327">
        <w:rPr>
          <w:bCs/>
        </w:rPr>
        <w:t xml:space="preserve">Figure 1.2.1 </w:t>
      </w:r>
      <w:r w:rsidRPr="001D5327">
        <w:rPr>
          <w:bCs/>
        </w:rPr>
        <w:tab/>
        <w:t>Summary of New Zealand’s inventory planning and preparation</w:t>
      </w:r>
      <w:bookmarkEnd w:id="70"/>
    </w:p>
    <w:p w14:paraId="64D676F6" w14:textId="6596294C" w:rsidR="009D798A" w:rsidRPr="001D5327" w:rsidRDefault="00FA7DAE" w:rsidP="00FA7DAE">
      <w:pPr>
        <w:pStyle w:val="BodyText"/>
        <w:spacing w:after="0"/>
      </w:pPr>
      <w:r w:rsidRPr="001D5327">
        <w:object w:dxaOrig="8901" w:dyaOrig="12821" w14:anchorId="17072F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9pt;height:562.05pt" o:ole="">
            <v:imagedata r:id="rId31" o:title=""/>
          </v:shape>
          <o:OLEObject Type="Embed" ProgID="Visio.Drawing.15" ShapeID="_x0000_i1025" DrawAspect="Content" ObjectID="_1806232873" r:id="rId32"/>
        </w:object>
      </w:r>
    </w:p>
    <w:p w14:paraId="129EA505" w14:textId="77777777" w:rsidR="009D798A" w:rsidRPr="001D5327" w:rsidRDefault="009D798A" w:rsidP="009D798A">
      <w:pPr>
        <w:pStyle w:val="Noteundertable"/>
      </w:pPr>
      <w:bookmarkStart w:id="71" w:name="inventory-planning"/>
      <w:r w:rsidRPr="001D5327">
        <w:rPr>
          <w:b/>
          <w:bCs/>
        </w:rPr>
        <w:t>Note</w:t>
      </w:r>
      <w:r w:rsidRPr="001D5327">
        <w:t>:</w:t>
      </w:r>
      <w:r w:rsidRPr="001D5327">
        <w:tab/>
        <w:t>CRT = common reporting tables; PR = peer review; QA/QC = quality assurance/quality control.</w:t>
      </w:r>
    </w:p>
    <w:p w14:paraId="6B2D68A3" w14:textId="77777777" w:rsidR="009D798A" w:rsidRPr="001D5327" w:rsidRDefault="009D798A" w:rsidP="009D798A">
      <w:pPr>
        <w:pStyle w:val="Heading5"/>
      </w:pPr>
      <w:r w:rsidRPr="001D5327">
        <w:lastRenderedPageBreak/>
        <w:t>Inventory planning</w:t>
      </w:r>
    </w:p>
    <w:p w14:paraId="48141B6B" w14:textId="77777777" w:rsidR="009D798A" w:rsidRPr="001D5327" w:rsidRDefault="009D798A" w:rsidP="009D798A">
      <w:pPr>
        <w:pStyle w:val="BodyText"/>
        <w:spacing w:before="100" w:after="100"/>
      </w:pPr>
      <w:r w:rsidRPr="001D5327">
        <w:t xml:space="preserve">Inventory planning is a two-phase process. The first phase, sectoral planning, involves planning for inventory compilation at the sector level. This includes planning for technical projects, actions, improvements and procedures that are specific to each sector. There are some dependencies for completing this phase, however, based on the outcomes of the lessons learned and production planning workshops, which occur during the second phase of inventory planning. Sector plans may, therefore, need to be adapted to meet the sector-specific requirements of national compilation plans. </w:t>
      </w:r>
    </w:p>
    <w:p w14:paraId="466CA86B" w14:textId="77777777" w:rsidR="009D798A" w:rsidRPr="001D5327" w:rsidRDefault="009D798A" w:rsidP="009D798A">
      <w:pPr>
        <w:pStyle w:val="BodyText"/>
        <w:spacing w:before="100" w:after="100"/>
      </w:pPr>
      <w:r w:rsidRPr="001D5327">
        <w:t>The second phase of inventory planning, the national compilation and publication planning, involves planning for inventory compilation at the cross-sector level. It includes holding a lessons learned workshop, which is scheduled to follow each inventory submission. A second workshop, scheduled towards the end of each calendar year, is dedicated to cross-sectoral compilation and publication planning. Participants include MfE’s publication and public liaison teams, sector leads and the inventory production team. Timelines discussed and agreed cover:</w:t>
      </w:r>
    </w:p>
    <w:p w14:paraId="5185F4D3" w14:textId="77777777" w:rsidR="009D798A" w:rsidRPr="001D5327" w:rsidRDefault="009D798A" w:rsidP="009D798A">
      <w:pPr>
        <w:pStyle w:val="Bullet"/>
        <w:tabs>
          <w:tab w:val="num" w:pos="567"/>
        </w:tabs>
        <w:spacing w:after="100"/>
      </w:pPr>
      <w:r w:rsidRPr="001D5327">
        <w:t>national compilation</w:t>
      </w:r>
    </w:p>
    <w:p w14:paraId="1B0E2855" w14:textId="77777777" w:rsidR="009D798A" w:rsidRPr="001D5327" w:rsidRDefault="009D798A" w:rsidP="009D798A">
      <w:pPr>
        <w:pStyle w:val="Bullet"/>
        <w:tabs>
          <w:tab w:val="num" w:pos="567"/>
        </w:tabs>
        <w:spacing w:after="100"/>
      </w:pPr>
      <w:r w:rsidRPr="001D5327">
        <w:t>publication</w:t>
      </w:r>
    </w:p>
    <w:p w14:paraId="092E0B04" w14:textId="77777777" w:rsidR="009D798A" w:rsidRPr="001D5327" w:rsidRDefault="009D798A" w:rsidP="009D798A">
      <w:pPr>
        <w:pStyle w:val="Bullet"/>
        <w:tabs>
          <w:tab w:val="num" w:pos="567"/>
        </w:tabs>
        <w:spacing w:after="100"/>
      </w:pPr>
      <w:r w:rsidRPr="001D5327">
        <w:t>public relations.</w:t>
      </w:r>
    </w:p>
    <w:p w14:paraId="46694C87" w14:textId="77777777" w:rsidR="009D798A" w:rsidRPr="001D5327" w:rsidRDefault="009D798A" w:rsidP="009D798A">
      <w:pPr>
        <w:pStyle w:val="BodyText"/>
        <w:spacing w:after="100"/>
      </w:pPr>
      <w:r w:rsidRPr="001D5327">
        <w:t>Lessons learned are also considered in developing the national compilation plans.</w:t>
      </w:r>
    </w:p>
    <w:p w14:paraId="50A9BA19" w14:textId="77777777" w:rsidR="009D798A" w:rsidRPr="001D5327" w:rsidRDefault="009D798A" w:rsidP="009D798A">
      <w:pPr>
        <w:pStyle w:val="BodyText"/>
        <w:spacing w:after="100"/>
      </w:pPr>
      <w:r w:rsidRPr="001D5327">
        <w:t>The inventory planning process for Tokelau is governed by a memorandum of understanding between New Zealand and Tokelau. For further information, see chapter 8.</w:t>
      </w:r>
    </w:p>
    <w:p w14:paraId="1A552FDE" w14:textId="77777777" w:rsidR="009D798A" w:rsidRPr="001D5327" w:rsidRDefault="009D798A" w:rsidP="009D798A">
      <w:pPr>
        <w:pStyle w:val="Heading5"/>
        <w:spacing w:before="180"/>
      </w:pPr>
      <w:bookmarkStart w:id="72" w:name="inventory-preparation"/>
      <w:bookmarkEnd w:id="71"/>
      <w:r w:rsidRPr="001D5327">
        <w:t>Inventory preparation</w:t>
      </w:r>
    </w:p>
    <w:p w14:paraId="511A28DF" w14:textId="77777777" w:rsidR="009D798A" w:rsidRPr="001D5327" w:rsidRDefault="009D798A" w:rsidP="009D798A">
      <w:pPr>
        <w:pStyle w:val="BodyText"/>
        <w:spacing w:before="100" w:after="100"/>
      </w:pPr>
      <w:r w:rsidRPr="001D5327">
        <w:t>The inventory preparation cycle has three phases: data collection and preliminary processing; final data processing and chapter preparation; and the national inventory compilation.</w:t>
      </w:r>
    </w:p>
    <w:p w14:paraId="739EC8F4" w14:textId="77777777" w:rsidR="009D798A" w:rsidRPr="001D5327" w:rsidRDefault="009D798A" w:rsidP="009D798A">
      <w:pPr>
        <w:pStyle w:val="BodyText"/>
        <w:spacing w:before="100" w:after="100"/>
      </w:pPr>
      <w:r w:rsidRPr="001D5327">
        <w:t>The first phase, data collection and preliminary processing (June to October), includes data cleansing, data checks and preliminary formatting of data for further use. This phase may also include analysing potential improvements and related recalculations involved in the inventory.</w:t>
      </w:r>
    </w:p>
    <w:p w14:paraId="2D901F98" w14:textId="77777777" w:rsidR="009D798A" w:rsidRPr="001D5327" w:rsidRDefault="009D798A" w:rsidP="009D798A">
      <w:pPr>
        <w:pStyle w:val="BodyText"/>
        <w:spacing w:before="100" w:after="100"/>
      </w:pPr>
      <w:r w:rsidRPr="001D5327">
        <w:t>The second phase of the inventory preparation (October to January) includes final data processing and drafting of sector chapters. During this phase, emissions estimates are finalised, final data quality control and verification are performed, data are uploaded into the GHG Inventory Reporting Tool to populate the CRT and sector chapters are updated, reviewed and approved.</w:t>
      </w:r>
    </w:p>
    <w:p w14:paraId="0D18D3E0" w14:textId="77777777" w:rsidR="009D798A" w:rsidRPr="001D5327" w:rsidRDefault="009D798A" w:rsidP="009D798A">
      <w:pPr>
        <w:pStyle w:val="BodyText"/>
        <w:spacing w:before="100" w:after="100"/>
      </w:pPr>
      <w:r w:rsidRPr="001D5327">
        <w:t>The final phase of the inventory preparation (February to April) includes cross-sector analyses, national inventory compilation and publication, and the production of supplementary material for New Zealand’s Minister of Climate Change and the general public.</w:t>
      </w:r>
    </w:p>
    <w:p w14:paraId="0C85010F" w14:textId="77777777" w:rsidR="009D798A" w:rsidRPr="001D5327" w:rsidRDefault="009D798A" w:rsidP="009D798A">
      <w:pPr>
        <w:pStyle w:val="BodyText"/>
        <w:spacing w:before="100" w:after="100"/>
      </w:pPr>
      <w:r w:rsidRPr="001D5327">
        <w:t>Tokelau follows the same inventory preparation cycle. The inventory data from Tokelau are prepared in November and undergo the same processes as the rest of the inventory.</w:t>
      </w:r>
    </w:p>
    <w:p w14:paraId="65865744" w14:textId="77777777" w:rsidR="009D798A" w:rsidRPr="001D5327" w:rsidRDefault="009D798A" w:rsidP="009D798A">
      <w:pPr>
        <w:pStyle w:val="BodyText"/>
        <w:spacing w:before="100" w:after="100"/>
      </w:pPr>
      <w:r w:rsidRPr="001D5327">
        <w:t>During the inventory planning and preparation cycles, the National Inventory Compiler, technical lead, QA/QC lead and inventory project lead/s have regular meetings with sector leads and experts to ensure that requirements are delivered, risks are managed, issues are addressed and the production proceeds as planned. The inventory QA/QC lead also has regular meetings with sector leads to monitor QA/QC processes and procedures that are in place to ensure the quality of the final product meets the Paris Agreement and Convention reporting requirements and the QA/QC deliverables are produced according to the agreed plan.</w:t>
      </w:r>
    </w:p>
    <w:p w14:paraId="6DCEBC18" w14:textId="77777777" w:rsidR="009D798A" w:rsidRPr="001D5327" w:rsidRDefault="009D798A" w:rsidP="009D798A">
      <w:pPr>
        <w:pStyle w:val="BodyText"/>
        <w:spacing w:before="100" w:after="100"/>
      </w:pPr>
      <w:r w:rsidRPr="001D5327">
        <w:lastRenderedPageBreak/>
        <w:t>Once cross-sectoral analyses have been completed, the key messages for the inventory, an integral part of the cross-sectoral compilation, are developed. The key inventory messages are agreed among the sector leads, National Inventory Compiler and primary peer reviewers. The key messages are used in both the national inventory document and supplementary inventory summary materials published on MfE’s website.</w:t>
      </w:r>
    </w:p>
    <w:p w14:paraId="2F12D03E" w14:textId="77777777" w:rsidR="009D798A" w:rsidRPr="001D5327" w:rsidRDefault="009D798A" w:rsidP="009D798A">
      <w:pPr>
        <w:pStyle w:val="BodyText"/>
        <w:spacing w:before="100" w:after="100"/>
      </w:pPr>
      <w:r w:rsidRPr="001D5327">
        <w:t>The National Inventory Compiler, technical lead and the QA/QC lead provide technical support and advice to the sector leads when required.</w:t>
      </w:r>
    </w:p>
    <w:p w14:paraId="7FCBA72C" w14:textId="77777777" w:rsidR="009D798A" w:rsidRPr="001D5327" w:rsidRDefault="009D798A" w:rsidP="009D798A">
      <w:pPr>
        <w:pStyle w:val="Heading3"/>
      </w:pPr>
      <w:bookmarkStart w:id="73" w:name="archiving-of-information"/>
      <w:bookmarkEnd w:id="68"/>
      <w:bookmarkEnd w:id="69"/>
      <w:bookmarkEnd w:id="72"/>
      <w:r w:rsidRPr="001D5327">
        <w:t>1.2.3</w:t>
      </w:r>
      <w:r w:rsidRPr="001D5327">
        <w:tab/>
        <w:t>Archiving of information</w:t>
      </w:r>
    </w:p>
    <w:p w14:paraId="42D93C38" w14:textId="77777777" w:rsidR="009D798A" w:rsidRPr="001D5327" w:rsidRDefault="009D798A" w:rsidP="009D798A">
      <w:pPr>
        <w:pStyle w:val="BodyText"/>
      </w:pPr>
      <w:r w:rsidRPr="001D5327">
        <w:t>To provide data security and file recovery for the inventory, the information and data are held in secured locations in MfE’s Microsoft 365 environment. MfE’s security policies and settings, including version control and retention, protect against data breach and data loss.</w:t>
      </w:r>
    </w:p>
    <w:p w14:paraId="22E8064A" w14:textId="77777777" w:rsidR="009D798A" w:rsidRPr="001D5327" w:rsidRDefault="009D798A" w:rsidP="009D798A">
      <w:pPr>
        <w:pStyle w:val="BodyText"/>
      </w:pPr>
      <w:r w:rsidRPr="001D5327">
        <w:t>New Zealand’s inventory archiving system reflects the distributed system as follows.</w:t>
      </w:r>
    </w:p>
    <w:p w14:paraId="3A460579" w14:textId="5029C2A4" w:rsidR="009D798A" w:rsidRPr="001D5327" w:rsidRDefault="009D798A" w:rsidP="009D798A">
      <w:pPr>
        <w:pStyle w:val="Bullet"/>
        <w:tabs>
          <w:tab w:val="num" w:pos="567"/>
        </w:tabs>
      </w:pPr>
      <w:r w:rsidRPr="001D5327">
        <w:t>All files for the inventory are stored in MfE’s secure file management system and backed up on several different devices held in different locations. This covers all data files and supplementary materials as part of the submission for the inventory, CRT, database back-up files from the GHG Inventory Reporting Tool, sectoral chapters, the compiled inventory, confirmations of sign-off, communication between New Zealand’s inventory team and the</w:t>
      </w:r>
      <w:r w:rsidR="009B3E30" w:rsidRPr="001D5327">
        <w:t> </w:t>
      </w:r>
      <w:r w:rsidRPr="001D5327">
        <w:t>expert review team, national inventory system documentation and other related documents for the inventory.</w:t>
      </w:r>
    </w:p>
    <w:p w14:paraId="2B4CBC77" w14:textId="77777777" w:rsidR="009D798A" w:rsidRPr="001D5327" w:rsidRDefault="009D798A" w:rsidP="009D798A">
      <w:pPr>
        <w:pStyle w:val="Bullet"/>
        <w:tabs>
          <w:tab w:val="num" w:pos="567"/>
        </w:tabs>
      </w:pPr>
      <w:r w:rsidRPr="001D5327">
        <w:t>Each agency involved in inventory compilation keeps its data in secure file systems, including communication with contractors, activity data, emission factors, preliminary calculations and specific software applications containing sectoral data models.</w:t>
      </w:r>
    </w:p>
    <w:p w14:paraId="39E6DBFA" w14:textId="77777777" w:rsidR="009D798A" w:rsidRPr="001D5327" w:rsidRDefault="009D798A" w:rsidP="009D798A">
      <w:pPr>
        <w:pStyle w:val="Bullet"/>
        <w:tabs>
          <w:tab w:val="num" w:pos="567"/>
        </w:tabs>
      </w:pPr>
      <w:r w:rsidRPr="001D5327">
        <w:t>Each agency involved in inventory compilation has security procedures in case of natural disasters, fire, flood or other accidents, which are kept at a high standard.</w:t>
      </w:r>
    </w:p>
    <w:p w14:paraId="6891C8E1" w14:textId="77777777" w:rsidR="009D798A" w:rsidRPr="001D5327" w:rsidRDefault="009D798A" w:rsidP="009D798A">
      <w:pPr>
        <w:pStyle w:val="Heading3"/>
      </w:pPr>
      <w:bookmarkStart w:id="74" w:name="X6239029cfc9e9bfa3f82f48afba269278705bbd"/>
      <w:bookmarkEnd w:id="73"/>
      <w:r w:rsidRPr="001D5327">
        <w:t>1.2.4</w:t>
      </w:r>
      <w:r w:rsidRPr="001D5327">
        <w:tab/>
        <w:t>Processes for official consideration and approval of inventory</w:t>
      </w:r>
    </w:p>
    <w:p w14:paraId="3BD44F62" w14:textId="77777777" w:rsidR="009D798A" w:rsidRPr="001D5327" w:rsidRDefault="009D798A" w:rsidP="009D798A">
      <w:pPr>
        <w:pStyle w:val="BodyText"/>
      </w:pPr>
      <w:r w:rsidRPr="001D5327">
        <w:t>New Zealand applies a hybrid (centralised-distributed) approach to the production of the inventory. MfE, as New Zealand’s inventory agency, manages and coordinates the production, compilation and publication of the inventory, and submits it to the UN Climate Change secretariat, in a centralised manner. The National Inventory Compiler is based at MfE. Designated government agencies carry out sector-specific work, which includes obtaining and processing activity data, estimating emissions, preparing sectoral CRT files and writing sectoral inventory chapters. Arrangements with these government agencies have evolved over time and continue to do so, as resources and capacity allow, in response to a growing understanding of the reporting requirements and when those requirements change.</w:t>
      </w:r>
    </w:p>
    <w:p w14:paraId="5AF62ECD" w14:textId="263315E3" w:rsidR="009D798A" w:rsidRPr="001D5327" w:rsidRDefault="009D798A" w:rsidP="009D798A">
      <w:pPr>
        <w:pStyle w:val="BodyText"/>
      </w:pPr>
      <w:r w:rsidRPr="001D5327">
        <w:t>Inventory governance within each sector, as well as sector-level quality control, is managed by</w:t>
      </w:r>
      <w:r w:rsidR="00676B2F" w:rsidRPr="001D5327">
        <w:t> </w:t>
      </w:r>
      <w:r w:rsidRPr="001D5327">
        <w:t xml:space="preserve">the agency responsible for the sector. The Reporting Governance Group (RGG) provides cross-agency governance over New Zealand’s international climate change reporting obligations, including the production of the inventory and projections of GHG emissions and removals for other international reports. The RGG is chaired by the manager of the inventory compilation project team (within MfE). Its membership includes representation from other teams within MfE, the Ministry for Primary Industries (MPI) and the Ministry of Business, Innovation and Employment (MBIE), as well as observers (Ministry of Foreign Affairs and </w:t>
      </w:r>
      <w:r w:rsidRPr="001D5327">
        <w:lastRenderedPageBreak/>
        <w:t>Trade, Ministry of Transport, the Environmental Protection Authority (EPA), Government of Tokelau and Stats NZ). The main roles and expectations of the RGG include:</w:t>
      </w:r>
    </w:p>
    <w:p w14:paraId="316E6443" w14:textId="77777777" w:rsidR="009D798A" w:rsidRPr="001D5327" w:rsidRDefault="009D798A" w:rsidP="009D798A">
      <w:pPr>
        <w:pStyle w:val="Bullet"/>
        <w:tabs>
          <w:tab w:val="num" w:pos="567"/>
        </w:tabs>
      </w:pPr>
      <w:r w:rsidRPr="001D5327">
        <w:t>guiding, conferring and approving (on the basis of advice from technical experts) major inventory recalculations and improvements; GHG emissions projections and their assumptions; analytical systems and tools for climate change reporting; planning and priorities; key messages; and management of stakeholders and risks</w:t>
      </w:r>
    </w:p>
    <w:p w14:paraId="7309267E" w14:textId="77777777" w:rsidR="009D798A" w:rsidRPr="001D5327" w:rsidRDefault="009D798A" w:rsidP="009D798A">
      <w:pPr>
        <w:pStyle w:val="Bullet"/>
        <w:tabs>
          <w:tab w:val="num" w:pos="567"/>
        </w:tabs>
      </w:pPr>
      <w:r w:rsidRPr="001D5327">
        <w:t>focusing on the delivery of reporting commitments to meet national and international requirements</w:t>
      </w:r>
    </w:p>
    <w:p w14:paraId="4116ACE7" w14:textId="77777777" w:rsidR="009D798A" w:rsidRPr="001D5327" w:rsidRDefault="009D798A" w:rsidP="009D798A">
      <w:pPr>
        <w:pStyle w:val="Bullet"/>
        <w:tabs>
          <w:tab w:val="num" w:pos="567"/>
        </w:tabs>
      </w:pPr>
      <w:r w:rsidRPr="001D5327">
        <w:t>providing reporting leadership and guidance to analysts and technical specialists involved in this work</w:t>
      </w:r>
    </w:p>
    <w:p w14:paraId="1DF400F2" w14:textId="77777777" w:rsidR="009D798A" w:rsidRPr="001D5327" w:rsidRDefault="009D798A" w:rsidP="009D798A">
      <w:pPr>
        <w:pStyle w:val="Bullet"/>
        <w:tabs>
          <w:tab w:val="num" w:pos="567"/>
        </w:tabs>
      </w:pPr>
      <w:r w:rsidRPr="001D5327">
        <w:t>sharing information, providing feedback and resolving any differences among agencies that impact on the delivery of the inventory work programme.</w:t>
      </w:r>
    </w:p>
    <w:p w14:paraId="34D51463" w14:textId="77777777" w:rsidR="009D798A" w:rsidRPr="001D5327" w:rsidRDefault="009D798A" w:rsidP="009D798A">
      <w:pPr>
        <w:pStyle w:val="BodyText"/>
      </w:pPr>
      <w:r w:rsidRPr="001D5327">
        <w:t>In addition to its overall inventory coordination role, MfE compiles estimates for the IPPU, LULUCF and Waste sectors and for Tokelau. This includes:</w:t>
      </w:r>
    </w:p>
    <w:p w14:paraId="6D7BF6F3" w14:textId="77777777" w:rsidR="009D798A" w:rsidRPr="001D5327" w:rsidRDefault="009D798A" w:rsidP="009D798A">
      <w:pPr>
        <w:pStyle w:val="Bullet"/>
        <w:tabs>
          <w:tab w:val="num" w:pos="567"/>
        </w:tabs>
      </w:pPr>
      <w:r w:rsidRPr="001D5327">
        <w:t>compiling emissions estimates for the IPPU sector (non-CO</w:t>
      </w:r>
      <w:r w:rsidRPr="001D5327">
        <w:rPr>
          <w:vertAlign w:val="subscript"/>
        </w:rPr>
        <w:t>2</w:t>
      </w:r>
      <w:r w:rsidRPr="001D5327">
        <w:t xml:space="preserve"> gases through industry surveys and the coordination of CO</w:t>
      </w:r>
      <w:r w:rsidRPr="001D5327">
        <w:rPr>
          <w:vertAlign w:val="subscript"/>
        </w:rPr>
        <w:t>2</w:t>
      </w:r>
      <w:r w:rsidRPr="001D5327">
        <w:t xml:space="preserve"> emissions estimates with data provided by MBIE and the EPA)</w:t>
      </w:r>
    </w:p>
    <w:p w14:paraId="47BDB213" w14:textId="77777777" w:rsidR="009D798A" w:rsidRPr="001D5327" w:rsidRDefault="009D798A" w:rsidP="009D798A">
      <w:pPr>
        <w:pStyle w:val="Bullet"/>
        <w:tabs>
          <w:tab w:val="num" w:pos="567"/>
        </w:tabs>
      </w:pPr>
      <w:r w:rsidRPr="001D5327">
        <w:t>compiling emissions estimates for the Waste sector (sources of data include mandatory reporting under the Waste Minimisation Act 2008 and the New Zealand Emissions Trading Scheme (NZ ETS) or through targeted surveys)</w:t>
      </w:r>
    </w:p>
    <w:p w14:paraId="53656F06" w14:textId="77777777" w:rsidR="009D798A" w:rsidRPr="001D5327" w:rsidRDefault="009D798A" w:rsidP="009D798A">
      <w:pPr>
        <w:pStyle w:val="Bullet"/>
        <w:tabs>
          <w:tab w:val="num" w:pos="567"/>
        </w:tabs>
      </w:pPr>
      <w:r w:rsidRPr="001D5327">
        <w:t>compiling emissions and removals estimates for the LULUCF sector, requiring:</w:t>
      </w:r>
    </w:p>
    <w:p w14:paraId="75611723" w14:textId="11E900EA" w:rsidR="009D798A" w:rsidRPr="001D5327" w:rsidRDefault="009D798A" w:rsidP="00676B2F">
      <w:pPr>
        <w:pStyle w:val="Sub-bullet"/>
      </w:pPr>
      <w:r w:rsidRPr="001D5327">
        <w:t>field measurement programmes</w:t>
      </w:r>
    </w:p>
    <w:p w14:paraId="28C19161" w14:textId="28B62CE2" w:rsidR="009D798A" w:rsidRPr="001D5327" w:rsidRDefault="009D798A" w:rsidP="009D798A">
      <w:pPr>
        <w:pStyle w:val="Sub-bullet"/>
      </w:pPr>
      <w:r w:rsidRPr="001D5327">
        <w:t>land use mapping from satellite imagery</w:t>
      </w:r>
    </w:p>
    <w:p w14:paraId="24F2ECDD" w14:textId="30EF77B8" w:rsidR="009D798A" w:rsidRPr="001D5327" w:rsidRDefault="009D798A" w:rsidP="009D798A">
      <w:pPr>
        <w:pStyle w:val="Sub-bullet"/>
      </w:pPr>
      <w:r w:rsidRPr="001D5327">
        <w:t>collation of supplementary data on forestry grant schemes, forest harvest volumes, harvested wood products production and non-CO</w:t>
      </w:r>
      <w:r w:rsidRPr="001D5327">
        <w:rPr>
          <w:vertAlign w:val="subscript"/>
        </w:rPr>
        <w:t>2</w:t>
      </w:r>
      <w:r w:rsidRPr="001D5327">
        <w:t xml:space="preserve"> emissions that are collected through surveys</w:t>
      </w:r>
    </w:p>
    <w:p w14:paraId="16759DB9" w14:textId="77777777" w:rsidR="009D798A" w:rsidRPr="001D5327" w:rsidRDefault="009D798A" w:rsidP="009D798A">
      <w:pPr>
        <w:pStyle w:val="Bullet"/>
        <w:tabs>
          <w:tab w:val="num" w:pos="567"/>
        </w:tabs>
      </w:pPr>
      <w:r w:rsidRPr="001D5327">
        <w:t>compiling emissions estimates for Tokelau, requiring coordination of the preparation of Tokelau’s inventory data and information with the Tokelau Ministry of Climate, Oceans and Resilience (MiCORE).</w:t>
      </w:r>
    </w:p>
    <w:p w14:paraId="393087F7" w14:textId="77777777" w:rsidR="009D798A" w:rsidRPr="001D5327" w:rsidRDefault="009D798A" w:rsidP="009D798A">
      <w:pPr>
        <w:pStyle w:val="BodyText"/>
      </w:pPr>
      <w:r w:rsidRPr="001D5327">
        <w:t xml:space="preserve">MBIE estimates all emissions from the Energy sector based in part on NZ ETS returns. </w:t>
      </w:r>
    </w:p>
    <w:p w14:paraId="15DCECB2" w14:textId="77777777" w:rsidR="009D798A" w:rsidRPr="001D5327" w:rsidRDefault="009D798A" w:rsidP="009D798A">
      <w:pPr>
        <w:pStyle w:val="BodyText"/>
      </w:pPr>
      <w:r w:rsidRPr="001D5327">
        <w:t>MPI estimates emissions from the Agriculture sector. The estimates are underpinned by research and modelling undertaken at New Zealand’s Crown research institutes, universities and private research companies, and survey data collected by the national statistics agency Stats NZ and key sector organisations.</w:t>
      </w:r>
    </w:p>
    <w:p w14:paraId="57711399" w14:textId="77777777" w:rsidR="009D798A" w:rsidRPr="001D5327" w:rsidRDefault="009D798A" w:rsidP="009D798A">
      <w:pPr>
        <w:pStyle w:val="BodyText"/>
      </w:pPr>
      <w:r w:rsidRPr="001D5327">
        <w:t>MiCORE and the Tokelau National Statistics Office coordinate efforts in activity data collection and data processing to estimate emissions from Tokelau for all inventory sectors.</w:t>
      </w:r>
    </w:p>
    <w:p w14:paraId="2809B17F" w14:textId="77777777" w:rsidR="009D798A" w:rsidRPr="001D5327" w:rsidRDefault="009D798A" w:rsidP="009D798A">
      <w:pPr>
        <w:pStyle w:val="BodyText"/>
      </w:pPr>
      <w:r w:rsidRPr="001D5327">
        <w:t>The Climate Change Response Act 2002 establishes the requirement for an emissions trading registry and a registrar. The EPA is the designated agency responsible for managing the administration of the NZ ETS and implementing and operating New Zealand’s national registry, the New Zealand Emissions Trading Register.</w:t>
      </w:r>
    </w:p>
    <w:p w14:paraId="16EB119B" w14:textId="77777777" w:rsidR="009D798A" w:rsidRPr="001D5327" w:rsidRDefault="009D798A" w:rsidP="009D798A">
      <w:pPr>
        <w:pStyle w:val="BodyText"/>
      </w:pPr>
      <w:r w:rsidRPr="001D5327">
        <w:lastRenderedPageBreak/>
        <w:t>The EPA collects and publishes information on emissions.</w:t>
      </w:r>
      <w:r w:rsidRPr="001D5327">
        <w:rPr>
          <w:rStyle w:val="FootnoteReference"/>
        </w:rPr>
        <w:footnoteReference w:id="11"/>
      </w:r>
      <w:r w:rsidRPr="001D5327">
        <w:t xml:space="preserve"> The inventory arrangements are presented in figure 1.2.2, which shows the specific responsibilities of different agencies involved in the inventory production as well as their contribution to the submission.</w:t>
      </w:r>
    </w:p>
    <w:p w14:paraId="530F3130" w14:textId="77777777" w:rsidR="009D798A" w:rsidRPr="001D5327" w:rsidRDefault="009D798A" w:rsidP="009D798A">
      <w:pPr>
        <w:pStyle w:val="Figure"/>
      </w:pPr>
      <w:bookmarkStart w:id="75" w:name="_Toc194674821"/>
      <w:r w:rsidRPr="001D5327">
        <w:rPr>
          <w:bCs/>
        </w:rPr>
        <w:t>Figure 1.2.2</w:t>
      </w:r>
      <w:r w:rsidRPr="001D5327">
        <w:rPr>
          <w:bCs/>
        </w:rPr>
        <w:tab/>
        <w:t>New Zealand’s inventory system at a glance: how different agencies are involved</w:t>
      </w:r>
      <w:bookmarkEnd w:id="75"/>
    </w:p>
    <w:p w14:paraId="08DEDC07" w14:textId="77777777" w:rsidR="009D798A" w:rsidRPr="001D5327" w:rsidRDefault="009D798A" w:rsidP="009D798A">
      <w:pPr>
        <w:pStyle w:val="BodyText"/>
      </w:pPr>
      <w:r w:rsidRPr="001D5327">
        <w:rPr>
          <w:noProof/>
        </w:rPr>
        <w:drawing>
          <wp:inline distT="0" distB="0" distL="0" distR="0" wp14:anchorId="64E3FFBF" wp14:editId="19D73C13">
            <wp:extent cx="5264727" cy="7142018"/>
            <wp:effectExtent l="0" t="0" r="0" b="1905"/>
            <wp:docPr id="41" name="Picture"/>
            <wp:cNvGraphicFramePr/>
            <a:graphic xmlns:a="http://schemas.openxmlformats.org/drawingml/2006/main">
              <a:graphicData uri="http://schemas.openxmlformats.org/drawingml/2006/picture">
                <pic:pic xmlns:pic="http://schemas.openxmlformats.org/drawingml/2006/picture">
                  <pic:nvPicPr>
                    <pic:cNvPr id="42" name="Picture" descr="images/fig_1_2_1.png"/>
                    <pic:cNvPicPr>
                      <a:picLocks noChangeAspect="1" noChangeArrowheads="1"/>
                    </pic:cNvPicPr>
                  </pic:nvPicPr>
                  <pic:blipFill>
                    <a:blip r:embed="rId33"/>
                    <a:stretch>
                      <a:fillRect/>
                    </a:stretch>
                  </pic:blipFill>
                  <pic:spPr bwMode="auto">
                    <a:xfrm>
                      <a:off x="0" y="0"/>
                      <a:ext cx="5270667" cy="7150076"/>
                    </a:xfrm>
                    <a:prstGeom prst="rect">
                      <a:avLst/>
                    </a:prstGeom>
                    <a:noFill/>
                    <a:ln w="9525">
                      <a:noFill/>
                      <a:headEnd/>
                      <a:tailEnd/>
                    </a:ln>
                  </pic:spPr>
                </pic:pic>
              </a:graphicData>
            </a:graphic>
          </wp:inline>
        </w:drawing>
      </w:r>
    </w:p>
    <w:p w14:paraId="68ABA6FF" w14:textId="77777777" w:rsidR="009D798A" w:rsidRPr="001D5327" w:rsidRDefault="009D798A" w:rsidP="00DC03B4">
      <w:pPr>
        <w:pStyle w:val="BodyText"/>
        <w:spacing w:before="100" w:after="100"/>
      </w:pPr>
      <w:r w:rsidRPr="001D5327">
        <w:lastRenderedPageBreak/>
        <w:t xml:space="preserve">The National Inventory Compiler coordinates the calculation of level and trend uncertainties, </w:t>
      </w:r>
      <w:r w:rsidRPr="001D5327">
        <w:rPr>
          <w:spacing w:val="-2"/>
        </w:rPr>
        <w:t>along with key category assessment, and finalises the inventory. The inventory is then approved</w:t>
      </w:r>
      <w:r w:rsidRPr="001D5327">
        <w:t xml:space="preserve"> for publication by the New Zealand Secretary for the Environment or their delegate before submission to the UN Climate Change secretariat.</w:t>
      </w:r>
    </w:p>
    <w:p w14:paraId="1C327628" w14:textId="77777777" w:rsidR="009D798A" w:rsidRPr="001D5327" w:rsidRDefault="009D798A" w:rsidP="00DC03B4">
      <w:pPr>
        <w:pStyle w:val="BodyText"/>
        <w:spacing w:before="100" w:after="100"/>
      </w:pPr>
      <w:r w:rsidRPr="001D5327">
        <w:t>The inventory is published on the MfE and UN Climate Change websites.</w:t>
      </w:r>
    </w:p>
    <w:p w14:paraId="56EB9720" w14:textId="77777777" w:rsidR="009D798A" w:rsidRPr="001D5327" w:rsidRDefault="009D798A" w:rsidP="00DC03B4">
      <w:pPr>
        <w:pStyle w:val="Heading2"/>
        <w:spacing w:before="320"/>
      </w:pPr>
      <w:bookmarkStart w:id="76" w:name="_Toc194311986"/>
      <w:bookmarkStart w:id="77" w:name="X1e54e5c0172711af95132e44afd7fc53a8ddb8f"/>
      <w:bookmarkEnd w:id="66"/>
      <w:bookmarkEnd w:id="74"/>
      <w:r w:rsidRPr="001D5327">
        <w:t>1.3</w:t>
      </w:r>
      <w:r w:rsidRPr="001D5327">
        <w:tab/>
        <w:t>Brief general description of methodologies (including tiers used) and data sources used</w:t>
      </w:r>
      <w:bookmarkEnd w:id="76"/>
    </w:p>
    <w:p w14:paraId="2711821D" w14:textId="77777777" w:rsidR="009D798A" w:rsidRPr="001D5327" w:rsidRDefault="009D798A" w:rsidP="00DC03B4">
      <w:pPr>
        <w:pStyle w:val="BodyText"/>
        <w:spacing w:after="100"/>
      </w:pPr>
      <w:r w:rsidRPr="001D5327">
        <w:t>The guiding documents underpinning the inventory’s preparation are the Paris Agreement, decisions taken at the first session of the Conference of the Parties serving as the meeting of the Parties to the Paris Agreement (UNFCCC, 2018a), the modalities, procedures and guidelines for the transparency framework for action and support referred to in Article 13 of the Paris Agreement (UNFCCC, 2018b) and the guidance operationalising the modalities, procedures and guidelines for the enhanced transparency framework referred to in Article 13 of the Paris Agreement (UNFCCC, 2021).</w:t>
      </w:r>
    </w:p>
    <w:p w14:paraId="65B9640E" w14:textId="77777777" w:rsidR="009D798A" w:rsidRPr="001D5327" w:rsidRDefault="009D798A" w:rsidP="00DC03B4">
      <w:pPr>
        <w:pStyle w:val="BodyText"/>
        <w:spacing w:after="100"/>
      </w:pPr>
      <w:r w:rsidRPr="001D5327">
        <w:t xml:space="preserve">New Zealand applies methodologies for estimating GHG emissions and sinks that utilise a combination of country-specific and IPCC methodologies and emission factors. These methods are consistent with the 2006 IPCC Guidelines (IPCC, 2006a). The IPCC (2006a) provides a number of possible methodologies for calculating emissions or removals from a given sector and category. In most cases, these possibilities represent calculations of the same form, while differing in the level of detail at which the calculations are carried out. </w:t>
      </w:r>
    </w:p>
    <w:p w14:paraId="14405EE8" w14:textId="7AD38AC9" w:rsidR="009D798A" w:rsidRPr="001D5327" w:rsidRDefault="009D798A" w:rsidP="00DC03B4">
      <w:pPr>
        <w:pStyle w:val="BodyText"/>
        <w:spacing w:after="100"/>
      </w:pPr>
      <w:r w:rsidRPr="001D5327">
        <w:t>The methodologies are provided in a structure of three tiers that describe and connect the various levels of detail at which estimates can be made. The choice of method depends on factors such as the importance of the inventory category and the availability of data. The tiered structure ensures that estimates calculated at a highly detailed level can be aggregated up to a common minimum level of detail for comparison with all other reporting countries. The</w:t>
      </w:r>
      <w:r w:rsidR="00DC03B4" w:rsidRPr="001D5327">
        <w:t> </w:t>
      </w:r>
      <w:r w:rsidRPr="001D5327">
        <w:t>methods for estimating emissions and/or removals are distinguished between the tiers as</w:t>
      </w:r>
      <w:r w:rsidR="00DC03B4" w:rsidRPr="001D5327">
        <w:t> </w:t>
      </w:r>
      <w:r w:rsidRPr="001D5327">
        <w:t>follows.</w:t>
      </w:r>
    </w:p>
    <w:p w14:paraId="04859A64" w14:textId="77777777" w:rsidR="009D798A" w:rsidRPr="001D5327" w:rsidRDefault="009D798A" w:rsidP="00DC03B4">
      <w:pPr>
        <w:pStyle w:val="Bullet"/>
        <w:tabs>
          <w:tab w:val="num" w:pos="567"/>
        </w:tabs>
        <w:spacing w:after="100"/>
      </w:pPr>
      <w:r w:rsidRPr="001D5327">
        <w:t>Tier 1 methods apply IPCC default emission factors and use IPCC default methods.</w:t>
      </w:r>
    </w:p>
    <w:p w14:paraId="148092F9" w14:textId="77777777" w:rsidR="009D798A" w:rsidRPr="001D5327" w:rsidRDefault="009D798A" w:rsidP="00DC03B4">
      <w:pPr>
        <w:pStyle w:val="Bullet"/>
        <w:tabs>
          <w:tab w:val="num" w:pos="567"/>
        </w:tabs>
        <w:spacing w:after="100"/>
      </w:pPr>
      <w:r w:rsidRPr="001D5327">
        <w:t>Tier 2 methods apply country-specific emission factors and use IPCC default methods.</w:t>
      </w:r>
    </w:p>
    <w:p w14:paraId="2393071E" w14:textId="77777777" w:rsidR="009D798A" w:rsidRPr="001D5327" w:rsidRDefault="009D798A" w:rsidP="00DC03B4">
      <w:pPr>
        <w:pStyle w:val="Bullet"/>
        <w:tabs>
          <w:tab w:val="num" w:pos="567"/>
        </w:tabs>
        <w:spacing w:after="100"/>
      </w:pPr>
      <w:r w:rsidRPr="001D5327">
        <w:t>Tier 3 methods apply country-specific emission factors and use country-specific methods.</w:t>
      </w:r>
    </w:p>
    <w:p w14:paraId="5A84C743" w14:textId="77777777" w:rsidR="009D798A" w:rsidRPr="001D5327" w:rsidRDefault="009D798A" w:rsidP="009D798A">
      <w:pPr>
        <w:pStyle w:val="BodyText"/>
      </w:pPr>
      <w:r w:rsidRPr="001D5327">
        <w:t>This section provides a brief description of the methodology for each sector in the inventory. Refer to each sector chapter for more details.</w:t>
      </w:r>
    </w:p>
    <w:p w14:paraId="32DD4C7A" w14:textId="77777777" w:rsidR="009D798A" w:rsidRPr="001D5327" w:rsidRDefault="009D798A" w:rsidP="009D798A">
      <w:pPr>
        <w:pStyle w:val="Heading4"/>
      </w:pPr>
      <w:r w:rsidRPr="001D5327">
        <w:t>Energy</w:t>
      </w:r>
    </w:p>
    <w:p w14:paraId="6ECBB6D0" w14:textId="77777777" w:rsidR="009D798A" w:rsidRPr="001D5327" w:rsidRDefault="009D798A" w:rsidP="009D798A">
      <w:pPr>
        <w:pStyle w:val="BodyText"/>
      </w:pPr>
      <w:r w:rsidRPr="001D5327">
        <w:t>Greenhouse gas emissions from the Energy sector are calculated using a detailed sectoral approach that applies a mixture of Tier 1, Tier 2 and Tier 3 methods. Higher-tier methods are applied to key categories. This bottom-up approach is demand-based: it involves processing energy data collected on a regular basis through various surveys. For verification, New Zealand also applies the IPCC reference approach to estimate CO</w:t>
      </w:r>
      <w:r w:rsidRPr="001D5327">
        <w:rPr>
          <w:vertAlign w:val="subscript"/>
        </w:rPr>
        <w:t>2</w:t>
      </w:r>
      <w:r w:rsidRPr="001D5327">
        <w:t xml:space="preserve"> emissions from fuel combustion for the time series 1990 to 2023 (see annex 3).</w:t>
      </w:r>
    </w:p>
    <w:p w14:paraId="1831493E" w14:textId="77777777" w:rsidR="009D798A" w:rsidRPr="001D5327" w:rsidRDefault="009D798A" w:rsidP="009D798A">
      <w:pPr>
        <w:pStyle w:val="BodyText"/>
      </w:pPr>
      <w:r w:rsidRPr="001D5327">
        <w:t xml:space="preserve">The activity data used for the sectoral approach are referred to as ‘observed’ energy-use figures. These are based on surveys and questionnaires administered by MBIE. The differences between ‘calculated’ and ‘observed’ figures are reported as statistical differences in the energy </w:t>
      </w:r>
      <w:r w:rsidRPr="001D5327">
        <w:lastRenderedPageBreak/>
        <w:t xml:space="preserve">balance tables released along with </w:t>
      </w:r>
      <w:r w:rsidRPr="001D5327">
        <w:rPr>
          <w:i/>
          <w:iCs/>
        </w:rPr>
        <w:t>Energy in New Zealand</w:t>
      </w:r>
      <w:r w:rsidRPr="001D5327">
        <w:t xml:space="preserve"> (MBIE, 2024a). Note that, due to the intervening time between the publication of </w:t>
      </w:r>
      <w:r w:rsidRPr="001D5327">
        <w:rPr>
          <w:i/>
          <w:iCs/>
        </w:rPr>
        <w:t>Energy in New Zealand</w:t>
      </w:r>
      <w:r w:rsidRPr="001D5327">
        <w:t xml:space="preserve"> and the preparation of this submission, some data revisions may have occurred.</w:t>
      </w:r>
    </w:p>
    <w:p w14:paraId="35D396C8" w14:textId="77777777" w:rsidR="009D798A" w:rsidRPr="001D5327" w:rsidRDefault="009D798A" w:rsidP="009D798A">
      <w:pPr>
        <w:pStyle w:val="Heading4"/>
      </w:pPr>
      <w:bookmarkStart w:id="78" w:name="ippu"/>
      <w:r w:rsidRPr="001D5327">
        <w:t>IPPU</w:t>
      </w:r>
    </w:p>
    <w:p w14:paraId="114C4688" w14:textId="77777777" w:rsidR="009D798A" w:rsidRPr="001D5327" w:rsidRDefault="009D798A" w:rsidP="00DC03B4">
      <w:pPr>
        <w:pStyle w:val="BodyText"/>
        <w:spacing w:before="100" w:after="100"/>
      </w:pPr>
      <w:r w:rsidRPr="001D5327">
        <w:t>New Zealand uses a combination of IPCC Tier 1 and Tier 2 methods for the IPPU sector. Tier 2 methods are used for all key categories. Country-specific emission factors are used where available, including for emissions of indirect GHGs.</w:t>
      </w:r>
    </w:p>
    <w:p w14:paraId="363A9B03" w14:textId="77777777" w:rsidR="009D798A" w:rsidRPr="001D5327" w:rsidRDefault="009D798A" w:rsidP="00DC03B4">
      <w:pPr>
        <w:pStyle w:val="BodyText"/>
        <w:spacing w:before="100" w:after="100"/>
      </w:pPr>
      <w:r w:rsidRPr="001D5327">
        <w:t xml:space="preserve">For the </w:t>
      </w:r>
      <w:r w:rsidRPr="001D5327">
        <w:rPr>
          <w:i/>
          <w:iCs/>
        </w:rPr>
        <w:t>Product uses as substitutes for ODS</w:t>
      </w:r>
      <w:r w:rsidRPr="001D5327">
        <w:t xml:space="preserve"> category, updated activity data are obtained through a detailed annual survey covering the electrical, refrigeration and other industry participants (Verum Group Ltd, unpublished), as well as importers of HFCs and other substances in this category.</w:t>
      </w:r>
    </w:p>
    <w:p w14:paraId="01598022" w14:textId="77777777" w:rsidR="009D798A" w:rsidRPr="001D5327" w:rsidRDefault="009D798A" w:rsidP="00DC03B4">
      <w:pPr>
        <w:pStyle w:val="BodyText"/>
        <w:spacing w:before="100" w:after="100"/>
      </w:pPr>
      <w:r w:rsidRPr="001D5327">
        <w:t xml:space="preserve">For small amounts of indirect GHG emissions reported in the </w:t>
      </w:r>
      <w:r w:rsidRPr="001D5327">
        <w:rPr>
          <w:i/>
          <w:iCs/>
        </w:rPr>
        <w:t>Chemical industry</w:t>
      </w:r>
      <w:r w:rsidRPr="001D5327">
        <w:t xml:space="preserve"> category and the </w:t>
      </w:r>
      <w:r w:rsidRPr="001D5327">
        <w:rPr>
          <w:i/>
          <w:iCs/>
        </w:rPr>
        <w:t>Other product manufacture and use</w:t>
      </w:r>
      <w:r w:rsidRPr="001D5327">
        <w:t xml:space="preserve"> category, data were obtained by a detailed industry survey and analysis in 2006 (CRL Energy, unpublished). Emissions and activity data have been extrapolated for the years since that time.</w:t>
      </w:r>
    </w:p>
    <w:bookmarkEnd w:id="78"/>
    <w:p w14:paraId="61955B1C" w14:textId="77777777" w:rsidR="009D798A" w:rsidRPr="001D5327" w:rsidRDefault="009D798A" w:rsidP="009D798A">
      <w:pPr>
        <w:pStyle w:val="Heading4"/>
      </w:pPr>
      <w:r w:rsidRPr="001D5327">
        <w:t>Agriculture</w:t>
      </w:r>
    </w:p>
    <w:p w14:paraId="39D53B4F" w14:textId="77777777" w:rsidR="009D798A" w:rsidRPr="001D5327" w:rsidRDefault="009D798A" w:rsidP="00DC03B4">
      <w:pPr>
        <w:pStyle w:val="BodyText"/>
        <w:spacing w:before="100" w:after="100"/>
      </w:pPr>
      <w:r w:rsidRPr="001D5327">
        <w:t>New Zealand has developed a largely Tier 2 (with some Tier 1 aspects and other aspects reflecting Tier 3) methodology with country-specific emission factors for a range of emissions sources. This methodology uses detailed data on livestock population and production to calculate livestock energy requirements for four major livestock categories (</w:t>
      </w:r>
      <w:r w:rsidRPr="001D5327">
        <w:rPr>
          <w:i/>
          <w:iCs/>
        </w:rPr>
        <w:t>Dairy cattle</w:t>
      </w:r>
      <w:r w:rsidRPr="001D5327">
        <w:t xml:space="preserve">, </w:t>
      </w:r>
      <w:r w:rsidRPr="001D5327">
        <w:rPr>
          <w:i/>
          <w:iCs/>
        </w:rPr>
        <w:t>Non</w:t>
      </w:r>
      <w:r w:rsidRPr="001D5327">
        <w:rPr>
          <w:i/>
          <w:iCs/>
        </w:rPr>
        <w:noBreakHyphen/>
        <w:t>dairy</w:t>
      </w:r>
      <w:r w:rsidRPr="001D5327">
        <w:t xml:space="preserve"> (beef) </w:t>
      </w:r>
      <w:r w:rsidRPr="001D5327">
        <w:rPr>
          <w:i/>
          <w:iCs/>
        </w:rPr>
        <w:t>cattle</w:t>
      </w:r>
      <w:r w:rsidRPr="001D5327">
        <w:t xml:space="preserve">, </w:t>
      </w:r>
      <w:r w:rsidRPr="001D5327">
        <w:rPr>
          <w:i/>
          <w:iCs/>
        </w:rPr>
        <w:t>Sheep</w:t>
      </w:r>
      <w:r w:rsidRPr="001D5327">
        <w:t xml:space="preserve"> and </w:t>
      </w:r>
      <w:r w:rsidRPr="001D5327">
        <w:rPr>
          <w:i/>
          <w:iCs/>
        </w:rPr>
        <w:t>Deer</w:t>
      </w:r>
      <w:r w:rsidRPr="001D5327">
        <w:t>). Other livestock are classified as ‘minor’ due to their small total contribution to agricultural emissions and are outlined below. Animal population data are collected by Stats NZ. Productivity data are available from the Livestock Improvement Corporation and industry organisations, such as Beef + Lamb New Zealand Ltd and Dairy NZ, which regularly collect animal sector statistics. Statistics on animal carcass weights are collected by MPI and are used to derive live weights.</w:t>
      </w:r>
    </w:p>
    <w:p w14:paraId="4451077C" w14:textId="07881553" w:rsidR="009D798A" w:rsidRPr="001D5327" w:rsidRDefault="009D798A" w:rsidP="00DC03B4">
      <w:pPr>
        <w:pStyle w:val="BodyText"/>
        <w:spacing w:before="100" w:after="100"/>
      </w:pPr>
      <w:r w:rsidRPr="001D5327">
        <w:t>Other livestock species combined (</w:t>
      </w:r>
      <w:r w:rsidRPr="001D5327">
        <w:rPr>
          <w:i/>
          <w:iCs/>
        </w:rPr>
        <w:t>Swine</w:t>
      </w:r>
      <w:r w:rsidRPr="001D5327">
        <w:t xml:space="preserve">, </w:t>
      </w:r>
      <w:r w:rsidRPr="001D5327">
        <w:rPr>
          <w:i/>
          <w:iCs/>
        </w:rPr>
        <w:t>Goats</w:t>
      </w:r>
      <w:r w:rsidRPr="001D5327">
        <w:t xml:space="preserve">, </w:t>
      </w:r>
      <w:r w:rsidRPr="001D5327">
        <w:rPr>
          <w:i/>
          <w:iCs/>
        </w:rPr>
        <w:t>Horses</w:t>
      </w:r>
      <w:r w:rsidRPr="001D5327">
        <w:t xml:space="preserve">, </w:t>
      </w:r>
      <w:r w:rsidRPr="001D5327">
        <w:rPr>
          <w:i/>
          <w:iCs/>
        </w:rPr>
        <w:t>Llamas and alpacas</w:t>
      </w:r>
      <w:r w:rsidRPr="001D5327">
        <w:t xml:space="preserve">, </w:t>
      </w:r>
      <w:r w:rsidRPr="001D5327">
        <w:rPr>
          <w:i/>
          <w:iCs/>
        </w:rPr>
        <w:t>Mules and asses</w:t>
      </w:r>
      <w:r w:rsidR="009B3E30" w:rsidRPr="001D5327">
        <w:t> </w:t>
      </w:r>
      <w:r w:rsidRPr="001D5327">
        <w:t xml:space="preserve">and </w:t>
      </w:r>
      <w:r w:rsidRPr="001D5327">
        <w:rPr>
          <w:i/>
          <w:iCs/>
        </w:rPr>
        <w:t>Poultry</w:t>
      </w:r>
      <w:r w:rsidRPr="001D5327">
        <w:t>) account for less than 0.5 per cent of New Zealand’s agriculture emissions. Emissions from these minor livestock species are estimated using Tier 1 methods. Where information is available, New Zealand has used country-specific emission methodology and factors. There is no known farming of fur-bearing animals in New Zealand.</w:t>
      </w:r>
    </w:p>
    <w:p w14:paraId="73990C51" w14:textId="77777777" w:rsidR="009D798A" w:rsidRPr="001D5327" w:rsidRDefault="009D798A" w:rsidP="00DC03B4">
      <w:pPr>
        <w:pStyle w:val="BodyText"/>
        <w:spacing w:before="100" w:after="100"/>
      </w:pPr>
      <w:r w:rsidRPr="001D5327">
        <w:t xml:space="preserve">For estimating emissions from the </w:t>
      </w:r>
      <w:r w:rsidRPr="001D5327">
        <w:rPr>
          <w:i/>
          <w:iCs/>
        </w:rPr>
        <w:t>Agricultural soils</w:t>
      </w:r>
      <w:r w:rsidRPr="001D5327">
        <w:t xml:space="preserve"> category, New Zealand uses methodologies based on the 2006 IPCC Guidelines (IPCC, 2006d), the outputs of the Tier 2 livestock population characterisation, modelling of the livestock nutrition and energy requirements, and data on the application of nitrogen fertilisers. New Zealand uses a combination of default and country-specific emission factors and parameters to calculate N</w:t>
      </w:r>
      <w:r w:rsidRPr="001D5327">
        <w:rPr>
          <w:vertAlign w:val="subscript"/>
        </w:rPr>
        <w:t>2</w:t>
      </w:r>
      <w:r w:rsidRPr="001D5327">
        <w:t xml:space="preserve">O emissions from the </w:t>
      </w:r>
      <w:r w:rsidRPr="001D5327">
        <w:rPr>
          <w:i/>
          <w:iCs/>
        </w:rPr>
        <w:t>Agricultural soils</w:t>
      </w:r>
      <w:r w:rsidRPr="001D5327">
        <w:t xml:space="preserve"> category.</w:t>
      </w:r>
    </w:p>
    <w:p w14:paraId="517A6B52" w14:textId="58F10E3D" w:rsidR="009D798A" w:rsidRPr="001D5327" w:rsidRDefault="009D798A" w:rsidP="00DC03B4">
      <w:pPr>
        <w:pStyle w:val="BodyText"/>
        <w:spacing w:before="100" w:after="100"/>
      </w:pPr>
      <w:r w:rsidRPr="001D5327">
        <w:t xml:space="preserve">Details on these emission factors and parameters are given in chapter 5 (tables 5.5.2, 5.5.3 and 5.5.4) and annex 5 (tables A5.1.5, A5.1.6 and A5.1.7). Chapter 5, table 5.5.5 contains the parameters used to estimate emissions where specific mitigation technologies are used. Activity data for the </w:t>
      </w:r>
      <w:r w:rsidRPr="001D5327">
        <w:rPr>
          <w:i/>
          <w:iCs/>
        </w:rPr>
        <w:t>Liming</w:t>
      </w:r>
      <w:r w:rsidRPr="001D5327">
        <w:t xml:space="preserve"> category are obtained from Stats NZ, and activity data on the use of synthetic fertiliser containing nitrogen are provided by the Fertiliser Association of New Zealand. A Tier 2 (model) approach is used to calculate emissions from the </w:t>
      </w:r>
      <w:r w:rsidR="000216CB" w:rsidRPr="000216CB">
        <w:rPr>
          <w:i/>
          <w:iCs/>
        </w:rPr>
        <w:t>Field b</w:t>
      </w:r>
      <w:r w:rsidRPr="001D5327">
        <w:rPr>
          <w:i/>
          <w:iCs/>
        </w:rPr>
        <w:t>urning of agricultural residues</w:t>
      </w:r>
      <w:r w:rsidRPr="001D5327">
        <w:t xml:space="preserve"> category. No rice cultivation or CO</w:t>
      </w:r>
      <w:r w:rsidRPr="001D5327">
        <w:rPr>
          <w:vertAlign w:val="subscript"/>
        </w:rPr>
        <w:t>2</w:t>
      </w:r>
      <w:r w:rsidRPr="001D5327">
        <w:t xml:space="preserve"> emissions from other carbon-containing fertilisers occur in New Zealand.</w:t>
      </w:r>
    </w:p>
    <w:p w14:paraId="60741835" w14:textId="77777777" w:rsidR="009D798A" w:rsidRPr="001D5327" w:rsidRDefault="009D798A" w:rsidP="009D798A">
      <w:pPr>
        <w:pStyle w:val="Heading4"/>
      </w:pPr>
      <w:bookmarkStart w:id="79" w:name="lulucf"/>
      <w:r w:rsidRPr="001D5327">
        <w:lastRenderedPageBreak/>
        <w:t>LULUCF</w:t>
      </w:r>
    </w:p>
    <w:p w14:paraId="60D186EA" w14:textId="77777777" w:rsidR="009D798A" w:rsidRPr="001D5327" w:rsidRDefault="009D798A" w:rsidP="009D798A">
      <w:pPr>
        <w:pStyle w:val="BodyText"/>
      </w:pPr>
      <w:r w:rsidRPr="001D5327">
        <w:t xml:space="preserve">New Zealand uses a combination of Tier 1, Tier 2 and Tier 3 methodologies for estimating emissions and removals for the LULUCF sector. Tier 2 or Tier 3 approaches have been applied to estimate biomass carbon in the pools with the most living biomass at maturity: </w:t>
      </w:r>
      <w:r w:rsidRPr="001D5327">
        <w:rPr>
          <w:i/>
          <w:iCs/>
        </w:rPr>
        <w:t>Pre-1990 natural forest, Pre-1990 planted forest, Post-1989 natural forest, Post-1989 planted forest, Perennial cropland</w:t>
      </w:r>
      <w:r w:rsidRPr="001D5327">
        <w:t xml:space="preserve"> and </w:t>
      </w:r>
      <w:r w:rsidRPr="001D5327">
        <w:rPr>
          <w:i/>
          <w:iCs/>
        </w:rPr>
        <w:t>Grassland with woody biomass</w:t>
      </w:r>
      <w:r w:rsidRPr="001D5327">
        <w:t xml:space="preserve">. For all other land use categories, a Tier 1 approach is used for estimating biomass carbon. A Tier 2 modelling approach has also been used to estimate carbon changes in the mineral soil component of the soil organic matter pool, while Tier 1 is used for organic soils. Furthermore, a Tier 2 approach has been used to estimate carbon stock changes in the </w:t>
      </w:r>
      <w:r w:rsidRPr="001D5327">
        <w:rPr>
          <w:i/>
          <w:iCs/>
        </w:rPr>
        <w:t xml:space="preserve">Harvested wood products </w:t>
      </w:r>
      <w:r w:rsidRPr="001D5327">
        <w:t>category.</w:t>
      </w:r>
    </w:p>
    <w:p w14:paraId="61319ACB" w14:textId="77777777" w:rsidR="009D798A" w:rsidRPr="001D5327" w:rsidRDefault="009D798A" w:rsidP="009D798A">
      <w:pPr>
        <w:pStyle w:val="BodyText"/>
      </w:pPr>
      <w:r w:rsidRPr="001D5327">
        <w:t>New Zealand has established a data collection and modelling program for the LULUCF sector called the Land Use and Carbon Analysis System (LUCAS). The LUCAS program includes:</w:t>
      </w:r>
    </w:p>
    <w:p w14:paraId="470C4B24" w14:textId="77777777" w:rsidR="009D798A" w:rsidRPr="001D5327" w:rsidRDefault="009D798A" w:rsidP="009D798A">
      <w:pPr>
        <w:pStyle w:val="Bullet"/>
        <w:tabs>
          <w:tab w:val="num" w:pos="567"/>
        </w:tabs>
      </w:pPr>
      <w:r w:rsidRPr="001D5327">
        <w:t>use of field plot measurements for natural and planted forests</w:t>
      </w:r>
    </w:p>
    <w:p w14:paraId="3DAB8569" w14:textId="77777777" w:rsidR="009D798A" w:rsidRPr="001D5327" w:rsidRDefault="009D798A" w:rsidP="009D798A">
      <w:pPr>
        <w:pStyle w:val="Bullet"/>
        <w:tabs>
          <w:tab w:val="num" w:pos="567"/>
        </w:tabs>
      </w:pPr>
      <w:r w:rsidRPr="001D5327">
        <w:t>use of allometric models and a forest carbon modelling system to estimate carbon stock and carbon stock change in natural and planted forests respectively (Paul et al., 2020, unpublished(a), unpublished(b), unpublished(c); Paul and Wakelin, unpublished)</w:t>
      </w:r>
    </w:p>
    <w:p w14:paraId="7829E51B" w14:textId="77777777" w:rsidR="009D798A" w:rsidRPr="001D5327" w:rsidRDefault="009D798A" w:rsidP="009D798A">
      <w:pPr>
        <w:pStyle w:val="Bullet"/>
        <w:tabs>
          <w:tab w:val="num" w:pos="567"/>
        </w:tabs>
      </w:pPr>
      <w:r w:rsidRPr="001D5327">
        <w:t>wall-to-wall land use mapping for 1990, 2008, 2012, 2016 and 2020 using satellite and aircraft remotely sensed imagery, with additional information on post-1989 forest afforestation and deforestation of planted forest used for estimating the change</w:t>
      </w:r>
    </w:p>
    <w:p w14:paraId="7A474673" w14:textId="77777777" w:rsidR="009D798A" w:rsidRPr="001D5327" w:rsidRDefault="009D798A" w:rsidP="009D798A">
      <w:pPr>
        <w:pStyle w:val="Bullet"/>
        <w:tabs>
          <w:tab w:val="num" w:pos="567"/>
        </w:tabs>
      </w:pPr>
      <w:r w:rsidRPr="001D5327">
        <w:t>development of databases and applications to store and process all data associated with LULUCF activities.</w:t>
      </w:r>
    </w:p>
    <w:bookmarkEnd w:id="79"/>
    <w:p w14:paraId="1B669D8B" w14:textId="77777777" w:rsidR="009D798A" w:rsidRPr="001D5327" w:rsidRDefault="009D798A" w:rsidP="009D798A">
      <w:pPr>
        <w:pStyle w:val="Heading4"/>
      </w:pPr>
      <w:r w:rsidRPr="001D5327">
        <w:t>Waste</w:t>
      </w:r>
    </w:p>
    <w:p w14:paraId="4AB6A966" w14:textId="77777777" w:rsidR="009D798A" w:rsidRPr="001D5327" w:rsidRDefault="009D798A" w:rsidP="009D798A">
      <w:pPr>
        <w:pStyle w:val="BodyText"/>
      </w:pPr>
      <w:r w:rsidRPr="001D5327">
        <w:t xml:space="preserve">New Zealand uses Tier 2 methodologies for estimating emissions from the </w:t>
      </w:r>
      <w:r w:rsidRPr="001D5327">
        <w:rPr>
          <w:i/>
          <w:iCs/>
        </w:rPr>
        <w:t>Solid waste disposal source</w:t>
      </w:r>
      <w:r w:rsidRPr="001D5327">
        <w:t xml:space="preserve"> category, which is a key category, and for some wastewater emissions. Tier 1 methodologies are used to estimate other emissions from the Waste sector.</w:t>
      </w:r>
    </w:p>
    <w:p w14:paraId="5C8D87F8" w14:textId="77777777" w:rsidR="009D798A" w:rsidRPr="001D5327" w:rsidRDefault="009D798A" w:rsidP="009D798A">
      <w:pPr>
        <w:pStyle w:val="BodyText"/>
      </w:pPr>
      <w:r w:rsidRPr="001D5327">
        <w:t>Activity data are obtained from a variety of sources. Municipal solid waste disposal data are obtained from mandatory reporting under the Waste Minimisation Act 2008 and the NZ ETS for the years available (2010 onwards). Non-municipal waste disposal data are also derived from mandatory reporting under the Act from 2022 onwards. For all other sources, activity data are collected through targeted surveys. Interpolation based on gross domestic product (GDP) or population is used for other years.</w:t>
      </w:r>
    </w:p>
    <w:p w14:paraId="3CA60DBC" w14:textId="77777777" w:rsidR="009D798A" w:rsidRPr="001D5327" w:rsidRDefault="009D798A" w:rsidP="009D798A">
      <w:pPr>
        <w:pStyle w:val="BodyText"/>
      </w:pPr>
      <w:r w:rsidRPr="001D5327">
        <w:t>Country-specific emission factors are used where available, including parameters for municipal waste (Eunomia, unpublished) and for treatment of some types of industrial wastewater (Cardno, unpublished).</w:t>
      </w:r>
    </w:p>
    <w:p w14:paraId="4969BA91" w14:textId="77777777" w:rsidR="009D798A" w:rsidRPr="001D5327" w:rsidRDefault="009D798A" w:rsidP="009D798A">
      <w:pPr>
        <w:pStyle w:val="BodyText"/>
      </w:pPr>
      <w:r w:rsidRPr="001D5327">
        <w:t>Methodological issues are discussed under each source category in chapter 7.</w:t>
      </w:r>
    </w:p>
    <w:p w14:paraId="78271B46" w14:textId="77777777" w:rsidR="009D798A" w:rsidRPr="001D5327" w:rsidRDefault="009D798A" w:rsidP="009D798A">
      <w:pPr>
        <w:pStyle w:val="Heading4"/>
      </w:pPr>
      <w:r w:rsidRPr="001D5327">
        <w:t>Tokelau</w:t>
      </w:r>
    </w:p>
    <w:p w14:paraId="0F4E3B07" w14:textId="77777777" w:rsidR="009D798A" w:rsidRPr="001D5327" w:rsidRDefault="009D798A" w:rsidP="009D798A">
      <w:pPr>
        <w:pStyle w:val="BodyText"/>
      </w:pPr>
      <w:r w:rsidRPr="001D5327">
        <w:t>The Tokelau National Statistics Office collects and processes activity data from Tokelau for the preparation of the inventory. Chapter 8, table 8.1.1 contains the key sources of the activity data from Tokelau used in Tokelau’s GHG inventory.</w:t>
      </w:r>
    </w:p>
    <w:p w14:paraId="473B32EA" w14:textId="77777777" w:rsidR="009D798A" w:rsidRPr="001D5327" w:rsidRDefault="009D798A" w:rsidP="009D798A">
      <w:pPr>
        <w:pStyle w:val="BodyText"/>
      </w:pPr>
      <w:r w:rsidRPr="001D5327">
        <w:t>Tier 1 methodological approaches with default emission factors are used for estimating emissions from all Tokelau source categories.</w:t>
      </w:r>
    </w:p>
    <w:p w14:paraId="451D1DC3" w14:textId="77777777" w:rsidR="009D798A" w:rsidRPr="001D5327" w:rsidRDefault="009D798A" w:rsidP="009D798A">
      <w:pPr>
        <w:pStyle w:val="Heading2"/>
      </w:pPr>
      <w:bookmarkStart w:id="80" w:name="_Toc194311987"/>
      <w:bookmarkStart w:id="81" w:name="brief-description-of-key-categories"/>
      <w:bookmarkEnd w:id="77"/>
      <w:r w:rsidRPr="001D5327">
        <w:lastRenderedPageBreak/>
        <w:t>1.4</w:t>
      </w:r>
      <w:r w:rsidRPr="001D5327">
        <w:tab/>
        <w:t>Brief description of key categories</w:t>
      </w:r>
      <w:bookmarkEnd w:id="80"/>
    </w:p>
    <w:p w14:paraId="090BAB1E" w14:textId="77777777" w:rsidR="009D798A" w:rsidRPr="001D5327" w:rsidRDefault="009D798A" w:rsidP="009D798A">
      <w:pPr>
        <w:pStyle w:val="BodyText"/>
      </w:pPr>
      <w:r w:rsidRPr="001D5327">
        <w:t>The 2006 IPCC Guidelines (IPCC, 2006b) identify a key category as one that is prioritised within the national inventory system because its estimate has a significant influence on a country’s total inventory of direct GHGs in terms of the absolute level of emissions, the trend in emissions, or both.</w:t>
      </w:r>
    </w:p>
    <w:p w14:paraId="1FB0593E" w14:textId="77777777" w:rsidR="009D798A" w:rsidRPr="001D5327" w:rsidRDefault="009D798A" w:rsidP="009D798A">
      <w:pPr>
        <w:pStyle w:val="BodyText"/>
      </w:pPr>
      <w:r w:rsidRPr="001D5327">
        <w:t>Key categories identified within the inventory are used to prioritise inventory improvements.</w:t>
      </w:r>
    </w:p>
    <w:p w14:paraId="4B5C73F8" w14:textId="77777777" w:rsidR="009D798A" w:rsidRPr="001D5327" w:rsidRDefault="009D798A" w:rsidP="009D798A">
      <w:pPr>
        <w:pStyle w:val="BodyText"/>
      </w:pPr>
      <w:r w:rsidRPr="001D5327">
        <w:t>The key categories in the inventory have been assessed using Approach 1 level (L1) and Approach 1 trend (T1) methodologies from the 2006 IPCC Guidelines (IPCC, 2006b). This is because some categories in the inventory apply default uncertainty values for emissions estimates, and developing country-specific uncertainty values is resource prohibitive.</w:t>
      </w:r>
    </w:p>
    <w:p w14:paraId="34D9BFC5" w14:textId="100EE47B" w:rsidR="009D798A" w:rsidRPr="001D5327" w:rsidRDefault="009D798A" w:rsidP="009D798A">
      <w:pPr>
        <w:pStyle w:val="BodyText"/>
      </w:pPr>
      <w:r w:rsidRPr="001D5327">
        <w:t>The key category analysis identifies key categories of emissions and removals as those that sum to 95 per cent of the gross or net level of emissions and those that are within the top 95 per cent of the categories that contribute to the change between the base year (1990) and</w:t>
      </w:r>
      <w:r w:rsidR="009B3E30" w:rsidRPr="001D5327">
        <w:t> </w:t>
      </w:r>
      <w:r w:rsidRPr="001D5327">
        <w:t>the current reporting year, or the trend of emissions. New Zealand does not currently use</w:t>
      </w:r>
      <w:r w:rsidR="009B3E30" w:rsidRPr="001D5327">
        <w:t> </w:t>
      </w:r>
      <w:r w:rsidRPr="001D5327">
        <w:t>qualitative assessment to identify any key categories.</w:t>
      </w:r>
    </w:p>
    <w:p w14:paraId="209EB7C5" w14:textId="77777777" w:rsidR="009D798A" w:rsidRPr="001D5327" w:rsidRDefault="009D798A" w:rsidP="009D798A">
      <w:pPr>
        <w:pStyle w:val="BodyText"/>
      </w:pPr>
      <w:r w:rsidRPr="001D5327">
        <w:t>In accordance with the 2006 IPCC Guidelines (IPCC, 2006b), the key category analysis is performed on inventory sources excluding the LULUCF sector and then repeated for inventory sources and sinks including the LULUCF sector. Non-LULUCF categories that are identified as key in the first analysis are still included when they are not identified as a key category in the analysis that includes the LULUCF sector.</w:t>
      </w:r>
    </w:p>
    <w:p w14:paraId="03FCB3D2" w14:textId="77777777" w:rsidR="009D798A" w:rsidRPr="001D5327" w:rsidRDefault="009D798A" w:rsidP="009D798A">
      <w:pPr>
        <w:pStyle w:val="BodyText"/>
      </w:pPr>
      <w:r w:rsidRPr="001D5327">
        <w:t>The key category analyses performed for the inventory differ from the analysis produced in the GHG Inventory Reporting Tool, because the level of aggregation of categories is adjusted to better reflect New Zealand’s emissions profile. Specifically, a large proportion of emissions from the Energy and Agriculture sectors is disaggregated further than the key category analysis generated in the GHG Inventory Reporting Tool, to allow for a more evenly proportioned analysis of categories.</w:t>
      </w:r>
    </w:p>
    <w:p w14:paraId="108B3C0F" w14:textId="77777777" w:rsidR="009D798A" w:rsidRPr="001D5327" w:rsidRDefault="009D798A" w:rsidP="009D798A">
      <w:pPr>
        <w:pStyle w:val="BodyText"/>
      </w:pPr>
      <w:r w:rsidRPr="001D5327">
        <w:t>The major contributions to the level analysis of net emissions for 2023 were:</w:t>
      </w:r>
    </w:p>
    <w:p w14:paraId="488BCAD7" w14:textId="77777777" w:rsidR="009D798A" w:rsidRPr="001D5327" w:rsidRDefault="009D798A" w:rsidP="009D798A">
      <w:pPr>
        <w:pStyle w:val="Bullet"/>
        <w:tabs>
          <w:tab w:val="num" w:pos="567"/>
        </w:tabs>
      </w:pPr>
      <w:r w:rsidRPr="001D5327">
        <w:t>CO</w:t>
      </w:r>
      <w:r w:rsidRPr="001D5327">
        <w:rPr>
          <w:vertAlign w:val="subscript"/>
        </w:rPr>
        <w:t>2</w:t>
      </w:r>
      <w:r w:rsidRPr="001D5327">
        <w:t xml:space="preserve"> emissions from </w:t>
      </w:r>
      <w:r w:rsidRPr="001D5327">
        <w:rPr>
          <w:i/>
          <w:iCs/>
        </w:rPr>
        <w:t>Forest land remaining forest land</w:t>
      </w:r>
      <w:r w:rsidRPr="001D5327">
        <w:t xml:space="preserve"> (15.3 per cent)</w:t>
      </w:r>
    </w:p>
    <w:p w14:paraId="35F16735" w14:textId="14DE94D1" w:rsidR="009D798A" w:rsidRPr="001D5327" w:rsidRDefault="009D798A" w:rsidP="009D798A">
      <w:pPr>
        <w:pStyle w:val="Bullet"/>
        <w:tabs>
          <w:tab w:val="num" w:pos="567"/>
        </w:tabs>
      </w:pPr>
      <w:r w:rsidRPr="001D5327">
        <w:t>CH</w:t>
      </w:r>
      <w:r w:rsidRPr="001D5327">
        <w:rPr>
          <w:vertAlign w:val="subscript"/>
        </w:rPr>
        <w:t>4</w:t>
      </w:r>
      <w:r w:rsidRPr="001D5327">
        <w:t xml:space="preserve"> emissions from </w:t>
      </w:r>
      <w:r w:rsidRPr="001D5327">
        <w:rPr>
          <w:i/>
          <w:iCs/>
        </w:rPr>
        <w:t>Enteric fermentation</w:t>
      </w:r>
      <w:r w:rsidRPr="001D5327">
        <w:t xml:space="preserve"> </w:t>
      </w:r>
      <w:r w:rsidR="004C6459">
        <w:t>–</w:t>
      </w:r>
      <w:r w:rsidR="004C6459" w:rsidRPr="004C6459">
        <w:rPr>
          <w:i/>
          <w:iCs/>
        </w:rPr>
        <w:t xml:space="preserve"> </w:t>
      </w:r>
      <w:r w:rsidR="004C6459" w:rsidRPr="001D5327">
        <w:rPr>
          <w:i/>
          <w:iCs/>
        </w:rPr>
        <w:t>Dairy cattle</w:t>
      </w:r>
      <w:r w:rsidR="004C6459" w:rsidRPr="001D5327">
        <w:t xml:space="preserve"> </w:t>
      </w:r>
      <w:r w:rsidRPr="001D5327">
        <w:t>(14.9 per cent)</w:t>
      </w:r>
    </w:p>
    <w:p w14:paraId="09113293" w14:textId="77777777" w:rsidR="009D798A" w:rsidRPr="001D5327" w:rsidRDefault="009D798A" w:rsidP="009D798A">
      <w:pPr>
        <w:pStyle w:val="Bullet"/>
        <w:tabs>
          <w:tab w:val="num" w:pos="567"/>
        </w:tabs>
      </w:pPr>
      <w:r w:rsidRPr="001D5327">
        <w:t>CO</w:t>
      </w:r>
      <w:r w:rsidRPr="001D5327">
        <w:rPr>
          <w:vertAlign w:val="subscript"/>
        </w:rPr>
        <w:t>2</w:t>
      </w:r>
      <w:r w:rsidRPr="001D5327">
        <w:t xml:space="preserve"> emissions from </w:t>
      </w:r>
      <w:r w:rsidRPr="001D5327">
        <w:rPr>
          <w:i/>
          <w:iCs/>
        </w:rPr>
        <w:t>Road transportation</w:t>
      </w:r>
      <w:r w:rsidRPr="001D5327">
        <w:t xml:space="preserve"> – </w:t>
      </w:r>
      <w:r w:rsidRPr="001D5327">
        <w:rPr>
          <w:i/>
          <w:iCs/>
        </w:rPr>
        <w:t>Liquid fuels</w:t>
      </w:r>
      <w:r w:rsidRPr="001D5327">
        <w:t xml:space="preserve"> (11.9 per cent)</w:t>
      </w:r>
    </w:p>
    <w:p w14:paraId="73CDEE77" w14:textId="19237C88" w:rsidR="009D798A" w:rsidRPr="001D5327" w:rsidRDefault="009D798A" w:rsidP="009D798A">
      <w:pPr>
        <w:pStyle w:val="Bullet"/>
        <w:tabs>
          <w:tab w:val="num" w:pos="567"/>
        </w:tabs>
      </w:pPr>
      <w:r w:rsidRPr="001D5327">
        <w:t>CH</w:t>
      </w:r>
      <w:r w:rsidRPr="001D5327">
        <w:rPr>
          <w:vertAlign w:val="subscript"/>
        </w:rPr>
        <w:t>4</w:t>
      </w:r>
      <w:r w:rsidRPr="001D5327">
        <w:t xml:space="preserve"> emissions from </w:t>
      </w:r>
      <w:r w:rsidRPr="001D5327">
        <w:rPr>
          <w:i/>
          <w:iCs/>
        </w:rPr>
        <w:t>Enteric fermentation</w:t>
      </w:r>
      <w:r w:rsidRPr="001D5327">
        <w:t xml:space="preserve"> </w:t>
      </w:r>
      <w:r w:rsidR="0090546A">
        <w:t xml:space="preserve">– </w:t>
      </w:r>
      <w:r w:rsidR="0090546A" w:rsidRPr="001D5327">
        <w:rPr>
          <w:i/>
          <w:iCs/>
        </w:rPr>
        <w:t>Sheep</w:t>
      </w:r>
      <w:r w:rsidR="0090546A" w:rsidRPr="001D5327">
        <w:t xml:space="preserve"> </w:t>
      </w:r>
      <w:r w:rsidRPr="001D5327">
        <w:t>(8.1 per cent).</w:t>
      </w:r>
    </w:p>
    <w:p w14:paraId="3E424CDB" w14:textId="77777777" w:rsidR="009D798A" w:rsidRPr="001D5327" w:rsidRDefault="009D798A" w:rsidP="009D798A">
      <w:pPr>
        <w:pStyle w:val="BodyText"/>
      </w:pPr>
      <w:r w:rsidRPr="001D5327">
        <w:t>The key categories that were identified as having the largest relative influence on the trend, when compared with the average change in net emissions from 1990 to 2023, were:</w:t>
      </w:r>
    </w:p>
    <w:p w14:paraId="108B50B1" w14:textId="77777777" w:rsidR="009D798A" w:rsidRPr="001D5327" w:rsidRDefault="009D798A" w:rsidP="009D798A">
      <w:pPr>
        <w:pStyle w:val="Bullet"/>
        <w:tabs>
          <w:tab w:val="num" w:pos="567"/>
        </w:tabs>
      </w:pPr>
      <w:r w:rsidRPr="001D5327">
        <w:t>CO</w:t>
      </w:r>
      <w:r w:rsidRPr="001D5327">
        <w:rPr>
          <w:vertAlign w:val="subscript"/>
        </w:rPr>
        <w:t>2</w:t>
      </w:r>
      <w:r w:rsidRPr="001D5327">
        <w:t xml:space="preserve"> emissions from </w:t>
      </w:r>
      <w:r w:rsidRPr="001D5327">
        <w:rPr>
          <w:i/>
          <w:iCs/>
        </w:rPr>
        <w:t>Carbon stock change</w:t>
      </w:r>
      <w:r w:rsidRPr="001D5327">
        <w:t xml:space="preserve"> </w:t>
      </w:r>
      <w:r w:rsidRPr="001D5327">
        <w:rPr>
          <w:i/>
          <w:iCs/>
        </w:rPr>
        <w:t>–</w:t>
      </w:r>
      <w:r w:rsidRPr="001D5327">
        <w:t xml:space="preserve"> </w:t>
      </w:r>
      <w:r w:rsidRPr="001D5327">
        <w:rPr>
          <w:i/>
          <w:iCs/>
        </w:rPr>
        <w:t>Forest land remaining forest land</w:t>
      </w:r>
      <w:r w:rsidRPr="001D5327">
        <w:t xml:space="preserve"> (16.2 per cent as a decrease)</w:t>
      </w:r>
    </w:p>
    <w:p w14:paraId="4BA355B1" w14:textId="0C2438F1" w:rsidR="009D798A" w:rsidRPr="001D5327" w:rsidRDefault="009D798A" w:rsidP="009D798A">
      <w:pPr>
        <w:pStyle w:val="Bullet"/>
        <w:tabs>
          <w:tab w:val="num" w:pos="567"/>
        </w:tabs>
      </w:pPr>
      <w:r w:rsidRPr="001D5327">
        <w:t>CH</w:t>
      </w:r>
      <w:r w:rsidRPr="001D5327">
        <w:rPr>
          <w:vertAlign w:val="subscript"/>
        </w:rPr>
        <w:t>4</w:t>
      </w:r>
      <w:r w:rsidRPr="001D5327">
        <w:t xml:space="preserve"> emissions from </w:t>
      </w:r>
      <w:r w:rsidRPr="001D5327">
        <w:rPr>
          <w:i/>
          <w:iCs/>
        </w:rPr>
        <w:t>Enteric fermentation</w:t>
      </w:r>
      <w:r w:rsidRPr="001D5327">
        <w:t xml:space="preserve"> </w:t>
      </w:r>
      <w:r w:rsidR="0090546A">
        <w:t xml:space="preserve">– </w:t>
      </w:r>
      <w:r w:rsidR="0090546A" w:rsidRPr="001D5327">
        <w:rPr>
          <w:i/>
          <w:iCs/>
        </w:rPr>
        <w:t xml:space="preserve">Sheep </w:t>
      </w:r>
      <w:r w:rsidRPr="001D5327">
        <w:t>(16.2 per cent as a decrease)</w:t>
      </w:r>
    </w:p>
    <w:p w14:paraId="541B3467" w14:textId="77777777" w:rsidR="009D798A" w:rsidRPr="001D5327" w:rsidRDefault="009D798A" w:rsidP="009D798A">
      <w:pPr>
        <w:pStyle w:val="Bullet"/>
        <w:tabs>
          <w:tab w:val="num" w:pos="567"/>
        </w:tabs>
      </w:pPr>
      <w:r w:rsidRPr="001D5327">
        <w:t>CO</w:t>
      </w:r>
      <w:r w:rsidRPr="001D5327">
        <w:rPr>
          <w:vertAlign w:val="subscript"/>
        </w:rPr>
        <w:t>2</w:t>
      </w:r>
      <w:r w:rsidRPr="001D5327">
        <w:t xml:space="preserve"> emissions from </w:t>
      </w:r>
      <w:r w:rsidRPr="001D5327">
        <w:rPr>
          <w:i/>
          <w:iCs/>
        </w:rPr>
        <w:t xml:space="preserve">Carbon stock change </w:t>
      </w:r>
      <w:r w:rsidRPr="001D5327">
        <w:rPr>
          <w:i/>
        </w:rPr>
        <w:t>– Land converted to forest land</w:t>
      </w:r>
      <w:r w:rsidRPr="001D5327">
        <w:t xml:space="preserve"> (13.6 per cent as an increase)</w:t>
      </w:r>
    </w:p>
    <w:p w14:paraId="32B629BD" w14:textId="7B0EB1FE" w:rsidR="009D798A" w:rsidRPr="001D5327" w:rsidRDefault="009D798A" w:rsidP="009D798A">
      <w:pPr>
        <w:pStyle w:val="Bullet"/>
        <w:tabs>
          <w:tab w:val="num" w:pos="567"/>
        </w:tabs>
      </w:pPr>
      <w:r w:rsidRPr="001D5327">
        <w:t>CH</w:t>
      </w:r>
      <w:r w:rsidRPr="001D5327">
        <w:rPr>
          <w:vertAlign w:val="subscript"/>
        </w:rPr>
        <w:t>4</w:t>
      </w:r>
      <w:r w:rsidRPr="001D5327">
        <w:t xml:space="preserve"> emissions from </w:t>
      </w:r>
      <w:r w:rsidRPr="001D5327">
        <w:rPr>
          <w:i/>
          <w:iCs/>
        </w:rPr>
        <w:t>Enteric fermentation</w:t>
      </w:r>
      <w:r w:rsidRPr="001D5327">
        <w:t xml:space="preserve"> </w:t>
      </w:r>
      <w:r w:rsidR="00B24CE1">
        <w:t>–</w:t>
      </w:r>
      <w:r w:rsidR="00B24CE1" w:rsidRPr="00B24CE1">
        <w:rPr>
          <w:i/>
          <w:iCs/>
        </w:rPr>
        <w:t xml:space="preserve"> </w:t>
      </w:r>
      <w:r w:rsidR="00B24CE1" w:rsidRPr="001D5327">
        <w:rPr>
          <w:i/>
          <w:iCs/>
        </w:rPr>
        <w:t xml:space="preserve">Dairy cattle </w:t>
      </w:r>
      <w:r w:rsidRPr="001D5327">
        <w:t>(8.7 per cent as an increase).</w:t>
      </w:r>
    </w:p>
    <w:p w14:paraId="116BF4BB" w14:textId="77777777" w:rsidR="009D798A" w:rsidRPr="001D5327" w:rsidRDefault="009D798A" w:rsidP="00903E74">
      <w:pPr>
        <w:pStyle w:val="BodyText"/>
        <w:keepNext/>
      </w:pPr>
      <w:r w:rsidRPr="001D5327">
        <w:lastRenderedPageBreak/>
        <w:t>For gross emissions, the major contributions to the level analysis for 2023 were:</w:t>
      </w:r>
    </w:p>
    <w:p w14:paraId="75985ED4" w14:textId="6F20BD1E" w:rsidR="009D798A" w:rsidRPr="001D5327" w:rsidRDefault="009D798A" w:rsidP="009D798A">
      <w:pPr>
        <w:pStyle w:val="Bullet"/>
        <w:tabs>
          <w:tab w:val="num" w:pos="567"/>
        </w:tabs>
      </w:pPr>
      <w:r w:rsidRPr="001D5327">
        <w:t>CH</w:t>
      </w:r>
      <w:r w:rsidRPr="001D5327">
        <w:rPr>
          <w:vertAlign w:val="subscript"/>
        </w:rPr>
        <w:t>4</w:t>
      </w:r>
      <w:r w:rsidRPr="001D5327">
        <w:t xml:space="preserve"> emissions from </w:t>
      </w:r>
      <w:r w:rsidRPr="001D5327">
        <w:rPr>
          <w:i/>
          <w:iCs/>
        </w:rPr>
        <w:t>Enteric fermentation</w:t>
      </w:r>
      <w:r w:rsidRPr="001D5327">
        <w:t xml:space="preserve"> </w:t>
      </w:r>
      <w:r w:rsidR="00564057">
        <w:t>–</w:t>
      </w:r>
      <w:r w:rsidR="00564057" w:rsidRPr="00564057">
        <w:rPr>
          <w:i/>
          <w:iCs/>
        </w:rPr>
        <w:t xml:space="preserve"> </w:t>
      </w:r>
      <w:r w:rsidR="00564057" w:rsidRPr="001D5327">
        <w:rPr>
          <w:i/>
          <w:iCs/>
        </w:rPr>
        <w:t>Dairy cattle</w:t>
      </w:r>
      <w:r w:rsidR="00564057" w:rsidRPr="001D5327">
        <w:t xml:space="preserve"> </w:t>
      </w:r>
      <w:r w:rsidRPr="001D5327">
        <w:t>(20.4 per cent)</w:t>
      </w:r>
    </w:p>
    <w:p w14:paraId="717AF45B" w14:textId="77777777" w:rsidR="009D798A" w:rsidRPr="001D5327" w:rsidRDefault="009D798A" w:rsidP="009D798A">
      <w:pPr>
        <w:pStyle w:val="Bullet"/>
        <w:tabs>
          <w:tab w:val="num" w:pos="567"/>
        </w:tabs>
      </w:pPr>
      <w:r w:rsidRPr="001D5327">
        <w:t>CO</w:t>
      </w:r>
      <w:r w:rsidRPr="001D5327">
        <w:rPr>
          <w:vertAlign w:val="subscript"/>
        </w:rPr>
        <w:t>2</w:t>
      </w:r>
      <w:r w:rsidRPr="001D5327">
        <w:t xml:space="preserve"> emissions from </w:t>
      </w:r>
      <w:r w:rsidRPr="001D5327">
        <w:rPr>
          <w:i/>
          <w:iCs/>
        </w:rPr>
        <w:t>Road transportation</w:t>
      </w:r>
      <w:r w:rsidRPr="001D5327">
        <w:t xml:space="preserve"> – </w:t>
      </w:r>
      <w:r w:rsidRPr="001D5327">
        <w:rPr>
          <w:i/>
          <w:iCs/>
        </w:rPr>
        <w:t>Liquid fuels</w:t>
      </w:r>
      <w:r w:rsidRPr="001D5327">
        <w:t xml:space="preserve"> (16.4 per cent)</w:t>
      </w:r>
    </w:p>
    <w:p w14:paraId="14FD4551" w14:textId="1F002072" w:rsidR="009D798A" w:rsidRPr="001D5327" w:rsidRDefault="009D798A" w:rsidP="009D798A">
      <w:pPr>
        <w:pStyle w:val="Bullet"/>
        <w:tabs>
          <w:tab w:val="num" w:pos="567"/>
        </w:tabs>
      </w:pPr>
      <w:r w:rsidRPr="001D5327">
        <w:t>CH</w:t>
      </w:r>
      <w:r w:rsidRPr="001D5327">
        <w:rPr>
          <w:vertAlign w:val="subscript"/>
        </w:rPr>
        <w:t>4</w:t>
      </w:r>
      <w:r w:rsidRPr="001D5327">
        <w:t xml:space="preserve"> emissions from </w:t>
      </w:r>
      <w:r w:rsidRPr="001D5327">
        <w:rPr>
          <w:i/>
          <w:iCs/>
        </w:rPr>
        <w:t>Enteric fermentation</w:t>
      </w:r>
      <w:r w:rsidRPr="001D5327">
        <w:t xml:space="preserve"> </w:t>
      </w:r>
      <w:r w:rsidR="00564057">
        <w:t>–</w:t>
      </w:r>
      <w:r w:rsidR="00564057" w:rsidRPr="00564057">
        <w:rPr>
          <w:i/>
          <w:iCs/>
        </w:rPr>
        <w:t xml:space="preserve"> </w:t>
      </w:r>
      <w:r w:rsidR="00564057" w:rsidRPr="001D5327">
        <w:rPr>
          <w:i/>
          <w:iCs/>
        </w:rPr>
        <w:t>Sheep</w:t>
      </w:r>
      <w:r w:rsidR="00564057" w:rsidRPr="001D5327">
        <w:t xml:space="preserve"> </w:t>
      </w:r>
      <w:r w:rsidRPr="001D5327">
        <w:t>(11.1 per cent)</w:t>
      </w:r>
    </w:p>
    <w:p w14:paraId="5358EA73" w14:textId="77777777" w:rsidR="009D798A" w:rsidRPr="001D5327" w:rsidRDefault="009D798A" w:rsidP="009D798A">
      <w:pPr>
        <w:pStyle w:val="Bullet"/>
        <w:tabs>
          <w:tab w:val="num" w:pos="567"/>
        </w:tabs>
      </w:pPr>
      <w:r w:rsidRPr="001D5327">
        <w:t>CH</w:t>
      </w:r>
      <w:r w:rsidRPr="001D5327">
        <w:rPr>
          <w:vertAlign w:val="subscript"/>
        </w:rPr>
        <w:t>4</w:t>
      </w:r>
      <w:r w:rsidRPr="001D5327">
        <w:t xml:space="preserve"> emissions from </w:t>
      </w:r>
      <w:r w:rsidRPr="001D5327">
        <w:rPr>
          <w:i/>
          <w:iCs/>
        </w:rPr>
        <w:t>Non-dairy</w:t>
      </w:r>
      <w:r w:rsidRPr="001D5327">
        <w:t xml:space="preserve"> (beef) </w:t>
      </w:r>
      <w:r w:rsidRPr="001D5327">
        <w:rPr>
          <w:i/>
          <w:iCs/>
        </w:rPr>
        <w:t>cattle</w:t>
      </w:r>
      <w:r w:rsidRPr="001D5327">
        <w:t xml:space="preserve"> – </w:t>
      </w:r>
      <w:r w:rsidRPr="001D5327">
        <w:rPr>
          <w:i/>
          <w:iCs/>
        </w:rPr>
        <w:t>Enteric fermentation</w:t>
      </w:r>
      <w:r w:rsidRPr="001D5327">
        <w:t xml:space="preserve"> (9.3 per cent).</w:t>
      </w:r>
    </w:p>
    <w:p w14:paraId="15271632" w14:textId="77777777" w:rsidR="009D798A" w:rsidRPr="001D5327" w:rsidRDefault="009D798A" w:rsidP="009D798A">
      <w:pPr>
        <w:pStyle w:val="BodyText"/>
      </w:pPr>
      <w:r w:rsidRPr="001D5327">
        <w:t>The key categories that were identified as having the largest relative influence on the trend, when compared with the average change in gross emissions from 1990 to 2023, were:</w:t>
      </w:r>
    </w:p>
    <w:p w14:paraId="178B3C88" w14:textId="089490F4" w:rsidR="009D798A" w:rsidRPr="001D5327" w:rsidRDefault="009D798A" w:rsidP="009D798A">
      <w:pPr>
        <w:pStyle w:val="Bullet"/>
        <w:tabs>
          <w:tab w:val="num" w:pos="567"/>
        </w:tabs>
      </w:pPr>
      <w:r w:rsidRPr="001D5327">
        <w:t>CH</w:t>
      </w:r>
      <w:r w:rsidRPr="001D5327">
        <w:rPr>
          <w:vertAlign w:val="subscript"/>
        </w:rPr>
        <w:t>4</w:t>
      </w:r>
      <w:r w:rsidRPr="001D5327">
        <w:t xml:space="preserve"> emissions from </w:t>
      </w:r>
      <w:r w:rsidRPr="001D5327">
        <w:rPr>
          <w:i/>
          <w:iCs/>
        </w:rPr>
        <w:t>Enteric fermentation</w:t>
      </w:r>
      <w:r w:rsidRPr="001D5327">
        <w:t xml:space="preserve"> </w:t>
      </w:r>
      <w:r w:rsidR="00D4597C">
        <w:t>–</w:t>
      </w:r>
      <w:r w:rsidR="00D4597C" w:rsidRPr="00D4597C">
        <w:rPr>
          <w:i/>
          <w:iCs/>
        </w:rPr>
        <w:t xml:space="preserve"> </w:t>
      </w:r>
      <w:r w:rsidR="00D4597C" w:rsidRPr="001D5327">
        <w:rPr>
          <w:i/>
          <w:iCs/>
        </w:rPr>
        <w:t xml:space="preserve">Sheep </w:t>
      </w:r>
      <w:r w:rsidRPr="001D5327">
        <w:t>(22.6 per cent as a decrease)</w:t>
      </w:r>
    </w:p>
    <w:p w14:paraId="539DE201" w14:textId="431B7DBE" w:rsidR="009D798A" w:rsidRPr="001D5327" w:rsidRDefault="009D798A" w:rsidP="009D798A">
      <w:pPr>
        <w:pStyle w:val="Bullet"/>
        <w:tabs>
          <w:tab w:val="num" w:pos="567"/>
        </w:tabs>
      </w:pPr>
      <w:r w:rsidRPr="001D5327">
        <w:t>CH</w:t>
      </w:r>
      <w:r w:rsidRPr="001D5327">
        <w:rPr>
          <w:vertAlign w:val="subscript"/>
        </w:rPr>
        <w:t>4</w:t>
      </w:r>
      <w:r w:rsidRPr="001D5327">
        <w:t xml:space="preserve"> emissions from </w:t>
      </w:r>
      <w:r w:rsidRPr="001D5327">
        <w:rPr>
          <w:i/>
          <w:iCs/>
        </w:rPr>
        <w:t>Enteric fermentation</w:t>
      </w:r>
      <w:r w:rsidRPr="001D5327">
        <w:t xml:space="preserve"> </w:t>
      </w:r>
      <w:r w:rsidR="00D4597C">
        <w:t>–</w:t>
      </w:r>
      <w:r w:rsidR="00D4597C" w:rsidRPr="00D4597C">
        <w:rPr>
          <w:i/>
          <w:iCs/>
        </w:rPr>
        <w:t xml:space="preserve"> </w:t>
      </w:r>
      <w:r w:rsidR="00D4597C" w:rsidRPr="001D5327">
        <w:rPr>
          <w:i/>
          <w:iCs/>
        </w:rPr>
        <w:t xml:space="preserve">Dairy cattle </w:t>
      </w:r>
      <w:r w:rsidRPr="001D5327">
        <w:t>(18.4 per cent as an increase)</w:t>
      </w:r>
    </w:p>
    <w:p w14:paraId="6AF42DD5" w14:textId="77777777" w:rsidR="009D798A" w:rsidRPr="001D5327" w:rsidRDefault="009D798A" w:rsidP="009D798A">
      <w:pPr>
        <w:pStyle w:val="Bullet"/>
        <w:tabs>
          <w:tab w:val="num" w:pos="567"/>
        </w:tabs>
      </w:pPr>
      <w:r w:rsidRPr="001D5327">
        <w:t>CO</w:t>
      </w:r>
      <w:r w:rsidRPr="001D5327">
        <w:rPr>
          <w:vertAlign w:val="subscript"/>
        </w:rPr>
        <w:t>2</w:t>
      </w:r>
      <w:r w:rsidRPr="001D5327">
        <w:t xml:space="preserve"> emissions from </w:t>
      </w:r>
      <w:r w:rsidRPr="001D5327">
        <w:rPr>
          <w:i/>
          <w:iCs/>
        </w:rPr>
        <w:t>Road transportation – Liquid fuels</w:t>
      </w:r>
      <w:r w:rsidRPr="001D5327">
        <w:t xml:space="preserve"> (12.2 per cent as an increase)</w:t>
      </w:r>
    </w:p>
    <w:p w14:paraId="348F2CAE" w14:textId="77777777" w:rsidR="009D798A" w:rsidRPr="001D5327" w:rsidRDefault="009D798A" w:rsidP="009D798A">
      <w:pPr>
        <w:pStyle w:val="Bullet"/>
        <w:tabs>
          <w:tab w:val="num" w:pos="567"/>
        </w:tabs>
      </w:pPr>
      <w:r w:rsidRPr="001D5327">
        <w:t>CO</w:t>
      </w:r>
      <w:r w:rsidRPr="001D5327">
        <w:rPr>
          <w:vertAlign w:val="subscript"/>
        </w:rPr>
        <w:t>2</w:t>
      </w:r>
      <w:r w:rsidRPr="001D5327">
        <w:t xml:space="preserve"> emissions from </w:t>
      </w:r>
      <w:r w:rsidRPr="001D5327">
        <w:rPr>
          <w:i/>
        </w:rPr>
        <w:t>Energy industries – Manufacture of solid fuels and other energy industries – Gaseous fuels</w:t>
      </w:r>
      <w:r w:rsidRPr="001D5327">
        <w:t xml:space="preserve"> (4.2 per cent as a decrease).</w:t>
      </w:r>
    </w:p>
    <w:p w14:paraId="73B1E30E" w14:textId="77777777" w:rsidR="009D798A" w:rsidRPr="001D5327" w:rsidRDefault="009D798A" w:rsidP="009D798A">
      <w:pPr>
        <w:pStyle w:val="BodyText"/>
      </w:pPr>
      <w:r w:rsidRPr="001D5327">
        <w:t>The full analyses and results of the key category assessments are provided in annex 1.</w:t>
      </w:r>
    </w:p>
    <w:p w14:paraId="0A6073BF" w14:textId="77777777" w:rsidR="009D798A" w:rsidRPr="001D5327" w:rsidRDefault="009D798A" w:rsidP="009D798A">
      <w:pPr>
        <w:pStyle w:val="Heading2"/>
      </w:pPr>
      <w:bookmarkStart w:id="82" w:name="_Toc194311988"/>
      <w:bookmarkStart w:id="83" w:name="X89922f007ea35e4325d7df02e2132c81a0f2e06"/>
      <w:bookmarkEnd w:id="81"/>
      <w:r w:rsidRPr="001D5327">
        <w:t>1.5</w:t>
      </w:r>
      <w:r w:rsidRPr="001D5327">
        <w:tab/>
        <w:t>Brief general description of QA/QC plan and implementation</w:t>
      </w:r>
      <w:bookmarkEnd w:id="82"/>
    </w:p>
    <w:p w14:paraId="314509FB" w14:textId="77777777" w:rsidR="009D798A" w:rsidRPr="001D5327" w:rsidRDefault="009D798A" w:rsidP="009D798A">
      <w:pPr>
        <w:pStyle w:val="BodyText"/>
      </w:pPr>
      <w:r w:rsidRPr="001D5327">
        <w:t>Quality assurance</w:t>
      </w:r>
      <w:r w:rsidRPr="001D5327">
        <w:rPr>
          <w:rStyle w:val="FootnoteReference"/>
        </w:rPr>
        <w:footnoteReference w:id="12"/>
      </w:r>
      <w:r w:rsidRPr="001D5327">
        <w:t xml:space="preserve"> and quality control</w:t>
      </w:r>
      <w:r w:rsidRPr="001D5327">
        <w:rPr>
          <w:rStyle w:val="FootnoteReference"/>
        </w:rPr>
        <w:footnoteReference w:id="13"/>
      </w:r>
      <w:r w:rsidRPr="001D5327">
        <w:t xml:space="preserve"> are integral parts of preparing the inventory. MfE’s QA/QC plan (annex 4), required under the Paris Agreement (UNFCCC, 2018b), formalises the documentation and archiving of the QA/QC procedures. This plan has been updated over time as the QA/QC tools have been developed and, where possible, automated. Details of the QA/QC activities performed during the compilation of the 2025 submission are discussed in the relevant sections below. Examples of QA/QC checks are provided in the Excel spreadsheets accompanying this submission.</w:t>
      </w:r>
    </w:p>
    <w:p w14:paraId="409CA060" w14:textId="77777777" w:rsidR="009D798A" w:rsidRPr="001D5327" w:rsidRDefault="009D798A" w:rsidP="009D798A">
      <w:pPr>
        <w:pStyle w:val="BodyText"/>
      </w:pPr>
      <w:bookmarkStart w:id="84" w:name="quality-control"/>
      <w:r w:rsidRPr="001D5327">
        <w:t>The focus of New Zealand’s QA/QC plan is to meet the transparency, accuracy, completeness, consistency and comparability (TACCC) principles while ensuring efficient use of resources, and to mitigate QA/QC-related risks in the inventory planning and preparation process.</w:t>
      </w:r>
    </w:p>
    <w:p w14:paraId="53C15392" w14:textId="77777777" w:rsidR="009D798A" w:rsidRPr="001D5327" w:rsidRDefault="009D798A" w:rsidP="009D798A">
      <w:pPr>
        <w:pStyle w:val="BodyText"/>
      </w:pPr>
      <w:r w:rsidRPr="001D5327">
        <w:t>The main elements of the plan include:</w:t>
      </w:r>
    </w:p>
    <w:p w14:paraId="3AAFF9EE" w14:textId="77777777" w:rsidR="009D798A" w:rsidRPr="001D5327" w:rsidRDefault="009D798A" w:rsidP="009D798A">
      <w:pPr>
        <w:pStyle w:val="Bullet"/>
        <w:tabs>
          <w:tab w:val="num" w:pos="567"/>
        </w:tabs>
      </w:pPr>
      <w:r w:rsidRPr="001D5327">
        <w:t>revising the QA/QC deliverables to ensure they are fit for purpose, well supported with relevant templates, and adapted to the changes in the inventory software tools</w:t>
      </w:r>
    </w:p>
    <w:p w14:paraId="0C13FCE6" w14:textId="77777777" w:rsidR="009D798A" w:rsidRPr="001D5327" w:rsidRDefault="009D798A" w:rsidP="009D798A">
      <w:pPr>
        <w:pStyle w:val="Bullet"/>
        <w:tabs>
          <w:tab w:val="num" w:pos="567"/>
        </w:tabs>
      </w:pPr>
      <w:r w:rsidRPr="001D5327">
        <w:t>reinforcing the error-checking process by providing dedicated personnel and support to the sector leads</w:t>
      </w:r>
    </w:p>
    <w:p w14:paraId="75D9CA6F" w14:textId="77777777" w:rsidR="009D798A" w:rsidRPr="001D5327" w:rsidRDefault="009D798A" w:rsidP="009D798A">
      <w:pPr>
        <w:pStyle w:val="Bullet"/>
        <w:tabs>
          <w:tab w:val="num" w:pos="567"/>
        </w:tabs>
      </w:pPr>
      <w:r w:rsidRPr="001D5327">
        <w:t>applying automated inventory tools, where available, to minimise transcription errors</w:t>
      </w:r>
    </w:p>
    <w:p w14:paraId="3F37FE15" w14:textId="77777777" w:rsidR="009D798A" w:rsidRPr="001D5327" w:rsidRDefault="009D798A" w:rsidP="009D798A">
      <w:pPr>
        <w:pStyle w:val="Bullet"/>
        <w:tabs>
          <w:tab w:val="num" w:pos="567"/>
        </w:tabs>
      </w:pPr>
      <w:r w:rsidRPr="001D5327">
        <w:t>adjusting QA/QC tools to accommodate any changes in the GHG Inventory Reporting Tool software that have been introduced since the previous submission</w:t>
      </w:r>
    </w:p>
    <w:p w14:paraId="621B4BE9" w14:textId="77777777" w:rsidR="009D798A" w:rsidRPr="001D5327" w:rsidRDefault="009D798A" w:rsidP="009D798A">
      <w:pPr>
        <w:pStyle w:val="Bullet"/>
        <w:tabs>
          <w:tab w:val="num" w:pos="567"/>
        </w:tabs>
      </w:pPr>
      <w:r w:rsidRPr="001D5327">
        <w:lastRenderedPageBreak/>
        <w:t>performing data integrity checks in the GHG Inventory Reporting Tool and adhering to the reporting guidelines once data compilation in each sector is complete</w:t>
      </w:r>
    </w:p>
    <w:p w14:paraId="4C3C1325" w14:textId="77777777" w:rsidR="009D798A" w:rsidRPr="001D5327" w:rsidRDefault="009D798A" w:rsidP="009D798A">
      <w:pPr>
        <w:pStyle w:val="Bullet"/>
        <w:tabs>
          <w:tab w:val="num" w:pos="567"/>
        </w:tabs>
      </w:pPr>
      <w:r w:rsidRPr="001D5327">
        <w:t>ensuring the chapters in the inventory and their structure demonstrate transparency of the methods and incorporate suggestions from previous inventory reviews.</w:t>
      </w:r>
    </w:p>
    <w:p w14:paraId="37B742B1" w14:textId="77777777" w:rsidR="009D798A" w:rsidRPr="001D5327" w:rsidRDefault="009D798A" w:rsidP="009D798A">
      <w:pPr>
        <w:pStyle w:val="BodyText"/>
      </w:pPr>
      <w:r w:rsidRPr="001D5327">
        <w:t>Completion of the IPCC 2006 Tier 1 QC check sheets for each sector is the responsibility of the sector leads (see table 1.5.1 for a list of the responsible agencies). The Tier 1 checks are in line with the guidance provided in the 2006 IPCC Guidelines (IPCC, 2006b). Wherever possible, manual checking is replaced by, or supplemented with, automated checks.</w:t>
      </w:r>
    </w:p>
    <w:p w14:paraId="0C864863" w14:textId="4BC0C590" w:rsidR="009D798A" w:rsidRPr="001D5327" w:rsidRDefault="009D798A" w:rsidP="009D798A">
      <w:pPr>
        <w:pStyle w:val="BodyText"/>
      </w:pPr>
      <w:r w:rsidRPr="001D5327">
        <w:t>The sectoral contributions to the inventory – that is, sector chapters and data preparation –</w:t>
      </w:r>
      <w:r w:rsidR="009B3E30" w:rsidRPr="001D5327">
        <w:t> </w:t>
      </w:r>
      <w:r w:rsidRPr="001D5327">
        <w:t>and Tier 1 QC checks are signed off by the responsible agency before final approval of the inventory by the national inventory agency (MfE) and its submission under UNFCCC and the Paris Agreement.</w:t>
      </w:r>
    </w:p>
    <w:p w14:paraId="1693A767" w14:textId="77777777" w:rsidR="009D798A" w:rsidRPr="001D5327" w:rsidRDefault="009D798A" w:rsidP="009D798A">
      <w:pPr>
        <w:pStyle w:val="BodyText"/>
      </w:pPr>
      <w:r w:rsidRPr="001D5327">
        <w:t>MfE uses the QC-checking procedures included in the GHG Inventory Reporting Tool where available to ensure the data submitted are complete. In addition, data in the GHG Inventory Reporting Tool are checked for anomalies, errors and omissions.</w:t>
      </w:r>
    </w:p>
    <w:p w14:paraId="3989DF0E" w14:textId="77777777" w:rsidR="009D798A" w:rsidRPr="001D5327" w:rsidRDefault="009D798A" w:rsidP="009D798A">
      <w:pPr>
        <w:pStyle w:val="BodyText"/>
      </w:pPr>
      <w:r w:rsidRPr="001D5327">
        <w:t>After the CRT are compiled for each inventory sector, the CRT data for each sector and category are reviewed by the inventory compilation project team for data integrity and time</w:t>
      </w:r>
      <w:r w:rsidRPr="001D5327">
        <w:noBreakHyphen/>
        <w:t>series consistency before sector finalisation. The purpose of this review is to ensure that the CRT do not contain blank entries in the reported categories, and that all instances of using the ‘IE’ (included elsewhere) and ‘NE’ (not estimated) notation keys for GHG emissions, as well as large variations in the implied emission factors, have been explained. The results of these checks are provided to the sector leads so they can make any corrections and include the relevant references and explanations, if required, to finalise the CRT data for each inventory sector.</w:t>
      </w:r>
    </w:p>
    <w:p w14:paraId="793EDE3F" w14:textId="77777777" w:rsidR="009D798A" w:rsidRPr="001D5327" w:rsidRDefault="009D798A" w:rsidP="009D798A">
      <w:pPr>
        <w:pStyle w:val="BodyText"/>
      </w:pPr>
      <w:r w:rsidRPr="001D5327">
        <w:t>Annex 4 contains details of the QA/QC plan, including the processes applied during the preparation of the inventory.</w:t>
      </w:r>
    </w:p>
    <w:p w14:paraId="7BE0FFA2" w14:textId="77777777" w:rsidR="009D798A" w:rsidRPr="001D5327" w:rsidRDefault="009D798A" w:rsidP="009D798A">
      <w:pPr>
        <w:pStyle w:val="Table"/>
      </w:pPr>
      <w:bookmarkStart w:id="85" w:name="_Toc194241659"/>
      <w:r w:rsidRPr="001D5327">
        <w:t>Table 1.5.1</w:t>
      </w:r>
      <w:r w:rsidRPr="001D5327">
        <w:tab/>
        <w:t>Agency responsible for each sector</w:t>
      </w:r>
      <w:bookmarkEnd w:id="85"/>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955"/>
        <w:gridCol w:w="5539"/>
      </w:tblGrid>
      <w:tr w:rsidR="009D798A" w:rsidRPr="001D5327" w14:paraId="0BD34B3E" w14:textId="77777777" w:rsidTr="00341FEF">
        <w:trPr>
          <w:tblHeader/>
        </w:trPr>
        <w:tc>
          <w:tcPr>
            <w:tcW w:w="0" w:type="auto"/>
            <w:shd w:val="clear" w:color="auto" w:fill="1B556B"/>
            <w:tcMar>
              <w:top w:w="0" w:type="dxa"/>
              <w:left w:w="85" w:type="dxa"/>
              <w:bottom w:w="0" w:type="dxa"/>
              <w:right w:w="85" w:type="dxa"/>
            </w:tcMar>
          </w:tcPr>
          <w:p w14:paraId="01BBE7A9" w14:textId="77777777" w:rsidR="009D798A" w:rsidRPr="001D5327" w:rsidRDefault="009D798A" w:rsidP="00341FEF">
            <w:pPr>
              <w:pStyle w:val="TableTextBold"/>
              <w:spacing w:before="40" w:after="40"/>
              <w:rPr>
                <w:noProof w:val="0"/>
                <w:color w:val="FFFFFF" w:themeColor="background1"/>
              </w:rPr>
            </w:pPr>
            <w:r w:rsidRPr="001D5327">
              <w:rPr>
                <w:rFonts w:eastAsia="Calibri"/>
                <w:noProof w:val="0"/>
                <w:color w:val="FFFFFF" w:themeColor="background1"/>
              </w:rPr>
              <w:t>Responsibility</w:t>
            </w:r>
          </w:p>
        </w:tc>
        <w:tc>
          <w:tcPr>
            <w:tcW w:w="0" w:type="auto"/>
            <w:shd w:val="clear" w:color="auto" w:fill="1B556B"/>
            <w:tcMar>
              <w:top w:w="0" w:type="dxa"/>
              <w:left w:w="85" w:type="dxa"/>
              <w:bottom w:w="0" w:type="dxa"/>
              <w:right w:w="85" w:type="dxa"/>
            </w:tcMar>
          </w:tcPr>
          <w:p w14:paraId="20B2F0F9" w14:textId="77777777" w:rsidR="009D798A" w:rsidRPr="001D5327" w:rsidRDefault="009D798A" w:rsidP="00341FEF">
            <w:pPr>
              <w:pStyle w:val="TableTextBold"/>
              <w:spacing w:before="40" w:after="40"/>
              <w:rPr>
                <w:noProof w:val="0"/>
                <w:color w:val="FFFFFF" w:themeColor="background1"/>
              </w:rPr>
            </w:pPr>
            <w:r w:rsidRPr="001D5327">
              <w:rPr>
                <w:rFonts w:eastAsia="Calibri"/>
                <w:noProof w:val="0"/>
                <w:color w:val="FFFFFF" w:themeColor="background1"/>
              </w:rPr>
              <w:t>Responsible New Zealand agency</w:t>
            </w:r>
          </w:p>
        </w:tc>
      </w:tr>
      <w:tr w:rsidR="009D798A" w:rsidRPr="001D5327" w14:paraId="540362C3" w14:textId="77777777" w:rsidTr="00341FEF">
        <w:tc>
          <w:tcPr>
            <w:tcW w:w="0" w:type="auto"/>
            <w:shd w:val="clear" w:color="auto" w:fill="FFFFFF"/>
            <w:tcMar>
              <w:top w:w="0" w:type="dxa"/>
              <w:left w:w="85" w:type="dxa"/>
              <w:bottom w:w="0" w:type="dxa"/>
              <w:right w:w="85" w:type="dxa"/>
            </w:tcMar>
          </w:tcPr>
          <w:p w14:paraId="43FA3847" w14:textId="77777777" w:rsidR="009D798A" w:rsidRPr="001D5327" w:rsidRDefault="009D798A" w:rsidP="00341FEF">
            <w:pPr>
              <w:pStyle w:val="TableText"/>
              <w:spacing w:before="40" w:after="40"/>
            </w:pPr>
            <w:r w:rsidRPr="001D5327">
              <w:rPr>
                <w:rFonts w:eastAsia="Calibri"/>
                <w:color w:val="000000"/>
              </w:rPr>
              <w:t>Energy sector</w:t>
            </w:r>
          </w:p>
        </w:tc>
        <w:tc>
          <w:tcPr>
            <w:tcW w:w="0" w:type="auto"/>
            <w:shd w:val="clear" w:color="auto" w:fill="FFFFFF"/>
            <w:tcMar>
              <w:top w:w="0" w:type="dxa"/>
              <w:left w:w="85" w:type="dxa"/>
              <w:bottom w:w="0" w:type="dxa"/>
              <w:right w:w="85" w:type="dxa"/>
            </w:tcMar>
          </w:tcPr>
          <w:p w14:paraId="714DE2D1" w14:textId="77777777" w:rsidR="009D798A" w:rsidRPr="001D5327" w:rsidRDefault="009D798A" w:rsidP="00341FEF">
            <w:pPr>
              <w:pStyle w:val="TableText"/>
              <w:spacing w:before="40" w:after="40"/>
            </w:pPr>
            <w:r w:rsidRPr="001D5327">
              <w:rPr>
                <w:rFonts w:eastAsia="Calibri"/>
                <w:color w:val="000000"/>
              </w:rPr>
              <w:t>Ministry of Business, Innovation and Employment</w:t>
            </w:r>
          </w:p>
        </w:tc>
      </w:tr>
      <w:tr w:rsidR="009D798A" w:rsidRPr="001D5327" w14:paraId="1234CAAF" w14:textId="77777777" w:rsidTr="00341FEF">
        <w:tc>
          <w:tcPr>
            <w:tcW w:w="0" w:type="auto"/>
            <w:shd w:val="clear" w:color="auto" w:fill="FFFFFF"/>
            <w:tcMar>
              <w:top w:w="0" w:type="dxa"/>
              <w:left w:w="85" w:type="dxa"/>
              <w:bottom w:w="0" w:type="dxa"/>
              <w:right w:w="85" w:type="dxa"/>
            </w:tcMar>
          </w:tcPr>
          <w:p w14:paraId="20F0AFFA" w14:textId="77777777" w:rsidR="009D798A" w:rsidRPr="001D5327" w:rsidRDefault="009D798A" w:rsidP="00341FEF">
            <w:pPr>
              <w:pStyle w:val="TableText"/>
              <w:spacing w:before="40" w:after="40"/>
            </w:pPr>
            <w:r w:rsidRPr="001D5327">
              <w:rPr>
                <w:rFonts w:eastAsia="Calibri"/>
                <w:color w:val="000000"/>
              </w:rPr>
              <w:t>IPPU sector</w:t>
            </w:r>
          </w:p>
        </w:tc>
        <w:tc>
          <w:tcPr>
            <w:tcW w:w="0" w:type="auto"/>
            <w:shd w:val="clear" w:color="auto" w:fill="FFFFFF"/>
            <w:tcMar>
              <w:top w:w="0" w:type="dxa"/>
              <w:left w:w="85" w:type="dxa"/>
              <w:bottom w:w="0" w:type="dxa"/>
              <w:right w:w="85" w:type="dxa"/>
            </w:tcMar>
          </w:tcPr>
          <w:p w14:paraId="4C9BDB31" w14:textId="77777777" w:rsidR="009D798A" w:rsidRPr="001D5327" w:rsidRDefault="009D798A" w:rsidP="00341FEF">
            <w:pPr>
              <w:pStyle w:val="TableText"/>
              <w:spacing w:before="40" w:after="40"/>
            </w:pPr>
            <w:r w:rsidRPr="001D5327">
              <w:rPr>
                <w:rFonts w:eastAsia="Calibri"/>
                <w:color w:val="000000"/>
              </w:rPr>
              <w:t>Ministry for the Environment</w:t>
            </w:r>
          </w:p>
        </w:tc>
      </w:tr>
      <w:tr w:rsidR="009D798A" w:rsidRPr="001D5327" w14:paraId="18D319FA" w14:textId="77777777" w:rsidTr="00341FEF">
        <w:tc>
          <w:tcPr>
            <w:tcW w:w="0" w:type="auto"/>
            <w:shd w:val="clear" w:color="auto" w:fill="FFFFFF"/>
            <w:tcMar>
              <w:top w:w="0" w:type="dxa"/>
              <w:left w:w="85" w:type="dxa"/>
              <w:bottom w:w="0" w:type="dxa"/>
              <w:right w:w="85" w:type="dxa"/>
            </w:tcMar>
          </w:tcPr>
          <w:p w14:paraId="0E5053EC" w14:textId="77777777" w:rsidR="009D798A" w:rsidRPr="001D5327" w:rsidRDefault="009D798A" w:rsidP="00341FEF">
            <w:pPr>
              <w:pStyle w:val="TableText"/>
              <w:spacing w:before="40" w:after="40"/>
            </w:pPr>
            <w:r w:rsidRPr="001D5327">
              <w:rPr>
                <w:rFonts w:eastAsia="Calibri"/>
                <w:color w:val="000000"/>
              </w:rPr>
              <w:t>LULUCF sector</w:t>
            </w:r>
          </w:p>
        </w:tc>
        <w:tc>
          <w:tcPr>
            <w:tcW w:w="0" w:type="auto"/>
            <w:shd w:val="clear" w:color="auto" w:fill="FFFFFF"/>
            <w:tcMar>
              <w:top w:w="0" w:type="dxa"/>
              <w:left w:w="85" w:type="dxa"/>
              <w:bottom w:w="0" w:type="dxa"/>
              <w:right w:w="85" w:type="dxa"/>
            </w:tcMar>
          </w:tcPr>
          <w:p w14:paraId="3AB04EFD" w14:textId="77777777" w:rsidR="009D798A" w:rsidRPr="001D5327" w:rsidRDefault="009D798A" w:rsidP="00341FEF">
            <w:pPr>
              <w:pStyle w:val="TableText"/>
              <w:spacing w:before="40" w:after="40"/>
            </w:pPr>
            <w:r w:rsidRPr="001D5327">
              <w:rPr>
                <w:rFonts w:eastAsia="Calibri"/>
                <w:color w:val="000000"/>
              </w:rPr>
              <w:t>Ministry for the Environment</w:t>
            </w:r>
          </w:p>
        </w:tc>
      </w:tr>
      <w:tr w:rsidR="009D798A" w:rsidRPr="001D5327" w14:paraId="018FACF6" w14:textId="77777777" w:rsidTr="00341FEF">
        <w:tc>
          <w:tcPr>
            <w:tcW w:w="0" w:type="auto"/>
            <w:shd w:val="clear" w:color="auto" w:fill="FFFFFF"/>
            <w:tcMar>
              <w:top w:w="0" w:type="dxa"/>
              <w:left w:w="85" w:type="dxa"/>
              <w:bottom w:w="0" w:type="dxa"/>
              <w:right w:w="85" w:type="dxa"/>
            </w:tcMar>
          </w:tcPr>
          <w:p w14:paraId="75984C08" w14:textId="77777777" w:rsidR="009D798A" w:rsidRPr="001D5327" w:rsidRDefault="009D798A" w:rsidP="00341FEF">
            <w:pPr>
              <w:pStyle w:val="TableText"/>
              <w:spacing w:before="40" w:after="40"/>
            </w:pPr>
            <w:r w:rsidRPr="001D5327">
              <w:rPr>
                <w:rFonts w:eastAsia="Calibri"/>
                <w:color w:val="000000"/>
              </w:rPr>
              <w:t>Waste sector</w:t>
            </w:r>
          </w:p>
        </w:tc>
        <w:tc>
          <w:tcPr>
            <w:tcW w:w="0" w:type="auto"/>
            <w:shd w:val="clear" w:color="auto" w:fill="FFFFFF"/>
            <w:tcMar>
              <w:top w:w="0" w:type="dxa"/>
              <w:left w:w="85" w:type="dxa"/>
              <w:bottom w:w="0" w:type="dxa"/>
              <w:right w:w="85" w:type="dxa"/>
            </w:tcMar>
          </w:tcPr>
          <w:p w14:paraId="6EA9C24B" w14:textId="77777777" w:rsidR="009D798A" w:rsidRPr="001D5327" w:rsidRDefault="009D798A" w:rsidP="00341FEF">
            <w:pPr>
              <w:pStyle w:val="TableText"/>
              <w:spacing w:before="40" w:after="40"/>
            </w:pPr>
            <w:r w:rsidRPr="001D5327">
              <w:rPr>
                <w:rFonts w:eastAsia="Calibri"/>
                <w:color w:val="000000"/>
              </w:rPr>
              <w:t>Ministry for the Environment</w:t>
            </w:r>
          </w:p>
        </w:tc>
      </w:tr>
      <w:tr w:rsidR="009D798A" w:rsidRPr="001D5327" w14:paraId="5DA141E3" w14:textId="77777777" w:rsidTr="00341FEF">
        <w:tc>
          <w:tcPr>
            <w:tcW w:w="0" w:type="auto"/>
            <w:shd w:val="clear" w:color="auto" w:fill="FFFFFF"/>
            <w:tcMar>
              <w:top w:w="0" w:type="dxa"/>
              <w:left w:w="85" w:type="dxa"/>
              <w:bottom w:w="0" w:type="dxa"/>
              <w:right w:w="85" w:type="dxa"/>
            </w:tcMar>
          </w:tcPr>
          <w:p w14:paraId="7FEB1AA0" w14:textId="77777777" w:rsidR="009D798A" w:rsidRPr="001D5327" w:rsidRDefault="009D798A" w:rsidP="00341FEF">
            <w:pPr>
              <w:pStyle w:val="TableText"/>
              <w:spacing w:before="40" w:after="40"/>
            </w:pPr>
            <w:r w:rsidRPr="001D5327">
              <w:rPr>
                <w:rFonts w:eastAsia="Calibri"/>
                <w:color w:val="000000"/>
              </w:rPr>
              <w:t>Tokelau</w:t>
            </w:r>
          </w:p>
        </w:tc>
        <w:tc>
          <w:tcPr>
            <w:tcW w:w="0" w:type="auto"/>
            <w:shd w:val="clear" w:color="auto" w:fill="FFFFFF"/>
            <w:tcMar>
              <w:top w:w="0" w:type="dxa"/>
              <w:left w:w="85" w:type="dxa"/>
              <w:bottom w:w="0" w:type="dxa"/>
              <w:right w:w="85" w:type="dxa"/>
            </w:tcMar>
          </w:tcPr>
          <w:p w14:paraId="79697458" w14:textId="77777777" w:rsidR="009D798A" w:rsidRPr="001D5327" w:rsidRDefault="009D798A" w:rsidP="00341FEF">
            <w:pPr>
              <w:pStyle w:val="TableText"/>
              <w:spacing w:before="40" w:after="40"/>
            </w:pPr>
            <w:r w:rsidRPr="001D5327">
              <w:rPr>
                <w:rFonts w:eastAsia="Calibri"/>
                <w:color w:val="000000"/>
              </w:rPr>
              <w:t>Ministry for the Environment, Tokelau Government</w:t>
            </w:r>
          </w:p>
        </w:tc>
      </w:tr>
      <w:tr w:rsidR="009D798A" w:rsidRPr="001D5327" w14:paraId="6DE438DF" w14:textId="77777777" w:rsidTr="00341FEF">
        <w:tc>
          <w:tcPr>
            <w:tcW w:w="0" w:type="auto"/>
            <w:shd w:val="clear" w:color="auto" w:fill="FFFFFF"/>
            <w:tcMar>
              <w:top w:w="0" w:type="dxa"/>
              <w:left w:w="85" w:type="dxa"/>
              <w:bottom w:w="0" w:type="dxa"/>
              <w:right w:w="85" w:type="dxa"/>
            </w:tcMar>
          </w:tcPr>
          <w:p w14:paraId="0E698D4A" w14:textId="77777777" w:rsidR="009D798A" w:rsidRPr="001D5327" w:rsidRDefault="009D798A" w:rsidP="00341FEF">
            <w:pPr>
              <w:pStyle w:val="TableText"/>
              <w:spacing w:before="40" w:after="40"/>
            </w:pPr>
            <w:r w:rsidRPr="001D5327">
              <w:rPr>
                <w:rFonts w:eastAsia="Calibri"/>
                <w:color w:val="000000"/>
              </w:rPr>
              <w:t>Agriculture sector</w:t>
            </w:r>
          </w:p>
        </w:tc>
        <w:tc>
          <w:tcPr>
            <w:tcW w:w="0" w:type="auto"/>
            <w:shd w:val="clear" w:color="auto" w:fill="FFFFFF"/>
            <w:tcMar>
              <w:top w:w="0" w:type="dxa"/>
              <w:left w:w="85" w:type="dxa"/>
              <w:bottom w:w="0" w:type="dxa"/>
              <w:right w:w="85" w:type="dxa"/>
            </w:tcMar>
          </w:tcPr>
          <w:p w14:paraId="025E11F9" w14:textId="77777777" w:rsidR="009D798A" w:rsidRPr="001D5327" w:rsidRDefault="009D798A" w:rsidP="00341FEF">
            <w:pPr>
              <w:pStyle w:val="TableText"/>
              <w:spacing w:before="40" w:after="40"/>
            </w:pPr>
            <w:r w:rsidRPr="001D5327">
              <w:rPr>
                <w:rFonts w:eastAsia="Calibri"/>
                <w:color w:val="000000"/>
              </w:rPr>
              <w:t>Ministry for Primary Industries</w:t>
            </w:r>
          </w:p>
        </w:tc>
      </w:tr>
      <w:tr w:rsidR="009D798A" w:rsidRPr="001D5327" w14:paraId="2BE875EE" w14:textId="77777777" w:rsidTr="00341FEF">
        <w:tc>
          <w:tcPr>
            <w:tcW w:w="0" w:type="auto"/>
            <w:shd w:val="clear" w:color="auto" w:fill="FFFFFF"/>
            <w:tcMar>
              <w:top w:w="0" w:type="dxa"/>
              <w:left w:w="85" w:type="dxa"/>
              <w:bottom w:w="0" w:type="dxa"/>
              <w:right w:w="85" w:type="dxa"/>
            </w:tcMar>
          </w:tcPr>
          <w:p w14:paraId="6766C4CA" w14:textId="77777777" w:rsidR="009D798A" w:rsidRPr="001D5327" w:rsidRDefault="009D798A" w:rsidP="00341FEF">
            <w:pPr>
              <w:pStyle w:val="TableText"/>
              <w:spacing w:before="40" w:after="40"/>
            </w:pPr>
            <w:r w:rsidRPr="001D5327">
              <w:rPr>
                <w:rFonts w:eastAsia="Calibri"/>
                <w:color w:val="000000"/>
              </w:rPr>
              <w:t>National inventory agency</w:t>
            </w:r>
          </w:p>
        </w:tc>
        <w:tc>
          <w:tcPr>
            <w:tcW w:w="0" w:type="auto"/>
            <w:shd w:val="clear" w:color="auto" w:fill="FFFFFF"/>
            <w:tcMar>
              <w:top w:w="0" w:type="dxa"/>
              <w:left w:w="85" w:type="dxa"/>
              <w:bottom w:w="0" w:type="dxa"/>
              <w:right w:w="85" w:type="dxa"/>
            </w:tcMar>
          </w:tcPr>
          <w:p w14:paraId="6C985B03" w14:textId="77777777" w:rsidR="009D798A" w:rsidRPr="001D5327" w:rsidRDefault="009D798A" w:rsidP="00341FEF">
            <w:pPr>
              <w:pStyle w:val="TableText"/>
              <w:spacing w:before="40" w:after="40"/>
            </w:pPr>
            <w:r w:rsidRPr="001D5327">
              <w:rPr>
                <w:rFonts w:eastAsia="Calibri"/>
                <w:color w:val="000000"/>
              </w:rPr>
              <w:t>Ministry for the Environment</w:t>
            </w:r>
          </w:p>
        </w:tc>
      </w:tr>
    </w:tbl>
    <w:p w14:paraId="1000FE69" w14:textId="77777777" w:rsidR="009D798A" w:rsidRPr="001D5327" w:rsidRDefault="009D798A" w:rsidP="009D798A">
      <w:pPr>
        <w:pStyle w:val="BodyText"/>
        <w:spacing w:before="240"/>
      </w:pPr>
      <w:r w:rsidRPr="001D5327">
        <w:t>The activity data provided by Stats NZ are official national statistics (known as ‘Tier 1 statistics’). As such, they are subject to their own rigorous QA/QC procedures.</w:t>
      </w:r>
    </w:p>
    <w:p w14:paraId="112CB88C" w14:textId="77777777" w:rsidR="009D798A" w:rsidRPr="001D5327" w:rsidRDefault="009D798A" w:rsidP="009D798A">
      <w:pPr>
        <w:pStyle w:val="BodyText"/>
      </w:pPr>
      <w:r w:rsidRPr="001D5327">
        <w:t>Human population and animal production statistics provided by Stats NZ are also used for estimating emissions from the Waste sector.</w:t>
      </w:r>
    </w:p>
    <w:p w14:paraId="7BB08163" w14:textId="77777777" w:rsidR="009D798A" w:rsidRPr="001D5327" w:rsidRDefault="009D798A" w:rsidP="009D798A">
      <w:pPr>
        <w:pStyle w:val="BodyText"/>
      </w:pPr>
      <w:r w:rsidRPr="001D5327">
        <w:t>Tokelau’s activity data undergo QC processes at the Tokelau National Statistics Office. Tokelau’s emissions estimates undergo QA/QC processes that are similar to those of other inventory sectors.</w:t>
      </w:r>
    </w:p>
    <w:p w14:paraId="3D60AB73" w14:textId="77777777" w:rsidR="009D798A" w:rsidRPr="001D5327" w:rsidRDefault="009D798A" w:rsidP="009D798A">
      <w:pPr>
        <w:pStyle w:val="Heading4"/>
      </w:pPr>
      <w:bookmarkStart w:id="86" w:name="quality-assurance-and-quality-control"/>
      <w:bookmarkEnd w:id="84"/>
      <w:r w:rsidRPr="001D5327">
        <w:lastRenderedPageBreak/>
        <w:t>Improvement planning</w:t>
      </w:r>
    </w:p>
    <w:p w14:paraId="409E379D" w14:textId="77777777" w:rsidR="009D798A" w:rsidRPr="001D5327" w:rsidRDefault="009D798A" w:rsidP="009D798A">
      <w:pPr>
        <w:pStyle w:val="BodyText"/>
        <w:rPr>
          <w:spacing w:val="-2"/>
        </w:rPr>
      </w:pPr>
      <w:r w:rsidRPr="001D5327">
        <w:t xml:space="preserve">New Zealand’s QA/QC system includes prioritisation of improvements, processes around accepting improvements into the inventory, in-depth review of sector inventories or their components every 5 to 10 years, and improving the expertise of key contributors to compiling the inventory. The government audit agency (Audit New Zealand) makes annual audits of the inventory including assuring the QA/QC procedures were followed. New Zealand also considers the international technical expert reviews of the inventory performed by qualified expert reviewers through the Enhanced Transparency Framework under the Paris Agreement as an </w:t>
      </w:r>
      <w:r w:rsidRPr="001D5327">
        <w:rPr>
          <w:spacing w:val="-2"/>
        </w:rPr>
        <w:t>important element of QA/QC. The main aspects of QA/QC system are explained in detail below.</w:t>
      </w:r>
    </w:p>
    <w:p w14:paraId="10C85DE7" w14:textId="77777777" w:rsidR="009D798A" w:rsidRPr="001D5327" w:rsidRDefault="009D798A" w:rsidP="009D798A">
      <w:pPr>
        <w:pStyle w:val="BodyText"/>
      </w:pPr>
      <w:r w:rsidRPr="001D5327">
        <w:t>All sector leads are encouraged to schedule sector-specific QA/QC audits of their systems at least every five years. Sector-specific examples are provided below.</w:t>
      </w:r>
    </w:p>
    <w:p w14:paraId="71C70E8D" w14:textId="77777777" w:rsidR="009D798A" w:rsidRPr="001D5327" w:rsidRDefault="009D798A" w:rsidP="009D798A">
      <w:pPr>
        <w:pStyle w:val="BodyText"/>
      </w:pPr>
      <w:r w:rsidRPr="001D5327">
        <w:t>The Energy sector lead discussed sectoral issues with the Danish inventory team during bilateral meetings in 2017 dedicated to different aspects of the Energy sectoral inventory. The specific issues covered were: data sources, data collection and verification processes; using NZ ETS data for higher-tier methods in the Energy sector; applying higher-tier methods for road transport; disaggregation of non-road liquid fuel use; and fugitive emissions from fuels. In 2019, an external consultant was contracted to review and develop a QA/QC plan for the Energy sector. Most recommendations from that review have already been implemented, and work continues on addressing the remaining issues. In 2024, as part of an audit of MBIE’s annual report (MBIE, 2024b) – which features published data of GHG emissions from electricity generation as a performance indicator – Audit New Zealand carried out an independent, in</w:t>
      </w:r>
      <w:r w:rsidRPr="001D5327">
        <w:noBreakHyphen/>
        <w:t xml:space="preserve">depth review of MBIE’s energy and emissions data process. The auditors examined the completeness and accuracy of MBIE’s emissions estimates and verified the integrity of the entire data processing chain from receipt of raw data to data entry, processing, calculation and reporting. </w:t>
      </w:r>
    </w:p>
    <w:p w14:paraId="7C863ACB" w14:textId="77777777" w:rsidR="009D798A" w:rsidRPr="001D5327" w:rsidRDefault="009D798A" w:rsidP="009D798A">
      <w:pPr>
        <w:pStyle w:val="BodyText"/>
      </w:pPr>
      <w:r w:rsidRPr="001D5327">
        <w:t xml:space="preserve">The Agriculture sector completed a major QA/QC review of its calculation models with an external party in 2013. Since then, other QA/QC activities for the Agriculture sector have included a bilateral review with Australia in 2014 and an external review of equations used to determine metabolisable energy requirements in 2016. From 2022 to 2023, the Agriculture calculation models were migrated from an Excel-based system combined with Visual Basic for Applications code to an R-based system. The attention to detail required to replicate the model also acted as a QA/QC review. The R model and Excel model were run in parallel over the 2023 reporting cycle and compared again in detail. The increased transparency of the R model allows for a greater level of oversight by the analysts in the inventory team, making future QA/QC of the calculations easier. </w:t>
      </w:r>
    </w:p>
    <w:p w14:paraId="448A7C73" w14:textId="5E12F05E" w:rsidR="009D798A" w:rsidRPr="001D5327" w:rsidRDefault="009D798A" w:rsidP="00266D42">
      <w:pPr>
        <w:pStyle w:val="BodyText"/>
      </w:pPr>
      <w:r w:rsidRPr="001D5327">
        <w:t>In 2024, MPI released a standard methodology and codebase for estimating on-farm emissions.</w:t>
      </w:r>
      <w:r w:rsidRPr="001D5327">
        <w:rPr>
          <w:rStyle w:val="FootnoteReference"/>
        </w:rPr>
        <w:footnoteReference w:id="14"/>
      </w:r>
      <w:r w:rsidRPr="001D5327">
        <w:t xml:space="preserve"> The work to develop a farm-level emissions calculation methodology provided additional QA/QC as this work used the inventory model and methodology as a basis. This involved experts at MPI outside of the inventory team going through the calculations in detail</w:t>
      </w:r>
      <w:r w:rsidR="00266D42">
        <w:t> </w:t>
      </w:r>
      <w:r w:rsidRPr="001D5327">
        <w:t>to adapt them for the farm-level application. For more information, see chapter 5, section 5.1.6.</w:t>
      </w:r>
    </w:p>
    <w:p w14:paraId="0FD5279D" w14:textId="77777777" w:rsidR="009D798A" w:rsidRPr="001D5327" w:rsidRDefault="009D798A" w:rsidP="009D798A">
      <w:pPr>
        <w:pStyle w:val="Heading5"/>
      </w:pPr>
      <w:bookmarkStart w:id="87" w:name="prioritisation-of-improvements"/>
      <w:r w:rsidRPr="001D5327">
        <w:lastRenderedPageBreak/>
        <w:t>Prioritisation of improvements</w:t>
      </w:r>
    </w:p>
    <w:p w14:paraId="7F5D71B8" w14:textId="77777777" w:rsidR="009D798A" w:rsidRPr="001D5327" w:rsidRDefault="009D798A" w:rsidP="009D798A">
      <w:pPr>
        <w:pStyle w:val="BodyText"/>
      </w:pPr>
      <w:r w:rsidRPr="001D5327">
        <w:t>Priorities for the development of the inventory are guided by:</w:t>
      </w:r>
    </w:p>
    <w:p w14:paraId="3EE0AF2F" w14:textId="77777777" w:rsidR="009D798A" w:rsidRPr="001D5327" w:rsidRDefault="009D798A" w:rsidP="009D798A">
      <w:pPr>
        <w:pStyle w:val="Bullet"/>
        <w:tabs>
          <w:tab w:val="num" w:pos="567"/>
        </w:tabs>
      </w:pPr>
      <w:r w:rsidRPr="001D5327">
        <w:t>the results of key category analyses (level and trend)</w:t>
      </w:r>
    </w:p>
    <w:p w14:paraId="4CAD63FB" w14:textId="77777777" w:rsidR="009D798A" w:rsidRPr="001D5327" w:rsidRDefault="009D798A" w:rsidP="009D798A">
      <w:pPr>
        <w:pStyle w:val="Bullet"/>
        <w:tabs>
          <w:tab w:val="num" w:pos="567"/>
        </w:tabs>
      </w:pPr>
      <w:r w:rsidRPr="001D5327">
        <w:t>the degree of improvement to be achieved for existing emissions and removal estimates</w:t>
      </w:r>
    </w:p>
    <w:p w14:paraId="32E18015" w14:textId="77777777" w:rsidR="009D798A" w:rsidRPr="001D5327" w:rsidRDefault="009D798A" w:rsidP="009D798A">
      <w:pPr>
        <w:pStyle w:val="Bullet"/>
        <w:tabs>
          <w:tab w:val="num" w:pos="567"/>
        </w:tabs>
      </w:pPr>
      <w:r w:rsidRPr="001D5327">
        <w:t>the availability of resources required to implement the change</w:t>
      </w:r>
    </w:p>
    <w:p w14:paraId="0FFB6EB0" w14:textId="77777777" w:rsidR="009D798A" w:rsidRPr="001D5327" w:rsidRDefault="009D798A" w:rsidP="009D798A">
      <w:pPr>
        <w:pStyle w:val="Bullet"/>
        <w:tabs>
          <w:tab w:val="num" w:pos="567"/>
        </w:tabs>
      </w:pPr>
      <w:r w:rsidRPr="001D5327">
        <w:t>recommendations from previous international reviews of the inventory.</w:t>
      </w:r>
    </w:p>
    <w:p w14:paraId="3BD20D3C" w14:textId="46358AFC" w:rsidR="009D798A" w:rsidRPr="001D5327" w:rsidRDefault="009D798A" w:rsidP="009D798A">
      <w:pPr>
        <w:pStyle w:val="BodyText"/>
      </w:pPr>
      <w:r w:rsidRPr="001D5327">
        <w:t xml:space="preserve">Uncertainties are also considered in prioritising improvements. For example, if a change in a methodological approach may lead to a significant increase in uncertainty of the estimates, </w:t>
      </w:r>
      <w:r w:rsidRPr="001D5327">
        <w:rPr>
          <w:spacing w:val="-2"/>
        </w:rPr>
        <w:t xml:space="preserve">then the proposed change may be rejected </w:t>
      </w:r>
      <w:r w:rsidR="00D01D37">
        <w:rPr>
          <w:spacing w:val="-2"/>
        </w:rPr>
        <w:t xml:space="preserve">based </w:t>
      </w:r>
      <w:r w:rsidRPr="001D5327">
        <w:rPr>
          <w:spacing w:val="-2"/>
        </w:rPr>
        <w:t>on an undesired increase in uncertainty</w:t>
      </w:r>
      <w:r w:rsidRPr="001D5327">
        <w:t xml:space="preserve">. Otherwise, if the proposed improvement is not expected to affect the uncertainty significantly </w:t>
      </w:r>
      <w:r w:rsidRPr="001D5327">
        <w:rPr>
          <w:spacing w:val="-2"/>
        </w:rPr>
        <w:t>or will reduce uncertainty, then the change is likely to be prioritised. Sector leads are encouraged</w:t>
      </w:r>
      <w:r w:rsidRPr="001D5327">
        <w:t xml:space="preserve"> to develop annual inventory improvement and QA and QC plans to reflect current and future developments for their sector of the inventory.</w:t>
      </w:r>
    </w:p>
    <w:p w14:paraId="04529297" w14:textId="77777777" w:rsidR="009D798A" w:rsidRPr="001D5327" w:rsidRDefault="009D798A" w:rsidP="009D798A">
      <w:pPr>
        <w:pStyle w:val="Heading5"/>
      </w:pPr>
      <w:bookmarkStart w:id="88" w:name="Xd4042aa741d773d9c1b3b9e3747cdd2889229e4"/>
      <w:bookmarkEnd w:id="87"/>
      <w:r w:rsidRPr="001D5327">
        <w:t>Acceptance of improvements and recalculations</w:t>
      </w:r>
    </w:p>
    <w:p w14:paraId="6ECE4B86" w14:textId="77777777" w:rsidR="009D798A" w:rsidRPr="001D5327" w:rsidRDefault="009D798A" w:rsidP="009D798A">
      <w:pPr>
        <w:pStyle w:val="BodyText"/>
      </w:pPr>
      <w:r w:rsidRPr="001D5327">
        <w:t>All proposed improvements in the inventory undergo peer review by an independent expert or a group of experts. The change will be included in the inventory only if the peer reviewer concludes that the change is consistent with 2006 IPCC Guidelines (IPCC, 2006a) for the preparation and continuous improvement of national GHG inventories.</w:t>
      </w:r>
    </w:p>
    <w:p w14:paraId="7B343502" w14:textId="32BC7FB8" w:rsidR="009D798A" w:rsidRPr="001D5327" w:rsidRDefault="009D798A" w:rsidP="009D798A">
      <w:pPr>
        <w:pStyle w:val="BodyText"/>
        <w:rPr>
          <w:spacing w:val="-2"/>
        </w:rPr>
      </w:pPr>
      <w:r w:rsidRPr="001D5327">
        <w:t xml:space="preserve">Given the significance of the Agriculture sector to New Zealand’s emissions, the Government established the Agriculture Inventory Advisory Panel (the Panel). The Panel is an independent </w:t>
      </w:r>
      <w:r w:rsidRPr="001D5327">
        <w:rPr>
          <w:spacing w:val="-2"/>
        </w:rPr>
        <w:t>group of experts who assess if proposed improvements and recalculations in the sector’s emissions are scientifically robust enough to include in the inventory. Reports and/or papers</w:t>
      </w:r>
      <w:r w:rsidR="00903E74" w:rsidRPr="001D5327">
        <w:rPr>
          <w:spacing w:val="-2"/>
        </w:rPr>
        <w:t xml:space="preserve"> </w:t>
      </w:r>
      <w:r w:rsidRPr="001D5327">
        <w:rPr>
          <w:spacing w:val="-2"/>
        </w:rPr>
        <w:t>on proposed changes must be peer reviewed before they are presented to the Panel. The Panel then advises MPI of its recommendations. Refer to chapter 5, section 5.1.5 for further details.</w:t>
      </w:r>
    </w:p>
    <w:p w14:paraId="1CE28C22" w14:textId="77777777" w:rsidR="009D798A" w:rsidRPr="001D5327" w:rsidRDefault="009D798A" w:rsidP="009D798A">
      <w:pPr>
        <w:pStyle w:val="BodyText"/>
      </w:pPr>
      <w:r w:rsidRPr="001D5327">
        <w:t>All major recalculations for and improvements to the inventory are overseen by the RGG. The recalculations need to be sufficiently explained in terms of improving one or more of the TACCC principles. If, due to the recalculations, emissions from the recalculated category are higher than 500 kilotonnes carbon dioxide equivalent (kt CO</w:t>
      </w:r>
      <w:r w:rsidRPr="001D5327">
        <w:rPr>
          <w:vertAlign w:val="subscript"/>
        </w:rPr>
        <w:t>2</w:t>
      </w:r>
      <w:r w:rsidRPr="001D5327">
        <w:t>-e), the results of and reasons for the recalculations are documented and archived for future reference.</w:t>
      </w:r>
    </w:p>
    <w:p w14:paraId="3A26B850" w14:textId="77777777" w:rsidR="009D798A" w:rsidRPr="001D5327" w:rsidRDefault="009D798A" w:rsidP="009D798A">
      <w:pPr>
        <w:pStyle w:val="Heading4"/>
      </w:pPr>
      <w:bookmarkStart w:id="89" w:name="verification-activities"/>
      <w:bookmarkEnd w:id="86"/>
      <w:bookmarkEnd w:id="88"/>
      <w:r w:rsidRPr="001D5327">
        <w:t>Verification activities</w:t>
      </w:r>
    </w:p>
    <w:p w14:paraId="7A79A53C" w14:textId="77777777" w:rsidR="009D798A" w:rsidRPr="001D5327" w:rsidRDefault="009D798A" w:rsidP="009D798A">
      <w:pPr>
        <w:pStyle w:val="BodyText"/>
      </w:pPr>
      <w:r w:rsidRPr="001D5327">
        <w:t>Where relevant, further verification activities carried out for a sector are discussed in the sector-specific chapters of this report.</w:t>
      </w:r>
    </w:p>
    <w:p w14:paraId="27C4D646" w14:textId="77777777" w:rsidR="009D798A" w:rsidRPr="001D5327" w:rsidRDefault="009D798A" w:rsidP="009D798A">
      <w:pPr>
        <w:pStyle w:val="BodyText"/>
      </w:pPr>
      <w:r w:rsidRPr="001D5327">
        <w:t>In the Energy sector, the reference approach is used to verify the emissions estimates for CO</w:t>
      </w:r>
      <w:r w:rsidRPr="001D5327">
        <w:rPr>
          <w:vertAlign w:val="subscript"/>
        </w:rPr>
        <w:t>2</w:t>
      </w:r>
      <w:r w:rsidRPr="001D5327">
        <w:t xml:space="preserve"> obtained from the sectoral approach. Further detail is provided in annex 3.</w:t>
      </w:r>
    </w:p>
    <w:p w14:paraId="455D0F6D" w14:textId="77777777" w:rsidR="009D798A" w:rsidRPr="001D5327" w:rsidRDefault="009D798A" w:rsidP="009D798A">
      <w:pPr>
        <w:pStyle w:val="Heading5"/>
      </w:pPr>
      <w:bookmarkStart w:id="90" w:name="new-zealand-emissions-trading-scheme"/>
      <w:r w:rsidRPr="001D5327">
        <w:t>New Zealand Emissions Trading Scheme</w:t>
      </w:r>
    </w:p>
    <w:p w14:paraId="1E2593D4" w14:textId="77777777" w:rsidR="009D798A" w:rsidRPr="001D5327" w:rsidRDefault="009D798A" w:rsidP="009D798A">
      <w:pPr>
        <w:pStyle w:val="BodyText"/>
      </w:pPr>
      <w:r w:rsidRPr="001D5327">
        <w:t>The NZ ETS is one of the Government’s primary tools for reducing GHG emissions. This section explains the background of the NZ ETS and how the data collected for the NZ ETS have been used to verify CO</w:t>
      </w:r>
      <w:r w:rsidRPr="001D5327">
        <w:rPr>
          <w:vertAlign w:val="subscript"/>
        </w:rPr>
        <w:t>2</w:t>
      </w:r>
      <w:r w:rsidRPr="001D5327">
        <w:t xml:space="preserve"> emissions in the Energy and IPPU sectors.</w:t>
      </w:r>
    </w:p>
    <w:p w14:paraId="22A4ED94" w14:textId="77777777" w:rsidR="009D798A" w:rsidRPr="001D5327" w:rsidRDefault="009D798A" w:rsidP="009D798A">
      <w:pPr>
        <w:pStyle w:val="Heading6"/>
      </w:pPr>
      <w:bookmarkStart w:id="91" w:name="new-zealand-units"/>
      <w:bookmarkEnd w:id="90"/>
      <w:r w:rsidRPr="001D5327">
        <w:lastRenderedPageBreak/>
        <w:t>New Zealand Units</w:t>
      </w:r>
    </w:p>
    <w:p w14:paraId="2C3B1E22" w14:textId="77777777" w:rsidR="009D798A" w:rsidRPr="001D5327" w:rsidRDefault="009D798A" w:rsidP="009D798A">
      <w:pPr>
        <w:pStyle w:val="BodyText"/>
      </w:pPr>
      <w:r w:rsidRPr="001D5327">
        <w:t>The NZ ETS is based on trading units that each represent 1 tonne of CO</w:t>
      </w:r>
      <w:r w:rsidRPr="001D5327">
        <w:rPr>
          <w:vertAlign w:val="subscript"/>
        </w:rPr>
        <w:t>2</w:t>
      </w:r>
      <w:r w:rsidRPr="001D5327">
        <w:t>-e, called New Zealand Units (NZUs), which are created and distributed by the New Zealand Government. The scheme was established through an amendment to the Climate Change Response Act 2002</w:t>
      </w:r>
      <w:r w:rsidRPr="001D5327">
        <w:rPr>
          <w:rStyle w:val="FootnoteReference"/>
        </w:rPr>
        <w:footnoteReference w:id="15"/>
      </w:r>
      <w:r w:rsidRPr="001D5327">
        <w:t xml:space="preserve"> and came into effect progressively from 2008, with coverage since 2010 of all substantial emissions except agricultural CH</w:t>
      </w:r>
      <w:r w:rsidRPr="001D5327">
        <w:rPr>
          <w:vertAlign w:val="subscript"/>
        </w:rPr>
        <w:t>4</w:t>
      </w:r>
      <w:r w:rsidRPr="001D5327">
        <w:t xml:space="preserve"> and N</w:t>
      </w:r>
      <w:r w:rsidRPr="001D5327">
        <w:rPr>
          <w:vertAlign w:val="subscript"/>
        </w:rPr>
        <w:t>2</w:t>
      </w:r>
      <w:r w:rsidRPr="001D5327">
        <w:t xml:space="preserve">O. </w:t>
      </w:r>
    </w:p>
    <w:p w14:paraId="72FFD03F" w14:textId="77777777" w:rsidR="009D798A" w:rsidRPr="001D5327" w:rsidRDefault="009D798A" w:rsidP="009D798A">
      <w:pPr>
        <w:pStyle w:val="BodyText"/>
      </w:pPr>
      <w:r w:rsidRPr="001D5327">
        <w:t>Sectors under the scheme are required to report on their emissions and surrender units to the Government to cover their emissions. The Government supplies units for emissions removals through forestry and exports of emitting products from New Zealand. Units are also supplied as industrial allocation to firms carrying out activities that are emissions intensive and trade exposed, to address the risk of emissions leakage, and via quarterly auctions.</w:t>
      </w:r>
    </w:p>
    <w:p w14:paraId="5AE4EF2E" w14:textId="77777777" w:rsidR="009D798A" w:rsidRPr="001D5327" w:rsidRDefault="009D798A" w:rsidP="009D798A">
      <w:pPr>
        <w:pStyle w:val="BodyText"/>
      </w:pPr>
      <w:r w:rsidRPr="001D5327">
        <w:t>More information on the NZ ETS can be found on the MfE website.</w:t>
      </w:r>
      <w:r w:rsidRPr="001D5327">
        <w:rPr>
          <w:rStyle w:val="FootnoteReference"/>
        </w:rPr>
        <w:footnoteReference w:id="16"/>
      </w:r>
      <w:r w:rsidRPr="001D5327">
        <w:t xml:space="preserve"> </w:t>
      </w:r>
    </w:p>
    <w:bookmarkEnd w:id="91"/>
    <w:p w14:paraId="1BB89FF0" w14:textId="77777777" w:rsidR="009D798A" w:rsidRPr="001D5327" w:rsidRDefault="009D798A" w:rsidP="009D798A">
      <w:pPr>
        <w:pStyle w:val="Heading6"/>
      </w:pPr>
      <w:r w:rsidRPr="001D5327">
        <w:t>Verification</w:t>
      </w:r>
    </w:p>
    <w:p w14:paraId="14DC8711" w14:textId="77777777" w:rsidR="009D798A" w:rsidRPr="001D5327" w:rsidRDefault="009D798A" w:rsidP="009D798A">
      <w:pPr>
        <w:pStyle w:val="BodyText"/>
      </w:pPr>
      <w:r w:rsidRPr="001D5327">
        <w:t xml:space="preserve">Participants in the NZ ETS are required to record and report the GHG emissions for which they </w:t>
      </w:r>
      <w:r w:rsidRPr="001D5327">
        <w:rPr>
          <w:spacing w:val="-2"/>
        </w:rPr>
        <w:t>have obligations or if they are claiming NZUs for removing GHG emissions from the atmosphere</w:t>
      </w:r>
      <w:r w:rsidRPr="001D5327">
        <w:t>. Participants with obligations are also required to annually surrender NZUs to cover their emissions. How participants estimate their emissions is set out in the regulations prescribed under the Climate Change Response Act 2002. The schedule for sectors entering the NZ ETS is detailed in table 1.5.2.</w:t>
      </w:r>
    </w:p>
    <w:p w14:paraId="6B365896" w14:textId="77777777" w:rsidR="009D798A" w:rsidRPr="001D5327" w:rsidRDefault="009D798A" w:rsidP="009D798A">
      <w:pPr>
        <w:pStyle w:val="BodyText"/>
      </w:pPr>
      <w:r w:rsidRPr="001D5327">
        <w:t>For this submission, data collected for the NZ ETS were used to verify the Inventory estimates for CO</w:t>
      </w:r>
      <w:r w:rsidRPr="001D5327">
        <w:rPr>
          <w:vertAlign w:val="subscript"/>
        </w:rPr>
        <w:t>2</w:t>
      </w:r>
      <w:r w:rsidRPr="001D5327">
        <w:t xml:space="preserve"> emissions in the Energy and IPPU sectors (see chapter 3 and chapter 4 for further detail on the verification). Data from the NZ ETS were used as a primary source in the IPPU sector for the cement and lime industries, and in the Waste sector to verify activity data on municipal waste disposal. Data reported under the Waste Minimisation Act 2008 have been used as the primary data (see chapter 7 for details).</w:t>
      </w:r>
    </w:p>
    <w:p w14:paraId="1EF1624A" w14:textId="77777777" w:rsidR="009D798A" w:rsidRPr="001D5327" w:rsidRDefault="009D798A" w:rsidP="009D798A">
      <w:pPr>
        <w:pStyle w:val="BodyText"/>
      </w:pPr>
      <w:r w:rsidRPr="001D5327">
        <w:t>The NZ ETS data are also used for verifying activity data in the LULUCF sector. Forest age, area and deforestation as reported under the NZ ETS are used for verifying the areas of pre-1990 planted forest, post-1989 forest and deforestation.</w:t>
      </w:r>
    </w:p>
    <w:p w14:paraId="2D5464A9" w14:textId="77777777" w:rsidR="009D798A" w:rsidRPr="001D5327" w:rsidRDefault="009D798A" w:rsidP="009D798A">
      <w:pPr>
        <w:pStyle w:val="Table"/>
      </w:pPr>
      <w:bookmarkStart w:id="92" w:name="_Toc194241660"/>
      <w:r w:rsidRPr="001D5327">
        <w:t>Table 1.5.2</w:t>
      </w:r>
      <w:r w:rsidRPr="001D5327">
        <w:tab/>
        <w:t>Dates for sector entry into the New Zealand Emissions Trading Scheme</w:t>
      </w:r>
      <w:bookmarkEnd w:id="92"/>
    </w:p>
    <w:tbl>
      <w:tblPr>
        <w:tblW w:w="5000" w:type="pct"/>
        <w:jc w:val="center"/>
        <w:tblBorders>
          <w:top w:val="single" w:sz="4" w:space="0" w:color="1B556B"/>
          <w:bottom w:val="single" w:sz="4" w:space="0" w:color="1B556B"/>
          <w:insideH w:val="single" w:sz="4" w:space="0" w:color="1B556B"/>
        </w:tblBorders>
        <w:tblLook w:val="0420" w:firstRow="1" w:lastRow="0" w:firstColumn="0" w:lastColumn="0" w:noHBand="0" w:noVBand="1"/>
      </w:tblPr>
      <w:tblGrid>
        <w:gridCol w:w="3811"/>
        <w:gridCol w:w="1659"/>
        <w:gridCol w:w="1754"/>
        <w:gridCol w:w="1281"/>
      </w:tblGrid>
      <w:tr w:rsidR="009D798A" w:rsidRPr="001D5327" w14:paraId="025179CE" w14:textId="77777777" w:rsidTr="00341FEF">
        <w:trPr>
          <w:tblHeader/>
          <w:jc w:val="center"/>
        </w:trPr>
        <w:tc>
          <w:tcPr>
            <w:tcW w:w="0" w:type="auto"/>
            <w:shd w:val="clear" w:color="auto" w:fill="1B556B"/>
            <w:tcMar>
              <w:top w:w="0" w:type="dxa"/>
              <w:left w:w="85" w:type="dxa"/>
              <w:bottom w:w="0" w:type="dxa"/>
              <w:right w:w="85" w:type="dxa"/>
            </w:tcMar>
          </w:tcPr>
          <w:p w14:paraId="19A66E94" w14:textId="77777777" w:rsidR="009D798A" w:rsidRPr="001D5327" w:rsidRDefault="009D798A" w:rsidP="00341FEF">
            <w:pPr>
              <w:pStyle w:val="TableTextBold"/>
              <w:spacing w:before="40" w:after="40"/>
              <w:rPr>
                <w:noProof w:val="0"/>
                <w:color w:val="FFFFFF" w:themeColor="background1"/>
              </w:rPr>
            </w:pPr>
            <w:r w:rsidRPr="001D5327">
              <w:rPr>
                <w:rFonts w:eastAsia="Calibri"/>
                <w:noProof w:val="0"/>
                <w:color w:val="FFFFFF" w:themeColor="background1"/>
              </w:rPr>
              <w:t>Sector</w:t>
            </w:r>
          </w:p>
        </w:tc>
        <w:tc>
          <w:tcPr>
            <w:tcW w:w="0" w:type="auto"/>
            <w:shd w:val="clear" w:color="auto" w:fill="1B556B"/>
            <w:tcMar>
              <w:top w:w="0" w:type="dxa"/>
              <w:left w:w="85" w:type="dxa"/>
              <w:bottom w:w="0" w:type="dxa"/>
              <w:right w:w="85" w:type="dxa"/>
            </w:tcMar>
          </w:tcPr>
          <w:p w14:paraId="20ECECAC" w14:textId="77777777" w:rsidR="009D798A" w:rsidRPr="001D5327" w:rsidRDefault="009D798A" w:rsidP="00341FEF">
            <w:pPr>
              <w:pStyle w:val="TableTextBold"/>
              <w:spacing w:before="40" w:after="40"/>
              <w:rPr>
                <w:noProof w:val="0"/>
                <w:color w:val="FFFFFF" w:themeColor="background1"/>
              </w:rPr>
            </w:pPr>
            <w:r w:rsidRPr="001D5327">
              <w:rPr>
                <w:rFonts w:eastAsia="Calibri"/>
                <w:noProof w:val="0"/>
                <w:color w:val="FFFFFF" w:themeColor="background1"/>
              </w:rPr>
              <w:t>Voluntary reporting</w:t>
            </w:r>
          </w:p>
        </w:tc>
        <w:tc>
          <w:tcPr>
            <w:tcW w:w="0" w:type="auto"/>
            <w:shd w:val="clear" w:color="auto" w:fill="1B556B"/>
            <w:tcMar>
              <w:top w:w="0" w:type="dxa"/>
              <w:left w:w="85" w:type="dxa"/>
              <w:bottom w:w="0" w:type="dxa"/>
              <w:right w:w="85" w:type="dxa"/>
            </w:tcMar>
          </w:tcPr>
          <w:p w14:paraId="3C405235" w14:textId="77777777" w:rsidR="009D798A" w:rsidRPr="001D5327" w:rsidRDefault="009D798A" w:rsidP="00341FEF">
            <w:pPr>
              <w:pStyle w:val="TableTextBold"/>
              <w:spacing w:before="40" w:after="40"/>
              <w:rPr>
                <w:noProof w:val="0"/>
                <w:color w:val="FFFFFF" w:themeColor="background1"/>
              </w:rPr>
            </w:pPr>
            <w:r w:rsidRPr="001D5327">
              <w:rPr>
                <w:rFonts w:eastAsia="Calibri"/>
                <w:noProof w:val="0"/>
                <w:color w:val="FFFFFF" w:themeColor="background1"/>
              </w:rPr>
              <w:t>Mandatory reporting</w:t>
            </w:r>
          </w:p>
        </w:tc>
        <w:tc>
          <w:tcPr>
            <w:tcW w:w="0" w:type="auto"/>
            <w:shd w:val="clear" w:color="auto" w:fill="1B556B"/>
            <w:tcMar>
              <w:top w:w="0" w:type="dxa"/>
              <w:left w:w="85" w:type="dxa"/>
              <w:bottom w:w="0" w:type="dxa"/>
              <w:right w:w="85" w:type="dxa"/>
            </w:tcMar>
          </w:tcPr>
          <w:p w14:paraId="0A9E9F49" w14:textId="77777777" w:rsidR="009D798A" w:rsidRPr="001D5327" w:rsidRDefault="009D798A" w:rsidP="00341FEF">
            <w:pPr>
              <w:pStyle w:val="TableTextBold"/>
              <w:spacing w:before="40" w:after="40"/>
              <w:rPr>
                <w:noProof w:val="0"/>
                <w:color w:val="FFFFFF" w:themeColor="background1"/>
              </w:rPr>
            </w:pPr>
            <w:r w:rsidRPr="001D5327">
              <w:rPr>
                <w:rFonts w:eastAsia="Calibri"/>
                <w:noProof w:val="0"/>
                <w:color w:val="FFFFFF" w:themeColor="background1"/>
              </w:rPr>
              <w:t>Obligations</w:t>
            </w:r>
          </w:p>
        </w:tc>
      </w:tr>
      <w:tr w:rsidR="009D798A" w:rsidRPr="001D5327" w14:paraId="3799B7C7" w14:textId="77777777" w:rsidTr="00341FEF">
        <w:trPr>
          <w:jc w:val="center"/>
        </w:trPr>
        <w:tc>
          <w:tcPr>
            <w:tcW w:w="0" w:type="auto"/>
            <w:shd w:val="clear" w:color="auto" w:fill="FFFFFF"/>
            <w:tcMar>
              <w:top w:w="0" w:type="dxa"/>
              <w:left w:w="85" w:type="dxa"/>
              <w:bottom w:w="0" w:type="dxa"/>
              <w:right w:w="85" w:type="dxa"/>
            </w:tcMar>
          </w:tcPr>
          <w:p w14:paraId="0ABA95DA" w14:textId="77777777" w:rsidR="009D798A" w:rsidRPr="001D5327" w:rsidRDefault="009D798A" w:rsidP="00341FEF">
            <w:pPr>
              <w:pStyle w:val="TableText"/>
              <w:spacing w:before="40" w:after="40"/>
            </w:pPr>
            <w:r w:rsidRPr="001D5327">
              <w:rPr>
                <w:rFonts w:eastAsia="Calibri"/>
                <w:color w:val="000000"/>
              </w:rPr>
              <w:t>Forestry</w:t>
            </w:r>
          </w:p>
        </w:tc>
        <w:tc>
          <w:tcPr>
            <w:tcW w:w="0" w:type="auto"/>
            <w:shd w:val="clear" w:color="auto" w:fill="FFFFFF"/>
            <w:tcMar>
              <w:top w:w="0" w:type="dxa"/>
              <w:left w:w="85" w:type="dxa"/>
              <w:bottom w:w="0" w:type="dxa"/>
              <w:right w:w="85" w:type="dxa"/>
            </w:tcMar>
          </w:tcPr>
          <w:p w14:paraId="331380A6" w14:textId="77777777" w:rsidR="009D798A" w:rsidRPr="001D5327" w:rsidRDefault="009D798A" w:rsidP="00341FEF">
            <w:pPr>
              <w:pStyle w:val="TableText"/>
              <w:spacing w:before="40" w:after="40"/>
            </w:pPr>
            <w:r w:rsidRPr="001D5327">
              <w:rPr>
                <w:rFonts w:eastAsia="Calibri"/>
                <w:color w:val="000000"/>
              </w:rPr>
              <w:t>–</w:t>
            </w:r>
          </w:p>
        </w:tc>
        <w:tc>
          <w:tcPr>
            <w:tcW w:w="0" w:type="auto"/>
            <w:shd w:val="clear" w:color="auto" w:fill="FFFFFF"/>
            <w:tcMar>
              <w:top w:w="0" w:type="dxa"/>
              <w:left w:w="85" w:type="dxa"/>
              <w:bottom w:w="0" w:type="dxa"/>
              <w:right w:w="85" w:type="dxa"/>
            </w:tcMar>
          </w:tcPr>
          <w:p w14:paraId="0E3B3079" w14:textId="77777777" w:rsidR="009D798A" w:rsidRPr="001D5327" w:rsidRDefault="009D798A" w:rsidP="00341FEF">
            <w:pPr>
              <w:pStyle w:val="TableText"/>
              <w:spacing w:before="40" w:after="40"/>
            </w:pPr>
            <w:r w:rsidRPr="001D5327">
              <w:rPr>
                <w:rFonts w:eastAsia="Calibri"/>
                <w:color w:val="000000"/>
              </w:rPr>
              <w:t>–</w:t>
            </w:r>
          </w:p>
        </w:tc>
        <w:tc>
          <w:tcPr>
            <w:tcW w:w="0" w:type="auto"/>
            <w:shd w:val="clear" w:color="auto" w:fill="FFFFFF"/>
            <w:tcMar>
              <w:top w:w="0" w:type="dxa"/>
              <w:left w:w="85" w:type="dxa"/>
              <w:bottom w:w="0" w:type="dxa"/>
              <w:right w:w="85" w:type="dxa"/>
            </w:tcMar>
          </w:tcPr>
          <w:p w14:paraId="0FBF43D3" w14:textId="77777777" w:rsidR="009D798A" w:rsidRPr="001D5327" w:rsidRDefault="009D798A" w:rsidP="00341FEF">
            <w:pPr>
              <w:pStyle w:val="TableText"/>
              <w:spacing w:before="40" w:after="40"/>
            </w:pPr>
            <w:r w:rsidRPr="001D5327">
              <w:rPr>
                <w:rFonts w:eastAsia="Calibri"/>
                <w:color w:val="000000"/>
              </w:rPr>
              <w:t>1 January 2008</w:t>
            </w:r>
          </w:p>
        </w:tc>
      </w:tr>
      <w:tr w:rsidR="009D798A" w:rsidRPr="001D5327" w14:paraId="0CB4948A" w14:textId="77777777" w:rsidTr="00341FEF">
        <w:trPr>
          <w:jc w:val="center"/>
        </w:trPr>
        <w:tc>
          <w:tcPr>
            <w:tcW w:w="0" w:type="auto"/>
            <w:shd w:val="clear" w:color="auto" w:fill="FFFFFF"/>
            <w:tcMar>
              <w:top w:w="0" w:type="dxa"/>
              <w:left w:w="85" w:type="dxa"/>
              <w:bottom w:w="0" w:type="dxa"/>
              <w:right w:w="85" w:type="dxa"/>
            </w:tcMar>
          </w:tcPr>
          <w:p w14:paraId="1F2C1F61" w14:textId="77777777" w:rsidR="009D798A" w:rsidRPr="001D5327" w:rsidRDefault="009D798A" w:rsidP="00341FEF">
            <w:pPr>
              <w:pStyle w:val="TableText"/>
              <w:spacing w:before="40" w:after="40"/>
            </w:pPr>
            <w:r w:rsidRPr="001D5327">
              <w:rPr>
                <w:rFonts w:eastAsia="Calibri"/>
                <w:color w:val="000000"/>
              </w:rPr>
              <w:t>Transport fuels</w:t>
            </w:r>
          </w:p>
        </w:tc>
        <w:tc>
          <w:tcPr>
            <w:tcW w:w="0" w:type="auto"/>
            <w:shd w:val="clear" w:color="auto" w:fill="FFFFFF"/>
            <w:tcMar>
              <w:top w:w="0" w:type="dxa"/>
              <w:left w:w="85" w:type="dxa"/>
              <w:bottom w:w="0" w:type="dxa"/>
              <w:right w:w="85" w:type="dxa"/>
            </w:tcMar>
          </w:tcPr>
          <w:p w14:paraId="7ABC925E" w14:textId="77777777" w:rsidR="009D798A" w:rsidRPr="001D5327" w:rsidRDefault="009D798A" w:rsidP="00341FEF">
            <w:pPr>
              <w:pStyle w:val="TableText"/>
              <w:spacing w:before="40" w:after="40"/>
            </w:pPr>
            <w:r w:rsidRPr="001D5327">
              <w:rPr>
                <w:rFonts w:eastAsia="Calibri"/>
                <w:color w:val="000000"/>
              </w:rPr>
              <w:t>–</w:t>
            </w:r>
          </w:p>
        </w:tc>
        <w:tc>
          <w:tcPr>
            <w:tcW w:w="0" w:type="auto"/>
            <w:shd w:val="clear" w:color="auto" w:fill="FFFFFF"/>
            <w:tcMar>
              <w:top w:w="0" w:type="dxa"/>
              <w:left w:w="85" w:type="dxa"/>
              <w:bottom w:w="0" w:type="dxa"/>
              <w:right w:w="85" w:type="dxa"/>
            </w:tcMar>
          </w:tcPr>
          <w:p w14:paraId="2F4820F4" w14:textId="77777777" w:rsidR="009D798A" w:rsidRPr="001D5327" w:rsidRDefault="009D798A" w:rsidP="00341FEF">
            <w:pPr>
              <w:pStyle w:val="TableText"/>
              <w:spacing w:before="40" w:after="40"/>
            </w:pPr>
            <w:r w:rsidRPr="001D5327">
              <w:rPr>
                <w:rFonts w:eastAsia="Calibri"/>
                <w:color w:val="000000"/>
              </w:rPr>
              <w:t>1 January 2010</w:t>
            </w:r>
          </w:p>
        </w:tc>
        <w:tc>
          <w:tcPr>
            <w:tcW w:w="0" w:type="auto"/>
            <w:shd w:val="clear" w:color="auto" w:fill="FFFFFF"/>
            <w:tcMar>
              <w:top w:w="0" w:type="dxa"/>
              <w:left w:w="85" w:type="dxa"/>
              <w:bottom w:w="0" w:type="dxa"/>
              <w:right w:w="85" w:type="dxa"/>
            </w:tcMar>
          </w:tcPr>
          <w:p w14:paraId="7D24ED67" w14:textId="77777777" w:rsidR="009D798A" w:rsidRPr="001D5327" w:rsidRDefault="009D798A" w:rsidP="00341FEF">
            <w:pPr>
              <w:pStyle w:val="TableText"/>
              <w:spacing w:before="40" w:after="40"/>
            </w:pPr>
            <w:r w:rsidRPr="001D5327">
              <w:rPr>
                <w:rFonts w:eastAsia="Calibri"/>
                <w:color w:val="000000"/>
              </w:rPr>
              <w:t>1 July 2010</w:t>
            </w:r>
          </w:p>
        </w:tc>
      </w:tr>
      <w:tr w:rsidR="009D798A" w:rsidRPr="001D5327" w14:paraId="74AA7110" w14:textId="77777777" w:rsidTr="00341FEF">
        <w:trPr>
          <w:jc w:val="center"/>
        </w:trPr>
        <w:tc>
          <w:tcPr>
            <w:tcW w:w="0" w:type="auto"/>
            <w:shd w:val="clear" w:color="auto" w:fill="FFFFFF"/>
            <w:tcMar>
              <w:top w:w="0" w:type="dxa"/>
              <w:left w:w="85" w:type="dxa"/>
              <w:bottom w:w="0" w:type="dxa"/>
              <w:right w:w="85" w:type="dxa"/>
            </w:tcMar>
          </w:tcPr>
          <w:p w14:paraId="06B31906" w14:textId="77777777" w:rsidR="009D798A" w:rsidRPr="001D5327" w:rsidRDefault="009D798A" w:rsidP="00341FEF">
            <w:pPr>
              <w:pStyle w:val="TableText"/>
              <w:spacing w:before="40" w:after="40"/>
            </w:pPr>
            <w:r w:rsidRPr="001D5327">
              <w:rPr>
                <w:rFonts w:eastAsia="Calibri"/>
                <w:color w:val="000000"/>
              </w:rPr>
              <w:t>Stationary energy, including electricity production</w:t>
            </w:r>
          </w:p>
        </w:tc>
        <w:tc>
          <w:tcPr>
            <w:tcW w:w="0" w:type="auto"/>
            <w:shd w:val="clear" w:color="auto" w:fill="FFFFFF"/>
            <w:tcMar>
              <w:top w:w="0" w:type="dxa"/>
              <w:left w:w="85" w:type="dxa"/>
              <w:bottom w:w="0" w:type="dxa"/>
              <w:right w:w="85" w:type="dxa"/>
            </w:tcMar>
          </w:tcPr>
          <w:p w14:paraId="1FD3B913" w14:textId="77777777" w:rsidR="009D798A" w:rsidRPr="001D5327" w:rsidRDefault="009D798A" w:rsidP="00341FEF">
            <w:pPr>
              <w:pStyle w:val="TableText"/>
              <w:spacing w:before="40" w:after="40"/>
            </w:pPr>
            <w:r w:rsidRPr="001D5327">
              <w:rPr>
                <w:rFonts w:eastAsia="Calibri"/>
                <w:color w:val="000000"/>
              </w:rPr>
              <w:t>–</w:t>
            </w:r>
          </w:p>
        </w:tc>
        <w:tc>
          <w:tcPr>
            <w:tcW w:w="0" w:type="auto"/>
            <w:shd w:val="clear" w:color="auto" w:fill="FFFFFF"/>
            <w:tcMar>
              <w:top w:w="0" w:type="dxa"/>
              <w:left w:w="85" w:type="dxa"/>
              <w:bottom w:w="0" w:type="dxa"/>
              <w:right w:w="85" w:type="dxa"/>
            </w:tcMar>
          </w:tcPr>
          <w:p w14:paraId="186FC2BB" w14:textId="77777777" w:rsidR="009D798A" w:rsidRPr="001D5327" w:rsidRDefault="009D798A" w:rsidP="00341FEF">
            <w:pPr>
              <w:pStyle w:val="TableText"/>
              <w:spacing w:before="40" w:after="40"/>
            </w:pPr>
            <w:r w:rsidRPr="001D5327">
              <w:rPr>
                <w:rFonts w:eastAsia="Calibri"/>
                <w:color w:val="000000"/>
              </w:rPr>
              <w:t>1 January 2010</w:t>
            </w:r>
          </w:p>
        </w:tc>
        <w:tc>
          <w:tcPr>
            <w:tcW w:w="0" w:type="auto"/>
            <w:shd w:val="clear" w:color="auto" w:fill="FFFFFF"/>
            <w:tcMar>
              <w:top w:w="0" w:type="dxa"/>
              <w:left w:w="85" w:type="dxa"/>
              <w:bottom w:w="0" w:type="dxa"/>
              <w:right w:w="85" w:type="dxa"/>
            </w:tcMar>
          </w:tcPr>
          <w:p w14:paraId="128E3596" w14:textId="77777777" w:rsidR="009D798A" w:rsidRPr="001D5327" w:rsidRDefault="009D798A" w:rsidP="00341FEF">
            <w:pPr>
              <w:pStyle w:val="TableText"/>
              <w:spacing w:before="40" w:after="40"/>
            </w:pPr>
            <w:r w:rsidRPr="001D5327">
              <w:rPr>
                <w:rFonts w:eastAsia="Calibri"/>
                <w:color w:val="000000"/>
              </w:rPr>
              <w:t>1 July 2010</w:t>
            </w:r>
          </w:p>
        </w:tc>
      </w:tr>
      <w:tr w:rsidR="009D798A" w:rsidRPr="001D5327" w14:paraId="5F008220" w14:textId="77777777" w:rsidTr="00341FEF">
        <w:trPr>
          <w:jc w:val="center"/>
        </w:trPr>
        <w:tc>
          <w:tcPr>
            <w:tcW w:w="0" w:type="auto"/>
            <w:shd w:val="clear" w:color="auto" w:fill="FFFFFF"/>
            <w:tcMar>
              <w:top w:w="0" w:type="dxa"/>
              <w:left w:w="85" w:type="dxa"/>
              <w:bottom w:w="0" w:type="dxa"/>
              <w:right w:w="85" w:type="dxa"/>
            </w:tcMar>
          </w:tcPr>
          <w:p w14:paraId="49C06E25" w14:textId="77777777" w:rsidR="009D798A" w:rsidRPr="001D5327" w:rsidRDefault="009D798A" w:rsidP="00341FEF">
            <w:pPr>
              <w:pStyle w:val="TableText"/>
              <w:spacing w:before="40" w:after="40"/>
            </w:pPr>
            <w:r w:rsidRPr="001D5327">
              <w:rPr>
                <w:rFonts w:eastAsia="Calibri"/>
                <w:color w:val="000000"/>
              </w:rPr>
              <w:t>IPPU</w:t>
            </w:r>
          </w:p>
        </w:tc>
        <w:tc>
          <w:tcPr>
            <w:tcW w:w="0" w:type="auto"/>
            <w:shd w:val="clear" w:color="auto" w:fill="FFFFFF"/>
            <w:tcMar>
              <w:top w:w="0" w:type="dxa"/>
              <w:left w:w="85" w:type="dxa"/>
              <w:bottom w:w="0" w:type="dxa"/>
              <w:right w:w="85" w:type="dxa"/>
            </w:tcMar>
          </w:tcPr>
          <w:p w14:paraId="764E5AAE" w14:textId="77777777" w:rsidR="009D798A" w:rsidRPr="001D5327" w:rsidRDefault="009D798A" w:rsidP="00341FEF">
            <w:pPr>
              <w:pStyle w:val="TableText"/>
              <w:spacing w:before="40" w:after="40"/>
            </w:pPr>
            <w:r w:rsidRPr="001D5327">
              <w:rPr>
                <w:rFonts w:eastAsia="Calibri"/>
                <w:color w:val="000000"/>
              </w:rPr>
              <w:t>–</w:t>
            </w:r>
          </w:p>
        </w:tc>
        <w:tc>
          <w:tcPr>
            <w:tcW w:w="0" w:type="auto"/>
            <w:shd w:val="clear" w:color="auto" w:fill="FFFFFF"/>
            <w:tcMar>
              <w:top w:w="0" w:type="dxa"/>
              <w:left w:w="85" w:type="dxa"/>
              <w:bottom w:w="0" w:type="dxa"/>
              <w:right w:w="85" w:type="dxa"/>
            </w:tcMar>
          </w:tcPr>
          <w:p w14:paraId="36F9ABDD" w14:textId="77777777" w:rsidR="009D798A" w:rsidRPr="001D5327" w:rsidRDefault="009D798A" w:rsidP="00341FEF">
            <w:pPr>
              <w:pStyle w:val="TableText"/>
              <w:spacing w:before="40" w:after="40"/>
            </w:pPr>
            <w:r w:rsidRPr="001D5327">
              <w:rPr>
                <w:rFonts w:eastAsia="Calibri"/>
                <w:color w:val="000000"/>
              </w:rPr>
              <w:t>1 January 2010</w:t>
            </w:r>
          </w:p>
        </w:tc>
        <w:tc>
          <w:tcPr>
            <w:tcW w:w="0" w:type="auto"/>
            <w:shd w:val="clear" w:color="auto" w:fill="FFFFFF"/>
            <w:tcMar>
              <w:top w:w="0" w:type="dxa"/>
              <w:left w:w="85" w:type="dxa"/>
              <w:bottom w:w="0" w:type="dxa"/>
              <w:right w:w="85" w:type="dxa"/>
            </w:tcMar>
          </w:tcPr>
          <w:p w14:paraId="2343116F" w14:textId="77777777" w:rsidR="009D798A" w:rsidRPr="001D5327" w:rsidRDefault="009D798A" w:rsidP="00341FEF">
            <w:pPr>
              <w:pStyle w:val="TableText"/>
              <w:spacing w:before="40" w:after="40"/>
            </w:pPr>
            <w:r w:rsidRPr="001D5327">
              <w:rPr>
                <w:rFonts w:eastAsia="Calibri"/>
                <w:color w:val="000000"/>
              </w:rPr>
              <w:t>1 July 2010</w:t>
            </w:r>
          </w:p>
        </w:tc>
      </w:tr>
      <w:tr w:rsidR="009D798A" w:rsidRPr="001D5327" w14:paraId="19A13EA2" w14:textId="77777777" w:rsidTr="00341FEF">
        <w:trPr>
          <w:jc w:val="center"/>
        </w:trPr>
        <w:tc>
          <w:tcPr>
            <w:tcW w:w="0" w:type="auto"/>
            <w:shd w:val="clear" w:color="auto" w:fill="FFFFFF"/>
            <w:tcMar>
              <w:top w:w="0" w:type="dxa"/>
              <w:left w:w="85" w:type="dxa"/>
              <w:bottom w:w="0" w:type="dxa"/>
              <w:right w:w="85" w:type="dxa"/>
            </w:tcMar>
          </w:tcPr>
          <w:p w14:paraId="318CE54F" w14:textId="77777777" w:rsidR="009D798A" w:rsidRPr="001D5327" w:rsidRDefault="009D798A" w:rsidP="00341FEF">
            <w:pPr>
              <w:pStyle w:val="TableText"/>
              <w:spacing w:before="40" w:after="40"/>
            </w:pPr>
            <w:r w:rsidRPr="001D5327">
              <w:rPr>
                <w:rFonts w:eastAsia="Calibri"/>
                <w:color w:val="000000"/>
              </w:rPr>
              <w:t>Synthetic gases</w:t>
            </w:r>
          </w:p>
        </w:tc>
        <w:tc>
          <w:tcPr>
            <w:tcW w:w="0" w:type="auto"/>
            <w:shd w:val="clear" w:color="auto" w:fill="FFFFFF"/>
            <w:tcMar>
              <w:top w:w="0" w:type="dxa"/>
              <w:left w:w="85" w:type="dxa"/>
              <w:bottom w:w="0" w:type="dxa"/>
              <w:right w:w="85" w:type="dxa"/>
            </w:tcMar>
          </w:tcPr>
          <w:p w14:paraId="0545DFD2" w14:textId="77777777" w:rsidR="009D798A" w:rsidRPr="001D5327" w:rsidRDefault="009D798A" w:rsidP="00341FEF">
            <w:pPr>
              <w:pStyle w:val="TableText"/>
              <w:spacing w:before="40" w:after="40"/>
            </w:pPr>
            <w:r w:rsidRPr="001D5327">
              <w:rPr>
                <w:rFonts w:eastAsia="Calibri"/>
                <w:color w:val="000000"/>
              </w:rPr>
              <w:t>1 January 2011</w:t>
            </w:r>
          </w:p>
        </w:tc>
        <w:tc>
          <w:tcPr>
            <w:tcW w:w="0" w:type="auto"/>
            <w:shd w:val="clear" w:color="auto" w:fill="FFFFFF"/>
            <w:tcMar>
              <w:top w:w="0" w:type="dxa"/>
              <w:left w:w="85" w:type="dxa"/>
              <w:bottom w:w="0" w:type="dxa"/>
              <w:right w:w="85" w:type="dxa"/>
            </w:tcMar>
          </w:tcPr>
          <w:p w14:paraId="64A81FC7" w14:textId="77777777" w:rsidR="009D798A" w:rsidRPr="001D5327" w:rsidRDefault="009D798A" w:rsidP="00341FEF">
            <w:pPr>
              <w:pStyle w:val="TableText"/>
              <w:spacing w:before="40" w:after="40"/>
            </w:pPr>
            <w:r w:rsidRPr="001D5327">
              <w:rPr>
                <w:rFonts w:eastAsia="Calibri"/>
                <w:color w:val="000000"/>
              </w:rPr>
              <w:t>1 January 2012</w:t>
            </w:r>
          </w:p>
        </w:tc>
        <w:tc>
          <w:tcPr>
            <w:tcW w:w="0" w:type="auto"/>
            <w:shd w:val="clear" w:color="auto" w:fill="FFFFFF"/>
            <w:tcMar>
              <w:top w:w="0" w:type="dxa"/>
              <w:left w:w="85" w:type="dxa"/>
              <w:bottom w:w="0" w:type="dxa"/>
              <w:right w:w="85" w:type="dxa"/>
            </w:tcMar>
          </w:tcPr>
          <w:p w14:paraId="20D800BE" w14:textId="77777777" w:rsidR="009D798A" w:rsidRPr="001D5327" w:rsidRDefault="009D798A" w:rsidP="00341FEF">
            <w:pPr>
              <w:pStyle w:val="TableText"/>
              <w:spacing w:before="40" w:after="40"/>
            </w:pPr>
            <w:r w:rsidRPr="001D5327">
              <w:rPr>
                <w:rFonts w:eastAsia="Calibri"/>
                <w:color w:val="000000"/>
              </w:rPr>
              <w:t>1 January 2013</w:t>
            </w:r>
          </w:p>
        </w:tc>
      </w:tr>
      <w:tr w:rsidR="009D798A" w:rsidRPr="001D5327" w14:paraId="23EB66DE" w14:textId="77777777" w:rsidTr="00341FEF">
        <w:trPr>
          <w:jc w:val="center"/>
        </w:trPr>
        <w:tc>
          <w:tcPr>
            <w:tcW w:w="0" w:type="auto"/>
            <w:shd w:val="clear" w:color="auto" w:fill="FFFFFF"/>
            <w:tcMar>
              <w:top w:w="0" w:type="dxa"/>
              <w:left w:w="85" w:type="dxa"/>
              <w:bottom w:w="0" w:type="dxa"/>
              <w:right w:w="85" w:type="dxa"/>
            </w:tcMar>
          </w:tcPr>
          <w:p w14:paraId="59EC9CE0" w14:textId="77777777" w:rsidR="009D798A" w:rsidRPr="001D5327" w:rsidRDefault="009D798A" w:rsidP="00341FEF">
            <w:pPr>
              <w:pStyle w:val="TableText"/>
              <w:spacing w:before="40" w:after="40"/>
            </w:pPr>
            <w:r w:rsidRPr="001D5327">
              <w:rPr>
                <w:rFonts w:eastAsia="Calibri"/>
                <w:color w:val="000000"/>
              </w:rPr>
              <w:t>Waste</w:t>
            </w:r>
          </w:p>
        </w:tc>
        <w:tc>
          <w:tcPr>
            <w:tcW w:w="0" w:type="auto"/>
            <w:shd w:val="clear" w:color="auto" w:fill="FFFFFF"/>
            <w:tcMar>
              <w:top w:w="0" w:type="dxa"/>
              <w:left w:w="85" w:type="dxa"/>
              <w:bottom w:w="0" w:type="dxa"/>
              <w:right w:w="85" w:type="dxa"/>
            </w:tcMar>
          </w:tcPr>
          <w:p w14:paraId="654B16EA" w14:textId="77777777" w:rsidR="009D798A" w:rsidRPr="001D5327" w:rsidRDefault="009D798A" w:rsidP="00341FEF">
            <w:pPr>
              <w:pStyle w:val="TableText"/>
              <w:spacing w:before="40" w:after="40"/>
            </w:pPr>
            <w:r w:rsidRPr="001D5327">
              <w:rPr>
                <w:rFonts w:eastAsia="Calibri"/>
                <w:color w:val="000000"/>
              </w:rPr>
              <w:t>1 January 2011</w:t>
            </w:r>
          </w:p>
        </w:tc>
        <w:tc>
          <w:tcPr>
            <w:tcW w:w="0" w:type="auto"/>
            <w:shd w:val="clear" w:color="auto" w:fill="FFFFFF"/>
            <w:tcMar>
              <w:top w:w="0" w:type="dxa"/>
              <w:left w:w="85" w:type="dxa"/>
              <w:bottom w:w="0" w:type="dxa"/>
              <w:right w:w="85" w:type="dxa"/>
            </w:tcMar>
          </w:tcPr>
          <w:p w14:paraId="0CBAEB2C" w14:textId="77777777" w:rsidR="009D798A" w:rsidRPr="001D5327" w:rsidRDefault="009D798A" w:rsidP="00341FEF">
            <w:pPr>
              <w:pStyle w:val="TableText"/>
              <w:spacing w:before="40" w:after="40"/>
            </w:pPr>
            <w:r w:rsidRPr="001D5327">
              <w:rPr>
                <w:rFonts w:eastAsia="Calibri"/>
                <w:color w:val="000000"/>
              </w:rPr>
              <w:t>1 January 2012</w:t>
            </w:r>
          </w:p>
        </w:tc>
        <w:tc>
          <w:tcPr>
            <w:tcW w:w="0" w:type="auto"/>
            <w:shd w:val="clear" w:color="auto" w:fill="FFFFFF"/>
            <w:tcMar>
              <w:top w:w="0" w:type="dxa"/>
              <w:left w:w="85" w:type="dxa"/>
              <w:bottom w:w="0" w:type="dxa"/>
              <w:right w:w="85" w:type="dxa"/>
            </w:tcMar>
          </w:tcPr>
          <w:p w14:paraId="79DCBA7E" w14:textId="77777777" w:rsidR="009D798A" w:rsidRPr="001D5327" w:rsidRDefault="009D798A" w:rsidP="00341FEF">
            <w:pPr>
              <w:pStyle w:val="TableText"/>
              <w:spacing w:before="40" w:after="40"/>
            </w:pPr>
            <w:r w:rsidRPr="001D5327">
              <w:rPr>
                <w:rFonts w:eastAsia="Calibri"/>
                <w:color w:val="000000"/>
              </w:rPr>
              <w:t>1 January 2013</w:t>
            </w:r>
          </w:p>
        </w:tc>
      </w:tr>
      <w:tr w:rsidR="009D798A" w:rsidRPr="001D5327" w14:paraId="57862ED2" w14:textId="77777777" w:rsidTr="00341FEF">
        <w:trPr>
          <w:jc w:val="center"/>
        </w:trPr>
        <w:tc>
          <w:tcPr>
            <w:tcW w:w="0" w:type="auto"/>
            <w:shd w:val="clear" w:color="auto" w:fill="FFFFFF"/>
            <w:tcMar>
              <w:top w:w="0" w:type="dxa"/>
              <w:left w:w="85" w:type="dxa"/>
              <w:bottom w:w="0" w:type="dxa"/>
              <w:right w:w="85" w:type="dxa"/>
            </w:tcMar>
          </w:tcPr>
          <w:p w14:paraId="18D60620" w14:textId="77777777" w:rsidR="009D798A" w:rsidRPr="001D5327" w:rsidRDefault="009D798A" w:rsidP="00341FEF">
            <w:pPr>
              <w:pStyle w:val="TableText"/>
              <w:spacing w:before="40" w:after="40"/>
            </w:pPr>
            <w:r w:rsidRPr="001D5327">
              <w:rPr>
                <w:rFonts w:eastAsia="Calibri"/>
                <w:color w:val="000000"/>
              </w:rPr>
              <w:t>Agriculture</w:t>
            </w:r>
          </w:p>
        </w:tc>
        <w:tc>
          <w:tcPr>
            <w:tcW w:w="0" w:type="auto"/>
            <w:shd w:val="clear" w:color="auto" w:fill="FFFFFF"/>
            <w:tcMar>
              <w:top w:w="0" w:type="dxa"/>
              <w:left w:w="85" w:type="dxa"/>
              <w:bottom w:w="0" w:type="dxa"/>
              <w:right w:w="85" w:type="dxa"/>
            </w:tcMar>
          </w:tcPr>
          <w:p w14:paraId="65B5CB4B" w14:textId="77777777" w:rsidR="009D798A" w:rsidRPr="001D5327" w:rsidRDefault="009D798A" w:rsidP="00341FEF">
            <w:pPr>
              <w:pStyle w:val="TableText"/>
              <w:spacing w:before="40" w:after="40"/>
            </w:pPr>
            <w:r w:rsidRPr="001D5327">
              <w:rPr>
                <w:rFonts w:eastAsia="Calibri"/>
                <w:color w:val="000000"/>
              </w:rPr>
              <w:t>1 January 2011</w:t>
            </w:r>
          </w:p>
        </w:tc>
        <w:tc>
          <w:tcPr>
            <w:tcW w:w="0" w:type="auto"/>
            <w:shd w:val="clear" w:color="auto" w:fill="FFFFFF"/>
            <w:tcMar>
              <w:top w:w="0" w:type="dxa"/>
              <w:left w:w="85" w:type="dxa"/>
              <w:bottom w:w="0" w:type="dxa"/>
              <w:right w:w="85" w:type="dxa"/>
            </w:tcMar>
          </w:tcPr>
          <w:p w14:paraId="0A44FC01" w14:textId="77777777" w:rsidR="009D798A" w:rsidRPr="001D5327" w:rsidRDefault="009D798A" w:rsidP="00341FEF">
            <w:pPr>
              <w:pStyle w:val="TableText"/>
              <w:spacing w:before="40" w:after="40"/>
            </w:pPr>
            <w:r w:rsidRPr="001D5327">
              <w:rPr>
                <w:rFonts w:eastAsia="Calibri"/>
                <w:color w:val="000000"/>
              </w:rPr>
              <w:t>1 January 2012</w:t>
            </w:r>
          </w:p>
        </w:tc>
        <w:tc>
          <w:tcPr>
            <w:tcW w:w="0" w:type="auto"/>
            <w:shd w:val="clear" w:color="auto" w:fill="FFFFFF"/>
            <w:tcMar>
              <w:top w:w="0" w:type="dxa"/>
              <w:left w:w="85" w:type="dxa"/>
              <w:bottom w:w="0" w:type="dxa"/>
              <w:right w:w="85" w:type="dxa"/>
            </w:tcMar>
          </w:tcPr>
          <w:p w14:paraId="13845A3A" w14:textId="77777777" w:rsidR="009D798A" w:rsidRPr="001D5327" w:rsidRDefault="009D798A" w:rsidP="00341FEF">
            <w:pPr>
              <w:pStyle w:val="TableText"/>
              <w:spacing w:before="40" w:after="40"/>
            </w:pPr>
            <w:r w:rsidRPr="001D5327">
              <w:rPr>
                <w:rFonts w:eastAsia="Calibri"/>
                <w:color w:val="000000"/>
              </w:rPr>
              <w:t>–</w:t>
            </w:r>
          </w:p>
        </w:tc>
      </w:tr>
    </w:tbl>
    <w:p w14:paraId="51BF20A1" w14:textId="77777777" w:rsidR="009D798A" w:rsidRPr="001D5327" w:rsidRDefault="009D798A" w:rsidP="009D798A">
      <w:pPr>
        <w:pStyle w:val="Heading4"/>
        <w:spacing w:before="360"/>
      </w:pPr>
      <w:bookmarkStart w:id="93" w:name="treatment-of-confidentiality-issues"/>
      <w:bookmarkEnd w:id="89"/>
      <w:r w:rsidRPr="001D5327">
        <w:lastRenderedPageBreak/>
        <w:t>Treatment of confidentiality issues</w:t>
      </w:r>
    </w:p>
    <w:p w14:paraId="2C53A15F" w14:textId="77777777" w:rsidR="009D798A" w:rsidRPr="001D5327" w:rsidRDefault="009D798A" w:rsidP="003C5554">
      <w:pPr>
        <w:pStyle w:val="BodyText"/>
        <w:spacing w:before="80" w:after="100"/>
      </w:pPr>
      <w:r w:rsidRPr="001D5327">
        <w:t>When specific emissions and activity data in the inventory can result in identifying individuals and/or individual businesses and, therefore, affect their wellbeing, commercial interest in trade and/or negotiations, those data are considered to be confidential.</w:t>
      </w:r>
    </w:p>
    <w:p w14:paraId="1F628E08" w14:textId="77777777" w:rsidR="009D798A" w:rsidRPr="001D5327" w:rsidRDefault="009D798A" w:rsidP="003C5554">
      <w:pPr>
        <w:pStyle w:val="BodyText"/>
        <w:spacing w:before="100" w:after="100"/>
      </w:pPr>
      <w:r w:rsidRPr="001D5327">
        <w:t xml:space="preserve">The inventory is a Tier 1 statistic under New Zealand’s Official Statistics System. The inventory compilation process adheres to the </w:t>
      </w:r>
      <w:r w:rsidRPr="001D5327">
        <w:rPr>
          <w:i/>
          <w:iCs/>
        </w:rPr>
        <w:t>Principles and Protocols for Producers of Tier 1 Statistics</w:t>
      </w:r>
      <w:r w:rsidRPr="001D5327">
        <w:t xml:space="preserve"> (Stats NZ, 2007). The relevant definition of confidentiality (protocol 4) is as follows.</w:t>
      </w:r>
    </w:p>
    <w:p w14:paraId="22EF9E8D" w14:textId="2B4775A5" w:rsidR="009D798A" w:rsidRPr="001D5327" w:rsidRDefault="009D798A" w:rsidP="003C5554">
      <w:pPr>
        <w:pStyle w:val="Bullet"/>
        <w:tabs>
          <w:tab w:val="num" w:pos="567"/>
        </w:tabs>
        <w:spacing w:after="100"/>
      </w:pPr>
      <w:r w:rsidRPr="001D5327">
        <w:t>Confidentiality refers to the protection of individuals’ and organisations’ information, and</w:t>
      </w:r>
      <w:r w:rsidR="003C5554" w:rsidRPr="001D5327">
        <w:t> </w:t>
      </w:r>
      <w:r w:rsidRPr="001D5327">
        <w:t>ensuring that the information is not made available or disclosed to unauthorised individuals or entities.</w:t>
      </w:r>
    </w:p>
    <w:p w14:paraId="5DA2524D" w14:textId="10BDA9C0" w:rsidR="009D798A" w:rsidRPr="001D5327" w:rsidRDefault="009D798A" w:rsidP="003C5554">
      <w:pPr>
        <w:pStyle w:val="Bullet"/>
        <w:tabs>
          <w:tab w:val="num" w:pos="567"/>
        </w:tabs>
        <w:spacing w:after="100"/>
      </w:pPr>
      <w:r w:rsidRPr="001D5327">
        <w:t>The protection of respondents’ information is a cornerstone of maintaining the integrity of</w:t>
      </w:r>
      <w:r w:rsidR="003C5554" w:rsidRPr="001D5327">
        <w:t> </w:t>
      </w:r>
      <w:r w:rsidRPr="001D5327">
        <w:t>the Official Statistics System.</w:t>
      </w:r>
    </w:p>
    <w:p w14:paraId="373C2DF6" w14:textId="3D043DDE" w:rsidR="009D798A" w:rsidRPr="001D5327" w:rsidRDefault="009D798A" w:rsidP="003C5554">
      <w:pPr>
        <w:pStyle w:val="BodyText"/>
        <w:spacing w:before="100" w:after="100"/>
      </w:pPr>
      <w:r w:rsidRPr="001D5327">
        <w:t>Confidential data are aggregated to draw out the information that is important to the user, without disclosing confidential data (IPCC, 2006b). For New Zealand, confidentiality issues largely apply to sources of emissions in the Energy and IPPU sectors, where an entire industry or source category is often represented by just one or two companies. Therefore, a</w:t>
      </w:r>
      <w:r w:rsidR="00C71113" w:rsidRPr="001D5327">
        <w:t> </w:t>
      </w:r>
      <w:r w:rsidRPr="001D5327">
        <w:t>practice of presenting information as an ‘industry average’ is often not applicable in New</w:t>
      </w:r>
      <w:r w:rsidR="00C71113" w:rsidRPr="001D5327">
        <w:t> </w:t>
      </w:r>
      <w:r w:rsidRPr="001D5327">
        <w:t>Zealand because this would breach business confidentiality. Confidential information is held by the agencies preparing the inventory sector estimates (MPI, MBIE and MfE), and each agency has security procedures (e.g., password-restricted access to files on computers) to keep the data confidential.</w:t>
      </w:r>
    </w:p>
    <w:p w14:paraId="1ABC15FA" w14:textId="77777777" w:rsidR="009D798A" w:rsidRPr="001D5327" w:rsidRDefault="009D798A" w:rsidP="003C5554">
      <w:pPr>
        <w:pStyle w:val="BodyText"/>
        <w:spacing w:before="100" w:after="100"/>
      </w:pPr>
      <w:r w:rsidRPr="001D5327">
        <w:t>To protect the confidentiality of businesses that contribute data to the inventory, two approaches are used.</w:t>
      </w:r>
    </w:p>
    <w:p w14:paraId="3CA3E8F8" w14:textId="77777777" w:rsidR="009D798A" w:rsidRPr="001D5327" w:rsidRDefault="009D798A" w:rsidP="003C5554">
      <w:pPr>
        <w:pStyle w:val="Bullet"/>
        <w:tabs>
          <w:tab w:val="num" w:pos="567"/>
        </w:tabs>
        <w:spacing w:after="100"/>
      </w:pPr>
      <w:r w:rsidRPr="001D5327">
        <w:t>Where emissions cannot be reported without compromising confidentiality, the corresponding activity data are not reported and are marked as confidential in the CRT.</w:t>
      </w:r>
    </w:p>
    <w:p w14:paraId="772D4111" w14:textId="77777777" w:rsidR="009D798A" w:rsidRPr="001D5327" w:rsidRDefault="009D798A" w:rsidP="003C5554">
      <w:pPr>
        <w:pStyle w:val="Bullet"/>
        <w:tabs>
          <w:tab w:val="num" w:pos="567"/>
        </w:tabs>
        <w:spacing w:after="100"/>
      </w:pPr>
      <w:r w:rsidRPr="001D5327">
        <w:t>Where reporting emissions data would risk breaching confidentiality, the emissions data are aggregated with other emissions from a different source category. The notation key ‘IE’ (included elsewhere) is used.</w:t>
      </w:r>
    </w:p>
    <w:p w14:paraId="1E261440" w14:textId="77777777" w:rsidR="009D798A" w:rsidRPr="001D5327" w:rsidRDefault="009D798A" w:rsidP="003C5554">
      <w:pPr>
        <w:pStyle w:val="Heading2"/>
        <w:spacing w:before="240"/>
      </w:pPr>
      <w:bookmarkStart w:id="94" w:name="_Toc194311989"/>
      <w:bookmarkStart w:id="95" w:name="X37dec5a5b6dcf423aa87ffe2cd8110852a4605f"/>
      <w:bookmarkEnd w:id="83"/>
      <w:bookmarkEnd w:id="93"/>
      <w:r w:rsidRPr="001D5327">
        <w:t>1.6</w:t>
      </w:r>
      <w:r w:rsidRPr="001D5327">
        <w:tab/>
        <w:t>General uncertainty assessment, including data pertaining to the overall uncertainty of inventory totals</w:t>
      </w:r>
      <w:bookmarkEnd w:id="94"/>
    </w:p>
    <w:p w14:paraId="35E3A475" w14:textId="77777777" w:rsidR="009D798A" w:rsidRPr="001D5327" w:rsidRDefault="009D798A" w:rsidP="003C5554">
      <w:pPr>
        <w:pStyle w:val="BodyText"/>
        <w:spacing w:before="80" w:after="100"/>
      </w:pPr>
      <w:r w:rsidRPr="001D5327">
        <w:t>Uncertainty estimates are an essential element of a complete inventory. The purpose of uncertainty information is not to dispute the validity of the inventory estimates but to help prioritise efforts to improve the accuracy of inventories and guide decisions on methodological choice (IPCC, 2006b). Inventories prepared in accordance with the 2006 IPCC Guidelines (IPCC, 2006a) will typically contain a wide range of emissions estimates, varying from carefully measured and demonstrably complete data on emissions, to order-of-magnitude estimates for highly variable emissions such as N</w:t>
      </w:r>
      <w:r w:rsidRPr="001D5327">
        <w:rPr>
          <w:vertAlign w:val="subscript"/>
        </w:rPr>
        <w:t>2</w:t>
      </w:r>
      <w:r w:rsidRPr="001D5327">
        <w:t>O fluxes from soils and waterways (IPCC, 2006b).</w:t>
      </w:r>
    </w:p>
    <w:p w14:paraId="7928E1BC" w14:textId="77777777" w:rsidR="009D798A" w:rsidRPr="001D5327" w:rsidRDefault="009D798A" w:rsidP="003C5554">
      <w:pPr>
        <w:pStyle w:val="BodyText"/>
        <w:spacing w:before="100" w:after="100"/>
      </w:pPr>
      <w:r w:rsidRPr="001D5327">
        <w:t>New Zealand includes an uncertainty analysis of the aggregated figures applying Approach 1 from the 2006 IPCC Guidelines (IPCC, 2006b).</w:t>
      </w:r>
    </w:p>
    <w:p w14:paraId="3068E335" w14:textId="77777777" w:rsidR="009D798A" w:rsidRPr="001D5327" w:rsidRDefault="009D798A" w:rsidP="003C5554">
      <w:pPr>
        <w:pStyle w:val="BodyText"/>
        <w:spacing w:before="100" w:after="100"/>
      </w:pPr>
      <w:r w:rsidRPr="001D5327">
        <w:t>Uncertainties in the categories are combined to provide uncertainty estimates for all emissions for the latest reporting year and the base year, and the uncertainty in the trend over time. Annex 2 sets out detailed uncertainties for net emissions, where removals under LULUCF categories are included (table A2.1.1), and gross emissions excluding LULUCF (table A2.1.2).</w:t>
      </w:r>
    </w:p>
    <w:p w14:paraId="42E1301C" w14:textId="77777777" w:rsidR="009D798A" w:rsidRPr="001D5327" w:rsidRDefault="009D798A" w:rsidP="00262067">
      <w:pPr>
        <w:pStyle w:val="BodyText"/>
        <w:spacing w:before="100" w:after="100"/>
      </w:pPr>
      <w:r w:rsidRPr="001D5327">
        <w:lastRenderedPageBreak/>
        <w:t xml:space="preserve">In most instances, the uncertainty values are determined when country-specific emission factors are developed or activity data obtained, using expert judgement from sectoral or industry experts, or by referring to uncertainty ranges provided in the 2006 IPCC Guidelines (IPCC, 2006b). Uncertainties for the source categories are originally determined at the lowest level where information and data are available. </w:t>
      </w:r>
    </w:p>
    <w:p w14:paraId="53FF836E" w14:textId="48670708" w:rsidR="009D798A" w:rsidRPr="001D5327" w:rsidRDefault="009D798A" w:rsidP="00262067">
      <w:pPr>
        <w:pStyle w:val="BodyText"/>
        <w:spacing w:before="100" w:after="100"/>
      </w:pPr>
      <w:r w:rsidRPr="001D5327">
        <w:t>The low-level uncertainties are then aggregated to various extents by individual sector leads as</w:t>
      </w:r>
      <w:r w:rsidR="00262067" w:rsidRPr="001D5327">
        <w:t> </w:t>
      </w:r>
      <w:r w:rsidRPr="001D5327">
        <w:t>far as the second-level category for each of CO</w:t>
      </w:r>
      <w:r w:rsidRPr="001D5327">
        <w:rPr>
          <w:vertAlign w:val="subscript"/>
        </w:rPr>
        <w:t>2</w:t>
      </w:r>
      <w:r w:rsidRPr="001D5327">
        <w:t>, CH</w:t>
      </w:r>
      <w:r w:rsidRPr="001D5327">
        <w:rPr>
          <w:vertAlign w:val="subscript"/>
        </w:rPr>
        <w:t>4</w:t>
      </w:r>
      <w:r w:rsidRPr="001D5327">
        <w:t>, N</w:t>
      </w:r>
      <w:r w:rsidRPr="001D5327">
        <w:rPr>
          <w:vertAlign w:val="subscript"/>
        </w:rPr>
        <w:t>2</w:t>
      </w:r>
      <w:r w:rsidRPr="001D5327">
        <w:t>O and SF</w:t>
      </w:r>
      <w:r w:rsidRPr="001D5327">
        <w:rPr>
          <w:vertAlign w:val="subscript"/>
        </w:rPr>
        <w:t>6</w:t>
      </w:r>
      <w:r w:rsidRPr="001D5327">
        <w:t xml:space="preserve"> separately and for HFCs and PFCs as groups. These category-level aggregated data are submitted to the inventory compilation team for performing overall uncertainty calculations for level and trend uncertainties for gross and net emissions.</w:t>
      </w:r>
    </w:p>
    <w:p w14:paraId="0C61E3F6" w14:textId="77777777" w:rsidR="009D798A" w:rsidRPr="001D5327" w:rsidRDefault="009D798A" w:rsidP="00262067">
      <w:pPr>
        <w:pStyle w:val="BodyText"/>
        <w:spacing w:before="100" w:after="100"/>
      </w:pPr>
      <w:r w:rsidRPr="001D5327">
        <w:t>In most cases, to aggregate uncertainties from subcategories, sectoral compilers use Approach 1 (IPCC, 2006b, equation 3.2, page 3.28).</w:t>
      </w:r>
    </w:p>
    <w:p w14:paraId="22731568" w14:textId="77777777" w:rsidR="009D798A" w:rsidRPr="001D5327" w:rsidRDefault="009D798A" w:rsidP="00262067">
      <w:pPr>
        <w:pStyle w:val="BodyText"/>
        <w:spacing w:before="100" w:after="100"/>
      </w:pPr>
      <w:r w:rsidRPr="001D5327">
        <w:t>For more detail, refer to the sector-specific chapters.</w:t>
      </w:r>
    </w:p>
    <w:p w14:paraId="340903BC" w14:textId="77777777" w:rsidR="009D798A" w:rsidRPr="001D5327" w:rsidRDefault="009D798A" w:rsidP="009D798A">
      <w:pPr>
        <w:pStyle w:val="Heading4"/>
      </w:pPr>
      <w:bookmarkStart w:id="96" w:name="general-assessment-of-completeness"/>
      <w:bookmarkEnd w:id="95"/>
      <w:r w:rsidRPr="001D5327">
        <w:t>Gross emissions</w:t>
      </w:r>
    </w:p>
    <w:p w14:paraId="58E10BAD" w14:textId="77777777" w:rsidR="009D798A" w:rsidRPr="001D5327" w:rsidRDefault="009D798A" w:rsidP="009D798A">
      <w:pPr>
        <w:pStyle w:val="Heading5"/>
        <w:spacing w:before="180"/>
      </w:pPr>
      <w:bookmarkStart w:id="97" w:name="uncertainty-in-2023-level-assessment"/>
      <w:r w:rsidRPr="001D5327">
        <w:t>Uncertainty in 2023 – level assessment</w:t>
      </w:r>
    </w:p>
    <w:p w14:paraId="4C89D785" w14:textId="77777777" w:rsidR="009D798A" w:rsidRPr="001D5327" w:rsidRDefault="009D798A" w:rsidP="00262067">
      <w:pPr>
        <w:pStyle w:val="BodyText"/>
        <w:spacing w:before="100" w:after="100"/>
      </w:pPr>
      <w:r w:rsidRPr="001D5327">
        <w:t>The uncertainty in gross emissions (excluding emissions and removals from the LULUCF sector) in 2023 is ±8.6 per cent. This is a decrease of 0.2 percentage points from that reported for 2022 in the previous submission. Emissions contributing the most to the overall uncertainty of gross emissions in 2023 were CH₄ from Agriculture</w:t>
      </w:r>
      <w:r w:rsidRPr="001D5327">
        <w:rPr>
          <w:i/>
          <w:iCs/>
        </w:rPr>
        <w:t xml:space="preserve"> – Enteric fermentation</w:t>
      </w:r>
      <w:r w:rsidRPr="001D5327">
        <w:t xml:space="preserve"> (±16.0 per cent) at 6.6 per cent, N₂O from Agriculture</w:t>
      </w:r>
      <w:r w:rsidRPr="001D5327">
        <w:rPr>
          <w:i/>
          <w:iCs/>
        </w:rPr>
        <w:t xml:space="preserve"> – Agricultural soils</w:t>
      </w:r>
      <w:r w:rsidRPr="001D5327">
        <w:t xml:space="preserve"> (±55.9 per cent) at 4.7 per cent and CH₄ from Waste</w:t>
      </w:r>
      <w:r w:rsidRPr="001D5327">
        <w:rPr>
          <w:i/>
          <w:iCs/>
        </w:rPr>
        <w:t xml:space="preserve"> – Solid waste disposal</w:t>
      </w:r>
      <w:r w:rsidRPr="001D5327">
        <w:t xml:space="preserve"> (±89.4 per cent) at 2.6 per cent. The uncertainty in these categories reflects the inherent variability when estimating emissions from natural systems.</w:t>
      </w:r>
    </w:p>
    <w:p w14:paraId="5F1DE3D4" w14:textId="77777777" w:rsidR="009D798A" w:rsidRPr="001D5327" w:rsidRDefault="009D798A" w:rsidP="009D798A">
      <w:pPr>
        <w:pStyle w:val="Heading5"/>
      </w:pPr>
      <w:bookmarkStart w:id="98" w:name="uncertainty-in-1990-level-assessment"/>
      <w:bookmarkEnd w:id="97"/>
      <w:r w:rsidRPr="001D5327">
        <w:t>Uncertainty in 1990 – level assessment</w:t>
      </w:r>
    </w:p>
    <w:p w14:paraId="18BA260B" w14:textId="44E11822" w:rsidR="009D798A" w:rsidRPr="001D5327" w:rsidRDefault="009D798A" w:rsidP="00262067">
      <w:pPr>
        <w:pStyle w:val="BodyText"/>
        <w:spacing w:before="100" w:after="100"/>
      </w:pPr>
      <w:r w:rsidRPr="001D5327">
        <w:t>In 1990, the uncertainty in gross emissions was ±9.1 per cent. This is a decrease of 0.6</w:t>
      </w:r>
      <w:r w:rsidR="00C71113" w:rsidRPr="001D5327">
        <w:t> </w:t>
      </w:r>
      <w:r w:rsidRPr="001D5327">
        <w:t>percentage points from the previous submission. Emissions of CH₄ from Agriculture</w:t>
      </w:r>
      <w:r w:rsidRPr="001D5327">
        <w:rPr>
          <w:i/>
          <w:iCs/>
        </w:rPr>
        <w:t xml:space="preserve"> –</w:t>
      </w:r>
      <w:r w:rsidR="00C71113" w:rsidRPr="001D5327">
        <w:rPr>
          <w:i/>
          <w:iCs/>
        </w:rPr>
        <w:t> </w:t>
      </w:r>
      <w:r w:rsidRPr="001D5327">
        <w:rPr>
          <w:i/>
          <w:iCs/>
        </w:rPr>
        <w:t>Enteric fermentation</w:t>
      </w:r>
      <w:r w:rsidRPr="001D5327">
        <w:t xml:space="preserve"> contributed 7.3 per cent, N₂O from Agriculture</w:t>
      </w:r>
      <w:r w:rsidRPr="001D5327">
        <w:rPr>
          <w:i/>
          <w:iCs/>
        </w:rPr>
        <w:t xml:space="preserve"> – Agricultural soils</w:t>
      </w:r>
      <w:r w:rsidRPr="001D5327">
        <w:t xml:space="preserve"> contributed 3.8 per cent and CH₄ from Waste </w:t>
      </w:r>
      <w:r w:rsidRPr="001D5327">
        <w:rPr>
          <w:i/>
          <w:iCs/>
        </w:rPr>
        <w:t>– Solid waste disposal</w:t>
      </w:r>
      <w:r w:rsidRPr="001D5327">
        <w:t xml:space="preserve"> contributed 3.5 per cent to the overall uncertainty of gross emissions in 1990.</w:t>
      </w:r>
    </w:p>
    <w:p w14:paraId="3852284C" w14:textId="77777777" w:rsidR="009D798A" w:rsidRPr="001D5327" w:rsidRDefault="009D798A" w:rsidP="009D798A">
      <w:pPr>
        <w:pStyle w:val="Heading5"/>
      </w:pPr>
      <w:bookmarkStart w:id="99" w:name="uncertainty-in-the-trend"/>
      <w:bookmarkEnd w:id="98"/>
      <w:r w:rsidRPr="001D5327">
        <w:t>Uncertainty in the trend</w:t>
      </w:r>
    </w:p>
    <w:p w14:paraId="42E0BD35" w14:textId="77777777" w:rsidR="009D798A" w:rsidRPr="001D5327" w:rsidRDefault="009D798A" w:rsidP="00262067">
      <w:pPr>
        <w:pStyle w:val="BodyText"/>
        <w:spacing w:before="100" w:after="100"/>
      </w:pPr>
      <w:r w:rsidRPr="001D5327">
        <w:t xml:space="preserve">The trend uncertainty in gross emissions (excluding emissions and removals from the LULUCF sector) from 1990 to 2023 is ±5.4 per cent. This is a decrease of 0.9 percentage points from the previous submission. This decrease is primarily a result of a decrease in the Waste – </w:t>
      </w:r>
      <w:r w:rsidRPr="001D5327">
        <w:rPr>
          <w:i/>
          <w:iCs/>
        </w:rPr>
        <w:t>5.A Solid waste disposal</w:t>
      </w:r>
      <w:r w:rsidRPr="001D5327">
        <w:t xml:space="preserve"> uncertainties.</w:t>
      </w:r>
    </w:p>
    <w:bookmarkEnd w:id="99"/>
    <w:p w14:paraId="42C76CAD" w14:textId="77777777" w:rsidR="009D798A" w:rsidRPr="001D5327" w:rsidRDefault="009D798A" w:rsidP="009D798A">
      <w:pPr>
        <w:pStyle w:val="Heading4"/>
      </w:pPr>
      <w:r w:rsidRPr="001D5327">
        <w:t xml:space="preserve">Net emissions </w:t>
      </w:r>
    </w:p>
    <w:p w14:paraId="77A0FB31" w14:textId="77777777" w:rsidR="009D798A" w:rsidRPr="001D5327" w:rsidRDefault="009D798A" w:rsidP="009D798A">
      <w:pPr>
        <w:pStyle w:val="Heading5"/>
        <w:spacing w:before="180"/>
      </w:pPr>
      <w:bookmarkStart w:id="100" w:name="uncertainty-in-2023-level-assessment-1"/>
      <w:r w:rsidRPr="001D5327">
        <w:t>Uncertainty in 2023 – level assessment</w:t>
      </w:r>
    </w:p>
    <w:p w14:paraId="75D1788A" w14:textId="77777777" w:rsidR="009D798A" w:rsidRPr="001D5327" w:rsidRDefault="009D798A" w:rsidP="00262067">
      <w:pPr>
        <w:pStyle w:val="BodyText"/>
        <w:spacing w:before="100"/>
      </w:pPr>
      <w:r w:rsidRPr="001D5327">
        <w:t xml:space="preserve">The uncertainty for New Zealand’s </w:t>
      </w:r>
      <w:r w:rsidRPr="001D5327">
        <w:rPr>
          <w:bCs/>
          <w:color w:val="000000" w:themeColor="text1"/>
        </w:rPr>
        <w:t>I</w:t>
      </w:r>
      <w:r w:rsidRPr="001D5327">
        <w:t xml:space="preserve">nventory, including emissions and removals from the LULUCF sector, in 2023 is ±24.7 per cent. There has been an increase of 0.4 percentage points in uncertainty </w:t>
      </w:r>
      <w:r w:rsidRPr="001D5327">
        <w:rPr>
          <w:color w:val="000000" w:themeColor="text1"/>
        </w:rPr>
        <w:t xml:space="preserve">from that reported for 2022 in the previous submission. </w:t>
      </w:r>
      <w:r w:rsidRPr="001D5327">
        <w:t>Emissions contributing the most to the overall uncertainty of net emissions in 2023 were CO₂ from LULUCF</w:t>
      </w:r>
      <w:r w:rsidRPr="001D5327">
        <w:rPr>
          <w:i/>
          <w:iCs/>
        </w:rPr>
        <w:t xml:space="preserve"> – Forest land</w:t>
      </w:r>
      <w:r w:rsidRPr="001D5327">
        <w:t xml:space="preserve"> (±62.3 per cent) at 20.5 per cent, CH₄ from Agriculture</w:t>
      </w:r>
      <w:r w:rsidRPr="001D5327">
        <w:rPr>
          <w:i/>
          <w:iCs/>
        </w:rPr>
        <w:t xml:space="preserve"> – Enteric fermentation</w:t>
      </w:r>
      <w:r w:rsidRPr="001D5327">
        <w:t xml:space="preserve"> (±16.0 per cent) at 9.0 per cent and CO₂ from LULUCF</w:t>
      </w:r>
      <w:r w:rsidRPr="001D5327">
        <w:rPr>
          <w:i/>
          <w:iCs/>
        </w:rPr>
        <w:t xml:space="preserve"> – Harvested wood products</w:t>
      </w:r>
      <w:r w:rsidRPr="001D5327">
        <w:t xml:space="preserve"> (±68.2 per cent) at 7.1 per cent.</w:t>
      </w:r>
    </w:p>
    <w:p w14:paraId="000A3C26" w14:textId="77777777" w:rsidR="009D798A" w:rsidRPr="001D5327" w:rsidRDefault="009D798A" w:rsidP="009D798A">
      <w:pPr>
        <w:pStyle w:val="Heading5"/>
      </w:pPr>
      <w:r w:rsidRPr="001D5327">
        <w:lastRenderedPageBreak/>
        <w:t>Uncertainty in 1990 – level assessment</w:t>
      </w:r>
    </w:p>
    <w:p w14:paraId="23B23494" w14:textId="77777777" w:rsidR="009D798A" w:rsidRPr="001D5327" w:rsidRDefault="009D798A" w:rsidP="009D798A">
      <w:pPr>
        <w:pStyle w:val="BodyText"/>
      </w:pPr>
      <w:r w:rsidRPr="001D5327">
        <w:t>In 1990, the uncertainty in net emissions was ±36.9 per cent. There has been a decrease of 1.6 per</w:t>
      </w:r>
      <w:r w:rsidRPr="001D5327">
        <w:rPr>
          <w:color w:val="000000" w:themeColor="text1"/>
        </w:rPr>
        <w:t>centage points from the previous submission.</w:t>
      </w:r>
    </w:p>
    <w:p w14:paraId="0697E325" w14:textId="77777777" w:rsidR="009D798A" w:rsidRPr="001D5327" w:rsidRDefault="009D798A" w:rsidP="009D798A">
      <w:pPr>
        <w:pStyle w:val="BodyText"/>
      </w:pPr>
      <w:r w:rsidRPr="001D5327">
        <w:t>Emissions of CO₂ from LULUCF</w:t>
      </w:r>
      <w:r w:rsidRPr="001D5327">
        <w:rPr>
          <w:i/>
          <w:iCs/>
        </w:rPr>
        <w:t xml:space="preserve"> – Forest land</w:t>
      </w:r>
      <w:r w:rsidRPr="001D5327">
        <w:t xml:space="preserve"> contributed 33.8 per cent, CH₄ from Agriculture</w:t>
      </w:r>
      <w:r w:rsidRPr="001D5327">
        <w:rPr>
          <w:i/>
          <w:iCs/>
        </w:rPr>
        <w:t xml:space="preserve"> – Enteric fermentation</w:t>
      </w:r>
      <w:r w:rsidRPr="001D5327">
        <w:t xml:space="preserve"> contributed 11.5 per cent and N₂O from Agriculture</w:t>
      </w:r>
      <w:r w:rsidRPr="001D5327">
        <w:rPr>
          <w:i/>
          <w:iCs/>
        </w:rPr>
        <w:t xml:space="preserve"> – Agricultural soils</w:t>
      </w:r>
      <w:r w:rsidRPr="001D5327">
        <w:t xml:space="preserve"> contributed 6.0 per cent to the overall uncertainty of net emissions in 1990.</w:t>
      </w:r>
    </w:p>
    <w:p w14:paraId="0BF1A73C" w14:textId="77777777" w:rsidR="009D798A" w:rsidRPr="001D5327" w:rsidRDefault="009D798A" w:rsidP="009D798A">
      <w:pPr>
        <w:pStyle w:val="Heading5"/>
      </w:pPr>
      <w:r w:rsidRPr="001D5327">
        <w:t>Uncertainty in the trend</w:t>
      </w:r>
    </w:p>
    <w:p w14:paraId="50A96364" w14:textId="77777777" w:rsidR="009D798A" w:rsidRPr="001D5327" w:rsidRDefault="009D798A" w:rsidP="009D798A">
      <w:pPr>
        <w:pStyle w:val="BodyText"/>
        <w:rPr>
          <w:rFonts w:cs="Calibri"/>
          <w:color w:val="000000"/>
        </w:rPr>
      </w:pPr>
      <w:r w:rsidRPr="001D5327">
        <w:rPr>
          <w:rFonts w:eastAsiaTheme="minorHAnsi" w:cstheme="majorHAnsi"/>
          <w:szCs w:val="24"/>
          <w:lang w:eastAsia="en-US"/>
        </w:rPr>
        <w:t>When emissions</w:t>
      </w:r>
      <w:r w:rsidRPr="001D5327">
        <w:t xml:space="preserve"> and removals from the LULUCF sector are included, the overall uncertainty in the trend from </w:t>
      </w:r>
      <w:r w:rsidRPr="001D5327">
        <w:rPr>
          <w:rFonts w:eastAsiaTheme="minorEastAsia" w:cstheme="minorBidi"/>
        </w:rPr>
        <w:t>1990</w:t>
      </w:r>
      <w:r w:rsidRPr="001D5327">
        <w:t xml:space="preserve"> to </w:t>
      </w:r>
      <w:r w:rsidRPr="001D5327">
        <w:rPr>
          <w:rFonts w:eastAsiaTheme="minorEastAsia" w:cstheme="minorBidi"/>
        </w:rPr>
        <w:t>2023</w:t>
      </w:r>
      <w:r w:rsidRPr="001D5327">
        <w:t xml:space="preserve"> is ±</w:t>
      </w:r>
      <w:r w:rsidRPr="001D5327">
        <w:rPr>
          <w:rFonts w:eastAsiaTheme="minorEastAsia" w:cstheme="minorBidi"/>
        </w:rPr>
        <w:t>20.0</w:t>
      </w:r>
      <w:r w:rsidRPr="001D5327">
        <w:t xml:space="preserve"> per cent. This is </w:t>
      </w:r>
      <w:r w:rsidRPr="001D5327">
        <w:rPr>
          <w:rFonts w:eastAsiaTheme="minorEastAsia" w:cstheme="minorBidi"/>
        </w:rPr>
        <w:t>a decrease</w:t>
      </w:r>
      <w:r w:rsidRPr="001D5327">
        <w:t xml:space="preserve"> of </w:t>
      </w:r>
      <w:r w:rsidRPr="001D5327">
        <w:rPr>
          <w:rFonts w:eastAsiaTheme="minorEastAsia" w:cstheme="minorBidi"/>
        </w:rPr>
        <w:t>3.5</w:t>
      </w:r>
      <w:r w:rsidRPr="001D5327">
        <w:t xml:space="preserve"> percentage points when compared with the previous submission. This </w:t>
      </w:r>
      <w:r w:rsidRPr="001D5327">
        <w:rPr>
          <w:rFonts w:eastAsiaTheme="minorEastAsia" w:cstheme="minorBidi"/>
        </w:rPr>
        <w:t>decrease</w:t>
      </w:r>
      <w:r w:rsidRPr="001D5327">
        <w:t xml:space="preserve"> is primarily a result of </w:t>
      </w:r>
      <w:r w:rsidRPr="001D5327">
        <w:rPr>
          <w:rFonts w:eastAsiaTheme="minorEastAsia" w:cstheme="minorBidi"/>
        </w:rPr>
        <w:t>a decrease</w:t>
      </w:r>
      <w:r w:rsidRPr="001D5327">
        <w:t xml:space="preserve"> in the </w:t>
      </w:r>
      <w:r w:rsidRPr="001D5327">
        <w:rPr>
          <w:rFonts w:cs="Calibri"/>
          <w:color w:val="000000"/>
        </w:rPr>
        <w:t xml:space="preserve">LULUCF – </w:t>
      </w:r>
      <w:r w:rsidRPr="001D5327">
        <w:rPr>
          <w:rFonts w:cs="Calibri"/>
          <w:i/>
          <w:iCs/>
          <w:color w:val="000000"/>
        </w:rPr>
        <w:t>4.A</w:t>
      </w:r>
      <w:r w:rsidRPr="001D5327">
        <w:rPr>
          <w:rFonts w:cs="Calibri"/>
          <w:color w:val="000000"/>
        </w:rPr>
        <w:t xml:space="preserve"> </w:t>
      </w:r>
      <w:r w:rsidRPr="001D5327">
        <w:rPr>
          <w:rFonts w:cs="Calibri"/>
          <w:i/>
          <w:iCs/>
          <w:color w:val="000000"/>
        </w:rPr>
        <w:t>Forest land</w:t>
      </w:r>
      <w:r w:rsidRPr="001D5327">
        <w:rPr>
          <w:rFonts w:cs="Calibri"/>
          <w:color w:val="000000"/>
        </w:rPr>
        <w:t xml:space="preserve"> </w:t>
      </w:r>
      <w:r w:rsidRPr="001D5327">
        <w:t>uncertainties.</w:t>
      </w:r>
    </w:p>
    <w:p w14:paraId="0D56CED2" w14:textId="77777777" w:rsidR="009D798A" w:rsidRPr="001D5327" w:rsidRDefault="009D798A" w:rsidP="009D798A">
      <w:pPr>
        <w:pStyle w:val="Heading2"/>
      </w:pPr>
      <w:bookmarkStart w:id="101" w:name="_Toc194311990"/>
      <w:bookmarkEnd w:id="100"/>
      <w:r w:rsidRPr="001D5327">
        <w:t>1.7</w:t>
      </w:r>
      <w:r w:rsidRPr="001D5327">
        <w:tab/>
        <w:t>General assessment of completeness</w:t>
      </w:r>
      <w:bookmarkEnd w:id="101"/>
    </w:p>
    <w:p w14:paraId="5648F972" w14:textId="77777777" w:rsidR="009D798A" w:rsidRPr="001D5327" w:rsidRDefault="009D798A" w:rsidP="009D798A">
      <w:pPr>
        <w:pStyle w:val="BodyText"/>
      </w:pPr>
      <w:r w:rsidRPr="001D5327">
        <w:t>Under the Paris Agreement, the level of completeness of reported sources in national inventories must be assessed. In accordance with the 2006 IPCC Guidelines (IPCC, 2006b), New Zealand has focused its resources for inventory development on the key and non-key categories that are mandatory.</w:t>
      </w:r>
    </w:p>
    <w:p w14:paraId="48967C3B" w14:textId="77777777" w:rsidR="009D798A" w:rsidRPr="001D5327" w:rsidRDefault="009D798A" w:rsidP="009D798A">
      <w:pPr>
        <w:pStyle w:val="Heading3"/>
      </w:pPr>
      <w:bookmarkStart w:id="102" w:name="information-on-completeness"/>
      <w:r w:rsidRPr="001D5327">
        <w:t>1.7.1</w:t>
      </w:r>
      <w:r w:rsidRPr="001D5327">
        <w:tab/>
        <w:t>Information on completeness</w:t>
      </w:r>
    </w:p>
    <w:p w14:paraId="5028B9E6" w14:textId="77777777" w:rsidR="009D798A" w:rsidRPr="001D5327" w:rsidRDefault="009D798A" w:rsidP="009D798A">
      <w:pPr>
        <w:pStyle w:val="Heading4"/>
      </w:pPr>
      <w:bookmarkStart w:id="103" w:name="emissions-reported-as-ne-not-estimated"/>
      <w:r w:rsidRPr="001D5327">
        <w:t>Emissions reported as ‘NE’ (not estimated)</w:t>
      </w:r>
    </w:p>
    <w:p w14:paraId="45709DEC" w14:textId="77777777" w:rsidR="009D798A" w:rsidRPr="001D5327" w:rsidRDefault="009D798A" w:rsidP="009D798A">
      <w:pPr>
        <w:pStyle w:val="BodyText"/>
      </w:pPr>
      <w:r w:rsidRPr="001D5327">
        <w:t>The notation key ‘NE’ signifies that emissions and/or removals occur but have not been estimated or reported. According to chapter II of the Annex to the decision 18/CMA.1 (UNFCCC, 2018b), ‘NE’ may be used when the estimates would be insignificant in terms of level according to the following considerations.</w:t>
      </w:r>
    </w:p>
    <w:p w14:paraId="0C6739C2" w14:textId="77777777" w:rsidR="009D798A" w:rsidRPr="001D5327" w:rsidRDefault="009D798A" w:rsidP="009D798A">
      <w:pPr>
        <w:pStyle w:val="Bullet"/>
        <w:tabs>
          <w:tab w:val="num" w:pos="567"/>
        </w:tabs>
      </w:pPr>
      <w:r w:rsidRPr="001D5327">
        <w:t>Emissions from a category should only be considered insignificant if the likely level of emissions is below 0.05 per cent of the national total GHG emissions, excluding LULUCF, or 500 kt CO</w:t>
      </w:r>
      <w:r w:rsidRPr="001D5327">
        <w:rPr>
          <w:vertAlign w:val="subscript"/>
        </w:rPr>
        <w:t>2</w:t>
      </w:r>
      <w:r w:rsidRPr="001D5327">
        <w:t>-e, whichever is lower.</w:t>
      </w:r>
    </w:p>
    <w:p w14:paraId="6F1F84D7" w14:textId="77777777" w:rsidR="009D798A" w:rsidRPr="001D5327" w:rsidRDefault="009D798A" w:rsidP="009D798A">
      <w:pPr>
        <w:pStyle w:val="Bullet"/>
        <w:tabs>
          <w:tab w:val="num" w:pos="567"/>
        </w:tabs>
      </w:pPr>
      <w:r w:rsidRPr="001D5327">
        <w:t>The total national aggregate of estimated emissions for all gases from categories considered insignificant shall remain below 0.1 per cent of the national total GHG emissions, excluding LULUCF.</w:t>
      </w:r>
    </w:p>
    <w:p w14:paraId="2738233E" w14:textId="77777777" w:rsidR="009D798A" w:rsidRPr="001D5327" w:rsidRDefault="009D798A" w:rsidP="009D798A">
      <w:pPr>
        <w:pStyle w:val="BodyText"/>
      </w:pPr>
      <w:r w:rsidRPr="001D5327">
        <w:t>Once emissions or removals have been estimated for a category, they must continue to be reported if they continue to occur.</w:t>
      </w:r>
    </w:p>
    <w:p w14:paraId="2FACD42C" w14:textId="2BA57001" w:rsidR="009D798A" w:rsidRPr="001D5327" w:rsidRDefault="009D798A" w:rsidP="009D798A">
      <w:pPr>
        <w:pStyle w:val="BodyText"/>
      </w:pPr>
      <w:r w:rsidRPr="001D5327">
        <w:t>‘NE’ is also used when an activity occurs</w:t>
      </w:r>
      <w:r w:rsidR="00C82791">
        <w:t>,</w:t>
      </w:r>
      <w:r w:rsidRPr="001D5327">
        <w:t xml:space="preserve"> but the 2006 IPCC Guidelines (IPCC, 2006a) do not provide methodologies to estimate emissions and removals. If this is the case, the category is considered to be non-mandatory, providing the emissions from the category have not been reported previously.</w:t>
      </w:r>
    </w:p>
    <w:p w14:paraId="14545CE0" w14:textId="77777777" w:rsidR="009D798A" w:rsidRPr="001D5327" w:rsidRDefault="009D798A" w:rsidP="009D798A">
      <w:pPr>
        <w:pStyle w:val="BodyText"/>
      </w:pPr>
      <w:r w:rsidRPr="001D5327">
        <w:t>New Zealand’s total (i.e., gross) emissions were 76,416.3 kt CO</w:t>
      </w:r>
      <w:r w:rsidRPr="001D5327">
        <w:rPr>
          <w:vertAlign w:val="subscript"/>
        </w:rPr>
        <w:t>2</w:t>
      </w:r>
      <w:r w:rsidRPr="001D5327">
        <w:t>-e in 2023. The threshold of 0.1 per cent is 76.4 kt CO</w:t>
      </w:r>
      <w:r w:rsidRPr="001D5327">
        <w:rPr>
          <w:vertAlign w:val="subscript"/>
        </w:rPr>
        <w:t>2</w:t>
      </w:r>
      <w:r w:rsidRPr="001D5327">
        <w:t>-e and the threshold of 0.05 per cent is 38.2 kt CO</w:t>
      </w:r>
      <w:r w:rsidRPr="001D5327">
        <w:rPr>
          <w:vertAlign w:val="subscript"/>
        </w:rPr>
        <w:t>2</w:t>
      </w:r>
      <w:r w:rsidRPr="001D5327">
        <w:t>-e. Both values are below 500 kt CO</w:t>
      </w:r>
      <w:r w:rsidRPr="001D5327">
        <w:rPr>
          <w:vertAlign w:val="subscript"/>
        </w:rPr>
        <w:t>2</w:t>
      </w:r>
      <w:r w:rsidRPr="001D5327">
        <w:t>-e.</w:t>
      </w:r>
    </w:p>
    <w:p w14:paraId="037BBC65" w14:textId="77777777" w:rsidR="009D798A" w:rsidRPr="001D5327" w:rsidRDefault="009D798A" w:rsidP="009D798A">
      <w:pPr>
        <w:pStyle w:val="BodyText"/>
      </w:pPr>
      <w:r w:rsidRPr="001D5327">
        <w:lastRenderedPageBreak/>
        <w:t>The Inventory is largely complete. A few minor sources are not estimated due to a lack of available information, or because emissions are insignificant or methodologies to estimate emissions are not provided in the 2006 IPCC Guidelines.</w:t>
      </w:r>
    </w:p>
    <w:p w14:paraId="3CF718F4" w14:textId="77777777" w:rsidR="009D798A" w:rsidRPr="001D5327" w:rsidRDefault="009D798A" w:rsidP="009D798A">
      <w:pPr>
        <w:pStyle w:val="BodyText"/>
      </w:pPr>
      <w:r w:rsidRPr="001D5327">
        <w:t>Table 1.7.1 summarises New Zealand’s direct GHG emissions reported as ‘NE’ in the 2025 submission.</w:t>
      </w:r>
    </w:p>
    <w:p w14:paraId="6E850D33" w14:textId="77777777" w:rsidR="009D798A" w:rsidRPr="001D5327" w:rsidRDefault="009D798A" w:rsidP="009D798A">
      <w:pPr>
        <w:pStyle w:val="Table"/>
      </w:pPr>
      <w:bookmarkStart w:id="104" w:name="_Toc194241661"/>
      <w:r w:rsidRPr="001D5327">
        <w:t>Table 1.7.1</w:t>
      </w:r>
      <w:r w:rsidRPr="001D5327">
        <w:tab/>
        <w:t xml:space="preserve">Summary of ‘NE’ (not estimated) entries in the </w:t>
      </w:r>
      <w:r w:rsidRPr="001D5327">
        <w:rPr>
          <w:bCs/>
        </w:rPr>
        <w:t>2025</w:t>
      </w:r>
      <w:r w:rsidRPr="001D5327">
        <w:t xml:space="preserve"> submission</w:t>
      </w:r>
      <w:bookmarkEnd w:id="104"/>
    </w:p>
    <w:tbl>
      <w:tblPr>
        <w:tblW w:w="8505" w:type="dxa"/>
        <w:tblBorders>
          <w:top w:val="single" w:sz="6" w:space="0" w:color="1B556B" w:themeColor="text2"/>
          <w:bottom w:val="single" w:sz="6" w:space="0" w:color="1B556B" w:themeColor="text2"/>
          <w:insideH w:val="single" w:sz="6" w:space="0" w:color="1B556B" w:themeColor="text2"/>
        </w:tblBorders>
        <w:tblLayout w:type="fixed"/>
        <w:tblCellMar>
          <w:left w:w="85" w:type="dxa"/>
          <w:right w:w="85" w:type="dxa"/>
        </w:tblCellMar>
        <w:tblLook w:val="04A0" w:firstRow="1" w:lastRow="0" w:firstColumn="1" w:lastColumn="0" w:noHBand="0" w:noVBand="1"/>
      </w:tblPr>
      <w:tblGrid>
        <w:gridCol w:w="1276"/>
        <w:gridCol w:w="1985"/>
        <w:gridCol w:w="992"/>
        <w:gridCol w:w="4252"/>
      </w:tblGrid>
      <w:tr w:rsidR="002C51B5" w:rsidRPr="00B074B9" w14:paraId="5568D800" w14:textId="77777777" w:rsidTr="00052691">
        <w:trPr>
          <w:tblHeader/>
        </w:trPr>
        <w:tc>
          <w:tcPr>
            <w:tcW w:w="1276" w:type="dxa"/>
            <w:shd w:val="clear" w:color="auto" w:fill="1B556B"/>
            <w:tcMar>
              <w:left w:w="85" w:type="dxa"/>
              <w:right w:w="57" w:type="dxa"/>
            </w:tcMar>
            <w:vAlign w:val="bottom"/>
            <w:hideMark/>
          </w:tcPr>
          <w:p w14:paraId="01583F17" w14:textId="77777777" w:rsidR="009D798A" w:rsidRPr="00B074B9" w:rsidRDefault="009D798A" w:rsidP="00341FEF">
            <w:pPr>
              <w:pStyle w:val="TableTextBold"/>
              <w:spacing w:before="40" w:after="40"/>
              <w:rPr>
                <w:rFonts w:cs="Calibri"/>
                <w:noProof w:val="0"/>
                <w:color w:val="FFFFFF" w:themeColor="background1"/>
                <w:szCs w:val="16"/>
              </w:rPr>
            </w:pPr>
            <w:r w:rsidRPr="00B074B9">
              <w:rPr>
                <w:rFonts w:cs="Calibri"/>
                <w:noProof w:val="0"/>
                <w:color w:val="FFFFFF" w:themeColor="background1"/>
                <w:szCs w:val="16"/>
              </w:rPr>
              <w:t>CRT category code </w:t>
            </w:r>
          </w:p>
        </w:tc>
        <w:tc>
          <w:tcPr>
            <w:tcW w:w="1985" w:type="dxa"/>
            <w:shd w:val="clear" w:color="auto" w:fill="1B556B"/>
            <w:tcMar>
              <w:left w:w="85" w:type="dxa"/>
              <w:right w:w="57" w:type="dxa"/>
            </w:tcMar>
            <w:vAlign w:val="bottom"/>
            <w:hideMark/>
          </w:tcPr>
          <w:p w14:paraId="3178F5A7" w14:textId="77777777" w:rsidR="009D798A" w:rsidRPr="00B074B9" w:rsidRDefault="009D798A" w:rsidP="00341FEF">
            <w:pPr>
              <w:pStyle w:val="TableTextBold"/>
              <w:spacing w:before="40" w:after="40"/>
              <w:rPr>
                <w:rFonts w:cs="Calibri"/>
                <w:noProof w:val="0"/>
                <w:color w:val="FFFFFF" w:themeColor="background1"/>
                <w:szCs w:val="16"/>
              </w:rPr>
            </w:pPr>
            <w:r w:rsidRPr="00B074B9">
              <w:rPr>
                <w:rFonts w:cs="Calibri"/>
                <w:noProof w:val="0"/>
                <w:color w:val="FFFFFF" w:themeColor="background1"/>
                <w:szCs w:val="16"/>
              </w:rPr>
              <w:t>Category </w:t>
            </w:r>
          </w:p>
        </w:tc>
        <w:tc>
          <w:tcPr>
            <w:tcW w:w="992" w:type="dxa"/>
            <w:shd w:val="clear" w:color="auto" w:fill="1B556B"/>
            <w:tcMar>
              <w:left w:w="85" w:type="dxa"/>
              <w:right w:w="57" w:type="dxa"/>
            </w:tcMar>
            <w:vAlign w:val="bottom"/>
            <w:hideMark/>
          </w:tcPr>
          <w:p w14:paraId="0874C62A" w14:textId="77777777" w:rsidR="009D798A" w:rsidRPr="00B074B9" w:rsidRDefault="009D798A" w:rsidP="00341FEF">
            <w:pPr>
              <w:pStyle w:val="TableTextBold"/>
              <w:spacing w:before="40" w:after="40"/>
              <w:rPr>
                <w:rFonts w:cs="Calibri"/>
                <w:noProof w:val="0"/>
                <w:color w:val="FFFFFF" w:themeColor="background1"/>
                <w:szCs w:val="16"/>
              </w:rPr>
            </w:pPr>
            <w:r w:rsidRPr="00B074B9">
              <w:rPr>
                <w:rFonts w:cs="Calibri"/>
                <w:noProof w:val="0"/>
                <w:color w:val="FFFFFF" w:themeColor="background1"/>
                <w:szCs w:val="16"/>
              </w:rPr>
              <w:t>Gas </w:t>
            </w:r>
          </w:p>
        </w:tc>
        <w:tc>
          <w:tcPr>
            <w:tcW w:w="4252" w:type="dxa"/>
            <w:shd w:val="clear" w:color="auto" w:fill="1B556B"/>
            <w:tcMar>
              <w:left w:w="85" w:type="dxa"/>
              <w:right w:w="57" w:type="dxa"/>
            </w:tcMar>
            <w:vAlign w:val="bottom"/>
            <w:hideMark/>
          </w:tcPr>
          <w:p w14:paraId="02E2E49C" w14:textId="77777777" w:rsidR="009D798A" w:rsidRPr="00B074B9" w:rsidRDefault="009D798A" w:rsidP="00341FEF">
            <w:pPr>
              <w:pStyle w:val="TableTextBold"/>
              <w:spacing w:before="40" w:after="40"/>
              <w:rPr>
                <w:rFonts w:cs="Calibri"/>
                <w:noProof w:val="0"/>
                <w:color w:val="FFFFFF" w:themeColor="background1"/>
                <w:szCs w:val="16"/>
              </w:rPr>
            </w:pPr>
            <w:r w:rsidRPr="00B074B9">
              <w:rPr>
                <w:rFonts w:cs="Calibri"/>
                <w:noProof w:val="0"/>
                <w:color w:val="FFFFFF" w:themeColor="background1"/>
                <w:szCs w:val="16"/>
              </w:rPr>
              <w:t>Explanation </w:t>
            </w:r>
          </w:p>
        </w:tc>
      </w:tr>
      <w:tr w:rsidR="009D798A" w:rsidRPr="00B074B9" w14:paraId="76AAD43C" w14:textId="77777777" w:rsidTr="001C28B4">
        <w:tc>
          <w:tcPr>
            <w:tcW w:w="8505" w:type="dxa"/>
            <w:gridSpan w:val="4"/>
            <w:shd w:val="clear" w:color="auto" w:fill="FFFFFF" w:themeFill="background1"/>
            <w:tcMar>
              <w:left w:w="85" w:type="dxa"/>
              <w:right w:w="57" w:type="dxa"/>
            </w:tcMar>
            <w:hideMark/>
          </w:tcPr>
          <w:p w14:paraId="3233575A" w14:textId="77777777" w:rsidR="009D798A" w:rsidRPr="00B074B9" w:rsidRDefault="009D798A" w:rsidP="00341FEF">
            <w:pPr>
              <w:pStyle w:val="Tableboldblue"/>
              <w:spacing w:before="40" w:after="40"/>
              <w:rPr>
                <w:rFonts w:cs="Calibri"/>
                <w:szCs w:val="16"/>
              </w:rPr>
            </w:pPr>
            <w:r w:rsidRPr="00B074B9">
              <w:rPr>
                <w:rFonts w:cs="Calibri"/>
                <w:szCs w:val="16"/>
              </w:rPr>
              <w:t>Energy </w:t>
            </w:r>
          </w:p>
        </w:tc>
      </w:tr>
      <w:tr w:rsidR="009D798A" w:rsidRPr="00B074B9" w14:paraId="26384C9F" w14:textId="77777777" w:rsidTr="00052691">
        <w:tc>
          <w:tcPr>
            <w:tcW w:w="1276" w:type="dxa"/>
            <w:shd w:val="clear" w:color="auto" w:fill="FFFFFF" w:themeFill="background1"/>
            <w:tcMar>
              <w:left w:w="85" w:type="dxa"/>
              <w:right w:w="57" w:type="dxa"/>
            </w:tcMar>
            <w:hideMark/>
          </w:tcPr>
          <w:p w14:paraId="129CF903" w14:textId="77777777" w:rsidR="009D798A" w:rsidRPr="00B074B9" w:rsidRDefault="009D798A" w:rsidP="00341FEF">
            <w:pPr>
              <w:pStyle w:val="TableText"/>
              <w:spacing w:before="40" w:after="40"/>
              <w:rPr>
                <w:rFonts w:cs="Calibri"/>
                <w:szCs w:val="16"/>
              </w:rPr>
            </w:pPr>
            <w:r w:rsidRPr="00B074B9">
              <w:rPr>
                <w:rFonts w:cs="Calibri"/>
                <w:color w:val="000000"/>
                <w:szCs w:val="16"/>
              </w:rPr>
              <w:t>1.B.2.a.5 </w:t>
            </w:r>
          </w:p>
        </w:tc>
        <w:tc>
          <w:tcPr>
            <w:tcW w:w="1985" w:type="dxa"/>
            <w:shd w:val="clear" w:color="auto" w:fill="FFFFFF" w:themeFill="background1"/>
            <w:tcMar>
              <w:left w:w="85" w:type="dxa"/>
              <w:right w:w="57" w:type="dxa"/>
            </w:tcMar>
            <w:hideMark/>
          </w:tcPr>
          <w:p w14:paraId="2B099B44" w14:textId="77777777" w:rsidR="009D798A" w:rsidRPr="00B074B9" w:rsidRDefault="009D798A" w:rsidP="00341FEF">
            <w:pPr>
              <w:pStyle w:val="TableText"/>
              <w:spacing w:before="40" w:after="40"/>
              <w:rPr>
                <w:rFonts w:cs="Calibri"/>
                <w:szCs w:val="16"/>
              </w:rPr>
            </w:pPr>
            <w:r w:rsidRPr="00B074B9">
              <w:rPr>
                <w:rFonts w:cs="Calibri"/>
                <w:color w:val="000000"/>
                <w:szCs w:val="16"/>
              </w:rPr>
              <w:t>Distribution of oil products </w:t>
            </w:r>
          </w:p>
        </w:tc>
        <w:tc>
          <w:tcPr>
            <w:tcW w:w="992" w:type="dxa"/>
            <w:shd w:val="clear" w:color="auto" w:fill="FFFFFF" w:themeFill="background1"/>
            <w:tcMar>
              <w:left w:w="85" w:type="dxa"/>
              <w:right w:w="57" w:type="dxa"/>
            </w:tcMar>
            <w:hideMark/>
          </w:tcPr>
          <w:p w14:paraId="2A965BDE" w14:textId="77777777" w:rsidR="009D798A" w:rsidRPr="00B074B9" w:rsidRDefault="009D798A" w:rsidP="00341FEF">
            <w:pPr>
              <w:pStyle w:val="TableText"/>
              <w:spacing w:before="40" w:after="40"/>
              <w:rPr>
                <w:rFonts w:cs="Calibri"/>
                <w:szCs w:val="16"/>
              </w:rPr>
            </w:pPr>
            <w:r w:rsidRPr="00B074B9">
              <w:rPr>
                <w:rFonts w:cs="Calibri"/>
                <w:color w:val="000000"/>
                <w:szCs w:val="16"/>
              </w:rPr>
              <w:t>CO</w:t>
            </w:r>
            <w:r w:rsidRPr="00B074B9">
              <w:rPr>
                <w:rFonts w:cs="Calibri"/>
                <w:color w:val="000000"/>
                <w:szCs w:val="16"/>
                <w:vertAlign w:val="subscript"/>
              </w:rPr>
              <w:t>2</w:t>
            </w:r>
            <w:r w:rsidRPr="00B074B9">
              <w:rPr>
                <w:rFonts w:cs="Calibri"/>
                <w:color w:val="000000"/>
                <w:szCs w:val="16"/>
              </w:rPr>
              <w:t>,</w:t>
            </w:r>
            <w:r w:rsidRPr="00B074B9">
              <w:rPr>
                <w:rFonts w:cs="Calibri"/>
                <w:color w:val="000000"/>
                <w:szCs w:val="16"/>
                <w:vertAlign w:val="subscript"/>
              </w:rPr>
              <w:t xml:space="preserve"> </w:t>
            </w:r>
            <w:r w:rsidRPr="00B074B9">
              <w:rPr>
                <w:rFonts w:cs="Calibri"/>
                <w:color w:val="000000"/>
                <w:szCs w:val="16"/>
              </w:rPr>
              <w:t>CH</w:t>
            </w:r>
            <w:r w:rsidRPr="00B074B9">
              <w:rPr>
                <w:rFonts w:cs="Calibri"/>
                <w:color w:val="000000"/>
                <w:szCs w:val="16"/>
                <w:vertAlign w:val="subscript"/>
              </w:rPr>
              <w:t>4</w:t>
            </w:r>
            <w:r w:rsidRPr="00B074B9">
              <w:rPr>
                <w:rFonts w:cs="Calibri"/>
                <w:color w:val="000000"/>
                <w:szCs w:val="16"/>
              </w:rPr>
              <w:t> </w:t>
            </w:r>
          </w:p>
        </w:tc>
        <w:tc>
          <w:tcPr>
            <w:tcW w:w="4252" w:type="dxa"/>
            <w:shd w:val="clear" w:color="auto" w:fill="FFFFFF" w:themeFill="background1"/>
            <w:tcMar>
              <w:left w:w="85" w:type="dxa"/>
              <w:right w:w="57" w:type="dxa"/>
            </w:tcMar>
            <w:hideMark/>
          </w:tcPr>
          <w:p w14:paraId="654F1728" w14:textId="77777777" w:rsidR="009D798A" w:rsidRPr="00B074B9" w:rsidRDefault="009D798A" w:rsidP="00341FEF">
            <w:pPr>
              <w:pStyle w:val="TableText"/>
              <w:spacing w:before="40" w:after="40"/>
              <w:rPr>
                <w:rFonts w:cs="Calibri"/>
                <w:szCs w:val="16"/>
              </w:rPr>
            </w:pPr>
            <w:r w:rsidRPr="00B074B9">
              <w:rPr>
                <w:rFonts w:cs="Calibri"/>
                <w:szCs w:val="16"/>
              </w:rPr>
              <w:t>This category is not mandatory. The 2006 Intergovernmental Panel on Climate Change Guidelines for National Greenhouse Gas Inventories (2006 IPCC Guidelines) do not provide default emission factors for calculating Tier 1 estimates of methane (CH</w:t>
            </w:r>
            <w:r w:rsidRPr="00B074B9">
              <w:rPr>
                <w:rFonts w:cs="Calibri"/>
                <w:szCs w:val="16"/>
                <w:vertAlign w:val="subscript"/>
              </w:rPr>
              <w:t>4</w:t>
            </w:r>
            <w:r w:rsidRPr="00B074B9">
              <w:rPr>
                <w:rFonts w:cs="Calibri"/>
                <w:szCs w:val="16"/>
              </w:rPr>
              <w:t>) emissions from the distribution of refined oil products (IPCC, 2006c). New Zealand has not reported emissions estimates from this category in previous submissions. </w:t>
            </w:r>
          </w:p>
        </w:tc>
      </w:tr>
      <w:tr w:rsidR="009D798A" w:rsidRPr="00B074B9" w14:paraId="4DBFDE25" w14:textId="77777777" w:rsidTr="00052691">
        <w:tc>
          <w:tcPr>
            <w:tcW w:w="1276" w:type="dxa"/>
            <w:shd w:val="clear" w:color="auto" w:fill="FFFFFF" w:themeFill="background1"/>
            <w:tcMar>
              <w:left w:w="85" w:type="dxa"/>
              <w:right w:w="57" w:type="dxa"/>
            </w:tcMar>
            <w:hideMark/>
          </w:tcPr>
          <w:p w14:paraId="58E04999" w14:textId="77777777" w:rsidR="009D798A" w:rsidRPr="00B074B9" w:rsidRDefault="009D798A" w:rsidP="00341FEF">
            <w:pPr>
              <w:pStyle w:val="TableText"/>
              <w:spacing w:before="40" w:after="40"/>
              <w:rPr>
                <w:rFonts w:cs="Calibri"/>
                <w:szCs w:val="16"/>
              </w:rPr>
            </w:pPr>
            <w:r w:rsidRPr="00B074B9">
              <w:rPr>
                <w:rFonts w:cs="Calibri"/>
                <w:color w:val="000000"/>
                <w:szCs w:val="16"/>
              </w:rPr>
              <w:t>1.B.2.b.3 </w:t>
            </w:r>
          </w:p>
        </w:tc>
        <w:tc>
          <w:tcPr>
            <w:tcW w:w="1985" w:type="dxa"/>
            <w:shd w:val="clear" w:color="auto" w:fill="FFFFFF" w:themeFill="background1"/>
            <w:tcMar>
              <w:left w:w="85" w:type="dxa"/>
              <w:right w:w="57" w:type="dxa"/>
            </w:tcMar>
            <w:hideMark/>
          </w:tcPr>
          <w:p w14:paraId="2F746A9E" w14:textId="77777777" w:rsidR="009D798A" w:rsidRPr="00B074B9" w:rsidRDefault="009D798A" w:rsidP="00341FEF">
            <w:pPr>
              <w:pStyle w:val="TableText"/>
              <w:spacing w:before="40" w:after="40"/>
              <w:rPr>
                <w:rFonts w:cs="Calibri"/>
                <w:szCs w:val="16"/>
              </w:rPr>
            </w:pPr>
            <w:r w:rsidRPr="00B074B9">
              <w:rPr>
                <w:rFonts w:cs="Calibri"/>
                <w:color w:val="000000"/>
                <w:szCs w:val="16"/>
              </w:rPr>
              <w:t>Processing </w:t>
            </w:r>
          </w:p>
        </w:tc>
        <w:tc>
          <w:tcPr>
            <w:tcW w:w="992" w:type="dxa"/>
            <w:shd w:val="clear" w:color="auto" w:fill="FFFFFF" w:themeFill="background1"/>
            <w:tcMar>
              <w:left w:w="85" w:type="dxa"/>
              <w:right w:w="57" w:type="dxa"/>
            </w:tcMar>
            <w:hideMark/>
          </w:tcPr>
          <w:p w14:paraId="202B08CA" w14:textId="77777777" w:rsidR="009D798A" w:rsidRPr="00B074B9" w:rsidRDefault="009D798A" w:rsidP="00341FEF">
            <w:pPr>
              <w:pStyle w:val="TableText"/>
              <w:spacing w:before="40" w:after="40"/>
              <w:rPr>
                <w:rFonts w:cs="Calibri"/>
                <w:szCs w:val="16"/>
              </w:rPr>
            </w:pPr>
            <w:r w:rsidRPr="00B074B9">
              <w:rPr>
                <w:rFonts w:cs="Calibri"/>
                <w:color w:val="000000"/>
                <w:szCs w:val="16"/>
              </w:rPr>
              <w:t>CO</w:t>
            </w:r>
            <w:r w:rsidRPr="00B074B9">
              <w:rPr>
                <w:rFonts w:cs="Calibri"/>
                <w:color w:val="000000"/>
                <w:szCs w:val="16"/>
                <w:vertAlign w:val="subscript"/>
              </w:rPr>
              <w:t>2</w:t>
            </w:r>
            <w:r w:rsidRPr="00B074B9">
              <w:rPr>
                <w:rFonts w:cs="Calibri"/>
                <w:color w:val="000000"/>
                <w:szCs w:val="16"/>
              </w:rPr>
              <w:t>,</w:t>
            </w:r>
            <w:r w:rsidRPr="00B074B9">
              <w:rPr>
                <w:rFonts w:cs="Calibri"/>
                <w:color w:val="000000"/>
                <w:szCs w:val="16"/>
                <w:vertAlign w:val="subscript"/>
              </w:rPr>
              <w:t xml:space="preserve"> </w:t>
            </w:r>
            <w:r w:rsidRPr="00B074B9">
              <w:rPr>
                <w:rFonts w:cs="Calibri"/>
                <w:color w:val="000000"/>
                <w:szCs w:val="16"/>
              </w:rPr>
              <w:t>CH</w:t>
            </w:r>
            <w:r w:rsidRPr="00B074B9">
              <w:rPr>
                <w:rFonts w:cs="Calibri"/>
                <w:color w:val="000000"/>
                <w:szCs w:val="16"/>
                <w:vertAlign w:val="subscript"/>
              </w:rPr>
              <w:t>4</w:t>
            </w:r>
            <w:r w:rsidRPr="00B074B9">
              <w:rPr>
                <w:rFonts w:cs="Calibri"/>
                <w:color w:val="000000"/>
                <w:szCs w:val="16"/>
              </w:rPr>
              <w:t> </w:t>
            </w:r>
          </w:p>
        </w:tc>
        <w:tc>
          <w:tcPr>
            <w:tcW w:w="4252" w:type="dxa"/>
            <w:shd w:val="clear" w:color="auto" w:fill="FFFFFF" w:themeFill="background1"/>
            <w:tcMar>
              <w:left w:w="85" w:type="dxa"/>
              <w:right w:w="57" w:type="dxa"/>
            </w:tcMar>
            <w:hideMark/>
          </w:tcPr>
          <w:p w14:paraId="2DFCFB9C" w14:textId="77777777" w:rsidR="009D798A" w:rsidRPr="00B074B9" w:rsidRDefault="009D798A" w:rsidP="00341FEF">
            <w:pPr>
              <w:pStyle w:val="TableText"/>
              <w:spacing w:before="40" w:after="40"/>
              <w:rPr>
                <w:rFonts w:cs="Calibri"/>
                <w:szCs w:val="16"/>
              </w:rPr>
            </w:pPr>
            <w:r w:rsidRPr="00B074B9">
              <w:rPr>
                <w:rFonts w:cs="Calibri"/>
                <w:szCs w:val="16"/>
              </w:rPr>
              <w:t>In accordance with chapter II of the Annex to the decision 18/CMA.1 (UNFCCC, 2018b), this category is not mandatory. Fugitive emissions of carbon dioxide (CO</w:t>
            </w:r>
            <w:r w:rsidRPr="00B074B9">
              <w:rPr>
                <w:rFonts w:cs="Calibri"/>
                <w:szCs w:val="16"/>
                <w:vertAlign w:val="subscript"/>
              </w:rPr>
              <w:t>2</w:t>
            </w:r>
            <w:r w:rsidRPr="00B074B9">
              <w:rPr>
                <w:rFonts w:cs="Calibri"/>
                <w:szCs w:val="16"/>
              </w:rPr>
              <w:t>) and CH</w:t>
            </w:r>
            <w:r w:rsidRPr="00B074B9">
              <w:rPr>
                <w:rFonts w:cs="Calibri"/>
                <w:szCs w:val="16"/>
                <w:vertAlign w:val="subscript"/>
              </w:rPr>
              <w:t>4</w:t>
            </w:r>
            <w:r w:rsidRPr="00B074B9">
              <w:rPr>
                <w:rFonts w:cs="Calibri"/>
                <w:szCs w:val="16"/>
              </w:rPr>
              <w:t xml:space="preserve"> have not been formally estimated, although a rough estimate of the likely level of emissions indicates that they are insignificant. </w:t>
            </w:r>
          </w:p>
          <w:p w14:paraId="5D4D5B6C" w14:textId="77777777" w:rsidR="009D798A" w:rsidRPr="00B074B9" w:rsidRDefault="009D798A" w:rsidP="00341FEF">
            <w:pPr>
              <w:pStyle w:val="TableText"/>
              <w:spacing w:before="40" w:after="40"/>
              <w:rPr>
                <w:rFonts w:cs="Calibri"/>
                <w:szCs w:val="16"/>
              </w:rPr>
            </w:pPr>
            <w:r w:rsidRPr="00B074B9">
              <w:rPr>
                <w:rFonts w:cs="Calibri"/>
                <w:szCs w:val="16"/>
              </w:rPr>
              <w:t>While emissions from the Kapuni Gas Treatment Plant may include traces of CH</w:t>
            </w:r>
            <w:r w:rsidRPr="00B074B9">
              <w:rPr>
                <w:rFonts w:cs="Calibri"/>
                <w:szCs w:val="16"/>
                <w:vertAlign w:val="subscript"/>
              </w:rPr>
              <w:t>4</w:t>
            </w:r>
            <w:r w:rsidRPr="00B074B9">
              <w:rPr>
                <w:rFonts w:cs="Calibri"/>
                <w:szCs w:val="16"/>
              </w:rPr>
              <w:t>, the level of these emissions has been determined to be insignificant in comparison with national emissions. A conservative estimate (based on default emission factors from the 2006 IPCC Guidelines) sums to 1.7 kt CO</w:t>
            </w:r>
            <w:r w:rsidRPr="00B074B9">
              <w:rPr>
                <w:rFonts w:cs="Calibri"/>
                <w:szCs w:val="16"/>
                <w:vertAlign w:val="subscript"/>
              </w:rPr>
              <w:t>2</w:t>
            </w:r>
            <w:r w:rsidRPr="00B074B9">
              <w:rPr>
                <w:rFonts w:cs="Calibri"/>
                <w:szCs w:val="16"/>
              </w:rPr>
              <w:t>e emissions per year (IPCC, 2006c). </w:t>
            </w:r>
          </w:p>
          <w:p w14:paraId="7BB93092" w14:textId="77777777" w:rsidR="009D798A" w:rsidRPr="00B074B9" w:rsidRDefault="009D798A" w:rsidP="00341FEF">
            <w:pPr>
              <w:pStyle w:val="TableText"/>
              <w:spacing w:before="40" w:after="40"/>
              <w:rPr>
                <w:rFonts w:cs="Calibri"/>
                <w:szCs w:val="16"/>
              </w:rPr>
            </w:pPr>
            <w:r w:rsidRPr="00B074B9">
              <w:rPr>
                <w:rFonts w:cs="Calibri"/>
                <w:szCs w:val="16"/>
              </w:rPr>
              <w:t>CH</w:t>
            </w:r>
            <w:r w:rsidRPr="00B074B9">
              <w:rPr>
                <w:rFonts w:cs="Calibri"/>
                <w:szCs w:val="16"/>
                <w:vertAlign w:val="subscript"/>
              </w:rPr>
              <w:t>4</w:t>
            </w:r>
            <w:r w:rsidRPr="00B074B9">
              <w:rPr>
                <w:rFonts w:cs="Calibri"/>
                <w:szCs w:val="16"/>
              </w:rPr>
              <w:t>: 625 Mm</w:t>
            </w:r>
            <w:r w:rsidRPr="00B074B9">
              <w:rPr>
                <w:rFonts w:cs="Calibri"/>
                <w:szCs w:val="16"/>
                <w:vertAlign w:val="superscript"/>
              </w:rPr>
              <w:t>3</w:t>
            </w:r>
            <w:r w:rsidRPr="00B074B9">
              <w:rPr>
                <w:rFonts w:cs="Calibri"/>
                <w:szCs w:val="16"/>
              </w:rPr>
              <w:t xml:space="preserve"> (Kapuni field production) * 9.7e-5 * 28 = 1.7 kt CO</w:t>
            </w:r>
            <w:r w:rsidRPr="00B074B9">
              <w:rPr>
                <w:rFonts w:cs="Calibri"/>
                <w:szCs w:val="16"/>
                <w:vertAlign w:val="subscript"/>
              </w:rPr>
              <w:t>2</w:t>
            </w:r>
            <w:r w:rsidRPr="00B074B9">
              <w:rPr>
                <w:rFonts w:cs="Calibri"/>
                <w:szCs w:val="16"/>
              </w:rPr>
              <w:t>-e. </w:t>
            </w:r>
          </w:p>
          <w:p w14:paraId="0A89584A" w14:textId="77777777" w:rsidR="009D798A" w:rsidRPr="00B074B9" w:rsidRDefault="009D798A" w:rsidP="00341FEF">
            <w:pPr>
              <w:pStyle w:val="TableText"/>
              <w:spacing w:before="40" w:after="40"/>
              <w:rPr>
                <w:rFonts w:cs="Calibri"/>
                <w:szCs w:val="16"/>
              </w:rPr>
            </w:pPr>
            <w:r w:rsidRPr="00B074B9">
              <w:rPr>
                <w:rFonts w:cs="Calibri"/>
                <w:szCs w:val="16"/>
              </w:rPr>
              <w:t>The conservative estimated value is below 0.05 per cent of New Zealand’s total emissions. This would keep the national total aggregate of estimated emissions for all gases and categories considered insignificant below 0.1 per cent of the national total greenhouse gas emissions. </w:t>
            </w:r>
          </w:p>
          <w:p w14:paraId="520CBD1D" w14:textId="77777777" w:rsidR="009D798A" w:rsidRPr="00B074B9" w:rsidRDefault="009D798A" w:rsidP="00341FEF">
            <w:pPr>
              <w:pStyle w:val="TableText"/>
              <w:spacing w:before="40" w:after="40"/>
              <w:rPr>
                <w:rFonts w:cs="Calibri"/>
                <w:szCs w:val="16"/>
              </w:rPr>
            </w:pPr>
            <w:r w:rsidRPr="00B074B9">
              <w:rPr>
                <w:rFonts w:cs="Calibri"/>
                <w:szCs w:val="16"/>
              </w:rPr>
              <w:t>Carbon dioxide from gas processing is mostly associated with direct venting through a stack and, therefore, is reported under 1.B.2.c.1, as recommended in the 2017 assessment review report (UNFCCC, 2017). However, there is a possibility of the presence of trace amounts of CO</w:t>
            </w:r>
            <w:r w:rsidRPr="00B074B9">
              <w:rPr>
                <w:rFonts w:cs="Calibri"/>
                <w:szCs w:val="16"/>
                <w:vertAlign w:val="subscript"/>
              </w:rPr>
              <w:t>2</w:t>
            </w:r>
            <w:r w:rsidRPr="00B074B9">
              <w:rPr>
                <w:rFonts w:cs="Calibri"/>
                <w:szCs w:val="16"/>
              </w:rPr>
              <w:t xml:space="preserve"> from processing due to leakage, which is estimated to be no higher than 0.1 per cent of vented CO</w:t>
            </w:r>
            <w:r w:rsidRPr="00B074B9">
              <w:rPr>
                <w:rFonts w:cs="Calibri"/>
                <w:szCs w:val="16"/>
                <w:vertAlign w:val="subscript"/>
              </w:rPr>
              <w:t>2</w:t>
            </w:r>
            <w:r w:rsidRPr="00B074B9">
              <w:rPr>
                <w:rFonts w:cs="Calibri"/>
                <w:szCs w:val="16"/>
              </w:rPr>
              <w:t>. A conservative estimate of 0.1 per cent of vented CO</w:t>
            </w:r>
            <w:r w:rsidRPr="00B074B9">
              <w:rPr>
                <w:rFonts w:cs="Calibri"/>
                <w:szCs w:val="16"/>
                <w:vertAlign w:val="subscript"/>
              </w:rPr>
              <w:t>2</w:t>
            </w:r>
            <w:r w:rsidRPr="00B074B9">
              <w:rPr>
                <w:rFonts w:cs="Calibri"/>
                <w:szCs w:val="16"/>
              </w:rPr>
              <w:t xml:space="preserve"> from all categories is 0.26 kt, which is below 0.05 per cent of New Zealand’s total emissions and thus can be considered insignificant. </w:t>
            </w:r>
          </w:p>
        </w:tc>
      </w:tr>
      <w:tr w:rsidR="009D798A" w:rsidRPr="00B074B9" w14:paraId="094AE5AF" w14:textId="77777777" w:rsidTr="00052691">
        <w:tc>
          <w:tcPr>
            <w:tcW w:w="1276" w:type="dxa"/>
            <w:shd w:val="clear" w:color="auto" w:fill="FFFFFF" w:themeFill="background1"/>
            <w:tcMar>
              <w:left w:w="85" w:type="dxa"/>
              <w:right w:w="57" w:type="dxa"/>
            </w:tcMar>
            <w:hideMark/>
          </w:tcPr>
          <w:p w14:paraId="54BA1EC3" w14:textId="77777777" w:rsidR="009D798A" w:rsidRPr="00B074B9" w:rsidRDefault="009D798A" w:rsidP="00341FEF">
            <w:pPr>
              <w:pStyle w:val="TableText"/>
              <w:spacing w:before="40" w:after="40"/>
              <w:rPr>
                <w:rFonts w:cs="Calibri"/>
                <w:szCs w:val="16"/>
              </w:rPr>
            </w:pPr>
            <w:r w:rsidRPr="00B074B9">
              <w:rPr>
                <w:rFonts w:cs="Calibri"/>
                <w:color w:val="000000"/>
                <w:szCs w:val="16"/>
              </w:rPr>
              <w:t>1.B.2.c.ii </w:t>
            </w:r>
          </w:p>
        </w:tc>
        <w:tc>
          <w:tcPr>
            <w:tcW w:w="1985" w:type="dxa"/>
            <w:shd w:val="clear" w:color="auto" w:fill="FFFFFF" w:themeFill="background1"/>
            <w:tcMar>
              <w:left w:w="85" w:type="dxa"/>
              <w:right w:w="57" w:type="dxa"/>
            </w:tcMar>
            <w:hideMark/>
          </w:tcPr>
          <w:p w14:paraId="033AF935" w14:textId="77777777" w:rsidR="009D798A" w:rsidRPr="00B074B9" w:rsidRDefault="009D798A" w:rsidP="00341FEF">
            <w:pPr>
              <w:pStyle w:val="TableText"/>
              <w:spacing w:before="40" w:after="40"/>
              <w:rPr>
                <w:rFonts w:cs="Calibri"/>
                <w:szCs w:val="16"/>
              </w:rPr>
            </w:pPr>
            <w:r w:rsidRPr="00B074B9">
              <w:rPr>
                <w:rFonts w:cs="Calibri"/>
                <w:color w:val="000000"/>
                <w:szCs w:val="16"/>
              </w:rPr>
              <w:t>Venting – Gas </w:t>
            </w:r>
          </w:p>
        </w:tc>
        <w:tc>
          <w:tcPr>
            <w:tcW w:w="992" w:type="dxa"/>
            <w:shd w:val="clear" w:color="auto" w:fill="FFFFFF" w:themeFill="background1"/>
            <w:tcMar>
              <w:left w:w="85" w:type="dxa"/>
              <w:right w:w="57" w:type="dxa"/>
            </w:tcMar>
            <w:hideMark/>
          </w:tcPr>
          <w:p w14:paraId="08771BFB" w14:textId="77777777" w:rsidR="009D798A" w:rsidRPr="00B074B9" w:rsidRDefault="009D798A" w:rsidP="00341FEF">
            <w:pPr>
              <w:pStyle w:val="TableText"/>
              <w:spacing w:before="40" w:after="40"/>
              <w:rPr>
                <w:rFonts w:cs="Calibri"/>
                <w:szCs w:val="16"/>
              </w:rPr>
            </w:pPr>
            <w:r w:rsidRPr="00B074B9">
              <w:rPr>
                <w:rFonts w:cs="Calibri"/>
                <w:color w:val="000000"/>
                <w:szCs w:val="16"/>
              </w:rPr>
              <w:t>CH</w:t>
            </w:r>
            <w:r w:rsidRPr="00B074B9">
              <w:rPr>
                <w:rFonts w:cs="Calibri"/>
                <w:color w:val="000000"/>
                <w:szCs w:val="16"/>
                <w:vertAlign w:val="subscript"/>
              </w:rPr>
              <w:t>4</w:t>
            </w:r>
            <w:r w:rsidRPr="00B074B9">
              <w:rPr>
                <w:rFonts w:cs="Calibri"/>
                <w:color w:val="000000"/>
                <w:szCs w:val="16"/>
              </w:rPr>
              <w:t> </w:t>
            </w:r>
          </w:p>
        </w:tc>
        <w:tc>
          <w:tcPr>
            <w:tcW w:w="4252" w:type="dxa"/>
            <w:shd w:val="clear" w:color="auto" w:fill="FFFFFF" w:themeFill="background1"/>
            <w:tcMar>
              <w:left w:w="85" w:type="dxa"/>
              <w:right w:w="57" w:type="dxa"/>
            </w:tcMar>
            <w:hideMark/>
          </w:tcPr>
          <w:p w14:paraId="5C7928BA" w14:textId="77777777" w:rsidR="009D798A" w:rsidRPr="00B074B9" w:rsidRDefault="009D798A" w:rsidP="00341FEF">
            <w:pPr>
              <w:pStyle w:val="TableText"/>
              <w:spacing w:before="40" w:after="40"/>
              <w:rPr>
                <w:rFonts w:cs="Calibri"/>
                <w:szCs w:val="16"/>
              </w:rPr>
            </w:pPr>
            <w:r w:rsidRPr="00B074B9">
              <w:rPr>
                <w:rFonts w:cs="Calibri"/>
                <w:szCs w:val="16"/>
              </w:rPr>
              <w:t xml:space="preserve">In accordance with chapter II of the Annex to the decision 18/CMA.1 (UNFCCC, 2018b), this category is not mandatory. While direct venting of </w:t>
            </w:r>
            <w:r w:rsidRPr="00B074B9">
              <w:rPr>
                <w:rFonts w:cs="Calibri"/>
                <w:color w:val="000000" w:themeColor="text1"/>
                <w:szCs w:val="16"/>
              </w:rPr>
              <w:t>CH</w:t>
            </w:r>
            <w:r w:rsidRPr="00B074B9">
              <w:rPr>
                <w:rFonts w:cs="Calibri"/>
                <w:color w:val="000000" w:themeColor="text1"/>
                <w:szCs w:val="16"/>
                <w:vertAlign w:val="subscript"/>
              </w:rPr>
              <w:t>4</w:t>
            </w:r>
            <w:r w:rsidRPr="00B074B9">
              <w:rPr>
                <w:rFonts w:cs="Calibri"/>
                <w:szCs w:val="16"/>
              </w:rPr>
              <w:t xml:space="preserve"> does not occur, the CO</w:t>
            </w:r>
            <w:r w:rsidRPr="00B074B9">
              <w:rPr>
                <w:rFonts w:cs="Calibri"/>
                <w:szCs w:val="16"/>
                <w:vertAlign w:val="subscript"/>
              </w:rPr>
              <w:t>2</w:t>
            </w:r>
            <w:r w:rsidRPr="00B074B9">
              <w:rPr>
                <w:rFonts w:cs="Calibri"/>
                <w:szCs w:val="16"/>
              </w:rPr>
              <w:t xml:space="preserve"> stream may include traces of CH</w:t>
            </w:r>
            <w:r w:rsidRPr="00B074B9">
              <w:rPr>
                <w:rFonts w:cs="Calibri"/>
                <w:szCs w:val="16"/>
                <w:vertAlign w:val="subscript"/>
              </w:rPr>
              <w:t>4</w:t>
            </w:r>
            <w:r w:rsidRPr="00B074B9">
              <w:rPr>
                <w:rFonts w:cs="Calibri"/>
                <w:szCs w:val="16"/>
              </w:rPr>
              <w:t>. The level of these emissions has been determined to be insignificant in comparison with national emissions. A conservative estimate (based on default emission factors from the 2006 IPCC Guidelines) sums to 1.7 kt CO</w:t>
            </w:r>
            <w:r w:rsidRPr="00B074B9">
              <w:rPr>
                <w:rFonts w:cs="Calibri"/>
                <w:szCs w:val="16"/>
                <w:vertAlign w:val="subscript"/>
              </w:rPr>
              <w:t>2</w:t>
            </w:r>
            <w:r w:rsidRPr="00B074B9">
              <w:rPr>
                <w:rFonts w:cs="Calibri"/>
                <w:szCs w:val="16"/>
              </w:rPr>
              <w:t>e per year (IPCC, 2006c). </w:t>
            </w:r>
          </w:p>
          <w:p w14:paraId="2F1C4F6A" w14:textId="77777777" w:rsidR="009D798A" w:rsidRPr="00B074B9" w:rsidRDefault="009D798A" w:rsidP="00341FEF">
            <w:pPr>
              <w:pStyle w:val="TableText"/>
              <w:spacing w:before="40" w:after="40"/>
              <w:rPr>
                <w:rFonts w:cs="Calibri"/>
                <w:szCs w:val="16"/>
              </w:rPr>
            </w:pPr>
            <w:r w:rsidRPr="00B074B9">
              <w:rPr>
                <w:rFonts w:cs="Calibri"/>
                <w:szCs w:val="16"/>
              </w:rPr>
              <w:t>CH</w:t>
            </w:r>
            <w:r w:rsidRPr="00B074B9">
              <w:rPr>
                <w:rFonts w:cs="Calibri"/>
                <w:szCs w:val="16"/>
                <w:vertAlign w:val="subscript"/>
              </w:rPr>
              <w:t>4</w:t>
            </w:r>
            <w:r w:rsidRPr="00B074B9">
              <w:rPr>
                <w:rFonts w:cs="Calibri"/>
                <w:szCs w:val="16"/>
              </w:rPr>
              <w:t>: 625 Mm</w:t>
            </w:r>
            <w:r w:rsidRPr="00B074B9">
              <w:rPr>
                <w:rFonts w:cs="Calibri"/>
                <w:szCs w:val="16"/>
                <w:vertAlign w:val="superscript"/>
              </w:rPr>
              <w:t>3</w:t>
            </w:r>
            <w:r w:rsidRPr="00B074B9">
              <w:rPr>
                <w:rFonts w:cs="Calibri"/>
                <w:szCs w:val="16"/>
              </w:rPr>
              <w:t xml:space="preserve"> (Kapuni field production) * 9.7e-5 * 28 = 1.7 kt CO</w:t>
            </w:r>
            <w:r w:rsidRPr="00B074B9">
              <w:rPr>
                <w:rFonts w:cs="Calibri"/>
                <w:szCs w:val="16"/>
                <w:vertAlign w:val="subscript"/>
              </w:rPr>
              <w:t>2</w:t>
            </w:r>
            <w:r w:rsidRPr="00B074B9">
              <w:rPr>
                <w:rFonts w:cs="Calibri"/>
                <w:szCs w:val="16"/>
              </w:rPr>
              <w:t>-e. </w:t>
            </w:r>
          </w:p>
          <w:p w14:paraId="6C1F569E" w14:textId="77777777" w:rsidR="009D798A" w:rsidRPr="00B074B9" w:rsidRDefault="009D798A" w:rsidP="00341FEF">
            <w:pPr>
              <w:pStyle w:val="TableText"/>
              <w:spacing w:before="40" w:after="40"/>
              <w:rPr>
                <w:rFonts w:cs="Calibri"/>
                <w:szCs w:val="16"/>
              </w:rPr>
            </w:pPr>
            <w:r w:rsidRPr="00B074B9">
              <w:rPr>
                <w:rFonts w:cs="Calibri"/>
                <w:szCs w:val="16"/>
              </w:rPr>
              <w:t>The conservative estimated value is below 0.05 per cent of New Zealand’s total emissions. This would keep the national total aggregate of estimated emissions for all gases and categories considered insignificant below 0.1 per cent of New Zealand’s total emissions. </w:t>
            </w:r>
          </w:p>
        </w:tc>
      </w:tr>
      <w:tr w:rsidR="009D798A" w:rsidRPr="00B074B9" w14:paraId="7FE72745" w14:textId="77777777" w:rsidTr="00052691">
        <w:tc>
          <w:tcPr>
            <w:tcW w:w="3261" w:type="dxa"/>
            <w:gridSpan w:val="2"/>
            <w:shd w:val="clear" w:color="auto" w:fill="FFFFFF" w:themeFill="background1"/>
            <w:tcMar>
              <w:left w:w="85" w:type="dxa"/>
              <w:right w:w="57" w:type="dxa"/>
            </w:tcMar>
            <w:hideMark/>
          </w:tcPr>
          <w:p w14:paraId="195A2ED6" w14:textId="77777777" w:rsidR="009D798A" w:rsidRPr="00B074B9" w:rsidRDefault="009D798A" w:rsidP="00F73C96">
            <w:pPr>
              <w:pStyle w:val="Tableboldblue"/>
              <w:keepNext/>
              <w:spacing w:before="40" w:after="40"/>
              <w:rPr>
                <w:rFonts w:cs="Calibri"/>
                <w:szCs w:val="16"/>
              </w:rPr>
            </w:pPr>
            <w:r w:rsidRPr="00B074B9">
              <w:rPr>
                <w:rFonts w:cs="Calibri"/>
                <w:szCs w:val="16"/>
              </w:rPr>
              <w:lastRenderedPageBreak/>
              <w:t>Industrial Processes and Product Use </w:t>
            </w:r>
          </w:p>
        </w:tc>
        <w:tc>
          <w:tcPr>
            <w:tcW w:w="992" w:type="dxa"/>
            <w:shd w:val="clear" w:color="auto" w:fill="FFFFFF" w:themeFill="background1"/>
            <w:tcMar>
              <w:left w:w="85" w:type="dxa"/>
              <w:right w:w="57" w:type="dxa"/>
            </w:tcMar>
            <w:hideMark/>
          </w:tcPr>
          <w:p w14:paraId="33C38D6D" w14:textId="77777777" w:rsidR="009D798A" w:rsidRPr="00B074B9" w:rsidRDefault="009D798A" w:rsidP="00F73C96">
            <w:pPr>
              <w:pStyle w:val="Tableboldblue"/>
              <w:keepNext/>
              <w:spacing w:before="40" w:after="40"/>
              <w:rPr>
                <w:rFonts w:cs="Calibri"/>
                <w:szCs w:val="16"/>
              </w:rPr>
            </w:pPr>
            <w:r w:rsidRPr="00B074B9">
              <w:rPr>
                <w:rFonts w:cs="Calibri"/>
                <w:szCs w:val="16"/>
              </w:rPr>
              <w:t> </w:t>
            </w:r>
          </w:p>
        </w:tc>
        <w:tc>
          <w:tcPr>
            <w:tcW w:w="4252" w:type="dxa"/>
            <w:shd w:val="clear" w:color="auto" w:fill="FFFFFF" w:themeFill="background1"/>
            <w:tcMar>
              <w:left w:w="85" w:type="dxa"/>
              <w:right w:w="57" w:type="dxa"/>
            </w:tcMar>
            <w:hideMark/>
          </w:tcPr>
          <w:p w14:paraId="70156596" w14:textId="77777777" w:rsidR="009D798A" w:rsidRPr="00B074B9" w:rsidRDefault="009D798A" w:rsidP="00F73C96">
            <w:pPr>
              <w:pStyle w:val="Tableboldblue"/>
              <w:keepNext/>
              <w:spacing w:before="40" w:after="40"/>
              <w:rPr>
                <w:rFonts w:cs="Calibri"/>
                <w:szCs w:val="16"/>
              </w:rPr>
            </w:pPr>
            <w:r w:rsidRPr="00B074B9">
              <w:rPr>
                <w:rFonts w:cs="Calibri"/>
                <w:szCs w:val="16"/>
              </w:rPr>
              <w:t> </w:t>
            </w:r>
          </w:p>
        </w:tc>
      </w:tr>
      <w:tr w:rsidR="009D798A" w:rsidRPr="00B074B9" w14:paraId="432D0584" w14:textId="77777777" w:rsidTr="00052691">
        <w:tc>
          <w:tcPr>
            <w:tcW w:w="1276" w:type="dxa"/>
            <w:shd w:val="clear" w:color="auto" w:fill="FFFFFF" w:themeFill="background1"/>
            <w:tcMar>
              <w:left w:w="85" w:type="dxa"/>
              <w:right w:w="57" w:type="dxa"/>
            </w:tcMar>
            <w:hideMark/>
          </w:tcPr>
          <w:p w14:paraId="61DA84F7" w14:textId="77777777" w:rsidR="009D798A" w:rsidRPr="00B074B9" w:rsidRDefault="009D798A" w:rsidP="00341FEF">
            <w:pPr>
              <w:pStyle w:val="TableText"/>
              <w:spacing w:before="40" w:after="40"/>
              <w:rPr>
                <w:rFonts w:cs="Calibri"/>
                <w:szCs w:val="16"/>
              </w:rPr>
            </w:pPr>
            <w:r w:rsidRPr="00B074B9">
              <w:rPr>
                <w:rFonts w:cs="Calibri"/>
                <w:color w:val="000000"/>
                <w:szCs w:val="16"/>
              </w:rPr>
              <w:t>2.G.2.e </w:t>
            </w:r>
          </w:p>
        </w:tc>
        <w:tc>
          <w:tcPr>
            <w:tcW w:w="1985" w:type="dxa"/>
            <w:shd w:val="clear" w:color="auto" w:fill="FFFFFF" w:themeFill="background1"/>
            <w:tcMar>
              <w:left w:w="85" w:type="dxa"/>
              <w:right w:w="57" w:type="dxa"/>
            </w:tcMar>
            <w:hideMark/>
          </w:tcPr>
          <w:p w14:paraId="172BDE29" w14:textId="77777777" w:rsidR="009D798A" w:rsidRPr="00B074B9" w:rsidRDefault="009D798A" w:rsidP="00341FEF">
            <w:pPr>
              <w:pStyle w:val="TableText"/>
              <w:spacing w:before="40" w:after="40"/>
              <w:rPr>
                <w:rFonts w:cs="Calibri"/>
                <w:szCs w:val="16"/>
              </w:rPr>
            </w:pPr>
            <w:r w:rsidRPr="00B074B9">
              <w:rPr>
                <w:rFonts w:cs="Calibri"/>
                <w:color w:val="000000"/>
                <w:szCs w:val="16"/>
              </w:rPr>
              <w:t>Medical and other product use </w:t>
            </w:r>
          </w:p>
        </w:tc>
        <w:tc>
          <w:tcPr>
            <w:tcW w:w="992" w:type="dxa"/>
            <w:shd w:val="clear" w:color="auto" w:fill="FFFFFF" w:themeFill="background1"/>
            <w:tcMar>
              <w:left w:w="85" w:type="dxa"/>
              <w:right w:w="57" w:type="dxa"/>
            </w:tcMar>
            <w:hideMark/>
          </w:tcPr>
          <w:p w14:paraId="08F689FD" w14:textId="77777777" w:rsidR="009D798A" w:rsidRPr="00B074B9" w:rsidRDefault="009D798A" w:rsidP="00341FEF">
            <w:pPr>
              <w:pStyle w:val="TableText"/>
              <w:spacing w:before="40" w:after="40"/>
              <w:rPr>
                <w:rFonts w:cs="Calibri"/>
                <w:szCs w:val="16"/>
              </w:rPr>
            </w:pPr>
            <w:r w:rsidRPr="00B074B9">
              <w:rPr>
                <w:rFonts w:cs="Calibri"/>
                <w:color w:val="000000"/>
                <w:szCs w:val="16"/>
              </w:rPr>
              <w:t>C</w:t>
            </w:r>
            <w:r w:rsidRPr="00B074B9">
              <w:rPr>
                <w:rFonts w:cs="Calibri"/>
                <w:color w:val="000000"/>
                <w:szCs w:val="16"/>
                <w:vertAlign w:val="subscript"/>
              </w:rPr>
              <w:t>2</w:t>
            </w:r>
            <w:r w:rsidRPr="00B074B9">
              <w:rPr>
                <w:rFonts w:cs="Calibri"/>
                <w:color w:val="000000"/>
                <w:szCs w:val="16"/>
              </w:rPr>
              <w:t>F</w:t>
            </w:r>
            <w:r w:rsidRPr="00B074B9">
              <w:rPr>
                <w:rFonts w:cs="Calibri"/>
                <w:color w:val="000000"/>
                <w:szCs w:val="16"/>
                <w:vertAlign w:val="subscript"/>
              </w:rPr>
              <w:t>6</w:t>
            </w:r>
            <w:r w:rsidRPr="00B074B9">
              <w:rPr>
                <w:rFonts w:cs="Calibri"/>
                <w:color w:val="000000"/>
                <w:szCs w:val="16"/>
              </w:rPr>
              <w:t> </w:t>
            </w:r>
          </w:p>
        </w:tc>
        <w:tc>
          <w:tcPr>
            <w:tcW w:w="4252" w:type="dxa"/>
            <w:shd w:val="clear" w:color="auto" w:fill="FFFFFF" w:themeFill="background1"/>
            <w:tcMar>
              <w:left w:w="85" w:type="dxa"/>
              <w:right w:w="57" w:type="dxa"/>
            </w:tcMar>
            <w:hideMark/>
          </w:tcPr>
          <w:p w14:paraId="75186023" w14:textId="77777777" w:rsidR="009D798A" w:rsidRPr="00B074B9" w:rsidRDefault="009D798A" w:rsidP="00341FEF">
            <w:pPr>
              <w:pStyle w:val="TableText"/>
              <w:spacing w:before="40" w:after="40"/>
              <w:rPr>
                <w:rFonts w:cs="Calibri"/>
                <w:szCs w:val="16"/>
              </w:rPr>
            </w:pPr>
            <w:r w:rsidRPr="00B074B9">
              <w:rPr>
                <w:rFonts w:cs="Calibri"/>
                <w:szCs w:val="16"/>
              </w:rPr>
              <w:t>In accordance with chapter II of the Annex to the decision 18/CMA.1 (UNFCCC, 2018b), this category is not mandatory. The level of emissions from this source has been determined to be insignificant in comparison with national emissions. No activity data are available before 2011. Based on 2011 to 2022 data, emissions of perfluoroethane (</w:t>
            </w:r>
            <w:r w:rsidRPr="00B074B9">
              <w:rPr>
                <w:rFonts w:cs="Calibri"/>
                <w:color w:val="000000"/>
                <w:szCs w:val="16"/>
              </w:rPr>
              <w:t>C</w:t>
            </w:r>
            <w:r w:rsidRPr="00B074B9">
              <w:rPr>
                <w:rFonts w:cs="Calibri"/>
                <w:color w:val="000000"/>
                <w:szCs w:val="16"/>
                <w:vertAlign w:val="subscript"/>
              </w:rPr>
              <w:t>2</w:t>
            </w:r>
            <w:r w:rsidRPr="00B074B9">
              <w:rPr>
                <w:rFonts w:cs="Calibri"/>
                <w:color w:val="000000"/>
                <w:szCs w:val="16"/>
              </w:rPr>
              <w:t>F</w:t>
            </w:r>
            <w:r w:rsidRPr="00B074B9">
              <w:rPr>
                <w:rFonts w:cs="Calibri"/>
                <w:color w:val="000000"/>
                <w:szCs w:val="16"/>
                <w:vertAlign w:val="subscript"/>
              </w:rPr>
              <w:t>6</w:t>
            </w:r>
            <w:r w:rsidRPr="00B074B9">
              <w:rPr>
                <w:rFonts w:cs="Calibri"/>
                <w:color w:val="000000"/>
                <w:szCs w:val="16"/>
              </w:rPr>
              <w:t>)</w:t>
            </w:r>
            <w:r w:rsidRPr="00B074B9">
              <w:rPr>
                <w:rFonts w:cs="Calibri"/>
                <w:szCs w:val="16"/>
              </w:rPr>
              <w:t xml:space="preserve"> from </w:t>
            </w:r>
            <w:r w:rsidRPr="00B074B9">
              <w:rPr>
                <w:rFonts w:cs="Calibri"/>
                <w:i/>
                <w:iCs/>
                <w:color w:val="000000"/>
                <w:szCs w:val="16"/>
              </w:rPr>
              <w:t>Medical and other product use</w:t>
            </w:r>
            <w:r w:rsidRPr="00B074B9">
              <w:rPr>
                <w:rFonts w:cs="Calibri"/>
                <w:i/>
                <w:iCs/>
                <w:szCs w:val="16"/>
              </w:rPr>
              <w:t xml:space="preserve"> </w:t>
            </w:r>
            <w:r w:rsidRPr="00B074B9">
              <w:rPr>
                <w:rFonts w:cs="Calibri"/>
                <w:szCs w:val="16"/>
              </w:rPr>
              <w:t>are estimated to be approximately 2.6 t CO</w:t>
            </w:r>
            <w:r w:rsidRPr="00B074B9">
              <w:rPr>
                <w:rFonts w:cs="Calibri"/>
                <w:szCs w:val="16"/>
                <w:vertAlign w:val="subscript"/>
              </w:rPr>
              <w:t>2</w:t>
            </w:r>
            <w:r w:rsidRPr="00B074B9">
              <w:rPr>
                <w:rFonts w:cs="Calibri"/>
                <w:szCs w:val="16"/>
              </w:rPr>
              <w:t>-e per annum, which is below the significance threshold. </w:t>
            </w:r>
          </w:p>
        </w:tc>
      </w:tr>
      <w:tr w:rsidR="009D798A" w:rsidRPr="00B074B9" w14:paraId="00258F49" w14:textId="77777777" w:rsidTr="00052691">
        <w:tc>
          <w:tcPr>
            <w:tcW w:w="1276" w:type="dxa"/>
            <w:shd w:val="clear" w:color="auto" w:fill="FFFFFF" w:themeFill="background1"/>
            <w:tcMar>
              <w:left w:w="85" w:type="dxa"/>
              <w:right w:w="57" w:type="dxa"/>
            </w:tcMar>
            <w:hideMark/>
          </w:tcPr>
          <w:p w14:paraId="31397AE3" w14:textId="77777777" w:rsidR="009D798A" w:rsidRPr="00B074B9" w:rsidRDefault="009D798A" w:rsidP="00341FEF">
            <w:pPr>
              <w:pStyle w:val="TableText"/>
              <w:spacing w:before="40" w:after="40"/>
              <w:rPr>
                <w:rFonts w:cs="Calibri"/>
                <w:szCs w:val="16"/>
              </w:rPr>
            </w:pPr>
            <w:r w:rsidRPr="00B074B9">
              <w:rPr>
                <w:rFonts w:cs="Calibri"/>
                <w:color w:val="000000"/>
                <w:szCs w:val="16"/>
              </w:rPr>
              <w:t>2.G.2.e </w:t>
            </w:r>
          </w:p>
        </w:tc>
        <w:tc>
          <w:tcPr>
            <w:tcW w:w="1985" w:type="dxa"/>
            <w:shd w:val="clear" w:color="auto" w:fill="FFFFFF" w:themeFill="background1"/>
            <w:tcMar>
              <w:left w:w="85" w:type="dxa"/>
              <w:right w:w="57" w:type="dxa"/>
            </w:tcMar>
            <w:hideMark/>
          </w:tcPr>
          <w:p w14:paraId="052C1974" w14:textId="77777777" w:rsidR="009D798A" w:rsidRPr="00B074B9" w:rsidRDefault="009D798A" w:rsidP="00341FEF">
            <w:pPr>
              <w:pStyle w:val="TableText"/>
              <w:spacing w:before="40" w:after="40"/>
              <w:rPr>
                <w:rFonts w:cs="Calibri"/>
                <w:szCs w:val="16"/>
              </w:rPr>
            </w:pPr>
            <w:r w:rsidRPr="00B074B9">
              <w:rPr>
                <w:rFonts w:cs="Calibri"/>
                <w:color w:val="000000"/>
                <w:szCs w:val="16"/>
              </w:rPr>
              <w:t>Medical and other product use </w:t>
            </w:r>
          </w:p>
        </w:tc>
        <w:tc>
          <w:tcPr>
            <w:tcW w:w="992" w:type="dxa"/>
            <w:shd w:val="clear" w:color="auto" w:fill="FFFFFF" w:themeFill="background1"/>
            <w:tcMar>
              <w:left w:w="85" w:type="dxa"/>
              <w:right w:w="57" w:type="dxa"/>
            </w:tcMar>
            <w:hideMark/>
          </w:tcPr>
          <w:p w14:paraId="07D93975" w14:textId="77777777" w:rsidR="009D798A" w:rsidRPr="00B074B9" w:rsidRDefault="009D798A" w:rsidP="00341FEF">
            <w:pPr>
              <w:pStyle w:val="TableText"/>
              <w:spacing w:before="40" w:after="40"/>
              <w:rPr>
                <w:rFonts w:cs="Calibri"/>
                <w:szCs w:val="16"/>
              </w:rPr>
            </w:pPr>
            <w:r w:rsidRPr="00B074B9">
              <w:rPr>
                <w:rFonts w:cs="Calibri"/>
                <w:color w:val="000000"/>
                <w:szCs w:val="16"/>
              </w:rPr>
              <w:t>C</w:t>
            </w:r>
            <w:r w:rsidRPr="00B074B9">
              <w:rPr>
                <w:rFonts w:cs="Calibri"/>
                <w:color w:val="000000"/>
                <w:szCs w:val="16"/>
                <w:vertAlign w:val="subscript"/>
              </w:rPr>
              <w:t>3</w:t>
            </w:r>
            <w:r w:rsidRPr="00B074B9">
              <w:rPr>
                <w:rFonts w:cs="Calibri"/>
                <w:color w:val="000000"/>
                <w:szCs w:val="16"/>
              </w:rPr>
              <w:t>F</w:t>
            </w:r>
            <w:r w:rsidRPr="00B074B9">
              <w:rPr>
                <w:rFonts w:cs="Calibri"/>
                <w:color w:val="000000"/>
                <w:szCs w:val="16"/>
                <w:vertAlign w:val="subscript"/>
              </w:rPr>
              <w:t>8</w:t>
            </w:r>
            <w:r w:rsidRPr="00B074B9">
              <w:rPr>
                <w:rFonts w:cs="Calibri"/>
                <w:color w:val="000000"/>
                <w:szCs w:val="16"/>
              </w:rPr>
              <w:t> </w:t>
            </w:r>
          </w:p>
        </w:tc>
        <w:tc>
          <w:tcPr>
            <w:tcW w:w="4252" w:type="dxa"/>
            <w:shd w:val="clear" w:color="auto" w:fill="FFFFFF" w:themeFill="background1"/>
            <w:tcMar>
              <w:left w:w="85" w:type="dxa"/>
              <w:right w:w="57" w:type="dxa"/>
            </w:tcMar>
            <w:hideMark/>
          </w:tcPr>
          <w:p w14:paraId="337DE777" w14:textId="77777777" w:rsidR="009D798A" w:rsidRPr="00B074B9" w:rsidRDefault="009D798A" w:rsidP="00341FEF">
            <w:pPr>
              <w:pStyle w:val="TableText"/>
              <w:spacing w:before="40" w:after="40"/>
              <w:rPr>
                <w:rFonts w:cs="Calibri"/>
                <w:szCs w:val="16"/>
              </w:rPr>
            </w:pPr>
            <w:r w:rsidRPr="00B074B9">
              <w:rPr>
                <w:rFonts w:cs="Calibri"/>
                <w:szCs w:val="16"/>
              </w:rPr>
              <w:t>In accordance with chapter II of the Annex to the decision 18/CMA.1 (UNFCCC, 2018b), this category is not mandatory. The level of emissions from this source has been determined to be insignificant in comparison with national emissions. No activity data are available before 2011. Based on 2011 to 2022 data, emissions of perfluoropropane (</w:t>
            </w:r>
            <w:r w:rsidRPr="00B074B9">
              <w:rPr>
                <w:rFonts w:cs="Calibri"/>
                <w:color w:val="000000"/>
                <w:szCs w:val="16"/>
              </w:rPr>
              <w:t>C</w:t>
            </w:r>
            <w:r w:rsidRPr="00B074B9">
              <w:rPr>
                <w:rFonts w:cs="Calibri"/>
                <w:color w:val="000000"/>
                <w:szCs w:val="16"/>
                <w:vertAlign w:val="subscript"/>
              </w:rPr>
              <w:t>3</w:t>
            </w:r>
            <w:r w:rsidRPr="00B074B9">
              <w:rPr>
                <w:rFonts w:cs="Calibri"/>
                <w:color w:val="000000"/>
                <w:szCs w:val="16"/>
              </w:rPr>
              <w:t>F</w:t>
            </w:r>
            <w:r w:rsidRPr="00B074B9">
              <w:rPr>
                <w:rFonts w:cs="Calibri"/>
                <w:color w:val="000000"/>
                <w:szCs w:val="16"/>
                <w:vertAlign w:val="subscript"/>
              </w:rPr>
              <w:t>8</w:t>
            </w:r>
            <w:r w:rsidRPr="00B074B9">
              <w:rPr>
                <w:rFonts w:cs="Calibri"/>
                <w:color w:val="000000"/>
                <w:szCs w:val="16"/>
              </w:rPr>
              <w:t xml:space="preserve">) </w:t>
            </w:r>
            <w:r w:rsidRPr="00B074B9">
              <w:rPr>
                <w:rFonts w:cs="Calibri"/>
                <w:szCs w:val="16"/>
              </w:rPr>
              <w:t xml:space="preserve">from </w:t>
            </w:r>
            <w:r w:rsidRPr="00B074B9">
              <w:rPr>
                <w:rFonts w:cs="Calibri"/>
                <w:i/>
                <w:iCs/>
                <w:color w:val="000000"/>
                <w:szCs w:val="16"/>
              </w:rPr>
              <w:t>Medical and other product use</w:t>
            </w:r>
            <w:r w:rsidRPr="00B074B9">
              <w:rPr>
                <w:rFonts w:cs="Calibri"/>
                <w:i/>
                <w:iCs/>
                <w:szCs w:val="16"/>
              </w:rPr>
              <w:t xml:space="preserve"> </w:t>
            </w:r>
            <w:r w:rsidRPr="00B074B9">
              <w:rPr>
                <w:rFonts w:cs="Calibri"/>
                <w:szCs w:val="16"/>
              </w:rPr>
              <w:t>are estimated to be approximately 2.7 t CO</w:t>
            </w:r>
            <w:r w:rsidRPr="00B074B9">
              <w:rPr>
                <w:rFonts w:cs="Calibri"/>
                <w:szCs w:val="16"/>
                <w:vertAlign w:val="subscript"/>
              </w:rPr>
              <w:t>2</w:t>
            </w:r>
            <w:r w:rsidRPr="00B074B9">
              <w:rPr>
                <w:rFonts w:cs="Calibri"/>
                <w:szCs w:val="16"/>
              </w:rPr>
              <w:t>-e per annum, which is below the significance threshold. </w:t>
            </w:r>
          </w:p>
        </w:tc>
      </w:tr>
      <w:tr w:rsidR="009D798A" w:rsidRPr="00B074B9" w14:paraId="7BEC3EC0" w14:textId="77777777" w:rsidTr="001C28B4">
        <w:tc>
          <w:tcPr>
            <w:tcW w:w="8505" w:type="dxa"/>
            <w:gridSpan w:val="4"/>
            <w:shd w:val="clear" w:color="auto" w:fill="FFFFFF" w:themeFill="background1"/>
            <w:tcMar>
              <w:left w:w="85" w:type="dxa"/>
              <w:right w:w="57" w:type="dxa"/>
            </w:tcMar>
            <w:hideMark/>
          </w:tcPr>
          <w:p w14:paraId="3BF688D6" w14:textId="77777777" w:rsidR="009D798A" w:rsidRPr="00B074B9" w:rsidRDefault="009D798A" w:rsidP="00341FEF">
            <w:pPr>
              <w:pStyle w:val="Tableboldblue"/>
              <w:spacing w:before="40" w:after="40"/>
              <w:rPr>
                <w:rFonts w:cs="Calibri"/>
                <w:szCs w:val="16"/>
              </w:rPr>
            </w:pPr>
            <w:r w:rsidRPr="00B074B9">
              <w:rPr>
                <w:rFonts w:cs="Calibri"/>
                <w:szCs w:val="16"/>
              </w:rPr>
              <w:t>Agriculture </w:t>
            </w:r>
          </w:p>
        </w:tc>
      </w:tr>
      <w:tr w:rsidR="009D798A" w:rsidRPr="00B074B9" w14:paraId="2261A0CE" w14:textId="77777777" w:rsidTr="00052691">
        <w:tc>
          <w:tcPr>
            <w:tcW w:w="1276" w:type="dxa"/>
            <w:shd w:val="clear" w:color="auto" w:fill="FFFFFF" w:themeFill="background1"/>
            <w:tcMar>
              <w:left w:w="85" w:type="dxa"/>
              <w:right w:w="57" w:type="dxa"/>
            </w:tcMar>
            <w:hideMark/>
          </w:tcPr>
          <w:p w14:paraId="31303F24" w14:textId="77777777" w:rsidR="009D798A" w:rsidRPr="00B074B9" w:rsidRDefault="009D798A" w:rsidP="00341FEF">
            <w:pPr>
              <w:pStyle w:val="TableText"/>
              <w:spacing w:before="40" w:after="40"/>
              <w:rPr>
                <w:rFonts w:cs="Calibri"/>
                <w:szCs w:val="16"/>
              </w:rPr>
            </w:pPr>
            <w:r w:rsidRPr="00B074B9">
              <w:rPr>
                <w:rFonts w:cs="Calibri"/>
                <w:szCs w:val="16"/>
              </w:rPr>
              <w:t>3.A.4.g (for both New Zealand and Tokelau) </w:t>
            </w:r>
          </w:p>
        </w:tc>
        <w:tc>
          <w:tcPr>
            <w:tcW w:w="1985" w:type="dxa"/>
            <w:shd w:val="clear" w:color="auto" w:fill="FFFFFF" w:themeFill="background1"/>
            <w:tcMar>
              <w:left w:w="85" w:type="dxa"/>
              <w:right w:w="57" w:type="dxa"/>
            </w:tcMar>
            <w:hideMark/>
          </w:tcPr>
          <w:p w14:paraId="22F3176E" w14:textId="77777777" w:rsidR="009D798A" w:rsidRPr="00B074B9" w:rsidRDefault="009D798A" w:rsidP="00341FEF">
            <w:pPr>
              <w:pStyle w:val="TableText"/>
              <w:spacing w:before="40" w:after="40"/>
              <w:rPr>
                <w:rFonts w:cs="Calibri"/>
                <w:szCs w:val="16"/>
              </w:rPr>
            </w:pPr>
            <w:r w:rsidRPr="00B074B9">
              <w:rPr>
                <w:rFonts w:cs="Calibri"/>
                <w:color w:val="000000"/>
                <w:szCs w:val="16"/>
              </w:rPr>
              <w:t>Poultry </w:t>
            </w:r>
          </w:p>
        </w:tc>
        <w:tc>
          <w:tcPr>
            <w:tcW w:w="992" w:type="dxa"/>
            <w:shd w:val="clear" w:color="auto" w:fill="FFFFFF" w:themeFill="background1"/>
            <w:tcMar>
              <w:left w:w="85" w:type="dxa"/>
              <w:right w:w="57" w:type="dxa"/>
            </w:tcMar>
            <w:hideMark/>
          </w:tcPr>
          <w:p w14:paraId="62D69826" w14:textId="77777777" w:rsidR="009D798A" w:rsidRPr="00B074B9" w:rsidRDefault="009D798A" w:rsidP="00341FEF">
            <w:pPr>
              <w:pStyle w:val="TableText"/>
              <w:spacing w:before="40" w:after="40"/>
              <w:rPr>
                <w:rFonts w:cs="Calibri"/>
                <w:szCs w:val="16"/>
              </w:rPr>
            </w:pPr>
            <w:r w:rsidRPr="00B074B9">
              <w:rPr>
                <w:rFonts w:cs="Calibri"/>
                <w:color w:val="000000"/>
                <w:szCs w:val="16"/>
              </w:rPr>
              <w:t>CH</w:t>
            </w:r>
            <w:r w:rsidRPr="00B074B9">
              <w:rPr>
                <w:rFonts w:cs="Calibri"/>
                <w:color w:val="000000"/>
                <w:szCs w:val="16"/>
                <w:vertAlign w:val="subscript"/>
              </w:rPr>
              <w:t>4</w:t>
            </w:r>
            <w:r w:rsidRPr="00B074B9">
              <w:rPr>
                <w:rFonts w:cs="Calibri"/>
                <w:color w:val="000000"/>
                <w:szCs w:val="16"/>
              </w:rPr>
              <w:t> </w:t>
            </w:r>
          </w:p>
        </w:tc>
        <w:tc>
          <w:tcPr>
            <w:tcW w:w="4252" w:type="dxa"/>
            <w:shd w:val="clear" w:color="auto" w:fill="FFFFFF" w:themeFill="background1"/>
            <w:tcMar>
              <w:left w:w="85" w:type="dxa"/>
              <w:right w:w="57" w:type="dxa"/>
            </w:tcMar>
            <w:hideMark/>
          </w:tcPr>
          <w:p w14:paraId="5D97C4B1" w14:textId="77777777" w:rsidR="009D798A" w:rsidRPr="00B074B9" w:rsidRDefault="009D798A" w:rsidP="00341FEF">
            <w:pPr>
              <w:pStyle w:val="TableText"/>
              <w:spacing w:before="40" w:after="40"/>
              <w:rPr>
                <w:rFonts w:cs="Calibri"/>
                <w:szCs w:val="16"/>
              </w:rPr>
            </w:pPr>
            <w:r w:rsidRPr="00B074B9">
              <w:rPr>
                <w:rFonts w:cs="Calibri"/>
                <w:szCs w:val="16"/>
              </w:rPr>
              <w:t>This category is not mandatory. The 2006 IPCC Guidelines state (IPCC, 2006d, page 10.27, vol 4-2) that the Tier 1 method for estimating CH</w:t>
            </w:r>
            <w:r w:rsidRPr="00B074B9">
              <w:rPr>
                <w:rFonts w:cs="Calibri"/>
                <w:szCs w:val="16"/>
                <w:vertAlign w:val="subscript"/>
              </w:rPr>
              <w:t>4</w:t>
            </w:r>
            <w:r w:rsidRPr="00B074B9">
              <w:rPr>
                <w:rFonts w:cs="Calibri"/>
                <w:szCs w:val="16"/>
              </w:rPr>
              <w:t xml:space="preserve"> emissions from enteric fermentation for poultry is not developed. Also, table 10.10 (IPCC, 2006d, page 10.28, vol 42) indicates that there is insufficient research to establish a CH</w:t>
            </w:r>
            <w:r w:rsidRPr="00B074B9">
              <w:rPr>
                <w:rFonts w:cs="Calibri"/>
                <w:szCs w:val="16"/>
                <w:vertAlign w:val="subscript"/>
              </w:rPr>
              <w:t>4</w:t>
            </w:r>
            <w:r w:rsidRPr="00B074B9">
              <w:rPr>
                <w:rFonts w:cs="Calibri"/>
                <w:szCs w:val="16"/>
              </w:rPr>
              <w:t xml:space="preserve"> emission factor for poultry for either developed or developing countries. </w:t>
            </w:r>
          </w:p>
        </w:tc>
      </w:tr>
      <w:tr w:rsidR="009D798A" w:rsidRPr="00B074B9" w14:paraId="7A76B585" w14:textId="77777777" w:rsidTr="00052691">
        <w:tc>
          <w:tcPr>
            <w:tcW w:w="1276" w:type="dxa"/>
            <w:shd w:val="clear" w:color="auto" w:fill="FFFFFF" w:themeFill="background1"/>
            <w:tcMar>
              <w:left w:w="85" w:type="dxa"/>
              <w:right w:w="57" w:type="dxa"/>
            </w:tcMar>
            <w:hideMark/>
          </w:tcPr>
          <w:p w14:paraId="1662C4E6" w14:textId="77777777" w:rsidR="009D798A" w:rsidRPr="00B074B9" w:rsidRDefault="009D798A" w:rsidP="00341FEF">
            <w:pPr>
              <w:pStyle w:val="TableText"/>
              <w:spacing w:before="40" w:after="40"/>
              <w:rPr>
                <w:rFonts w:cs="Calibri"/>
                <w:szCs w:val="16"/>
              </w:rPr>
            </w:pPr>
            <w:r w:rsidRPr="00B074B9">
              <w:rPr>
                <w:rFonts w:cs="Calibri"/>
                <w:color w:val="000000"/>
                <w:szCs w:val="16"/>
              </w:rPr>
              <w:t>3.B.5 </w:t>
            </w:r>
          </w:p>
        </w:tc>
        <w:tc>
          <w:tcPr>
            <w:tcW w:w="1985" w:type="dxa"/>
            <w:shd w:val="clear" w:color="auto" w:fill="FFFFFF" w:themeFill="background1"/>
            <w:tcMar>
              <w:left w:w="85" w:type="dxa"/>
              <w:right w:w="57" w:type="dxa"/>
            </w:tcMar>
            <w:hideMark/>
          </w:tcPr>
          <w:p w14:paraId="662858A9" w14:textId="77777777" w:rsidR="009D798A" w:rsidRPr="00B074B9" w:rsidRDefault="009D798A" w:rsidP="00341FEF">
            <w:pPr>
              <w:pStyle w:val="TableText"/>
              <w:spacing w:before="40" w:after="40"/>
              <w:rPr>
                <w:rFonts w:cs="Calibri"/>
                <w:szCs w:val="16"/>
              </w:rPr>
            </w:pPr>
            <w:r w:rsidRPr="00B074B9">
              <w:rPr>
                <w:rFonts w:cs="Calibri"/>
                <w:color w:val="000000"/>
                <w:szCs w:val="16"/>
              </w:rPr>
              <w:t>Indirect N</w:t>
            </w:r>
            <w:r w:rsidRPr="00B074B9">
              <w:rPr>
                <w:rFonts w:cs="Calibri"/>
                <w:color w:val="000000"/>
                <w:szCs w:val="16"/>
                <w:vertAlign w:val="subscript"/>
              </w:rPr>
              <w:t>2</w:t>
            </w:r>
            <w:r w:rsidRPr="00B074B9">
              <w:rPr>
                <w:rFonts w:cs="Calibri"/>
                <w:color w:val="000000"/>
                <w:szCs w:val="16"/>
              </w:rPr>
              <w:t>O emissions </w:t>
            </w:r>
          </w:p>
        </w:tc>
        <w:tc>
          <w:tcPr>
            <w:tcW w:w="992" w:type="dxa"/>
            <w:shd w:val="clear" w:color="auto" w:fill="FFFFFF" w:themeFill="background1"/>
            <w:tcMar>
              <w:left w:w="85" w:type="dxa"/>
              <w:right w:w="57" w:type="dxa"/>
            </w:tcMar>
            <w:hideMark/>
          </w:tcPr>
          <w:p w14:paraId="34DE3292" w14:textId="77777777" w:rsidR="009D798A" w:rsidRPr="00B074B9" w:rsidRDefault="009D798A" w:rsidP="00341FEF">
            <w:pPr>
              <w:pStyle w:val="TableText"/>
              <w:spacing w:before="40" w:after="40"/>
              <w:rPr>
                <w:rFonts w:cs="Calibri"/>
                <w:szCs w:val="16"/>
              </w:rPr>
            </w:pPr>
            <w:r w:rsidRPr="00B074B9">
              <w:rPr>
                <w:rFonts w:cs="Calibri"/>
                <w:color w:val="000000"/>
                <w:szCs w:val="16"/>
              </w:rPr>
              <w:t>N</w:t>
            </w:r>
            <w:r w:rsidRPr="00B074B9">
              <w:rPr>
                <w:rFonts w:cs="Calibri"/>
                <w:color w:val="000000"/>
                <w:szCs w:val="16"/>
                <w:vertAlign w:val="subscript"/>
              </w:rPr>
              <w:t>2</w:t>
            </w:r>
            <w:r w:rsidRPr="00B074B9">
              <w:rPr>
                <w:rFonts w:cs="Calibri"/>
                <w:color w:val="000000"/>
                <w:szCs w:val="16"/>
              </w:rPr>
              <w:t>O </w:t>
            </w:r>
          </w:p>
        </w:tc>
        <w:tc>
          <w:tcPr>
            <w:tcW w:w="4252" w:type="dxa"/>
            <w:shd w:val="clear" w:color="auto" w:fill="FFFFFF" w:themeFill="background1"/>
            <w:tcMar>
              <w:left w:w="85" w:type="dxa"/>
              <w:right w:w="57" w:type="dxa"/>
            </w:tcMar>
            <w:hideMark/>
          </w:tcPr>
          <w:p w14:paraId="4B46E973" w14:textId="77777777" w:rsidR="009D798A" w:rsidRPr="00B074B9" w:rsidRDefault="009D798A" w:rsidP="00341FEF">
            <w:pPr>
              <w:pStyle w:val="TableText"/>
              <w:spacing w:before="40" w:after="40"/>
              <w:rPr>
                <w:rFonts w:cs="Calibri"/>
                <w:szCs w:val="16"/>
              </w:rPr>
            </w:pPr>
            <w:r w:rsidRPr="00B074B9">
              <w:rPr>
                <w:rFonts w:cs="Calibri"/>
                <w:szCs w:val="16"/>
              </w:rPr>
              <w:t>This category is not mandatory. The 2006 IPCC Guidelines for determining indirect nitrous oxide (N</w:t>
            </w:r>
            <w:r w:rsidRPr="00B074B9">
              <w:rPr>
                <w:rFonts w:cs="Calibri"/>
                <w:szCs w:val="16"/>
                <w:vertAlign w:val="subscript"/>
              </w:rPr>
              <w:t>2</w:t>
            </w:r>
            <w:r w:rsidRPr="00B074B9">
              <w:rPr>
                <w:rFonts w:cs="Calibri"/>
                <w:szCs w:val="16"/>
              </w:rPr>
              <w:t>O) emissions do not provide a methodology for estimating emissions from leaching and runoff (IPCC, 2006d). In addition, indirect N</w:t>
            </w:r>
            <w:r w:rsidRPr="00B074B9">
              <w:rPr>
                <w:rFonts w:cs="Calibri"/>
                <w:szCs w:val="16"/>
                <w:vertAlign w:val="subscript"/>
              </w:rPr>
              <w:t>2</w:t>
            </w:r>
            <w:r w:rsidRPr="00B074B9">
              <w:rPr>
                <w:rFonts w:cs="Calibri"/>
                <w:szCs w:val="16"/>
              </w:rPr>
              <w:t>O emissions from leaching and runoff are insignificant in New Zealand, because almost all livestock are kept outdoors all year round on pasture. </w:t>
            </w:r>
          </w:p>
        </w:tc>
      </w:tr>
      <w:tr w:rsidR="009D798A" w:rsidRPr="00B074B9" w14:paraId="2F259C0C" w14:textId="77777777" w:rsidTr="00052691">
        <w:tc>
          <w:tcPr>
            <w:tcW w:w="1276" w:type="dxa"/>
            <w:shd w:val="clear" w:color="auto" w:fill="FFFFFF" w:themeFill="background1"/>
            <w:tcMar>
              <w:left w:w="85" w:type="dxa"/>
              <w:right w:w="57" w:type="dxa"/>
            </w:tcMar>
            <w:hideMark/>
          </w:tcPr>
          <w:p w14:paraId="371E99DE" w14:textId="77777777" w:rsidR="009D798A" w:rsidRPr="00B074B9" w:rsidRDefault="009D798A" w:rsidP="00341FEF">
            <w:pPr>
              <w:pStyle w:val="TableText"/>
              <w:spacing w:before="40" w:after="40"/>
              <w:rPr>
                <w:rFonts w:cs="Calibri"/>
                <w:szCs w:val="16"/>
              </w:rPr>
            </w:pPr>
            <w:r w:rsidRPr="00B074B9">
              <w:rPr>
                <w:rFonts w:cs="Calibri"/>
                <w:color w:val="000000"/>
                <w:szCs w:val="16"/>
              </w:rPr>
              <w:t>3.I </w:t>
            </w:r>
          </w:p>
        </w:tc>
        <w:tc>
          <w:tcPr>
            <w:tcW w:w="1985" w:type="dxa"/>
            <w:shd w:val="clear" w:color="auto" w:fill="FFFFFF" w:themeFill="background1"/>
            <w:tcMar>
              <w:left w:w="85" w:type="dxa"/>
              <w:right w:w="57" w:type="dxa"/>
            </w:tcMar>
            <w:hideMark/>
          </w:tcPr>
          <w:p w14:paraId="2C019884" w14:textId="77777777" w:rsidR="009D798A" w:rsidRPr="00B074B9" w:rsidRDefault="009D798A" w:rsidP="00341FEF">
            <w:pPr>
              <w:pStyle w:val="TableText"/>
              <w:spacing w:before="40" w:after="40"/>
              <w:rPr>
                <w:rFonts w:cs="Calibri"/>
                <w:szCs w:val="16"/>
              </w:rPr>
            </w:pPr>
            <w:r w:rsidRPr="00B074B9">
              <w:rPr>
                <w:rFonts w:cs="Calibri"/>
                <w:color w:val="000000"/>
                <w:szCs w:val="16"/>
              </w:rPr>
              <w:t>Other carbon-containing fertilisers </w:t>
            </w:r>
          </w:p>
        </w:tc>
        <w:tc>
          <w:tcPr>
            <w:tcW w:w="992" w:type="dxa"/>
            <w:shd w:val="clear" w:color="auto" w:fill="FFFFFF" w:themeFill="background1"/>
            <w:tcMar>
              <w:left w:w="85" w:type="dxa"/>
              <w:right w:w="57" w:type="dxa"/>
            </w:tcMar>
            <w:hideMark/>
          </w:tcPr>
          <w:p w14:paraId="5444C2A3" w14:textId="77777777" w:rsidR="009D798A" w:rsidRPr="00B074B9" w:rsidRDefault="009D798A" w:rsidP="00341FEF">
            <w:pPr>
              <w:pStyle w:val="TableText"/>
              <w:spacing w:before="40" w:after="40"/>
              <w:rPr>
                <w:rFonts w:cs="Calibri"/>
                <w:szCs w:val="16"/>
              </w:rPr>
            </w:pPr>
            <w:r w:rsidRPr="00B074B9">
              <w:rPr>
                <w:rFonts w:cs="Calibri"/>
                <w:color w:val="000000"/>
                <w:szCs w:val="16"/>
              </w:rPr>
              <w:t>CO</w:t>
            </w:r>
            <w:r w:rsidRPr="00B074B9">
              <w:rPr>
                <w:rFonts w:cs="Calibri"/>
                <w:color w:val="000000"/>
                <w:szCs w:val="16"/>
                <w:vertAlign w:val="subscript"/>
              </w:rPr>
              <w:t>2</w:t>
            </w:r>
            <w:r w:rsidRPr="00B074B9">
              <w:rPr>
                <w:rFonts w:cs="Calibri"/>
                <w:color w:val="000000"/>
                <w:szCs w:val="16"/>
              </w:rPr>
              <w:t> </w:t>
            </w:r>
          </w:p>
        </w:tc>
        <w:tc>
          <w:tcPr>
            <w:tcW w:w="4252" w:type="dxa"/>
            <w:shd w:val="clear" w:color="auto" w:fill="FFFFFF" w:themeFill="background1"/>
            <w:tcMar>
              <w:left w:w="85" w:type="dxa"/>
              <w:right w:w="57" w:type="dxa"/>
            </w:tcMar>
            <w:hideMark/>
          </w:tcPr>
          <w:p w14:paraId="6CEBDA61" w14:textId="77777777" w:rsidR="009D798A" w:rsidRPr="00B074B9" w:rsidRDefault="009D798A" w:rsidP="00341FEF">
            <w:pPr>
              <w:pStyle w:val="TableText"/>
              <w:spacing w:before="40" w:after="40"/>
              <w:rPr>
                <w:rFonts w:cs="Calibri"/>
                <w:szCs w:val="16"/>
              </w:rPr>
            </w:pPr>
            <w:r w:rsidRPr="00B074B9">
              <w:rPr>
                <w:rFonts w:cs="Calibri"/>
                <w:szCs w:val="16"/>
              </w:rPr>
              <w:t>This category is not mandatory. The 2006 IPCC Guidelines do not provide guidance for reporting on other carbon-containing fertilisers (IPCC, 2006d). Other carbon-containing synthetic fertilisers besides limestone, dolomite and urea are not applied to agricultural land in New Zealand. </w:t>
            </w:r>
          </w:p>
        </w:tc>
      </w:tr>
      <w:tr w:rsidR="009D798A" w:rsidRPr="00B074B9" w14:paraId="46E6D569" w14:textId="77777777" w:rsidTr="001C28B4">
        <w:tc>
          <w:tcPr>
            <w:tcW w:w="8505" w:type="dxa"/>
            <w:gridSpan w:val="4"/>
            <w:shd w:val="clear" w:color="auto" w:fill="FFFFFF" w:themeFill="background1"/>
            <w:tcMar>
              <w:left w:w="85" w:type="dxa"/>
              <w:right w:w="57" w:type="dxa"/>
            </w:tcMar>
            <w:hideMark/>
          </w:tcPr>
          <w:p w14:paraId="50E045E9" w14:textId="77777777" w:rsidR="009D798A" w:rsidRPr="00B074B9" w:rsidRDefault="009D798A" w:rsidP="00341FEF">
            <w:pPr>
              <w:pStyle w:val="Tableboldblue"/>
              <w:spacing w:before="40" w:after="40"/>
              <w:rPr>
                <w:rFonts w:cs="Calibri"/>
                <w:szCs w:val="16"/>
              </w:rPr>
            </w:pPr>
            <w:r w:rsidRPr="00B074B9">
              <w:rPr>
                <w:rFonts w:cs="Calibri"/>
                <w:szCs w:val="16"/>
              </w:rPr>
              <w:t>Land Use, Land-Use Change and Forestry </w:t>
            </w:r>
          </w:p>
        </w:tc>
      </w:tr>
      <w:tr w:rsidR="009D798A" w:rsidRPr="00B074B9" w14:paraId="53B865E5" w14:textId="77777777" w:rsidTr="00052691">
        <w:tc>
          <w:tcPr>
            <w:tcW w:w="1276" w:type="dxa"/>
            <w:shd w:val="clear" w:color="auto" w:fill="auto"/>
            <w:tcMar>
              <w:left w:w="85" w:type="dxa"/>
              <w:right w:w="57" w:type="dxa"/>
            </w:tcMar>
            <w:hideMark/>
          </w:tcPr>
          <w:p w14:paraId="2095E7DA" w14:textId="77777777" w:rsidR="009D798A" w:rsidRPr="00B074B9" w:rsidRDefault="009D798A" w:rsidP="00341FEF">
            <w:pPr>
              <w:pStyle w:val="TableText"/>
              <w:spacing w:before="40" w:after="40"/>
              <w:rPr>
                <w:rFonts w:cs="Calibri"/>
                <w:szCs w:val="16"/>
              </w:rPr>
            </w:pPr>
            <w:r w:rsidRPr="00B074B9">
              <w:rPr>
                <w:rFonts w:cs="Calibri"/>
                <w:color w:val="000000"/>
                <w:szCs w:val="16"/>
              </w:rPr>
              <w:t>4.A, 4.B,4.C,4.D </w:t>
            </w:r>
          </w:p>
        </w:tc>
        <w:tc>
          <w:tcPr>
            <w:tcW w:w="1985" w:type="dxa"/>
            <w:shd w:val="clear" w:color="auto" w:fill="auto"/>
            <w:tcMar>
              <w:left w:w="85" w:type="dxa"/>
              <w:right w:w="57" w:type="dxa"/>
            </w:tcMar>
            <w:hideMark/>
          </w:tcPr>
          <w:p w14:paraId="31EC4D58" w14:textId="77777777" w:rsidR="009D798A" w:rsidRPr="00B074B9" w:rsidRDefault="009D798A" w:rsidP="00341FEF">
            <w:pPr>
              <w:pStyle w:val="TableText"/>
              <w:spacing w:before="40" w:after="40"/>
              <w:rPr>
                <w:rFonts w:cs="Calibri"/>
                <w:szCs w:val="16"/>
              </w:rPr>
            </w:pPr>
            <w:r w:rsidRPr="00B074B9">
              <w:rPr>
                <w:rFonts w:cs="Calibri"/>
                <w:color w:val="000000"/>
                <w:szCs w:val="16"/>
              </w:rPr>
              <w:t>Forest land, cropland, grassland and wetlands: Drainage and rewetting and other management of organic and mineral soils </w:t>
            </w:r>
          </w:p>
        </w:tc>
        <w:tc>
          <w:tcPr>
            <w:tcW w:w="992" w:type="dxa"/>
            <w:shd w:val="clear" w:color="auto" w:fill="auto"/>
            <w:tcMar>
              <w:left w:w="85" w:type="dxa"/>
              <w:right w:w="57" w:type="dxa"/>
            </w:tcMar>
            <w:hideMark/>
          </w:tcPr>
          <w:p w14:paraId="515FF6D2" w14:textId="180F0190" w:rsidR="009D798A" w:rsidRPr="00B074B9" w:rsidRDefault="009D798A" w:rsidP="00341FEF">
            <w:pPr>
              <w:pStyle w:val="TableText"/>
              <w:spacing w:before="40" w:after="40"/>
              <w:rPr>
                <w:rFonts w:cs="Calibri"/>
                <w:szCs w:val="16"/>
              </w:rPr>
            </w:pPr>
            <w:r w:rsidRPr="00B074B9">
              <w:rPr>
                <w:rFonts w:cs="Calibri"/>
                <w:color w:val="000000"/>
                <w:szCs w:val="16"/>
              </w:rPr>
              <w:t>CH</w:t>
            </w:r>
            <w:r w:rsidRPr="00B074B9">
              <w:rPr>
                <w:rFonts w:cs="Calibri"/>
                <w:color w:val="000000"/>
                <w:szCs w:val="16"/>
                <w:vertAlign w:val="subscript"/>
              </w:rPr>
              <w:t>4</w:t>
            </w:r>
            <w:r w:rsidRPr="00B074B9">
              <w:rPr>
                <w:rFonts w:cs="Calibri"/>
                <w:color w:val="000000"/>
                <w:szCs w:val="16"/>
              </w:rPr>
              <w:t>, N</w:t>
            </w:r>
            <w:r w:rsidRPr="00B074B9">
              <w:rPr>
                <w:rFonts w:cs="Calibri"/>
                <w:color w:val="000000"/>
                <w:szCs w:val="16"/>
                <w:vertAlign w:val="subscript"/>
              </w:rPr>
              <w:t>2</w:t>
            </w:r>
            <w:r w:rsidRPr="00B074B9">
              <w:rPr>
                <w:rFonts w:cs="Calibri"/>
                <w:color w:val="000000"/>
                <w:szCs w:val="16"/>
              </w:rPr>
              <w:t>O</w:t>
            </w:r>
          </w:p>
        </w:tc>
        <w:tc>
          <w:tcPr>
            <w:tcW w:w="4252" w:type="dxa"/>
            <w:shd w:val="clear" w:color="auto" w:fill="auto"/>
            <w:tcMar>
              <w:left w:w="85" w:type="dxa"/>
              <w:right w:w="57" w:type="dxa"/>
            </w:tcMar>
            <w:hideMark/>
          </w:tcPr>
          <w:p w14:paraId="698CA590" w14:textId="77777777" w:rsidR="009D798A" w:rsidRPr="00B074B9" w:rsidRDefault="009D798A" w:rsidP="00341FEF">
            <w:pPr>
              <w:pStyle w:val="TableText"/>
              <w:spacing w:before="40" w:after="40"/>
              <w:rPr>
                <w:rFonts w:cs="Calibri"/>
                <w:szCs w:val="16"/>
              </w:rPr>
            </w:pPr>
            <w:r w:rsidRPr="00B074B9">
              <w:rPr>
                <w:rFonts w:cs="Calibri"/>
                <w:szCs w:val="16"/>
              </w:rPr>
              <w:t xml:space="preserve">This category is not mandatory. No methodology is provided in the 2006 IPCC Guidelines for estimating emissions from this source category (IPCC, 2006d). </w:t>
            </w:r>
          </w:p>
        </w:tc>
      </w:tr>
      <w:tr w:rsidR="009D798A" w:rsidRPr="00B074B9" w14:paraId="4C6235C4" w14:textId="77777777" w:rsidTr="00052691">
        <w:tc>
          <w:tcPr>
            <w:tcW w:w="1276" w:type="dxa"/>
            <w:shd w:val="clear" w:color="auto" w:fill="auto"/>
            <w:tcMar>
              <w:left w:w="85" w:type="dxa"/>
              <w:right w:w="57" w:type="dxa"/>
            </w:tcMar>
            <w:hideMark/>
          </w:tcPr>
          <w:p w14:paraId="6429E133" w14:textId="77777777" w:rsidR="009D798A" w:rsidRPr="00B074B9" w:rsidRDefault="009D798A" w:rsidP="00341FEF">
            <w:pPr>
              <w:pStyle w:val="TableText"/>
              <w:spacing w:before="40" w:after="40"/>
              <w:rPr>
                <w:rFonts w:cs="Calibri"/>
                <w:szCs w:val="16"/>
              </w:rPr>
            </w:pPr>
            <w:r w:rsidRPr="00B074B9">
              <w:rPr>
                <w:rFonts w:cs="Calibri"/>
                <w:color w:val="000000"/>
                <w:szCs w:val="16"/>
              </w:rPr>
              <w:t>4.A.2 </w:t>
            </w:r>
          </w:p>
        </w:tc>
        <w:tc>
          <w:tcPr>
            <w:tcW w:w="1985" w:type="dxa"/>
            <w:shd w:val="clear" w:color="auto" w:fill="auto"/>
            <w:tcMar>
              <w:left w:w="85" w:type="dxa"/>
              <w:right w:w="57" w:type="dxa"/>
            </w:tcMar>
            <w:hideMark/>
          </w:tcPr>
          <w:p w14:paraId="35B147A8" w14:textId="77777777" w:rsidR="009D798A" w:rsidRPr="00B074B9" w:rsidRDefault="009D798A" w:rsidP="00341FEF">
            <w:pPr>
              <w:pStyle w:val="TableText"/>
              <w:spacing w:before="40" w:after="40"/>
              <w:rPr>
                <w:rFonts w:cs="Calibri"/>
                <w:szCs w:val="16"/>
              </w:rPr>
            </w:pPr>
            <w:r w:rsidRPr="00B074B9">
              <w:rPr>
                <w:rFonts w:cs="Calibri"/>
                <w:color w:val="000000"/>
                <w:szCs w:val="16"/>
              </w:rPr>
              <w:t>Settlements converted to other land uses </w:t>
            </w:r>
          </w:p>
        </w:tc>
        <w:tc>
          <w:tcPr>
            <w:tcW w:w="992" w:type="dxa"/>
            <w:shd w:val="clear" w:color="auto" w:fill="auto"/>
            <w:tcMar>
              <w:left w:w="85" w:type="dxa"/>
              <w:right w:w="57" w:type="dxa"/>
            </w:tcMar>
            <w:hideMark/>
          </w:tcPr>
          <w:p w14:paraId="6D16C19C" w14:textId="12BBA8EA" w:rsidR="009D798A" w:rsidRPr="00B074B9" w:rsidRDefault="009D798A" w:rsidP="00341FEF">
            <w:pPr>
              <w:pStyle w:val="TableText"/>
              <w:spacing w:before="40" w:after="40"/>
              <w:rPr>
                <w:rFonts w:cs="Calibri"/>
                <w:szCs w:val="16"/>
              </w:rPr>
            </w:pPr>
            <w:r w:rsidRPr="00B074B9">
              <w:rPr>
                <w:rFonts w:cs="Calibri"/>
                <w:color w:val="000000"/>
                <w:szCs w:val="16"/>
              </w:rPr>
              <w:t>CO</w:t>
            </w:r>
            <w:r w:rsidRPr="00B074B9">
              <w:rPr>
                <w:rFonts w:cs="Calibri"/>
                <w:color w:val="000000"/>
                <w:szCs w:val="16"/>
                <w:vertAlign w:val="subscript"/>
              </w:rPr>
              <w:t>2 (losses)</w:t>
            </w:r>
          </w:p>
        </w:tc>
        <w:tc>
          <w:tcPr>
            <w:tcW w:w="4252" w:type="dxa"/>
            <w:shd w:val="clear" w:color="auto" w:fill="auto"/>
            <w:tcMar>
              <w:left w:w="85" w:type="dxa"/>
              <w:right w:w="57" w:type="dxa"/>
            </w:tcMar>
            <w:hideMark/>
          </w:tcPr>
          <w:p w14:paraId="1D0E65C0" w14:textId="77777777" w:rsidR="009D798A" w:rsidRPr="00B074B9" w:rsidRDefault="009D798A" w:rsidP="00341FEF">
            <w:pPr>
              <w:pStyle w:val="TableText"/>
              <w:spacing w:before="40" w:after="40"/>
              <w:rPr>
                <w:rFonts w:cs="Calibri"/>
                <w:szCs w:val="16"/>
              </w:rPr>
            </w:pPr>
            <w:r w:rsidRPr="00B074B9">
              <w:rPr>
                <w:rFonts w:cs="Calibri"/>
                <w:szCs w:val="16"/>
              </w:rPr>
              <w:t xml:space="preserve">This category is not mandatory. No methodology is provided in the 2006 IPCC Guidelines for calculating Tier 1 estimates of carbon stocks in living biomass for </w:t>
            </w:r>
            <w:r w:rsidRPr="00B074B9">
              <w:rPr>
                <w:rFonts w:cs="Calibri"/>
                <w:i/>
                <w:iCs/>
                <w:szCs w:val="16"/>
              </w:rPr>
              <w:t>Settlements</w:t>
            </w:r>
            <w:r w:rsidRPr="00B074B9">
              <w:rPr>
                <w:rFonts w:cs="Calibri"/>
                <w:szCs w:val="16"/>
              </w:rPr>
              <w:t xml:space="preserve"> (IPCC, 2006d). Therefore, with land-use change from </w:t>
            </w:r>
            <w:r w:rsidRPr="00B074B9">
              <w:rPr>
                <w:rFonts w:cs="Calibri"/>
                <w:i/>
                <w:iCs/>
                <w:szCs w:val="16"/>
              </w:rPr>
              <w:t>Settlements</w:t>
            </w:r>
            <w:r w:rsidRPr="00B074B9">
              <w:rPr>
                <w:rFonts w:cs="Calibri"/>
                <w:szCs w:val="16"/>
              </w:rPr>
              <w:t xml:space="preserve"> to other land uses, no carbon stock loss is reported. Because New Zealand uses the stock change approach, losses are reported only in years when new land is converted to this category, or when there is harvesting of forest in the year of conversion. When neither of these activities occurs, the losses are reported with biomass gains (stock change approach) and ‘IE’ (included elsewhere) is reported for biomass losses. </w:t>
            </w:r>
          </w:p>
        </w:tc>
      </w:tr>
      <w:tr w:rsidR="009D798A" w:rsidRPr="00B074B9" w14:paraId="14764E2F" w14:textId="77777777" w:rsidTr="00052691">
        <w:tc>
          <w:tcPr>
            <w:tcW w:w="1276" w:type="dxa"/>
            <w:shd w:val="clear" w:color="auto" w:fill="auto"/>
            <w:tcMar>
              <w:left w:w="85" w:type="dxa"/>
              <w:right w:w="57" w:type="dxa"/>
            </w:tcMar>
            <w:hideMark/>
          </w:tcPr>
          <w:p w14:paraId="6EB570D3" w14:textId="77777777" w:rsidR="009D798A" w:rsidRPr="00B074B9" w:rsidRDefault="009D798A" w:rsidP="00341FEF">
            <w:pPr>
              <w:pStyle w:val="TableText"/>
              <w:spacing w:before="40" w:after="40"/>
              <w:rPr>
                <w:rFonts w:cs="Calibri"/>
                <w:szCs w:val="16"/>
              </w:rPr>
            </w:pPr>
            <w:r w:rsidRPr="00B074B9">
              <w:rPr>
                <w:rFonts w:cs="Calibri"/>
                <w:color w:val="000000"/>
                <w:szCs w:val="16"/>
              </w:rPr>
              <w:t>4.A.2, 4.C.2 </w:t>
            </w:r>
          </w:p>
        </w:tc>
        <w:tc>
          <w:tcPr>
            <w:tcW w:w="1985" w:type="dxa"/>
            <w:shd w:val="clear" w:color="auto" w:fill="auto"/>
            <w:tcMar>
              <w:left w:w="85" w:type="dxa"/>
              <w:right w:w="57" w:type="dxa"/>
            </w:tcMar>
            <w:hideMark/>
          </w:tcPr>
          <w:p w14:paraId="41B63993" w14:textId="77777777" w:rsidR="009D798A" w:rsidRPr="00B074B9" w:rsidRDefault="009D798A" w:rsidP="00341FEF">
            <w:pPr>
              <w:pStyle w:val="TableText"/>
              <w:spacing w:before="40" w:after="40"/>
              <w:rPr>
                <w:rFonts w:cs="Calibri"/>
                <w:szCs w:val="16"/>
              </w:rPr>
            </w:pPr>
            <w:r w:rsidRPr="00B074B9">
              <w:rPr>
                <w:rFonts w:cs="Calibri"/>
                <w:color w:val="000000"/>
                <w:szCs w:val="16"/>
              </w:rPr>
              <w:t>Other land converted to other land uses </w:t>
            </w:r>
          </w:p>
        </w:tc>
        <w:tc>
          <w:tcPr>
            <w:tcW w:w="992" w:type="dxa"/>
            <w:shd w:val="clear" w:color="auto" w:fill="auto"/>
            <w:tcMar>
              <w:left w:w="85" w:type="dxa"/>
              <w:right w:w="57" w:type="dxa"/>
            </w:tcMar>
            <w:hideMark/>
          </w:tcPr>
          <w:p w14:paraId="06CB9E0A" w14:textId="77777777" w:rsidR="009D798A" w:rsidRPr="00B074B9" w:rsidRDefault="009D798A" w:rsidP="00341FEF">
            <w:pPr>
              <w:pStyle w:val="TableText"/>
              <w:spacing w:before="40" w:after="40"/>
              <w:rPr>
                <w:rFonts w:cs="Calibri"/>
                <w:szCs w:val="16"/>
              </w:rPr>
            </w:pPr>
            <w:r w:rsidRPr="00B074B9">
              <w:rPr>
                <w:rFonts w:cs="Calibri"/>
                <w:color w:val="000000"/>
                <w:szCs w:val="16"/>
              </w:rPr>
              <w:t>CO</w:t>
            </w:r>
            <w:r w:rsidRPr="00B074B9">
              <w:rPr>
                <w:rFonts w:cs="Calibri"/>
                <w:color w:val="000000"/>
                <w:szCs w:val="16"/>
                <w:vertAlign w:val="subscript"/>
              </w:rPr>
              <w:t>2 (losses)</w:t>
            </w:r>
            <w:r w:rsidRPr="00B074B9">
              <w:rPr>
                <w:rFonts w:cs="Calibri"/>
                <w:color w:val="000000"/>
                <w:szCs w:val="16"/>
              </w:rPr>
              <w:t> </w:t>
            </w:r>
          </w:p>
        </w:tc>
        <w:tc>
          <w:tcPr>
            <w:tcW w:w="4252" w:type="dxa"/>
            <w:shd w:val="clear" w:color="auto" w:fill="auto"/>
            <w:tcMar>
              <w:left w:w="85" w:type="dxa"/>
              <w:right w:w="57" w:type="dxa"/>
            </w:tcMar>
            <w:hideMark/>
          </w:tcPr>
          <w:p w14:paraId="4C7A8CBF" w14:textId="77777777" w:rsidR="009D798A" w:rsidRPr="00B074B9" w:rsidRDefault="009D798A" w:rsidP="00341FEF">
            <w:pPr>
              <w:pStyle w:val="TableText"/>
              <w:spacing w:before="40" w:after="40"/>
              <w:rPr>
                <w:rFonts w:cs="Calibri"/>
                <w:szCs w:val="16"/>
              </w:rPr>
            </w:pPr>
            <w:r w:rsidRPr="00B074B9">
              <w:rPr>
                <w:rFonts w:cs="Calibri"/>
                <w:szCs w:val="16"/>
              </w:rPr>
              <w:t xml:space="preserve">This category is not mandatory. No methodology is provided in the 2006 IPCC Guidelines for calculating Tier 1 estimates of carbon stocks in living biomass for </w:t>
            </w:r>
            <w:r w:rsidRPr="00B074B9">
              <w:rPr>
                <w:rFonts w:cs="Calibri"/>
                <w:i/>
                <w:iCs/>
                <w:szCs w:val="16"/>
              </w:rPr>
              <w:t xml:space="preserve">Other land </w:t>
            </w:r>
            <w:r w:rsidRPr="00B074B9">
              <w:rPr>
                <w:rFonts w:cs="Calibri"/>
                <w:szCs w:val="16"/>
              </w:rPr>
              <w:t xml:space="preserve">(IPCC, 2006d). Therefore, with land-use change from </w:t>
            </w:r>
            <w:r w:rsidRPr="00B074B9">
              <w:rPr>
                <w:rFonts w:cs="Calibri"/>
                <w:i/>
                <w:iCs/>
                <w:szCs w:val="16"/>
              </w:rPr>
              <w:t>Other land</w:t>
            </w:r>
            <w:r w:rsidRPr="00B074B9">
              <w:rPr>
                <w:rFonts w:cs="Calibri"/>
                <w:szCs w:val="16"/>
              </w:rPr>
              <w:t xml:space="preserve"> to other land uses, no carbon stock loss is reported. Because New Zealand uses the stock change approach, losses are reported only in years when new land is converted to this category, or when there is harvesting of forest in the year of conversion. When neither of these activities occurs, the losses are reported with </w:t>
            </w:r>
            <w:r w:rsidRPr="00B074B9">
              <w:rPr>
                <w:rFonts w:cs="Calibri"/>
                <w:szCs w:val="16"/>
              </w:rPr>
              <w:lastRenderedPageBreak/>
              <w:t>biomass gains (stock change approach) and IE is reported for biomass losses. </w:t>
            </w:r>
          </w:p>
        </w:tc>
      </w:tr>
      <w:tr w:rsidR="009D798A" w:rsidRPr="00B074B9" w14:paraId="4764A250" w14:textId="77777777" w:rsidTr="00052691">
        <w:tc>
          <w:tcPr>
            <w:tcW w:w="1276" w:type="dxa"/>
            <w:shd w:val="clear" w:color="auto" w:fill="auto"/>
            <w:tcMar>
              <w:left w:w="85" w:type="dxa"/>
              <w:right w:w="57" w:type="dxa"/>
            </w:tcMar>
            <w:hideMark/>
          </w:tcPr>
          <w:p w14:paraId="19A22FE7" w14:textId="77777777" w:rsidR="009D798A" w:rsidRPr="00B074B9" w:rsidRDefault="009D798A" w:rsidP="00341FEF">
            <w:pPr>
              <w:pStyle w:val="TableText"/>
              <w:spacing w:before="40" w:after="40"/>
              <w:rPr>
                <w:rFonts w:cs="Calibri"/>
                <w:szCs w:val="16"/>
              </w:rPr>
            </w:pPr>
            <w:r w:rsidRPr="00B074B9">
              <w:rPr>
                <w:rFonts w:cs="Calibri"/>
                <w:color w:val="000000"/>
                <w:szCs w:val="16"/>
              </w:rPr>
              <w:lastRenderedPageBreak/>
              <w:t>4.A, 4.B, 4.C, 4.D, 4.F </w:t>
            </w:r>
          </w:p>
        </w:tc>
        <w:tc>
          <w:tcPr>
            <w:tcW w:w="1985" w:type="dxa"/>
            <w:shd w:val="clear" w:color="auto" w:fill="auto"/>
            <w:tcMar>
              <w:left w:w="85" w:type="dxa"/>
              <w:right w:w="57" w:type="dxa"/>
            </w:tcMar>
            <w:hideMark/>
          </w:tcPr>
          <w:p w14:paraId="7E1467B0" w14:textId="77777777" w:rsidR="009D798A" w:rsidRPr="00B074B9" w:rsidRDefault="009D798A" w:rsidP="00341FEF">
            <w:pPr>
              <w:pStyle w:val="TableText"/>
              <w:spacing w:before="40" w:after="40"/>
              <w:rPr>
                <w:rFonts w:cs="Calibri"/>
                <w:szCs w:val="16"/>
              </w:rPr>
            </w:pPr>
            <w:r w:rsidRPr="00B074B9">
              <w:rPr>
                <w:rFonts w:cs="Calibri"/>
                <w:color w:val="000000"/>
                <w:szCs w:val="16"/>
              </w:rPr>
              <w:t xml:space="preserve">Forest land, Cropland, Grassland, Wetlands and Other land: Rewetting and other management of organic and mineral soils </w:t>
            </w:r>
          </w:p>
        </w:tc>
        <w:tc>
          <w:tcPr>
            <w:tcW w:w="992" w:type="dxa"/>
            <w:shd w:val="clear" w:color="auto" w:fill="auto"/>
            <w:tcMar>
              <w:left w:w="85" w:type="dxa"/>
              <w:right w:w="57" w:type="dxa"/>
            </w:tcMar>
            <w:hideMark/>
          </w:tcPr>
          <w:p w14:paraId="6FDAC2AC" w14:textId="77777777" w:rsidR="009D798A" w:rsidRPr="00B074B9" w:rsidRDefault="009D798A" w:rsidP="00341FEF">
            <w:pPr>
              <w:pStyle w:val="TableText"/>
              <w:spacing w:before="40" w:after="40"/>
              <w:rPr>
                <w:rFonts w:cs="Calibri"/>
                <w:szCs w:val="16"/>
              </w:rPr>
            </w:pPr>
            <w:r w:rsidRPr="00B074B9">
              <w:rPr>
                <w:rFonts w:cs="Calibri"/>
                <w:color w:val="000000"/>
                <w:szCs w:val="16"/>
              </w:rPr>
              <w:t>CO</w:t>
            </w:r>
            <w:r w:rsidRPr="00B074B9">
              <w:rPr>
                <w:rFonts w:cs="Calibri"/>
                <w:color w:val="000000"/>
                <w:szCs w:val="16"/>
                <w:vertAlign w:val="subscript"/>
              </w:rPr>
              <w:t>2</w:t>
            </w:r>
            <w:r w:rsidRPr="00B074B9">
              <w:rPr>
                <w:rFonts w:cs="Calibri"/>
                <w:color w:val="000000"/>
                <w:szCs w:val="16"/>
              </w:rPr>
              <w:t> </w:t>
            </w:r>
          </w:p>
        </w:tc>
        <w:tc>
          <w:tcPr>
            <w:tcW w:w="4252" w:type="dxa"/>
            <w:shd w:val="clear" w:color="auto" w:fill="auto"/>
            <w:tcMar>
              <w:left w:w="85" w:type="dxa"/>
              <w:right w:w="57" w:type="dxa"/>
            </w:tcMar>
            <w:hideMark/>
          </w:tcPr>
          <w:p w14:paraId="366B2484" w14:textId="77777777" w:rsidR="009D798A" w:rsidRPr="00B074B9" w:rsidRDefault="009D798A" w:rsidP="00341FEF">
            <w:pPr>
              <w:pStyle w:val="TableText"/>
              <w:spacing w:before="40" w:after="40"/>
              <w:rPr>
                <w:rFonts w:cs="Calibri"/>
                <w:szCs w:val="16"/>
              </w:rPr>
            </w:pPr>
            <w:r w:rsidRPr="00B074B9">
              <w:rPr>
                <w:rFonts w:cs="Calibri"/>
                <w:szCs w:val="16"/>
              </w:rPr>
              <w:t>This category is not mandatory. No methodology is provided in the 2006 IPCC Guidelines for estimating emissions from this source category (IPCC, 2006d). </w:t>
            </w:r>
          </w:p>
        </w:tc>
      </w:tr>
      <w:tr w:rsidR="009D798A" w:rsidRPr="00B074B9" w14:paraId="6C7DCC27" w14:textId="77777777" w:rsidTr="00052691">
        <w:tc>
          <w:tcPr>
            <w:tcW w:w="1276" w:type="dxa"/>
            <w:shd w:val="clear" w:color="auto" w:fill="auto"/>
            <w:tcMar>
              <w:left w:w="85" w:type="dxa"/>
              <w:right w:w="57" w:type="dxa"/>
            </w:tcMar>
            <w:hideMark/>
          </w:tcPr>
          <w:p w14:paraId="7AB3A00A" w14:textId="77777777" w:rsidR="009D798A" w:rsidRPr="00B074B9" w:rsidRDefault="009D798A" w:rsidP="00341FEF">
            <w:pPr>
              <w:pStyle w:val="TableText"/>
              <w:spacing w:before="40" w:after="40"/>
              <w:rPr>
                <w:rFonts w:cs="Calibri"/>
                <w:szCs w:val="16"/>
              </w:rPr>
            </w:pPr>
            <w:r w:rsidRPr="00B074B9">
              <w:rPr>
                <w:rFonts w:cs="Calibri"/>
                <w:color w:val="000000"/>
                <w:szCs w:val="16"/>
              </w:rPr>
              <w:t>4.B.1, 4.B.2 </w:t>
            </w:r>
          </w:p>
        </w:tc>
        <w:tc>
          <w:tcPr>
            <w:tcW w:w="1985" w:type="dxa"/>
            <w:shd w:val="clear" w:color="auto" w:fill="auto"/>
            <w:tcMar>
              <w:left w:w="85" w:type="dxa"/>
              <w:right w:w="57" w:type="dxa"/>
            </w:tcMar>
            <w:hideMark/>
          </w:tcPr>
          <w:p w14:paraId="580F9CB0" w14:textId="77777777" w:rsidR="009D798A" w:rsidRPr="00B074B9" w:rsidRDefault="009D798A" w:rsidP="00341FEF">
            <w:pPr>
              <w:pStyle w:val="TableText"/>
              <w:spacing w:before="40" w:after="40"/>
              <w:rPr>
                <w:rFonts w:cs="Calibri"/>
                <w:szCs w:val="16"/>
              </w:rPr>
            </w:pPr>
            <w:r w:rsidRPr="00B074B9">
              <w:rPr>
                <w:rFonts w:cs="Calibri"/>
                <w:color w:val="000000"/>
                <w:szCs w:val="16"/>
              </w:rPr>
              <w:t>Land converted to cropland, Cropland remaining cropland </w:t>
            </w:r>
          </w:p>
        </w:tc>
        <w:tc>
          <w:tcPr>
            <w:tcW w:w="992" w:type="dxa"/>
            <w:shd w:val="clear" w:color="auto" w:fill="auto"/>
            <w:tcMar>
              <w:left w:w="85" w:type="dxa"/>
              <w:right w:w="57" w:type="dxa"/>
            </w:tcMar>
            <w:hideMark/>
          </w:tcPr>
          <w:p w14:paraId="69FAEBEB" w14:textId="77777777" w:rsidR="009D798A" w:rsidRPr="00B074B9" w:rsidRDefault="009D798A" w:rsidP="00341FEF">
            <w:pPr>
              <w:pStyle w:val="TableText"/>
              <w:spacing w:before="40" w:after="40"/>
              <w:rPr>
                <w:rFonts w:cs="Calibri"/>
                <w:szCs w:val="16"/>
              </w:rPr>
            </w:pPr>
            <w:r w:rsidRPr="00B074B9">
              <w:rPr>
                <w:rFonts w:cs="Calibri"/>
                <w:color w:val="000000"/>
                <w:szCs w:val="16"/>
              </w:rPr>
              <w:t>CO</w:t>
            </w:r>
            <w:r w:rsidRPr="00B074B9">
              <w:rPr>
                <w:rFonts w:cs="Calibri"/>
                <w:color w:val="000000"/>
                <w:szCs w:val="16"/>
                <w:vertAlign w:val="subscript"/>
              </w:rPr>
              <w:t>2 (deadwood)</w:t>
            </w:r>
            <w:r w:rsidRPr="00B074B9">
              <w:rPr>
                <w:rFonts w:cs="Calibri"/>
                <w:color w:val="000000"/>
                <w:szCs w:val="16"/>
              </w:rPr>
              <w:t> </w:t>
            </w:r>
          </w:p>
        </w:tc>
        <w:tc>
          <w:tcPr>
            <w:tcW w:w="4252" w:type="dxa"/>
            <w:shd w:val="clear" w:color="auto" w:fill="auto"/>
            <w:tcMar>
              <w:left w:w="85" w:type="dxa"/>
              <w:right w:w="57" w:type="dxa"/>
            </w:tcMar>
            <w:hideMark/>
          </w:tcPr>
          <w:p w14:paraId="5A398A5C" w14:textId="77777777" w:rsidR="009D798A" w:rsidRPr="00B074B9" w:rsidRDefault="009D798A" w:rsidP="00341FEF">
            <w:pPr>
              <w:pStyle w:val="TableText"/>
              <w:spacing w:before="40" w:after="40"/>
              <w:rPr>
                <w:rFonts w:cs="Calibri"/>
                <w:szCs w:val="16"/>
              </w:rPr>
            </w:pPr>
            <w:r w:rsidRPr="00B074B9">
              <w:rPr>
                <w:rFonts w:cs="Calibri"/>
                <w:szCs w:val="16"/>
              </w:rPr>
              <w:t>This category is not mandatory. No methodology is provided in the 2006 IPCC Guidelines for calculating Tier 1 estimates of carbon stock change in dead organic matter for land-use changes to this land use category (IPCC, 2006d). Any emissions reported are for loss of dead organic matter from the previous land use that occurs in the year of conversion. </w:t>
            </w:r>
          </w:p>
        </w:tc>
      </w:tr>
      <w:tr w:rsidR="009D798A" w:rsidRPr="00B074B9" w14:paraId="4C913392" w14:textId="77777777" w:rsidTr="00052691">
        <w:tc>
          <w:tcPr>
            <w:tcW w:w="1276" w:type="dxa"/>
            <w:shd w:val="clear" w:color="auto" w:fill="FFFFFF" w:themeFill="background1"/>
            <w:tcMar>
              <w:left w:w="85" w:type="dxa"/>
              <w:right w:w="57" w:type="dxa"/>
            </w:tcMar>
            <w:hideMark/>
          </w:tcPr>
          <w:p w14:paraId="310DE11D" w14:textId="77777777" w:rsidR="009D798A" w:rsidRPr="00B074B9" w:rsidRDefault="009D798A" w:rsidP="00341FEF">
            <w:pPr>
              <w:pStyle w:val="TableText"/>
              <w:spacing w:before="40" w:after="40"/>
              <w:rPr>
                <w:rFonts w:cs="Calibri"/>
                <w:szCs w:val="16"/>
              </w:rPr>
            </w:pPr>
            <w:r w:rsidRPr="00B074B9">
              <w:rPr>
                <w:rFonts w:cs="Calibri"/>
                <w:color w:val="000000"/>
                <w:szCs w:val="16"/>
              </w:rPr>
              <w:t>4.B.1 </w:t>
            </w:r>
          </w:p>
        </w:tc>
        <w:tc>
          <w:tcPr>
            <w:tcW w:w="1985" w:type="dxa"/>
            <w:shd w:val="clear" w:color="auto" w:fill="FFFFFF" w:themeFill="background1"/>
            <w:tcMar>
              <w:left w:w="85" w:type="dxa"/>
              <w:right w:w="57" w:type="dxa"/>
            </w:tcMar>
            <w:hideMark/>
          </w:tcPr>
          <w:p w14:paraId="7C81F391" w14:textId="77777777" w:rsidR="009D798A" w:rsidRPr="00B074B9" w:rsidRDefault="009D798A" w:rsidP="00341FEF">
            <w:pPr>
              <w:pStyle w:val="TableText"/>
              <w:spacing w:before="40" w:after="40"/>
              <w:rPr>
                <w:rFonts w:cs="Calibri"/>
                <w:szCs w:val="16"/>
              </w:rPr>
            </w:pPr>
            <w:r w:rsidRPr="00B074B9">
              <w:rPr>
                <w:rFonts w:cs="Calibri"/>
                <w:color w:val="000000"/>
                <w:szCs w:val="16"/>
              </w:rPr>
              <w:t>Cropland remaining cropland/4(V) Biomass burning/ Wildfires/ Cropland remaining cropland </w:t>
            </w:r>
          </w:p>
        </w:tc>
        <w:tc>
          <w:tcPr>
            <w:tcW w:w="992" w:type="dxa"/>
            <w:shd w:val="clear" w:color="auto" w:fill="FFFFFF" w:themeFill="background1"/>
            <w:tcMar>
              <w:left w:w="85" w:type="dxa"/>
              <w:right w:w="57" w:type="dxa"/>
            </w:tcMar>
            <w:hideMark/>
          </w:tcPr>
          <w:p w14:paraId="206A004F" w14:textId="77777777" w:rsidR="009D798A" w:rsidRPr="00B074B9" w:rsidRDefault="009D798A" w:rsidP="00341FEF">
            <w:pPr>
              <w:pStyle w:val="TableText"/>
              <w:spacing w:before="40" w:after="40"/>
              <w:rPr>
                <w:rFonts w:cs="Calibri"/>
                <w:szCs w:val="16"/>
              </w:rPr>
            </w:pPr>
            <w:r w:rsidRPr="00B074B9">
              <w:rPr>
                <w:rFonts w:cs="Calibri"/>
                <w:color w:val="000000"/>
                <w:szCs w:val="16"/>
              </w:rPr>
              <w:t>CH</w:t>
            </w:r>
            <w:r w:rsidRPr="00B074B9">
              <w:rPr>
                <w:rFonts w:cs="Calibri"/>
                <w:color w:val="000000"/>
                <w:szCs w:val="16"/>
                <w:vertAlign w:val="subscript"/>
              </w:rPr>
              <w:t>4</w:t>
            </w:r>
            <w:r w:rsidRPr="00B074B9">
              <w:rPr>
                <w:rFonts w:cs="Calibri"/>
                <w:color w:val="000000"/>
                <w:szCs w:val="16"/>
              </w:rPr>
              <w:t>, N</w:t>
            </w:r>
            <w:r w:rsidRPr="00B074B9">
              <w:rPr>
                <w:rFonts w:cs="Calibri"/>
                <w:color w:val="000000"/>
                <w:szCs w:val="16"/>
                <w:vertAlign w:val="subscript"/>
              </w:rPr>
              <w:t>2</w:t>
            </w:r>
            <w:r w:rsidRPr="00B074B9">
              <w:rPr>
                <w:rFonts w:cs="Calibri"/>
                <w:color w:val="000000"/>
                <w:szCs w:val="16"/>
              </w:rPr>
              <w:t>O </w:t>
            </w:r>
          </w:p>
        </w:tc>
        <w:tc>
          <w:tcPr>
            <w:tcW w:w="4252" w:type="dxa"/>
            <w:shd w:val="clear" w:color="auto" w:fill="FFFFFF" w:themeFill="background1"/>
            <w:tcMar>
              <w:left w:w="85" w:type="dxa"/>
              <w:right w:w="57" w:type="dxa"/>
            </w:tcMar>
            <w:hideMark/>
          </w:tcPr>
          <w:p w14:paraId="1D9A8947" w14:textId="77777777" w:rsidR="009D798A" w:rsidRPr="00B074B9" w:rsidRDefault="009D798A" w:rsidP="00341FEF">
            <w:pPr>
              <w:pStyle w:val="TableText"/>
              <w:spacing w:before="40" w:after="40"/>
              <w:rPr>
                <w:rFonts w:cs="Calibri"/>
                <w:szCs w:val="16"/>
              </w:rPr>
            </w:pPr>
            <w:r w:rsidRPr="00B074B9">
              <w:rPr>
                <w:rFonts w:cs="Calibri"/>
                <w:szCs w:val="16"/>
              </w:rPr>
              <w:t>New Zealand does not have sufficient information on biomass burning activities occurring in this category to reliably report on it. </w:t>
            </w:r>
          </w:p>
        </w:tc>
      </w:tr>
      <w:tr w:rsidR="009D798A" w:rsidRPr="00B074B9" w14:paraId="0099F4A9" w14:textId="77777777" w:rsidTr="00052691">
        <w:tc>
          <w:tcPr>
            <w:tcW w:w="1276" w:type="dxa"/>
            <w:shd w:val="clear" w:color="auto" w:fill="FFFFFF" w:themeFill="background1"/>
            <w:tcMar>
              <w:left w:w="85" w:type="dxa"/>
              <w:right w:w="57" w:type="dxa"/>
            </w:tcMar>
            <w:hideMark/>
          </w:tcPr>
          <w:p w14:paraId="79744C84" w14:textId="77777777" w:rsidR="009D798A" w:rsidRPr="00B074B9" w:rsidRDefault="009D798A" w:rsidP="00341FEF">
            <w:pPr>
              <w:pStyle w:val="TableText"/>
              <w:spacing w:before="40" w:after="40"/>
              <w:rPr>
                <w:rFonts w:cs="Calibri"/>
                <w:szCs w:val="16"/>
              </w:rPr>
            </w:pPr>
            <w:r w:rsidRPr="00B074B9">
              <w:rPr>
                <w:rFonts w:cs="Calibri"/>
                <w:color w:val="000000"/>
                <w:szCs w:val="16"/>
              </w:rPr>
              <w:t>4.B.2 </w:t>
            </w:r>
          </w:p>
        </w:tc>
        <w:tc>
          <w:tcPr>
            <w:tcW w:w="1985" w:type="dxa"/>
            <w:shd w:val="clear" w:color="auto" w:fill="FFFFFF" w:themeFill="background1"/>
            <w:tcMar>
              <w:left w:w="85" w:type="dxa"/>
              <w:right w:w="57" w:type="dxa"/>
            </w:tcMar>
            <w:hideMark/>
          </w:tcPr>
          <w:p w14:paraId="7DA8540B" w14:textId="77777777" w:rsidR="009D798A" w:rsidRPr="00B074B9" w:rsidRDefault="009D798A" w:rsidP="00341FEF">
            <w:pPr>
              <w:pStyle w:val="TableText"/>
              <w:spacing w:before="40" w:after="40"/>
              <w:rPr>
                <w:rFonts w:cs="Calibri"/>
                <w:szCs w:val="16"/>
              </w:rPr>
            </w:pPr>
            <w:r w:rsidRPr="00B074B9">
              <w:rPr>
                <w:rFonts w:cs="Calibri"/>
                <w:color w:val="000000"/>
                <w:szCs w:val="16"/>
              </w:rPr>
              <w:t>Land converted to cropland/4(V) Biomass burning/ Wildfires/ Land converted to cropland </w:t>
            </w:r>
          </w:p>
        </w:tc>
        <w:tc>
          <w:tcPr>
            <w:tcW w:w="992" w:type="dxa"/>
            <w:shd w:val="clear" w:color="auto" w:fill="FFFFFF" w:themeFill="background1"/>
            <w:tcMar>
              <w:left w:w="85" w:type="dxa"/>
              <w:right w:w="57" w:type="dxa"/>
            </w:tcMar>
            <w:hideMark/>
          </w:tcPr>
          <w:p w14:paraId="3DAD2002" w14:textId="77777777" w:rsidR="009D798A" w:rsidRPr="00B074B9" w:rsidRDefault="009D798A" w:rsidP="00341FEF">
            <w:pPr>
              <w:pStyle w:val="TableText"/>
              <w:spacing w:before="40" w:after="40"/>
              <w:rPr>
                <w:rFonts w:cs="Calibri"/>
                <w:szCs w:val="16"/>
              </w:rPr>
            </w:pPr>
            <w:r w:rsidRPr="00B074B9">
              <w:rPr>
                <w:rFonts w:cs="Calibri"/>
                <w:color w:val="000000"/>
                <w:szCs w:val="16"/>
              </w:rPr>
              <w:t>CH</w:t>
            </w:r>
            <w:r w:rsidRPr="00B074B9">
              <w:rPr>
                <w:rFonts w:cs="Calibri"/>
                <w:color w:val="000000"/>
                <w:szCs w:val="16"/>
                <w:vertAlign w:val="subscript"/>
              </w:rPr>
              <w:t>4</w:t>
            </w:r>
            <w:r w:rsidRPr="00B074B9">
              <w:rPr>
                <w:rFonts w:cs="Calibri"/>
                <w:color w:val="000000"/>
                <w:szCs w:val="16"/>
              </w:rPr>
              <w:t>, N</w:t>
            </w:r>
            <w:r w:rsidRPr="00B074B9">
              <w:rPr>
                <w:rFonts w:cs="Calibri"/>
                <w:color w:val="000000"/>
                <w:szCs w:val="16"/>
                <w:vertAlign w:val="subscript"/>
              </w:rPr>
              <w:t>2</w:t>
            </w:r>
            <w:r w:rsidRPr="00B074B9">
              <w:rPr>
                <w:rFonts w:cs="Calibri"/>
                <w:color w:val="000000"/>
                <w:szCs w:val="16"/>
              </w:rPr>
              <w:t>O </w:t>
            </w:r>
          </w:p>
        </w:tc>
        <w:tc>
          <w:tcPr>
            <w:tcW w:w="4252" w:type="dxa"/>
            <w:shd w:val="clear" w:color="auto" w:fill="FFFFFF" w:themeFill="background1"/>
            <w:tcMar>
              <w:left w:w="85" w:type="dxa"/>
              <w:right w:w="57" w:type="dxa"/>
            </w:tcMar>
            <w:hideMark/>
          </w:tcPr>
          <w:p w14:paraId="35B1C9DD" w14:textId="453E13E1" w:rsidR="009D798A" w:rsidRPr="00B074B9" w:rsidRDefault="009D798A" w:rsidP="00341FEF">
            <w:pPr>
              <w:pStyle w:val="TableText"/>
              <w:spacing w:before="40" w:after="40"/>
              <w:rPr>
                <w:rFonts w:cs="Calibri"/>
                <w:szCs w:val="16"/>
              </w:rPr>
            </w:pPr>
            <w:r w:rsidRPr="00B074B9">
              <w:rPr>
                <w:rFonts w:cs="Calibri"/>
                <w:szCs w:val="16"/>
              </w:rPr>
              <w:t>New Zealand does not have sufficient information on biomass burning activities occurring in this category to reliably report on</w:t>
            </w:r>
            <w:r w:rsidR="00C71113" w:rsidRPr="00B074B9">
              <w:rPr>
                <w:rFonts w:cs="Calibri"/>
                <w:szCs w:val="16"/>
              </w:rPr>
              <w:t> </w:t>
            </w:r>
            <w:r w:rsidRPr="00B074B9">
              <w:rPr>
                <w:rFonts w:cs="Calibri"/>
                <w:szCs w:val="16"/>
              </w:rPr>
              <w:t>it. </w:t>
            </w:r>
          </w:p>
        </w:tc>
      </w:tr>
      <w:tr w:rsidR="009D798A" w:rsidRPr="00B074B9" w14:paraId="57A5315A" w14:textId="77777777" w:rsidTr="00052691">
        <w:tc>
          <w:tcPr>
            <w:tcW w:w="1276" w:type="dxa"/>
            <w:shd w:val="clear" w:color="auto" w:fill="auto"/>
            <w:tcMar>
              <w:left w:w="85" w:type="dxa"/>
              <w:right w:w="57" w:type="dxa"/>
            </w:tcMar>
            <w:hideMark/>
          </w:tcPr>
          <w:p w14:paraId="2D4BB4EA" w14:textId="77777777" w:rsidR="009D798A" w:rsidRPr="00B074B9" w:rsidRDefault="009D798A" w:rsidP="00341FEF">
            <w:pPr>
              <w:pStyle w:val="TableText"/>
              <w:spacing w:before="40" w:after="40"/>
              <w:rPr>
                <w:rFonts w:cs="Calibri"/>
                <w:szCs w:val="16"/>
              </w:rPr>
            </w:pPr>
            <w:r w:rsidRPr="00B074B9">
              <w:rPr>
                <w:rFonts w:cs="Calibri"/>
                <w:color w:val="000000"/>
                <w:szCs w:val="16"/>
              </w:rPr>
              <w:t>4.C.1,4.C.2 </w:t>
            </w:r>
          </w:p>
        </w:tc>
        <w:tc>
          <w:tcPr>
            <w:tcW w:w="1985" w:type="dxa"/>
            <w:shd w:val="clear" w:color="auto" w:fill="auto"/>
            <w:tcMar>
              <w:left w:w="85" w:type="dxa"/>
              <w:right w:w="57" w:type="dxa"/>
            </w:tcMar>
            <w:hideMark/>
          </w:tcPr>
          <w:p w14:paraId="4C682D5B" w14:textId="77777777" w:rsidR="009D798A" w:rsidRPr="00B074B9" w:rsidRDefault="009D798A" w:rsidP="00341FEF">
            <w:pPr>
              <w:pStyle w:val="TableText"/>
              <w:spacing w:before="40" w:after="40"/>
              <w:rPr>
                <w:rFonts w:cs="Calibri"/>
                <w:szCs w:val="16"/>
              </w:rPr>
            </w:pPr>
            <w:r w:rsidRPr="00B074B9">
              <w:rPr>
                <w:rFonts w:cs="Calibri"/>
                <w:color w:val="000000"/>
                <w:szCs w:val="16"/>
              </w:rPr>
              <w:t>Land remaining grassland, Land converted to grassland </w:t>
            </w:r>
          </w:p>
        </w:tc>
        <w:tc>
          <w:tcPr>
            <w:tcW w:w="992" w:type="dxa"/>
            <w:shd w:val="clear" w:color="auto" w:fill="auto"/>
            <w:tcMar>
              <w:left w:w="85" w:type="dxa"/>
              <w:right w:w="57" w:type="dxa"/>
            </w:tcMar>
            <w:hideMark/>
          </w:tcPr>
          <w:p w14:paraId="53A0D1D0" w14:textId="77777777" w:rsidR="009D798A" w:rsidRPr="00B074B9" w:rsidRDefault="009D798A" w:rsidP="00341FEF">
            <w:pPr>
              <w:pStyle w:val="TableText"/>
              <w:spacing w:before="40" w:after="40"/>
              <w:rPr>
                <w:rFonts w:cs="Calibri"/>
                <w:szCs w:val="16"/>
              </w:rPr>
            </w:pPr>
            <w:r w:rsidRPr="00B074B9">
              <w:rPr>
                <w:rFonts w:cs="Calibri"/>
                <w:color w:val="000000"/>
                <w:szCs w:val="16"/>
              </w:rPr>
              <w:t>CO</w:t>
            </w:r>
            <w:r w:rsidRPr="00B074B9">
              <w:rPr>
                <w:rFonts w:cs="Calibri"/>
                <w:color w:val="000000"/>
                <w:szCs w:val="16"/>
                <w:vertAlign w:val="subscript"/>
              </w:rPr>
              <w:t>2 (deadwood)</w:t>
            </w:r>
            <w:r w:rsidRPr="00B074B9">
              <w:rPr>
                <w:rFonts w:cs="Calibri"/>
                <w:color w:val="000000"/>
                <w:szCs w:val="16"/>
              </w:rPr>
              <w:t> </w:t>
            </w:r>
          </w:p>
        </w:tc>
        <w:tc>
          <w:tcPr>
            <w:tcW w:w="4252" w:type="dxa"/>
            <w:shd w:val="clear" w:color="auto" w:fill="auto"/>
            <w:tcMar>
              <w:left w:w="85" w:type="dxa"/>
              <w:right w:w="57" w:type="dxa"/>
            </w:tcMar>
            <w:hideMark/>
          </w:tcPr>
          <w:p w14:paraId="5B9E0150" w14:textId="77777777" w:rsidR="009D798A" w:rsidRPr="00B074B9" w:rsidRDefault="009D798A" w:rsidP="00341FEF">
            <w:pPr>
              <w:pStyle w:val="TableText"/>
              <w:spacing w:before="40" w:after="40"/>
              <w:rPr>
                <w:rFonts w:cs="Calibri"/>
                <w:szCs w:val="16"/>
              </w:rPr>
            </w:pPr>
            <w:r w:rsidRPr="00B074B9">
              <w:rPr>
                <w:rFonts w:cs="Calibri"/>
                <w:szCs w:val="16"/>
              </w:rPr>
              <w:t>This category is not mandatory. No methodology is provided in the 2006 IPCC Guidelines for calculating Tier 1 estimates of carbon stock change in dead organic matter for land-use changes to this land use category (IPCC, 2006d). Any emissions reported are for loss of dead organic matter from the previous land use that occurs in the year of conversion. </w:t>
            </w:r>
          </w:p>
        </w:tc>
      </w:tr>
      <w:tr w:rsidR="009D798A" w:rsidRPr="00B074B9" w14:paraId="121E2CEF" w14:textId="77777777" w:rsidTr="00052691">
        <w:tc>
          <w:tcPr>
            <w:tcW w:w="1276" w:type="dxa"/>
            <w:shd w:val="clear" w:color="auto" w:fill="FFFFFF" w:themeFill="background1"/>
            <w:tcMar>
              <w:left w:w="85" w:type="dxa"/>
              <w:right w:w="57" w:type="dxa"/>
            </w:tcMar>
            <w:hideMark/>
          </w:tcPr>
          <w:p w14:paraId="77633AFC" w14:textId="77777777" w:rsidR="009D798A" w:rsidRPr="00B074B9" w:rsidRDefault="009D798A" w:rsidP="00341FEF">
            <w:pPr>
              <w:pStyle w:val="TableText"/>
              <w:spacing w:before="40" w:after="40"/>
              <w:rPr>
                <w:rFonts w:cs="Calibri"/>
                <w:szCs w:val="16"/>
              </w:rPr>
            </w:pPr>
            <w:r w:rsidRPr="00B074B9">
              <w:rPr>
                <w:rFonts w:cs="Calibri"/>
                <w:color w:val="000000"/>
                <w:szCs w:val="16"/>
              </w:rPr>
              <w:t>4.D.1 </w:t>
            </w:r>
          </w:p>
        </w:tc>
        <w:tc>
          <w:tcPr>
            <w:tcW w:w="1985" w:type="dxa"/>
            <w:shd w:val="clear" w:color="auto" w:fill="FFFFFF" w:themeFill="background1"/>
            <w:tcMar>
              <w:left w:w="85" w:type="dxa"/>
              <w:right w:w="57" w:type="dxa"/>
            </w:tcMar>
            <w:hideMark/>
          </w:tcPr>
          <w:p w14:paraId="34DAC7F7" w14:textId="77777777" w:rsidR="009D798A" w:rsidRPr="00B074B9" w:rsidRDefault="009D798A" w:rsidP="00341FEF">
            <w:pPr>
              <w:pStyle w:val="TableText"/>
              <w:spacing w:before="40" w:after="40"/>
              <w:rPr>
                <w:rFonts w:cs="Calibri"/>
                <w:szCs w:val="16"/>
              </w:rPr>
            </w:pPr>
            <w:r w:rsidRPr="00B074B9">
              <w:rPr>
                <w:rFonts w:cs="Calibri"/>
                <w:color w:val="000000"/>
                <w:szCs w:val="16"/>
              </w:rPr>
              <w:t>Wetlands remaining wetlands/4(V) Biomass burning/ Wildfires/ Wetlands remaining wetlands </w:t>
            </w:r>
          </w:p>
        </w:tc>
        <w:tc>
          <w:tcPr>
            <w:tcW w:w="992" w:type="dxa"/>
            <w:shd w:val="clear" w:color="auto" w:fill="FFFFFF" w:themeFill="background1"/>
            <w:tcMar>
              <w:left w:w="85" w:type="dxa"/>
              <w:right w:w="57" w:type="dxa"/>
            </w:tcMar>
            <w:hideMark/>
          </w:tcPr>
          <w:p w14:paraId="4836104B" w14:textId="77777777" w:rsidR="009D798A" w:rsidRPr="00B074B9" w:rsidRDefault="009D798A" w:rsidP="00341FEF">
            <w:pPr>
              <w:pStyle w:val="TableText"/>
              <w:spacing w:before="40" w:after="40"/>
              <w:rPr>
                <w:rFonts w:cs="Calibri"/>
                <w:szCs w:val="16"/>
              </w:rPr>
            </w:pPr>
            <w:r w:rsidRPr="00B074B9">
              <w:rPr>
                <w:rFonts w:cs="Calibri"/>
                <w:color w:val="000000"/>
                <w:szCs w:val="16"/>
              </w:rPr>
              <w:t>CH</w:t>
            </w:r>
            <w:r w:rsidRPr="00B074B9">
              <w:rPr>
                <w:rFonts w:cs="Calibri"/>
                <w:color w:val="000000"/>
                <w:szCs w:val="16"/>
                <w:vertAlign w:val="subscript"/>
              </w:rPr>
              <w:t>4</w:t>
            </w:r>
            <w:r w:rsidRPr="00B074B9">
              <w:rPr>
                <w:rFonts w:cs="Calibri"/>
                <w:color w:val="000000"/>
                <w:szCs w:val="16"/>
              </w:rPr>
              <w:t>, N</w:t>
            </w:r>
            <w:r w:rsidRPr="00B074B9">
              <w:rPr>
                <w:rFonts w:cs="Calibri"/>
                <w:color w:val="000000"/>
                <w:szCs w:val="16"/>
                <w:vertAlign w:val="subscript"/>
              </w:rPr>
              <w:t>2</w:t>
            </w:r>
            <w:r w:rsidRPr="00B074B9">
              <w:rPr>
                <w:rFonts w:cs="Calibri"/>
                <w:color w:val="000000"/>
                <w:szCs w:val="16"/>
              </w:rPr>
              <w:t>O </w:t>
            </w:r>
          </w:p>
        </w:tc>
        <w:tc>
          <w:tcPr>
            <w:tcW w:w="4252" w:type="dxa"/>
            <w:shd w:val="clear" w:color="auto" w:fill="FFFFFF" w:themeFill="background1"/>
            <w:tcMar>
              <w:left w:w="85" w:type="dxa"/>
              <w:right w:w="57" w:type="dxa"/>
            </w:tcMar>
            <w:hideMark/>
          </w:tcPr>
          <w:p w14:paraId="5D1BE49C" w14:textId="77777777" w:rsidR="009D798A" w:rsidRPr="00B074B9" w:rsidRDefault="009D798A" w:rsidP="00341FEF">
            <w:pPr>
              <w:pStyle w:val="TableText"/>
              <w:spacing w:before="40" w:after="40"/>
              <w:rPr>
                <w:rFonts w:cs="Calibri"/>
                <w:szCs w:val="16"/>
              </w:rPr>
            </w:pPr>
            <w:r w:rsidRPr="00B074B9">
              <w:rPr>
                <w:rFonts w:cs="Calibri"/>
                <w:szCs w:val="16"/>
              </w:rPr>
              <w:t>This category is not mandatory. No methodology is provided in the 2006 IPCC Guidelines for calculating Tier 1 estimates of carbon stock changes in organic soils for this land use category (IPCC, 2006d). New Zealand does not have sufficient information on biomass burning activities occurring in this category to reliably report on it. </w:t>
            </w:r>
          </w:p>
        </w:tc>
      </w:tr>
      <w:tr w:rsidR="009D798A" w:rsidRPr="00B074B9" w14:paraId="280FB44D" w14:textId="77777777" w:rsidTr="00052691">
        <w:tc>
          <w:tcPr>
            <w:tcW w:w="1276" w:type="dxa"/>
            <w:shd w:val="clear" w:color="auto" w:fill="auto"/>
            <w:tcMar>
              <w:left w:w="85" w:type="dxa"/>
              <w:right w:w="57" w:type="dxa"/>
            </w:tcMar>
            <w:hideMark/>
          </w:tcPr>
          <w:p w14:paraId="2AAE94C2" w14:textId="77777777" w:rsidR="009D798A" w:rsidRPr="00B074B9" w:rsidRDefault="009D798A" w:rsidP="00341FEF">
            <w:pPr>
              <w:pStyle w:val="TableText"/>
              <w:spacing w:before="40" w:after="40"/>
              <w:rPr>
                <w:rFonts w:cs="Calibri"/>
                <w:szCs w:val="16"/>
              </w:rPr>
            </w:pPr>
            <w:r w:rsidRPr="00B074B9">
              <w:rPr>
                <w:rFonts w:cs="Calibri"/>
                <w:color w:val="000000"/>
                <w:szCs w:val="16"/>
              </w:rPr>
              <w:t>4.D.1, 4.D.2 </w:t>
            </w:r>
          </w:p>
        </w:tc>
        <w:tc>
          <w:tcPr>
            <w:tcW w:w="1985" w:type="dxa"/>
            <w:shd w:val="clear" w:color="auto" w:fill="auto"/>
            <w:tcMar>
              <w:left w:w="85" w:type="dxa"/>
              <w:right w:w="57" w:type="dxa"/>
            </w:tcMar>
            <w:hideMark/>
          </w:tcPr>
          <w:p w14:paraId="068D9858" w14:textId="77777777" w:rsidR="009D798A" w:rsidRPr="00B074B9" w:rsidRDefault="009D798A" w:rsidP="00341FEF">
            <w:pPr>
              <w:pStyle w:val="TableText"/>
              <w:spacing w:before="40" w:after="40"/>
              <w:rPr>
                <w:rFonts w:cs="Calibri"/>
                <w:szCs w:val="16"/>
              </w:rPr>
            </w:pPr>
            <w:r w:rsidRPr="00B074B9">
              <w:rPr>
                <w:rFonts w:cs="Calibri"/>
                <w:color w:val="000000"/>
                <w:szCs w:val="16"/>
              </w:rPr>
              <w:t>Wetlands remaining wetlands, Land converted to wetlands (except transitions into and out of vegetated wetlands) </w:t>
            </w:r>
          </w:p>
        </w:tc>
        <w:tc>
          <w:tcPr>
            <w:tcW w:w="992" w:type="dxa"/>
            <w:shd w:val="clear" w:color="auto" w:fill="auto"/>
            <w:tcMar>
              <w:left w:w="85" w:type="dxa"/>
              <w:right w:w="57" w:type="dxa"/>
            </w:tcMar>
            <w:hideMark/>
          </w:tcPr>
          <w:p w14:paraId="011A0E7C" w14:textId="77777777" w:rsidR="009D798A" w:rsidRPr="00B074B9" w:rsidRDefault="009D798A" w:rsidP="00341FEF">
            <w:pPr>
              <w:pStyle w:val="TableText"/>
              <w:spacing w:before="40" w:after="40"/>
              <w:rPr>
                <w:rFonts w:cs="Calibri"/>
                <w:szCs w:val="16"/>
              </w:rPr>
            </w:pPr>
            <w:r w:rsidRPr="00B074B9">
              <w:rPr>
                <w:rFonts w:cs="Calibri"/>
                <w:color w:val="000000"/>
                <w:szCs w:val="16"/>
              </w:rPr>
              <w:t>CO</w:t>
            </w:r>
            <w:r w:rsidRPr="00B074B9">
              <w:rPr>
                <w:rFonts w:cs="Calibri"/>
                <w:color w:val="000000"/>
                <w:szCs w:val="16"/>
                <w:vertAlign w:val="subscript"/>
              </w:rPr>
              <w:t>2</w:t>
            </w:r>
            <w:r w:rsidRPr="00B074B9">
              <w:rPr>
                <w:rFonts w:cs="Calibri"/>
                <w:color w:val="000000"/>
                <w:szCs w:val="16"/>
              </w:rPr>
              <w:t> </w:t>
            </w:r>
          </w:p>
        </w:tc>
        <w:tc>
          <w:tcPr>
            <w:tcW w:w="4252" w:type="dxa"/>
            <w:shd w:val="clear" w:color="auto" w:fill="auto"/>
            <w:tcMar>
              <w:left w:w="85" w:type="dxa"/>
              <w:right w:w="57" w:type="dxa"/>
            </w:tcMar>
            <w:hideMark/>
          </w:tcPr>
          <w:p w14:paraId="5FAA6C75" w14:textId="77777777" w:rsidR="009D798A" w:rsidRPr="00B074B9" w:rsidRDefault="009D798A" w:rsidP="00341FEF">
            <w:pPr>
              <w:pStyle w:val="TableText"/>
              <w:spacing w:before="40" w:after="40"/>
              <w:rPr>
                <w:rFonts w:cs="Calibri"/>
                <w:szCs w:val="16"/>
              </w:rPr>
            </w:pPr>
            <w:r w:rsidRPr="00B074B9">
              <w:rPr>
                <w:rFonts w:cs="Calibri"/>
                <w:szCs w:val="16"/>
              </w:rPr>
              <w:t>This category is not mandatory. No methodology is provided in the 2006 IPCC Guidelines for calculating Tier 1 estimates of carbon stock change in this land use (IPCC, 2006d, Volume 4, chapter 7.3.1). </w:t>
            </w:r>
          </w:p>
        </w:tc>
      </w:tr>
      <w:tr w:rsidR="009D798A" w:rsidRPr="00B074B9" w14:paraId="255BE169" w14:textId="77777777" w:rsidTr="00052691">
        <w:tc>
          <w:tcPr>
            <w:tcW w:w="1276" w:type="dxa"/>
            <w:shd w:val="clear" w:color="auto" w:fill="auto"/>
            <w:tcMar>
              <w:left w:w="85" w:type="dxa"/>
              <w:right w:w="57" w:type="dxa"/>
            </w:tcMar>
            <w:hideMark/>
          </w:tcPr>
          <w:p w14:paraId="7D84AD35" w14:textId="77777777" w:rsidR="009D798A" w:rsidRPr="00B074B9" w:rsidRDefault="009D798A" w:rsidP="00341FEF">
            <w:pPr>
              <w:pStyle w:val="TableText"/>
              <w:spacing w:before="40" w:after="40"/>
              <w:rPr>
                <w:rFonts w:cs="Calibri"/>
                <w:szCs w:val="16"/>
              </w:rPr>
            </w:pPr>
            <w:r w:rsidRPr="00B074B9">
              <w:rPr>
                <w:rFonts w:cs="Calibri"/>
                <w:color w:val="000000"/>
                <w:szCs w:val="16"/>
              </w:rPr>
              <w:t>4.D.2 </w:t>
            </w:r>
          </w:p>
        </w:tc>
        <w:tc>
          <w:tcPr>
            <w:tcW w:w="1985" w:type="dxa"/>
            <w:shd w:val="clear" w:color="auto" w:fill="auto"/>
            <w:tcMar>
              <w:left w:w="85" w:type="dxa"/>
              <w:right w:w="57" w:type="dxa"/>
            </w:tcMar>
            <w:hideMark/>
          </w:tcPr>
          <w:p w14:paraId="65F5D625" w14:textId="77777777" w:rsidR="009D798A" w:rsidRPr="00B074B9" w:rsidRDefault="009D798A" w:rsidP="00341FEF">
            <w:pPr>
              <w:pStyle w:val="TableText"/>
              <w:spacing w:before="40" w:after="40"/>
              <w:rPr>
                <w:rFonts w:cs="Calibri"/>
                <w:szCs w:val="16"/>
              </w:rPr>
            </w:pPr>
            <w:r w:rsidRPr="00B074B9">
              <w:rPr>
                <w:rFonts w:cs="Calibri"/>
                <w:color w:val="000000"/>
                <w:szCs w:val="16"/>
              </w:rPr>
              <w:t>Land converted to wetlands/Land converted for peat extraction </w:t>
            </w:r>
          </w:p>
        </w:tc>
        <w:tc>
          <w:tcPr>
            <w:tcW w:w="992" w:type="dxa"/>
            <w:shd w:val="clear" w:color="auto" w:fill="auto"/>
            <w:tcMar>
              <w:left w:w="85" w:type="dxa"/>
              <w:right w:w="57" w:type="dxa"/>
            </w:tcMar>
            <w:hideMark/>
          </w:tcPr>
          <w:p w14:paraId="23252814" w14:textId="77777777" w:rsidR="009D798A" w:rsidRPr="00B074B9" w:rsidRDefault="009D798A" w:rsidP="00341FEF">
            <w:pPr>
              <w:pStyle w:val="TableText"/>
              <w:spacing w:before="40" w:after="40"/>
              <w:rPr>
                <w:rFonts w:cs="Calibri"/>
                <w:szCs w:val="16"/>
              </w:rPr>
            </w:pPr>
            <w:r w:rsidRPr="00B074B9">
              <w:rPr>
                <w:rFonts w:cs="Calibri"/>
                <w:color w:val="000000"/>
                <w:szCs w:val="16"/>
              </w:rPr>
              <w:t>CO</w:t>
            </w:r>
            <w:r w:rsidRPr="00B074B9">
              <w:rPr>
                <w:rFonts w:cs="Calibri"/>
                <w:color w:val="000000"/>
                <w:szCs w:val="16"/>
                <w:vertAlign w:val="subscript"/>
              </w:rPr>
              <w:t>2</w:t>
            </w:r>
            <w:r w:rsidRPr="00B074B9">
              <w:rPr>
                <w:rFonts w:cs="Calibri"/>
                <w:color w:val="000000"/>
                <w:szCs w:val="16"/>
              </w:rPr>
              <w:t> </w:t>
            </w:r>
          </w:p>
        </w:tc>
        <w:tc>
          <w:tcPr>
            <w:tcW w:w="4252" w:type="dxa"/>
            <w:shd w:val="clear" w:color="auto" w:fill="auto"/>
            <w:tcMar>
              <w:left w:w="85" w:type="dxa"/>
              <w:right w:w="57" w:type="dxa"/>
            </w:tcMar>
            <w:hideMark/>
          </w:tcPr>
          <w:p w14:paraId="637F4A8D" w14:textId="77777777" w:rsidR="009D798A" w:rsidRPr="00B074B9" w:rsidRDefault="009D798A" w:rsidP="00341FEF">
            <w:pPr>
              <w:pStyle w:val="TableText"/>
              <w:spacing w:before="40" w:after="40"/>
              <w:rPr>
                <w:rFonts w:cs="Calibri"/>
                <w:szCs w:val="16"/>
              </w:rPr>
            </w:pPr>
            <w:r w:rsidRPr="00B074B9">
              <w:rPr>
                <w:rFonts w:cs="Calibri"/>
                <w:szCs w:val="16"/>
              </w:rPr>
              <w:t>New Zealand does not have activity data available to report on this activity. </w:t>
            </w:r>
          </w:p>
        </w:tc>
      </w:tr>
      <w:tr w:rsidR="009D798A" w:rsidRPr="00B074B9" w14:paraId="21CA8565" w14:textId="77777777" w:rsidTr="00052691">
        <w:tc>
          <w:tcPr>
            <w:tcW w:w="1276" w:type="dxa"/>
            <w:shd w:val="clear" w:color="auto" w:fill="auto"/>
            <w:tcMar>
              <w:left w:w="85" w:type="dxa"/>
              <w:right w:w="57" w:type="dxa"/>
            </w:tcMar>
            <w:hideMark/>
          </w:tcPr>
          <w:p w14:paraId="50E338FC" w14:textId="77777777" w:rsidR="009D798A" w:rsidRPr="00B074B9" w:rsidRDefault="009D798A" w:rsidP="00341FEF">
            <w:pPr>
              <w:pStyle w:val="TableText"/>
              <w:spacing w:before="40" w:after="40"/>
              <w:rPr>
                <w:rFonts w:cs="Calibri"/>
                <w:szCs w:val="16"/>
              </w:rPr>
            </w:pPr>
            <w:r w:rsidRPr="00B074B9">
              <w:rPr>
                <w:rFonts w:cs="Calibri"/>
                <w:color w:val="000000"/>
                <w:szCs w:val="16"/>
              </w:rPr>
              <w:t>4.E.2 </w:t>
            </w:r>
          </w:p>
        </w:tc>
        <w:tc>
          <w:tcPr>
            <w:tcW w:w="1985" w:type="dxa"/>
            <w:shd w:val="clear" w:color="auto" w:fill="auto"/>
            <w:tcMar>
              <w:left w:w="85" w:type="dxa"/>
              <w:right w:w="57" w:type="dxa"/>
            </w:tcMar>
            <w:hideMark/>
          </w:tcPr>
          <w:p w14:paraId="380DEC18" w14:textId="77777777" w:rsidR="009D798A" w:rsidRPr="00B074B9" w:rsidRDefault="009D798A" w:rsidP="00341FEF">
            <w:pPr>
              <w:pStyle w:val="TableText"/>
              <w:spacing w:before="40" w:after="40"/>
              <w:rPr>
                <w:rFonts w:cs="Calibri"/>
                <w:szCs w:val="16"/>
              </w:rPr>
            </w:pPr>
            <w:r w:rsidRPr="00B074B9">
              <w:rPr>
                <w:rFonts w:cs="Calibri"/>
                <w:color w:val="000000"/>
                <w:szCs w:val="16"/>
              </w:rPr>
              <w:t>Land converted to settlements </w:t>
            </w:r>
          </w:p>
        </w:tc>
        <w:tc>
          <w:tcPr>
            <w:tcW w:w="992" w:type="dxa"/>
            <w:shd w:val="clear" w:color="auto" w:fill="auto"/>
            <w:tcMar>
              <w:left w:w="85" w:type="dxa"/>
              <w:right w:w="57" w:type="dxa"/>
            </w:tcMar>
            <w:hideMark/>
          </w:tcPr>
          <w:p w14:paraId="092738AD" w14:textId="77777777" w:rsidR="009D798A" w:rsidRPr="00B074B9" w:rsidRDefault="009D798A" w:rsidP="00341FEF">
            <w:pPr>
              <w:pStyle w:val="TableText"/>
              <w:spacing w:before="40" w:after="40"/>
              <w:rPr>
                <w:rFonts w:cs="Calibri"/>
                <w:szCs w:val="16"/>
              </w:rPr>
            </w:pPr>
            <w:r w:rsidRPr="00B074B9">
              <w:rPr>
                <w:rFonts w:cs="Calibri"/>
                <w:color w:val="000000"/>
                <w:szCs w:val="16"/>
              </w:rPr>
              <w:t>CO</w:t>
            </w:r>
            <w:r w:rsidRPr="00B074B9">
              <w:rPr>
                <w:rFonts w:cs="Calibri"/>
                <w:color w:val="000000"/>
                <w:szCs w:val="16"/>
                <w:vertAlign w:val="subscript"/>
              </w:rPr>
              <w:t>2</w:t>
            </w:r>
            <w:r w:rsidRPr="00B074B9">
              <w:rPr>
                <w:rFonts w:cs="Calibri"/>
                <w:color w:val="000000"/>
                <w:szCs w:val="16"/>
              </w:rPr>
              <w:t> </w:t>
            </w:r>
          </w:p>
        </w:tc>
        <w:tc>
          <w:tcPr>
            <w:tcW w:w="4252" w:type="dxa"/>
            <w:shd w:val="clear" w:color="auto" w:fill="auto"/>
            <w:tcMar>
              <w:left w:w="85" w:type="dxa"/>
              <w:right w:w="57" w:type="dxa"/>
            </w:tcMar>
            <w:hideMark/>
          </w:tcPr>
          <w:p w14:paraId="40B6042A" w14:textId="4D79272D" w:rsidR="009D798A" w:rsidRPr="00B074B9" w:rsidRDefault="009D798A" w:rsidP="00341FEF">
            <w:pPr>
              <w:pStyle w:val="TableText"/>
              <w:spacing w:before="40" w:after="40"/>
              <w:rPr>
                <w:rFonts w:cs="Calibri"/>
                <w:szCs w:val="16"/>
              </w:rPr>
            </w:pPr>
            <w:r w:rsidRPr="00B074B9">
              <w:rPr>
                <w:rFonts w:cs="Calibri"/>
                <w:szCs w:val="16"/>
              </w:rPr>
              <w:t>This category is not mandatory. Guidance is not provided for calculating Tier 1 estimates of carbon stock changes in organic soils for this land use category. Therefore</w:t>
            </w:r>
            <w:r w:rsidR="00DC5197" w:rsidRPr="00B074B9">
              <w:rPr>
                <w:rFonts w:cs="Calibri"/>
                <w:szCs w:val="16"/>
              </w:rPr>
              <w:t>,</w:t>
            </w:r>
            <w:r w:rsidRPr="00B074B9">
              <w:rPr>
                <w:rFonts w:cs="Calibri"/>
                <w:szCs w:val="16"/>
              </w:rPr>
              <w:t xml:space="preserve"> with land-use change to or from this land use on organic soils, New Zealand reports the notation key NE. </w:t>
            </w:r>
          </w:p>
        </w:tc>
      </w:tr>
      <w:tr w:rsidR="009D798A" w:rsidRPr="00B074B9" w14:paraId="51D62489" w14:textId="77777777" w:rsidTr="00052691">
        <w:tc>
          <w:tcPr>
            <w:tcW w:w="1276" w:type="dxa"/>
            <w:shd w:val="clear" w:color="auto" w:fill="auto"/>
            <w:tcMar>
              <w:left w:w="85" w:type="dxa"/>
              <w:right w:w="57" w:type="dxa"/>
            </w:tcMar>
            <w:hideMark/>
          </w:tcPr>
          <w:p w14:paraId="716C27C4" w14:textId="77777777" w:rsidR="009D798A" w:rsidRPr="00B074B9" w:rsidRDefault="009D798A" w:rsidP="00341FEF">
            <w:pPr>
              <w:pStyle w:val="TableText"/>
              <w:spacing w:before="40" w:after="40"/>
              <w:rPr>
                <w:rFonts w:cs="Calibri"/>
                <w:szCs w:val="16"/>
              </w:rPr>
            </w:pPr>
            <w:r w:rsidRPr="00B074B9">
              <w:rPr>
                <w:rFonts w:cs="Calibri"/>
                <w:color w:val="000000"/>
                <w:szCs w:val="16"/>
              </w:rPr>
              <w:t>4.F </w:t>
            </w:r>
          </w:p>
        </w:tc>
        <w:tc>
          <w:tcPr>
            <w:tcW w:w="1985" w:type="dxa"/>
            <w:shd w:val="clear" w:color="auto" w:fill="auto"/>
            <w:tcMar>
              <w:left w:w="85" w:type="dxa"/>
              <w:right w:w="57" w:type="dxa"/>
            </w:tcMar>
            <w:hideMark/>
          </w:tcPr>
          <w:p w14:paraId="5D3E6D42" w14:textId="77777777" w:rsidR="009D798A" w:rsidRPr="00B074B9" w:rsidRDefault="009D798A" w:rsidP="00341FEF">
            <w:pPr>
              <w:pStyle w:val="TableText"/>
              <w:spacing w:before="40" w:after="40"/>
              <w:rPr>
                <w:rFonts w:cs="Calibri"/>
                <w:szCs w:val="16"/>
              </w:rPr>
            </w:pPr>
            <w:r w:rsidRPr="00B074B9">
              <w:rPr>
                <w:rFonts w:cs="Calibri"/>
                <w:color w:val="000000"/>
                <w:szCs w:val="16"/>
              </w:rPr>
              <w:t>Other land/4(V) Biomass burning/Land converted to other land </w:t>
            </w:r>
          </w:p>
        </w:tc>
        <w:tc>
          <w:tcPr>
            <w:tcW w:w="992" w:type="dxa"/>
            <w:shd w:val="clear" w:color="auto" w:fill="auto"/>
            <w:tcMar>
              <w:left w:w="85" w:type="dxa"/>
              <w:right w:w="57" w:type="dxa"/>
            </w:tcMar>
            <w:hideMark/>
          </w:tcPr>
          <w:p w14:paraId="3EF25BE9" w14:textId="77777777" w:rsidR="009D798A" w:rsidRPr="00B074B9" w:rsidRDefault="009D798A" w:rsidP="00341FEF">
            <w:pPr>
              <w:pStyle w:val="TableText"/>
              <w:spacing w:before="40" w:after="40"/>
              <w:rPr>
                <w:rFonts w:cs="Calibri"/>
                <w:szCs w:val="16"/>
              </w:rPr>
            </w:pPr>
            <w:r w:rsidRPr="00B074B9">
              <w:rPr>
                <w:rFonts w:cs="Calibri"/>
                <w:color w:val="000000"/>
                <w:szCs w:val="16"/>
              </w:rPr>
              <w:t>CH</w:t>
            </w:r>
            <w:r w:rsidRPr="00B074B9">
              <w:rPr>
                <w:rFonts w:cs="Calibri"/>
                <w:color w:val="000000"/>
                <w:szCs w:val="16"/>
                <w:vertAlign w:val="subscript"/>
              </w:rPr>
              <w:t>4</w:t>
            </w:r>
            <w:r w:rsidRPr="00B074B9">
              <w:rPr>
                <w:rFonts w:cs="Calibri"/>
                <w:color w:val="000000"/>
                <w:szCs w:val="16"/>
              </w:rPr>
              <w:t>, N</w:t>
            </w:r>
            <w:r w:rsidRPr="00B074B9">
              <w:rPr>
                <w:rFonts w:cs="Calibri"/>
                <w:color w:val="000000"/>
                <w:szCs w:val="16"/>
                <w:vertAlign w:val="subscript"/>
              </w:rPr>
              <w:t>2</w:t>
            </w:r>
            <w:r w:rsidRPr="00B074B9">
              <w:rPr>
                <w:rFonts w:cs="Calibri"/>
                <w:color w:val="000000"/>
                <w:szCs w:val="16"/>
              </w:rPr>
              <w:t>O </w:t>
            </w:r>
          </w:p>
        </w:tc>
        <w:tc>
          <w:tcPr>
            <w:tcW w:w="4252" w:type="dxa"/>
            <w:shd w:val="clear" w:color="auto" w:fill="auto"/>
            <w:tcMar>
              <w:left w:w="85" w:type="dxa"/>
              <w:right w:w="57" w:type="dxa"/>
            </w:tcMar>
            <w:hideMark/>
          </w:tcPr>
          <w:p w14:paraId="72BCD8CD" w14:textId="77777777" w:rsidR="009D798A" w:rsidRPr="00B074B9" w:rsidRDefault="009D798A" w:rsidP="00341FEF">
            <w:pPr>
              <w:pStyle w:val="TableText"/>
              <w:spacing w:before="40" w:after="40"/>
              <w:rPr>
                <w:rFonts w:cs="Calibri"/>
                <w:szCs w:val="16"/>
              </w:rPr>
            </w:pPr>
            <w:r w:rsidRPr="00B074B9">
              <w:rPr>
                <w:rFonts w:cs="Calibri"/>
                <w:szCs w:val="16"/>
              </w:rPr>
              <w:t>This is a relatively minor activity in New Zealand due to the country’s temperate climate and rainfall distribution, and there is currently insufficient information to reliably report on it. </w:t>
            </w:r>
          </w:p>
        </w:tc>
      </w:tr>
      <w:tr w:rsidR="009D798A" w:rsidRPr="00B074B9" w14:paraId="24E691B1" w14:textId="77777777" w:rsidTr="00052691">
        <w:tc>
          <w:tcPr>
            <w:tcW w:w="1276" w:type="dxa"/>
            <w:shd w:val="clear" w:color="auto" w:fill="auto"/>
            <w:tcMar>
              <w:left w:w="85" w:type="dxa"/>
              <w:right w:w="57" w:type="dxa"/>
            </w:tcMar>
            <w:hideMark/>
          </w:tcPr>
          <w:p w14:paraId="1F44838C" w14:textId="77777777" w:rsidR="009D798A" w:rsidRPr="00B074B9" w:rsidRDefault="009D798A" w:rsidP="00341FEF">
            <w:pPr>
              <w:pStyle w:val="TableText"/>
              <w:spacing w:before="40" w:after="40"/>
              <w:rPr>
                <w:rFonts w:cs="Calibri"/>
                <w:szCs w:val="16"/>
              </w:rPr>
            </w:pPr>
            <w:r w:rsidRPr="00B074B9">
              <w:rPr>
                <w:rFonts w:cs="Calibri"/>
                <w:color w:val="000000"/>
                <w:szCs w:val="16"/>
              </w:rPr>
              <w:t>4.F.2 </w:t>
            </w:r>
          </w:p>
        </w:tc>
        <w:tc>
          <w:tcPr>
            <w:tcW w:w="1985" w:type="dxa"/>
            <w:shd w:val="clear" w:color="auto" w:fill="auto"/>
            <w:tcMar>
              <w:left w:w="85" w:type="dxa"/>
              <w:right w:w="57" w:type="dxa"/>
            </w:tcMar>
            <w:hideMark/>
          </w:tcPr>
          <w:p w14:paraId="22775B4B" w14:textId="77777777" w:rsidR="009D798A" w:rsidRPr="00B074B9" w:rsidRDefault="009D798A" w:rsidP="00341FEF">
            <w:pPr>
              <w:pStyle w:val="TableText"/>
              <w:spacing w:before="40" w:after="40"/>
              <w:rPr>
                <w:rFonts w:cs="Calibri"/>
                <w:szCs w:val="16"/>
              </w:rPr>
            </w:pPr>
            <w:r w:rsidRPr="00B074B9">
              <w:rPr>
                <w:rFonts w:cs="Calibri"/>
                <w:color w:val="000000"/>
                <w:szCs w:val="16"/>
              </w:rPr>
              <w:t>Land converted to other land </w:t>
            </w:r>
          </w:p>
        </w:tc>
        <w:tc>
          <w:tcPr>
            <w:tcW w:w="992" w:type="dxa"/>
            <w:shd w:val="clear" w:color="auto" w:fill="auto"/>
            <w:tcMar>
              <w:left w:w="85" w:type="dxa"/>
              <w:right w:w="57" w:type="dxa"/>
            </w:tcMar>
            <w:hideMark/>
          </w:tcPr>
          <w:p w14:paraId="57F60005" w14:textId="77777777" w:rsidR="009D798A" w:rsidRPr="00B074B9" w:rsidRDefault="009D798A" w:rsidP="00341FEF">
            <w:pPr>
              <w:pStyle w:val="TableText"/>
              <w:spacing w:before="40" w:after="40"/>
              <w:rPr>
                <w:rFonts w:cs="Calibri"/>
                <w:szCs w:val="16"/>
              </w:rPr>
            </w:pPr>
            <w:r w:rsidRPr="00B074B9">
              <w:rPr>
                <w:rFonts w:cs="Calibri"/>
                <w:color w:val="000000"/>
                <w:szCs w:val="16"/>
              </w:rPr>
              <w:t>CO</w:t>
            </w:r>
            <w:r w:rsidRPr="00B074B9">
              <w:rPr>
                <w:rFonts w:cs="Calibri"/>
                <w:color w:val="000000"/>
                <w:szCs w:val="16"/>
                <w:vertAlign w:val="subscript"/>
              </w:rPr>
              <w:t>2</w:t>
            </w:r>
            <w:r w:rsidRPr="00B074B9">
              <w:rPr>
                <w:rFonts w:cs="Calibri"/>
                <w:color w:val="000000"/>
                <w:szCs w:val="16"/>
              </w:rPr>
              <w:t> </w:t>
            </w:r>
          </w:p>
        </w:tc>
        <w:tc>
          <w:tcPr>
            <w:tcW w:w="4252" w:type="dxa"/>
            <w:shd w:val="clear" w:color="auto" w:fill="auto"/>
            <w:tcMar>
              <w:left w:w="85" w:type="dxa"/>
              <w:right w:w="57" w:type="dxa"/>
            </w:tcMar>
            <w:hideMark/>
          </w:tcPr>
          <w:p w14:paraId="136BAD5D" w14:textId="3BE0CE80" w:rsidR="009D798A" w:rsidRPr="00B074B9" w:rsidRDefault="009D798A" w:rsidP="00341FEF">
            <w:pPr>
              <w:pStyle w:val="TableText"/>
              <w:spacing w:before="40" w:after="40"/>
              <w:rPr>
                <w:rFonts w:cs="Calibri"/>
                <w:szCs w:val="16"/>
              </w:rPr>
            </w:pPr>
            <w:r w:rsidRPr="00B074B9">
              <w:rPr>
                <w:rFonts w:cs="Calibri"/>
                <w:szCs w:val="16"/>
              </w:rPr>
              <w:t>This category is not mandatory. Guidance is not provided for calculating Tier 1 estimates of carbon stock changes in organic soils for this land use category. Therefore</w:t>
            </w:r>
            <w:r w:rsidR="00DC5197" w:rsidRPr="00B074B9">
              <w:rPr>
                <w:rFonts w:cs="Calibri"/>
                <w:szCs w:val="16"/>
              </w:rPr>
              <w:t>,</w:t>
            </w:r>
            <w:r w:rsidRPr="00B074B9">
              <w:rPr>
                <w:rFonts w:cs="Calibri"/>
                <w:szCs w:val="16"/>
              </w:rPr>
              <w:t xml:space="preserve"> with land-use change to or from this land use on organic soils, New Zealand reports the notation key NE. </w:t>
            </w:r>
          </w:p>
        </w:tc>
      </w:tr>
      <w:tr w:rsidR="009D798A" w:rsidRPr="00B074B9" w14:paraId="3030E136" w14:textId="77777777" w:rsidTr="001C28B4">
        <w:tc>
          <w:tcPr>
            <w:tcW w:w="8505" w:type="dxa"/>
            <w:gridSpan w:val="4"/>
            <w:shd w:val="clear" w:color="auto" w:fill="auto"/>
            <w:tcMar>
              <w:left w:w="85" w:type="dxa"/>
              <w:right w:w="57" w:type="dxa"/>
            </w:tcMar>
            <w:hideMark/>
          </w:tcPr>
          <w:p w14:paraId="3C700306" w14:textId="77777777" w:rsidR="009D798A" w:rsidRPr="00B074B9" w:rsidRDefault="009D798A" w:rsidP="00341FEF">
            <w:pPr>
              <w:pStyle w:val="Tableboldblue"/>
              <w:spacing w:before="40" w:after="40"/>
              <w:rPr>
                <w:rFonts w:cs="Calibri"/>
                <w:szCs w:val="16"/>
              </w:rPr>
            </w:pPr>
            <w:r w:rsidRPr="00B074B9">
              <w:rPr>
                <w:rFonts w:cs="Calibri"/>
                <w:szCs w:val="16"/>
              </w:rPr>
              <w:t>Waste </w:t>
            </w:r>
          </w:p>
        </w:tc>
      </w:tr>
      <w:tr w:rsidR="009D798A" w:rsidRPr="00B074B9" w14:paraId="39343BE9" w14:textId="77777777" w:rsidTr="00052691">
        <w:tc>
          <w:tcPr>
            <w:tcW w:w="1276" w:type="dxa"/>
            <w:shd w:val="clear" w:color="auto" w:fill="FFFFFF" w:themeFill="background1"/>
            <w:tcMar>
              <w:left w:w="85" w:type="dxa"/>
              <w:right w:w="57" w:type="dxa"/>
            </w:tcMar>
            <w:hideMark/>
          </w:tcPr>
          <w:p w14:paraId="5E3C9AE6" w14:textId="77777777" w:rsidR="009D798A" w:rsidRPr="00B074B9" w:rsidRDefault="009D798A" w:rsidP="00341FEF">
            <w:pPr>
              <w:pStyle w:val="TableText"/>
              <w:spacing w:before="40" w:after="40"/>
              <w:rPr>
                <w:rFonts w:cs="Calibri"/>
                <w:szCs w:val="16"/>
              </w:rPr>
            </w:pPr>
            <w:r w:rsidRPr="00B074B9">
              <w:rPr>
                <w:rFonts w:cs="Calibri"/>
                <w:color w:val="000000" w:themeColor="text1"/>
                <w:szCs w:val="16"/>
              </w:rPr>
              <w:t>5.B.2.a </w:t>
            </w:r>
          </w:p>
        </w:tc>
        <w:tc>
          <w:tcPr>
            <w:tcW w:w="1985" w:type="dxa"/>
            <w:shd w:val="clear" w:color="auto" w:fill="FFFFFF" w:themeFill="background1"/>
            <w:tcMar>
              <w:left w:w="85" w:type="dxa"/>
              <w:right w:w="57" w:type="dxa"/>
            </w:tcMar>
            <w:hideMark/>
          </w:tcPr>
          <w:p w14:paraId="560F51EE" w14:textId="77777777" w:rsidR="009D798A" w:rsidRPr="00B074B9" w:rsidRDefault="009D798A" w:rsidP="00341FEF">
            <w:pPr>
              <w:pStyle w:val="TableText"/>
              <w:spacing w:before="40" w:after="40"/>
              <w:rPr>
                <w:rFonts w:cs="Calibri"/>
                <w:szCs w:val="16"/>
              </w:rPr>
            </w:pPr>
            <w:r w:rsidRPr="00B074B9">
              <w:rPr>
                <w:rFonts w:cs="Calibri"/>
                <w:color w:val="000000" w:themeColor="text1"/>
                <w:szCs w:val="16"/>
              </w:rPr>
              <w:t xml:space="preserve">Anaerobic digestion of municipal solid waste </w:t>
            </w:r>
          </w:p>
        </w:tc>
        <w:tc>
          <w:tcPr>
            <w:tcW w:w="992" w:type="dxa"/>
            <w:shd w:val="clear" w:color="auto" w:fill="FFFFFF" w:themeFill="background1"/>
            <w:tcMar>
              <w:left w:w="85" w:type="dxa"/>
              <w:right w:w="57" w:type="dxa"/>
            </w:tcMar>
            <w:hideMark/>
          </w:tcPr>
          <w:p w14:paraId="24C6F247" w14:textId="77777777" w:rsidR="009D798A" w:rsidRPr="00B074B9" w:rsidRDefault="009D798A" w:rsidP="00341FEF">
            <w:pPr>
              <w:pStyle w:val="TableText"/>
              <w:spacing w:before="40" w:after="40"/>
              <w:rPr>
                <w:rFonts w:cs="Calibri"/>
                <w:szCs w:val="16"/>
              </w:rPr>
            </w:pPr>
            <w:r w:rsidRPr="00B074B9">
              <w:rPr>
                <w:rFonts w:cs="Calibri"/>
                <w:color w:val="000000" w:themeColor="text1"/>
                <w:szCs w:val="16"/>
              </w:rPr>
              <w:t>Amount of CH</w:t>
            </w:r>
            <w:r w:rsidRPr="00B074B9">
              <w:rPr>
                <w:rFonts w:cs="Calibri"/>
                <w:color w:val="000000" w:themeColor="text1"/>
                <w:szCs w:val="16"/>
                <w:vertAlign w:val="subscript"/>
              </w:rPr>
              <w:t>4</w:t>
            </w:r>
            <w:r w:rsidRPr="00B074B9">
              <w:rPr>
                <w:rFonts w:cs="Calibri"/>
                <w:color w:val="000000" w:themeColor="text1"/>
                <w:szCs w:val="16"/>
              </w:rPr>
              <w:t xml:space="preserve"> flared and for energy recovery </w:t>
            </w:r>
          </w:p>
        </w:tc>
        <w:tc>
          <w:tcPr>
            <w:tcW w:w="4252" w:type="dxa"/>
            <w:shd w:val="clear" w:color="auto" w:fill="FFFFFF" w:themeFill="background1"/>
            <w:tcMar>
              <w:left w:w="85" w:type="dxa"/>
              <w:right w:w="57" w:type="dxa"/>
            </w:tcMar>
            <w:hideMark/>
          </w:tcPr>
          <w:p w14:paraId="7F4946F6" w14:textId="77777777" w:rsidR="009D798A" w:rsidRPr="00B074B9" w:rsidRDefault="009D798A" w:rsidP="00341FEF">
            <w:pPr>
              <w:pStyle w:val="TableText"/>
              <w:spacing w:before="40" w:after="40"/>
              <w:rPr>
                <w:rFonts w:cs="Calibri"/>
                <w:szCs w:val="16"/>
              </w:rPr>
            </w:pPr>
            <w:r w:rsidRPr="00B074B9">
              <w:rPr>
                <w:rFonts w:cs="Calibri"/>
                <w:szCs w:val="16"/>
              </w:rPr>
              <w:t>The amount of CH</w:t>
            </w:r>
            <w:r w:rsidRPr="00B074B9">
              <w:rPr>
                <w:rFonts w:cs="Calibri"/>
                <w:szCs w:val="16"/>
                <w:vertAlign w:val="subscript"/>
              </w:rPr>
              <w:t>4</w:t>
            </w:r>
            <w:r w:rsidRPr="00B074B9">
              <w:rPr>
                <w:rFonts w:cs="Calibri"/>
                <w:szCs w:val="16"/>
              </w:rPr>
              <w:t xml:space="preserve"> flared does not contribute to New Zealand’s total emissions because it produces biogenic CO</w:t>
            </w:r>
            <w:r w:rsidRPr="00B074B9">
              <w:rPr>
                <w:rFonts w:cs="Calibri"/>
                <w:szCs w:val="16"/>
                <w:vertAlign w:val="subscript"/>
              </w:rPr>
              <w:t>2</w:t>
            </w:r>
            <w:r w:rsidRPr="00B074B9">
              <w:rPr>
                <w:rFonts w:cs="Calibri"/>
                <w:szCs w:val="16"/>
              </w:rPr>
              <w:t xml:space="preserve"> (as described in the 2006 IPCC Guidelines under section 4.1.1, IPCC, 2006e).</w:t>
            </w:r>
          </w:p>
        </w:tc>
      </w:tr>
      <w:tr w:rsidR="009D798A" w:rsidRPr="00B074B9" w14:paraId="1B463277" w14:textId="77777777" w:rsidTr="00052691">
        <w:tc>
          <w:tcPr>
            <w:tcW w:w="1276" w:type="dxa"/>
            <w:shd w:val="clear" w:color="auto" w:fill="FFFFFF" w:themeFill="background1"/>
            <w:tcMar>
              <w:left w:w="85" w:type="dxa"/>
              <w:right w:w="57" w:type="dxa"/>
            </w:tcMar>
            <w:hideMark/>
          </w:tcPr>
          <w:p w14:paraId="23EB2CE4" w14:textId="77777777" w:rsidR="009D798A" w:rsidRPr="00B074B9" w:rsidRDefault="009D798A" w:rsidP="00341FEF">
            <w:pPr>
              <w:pStyle w:val="TableText"/>
              <w:spacing w:before="40" w:after="40"/>
              <w:rPr>
                <w:rFonts w:cs="Calibri"/>
                <w:szCs w:val="16"/>
              </w:rPr>
            </w:pPr>
            <w:r w:rsidRPr="00B074B9">
              <w:rPr>
                <w:rFonts w:cs="Calibri"/>
                <w:color w:val="000000"/>
                <w:szCs w:val="16"/>
              </w:rPr>
              <w:lastRenderedPageBreak/>
              <w:t>5.C.1.b.i</w:t>
            </w:r>
          </w:p>
        </w:tc>
        <w:tc>
          <w:tcPr>
            <w:tcW w:w="1985" w:type="dxa"/>
            <w:shd w:val="clear" w:color="auto" w:fill="FFFFFF" w:themeFill="background1"/>
            <w:tcMar>
              <w:left w:w="85" w:type="dxa"/>
              <w:right w:w="57" w:type="dxa"/>
            </w:tcMar>
            <w:hideMark/>
          </w:tcPr>
          <w:p w14:paraId="1025F91A" w14:textId="77777777" w:rsidR="009D798A" w:rsidRPr="00B074B9" w:rsidRDefault="009D798A" w:rsidP="00341FEF">
            <w:pPr>
              <w:pStyle w:val="TableText"/>
              <w:spacing w:before="40" w:after="40"/>
              <w:rPr>
                <w:rFonts w:cs="Calibri"/>
                <w:szCs w:val="16"/>
              </w:rPr>
            </w:pPr>
            <w:r w:rsidRPr="00B074B9">
              <w:rPr>
                <w:rFonts w:cs="Calibri"/>
                <w:color w:val="000000"/>
                <w:szCs w:val="16"/>
              </w:rPr>
              <w:t>Incineration of municipal solid waste </w:t>
            </w:r>
          </w:p>
        </w:tc>
        <w:tc>
          <w:tcPr>
            <w:tcW w:w="992" w:type="dxa"/>
            <w:shd w:val="clear" w:color="auto" w:fill="FFFFFF" w:themeFill="background1"/>
            <w:tcMar>
              <w:left w:w="85" w:type="dxa"/>
              <w:right w:w="57" w:type="dxa"/>
            </w:tcMar>
            <w:hideMark/>
          </w:tcPr>
          <w:p w14:paraId="1BD21EDB" w14:textId="77777777" w:rsidR="009D798A" w:rsidRPr="00B074B9" w:rsidRDefault="009D798A" w:rsidP="00341FEF">
            <w:pPr>
              <w:pStyle w:val="TableText"/>
              <w:spacing w:before="40" w:after="40"/>
              <w:rPr>
                <w:rFonts w:cs="Calibri"/>
                <w:szCs w:val="16"/>
              </w:rPr>
            </w:pPr>
            <w:r w:rsidRPr="00B074B9">
              <w:rPr>
                <w:rFonts w:cs="Calibri"/>
                <w:color w:val="000000"/>
                <w:szCs w:val="16"/>
              </w:rPr>
              <w:t>CO</w:t>
            </w:r>
            <w:r w:rsidRPr="00B074B9">
              <w:rPr>
                <w:rFonts w:cs="Calibri"/>
                <w:color w:val="000000"/>
                <w:szCs w:val="16"/>
                <w:vertAlign w:val="subscript"/>
              </w:rPr>
              <w:t>2</w:t>
            </w:r>
            <w:r w:rsidRPr="00B074B9">
              <w:rPr>
                <w:rFonts w:cs="Calibri"/>
                <w:color w:val="000000"/>
                <w:szCs w:val="16"/>
              </w:rPr>
              <w:t>, CH</w:t>
            </w:r>
            <w:r w:rsidRPr="00B074B9">
              <w:rPr>
                <w:rFonts w:cs="Calibri"/>
                <w:color w:val="000000"/>
                <w:szCs w:val="16"/>
                <w:vertAlign w:val="subscript"/>
              </w:rPr>
              <w:t>4</w:t>
            </w:r>
            <w:r w:rsidRPr="00B074B9">
              <w:rPr>
                <w:rFonts w:cs="Calibri"/>
                <w:color w:val="000000"/>
                <w:szCs w:val="16"/>
              </w:rPr>
              <w:t>, N</w:t>
            </w:r>
            <w:r w:rsidRPr="00B074B9">
              <w:rPr>
                <w:rFonts w:cs="Calibri"/>
                <w:color w:val="000000"/>
                <w:szCs w:val="16"/>
                <w:vertAlign w:val="subscript"/>
              </w:rPr>
              <w:t>2</w:t>
            </w:r>
            <w:r w:rsidRPr="00B074B9">
              <w:rPr>
                <w:rFonts w:cs="Calibri"/>
                <w:color w:val="000000"/>
                <w:szCs w:val="16"/>
              </w:rPr>
              <w:t>O </w:t>
            </w:r>
          </w:p>
        </w:tc>
        <w:tc>
          <w:tcPr>
            <w:tcW w:w="4252" w:type="dxa"/>
            <w:shd w:val="clear" w:color="auto" w:fill="FFFFFF" w:themeFill="background1"/>
            <w:tcMar>
              <w:left w:w="85" w:type="dxa"/>
              <w:right w:w="57" w:type="dxa"/>
            </w:tcMar>
            <w:hideMark/>
          </w:tcPr>
          <w:p w14:paraId="66F68B2D" w14:textId="77777777" w:rsidR="009D798A" w:rsidRPr="00B074B9" w:rsidRDefault="009D798A" w:rsidP="00341FEF">
            <w:pPr>
              <w:pStyle w:val="TableText"/>
              <w:spacing w:before="40" w:after="40"/>
              <w:rPr>
                <w:rFonts w:cs="Calibri"/>
                <w:szCs w:val="16"/>
              </w:rPr>
            </w:pPr>
            <w:r w:rsidRPr="00B074B9">
              <w:rPr>
                <w:rFonts w:cs="Calibri"/>
                <w:szCs w:val="16"/>
              </w:rPr>
              <w:t>In accordance with chapter II of the Annex to the decision 18/CMA.1 (UNFCCC, 2018b), this category is not mandatory. Around 100–200 rural schools in New Zealand still incinerate their waste production. Estimates indicate this practice emits 0.06 kt CO</w:t>
            </w:r>
            <w:r w:rsidRPr="00B074B9">
              <w:rPr>
                <w:rFonts w:cs="Calibri"/>
                <w:szCs w:val="16"/>
                <w:vertAlign w:val="subscript"/>
              </w:rPr>
              <w:t>2</w:t>
            </w:r>
            <w:r w:rsidRPr="00B074B9">
              <w:rPr>
                <w:rFonts w:cs="Calibri"/>
                <w:szCs w:val="16"/>
              </w:rPr>
              <w:t xml:space="preserve">-e per year. Emissions are not estimated because New Zealand does not have sufficient information regarding the practice of incinerating waste in schools, and the estimated amount is below the significance threshold. </w:t>
            </w:r>
          </w:p>
        </w:tc>
      </w:tr>
      <w:tr w:rsidR="009D798A" w:rsidRPr="00B074B9" w14:paraId="68943846" w14:textId="77777777" w:rsidTr="00052691">
        <w:tc>
          <w:tcPr>
            <w:tcW w:w="1276" w:type="dxa"/>
            <w:shd w:val="clear" w:color="auto" w:fill="FFFFFF" w:themeFill="background1"/>
            <w:tcMar>
              <w:left w:w="85" w:type="dxa"/>
              <w:right w:w="57" w:type="dxa"/>
            </w:tcMar>
            <w:hideMark/>
          </w:tcPr>
          <w:p w14:paraId="6F0AAF08" w14:textId="77777777" w:rsidR="009D798A" w:rsidRPr="00B074B9" w:rsidRDefault="009D798A" w:rsidP="00341FEF">
            <w:pPr>
              <w:pStyle w:val="TableText"/>
              <w:spacing w:before="40" w:after="40"/>
              <w:rPr>
                <w:rFonts w:cs="Calibri"/>
                <w:szCs w:val="16"/>
              </w:rPr>
            </w:pPr>
            <w:r w:rsidRPr="00B074B9">
              <w:rPr>
                <w:rFonts w:cs="Calibri"/>
                <w:color w:val="000000"/>
                <w:szCs w:val="16"/>
              </w:rPr>
              <w:t>5.D.1 and 5.D.2 </w:t>
            </w:r>
          </w:p>
        </w:tc>
        <w:tc>
          <w:tcPr>
            <w:tcW w:w="1985" w:type="dxa"/>
            <w:shd w:val="clear" w:color="auto" w:fill="FFFFFF" w:themeFill="background1"/>
            <w:tcMar>
              <w:left w:w="85" w:type="dxa"/>
              <w:right w:w="57" w:type="dxa"/>
            </w:tcMar>
            <w:hideMark/>
          </w:tcPr>
          <w:p w14:paraId="07E9C1C4" w14:textId="77777777" w:rsidR="009D798A" w:rsidRPr="00B074B9" w:rsidRDefault="009D798A" w:rsidP="00341FEF">
            <w:pPr>
              <w:pStyle w:val="TableText"/>
              <w:spacing w:before="40" w:after="40"/>
              <w:rPr>
                <w:rFonts w:cs="Calibri"/>
                <w:szCs w:val="16"/>
              </w:rPr>
            </w:pPr>
            <w:r w:rsidRPr="00B074B9">
              <w:rPr>
                <w:rFonts w:cs="Calibri"/>
                <w:color w:val="000000"/>
                <w:szCs w:val="16"/>
              </w:rPr>
              <w:t>Domestic wastewater and Industrial wastewater </w:t>
            </w:r>
          </w:p>
        </w:tc>
        <w:tc>
          <w:tcPr>
            <w:tcW w:w="992" w:type="dxa"/>
            <w:shd w:val="clear" w:color="auto" w:fill="FFFFFF" w:themeFill="background1"/>
            <w:tcMar>
              <w:left w:w="85" w:type="dxa"/>
              <w:right w:w="57" w:type="dxa"/>
            </w:tcMar>
            <w:hideMark/>
          </w:tcPr>
          <w:p w14:paraId="2DBB396C" w14:textId="77777777" w:rsidR="009D798A" w:rsidRPr="00B074B9" w:rsidRDefault="009D798A" w:rsidP="00341FEF">
            <w:pPr>
              <w:pStyle w:val="TableText"/>
              <w:spacing w:before="40" w:after="40"/>
              <w:rPr>
                <w:rFonts w:cs="Calibri"/>
                <w:szCs w:val="16"/>
              </w:rPr>
            </w:pPr>
            <w:r w:rsidRPr="00B074B9">
              <w:rPr>
                <w:rFonts w:cs="Calibri"/>
                <w:color w:val="000000"/>
                <w:szCs w:val="16"/>
              </w:rPr>
              <w:t>Amount of CH</w:t>
            </w:r>
            <w:r w:rsidRPr="00B074B9">
              <w:rPr>
                <w:rFonts w:cs="Calibri"/>
                <w:color w:val="000000"/>
                <w:szCs w:val="16"/>
                <w:vertAlign w:val="subscript"/>
              </w:rPr>
              <w:t>4</w:t>
            </w:r>
            <w:r w:rsidRPr="00B074B9">
              <w:rPr>
                <w:rFonts w:cs="Calibri"/>
                <w:color w:val="000000"/>
                <w:szCs w:val="16"/>
              </w:rPr>
              <w:t xml:space="preserve"> flared and for energy recovery </w:t>
            </w:r>
          </w:p>
        </w:tc>
        <w:tc>
          <w:tcPr>
            <w:tcW w:w="4252" w:type="dxa"/>
            <w:shd w:val="clear" w:color="auto" w:fill="FFFFFF" w:themeFill="background1"/>
            <w:tcMar>
              <w:left w:w="85" w:type="dxa"/>
              <w:right w:w="57" w:type="dxa"/>
            </w:tcMar>
            <w:hideMark/>
          </w:tcPr>
          <w:p w14:paraId="0296A713" w14:textId="77777777" w:rsidR="009D798A" w:rsidRPr="00B074B9" w:rsidRDefault="009D798A" w:rsidP="00341FEF">
            <w:pPr>
              <w:pStyle w:val="TableText"/>
              <w:spacing w:before="40" w:after="40"/>
              <w:rPr>
                <w:rFonts w:cs="Calibri"/>
                <w:szCs w:val="16"/>
              </w:rPr>
            </w:pPr>
            <w:r w:rsidRPr="00B074B9">
              <w:rPr>
                <w:rFonts w:cs="Calibri"/>
                <w:szCs w:val="16"/>
              </w:rPr>
              <w:t>Emissions are not estimated because New Zealand does not have any information regarding the CH</w:t>
            </w:r>
            <w:r w:rsidRPr="00B074B9">
              <w:rPr>
                <w:rFonts w:cs="Calibri"/>
                <w:szCs w:val="16"/>
                <w:vertAlign w:val="subscript"/>
              </w:rPr>
              <w:t>4</w:t>
            </w:r>
            <w:r w:rsidRPr="00B074B9">
              <w:rPr>
                <w:rFonts w:cs="Calibri"/>
                <w:szCs w:val="16"/>
              </w:rPr>
              <w:t xml:space="preserve"> flaring in this source category. The amount of CH</w:t>
            </w:r>
            <w:r w:rsidRPr="00B074B9">
              <w:rPr>
                <w:rFonts w:cs="Calibri"/>
                <w:szCs w:val="16"/>
                <w:vertAlign w:val="subscript"/>
              </w:rPr>
              <w:t>4</w:t>
            </w:r>
            <w:r w:rsidRPr="00B074B9">
              <w:rPr>
                <w:rFonts w:cs="Calibri"/>
                <w:szCs w:val="16"/>
              </w:rPr>
              <w:t xml:space="preserve"> flared does not contribute to New Zealand’s total emissions because it produces biogenic CO</w:t>
            </w:r>
            <w:r w:rsidRPr="00B074B9">
              <w:rPr>
                <w:rFonts w:cs="Calibri"/>
                <w:szCs w:val="16"/>
                <w:vertAlign w:val="subscript"/>
              </w:rPr>
              <w:t>2</w:t>
            </w:r>
            <w:r w:rsidRPr="00B074B9">
              <w:rPr>
                <w:rFonts w:cs="Calibri"/>
                <w:szCs w:val="16"/>
              </w:rPr>
              <w:t xml:space="preserve"> (as described in the 2006 IPCC Guidelines under section 6.2.1; IPCC, 2006e). </w:t>
            </w:r>
          </w:p>
        </w:tc>
      </w:tr>
      <w:tr w:rsidR="009D798A" w:rsidRPr="00B074B9" w14:paraId="257BC6EF" w14:textId="77777777" w:rsidTr="00052691">
        <w:tc>
          <w:tcPr>
            <w:tcW w:w="1276" w:type="dxa"/>
            <w:shd w:val="clear" w:color="auto" w:fill="FFFFFF" w:themeFill="background1"/>
            <w:tcMar>
              <w:left w:w="85" w:type="dxa"/>
              <w:right w:w="57" w:type="dxa"/>
            </w:tcMar>
            <w:hideMark/>
          </w:tcPr>
          <w:p w14:paraId="193FD45D" w14:textId="77777777" w:rsidR="009D798A" w:rsidRPr="00B074B9" w:rsidRDefault="009D798A" w:rsidP="00341FEF">
            <w:pPr>
              <w:pStyle w:val="TableText"/>
              <w:spacing w:before="40" w:after="40"/>
              <w:rPr>
                <w:rFonts w:cs="Calibri"/>
                <w:szCs w:val="16"/>
              </w:rPr>
            </w:pPr>
            <w:r w:rsidRPr="00B074B9">
              <w:rPr>
                <w:rFonts w:cs="Calibri"/>
                <w:szCs w:val="16"/>
              </w:rPr>
              <w:t xml:space="preserve">Within the Tokelau sector 6, category 3.A.4.g. Poultry </w:t>
            </w:r>
          </w:p>
        </w:tc>
        <w:tc>
          <w:tcPr>
            <w:tcW w:w="1985" w:type="dxa"/>
            <w:shd w:val="clear" w:color="auto" w:fill="FFFFFF" w:themeFill="background1"/>
            <w:tcMar>
              <w:left w:w="85" w:type="dxa"/>
              <w:right w:w="57" w:type="dxa"/>
            </w:tcMar>
            <w:hideMark/>
          </w:tcPr>
          <w:p w14:paraId="40C2B2BA" w14:textId="77777777" w:rsidR="009D798A" w:rsidRPr="00B074B9" w:rsidRDefault="009D798A" w:rsidP="00341FEF">
            <w:pPr>
              <w:pStyle w:val="TableText"/>
              <w:spacing w:before="40" w:after="40"/>
              <w:rPr>
                <w:rFonts w:cs="Calibri"/>
                <w:szCs w:val="16"/>
              </w:rPr>
            </w:pPr>
            <w:r w:rsidRPr="00B074B9">
              <w:rPr>
                <w:rFonts w:cs="Calibri"/>
                <w:szCs w:val="16"/>
              </w:rPr>
              <w:t>Enteric fermentation from poultry in Tokelau </w:t>
            </w:r>
          </w:p>
        </w:tc>
        <w:tc>
          <w:tcPr>
            <w:tcW w:w="992" w:type="dxa"/>
            <w:shd w:val="clear" w:color="auto" w:fill="FFFFFF" w:themeFill="background1"/>
            <w:tcMar>
              <w:left w:w="85" w:type="dxa"/>
              <w:right w:w="57" w:type="dxa"/>
            </w:tcMar>
            <w:hideMark/>
          </w:tcPr>
          <w:p w14:paraId="084F533B" w14:textId="77777777" w:rsidR="009D798A" w:rsidRPr="00B074B9" w:rsidRDefault="009D798A" w:rsidP="00341FEF">
            <w:pPr>
              <w:pStyle w:val="TableText"/>
              <w:spacing w:before="40" w:after="40"/>
              <w:rPr>
                <w:rFonts w:cs="Calibri"/>
                <w:szCs w:val="16"/>
              </w:rPr>
            </w:pPr>
            <w:r w:rsidRPr="00B074B9">
              <w:rPr>
                <w:rFonts w:cs="Calibri"/>
                <w:color w:val="000000"/>
                <w:szCs w:val="16"/>
              </w:rPr>
              <w:t>CH</w:t>
            </w:r>
            <w:r w:rsidRPr="00B074B9">
              <w:rPr>
                <w:rFonts w:cs="Calibri"/>
                <w:color w:val="000000"/>
                <w:szCs w:val="16"/>
                <w:vertAlign w:val="subscript"/>
              </w:rPr>
              <w:t>4</w:t>
            </w:r>
            <w:r w:rsidRPr="00B074B9">
              <w:rPr>
                <w:rFonts w:cs="Calibri"/>
                <w:color w:val="000000"/>
                <w:szCs w:val="16"/>
              </w:rPr>
              <w:t> </w:t>
            </w:r>
          </w:p>
        </w:tc>
        <w:tc>
          <w:tcPr>
            <w:tcW w:w="4252" w:type="dxa"/>
            <w:shd w:val="clear" w:color="auto" w:fill="FFFFFF" w:themeFill="background1"/>
            <w:tcMar>
              <w:left w:w="85" w:type="dxa"/>
              <w:right w:w="57" w:type="dxa"/>
            </w:tcMar>
            <w:hideMark/>
          </w:tcPr>
          <w:p w14:paraId="6638A0C0" w14:textId="77777777" w:rsidR="009D798A" w:rsidRPr="00B074B9" w:rsidRDefault="009D798A" w:rsidP="00341FEF">
            <w:pPr>
              <w:pStyle w:val="TableText"/>
              <w:spacing w:before="40" w:after="40"/>
              <w:rPr>
                <w:rFonts w:cs="Calibri"/>
                <w:szCs w:val="16"/>
              </w:rPr>
            </w:pPr>
            <w:r w:rsidRPr="00B074B9">
              <w:rPr>
                <w:rFonts w:cs="Calibri"/>
                <w:szCs w:val="16"/>
              </w:rPr>
              <w:t>This category is not mandatory. Guidance is not provided for calculating Tier 1 estimates. Any potential emissions from this activity are expected to be very small, under 0.1 kt CO</w:t>
            </w:r>
            <w:r w:rsidRPr="00B074B9">
              <w:rPr>
                <w:rFonts w:cs="Calibri"/>
                <w:szCs w:val="16"/>
                <w:vertAlign w:val="subscript"/>
              </w:rPr>
              <w:t>2</w:t>
            </w:r>
            <w:r w:rsidRPr="00B074B9">
              <w:rPr>
                <w:rFonts w:cs="Calibri"/>
                <w:szCs w:val="16"/>
              </w:rPr>
              <w:t xml:space="preserve">-e, which is the quantity of emissions for </w:t>
            </w:r>
            <w:r w:rsidRPr="00B074B9">
              <w:rPr>
                <w:rFonts w:cs="Calibri"/>
                <w:i/>
                <w:iCs/>
                <w:szCs w:val="16"/>
              </w:rPr>
              <w:t>Enteric fermentation</w:t>
            </w:r>
            <w:r w:rsidRPr="00B074B9">
              <w:rPr>
                <w:rFonts w:cs="Calibri"/>
                <w:szCs w:val="16"/>
              </w:rPr>
              <w:t xml:space="preserve"> from swine in Tokelau. </w:t>
            </w:r>
          </w:p>
        </w:tc>
      </w:tr>
    </w:tbl>
    <w:p w14:paraId="188B88DB" w14:textId="77777777" w:rsidR="009D798A" w:rsidRPr="001D5327" w:rsidRDefault="009D798A" w:rsidP="009D798A">
      <w:pPr>
        <w:pStyle w:val="BodyText"/>
        <w:spacing w:before="240"/>
      </w:pPr>
      <w:r w:rsidRPr="001D5327">
        <w:t>The estimate of emissions for all of New Zealand’s source categories marked as ‘NE’ results in 3.8 kt CO</w:t>
      </w:r>
      <w:r w:rsidRPr="001D5327">
        <w:rPr>
          <w:vertAlign w:val="subscript"/>
        </w:rPr>
        <w:t>2</w:t>
      </w:r>
      <w:r w:rsidRPr="001D5327">
        <w:t>-e, which is below the 0.1 per cent of the total emissions threshold (76.4 kt CO</w:t>
      </w:r>
      <w:r w:rsidRPr="001D5327">
        <w:rPr>
          <w:vertAlign w:val="subscript"/>
        </w:rPr>
        <w:t>2</w:t>
      </w:r>
      <w:r w:rsidRPr="001D5327">
        <w:t xml:space="preserve">-e). This value has decreased significantly from previous submissions because the category </w:t>
      </w:r>
      <w:r w:rsidRPr="001D5327">
        <w:rPr>
          <w:i/>
          <w:iCs/>
        </w:rPr>
        <w:t>Other organic fertilisers applied to soils</w:t>
      </w:r>
      <w:r w:rsidRPr="001D5327">
        <w:t xml:space="preserve"> is now estimated.</w:t>
      </w:r>
    </w:p>
    <w:p w14:paraId="3C0DFEB8" w14:textId="77777777" w:rsidR="009D798A" w:rsidRPr="001D5327" w:rsidRDefault="009D798A" w:rsidP="009D798A">
      <w:pPr>
        <w:pStyle w:val="Heading4"/>
      </w:pPr>
      <w:bookmarkStart w:id="105" w:name="X94ea177ba80bf508511bc47f7dcddfa08b14550"/>
      <w:bookmarkEnd w:id="103"/>
      <w:r w:rsidRPr="001D5327">
        <w:t>Emissions reported as ‘IE’ (included elsewhere)</w:t>
      </w:r>
    </w:p>
    <w:p w14:paraId="7FF1A56B" w14:textId="77777777" w:rsidR="009D798A" w:rsidRPr="001D5327" w:rsidRDefault="009D798A" w:rsidP="009D798A">
      <w:pPr>
        <w:pStyle w:val="BodyText"/>
      </w:pPr>
      <w:r w:rsidRPr="001D5327">
        <w:t>The notation key ‘IE’ (included elsewhere) signifies that emissions and/or removals for this activity or category are estimated and included in the Inventory but not presented separately for this category.</w:t>
      </w:r>
    </w:p>
    <w:p w14:paraId="7463EC22" w14:textId="77777777" w:rsidR="009D798A" w:rsidRPr="001D5327" w:rsidRDefault="009D798A" w:rsidP="009D798A">
      <w:pPr>
        <w:pStyle w:val="BodyText"/>
      </w:pPr>
      <w:r w:rsidRPr="001D5327">
        <w:t>Table 1.7.2 details where the notation key ‘IE’ has been used in this submission of the Inventory.</w:t>
      </w:r>
    </w:p>
    <w:p w14:paraId="3866D4B4" w14:textId="77777777" w:rsidR="009D798A" w:rsidRPr="001D5327" w:rsidRDefault="009D798A" w:rsidP="009D798A">
      <w:pPr>
        <w:pStyle w:val="Table"/>
      </w:pPr>
      <w:bookmarkStart w:id="106" w:name="_Toc194241662"/>
      <w:bookmarkStart w:id="107" w:name="description-of-insignificant-categories"/>
      <w:bookmarkEnd w:id="102"/>
      <w:bookmarkEnd w:id="105"/>
      <w:r w:rsidRPr="001D5327">
        <w:t>Table 1.7.2</w:t>
      </w:r>
      <w:r w:rsidRPr="001D5327">
        <w:tab/>
        <w:t>Emissions reported using the ‘IE’ (included elsewhere) notation key in the 2025 submission</w:t>
      </w:r>
      <w:bookmarkEnd w:id="106"/>
    </w:p>
    <w:tbl>
      <w:tblPr>
        <w:tblW w:w="8505" w:type="dxa"/>
        <w:tblBorders>
          <w:top w:val="single" w:sz="6" w:space="0" w:color="1B556B" w:themeColor="text2"/>
          <w:bottom w:val="single" w:sz="6" w:space="0" w:color="1B556B" w:themeColor="text2"/>
          <w:insideH w:val="single" w:sz="6" w:space="0" w:color="1B556B" w:themeColor="text2"/>
        </w:tblBorders>
        <w:tblCellMar>
          <w:left w:w="0" w:type="dxa"/>
          <w:right w:w="0" w:type="dxa"/>
        </w:tblCellMar>
        <w:tblLook w:val="04A0" w:firstRow="1" w:lastRow="0" w:firstColumn="1" w:lastColumn="0" w:noHBand="0" w:noVBand="1"/>
      </w:tblPr>
      <w:tblGrid>
        <w:gridCol w:w="1129"/>
        <w:gridCol w:w="1990"/>
        <w:gridCol w:w="2268"/>
        <w:gridCol w:w="3118"/>
      </w:tblGrid>
      <w:tr w:rsidR="009D798A" w:rsidRPr="001D5327" w14:paraId="369861A6" w14:textId="77777777" w:rsidTr="002C51B5">
        <w:trPr>
          <w:tblHeader/>
        </w:trPr>
        <w:tc>
          <w:tcPr>
            <w:tcW w:w="1129" w:type="dxa"/>
            <w:shd w:val="clear" w:color="auto" w:fill="1B556B"/>
            <w:tcMar>
              <w:left w:w="85" w:type="dxa"/>
              <w:right w:w="85" w:type="dxa"/>
            </w:tcMar>
            <w:vAlign w:val="bottom"/>
            <w:hideMark/>
          </w:tcPr>
          <w:p w14:paraId="5BFADD13" w14:textId="77777777" w:rsidR="009D798A" w:rsidRPr="001D5327" w:rsidRDefault="009D798A" w:rsidP="00341FEF">
            <w:pPr>
              <w:pStyle w:val="TableTextBold"/>
              <w:spacing w:before="40" w:after="40"/>
              <w:rPr>
                <w:rFonts w:ascii="Segoe UI" w:hAnsi="Segoe UI" w:cs="Segoe UI"/>
                <w:noProof w:val="0"/>
                <w:color w:val="FFFFFF" w:themeColor="background1"/>
                <w:sz w:val="18"/>
                <w:szCs w:val="18"/>
              </w:rPr>
            </w:pPr>
            <w:r w:rsidRPr="001D5327">
              <w:rPr>
                <w:noProof w:val="0"/>
                <w:color w:val="FFFFFF" w:themeColor="background1"/>
              </w:rPr>
              <w:t>CRT category code </w:t>
            </w:r>
          </w:p>
        </w:tc>
        <w:tc>
          <w:tcPr>
            <w:tcW w:w="1990" w:type="dxa"/>
            <w:shd w:val="clear" w:color="auto" w:fill="1B556B"/>
            <w:tcMar>
              <w:left w:w="85" w:type="dxa"/>
              <w:right w:w="85" w:type="dxa"/>
            </w:tcMar>
            <w:vAlign w:val="bottom"/>
            <w:hideMark/>
          </w:tcPr>
          <w:p w14:paraId="41FFFA05" w14:textId="77777777" w:rsidR="009D798A" w:rsidRPr="001D5327" w:rsidRDefault="009D798A" w:rsidP="00341FEF">
            <w:pPr>
              <w:pStyle w:val="TableTextBold"/>
              <w:spacing w:before="40" w:after="40"/>
              <w:rPr>
                <w:rFonts w:ascii="Segoe UI" w:hAnsi="Segoe UI" w:cs="Segoe UI"/>
                <w:noProof w:val="0"/>
                <w:color w:val="FFFFFF" w:themeColor="background1"/>
                <w:sz w:val="18"/>
                <w:szCs w:val="18"/>
              </w:rPr>
            </w:pPr>
            <w:r w:rsidRPr="001D5327">
              <w:rPr>
                <w:noProof w:val="0"/>
                <w:color w:val="FFFFFF" w:themeColor="background1"/>
              </w:rPr>
              <w:t>Category </w:t>
            </w:r>
          </w:p>
        </w:tc>
        <w:tc>
          <w:tcPr>
            <w:tcW w:w="2268" w:type="dxa"/>
            <w:shd w:val="clear" w:color="auto" w:fill="1B556B"/>
            <w:tcMar>
              <w:left w:w="85" w:type="dxa"/>
              <w:right w:w="85" w:type="dxa"/>
            </w:tcMar>
            <w:vAlign w:val="bottom"/>
            <w:hideMark/>
          </w:tcPr>
          <w:p w14:paraId="14275CAC" w14:textId="77777777" w:rsidR="009D798A" w:rsidRPr="001D5327" w:rsidRDefault="009D798A" w:rsidP="00341FEF">
            <w:pPr>
              <w:pStyle w:val="TableTextBold"/>
              <w:spacing w:before="40" w:after="40"/>
              <w:rPr>
                <w:rFonts w:ascii="Segoe UI" w:hAnsi="Segoe UI" w:cs="Segoe UI"/>
                <w:noProof w:val="0"/>
                <w:color w:val="FFFFFF" w:themeColor="background1"/>
                <w:sz w:val="18"/>
                <w:szCs w:val="18"/>
              </w:rPr>
            </w:pPr>
            <w:r w:rsidRPr="001D5327">
              <w:rPr>
                <w:noProof w:val="0"/>
                <w:color w:val="FFFFFF" w:themeColor="background1"/>
              </w:rPr>
              <w:t xml:space="preserve">Source category </w:t>
            </w:r>
            <w:r w:rsidRPr="001D5327">
              <w:rPr>
                <w:noProof w:val="0"/>
                <w:color w:val="FFFFFF" w:themeColor="background1"/>
              </w:rPr>
              <w:br/>
              <w:t>reported under </w:t>
            </w:r>
          </w:p>
        </w:tc>
        <w:tc>
          <w:tcPr>
            <w:tcW w:w="3118" w:type="dxa"/>
            <w:shd w:val="clear" w:color="auto" w:fill="1B556B"/>
            <w:tcMar>
              <w:left w:w="85" w:type="dxa"/>
              <w:right w:w="85" w:type="dxa"/>
            </w:tcMar>
            <w:vAlign w:val="bottom"/>
            <w:hideMark/>
          </w:tcPr>
          <w:p w14:paraId="451AF791" w14:textId="77777777" w:rsidR="009D798A" w:rsidRPr="001D5327" w:rsidRDefault="009D798A" w:rsidP="00341FEF">
            <w:pPr>
              <w:pStyle w:val="TableTextBold"/>
              <w:spacing w:before="40" w:after="40"/>
              <w:rPr>
                <w:rFonts w:ascii="Segoe UI" w:hAnsi="Segoe UI" w:cs="Segoe UI"/>
                <w:noProof w:val="0"/>
                <w:color w:val="FFFFFF" w:themeColor="background1"/>
                <w:sz w:val="18"/>
                <w:szCs w:val="18"/>
              </w:rPr>
            </w:pPr>
            <w:r w:rsidRPr="001D5327">
              <w:rPr>
                <w:noProof w:val="0"/>
                <w:color w:val="FFFFFF" w:themeColor="background1"/>
              </w:rPr>
              <w:t>Notation key explanation </w:t>
            </w:r>
          </w:p>
        </w:tc>
      </w:tr>
      <w:tr w:rsidR="009D798A" w:rsidRPr="001D5327" w14:paraId="4C2B890E" w14:textId="77777777" w:rsidTr="002C51B5">
        <w:tc>
          <w:tcPr>
            <w:tcW w:w="8505" w:type="dxa"/>
            <w:gridSpan w:val="4"/>
            <w:shd w:val="clear" w:color="auto" w:fill="auto"/>
            <w:tcMar>
              <w:left w:w="85" w:type="dxa"/>
              <w:right w:w="85" w:type="dxa"/>
            </w:tcMar>
          </w:tcPr>
          <w:p w14:paraId="0EE6ED55" w14:textId="77777777" w:rsidR="009D798A" w:rsidRPr="001D5327" w:rsidRDefault="009D798A" w:rsidP="00341FEF">
            <w:pPr>
              <w:pStyle w:val="Tableboldblue"/>
              <w:spacing w:before="40" w:after="40"/>
              <w:rPr>
                <w:rFonts w:ascii="Segoe UI" w:hAnsi="Segoe UI" w:cs="Segoe UI"/>
                <w:sz w:val="18"/>
                <w:szCs w:val="18"/>
              </w:rPr>
            </w:pPr>
            <w:r w:rsidRPr="001D5327">
              <w:t>Energy</w:t>
            </w:r>
          </w:p>
        </w:tc>
      </w:tr>
      <w:tr w:rsidR="002C51B5" w:rsidRPr="001D5327" w14:paraId="2FC9E6A0" w14:textId="77777777" w:rsidTr="002C51B5">
        <w:tc>
          <w:tcPr>
            <w:tcW w:w="1129" w:type="dxa"/>
            <w:shd w:val="clear" w:color="auto" w:fill="auto"/>
            <w:tcMar>
              <w:left w:w="85" w:type="dxa"/>
              <w:right w:w="85" w:type="dxa"/>
            </w:tcMar>
          </w:tcPr>
          <w:p w14:paraId="3D35BA40" w14:textId="77777777" w:rsidR="009D798A" w:rsidRPr="001D5327" w:rsidRDefault="009D798A" w:rsidP="00341FEF">
            <w:pPr>
              <w:pStyle w:val="TableText"/>
              <w:spacing w:before="40" w:after="40"/>
            </w:pPr>
            <w:r w:rsidRPr="001D5327">
              <w:t>1.A.2.a </w:t>
            </w:r>
          </w:p>
        </w:tc>
        <w:tc>
          <w:tcPr>
            <w:tcW w:w="1990" w:type="dxa"/>
            <w:shd w:val="clear" w:color="auto" w:fill="auto"/>
            <w:tcMar>
              <w:left w:w="85" w:type="dxa"/>
              <w:right w:w="85" w:type="dxa"/>
            </w:tcMar>
          </w:tcPr>
          <w:p w14:paraId="5136ECC2" w14:textId="77777777" w:rsidR="009D798A" w:rsidRPr="001D5327" w:rsidRDefault="009D798A" w:rsidP="00341FEF">
            <w:pPr>
              <w:pStyle w:val="TableText"/>
              <w:spacing w:before="40" w:after="40"/>
            </w:pPr>
            <w:r w:rsidRPr="001D5327">
              <w:t>Iron and steel – Liquid fuels </w:t>
            </w:r>
          </w:p>
        </w:tc>
        <w:tc>
          <w:tcPr>
            <w:tcW w:w="2268" w:type="dxa"/>
            <w:shd w:val="clear" w:color="auto" w:fill="auto"/>
            <w:tcMar>
              <w:left w:w="85" w:type="dxa"/>
              <w:right w:w="85" w:type="dxa"/>
            </w:tcMar>
          </w:tcPr>
          <w:p w14:paraId="4325C191" w14:textId="77777777" w:rsidR="009D798A" w:rsidRPr="001D5327" w:rsidRDefault="009D798A" w:rsidP="00341FEF">
            <w:pPr>
              <w:pStyle w:val="TableText"/>
              <w:spacing w:before="40" w:after="40"/>
            </w:pPr>
            <w:r w:rsidRPr="001D5327">
              <w:t>1.A.2.g.viii – Other – Liquid fuels </w:t>
            </w:r>
          </w:p>
        </w:tc>
        <w:tc>
          <w:tcPr>
            <w:tcW w:w="3118" w:type="dxa"/>
            <w:shd w:val="clear" w:color="auto" w:fill="auto"/>
            <w:tcMar>
              <w:left w:w="85" w:type="dxa"/>
              <w:right w:w="85" w:type="dxa"/>
            </w:tcMar>
          </w:tcPr>
          <w:p w14:paraId="1A7FB184" w14:textId="77777777" w:rsidR="009D798A" w:rsidRPr="001D5327" w:rsidRDefault="009D798A" w:rsidP="00341FEF">
            <w:pPr>
              <w:pStyle w:val="TableText"/>
              <w:spacing w:before="40" w:after="40"/>
            </w:pPr>
            <w:r w:rsidRPr="001D5327">
              <w:t>Disaggregated data for this category do not exist. </w:t>
            </w:r>
          </w:p>
        </w:tc>
      </w:tr>
      <w:tr w:rsidR="002C51B5" w:rsidRPr="001D5327" w14:paraId="6C1A9E49" w14:textId="77777777" w:rsidTr="002C51B5">
        <w:tc>
          <w:tcPr>
            <w:tcW w:w="1129" w:type="dxa"/>
            <w:shd w:val="clear" w:color="auto" w:fill="auto"/>
            <w:tcMar>
              <w:left w:w="85" w:type="dxa"/>
              <w:right w:w="85" w:type="dxa"/>
            </w:tcMar>
            <w:hideMark/>
          </w:tcPr>
          <w:p w14:paraId="6FA16183" w14:textId="77777777" w:rsidR="009D798A" w:rsidRPr="001D5327" w:rsidRDefault="009D798A" w:rsidP="00341FEF">
            <w:pPr>
              <w:pStyle w:val="TableText"/>
              <w:spacing w:before="40" w:after="40"/>
              <w:rPr>
                <w:rFonts w:ascii="Segoe UI" w:hAnsi="Segoe UI" w:cs="Segoe UI"/>
                <w:sz w:val="18"/>
                <w:szCs w:val="18"/>
              </w:rPr>
            </w:pPr>
            <w:r w:rsidRPr="001D5327">
              <w:t>1.A.2.a </w:t>
            </w:r>
          </w:p>
        </w:tc>
        <w:tc>
          <w:tcPr>
            <w:tcW w:w="1990" w:type="dxa"/>
            <w:shd w:val="clear" w:color="auto" w:fill="auto"/>
            <w:tcMar>
              <w:left w:w="85" w:type="dxa"/>
              <w:right w:w="85" w:type="dxa"/>
            </w:tcMar>
            <w:hideMark/>
          </w:tcPr>
          <w:p w14:paraId="1D26D32E" w14:textId="77777777" w:rsidR="009D798A" w:rsidRPr="001D5327" w:rsidRDefault="009D798A" w:rsidP="00341FEF">
            <w:pPr>
              <w:pStyle w:val="TableText"/>
              <w:spacing w:before="40" w:after="40"/>
              <w:rPr>
                <w:rFonts w:ascii="Segoe UI" w:hAnsi="Segoe UI" w:cs="Segoe UI"/>
                <w:sz w:val="18"/>
                <w:szCs w:val="18"/>
              </w:rPr>
            </w:pPr>
            <w:r w:rsidRPr="001D5327">
              <w:t>Iron and steel – Solid fuels </w:t>
            </w:r>
          </w:p>
        </w:tc>
        <w:tc>
          <w:tcPr>
            <w:tcW w:w="2268" w:type="dxa"/>
            <w:shd w:val="clear" w:color="auto" w:fill="auto"/>
            <w:tcMar>
              <w:left w:w="85" w:type="dxa"/>
              <w:right w:w="85" w:type="dxa"/>
            </w:tcMar>
            <w:hideMark/>
          </w:tcPr>
          <w:p w14:paraId="75805776" w14:textId="77777777" w:rsidR="009D798A" w:rsidRPr="001D5327" w:rsidRDefault="009D798A" w:rsidP="00341FEF">
            <w:pPr>
              <w:pStyle w:val="TableText"/>
              <w:spacing w:before="40" w:after="40"/>
              <w:rPr>
                <w:rFonts w:ascii="Segoe UI" w:hAnsi="Segoe UI" w:cs="Segoe UI"/>
                <w:sz w:val="18"/>
                <w:szCs w:val="18"/>
              </w:rPr>
            </w:pPr>
            <w:r w:rsidRPr="001D5327">
              <w:t>2.C.1 – Iron and steel production </w:t>
            </w:r>
          </w:p>
        </w:tc>
        <w:tc>
          <w:tcPr>
            <w:tcW w:w="3118" w:type="dxa"/>
            <w:shd w:val="clear" w:color="auto" w:fill="auto"/>
            <w:tcMar>
              <w:left w:w="85" w:type="dxa"/>
              <w:right w:w="85" w:type="dxa"/>
            </w:tcMar>
            <w:hideMark/>
          </w:tcPr>
          <w:p w14:paraId="57A83C35" w14:textId="77777777" w:rsidR="009D798A" w:rsidRPr="001D5327" w:rsidRDefault="009D798A" w:rsidP="00341FEF">
            <w:pPr>
              <w:pStyle w:val="TableText"/>
              <w:spacing w:before="40" w:after="40"/>
              <w:rPr>
                <w:rFonts w:ascii="Segoe UI" w:hAnsi="Segoe UI" w:cs="Segoe UI"/>
                <w:sz w:val="18"/>
                <w:szCs w:val="18"/>
              </w:rPr>
            </w:pPr>
            <w:r w:rsidRPr="001D5327">
              <w:t>All emissions from the use of coal in this category are included in the Industrial Processes and Product Use sector because the primary purpose of the coal is to produce iron. </w:t>
            </w:r>
          </w:p>
        </w:tc>
      </w:tr>
      <w:tr w:rsidR="002C51B5" w:rsidRPr="001D5327" w14:paraId="70312DA5" w14:textId="77777777" w:rsidTr="002C51B5">
        <w:tc>
          <w:tcPr>
            <w:tcW w:w="1129" w:type="dxa"/>
            <w:shd w:val="clear" w:color="auto" w:fill="auto"/>
            <w:tcMar>
              <w:left w:w="85" w:type="dxa"/>
              <w:right w:w="85" w:type="dxa"/>
            </w:tcMar>
            <w:hideMark/>
          </w:tcPr>
          <w:p w14:paraId="543738F9" w14:textId="77777777" w:rsidR="009D798A" w:rsidRPr="001D5327" w:rsidRDefault="009D798A" w:rsidP="00341FEF">
            <w:pPr>
              <w:pStyle w:val="TableText"/>
              <w:spacing w:before="40" w:after="40"/>
              <w:rPr>
                <w:rFonts w:ascii="Segoe UI" w:hAnsi="Segoe UI" w:cs="Segoe UI"/>
                <w:sz w:val="18"/>
                <w:szCs w:val="18"/>
              </w:rPr>
            </w:pPr>
            <w:r w:rsidRPr="001D5327">
              <w:t>1.A.2.f </w:t>
            </w:r>
          </w:p>
        </w:tc>
        <w:tc>
          <w:tcPr>
            <w:tcW w:w="1990" w:type="dxa"/>
            <w:shd w:val="clear" w:color="auto" w:fill="auto"/>
            <w:tcMar>
              <w:left w:w="85" w:type="dxa"/>
              <w:right w:w="85" w:type="dxa"/>
            </w:tcMar>
            <w:hideMark/>
          </w:tcPr>
          <w:p w14:paraId="65919C5E" w14:textId="77777777" w:rsidR="009D798A" w:rsidRPr="001D5327" w:rsidRDefault="009D798A" w:rsidP="00341FEF">
            <w:pPr>
              <w:pStyle w:val="TableText"/>
              <w:spacing w:before="40" w:after="40"/>
              <w:rPr>
                <w:rFonts w:ascii="Segoe UI" w:hAnsi="Segoe UI" w:cs="Segoe UI"/>
                <w:sz w:val="18"/>
                <w:szCs w:val="18"/>
              </w:rPr>
            </w:pPr>
            <w:r w:rsidRPr="001D5327">
              <w:t>Non-metallic minerals – Biomass </w:t>
            </w:r>
          </w:p>
        </w:tc>
        <w:tc>
          <w:tcPr>
            <w:tcW w:w="2268" w:type="dxa"/>
            <w:shd w:val="clear" w:color="auto" w:fill="auto"/>
            <w:tcMar>
              <w:left w:w="85" w:type="dxa"/>
              <w:right w:w="85" w:type="dxa"/>
            </w:tcMar>
            <w:hideMark/>
          </w:tcPr>
          <w:p w14:paraId="1E28C247" w14:textId="77777777" w:rsidR="009D798A" w:rsidRPr="001D5327" w:rsidRDefault="009D798A" w:rsidP="00341FEF">
            <w:pPr>
              <w:pStyle w:val="TableText"/>
              <w:spacing w:before="40" w:after="40"/>
              <w:rPr>
                <w:rFonts w:ascii="Segoe UI" w:hAnsi="Segoe UI" w:cs="Segoe UI"/>
                <w:sz w:val="18"/>
                <w:szCs w:val="18"/>
              </w:rPr>
            </w:pPr>
            <w:r w:rsidRPr="001D5327">
              <w:t>1.A.2.g.viii – Other – Biomass </w:t>
            </w:r>
          </w:p>
        </w:tc>
        <w:tc>
          <w:tcPr>
            <w:tcW w:w="3118" w:type="dxa"/>
            <w:shd w:val="clear" w:color="auto" w:fill="auto"/>
            <w:tcMar>
              <w:left w:w="85" w:type="dxa"/>
              <w:right w:w="85" w:type="dxa"/>
            </w:tcMar>
            <w:hideMark/>
          </w:tcPr>
          <w:p w14:paraId="1CB1E880" w14:textId="77777777" w:rsidR="009D798A" w:rsidRPr="001D5327" w:rsidRDefault="009D798A" w:rsidP="00341FEF">
            <w:pPr>
              <w:pStyle w:val="TableText"/>
              <w:spacing w:before="40" w:after="40"/>
              <w:rPr>
                <w:rFonts w:ascii="Segoe UI" w:hAnsi="Segoe UI" w:cs="Segoe UI"/>
                <w:sz w:val="18"/>
                <w:szCs w:val="18"/>
              </w:rPr>
            </w:pPr>
            <w:r w:rsidRPr="001D5327">
              <w:t>Disaggregated data for this category do not exist. </w:t>
            </w:r>
          </w:p>
        </w:tc>
      </w:tr>
      <w:tr w:rsidR="002C51B5" w:rsidRPr="001D5327" w14:paraId="367E8812" w14:textId="77777777" w:rsidTr="002C51B5">
        <w:tc>
          <w:tcPr>
            <w:tcW w:w="1129" w:type="dxa"/>
            <w:shd w:val="clear" w:color="auto" w:fill="auto"/>
            <w:tcMar>
              <w:left w:w="85" w:type="dxa"/>
              <w:right w:w="85" w:type="dxa"/>
            </w:tcMar>
            <w:hideMark/>
          </w:tcPr>
          <w:p w14:paraId="29B10728" w14:textId="77777777" w:rsidR="009D798A" w:rsidRPr="001D5327" w:rsidRDefault="009D798A" w:rsidP="00341FEF">
            <w:pPr>
              <w:pStyle w:val="TableText"/>
              <w:spacing w:before="40" w:after="40"/>
              <w:rPr>
                <w:rFonts w:ascii="Segoe UI" w:hAnsi="Segoe UI" w:cs="Segoe UI"/>
                <w:sz w:val="18"/>
                <w:szCs w:val="18"/>
              </w:rPr>
            </w:pPr>
            <w:r w:rsidRPr="001D5327">
              <w:t>1.A.3.b.ii–iv </w:t>
            </w:r>
          </w:p>
        </w:tc>
        <w:tc>
          <w:tcPr>
            <w:tcW w:w="1990" w:type="dxa"/>
            <w:shd w:val="clear" w:color="auto" w:fill="auto"/>
            <w:tcMar>
              <w:left w:w="85" w:type="dxa"/>
              <w:right w:w="85" w:type="dxa"/>
            </w:tcMar>
            <w:hideMark/>
          </w:tcPr>
          <w:p w14:paraId="076C58E2" w14:textId="77777777" w:rsidR="009D798A" w:rsidRPr="001D5327" w:rsidRDefault="009D798A" w:rsidP="00341FEF">
            <w:pPr>
              <w:pStyle w:val="TableText"/>
              <w:spacing w:before="40" w:after="40"/>
              <w:rPr>
                <w:rFonts w:ascii="Segoe UI" w:hAnsi="Segoe UI" w:cs="Segoe UI"/>
                <w:sz w:val="18"/>
                <w:szCs w:val="18"/>
              </w:rPr>
            </w:pPr>
            <w:r w:rsidRPr="001D5327">
              <w:t>Road transportation (other than ‘cars’) – All fuels (other than gasoline and diesel) </w:t>
            </w:r>
          </w:p>
        </w:tc>
        <w:tc>
          <w:tcPr>
            <w:tcW w:w="2268" w:type="dxa"/>
            <w:shd w:val="clear" w:color="auto" w:fill="auto"/>
            <w:tcMar>
              <w:left w:w="85" w:type="dxa"/>
              <w:right w:w="85" w:type="dxa"/>
            </w:tcMar>
            <w:hideMark/>
          </w:tcPr>
          <w:p w14:paraId="629A974A" w14:textId="77777777" w:rsidR="009D798A" w:rsidRPr="001D5327" w:rsidRDefault="009D798A" w:rsidP="00341FEF">
            <w:pPr>
              <w:pStyle w:val="TableText"/>
              <w:spacing w:before="40" w:after="40"/>
              <w:rPr>
                <w:rFonts w:ascii="Segoe UI" w:hAnsi="Segoe UI" w:cs="Segoe UI"/>
                <w:sz w:val="18"/>
                <w:szCs w:val="18"/>
              </w:rPr>
            </w:pPr>
            <w:r w:rsidRPr="001D5327">
              <w:t>1.A.3.b.i – Cars </w:t>
            </w:r>
          </w:p>
        </w:tc>
        <w:tc>
          <w:tcPr>
            <w:tcW w:w="3118" w:type="dxa"/>
            <w:shd w:val="clear" w:color="auto" w:fill="auto"/>
            <w:tcMar>
              <w:left w:w="85" w:type="dxa"/>
              <w:right w:w="85" w:type="dxa"/>
            </w:tcMar>
            <w:hideMark/>
          </w:tcPr>
          <w:p w14:paraId="5FAACCC5" w14:textId="77777777" w:rsidR="009D798A" w:rsidRPr="001D5327" w:rsidRDefault="009D798A" w:rsidP="00341FEF">
            <w:pPr>
              <w:pStyle w:val="TableText"/>
              <w:spacing w:before="40" w:after="40"/>
              <w:rPr>
                <w:rFonts w:ascii="Segoe UI" w:hAnsi="Segoe UI" w:cs="Segoe UI"/>
                <w:sz w:val="18"/>
                <w:szCs w:val="18"/>
              </w:rPr>
            </w:pPr>
            <w:r w:rsidRPr="001D5327">
              <w:t xml:space="preserve">Disaggregated data do not exist for all years for all fuels. </w:t>
            </w:r>
          </w:p>
        </w:tc>
      </w:tr>
      <w:tr w:rsidR="002C51B5" w:rsidRPr="001D5327" w14:paraId="4746BF79" w14:textId="77777777" w:rsidTr="002C51B5">
        <w:tc>
          <w:tcPr>
            <w:tcW w:w="1129" w:type="dxa"/>
            <w:shd w:val="clear" w:color="auto" w:fill="auto"/>
            <w:tcMar>
              <w:left w:w="85" w:type="dxa"/>
              <w:right w:w="85" w:type="dxa"/>
            </w:tcMar>
            <w:hideMark/>
          </w:tcPr>
          <w:p w14:paraId="2F36E099" w14:textId="77777777" w:rsidR="009D798A" w:rsidRPr="001D5327" w:rsidRDefault="009D798A" w:rsidP="00341FEF">
            <w:pPr>
              <w:pStyle w:val="TableText"/>
              <w:spacing w:before="40" w:after="40"/>
              <w:rPr>
                <w:rFonts w:ascii="Segoe UI" w:hAnsi="Segoe UI" w:cs="Segoe UI"/>
                <w:sz w:val="18"/>
                <w:szCs w:val="18"/>
              </w:rPr>
            </w:pPr>
            <w:r w:rsidRPr="001D5327">
              <w:t>1.A.4.c.ii–iii </w:t>
            </w:r>
          </w:p>
        </w:tc>
        <w:tc>
          <w:tcPr>
            <w:tcW w:w="1990" w:type="dxa"/>
            <w:shd w:val="clear" w:color="auto" w:fill="auto"/>
            <w:tcMar>
              <w:left w:w="85" w:type="dxa"/>
              <w:right w:w="85" w:type="dxa"/>
            </w:tcMar>
            <w:hideMark/>
          </w:tcPr>
          <w:p w14:paraId="6753210D" w14:textId="77777777" w:rsidR="009D798A" w:rsidRPr="001D5327" w:rsidRDefault="009D798A" w:rsidP="00341FEF">
            <w:pPr>
              <w:pStyle w:val="TableText"/>
              <w:spacing w:before="40" w:after="40"/>
              <w:rPr>
                <w:rFonts w:ascii="Segoe UI" w:hAnsi="Segoe UI" w:cs="Segoe UI"/>
                <w:sz w:val="18"/>
                <w:szCs w:val="18"/>
              </w:rPr>
            </w:pPr>
            <w:r w:rsidRPr="001D5327">
              <w:t>Agriculture/forestry/fishing – Off-road vehicles and other machinery/ Gaseous fuels Liquefied petroleum gases (LPG) </w:t>
            </w:r>
          </w:p>
        </w:tc>
        <w:tc>
          <w:tcPr>
            <w:tcW w:w="2268" w:type="dxa"/>
            <w:shd w:val="clear" w:color="auto" w:fill="auto"/>
            <w:tcMar>
              <w:left w:w="85" w:type="dxa"/>
              <w:right w:w="85" w:type="dxa"/>
            </w:tcMar>
            <w:hideMark/>
          </w:tcPr>
          <w:p w14:paraId="7B27D6E5" w14:textId="77777777" w:rsidR="009D798A" w:rsidRPr="001D5327" w:rsidRDefault="009D798A" w:rsidP="00341FEF">
            <w:pPr>
              <w:pStyle w:val="TableText"/>
              <w:spacing w:before="40" w:after="40"/>
              <w:rPr>
                <w:rFonts w:ascii="Segoe UI" w:hAnsi="Segoe UI" w:cs="Segoe UI"/>
                <w:sz w:val="18"/>
                <w:szCs w:val="18"/>
              </w:rPr>
            </w:pPr>
            <w:r w:rsidRPr="001D5327">
              <w:t>1.A.4.c.i – Agriculture/ forestry/fishing – Stationary </w:t>
            </w:r>
          </w:p>
        </w:tc>
        <w:tc>
          <w:tcPr>
            <w:tcW w:w="3118" w:type="dxa"/>
            <w:shd w:val="clear" w:color="auto" w:fill="auto"/>
            <w:tcMar>
              <w:left w:w="85" w:type="dxa"/>
              <w:right w:w="85" w:type="dxa"/>
            </w:tcMar>
            <w:hideMark/>
          </w:tcPr>
          <w:p w14:paraId="426C13F7" w14:textId="77777777" w:rsidR="009D798A" w:rsidRPr="001D5327" w:rsidRDefault="009D798A" w:rsidP="00341FEF">
            <w:pPr>
              <w:pStyle w:val="TableText"/>
              <w:spacing w:before="40" w:after="40"/>
              <w:rPr>
                <w:rFonts w:ascii="Segoe UI" w:hAnsi="Segoe UI" w:cs="Segoe UI"/>
                <w:sz w:val="18"/>
                <w:szCs w:val="18"/>
              </w:rPr>
            </w:pPr>
            <w:r w:rsidRPr="001D5327">
              <w:t>Agriculture/forestry/fishing has not been disaggregated into stationary, mobile and fishing for some fuels because data are not available. </w:t>
            </w:r>
          </w:p>
        </w:tc>
      </w:tr>
      <w:tr w:rsidR="002C51B5" w:rsidRPr="001D5327" w14:paraId="467549B4" w14:textId="77777777" w:rsidTr="002C51B5">
        <w:tc>
          <w:tcPr>
            <w:tcW w:w="1129" w:type="dxa"/>
            <w:shd w:val="clear" w:color="auto" w:fill="auto"/>
            <w:tcMar>
              <w:left w:w="85" w:type="dxa"/>
              <w:right w:w="85" w:type="dxa"/>
            </w:tcMar>
            <w:hideMark/>
          </w:tcPr>
          <w:p w14:paraId="002C6F82" w14:textId="77777777" w:rsidR="009D798A" w:rsidRPr="001D5327" w:rsidRDefault="009D798A" w:rsidP="00CD4C1A">
            <w:pPr>
              <w:pStyle w:val="TableText"/>
              <w:keepNext/>
              <w:spacing w:before="40" w:after="40"/>
              <w:rPr>
                <w:rFonts w:ascii="Segoe UI" w:hAnsi="Segoe UI" w:cs="Segoe UI"/>
                <w:sz w:val="18"/>
                <w:szCs w:val="18"/>
              </w:rPr>
            </w:pPr>
            <w:r w:rsidRPr="001D5327">
              <w:lastRenderedPageBreak/>
              <w:t>1.B.2.b.1 </w:t>
            </w:r>
          </w:p>
        </w:tc>
        <w:tc>
          <w:tcPr>
            <w:tcW w:w="1990" w:type="dxa"/>
            <w:shd w:val="clear" w:color="auto" w:fill="auto"/>
            <w:tcMar>
              <w:left w:w="85" w:type="dxa"/>
              <w:right w:w="85" w:type="dxa"/>
            </w:tcMar>
            <w:hideMark/>
          </w:tcPr>
          <w:p w14:paraId="43BE8CF1" w14:textId="77777777" w:rsidR="009D798A" w:rsidRPr="001D5327" w:rsidRDefault="009D798A" w:rsidP="00341FEF">
            <w:pPr>
              <w:pStyle w:val="TableText"/>
              <w:spacing w:before="40" w:after="40"/>
              <w:rPr>
                <w:rFonts w:ascii="Segoe UI" w:hAnsi="Segoe UI" w:cs="Segoe UI"/>
                <w:sz w:val="18"/>
                <w:szCs w:val="18"/>
              </w:rPr>
            </w:pPr>
            <w:r w:rsidRPr="001D5327">
              <w:t>Natural gas/exploration </w:t>
            </w:r>
          </w:p>
        </w:tc>
        <w:tc>
          <w:tcPr>
            <w:tcW w:w="2268" w:type="dxa"/>
            <w:shd w:val="clear" w:color="auto" w:fill="auto"/>
            <w:tcMar>
              <w:left w:w="85" w:type="dxa"/>
              <w:right w:w="85" w:type="dxa"/>
            </w:tcMar>
            <w:hideMark/>
          </w:tcPr>
          <w:p w14:paraId="0031D4AB" w14:textId="77777777" w:rsidR="009D798A" w:rsidRPr="001D5327" w:rsidRDefault="009D798A" w:rsidP="00341FEF">
            <w:pPr>
              <w:pStyle w:val="TableText"/>
              <w:spacing w:before="40" w:after="40"/>
              <w:rPr>
                <w:rFonts w:ascii="Segoe UI" w:hAnsi="Segoe UI" w:cs="Segoe UI"/>
                <w:sz w:val="18"/>
                <w:szCs w:val="18"/>
              </w:rPr>
            </w:pPr>
            <w:r w:rsidRPr="001D5327">
              <w:t>1.B.2.a.1 – Oil exploration </w:t>
            </w:r>
          </w:p>
        </w:tc>
        <w:tc>
          <w:tcPr>
            <w:tcW w:w="3118" w:type="dxa"/>
            <w:shd w:val="clear" w:color="auto" w:fill="auto"/>
            <w:tcMar>
              <w:left w:w="85" w:type="dxa"/>
              <w:right w:w="85" w:type="dxa"/>
            </w:tcMar>
            <w:hideMark/>
          </w:tcPr>
          <w:p w14:paraId="12B86131" w14:textId="77777777" w:rsidR="009D798A" w:rsidRPr="001D5327" w:rsidRDefault="009D798A" w:rsidP="00341FEF">
            <w:pPr>
              <w:pStyle w:val="TableText"/>
              <w:spacing w:before="40" w:after="40"/>
              <w:rPr>
                <w:rFonts w:ascii="Segoe UI" w:hAnsi="Segoe UI" w:cs="Segoe UI"/>
                <w:sz w:val="18"/>
                <w:szCs w:val="18"/>
              </w:rPr>
            </w:pPr>
            <w:r w:rsidRPr="001D5327">
              <w:t>In New Zealand, oil exploration is not separated from gas exploration by planning, processes, equipment or resources. The exploratory wells are drilled without distinction of their purpose, that is, whether the expected outcome is oil, gas, both or neither, and there is no reliable way to predict which it would be to estimate proportions of mostly oil and mostly gas wells. Disaggregated data for oil and gas exploration, therefore, do not exist. Considering that available emission factors for well drilling and testing also do not distinguish between oil and gas, all emissions from oil and gas exploration are reported in the oil exploration category. </w:t>
            </w:r>
          </w:p>
        </w:tc>
      </w:tr>
      <w:tr w:rsidR="002C51B5" w:rsidRPr="001D5327" w14:paraId="17A95F04" w14:textId="77777777" w:rsidTr="002C51B5">
        <w:tc>
          <w:tcPr>
            <w:tcW w:w="1129" w:type="dxa"/>
            <w:shd w:val="clear" w:color="auto" w:fill="auto"/>
            <w:tcMar>
              <w:left w:w="85" w:type="dxa"/>
              <w:right w:w="85" w:type="dxa"/>
            </w:tcMar>
            <w:hideMark/>
          </w:tcPr>
          <w:p w14:paraId="1C994961" w14:textId="77777777" w:rsidR="009D798A" w:rsidRPr="001D5327" w:rsidRDefault="009D798A" w:rsidP="00341FEF">
            <w:pPr>
              <w:pStyle w:val="TableText"/>
              <w:spacing w:before="40" w:after="40"/>
              <w:rPr>
                <w:rFonts w:ascii="Segoe UI" w:hAnsi="Segoe UI" w:cs="Segoe UI"/>
                <w:sz w:val="18"/>
                <w:szCs w:val="18"/>
              </w:rPr>
            </w:pPr>
            <w:r w:rsidRPr="001D5327">
              <w:t>1.B.2.c.1.i </w:t>
            </w:r>
          </w:p>
        </w:tc>
        <w:tc>
          <w:tcPr>
            <w:tcW w:w="1990" w:type="dxa"/>
            <w:shd w:val="clear" w:color="auto" w:fill="auto"/>
            <w:tcMar>
              <w:left w:w="85" w:type="dxa"/>
              <w:right w:w="85" w:type="dxa"/>
            </w:tcMar>
            <w:hideMark/>
          </w:tcPr>
          <w:p w14:paraId="3FA0C2C3" w14:textId="77777777" w:rsidR="009D798A" w:rsidRPr="001D5327" w:rsidRDefault="009D798A" w:rsidP="00341FEF">
            <w:pPr>
              <w:pStyle w:val="TableText"/>
              <w:spacing w:before="40" w:after="40"/>
              <w:rPr>
                <w:rFonts w:ascii="Segoe UI" w:hAnsi="Segoe UI" w:cs="Segoe UI"/>
                <w:sz w:val="18"/>
                <w:szCs w:val="18"/>
              </w:rPr>
            </w:pPr>
            <w:r w:rsidRPr="001D5327">
              <w:t>Venting/oil and Venting/gas</w:t>
            </w:r>
          </w:p>
        </w:tc>
        <w:tc>
          <w:tcPr>
            <w:tcW w:w="2268" w:type="dxa"/>
            <w:shd w:val="clear" w:color="auto" w:fill="auto"/>
            <w:tcMar>
              <w:left w:w="85" w:type="dxa"/>
              <w:right w:w="85" w:type="dxa"/>
            </w:tcMar>
            <w:hideMark/>
          </w:tcPr>
          <w:p w14:paraId="155C9958" w14:textId="77777777" w:rsidR="009D798A" w:rsidRPr="001D5327" w:rsidRDefault="009D798A" w:rsidP="00341FEF">
            <w:pPr>
              <w:pStyle w:val="TableText"/>
              <w:spacing w:before="40" w:after="40"/>
              <w:rPr>
                <w:rFonts w:ascii="Segoe UI" w:hAnsi="Segoe UI" w:cs="Segoe UI"/>
                <w:sz w:val="18"/>
                <w:szCs w:val="18"/>
              </w:rPr>
            </w:pPr>
            <w:r w:rsidRPr="001D5327">
              <w:t>1.B.2.c.1.iii – Venting/ combined </w:t>
            </w:r>
          </w:p>
        </w:tc>
        <w:tc>
          <w:tcPr>
            <w:tcW w:w="3118" w:type="dxa"/>
            <w:shd w:val="clear" w:color="auto" w:fill="auto"/>
            <w:tcMar>
              <w:left w:w="85" w:type="dxa"/>
              <w:right w:w="85" w:type="dxa"/>
            </w:tcMar>
            <w:hideMark/>
          </w:tcPr>
          <w:p w14:paraId="1C738B07" w14:textId="77777777" w:rsidR="009D798A" w:rsidRPr="001D5327" w:rsidRDefault="009D798A" w:rsidP="00341FEF">
            <w:pPr>
              <w:pStyle w:val="TableText"/>
              <w:spacing w:before="40" w:after="40"/>
              <w:rPr>
                <w:rFonts w:ascii="Segoe UI" w:hAnsi="Segoe UI" w:cs="Segoe UI"/>
                <w:sz w:val="18"/>
                <w:szCs w:val="18"/>
              </w:rPr>
            </w:pPr>
            <w:r w:rsidRPr="001D5327">
              <w:t>The fields produce both oil and gas and, therefore, are reported as combined. Disaggregated data do not exist. </w:t>
            </w:r>
          </w:p>
        </w:tc>
      </w:tr>
      <w:tr w:rsidR="002C51B5" w:rsidRPr="001D5327" w14:paraId="6C4A91AE" w14:textId="77777777" w:rsidTr="002C51B5">
        <w:tc>
          <w:tcPr>
            <w:tcW w:w="1129" w:type="dxa"/>
            <w:shd w:val="clear" w:color="auto" w:fill="auto"/>
            <w:tcMar>
              <w:left w:w="85" w:type="dxa"/>
              <w:right w:w="85" w:type="dxa"/>
            </w:tcMar>
            <w:hideMark/>
          </w:tcPr>
          <w:p w14:paraId="57AEDD44" w14:textId="77777777" w:rsidR="009D798A" w:rsidRPr="001D5327" w:rsidRDefault="009D798A" w:rsidP="00341FEF">
            <w:pPr>
              <w:pStyle w:val="TableText"/>
              <w:spacing w:before="40" w:after="40"/>
              <w:rPr>
                <w:rFonts w:ascii="Segoe UI" w:hAnsi="Segoe UI" w:cs="Segoe UI"/>
                <w:sz w:val="18"/>
                <w:szCs w:val="18"/>
              </w:rPr>
            </w:pPr>
            <w:r w:rsidRPr="001D5327">
              <w:t>1.B.2.c.2.i–ii </w:t>
            </w:r>
          </w:p>
        </w:tc>
        <w:tc>
          <w:tcPr>
            <w:tcW w:w="1990" w:type="dxa"/>
            <w:shd w:val="clear" w:color="auto" w:fill="auto"/>
            <w:tcMar>
              <w:left w:w="85" w:type="dxa"/>
              <w:right w:w="85" w:type="dxa"/>
            </w:tcMar>
            <w:hideMark/>
          </w:tcPr>
          <w:p w14:paraId="6A6B581C" w14:textId="77777777" w:rsidR="009D798A" w:rsidRPr="001D5327" w:rsidRDefault="009D798A" w:rsidP="00341FEF">
            <w:pPr>
              <w:pStyle w:val="TableText"/>
              <w:spacing w:before="40" w:after="40"/>
              <w:rPr>
                <w:rFonts w:ascii="Segoe UI" w:hAnsi="Segoe UI" w:cs="Segoe UI"/>
                <w:sz w:val="18"/>
                <w:szCs w:val="18"/>
              </w:rPr>
            </w:pPr>
            <w:r w:rsidRPr="001D5327">
              <w:t>Flaring/oil and Flaring/gas </w:t>
            </w:r>
          </w:p>
        </w:tc>
        <w:tc>
          <w:tcPr>
            <w:tcW w:w="2268" w:type="dxa"/>
            <w:shd w:val="clear" w:color="auto" w:fill="auto"/>
            <w:tcMar>
              <w:left w:w="85" w:type="dxa"/>
              <w:right w:w="85" w:type="dxa"/>
            </w:tcMar>
            <w:hideMark/>
          </w:tcPr>
          <w:p w14:paraId="33202548" w14:textId="77777777" w:rsidR="009D798A" w:rsidRPr="001D5327" w:rsidRDefault="009D798A" w:rsidP="00341FEF">
            <w:pPr>
              <w:pStyle w:val="TableText"/>
              <w:spacing w:before="40" w:after="40"/>
              <w:rPr>
                <w:rFonts w:ascii="Segoe UI" w:hAnsi="Segoe UI" w:cs="Segoe UI"/>
                <w:sz w:val="18"/>
                <w:szCs w:val="18"/>
              </w:rPr>
            </w:pPr>
            <w:r w:rsidRPr="001D5327">
              <w:t>1.B.2.c.1.iii – Flaring/ combined </w:t>
            </w:r>
          </w:p>
        </w:tc>
        <w:tc>
          <w:tcPr>
            <w:tcW w:w="3118" w:type="dxa"/>
            <w:shd w:val="clear" w:color="auto" w:fill="auto"/>
            <w:tcMar>
              <w:left w:w="85" w:type="dxa"/>
              <w:right w:w="85" w:type="dxa"/>
            </w:tcMar>
            <w:hideMark/>
          </w:tcPr>
          <w:p w14:paraId="7342FF57" w14:textId="77777777" w:rsidR="009D798A" w:rsidRPr="001D5327" w:rsidRDefault="009D798A" w:rsidP="00341FEF">
            <w:pPr>
              <w:pStyle w:val="TableText"/>
              <w:spacing w:before="40" w:after="40"/>
              <w:rPr>
                <w:rFonts w:ascii="Segoe UI" w:hAnsi="Segoe UI" w:cs="Segoe UI"/>
                <w:sz w:val="18"/>
                <w:szCs w:val="18"/>
              </w:rPr>
            </w:pPr>
            <w:r w:rsidRPr="001D5327">
              <w:t>The fields produce both oil and gas and, therefore, are reported as combined. Disaggregated data do not exist. </w:t>
            </w:r>
          </w:p>
        </w:tc>
      </w:tr>
      <w:tr w:rsidR="009D798A" w:rsidRPr="001D5327" w14:paraId="07ED31EE" w14:textId="77777777" w:rsidTr="002C51B5">
        <w:tc>
          <w:tcPr>
            <w:tcW w:w="8505" w:type="dxa"/>
            <w:gridSpan w:val="4"/>
            <w:shd w:val="clear" w:color="auto" w:fill="auto"/>
            <w:tcMar>
              <w:left w:w="85" w:type="dxa"/>
              <w:right w:w="85" w:type="dxa"/>
            </w:tcMar>
          </w:tcPr>
          <w:p w14:paraId="03C3C1C4" w14:textId="77777777" w:rsidR="009D798A" w:rsidRPr="001D5327" w:rsidRDefault="009D798A" w:rsidP="00341FEF">
            <w:pPr>
              <w:pStyle w:val="Tableboldblue"/>
              <w:spacing w:before="40" w:after="40"/>
            </w:pPr>
            <w:r w:rsidRPr="001D5327">
              <w:t>Industrial Processes and Product Use</w:t>
            </w:r>
          </w:p>
        </w:tc>
      </w:tr>
      <w:tr w:rsidR="002C51B5" w:rsidRPr="001D5327" w14:paraId="7534B848" w14:textId="77777777" w:rsidTr="002C51B5">
        <w:tc>
          <w:tcPr>
            <w:tcW w:w="1129" w:type="dxa"/>
            <w:shd w:val="clear" w:color="auto" w:fill="auto"/>
            <w:tcMar>
              <w:left w:w="85" w:type="dxa"/>
              <w:right w:w="85" w:type="dxa"/>
            </w:tcMar>
            <w:hideMark/>
          </w:tcPr>
          <w:p w14:paraId="31A13401" w14:textId="77777777" w:rsidR="009D798A" w:rsidRPr="001D5327" w:rsidRDefault="009D798A" w:rsidP="00341FEF">
            <w:pPr>
              <w:pStyle w:val="TableText"/>
              <w:spacing w:before="40" w:after="40"/>
              <w:rPr>
                <w:rFonts w:ascii="Segoe UI" w:hAnsi="Segoe UI" w:cs="Segoe UI"/>
                <w:sz w:val="18"/>
                <w:szCs w:val="18"/>
              </w:rPr>
            </w:pPr>
            <w:r w:rsidRPr="001D5327">
              <w:t>2.A.3 </w:t>
            </w:r>
          </w:p>
        </w:tc>
        <w:tc>
          <w:tcPr>
            <w:tcW w:w="1990" w:type="dxa"/>
            <w:shd w:val="clear" w:color="auto" w:fill="auto"/>
            <w:tcMar>
              <w:left w:w="85" w:type="dxa"/>
              <w:right w:w="85" w:type="dxa"/>
            </w:tcMar>
            <w:hideMark/>
          </w:tcPr>
          <w:p w14:paraId="1054DB37" w14:textId="77777777" w:rsidR="009D798A" w:rsidRPr="001D5327" w:rsidRDefault="009D798A" w:rsidP="00341FEF">
            <w:pPr>
              <w:pStyle w:val="TableText"/>
              <w:spacing w:before="40" w:after="40"/>
              <w:rPr>
                <w:rFonts w:ascii="Segoe UI" w:hAnsi="Segoe UI" w:cs="Segoe UI"/>
                <w:sz w:val="18"/>
                <w:szCs w:val="18"/>
              </w:rPr>
            </w:pPr>
            <w:r w:rsidRPr="001D5327">
              <w:t>Glass production </w:t>
            </w:r>
          </w:p>
        </w:tc>
        <w:tc>
          <w:tcPr>
            <w:tcW w:w="2268" w:type="dxa"/>
            <w:shd w:val="clear" w:color="auto" w:fill="auto"/>
            <w:tcMar>
              <w:left w:w="85" w:type="dxa"/>
              <w:right w:w="85" w:type="dxa"/>
            </w:tcMar>
            <w:hideMark/>
          </w:tcPr>
          <w:p w14:paraId="226A8015" w14:textId="77777777" w:rsidR="009D798A" w:rsidRPr="001D5327" w:rsidRDefault="009D798A" w:rsidP="00341FEF">
            <w:pPr>
              <w:pStyle w:val="TableText"/>
              <w:spacing w:before="40" w:after="40"/>
              <w:rPr>
                <w:rFonts w:ascii="Segoe UI" w:hAnsi="Segoe UI" w:cs="Segoe UI"/>
                <w:sz w:val="18"/>
                <w:szCs w:val="18"/>
              </w:rPr>
            </w:pPr>
            <w:r w:rsidRPr="001D5327">
              <w:t>2.A.4.b – Other process uses of carbonates/Other uses of soda ash </w:t>
            </w:r>
          </w:p>
        </w:tc>
        <w:tc>
          <w:tcPr>
            <w:tcW w:w="3118" w:type="dxa"/>
            <w:shd w:val="clear" w:color="auto" w:fill="auto"/>
            <w:tcMar>
              <w:left w:w="85" w:type="dxa"/>
              <w:right w:w="85" w:type="dxa"/>
            </w:tcMar>
            <w:hideMark/>
          </w:tcPr>
          <w:p w14:paraId="6AC07AD2" w14:textId="77777777" w:rsidR="009D798A" w:rsidRPr="001D5327" w:rsidRDefault="009D798A" w:rsidP="00341FEF">
            <w:pPr>
              <w:pStyle w:val="TableText"/>
              <w:spacing w:before="40" w:after="40"/>
              <w:rPr>
                <w:rFonts w:ascii="Segoe UI" w:hAnsi="Segoe UI" w:cs="Segoe UI"/>
                <w:sz w:val="18"/>
                <w:szCs w:val="18"/>
              </w:rPr>
            </w:pPr>
            <w:r w:rsidRPr="001D5327">
              <w:t>Carbon dioxide emissions are reported in 2.A.4.b because this aggregates emissions from glass production with other uses of carbonates, due to confidentiality concerns for both glass and aluminium production. A very small number of firms in New Zealand are involved in these activities and using carbonates. </w:t>
            </w:r>
          </w:p>
        </w:tc>
      </w:tr>
      <w:tr w:rsidR="009D798A" w:rsidRPr="001D5327" w14:paraId="32F20C73" w14:textId="77777777" w:rsidTr="002C51B5">
        <w:tc>
          <w:tcPr>
            <w:tcW w:w="8505" w:type="dxa"/>
            <w:gridSpan w:val="4"/>
            <w:shd w:val="clear" w:color="auto" w:fill="auto"/>
            <w:tcMar>
              <w:left w:w="85" w:type="dxa"/>
              <w:right w:w="85" w:type="dxa"/>
            </w:tcMar>
          </w:tcPr>
          <w:p w14:paraId="028E94E0" w14:textId="77777777" w:rsidR="009D798A" w:rsidRPr="001D5327" w:rsidRDefault="009D798A" w:rsidP="00341FEF">
            <w:pPr>
              <w:pStyle w:val="Tableboldblue"/>
              <w:spacing w:before="40" w:after="40"/>
            </w:pPr>
            <w:r w:rsidRPr="001D5327">
              <w:t>Agriculture</w:t>
            </w:r>
          </w:p>
        </w:tc>
      </w:tr>
      <w:tr w:rsidR="002C51B5" w:rsidRPr="001D5327" w14:paraId="2BCAF896" w14:textId="77777777" w:rsidTr="002C51B5">
        <w:tc>
          <w:tcPr>
            <w:tcW w:w="1129" w:type="dxa"/>
            <w:shd w:val="clear" w:color="auto" w:fill="auto"/>
            <w:tcMar>
              <w:left w:w="85" w:type="dxa"/>
              <w:right w:w="85" w:type="dxa"/>
            </w:tcMar>
            <w:hideMark/>
          </w:tcPr>
          <w:p w14:paraId="0AD45EAA" w14:textId="77777777" w:rsidR="009D798A" w:rsidRPr="001D5327" w:rsidRDefault="009D798A" w:rsidP="00341FEF">
            <w:pPr>
              <w:pStyle w:val="TableText"/>
              <w:spacing w:before="40" w:after="40"/>
              <w:rPr>
                <w:rFonts w:ascii="Segoe UI" w:hAnsi="Segoe UI" w:cs="Segoe UI"/>
                <w:sz w:val="18"/>
                <w:szCs w:val="18"/>
              </w:rPr>
            </w:pPr>
            <w:r w:rsidRPr="001D5327">
              <w:t xml:space="preserve">3.B(b) </w:t>
            </w:r>
          </w:p>
        </w:tc>
        <w:tc>
          <w:tcPr>
            <w:tcW w:w="1990" w:type="dxa"/>
            <w:shd w:val="clear" w:color="auto" w:fill="auto"/>
            <w:tcMar>
              <w:left w:w="85" w:type="dxa"/>
              <w:right w:w="85" w:type="dxa"/>
            </w:tcMar>
            <w:hideMark/>
          </w:tcPr>
          <w:p w14:paraId="104063CC" w14:textId="77777777" w:rsidR="009D798A" w:rsidRPr="001D5327" w:rsidRDefault="009D798A" w:rsidP="00341FEF">
            <w:pPr>
              <w:pStyle w:val="TableText"/>
              <w:spacing w:before="40" w:after="40"/>
              <w:rPr>
                <w:rFonts w:ascii="Segoe UI" w:hAnsi="Segoe UI" w:cs="Segoe UI"/>
                <w:sz w:val="18"/>
                <w:szCs w:val="18"/>
              </w:rPr>
            </w:pPr>
            <w:r w:rsidRPr="001D5327">
              <w:t>N</w:t>
            </w:r>
            <w:r w:rsidRPr="001D5327">
              <w:rPr>
                <w:sz w:val="12"/>
                <w:szCs w:val="12"/>
                <w:vertAlign w:val="subscript"/>
              </w:rPr>
              <w:t>2</w:t>
            </w:r>
            <w:r w:rsidRPr="001D5327">
              <w:t>O emissions per MMS</w:t>
            </w:r>
            <w:r w:rsidRPr="001D5327">
              <w:rPr>
                <w:rStyle w:val="FootnoteReference"/>
                <w:rFonts w:cs="Calibri"/>
                <w:szCs w:val="16"/>
              </w:rPr>
              <w:footnoteReference w:id="17"/>
            </w:r>
            <w:r w:rsidRPr="001D5327">
              <w:t> </w:t>
            </w:r>
          </w:p>
        </w:tc>
        <w:tc>
          <w:tcPr>
            <w:tcW w:w="2268" w:type="dxa"/>
            <w:shd w:val="clear" w:color="auto" w:fill="auto"/>
            <w:tcMar>
              <w:left w:w="85" w:type="dxa"/>
              <w:right w:w="85" w:type="dxa"/>
            </w:tcMar>
            <w:hideMark/>
          </w:tcPr>
          <w:p w14:paraId="114139E4" w14:textId="77777777" w:rsidR="009D798A" w:rsidRPr="001D5327" w:rsidRDefault="009D798A" w:rsidP="00341FEF">
            <w:pPr>
              <w:pStyle w:val="TableText"/>
              <w:spacing w:before="40" w:after="40"/>
              <w:rPr>
                <w:rFonts w:ascii="Segoe UI" w:hAnsi="Segoe UI" w:cs="Segoe UI"/>
                <w:sz w:val="18"/>
                <w:szCs w:val="18"/>
              </w:rPr>
            </w:pPr>
            <w:r w:rsidRPr="001D5327">
              <w:t>3.D – Agricultural soils </w:t>
            </w:r>
          </w:p>
        </w:tc>
        <w:tc>
          <w:tcPr>
            <w:tcW w:w="3118" w:type="dxa"/>
            <w:shd w:val="clear" w:color="auto" w:fill="auto"/>
            <w:tcMar>
              <w:left w:w="85" w:type="dxa"/>
              <w:right w:w="85" w:type="dxa"/>
            </w:tcMar>
            <w:hideMark/>
          </w:tcPr>
          <w:p w14:paraId="0E569CD3" w14:textId="77777777" w:rsidR="009D798A" w:rsidRPr="001D5327" w:rsidRDefault="009D798A" w:rsidP="00341FEF">
            <w:pPr>
              <w:pStyle w:val="TableText"/>
              <w:spacing w:before="40" w:after="40"/>
              <w:rPr>
                <w:rFonts w:ascii="Segoe UI" w:hAnsi="Segoe UI" w:cs="Segoe UI"/>
                <w:sz w:val="18"/>
                <w:szCs w:val="18"/>
              </w:rPr>
            </w:pPr>
            <w:r w:rsidRPr="001D5327">
              <w:t>Direct nitrous oxide (N</w:t>
            </w:r>
            <w:r w:rsidRPr="001D5327">
              <w:rPr>
                <w:sz w:val="12"/>
                <w:szCs w:val="12"/>
                <w:vertAlign w:val="subscript"/>
              </w:rPr>
              <w:t>2</w:t>
            </w:r>
            <w:r w:rsidRPr="001D5327">
              <w:t xml:space="preserve">O) emissions from anaerobic lagoons (dairy and swine) and daily spread (swine) are reported under </w:t>
            </w:r>
            <w:r w:rsidRPr="001D5327">
              <w:rPr>
                <w:i/>
                <w:iCs/>
              </w:rPr>
              <w:t>Agricultural soils</w:t>
            </w:r>
            <w:r w:rsidRPr="001D5327">
              <w:t>. The 2006 Intergovernmental Panel on Climate Change Guidelines for National Greenhouse Gas Inventories (2006 IPCC Guidelines) assume negligible direct N</w:t>
            </w:r>
            <w:r w:rsidRPr="001D5327">
              <w:rPr>
                <w:sz w:val="12"/>
                <w:szCs w:val="12"/>
                <w:vertAlign w:val="subscript"/>
              </w:rPr>
              <w:t>2</w:t>
            </w:r>
            <w:r w:rsidRPr="001D5327">
              <w:t>O emissions occur in anaerobic lagoons and daily spread, and only occur once the stored effluent is spread onto agricultural soils (IPCC, 2006d). For more information, see chapter 5, sections 5.3.2 (‘Direct nitrous oxide emissions from manure management’) and 5.5.2 (‘Urine and dung deposited by grazing animals’). </w:t>
            </w:r>
          </w:p>
        </w:tc>
      </w:tr>
      <w:tr w:rsidR="002C51B5" w:rsidRPr="001D5327" w14:paraId="28CDDE39" w14:textId="77777777" w:rsidTr="002C51B5">
        <w:tc>
          <w:tcPr>
            <w:tcW w:w="1129" w:type="dxa"/>
            <w:shd w:val="clear" w:color="auto" w:fill="auto"/>
            <w:tcMar>
              <w:left w:w="85" w:type="dxa"/>
              <w:right w:w="85" w:type="dxa"/>
            </w:tcMar>
            <w:hideMark/>
          </w:tcPr>
          <w:p w14:paraId="24AF533B" w14:textId="77777777" w:rsidR="009D798A" w:rsidRPr="001D5327" w:rsidRDefault="009D798A" w:rsidP="00341FEF">
            <w:pPr>
              <w:pStyle w:val="TableText"/>
              <w:spacing w:before="40" w:after="40"/>
              <w:rPr>
                <w:rFonts w:ascii="Segoe UI" w:hAnsi="Segoe UI" w:cs="Segoe UI"/>
                <w:sz w:val="18"/>
                <w:szCs w:val="18"/>
              </w:rPr>
            </w:pPr>
            <w:r w:rsidRPr="001D5327">
              <w:t>3.E </w:t>
            </w:r>
          </w:p>
        </w:tc>
        <w:tc>
          <w:tcPr>
            <w:tcW w:w="1990" w:type="dxa"/>
            <w:shd w:val="clear" w:color="auto" w:fill="auto"/>
            <w:tcMar>
              <w:left w:w="85" w:type="dxa"/>
              <w:right w:w="85" w:type="dxa"/>
            </w:tcMar>
            <w:hideMark/>
          </w:tcPr>
          <w:p w14:paraId="7518D5DF" w14:textId="77777777" w:rsidR="009D798A" w:rsidRPr="001D5327" w:rsidRDefault="009D798A" w:rsidP="00341FEF">
            <w:pPr>
              <w:pStyle w:val="TableText"/>
              <w:spacing w:before="40" w:after="40"/>
              <w:rPr>
                <w:rFonts w:ascii="Segoe UI" w:hAnsi="Segoe UI" w:cs="Segoe UI"/>
                <w:sz w:val="18"/>
                <w:szCs w:val="18"/>
              </w:rPr>
            </w:pPr>
            <w:r w:rsidRPr="001D5327">
              <w:t>Prescribed burning of savannas </w:t>
            </w:r>
          </w:p>
        </w:tc>
        <w:tc>
          <w:tcPr>
            <w:tcW w:w="2268" w:type="dxa"/>
            <w:shd w:val="clear" w:color="auto" w:fill="auto"/>
            <w:tcMar>
              <w:left w:w="85" w:type="dxa"/>
              <w:right w:w="85" w:type="dxa"/>
            </w:tcMar>
            <w:hideMark/>
          </w:tcPr>
          <w:p w14:paraId="54D1CB3D" w14:textId="77777777" w:rsidR="009D798A" w:rsidRPr="001D5327" w:rsidRDefault="009D798A" w:rsidP="00341FEF">
            <w:pPr>
              <w:pStyle w:val="TableText"/>
              <w:spacing w:before="40" w:after="40"/>
              <w:rPr>
                <w:rFonts w:ascii="Segoe UI" w:hAnsi="Segoe UI" w:cs="Segoe UI"/>
                <w:sz w:val="18"/>
                <w:szCs w:val="18"/>
              </w:rPr>
            </w:pPr>
            <w:r w:rsidRPr="001D5327">
              <w:t>Biomass burning (table 4(V) of LULUCF), category C Grassland </w:t>
            </w:r>
          </w:p>
        </w:tc>
        <w:tc>
          <w:tcPr>
            <w:tcW w:w="3118" w:type="dxa"/>
            <w:shd w:val="clear" w:color="auto" w:fill="auto"/>
            <w:tcMar>
              <w:left w:w="85" w:type="dxa"/>
              <w:right w:w="85" w:type="dxa"/>
            </w:tcMar>
            <w:hideMark/>
          </w:tcPr>
          <w:p w14:paraId="0F6ECD7D" w14:textId="77777777" w:rsidR="009D798A" w:rsidRPr="001D5327" w:rsidRDefault="009D798A" w:rsidP="00341FEF">
            <w:pPr>
              <w:pStyle w:val="TableText"/>
              <w:spacing w:before="40" w:after="40"/>
              <w:rPr>
                <w:rFonts w:ascii="Segoe UI" w:hAnsi="Segoe UI" w:cs="Segoe UI"/>
                <w:sz w:val="18"/>
                <w:szCs w:val="18"/>
              </w:rPr>
            </w:pPr>
            <w:r w:rsidRPr="001D5327">
              <w:t>Prescribed burning of savanna is reported under the Land Use, Land-Use Change and Forestry (LULUCF) sector. See chapter 6, section 6.11.8 (‘Biomass burning’ (table 4(V) of LULUCF), category C Grassland). </w:t>
            </w:r>
          </w:p>
        </w:tc>
      </w:tr>
      <w:tr w:rsidR="009D798A" w:rsidRPr="001D5327" w14:paraId="4393D935" w14:textId="77777777" w:rsidTr="002C51B5">
        <w:tc>
          <w:tcPr>
            <w:tcW w:w="8505" w:type="dxa"/>
            <w:gridSpan w:val="4"/>
            <w:shd w:val="clear" w:color="auto" w:fill="auto"/>
            <w:tcMar>
              <w:left w:w="85" w:type="dxa"/>
              <w:right w:w="85" w:type="dxa"/>
            </w:tcMar>
          </w:tcPr>
          <w:p w14:paraId="7CD2F1D1" w14:textId="77777777" w:rsidR="009D798A" w:rsidRPr="001D5327" w:rsidRDefault="009D798A" w:rsidP="00341FEF">
            <w:pPr>
              <w:pStyle w:val="Tableboldblue"/>
              <w:spacing w:before="40" w:after="40"/>
            </w:pPr>
            <w:r w:rsidRPr="001D5327">
              <w:t>Land Use, Land-Use Change and Forestry</w:t>
            </w:r>
          </w:p>
        </w:tc>
      </w:tr>
      <w:tr w:rsidR="002C51B5" w:rsidRPr="001D5327" w14:paraId="36FD1CF3" w14:textId="77777777" w:rsidTr="002C51B5">
        <w:tc>
          <w:tcPr>
            <w:tcW w:w="1129" w:type="dxa"/>
            <w:shd w:val="clear" w:color="auto" w:fill="auto"/>
            <w:tcMar>
              <w:left w:w="85" w:type="dxa"/>
              <w:right w:w="85" w:type="dxa"/>
            </w:tcMar>
            <w:hideMark/>
          </w:tcPr>
          <w:p w14:paraId="1A00B0E1" w14:textId="77777777" w:rsidR="009D798A" w:rsidRPr="001D5327" w:rsidRDefault="009D798A" w:rsidP="00341FEF">
            <w:pPr>
              <w:pStyle w:val="TableText"/>
              <w:spacing w:before="40" w:after="40"/>
              <w:rPr>
                <w:rFonts w:ascii="Segoe UI" w:hAnsi="Segoe UI" w:cs="Segoe UI"/>
                <w:sz w:val="18"/>
                <w:szCs w:val="18"/>
              </w:rPr>
            </w:pPr>
            <w:r w:rsidRPr="001D5327">
              <w:t>4.A.1/4(V) </w:t>
            </w:r>
          </w:p>
        </w:tc>
        <w:tc>
          <w:tcPr>
            <w:tcW w:w="1990" w:type="dxa"/>
            <w:shd w:val="clear" w:color="auto" w:fill="auto"/>
            <w:tcMar>
              <w:left w:w="85" w:type="dxa"/>
              <w:right w:w="85" w:type="dxa"/>
            </w:tcMar>
            <w:hideMark/>
          </w:tcPr>
          <w:p w14:paraId="278E6D6C" w14:textId="77777777" w:rsidR="009D798A" w:rsidRPr="001D5327" w:rsidRDefault="009D798A" w:rsidP="00341FEF">
            <w:pPr>
              <w:pStyle w:val="TableText"/>
              <w:spacing w:before="40" w:after="40"/>
              <w:rPr>
                <w:rFonts w:ascii="Segoe UI" w:hAnsi="Segoe UI" w:cs="Segoe UI"/>
                <w:sz w:val="18"/>
                <w:szCs w:val="18"/>
              </w:rPr>
            </w:pPr>
            <w:r w:rsidRPr="001D5327">
              <w:t>Controlled burning </w:t>
            </w:r>
          </w:p>
        </w:tc>
        <w:tc>
          <w:tcPr>
            <w:tcW w:w="2268" w:type="dxa"/>
            <w:shd w:val="clear" w:color="auto" w:fill="auto"/>
            <w:tcMar>
              <w:left w:w="85" w:type="dxa"/>
              <w:right w:w="85" w:type="dxa"/>
            </w:tcMar>
            <w:hideMark/>
          </w:tcPr>
          <w:p w14:paraId="1E089F3B" w14:textId="77777777" w:rsidR="009D798A" w:rsidRPr="001D5327" w:rsidRDefault="009D798A" w:rsidP="00341FEF">
            <w:pPr>
              <w:pStyle w:val="TableText"/>
              <w:spacing w:before="40" w:after="40"/>
              <w:rPr>
                <w:rFonts w:ascii="Segoe UI" w:hAnsi="Segoe UI" w:cs="Segoe UI"/>
                <w:sz w:val="18"/>
                <w:szCs w:val="18"/>
              </w:rPr>
            </w:pPr>
            <w:r w:rsidRPr="001D5327">
              <w:t>Forest land remaining forest land </w:t>
            </w:r>
          </w:p>
        </w:tc>
        <w:tc>
          <w:tcPr>
            <w:tcW w:w="3118" w:type="dxa"/>
            <w:shd w:val="clear" w:color="auto" w:fill="auto"/>
            <w:tcMar>
              <w:left w:w="85" w:type="dxa"/>
              <w:right w:w="85" w:type="dxa"/>
            </w:tcMar>
            <w:hideMark/>
          </w:tcPr>
          <w:p w14:paraId="4BD1497D" w14:textId="77777777" w:rsidR="009D798A" w:rsidRPr="001D5327" w:rsidRDefault="009D798A" w:rsidP="00341FEF">
            <w:pPr>
              <w:pStyle w:val="TableText"/>
              <w:spacing w:before="40" w:after="40"/>
              <w:rPr>
                <w:rFonts w:ascii="Segoe UI" w:hAnsi="Segoe UI" w:cs="Segoe UI"/>
                <w:sz w:val="18"/>
                <w:szCs w:val="18"/>
              </w:rPr>
            </w:pPr>
            <w:r w:rsidRPr="001D5327">
              <w:t>Carbon dioxide (CO</w:t>
            </w:r>
            <w:r w:rsidRPr="001D5327">
              <w:rPr>
                <w:sz w:val="12"/>
                <w:szCs w:val="12"/>
                <w:vertAlign w:val="subscript"/>
              </w:rPr>
              <w:t>2</w:t>
            </w:r>
            <w:r w:rsidRPr="001D5327">
              <w:t>) emissions are captured by the general carbon stock change calculation if the fire-damaged area is harvested and replanted. If the stand is allowed to grow on but with a reduced stocking, the CO</w:t>
            </w:r>
            <w:r w:rsidRPr="001D5327">
              <w:rPr>
                <w:sz w:val="12"/>
                <w:szCs w:val="12"/>
                <w:vertAlign w:val="subscript"/>
              </w:rPr>
              <w:t>2</w:t>
            </w:r>
            <w:r w:rsidRPr="001D5327">
              <w:t xml:space="preserve"> emissions are reported at the eventual time of harvest. </w:t>
            </w:r>
          </w:p>
        </w:tc>
      </w:tr>
      <w:tr w:rsidR="002C51B5" w:rsidRPr="001D5327" w14:paraId="660165F6" w14:textId="77777777" w:rsidTr="002C51B5">
        <w:tc>
          <w:tcPr>
            <w:tcW w:w="1129" w:type="dxa"/>
            <w:shd w:val="clear" w:color="auto" w:fill="auto"/>
            <w:tcMar>
              <w:left w:w="85" w:type="dxa"/>
              <w:right w:w="85" w:type="dxa"/>
            </w:tcMar>
            <w:hideMark/>
          </w:tcPr>
          <w:p w14:paraId="274C5645" w14:textId="77777777" w:rsidR="009D798A" w:rsidRPr="001D5327" w:rsidRDefault="009D798A" w:rsidP="00CD4C1A">
            <w:pPr>
              <w:pStyle w:val="TableText"/>
              <w:spacing w:before="40" w:after="0"/>
              <w:rPr>
                <w:rFonts w:ascii="Segoe UI" w:hAnsi="Segoe UI" w:cs="Segoe UI"/>
                <w:sz w:val="18"/>
                <w:szCs w:val="18"/>
              </w:rPr>
            </w:pPr>
            <w:r w:rsidRPr="001D5327">
              <w:lastRenderedPageBreak/>
              <w:t>4.A.1/4(II) </w:t>
            </w:r>
          </w:p>
          <w:p w14:paraId="36964D30" w14:textId="77777777" w:rsidR="009D798A" w:rsidRPr="001D5327" w:rsidRDefault="009D798A" w:rsidP="00341FEF">
            <w:pPr>
              <w:pStyle w:val="TableText"/>
              <w:spacing w:before="40" w:after="40"/>
              <w:rPr>
                <w:rFonts w:ascii="Segoe UI" w:hAnsi="Segoe UI" w:cs="Segoe UI"/>
                <w:sz w:val="18"/>
                <w:szCs w:val="18"/>
              </w:rPr>
            </w:pPr>
            <w:r w:rsidRPr="001D5327">
              <w:t>4.B.1/4(II) </w:t>
            </w:r>
          </w:p>
        </w:tc>
        <w:tc>
          <w:tcPr>
            <w:tcW w:w="1990" w:type="dxa"/>
            <w:shd w:val="clear" w:color="auto" w:fill="auto"/>
            <w:tcMar>
              <w:left w:w="85" w:type="dxa"/>
              <w:right w:w="85" w:type="dxa"/>
            </w:tcMar>
            <w:hideMark/>
          </w:tcPr>
          <w:p w14:paraId="3F1C0626" w14:textId="77777777" w:rsidR="009D798A" w:rsidRPr="001D5327" w:rsidRDefault="009D798A" w:rsidP="00CD4C1A">
            <w:pPr>
              <w:pStyle w:val="TableText"/>
              <w:spacing w:before="40" w:after="0"/>
              <w:rPr>
                <w:rFonts w:ascii="Segoe UI" w:hAnsi="Segoe UI" w:cs="Segoe UI"/>
                <w:sz w:val="18"/>
                <w:szCs w:val="18"/>
              </w:rPr>
            </w:pPr>
            <w:r w:rsidRPr="001D5327">
              <w:t>Forest land </w:t>
            </w:r>
          </w:p>
          <w:p w14:paraId="3124C63C" w14:textId="77777777" w:rsidR="009D798A" w:rsidRPr="001D5327" w:rsidRDefault="009D798A" w:rsidP="00341FEF">
            <w:pPr>
              <w:pStyle w:val="TableText"/>
              <w:spacing w:before="40" w:after="40"/>
              <w:rPr>
                <w:rFonts w:ascii="Segoe UI" w:hAnsi="Segoe UI" w:cs="Segoe UI"/>
                <w:sz w:val="18"/>
                <w:szCs w:val="18"/>
              </w:rPr>
            </w:pPr>
            <w:r w:rsidRPr="001D5327">
              <w:t>Cropland </w:t>
            </w:r>
          </w:p>
        </w:tc>
        <w:tc>
          <w:tcPr>
            <w:tcW w:w="2268" w:type="dxa"/>
            <w:shd w:val="clear" w:color="auto" w:fill="auto"/>
            <w:tcMar>
              <w:left w:w="85" w:type="dxa"/>
              <w:right w:w="85" w:type="dxa"/>
            </w:tcMar>
            <w:hideMark/>
          </w:tcPr>
          <w:p w14:paraId="6AD5AAE2" w14:textId="77777777" w:rsidR="009D798A" w:rsidRPr="001D5327" w:rsidRDefault="009D798A" w:rsidP="00341FEF">
            <w:pPr>
              <w:pStyle w:val="TableText"/>
              <w:spacing w:before="40" w:after="40"/>
              <w:rPr>
                <w:rFonts w:ascii="Segoe UI" w:hAnsi="Segoe UI" w:cs="Segoe UI"/>
                <w:sz w:val="18"/>
                <w:szCs w:val="18"/>
              </w:rPr>
            </w:pPr>
            <w:r w:rsidRPr="001D5327">
              <w:t>Emissions and removals from drainage and rewetting and other management of organic and mineral soils </w:t>
            </w:r>
          </w:p>
        </w:tc>
        <w:tc>
          <w:tcPr>
            <w:tcW w:w="3118" w:type="dxa"/>
            <w:shd w:val="clear" w:color="auto" w:fill="auto"/>
            <w:tcMar>
              <w:left w:w="85" w:type="dxa"/>
              <w:right w:w="85" w:type="dxa"/>
            </w:tcMar>
            <w:hideMark/>
          </w:tcPr>
          <w:p w14:paraId="22099E0F" w14:textId="77777777" w:rsidR="009D798A" w:rsidRPr="001D5327" w:rsidRDefault="009D798A" w:rsidP="00341FEF">
            <w:pPr>
              <w:pStyle w:val="TableText"/>
              <w:spacing w:before="40" w:after="40"/>
              <w:rPr>
                <w:rFonts w:ascii="Segoe UI" w:hAnsi="Segoe UI" w:cs="Segoe UI"/>
                <w:sz w:val="18"/>
                <w:szCs w:val="18"/>
              </w:rPr>
            </w:pPr>
            <w:r w:rsidRPr="001D5327">
              <w:t>These emissions are reported under organic soils. </w:t>
            </w:r>
          </w:p>
        </w:tc>
      </w:tr>
      <w:tr w:rsidR="002C51B5" w:rsidRPr="001D5327" w14:paraId="1D80CE23" w14:textId="77777777" w:rsidTr="002C51B5">
        <w:tc>
          <w:tcPr>
            <w:tcW w:w="1129" w:type="dxa"/>
            <w:shd w:val="clear" w:color="auto" w:fill="auto"/>
            <w:tcMar>
              <w:left w:w="85" w:type="dxa"/>
              <w:right w:w="85" w:type="dxa"/>
            </w:tcMar>
            <w:hideMark/>
          </w:tcPr>
          <w:p w14:paraId="5EB17744" w14:textId="77777777" w:rsidR="009D798A" w:rsidRPr="001D5327" w:rsidRDefault="009D798A" w:rsidP="00341FEF">
            <w:pPr>
              <w:pStyle w:val="TableText"/>
              <w:spacing w:before="40" w:after="40"/>
              <w:rPr>
                <w:rFonts w:ascii="Segoe UI" w:hAnsi="Segoe UI" w:cs="Segoe UI"/>
                <w:sz w:val="18"/>
                <w:szCs w:val="18"/>
              </w:rPr>
            </w:pPr>
            <w:r w:rsidRPr="001D5327">
              <w:t>4.A.1 </w:t>
            </w:r>
          </w:p>
        </w:tc>
        <w:tc>
          <w:tcPr>
            <w:tcW w:w="1990" w:type="dxa"/>
            <w:shd w:val="clear" w:color="auto" w:fill="auto"/>
            <w:tcMar>
              <w:left w:w="85" w:type="dxa"/>
              <w:right w:w="85" w:type="dxa"/>
            </w:tcMar>
            <w:hideMark/>
          </w:tcPr>
          <w:p w14:paraId="593950EE" w14:textId="77777777" w:rsidR="009D798A" w:rsidRPr="001D5327" w:rsidRDefault="009D798A" w:rsidP="00341FEF">
            <w:pPr>
              <w:pStyle w:val="TableText"/>
              <w:spacing w:before="40" w:after="40"/>
              <w:rPr>
                <w:rFonts w:ascii="Segoe UI" w:hAnsi="Segoe UI" w:cs="Segoe UI"/>
                <w:sz w:val="18"/>
                <w:szCs w:val="18"/>
              </w:rPr>
            </w:pPr>
            <w:r w:rsidRPr="001D5327">
              <w:t>Forest land remaining forest land </w:t>
            </w:r>
          </w:p>
        </w:tc>
        <w:tc>
          <w:tcPr>
            <w:tcW w:w="2268" w:type="dxa"/>
            <w:shd w:val="clear" w:color="auto" w:fill="auto"/>
            <w:tcMar>
              <w:left w:w="85" w:type="dxa"/>
              <w:right w:w="85" w:type="dxa"/>
            </w:tcMar>
            <w:hideMark/>
          </w:tcPr>
          <w:p w14:paraId="06E2A384" w14:textId="77777777" w:rsidR="009D798A" w:rsidRPr="001D5327" w:rsidRDefault="009D798A" w:rsidP="00341FEF">
            <w:pPr>
              <w:pStyle w:val="TableText"/>
              <w:spacing w:before="40" w:after="40"/>
              <w:rPr>
                <w:rFonts w:ascii="Segoe UI" w:hAnsi="Segoe UI" w:cs="Segoe UI"/>
                <w:sz w:val="18"/>
                <w:szCs w:val="18"/>
              </w:rPr>
            </w:pPr>
            <w:r w:rsidRPr="001D5327">
              <w:t>Forest land remaining forest land </w:t>
            </w:r>
          </w:p>
        </w:tc>
        <w:tc>
          <w:tcPr>
            <w:tcW w:w="3118" w:type="dxa"/>
            <w:shd w:val="clear" w:color="auto" w:fill="auto"/>
            <w:tcMar>
              <w:left w:w="85" w:type="dxa"/>
              <w:right w:w="85" w:type="dxa"/>
            </w:tcMar>
            <w:hideMark/>
          </w:tcPr>
          <w:p w14:paraId="3FA7A564" w14:textId="77777777" w:rsidR="009D798A" w:rsidRPr="001D5327" w:rsidRDefault="009D798A" w:rsidP="00341FEF">
            <w:pPr>
              <w:pStyle w:val="TableText"/>
              <w:spacing w:before="40" w:after="40"/>
              <w:rPr>
                <w:rFonts w:ascii="Segoe UI" w:hAnsi="Segoe UI" w:cs="Segoe UI"/>
                <w:sz w:val="18"/>
                <w:szCs w:val="18"/>
              </w:rPr>
            </w:pPr>
            <w:r w:rsidRPr="001D5327">
              <w:t>Because New Zealand uses the stock change approach, losses are reported only in years when new land is converted to this category, or when there is harvesting of forest in this year. When neither of these activities occurs, the losses are reported with biomass gains (stock change approach) and ‘IE’ is reported for biomass losses. </w:t>
            </w:r>
          </w:p>
        </w:tc>
      </w:tr>
      <w:tr w:rsidR="002C51B5" w:rsidRPr="001D5327" w14:paraId="33C50DE5" w14:textId="77777777" w:rsidTr="002C51B5">
        <w:tc>
          <w:tcPr>
            <w:tcW w:w="1129" w:type="dxa"/>
            <w:shd w:val="clear" w:color="auto" w:fill="auto"/>
            <w:tcMar>
              <w:left w:w="85" w:type="dxa"/>
              <w:right w:w="85" w:type="dxa"/>
            </w:tcMar>
            <w:hideMark/>
          </w:tcPr>
          <w:p w14:paraId="7170E243" w14:textId="77777777" w:rsidR="009D798A" w:rsidRPr="001D5327" w:rsidRDefault="009D798A" w:rsidP="00341FEF">
            <w:pPr>
              <w:pStyle w:val="TableText"/>
              <w:spacing w:before="40" w:after="40"/>
              <w:rPr>
                <w:rFonts w:ascii="Segoe UI" w:hAnsi="Segoe UI" w:cs="Segoe UI"/>
                <w:sz w:val="18"/>
                <w:szCs w:val="18"/>
              </w:rPr>
            </w:pPr>
            <w:r w:rsidRPr="001D5327">
              <w:t>4.A.2 </w:t>
            </w:r>
          </w:p>
        </w:tc>
        <w:tc>
          <w:tcPr>
            <w:tcW w:w="1990" w:type="dxa"/>
            <w:shd w:val="clear" w:color="auto" w:fill="auto"/>
            <w:tcMar>
              <w:left w:w="85" w:type="dxa"/>
              <w:right w:w="85" w:type="dxa"/>
            </w:tcMar>
            <w:hideMark/>
          </w:tcPr>
          <w:p w14:paraId="12A52478" w14:textId="77777777" w:rsidR="009D798A" w:rsidRPr="001D5327" w:rsidRDefault="009D798A" w:rsidP="00341FEF">
            <w:pPr>
              <w:pStyle w:val="TableText"/>
              <w:spacing w:before="40" w:after="40"/>
              <w:rPr>
                <w:rFonts w:ascii="Segoe UI" w:hAnsi="Segoe UI" w:cs="Segoe UI"/>
                <w:sz w:val="18"/>
                <w:szCs w:val="18"/>
              </w:rPr>
            </w:pPr>
            <w:r w:rsidRPr="001D5327">
              <w:t>Land converted to forest land </w:t>
            </w:r>
          </w:p>
        </w:tc>
        <w:tc>
          <w:tcPr>
            <w:tcW w:w="2268" w:type="dxa"/>
            <w:shd w:val="clear" w:color="auto" w:fill="auto"/>
            <w:tcMar>
              <w:left w:w="85" w:type="dxa"/>
              <w:right w:w="85" w:type="dxa"/>
            </w:tcMar>
            <w:hideMark/>
          </w:tcPr>
          <w:p w14:paraId="6474DA72" w14:textId="77777777" w:rsidR="009D798A" w:rsidRPr="001D5327" w:rsidRDefault="009D798A" w:rsidP="00341FEF">
            <w:pPr>
              <w:pStyle w:val="TableText"/>
              <w:spacing w:before="40" w:after="40"/>
              <w:rPr>
                <w:rFonts w:ascii="Segoe UI" w:hAnsi="Segoe UI" w:cs="Segoe UI"/>
                <w:sz w:val="18"/>
                <w:szCs w:val="18"/>
              </w:rPr>
            </w:pPr>
            <w:r w:rsidRPr="001D5327">
              <w:t>Land converted to forest land </w:t>
            </w:r>
          </w:p>
        </w:tc>
        <w:tc>
          <w:tcPr>
            <w:tcW w:w="3118" w:type="dxa"/>
            <w:shd w:val="clear" w:color="auto" w:fill="auto"/>
            <w:tcMar>
              <w:left w:w="85" w:type="dxa"/>
              <w:right w:w="85" w:type="dxa"/>
            </w:tcMar>
            <w:hideMark/>
          </w:tcPr>
          <w:p w14:paraId="71ED32DC" w14:textId="77777777" w:rsidR="009D798A" w:rsidRPr="001D5327" w:rsidRDefault="009D798A" w:rsidP="00341FEF">
            <w:pPr>
              <w:pStyle w:val="TableText"/>
              <w:spacing w:before="40" w:after="40"/>
              <w:rPr>
                <w:rFonts w:ascii="Segoe UI" w:hAnsi="Segoe UI" w:cs="Segoe UI"/>
                <w:sz w:val="18"/>
                <w:szCs w:val="18"/>
              </w:rPr>
            </w:pPr>
            <w:r w:rsidRPr="001D5327">
              <w:t>Because New Zealand uses the stock change approach, CO</w:t>
            </w:r>
            <w:r w:rsidRPr="001D5327">
              <w:rPr>
                <w:sz w:val="12"/>
                <w:szCs w:val="12"/>
                <w:vertAlign w:val="subscript"/>
              </w:rPr>
              <w:t>2</w:t>
            </w:r>
            <w:r w:rsidRPr="001D5327">
              <w:t xml:space="preserve"> emissions from biomass losses are reported only in years when new land is converted to this category, or when there is harvesting of forest in this year. When neither of these activities occurs, the losses are reported with biomass gains (stock change approach) and ‘IE’ is reported for biomass losses. </w:t>
            </w:r>
          </w:p>
        </w:tc>
      </w:tr>
      <w:tr w:rsidR="002C51B5" w:rsidRPr="001D5327" w14:paraId="0C72536A" w14:textId="77777777" w:rsidTr="002C51B5">
        <w:tc>
          <w:tcPr>
            <w:tcW w:w="1129" w:type="dxa"/>
            <w:shd w:val="clear" w:color="auto" w:fill="auto"/>
            <w:tcMar>
              <w:left w:w="85" w:type="dxa"/>
              <w:right w:w="85" w:type="dxa"/>
            </w:tcMar>
            <w:hideMark/>
          </w:tcPr>
          <w:p w14:paraId="29B2DA4B" w14:textId="77777777" w:rsidR="009D798A" w:rsidRPr="001D5327" w:rsidRDefault="009D798A" w:rsidP="00341FEF">
            <w:pPr>
              <w:pStyle w:val="TableText"/>
              <w:spacing w:before="40" w:after="40"/>
              <w:rPr>
                <w:rFonts w:ascii="Segoe UI" w:hAnsi="Segoe UI" w:cs="Segoe UI"/>
                <w:sz w:val="18"/>
                <w:szCs w:val="18"/>
              </w:rPr>
            </w:pPr>
            <w:r w:rsidRPr="001D5327">
              <w:t>4.A.1/4.A.2 </w:t>
            </w:r>
          </w:p>
        </w:tc>
        <w:tc>
          <w:tcPr>
            <w:tcW w:w="1990" w:type="dxa"/>
            <w:shd w:val="clear" w:color="auto" w:fill="auto"/>
            <w:tcMar>
              <w:left w:w="85" w:type="dxa"/>
              <w:right w:w="85" w:type="dxa"/>
            </w:tcMar>
            <w:hideMark/>
          </w:tcPr>
          <w:p w14:paraId="4D6D2964" w14:textId="77777777" w:rsidR="009D798A" w:rsidRPr="001D5327" w:rsidRDefault="009D798A" w:rsidP="00341FEF">
            <w:pPr>
              <w:pStyle w:val="TableText"/>
              <w:spacing w:before="40" w:after="40"/>
              <w:rPr>
                <w:rFonts w:ascii="Segoe UI" w:hAnsi="Segoe UI" w:cs="Segoe UI"/>
                <w:sz w:val="18"/>
                <w:szCs w:val="18"/>
              </w:rPr>
            </w:pPr>
            <w:r w:rsidRPr="001D5327">
              <w:t>Forest land remaining forest land, Land converted to forest land </w:t>
            </w:r>
          </w:p>
        </w:tc>
        <w:tc>
          <w:tcPr>
            <w:tcW w:w="2268" w:type="dxa"/>
            <w:shd w:val="clear" w:color="auto" w:fill="auto"/>
            <w:tcMar>
              <w:left w:w="85" w:type="dxa"/>
              <w:right w:w="85" w:type="dxa"/>
            </w:tcMar>
            <w:hideMark/>
          </w:tcPr>
          <w:p w14:paraId="6FD9B95E" w14:textId="77777777" w:rsidR="009D798A" w:rsidRPr="001D5327" w:rsidRDefault="009D798A" w:rsidP="00341FEF">
            <w:pPr>
              <w:pStyle w:val="TableText"/>
              <w:spacing w:before="40" w:after="40"/>
              <w:rPr>
                <w:rFonts w:ascii="Segoe UI" w:hAnsi="Segoe UI" w:cs="Segoe UI"/>
                <w:sz w:val="18"/>
                <w:szCs w:val="18"/>
              </w:rPr>
            </w:pPr>
            <w:r w:rsidRPr="001D5327">
              <w:t>Included under the Agriculture sector </w:t>
            </w:r>
          </w:p>
        </w:tc>
        <w:tc>
          <w:tcPr>
            <w:tcW w:w="3118" w:type="dxa"/>
            <w:shd w:val="clear" w:color="auto" w:fill="auto"/>
            <w:tcMar>
              <w:left w:w="85" w:type="dxa"/>
              <w:right w:w="85" w:type="dxa"/>
            </w:tcMar>
            <w:hideMark/>
          </w:tcPr>
          <w:p w14:paraId="0EA93566" w14:textId="77777777" w:rsidR="009D798A" w:rsidRPr="001D5327" w:rsidRDefault="009D798A" w:rsidP="00341FEF">
            <w:pPr>
              <w:pStyle w:val="TableText"/>
              <w:spacing w:before="40" w:after="40"/>
              <w:rPr>
                <w:rFonts w:ascii="Segoe UI" w:hAnsi="Segoe UI" w:cs="Segoe UI"/>
                <w:sz w:val="18"/>
                <w:szCs w:val="18"/>
              </w:rPr>
            </w:pPr>
            <w:r w:rsidRPr="001D5327">
              <w:t>New Zealand does not disaggregate data on nitrogen fertiliser by land use; therefore, all N</w:t>
            </w:r>
            <w:r w:rsidRPr="001D5327">
              <w:rPr>
                <w:sz w:val="12"/>
                <w:szCs w:val="12"/>
                <w:vertAlign w:val="subscript"/>
              </w:rPr>
              <w:t>2</w:t>
            </w:r>
            <w:r w:rsidRPr="001D5327">
              <w:t>O emissions are reported in the Agriculture sector. </w:t>
            </w:r>
          </w:p>
        </w:tc>
      </w:tr>
      <w:tr w:rsidR="002C51B5" w:rsidRPr="001D5327" w14:paraId="704CB7A0" w14:textId="77777777" w:rsidTr="002C51B5">
        <w:tc>
          <w:tcPr>
            <w:tcW w:w="1129" w:type="dxa"/>
            <w:shd w:val="clear" w:color="auto" w:fill="auto"/>
            <w:tcMar>
              <w:left w:w="85" w:type="dxa"/>
              <w:right w:w="85" w:type="dxa"/>
            </w:tcMar>
            <w:hideMark/>
          </w:tcPr>
          <w:p w14:paraId="18F6B651" w14:textId="77777777" w:rsidR="009D798A" w:rsidRPr="001D5327" w:rsidRDefault="009D798A" w:rsidP="00341FEF">
            <w:pPr>
              <w:pStyle w:val="TableText"/>
              <w:spacing w:before="40" w:after="40"/>
              <w:rPr>
                <w:rFonts w:ascii="Segoe UI" w:hAnsi="Segoe UI" w:cs="Segoe UI"/>
                <w:sz w:val="18"/>
                <w:szCs w:val="18"/>
              </w:rPr>
            </w:pPr>
            <w:r w:rsidRPr="001D5327">
              <w:t>4.A.2/4(V) </w:t>
            </w:r>
          </w:p>
        </w:tc>
        <w:tc>
          <w:tcPr>
            <w:tcW w:w="1990" w:type="dxa"/>
            <w:shd w:val="clear" w:color="auto" w:fill="auto"/>
            <w:tcMar>
              <w:left w:w="85" w:type="dxa"/>
              <w:right w:w="85" w:type="dxa"/>
            </w:tcMar>
            <w:hideMark/>
          </w:tcPr>
          <w:p w14:paraId="4BBD0CBA" w14:textId="77777777" w:rsidR="009D798A" w:rsidRPr="001D5327" w:rsidRDefault="009D798A" w:rsidP="00CD4C1A">
            <w:pPr>
              <w:pStyle w:val="TableText"/>
              <w:spacing w:before="40" w:after="0"/>
              <w:rPr>
                <w:rFonts w:ascii="Segoe UI" w:hAnsi="Segoe UI" w:cs="Segoe UI"/>
                <w:sz w:val="18"/>
                <w:szCs w:val="18"/>
              </w:rPr>
            </w:pPr>
            <w:r w:rsidRPr="001D5327">
              <w:t>Controlled burning/Land converted to forest land </w:t>
            </w:r>
          </w:p>
          <w:p w14:paraId="2E9E2A77" w14:textId="77777777" w:rsidR="009D798A" w:rsidRPr="001D5327" w:rsidRDefault="009D798A" w:rsidP="00341FEF">
            <w:pPr>
              <w:pStyle w:val="TableText"/>
              <w:spacing w:before="40" w:after="40"/>
              <w:rPr>
                <w:rFonts w:ascii="Segoe UI" w:hAnsi="Segoe UI" w:cs="Segoe UI"/>
                <w:sz w:val="18"/>
                <w:szCs w:val="18"/>
              </w:rPr>
            </w:pPr>
            <w:r w:rsidRPr="001D5327">
              <w:t>Wildfires/Land converted to forest land </w:t>
            </w:r>
          </w:p>
        </w:tc>
        <w:tc>
          <w:tcPr>
            <w:tcW w:w="2268" w:type="dxa"/>
            <w:shd w:val="clear" w:color="auto" w:fill="auto"/>
            <w:tcMar>
              <w:left w:w="85" w:type="dxa"/>
              <w:right w:w="85" w:type="dxa"/>
            </w:tcMar>
            <w:hideMark/>
          </w:tcPr>
          <w:p w14:paraId="04CFEA7B" w14:textId="77777777" w:rsidR="009D798A" w:rsidRPr="001D5327" w:rsidRDefault="009D798A" w:rsidP="00341FEF">
            <w:pPr>
              <w:pStyle w:val="TableText"/>
              <w:spacing w:before="40" w:after="40"/>
              <w:rPr>
                <w:rFonts w:ascii="Segoe UI" w:hAnsi="Segoe UI" w:cs="Segoe UI"/>
                <w:sz w:val="18"/>
                <w:szCs w:val="18"/>
              </w:rPr>
            </w:pPr>
            <w:r w:rsidRPr="001D5327">
              <w:t>Land converted to forest land </w:t>
            </w:r>
          </w:p>
        </w:tc>
        <w:tc>
          <w:tcPr>
            <w:tcW w:w="3118" w:type="dxa"/>
            <w:shd w:val="clear" w:color="auto" w:fill="auto"/>
            <w:tcMar>
              <w:left w:w="85" w:type="dxa"/>
              <w:right w:w="85" w:type="dxa"/>
            </w:tcMar>
            <w:hideMark/>
          </w:tcPr>
          <w:p w14:paraId="37631C98" w14:textId="77777777" w:rsidR="009D798A" w:rsidRPr="001D5327" w:rsidRDefault="009D798A" w:rsidP="00341FEF">
            <w:pPr>
              <w:pStyle w:val="TableText"/>
              <w:spacing w:before="40" w:after="40"/>
              <w:rPr>
                <w:rFonts w:ascii="Segoe UI" w:hAnsi="Segoe UI" w:cs="Segoe UI"/>
                <w:sz w:val="18"/>
                <w:szCs w:val="18"/>
              </w:rPr>
            </w:pPr>
            <w:r w:rsidRPr="001D5327">
              <w:t>Carbon dioxide emissions are captured by the general carbon stock change calculation if the fire-damaged area is harvested and replanted. If the stand is allowed to grow on but with a reduced stocking, the CO</w:t>
            </w:r>
            <w:r w:rsidRPr="001D5327">
              <w:rPr>
                <w:sz w:val="12"/>
                <w:szCs w:val="12"/>
                <w:vertAlign w:val="subscript"/>
              </w:rPr>
              <w:t>2</w:t>
            </w:r>
            <w:r w:rsidRPr="001D5327">
              <w:t xml:space="preserve"> emissions are reported on at the eventual time of harvest. </w:t>
            </w:r>
          </w:p>
        </w:tc>
      </w:tr>
      <w:tr w:rsidR="002C51B5" w:rsidRPr="001D5327" w14:paraId="56E46356" w14:textId="77777777" w:rsidTr="002C51B5">
        <w:tc>
          <w:tcPr>
            <w:tcW w:w="1129" w:type="dxa"/>
            <w:shd w:val="clear" w:color="auto" w:fill="auto"/>
            <w:tcMar>
              <w:left w:w="85" w:type="dxa"/>
              <w:right w:w="85" w:type="dxa"/>
            </w:tcMar>
            <w:hideMark/>
          </w:tcPr>
          <w:p w14:paraId="4A2D6F1C" w14:textId="77777777" w:rsidR="009D798A" w:rsidRPr="001D5327" w:rsidRDefault="009D798A" w:rsidP="00CD4C1A">
            <w:pPr>
              <w:pStyle w:val="TableText"/>
              <w:spacing w:before="40" w:after="0"/>
              <w:rPr>
                <w:rFonts w:ascii="Segoe UI" w:hAnsi="Segoe UI" w:cs="Segoe UI"/>
                <w:sz w:val="18"/>
                <w:szCs w:val="18"/>
              </w:rPr>
            </w:pPr>
            <w:r w:rsidRPr="001D5327">
              <w:t>4.B.1 </w:t>
            </w:r>
          </w:p>
          <w:p w14:paraId="4C0C53EC" w14:textId="77777777" w:rsidR="009D798A" w:rsidRPr="001D5327" w:rsidRDefault="009D798A" w:rsidP="00CD4C1A">
            <w:pPr>
              <w:pStyle w:val="TableText"/>
              <w:spacing w:before="40" w:after="0"/>
              <w:rPr>
                <w:rFonts w:ascii="Segoe UI" w:hAnsi="Segoe UI" w:cs="Segoe UI"/>
                <w:sz w:val="18"/>
                <w:szCs w:val="18"/>
              </w:rPr>
            </w:pPr>
            <w:r w:rsidRPr="001D5327">
              <w:t>4.B.2 </w:t>
            </w:r>
          </w:p>
          <w:p w14:paraId="0FFC5AE8" w14:textId="77777777" w:rsidR="009D798A" w:rsidRPr="001D5327" w:rsidRDefault="009D798A" w:rsidP="00CD4C1A">
            <w:pPr>
              <w:pStyle w:val="TableText"/>
              <w:spacing w:before="40" w:after="0"/>
              <w:rPr>
                <w:rFonts w:ascii="Segoe UI" w:hAnsi="Segoe UI" w:cs="Segoe UI"/>
                <w:sz w:val="18"/>
                <w:szCs w:val="18"/>
              </w:rPr>
            </w:pPr>
            <w:r w:rsidRPr="001D5327">
              <w:t>4.C.1 </w:t>
            </w:r>
          </w:p>
          <w:p w14:paraId="5F382569" w14:textId="77777777" w:rsidR="009D798A" w:rsidRPr="001D5327" w:rsidRDefault="009D798A" w:rsidP="00341FEF">
            <w:pPr>
              <w:pStyle w:val="TableText"/>
              <w:spacing w:before="40" w:after="40"/>
              <w:rPr>
                <w:rFonts w:ascii="Segoe UI" w:hAnsi="Segoe UI" w:cs="Segoe UI"/>
                <w:sz w:val="18"/>
                <w:szCs w:val="18"/>
              </w:rPr>
            </w:pPr>
            <w:r w:rsidRPr="001D5327">
              <w:t>4.C.2 </w:t>
            </w:r>
          </w:p>
        </w:tc>
        <w:tc>
          <w:tcPr>
            <w:tcW w:w="1990" w:type="dxa"/>
            <w:shd w:val="clear" w:color="auto" w:fill="auto"/>
            <w:tcMar>
              <w:left w:w="85" w:type="dxa"/>
              <w:right w:w="85" w:type="dxa"/>
            </w:tcMar>
            <w:hideMark/>
          </w:tcPr>
          <w:p w14:paraId="080010A7" w14:textId="77777777" w:rsidR="009D798A" w:rsidRPr="001D5327" w:rsidRDefault="009D798A" w:rsidP="00CD4C1A">
            <w:pPr>
              <w:pStyle w:val="TableText"/>
              <w:spacing w:before="40" w:after="0"/>
              <w:rPr>
                <w:rFonts w:ascii="Segoe UI" w:hAnsi="Segoe UI" w:cs="Segoe UI"/>
                <w:sz w:val="18"/>
                <w:szCs w:val="18"/>
              </w:rPr>
            </w:pPr>
            <w:r w:rsidRPr="001D5327">
              <w:t>Cropland remaining cropland </w:t>
            </w:r>
          </w:p>
          <w:p w14:paraId="058B928A" w14:textId="77777777" w:rsidR="009D798A" w:rsidRPr="001D5327" w:rsidRDefault="009D798A" w:rsidP="00CD4C1A">
            <w:pPr>
              <w:pStyle w:val="TableText"/>
              <w:spacing w:before="40" w:after="0"/>
              <w:rPr>
                <w:rFonts w:ascii="Segoe UI" w:hAnsi="Segoe UI" w:cs="Segoe UI"/>
                <w:sz w:val="18"/>
                <w:szCs w:val="18"/>
              </w:rPr>
            </w:pPr>
            <w:r w:rsidRPr="001D5327">
              <w:t>Land converted to cropland </w:t>
            </w:r>
          </w:p>
          <w:p w14:paraId="568170A1" w14:textId="77777777" w:rsidR="009D798A" w:rsidRPr="001D5327" w:rsidRDefault="009D798A" w:rsidP="00CD4C1A">
            <w:pPr>
              <w:pStyle w:val="TableText"/>
              <w:spacing w:before="40" w:after="0"/>
              <w:rPr>
                <w:rFonts w:ascii="Segoe UI" w:hAnsi="Segoe UI" w:cs="Segoe UI"/>
                <w:sz w:val="18"/>
                <w:szCs w:val="18"/>
              </w:rPr>
            </w:pPr>
            <w:r w:rsidRPr="001D5327">
              <w:t>Grassland remaining grassland </w:t>
            </w:r>
          </w:p>
          <w:p w14:paraId="3ECAA8AE" w14:textId="77777777" w:rsidR="009D798A" w:rsidRPr="001D5327" w:rsidRDefault="009D798A" w:rsidP="00341FEF">
            <w:pPr>
              <w:pStyle w:val="TableText"/>
              <w:spacing w:before="40" w:after="40"/>
              <w:rPr>
                <w:rFonts w:ascii="Segoe UI" w:hAnsi="Segoe UI" w:cs="Segoe UI"/>
                <w:sz w:val="18"/>
                <w:szCs w:val="18"/>
              </w:rPr>
            </w:pPr>
            <w:r w:rsidRPr="001D5327">
              <w:t>Land converted to grassland </w:t>
            </w:r>
          </w:p>
        </w:tc>
        <w:tc>
          <w:tcPr>
            <w:tcW w:w="2268" w:type="dxa"/>
            <w:shd w:val="clear" w:color="auto" w:fill="auto"/>
            <w:tcMar>
              <w:left w:w="85" w:type="dxa"/>
              <w:right w:w="85" w:type="dxa"/>
            </w:tcMar>
            <w:hideMark/>
          </w:tcPr>
          <w:p w14:paraId="7FB5ED07" w14:textId="77777777" w:rsidR="009D798A" w:rsidRPr="001D5327" w:rsidRDefault="009D798A" w:rsidP="00CD4C1A">
            <w:pPr>
              <w:pStyle w:val="TableText"/>
              <w:spacing w:before="40" w:after="0"/>
              <w:rPr>
                <w:rFonts w:ascii="Segoe UI" w:hAnsi="Segoe UI" w:cs="Segoe UI"/>
                <w:sz w:val="18"/>
                <w:szCs w:val="18"/>
              </w:rPr>
            </w:pPr>
            <w:r w:rsidRPr="001D5327">
              <w:t>Cropland remaining cropland </w:t>
            </w:r>
          </w:p>
          <w:p w14:paraId="0153333D" w14:textId="77777777" w:rsidR="009D798A" w:rsidRPr="001D5327" w:rsidRDefault="009D798A" w:rsidP="00CD4C1A">
            <w:pPr>
              <w:pStyle w:val="TableText"/>
              <w:spacing w:before="40" w:after="0"/>
              <w:rPr>
                <w:rFonts w:ascii="Segoe UI" w:hAnsi="Segoe UI" w:cs="Segoe UI"/>
                <w:sz w:val="18"/>
                <w:szCs w:val="18"/>
              </w:rPr>
            </w:pPr>
            <w:r w:rsidRPr="001D5327">
              <w:t>Land converted to cropland </w:t>
            </w:r>
          </w:p>
          <w:p w14:paraId="6FE14ADA" w14:textId="77777777" w:rsidR="009D798A" w:rsidRPr="001D5327" w:rsidRDefault="009D798A" w:rsidP="00CD4C1A">
            <w:pPr>
              <w:pStyle w:val="TableText"/>
              <w:spacing w:before="40" w:after="0"/>
              <w:rPr>
                <w:rFonts w:ascii="Segoe UI" w:hAnsi="Segoe UI" w:cs="Segoe UI"/>
                <w:sz w:val="18"/>
                <w:szCs w:val="18"/>
              </w:rPr>
            </w:pPr>
            <w:r w:rsidRPr="001D5327">
              <w:t>Grassland remaining grassland </w:t>
            </w:r>
          </w:p>
          <w:p w14:paraId="31018708" w14:textId="77777777" w:rsidR="009D798A" w:rsidRPr="001D5327" w:rsidRDefault="009D798A" w:rsidP="00341FEF">
            <w:pPr>
              <w:pStyle w:val="TableText"/>
              <w:spacing w:before="40" w:after="40"/>
              <w:rPr>
                <w:rFonts w:ascii="Segoe UI" w:hAnsi="Segoe UI" w:cs="Segoe UI"/>
                <w:sz w:val="18"/>
                <w:szCs w:val="18"/>
              </w:rPr>
            </w:pPr>
            <w:r w:rsidRPr="001D5327">
              <w:t>Land converted to grassland </w:t>
            </w:r>
          </w:p>
        </w:tc>
        <w:tc>
          <w:tcPr>
            <w:tcW w:w="3118" w:type="dxa"/>
            <w:shd w:val="clear" w:color="auto" w:fill="auto"/>
            <w:tcMar>
              <w:left w:w="85" w:type="dxa"/>
              <w:right w:w="85" w:type="dxa"/>
            </w:tcMar>
            <w:hideMark/>
          </w:tcPr>
          <w:p w14:paraId="22A60A43" w14:textId="77777777" w:rsidR="009D798A" w:rsidRPr="001D5327" w:rsidRDefault="009D798A" w:rsidP="00341FEF">
            <w:pPr>
              <w:pStyle w:val="TableText"/>
              <w:spacing w:before="40" w:after="40"/>
              <w:rPr>
                <w:rFonts w:ascii="Segoe UI" w:hAnsi="Segoe UI" w:cs="Segoe UI"/>
                <w:sz w:val="18"/>
                <w:szCs w:val="18"/>
              </w:rPr>
            </w:pPr>
            <w:r w:rsidRPr="001D5327">
              <w:t>New Zealand uses the stock change approach to estimate biomass emissions; therefore, biomass losses are reported with biomass gains and ‘IE’ is reported. </w:t>
            </w:r>
          </w:p>
        </w:tc>
      </w:tr>
      <w:tr w:rsidR="002C51B5" w:rsidRPr="001D5327" w14:paraId="00FD4DF8" w14:textId="77777777" w:rsidTr="002C51B5">
        <w:tc>
          <w:tcPr>
            <w:tcW w:w="1129" w:type="dxa"/>
            <w:shd w:val="clear" w:color="auto" w:fill="auto"/>
            <w:tcMar>
              <w:left w:w="85" w:type="dxa"/>
              <w:right w:w="85" w:type="dxa"/>
            </w:tcMar>
            <w:hideMark/>
          </w:tcPr>
          <w:p w14:paraId="12C3C086" w14:textId="77777777" w:rsidR="009D798A" w:rsidRPr="001D5327" w:rsidRDefault="009D798A" w:rsidP="00341FEF">
            <w:pPr>
              <w:pStyle w:val="TableText"/>
              <w:spacing w:before="40" w:after="40"/>
              <w:rPr>
                <w:rFonts w:ascii="Segoe UI" w:hAnsi="Segoe UI" w:cs="Segoe UI"/>
                <w:sz w:val="18"/>
                <w:szCs w:val="18"/>
              </w:rPr>
            </w:pPr>
            <w:r w:rsidRPr="001D5327">
              <w:t>4.B.1/4(V) </w:t>
            </w:r>
          </w:p>
        </w:tc>
        <w:tc>
          <w:tcPr>
            <w:tcW w:w="1990" w:type="dxa"/>
            <w:shd w:val="clear" w:color="auto" w:fill="auto"/>
            <w:tcMar>
              <w:left w:w="85" w:type="dxa"/>
              <w:right w:w="85" w:type="dxa"/>
            </w:tcMar>
            <w:hideMark/>
          </w:tcPr>
          <w:p w14:paraId="7ABD85D4" w14:textId="77777777" w:rsidR="009D798A" w:rsidRPr="001D5327" w:rsidRDefault="009D798A" w:rsidP="00341FEF">
            <w:pPr>
              <w:pStyle w:val="TableText"/>
              <w:spacing w:before="40" w:after="40"/>
              <w:rPr>
                <w:rFonts w:ascii="Segoe UI" w:hAnsi="Segoe UI" w:cs="Segoe UI"/>
                <w:sz w:val="18"/>
                <w:szCs w:val="18"/>
              </w:rPr>
            </w:pPr>
            <w:r w:rsidRPr="001D5327">
              <w:t>Controlled burning/Cropland remaining cropland </w:t>
            </w:r>
          </w:p>
        </w:tc>
        <w:tc>
          <w:tcPr>
            <w:tcW w:w="2268" w:type="dxa"/>
            <w:shd w:val="clear" w:color="auto" w:fill="auto"/>
            <w:tcMar>
              <w:left w:w="85" w:type="dxa"/>
              <w:right w:w="85" w:type="dxa"/>
            </w:tcMar>
            <w:hideMark/>
          </w:tcPr>
          <w:p w14:paraId="53C41C36" w14:textId="77777777" w:rsidR="009D798A" w:rsidRPr="001D5327" w:rsidRDefault="009D798A" w:rsidP="00341FEF">
            <w:pPr>
              <w:pStyle w:val="TableText"/>
              <w:spacing w:before="40" w:after="40"/>
              <w:rPr>
                <w:rFonts w:ascii="Segoe UI" w:hAnsi="Segoe UI" w:cs="Segoe UI"/>
                <w:sz w:val="18"/>
                <w:szCs w:val="18"/>
              </w:rPr>
            </w:pPr>
            <w:r w:rsidRPr="001D5327">
              <w:t>Included under the Agriculture sector </w:t>
            </w:r>
          </w:p>
        </w:tc>
        <w:tc>
          <w:tcPr>
            <w:tcW w:w="3118" w:type="dxa"/>
            <w:shd w:val="clear" w:color="auto" w:fill="auto"/>
            <w:tcMar>
              <w:left w:w="85" w:type="dxa"/>
              <w:right w:w="85" w:type="dxa"/>
            </w:tcMar>
            <w:hideMark/>
          </w:tcPr>
          <w:p w14:paraId="257B29BF" w14:textId="77777777" w:rsidR="009D798A" w:rsidRPr="001D5327" w:rsidRDefault="009D798A" w:rsidP="00341FEF">
            <w:pPr>
              <w:pStyle w:val="TableText"/>
              <w:spacing w:before="40" w:after="40"/>
              <w:rPr>
                <w:rFonts w:ascii="Segoe UI" w:hAnsi="Segoe UI" w:cs="Segoe UI"/>
                <w:sz w:val="18"/>
                <w:szCs w:val="18"/>
              </w:rPr>
            </w:pPr>
            <w:r w:rsidRPr="001D5327">
              <w:t>Carbon dioxide and methane (CH</w:t>
            </w:r>
            <w:r w:rsidRPr="001D5327">
              <w:rPr>
                <w:sz w:val="12"/>
                <w:szCs w:val="12"/>
                <w:vertAlign w:val="subscript"/>
              </w:rPr>
              <w:t>4</w:t>
            </w:r>
            <w:r w:rsidRPr="001D5327">
              <w:t>) emissions from burning of crop stubble are reported in the Agriculture sector. </w:t>
            </w:r>
          </w:p>
        </w:tc>
      </w:tr>
      <w:tr w:rsidR="002C51B5" w:rsidRPr="001D5327" w14:paraId="5F14902E" w14:textId="77777777" w:rsidTr="002C51B5">
        <w:tc>
          <w:tcPr>
            <w:tcW w:w="1129" w:type="dxa"/>
            <w:shd w:val="clear" w:color="auto" w:fill="auto"/>
            <w:tcMar>
              <w:left w:w="85" w:type="dxa"/>
              <w:right w:w="85" w:type="dxa"/>
            </w:tcMar>
            <w:hideMark/>
          </w:tcPr>
          <w:p w14:paraId="10A4E4CF" w14:textId="77777777" w:rsidR="009D798A" w:rsidRPr="001D5327" w:rsidRDefault="009D798A" w:rsidP="00341FEF">
            <w:pPr>
              <w:pStyle w:val="TableText"/>
              <w:spacing w:before="40" w:after="40"/>
              <w:rPr>
                <w:rFonts w:ascii="Segoe UI" w:hAnsi="Segoe UI" w:cs="Segoe UI"/>
                <w:sz w:val="18"/>
                <w:szCs w:val="18"/>
              </w:rPr>
            </w:pPr>
            <w:r w:rsidRPr="001D5327">
              <w:t>4.B.1/4(V) </w:t>
            </w:r>
          </w:p>
        </w:tc>
        <w:tc>
          <w:tcPr>
            <w:tcW w:w="1990" w:type="dxa"/>
            <w:shd w:val="clear" w:color="auto" w:fill="auto"/>
            <w:tcMar>
              <w:left w:w="85" w:type="dxa"/>
              <w:right w:w="85" w:type="dxa"/>
            </w:tcMar>
            <w:hideMark/>
          </w:tcPr>
          <w:p w14:paraId="20EA9824" w14:textId="77777777" w:rsidR="009D798A" w:rsidRPr="001D5327" w:rsidRDefault="009D798A" w:rsidP="00341FEF">
            <w:pPr>
              <w:pStyle w:val="TableText"/>
              <w:spacing w:before="40" w:after="40"/>
              <w:rPr>
                <w:rFonts w:ascii="Segoe UI" w:hAnsi="Segoe UI" w:cs="Segoe UI"/>
                <w:sz w:val="18"/>
                <w:szCs w:val="18"/>
              </w:rPr>
            </w:pPr>
            <w:r w:rsidRPr="001D5327">
              <w:t>Wildfires/Cropland remaining cropland </w:t>
            </w:r>
          </w:p>
        </w:tc>
        <w:tc>
          <w:tcPr>
            <w:tcW w:w="2268" w:type="dxa"/>
            <w:shd w:val="clear" w:color="auto" w:fill="auto"/>
            <w:tcMar>
              <w:left w:w="85" w:type="dxa"/>
              <w:right w:w="85" w:type="dxa"/>
            </w:tcMar>
            <w:hideMark/>
          </w:tcPr>
          <w:p w14:paraId="62DB723B" w14:textId="77777777" w:rsidR="009D798A" w:rsidRPr="001D5327" w:rsidRDefault="009D798A" w:rsidP="00341FEF">
            <w:pPr>
              <w:pStyle w:val="TableText"/>
              <w:spacing w:before="40" w:after="40"/>
              <w:rPr>
                <w:rFonts w:ascii="Segoe UI" w:hAnsi="Segoe UI" w:cs="Segoe UI"/>
                <w:sz w:val="18"/>
                <w:szCs w:val="18"/>
              </w:rPr>
            </w:pPr>
            <w:r w:rsidRPr="001D5327">
              <w:t>Cropland remaining cropland </w:t>
            </w:r>
          </w:p>
        </w:tc>
        <w:tc>
          <w:tcPr>
            <w:tcW w:w="3118" w:type="dxa"/>
            <w:shd w:val="clear" w:color="auto" w:fill="auto"/>
            <w:tcMar>
              <w:left w:w="85" w:type="dxa"/>
              <w:right w:w="85" w:type="dxa"/>
            </w:tcMar>
            <w:hideMark/>
          </w:tcPr>
          <w:p w14:paraId="17BA3F21" w14:textId="77777777" w:rsidR="009D798A" w:rsidRPr="001D5327" w:rsidRDefault="009D798A" w:rsidP="00341FEF">
            <w:pPr>
              <w:pStyle w:val="TableText"/>
              <w:spacing w:before="40" w:after="40"/>
              <w:rPr>
                <w:rFonts w:ascii="Segoe UI" w:hAnsi="Segoe UI" w:cs="Segoe UI"/>
                <w:sz w:val="18"/>
                <w:szCs w:val="18"/>
              </w:rPr>
            </w:pPr>
            <w:r w:rsidRPr="001D5327">
              <w:t>Any CO</w:t>
            </w:r>
            <w:r w:rsidRPr="001D5327">
              <w:rPr>
                <w:sz w:val="12"/>
                <w:szCs w:val="12"/>
                <w:vertAlign w:val="subscript"/>
              </w:rPr>
              <w:t>2</w:t>
            </w:r>
            <w:r w:rsidRPr="001D5327">
              <w:t xml:space="preserve"> emissions from wildfires on non-forest land are assumed to be offset by the subsequent carbon stock gain from the regrowth of biomass, which is also not reported. Alternatively, if the wildfire resulted in land-use change, then any CO</w:t>
            </w:r>
            <w:r w:rsidRPr="001D5327">
              <w:rPr>
                <w:sz w:val="12"/>
                <w:szCs w:val="12"/>
                <w:vertAlign w:val="subscript"/>
              </w:rPr>
              <w:t>2</w:t>
            </w:r>
            <w:r w:rsidRPr="001D5327">
              <w:t xml:space="preserve"> emissions are captured by the general carbon stock change calculation that is performed when land is converted to a new land use. </w:t>
            </w:r>
          </w:p>
        </w:tc>
      </w:tr>
      <w:tr w:rsidR="002C51B5" w:rsidRPr="001D5327" w14:paraId="287B0338" w14:textId="77777777" w:rsidTr="002C51B5">
        <w:tc>
          <w:tcPr>
            <w:tcW w:w="1129" w:type="dxa"/>
            <w:shd w:val="clear" w:color="auto" w:fill="auto"/>
            <w:tcMar>
              <w:left w:w="85" w:type="dxa"/>
              <w:right w:w="85" w:type="dxa"/>
            </w:tcMar>
            <w:hideMark/>
          </w:tcPr>
          <w:p w14:paraId="32EC2195" w14:textId="77777777" w:rsidR="009D798A" w:rsidRPr="001D5327" w:rsidRDefault="009D798A" w:rsidP="00CD4C1A">
            <w:pPr>
              <w:pStyle w:val="TableText"/>
              <w:spacing w:before="40" w:after="0"/>
              <w:rPr>
                <w:rFonts w:ascii="Segoe UI" w:hAnsi="Segoe UI" w:cs="Segoe UI"/>
                <w:sz w:val="18"/>
                <w:szCs w:val="18"/>
              </w:rPr>
            </w:pPr>
            <w:r w:rsidRPr="001D5327">
              <w:t>4.B.2/4(V) </w:t>
            </w:r>
          </w:p>
          <w:p w14:paraId="27D1280C" w14:textId="77777777" w:rsidR="009D798A" w:rsidRPr="001D5327" w:rsidRDefault="009D798A" w:rsidP="00CD4C1A">
            <w:pPr>
              <w:pStyle w:val="TableText"/>
              <w:spacing w:before="40" w:after="0"/>
              <w:rPr>
                <w:rFonts w:ascii="Segoe UI" w:hAnsi="Segoe UI" w:cs="Segoe UI"/>
                <w:sz w:val="18"/>
                <w:szCs w:val="18"/>
              </w:rPr>
            </w:pPr>
            <w:r w:rsidRPr="001D5327">
              <w:t>4.C.1/4(V) </w:t>
            </w:r>
          </w:p>
          <w:p w14:paraId="1DFA22D0" w14:textId="77777777" w:rsidR="009D798A" w:rsidRPr="001D5327" w:rsidRDefault="009D798A" w:rsidP="00CD4C1A">
            <w:pPr>
              <w:pStyle w:val="TableText"/>
              <w:spacing w:before="40" w:after="0"/>
              <w:rPr>
                <w:rFonts w:ascii="Segoe UI" w:hAnsi="Segoe UI" w:cs="Segoe UI"/>
                <w:sz w:val="18"/>
                <w:szCs w:val="18"/>
              </w:rPr>
            </w:pPr>
            <w:r w:rsidRPr="001D5327">
              <w:t>4.C.2/4(V) </w:t>
            </w:r>
          </w:p>
          <w:p w14:paraId="20163FDC" w14:textId="77777777" w:rsidR="009D798A" w:rsidRPr="001D5327" w:rsidRDefault="009D798A" w:rsidP="00CD4C1A">
            <w:pPr>
              <w:pStyle w:val="TableText"/>
              <w:spacing w:before="40" w:after="0"/>
              <w:rPr>
                <w:rFonts w:ascii="Segoe UI" w:hAnsi="Segoe UI" w:cs="Segoe UI"/>
                <w:sz w:val="18"/>
                <w:szCs w:val="18"/>
              </w:rPr>
            </w:pPr>
            <w:r w:rsidRPr="001D5327">
              <w:t>4.D.2/4(V) </w:t>
            </w:r>
          </w:p>
        </w:tc>
        <w:tc>
          <w:tcPr>
            <w:tcW w:w="1990" w:type="dxa"/>
            <w:shd w:val="clear" w:color="auto" w:fill="auto"/>
            <w:tcMar>
              <w:left w:w="85" w:type="dxa"/>
              <w:right w:w="85" w:type="dxa"/>
            </w:tcMar>
            <w:hideMark/>
          </w:tcPr>
          <w:p w14:paraId="109C9A8A" w14:textId="77777777" w:rsidR="009D798A" w:rsidRPr="001D5327" w:rsidRDefault="009D798A" w:rsidP="00CD4C1A">
            <w:pPr>
              <w:pStyle w:val="TableText"/>
              <w:spacing w:before="40" w:after="0"/>
              <w:rPr>
                <w:rFonts w:ascii="Segoe UI" w:hAnsi="Segoe UI" w:cs="Segoe UI"/>
                <w:sz w:val="18"/>
                <w:szCs w:val="18"/>
              </w:rPr>
            </w:pPr>
            <w:r w:rsidRPr="001D5327">
              <w:t>Wildfires/Land converted to cropland </w:t>
            </w:r>
          </w:p>
          <w:p w14:paraId="62E15BC6" w14:textId="77777777" w:rsidR="009D798A" w:rsidRPr="001D5327" w:rsidRDefault="009D798A" w:rsidP="00CD4C1A">
            <w:pPr>
              <w:pStyle w:val="TableText"/>
              <w:spacing w:before="40" w:after="0"/>
              <w:rPr>
                <w:rFonts w:ascii="Segoe UI" w:hAnsi="Segoe UI" w:cs="Segoe UI"/>
                <w:sz w:val="18"/>
                <w:szCs w:val="18"/>
              </w:rPr>
            </w:pPr>
            <w:r w:rsidRPr="001D5327">
              <w:t>Wildfires/Grassland remaining grassland </w:t>
            </w:r>
          </w:p>
          <w:p w14:paraId="7A8AAB3E" w14:textId="77777777" w:rsidR="009D798A" w:rsidRPr="001D5327" w:rsidRDefault="009D798A" w:rsidP="00CD4C1A">
            <w:pPr>
              <w:pStyle w:val="TableText"/>
              <w:spacing w:before="40" w:after="0"/>
              <w:rPr>
                <w:rFonts w:ascii="Segoe UI" w:hAnsi="Segoe UI" w:cs="Segoe UI"/>
                <w:sz w:val="18"/>
                <w:szCs w:val="18"/>
              </w:rPr>
            </w:pPr>
            <w:r w:rsidRPr="001D5327">
              <w:t>Wildfires/Land converted to grassland </w:t>
            </w:r>
          </w:p>
          <w:p w14:paraId="34D87471" w14:textId="77777777" w:rsidR="009D798A" w:rsidRPr="001D5327" w:rsidRDefault="009D798A" w:rsidP="00CD4C1A">
            <w:pPr>
              <w:pStyle w:val="TableText"/>
              <w:spacing w:before="40" w:after="0"/>
              <w:rPr>
                <w:rFonts w:ascii="Segoe UI" w:hAnsi="Segoe UI" w:cs="Segoe UI"/>
                <w:sz w:val="18"/>
                <w:szCs w:val="18"/>
              </w:rPr>
            </w:pPr>
            <w:r w:rsidRPr="001D5327">
              <w:t>Wildfires/Land converted to wetlands </w:t>
            </w:r>
          </w:p>
        </w:tc>
        <w:tc>
          <w:tcPr>
            <w:tcW w:w="2268" w:type="dxa"/>
            <w:shd w:val="clear" w:color="auto" w:fill="auto"/>
            <w:tcMar>
              <w:left w:w="85" w:type="dxa"/>
              <w:right w:w="85" w:type="dxa"/>
            </w:tcMar>
            <w:hideMark/>
          </w:tcPr>
          <w:p w14:paraId="6EF7E3E5" w14:textId="77777777" w:rsidR="009D798A" w:rsidRPr="001D5327" w:rsidRDefault="009D798A" w:rsidP="00CD4C1A">
            <w:pPr>
              <w:pStyle w:val="TableText"/>
              <w:spacing w:before="40" w:after="0"/>
              <w:rPr>
                <w:rFonts w:ascii="Segoe UI" w:hAnsi="Segoe UI" w:cs="Segoe UI"/>
                <w:sz w:val="18"/>
                <w:szCs w:val="18"/>
              </w:rPr>
            </w:pPr>
            <w:r w:rsidRPr="001D5327">
              <w:t>Land converted to cropland </w:t>
            </w:r>
          </w:p>
          <w:p w14:paraId="36EEC805" w14:textId="77777777" w:rsidR="009D798A" w:rsidRPr="001D5327" w:rsidRDefault="009D798A" w:rsidP="00CD4C1A">
            <w:pPr>
              <w:pStyle w:val="TableText"/>
              <w:spacing w:before="40" w:after="0"/>
              <w:rPr>
                <w:rFonts w:ascii="Segoe UI" w:hAnsi="Segoe UI" w:cs="Segoe UI"/>
                <w:sz w:val="18"/>
                <w:szCs w:val="18"/>
              </w:rPr>
            </w:pPr>
            <w:r w:rsidRPr="001D5327">
              <w:t>Grassland remaining grassland </w:t>
            </w:r>
          </w:p>
          <w:p w14:paraId="017C3D2A" w14:textId="77777777" w:rsidR="009D798A" w:rsidRPr="001D5327" w:rsidRDefault="009D798A" w:rsidP="00CD4C1A">
            <w:pPr>
              <w:pStyle w:val="TableText"/>
              <w:spacing w:before="40" w:after="0"/>
              <w:rPr>
                <w:rFonts w:ascii="Segoe UI" w:hAnsi="Segoe UI" w:cs="Segoe UI"/>
                <w:sz w:val="18"/>
                <w:szCs w:val="18"/>
              </w:rPr>
            </w:pPr>
            <w:r w:rsidRPr="001D5327">
              <w:t>Land converted to grassland </w:t>
            </w:r>
          </w:p>
          <w:p w14:paraId="16432377" w14:textId="77777777" w:rsidR="009D798A" w:rsidRPr="001D5327" w:rsidRDefault="009D798A" w:rsidP="00CD4C1A">
            <w:pPr>
              <w:pStyle w:val="TableText"/>
              <w:spacing w:before="40" w:after="0"/>
              <w:rPr>
                <w:rFonts w:ascii="Segoe UI" w:hAnsi="Segoe UI" w:cs="Segoe UI"/>
                <w:sz w:val="18"/>
                <w:szCs w:val="18"/>
              </w:rPr>
            </w:pPr>
            <w:r w:rsidRPr="001D5327">
              <w:t>Land converted to wetlands </w:t>
            </w:r>
          </w:p>
        </w:tc>
        <w:tc>
          <w:tcPr>
            <w:tcW w:w="3118" w:type="dxa"/>
            <w:shd w:val="clear" w:color="auto" w:fill="auto"/>
            <w:tcMar>
              <w:left w:w="85" w:type="dxa"/>
              <w:right w:w="85" w:type="dxa"/>
            </w:tcMar>
            <w:hideMark/>
          </w:tcPr>
          <w:p w14:paraId="28B45058" w14:textId="77777777" w:rsidR="009D798A" w:rsidRPr="001D5327" w:rsidRDefault="009D798A" w:rsidP="00341FEF">
            <w:pPr>
              <w:pStyle w:val="TableText"/>
              <w:spacing w:before="40" w:after="40"/>
              <w:rPr>
                <w:rFonts w:ascii="Segoe UI" w:hAnsi="Segoe UI" w:cs="Segoe UI"/>
                <w:sz w:val="18"/>
                <w:szCs w:val="18"/>
              </w:rPr>
            </w:pPr>
            <w:r w:rsidRPr="001D5327">
              <w:t>Any CO</w:t>
            </w:r>
            <w:r w:rsidRPr="001D5327">
              <w:rPr>
                <w:sz w:val="12"/>
                <w:szCs w:val="12"/>
                <w:vertAlign w:val="subscript"/>
              </w:rPr>
              <w:t>2</w:t>
            </w:r>
            <w:r w:rsidRPr="001D5327">
              <w:t xml:space="preserve"> emissions from wildfires on non-forest land are assumed to be offset by the subsequent carbon stock gain from the regrowth of biomass, which is also not reported. Alternatively, if the wildfire resulted in land-use change, then any CO</w:t>
            </w:r>
            <w:r w:rsidRPr="001D5327">
              <w:rPr>
                <w:sz w:val="12"/>
                <w:szCs w:val="12"/>
                <w:vertAlign w:val="subscript"/>
              </w:rPr>
              <w:t>2</w:t>
            </w:r>
            <w:r w:rsidRPr="001D5327">
              <w:t xml:space="preserve"> emissions are captured by the general carbon stock change calculation that is performed when land is converted to a new land use. </w:t>
            </w:r>
          </w:p>
        </w:tc>
      </w:tr>
      <w:tr w:rsidR="002C51B5" w:rsidRPr="001D5327" w14:paraId="1360C8F2" w14:textId="77777777" w:rsidTr="002C51B5">
        <w:tc>
          <w:tcPr>
            <w:tcW w:w="1129" w:type="dxa"/>
            <w:shd w:val="clear" w:color="auto" w:fill="auto"/>
            <w:tcMar>
              <w:left w:w="85" w:type="dxa"/>
              <w:right w:w="85" w:type="dxa"/>
            </w:tcMar>
            <w:hideMark/>
          </w:tcPr>
          <w:p w14:paraId="123742DE" w14:textId="77777777" w:rsidR="009D798A" w:rsidRPr="001D5327" w:rsidRDefault="009D798A" w:rsidP="00CD4C1A">
            <w:pPr>
              <w:pStyle w:val="TableText"/>
              <w:spacing w:before="40" w:after="0"/>
              <w:rPr>
                <w:rFonts w:ascii="Segoe UI" w:hAnsi="Segoe UI" w:cs="Segoe UI"/>
                <w:sz w:val="18"/>
                <w:szCs w:val="18"/>
              </w:rPr>
            </w:pPr>
            <w:r w:rsidRPr="001D5327">
              <w:lastRenderedPageBreak/>
              <w:t xml:space="preserve">4.A.1/4(I) </w:t>
            </w:r>
          </w:p>
          <w:p w14:paraId="6D0CED5D" w14:textId="77777777" w:rsidR="009D798A" w:rsidRPr="001D5327" w:rsidRDefault="009D798A" w:rsidP="00CD4C1A">
            <w:pPr>
              <w:pStyle w:val="TableText"/>
              <w:spacing w:before="40" w:after="0"/>
              <w:rPr>
                <w:rFonts w:ascii="Segoe UI" w:hAnsi="Segoe UI" w:cs="Segoe UI"/>
                <w:sz w:val="18"/>
                <w:szCs w:val="18"/>
              </w:rPr>
            </w:pPr>
            <w:r w:rsidRPr="001D5327">
              <w:t xml:space="preserve">4.D.1/4(I) </w:t>
            </w:r>
          </w:p>
          <w:p w14:paraId="23FAFF83" w14:textId="77777777" w:rsidR="009D798A" w:rsidRPr="001D5327" w:rsidRDefault="009D798A" w:rsidP="00CD4C1A">
            <w:pPr>
              <w:pStyle w:val="TableText"/>
              <w:spacing w:before="40" w:after="0"/>
              <w:rPr>
                <w:rFonts w:ascii="Segoe UI" w:hAnsi="Segoe UI" w:cs="Segoe UI"/>
                <w:sz w:val="18"/>
                <w:szCs w:val="18"/>
              </w:rPr>
            </w:pPr>
            <w:r w:rsidRPr="001D5327">
              <w:t xml:space="preserve">4.D.2/4(I) </w:t>
            </w:r>
          </w:p>
          <w:p w14:paraId="6F29040D" w14:textId="77777777" w:rsidR="009D798A" w:rsidRPr="001D5327" w:rsidRDefault="009D798A" w:rsidP="00CD4C1A">
            <w:pPr>
              <w:pStyle w:val="TableText"/>
              <w:spacing w:before="40" w:after="0"/>
              <w:rPr>
                <w:rFonts w:ascii="Segoe UI" w:hAnsi="Segoe UI" w:cs="Segoe UI"/>
                <w:sz w:val="18"/>
                <w:szCs w:val="18"/>
              </w:rPr>
            </w:pPr>
            <w:r w:rsidRPr="001D5327">
              <w:t xml:space="preserve">4.E.1/4(I) </w:t>
            </w:r>
          </w:p>
          <w:p w14:paraId="138D6129" w14:textId="77777777" w:rsidR="009D798A" w:rsidRPr="001D5327" w:rsidRDefault="009D798A" w:rsidP="00CD4C1A">
            <w:pPr>
              <w:pStyle w:val="TableText"/>
              <w:spacing w:before="40" w:after="0"/>
              <w:rPr>
                <w:rFonts w:ascii="Segoe UI" w:hAnsi="Segoe UI" w:cs="Segoe UI"/>
                <w:sz w:val="18"/>
                <w:szCs w:val="18"/>
              </w:rPr>
            </w:pPr>
            <w:r w:rsidRPr="001D5327">
              <w:t>4.E.2/4(I) </w:t>
            </w:r>
          </w:p>
        </w:tc>
        <w:tc>
          <w:tcPr>
            <w:tcW w:w="1990" w:type="dxa"/>
            <w:shd w:val="clear" w:color="auto" w:fill="auto"/>
            <w:tcMar>
              <w:left w:w="85" w:type="dxa"/>
              <w:right w:w="85" w:type="dxa"/>
            </w:tcMar>
            <w:hideMark/>
          </w:tcPr>
          <w:p w14:paraId="31D50DE1" w14:textId="77777777" w:rsidR="009D798A" w:rsidRPr="001D5327" w:rsidRDefault="009D798A" w:rsidP="00CD4C1A">
            <w:pPr>
              <w:pStyle w:val="TableText"/>
              <w:spacing w:before="40" w:after="0"/>
              <w:rPr>
                <w:rFonts w:ascii="Segoe UI" w:hAnsi="Segoe UI" w:cs="Segoe UI"/>
                <w:sz w:val="18"/>
                <w:szCs w:val="18"/>
              </w:rPr>
            </w:pPr>
            <w:r w:rsidRPr="001D5327">
              <w:t>Direct N</w:t>
            </w:r>
            <w:r w:rsidRPr="001D5327">
              <w:rPr>
                <w:sz w:val="12"/>
                <w:szCs w:val="12"/>
                <w:vertAlign w:val="subscript"/>
              </w:rPr>
              <w:t>2</w:t>
            </w:r>
            <w:r w:rsidRPr="001D5327">
              <w:t>O emissions from nitrogen (N) inputs to managed soils </w:t>
            </w:r>
          </w:p>
          <w:p w14:paraId="55823C1D" w14:textId="77777777" w:rsidR="009D798A" w:rsidRPr="001D5327" w:rsidRDefault="009D798A" w:rsidP="00CD4C1A">
            <w:pPr>
              <w:pStyle w:val="TableText"/>
              <w:spacing w:before="40" w:after="0"/>
              <w:rPr>
                <w:rFonts w:ascii="Segoe UI" w:hAnsi="Segoe UI" w:cs="Segoe UI"/>
                <w:sz w:val="18"/>
                <w:szCs w:val="18"/>
              </w:rPr>
            </w:pPr>
            <w:r w:rsidRPr="001D5327">
              <w:t>Inorganic N fertilisers and Direct N</w:t>
            </w:r>
            <w:r w:rsidRPr="001D5327">
              <w:rPr>
                <w:sz w:val="12"/>
                <w:szCs w:val="12"/>
                <w:vertAlign w:val="subscript"/>
              </w:rPr>
              <w:t>2</w:t>
            </w:r>
            <w:r w:rsidRPr="001D5327">
              <w:t>O emissions from N inputs to managed soils </w:t>
            </w:r>
          </w:p>
          <w:p w14:paraId="00491A67" w14:textId="77777777" w:rsidR="009D798A" w:rsidRPr="001D5327" w:rsidRDefault="009D798A" w:rsidP="00CD4C1A">
            <w:pPr>
              <w:pStyle w:val="TableText"/>
              <w:spacing w:before="40" w:after="0"/>
              <w:rPr>
                <w:rFonts w:ascii="Segoe UI" w:hAnsi="Segoe UI" w:cs="Segoe UI"/>
                <w:sz w:val="18"/>
                <w:szCs w:val="18"/>
              </w:rPr>
            </w:pPr>
            <w:r w:rsidRPr="001D5327">
              <w:t xml:space="preserve">Organic N fertilisers </w:t>
            </w:r>
          </w:p>
          <w:p w14:paraId="0F868A2F" w14:textId="77777777" w:rsidR="009D798A" w:rsidRPr="001D5327" w:rsidRDefault="009D798A" w:rsidP="00CD4C1A">
            <w:pPr>
              <w:pStyle w:val="TableText"/>
              <w:spacing w:before="40" w:after="0"/>
              <w:rPr>
                <w:rFonts w:ascii="Segoe UI" w:hAnsi="Segoe UI" w:cs="Segoe UI"/>
                <w:sz w:val="18"/>
                <w:szCs w:val="18"/>
              </w:rPr>
            </w:pPr>
            <w:r w:rsidRPr="001D5327">
              <w:t xml:space="preserve">In the following categories: </w:t>
            </w:r>
          </w:p>
          <w:p w14:paraId="376FD95C" w14:textId="77777777" w:rsidR="009D798A" w:rsidRPr="001D5327" w:rsidRDefault="009D798A" w:rsidP="00CD4C1A">
            <w:pPr>
              <w:pStyle w:val="TableText"/>
              <w:spacing w:before="40" w:after="0"/>
            </w:pPr>
            <w:r w:rsidRPr="001D5327">
              <w:t>Forest land remaining forest land </w:t>
            </w:r>
          </w:p>
          <w:p w14:paraId="58F26DAD" w14:textId="77777777" w:rsidR="009D798A" w:rsidRPr="001D5327" w:rsidRDefault="009D798A" w:rsidP="00CD4C1A">
            <w:pPr>
              <w:pStyle w:val="TableText"/>
              <w:spacing w:before="40" w:after="0"/>
            </w:pPr>
            <w:r w:rsidRPr="001D5327">
              <w:t>Wetlands remaining wetlands </w:t>
            </w:r>
          </w:p>
          <w:p w14:paraId="67666E4C" w14:textId="77777777" w:rsidR="009D798A" w:rsidRPr="001D5327" w:rsidRDefault="009D798A" w:rsidP="00CD4C1A">
            <w:pPr>
              <w:pStyle w:val="TableText"/>
              <w:spacing w:before="40" w:after="0"/>
            </w:pPr>
            <w:r w:rsidRPr="001D5327">
              <w:t>Land converted to wetlands </w:t>
            </w:r>
          </w:p>
          <w:p w14:paraId="5FA23B64" w14:textId="77777777" w:rsidR="009D798A" w:rsidRPr="001D5327" w:rsidRDefault="009D798A" w:rsidP="00CD4C1A">
            <w:pPr>
              <w:pStyle w:val="TableText"/>
              <w:spacing w:before="40" w:after="0"/>
            </w:pPr>
            <w:r w:rsidRPr="001D5327">
              <w:t>Settlements remaining settlements </w:t>
            </w:r>
          </w:p>
          <w:p w14:paraId="6DCD46BD" w14:textId="77777777" w:rsidR="009D798A" w:rsidRPr="001D5327" w:rsidRDefault="009D798A" w:rsidP="00CD4C1A">
            <w:pPr>
              <w:pStyle w:val="TableText"/>
              <w:spacing w:before="40" w:after="0"/>
            </w:pPr>
            <w:r w:rsidRPr="001D5327">
              <w:t>Land converted to settlements </w:t>
            </w:r>
          </w:p>
          <w:p w14:paraId="771FB193" w14:textId="77777777" w:rsidR="009D798A" w:rsidRPr="001D5327" w:rsidRDefault="009D798A" w:rsidP="00CD4C1A">
            <w:pPr>
              <w:pStyle w:val="TableText"/>
              <w:spacing w:before="40" w:after="0"/>
            </w:pPr>
            <w:r w:rsidRPr="001D5327">
              <w:t>Settlements remaining settlements </w:t>
            </w:r>
          </w:p>
          <w:p w14:paraId="15EC4A6B" w14:textId="77777777" w:rsidR="009D798A" w:rsidRPr="001D5327" w:rsidRDefault="009D798A" w:rsidP="00CD4C1A">
            <w:pPr>
              <w:pStyle w:val="TableText"/>
              <w:spacing w:before="40" w:after="40"/>
            </w:pPr>
            <w:r w:rsidRPr="001D5327">
              <w:t>Land converted to settlements </w:t>
            </w:r>
          </w:p>
        </w:tc>
        <w:tc>
          <w:tcPr>
            <w:tcW w:w="2268" w:type="dxa"/>
            <w:shd w:val="clear" w:color="auto" w:fill="auto"/>
            <w:tcMar>
              <w:left w:w="85" w:type="dxa"/>
              <w:right w:w="85" w:type="dxa"/>
            </w:tcMar>
            <w:hideMark/>
          </w:tcPr>
          <w:p w14:paraId="24EFA1A5" w14:textId="77777777" w:rsidR="009D798A" w:rsidRPr="001D5327" w:rsidRDefault="009D798A" w:rsidP="00341FEF">
            <w:pPr>
              <w:pStyle w:val="TableText"/>
              <w:spacing w:before="40" w:after="40"/>
              <w:rPr>
                <w:rFonts w:ascii="Segoe UI" w:hAnsi="Segoe UI" w:cs="Segoe UI"/>
                <w:sz w:val="18"/>
                <w:szCs w:val="18"/>
              </w:rPr>
            </w:pPr>
            <w:r w:rsidRPr="001D5327">
              <w:t>Included under the Agriculture sector </w:t>
            </w:r>
          </w:p>
        </w:tc>
        <w:tc>
          <w:tcPr>
            <w:tcW w:w="3118" w:type="dxa"/>
            <w:shd w:val="clear" w:color="auto" w:fill="auto"/>
            <w:tcMar>
              <w:left w:w="85" w:type="dxa"/>
              <w:right w:w="85" w:type="dxa"/>
            </w:tcMar>
            <w:hideMark/>
          </w:tcPr>
          <w:p w14:paraId="18190851" w14:textId="77777777" w:rsidR="009D798A" w:rsidRPr="001D5327" w:rsidRDefault="009D798A" w:rsidP="00341FEF">
            <w:pPr>
              <w:pStyle w:val="TableText"/>
              <w:spacing w:before="40" w:after="40"/>
              <w:rPr>
                <w:rFonts w:ascii="Segoe UI" w:hAnsi="Segoe UI" w:cs="Segoe UI"/>
                <w:sz w:val="18"/>
                <w:szCs w:val="18"/>
              </w:rPr>
            </w:pPr>
            <w:r w:rsidRPr="001D5327">
              <w:t>New Zealand does not hold disaggregated activity data on nitrogen fertiliser by land use; therefore, all N</w:t>
            </w:r>
            <w:r w:rsidRPr="001D5327">
              <w:rPr>
                <w:sz w:val="12"/>
                <w:szCs w:val="12"/>
                <w:vertAlign w:val="subscript"/>
              </w:rPr>
              <w:t>2</w:t>
            </w:r>
            <w:r w:rsidRPr="001D5327">
              <w:t>O emissions from organic and inorganic fertilisers are reported in the Agriculture sector. </w:t>
            </w:r>
          </w:p>
        </w:tc>
      </w:tr>
      <w:tr w:rsidR="002C51B5" w:rsidRPr="001D5327" w14:paraId="2B19D29F" w14:textId="77777777" w:rsidTr="002C51B5">
        <w:tc>
          <w:tcPr>
            <w:tcW w:w="1129" w:type="dxa"/>
            <w:shd w:val="clear" w:color="auto" w:fill="auto"/>
            <w:tcMar>
              <w:left w:w="85" w:type="dxa"/>
              <w:right w:w="85" w:type="dxa"/>
            </w:tcMar>
            <w:hideMark/>
          </w:tcPr>
          <w:p w14:paraId="0309A444" w14:textId="77777777" w:rsidR="009D798A" w:rsidRPr="001D5327" w:rsidRDefault="009D798A" w:rsidP="00341FEF">
            <w:pPr>
              <w:pStyle w:val="TableText"/>
              <w:spacing w:before="40" w:after="40"/>
              <w:rPr>
                <w:rFonts w:ascii="Segoe UI" w:hAnsi="Segoe UI" w:cs="Segoe UI"/>
                <w:sz w:val="18"/>
                <w:szCs w:val="18"/>
              </w:rPr>
            </w:pPr>
            <w:r w:rsidRPr="001D5327">
              <w:t>4(IV) </w:t>
            </w:r>
          </w:p>
        </w:tc>
        <w:tc>
          <w:tcPr>
            <w:tcW w:w="1990" w:type="dxa"/>
            <w:shd w:val="clear" w:color="auto" w:fill="auto"/>
            <w:tcMar>
              <w:left w:w="85" w:type="dxa"/>
              <w:right w:w="85" w:type="dxa"/>
            </w:tcMar>
            <w:hideMark/>
          </w:tcPr>
          <w:p w14:paraId="23EF6899" w14:textId="77777777" w:rsidR="009D798A" w:rsidRPr="001D5327" w:rsidRDefault="009D798A" w:rsidP="00341FEF">
            <w:pPr>
              <w:pStyle w:val="TableText"/>
              <w:spacing w:before="40" w:after="40"/>
              <w:rPr>
                <w:rFonts w:ascii="Segoe UI" w:hAnsi="Segoe UI" w:cs="Segoe UI"/>
                <w:sz w:val="18"/>
                <w:szCs w:val="18"/>
              </w:rPr>
            </w:pPr>
            <w:r w:rsidRPr="001D5327">
              <w:t>Indirect N</w:t>
            </w:r>
            <w:r w:rsidRPr="001D5327">
              <w:rPr>
                <w:sz w:val="12"/>
                <w:szCs w:val="12"/>
                <w:vertAlign w:val="subscript"/>
              </w:rPr>
              <w:t>2</w:t>
            </w:r>
            <w:r w:rsidRPr="001D5327">
              <w:t>O emissions from managed soils/Atmospheric deposition </w:t>
            </w:r>
          </w:p>
        </w:tc>
        <w:tc>
          <w:tcPr>
            <w:tcW w:w="2268" w:type="dxa"/>
            <w:shd w:val="clear" w:color="auto" w:fill="auto"/>
            <w:tcMar>
              <w:left w:w="85" w:type="dxa"/>
              <w:right w:w="85" w:type="dxa"/>
            </w:tcMar>
            <w:hideMark/>
          </w:tcPr>
          <w:p w14:paraId="328C6949" w14:textId="77777777" w:rsidR="009D798A" w:rsidRPr="001D5327" w:rsidRDefault="009D798A" w:rsidP="00341FEF">
            <w:pPr>
              <w:pStyle w:val="TableText"/>
              <w:spacing w:before="40" w:after="40"/>
              <w:rPr>
                <w:rFonts w:ascii="Segoe UI" w:hAnsi="Segoe UI" w:cs="Segoe UI"/>
                <w:sz w:val="18"/>
                <w:szCs w:val="18"/>
              </w:rPr>
            </w:pPr>
            <w:r w:rsidRPr="001D5327">
              <w:t>Included under the Agriculture sector </w:t>
            </w:r>
          </w:p>
        </w:tc>
        <w:tc>
          <w:tcPr>
            <w:tcW w:w="3118" w:type="dxa"/>
            <w:shd w:val="clear" w:color="auto" w:fill="auto"/>
            <w:tcMar>
              <w:left w:w="85" w:type="dxa"/>
              <w:right w:w="85" w:type="dxa"/>
            </w:tcMar>
            <w:hideMark/>
          </w:tcPr>
          <w:p w14:paraId="4FAFECBC" w14:textId="77777777" w:rsidR="009D798A" w:rsidRPr="001D5327" w:rsidRDefault="009D798A" w:rsidP="00341FEF">
            <w:pPr>
              <w:pStyle w:val="TableText"/>
              <w:spacing w:before="40" w:after="40"/>
              <w:rPr>
                <w:rFonts w:ascii="Segoe UI" w:hAnsi="Segoe UI" w:cs="Segoe UI"/>
                <w:sz w:val="18"/>
                <w:szCs w:val="18"/>
              </w:rPr>
            </w:pPr>
            <w:r w:rsidRPr="001D5327">
              <w:t>Volatilisation of nitrogen (manure, other organic and fertiliser) on pasture range and paddock is reported under Agriculture. This includes all nitrogen fertiliser used in New Zealand. </w:t>
            </w:r>
          </w:p>
        </w:tc>
      </w:tr>
      <w:tr w:rsidR="002C51B5" w:rsidRPr="001D5327" w14:paraId="3D71E2D3" w14:textId="77777777" w:rsidTr="002C51B5">
        <w:tc>
          <w:tcPr>
            <w:tcW w:w="1129" w:type="dxa"/>
            <w:shd w:val="clear" w:color="auto" w:fill="auto"/>
            <w:tcMar>
              <w:left w:w="85" w:type="dxa"/>
              <w:right w:w="85" w:type="dxa"/>
            </w:tcMar>
            <w:hideMark/>
          </w:tcPr>
          <w:p w14:paraId="18B1EDF0" w14:textId="77777777" w:rsidR="009D798A" w:rsidRPr="001D5327" w:rsidRDefault="009D798A" w:rsidP="00341FEF">
            <w:pPr>
              <w:pStyle w:val="TableText"/>
              <w:spacing w:before="40" w:after="40"/>
              <w:rPr>
                <w:rFonts w:ascii="Segoe UI" w:hAnsi="Segoe UI" w:cs="Segoe UI"/>
                <w:sz w:val="18"/>
                <w:szCs w:val="18"/>
              </w:rPr>
            </w:pPr>
            <w:r w:rsidRPr="001D5327">
              <w:t>4.B.1/4(V) </w:t>
            </w:r>
          </w:p>
        </w:tc>
        <w:tc>
          <w:tcPr>
            <w:tcW w:w="1990" w:type="dxa"/>
            <w:shd w:val="clear" w:color="auto" w:fill="auto"/>
            <w:tcMar>
              <w:left w:w="85" w:type="dxa"/>
              <w:right w:w="85" w:type="dxa"/>
            </w:tcMar>
            <w:hideMark/>
          </w:tcPr>
          <w:p w14:paraId="7D01D14C" w14:textId="77777777" w:rsidR="009D798A" w:rsidRPr="001D5327" w:rsidRDefault="009D798A" w:rsidP="00341FEF">
            <w:pPr>
              <w:pStyle w:val="TableText"/>
              <w:spacing w:before="40" w:after="40"/>
              <w:rPr>
                <w:rFonts w:ascii="Segoe UI" w:hAnsi="Segoe UI" w:cs="Segoe UI"/>
                <w:sz w:val="18"/>
                <w:szCs w:val="18"/>
              </w:rPr>
            </w:pPr>
            <w:r w:rsidRPr="001D5327">
              <w:t>Controlled burning/Cropland remaining cropland </w:t>
            </w:r>
          </w:p>
        </w:tc>
        <w:tc>
          <w:tcPr>
            <w:tcW w:w="2268" w:type="dxa"/>
            <w:shd w:val="clear" w:color="auto" w:fill="auto"/>
            <w:tcMar>
              <w:left w:w="85" w:type="dxa"/>
              <w:right w:w="85" w:type="dxa"/>
            </w:tcMar>
            <w:hideMark/>
          </w:tcPr>
          <w:p w14:paraId="49C74AE4" w14:textId="77777777" w:rsidR="009D798A" w:rsidRPr="001D5327" w:rsidRDefault="009D798A" w:rsidP="00341FEF">
            <w:pPr>
              <w:pStyle w:val="TableText"/>
              <w:spacing w:before="40" w:after="40"/>
              <w:rPr>
                <w:rFonts w:ascii="Segoe UI" w:hAnsi="Segoe UI" w:cs="Segoe UI"/>
                <w:sz w:val="18"/>
                <w:szCs w:val="18"/>
              </w:rPr>
            </w:pPr>
            <w:r w:rsidRPr="001D5327">
              <w:t>Included under the Agriculture sector </w:t>
            </w:r>
          </w:p>
        </w:tc>
        <w:tc>
          <w:tcPr>
            <w:tcW w:w="3118" w:type="dxa"/>
            <w:shd w:val="clear" w:color="auto" w:fill="auto"/>
            <w:tcMar>
              <w:left w:w="85" w:type="dxa"/>
              <w:right w:w="85" w:type="dxa"/>
            </w:tcMar>
            <w:hideMark/>
          </w:tcPr>
          <w:p w14:paraId="7D90F773" w14:textId="77777777" w:rsidR="009D798A" w:rsidRPr="001D5327" w:rsidRDefault="009D798A" w:rsidP="00341FEF">
            <w:pPr>
              <w:pStyle w:val="TableText"/>
              <w:spacing w:before="40" w:after="40"/>
              <w:rPr>
                <w:rFonts w:ascii="Segoe UI" w:hAnsi="Segoe UI" w:cs="Segoe UI"/>
                <w:sz w:val="18"/>
                <w:szCs w:val="18"/>
              </w:rPr>
            </w:pPr>
            <w:r w:rsidRPr="001D5327">
              <w:t>All emissions from burning of crop stubble are reported in the Agriculture sector. </w:t>
            </w:r>
          </w:p>
        </w:tc>
      </w:tr>
      <w:tr w:rsidR="002C51B5" w:rsidRPr="001D5327" w14:paraId="669CEB28" w14:textId="77777777" w:rsidTr="002C51B5">
        <w:tc>
          <w:tcPr>
            <w:tcW w:w="1129" w:type="dxa"/>
            <w:shd w:val="clear" w:color="auto" w:fill="auto"/>
            <w:tcMar>
              <w:left w:w="85" w:type="dxa"/>
              <w:right w:w="85" w:type="dxa"/>
            </w:tcMar>
            <w:hideMark/>
          </w:tcPr>
          <w:p w14:paraId="55178FCB" w14:textId="77777777" w:rsidR="009D798A" w:rsidRPr="001D5327" w:rsidRDefault="009D798A" w:rsidP="00CD4C1A">
            <w:pPr>
              <w:pStyle w:val="TableText"/>
              <w:spacing w:before="40" w:after="0"/>
              <w:rPr>
                <w:rFonts w:ascii="Segoe UI" w:hAnsi="Segoe UI" w:cs="Segoe UI"/>
                <w:sz w:val="18"/>
                <w:szCs w:val="18"/>
              </w:rPr>
            </w:pPr>
            <w:r w:rsidRPr="001D5327">
              <w:t>4.C.1/4(V) </w:t>
            </w:r>
          </w:p>
          <w:p w14:paraId="03F4421B" w14:textId="77777777" w:rsidR="009D798A" w:rsidRPr="001D5327" w:rsidRDefault="009D798A" w:rsidP="00CD4C1A">
            <w:pPr>
              <w:pStyle w:val="TableText"/>
              <w:spacing w:before="40" w:after="0"/>
              <w:rPr>
                <w:rFonts w:ascii="Segoe UI" w:hAnsi="Segoe UI" w:cs="Segoe UI"/>
                <w:sz w:val="18"/>
                <w:szCs w:val="18"/>
              </w:rPr>
            </w:pPr>
            <w:r w:rsidRPr="001D5327">
              <w:t>4.D.1/4(V) </w:t>
            </w:r>
          </w:p>
        </w:tc>
        <w:tc>
          <w:tcPr>
            <w:tcW w:w="1990" w:type="dxa"/>
            <w:shd w:val="clear" w:color="auto" w:fill="auto"/>
            <w:tcMar>
              <w:left w:w="85" w:type="dxa"/>
              <w:right w:w="85" w:type="dxa"/>
            </w:tcMar>
            <w:hideMark/>
          </w:tcPr>
          <w:p w14:paraId="4C98B3BD" w14:textId="77777777" w:rsidR="009D798A" w:rsidRPr="001D5327" w:rsidRDefault="009D798A" w:rsidP="00CD4C1A">
            <w:pPr>
              <w:pStyle w:val="TableText"/>
              <w:spacing w:before="40" w:after="0"/>
              <w:rPr>
                <w:rFonts w:ascii="Segoe UI" w:hAnsi="Segoe UI" w:cs="Segoe UI"/>
                <w:sz w:val="18"/>
                <w:szCs w:val="18"/>
              </w:rPr>
            </w:pPr>
            <w:r w:rsidRPr="001D5327">
              <w:t>Controlled burning/Grassland remaining grassland </w:t>
            </w:r>
          </w:p>
          <w:p w14:paraId="193440C4" w14:textId="77777777" w:rsidR="009D798A" w:rsidRPr="001D5327" w:rsidRDefault="009D798A" w:rsidP="00CD4C1A">
            <w:pPr>
              <w:pStyle w:val="TableText"/>
              <w:spacing w:before="40" w:after="0"/>
              <w:rPr>
                <w:rFonts w:ascii="Segoe UI" w:hAnsi="Segoe UI" w:cs="Segoe UI"/>
                <w:sz w:val="18"/>
                <w:szCs w:val="18"/>
              </w:rPr>
            </w:pPr>
            <w:r w:rsidRPr="001D5327">
              <w:t>Controlled burning/Wetlands remaining wetlands </w:t>
            </w:r>
          </w:p>
          <w:p w14:paraId="04A55049" w14:textId="77777777" w:rsidR="009D798A" w:rsidRPr="001D5327" w:rsidRDefault="009D798A" w:rsidP="00CD4C1A">
            <w:pPr>
              <w:pStyle w:val="TableText"/>
              <w:spacing w:before="40" w:after="0"/>
              <w:rPr>
                <w:rFonts w:ascii="Segoe UI" w:hAnsi="Segoe UI" w:cs="Segoe UI"/>
                <w:sz w:val="18"/>
                <w:szCs w:val="18"/>
              </w:rPr>
            </w:pPr>
            <w:r w:rsidRPr="001D5327">
              <w:t>Wildfires/Wetlands remaining wetlands </w:t>
            </w:r>
          </w:p>
        </w:tc>
        <w:tc>
          <w:tcPr>
            <w:tcW w:w="2268" w:type="dxa"/>
            <w:shd w:val="clear" w:color="auto" w:fill="auto"/>
            <w:tcMar>
              <w:left w:w="85" w:type="dxa"/>
              <w:right w:w="85" w:type="dxa"/>
            </w:tcMar>
            <w:hideMark/>
          </w:tcPr>
          <w:p w14:paraId="5505B305" w14:textId="77777777" w:rsidR="009D798A" w:rsidRPr="001D5327" w:rsidRDefault="009D798A" w:rsidP="00CD4C1A">
            <w:pPr>
              <w:pStyle w:val="TableText"/>
              <w:spacing w:before="40" w:after="0"/>
              <w:rPr>
                <w:rFonts w:ascii="Segoe UI" w:hAnsi="Segoe UI" w:cs="Segoe UI"/>
                <w:sz w:val="18"/>
                <w:szCs w:val="18"/>
              </w:rPr>
            </w:pPr>
            <w:r w:rsidRPr="001D5327">
              <w:t>Grassland remaining grassland </w:t>
            </w:r>
          </w:p>
          <w:p w14:paraId="56B1B0FD" w14:textId="77777777" w:rsidR="009D798A" w:rsidRPr="001D5327" w:rsidRDefault="009D798A" w:rsidP="00CD4C1A">
            <w:pPr>
              <w:pStyle w:val="TableText"/>
              <w:spacing w:before="40" w:after="0"/>
              <w:rPr>
                <w:rFonts w:ascii="Segoe UI" w:hAnsi="Segoe UI" w:cs="Segoe UI"/>
                <w:sz w:val="18"/>
                <w:szCs w:val="18"/>
              </w:rPr>
            </w:pPr>
            <w:r w:rsidRPr="001D5327">
              <w:t>Wetlands remaining wetlands </w:t>
            </w:r>
          </w:p>
          <w:p w14:paraId="79DFC282" w14:textId="77777777" w:rsidR="009D798A" w:rsidRPr="001D5327" w:rsidRDefault="009D798A" w:rsidP="00CD4C1A">
            <w:pPr>
              <w:pStyle w:val="TableText"/>
              <w:spacing w:before="40" w:after="0"/>
              <w:rPr>
                <w:rFonts w:ascii="Segoe UI" w:hAnsi="Segoe UI" w:cs="Segoe UI"/>
                <w:sz w:val="18"/>
                <w:szCs w:val="18"/>
              </w:rPr>
            </w:pPr>
            <w:r w:rsidRPr="001D5327">
              <w:t>Wetlands remaining wetlands </w:t>
            </w:r>
          </w:p>
        </w:tc>
        <w:tc>
          <w:tcPr>
            <w:tcW w:w="3118" w:type="dxa"/>
            <w:shd w:val="clear" w:color="auto" w:fill="auto"/>
            <w:tcMar>
              <w:left w:w="85" w:type="dxa"/>
              <w:right w:w="85" w:type="dxa"/>
            </w:tcMar>
            <w:hideMark/>
          </w:tcPr>
          <w:p w14:paraId="1835E4F3" w14:textId="77777777" w:rsidR="009D798A" w:rsidRPr="001D5327" w:rsidRDefault="009D798A" w:rsidP="00341FEF">
            <w:pPr>
              <w:pStyle w:val="TableText"/>
              <w:spacing w:before="40" w:after="40"/>
              <w:rPr>
                <w:rFonts w:ascii="Segoe UI" w:hAnsi="Segoe UI" w:cs="Segoe UI"/>
                <w:sz w:val="18"/>
                <w:szCs w:val="18"/>
              </w:rPr>
            </w:pPr>
            <w:r w:rsidRPr="001D5327">
              <w:t>This is not a significant activity in New Zealand due to the country’s temperate climate and rainfall distribution, and any CO</w:t>
            </w:r>
            <w:r w:rsidRPr="001D5327">
              <w:rPr>
                <w:sz w:val="12"/>
                <w:szCs w:val="12"/>
                <w:vertAlign w:val="subscript"/>
              </w:rPr>
              <w:t>2</w:t>
            </w:r>
            <w:r w:rsidRPr="001D5327">
              <w:t xml:space="preserve"> emissions from burning on non-forest land are assumed to be offset by the subsequent carbon stock gain from the regrowth of biomass, which is also not reported. Alternatively, if the fire resulted in land-use change, then any CO</w:t>
            </w:r>
            <w:r w:rsidRPr="001D5327">
              <w:rPr>
                <w:sz w:val="12"/>
                <w:szCs w:val="12"/>
                <w:vertAlign w:val="subscript"/>
              </w:rPr>
              <w:t>2</w:t>
            </w:r>
            <w:r w:rsidRPr="001D5327">
              <w:t xml:space="preserve"> emissions are captured by the general carbon stock change calculation that is performed when land is converted to a new land use. </w:t>
            </w:r>
          </w:p>
        </w:tc>
      </w:tr>
      <w:tr w:rsidR="002C51B5" w:rsidRPr="001D5327" w14:paraId="29C98C80" w14:textId="77777777" w:rsidTr="002C51B5">
        <w:tc>
          <w:tcPr>
            <w:tcW w:w="1129" w:type="dxa"/>
            <w:shd w:val="clear" w:color="auto" w:fill="auto"/>
            <w:tcMar>
              <w:left w:w="85" w:type="dxa"/>
              <w:right w:w="85" w:type="dxa"/>
            </w:tcMar>
            <w:hideMark/>
          </w:tcPr>
          <w:p w14:paraId="2CF6562B" w14:textId="77777777" w:rsidR="009D798A" w:rsidRPr="001D5327" w:rsidRDefault="009D798A" w:rsidP="00CD4C1A">
            <w:pPr>
              <w:pStyle w:val="TableText"/>
              <w:spacing w:before="40" w:after="0"/>
              <w:rPr>
                <w:rFonts w:ascii="Segoe UI" w:hAnsi="Segoe UI" w:cs="Segoe UI"/>
                <w:sz w:val="18"/>
                <w:szCs w:val="18"/>
              </w:rPr>
            </w:pPr>
            <w:r w:rsidRPr="001D5327">
              <w:t>4.C.2/4(V) </w:t>
            </w:r>
          </w:p>
          <w:p w14:paraId="01547409" w14:textId="77777777" w:rsidR="009D798A" w:rsidRPr="001D5327" w:rsidRDefault="009D798A" w:rsidP="00CD4C1A">
            <w:pPr>
              <w:pStyle w:val="TableText"/>
              <w:spacing w:before="40" w:after="0"/>
              <w:rPr>
                <w:rFonts w:ascii="Segoe UI" w:hAnsi="Segoe UI" w:cs="Segoe UI"/>
                <w:sz w:val="18"/>
                <w:szCs w:val="18"/>
              </w:rPr>
            </w:pPr>
            <w:r w:rsidRPr="001D5327">
              <w:t>4.D.2/4(V) </w:t>
            </w:r>
          </w:p>
          <w:p w14:paraId="1FF42A87" w14:textId="77777777" w:rsidR="009D798A" w:rsidRPr="001D5327" w:rsidRDefault="009D798A" w:rsidP="00CD4C1A">
            <w:pPr>
              <w:pStyle w:val="TableText"/>
              <w:spacing w:before="40" w:after="0"/>
              <w:rPr>
                <w:rFonts w:ascii="Segoe UI" w:hAnsi="Segoe UI" w:cs="Segoe UI"/>
                <w:sz w:val="18"/>
                <w:szCs w:val="18"/>
              </w:rPr>
            </w:pPr>
            <w:r w:rsidRPr="001D5327">
              <w:t>4.E/4(V) </w:t>
            </w:r>
          </w:p>
          <w:p w14:paraId="75104BCA" w14:textId="77777777" w:rsidR="009D798A" w:rsidRPr="001D5327" w:rsidRDefault="009D798A" w:rsidP="00CD4C1A">
            <w:pPr>
              <w:pStyle w:val="TableText"/>
              <w:spacing w:before="40" w:after="0"/>
              <w:rPr>
                <w:rFonts w:ascii="Segoe UI" w:hAnsi="Segoe UI" w:cs="Segoe UI"/>
                <w:sz w:val="18"/>
                <w:szCs w:val="18"/>
              </w:rPr>
            </w:pPr>
            <w:r w:rsidRPr="001D5327">
              <w:t>4.F/4(V) </w:t>
            </w:r>
          </w:p>
        </w:tc>
        <w:tc>
          <w:tcPr>
            <w:tcW w:w="1990" w:type="dxa"/>
            <w:shd w:val="clear" w:color="auto" w:fill="auto"/>
            <w:tcMar>
              <w:left w:w="85" w:type="dxa"/>
              <w:right w:w="85" w:type="dxa"/>
            </w:tcMar>
            <w:hideMark/>
          </w:tcPr>
          <w:p w14:paraId="0D388C6B" w14:textId="77777777" w:rsidR="009D798A" w:rsidRPr="001D5327" w:rsidRDefault="009D798A" w:rsidP="00CD4C1A">
            <w:pPr>
              <w:pStyle w:val="TableText"/>
              <w:spacing w:before="40" w:after="0"/>
              <w:rPr>
                <w:rFonts w:ascii="Segoe UI" w:hAnsi="Segoe UI" w:cs="Segoe UI"/>
                <w:sz w:val="18"/>
                <w:szCs w:val="18"/>
              </w:rPr>
            </w:pPr>
            <w:r w:rsidRPr="001D5327">
              <w:t>Controlled burning/Land converted to grassland </w:t>
            </w:r>
          </w:p>
          <w:p w14:paraId="4D6FA2B0" w14:textId="77777777" w:rsidR="009D798A" w:rsidRPr="001D5327" w:rsidRDefault="009D798A" w:rsidP="00CD4C1A">
            <w:pPr>
              <w:pStyle w:val="TableText"/>
              <w:spacing w:before="40" w:after="0"/>
              <w:rPr>
                <w:rFonts w:ascii="Segoe UI" w:hAnsi="Segoe UI" w:cs="Segoe UI"/>
                <w:sz w:val="18"/>
                <w:szCs w:val="18"/>
              </w:rPr>
            </w:pPr>
            <w:r w:rsidRPr="001D5327">
              <w:t>Controlled burning/Land converted to wetlands </w:t>
            </w:r>
          </w:p>
          <w:p w14:paraId="4EC10E28" w14:textId="77777777" w:rsidR="009D798A" w:rsidRPr="001D5327" w:rsidRDefault="009D798A" w:rsidP="00CD4C1A">
            <w:pPr>
              <w:pStyle w:val="TableText"/>
              <w:spacing w:before="40" w:after="0"/>
              <w:rPr>
                <w:rFonts w:ascii="Segoe UI" w:hAnsi="Segoe UI" w:cs="Segoe UI"/>
                <w:sz w:val="18"/>
                <w:szCs w:val="18"/>
              </w:rPr>
            </w:pPr>
            <w:r w:rsidRPr="001D5327">
              <w:t>Biomass burning/Land converted to settlements </w:t>
            </w:r>
          </w:p>
          <w:p w14:paraId="5F48F4AA" w14:textId="77777777" w:rsidR="009D798A" w:rsidRPr="001D5327" w:rsidRDefault="009D798A" w:rsidP="00CD4C1A">
            <w:pPr>
              <w:pStyle w:val="TableText"/>
              <w:spacing w:before="40" w:after="40"/>
              <w:rPr>
                <w:rFonts w:ascii="Segoe UI" w:hAnsi="Segoe UI" w:cs="Segoe UI"/>
                <w:sz w:val="18"/>
                <w:szCs w:val="18"/>
              </w:rPr>
            </w:pPr>
            <w:r w:rsidRPr="001D5327">
              <w:t>Biomass burning/Land converted to other land </w:t>
            </w:r>
          </w:p>
        </w:tc>
        <w:tc>
          <w:tcPr>
            <w:tcW w:w="2268" w:type="dxa"/>
            <w:shd w:val="clear" w:color="auto" w:fill="auto"/>
            <w:tcMar>
              <w:left w:w="85" w:type="dxa"/>
              <w:right w:w="85" w:type="dxa"/>
            </w:tcMar>
            <w:hideMark/>
          </w:tcPr>
          <w:p w14:paraId="0CDEF953" w14:textId="77777777" w:rsidR="009D798A" w:rsidRPr="001D5327" w:rsidRDefault="009D798A" w:rsidP="00CD4C1A">
            <w:pPr>
              <w:pStyle w:val="TableText"/>
              <w:spacing w:before="40" w:after="0"/>
              <w:rPr>
                <w:rFonts w:ascii="Segoe UI" w:hAnsi="Segoe UI" w:cs="Segoe UI"/>
                <w:sz w:val="18"/>
                <w:szCs w:val="18"/>
              </w:rPr>
            </w:pPr>
            <w:r w:rsidRPr="001D5327">
              <w:t>Land converted to grassland </w:t>
            </w:r>
          </w:p>
          <w:p w14:paraId="610F9747" w14:textId="77777777" w:rsidR="009D798A" w:rsidRPr="001D5327" w:rsidRDefault="009D798A" w:rsidP="00CD4C1A">
            <w:pPr>
              <w:pStyle w:val="TableText"/>
              <w:spacing w:before="40" w:after="0"/>
              <w:rPr>
                <w:rFonts w:ascii="Segoe UI" w:hAnsi="Segoe UI" w:cs="Segoe UI"/>
                <w:sz w:val="18"/>
                <w:szCs w:val="18"/>
              </w:rPr>
            </w:pPr>
            <w:r w:rsidRPr="001D5327">
              <w:t>Land converted to wetlands </w:t>
            </w:r>
          </w:p>
          <w:p w14:paraId="2E2B6C7D" w14:textId="77777777" w:rsidR="009D798A" w:rsidRPr="001D5327" w:rsidRDefault="009D798A" w:rsidP="00CD4C1A">
            <w:pPr>
              <w:pStyle w:val="TableText"/>
              <w:spacing w:before="40" w:after="0"/>
              <w:rPr>
                <w:rFonts w:ascii="Segoe UI" w:hAnsi="Segoe UI" w:cs="Segoe UI"/>
                <w:sz w:val="18"/>
                <w:szCs w:val="18"/>
              </w:rPr>
            </w:pPr>
            <w:r w:rsidRPr="001D5327">
              <w:t>Land converted to settlements </w:t>
            </w:r>
          </w:p>
          <w:p w14:paraId="52EDCE40" w14:textId="77777777" w:rsidR="009D798A" w:rsidRPr="001D5327" w:rsidRDefault="009D798A" w:rsidP="00CD4C1A">
            <w:pPr>
              <w:pStyle w:val="TableText"/>
              <w:spacing w:before="40" w:after="0"/>
              <w:rPr>
                <w:rFonts w:ascii="Segoe UI" w:hAnsi="Segoe UI" w:cs="Segoe UI"/>
                <w:sz w:val="18"/>
                <w:szCs w:val="18"/>
              </w:rPr>
            </w:pPr>
            <w:r w:rsidRPr="001D5327">
              <w:t>Land converted to other land </w:t>
            </w:r>
          </w:p>
        </w:tc>
        <w:tc>
          <w:tcPr>
            <w:tcW w:w="3118" w:type="dxa"/>
            <w:shd w:val="clear" w:color="auto" w:fill="auto"/>
            <w:tcMar>
              <w:left w:w="85" w:type="dxa"/>
              <w:right w:w="85" w:type="dxa"/>
            </w:tcMar>
            <w:hideMark/>
          </w:tcPr>
          <w:p w14:paraId="080E5B19" w14:textId="77777777" w:rsidR="009D798A" w:rsidRPr="001D5327" w:rsidRDefault="009D798A" w:rsidP="00341FEF">
            <w:pPr>
              <w:pStyle w:val="TableText"/>
              <w:spacing w:before="40" w:after="40"/>
              <w:rPr>
                <w:rFonts w:ascii="Segoe UI" w:hAnsi="Segoe UI" w:cs="Segoe UI"/>
                <w:sz w:val="18"/>
                <w:szCs w:val="18"/>
              </w:rPr>
            </w:pPr>
            <w:r w:rsidRPr="001D5327">
              <w:t>Carbon dioxide emissions from the controlled burning of land converted to this category are captured by the general carbon stock change calculation that is performed when land is converted to a new land use. </w:t>
            </w:r>
          </w:p>
        </w:tc>
      </w:tr>
      <w:tr w:rsidR="002C51B5" w:rsidRPr="001D5327" w14:paraId="309212CF" w14:textId="77777777" w:rsidTr="002C51B5">
        <w:tc>
          <w:tcPr>
            <w:tcW w:w="1129" w:type="dxa"/>
            <w:shd w:val="clear" w:color="auto" w:fill="auto"/>
            <w:tcMar>
              <w:left w:w="85" w:type="dxa"/>
              <w:right w:w="85" w:type="dxa"/>
            </w:tcMar>
            <w:hideMark/>
          </w:tcPr>
          <w:p w14:paraId="341FC9BE" w14:textId="77777777" w:rsidR="009D798A" w:rsidRPr="001D5327" w:rsidRDefault="009D798A" w:rsidP="00341FEF">
            <w:pPr>
              <w:pStyle w:val="TableText"/>
              <w:spacing w:before="40" w:after="40"/>
              <w:rPr>
                <w:rFonts w:ascii="Segoe UI" w:hAnsi="Segoe UI" w:cs="Segoe UI"/>
                <w:sz w:val="18"/>
                <w:szCs w:val="18"/>
              </w:rPr>
            </w:pPr>
            <w:r w:rsidRPr="001D5327">
              <w:t>4.D.2.2 </w:t>
            </w:r>
          </w:p>
        </w:tc>
        <w:tc>
          <w:tcPr>
            <w:tcW w:w="1990" w:type="dxa"/>
            <w:shd w:val="clear" w:color="auto" w:fill="auto"/>
            <w:tcMar>
              <w:left w:w="85" w:type="dxa"/>
              <w:right w:w="85" w:type="dxa"/>
            </w:tcMar>
            <w:hideMark/>
          </w:tcPr>
          <w:p w14:paraId="428B3D30" w14:textId="77777777" w:rsidR="009D798A" w:rsidRPr="001D5327" w:rsidRDefault="009D798A" w:rsidP="00341FEF">
            <w:pPr>
              <w:pStyle w:val="TableText"/>
              <w:spacing w:before="40" w:after="40"/>
              <w:rPr>
                <w:rFonts w:ascii="Segoe UI" w:hAnsi="Segoe UI" w:cs="Segoe UI"/>
                <w:sz w:val="18"/>
                <w:szCs w:val="18"/>
              </w:rPr>
            </w:pPr>
            <w:r w:rsidRPr="001D5327">
              <w:t>Land converted to flooded land </w:t>
            </w:r>
          </w:p>
        </w:tc>
        <w:tc>
          <w:tcPr>
            <w:tcW w:w="2268" w:type="dxa"/>
            <w:shd w:val="clear" w:color="auto" w:fill="auto"/>
            <w:tcMar>
              <w:left w:w="85" w:type="dxa"/>
              <w:right w:w="85" w:type="dxa"/>
            </w:tcMar>
            <w:hideMark/>
          </w:tcPr>
          <w:p w14:paraId="72B738FF" w14:textId="77777777" w:rsidR="009D798A" w:rsidRPr="001D5327" w:rsidRDefault="009D798A" w:rsidP="00341FEF">
            <w:pPr>
              <w:pStyle w:val="TableText"/>
              <w:spacing w:before="40" w:after="40"/>
              <w:rPr>
                <w:rFonts w:ascii="Segoe UI" w:hAnsi="Segoe UI" w:cs="Segoe UI"/>
                <w:sz w:val="18"/>
                <w:szCs w:val="18"/>
              </w:rPr>
            </w:pPr>
            <w:r w:rsidRPr="001D5327">
              <w:t>Land converted to open water </w:t>
            </w:r>
          </w:p>
        </w:tc>
        <w:tc>
          <w:tcPr>
            <w:tcW w:w="3118" w:type="dxa"/>
            <w:shd w:val="clear" w:color="auto" w:fill="auto"/>
            <w:tcMar>
              <w:left w:w="85" w:type="dxa"/>
              <w:right w:w="85" w:type="dxa"/>
            </w:tcMar>
            <w:hideMark/>
          </w:tcPr>
          <w:p w14:paraId="7A127150" w14:textId="77777777" w:rsidR="009D798A" w:rsidRPr="001D5327" w:rsidRDefault="009D798A" w:rsidP="00341FEF">
            <w:pPr>
              <w:pStyle w:val="TableText"/>
              <w:spacing w:before="40" w:after="40"/>
              <w:rPr>
                <w:rFonts w:ascii="Segoe UI" w:hAnsi="Segoe UI" w:cs="Segoe UI"/>
                <w:sz w:val="18"/>
                <w:szCs w:val="18"/>
              </w:rPr>
            </w:pPr>
            <w:r w:rsidRPr="001D5327">
              <w:t xml:space="preserve">New Zealand has not yet identified what area of land converted to open water meets the definition of </w:t>
            </w:r>
            <w:r w:rsidRPr="001D5327">
              <w:rPr>
                <w:i/>
                <w:iCs/>
              </w:rPr>
              <w:t>Land converted to flooded land</w:t>
            </w:r>
            <w:r w:rsidRPr="001D5327">
              <w:t xml:space="preserve">. Emissions associated with the loss of biomass with land conversion to flooded land will be captured under </w:t>
            </w:r>
            <w:r w:rsidRPr="001D5327">
              <w:rPr>
                <w:i/>
                <w:iCs/>
              </w:rPr>
              <w:t>Land converted to open water</w:t>
            </w:r>
            <w:r w:rsidRPr="001D5327">
              <w:t>. </w:t>
            </w:r>
          </w:p>
        </w:tc>
      </w:tr>
      <w:tr w:rsidR="009D798A" w:rsidRPr="001D5327" w14:paraId="622CD7AB" w14:textId="77777777" w:rsidTr="002C51B5">
        <w:tc>
          <w:tcPr>
            <w:tcW w:w="8505" w:type="dxa"/>
            <w:gridSpan w:val="4"/>
            <w:shd w:val="clear" w:color="auto" w:fill="auto"/>
            <w:tcMar>
              <w:left w:w="85" w:type="dxa"/>
              <w:right w:w="85" w:type="dxa"/>
            </w:tcMar>
          </w:tcPr>
          <w:p w14:paraId="6EE855B4" w14:textId="77777777" w:rsidR="009D798A" w:rsidRPr="001D5327" w:rsidRDefault="009D798A" w:rsidP="00341FEF">
            <w:pPr>
              <w:pStyle w:val="Tableboldblue"/>
              <w:spacing w:before="40" w:after="40"/>
            </w:pPr>
            <w:r w:rsidRPr="001D5327">
              <w:t>Waste</w:t>
            </w:r>
          </w:p>
        </w:tc>
      </w:tr>
      <w:tr w:rsidR="002C51B5" w:rsidRPr="001D5327" w14:paraId="31B29628" w14:textId="77777777" w:rsidTr="002C51B5">
        <w:tc>
          <w:tcPr>
            <w:tcW w:w="1129" w:type="dxa"/>
            <w:shd w:val="clear" w:color="auto" w:fill="auto"/>
            <w:tcMar>
              <w:left w:w="85" w:type="dxa"/>
              <w:right w:w="85" w:type="dxa"/>
            </w:tcMar>
            <w:hideMark/>
          </w:tcPr>
          <w:p w14:paraId="6D5AAFEF" w14:textId="77777777" w:rsidR="009D798A" w:rsidRPr="001D5327" w:rsidRDefault="009D798A" w:rsidP="00341FEF">
            <w:pPr>
              <w:pStyle w:val="TableText"/>
              <w:spacing w:before="40" w:after="40"/>
              <w:rPr>
                <w:rFonts w:ascii="Segoe UI" w:hAnsi="Segoe UI" w:cs="Segoe UI"/>
                <w:sz w:val="18"/>
                <w:szCs w:val="18"/>
              </w:rPr>
            </w:pPr>
            <w:r w:rsidRPr="001D5327">
              <w:t>5.D.1 </w:t>
            </w:r>
          </w:p>
        </w:tc>
        <w:tc>
          <w:tcPr>
            <w:tcW w:w="1990" w:type="dxa"/>
            <w:shd w:val="clear" w:color="auto" w:fill="auto"/>
            <w:tcMar>
              <w:left w:w="85" w:type="dxa"/>
              <w:right w:w="85" w:type="dxa"/>
            </w:tcMar>
            <w:hideMark/>
          </w:tcPr>
          <w:p w14:paraId="4B1C447B" w14:textId="77777777" w:rsidR="009D798A" w:rsidRPr="001D5327" w:rsidRDefault="009D798A" w:rsidP="00341FEF">
            <w:pPr>
              <w:pStyle w:val="TableText"/>
              <w:spacing w:before="40" w:after="40"/>
              <w:rPr>
                <w:rFonts w:ascii="Segoe UI" w:hAnsi="Segoe UI" w:cs="Segoe UI"/>
                <w:sz w:val="18"/>
                <w:szCs w:val="18"/>
              </w:rPr>
            </w:pPr>
            <w:r w:rsidRPr="001D5327">
              <w:t>Domestic wastewater </w:t>
            </w:r>
          </w:p>
        </w:tc>
        <w:tc>
          <w:tcPr>
            <w:tcW w:w="2268" w:type="dxa"/>
            <w:shd w:val="clear" w:color="auto" w:fill="auto"/>
            <w:tcMar>
              <w:left w:w="85" w:type="dxa"/>
              <w:right w:w="85" w:type="dxa"/>
            </w:tcMar>
            <w:hideMark/>
          </w:tcPr>
          <w:p w14:paraId="167C08D0" w14:textId="77777777" w:rsidR="009D798A" w:rsidRPr="001D5327" w:rsidRDefault="009D798A" w:rsidP="00341FEF">
            <w:pPr>
              <w:pStyle w:val="TableText"/>
              <w:spacing w:before="40" w:after="40"/>
              <w:rPr>
                <w:rFonts w:ascii="Segoe UI" w:hAnsi="Segoe UI" w:cs="Segoe UI"/>
                <w:sz w:val="18"/>
                <w:szCs w:val="18"/>
              </w:rPr>
            </w:pPr>
            <w:r w:rsidRPr="001D5327">
              <w:t>5.A Solid waste </w:t>
            </w:r>
          </w:p>
        </w:tc>
        <w:tc>
          <w:tcPr>
            <w:tcW w:w="3118" w:type="dxa"/>
            <w:shd w:val="clear" w:color="auto" w:fill="auto"/>
            <w:tcMar>
              <w:left w:w="85" w:type="dxa"/>
              <w:right w:w="85" w:type="dxa"/>
            </w:tcMar>
            <w:hideMark/>
          </w:tcPr>
          <w:p w14:paraId="2F6ADD25" w14:textId="77777777" w:rsidR="009D798A" w:rsidRPr="001D5327" w:rsidRDefault="009D798A" w:rsidP="00341FEF">
            <w:pPr>
              <w:pStyle w:val="TableText"/>
              <w:spacing w:before="40" w:after="40"/>
              <w:rPr>
                <w:rFonts w:ascii="Segoe UI" w:hAnsi="Segoe UI" w:cs="Segoe UI"/>
                <w:sz w:val="18"/>
                <w:szCs w:val="18"/>
              </w:rPr>
            </w:pPr>
            <w:r w:rsidRPr="001D5327">
              <w:t xml:space="preserve">Activity data – sludge amounts are included under </w:t>
            </w:r>
            <w:r w:rsidRPr="001D5327">
              <w:rPr>
                <w:i/>
                <w:iCs/>
              </w:rPr>
              <w:t>Solid waste disposal</w:t>
            </w:r>
            <w:r w:rsidRPr="001D5327">
              <w:t xml:space="preserve"> because sludge is disposed to landfill. </w:t>
            </w:r>
          </w:p>
        </w:tc>
      </w:tr>
      <w:tr w:rsidR="002C51B5" w:rsidRPr="001D5327" w14:paraId="44141140" w14:textId="77777777" w:rsidTr="002C51B5">
        <w:tc>
          <w:tcPr>
            <w:tcW w:w="1129" w:type="dxa"/>
            <w:shd w:val="clear" w:color="auto" w:fill="auto"/>
            <w:tcMar>
              <w:left w:w="85" w:type="dxa"/>
              <w:right w:w="85" w:type="dxa"/>
            </w:tcMar>
            <w:hideMark/>
          </w:tcPr>
          <w:p w14:paraId="2B373B79" w14:textId="77777777" w:rsidR="009D798A" w:rsidRPr="001D5327" w:rsidRDefault="009D798A" w:rsidP="00341FEF">
            <w:pPr>
              <w:pStyle w:val="TableText"/>
              <w:spacing w:before="40" w:after="40"/>
              <w:rPr>
                <w:rFonts w:ascii="Segoe UI" w:hAnsi="Segoe UI" w:cs="Segoe UI"/>
                <w:sz w:val="18"/>
                <w:szCs w:val="18"/>
              </w:rPr>
            </w:pPr>
            <w:r w:rsidRPr="001D5327">
              <w:lastRenderedPageBreak/>
              <w:t>5.D.2 </w:t>
            </w:r>
          </w:p>
        </w:tc>
        <w:tc>
          <w:tcPr>
            <w:tcW w:w="1990" w:type="dxa"/>
            <w:shd w:val="clear" w:color="auto" w:fill="auto"/>
            <w:tcMar>
              <w:left w:w="85" w:type="dxa"/>
              <w:right w:w="85" w:type="dxa"/>
            </w:tcMar>
            <w:hideMark/>
          </w:tcPr>
          <w:p w14:paraId="00F15A9E" w14:textId="77777777" w:rsidR="009D798A" w:rsidRPr="001D5327" w:rsidRDefault="009D798A" w:rsidP="00341FEF">
            <w:pPr>
              <w:pStyle w:val="TableText"/>
              <w:spacing w:before="40" w:after="40"/>
              <w:rPr>
                <w:rFonts w:ascii="Segoe UI" w:hAnsi="Segoe UI" w:cs="Segoe UI"/>
                <w:sz w:val="18"/>
                <w:szCs w:val="18"/>
              </w:rPr>
            </w:pPr>
            <w:r w:rsidRPr="001D5327">
              <w:t>Industrial wastewater </w:t>
            </w:r>
          </w:p>
        </w:tc>
        <w:tc>
          <w:tcPr>
            <w:tcW w:w="2268" w:type="dxa"/>
            <w:shd w:val="clear" w:color="auto" w:fill="auto"/>
            <w:tcMar>
              <w:left w:w="85" w:type="dxa"/>
              <w:right w:w="85" w:type="dxa"/>
            </w:tcMar>
            <w:hideMark/>
          </w:tcPr>
          <w:p w14:paraId="462E01B7" w14:textId="77777777" w:rsidR="009D798A" w:rsidRPr="001D5327" w:rsidRDefault="009D798A" w:rsidP="00341FEF">
            <w:pPr>
              <w:pStyle w:val="TableText"/>
              <w:spacing w:before="40" w:after="40"/>
              <w:rPr>
                <w:rFonts w:ascii="Segoe UI" w:hAnsi="Segoe UI" w:cs="Segoe UI"/>
                <w:sz w:val="18"/>
                <w:szCs w:val="18"/>
              </w:rPr>
            </w:pPr>
            <w:r w:rsidRPr="001D5327">
              <w:t>5.A Solid waste </w:t>
            </w:r>
          </w:p>
        </w:tc>
        <w:tc>
          <w:tcPr>
            <w:tcW w:w="3118" w:type="dxa"/>
            <w:shd w:val="clear" w:color="auto" w:fill="auto"/>
            <w:tcMar>
              <w:left w:w="85" w:type="dxa"/>
              <w:right w:w="85" w:type="dxa"/>
            </w:tcMar>
            <w:hideMark/>
          </w:tcPr>
          <w:p w14:paraId="6E04AAA9" w14:textId="77777777" w:rsidR="009D798A" w:rsidRPr="001D5327" w:rsidRDefault="009D798A" w:rsidP="00341FEF">
            <w:pPr>
              <w:pStyle w:val="TableText"/>
              <w:spacing w:before="40" w:after="40"/>
              <w:rPr>
                <w:rFonts w:ascii="Segoe UI" w:hAnsi="Segoe UI" w:cs="Segoe UI"/>
                <w:sz w:val="18"/>
                <w:szCs w:val="18"/>
              </w:rPr>
            </w:pPr>
            <w:r w:rsidRPr="001D5327">
              <w:t xml:space="preserve">Activity data – sludge amounts are included under </w:t>
            </w:r>
            <w:r w:rsidRPr="001D5327">
              <w:rPr>
                <w:i/>
                <w:iCs/>
              </w:rPr>
              <w:t>Solid waste disposal</w:t>
            </w:r>
            <w:r w:rsidRPr="001D5327">
              <w:t xml:space="preserve"> because sludge is disposed to landfill. </w:t>
            </w:r>
          </w:p>
        </w:tc>
      </w:tr>
      <w:tr w:rsidR="002C51B5" w:rsidRPr="001D5327" w14:paraId="4A43FE72" w14:textId="77777777" w:rsidTr="002C51B5">
        <w:tc>
          <w:tcPr>
            <w:tcW w:w="1129" w:type="dxa"/>
            <w:shd w:val="clear" w:color="auto" w:fill="auto"/>
            <w:tcMar>
              <w:left w:w="85" w:type="dxa"/>
              <w:right w:w="85" w:type="dxa"/>
            </w:tcMar>
            <w:hideMark/>
          </w:tcPr>
          <w:p w14:paraId="50E6A7D4" w14:textId="77777777" w:rsidR="009D798A" w:rsidRPr="001D5327" w:rsidRDefault="009D798A" w:rsidP="00341FEF">
            <w:pPr>
              <w:pStyle w:val="TableText"/>
              <w:spacing w:before="40" w:after="40"/>
              <w:rPr>
                <w:rFonts w:ascii="Segoe UI" w:hAnsi="Segoe UI" w:cs="Segoe UI"/>
                <w:sz w:val="18"/>
                <w:szCs w:val="18"/>
              </w:rPr>
            </w:pPr>
            <w:r w:rsidRPr="001D5327">
              <w:t>5.D.2 </w:t>
            </w:r>
          </w:p>
        </w:tc>
        <w:tc>
          <w:tcPr>
            <w:tcW w:w="1990" w:type="dxa"/>
            <w:shd w:val="clear" w:color="auto" w:fill="auto"/>
            <w:tcMar>
              <w:left w:w="85" w:type="dxa"/>
              <w:right w:w="85" w:type="dxa"/>
            </w:tcMar>
            <w:hideMark/>
          </w:tcPr>
          <w:p w14:paraId="3BC15937" w14:textId="77777777" w:rsidR="009D798A" w:rsidRPr="001D5327" w:rsidRDefault="009D798A" w:rsidP="00341FEF">
            <w:pPr>
              <w:pStyle w:val="TableText"/>
              <w:spacing w:before="40" w:after="40"/>
              <w:rPr>
                <w:rFonts w:ascii="Segoe UI" w:hAnsi="Segoe UI" w:cs="Segoe UI"/>
                <w:sz w:val="18"/>
                <w:szCs w:val="18"/>
              </w:rPr>
            </w:pPr>
            <w:r w:rsidRPr="001D5327">
              <w:t>Industrial wastewater </w:t>
            </w:r>
          </w:p>
        </w:tc>
        <w:tc>
          <w:tcPr>
            <w:tcW w:w="2268" w:type="dxa"/>
            <w:shd w:val="clear" w:color="auto" w:fill="auto"/>
            <w:tcMar>
              <w:left w:w="85" w:type="dxa"/>
              <w:right w:w="85" w:type="dxa"/>
            </w:tcMar>
            <w:hideMark/>
          </w:tcPr>
          <w:p w14:paraId="03886DB9" w14:textId="77777777" w:rsidR="009D798A" w:rsidRPr="001D5327" w:rsidRDefault="009D798A" w:rsidP="00341FEF">
            <w:pPr>
              <w:pStyle w:val="TableText"/>
              <w:spacing w:before="40" w:after="40"/>
              <w:rPr>
                <w:rFonts w:ascii="Segoe UI" w:hAnsi="Segoe UI" w:cs="Segoe UI"/>
                <w:sz w:val="18"/>
                <w:szCs w:val="18"/>
              </w:rPr>
            </w:pPr>
            <w:r w:rsidRPr="001D5327">
              <w:t>1.A.2.e Food processing, beverages and tobacco – Biomass </w:t>
            </w:r>
          </w:p>
        </w:tc>
        <w:tc>
          <w:tcPr>
            <w:tcW w:w="3118" w:type="dxa"/>
            <w:shd w:val="clear" w:color="auto" w:fill="auto"/>
            <w:tcMar>
              <w:left w:w="85" w:type="dxa"/>
              <w:right w:w="85" w:type="dxa"/>
            </w:tcMar>
            <w:hideMark/>
          </w:tcPr>
          <w:p w14:paraId="23E60469" w14:textId="77777777" w:rsidR="009D798A" w:rsidRPr="001D5327" w:rsidRDefault="009D798A" w:rsidP="00341FEF">
            <w:pPr>
              <w:pStyle w:val="TableText"/>
              <w:spacing w:before="40" w:after="40"/>
              <w:rPr>
                <w:rFonts w:ascii="Segoe UI" w:hAnsi="Segoe UI" w:cs="Segoe UI"/>
                <w:sz w:val="18"/>
                <w:szCs w:val="18"/>
              </w:rPr>
            </w:pPr>
            <w:r w:rsidRPr="001D5327">
              <w:t>Emissions of CH</w:t>
            </w:r>
            <w:r w:rsidRPr="001D5327">
              <w:rPr>
                <w:sz w:val="12"/>
                <w:szCs w:val="12"/>
                <w:vertAlign w:val="subscript"/>
              </w:rPr>
              <w:t>4</w:t>
            </w:r>
            <w:r w:rsidRPr="001D5327">
              <w:t xml:space="preserve"> from the combustion of biogas from the Tirau dairy processing plant are reported under 1.A.2.e </w:t>
            </w:r>
            <w:r w:rsidRPr="001D5327">
              <w:rPr>
                <w:i/>
                <w:iCs/>
              </w:rPr>
              <w:t>Food processing, beverages and tobacco – Biomass.</w:t>
            </w:r>
            <w:r w:rsidRPr="001D5327">
              <w:t> </w:t>
            </w:r>
          </w:p>
        </w:tc>
      </w:tr>
      <w:tr w:rsidR="002C51B5" w:rsidRPr="001D5327" w14:paraId="4D7203B6" w14:textId="77777777" w:rsidTr="002C51B5">
        <w:tc>
          <w:tcPr>
            <w:tcW w:w="1129" w:type="dxa"/>
            <w:shd w:val="clear" w:color="auto" w:fill="auto"/>
            <w:tcMar>
              <w:left w:w="85" w:type="dxa"/>
              <w:right w:w="85" w:type="dxa"/>
            </w:tcMar>
            <w:hideMark/>
          </w:tcPr>
          <w:p w14:paraId="2D852E23" w14:textId="77777777" w:rsidR="009D798A" w:rsidRPr="001D5327" w:rsidRDefault="009D798A" w:rsidP="00341FEF">
            <w:pPr>
              <w:pStyle w:val="TableText"/>
              <w:spacing w:before="40" w:after="40"/>
              <w:rPr>
                <w:rFonts w:ascii="Segoe UI" w:hAnsi="Segoe UI" w:cs="Segoe UI"/>
                <w:sz w:val="18"/>
                <w:szCs w:val="18"/>
              </w:rPr>
            </w:pPr>
            <w:r w:rsidRPr="001D5327">
              <w:t xml:space="preserve">Within the Tokelau sector 6, categories 1.A.3.b.i. and 1.A.4.c.iii. were reported elsewhere </w:t>
            </w:r>
          </w:p>
        </w:tc>
        <w:tc>
          <w:tcPr>
            <w:tcW w:w="1990" w:type="dxa"/>
            <w:shd w:val="clear" w:color="auto" w:fill="auto"/>
            <w:tcMar>
              <w:left w:w="85" w:type="dxa"/>
              <w:right w:w="85" w:type="dxa"/>
            </w:tcMar>
            <w:hideMark/>
          </w:tcPr>
          <w:p w14:paraId="6947BC92" w14:textId="77777777" w:rsidR="009D798A" w:rsidRPr="001D5327" w:rsidRDefault="009D798A" w:rsidP="00341FEF">
            <w:pPr>
              <w:pStyle w:val="TableText"/>
              <w:spacing w:before="40" w:after="40"/>
              <w:rPr>
                <w:rFonts w:ascii="Segoe UI" w:hAnsi="Segoe UI" w:cs="Segoe UI"/>
                <w:sz w:val="18"/>
                <w:szCs w:val="18"/>
              </w:rPr>
            </w:pPr>
            <w:r w:rsidRPr="001D5327">
              <w:t>Road transport/Gasoline and diesel oil </w:t>
            </w:r>
          </w:p>
        </w:tc>
        <w:tc>
          <w:tcPr>
            <w:tcW w:w="2268" w:type="dxa"/>
            <w:shd w:val="clear" w:color="auto" w:fill="auto"/>
            <w:tcMar>
              <w:left w:w="85" w:type="dxa"/>
              <w:right w:w="85" w:type="dxa"/>
            </w:tcMar>
            <w:hideMark/>
          </w:tcPr>
          <w:p w14:paraId="001A0E4D" w14:textId="77777777" w:rsidR="009D798A" w:rsidRPr="001D5327" w:rsidRDefault="009D798A" w:rsidP="00341FEF">
            <w:pPr>
              <w:pStyle w:val="TableText"/>
              <w:spacing w:before="40" w:after="40"/>
              <w:rPr>
                <w:rFonts w:ascii="Segoe UI" w:hAnsi="Segoe UI" w:cs="Segoe UI"/>
                <w:sz w:val="18"/>
                <w:szCs w:val="18"/>
              </w:rPr>
            </w:pPr>
            <w:r w:rsidRPr="001D5327">
              <w:t>1.A.3.d. Domestic navigation –Gas-diesel oil (within Tokelau sector 6) </w:t>
            </w:r>
          </w:p>
        </w:tc>
        <w:tc>
          <w:tcPr>
            <w:tcW w:w="3118" w:type="dxa"/>
            <w:shd w:val="clear" w:color="auto" w:fill="auto"/>
            <w:tcMar>
              <w:left w:w="85" w:type="dxa"/>
              <w:right w:w="85" w:type="dxa"/>
            </w:tcMar>
            <w:hideMark/>
          </w:tcPr>
          <w:p w14:paraId="02A34A9C" w14:textId="77777777" w:rsidR="009D798A" w:rsidRPr="001D5327" w:rsidRDefault="009D798A" w:rsidP="00341FEF">
            <w:pPr>
              <w:pStyle w:val="TableText"/>
              <w:spacing w:before="40" w:after="40"/>
              <w:rPr>
                <w:rFonts w:ascii="Segoe UI" w:hAnsi="Segoe UI" w:cs="Segoe UI"/>
                <w:sz w:val="18"/>
                <w:szCs w:val="18"/>
              </w:rPr>
            </w:pPr>
            <w:r w:rsidRPr="001D5327">
              <w:t xml:space="preserve">Tokelau has a small petrol car fleet. In 2018 there were about 40 cars and 30 motorbikes, with an entire road network less than 10 kilometres. Four registered cars were recorded in the 2001 Census. Aluminium boats are the main means of family transport. There were, on average, about 100 outboard motors travelling both outside and within the large lagoons. Petrol use for road transport is relatively small compared with </w:t>
            </w:r>
            <w:r w:rsidRPr="001D5327">
              <w:rPr>
                <w:i/>
                <w:iCs/>
              </w:rPr>
              <w:t>Domestic navigation</w:t>
            </w:r>
            <w:r w:rsidRPr="001D5327">
              <w:t xml:space="preserve"> totals, and all emissions are included in </w:t>
            </w:r>
            <w:r w:rsidRPr="001D5327">
              <w:rPr>
                <w:i/>
                <w:iCs/>
              </w:rPr>
              <w:t>Domestic navigation</w:t>
            </w:r>
            <w:r w:rsidRPr="001D5327">
              <w:t>. </w:t>
            </w:r>
          </w:p>
        </w:tc>
      </w:tr>
      <w:tr w:rsidR="002C51B5" w:rsidRPr="001D5327" w14:paraId="16CEABDB" w14:textId="77777777" w:rsidTr="002C51B5">
        <w:tc>
          <w:tcPr>
            <w:tcW w:w="1129" w:type="dxa"/>
            <w:shd w:val="clear" w:color="auto" w:fill="auto"/>
            <w:tcMar>
              <w:left w:w="85" w:type="dxa"/>
              <w:right w:w="85" w:type="dxa"/>
            </w:tcMar>
            <w:hideMark/>
          </w:tcPr>
          <w:p w14:paraId="2A053872" w14:textId="77777777" w:rsidR="009D798A" w:rsidRPr="001D5327" w:rsidRDefault="009D798A" w:rsidP="00341FEF">
            <w:pPr>
              <w:pStyle w:val="TableText"/>
              <w:spacing w:before="40" w:after="40"/>
              <w:rPr>
                <w:rFonts w:ascii="Segoe UI" w:hAnsi="Segoe UI" w:cs="Segoe UI"/>
                <w:sz w:val="18"/>
                <w:szCs w:val="18"/>
              </w:rPr>
            </w:pPr>
            <w:r w:rsidRPr="001D5327">
              <w:t xml:space="preserve">Within the Tokelau sector 6, category 1.A.4.b. Residential is reported elsewhere </w:t>
            </w:r>
          </w:p>
        </w:tc>
        <w:tc>
          <w:tcPr>
            <w:tcW w:w="1990" w:type="dxa"/>
            <w:shd w:val="clear" w:color="auto" w:fill="auto"/>
            <w:tcMar>
              <w:left w:w="85" w:type="dxa"/>
              <w:right w:w="85" w:type="dxa"/>
            </w:tcMar>
            <w:hideMark/>
          </w:tcPr>
          <w:p w14:paraId="25533114" w14:textId="77777777" w:rsidR="009D798A" w:rsidRPr="001D5327" w:rsidRDefault="009D798A" w:rsidP="00341FEF">
            <w:pPr>
              <w:pStyle w:val="TableText"/>
              <w:spacing w:before="40" w:after="40"/>
              <w:rPr>
                <w:rFonts w:ascii="Segoe UI" w:hAnsi="Segoe UI" w:cs="Segoe UI"/>
                <w:sz w:val="18"/>
                <w:szCs w:val="18"/>
              </w:rPr>
            </w:pPr>
            <w:r w:rsidRPr="001D5327">
              <w:t>1.A.4.b. Residential liquid fuels </w:t>
            </w:r>
          </w:p>
        </w:tc>
        <w:tc>
          <w:tcPr>
            <w:tcW w:w="2268" w:type="dxa"/>
            <w:shd w:val="clear" w:color="auto" w:fill="auto"/>
            <w:tcMar>
              <w:left w:w="85" w:type="dxa"/>
              <w:right w:w="85" w:type="dxa"/>
            </w:tcMar>
            <w:hideMark/>
          </w:tcPr>
          <w:p w14:paraId="038E8092" w14:textId="77777777" w:rsidR="009D798A" w:rsidRPr="001D5327" w:rsidRDefault="009D798A" w:rsidP="00341FEF">
            <w:pPr>
              <w:pStyle w:val="TableText"/>
              <w:spacing w:before="40" w:after="40"/>
              <w:rPr>
                <w:rFonts w:ascii="Segoe UI" w:hAnsi="Segoe UI" w:cs="Segoe UI"/>
                <w:sz w:val="18"/>
                <w:szCs w:val="18"/>
              </w:rPr>
            </w:pPr>
            <w:r w:rsidRPr="001D5327">
              <w:t>1.A.3.d. Domestic navigation – Gas-diesel oil (within Tokelau sector 6) </w:t>
            </w:r>
          </w:p>
        </w:tc>
        <w:tc>
          <w:tcPr>
            <w:tcW w:w="3118" w:type="dxa"/>
            <w:shd w:val="clear" w:color="auto" w:fill="auto"/>
            <w:tcMar>
              <w:left w:w="85" w:type="dxa"/>
              <w:right w:w="85" w:type="dxa"/>
            </w:tcMar>
            <w:hideMark/>
          </w:tcPr>
          <w:p w14:paraId="0CE70C47" w14:textId="77777777" w:rsidR="009D798A" w:rsidRPr="001D5327" w:rsidRDefault="009D798A" w:rsidP="00341FEF">
            <w:pPr>
              <w:pStyle w:val="TableText"/>
              <w:spacing w:before="40" w:after="40"/>
              <w:rPr>
                <w:rFonts w:ascii="Segoe UI" w:hAnsi="Segoe UI" w:cs="Segoe UI"/>
                <w:sz w:val="18"/>
                <w:szCs w:val="18"/>
              </w:rPr>
            </w:pPr>
            <w:r w:rsidRPr="001D5327">
              <w:t xml:space="preserve">Only gas used for cooking is reported here. The amount of liquid fuel use in this category is small compared with </w:t>
            </w:r>
            <w:r w:rsidRPr="001D5327">
              <w:rPr>
                <w:i/>
                <w:iCs/>
              </w:rPr>
              <w:t>Domestic navigation</w:t>
            </w:r>
            <w:r w:rsidRPr="001D5327">
              <w:t xml:space="preserve"> and all emissions are included in </w:t>
            </w:r>
            <w:r w:rsidRPr="001D5327">
              <w:rPr>
                <w:i/>
                <w:iCs/>
              </w:rPr>
              <w:t>Domestic navigation</w:t>
            </w:r>
            <w:r w:rsidRPr="001D5327">
              <w:t>. </w:t>
            </w:r>
          </w:p>
        </w:tc>
      </w:tr>
    </w:tbl>
    <w:p w14:paraId="11A39C8B" w14:textId="77777777" w:rsidR="009D798A" w:rsidRPr="001D5327" w:rsidRDefault="009D798A" w:rsidP="00CD4C1A">
      <w:pPr>
        <w:pStyle w:val="Heading3"/>
        <w:spacing w:before="400"/>
      </w:pPr>
      <w:r w:rsidRPr="001D5327">
        <w:t>1.7.2</w:t>
      </w:r>
      <w:r w:rsidRPr="001D5327">
        <w:tab/>
        <w:t>Description of insignificant categories</w:t>
      </w:r>
    </w:p>
    <w:p w14:paraId="4CB94BE0" w14:textId="432C7961" w:rsidR="009D798A" w:rsidRPr="001D5327" w:rsidRDefault="009D798A" w:rsidP="009D798A">
      <w:pPr>
        <w:pStyle w:val="BodyText"/>
      </w:pPr>
      <w:r w:rsidRPr="001D5327">
        <w:t>New Zealand’s omitted insignificant emissions sources are estimated using simple methods, in</w:t>
      </w:r>
      <w:r w:rsidR="00C71113" w:rsidRPr="001D5327">
        <w:t> </w:t>
      </w:r>
      <w:r w:rsidRPr="001D5327">
        <w:t>line with paragraph 32 of the annex to decision 18/CMA.1 (UNFCCC, 2018b).</w:t>
      </w:r>
    </w:p>
    <w:p w14:paraId="7BA09FDF" w14:textId="77777777" w:rsidR="009D798A" w:rsidRPr="001D5327" w:rsidRDefault="009D798A" w:rsidP="009D798A">
      <w:pPr>
        <w:pStyle w:val="BodyText"/>
      </w:pPr>
      <w:r w:rsidRPr="001D5327">
        <w:t>The data and assumptions New Zealand used to derive the likely emissions levels are presented in table 1.7.1.</w:t>
      </w:r>
    </w:p>
    <w:p w14:paraId="5C22237F" w14:textId="77777777" w:rsidR="009D798A" w:rsidRPr="001D5327" w:rsidRDefault="009D798A" w:rsidP="009D798A">
      <w:pPr>
        <w:pStyle w:val="Heading3"/>
      </w:pPr>
      <w:bookmarkStart w:id="108" w:name="X364a7bdef5a57cbbcd080a819093412e1ca8270"/>
      <w:bookmarkEnd w:id="107"/>
      <w:r w:rsidRPr="001D5327">
        <w:t>1.7.3</w:t>
      </w:r>
      <w:r w:rsidRPr="001D5327">
        <w:tab/>
        <w:t>Total aggregate emissions considered insignificant, if applicable</w:t>
      </w:r>
    </w:p>
    <w:p w14:paraId="24B8B826" w14:textId="77777777" w:rsidR="009D798A" w:rsidRPr="001D5327" w:rsidRDefault="009D798A" w:rsidP="009D798A">
      <w:pPr>
        <w:pStyle w:val="BodyText"/>
      </w:pPr>
      <w:r w:rsidRPr="001D5327">
        <w:t>The estimate of emissions for all of New Zealand’s source categories marked as ‘NE’ results in 3.8 kt CO</w:t>
      </w:r>
      <w:r w:rsidRPr="001D5327">
        <w:rPr>
          <w:vertAlign w:val="subscript"/>
        </w:rPr>
        <w:t>2</w:t>
      </w:r>
      <w:r w:rsidRPr="001D5327">
        <w:t>-e, which is below the 0.1 per cent of the total emissions threshold (76.4 kt CO</w:t>
      </w:r>
      <w:r w:rsidRPr="001D5327">
        <w:rPr>
          <w:vertAlign w:val="subscript"/>
        </w:rPr>
        <w:t>2</w:t>
      </w:r>
      <w:r w:rsidRPr="001D5327">
        <w:t>-e).</w:t>
      </w:r>
    </w:p>
    <w:p w14:paraId="5D7D4AB1" w14:textId="77777777" w:rsidR="009D798A" w:rsidRPr="001D5327" w:rsidRDefault="009D798A" w:rsidP="009D798A">
      <w:pPr>
        <w:pStyle w:val="Heading2"/>
      </w:pPr>
      <w:bookmarkStart w:id="109" w:name="_Toc194311991"/>
      <w:bookmarkStart w:id="110" w:name="metrics"/>
      <w:bookmarkEnd w:id="96"/>
      <w:bookmarkEnd w:id="108"/>
      <w:r w:rsidRPr="001D5327">
        <w:t>1.8</w:t>
      </w:r>
      <w:r w:rsidRPr="001D5327">
        <w:tab/>
        <w:t>Metrics</w:t>
      </w:r>
      <w:bookmarkEnd w:id="109"/>
    </w:p>
    <w:p w14:paraId="2AA74DAE" w14:textId="77777777" w:rsidR="009D798A" w:rsidRPr="001D5327" w:rsidRDefault="009D798A" w:rsidP="009D798A">
      <w:pPr>
        <w:pStyle w:val="BodyText"/>
      </w:pPr>
      <w:r w:rsidRPr="001D5327">
        <w:t>Consistent with decisions 1/CP.24, 18/CMA.1 and 5/CMA.3, this Inventory was prepared using 100-year time horizon global warming potential values from the IPCC Fifth Assessment Report (IPCC, 2013).</w:t>
      </w:r>
    </w:p>
    <w:p w14:paraId="6F5BDCD5" w14:textId="77777777" w:rsidR="009D798A" w:rsidRPr="001D5327" w:rsidRDefault="009D798A" w:rsidP="009D798A">
      <w:r w:rsidRPr="001D5327">
        <w:br w:type="page"/>
      </w:r>
    </w:p>
    <w:p w14:paraId="3233C24E" w14:textId="77777777" w:rsidR="009D798A" w:rsidRPr="001D5327" w:rsidRDefault="009D798A" w:rsidP="009D798A">
      <w:pPr>
        <w:pStyle w:val="Heading2"/>
        <w:spacing w:after="360"/>
      </w:pPr>
      <w:bookmarkStart w:id="111" w:name="_Toc194311992"/>
      <w:bookmarkStart w:id="112" w:name="chapter-1-references"/>
      <w:bookmarkEnd w:id="110"/>
      <w:r w:rsidRPr="001D5327">
        <w:lastRenderedPageBreak/>
        <w:t>Chapter 1: References</w:t>
      </w:r>
      <w:bookmarkEnd w:id="111"/>
    </w:p>
    <w:p w14:paraId="06B1E59C" w14:textId="77777777" w:rsidR="009D798A" w:rsidRPr="001D5327" w:rsidRDefault="009D798A" w:rsidP="009D798A">
      <w:pPr>
        <w:pStyle w:val="References"/>
      </w:pPr>
      <w:r w:rsidRPr="001D5327">
        <w:t>Cardno. Unpublished. Greenhouse Gas Emissions from Industrial Wastewater Treatment. Report prepared for the Ministry for the Environment in 2015.</w:t>
      </w:r>
    </w:p>
    <w:p w14:paraId="71C238C8" w14:textId="77777777" w:rsidR="009D798A" w:rsidRPr="001D5327" w:rsidRDefault="009D798A" w:rsidP="009D798A">
      <w:pPr>
        <w:pStyle w:val="References"/>
      </w:pPr>
      <w:r w:rsidRPr="001D5327">
        <w:t>CRL Energy Ltd. Unpublished. Hennessy W, Maxwell D. Inventory of HFC, PFC and SF</w:t>
      </w:r>
      <w:r w:rsidRPr="001D5327">
        <w:rPr>
          <w:vertAlign w:val="subscript"/>
        </w:rPr>
        <w:t>6</w:t>
      </w:r>
      <w:r w:rsidRPr="001D5327">
        <w:t xml:space="preserve"> Emissions for New Zealand 2004–2005. Report prepared for the Ministry for the Environment by CRL Energy Ltd in 2006.</w:t>
      </w:r>
    </w:p>
    <w:p w14:paraId="430949D1" w14:textId="77777777" w:rsidR="009D798A" w:rsidRPr="001D5327" w:rsidRDefault="009D798A" w:rsidP="009D798A">
      <w:pPr>
        <w:pStyle w:val="References"/>
      </w:pPr>
      <w:r w:rsidRPr="001D5327">
        <w:t>Eunomia. Unpublished. Improvements to Estimates of Greenhouse Gas Emissions from Landfills. Report prepared for the Ministry for the Environment in 2020.</w:t>
      </w:r>
    </w:p>
    <w:p w14:paraId="5661A5D3" w14:textId="77777777" w:rsidR="009D798A" w:rsidRPr="001D5327" w:rsidRDefault="009D798A" w:rsidP="009D798A">
      <w:pPr>
        <w:pStyle w:val="References"/>
      </w:pPr>
      <w:r w:rsidRPr="001D5327">
        <w:t xml:space="preserve">IPCC. 2006a. Eggleston HS, Buendia L, Miwa K, Ngara T, Tanabe K (eds). </w:t>
      </w:r>
      <w:r w:rsidRPr="001D5327">
        <w:rPr>
          <w:i/>
          <w:iCs/>
        </w:rPr>
        <w:t>2006 IPCC Guidelines for National Greenhouse Gas Inventories.</w:t>
      </w:r>
      <w:r w:rsidRPr="001D5327">
        <w:t xml:space="preserve"> Prepared by the National Greenhouse Gas Inventories Programme. Japan: IGES, Japan: Institute for Global Environmental Strategies for IPCC.</w:t>
      </w:r>
    </w:p>
    <w:p w14:paraId="7B2373C1" w14:textId="77777777" w:rsidR="009D798A" w:rsidRPr="001D5327" w:rsidRDefault="009D798A" w:rsidP="009D798A">
      <w:pPr>
        <w:pStyle w:val="References"/>
      </w:pPr>
      <w:r w:rsidRPr="001D5327">
        <w:t xml:space="preserve">IPCC. 2006b. Eggleston HS, Buendia L, Miwa K, Ngara T, Tanabe K (eds). </w:t>
      </w:r>
      <w:r w:rsidRPr="001D5327">
        <w:rPr>
          <w:i/>
          <w:iCs/>
        </w:rPr>
        <w:t>2006 IPCC Guidelines for National Greenhouse Gas Inventories. Volume 1. General Guidance and Reporting.</w:t>
      </w:r>
      <w:r w:rsidRPr="001D5327">
        <w:t xml:space="preserve"> IPCC National Greenhouse Gas Inventories Programme. Japan: Institute for Global Environmental Strategies for IPCC.</w:t>
      </w:r>
    </w:p>
    <w:p w14:paraId="1A1CA6BB" w14:textId="77777777" w:rsidR="009D798A" w:rsidRPr="001D5327" w:rsidRDefault="009D798A" w:rsidP="009D798A">
      <w:pPr>
        <w:pStyle w:val="References"/>
      </w:pPr>
      <w:r w:rsidRPr="001D5327">
        <w:t xml:space="preserve">IPCC. 2006c. Eggleston HS, Buendia L, Miwa K, Ngara T, Tanabe K (eds). </w:t>
      </w:r>
      <w:r w:rsidRPr="001D5327">
        <w:rPr>
          <w:i/>
          <w:iCs/>
        </w:rPr>
        <w:t>2006 IPCC Guidelines for National Greenhouse Gas Inventories. Volume 2. Energy.</w:t>
      </w:r>
      <w:r w:rsidRPr="001D5327">
        <w:t xml:space="preserve"> IPCC National Greenhouse Gas Inventories Programme. Japan: Institute for Global Environmental Strategies for IPCC.</w:t>
      </w:r>
    </w:p>
    <w:p w14:paraId="583511E6" w14:textId="77777777" w:rsidR="009D798A" w:rsidRPr="001D5327" w:rsidRDefault="009D798A" w:rsidP="009D798A">
      <w:pPr>
        <w:pStyle w:val="References"/>
      </w:pPr>
      <w:r w:rsidRPr="001D5327">
        <w:t xml:space="preserve">IPCC. 2006d. Eggleston HS, Buendia L, Miwa K, Ngara T, Tanabe K (eds). </w:t>
      </w:r>
      <w:r w:rsidRPr="001D5327">
        <w:rPr>
          <w:i/>
          <w:iCs/>
        </w:rPr>
        <w:t>2006 IPCC Guidelines for National Greenhouse Gas Inventories. Volume 4. Agriculture, Forestry and Other Land Use.</w:t>
      </w:r>
      <w:r w:rsidRPr="001D5327">
        <w:t xml:space="preserve"> IPCC National Greenhouse Gas Inventories Programme. Japan: Institute for Global Environmental Strategies for IPCC.</w:t>
      </w:r>
    </w:p>
    <w:p w14:paraId="06FC86B7" w14:textId="77777777" w:rsidR="009D798A" w:rsidRPr="001D5327" w:rsidRDefault="009D798A" w:rsidP="009D798A">
      <w:pPr>
        <w:pStyle w:val="References"/>
      </w:pPr>
      <w:r w:rsidRPr="001D5327">
        <w:t xml:space="preserve">IPCC. 2006e. Eggleston HS, Buendia L, Miwa K, Ngara T, Tanabe K (eds). </w:t>
      </w:r>
      <w:r w:rsidRPr="001D5327">
        <w:rPr>
          <w:i/>
          <w:iCs/>
        </w:rPr>
        <w:t>2006 IPCC Guidelines for National Greenhouse Gas Inventories. Volume 5. Waste.</w:t>
      </w:r>
      <w:r w:rsidRPr="001D5327">
        <w:t xml:space="preserve"> IPCC National Greenhouse Gas Inventories Programme. Japan: Institute for Global Environmental Strategies for IPCC.</w:t>
      </w:r>
    </w:p>
    <w:p w14:paraId="20C8CC03" w14:textId="77777777" w:rsidR="009D798A" w:rsidRPr="001D5327" w:rsidRDefault="009D798A" w:rsidP="009D798A">
      <w:pPr>
        <w:pStyle w:val="References"/>
      </w:pPr>
      <w:r w:rsidRPr="001D5327">
        <w:t xml:space="preserve">IPCC. 2013. Stocker TF, Qin D, Plattner G-K, Tignor M, Allen SK, Boschung J, Nauels A, Xia Y, Bex V, Midgley PM (eds). </w:t>
      </w:r>
      <w:r w:rsidRPr="001D5327">
        <w:rPr>
          <w:i/>
          <w:iCs/>
        </w:rPr>
        <w:t>Climate Change 2013: The Physical Science Basis. Contribution of Working Group I to the Fifth Assessment Report of the Intergovernmental Panel on Climate Change.</w:t>
      </w:r>
      <w:r w:rsidRPr="001D5327">
        <w:t xml:space="preserve"> Cambridge: Cambridge University Press.</w:t>
      </w:r>
    </w:p>
    <w:p w14:paraId="5247450A" w14:textId="77777777" w:rsidR="009D798A" w:rsidRPr="001D5327" w:rsidRDefault="009D798A" w:rsidP="009D798A">
      <w:pPr>
        <w:pStyle w:val="References"/>
      </w:pPr>
      <w:r w:rsidRPr="001D5327">
        <w:t xml:space="preserve">IPCC. 2021. Masson-Delmotte V, Zhai P, Pirani A, Connors SL, Péan C, Berger C, Caud N, Chen Y, Goldfarb L, Gomis MI, Huang M, Leitzell K, Lonnoy E, Matthews JBR, Maycock TK, Waterfield T, Yelekçi O, Yu R, Zhou B (eds). </w:t>
      </w:r>
      <w:r w:rsidRPr="001D5327">
        <w:rPr>
          <w:i/>
          <w:iCs/>
        </w:rPr>
        <w:t>Climate Change 2021: The Physical Science Basis.</w:t>
      </w:r>
      <w:r w:rsidRPr="001D5327">
        <w:t xml:space="preserve"> </w:t>
      </w:r>
      <w:r w:rsidRPr="001D5327">
        <w:rPr>
          <w:i/>
          <w:iCs/>
        </w:rPr>
        <w:t>Contribution of Working Group I to the Sixth Assessment Report of the Intergovernmental Panel on Climate Change.</w:t>
      </w:r>
      <w:r w:rsidRPr="001D5327">
        <w:t xml:space="preserve"> Cambridge: Cambridge University Press.</w:t>
      </w:r>
    </w:p>
    <w:p w14:paraId="13306215" w14:textId="77777777" w:rsidR="009D798A" w:rsidRPr="001D5327" w:rsidRDefault="009D798A" w:rsidP="009D798A">
      <w:pPr>
        <w:pStyle w:val="References"/>
      </w:pPr>
      <w:r w:rsidRPr="001D5327">
        <w:t xml:space="preserve">IPCC. 2022. Shukla PR, Skea J, Slade R, Al Khourdajie A, van Diemen R, McCollum D, Pathak M, Some S, Vyas P, Fradera R, Belkacemi M, Hasija A, Lisboa G, Luz S, Malley J (eds.) </w:t>
      </w:r>
      <w:r w:rsidRPr="001D5327">
        <w:rPr>
          <w:i/>
          <w:iCs/>
        </w:rPr>
        <w:t>Climate Change 2022: Mitigation of Climate Change. Contribution of Working Group III to the Sixth Assessment Report of the Intergovernmental Panel on Climate Change.</w:t>
      </w:r>
      <w:r w:rsidRPr="001D5327">
        <w:t xml:space="preserve"> Cambridge: Cambridge University Press.</w:t>
      </w:r>
    </w:p>
    <w:p w14:paraId="422F841D" w14:textId="77777777" w:rsidR="009D798A" w:rsidRPr="001D5327" w:rsidRDefault="009D798A" w:rsidP="009D798A">
      <w:pPr>
        <w:pStyle w:val="References"/>
        <w:rPr>
          <w:spacing w:val="-2"/>
        </w:rPr>
      </w:pPr>
      <w:r w:rsidRPr="001D5327">
        <w:rPr>
          <w:spacing w:val="-2"/>
        </w:rPr>
        <w:t xml:space="preserve">MBIE. 2024a. </w:t>
      </w:r>
      <w:r w:rsidRPr="001D5327">
        <w:rPr>
          <w:i/>
          <w:iCs/>
          <w:spacing w:val="-2"/>
        </w:rPr>
        <w:t>Energy in New Zealand</w:t>
      </w:r>
      <w:r w:rsidRPr="001D5327">
        <w:rPr>
          <w:spacing w:val="-2"/>
        </w:rPr>
        <w:t xml:space="preserve"> </w:t>
      </w:r>
      <w:r w:rsidRPr="001D5327">
        <w:rPr>
          <w:i/>
          <w:iCs/>
          <w:spacing w:val="-2"/>
        </w:rPr>
        <w:t>2024</w:t>
      </w:r>
      <w:r w:rsidRPr="001D5327">
        <w:rPr>
          <w:spacing w:val="-2"/>
        </w:rPr>
        <w:t>. Wellington: Ministry of Business, Innovation and Employment.</w:t>
      </w:r>
    </w:p>
    <w:p w14:paraId="33EC2720" w14:textId="77777777" w:rsidR="009D798A" w:rsidRPr="001D5327" w:rsidRDefault="009D798A" w:rsidP="009D798A">
      <w:pPr>
        <w:pStyle w:val="References"/>
      </w:pPr>
      <w:r w:rsidRPr="001D5327">
        <w:t xml:space="preserve">MBIE. 2024b. </w:t>
      </w:r>
      <w:r w:rsidRPr="001D5327">
        <w:rPr>
          <w:i/>
          <w:iCs/>
        </w:rPr>
        <w:t>Annual Report 2023/24</w:t>
      </w:r>
      <w:r w:rsidRPr="001D5327">
        <w:t>. Wellington: Ministry of Business, Innovation and Employment.</w:t>
      </w:r>
    </w:p>
    <w:p w14:paraId="05A5C142" w14:textId="2A404B18" w:rsidR="009D798A" w:rsidRPr="001D5327" w:rsidRDefault="009D798A" w:rsidP="009D798A">
      <w:pPr>
        <w:pStyle w:val="References"/>
      </w:pPr>
      <w:r w:rsidRPr="001D5327">
        <w:t>Paul TSH, Andersen C, Kimberley MO, Dash J, Beets PN. Unpublished(a). Carbon Stock Changes in New</w:t>
      </w:r>
      <w:r w:rsidR="00AE2A42" w:rsidRPr="001D5327">
        <w:t> </w:t>
      </w:r>
      <w:r w:rsidRPr="001D5327">
        <w:t>Zealand’s Pre-1990 Planted Forests Based on a Periodic Ground Inventory. Report prepared for the</w:t>
      </w:r>
      <w:r w:rsidR="00AE2A42" w:rsidRPr="001D5327">
        <w:t> </w:t>
      </w:r>
      <w:r w:rsidRPr="001D5327">
        <w:t>Ministry for the Environment by the New Zealand Forest Research Institute Ltd (trading as Scion) in 2016.</w:t>
      </w:r>
    </w:p>
    <w:p w14:paraId="42F3B128" w14:textId="77777777" w:rsidR="009D798A" w:rsidRPr="001D5327" w:rsidRDefault="009D798A" w:rsidP="009D798A">
      <w:pPr>
        <w:pStyle w:val="References"/>
      </w:pPr>
      <w:r w:rsidRPr="001D5327">
        <w:t>Paul TSH, Beets PN, Kimberley MO. Unpublished(b). Carbon Stocks in New Zealand’s Post-1989 Natural Forest – Analysis of the 2018/2019 forest inventory data. Report prepared for the Ministry for the Environment by the New Zealand Forest Research Institute Ltd (trading as Scion) in 2020.</w:t>
      </w:r>
    </w:p>
    <w:p w14:paraId="19E01D81" w14:textId="77777777" w:rsidR="009D798A" w:rsidRPr="001D5327" w:rsidRDefault="009D798A" w:rsidP="009D798A">
      <w:pPr>
        <w:pStyle w:val="References"/>
      </w:pPr>
      <w:r w:rsidRPr="001D5327">
        <w:t>Paul TSH, Kimberley MO, Beets PN. 2020. Natural Forests in New Zealand – a large terrestrial carbon pool in a national state of equilibrium. Manuscript submitted for publication.</w:t>
      </w:r>
    </w:p>
    <w:p w14:paraId="45D8ACC3" w14:textId="77777777" w:rsidR="009D798A" w:rsidRPr="001D5327" w:rsidRDefault="009D798A" w:rsidP="009D798A">
      <w:pPr>
        <w:pStyle w:val="References"/>
      </w:pPr>
      <w:r w:rsidRPr="001D5327">
        <w:lastRenderedPageBreak/>
        <w:t>Paul TSH, Kimberley MO, Dodunski C. Unpublished(c). The 2019 NFI Plot Analysis Yield Tables and Carbon Stocks at Measurement. Report prepared for the Ministry for the Environment by New Zealand Forest Research Institute Ltd (trading as Scion) in 2020.</w:t>
      </w:r>
    </w:p>
    <w:p w14:paraId="246898F2" w14:textId="77777777" w:rsidR="009D798A" w:rsidRPr="001D5327" w:rsidRDefault="009D798A" w:rsidP="009D798A">
      <w:pPr>
        <w:pStyle w:val="References"/>
      </w:pPr>
      <w:r w:rsidRPr="001D5327">
        <w:t>Paul TSH, Wakelin SJ. Unpublished. Yield Tables and Approach for Estimating Historic Carbon Stocks in Pre-1990 Planted Forests for Greenhouse Gas Inventory Reporting. Report prepared for the Ministry for the Environment by New Zealand Forest Research Institute Ltd (trading as Scion) in 2020.</w:t>
      </w:r>
    </w:p>
    <w:p w14:paraId="5BC0492A" w14:textId="77777777" w:rsidR="009D798A" w:rsidRPr="001D5327" w:rsidRDefault="009D798A" w:rsidP="009D798A">
      <w:pPr>
        <w:pStyle w:val="References"/>
      </w:pPr>
      <w:r w:rsidRPr="001D5327">
        <w:t xml:space="preserve">Stats NZ. 2007. </w:t>
      </w:r>
      <w:hyperlink r:id="rId34">
        <w:r w:rsidRPr="001D5327">
          <w:rPr>
            <w:rStyle w:val="Hyperlink"/>
            <w:i/>
            <w:iCs/>
          </w:rPr>
          <w:t>Principles and Protocols for Producers of Tier 1 Statistics.</w:t>
        </w:r>
      </w:hyperlink>
      <w:r w:rsidRPr="001D5327">
        <w:t xml:space="preserve"> Wellington: Stats New Zealand. Retrieved 12 March 2025.</w:t>
      </w:r>
    </w:p>
    <w:p w14:paraId="7AC3B482" w14:textId="77777777" w:rsidR="009D798A" w:rsidRPr="001D5327" w:rsidRDefault="009D798A" w:rsidP="009D798A">
      <w:pPr>
        <w:pStyle w:val="References"/>
      </w:pPr>
      <w:r w:rsidRPr="001D5327">
        <w:t xml:space="preserve">UNFCCC. 1992. </w:t>
      </w:r>
      <w:hyperlink r:id="rId35">
        <w:r w:rsidRPr="001D5327">
          <w:rPr>
            <w:rStyle w:val="Hyperlink"/>
          </w:rPr>
          <w:t xml:space="preserve">FCCC/INFORMAL/84 </w:t>
        </w:r>
        <w:r w:rsidRPr="001D5327">
          <w:rPr>
            <w:rStyle w:val="Hyperlink"/>
            <w:i/>
            <w:iCs/>
          </w:rPr>
          <w:t>United Nations Framework Convention on Climate Change</w:t>
        </w:r>
      </w:hyperlink>
      <w:r w:rsidRPr="001D5327">
        <w:t>. Retrieved 12 March 2025.</w:t>
      </w:r>
    </w:p>
    <w:p w14:paraId="40F0E0C7" w14:textId="77777777" w:rsidR="009D798A" w:rsidRPr="001D5327" w:rsidRDefault="009D798A" w:rsidP="009D798A">
      <w:pPr>
        <w:pStyle w:val="References"/>
      </w:pPr>
      <w:r w:rsidRPr="001D5327">
        <w:t xml:space="preserve">UNFCCC. 2017. FCCC/ARR/2017/NZL. </w:t>
      </w:r>
      <w:r w:rsidRPr="001D5327">
        <w:rPr>
          <w:i/>
          <w:iCs/>
        </w:rPr>
        <w:t>Report on the Individual Review of the Annual Submission of New Zealand Submitted in 2017.</w:t>
      </w:r>
      <w:r w:rsidRPr="001D5327">
        <w:t xml:space="preserve"> Centralised Review.</w:t>
      </w:r>
    </w:p>
    <w:p w14:paraId="73EC0E61" w14:textId="77777777" w:rsidR="009D798A" w:rsidRPr="001D5327" w:rsidRDefault="009D798A" w:rsidP="009D798A">
      <w:pPr>
        <w:pStyle w:val="References"/>
      </w:pPr>
      <w:r w:rsidRPr="001D5327">
        <w:t xml:space="preserve">UNFCCC. 2018a. FCCC/CP/2018/10/Add.1. </w:t>
      </w:r>
      <w:r w:rsidRPr="001D5327">
        <w:rPr>
          <w:i/>
          <w:iCs/>
        </w:rPr>
        <w:t>Decision 1/CP.24 Preparations for the implementation of the Paris Agreement and the first session of the Conference of the Parties serving as the meeting of the Parties to the Paris Agreement.</w:t>
      </w:r>
    </w:p>
    <w:p w14:paraId="41F08225" w14:textId="77777777" w:rsidR="009D798A" w:rsidRPr="001D5327" w:rsidRDefault="009D798A" w:rsidP="009D798A">
      <w:pPr>
        <w:pStyle w:val="References"/>
      </w:pPr>
      <w:r w:rsidRPr="001D5327">
        <w:t xml:space="preserve">UNFCCC. 2018b. FCCC/PA/CMA/2018/3/Add.2. </w:t>
      </w:r>
      <w:r w:rsidRPr="001D5327">
        <w:rPr>
          <w:i/>
          <w:iCs/>
        </w:rPr>
        <w:t>Report of the Conference of the Parties serving as the meeting of the Parties to the Paris Agreement on the third part of its first session, held in Katowice from 2 to 15 December 2018. Addendum 2. Part two: Action taken by the Conference of the Parties serving as the meeting of the Parties to the Paris Agreement.</w:t>
      </w:r>
    </w:p>
    <w:p w14:paraId="42BD964A" w14:textId="77777777" w:rsidR="009D798A" w:rsidRPr="001D5327" w:rsidRDefault="009D798A" w:rsidP="009D798A">
      <w:pPr>
        <w:pStyle w:val="References"/>
      </w:pPr>
      <w:r w:rsidRPr="001D5327">
        <w:t xml:space="preserve">UNFCCC. 2021. CCC/PA/CMA/2021/10/Add.2. </w:t>
      </w:r>
      <w:r w:rsidRPr="001D5327">
        <w:rPr>
          <w:i/>
          <w:iCs/>
        </w:rPr>
        <w:t>Report of the Conference of the Parties serving as the meeting of the Parties to the Paris Agreement on its third session, held in Glasgow from 31 October to 13 November 2021. Addendum Part Two: Action taken by the Conference of the Parties serving as the meeting of the Parties to the Paris Agreement at its third session.</w:t>
      </w:r>
    </w:p>
    <w:p w14:paraId="7E3B6E58" w14:textId="77777777" w:rsidR="009D798A" w:rsidRPr="001D5327" w:rsidRDefault="009D798A" w:rsidP="009D798A">
      <w:pPr>
        <w:pStyle w:val="References"/>
      </w:pPr>
      <w:r w:rsidRPr="001D5327">
        <w:t xml:space="preserve">United Nations. 1945. </w:t>
      </w:r>
      <w:hyperlink r:id="rId36" w:history="1">
        <w:r w:rsidRPr="001D5327">
          <w:rPr>
            <w:rStyle w:val="Hyperlink"/>
            <w:i/>
            <w:iCs/>
          </w:rPr>
          <w:t>Charter of the United Nations and Statute of the International Court of Justice</w:t>
        </w:r>
      </w:hyperlink>
      <w:r w:rsidRPr="001D5327">
        <w:rPr>
          <w:i/>
          <w:iCs/>
        </w:rPr>
        <w:t>.</w:t>
      </w:r>
      <w:r w:rsidRPr="001D5327">
        <w:t xml:space="preserve"> Retrieved 12 March 2025.</w:t>
      </w:r>
    </w:p>
    <w:p w14:paraId="49052186" w14:textId="77777777" w:rsidR="009D798A" w:rsidRPr="001D5327" w:rsidRDefault="009D798A" w:rsidP="009D798A">
      <w:pPr>
        <w:pStyle w:val="References"/>
      </w:pPr>
      <w:r w:rsidRPr="001D5327">
        <w:t>Verum Group Ltd. Unpublished. Hennessy W. Inventory of HFC, SF</w:t>
      </w:r>
      <w:r w:rsidRPr="001D5327">
        <w:rPr>
          <w:vertAlign w:val="subscript"/>
        </w:rPr>
        <w:t>6</w:t>
      </w:r>
      <w:r w:rsidRPr="001D5327">
        <w:t xml:space="preserve"> and Other Industrial Process Emissions for New Zealand 2021. Report prepared by Verum Group Ltd for the Ministry for the Environment in 2022.</w:t>
      </w:r>
      <w:bookmarkEnd w:id="59"/>
      <w:bookmarkEnd w:id="112"/>
    </w:p>
    <w:p w14:paraId="10CAD87F" w14:textId="77777777" w:rsidR="00E33B6A" w:rsidRPr="001D5327" w:rsidRDefault="00E33B6A" w:rsidP="00E33B6A">
      <w:pPr>
        <w:pStyle w:val="BodyText"/>
      </w:pPr>
    </w:p>
    <w:p w14:paraId="00576ECD" w14:textId="77777777" w:rsidR="003B0F83" w:rsidRPr="001D5327" w:rsidRDefault="003B0F83" w:rsidP="00E33B6A">
      <w:pPr>
        <w:pStyle w:val="BodyText"/>
        <w:sectPr w:rsidR="003B0F83" w:rsidRPr="001D5327" w:rsidSect="00D0232D">
          <w:footerReference w:type="even" r:id="rId37"/>
          <w:footerReference w:type="default" r:id="rId38"/>
          <w:pgSz w:w="11907" w:h="16840" w:code="9"/>
          <w:pgMar w:top="1418" w:right="1701" w:bottom="1418" w:left="1701" w:header="567" w:footer="567" w:gutter="0"/>
          <w:pgNumType w:start="1"/>
          <w:cols w:space="720"/>
        </w:sectPr>
      </w:pPr>
    </w:p>
    <w:p w14:paraId="7AAF6E78" w14:textId="77777777" w:rsidR="00934E13" w:rsidRPr="001D5327" w:rsidRDefault="00934E13" w:rsidP="00934E13">
      <w:pPr>
        <w:pStyle w:val="Heading1"/>
      </w:pPr>
      <w:bookmarkStart w:id="113" w:name="_Toc194311993"/>
      <w:bookmarkStart w:id="114" w:name="Xec3344db9503a366b168ee3282f9167df82bc3a"/>
      <w:r w:rsidRPr="001D5327">
        <w:lastRenderedPageBreak/>
        <w:t>Chapter 2: Trends in greenhouse gas emissions and removals</w:t>
      </w:r>
      <w:bookmarkEnd w:id="113"/>
    </w:p>
    <w:p w14:paraId="372DF398" w14:textId="77777777" w:rsidR="00934E13" w:rsidRPr="001D5327" w:rsidRDefault="00934E13" w:rsidP="00127478">
      <w:pPr>
        <w:pStyle w:val="BodyText"/>
        <w:spacing w:before="0"/>
      </w:pPr>
      <w:r w:rsidRPr="001D5327">
        <w:t>This chapter describes emission trends by sector and greenhouse gas (GHG). Consistent with decisions 1/CP.24, 18/CMA.1 and 5/CMA.3, emissions are presented for each of the major GHGs as carbon dioxide equivalents (CO</w:t>
      </w:r>
      <w:r w:rsidRPr="001D5327">
        <w:rPr>
          <w:vertAlign w:val="subscript"/>
        </w:rPr>
        <w:t>2</w:t>
      </w:r>
      <w:r w:rsidRPr="001D5327">
        <w:t>-e) using the 100-year time horizon global warming potential values contained in the Intergovernmental Panel on Climate Change (IPCC) Fifth Assessment Report (IPCC, 2013). Because GHGs vary in their radiative activity, and in their atmospheric residence time, converting emissions into CO</w:t>
      </w:r>
      <w:r w:rsidRPr="001D5327">
        <w:rPr>
          <w:vertAlign w:val="subscript"/>
        </w:rPr>
        <w:t>2</w:t>
      </w:r>
      <w:r w:rsidRPr="001D5327">
        <w:t>-e allows the integrated effect of emissions of the various gases to be compared.</w:t>
      </w:r>
    </w:p>
    <w:p w14:paraId="78E6EDC0" w14:textId="77777777" w:rsidR="00934E13" w:rsidRPr="001D5327" w:rsidRDefault="00934E13" w:rsidP="00934E13">
      <w:pPr>
        <w:pStyle w:val="Heading2"/>
      </w:pPr>
      <w:bookmarkStart w:id="115" w:name="_Toc194311994"/>
      <w:bookmarkStart w:id="116" w:name="X153256eac8e62f40526904cb0efe877f09101eb"/>
      <w:r w:rsidRPr="001D5327">
        <w:t>2.1</w:t>
      </w:r>
      <w:r w:rsidRPr="001D5327">
        <w:tab/>
        <w:t>Description of emission and removal trends for aggregated GHG emissions and removals</w:t>
      </w:r>
      <w:bookmarkEnd w:id="115"/>
    </w:p>
    <w:p w14:paraId="4E3BCF4B" w14:textId="77777777" w:rsidR="00934E13" w:rsidRPr="001D5327" w:rsidRDefault="00934E13" w:rsidP="00934E13">
      <w:pPr>
        <w:pStyle w:val="Heading4"/>
      </w:pPr>
      <w:r w:rsidRPr="001D5327">
        <w:t>Gross emissions</w:t>
      </w:r>
    </w:p>
    <w:p w14:paraId="678C437D" w14:textId="77777777" w:rsidR="00934E13" w:rsidRPr="001D5327" w:rsidRDefault="00934E13" w:rsidP="00934E13">
      <w:pPr>
        <w:pStyle w:val="BodyText"/>
        <w:rPr>
          <w:bCs/>
        </w:rPr>
      </w:pPr>
      <w:r w:rsidRPr="001D5327">
        <w:rPr>
          <w:bCs/>
        </w:rPr>
        <w:t>Gross emissions include those from the Energy, Industrial Processes and Product Use (IPPU), Agriculture and Waste sectors, and from Tokelau, but do not include emissions and removals from the Land Use, Land-Use Change and Forestry (LULUCF) sector.</w:t>
      </w:r>
    </w:p>
    <w:p w14:paraId="0B060B0C" w14:textId="77777777" w:rsidR="00934E13" w:rsidRPr="001D5327" w:rsidRDefault="00934E13" w:rsidP="00934E13">
      <w:pPr>
        <w:pStyle w:val="Heading5"/>
      </w:pPr>
      <w:r w:rsidRPr="001D5327">
        <w:t>1990–2023</w:t>
      </w:r>
    </w:p>
    <w:p w14:paraId="01E28FC6" w14:textId="77777777" w:rsidR="00934E13" w:rsidRPr="001D5327" w:rsidRDefault="00934E13" w:rsidP="00934E13">
      <w:pPr>
        <w:pStyle w:val="BodyText"/>
      </w:pPr>
      <w:r w:rsidRPr="001D5327">
        <w:t>In 1990, New Zealand’s gross GHG emissions were 67,678.9 kilotonnes (kt) CO</w:t>
      </w:r>
      <w:r w:rsidRPr="001D5327">
        <w:rPr>
          <w:vertAlign w:val="subscript"/>
        </w:rPr>
        <w:t>2</w:t>
      </w:r>
      <w:r w:rsidRPr="001D5327">
        <w:t>-e. Between 1990 and 2023, GHG emissions increased by 12.9 per cent (8,737.4 kt CO</w:t>
      </w:r>
      <w:r w:rsidRPr="001D5327">
        <w:rPr>
          <w:vertAlign w:val="subscript"/>
        </w:rPr>
        <w:t>2</w:t>
      </w:r>
      <w:r w:rsidRPr="001D5327">
        <w:t>-e) to 76,416.3 kt CO</w:t>
      </w:r>
      <w:r w:rsidRPr="001D5327">
        <w:rPr>
          <w:vertAlign w:val="subscript"/>
        </w:rPr>
        <w:t>2</w:t>
      </w:r>
      <w:r w:rsidRPr="001D5327">
        <w:t>-e in 2023 (see figure 2.1.1).</w:t>
      </w:r>
    </w:p>
    <w:p w14:paraId="6BB24C2F" w14:textId="77777777" w:rsidR="00934E13" w:rsidRPr="001D5327" w:rsidRDefault="00934E13" w:rsidP="00934E13">
      <w:pPr>
        <w:pStyle w:val="BodyText"/>
      </w:pPr>
      <w:r w:rsidRPr="001D5327">
        <w:t>From 1990 to 2023, the average annual growth in gross emissions was 0.4 per cent.</w:t>
      </w:r>
    </w:p>
    <w:p w14:paraId="32219C31" w14:textId="77777777" w:rsidR="00934E13" w:rsidRPr="001D5327" w:rsidRDefault="00934E13" w:rsidP="00934E13">
      <w:pPr>
        <w:pStyle w:val="BodyText"/>
      </w:pPr>
      <w:r w:rsidRPr="001D5327">
        <w:t xml:space="preserve">The emissions categories that contributed the most to this increase in gross emissions were: </w:t>
      </w:r>
      <w:r w:rsidRPr="001D5327">
        <w:rPr>
          <w:i/>
          <w:iCs/>
        </w:rPr>
        <w:t>Enteric fermentation</w:t>
      </w:r>
      <w:r w:rsidRPr="001D5327">
        <w:rPr>
          <w:rStyle w:val="FootnoteReference"/>
        </w:rPr>
        <w:footnoteReference w:id="18"/>
      </w:r>
      <w:r w:rsidRPr="001D5327">
        <w:t xml:space="preserve"> from </w:t>
      </w:r>
      <w:r w:rsidRPr="001D5327">
        <w:rPr>
          <w:i/>
          <w:iCs/>
        </w:rPr>
        <w:t>Dairy cattle</w:t>
      </w:r>
      <w:r w:rsidRPr="001D5327">
        <w:t xml:space="preserve">, </w:t>
      </w:r>
      <w:r w:rsidRPr="001D5327">
        <w:rPr>
          <w:i/>
          <w:iCs/>
        </w:rPr>
        <w:t>Road transportation</w:t>
      </w:r>
      <w:r w:rsidRPr="001D5327">
        <w:t xml:space="preserve">, </w:t>
      </w:r>
      <w:r w:rsidRPr="001D5327">
        <w:rPr>
          <w:i/>
          <w:iCs/>
        </w:rPr>
        <w:t>Agricultural soils</w:t>
      </w:r>
      <w:r w:rsidRPr="001D5327">
        <w:t xml:space="preserve">, </w:t>
      </w:r>
      <w:r w:rsidRPr="001D5327">
        <w:rPr>
          <w:i/>
          <w:iCs/>
        </w:rPr>
        <w:t>Manufacturing industries and construction</w:t>
      </w:r>
      <w:r w:rsidRPr="001D5327">
        <w:t xml:space="preserve"> (particularly from the </w:t>
      </w:r>
      <w:r w:rsidRPr="001D5327">
        <w:rPr>
          <w:i/>
          <w:iCs/>
        </w:rPr>
        <w:t>Food processing, beverages and tobacco</w:t>
      </w:r>
      <w:r w:rsidRPr="001D5327">
        <w:t xml:space="preserve"> category) and</w:t>
      </w:r>
      <w:r w:rsidRPr="001D5327">
        <w:rPr>
          <w:i/>
          <w:iCs/>
        </w:rPr>
        <w:t xml:space="preserve"> Product uses as substitutes for ozone depleting substances (ODS)</w:t>
      </w:r>
      <w:r w:rsidRPr="001D5327">
        <w:t>.</w:t>
      </w:r>
    </w:p>
    <w:p w14:paraId="4E71CA9C" w14:textId="77777777" w:rsidR="00934E13" w:rsidRPr="001D5327" w:rsidRDefault="00934E13" w:rsidP="00934E13">
      <w:pPr>
        <w:pStyle w:val="Heading5"/>
      </w:pPr>
      <w:r w:rsidRPr="001D5327">
        <w:t>2022–2023</w:t>
      </w:r>
    </w:p>
    <w:p w14:paraId="7E768F18" w14:textId="77777777" w:rsidR="00934E13" w:rsidRPr="001D5327" w:rsidRDefault="00934E13" w:rsidP="00934E13">
      <w:pPr>
        <w:pStyle w:val="BodyText"/>
      </w:pPr>
      <w:r w:rsidRPr="001D5327">
        <w:t>Between 2022 and 2023, New Zealand’s gross emissions decreased by 2.0 per cent (1,566.8 kt CO</w:t>
      </w:r>
      <w:r w:rsidRPr="001D5327">
        <w:rPr>
          <w:vertAlign w:val="subscript"/>
        </w:rPr>
        <w:t>2</w:t>
      </w:r>
      <w:r w:rsidRPr="001D5327">
        <w:t>-e). The main cause was a decrease in emissions from the Agriculture sector of 2.2 per cent (908.4 kt CO</w:t>
      </w:r>
      <w:r w:rsidRPr="001D5327">
        <w:rPr>
          <w:vertAlign w:val="subscript"/>
        </w:rPr>
        <w:t>2</w:t>
      </w:r>
      <w:r w:rsidRPr="001D5327">
        <w:t xml:space="preserve">-e) due to reduced </w:t>
      </w:r>
      <w:r w:rsidRPr="001D5327">
        <w:rPr>
          <w:i/>
        </w:rPr>
        <w:t>Enteric fermentation</w:t>
      </w:r>
      <w:r w:rsidRPr="001D5327">
        <w:t xml:space="preserve"> from </w:t>
      </w:r>
      <w:r w:rsidRPr="001D5327">
        <w:rPr>
          <w:i/>
        </w:rPr>
        <w:t>Sheep</w:t>
      </w:r>
      <w:r w:rsidRPr="001D5327">
        <w:t xml:space="preserve"> and </w:t>
      </w:r>
      <w:r w:rsidRPr="001D5327">
        <w:rPr>
          <w:i/>
        </w:rPr>
        <w:t>Dairy cattle</w:t>
      </w:r>
      <w:r w:rsidRPr="001D5327">
        <w:t>. The largest contributors to the overall decrease in emissions were from:</w:t>
      </w:r>
    </w:p>
    <w:p w14:paraId="255C966A" w14:textId="77777777" w:rsidR="00934E13" w:rsidRPr="001D5327" w:rsidRDefault="00934E13" w:rsidP="00934E13">
      <w:pPr>
        <w:pStyle w:val="Bullet"/>
      </w:pPr>
      <w:r w:rsidRPr="001D5327">
        <w:rPr>
          <w:i/>
          <w:iCs/>
        </w:rPr>
        <w:t>Product uses as substitutes for ODS</w:t>
      </w:r>
      <w:r w:rsidRPr="001D5327">
        <w:t xml:space="preserve"> (</w:t>
      </w:r>
      <w:r w:rsidRPr="001D5327">
        <w:rPr>
          <w:rFonts w:eastAsiaTheme="minorEastAsia"/>
        </w:rPr>
        <w:t>hydrofluorocarbons</w:t>
      </w:r>
      <w:r w:rsidRPr="001D5327">
        <w:rPr>
          <w:rFonts w:eastAsia="Calibri" w:cs="Calibri"/>
          <w:sz w:val="20"/>
          <w:szCs w:val="20"/>
        </w:rPr>
        <w:t xml:space="preserve"> –</w:t>
      </w:r>
      <w:r w:rsidRPr="001D5327">
        <w:t xml:space="preserve"> HFCs)</w:t>
      </w:r>
    </w:p>
    <w:p w14:paraId="6C031C60" w14:textId="77777777" w:rsidR="00934E13" w:rsidRPr="001D5327" w:rsidRDefault="00934E13" w:rsidP="00934E13">
      <w:pPr>
        <w:pStyle w:val="Bullet"/>
      </w:pPr>
      <w:r w:rsidRPr="001D5327">
        <w:rPr>
          <w:i/>
          <w:iCs/>
        </w:rPr>
        <w:t>Enteric fermentation</w:t>
      </w:r>
      <w:r w:rsidRPr="001D5327">
        <w:t xml:space="preserve"> – </w:t>
      </w:r>
      <w:r w:rsidRPr="001D5327">
        <w:rPr>
          <w:i/>
          <w:iCs/>
        </w:rPr>
        <w:t>Sheep</w:t>
      </w:r>
      <w:r w:rsidRPr="001D5327">
        <w:t xml:space="preserve"> (methane – CH</w:t>
      </w:r>
      <w:r w:rsidRPr="001D5327">
        <w:rPr>
          <w:vertAlign w:val="subscript"/>
        </w:rPr>
        <w:t>4</w:t>
      </w:r>
      <w:r w:rsidRPr="001D5327">
        <w:t>)</w:t>
      </w:r>
    </w:p>
    <w:p w14:paraId="4E646DBC" w14:textId="77777777" w:rsidR="00934E13" w:rsidRPr="001D5327" w:rsidRDefault="00934E13" w:rsidP="00934E13">
      <w:pPr>
        <w:pStyle w:val="Bullet"/>
      </w:pPr>
      <w:r w:rsidRPr="001D5327">
        <w:rPr>
          <w:i/>
          <w:iCs/>
        </w:rPr>
        <w:t>Enteric fermentation</w:t>
      </w:r>
      <w:r w:rsidRPr="001D5327">
        <w:t xml:space="preserve"> – </w:t>
      </w:r>
      <w:r w:rsidRPr="001D5327">
        <w:rPr>
          <w:i/>
          <w:iCs/>
        </w:rPr>
        <w:t>Dairy cattle</w:t>
      </w:r>
      <w:r w:rsidRPr="001D5327">
        <w:t xml:space="preserve"> (CH</w:t>
      </w:r>
      <w:r w:rsidRPr="001D5327">
        <w:rPr>
          <w:vertAlign w:val="subscript"/>
        </w:rPr>
        <w:t>4</w:t>
      </w:r>
      <w:r w:rsidRPr="001D5327">
        <w:t>)</w:t>
      </w:r>
    </w:p>
    <w:p w14:paraId="7DD29DA2" w14:textId="77777777" w:rsidR="00934E13" w:rsidRPr="001D5327" w:rsidRDefault="00934E13" w:rsidP="00934E13">
      <w:pPr>
        <w:pStyle w:val="Bullet"/>
      </w:pPr>
      <w:r w:rsidRPr="001D5327">
        <w:rPr>
          <w:i/>
          <w:iCs/>
        </w:rPr>
        <w:t>Liming</w:t>
      </w:r>
      <w:r w:rsidRPr="001D5327">
        <w:t xml:space="preserve"> (CO</w:t>
      </w:r>
      <w:r w:rsidRPr="001D5327">
        <w:rPr>
          <w:vertAlign w:val="subscript"/>
        </w:rPr>
        <w:t>2</w:t>
      </w:r>
      <w:r w:rsidRPr="001D5327">
        <w:t>).</w:t>
      </w:r>
    </w:p>
    <w:p w14:paraId="13F655FA" w14:textId="77777777" w:rsidR="00934E13" w:rsidRPr="001D5327" w:rsidRDefault="00934E13" w:rsidP="00934E13">
      <w:pPr>
        <w:pStyle w:val="BodyText"/>
      </w:pPr>
      <w:r w:rsidRPr="001D5327">
        <w:lastRenderedPageBreak/>
        <w:t xml:space="preserve">The reduction in the </w:t>
      </w:r>
      <w:r w:rsidRPr="001D5327">
        <w:rPr>
          <w:i/>
        </w:rPr>
        <w:t>Enteric fermentation</w:t>
      </w:r>
      <w:r w:rsidRPr="001D5327">
        <w:t xml:space="preserve"> from </w:t>
      </w:r>
      <w:r w:rsidRPr="001D5327">
        <w:rPr>
          <w:i/>
        </w:rPr>
        <w:t>Sheep</w:t>
      </w:r>
      <w:r w:rsidRPr="001D5327">
        <w:t xml:space="preserve"> category was due to a decrease in the sheep population. This is a continuation of a long-term trend that reflects the profitability of sheep farming relative to other land uses.</w:t>
      </w:r>
    </w:p>
    <w:p w14:paraId="6C4D10B0" w14:textId="77777777" w:rsidR="00934E13" w:rsidRPr="001D5327" w:rsidRDefault="00934E13" w:rsidP="00934E13">
      <w:pPr>
        <w:pStyle w:val="BodyText"/>
      </w:pPr>
      <w:r w:rsidRPr="001D5327">
        <w:t xml:space="preserve">The reduction in </w:t>
      </w:r>
      <w:r w:rsidRPr="001D5327">
        <w:rPr>
          <w:i/>
          <w:iCs/>
        </w:rPr>
        <w:t>Enteric fermentation</w:t>
      </w:r>
      <w:r w:rsidRPr="001D5327">
        <w:t xml:space="preserve"> from </w:t>
      </w:r>
      <w:r w:rsidRPr="001D5327">
        <w:rPr>
          <w:i/>
          <w:iCs/>
        </w:rPr>
        <w:t>Dairy cattle</w:t>
      </w:r>
      <w:r w:rsidRPr="001D5327" w:rsidDel="00064E62">
        <w:rPr>
          <w:i/>
          <w:iCs/>
        </w:rPr>
        <w:t xml:space="preserve"> </w:t>
      </w:r>
      <w:r w:rsidRPr="001D5327">
        <w:t xml:space="preserve">emissions was due to a decrease in the size of the dairy cattle population. </w:t>
      </w:r>
    </w:p>
    <w:p w14:paraId="63862AF8" w14:textId="77777777" w:rsidR="00934E13" w:rsidRPr="001D5327" w:rsidRDefault="00934E13" w:rsidP="00934E13">
      <w:pPr>
        <w:pStyle w:val="BodyText"/>
      </w:pPr>
      <w:r w:rsidRPr="001D5327">
        <w:t xml:space="preserve">The reduction in emissions from </w:t>
      </w:r>
      <w:r w:rsidRPr="001D5327">
        <w:rPr>
          <w:i/>
          <w:iCs/>
        </w:rPr>
        <w:t>Liming</w:t>
      </w:r>
      <w:r w:rsidRPr="001D5327">
        <w:t xml:space="preserve"> was due to a reduction in limestone application, which reflects a continuation of the long-term trend of decreasing limestone application combined with historically high year-to-year variation.</w:t>
      </w:r>
    </w:p>
    <w:p w14:paraId="2D2B4FD3" w14:textId="77777777" w:rsidR="00934E13" w:rsidRPr="001D5327" w:rsidRDefault="00934E13" w:rsidP="00934E13">
      <w:pPr>
        <w:pStyle w:val="BodyText"/>
      </w:pPr>
      <w:r w:rsidRPr="001D5327">
        <w:t>Emissions from the Energy, IPPU and Waste sectors decreased by 0.8 per cent, 9.3 per cent and 0.7 per cent respectively. Emissions from Tokelau decreased by 10.4 per cent, due largely to a reduction in diesel fuel use.</w:t>
      </w:r>
    </w:p>
    <w:p w14:paraId="71A2226C" w14:textId="77777777" w:rsidR="00934E13" w:rsidRPr="001D5327" w:rsidRDefault="00934E13" w:rsidP="00934E13">
      <w:pPr>
        <w:pStyle w:val="BodyText"/>
        <w:rPr>
          <w:rFonts w:cs="Calibri"/>
        </w:rPr>
      </w:pPr>
      <w:r w:rsidRPr="001D5327">
        <w:rPr>
          <w:rFonts w:cs="Calibri"/>
        </w:rPr>
        <w:t xml:space="preserve">Restrictions on activity and movement as part of the response to the coronavirus (COVID-19) pandemic during the 2020 calendar year saw significant disruption to economic activity </w:t>
      </w:r>
      <w:r w:rsidRPr="001D5327">
        <w:rPr>
          <w:rFonts w:cs="Calibri"/>
          <w:spacing w:val="-2"/>
        </w:rPr>
        <w:t>throughout New Zealand. The effects on the Energy sector are particularly notable, with national energy consumption falling 7.2 per cent compared with the 2019 level. The sector saw a slight rebound during 2021, but energy consumption has remained well below pre-2020 levels</w:t>
      </w:r>
      <w:r w:rsidRPr="001D5327">
        <w:rPr>
          <w:rFonts w:cs="Calibri"/>
        </w:rPr>
        <w:t>.</w:t>
      </w:r>
    </w:p>
    <w:p w14:paraId="740F8217" w14:textId="10A9C0A3" w:rsidR="00934E13" w:rsidRPr="001D5327" w:rsidRDefault="00934E13" w:rsidP="00934E13">
      <w:pPr>
        <w:pStyle w:val="BodyText"/>
      </w:pPr>
      <w:r w:rsidRPr="001D5327">
        <w:t xml:space="preserve">While the Agriculture sector contributed the largest overall decrease in emissions between 2022 and 2023, the category with the largest decrease was in IPPU: HFCs from </w:t>
      </w:r>
      <w:r w:rsidRPr="001D5327">
        <w:rPr>
          <w:i/>
          <w:iCs/>
        </w:rPr>
        <w:t>Product uses as substitutes for ODS</w:t>
      </w:r>
      <w:r w:rsidRPr="001D5327">
        <w:t xml:space="preserve"> represented the largest decrease in emissions (352.6 kt CO</w:t>
      </w:r>
      <w:r w:rsidRPr="001D5327">
        <w:rPr>
          <w:vertAlign w:val="subscript"/>
        </w:rPr>
        <w:t>2</w:t>
      </w:r>
      <w:r w:rsidRPr="001D5327">
        <w:t xml:space="preserve">-e). The main reasons for this decrease were that, following two exceptional years impacted by an increase in heat pump sales and an associated increase in emissions from the disposal of retired equipment, </w:t>
      </w:r>
      <w:r w:rsidR="003524F6" w:rsidRPr="003524F6">
        <w:t>heat pump sales slowed in 2023 and disposal emissions decreased</w:t>
      </w:r>
      <w:r w:rsidRPr="001D5327">
        <w:t xml:space="preserve">. </w:t>
      </w:r>
    </w:p>
    <w:p w14:paraId="11FEAC1D" w14:textId="77777777" w:rsidR="00934E13" w:rsidRPr="001D5327" w:rsidRDefault="00934E13" w:rsidP="00934E13">
      <w:pPr>
        <w:pStyle w:val="Heading4"/>
      </w:pPr>
      <w:r w:rsidRPr="001D5327">
        <w:t>Net emissions</w:t>
      </w:r>
    </w:p>
    <w:p w14:paraId="721D7C78" w14:textId="77777777" w:rsidR="00934E13" w:rsidRPr="001D5327" w:rsidRDefault="00934E13" w:rsidP="00934E13">
      <w:pPr>
        <w:pStyle w:val="BodyText"/>
        <w:rPr>
          <w:bCs/>
          <w:spacing w:val="-2"/>
        </w:rPr>
      </w:pPr>
      <w:r w:rsidRPr="001D5327">
        <w:rPr>
          <w:bCs/>
          <w:spacing w:val="-2"/>
        </w:rPr>
        <w:t>Net emissions include gross emissions as defined above (i.e., from the Energy, IPPU, Agriculture and Waste sectors, and including Tokelau) and net emissions from the LULUCF sector.</w:t>
      </w:r>
    </w:p>
    <w:p w14:paraId="703D00AD" w14:textId="35364439" w:rsidR="00934E13" w:rsidRPr="001D5327" w:rsidRDefault="00934E13" w:rsidP="00934E13">
      <w:pPr>
        <w:pStyle w:val="BodyText"/>
        <w:rPr>
          <w:bCs/>
        </w:rPr>
      </w:pPr>
      <w:r w:rsidRPr="001D5327">
        <w:t xml:space="preserve">In </w:t>
      </w:r>
      <w:r w:rsidRPr="001D5327">
        <w:rPr>
          <w:bCs/>
        </w:rPr>
        <w:t xml:space="preserve">2023, net emissions from the LULUCF sector were </w:t>
      </w:r>
      <w:r w:rsidR="003C45F8">
        <w:rPr>
          <w:bCs/>
        </w:rPr>
        <w:t>-</w:t>
      </w:r>
      <w:r w:rsidRPr="001D5327">
        <w:rPr>
          <w:bCs/>
        </w:rPr>
        <w:t>20,197.1 kt CO</w:t>
      </w:r>
      <w:r w:rsidRPr="001D5327">
        <w:rPr>
          <w:bCs/>
          <w:vertAlign w:val="subscript"/>
        </w:rPr>
        <w:t>2</w:t>
      </w:r>
      <w:r w:rsidRPr="001D5327">
        <w:rPr>
          <w:bCs/>
        </w:rPr>
        <w:t>-e. This offset 26.4 per cent of New Zealand’s gross emissions.</w:t>
      </w:r>
    </w:p>
    <w:p w14:paraId="6F4FDB11" w14:textId="77777777" w:rsidR="00934E13" w:rsidRPr="001D5327" w:rsidRDefault="00934E13" w:rsidP="00934E13">
      <w:pPr>
        <w:pStyle w:val="Heading5"/>
      </w:pPr>
      <w:r w:rsidRPr="001D5327">
        <w:t>1990–2023</w:t>
      </w:r>
    </w:p>
    <w:p w14:paraId="6593FC81" w14:textId="77777777" w:rsidR="00934E13" w:rsidRPr="001D5327" w:rsidRDefault="00934E13" w:rsidP="00934E13">
      <w:pPr>
        <w:pStyle w:val="BodyText"/>
        <w:rPr>
          <w:bCs/>
        </w:rPr>
      </w:pPr>
      <w:r w:rsidRPr="001D5327">
        <w:t xml:space="preserve">In </w:t>
      </w:r>
      <w:r w:rsidRPr="001D5327">
        <w:rPr>
          <w:bCs/>
        </w:rPr>
        <w:t>1990, New Zealand’s net emissions were 43,344.8 kt CO</w:t>
      </w:r>
      <w:r w:rsidRPr="001D5327">
        <w:rPr>
          <w:bCs/>
          <w:vertAlign w:val="subscript"/>
        </w:rPr>
        <w:t>2</w:t>
      </w:r>
      <w:r w:rsidRPr="001D5327">
        <w:rPr>
          <w:bCs/>
        </w:rPr>
        <w:t>-e. Between 1990 and 2023, net GHG emissions increased by 29.7 per cent (12,874.3 kt CO</w:t>
      </w:r>
      <w:r w:rsidRPr="001D5327">
        <w:rPr>
          <w:bCs/>
          <w:vertAlign w:val="subscript"/>
        </w:rPr>
        <w:t>2</w:t>
      </w:r>
      <w:r w:rsidRPr="001D5327">
        <w:rPr>
          <w:bCs/>
        </w:rPr>
        <w:t>-e) to 56,219.2 kt CO</w:t>
      </w:r>
      <w:r w:rsidRPr="001D5327">
        <w:rPr>
          <w:bCs/>
          <w:vertAlign w:val="subscript"/>
        </w:rPr>
        <w:t>2</w:t>
      </w:r>
      <w:r w:rsidRPr="001D5327">
        <w:rPr>
          <w:bCs/>
        </w:rPr>
        <w:t>-e (figure 2.1.1).</w:t>
      </w:r>
    </w:p>
    <w:p w14:paraId="794ADF44" w14:textId="77777777" w:rsidR="00934E13" w:rsidRPr="001D5327" w:rsidRDefault="00934E13" w:rsidP="00934E13">
      <w:pPr>
        <w:pStyle w:val="BodyText"/>
        <w:rPr>
          <w:bCs/>
        </w:rPr>
      </w:pPr>
      <w:r w:rsidRPr="001D5327">
        <w:rPr>
          <w:bCs/>
        </w:rPr>
        <w:t xml:space="preserve">The four categories that contributed the most to the increase in net emissions between 1990 and 2023 were: </w:t>
      </w:r>
      <w:r w:rsidRPr="001D5327">
        <w:rPr>
          <w:bCs/>
          <w:i/>
          <w:iCs/>
        </w:rPr>
        <w:t>Land converted to forest land</w:t>
      </w:r>
      <w:r w:rsidRPr="001D5327">
        <w:rPr>
          <w:bCs/>
        </w:rPr>
        <w:t xml:space="preserve">; </w:t>
      </w:r>
      <w:r w:rsidRPr="001D5327">
        <w:rPr>
          <w:bCs/>
          <w:i/>
          <w:iCs/>
        </w:rPr>
        <w:t>Enteric fermentation</w:t>
      </w:r>
      <w:r w:rsidRPr="001D5327">
        <w:rPr>
          <w:bCs/>
        </w:rPr>
        <w:t xml:space="preserve"> from </w:t>
      </w:r>
      <w:r w:rsidRPr="001D5327">
        <w:rPr>
          <w:bCs/>
          <w:i/>
          <w:iCs/>
        </w:rPr>
        <w:t>Dairy cattle</w:t>
      </w:r>
      <w:r w:rsidRPr="001D5327">
        <w:rPr>
          <w:bCs/>
        </w:rPr>
        <w:t xml:space="preserve">; </w:t>
      </w:r>
      <w:r w:rsidRPr="001D5327">
        <w:rPr>
          <w:bCs/>
          <w:i/>
          <w:iCs/>
        </w:rPr>
        <w:t>Road transportation</w:t>
      </w:r>
      <w:r w:rsidRPr="001D5327">
        <w:rPr>
          <w:bCs/>
        </w:rPr>
        <w:t xml:space="preserve">; and </w:t>
      </w:r>
      <w:r w:rsidRPr="001D5327">
        <w:rPr>
          <w:bCs/>
          <w:i/>
          <w:iCs/>
        </w:rPr>
        <w:t>Agricultural soils</w:t>
      </w:r>
      <w:r w:rsidRPr="001D5327">
        <w:rPr>
          <w:bCs/>
        </w:rPr>
        <w:t>.</w:t>
      </w:r>
    </w:p>
    <w:p w14:paraId="48641DF4" w14:textId="77777777" w:rsidR="00934E13" w:rsidRPr="001D5327" w:rsidRDefault="00934E13" w:rsidP="00934E13">
      <w:pPr>
        <w:pStyle w:val="Figure"/>
      </w:pPr>
      <w:bookmarkStart w:id="117" w:name="_Toc194674822"/>
      <w:r w:rsidRPr="001D5327">
        <w:rPr>
          <w:bCs/>
        </w:rPr>
        <w:lastRenderedPageBreak/>
        <w:t>Figure 2.1.1</w:t>
      </w:r>
      <w:r w:rsidRPr="001D5327">
        <w:rPr>
          <w:bCs/>
        </w:rPr>
        <w:tab/>
        <w:t>New Zealand’s gross and net emissions, from 1990 to 2023</w:t>
      </w:r>
      <w:bookmarkEnd w:id="117"/>
    </w:p>
    <w:p w14:paraId="43DDE2FF" w14:textId="77777777" w:rsidR="00934E13" w:rsidRPr="001D5327" w:rsidRDefault="00934E13" w:rsidP="00934E13">
      <w:pPr>
        <w:pStyle w:val="BodyText"/>
      </w:pPr>
      <w:r w:rsidRPr="001D5327">
        <w:rPr>
          <w:noProof/>
        </w:rPr>
        <w:drawing>
          <wp:inline distT="0" distB="0" distL="0" distR="0" wp14:anchorId="1F378282" wp14:editId="2F96731E">
            <wp:extent cx="5289550" cy="3746500"/>
            <wp:effectExtent l="0" t="0" r="6350" b="6350"/>
            <wp:docPr id="25" name="Picture"/>
            <wp:cNvGraphicFramePr/>
            <a:graphic xmlns:a="http://schemas.openxmlformats.org/drawingml/2006/main">
              <a:graphicData uri="http://schemas.openxmlformats.org/drawingml/2006/picture">
                <pic:pic xmlns:pic="http://schemas.openxmlformats.org/drawingml/2006/picture">
                  <pic:nvPicPr>
                    <pic:cNvPr id="26" name="Picture" descr="code/graphs/images/es_2_1_crf.png"/>
                    <pic:cNvPicPr>
                      <a:picLocks noChangeAspect="1" noChangeArrowheads="1"/>
                    </pic:cNvPicPr>
                  </pic:nvPicPr>
                  <pic:blipFill rotWithShape="1">
                    <a:blip r:embed="rId27"/>
                    <a:srcRect b="1647"/>
                    <a:stretch/>
                  </pic:blipFill>
                  <pic:spPr bwMode="auto">
                    <a:xfrm>
                      <a:off x="0" y="0"/>
                      <a:ext cx="5289550" cy="3746500"/>
                    </a:xfrm>
                    <a:prstGeom prst="rect">
                      <a:avLst/>
                    </a:prstGeom>
                    <a:noFill/>
                    <a:ln>
                      <a:noFill/>
                    </a:ln>
                    <a:extLst>
                      <a:ext uri="{53640926-AAD7-44D8-BBD7-CCE9431645EC}">
                        <a14:shadowObscured xmlns:a14="http://schemas.microsoft.com/office/drawing/2010/main"/>
                      </a:ext>
                    </a:extLst>
                  </pic:spPr>
                </pic:pic>
              </a:graphicData>
            </a:graphic>
          </wp:inline>
        </w:drawing>
      </w:r>
    </w:p>
    <w:p w14:paraId="325A23CF" w14:textId="77777777" w:rsidR="00934E13" w:rsidRPr="001D5327" w:rsidRDefault="00934E13" w:rsidP="00934E13">
      <w:pPr>
        <w:pStyle w:val="Heading5"/>
      </w:pPr>
      <w:bookmarkStart w:id="118" w:name="section-3"/>
      <w:r w:rsidRPr="001D5327">
        <w:t>2022–2023</w:t>
      </w:r>
    </w:p>
    <w:p w14:paraId="471C8781" w14:textId="2EAC0848" w:rsidR="00934E13" w:rsidRPr="001D5327" w:rsidRDefault="00934E13" w:rsidP="00934E13">
      <w:pPr>
        <w:pStyle w:val="BodyText"/>
      </w:pPr>
      <w:r w:rsidRPr="001D5327">
        <w:t xml:space="preserve">Between </w:t>
      </w:r>
      <w:r w:rsidRPr="001D5327">
        <w:rPr>
          <w:rFonts w:eastAsiaTheme="minorHAnsi" w:cstheme="majorHAnsi"/>
          <w:szCs w:val="24"/>
          <w:lang w:eastAsia="en-US"/>
        </w:rPr>
        <w:t>2022</w:t>
      </w:r>
      <w:r w:rsidRPr="001D5327">
        <w:t xml:space="preserve"> and </w:t>
      </w:r>
      <w:r w:rsidRPr="001D5327">
        <w:rPr>
          <w:rFonts w:eastAsiaTheme="minorHAnsi" w:cstheme="majorHAnsi"/>
          <w:szCs w:val="24"/>
          <w:lang w:eastAsia="en-US"/>
        </w:rPr>
        <w:t>2023</w:t>
      </w:r>
      <w:r w:rsidRPr="001D5327">
        <w:t xml:space="preserve">, New Zealand’s net emissions </w:t>
      </w:r>
      <w:r w:rsidRPr="001D5327">
        <w:rPr>
          <w:rFonts w:eastAsiaTheme="minorHAnsi" w:cstheme="majorHAnsi"/>
          <w:szCs w:val="24"/>
          <w:lang w:eastAsia="en-US"/>
        </w:rPr>
        <w:t>decreased</w:t>
      </w:r>
      <w:r w:rsidRPr="001D5327">
        <w:t xml:space="preserve"> by </w:t>
      </w:r>
      <w:r w:rsidRPr="001D5327">
        <w:rPr>
          <w:rFonts w:eastAsiaTheme="minorHAnsi" w:cstheme="majorHAnsi"/>
          <w:szCs w:val="24"/>
          <w:lang w:eastAsia="en-US"/>
        </w:rPr>
        <w:t>4.1</w:t>
      </w:r>
      <w:r w:rsidRPr="001D5327">
        <w:t xml:space="preserve"> per cent (</w:t>
      </w:r>
      <w:r w:rsidRPr="001D5327">
        <w:rPr>
          <w:rFonts w:eastAsiaTheme="minorHAnsi" w:cstheme="majorHAnsi"/>
          <w:szCs w:val="24"/>
          <w:lang w:eastAsia="en-US"/>
        </w:rPr>
        <w:t>2,391.2</w:t>
      </w:r>
      <w:r w:rsidRPr="001D5327">
        <w:t xml:space="preserve"> kt CO</w:t>
      </w:r>
      <w:r w:rsidRPr="001D5327">
        <w:rPr>
          <w:vertAlign w:val="subscript"/>
        </w:rPr>
        <w:t>2</w:t>
      </w:r>
      <w:r w:rsidRPr="001D5327">
        <w:t xml:space="preserve">-e). This was due to the overall decrease in gross emissions and a decrease in net emissions of </w:t>
      </w:r>
      <w:r w:rsidRPr="001D5327">
        <w:rPr>
          <w:rFonts w:eastAsiaTheme="minorHAnsi" w:cstheme="majorHAnsi"/>
          <w:szCs w:val="24"/>
          <w:lang w:eastAsia="en-US"/>
        </w:rPr>
        <w:t>4.3</w:t>
      </w:r>
      <w:r w:rsidRPr="001D5327">
        <w:t xml:space="preserve"> per cent (</w:t>
      </w:r>
      <w:r w:rsidR="003C45F8">
        <w:rPr>
          <w:rFonts w:eastAsiaTheme="minorHAnsi" w:cstheme="majorHAnsi"/>
          <w:szCs w:val="24"/>
          <w:lang w:eastAsia="en-US"/>
        </w:rPr>
        <w:t>-</w:t>
      </w:r>
      <w:r w:rsidRPr="001D5327">
        <w:rPr>
          <w:rFonts w:eastAsiaTheme="minorHAnsi" w:cstheme="majorHAnsi"/>
          <w:szCs w:val="24"/>
          <w:lang w:eastAsia="en-US"/>
        </w:rPr>
        <w:t>824.4</w:t>
      </w:r>
      <w:r w:rsidRPr="001D5327">
        <w:t xml:space="preserve"> kt CO</w:t>
      </w:r>
      <w:r w:rsidRPr="001D5327">
        <w:rPr>
          <w:vertAlign w:val="subscript"/>
        </w:rPr>
        <w:t>2</w:t>
      </w:r>
      <w:r w:rsidRPr="001D5327">
        <w:t xml:space="preserve">-e) from the LULUCF sector. The decrease in net emissions was driven by an increase in removals in </w:t>
      </w:r>
      <w:r w:rsidRPr="001D5327">
        <w:rPr>
          <w:rFonts w:eastAsiaTheme="minorHAnsi" w:cstheme="majorHAnsi"/>
          <w:i/>
          <w:iCs/>
          <w:szCs w:val="24"/>
          <w:lang w:eastAsia="en-US"/>
        </w:rPr>
        <w:t>Forest land remaining forest land</w:t>
      </w:r>
      <w:r w:rsidRPr="001D5327">
        <w:t xml:space="preserve"> and </w:t>
      </w:r>
      <w:r w:rsidRPr="001D5327">
        <w:rPr>
          <w:rFonts w:eastAsiaTheme="minorHAnsi" w:cstheme="majorHAnsi"/>
          <w:i/>
          <w:iCs/>
          <w:szCs w:val="24"/>
          <w:lang w:eastAsia="en-US"/>
        </w:rPr>
        <w:t>Land converted to forest land</w:t>
      </w:r>
      <w:r w:rsidRPr="001D5327">
        <w:rPr>
          <w:i/>
          <w:iCs/>
        </w:rPr>
        <w:t xml:space="preserve"> </w:t>
      </w:r>
      <w:r w:rsidRPr="001D5327">
        <w:t xml:space="preserve">in the LULUCF sector, and a reduction in emissions from </w:t>
      </w:r>
      <w:r w:rsidRPr="001D5327">
        <w:rPr>
          <w:rFonts w:eastAsiaTheme="minorHAnsi" w:cstheme="majorHAnsi"/>
          <w:i/>
          <w:iCs/>
          <w:szCs w:val="24"/>
          <w:lang w:eastAsia="en-US"/>
        </w:rPr>
        <w:t>Product uses as substitutes for ODS</w:t>
      </w:r>
      <w:r w:rsidRPr="001D5327">
        <w:rPr>
          <w:i/>
          <w:iCs/>
        </w:rPr>
        <w:t xml:space="preserve"> </w:t>
      </w:r>
      <w:r w:rsidRPr="001D5327">
        <w:rPr>
          <w:rFonts w:eastAsiaTheme="minorHAnsi" w:cstheme="majorHAnsi"/>
          <w:szCs w:val="24"/>
          <w:lang w:eastAsia="en-US"/>
        </w:rPr>
        <w:t xml:space="preserve">in </w:t>
      </w:r>
      <w:r w:rsidRPr="001D5327">
        <w:t>the IPPU sector.</w:t>
      </w:r>
    </w:p>
    <w:p w14:paraId="2C872865" w14:textId="77777777" w:rsidR="00934E13" w:rsidRPr="001D5327" w:rsidRDefault="00934E13" w:rsidP="00F6269A">
      <w:pPr>
        <w:pStyle w:val="BodyText"/>
      </w:pPr>
      <w:r w:rsidRPr="001D5327">
        <w:t>The decrease in the LULUCF sector was largely driven by a decrease in emissions of 952.1 kt CO</w:t>
      </w:r>
      <w:r w:rsidRPr="001D5327">
        <w:rPr>
          <w:vertAlign w:val="subscript"/>
        </w:rPr>
        <w:t>2</w:t>
      </w:r>
      <w:r w:rsidRPr="001D5327">
        <w:t xml:space="preserve">-e in the </w:t>
      </w:r>
      <w:r w:rsidRPr="001D5327">
        <w:rPr>
          <w:i/>
          <w:iCs/>
        </w:rPr>
        <w:t>Forest land</w:t>
      </w:r>
      <w:r w:rsidRPr="001D5327" w:rsidDel="00D049EC">
        <w:t xml:space="preserve"> </w:t>
      </w:r>
      <w:r w:rsidRPr="001D5327">
        <w:t>category, as harvesting rates in planted forests reduced between 2022 and 2023. This led to an increase in emissions from the</w:t>
      </w:r>
      <w:r w:rsidRPr="001D5327" w:rsidDel="00DE1520">
        <w:t xml:space="preserve"> </w:t>
      </w:r>
      <w:r w:rsidRPr="001D5327">
        <w:rPr>
          <w:i/>
          <w:iCs/>
        </w:rPr>
        <w:t>Harvested wood products</w:t>
      </w:r>
      <w:r w:rsidRPr="001D5327" w:rsidDel="002A4FF2">
        <w:rPr>
          <w:i/>
          <w:iCs/>
        </w:rPr>
        <w:t xml:space="preserve"> </w:t>
      </w:r>
      <w:r w:rsidRPr="001D5327">
        <w:t>category, however, offsetting the decrease by 774.0 kt CO</w:t>
      </w:r>
      <w:r w:rsidRPr="001D5327">
        <w:rPr>
          <w:vertAlign w:val="subscript"/>
        </w:rPr>
        <w:t>2</w:t>
      </w:r>
      <w:r w:rsidRPr="001D5327">
        <w:t>-e. There was also a decrease in emissions of 684.7 kt CO</w:t>
      </w:r>
      <w:r w:rsidRPr="001D5327">
        <w:rPr>
          <w:vertAlign w:val="subscript"/>
        </w:rPr>
        <w:t>2</w:t>
      </w:r>
      <w:r w:rsidRPr="001D5327">
        <w:t xml:space="preserve">-e from the </w:t>
      </w:r>
      <w:r w:rsidRPr="001D5327">
        <w:rPr>
          <w:i/>
          <w:iCs/>
        </w:rPr>
        <w:t xml:space="preserve">Grassland </w:t>
      </w:r>
      <w:r w:rsidRPr="001D5327">
        <w:t xml:space="preserve">category due to lower deforestation rates in 2023 compared with 2022. </w:t>
      </w:r>
    </w:p>
    <w:p w14:paraId="58257DF0" w14:textId="77777777" w:rsidR="00934E13" w:rsidRPr="001D5327" w:rsidRDefault="00934E13" w:rsidP="00934E13">
      <w:pPr>
        <w:pStyle w:val="Heading4"/>
      </w:pPr>
      <w:bookmarkStart w:id="119" w:name="X4f36d8e6a681b035dde335364a80e947df783c1"/>
      <w:bookmarkEnd w:id="116"/>
      <w:bookmarkEnd w:id="118"/>
      <w:r w:rsidRPr="001D5327">
        <w:t>Net target accounting emissions</w:t>
      </w:r>
    </w:p>
    <w:p w14:paraId="315D3276" w14:textId="77777777" w:rsidR="00934E13" w:rsidRPr="001D5327" w:rsidRDefault="00934E13" w:rsidP="00934E13">
      <w:pPr>
        <w:pStyle w:val="BodyText"/>
      </w:pPr>
      <w:r w:rsidRPr="001D5327">
        <w:t>New Zealand applies accounting rules to calculate the quantities of net emissions that contribute towards meeting emissions reduction targets. While gross emissions are fully accounted for, the contribution from the LULUCF sector is treated differently.</w:t>
      </w:r>
    </w:p>
    <w:p w14:paraId="5F659D46" w14:textId="6A609EC9" w:rsidR="00934E13" w:rsidRPr="001D5327" w:rsidRDefault="00934E13" w:rsidP="00934E13">
      <w:pPr>
        <w:pStyle w:val="BodyText"/>
      </w:pPr>
      <w:r w:rsidRPr="001D5327">
        <w:t>Information on how New Zealand accounts for the contribution from the LULUCF sector towards its first Nationally Determined Contribution under the Paris Agreement is provided in Annex 9. The LULUCF accounting quantities for the period covered by this Inventory are also reported in Annex 9.</w:t>
      </w:r>
      <w:r w:rsidR="001023C6" w:rsidRPr="001D5327">
        <w:t xml:space="preserve"> </w:t>
      </w:r>
    </w:p>
    <w:p w14:paraId="584F8069" w14:textId="77777777" w:rsidR="00934E13" w:rsidRPr="001D5327" w:rsidRDefault="00934E13" w:rsidP="00934E13">
      <w:pPr>
        <w:pStyle w:val="Heading2"/>
      </w:pPr>
      <w:bookmarkStart w:id="120" w:name="_Toc194311995"/>
      <w:r w:rsidRPr="001D5327">
        <w:lastRenderedPageBreak/>
        <w:t>2.2</w:t>
      </w:r>
      <w:r w:rsidRPr="001D5327">
        <w:tab/>
        <w:t>Description of emission and removal trends by sector and by gas</w:t>
      </w:r>
      <w:bookmarkEnd w:id="120"/>
    </w:p>
    <w:p w14:paraId="7CFE3141" w14:textId="397B5092" w:rsidR="00934E13" w:rsidRPr="001D5327" w:rsidRDefault="00934E13" w:rsidP="00934E13">
      <w:pPr>
        <w:pStyle w:val="BodyText"/>
      </w:pPr>
      <w:r w:rsidRPr="001D5327">
        <w:t>New Zealand reports emissions and removals for the Energy, IPPU, Agriculture, LULUCF and</w:t>
      </w:r>
      <w:r w:rsidR="00F6269A" w:rsidRPr="001D5327">
        <w:t> </w:t>
      </w:r>
      <w:r w:rsidRPr="001D5327">
        <w:t>Waste sectors. Tokelau’s emissions are also reported separately by sector as ‘Other’. New</w:t>
      </w:r>
      <w:r w:rsidR="00F6269A" w:rsidRPr="001D5327">
        <w:t> </w:t>
      </w:r>
      <w:r w:rsidRPr="001D5327">
        <w:t>Zealand reports emissions and removals of CO</w:t>
      </w:r>
      <w:r w:rsidRPr="001D5327">
        <w:rPr>
          <w:vertAlign w:val="subscript"/>
        </w:rPr>
        <w:t>2</w:t>
      </w:r>
      <w:r w:rsidRPr="001D5327">
        <w:t>, and emissions from CH</w:t>
      </w:r>
      <w:r w:rsidRPr="001D5327">
        <w:rPr>
          <w:vertAlign w:val="subscript"/>
        </w:rPr>
        <w:t>4</w:t>
      </w:r>
      <w:r w:rsidRPr="001D5327">
        <w:t>, HFCs, perfluorocarbons (PFCs), sulphur hexafluoride (SF</w:t>
      </w:r>
      <w:r w:rsidRPr="001D5327">
        <w:rPr>
          <w:vertAlign w:val="subscript"/>
        </w:rPr>
        <w:t>6</w:t>
      </w:r>
      <w:r w:rsidRPr="001D5327">
        <w:t>) and nitrogen trifluoride (NF</w:t>
      </w:r>
      <w:r w:rsidRPr="001D5327">
        <w:rPr>
          <w:vertAlign w:val="subscript"/>
        </w:rPr>
        <w:t>3</w:t>
      </w:r>
      <w:r w:rsidRPr="001D5327">
        <w:t>).</w:t>
      </w:r>
    </w:p>
    <w:p w14:paraId="3EB48725" w14:textId="77777777" w:rsidR="00934E13" w:rsidRPr="001D5327" w:rsidRDefault="00934E13" w:rsidP="00934E13">
      <w:pPr>
        <w:pStyle w:val="Heading3"/>
      </w:pPr>
      <w:bookmarkStart w:id="121" w:name="X241aff75ea9a749994be5de7f65eff7721044ef"/>
      <w:r w:rsidRPr="001D5327">
        <w:t>2.2.1</w:t>
      </w:r>
      <w:r w:rsidRPr="001D5327">
        <w:tab/>
        <w:t xml:space="preserve">New Zealand’s emissions by sector and by gas in </w:t>
      </w:r>
      <w:r w:rsidRPr="001D5327">
        <w:rPr>
          <w:bCs/>
        </w:rPr>
        <w:t>2023</w:t>
      </w:r>
    </w:p>
    <w:p w14:paraId="2EB16C16" w14:textId="784D66B5" w:rsidR="00934E13" w:rsidRPr="001D5327" w:rsidRDefault="00934E13" w:rsidP="00934E13">
      <w:pPr>
        <w:pStyle w:val="BodyText"/>
      </w:pPr>
      <w:r w:rsidRPr="001D5327">
        <w:t>New Zealand’s emissions by sector reflect the composition of the national economy. The Agriculture sector contributed 53.1 per cent of New Zealand’s gross emissions in 2023. New Zealand’s Energy sector contributed 37.8 per cent to the national gross emissions, while</w:t>
      </w:r>
      <w:r w:rsidR="00127478" w:rsidRPr="001D5327">
        <w:t> </w:t>
      </w:r>
      <w:r w:rsidRPr="001D5327">
        <w:t>the IPPU and Waste sectors contributed 5.3 per cent and 3.8 per cent respectively (figure</w:t>
      </w:r>
      <w:r w:rsidR="00127478" w:rsidRPr="001D5327">
        <w:t> </w:t>
      </w:r>
      <w:r w:rsidRPr="001D5327">
        <w:t>2.2.1). New Zealand’s ‘Other’ sector (Tokelau) contributed 0.006 per cent to the national gross emissions.</w:t>
      </w:r>
    </w:p>
    <w:p w14:paraId="678C5311" w14:textId="13828C7C" w:rsidR="00934E13" w:rsidRPr="001D5327" w:rsidRDefault="00934E13" w:rsidP="00934E13">
      <w:pPr>
        <w:pStyle w:val="BodyText"/>
      </w:pPr>
      <w:r w:rsidRPr="001D5327">
        <w:t xml:space="preserve">The LULUCF sector currently represents a sink, with net emissions of </w:t>
      </w:r>
      <w:r w:rsidR="003C45F8">
        <w:t>-</w:t>
      </w:r>
      <w:r w:rsidRPr="001D5327">
        <w:t>20,197.1 kt CO</w:t>
      </w:r>
      <w:r w:rsidRPr="001D5327">
        <w:rPr>
          <w:vertAlign w:val="subscript"/>
        </w:rPr>
        <w:t>2</w:t>
      </w:r>
      <w:r w:rsidRPr="001D5327">
        <w:t>-e. This offset 26.4 per cent of New Zealand’s gross emissions in 2023.</w:t>
      </w:r>
    </w:p>
    <w:p w14:paraId="0D5BB388" w14:textId="77777777" w:rsidR="00934E13" w:rsidRPr="001D5327" w:rsidRDefault="00934E13" w:rsidP="00934E13">
      <w:pPr>
        <w:pStyle w:val="Figure"/>
      </w:pPr>
      <w:bookmarkStart w:id="122" w:name="_Toc194674823"/>
      <w:r w:rsidRPr="001D5327">
        <w:t>Figure 2.2.1</w:t>
      </w:r>
      <w:r w:rsidRPr="001D5327">
        <w:tab/>
        <w:t xml:space="preserve">New Zealand’s emissions by sector in </w:t>
      </w:r>
      <w:r w:rsidRPr="001D5327">
        <w:rPr>
          <w:bCs/>
        </w:rPr>
        <w:t>2023</w:t>
      </w:r>
      <w:bookmarkEnd w:id="122"/>
    </w:p>
    <w:p w14:paraId="120321A8" w14:textId="77777777" w:rsidR="00934E13" w:rsidRPr="001D5327" w:rsidRDefault="00934E13" w:rsidP="00934E13">
      <w:pPr>
        <w:pStyle w:val="BodyText"/>
      </w:pPr>
      <w:r w:rsidRPr="001D5327">
        <w:rPr>
          <w:noProof/>
        </w:rPr>
        <w:drawing>
          <wp:inline distT="0" distB="0" distL="0" distR="0" wp14:anchorId="39CB2116" wp14:editId="40C12501">
            <wp:extent cx="5397500" cy="3975100"/>
            <wp:effectExtent l="0" t="0" r="0" b="6350"/>
            <wp:docPr id="636337387" name="Picture"/>
            <wp:cNvGraphicFramePr/>
            <a:graphic xmlns:a="http://schemas.openxmlformats.org/drawingml/2006/main">
              <a:graphicData uri="http://schemas.openxmlformats.org/drawingml/2006/picture">
                <pic:pic xmlns:pic="http://schemas.openxmlformats.org/drawingml/2006/picture">
                  <pic:nvPicPr>
                    <pic:cNvPr id="34" name="Picture" descr="code/graphs/images/es_4_2_crf.png"/>
                    <pic:cNvPicPr>
                      <a:picLocks noChangeAspect="1" noChangeArrowheads="1"/>
                    </pic:cNvPicPr>
                  </pic:nvPicPr>
                  <pic:blipFill rotWithShape="1">
                    <a:blip r:embed="rId39"/>
                    <a:srcRect t="1" b="1803"/>
                    <a:stretch/>
                  </pic:blipFill>
                  <pic:spPr bwMode="auto">
                    <a:xfrm>
                      <a:off x="0" y="0"/>
                      <a:ext cx="5397500" cy="3975100"/>
                    </a:xfrm>
                    <a:prstGeom prst="rect">
                      <a:avLst/>
                    </a:prstGeom>
                    <a:noFill/>
                    <a:ln>
                      <a:noFill/>
                    </a:ln>
                    <a:extLst>
                      <a:ext uri="{53640926-AAD7-44D8-BBD7-CCE9431645EC}">
                        <a14:shadowObscured xmlns:a14="http://schemas.microsoft.com/office/drawing/2010/main"/>
                      </a:ext>
                    </a:extLst>
                  </pic:spPr>
                </pic:pic>
              </a:graphicData>
            </a:graphic>
          </wp:inline>
        </w:drawing>
      </w:r>
    </w:p>
    <w:p w14:paraId="1D2ED4D1" w14:textId="2001C6B9" w:rsidR="00934E13" w:rsidRPr="001D5327" w:rsidRDefault="00934E13" w:rsidP="00934E13">
      <w:pPr>
        <w:pStyle w:val="Noteundertable"/>
      </w:pPr>
      <w:r w:rsidRPr="001D5327">
        <w:rPr>
          <w:b/>
          <w:bCs/>
        </w:rPr>
        <w:t>Note:</w:t>
      </w:r>
      <w:r w:rsidRPr="001D5327">
        <w:tab/>
        <w:t>The percentages may not add up to 100 per cent due to rounding. The LULUCF sector, which is not a part of</w:t>
      </w:r>
      <w:r w:rsidR="00127478" w:rsidRPr="001D5327">
        <w:t> </w:t>
      </w:r>
      <w:r w:rsidRPr="001D5327">
        <w:t>gross emissions, is included here as a negative value. The Tokelau sector is not visible due to its small contribution (4.2 kt CO</w:t>
      </w:r>
      <w:r w:rsidRPr="001D5327">
        <w:rPr>
          <w:vertAlign w:val="subscript"/>
        </w:rPr>
        <w:t>2</w:t>
      </w:r>
      <w:r w:rsidRPr="001D5327">
        <w:t>-e or 0.006 per cent of New Zealand’s gross GHG emissions).</w:t>
      </w:r>
    </w:p>
    <w:p w14:paraId="28A724E7" w14:textId="77777777" w:rsidR="00934E13" w:rsidRPr="001D5327" w:rsidRDefault="00934E13" w:rsidP="00934E13">
      <w:pPr>
        <w:pStyle w:val="BodyText"/>
      </w:pPr>
      <w:r w:rsidRPr="001D5327">
        <w:t>Each of the sectors is dominated by one or two GHGs. Figure 2.2.2 shows New Zealand’s gross emissions by gas.</w:t>
      </w:r>
    </w:p>
    <w:p w14:paraId="2F3F76A1" w14:textId="77777777" w:rsidR="00934E13" w:rsidRPr="001D5327" w:rsidRDefault="00934E13" w:rsidP="00934E13">
      <w:pPr>
        <w:pStyle w:val="Figure"/>
      </w:pPr>
      <w:bookmarkStart w:id="123" w:name="_Toc194674824"/>
      <w:r w:rsidRPr="001D5327">
        <w:lastRenderedPageBreak/>
        <w:t>Figure 2.2.2</w:t>
      </w:r>
      <w:r w:rsidRPr="001D5327">
        <w:tab/>
        <w:t xml:space="preserve">New Zealand’s gross emissions by gas in </w:t>
      </w:r>
      <w:r w:rsidRPr="001D5327">
        <w:rPr>
          <w:bCs/>
        </w:rPr>
        <w:t>2023</w:t>
      </w:r>
      <w:bookmarkEnd w:id="123"/>
    </w:p>
    <w:p w14:paraId="30B6C79F" w14:textId="77777777" w:rsidR="00934E13" w:rsidRPr="001D5327" w:rsidRDefault="00934E13" w:rsidP="00127478">
      <w:pPr>
        <w:pStyle w:val="BodyText"/>
        <w:spacing w:after="60"/>
      </w:pPr>
      <w:r w:rsidRPr="001D5327">
        <w:rPr>
          <w:noProof/>
        </w:rPr>
        <w:drawing>
          <wp:inline distT="0" distB="0" distL="0" distR="0" wp14:anchorId="4CB5734D" wp14:editId="681525F0">
            <wp:extent cx="5397500" cy="3975100"/>
            <wp:effectExtent l="0" t="0" r="0" b="6350"/>
            <wp:docPr id="1947203566" name="Picture"/>
            <wp:cNvGraphicFramePr/>
            <a:graphic xmlns:a="http://schemas.openxmlformats.org/drawingml/2006/main">
              <a:graphicData uri="http://schemas.openxmlformats.org/drawingml/2006/picture">
                <pic:pic xmlns:pic="http://schemas.openxmlformats.org/drawingml/2006/picture">
                  <pic:nvPicPr>
                    <pic:cNvPr id="37" name="Picture" descr="code/graphs/images/es_3_1_crf.png"/>
                    <pic:cNvPicPr>
                      <a:picLocks noChangeAspect="1" noChangeArrowheads="1"/>
                    </pic:cNvPicPr>
                  </pic:nvPicPr>
                  <pic:blipFill rotWithShape="1">
                    <a:blip r:embed="rId40"/>
                    <a:srcRect t="1" b="1803"/>
                    <a:stretch/>
                  </pic:blipFill>
                  <pic:spPr bwMode="auto">
                    <a:xfrm>
                      <a:off x="0" y="0"/>
                      <a:ext cx="5397500" cy="3975100"/>
                    </a:xfrm>
                    <a:prstGeom prst="rect">
                      <a:avLst/>
                    </a:prstGeom>
                    <a:noFill/>
                    <a:ln>
                      <a:noFill/>
                    </a:ln>
                    <a:extLst>
                      <a:ext uri="{53640926-AAD7-44D8-BBD7-CCE9431645EC}">
                        <a14:shadowObscured xmlns:a14="http://schemas.microsoft.com/office/drawing/2010/main"/>
                      </a:ext>
                    </a:extLst>
                  </pic:spPr>
                </pic:pic>
              </a:graphicData>
            </a:graphic>
          </wp:inline>
        </w:drawing>
      </w:r>
    </w:p>
    <w:p w14:paraId="6F14DD06" w14:textId="77777777" w:rsidR="00934E13" w:rsidRPr="001D5327" w:rsidRDefault="00934E13" w:rsidP="00934E13">
      <w:pPr>
        <w:pStyle w:val="Noteundertable"/>
      </w:pPr>
      <w:r w:rsidRPr="001D5327">
        <w:rPr>
          <w:b/>
          <w:bCs/>
        </w:rPr>
        <w:t>Note:</w:t>
      </w:r>
      <w:r w:rsidRPr="001D5327">
        <w:tab/>
        <w:t>The percentages may not add up to 100 per cent due to rounding. F-gases = fluorinated gases.</w:t>
      </w:r>
    </w:p>
    <w:p w14:paraId="0E702D36" w14:textId="77777777" w:rsidR="00934E13" w:rsidRPr="001D5327" w:rsidRDefault="00934E13" w:rsidP="00934E13">
      <w:pPr>
        <w:pStyle w:val="BodyText"/>
      </w:pPr>
      <w:r w:rsidRPr="001D5327">
        <w:t>Methane dominated New Zealand’s emissions profile in 2023, contributing 48.1 per cent (36,751.6 kt CO</w:t>
      </w:r>
      <w:r w:rsidRPr="001D5327">
        <w:rPr>
          <w:vertAlign w:val="subscript"/>
        </w:rPr>
        <w:t>2</w:t>
      </w:r>
      <w:r w:rsidRPr="001D5327">
        <w:t>-e) of gross emissions (figure 2.2.2). The Agriculture sector contributed 91.0 per cent (33,449.8 kt CO</w:t>
      </w:r>
      <w:r w:rsidRPr="001D5327">
        <w:rPr>
          <w:vertAlign w:val="subscript"/>
        </w:rPr>
        <w:t>2</w:t>
      </w:r>
      <w:r w:rsidRPr="001D5327">
        <w:t>-e) of New Zealand’s CH</w:t>
      </w:r>
      <w:r w:rsidRPr="001D5327">
        <w:rPr>
          <w:vertAlign w:val="subscript"/>
        </w:rPr>
        <w:t>4</w:t>
      </w:r>
      <w:r w:rsidRPr="001D5327">
        <w:t xml:space="preserve"> emissions in 2023. The largest source of CH</w:t>
      </w:r>
      <w:r w:rsidRPr="001D5327">
        <w:rPr>
          <w:vertAlign w:val="subscript"/>
        </w:rPr>
        <w:t>4</w:t>
      </w:r>
      <w:r w:rsidRPr="001D5327">
        <w:t xml:space="preserve"> in the Agriculture sector was </w:t>
      </w:r>
      <w:r w:rsidRPr="001D5327">
        <w:rPr>
          <w:i/>
          <w:iCs/>
        </w:rPr>
        <w:t>Enteric fermentation</w:t>
      </w:r>
      <w:r w:rsidRPr="001D5327">
        <w:t>, producing 86.2 per cent (31,661.7 kt CO</w:t>
      </w:r>
      <w:r w:rsidRPr="001D5327">
        <w:rPr>
          <w:vertAlign w:val="subscript"/>
        </w:rPr>
        <w:t>2</w:t>
      </w:r>
      <w:r w:rsidRPr="001D5327">
        <w:t>-e) of New Zealand’s gross CH</w:t>
      </w:r>
      <w:r w:rsidRPr="001D5327">
        <w:rPr>
          <w:vertAlign w:val="subscript"/>
        </w:rPr>
        <w:t>4</w:t>
      </w:r>
      <w:r w:rsidRPr="001D5327">
        <w:t xml:space="preserve"> emissions. Methane was also the largest component of New Zealand’s Waste sector emissions, contributing 7.3 per cent (2,680.2 kt CO</w:t>
      </w:r>
      <w:r w:rsidRPr="001D5327">
        <w:rPr>
          <w:vertAlign w:val="subscript"/>
        </w:rPr>
        <w:t>2</w:t>
      </w:r>
      <w:r w:rsidRPr="001D5327">
        <w:t>-e) of gross CH</w:t>
      </w:r>
      <w:r w:rsidRPr="001D5327">
        <w:rPr>
          <w:vertAlign w:val="subscript"/>
        </w:rPr>
        <w:t>4</w:t>
      </w:r>
      <w:r w:rsidRPr="001D5327">
        <w:t xml:space="preserve"> emissions.</w:t>
      </w:r>
    </w:p>
    <w:p w14:paraId="0083382E" w14:textId="42ADA778" w:rsidR="00934E13" w:rsidRPr="001D5327" w:rsidRDefault="00934E13" w:rsidP="00934E13">
      <w:pPr>
        <w:pStyle w:val="BodyText"/>
      </w:pPr>
      <w:r w:rsidRPr="001D5327">
        <w:t>Carbon dioxide contributed 41.3 per cent (31,559.8 kt CO</w:t>
      </w:r>
      <w:r w:rsidRPr="001D5327">
        <w:rPr>
          <w:vertAlign w:val="subscript"/>
        </w:rPr>
        <w:t>2</w:t>
      </w:r>
      <w:r w:rsidRPr="001D5327">
        <w:t>) towards New Zealand’s gross emissions in 2023. The Energy sector contributed the largest share of CO</w:t>
      </w:r>
      <w:r w:rsidRPr="001D5327">
        <w:rPr>
          <w:vertAlign w:val="subscript"/>
        </w:rPr>
        <w:t>2,</w:t>
      </w:r>
      <w:r w:rsidRPr="001D5327">
        <w:t xml:space="preserve"> producing 89.1 per cent</w:t>
      </w:r>
      <w:r w:rsidRPr="001D5327" w:rsidDel="00E16C55">
        <w:t xml:space="preserve"> </w:t>
      </w:r>
      <w:r w:rsidRPr="001D5327">
        <w:t>(28,111.6 kt) of New Zealand’s gross CO</w:t>
      </w:r>
      <w:r w:rsidRPr="001D5327">
        <w:rPr>
          <w:vertAlign w:val="subscript"/>
        </w:rPr>
        <w:t>2</w:t>
      </w:r>
      <w:r w:rsidRPr="001D5327">
        <w:t xml:space="preserve"> emissions in 2023. The categories that contributed most to CO</w:t>
      </w:r>
      <w:r w:rsidRPr="001D5327">
        <w:rPr>
          <w:vertAlign w:val="subscript"/>
        </w:rPr>
        <w:t>2</w:t>
      </w:r>
      <w:r w:rsidRPr="001D5327">
        <w:t xml:space="preserve"> emissions in the Energy sector were </w:t>
      </w:r>
      <w:r w:rsidRPr="001D5327">
        <w:rPr>
          <w:i/>
          <w:iCs/>
        </w:rPr>
        <w:t>Transport</w:t>
      </w:r>
      <w:r w:rsidRPr="001D5327">
        <w:t xml:space="preserve"> (44.5 per cent or 14,043.8 kt CO</w:t>
      </w:r>
      <w:r w:rsidRPr="001D5327">
        <w:rPr>
          <w:vertAlign w:val="subscript"/>
        </w:rPr>
        <w:t>2</w:t>
      </w:r>
      <w:r w:rsidRPr="001D5327">
        <w:t xml:space="preserve">) and </w:t>
      </w:r>
      <w:r w:rsidRPr="001D5327">
        <w:rPr>
          <w:i/>
          <w:iCs/>
        </w:rPr>
        <w:t>Manufacturing industries and construction</w:t>
      </w:r>
      <w:r w:rsidRPr="001D5327">
        <w:t xml:space="preserve"> (19.2 per cent or 6,044.4</w:t>
      </w:r>
      <w:r w:rsidR="008C73C6" w:rsidRPr="001D5327">
        <w:t> </w:t>
      </w:r>
      <w:r w:rsidRPr="001D5327">
        <w:t>kt CO</w:t>
      </w:r>
      <w:r w:rsidRPr="001D5327">
        <w:rPr>
          <w:vertAlign w:val="subscript"/>
        </w:rPr>
        <w:t>2</w:t>
      </w:r>
      <w:r w:rsidRPr="001D5327">
        <w:t>). In 2023, the LULUCF sector was a CO</w:t>
      </w:r>
      <w:r w:rsidRPr="001D5327">
        <w:rPr>
          <w:vertAlign w:val="subscript"/>
        </w:rPr>
        <w:t>2</w:t>
      </w:r>
      <w:r w:rsidRPr="001D5327">
        <w:t xml:space="preserve"> sink, sequestering 65.0 per cent (</w:t>
      </w:r>
      <w:r w:rsidR="003C45F8">
        <w:t>-</w:t>
      </w:r>
      <w:r w:rsidRPr="001D5327">
        <w:t>20,511.0 kt CO</w:t>
      </w:r>
      <w:r w:rsidRPr="001D5327">
        <w:rPr>
          <w:vertAlign w:val="subscript"/>
        </w:rPr>
        <w:t>2</w:t>
      </w:r>
      <w:r w:rsidRPr="001D5327">
        <w:t>) of New Zealand’s CO</w:t>
      </w:r>
      <w:r w:rsidRPr="001D5327">
        <w:rPr>
          <w:vertAlign w:val="subscript"/>
        </w:rPr>
        <w:t>2</w:t>
      </w:r>
      <w:r w:rsidRPr="001D5327">
        <w:t xml:space="preserve"> emissions. This resulted in net CO</w:t>
      </w:r>
      <w:r w:rsidRPr="001D5327">
        <w:rPr>
          <w:vertAlign w:val="subscript"/>
        </w:rPr>
        <w:t>2</w:t>
      </w:r>
      <w:r w:rsidRPr="001D5327">
        <w:t xml:space="preserve"> emissions of 11,048.8 kt in 2023.</w:t>
      </w:r>
    </w:p>
    <w:p w14:paraId="450EDBBB" w14:textId="77777777" w:rsidR="00934E13" w:rsidRPr="001D5327" w:rsidRDefault="00934E13" w:rsidP="00934E13">
      <w:pPr>
        <w:pStyle w:val="BodyText"/>
      </w:pPr>
      <w:r w:rsidRPr="001D5327">
        <w:t>Nitrous oxide contributed 9.1 per cent (6,940.0 kt CO</w:t>
      </w:r>
      <w:r w:rsidRPr="001D5327">
        <w:rPr>
          <w:vertAlign w:val="subscript"/>
        </w:rPr>
        <w:t>2</w:t>
      </w:r>
      <w:r w:rsidRPr="001D5327">
        <w:t xml:space="preserve">-e) of New Zealand’s gross emissions. Emissions from the </w:t>
      </w:r>
      <w:r w:rsidRPr="001D5327">
        <w:rPr>
          <w:i/>
          <w:iCs/>
        </w:rPr>
        <w:t>Agricultural soils</w:t>
      </w:r>
      <w:r w:rsidRPr="001D5327">
        <w:t xml:space="preserve"> category (from adding nitrogen to soil, for example, through manure or fertiliser) were the largest source of New Zealand’s gross N</w:t>
      </w:r>
      <w:r w:rsidRPr="001D5327">
        <w:rPr>
          <w:vertAlign w:val="subscript"/>
        </w:rPr>
        <w:t>2</w:t>
      </w:r>
      <w:r w:rsidRPr="001D5327">
        <w:t>O emissions (at 91.8 per cent or 6,372.4 kt CO</w:t>
      </w:r>
      <w:r w:rsidRPr="001D5327">
        <w:rPr>
          <w:vertAlign w:val="subscript"/>
        </w:rPr>
        <w:t>2</w:t>
      </w:r>
      <w:r w:rsidRPr="001D5327">
        <w:t>-e). The Agriculture sector contributed 93.1 per cent of N</w:t>
      </w:r>
      <w:r w:rsidRPr="001D5327">
        <w:rPr>
          <w:vertAlign w:val="subscript"/>
        </w:rPr>
        <w:t>2</w:t>
      </w:r>
      <w:r w:rsidRPr="001D5327">
        <w:t>O towards New Zealand’s gross N</w:t>
      </w:r>
      <w:r w:rsidRPr="001D5327">
        <w:rPr>
          <w:vertAlign w:val="subscript"/>
        </w:rPr>
        <w:t>2</w:t>
      </w:r>
      <w:r w:rsidRPr="001D5327">
        <w:t xml:space="preserve">O emissions totals in 2023. </w:t>
      </w:r>
    </w:p>
    <w:p w14:paraId="6610766A" w14:textId="29FDB4B4" w:rsidR="00934E13" w:rsidRPr="001D5327" w:rsidRDefault="00934E13" w:rsidP="00934E13">
      <w:pPr>
        <w:pStyle w:val="BodyText"/>
      </w:pPr>
      <w:r w:rsidRPr="001D5327">
        <w:t>Fluorinated gases (HFCs, PFCs and SF</w:t>
      </w:r>
      <w:r w:rsidRPr="001D5327">
        <w:rPr>
          <w:vertAlign w:val="subscript"/>
        </w:rPr>
        <w:t>6</w:t>
      </w:r>
      <w:r w:rsidRPr="001D5327">
        <w:t>) collectively contributed 1.5 per cent to New Zealand’s gross emissions. The IPPU sector is the only source of fluorinated gases in New Zealand. Together, HFCs, PFCs and SF</w:t>
      </w:r>
      <w:r w:rsidRPr="001D5327">
        <w:rPr>
          <w:vertAlign w:val="subscript"/>
        </w:rPr>
        <w:t>6</w:t>
      </w:r>
      <w:r w:rsidRPr="001D5327">
        <w:t xml:space="preserve"> emitted 1,164.9 kt CO</w:t>
      </w:r>
      <w:r w:rsidRPr="001D5327">
        <w:rPr>
          <w:vertAlign w:val="subscript"/>
        </w:rPr>
        <w:t>2</w:t>
      </w:r>
      <w:r w:rsidRPr="001D5327">
        <w:t xml:space="preserve">-e in 2023. New Zealand does not </w:t>
      </w:r>
      <w:r w:rsidRPr="001D5327">
        <w:lastRenderedPageBreak/>
        <w:t>manufacture any fluorinated gases domestically. Emissions of fluorinated gases were dominated by HFCs (93.3 per cent of all fluorinated gases). The PFCs and SF</w:t>
      </w:r>
      <w:r w:rsidRPr="001D5327">
        <w:rPr>
          <w:vertAlign w:val="subscript"/>
        </w:rPr>
        <w:t>6</w:t>
      </w:r>
      <w:r w:rsidRPr="001D5327">
        <w:t xml:space="preserve"> contributed 5.2 per cent and 1.4 per cent to total emissions of fluorinated gases respectively. Almost all</w:t>
      </w:r>
      <w:r w:rsidR="00A43DFA" w:rsidRPr="001D5327">
        <w:t> </w:t>
      </w:r>
      <w:r w:rsidRPr="001D5327">
        <w:t>of</w:t>
      </w:r>
      <w:r w:rsidR="008C73C6" w:rsidRPr="001D5327">
        <w:t> </w:t>
      </w:r>
      <w:r w:rsidRPr="001D5327">
        <w:t>New Zealand’s PFC emissions (99.99 per cent) resulted from aluminium production.</w:t>
      </w:r>
    </w:p>
    <w:p w14:paraId="209BB1E0" w14:textId="77777777" w:rsidR="00934E13" w:rsidRPr="001D5327" w:rsidRDefault="00934E13" w:rsidP="00934E13">
      <w:pPr>
        <w:pStyle w:val="Heading3"/>
      </w:pPr>
      <w:bookmarkStart w:id="124" w:name="Xefc02b2bb97df63b969dd1f4fe1976ad086a822"/>
      <w:bookmarkEnd w:id="121"/>
      <w:r w:rsidRPr="001D5327">
        <w:t>2.2.2</w:t>
      </w:r>
      <w:r w:rsidRPr="001D5327">
        <w:tab/>
        <w:t>Emission trends by sector from 1990 to 2023</w:t>
      </w:r>
    </w:p>
    <w:p w14:paraId="1003B166" w14:textId="77777777" w:rsidR="00934E13" w:rsidRPr="001D5327" w:rsidRDefault="00934E13" w:rsidP="00934E13">
      <w:pPr>
        <w:pStyle w:val="BodyText"/>
      </w:pPr>
      <w:r w:rsidRPr="001D5327">
        <w:t>Figure 2.2.3 shows the contribution to net emissions that each inventory sector has made since 1990. The Agriculture and Energy sectors have dominated New Zealand’s gross emissions profile. Together, these sectors produced 90.5 per cent of New Zealand’s annual gross GHG emissions from 1990 to 2023. The IPPU and Waste sectors produced relatively small amounts of GHGs, each contributing between 3.6 and 6.0 per cent of annual gross emissions across the time series.</w:t>
      </w:r>
    </w:p>
    <w:p w14:paraId="78B9536B" w14:textId="77777777" w:rsidR="00934E13" w:rsidRPr="001D5327" w:rsidRDefault="00934E13" w:rsidP="00934E13">
      <w:pPr>
        <w:pStyle w:val="BodyText"/>
      </w:pPr>
      <w:r w:rsidRPr="001D5327">
        <w:t>Conversely, the LULUCF sector was a net sink of GHG emissions between 1990 and 2023.</w:t>
      </w:r>
    </w:p>
    <w:p w14:paraId="78C22701" w14:textId="77777777" w:rsidR="00934E13" w:rsidRPr="001D5327" w:rsidRDefault="00934E13" w:rsidP="00934E13">
      <w:pPr>
        <w:pStyle w:val="Figure"/>
      </w:pPr>
      <w:bookmarkStart w:id="125" w:name="_Toc194674825"/>
      <w:r w:rsidRPr="001D5327">
        <w:rPr>
          <w:bCs/>
        </w:rPr>
        <w:t>Figure 2.2.3</w:t>
      </w:r>
      <w:r w:rsidRPr="001D5327">
        <w:tab/>
        <w:t xml:space="preserve">Trends in New Zealand’s greenhouse gas emissions by sector, from </w:t>
      </w:r>
      <w:r w:rsidRPr="001D5327">
        <w:rPr>
          <w:bCs/>
        </w:rPr>
        <w:t>1990</w:t>
      </w:r>
      <w:r w:rsidRPr="001D5327">
        <w:t xml:space="preserve"> to </w:t>
      </w:r>
      <w:r w:rsidRPr="001D5327">
        <w:rPr>
          <w:bCs/>
        </w:rPr>
        <w:t>2023</w:t>
      </w:r>
      <w:bookmarkEnd w:id="125"/>
    </w:p>
    <w:p w14:paraId="4B5F4A5F" w14:textId="77777777" w:rsidR="00934E13" w:rsidRPr="001D5327" w:rsidRDefault="00934E13" w:rsidP="00934E13">
      <w:pPr>
        <w:pStyle w:val="BodyText"/>
      </w:pPr>
      <w:r w:rsidRPr="001D5327">
        <w:rPr>
          <w:noProof/>
        </w:rPr>
        <w:drawing>
          <wp:inline distT="0" distB="0" distL="0" distR="0" wp14:anchorId="0E5D67A5" wp14:editId="305DD74B">
            <wp:extent cx="5397500" cy="3975100"/>
            <wp:effectExtent l="0" t="0" r="0" b="6350"/>
            <wp:docPr id="809571015" name="Picture"/>
            <wp:cNvGraphicFramePr/>
            <a:graphic xmlns:a="http://schemas.openxmlformats.org/drawingml/2006/main">
              <a:graphicData uri="http://schemas.openxmlformats.org/drawingml/2006/picture">
                <pic:pic xmlns:pic="http://schemas.openxmlformats.org/drawingml/2006/picture">
                  <pic:nvPicPr>
                    <pic:cNvPr id="41" name="Picture" descr="code/graphs/images/es_4_1_crf.png"/>
                    <pic:cNvPicPr>
                      <a:picLocks noChangeAspect="1" noChangeArrowheads="1"/>
                    </pic:cNvPicPr>
                  </pic:nvPicPr>
                  <pic:blipFill rotWithShape="1">
                    <a:blip r:embed="rId29"/>
                    <a:srcRect t="1" b="1803"/>
                    <a:stretch/>
                  </pic:blipFill>
                  <pic:spPr bwMode="auto">
                    <a:xfrm>
                      <a:off x="0" y="0"/>
                      <a:ext cx="5397500" cy="3975100"/>
                    </a:xfrm>
                    <a:prstGeom prst="rect">
                      <a:avLst/>
                    </a:prstGeom>
                    <a:noFill/>
                    <a:ln>
                      <a:noFill/>
                    </a:ln>
                    <a:extLst>
                      <a:ext uri="{53640926-AAD7-44D8-BBD7-CCE9431645EC}">
                        <a14:shadowObscured xmlns:a14="http://schemas.microsoft.com/office/drawing/2010/main"/>
                      </a:ext>
                    </a:extLst>
                  </pic:spPr>
                </pic:pic>
              </a:graphicData>
            </a:graphic>
          </wp:inline>
        </w:drawing>
      </w:r>
    </w:p>
    <w:p w14:paraId="21B505D7" w14:textId="77777777" w:rsidR="00934E13" w:rsidRPr="001D5327" w:rsidRDefault="00934E13" w:rsidP="00934E13">
      <w:pPr>
        <w:pStyle w:val="Noteundertable"/>
      </w:pPr>
      <w:r w:rsidRPr="001D5327">
        <w:rPr>
          <w:b/>
          <w:bCs/>
        </w:rPr>
        <w:t>Note:</w:t>
      </w:r>
      <w:r w:rsidRPr="001D5327">
        <w:tab/>
        <w:t>Net removals from the LULUCF sector are as reported under the United Nations Framework Convention on Climate Change (chapter 6).</w:t>
      </w:r>
    </w:p>
    <w:p w14:paraId="38ADCF17" w14:textId="77777777" w:rsidR="00934E13" w:rsidRPr="001D5327" w:rsidRDefault="00934E13" w:rsidP="00934E13">
      <w:pPr>
        <w:pStyle w:val="BodyText"/>
      </w:pPr>
      <w:r w:rsidRPr="001D5327">
        <w:t>Table 2.2.1 presents New Zealand’s emissions by sector in 1990 and 2023 and the change between the years in absolute terms and by percentage. Figure 2.2.4 shows the changes in emissions by sector between 1990 and 2023.</w:t>
      </w:r>
    </w:p>
    <w:p w14:paraId="7EEE71DB" w14:textId="77777777" w:rsidR="00934E13" w:rsidRPr="001D5327" w:rsidRDefault="00934E13" w:rsidP="00934E13">
      <w:pPr>
        <w:pStyle w:val="Table"/>
      </w:pPr>
      <w:bookmarkStart w:id="126" w:name="_Toc194241663"/>
      <w:r w:rsidRPr="001D5327">
        <w:lastRenderedPageBreak/>
        <w:t>Table 2.2.1</w:t>
      </w:r>
      <w:r w:rsidRPr="001D5327">
        <w:tab/>
        <w:t xml:space="preserve">New Zealand’s emissions by sector, comparing </w:t>
      </w:r>
      <w:r w:rsidRPr="001D5327">
        <w:rPr>
          <w:bCs/>
        </w:rPr>
        <w:t>1990</w:t>
      </w:r>
      <w:r w:rsidRPr="001D5327">
        <w:t xml:space="preserve"> and </w:t>
      </w:r>
      <w:r w:rsidRPr="001D5327">
        <w:rPr>
          <w:bCs/>
        </w:rPr>
        <w:t>2023</w:t>
      </w:r>
      <w:bookmarkEnd w:id="126"/>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445"/>
        <w:gridCol w:w="1448"/>
        <w:gridCol w:w="1448"/>
        <w:gridCol w:w="2199"/>
        <w:gridCol w:w="1965"/>
      </w:tblGrid>
      <w:tr w:rsidR="00934E13" w:rsidRPr="001D5327" w14:paraId="310278A3" w14:textId="77777777" w:rsidTr="00341FEF">
        <w:trPr>
          <w:tblHeader/>
        </w:trPr>
        <w:tc>
          <w:tcPr>
            <w:tcW w:w="850" w:type="pct"/>
            <w:shd w:val="clear" w:color="auto" w:fill="1B556B"/>
            <w:tcMar>
              <w:top w:w="0" w:type="dxa"/>
              <w:left w:w="85" w:type="dxa"/>
              <w:bottom w:w="0" w:type="dxa"/>
              <w:right w:w="85" w:type="dxa"/>
            </w:tcMar>
          </w:tcPr>
          <w:p w14:paraId="1C92C9DC" w14:textId="77777777" w:rsidR="00934E13" w:rsidRPr="001D5327" w:rsidRDefault="00934E13" w:rsidP="008C73C6">
            <w:pPr>
              <w:pStyle w:val="TableTextBold"/>
              <w:keepNext/>
              <w:spacing w:before="40" w:after="40"/>
              <w:rPr>
                <w:noProof w:val="0"/>
                <w:color w:val="FFFFFF" w:themeColor="background1"/>
              </w:rPr>
            </w:pPr>
            <w:r w:rsidRPr="001D5327">
              <w:rPr>
                <w:rFonts w:eastAsia="Calibri"/>
                <w:noProof w:val="0"/>
                <w:color w:val="FFFFFF" w:themeColor="background1"/>
              </w:rPr>
              <w:t>Sector</w:t>
            </w:r>
          </w:p>
        </w:tc>
        <w:tc>
          <w:tcPr>
            <w:tcW w:w="851" w:type="pct"/>
            <w:shd w:val="clear" w:color="auto" w:fill="1B556B"/>
            <w:tcMar>
              <w:top w:w="0" w:type="dxa"/>
              <w:left w:w="85" w:type="dxa"/>
              <w:bottom w:w="0" w:type="dxa"/>
              <w:right w:w="85" w:type="dxa"/>
            </w:tcMar>
          </w:tcPr>
          <w:p w14:paraId="4656B498" w14:textId="77777777" w:rsidR="00934E13" w:rsidRPr="001D5327" w:rsidRDefault="00934E13" w:rsidP="008C73C6">
            <w:pPr>
              <w:pStyle w:val="TableTextBold"/>
              <w:keepNext/>
              <w:spacing w:before="40" w:after="40"/>
              <w:jc w:val="right"/>
              <w:rPr>
                <w:noProof w:val="0"/>
                <w:color w:val="FFFFFF" w:themeColor="background1"/>
              </w:rPr>
            </w:pPr>
            <w:r w:rsidRPr="001D5327">
              <w:rPr>
                <w:rFonts w:eastAsia="Calibri"/>
                <w:noProof w:val="0"/>
                <w:color w:val="FFFFFF" w:themeColor="background1"/>
              </w:rPr>
              <w:t>1990</w:t>
            </w:r>
          </w:p>
        </w:tc>
        <w:tc>
          <w:tcPr>
            <w:tcW w:w="851" w:type="pct"/>
            <w:shd w:val="clear" w:color="auto" w:fill="1B556B"/>
            <w:tcMar>
              <w:top w:w="0" w:type="dxa"/>
              <w:left w:w="85" w:type="dxa"/>
              <w:bottom w:w="0" w:type="dxa"/>
              <w:right w:w="85" w:type="dxa"/>
            </w:tcMar>
          </w:tcPr>
          <w:p w14:paraId="075B037D" w14:textId="77777777" w:rsidR="00934E13" w:rsidRPr="001D5327" w:rsidRDefault="00934E13" w:rsidP="008C73C6">
            <w:pPr>
              <w:pStyle w:val="TableTextBold"/>
              <w:keepNext/>
              <w:spacing w:before="40" w:after="40"/>
              <w:jc w:val="right"/>
              <w:rPr>
                <w:noProof w:val="0"/>
                <w:color w:val="FFFFFF" w:themeColor="background1"/>
              </w:rPr>
            </w:pPr>
            <w:r w:rsidRPr="001D5327">
              <w:rPr>
                <w:rFonts w:eastAsia="Calibri"/>
                <w:noProof w:val="0"/>
                <w:color w:val="FFFFFF" w:themeColor="background1"/>
              </w:rPr>
              <w:t>2023</w:t>
            </w:r>
          </w:p>
        </w:tc>
        <w:tc>
          <w:tcPr>
            <w:tcW w:w="1293" w:type="pct"/>
            <w:shd w:val="clear" w:color="auto" w:fill="1B556B"/>
            <w:tcMar>
              <w:top w:w="0" w:type="dxa"/>
              <w:left w:w="85" w:type="dxa"/>
              <w:bottom w:w="0" w:type="dxa"/>
              <w:right w:w="85" w:type="dxa"/>
            </w:tcMar>
          </w:tcPr>
          <w:p w14:paraId="49A184D6" w14:textId="77777777" w:rsidR="00934E13" w:rsidRPr="001D5327" w:rsidRDefault="00934E13" w:rsidP="008C73C6">
            <w:pPr>
              <w:pStyle w:val="TableTextBold"/>
              <w:keepNext/>
              <w:spacing w:before="40" w:after="40"/>
              <w:jc w:val="right"/>
              <w:rPr>
                <w:noProof w:val="0"/>
                <w:color w:val="FFFFFF" w:themeColor="background1"/>
              </w:rPr>
            </w:pPr>
            <w:r w:rsidRPr="001D5327">
              <w:rPr>
                <w:rFonts w:eastAsia="Calibri"/>
                <w:noProof w:val="0"/>
                <w:color w:val="FFFFFF" w:themeColor="background1"/>
              </w:rPr>
              <w:t>Change from 1990 (kt CO</w:t>
            </w:r>
            <w:r w:rsidRPr="001D5327">
              <w:rPr>
                <w:rFonts w:eastAsia="Calibri"/>
                <w:noProof w:val="0"/>
                <w:color w:val="FFFFFF" w:themeColor="background1"/>
                <w:vertAlign w:val="subscript"/>
              </w:rPr>
              <w:t>2</w:t>
            </w:r>
            <w:r w:rsidRPr="001D5327">
              <w:rPr>
                <w:rFonts w:eastAsia="Calibri"/>
                <w:noProof w:val="0"/>
                <w:color w:val="FFFFFF" w:themeColor="background1"/>
              </w:rPr>
              <w:t>-e)</w:t>
            </w:r>
          </w:p>
        </w:tc>
        <w:tc>
          <w:tcPr>
            <w:tcW w:w="1155" w:type="pct"/>
            <w:shd w:val="clear" w:color="auto" w:fill="1B556B"/>
            <w:tcMar>
              <w:top w:w="0" w:type="dxa"/>
              <w:left w:w="85" w:type="dxa"/>
              <w:bottom w:w="0" w:type="dxa"/>
              <w:right w:w="85" w:type="dxa"/>
            </w:tcMar>
          </w:tcPr>
          <w:p w14:paraId="5471E8F2" w14:textId="77777777" w:rsidR="00934E13" w:rsidRPr="001D5327" w:rsidRDefault="00934E13" w:rsidP="008C73C6">
            <w:pPr>
              <w:pStyle w:val="TableTextBold"/>
              <w:keepNext/>
              <w:spacing w:before="40" w:after="40"/>
              <w:jc w:val="right"/>
              <w:rPr>
                <w:noProof w:val="0"/>
                <w:color w:val="FFFFFF" w:themeColor="background1"/>
              </w:rPr>
            </w:pPr>
            <w:r w:rsidRPr="001D5327">
              <w:rPr>
                <w:rFonts w:eastAsia="Calibri"/>
                <w:noProof w:val="0"/>
                <w:color w:val="FFFFFF" w:themeColor="background1"/>
              </w:rPr>
              <w:t>Change from 1990 (%)</w:t>
            </w:r>
          </w:p>
        </w:tc>
      </w:tr>
      <w:tr w:rsidR="00934E13" w:rsidRPr="001D5327" w14:paraId="396DEF04" w14:textId="77777777" w:rsidTr="00341FEF">
        <w:tc>
          <w:tcPr>
            <w:tcW w:w="850" w:type="pct"/>
            <w:shd w:val="clear" w:color="auto" w:fill="FFFFFF"/>
            <w:tcMar>
              <w:top w:w="0" w:type="dxa"/>
              <w:left w:w="85" w:type="dxa"/>
              <w:bottom w:w="0" w:type="dxa"/>
              <w:right w:w="85" w:type="dxa"/>
            </w:tcMar>
          </w:tcPr>
          <w:p w14:paraId="46DACE32" w14:textId="77777777" w:rsidR="00934E13" w:rsidRPr="001D5327" w:rsidRDefault="00934E13" w:rsidP="008C73C6">
            <w:pPr>
              <w:pStyle w:val="TableText"/>
              <w:keepNext/>
              <w:spacing w:before="40" w:after="40"/>
            </w:pPr>
            <w:r w:rsidRPr="001D5327">
              <w:rPr>
                <w:rFonts w:eastAsia="Calibri"/>
                <w:color w:val="000000"/>
              </w:rPr>
              <w:t>Energy</w:t>
            </w:r>
          </w:p>
        </w:tc>
        <w:tc>
          <w:tcPr>
            <w:tcW w:w="851" w:type="pct"/>
            <w:shd w:val="clear" w:color="auto" w:fill="FFFFFF"/>
            <w:tcMar>
              <w:top w:w="0" w:type="dxa"/>
              <w:left w:w="85" w:type="dxa"/>
              <w:bottom w:w="0" w:type="dxa"/>
              <w:right w:w="85" w:type="dxa"/>
            </w:tcMar>
          </w:tcPr>
          <w:p w14:paraId="53252ADB" w14:textId="77777777" w:rsidR="00934E13" w:rsidRPr="001D5327" w:rsidRDefault="00934E13" w:rsidP="008C73C6">
            <w:pPr>
              <w:pStyle w:val="TableText"/>
              <w:keepNext/>
              <w:spacing w:before="40" w:after="40"/>
              <w:jc w:val="right"/>
            </w:pPr>
            <w:r w:rsidRPr="001D5327">
              <w:rPr>
                <w:rFonts w:eastAsia="Calibri"/>
                <w:color w:val="000000"/>
              </w:rPr>
              <w:t>23,999.7</w:t>
            </w:r>
          </w:p>
        </w:tc>
        <w:tc>
          <w:tcPr>
            <w:tcW w:w="851" w:type="pct"/>
            <w:shd w:val="clear" w:color="auto" w:fill="FFFFFF"/>
            <w:tcMar>
              <w:top w:w="0" w:type="dxa"/>
              <w:left w:w="85" w:type="dxa"/>
              <w:bottom w:w="0" w:type="dxa"/>
              <w:right w:w="85" w:type="dxa"/>
            </w:tcMar>
          </w:tcPr>
          <w:p w14:paraId="53E9F377" w14:textId="77777777" w:rsidR="00934E13" w:rsidRPr="001D5327" w:rsidRDefault="00934E13" w:rsidP="008C73C6">
            <w:pPr>
              <w:pStyle w:val="TableText"/>
              <w:keepNext/>
              <w:spacing w:before="40" w:after="40"/>
              <w:jc w:val="right"/>
            </w:pPr>
            <w:r w:rsidRPr="001D5327">
              <w:rPr>
                <w:rFonts w:eastAsia="Calibri"/>
                <w:color w:val="000000"/>
              </w:rPr>
              <w:t>28,851.0</w:t>
            </w:r>
          </w:p>
        </w:tc>
        <w:tc>
          <w:tcPr>
            <w:tcW w:w="1293" w:type="pct"/>
            <w:shd w:val="clear" w:color="auto" w:fill="FFFFFF"/>
            <w:tcMar>
              <w:top w:w="0" w:type="dxa"/>
              <w:left w:w="85" w:type="dxa"/>
              <w:bottom w:w="0" w:type="dxa"/>
              <w:right w:w="85" w:type="dxa"/>
            </w:tcMar>
          </w:tcPr>
          <w:p w14:paraId="512E0940" w14:textId="77777777" w:rsidR="00934E13" w:rsidRPr="001D5327" w:rsidRDefault="00934E13" w:rsidP="008C73C6">
            <w:pPr>
              <w:pStyle w:val="TableText"/>
              <w:keepNext/>
              <w:spacing w:before="40" w:after="40"/>
              <w:jc w:val="right"/>
            </w:pPr>
            <w:r w:rsidRPr="001D5327">
              <w:rPr>
                <w:rFonts w:eastAsia="Calibri"/>
                <w:color w:val="000000"/>
              </w:rPr>
              <w:t>4,851.2</w:t>
            </w:r>
          </w:p>
        </w:tc>
        <w:tc>
          <w:tcPr>
            <w:tcW w:w="1155" w:type="pct"/>
            <w:shd w:val="clear" w:color="auto" w:fill="FFFFFF"/>
            <w:tcMar>
              <w:top w:w="0" w:type="dxa"/>
              <w:left w:w="85" w:type="dxa"/>
              <w:bottom w:w="0" w:type="dxa"/>
              <w:right w:w="85" w:type="dxa"/>
            </w:tcMar>
          </w:tcPr>
          <w:p w14:paraId="6E25C11A" w14:textId="77777777" w:rsidR="00934E13" w:rsidRPr="001D5327" w:rsidRDefault="00934E13" w:rsidP="008C73C6">
            <w:pPr>
              <w:pStyle w:val="TableText"/>
              <w:keepNext/>
              <w:spacing w:before="40" w:after="40"/>
              <w:jc w:val="right"/>
            </w:pPr>
            <w:r w:rsidRPr="001D5327">
              <w:rPr>
                <w:rFonts w:eastAsia="Calibri"/>
                <w:color w:val="000000"/>
              </w:rPr>
              <w:t>20.2</w:t>
            </w:r>
          </w:p>
        </w:tc>
      </w:tr>
      <w:tr w:rsidR="00934E13" w:rsidRPr="001D5327" w14:paraId="24DA70FB" w14:textId="77777777" w:rsidTr="00341FEF">
        <w:tc>
          <w:tcPr>
            <w:tcW w:w="850" w:type="pct"/>
            <w:shd w:val="clear" w:color="auto" w:fill="FFFFFF"/>
            <w:tcMar>
              <w:top w:w="0" w:type="dxa"/>
              <w:left w:w="85" w:type="dxa"/>
              <w:bottom w:w="0" w:type="dxa"/>
              <w:right w:w="85" w:type="dxa"/>
            </w:tcMar>
          </w:tcPr>
          <w:p w14:paraId="49774DEF" w14:textId="77777777" w:rsidR="00934E13" w:rsidRPr="001D5327" w:rsidRDefault="00934E13" w:rsidP="00341FEF">
            <w:pPr>
              <w:pStyle w:val="TableText"/>
              <w:spacing w:before="40" w:after="40"/>
            </w:pPr>
            <w:r w:rsidRPr="001D5327">
              <w:rPr>
                <w:rFonts w:eastAsia="Calibri"/>
                <w:color w:val="000000"/>
              </w:rPr>
              <w:t>IPPU</w:t>
            </w:r>
          </w:p>
        </w:tc>
        <w:tc>
          <w:tcPr>
            <w:tcW w:w="851" w:type="pct"/>
            <w:shd w:val="clear" w:color="auto" w:fill="FFFFFF"/>
            <w:tcMar>
              <w:top w:w="0" w:type="dxa"/>
              <w:left w:w="85" w:type="dxa"/>
              <w:bottom w:w="0" w:type="dxa"/>
              <w:right w:w="85" w:type="dxa"/>
            </w:tcMar>
          </w:tcPr>
          <w:p w14:paraId="00F5AFBB" w14:textId="77777777" w:rsidR="00934E13" w:rsidRPr="001D5327" w:rsidRDefault="00934E13" w:rsidP="00341FEF">
            <w:pPr>
              <w:pStyle w:val="TableText"/>
              <w:spacing w:before="40" w:after="40"/>
              <w:jc w:val="right"/>
            </w:pPr>
            <w:r w:rsidRPr="001D5327">
              <w:rPr>
                <w:rFonts w:eastAsia="Calibri"/>
                <w:color w:val="000000"/>
              </w:rPr>
              <w:t>3,483.1</w:t>
            </w:r>
          </w:p>
        </w:tc>
        <w:tc>
          <w:tcPr>
            <w:tcW w:w="851" w:type="pct"/>
            <w:shd w:val="clear" w:color="auto" w:fill="FFFFFF"/>
            <w:tcMar>
              <w:top w:w="0" w:type="dxa"/>
              <w:left w:w="85" w:type="dxa"/>
              <w:bottom w:w="0" w:type="dxa"/>
              <w:right w:w="85" w:type="dxa"/>
            </w:tcMar>
          </w:tcPr>
          <w:p w14:paraId="6C634D9B" w14:textId="77777777" w:rsidR="00934E13" w:rsidRPr="001D5327" w:rsidRDefault="00934E13" w:rsidP="00341FEF">
            <w:pPr>
              <w:pStyle w:val="TableText"/>
              <w:spacing w:before="40" w:after="40"/>
              <w:jc w:val="right"/>
            </w:pPr>
            <w:r w:rsidRPr="001D5327">
              <w:rPr>
                <w:rFonts w:eastAsia="Calibri"/>
                <w:color w:val="000000"/>
              </w:rPr>
              <w:t>4,031.5</w:t>
            </w:r>
          </w:p>
        </w:tc>
        <w:tc>
          <w:tcPr>
            <w:tcW w:w="1293" w:type="pct"/>
            <w:shd w:val="clear" w:color="auto" w:fill="FFFFFF"/>
            <w:tcMar>
              <w:top w:w="0" w:type="dxa"/>
              <w:left w:w="85" w:type="dxa"/>
              <w:bottom w:w="0" w:type="dxa"/>
              <w:right w:w="85" w:type="dxa"/>
            </w:tcMar>
          </w:tcPr>
          <w:p w14:paraId="38A527C0" w14:textId="77777777" w:rsidR="00934E13" w:rsidRPr="001D5327" w:rsidRDefault="00934E13" w:rsidP="00341FEF">
            <w:pPr>
              <w:pStyle w:val="TableText"/>
              <w:spacing w:before="40" w:after="40"/>
              <w:jc w:val="right"/>
            </w:pPr>
            <w:r w:rsidRPr="001D5327">
              <w:rPr>
                <w:rFonts w:eastAsia="Calibri"/>
                <w:color w:val="000000"/>
              </w:rPr>
              <w:t>548.4</w:t>
            </w:r>
          </w:p>
        </w:tc>
        <w:tc>
          <w:tcPr>
            <w:tcW w:w="1155" w:type="pct"/>
            <w:shd w:val="clear" w:color="auto" w:fill="FFFFFF"/>
            <w:tcMar>
              <w:top w:w="0" w:type="dxa"/>
              <w:left w:w="85" w:type="dxa"/>
              <w:bottom w:w="0" w:type="dxa"/>
              <w:right w:w="85" w:type="dxa"/>
            </w:tcMar>
          </w:tcPr>
          <w:p w14:paraId="32F2BA1B" w14:textId="77777777" w:rsidR="00934E13" w:rsidRPr="001D5327" w:rsidRDefault="00934E13" w:rsidP="00341FEF">
            <w:pPr>
              <w:pStyle w:val="TableText"/>
              <w:spacing w:before="40" w:after="40"/>
              <w:jc w:val="right"/>
            </w:pPr>
            <w:r w:rsidRPr="001D5327">
              <w:rPr>
                <w:rFonts w:eastAsia="Calibri"/>
                <w:color w:val="000000"/>
              </w:rPr>
              <w:t>15.7</w:t>
            </w:r>
          </w:p>
        </w:tc>
      </w:tr>
      <w:tr w:rsidR="00934E13" w:rsidRPr="001D5327" w14:paraId="6D6C8973" w14:textId="77777777" w:rsidTr="00341FEF">
        <w:tc>
          <w:tcPr>
            <w:tcW w:w="850" w:type="pct"/>
            <w:shd w:val="clear" w:color="auto" w:fill="FFFFFF"/>
            <w:tcMar>
              <w:top w:w="0" w:type="dxa"/>
              <w:left w:w="85" w:type="dxa"/>
              <w:bottom w:w="0" w:type="dxa"/>
              <w:right w:w="85" w:type="dxa"/>
            </w:tcMar>
          </w:tcPr>
          <w:p w14:paraId="6B2D187C" w14:textId="77777777" w:rsidR="00934E13" w:rsidRPr="001D5327" w:rsidRDefault="00934E13" w:rsidP="00341FEF">
            <w:pPr>
              <w:pStyle w:val="TableText"/>
              <w:spacing w:before="40" w:after="40"/>
            </w:pPr>
            <w:r w:rsidRPr="001D5327">
              <w:rPr>
                <w:rFonts w:eastAsia="Calibri"/>
                <w:color w:val="000000"/>
              </w:rPr>
              <w:t>Agriculture</w:t>
            </w:r>
          </w:p>
        </w:tc>
        <w:tc>
          <w:tcPr>
            <w:tcW w:w="851" w:type="pct"/>
            <w:shd w:val="clear" w:color="auto" w:fill="FFFFFF"/>
            <w:tcMar>
              <w:top w:w="0" w:type="dxa"/>
              <w:left w:w="85" w:type="dxa"/>
              <w:bottom w:w="0" w:type="dxa"/>
              <w:right w:w="85" w:type="dxa"/>
            </w:tcMar>
          </w:tcPr>
          <w:p w14:paraId="3C113BF1" w14:textId="77777777" w:rsidR="00934E13" w:rsidRPr="001D5327" w:rsidRDefault="00934E13" w:rsidP="00341FEF">
            <w:pPr>
              <w:pStyle w:val="TableText"/>
              <w:spacing w:before="40" w:after="40"/>
              <w:jc w:val="right"/>
            </w:pPr>
            <w:r w:rsidRPr="001D5327">
              <w:rPr>
                <w:rFonts w:eastAsia="Calibri"/>
                <w:color w:val="000000"/>
              </w:rPr>
              <w:t>36,915.1</w:t>
            </w:r>
          </w:p>
        </w:tc>
        <w:tc>
          <w:tcPr>
            <w:tcW w:w="851" w:type="pct"/>
            <w:shd w:val="clear" w:color="auto" w:fill="FFFFFF"/>
            <w:tcMar>
              <w:top w:w="0" w:type="dxa"/>
              <w:left w:w="85" w:type="dxa"/>
              <w:bottom w:w="0" w:type="dxa"/>
              <w:right w:w="85" w:type="dxa"/>
            </w:tcMar>
          </w:tcPr>
          <w:p w14:paraId="7C355FCB" w14:textId="77777777" w:rsidR="00934E13" w:rsidRPr="001D5327" w:rsidRDefault="00934E13" w:rsidP="00341FEF">
            <w:pPr>
              <w:pStyle w:val="TableText"/>
              <w:spacing w:before="40" w:after="40"/>
              <w:jc w:val="right"/>
            </w:pPr>
            <w:r w:rsidRPr="001D5327">
              <w:rPr>
                <w:rFonts w:eastAsia="Calibri"/>
                <w:color w:val="000000"/>
              </w:rPr>
              <w:t>40,613.0</w:t>
            </w:r>
          </w:p>
        </w:tc>
        <w:tc>
          <w:tcPr>
            <w:tcW w:w="1293" w:type="pct"/>
            <w:shd w:val="clear" w:color="auto" w:fill="FFFFFF"/>
            <w:tcMar>
              <w:top w:w="0" w:type="dxa"/>
              <w:left w:w="85" w:type="dxa"/>
              <w:bottom w:w="0" w:type="dxa"/>
              <w:right w:w="85" w:type="dxa"/>
            </w:tcMar>
          </w:tcPr>
          <w:p w14:paraId="26A8E762" w14:textId="77777777" w:rsidR="00934E13" w:rsidRPr="001D5327" w:rsidRDefault="00934E13" w:rsidP="00341FEF">
            <w:pPr>
              <w:pStyle w:val="TableText"/>
              <w:spacing w:before="40" w:after="40"/>
              <w:jc w:val="right"/>
            </w:pPr>
            <w:r w:rsidRPr="001D5327">
              <w:rPr>
                <w:rFonts w:eastAsia="Calibri"/>
                <w:color w:val="000000"/>
              </w:rPr>
              <w:t>3,697.9</w:t>
            </w:r>
          </w:p>
        </w:tc>
        <w:tc>
          <w:tcPr>
            <w:tcW w:w="1155" w:type="pct"/>
            <w:shd w:val="clear" w:color="auto" w:fill="FFFFFF"/>
            <w:tcMar>
              <w:top w:w="0" w:type="dxa"/>
              <w:left w:w="85" w:type="dxa"/>
              <w:bottom w:w="0" w:type="dxa"/>
              <w:right w:w="85" w:type="dxa"/>
            </w:tcMar>
          </w:tcPr>
          <w:p w14:paraId="38C15F29" w14:textId="77777777" w:rsidR="00934E13" w:rsidRPr="001D5327" w:rsidRDefault="00934E13" w:rsidP="00341FEF">
            <w:pPr>
              <w:pStyle w:val="TableText"/>
              <w:spacing w:before="40" w:after="40"/>
              <w:jc w:val="right"/>
            </w:pPr>
            <w:r w:rsidRPr="001D5327">
              <w:rPr>
                <w:rFonts w:eastAsia="Calibri"/>
                <w:color w:val="000000"/>
              </w:rPr>
              <w:t>10.0</w:t>
            </w:r>
          </w:p>
        </w:tc>
      </w:tr>
      <w:tr w:rsidR="00934E13" w:rsidRPr="001D5327" w14:paraId="4AC6EB29" w14:textId="77777777" w:rsidTr="00341FEF">
        <w:tc>
          <w:tcPr>
            <w:tcW w:w="850" w:type="pct"/>
            <w:shd w:val="clear" w:color="auto" w:fill="FFFFFF"/>
            <w:tcMar>
              <w:top w:w="0" w:type="dxa"/>
              <w:left w:w="85" w:type="dxa"/>
              <w:bottom w:w="0" w:type="dxa"/>
              <w:right w:w="85" w:type="dxa"/>
            </w:tcMar>
          </w:tcPr>
          <w:p w14:paraId="77E1EDA5" w14:textId="77777777" w:rsidR="00934E13" w:rsidRPr="001D5327" w:rsidRDefault="00934E13" w:rsidP="00341FEF">
            <w:pPr>
              <w:pStyle w:val="TableText"/>
              <w:spacing w:before="40" w:after="40"/>
            </w:pPr>
            <w:r w:rsidRPr="001D5327">
              <w:rPr>
                <w:rFonts w:eastAsia="Calibri"/>
                <w:color w:val="000000"/>
              </w:rPr>
              <w:t>Waste</w:t>
            </w:r>
          </w:p>
        </w:tc>
        <w:tc>
          <w:tcPr>
            <w:tcW w:w="851" w:type="pct"/>
            <w:shd w:val="clear" w:color="auto" w:fill="FFFFFF"/>
            <w:tcMar>
              <w:top w:w="0" w:type="dxa"/>
              <w:left w:w="85" w:type="dxa"/>
              <w:bottom w:w="0" w:type="dxa"/>
              <w:right w:w="85" w:type="dxa"/>
            </w:tcMar>
          </w:tcPr>
          <w:p w14:paraId="3166D04C" w14:textId="77777777" w:rsidR="00934E13" w:rsidRPr="001D5327" w:rsidRDefault="00934E13" w:rsidP="00341FEF">
            <w:pPr>
              <w:pStyle w:val="TableText"/>
              <w:spacing w:before="40" w:after="40"/>
              <w:jc w:val="right"/>
            </w:pPr>
            <w:r w:rsidRPr="001D5327">
              <w:rPr>
                <w:rFonts w:eastAsia="Calibri"/>
                <w:color w:val="000000"/>
              </w:rPr>
              <w:t>3,277.6</w:t>
            </w:r>
          </w:p>
        </w:tc>
        <w:tc>
          <w:tcPr>
            <w:tcW w:w="851" w:type="pct"/>
            <w:shd w:val="clear" w:color="auto" w:fill="FFFFFF"/>
            <w:tcMar>
              <w:top w:w="0" w:type="dxa"/>
              <w:left w:w="85" w:type="dxa"/>
              <w:bottom w:w="0" w:type="dxa"/>
              <w:right w:w="85" w:type="dxa"/>
            </w:tcMar>
          </w:tcPr>
          <w:p w14:paraId="5051C91A" w14:textId="77777777" w:rsidR="00934E13" w:rsidRPr="001D5327" w:rsidRDefault="00934E13" w:rsidP="00341FEF">
            <w:pPr>
              <w:pStyle w:val="TableText"/>
              <w:spacing w:before="40" w:after="40"/>
              <w:jc w:val="right"/>
            </w:pPr>
            <w:r w:rsidRPr="001D5327">
              <w:rPr>
                <w:rFonts w:eastAsia="Calibri"/>
                <w:color w:val="000000"/>
              </w:rPr>
              <w:t>2,916.6</w:t>
            </w:r>
          </w:p>
        </w:tc>
        <w:tc>
          <w:tcPr>
            <w:tcW w:w="1293" w:type="pct"/>
            <w:shd w:val="clear" w:color="auto" w:fill="FFFFFF"/>
            <w:tcMar>
              <w:top w:w="0" w:type="dxa"/>
              <w:left w:w="85" w:type="dxa"/>
              <w:bottom w:w="0" w:type="dxa"/>
              <w:right w:w="85" w:type="dxa"/>
            </w:tcMar>
          </w:tcPr>
          <w:p w14:paraId="6C9CCDF3" w14:textId="32525FD3" w:rsidR="00934E13" w:rsidRPr="001D5327" w:rsidRDefault="003C45F8" w:rsidP="00341FEF">
            <w:pPr>
              <w:pStyle w:val="TableText"/>
              <w:spacing w:before="40" w:after="40"/>
              <w:jc w:val="right"/>
            </w:pPr>
            <w:r>
              <w:rPr>
                <w:rFonts w:eastAsia="Calibri"/>
                <w:color w:val="000000"/>
              </w:rPr>
              <w:t>-</w:t>
            </w:r>
            <w:r w:rsidR="00934E13" w:rsidRPr="001D5327">
              <w:rPr>
                <w:rFonts w:eastAsia="Calibri"/>
                <w:color w:val="000000"/>
              </w:rPr>
              <w:t>361.0</w:t>
            </w:r>
          </w:p>
        </w:tc>
        <w:tc>
          <w:tcPr>
            <w:tcW w:w="1155" w:type="pct"/>
            <w:shd w:val="clear" w:color="auto" w:fill="FFFFFF"/>
            <w:tcMar>
              <w:top w:w="0" w:type="dxa"/>
              <w:left w:w="85" w:type="dxa"/>
              <w:bottom w:w="0" w:type="dxa"/>
              <w:right w:w="85" w:type="dxa"/>
            </w:tcMar>
          </w:tcPr>
          <w:p w14:paraId="5695C582" w14:textId="437A5566" w:rsidR="00934E13" w:rsidRPr="001D5327" w:rsidRDefault="003C45F8" w:rsidP="00341FEF">
            <w:pPr>
              <w:pStyle w:val="TableText"/>
              <w:spacing w:before="40" w:after="40"/>
              <w:jc w:val="right"/>
            </w:pPr>
            <w:r>
              <w:rPr>
                <w:rFonts w:eastAsia="Calibri"/>
                <w:color w:val="000000"/>
              </w:rPr>
              <w:t>-</w:t>
            </w:r>
            <w:r w:rsidR="00934E13" w:rsidRPr="001D5327">
              <w:rPr>
                <w:rFonts w:eastAsia="Calibri"/>
                <w:color w:val="000000"/>
              </w:rPr>
              <w:t>11.0</w:t>
            </w:r>
          </w:p>
        </w:tc>
      </w:tr>
      <w:tr w:rsidR="00934E13" w:rsidRPr="001D5327" w14:paraId="58883A47" w14:textId="77777777" w:rsidTr="00341FEF">
        <w:tc>
          <w:tcPr>
            <w:tcW w:w="850" w:type="pct"/>
            <w:shd w:val="clear" w:color="auto" w:fill="FFFFFF"/>
            <w:tcMar>
              <w:top w:w="0" w:type="dxa"/>
              <w:left w:w="85" w:type="dxa"/>
              <w:bottom w:w="0" w:type="dxa"/>
              <w:right w:w="85" w:type="dxa"/>
            </w:tcMar>
          </w:tcPr>
          <w:p w14:paraId="4C38630E" w14:textId="77777777" w:rsidR="00934E13" w:rsidRPr="001D5327" w:rsidRDefault="00934E13" w:rsidP="00341FEF">
            <w:pPr>
              <w:pStyle w:val="TableText"/>
              <w:spacing w:before="40" w:after="40"/>
            </w:pPr>
            <w:r w:rsidRPr="001D5327">
              <w:rPr>
                <w:rFonts w:eastAsia="Calibri"/>
                <w:color w:val="000000"/>
              </w:rPr>
              <w:t>Tokelau</w:t>
            </w:r>
          </w:p>
        </w:tc>
        <w:tc>
          <w:tcPr>
            <w:tcW w:w="851" w:type="pct"/>
            <w:shd w:val="clear" w:color="auto" w:fill="FFFFFF"/>
            <w:tcMar>
              <w:top w:w="0" w:type="dxa"/>
              <w:left w:w="85" w:type="dxa"/>
              <w:bottom w:w="0" w:type="dxa"/>
              <w:right w:w="85" w:type="dxa"/>
            </w:tcMar>
          </w:tcPr>
          <w:p w14:paraId="2A3CDDCA" w14:textId="77777777" w:rsidR="00934E13" w:rsidRPr="001D5327" w:rsidRDefault="00934E13" w:rsidP="00341FEF">
            <w:pPr>
              <w:pStyle w:val="TableText"/>
              <w:spacing w:before="40" w:after="40"/>
              <w:jc w:val="right"/>
            </w:pPr>
            <w:r w:rsidRPr="001D5327">
              <w:rPr>
                <w:rFonts w:eastAsia="Calibri"/>
                <w:color w:val="000000"/>
              </w:rPr>
              <w:t>3.4</w:t>
            </w:r>
          </w:p>
        </w:tc>
        <w:tc>
          <w:tcPr>
            <w:tcW w:w="851" w:type="pct"/>
            <w:shd w:val="clear" w:color="auto" w:fill="FFFFFF"/>
            <w:tcMar>
              <w:top w:w="0" w:type="dxa"/>
              <w:left w:w="85" w:type="dxa"/>
              <w:bottom w:w="0" w:type="dxa"/>
              <w:right w:w="85" w:type="dxa"/>
            </w:tcMar>
          </w:tcPr>
          <w:p w14:paraId="7C154FB8" w14:textId="77777777" w:rsidR="00934E13" w:rsidRPr="001D5327" w:rsidRDefault="00934E13" w:rsidP="00341FEF">
            <w:pPr>
              <w:pStyle w:val="TableText"/>
              <w:spacing w:before="40" w:after="40"/>
              <w:jc w:val="right"/>
            </w:pPr>
            <w:r w:rsidRPr="001D5327">
              <w:rPr>
                <w:rFonts w:eastAsia="Calibri"/>
                <w:color w:val="000000"/>
              </w:rPr>
              <w:t>4.2</w:t>
            </w:r>
          </w:p>
        </w:tc>
        <w:tc>
          <w:tcPr>
            <w:tcW w:w="1293" w:type="pct"/>
            <w:shd w:val="clear" w:color="auto" w:fill="FFFFFF"/>
            <w:tcMar>
              <w:top w:w="0" w:type="dxa"/>
              <w:left w:w="85" w:type="dxa"/>
              <w:bottom w:w="0" w:type="dxa"/>
              <w:right w:w="85" w:type="dxa"/>
            </w:tcMar>
          </w:tcPr>
          <w:p w14:paraId="58A02EAB" w14:textId="77777777" w:rsidR="00934E13" w:rsidRPr="001D5327" w:rsidRDefault="00934E13" w:rsidP="00341FEF">
            <w:pPr>
              <w:pStyle w:val="TableText"/>
              <w:spacing w:before="40" w:after="40"/>
              <w:jc w:val="right"/>
            </w:pPr>
            <w:r w:rsidRPr="001D5327">
              <w:rPr>
                <w:rFonts w:eastAsia="Calibri"/>
                <w:color w:val="000000"/>
              </w:rPr>
              <w:t>0.8</w:t>
            </w:r>
          </w:p>
        </w:tc>
        <w:tc>
          <w:tcPr>
            <w:tcW w:w="1155" w:type="pct"/>
            <w:shd w:val="clear" w:color="auto" w:fill="FFFFFF"/>
            <w:tcMar>
              <w:top w:w="0" w:type="dxa"/>
              <w:left w:w="85" w:type="dxa"/>
              <w:bottom w:w="0" w:type="dxa"/>
              <w:right w:w="85" w:type="dxa"/>
            </w:tcMar>
          </w:tcPr>
          <w:p w14:paraId="142B3475" w14:textId="77777777" w:rsidR="00934E13" w:rsidRPr="001D5327" w:rsidRDefault="00934E13" w:rsidP="00341FEF">
            <w:pPr>
              <w:pStyle w:val="TableText"/>
              <w:spacing w:before="40" w:after="40"/>
              <w:jc w:val="right"/>
            </w:pPr>
            <w:r w:rsidRPr="001D5327">
              <w:rPr>
                <w:rFonts w:eastAsia="Calibri"/>
                <w:color w:val="000000"/>
              </w:rPr>
              <w:t>24.7</w:t>
            </w:r>
          </w:p>
        </w:tc>
      </w:tr>
      <w:tr w:rsidR="00934E13" w:rsidRPr="001D5327" w14:paraId="4DF48DF9" w14:textId="77777777" w:rsidTr="00341FEF">
        <w:tc>
          <w:tcPr>
            <w:tcW w:w="850" w:type="pct"/>
            <w:shd w:val="clear" w:color="auto" w:fill="FFFFFF"/>
            <w:tcMar>
              <w:top w:w="0" w:type="dxa"/>
              <w:left w:w="85" w:type="dxa"/>
              <w:bottom w:w="0" w:type="dxa"/>
              <w:right w:w="85" w:type="dxa"/>
            </w:tcMar>
          </w:tcPr>
          <w:p w14:paraId="7D30A475" w14:textId="77777777" w:rsidR="00934E13" w:rsidRPr="001D5327" w:rsidRDefault="00934E13" w:rsidP="00341FEF">
            <w:pPr>
              <w:pStyle w:val="Tableboldblue"/>
              <w:spacing w:before="40" w:after="40"/>
            </w:pPr>
            <w:r w:rsidRPr="001D5327">
              <w:rPr>
                <w:rFonts w:eastAsia="Calibri"/>
              </w:rPr>
              <w:t>Gross</w:t>
            </w:r>
          </w:p>
        </w:tc>
        <w:tc>
          <w:tcPr>
            <w:tcW w:w="851" w:type="pct"/>
            <w:shd w:val="clear" w:color="auto" w:fill="FFFFFF"/>
            <w:tcMar>
              <w:top w:w="0" w:type="dxa"/>
              <w:left w:w="85" w:type="dxa"/>
              <w:bottom w:w="0" w:type="dxa"/>
              <w:right w:w="85" w:type="dxa"/>
            </w:tcMar>
          </w:tcPr>
          <w:p w14:paraId="4E222792" w14:textId="77777777" w:rsidR="00934E13" w:rsidRPr="001D5327" w:rsidRDefault="00934E13" w:rsidP="00341FEF">
            <w:pPr>
              <w:pStyle w:val="Tableboldblue"/>
              <w:spacing w:before="40" w:after="40"/>
              <w:jc w:val="right"/>
            </w:pPr>
            <w:r w:rsidRPr="001D5327">
              <w:rPr>
                <w:rFonts w:eastAsia="Calibri"/>
              </w:rPr>
              <w:t>67,678.9</w:t>
            </w:r>
          </w:p>
        </w:tc>
        <w:tc>
          <w:tcPr>
            <w:tcW w:w="851" w:type="pct"/>
            <w:shd w:val="clear" w:color="auto" w:fill="FFFFFF"/>
            <w:tcMar>
              <w:top w:w="0" w:type="dxa"/>
              <w:left w:w="85" w:type="dxa"/>
              <w:bottom w:w="0" w:type="dxa"/>
              <w:right w:w="85" w:type="dxa"/>
            </w:tcMar>
          </w:tcPr>
          <w:p w14:paraId="0F54EAAD" w14:textId="77777777" w:rsidR="00934E13" w:rsidRPr="001D5327" w:rsidRDefault="00934E13" w:rsidP="00341FEF">
            <w:pPr>
              <w:pStyle w:val="Tableboldblue"/>
              <w:spacing w:before="40" w:after="40"/>
              <w:jc w:val="right"/>
            </w:pPr>
            <w:r w:rsidRPr="001D5327">
              <w:rPr>
                <w:rFonts w:eastAsia="Calibri"/>
              </w:rPr>
              <w:t>76,416.3</w:t>
            </w:r>
          </w:p>
        </w:tc>
        <w:tc>
          <w:tcPr>
            <w:tcW w:w="1293" w:type="pct"/>
            <w:shd w:val="clear" w:color="auto" w:fill="FFFFFF"/>
            <w:tcMar>
              <w:top w:w="0" w:type="dxa"/>
              <w:left w:w="85" w:type="dxa"/>
              <w:bottom w:w="0" w:type="dxa"/>
              <w:right w:w="85" w:type="dxa"/>
            </w:tcMar>
          </w:tcPr>
          <w:p w14:paraId="47BBB222" w14:textId="77777777" w:rsidR="00934E13" w:rsidRPr="001D5327" w:rsidRDefault="00934E13" w:rsidP="00341FEF">
            <w:pPr>
              <w:pStyle w:val="Tableboldblue"/>
              <w:spacing w:before="40" w:after="40"/>
              <w:jc w:val="right"/>
            </w:pPr>
            <w:r w:rsidRPr="001D5327">
              <w:rPr>
                <w:rFonts w:eastAsia="Calibri"/>
              </w:rPr>
              <w:t>8,737.4</w:t>
            </w:r>
          </w:p>
        </w:tc>
        <w:tc>
          <w:tcPr>
            <w:tcW w:w="1155" w:type="pct"/>
            <w:shd w:val="clear" w:color="auto" w:fill="FFFFFF"/>
            <w:tcMar>
              <w:top w:w="0" w:type="dxa"/>
              <w:left w:w="85" w:type="dxa"/>
              <w:bottom w:w="0" w:type="dxa"/>
              <w:right w:w="85" w:type="dxa"/>
            </w:tcMar>
          </w:tcPr>
          <w:p w14:paraId="06ADA08A" w14:textId="77777777" w:rsidR="00934E13" w:rsidRPr="001D5327" w:rsidRDefault="00934E13" w:rsidP="00341FEF">
            <w:pPr>
              <w:pStyle w:val="Tableboldblue"/>
              <w:spacing w:before="40" w:after="40"/>
              <w:jc w:val="right"/>
            </w:pPr>
            <w:r w:rsidRPr="001D5327">
              <w:rPr>
                <w:rFonts w:eastAsia="Calibri"/>
              </w:rPr>
              <w:t>12.9</w:t>
            </w:r>
          </w:p>
        </w:tc>
      </w:tr>
      <w:tr w:rsidR="00934E13" w:rsidRPr="001D5327" w14:paraId="6C6E49F7" w14:textId="77777777" w:rsidTr="00341FEF">
        <w:tc>
          <w:tcPr>
            <w:tcW w:w="850" w:type="pct"/>
            <w:shd w:val="clear" w:color="auto" w:fill="FFFFFF"/>
            <w:tcMar>
              <w:top w:w="0" w:type="dxa"/>
              <w:left w:w="85" w:type="dxa"/>
              <w:bottom w:w="0" w:type="dxa"/>
              <w:right w:w="85" w:type="dxa"/>
            </w:tcMar>
          </w:tcPr>
          <w:p w14:paraId="39F75A01" w14:textId="77777777" w:rsidR="00934E13" w:rsidRPr="001D5327" w:rsidRDefault="00934E13" w:rsidP="00341FEF">
            <w:pPr>
              <w:pStyle w:val="TableText"/>
              <w:spacing w:before="40" w:after="40"/>
            </w:pPr>
            <w:r w:rsidRPr="001D5327">
              <w:rPr>
                <w:rFonts w:eastAsia="Calibri"/>
                <w:color w:val="000000"/>
              </w:rPr>
              <w:t>LULUCF</w:t>
            </w:r>
          </w:p>
        </w:tc>
        <w:tc>
          <w:tcPr>
            <w:tcW w:w="851" w:type="pct"/>
            <w:shd w:val="clear" w:color="auto" w:fill="FFFFFF"/>
            <w:tcMar>
              <w:top w:w="0" w:type="dxa"/>
              <w:left w:w="85" w:type="dxa"/>
              <w:bottom w:w="0" w:type="dxa"/>
              <w:right w:w="85" w:type="dxa"/>
            </w:tcMar>
          </w:tcPr>
          <w:p w14:paraId="6144BC51" w14:textId="5A0D252B" w:rsidR="00934E13" w:rsidRPr="001D5327" w:rsidRDefault="003C45F8" w:rsidP="00341FEF">
            <w:pPr>
              <w:pStyle w:val="TableText"/>
              <w:spacing w:before="40" w:after="40"/>
              <w:jc w:val="right"/>
            </w:pPr>
            <w:r>
              <w:rPr>
                <w:rFonts w:eastAsia="Calibri"/>
                <w:color w:val="000000"/>
              </w:rPr>
              <w:t>-</w:t>
            </w:r>
            <w:r w:rsidR="00934E13" w:rsidRPr="001D5327">
              <w:rPr>
                <w:rFonts w:eastAsia="Calibri"/>
                <w:color w:val="000000"/>
              </w:rPr>
              <w:t>24,334.1</w:t>
            </w:r>
          </w:p>
        </w:tc>
        <w:tc>
          <w:tcPr>
            <w:tcW w:w="851" w:type="pct"/>
            <w:shd w:val="clear" w:color="auto" w:fill="FFFFFF"/>
            <w:tcMar>
              <w:top w:w="0" w:type="dxa"/>
              <w:left w:w="85" w:type="dxa"/>
              <w:bottom w:w="0" w:type="dxa"/>
              <w:right w:w="85" w:type="dxa"/>
            </w:tcMar>
          </w:tcPr>
          <w:p w14:paraId="24F9551B" w14:textId="56805784" w:rsidR="00934E13" w:rsidRPr="001D5327" w:rsidRDefault="003C45F8" w:rsidP="00341FEF">
            <w:pPr>
              <w:pStyle w:val="TableText"/>
              <w:spacing w:before="40" w:after="40"/>
              <w:jc w:val="right"/>
            </w:pPr>
            <w:r>
              <w:rPr>
                <w:rFonts w:eastAsia="Calibri"/>
                <w:color w:val="000000"/>
              </w:rPr>
              <w:t>-</w:t>
            </w:r>
            <w:r w:rsidR="00934E13" w:rsidRPr="001D5327">
              <w:rPr>
                <w:rFonts w:eastAsia="Calibri"/>
                <w:color w:val="000000"/>
              </w:rPr>
              <w:t>20,197.1</w:t>
            </w:r>
          </w:p>
        </w:tc>
        <w:tc>
          <w:tcPr>
            <w:tcW w:w="1293" w:type="pct"/>
            <w:shd w:val="clear" w:color="auto" w:fill="FFFFFF"/>
            <w:tcMar>
              <w:top w:w="0" w:type="dxa"/>
              <w:left w:w="85" w:type="dxa"/>
              <w:bottom w:w="0" w:type="dxa"/>
              <w:right w:w="85" w:type="dxa"/>
            </w:tcMar>
          </w:tcPr>
          <w:p w14:paraId="0C42B2F2" w14:textId="77777777" w:rsidR="00934E13" w:rsidRPr="001D5327" w:rsidRDefault="00934E13" w:rsidP="00341FEF">
            <w:pPr>
              <w:pStyle w:val="TableText"/>
              <w:spacing w:before="40" w:after="40"/>
              <w:jc w:val="right"/>
            </w:pPr>
            <w:r w:rsidRPr="001D5327">
              <w:rPr>
                <w:rFonts w:eastAsia="Calibri"/>
                <w:color w:val="000000"/>
              </w:rPr>
              <w:t>4,136.9</w:t>
            </w:r>
          </w:p>
        </w:tc>
        <w:tc>
          <w:tcPr>
            <w:tcW w:w="1155" w:type="pct"/>
            <w:shd w:val="clear" w:color="auto" w:fill="FFFFFF"/>
            <w:tcMar>
              <w:top w:w="0" w:type="dxa"/>
              <w:left w:w="85" w:type="dxa"/>
              <w:bottom w:w="0" w:type="dxa"/>
              <w:right w:w="85" w:type="dxa"/>
            </w:tcMar>
          </w:tcPr>
          <w:p w14:paraId="75D7A1FC" w14:textId="77777777" w:rsidR="00934E13" w:rsidRPr="001D5327" w:rsidRDefault="00934E13" w:rsidP="00341FEF">
            <w:pPr>
              <w:pStyle w:val="TableText"/>
              <w:spacing w:before="40" w:after="40"/>
              <w:jc w:val="right"/>
            </w:pPr>
            <w:r w:rsidRPr="001D5327">
              <w:rPr>
                <w:rFonts w:eastAsia="Calibri"/>
                <w:color w:val="000000"/>
              </w:rPr>
              <w:t>17.0</w:t>
            </w:r>
          </w:p>
        </w:tc>
      </w:tr>
      <w:tr w:rsidR="00934E13" w:rsidRPr="001D5327" w14:paraId="35590B2D" w14:textId="77777777" w:rsidTr="00341FEF">
        <w:tc>
          <w:tcPr>
            <w:tcW w:w="850" w:type="pct"/>
            <w:shd w:val="clear" w:color="auto" w:fill="FFFFFF"/>
            <w:tcMar>
              <w:top w:w="0" w:type="dxa"/>
              <w:left w:w="85" w:type="dxa"/>
              <w:bottom w:w="0" w:type="dxa"/>
              <w:right w:w="85" w:type="dxa"/>
            </w:tcMar>
          </w:tcPr>
          <w:p w14:paraId="5E1867AA" w14:textId="77777777" w:rsidR="00934E13" w:rsidRPr="001D5327" w:rsidRDefault="00934E13" w:rsidP="00341FEF">
            <w:pPr>
              <w:pStyle w:val="Tableboldblue"/>
              <w:spacing w:before="40" w:after="40"/>
            </w:pPr>
            <w:r w:rsidRPr="001D5327">
              <w:rPr>
                <w:rFonts w:eastAsia="Calibri"/>
              </w:rPr>
              <w:t>Net</w:t>
            </w:r>
          </w:p>
        </w:tc>
        <w:tc>
          <w:tcPr>
            <w:tcW w:w="851" w:type="pct"/>
            <w:shd w:val="clear" w:color="auto" w:fill="FFFFFF"/>
            <w:tcMar>
              <w:top w:w="0" w:type="dxa"/>
              <w:left w:w="85" w:type="dxa"/>
              <w:bottom w:w="0" w:type="dxa"/>
              <w:right w:w="85" w:type="dxa"/>
            </w:tcMar>
          </w:tcPr>
          <w:p w14:paraId="694DC3FD" w14:textId="77777777" w:rsidR="00934E13" w:rsidRPr="001D5327" w:rsidRDefault="00934E13" w:rsidP="00341FEF">
            <w:pPr>
              <w:pStyle w:val="Tableboldblue"/>
              <w:spacing w:before="40" w:after="40"/>
              <w:jc w:val="right"/>
            </w:pPr>
            <w:r w:rsidRPr="001D5327">
              <w:rPr>
                <w:rFonts w:eastAsia="Calibri"/>
              </w:rPr>
              <w:t>43,344.8</w:t>
            </w:r>
          </w:p>
        </w:tc>
        <w:tc>
          <w:tcPr>
            <w:tcW w:w="851" w:type="pct"/>
            <w:shd w:val="clear" w:color="auto" w:fill="FFFFFF"/>
            <w:tcMar>
              <w:top w:w="0" w:type="dxa"/>
              <w:left w:w="85" w:type="dxa"/>
              <w:bottom w:w="0" w:type="dxa"/>
              <w:right w:w="85" w:type="dxa"/>
            </w:tcMar>
          </w:tcPr>
          <w:p w14:paraId="6764BBF1" w14:textId="77777777" w:rsidR="00934E13" w:rsidRPr="001D5327" w:rsidRDefault="00934E13" w:rsidP="00341FEF">
            <w:pPr>
              <w:pStyle w:val="Tableboldblue"/>
              <w:spacing w:before="40" w:after="40"/>
              <w:jc w:val="right"/>
            </w:pPr>
            <w:r w:rsidRPr="001D5327">
              <w:rPr>
                <w:rFonts w:eastAsia="Calibri"/>
              </w:rPr>
              <w:t>56,219.2</w:t>
            </w:r>
          </w:p>
        </w:tc>
        <w:tc>
          <w:tcPr>
            <w:tcW w:w="1293" w:type="pct"/>
            <w:shd w:val="clear" w:color="auto" w:fill="FFFFFF"/>
            <w:tcMar>
              <w:top w:w="0" w:type="dxa"/>
              <w:left w:w="85" w:type="dxa"/>
              <w:bottom w:w="0" w:type="dxa"/>
              <w:right w:w="85" w:type="dxa"/>
            </w:tcMar>
          </w:tcPr>
          <w:p w14:paraId="1E8AF022" w14:textId="77777777" w:rsidR="00934E13" w:rsidRPr="001D5327" w:rsidRDefault="00934E13" w:rsidP="00341FEF">
            <w:pPr>
              <w:pStyle w:val="Tableboldblue"/>
              <w:spacing w:before="40" w:after="40"/>
              <w:jc w:val="right"/>
            </w:pPr>
            <w:r w:rsidRPr="001D5327">
              <w:rPr>
                <w:rFonts w:eastAsia="Calibri"/>
              </w:rPr>
              <w:t>12,874.3</w:t>
            </w:r>
          </w:p>
        </w:tc>
        <w:tc>
          <w:tcPr>
            <w:tcW w:w="1155" w:type="pct"/>
            <w:shd w:val="clear" w:color="auto" w:fill="FFFFFF"/>
            <w:tcMar>
              <w:top w:w="0" w:type="dxa"/>
              <w:left w:w="85" w:type="dxa"/>
              <w:bottom w:w="0" w:type="dxa"/>
              <w:right w:w="85" w:type="dxa"/>
            </w:tcMar>
          </w:tcPr>
          <w:p w14:paraId="532B0B30" w14:textId="77777777" w:rsidR="00934E13" w:rsidRPr="001D5327" w:rsidRDefault="00934E13" w:rsidP="00341FEF">
            <w:pPr>
              <w:pStyle w:val="Tableboldblue"/>
              <w:spacing w:before="40" w:after="40"/>
              <w:jc w:val="right"/>
            </w:pPr>
            <w:r w:rsidRPr="001D5327">
              <w:rPr>
                <w:rFonts w:eastAsia="Calibri"/>
              </w:rPr>
              <w:t>29.7</w:t>
            </w:r>
          </w:p>
        </w:tc>
      </w:tr>
    </w:tbl>
    <w:p w14:paraId="340E95EA" w14:textId="77777777" w:rsidR="00934E13" w:rsidRPr="001D5327" w:rsidRDefault="00934E13" w:rsidP="00934E13">
      <w:pPr>
        <w:pStyle w:val="Noteundertable"/>
      </w:pPr>
      <w:r w:rsidRPr="001D5327">
        <w:rPr>
          <w:b/>
          <w:bCs/>
        </w:rPr>
        <w:t>Note:</w:t>
      </w:r>
      <w:r w:rsidRPr="001D5327">
        <w:tab/>
        <w:t>Columns may not sum due to rounding. Percentages presented are calculated from unrounded values.</w:t>
      </w:r>
    </w:p>
    <w:p w14:paraId="2E9A004F" w14:textId="77777777" w:rsidR="00934E13" w:rsidRPr="001D5327" w:rsidRDefault="00934E13" w:rsidP="00934E13">
      <w:pPr>
        <w:pStyle w:val="BodyText"/>
      </w:pPr>
      <w:r w:rsidRPr="001D5327">
        <w:t>Figure 2.2.4 presents the emissions estimates by sector and the change between 1990 and 2023 in kt CO</w:t>
      </w:r>
      <w:r w:rsidRPr="001D5327">
        <w:rPr>
          <w:vertAlign w:val="subscript"/>
        </w:rPr>
        <w:t>2</w:t>
      </w:r>
      <w:r w:rsidRPr="001D5327">
        <w:t>-e.</w:t>
      </w:r>
    </w:p>
    <w:p w14:paraId="650AA96B" w14:textId="77777777" w:rsidR="00934E13" w:rsidRPr="001D5327" w:rsidRDefault="00934E13" w:rsidP="00934E13">
      <w:pPr>
        <w:pStyle w:val="Figure"/>
      </w:pPr>
      <w:bookmarkStart w:id="127" w:name="_Toc194674826"/>
      <w:r w:rsidRPr="001D5327">
        <w:t>Figure 2.2.4</w:t>
      </w:r>
      <w:r w:rsidRPr="001D5327">
        <w:tab/>
        <w:t xml:space="preserve">Change in New Zealand’s emissions by sector comparing </w:t>
      </w:r>
      <w:r w:rsidRPr="001D5327">
        <w:rPr>
          <w:bCs/>
        </w:rPr>
        <w:t>1990</w:t>
      </w:r>
      <w:r w:rsidRPr="001D5327">
        <w:t xml:space="preserve"> and </w:t>
      </w:r>
      <w:r w:rsidRPr="001D5327">
        <w:rPr>
          <w:bCs/>
        </w:rPr>
        <w:t>2023</w:t>
      </w:r>
      <w:bookmarkEnd w:id="127"/>
    </w:p>
    <w:p w14:paraId="65125C17" w14:textId="77777777" w:rsidR="00934E13" w:rsidRPr="001D5327" w:rsidRDefault="00934E13" w:rsidP="00934E13">
      <w:pPr>
        <w:pStyle w:val="BodyText"/>
      </w:pPr>
      <w:r w:rsidRPr="001D5327">
        <w:rPr>
          <w:noProof/>
        </w:rPr>
        <w:drawing>
          <wp:inline distT="0" distB="0" distL="0" distR="0" wp14:anchorId="1B19347C" wp14:editId="30FF4387">
            <wp:extent cx="5372100" cy="3917950"/>
            <wp:effectExtent l="0" t="0" r="0" b="6350"/>
            <wp:docPr id="2032781076" name="Picture" descr="A graph with different colored bars&#10;&#10;AI-generated content may be incorrect."/>
            <wp:cNvGraphicFramePr/>
            <a:graphic xmlns:a="http://schemas.openxmlformats.org/drawingml/2006/main">
              <a:graphicData uri="http://schemas.openxmlformats.org/drawingml/2006/picture">
                <pic:pic xmlns:pic="http://schemas.openxmlformats.org/drawingml/2006/picture">
                  <pic:nvPicPr>
                    <pic:cNvPr id="2032781076" name="Picture" descr="A graph with different colored bars&#10;&#10;AI-generated content may be incorrect."/>
                    <pic:cNvPicPr>
                      <a:picLocks noChangeAspect="1" noChangeArrowheads="1"/>
                    </pic:cNvPicPr>
                  </pic:nvPicPr>
                  <pic:blipFill rotWithShape="1">
                    <a:blip r:embed="rId41"/>
                    <a:srcRect b="2118"/>
                    <a:stretch/>
                  </pic:blipFill>
                  <pic:spPr bwMode="auto">
                    <a:xfrm>
                      <a:off x="0" y="0"/>
                      <a:ext cx="5372100" cy="3917950"/>
                    </a:xfrm>
                    <a:prstGeom prst="rect">
                      <a:avLst/>
                    </a:prstGeom>
                    <a:noFill/>
                    <a:ln>
                      <a:noFill/>
                    </a:ln>
                    <a:extLst>
                      <a:ext uri="{53640926-AAD7-44D8-BBD7-CCE9431645EC}">
                        <a14:shadowObscured xmlns:a14="http://schemas.microsoft.com/office/drawing/2010/main"/>
                      </a:ext>
                    </a:extLst>
                  </pic:spPr>
                </pic:pic>
              </a:graphicData>
            </a:graphic>
          </wp:inline>
        </w:drawing>
      </w:r>
    </w:p>
    <w:p w14:paraId="0C63BF9E" w14:textId="77777777" w:rsidR="00934E13" w:rsidRPr="001D5327" w:rsidRDefault="00934E13" w:rsidP="00934E13">
      <w:pPr>
        <w:pStyle w:val="Noteundertable"/>
      </w:pPr>
      <w:r w:rsidRPr="001D5327">
        <w:rPr>
          <w:b/>
          <w:bCs/>
        </w:rPr>
        <w:t>Note:</w:t>
      </w:r>
      <w:r w:rsidRPr="001D5327">
        <w:tab/>
        <w:t>The Tokelau sector is not visible, due to its small total emissions value.</w:t>
      </w:r>
    </w:p>
    <w:p w14:paraId="69BABB08" w14:textId="77777777" w:rsidR="00934E13" w:rsidRPr="001D5327" w:rsidRDefault="00934E13" w:rsidP="00934E13">
      <w:pPr>
        <w:pStyle w:val="BodyText"/>
      </w:pPr>
      <w:r w:rsidRPr="001D5327">
        <w:rPr>
          <w:spacing w:val="-2"/>
        </w:rPr>
        <w:t>Figure 2.2.5 presents the absolute change in gross emissions for each sector (LULUCF is excluded</w:t>
      </w:r>
      <w:r w:rsidRPr="001D5327">
        <w:t xml:space="preserve"> from the estimate of gross emissions). The change between 1990 and 2023 estimates is provided for each sector in kt CO</w:t>
      </w:r>
      <w:r w:rsidRPr="001D5327">
        <w:rPr>
          <w:vertAlign w:val="subscript"/>
        </w:rPr>
        <w:t>2</w:t>
      </w:r>
      <w:r w:rsidRPr="001D5327">
        <w:t>-e.</w:t>
      </w:r>
    </w:p>
    <w:p w14:paraId="3BA6094F" w14:textId="77777777" w:rsidR="00934E13" w:rsidRPr="001D5327" w:rsidRDefault="00934E13" w:rsidP="00934E13">
      <w:pPr>
        <w:pStyle w:val="BodyText"/>
      </w:pPr>
      <w:r w:rsidRPr="001D5327">
        <w:t>The figure shows that the main influences on the absolute changes in New Zealand’s gross emissions were changes in the Energy and Agriculture sectors. This is to be expected because they are the largest sectors of the New Zealand economy and show higher sensitivity to changes in global economic conditions, extreme weather conditions and natural disasters.</w:t>
      </w:r>
    </w:p>
    <w:p w14:paraId="6BBFE8A6" w14:textId="77777777" w:rsidR="00934E13" w:rsidRPr="001D5327" w:rsidRDefault="00934E13" w:rsidP="00934E13">
      <w:pPr>
        <w:pStyle w:val="BodyText"/>
      </w:pPr>
      <w:r w:rsidRPr="001D5327">
        <w:lastRenderedPageBreak/>
        <w:t>For example, during droughts, the level of inflow to hydro lakes is low, resulting in lower levels of hydroelectricity production. Consequently, electricity produced from fossil fuels makes a higher contribution to the national electricity grid, resulting in increased emissions from the Energy sector.</w:t>
      </w:r>
    </w:p>
    <w:p w14:paraId="3C4D170D" w14:textId="77777777" w:rsidR="00934E13" w:rsidRPr="001D5327" w:rsidRDefault="00934E13" w:rsidP="00934E13">
      <w:pPr>
        <w:pStyle w:val="BodyText"/>
      </w:pPr>
      <w:r w:rsidRPr="001D5327">
        <w:t>Droughts also affect the size of the livestock population and livestock productivity, which usually results in reduced emissions from the Agriculture sector as the population and productivity decline.</w:t>
      </w:r>
    </w:p>
    <w:p w14:paraId="747A132E" w14:textId="77777777" w:rsidR="00934E13" w:rsidRPr="001D5327" w:rsidRDefault="00934E13" w:rsidP="00934E13">
      <w:pPr>
        <w:pStyle w:val="BodyText"/>
      </w:pPr>
      <w:r w:rsidRPr="001D5327">
        <w:t>Emissions from Tokelau have increased since 1990, mainly due to increases in CO</w:t>
      </w:r>
      <w:r w:rsidRPr="001D5327">
        <w:rPr>
          <w:vertAlign w:val="subscript"/>
        </w:rPr>
        <w:t>2</w:t>
      </w:r>
      <w:r w:rsidRPr="001D5327">
        <w:t xml:space="preserve"> emissions from the </w:t>
      </w:r>
      <w:r w:rsidRPr="001D5327">
        <w:rPr>
          <w:i/>
        </w:rPr>
        <w:t>Electricity generation</w:t>
      </w:r>
      <w:r w:rsidRPr="001D5327">
        <w:t xml:space="preserve"> category (figure 2.2.5).</w:t>
      </w:r>
    </w:p>
    <w:p w14:paraId="0A3EB42A" w14:textId="77777777" w:rsidR="00934E13" w:rsidRPr="001D5327" w:rsidRDefault="00934E13" w:rsidP="00934E13">
      <w:pPr>
        <w:pStyle w:val="Figure"/>
      </w:pPr>
      <w:bookmarkStart w:id="128" w:name="_Toc194674827"/>
      <w:r w:rsidRPr="001D5327">
        <w:t>Figure 2.2.5</w:t>
      </w:r>
      <w:r w:rsidRPr="001D5327">
        <w:tab/>
        <w:t xml:space="preserve">Absolute change in New Zealand’s gross emissions by sector, from </w:t>
      </w:r>
      <w:r w:rsidRPr="001D5327">
        <w:rPr>
          <w:bCs/>
        </w:rPr>
        <w:t>1990</w:t>
      </w:r>
      <w:r w:rsidRPr="001D5327">
        <w:t xml:space="preserve"> to </w:t>
      </w:r>
      <w:r w:rsidRPr="001D5327">
        <w:rPr>
          <w:bCs/>
        </w:rPr>
        <w:t>2023</w:t>
      </w:r>
      <w:bookmarkEnd w:id="128"/>
    </w:p>
    <w:p w14:paraId="22926AD4" w14:textId="77777777" w:rsidR="00934E13" w:rsidRPr="001D5327" w:rsidRDefault="00934E13" w:rsidP="00934E13">
      <w:pPr>
        <w:pStyle w:val="BodyText"/>
      </w:pPr>
      <w:r w:rsidRPr="001D5327">
        <w:rPr>
          <w:noProof/>
        </w:rPr>
        <w:drawing>
          <wp:inline distT="0" distB="0" distL="0" distR="0" wp14:anchorId="4BCE5AA6" wp14:editId="46786C85">
            <wp:extent cx="5232400" cy="3859664"/>
            <wp:effectExtent l="0" t="0" r="6350" b="7620"/>
            <wp:docPr id="46" name="Picture"/>
            <wp:cNvGraphicFramePr/>
            <a:graphic xmlns:a="http://schemas.openxmlformats.org/drawingml/2006/main">
              <a:graphicData uri="http://schemas.openxmlformats.org/drawingml/2006/picture">
                <pic:pic xmlns:pic="http://schemas.openxmlformats.org/drawingml/2006/picture">
                  <pic:nvPicPr>
                    <pic:cNvPr id="47" name="Picture" descr="code/graphs/images/fig_2_2_5_crf.png"/>
                    <pic:cNvPicPr>
                      <a:picLocks noChangeAspect="1" noChangeArrowheads="1"/>
                    </pic:cNvPicPr>
                  </pic:nvPicPr>
                  <pic:blipFill rotWithShape="1">
                    <a:blip r:embed="rId42"/>
                    <a:srcRect b="1647"/>
                    <a:stretch/>
                  </pic:blipFill>
                  <pic:spPr bwMode="auto">
                    <a:xfrm>
                      <a:off x="0" y="0"/>
                      <a:ext cx="5236734" cy="3862861"/>
                    </a:xfrm>
                    <a:prstGeom prst="rect">
                      <a:avLst/>
                    </a:prstGeom>
                    <a:noFill/>
                    <a:ln>
                      <a:noFill/>
                    </a:ln>
                    <a:extLst>
                      <a:ext uri="{53640926-AAD7-44D8-BBD7-CCE9431645EC}">
                        <a14:shadowObscured xmlns:a14="http://schemas.microsoft.com/office/drawing/2010/main"/>
                      </a:ext>
                    </a:extLst>
                  </pic:spPr>
                </pic:pic>
              </a:graphicData>
            </a:graphic>
          </wp:inline>
        </w:drawing>
      </w:r>
    </w:p>
    <w:p w14:paraId="66190A00" w14:textId="77777777" w:rsidR="00934E13" w:rsidRPr="001D5327" w:rsidRDefault="00934E13" w:rsidP="00934E13">
      <w:pPr>
        <w:pStyle w:val="Noteundertable"/>
      </w:pPr>
      <w:r w:rsidRPr="001D5327">
        <w:rPr>
          <w:b/>
          <w:bCs/>
        </w:rPr>
        <w:t>Note:</w:t>
      </w:r>
      <w:r w:rsidRPr="001D5327">
        <w:tab/>
        <w:t>Gross emissions exclude emissions from LULUCF. Because of the small size of the Tokelau sector, the change in emissions over time is not visible in the figure.</w:t>
      </w:r>
    </w:p>
    <w:p w14:paraId="69A18AAC" w14:textId="77777777" w:rsidR="00934E13" w:rsidRPr="001D5327" w:rsidRDefault="00934E13" w:rsidP="00934E13">
      <w:pPr>
        <w:pStyle w:val="BodyText"/>
      </w:pPr>
      <w:r w:rsidRPr="001D5327">
        <w:t>Net emissions from the LULUCF sector fluctuated significantly over the time series. These fluctuations (figure 2.2.6) were mainly influenced by harvesting, afforestation and deforestation rates (see the section on the LULUCF sector below).</w:t>
      </w:r>
    </w:p>
    <w:p w14:paraId="7551DF2B" w14:textId="77777777" w:rsidR="00934E13" w:rsidRPr="001D5327" w:rsidRDefault="00934E13" w:rsidP="00934E13">
      <w:pPr>
        <w:pStyle w:val="Figure"/>
      </w:pPr>
      <w:bookmarkStart w:id="129" w:name="_Toc194674828"/>
      <w:r w:rsidRPr="001D5327">
        <w:lastRenderedPageBreak/>
        <w:t>Figure 2.2.6</w:t>
      </w:r>
      <w:r w:rsidRPr="001D5327">
        <w:tab/>
        <w:t xml:space="preserve">Absolute change in net emissions from the LULUCF sector, from </w:t>
      </w:r>
      <w:r w:rsidRPr="001D5327">
        <w:rPr>
          <w:bCs/>
        </w:rPr>
        <w:t>1990</w:t>
      </w:r>
      <w:r w:rsidRPr="001D5327">
        <w:t xml:space="preserve"> to </w:t>
      </w:r>
      <w:r w:rsidRPr="001D5327">
        <w:rPr>
          <w:bCs/>
        </w:rPr>
        <w:t>2023</w:t>
      </w:r>
      <w:bookmarkEnd w:id="129"/>
    </w:p>
    <w:p w14:paraId="60EB6A08" w14:textId="77777777" w:rsidR="00934E13" w:rsidRPr="001D5327" w:rsidRDefault="00934E13" w:rsidP="00934E13">
      <w:pPr>
        <w:pStyle w:val="BodyText"/>
      </w:pPr>
      <w:r w:rsidRPr="001D5327">
        <w:rPr>
          <w:noProof/>
        </w:rPr>
        <w:drawing>
          <wp:inline distT="0" distB="0" distL="0" distR="0" wp14:anchorId="14E7F878" wp14:editId="2233D861">
            <wp:extent cx="5397500" cy="4048125"/>
            <wp:effectExtent l="0" t="0" r="0" b="0"/>
            <wp:docPr id="49" name="Picture"/>
            <wp:cNvGraphicFramePr/>
            <a:graphic xmlns:a="http://schemas.openxmlformats.org/drawingml/2006/main">
              <a:graphicData uri="http://schemas.openxmlformats.org/drawingml/2006/picture">
                <pic:pic xmlns:pic="http://schemas.openxmlformats.org/drawingml/2006/picture">
                  <pic:nvPicPr>
                    <pic:cNvPr id="50" name="Picture" descr="code/graphs/images/fig_2_2_6_crf.png"/>
                    <pic:cNvPicPr>
                      <a:picLocks noChangeAspect="1" noChangeArrowheads="1"/>
                    </pic:cNvPicPr>
                  </pic:nvPicPr>
                  <pic:blipFill>
                    <a:blip r:embed="rId43"/>
                    <a:stretch>
                      <a:fillRect/>
                    </a:stretch>
                  </pic:blipFill>
                  <pic:spPr bwMode="auto">
                    <a:xfrm>
                      <a:off x="0" y="0"/>
                      <a:ext cx="5397500" cy="4048125"/>
                    </a:xfrm>
                    <a:prstGeom prst="rect">
                      <a:avLst/>
                    </a:prstGeom>
                    <a:noFill/>
                    <a:ln w="9525">
                      <a:noFill/>
                      <a:headEnd/>
                      <a:tailEnd/>
                    </a:ln>
                  </pic:spPr>
                </pic:pic>
              </a:graphicData>
            </a:graphic>
          </wp:inline>
        </w:drawing>
      </w:r>
    </w:p>
    <w:p w14:paraId="424FA706" w14:textId="77777777" w:rsidR="00934E13" w:rsidRPr="001D5327" w:rsidRDefault="00934E13" w:rsidP="00934E13">
      <w:pPr>
        <w:pStyle w:val="Heading4"/>
      </w:pPr>
      <w:bookmarkStart w:id="130" w:name="energy-sector"/>
      <w:r w:rsidRPr="001D5327">
        <w:t>Energy sector</w:t>
      </w:r>
    </w:p>
    <w:p w14:paraId="04C75D29" w14:textId="77777777" w:rsidR="00934E13" w:rsidRPr="001D5327" w:rsidRDefault="00934E13" w:rsidP="00934E13">
      <w:pPr>
        <w:pStyle w:val="BodyText"/>
      </w:pPr>
      <w:bookmarkStart w:id="131" w:name="emission-trends-by-gas-from-1990-to-2023"/>
      <w:bookmarkEnd w:id="124"/>
      <w:bookmarkEnd w:id="130"/>
      <w:r w:rsidRPr="001D5327">
        <w:t>Emissions from the Energy sector were dominated by CO</w:t>
      </w:r>
      <w:r w:rsidRPr="001D5327">
        <w:rPr>
          <w:vertAlign w:val="subscript"/>
        </w:rPr>
        <w:t>2</w:t>
      </w:r>
      <w:r w:rsidRPr="001D5327">
        <w:t xml:space="preserve"> (97.4 per cent of all emissions from the sector on a CO</w:t>
      </w:r>
      <w:r w:rsidRPr="001D5327">
        <w:rPr>
          <w:vertAlign w:val="subscript"/>
        </w:rPr>
        <w:t>2</w:t>
      </w:r>
      <w:r w:rsidRPr="001D5327">
        <w:t>-e basis) and smaller amounts of CH</w:t>
      </w:r>
      <w:r w:rsidRPr="001D5327">
        <w:rPr>
          <w:vertAlign w:val="subscript"/>
        </w:rPr>
        <w:t>4</w:t>
      </w:r>
      <w:r w:rsidRPr="001D5327">
        <w:t xml:space="preserve"> and N</w:t>
      </w:r>
      <w:r w:rsidRPr="001D5327">
        <w:rPr>
          <w:vertAlign w:val="subscript"/>
        </w:rPr>
        <w:t>2</w:t>
      </w:r>
      <w:r w:rsidRPr="001D5327">
        <w:t xml:space="preserve">O (around 1.8 per cent and 0.7 per cent, respectively). The major source categories in the sector were </w:t>
      </w:r>
      <w:r w:rsidRPr="001D5327">
        <w:rPr>
          <w:i/>
        </w:rPr>
        <w:t>Road transportation</w:t>
      </w:r>
      <w:r w:rsidRPr="001D5327">
        <w:t xml:space="preserve"> and </w:t>
      </w:r>
      <w:r w:rsidRPr="001D5327">
        <w:rPr>
          <w:i/>
        </w:rPr>
        <w:t>Public electricity and heat production</w:t>
      </w:r>
      <w:r w:rsidRPr="001D5327">
        <w:t>.</w:t>
      </w:r>
    </w:p>
    <w:p w14:paraId="6F4DA869" w14:textId="77777777" w:rsidR="00934E13" w:rsidRPr="001D5327" w:rsidRDefault="00934E13" w:rsidP="00934E13">
      <w:pPr>
        <w:pStyle w:val="BodyText"/>
      </w:pPr>
      <w:r w:rsidRPr="001D5327">
        <w:rPr>
          <w:spacing w:val="-2"/>
        </w:rPr>
        <w:t>Emissions in the Energy sector were influenced by not only demand but also climatic conditions. Renewables, mainly hydro power and wind, meet a large proportion of New Zealand’s</w:t>
      </w:r>
      <w:r w:rsidRPr="001D5327">
        <w:t xml:space="preserve"> stationary energy needs. Electricity generated from renewable energy sources contributed 88 per cent of total generation in 2023.</w:t>
      </w:r>
    </w:p>
    <w:p w14:paraId="1142BF08" w14:textId="77777777" w:rsidR="00934E13" w:rsidRPr="001D5327" w:rsidRDefault="00934E13" w:rsidP="00934E13">
      <w:pPr>
        <w:pStyle w:val="Heading5"/>
      </w:pPr>
      <w:r w:rsidRPr="001D5327">
        <w:t>2023</w:t>
      </w:r>
    </w:p>
    <w:p w14:paraId="48A74530" w14:textId="77777777" w:rsidR="00934E13" w:rsidRPr="001D5327" w:rsidRDefault="00934E13" w:rsidP="00934E13">
      <w:pPr>
        <w:pStyle w:val="BodyText"/>
      </w:pPr>
      <w:r w:rsidRPr="001D5327">
        <w:t>In 2023, emissions from the Energy sector contributed 28,851.0 kt CO</w:t>
      </w:r>
      <w:r w:rsidRPr="001D5327">
        <w:rPr>
          <w:vertAlign w:val="subscript"/>
        </w:rPr>
        <w:t>2</w:t>
      </w:r>
      <w:r w:rsidRPr="001D5327">
        <w:t>-e, or 37.8 per cent of New Zealand’s gross GHG emissions (see figure 2.2.1).</w:t>
      </w:r>
    </w:p>
    <w:p w14:paraId="54160D84" w14:textId="1A0CFF51" w:rsidR="00934E13" w:rsidRPr="001D5327" w:rsidRDefault="00934E13" w:rsidP="00934E13">
      <w:pPr>
        <w:pStyle w:val="BodyText"/>
      </w:pPr>
      <w:r w:rsidRPr="001D5327">
        <w:t xml:space="preserve">The largest sources of emissions in the Energy sector were the </w:t>
      </w:r>
      <w:r w:rsidRPr="001D5327">
        <w:rPr>
          <w:i/>
          <w:iCs/>
        </w:rPr>
        <w:t>Road transportation</w:t>
      </w:r>
      <w:r w:rsidRPr="001D5327">
        <w:t xml:space="preserve"> category, contributing 12,599.8 kt CO</w:t>
      </w:r>
      <w:r w:rsidRPr="001D5327">
        <w:rPr>
          <w:vertAlign w:val="subscript"/>
        </w:rPr>
        <w:t>2</w:t>
      </w:r>
      <w:r w:rsidRPr="001D5327">
        <w:t xml:space="preserve">-e (43.7 per cent), and the </w:t>
      </w:r>
      <w:r w:rsidRPr="001D5327">
        <w:rPr>
          <w:i/>
          <w:iCs/>
        </w:rPr>
        <w:t>Manufacturing industries and construction</w:t>
      </w:r>
      <w:r w:rsidRPr="001D5327">
        <w:t xml:space="preserve"> category, contributing 6,126.3 kt CO</w:t>
      </w:r>
      <w:r w:rsidRPr="001D5327">
        <w:rPr>
          <w:vertAlign w:val="subscript"/>
        </w:rPr>
        <w:t>2</w:t>
      </w:r>
      <w:r w:rsidRPr="001D5327">
        <w:t xml:space="preserve">-e (21.2 per cent) to </w:t>
      </w:r>
      <w:r w:rsidR="00FB6301">
        <w:t>E</w:t>
      </w:r>
      <w:r w:rsidRPr="001D5327">
        <w:t xml:space="preserve">nergy </w:t>
      </w:r>
      <w:r w:rsidR="00FB6301">
        <w:t xml:space="preserve">sector </w:t>
      </w:r>
      <w:r w:rsidRPr="001D5327">
        <w:t>emissions.</w:t>
      </w:r>
    </w:p>
    <w:p w14:paraId="6D115AF1" w14:textId="77777777" w:rsidR="00934E13" w:rsidRPr="001D5327" w:rsidRDefault="00934E13" w:rsidP="00934E13">
      <w:pPr>
        <w:pStyle w:val="Heading5"/>
      </w:pPr>
      <w:r w:rsidRPr="001D5327">
        <w:t>1990–2023</w:t>
      </w:r>
    </w:p>
    <w:p w14:paraId="4DDAAF29" w14:textId="77777777" w:rsidR="00934E13" w:rsidRPr="001D5327" w:rsidRDefault="00934E13" w:rsidP="00934E13">
      <w:pPr>
        <w:pStyle w:val="BodyText"/>
        <w:spacing w:before="100" w:after="100"/>
      </w:pPr>
      <w:r w:rsidRPr="001D5327">
        <w:t xml:space="preserve">In </w:t>
      </w:r>
      <w:r w:rsidRPr="001D5327">
        <w:rPr>
          <w:bCs/>
        </w:rPr>
        <w:t>2023, emissions from the Energy sector increased by 20.2 per cent (4,851.2 kt CO</w:t>
      </w:r>
      <w:r w:rsidRPr="001D5327">
        <w:rPr>
          <w:bCs/>
          <w:vertAlign w:val="subscript"/>
        </w:rPr>
        <w:t>2</w:t>
      </w:r>
      <w:r w:rsidRPr="001D5327">
        <w:rPr>
          <w:bCs/>
        </w:rPr>
        <w:t>-e) from the 1990 level of 23,999.7 kt CO</w:t>
      </w:r>
      <w:r w:rsidRPr="001D5327">
        <w:rPr>
          <w:bCs/>
          <w:vertAlign w:val="subscript"/>
        </w:rPr>
        <w:t>2</w:t>
      </w:r>
      <w:r w:rsidRPr="001D5327">
        <w:t xml:space="preserve">-e. This growth is primarily due to </w:t>
      </w:r>
      <w:r w:rsidRPr="001D5327">
        <w:rPr>
          <w:i/>
        </w:rPr>
        <w:t>Road transportation</w:t>
      </w:r>
      <w:r w:rsidRPr="001D5327">
        <w:t>, which increased by 5,771.3 kt CO</w:t>
      </w:r>
      <w:r w:rsidRPr="001D5327">
        <w:rPr>
          <w:vertAlign w:val="subscript"/>
        </w:rPr>
        <w:t>2</w:t>
      </w:r>
      <w:r w:rsidRPr="001D5327">
        <w:t xml:space="preserve">-e (84.5 per cent), </w:t>
      </w:r>
      <w:r w:rsidRPr="001D5327">
        <w:rPr>
          <w:i/>
        </w:rPr>
        <w:t>Food processing, beverages and tobacco</w:t>
      </w:r>
      <w:r w:rsidRPr="001D5327">
        <w:t xml:space="preserve">, which </w:t>
      </w:r>
      <w:r w:rsidRPr="001D5327">
        <w:rPr>
          <w:spacing w:val="-2"/>
        </w:rPr>
        <w:lastRenderedPageBreak/>
        <w:t>increased by 1,031.4 kt CO</w:t>
      </w:r>
      <w:r w:rsidRPr="001D5327">
        <w:rPr>
          <w:spacing w:val="-2"/>
          <w:vertAlign w:val="subscript"/>
        </w:rPr>
        <w:t>2</w:t>
      </w:r>
      <w:r w:rsidRPr="001D5327">
        <w:rPr>
          <w:spacing w:val="-2"/>
        </w:rPr>
        <w:t xml:space="preserve">-e (61.7 per cent), and </w:t>
      </w:r>
      <w:r w:rsidRPr="001D5327">
        <w:rPr>
          <w:i/>
          <w:spacing w:val="-2"/>
        </w:rPr>
        <w:t>Chemicals</w:t>
      </w:r>
      <w:r w:rsidRPr="001D5327">
        <w:rPr>
          <w:spacing w:val="-2"/>
        </w:rPr>
        <w:t>, which increased by 776.4 kt CO</w:t>
      </w:r>
      <w:r w:rsidRPr="001D5327">
        <w:rPr>
          <w:spacing w:val="-2"/>
          <w:vertAlign w:val="subscript"/>
        </w:rPr>
        <w:t>2</w:t>
      </w:r>
      <w:r w:rsidRPr="001D5327">
        <w:rPr>
          <w:spacing w:val="-2"/>
        </w:rPr>
        <w:t>-e</w:t>
      </w:r>
      <w:r w:rsidRPr="001D5327">
        <w:t xml:space="preserve"> (144.8 per cent). Although the underlying drivers of these increases are often nuanced,</w:t>
      </w:r>
      <w:r w:rsidRPr="001D5327" w:rsidDel="00D12D97">
        <w:t xml:space="preserve"> </w:t>
      </w:r>
      <w:r w:rsidRPr="001D5327">
        <w:t>key factors include population growth and increased economic activity.</w:t>
      </w:r>
    </w:p>
    <w:p w14:paraId="597E890A" w14:textId="77777777" w:rsidR="00934E13" w:rsidRPr="001D5327" w:rsidRDefault="00934E13" w:rsidP="00934E13">
      <w:pPr>
        <w:pStyle w:val="BodyText"/>
        <w:spacing w:before="100" w:after="100"/>
      </w:pPr>
      <w:r w:rsidRPr="001D5327">
        <w:t xml:space="preserve">The category showing the largest decrease since 1990 is </w:t>
      </w:r>
      <w:r w:rsidRPr="001D5327">
        <w:rPr>
          <w:i/>
          <w:iCs/>
        </w:rPr>
        <w:t>Manufacture of solid fuels and other energy industries</w:t>
      </w:r>
      <w:r w:rsidRPr="001D5327">
        <w:t xml:space="preserve"> – a historically significant contributor to New Zealand’s emissions. Emissions for this category in 2023 decreased from the 1990 level by 1,501.8 kt CO</w:t>
      </w:r>
      <w:r w:rsidRPr="001D5327">
        <w:rPr>
          <w:vertAlign w:val="subscript"/>
        </w:rPr>
        <w:t>2</w:t>
      </w:r>
      <w:r w:rsidRPr="001D5327">
        <w:t>-e (88.1 per cent). This decrease is primarily due to the cessation of synthetic gasoline production in 1997.</w:t>
      </w:r>
    </w:p>
    <w:p w14:paraId="665C39F8" w14:textId="6444B94D" w:rsidR="00934E13" w:rsidRPr="001D5327" w:rsidRDefault="00934E13" w:rsidP="00934E13">
      <w:pPr>
        <w:pStyle w:val="BodyText"/>
        <w:spacing w:before="100" w:after="100"/>
      </w:pPr>
      <w:r w:rsidRPr="001D5327">
        <w:t>Figure 2.2.7 shows the time series of Energy sector emissions from 1990 to 2023. Emissions increased from 1990 through to around 2006, before decreasing slightly and then remaining steady until 2019. Since 2019, emissions have generally tracked downwards due to both the impact of the COVID-19 pandemic and the high levels of hydro power generation in 2022</w:t>
      </w:r>
      <w:r w:rsidR="00E241A5" w:rsidRPr="001D5327">
        <w:t> </w:t>
      </w:r>
      <w:r w:rsidRPr="001D5327">
        <w:t>and 2023.</w:t>
      </w:r>
    </w:p>
    <w:p w14:paraId="7B28CA2A" w14:textId="77777777" w:rsidR="00934E13" w:rsidRPr="001D5327" w:rsidRDefault="00934E13" w:rsidP="00934E13">
      <w:pPr>
        <w:pStyle w:val="BodyText"/>
        <w:spacing w:before="100" w:after="100"/>
      </w:pPr>
      <w:r w:rsidRPr="001D5327">
        <w:t>Restrictions on activity and movement as part of the response to the COVID-19 pandemic during the 2020 calendar year saw significant disruption to economic activity throughout New Zealand. The effects on the Energy sector are particularly notable, with national energy consumption falling 7.2 per cent compared with 2019 levels. The sector saw a slight rebound during 2021, but energy consumption has remained well below pre-2020 levels in the following years.</w:t>
      </w:r>
    </w:p>
    <w:p w14:paraId="66E09CC0" w14:textId="77777777" w:rsidR="00934E13" w:rsidRPr="001D5327" w:rsidRDefault="00934E13" w:rsidP="00934E13">
      <w:pPr>
        <w:pStyle w:val="Figure"/>
      </w:pPr>
      <w:bookmarkStart w:id="132" w:name="_Toc194674829"/>
      <w:r w:rsidRPr="001D5327">
        <w:t>Figure 2.2.7</w:t>
      </w:r>
      <w:r w:rsidRPr="001D5327">
        <w:tab/>
        <w:t xml:space="preserve">New Zealand’s Energy sector emissions, from </w:t>
      </w:r>
      <w:r w:rsidRPr="001D5327">
        <w:rPr>
          <w:bCs/>
        </w:rPr>
        <w:t>1990</w:t>
      </w:r>
      <w:r w:rsidRPr="001D5327">
        <w:t xml:space="preserve"> to </w:t>
      </w:r>
      <w:r w:rsidRPr="001D5327">
        <w:rPr>
          <w:bCs/>
        </w:rPr>
        <w:t>2023</w:t>
      </w:r>
      <w:bookmarkEnd w:id="132"/>
    </w:p>
    <w:p w14:paraId="51EA5661" w14:textId="77777777" w:rsidR="00934E13" w:rsidRPr="001D5327" w:rsidRDefault="00934E13" w:rsidP="00934E13">
      <w:pPr>
        <w:pStyle w:val="BodyText"/>
      </w:pPr>
      <w:r w:rsidRPr="001D5327">
        <w:rPr>
          <w:noProof/>
        </w:rPr>
        <w:drawing>
          <wp:inline distT="0" distB="0" distL="0" distR="0" wp14:anchorId="3A00D156" wp14:editId="4C6BB0C0">
            <wp:extent cx="5245100" cy="3893716"/>
            <wp:effectExtent l="0" t="0" r="0" b="0"/>
            <wp:docPr id="53" name="Picture" descr="A graph with a line&#10;&#10;AI-generated content may be incorrect."/>
            <wp:cNvGraphicFramePr/>
            <a:graphic xmlns:a="http://schemas.openxmlformats.org/drawingml/2006/main">
              <a:graphicData uri="http://schemas.openxmlformats.org/drawingml/2006/picture">
                <pic:pic xmlns:pic="http://schemas.openxmlformats.org/drawingml/2006/picture">
                  <pic:nvPicPr>
                    <pic:cNvPr id="53" name="Picture" descr="A graph with a line&#10;&#10;AI-generated content may be incorrect."/>
                    <pic:cNvPicPr>
                      <a:picLocks noChangeAspect="1" noChangeArrowheads="1"/>
                    </pic:cNvPicPr>
                  </pic:nvPicPr>
                  <pic:blipFill rotWithShape="1">
                    <a:blip r:embed="rId44"/>
                    <a:srcRect b="1019"/>
                    <a:stretch/>
                  </pic:blipFill>
                  <pic:spPr bwMode="auto">
                    <a:xfrm>
                      <a:off x="0" y="0"/>
                      <a:ext cx="5247796" cy="3895717"/>
                    </a:xfrm>
                    <a:prstGeom prst="rect">
                      <a:avLst/>
                    </a:prstGeom>
                    <a:noFill/>
                    <a:ln>
                      <a:noFill/>
                    </a:ln>
                    <a:extLst>
                      <a:ext uri="{53640926-AAD7-44D8-BBD7-CCE9431645EC}">
                        <a14:shadowObscured xmlns:a14="http://schemas.microsoft.com/office/drawing/2010/main"/>
                      </a:ext>
                    </a:extLst>
                  </pic:spPr>
                </pic:pic>
              </a:graphicData>
            </a:graphic>
          </wp:inline>
        </w:drawing>
      </w:r>
    </w:p>
    <w:p w14:paraId="26009EE8" w14:textId="77777777" w:rsidR="00934E13" w:rsidRPr="001D5327" w:rsidRDefault="00934E13" w:rsidP="00934E13">
      <w:pPr>
        <w:pStyle w:val="Heading5"/>
      </w:pPr>
      <w:bookmarkStart w:id="133" w:name="section-6"/>
      <w:r w:rsidRPr="001D5327">
        <w:t>2022–2023</w:t>
      </w:r>
    </w:p>
    <w:p w14:paraId="00DCF1B1" w14:textId="14FD5E18" w:rsidR="00934E13" w:rsidRPr="001D5327" w:rsidRDefault="00934E13" w:rsidP="00934E13">
      <w:pPr>
        <w:pStyle w:val="BodyText"/>
        <w:rPr>
          <w:bCs/>
        </w:rPr>
      </w:pPr>
      <w:r w:rsidRPr="001D5327">
        <w:t xml:space="preserve">Between </w:t>
      </w:r>
      <w:r w:rsidRPr="001D5327">
        <w:rPr>
          <w:bCs/>
        </w:rPr>
        <w:t>2022 and 2023, emissions from the Energy sector decreased by 225.0 kt CO</w:t>
      </w:r>
      <w:r w:rsidRPr="001D5327">
        <w:rPr>
          <w:bCs/>
          <w:vertAlign w:val="subscript"/>
        </w:rPr>
        <w:t>2</w:t>
      </w:r>
      <w:r w:rsidRPr="001D5327">
        <w:rPr>
          <w:bCs/>
        </w:rPr>
        <w:t xml:space="preserve">-e (0.8 per cent). This is primarily due to combined decreases in </w:t>
      </w:r>
      <w:r w:rsidRPr="001D5327">
        <w:rPr>
          <w:bCs/>
          <w:i/>
        </w:rPr>
        <w:t>Petroleum refining</w:t>
      </w:r>
      <w:r w:rsidRPr="001D5327">
        <w:rPr>
          <w:bCs/>
        </w:rPr>
        <w:t xml:space="preserve"> (down 166.1 kt CO</w:t>
      </w:r>
      <w:r w:rsidRPr="001D5327">
        <w:rPr>
          <w:bCs/>
          <w:vertAlign w:val="subscript"/>
        </w:rPr>
        <w:t>2</w:t>
      </w:r>
      <w:r w:rsidRPr="001D5327">
        <w:rPr>
          <w:bCs/>
        </w:rPr>
        <w:t xml:space="preserve">-e or 100 per cent), </w:t>
      </w:r>
      <w:r w:rsidRPr="001D5327">
        <w:rPr>
          <w:bCs/>
          <w:i/>
        </w:rPr>
        <w:t>Public electricity and heat production</w:t>
      </w:r>
      <w:r w:rsidRPr="001D5327">
        <w:rPr>
          <w:bCs/>
        </w:rPr>
        <w:t xml:space="preserve"> (down 153.5 kt CO</w:t>
      </w:r>
      <w:r w:rsidRPr="001D5327">
        <w:rPr>
          <w:bCs/>
          <w:vertAlign w:val="subscript"/>
        </w:rPr>
        <w:t>2</w:t>
      </w:r>
      <w:r w:rsidRPr="001D5327">
        <w:rPr>
          <w:bCs/>
        </w:rPr>
        <w:t xml:space="preserve">-e </w:t>
      </w:r>
      <w:r w:rsidRPr="001D5327">
        <w:rPr>
          <w:bCs/>
        </w:rPr>
        <w:lastRenderedPageBreak/>
        <w:t xml:space="preserve">or 5.3 per cent) and </w:t>
      </w:r>
      <w:r w:rsidRPr="001D5327">
        <w:rPr>
          <w:bCs/>
          <w:i/>
        </w:rPr>
        <w:t>Commercial</w:t>
      </w:r>
      <w:r w:rsidR="001C1FFE">
        <w:rPr>
          <w:bCs/>
          <w:i/>
        </w:rPr>
        <w:t>/</w:t>
      </w:r>
      <w:r w:rsidR="005F0CCF">
        <w:rPr>
          <w:bCs/>
          <w:i/>
        </w:rPr>
        <w:t>I</w:t>
      </w:r>
      <w:r w:rsidRPr="001D5327">
        <w:rPr>
          <w:bCs/>
          <w:i/>
        </w:rPr>
        <w:t>nstitutional</w:t>
      </w:r>
      <w:r w:rsidRPr="001D5327">
        <w:rPr>
          <w:bCs/>
        </w:rPr>
        <w:t xml:space="preserve"> (down 143.1 kt CO</w:t>
      </w:r>
      <w:r w:rsidRPr="001D5327">
        <w:rPr>
          <w:bCs/>
          <w:vertAlign w:val="subscript"/>
        </w:rPr>
        <w:t>2</w:t>
      </w:r>
      <w:r w:rsidRPr="001D5327">
        <w:rPr>
          <w:bCs/>
        </w:rPr>
        <w:t xml:space="preserve">-e or 10.7 per cent). This decrease was partially offset by the </w:t>
      </w:r>
      <w:r w:rsidRPr="001D5327">
        <w:rPr>
          <w:bCs/>
          <w:i/>
        </w:rPr>
        <w:t>Domestic aviation</w:t>
      </w:r>
      <w:r w:rsidRPr="001D5327">
        <w:rPr>
          <w:bCs/>
        </w:rPr>
        <w:t xml:space="preserve"> category, which increased by 245.2 kt CO</w:t>
      </w:r>
      <w:r w:rsidRPr="001D5327">
        <w:rPr>
          <w:bCs/>
          <w:vertAlign w:val="subscript"/>
        </w:rPr>
        <w:t>2</w:t>
      </w:r>
      <w:r w:rsidRPr="001D5327">
        <w:rPr>
          <w:bCs/>
        </w:rPr>
        <w:t xml:space="preserve">-e (24.0 per cent) and </w:t>
      </w:r>
      <w:r w:rsidRPr="001D5327">
        <w:rPr>
          <w:bCs/>
          <w:i/>
        </w:rPr>
        <w:t>Road transportation</w:t>
      </w:r>
      <w:r w:rsidRPr="001D5327">
        <w:rPr>
          <w:bCs/>
        </w:rPr>
        <w:t>, which increased by 233.7 kt CO</w:t>
      </w:r>
      <w:r w:rsidRPr="001D5327">
        <w:rPr>
          <w:bCs/>
          <w:vertAlign w:val="subscript"/>
        </w:rPr>
        <w:t>2</w:t>
      </w:r>
      <w:r w:rsidRPr="001D5327">
        <w:rPr>
          <w:bCs/>
        </w:rPr>
        <w:t>-e (1.9 per cent). Further information on these changes is provided under the relevant categories of chapter 3, section 3.2.</w:t>
      </w:r>
    </w:p>
    <w:p w14:paraId="3730CAC0" w14:textId="77777777" w:rsidR="00934E13" w:rsidRPr="001D5327" w:rsidRDefault="00934E13" w:rsidP="00934E13">
      <w:pPr>
        <w:pStyle w:val="BodyText"/>
      </w:pPr>
      <w:r w:rsidRPr="001D5327">
        <w:rPr>
          <w:bCs/>
        </w:rPr>
        <w:t>National energy consumption in 2023 remained</w:t>
      </w:r>
      <w:r w:rsidRPr="001D5327">
        <w:t xml:space="preserve"> the same as 2022 levels, and was still 6.1 per cent below the pre-COVID level seen in 2019.</w:t>
      </w:r>
    </w:p>
    <w:p w14:paraId="65DEEB1C" w14:textId="77777777" w:rsidR="00934E13" w:rsidRPr="001D5327" w:rsidRDefault="00934E13" w:rsidP="00934E13">
      <w:pPr>
        <w:pStyle w:val="Heading4"/>
      </w:pPr>
      <w:bookmarkStart w:id="134" w:name="ippu-sector"/>
      <w:bookmarkEnd w:id="133"/>
      <w:r w:rsidRPr="001D5327">
        <w:t>IPPU sector</w:t>
      </w:r>
    </w:p>
    <w:p w14:paraId="33EE81CA" w14:textId="77777777" w:rsidR="00934E13" w:rsidRPr="001D5327" w:rsidRDefault="00934E13" w:rsidP="00934E13">
      <w:pPr>
        <w:pStyle w:val="BodyText"/>
      </w:pPr>
      <w:r w:rsidRPr="001D5327">
        <w:t>The IPPU sector in New Zealand produces emissions of CO</w:t>
      </w:r>
      <w:r w:rsidRPr="001D5327">
        <w:rPr>
          <w:vertAlign w:val="subscript"/>
        </w:rPr>
        <w:t>2</w:t>
      </w:r>
      <w:r w:rsidRPr="001D5327">
        <w:t xml:space="preserve"> (66.1 per cent of total IPPU sector emissions) and fluorinated gases (28.9 per cent), as well as smaller amounts of CH</w:t>
      </w:r>
      <w:r w:rsidRPr="001D5327">
        <w:rPr>
          <w:vertAlign w:val="subscript"/>
        </w:rPr>
        <w:t>4</w:t>
      </w:r>
      <w:r w:rsidRPr="001D5327">
        <w:t xml:space="preserve"> and N</w:t>
      </w:r>
      <w:r w:rsidRPr="001D5327">
        <w:rPr>
          <w:vertAlign w:val="subscript"/>
        </w:rPr>
        <w:t>2</w:t>
      </w:r>
      <w:r w:rsidRPr="001D5327">
        <w:t xml:space="preserve">O. The major categories in the IPPU sector are </w:t>
      </w:r>
      <w:r w:rsidRPr="001D5327">
        <w:rPr>
          <w:i/>
        </w:rPr>
        <w:t>Iron and steel production</w:t>
      </w:r>
      <w:r w:rsidRPr="001D5327">
        <w:t xml:space="preserve">, </w:t>
      </w:r>
      <w:r w:rsidRPr="001D5327">
        <w:rPr>
          <w:i/>
        </w:rPr>
        <w:t>Refrigeration and air conditioning</w:t>
      </w:r>
      <w:r w:rsidRPr="001D5327">
        <w:t xml:space="preserve">, </w:t>
      </w:r>
      <w:r w:rsidRPr="001D5327">
        <w:rPr>
          <w:i/>
        </w:rPr>
        <w:t>Aluminium production</w:t>
      </w:r>
      <w:r w:rsidRPr="001D5327">
        <w:t xml:space="preserve"> and </w:t>
      </w:r>
      <w:r w:rsidRPr="001D5327">
        <w:rPr>
          <w:i/>
        </w:rPr>
        <w:t>Cement production</w:t>
      </w:r>
      <w:r w:rsidRPr="001D5327">
        <w:t xml:space="preserve">. Coal and natural gas are also used on a significant scale for energy in the </w:t>
      </w:r>
      <w:r w:rsidRPr="001D5327">
        <w:rPr>
          <w:i/>
        </w:rPr>
        <w:t>Mineral industry</w:t>
      </w:r>
      <w:r w:rsidRPr="001D5327">
        <w:t xml:space="preserve">, </w:t>
      </w:r>
      <w:r w:rsidRPr="001D5327">
        <w:rPr>
          <w:i/>
        </w:rPr>
        <w:t>Chemical industry</w:t>
      </w:r>
      <w:r w:rsidRPr="001D5327">
        <w:t xml:space="preserve"> and </w:t>
      </w:r>
      <w:r w:rsidRPr="001D5327">
        <w:rPr>
          <w:i/>
        </w:rPr>
        <w:t>Metal industry</w:t>
      </w:r>
      <w:r w:rsidRPr="001D5327">
        <w:t xml:space="preserve"> categories. Carbon dioxide and any other emissions from combustion of fuels in these industries are reported under the Energy sector.</w:t>
      </w:r>
    </w:p>
    <w:p w14:paraId="5FF5FC72" w14:textId="77777777" w:rsidR="00934E13" w:rsidRPr="001D5327" w:rsidRDefault="00934E13" w:rsidP="00934E13">
      <w:pPr>
        <w:pStyle w:val="Heading5"/>
      </w:pPr>
      <w:r w:rsidRPr="001D5327">
        <w:t>2023</w:t>
      </w:r>
    </w:p>
    <w:p w14:paraId="7AE287FD" w14:textId="77777777" w:rsidR="00934E13" w:rsidRPr="001D5327" w:rsidRDefault="00934E13" w:rsidP="00934E13">
      <w:pPr>
        <w:pStyle w:val="BodyText"/>
      </w:pPr>
      <w:r w:rsidRPr="001D5327">
        <w:t>In 2023, emissions in the IPPU sector contributed 4,031.5 kt CO</w:t>
      </w:r>
      <w:r w:rsidRPr="001D5327">
        <w:rPr>
          <w:vertAlign w:val="subscript"/>
        </w:rPr>
        <w:t>2</w:t>
      </w:r>
      <w:r w:rsidRPr="001D5327">
        <w:t>-e, or 5.3 per cent, of New Zealand’s gross greenhouse gas emissions.</w:t>
      </w:r>
    </w:p>
    <w:p w14:paraId="5F87E84C" w14:textId="77777777" w:rsidR="00934E13" w:rsidRPr="001D5327" w:rsidRDefault="00934E13" w:rsidP="00934E13">
      <w:pPr>
        <w:pStyle w:val="BodyText"/>
      </w:pPr>
      <w:r w:rsidRPr="001D5327">
        <w:t xml:space="preserve">The largest category is the </w:t>
      </w:r>
      <w:r w:rsidRPr="001D5327">
        <w:rPr>
          <w:i/>
          <w:iCs/>
        </w:rPr>
        <w:t>Metal industry</w:t>
      </w:r>
      <w:r w:rsidRPr="001D5327">
        <w:t>, with substantial CO</w:t>
      </w:r>
      <w:r w:rsidRPr="001D5327">
        <w:rPr>
          <w:vertAlign w:val="subscript"/>
        </w:rPr>
        <w:t>2</w:t>
      </w:r>
      <w:r w:rsidRPr="001D5327">
        <w:t xml:space="preserve"> emissions from the </w:t>
      </w:r>
      <w:r w:rsidRPr="001D5327">
        <w:rPr>
          <w:i/>
          <w:iCs/>
        </w:rPr>
        <w:t>Iron and steel production</w:t>
      </w:r>
      <w:r w:rsidRPr="001D5327">
        <w:t xml:space="preserve"> and </w:t>
      </w:r>
      <w:r w:rsidRPr="001D5327">
        <w:rPr>
          <w:i/>
          <w:iCs/>
        </w:rPr>
        <w:t>Aluminium production</w:t>
      </w:r>
      <w:r w:rsidRPr="001D5327">
        <w:t xml:space="preserve"> categories, as well as PFCs from the </w:t>
      </w:r>
      <w:r w:rsidRPr="001D5327">
        <w:rPr>
          <w:i/>
          <w:iCs/>
        </w:rPr>
        <w:t>Aluminium production</w:t>
      </w:r>
      <w:r w:rsidRPr="001D5327">
        <w:t xml:space="preserve"> category in earlier years. The </w:t>
      </w:r>
      <w:r w:rsidRPr="001D5327">
        <w:rPr>
          <w:i/>
          <w:iCs/>
        </w:rPr>
        <w:t>Mineral industry</w:t>
      </w:r>
      <w:r w:rsidRPr="001D5327">
        <w:t xml:space="preserve"> and </w:t>
      </w:r>
      <w:r w:rsidRPr="001D5327">
        <w:rPr>
          <w:i/>
          <w:iCs/>
        </w:rPr>
        <w:t>Chemical industry</w:t>
      </w:r>
      <w:r w:rsidRPr="001D5327">
        <w:t xml:space="preserve"> categories also contribute significant CO</w:t>
      </w:r>
      <w:r w:rsidRPr="001D5327">
        <w:rPr>
          <w:vertAlign w:val="subscript"/>
        </w:rPr>
        <w:t>2</w:t>
      </w:r>
      <w:r w:rsidRPr="001D5327">
        <w:t xml:space="preserve"> emissions, and most of the non-CO</w:t>
      </w:r>
      <w:r w:rsidRPr="001D5327">
        <w:rPr>
          <w:vertAlign w:val="subscript"/>
        </w:rPr>
        <w:t>2</w:t>
      </w:r>
      <w:r w:rsidRPr="001D5327">
        <w:t xml:space="preserve"> emissions come from the </w:t>
      </w:r>
      <w:r w:rsidRPr="001D5327">
        <w:rPr>
          <w:i/>
          <w:iCs/>
        </w:rPr>
        <w:t>Product uses as substitutes for ODS</w:t>
      </w:r>
      <w:r w:rsidRPr="001D5327">
        <w:t xml:space="preserve"> category.</w:t>
      </w:r>
    </w:p>
    <w:p w14:paraId="7BE7A152" w14:textId="77777777" w:rsidR="00934E13" w:rsidRPr="001D5327" w:rsidRDefault="00934E13" w:rsidP="00934E13">
      <w:pPr>
        <w:pStyle w:val="BodyText"/>
      </w:pPr>
      <w:r w:rsidRPr="001D5327">
        <w:t>The IPPU sector produces smaller amounts of CH</w:t>
      </w:r>
      <w:r w:rsidRPr="001D5327">
        <w:rPr>
          <w:vertAlign w:val="subscript"/>
        </w:rPr>
        <w:t>4</w:t>
      </w:r>
      <w:r w:rsidRPr="001D5327">
        <w:t xml:space="preserve"> from methanol production and N</w:t>
      </w:r>
      <w:r w:rsidRPr="001D5327">
        <w:rPr>
          <w:vertAlign w:val="subscript"/>
        </w:rPr>
        <w:t>2</w:t>
      </w:r>
      <w:r w:rsidRPr="001D5327">
        <w:t xml:space="preserve">O used for medical applications in the </w:t>
      </w:r>
      <w:r w:rsidRPr="001D5327">
        <w:rPr>
          <w:i/>
          <w:iCs/>
        </w:rPr>
        <w:t>Other product manufacture and use</w:t>
      </w:r>
      <w:r w:rsidRPr="001D5327">
        <w:t xml:space="preserve"> category.</w:t>
      </w:r>
    </w:p>
    <w:p w14:paraId="0024AE58" w14:textId="77777777" w:rsidR="00934E13" w:rsidRPr="001D5327" w:rsidRDefault="00934E13" w:rsidP="00934E13">
      <w:pPr>
        <w:pStyle w:val="BodyText"/>
      </w:pPr>
      <w:r w:rsidRPr="001D5327">
        <w:t xml:space="preserve">Coal and natural gas are used on a significant scale for energy in these industries, and related emissions are reported under the Energy sector in the category </w:t>
      </w:r>
      <w:r w:rsidRPr="001D5327">
        <w:rPr>
          <w:i/>
          <w:iCs/>
        </w:rPr>
        <w:t>Manufacturing industries and construction</w:t>
      </w:r>
      <w:r w:rsidRPr="001D5327">
        <w:t>.</w:t>
      </w:r>
    </w:p>
    <w:p w14:paraId="1A411AA5" w14:textId="77777777" w:rsidR="00934E13" w:rsidRPr="001D5327" w:rsidRDefault="00934E13" w:rsidP="00934E13">
      <w:pPr>
        <w:pStyle w:val="Heading5"/>
      </w:pPr>
      <w:r w:rsidRPr="001D5327">
        <w:t>1990–2023</w:t>
      </w:r>
    </w:p>
    <w:p w14:paraId="4EA7FA05" w14:textId="77777777" w:rsidR="00934E13" w:rsidRPr="001D5327" w:rsidRDefault="00934E13" w:rsidP="00934E13">
      <w:pPr>
        <w:pStyle w:val="BodyText"/>
      </w:pPr>
      <w:r w:rsidRPr="001D5327">
        <w:t>Emissions from the IPPU sector in 2023 were 548.4 kt CO</w:t>
      </w:r>
      <w:r w:rsidRPr="001D5327">
        <w:rPr>
          <w:vertAlign w:val="subscript"/>
        </w:rPr>
        <w:t>2</w:t>
      </w:r>
      <w:r w:rsidRPr="001D5327">
        <w:t>-e (15.7 per cent) higher than emissions in 1990 (3,483.1 kt CO</w:t>
      </w:r>
      <w:r w:rsidRPr="001D5327">
        <w:rPr>
          <w:vertAlign w:val="subscript"/>
        </w:rPr>
        <w:t>2</w:t>
      </w:r>
      <w:r w:rsidRPr="001D5327">
        <w:t xml:space="preserve">-e). This increase was mainly driven by increasing emissions from the </w:t>
      </w:r>
      <w:r w:rsidRPr="001D5327">
        <w:rPr>
          <w:i/>
        </w:rPr>
        <w:t>Product uses as substitutes for ODS</w:t>
      </w:r>
      <w:r w:rsidRPr="001D5327">
        <w:t xml:space="preserve"> category, due to the introduction of HFCs to replace ODS in refrigeration and air conditioning, and the increased use of household and commercial air conditioning.</w:t>
      </w:r>
    </w:p>
    <w:p w14:paraId="1D2F5E01" w14:textId="77777777" w:rsidR="00934E13" w:rsidRPr="001D5327" w:rsidRDefault="00934E13" w:rsidP="00934E13">
      <w:pPr>
        <w:pStyle w:val="BodyText"/>
      </w:pPr>
      <w:r w:rsidRPr="001D5327">
        <w:t xml:space="preserve">Carbon dioxide emissions also increased, due largely to increased production of aluminium and steel. Between 2020 and 2022, the increase was offset by reduced emissions due to COVID-19 pandemic restrictions and the progressive shutdown of the Marsden Point Oil Refinery. There was a substantial reduction in emissions of PFCs due to improved management of anode effects in the </w:t>
      </w:r>
      <w:r w:rsidRPr="001D5327">
        <w:rPr>
          <w:i/>
          <w:iCs/>
        </w:rPr>
        <w:t>Aluminium production</w:t>
      </w:r>
      <w:r w:rsidRPr="001D5327">
        <w:t xml:space="preserve"> category and some reduction in emissions of N</w:t>
      </w:r>
      <w:r w:rsidRPr="001D5327">
        <w:rPr>
          <w:vertAlign w:val="subscript"/>
        </w:rPr>
        <w:t>2</w:t>
      </w:r>
      <w:r w:rsidRPr="001D5327">
        <w:t xml:space="preserve">O used for medical applications in the </w:t>
      </w:r>
      <w:r w:rsidRPr="001D5327">
        <w:rPr>
          <w:i/>
          <w:iCs/>
        </w:rPr>
        <w:t>Other product manufacture and use</w:t>
      </w:r>
      <w:r w:rsidRPr="001D5327">
        <w:t xml:space="preserve"> category.</w:t>
      </w:r>
    </w:p>
    <w:p w14:paraId="3D35FD4B" w14:textId="77777777" w:rsidR="00934E13" w:rsidRPr="001D5327" w:rsidRDefault="00934E13" w:rsidP="00934E13">
      <w:pPr>
        <w:pStyle w:val="BodyText"/>
      </w:pPr>
      <w:r w:rsidRPr="001D5327">
        <w:t>The trends for the IPPU sector are shown in figure 2.2.8.</w:t>
      </w:r>
    </w:p>
    <w:p w14:paraId="5B42F12C" w14:textId="77777777" w:rsidR="00934E13" w:rsidRPr="001D5327" w:rsidRDefault="00934E13" w:rsidP="002A7CB0">
      <w:pPr>
        <w:pStyle w:val="Figure"/>
        <w:spacing w:after="80"/>
      </w:pPr>
      <w:bookmarkStart w:id="135" w:name="_Toc194674830"/>
      <w:r w:rsidRPr="001D5327">
        <w:lastRenderedPageBreak/>
        <w:t>Figure 2.2.8</w:t>
      </w:r>
      <w:r w:rsidRPr="001D5327">
        <w:tab/>
        <w:t xml:space="preserve">New Zealand’s IPPU sector emissions, from </w:t>
      </w:r>
      <w:r w:rsidRPr="001D5327">
        <w:rPr>
          <w:bCs/>
        </w:rPr>
        <w:t>1990</w:t>
      </w:r>
      <w:r w:rsidRPr="001D5327">
        <w:t xml:space="preserve"> to </w:t>
      </w:r>
      <w:r w:rsidRPr="001D5327">
        <w:rPr>
          <w:bCs/>
        </w:rPr>
        <w:t>2023</w:t>
      </w:r>
      <w:bookmarkEnd w:id="135"/>
    </w:p>
    <w:p w14:paraId="322B1767" w14:textId="77777777" w:rsidR="00934E13" w:rsidRPr="001D5327" w:rsidRDefault="00934E13" w:rsidP="00934E13">
      <w:pPr>
        <w:pStyle w:val="BodyText"/>
      </w:pPr>
      <w:r w:rsidRPr="001D5327">
        <w:rPr>
          <w:noProof/>
        </w:rPr>
        <w:drawing>
          <wp:inline distT="0" distB="0" distL="0" distR="0" wp14:anchorId="5A688DCA" wp14:editId="7D989123">
            <wp:extent cx="5128846" cy="3833446"/>
            <wp:effectExtent l="0" t="0" r="0" b="0"/>
            <wp:docPr id="60" name="Picture" descr="A graph showing the growth of a stock market&#10;&#10;AI-generated content may be incorrect."/>
            <wp:cNvGraphicFramePr/>
            <a:graphic xmlns:a="http://schemas.openxmlformats.org/drawingml/2006/main">
              <a:graphicData uri="http://schemas.openxmlformats.org/drawingml/2006/picture">
                <pic:pic xmlns:pic="http://schemas.openxmlformats.org/drawingml/2006/picture">
                  <pic:nvPicPr>
                    <pic:cNvPr id="60" name="Picture" descr="A graph showing the growth of a stock market&#10;&#10;AI-generated content may be incorrect."/>
                    <pic:cNvPicPr>
                      <a:picLocks noChangeAspect="1" noChangeArrowheads="1"/>
                    </pic:cNvPicPr>
                  </pic:nvPicPr>
                  <pic:blipFill rotWithShape="1">
                    <a:blip r:embed="rId45"/>
                    <a:srcRect b="392"/>
                    <a:stretch/>
                  </pic:blipFill>
                  <pic:spPr bwMode="auto">
                    <a:xfrm>
                      <a:off x="0" y="0"/>
                      <a:ext cx="5138755" cy="3840852"/>
                    </a:xfrm>
                    <a:prstGeom prst="rect">
                      <a:avLst/>
                    </a:prstGeom>
                    <a:noFill/>
                    <a:ln>
                      <a:noFill/>
                    </a:ln>
                    <a:extLst>
                      <a:ext uri="{53640926-AAD7-44D8-BBD7-CCE9431645EC}">
                        <a14:shadowObscured xmlns:a14="http://schemas.microsoft.com/office/drawing/2010/main"/>
                      </a:ext>
                    </a:extLst>
                  </pic:spPr>
                </pic:pic>
              </a:graphicData>
            </a:graphic>
          </wp:inline>
        </w:drawing>
      </w:r>
    </w:p>
    <w:p w14:paraId="3A2D8BE8" w14:textId="77777777" w:rsidR="00934E13" w:rsidRPr="001D5327" w:rsidRDefault="00934E13" w:rsidP="00934E13">
      <w:pPr>
        <w:pStyle w:val="Heading5"/>
      </w:pPr>
      <w:bookmarkStart w:id="136" w:name="section-9"/>
      <w:r w:rsidRPr="001D5327">
        <w:t>2022–2023</w:t>
      </w:r>
    </w:p>
    <w:p w14:paraId="005D13AF" w14:textId="77777777" w:rsidR="00934E13" w:rsidRPr="001D5327" w:rsidRDefault="00934E13" w:rsidP="00934E13">
      <w:pPr>
        <w:pStyle w:val="BodyText"/>
        <w:spacing w:before="100" w:after="100"/>
      </w:pPr>
      <w:r w:rsidRPr="001D5327">
        <w:t>Between 2022 and 2023, emissions from the IPPU sector decreased by 412.4 kt CO</w:t>
      </w:r>
      <w:r w:rsidRPr="001D5327">
        <w:rPr>
          <w:vertAlign w:val="subscript"/>
        </w:rPr>
        <w:t>2</w:t>
      </w:r>
      <w:r w:rsidRPr="001D5327">
        <w:t>-e (9.3 per cent).</w:t>
      </w:r>
    </w:p>
    <w:p w14:paraId="0DC8D03B" w14:textId="77777777" w:rsidR="00934E13" w:rsidRPr="001D5327" w:rsidRDefault="00934E13" w:rsidP="00934E13">
      <w:pPr>
        <w:pStyle w:val="BodyText"/>
        <w:spacing w:before="100" w:after="100"/>
      </w:pPr>
      <w:r w:rsidRPr="001D5327">
        <w:t xml:space="preserve">This change was mainly the result of decreased emissions from the </w:t>
      </w:r>
      <w:r w:rsidRPr="001D5327">
        <w:rPr>
          <w:i/>
          <w:iCs/>
        </w:rPr>
        <w:t>Refrigeration and air conditioning</w:t>
      </w:r>
      <w:r w:rsidRPr="001D5327">
        <w:t xml:space="preserve"> category.</w:t>
      </w:r>
    </w:p>
    <w:p w14:paraId="6BE92EFD" w14:textId="77777777" w:rsidR="00934E13" w:rsidRPr="001D5327" w:rsidRDefault="00934E13" w:rsidP="002A7CB0">
      <w:pPr>
        <w:pStyle w:val="Heading4"/>
        <w:spacing w:before="180"/>
      </w:pPr>
      <w:bookmarkStart w:id="137" w:name="agriculture-sector"/>
      <w:bookmarkEnd w:id="134"/>
      <w:bookmarkEnd w:id="136"/>
      <w:r w:rsidRPr="001D5327">
        <w:t>Agriculture sector</w:t>
      </w:r>
    </w:p>
    <w:p w14:paraId="6BBC9A06" w14:textId="77777777" w:rsidR="00934E13" w:rsidRPr="001D5327" w:rsidRDefault="00934E13" w:rsidP="00934E13">
      <w:pPr>
        <w:pStyle w:val="BodyText"/>
        <w:spacing w:before="100" w:after="100"/>
      </w:pPr>
      <w:r w:rsidRPr="001D5327">
        <w:t>The Agriculture sector in New Zealand produced three GHGs in particular: CH</w:t>
      </w:r>
      <w:r w:rsidRPr="001D5327">
        <w:rPr>
          <w:vertAlign w:val="subscript"/>
        </w:rPr>
        <w:t>4</w:t>
      </w:r>
      <w:r w:rsidRPr="001D5327">
        <w:t>, N</w:t>
      </w:r>
      <w:r w:rsidRPr="001D5327">
        <w:rPr>
          <w:vertAlign w:val="subscript"/>
        </w:rPr>
        <w:t>2</w:t>
      </w:r>
      <w:r w:rsidRPr="001D5327">
        <w:t>O and CO</w:t>
      </w:r>
      <w:r w:rsidRPr="001D5327">
        <w:rPr>
          <w:vertAlign w:val="subscript"/>
        </w:rPr>
        <w:t>2</w:t>
      </w:r>
      <w:r w:rsidRPr="001D5327">
        <w:t xml:space="preserve">, which comprised 82.4 per cent, 15.9 per cent and 1.7 per cent of all Agriculture sector emissions in 2023 respectively. Trends in Agriculture sector emissions are largely driven by the populations of ruminant livestock (dairy cattle, non-dairy (beef) cattle, sheep, and deer). The largest contributing categories in the Agriculture sector were </w:t>
      </w:r>
      <w:r w:rsidRPr="001D5327">
        <w:rPr>
          <w:i/>
        </w:rPr>
        <w:t>Enteric fermentation</w:t>
      </w:r>
      <w:r w:rsidRPr="001D5327">
        <w:t xml:space="preserve"> and </w:t>
      </w:r>
      <w:r w:rsidRPr="001D5327">
        <w:rPr>
          <w:i/>
        </w:rPr>
        <w:t>Agricultural soils</w:t>
      </w:r>
      <w:r w:rsidRPr="001D5327">
        <w:t>. Emissions from the Agriculture sector reflect the total livestock population, the types of livestock and farming systems, and levels of production. Several drivers affected the emission trends for both CH</w:t>
      </w:r>
      <w:r w:rsidRPr="001D5327">
        <w:rPr>
          <w:vertAlign w:val="subscript"/>
        </w:rPr>
        <w:t>4</w:t>
      </w:r>
      <w:r w:rsidRPr="001D5327">
        <w:t xml:space="preserve"> and N</w:t>
      </w:r>
      <w:r w:rsidRPr="001D5327">
        <w:rPr>
          <w:vertAlign w:val="subscript"/>
        </w:rPr>
        <w:t>2</w:t>
      </w:r>
      <w:r w:rsidRPr="001D5327">
        <w:t>O in the sector. These include:</w:t>
      </w:r>
    </w:p>
    <w:p w14:paraId="3D6DBCCF" w14:textId="77777777" w:rsidR="00934E13" w:rsidRPr="001D5327" w:rsidRDefault="00934E13" w:rsidP="00934E13">
      <w:pPr>
        <w:pStyle w:val="Bullet"/>
        <w:spacing w:after="100"/>
      </w:pPr>
      <w:r w:rsidRPr="001D5327">
        <w:t>changes over time to the population of the main livestock types farmed in New Zealand. Since 1990, the dairy cattle population has increased, while sheep and non-dairy (beef) cattle populations have decreased as the profitability of dairy products has risen relative to sheep and beef products (see chapter 5, figures 5.1.3(a) and figure 5.1.3(b))</w:t>
      </w:r>
    </w:p>
    <w:p w14:paraId="35F128F1" w14:textId="77777777" w:rsidR="00934E13" w:rsidRPr="001D5327" w:rsidRDefault="00934E13" w:rsidP="00934E13">
      <w:pPr>
        <w:pStyle w:val="Bullet"/>
        <w:spacing w:after="100"/>
      </w:pPr>
      <w:r w:rsidRPr="001D5327">
        <w:t>increases in livestock productivity (for both milk and meat yield per head of livestock), which have been achieved by New Zealand farmers since 1990. This has resulted in increased feed intake per animal to meet higher energy demands of increased production. Increased feed intake results in increased CH</w:t>
      </w:r>
      <w:r w:rsidRPr="001D5327">
        <w:rPr>
          <w:vertAlign w:val="subscript"/>
        </w:rPr>
        <w:t>4</w:t>
      </w:r>
      <w:r w:rsidRPr="001D5327">
        <w:t xml:space="preserve"> (from increased enteric fermentation) and N</w:t>
      </w:r>
      <w:r w:rsidRPr="001D5327">
        <w:rPr>
          <w:vertAlign w:val="subscript"/>
        </w:rPr>
        <w:t>2</w:t>
      </w:r>
      <w:r w:rsidRPr="001D5327">
        <w:t>O emissions (from increased excreta deposited on pasture) per animal</w:t>
      </w:r>
    </w:p>
    <w:p w14:paraId="7FBC73EC" w14:textId="77777777" w:rsidR="00934E13" w:rsidRPr="001D5327" w:rsidRDefault="00934E13" w:rsidP="00934E13">
      <w:pPr>
        <w:pStyle w:val="Bullet"/>
      </w:pPr>
      <w:r w:rsidRPr="001D5327">
        <w:lastRenderedPageBreak/>
        <w:t>incidents of severe drought, which have resulted in reduced livestock productivity and livestock populations, which in turn reduced livestock-related emissions. The ‘Situation and Outlook for Primary Industries’ reports produced by the Ministry for Primary Industries summarise the effects of these events at a sector level and provide short-term forecasts</w:t>
      </w:r>
      <w:r w:rsidRPr="001D5327">
        <w:rPr>
          <w:rStyle w:val="FootnoteReference"/>
        </w:rPr>
        <w:footnoteReference w:id="19"/>
      </w:r>
    </w:p>
    <w:p w14:paraId="7BB824C9" w14:textId="77777777" w:rsidR="00934E13" w:rsidRPr="001D5327" w:rsidRDefault="00934E13" w:rsidP="00934E13">
      <w:pPr>
        <w:pStyle w:val="Bullet"/>
      </w:pPr>
      <w:r w:rsidRPr="001D5327">
        <w:t xml:space="preserve">commodity price fluctuations that drive farmer investment decisions in livestock numbers </w:t>
      </w:r>
      <w:r w:rsidRPr="001D5327">
        <w:rPr>
          <w:spacing w:val="-2"/>
        </w:rPr>
        <w:t>and species as well as production inputs. The ‘Situation and Outlook for Primary Industries’</w:t>
      </w:r>
      <w:r w:rsidRPr="001D5327">
        <w:t xml:space="preserve"> reports also summarise these decisions at a sector level and provide short-term forecasts</w:t>
      </w:r>
    </w:p>
    <w:p w14:paraId="62681D31" w14:textId="77777777" w:rsidR="00934E13" w:rsidRPr="001D5327" w:rsidRDefault="00934E13" w:rsidP="00934E13">
      <w:pPr>
        <w:pStyle w:val="Bullet"/>
      </w:pPr>
      <w:r w:rsidRPr="001D5327">
        <w:t>shifting land use across different types of livestock farming and other agricultural enterprises, including forestry. The Agriculture sector uses around 34 per cent of New Zealand’s land area (Stats NZ, 2024), mostly for grazing of pastoral land. Between 1990 and 2023, the area used for sheep, beef and deer grazing has decreased by approximately 41.6 per cent (Beef + Lamb New Zealand Ltd, 2024), while the area used for dairy grazing has increased by 66.4 per cent (LIC and DairyNZ, 2024). The amount of synthetic nitrogen fertiliser applied to agricultural land has increased by 534 per cent since 1990.</w:t>
      </w:r>
    </w:p>
    <w:p w14:paraId="4F34C97A" w14:textId="77777777" w:rsidR="00934E13" w:rsidRPr="001D5327" w:rsidRDefault="00934E13" w:rsidP="00934E13">
      <w:pPr>
        <w:pStyle w:val="BodyText"/>
      </w:pPr>
      <w:r w:rsidRPr="001D5327">
        <w:t>The trends for the Agriculture sector are shown in figure 2.2.9.</w:t>
      </w:r>
    </w:p>
    <w:p w14:paraId="37221DA5" w14:textId="77777777" w:rsidR="00934E13" w:rsidRPr="001D5327" w:rsidRDefault="00934E13" w:rsidP="00934E13">
      <w:pPr>
        <w:pStyle w:val="Figure"/>
      </w:pPr>
      <w:bookmarkStart w:id="138" w:name="_Toc194674831"/>
      <w:r w:rsidRPr="001D5327">
        <w:t>Figure 2.2.9</w:t>
      </w:r>
      <w:r w:rsidRPr="001D5327">
        <w:tab/>
        <w:t xml:space="preserve">New Zealand’s Agriculture sector emissions, from </w:t>
      </w:r>
      <w:r w:rsidRPr="001D5327">
        <w:rPr>
          <w:bCs/>
        </w:rPr>
        <w:t>1990</w:t>
      </w:r>
      <w:r w:rsidRPr="001D5327">
        <w:t xml:space="preserve"> to </w:t>
      </w:r>
      <w:r w:rsidRPr="001D5327">
        <w:rPr>
          <w:bCs/>
        </w:rPr>
        <w:t>2023</w:t>
      </w:r>
      <w:bookmarkEnd w:id="138"/>
    </w:p>
    <w:p w14:paraId="32D811FE" w14:textId="77777777" w:rsidR="00934E13" w:rsidRPr="001D5327" w:rsidRDefault="00934E13" w:rsidP="00934E13">
      <w:pPr>
        <w:pStyle w:val="BodyText"/>
      </w:pPr>
      <w:r w:rsidRPr="001D5327">
        <w:rPr>
          <w:noProof/>
        </w:rPr>
        <w:drawing>
          <wp:inline distT="0" distB="0" distL="0" distR="0" wp14:anchorId="41FED80F" wp14:editId="68B37CC1">
            <wp:extent cx="5397500" cy="4048125"/>
            <wp:effectExtent l="0" t="0" r="0" b="0"/>
            <wp:docPr id="68" name="Picture" descr="A graph showing the growth of a company&#10;&#10;AI-generated content may be incorrect."/>
            <wp:cNvGraphicFramePr/>
            <a:graphic xmlns:a="http://schemas.openxmlformats.org/drawingml/2006/main">
              <a:graphicData uri="http://schemas.openxmlformats.org/drawingml/2006/picture">
                <pic:pic xmlns:pic="http://schemas.openxmlformats.org/drawingml/2006/picture">
                  <pic:nvPicPr>
                    <pic:cNvPr id="68" name="Picture" descr="A graph showing the growth of a company&#10;&#10;AI-generated content may be incorrect."/>
                    <pic:cNvPicPr>
                      <a:picLocks noChangeAspect="1" noChangeArrowheads="1"/>
                    </pic:cNvPicPr>
                  </pic:nvPicPr>
                  <pic:blipFill>
                    <a:blip r:embed="rId46"/>
                    <a:stretch>
                      <a:fillRect/>
                    </a:stretch>
                  </pic:blipFill>
                  <pic:spPr bwMode="auto">
                    <a:xfrm>
                      <a:off x="0" y="0"/>
                      <a:ext cx="5397500" cy="4048125"/>
                    </a:xfrm>
                    <a:prstGeom prst="rect">
                      <a:avLst/>
                    </a:prstGeom>
                    <a:noFill/>
                    <a:ln w="9525">
                      <a:noFill/>
                      <a:headEnd/>
                      <a:tailEnd/>
                    </a:ln>
                  </pic:spPr>
                </pic:pic>
              </a:graphicData>
            </a:graphic>
          </wp:inline>
        </w:drawing>
      </w:r>
    </w:p>
    <w:p w14:paraId="263708F4" w14:textId="77777777" w:rsidR="00934E13" w:rsidRPr="001D5327" w:rsidRDefault="00934E13" w:rsidP="00934E13">
      <w:pPr>
        <w:pStyle w:val="Heading5"/>
      </w:pPr>
      <w:r w:rsidRPr="001D5327">
        <w:lastRenderedPageBreak/>
        <w:t>2023</w:t>
      </w:r>
    </w:p>
    <w:p w14:paraId="285F3DA7" w14:textId="77777777" w:rsidR="00934E13" w:rsidRPr="001D5327" w:rsidRDefault="00934E13" w:rsidP="00934E13">
      <w:pPr>
        <w:pStyle w:val="BodyText"/>
      </w:pPr>
      <w:r w:rsidRPr="001D5327">
        <w:t>In 2023, emissions from the Agriculture sector totalled 40,613.0 kt CO</w:t>
      </w:r>
      <w:r w:rsidRPr="001D5327">
        <w:rPr>
          <w:vertAlign w:val="subscript"/>
        </w:rPr>
        <w:t>2</w:t>
      </w:r>
      <w:r w:rsidRPr="001D5327">
        <w:t>-e, representing 53.1 per cent of New Zealand’s gross emissions in 2023.</w:t>
      </w:r>
    </w:p>
    <w:p w14:paraId="68CCEE4E" w14:textId="02F84C08" w:rsidR="00934E13" w:rsidRPr="001D5327" w:rsidRDefault="00934E13" w:rsidP="00934E13">
      <w:pPr>
        <w:pStyle w:val="BodyText"/>
      </w:pPr>
      <w:r w:rsidRPr="001D5327">
        <w:t xml:space="preserve">Methane from </w:t>
      </w:r>
      <w:r w:rsidRPr="001D5327">
        <w:rPr>
          <w:i/>
          <w:iCs/>
        </w:rPr>
        <w:t>Enteric fermentation</w:t>
      </w:r>
      <w:r w:rsidRPr="001D5327">
        <w:t xml:space="preserve"> was the main source of Agriculture emissions, contributing 78.0 per cent (31,661.7 kt CO</w:t>
      </w:r>
      <w:r w:rsidRPr="001D5327">
        <w:rPr>
          <w:vertAlign w:val="subscript"/>
        </w:rPr>
        <w:t>2</w:t>
      </w:r>
      <w:r w:rsidRPr="001D5327">
        <w:t xml:space="preserve">-e) of the sector’s emissions. </w:t>
      </w:r>
      <w:r w:rsidRPr="001D5327">
        <w:rPr>
          <w:i/>
          <w:iCs/>
        </w:rPr>
        <w:t>Agricultural soils</w:t>
      </w:r>
      <w:r w:rsidRPr="001D5327">
        <w:t xml:space="preserve"> (15.7 per cent) were the second-largest source followed by </w:t>
      </w:r>
      <w:r w:rsidRPr="001D5327">
        <w:rPr>
          <w:i/>
          <w:iCs/>
        </w:rPr>
        <w:t>Manure management</w:t>
      </w:r>
      <w:r w:rsidRPr="001D5327">
        <w:t xml:space="preserve"> (4.6 per cent). </w:t>
      </w:r>
      <w:r w:rsidRPr="001D5327">
        <w:rPr>
          <w:i/>
          <w:iCs/>
        </w:rPr>
        <w:t>Urea application</w:t>
      </w:r>
      <w:r w:rsidRPr="001D5327">
        <w:t xml:space="preserve"> and </w:t>
      </w:r>
      <w:r w:rsidRPr="001D5327">
        <w:rPr>
          <w:i/>
          <w:iCs/>
        </w:rPr>
        <w:t>Liming</w:t>
      </w:r>
      <w:r w:rsidRPr="001D5327">
        <w:t xml:space="preserve"> contributed 1.0 per cent and 0.7 per cent respectively. </w:t>
      </w:r>
      <w:r w:rsidRPr="001D5327">
        <w:rPr>
          <w:i/>
          <w:iCs/>
        </w:rPr>
        <w:t>Field burning of</w:t>
      </w:r>
      <w:r w:rsidR="008C4DCB" w:rsidRPr="001D5327">
        <w:rPr>
          <w:i/>
          <w:iCs/>
        </w:rPr>
        <w:t> </w:t>
      </w:r>
      <w:r w:rsidRPr="001D5327">
        <w:rPr>
          <w:i/>
          <w:iCs/>
        </w:rPr>
        <w:t>agricultural residues</w:t>
      </w:r>
      <w:r w:rsidRPr="001D5327">
        <w:t xml:space="preserve"> contributed less than 0.1 per cent.</w:t>
      </w:r>
    </w:p>
    <w:p w14:paraId="18DF20D9" w14:textId="77777777" w:rsidR="00934E13" w:rsidRPr="001D5327" w:rsidRDefault="00934E13" w:rsidP="00934E13">
      <w:pPr>
        <w:pStyle w:val="BodyText"/>
      </w:pPr>
      <w:r w:rsidRPr="001D5327">
        <w:t xml:space="preserve">Methane emissions from </w:t>
      </w:r>
      <w:r w:rsidRPr="001D5327">
        <w:rPr>
          <w:i/>
          <w:iCs/>
        </w:rPr>
        <w:t>Enteric fermentation</w:t>
      </w:r>
      <w:r w:rsidRPr="001D5327">
        <w:t xml:space="preserve"> contributed 41.4 per cent of New Zealand’s gross emissions, and N</w:t>
      </w:r>
      <w:r w:rsidRPr="001D5327">
        <w:rPr>
          <w:vertAlign w:val="subscript"/>
        </w:rPr>
        <w:t>2</w:t>
      </w:r>
      <w:r w:rsidRPr="001D5327">
        <w:t xml:space="preserve">O emissions from the </w:t>
      </w:r>
      <w:r w:rsidRPr="001D5327">
        <w:rPr>
          <w:i/>
          <w:iCs/>
        </w:rPr>
        <w:t>Agricultural soils</w:t>
      </w:r>
      <w:r w:rsidRPr="001D5327">
        <w:t xml:space="preserve"> category contributed 8.3 per cent of New Zealand’s gross emissions.</w:t>
      </w:r>
    </w:p>
    <w:p w14:paraId="42FBD7A2" w14:textId="77777777" w:rsidR="00934E13" w:rsidRPr="001D5327" w:rsidRDefault="00934E13" w:rsidP="00934E13">
      <w:pPr>
        <w:pStyle w:val="Heading5"/>
      </w:pPr>
      <w:r w:rsidRPr="001D5327">
        <w:t>1990–2023</w:t>
      </w:r>
    </w:p>
    <w:p w14:paraId="528C4189" w14:textId="77777777" w:rsidR="00934E13" w:rsidRPr="001D5327" w:rsidRDefault="00934E13" w:rsidP="00934E13">
      <w:pPr>
        <w:pStyle w:val="BodyText"/>
      </w:pPr>
      <w:r w:rsidRPr="001D5327">
        <w:t xml:space="preserve">In </w:t>
      </w:r>
      <w:r w:rsidRPr="001D5327">
        <w:rPr>
          <w:bCs/>
        </w:rPr>
        <w:t>2023, New Zealand’s Agriculture sector emissions were 10.0 per cent (3,697.9 kt CO</w:t>
      </w:r>
      <w:r w:rsidRPr="001D5327">
        <w:rPr>
          <w:bCs/>
          <w:vertAlign w:val="subscript"/>
        </w:rPr>
        <w:t>2</w:t>
      </w:r>
      <w:r w:rsidRPr="001D5327">
        <w:rPr>
          <w:bCs/>
        </w:rPr>
        <w:t>-e) above the 1990 level (36,915.1 kt CO</w:t>
      </w:r>
      <w:r w:rsidRPr="001D5327">
        <w:rPr>
          <w:bCs/>
          <w:vertAlign w:val="subscript"/>
        </w:rPr>
        <w:t>2</w:t>
      </w:r>
      <w:r w:rsidRPr="001D5327">
        <w:rPr>
          <w:bCs/>
        </w:rPr>
        <w:t>-e).</w:t>
      </w:r>
    </w:p>
    <w:p w14:paraId="69BAFCE2" w14:textId="77777777" w:rsidR="00934E13" w:rsidRPr="001D5327" w:rsidRDefault="00934E13" w:rsidP="00934E13">
      <w:pPr>
        <w:pStyle w:val="BodyText"/>
      </w:pPr>
      <w:r w:rsidRPr="001D5327">
        <w:t>The greatest absolute contributions to the change since 1990 are increases in emissions of 1,717.3 kt CO</w:t>
      </w:r>
      <w:r w:rsidRPr="001D5327">
        <w:rPr>
          <w:vertAlign w:val="subscript"/>
        </w:rPr>
        <w:t>2</w:t>
      </w:r>
      <w:r w:rsidRPr="001D5327">
        <w:t xml:space="preserve">-e (36.9 per cent) from </w:t>
      </w:r>
      <w:r w:rsidRPr="001D5327">
        <w:rPr>
          <w:i/>
          <w:iCs/>
        </w:rPr>
        <w:t>Agricultural soils</w:t>
      </w:r>
      <w:r w:rsidRPr="001D5327">
        <w:t xml:space="preserve"> and of 1,001.7 kt CO</w:t>
      </w:r>
      <w:r w:rsidRPr="001D5327">
        <w:rPr>
          <w:vertAlign w:val="subscript"/>
        </w:rPr>
        <w:t>2</w:t>
      </w:r>
      <w:r w:rsidRPr="001D5327">
        <w:t xml:space="preserve">-e (116.5 per cent) from </w:t>
      </w:r>
      <w:r w:rsidRPr="001D5327">
        <w:rPr>
          <w:i/>
          <w:iCs/>
        </w:rPr>
        <w:t>Manure management</w:t>
      </w:r>
      <w:r w:rsidRPr="001D5327">
        <w:t>, as well as an increase in CH</w:t>
      </w:r>
      <w:r w:rsidRPr="001D5327">
        <w:rPr>
          <w:vertAlign w:val="subscript"/>
        </w:rPr>
        <w:t>4</w:t>
      </w:r>
      <w:r w:rsidRPr="001D5327">
        <w:t xml:space="preserve"> emissions of 626.8 kt CO</w:t>
      </w:r>
      <w:r w:rsidRPr="001D5327">
        <w:rPr>
          <w:vertAlign w:val="subscript"/>
        </w:rPr>
        <w:t>2</w:t>
      </w:r>
      <w:r w:rsidRPr="001D5327">
        <w:t xml:space="preserve">-e (2.0 per cent) from </w:t>
      </w:r>
      <w:r w:rsidRPr="001D5327">
        <w:rPr>
          <w:i/>
          <w:iCs/>
        </w:rPr>
        <w:t>Enteric fermentation</w:t>
      </w:r>
      <w:r w:rsidRPr="001D5327">
        <w:t>.</w:t>
      </w:r>
    </w:p>
    <w:p w14:paraId="45845B51" w14:textId="77777777" w:rsidR="00934E13" w:rsidRPr="001D5327" w:rsidRDefault="00934E13" w:rsidP="00934E13">
      <w:pPr>
        <w:pStyle w:val="BodyText"/>
      </w:pPr>
      <w:r w:rsidRPr="001D5327">
        <w:t>The increase in N</w:t>
      </w:r>
      <w:r w:rsidRPr="001D5327">
        <w:rPr>
          <w:vertAlign w:val="subscript"/>
        </w:rPr>
        <w:t>2</w:t>
      </w:r>
      <w:r w:rsidRPr="001D5327">
        <w:t xml:space="preserve">O emissions from </w:t>
      </w:r>
      <w:r w:rsidRPr="001D5327">
        <w:rPr>
          <w:i/>
          <w:iCs/>
        </w:rPr>
        <w:t>Agricultural soils</w:t>
      </w:r>
      <w:r w:rsidRPr="001D5327">
        <w:t xml:space="preserve"> is primarily a result of an increase of 534 per cent in the application of synthetic nitrogen fertiliser since 1990. This is partly due to an increase in dairy farming, as well as increased use of the fertiliser on other farm types. The emissions from synthetic nitrogen fertiliser use (N</w:t>
      </w:r>
      <w:r w:rsidRPr="001D5327">
        <w:rPr>
          <w:vertAlign w:val="subscript"/>
        </w:rPr>
        <w:t>2</w:t>
      </w:r>
      <w:r w:rsidRPr="001D5327">
        <w:t>O) increased by 1,094.3 kt CO</w:t>
      </w:r>
      <w:r w:rsidRPr="001D5327">
        <w:rPr>
          <w:vertAlign w:val="subscript"/>
        </w:rPr>
        <w:t>2</w:t>
      </w:r>
      <w:r w:rsidRPr="001D5327">
        <w:t xml:space="preserve">-e between 1990 and 2023. This is 63.7 per cent of the total increase in emissions from </w:t>
      </w:r>
      <w:r w:rsidRPr="001D5327">
        <w:rPr>
          <w:i/>
          <w:iCs/>
        </w:rPr>
        <w:t>Agricultural soils</w:t>
      </w:r>
      <w:r w:rsidRPr="001D5327">
        <w:t>.</w:t>
      </w:r>
    </w:p>
    <w:p w14:paraId="01B01DE1" w14:textId="0B70D6B9" w:rsidR="00934E13" w:rsidRPr="001D5327" w:rsidRDefault="00934E13" w:rsidP="00934E13">
      <w:pPr>
        <w:pStyle w:val="BodyText"/>
      </w:pPr>
      <w:r w:rsidRPr="001D5327">
        <w:t xml:space="preserve">The increase in emissions from </w:t>
      </w:r>
      <w:r w:rsidRPr="001D5327">
        <w:rPr>
          <w:i/>
          <w:iCs/>
        </w:rPr>
        <w:t>Manure management</w:t>
      </w:r>
      <w:r w:rsidRPr="001D5327">
        <w:t xml:space="preserve"> and </w:t>
      </w:r>
      <w:r w:rsidRPr="001D5327">
        <w:rPr>
          <w:i/>
          <w:iCs/>
        </w:rPr>
        <w:t>Enteric fermentation</w:t>
      </w:r>
      <w:r w:rsidRPr="001D5327">
        <w:t xml:space="preserve"> is driven by an increase in dairy cattle numbers. The increase in dairy </w:t>
      </w:r>
      <w:r w:rsidRPr="001D5327">
        <w:rPr>
          <w:i/>
          <w:iCs/>
        </w:rPr>
        <w:t>Enteric fermentation</w:t>
      </w:r>
      <w:r w:rsidRPr="001D5327">
        <w:t xml:space="preserve"> emissions is partially offset by a decline in sheep numbers and a decrease in non-dairy (beef) cattle. The change in animal populations since 1990 reflects the relative financial returns in each sector (</w:t>
      </w:r>
      <w:r w:rsidR="009565AA">
        <w:t>i</w:t>
      </w:r>
      <w:r w:rsidRPr="001D5327">
        <w:t>t has become more profitable to farm dairy cattle than non-dairy cattle or sheep in New Zealand over the reporting period</w:t>
      </w:r>
      <w:r w:rsidR="009565AA">
        <w:t>)</w:t>
      </w:r>
      <w:r w:rsidRPr="001D5327">
        <w:t>.</w:t>
      </w:r>
    </w:p>
    <w:p w14:paraId="5C76DFFB" w14:textId="77777777" w:rsidR="00934E13" w:rsidRPr="001D5327" w:rsidRDefault="00934E13" w:rsidP="00934E13">
      <w:pPr>
        <w:pStyle w:val="Heading5"/>
      </w:pPr>
      <w:bookmarkStart w:id="139" w:name="section-12"/>
      <w:r w:rsidRPr="001D5327">
        <w:t>2022–2023</w:t>
      </w:r>
    </w:p>
    <w:p w14:paraId="577B9692" w14:textId="77777777" w:rsidR="00934E13" w:rsidRPr="001D5327" w:rsidRDefault="00934E13" w:rsidP="00934E13">
      <w:pPr>
        <w:pStyle w:val="BodyText"/>
      </w:pPr>
      <w:r w:rsidRPr="001D5327">
        <w:t>Between 2022 and 2023, total Agriculture emissions decreased 2.2 per cent (908.4 kt CO</w:t>
      </w:r>
      <w:r w:rsidRPr="001D5327">
        <w:rPr>
          <w:vertAlign w:val="subscript"/>
        </w:rPr>
        <w:t>2</w:t>
      </w:r>
      <w:r w:rsidRPr="001D5327">
        <w:t>-e), largely due to a decrease in emissions from dairy cattle, non-dairy cattle, sheep, and limestone application. Specifically:</w:t>
      </w:r>
    </w:p>
    <w:p w14:paraId="3B4C4F95" w14:textId="77777777" w:rsidR="00934E13" w:rsidRPr="001D5327" w:rsidRDefault="00934E13" w:rsidP="00934E13">
      <w:pPr>
        <w:pStyle w:val="Bullet"/>
      </w:pPr>
      <w:r w:rsidRPr="001D5327">
        <w:t>dairy cattle emissions decreased by 1.6 per cent (328.2 kt CO</w:t>
      </w:r>
      <w:r w:rsidRPr="001D5327">
        <w:rPr>
          <w:vertAlign w:val="subscript"/>
        </w:rPr>
        <w:t>2</w:t>
      </w:r>
      <w:r w:rsidRPr="001D5327">
        <w:t>-e) due to a decrease in the dairy cattle population</w:t>
      </w:r>
    </w:p>
    <w:p w14:paraId="7995DA39" w14:textId="77777777" w:rsidR="00934E13" w:rsidRPr="001D5327" w:rsidRDefault="00934E13" w:rsidP="00934E13">
      <w:pPr>
        <w:pStyle w:val="Bullet"/>
      </w:pPr>
      <w:r w:rsidRPr="001D5327">
        <w:t>sheep emissions decreased by 3.1 per cent (294.6 kt CO</w:t>
      </w:r>
      <w:r w:rsidRPr="001D5327">
        <w:rPr>
          <w:vertAlign w:val="subscript"/>
        </w:rPr>
        <w:t>2</w:t>
      </w:r>
      <w:r w:rsidRPr="001D5327">
        <w:t>-e) due to a continuing decrease in the sheep population</w:t>
      </w:r>
    </w:p>
    <w:p w14:paraId="04E1A769" w14:textId="77777777" w:rsidR="00934E13" w:rsidRPr="001D5327" w:rsidRDefault="00934E13" w:rsidP="00934E13">
      <w:pPr>
        <w:pStyle w:val="Bullet"/>
      </w:pPr>
      <w:r w:rsidRPr="001D5327">
        <w:t>emissions from limestone use decreased by 38.8 per cent (166.6 kt CO</w:t>
      </w:r>
      <w:r w:rsidRPr="001D5327">
        <w:rPr>
          <w:vertAlign w:val="subscript"/>
        </w:rPr>
        <w:t>2</w:t>
      </w:r>
      <w:r w:rsidRPr="001D5327">
        <w:t>-e) due to a decrease in limestone use</w:t>
      </w:r>
    </w:p>
    <w:p w14:paraId="5FE00D6E" w14:textId="77777777" w:rsidR="00934E13" w:rsidRPr="001D5327" w:rsidRDefault="00934E13" w:rsidP="00934E13">
      <w:pPr>
        <w:pStyle w:val="Bullet"/>
      </w:pPr>
      <w:r w:rsidRPr="001D5327">
        <w:t>non-dairy cattle emissions decreased by 1.5 per cent (127.8 kt CO</w:t>
      </w:r>
      <w:r w:rsidRPr="001D5327">
        <w:rPr>
          <w:vertAlign w:val="subscript"/>
        </w:rPr>
        <w:t>2</w:t>
      </w:r>
      <w:r w:rsidRPr="001D5327">
        <w:t>-e) due to a decrease in the beef cattle population.</w:t>
      </w:r>
    </w:p>
    <w:p w14:paraId="31702E32" w14:textId="14686D4B" w:rsidR="00934E13" w:rsidRPr="001D5327" w:rsidRDefault="00934E13" w:rsidP="002A7CB0">
      <w:pPr>
        <w:pStyle w:val="BodyText"/>
        <w:spacing w:after="100"/>
      </w:pPr>
      <w:r w:rsidRPr="001D5327">
        <w:lastRenderedPageBreak/>
        <w:t>Emissions from urea (CO</w:t>
      </w:r>
      <w:r w:rsidRPr="001D5327">
        <w:rPr>
          <w:vertAlign w:val="subscript"/>
        </w:rPr>
        <w:t>2</w:t>
      </w:r>
      <w:r w:rsidRPr="001D5327">
        <w:t xml:space="preserve"> and N</w:t>
      </w:r>
      <w:r w:rsidRPr="001D5327">
        <w:rPr>
          <w:vertAlign w:val="subscript"/>
        </w:rPr>
        <w:t>2</w:t>
      </w:r>
      <w:r w:rsidRPr="001D5327">
        <w:t>O) increased by 11.3 per cent (126.0 kt CO</w:t>
      </w:r>
      <w:r w:rsidRPr="001D5327">
        <w:rPr>
          <w:vertAlign w:val="subscript"/>
        </w:rPr>
        <w:t>2</w:t>
      </w:r>
      <w:r w:rsidRPr="001D5327">
        <w:t>-e) due to an increase in urea use and decrease in urease inhibitor use. This increase reflects a slight recovery in urea use following a significant decrease in 2022. The impact of increased emissions from urea from 2022 to 2023 was largely offset by a decrease in the use of other</w:t>
      </w:r>
      <w:r w:rsidR="002A7CB0" w:rsidRPr="001D5327">
        <w:t> </w:t>
      </w:r>
      <w:r w:rsidRPr="001D5327">
        <w:t>(non-urea) synthetic nitrogen fertilisers.</w:t>
      </w:r>
    </w:p>
    <w:p w14:paraId="37A909F5" w14:textId="77777777" w:rsidR="00934E13" w:rsidRPr="001D5327" w:rsidRDefault="00934E13" w:rsidP="00934E13">
      <w:pPr>
        <w:pStyle w:val="Heading4"/>
      </w:pPr>
      <w:bookmarkStart w:id="140" w:name="lulucf-sector"/>
      <w:bookmarkEnd w:id="137"/>
      <w:bookmarkEnd w:id="139"/>
      <w:r w:rsidRPr="001D5327">
        <w:t>LULUCF sector</w:t>
      </w:r>
    </w:p>
    <w:p w14:paraId="6AEFD504" w14:textId="77777777" w:rsidR="00934E13" w:rsidRPr="001D5327" w:rsidRDefault="00934E13" w:rsidP="00934E13">
      <w:pPr>
        <w:pStyle w:val="Heading5"/>
        <w:spacing w:before="180"/>
      </w:pPr>
      <w:r w:rsidRPr="001D5327">
        <w:t>2023</w:t>
      </w:r>
    </w:p>
    <w:p w14:paraId="0DCBF291" w14:textId="75660B2B" w:rsidR="00934E13" w:rsidRPr="001D5327" w:rsidRDefault="00934E13" w:rsidP="00934E13">
      <w:pPr>
        <w:pStyle w:val="BodyText"/>
      </w:pPr>
      <w:r w:rsidRPr="001D5327">
        <w:t xml:space="preserve">In 2023, net emissions from the LULUCF sector were </w:t>
      </w:r>
      <w:r w:rsidR="003C45F8">
        <w:t>-</w:t>
      </w:r>
      <w:r w:rsidRPr="001D5327">
        <w:t>20,197.1 kt CO</w:t>
      </w:r>
      <w:r w:rsidRPr="001D5327">
        <w:rPr>
          <w:vertAlign w:val="subscript"/>
        </w:rPr>
        <w:t>2</w:t>
      </w:r>
      <w:r w:rsidRPr="001D5327">
        <w:t xml:space="preserve">-e, or </w:t>
      </w:r>
      <w:r w:rsidR="003C45F8">
        <w:t>-</w:t>
      </w:r>
      <w:r w:rsidRPr="001D5327">
        <w:t xml:space="preserve">26.4 per cent of New Zealand’s gross greenhouse gas emissions. This comprises net emissions of </w:t>
      </w:r>
      <w:r w:rsidR="003C45F8">
        <w:t>-</w:t>
      </w:r>
      <w:r w:rsidRPr="001D5327">
        <w:t>20,511.0 kt CO</w:t>
      </w:r>
      <w:r w:rsidRPr="001D5327">
        <w:rPr>
          <w:vertAlign w:val="subscript"/>
        </w:rPr>
        <w:t>2</w:t>
      </w:r>
      <w:r w:rsidRPr="001D5327">
        <w:t>, emissions of 45.8 kt CO</w:t>
      </w:r>
      <w:r w:rsidRPr="001D5327">
        <w:rPr>
          <w:vertAlign w:val="subscript"/>
        </w:rPr>
        <w:t>2</w:t>
      </w:r>
      <w:r w:rsidRPr="001D5327">
        <w:t>-e of CH</w:t>
      </w:r>
      <w:r w:rsidRPr="001D5327">
        <w:rPr>
          <w:vertAlign w:val="subscript"/>
        </w:rPr>
        <w:t>4</w:t>
      </w:r>
      <w:r w:rsidRPr="001D5327">
        <w:t xml:space="preserve"> and 268.0 kt CO</w:t>
      </w:r>
      <w:r w:rsidRPr="001D5327">
        <w:rPr>
          <w:vertAlign w:val="subscript"/>
        </w:rPr>
        <w:t>2</w:t>
      </w:r>
      <w:r w:rsidRPr="001D5327">
        <w:t>-e of N</w:t>
      </w:r>
      <w:r w:rsidRPr="001D5327">
        <w:rPr>
          <w:vertAlign w:val="subscript"/>
        </w:rPr>
        <w:t>2</w:t>
      </w:r>
      <w:r w:rsidRPr="001D5327">
        <w:t xml:space="preserve">O. The category contributing the most to both removals and emissions is </w:t>
      </w:r>
      <w:r w:rsidRPr="001D5327">
        <w:rPr>
          <w:i/>
        </w:rPr>
        <w:t>Forest land remaining forest land</w:t>
      </w:r>
      <w:r w:rsidRPr="001D5327">
        <w:t>. This is because large removals result from the growth of all forests on this land and there are also large emissions from the sustainable harvest of New Zealand’s plantation forests.</w:t>
      </w:r>
    </w:p>
    <w:p w14:paraId="64255EBE" w14:textId="77777777" w:rsidR="00934E13" w:rsidRPr="001D5327" w:rsidRDefault="00934E13" w:rsidP="00934E13">
      <w:pPr>
        <w:pStyle w:val="Heading5"/>
      </w:pPr>
      <w:r w:rsidRPr="001D5327">
        <w:t>1990–2023</w:t>
      </w:r>
    </w:p>
    <w:p w14:paraId="08B09676" w14:textId="0C150244" w:rsidR="00934E13" w:rsidRPr="001D5327" w:rsidRDefault="00934E13" w:rsidP="00934E13">
      <w:pPr>
        <w:pStyle w:val="BodyText"/>
      </w:pPr>
      <w:r w:rsidRPr="001D5327">
        <w:t>Net emissions in 2023 have increased by 4,136.9 kt CO</w:t>
      </w:r>
      <w:r w:rsidRPr="001D5327">
        <w:rPr>
          <w:vertAlign w:val="subscript"/>
        </w:rPr>
        <w:t>2</w:t>
      </w:r>
      <w:r w:rsidRPr="001D5327">
        <w:t xml:space="preserve">-e (17.0 per cent) from the 1990 level of </w:t>
      </w:r>
      <w:r w:rsidR="003C45F8">
        <w:t>-</w:t>
      </w:r>
      <w:r w:rsidRPr="001D5327">
        <w:t>24,334.1 kt CO</w:t>
      </w:r>
      <w:r w:rsidRPr="001D5327">
        <w:rPr>
          <w:vertAlign w:val="subscript"/>
        </w:rPr>
        <w:t>2</w:t>
      </w:r>
      <w:r w:rsidRPr="001D5327">
        <w:t xml:space="preserve">-e (see chapter 6, table 6.1.1 and figure 6.1.1). This is largely due to a reduction in removals from </w:t>
      </w:r>
      <w:r w:rsidRPr="001D5327">
        <w:rPr>
          <w:i/>
        </w:rPr>
        <w:t>Forest land</w:t>
      </w:r>
      <w:r w:rsidRPr="001D5327">
        <w:t xml:space="preserve"> and an increase in emissions from </w:t>
      </w:r>
      <w:r w:rsidRPr="001D5327">
        <w:rPr>
          <w:i/>
        </w:rPr>
        <w:t>Grassland</w:t>
      </w:r>
      <w:r w:rsidRPr="001D5327">
        <w:t xml:space="preserve"> (mainly due to emissions from deforestation and conversions among grassland categories) since 1990. The reduction in removals from </w:t>
      </w:r>
      <w:r w:rsidRPr="001D5327">
        <w:rPr>
          <w:i/>
        </w:rPr>
        <w:t>Forest land</w:t>
      </w:r>
      <w:r w:rsidRPr="001D5327">
        <w:t xml:space="preserve"> is driven by high current harvest rates (see chapter 6, figure 6.4.3), which are a result of the significant land-use changes to forest land that occurred in the 1980s and 1990s (see chapter 6, figure 6.4.1). The planted forests that were established during this period have progressively been reaching harvesting age, and that will continue into the mid-2020s. As the high harvesting rates continue, the average age of the planted forest estate is reduced each year when the harvested forests are replanted. Young forest stands have lower rates of removal than older stands.</w:t>
      </w:r>
    </w:p>
    <w:p w14:paraId="7988F4DF" w14:textId="77777777" w:rsidR="00934E13" w:rsidRPr="001D5327" w:rsidRDefault="00934E13" w:rsidP="00934E13">
      <w:pPr>
        <w:pStyle w:val="BodyText"/>
      </w:pPr>
      <w:r w:rsidRPr="001D5327">
        <w:t>Harvesting and replanting cycles of New Zealand’s planted forests will continue to affect the trajectory of New Zealand’s net emissions in the future due to their uneven age-class profile. The increased emissions from harvesting have been compensated for, to some extent, by increased removals in the harvested wood products pool due to inputs into this pool exceeding emissions from decay.</w:t>
      </w:r>
    </w:p>
    <w:p w14:paraId="1626FE35" w14:textId="74A050F8" w:rsidR="00934E13" w:rsidRPr="001D5327" w:rsidRDefault="00934E13" w:rsidP="00934E13">
      <w:pPr>
        <w:pStyle w:val="BodyText"/>
      </w:pPr>
      <w:r w:rsidRPr="001D5327">
        <w:t xml:space="preserve">Emissions in the LULUCF sector are primarily driven by the harvest of production forests, deforestation and the decomposition of organic material following these activities. Removals </w:t>
      </w:r>
      <w:r w:rsidRPr="001D5327">
        <w:rPr>
          <w:spacing w:val="-2"/>
        </w:rPr>
        <w:t>are mainly from the sequestration of carbon that occurs due to plant growth and the production</w:t>
      </w:r>
      <w:r w:rsidRPr="001D5327">
        <w:t xml:space="preserve"> of </w:t>
      </w:r>
      <w:r w:rsidRPr="001D5327">
        <w:rPr>
          <w:i/>
          <w:iCs/>
        </w:rPr>
        <w:t>Harvested wood products</w:t>
      </w:r>
      <w:r w:rsidRPr="001D5327">
        <w:t>. Nitrous oxide can be emitted from the ecosystem as a by-product of nitrification and denitrification, and the burning of organic matter. Other gases released during biomass burning include CH</w:t>
      </w:r>
      <w:r w:rsidRPr="001D5327">
        <w:rPr>
          <w:vertAlign w:val="subscript"/>
        </w:rPr>
        <w:t>4</w:t>
      </w:r>
      <w:r w:rsidRPr="001D5327">
        <w:t>, carbon monoxide (CO), other oxides of nitrogen (NO</w:t>
      </w:r>
      <w:r w:rsidRPr="001D5327">
        <w:rPr>
          <w:vertAlign w:val="subscript"/>
        </w:rPr>
        <w:t>x</w:t>
      </w:r>
      <w:r w:rsidRPr="001D5327">
        <w:t>) and</w:t>
      </w:r>
      <w:r w:rsidR="002A7CB0" w:rsidRPr="001D5327">
        <w:t> </w:t>
      </w:r>
      <w:r w:rsidRPr="001D5327">
        <w:t>non-methane volatile organic compounds (NMVOCs).</w:t>
      </w:r>
    </w:p>
    <w:p w14:paraId="70F30002" w14:textId="77777777" w:rsidR="00934E13" w:rsidRPr="001D5327" w:rsidRDefault="00934E13" w:rsidP="00934E13">
      <w:pPr>
        <w:pStyle w:val="BodyText"/>
      </w:pPr>
      <w:r w:rsidRPr="001D5327">
        <w:t>The fluctuations in net emissions from the LULUCF sector since 1990 (see figure 2.2.10) were primarily influenced by afforestation, harvesting, and deforestation rates. Harvesting rates are driven by several factors, particularly forest age and log prices.</w:t>
      </w:r>
    </w:p>
    <w:p w14:paraId="355434E1" w14:textId="77777777" w:rsidR="00934E13" w:rsidRPr="001D5327" w:rsidRDefault="00934E13" w:rsidP="00934E13">
      <w:pPr>
        <w:pStyle w:val="BodyText"/>
      </w:pPr>
      <w:r w:rsidRPr="001D5327">
        <w:t>Net emissions in the LULUCF sector have been generally increasing over the past decade. Current harvest rates are near historically high levels due to the significant land-use changes to forest land that occurred in the 1980s and 1990s.</w:t>
      </w:r>
    </w:p>
    <w:p w14:paraId="7A7D61CB" w14:textId="77777777" w:rsidR="00934E13" w:rsidRPr="001D5327" w:rsidRDefault="00934E13" w:rsidP="00934E13">
      <w:pPr>
        <w:pStyle w:val="BodyText"/>
      </w:pPr>
      <w:r w:rsidRPr="001D5327">
        <w:lastRenderedPageBreak/>
        <w:t>Deforestation rates are driven by the relative profitability of forestry compared with alternative land uses.</w:t>
      </w:r>
    </w:p>
    <w:p w14:paraId="371DA295" w14:textId="77777777" w:rsidR="00934E13" w:rsidRPr="001D5327" w:rsidRDefault="00934E13" w:rsidP="00934E13">
      <w:pPr>
        <w:pStyle w:val="Figure"/>
      </w:pPr>
      <w:bookmarkStart w:id="141" w:name="_Toc194674832"/>
      <w:r w:rsidRPr="001D5327">
        <w:t>Figure 2.2.10</w:t>
      </w:r>
      <w:r w:rsidRPr="001D5327">
        <w:tab/>
        <w:t xml:space="preserve">New Zealand’s LULUCF sector net emissions, from </w:t>
      </w:r>
      <w:r w:rsidRPr="001D5327">
        <w:rPr>
          <w:bCs/>
        </w:rPr>
        <w:t>1990</w:t>
      </w:r>
      <w:r w:rsidRPr="001D5327">
        <w:t xml:space="preserve"> to </w:t>
      </w:r>
      <w:r w:rsidRPr="001D5327">
        <w:rPr>
          <w:bCs/>
        </w:rPr>
        <w:t>2023</w:t>
      </w:r>
      <w:bookmarkEnd w:id="141"/>
    </w:p>
    <w:p w14:paraId="06F2EF18" w14:textId="77777777" w:rsidR="00934E13" w:rsidRPr="001D5327" w:rsidRDefault="00934E13" w:rsidP="00934E13">
      <w:pPr>
        <w:pStyle w:val="BodyText"/>
      </w:pPr>
      <w:r w:rsidRPr="001D5327">
        <w:rPr>
          <w:noProof/>
        </w:rPr>
        <w:drawing>
          <wp:inline distT="0" distB="0" distL="0" distR="0" wp14:anchorId="48C5F8FD" wp14:editId="6DEDEBEE">
            <wp:extent cx="5397500" cy="4048125"/>
            <wp:effectExtent l="0" t="0" r="0" b="0"/>
            <wp:docPr id="76" name="Picture" descr="A line graph with numbers and a line&#10;&#10;AI-generated content may be incorrect."/>
            <wp:cNvGraphicFramePr/>
            <a:graphic xmlns:a="http://schemas.openxmlformats.org/drawingml/2006/main">
              <a:graphicData uri="http://schemas.openxmlformats.org/drawingml/2006/picture">
                <pic:pic xmlns:pic="http://schemas.openxmlformats.org/drawingml/2006/picture">
                  <pic:nvPicPr>
                    <pic:cNvPr id="76" name="Picture" descr="A line graph with numbers and a line&#10;&#10;AI-generated content may be incorrect."/>
                    <pic:cNvPicPr>
                      <a:picLocks noChangeAspect="1" noChangeArrowheads="1"/>
                    </pic:cNvPicPr>
                  </pic:nvPicPr>
                  <pic:blipFill>
                    <a:blip r:embed="rId47"/>
                    <a:stretch>
                      <a:fillRect/>
                    </a:stretch>
                  </pic:blipFill>
                  <pic:spPr bwMode="auto">
                    <a:xfrm>
                      <a:off x="0" y="0"/>
                      <a:ext cx="5397500" cy="4048125"/>
                    </a:xfrm>
                    <a:prstGeom prst="rect">
                      <a:avLst/>
                    </a:prstGeom>
                    <a:noFill/>
                    <a:ln w="9525">
                      <a:noFill/>
                      <a:headEnd/>
                      <a:tailEnd/>
                    </a:ln>
                  </pic:spPr>
                </pic:pic>
              </a:graphicData>
            </a:graphic>
          </wp:inline>
        </w:drawing>
      </w:r>
    </w:p>
    <w:p w14:paraId="30CB31B4" w14:textId="77777777" w:rsidR="00934E13" w:rsidRPr="001D5327" w:rsidRDefault="00934E13" w:rsidP="00934E13">
      <w:pPr>
        <w:pStyle w:val="Heading5"/>
      </w:pPr>
      <w:bookmarkStart w:id="142" w:name="section-15"/>
      <w:r w:rsidRPr="001D5327">
        <w:t>2022–2023</w:t>
      </w:r>
    </w:p>
    <w:p w14:paraId="7E3E92E4" w14:textId="77777777" w:rsidR="00934E13" w:rsidRPr="001D5327" w:rsidRDefault="00934E13" w:rsidP="00934E13">
      <w:pPr>
        <w:pStyle w:val="BodyText"/>
      </w:pPr>
      <w:r w:rsidRPr="001D5327">
        <w:t>Net emissions from the LULUCF sector decreased between 2022 and 2023 by 824.4 kt CO</w:t>
      </w:r>
      <w:r w:rsidRPr="001D5327">
        <w:rPr>
          <w:vertAlign w:val="subscript"/>
        </w:rPr>
        <w:t>2</w:t>
      </w:r>
      <w:r w:rsidRPr="001D5327">
        <w:t>-e (4.3 per cent) (see chapter 6, table 6.1.2).</w:t>
      </w:r>
    </w:p>
    <w:p w14:paraId="41962020" w14:textId="77777777" w:rsidR="00934E13" w:rsidRPr="001D5327" w:rsidRDefault="00934E13" w:rsidP="00934E13">
      <w:pPr>
        <w:pStyle w:val="BodyText"/>
      </w:pPr>
      <w:r w:rsidRPr="001D5327">
        <w:t xml:space="preserve">The largest change occurred in the </w:t>
      </w:r>
      <w:r w:rsidRPr="001D5327">
        <w:rPr>
          <w:i/>
          <w:iCs/>
        </w:rPr>
        <w:t>Forest land</w:t>
      </w:r>
      <w:r w:rsidRPr="001D5327">
        <w:t xml:space="preserve"> category, with a decrease in emissions of 952.1 kt CO</w:t>
      </w:r>
      <w:r w:rsidRPr="001D5327">
        <w:rPr>
          <w:vertAlign w:val="subscript"/>
        </w:rPr>
        <w:t>2</w:t>
      </w:r>
      <w:r w:rsidRPr="001D5327">
        <w:t>-e, driven by reduced harvesting rates in planted forests between 2022 and 2023 (</w:t>
      </w:r>
      <w:r w:rsidRPr="001D5327">
        <w:rPr>
          <w:spacing w:val="-2"/>
        </w:rPr>
        <w:t xml:space="preserve">chapter 6, figure 6.4.3). The </w:t>
      </w:r>
      <w:r w:rsidRPr="001D5327">
        <w:rPr>
          <w:i/>
          <w:iCs/>
          <w:spacing w:val="-2"/>
        </w:rPr>
        <w:t>Harvested wood products</w:t>
      </w:r>
      <w:r w:rsidRPr="001D5327">
        <w:rPr>
          <w:spacing w:val="-2"/>
        </w:rPr>
        <w:t xml:space="preserve"> category had the second-largest change, with an increase in emissions of 774.0 kt CO</w:t>
      </w:r>
      <w:r w:rsidRPr="001D5327">
        <w:rPr>
          <w:spacing w:val="-2"/>
          <w:vertAlign w:val="subscript"/>
        </w:rPr>
        <w:t>2</w:t>
      </w:r>
      <w:r w:rsidRPr="001D5327">
        <w:rPr>
          <w:spacing w:val="-2"/>
        </w:rPr>
        <w:t>-e, which was also driven by the reduction</w:t>
      </w:r>
      <w:r w:rsidRPr="001D5327">
        <w:t xml:space="preserve"> in harvesting of planted forests, and corresponding reduction in products entering the harvested wood products pool. The </w:t>
      </w:r>
      <w:r w:rsidRPr="001D5327">
        <w:rPr>
          <w:i/>
          <w:iCs/>
        </w:rPr>
        <w:t>Grassland</w:t>
      </w:r>
      <w:r w:rsidRPr="001D5327">
        <w:t xml:space="preserve"> category had the third-largest change, with a decrease in emissions of 684.7 kt CO</w:t>
      </w:r>
      <w:r w:rsidRPr="001D5327">
        <w:rPr>
          <w:vertAlign w:val="subscript"/>
        </w:rPr>
        <w:t>2</w:t>
      </w:r>
      <w:r w:rsidRPr="001D5327">
        <w:t>-e. This was driven by lower deforestation rates in 2023 compared with 2022.</w:t>
      </w:r>
    </w:p>
    <w:p w14:paraId="375B49A9" w14:textId="77777777" w:rsidR="00934E13" w:rsidRPr="001D5327" w:rsidRDefault="00934E13" w:rsidP="00934E13">
      <w:pPr>
        <w:pStyle w:val="Heading4"/>
      </w:pPr>
      <w:bookmarkStart w:id="143" w:name="waste-sector"/>
      <w:bookmarkEnd w:id="140"/>
      <w:bookmarkEnd w:id="142"/>
      <w:r w:rsidRPr="001D5327">
        <w:t>Waste sector</w:t>
      </w:r>
    </w:p>
    <w:p w14:paraId="4425B0A9" w14:textId="77777777" w:rsidR="00934E13" w:rsidRPr="001D5327" w:rsidRDefault="00934E13" w:rsidP="00934E13">
      <w:pPr>
        <w:pStyle w:val="BodyText"/>
      </w:pPr>
      <w:r w:rsidRPr="001D5327">
        <w:t>The Waste sector in New Zealand produces mainly CH</w:t>
      </w:r>
      <w:r w:rsidRPr="001D5327">
        <w:rPr>
          <w:vertAlign w:val="subscript"/>
        </w:rPr>
        <w:t>4</w:t>
      </w:r>
      <w:r w:rsidRPr="001D5327">
        <w:t xml:space="preserve"> (91.9 per cent) followed by N</w:t>
      </w:r>
      <w:r w:rsidRPr="001D5327">
        <w:rPr>
          <w:vertAlign w:val="subscript"/>
        </w:rPr>
        <w:t>2</w:t>
      </w:r>
      <w:r w:rsidRPr="001D5327">
        <w:t>O (5.3 per cent) and CO</w:t>
      </w:r>
      <w:r w:rsidRPr="001D5327">
        <w:rPr>
          <w:vertAlign w:val="subscript"/>
        </w:rPr>
        <w:t>2</w:t>
      </w:r>
      <w:r w:rsidRPr="001D5327">
        <w:t xml:space="preserve"> (2.8 per cent) emissions. The Waste sector produces 7.3 per cent of gross CH</w:t>
      </w:r>
      <w:r w:rsidRPr="001D5327">
        <w:rPr>
          <w:vertAlign w:val="subscript"/>
        </w:rPr>
        <w:t>4</w:t>
      </w:r>
      <w:r w:rsidRPr="001D5327">
        <w:t xml:space="preserve"> emissions in New Zealand. The disposal of solid waste also generates CO</w:t>
      </w:r>
      <w:r w:rsidRPr="001D5327">
        <w:rPr>
          <w:vertAlign w:val="subscript"/>
        </w:rPr>
        <w:t>2</w:t>
      </w:r>
      <w:r w:rsidRPr="001D5327">
        <w:t xml:space="preserve"> emissions, however, as these are of biogenic origin, they are not reported.</w:t>
      </w:r>
    </w:p>
    <w:p w14:paraId="74F71C2F" w14:textId="77777777" w:rsidR="00934E13" w:rsidRPr="001D5327" w:rsidRDefault="00934E13" w:rsidP="00934E13">
      <w:pPr>
        <w:pStyle w:val="Heading5"/>
      </w:pPr>
      <w:r w:rsidRPr="001D5327">
        <w:lastRenderedPageBreak/>
        <w:t>2023</w:t>
      </w:r>
    </w:p>
    <w:p w14:paraId="47011A47" w14:textId="77777777" w:rsidR="00934E13" w:rsidRPr="001D5327" w:rsidRDefault="00934E13" w:rsidP="00934E13">
      <w:pPr>
        <w:pStyle w:val="BodyText"/>
      </w:pPr>
      <w:r w:rsidRPr="001D5327">
        <w:t>In 2023, emissions from the Waste sector contributed 2,916.6 kt CO</w:t>
      </w:r>
      <w:r w:rsidRPr="001D5327">
        <w:rPr>
          <w:vertAlign w:val="subscript"/>
        </w:rPr>
        <w:t>2</w:t>
      </w:r>
      <w:r w:rsidRPr="001D5327">
        <w:t xml:space="preserve">-e or 3.8 per cent of New Zealand’s gross GHG emissions. The largest source category is </w:t>
      </w:r>
      <w:r w:rsidRPr="001D5327">
        <w:rPr>
          <w:i/>
        </w:rPr>
        <w:t>Solid waste disposal</w:t>
      </w:r>
      <w:r w:rsidRPr="001D5327">
        <w:t>, as shown in chapter 7, table 7.1.1.</w:t>
      </w:r>
    </w:p>
    <w:p w14:paraId="105A0284" w14:textId="77777777" w:rsidR="00934E13" w:rsidRPr="001D5327" w:rsidRDefault="00934E13" w:rsidP="00934E13">
      <w:pPr>
        <w:pStyle w:val="Heading5"/>
      </w:pPr>
      <w:r w:rsidRPr="001D5327">
        <w:t>1990–2023</w:t>
      </w:r>
    </w:p>
    <w:p w14:paraId="681F4AEE" w14:textId="77777777" w:rsidR="00934E13" w:rsidRPr="001D5327" w:rsidRDefault="00934E13" w:rsidP="00934E13">
      <w:pPr>
        <w:pStyle w:val="BodyText"/>
      </w:pPr>
      <w:r w:rsidRPr="001D5327">
        <w:t>In 2023, emissions from the Waste sector decreased by 11.0 per cent (361.0 kt CO</w:t>
      </w:r>
      <w:r w:rsidRPr="001D5327">
        <w:rPr>
          <w:vertAlign w:val="subscript"/>
        </w:rPr>
        <w:t>2</w:t>
      </w:r>
      <w:r w:rsidRPr="001D5327">
        <w:t>-e), from 3,277.6 kt CO</w:t>
      </w:r>
      <w:r w:rsidRPr="001D5327">
        <w:rPr>
          <w:vertAlign w:val="subscript"/>
        </w:rPr>
        <w:t>2</w:t>
      </w:r>
      <w:r w:rsidRPr="001D5327">
        <w:t>-e in 1990.</w:t>
      </w:r>
    </w:p>
    <w:p w14:paraId="138A8985" w14:textId="77777777" w:rsidR="00934E13" w:rsidRPr="001D5327" w:rsidRDefault="00934E13" w:rsidP="00934E13">
      <w:pPr>
        <w:pStyle w:val="BodyText"/>
      </w:pPr>
      <w:r w:rsidRPr="001D5327">
        <w:t>Annual emissions peaked at 3,830.2 kt CO</w:t>
      </w:r>
      <w:r w:rsidRPr="001D5327">
        <w:rPr>
          <w:vertAlign w:val="subscript"/>
        </w:rPr>
        <w:t>2</w:t>
      </w:r>
      <w:r w:rsidRPr="001D5327">
        <w:t xml:space="preserve">-e in 2002 and have generally been in decline since that time. Growth in population and economic activity since 1990 has resulted in increasing </w:t>
      </w:r>
      <w:r w:rsidRPr="001D5327">
        <w:rPr>
          <w:spacing w:val="-2"/>
        </w:rPr>
        <w:t>volumes of solid waste and wastewater for the whole of the time series. Ongoing improvements</w:t>
      </w:r>
      <w:r w:rsidRPr="001D5327">
        <w:t xml:space="preserve"> in the management of solid waste disposal at municipal landfills have meant total Waste sector emissions have been trending down since 2005, despite increasing volumes of solid waste and wastewater. </w:t>
      </w:r>
    </w:p>
    <w:p w14:paraId="44CA6CDD" w14:textId="77777777" w:rsidR="00934E13" w:rsidRPr="001D5327" w:rsidRDefault="00934E13" w:rsidP="00934E13">
      <w:pPr>
        <w:pStyle w:val="BodyText"/>
      </w:pPr>
      <w:r w:rsidRPr="001D5327">
        <w:t>The reduction in emissions is primarily the result of increased CH</w:t>
      </w:r>
      <w:r w:rsidRPr="001D5327">
        <w:rPr>
          <w:vertAlign w:val="subscript"/>
        </w:rPr>
        <w:t>4</w:t>
      </w:r>
      <w:r w:rsidRPr="001D5327">
        <w:t xml:space="preserve"> recovery through the installation of landfill gas (LPG) capture systems, driven by National Environmental Standards for Air Quality introduced in 2004 and by the inclusion of the Waste sector in the New Zealand Emissions Trading Scheme (NZ ETS) in 2013. These legislative tools have been complemented </w:t>
      </w:r>
      <w:r w:rsidRPr="001D5327">
        <w:rPr>
          <w:spacing w:val="-2"/>
        </w:rPr>
        <w:t>by local government efforts to improve kerbside collections, including for organic waste, across</w:t>
      </w:r>
      <w:r w:rsidRPr="001D5327">
        <w:t xml:space="preserve"> the country, and by a central government waste work programme that includes product stewardship, plastic phase-outs and investment in resource recovery infrastructure for organic materials. Trends in annual emissions are shown in figure 2.2.11 and in chapter 7, figure 7.1.2 and figure 7.1.3.</w:t>
      </w:r>
    </w:p>
    <w:p w14:paraId="24BF20F2" w14:textId="77777777" w:rsidR="00934E13" w:rsidRPr="001D5327" w:rsidRDefault="00934E13" w:rsidP="00934E13">
      <w:pPr>
        <w:pStyle w:val="Figure"/>
      </w:pPr>
      <w:bookmarkStart w:id="144" w:name="_Toc194674833"/>
      <w:r w:rsidRPr="001D5327">
        <w:t>Figure 2.2.11</w:t>
      </w:r>
      <w:r w:rsidRPr="001D5327">
        <w:tab/>
        <w:t xml:space="preserve">New Zealand’s Waste sector emissions, from </w:t>
      </w:r>
      <w:r w:rsidRPr="001D5327">
        <w:rPr>
          <w:bCs/>
        </w:rPr>
        <w:t>1990</w:t>
      </w:r>
      <w:r w:rsidRPr="001D5327">
        <w:t xml:space="preserve"> to </w:t>
      </w:r>
      <w:r w:rsidRPr="001D5327">
        <w:rPr>
          <w:bCs/>
        </w:rPr>
        <w:t>2023</w:t>
      </w:r>
      <w:bookmarkEnd w:id="144"/>
    </w:p>
    <w:p w14:paraId="535FA267" w14:textId="77777777" w:rsidR="00934E13" w:rsidRPr="001D5327" w:rsidRDefault="00934E13" w:rsidP="00934E13">
      <w:pPr>
        <w:pStyle w:val="BodyText"/>
      </w:pPr>
      <w:r w:rsidRPr="001D5327">
        <w:rPr>
          <w:noProof/>
        </w:rPr>
        <w:drawing>
          <wp:inline distT="0" distB="0" distL="0" distR="0" wp14:anchorId="5B810A7C" wp14:editId="007C2F29">
            <wp:extent cx="5334000" cy="3953436"/>
            <wp:effectExtent l="0" t="0" r="0" b="9525"/>
            <wp:docPr id="83" name="Picture" descr="A graph with a line&#10;&#10;AI-generated content may be incorrect."/>
            <wp:cNvGraphicFramePr/>
            <a:graphic xmlns:a="http://schemas.openxmlformats.org/drawingml/2006/main">
              <a:graphicData uri="http://schemas.openxmlformats.org/drawingml/2006/picture">
                <pic:pic xmlns:pic="http://schemas.openxmlformats.org/drawingml/2006/picture">
                  <pic:nvPicPr>
                    <pic:cNvPr id="83" name="Picture" descr="A graph with a line&#10;&#10;AI-generated content may be incorrect."/>
                    <pic:cNvPicPr>
                      <a:picLocks noChangeAspect="1" noChangeArrowheads="1"/>
                    </pic:cNvPicPr>
                  </pic:nvPicPr>
                  <pic:blipFill rotWithShape="1">
                    <a:blip r:embed="rId48"/>
                    <a:srcRect b="1176"/>
                    <a:stretch/>
                  </pic:blipFill>
                  <pic:spPr bwMode="auto">
                    <a:xfrm>
                      <a:off x="0" y="0"/>
                      <a:ext cx="5337324" cy="3955899"/>
                    </a:xfrm>
                    <a:prstGeom prst="rect">
                      <a:avLst/>
                    </a:prstGeom>
                    <a:noFill/>
                    <a:ln>
                      <a:noFill/>
                    </a:ln>
                    <a:extLst>
                      <a:ext uri="{53640926-AAD7-44D8-BBD7-CCE9431645EC}">
                        <a14:shadowObscured xmlns:a14="http://schemas.microsoft.com/office/drawing/2010/main"/>
                      </a:ext>
                    </a:extLst>
                  </pic:spPr>
                </pic:pic>
              </a:graphicData>
            </a:graphic>
          </wp:inline>
        </w:drawing>
      </w:r>
    </w:p>
    <w:p w14:paraId="16E635FE" w14:textId="77777777" w:rsidR="00934E13" w:rsidRPr="001D5327" w:rsidRDefault="00934E13" w:rsidP="00934E13">
      <w:pPr>
        <w:pStyle w:val="Heading5"/>
      </w:pPr>
      <w:bookmarkStart w:id="145" w:name="section-18"/>
      <w:r w:rsidRPr="001D5327">
        <w:lastRenderedPageBreak/>
        <w:t>2022–2023</w:t>
      </w:r>
    </w:p>
    <w:p w14:paraId="18B20C52" w14:textId="77777777" w:rsidR="00934E13" w:rsidRPr="001D5327" w:rsidRDefault="00934E13" w:rsidP="00934E13">
      <w:pPr>
        <w:pStyle w:val="BodyText"/>
      </w:pPr>
      <w:r w:rsidRPr="001D5327">
        <w:t xml:space="preserve">Between </w:t>
      </w:r>
      <w:r w:rsidRPr="001D5327">
        <w:rPr>
          <w:bCs/>
        </w:rPr>
        <w:t>2022 and 2023, emissions from the Waste sector decreased by 0.7 per cent (20.5</w:t>
      </w:r>
      <w:r w:rsidRPr="001D5327">
        <w:t> kt CO</w:t>
      </w:r>
      <w:r w:rsidRPr="001D5327">
        <w:rPr>
          <w:vertAlign w:val="subscript"/>
        </w:rPr>
        <w:t>2</w:t>
      </w:r>
      <w:r w:rsidRPr="001D5327">
        <w:t>-e). This decrease is largely the result of decreases in CH</w:t>
      </w:r>
      <w:r w:rsidRPr="001D5327">
        <w:rPr>
          <w:vertAlign w:val="subscript"/>
        </w:rPr>
        <w:t>4</w:t>
      </w:r>
      <w:r w:rsidRPr="001D5327">
        <w:t xml:space="preserve"> emissions in the </w:t>
      </w:r>
      <w:r w:rsidRPr="001D5327">
        <w:rPr>
          <w:i/>
        </w:rPr>
        <w:t>Managed waste disposal site</w:t>
      </w:r>
      <w:r w:rsidRPr="001D5327">
        <w:t xml:space="preserve"> category, mainly due to increasing landfill gas capture and changes in the composition of waste, with a reduction in the proportion of garden, food and paper waste disposed to those sites.</w:t>
      </w:r>
    </w:p>
    <w:bookmarkEnd w:id="143"/>
    <w:bookmarkEnd w:id="145"/>
    <w:p w14:paraId="018F5E5D" w14:textId="77777777" w:rsidR="00934E13" w:rsidRPr="001D5327" w:rsidRDefault="00934E13" w:rsidP="00934E13">
      <w:pPr>
        <w:pStyle w:val="Heading4"/>
      </w:pPr>
      <w:r w:rsidRPr="001D5327">
        <w:t>Other sector (Tokelau)</w:t>
      </w:r>
    </w:p>
    <w:p w14:paraId="7423CE94" w14:textId="77777777" w:rsidR="00934E13" w:rsidRPr="001D5327" w:rsidRDefault="00934E13" w:rsidP="00934E13">
      <w:pPr>
        <w:pStyle w:val="BodyText"/>
      </w:pPr>
      <w:r w:rsidRPr="001D5327">
        <w:t>Beginning with the 2019 submission, New Zealand’s national inventory has reported gross emissions from Tokelau, which is an overseas dependent territory of New Zealand. Table 2.2.2 shows the contribution of emissions from Tokelau. Generally, in New Zealand’s inventory, net and gross emissions are reported as a total of emissions from New Zealand’s mainland territory, plus gross emissions from Tokelau where applicable. Because emissions from Tokelau are small, and the methodology used varies greatly between Tokelau’s inventory and the inventory for New Zealand’s mainland territory, emissions from Tokelau are reported in the Other sector (CRT sector 6).</w:t>
      </w:r>
    </w:p>
    <w:p w14:paraId="1CB8F7D5" w14:textId="77777777" w:rsidR="00934E13" w:rsidRPr="001D5327" w:rsidRDefault="00934E13" w:rsidP="00934E13">
      <w:pPr>
        <w:pStyle w:val="BodyText"/>
      </w:pPr>
      <w:r w:rsidRPr="001D5327">
        <w:t xml:space="preserve">Methodological issues for Tokelau are detailed in chapter 8, separately from the sectoral chapters that focus on methods for New Zealand’s mainland territory only. Annex 7 provides </w:t>
      </w:r>
      <w:r w:rsidRPr="001D5327">
        <w:rPr>
          <w:spacing w:val="-2"/>
        </w:rPr>
        <w:t>the common reporting tables of the time series for emissions and activity data, and information</w:t>
      </w:r>
      <w:r w:rsidRPr="001D5327">
        <w:t xml:space="preserve"> on methods and emission factors for each sector and category contributing to the gross emissions from Tokelau.</w:t>
      </w:r>
    </w:p>
    <w:p w14:paraId="7F087354" w14:textId="77777777" w:rsidR="00934E13" w:rsidRPr="001D5327" w:rsidRDefault="00934E13" w:rsidP="00934E13">
      <w:pPr>
        <w:pStyle w:val="BodyText"/>
      </w:pPr>
      <w:r w:rsidRPr="001D5327">
        <w:t xml:space="preserve">Due to its small land area, small population and absence of industry, Tokelau has a very low </w:t>
      </w:r>
      <w:r w:rsidRPr="001D5327">
        <w:rPr>
          <w:spacing w:val="-2"/>
        </w:rPr>
        <w:t>impact on the environment and emits very small amounts of GHGs. In relative terms, emission</w:t>
      </w:r>
      <w:r w:rsidRPr="001D5327">
        <w:t>s have increased overall since 1990, due to increasing per capita consumption despite a decrease in population size. Tokelau produces mainly CO</w:t>
      </w:r>
      <w:r w:rsidRPr="001D5327">
        <w:rPr>
          <w:vertAlign w:val="subscript"/>
        </w:rPr>
        <w:t>2</w:t>
      </w:r>
      <w:r w:rsidRPr="001D5327">
        <w:t xml:space="preserve"> emissions (54.5 per cent) and CH</w:t>
      </w:r>
      <w:r w:rsidRPr="001D5327">
        <w:rPr>
          <w:vertAlign w:val="subscript"/>
        </w:rPr>
        <w:t>4</w:t>
      </w:r>
      <w:r w:rsidRPr="001D5327">
        <w:t xml:space="preserve"> emissions (39.4 per cent) followed by HFCs (5.0 per cent) and N</w:t>
      </w:r>
      <w:r w:rsidRPr="001D5327">
        <w:rPr>
          <w:vertAlign w:val="subscript"/>
        </w:rPr>
        <w:t>2</w:t>
      </w:r>
      <w:r w:rsidRPr="001D5327">
        <w:t>O emissions (1.1 per cent). Emissions from HFCs largely come from the use of air conditioning.</w:t>
      </w:r>
    </w:p>
    <w:p w14:paraId="023D4C44" w14:textId="77777777" w:rsidR="00934E13" w:rsidRPr="001D5327" w:rsidRDefault="00934E13" w:rsidP="00934E13">
      <w:pPr>
        <w:pStyle w:val="Table"/>
      </w:pPr>
      <w:bookmarkStart w:id="146" w:name="_Toc194241664"/>
      <w:r w:rsidRPr="001D5327">
        <w:t>Table 2.2.2</w:t>
      </w:r>
      <w:r w:rsidRPr="001D5327">
        <w:tab/>
        <w:t xml:space="preserve">Emissions from Tokelau, </w:t>
      </w:r>
      <w:r w:rsidRPr="001D5327">
        <w:rPr>
          <w:bCs/>
        </w:rPr>
        <w:t>1990</w:t>
      </w:r>
      <w:r w:rsidRPr="001D5327">
        <w:t xml:space="preserve"> and </w:t>
      </w:r>
      <w:r w:rsidRPr="001D5327">
        <w:rPr>
          <w:bCs/>
        </w:rPr>
        <w:t>2023</w:t>
      </w:r>
      <w:bookmarkEnd w:id="146"/>
    </w:p>
    <w:tbl>
      <w:tblPr>
        <w:tblW w:w="8505" w:type="dxa"/>
        <w:tblBorders>
          <w:top w:val="single" w:sz="4" w:space="0" w:color="1B556B"/>
          <w:bottom w:val="single" w:sz="4" w:space="0" w:color="1B556B"/>
          <w:insideH w:val="single" w:sz="4" w:space="0" w:color="1B556B"/>
        </w:tblBorders>
        <w:tblLayout w:type="fixed"/>
        <w:tblCellMar>
          <w:left w:w="85" w:type="dxa"/>
          <w:right w:w="85" w:type="dxa"/>
        </w:tblCellMar>
        <w:tblLook w:val="0420" w:firstRow="1" w:lastRow="0" w:firstColumn="0" w:lastColumn="0" w:noHBand="0" w:noVBand="1"/>
      </w:tblPr>
      <w:tblGrid>
        <w:gridCol w:w="1711"/>
        <w:gridCol w:w="591"/>
        <w:gridCol w:w="591"/>
        <w:gridCol w:w="1241"/>
        <w:gridCol w:w="1064"/>
        <w:gridCol w:w="1595"/>
        <w:gridCol w:w="1712"/>
      </w:tblGrid>
      <w:tr w:rsidR="00934E13" w:rsidRPr="001D5327" w14:paraId="52C19E31" w14:textId="77777777" w:rsidTr="00D86581">
        <w:trPr>
          <w:tblHeader/>
        </w:trPr>
        <w:tc>
          <w:tcPr>
            <w:tcW w:w="1644" w:type="dxa"/>
            <w:shd w:val="clear" w:color="auto" w:fill="1B556B"/>
            <w:tcMar>
              <w:top w:w="0" w:type="dxa"/>
              <w:left w:w="85" w:type="dxa"/>
              <w:bottom w:w="0" w:type="dxa"/>
              <w:right w:w="85" w:type="dxa"/>
            </w:tcMar>
            <w:vAlign w:val="bottom"/>
          </w:tcPr>
          <w:p w14:paraId="04A36BCD" w14:textId="77777777" w:rsidR="00934E13" w:rsidRPr="001D5327" w:rsidRDefault="00934E13" w:rsidP="00341FEF">
            <w:pPr>
              <w:pStyle w:val="TableTextBold"/>
              <w:spacing w:before="40" w:after="40"/>
              <w:rPr>
                <w:noProof w:val="0"/>
                <w:color w:val="FFFFFF" w:themeColor="background1"/>
              </w:rPr>
            </w:pPr>
            <w:r w:rsidRPr="001D5327">
              <w:rPr>
                <w:rFonts w:eastAsia="Calibri"/>
                <w:noProof w:val="0"/>
                <w:color w:val="FFFFFF" w:themeColor="background1"/>
              </w:rPr>
              <w:t>Sector</w:t>
            </w:r>
          </w:p>
        </w:tc>
        <w:tc>
          <w:tcPr>
            <w:tcW w:w="567" w:type="dxa"/>
            <w:shd w:val="clear" w:color="auto" w:fill="1B556B"/>
            <w:tcMar>
              <w:top w:w="0" w:type="dxa"/>
              <w:left w:w="85" w:type="dxa"/>
              <w:bottom w:w="0" w:type="dxa"/>
              <w:right w:w="85" w:type="dxa"/>
            </w:tcMar>
            <w:vAlign w:val="bottom"/>
          </w:tcPr>
          <w:p w14:paraId="0C6B5991" w14:textId="77777777" w:rsidR="00934E13" w:rsidRPr="001D5327" w:rsidRDefault="00934E13" w:rsidP="00341FEF">
            <w:pPr>
              <w:pStyle w:val="TableTextBold"/>
              <w:spacing w:before="40" w:after="40"/>
              <w:jc w:val="right"/>
              <w:rPr>
                <w:noProof w:val="0"/>
                <w:color w:val="FFFFFF" w:themeColor="background1"/>
              </w:rPr>
            </w:pPr>
            <w:r w:rsidRPr="001D5327">
              <w:rPr>
                <w:rFonts w:eastAsia="Calibri"/>
                <w:noProof w:val="0"/>
                <w:color w:val="FFFFFF" w:themeColor="background1"/>
              </w:rPr>
              <w:t>1990</w:t>
            </w:r>
          </w:p>
        </w:tc>
        <w:tc>
          <w:tcPr>
            <w:tcW w:w="567" w:type="dxa"/>
            <w:shd w:val="clear" w:color="auto" w:fill="1B556B"/>
            <w:tcMar>
              <w:top w:w="0" w:type="dxa"/>
              <w:left w:w="85" w:type="dxa"/>
              <w:bottom w:w="0" w:type="dxa"/>
              <w:right w:w="85" w:type="dxa"/>
            </w:tcMar>
            <w:vAlign w:val="bottom"/>
          </w:tcPr>
          <w:p w14:paraId="0D57BBBA" w14:textId="77777777" w:rsidR="00934E13" w:rsidRPr="001D5327" w:rsidRDefault="00934E13" w:rsidP="00341FEF">
            <w:pPr>
              <w:pStyle w:val="TableTextBold"/>
              <w:spacing w:before="40" w:after="40"/>
              <w:jc w:val="right"/>
              <w:rPr>
                <w:noProof w:val="0"/>
                <w:color w:val="FFFFFF" w:themeColor="background1"/>
              </w:rPr>
            </w:pPr>
            <w:r w:rsidRPr="001D5327">
              <w:rPr>
                <w:rFonts w:eastAsia="Calibri"/>
                <w:noProof w:val="0"/>
                <w:color w:val="FFFFFF" w:themeColor="background1"/>
              </w:rPr>
              <w:t>2023</w:t>
            </w:r>
          </w:p>
        </w:tc>
        <w:tc>
          <w:tcPr>
            <w:tcW w:w="1191" w:type="dxa"/>
            <w:shd w:val="clear" w:color="auto" w:fill="1B556B"/>
            <w:tcMar>
              <w:top w:w="0" w:type="dxa"/>
              <w:left w:w="85" w:type="dxa"/>
              <w:bottom w:w="0" w:type="dxa"/>
              <w:right w:w="85" w:type="dxa"/>
            </w:tcMar>
            <w:vAlign w:val="bottom"/>
          </w:tcPr>
          <w:p w14:paraId="79C991A8" w14:textId="77777777" w:rsidR="00934E13" w:rsidRPr="001D5327" w:rsidRDefault="00934E13" w:rsidP="00341FEF">
            <w:pPr>
              <w:pStyle w:val="TableTextBold"/>
              <w:spacing w:before="40" w:after="40"/>
              <w:jc w:val="right"/>
              <w:rPr>
                <w:noProof w:val="0"/>
                <w:color w:val="FFFFFF" w:themeColor="background1"/>
              </w:rPr>
            </w:pPr>
            <w:r w:rsidRPr="001D5327">
              <w:rPr>
                <w:rFonts w:eastAsia="Calibri"/>
                <w:noProof w:val="0"/>
                <w:color w:val="FFFFFF" w:themeColor="background1"/>
              </w:rPr>
              <w:t>Change from 1990 (kt CO</w:t>
            </w:r>
            <w:r w:rsidRPr="001D5327">
              <w:rPr>
                <w:rFonts w:eastAsia="Calibri"/>
                <w:noProof w:val="0"/>
                <w:color w:val="FFFFFF" w:themeColor="background1"/>
                <w:vertAlign w:val="subscript"/>
              </w:rPr>
              <w:t>2</w:t>
            </w:r>
            <w:r w:rsidRPr="001D5327">
              <w:rPr>
                <w:rFonts w:eastAsia="Calibri"/>
                <w:noProof w:val="0"/>
                <w:color w:val="FFFFFF" w:themeColor="background1"/>
              </w:rPr>
              <w:t>-e)</w:t>
            </w:r>
          </w:p>
        </w:tc>
        <w:tc>
          <w:tcPr>
            <w:tcW w:w="1021" w:type="dxa"/>
            <w:shd w:val="clear" w:color="auto" w:fill="1B556B"/>
            <w:tcMar>
              <w:top w:w="0" w:type="dxa"/>
              <w:left w:w="85" w:type="dxa"/>
              <w:bottom w:w="0" w:type="dxa"/>
              <w:right w:w="85" w:type="dxa"/>
            </w:tcMar>
            <w:vAlign w:val="bottom"/>
          </w:tcPr>
          <w:p w14:paraId="44E5D115" w14:textId="77777777" w:rsidR="00934E13" w:rsidRPr="001D5327" w:rsidRDefault="00934E13" w:rsidP="00341FEF">
            <w:pPr>
              <w:pStyle w:val="TableTextBold"/>
              <w:spacing w:before="40" w:after="40"/>
              <w:jc w:val="right"/>
              <w:rPr>
                <w:noProof w:val="0"/>
                <w:color w:val="FFFFFF" w:themeColor="background1"/>
              </w:rPr>
            </w:pPr>
            <w:r w:rsidRPr="001D5327">
              <w:rPr>
                <w:rFonts w:eastAsia="Calibri"/>
                <w:noProof w:val="0"/>
                <w:color w:val="FFFFFF" w:themeColor="background1"/>
              </w:rPr>
              <w:t>Change from 1990 (%)</w:t>
            </w:r>
          </w:p>
        </w:tc>
        <w:tc>
          <w:tcPr>
            <w:tcW w:w="1531" w:type="dxa"/>
            <w:shd w:val="clear" w:color="auto" w:fill="1B556B"/>
            <w:tcMar>
              <w:top w:w="0" w:type="dxa"/>
              <w:left w:w="85" w:type="dxa"/>
              <w:bottom w:w="0" w:type="dxa"/>
              <w:right w:w="85" w:type="dxa"/>
            </w:tcMar>
            <w:vAlign w:val="bottom"/>
          </w:tcPr>
          <w:p w14:paraId="3F92F54F" w14:textId="77777777" w:rsidR="00934E13" w:rsidRPr="001D5327" w:rsidRDefault="00934E13" w:rsidP="00341FEF">
            <w:pPr>
              <w:pStyle w:val="TableTextBold"/>
              <w:spacing w:before="40" w:after="40"/>
              <w:jc w:val="right"/>
              <w:rPr>
                <w:noProof w:val="0"/>
                <w:color w:val="FFFFFF" w:themeColor="background1"/>
              </w:rPr>
            </w:pPr>
            <w:r w:rsidRPr="001D5327">
              <w:rPr>
                <w:rFonts w:eastAsia="Calibri"/>
                <w:noProof w:val="0"/>
                <w:color w:val="FFFFFF" w:themeColor="background1"/>
              </w:rPr>
              <w:t>Contribution to gross for Tokelau (%)</w:t>
            </w:r>
          </w:p>
        </w:tc>
        <w:tc>
          <w:tcPr>
            <w:tcW w:w="1644" w:type="dxa"/>
            <w:shd w:val="clear" w:color="auto" w:fill="1B556B"/>
            <w:tcMar>
              <w:top w:w="0" w:type="dxa"/>
              <w:left w:w="85" w:type="dxa"/>
              <w:bottom w:w="0" w:type="dxa"/>
              <w:right w:w="85" w:type="dxa"/>
            </w:tcMar>
            <w:vAlign w:val="bottom"/>
          </w:tcPr>
          <w:p w14:paraId="03D9BA02" w14:textId="77777777" w:rsidR="00934E13" w:rsidRPr="001D5327" w:rsidRDefault="00934E13" w:rsidP="00341FEF">
            <w:pPr>
              <w:pStyle w:val="TableTextBold"/>
              <w:spacing w:before="40" w:after="40"/>
              <w:jc w:val="right"/>
              <w:rPr>
                <w:rFonts w:eastAsia="Calibri"/>
                <w:noProof w:val="0"/>
                <w:color w:val="FFFFFF" w:themeColor="background1"/>
              </w:rPr>
            </w:pPr>
            <w:r w:rsidRPr="001D5327">
              <w:rPr>
                <w:rFonts w:eastAsia="Calibri"/>
                <w:noProof w:val="0"/>
                <w:color w:val="FFFFFF" w:themeColor="background1"/>
              </w:rPr>
              <w:t>Contribution to gross NZ (incl Tokelau) (%)</w:t>
            </w:r>
          </w:p>
        </w:tc>
      </w:tr>
      <w:tr w:rsidR="00934E13" w:rsidRPr="001D5327" w14:paraId="03D6EA70" w14:textId="77777777" w:rsidTr="00341FEF">
        <w:tc>
          <w:tcPr>
            <w:tcW w:w="1644" w:type="dxa"/>
            <w:shd w:val="clear" w:color="auto" w:fill="FFFFFF" w:themeFill="background1"/>
            <w:tcMar>
              <w:top w:w="0" w:type="dxa"/>
              <w:left w:w="85" w:type="dxa"/>
              <w:bottom w:w="0" w:type="dxa"/>
              <w:right w:w="85" w:type="dxa"/>
            </w:tcMar>
          </w:tcPr>
          <w:p w14:paraId="68DE91DE" w14:textId="77777777" w:rsidR="00934E13" w:rsidRPr="001D5327" w:rsidRDefault="00934E13" w:rsidP="00341FEF">
            <w:pPr>
              <w:pStyle w:val="TableText"/>
              <w:spacing w:before="40" w:after="40"/>
            </w:pPr>
            <w:r w:rsidRPr="001D5327">
              <w:rPr>
                <w:rFonts w:eastAsia="Calibri"/>
                <w:color w:val="000000"/>
              </w:rPr>
              <w:t>Energy for Tokelau</w:t>
            </w:r>
          </w:p>
        </w:tc>
        <w:tc>
          <w:tcPr>
            <w:tcW w:w="567" w:type="dxa"/>
            <w:shd w:val="clear" w:color="auto" w:fill="FFFFFF" w:themeFill="background1"/>
            <w:tcMar>
              <w:top w:w="0" w:type="dxa"/>
              <w:left w:w="85" w:type="dxa"/>
              <w:bottom w:w="0" w:type="dxa"/>
              <w:right w:w="85" w:type="dxa"/>
            </w:tcMar>
          </w:tcPr>
          <w:p w14:paraId="3D8EEA35" w14:textId="77777777" w:rsidR="00934E13" w:rsidRPr="001D5327" w:rsidRDefault="00934E13" w:rsidP="00341FEF">
            <w:pPr>
              <w:pStyle w:val="TableText"/>
              <w:spacing w:before="40" w:after="40"/>
              <w:jc w:val="right"/>
            </w:pPr>
            <w:r w:rsidRPr="001D5327">
              <w:rPr>
                <w:rFonts w:eastAsia="Calibri"/>
                <w:color w:val="000000"/>
              </w:rPr>
              <w:t>1.26</w:t>
            </w:r>
          </w:p>
        </w:tc>
        <w:tc>
          <w:tcPr>
            <w:tcW w:w="567" w:type="dxa"/>
            <w:shd w:val="clear" w:color="auto" w:fill="FFFFFF" w:themeFill="background1"/>
            <w:tcMar>
              <w:top w:w="0" w:type="dxa"/>
              <w:left w:w="85" w:type="dxa"/>
              <w:bottom w:w="0" w:type="dxa"/>
              <w:right w:w="85" w:type="dxa"/>
            </w:tcMar>
          </w:tcPr>
          <w:p w14:paraId="2EBBD70F" w14:textId="77777777" w:rsidR="00934E13" w:rsidRPr="001D5327" w:rsidRDefault="00934E13" w:rsidP="00341FEF">
            <w:pPr>
              <w:pStyle w:val="TableText"/>
              <w:spacing w:before="40" w:after="40"/>
              <w:jc w:val="right"/>
            </w:pPr>
            <w:r w:rsidRPr="001D5327">
              <w:rPr>
                <w:rFonts w:eastAsia="Calibri"/>
                <w:color w:val="000000"/>
              </w:rPr>
              <w:t>2.27</w:t>
            </w:r>
          </w:p>
        </w:tc>
        <w:tc>
          <w:tcPr>
            <w:tcW w:w="1191" w:type="dxa"/>
            <w:shd w:val="clear" w:color="auto" w:fill="FFFFFF" w:themeFill="background1"/>
            <w:tcMar>
              <w:top w:w="0" w:type="dxa"/>
              <w:left w:w="85" w:type="dxa"/>
              <w:bottom w:w="0" w:type="dxa"/>
              <w:right w:w="85" w:type="dxa"/>
            </w:tcMar>
          </w:tcPr>
          <w:p w14:paraId="77363230" w14:textId="77777777" w:rsidR="00934E13" w:rsidRPr="001D5327" w:rsidRDefault="00934E13" w:rsidP="00341FEF">
            <w:pPr>
              <w:pStyle w:val="TableText"/>
              <w:spacing w:before="40" w:after="40"/>
              <w:jc w:val="right"/>
            </w:pPr>
            <w:r w:rsidRPr="001D5327">
              <w:rPr>
                <w:rFonts w:eastAsia="Calibri"/>
                <w:color w:val="000000"/>
              </w:rPr>
              <w:t>1.01</w:t>
            </w:r>
          </w:p>
        </w:tc>
        <w:tc>
          <w:tcPr>
            <w:tcW w:w="1021" w:type="dxa"/>
            <w:shd w:val="clear" w:color="auto" w:fill="FFFFFF" w:themeFill="background1"/>
            <w:tcMar>
              <w:top w:w="0" w:type="dxa"/>
              <w:left w:w="85" w:type="dxa"/>
              <w:bottom w:w="0" w:type="dxa"/>
              <w:right w:w="85" w:type="dxa"/>
            </w:tcMar>
          </w:tcPr>
          <w:p w14:paraId="7530502C" w14:textId="77777777" w:rsidR="00934E13" w:rsidRPr="001D5327" w:rsidRDefault="00934E13" w:rsidP="00341FEF">
            <w:pPr>
              <w:pStyle w:val="TableText"/>
              <w:spacing w:before="40" w:after="40"/>
              <w:jc w:val="right"/>
            </w:pPr>
            <w:r w:rsidRPr="001D5327">
              <w:rPr>
                <w:rFonts w:eastAsia="Calibri"/>
                <w:color w:val="000000"/>
              </w:rPr>
              <w:t>79.75</w:t>
            </w:r>
          </w:p>
        </w:tc>
        <w:tc>
          <w:tcPr>
            <w:tcW w:w="1531" w:type="dxa"/>
            <w:shd w:val="clear" w:color="auto" w:fill="FFFFFF" w:themeFill="background1"/>
            <w:tcMar>
              <w:top w:w="0" w:type="dxa"/>
              <w:left w:w="85" w:type="dxa"/>
              <w:bottom w:w="0" w:type="dxa"/>
              <w:right w:w="85" w:type="dxa"/>
            </w:tcMar>
          </w:tcPr>
          <w:p w14:paraId="5980A82F" w14:textId="77777777" w:rsidR="00934E13" w:rsidRPr="001D5327" w:rsidRDefault="00934E13" w:rsidP="00341FEF">
            <w:pPr>
              <w:pStyle w:val="TableText"/>
              <w:spacing w:before="40" w:after="40"/>
              <w:jc w:val="right"/>
            </w:pPr>
            <w:r w:rsidRPr="001D5327">
              <w:rPr>
                <w:rFonts w:eastAsia="Calibri"/>
                <w:color w:val="000000"/>
              </w:rPr>
              <w:t>54.04</w:t>
            </w:r>
          </w:p>
        </w:tc>
        <w:tc>
          <w:tcPr>
            <w:tcW w:w="1644" w:type="dxa"/>
            <w:shd w:val="clear" w:color="auto" w:fill="FFFFFF" w:themeFill="background1"/>
            <w:tcMar>
              <w:top w:w="0" w:type="dxa"/>
              <w:left w:w="85" w:type="dxa"/>
              <w:bottom w:w="0" w:type="dxa"/>
              <w:right w:w="85" w:type="dxa"/>
            </w:tcMar>
          </w:tcPr>
          <w:p w14:paraId="37C10B2F" w14:textId="77777777" w:rsidR="00934E13" w:rsidRPr="001D5327" w:rsidRDefault="00934E13" w:rsidP="00341FEF">
            <w:pPr>
              <w:pStyle w:val="TableText"/>
              <w:spacing w:before="40" w:after="40"/>
              <w:jc w:val="right"/>
            </w:pPr>
            <w:r w:rsidRPr="001D5327">
              <w:rPr>
                <w:rFonts w:eastAsia="Calibri"/>
                <w:color w:val="000000"/>
              </w:rPr>
              <w:t>0.003</w:t>
            </w:r>
          </w:p>
        </w:tc>
      </w:tr>
      <w:tr w:rsidR="00934E13" w:rsidRPr="001D5327" w14:paraId="0269A301" w14:textId="77777777" w:rsidTr="00341FEF">
        <w:tc>
          <w:tcPr>
            <w:tcW w:w="1644" w:type="dxa"/>
            <w:shd w:val="clear" w:color="auto" w:fill="FFFFFF" w:themeFill="background1"/>
            <w:tcMar>
              <w:top w:w="0" w:type="dxa"/>
              <w:left w:w="85" w:type="dxa"/>
              <w:bottom w:w="0" w:type="dxa"/>
              <w:right w:w="85" w:type="dxa"/>
            </w:tcMar>
          </w:tcPr>
          <w:p w14:paraId="66EC6E6D" w14:textId="77777777" w:rsidR="00934E13" w:rsidRPr="001D5327" w:rsidRDefault="00934E13" w:rsidP="00341FEF">
            <w:pPr>
              <w:pStyle w:val="TableText"/>
              <w:spacing w:before="40" w:after="40"/>
            </w:pPr>
            <w:r w:rsidRPr="001D5327">
              <w:rPr>
                <w:rFonts w:eastAsia="Calibri"/>
                <w:color w:val="000000"/>
              </w:rPr>
              <w:t>IPPU for Tokelau</w:t>
            </w:r>
          </w:p>
        </w:tc>
        <w:tc>
          <w:tcPr>
            <w:tcW w:w="567" w:type="dxa"/>
            <w:shd w:val="clear" w:color="auto" w:fill="FFFFFF" w:themeFill="background1"/>
            <w:tcMar>
              <w:top w:w="0" w:type="dxa"/>
              <w:left w:w="85" w:type="dxa"/>
              <w:bottom w:w="0" w:type="dxa"/>
              <w:right w:w="85" w:type="dxa"/>
            </w:tcMar>
          </w:tcPr>
          <w:p w14:paraId="17553E17" w14:textId="77777777" w:rsidR="00934E13" w:rsidRPr="001D5327" w:rsidRDefault="00934E13" w:rsidP="00341FEF">
            <w:pPr>
              <w:pStyle w:val="TableText"/>
              <w:spacing w:before="40" w:after="40"/>
              <w:jc w:val="right"/>
            </w:pPr>
            <w:r w:rsidRPr="001D5327">
              <w:rPr>
                <w:rFonts w:eastAsia="Calibri"/>
                <w:color w:val="000000"/>
              </w:rPr>
              <w:t>0.04</w:t>
            </w:r>
          </w:p>
        </w:tc>
        <w:tc>
          <w:tcPr>
            <w:tcW w:w="567" w:type="dxa"/>
            <w:shd w:val="clear" w:color="auto" w:fill="FFFFFF" w:themeFill="background1"/>
            <w:tcMar>
              <w:top w:w="0" w:type="dxa"/>
              <w:left w:w="85" w:type="dxa"/>
              <w:bottom w:w="0" w:type="dxa"/>
              <w:right w:w="85" w:type="dxa"/>
            </w:tcMar>
          </w:tcPr>
          <w:p w14:paraId="3C3BC0D0" w14:textId="77777777" w:rsidR="00934E13" w:rsidRPr="001D5327" w:rsidRDefault="00934E13" w:rsidP="00341FEF">
            <w:pPr>
              <w:pStyle w:val="TableText"/>
              <w:spacing w:before="40" w:after="40"/>
              <w:jc w:val="right"/>
            </w:pPr>
            <w:r w:rsidRPr="001D5327">
              <w:rPr>
                <w:rFonts w:eastAsia="Calibri"/>
                <w:color w:val="000000"/>
              </w:rPr>
              <w:t>0.23</w:t>
            </w:r>
          </w:p>
        </w:tc>
        <w:tc>
          <w:tcPr>
            <w:tcW w:w="1191" w:type="dxa"/>
            <w:shd w:val="clear" w:color="auto" w:fill="FFFFFF" w:themeFill="background1"/>
            <w:tcMar>
              <w:top w:w="0" w:type="dxa"/>
              <w:left w:w="85" w:type="dxa"/>
              <w:bottom w:w="0" w:type="dxa"/>
              <w:right w:w="85" w:type="dxa"/>
            </w:tcMar>
          </w:tcPr>
          <w:p w14:paraId="5B60B7D7" w14:textId="77777777" w:rsidR="00934E13" w:rsidRPr="001D5327" w:rsidRDefault="00934E13" w:rsidP="00341FEF">
            <w:pPr>
              <w:pStyle w:val="TableText"/>
              <w:spacing w:before="40" w:after="40"/>
              <w:jc w:val="right"/>
            </w:pPr>
            <w:r w:rsidRPr="001D5327">
              <w:rPr>
                <w:rFonts w:eastAsia="Calibri"/>
                <w:color w:val="000000"/>
              </w:rPr>
              <w:t>0.19</w:t>
            </w:r>
          </w:p>
        </w:tc>
        <w:tc>
          <w:tcPr>
            <w:tcW w:w="1021" w:type="dxa"/>
            <w:shd w:val="clear" w:color="auto" w:fill="FFFFFF" w:themeFill="background1"/>
            <w:tcMar>
              <w:top w:w="0" w:type="dxa"/>
              <w:left w:w="85" w:type="dxa"/>
              <w:bottom w:w="0" w:type="dxa"/>
              <w:right w:w="85" w:type="dxa"/>
            </w:tcMar>
          </w:tcPr>
          <w:p w14:paraId="28798980" w14:textId="77777777" w:rsidR="00934E13" w:rsidRPr="001D5327" w:rsidRDefault="00934E13" w:rsidP="00341FEF">
            <w:pPr>
              <w:pStyle w:val="TableText"/>
              <w:spacing w:before="40" w:after="40"/>
              <w:jc w:val="right"/>
            </w:pPr>
            <w:r w:rsidRPr="001D5327">
              <w:rPr>
                <w:rFonts w:eastAsia="Calibri"/>
                <w:color w:val="000000"/>
              </w:rPr>
              <w:t>475.76</w:t>
            </w:r>
          </w:p>
        </w:tc>
        <w:tc>
          <w:tcPr>
            <w:tcW w:w="1531" w:type="dxa"/>
            <w:shd w:val="clear" w:color="auto" w:fill="FFFFFF" w:themeFill="background1"/>
            <w:tcMar>
              <w:top w:w="0" w:type="dxa"/>
              <w:left w:w="85" w:type="dxa"/>
              <w:bottom w:w="0" w:type="dxa"/>
              <w:right w:w="85" w:type="dxa"/>
            </w:tcMar>
          </w:tcPr>
          <w:p w14:paraId="599CB789" w14:textId="77777777" w:rsidR="00934E13" w:rsidRPr="001D5327" w:rsidRDefault="00934E13" w:rsidP="00341FEF">
            <w:pPr>
              <w:pStyle w:val="TableText"/>
              <w:spacing w:before="40" w:after="40"/>
              <w:jc w:val="right"/>
            </w:pPr>
            <w:r w:rsidRPr="001D5327">
              <w:rPr>
                <w:rFonts w:eastAsia="Calibri"/>
                <w:color w:val="000000"/>
              </w:rPr>
              <w:t>5.59</w:t>
            </w:r>
          </w:p>
        </w:tc>
        <w:tc>
          <w:tcPr>
            <w:tcW w:w="1644" w:type="dxa"/>
            <w:shd w:val="clear" w:color="auto" w:fill="FFFFFF" w:themeFill="background1"/>
            <w:tcMar>
              <w:top w:w="0" w:type="dxa"/>
              <w:left w:w="85" w:type="dxa"/>
              <w:bottom w:w="0" w:type="dxa"/>
              <w:right w:w="85" w:type="dxa"/>
            </w:tcMar>
          </w:tcPr>
          <w:p w14:paraId="6C39D9E9" w14:textId="77777777" w:rsidR="00934E13" w:rsidRPr="001D5327" w:rsidRDefault="00934E13" w:rsidP="00341FEF">
            <w:pPr>
              <w:pStyle w:val="TableText"/>
              <w:spacing w:before="40" w:after="40"/>
              <w:jc w:val="right"/>
            </w:pPr>
            <w:r w:rsidRPr="001D5327">
              <w:rPr>
                <w:rFonts w:eastAsia="Calibri"/>
                <w:color w:val="000000"/>
              </w:rPr>
              <w:t>0.0003</w:t>
            </w:r>
          </w:p>
        </w:tc>
      </w:tr>
      <w:tr w:rsidR="00934E13" w:rsidRPr="001D5327" w14:paraId="477555A3" w14:textId="77777777" w:rsidTr="00341FEF">
        <w:tc>
          <w:tcPr>
            <w:tcW w:w="1644" w:type="dxa"/>
            <w:shd w:val="clear" w:color="auto" w:fill="FFFFFF" w:themeFill="background1"/>
            <w:tcMar>
              <w:top w:w="0" w:type="dxa"/>
              <w:left w:w="85" w:type="dxa"/>
              <w:bottom w:w="0" w:type="dxa"/>
              <w:right w:w="85" w:type="dxa"/>
            </w:tcMar>
          </w:tcPr>
          <w:p w14:paraId="299F0B72" w14:textId="77777777" w:rsidR="00934E13" w:rsidRPr="001D5327" w:rsidRDefault="00934E13" w:rsidP="00341FEF">
            <w:pPr>
              <w:pStyle w:val="TableText"/>
              <w:spacing w:before="40" w:after="40"/>
            </w:pPr>
            <w:r w:rsidRPr="001D5327">
              <w:rPr>
                <w:rFonts w:eastAsia="Calibri"/>
                <w:color w:val="000000"/>
              </w:rPr>
              <w:t>Agriculture for Tokelau</w:t>
            </w:r>
          </w:p>
        </w:tc>
        <w:tc>
          <w:tcPr>
            <w:tcW w:w="567" w:type="dxa"/>
            <w:shd w:val="clear" w:color="auto" w:fill="FFFFFF" w:themeFill="background1"/>
            <w:tcMar>
              <w:top w:w="0" w:type="dxa"/>
              <w:left w:w="85" w:type="dxa"/>
              <w:bottom w:w="0" w:type="dxa"/>
              <w:right w:w="85" w:type="dxa"/>
            </w:tcMar>
          </w:tcPr>
          <w:p w14:paraId="5586E317" w14:textId="77777777" w:rsidR="00934E13" w:rsidRPr="001D5327" w:rsidRDefault="00934E13" w:rsidP="00341FEF">
            <w:pPr>
              <w:pStyle w:val="TableText"/>
              <w:spacing w:before="40" w:after="40"/>
              <w:jc w:val="right"/>
            </w:pPr>
            <w:r w:rsidRPr="001D5327">
              <w:rPr>
                <w:rFonts w:eastAsia="Calibri"/>
                <w:color w:val="000000"/>
              </w:rPr>
              <w:t>1.29</w:t>
            </w:r>
          </w:p>
        </w:tc>
        <w:tc>
          <w:tcPr>
            <w:tcW w:w="567" w:type="dxa"/>
            <w:shd w:val="clear" w:color="auto" w:fill="FFFFFF" w:themeFill="background1"/>
            <w:tcMar>
              <w:top w:w="0" w:type="dxa"/>
              <w:left w:w="85" w:type="dxa"/>
              <w:bottom w:w="0" w:type="dxa"/>
              <w:right w:w="85" w:type="dxa"/>
            </w:tcMar>
          </w:tcPr>
          <w:p w14:paraId="32C2CF8F" w14:textId="77777777" w:rsidR="00934E13" w:rsidRPr="001D5327" w:rsidRDefault="00934E13" w:rsidP="00341FEF">
            <w:pPr>
              <w:pStyle w:val="TableText"/>
              <w:spacing w:before="40" w:after="40"/>
              <w:jc w:val="right"/>
            </w:pPr>
            <w:r w:rsidRPr="001D5327">
              <w:rPr>
                <w:rFonts w:eastAsia="Calibri"/>
                <w:color w:val="000000"/>
              </w:rPr>
              <w:t>0.92</w:t>
            </w:r>
          </w:p>
        </w:tc>
        <w:tc>
          <w:tcPr>
            <w:tcW w:w="1191" w:type="dxa"/>
            <w:shd w:val="clear" w:color="auto" w:fill="FFFFFF" w:themeFill="background1"/>
            <w:tcMar>
              <w:top w:w="0" w:type="dxa"/>
              <w:left w:w="85" w:type="dxa"/>
              <w:bottom w:w="0" w:type="dxa"/>
              <w:right w:w="85" w:type="dxa"/>
            </w:tcMar>
          </w:tcPr>
          <w:p w14:paraId="76A1717E" w14:textId="58A794AE" w:rsidR="00934E13" w:rsidRPr="001D5327" w:rsidRDefault="003C45F8" w:rsidP="00341FEF">
            <w:pPr>
              <w:pStyle w:val="TableText"/>
              <w:spacing w:before="40" w:after="40"/>
              <w:jc w:val="right"/>
            </w:pPr>
            <w:r>
              <w:rPr>
                <w:rFonts w:eastAsia="Calibri"/>
                <w:color w:val="000000"/>
              </w:rPr>
              <w:t>-</w:t>
            </w:r>
            <w:r w:rsidR="00934E13" w:rsidRPr="001D5327">
              <w:rPr>
                <w:rFonts w:eastAsia="Calibri"/>
                <w:color w:val="000000"/>
              </w:rPr>
              <w:t>0.36</w:t>
            </w:r>
          </w:p>
        </w:tc>
        <w:tc>
          <w:tcPr>
            <w:tcW w:w="1021" w:type="dxa"/>
            <w:shd w:val="clear" w:color="auto" w:fill="FFFFFF" w:themeFill="background1"/>
            <w:tcMar>
              <w:top w:w="0" w:type="dxa"/>
              <w:left w:w="85" w:type="dxa"/>
              <w:bottom w:w="0" w:type="dxa"/>
              <w:right w:w="85" w:type="dxa"/>
            </w:tcMar>
          </w:tcPr>
          <w:p w14:paraId="2A8BF918" w14:textId="7F4670BF" w:rsidR="00934E13" w:rsidRPr="001D5327" w:rsidRDefault="003C45F8" w:rsidP="00341FEF">
            <w:pPr>
              <w:pStyle w:val="TableText"/>
              <w:spacing w:before="40" w:after="40"/>
              <w:jc w:val="right"/>
            </w:pPr>
            <w:r>
              <w:rPr>
                <w:rFonts w:eastAsia="Calibri"/>
                <w:color w:val="000000"/>
              </w:rPr>
              <w:t>-</w:t>
            </w:r>
            <w:r w:rsidR="00934E13" w:rsidRPr="001D5327">
              <w:rPr>
                <w:rFonts w:eastAsia="Calibri"/>
                <w:color w:val="000000"/>
              </w:rPr>
              <w:t>28.29</w:t>
            </w:r>
          </w:p>
        </w:tc>
        <w:tc>
          <w:tcPr>
            <w:tcW w:w="1531" w:type="dxa"/>
            <w:shd w:val="clear" w:color="auto" w:fill="FFFFFF" w:themeFill="background1"/>
            <w:tcMar>
              <w:top w:w="0" w:type="dxa"/>
              <w:left w:w="85" w:type="dxa"/>
              <w:bottom w:w="0" w:type="dxa"/>
              <w:right w:w="85" w:type="dxa"/>
            </w:tcMar>
          </w:tcPr>
          <w:p w14:paraId="56DFCD2F" w14:textId="77777777" w:rsidR="00934E13" w:rsidRPr="001D5327" w:rsidRDefault="00934E13" w:rsidP="00341FEF">
            <w:pPr>
              <w:pStyle w:val="TableText"/>
              <w:spacing w:before="40" w:after="40"/>
              <w:jc w:val="right"/>
            </w:pPr>
            <w:r w:rsidRPr="001D5327">
              <w:rPr>
                <w:rFonts w:eastAsia="Calibri"/>
                <w:color w:val="000000"/>
              </w:rPr>
              <w:t>21.95</w:t>
            </w:r>
          </w:p>
        </w:tc>
        <w:tc>
          <w:tcPr>
            <w:tcW w:w="1644" w:type="dxa"/>
            <w:shd w:val="clear" w:color="auto" w:fill="FFFFFF" w:themeFill="background1"/>
            <w:tcMar>
              <w:top w:w="0" w:type="dxa"/>
              <w:left w:w="85" w:type="dxa"/>
              <w:bottom w:w="0" w:type="dxa"/>
              <w:right w:w="85" w:type="dxa"/>
            </w:tcMar>
          </w:tcPr>
          <w:p w14:paraId="62CF5824" w14:textId="77777777" w:rsidR="00934E13" w:rsidRPr="001D5327" w:rsidRDefault="00934E13" w:rsidP="00341FEF">
            <w:pPr>
              <w:pStyle w:val="TableText"/>
              <w:spacing w:before="40" w:after="40"/>
              <w:jc w:val="right"/>
            </w:pPr>
            <w:r w:rsidRPr="001D5327">
              <w:rPr>
                <w:rFonts w:eastAsia="Calibri"/>
                <w:color w:val="000000"/>
              </w:rPr>
              <w:t>0.001</w:t>
            </w:r>
          </w:p>
        </w:tc>
      </w:tr>
      <w:tr w:rsidR="00934E13" w:rsidRPr="001D5327" w14:paraId="1EF9E23C" w14:textId="77777777" w:rsidTr="00341FEF">
        <w:tc>
          <w:tcPr>
            <w:tcW w:w="1644" w:type="dxa"/>
            <w:shd w:val="clear" w:color="auto" w:fill="FFFFFF" w:themeFill="background1"/>
            <w:tcMar>
              <w:top w:w="0" w:type="dxa"/>
              <w:left w:w="85" w:type="dxa"/>
              <w:bottom w:w="0" w:type="dxa"/>
              <w:right w:w="85" w:type="dxa"/>
            </w:tcMar>
          </w:tcPr>
          <w:p w14:paraId="7B633204" w14:textId="77777777" w:rsidR="00934E13" w:rsidRPr="001D5327" w:rsidRDefault="00934E13" w:rsidP="00341FEF">
            <w:pPr>
              <w:pStyle w:val="TableText"/>
              <w:spacing w:before="40" w:after="40"/>
            </w:pPr>
            <w:r w:rsidRPr="001D5327">
              <w:rPr>
                <w:rFonts w:eastAsia="Calibri"/>
                <w:color w:val="000000"/>
              </w:rPr>
              <w:t>Waste for Tokelau</w:t>
            </w:r>
          </w:p>
        </w:tc>
        <w:tc>
          <w:tcPr>
            <w:tcW w:w="567" w:type="dxa"/>
            <w:shd w:val="clear" w:color="auto" w:fill="FFFFFF" w:themeFill="background1"/>
            <w:tcMar>
              <w:top w:w="0" w:type="dxa"/>
              <w:left w:w="85" w:type="dxa"/>
              <w:bottom w:w="0" w:type="dxa"/>
              <w:right w:w="85" w:type="dxa"/>
            </w:tcMar>
          </w:tcPr>
          <w:p w14:paraId="2782C18F" w14:textId="77777777" w:rsidR="00934E13" w:rsidRPr="001D5327" w:rsidRDefault="00934E13" w:rsidP="00341FEF">
            <w:pPr>
              <w:pStyle w:val="TableText"/>
              <w:spacing w:before="40" w:after="40"/>
              <w:jc w:val="right"/>
            </w:pPr>
            <w:r w:rsidRPr="001D5327">
              <w:rPr>
                <w:rFonts w:eastAsia="Calibri"/>
                <w:color w:val="000000"/>
              </w:rPr>
              <w:t>0.78</w:t>
            </w:r>
          </w:p>
        </w:tc>
        <w:tc>
          <w:tcPr>
            <w:tcW w:w="567" w:type="dxa"/>
            <w:shd w:val="clear" w:color="auto" w:fill="FFFFFF" w:themeFill="background1"/>
            <w:tcMar>
              <w:top w:w="0" w:type="dxa"/>
              <w:left w:w="85" w:type="dxa"/>
              <w:bottom w:w="0" w:type="dxa"/>
              <w:right w:w="85" w:type="dxa"/>
            </w:tcMar>
          </w:tcPr>
          <w:p w14:paraId="5E485966" w14:textId="77777777" w:rsidR="00934E13" w:rsidRPr="001D5327" w:rsidRDefault="00934E13" w:rsidP="00341FEF">
            <w:pPr>
              <w:pStyle w:val="TableText"/>
              <w:spacing w:before="40" w:after="40"/>
              <w:jc w:val="right"/>
            </w:pPr>
            <w:r w:rsidRPr="001D5327">
              <w:rPr>
                <w:rFonts w:eastAsia="Calibri"/>
                <w:color w:val="000000"/>
              </w:rPr>
              <w:t>0.77</w:t>
            </w:r>
          </w:p>
        </w:tc>
        <w:tc>
          <w:tcPr>
            <w:tcW w:w="1191" w:type="dxa"/>
            <w:shd w:val="clear" w:color="auto" w:fill="FFFFFF" w:themeFill="background1"/>
            <w:tcMar>
              <w:top w:w="0" w:type="dxa"/>
              <w:left w:w="85" w:type="dxa"/>
              <w:bottom w:w="0" w:type="dxa"/>
              <w:right w:w="85" w:type="dxa"/>
            </w:tcMar>
          </w:tcPr>
          <w:p w14:paraId="189A7EB7" w14:textId="22B26A05" w:rsidR="00934E13" w:rsidRPr="001D5327" w:rsidRDefault="003C45F8" w:rsidP="00341FEF">
            <w:pPr>
              <w:pStyle w:val="TableText"/>
              <w:spacing w:before="40" w:after="40"/>
              <w:jc w:val="right"/>
            </w:pPr>
            <w:r>
              <w:rPr>
                <w:rFonts w:eastAsia="Calibri"/>
                <w:color w:val="000000"/>
              </w:rPr>
              <w:t>-</w:t>
            </w:r>
            <w:r w:rsidR="00934E13" w:rsidRPr="001D5327">
              <w:rPr>
                <w:rFonts w:eastAsia="Calibri"/>
                <w:color w:val="000000"/>
              </w:rPr>
              <w:t>0.01</w:t>
            </w:r>
          </w:p>
        </w:tc>
        <w:tc>
          <w:tcPr>
            <w:tcW w:w="1021" w:type="dxa"/>
            <w:shd w:val="clear" w:color="auto" w:fill="FFFFFF" w:themeFill="background1"/>
            <w:tcMar>
              <w:top w:w="0" w:type="dxa"/>
              <w:left w:w="85" w:type="dxa"/>
              <w:bottom w:w="0" w:type="dxa"/>
              <w:right w:w="85" w:type="dxa"/>
            </w:tcMar>
          </w:tcPr>
          <w:p w14:paraId="79FBF217" w14:textId="7D7A8C5A" w:rsidR="00934E13" w:rsidRPr="001D5327" w:rsidRDefault="003C45F8" w:rsidP="00341FEF">
            <w:pPr>
              <w:pStyle w:val="TableText"/>
              <w:spacing w:before="40" w:after="40"/>
              <w:jc w:val="right"/>
            </w:pPr>
            <w:r>
              <w:rPr>
                <w:rFonts w:eastAsia="Calibri"/>
                <w:color w:val="000000"/>
              </w:rPr>
              <w:t>-</w:t>
            </w:r>
            <w:r w:rsidR="00934E13" w:rsidRPr="001D5327">
              <w:rPr>
                <w:rFonts w:eastAsia="Calibri"/>
                <w:color w:val="000000"/>
              </w:rPr>
              <w:t>0.70</w:t>
            </w:r>
          </w:p>
        </w:tc>
        <w:tc>
          <w:tcPr>
            <w:tcW w:w="1531" w:type="dxa"/>
            <w:shd w:val="clear" w:color="auto" w:fill="FFFFFF" w:themeFill="background1"/>
            <w:tcMar>
              <w:top w:w="0" w:type="dxa"/>
              <w:left w:w="85" w:type="dxa"/>
              <w:bottom w:w="0" w:type="dxa"/>
              <w:right w:w="85" w:type="dxa"/>
            </w:tcMar>
          </w:tcPr>
          <w:p w14:paraId="518364B9" w14:textId="77777777" w:rsidR="00934E13" w:rsidRPr="001D5327" w:rsidRDefault="00934E13" w:rsidP="00341FEF">
            <w:pPr>
              <w:pStyle w:val="TableText"/>
              <w:spacing w:before="40" w:after="40"/>
              <w:jc w:val="right"/>
            </w:pPr>
            <w:r w:rsidRPr="001D5327">
              <w:rPr>
                <w:rFonts w:eastAsia="Calibri"/>
                <w:color w:val="000000"/>
              </w:rPr>
              <w:t>18.42</w:t>
            </w:r>
          </w:p>
        </w:tc>
        <w:tc>
          <w:tcPr>
            <w:tcW w:w="1644" w:type="dxa"/>
            <w:shd w:val="clear" w:color="auto" w:fill="FFFFFF" w:themeFill="background1"/>
            <w:tcMar>
              <w:top w:w="0" w:type="dxa"/>
              <w:left w:w="85" w:type="dxa"/>
              <w:bottom w:w="0" w:type="dxa"/>
              <w:right w:w="85" w:type="dxa"/>
            </w:tcMar>
          </w:tcPr>
          <w:p w14:paraId="38BBFD86" w14:textId="77777777" w:rsidR="00934E13" w:rsidRPr="001D5327" w:rsidRDefault="00934E13" w:rsidP="00341FEF">
            <w:pPr>
              <w:pStyle w:val="TableText"/>
              <w:spacing w:before="40" w:after="40"/>
              <w:jc w:val="right"/>
            </w:pPr>
            <w:r w:rsidRPr="001D5327">
              <w:rPr>
                <w:rFonts w:eastAsia="Calibri"/>
                <w:color w:val="000000"/>
              </w:rPr>
              <w:t>0.001</w:t>
            </w:r>
          </w:p>
        </w:tc>
      </w:tr>
      <w:tr w:rsidR="00934E13" w:rsidRPr="001D5327" w14:paraId="5B24E428" w14:textId="77777777" w:rsidTr="008C4DCB">
        <w:tc>
          <w:tcPr>
            <w:tcW w:w="1644" w:type="dxa"/>
            <w:shd w:val="clear" w:color="auto" w:fill="FFFFFF" w:themeFill="background1"/>
            <w:tcMar>
              <w:top w:w="0" w:type="dxa"/>
              <w:left w:w="85" w:type="dxa"/>
              <w:bottom w:w="0" w:type="dxa"/>
              <w:right w:w="85" w:type="dxa"/>
            </w:tcMar>
            <w:vAlign w:val="bottom"/>
          </w:tcPr>
          <w:p w14:paraId="7368E87E" w14:textId="77777777" w:rsidR="00934E13" w:rsidRPr="001D5327" w:rsidRDefault="00934E13" w:rsidP="00341FEF">
            <w:pPr>
              <w:pStyle w:val="Tableboldblue"/>
              <w:spacing w:before="40" w:after="40"/>
            </w:pPr>
            <w:r w:rsidRPr="001D5327">
              <w:rPr>
                <w:rFonts w:eastAsia="Calibri"/>
              </w:rPr>
              <w:t>Gross emissions for Tokelau</w:t>
            </w:r>
          </w:p>
        </w:tc>
        <w:tc>
          <w:tcPr>
            <w:tcW w:w="567" w:type="dxa"/>
            <w:shd w:val="clear" w:color="auto" w:fill="FFFFFF" w:themeFill="background1"/>
            <w:tcMar>
              <w:top w:w="0" w:type="dxa"/>
              <w:left w:w="85" w:type="dxa"/>
              <w:bottom w:w="0" w:type="dxa"/>
              <w:right w:w="85" w:type="dxa"/>
            </w:tcMar>
            <w:vAlign w:val="bottom"/>
          </w:tcPr>
          <w:p w14:paraId="1AAC1BAB" w14:textId="77777777" w:rsidR="00934E13" w:rsidRPr="001D5327" w:rsidRDefault="00934E13" w:rsidP="00341FEF">
            <w:pPr>
              <w:pStyle w:val="Tableboldblue"/>
              <w:spacing w:before="40" w:after="40"/>
              <w:jc w:val="right"/>
            </w:pPr>
            <w:r w:rsidRPr="001D5327">
              <w:rPr>
                <w:rFonts w:eastAsia="Calibri"/>
              </w:rPr>
              <w:t>3.37</w:t>
            </w:r>
          </w:p>
        </w:tc>
        <w:tc>
          <w:tcPr>
            <w:tcW w:w="567" w:type="dxa"/>
            <w:shd w:val="clear" w:color="auto" w:fill="FFFFFF" w:themeFill="background1"/>
            <w:tcMar>
              <w:top w:w="0" w:type="dxa"/>
              <w:left w:w="85" w:type="dxa"/>
              <w:bottom w:w="0" w:type="dxa"/>
              <w:right w:w="85" w:type="dxa"/>
            </w:tcMar>
            <w:vAlign w:val="bottom"/>
          </w:tcPr>
          <w:p w14:paraId="57AE2631" w14:textId="77777777" w:rsidR="00934E13" w:rsidRPr="001D5327" w:rsidRDefault="00934E13" w:rsidP="00341FEF">
            <w:pPr>
              <w:pStyle w:val="Tableboldblue"/>
              <w:spacing w:before="40" w:after="40"/>
              <w:jc w:val="right"/>
            </w:pPr>
            <w:r w:rsidRPr="001D5327">
              <w:rPr>
                <w:rFonts w:eastAsia="Calibri"/>
              </w:rPr>
              <w:t>4.20</w:t>
            </w:r>
          </w:p>
        </w:tc>
        <w:tc>
          <w:tcPr>
            <w:tcW w:w="1191" w:type="dxa"/>
            <w:shd w:val="clear" w:color="auto" w:fill="FFFFFF" w:themeFill="background1"/>
            <w:tcMar>
              <w:top w:w="0" w:type="dxa"/>
              <w:left w:w="85" w:type="dxa"/>
              <w:bottom w:w="0" w:type="dxa"/>
              <w:right w:w="85" w:type="dxa"/>
            </w:tcMar>
            <w:vAlign w:val="bottom"/>
          </w:tcPr>
          <w:p w14:paraId="4EFC130C" w14:textId="77777777" w:rsidR="00934E13" w:rsidRPr="001D5327" w:rsidRDefault="00934E13" w:rsidP="00341FEF">
            <w:pPr>
              <w:pStyle w:val="Tableboldblue"/>
              <w:spacing w:before="40" w:after="40"/>
              <w:jc w:val="right"/>
            </w:pPr>
            <w:r w:rsidRPr="001D5327">
              <w:rPr>
                <w:rFonts w:eastAsia="Calibri"/>
              </w:rPr>
              <w:t>0.83</w:t>
            </w:r>
          </w:p>
        </w:tc>
        <w:tc>
          <w:tcPr>
            <w:tcW w:w="1021" w:type="dxa"/>
            <w:shd w:val="clear" w:color="auto" w:fill="FFFFFF" w:themeFill="background1"/>
            <w:tcMar>
              <w:top w:w="0" w:type="dxa"/>
              <w:left w:w="85" w:type="dxa"/>
              <w:bottom w:w="0" w:type="dxa"/>
              <w:right w:w="85" w:type="dxa"/>
            </w:tcMar>
            <w:vAlign w:val="bottom"/>
          </w:tcPr>
          <w:p w14:paraId="377386C1" w14:textId="77777777" w:rsidR="00934E13" w:rsidRPr="001D5327" w:rsidRDefault="00934E13" w:rsidP="00341FEF">
            <w:pPr>
              <w:pStyle w:val="Tableboldblue"/>
              <w:spacing w:before="40" w:after="40"/>
              <w:jc w:val="right"/>
            </w:pPr>
            <w:r w:rsidRPr="001D5327">
              <w:rPr>
                <w:rFonts w:eastAsia="Calibri"/>
              </w:rPr>
              <w:t>24.69</w:t>
            </w:r>
          </w:p>
        </w:tc>
        <w:tc>
          <w:tcPr>
            <w:tcW w:w="1531" w:type="dxa"/>
            <w:shd w:val="clear" w:color="auto" w:fill="FFFFFF" w:themeFill="background1"/>
            <w:tcMar>
              <w:top w:w="0" w:type="dxa"/>
              <w:left w:w="85" w:type="dxa"/>
              <w:bottom w:w="0" w:type="dxa"/>
              <w:right w:w="85" w:type="dxa"/>
            </w:tcMar>
            <w:vAlign w:val="bottom"/>
          </w:tcPr>
          <w:p w14:paraId="66057A52" w14:textId="77777777" w:rsidR="00934E13" w:rsidRPr="001D5327" w:rsidRDefault="00934E13" w:rsidP="00341FEF">
            <w:pPr>
              <w:pStyle w:val="Tableboldblue"/>
              <w:spacing w:before="40" w:after="40"/>
              <w:jc w:val="right"/>
            </w:pPr>
            <w:r w:rsidRPr="001D5327">
              <w:rPr>
                <w:rFonts w:eastAsia="Calibri"/>
              </w:rPr>
              <w:t>100.00</w:t>
            </w:r>
          </w:p>
        </w:tc>
        <w:tc>
          <w:tcPr>
            <w:tcW w:w="1644" w:type="dxa"/>
            <w:shd w:val="clear" w:color="auto" w:fill="FFFFFF" w:themeFill="background1"/>
            <w:tcMar>
              <w:top w:w="0" w:type="dxa"/>
              <w:left w:w="85" w:type="dxa"/>
              <w:bottom w:w="0" w:type="dxa"/>
              <w:right w:w="85" w:type="dxa"/>
            </w:tcMar>
            <w:vAlign w:val="bottom"/>
          </w:tcPr>
          <w:p w14:paraId="7B327E51" w14:textId="77777777" w:rsidR="00934E13" w:rsidRPr="001D5327" w:rsidRDefault="00934E13" w:rsidP="00341FEF">
            <w:pPr>
              <w:pStyle w:val="Tableboldblue"/>
              <w:spacing w:before="40" w:after="40"/>
              <w:jc w:val="right"/>
            </w:pPr>
            <w:r w:rsidRPr="001D5327">
              <w:rPr>
                <w:rFonts w:eastAsia="Calibri"/>
              </w:rPr>
              <w:t>0.006</w:t>
            </w:r>
          </w:p>
        </w:tc>
      </w:tr>
    </w:tbl>
    <w:p w14:paraId="3151C0C1" w14:textId="77777777" w:rsidR="00934E13" w:rsidRPr="001D5327" w:rsidRDefault="00934E13" w:rsidP="00934E13">
      <w:pPr>
        <w:pStyle w:val="Noteundertable"/>
      </w:pPr>
      <w:r w:rsidRPr="001D5327">
        <w:rPr>
          <w:b/>
          <w:bCs/>
        </w:rPr>
        <w:t>Note:</w:t>
      </w:r>
      <w:r w:rsidRPr="001D5327">
        <w:tab/>
        <w:t>The 2025 submission includes emissions from Tokelau’s largest contributing sectors, which are the Energy, IPPU, Agriculture and Waste sectors. The LULUCF sector is not estimated. Tokelau has no planted or managed forests; therefore, the LULUCF sector is expected to be insignificant. The percentages may not add up to 100 per cent due to rounding.</w:t>
      </w:r>
    </w:p>
    <w:p w14:paraId="285C6702" w14:textId="77777777" w:rsidR="00934E13" w:rsidRPr="001D5327" w:rsidRDefault="00934E13" w:rsidP="00934E13">
      <w:pPr>
        <w:pStyle w:val="Heading5"/>
      </w:pPr>
      <w:r w:rsidRPr="001D5327">
        <w:t>2023</w:t>
      </w:r>
    </w:p>
    <w:p w14:paraId="7BE888B9" w14:textId="77777777" w:rsidR="00934E13" w:rsidRPr="001D5327" w:rsidRDefault="00934E13" w:rsidP="00934E13">
      <w:pPr>
        <w:pStyle w:val="BodyText"/>
      </w:pPr>
      <w:r w:rsidRPr="001D5327">
        <w:t xml:space="preserve">In </w:t>
      </w:r>
      <w:r w:rsidRPr="001D5327">
        <w:rPr>
          <w:bCs/>
        </w:rPr>
        <w:t>2023,</w:t>
      </w:r>
      <w:r w:rsidRPr="001D5327">
        <w:t xml:space="preserve"> emissions from Tokelau contributed 0.006 per cent (4.20 kt CO</w:t>
      </w:r>
      <w:r w:rsidRPr="001D5327">
        <w:rPr>
          <w:vertAlign w:val="subscript"/>
        </w:rPr>
        <w:t>2</w:t>
      </w:r>
      <w:r w:rsidRPr="001D5327">
        <w:t>-e) of New Zealand’s gross GHG emissions.</w:t>
      </w:r>
    </w:p>
    <w:p w14:paraId="22D2089C" w14:textId="77777777" w:rsidR="00934E13" w:rsidRPr="001D5327" w:rsidRDefault="00934E13" w:rsidP="00934E13">
      <w:pPr>
        <w:pStyle w:val="BodyText"/>
      </w:pPr>
      <w:r w:rsidRPr="001D5327">
        <w:t xml:space="preserve">The largest source category was </w:t>
      </w:r>
      <w:r w:rsidRPr="001D5327">
        <w:rPr>
          <w:i/>
          <w:iCs/>
        </w:rPr>
        <w:t>Domestic navigation</w:t>
      </w:r>
      <w:r w:rsidRPr="001D5327">
        <w:t>, which contributed 63.2 per cent (1.43 kt CO</w:t>
      </w:r>
      <w:r w:rsidRPr="001D5327">
        <w:rPr>
          <w:vertAlign w:val="subscript"/>
        </w:rPr>
        <w:t>2</w:t>
      </w:r>
      <w:r w:rsidRPr="001D5327">
        <w:t>-e) of all energy emissions and 34.1 per cent of gross emissions from Tokelau.</w:t>
      </w:r>
    </w:p>
    <w:p w14:paraId="6EA1159F" w14:textId="77777777" w:rsidR="00934E13" w:rsidRPr="001D5327" w:rsidRDefault="00934E13" w:rsidP="00934E13">
      <w:pPr>
        <w:pStyle w:val="BodyText"/>
      </w:pPr>
      <w:r w:rsidRPr="001D5327">
        <w:lastRenderedPageBreak/>
        <w:t>Carbon dioxide dominated emissions from Tokelau, contributing 54.5 per cent (2.29 kt CO</w:t>
      </w:r>
      <w:r w:rsidRPr="001D5327">
        <w:rPr>
          <w:vertAlign w:val="subscript"/>
        </w:rPr>
        <w:t>2</w:t>
      </w:r>
      <w:r w:rsidRPr="001D5327">
        <w:t>-e) of its total emissions in 2023. At 2.25 kt CO</w:t>
      </w:r>
      <w:r w:rsidRPr="001D5327">
        <w:rPr>
          <w:vertAlign w:val="subscript"/>
        </w:rPr>
        <w:t>2</w:t>
      </w:r>
      <w:r w:rsidRPr="001D5327">
        <w:t>, the Energy sector contributed 98.3 per cent of total CO</w:t>
      </w:r>
      <w:r w:rsidRPr="001D5327">
        <w:rPr>
          <w:vertAlign w:val="subscript"/>
        </w:rPr>
        <w:t>2</w:t>
      </w:r>
      <w:r w:rsidRPr="001D5327">
        <w:t xml:space="preserve"> emissions, mostly from </w:t>
      </w:r>
      <w:r w:rsidRPr="001D5327">
        <w:rPr>
          <w:i/>
          <w:iCs/>
        </w:rPr>
        <w:t>Domestic navigation</w:t>
      </w:r>
      <w:r w:rsidRPr="001D5327">
        <w:t xml:space="preserve">; the remaining 1.7 per cent (0.04 kt) came from </w:t>
      </w:r>
      <w:r w:rsidRPr="001D5327">
        <w:rPr>
          <w:i/>
          <w:iCs/>
        </w:rPr>
        <w:t>Open burning of waste</w:t>
      </w:r>
      <w:r w:rsidRPr="001D5327">
        <w:t xml:space="preserve"> in the Waste sector.</w:t>
      </w:r>
    </w:p>
    <w:p w14:paraId="34C76382" w14:textId="77777777" w:rsidR="00934E13" w:rsidRPr="001D5327" w:rsidRDefault="00934E13" w:rsidP="00934E13">
      <w:pPr>
        <w:pStyle w:val="BodyText"/>
      </w:pPr>
      <w:r w:rsidRPr="001D5327">
        <w:t>Methane emissions contributed 39.4 per cent (1.65 kt CO</w:t>
      </w:r>
      <w:r w:rsidRPr="001D5327">
        <w:rPr>
          <w:vertAlign w:val="subscript"/>
        </w:rPr>
        <w:t>2</w:t>
      </w:r>
      <w:r w:rsidRPr="001D5327">
        <w:t>-e) to the total emissions from Tokelau. The Agriculture sector in Tokelau contributed 55.8 per cent of CH</w:t>
      </w:r>
      <w:r w:rsidRPr="001D5327">
        <w:rPr>
          <w:vertAlign w:val="subscript"/>
        </w:rPr>
        <w:t>4</w:t>
      </w:r>
      <w:r w:rsidRPr="001D5327">
        <w:t xml:space="preserve"> emissions (0.92 kt CO</w:t>
      </w:r>
      <w:r w:rsidRPr="001D5327">
        <w:rPr>
          <w:vertAlign w:val="subscript"/>
        </w:rPr>
        <w:t>2</w:t>
      </w:r>
      <w:r w:rsidRPr="001D5327">
        <w:t xml:space="preserve">-e), which mostly came from </w:t>
      </w:r>
      <w:r w:rsidRPr="001D5327">
        <w:rPr>
          <w:i/>
          <w:iCs/>
        </w:rPr>
        <w:t>Manure management</w:t>
      </w:r>
      <w:r w:rsidRPr="001D5327">
        <w:t>. A significant portion of CH</w:t>
      </w:r>
      <w:r w:rsidRPr="001D5327">
        <w:rPr>
          <w:vertAlign w:val="subscript"/>
        </w:rPr>
        <w:t>4</w:t>
      </w:r>
      <w:r w:rsidRPr="001D5327">
        <w:t xml:space="preserve"> emissions, 43.9 per cent (0.73 kt CO</w:t>
      </w:r>
      <w:r w:rsidRPr="001D5327">
        <w:rPr>
          <w:vertAlign w:val="subscript"/>
        </w:rPr>
        <w:t>2</w:t>
      </w:r>
      <w:r w:rsidRPr="001D5327">
        <w:t xml:space="preserve">-e), came from the Waste sector, largely from </w:t>
      </w:r>
      <w:r w:rsidRPr="001D5327">
        <w:rPr>
          <w:i/>
          <w:iCs/>
        </w:rPr>
        <w:t>Solid waste disposal</w:t>
      </w:r>
      <w:r w:rsidRPr="001D5327">
        <w:t>. The Energy sector contributed the remaining 0.4 per cent of CH</w:t>
      </w:r>
      <w:r w:rsidRPr="001D5327">
        <w:rPr>
          <w:vertAlign w:val="subscript"/>
        </w:rPr>
        <w:t>4</w:t>
      </w:r>
      <w:r w:rsidRPr="001D5327">
        <w:t xml:space="preserve"> emissions (0.01 kt CO</w:t>
      </w:r>
      <w:r w:rsidRPr="001D5327">
        <w:rPr>
          <w:vertAlign w:val="subscript"/>
        </w:rPr>
        <w:t>2</w:t>
      </w:r>
      <w:r w:rsidRPr="001D5327">
        <w:t xml:space="preserve">-e), which mostly came from </w:t>
      </w:r>
      <w:r w:rsidRPr="001D5327">
        <w:rPr>
          <w:i/>
          <w:iCs/>
        </w:rPr>
        <w:t>Domestic navigation</w:t>
      </w:r>
      <w:r w:rsidRPr="001D5327">
        <w:t>.</w:t>
      </w:r>
    </w:p>
    <w:p w14:paraId="604137AF" w14:textId="77777777" w:rsidR="00934E13" w:rsidRPr="001D5327" w:rsidRDefault="00934E13" w:rsidP="00934E13">
      <w:pPr>
        <w:pStyle w:val="BodyText"/>
      </w:pPr>
      <w:r w:rsidRPr="001D5327">
        <w:t>Nitrous oxide emissions contributed 1.1 per cent (0.05 kt CO</w:t>
      </w:r>
      <w:r w:rsidRPr="001D5327">
        <w:rPr>
          <w:vertAlign w:val="subscript"/>
        </w:rPr>
        <w:t>2</w:t>
      </w:r>
      <w:r w:rsidRPr="001D5327">
        <w:t>-e) to the total emissions from Tokelau. The IPPU sector (</w:t>
      </w:r>
      <w:r w:rsidRPr="001D5327">
        <w:rPr>
          <w:i/>
          <w:iCs/>
        </w:rPr>
        <w:t>Medical applications</w:t>
      </w:r>
      <w:r w:rsidRPr="001D5327">
        <w:t>) contributed the largest amount of N</w:t>
      </w:r>
      <w:r w:rsidRPr="001D5327">
        <w:rPr>
          <w:vertAlign w:val="subscript"/>
        </w:rPr>
        <w:t>2</w:t>
      </w:r>
      <w:r w:rsidRPr="001D5327">
        <w:t>O, 52.1 per cent (0.02 kt CO</w:t>
      </w:r>
      <w:r w:rsidRPr="001D5327">
        <w:rPr>
          <w:vertAlign w:val="subscript"/>
        </w:rPr>
        <w:t>2</w:t>
      </w:r>
      <w:r w:rsidRPr="001D5327">
        <w:t>-e) of the total N</w:t>
      </w:r>
      <w:r w:rsidRPr="001D5327">
        <w:rPr>
          <w:vertAlign w:val="subscript"/>
        </w:rPr>
        <w:t>2</w:t>
      </w:r>
      <w:r w:rsidRPr="001D5327">
        <w:t>O. The Energy sector contributed a further 26.0 per cent (0.01 kt CO</w:t>
      </w:r>
      <w:r w:rsidRPr="001D5327">
        <w:rPr>
          <w:vertAlign w:val="subscript"/>
        </w:rPr>
        <w:t>2</w:t>
      </w:r>
      <w:r w:rsidRPr="001D5327">
        <w:t xml:space="preserve">-e), which comes largely from </w:t>
      </w:r>
      <w:r w:rsidRPr="001D5327">
        <w:rPr>
          <w:i/>
          <w:iCs/>
        </w:rPr>
        <w:t>Domestic navigation</w:t>
      </w:r>
      <w:r w:rsidRPr="001D5327">
        <w:t>. The Waste sector contributed the remaining 21.8 per cent of N</w:t>
      </w:r>
      <w:r w:rsidRPr="001D5327">
        <w:rPr>
          <w:vertAlign w:val="subscript"/>
        </w:rPr>
        <w:t>2</w:t>
      </w:r>
      <w:r w:rsidRPr="001D5327">
        <w:t>O (0.01 kt CO</w:t>
      </w:r>
      <w:r w:rsidRPr="001D5327">
        <w:rPr>
          <w:vertAlign w:val="subscript"/>
        </w:rPr>
        <w:t>2</w:t>
      </w:r>
      <w:r w:rsidRPr="001D5327">
        <w:t xml:space="preserve">-e) from </w:t>
      </w:r>
      <w:r w:rsidRPr="001D5327">
        <w:rPr>
          <w:i/>
          <w:iCs/>
        </w:rPr>
        <w:t>Open burning of waste</w:t>
      </w:r>
      <w:r w:rsidRPr="001D5327">
        <w:t>.</w:t>
      </w:r>
    </w:p>
    <w:p w14:paraId="41021D06" w14:textId="77777777" w:rsidR="00934E13" w:rsidRPr="001D5327" w:rsidRDefault="00934E13" w:rsidP="00934E13">
      <w:pPr>
        <w:pStyle w:val="BodyText"/>
      </w:pPr>
      <w:r w:rsidRPr="001D5327">
        <w:t>Emissions of fluorinated gases from Tokelau consisted of HFC emissions only, contributing 5.0 per cent (0.21 kt CO</w:t>
      </w:r>
      <w:r w:rsidRPr="001D5327">
        <w:rPr>
          <w:vertAlign w:val="subscript"/>
        </w:rPr>
        <w:t>2</w:t>
      </w:r>
      <w:r w:rsidRPr="001D5327">
        <w:t xml:space="preserve">-e) to the total emissions from Tokelau. These emissions largely result from the use of </w:t>
      </w:r>
      <w:r w:rsidRPr="001D5327">
        <w:rPr>
          <w:i/>
          <w:iCs/>
        </w:rPr>
        <w:t>Air conditioning</w:t>
      </w:r>
      <w:r w:rsidRPr="001D5327">
        <w:t>. Emissions of PFCs, NF</w:t>
      </w:r>
      <w:r w:rsidRPr="001D5327">
        <w:rPr>
          <w:vertAlign w:val="subscript"/>
        </w:rPr>
        <w:t>3</w:t>
      </w:r>
      <w:r w:rsidRPr="001D5327">
        <w:t xml:space="preserve"> and SF</w:t>
      </w:r>
      <w:r w:rsidRPr="001D5327">
        <w:rPr>
          <w:vertAlign w:val="subscript"/>
        </w:rPr>
        <w:t>6</w:t>
      </w:r>
      <w:r w:rsidRPr="001D5327">
        <w:t xml:space="preserve"> do not occur in Tokelau.</w:t>
      </w:r>
    </w:p>
    <w:p w14:paraId="092050F7" w14:textId="77777777" w:rsidR="00934E13" w:rsidRPr="001D5327" w:rsidRDefault="00934E13" w:rsidP="00934E13">
      <w:pPr>
        <w:pStyle w:val="Heading5"/>
      </w:pPr>
      <w:r w:rsidRPr="001D5327">
        <w:t>1990–2023</w:t>
      </w:r>
    </w:p>
    <w:p w14:paraId="37CEC8C8" w14:textId="77777777" w:rsidR="00934E13" w:rsidRPr="001D5327" w:rsidRDefault="00934E13" w:rsidP="00934E13">
      <w:pPr>
        <w:pStyle w:val="BodyText"/>
        <w:rPr>
          <w:bCs/>
        </w:rPr>
      </w:pPr>
      <w:r w:rsidRPr="001D5327">
        <w:t xml:space="preserve">In </w:t>
      </w:r>
      <w:r w:rsidRPr="001D5327">
        <w:rPr>
          <w:bCs/>
        </w:rPr>
        <w:t>1990, total emissions from Tokelau were 3.37 kt CO</w:t>
      </w:r>
      <w:r w:rsidRPr="001D5327">
        <w:rPr>
          <w:bCs/>
          <w:vertAlign w:val="subscript"/>
        </w:rPr>
        <w:t>2</w:t>
      </w:r>
      <w:r w:rsidRPr="001D5327">
        <w:rPr>
          <w:bCs/>
        </w:rPr>
        <w:t>-e. Between 1990 and 2023, total emissions increased by 24.7 per cent (0.83 kt CO</w:t>
      </w:r>
      <w:r w:rsidRPr="001D5327">
        <w:rPr>
          <w:bCs/>
          <w:vertAlign w:val="subscript"/>
        </w:rPr>
        <w:t>2</w:t>
      </w:r>
      <w:r w:rsidRPr="001D5327">
        <w:rPr>
          <w:bCs/>
        </w:rPr>
        <w:t>-e) to 4.20 kt CO</w:t>
      </w:r>
      <w:r w:rsidRPr="001D5327">
        <w:rPr>
          <w:bCs/>
          <w:vertAlign w:val="subscript"/>
        </w:rPr>
        <w:t>2</w:t>
      </w:r>
      <w:r w:rsidRPr="001D5327">
        <w:rPr>
          <w:bCs/>
        </w:rPr>
        <w:t>-e (see figure 2.2.12 and chapter 8, table 8.1.2 and figure 8.1.4). From 1990 to 2023, the average annual increase in gross emissions was 0.89 per cent.</w:t>
      </w:r>
    </w:p>
    <w:p w14:paraId="12F96B37" w14:textId="77777777" w:rsidR="00934E13" w:rsidRPr="001D5327" w:rsidRDefault="00934E13" w:rsidP="00934E13">
      <w:pPr>
        <w:pStyle w:val="BodyText"/>
      </w:pPr>
      <w:r w:rsidRPr="001D5327">
        <w:rPr>
          <w:bCs/>
          <w:spacing w:val="-2"/>
        </w:rPr>
        <w:t>The emissions increase</w:t>
      </w:r>
      <w:r w:rsidRPr="001D5327">
        <w:rPr>
          <w:b/>
          <w:bCs/>
          <w:spacing w:val="-2"/>
        </w:rPr>
        <w:t xml:space="preserve"> </w:t>
      </w:r>
      <w:r w:rsidRPr="001D5327">
        <w:rPr>
          <w:spacing w:val="-2"/>
        </w:rPr>
        <w:t xml:space="preserve">was largely due to changes in the Energy sector. The emission categories that contributed the most to this change were </w:t>
      </w:r>
      <w:r w:rsidRPr="001D5327">
        <w:rPr>
          <w:i/>
          <w:iCs/>
          <w:spacing w:val="-2"/>
        </w:rPr>
        <w:t>Domestic navigation</w:t>
      </w:r>
      <w:r w:rsidRPr="001D5327">
        <w:rPr>
          <w:spacing w:val="-2"/>
        </w:rPr>
        <w:t xml:space="preserve"> and </w:t>
      </w:r>
      <w:r w:rsidRPr="001D5327">
        <w:rPr>
          <w:i/>
          <w:iCs/>
          <w:spacing w:val="-2"/>
        </w:rPr>
        <w:t>Electricity generation</w:t>
      </w:r>
      <w:r w:rsidRPr="001D5327">
        <w:t>.</w:t>
      </w:r>
    </w:p>
    <w:p w14:paraId="0592C632" w14:textId="77777777" w:rsidR="00934E13" w:rsidRPr="001D5327" w:rsidRDefault="00934E13" w:rsidP="00934E13">
      <w:pPr>
        <w:pStyle w:val="BodyText"/>
      </w:pPr>
      <w:r w:rsidRPr="001D5327">
        <w:t xml:space="preserve">The changes in </w:t>
      </w:r>
      <w:r w:rsidRPr="001D5327">
        <w:rPr>
          <w:i/>
          <w:iCs/>
        </w:rPr>
        <w:t>Domestic navigation</w:t>
      </w:r>
      <w:r w:rsidRPr="001D5327">
        <w:t xml:space="preserve"> were a result of Tokelau gaining ownership and use of the ferry </w:t>
      </w:r>
      <w:r w:rsidRPr="001D5327">
        <w:rPr>
          <w:i/>
          <w:iCs/>
        </w:rPr>
        <w:t>Mataliki</w:t>
      </w:r>
      <w:r w:rsidRPr="001D5327">
        <w:t xml:space="preserve"> in 2016, cargo vessel </w:t>
      </w:r>
      <w:r w:rsidRPr="001D5327">
        <w:rPr>
          <w:i/>
          <w:iCs/>
        </w:rPr>
        <w:t>Kalopaga</w:t>
      </w:r>
      <w:r w:rsidRPr="001D5327">
        <w:t xml:space="preserve"> in 2018 and search and rescue vessel </w:t>
      </w:r>
      <w:r w:rsidRPr="001D5327">
        <w:rPr>
          <w:i/>
          <w:iCs/>
        </w:rPr>
        <w:t>Fetu o te Moana</w:t>
      </w:r>
      <w:r w:rsidRPr="001D5327">
        <w:t xml:space="preserve"> in 2019, leading to an increasing number of sea voyages between the atolls, which increased transport emissions.</w:t>
      </w:r>
    </w:p>
    <w:p w14:paraId="6ACA1BE4" w14:textId="77777777" w:rsidR="00934E13" w:rsidRPr="001D5327" w:rsidRDefault="00934E13" w:rsidP="00934E13">
      <w:pPr>
        <w:pStyle w:val="BodyText"/>
      </w:pPr>
      <w:r w:rsidRPr="001D5327">
        <w:t xml:space="preserve">The changes in Tokelau’s Energy sector emissions from </w:t>
      </w:r>
      <w:r w:rsidRPr="001D5327">
        <w:rPr>
          <w:i/>
          <w:iCs/>
        </w:rPr>
        <w:t>Electricity generation</w:t>
      </w:r>
      <w:r w:rsidRPr="001D5327">
        <w:t xml:space="preserve"> drive the overall emissions trend observed across most of the time series. Initially, up until 2003, emissions from this source were relatively stable. A significant increase in emissions was then observed (of nearly 400 per cent) due to an increase in the use of diesel generators for electricity production between 2003 and 2011. This was followed by a significant drop in emissions in 2012 and 2013 (by 82.5 per cent), when solar electricity generation began. Toward the end of the time series, diesel generator use increased again as the generation from solar power decreased, with emissions increasing accordingly.</w:t>
      </w:r>
    </w:p>
    <w:p w14:paraId="669CEEB7" w14:textId="77777777" w:rsidR="00934E13" w:rsidRPr="001D5327" w:rsidRDefault="00934E13" w:rsidP="00934E13">
      <w:pPr>
        <w:pStyle w:val="BodyText"/>
      </w:pPr>
      <w:r w:rsidRPr="001D5327">
        <w:t>Emissions from Tokelau’s IPPU sector have also increased mainly due to the introduction of air conditioning after 2006. Emissions from Tokelau’s Agriculture sector decreased slightly as a result of a reduced population of pigs.</w:t>
      </w:r>
    </w:p>
    <w:p w14:paraId="2D7ECA1C" w14:textId="77777777" w:rsidR="00934E13" w:rsidRPr="001D5327" w:rsidRDefault="00934E13" w:rsidP="00934E13">
      <w:pPr>
        <w:pStyle w:val="Figure"/>
      </w:pPr>
      <w:bookmarkStart w:id="147" w:name="_Toc194674834"/>
      <w:r w:rsidRPr="001D5327">
        <w:lastRenderedPageBreak/>
        <w:t>Figure 2.2.12</w:t>
      </w:r>
      <w:r w:rsidRPr="001D5327">
        <w:tab/>
        <w:t xml:space="preserve">Emissions by sector for Tokelau, from </w:t>
      </w:r>
      <w:r w:rsidRPr="001D5327">
        <w:rPr>
          <w:bCs/>
        </w:rPr>
        <w:t>1990</w:t>
      </w:r>
      <w:r w:rsidRPr="001D5327">
        <w:t xml:space="preserve"> to </w:t>
      </w:r>
      <w:r w:rsidRPr="001D5327">
        <w:rPr>
          <w:bCs/>
        </w:rPr>
        <w:t>2023</w:t>
      </w:r>
      <w:bookmarkEnd w:id="147"/>
    </w:p>
    <w:p w14:paraId="741C4FA9" w14:textId="77777777" w:rsidR="00934E13" w:rsidRPr="001D5327" w:rsidRDefault="00934E13" w:rsidP="00934E13">
      <w:pPr>
        <w:pStyle w:val="BodyText"/>
      </w:pPr>
      <w:r w:rsidRPr="001D5327">
        <w:rPr>
          <w:noProof/>
        </w:rPr>
        <w:drawing>
          <wp:inline distT="0" distB="0" distL="0" distR="0" wp14:anchorId="3729F1E4" wp14:editId="5F3181EF">
            <wp:extent cx="5397500" cy="3981450"/>
            <wp:effectExtent l="0" t="0" r="0" b="0"/>
            <wp:docPr id="90" name="Picture" descr="A graph of different colored lines&#10;&#10;AI-generated content may be incorrect."/>
            <wp:cNvGraphicFramePr/>
            <a:graphic xmlns:a="http://schemas.openxmlformats.org/drawingml/2006/main">
              <a:graphicData uri="http://schemas.openxmlformats.org/drawingml/2006/picture">
                <pic:pic xmlns:pic="http://schemas.openxmlformats.org/drawingml/2006/picture">
                  <pic:nvPicPr>
                    <pic:cNvPr id="90" name="Picture" descr="A graph of different colored lines&#10;&#10;AI-generated content may be incorrect."/>
                    <pic:cNvPicPr>
                      <a:picLocks noChangeAspect="1" noChangeArrowheads="1"/>
                    </pic:cNvPicPr>
                  </pic:nvPicPr>
                  <pic:blipFill rotWithShape="1">
                    <a:blip r:embed="rId49"/>
                    <a:srcRect b="1647"/>
                    <a:stretch/>
                  </pic:blipFill>
                  <pic:spPr bwMode="auto">
                    <a:xfrm>
                      <a:off x="0" y="0"/>
                      <a:ext cx="5397500" cy="3981450"/>
                    </a:xfrm>
                    <a:prstGeom prst="rect">
                      <a:avLst/>
                    </a:prstGeom>
                    <a:noFill/>
                    <a:ln>
                      <a:noFill/>
                    </a:ln>
                    <a:extLst>
                      <a:ext uri="{53640926-AAD7-44D8-BBD7-CCE9431645EC}">
                        <a14:shadowObscured xmlns:a14="http://schemas.microsoft.com/office/drawing/2010/main"/>
                      </a:ext>
                    </a:extLst>
                  </pic:spPr>
                </pic:pic>
              </a:graphicData>
            </a:graphic>
          </wp:inline>
        </w:drawing>
      </w:r>
    </w:p>
    <w:p w14:paraId="7D290F23" w14:textId="77777777" w:rsidR="00934E13" w:rsidRPr="001D5327" w:rsidRDefault="00934E13" w:rsidP="00934E13">
      <w:pPr>
        <w:pStyle w:val="Heading5"/>
      </w:pPr>
      <w:bookmarkStart w:id="148" w:name="section-21"/>
      <w:r w:rsidRPr="001D5327">
        <w:t>2022–2023</w:t>
      </w:r>
    </w:p>
    <w:p w14:paraId="2B369E96" w14:textId="03D40372" w:rsidR="00934E13" w:rsidRPr="001D5327" w:rsidRDefault="00934E13" w:rsidP="00934E13">
      <w:pPr>
        <w:pStyle w:val="BodyText"/>
      </w:pPr>
      <w:r w:rsidRPr="001D5327">
        <w:t>Total Tokelau emissions in 2023 were 0.49 kt CO</w:t>
      </w:r>
      <w:r w:rsidRPr="001D5327">
        <w:rPr>
          <w:vertAlign w:val="subscript"/>
        </w:rPr>
        <w:t>2</w:t>
      </w:r>
      <w:r w:rsidRPr="001D5327">
        <w:t xml:space="preserve">-e (10.4 per cent) lower than emissions in 2022. The decrease in emissions is largely in the </w:t>
      </w:r>
      <w:r w:rsidRPr="001D5327">
        <w:rPr>
          <w:i/>
        </w:rPr>
        <w:t>Electricity generation</w:t>
      </w:r>
      <w:r w:rsidRPr="001D5327">
        <w:t xml:space="preserve"> category, which is the result of reduced diesel due to fuel conservation initiatives and problems with the diesel electricity generators. The diesel generators have been in greater demand following issues with solar electricity generation since 2022. This decrease in emissions from </w:t>
      </w:r>
      <w:r w:rsidRPr="001D5327">
        <w:rPr>
          <w:i/>
        </w:rPr>
        <w:t>Electricity generation</w:t>
      </w:r>
      <w:r w:rsidRPr="001D5327">
        <w:t xml:space="preserve"> is slightly offset by a small increase in the </w:t>
      </w:r>
      <w:r w:rsidRPr="001D5327">
        <w:rPr>
          <w:i/>
        </w:rPr>
        <w:t>Domestic navigation</w:t>
      </w:r>
      <w:r w:rsidRPr="001D5327">
        <w:t xml:space="preserve"> category, due to</w:t>
      </w:r>
      <w:r w:rsidR="009A25F0" w:rsidRPr="001D5327">
        <w:t> </w:t>
      </w:r>
      <w:r w:rsidRPr="001D5327">
        <w:t>an increase in shipping trips.</w:t>
      </w:r>
    </w:p>
    <w:bookmarkEnd w:id="148"/>
    <w:p w14:paraId="696EB77B" w14:textId="77777777" w:rsidR="00934E13" w:rsidRPr="001D5327" w:rsidRDefault="00934E13" w:rsidP="00934E13">
      <w:pPr>
        <w:pStyle w:val="Heading3"/>
      </w:pPr>
      <w:r w:rsidRPr="001D5327">
        <w:t>2.2.3</w:t>
      </w:r>
      <w:r w:rsidRPr="001D5327">
        <w:tab/>
        <w:t xml:space="preserve">Emission trends by gas from 1990 to </w:t>
      </w:r>
      <w:r w:rsidRPr="001D5327">
        <w:rPr>
          <w:bCs/>
        </w:rPr>
        <w:t>2023</w:t>
      </w:r>
    </w:p>
    <w:p w14:paraId="5781E577" w14:textId="77777777" w:rsidR="00934E13" w:rsidRPr="001D5327" w:rsidRDefault="00934E13" w:rsidP="00934E13">
      <w:pPr>
        <w:pStyle w:val="BodyText"/>
        <w:rPr>
          <w:bCs/>
        </w:rPr>
      </w:pPr>
      <w:r w:rsidRPr="001D5327">
        <w:t xml:space="preserve">Inventory reporting under the Paris Agreement and the United Nations Framework Convention on Climate Change covers the following direct GHGs: </w:t>
      </w:r>
      <w:r w:rsidRPr="001D5327">
        <w:rPr>
          <w:bCs/>
        </w:rPr>
        <w:t>CO</w:t>
      </w:r>
      <w:r w:rsidRPr="001D5327">
        <w:rPr>
          <w:bCs/>
          <w:vertAlign w:val="subscript"/>
        </w:rPr>
        <w:t>2</w:t>
      </w:r>
      <w:r w:rsidRPr="001D5327">
        <w:rPr>
          <w:bCs/>
        </w:rPr>
        <w:t>, CH</w:t>
      </w:r>
      <w:r w:rsidRPr="001D5327">
        <w:rPr>
          <w:bCs/>
          <w:vertAlign w:val="subscript"/>
        </w:rPr>
        <w:t>4</w:t>
      </w:r>
      <w:r w:rsidRPr="001D5327">
        <w:rPr>
          <w:bCs/>
        </w:rPr>
        <w:t>, N</w:t>
      </w:r>
      <w:r w:rsidRPr="001D5327">
        <w:rPr>
          <w:bCs/>
          <w:vertAlign w:val="subscript"/>
        </w:rPr>
        <w:t>2</w:t>
      </w:r>
      <w:r w:rsidRPr="001D5327">
        <w:rPr>
          <w:bCs/>
        </w:rPr>
        <w:t>O, SF</w:t>
      </w:r>
      <w:r w:rsidRPr="001D5327">
        <w:rPr>
          <w:bCs/>
          <w:vertAlign w:val="subscript"/>
        </w:rPr>
        <w:t>6</w:t>
      </w:r>
      <w:r w:rsidRPr="001D5327">
        <w:rPr>
          <w:bCs/>
        </w:rPr>
        <w:t>, PFCs, HFCs and NF</w:t>
      </w:r>
      <w:r w:rsidRPr="001D5327">
        <w:rPr>
          <w:bCs/>
          <w:vertAlign w:val="subscript"/>
        </w:rPr>
        <w:t>3</w:t>
      </w:r>
      <w:r w:rsidRPr="001D5327">
        <w:rPr>
          <w:bCs/>
        </w:rPr>
        <w:t>. No NF</w:t>
      </w:r>
      <w:r w:rsidRPr="001D5327">
        <w:rPr>
          <w:bCs/>
          <w:vertAlign w:val="subscript"/>
        </w:rPr>
        <w:t>3</w:t>
      </w:r>
      <w:r w:rsidRPr="001D5327">
        <w:rPr>
          <w:bCs/>
        </w:rPr>
        <w:t xml:space="preserve"> data are included in this report because NF</w:t>
      </w:r>
      <w:r w:rsidRPr="001D5327">
        <w:rPr>
          <w:bCs/>
          <w:vertAlign w:val="subscript"/>
        </w:rPr>
        <w:t>3</w:t>
      </w:r>
      <w:r w:rsidRPr="001D5327">
        <w:rPr>
          <w:bCs/>
        </w:rPr>
        <w:t xml:space="preserve"> emissions do not occur in New Zealand.</w:t>
      </w:r>
    </w:p>
    <w:p w14:paraId="2D4CE2C5" w14:textId="77777777" w:rsidR="00934E13" w:rsidRPr="001D5327" w:rsidRDefault="00934E13" w:rsidP="00934E13">
      <w:pPr>
        <w:pStyle w:val="BodyText"/>
        <w:rPr>
          <w:bCs/>
        </w:rPr>
      </w:pPr>
      <w:r w:rsidRPr="001D5327">
        <w:rPr>
          <w:bCs/>
        </w:rPr>
        <w:t>Table 2.2.3 provides a summary of gross emissions for each gas in 1990 and 2023 and the changes since 1990.</w:t>
      </w:r>
    </w:p>
    <w:p w14:paraId="79A45F8D" w14:textId="77777777" w:rsidR="00934E13" w:rsidRPr="001D5327" w:rsidRDefault="00934E13" w:rsidP="00934E13">
      <w:pPr>
        <w:pStyle w:val="Table"/>
      </w:pPr>
      <w:bookmarkStart w:id="149" w:name="_Toc194241665"/>
      <w:r w:rsidRPr="001D5327">
        <w:rPr>
          <w:bCs/>
        </w:rPr>
        <w:lastRenderedPageBreak/>
        <w:t>Table 2.2.3</w:t>
      </w:r>
      <w:r w:rsidRPr="001D5327">
        <w:tab/>
        <w:t xml:space="preserve">New Zealand’s gross emissions by gas in </w:t>
      </w:r>
      <w:r w:rsidRPr="001D5327">
        <w:rPr>
          <w:bCs/>
        </w:rPr>
        <w:t>1990</w:t>
      </w:r>
      <w:r w:rsidRPr="001D5327">
        <w:t xml:space="preserve"> and </w:t>
      </w:r>
      <w:r w:rsidRPr="001D5327">
        <w:rPr>
          <w:bCs/>
        </w:rPr>
        <w:t>2023</w:t>
      </w:r>
      <w:bookmarkEnd w:id="149"/>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534"/>
        <w:gridCol w:w="1151"/>
        <w:gridCol w:w="805"/>
        <w:gridCol w:w="2238"/>
        <w:gridCol w:w="1777"/>
      </w:tblGrid>
      <w:tr w:rsidR="00934E13" w:rsidRPr="001D5327" w14:paraId="4A39457C" w14:textId="77777777" w:rsidTr="00341FEF">
        <w:trPr>
          <w:tblHeader/>
        </w:trPr>
        <w:tc>
          <w:tcPr>
            <w:tcW w:w="0" w:type="auto"/>
            <w:shd w:val="clear" w:color="auto" w:fill="1B556B"/>
            <w:tcMar>
              <w:top w:w="0" w:type="dxa"/>
              <w:left w:w="85" w:type="dxa"/>
              <w:bottom w:w="0" w:type="dxa"/>
              <w:right w:w="85" w:type="dxa"/>
            </w:tcMar>
          </w:tcPr>
          <w:p w14:paraId="31F2A912" w14:textId="77777777" w:rsidR="00934E13" w:rsidRPr="001D5327" w:rsidRDefault="00934E13" w:rsidP="00FD5727">
            <w:pPr>
              <w:pStyle w:val="TableTextBold"/>
              <w:keepNext/>
              <w:spacing w:before="40" w:after="40"/>
              <w:rPr>
                <w:noProof w:val="0"/>
                <w:color w:val="FFFFFF" w:themeColor="background1"/>
              </w:rPr>
            </w:pPr>
            <w:r w:rsidRPr="001D5327">
              <w:rPr>
                <w:rFonts w:eastAsia="Calibri"/>
                <w:noProof w:val="0"/>
                <w:color w:val="FFFFFF" w:themeColor="background1"/>
              </w:rPr>
              <w:t>Direct greenhouse gas emissions</w:t>
            </w:r>
          </w:p>
        </w:tc>
        <w:tc>
          <w:tcPr>
            <w:tcW w:w="0" w:type="auto"/>
            <w:shd w:val="clear" w:color="auto" w:fill="1B556B"/>
            <w:tcMar>
              <w:top w:w="0" w:type="dxa"/>
              <w:left w:w="85" w:type="dxa"/>
              <w:bottom w:w="0" w:type="dxa"/>
              <w:right w:w="85" w:type="dxa"/>
            </w:tcMar>
          </w:tcPr>
          <w:p w14:paraId="454CF354" w14:textId="77777777" w:rsidR="00934E13" w:rsidRPr="001D5327" w:rsidRDefault="00934E13" w:rsidP="00FD5727">
            <w:pPr>
              <w:pStyle w:val="TableTextBold"/>
              <w:keepNext/>
              <w:spacing w:before="40" w:after="40"/>
              <w:jc w:val="right"/>
              <w:rPr>
                <w:noProof w:val="0"/>
                <w:color w:val="FFFFFF" w:themeColor="background1"/>
              </w:rPr>
            </w:pPr>
            <w:r w:rsidRPr="001D5327">
              <w:rPr>
                <w:rFonts w:eastAsia="Calibri"/>
                <w:noProof w:val="0"/>
                <w:color w:val="FFFFFF" w:themeColor="background1"/>
              </w:rPr>
              <w:t>1990</w:t>
            </w:r>
          </w:p>
        </w:tc>
        <w:tc>
          <w:tcPr>
            <w:tcW w:w="0" w:type="auto"/>
            <w:shd w:val="clear" w:color="auto" w:fill="1B556B"/>
            <w:tcMar>
              <w:top w:w="0" w:type="dxa"/>
              <w:left w:w="85" w:type="dxa"/>
              <w:bottom w:w="0" w:type="dxa"/>
              <w:right w:w="85" w:type="dxa"/>
            </w:tcMar>
          </w:tcPr>
          <w:p w14:paraId="341FA48C" w14:textId="77777777" w:rsidR="00934E13" w:rsidRPr="001D5327" w:rsidRDefault="00934E13" w:rsidP="00FD5727">
            <w:pPr>
              <w:pStyle w:val="TableTextBold"/>
              <w:keepNext/>
              <w:spacing w:before="40" w:after="40"/>
              <w:jc w:val="right"/>
              <w:rPr>
                <w:noProof w:val="0"/>
                <w:color w:val="FFFFFF" w:themeColor="background1"/>
              </w:rPr>
            </w:pPr>
            <w:r w:rsidRPr="001D5327">
              <w:rPr>
                <w:rFonts w:eastAsia="Calibri"/>
                <w:noProof w:val="0"/>
                <w:color w:val="FFFFFF" w:themeColor="background1"/>
              </w:rPr>
              <w:t>2023</w:t>
            </w:r>
          </w:p>
        </w:tc>
        <w:tc>
          <w:tcPr>
            <w:tcW w:w="0" w:type="auto"/>
            <w:shd w:val="clear" w:color="auto" w:fill="1B556B"/>
            <w:tcMar>
              <w:top w:w="0" w:type="dxa"/>
              <w:left w:w="85" w:type="dxa"/>
              <w:bottom w:w="0" w:type="dxa"/>
              <w:right w:w="85" w:type="dxa"/>
            </w:tcMar>
          </w:tcPr>
          <w:p w14:paraId="3CF87031" w14:textId="77777777" w:rsidR="00934E13" w:rsidRPr="001D5327" w:rsidRDefault="00934E13" w:rsidP="00FD5727">
            <w:pPr>
              <w:pStyle w:val="TableTextBold"/>
              <w:keepNext/>
              <w:spacing w:before="40" w:after="40"/>
              <w:jc w:val="right"/>
              <w:rPr>
                <w:noProof w:val="0"/>
                <w:color w:val="FFFFFF" w:themeColor="background1"/>
              </w:rPr>
            </w:pPr>
            <w:r w:rsidRPr="001D5327">
              <w:rPr>
                <w:rFonts w:eastAsia="Calibri"/>
                <w:noProof w:val="0"/>
                <w:color w:val="FFFFFF" w:themeColor="background1"/>
              </w:rPr>
              <w:t>Change from 1990 (kt CO</w:t>
            </w:r>
            <w:r w:rsidRPr="001D5327">
              <w:rPr>
                <w:rFonts w:eastAsia="Calibri"/>
                <w:noProof w:val="0"/>
                <w:color w:val="FFFFFF" w:themeColor="background1"/>
                <w:vertAlign w:val="subscript"/>
              </w:rPr>
              <w:t>2</w:t>
            </w:r>
            <w:r w:rsidRPr="001D5327">
              <w:rPr>
                <w:rFonts w:eastAsia="Calibri"/>
                <w:noProof w:val="0"/>
                <w:color w:val="FFFFFF" w:themeColor="background1"/>
              </w:rPr>
              <w:t>-e)</w:t>
            </w:r>
          </w:p>
        </w:tc>
        <w:tc>
          <w:tcPr>
            <w:tcW w:w="0" w:type="auto"/>
            <w:shd w:val="clear" w:color="auto" w:fill="1B556B"/>
            <w:tcMar>
              <w:top w:w="0" w:type="dxa"/>
              <w:left w:w="85" w:type="dxa"/>
              <w:bottom w:w="0" w:type="dxa"/>
              <w:right w:w="85" w:type="dxa"/>
            </w:tcMar>
          </w:tcPr>
          <w:p w14:paraId="21F4DFC5" w14:textId="77777777" w:rsidR="00934E13" w:rsidRPr="001D5327" w:rsidRDefault="00934E13" w:rsidP="00FD5727">
            <w:pPr>
              <w:pStyle w:val="TableTextBold"/>
              <w:keepNext/>
              <w:spacing w:before="40" w:after="40"/>
              <w:jc w:val="right"/>
              <w:rPr>
                <w:noProof w:val="0"/>
                <w:color w:val="FFFFFF" w:themeColor="background1"/>
              </w:rPr>
            </w:pPr>
            <w:r w:rsidRPr="001D5327">
              <w:rPr>
                <w:rFonts w:eastAsia="Calibri"/>
                <w:noProof w:val="0"/>
                <w:color w:val="FFFFFF" w:themeColor="background1"/>
              </w:rPr>
              <w:t>Change from 1990 (%)</w:t>
            </w:r>
          </w:p>
        </w:tc>
      </w:tr>
      <w:tr w:rsidR="00934E13" w:rsidRPr="001D5327" w14:paraId="762068C7" w14:textId="77777777" w:rsidTr="00341FEF">
        <w:tc>
          <w:tcPr>
            <w:tcW w:w="0" w:type="auto"/>
            <w:shd w:val="clear" w:color="auto" w:fill="FFFFFF"/>
            <w:tcMar>
              <w:top w:w="0" w:type="dxa"/>
              <w:left w:w="85" w:type="dxa"/>
              <w:bottom w:w="0" w:type="dxa"/>
              <w:right w:w="85" w:type="dxa"/>
            </w:tcMar>
          </w:tcPr>
          <w:p w14:paraId="122B7360" w14:textId="77777777" w:rsidR="00934E13" w:rsidRPr="001D5327" w:rsidRDefault="00934E13" w:rsidP="00FD5727">
            <w:pPr>
              <w:pStyle w:val="TableText"/>
              <w:keepNext/>
              <w:spacing w:before="40" w:after="40"/>
            </w:pPr>
            <w:r w:rsidRPr="001D5327">
              <w:rPr>
                <w:rFonts w:eastAsia="Calibri"/>
                <w:color w:val="000000"/>
              </w:rPr>
              <w:t>CO</w:t>
            </w:r>
            <w:r w:rsidRPr="001D5327">
              <w:rPr>
                <w:rFonts w:eastAsia="Calibri"/>
                <w:color w:val="000000"/>
                <w:vertAlign w:val="subscript"/>
              </w:rPr>
              <w:t>2</w:t>
            </w:r>
          </w:p>
        </w:tc>
        <w:tc>
          <w:tcPr>
            <w:tcW w:w="0" w:type="auto"/>
            <w:shd w:val="clear" w:color="auto" w:fill="FFFFFF"/>
            <w:tcMar>
              <w:top w:w="0" w:type="dxa"/>
              <w:left w:w="85" w:type="dxa"/>
              <w:bottom w:w="0" w:type="dxa"/>
              <w:right w:w="85" w:type="dxa"/>
            </w:tcMar>
          </w:tcPr>
          <w:p w14:paraId="27F5EEBC" w14:textId="77777777" w:rsidR="00934E13" w:rsidRPr="001D5327" w:rsidRDefault="00934E13" w:rsidP="00FD5727">
            <w:pPr>
              <w:pStyle w:val="TableText"/>
              <w:keepNext/>
              <w:spacing w:before="40" w:after="40"/>
              <w:jc w:val="right"/>
            </w:pPr>
            <w:r w:rsidRPr="001D5327">
              <w:rPr>
                <w:rFonts w:eastAsia="Calibri"/>
                <w:color w:val="000000"/>
              </w:rPr>
              <w:t>25,490.1</w:t>
            </w:r>
          </w:p>
        </w:tc>
        <w:tc>
          <w:tcPr>
            <w:tcW w:w="0" w:type="auto"/>
            <w:shd w:val="clear" w:color="auto" w:fill="FFFFFF"/>
            <w:tcMar>
              <w:top w:w="0" w:type="dxa"/>
              <w:left w:w="85" w:type="dxa"/>
              <w:bottom w:w="0" w:type="dxa"/>
              <w:right w:w="85" w:type="dxa"/>
            </w:tcMar>
          </w:tcPr>
          <w:p w14:paraId="20D4795E" w14:textId="77777777" w:rsidR="00934E13" w:rsidRPr="001D5327" w:rsidRDefault="00934E13" w:rsidP="00FD5727">
            <w:pPr>
              <w:pStyle w:val="TableText"/>
              <w:keepNext/>
              <w:spacing w:before="40" w:after="40"/>
              <w:jc w:val="right"/>
            </w:pPr>
            <w:r w:rsidRPr="001D5327">
              <w:rPr>
                <w:rFonts w:eastAsia="Calibri"/>
                <w:color w:val="000000"/>
              </w:rPr>
              <w:t>31,559.8</w:t>
            </w:r>
          </w:p>
        </w:tc>
        <w:tc>
          <w:tcPr>
            <w:tcW w:w="0" w:type="auto"/>
            <w:shd w:val="clear" w:color="auto" w:fill="FFFFFF"/>
            <w:tcMar>
              <w:top w:w="0" w:type="dxa"/>
              <w:left w:w="85" w:type="dxa"/>
              <w:bottom w:w="0" w:type="dxa"/>
              <w:right w:w="85" w:type="dxa"/>
            </w:tcMar>
          </w:tcPr>
          <w:p w14:paraId="1240C12D" w14:textId="77777777" w:rsidR="00934E13" w:rsidRPr="001D5327" w:rsidRDefault="00934E13" w:rsidP="00FD5727">
            <w:pPr>
              <w:pStyle w:val="TableText"/>
              <w:keepNext/>
              <w:spacing w:before="40" w:after="40"/>
              <w:jc w:val="right"/>
            </w:pPr>
            <w:r w:rsidRPr="001D5327">
              <w:rPr>
                <w:rFonts w:eastAsia="Calibri"/>
                <w:color w:val="000000"/>
              </w:rPr>
              <w:t>6,069.7</w:t>
            </w:r>
          </w:p>
        </w:tc>
        <w:tc>
          <w:tcPr>
            <w:tcW w:w="0" w:type="auto"/>
            <w:shd w:val="clear" w:color="auto" w:fill="FFFFFF"/>
            <w:tcMar>
              <w:top w:w="0" w:type="dxa"/>
              <w:left w:w="85" w:type="dxa"/>
              <w:bottom w:w="0" w:type="dxa"/>
              <w:right w:w="85" w:type="dxa"/>
            </w:tcMar>
          </w:tcPr>
          <w:p w14:paraId="593F8D66" w14:textId="77777777" w:rsidR="00934E13" w:rsidRPr="001D5327" w:rsidRDefault="00934E13" w:rsidP="00FD5727">
            <w:pPr>
              <w:pStyle w:val="TableText"/>
              <w:keepNext/>
              <w:spacing w:before="40" w:after="40"/>
              <w:jc w:val="right"/>
            </w:pPr>
            <w:r w:rsidRPr="001D5327">
              <w:rPr>
                <w:rFonts w:eastAsia="Calibri"/>
                <w:color w:val="000000"/>
              </w:rPr>
              <w:t>23.8</w:t>
            </w:r>
          </w:p>
        </w:tc>
      </w:tr>
      <w:tr w:rsidR="00934E13" w:rsidRPr="001D5327" w14:paraId="78D1DAE9" w14:textId="77777777" w:rsidTr="00341FEF">
        <w:tc>
          <w:tcPr>
            <w:tcW w:w="0" w:type="auto"/>
            <w:shd w:val="clear" w:color="auto" w:fill="FFFFFF"/>
            <w:tcMar>
              <w:top w:w="0" w:type="dxa"/>
              <w:left w:w="85" w:type="dxa"/>
              <w:bottom w:w="0" w:type="dxa"/>
              <w:right w:w="85" w:type="dxa"/>
            </w:tcMar>
          </w:tcPr>
          <w:p w14:paraId="54609B9E" w14:textId="77777777" w:rsidR="00934E13" w:rsidRPr="001D5327" w:rsidRDefault="00934E13" w:rsidP="00FD5727">
            <w:pPr>
              <w:pStyle w:val="TableText"/>
              <w:keepNext/>
              <w:spacing w:before="40" w:after="40"/>
            </w:pPr>
            <w:r w:rsidRPr="001D5327">
              <w:rPr>
                <w:rFonts w:eastAsia="Calibri"/>
                <w:color w:val="000000"/>
              </w:rPr>
              <w:t>CH</w:t>
            </w:r>
            <w:r w:rsidRPr="001D5327">
              <w:rPr>
                <w:rFonts w:eastAsia="Calibri"/>
                <w:color w:val="000000"/>
                <w:vertAlign w:val="subscript"/>
              </w:rPr>
              <w:t>4</w:t>
            </w:r>
          </w:p>
        </w:tc>
        <w:tc>
          <w:tcPr>
            <w:tcW w:w="0" w:type="auto"/>
            <w:shd w:val="clear" w:color="auto" w:fill="FFFFFF"/>
            <w:tcMar>
              <w:top w:w="0" w:type="dxa"/>
              <w:left w:w="85" w:type="dxa"/>
              <w:bottom w:w="0" w:type="dxa"/>
              <w:right w:w="85" w:type="dxa"/>
            </w:tcMar>
          </w:tcPr>
          <w:p w14:paraId="193EEA05" w14:textId="77777777" w:rsidR="00934E13" w:rsidRPr="001D5327" w:rsidRDefault="00934E13" w:rsidP="00FD5727">
            <w:pPr>
              <w:pStyle w:val="TableText"/>
              <w:keepNext/>
              <w:spacing w:before="40" w:after="40"/>
              <w:jc w:val="right"/>
            </w:pPr>
            <w:r w:rsidRPr="001D5327">
              <w:rPr>
                <w:rFonts w:eastAsia="Calibri"/>
                <w:color w:val="000000"/>
              </w:rPr>
              <w:t>36,271.1</w:t>
            </w:r>
          </w:p>
        </w:tc>
        <w:tc>
          <w:tcPr>
            <w:tcW w:w="0" w:type="auto"/>
            <w:shd w:val="clear" w:color="auto" w:fill="FFFFFF"/>
            <w:tcMar>
              <w:top w:w="0" w:type="dxa"/>
              <w:left w:w="85" w:type="dxa"/>
              <w:bottom w:w="0" w:type="dxa"/>
              <w:right w:w="85" w:type="dxa"/>
            </w:tcMar>
          </w:tcPr>
          <w:p w14:paraId="1DA491B1" w14:textId="77777777" w:rsidR="00934E13" w:rsidRPr="001D5327" w:rsidRDefault="00934E13" w:rsidP="00FD5727">
            <w:pPr>
              <w:pStyle w:val="TableText"/>
              <w:keepNext/>
              <w:spacing w:before="40" w:after="40"/>
              <w:jc w:val="right"/>
            </w:pPr>
            <w:r w:rsidRPr="001D5327">
              <w:rPr>
                <w:rFonts w:eastAsia="Calibri"/>
                <w:color w:val="000000"/>
              </w:rPr>
              <w:t>36,751.6</w:t>
            </w:r>
          </w:p>
        </w:tc>
        <w:tc>
          <w:tcPr>
            <w:tcW w:w="0" w:type="auto"/>
            <w:shd w:val="clear" w:color="auto" w:fill="FFFFFF"/>
            <w:tcMar>
              <w:top w:w="0" w:type="dxa"/>
              <w:left w:w="85" w:type="dxa"/>
              <w:bottom w:w="0" w:type="dxa"/>
              <w:right w:w="85" w:type="dxa"/>
            </w:tcMar>
          </w:tcPr>
          <w:p w14:paraId="4D75FEE7" w14:textId="77777777" w:rsidR="00934E13" w:rsidRPr="001D5327" w:rsidRDefault="00934E13" w:rsidP="00FD5727">
            <w:pPr>
              <w:pStyle w:val="TableText"/>
              <w:keepNext/>
              <w:spacing w:before="40" w:after="40"/>
              <w:jc w:val="right"/>
            </w:pPr>
            <w:r w:rsidRPr="001D5327">
              <w:rPr>
                <w:rFonts w:eastAsia="Calibri"/>
                <w:color w:val="000000"/>
              </w:rPr>
              <w:t>480.5</w:t>
            </w:r>
          </w:p>
        </w:tc>
        <w:tc>
          <w:tcPr>
            <w:tcW w:w="0" w:type="auto"/>
            <w:shd w:val="clear" w:color="auto" w:fill="FFFFFF"/>
            <w:tcMar>
              <w:top w:w="0" w:type="dxa"/>
              <w:left w:w="85" w:type="dxa"/>
              <w:bottom w:w="0" w:type="dxa"/>
              <w:right w:w="85" w:type="dxa"/>
            </w:tcMar>
          </w:tcPr>
          <w:p w14:paraId="42C0C852" w14:textId="77777777" w:rsidR="00934E13" w:rsidRPr="001D5327" w:rsidRDefault="00934E13" w:rsidP="00FD5727">
            <w:pPr>
              <w:pStyle w:val="TableText"/>
              <w:keepNext/>
              <w:spacing w:before="40" w:after="40"/>
              <w:jc w:val="right"/>
            </w:pPr>
            <w:r w:rsidRPr="001D5327">
              <w:rPr>
                <w:rFonts w:eastAsia="Calibri"/>
                <w:color w:val="000000"/>
              </w:rPr>
              <w:t>1.3</w:t>
            </w:r>
          </w:p>
        </w:tc>
      </w:tr>
      <w:tr w:rsidR="00934E13" w:rsidRPr="001D5327" w14:paraId="26328938" w14:textId="77777777" w:rsidTr="00341FEF">
        <w:tc>
          <w:tcPr>
            <w:tcW w:w="0" w:type="auto"/>
            <w:shd w:val="clear" w:color="auto" w:fill="FFFFFF"/>
            <w:tcMar>
              <w:top w:w="0" w:type="dxa"/>
              <w:left w:w="85" w:type="dxa"/>
              <w:bottom w:w="0" w:type="dxa"/>
              <w:right w:w="85" w:type="dxa"/>
            </w:tcMar>
          </w:tcPr>
          <w:p w14:paraId="25C816C8" w14:textId="77777777" w:rsidR="00934E13" w:rsidRPr="001D5327" w:rsidRDefault="00934E13" w:rsidP="00FD5727">
            <w:pPr>
              <w:pStyle w:val="TableText"/>
              <w:keepNext/>
              <w:spacing w:before="40" w:after="40"/>
            </w:pPr>
            <w:r w:rsidRPr="001D5327">
              <w:rPr>
                <w:rFonts w:eastAsia="Calibri"/>
                <w:color w:val="000000"/>
              </w:rPr>
              <w:t>N</w:t>
            </w:r>
            <w:r w:rsidRPr="001D5327">
              <w:rPr>
                <w:rFonts w:eastAsia="Calibri"/>
                <w:color w:val="000000"/>
                <w:vertAlign w:val="subscript"/>
              </w:rPr>
              <w:t>2</w:t>
            </w:r>
            <w:r w:rsidRPr="001D5327">
              <w:rPr>
                <w:rFonts w:eastAsia="Calibri"/>
                <w:color w:val="000000"/>
              </w:rPr>
              <w:t>O</w:t>
            </w:r>
          </w:p>
        </w:tc>
        <w:tc>
          <w:tcPr>
            <w:tcW w:w="0" w:type="auto"/>
            <w:shd w:val="clear" w:color="auto" w:fill="FFFFFF"/>
            <w:tcMar>
              <w:top w:w="0" w:type="dxa"/>
              <w:left w:w="85" w:type="dxa"/>
              <w:bottom w:w="0" w:type="dxa"/>
              <w:right w:w="85" w:type="dxa"/>
            </w:tcMar>
          </w:tcPr>
          <w:p w14:paraId="081EAD22" w14:textId="77777777" w:rsidR="00934E13" w:rsidRPr="001D5327" w:rsidRDefault="00934E13" w:rsidP="00FD5727">
            <w:pPr>
              <w:pStyle w:val="TableText"/>
              <w:keepNext/>
              <w:spacing w:before="40" w:after="40"/>
              <w:jc w:val="right"/>
            </w:pPr>
            <w:r w:rsidRPr="001D5327">
              <w:rPr>
                <w:rFonts w:eastAsia="Calibri"/>
                <w:color w:val="000000"/>
              </w:rPr>
              <w:t>5,079.1</w:t>
            </w:r>
          </w:p>
        </w:tc>
        <w:tc>
          <w:tcPr>
            <w:tcW w:w="0" w:type="auto"/>
            <w:shd w:val="clear" w:color="auto" w:fill="FFFFFF"/>
            <w:tcMar>
              <w:top w:w="0" w:type="dxa"/>
              <w:left w:w="85" w:type="dxa"/>
              <w:bottom w:w="0" w:type="dxa"/>
              <w:right w:w="85" w:type="dxa"/>
            </w:tcMar>
          </w:tcPr>
          <w:p w14:paraId="1BE4A6DA" w14:textId="77777777" w:rsidR="00934E13" w:rsidRPr="001D5327" w:rsidRDefault="00934E13" w:rsidP="00FD5727">
            <w:pPr>
              <w:pStyle w:val="TableText"/>
              <w:keepNext/>
              <w:spacing w:before="40" w:after="40"/>
              <w:jc w:val="right"/>
            </w:pPr>
            <w:r w:rsidRPr="001D5327">
              <w:rPr>
                <w:rFonts w:eastAsia="Calibri"/>
                <w:color w:val="000000"/>
              </w:rPr>
              <w:t>6,940.0</w:t>
            </w:r>
          </w:p>
        </w:tc>
        <w:tc>
          <w:tcPr>
            <w:tcW w:w="0" w:type="auto"/>
            <w:shd w:val="clear" w:color="auto" w:fill="FFFFFF"/>
            <w:tcMar>
              <w:top w:w="0" w:type="dxa"/>
              <w:left w:w="85" w:type="dxa"/>
              <w:bottom w:w="0" w:type="dxa"/>
              <w:right w:w="85" w:type="dxa"/>
            </w:tcMar>
          </w:tcPr>
          <w:p w14:paraId="2DE1C732" w14:textId="77777777" w:rsidR="00934E13" w:rsidRPr="001D5327" w:rsidRDefault="00934E13" w:rsidP="00FD5727">
            <w:pPr>
              <w:pStyle w:val="TableText"/>
              <w:keepNext/>
              <w:spacing w:before="40" w:after="40"/>
              <w:jc w:val="right"/>
            </w:pPr>
            <w:r w:rsidRPr="001D5327">
              <w:rPr>
                <w:rFonts w:eastAsia="Calibri"/>
                <w:color w:val="000000"/>
              </w:rPr>
              <w:t>1,860.9</w:t>
            </w:r>
          </w:p>
        </w:tc>
        <w:tc>
          <w:tcPr>
            <w:tcW w:w="0" w:type="auto"/>
            <w:shd w:val="clear" w:color="auto" w:fill="FFFFFF"/>
            <w:tcMar>
              <w:top w:w="0" w:type="dxa"/>
              <w:left w:w="85" w:type="dxa"/>
              <w:bottom w:w="0" w:type="dxa"/>
              <w:right w:w="85" w:type="dxa"/>
            </w:tcMar>
          </w:tcPr>
          <w:p w14:paraId="49A3A660" w14:textId="77777777" w:rsidR="00934E13" w:rsidRPr="001D5327" w:rsidRDefault="00934E13" w:rsidP="00FD5727">
            <w:pPr>
              <w:pStyle w:val="TableText"/>
              <w:keepNext/>
              <w:spacing w:before="40" w:after="40"/>
              <w:jc w:val="right"/>
            </w:pPr>
            <w:r w:rsidRPr="001D5327">
              <w:rPr>
                <w:rFonts w:eastAsia="Calibri"/>
                <w:color w:val="000000"/>
              </w:rPr>
              <w:t>36.6</w:t>
            </w:r>
          </w:p>
        </w:tc>
      </w:tr>
      <w:tr w:rsidR="00934E13" w:rsidRPr="001D5327" w14:paraId="4237914E" w14:textId="77777777" w:rsidTr="00341FEF">
        <w:tc>
          <w:tcPr>
            <w:tcW w:w="0" w:type="auto"/>
            <w:shd w:val="clear" w:color="auto" w:fill="FFFFFF"/>
            <w:tcMar>
              <w:top w:w="0" w:type="dxa"/>
              <w:left w:w="85" w:type="dxa"/>
              <w:bottom w:w="0" w:type="dxa"/>
              <w:right w:w="85" w:type="dxa"/>
            </w:tcMar>
          </w:tcPr>
          <w:p w14:paraId="7BC6E2BC" w14:textId="77777777" w:rsidR="00934E13" w:rsidRPr="001D5327" w:rsidRDefault="00934E13" w:rsidP="00FD5727">
            <w:pPr>
              <w:pStyle w:val="TableText"/>
              <w:keepNext/>
              <w:spacing w:before="40" w:after="40"/>
            </w:pPr>
            <w:r w:rsidRPr="001D5327">
              <w:rPr>
                <w:rFonts w:eastAsia="Calibri"/>
                <w:color w:val="000000"/>
              </w:rPr>
              <w:t>HFCs</w:t>
            </w:r>
          </w:p>
        </w:tc>
        <w:tc>
          <w:tcPr>
            <w:tcW w:w="0" w:type="auto"/>
            <w:shd w:val="clear" w:color="auto" w:fill="FFFFFF"/>
            <w:tcMar>
              <w:top w:w="0" w:type="dxa"/>
              <w:left w:w="85" w:type="dxa"/>
              <w:bottom w:w="0" w:type="dxa"/>
              <w:right w:w="85" w:type="dxa"/>
            </w:tcMar>
          </w:tcPr>
          <w:p w14:paraId="17F54BBF" w14:textId="77777777" w:rsidR="00934E13" w:rsidRPr="001D5327" w:rsidRDefault="00934E13" w:rsidP="00FD5727">
            <w:pPr>
              <w:pStyle w:val="TableText"/>
              <w:keepNext/>
              <w:spacing w:before="40" w:after="40"/>
              <w:jc w:val="right"/>
            </w:pPr>
            <w:r w:rsidRPr="001D5327">
              <w:rPr>
                <w:rFonts w:eastAsia="Calibri"/>
                <w:color w:val="000000"/>
              </w:rPr>
              <w:t>Not occurring</w:t>
            </w:r>
          </w:p>
        </w:tc>
        <w:tc>
          <w:tcPr>
            <w:tcW w:w="0" w:type="auto"/>
            <w:shd w:val="clear" w:color="auto" w:fill="FFFFFF"/>
            <w:tcMar>
              <w:top w:w="0" w:type="dxa"/>
              <w:left w:w="85" w:type="dxa"/>
              <w:bottom w:w="0" w:type="dxa"/>
              <w:right w:w="85" w:type="dxa"/>
            </w:tcMar>
          </w:tcPr>
          <w:p w14:paraId="3867A532" w14:textId="77777777" w:rsidR="00934E13" w:rsidRPr="001D5327" w:rsidRDefault="00934E13" w:rsidP="00FD5727">
            <w:pPr>
              <w:pStyle w:val="TableText"/>
              <w:keepNext/>
              <w:spacing w:before="40" w:after="40"/>
              <w:jc w:val="right"/>
            </w:pPr>
            <w:r w:rsidRPr="001D5327">
              <w:rPr>
                <w:rFonts w:eastAsia="Calibri"/>
                <w:color w:val="000000"/>
              </w:rPr>
              <w:t>1,087.3</w:t>
            </w:r>
          </w:p>
        </w:tc>
        <w:tc>
          <w:tcPr>
            <w:tcW w:w="0" w:type="auto"/>
            <w:shd w:val="clear" w:color="auto" w:fill="FFFFFF"/>
            <w:tcMar>
              <w:top w:w="0" w:type="dxa"/>
              <w:left w:w="85" w:type="dxa"/>
              <w:bottom w:w="0" w:type="dxa"/>
              <w:right w:w="85" w:type="dxa"/>
            </w:tcMar>
          </w:tcPr>
          <w:p w14:paraId="7B393B96" w14:textId="77777777" w:rsidR="00934E13" w:rsidRPr="001D5327" w:rsidRDefault="00934E13" w:rsidP="00FD5727">
            <w:pPr>
              <w:pStyle w:val="TableText"/>
              <w:keepNext/>
              <w:spacing w:before="40" w:after="40"/>
              <w:jc w:val="right"/>
            </w:pPr>
            <w:r w:rsidRPr="001D5327">
              <w:rPr>
                <w:rFonts w:eastAsia="Calibri"/>
                <w:color w:val="000000"/>
              </w:rPr>
              <w:t>1,087.3</w:t>
            </w:r>
          </w:p>
        </w:tc>
        <w:tc>
          <w:tcPr>
            <w:tcW w:w="0" w:type="auto"/>
            <w:shd w:val="clear" w:color="auto" w:fill="FFFFFF"/>
            <w:tcMar>
              <w:top w:w="0" w:type="dxa"/>
              <w:left w:w="85" w:type="dxa"/>
              <w:bottom w:w="0" w:type="dxa"/>
              <w:right w:w="85" w:type="dxa"/>
            </w:tcMar>
          </w:tcPr>
          <w:p w14:paraId="5DAFF42F" w14:textId="77777777" w:rsidR="00934E13" w:rsidRPr="001D5327" w:rsidRDefault="00934E13" w:rsidP="00FD5727">
            <w:pPr>
              <w:pStyle w:val="TableText"/>
              <w:keepNext/>
              <w:spacing w:before="40" w:after="40"/>
              <w:jc w:val="right"/>
            </w:pPr>
            <w:r w:rsidRPr="001D5327">
              <w:rPr>
                <w:rFonts w:eastAsia="Calibri"/>
                <w:color w:val="000000"/>
              </w:rPr>
              <w:t>NA</w:t>
            </w:r>
          </w:p>
        </w:tc>
      </w:tr>
      <w:tr w:rsidR="00934E13" w:rsidRPr="001D5327" w14:paraId="3523988C" w14:textId="77777777" w:rsidTr="00341FEF">
        <w:tc>
          <w:tcPr>
            <w:tcW w:w="0" w:type="auto"/>
            <w:shd w:val="clear" w:color="auto" w:fill="FFFFFF"/>
            <w:tcMar>
              <w:top w:w="0" w:type="dxa"/>
              <w:left w:w="85" w:type="dxa"/>
              <w:bottom w:w="0" w:type="dxa"/>
              <w:right w:w="85" w:type="dxa"/>
            </w:tcMar>
          </w:tcPr>
          <w:p w14:paraId="68CE3C31" w14:textId="77777777" w:rsidR="00934E13" w:rsidRPr="001D5327" w:rsidRDefault="00934E13" w:rsidP="00341FEF">
            <w:pPr>
              <w:pStyle w:val="TableText"/>
              <w:spacing w:before="40" w:after="40"/>
            </w:pPr>
            <w:r w:rsidRPr="001D5327">
              <w:rPr>
                <w:rFonts w:eastAsia="Calibri"/>
                <w:color w:val="000000"/>
              </w:rPr>
              <w:t>PFCs</w:t>
            </w:r>
          </w:p>
        </w:tc>
        <w:tc>
          <w:tcPr>
            <w:tcW w:w="0" w:type="auto"/>
            <w:shd w:val="clear" w:color="auto" w:fill="FFFFFF"/>
            <w:tcMar>
              <w:top w:w="0" w:type="dxa"/>
              <w:left w:w="85" w:type="dxa"/>
              <w:bottom w:w="0" w:type="dxa"/>
              <w:right w:w="85" w:type="dxa"/>
            </w:tcMar>
          </w:tcPr>
          <w:p w14:paraId="4AE8225B" w14:textId="77777777" w:rsidR="00934E13" w:rsidRPr="001D5327" w:rsidRDefault="00934E13" w:rsidP="00341FEF">
            <w:pPr>
              <w:pStyle w:val="TableText"/>
              <w:spacing w:before="40" w:after="40"/>
              <w:jc w:val="right"/>
            </w:pPr>
            <w:r w:rsidRPr="001D5327">
              <w:rPr>
                <w:rFonts w:eastAsia="Calibri"/>
                <w:color w:val="000000"/>
              </w:rPr>
              <w:t>818.0</w:t>
            </w:r>
          </w:p>
        </w:tc>
        <w:tc>
          <w:tcPr>
            <w:tcW w:w="0" w:type="auto"/>
            <w:shd w:val="clear" w:color="auto" w:fill="FFFFFF"/>
            <w:tcMar>
              <w:top w:w="0" w:type="dxa"/>
              <w:left w:w="85" w:type="dxa"/>
              <w:bottom w:w="0" w:type="dxa"/>
              <w:right w:w="85" w:type="dxa"/>
            </w:tcMar>
          </w:tcPr>
          <w:p w14:paraId="467ACEE1" w14:textId="77777777" w:rsidR="00934E13" w:rsidRPr="001D5327" w:rsidRDefault="00934E13" w:rsidP="00341FEF">
            <w:pPr>
              <w:pStyle w:val="TableText"/>
              <w:spacing w:before="40" w:after="40"/>
              <w:jc w:val="right"/>
            </w:pPr>
            <w:r w:rsidRPr="001D5327">
              <w:rPr>
                <w:rFonts w:eastAsia="Calibri"/>
                <w:color w:val="000000"/>
              </w:rPr>
              <w:t>60.9</w:t>
            </w:r>
          </w:p>
        </w:tc>
        <w:tc>
          <w:tcPr>
            <w:tcW w:w="0" w:type="auto"/>
            <w:shd w:val="clear" w:color="auto" w:fill="FFFFFF"/>
            <w:tcMar>
              <w:top w:w="0" w:type="dxa"/>
              <w:left w:w="85" w:type="dxa"/>
              <w:bottom w:w="0" w:type="dxa"/>
              <w:right w:w="85" w:type="dxa"/>
            </w:tcMar>
          </w:tcPr>
          <w:p w14:paraId="705F7510" w14:textId="519CC5D3" w:rsidR="00934E13" w:rsidRPr="001D5327" w:rsidRDefault="003C45F8" w:rsidP="00341FEF">
            <w:pPr>
              <w:pStyle w:val="TableText"/>
              <w:spacing w:before="40" w:after="40"/>
              <w:jc w:val="right"/>
            </w:pPr>
            <w:r>
              <w:rPr>
                <w:rFonts w:eastAsia="Calibri"/>
                <w:color w:val="000000"/>
              </w:rPr>
              <w:t>-</w:t>
            </w:r>
            <w:r w:rsidR="00934E13" w:rsidRPr="001D5327">
              <w:rPr>
                <w:rFonts w:eastAsia="Calibri"/>
                <w:color w:val="000000"/>
              </w:rPr>
              <w:t>757.1</w:t>
            </w:r>
          </w:p>
        </w:tc>
        <w:tc>
          <w:tcPr>
            <w:tcW w:w="0" w:type="auto"/>
            <w:shd w:val="clear" w:color="auto" w:fill="FFFFFF"/>
            <w:tcMar>
              <w:top w:w="0" w:type="dxa"/>
              <w:left w:w="85" w:type="dxa"/>
              <w:bottom w:w="0" w:type="dxa"/>
              <w:right w:w="85" w:type="dxa"/>
            </w:tcMar>
          </w:tcPr>
          <w:p w14:paraId="191AD329" w14:textId="62DAFEB5" w:rsidR="00934E13" w:rsidRPr="001D5327" w:rsidRDefault="003C45F8" w:rsidP="00341FEF">
            <w:pPr>
              <w:pStyle w:val="TableText"/>
              <w:spacing w:before="40" w:after="40"/>
              <w:jc w:val="right"/>
            </w:pPr>
            <w:r>
              <w:rPr>
                <w:rFonts w:eastAsia="Calibri"/>
                <w:color w:val="000000"/>
              </w:rPr>
              <w:t>-</w:t>
            </w:r>
            <w:r w:rsidR="00934E13" w:rsidRPr="001D5327">
              <w:rPr>
                <w:rFonts w:eastAsia="Calibri"/>
                <w:color w:val="000000"/>
              </w:rPr>
              <w:t>92.6</w:t>
            </w:r>
          </w:p>
        </w:tc>
      </w:tr>
      <w:tr w:rsidR="00934E13" w:rsidRPr="001D5327" w14:paraId="1F5EDC6D" w14:textId="77777777" w:rsidTr="00341FEF">
        <w:tc>
          <w:tcPr>
            <w:tcW w:w="0" w:type="auto"/>
            <w:shd w:val="clear" w:color="auto" w:fill="FFFFFF"/>
            <w:tcMar>
              <w:top w:w="0" w:type="dxa"/>
              <w:left w:w="85" w:type="dxa"/>
              <w:bottom w:w="0" w:type="dxa"/>
              <w:right w:w="85" w:type="dxa"/>
            </w:tcMar>
          </w:tcPr>
          <w:p w14:paraId="31A005BB" w14:textId="77777777" w:rsidR="00934E13" w:rsidRPr="001D5327" w:rsidRDefault="00934E13" w:rsidP="00341FEF">
            <w:pPr>
              <w:pStyle w:val="TableText"/>
              <w:spacing w:before="40" w:after="40"/>
            </w:pPr>
            <w:r w:rsidRPr="001D5327">
              <w:rPr>
                <w:rFonts w:eastAsia="Calibri"/>
                <w:color w:val="000000"/>
              </w:rPr>
              <w:t>SF</w:t>
            </w:r>
            <w:r w:rsidRPr="001D5327">
              <w:rPr>
                <w:rFonts w:eastAsia="Calibri"/>
                <w:color w:val="000000"/>
                <w:vertAlign w:val="subscript"/>
              </w:rPr>
              <w:t>6</w:t>
            </w:r>
          </w:p>
        </w:tc>
        <w:tc>
          <w:tcPr>
            <w:tcW w:w="0" w:type="auto"/>
            <w:shd w:val="clear" w:color="auto" w:fill="FFFFFF"/>
            <w:tcMar>
              <w:top w:w="0" w:type="dxa"/>
              <w:left w:w="85" w:type="dxa"/>
              <w:bottom w:w="0" w:type="dxa"/>
              <w:right w:w="85" w:type="dxa"/>
            </w:tcMar>
          </w:tcPr>
          <w:p w14:paraId="6308ACBA" w14:textId="77777777" w:rsidR="00934E13" w:rsidRPr="001D5327" w:rsidRDefault="00934E13" w:rsidP="00341FEF">
            <w:pPr>
              <w:pStyle w:val="TableText"/>
              <w:spacing w:before="40" w:after="40"/>
              <w:jc w:val="right"/>
            </w:pPr>
            <w:r w:rsidRPr="001D5327">
              <w:rPr>
                <w:rFonts w:eastAsia="Calibri"/>
                <w:color w:val="000000"/>
              </w:rPr>
              <w:t>20.6</w:t>
            </w:r>
          </w:p>
        </w:tc>
        <w:tc>
          <w:tcPr>
            <w:tcW w:w="0" w:type="auto"/>
            <w:shd w:val="clear" w:color="auto" w:fill="FFFFFF"/>
            <w:tcMar>
              <w:top w:w="0" w:type="dxa"/>
              <w:left w:w="85" w:type="dxa"/>
              <w:bottom w:w="0" w:type="dxa"/>
              <w:right w:w="85" w:type="dxa"/>
            </w:tcMar>
          </w:tcPr>
          <w:p w14:paraId="5ED73495" w14:textId="77777777" w:rsidR="00934E13" w:rsidRPr="001D5327" w:rsidRDefault="00934E13" w:rsidP="00341FEF">
            <w:pPr>
              <w:pStyle w:val="TableText"/>
              <w:spacing w:before="40" w:after="40"/>
              <w:jc w:val="right"/>
            </w:pPr>
            <w:r w:rsidRPr="001D5327">
              <w:rPr>
                <w:rFonts w:eastAsia="Calibri"/>
                <w:color w:val="000000"/>
              </w:rPr>
              <w:t>16.6</w:t>
            </w:r>
          </w:p>
        </w:tc>
        <w:tc>
          <w:tcPr>
            <w:tcW w:w="0" w:type="auto"/>
            <w:shd w:val="clear" w:color="auto" w:fill="FFFFFF"/>
            <w:tcMar>
              <w:top w:w="0" w:type="dxa"/>
              <w:left w:w="85" w:type="dxa"/>
              <w:bottom w:w="0" w:type="dxa"/>
              <w:right w:w="85" w:type="dxa"/>
            </w:tcMar>
          </w:tcPr>
          <w:p w14:paraId="0109303E" w14:textId="389A336A" w:rsidR="00934E13" w:rsidRPr="001D5327" w:rsidRDefault="003C45F8" w:rsidP="00341FEF">
            <w:pPr>
              <w:pStyle w:val="TableText"/>
              <w:spacing w:before="40" w:after="40"/>
              <w:jc w:val="right"/>
            </w:pPr>
            <w:r>
              <w:rPr>
                <w:rFonts w:eastAsia="Calibri"/>
                <w:color w:val="000000"/>
              </w:rPr>
              <w:t>-</w:t>
            </w:r>
            <w:r w:rsidR="00934E13" w:rsidRPr="001D5327">
              <w:rPr>
                <w:rFonts w:eastAsia="Calibri"/>
                <w:color w:val="000000"/>
              </w:rPr>
              <w:t>4.0</w:t>
            </w:r>
          </w:p>
        </w:tc>
        <w:tc>
          <w:tcPr>
            <w:tcW w:w="0" w:type="auto"/>
            <w:shd w:val="clear" w:color="auto" w:fill="FFFFFF"/>
            <w:tcMar>
              <w:top w:w="0" w:type="dxa"/>
              <w:left w:w="85" w:type="dxa"/>
              <w:bottom w:w="0" w:type="dxa"/>
              <w:right w:w="85" w:type="dxa"/>
            </w:tcMar>
          </w:tcPr>
          <w:p w14:paraId="588C7484" w14:textId="0A85490A" w:rsidR="00934E13" w:rsidRPr="001D5327" w:rsidRDefault="003C45F8" w:rsidP="00341FEF">
            <w:pPr>
              <w:pStyle w:val="TableText"/>
              <w:spacing w:before="40" w:after="40"/>
              <w:jc w:val="right"/>
            </w:pPr>
            <w:r>
              <w:rPr>
                <w:rFonts w:eastAsia="Calibri"/>
                <w:color w:val="000000"/>
              </w:rPr>
              <w:t>-</w:t>
            </w:r>
            <w:r w:rsidR="00934E13" w:rsidRPr="001D5327">
              <w:rPr>
                <w:rFonts w:eastAsia="Calibri"/>
                <w:color w:val="000000"/>
              </w:rPr>
              <w:t>19.2</w:t>
            </w:r>
          </w:p>
        </w:tc>
      </w:tr>
      <w:tr w:rsidR="00934E13" w:rsidRPr="001D5327" w14:paraId="3AD8F467" w14:textId="77777777" w:rsidTr="00341FEF">
        <w:tc>
          <w:tcPr>
            <w:tcW w:w="0" w:type="auto"/>
            <w:shd w:val="clear" w:color="auto" w:fill="FFFFFF"/>
            <w:tcMar>
              <w:top w:w="0" w:type="dxa"/>
              <w:left w:w="85" w:type="dxa"/>
              <w:bottom w:w="0" w:type="dxa"/>
              <w:right w:w="85" w:type="dxa"/>
            </w:tcMar>
          </w:tcPr>
          <w:p w14:paraId="153AF2D4" w14:textId="77777777" w:rsidR="00934E13" w:rsidRPr="001D5327" w:rsidRDefault="00934E13" w:rsidP="00341FEF">
            <w:pPr>
              <w:pStyle w:val="Tableboldblue"/>
              <w:spacing w:before="40" w:after="40"/>
            </w:pPr>
            <w:r w:rsidRPr="001D5327">
              <w:rPr>
                <w:rFonts w:eastAsia="Calibri"/>
              </w:rPr>
              <w:t>Gross, all gases</w:t>
            </w:r>
          </w:p>
        </w:tc>
        <w:tc>
          <w:tcPr>
            <w:tcW w:w="0" w:type="auto"/>
            <w:shd w:val="clear" w:color="auto" w:fill="FFFFFF"/>
            <w:tcMar>
              <w:top w:w="0" w:type="dxa"/>
              <w:left w:w="85" w:type="dxa"/>
              <w:bottom w:w="0" w:type="dxa"/>
              <w:right w:w="85" w:type="dxa"/>
            </w:tcMar>
          </w:tcPr>
          <w:p w14:paraId="11826F75" w14:textId="77777777" w:rsidR="00934E13" w:rsidRPr="001D5327" w:rsidRDefault="00934E13" w:rsidP="00341FEF">
            <w:pPr>
              <w:pStyle w:val="Tableboldblue"/>
              <w:spacing w:before="40" w:after="40"/>
              <w:jc w:val="right"/>
            </w:pPr>
            <w:r w:rsidRPr="001D5327">
              <w:rPr>
                <w:rFonts w:eastAsia="Calibri"/>
              </w:rPr>
              <w:t>67,678.9</w:t>
            </w:r>
          </w:p>
        </w:tc>
        <w:tc>
          <w:tcPr>
            <w:tcW w:w="0" w:type="auto"/>
            <w:shd w:val="clear" w:color="auto" w:fill="FFFFFF"/>
            <w:tcMar>
              <w:top w:w="0" w:type="dxa"/>
              <w:left w:w="85" w:type="dxa"/>
              <w:bottom w:w="0" w:type="dxa"/>
              <w:right w:w="85" w:type="dxa"/>
            </w:tcMar>
          </w:tcPr>
          <w:p w14:paraId="53FA9712" w14:textId="77777777" w:rsidR="00934E13" w:rsidRPr="001D5327" w:rsidRDefault="00934E13" w:rsidP="00341FEF">
            <w:pPr>
              <w:pStyle w:val="Tableboldblue"/>
              <w:spacing w:before="40" w:after="40"/>
              <w:jc w:val="right"/>
            </w:pPr>
            <w:r w:rsidRPr="001D5327">
              <w:rPr>
                <w:rFonts w:eastAsia="Calibri"/>
              </w:rPr>
              <w:t>76,416.3</w:t>
            </w:r>
          </w:p>
        </w:tc>
        <w:tc>
          <w:tcPr>
            <w:tcW w:w="0" w:type="auto"/>
            <w:shd w:val="clear" w:color="auto" w:fill="FFFFFF"/>
            <w:tcMar>
              <w:top w:w="0" w:type="dxa"/>
              <w:left w:w="85" w:type="dxa"/>
              <w:bottom w:w="0" w:type="dxa"/>
              <w:right w:w="85" w:type="dxa"/>
            </w:tcMar>
          </w:tcPr>
          <w:p w14:paraId="4F8276E3" w14:textId="77777777" w:rsidR="00934E13" w:rsidRPr="001D5327" w:rsidRDefault="00934E13" w:rsidP="00341FEF">
            <w:pPr>
              <w:pStyle w:val="Tableboldblue"/>
              <w:spacing w:before="40" w:after="40"/>
              <w:jc w:val="right"/>
            </w:pPr>
            <w:r w:rsidRPr="001D5327">
              <w:rPr>
                <w:rFonts w:eastAsia="Calibri"/>
              </w:rPr>
              <w:t>8,737.4</w:t>
            </w:r>
          </w:p>
        </w:tc>
        <w:tc>
          <w:tcPr>
            <w:tcW w:w="0" w:type="auto"/>
            <w:shd w:val="clear" w:color="auto" w:fill="FFFFFF"/>
            <w:tcMar>
              <w:top w:w="0" w:type="dxa"/>
              <w:left w:w="85" w:type="dxa"/>
              <w:bottom w:w="0" w:type="dxa"/>
              <w:right w:w="85" w:type="dxa"/>
            </w:tcMar>
          </w:tcPr>
          <w:p w14:paraId="5B17CB23" w14:textId="77777777" w:rsidR="00934E13" w:rsidRPr="001D5327" w:rsidRDefault="00934E13" w:rsidP="00341FEF">
            <w:pPr>
              <w:pStyle w:val="Tableboldblue"/>
              <w:spacing w:before="40" w:after="40"/>
              <w:jc w:val="right"/>
            </w:pPr>
            <w:r w:rsidRPr="001D5327">
              <w:rPr>
                <w:rFonts w:eastAsia="Calibri"/>
              </w:rPr>
              <w:t>12.9</w:t>
            </w:r>
          </w:p>
        </w:tc>
      </w:tr>
    </w:tbl>
    <w:p w14:paraId="3024E278" w14:textId="77777777" w:rsidR="00934E13" w:rsidRPr="001D5327" w:rsidRDefault="00934E13" w:rsidP="00934E13">
      <w:pPr>
        <w:pStyle w:val="Noteundertable"/>
      </w:pPr>
      <w:r w:rsidRPr="001D5327">
        <w:rPr>
          <w:b/>
          <w:bCs/>
        </w:rPr>
        <w:t>Note:</w:t>
      </w:r>
      <w:r w:rsidRPr="001D5327">
        <w:tab/>
        <w:t>Gross emissions exclude net emissions from the LULUCF sector. The percentage change for HFCs is not applicable (NA) because no emissions of HFCs occurred in 1990. Columns may not total due to rounding. Percentages presented are calculated from unrounded values.</w:t>
      </w:r>
    </w:p>
    <w:p w14:paraId="1210E146" w14:textId="3E31B414" w:rsidR="00934E13" w:rsidRPr="001D5327" w:rsidRDefault="00934E13" w:rsidP="00934E13">
      <w:pPr>
        <w:pStyle w:val="BodyText"/>
      </w:pPr>
      <w:r w:rsidRPr="001D5327">
        <w:t>In 1990 and 2023, CH</w:t>
      </w:r>
      <w:r w:rsidRPr="001D5327">
        <w:rPr>
          <w:vertAlign w:val="subscript"/>
        </w:rPr>
        <w:t>4</w:t>
      </w:r>
      <w:r w:rsidRPr="001D5327">
        <w:t xml:space="preserve"> made the greatest contribution to gross emissions (see table 2.2.3 and figure 2.2.13). While emissions of CH</w:t>
      </w:r>
      <w:r w:rsidRPr="001D5327">
        <w:rPr>
          <w:vertAlign w:val="subscript"/>
        </w:rPr>
        <w:t>4</w:t>
      </w:r>
      <w:r w:rsidRPr="001D5327">
        <w:t xml:space="preserve"> have increased between these years, the rate of increase in CH</w:t>
      </w:r>
      <w:r w:rsidRPr="001D5327">
        <w:rPr>
          <w:vertAlign w:val="subscript"/>
        </w:rPr>
        <w:t>4</w:t>
      </w:r>
      <w:r w:rsidRPr="001D5327">
        <w:t xml:space="preserve"> emissions relative to other gases in the Inventory has decreased over this period. Nitrous oxide and CO</w:t>
      </w:r>
      <w:r w:rsidRPr="001D5327">
        <w:rPr>
          <w:vertAlign w:val="subscript"/>
        </w:rPr>
        <w:t>2</w:t>
      </w:r>
      <w:r w:rsidRPr="001D5327">
        <w:t xml:space="preserve"> emissions have increased at a greater rate between these years</w:t>
      </w:r>
      <w:r w:rsidR="000702E5" w:rsidRPr="001D5327">
        <w:t> </w:t>
      </w:r>
      <w:r w:rsidRPr="001D5327">
        <w:t>than CH</w:t>
      </w:r>
      <w:r w:rsidRPr="001D5327">
        <w:rPr>
          <w:vertAlign w:val="subscript"/>
        </w:rPr>
        <w:t>4</w:t>
      </w:r>
      <w:r w:rsidRPr="001D5327">
        <w:t xml:space="preserve"> emissions.</w:t>
      </w:r>
    </w:p>
    <w:p w14:paraId="2C9EFF71" w14:textId="77777777" w:rsidR="00934E13" w:rsidRPr="001D5327" w:rsidRDefault="00934E13" w:rsidP="00934E13">
      <w:pPr>
        <w:pStyle w:val="BodyText"/>
      </w:pPr>
      <w:r w:rsidRPr="001D5327">
        <w:t>These trends reflect the changes that have occurred in the main livestock types that are farmed in New Zealand and the growth in road transport.</w:t>
      </w:r>
    </w:p>
    <w:p w14:paraId="6ABA50B0" w14:textId="77777777" w:rsidR="00934E13" w:rsidRPr="001D5327" w:rsidRDefault="00934E13" w:rsidP="00934E13">
      <w:pPr>
        <w:pStyle w:val="Figure"/>
      </w:pPr>
      <w:bookmarkStart w:id="150" w:name="_Toc194674835"/>
      <w:r w:rsidRPr="001D5327">
        <w:rPr>
          <w:bCs/>
        </w:rPr>
        <w:t>Figure 2.2.13</w:t>
      </w:r>
      <w:r w:rsidRPr="001D5327">
        <w:tab/>
        <w:t xml:space="preserve">New Zealand’s gross emissions by gas in </w:t>
      </w:r>
      <w:r w:rsidRPr="001D5327">
        <w:rPr>
          <w:bCs/>
        </w:rPr>
        <w:t>1990</w:t>
      </w:r>
      <w:r w:rsidRPr="001D5327">
        <w:t xml:space="preserve"> and </w:t>
      </w:r>
      <w:r w:rsidRPr="001D5327">
        <w:rPr>
          <w:bCs/>
        </w:rPr>
        <w:t>2023</w:t>
      </w:r>
      <w:bookmarkEnd w:id="150"/>
    </w:p>
    <w:p w14:paraId="08B66A73" w14:textId="77777777" w:rsidR="00934E13" w:rsidRPr="001D5327" w:rsidRDefault="00934E13" w:rsidP="00934E13">
      <w:pPr>
        <w:pStyle w:val="BodyText"/>
      </w:pPr>
      <w:r w:rsidRPr="001D5327">
        <w:rPr>
          <w:noProof/>
        </w:rPr>
        <w:drawing>
          <wp:inline distT="0" distB="0" distL="0" distR="0" wp14:anchorId="0952856B" wp14:editId="3DD51A4F">
            <wp:extent cx="5334000" cy="3922058"/>
            <wp:effectExtent l="0" t="0" r="0" b="2540"/>
            <wp:docPr id="97" name="Picture"/>
            <wp:cNvGraphicFramePr/>
            <a:graphic xmlns:a="http://schemas.openxmlformats.org/drawingml/2006/main">
              <a:graphicData uri="http://schemas.openxmlformats.org/drawingml/2006/picture">
                <pic:pic xmlns:pic="http://schemas.openxmlformats.org/drawingml/2006/picture">
                  <pic:nvPicPr>
                    <pic:cNvPr id="98" name="Picture" descr="code/graphs/images/es_3_2_crf.png"/>
                    <pic:cNvPicPr>
                      <a:picLocks noChangeAspect="1" noChangeArrowheads="1"/>
                    </pic:cNvPicPr>
                  </pic:nvPicPr>
                  <pic:blipFill rotWithShape="1">
                    <a:blip r:embed="rId28"/>
                    <a:srcRect b="1961"/>
                    <a:stretch/>
                  </pic:blipFill>
                  <pic:spPr bwMode="auto">
                    <a:xfrm>
                      <a:off x="0" y="0"/>
                      <a:ext cx="5335665" cy="3923282"/>
                    </a:xfrm>
                    <a:prstGeom prst="rect">
                      <a:avLst/>
                    </a:prstGeom>
                    <a:noFill/>
                    <a:ln>
                      <a:noFill/>
                    </a:ln>
                    <a:extLst>
                      <a:ext uri="{53640926-AAD7-44D8-BBD7-CCE9431645EC}">
                        <a14:shadowObscured xmlns:a14="http://schemas.microsoft.com/office/drawing/2010/main"/>
                      </a:ext>
                    </a:extLst>
                  </pic:spPr>
                </pic:pic>
              </a:graphicData>
            </a:graphic>
          </wp:inline>
        </w:drawing>
      </w:r>
    </w:p>
    <w:p w14:paraId="591E7094" w14:textId="77777777" w:rsidR="00934E13" w:rsidRPr="001D5327" w:rsidRDefault="00934E13" w:rsidP="00934E13">
      <w:pPr>
        <w:pStyle w:val="Noteundertable"/>
      </w:pPr>
      <w:r w:rsidRPr="001D5327">
        <w:rPr>
          <w:b/>
          <w:bCs/>
        </w:rPr>
        <w:t>Note:</w:t>
      </w:r>
      <w:r w:rsidRPr="001D5327">
        <w:tab/>
        <w:t>Emissions of sulphur hexafluoride (SF</w:t>
      </w:r>
      <w:r w:rsidRPr="001D5327">
        <w:rPr>
          <w:vertAlign w:val="subscript"/>
        </w:rPr>
        <w:t>6</w:t>
      </w:r>
      <w:r w:rsidRPr="001D5327">
        <w:t>) are not visible due to its small emissions value and emissions of hydrofluorocarbons (HFCs) did not occur in 1990.</w:t>
      </w:r>
    </w:p>
    <w:p w14:paraId="7FD1BD72" w14:textId="77777777" w:rsidR="00934E13" w:rsidRPr="001D5327" w:rsidRDefault="00934E13" w:rsidP="00934E13">
      <w:pPr>
        <w:pStyle w:val="BodyText"/>
      </w:pPr>
      <w:r w:rsidRPr="001D5327">
        <w:lastRenderedPageBreak/>
        <w:t>New Zealand’s inventory by greenhouse gas for 1990 to 2023 is presented in figure 2.2.14. The LULUCF sector is excluded from this figure because it is a net sink across the time series. The LULUCF sector and its GHG trends are explained in detail in chapter 6.</w:t>
      </w:r>
    </w:p>
    <w:p w14:paraId="2C5DBCE5" w14:textId="77777777" w:rsidR="00934E13" w:rsidRPr="001D5327" w:rsidRDefault="00934E13" w:rsidP="00934E13">
      <w:pPr>
        <w:pStyle w:val="Figure"/>
      </w:pPr>
      <w:bookmarkStart w:id="151" w:name="_Toc194674836"/>
      <w:r w:rsidRPr="001D5327">
        <w:rPr>
          <w:bCs/>
        </w:rPr>
        <w:t>Figure 2.2.14</w:t>
      </w:r>
      <w:r w:rsidRPr="001D5327">
        <w:tab/>
        <w:t xml:space="preserve">Trends in New Zealand’s greenhouse gas emissions by gas, from </w:t>
      </w:r>
      <w:r w:rsidRPr="001D5327">
        <w:rPr>
          <w:bCs/>
        </w:rPr>
        <w:t>1990</w:t>
      </w:r>
      <w:r w:rsidRPr="001D5327">
        <w:t xml:space="preserve"> to </w:t>
      </w:r>
      <w:r w:rsidRPr="001D5327">
        <w:rPr>
          <w:bCs/>
        </w:rPr>
        <w:t>2023</w:t>
      </w:r>
      <w:bookmarkEnd w:id="151"/>
    </w:p>
    <w:p w14:paraId="2324680C" w14:textId="77777777" w:rsidR="00934E13" w:rsidRPr="001D5327" w:rsidRDefault="00934E13" w:rsidP="00934E13">
      <w:pPr>
        <w:pStyle w:val="BodyText"/>
      </w:pPr>
      <w:r w:rsidRPr="001D5327">
        <w:rPr>
          <w:noProof/>
        </w:rPr>
        <w:drawing>
          <wp:inline distT="0" distB="0" distL="0" distR="0" wp14:anchorId="335F2AA2" wp14:editId="64F34BD6">
            <wp:extent cx="5232460" cy="3835084"/>
            <wp:effectExtent l="0" t="0" r="6350" b="0"/>
            <wp:docPr id="100" name="Picture"/>
            <wp:cNvGraphicFramePr/>
            <a:graphic xmlns:a="http://schemas.openxmlformats.org/drawingml/2006/main">
              <a:graphicData uri="http://schemas.openxmlformats.org/drawingml/2006/picture">
                <pic:pic xmlns:pic="http://schemas.openxmlformats.org/drawingml/2006/picture">
                  <pic:nvPicPr>
                    <pic:cNvPr id="101" name="Picture" descr="code/graphs/images/fig_2.2.13.R.png"/>
                    <pic:cNvPicPr>
                      <a:picLocks noChangeAspect="1" noChangeArrowheads="1"/>
                    </pic:cNvPicPr>
                  </pic:nvPicPr>
                  <pic:blipFill rotWithShape="1">
                    <a:blip r:embed="rId50"/>
                    <a:srcRect b="2275"/>
                    <a:stretch/>
                  </pic:blipFill>
                  <pic:spPr bwMode="auto">
                    <a:xfrm>
                      <a:off x="0" y="0"/>
                      <a:ext cx="5235197" cy="3837090"/>
                    </a:xfrm>
                    <a:prstGeom prst="rect">
                      <a:avLst/>
                    </a:prstGeom>
                    <a:noFill/>
                    <a:ln>
                      <a:noFill/>
                    </a:ln>
                    <a:extLst>
                      <a:ext uri="{53640926-AAD7-44D8-BBD7-CCE9431645EC}">
                        <a14:shadowObscured xmlns:a14="http://schemas.microsoft.com/office/drawing/2010/main"/>
                      </a:ext>
                    </a:extLst>
                  </pic:spPr>
                </pic:pic>
              </a:graphicData>
            </a:graphic>
          </wp:inline>
        </w:drawing>
      </w:r>
    </w:p>
    <w:p w14:paraId="46B85971" w14:textId="77777777" w:rsidR="00934E13" w:rsidRPr="001D5327" w:rsidRDefault="00934E13" w:rsidP="00934E13">
      <w:pPr>
        <w:pStyle w:val="BodyText"/>
        <w:spacing w:before="100" w:after="100"/>
      </w:pPr>
      <w:r w:rsidRPr="001D5327">
        <w:t>Methane emissions represent the largest source of New Zealand’s gross anthropogenic GHG emissions since 1990 (figure 2.2.14). Most CH</w:t>
      </w:r>
      <w:r w:rsidRPr="001D5327">
        <w:rPr>
          <w:vertAlign w:val="subscript"/>
        </w:rPr>
        <w:t>4</w:t>
      </w:r>
      <w:r w:rsidRPr="001D5327">
        <w:t xml:space="preserve"> emissions are produced through enteric fermentation, reported in the Agriculture sector. Carbon dioxide is the second-largest source of gross emissions for New Zealand. Most CO</w:t>
      </w:r>
      <w:r w:rsidRPr="001D5327">
        <w:rPr>
          <w:vertAlign w:val="subscript"/>
        </w:rPr>
        <w:t>2</w:t>
      </w:r>
      <w:r w:rsidRPr="001D5327">
        <w:t xml:space="preserve"> emissions are produced through combustion of fossil fuels in the Energy sector.</w:t>
      </w:r>
    </w:p>
    <w:p w14:paraId="294C3006" w14:textId="77777777" w:rsidR="00934E13" w:rsidRPr="001D5327" w:rsidRDefault="00934E13" w:rsidP="00934E13">
      <w:pPr>
        <w:pStyle w:val="BodyText"/>
        <w:spacing w:before="100" w:after="100"/>
      </w:pPr>
      <w:r w:rsidRPr="001D5327">
        <w:t>Methane emissions have increased by 1.3 per cent compared with 1990 levels. Methane emissions generally tracked upwards between 1990 and 2006, when they reached their peak. Despite fluctuations, CH</w:t>
      </w:r>
      <w:r w:rsidRPr="001D5327">
        <w:rPr>
          <w:vertAlign w:val="subscript"/>
        </w:rPr>
        <w:t>4</w:t>
      </w:r>
      <w:r w:rsidRPr="001D5327">
        <w:t xml:space="preserve"> emissions have generally been tracking downwards since 2006 and have been declining year on year since 2019. The changes observed in CH</w:t>
      </w:r>
      <w:r w:rsidRPr="001D5327">
        <w:rPr>
          <w:vertAlign w:val="subscript"/>
        </w:rPr>
        <w:t>4</w:t>
      </w:r>
      <w:r w:rsidRPr="001D5327">
        <w:t xml:space="preserve"> emissions have largely been due to increasing dairy cattle numbers, which have been partially offset by decreasing numbers of non-dairy (beef) cattle and sheep since 1990.</w:t>
      </w:r>
    </w:p>
    <w:p w14:paraId="6ADB2633" w14:textId="77777777" w:rsidR="00934E13" w:rsidRPr="001D5327" w:rsidRDefault="00934E13" w:rsidP="00934E13">
      <w:pPr>
        <w:pStyle w:val="BodyText"/>
        <w:spacing w:before="100" w:after="100"/>
      </w:pPr>
      <w:r w:rsidRPr="001D5327">
        <w:t>Carbon dioxide emissions have increased by 23.8 per cent in 2023 compared with 1990 levels, peaking in 2008 (figure 2.2.14) and declining year on year since 2019. Since 2019, there has been a decrease in emissions due to the impact of the COVID-19 pandemic and high levels of hydro power generation in 2022 and 2023.</w:t>
      </w:r>
    </w:p>
    <w:p w14:paraId="7455726D" w14:textId="77777777" w:rsidR="00934E13" w:rsidRPr="001D5327" w:rsidRDefault="00934E13" w:rsidP="00934E13">
      <w:pPr>
        <w:pStyle w:val="BodyText"/>
        <w:spacing w:before="100" w:after="100"/>
      </w:pPr>
      <w:r w:rsidRPr="001D5327">
        <w:t>Nitrous oxide emissions have increased by 36.6 per cent in 2023 compared with 1990 levels, most recently peaking in 2020. Emissions from N</w:t>
      </w:r>
      <w:r w:rsidRPr="001D5327">
        <w:rPr>
          <w:vertAlign w:val="subscript"/>
        </w:rPr>
        <w:t>2</w:t>
      </w:r>
      <w:r w:rsidRPr="001D5327">
        <w:t>O have generally been tracking upwards since 1990, although small decreases have been observed since 2020. The overall increase in N</w:t>
      </w:r>
      <w:r w:rsidRPr="001D5327">
        <w:rPr>
          <w:vertAlign w:val="subscript"/>
        </w:rPr>
        <w:t>2</w:t>
      </w:r>
      <w:r w:rsidRPr="001D5327">
        <w:t>O emissions is primarily a result of the increased use of synthetic nitrogen fertiliser since 1990, due to an increase in dairy farming, as well as increased use on other farm types.</w:t>
      </w:r>
    </w:p>
    <w:p w14:paraId="0D13C233" w14:textId="77777777" w:rsidR="00934E13" w:rsidRPr="001D5327" w:rsidRDefault="00934E13" w:rsidP="00934E13">
      <w:pPr>
        <w:pStyle w:val="BodyText"/>
      </w:pPr>
      <w:r w:rsidRPr="001D5327">
        <w:lastRenderedPageBreak/>
        <w:t>Combined fluorinated gas emissions have increased by 38.9 per cent in 2023 compared with 1990 levels. This increase was mainly due to the introduction of HFCs to replace ODS in refrigeration and air conditioning and the increased use of household and commercial air conditioning.</w:t>
      </w:r>
    </w:p>
    <w:p w14:paraId="4A0DE915" w14:textId="77777777" w:rsidR="00934E13" w:rsidRPr="001D5327" w:rsidRDefault="00934E13" w:rsidP="00934E13">
      <w:pPr>
        <w:pStyle w:val="Heading4"/>
      </w:pPr>
      <w:r w:rsidRPr="001D5327">
        <w:t>Indirect gases</w:t>
      </w:r>
    </w:p>
    <w:p w14:paraId="12B39A35" w14:textId="77777777" w:rsidR="00934E13" w:rsidRPr="001D5327" w:rsidRDefault="00934E13" w:rsidP="00934E13">
      <w:pPr>
        <w:pStyle w:val="BodyText"/>
      </w:pPr>
      <w:r w:rsidRPr="001D5327">
        <w:t xml:space="preserve">New Zealand reports emissions estimates of indirect gases in accordance with the IPCC 2006 Guidelines (Volume 1, Chapter 7) (IPCC, 2006). These indirect gases are </w:t>
      </w:r>
      <w:r w:rsidRPr="001D5327">
        <w:rPr>
          <w:bCs/>
        </w:rPr>
        <w:t>CO, NO</w:t>
      </w:r>
      <w:r w:rsidRPr="001D5327">
        <w:rPr>
          <w:bCs/>
          <w:vertAlign w:val="subscript"/>
        </w:rPr>
        <w:t>X</w:t>
      </w:r>
      <w:r w:rsidRPr="001D5327">
        <w:rPr>
          <w:bCs/>
        </w:rPr>
        <w:t>, NMVOCs and sulphur dioxide (SO</w:t>
      </w:r>
      <w:r w:rsidRPr="001D5327">
        <w:rPr>
          <w:bCs/>
          <w:vertAlign w:val="subscript"/>
        </w:rPr>
        <w:t>2</w:t>
      </w:r>
      <w:r w:rsidRPr="001D5327">
        <w:rPr>
          <w:bCs/>
        </w:rPr>
        <w:t>). These gases are not greenhouse gases themselves and are not included in the national emissions totals; however, CO, NO</w:t>
      </w:r>
      <w:r w:rsidRPr="001D5327">
        <w:rPr>
          <w:bCs/>
          <w:vertAlign w:val="subscript"/>
        </w:rPr>
        <w:t>X</w:t>
      </w:r>
      <w:r w:rsidRPr="001D5327">
        <w:rPr>
          <w:bCs/>
        </w:rPr>
        <w:t xml:space="preserve"> and NMVOCs chemically alter the atmosphere, leading to an increase in tropospheric ozone concentrations and SO</w:t>
      </w:r>
      <w:r w:rsidRPr="001D5327">
        <w:rPr>
          <w:bCs/>
          <w:vertAlign w:val="subscript"/>
        </w:rPr>
        <w:t>2</w:t>
      </w:r>
      <w:r w:rsidRPr="001D5327">
        <w:rPr>
          <w:bCs/>
        </w:rPr>
        <w:t xml:space="preserve"> contributes to aerosol formation. Table 2.2.4 summarises New Zealand’s indirect GHG emissions in 1990 and 2023</w:t>
      </w:r>
      <w:r w:rsidRPr="001D5327">
        <w:t xml:space="preserve"> as well as the change between these years.</w:t>
      </w:r>
    </w:p>
    <w:p w14:paraId="0F2F92FD" w14:textId="27CEC684" w:rsidR="00934E13" w:rsidRPr="001D5327" w:rsidRDefault="00934E13" w:rsidP="00934E13">
      <w:pPr>
        <w:pStyle w:val="Table"/>
      </w:pPr>
      <w:bookmarkStart w:id="152" w:name="_Toc194241666"/>
      <w:r w:rsidRPr="001D5327">
        <w:rPr>
          <w:bCs/>
        </w:rPr>
        <w:t>Table 2.2.4</w:t>
      </w:r>
      <w:r w:rsidRPr="001D5327">
        <w:tab/>
        <w:t xml:space="preserve">New Zealand’s indirect greenhouse gas emissions (excluding LULUCF) in </w:t>
      </w:r>
      <w:r w:rsidRPr="001D5327">
        <w:rPr>
          <w:bCs/>
        </w:rPr>
        <w:t>1990</w:t>
      </w:r>
      <w:r w:rsidRPr="001D5327">
        <w:t xml:space="preserve"> and</w:t>
      </w:r>
      <w:r w:rsidR="00EA733B" w:rsidRPr="001D5327">
        <w:t> </w:t>
      </w:r>
      <w:r w:rsidRPr="001D5327">
        <w:rPr>
          <w:bCs/>
        </w:rPr>
        <w:t>2023</w:t>
      </w:r>
      <w:bookmarkEnd w:id="152"/>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261"/>
        <w:gridCol w:w="708"/>
        <w:gridCol w:w="709"/>
        <w:gridCol w:w="2126"/>
        <w:gridCol w:w="1690"/>
      </w:tblGrid>
      <w:tr w:rsidR="00934E13" w:rsidRPr="001D5327" w14:paraId="7796FC90" w14:textId="77777777" w:rsidTr="00341FEF">
        <w:trPr>
          <w:tblHeader/>
        </w:trPr>
        <w:tc>
          <w:tcPr>
            <w:tcW w:w="3261" w:type="dxa"/>
            <w:shd w:val="clear" w:color="auto" w:fill="1B556B"/>
            <w:tcMar>
              <w:top w:w="0" w:type="dxa"/>
              <w:left w:w="85" w:type="dxa"/>
              <w:bottom w:w="0" w:type="dxa"/>
              <w:right w:w="85" w:type="dxa"/>
            </w:tcMar>
          </w:tcPr>
          <w:p w14:paraId="2F269C13" w14:textId="77777777" w:rsidR="00934E13" w:rsidRPr="001D5327" w:rsidRDefault="00934E13" w:rsidP="00341FEF">
            <w:pPr>
              <w:pStyle w:val="TableTextBold"/>
              <w:spacing w:before="40" w:after="40"/>
              <w:rPr>
                <w:noProof w:val="0"/>
                <w:color w:val="FFFFFF" w:themeColor="background1"/>
              </w:rPr>
            </w:pPr>
            <w:r w:rsidRPr="001D5327">
              <w:rPr>
                <w:rFonts w:eastAsia="Calibri"/>
                <w:noProof w:val="0"/>
                <w:color w:val="FFFFFF" w:themeColor="background1"/>
              </w:rPr>
              <w:t>Indirect greenhouse gas emissions</w:t>
            </w:r>
          </w:p>
        </w:tc>
        <w:tc>
          <w:tcPr>
            <w:tcW w:w="708" w:type="dxa"/>
            <w:shd w:val="clear" w:color="auto" w:fill="1B556B"/>
            <w:tcMar>
              <w:top w:w="0" w:type="dxa"/>
              <w:left w:w="85" w:type="dxa"/>
              <w:bottom w:w="0" w:type="dxa"/>
              <w:right w:w="85" w:type="dxa"/>
            </w:tcMar>
          </w:tcPr>
          <w:p w14:paraId="773E4629" w14:textId="77777777" w:rsidR="00934E13" w:rsidRPr="001D5327" w:rsidRDefault="00934E13" w:rsidP="00341FEF">
            <w:pPr>
              <w:pStyle w:val="TableTextBold"/>
              <w:spacing w:before="40" w:after="40"/>
              <w:jc w:val="right"/>
              <w:rPr>
                <w:noProof w:val="0"/>
                <w:color w:val="FFFFFF" w:themeColor="background1"/>
              </w:rPr>
            </w:pPr>
            <w:r w:rsidRPr="001D5327">
              <w:rPr>
                <w:rFonts w:eastAsia="Calibri"/>
                <w:noProof w:val="0"/>
                <w:color w:val="FFFFFF" w:themeColor="background1"/>
              </w:rPr>
              <w:t>1990</w:t>
            </w:r>
          </w:p>
        </w:tc>
        <w:tc>
          <w:tcPr>
            <w:tcW w:w="709" w:type="dxa"/>
            <w:shd w:val="clear" w:color="auto" w:fill="1B556B"/>
            <w:tcMar>
              <w:top w:w="0" w:type="dxa"/>
              <w:left w:w="85" w:type="dxa"/>
              <w:bottom w:w="0" w:type="dxa"/>
              <w:right w:w="85" w:type="dxa"/>
            </w:tcMar>
          </w:tcPr>
          <w:p w14:paraId="2B169B1E" w14:textId="77777777" w:rsidR="00934E13" w:rsidRPr="001D5327" w:rsidRDefault="00934E13" w:rsidP="00341FEF">
            <w:pPr>
              <w:pStyle w:val="TableTextBold"/>
              <w:spacing w:before="40" w:after="40"/>
              <w:jc w:val="right"/>
              <w:rPr>
                <w:noProof w:val="0"/>
                <w:color w:val="FFFFFF" w:themeColor="background1"/>
              </w:rPr>
            </w:pPr>
            <w:r w:rsidRPr="001D5327">
              <w:rPr>
                <w:rFonts w:eastAsia="Calibri"/>
                <w:noProof w:val="0"/>
                <w:color w:val="FFFFFF" w:themeColor="background1"/>
              </w:rPr>
              <w:t>2023</w:t>
            </w:r>
          </w:p>
        </w:tc>
        <w:tc>
          <w:tcPr>
            <w:tcW w:w="2126" w:type="dxa"/>
            <w:shd w:val="clear" w:color="auto" w:fill="1B556B"/>
            <w:tcMar>
              <w:top w:w="0" w:type="dxa"/>
              <w:left w:w="85" w:type="dxa"/>
              <w:bottom w:w="0" w:type="dxa"/>
              <w:right w:w="85" w:type="dxa"/>
            </w:tcMar>
          </w:tcPr>
          <w:p w14:paraId="1D498A11" w14:textId="77777777" w:rsidR="00934E13" w:rsidRPr="001D5327" w:rsidRDefault="00934E13" w:rsidP="00341FEF">
            <w:pPr>
              <w:pStyle w:val="TableTextBold"/>
              <w:spacing w:before="40" w:after="40"/>
              <w:jc w:val="right"/>
              <w:rPr>
                <w:noProof w:val="0"/>
                <w:color w:val="FFFFFF" w:themeColor="background1"/>
              </w:rPr>
            </w:pPr>
            <w:r w:rsidRPr="001D5327">
              <w:rPr>
                <w:rFonts w:eastAsia="Calibri"/>
                <w:noProof w:val="0"/>
                <w:color w:val="FFFFFF" w:themeColor="background1"/>
              </w:rPr>
              <w:t>Change from 1990 (kt CO</w:t>
            </w:r>
            <w:r w:rsidRPr="001D5327">
              <w:rPr>
                <w:rFonts w:eastAsia="Calibri"/>
                <w:noProof w:val="0"/>
                <w:color w:val="FFFFFF" w:themeColor="background1"/>
                <w:vertAlign w:val="subscript"/>
              </w:rPr>
              <w:t>2</w:t>
            </w:r>
            <w:r w:rsidRPr="001D5327">
              <w:rPr>
                <w:rFonts w:eastAsia="Calibri"/>
                <w:noProof w:val="0"/>
                <w:color w:val="FFFFFF" w:themeColor="background1"/>
              </w:rPr>
              <w:t>-e)</w:t>
            </w:r>
          </w:p>
        </w:tc>
        <w:tc>
          <w:tcPr>
            <w:tcW w:w="1690" w:type="dxa"/>
            <w:shd w:val="clear" w:color="auto" w:fill="1B556B"/>
            <w:tcMar>
              <w:top w:w="0" w:type="dxa"/>
              <w:left w:w="85" w:type="dxa"/>
              <w:bottom w:w="0" w:type="dxa"/>
              <w:right w:w="85" w:type="dxa"/>
            </w:tcMar>
          </w:tcPr>
          <w:p w14:paraId="2942828C" w14:textId="77777777" w:rsidR="00934E13" w:rsidRPr="001D5327" w:rsidRDefault="00934E13" w:rsidP="00341FEF">
            <w:pPr>
              <w:pStyle w:val="TableTextBold"/>
              <w:spacing w:before="40" w:after="40"/>
              <w:jc w:val="right"/>
              <w:rPr>
                <w:noProof w:val="0"/>
                <w:color w:val="FFFFFF" w:themeColor="background1"/>
              </w:rPr>
            </w:pPr>
            <w:r w:rsidRPr="001D5327">
              <w:rPr>
                <w:rFonts w:eastAsia="Calibri"/>
                <w:noProof w:val="0"/>
                <w:color w:val="FFFFFF" w:themeColor="background1"/>
              </w:rPr>
              <w:t>Change from 1990 (%)</w:t>
            </w:r>
          </w:p>
        </w:tc>
      </w:tr>
      <w:tr w:rsidR="00934E13" w:rsidRPr="001D5327" w14:paraId="7478FC70" w14:textId="77777777" w:rsidTr="00341FEF">
        <w:tc>
          <w:tcPr>
            <w:tcW w:w="3261" w:type="dxa"/>
            <w:shd w:val="clear" w:color="auto" w:fill="FFFFFF"/>
            <w:tcMar>
              <w:top w:w="0" w:type="dxa"/>
              <w:left w:w="85" w:type="dxa"/>
              <w:bottom w:w="0" w:type="dxa"/>
              <w:right w:w="85" w:type="dxa"/>
            </w:tcMar>
          </w:tcPr>
          <w:p w14:paraId="766419FE" w14:textId="77777777" w:rsidR="00934E13" w:rsidRPr="001D5327" w:rsidRDefault="00934E13" w:rsidP="00341FEF">
            <w:pPr>
              <w:pStyle w:val="TableText"/>
              <w:spacing w:before="40" w:after="40"/>
            </w:pPr>
            <w:r w:rsidRPr="001D5327">
              <w:rPr>
                <w:rFonts w:eastAsia="Calibri"/>
                <w:color w:val="000000"/>
              </w:rPr>
              <w:t>CO</w:t>
            </w:r>
          </w:p>
        </w:tc>
        <w:tc>
          <w:tcPr>
            <w:tcW w:w="708" w:type="dxa"/>
            <w:shd w:val="clear" w:color="auto" w:fill="FFFFFF"/>
            <w:tcMar>
              <w:top w:w="0" w:type="dxa"/>
              <w:left w:w="85" w:type="dxa"/>
              <w:bottom w:w="0" w:type="dxa"/>
              <w:right w:w="85" w:type="dxa"/>
            </w:tcMar>
          </w:tcPr>
          <w:p w14:paraId="794624E0" w14:textId="77777777" w:rsidR="00934E13" w:rsidRPr="001D5327" w:rsidRDefault="00934E13" w:rsidP="00341FEF">
            <w:pPr>
              <w:pStyle w:val="TableText"/>
              <w:spacing w:before="40" w:after="40"/>
              <w:jc w:val="right"/>
            </w:pPr>
            <w:r w:rsidRPr="001D5327">
              <w:rPr>
                <w:rFonts w:eastAsia="Calibri"/>
                <w:color w:val="000000"/>
              </w:rPr>
              <w:t>622.6</w:t>
            </w:r>
          </w:p>
        </w:tc>
        <w:tc>
          <w:tcPr>
            <w:tcW w:w="709" w:type="dxa"/>
            <w:shd w:val="clear" w:color="auto" w:fill="FFFFFF"/>
            <w:tcMar>
              <w:top w:w="0" w:type="dxa"/>
              <w:left w:w="85" w:type="dxa"/>
              <w:bottom w:w="0" w:type="dxa"/>
              <w:right w:w="85" w:type="dxa"/>
            </w:tcMar>
          </w:tcPr>
          <w:p w14:paraId="13018C1B" w14:textId="77777777" w:rsidR="00934E13" w:rsidRPr="001D5327" w:rsidRDefault="00934E13" w:rsidP="00341FEF">
            <w:pPr>
              <w:pStyle w:val="TableText"/>
              <w:spacing w:before="40" w:after="40"/>
              <w:jc w:val="right"/>
            </w:pPr>
            <w:r w:rsidRPr="001D5327">
              <w:rPr>
                <w:rFonts w:eastAsia="Calibri"/>
                <w:color w:val="000000"/>
              </w:rPr>
              <w:t>662.5</w:t>
            </w:r>
          </w:p>
        </w:tc>
        <w:tc>
          <w:tcPr>
            <w:tcW w:w="2126" w:type="dxa"/>
            <w:shd w:val="clear" w:color="auto" w:fill="FFFFFF"/>
            <w:tcMar>
              <w:top w:w="0" w:type="dxa"/>
              <w:left w:w="85" w:type="dxa"/>
              <w:bottom w:w="0" w:type="dxa"/>
              <w:right w:w="85" w:type="dxa"/>
            </w:tcMar>
          </w:tcPr>
          <w:p w14:paraId="3D689C7C" w14:textId="77777777" w:rsidR="00934E13" w:rsidRPr="001D5327" w:rsidRDefault="00934E13" w:rsidP="00341FEF">
            <w:pPr>
              <w:pStyle w:val="TableText"/>
              <w:spacing w:before="40" w:after="40"/>
              <w:jc w:val="right"/>
            </w:pPr>
            <w:r w:rsidRPr="001D5327">
              <w:rPr>
                <w:rFonts w:eastAsia="Calibri"/>
                <w:color w:val="000000"/>
              </w:rPr>
              <w:t>39.9</w:t>
            </w:r>
          </w:p>
        </w:tc>
        <w:tc>
          <w:tcPr>
            <w:tcW w:w="1690" w:type="dxa"/>
            <w:shd w:val="clear" w:color="auto" w:fill="FFFFFF"/>
            <w:tcMar>
              <w:top w:w="0" w:type="dxa"/>
              <w:left w:w="85" w:type="dxa"/>
              <w:bottom w:w="0" w:type="dxa"/>
              <w:right w:w="85" w:type="dxa"/>
            </w:tcMar>
          </w:tcPr>
          <w:p w14:paraId="71480F1F" w14:textId="77777777" w:rsidR="00934E13" w:rsidRPr="001D5327" w:rsidRDefault="00934E13" w:rsidP="00341FEF">
            <w:pPr>
              <w:pStyle w:val="TableText"/>
              <w:spacing w:before="40" w:after="40"/>
              <w:jc w:val="right"/>
            </w:pPr>
            <w:r w:rsidRPr="001D5327">
              <w:rPr>
                <w:rFonts w:eastAsia="Calibri"/>
                <w:color w:val="000000"/>
              </w:rPr>
              <w:t xml:space="preserve"> 6.4</w:t>
            </w:r>
          </w:p>
        </w:tc>
      </w:tr>
      <w:tr w:rsidR="00934E13" w:rsidRPr="001D5327" w14:paraId="78107C5F" w14:textId="77777777" w:rsidTr="00341FEF">
        <w:tc>
          <w:tcPr>
            <w:tcW w:w="3261" w:type="dxa"/>
            <w:shd w:val="clear" w:color="auto" w:fill="FFFFFF"/>
            <w:tcMar>
              <w:top w:w="0" w:type="dxa"/>
              <w:left w:w="85" w:type="dxa"/>
              <w:bottom w:w="0" w:type="dxa"/>
              <w:right w:w="85" w:type="dxa"/>
            </w:tcMar>
          </w:tcPr>
          <w:p w14:paraId="60794F58" w14:textId="77777777" w:rsidR="00934E13" w:rsidRPr="001D5327" w:rsidRDefault="00934E13" w:rsidP="00341FEF">
            <w:pPr>
              <w:pStyle w:val="TableText"/>
              <w:spacing w:before="40" w:after="40"/>
            </w:pPr>
            <w:r w:rsidRPr="001D5327">
              <w:rPr>
                <w:rFonts w:eastAsia="Calibri"/>
                <w:color w:val="000000"/>
              </w:rPr>
              <w:t>NMVOCs</w:t>
            </w:r>
          </w:p>
        </w:tc>
        <w:tc>
          <w:tcPr>
            <w:tcW w:w="708" w:type="dxa"/>
            <w:shd w:val="clear" w:color="auto" w:fill="FFFFFF"/>
            <w:tcMar>
              <w:top w:w="0" w:type="dxa"/>
              <w:left w:w="85" w:type="dxa"/>
              <w:bottom w:w="0" w:type="dxa"/>
              <w:right w:w="85" w:type="dxa"/>
            </w:tcMar>
          </w:tcPr>
          <w:p w14:paraId="28E5CA26" w14:textId="77777777" w:rsidR="00934E13" w:rsidRPr="001D5327" w:rsidRDefault="00934E13" w:rsidP="00341FEF">
            <w:pPr>
              <w:pStyle w:val="TableText"/>
              <w:spacing w:before="40" w:after="40"/>
              <w:jc w:val="right"/>
            </w:pPr>
            <w:r w:rsidRPr="001D5327">
              <w:rPr>
                <w:rFonts w:eastAsia="Calibri"/>
                <w:color w:val="000000"/>
              </w:rPr>
              <w:t>143.7</w:t>
            </w:r>
          </w:p>
        </w:tc>
        <w:tc>
          <w:tcPr>
            <w:tcW w:w="709" w:type="dxa"/>
            <w:shd w:val="clear" w:color="auto" w:fill="FFFFFF"/>
            <w:tcMar>
              <w:top w:w="0" w:type="dxa"/>
              <w:left w:w="85" w:type="dxa"/>
              <w:bottom w:w="0" w:type="dxa"/>
              <w:right w:w="85" w:type="dxa"/>
            </w:tcMar>
          </w:tcPr>
          <w:p w14:paraId="1288CBDB" w14:textId="77777777" w:rsidR="00934E13" w:rsidRPr="001D5327" w:rsidRDefault="00934E13" w:rsidP="00341FEF">
            <w:pPr>
              <w:pStyle w:val="TableText"/>
              <w:spacing w:before="40" w:after="40"/>
              <w:jc w:val="right"/>
            </w:pPr>
            <w:r w:rsidRPr="001D5327">
              <w:rPr>
                <w:rFonts w:eastAsia="Calibri"/>
                <w:color w:val="000000"/>
              </w:rPr>
              <w:t>172.3</w:t>
            </w:r>
          </w:p>
        </w:tc>
        <w:tc>
          <w:tcPr>
            <w:tcW w:w="2126" w:type="dxa"/>
            <w:shd w:val="clear" w:color="auto" w:fill="FFFFFF"/>
            <w:tcMar>
              <w:top w:w="0" w:type="dxa"/>
              <w:left w:w="85" w:type="dxa"/>
              <w:bottom w:w="0" w:type="dxa"/>
              <w:right w:w="85" w:type="dxa"/>
            </w:tcMar>
          </w:tcPr>
          <w:p w14:paraId="25013EF1" w14:textId="77777777" w:rsidR="00934E13" w:rsidRPr="001D5327" w:rsidRDefault="00934E13" w:rsidP="00341FEF">
            <w:pPr>
              <w:pStyle w:val="TableText"/>
              <w:spacing w:before="40" w:after="40"/>
              <w:jc w:val="right"/>
            </w:pPr>
            <w:r w:rsidRPr="001D5327">
              <w:rPr>
                <w:rFonts w:eastAsia="Calibri"/>
                <w:color w:val="000000"/>
              </w:rPr>
              <w:t>28.6</w:t>
            </w:r>
          </w:p>
        </w:tc>
        <w:tc>
          <w:tcPr>
            <w:tcW w:w="1690" w:type="dxa"/>
            <w:shd w:val="clear" w:color="auto" w:fill="FFFFFF"/>
            <w:tcMar>
              <w:top w:w="0" w:type="dxa"/>
              <w:left w:w="85" w:type="dxa"/>
              <w:bottom w:w="0" w:type="dxa"/>
              <w:right w:w="85" w:type="dxa"/>
            </w:tcMar>
          </w:tcPr>
          <w:p w14:paraId="3BD867BC" w14:textId="77777777" w:rsidR="00934E13" w:rsidRPr="001D5327" w:rsidRDefault="00934E13" w:rsidP="00341FEF">
            <w:pPr>
              <w:pStyle w:val="TableText"/>
              <w:spacing w:before="40" w:after="40"/>
              <w:jc w:val="right"/>
            </w:pPr>
            <w:r w:rsidRPr="001D5327">
              <w:rPr>
                <w:rFonts w:eastAsia="Calibri"/>
                <w:color w:val="000000"/>
              </w:rPr>
              <w:t xml:space="preserve"> 19.9</w:t>
            </w:r>
          </w:p>
        </w:tc>
      </w:tr>
      <w:tr w:rsidR="00934E13" w:rsidRPr="001D5327" w14:paraId="673EEF9D" w14:textId="77777777" w:rsidTr="00341FEF">
        <w:tc>
          <w:tcPr>
            <w:tcW w:w="3261" w:type="dxa"/>
            <w:shd w:val="clear" w:color="auto" w:fill="FFFFFF"/>
            <w:tcMar>
              <w:top w:w="0" w:type="dxa"/>
              <w:left w:w="85" w:type="dxa"/>
              <w:bottom w:w="0" w:type="dxa"/>
              <w:right w:w="85" w:type="dxa"/>
            </w:tcMar>
          </w:tcPr>
          <w:p w14:paraId="2B8049FD" w14:textId="77777777" w:rsidR="00934E13" w:rsidRPr="001D5327" w:rsidRDefault="00934E13" w:rsidP="00341FEF">
            <w:pPr>
              <w:pStyle w:val="TableText"/>
              <w:spacing w:before="40" w:after="40"/>
            </w:pPr>
            <w:r w:rsidRPr="001D5327">
              <w:rPr>
                <w:rFonts w:eastAsia="Calibri"/>
                <w:color w:val="000000"/>
              </w:rPr>
              <w:t>NO</w:t>
            </w:r>
            <w:r w:rsidRPr="001D5327">
              <w:rPr>
                <w:rFonts w:eastAsia="Calibri"/>
                <w:color w:val="000000"/>
                <w:vertAlign w:val="subscript"/>
              </w:rPr>
              <w:t>X</w:t>
            </w:r>
          </w:p>
        </w:tc>
        <w:tc>
          <w:tcPr>
            <w:tcW w:w="708" w:type="dxa"/>
            <w:shd w:val="clear" w:color="auto" w:fill="FFFFFF"/>
            <w:tcMar>
              <w:top w:w="0" w:type="dxa"/>
              <w:left w:w="85" w:type="dxa"/>
              <w:bottom w:w="0" w:type="dxa"/>
              <w:right w:w="85" w:type="dxa"/>
            </w:tcMar>
          </w:tcPr>
          <w:p w14:paraId="73A343F3" w14:textId="77777777" w:rsidR="00934E13" w:rsidRPr="001D5327" w:rsidRDefault="00934E13" w:rsidP="00341FEF">
            <w:pPr>
              <w:pStyle w:val="TableText"/>
              <w:spacing w:before="40" w:after="40"/>
              <w:jc w:val="right"/>
            </w:pPr>
            <w:r w:rsidRPr="001D5327">
              <w:rPr>
                <w:rFonts w:eastAsia="Calibri"/>
                <w:color w:val="000000"/>
              </w:rPr>
              <w:t>102.5</w:t>
            </w:r>
          </w:p>
        </w:tc>
        <w:tc>
          <w:tcPr>
            <w:tcW w:w="709" w:type="dxa"/>
            <w:shd w:val="clear" w:color="auto" w:fill="FFFFFF"/>
            <w:tcMar>
              <w:top w:w="0" w:type="dxa"/>
              <w:left w:w="85" w:type="dxa"/>
              <w:bottom w:w="0" w:type="dxa"/>
              <w:right w:w="85" w:type="dxa"/>
            </w:tcMar>
          </w:tcPr>
          <w:p w14:paraId="5972C7B3" w14:textId="77777777" w:rsidR="00934E13" w:rsidRPr="001D5327" w:rsidRDefault="00934E13" w:rsidP="00341FEF">
            <w:pPr>
              <w:pStyle w:val="TableText"/>
              <w:spacing w:before="40" w:after="40"/>
              <w:jc w:val="right"/>
            </w:pPr>
            <w:r w:rsidRPr="001D5327">
              <w:rPr>
                <w:rFonts w:eastAsia="Calibri"/>
                <w:color w:val="000000"/>
              </w:rPr>
              <w:t>150.8</w:t>
            </w:r>
          </w:p>
        </w:tc>
        <w:tc>
          <w:tcPr>
            <w:tcW w:w="2126" w:type="dxa"/>
            <w:shd w:val="clear" w:color="auto" w:fill="FFFFFF"/>
            <w:tcMar>
              <w:top w:w="0" w:type="dxa"/>
              <w:left w:w="85" w:type="dxa"/>
              <w:bottom w:w="0" w:type="dxa"/>
              <w:right w:w="85" w:type="dxa"/>
            </w:tcMar>
          </w:tcPr>
          <w:p w14:paraId="2363F2C6" w14:textId="77777777" w:rsidR="00934E13" w:rsidRPr="001D5327" w:rsidRDefault="00934E13" w:rsidP="00341FEF">
            <w:pPr>
              <w:pStyle w:val="TableText"/>
              <w:spacing w:before="40" w:after="40"/>
              <w:jc w:val="right"/>
            </w:pPr>
            <w:r w:rsidRPr="001D5327">
              <w:rPr>
                <w:rFonts w:eastAsia="Calibri"/>
                <w:color w:val="000000"/>
              </w:rPr>
              <w:t>48.3</w:t>
            </w:r>
          </w:p>
        </w:tc>
        <w:tc>
          <w:tcPr>
            <w:tcW w:w="1690" w:type="dxa"/>
            <w:shd w:val="clear" w:color="auto" w:fill="FFFFFF"/>
            <w:tcMar>
              <w:top w:w="0" w:type="dxa"/>
              <w:left w:w="85" w:type="dxa"/>
              <w:bottom w:w="0" w:type="dxa"/>
              <w:right w:w="85" w:type="dxa"/>
            </w:tcMar>
          </w:tcPr>
          <w:p w14:paraId="4C655A1D" w14:textId="77777777" w:rsidR="00934E13" w:rsidRPr="001D5327" w:rsidRDefault="00934E13" w:rsidP="00341FEF">
            <w:pPr>
              <w:pStyle w:val="TableText"/>
              <w:spacing w:before="40" w:after="40"/>
              <w:jc w:val="right"/>
            </w:pPr>
            <w:r w:rsidRPr="001D5327">
              <w:rPr>
                <w:rFonts w:eastAsia="Calibri"/>
                <w:color w:val="000000"/>
              </w:rPr>
              <w:t xml:space="preserve"> 47.1</w:t>
            </w:r>
          </w:p>
        </w:tc>
      </w:tr>
      <w:tr w:rsidR="00934E13" w:rsidRPr="001D5327" w14:paraId="21DA3CFE" w14:textId="77777777" w:rsidTr="00341FEF">
        <w:tc>
          <w:tcPr>
            <w:tcW w:w="3261" w:type="dxa"/>
            <w:shd w:val="clear" w:color="auto" w:fill="FFFFFF"/>
            <w:tcMar>
              <w:top w:w="0" w:type="dxa"/>
              <w:left w:w="85" w:type="dxa"/>
              <w:bottom w:w="0" w:type="dxa"/>
              <w:right w:w="85" w:type="dxa"/>
            </w:tcMar>
          </w:tcPr>
          <w:p w14:paraId="747B3525" w14:textId="77777777" w:rsidR="00934E13" w:rsidRPr="001D5327" w:rsidRDefault="00934E13" w:rsidP="00341FEF">
            <w:pPr>
              <w:pStyle w:val="TableText"/>
              <w:spacing w:before="40" w:after="40"/>
            </w:pPr>
            <w:r w:rsidRPr="001D5327">
              <w:rPr>
                <w:rFonts w:eastAsia="Calibri"/>
                <w:color w:val="000000"/>
              </w:rPr>
              <w:t>SO</w:t>
            </w:r>
            <w:r w:rsidRPr="001D5327">
              <w:rPr>
                <w:rFonts w:eastAsia="Calibri"/>
                <w:color w:val="000000"/>
                <w:vertAlign w:val="subscript"/>
              </w:rPr>
              <w:t>2</w:t>
            </w:r>
          </w:p>
        </w:tc>
        <w:tc>
          <w:tcPr>
            <w:tcW w:w="708" w:type="dxa"/>
            <w:shd w:val="clear" w:color="auto" w:fill="FFFFFF"/>
            <w:tcMar>
              <w:top w:w="0" w:type="dxa"/>
              <w:left w:w="85" w:type="dxa"/>
              <w:bottom w:w="0" w:type="dxa"/>
              <w:right w:w="85" w:type="dxa"/>
            </w:tcMar>
          </w:tcPr>
          <w:p w14:paraId="35B2C7D9" w14:textId="77777777" w:rsidR="00934E13" w:rsidRPr="001D5327" w:rsidRDefault="00934E13" w:rsidP="00341FEF">
            <w:pPr>
              <w:pStyle w:val="TableText"/>
              <w:spacing w:before="40" w:after="40"/>
              <w:jc w:val="right"/>
            </w:pPr>
            <w:r w:rsidRPr="001D5327">
              <w:rPr>
                <w:rFonts w:eastAsia="Calibri"/>
                <w:color w:val="000000"/>
              </w:rPr>
              <w:t xml:space="preserve"> 58.6</w:t>
            </w:r>
          </w:p>
        </w:tc>
        <w:tc>
          <w:tcPr>
            <w:tcW w:w="709" w:type="dxa"/>
            <w:shd w:val="clear" w:color="auto" w:fill="FFFFFF"/>
            <w:tcMar>
              <w:top w:w="0" w:type="dxa"/>
              <w:left w:w="85" w:type="dxa"/>
              <w:bottom w:w="0" w:type="dxa"/>
              <w:right w:w="85" w:type="dxa"/>
            </w:tcMar>
          </w:tcPr>
          <w:p w14:paraId="26A9AFF8" w14:textId="77777777" w:rsidR="00934E13" w:rsidRPr="001D5327" w:rsidRDefault="00934E13" w:rsidP="00341FEF">
            <w:pPr>
              <w:pStyle w:val="TableText"/>
              <w:spacing w:before="40" w:after="40"/>
              <w:jc w:val="right"/>
            </w:pPr>
            <w:r w:rsidRPr="001D5327">
              <w:rPr>
                <w:rFonts w:eastAsia="Calibri"/>
                <w:color w:val="000000"/>
              </w:rPr>
              <w:t xml:space="preserve"> 51.4</w:t>
            </w:r>
          </w:p>
        </w:tc>
        <w:tc>
          <w:tcPr>
            <w:tcW w:w="2126" w:type="dxa"/>
            <w:shd w:val="clear" w:color="auto" w:fill="FFFFFF"/>
            <w:tcMar>
              <w:top w:w="0" w:type="dxa"/>
              <w:left w:w="85" w:type="dxa"/>
              <w:bottom w:w="0" w:type="dxa"/>
              <w:right w:w="85" w:type="dxa"/>
            </w:tcMar>
          </w:tcPr>
          <w:p w14:paraId="56D0724B" w14:textId="77777777" w:rsidR="00934E13" w:rsidRPr="001D5327" w:rsidRDefault="00934E13" w:rsidP="00341FEF">
            <w:pPr>
              <w:pStyle w:val="TableText"/>
              <w:spacing w:before="40" w:after="40"/>
              <w:jc w:val="right"/>
            </w:pPr>
            <w:r w:rsidRPr="001D5327">
              <w:rPr>
                <w:rFonts w:eastAsia="Calibri"/>
                <w:color w:val="000000"/>
              </w:rPr>
              <w:t>-7.2</w:t>
            </w:r>
          </w:p>
        </w:tc>
        <w:tc>
          <w:tcPr>
            <w:tcW w:w="1690" w:type="dxa"/>
            <w:shd w:val="clear" w:color="auto" w:fill="FFFFFF"/>
            <w:tcMar>
              <w:top w:w="0" w:type="dxa"/>
              <w:left w:w="85" w:type="dxa"/>
              <w:bottom w:w="0" w:type="dxa"/>
              <w:right w:w="85" w:type="dxa"/>
            </w:tcMar>
          </w:tcPr>
          <w:p w14:paraId="15BD7FBD" w14:textId="2AC44271" w:rsidR="00934E13" w:rsidRPr="001D5327" w:rsidRDefault="003C45F8" w:rsidP="00341FEF">
            <w:pPr>
              <w:pStyle w:val="TableText"/>
              <w:spacing w:before="40" w:after="40"/>
              <w:jc w:val="right"/>
            </w:pPr>
            <w:r>
              <w:rPr>
                <w:rFonts w:eastAsia="Calibri"/>
                <w:color w:val="000000"/>
              </w:rPr>
              <w:t>-</w:t>
            </w:r>
            <w:r w:rsidR="00934E13" w:rsidRPr="001D5327">
              <w:rPr>
                <w:rFonts w:eastAsia="Calibri"/>
                <w:color w:val="000000"/>
              </w:rPr>
              <w:t>12.3</w:t>
            </w:r>
          </w:p>
        </w:tc>
      </w:tr>
    </w:tbl>
    <w:p w14:paraId="4C62B31D" w14:textId="77777777" w:rsidR="00934E13" w:rsidRPr="001D5327" w:rsidRDefault="00934E13" w:rsidP="00934E13">
      <w:pPr>
        <w:pStyle w:val="Noteundertable"/>
      </w:pPr>
      <w:r w:rsidRPr="001D5327">
        <w:rPr>
          <w:b/>
          <w:bCs/>
        </w:rPr>
        <w:t>Note:</w:t>
      </w:r>
      <w:r w:rsidRPr="001D5327">
        <w:t xml:space="preserve"> Columns may not total due to rounding. Percentages presented are calculated from unrounded values.</w:t>
      </w:r>
    </w:p>
    <w:p w14:paraId="017E4D62" w14:textId="77777777" w:rsidR="00934E13" w:rsidRPr="001D5327" w:rsidRDefault="00934E13" w:rsidP="00934E13">
      <w:r w:rsidRPr="001D5327">
        <w:br w:type="page"/>
      </w:r>
    </w:p>
    <w:p w14:paraId="656B6704" w14:textId="77777777" w:rsidR="00934E13" w:rsidRPr="001D5327" w:rsidRDefault="00934E13" w:rsidP="00934E13">
      <w:pPr>
        <w:pStyle w:val="Heading2"/>
        <w:spacing w:after="360"/>
      </w:pPr>
      <w:bookmarkStart w:id="153" w:name="_Toc194311996"/>
      <w:bookmarkStart w:id="154" w:name="chapter-2-references"/>
      <w:bookmarkEnd w:id="119"/>
      <w:bookmarkEnd w:id="131"/>
      <w:r w:rsidRPr="001D5327">
        <w:lastRenderedPageBreak/>
        <w:t>Chapter 2: References</w:t>
      </w:r>
      <w:bookmarkEnd w:id="153"/>
    </w:p>
    <w:p w14:paraId="645BEA0E" w14:textId="77777777" w:rsidR="00934E13" w:rsidRPr="001D5327" w:rsidRDefault="00934E13" w:rsidP="00934E13">
      <w:pPr>
        <w:pStyle w:val="References"/>
        <w:rPr>
          <w:rFonts w:cstheme="minorHAnsi"/>
          <w:szCs w:val="20"/>
        </w:rPr>
      </w:pPr>
      <w:r w:rsidRPr="001D5327">
        <w:rPr>
          <w:rFonts w:cstheme="minorHAnsi"/>
          <w:szCs w:val="20"/>
        </w:rPr>
        <w:t xml:space="preserve">Beef + Lamb New Zealand Ltd. 2024. </w:t>
      </w:r>
      <w:hyperlink r:id="rId51" w:history="1">
        <w:r w:rsidRPr="001D5327">
          <w:rPr>
            <w:rStyle w:val="Hyperlink"/>
            <w:rFonts w:cstheme="minorHAnsi"/>
            <w:i/>
            <w:szCs w:val="20"/>
          </w:rPr>
          <w:t>Annual Report 2023</w:t>
        </w:r>
      </w:hyperlink>
      <w:r w:rsidRPr="001D5327">
        <w:rPr>
          <w:rFonts w:cstheme="minorHAnsi"/>
          <w:szCs w:val="20"/>
        </w:rPr>
        <w:t>. Retrieved 27 November 2024.</w:t>
      </w:r>
    </w:p>
    <w:p w14:paraId="352F0C14" w14:textId="77777777" w:rsidR="00934E13" w:rsidRPr="001D5327" w:rsidRDefault="00934E13" w:rsidP="00934E13">
      <w:pPr>
        <w:pStyle w:val="References"/>
      </w:pPr>
      <w:r w:rsidRPr="001D5327">
        <w:t xml:space="preserve">IPCC. 2006. Eggleston HS, Buendia L, Miwa K, Ngara T, Tanabe K (eds). </w:t>
      </w:r>
      <w:r w:rsidRPr="001D5327">
        <w:rPr>
          <w:i/>
          <w:iCs/>
        </w:rPr>
        <w:t>2006 IPCC Guidelines for National Greenhouse Gas Inventories. Volume 1. General Guidance and Reporting.</w:t>
      </w:r>
      <w:r w:rsidRPr="001D5327">
        <w:t xml:space="preserve"> IPCC National Greenhouse Gas Inventories Programme. Japan: Institute for Global Environmental Strategies for IPCC.</w:t>
      </w:r>
    </w:p>
    <w:p w14:paraId="68EF31CE" w14:textId="77777777" w:rsidR="00934E13" w:rsidRPr="001D5327" w:rsidRDefault="00934E13" w:rsidP="00934E13">
      <w:pPr>
        <w:pStyle w:val="References"/>
      </w:pPr>
      <w:r w:rsidRPr="001D5327">
        <w:t xml:space="preserve">IPCC. 2013. Stocker, TF, Qin D, Plattner G-K, Tignor M, Allen SK, Boschung J, Nauels A, Xia Y, Bex V, Midgley PM (eds). </w:t>
      </w:r>
      <w:r w:rsidRPr="001D5327">
        <w:rPr>
          <w:i/>
          <w:iCs/>
        </w:rPr>
        <w:t>Climate Change 2013: The Physical Science Basis. Contribution of Working Group I to the Fifth Assessment Report of the Intergovernmental Panel on Climate Change.</w:t>
      </w:r>
      <w:r w:rsidRPr="001D5327">
        <w:t xml:space="preserve"> Cambridge: Cambridge University Press.</w:t>
      </w:r>
    </w:p>
    <w:p w14:paraId="3B56A42C" w14:textId="77777777" w:rsidR="00934E13" w:rsidRPr="001D5327" w:rsidRDefault="00934E13" w:rsidP="00934E13">
      <w:pPr>
        <w:pStyle w:val="References"/>
        <w:rPr>
          <w:rFonts w:asciiTheme="minorHAnsi" w:hAnsiTheme="minorHAnsi" w:cstheme="minorHAnsi"/>
          <w:szCs w:val="20"/>
        </w:rPr>
      </w:pPr>
      <w:r w:rsidRPr="001D5327">
        <w:rPr>
          <w:rFonts w:asciiTheme="minorHAnsi" w:hAnsiTheme="minorHAnsi" w:cstheme="minorHAnsi"/>
          <w:szCs w:val="20"/>
        </w:rPr>
        <w:t xml:space="preserve">LIC (Livestock Improvement Corporation Limited) and DairyNZ. 2024. </w:t>
      </w:r>
      <w:hyperlink r:id="rId52" w:history="1">
        <w:r w:rsidRPr="001D5327">
          <w:rPr>
            <w:rStyle w:val="Hyperlink"/>
            <w:rFonts w:asciiTheme="minorHAnsi" w:hAnsiTheme="minorHAnsi" w:cstheme="minorHAnsi"/>
            <w:i/>
            <w:szCs w:val="20"/>
          </w:rPr>
          <w:t xml:space="preserve">New Zealand Dairy Statistics </w:t>
        </w:r>
        <w:r w:rsidRPr="001D5327">
          <w:rPr>
            <w:rStyle w:val="Hyperlink"/>
            <w:rFonts w:asciiTheme="minorHAnsi" w:hAnsiTheme="minorHAnsi" w:cstheme="minorHAnsi"/>
            <w:i/>
            <w:szCs w:val="20"/>
          </w:rPr>
          <w:br/>
          <w:t>2023–2024</w:t>
        </w:r>
      </w:hyperlink>
      <w:r w:rsidRPr="001D5327">
        <w:rPr>
          <w:rFonts w:asciiTheme="minorHAnsi" w:hAnsiTheme="minorHAnsi" w:cstheme="minorHAnsi"/>
          <w:szCs w:val="20"/>
        </w:rPr>
        <w:t>. Hamilton: DairyNZ. Retrieved 7 January 2025.</w:t>
      </w:r>
    </w:p>
    <w:p w14:paraId="05E4FAE3" w14:textId="77777777" w:rsidR="00934E13" w:rsidRPr="001D5327" w:rsidRDefault="00934E13" w:rsidP="00934E13">
      <w:pPr>
        <w:pStyle w:val="References"/>
        <w:rPr>
          <w:rFonts w:asciiTheme="minorHAnsi" w:hAnsiTheme="minorHAnsi" w:cstheme="minorHAnsi"/>
          <w:szCs w:val="20"/>
        </w:rPr>
      </w:pPr>
      <w:r w:rsidRPr="001D5327">
        <w:rPr>
          <w:rFonts w:asciiTheme="minorHAnsi" w:hAnsiTheme="minorHAnsi" w:cstheme="minorHAnsi"/>
          <w:szCs w:val="20"/>
        </w:rPr>
        <w:t xml:space="preserve">Stats NZ. 2024. </w:t>
      </w:r>
      <w:hyperlink r:id="rId53" w:history="1">
        <w:r w:rsidRPr="001D5327">
          <w:rPr>
            <w:rStyle w:val="Hyperlink"/>
            <w:rFonts w:asciiTheme="minorHAnsi" w:hAnsiTheme="minorHAnsi" w:cstheme="minorHAnsi"/>
            <w:i/>
            <w:szCs w:val="20"/>
          </w:rPr>
          <w:t>Agricultural production statistics: Year to June 2023 (final)</w:t>
        </w:r>
      </w:hyperlink>
      <w:r w:rsidRPr="001D5327">
        <w:rPr>
          <w:rFonts w:asciiTheme="minorHAnsi" w:hAnsiTheme="minorHAnsi" w:cstheme="minorHAnsi"/>
          <w:szCs w:val="20"/>
        </w:rPr>
        <w:t>. Retrieved 2 December 2024.</w:t>
      </w:r>
    </w:p>
    <w:bookmarkEnd w:id="114"/>
    <w:bookmarkEnd w:id="154"/>
    <w:p w14:paraId="638E9AC2" w14:textId="77777777" w:rsidR="00E33B6A" w:rsidRPr="001D5327" w:rsidRDefault="00E33B6A" w:rsidP="00E33B6A">
      <w:pPr>
        <w:pStyle w:val="BodyText"/>
      </w:pPr>
    </w:p>
    <w:p w14:paraId="70D3E941" w14:textId="77777777" w:rsidR="00E33B6A" w:rsidRPr="001D5327" w:rsidRDefault="00E33B6A" w:rsidP="00E33B6A">
      <w:pPr>
        <w:pStyle w:val="BodyText"/>
      </w:pPr>
    </w:p>
    <w:p w14:paraId="7E379B4E" w14:textId="77777777" w:rsidR="009F6E97" w:rsidRPr="001D5327" w:rsidRDefault="009F6E97" w:rsidP="00D97D6C">
      <w:pPr>
        <w:pStyle w:val="Heading1"/>
        <w:rPr>
          <w:rFonts w:cs="Calibri"/>
          <w:lang w:eastAsia="en-GB"/>
        </w:rPr>
        <w:sectPr w:rsidR="009F6E97" w:rsidRPr="001D5327" w:rsidSect="00F66BF9">
          <w:footerReference w:type="even" r:id="rId54"/>
          <w:pgSz w:w="11907" w:h="16840" w:code="9"/>
          <w:pgMar w:top="1418" w:right="1701" w:bottom="1418" w:left="1701" w:header="567" w:footer="567" w:gutter="0"/>
          <w:cols w:space="720"/>
        </w:sectPr>
      </w:pPr>
    </w:p>
    <w:p w14:paraId="0A223274" w14:textId="77777777" w:rsidR="00D97D6C" w:rsidRPr="001D5327" w:rsidRDefault="00D97D6C" w:rsidP="00D97D6C">
      <w:pPr>
        <w:pStyle w:val="Heading1"/>
        <w:rPr>
          <w:rFonts w:cs="Calibri"/>
          <w:lang w:eastAsia="en-GB"/>
        </w:rPr>
      </w:pPr>
      <w:bookmarkStart w:id="155" w:name="_Toc194311997"/>
      <w:r w:rsidRPr="001D5327">
        <w:rPr>
          <w:rFonts w:cs="Calibri"/>
          <w:lang w:eastAsia="en-GB"/>
        </w:rPr>
        <w:lastRenderedPageBreak/>
        <w:t>Chapter 3: Energy</w:t>
      </w:r>
      <w:bookmarkEnd w:id="1"/>
      <w:bookmarkEnd w:id="2"/>
      <w:bookmarkEnd w:id="3"/>
      <w:bookmarkEnd w:id="155"/>
    </w:p>
    <w:p w14:paraId="5CF6326D" w14:textId="77777777" w:rsidR="00D97D6C" w:rsidRPr="001D5327" w:rsidRDefault="00D97D6C" w:rsidP="008F4DF2">
      <w:pPr>
        <w:pStyle w:val="Heading2"/>
        <w:spacing w:before="120"/>
        <w:rPr>
          <w:rFonts w:cs="Calibri"/>
        </w:rPr>
      </w:pPr>
      <w:bookmarkStart w:id="156" w:name="_Toc321398808"/>
      <w:bookmarkStart w:id="157" w:name="_Toc384581634"/>
      <w:bookmarkStart w:id="158" w:name="_Toc448321506"/>
      <w:bookmarkStart w:id="159" w:name="_Toc481751368"/>
      <w:bookmarkStart w:id="160" w:name="_Toc36224385"/>
      <w:bookmarkStart w:id="161" w:name="_Toc68786305"/>
      <w:bookmarkStart w:id="162" w:name="_Toc164154174"/>
      <w:bookmarkStart w:id="163" w:name="_Toc194311998"/>
      <w:r w:rsidRPr="001D5327">
        <w:rPr>
          <w:rFonts w:cs="Calibri"/>
        </w:rPr>
        <w:t>3.1</w:t>
      </w:r>
      <w:r w:rsidRPr="001D5327">
        <w:tab/>
      </w:r>
      <w:r w:rsidRPr="001D5327">
        <w:rPr>
          <w:rFonts w:cs="Calibri"/>
        </w:rPr>
        <w:t>Sector overview</w:t>
      </w:r>
      <w:bookmarkEnd w:id="156"/>
      <w:bookmarkEnd w:id="157"/>
      <w:bookmarkEnd w:id="158"/>
      <w:bookmarkEnd w:id="159"/>
      <w:bookmarkEnd w:id="160"/>
      <w:bookmarkEnd w:id="161"/>
      <w:bookmarkEnd w:id="162"/>
      <w:bookmarkEnd w:id="163"/>
    </w:p>
    <w:p w14:paraId="6BF978D4" w14:textId="77777777" w:rsidR="00D97D6C" w:rsidRPr="001D5327" w:rsidRDefault="00D97D6C" w:rsidP="00D97D6C">
      <w:pPr>
        <w:pStyle w:val="Heading3"/>
        <w:spacing w:before="240"/>
        <w:rPr>
          <w:rFonts w:cs="Calibri"/>
        </w:rPr>
      </w:pPr>
      <w:r w:rsidRPr="001D5327">
        <w:rPr>
          <w:rFonts w:cs="Calibri"/>
        </w:rPr>
        <w:t>3.1.1</w:t>
      </w:r>
      <w:r w:rsidRPr="001D5327">
        <w:rPr>
          <w:rFonts w:cs="Calibri"/>
        </w:rPr>
        <w:tab/>
        <w:t>Introduction</w:t>
      </w:r>
    </w:p>
    <w:p w14:paraId="5C9D592C" w14:textId="05107759" w:rsidR="00D97D6C" w:rsidRPr="001D5327" w:rsidRDefault="00D97D6C" w:rsidP="00D97D6C">
      <w:pPr>
        <w:pStyle w:val="BodyText"/>
      </w:pPr>
      <w:r w:rsidRPr="001D5327">
        <w:t xml:space="preserve">In New Zealand, the Energy sector covers: </w:t>
      </w:r>
    </w:p>
    <w:p w14:paraId="1B72C614" w14:textId="77777777" w:rsidR="00D97D6C" w:rsidRPr="001D5327" w:rsidRDefault="00D97D6C" w:rsidP="00F1086F">
      <w:pPr>
        <w:pStyle w:val="Bullet"/>
      </w:pPr>
      <w:r w:rsidRPr="001D5327">
        <w:rPr>
          <w:b/>
          <w:bCs/>
        </w:rPr>
        <w:t>combustion emissions</w:t>
      </w:r>
      <w:r w:rsidRPr="001D5327">
        <w:t xml:space="preserve">, that is, emissions resulting from fuel being burned to produce useful energy </w:t>
      </w:r>
    </w:p>
    <w:p w14:paraId="1D259F9F" w14:textId="77777777" w:rsidR="00D97D6C" w:rsidRPr="001D5327" w:rsidRDefault="00D97D6C" w:rsidP="00D97D6C">
      <w:pPr>
        <w:pStyle w:val="Bullet"/>
        <w:rPr>
          <w:rFonts w:cs="Calibri"/>
        </w:rPr>
      </w:pPr>
      <w:r w:rsidRPr="001D5327">
        <w:rPr>
          <w:b/>
          <w:bCs/>
        </w:rPr>
        <w:t>fugitive emissions</w:t>
      </w:r>
      <w:r w:rsidRPr="001D5327">
        <w:rPr>
          <w:rFonts w:cs="Calibri"/>
        </w:rPr>
        <w:t>, for example: </w:t>
      </w:r>
    </w:p>
    <w:p w14:paraId="47694CA3" w14:textId="77777777" w:rsidR="00D97D6C" w:rsidRPr="001D5327" w:rsidRDefault="00D97D6C" w:rsidP="00F1086F">
      <w:pPr>
        <w:pStyle w:val="Sub-bullet"/>
      </w:pPr>
      <w:r w:rsidRPr="001D5327">
        <w:t xml:space="preserve">emissions from the production, transmission and storage of fuels </w:t>
      </w:r>
    </w:p>
    <w:p w14:paraId="2DADD3B2" w14:textId="77777777" w:rsidR="00D97D6C" w:rsidRPr="001D5327" w:rsidRDefault="00D97D6C" w:rsidP="00D97D6C">
      <w:pPr>
        <w:pStyle w:val="Sub-bullet"/>
        <w:rPr>
          <w:rFonts w:cs="Calibri"/>
        </w:rPr>
      </w:pPr>
      <w:r w:rsidRPr="001D5327">
        <w:rPr>
          <w:rFonts w:cs="Calibri"/>
        </w:rPr>
        <w:t xml:space="preserve">emissions from non-productive combustion </w:t>
      </w:r>
    </w:p>
    <w:p w14:paraId="009F1C46" w14:textId="77777777" w:rsidR="00D97D6C" w:rsidRPr="001D5327" w:rsidRDefault="00D97D6C" w:rsidP="00D97D6C">
      <w:pPr>
        <w:pStyle w:val="Sub-bullet"/>
        <w:rPr>
          <w:rFonts w:cs="Calibri"/>
        </w:rPr>
      </w:pPr>
      <w:r w:rsidRPr="001D5327">
        <w:rPr>
          <w:rFonts w:cs="Calibri"/>
        </w:rPr>
        <w:t>venting of carbon dioxide (CO</w:t>
      </w:r>
      <w:r w:rsidRPr="001D5327">
        <w:rPr>
          <w:vertAlign w:val="subscript"/>
        </w:rPr>
        <w:t>2</w:t>
      </w:r>
      <w:r w:rsidRPr="001D5327">
        <w:rPr>
          <w:rFonts w:cs="Calibri"/>
        </w:rPr>
        <w:t>) at natural gas treatment plants</w:t>
      </w:r>
    </w:p>
    <w:p w14:paraId="730C5D47" w14:textId="77777777" w:rsidR="00D97D6C" w:rsidRPr="001D5327" w:rsidRDefault="00D97D6C" w:rsidP="00D97D6C">
      <w:pPr>
        <w:pStyle w:val="Sub-bullet"/>
        <w:rPr>
          <w:rFonts w:cs="Calibri"/>
        </w:rPr>
      </w:pPr>
      <w:r w:rsidRPr="001D5327">
        <w:rPr>
          <w:rFonts w:cs="Calibri"/>
        </w:rPr>
        <w:t xml:space="preserve">emissions from geothermal fields. </w:t>
      </w:r>
    </w:p>
    <w:p w14:paraId="3C63614F" w14:textId="5FA38A23" w:rsidR="00D97D6C" w:rsidRPr="001D5327" w:rsidRDefault="00473FEA" w:rsidP="00D97D6C">
      <w:pPr>
        <w:pStyle w:val="BodyText"/>
        <w:rPr>
          <w:rFonts w:cs="Calibri"/>
        </w:rPr>
      </w:pPr>
      <w:r w:rsidRPr="001D5327">
        <w:rPr>
          <w:rFonts w:cs="Calibri"/>
        </w:rPr>
        <w:t>C</w:t>
      </w:r>
      <w:r w:rsidR="00D97D6C" w:rsidRPr="001D5327">
        <w:rPr>
          <w:rFonts w:cs="Calibri"/>
        </w:rPr>
        <w:t xml:space="preserve">ombustion emissions from </w:t>
      </w:r>
      <w:r w:rsidR="008E468C" w:rsidRPr="001D5327">
        <w:rPr>
          <w:rFonts w:cs="Calibri"/>
        </w:rPr>
        <w:t xml:space="preserve">the </w:t>
      </w:r>
      <w:r w:rsidR="00D97D6C" w:rsidRPr="001D5327">
        <w:rPr>
          <w:i/>
        </w:rPr>
        <w:t>Road transportation</w:t>
      </w:r>
      <w:r w:rsidR="00D97D6C" w:rsidRPr="001D5327">
        <w:rPr>
          <w:iCs/>
        </w:rPr>
        <w:t xml:space="preserve"> </w:t>
      </w:r>
      <w:r w:rsidR="000C0236" w:rsidRPr="001D5327">
        <w:rPr>
          <w:iCs/>
        </w:rPr>
        <w:t>category</w:t>
      </w:r>
      <w:r w:rsidR="008E468C" w:rsidRPr="001D5327">
        <w:rPr>
          <w:iCs/>
        </w:rPr>
        <w:t xml:space="preserve"> </w:t>
      </w:r>
      <w:r w:rsidRPr="001D5327">
        <w:rPr>
          <w:rFonts w:cs="Calibri"/>
        </w:rPr>
        <w:t xml:space="preserve">make up </w:t>
      </w:r>
      <w:r w:rsidR="00D97D6C" w:rsidRPr="001D5327">
        <w:rPr>
          <w:rFonts w:cs="Calibri"/>
        </w:rPr>
        <w:t>the largest share of domestic emissions from the Energy sector in New Zealand.</w:t>
      </w:r>
    </w:p>
    <w:p w14:paraId="4B98E419" w14:textId="4FE8D587" w:rsidR="00D97D6C" w:rsidRPr="001D5327" w:rsidRDefault="00D97D6C" w:rsidP="00D97D6C">
      <w:pPr>
        <w:pStyle w:val="BodyText"/>
        <w:rPr>
          <w:rFonts w:cs="Calibri"/>
        </w:rPr>
      </w:pPr>
      <w:r w:rsidRPr="001D5327">
        <w:rPr>
          <w:rFonts w:cs="Calibri"/>
        </w:rPr>
        <w:t>New Zealand has one of the highest rates of car ownership among members of the Organisation for Economic Co-operation and Development and a relatively old vehicle fleet (</w:t>
      </w:r>
      <w:r w:rsidR="002D4006" w:rsidRPr="001D5327">
        <w:rPr>
          <w:rFonts w:cs="Calibri"/>
        </w:rPr>
        <w:t xml:space="preserve">the </w:t>
      </w:r>
      <w:r w:rsidRPr="001D5327">
        <w:rPr>
          <w:rFonts w:cs="Calibri"/>
        </w:rPr>
        <w:t xml:space="preserve">average age of </w:t>
      </w:r>
      <w:r w:rsidR="002D4006" w:rsidRPr="001D5327">
        <w:rPr>
          <w:rFonts w:cs="Calibri"/>
        </w:rPr>
        <w:t xml:space="preserve">the </w:t>
      </w:r>
      <w:r w:rsidRPr="001D5327">
        <w:rPr>
          <w:rFonts w:cs="Calibri"/>
        </w:rPr>
        <w:t>light passenger fleet was around 15 years in 202</w:t>
      </w:r>
      <w:r w:rsidR="003D36CC" w:rsidRPr="001D5327">
        <w:rPr>
          <w:rFonts w:cs="Calibri"/>
        </w:rPr>
        <w:t>3</w:t>
      </w:r>
      <w:r w:rsidRPr="001D5327">
        <w:rPr>
          <w:rFonts w:cs="Calibri"/>
        </w:rPr>
        <w:t>). Most freight is transported by trucks, with smaller quantities transported by rail and coastal shipping. Due</w:t>
      </w:r>
      <w:r w:rsidR="00510A04" w:rsidRPr="001D5327">
        <w:rPr>
          <w:rFonts w:cs="Calibri"/>
        </w:rPr>
        <w:t> </w:t>
      </w:r>
      <w:r w:rsidRPr="001D5327">
        <w:rPr>
          <w:rFonts w:cs="Calibri"/>
        </w:rPr>
        <w:t>to its sparse population and rural-based economy, New Zealand’s domestic transport emissions per capita are high compared with many other Annex I countries.</w:t>
      </w:r>
    </w:p>
    <w:p w14:paraId="4373691A" w14:textId="00E89DC6" w:rsidR="00D97D6C" w:rsidRPr="001D5327" w:rsidRDefault="00D97D6C" w:rsidP="00D97D6C">
      <w:pPr>
        <w:pStyle w:val="BodyText"/>
        <w:rPr>
          <w:rFonts w:cs="Calibri"/>
        </w:rPr>
      </w:pPr>
      <w:r w:rsidRPr="001D5327">
        <w:rPr>
          <w:rFonts w:cs="Calibri"/>
        </w:rPr>
        <w:t xml:space="preserve">New Zealand’s electricity generation system relies heavily on renewable energy sources but is supported by the combustion of coal, oil and gas. In </w:t>
      </w:r>
      <w:r w:rsidR="003D36CC" w:rsidRPr="001D5327">
        <w:rPr>
          <w:rFonts w:cs="Calibri"/>
        </w:rPr>
        <w:t>2023</w:t>
      </w:r>
      <w:r w:rsidRPr="001D5327">
        <w:rPr>
          <w:rFonts w:cs="Calibri"/>
        </w:rPr>
        <w:t xml:space="preserve">, fossil fuel thermal plants provided </w:t>
      </w:r>
      <w:r w:rsidR="003D36CC" w:rsidRPr="001D5327">
        <w:rPr>
          <w:rFonts w:cs="Calibri"/>
        </w:rPr>
        <w:t>11</w:t>
      </w:r>
      <w:r w:rsidRPr="001D5327">
        <w:rPr>
          <w:rFonts w:cs="Calibri"/>
        </w:rPr>
        <w:t>.</w:t>
      </w:r>
      <w:r w:rsidR="00365413" w:rsidRPr="001D5327">
        <w:rPr>
          <w:rFonts w:cs="Calibri"/>
        </w:rPr>
        <w:t>8</w:t>
      </w:r>
      <w:r w:rsidR="00C52C2E" w:rsidRPr="001D5327">
        <w:rPr>
          <w:rFonts w:cs="Calibri"/>
        </w:rPr>
        <w:t> </w:t>
      </w:r>
      <w:r w:rsidRPr="001D5327">
        <w:rPr>
          <w:rFonts w:cs="Calibri"/>
        </w:rPr>
        <w:t xml:space="preserve">per cent of New Zealand’s total electricity supply, which is very low by international standards. New Zealand’s renewable </w:t>
      </w:r>
      <w:r w:rsidR="002D5670" w:rsidRPr="001D5327">
        <w:rPr>
          <w:rFonts w:cs="Calibri"/>
        </w:rPr>
        <w:t xml:space="preserve">electricity </w:t>
      </w:r>
      <w:r w:rsidRPr="001D5327">
        <w:rPr>
          <w:rFonts w:cs="Calibri"/>
        </w:rPr>
        <w:t>sources comprise mostly hydroelectric power generation (</w:t>
      </w:r>
      <w:r w:rsidR="002D5670" w:rsidRPr="001D5327">
        <w:rPr>
          <w:rFonts w:cs="Calibri"/>
        </w:rPr>
        <w:t xml:space="preserve">contributing </w:t>
      </w:r>
      <w:r w:rsidR="003D36CC" w:rsidRPr="001D5327">
        <w:rPr>
          <w:rFonts w:cs="Calibri"/>
        </w:rPr>
        <w:t>60.5</w:t>
      </w:r>
      <w:r w:rsidRPr="001D5327">
        <w:rPr>
          <w:rFonts w:cs="Calibri"/>
        </w:rPr>
        <w:t xml:space="preserve"> per cent of </w:t>
      </w:r>
      <w:r w:rsidR="002D5670" w:rsidRPr="001D5327">
        <w:rPr>
          <w:rFonts w:cs="Calibri"/>
        </w:rPr>
        <w:t>net generation</w:t>
      </w:r>
      <w:r w:rsidRPr="001D5327">
        <w:rPr>
          <w:rFonts w:cs="Calibri"/>
        </w:rPr>
        <w:t>), complemented by other renewable power sources such as geothermal (</w:t>
      </w:r>
      <w:r w:rsidR="003D36CC" w:rsidRPr="001D5327">
        <w:rPr>
          <w:rFonts w:cs="Calibri"/>
        </w:rPr>
        <w:t>17.8</w:t>
      </w:r>
      <w:r w:rsidRPr="001D5327">
        <w:rPr>
          <w:rFonts w:cs="Calibri"/>
        </w:rPr>
        <w:t xml:space="preserve"> per cent) and wind (</w:t>
      </w:r>
      <w:r w:rsidR="003D36CC" w:rsidRPr="001D5327">
        <w:rPr>
          <w:rFonts w:cs="Calibri"/>
        </w:rPr>
        <w:t>7.4</w:t>
      </w:r>
      <w:r w:rsidRPr="001D5327">
        <w:rPr>
          <w:rFonts w:cs="Calibri"/>
        </w:rPr>
        <w:t xml:space="preserve"> per cent). While this provides a strong power generation base in years with good hydro inflows, electricity emissions remain sensitive to rainfall in key catchment areas. New Zealand has low levels of hydro lake storage compared with other countries whose supply depends heavily on hydroelectric power. </w:t>
      </w:r>
    </w:p>
    <w:p w14:paraId="3D93D201" w14:textId="77777777" w:rsidR="00D97D6C" w:rsidRPr="001D5327" w:rsidRDefault="00D97D6C" w:rsidP="00D97D6C">
      <w:pPr>
        <w:pStyle w:val="BodyText"/>
        <w:rPr>
          <w:rFonts w:cs="Calibri"/>
        </w:rPr>
      </w:pPr>
      <w:r w:rsidRPr="001D5327">
        <w:rPr>
          <w:rFonts w:cs="Calibri"/>
        </w:rPr>
        <w:t>Fugitive emissions make up a relatively small portion of New Zealand’s energy emissions profile. The main sources of fugitive emissions in New Zealand are coal mining operations, production and processing of natural gas (largely venting and flaring), and geothermal operations (largely electricity generation).</w:t>
      </w:r>
    </w:p>
    <w:p w14:paraId="6AEC35BF" w14:textId="2014B65B" w:rsidR="00D97D6C" w:rsidRPr="001D5327" w:rsidRDefault="00D97D6C" w:rsidP="00D97D6C">
      <w:pPr>
        <w:pStyle w:val="BodyText"/>
        <w:rPr>
          <w:sz w:val="19"/>
          <w:szCs w:val="19"/>
        </w:rPr>
      </w:pPr>
      <w:r w:rsidRPr="001D5327">
        <w:rPr>
          <w:rFonts w:cs="Calibri"/>
        </w:rPr>
        <w:t>New Zealand reports emissions from Tokelau, which is a dependent territory of New Zealand. Emissions from Tokelau are calculated using significantly different methods, and integrating these with New Zealand’s emissions would be prohibitively complex. Thus, emissions from Tokelau for all activities are reported in chapter 8 and annex 7, and within the ‘Other’ sector in the common reporting tables (</w:t>
      </w:r>
      <w:r w:rsidRPr="001D5327">
        <w:t>CRTs</w:t>
      </w:r>
      <w:r w:rsidRPr="001D5327">
        <w:rPr>
          <w:rFonts w:cs="Calibri"/>
        </w:rPr>
        <w:t xml:space="preserve">). All emissions reported under the Energy sector are from New Zealand only and exclude Tokelau. Please </w:t>
      </w:r>
      <w:r w:rsidR="006E2511" w:rsidRPr="001D5327">
        <w:rPr>
          <w:rFonts w:cs="Calibri"/>
        </w:rPr>
        <w:t>see</w:t>
      </w:r>
      <w:r w:rsidRPr="001D5327">
        <w:rPr>
          <w:rFonts w:cs="Calibri"/>
        </w:rPr>
        <w:t xml:space="preserve"> chapter 8 for details of methods applied and the emissions for Tokelau.</w:t>
      </w:r>
    </w:p>
    <w:p w14:paraId="02D6C1DF" w14:textId="633EB0E1" w:rsidR="00D97D6C" w:rsidRPr="001D5327" w:rsidRDefault="006A21DD" w:rsidP="00D97D6C">
      <w:pPr>
        <w:pStyle w:val="Heading4"/>
      </w:pPr>
      <w:r w:rsidRPr="001D5327">
        <w:lastRenderedPageBreak/>
        <w:t>2023</w:t>
      </w:r>
    </w:p>
    <w:p w14:paraId="03D847A1" w14:textId="667C312B" w:rsidR="00D97D6C" w:rsidRPr="001D5327" w:rsidRDefault="00D97D6C" w:rsidP="00D97D6C">
      <w:pPr>
        <w:pStyle w:val="BodyText"/>
        <w:rPr>
          <w:rFonts w:cs="Calibri"/>
        </w:rPr>
      </w:pPr>
      <w:r w:rsidRPr="001D5327">
        <w:rPr>
          <w:rFonts w:cs="Calibri"/>
        </w:rPr>
        <w:t>In </w:t>
      </w:r>
      <w:r w:rsidR="006A21DD" w:rsidRPr="001D5327">
        <w:rPr>
          <w:rStyle w:val="Strong"/>
          <w:rFonts w:cs="Calibri"/>
          <w:b w:val="0"/>
          <w:bCs w:val="0"/>
        </w:rPr>
        <w:t>2023</w:t>
      </w:r>
      <w:r w:rsidRPr="001D5327">
        <w:rPr>
          <w:rFonts w:cs="Calibri"/>
        </w:rPr>
        <w:t>, emissions from the Energy sector contributed 28,</w:t>
      </w:r>
      <w:r w:rsidR="005D500F" w:rsidRPr="001D5327">
        <w:rPr>
          <w:rFonts w:cs="Calibri"/>
        </w:rPr>
        <w:t>851.0</w:t>
      </w:r>
      <w:r w:rsidRPr="001D5327">
        <w:rPr>
          <w:rFonts w:cs="Calibri"/>
        </w:rPr>
        <w:t xml:space="preserve"> kilotonnes </w:t>
      </w:r>
      <w:r w:rsidR="00DB76AD" w:rsidRPr="001D5327">
        <w:rPr>
          <w:rFonts w:cs="Calibri"/>
        </w:rPr>
        <w:t xml:space="preserve">of </w:t>
      </w:r>
      <w:r w:rsidRPr="001D5327">
        <w:rPr>
          <w:rFonts w:cs="Calibri"/>
        </w:rPr>
        <w:t>carbon dioxide equivalent (kt CO</w:t>
      </w:r>
      <w:r w:rsidRPr="001D5327">
        <w:rPr>
          <w:vertAlign w:val="subscript"/>
        </w:rPr>
        <w:t>2</w:t>
      </w:r>
      <w:r w:rsidRPr="001D5327">
        <w:rPr>
          <w:rFonts w:cs="Calibri"/>
        </w:rPr>
        <w:t>-e), or </w:t>
      </w:r>
      <w:r w:rsidR="007474A1" w:rsidRPr="001D5327">
        <w:rPr>
          <w:rFonts w:cs="Calibri"/>
        </w:rPr>
        <w:t>37.8</w:t>
      </w:r>
      <w:r w:rsidRPr="001D5327">
        <w:rPr>
          <w:rFonts w:cs="Calibri"/>
        </w:rPr>
        <w:t> per cent of New Zealand’s gross greenhouse gas emissions (see chapter 2, figure 2.2.1).</w:t>
      </w:r>
    </w:p>
    <w:p w14:paraId="1B40A723" w14:textId="561C497E" w:rsidR="00D97D6C" w:rsidRPr="001D5327" w:rsidRDefault="00D97D6C" w:rsidP="00D97D6C">
      <w:pPr>
        <w:pStyle w:val="BodyText"/>
        <w:rPr>
          <w:rFonts w:cs="Calibri"/>
        </w:rPr>
      </w:pPr>
      <w:r w:rsidRPr="001D5327">
        <w:rPr>
          <w:rFonts w:cs="Calibri"/>
        </w:rPr>
        <w:t>The largest sources of emissions in the Energy sector were the </w:t>
      </w:r>
      <w:r w:rsidRPr="001D5327">
        <w:rPr>
          <w:rStyle w:val="Emphasis"/>
          <w:rFonts w:cs="Calibri"/>
        </w:rPr>
        <w:t>Road transportation</w:t>
      </w:r>
      <w:r w:rsidRPr="001D5327">
        <w:rPr>
          <w:rFonts w:cs="Calibri"/>
        </w:rPr>
        <w:t xml:space="preserve"> category, contributing 12,</w:t>
      </w:r>
      <w:r w:rsidR="00DB76AD" w:rsidRPr="001D5327">
        <w:rPr>
          <w:rFonts w:cs="Calibri"/>
        </w:rPr>
        <w:t>599.8</w:t>
      </w:r>
      <w:r w:rsidRPr="001D5327">
        <w:rPr>
          <w:rFonts w:cs="Calibri"/>
        </w:rPr>
        <w:t> kt CO</w:t>
      </w:r>
      <w:r w:rsidRPr="001D5327">
        <w:rPr>
          <w:vertAlign w:val="subscript"/>
        </w:rPr>
        <w:t>2</w:t>
      </w:r>
      <w:r w:rsidRPr="001D5327">
        <w:rPr>
          <w:rFonts w:cs="Calibri"/>
        </w:rPr>
        <w:t>-e (</w:t>
      </w:r>
      <w:r w:rsidR="008907C6" w:rsidRPr="001D5327">
        <w:rPr>
          <w:rFonts w:cs="Calibri"/>
        </w:rPr>
        <w:t>43.7</w:t>
      </w:r>
      <w:r w:rsidRPr="001D5327">
        <w:rPr>
          <w:rFonts w:cs="Calibri"/>
        </w:rPr>
        <w:t> per cent), and the </w:t>
      </w:r>
      <w:r w:rsidRPr="001D5327">
        <w:rPr>
          <w:rStyle w:val="Emphasis"/>
          <w:rFonts w:cs="Calibri"/>
        </w:rPr>
        <w:t xml:space="preserve">Manufacturing industries and construction </w:t>
      </w:r>
      <w:r w:rsidRPr="001D5327">
        <w:rPr>
          <w:rFonts w:cs="Calibri"/>
        </w:rPr>
        <w:t>category, contributing </w:t>
      </w:r>
      <w:r w:rsidR="008907C6" w:rsidRPr="001D5327">
        <w:rPr>
          <w:rFonts w:cs="Calibri"/>
        </w:rPr>
        <w:t>6,126.3</w:t>
      </w:r>
      <w:r w:rsidRPr="001D5327">
        <w:rPr>
          <w:rFonts w:cs="Calibri"/>
        </w:rPr>
        <w:t xml:space="preserve"> kt CO</w:t>
      </w:r>
      <w:r w:rsidRPr="001D5327">
        <w:rPr>
          <w:vertAlign w:val="subscript"/>
        </w:rPr>
        <w:t>2</w:t>
      </w:r>
      <w:r w:rsidRPr="001D5327">
        <w:rPr>
          <w:rFonts w:cs="Calibri"/>
        </w:rPr>
        <w:t>-e (</w:t>
      </w:r>
      <w:r w:rsidR="008907C6" w:rsidRPr="001D5327">
        <w:rPr>
          <w:rFonts w:cs="Calibri"/>
        </w:rPr>
        <w:t>21.2</w:t>
      </w:r>
      <w:r w:rsidRPr="001D5327">
        <w:rPr>
          <w:rFonts w:cs="Calibri"/>
        </w:rPr>
        <w:t> per cent) to energy emissions.</w:t>
      </w:r>
    </w:p>
    <w:p w14:paraId="1A58A44D" w14:textId="49BF33FF" w:rsidR="00D97D6C" w:rsidRPr="001D5327" w:rsidRDefault="00D97D6C" w:rsidP="00D97D6C">
      <w:pPr>
        <w:pStyle w:val="Heading4"/>
      </w:pPr>
      <w:r w:rsidRPr="001D5327">
        <w:t>1990–</w:t>
      </w:r>
      <w:r w:rsidR="006A21DD" w:rsidRPr="001D5327">
        <w:t>2023</w:t>
      </w:r>
    </w:p>
    <w:p w14:paraId="55A3EA36" w14:textId="70DE86DF" w:rsidR="00D97D6C" w:rsidRPr="001D5327" w:rsidRDefault="00D97D6C" w:rsidP="00D97D6C">
      <w:pPr>
        <w:pStyle w:val="BodyText"/>
        <w:rPr>
          <w:rFonts w:cs="Calibri"/>
        </w:rPr>
      </w:pPr>
      <w:r w:rsidRPr="001D5327">
        <w:rPr>
          <w:rFonts w:cs="Calibri"/>
        </w:rPr>
        <w:t>In </w:t>
      </w:r>
      <w:r w:rsidR="006A21DD" w:rsidRPr="001D5327">
        <w:rPr>
          <w:rFonts w:cs="Calibri"/>
        </w:rPr>
        <w:t>2023</w:t>
      </w:r>
      <w:r w:rsidRPr="001D5327">
        <w:rPr>
          <w:rFonts w:cs="Calibri"/>
        </w:rPr>
        <w:t>, emissions from the Energy sector increased by </w:t>
      </w:r>
      <w:r w:rsidR="008907C6" w:rsidRPr="001D5327">
        <w:rPr>
          <w:rFonts w:cs="Calibri"/>
        </w:rPr>
        <w:t>20.2</w:t>
      </w:r>
      <w:r w:rsidR="001341C5" w:rsidRPr="001D5327">
        <w:rPr>
          <w:rFonts w:cs="Calibri"/>
        </w:rPr>
        <w:t> </w:t>
      </w:r>
      <w:r w:rsidRPr="001D5327">
        <w:rPr>
          <w:rFonts w:cs="Calibri"/>
        </w:rPr>
        <w:t>per cent (4,</w:t>
      </w:r>
      <w:r w:rsidR="008907C6" w:rsidRPr="001D5327">
        <w:rPr>
          <w:rFonts w:cs="Calibri"/>
        </w:rPr>
        <w:t>851.2</w:t>
      </w:r>
      <w:r w:rsidRPr="001D5327">
        <w:rPr>
          <w:rFonts w:cs="Calibri"/>
        </w:rPr>
        <w:t> kt CO</w:t>
      </w:r>
      <w:r w:rsidRPr="001D5327">
        <w:rPr>
          <w:vertAlign w:val="subscript"/>
        </w:rPr>
        <w:t>2</w:t>
      </w:r>
      <w:r w:rsidRPr="001D5327">
        <w:rPr>
          <w:rFonts w:cs="Calibri"/>
        </w:rPr>
        <w:t>-e) from</w:t>
      </w:r>
      <w:r w:rsidR="00510A04" w:rsidRPr="001D5327">
        <w:rPr>
          <w:rFonts w:cs="Calibri"/>
        </w:rPr>
        <w:t> </w:t>
      </w:r>
      <w:r w:rsidRPr="001D5327">
        <w:rPr>
          <w:rFonts w:cs="Calibri"/>
        </w:rPr>
        <w:t>the 1990 level of </w:t>
      </w:r>
      <w:r w:rsidR="008907C6" w:rsidRPr="001D5327">
        <w:rPr>
          <w:rFonts w:cs="Calibri"/>
        </w:rPr>
        <w:t>23,999.7</w:t>
      </w:r>
      <w:r w:rsidRPr="001D5327">
        <w:rPr>
          <w:rFonts w:cs="Calibri"/>
        </w:rPr>
        <w:t> kt CO</w:t>
      </w:r>
      <w:r w:rsidRPr="001D5327">
        <w:rPr>
          <w:vertAlign w:val="subscript"/>
        </w:rPr>
        <w:t>2</w:t>
      </w:r>
      <w:r w:rsidRPr="001D5327">
        <w:rPr>
          <w:rFonts w:cs="Calibri"/>
        </w:rPr>
        <w:t xml:space="preserve">-e. This growth is primarily due to </w:t>
      </w:r>
      <w:r w:rsidRPr="001D5327">
        <w:rPr>
          <w:i/>
          <w:iCs/>
        </w:rPr>
        <w:t>Road transportation</w:t>
      </w:r>
      <w:r w:rsidRPr="001D5327">
        <w:rPr>
          <w:rFonts w:cs="Calibri"/>
        </w:rPr>
        <w:t>, which</w:t>
      </w:r>
      <w:r w:rsidR="000C0236" w:rsidRPr="001D5327">
        <w:rPr>
          <w:rFonts w:cs="Calibri"/>
        </w:rPr>
        <w:t> </w:t>
      </w:r>
      <w:r w:rsidRPr="001D5327">
        <w:rPr>
          <w:rFonts w:cs="Calibri"/>
        </w:rPr>
        <w:t>increased by 5,</w:t>
      </w:r>
      <w:r w:rsidR="001341C5" w:rsidRPr="001D5327">
        <w:rPr>
          <w:rFonts w:cs="Calibri"/>
        </w:rPr>
        <w:t>771.3</w:t>
      </w:r>
      <w:r w:rsidRPr="001D5327">
        <w:rPr>
          <w:rFonts w:cs="Calibri"/>
        </w:rPr>
        <w:t xml:space="preserve"> kt CO</w:t>
      </w:r>
      <w:r w:rsidRPr="001D5327">
        <w:rPr>
          <w:vertAlign w:val="subscript"/>
        </w:rPr>
        <w:t>2</w:t>
      </w:r>
      <w:r w:rsidRPr="001D5327">
        <w:rPr>
          <w:rFonts w:cs="Calibri"/>
        </w:rPr>
        <w:t>-e (</w:t>
      </w:r>
      <w:r w:rsidR="001341C5" w:rsidRPr="001D5327">
        <w:rPr>
          <w:rFonts w:cs="Calibri"/>
        </w:rPr>
        <w:t>84.5</w:t>
      </w:r>
      <w:r w:rsidRPr="001D5327">
        <w:rPr>
          <w:rFonts w:cs="Calibri"/>
        </w:rPr>
        <w:t xml:space="preserve"> per cent), </w:t>
      </w:r>
      <w:r w:rsidRPr="001D5327">
        <w:rPr>
          <w:i/>
          <w:iCs/>
        </w:rPr>
        <w:t>Food processing, beverages and tobacco</w:t>
      </w:r>
      <w:r w:rsidRPr="001D5327">
        <w:rPr>
          <w:rFonts w:cs="Calibri"/>
        </w:rPr>
        <w:t>, which increased by </w:t>
      </w:r>
      <w:r w:rsidR="008907C6" w:rsidRPr="001D5327">
        <w:rPr>
          <w:rFonts w:cs="Calibri"/>
        </w:rPr>
        <w:t>1,031.4</w:t>
      </w:r>
      <w:r w:rsidRPr="001D5327">
        <w:rPr>
          <w:rFonts w:cs="Calibri"/>
        </w:rPr>
        <w:t> kt CO</w:t>
      </w:r>
      <w:r w:rsidRPr="001D5327">
        <w:rPr>
          <w:vertAlign w:val="subscript"/>
        </w:rPr>
        <w:t>2</w:t>
      </w:r>
      <w:r w:rsidRPr="001D5327">
        <w:rPr>
          <w:rFonts w:cs="Calibri"/>
        </w:rPr>
        <w:t>-e (6</w:t>
      </w:r>
      <w:r w:rsidR="001341C5" w:rsidRPr="001D5327">
        <w:rPr>
          <w:rFonts w:cs="Calibri"/>
        </w:rPr>
        <w:t>1</w:t>
      </w:r>
      <w:r w:rsidRPr="001D5327">
        <w:rPr>
          <w:rFonts w:cs="Calibri"/>
        </w:rPr>
        <w:t>.</w:t>
      </w:r>
      <w:r w:rsidR="008907C6" w:rsidRPr="001D5327">
        <w:rPr>
          <w:rFonts w:cs="Calibri"/>
        </w:rPr>
        <w:t>7</w:t>
      </w:r>
      <w:r w:rsidRPr="001D5327">
        <w:rPr>
          <w:rFonts w:cs="Calibri"/>
        </w:rPr>
        <w:t xml:space="preserve"> per cent), and </w:t>
      </w:r>
      <w:r w:rsidRPr="001D5327">
        <w:rPr>
          <w:i/>
          <w:iCs/>
        </w:rPr>
        <w:t>Chemicals</w:t>
      </w:r>
      <w:r w:rsidRPr="001D5327">
        <w:t>,</w:t>
      </w:r>
      <w:r w:rsidRPr="001D5327">
        <w:rPr>
          <w:rFonts w:cs="Calibri"/>
        </w:rPr>
        <w:t xml:space="preserve"> which increased by </w:t>
      </w:r>
      <w:r w:rsidR="008907C6" w:rsidRPr="001D5327">
        <w:rPr>
          <w:rFonts w:cs="Calibri"/>
        </w:rPr>
        <w:t>776.4</w:t>
      </w:r>
      <w:r w:rsidRPr="001D5327">
        <w:rPr>
          <w:rFonts w:cs="Calibri"/>
        </w:rPr>
        <w:t> kt CO</w:t>
      </w:r>
      <w:r w:rsidRPr="001D5327">
        <w:rPr>
          <w:vertAlign w:val="subscript"/>
        </w:rPr>
        <w:t>2</w:t>
      </w:r>
      <w:r w:rsidRPr="001D5327">
        <w:rPr>
          <w:rFonts w:cs="Calibri"/>
        </w:rPr>
        <w:t>-e (</w:t>
      </w:r>
      <w:r w:rsidR="008907C6" w:rsidRPr="001D5327">
        <w:rPr>
          <w:rFonts w:cs="Calibri"/>
        </w:rPr>
        <w:t>144.8</w:t>
      </w:r>
      <w:r w:rsidRPr="001D5327">
        <w:rPr>
          <w:rFonts w:cs="Calibri"/>
        </w:rPr>
        <w:t xml:space="preserve"> per cent). </w:t>
      </w:r>
      <w:r w:rsidR="00BF5045" w:rsidRPr="001D5327">
        <w:rPr>
          <w:rFonts w:cs="Calibri"/>
        </w:rPr>
        <w:t>Although the</w:t>
      </w:r>
      <w:r w:rsidRPr="001D5327">
        <w:rPr>
          <w:rFonts w:cs="Calibri"/>
        </w:rPr>
        <w:t xml:space="preserve"> underlying drivers of these increases are often nuanced</w:t>
      </w:r>
      <w:r w:rsidR="00BF5045" w:rsidRPr="001D5327">
        <w:rPr>
          <w:rFonts w:cs="Calibri"/>
        </w:rPr>
        <w:t>,</w:t>
      </w:r>
      <w:r w:rsidRPr="001D5327">
        <w:rPr>
          <w:rFonts w:cs="Calibri"/>
        </w:rPr>
        <w:t xml:space="preserve"> key factors include population growth and increased economic activity.</w:t>
      </w:r>
    </w:p>
    <w:p w14:paraId="0C5CFFB6" w14:textId="63C32BB5" w:rsidR="00D97D6C" w:rsidRPr="001D5327" w:rsidRDefault="00D97D6C" w:rsidP="00D97D6C">
      <w:pPr>
        <w:pStyle w:val="BodyText"/>
        <w:rPr>
          <w:rFonts w:cs="Calibri"/>
        </w:rPr>
      </w:pPr>
      <w:r w:rsidRPr="001D5327">
        <w:rPr>
          <w:rFonts w:cs="Calibri"/>
        </w:rPr>
        <w:t xml:space="preserve">The category showing the largest decrease since 1990 is </w:t>
      </w:r>
      <w:r w:rsidRPr="001D5327">
        <w:rPr>
          <w:i/>
          <w:iCs/>
        </w:rPr>
        <w:t xml:space="preserve">Manufacture of solid fuels and other energy industries </w:t>
      </w:r>
      <w:r w:rsidRPr="001D5327">
        <w:rPr>
          <w:rFonts w:cs="Calibri"/>
        </w:rPr>
        <w:t xml:space="preserve">– a historically significant contributor to New Zealand’s emissions. Emissions for this category in </w:t>
      </w:r>
      <w:r w:rsidR="006A21DD" w:rsidRPr="001D5327">
        <w:rPr>
          <w:rFonts w:cs="Calibri"/>
        </w:rPr>
        <w:t>2023</w:t>
      </w:r>
      <w:r w:rsidRPr="001D5327">
        <w:rPr>
          <w:rFonts w:cs="Calibri"/>
        </w:rPr>
        <w:t xml:space="preserve"> decreased from the 1990 level by 1,</w:t>
      </w:r>
      <w:r w:rsidR="001341C5" w:rsidRPr="001D5327">
        <w:rPr>
          <w:rFonts w:cs="Calibri"/>
        </w:rPr>
        <w:t>50</w:t>
      </w:r>
      <w:r w:rsidR="008907C6" w:rsidRPr="001D5327">
        <w:rPr>
          <w:rFonts w:cs="Calibri"/>
        </w:rPr>
        <w:t>1.8</w:t>
      </w:r>
      <w:r w:rsidRPr="001D5327">
        <w:rPr>
          <w:rFonts w:cs="Calibri"/>
        </w:rPr>
        <w:t> </w:t>
      </w:r>
      <w:r w:rsidR="00F7621D" w:rsidRPr="001D5327">
        <w:rPr>
          <w:rFonts w:cs="Calibri"/>
        </w:rPr>
        <w:t>kt </w:t>
      </w:r>
      <w:r w:rsidRPr="001D5327">
        <w:rPr>
          <w:rFonts w:cs="Calibri"/>
        </w:rPr>
        <w:t>CO</w:t>
      </w:r>
      <w:r w:rsidRPr="001D5327">
        <w:rPr>
          <w:vertAlign w:val="subscript"/>
        </w:rPr>
        <w:t>2</w:t>
      </w:r>
      <w:r w:rsidRPr="001D5327">
        <w:rPr>
          <w:rFonts w:cs="Calibri"/>
        </w:rPr>
        <w:t>-e (8</w:t>
      </w:r>
      <w:r w:rsidR="008907C6" w:rsidRPr="001D5327">
        <w:rPr>
          <w:rFonts w:cs="Calibri"/>
        </w:rPr>
        <w:t>8.1</w:t>
      </w:r>
      <w:r w:rsidRPr="001D5327">
        <w:rPr>
          <w:rFonts w:cs="Calibri"/>
        </w:rPr>
        <w:t xml:space="preserve"> per cent). This decrease is primarily due to the cessation of synthetic gasoline production in 1997.</w:t>
      </w:r>
    </w:p>
    <w:p w14:paraId="66CA9C11" w14:textId="6CDEF43C" w:rsidR="00D97D6C" w:rsidRPr="001D5327" w:rsidRDefault="00D97D6C" w:rsidP="00D97D6C">
      <w:pPr>
        <w:pStyle w:val="BodyText"/>
        <w:rPr>
          <w:rFonts w:cs="Calibri"/>
        </w:rPr>
      </w:pPr>
      <w:r w:rsidRPr="001D5327">
        <w:rPr>
          <w:rFonts w:cs="Calibri"/>
        </w:rPr>
        <w:t xml:space="preserve">Figure 3.1.1 shows the </w:t>
      </w:r>
      <w:r w:rsidR="00BF5045" w:rsidRPr="001D5327">
        <w:rPr>
          <w:rFonts w:cs="Calibri"/>
        </w:rPr>
        <w:t xml:space="preserve">time series of </w:t>
      </w:r>
      <w:r w:rsidRPr="001D5327">
        <w:rPr>
          <w:rFonts w:cs="Calibri"/>
        </w:rPr>
        <w:t>Energy sector emissions from 1990 to </w:t>
      </w:r>
      <w:r w:rsidR="006A21DD" w:rsidRPr="001D5327">
        <w:rPr>
          <w:rFonts w:cs="Calibri"/>
        </w:rPr>
        <w:t>2023</w:t>
      </w:r>
      <w:r w:rsidRPr="001D5327">
        <w:rPr>
          <w:rFonts w:cs="Calibri"/>
        </w:rPr>
        <w:t xml:space="preserve">. Emissions increased from 1990 to around 2006, before decreasing slightly and then remaining steady until </w:t>
      </w:r>
      <w:r w:rsidRPr="001D5327" w:rsidDel="00B47EA4">
        <w:rPr>
          <w:rFonts w:cs="Calibri"/>
        </w:rPr>
        <w:t>2019</w:t>
      </w:r>
      <w:r w:rsidRPr="001D5327">
        <w:rPr>
          <w:rFonts w:cs="Calibri"/>
        </w:rPr>
        <w:t xml:space="preserve">. Since 2019 emissions </w:t>
      </w:r>
      <w:r w:rsidR="00BF5045" w:rsidRPr="001D5327">
        <w:rPr>
          <w:rFonts w:cs="Calibri"/>
        </w:rPr>
        <w:t xml:space="preserve">have decreased </w:t>
      </w:r>
      <w:r w:rsidRPr="001D5327">
        <w:rPr>
          <w:rFonts w:cs="Calibri"/>
        </w:rPr>
        <w:t xml:space="preserve">due to the impact of the </w:t>
      </w:r>
      <w:r w:rsidR="00A93BD4" w:rsidRPr="001D5327">
        <w:rPr>
          <w:rFonts w:cs="Calibri"/>
        </w:rPr>
        <w:t>response to the coronavirus (</w:t>
      </w:r>
      <w:r w:rsidRPr="001D5327">
        <w:rPr>
          <w:rFonts w:cs="Calibri"/>
        </w:rPr>
        <w:t>COVID</w:t>
      </w:r>
      <w:r w:rsidRPr="001D5327">
        <w:rPr>
          <w:rFonts w:cs="Calibri"/>
        </w:rPr>
        <w:noBreakHyphen/>
        <w:t>19</w:t>
      </w:r>
      <w:r w:rsidR="00A93BD4" w:rsidRPr="001D5327">
        <w:rPr>
          <w:rFonts w:cs="Calibri"/>
        </w:rPr>
        <w:t>)</w:t>
      </w:r>
      <w:r w:rsidRPr="001D5327">
        <w:rPr>
          <w:rFonts w:cs="Calibri"/>
        </w:rPr>
        <w:t xml:space="preserve"> pandemic and due to high levels of hydro power generation in </w:t>
      </w:r>
      <w:r w:rsidR="006A21DD" w:rsidRPr="001D5327">
        <w:rPr>
          <w:rFonts w:cs="Calibri"/>
        </w:rPr>
        <w:t>2023</w:t>
      </w:r>
      <w:r w:rsidRPr="001D5327">
        <w:rPr>
          <w:rFonts w:cs="Calibri"/>
        </w:rPr>
        <w:t>.</w:t>
      </w:r>
    </w:p>
    <w:p w14:paraId="60AE0A66" w14:textId="6A075D5A" w:rsidR="00365413" w:rsidRPr="001D5327" w:rsidRDefault="00A93BD4" w:rsidP="00D97D6C">
      <w:pPr>
        <w:pStyle w:val="BodyText"/>
        <w:rPr>
          <w:rFonts w:cs="Calibri"/>
        </w:rPr>
      </w:pPr>
      <w:r w:rsidRPr="001D5327">
        <w:rPr>
          <w:rFonts w:cs="Calibri"/>
        </w:rPr>
        <w:t>Restrictions on activity and movement as part of t</w:t>
      </w:r>
      <w:r w:rsidR="00365413" w:rsidRPr="001D5327">
        <w:rPr>
          <w:rFonts w:cs="Calibri"/>
        </w:rPr>
        <w:t>he response to the COVID-19 pandemic during the 2020 calendar year saw significant disruption to economic activity throughout New</w:t>
      </w:r>
      <w:r w:rsidR="00B911D6" w:rsidRPr="001D5327">
        <w:rPr>
          <w:rFonts w:cs="Calibri"/>
        </w:rPr>
        <w:t> </w:t>
      </w:r>
      <w:r w:rsidR="00365413" w:rsidRPr="001D5327">
        <w:rPr>
          <w:rFonts w:cs="Calibri"/>
        </w:rPr>
        <w:t>Zealand. The effects on</w:t>
      </w:r>
      <w:r w:rsidR="004B029B" w:rsidRPr="001D5327">
        <w:rPr>
          <w:rFonts w:cs="Calibri"/>
        </w:rPr>
        <w:t xml:space="preserve"> </w:t>
      </w:r>
      <w:r w:rsidR="00365413" w:rsidRPr="001D5327">
        <w:rPr>
          <w:rFonts w:cs="Calibri"/>
        </w:rPr>
        <w:t xml:space="preserve">the Energy sector </w:t>
      </w:r>
      <w:r w:rsidR="00152925" w:rsidRPr="001D5327">
        <w:rPr>
          <w:rFonts w:cs="Calibri"/>
        </w:rPr>
        <w:t xml:space="preserve">are </w:t>
      </w:r>
      <w:r w:rsidR="00365413" w:rsidRPr="001D5327">
        <w:rPr>
          <w:rFonts w:cs="Calibri"/>
        </w:rPr>
        <w:t xml:space="preserve">particularly </w:t>
      </w:r>
      <w:r w:rsidR="00152925" w:rsidRPr="001D5327">
        <w:rPr>
          <w:rFonts w:cs="Calibri"/>
        </w:rPr>
        <w:t>notable</w:t>
      </w:r>
      <w:r w:rsidR="00365413" w:rsidRPr="001D5327">
        <w:rPr>
          <w:rFonts w:cs="Calibri"/>
        </w:rPr>
        <w:t xml:space="preserve">, with national energy consumption falling 7.2 per cent compared </w:t>
      </w:r>
      <w:r w:rsidR="00C12285" w:rsidRPr="001D5327">
        <w:rPr>
          <w:rFonts w:cs="Calibri"/>
        </w:rPr>
        <w:t xml:space="preserve">with </w:t>
      </w:r>
      <w:r w:rsidR="00365413" w:rsidRPr="001D5327">
        <w:rPr>
          <w:rFonts w:cs="Calibri"/>
        </w:rPr>
        <w:t>2019 level</w:t>
      </w:r>
      <w:r w:rsidR="00C12285" w:rsidRPr="001D5327">
        <w:rPr>
          <w:rFonts w:cs="Calibri"/>
        </w:rPr>
        <w:t>s</w:t>
      </w:r>
      <w:r w:rsidR="00365413" w:rsidRPr="001D5327">
        <w:rPr>
          <w:rFonts w:cs="Calibri"/>
        </w:rPr>
        <w:t>. The sector saw a slight rebound during 2021, but energy consumption has remained well below pre-2020 levels</w:t>
      </w:r>
      <w:r w:rsidR="00C12285" w:rsidRPr="001D5327">
        <w:rPr>
          <w:rFonts w:cs="Calibri"/>
        </w:rPr>
        <w:t xml:space="preserve"> in the following years</w:t>
      </w:r>
      <w:r w:rsidR="00365413" w:rsidRPr="001D5327">
        <w:rPr>
          <w:rFonts w:cs="Calibri"/>
        </w:rPr>
        <w:t>.</w:t>
      </w:r>
    </w:p>
    <w:p w14:paraId="05D225CD" w14:textId="1B9E97FE" w:rsidR="00D97D6C" w:rsidRPr="001D5327" w:rsidRDefault="00D97D6C" w:rsidP="008F4DF2">
      <w:pPr>
        <w:pStyle w:val="Figure"/>
        <w:spacing w:after="0"/>
        <w:rPr>
          <w:rFonts w:cs="Calibri"/>
        </w:rPr>
      </w:pPr>
      <w:bookmarkStart w:id="164" w:name="_Toc443060810"/>
      <w:bookmarkStart w:id="165" w:name="_Toc447275667"/>
      <w:bookmarkStart w:id="166" w:name="_Toc481751984"/>
      <w:bookmarkStart w:id="167" w:name="_Toc36292768"/>
      <w:bookmarkStart w:id="168" w:name="_Toc68786633"/>
      <w:bookmarkStart w:id="169" w:name="_Toc95834068"/>
      <w:bookmarkStart w:id="170" w:name="_Toc164154004"/>
      <w:bookmarkStart w:id="171" w:name="_Toc194674837"/>
      <w:r w:rsidRPr="001D5327">
        <w:rPr>
          <w:rFonts w:cs="Calibri"/>
        </w:rPr>
        <w:t>Figure 3.1.</w:t>
      </w:r>
      <w:r w:rsidRPr="001D5327">
        <w:rPr>
          <w:rFonts w:cs="Calibri"/>
        </w:rPr>
        <w:fldChar w:fldCharType="begin"/>
      </w:r>
      <w:r w:rsidRPr="001D5327">
        <w:rPr>
          <w:rFonts w:cs="Calibri"/>
        </w:rPr>
        <w:instrText xml:space="preserve"> SEQ Figure \* ARABIC \s 2 </w:instrText>
      </w:r>
      <w:r w:rsidRPr="001D5327">
        <w:rPr>
          <w:rFonts w:cs="Calibri"/>
        </w:rPr>
        <w:fldChar w:fldCharType="separate"/>
      </w:r>
      <w:r w:rsidR="00B93180">
        <w:rPr>
          <w:rFonts w:cs="Calibri"/>
          <w:noProof/>
        </w:rPr>
        <w:t>1</w:t>
      </w:r>
      <w:r w:rsidRPr="001D5327">
        <w:rPr>
          <w:rFonts w:cs="Calibri"/>
        </w:rPr>
        <w:fldChar w:fldCharType="end"/>
      </w:r>
      <w:r w:rsidRPr="001D5327">
        <w:rPr>
          <w:rFonts w:cs="Calibri"/>
        </w:rPr>
        <w:tab/>
        <w:t>New Zealand’s Energy sector emissions</w:t>
      </w:r>
      <w:bookmarkEnd w:id="164"/>
      <w:bookmarkEnd w:id="165"/>
      <w:bookmarkEnd w:id="166"/>
      <w:r w:rsidR="00636ED3" w:rsidRPr="001D5327">
        <w:rPr>
          <w:rFonts w:cs="Calibri"/>
        </w:rPr>
        <w:t>,</w:t>
      </w:r>
      <w:r w:rsidRPr="001D5327">
        <w:rPr>
          <w:rFonts w:cs="Calibri"/>
        </w:rPr>
        <w:t xml:space="preserve"> from 1990 to </w:t>
      </w:r>
      <w:bookmarkEnd w:id="167"/>
      <w:bookmarkEnd w:id="168"/>
      <w:bookmarkEnd w:id="169"/>
      <w:bookmarkEnd w:id="170"/>
      <w:r w:rsidR="006A21DD" w:rsidRPr="001D5327">
        <w:rPr>
          <w:rFonts w:cs="Calibri"/>
        </w:rPr>
        <w:t>2023</w:t>
      </w:r>
      <w:bookmarkEnd w:id="171"/>
    </w:p>
    <w:p w14:paraId="6A00D2FB" w14:textId="115642E6" w:rsidR="00D97D6C" w:rsidRPr="001D5327" w:rsidRDefault="003E09EA" w:rsidP="00D97D6C">
      <w:pPr>
        <w:pStyle w:val="BodyText"/>
        <w:rPr>
          <w:rFonts w:cs="Calibri"/>
        </w:rPr>
      </w:pPr>
      <w:r w:rsidRPr="001D5327">
        <w:rPr>
          <w:rFonts w:cs="Calibri"/>
          <w:noProof/>
        </w:rPr>
        <w:drawing>
          <wp:inline distT="0" distB="0" distL="0" distR="0" wp14:anchorId="54FA9231" wp14:editId="2CFE34D9">
            <wp:extent cx="5400675" cy="2700655"/>
            <wp:effectExtent l="0" t="0" r="9525" b="4445"/>
            <wp:docPr id="1279206840"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06840" name="Graphic 1279206840"/>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5400675" cy="2700655"/>
                    </a:xfrm>
                    <a:prstGeom prst="rect">
                      <a:avLst/>
                    </a:prstGeom>
                  </pic:spPr>
                </pic:pic>
              </a:graphicData>
            </a:graphic>
          </wp:inline>
        </w:drawing>
      </w:r>
    </w:p>
    <w:p w14:paraId="3CAAD926" w14:textId="2CA481DC" w:rsidR="00D97D6C" w:rsidRPr="003C45F8" w:rsidRDefault="00704343" w:rsidP="003C45F8">
      <w:pPr>
        <w:pStyle w:val="Heading4"/>
      </w:pPr>
      <w:r w:rsidRPr="001D5327">
        <w:lastRenderedPageBreak/>
        <w:t>2022</w:t>
      </w:r>
      <w:r w:rsidR="00D97D6C" w:rsidRPr="001D5327">
        <w:t>–</w:t>
      </w:r>
      <w:r w:rsidR="006A21DD" w:rsidRPr="001D5327">
        <w:t>2023</w:t>
      </w:r>
    </w:p>
    <w:p w14:paraId="01596B36" w14:textId="70F7F334" w:rsidR="00D97D6C" w:rsidRPr="001D5327" w:rsidRDefault="00D97D6C" w:rsidP="00D97D6C">
      <w:pPr>
        <w:pStyle w:val="BodyText"/>
        <w:rPr>
          <w:rFonts w:cs="Calibri"/>
        </w:rPr>
      </w:pPr>
      <w:r w:rsidRPr="001D5327">
        <w:rPr>
          <w:rFonts w:cs="Calibri"/>
        </w:rPr>
        <w:t>Between </w:t>
      </w:r>
      <w:r w:rsidR="00704343" w:rsidRPr="001D5327">
        <w:rPr>
          <w:rFonts w:cs="Calibri"/>
        </w:rPr>
        <w:t>2022</w:t>
      </w:r>
      <w:r w:rsidRPr="001D5327">
        <w:rPr>
          <w:rFonts w:cs="Calibri"/>
        </w:rPr>
        <w:t> and </w:t>
      </w:r>
      <w:r w:rsidR="006A21DD" w:rsidRPr="001D5327">
        <w:rPr>
          <w:rFonts w:cs="Calibri"/>
        </w:rPr>
        <w:t>2023</w:t>
      </w:r>
      <w:r w:rsidRPr="001D5327">
        <w:rPr>
          <w:rFonts w:cs="Calibri"/>
        </w:rPr>
        <w:t>, emissions from the Energy sector</w:t>
      </w:r>
      <w:r w:rsidR="0074796F" w:rsidRPr="001D5327">
        <w:rPr>
          <w:rFonts w:cs="Calibri"/>
        </w:rPr>
        <w:t xml:space="preserve"> </w:t>
      </w:r>
      <w:r w:rsidRPr="001D5327">
        <w:rPr>
          <w:rFonts w:cs="Calibri"/>
        </w:rPr>
        <w:t>decreased</w:t>
      </w:r>
      <w:r w:rsidR="0074796F" w:rsidRPr="001D5327">
        <w:rPr>
          <w:rFonts w:cs="Calibri"/>
        </w:rPr>
        <w:t xml:space="preserve"> </w:t>
      </w:r>
      <w:r w:rsidRPr="001D5327">
        <w:rPr>
          <w:rFonts w:cs="Calibri"/>
        </w:rPr>
        <w:t xml:space="preserve">by </w:t>
      </w:r>
      <w:r w:rsidR="00D302C4" w:rsidRPr="001D5327">
        <w:rPr>
          <w:rFonts w:cs="Calibri"/>
        </w:rPr>
        <w:t>225.0</w:t>
      </w:r>
      <w:r w:rsidR="0074796F" w:rsidRPr="001D5327">
        <w:rPr>
          <w:rFonts w:cs="Calibri"/>
        </w:rPr>
        <w:t xml:space="preserve"> </w:t>
      </w:r>
      <w:r w:rsidRPr="001D5327">
        <w:rPr>
          <w:rFonts w:cs="Calibri"/>
        </w:rPr>
        <w:t>kt CO</w:t>
      </w:r>
      <w:r w:rsidRPr="001D5327">
        <w:rPr>
          <w:vertAlign w:val="subscript"/>
        </w:rPr>
        <w:t>2</w:t>
      </w:r>
      <w:r w:rsidRPr="001D5327">
        <w:rPr>
          <w:rFonts w:cs="Calibri"/>
        </w:rPr>
        <w:t>-e (</w:t>
      </w:r>
      <w:r w:rsidR="00D302C4" w:rsidRPr="001D5327">
        <w:rPr>
          <w:rFonts w:cs="Calibri"/>
        </w:rPr>
        <w:t>0.8</w:t>
      </w:r>
      <w:r w:rsidRPr="001D5327">
        <w:rPr>
          <w:rFonts w:cs="Calibri"/>
        </w:rPr>
        <w:t xml:space="preserve"> per cent). This is primarily due to combined decreases in </w:t>
      </w:r>
      <w:r w:rsidR="00D302C4" w:rsidRPr="001D5327">
        <w:rPr>
          <w:rFonts w:cs="Calibri"/>
          <w:i/>
          <w:iCs/>
        </w:rPr>
        <w:t>Petroleum refining</w:t>
      </w:r>
      <w:r w:rsidR="00D302C4" w:rsidRPr="001D5327">
        <w:rPr>
          <w:rFonts w:cs="Calibri"/>
        </w:rPr>
        <w:t xml:space="preserve"> (down 166.1</w:t>
      </w:r>
      <w:r w:rsidR="00FB1C3F" w:rsidRPr="001D5327">
        <w:rPr>
          <w:rFonts w:cs="Calibri"/>
        </w:rPr>
        <w:t> </w:t>
      </w:r>
      <w:r w:rsidR="00D302C4" w:rsidRPr="001D5327">
        <w:rPr>
          <w:rFonts w:cs="Calibri"/>
          <w:color w:val="000000"/>
        </w:rPr>
        <w:t xml:space="preserve">kt </w:t>
      </w:r>
      <w:r w:rsidR="00D302C4" w:rsidRPr="001D5327">
        <w:rPr>
          <w:rFonts w:cs="Calibri"/>
        </w:rPr>
        <w:t>CO</w:t>
      </w:r>
      <w:r w:rsidR="00D302C4" w:rsidRPr="001D5327">
        <w:rPr>
          <w:vertAlign w:val="subscript"/>
        </w:rPr>
        <w:t>2</w:t>
      </w:r>
      <w:r w:rsidR="00D302C4" w:rsidRPr="001D5327">
        <w:rPr>
          <w:rFonts w:cs="Calibri"/>
        </w:rPr>
        <w:t>-e or 100 per cent)</w:t>
      </w:r>
      <w:r w:rsidR="0057701E" w:rsidRPr="001D5327">
        <w:rPr>
          <w:rFonts w:cs="Calibri"/>
        </w:rPr>
        <w:t>,</w:t>
      </w:r>
      <w:r w:rsidR="00D302C4" w:rsidRPr="001D5327" w:rsidDel="00D302C4">
        <w:rPr>
          <w:rFonts w:cs="Calibri"/>
          <w:i/>
          <w:iCs/>
        </w:rPr>
        <w:t xml:space="preserve"> </w:t>
      </w:r>
      <w:r w:rsidRPr="001D5327">
        <w:rPr>
          <w:i/>
          <w:iCs/>
        </w:rPr>
        <w:t>Public electricity and heat production</w:t>
      </w:r>
      <w:r w:rsidRPr="001D5327">
        <w:rPr>
          <w:rFonts w:cs="Calibri"/>
        </w:rPr>
        <w:t xml:space="preserve"> (down </w:t>
      </w:r>
      <w:r w:rsidR="0014207A" w:rsidRPr="001D5327">
        <w:rPr>
          <w:rFonts w:cs="Calibri"/>
        </w:rPr>
        <w:t>153.5</w:t>
      </w:r>
      <w:r w:rsidRPr="001D5327">
        <w:rPr>
          <w:rFonts w:cs="Calibri"/>
        </w:rPr>
        <w:t> kt CO</w:t>
      </w:r>
      <w:r w:rsidRPr="001D5327">
        <w:rPr>
          <w:vertAlign w:val="subscript"/>
        </w:rPr>
        <w:t>2</w:t>
      </w:r>
      <w:r w:rsidRPr="001D5327">
        <w:rPr>
          <w:rFonts w:cs="Calibri"/>
        </w:rPr>
        <w:t>-e or</w:t>
      </w:r>
      <w:r w:rsidR="008F4DF2" w:rsidRPr="001D5327">
        <w:rPr>
          <w:rFonts w:cs="Calibri"/>
        </w:rPr>
        <w:t> </w:t>
      </w:r>
      <w:r w:rsidR="0014207A" w:rsidRPr="001D5327">
        <w:rPr>
          <w:rFonts w:cs="Calibri"/>
        </w:rPr>
        <w:t>5.3</w:t>
      </w:r>
      <w:r w:rsidRPr="001D5327">
        <w:rPr>
          <w:rFonts w:cs="Calibri"/>
        </w:rPr>
        <w:t> per cent)</w:t>
      </w:r>
      <w:r w:rsidR="00625E07" w:rsidRPr="001D5327">
        <w:rPr>
          <w:rFonts w:cs="Calibri"/>
        </w:rPr>
        <w:t xml:space="preserve"> and</w:t>
      </w:r>
      <w:r w:rsidRPr="001D5327">
        <w:rPr>
          <w:rFonts w:cs="Calibri"/>
          <w:color w:val="000000"/>
        </w:rPr>
        <w:t xml:space="preserve"> </w:t>
      </w:r>
      <w:r w:rsidR="00D302C4" w:rsidRPr="001D5327">
        <w:rPr>
          <w:rFonts w:cs="Calibri"/>
          <w:i/>
          <w:color w:val="000000"/>
        </w:rPr>
        <w:t>Commercial</w:t>
      </w:r>
      <w:r w:rsidR="001C1FFE">
        <w:rPr>
          <w:rFonts w:cs="Calibri"/>
          <w:i/>
          <w:color w:val="000000"/>
        </w:rPr>
        <w:t>/</w:t>
      </w:r>
      <w:r w:rsidR="005F0CCF">
        <w:rPr>
          <w:rFonts w:cs="Calibri"/>
          <w:i/>
          <w:color w:val="000000"/>
        </w:rPr>
        <w:t>I</w:t>
      </w:r>
      <w:r w:rsidR="00D302C4" w:rsidRPr="001D5327">
        <w:rPr>
          <w:rFonts w:cs="Calibri"/>
          <w:i/>
          <w:color w:val="000000"/>
        </w:rPr>
        <w:t>nstitutional</w:t>
      </w:r>
      <w:r w:rsidRPr="001D5327">
        <w:rPr>
          <w:rFonts w:cs="Calibri"/>
          <w:i/>
          <w:color w:val="000000"/>
        </w:rPr>
        <w:t xml:space="preserve"> </w:t>
      </w:r>
      <w:r w:rsidRPr="001D5327">
        <w:rPr>
          <w:rFonts w:cs="Calibri"/>
          <w:color w:val="000000"/>
        </w:rPr>
        <w:t xml:space="preserve">(down </w:t>
      </w:r>
      <w:r w:rsidR="0057701E" w:rsidRPr="001D5327">
        <w:rPr>
          <w:rFonts w:cs="Calibri"/>
          <w:color w:val="000000"/>
        </w:rPr>
        <w:t>143.1</w:t>
      </w:r>
      <w:r w:rsidRPr="001D5327">
        <w:rPr>
          <w:rFonts w:cs="Calibri"/>
          <w:color w:val="000000"/>
        </w:rPr>
        <w:t xml:space="preserve"> kt </w:t>
      </w:r>
      <w:r w:rsidRPr="001D5327">
        <w:rPr>
          <w:rFonts w:cs="Calibri"/>
        </w:rPr>
        <w:t>CO</w:t>
      </w:r>
      <w:r w:rsidRPr="001D5327">
        <w:rPr>
          <w:vertAlign w:val="subscript"/>
        </w:rPr>
        <w:t>2</w:t>
      </w:r>
      <w:r w:rsidRPr="001D5327">
        <w:rPr>
          <w:rFonts w:cs="Calibri"/>
        </w:rPr>
        <w:t xml:space="preserve">-e or </w:t>
      </w:r>
      <w:r w:rsidR="0057701E" w:rsidRPr="001D5327">
        <w:rPr>
          <w:rFonts w:cs="Calibri"/>
        </w:rPr>
        <w:t>10.7</w:t>
      </w:r>
      <w:r w:rsidRPr="001D5327">
        <w:rPr>
          <w:rFonts w:cs="Calibri"/>
        </w:rPr>
        <w:t xml:space="preserve"> per cent)</w:t>
      </w:r>
      <w:r w:rsidRPr="001D5327">
        <w:rPr>
          <w:rFonts w:cs="Calibri"/>
          <w:color w:val="000000"/>
        </w:rPr>
        <w:t xml:space="preserve">. </w:t>
      </w:r>
      <w:r w:rsidRPr="001D5327">
        <w:rPr>
          <w:rFonts w:cs="Calibri"/>
        </w:rPr>
        <w:t>This</w:t>
      </w:r>
      <w:r w:rsidR="007D7C61" w:rsidRPr="001D5327">
        <w:rPr>
          <w:rFonts w:cs="Calibri"/>
        </w:rPr>
        <w:t> </w:t>
      </w:r>
      <w:r w:rsidRPr="001D5327">
        <w:rPr>
          <w:rFonts w:cs="Calibri"/>
        </w:rPr>
        <w:t>decrease was</w:t>
      </w:r>
      <w:r w:rsidR="0074796F" w:rsidRPr="001D5327">
        <w:rPr>
          <w:rFonts w:cs="Calibri"/>
        </w:rPr>
        <w:t xml:space="preserve"> </w:t>
      </w:r>
      <w:r w:rsidRPr="001D5327">
        <w:rPr>
          <w:rFonts w:cs="Calibri"/>
        </w:rPr>
        <w:t>partially offset</w:t>
      </w:r>
      <w:r w:rsidR="0074796F" w:rsidRPr="001D5327">
        <w:rPr>
          <w:rFonts w:cs="Calibri"/>
        </w:rPr>
        <w:t xml:space="preserve"> </w:t>
      </w:r>
      <w:r w:rsidRPr="001D5327">
        <w:rPr>
          <w:rFonts w:cs="Calibri"/>
        </w:rPr>
        <w:t xml:space="preserve">by </w:t>
      </w:r>
      <w:r w:rsidR="008229AB" w:rsidRPr="001D5327">
        <w:rPr>
          <w:rFonts w:cs="Calibri"/>
          <w:color w:val="000000"/>
        </w:rPr>
        <w:t xml:space="preserve">the </w:t>
      </w:r>
      <w:r w:rsidRPr="001D5327">
        <w:rPr>
          <w:rFonts w:cs="Calibri"/>
          <w:i/>
          <w:color w:val="000000"/>
        </w:rPr>
        <w:t>Domestic aviation</w:t>
      </w:r>
      <w:r w:rsidR="008229AB" w:rsidRPr="001D5327">
        <w:rPr>
          <w:rFonts w:cs="Calibri"/>
          <w:iCs/>
          <w:color w:val="000000"/>
        </w:rPr>
        <w:t xml:space="preserve"> category</w:t>
      </w:r>
      <w:r w:rsidRPr="001D5327">
        <w:rPr>
          <w:rFonts w:cs="Calibri"/>
        </w:rPr>
        <w:t>, which</w:t>
      </w:r>
      <w:r w:rsidR="0074796F" w:rsidRPr="001D5327">
        <w:rPr>
          <w:rFonts w:cs="Calibri"/>
        </w:rPr>
        <w:t xml:space="preserve"> </w:t>
      </w:r>
      <w:r w:rsidRPr="001D5327">
        <w:rPr>
          <w:rFonts w:cs="Calibri"/>
        </w:rPr>
        <w:t>increased</w:t>
      </w:r>
      <w:r w:rsidR="0074796F" w:rsidRPr="001D5327">
        <w:rPr>
          <w:rFonts w:cs="Calibri"/>
        </w:rPr>
        <w:t xml:space="preserve"> </w:t>
      </w:r>
      <w:r w:rsidRPr="001D5327">
        <w:rPr>
          <w:rFonts w:cs="Calibri"/>
        </w:rPr>
        <w:t>by</w:t>
      </w:r>
      <w:r w:rsidR="0074796F" w:rsidRPr="001D5327">
        <w:rPr>
          <w:rFonts w:cs="Calibri"/>
        </w:rPr>
        <w:t xml:space="preserve"> </w:t>
      </w:r>
      <w:r w:rsidR="00625E07" w:rsidRPr="001D5327">
        <w:rPr>
          <w:rFonts w:cs="Calibri"/>
        </w:rPr>
        <w:t>245.2</w:t>
      </w:r>
      <w:r w:rsidR="00022AD2" w:rsidRPr="001D5327">
        <w:rPr>
          <w:rFonts w:cs="Calibri"/>
        </w:rPr>
        <w:t> </w:t>
      </w:r>
      <w:r w:rsidRPr="001D5327">
        <w:rPr>
          <w:rFonts w:cs="Calibri"/>
        </w:rPr>
        <w:t>kt</w:t>
      </w:r>
      <w:r w:rsidR="00022AD2" w:rsidRPr="001D5327">
        <w:rPr>
          <w:rFonts w:cs="Calibri"/>
        </w:rPr>
        <w:t> </w:t>
      </w:r>
      <w:r w:rsidRPr="001D5327">
        <w:rPr>
          <w:rFonts w:cs="Calibri"/>
        </w:rPr>
        <w:t>CO</w:t>
      </w:r>
      <w:r w:rsidRPr="001D5327">
        <w:rPr>
          <w:vertAlign w:val="subscript"/>
        </w:rPr>
        <w:t>2</w:t>
      </w:r>
      <w:r w:rsidRPr="001D5327">
        <w:rPr>
          <w:rFonts w:cs="Calibri"/>
        </w:rPr>
        <w:t>-e (24.</w:t>
      </w:r>
      <w:r w:rsidR="00625E07" w:rsidRPr="001D5327">
        <w:rPr>
          <w:rFonts w:cs="Calibri"/>
        </w:rPr>
        <w:t>0</w:t>
      </w:r>
      <w:r w:rsidRPr="001D5327">
        <w:rPr>
          <w:rFonts w:cs="Calibri"/>
        </w:rPr>
        <w:t> per cent)</w:t>
      </w:r>
      <w:r w:rsidR="0057701E" w:rsidRPr="001D5327">
        <w:rPr>
          <w:rFonts w:cs="Calibri"/>
        </w:rPr>
        <w:t xml:space="preserve"> and </w:t>
      </w:r>
      <w:r w:rsidR="0057701E" w:rsidRPr="001D5327">
        <w:rPr>
          <w:rFonts w:cs="Calibri"/>
          <w:i/>
          <w:iCs/>
        </w:rPr>
        <w:t>Road transportation</w:t>
      </w:r>
      <w:r w:rsidR="008229AB" w:rsidRPr="001D5327">
        <w:rPr>
          <w:rFonts w:cs="Calibri"/>
          <w:i/>
          <w:iCs/>
        </w:rPr>
        <w:t>,</w:t>
      </w:r>
      <w:r w:rsidR="0057701E" w:rsidRPr="001D5327">
        <w:rPr>
          <w:rFonts w:cs="Calibri"/>
        </w:rPr>
        <w:t xml:space="preserve"> which increased by 233.7 kt CO</w:t>
      </w:r>
      <w:r w:rsidR="0057701E" w:rsidRPr="001D5327">
        <w:rPr>
          <w:vertAlign w:val="subscript"/>
        </w:rPr>
        <w:t>2</w:t>
      </w:r>
      <w:r w:rsidR="0057701E" w:rsidRPr="001D5327">
        <w:rPr>
          <w:rFonts w:cs="Calibri"/>
        </w:rPr>
        <w:t>-e (1.9 per cent)</w:t>
      </w:r>
      <w:r w:rsidRPr="001D5327">
        <w:rPr>
          <w:rFonts w:cs="Calibri"/>
        </w:rPr>
        <w:t>. Further information on these changes is provided under the relevant categories of section</w:t>
      </w:r>
      <w:r w:rsidR="00022AD2" w:rsidRPr="001D5327">
        <w:rPr>
          <w:rFonts w:cs="Calibri"/>
        </w:rPr>
        <w:t> </w:t>
      </w:r>
      <w:r w:rsidRPr="001D5327">
        <w:rPr>
          <w:rFonts w:cs="Calibri"/>
        </w:rPr>
        <w:t>3.3.</w:t>
      </w:r>
    </w:p>
    <w:p w14:paraId="5E72B960" w14:textId="2E835F95" w:rsidR="00D97D6C" w:rsidRPr="001D5327" w:rsidRDefault="00D97D6C" w:rsidP="00D97D6C">
      <w:pPr>
        <w:pStyle w:val="BodyText"/>
        <w:rPr>
          <w:rFonts w:cs="Calibri"/>
        </w:rPr>
      </w:pPr>
      <w:r w:rsidRPr="001D5327">
        <w:rPr>
          <w:rFonts w:cs="Calibri"/>
        </w:rPr>
        <w:t xml:space="preserve">National energy consumption in </w:t>
      </w:r>
      <w:r w:rsidR="006A21DD" w:rsidRPr="001D5327">
        <w:rPr>
          <w:rFonts w:cs="Calibri"/>
        </w:rPr>
        <w:t>2023</w:t>
      </w:r>
      <w:r w:rsidRPr="001D5327">
        <w:rPr>
          <w:rFonts w:cs="Calibri"/>
        </w:rPr>
        <w:t xml:space="preserve"> remained </w:t>
      </w:r>
      <w:r w:rsidR="4124012C" w:rsidRPr="001D5327">
        <w:rPr>
          <w:rFonts w:cs="Calibri"/>
        </w:rPr>
        <w:t xml:space="preserve">at </w:t>
      </w:r>
      <w:r w:rsidR="00411CAB" w:rsidRPr="001D5327">
        <w:rPr>
          <w:rFonts w:cs="Calibri"/>
        </w:rPr>
        <w:t xml:space="preserve">the same </w:t>
      </w:r>
      <w:r w:rsidR="66D41EDB" w:rsidRPr="001D5327">
        <w:rPr>
          <w:rFonts w:cs="Calibri"/>
        </w:rPr>
        <w:t>level</w:t>
      </w:r>
      <w:r w:rsidR="00411CAB" w:rsidRPr="001D5327">
        <w:rPr>
          <w:rFonts w:cs="Calibri"/>
        </w:rPr>
        <w:t xml:space="preserve"> as</w:t>
      </w:r>
      <w:r w:rsidR="00152925" w:rsidRPr="001D5327">
        <w:rPr>
          <w:rFonts w:cs="Calibri"/>
        </w:rPr>
        <w:t xml:space="preserve"> 2022, </w:t>
      </w:r>
      <w:r w:rsidRPr="001D5327">
        <w:rPr>
          <w:rFonts w:cs="Calibri"/>
        </w:rPr>
        <w:t xml:space="preserve">and was </w:t>
      </w:r>
      <w:r w:rsidR="009C38FB" w:rsidRPr="001D5327">
        <w:rPr>
          <w:rFonts w:cs="Calibri"/>
        </w:rPr>
        <w:t xml:space="preserve">still </w:t>
      </w:r>
      <w:r w:rsidRPr="001D5327">
        <w:rPr>
          <w:rFonts w:cs="Calibri"/>
        </w:rPr>
        <w:t>6.</w:t>
      </w:r>
      <w:r w:rsidR="00FC67DD" w:rsidRPr="001D5327">
        <w:rPr>
          <w:rFonts w:cs="Calibri"/>
        </w:rPr>
        <w:t>1</w:t>
      </w:r>
      <w:r w:rsidR="008F4DF2" w:rsidRPr="001D5327">
        <w:rPr>
          <w:rFonts w:cs="Calibri"/>
        </w:rPr>
        <w:t> </w:t>
      </w:r>
      <w:r w:rsidRPr="001D5327">
        <w:rPr>
          <w:rFonts w:cs="Calibri"/>
        </w:rPr>
        <w:t>per</w:t>
      </w:r>
      <w:r w:rsidR="008F4DF2" w:rsidRPr="001D5327">
        <w:rPr>
          <w:rFonts w:cs="Calibri"/>
        </w:rPr>
        <w:t> </w:t>
      </w:r>
      <w:r w:rsidRPr="001D5327">
        <w:rPr>
          <w:rFonts w:cs="Calibri"/>
        </w:rPr>
        <w:t xml:space="preserve">cent below the </w:t>
      </w:r>
      <w:r w:rsidR="009C38FB" w:rsidRPr="001D5327">
        <w:rPr>
          <w:rFonts w:cs="Calibri"/>
        </w:rPr>
        <w:t xml:space="preserve">pre-COVID </w:t>
      </w:r>
      <w:r w:rsidRPr="001D5327">
        <w:rPr>
          <w:rFonts w:cs="Calibri"/>
        </w:rPr>
        <w:t>level seen in 2019.</w:t>
      </w:r>
    </w:p>
    <w:p w14:paraId="723E9202" w14:textId="77777777" w:rsidR="00D97D6C" w:rsidRPr="001D5327" w:rsidRDefault="00D97D6C" w:rsidP="00D97D6C">
      <w:pPr>
        <w:pStyle w:val="Heading3"/>
        <w:rPr>
          <w:rFonts w:cs="Calibri"/>
        </w:rPr>
      </w:pPr>
      <w:r w:rsidRPr="001D5327">
        <w:rPr>
          <w:rFonts w:cs="Calibri"/>
        </w:rPr>
        <w:t>3.1.2</w:t>
      </w:r>
      <w:r w:rsidRPr="001D5327">
        <w:rPr>
          <w:rFonts w:cs="Calibri"/>
        </w:rPr>
        <w:tab/>
        <w:t>Key categories for Energy sector emissions</w:t>
      </w:r>
    </w:p>
    <w:p w14:paraId="65743EE0" w14:textId="0E32E258" w:rsidR="00D97D6C" w:rsidRPr="001D5327" w:rsidRDefault="00D97D6C" w:rsidP="00D97D6C">
      <w:pPr>
        <w:pStyle w:val="BodyText"/>
        <w:rPr>
          <w:rFonts w:cs="Calibri"/>
        </w:rPr>
      </w:pPr>
      <w:r w:rsidRPr="001D5327">
        <w:rPr>
          <w:rFonts w:cs="Calibri"/>
        </w:rPr>
        <w:t xml:space="preserve">Details of New Zealand’s key category analysis are </w:t>
      </w:r>
      <w:r w:rsidR="002D4006" w:rsidRPr="001D5327">
        <w:rPr>
          <w:rFonts w:cs="Calibri"/>
        </w:rPr>
        <w:t xml:space="preserve">provided </w:t>
      </w:r>
      <w:r w:rsidRPr="001D5327">
        <w:rPr>
          <w:rFonts w:cs="Calibri"/>
        </w:rPr>
        <w:t>in chapter 1, section 1.</w:t>
      </w:r>
      <w:r w:rsidR="00EF5F09" w:rsidRPr="001D5327">
        <w:rPr>
          <w:rFonts w:cs="Calibri"/>
        </w:rPr>
        <w:t>4</w:t>
      </w:r>
      <w:r w:rsidRPr="001D5327">
        <w:rPr>
          <w:rFonts w:cs="Calibri"/>
        </w:rPr>
        <w:t>. The key</w:t>
      </w:r>
      <w:r w:rsidR="008F4DF2" w:rsidRPr="001D5327">
        <w:rPr>
          <w:rFonts w:cs="Calibri"/>
        </w:rPr>
        <w:t> </w:t>
      </w:r>
      <w:r w:rsidRPr="001D5327">
        <w:rPr>
          <w:rFonts w:cs="Calibri"/>
        </w:rPr>
        <w:t>categories in the Energy sector are listed in table 3.1.1.</w:t>
      </w:r>
    </w:p>
    <w:p w14:paraId="379D03CC" w14:textId="77777777" w:rsidR="00D97D6C" w:rsidRPr="001D5327" w:rsidRDefault="00D97D6C" w:rsidP="00D97D6C">
      <w:pPr>
        <w:pStyle w:val="Table"/>
      </w:pPr>
      <w:bookmarkStart w:id="172" w:name="_Toc451176060"/>
      <w:bookmarkStart w:id="173" w:name="_Toc481751486"/>
      <w:bookmarkStart w:id="174" w:name="_Toc507496588"/>
      <w:bookmarkStart w:id="175" w:name="_Toc36224522"/>
      <w:bookmarkStart w:id="176" w:name="_Toc68786403"/>
      <w:bookmarkStart w:id="177" w:name="_Toc164153802"/>
      <w:bookmarkStart w:id="178" w:name="_Toc194241667"/>
      <w:bookmarkStart w:id="179" w:name="_Toc384582165"/>
      <w:bookmarkStart w:id="180" w:name="_Toc443060844"/>
      <w:r w:rsidRPr="001D5327">
        <w:t xml:space="preserve">Table 3.1.1 </w:t>
      </w:r>
      <w:r w:rsidRPr="001D5327">
        <w:tab/>
        <w:t>Key categories in the Energy sector</w:t>
      </w:r>
      <w:bookmarkEnd w:id="172"/>
      <w:bookmarkEnd w:id="173"/>
      <w:bookmarkEnd w:id="174"/>
      <w:bookmarkEnd w:id="175"/>
      <w:bookmarkEnd w:id="176"/>
      <w:bookmarkEnd w:id="177"/>
      <w:bookmarkEnd w:id="178"/>
    </w:p>
    <w:tbl>
      <w:tblPr>
        <w:tblW w:w="8505" w:type="dxa"/>
        <w:tblBorders>
          <w:top w:val="single" w:sz="4" w:space="0" w:color="1B556B"/>
          <w:bottom w:val="single" w:sz="4" w:space="0" w:color="1B556B"/>
          <w:insideH w:val="single" w:sz="4" w:space="0" w:color="1B556B"/>
          <w:insideV w:val="single" w:sz="4" w:space="0" w:color="1B556B"/>
        </w:tblBorders>
        <w:tblLayout w:type="fixed"/>
        <w:tblLook w:val="04A0" w:firstRow="1" w:lastRow="0" w:firstColumn="1" w:lastColumn="0" w:noHBand="0" w:noVBand="1"/>
      </w:tblPr>
      <w:tblGrid>
        <w:gridCol w:w="1093"/>
        <w:gridCol w:w="5711"/>
        <w:gridCol w:w="547"/>
        <w:gridCol w:w="1154"/>
      </w:tblGrid>
      <w:tr w:rsidR="00D97D6C" w:rsidRPr="001D5327" w14:paraId="283E79B9" w14:textId="77777777" w:rsidTr="008F4DF2">
        <w:trPr>
          <w:tblHeader/>
        </w:trPr>
        <w:tc>
          <w:tcPr>
            <w:tcW w:w="1093" w:type="dxa"/>
            <w:shd w:val="clear" w:color="auto" w:fill="1B556B"/>
            <w:noWrap/>
            <w:vAlign w:val="bottom"/>
            <w:hideMark/>
          </w:tcPr>
          <w:p w14:paraId="1DA77C95" w14:textId="77777777" w:rsidR="00D97D6C" w:rsidRPr="001D5327" w:rsidRDefault="00D97D6C" w:rsidP="00B55F24">
            <w:pPr>
              <w:pStyle w:val="TableTextBold"/>
              <w:keepNext/>
              <w:spacing w:before="40" w:after="40"/>
              <w:rPr>
                <w:rFonts w:cs="Calibri"/>
                <w:noProof w:val="0"/>
                <w:color w:val="FFFFFF"/>
                <w:szCs w:val="16"/>
              </w:rPr>
            </w:pPr>
            <w:r w:rsidRPr="001D5327">
              <w:rPr>
                <w:rFonts w:cs="Calibri"/>
                <w:noProof w:val="0"/>
                <w:color w:val="FFFFFF"/>
                <w:szCs w:val="16"/>
              </w:rPr>
              <w:t>CRT category code</w:t>
            </w:r>
          </w:p>
        </w:tc>
        <w:tc>
          <w:tcPr>
            <w:tcW w:w="5711" w:type="dxa"/>
            <w:shd w:val="clear" w:color="auto" w:fill="1B556B"/>
            <w:noWrap/>
            <w:vAlign w:val="bottom"/>
            <w:hideMark/>
          </w:tcPr>
          <w:p w14:paraId="3D6320F1" w14:textId="77777777" w:rsidR="00D97D6C" w:rsidRPr="001D5327" w:rsidRDefault="00D97D6C" w:rsidP="00B55F24">
            <w:pPr>
              <w:pStyle w:val="TableTextBold"/>
              <w:keepNext/>
              <w:spacing w:before="40" w:after="40"/>
              <w:rPr>
                <w:rFonts w:cs="Calibri"/>
                <w:noProof w:val="0"/>
                <w:color w:val="FFFFFF"/>
                <w:szCs w:val="16"/>
              </w:rPr>
            </w:pPr>
            <w:r w:rsidRPr="001D5327">
              <w:rPr>
                <w:rFonts w:cs="Calibri"/>
                <w:noProof w:val="0"/>
                <w:color w:val="FFFFFF"/>
                <w:szCs w:val="16"/>
              </w:rPr>
              <w:t>IPCC categories</w:t>
            </w:r>
          </w:p>
        </w:tc>
        <w:tc>
          <w:tcPr>
            <w:tcW w:w="547" w:type="dxa"/>
            <w:shd w:val="clear" w:color="auto" w:fill="1B556B"/>
            <w:noWrap/>
            <w:vAlign w:val="bottom"/>
            <w:hideMark/>
          </w:tcPr>
          <w:p w14:paraId="1EF39BF6" w14:textId="77777777" w:rsidR="00D97D6C" w:rsidRPr="001D5327" w:rsidRDefault="00D97D6C" w:rsidP="00B55F24">
            <w:pPr>
              <w:pStyle w:val="TableTextBold"/>
              <w:keepNext/>
              <w:spacing w:before="40" w:after="40"/>
              <w:jc w:val="center"/>
              <w:rPr>
                <w:rFonts w:cs="Calibri"/>
                <w:noProof w:val="0"/>
                <w:color w:val="FFFFFF"/>
                <w:szCs w:val="16"/>
              </w:rPr>
            </w:pPr>
            <w:r w:rsidRPr="001D5327">
              <w:rPr>
                <w:rFonts w:cs="Calibri"/>
                <w:noProof w:val="0"/>
                <w:color w:val="FFFFFF"/>
                <w:szCs w:val="16"/>
              </w:rPr>
              <w:t>Gas</w:t>
            </w:r>
          </w:p>
        </w:tc>
        <w:tc>
          <w:tcPr>
            <w:tcW w:w="1154" w:type="dxa"/>
            <w:shd w:val="clear" w:color="auto" w:fill="1B556B"/>
            <w:noWrap/>
            <w:vAlign w:val="bottom"/>
            <w:hideMark/>
          </w:tcPr>
          <w:p w14:paraId="02B3011D" w14:textId="77777777" w:rsidR="00D97D6C" w:rsidRPr="001D5327" w:rsidRDefault="00D97D6C" w:rsidP="00B55F24">
            <w:pPr>
              <w:pStyle w:val="TableTextBold"/>
              <w:keepNext/>
              <w:spacing w:before="40" w:after="40"/>
              <w:rPr>
                <w:rFonts w:cs="Calibri"/>
                <w:noProof w:val="0"/>
                <w:color w:val="FFFFFF"/>
                <w:szCs w:val="16"/>
              </w:rPr>
            </w:pPr>
            <w:r w:rsidRPr="001D5327">
              <w:rPr>
                <w:rFonts w:cs="Calibri"/>
                <w:noProof w:val="0"/>
                <w:color w:val="FFFFFF"/>
                <w:szCs w:val="16"/>
              </w:rPr>
              <w:t>Criteria for identification</w:t>
            </w:r>
          </w:p>
        </w:tc>
      </w:tr>
      <w:tr w:rsidR="00D97D6C" w:rsidRPr="001D5327" w14:paraId="0B2D2102" w14:textId="77777777" w:rsidTr="008F4DF2">
        <w:tc>
          <w:tcPr>
            <w:tcW w:w="1093" w:type="dxa"/>
            <w:shd w:val="clear" w:color="auto" w:fill="auto"/>
            <w:noWrap/>
          </w:tcPr>
          <w:p w14:paraId="7FD06CEC" w14:textId="16BC679C" w:rsidR="00D97D6C" w:rsidRPr="001D5327" w:rsidRDefault="00D97D6C" w:rsidP="008F4DF2">
            <w:pPr>
              <w:pStyle w:val="TableText"/>
              <w:spacing w:before="40" w:after="40"/>
              <w:rPr>
                <w:rFonts w:cs="Calibri"/>
                <w:szCs w:val="16"/>
              </w:rPr>
            </w:pPr>
            <w:r w:rsidRPr="001D5327">
              <w:rPr>
                <w:rFonts w:cs="Calibri"/>
                <w:color w:val="000000"/>
                <w:szCs w:val="16"/>
              </w:rPr>
              <w:t>1.A.1.a</w:t>
            </w:r>
            <w:r w:rsidR="005A148E" w:rsidRPr="001D5327">
              <w:rPr>
                <w:rFonts w:cs="Calibri"/>
                <w:color w:val="000000"/>
                <w:szCs w:val="16"/>
              </w:rPr>
              <w:t>.</w:t>
            </w:r>
          </w:p>
        </w:tc>
        <w:tc>
          <w:tcPr>
            <w:tcW w:w="5711" w:type="dxa"/>
            <w:shd w:val="clear" w:color="auto" w:fill="auto"/>
            <w:noWrap/>
          </w:tcPr>
          <w:p w14:paraId="79EF8BD9" w14:textId="392159D2" w:rsidR="00D97D6C" w:rsidRPr="001D5327" w:rsidRDefault="00D97D6C" w:rsidP="008F4DF2">
            <w:pPr>
              <w:pStyle w:val="TableText"/>
              <w:spacing w:before="40" w:after="40"/>
              <w:rPr>
                <w:rFonts w:cs="Calibri"/>
                <w:szCs w:val="16"/>
              </w:rPr>
            </w:pPr>
            <w:r w:rsidRPr="001D5327">
              <w:rPr>
                <w:rFonts w:cs="Calibri"/>
                <w:color w:val="000000"/>
                <w:szCs w:val="16"/>
              </w:rPr>
              <w:t xml:space="preserve">Energy </w:t>
            </w:r>
            <w:r w:rsidR="005A148E" w:rsidRPr="001D5327">
              <w:rPr>
                <w:rFonts w:cs="Calibri"/>
                <w:color w:val="000000"/>
                <w:szCs w:val="16"/>
              </w:rPr>
              <w:t>industries</w:t>
            </w:r>
            <w:r w:rsidR="008F4DF2" w:rsidRPr="001D5327">
              <w:rPr>
                <w:rFonts w:cs="Calibri"/>
                <w:color w:val="000000"/>
                <w:szCs w:val="16"/>
              </w:rPr>
              <w:t xml:space="preserve"> – </w:t>
            </w:r>
            <w:r w:rsidRPr="001D5327">
              <w:rPr>
                <w:rFonts w:cs="Calibri"/>
                <w:color w:val="000000"/>
                <w:szCs w:val="16"/>
              </w:rPr>
              <w:t xml:space="preserve">Public </w:t>
            </w:r>
            <w:r w:rsidR="005A148E" w:rsidRPr="001D5327">
              <w:rPr>
                <w:rFonts w:cs="Calibri"/>
                <w:color w:val="000000"/>
                <w:szCs w:val="16"/>
              </w:rPr>
              <w:t>electricity</w:t>
            </w:r>
            <w:r w:rsidRPr="001D5327">
              <w:rPr>
                <w:rFonts w:cs="Calibri"/>
                <w:color w:val="000000"/>
                <w:szCs w:val="16"/>
              </w:rPr>
              <w:t xml:space="preserve"> and </w:t>
            </w:r>
            <w:r w:rsidR="005A148E" w:rsidRPr="001D5327">
              <w:rPr>
                <w:rFonts w:cs="Calibri"/>
                <w:color w:val="000000"/>
                <w:szCs w:val="16"/>
              </w:rPr>
              <w:t>heat production Gaseous</w:t>
            </w:r>
            <w:r w:rsidRPr="001D5327">
              <w:rPr>
                <w:rFonts w:cs="Calibri"/>
                <w:color w:val="000000"/>
                <w:szCs w:val="16"/>
              </w:rPr>
              <w:t xml:space="preserve"> Fuels</w:t>
            </w:r>
          </w:p>
        </w:tc>
        <w:tc>
          <w:tcPr>
            <w:tcW w:w="547" w:type="dxa"/>
            <w:shd w:val="clear" w:color="auto" w:fill="auto"/>
            <w:noWrap/>
          </w:tcPr>
          <w:p w14:paraId="75D4F63F" w14:textId="77777777" w:rsidR="00D97D6C" w:rsidRPr="001D5327" w:rsidRDefault="00D97D6C" w:rsidP="008F4DF2">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05F7B6D1" w14:textId="77777777" w:rsidR="00D97D6C" w:rsidRPr="001D5327" w:rsidRDefault="00D97D6C" w:rsidP="008F4DF2">
            <w:pPr>
              <w:pStyle w:val="TableText"/>
              <w:spacing w:before="40" w:after="40"/>
              <w:rPr>
                <w:rFonts w:cs="Calibri"/>
                <w:szCs w:val="16"/>
              </w:rPr>
            </w:pPr>
            <w:r w:rsidRPr="001D5327">
              <w:rPr>
                <w:rFonts w:cs="Calibri"/>
                <w:color w:val="000000"/>
                <w:szCs w:val="16"/>
              </w:rPr>
              <w:t>L1, T1</w:t>
            </w:r>
          </w:p>
        </w:tc>
      </w:tr>
      <w:tr w:rsidR="00D97D6C" w:rsidRPr="001D5327" w14:paraId="065F025C" w14:textId="77777777" w:rsidTr="008F4DF2">
        <w:tc>
          <w:tcPr>
            <w:tcW w:w="1093" w:type="dxa"/>
            <w:shd w:val="clear" w:color="auto" w:fill="auto"/>
            <w:noWrap/>
          </w:tcPr>
          <w:p w14:paraId="5D57FC3A" w14:textId="749CB0AD" w:rsidR="00D97D6C" w:rsidRPr="001D5327" w:rsidRDefault="00D97D6C" w:rsidP="008F4DF2">
            <w:pPr>
              <w:pStyle w:val="TableText"/>
              <w:spacing w:before="40" w:after="40"/>
              <w:rPr>
                <w:rFonts w:cs="Calibri"/>
                <w:szCs w:val="16"/>
              </w:rPr>
            </w:pPr>
            <w:r w:rsidRPr="001D5327">
              <w:rPr>
                <w:rFonts w:cs="Calibri"/>
                <w:color w:val="000000"/>
                <w:szCs w:val="16"/>
              </w:rPr>
              <w:t>1.A.1.a</w:t>
            </w:r>
            <w:r w:rsidR="005A148E" w:rsidRPr="001D5327">
              <w:rPr>
                <w:rFonts w:cs="Calibri"/>
                <w:color w:val="000000"/>
                <w:szCs w:val="16"/>
              </w:rPr>
              <w:t>.</w:t>
            </w:r>
          </w:p>
        </w:tc>
        <w:tc>
          <w:tcPr>
            <w:tcW w:w="5711" w:type="dxa"/>
            <w:shd w:val="clear" w:color="auto" w:fill="auto"/>
            <w:noWrap/>
          </w:tcPr>
          <w:p w14:paraId="1374273F" w14:textId="706F00D2" w:rsidR="00D97D6C" w:rsidRPr="001D5327" w:rsidRDefault="00D97D6C" w:rsidP="008F4DF2">
            <w:pPr>
              <w:pStyle w:val="TableText"/>
              <w:spacing w:before="40" w:after="40"/>
              <w:rPr>
                <w:rFonts w:cs="Calibri"/>
                <w:szCs w:val="16"/>
              </w:rPr>
            </w:pPr>
            <w:r w:rsidRPr="001D5327">
              <w:rPr>
                <w:rFonts w:cs="Calibri"/>
                <w:color w:val="000000"/>
                <w:szCs w:val="16"/>
              </w:rPr>
              <w:t xml:space="preserve">Energy </w:t>
            </w:r>
            <w:r w:rsidR="005A148E" w:rsidRPr="001D5327">
              <w:rPr>
                <w:rFonts w:cs="Calibri"/>
                <w:color w:val="000000"/>
                <w:szCs w:val="16"/>
              </w:rPr>
              <w:t>industries</w:t>
            </w:r>
            <w:r w:rsidR="008F4DF2" w:rsidRPr="001D5327">
              <w:rPr>
                <w:rFonts w:cs="Calibri"/>
                <w:color w:val="000000"/>
                <w:szCs w:val="16"/>
              </w:rPr>
              <w:t xml:space="preserve"> – </w:t>
            </w:r>
            <w:r w:rsidRPr="001D5327">
              <w:rPr>
                <w:rFonts w:cs="Calibri"/>
                <w:color w:val="000000"/>
                <w:szCs w:val="16"/>
              </w:rPr>
              <w:t xml:space="preserve">Public </w:t>
            </w:r>
            <w:r w:rsidR="005A148E" w:rsidRPr="001D5327">
              <w:rPr>
                <w:rFonts w:cs="Calibri"/>
                <w:color w:val="000000"/>
                <w:szCs w:val="16"/>
              </w:rPr>
              <w:t>electricity</w:t>
            </w:r>
            <w:r w:rsidRPr="001D5327">
              <w:rPr>
                <w:rFonts w:cs="Calibri"/>
                <w:color w:val="000000"/>
                <w:szCs w:val="16"/>
              </w:rPr>
              <w:t xml:space="preserve"> and </w:t>
            </w:r>
            <w:r w:rsidR="005A148E" w:rsidRPr="001D5327">
              <w:rPr>
                <w:rFonts w:cs="Calibri"/>
                <w:color w:val="000000"/>
                <w:szCs w:val="16"/>
              </w:rPr>
              <w:t>heat production Solid</w:t>
            </w:r>
            <w:r w:rsidRPr="001D5327">
              <w:rPr>
                <w:rFonts w:cs="Calibri"/>
                <w:color w:val="000000"/>
                <w:szCs w:val="16"/>
              </w:rPr>
              <w:t xml:space="preserve"> Fuels</w:t>
            </w:r>
          </w:p>
        </w:tc>
        <w:tc>
          <w:tcPr>
            <w:tcW w:w="547" w:type="dxa"/>
            <w:shd w:val="clear" w:color="auto" w:fill="auto"/>
            <w:noWrap/>
          </w:tcPr>
          <w:p w14:paraId="6A125E1F" w14:textId="77777777" w:rsidR="00D97D6C" w:rsidRPr="001D5327" w:rsidRDefault="00D97D6C" w:rsidP="008F4DF2">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5DB1BAFA" w14:textId="483A7C76" w:rsidR="00D97D6C" w:rsidRPr="001D5327" w:rsidRDefault="00D97D6C" w:rsidP="008F4DF2">
            <w:pPr>
              <w:pStyle w:val="TableText"/>
              <w:spacing w:before="40" w:after="40"/>
              <w:rPr>
                <w:rFonts w:cs="Calibri"/>
                <w:szCs w:val="16"/>
              </w:rPr>
            </w:pPr>
            <w:r w:rsidRPr="001D5327">
              <w:rPr>
                <w:rFonts w:cs="Calibri"/>
                <w:color w:val="000000"/>
                <w:szCs w:val="16"/>
              </w:rPr>
              <w:t>L1</w:t>
            </w:r>
          </w:p>
        </w:tc>
      </w:tr>
      <w:tr w:rsidR="00D97D6C" w:rsidRPr="001D5327" w14:paraId="0A7E8BE5" w14:textId="77777777" w:rsidTr="008F4DF2">
        <w:tc>
          <w:tcPr>
            <w:tcW w:w="1093" w:type="dxa"/>
            <w:shd w:val="clear" w:color="auto" w:fill="auto"/>
            <w:noWrap/>
          </w:tcPr>
          <w:p w14:paraId="05EA285E" w14:textId="32B1291B" w:rsidR="00D97D6C" w:rsidRPr="001D5327" w:rsidRDefault="00D97D6C" w:rsidP="008F4DF2">
            <w:pPr>
              <w:pStyle w:val="TableText"/>
              <w:spacing w:before="40" w:after="40"/>
              <w:rPr>
                <w:rFonts w:cs="Calibri"/>
                <w:szCs w:val="16"/>
              </w:rPr>
            </w:pPr>
            <w:r w:rsidRPr="001D5327">
              <w:rPr>
                <w:rFonts w:cs="Calibri"/>
                <w:color w:val="000000"/>
                <w:szCs w:val="16"/>
              </w:rPr>
              <w:t>1.A.1.b</w:t>
            </w:r>
            <w:r w:rsidR="005A148E" w:rsidRPr="001D5327">
              <w:rPr>
                <w:rFonts w:cs="Calibri"/>
                <w:color w:val="000000"/>
                <w:szCs w:val="16"/>
              </w:rPr>
              <w:t>.</w:t>
            </w:r>
          </w:p>
        </w:tc>
        <w:tc>
          <w:tcPr>
            <w:tcW w:w="5711" w:type="dxa"/>
            <w:shd w:val="clear" w:color="auto" w:fill="auto"/>
            <w:noWrap/>
          </w:tcPr>
          <w:p w14:paraId="031B4052" w14:textId="4B55CCF1" w:rsidR="00D97D6C" w:rsidRPr="001D5327" w:rsidRDefault="00D97D6C" w:rsidP="008F4DF2">
            <w:pPr>
              <w:pStyle w:val="TableText"/>
              <w:spacing w:before="40" w:after="40"/>
              <w:rPr>
                <w:rFonts w:cs="Calibri"/>
                <w:szCs w:val="16"/>
              </w:rPr>
            </w:pPr>
            <w:r w:rsidRPr="001D5327">
              <w:rPr>
                <w:rFonts w:cs="Calibri"/>
                <w:color w:val="000000"/>
                <w:szCs w:val="16"/>
              </w:rPr>
              <w:t xml:space="preserve">Energy </w:t>
            </w:r>
            <w:r w:rsidR="005A148E" w:rsidRPr="001D5327">
              <w:rPr>
                <w:rFonts w:cs="Calibri"/>
                <w:color w:val="000000"/>
                <w:szCs w:val="16"/>
              </w:rPr>
              <w:t>industries</w:t>
            </w:r>
            <w:r w:rsidR="008F4DF2" w:rsidRPr="001D5327">
              <w:rPr>
                <w:rFonts w:cs="Calibri"/>
                <w:color w:val="000000"/>
                <w:szCs w:val="16"/>
              </w:rPr>
              <w:t xml:space="preserve"> – </w:t>
            </w:r>
            <w:r w:rsidRPr="001D5327">
              <w:rPr>
                <w:rFonts w:cs="Calibri"/>
                <w:color w:val="000000"/>
                <w:szCs w:val="16"/>
              </w:rPr>
              <w:t xml:space="preserve">Petroleum </w:t>
            </w:r>
            <w:r w:rsidR="005A148E" w:rsidRPr="001D5327">
              <w:rPr>
                <w:rFonts w:cs="Calibri"/>
                <w:color w:val="000000"/>
                <w:szCs w:val="16"/>
              </w:rPr>
              <w:t>refining</w:t>
            </w:r>
            <w:r w:rsidRPr="001D5327">
              <w:rPr>
                <w:rFonts w:cs="Calibri"/>
                <w:color w:val="000000"/>
                <w:szCs w:val="16"/>
              </w:rPr>
              <w:t xml:space="preserve"> Liquid Fuels</w:t>
            </w:r>
          </w:p>
        </w:tc>
        <w:tc>
          <w:tcPr>
            <w:tcW w:w="547" w:type="dxa"/>
            <w:shd w:val="clear" w:color="auto" w:fill="auto"/>
            <w:noWrap/>
          </w:tcPr>
          <w:p w14:paraId="477F36AC" w14:textId="77777777" w:rsidR="00D97D6C" w:rsidRPr="001D5327" w:rsidRDefault="00D97D6C" w:rsidP="008F4DF2">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766136C1" w14:textId="77777777" w:rsidR="00D97D6C" w:rsidRPr="001D5327" w:rsidRDefault="00D97D6C" w:rsidP="008F4DF2">
            <w:pPr>
              <w:pStyle w:val="TableText"/>
              <w:spacing w:before="40" w:after="40"/>
              <w:rPr>
                <w:rFonts w:cs="Calibri"/>
                <w:szCs w:val="16"/>
              </w:rPr>
            </w:pPr>
            <w:r w:rsidRPr="001D5327">
              <w:rPr>
                <w:rFonts w:cs="Calibri"/>
                <w:color w:val="000000"/>
                <w:szCs w:val="16"/>
              </w:rPr>
              <w:t>T1</w:t>
            </w:r>
          </w:p>
        </w:tc>
      </w:tr>
      <w:tr w:rsidR="00D97D6C" w:rsidRPr="001D5327" w14:paraId="0686FB08" w14:textId="77777777" w:rsidTr="008F4DF2">
        <w:tc>
          <w:tcPr>
            <w:tcW w:w="1093" w:type="dxa"/>
            <w:shd w:val="clear" w:color="auto" w:fill="auto"/>
            <w:noWrap/>
          </w:tcPr>
          <w:p w14:paraId="33C97462" w14:textId="01BC0356" w:rsidR="00D97D6C" w:rsidRPr="001D5327" w:rsidRDefault="00D97D6C" w:rsidP="00B55F24">
            <w:pPr>
              <w:pStyle w:val="TableText"/>
              <w:spacing w:before="40" w:after="40"/>
              <w:rPr>
                <w:rFonts w:cs="Calibri"/>
                <w:szCs w:val="16"/>
              </w:rPr>
            </w:pPr>
            <w:r w:rsidRPr="001D5327">
              <w:rPr>
                <w:rFonts w:cs="Calibri"/>
                <w:color w:val="000000"/>
                <w:szCs w:val="16"/>
              </w:rPr>
              <w:t>1.A.1.c</w:t>
            </w:r>
            <w:r w:rsidR="005A148E" w:rsidRPr="001D5327">
              <w:rPr>
                <w:rFonts w:cs="Calibri"/>
                <w:color w:val="000000"/>
                <w:szCs w:val="16"/>
              </w:rPr>
              <w:t>.</w:t>
            </w:r>
          </w:p>
        </w:tc>
        <w:tc>
          <w:tcPr>
            <w:tcW w:w="5711" w:type="dxa"/>
            <w:shd w:val="clear" w:color="auto" w:fill="auto"/>
            <w:noWrap/>
          </w:tcPr>
          <w:p w14:paraId="5282A32D" w14:textId="7174C16A" w:rsidR="00D97D6C" w:rsidRPr="001D5327" w:rsidRDefault="00D97D6C" w:rsidP="00B55F24">
            <w:pPr>
              <w:pStyle w:val="TableText"/>
              <w:spacing w:before="40" w:after="40"/>
              <w:rPr>
                <w:rFonts w:cs="Calibri"/>
                <w:szCs w:val="16"/>
              </w:rPr>
            </w:pPr>
            <w:r w:rsidRPr="001D5327">
              <w:rPr>
                <w:rFonts w:cs="Calibri"/>
                <w:color w:val="000000"/>
                <w:szCs w:val="16"/>
              </w:rPr>
              <w:t xml:space="preserve">Energy </w:t>
            </w:r>
            <w:r w:rsidR="005A148E" w:rsidRPr="001D5327">
              <w:rPr>
                <w:rFonts w:cs="Calibri"/>
                <w:color w:val="000000"/>
                <w:szCs w:val="16"/>
              </w:rPr>
              <w:t>industries</w:t>
            </w:r>
            <w:r w:rsidR="008F4DF2" w:rsidRPr="001D5327">
              <w:rPr>
                <w:rFonts w:cs="Calibri"/>
                <w:color w:val="000000"/>
                <w:szCs w:val="16"/>
              </w:rPr>
              <w:t xml:space="preserve"> – </w:t>
            </w:r>
            <w:r w:rsidRPr="001D5327">
              <w:rPr>
                <w:rFonts w:cs="Calibri"/>
                <w:color w:val="000000"/>
                <w:szCs w:val="16"/>
              </w:rPr>
              <w:t xml:space="preserve">Manufacture of </w:t>
            </w:r>
            <w:r w:rsidR="005A148E" w:rsidRPr="001D5327">
              <w:rPr>
                <w:rFonts w:cs="Calibri"/>
                <w:color w:val="000000"/>
                <w:szCs w:val="16"/>
              </w:rPr>
              <w:t>solid fuels</w:t>
            </w:r>
            <w:r w:rsidRPr="001D5327">
              <w:rPr>
                <w:rFonts w:cs="Calibri"/>
                <w:color w:val="000000"/>
                <w:szCs w:val="16"/>
              </w:rPr>
              <w:t xml:space="preserve"> and </w:t>
            </w:r>
            <w:r w:rsidR="005A148E" w:rsidRPr="001D5327">
              <w:rPr>
                <w:rFonts w:cs="Calibri"/>
                <w:color w:val="000000"/>
                <w:szCs w:val="16"/>
              </w:rPr>
              <w:t>other energy industries</w:t>
            </w:r>
            <w:r w:rsidRPr="001D5327">
              <w:rPr>
                <w:rFonts w:cs="Calibri"/>
                <w:color w:val="000000"/>
                <w:szCs w:val="16"/>
              </w:rPr>
              <w:t xml:space="preserve"> Gaseous Fuels</w:t>
            </w:r>
          </w:p>
        </w:tc>
        <w:tc>
          <w:tcPr>
            <w:tcW w:w="547" w:type="dxa"/>
            <w:shd w:val="clear" w:color="auto" w:fill="auto"/>
            <w:noWrap/>
          </w:tcPr>
          <w:p w14:paraId="78BACB70"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311B7C94" w14:textId="5320EF68" w:rsidR="00D97D6C" w:rsidRPr="001D5327" w:rsidRDefault="00D97D6C" w:rsidP="00B55F24">
            <w:pPr>
              <w:pStyle w:val="TableText"/>
              <w:spacing w:before="40" w:after="40"/>
              <w:rPr>
                <w:rFonts w:cs="Calibri"/>
                <w:szCs w:val="16"/>
              </w:rPr>
            </w:pPr>
            <w:r w:rsidRPr="001D5327">
              <w:rPr>
                <w:rFonts w:cs="Calibri"/>
                <w:color w:val="000000"/>
                <w:szCs w:val="16"/>
              </w:rPr>
              <w:t>T1</w:t>
            </w:r>
          </w:p>
        </w:tc>
      </w:tr>
      <w:tr w:rsidR="00D97D6C" w:rsidRPr="001D5327" w14:paraId="06233631" w14:textId="77777777" w:rsidTr="008F4DF2">
        <w:tc>
          <w:tcPr>
            <w:tcW w:w="1093" w:type="dxa"/>
            <w:shd w:val="clear" w:color="auto" w:fill="auto"/>
            <w:noWrap/>
          </w:tcPr>
          <w:p w14:paraId="03591D67" w14:textId="6EF9D578" w:rsidR="00D97D6C" w:rsidRPr="001D5327" w:rsidRDefault="00D97D6C" w:rsidP="00B55F24">
            <w:pPr>
              <w:pStyle w:val="TableText"/>
              <w:spacing w:before="40" w:after="40"/>
              <w:rPr>
                <w:rFonts w:cs="Calibri"/>
                <w:szCs w:val="16"/>
              </w:rPr>
            </w:pPr>
            <w:r w:rsidRPr="001D5327">
              <w:rPr>
                <w:rFonts w:cs="Calibri"/>
                <w:color w:val="000000"/>
                <w:szCs w:val="16"/>
              </w:rPr>
              <w:t>1.A.2.c</w:t>
            </w:r>
            <w:r w:rsidR="005A148E" w:rsidRPr="001D5327">
              <w:rPr>
                <w:rFonts w:cs="Calibri"/>
                <w:color w:val="000000"/>
                <w:szCs w:val="16"/>
              </w:rPr>
              <w:t>.</w:t>
            </w:r>
          </w:p>
        </w:tc>
        <w:tc>
          <w:tcPr>
            <w:tcW w:w="5711" w:type="dxa"/>
            <w:shd w:val="clear" w:color="auto" w:fill="auto"/>
            <w:noWrap/>
          </w:tcPr>
          <w:p w14:paraId="0CC9B470" w14:textId="0055A92B" w:rsidR="00D97D6C" w:rsidRPr="001D5327" w:rsidRDefault="00D97D6C" w:rsidP="00B55F24">
            <w:pPr>
              <w:pStyle w:val="TableText"/>
              <w:spacing w:before="40" w:after="40"/>
              <w:rPr>
                <w:rFonts w:cs="Calibri"/>
                <w:szCs w:val="16"/>
              </w:rPr>
            </w:pPr>
            <w:r w:rsidRPr="001D5327">
              <w:rPr>
                <w:rFonts w:cs="Calibri"/>
                <w:color w:val="000000"/>
                <w:szCs w:val="16"/>
              </w:rPr>
              <w:t xml:space="preserve">Manufacturing </w:t>
            </w:r>
            <w:r w:rsidR="005A148E" w:rsidRPr="001D5327">
              <w:rPr>
                <w:rFonts w:cs="Calibri"/>
                <w:color w:val="000000"/>
                <w:szCs w:val="16"/>
              </w:rPr>
              <w:t>industries</w:t>
            </w:r>
            <w:r w:rsidRPr="001D5327">
              <w:rPr>
                <w:rFonts w:cs="Calibri"/>
                <w:color w:val="000000"/>
                <w:szCs w:val="16"/>
              </w:rPr>
              <w:t xml:space="preserve"> and </w:t>
            </w:r>
            <w:r w:rsidR="005A148E" w:rsidRPr="001D5327">
              <w:rPr>
                <w:rFonts w:cs="Calibri"/>
                <w:color w:val="000000"/>
                <w:szCs w:val="16"/>
              </w:rPr>
              <w:t>construction</w:t>
            </w:r>
            <w:r w:rsidR="008F4DF2" w:rsidRPr="001D5327">
              <w:rPr>
                <w:rFonts w:cs="Calibri"/>
                <w:color w:val="000000"/>
                <w:szCs w:val="16"/>
              </w:rPr>
              <w:t xml:space="preserve"> – </w:t>
            </w:r>
            <w:r w:rsidRPr="001D5327">
              <w:rPr>
                <w:rFonts w:cs="Calibri"/>
                <w:color w:val="000000"/>
                <w:szCs w:val="16"/>
              </w:rPr>
              <w:t>Chemicals Gaseous Fuels</w:t>
            </w:r>
          </w:p>
        </w:tc>
        <w:tc>
          <w:tcPr>
            <w:tcW w:w="547" w:type="dxa"/>
            <w:shd w:val="clear" w:color="auto" w:fill="auto"/>
            <w:noWrap/>
          </w:tcPr>
          <w:p w14:paraId="311BF31F"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184ABC37" w14:textId="77777777" w:rsidR="00D97D6C" w:rsidRPr="001D5327" w:rsidRDefault="00D97D6C" w:rsidP="00B55F24">
            <w:pPr>
              <w:pStyle w:val="TableText"/>
              <w:spacing w:before="40" w:after="40"/>
              <w:rPr>
                <w:rFonts w:cs="Calibri"/>
                <w:szCs w:val="16"/>
              </w:rPr>
            </w:pPr>
            <w:r w:rsidRPr="001D5327">
              <w:rPr>
                <w:rFonts w:cs="Calibri"/>
                <w:color w:val="000000"/>
                <w:szCs w:val="16"/>
              </w:rPr>
              <w:t>L1, T1</w:t>
            </w:r>
          </w:p>
        </w:tc>
      </w:tr>
      <w:tr w:rsidR="00D97D6C" w:rsidRPr="001D5327" w14:paraId="78E46C65" w14:textId="77777777" w:rsidTr="008F4DF2">
        <w:tc>
          <w:tcPr>
            <w:tcW w:w="1093" w:type="dxa"/>
            <w:shd w:val="clear" w:color="auto" w:fill="auto"/>
            <w:noWrap/>
          </w:tcPr>
          <w:p w14:paraId="0FE2AFB9" w14:textId="77DB2A7B" w:rsidR="00D97D6C" w:rsidRPr="001D5327" w:rsidRDefault="00D97D6C" w:rsidP="00B55F24">
            <w:pPr>
              <w:pStyle w:val="TableText"/>
              <w:spacing w:before="40" w:after="40"/>
              <w:rPr>
                <w:rFonts w:cs="Calibri"/>
                <w:szCs w:val="16"/>
              </w:rPr>
            </w:pPr>
            <w:r w:rsidRPr="001D5327">
              <w:rPr>
                <w:rFonts w:cs="Calibri"/>
                <w:color w:val="000000"/>
                <w:szCs w:val="16"/>
              </w:rPr>
              <w:t>1.A.2.d</w:t>
            </w:r>
            <w:r w:rsidR="005A148E" w:rsidRPr="001D5327">
              <w:rPr>
                <w:rFonts w:cs="Calibri"/>
                <w:color w:val="000000"/>
                <w:szCs w:val="16"/>
              </w:rPr>
              <w:t>.</w:t>
            </w:r>
          </w:p>
        </w:tc>
        <w:tc>
          <w:tcPr>
            <w:tcW w:w="5711" w:type="dxa"/>
            <w:shd w:val="clear" w:color="auto" w:fill="auto"/>
            <w:noWrap/>
          </w:tcPr>
          <w:p w14:paraId="067C0F59" w14:textId="5E64AB74" w:rsidR="00D97D6C" w:rsidRPr="001D5327" w:rsidRDefault="00D97D6C" w:rsidP="00B55F24">
            <w:pPr>
              <w:pStyle w:val="TableText"/>
              <w:spacing w:before="40" w:after="40"/>
              <w:rPr>
                <w:rFonts w:cs="Calibri"/>
                <w:szCs w:val="16"/>
              </w:rPr>
            </w:pPr>
            <w:r w:rsidRPr="001D5327">
              <w:rPr>
                <w:rFonts w:cs="Calibri"/>
                <w:color w:val="000000"/>
                <w:szCs w:val="16"/>
              </w:rPr>
              <w:t xml:space="preserve">Manufacturing </w:t>
            </w:r>
            <w:r w:rsidR="005A148E" w:rsidRPr="001D5327">
              <w:rPr>
                <w:rFonts w:cs="Calibri"/>
                <w:color w:val="000000"/>
                <w:szCs w:val="16"/>
              </w:rPr>
              <w:t>industries</w:t>
            </w:r>
            <w:r w:rsidRPr="001D5327">
              <w:rPr>
                <w:rFonts w:cs="Calibri"/>
                <w:color w:val="000000"/>
                <w:szCs w:val="16"/>
              </w:rPr>
              <w:t xml:space="preserve"> and </w:t>
            </w:r>
            <w:r w:rsidR="005A148E" w:rsidRPr="001D5327">
              <w:rPr>
                <w:rFonts w:cs="Calibri"/>
                <w:color w:val="000000"/>
                <w:szCs w:val="16"/>
              </w:rPr>
              <w:t>construction</w:t>
            </w:r>
            <w:r w:rsidR="008F4DF2" w:rsidRPr="001D5327">
              <w:rPr>
                <w:rFonts w:cs="Calibri"/>
                <w:color w:val="000000"/>
                <w:szCs w:val="16"/>
              </w:rPr>
              <w:t xml:space="preserve"> – </w:t>
            </w:r>
            <w:r w:rsidRPr="001D5327">
              <w:rPr>
                <w:rFonts w:cs="Calibri"/>
                <w:color w:val="000000"/>
                <w:szCs w:val="16"/>
              </w:rPr>
              <w:t xml:space="preserve">Pulp, </w:t>
            </w:r>
            <w:r w:rsidR="005A148E" w:rsidRPr="001D5327">
              <w:rPr>
                <w:rFonts w:cs="Calibri"/>
                <w:color w:val="000000"/>
                <w:szCs w:val="16"/>
              </w:rPr>
              <w:t>paper</w:t>
            </w:r>
            <w:r w:rsidRPr="001D5327">
              <w:rPr>
                <w:rFonts w:cs="Calibri"/>
                <w:color w:val="000000"/>
                <w:szCs w:val="16"/>
              </w:rPr>
              <w:t xml:space="preserve"> and </w:t>
            </w:r>
            <w:r w:rsidR="005A148E" w:rsidRPr="001D5327">
              <w:rPr>
                <w:rFonts w:cs="Calibri"/>
                <w:color w:val="000000"/>
                <w:szCs w:val="16"/>
              </w:rPr>
              <w:t>print</w:t>
            </w:r>
            <w:r w:rsidRPr="001D5327">
              <w:rPr>
                <w:rFonts w:cs="Calibri"/>
                <w:color w:val="000000"/>
                <w:szCs w:val="16"/>
              </w:rPr>
              <w:t xml:space="preserve"> Gaseous Fuels</w:t>
            </w:r>
          </w:p>
        </w:tc>
        <w:tc>
          <w:tcPr>
            <w:tcW w:w="547" w:type="dxa"/>
            <w:shd w:val="clear" w:color="auto" w:fill="auto"/>
            <w:noWrap/>
          </w:tcPr>
          <w:p w14:paraId="60657337"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2F01F36D" w14:textId="01B0BC7C" w:rsidR="00D97D6C" w:rsidRPr="001D5327" w:rsidRDefault="005A148E" w:rsidP="00B55F24">
            <w:pPr>
              <w:pStyle w:val="TableText"/>
              <w:spacing w:before="40" w:after="40"/>
              <w:rPr>
                <w:rFonts w:cs="Calibri"/>
                <w:szCs w:val="16"/>
              </w:rPr>
            </w:pPr>
            <w:r w:rsidRPr="001D5327">
              <w:rPr>
                <w:rFonts w:cs="Calibri"/>
                <w:color w:val="000000"/>
                <w:szCs w:val="16"/>
              </w:rPr>
              <w:t xml:space="preserve">L1, </w:t>
            </w:r>
            <w:r w:rsidR="00D97D6C" w:rsidRPr="001D5327">
              <w:rPr>
                <w:rFonts w:cs="Calibri"/>
                <w:color w:val="000000"/>
                <w:szCs w:val="16"/>
              </w:rPr>
              <w:t>T1</w:t>
            </w:r>
          </w:p>
        </w:tc>
      </w:tr>
      <w:tr w:rsidR="00D97D6C" w:rsidRPr="001D5327" w14:paraId="08B73F20" w14:textId="77777777" w:rsidTr="008F4DF2">
        <w:tc>
          <w:tcPr>
            <w:tcW w:w="1093" w:type="dxa"/>
            <w:shd w:val="clear" w:color="auto" w:fill="auto"/>
            <w:noWrap/>
          </w:tcPr>
          <w:p w14:paraId="6E1F49B0" w14:textId="2BDA9492" w:rsidR="00D97D6C" w:rsidRPr="001D5327" w:rsidRDefault="00D97D6C" w:rsidP="00B55F24">
            <w:pPr>
              <w:pStyle w:val="TableText"/>
              <w:spacing w:before="40" w:after="40"/>
              <w:rPr>
                <w:rFonts w:cs="Calibri"/>
                <w:szCs w:val="16"/>
              </w:rPr>
            </w:pPr>
            <w:r w:rsidRPr="001D5327">
              <w:rPr>
                <w:rFonts w:cs="Calibri"/>
                <w:color w:val="000000"/>
                <w:szCs w:val="16"/>
              </w:rPr>
              <w:t>1.A.2.d</w:t>
            </w:r>
            <w:r w:rsidR="005A148E" w:rsidRPr="001D5327">
              <w:rPr>
                <w:rFonts w:cs="Calibri"/>
                <w:color w:val="000000"/>
                <w:szCs w:val="16"/>
              </w:rPr>
              <w:t>.</w:t>
            </w:r>
          </w:p>
        </w:tc>
        <w:tc>
          <w:tcPr>
            <w:tcW w:w="5711" w:type="dxa"/>
            <w:shd w:val="clear" w:color="auto" w:fill="auto"/>
            <w:noWrap/>
          </w:tcPr>
          <w:p w14:paraId="415ACD76" w14:textId="7B4C6666" w:rsidR="00D97D6C" w:rsidRPr="001D5327" w:rsidRDefault="00D97D6C" w:rsidP="00B55F24">
            <w:pPr>
              <w:pStyle w:val="TableText"/>
              <w:spacing w:before="40" w:after="40"/>
              <w:rPr>
                <w:rFonts w:cs="Calibri"/>
                <w:szCs w:val="16"/>
              </w:rPr>
            </w:pPr>
            <w:r w:rsidRPr="001D5327">
              <w:rPr>
                <w:rFonts w:cs="Calibri"/>
                <w:color w:val="000000"/>
                <w:szCs w:val="16"/>
              </w:rPr>
              <w:t xml:space="preserve">Manufacturing </w:t>
            </w:r>
            <w:r w:rsidR="005A148E" w:rsidRPr="001D5327">
              <w:rPr>
                <w:rFonts w:cs="Calibri"/>
                <w:color w:val="000000"/>
                <w:szCs w:val="16"/>
              </w:rPr>
              <w:t>industries</w:t>
            </w:r>
            <w:r w:rsidRPr="001D5327">
              <w:rPr>
                <w:rFonts w:cs="Calibri"/>
                <w:color w:val="000000"/>
                <w:szCs w:val="16"/>
              </w:rPr>
              <w:t xml:space="preserve"> and </w:t>
            </w:r>
            <w:r w:rsidR="005A148E" w:rsidRPr="001D5327">
              <w:rPr>
                <w:rFonts w:cs="Calibri"/>
                <w:color w:val="000000"/>
                <w:szCs w:val="16"/>
              </w:rPr>
              <w:t>construction</w:t>
            </w:r>
            <w:r w:rsidR="008F4DF2" w:rsidRPr="001D5327">
              <w:rPr>
                <w:rFonts w:cs="Calibri"/>
                <w:color w:val="000000"/>
                <w:szCs w:val="16"/>
              </w:rPr>
              <w:t xml:space="preserve"> – </w:t>
            </w:r>
            <w:r w:rsidRPr="001D5327">
              <w:rPr>
                <w:rFonts w:cs="Calibri"/>
                <w:color w:val="000000"/>
                <w:szCs w:val="16"/>
              </w:rPr>
              <w:t xml:space="preserve">Pulp, </w:t>
            </w:r>
            <w:r w:rsidR="005A148E" w:rsidRPr="001D5327">
              <w:rPr>
                <w:rFonts w:cs="Calibri"/>
                <w:color w:val="000000"/>
                <w:szCs w:val="16"/>
              </w:rPr>
              <w:t>paper</w:t>
            </w:r>
            <w:r w:rsidRPr="001D5327">
              <w:rPr>
                <w:rFonts w:cs="Calibri"/>
                <w:color w:val="000000"/>
                <w:szCs w:val="16"/>
              </w:rPr>
              <w:t xml:space="preserve"> and </w:t>
            </w:r>
            <w:r w:rsidR="005A148E" w:rsidRPr="001D5327">
              <w:rPr>
                <w:rFonts w:cs="Calibri"/>
                <w:color w:val="000000"/>
                <w:szCs w:val="16"/>
              </w:rPr>
              <w:t>print</w:t>
            </w:r>
            <w:r w:rsidRPr="001D5327">
              <w:rPr>
                <w:rFonts w:cs="Calibri"/>
                <w:color w:val="000000"/>
                <w:szCs w:val="16"/>
              </w:rPr>
              <w:t xml:space="preserve"> Solid Fuels</w:t>
            </w:r>
          </w:p>
        </w:tc>
        <w:tc>
          <w:tcPr>
            <w:tcW w:w="547" w:type="dxa"/>
            <w:shd w:val="clear" w:color="auto" w:fill="auto"/>
            <w:noWrap/>
          </w:tcPr>
          <w:p w14:paraId="538910B1"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4C52348F" w14:textId="77777777" w:rsidR="00D97D6C" w:rsidRPr="001D5327" w:rsidRDefault="00D97D6C" w:rsidP="00B55F24">
            <w:pPr>
              <w:pStyle w:val="TableText"/>
              <w:spacing w:before="40" w:after="40"/>
              <w:rPr>
                <w:rFonts w:cs="Calibri"/>
                <w:szCs w:val="16"/>
              </w:rPr>
            </w:pPr>
            <w:r w:rsidRPr="001D5327">
              <w:rPr>
                <w:rFonts w:cs="Calibri"/>
                <w:color w:val="000000"/>
                <w:szCs w:val="16"/>
              </w:rPr>
              <w:t>T1</w:t>
            </w:r>
          </w:p>
        </w:tc>
      </w:tr>
      <w:tr w:rsidR="00D97D6C" w:rsidRPr="001D5327" w14:paraId="65B9AEEA" w14:textId="77777777" w:rsidTr="008F4DF2">
        <w:tc>
          <w:tcPr>
            <w:tcW w:w="1093" w:type="dxa"/>
            <w:shd w:val="clear" w:color="auto" w:fill="auto"/>
            <w:noWrap/>
          </w:tcPr>
          <w:p w14:paraId="78FD54AF" w14:textId="5E9FAFF0" w:rsidR="00D97D6C" w:rsidRPr="001D5327" w:rsidRDefault="00D97D6C" w:rsidP="00B55F24">
            <w:pPr>
              <w:pStyle w:val="TableText"/>
              <w:spacing w:before="40" w:after="40"/>
              <w:rPr>
                <w:rFonts w:cs="Calibri"/>
                <w:szCs w:val="16"/>
              </w:rPr>
            </w:pPr>
            <w:r w:rsidRPr="001D5327">
              <w:rPr>
                <w:rFonts w:cs="Calibri"/>
                <w:color w:val="000000"/>
                <w:szCs w:val="16"/>
              </w:rPr>
              <w:t>1.A.2.e</w:t>
            </w:r>
            <w:r w:rsidR="005A148E" w:rsidRPr="001D5327">
              <w:rPr>
                <w:rFonts w:cs="Calibri"/>
                <w:color w:val="000000"/>
                <w:szCs w:val="16"/>
              </w:rPr>
              <w:t>.</w:t>
            </w:r>
          </w:p>
        </w:tc>
        <w:tc>
          <w:tcPr>
            <w:tcW w:w="5711" w:type="dxa"/>
            <w:shd w:val="clear" w:color="auto" w:fill="auto"/>
            <w:noWrap/>
          </w:tcPr>
          <w:p w14:paraId="29A6C845" w14:textId="743BB63A" w:rsidR="00D97D6C" w:rsidRPr="001D5327" w:rsidRDefault="00D97D6C" w:rsidP="00B55F24">
            <w:pPr>
              <w:pStyle w:val="TableText"/>
              <w:spacing w:before="40" w:after="40"/>
              <w:rPr>
                <w:rFonts w:cs="Calibri"/>
                <w:szCs w:val="16"/>
              </w:rPr>
            </w:pPr>
            <w:r w:rsidRPr="001D5327">
              <w:rPr>
                <w:rFonts w:cs="Calibri"/>
                <w:color w:val="000000"/>
                <w:szCs w:val="16"/>
              </w:rPr>
              <w:t xml:space="preserve">Manufacturing </w:t>
            </w:r>
            <w:r w:rsidR="005A148E" w:rsidRPr="001D5327">
              <w:rPr>
                <w:rFonts w:cs="Calibri"/>
                <w:color w:val="000000"/>
                <w:szCs w:val="16"/>
              </w:rPr>
              <w:t>industries</w:t>
            </w:r>
            <w:r w:rsidRPr="001D5327">
              <w:rPr>
                <w:rFonts w:cs="Calibri"/>
                <w:color w:val="000000"/>
                <w:szCs w:val="16"/>
              </w:rPr>
              <w:t xml:space="preserve"> and </w:t>
            </w:r>
            <w:r w:rsidR="005A148E" w:rsidRPr="001D5327">
              <w:rPr>
                <w:rFonts w:cs="Calibri"/>
                <w:color w:val="000000"/>
                <w:szCs w:val="16"/>
              </w:rPr>
              <w:t>construction</w:t>
            </w:r>
            <w:r w:rsidR="008F4DF2" w:rsidRPr="001D5327">
              <w:rPr>
                <w:rFonts w:cs="Calibri"/>
                <w:color w:val="000000"/>
                <w:szCs w:val="16"/>
              </w:rPr>
              <w:t xml:space="preserve"> – </w:t>
            </w:r>
            <w:r w:rsidRPr="001D5327">
              <w:rPr>
                <w:rFonts w:cs="Calibri"/>
                <w:color w:val="000000"/>
                <w:szCs w:val="16"/>
              </w:rPr>
              <w:t xml:space="preserve">Food </w:t>
            </w:r>
            <w:r w:rsidR="005A148E" w:rsidRPr="001D5327">
              <w:rPr>
                <w:rFonts w:cs="Calibri"/>
                <w:color w:val="000000"/>
                <w:szCs w:val="16"/>
              </w:rPr>
              <w:t>processing, beverages</w:t>
            </w:r>
            <w:r w:rsidRPr="001D5327">
              <w:rPr>
                <w:rFonts w:cs="Calibri"/>
                <w:color w:val="000000"/>
                <w:szCs w:val="16"/>
              </w:rPr>
              <w:t xml:space="preserve"> and </w:t>
            </w:r>
            <w:r w:rsidR="005A148E" w:rsidRPr="001D5327">
              <w:rPr>
                <w:rFonts w:cs="Calibri"/>
                <w:color w:val="000000"/>
                <w:szCs w:val="16"/>
              </w:rPr>
              <w:t>tobacco</w:t>
            </w:r>
            <w:r w:rsidRPr="001D5327">
              <w:rPr>
                <w:rFonts w:cs="Calibri"/>
                <w:color w:val="000000"/>
                <w:szCs w:val="16"/>
              </w:rPr>
              <w:t xml:space="preserve"> Solid Fuels</w:t>
            </w:r>
          </w:p>
        </w:tc>
        <w:tc>
          <w:tcPr>
            <w:tcW w:w="547" w:type="dxa"/>
            <w:shd w:val="clear" w:color="auto" w:fill="auto"/>
            <w:noWrap/>
          </w:tcPr>
          <w:p w14:paraId="7E5DBAEE"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6CD941AE" w14:textId="77777777" w:rsidR="00D97D6C" w:rsidRPr="001D5327" w:rsidRDefault="00D97D6C" w:rsidP="00B55F24">
            <w:pPr>
              <w:pStyle w:val="TableText"/>
              <w:spacing w:before="40" w:after="40"/>
              <w:rPr>
                <w:rFonts w:cs="Calibri"/>
                <w:szCs w:val="16"/>
              </w:rPr>
            </w:pPr>
            <w:r w:rsidRPr="001D5327">
              <w:rPr>
                <w:rFonts w:cs="Calibri"/>
                <w:color w:val="000000"/>
                <w:szCs w:val="16"/>
              </w:rPr>
              <w:t>L1, T1</w:t>
            </w:r>
          </w:p>
        </w:tc>
      </w:tr>
      <w:tr w:rsidR="00D97D6C" w:rsidRPr="001D5327" w14:paraId="1881BC61" w14:textId="77777777" w:rsidTr="008F4DF2">
        <w:tc>
          <w:tcPr>
            <w:tcW w:w="1093" w:type="dxa"/>
            <w:shd w:val="clear" w:color="auto" w:fill="auto"/>
            <w:noWrap/>
          </w:tcPr>
          <w:p w14:paraId="1F7826D8" w14:textId="6A9826D8" w:rsidR="00D97D6C" w:rsidRPr="001D5327" w:rsidRDefault="00D97D6C" w:rsidP="00B55F24">
            <w:pPr>
              <w:pStyle w:val="TableText"/>
              <w:spacing w:before="40" w:after="40"/>
              <w:rPr>
                <w:rFonts w:cs="Calibri"/>
                <w:szCs w:val="16"/>
              </w:rPr>
            </w:pPr>
            <w:r w:rsidRPr="001D5327">
              <w:rPr>
                <w:rFonts w:cs="Calibri"/>
                <w:color w:val="000000"/>
                <w:szCs w:val="16"/>
              </w:rPr>
              <w:t>1.A.2.e</w:t>
            </w:r>
            <w:r w:rsidR="005A148E" w:rsidRPr="001D5327">
              <w:rPr>
                <w:rFonts w:cs="Calibri"/>
                <w:color w:val="000000"/>
                <w:szCs w:val="16"/>
              </w:rPr>
              <w:t>.</w:t>
            </w:r>
          </w:p>
        </w:tc>
        <w:tc>
          <w:tcPr>
            <w:tcW w:w="5711" w:type="dxa"/>
            <w:shd w:val="clear" w:color="auto" w:fill="auto"/>
            <w:noWrap/>
          </w:tcPr>
          <w:p w14:paraId="5F76EC28" w14:textId="48990EFA" w:rsidR="00D97D6C" w:rsidRPr="001D5327" w:rsidRDefault="00D97D6C" w:rsidP="00B55F24">
            <w:pPr>
              <w:pStyle w:val="TableText"/>
              <w:spacing w:before="40" w:after="40"/>
              <w:rPr>
                <w:rFonts w:cs="Calibri"/>
                <w:szCs w:val="16"/>
              </w:rPr>
            </w:pPr>
            <w:r w:rsidRPr="001D5327">
              <w:rPr>
                <w:rFonts w:cs="Calibri"/>
                <w:color w:val="000000"/>
                <w:szCs w:val="16"/>
              </w:rPr>
              <w:t xml:space="preserve">Manufacturing </w:t>
            </w:r>
            <w:r w:rsidR="005A148E" w:rsidRPr="001D5327">
              <w:rPr>
                <w:rFonts w:cs="Calibri"/>
                <w:color w:val="000000"/>
                <w:szCs w:val="16"/>
              </w:rPr>
              <w:t>industries</w:t>
            </w:r>
            <w:r w:rsidRPr="001D5327">
              <w:rPr>
                <w:rFonts w:cs="Calibri"/>
                <w:color w:val="000000"/>
                <w:szCs w:val="16"/>
              </w:rPr>
              <w:t xml:space="preserve"> and </w:t>
            </w:r>
            <w:r w:rsidR="005A148E" w:rsidRPr="001D5327">
              <w:rPr>
                <w:rFonts w:cs="Calibri"/>
                <w:color w:val="000000"/>
                <w:szCs w:val="16"/>
              </w:rPr>
              <w:t>construction</w:t>
            </w:r>
            <w:r w:rsidR="008F4DF2" w:rsidRPr="001D5327">
              <w:rPr>
                <w:rFonts w:cs="Calibri"/>
                <w:color w:val="000000"/>
                <w:szCs w:val="16"/>
              </w:rPr>
              <w:t xml:space="preserve"> – </w:t>
            </w:r>
            <w:r w:rsidRPr="001D5327">
              <w:rPr>
                <w:rFonts w:cs="Calibri"/>
                <w:color w:val="000000"/>
                <w:szCs w:val="16"/>
              </w:rPr>
              <w:t xml:space="preserve">Food </w:t>
            </w:r>
            <w:r w:rsidR="005A148E" w:rsidRPr="001D5327">
              <w:rPr>
                <w:rFonts w:cs="Calibri"/>
                <w:color w:val="000000"/>
                <w:szCs w:val="16"/>
              </w:rPr>
              <w:t>processing, beverages</w:t>
            </w:r>
            <w:r w:rsidRPr="001D5327">
              <w:rPr>
                <w:rFonts w:cs="Calibri"/>
                <w:color w:val="000000"/>
                <w:szCs w:val="16"/>
              </w:rPr>
              <w:t xml:space="preserve"> and </w:t>
            </w:r>
            <w:r w:rsidR="005A148E" w:rsidRPr="001D5327">
              <w:rPr>
                <w:rFonts w:cs="Calibri"/>
                <w:color w:val="000000"/>
                <w:szCs w:val="16"/>
              </w:rPr>
              <w:t>tobacco</w:t>
            </w:r>
            <w:r w:rsidRPr="001D5327">
              <w:rPr>
                <w:rFonts w:cs="Calibri"/>
                <w:color w:val="000000"/>
                <w:szCs w:val="16"/>
              </w:rPr>
              <w:t xml:space="preserve"> Gaseous Fuels</w:t>
            </w:r>
          </w:p>
        </w:tc>
        <w:tc>
          <w:tcPr>
            <w:tcW w:w="547" w:type="dxa"/>
            <w:shd w:val="clear" w:color="auto" w:fill="auto"/>
            <w:noWrap/>
          </w:tcPr>
          <w:p w14:paraId="704EA381"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13E37810" w14:textId="77777777" w:rsidR="00D97D6C" w:rsidRPr="001D5327" w:rsidRDefault="00D97D6C" w:rsidP="00B55F24">
            <w:pPr>
              <w:pStyle w:val="TableText"/>
              <w:spacing w:before="40" w:after="40"/>
              <w:rPr>
                <w:rFonts w:cs="Calibri"/>
                <w:szCs w:val="16"/>
              </w:rPr>
            </w:pPr>
            <w:r w:rsidRPr="001D5327">
              <w:rPr>
                <w:rFonts w:cs="Calibri"/>
                <w:color w:val="000000"/>
                <w:szCs w:val="16"/>
              </w:rPr>
              <w:t>L1, T1</w:t>
            </w:r>
          </w:p>
        </w:tc>
      </w:tr>
      <w:tr w:rsidR="00D97D6C" w:rsidRPr="001D5327" w14:paraId="710A1CAA" w14:textId="77777777" w:rsidTr="008F4DF2">
        <w:tc>
          <w:tcPr>
            <w:tcW w:w="1093" w:type="dxa"/>
            <w:shd w:val="clear" w:color="auto" w:fill="auto"/>
            <w:noWrap/>
          </w:tcPr>
          <w:p w14:paraId="4424A26A" w14:textId="069CA7DD" w:rsidR="00D97D6C" w:rsidRPr="001D5327" w:rsidRDefault="00D97D6C" w:rsidP="00B55F24">
            <w:pPr>
              <w:pStyle w:val="TableText"/>
              <w:spacing w:before="40" w:after="40"/>
              <w:rPr>
                <w:rFonts w:cs="Calibri"/>
                <w:szCs w:val="16"/>
              </w:rPr>
            </w:pPr>
            <w:r w:rsidRPr="001D5327">
              <w:rPr>
                <w:rFonts w:cs="Calibri"/>
                <w:color w:val="000000"/>
                <w:szCs w:val="16"/>
              </w:rPr>
              <w:t>1.A.2.e</w:t>
            </w:r>
            <w:r w:rsidR="005A148E" w:rsidRPr="001D5327">
              <w:rPr>
                <w:rFonts w:cs="Calibri"/>
                <w:color w:val="000000"/>
                <w:szCs w:val="16"/>
              </w:rPr>
              <w:t>.</w:t>
            </w:r>
          </w:p>
        </w:tc>
        <w:tc>
          <w:tcPr>
            <w:tcW w:w="5711" w:type="dxa"/>
            <w:shd w:val="clear" w:color="auto" w:fill="auto"/>
            <w:noWrap/>
          </w:tcPr>
          <w:p w14:paraId="4C7799CB" w14:textId="6753419B" w:rsidR="00D97D6C" w:rsidRPr="001D5327" w:rsidRDefault="00D97D6C" w:rsidP="00B55F24">
            <w:pPr>
              <w:pStyle w:val="TableText"/>
              <w:spacing w:before="40" w:after="40"/>
              <w:rPr>
                <w:rFonts w:cs="Calibri"/>
                <w:szCs w:val="16"/>
              </w:rPr>
            </w:pPr>
            <w:r w:rsidRPr="001D5327">
              <w:rPr>
                <w:rFonts w:cs="Calibri"/>
                <w:color w:val="000000"/>
                <w:szCs w:val="16"/>
              </w:rPr>
              <w:t xml:space="preserve">Manufacturing </w:t>
            </w:r>
            <w:r w:rsidR="005A148E" w:rsidRPr="001D5327">
              <w:rPr>
                <w:rFonts w:cs="Calibri"/>
                <w:color w:val="000000"/>
                <w:szCs w:val="16"/>
              </w:rPr>
              <w:t>industries</w:t>
            </w:r>
            <w:r w:rsidRPr="001D5327">
              <w:rPr>
                <w:rFonts w:cs="Calibri"/>
                <w:color w:val="000000"/>
                <w:szCs w:val="16"/>
              </w:rPr>
              <w:t xml:space="preserve"> and </w:t>
            </w:r>
            <w:r w:rsidR="005A148E" w:rsidRPr="001D5327">
              <w:rPr>
                <w:rFonts w:cs="Calibri"/>
                <w:color w:val="000000"/>
                <w:szCs w:val="16"/>
              </w:rPr>
              <w:t>construction</w:t>
            </w:r>
            <w:r w:rsidR="008F4DF2" w:rsidRPr="001D5327">
              <w:rPr>
                <w:rFonts w:cs="Calibri"/>
                <w:color w:val="000000"/>
                <w:szCs w:val="16"/>
              </w:rPr>
              <w:t xml:space="preserve"> – </w:t>
            </w:r>
            <w:r w:rsidRPr="001D5327">
              <w:rPr>
                <w:rFonts w:cs="Calibri"/>
                <w:color w:val="000000"/>
                <w:szCs w:val="16"/>
              </w:rPr>
              <w:t xml:space="preserve">Food </w:t>
            </w:r>
            <w:r w:rsidR="005A148E" w:rsidRPr="001D5327">
              <w:rPr>
                <w:rFonts w:cs="Calibri"/>
                <w:color w:val="000000"/>
                <w:szCs w:val="16"/>
              </w:rPr>
              <w:t>processing, beverages</w:t>
            </w:r>
            <w:r w:rsidRPr="001D5327">
              <w:rPr>
                <w:rFonts w:cs="Calibri"/>
                <w:color w:val="000000"/>
                <w:szCs w:val="16"/>
              </w:rPr>
              <w:t xml:space="preserve"> and </w:t>
            </w:r>
            <w:r w:rsidR="005A148E" w:rsidRPr="001D5327">
              <w:rPr>
                <w:rFonts w:cs="Calibri"/>
                <w:color w:val="000000"/>
                <w:szCs w:val="16"/>
              </w:rPr>
              <w:t>tobacco</w:t>
            </w:r>
            <w:r w:rsidRPr="001D5327">
              <w:rPr>
                <w:rFonts w:cs="Calibri"/>
                <w:color w:val="000000"/>
                <w:szCs w:val="16"/>
              </w:rPr>
              <w:t xml:space="preserve"> Liquid Fuels</w:t>
            </w:r>
          </w:p>
        </w:tc>
        <w:tc>
          <w:tcPr>
            <w:tcW w:w="547" w:type="dxa"/>
            <w:shd w:val="clear" w:color="auto" w:fill="auto"/>
            <w:noWrap/>
          </w:tcPr>
          <w:p w14:paraId="2353E00F"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63C754B9" w14:textId="77777777" w:rsidR="00D97D6C" w:rsidRPr="001D5327" w:rsidRDefault="00D97D6C" w:rsidP="00B55F24">
            <w:pPr>
              <w:pStyle w:val="TableText"/>
              <w:spacing w:before="40" w:after="40"/>
              <w:rPr>
                <w:rFonts w:cs="Calibri"/>
                <w:szCs w:val="16"/>
              </w:rPr>
            </w:pPr>
            <w:r w:rsidRPr="001D5327">
              <w:rPr>
                <w:rFonts w:cs="Calibri"/>
                <w:color w:val="000000"/>
                <w:szCs w:val="16"/>
              </w:rPr>
              <w:t>L1</w:t>
            </w:r>
          </w:p>
        </w:tc>
      </w:tr>
      <w:tr w:rsidR="00D97D6C" w:rsidRPr="001D5327" w14:paraId="5C0A0560" w14:textId="77777777" w:rsidTr="008F4DF2">
        <w:tc>
          <w:tcPr>
            <w:tcW w:w="1093" w:type="dxa"/>
            <w:shd w:val="clear" w:color="auto" w:fill="auto"/>
            <w:noWrap/>
          </w:tcPr>
          <w:p w14:paraId="2BFA8F55" w14:textId="22601355" w:rsidR="00D97D6C" w:rsidRPr="001D5327" w:rsidRDefault="00D97D6C" w:rsidP="00B55F24">
            <w:pPr>
              <w:pStyle w:val="TableText"/>
              <w:spacing w:before="40" w:after="40"/>
              <w:rPr>
                <w:rFonts w:cs="Calibri"/>
                <w:szCs w:val="16"/>
              </w:rPr>
            </w:pPr>
            <w:r w:rsidRPr="001D5327">
              <w:rPr>
                <w:rFonts w:cs="Calibri"/>
                <w:color w:val="000000"/>
                <w:szCs w:val="16"/>
              </w:rPr>
              <w:t>1.A.2.f</w:t>
            </w:r>
            <w:r w:rsidR="005A148E" w:rsidRPr="001D5327">
              <w:rPr>
                <w:rFonts w:cs="Calibri"/>
                <w:color w:val="000000"/>
                <w:szCs w:val="16"/>
              </w:rPr>
              <w:t>.</w:t>
            </w:r>
          </w:p>
        </w:tc>
        <w:tc>
          <w:tcPr>
            <w:tcW w:w="5711" w:type="dxa"/>
            <w:shd w:val="clear" w:color="auto" w:fill="auto"/>
            <w:noWrap/>
          </w:tcPr>
          <w:p w14:paraId="4659872C" w14:textId="6B4C9046" w:rsidR="00D97D6C" w:rsidRPr="001D5327" w:rsidRDefault="00D97D6C" w:rsidP="00B55F24">
            <w:pPr>
              <w:pStyle w:val="TableText"/>
              <w:spacing w:before="40" w:after="40"/>
              <w:rPr>
                <w:rFonts w:cs="Calibri"/>
                <w:szCs w:val="16"/>
              </w:rPr>
            </w:pPr>
            <w:r w:rsidRPr="001D5327">
              <w:rPr>
                <w:rFonts w:cs="Calibri"/>
                <w:color w:val="000000"/>
                <w:szCs w:val="16"/>
              </w:rPr>
              <w:t xml:space="preserve">Manufacturing </w:t>
            </w:r>
            <w:r w:rsidR="005A148E" w:rsidRPr="001D5327">
              <w:rPr>
                <w:rFonts w:cs="Calibri"/>
                <w:color w:val="000000"/>
                <w:szCs w:val="16"/>
              </w:rPr>
              <w:t>industries</w:t>
            </w:r>
            <w:r w:rsidRPr="001D5327">
              <w:rPr>
                <w:rFonts w:cs="Calibri"/>
                <w:color w:val="000000"/>
                <w:szCs w:val="16"/>
              </w:rPr>
              <w:t xml:space="preserve"> and </w:t>
            </w:r>
            <w:r w:rsidR="005A148E" w:rsidRPr="001D5327">
              <w:rPr>
                <w:rFonts w:cs="Calibri"/>
                <w:color w:val="000000"/>
                <w:szCs w:val="16"/>
              </w:rPr>
              <w:t>construction</w:t>
            </w:r>
            <w:r w:rsidR="008F4DF2" w:rsidRPr="001D5327">
              <w:rPr>
                <w:rFonts w:cs="Calibri"/>
                <w:color w:val="000000"/>
                <w:szCs w:val="16"/>
              </w:rPr>
              <w:t xml:space="preserve"> – </w:t>
            </w:r>
            <w:r w:rsidRPr="001D5327">
              <w:rPr>
                <w:rFonts w:cs="Calibri"/>
                <w:color w:val="000000"/>
                <w:szCs w:val="16"/>
              </w:rPr>
              <w:t xml:space="preserve">Non-metallic </w:t>
            </w:r>
            <w:r w:rsidR="005A148E" w:rsidRPr="001D5327">
              <w:rPr>
                <w:rFonts w:cs="Calibri"/>
                <w:color w:val="000000"/>
                <w:szCs w:val="16"/>
              </w:rPr>
              <w:t>minerals</w:t>
            </w:r>
            <w:r w:rsidRPr="001D5327">
              <w:rPr>
                <w:rFonts w:cs="Calibri"/>
                <w:color w:val="000000"/>
                <w:szCs w:val="16"/>
              </w:rPr>
              <w:t xml:space="preserve"> Solid Fuels</w:t>
            </w:r>
          </w:p>
        </w:tc>
        <w:tc>
          <w:tcPr>
            <w:tcW w:w="547" w:type="dxa"/>
            <w:shd w:val="clear" w:color="auto" w:fill="auto"/>
            <w:noWrap/>
          </w:tcPr>
          <w:p w14:paraId="73A36DE9"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5FBC760F" w14:textId="093AC377" w:rsidR="00D97D6C" w:rsidRPr="001D5327" w:rsidRDefault="00D97D6C" w:rsidP="00B55F24">
            <w:pPr>
              <w:pStyle w:val="TableText"/>
              <w:spacing w:before="40" w:after="40"/>
              <w:rPr>
                <w:rFonts w:cs="Calibri"/>
                <w:szCs w:val="16"/>
              </w:rPr>
            </w:pPr>
            <w:r w:rsidRPr="001D5327">
              <w:rPr>
                <w:rFonts w:cs="Calibri"/>
                <w:color w:val="000000"/>
                <w:szCs w:val="16"/>
              </w:rPr>
              <w:t>T1</w:t>
            </w:r>
          </w:p>
        </w:tc>
      </w:tr>
      <w:tr w:rsidR="00D97D6C" w:rsidRPr="001D5327" w14:paraId="6D955EEC" w14:textId="77777777" w:rsidTr="008F4DF2">
        <w:tc>
          <w:tcPr>
            <w:tcW w:w="1093" w:type="dxa"/>
            <w:shd w:val="clear" w:color="auto" w:fill="auto"/>
            <w:noWrap/>
          </w:tcPr>
          <w:p w14:paraId="077D0B3F" w14:textId="12487891" w:rsidR="00D97D6C" w:rsidRPr="001D5327" w:rsidRDefault="00D97D6C" w:rsidP="00B55F24">
            <w:pPr>
              <w:pStyle w:val="TableText"/>
              <w:spacing w:before="40" w:after="40"/>
              <w:rPr>
                <w:rFonts w:cs="Calibri"/>
                <w:szCs w:val="16"/>
              </w:rPr>
            </w:pPr>
            <w:r w:rsidRPr="001D5327">
              <w:rPr>
                <w:rFonts w:cs="Calibri"/>
                <w:color w:val="000000"/>
                <w:szCs w:val="16"/>
              </w:rPr>
              <w:t>1.A.2.g.iii</w:t>
            </w:r>
            <w:r w:rsidR="005A148E" w:rsidRPr="001D5327">
              <w:rPr>
                <w:rFonts w:cs="Calibri"/>
                <w:color w:val="000000"/>
                <w:szCs w:val="16"/>
              </w:rPr>
              <w:t>.</w:t>
            </w:r>
          </w:p>
        </w:tc>
        <w:tc>
          <w:tcPr>
            <w:tcW w:w="5711" w:type="dxa"/>
            <w:shd w:val="clear" w:color="auto" w:fill="auto"/>
            <w:noWrap/>
          </w:tcPr>
          <w:p w14:paraId="63251B6B" w14:textId="204A719F" w:rsidR="00D97D6C" w:rsidRPr="001D5327" w:rsidRDefault="00D97D6C" w:rsidP="00B55F24">
            <w:pPr>
              <w:pStyle w:val="TableText"/>
              <w:spacing w:before="40" w:after="40"/>
              <w:rPr>
                <w:rFonts w:cs="Calibri"/>
                <w:szCs w:val="16"/>
              </w:rPr>
            </w:pPr>
            <w:r w:rsidRPr="001D5327">
              <w:rPr>
                <w:rFonts w:cs="Calibri"/>
                <w:color w:val="000000"/>
                <w:szCs w:val="16"/>
              </w:rPr>
              <w:t>Other</w:t>
            </w:r>
            <w:r w:rsidR="008F4DF2" w:rsidRPr="001D5327">
              <w:rPr>
                <w:rFonts w:cs="Calibri"/>
                <w:color w:val="000000"/>
                <w:szCs w:val="16"/>
              </w:rPr>
              <w:t xml:space="preserve"> – </w:t>
            </w:r>
            <w:r w:rsidRPr="001D5327">
              <w:rPr>
                <w:rFonts w:cs="Calibri"/>
                <w:color w:val="000000"/>
                <w:szCs w:val="16"/>
              </w:rPr>
              <w:t>Mining (excluding fuels) and quarrying Liquid Fuels</w:t>
            </w:r>
          </w:p>
        </w:tc>
        <w:tc>
          <w:tcPr>
            <w:tcW w:w="547" w:type="dxa"/>
            <w:shd w:val="clear" w:color="auto" w:fill="auto"/>
            <w:noWrap/>
          </w:tcPr>
          <w:p w14:paraId="2199C62B"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2354217C" w14:textId="77777777" w:rsidR="00D97D6C" w:rsidRPr="001D5327" w:rsidRDefault="00D97D6C" w:rsidP="00B55F24">
            <w:pPr>
              <w:pStyle w:val="TableText"/>
              <w:spacing w:before="40" w:after="40"/>
              <w:rPr>
                <w:rFonts w:cs="Calibri"/>
                <w:szCs w:val="16"/>
              </w:rPr>
            </w:pPr>
            <w:r w:rsidRPr="001D5327">
              <w:rPr>
                <w:rFonts w:cs="Calibri"/>
                <w:color w:val="000000"/>
                <w:szCs w:val="16"/>
              </w:rPr>
              <w:t>L1, T1</w:t>
            </w:r>
          </w:p>
        </w:tc>
      </w:tr>
      <w:tr w:rsidR="00D97D6C" w:rsidRPr="001D5327" w14:paraId="1966A38C" w14:textId="77777777" w:rsidTr="008F4DF2">
        <w:tc>
          <w:tcPr>
            <w:tcW w:w="1093" w:type="dxa"/>
            <w:shd w:val="clear" w:color="auto" w:fill="auto"/>
            <w:noWrap/>
          </w:tcPr>
          <w:p w14:paraId="16676B83" w14:textId="3DC1CD35" w:rsidR="00D97D6C" w:rsidRPr="001D5327" w:rsidRDefault="00D97D6C" w:rsidP="00B55F24">
            <w:pPr>
              <w:pStyle w:val="TableText"/>
              <w:spacing w:before="40" w:after="40"/>
              <w:rPr>
                <w:rFonts w:cs="Calibri"/>
                <w:szCs w:val="16"/>
              </w:rPr>
            </w:pPr>
            <w:r w:rsidRPr="001D5327">
              <w:rPr>
                <w:rFonts w:cs="Calibri"/>
                <w:color w:val="000000"/>
                <w:szCs w:val="16"/>
              </w:rPr>
              <w:t>1.A.2.g.v</w:t>
            </w:r>
            <w:r w:rsidR="005A148E" w:rsidRPr="001D5327">
              <w:rPr>
                <w:rFonts w:cs="Calibri"/>
                <w:color w:val="000000"/>
                <w:szCs w:val="16"/>
              </w:rPr>
              <w:t>.</w:t>
            </w:r>
          </w:p>
        </w:tc>
        <w:tc>
          <w:tcPr>
            <w:tcW w:w="5711" w:type="dxa"/>
            <w:shd w:val="clear" w:color="auto" w:fill="auto"/>
            <w:noWrap/>
          </w:tcPr>
          <w:p w14:paraId="18944A19" w14:textId="0369ECA5" w:rsidR="00D97D6C" w:rsidRPr="001D5327" w:rsidRDefault="00D97D6C" w:rsidP="00B55F24">
            <w:pPr>
              <w:pStyle w:val="TableText"/>
              <w:spacing w:before="40" w:after="40"/>
              <w:rPr>
                <w:rFonts w:cs="Calibri"/>
                <w:szCs w:val="16"/>
              </w:rPr>
            </w:pPr>
            <w:r w:rsidRPr="001D5327">
              <w:rPr>
                <w:rFonts w:cs="Calibri"/>
                <w:color w:val="000000"/>
                <w:szCs w:val="16"/>
              </w:rPr>
              <w:t>Other</w:t>
            </w:r>
            <w:r w:rsidR="008F4DF2" w:rsidRPr="001D5327">
              <w:rPr>
                <w:rFonts w:cs="Calibri"/>
                <w:color w:val="000000"/>
                <w:szCs w:val="16"/>
              </w:rPr>
              <w:t xml:space="preserve"> – </w:t>
            </w:r>
            <w:r w:rsidRPr="001D5327">
              <w:rPr>
                <w:rFonts w:cs="Calibri"/>
                <w:color w:val="000000"/>
                <w:szCs w:val="16"/>
              </w:rPr>
              <w:t>Construction</w:t>
            </w:r>
            <w:r w:rsidR="005A148E" w:rsidRPr="001D5327">
              <w:rPr>
                <w:rFonts w:cs="Calibri"/>
                <w:color w:val="000000"/>
                <w:szCs w:val="16"/>
              </w:rPr>
              <w:t xml:space="preserve"> Liquid Fuels</w:t>
            </w:r>
          </w:p>
        </w:tc>
        <w:tc>
          <w:tcPr>
            <w:tcW w:w="547" w:type="dxa"/>
            <w:shd w:val="clear" w:color="auto" w:fill="auto"/>
            <w:noWrap/>
          </w:tcPr>
          <w:p w14:paraId="0BEB5BD4"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5F2E9713" w14:textId="77777777" w:rsidR="00D97D6C" w:rsidRPr="001D5327" w:rsidRDefault="00D97D6C" w:rsidP="00B55F24">
            <w:pPr>
              <w:pStyle w:val="TableText"/>
              <w:spacing w:before="40" w:after="40"/>
              <w:rPr>
                <w:rFonts w:cs="Calibri"/>
                <w:szCs w:val="16"/>
              </w:rPr>
            </w:pPr>
            <w:r w:rsidRPr="001D5327">
              <w:rPr>
                <w:rFonts w:cs="Calibri"/>
                <w:color w:val="000000"/>
                <w:szCs w:val="16"/>
              </w:rPr>
              <w:t>L1, T1</w:t>
            </w:r>
          </w:p>
        </w:tc>
      </w:tr>
      <w:tr w:rsidR="00D97D6C" w:rsidRPr="001D5327" w14:paraId="12C6C3D5" w14:textId="77777777" w:rsidTr="008F4DF2">
        <w:tc>
          <w:tcPr>
            <w:tcW w:w="1093" w:type="dxa"/>
            <w:shd w:val="clear" w:color="auto" w:fill="auto"/>
            <w:noWrap/>
          </w:tcPr>
          <w:p w14:paraId="119CFE11" w14:textId="424A0710" w:rsidR="00D97D6C" w:rsidRPr="001D5327" w:rsidRDefault="00D97D6C" w:rsidP="00B55F24">
            <w:pPr>
              <w:pStyle w:val="TableText"/>
              <w:spacing w:before="40" w:after="40"/>
              <w:rPr>
                <w:rFonts w:cs="Calibri"/>
                <w:szCs w:val="16"/>
              </w:rPr>
            </w:pPr>
            <w:r w:rsidRPr="001D5327">
              <w:rPr>
                <w:rFonts w:cs="Calibri"/>
                <w:color w:val="000000"/>
                <w:szCs w:val="16"/>
              </w:rPr>
              <w:t>1.A.2.g.viii</w:t>
            </w:r>
            <w:r w:rsidR="005A148E" w:rsidRPr="001D5327">
              <w:rPr>
                <w:rFonts w:cs="Calibri"/>
                <w:color w:val="000000"/>
                <w:szCs w:val="16"/>
              </w:rPr>
              <w:t>.</w:t>
            </w:r>
          </w:p>
        </w:tc>
        <w:tc>
          <w:tcPr>
            <w:tcW w:w="5711" w:type="dxa"/>
            <w:shd w:val="clear" w:color="auto" w:fill="auto"/>
            <w:noWrap/>
          </w:tcPr>
          <w:p w14:paraId="4ECB7B3C" w14:textId="7B77BD78" w:rsidR="00D97D6C" w:rsidRPr="001D5327" w:rsidRDefault="00D97D6C" w:rsidP="00B55F24">
            <w:pPr>
              <w:pStyle w:val="TableText"/>
              <w:spacing w:before="40" w:after="40"/>
              <w:rPr>
                <w:rFonts w:cs="Calibri"/>
                <w:szCs w:val="16"/>
              </w:rPr>
            </w:pPr>
            <w:r w:rsidRPr="001D5327">
              <w:rPr>
                <w:rFonts w:cs="Calibri"/>
                <w:color w:val="000000"/>
                <w:szCs w:val="16"/>
              </w:rPr>
              <w:t>Other</w:t>
            </w:r>
            <w:r w:rsidR="008F4DF2" w:rsidRPr="001D5327">
              <w:rPr>
                <w:rFonts w:cs="Calibri"/>
                <w:color w:val="000000"/>
                <w:szCs w:val="16"/>
              </w:rPr>
              <w:t xml:space="preserve"> – </w:t>
            </w:r>
            <w:r w:rsidRPr="001D5327">
              <w:rPr>
                <w:rFonts w:cs="Calibri"/>
                <w:color w:val="000000"/>
                <w:szCs w:val="16"/>
              </w:rPr>
              <w:t>Other (please specify) Liquid Fuels</w:t>
            </w:r>
          </w:p>
        </w:tc>
        <w:tc>
          <w:tcPr>
            <w:tcW w:w="547" w:type="dxa"/>
            <w:shd w:val="clear" w:color="auto" w:fill="auto"/>
            <w:noWrap/>
          </w:tcPr>
          <w:p w14:paraId="6F439B50"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0FAA4932" w14:textId="77777777" w:rsidR="00D97D6C" w:rsidRPr="001D5327" w:rsidRDefault="00D97D6C" w:rsidP="00B55F24">
            <w:pPr>
              <w:pStyle w:val="TableText"/>
              <w:spacing w:before="40" w:after="40"/>
              <w:rPr>
                <w:rFonts w:cs="Calibri"/>
                <w:szCs w:val="16"/>
              </w:rPr>
            </w:pPr>
            <w:r w:rsidRPr="001D5327">
              <w:rPr>
                <w:rFonts w:cs="Calibri"/>
                <w:color w:val="000000"/>
                <w:szCs w:val="16"/>
              </w:rPr>
              <w:t>L1, T1</w:t>
            </w:r>
          </w:p>
        </w:tc>
      </w:tr>
      <w:tr w:rsidR="00D97D6C" w:rsidRPr="001D5327" w14:paraId="297FE442" w14:textId="77777777" w:rsidTr="008F4DF2">
        <w:tc>
          <w:tcPr>
            <w:tcW w:w="1093" w:type="dxa"/>
            <w:shd w:val="clear" w:color="auto" w:fill="auto"/>
            <w:noWrap/>
          </w:tcPr>
          <w:p w14:paraId="6E536C7C" w14:textId="28BE4BD7" w:rsidR="00D97D6C" w:rsidRPr="001D5327" w:rsidRDefault="00D97D6C" w:rsidP="00B55F24">
            <w:pPr>
              <w:pStyle w:val="TableText"/>
              <w:spacing w:before="40" w:after="40"/>
              <w:rPr>
                <w:rFonts w:cs="Calibri"/>
                <w:szCs w:val="16"/>
              </w:rPr>
            </w:pPr>
            <w:r w:rsidRPr="001D5327">
              <w:rPr>
                <w:rFonts w:cs="Calibri"/>
                <w:color w:val="000000"/>
                <w:szCs w:val="16"/>
              </w:rPr>
              <w:t>1.A.2.g.viii</w:t>
            </w:r>
            <w:r w:rsidR="005A148E" w:rsidRPr="001D5327">
              <w:rPr>
                <w:rFonts w:cs="Calibri"/>
                <w:color w:val="000000"/>
                <w:szCs w:val="16"/>
              </w:rPr>
              <w:t>.</w:t>
            </w:r>
          </w:p>
        </w:tc>
        <w:tc>
          <w:tcPr>
            <w:tcW w:w="5711" w:type="dxa"/>
            <w:shd w:val="clear" w:color="auto" w:fill="auto"/>
            <w:noWrap/>
          </w:tcPr>
          <w:p w14:paraId="1175D466" w14:textId="6AC7A602" w:rsidR="00D97D6C" w:rsidRPr="001D5327" w:rsidRDefault="00D97D6C" w:rsidP="00B55F24">
            <w:pPr>
              <w:pStyle w:val="TableText"/>
              <w:spacing w:before="40" w:after="40"/>
              <w:rPr>
                <w:rFonts w:cs="Calibri"/>
                <w:szCs w:val="16"/>
              </w:rPr>
            </w:pPr>
            <w:r w:rsidRPr="001D5327">
              <w:rPr>
                <w:rFonts w:cs="Calibri"/>
                <w:color w:val="000000"/>
                <w:szCs w:val="16"/>
              </w:rPr>
              <w:t>Other</w:t>
            </w:r>
            <w:r w:rsidR="008F4DF2" w:rsidRPr="001D5327">
              <w:rPr>
                <w:rFonts w:cs="Calibri"/>
                <w:color w:val="000000"/>
                <w:szCs w:val="16"/>
              </w:rPr>
              <w:t xml:space="preserve"> – </w:t>
            </w:r>
            <w:r w:rsidRPr="001D5327">
              <w:rPr>
                <w:rFonts w:cs="Calibri"/>
                <w:color w:val="000000"/>
                <w:szCs w:val="16"/>
              </w:rPr>
              <w:t>Other (please specify) Solid Fuels</w:t>
            </w:r>
          </w:p>
        </w:tc>
        <w:tc>
          <w:tcPr>
            <w:tcW w:w="547" w:type="dxa"/>
            <w:shd w:val="clear" w:color="auto" w:fill="auto"/>
            <w:noWrap/>
          </w:tcPr>
          <w:p w14:paraId="70621090"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7D225766" w14:textId="77777777" w:rsidR="00D97D6C" w:rsidRPr="001D5327" w:rsidRDefault="00D97D6C" w:rsidP="00B55F24">
            <w:pPr>
              <w:pStyle w:val="TableText"/>
              <w:spacing w:before="40" w:after="40"/>
              <w:rPr>
                <w:rFonts w:cs="Calibri"/>
                <w:szCs w:val="16"/>
              </w:rPr>
            </w:pPr>
            <w:r w:rsidRPr="001D5327">
              <w:rPr>
                <w:rFonts w:cs="Calibri"/>
                <w:color w:val="000000"/>
                <w:szCs w:val="16"/>
              </w:rPr>
              <w:t>T1</w:t>
            </w:r>
          </w:p>
        </w:tc>
      </w:tr>
      <w:tr w:rsidR="00D97D6C" w:rsidRPr="001D5327" w14:paraId="21E27559" w14:textId="77777777" w:rsidTr="008F4DF2">
        <w:tc>
          <w:tcPr>
            <w:tcW w:w="1093" w:type="dxa"/>
            <w:shd w:val="clear" w:color="auto" w:fill="auto"/>
            <w:noWrap/>
          </w:tcPr>
          <w:p w14:paraId="2A6489BA" w14:textId="6F1C1B8F" w:rsidR="00D97D6C" w:rsidRPr="001D5327" w:rsidRDefault="00D97D6C" w:rsidP="00B55F24">
            <w:pPr>
              <w:pStyle w:val="TableText"/>
              <w:spacing w:before="40" w:after="40"/>
              <w:rPr>
                <w:rFonts w:cs="Calibri"/>
                <w:szCs w:val="16"/>
              </w:rPr>
            </w:pPr>
            <w:r w:rsidRPr="001D5327">
              <w:rPr>
                <w:rFonts w:cs="Calibri"/>
                <w:color w:val="000000"/>
                <w:szCs w:val="16"/>
              </w:rPr>
              <w:t>1.A.3.a</w:t>
            </w:r>
            <w:r w:rsidR="005A148E" w:rsidRPr="001D5327">
              <w:rPr>
                <w:rFonts w:cs="Calibri"/>
                <w:color w:val="000000"/>
                <w:szCs w:val="16"/>
              </w:rPr>
              <w:t>.</w:t>
            </w:r>
          </w:p>
        </w:tc>
        <w:tc>
          <w:tcPr>
            <w:tcW w:w="5711" w:type="dxa"/>
            <w:shd w:val="clear" w:color="auto" w:fill="auto"/>
            <w:noWrap/>
          </w:tcPr>
          <w:p w14:paraId="6E045E90" w14:textId="7AD97974" w:rsidR="00D97D6C" w:rsidRPr="001D5327" w:rsidRDefault="00D97D6C" w:rsidP="00B55F24">
            <w:pPr>
              <w:pStyle w:val="TableText"/>
              <w:spacing w:before="40" w:after="40"/>
              <w:rPr>
                <w:rFonts w:cs="Calibri"/>
                <w:szCs w:val="16"/>
              </w:rPr>
            </w:pPr>
            <w:r w:rsidRPr="001D5327">
              <w:rPr>
                <w:rFonts w:cs="Calibri"/>
                <w:color w:val="000000"/>
                <w:szCs w:val="16"/>
              </w:rPr>
              <w:t xml:space="preserve">Domestic </w:t>
            </w:r>
            <w:r w:rsidR="005A148E" w:rsidRPr="001D5327">
              <w:rPr>
                <w:rFonts w:cs="Calibri"/>
                <w:color w:val="000000"/>
                <w:szCs w:val="16"/>
              </w:rPr>
              <w:t>aviation</w:t>
            </w:r>
            <w:r w:rsidR="008F4DF2" w:rsidRPr="001D5327">
              <w:rPr>
                <w:rFonts w:cs="Calibri"/>
                <w:color w:val="000000"/>
                <w:szCs w:val="16"/>
              </w:rPr>
              <w:t xml:space="preserve"> – </w:t>
            </w:r>
            <w:r w:rsidRPr="001D5327">
              <w:rPr>
                <w:rFonts w:cs="Calibri"/>
                <w:color w:val="000000"/>
                <w:szCs w:val="16"/>
              </w:rPr>
              <w:t xml:space="preserve">Jet </w:t>
            </w:r>
            <w:r w:rsidR="005A148E" w:rsidRPr="001D5327">
              <w:rPr>
                <w:rFonts w:cs="Calibri"/>
                <w:color w:val="000000"/>
                <w:szCs w:val="16"/>
              </w:rPr>
              <w:t>kerosene</w:t>
            </w:r>
          </w:p>
        </w:tc>
        <w:tc>
          <w:tcPr>
            <w:tcW w:w="547" w:type="dxa"/>
            <w:shd w:val="clear" w:color="auto" w:fill="auto"/>
            <w:noWrap/>
          </w:tcPr>
          <w:p w14:paraId="38ACAAC8"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532086DC" w14:textId="77777777" w:rsidR="00D97D6C" w:rsidRPr="001D5327" w:rsidRDefault="00D97D6C" w:rsidP="00B55F24">
            <w:pPr>
              <w:pStyle w:val="TableText"/>
              <w:spacing w:before="40" w:after="40"/>
              <w:rPr>
                <w:rFonts w:cs="Calibri"/>
                <w:szCs w:val="16"/>
              </w:rPr>
            </w:pPr>
            <w:r w:rsidRPr="001D5327">
              <w:rPr>
                <w:rFonts w:cs="Calibri"/>
                <w:color w:val="000000"/>
                <w:szCs w:val="16"/>
              </w:rPr>
              <w:t>L1, T1</w:t>
            </w:r>
          </w:p>
        </w:tc>
      </w:tr>
      <w:tr w:rsidR="00D97D6C" w:rsidRPr="001D5327" w14:paraId="1BE31C8A" w14:textId="77777777" w:rsidTr="008F4DF2">
        <w:tc>
          <w:tcPr>
            <w:tcW w:w="1093" w:type="dxa"/>
            <w:shd w:val="clear" w:color="auto" w:fill="auto"/>
            <w:noWrap/>
          </w:tcPr>
          <w:p w14:paraId="07BC9F7E" w14:textId="5119749B" w:rsidR="00D97D6C" w:rsidRPr="001D5327" w:rsidRDefault="00D97D6C" w:rsidP="00B55F24">
            <w:pPr>
              <w:pStyle w:val="TableText"/>
              <w:spacing w:before="40" w:after="40"/>
              <w:rPr>
                <w:rFonts w:cs="Calibri"/>
                <w:szCs w:val="16"/>
              </w:rPr>
            </w:pPr>
            <w:r w:rsidRPr="001D5327">
              <w:rPr>
                <w:rFonts w:cs="Calibri"/>
                <w:color w:val="000000"/>
                <w:szCs w:val="16"/>
              </w:rPr>
              <w:t>1.A.3.b</w:t>
            </w:r>
            <w:r w:rsidR="005A148E" w:rsidRPr="001D5327">
              <w:rPr>
                <w:rFonts w:cs="Calibri"/>
                <w:color w:val="000000"/>
                <w:szCs w:val="16"/>
              </w:rPr>
              <w:t>.</w:t>
            </w:r>
          </w:p>
        </w:tc>
        <w:tc>
          <w:tcPr>
            <w:tcW w:w="5711" w:type="dxa"/>
            <w:shd w:val="clear" w:color="auto" w:fill="auto"/>
            <w:noWrap/>
          </w:tcPr>
          <w:p w14:paraId="6A3F552D" w14:textId="419F3E79" w:rsidR="00D97D6C" w:rsidRPr="001D5327" w:rsidRDefault="00D97D6C" w:rsidP="00B55F24">
            <w:pPr>
              <w:pStyle w:val="TableText"/>
              <w:spacing w:before="40" w:after="40"/>
              <w:rPr>
                <w:rFonts w:cs="Calibri"/>
                <w:szCs w:val="16"/>
              </w:rPr>
            </w:pPr>
            <w:r w:rsidRPr="001D5327">
              <w:rPr>
                <w:rFonts w:cs="Calibri"/>
                <w:color w:val="000000"/>
                <w:szCs w:val="16"/>
              </w:rPr>
              <w:t>Transport</w:t>
            </w:r>
            <w:r w:rsidR="008F4DF2" w:rsidRPr="001D5327">
              <w:rPr>
                <w:rFonts w:cs="Calibri"/>
                <w:color w:val="000000"/>
                <w:szCs w:val="16"/>
              </w:rPr>
              <w:t xml:space="preserve"> – </w:t>
            </w:r>
            <w:r w:rsidRPr="001D5327">
              <w:rPr>
                <w:rFonts w:cs="Calibri"/>
                <w:color w:val="000000"/>
                <w:szCs w:val="16"/>
              </w:rPr>
              <w:t xml:space="preserve">Road </w:t>
            </w:r>
            <w:r w:rsidR="005A148E" w:rsidRPr="001D5327">
              <w:rPr>
                <w:rFonts w:cs="Calibri"/>
                <w:color w:val="000000"/>
                <w:szCs w:val="16"/>
              </w:rPr>
              <w:t>transportation</w:t>
            </w:r>
            <w:r w:rsidRPr="001D5327">
              <w:rPr>
                <w:rFonts w:cs="Calibri"/>
                <w:color w:val="000000"/>
                <w:szCs w:val="16"/>
              </w:rPr>
              <w:t xml:space="preserve"> Liquid Fuels</w:t>
            </w:r>
          </w:p>
        </w:tc>
        <w:tc>
          <w:tcPr>
            <w:tcW w:w="547" w:type="dxa"/>
            <w:shd w:val="clear" w:color="auto" w:fill="auto"/>
            <w:noWrap/>
          </w:tcPr>
          <w:p w14:paraId="1AB3863A"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7431219B" w14:textId="77777777" w:rsidR="00D97D6C" w:rsidRPr="001D5327" w:rsidRDefault="00D97D6C" w:rsidP="00B55F24">
            <w:pPr>
              <w:pStyle w:val="TableText"/>
              <w:spacing w:before="40" w:after="40"/>
              <w:rPr>
                <w:rFonts w:cs="Calibri"/>
                <w:szCs w:val="16"/>
              </w:rPr>
            </w:pPr>
            <w:r w:rsidRPr="001D5327">
              <w:rPr>
                <w:rFonts w:cs="Calibri"/>
                <w:color w:val="000000"/>
                <w:szCs w:val="16"/>
              </w:rPr>
              <w:t>L1, T1</w:t>
            </w:r>
          </w:p>
        </w:tc>
      </w:tr>
      <w:tr w:rsidR="00D97D6C" w:rsidRPr="001D5327" w14:paraId="1CE4221E" w14:textId="77777777" w:rsidTr="008F4DF2">
        <w:tc>
          <w:tcPr>
            <w:tcW w:w="1093" w:type="dxa"/>
            <w:shd w:val="clear" w:color="auto" w:fill="auto"/>
            <w:noWrap/>
          </w:tcPr>
          <w:p w14:paraId="72CA9CE4" w14:textId="0BEB094D" w:rsidR="00D97D6C" w:rsidRPr="001D5327" w:rsidRDefault="00D97D6C" w:rsidP="00B55F24">
            <w:pPr>
              <w:pStyle w:val="TableText"/>
              <w:spacing w:before="40" w:after="40"/>
              <w:rPr>
                <w:rFonts w:cs="Calibri"/>
                <w:szCs w:val="16"/>
              </w:rPr>
            </w:pPr>
            <w:r w:rsidRPr="001D5327">
              <w:rPr>
                <w:rFonts w:cs="Calibri"/>
                <w:color w:val="000000"/>
                <w:szCs w:val="16"/>
              </w:rPr>
              <w:t>1.A.3.b</w:t>
            </w:r>
            <w:r w:rsidR="005A148E" w:rsidRPr="001D5327">
              <w:rPr>
                <w:rFonts w:cs="Calibri"/>
                <w:color w:val="000000"/>
                <w:szCs w:val="16"/>
              </w:rPr>
              <w:t>.</w:t>
            </w:r>
          </w:p>
        </w:tc>
        <w:tc>
          <w:tcPr>
            <w:tcW w:w="5711" w:type="dxa"/>
            <w:shd w:val="clear" w:color="auto" w:fill="auto"/>
            <w:noWrap/>
          </w:tcPr>
          <w:p w14:paraId="61F1D0F6" w14:textId="66097176" w:rsidR="00D97D6C" w:rsidRPr="001D5327" w:rsidRDefault="00D97D6C" w:rsidP="00B55F24">
            <w:pPr>
              <w:pStyle w:val="TableText"/>
              <w:spacing w:before="40" w:after="40"/>
              <w:rPr>
                <w:rFonts w:cs="Calibri"/>
                <w:szCs w:val="16"/>
              </w:rPr>
            </w:pPr>
            <w:r w:rsidRPr="001D5327">
              <w:rPr>
                <w:rFonts w:cs="Calibri"/>
                <w:color w:val="000000"/>
                <w:szCs w:val="16"/>
              </w:rPr>
              <w:t>Transport</w:t>
            </w:r>
            <w:r w:rsidR="008F4DF2" w:rsidRPr="001D5327">
              <w:rPr>
                <w:rFonts w:cs="Calibri"/>
                <w:color w:val="000000"/>
                <w:szCs w:val="16"/>
              </w:rPr>
              <w:t xml:space="preserve"> – </w:t>
            </w:r>
            <w:r w:rsidRPr="001D5327">
              <w:rPr>
                <w:rFonts w:cs="Calibri"/>
                <w:color w:val="000000"/>
                <w:szCs w:val="16"/>
              </w:rPr>
              <w:t xml:space="preserve">Road </w:t>
            </w:r>
            <w:r w:rsidR="005A148E" w:rsidRPr="001D5327">
              <w:rPr>
                <w:rFonts w:cs="Calibri"/>
                <w:color w:val="000000"/>
                <w:szCs w:val="16"/>
              </w:rPr>
              <w:t>transportation</w:t>
            </w:r>
            <w:r w:rsidRPr="001D5327">
              <w:rPr>
                <w:rFonts w:cs="Calibri"/>
                <w:color w:val="000000"/>
                <w:szCs w:val="16"/>
              </w:rPr>
              <w:t xml:space="preserve"> Gaseous Fuels</w:t>
            </w:r>
          </w:p>
        </w:tc>
        <w:tc>
          <w:tcPr>
            <w:tcW w:w="547" w:type="dxa"/>
            <w:shd w:val="clear" w:color="auto" w:fill="auto"/>
            <w:noWrap/>
          </w:tcPr>
          <w:p w14:paraId="14EA4A35"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7B2D88C0" w14:textId="77777777" w:rsidR="00D97D6C" w:rsidRPr="001D5327" w:rsidRDefault="00D97D6C" w:rsidP="00B55F24">
            <w:pPr>
              <w:pStyle w:val="TableText"/>
              <w:spacing w:before="40" w:after="40"/>
              <w:rPr>
                <w:rFonts w:cs="Calibri"/>
                <w:szCs w:val="16"/>
              </w:rPr>
            </w:pPr>
            <w:r w:rsidRPr="001D5327">
              <w:rPr>
                <w:rFonts w:cs="Calibri"/>
                <w:color w:val="000000"/>
                <w:szCs w:val="16"/>
              </w:rPr>
              <w:t>T1</w:t>
            </w:r>
          </w:p>
        </w:tc>
      </w:tr>
      <w:tr w:rsidR="00D97D6C" w:rsidRPr="001D5327" w14:paraId="35B81BEB" w14:textId="77777777" w:rsidTr="008F4DF2">
        <w:tc>
          <w:tcPr>
            <w:tcW w:w="1093" w:type="dxa"/>
            <w:shd w:val="clear" w:color="auto" w:fill="auto"/>
            <w:noWrap/>
          </w:tcPr>
          <w:p w14:paraId="76FD8FD1" w14:textId="32547362" w:rsidR="00D97D6C" w:rsidRPr="001D5327" w:rsidRDefault="00D97D6C" w:rsidP="00B55F24">
            <w:pPr>
              <w:pStyle w:val="TableText"/>
              <w:spacing w:before="40" w:after="40"/>
              <w:rPr>
                <w:rFonts w:cs="Calibri"/>
                <w:szCs w:val="16"/>
              </w:rPr>
            </w:pPr>
            <w:r w:rsidRPr="001D5327">
              <w:rPr>
                <w:rFonts w:cs="Calibri"/>
                <w:color w:val="000000"/>
                <w:szCs w:val="16"/>
              </w:rPr>
              <w:t>1.A.3.d</w:t>
            </w:r>
            <w:r w:rsidR="005A148E" w:rsidRPr="001D5327">
              <w:rPr>
                <w:rFonts w:cs="Calibri"/>
                <w:color w:val="000000"/>
                <w:szCs w:val="16"/>
              </w:rPr>
              <w:t>.</w:t>
            </w:r>
          </w:p>
        </w:tc>
        <w:tc>
          <w:tcPr>
            <w:tcW w:w="5711" w:type="dxa"/>
            <w:shd w:val="clear" w:color="auto" w:fill="auto"/>
            <w:noWrap/>
          </w:tcPr>
          <w:p w14:paraId="78834A98" w14:textId="6722BA6D" w:rsidR="00D97D6C" w:rsidRPr="001D5327" w:rsidRDefault="00D97D6C" w:rsidP="00B55F24">
            <w:pPr>
              <w:pStyle w:val="TableText"/>
              <w:spacing w:before="40" w:after="40"/>
              <w:rPr>
                <w:rFonts w:cs="Calibri"/>
                <w:szCs w:val="16"/>
              </w:rPr>
            </w:pPr>
            <w:r w:rsidRPr="001D5327">
              <w:rPr>
                <w:rFonts w:cs="Calibri"/>
                <w:color w:val="000000"/>
                <w:szCs w:val="16"/>
              </w:rPr>
              <w:t xml:space="preserve">Domestic </w:t>
            </w:r>
            <w:r w:rsidR="005A148E" w:rsidRPr="001D5327">
              <w:rPr>
                <w:rFonts w:cs="Calibri"/>
                <w:color w:val="000000"/>
                <w:szCs w:val="16"/>
              </w:rPr>
              <w:t>navigation</w:t>
            </w:r>
            <w:r w:rsidR="008F4DF2" w:rsidRPr="001D5327">
              <w:rPr>
                <w:rFonts w:cs="Calibri"/>
                <w:color w:val="000000"/>
                <w:szCs w:val="16"/>
              </w:rPr>
              <w:t xml:space="preserve"> – </w:t>
            </w:r>
            <w:r w:rsidRPr="001D5327">
              <w:rPr>
                <w:rFonts w:cs="Calibri"/>
                <w:color w:val="000000"/>
                <w:szCs w:val="16"/>
              </w:rPr>
              <w:t xml:space="preserve">Residual </w:t>
            </w:r>
            <w:r w:rsidR="005A148E" w:rsidRPr="001D5327">
              <w:rPr>
                <w:rFonts w:cs="Calibri"/>
                <w:color w:val="000000"/>
                <w:szCs w:val="16"/>
              </w:rPr>
              <w:t>fuel oil</w:t>
            </w:r>
          </w:p>
        </w:tc>
        <w:tc>
          <w:tcPr>
            <w:tcW w:w="547" w:type="dxa"/>
            <w:shd w:val="clear" w:color="auto" w:fill="auto"/>
            <w:noWrap/>
          </w:tcPr>
          <w:p w14:paraId="5FD1AB38"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09A262E2" w14:textId="77777777" w:rsidR="00D97D6C" w:rsidRPr="001D5327" w:rsidRDefault="00D97D6C" w:rsidP="00B55F24">
            <w:pPr>
              <w:pStyle w:val="TableText"/>
              <w:spacing w:before="40" w:after="40"/>
              <w:rPr>
                <w:rFonts w:cs="Calibri"/>
                <w:szCs w:val="16"/>
              </w:rPr>
            </w:pPr>
            <w:r w:rsidRPr="001D5327">
              <w:rPr>
                <w:rFonts w:cs="Calibri"/>
                <w:color w:val="000000"/>
                <w:szCs w:val="16"/>
              </w:rPr>
              <w:t>T1</w:t>
            </w:r>
          </w:p>
        </w:tc>
      </w:tr>
      <w:tr w:rsidR="00D97D6C" w:rsidRPr="001D5327" w14:paraId="6FF85DB9" w14:textId="77777777" w:rsidTr="008F4DF2">
        <w:tc>
          <w:tcPr>
            <w:tcW w:w="1093" w:type="dxa"/>
            <w:shd w:val="clear" w:color="auto" w:fill="auto"/>
            <w:noWrap/>
          </w:tcPr>
          <w:p w14:paraId="7313D977" w14:textId="431EA093" w:rsidR="00D97D6C" w:rsidRPr="001D5327" w:rsidRDefault="00D97D6C" w:rsidP="00B55F24">
            <w:pPr>
              <w:pStyle w:val="TableText"/>
              <w:spacing w:before="40" w:after="40"/>
              <w:rPr>
                <w:rFonts w:cs="Calibri"/>
                <w:szCs w:val="16"/>
              </w:rPr>
            </w:pPr>
            <w:r w:rsidRPr="001D5327">
              <w:rPr>
                <w:rFonts w:cs="Calibri"/>
                <w:color w:val="000000"/>
                <w:szCs w:val="16"/>
              </w:rPr>
              <w:t>1.A.4.a</w:t>
            </w:r>
            <w:r w:rsidR="005A148E" w:rsidRPr="001D5327">
              <w:rPr>
                <w:rFonts w:cs="Calibri"/>
                <w:color w:val="000000"/>
                <w:szCs w:val="16"/>
              </w:rPr>
              <w:t>.</w:t>
            </w:r>
          </w:p>
        </w:tc>
        <w:tc>
          <w:tcPr>
            <w:tcW w:w="5711" w:type="dxa"/>
            <w:shd w:val="clear" w:color="auto" w:fill="auto"/>
            <w:noWrap/>
          </w:tcPr>
          <w:p w14:paraId="5B8A94ED" w14:textId="300237EF" w:rsidR="00D97D6C" w:rsidRPr="001D5327" w:rsidRDefault="00D97D6C" w:rsidP="00B55F24">
            <w:pPr>
              <w:pStyle w:val="TableText"/>
              <w:spacing w:before="40" w:after="40"/>
              <w:rPr>
                <w:rFonts w:cs="Calibri"/>
                <w:szCs w:val="16"/>
              </w:rPr>
            </w:pPr>
            <w:r w:rsidRPr="001D5327">
              <w:rPr>
                <w:rFonts w:cs="Calibri"/>
                <w:color w:val="000000"/>
                <w:szCs w:val="16"/>
              </w:rPr>
              <w:t xml:space="preserve">Other </w:t>
            </w:r>
            <w:r w:rsidR="005A148E" w:rsidRPr="001D5327">
              <w:rPr>
                <w:rFonts w:cs="Calibri"/>
                <w:color w:val="000000"/>
                <w:szCs w:val="16"/>
              </w:rPr>
              <w:t>sectors</w:t>
            </w:r>
            <w:r w:rsidR="008F4DF2" w:rsidRPr="001D5327">
              <w:rPr>
                <w:rFonts w:cs="Calibri"/>
                <w:color w:val="000000"/>
                <w:szCs w:val="16"/>
              </w:rPr>
              <w:t xml:space="preserve"> – </w:t>
            </w:r>
            <w:r w:rsidRPr="001D5327">
              <w:rPr>
                <w:rFonts w:cs="Calibri"/>
                <w:color w:val="000000"/>
                <w:szCs w:val="16"/>
              </w:rPr>
              <w:t>Commercial/</w:t>
            </w:r>
            <w:r w:rsidR="005A148E" w:rsidRPr="001D5327">
              <w:rPr>
                <w:rFonts w:cs="Calibri"/>
                <w:color w:val="000000"/>
                <w:szCs w:val="16"/>
              </w:rPr>
              <w:t>institutional</w:t>
            </w:r>
            <w:r w:rsidRPr="001D5327">
              <w:rPr>
                <w:rFonts w:cs="Calibri"/>
                <w:color w:val="000000"/>
                <w:szCs w:val="16"/>
              </w:rPr>
              <w:t xml:space="preserve"> Liquid Fuels</w:t>
            </w:r>
          </w:p>
        </w:tc>
        <w:tc>
          <w:tcPr>
            <w:tcW w:w="547" w:type="dxa"/>
            <w:shd w:val="clear" w:color="auto" w:fill="auto"/>
            <w:noWrap/>
          </w:tcPr>
          <w:p w14:paraId="6E803B1C"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48689A68" w14:textId="77777777" w:rsidR="00D97D6C" w:rsidRPr="001D5327" w:rsidRDefault="00D97D6C" w:rsidP="00B55F24">
            <w:pPr>
              <w:pStyle w:val="TableText"/>
              <w:spacing w:before="40" w:after="40"/>
              <w:rPr>
                <w:rFonts w:cs="Calibri"/>
                <w:szCs w:val="16"/>
              </w:rPr>
            </w:pPr>
            <w:r w:rsidRPr="001D5327">
              <w:rPr>
                <w:rFonts w:cs="Calibri"/>
                <w:color w:val="000000"/>
                <w:szCs w:val="16"/>
              </w:rPr>
              <w:t>L1, T1</w:t>
            </w:r>
          </w:p>
        </w:tc>
      </w:tr>
      <w:tr w:rsidR="00D97D6C" w:rsidRPr="001D5327" w14:paraId="78E42279" w14:textId="77777777" w:rsidTr="008F4DF2">
        <w:tc>
          <w:tcPr>
            <w:tcW w:w="1093" w:type="dxa"/>
            <w:shd w:val="clear" w:color="auto" w:fill="auto"/>
            <w:noWrap/>
          </w:tcPr>
          <w:p w14:paraId="26306929" w14:textId="6B876C08" w:rsidR="00D97D6C" w:rsidRPr="001D5327" w:rsidRDefault="00D97D6C" w:rsidP="00B55F24">
            <w:pPr>
              <w:pStyle w:val="TableText"/>
              <w:spacing w:before="40" w:after="40"/>
              <w:rPr>
                <w:rFonts w:cs="Calibri"/>
                <w:szCs w:val="16"/>
              </w:rPr>
            </w:pPr>
            <w:r w:rsidRPr="001D5327">
              <w:rPr>
                <w:rFonts w:cs="Calibri"/>
                <w:color w:val="000000"/>
                <w:szCs w:val="16"/>
              </w:rPr>
              <w:t>1.A.4.a</w:t>
            </w:r>
            <w:r w:rsidR="005A148E" w:rsidRPr="001D5327">
              <w:rPr>
                <w:rFonts w:cs="Calibri"/>
                <w:color w:val="000000"/>
                <w:szCs w:val="16"/>
              </w:rPr>
              <w:t>.</w:t>
            </w:r>
          </w:p>
        </w:tc>
        <w:tc>
          <w:tcPr>
            <w:tcW w:w="5711" w:type="dxa"/>
            <w:shd w:val="clear" w:color="auto" w:fill="auto"/>
            <w:noWrap/>
          </w:tcPr>
          <w:p w14:paraId="2A3F138D" w14:textId="11BEA410" w:rsidR="00D97D6C" w:rsidRPr="001D5327" w:rsidRDefault="00D97D6C" w:rsidP="00B55F24">
            <w:pPr>
              <w:pStyle w:val="TableText"/>
              <w:spacing w:before="40" w:after="40"/>
              <w:rPr>
                <w:rFonts w:cs="Calibri"/>
                <w:szCs w:val="16"/>
              </w:rPr>
            </w:pPr>
            <w:r w:rsidRPr="001D5327">
              <w:rPr>
                <w:rFonts w:cs="Calibri"/>
                <w:color w:val="000000"/>
                <w:szCs w:val="16"/>
              </w:rPr>
              <w:t xml:space="preserve">Other </w:t>
            </w:r>
            <w:r w:rsidR="005A148E" w:rsidRPr="001D5327">
              <w:rPr>
                <w:rFonts w:cs="Calibri"/>
                <w:color w:val="000000"/>
                <w:szCs w:val="16"/>
              </w:rPr>
              <w:t>sectors</w:t>
            </w:r>
            <w:r w:rsidR="008F4DF2" w:rsidRPr="001D5327">
              <w:rPr>
                <w:rFonts w:cs="Calibri"/>
                <w:color w:val="000000"/>
                <w:szCs w:val="16"/>
              </w:rPr>
              <w:t xml:space="preserve"> – </w:t>
            </w:r>
            <w:r w:rsidRPr="001D5327">
              <w:rPr>
                <w:rFonts w:cs="Calibri"/>
                <w:color w:val="000000"/>
                <w:szCs w:val="16"/>
              </w:rPr>
              <w:t>Commercial/</w:t>
            </w:r>
            <w:r w:rsidR="005A148E" w:rsidRPr="001D5327">
              <w:rPr>
                <w:rFonts w:cs="Calibri"/>
                <w:color w:val="000000"/>
                <w:szCs w:val="16"/>
              </w:rPr>
              <w:t>institutional</w:t>
            </w:r>
            <w:r w:rsidRPr="001D5327">
              <w:rPr>
                <w:rFonts w:cs="Calibri"/>
                <w:color w:val="000000"/>
                <w:szCs w:val="16"/>
              </w:rPr>
              <w:t xml:space="preserve"> Gaseous Fuels</w:t>
            </w:r>
          </w:p>
        </w:tc>
        <w:tc>
          <w:tcPr>
            <w:tcW w:w="547" w:type="dxa"/>
            <w:shd w:val="clear" w:color="auto" w:fill="auto"/>
            <w:noWrap/>
          </w:tcPr>
          <w:p w14:paraId="50DDD0E7"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68A40F19" w14:textId="77777777" w:rsidR="00D97D6C" w:rsidRPr="001D5327" w:rsidRDefault="00D97D6C" w:rsidP="00B55F24">
            <w:pPr>
              <w:pStyle w:val="TableText"/>
              <w:spacing w:before="40" w:after="40"/>
              <w:rPr>
                <w:rFonts w:cs="Calibri"/>
                <w:szCs w:val="16"/>
              </w:rPr>
            </w:pPr>
            <w:r w:rsidRPr="001D5327">
              <w:rPr>
                <w:rFonts w:cs="Calibri"/>
                <w:color w:val="000000"/>
                <w:szCs w:val="16"/>
              </w:rPr>
              <w:t>L1, T1</w:t>
            </w:r>
          </w:p>
        </w:tc>
      </w:tr>
      <w:tr w:rsidR="00D97D6C" w:rsidRPr="001D5327" w14:paraId="6B2D4987" w14:textId="77777777" w:rsidTr="008F4DF2">
        <w:tc>
          <w:tcPr>
            <w:tcW w:w="1093" w:type="dxa"/>
            <w:shd w:val="clear" w:color="auto" w:fill="auto"/>
            <w:noWrap/>
          </w:tcPr>
          <w:p w14:paraId="630B677A" w14:textId="08E18CDB" w:rsidR="00D97D6C" w:rsidRPr="001D5327" w:rsidRDefault="00D97D6C" w:rsidP="00B55F24">
            <w:pPr>
              <w:pStyle w:val="TableText"/>
              <w:spacing w:before="40" w:after="40"/>
              <w:rPr>
                <w:rFonts w:cs="Calibri"/>
                <w:szCs w:val="16"/>
              </w:rPr>
            </w:pPr>
            <w:r w:rsidRPr="001D5327">
              <w:rPr>
                <w:rFonts w:cs="Calibri"/>
                <w:color w:val="000000"/>
                <w:szCs w:val="16"/>
              </w:rPr>
              <w:t>1.A.4.a</w:t>
            </w:r>
            <w:r w:rsidR="005A148E" w:rsidRPr="001D5327">
              <w:rPr>
                <w:rFonts w:cs="Calibri"/>
                <w:color w:val="000000"/>
                <w:szCs w:val="16"/>
              </w:rPr>
              <w:t>.</w:t>
            </w:r>
          </w:p>
        </w:tc>
        <w:tc>
          <w:tcPr>
            <w:tcW w:w="5711" w:type="dxa"/>
            <w:shd w:val="clear" w:color="auto" w:fill="auto"/>
            <w:noWrap/>
          </w:tcPr>
          <w:p w14:paraId="478DA656" w14:textId="38ECCBF5" w:rsidR="00D97D6C" w:rsidRPr="001D5327" w:rsidRDefault="00D97D6C" w:rsidP="00B55F24">
            <w:pPr>
              <w:pStyle w:val="TableText"/>
              <w:spacing w:before="40" w:after="40"/>
              <w:rPr>
                <w:rFonts w:cs="Calibri"/>
                <w:szCs w:val="16"/>
              </w:rPr>
            </w:pPr>
            <w:r w:rsidRPr="001D5327">
              <w:rPr>
                <w:rFonts w:cs="Calibri"/>
                <w:color w:val="000000"/>
                <w:szCs w:val="16"/>
              </w:rPr>
              <w:t xml:space="preserve">Other </w:t>
            </w:r>
            <w:r w:rsidR="005A148E" w:rsidRPr="001D5327">
              <w:rPr>
                <w:rFonts w:cs="Calibri"/>
                <w:color w:val="000000"/>
                <w:szCs w:val="16"/>
              </w:rPr>
              <w:t>sectors</w:t>
            </w:r>
            <w:r w:rsidR="008F4DF2" w:rsidRPr="001D5327">
              <w:rPr>
                <w:rFonts w:cs="Calibri"/>
                <w:color w:val="000000"/>
                <w:szCs w:val="16"/>
              </w:rPr>
              <w:t xml:space="preserve"> – </w:t>
            </w:r>
            <w:r w:rsidRPr="001D5327">
              <w:rPr>
                <w:rFonts w:cs="Calibri"/>
                <w:color w:val="000000"/>
                <w:szCs w:val="16"/>
              </w:rPr>
              <w:t>Commercial/</w:t>
            </w:r>
            <w:r w:rsidR="005A148E" w:rsidRPr="001D5327">
              <w:rPr>
                <w:rFonts w:cs="Calibri"/>
                <w:color w:val="000000"/>
                <w:szCs w:val="16"/>
              </w:rPr>
              <w:t>institutional</w:t>
            </w:r>
            <w:r w:rsidRPr="001D5327">
              <w:rPr>
                <w:rFonts w:cs="Calibri"/>
                <w:color w:val="000000"/>
                <w:szCs w:val="16"/>
              </w:rPr>
              <w:t xml:space="preserve"> Solid Fuels</w:t>
            </w:r>
          </w:p>
        </w:tc>
        <w:tc>
          <w:tcPr>
            <w:tcW w:w="547" w:type="dxa"/>
            <w:shd w:val="clear" w:color="auto" w:fill="auto"/>
            <w:noWrap/>
          </w:tcPr>
          <w:p w14:paraId="2033041D"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6031A254" w14:textId="77777777" w:rsidR="00D97D6C" w:rsidRPr="001D5327" w:rsidRDefault="00D97D6C" w:rsidP="00B55F24">
            <w:pPr>
              <w:pStyle w:val="TableText"/>
              <w:spacing w:before="40" w:after="40"/>
              <w:rPr>
                <w:rFonts w:cs="Calibri"/>
                <w:szCs w:val="16"/>
              </w:rPr>
            </w:pPr>
            <w:r w:rsidRPr="001D5327">
              <w:rPr>
                <w:rFonts w:cs="Calibri"/>
                <w:color w:val="000000"/>
                <w:szCs w:val="16"/>
              </w:rPr>
              <w:t>T1</w:t>
            </w:r>
          </w:p>
        </w:tc>
      </w:tr>
      <w:tr w:rsidR="00D97D6C" w:rsidRPr="001D5327" w14:paraId="64ABCF39" w14:textId="77777777" w:rsidTr="008F4DF2">
        <w:tc>
          <w:tcPr>
            <w:tcW w:w="1093" w:type="dxa"/>
            <w:shd w:val="clear" w:color="auto" w:fill="auto"/>
            <w:noWrap/>
          </w:tcPr>
          <w:p w14:paraId="436AB827" w14:textId="4FF4B49D" w:rsidR="00D97D6C" w:rsidRPr="001D5327" w:rsidRDefault="00D97D6C" w:rsidP="00B55F24">
            <w:pPr>
              <w:pStyle w:val="TableText"/>
              <w:spacing w:before="40" w:after="40"/>
              <w:rPr>
                <w:rFonts w:cs="Calibri"/>
                <w:szCs w:val="16"/>
              </w:rPr>
            </w:pPr>
            <w:r w:rsidRPr="001D5327">
              <w:rPr>
                <w:rFonts w:cs="Calibri"/>
                <w:color w:val="000000"/>
                <w:szCs w:val="16"/>
              </w:rPr>
              <w:t>1.A.4.b</w:t>
            </w:r>
            <w:r w:rsidR="005A148E" w:rsidRPr="001D5327">
              <w:rPr>
                <w:rFonts w:cs="Calibri"/>
                <w:color w:val="000000"/>
                <w:szCs w:val="16"/>
              </w:rPr>
              <w:t>.</w:t>
            </w:r>
          </w:p>
        </w:tc>
        <w:tc>
          <w:tcPr>
            <w:tcW w:w="5711" w:type="dxa"/>
            <w:shd w:val="clear" w:color="auto" w:fill="auto"/>
            <w:noWrap/>
          </w:tcPr>
          <w:p w14:paraId="70279099" w14:textId="50A0BFE8" w:rsidR="00D97D6C" w:rsidRPr="001D5327" w:rsidRDefault="00D97D6C" w:rsidP="00B55F24">
            <w:pPr>
              <w:pStyle w:val="TableText"/>
              <w:spacing w:before="40" w:after="40"/>
              <w:rPr>
                <w:rFonts w:cs="Calibri"/>
                <w:szCs w:val="16"/>
              </w:rPr>
            </w:pPr>
            <w:r w:rsidRPr="001D5327">
              <w:rPr>
                <w:rFonts w:cs="Calibri"/>
                <w:color w:val="000000"/>
                <w:szCs w:val="16"/>
              </w:rPr>
              <w:t xml:space="preserve">Other </w:t>
            </w:r>
            <w:r w:rsidR="005A148E" w:rsidRPr="001D5327">
              <w:rPr>
                <w:rFonts w:cs="Calibri"/>
                <w:color w:val="000000"/>
                <w:szCs w:val="16"/>
              </w:rPr>
              <w:t>sectors</w:t>
            </w:r>
            <w:r w:rsidR="008F4DF2" w:rsidRPr="001D5327">
              <w:rPr>
                <w:rFonts w:cs="Calibri"/>
                <w:color w:val="000000"/>
                <w:szCs w:val="16"/>
              </w:rPr>
              <w:t xml:space="preserve"> – </w:t>
            </w:r>
            <w:r w:rsidRPr="001D5327">
              <w:rPr>
                <w:rFonts w:cs="Calibri"/>
                <w:color w:val="000000"/>
                <w:szCs w:val="16"/>
              </w:rPr>
              <w:t>Residential Liquid Fuels</w:t>
            </w:r>
          </w:p>
        </w:tc>
        <w:tc>
          <w:tcPr>
            <w:tcW w:w="547" w:type="dxa"/>
            <w:shd w:val="clear" w:color="auto" w:fill="auto"/>
            <w:noWrap/>
          </w:tcPr>
          <w:p w14:paraId="38E33505"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7F75C8F8" w14:textId="77777777" w:rsidR="00D97D6C" w:rsidRPr="001D5327" w:rsidRDefault="00D97D6C" w:rsidP="00B55F24">
            <w:pPr>
              <w:pStyle w:val="TableText"/>
              <w:spacing w:before="40" w:after="40"/>
              <w:rPr>
                <w:rFonts w:cs="Calibri"/>
                <w:szCs w:val="16"/>
              </w:rPr>
            </w:pPr>
            <w:r w:rsidRPr="001D5327">
              <w:rPr>
                <w:rFonts w:cs="Calibri"/>
                <w:color w:val="000000"/>
                <w:szCs w:val="16"/>
              </w:rPr>
              <w:t>L1, T1</w:t>
            </w:r>
          </w:p>
        </w:tc>
      </w:tr>
      <w:tr w:rsidR="00D97D6C" w:rsidRPr="001D5327" w14:paraId="6F694CCE" w14:textId="77777777" w:rsidTr="008F4DF2">
        <w:tc>
          <w:tcPr>
            <w:tcW w:w="1093" w:type="dxa"/>
            <w:shd w:val="clear" w:color="auto" w:fill="auto"/>
            <w:noWrap/>
          </w:tcPr>
          <w:p w14:paraId="2E39A4BC" w14:textId="43C2E887" w:rsidR="00D97D6C" w:rsidRPr="001D5327" w:rsidRDefault="00D97D6C" w:rsidP="00B55F24">
            <w:pPr>
              <w:pStyle w:val="TableText"/>
              <w:spacing w:before="40" w:after="40"/>
              <w:rPr>
                <w:rFonts w:cs="Calibri"/>
                <w:szCs w:val="16"/>
              </w:rPr>
            </w:pPr>
            <w:r w:rsidRPr="001D5327">
              <w:rPr>
                <w:rFonts w:cs="Calibri"/>
                <w:color w:val="000000"/>
                <w:szCs w:val="16"/>
              </w:rPr>
              <w:t>1.A.4.b</w:t>
            </w:r>
            <w:r w:rsidR="005A148E" w:rsidRPr="001D5327">
              <w:rPr>
                <w:rFonts w:cs="Calibri"/>
                <w:color w:val="000000"/>
                <w:szCs w:val="16"/>
              </w:rPr>
              <w:t>.</w:t>
            </w:r>
          </w:p>
        </w:tc>
        <w:tc>
          <w:tcPr>
            <w:tcW w:w="5711" w:type="dxa"/>
            <w:shd w:val="clear" w:color="auto" w:fill="auto"/>
            <w:noWrap/>
          </w:tcPr>
          <w:p w14:paraId="747190C4" w14:textId="0ACB3FC3" w:rsidR="00D97D6C" w:rsidRPr="001D5327" w:rsidRDefault="00D97D6C" w:rsidP="00B55F24">
            <w:pPr>
              <w:pStyle w:val="TableText"/>
              <w:spacing w:before="40" w:after="40"/>
              <w:rPr>
                <w:rFonts w:cs="Calibri"/>
                <w:szCs w:val="16"/>
              </w:rPr>
            </w:pPr>
            <w:r w:rsidRPr="001D5327">
              <w:rPr>
                <w:rFonts w:cs="Calibri"/>
                <w:color w:val="000000"/>
                <w:szCs w:val="16"/>
              </w:rPr>
              <w:t xml:space="preserve">Other </w:t>
            </w:r>
            <w:r w:rsidR="005A148E" w:rsidRPr="001D5327">
              <w:rPr>
                <w:rFonts w:cs="Calibri"/>
                <w:color w:val="000000"/>
                <w:szCs w:val="16"/>
              </w:rPr>
              <w:t>sectors</w:t>
            </w:r>
            <w:r w:rsidR="008F4DF2" w:rsidRPr="001D5327">
              <w:rPr>
                <w:rFonts w:cs="Calibri"/>
                <w:color w:val="000000"/>
                <w:szCs w:val="16"/>
              </w:rPr>
              <w:t xml:space="preserve"> – </w:t>
            </w:r>
            <w:r w:rsidRPr="001D5327">
              <w:rPr>
                <w:rFonts w:cs="Calibri"/>
                <w:color w:val="000000"/>
                <w:szCs w:val="16"/>
              </w:rPr>
              <w:t>Residential Gaseous Fuels</w:t>
            </w:r>
          </w:p>
        </w:tc>
        <w:tc>
          <w:tcPr>
            <w:tcW w:w="547" w:type="dxa"/>
            <w:shd w:val="clear" w:color="auto" w:fill="auto"/>
            <w:noWrap/>
          </w:tcPr>
          <w:p w14:paraId="43CBB28D"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788DB518" w14:textId="77777777" w:rsidR="00D97D6C" w:rsidRPr="001D5327" w:rsidRDefault="00D97D6C" w:rsidP="00B55F24">
            <w:pPr>
              <w:pStyle w:val="TableText"/>
              <w:spacing w:before="40" w:after="40"/>
              <w:rPr>
                <w:rFonts w:cs="Calibri"/>
                <w:szCs w:val="16"/>
              </w:rPr>
            </w:pPr>
            <w:r w:rsidRPr="001D5327">
              <w:rPr>
                <w:rFonts w:cs="Calibri"/>
                <w:color w:val="000000"/>
                <w:szCs w:val="16"/>
              </w:rPr>
              <w:t>L1, T1</w:t>
            </w:r>
          </w:p>
        </w:tc>
      </w:tr>
      <w:tr w:rsidR="00D97D6C" w:rsidRPr="001D5327" w14:paraId="6FBA1810" w14:textId="77777777" w:rsidTr="008F4DF2">
        <w:tc>
          <w:tcPr>
            <w:tcW w:w="1093" w:type="dxa"/>
            <w:shd w:val="clear" w:color="auto" w:fill="auto"/>
            <w:noWrap/>
          </w:tcPr>
          <w:p w14:paraId="35B47B0A" w14:textId="10C5CB2F" w:rsidR="00D97D6C" w:rsidRPr="001D5327" w:rsidRDefault="00D97D6C" w:rsidP="00B55F24">
            <w:pPr>
              <w:pStyle w:val="TableText"/>
              <w:spacing w:before="40" w:after="40"/>
              <w:rPr>
                <w:rFonts w:cs="Calibri"/>
                <w:szCs w:val="16"/>
              </w:rPr>
            </w:pPr>
            <w:r w:rsidRPr="001D5327">
              <w:rPr>
                <w:rFonts w:cs="Calibri"/>
                <w:color w:val="000000"/>
                <w:szCs w:val="16"/>
              </w:rPr>
              <w:t>1.A.4.b</w:t>
            </w:r>
            <w:r w:rsidR="005A148E" w:rsidRPr="001D5327">
              <w:rPr>
                <w:rFonts w:cs="Calibri"/>
                <w:color w:val="000000"/>
                <w:szCs w:val="16"/>
              </w:rPr>
              <w:t>.</w:t>
            </w:r>
          </w:p>
        </w:tc>
        <w:tc>
          <w:tcPr>
            <w:tcW w:w="5711" w:type="dxa"/>
            <w:shd w:val="clear" w:color="auto" w:fill="auto"/>
            <w:noWrap/>
          </w:tcPr>
          <w:p w14:paraId="67E10061" w14:textId="3BC658D6" w:rsidR="00D97D6C" w:rsidRPr="001D5327" w:rsidRDefault="00D97D6C" w:rsidP="00B55F24">
            <w:pPr>
              <w:pStyle w:val="TableText"/>
              <w:spacing w:before="40" w:after="40"/>
              <w:rPr>
                <w:rFonts w:cs="Calibri"/>
                <w:szCs w:val="16"/>
              </w:rPr>
            </w:pPr>
            <w:r w:rsidRPr="001D5327">
              <w:rPr>
                <w:rFonts w:cs="Calibri"/>
                <w:color w:val="000000"/>
                <w:szCs w:val="16"/>
              </w:rPr>
              <w:t xml:space="preserve">Other </w:t>
            </w:r>
            <w:r w:rsidR="005A148E" w:rsidRPr="001D5327">
              <w:rPr>
                <w:rFonts w:cs="Calibri"/>
                <w:color w:val="000000"/>
                <w:szCs w:val="16"/>
              </w:rPr>
              <w:t>sectors</w:t>
            </w:r>
            <w:r w:rsidR="008F4DF2" w:rsidRPr="001D5327">
              <w:rPr>
                <w:rFonts w:cs="Calibri"/>
                <w:color w:val="000000"/>
                <w:szCs w:val="16"/>
              </w:rPr>
              <w:t xml:space="preserve"> – </w:t>
            </w:r>
            <w:r w:rsidRPr="001D5327">
              <w:rPr>
                <w:rFonts w:cs="Calibri"/>
                <w:color w:val="000000"/>
                <w:szCs w:val="16"/>
              </w:rPr>
              <w:t>Residential Solid Fuels</w:t>
            </w:r>
          </w:p>
        </w:tc>
        <w:tc>
          <w:tcPr>
            <w:tcW w:w="547" w:type="dxa"/>
            <w:shd w:val="clear" w:color="auto" w:fill="auto"/>
            <w:noWrap/>
          </w:tcPr>
          <w:p w14:paraId="3DD86999"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3257DCB0" w14:textId="77777777" w:rsidR="00D97D6C" w:rsidRPr="001D5327" w:rsidRDefault="00D97D6C" w:rsidP="00B55F24">
            <w:pPr>
              <w:pStyle w:val="TableText"/>
              <w:spacing w:before="40" w:after="40"/>
              <w:rPr>
                <w:rFonts w:cs="Calibri"/>
                <w:szCs w:val="16"/>
              </w:rPr>
            </w:pPr>
            <w:r w:rsidRPr="001D5327">
              <w:rPr>
                <w:rFonts w:cs="Calibri"/>
                <w:color w:val="000000"/>
                <w:szCs w:val="16"/>
              </w:rPr>
              <w:t>T1</w:t>
            </w:r>
          </w:p>
        </w:tc>
      </w:tr>
      <w:tr w:rsidR="00D97D6C" w:rsidRPr="001D5327" w14:paraId="76E38E8E" w14:textId="77777777" w:rsidTr="008F4DF2">
        <w:tc>
          <w:tcPr>
            <w:tcW w:w="1093" w:type="dxa"/>
            <w:shd w:val="clear" w:color="auto" w:fill="auto"/>
            <w:noWrap/>
          </w:tcPr>
          <w:p w14:paraId="513A0CA1" w14:textId="4C5FA5AB" w:rsidR="00D97D6C" w:rsidRPr="001D5327" w:rsidRDefault="00D97D6C" w:rsidP="00B55F24">
            <w:pPr>
              <w:pStyle w:val="TableText"/>
              <w:spacing w:before="40" w:after="40"/>
              <w:rPr>
                <w:rFonts w:cs="Calibri"/>
                <w:szCs w:val="16"/>
              </w:rPr>
            </w:pPr>
            <w:r w:rsidRPr="001D5327">
              <w:rPr>
                <w:rFonts w:cs="Calibri"/>
                <w:color w:val="000000"/>
                <w:szCs w:val="16"/>
              </w:rPr>
              <w:lastRenderedPageBreak/>
              <w:t>1.A.4.c</w:t>
            </w:r>
            <w:r w:rsidR="005A148E" w:rsidRPr="001D5327">
              <w:rPr>
                <w:rFonts w:cs="Calibri"/>
                <w:color w:val="000000"/>
                <w:szCs w:val="16"/>
              </w:rPr>
              <w:t>.</w:t>
            </w:r>
          </w:p>
        </w:tc>
        <w:tc>
          <w:tcPr>
            <w:tcW w:w="5711" w:type="dxa"/>
            <w:shd w:val="clear" w:color="auto" w:fill="auto"/>
            <w:noWrap/>
          </w:tcPr>
          <w:p w14:paraId="3B036F34" w14:textId="2CD5881C" w:rsidR="00D97D6C" w:rsidRPr="001D5327" w:rsidRDefault="00D97D6C" w:rsidP="00B55F24">
            <w:pPr>
              <w:pStyle w:val="TableText"/>
              <w:spacing w:before="40" w:after="40"/>
              <w:rPr>
                <w:rFonts w:cs="Calibri"/>
                <w:szCs w:val="16"/>
              </w:rPr>
            </w:pPr>
            <w:r w:rsidRPr="001D5327">
              <w:rPr>
                <w:rFonts w:cs="Calibri"/>
                <w:color w:val="000000"/>
                <w:szCs w:val="16"/>
              </w:rPr>
              <w:t xml:space="preserve">Other </w:t>
            </w:r>
            <w:r w:rsidR="005A148E" w:rsidRPr="001D5327">
              <w:rPr>
                <w:rFonts w:cs="Calibri"/>
                <w:color w:val="000000"/>
                <w:szCs w:val="16"/>
              </w:rPr>
              <w:t>sectors</w:t>
            </w:r>
            <w:r w:rsidR="008F4DF2" w:rsidRPr="001D5327">
              <w:rPr>
                <w:rFonts w:cs="Calibri"/>
                <w:color w:val="000000"/>
                <w:szCs w:val="16"/>
              </w:rPr>
              <w:t xml:space="preserve"> – </w:t>
            </w:r>
            <w:r w:rsidRPr="001D5327">
              <w:rPr>
                <w:rFonts w:cs="Calibri"/>
                <w:color w:val="000000"/>
                <w:szCs w:val="16"/>
              </w:rPr>
              <w:t>Agriculture/</w:t>
            </w:r>
            <w:r w:rsidR="005A148E" w:rsidRPr="001D5327">
              <w:rPr>
                <w:rFonts w:cs="Calibri"/>
                <w:color w:val="000000"/>
                <w:szCs w:val="16"/>
              </w:rPr>
              <w:t>forestry/fishing</w:t>
            </w:r>
            <w:r w:rsidRPr="001D5327">
              <w:rPr>
                <w:rFonts w:cs="Calibri"/>
                <w:color w:val="000000"/>
                <w:szCs w:val="16"/>
              </w:rPr>
              <w:t xml:space="preserve"> Liquid Fuels</w:t>
            </w:r>
          </w:p>
        </w:tc>
        <w:tc>
          <w:tcPr>
            <w:tcW w:w="547" w:type="dxa"/>
            <w:shd w:val="clear" w:color="auto" w:fill="auto"/>
            <w:noWrap/>
          </w:tcPr>
          <w:p w14:paraId="0DCDFB41"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322CAC87" w14:textId="77777777" w:rsidR="00D97D6C" w:rsidRPr="001D5327" w:rsidRDefault="00D97D6C" w:rsidP="00B55F24">
            <w:pPr>
              <w:pStyle w:val="TableText"/>
              <w:spacing w:before="40" w:after="40"/>
              <w:rPr>
                <w:rFonts w:cs="Calibri"/>
                <w:szCs w:val="16"/>
              </w:rPr>
            </w:pPr>
            <w:r w:rsidRPr="001D5327">
              <w:rPr>
                <w:rFonts w:cs="Calibri"/>
                <w:color w:val="000000"/>
                <w:szCs w:val="16"/>
              </w:rPr>
              <w:t>L1, T1</w:t>
            </w:r>
          </w:p>
        </w:tc>
      </w:tr>
      <w:tr w:rsidR="00D97D6C" w:rsidRPr="001D5327" w14:paraId="26F54456" w14:textId="77777777" w:rsidTr="008F4DF2">
        <w:tc>
          <w:tcPr>
            <w:tcW w:w="1093" w:type="dxa"/>
            <w:shd w:val="clear" w:color="auto" w:fill="auto"/>
            <w:noWrap/>
          </w:tcPr>
          <w:p w14:paraId="12E0E3C9" w14:textId="3E75B2FF" w:rsidR="00D97D6C" w:rsidRPr="001D5327" w:rsidRDefault="00D97D6C" w:rsidP="00B55F24">
            <w:pPr>
              <w:pStyle w:val="TableText"/>
              <w:spacing w:before="40" w:after="40"/>
              <w:rPr>
                <w:rFonts w:cs="Calibri"/>
                <w:szCs w:val="16"/>
              </w:rPr>
            </w:pPr>
            <w:r w:rsidRPr="001D5327">
              <w:rPr>
                <w:rFonts w:cs="Calibri"/>
                <w:color w:val="000000"/>
                <w:szCs w:val="16"/>
              </w:rPr>
              <w:t>1.A.4.c</w:t>
            </w:r>
            <w:r w:rsidR="005A148E" w:rsidRPr="001D5327">
              <w:rPr>
                <w:rFonts w:cs="Calibri"/>
                <w:color w:val="000000"/>
                <w:szCs w:val="16"/>
              </w:rPr>
              <w:t>.</w:t>
            </w:r>
          </w:p>
        </w:tc>
        <w:tc>
          <w:tcPr>
            <w:tcW w:w="5711" w:type="dxa"/>
            <w:shd w:val="clear" w:color="auto" w:fill="auto"/>
            <w:noWrap/>
          </w:tcPr>
          <w:p w14:paraId="588F55C8" w14:textId="47F135F4" w:rsidR="00D97D6C" w:rsidRPr="001D5327" w:rsidRDefault="00D97D6C" w:rsidP="00B55F24">
            <w:pPr>
              <w:pStyle w:val="TableText"/>
              <w:spacing w:before="40" w:after="40"/>
              <w:rPr>
                <w:rFonts w:cs="Calibri"/>
                <w:szCs w:val="16"/>
              </w:rPr>
            </w:pPr>
            <w:r w:rsidRPr="001D5327">
              <w:rPr>
                <w:rFonts w:cs="Calibri"/>
                <w:color w:val="000000"/>
                <w:szCs w:val="16"/>
              </w:rPr>
              <w:t xml:space="preserve">Other </w:t>
            </w:r>
            <w:r w:rsidR="005A148E" w:rsidRPr="001D5327">
              <w:rPr>
                <w:rFonts w:cs="Calibri"/>
                <w:color w:val="000000"/>
                <w:szCs w:val="16"/>
              </w:rPr>
              <w:t>sectors</w:t>
            </w:r>
            <w:r w:rsidR="008F4DF2" w:rsidRPr="001D5327">
              <w:rPr>
                <w:rFonts w:cs="Calibri"/>
                <w:color w:val="000000"/>
                <w:szCs w:val="16"/>
              </w:rPr>
              <w:t xml:space="preserve"> – </w:t>
            </w:r>
            <w:r w:rsidRPr="001D5327">
              <w:rPr>
                <w:rFonts w:cs="Calibri"/>
                <w:color w:val="000000"/>
                <w:szCs w:val="16"/>
              </w:rPr>
              <w:t>Agriculture/</w:t>
            </w:r>
            <w:r w:rsidR="005A148E" w:rsidRPr="001D5327">
              <w:rPr>
                <w:rFonts w:cs="Calibri"/>
                <w:color w:val="000000"/>
                <w:szCs w:val="16"/>
              </w:rPr>
              <w:t>forestry/fishing</w:t>
            </w:r>
            <w:r w:rsidRPr="001D5327">
              <w:rPr>
                <w:rFonts w:cs="Calibri"/>
                <w:color w:val="000000"/>
                <w:szCs w:val="16"/>
              </w:rPr>
              <w:t xml:space="preserve"> Solid Fuels</w:t>
            </w:r>
          </w:p>
        </w:tc>
        <w:tc>
          <w:tcPr>
            <w:tcW w:w="547" w:type="dxa"/>
            <w:shd w:val="clear" w:color="auto" w:fill="auto"/>
            <w:noWrap/>
          </w:tcPr>
          <w:p w14:paraId="0DDAC99A"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1D74DAA9" w14:textId="77777777" w:rsidR="00D97D6C" w:rsidRPr="001D5327" w:rsidRDefault="00D97D6C" w:rsidP="00B55F24">
            <w:pPr>
              <w:pStyle w:val="TableText"/>
              <w:spacing w:before="40" w:after="40"/>
              <w:rPr>
                <w:rFonts w:cs="Calibri"/>
                <w:szCs w:val="16"/>
              </w:rPr>
            </w:pPr>
            <w:r w:rsidRPr="001D5327">
              <w:rPr>
                <w:rFonts w:cs="Calibri"/>
                <w:color w:val="000000"/>
                <w:szCs w:val="16"/>
              </w:rPr>
              <w:t>T1</w:t>
            </w:r>
          </w:p>
        </w:tc>
      </w:tr>
      <w:tr w:rsidR="00D97D6C" w:rsidRPr="001D5327" w14:paraId="0FD55C24" w14:textId="77777777" w:rsidTr="008F4DF2">
        <w:tc>
          <w:tcPr>
            <w:tcW w:w="1093" w:type="dxa"/>
            <w:shd w:val="clear" w:color="auto" w:fill="auto"/>
            <w:noWrap/>
          </w:tcPr>
          <w:p w14:paraId="2A4B60E6" w14:textId="756516C3" w:rsidR="00D97D6C" w:rsidRPr="001D5327" w:rsidRDefault="00D97D6C" w:rsidP="00B55F24">
            <w:pPr>
              <w:pStyle w:val="TableText"/>
              <w:spacing w:before="40" w:after="40"/>
              <w:rPr>
                <w:rFonts w:cs="Calibri"/>
                <w:szCs w:val="16"/>
              </w:rPr>
            </w:pPr>
            <w:r w:rsidRPr="001D5327">
              <w:rPr>
                <w:rFonts w:cs="Calibri"/>
                <w:color w:val="000000"/>
                <w:szCs w:val="16"/>
              </w:rPr>
              <w:t>1.B.1.a.</w:t>
            </w:r>
            <w:r w:rsidR="005A148E" w:rsidRPr="001D5327">
              <w:rPr>
                <w:rFonts w:cs="Calibri"/>
                <w:color w:val="000000"/>
                <w:szCs w:val="16"/>
              </w:rPr>
              <w:t>i.</w:t>
            </w:r>
          </w:p>
        </w:tc>
        <w:tc>
          <w:tcPr>
            <w:tcW w:w="5711" w:type="dxa"/>
            <w:shd w:val="clear" w:color="auto" w:fill="auto"/>
            <w:noWrap/>
          </w:tcPr>
          <w:p w14:paraId="28D1203D" w14:textId="6D01E2F9" w:rsidR="00D97D6C" w:rsidRPr="001D5327" w:rsidRDefault="00D97D6C" w:rsidP="00B55F24">
            <w:pPr>
              <w:pStyle w:val="TableText"/>
              <w:spacing w:before="40" w:after="40"/>
              <w:rPr>
                <w:rFonts w:cs="Calibri"/>
                <w:szCs w:val="16"/>
              </w:rPr>
            </w:pPr>
            <w:r w:rsidRPr="001D5327">
              <w:rPr>
                <w:rFonts w:cs="Calibri"/>
                <w:color w:val="000000"/>
                <w:szCs w:val="16"/>
              </w:rPr>
              <w:t xml:space="preserve">Coal </w:t>
            </w:r>
            <w:r w:rsidR="005A148E" w:rsidRPr="001D5327">
              <w:rPr>
                <w:rFonts w:cs="Calibri"/>
                <w:color w:val="000000"/>
                <w:szCs w:val="16"/>
              </w:rPr>
              <w:t>mining</w:t>
            </w:r>
            <w:r w:rsidRPr="001D5327">
              <w:rPr>
                <w:rFonts w:cs="Calibri"/>
                <w:color w:val="000000"/>
                <w:szCs w:val="16"/>
              </w:rPr>
              <w:t xml:space="preserve"> and </w:t>
            </w:r>
            <w:r w:rsidR="005A148E" w:rsidRPr="001D5327">
              <w:rPr>
                <w:rFonts w:cs="Calibri"/>
                <w:color w:val="000000"/>
                <w:szCs w:val="16"/>
              </w:rPr>
              <w:t>handling</w:t>
            </w:r>
            <w:r w:rsidR="008F4DF2" w:rsidRPr="001D5327">
              <w:rPr>
                <w:rFonts w:cs="Calibri"/>
                <w:color w:val="000000"/>
                <w:szCs w:val="16"/>
              </w:rPr>
              <w:t xml:space="preserve"> – </w:t>
            </w:r>
            <w:r w:rsidRPr="001D5327">
              <w:rPr>
                <w:rFonts w:cs="Calibri"/>
                <w:color w:val="000000"/>
                <w:szCs w:val="16"/>
              </w:rPr>
              <w:t xml:space="preserve">Underground </w:t>
            </w:r>
            <w:r w:rsidR="005A148E" w:rsidRPr="001D5327">
              <w:rPr>
                <w:rFonts w:cs="Calibri"/>
                <w:color w:val="000000"/>
                <w:szCs w:val="16"/>
              </w:rPr>
              <w:t>mines</w:t>
            </w:r>
          </w:p>
        </w:tc>
        <w:tc>
          <w:tcPr>
            <w:tcW w:w="547" w:type="dxa"/>
            <w:shd w:val="clear" w:color="auto" w:fill="auto"/>
            <w:noWrap/>
          </w:tcPr>
          <w:p w14:paraId="79CE7EFA"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CH</w:t>
            </w:r>
            <w:r w:rsidRPr="001D5327">
              <w:rPr>
                <w:rFonts w:cs="Calibri"/>
                <w:color w:val="000000"/>
                <w:szCs w:val="16"/>
                <w:vertAlign w:val="subscript"/>
              </w:rPr>
              <w:t>4</w:t>
            </w:r>
          </w:p>
        </w:tc>
        <w:tc>
          <w:tcPr>
            <w:tcW w:w="1154" w:type="dxa"/>
            <w:shd w:val="clear" w:color="auto" w:fill="auto"/>
            <w:noWrap/>
          </w:tcPr>
          <w:p w14:paraId="01EA2D38" w14:textId="77777777" w:rsidR="00D97D6C" w:rsidRPr="001D5327" w:rsidRDefault="00D97D6C" w:rsidP="00B55F24">
            <w:pPr>
              <w:pStyle w:val="TableText"/>
              <w:spacing w:before="40" w:after="40"/>
              <w:rPr>
                <w:rFonts w:cs="Calibri"/>
                <w:szCs w:val="16"/>
              </w:rPr>
            </w:pPr>
            <w:r w:rsidRPr="001D5327">
              <w:rPr>
                <w:rFonts w:cs="Calibri"/>
                <w:color w:val="000000"/>
                <w:szCs w:val="16"/>
              </w:rPr>
              <w:t>T1</w:t>
            </w:r>
          </w:p>
        </w:tc>
      </w:tr>
      <w:tr w:rsidR="00D97D6C" w:rsidRPr="001D5327" w14:paraId="2BCFAB7E" w14:textId="77777777" w:rsidTr="008F4DF2">
        <w:tc>
          <w:tcPr>
            <w:tcW w:w="1093" w:type="dxa"/>
            <w:shd w:val="clear" w:color="auto" w:fill="auto"/>
            <w:noWrap/>
          </w:tcPr>
          <w:p w14:paraId="073C9DA9" w14:textId="144DBB94" w:rsidR="00D97D6C" w:rsidRPr="001D5327" w:rsidRDefault="00D97D6C" w:rsidP="00B55F24">
            <w:pPr>
              <w:pStyle w:val="TableText"/>
              <w:spacing w:before="40" w:after="40"/>
              <w:rPr>
                <w:rFonts w:cs="Calibri"/>
                <w:szCs w:val="16"/>
              </w:rPr>
            </w:pPr>
            <w:r w:rsidRPr="001D5327">
              <w:rPr>
                <w:rFonts w:cs="Calibri"/>
                <w:color w:val="000000"/>
                <w:szCs w:val="16"/>
              </w:rPr>
              <w:t>1.B.2.b.</w:t>
            </w:r>
            <w:r w:rsidR="005A148E" w:rsidRPr="001D5327">
              <w:rPr>
                <w:rFonts w:cs="Calibri"/>
                <w:color w:val="000000"/>
                <w:szCs w:val="16"/>
              </w:rPr>
              <w:t>v.</w:t>
            </w:r>
          </w:p>
        </w:tc>
        <w:tc>
          <w:tcPr>
            <w:tcW w:w="5711" w:type="dxa"/>
            <w:shd w:val="clear" w:color="auto" w:fill="auto"/>
            <w:noWrap/>
          </w:tcPr>
          <w:p w14:paraId="3B7918F0" w14:textId="7F8631F0" w:rsidR="00D97D6C" w:rsidRPr="001D5327" w:rsidRDefault="00D97D6C" w:rsidP="00B55F24">
            <w:pPr>
              <w:pStyle w:val="TableText"/>
              <w:spacing w:before="40" w:after="40"/>
              <w:rPr>
                <w:rFonts w:cs="Calibri"/>
                <w:szCs w:val="16"/>
              </w:rPr>
            </w:pPr>
            <w:r w:rsidRPr="001D5327">
              <w:rPr>
                <w:rFonts w:cs="Calibri"/>
                <w:color w:val="000000"/>
                <w:szCs w:val="16"/>
              </w:rPr>
              <w:t xml:space="preserve">Natural </w:t>
            </w:r>
            <w:r w:rsidR="005A148E" w:rsidRPr="001D5327">
              <w:rPr>
                <w:rFonts w:cs="Calibri"/>
                <w:color w:val="000000"/>
                <w:szCs w:val="16"/>
              </w:rPr>
              <w:t xml:space="preserve">gas </w:t>
            </w:r>
            <w:r w:rsidR="00875FF7" w:rsidRPr="001D5327">
              <w:rPr>
                <w:rFonts w:cs="Calibri"/>
                <w:color w:val="000000"/>
                <w:szCs w:val="16"/>
              </w:rPr>
              <w:t>–</w:t>
            </w:r>
            <w:r w:rsidRPr="001D5327">
              <w:rPr>
                <w:rFonts w:cs="Calibri"/>
                <w:color w:val="000000"/>
                <w:szCs w:val="16"/>
              </w:rPr>
              <w:t xml:space="preserve"> Distribution</w:t>
            </w:r>
          </w:p>
        </w:tc>
        <w:tc>
          <w:tcPr>
            <w:tcW w:w="547" w:type="dxa"/>
            <w:shd w:val="clear" w:color="auto" w:fill="auto"/>
            <w:noWrap/>
          </w:tcPr>
          <w:p w14:paraId="2FBE8009"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CH</w:t>
            </w:r>
            <w:r w:rsidRPr="001D5327">
              <w:rPr>
                <w:rFonts w:cs="Calibri"/>
                <w:color w:val="000000"/>
                <w:szCs w:val="16"/>
                <w:vertAlign w:val="subscript"/>
              </w:rPr>
              <w:t>4</w:t>
            </w:r>
          </w:p>
        </w:tc>
        <w:tc>
          <w:tcPr>
            <w:tcW w:w="1154" w:type="dxa"/>
            <w:shd w:val="clear" w:color="auto" w:fill="auto"/>
            <w:noWrap/>
          </w:tcPr>
          <w:p w14:paraId="3A42B2BC" w14:textId="77777777" w:rsidR="00D97D6C" w:rsidRPr="001D5327" w:rsidRDefault="00D97D6C" w:rsidP="00B55F24">
            <w:pPr>
              <w:pStyle w:val="TableText"/>
              <w:spacing w:before="40" w:after="40"/>
              <w:rPr>
                <w:rFonts w:cs="Calibri"/>
                <w:szCs w:val="16"/>
              </w:rPr>
            </w:pPr>
            <w:r w:rsidRPr="001D5327">
              <w:rPr>
                <w:rFonts w:cs="Calibri"/>
                <w:color w:val="000000"/>
                <w:szCs w:val="16"/>
              </w:rPr>
              <w:t>T1</w:t>
            </w:r>
          </w:p>
        </w:tc>
      </w:tr>
      <w:tr w:rsidR="00D97D6C" w:rsidRPr="001D5327" w14:paraId="04074507" w14:textId="77777777" w:rsidTr="008F4DF2">
        <w:tc>
          <w:tcPr>
            <w:tcW w:w="1093" w:type="dxa"/>
            <w:shd w:val="clear" w:color="auto" w:fill="auto"/>
            <w:noWrap/>
          </w:tcPr>
          <w:p w14:paraId="58F2C867" w14:textId="5A36CB5B" w:rsidR="00D97D6C" w:rsidRPr="001D5327" w:rsidRDefault="00D97D6C" w:rsidP="00B55F24">
            <w:pPr>
              <w:pStyle w:val="TableText"/>
              <w:spacing w:before="40" w:after="40"/>
              <w:rPr>
                <w:rFonts w:cs="Calibri"/>
                <w:szCs w:val="16"/>
              </w:rPr>
            </w:pPr>
            <w:r w:rsidRPr="001D5327">
              <w:rPr>
                <w:rFonts w:cs="Calibri"/>
                <w:color w:val="000000"/>
                <w:szCs w:val="16"/>
              </w:rPr>
              <w:t>1.B.2.c.</w:t>
            </w:r>
            <w:r w:rsidR="005A148E" w:rsidRPr="001D5327">
              <w:rPr>
                <w:rFonts w:cs="Calibri"/>
                <w:color w:val="000000"/>
                <w:szCs w:val="16"/>
              </w:rPr>
              <w:t>i.2.</w:t>
            </w:r>
          </w:p>
        </w:tc>
        <w:tc>
          <w:tcPr>
            <w:tcW w:w="5711" w:type="dxa"/>
            <w:shd w:val="clear" w:color="auto" w:fill="auto"/>
            <w:noWrap/>
          </w:tcPr>
          <w:p w14:paraId="74FF0A21" w14:textId="24030B39" w:rsidR="00D97D6C" w:rsidRPr="001D5327" w:rsidRDefault="00D97D6C" w:rsidP="00B55F24">
            <w:pPr>
              <w:pStyle w:val="TableText"/>
              <w:spacing w:before="40" w:after="40"/>
              <w:rPr>
                <w:rFonts w:cs="Calibri"/>
                <w:szCs w:val="16"/>
              </w:rPr>
            </w:pPr>
            <w:r w:rsidRPr="001D5327">
              <w:rPr>
                <w:rFonts w:cs="Calibri"/>
                <w:color w:val="000000"/>
                <w:szCs w:val="16"/>
              </w:rPr>
              <w:t xml:space="preserve">Venting </w:t>
            </w:r>
            <w:r w:rsidR="00875FF7" w:rsidRPr="001D5327">
              <w:rPr>
                <w:rFonts w:cs="Calibri"/>
                <w:color w:val="000000"/>
                <w:szCs w:val="16"/>
              </w:rPr>
              <w:t>–</w:t>
            </w:r>
            <w:r w:rsidRPr="001D5327">
              <w:rPr>
                <w:rFonts w:cs="Calibri"/>
                <w:color w:val="000000"/>
                <w:szCs w:val="16"/>
              </w:rPr>
              <w:t xml:space="preserve"> Gas</w:t>
            </w:r>
          </w:p>
        </w:tc>
        <w:tc>
          <w:tcPr>
            <w:tcW w:w="547" w:type="dxa"/>
            <w:shd w:val="clear" w:color="auto" w:fill="auto"/>
            <w:noWrap/>
          </w:tcPr>
          <w:p w14:paraId="773497B6"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37AD078C" w14:textId="77777777" w:rsidR="00D97D6C" w:rsidRPr="001D5327" w:rsidRDefault="00D97D6C" w:rsidP="00B55F24">
            <w:pPr>
              <w:pStyle w:val="TableText"/>
              <w:spacing w:before="40" w:after="40"/>
              <w:rPr>
                <w:rFonts w:cs="Calibri"/>
                <w:szCs w:val="16"/>
              </w:rPr>
            </w:pPr>
            <w:r w:rsidRPr="001D5327">
              <w:rPr>
                <w:rFonts w:cs="Calibri"/>
                <w:color w:val="000000"/>
                <w:szCs w:val="16"/>
              </w:rPr>
              <w:t>L1, T1</w:t>
            </w:r>
          </w:p>
        </w:tc>
      </w:tr>
      <w:tr w:rsidR="00D97D6C" w:rsidRPr="001D5327" w14:paraId="52EBF707" w14:textId="77777777" w:rsidTr="008F4DF2">
        <w:tc>
          <w:tcPr>
            <w:tcW w:w="1093" w:type="dxa"/>
            <w:shd w:val="clear" w:color="auto" w:fill="auto"/>
            <w:noWrap/>
          </w:tcPr>
          <w:p w14:paraId="25EFD5BE" w14:textId="23D2546A" w:rsidR="00D97D6C" w:rsidRPr="001D5327" w:rsidRDefault="00D97D6C" w:rsidP="00B55F24">
            <w:pPr>
              <w:pStyle w:val="TableText"/>
              <w:spacing w:before="40" w:after="40"/>
              <w:rPr>
                <w:rFonts w:cs="Calibri"/>
                <w:szCs w:val="16"/>
              </w:rPr>
            </w:pPr>
            <w:r w:rsidRPr="001D5327">
              <w:rPr>
                <w:rFonts w:cs="Calibri"/>
                <w:color w:val="000000"/>
                <w:szCs w:val="16"/>
              </w:rPr>
              <w:t>1.B.2.c.</w:t>
            </w:r>
            <w:r w:rsidR="005A148E" w:rsidRPr="001D5327">
              <w:rPr>
                <w:rFonts w:cs="Calibri"/>
                <w:color w:val="000000"/>
                <w:szCs w:val="16"/>
              </w:rPr>
              <w:t>i.3.</w:t>
            </w:r>
          </w:p>
        </w:tc>
        <w:tc>
          <w:tcPr>
            <w:tcW w:w="5711" w:type="dxa"/>
            <w:shd w:val="clear" w:color="auto" w:fill="auto"/>
            <w:noWrap/>
          </w:tcPr>
          <w:p w14:paraId="7CE79656" w14:textId="4AD9FC2E" w:rsidR="00D97D6C" w:rsidRPr="001D5327" w:rsidRDefault="00D97D6C" w:rsidP="00B55F24">
            <w:pPr>
              <w:pStyle w:val="TableText"/>
              <w:spacing w:before="40" w:after="40"/>
              <w:rPr>
                <w:rFonts w:cs="Calibri"/>
                <w:szCs w:val="16"/>
              </w:rPr>
            </w:pPr>
            <w:r w:rsidRPr="001D5327">
              <w:rPr>
                <w:rFonts w:cs="Calibri"/>
                <w:color w:val="000000"/>
                <w:szCs w:val="16"/>
              </w:rPr>
              <w:t xml:space="preserve">Venting </w:t>
            </w:r>
            <w:r w:rsidR="00875FF7" w:rsidRPr="001D5327">
              <w:rPr>
                <w:rFonts w:cs="Calibri"/>
                <w:color w:val="000000"/>
                <w:szCs w:val="16"/>
              </w:rPr>
              <w:t>–</w:t>
            </w:r>
            <w:r w:rsidRPr="001D5327">
              <w:rPr>
                <w:rFonts w:cs="Calibri"/>
                <w:color w:val="000000"/>
                <w:szCs w:val="16"/>
              </w:rPr>
              <w:t xml:space="preserve"> Combined</w:t>
            </w:r>
          </w:p>
        </w:tc>
        <w:tc>
          <w:tcPr>
            <w:tcW w:w="547" w:type="dxa"/>
            <w:shd w:val="clear" w:color="auto" w:fill="auto"/>
            <w:noWrap/>
          </w:tcPr>
          <w:p w14:paraId="5B7F69E9"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CH</w:t>
            </w:r>
            <w:r w:rsidRPr="001D5327">
              <w:rPr>
                <w:rFonts w:cs="Calibri"/>
                <w:color w:val="000000"/>
                <w:szCs w:val="16"/>
                <w:vertAlign w:val="subscript"/>
              </w:rPr>
              <w:t>4</w:t>
            </w:r>
          </w:p>
        </w:tc>
        <w:tc>
          <w:tcPr>
            <w:tcW w:w="1154" w:type="dxa"/>
            <w:shd w:val="clear" w:color="auto" w:fill="auto"/>
            <w:noWrap/>
          </w:tcPr>
          <w:p w14:paraId="420EF579" w14:textId="77777777" w:rsidR="00D97D6C" w:rsidRPr="001D5327" w:rsidRDefault="00D97D6C" w:rsidP="00B55F24">
            <w:pPr>
              <w:pStyle w:val="TableText"/>
              <w:spacing w:before="40" w:after="40"/>
              <w:rPr>
                <w:rFonts w:cs="Calibri"/>
                <w:szCs w:val="16"/>
              </w:rPr>
            </w:pPr>
            <w:r w:rsidRPr="001D5327">
              <w:rPr>
                <w:rFonts w:cs="Calibri"/>
                <w:color w:val="000000"/>
                <w:szCs w:val="16"/>
              </w:rPr>
              <w:t>T1</w:t>
            </w:r>
          </w:p>
        </w:tc>
      </w:tr>
      <w:tr w:rsidR="00D97D6C" w:rsidRPr="001D5327" w14:paraId="4760AE11" w14:textId="77777777" w:rsidTr="008F4DF2">
        <w:tc>
          <w:tcPr>
            <w:tcW w:w="1093" w:type="dxa"/>
            <w:shd w:val="clear" w:color="auto" w:fill="auto"/>
            <w:noWrap/>
          </w:tcPr>
          <w:p w14:paraId="417099BD" w14:textId="27AC40D0" w:rsidR="00D97D6C" w:rsidRPr="001D5327" w:rsidRDefault="00D97D6C" w:rsidP="00B55F24">
            <w:pPr>
              <w:pStyle w:val="TableText"/>
              <w:spacing w:before="40" w:after="40"/>
              <w:rPr>
                <w:rFonts w:cs="Calibri"/>
                <w:szCs w:val="16"/>
              </w:rPr>
            </w:pPr>
            <w:r w:rsidRPr="001D5327">
              <w:rPr>
                <w:rFonts w:cs="Calibri"/>
                <w:color w:val="000000"/>
                <w:szCs w:val="16"/>
              </w:rPr>
              <w:t>1.B.2.c.</w:t>
            </w:r>
            <w:r w:rsidR="005A148E" w:rsidRPr="001D5327">
              <w:rPr>
                <w:rFonts w:cs="Calibri"/>
                <w:color w:val="000000"/>
                <w:szCs w:val="16"/>
              </w:rPr>
              <w:t>ii.3.</w:t>
            </w:r>
          </w:p>
        </w:tc>
        <w:tc>
          <w:tcPr>
            <w:tcW w:w="5711" w:type="dxa"/>
            <w:shd w:val="clear" w:color="auto" w:fill="auto"/>
            <w:noWrap/>
          </w:tcPr>
          <w:p w14:paraId="17C6CB78" w14:textId="0F9668CC" w:rsidR="00D97D6C" w:rsidRPr="001D5327" w:rsidRDefault="00D97D6C" w:rsidP="00B55F24">
            <w:pPr>
              <w:pStyle w:val="TableText"/>
              <w:spacing w:before="40" w:after="40"/>
              <w:rPr>
                <w:rFonts w:cs="Calibri"/>
                <w:szCs w:val="16"/>
              </w:rPr>
            </w:pPr>
            <w:r w:rsidRPr="001D5327">
              <w:rPr>
                <w:rFonts w:cs="Calibri"/>
                <w:color w:val="000000"/>
                <w:szCs w:val="16"/>
              </w:rPr>
              <w:t xml:space="preserve">Flaring </w:t>
            </w:r>
            <w:r w:rsidR="00875FF7" w:rsidRPr="001D5327">
              <w:rPr>
                <w:rFonts w:cs="Calibri"/>
                <w:color w:val="000000"/>
                <w:szCs w:val="16"/>
              </w:rPr>
              <w:t>–</w:t>
            </w:r>
            <w:r w:rsidRPr="001D5327">
              <w:rPr>
                <w:rFonts w:cs="Calibri"/>
                <w:color w:val="000000"/>
                <w:szCs w:val="16"/>
              </w:rPr>
              <w:t xml:space="preserve"> Combined</w:t>
            </w:r>
          </w:p>
        </w:tc>
        <w:tc>
          <w:tcPr>
            <w:tcW w:w="547" w:type="dxa"/>
            <w:shd w:val="clear" w:color="auto" w:fill="auto"/>
            <w:noWrap/>
          </w:tcPr>
          <w:p w14:paraId="40786BF9" w14:textId="77777777" w:rsidR="00D97D6C" w:rsidRPr="001D5327" w:rsidRDefault="00D97D6C" w:rsidP="00B55F24">
            <w:pPr>
              <w:pStyle w:val="TableText"/>
              <w:spacing w:before="40" w:after="40"/>
              <w:jc w:val="center"/>
              <w:rPr>
                <w:rFonts w:cs="Calibri"/>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66D2FDD4" w14:textId="77777777" w:rsidR="00D97D6C" w:rsidRPr="001D5327" w:rsidRDefault="00D97D6C" w:rsidP="00B55F24">
            <w:pPr>
              <w:pStyle w:val="TableText"/>
              <w:spacing w:before="40" w:after="40"/>
              <w:rPr>
                <w:rFonts w:cs="Calibri"/>
                <w:szCs w:val="16"/>
              </w:rPr>
            </w:pPr>
            <w:r w:rsidRPr="001D5327">
              <w:rPr>
                <w:rFonts w:cs="Calibri"/>
                <w:color w:val="000000"/>
                <w:szCs w:val="16"/>
              </w:rPr>
              <w:t>T1</w:t>
            </w:r>
          </w:p>
        </w:tc>
      </w:tr>
      <w:tr w:rsidR="00D97D6C" w:rsidRPr="001D5327" w14:paraId="031798DB" w14:textId="77777777" w:rsidTr="008F4DF2">
        <w:tc>
          <w:tcPr>
            <w:tcW w:w="1093" w:type="dxa"/>
            <w:shd w:val="clear" w:color="auto" w:fill="auto"/>
            <w:noWrap/>
          </w:tcPr>
          <w:p w14:paraId="6302AC46" w14:textId="7E1803A7" w:rsidR="00D97D6C" w:rsidRPr="001D5327" w:rsidRDefault="00D97D6C" w:rsidP="00B55F24">
            <w:pPr>
              <w:pStyle w:val="TableText"/>
              <w:spacing w:before="40" w:after="40"/>
              <w:rPr>
                <w:rFonts w:cs="Calibri"/>
                <w:color w:val="000000"/>
                <w:szCs w:val="16"/>
              </w:rPr>
            </w:pPr>
            <w:r w:rsidRPr="001D5327">
              <w:rPr>
                <w:rFonts w:cs="Calibri"/>
                <w:color w:val="000000"/>
                <w:szCs w:val="16"/>
              </w:rPr>
              <w:t>1.B.2.d</w:t>
            </w:r>
            <w:r w:rsidR="005A148E" w:rsidRPr="001D5327">
              <w:rPr>
                <w:rFonts w:cs="Calibri"/>
                <w:color w:val="000000"/>
                <w:szCs w:val="16"/>
              </w:rPr>
              <w:t>.</w:t>
            </w:r>
          </w:p>
        </w:tc>
        <w:tc>
          <w:tcPr>
            <w:tcW w:w="5711" w:type="dxa"/>
            <w:shd w:val="clear" w:color="auto" w:fill="auto"/>
            <w:noWrap/>
          </w:tcPr>
          <w:p w14:paraId="7897DB0F" w14:textId="486E88D7" w:rsidR="00D97D6C" w:rsidRPr="001D5327" w:rsidRDefault="00D97D6C" w:rsidP="00B55F24">
            <w:pPr>
              <w:pStyle w:val="TableText"/>
              <w:spacing w:before="40" w:after="40"/>
              <w:rPr>
                <w:rFonts w:cs="Calibri"/>
                <w:color w:val="000000"/>
                <w:szCs w:val="16"/>
              </w:rPr>
            </w:pPr>
            <w:r w:rsidRPr="001D5327">
              <w:rPr>
                <w:rFonts w:cs="Calibri"/>
                <w:color w:val="000000"/>
                <w:szCs w:val="16"/>
              </w:rPr>
              <w:t xml:space="preserve">Other (please specify) </w:t>
            </w:r>
            <w:r w:rsidR="00875FF7" w:rsidRPr="001D5327">
              <w:rPr>
                <w:rFonts w:cs="Calibri"/>
                <w:color w:val="000000"/>
                <w:szCs w:val="16"/>
              </w:rPr>
              <w:t>–</w:t>
            </w:r>
            <w:r w:rsidRPr="001D5327">
              <w:rPr>
                <w:rFonts w:cs="Calibri"/>
                <w:color w:val="000000"/>
                <w:szCs w:val="16"/>
              </w:rPr>
              <w:t xml:space="preserve"> Geothermal</w:t>
            </w:r>
          </w:p>
        </w:tc>
        <w:tc>
          <w:tcPr>
            <w:tcW w:w="547" w:type="dxa"/>
            <w:shd w:val="clear" w:color="auto" w:fill="auto"/>
            <w:noWrap/>
          </w:tcPr>
          <w:p w14:paraId="74BBC249" w14:textId="77777777" w:rsidR="00D97D6C" w:rsidRPr="001D5327" w:rsidRDefault="00D97D6C" w:rsidP="00B55F24">
            <w:pPr>
              <w:pStyle w:val="TableText"/>
              <w:spacing w:before="40" w:after="40"/>
              <w:jc w:val="center"/>
              <w:rPr>
                <w:rFonts w:cs="Calibri"/>
                <w:color w:val="000000"/>
                <w:szCs w:val="16"/>
              </w:rPr>
            </w:pPr>
            <w:r w:rsidRPr="001D5327">
              <w:rPr>
                <w:rFonts w:cs="Calibri"/>
                <w:color w:val="000000"/>
                <w:szCs w:val="16"/>
              </w:rPr>
              <w:t>CO</w:t>
            </w:r>
            <w:r w:rsidRPr="001D5327">
              <w:rPr>
                <w:rFonts w:cs="Calibri"/>
                <w:color w:val="000000"/>
                <w:szCs w:val="16"/>
                <w:vertAlign w:val="subscript"/>
              </w:rPr>
              <w:t>2</w:t>
            </w:r>
          </w:p>
        </w:tc>
        <w:tc>
          <w:tcPr>
            <w:tcW w:w="1154" w:type="dxa"/>
            <w:shd w:val="clear" w:color="auto" w:fill="auto"/>
            <w:noWrap/>
          </w:tcPr>
          <w:p w14:paraId="621963D4" w14:textId="77777777" w:rsidR="00D97D6C" w:rsidRPr="001D5327" w:rsidRDefault="00D97D6C" w:rsidP="00B55F24">
            <w:pPr>
              <w:pStyle w:val="TableText"/>
              <w:spacing w:before="40" w:after="40"/>
              <w:rPr>
                <w:rFonts w:cs="Calibri"/>
                <w:color w:val="000000"/>
                <w:szCs w:val="16"/>
              </w:rPr>
            </w:pPr>
            <w:r w:rsidRPr="001D5327">
              <w:rPr>
                <w:rFonts w:cs="Calibri"/>
                <w:color w:val="000000"/>
                <w:szCs w:val="16"/>
              </w:rPr>
              <w:t>L1, T1</w:t>
            </w:r>
          </w:p>
        </w:tc>
      </w:tr>
    </w:tbl>
    <w:p w14:paraId="3B4FBF0F" w14:textId="2BA6F047" w:rsidR="00D97D6C" w:rsidRPr="001D5327" w:rsidRDefault="00D97D6C" w:rsidP="005E4A58">
      <w:pPr>
        <w:pStyle w:val="Noteundertable"/>
        <w:spacing w:after="0"/>
        <w:rPr>
          <w:rFonts w:cs="Calibri"/>
        </w:rPr>
      </w:pPr>
      <w:r w:rsidRPr="001D5327">
        <w:rPr>
          <w:rFonts w:cs="Calibri"/>
          <w:b/>
        </w:rPr>
        <w:t>Note</w:t>
      </w:r>
      <w:r w:rsidRPr="001D5327">
        <w:rPr>
          <w:rFonts w:cs="Calibri"/>
        </w:rPr>
        <w:t xml:space="preserve">: </w:t>
      </w:r>
      <w:r w:rsidRPr="001D5327">
        <w:rPr>
          <w:rFonts w:cs="Calibri"/>
        </w:rPr>
        <w:tab/>
        <w:t>L1 means a key category is identified under the level analysis – approach 1 and T1 is trend analysis</w:t>
      </w:r>
      <w:r w:rsidR="008F4DF2" w:rsidRPr="001D5327">
        <w:rPr>
          <w:rFonts w:cs="Calibri"/>
        </w:rPr>
        <w:t xml:space="preserve"> </w:t>
      </w:r>
      <w:r w:rsidRPr="001D5327">
        <w:rPr>
          <w:rFonts w:cs="Calibri"/>
        </w:rPr>
        <w:br/>
        <w:t xml:space="preserve"> – approach 1. See chapter 1 for more information.</w:t>
      </w:r>
      <w:bookmarkEnd w:id="179"/>
      <w:bookmarkEnd w:id="180"/>
    </w:p>
    <w:p w14:paraId="7D617073" w14:textId="77777777" w:rsidR="00D97D6C" w:rsidRPr="001D5327" w:rsidRDefault="00D97D6C" w:rsidP="00D97D6C">
      <w:pPr>
        <w:pStyle w:val="Heading3"/>
        <w:rPr>
          <w:rFonts w:cs="Calibri"/>
        </w:rPr>
      </w:pPr>
      <w:r w:rsidRPr="001D5327">
        <w:rPr>
          <w:rFonts w:cs="Calibri"/>
        </w:rPr>
        <w:t>3.1.3</w:t>
      </w:r>
      <w:r w:rsidRPr="001D5327">
        <w:rPr>
          <w:rFonts w:cs="Calibri"/>
        </w:rPr>
        <w:tab/>
        <w:t>New Zealand sectoral methodology</w:t>
      </w:r>
    </w:p>
    <w:p w14:paraId="1E23DFFE" w14:textId="694706A6" w:rsidR="00D97D6C" w:rsidRPr="001D5327" w:rsidRDefault="00D97D6C" w:rsidP="008F4DF2">
      <w:pPr>
        <w:pStyle w:val="BodyText"/>
      </w:pPr>
      <w:r w:rsidRPr="001D5327">
        <w:t>Greenhouse gas emissions from the Energy sector are calculated using a detailed sectoral approach. This bottom-up approach is demand-based: it involves processing energy data collected on a regular basis through various surveys. For verification, New Zealand also applies the Intergovernmental Panel on Climate Change (IPCC) reference approach to estimate CO</w:t>
      </w:r>
      <w:r w:rsidRPr="001D5327">
        <w:rPr>
          <w:vertAlign w:val="subscript"/>
        </w:rPr>
        <w:t>2</w:t>
      </w:r>
      <w:r w:rsidRPr="001D5327">
        <w:t xml:space="preserve"> emissions from fuel combustion for the time series 1990 to </w:t>
      </w:r>
      <w:r w:rsidR="006A21DD" w:rsidRPr="001D5327">
        <w:t>2023</w:t>
      </w:r>
      <w:r w:rsidRPr="001D5327">
        <w:t xml:space="preserve"> (see annex 3). </w:t>
      </w:r>
    </w:p>
    <w:p w14:paraId="6154E29F" w14:textId="35B60A46" w:rsidR="00D97D6C" w:rsidRPr="001D5327" w:rsidRDefault="00D97D6C" w:rsidP="00D97D6C">
      <w:pPr>
        <w:pStyle w:val="BodyText"/>
        <w:rPr>
          <w:rFonts w:cs="Calibri"/>
        </w:rPr>
      </w:pPr>
      <w:r w:rsidRPr="001D5327">
        <w:rPr>
          <w:rFonts w:cs="Calibri"/>
        </w:rPr>
        <w:t xml:space="preserve">The activity data used for the sectoral approach are referred to as ‘observed’ energy-use figures. These are based on surveys and questionnaires administered by the Ministry of Business, Innovation and Employment (MBIE). The differences between ‘calculated’ and ‘observed’ figures are reported as statistical differences in the energy balance tables released along with </w:t>
      </w:r>
      <w:r w:rsidRPr="001D5327">
        <w:rPr>
          <w:rFonts w:cs="Calibri"/>
          <w:i/>
          <w:iCs/>
          <w:lang w:eastAsia="en-GB"/>
        </w:rPr>
        <w:t xml:space="preserve">Energy in New Zealand </w:t>
      </w:r>
      <w:r w:rsidRPr="001D5327">
        <w:rPr>
          <w:rFonts w:cs="Calibri"/>
        </w:rPr>
        <w:t xml:space="preserve">(MBIE, </w:t>
      </w:r>
      <w:r w:rsidR="006A21DD" w:rsidRPr="001D5327">
        <w:rPr>
          <w:rFonts w:cs="Calibri"/>
        </w:rPr>
        <w:t>2024</w:t>
      </w:r>
      <w:r w:rsidR="002D4006" w:rsidRPr="001D5327">
        <w:rPr>
          <w:rFonts w:cs="Calibri"/>
        </w:rPr>
        <w:t>a</w:t>
      </w:r>
      <w:r w:rsidRPr="001D5327">
        <w:rPr>
          <w:rFonts w:cs="Calibri"/>
        </w:rPr>
        <w:t xml:space="preserve">). Note that, due to the intervening time between the publication of </w:t>
      </w:r>
      <w:r w:rsidRPr="001D5327">
        <w:rPr>
          <w:rFonts w:cs="Calibri"/>
          <w:i/>
          <w:lang w:eastAsia="en-GB"/>
        </w:rPr>
        <w:t>Energy in New Zealand</w:t>
      </w:r>
      <w:r w:rsidRPr="001D5327">
        <w:rPr>
          <w:rFonts w:cs="Calibri"/>
        </w:rPr>
        <w:t xml:space="preserve"> and the preparation of this submission, some data revisions may have occurred.</w:t>
      </w:r>
    </w:p>
    <w:p w14:paraId="1086D551" w14:textId="77777777" w:rsidR="00D97D6C" w:rsidRPr="001D5327" w:rsidRDefault="00D97D6C" w:rsidP="00D97D6C">
      <w:pPr>
        <w:pStyle w:val="Heading3"/>
        <w:rPr>
          <w:rFonts w:cs="Calibri"/>
        </w:rPr>
      </w:pPr>
      <w:bookmarkStart w:id="181" w:name="_Ref379915380"/>
      <w:r w:rsidRPr="001D5327">
        <w:rPr>
          <w:rFonts w:cs="Calibri"/>
        </w:rPr>
        <w:t>3.1.4</w:t>
      </w:r>
      <w:r w:rsidRPr="001D5327">
        <w:rPr>
          <w:rFonts w:cs="Calibri"/>
        </w:rPr>
        <w:tab/>
        <w:t>International bunker fuels</w:t>
      </w:r>
      <w:bookmarkEnd w:id="181"/>
    </w:p>
    <w:p w14:paraId="1FB238F4" w14:textId="5F3CF184" w:rsidR="00D97D6C" w:rsidRPr="001D5327" w:rsidRDefault="00D97D6C" w:rsidP="00D97D6C">
      <w:pPr>
        <w:pStyle w:val="BodyText"/>
        <w:rPr>
          <w:rFonts w:cs="Calibri"/>
        </w:rPr>
      </w:pPr>
      <w:r w:rsidRPr="001D5327">
        <w:rPr>
          <w:rFonts w:cs="Calibri"/>
        </w:rPr>
        <w:t>The data on fuel use by international transportation are collected and published online by MBIE (</w:t>
      </w:r>
      <w:r w:rsidR="006A21DD" w:rsidRPr="001D5327">
        <w:rPr>
          <w:rFonts w:cs="Calibri"/>
        </w:rPr>
        <w:t>2024</w:t>
      </w:r>
      <w:r w:rsidR="002D4006" w:rsidRPr="001D5327">
        <w:rPr>
          <w:rFonts w:cs="Calibri"/>
        </w:rPr>
        <w:t>a</w:t>
      </w:r>
      <w:r w:rsidRPr="001D5327">
        <w:rPr>
          <w:rFonts w:cs="Calibri"/>
        </w:rPr>
        <w:t>). This data release uses information from oil company survey returns through two</w:t>
      </w:r>
      <w:r w:rsidR="008F4DF2" w:rsidRPr="001D5327">
        <w:rPr>
          <w:rFonts w:cs="Calibri"/>
        </w:rPr>
        <w:t> </w:t>
      </w:r>
      <w:r w:rsidRPr="001D5327">
        <w:rPr>
          <w:rFonts w:cs="Calibri"/>
        </w:rPr>
        <w:t>surveys provided to MBIE.</w:t>
      </w:r>
    </w:p>
    <w:p w14:paraId="133FA8C8" w14:textId="77777777" w:rsidR="00D97D6C" w:rsidRPr="001D5327" w:rsidRDefault="00D97D6C" w:rsidP="008F4DF2">
      <w:pPr>
        <w:pStyle w:val="Bullet"/>
        <w:rPr>
          <w:lang w:eastAsia="en-GB"/>
        </w:rPr>
      </w:pPr>
      <w:r w:rsidRPr="001D5327">
        <w:rPr>
          <w:lang w:eastAsia="en-GB"/>
        </w:rPr>
        <w:t xml:space="preserve">The </w:t>
      </w:r>
      <w:r w:rsidRPr="001D5327">
        <w:rPr>
          <w:b/>
          <w:bCs/>
          <w:lang w:eastAsia="en-GB"/>
        </w:rPr>
        <w:t>Delivery of Petroleum Fuels by Industry</w:t>
      </w:r>
      <w:r w:rsidRPr="001D5327">
        <w:rPr>
          <w:lang w:eastAsia="en-GB"/>
        </w:rPr>
        <w:t xml:space="preserve"> survey (DPFI) </w:t>
      </w:r>
      <w:r w:rsidRPr="001D5327">
        <w:t>is a quarterly survey that collects data on observed demand (i.e., actual sales figures) broken down by industrial sector.</w:t>
      </w:r>
    </w:p>
    <w:p w14:paraId="0C3AC6B8" w14:textId="4E617008" w:rsidR="00D97D6C" w:rsidRPr="001D5327" w:rsidRDefault="00D97D6C" w:rsidP="008F4DF2">
      <w:pPr>
        <w:pStyle w:val="Bullet"/>
        <w:rPr>
          <w:lang w:eastAsia="en-GB"/>
        </w:rPr>
      </w:pPr>
      <w:r w:rsidRPr="001D5327">
        <w:rPr>
          <w:lang w:eastAsia="en-GB"/>
        </w:rPr>
        <w:t xml:space="preserve">The </w:t>
      </w:r>
      <w:r w:rsidRPr="001D5327">
        <w:rPr>
          <w:rFonts w:cs="Calibri"/>
          <w:b/>
        </w:rPr>
        <w:t>Monthly Oil Supply</w:t>
      </w:r>
      <w:r w:rsidRPr="001D5327">
        <w:rPr>
          <w:rFonts w:cs="Calibri"/>
        </w:rPr>
        <w:t xml:space="preserve"> survey (</w:t>
      </w:r>
      <w:r w:rsidRPr="001D5327">
        <w:rPr>
          <w:lang w:eastAsia="en-GB"/>
        </w:rPr>
        <w:t xml:space="preserve">MOS) is a monthly survey that asks companies selling fuels to provide a </w:t>
      </w:r>
      <w:r w:rsidRPr="001D5327">
        <w:rPr>
          <w:rFonts w:cs="Calibri"/>
        </w:rPr>
        <w:t>liquid fuels supply balance.</w:t>
      </w:r>
    </w:p>
    <w:p w14:paraId="45E62DF3" w14:textId="53B682DF" w:rsidR="00D97D6C" w:rsidRPr="001D5327" w:rsidRDefault="00D97D6C" w:rsidP="00D97D6C">
      <w:pPr>
        <w:pStyle w:val="BodyText"/>
        <w:rPr>
          <w:rFonts w:cs="Calibri"/>
        </w:rPr>
      </w:pPr>
      <w:r w:rsidRPr="001D5327">
        <w:rPr>
          <w:rFonts w:cs="Calibri"/>
        </w:rPr>
        <w:t>Some of the international bunkers data in CRT 1.A</w:t>
      </w:r>
      <w:r w:rsidR="415066EB" w:rsidRPr="001D5327">
        <w:rPr>
          <w:rFonts w:cs="Calibri"/>
        </w:rPr>
        <w:t>(</w:t>
      </w:r>
      <w:r w:rsidRPr="001D5327">
        <w:rPr>
          <w:rFonts w:cs="Calibri"/>
        </w:rPr>
        <w:t>b</w:t>
      </w:r>
      <w:r w:rsidR="05949860" w:rsidRPr="001D5327">
        <w:rPr>
          <w:rFonts w:cs="Calibri"/>
        </w:rPr>
        <w:t>)</w:t>
      </w:r>
      <w:r w:rsidRPr="001D5327">
        <w:rPr>
          <w:rFonts w:cs="Calibri"/>
        </w:rPr>
        <w:t xml:space="preserve"> are from the MOS, whereas the international bunkers data in CRT 1.D are from the DPFI. Companies that respond to the DPFI are asked to reconcile their figures with their figures in the MOS. Discrepancies between the surveys are usually very small, and the companies attribute these differences to the difference in approach between the two surveys (the MOS follows a top-down approach, while the DPFI follows a bottom-up approach). Furthermore, the MOS and DPFI are usually completed by different sections from within the fuel companies. Also, note that the </w:t>
      </w:r>
      <w:r w:rsidRPr="001D5327">
        <w:rPr>
          <w:rFonts w:cs="Calibri"/>
          <w:i/>
          <w:iCs/>
        </w:rPr>
        <w:t>Other fuels</w:t>
      </w:r>
      <w:r w:rsidRPr="001D5327">
        <w:rPr>
          <w:rFonts w:cs="Calibri"/>
        </w:rPr>
        <w:t> category is not covered in the DPFI so data must come from the MOS.</w:t>
      </w:r>
    </w:p>
    <w:p w14:paraId="2A7DAA75" w14:textId="77777777" w:rsidR="00D97D6C" w:rsidRPr="001D5327" w:rsidRDefault="00D97D6C" w:rsidP="00D97D6C">
      <w:pPr>
        <w:pStyle w:val="Heading3"/>
        <w:rPr>
          <w:rFonts w:cs="Calibri"/>
        </w:rPr>
      </w:pPr>
      <w:r w:rsidRPr="001D5327">
        <w:rPr>
          <w:rFonts w:cs="Calibri"/>
        </w:rPr>
        <w:lastRenderedPageBreak/>
        <w:t>3.1.5</w:t>
      </w:r>
      <w:r w:rsidRPr="001D5327">
        <w:rPr>
          <w:rFonts w:cs="Calibri"/>
        </w:rPr>
        <w:tab/>
        <w:t>Feedstock and other non-energy use of fuels</w:t>
      </w:r>
    </w:p>
    <w:p w14:paraId="3201028D" w14:textId="0D810B1E" w:rsidR="00D97D6C" w:rsidRPr="001D5327" w:rsidRDefault="00D97D6C" w:rsidP="00D97D6C">
      <w:pPr>
        <w:pStyle w:val="BodyText"/>
        <w:rPr>
          <w:rFonts w:cs="Calibri"/>
          <w:lang w:eastAsia="en-GB"/>
        </w:rPr>
      </w:pPr>
      <w:r w:rsidRPr="001D5327">
        <w:rPr>
          <w:rFonts w:cs="Calibri"/>
          <w:lang w:eastAsia="en-GB"/>
        </w:rPr>
        <w:t>For some industrial companies, the fuels supplied are used both as fuels for combustion and as feedstocks. In these instances, process-related emissions are calculated by taking the fraction of carbon stored or sequestered in the final product (based on industry production and chemical composition of the product) and subtracting this from the total fuel supplied. This difference is assumed to be the amount of carbon emitted as CO</w:t>
      </w:r>
      <w:r w:rsidRPr="001D5327">
        <w:rPr>
          <w:rFonts w:cs="Calibri"/>
          <w:vertAlign w:val="subscript"/>
          <w:lang w:eastAsia="en-GB"/>
        </w:rPr>
        <w:t>2</w:t>
      </w:r>
      <w:r w:rsidRPr="001D5327">
        <w:t xml:space="preserve"> </w:t>
      </w:r>
      <w:r w:rsidRPr="001D5327">
        <w:rPr>
          <w:rFonts w:cs="Calibri"/>
          <w:lang w:eastAsia="en-GB"/>
        </w:rPr>
        <w:t>and is reported under the Industrial Processes and Product Use (IPPU) sector and in CRT 1.AD. Other fuel materials, such as bitumen, also contribute to emissions that are reported under the IPPU sector and (where appropriate) in CRT 1.AD.</w:t>
      </w:r>
    </w:p>
    <w:p w14:paraId="6BCBAFF7" w14:textId="77777777" w:rsidR="00D97D6C" w:rsidRPr="001D5327" w:rsidRDefault="00D97D6C" w:rsidP="00D97D6C">
      <w:pPr>
        <w:pStyle w:val="BodyText"/>
        <w:rPr>
          <w:rFonts w:cs="Calibri"/>
        </w:rPr>
      </w:pPr>
      <w:r w:rsidRPr="001D5327">
        <w:rPr>
          <w:rFonts w:cs="Calibri"/>
        </w:rPr>
        <w:t>In New Zealand, these non-energy fuels are as follows.</w:t>
      </w:r>
    </w:p>
    <w:p w14:paraId="002A8148" w14:textId="733EEF5B" w:rsidR="00D97D6C" w:rsidRPr="001D5327" w:rsidRDefault="00D97D6C" w:rsidP="008F4DF2">
      <w:pPr>
        <w:pStyle w:val="Bullet"/>
      </w:pPr>
      <w:r w:rsidRPr="001D5327">
        <w:t>The carbon in the natural gas used as feedstock to produce methanol is all considered to be stored in the product and therefore has no associated CO</w:t>
      </w:r>
      <w:r w:rsidRPr="001D5327">
        <w:rPr>
          <w:vertAlign w:val="subscript"/>
        </w:rPr>
        <w:t>2</w:t>
      </w:r>
      <w:r w:rsidRPr="001D5327">
        <w:t xml:space="preserve"> emissions. The balance of the carbon is oxidised and results in CO</w:t>
      </w:r>
      <w:r w:rsidRPr="001D5327">
        <w:rPr>
          <w:vertAlign w:val="subscript"/>
        </w:rPr>
        <w:t>2</w:t>
      </w:r>
      <w:r w:rsidRPr="001D5327">
        <w:t xml:space="preserve">. Emissions from fuel used for combustion are reported in CRT category 1.A.2.c. </w:t>
      </w:r>
      <w:r w:rsidRPr="001D5327">
        <w:rPr>
          <w:rFonts w:cs="Calibri"/>
          <w:lang w:eastAsia="en-GB"/>
        </w:rPr>
        <w:t>These figures may differ slightly from those reported online by MBIE, which are based on natural gas energy use and non-energy use as reported by the plant operator.</w:t>
      </w:r>
    </w:p>
    <w:p w14:paraId="79AE6605" w14:textId="2A943E1D" w:rsidR="00D97D6C" w:rsidRPr="001D5327" w:rsidRDefault="00D97D6C" w:rsidP="00D97D6C">
      <w:pPr>
        <w:pStyle w:val="Bullet"/>
      </w:pPr>
      <w:r w:rsidRPr="001D5327">
        <w:t>All ammonia produced in New Zealand is processed into urea. Carbon dioxide emissions from the use of natural gas in ammonia production (feedstock) are reported under the IPPU sector and are included in CRT 1.AD. Emissions from fuel used for combustion are reported in CRT category 1.A.2.c.</w:t>
      </w:r>
    </w:p>
    <w:p w14:paraId="328CB6DE" w14:textId="3230DB6E" w:rsidR="00D97D6C" w:rsidRPr="001D5327" w:rsidRDefault="00D97D6C" w:rsidP="00D97D6C">
      <w:pPr>
        <w:pStyle w:val="Bullet"/>
      </w:pPr>
      <w:r w:rsidRPr="001D5327">
        <w:t>Bitumen produced in New Zealand is not used as a fuel but rather as a road construction material (non-energy use). Bitumen therefore has no associated direct emissions. Indirect emissions are reported under the IPPU sector.</w:t>
      </w:r>
    </w:p>
    <w:p w14:paraId="5B503DD6" w14:textId="77777777" w:rsidR="00D97D6C" w:rsidRPr="001D5327" w:rsidRDefault="00D97D6C" w:rsidP="00D97D6C">
      <w:pPr>
        <w:pStyle w:val="Bullet"/>
      </w:pPr>
      <w:r w:rsidRPr="001D5327">
        <w:t xml:space="preserve">Coal used in steel production at New Zealand Steel Limited is used as a reductant, which is part of an industrial process. Therefore, all emissions from this coal are reported under the IPPU sector rather than the Energy sector. </w:t>
      </w:r>
    </w:p>
    <w:p w14:paraId="306116C1" w14:textId="77777777" w:rsidR="00D97D6C" w:rsidRPr="001D5327" w:rsidRDefault="00D97D6C" w:rsidP="00D97D6C">
      <w:pPr>
        <w:pStyle w:val="BodyText"/>
        <w:rPr>
          <w:rFonts w:cs="Calibri"/>
          <w:lang w:eastAsia="en-GB"/>
        </w:rPr>
      </w:pPr>
      <w:r w:rsidRPr="001D5327">
        <w:rPr>
          <w:rFonts w:cs="Calibri"/>
          <w:lang w:eastAsia="en-GB"/>
        </w:rPr>
        <w:t>For the four industries using natural gas as feedstock, the fraction of carbon stored is given in table 3.1.2. Emissions for individual products are withheld because of confidentiality concerns.</w:t>
      </w:r>
    </w:p>
    <w:p w14:paraId="17B2C60E" w14:textId="77777777" w:rsidR="00D97D6C" w:rsidRPr="001D5327" w:rsidRDefault="00D97D6C" w:rsidP="00D97D6C">
      <w:pPr>
        <w:pStyle w:val="Table"/>
        <w:rPr>
          <w:rFonts w:cs="Calibri"/>
        </w:rPr>
      </w:pPr>
      <w:bookmarkStart w:id="182" w:name="_Toc507496589"/>
      <w:bookmarkStart w:id="183" w:name="_Toc36224523"/>
      <w:bookmarkStart w:id="184" w:name="_Toc68786404"/>
      <w:bookmarkStart w:id="185" w:name="_Toc164153803"/>
      <w:bookmarkStart w:id="186" w:name="_Toc194241668"/>
      <w:r w:rsidRPr="001D5327">
        <w:rPr>
          <w:rFonts w:cs="Calibri"/>
        </w:rPr>
        <w:t xml:space="preserve">Table 3.1.2 </w:t>
      </w:r>
      <w:r w:rsidRPr="001D5327">
        <w:rPr>
          <w:rFonts w:cs="Calibri"/>
        </w:rPr>
        <w:tab/>
        <w:t>Use of natural gas as a feedstock in New Zealand</w:t>
      </w:r>
      <w:bookmarkEnd w:id="182"/>
      <w:bookmarkEnd w:id="183"/>
      <w:bookmarkEnd w:id="184"/>
      <w:bookmarkEnd w:id="185"/>
      <w:bookmarkEnd w:id="186"/>
    </w:p>
    <w:tbl>
      <w:tblPr>
        <w:tblW w:w="8505" w:type="dxa"/>
        <w:tblBorders>
          <w:top w:val="single" w:sz="4" w:space="0" w:color="1B556B"/>
          <w:bottom w:val="single" w:sz="4" w:space="0" w:color="1B556B"/>
          <w:insideH w:val="single" w:sz="4" w:space="0" w:color="1B556B"/>
          <w:insideV w:val="single" w:sz="4" w:space="0" w:color="1B556B"/>
        </w:tblBorders>
        <w:tblLayout w:type="fixed"/>
        <w:tblLook w:val="04A0" w:firstRow="1" w:lastRow="0" w:firstColumn="1" w:lastColumn="0" w:noHBand="0" w:noVBand="1"/>
      </w:tblPr>
      <w:tblGrid>
        <w:gridCol w:w="1240"/>
        <w:gridCol w:w="2421"/>
        <w:gridCol w:w="2253"/>
        <w:gridCol w:w="2591"/>
      </w:tblGrid>
      <w:tr w:rsidR="00D97D6C" w:rsidRPr="001D5327" w14:paraId="24C9DF47" w14:textId="77777777" w:rsidTr="00B55F24">
        <w:trPr>
          <w:tblHeader/>
        </w:trPr>
        <w:tc>
          <w:tcPr>
            <w:tcW w:w="1129" w:type="dxa"/>
            <w:shd w:val="clear" w:color="auto" w:fill="1B556B"/>
            <w:noWrap/>
            <w:hideMark/>
          </w:tcPr>
          <w:p w14:paraId="4064B5B1" w14:textId="77777777" w:rsidR="00D97D6C" w:rsidRPr="001D5327" w:rsidRDefault="00D97D6C" w:rsidP="00B55F24">
            <w:pPr>
              <w:pStyle w:val="TableTextBold"/>
              <w:keepNext/>
              <w:spacing w:before="50" w:after="50"/>
              <w:rPr>
                <w:rFonts w:cs="Calibri"/>
                <w:noProof w:val="0"/>
                <w:color w:val="FFFFFF"/>
              </w:rPr>
            </w:pPr>
            <w:r w:rsidRPr="001D5327">
              <w:rPr>
                <w:rFonts w:cs="Calibri"/>
                <w:noProof w:val="0"/>
                <w:color w:val="FFFFFF"/>
              </w:rPr>
              <w:t>Product</w:t>
            </w:r>
          </w:p>
        </w:tc>
        <w:tc>
          <w:tcPr>
            <w:tcW w:w="2203" w:type="dxa"/>
            <w:shd w:val="clear" w:color="auto" w:fill="1B556B"/>
            <w:noWrap/>
            <w:hideMark/>
          </w:tcPr>
          <w:p w14:paraId="729B2063" w14:textId="77777777" w:rsidR="00D97D6C" w:rsidRPr="001D5327" w:rsidRDefault="00D97D6C" w:rsidP="00466E0A">
            <w:pPr>
              <w:pStyle w:val="TableTextBold"/>
              <w:keepNext/>
              <w:spacing w:before="50" w:after="50"/>
              <w:jc w:val="right"/>
              <w:rPr>
                <w:rFonts w:cs="Calibri"/>
                <w:noProof w:val="0"/>
                <w:color w:val="FFFFFF"/>
              </w:rPr>
            </w:pPr>
            <w:r w:rsidRPr="001D5327">
              <w:rPr>
                <w:rFonts w:cs="Calibri"/>
                <w:noProof w:val="0"/>
                <w:color w:val="FFFFFF"/>
              </w:rPr>
              <w:t>Percentage of carbon stored</w:t>
            </w:r>
          </w:p>
        </w:tc>
        <w:tc>
          <w:tcPr>
            <w:tcW w:w="2050" w:type="dxa"/>
            <w:shd w:val="clear" w:color="auto" w:fill="1B556B"/>
            <w:noWrap/>
            <w:hideMark/>
          </w:tcPr>
          <w:p w14:paraId="4436750B" w14:textId="77777777" w:rsidR="00D97D6C" w:rsidRPr="001D5327" w:rsidRDefault="00D97D6C" w:rsidP="00B55F24">
            <w:pPr>
              <w:pStyle w:val="TableTextBold"/>
              <w:keepNext/>
              <w:spacing w:before="50" w:after="50"/>
              <w:rPr>
                <w:rFonts w:cs="Calibri"/>
                <w:noProof w:val="0"/>
                <w:color w:val="FFFFFF"/>
              </w:rPr>
            </w:pPr>
            <w:r w:rsidRPr="001D5327">
              <w:rPr>
                <w:rFonts w:cs="Calibri"/>
                <w:noProof w:val="0"/>
                <w:color w:val="FFFFFF"/>
              </w:rPr>
              <w:t>Energy use reported under</w:t>
            </w:r>
          </w:p>
        </w:tc>
        <w:tc>
          <w:tcPr>
            <w:tcW w:w="2358" w:type="dxa"/>
            <w:shd w:val="clear" w:color="auto" w:fill="1B556B"/>
            <w:noWrap/>
            <w:hideMark/>
          </w:tcPr>
          <w:p w14:paraId="7835033B" w14:textId="77777777" w:rsidR="00D97D6C" w:rsidRPr="001D5327" w:rsidRDefault="00D97D6C" w:rsidP="00B55F24">
            <w:pPr>
              <w:pStyle w:val="TableTextBold"/>
              <w:keepNext/>
              <w:spacing w:before="50" w:after="50"/>
              <w:rPr>
                <w:rFonts w:cs="Calibri"/>
                <w:noProof w:val="0"/>
                <w:color w:val="FFFFFF"/>
              </w:rPr>
            </w:pPr>
            <w:r w:rsidRPr="001D5327">
              <w:rPr>
                <w:rFonts w:cs="Calibri"/>
                <w:noProof w:val="0"/>
                <w:color w:val="FFFFFF"/>
              </w:rPr>
              <w:t>Non-energy use reported under</w:t>
            </w:r>
          </w:p>
        </w:tc>
      </w:tr>
      <w:tr w:rsidR="00D97D6C" w:rsidRPr="001D5327" w14:paraId="3D42849B" w14:textId="77777777" w:rsidTr="00B55F24">
        <w:tc>
          <w:tcPr>
            <w:tcW w:w="1129" w:type="dxa"/>
            <w:shd w:val="clear" w:color="auto" w:fill="auto"/>
            <w:noWrap/>
            <w:hideMark/>
          </w:tcPr>
          <w:p w14:paraId="6F876F8C" w14:textId="77777777" w:rsidR="00D97D6C" w:rsidRPr="001D5327" w:rsidRDefault="00D97D6C" w:rsidP="00B55F24">
            <w:pPr>
              <w:pStyle w:val="TableText"/>
              <w:spacing w:before="50" w:after="50"/>
            </w:pPr>
            <w:r w:rsidRPr="001D5327">
              <w:t>Methanol</w:t>
            </w:r>
          </w:p>
        </w:tc>
        <w:tc>
          <w:tcPr>
            <w:tcW w:w="2203" w:type="dxa"/>
            <w:shd w:val="clear" w:color="auto" w:fill="auto"/>
            <w:noWrap/>
            <w:hideMark/>
          </w:tcPr>
          <w:p w14:paraId="39CF3603" w14:textId="77777777" w:rsidR="00D97D6C" w:rsidRPr="001D5327" w:rsidRDefault="00D97D6C" w:rsidP="00466E0A">
            <w:pPr>
              <w:pStyle w:val="TableText"/>
              <w:spacing w:before="50" w:after="50"/>
              <w:jc w:val="right"/>
            </w:pPr>
            <w:r w:rsidRPr="001D5327">
              <w:t>100</w:t>
            </w:r>
          </w:p>
        </w:tc>
        <w:tc>
          <w:tcPr>
            <w:tcW w:w="2050" w:type="dxa"/>
            <w:shd w:val="clear" w:color="auto" w:fill="auto"/>
            <w:noWrap/>
            <w:hideMark/>
          </w:tcPr>
          <w:p w14:paraId="5D57D725" w14:textId="77777777" w:rsidR="00D97D6C" w:rsidRPr="001D5327" w:rsidRDefault="00D97D6C" w:rsidP="00B55F24">
            <w:pPr>
              <w:pStyle w:val="TableText"/>
              <w:spacing w:before="50" w:after="50"/>
            </w:pPr>
            <w:r w:rsidRPr="001D5327">
              <w:t>1.A.2.c</w:t>
            </w:r>
          </w:p>
        </w:tc>
        <w:tc>
          <w:tcPr>
            <w:tcW w:w="2358" w:type="dxa"/>
            <w:shd w:val="clear" w:color="auto" w:fill="auto"/>
            <w:noWrap/>
            <w:hideMark/>
          </w:tcPr>
          <w:p w14:paraId="0DE5A047" w14:textId="77777777" w:rsidR="00D97D6C" w:rsidRPr="001D5327" w:rsidRDefault="00D97D6C" w:rsidP="00B55F24">
            <w:pPr>
              <w:pStyle w:val="TableText"/>
              <w:spacing w:before="50" w:after="50"/>
            </w:pPr>
            <w:r w:rsidRPr="001D5327">
              <w:t>NA</w:t>
            </w:r>
          </w:p>
        </w:tc>
      </w:tr>
      <w:tr w:rsidR="00D97D6C" w:rsidRPr="001D5327" w14:paraId="507B913B" w14:textId="77777777" w:rsidTr="00B55F24">
        <w:tc>
          <w:tcPr>
            <w:tcW w:w="1129" w:type="dxa"/>
            <w:shd w:val="clear" w:color="auto" w:fill="auto"/>
            <w:noWrap/>
          </w:tcPr>
          <w:p w14:paraId="3BE60CB8" w14:textId="77777777" w:rsidR="00D97D6C" w:rsidRPr="001D5327" w:rsidRDefault="00D97D6C" w:rsidP="00B55F24">
            <w:pPr>
              <w:pStyle w:val="TableText"/>
              <w:spacing w:before="50" w:after="50"/>
              <w:rPr>
                <w:szCs w:val="16"/>
              </w:rPr>
            </w:pPr>
            <w:r w:rsidRPr="001D5327">
              <w:rPr>
                <w:szCs w:val="16"/>
              </w:rPr>
              <w:t>Urea</w:t>
            </w:r>
          </w:p>
        </w:tc>
        <w:tc>
          <w:tcPr>
            <w:tcW w:w="2203" w:type="dxa"/>
            <w:shd w:val="clear" w:color="auto" w:fill="auto"/>
            <w:noWrap/>
          </w:tcPr>
          <w:p w14:paraId="0382C397" w14:textId="77777777" w:rsidR="00D97D6C" w:rsidRPr="001D5327" w:rsidRDefault="00D97D6C" w:rsidP="00466E0A">
            <w:pPr>
              <w:pStyle w:val="TableText"/>
              <w:spacing w:before="50" w:after="50"/>
              <w:jc w:val="right"/>
              <w:rPr>
                <w:szCs w:val="16"/>
              </w:rPr>
            </w:pPr>
            <w:r w:rsidRPr="001D5327">
              <w:rPr>
                <w:szCs w:val="16"/>
              </w:rPr>
              <w:t>80–93</w:t>
            </w:r>
            <w:r w:rsidRPr="001D5327">
              <w:rPr>
                <w:rStyle w:val="FootnoteReference"/>
                <w:sz w:val="16"/>
                <w:szCs w:val="16"/>
              </w:rPr>
              <w:footnoteReference w:id="20"/>
            </w:r>
          </w:p>
        </w:tc>
        <w:tc>
          <w:tcPr>
            <w:tcW w:w="2050" w:type="dxa"/>
            <w:shd w:val="clear" w:color="auto" w:fill="auto"/>
            <w:noWrap/>
          </w:tcPr>
          <w:p w14:paraId="4A963C0A" w14:textId="77777777" w:rsidR="00D97D6C" w:rsidRPr="001D5327" w:rsidRDefault="00D97D6C" w:rsidP="00B55F24">
            <w:pPr>
              <w:pStyle w:val="TableText"/>
              <w:spacing w:before="50" w:after="50"/>
              <w:rPr>
                <w:szCs w:val="16"/>
              </w:rPr>
            </w:pPr>
            <w:r w:rsidRPr="001D5327">
              <w:rPr>
                <w:szCs w:val="16"/>
              </w:rPr>
              <w:t>1.A.2.c</w:t>
            </w:r>
          </w:p>
        </w:tc>
        <w:tc>
          <w:tcPr>
            <w:tcW w:w="2358" w:type="dxa"/>
            <w:shd w:val="clear" w:color="auto" w:fill="auto"/>
            <w:noWrap/>
          </w:tcPr>
          <w:p w14:paraId="008A30B7" w14:textId="77777777" w:rsidR="00D97D6C" w:rsidRPr="001D5327" w:rsidRDefault="00D97D6C" w:rsidP="00B55F24">
            <w:pPr>
              <w:pStyle w:val="TableText"/>
              <w:spacing w:before="50" w:after="50"/>
              <w:rPr>
                <w:szCs w:val="16"/>
              </w:rPr>
            </w:pPr>
            <w:r w:rsidRPr="001D5327">
              <w:rPr>
                <w:szCs w:val="16"/>
              </w:rPr>
              <w:t>2.B.1</w:t>
            </w:r>
          </w:p>
        </w:tc>
      </w:tr>
      <w:tr w:rsidR="00D97D6C" w:rsidRPr="001D5327" w14:paraId="72648740" w14:textId="77777777" w:rsidTr="00B55F24">
        <w:tc>
          <w:tcPr>
            <w:tcW w:w="1129" w:type="dxa"/>
            <w:shd w:val="clear" w:color="auto" w:fill="auto"/>
            <w:noWrap/>
          </w:tcPr>
          <w:p w14:paraId="2F7F597B" w14:textId="77777777" w:rsidR="00D97D6C" w:rsidRPr="001D5327" w:rsidRDefault="00D97D6C" w:rsidP="00B55F24">
            <w:pPr>
              <w:pStyle w:val="TableText"/>
              <w:spacing w:before="50" w:after="50"/>
            </w:pPr>
            <w:r w:rsidRPr="001D5327">
              <w:t>Hydrogen</w:t>
            </w:r>
          </w:p>
        </w:tc>
        <w:tc>
          <w:tcPr>
            <w:tcW w:w="2203" w:type="dxa"/>
            <w:shd w:val="clear" w:color="auto" w:fill="auto"/>
            <w:noWrap/>
          </w:tcPr>
          <w:p w14:paraId="439888D8" w14:textId="77777777" w:rsidR="00D97D6C" w:rsidRPr="001D5327" w:rsidRDefault="00D97D6C" w:rsidP="00466E0A">
            <w:pPr>
              <w:pStyle w:val="TableText"/>
              <w:spacing w:before="50" w:after="50"/>
              <w:jc w:val="right"/>
            </w:pPr>
            <w:r w:rsidRPr="001D5327">
              <w:t>0</w:t>
            </w:r>
          </w:p>
        </w:tc>
        <w:tc>
          <w:tcPr>
            <w:tcW w:w="2050" w:type="dxa"/>
            <w:shd w:val="clear" w:color="auto" w:fill="auto"/>
            <w:noWrap/>
          </w:tcPr>
          <w:p w14:paraId="4DC6930C" w14:textId="77777777" w:rsidR="00D97D6C" w:rsidRPr="001D5327" w:rsidRDefault="00D97D6C" w:rsidP="00B55F24">
            <w:pPr>
              <w:pStyle w:val="TableText"/>
              <w:spacing w:before="50" w:after="50"/>
            </w:pPr>
            <w:r w:rsidRPr="001D5327">
              <w:t>1.A.2.c</w:t>
            </w:r>
          </w:p>
        </w:tc>
        <w:tc>
          <w:tcPr>
            <w:tcW w:w="2358" w:type="dxa"/>
            <w:shd w:val="clear" w:color="auto" w:fill="auto"/>
            <w:noWrap/>
          </w:tcPr>
          <w:p w14:paraId="5603FF43" w14:textId="77777777" w:rsidR="00D97D6C" w:rsidRPr="001D5327" w:rsidRDefault="00D97D6C" w:rsidP="00B55F24">
            <w:pPr>
              <w:pStyle w:val="TableText"/>
              <w:spacing w:before="50" w:after="50"/>
            </w:pPr>
            <w:r w:rsidRPr="001D5327">
              <w:t>2.B.10</w:t>
            </w:r>
          </w:p>
        </w:tc>
      </w:tr>
      <w:tr w:rsidR="00D97D6C" w:rsidRPr="001D5327" w14:paraId="72A975B2" w14:textId="77777777" w:rsidTr="00B55F24">
        <w:tc>
          <w:tcPr>
            <w:tcW w:w="1129" w:type="dxa"/>
            <w:shd w:val="clear" w:color="auto" w:fill="auto"/>
            <w:noWrap/>
          </w:tcPr>
          <w:p w14:paraId="15A5A142" w14:textId="77777777" w:rsidR="00D97D6C" w:rsidRPr="001D5327" w:rsidRDefault="00D97D6C" w:rsidP="00B55F24">
            <w:pPr>
              <w:pStyle w:val="TableText"/>
              <w:spacing w:before="50" w:after="50"/>
            </w:pPr>
            <w:r w:rsidRPr="001D5327">
              <w:t>Steel</w:t>
            </w:r>
          </w:p>
        </w:tc>
        <w:tc>
          <w:tcPr>
            <w:tcW w:w="2203" w:type="dxa"/>
            <w:shd w:val="clear" w:color="auto" w:fill="auto"/>
            <w:noWrap/>
          </w:tcPr>
          <w:p w14:paraId="0E280FF6" w14:textId="77777777" w:rsidR="00D97D6C" w:rsidRPr="001D5327" w:rsidRDefault="00D97D6C" w:rsidP="00466E0A">
            <w:pPr>
              <w:pStyle w:val="TableText"/>
              <w:spacing w:before="50" w:after="50"/>
              <w:jc w:val="right"/>
            </w:pPr>
            <w:r w:rsidRPr="001D5327">
              <w:t>0</w:t>
            </w:r>
          </w:p>
        </w:tc>
        <w:tc>
          <w:tcPr>
            <w:tcW w:w="2050" w:type="dxa"/>
            <w:shd w:val="clear" w:color="auto" w:fill="auto"/>
            <w:noWrap/>
          </w:tcPr>
          <w:p w14:paraId="31F8FF93" w14:textId="77777777" w:rsidR="00D97D6C" w:rsidRPr="001D5327" w:rsidRDefault="00D97D6C" w:rsidP="00B55F24">
            <w:pPr>
              <w:pStyle w:val="TableText"/>
              <w:spacing w:before="50" w:after="50"/>
            </w:pPr>
            <w:r w:rsidRPr="001D5327">
              <w:t>1.A.2.a</w:t>
            </w:r>
          </w:p>
        </w:tc>
        <w:tc>
          <w:tcPr>
            <w:tcW w:w="2358" w:type="dxa"/>
            <w:shd w:val="clear" w:color="auto" w:fill="auto"/>
            <w:noWrap/>
          </w:tcPr>
          <w:p w14:paraId="38716E83" w14:textId="77777777" w:rsidR="00D97D6C" w:rsidRPr="001D5327" w:rsidRDefault="00D97D6C" w:rsidP="00B55F24">
            <w:pPr>
              <w:pStyle w:val="TableText"/>
              <w:spacing w:before="50" w:after="50"/>
            </w:pPr>
            <w:r w:rsidRPr="001D5327">
              <w:t>2.C.1</w:t>
            </w:r>
          </w:p>
        </w:tc>
      </w:tr>
    </w:tbl>
    <w:p w14:paraId="6A153342" w14:textId="1C3F3D24" w:rsidR="00D97D6C" w:rsidRPr="001D5327" w:rsidRDefault="00D97D6C" w:rsidP="00D97D6C">
      <w:pPr>
        <w:pStyle w:val="Noteundertable"/>
        <w:rPr>
          <w:rFonts w:cs="Calibri"/>
        </w:rPr>
      </w:pPr>
      <w:r w:rsidRPr="001D5327">
        <w:rPr>
          <w:b/>
          <w:bCs/>
          <w:lang w:eastAsia="en-GB"/>
        </w:rPr>
        <w:t>Note:</w:t>
      </w:r>
      <w:r w:rsidRPr="001D5327">
        <w:rPr>
          <w:lang w:eastAsia="en-GB"/>
        </w:rPr>
        <w:t xml:space="preserve"> </w:t>
      </w:r>
      <w:r w:rsidR="007D34AD" w:rsidRPr="001D5327">
        <w:rPr>
          <w:lang w:eastAsia="en-GB"/>
        </w:rPr>
        <w:tab/>
      </w:r>
      <w:r w:rsidRPr="001D5327">
        <w:rPr>
          <w:lang w:eastAsia="en-GB"/>
        </w:rPr>
        <w:t>NA = not applicable.</w:t>
      </w:r>
    </w:p>
    <w:p w14:paraId="4A5C6615" w14:textId="4DF2F308" w:rsidR="00D97D6C" w:rsidRPr="001D5327" w:rsidRDefault="00D97D6C" w:rsidP="00D97D6C">
      <w:pPr>
        <w:pStyle w:val="BodyText"/>
        <w:rPr>
          <w:rFonts w:cs="Calibri"/>
        </w:rPr>
      </w:pPr>
      <w:r w:rsidRPr="001D5327">
        <w:rPr>
          <w:rFonts w:cs="Calibri"/>
        </w:rPr>
        <w:t xml:space="preserve">All ammonia produced in </w:t>
      </w:r>
      <w:r w:rsidRPr="001D5327">
        <w:t>New Zealand</w:t>
      </w:r>
      <w:r w:rsidRPr="001D5327">
        <w:rPr>
          <w:rFonts w:cs="Calibri"/>
        </w:rPr>
        <w:t xml:space="preserve"> is processed into urea, and the split of feedstock gas and fuel gas used in producing urea is provided by the company. Although most of the carbon in feedstock gas used for urea production is stored in the product, this carbon is later emitted when the urea is used on farms as fertiliser. These emissions are reported under </w:t>
      </w:r>
      <w:r w:rsidR="001E27EB" w:rsidRPr="001D5327">
        <w:rPr>
          <w:rFonts w:cs="Calibri"/>
        </w:rPr>
        <w:t>urea application in</w:t>
      </w:r>
      <w:r w:rsidRPr="001D5327">
        <w:rPr>
          <w:rFonts w:cs="Calibri"/>
        </w:rPr>
        <w:t xml:space="preserve"> the Agriculture sector </w:t>
      </w:r>
      <w:r w:rsidR="001E27EB" w:rsidRPr="001D5327">
        <w:rPr>
          <w:rFonts w:cs="Calibri"/>
        </w:rPr>
        <w:t>(chapter 5)</w:t>
      </w:r>
      <w:r w:rsidRPr="001D5327">
        <w:rPr>
          <w:rFonts w:cs="Calibri"/>
        </w:rPr>
        <w:t>.</w:t>
      </w:r>
    </w:p>
    <w:p w14:paraId="55C51E2D" w14:textId="77777777" w:rsidR="00D97D6C" w:rsidRPr="001D5327" w:rsidRDefault="00D97D6C" w:rsidP="008F4DF2">
      <w:pPr>
        <w:pStyle w:val="BodyText"/>
        <w:rPr>
          <w:rFonts w:cs="Calibri"/>
        </w:rPr>
      </w:pPr>
      <w:r w:rsidRPr="001D5327">
        <w:rPr>
          <w:rFonts w:cs="Calibri"/>
        </w:rPr>
        <w:lastRenderedPageBreak/>
        <w:t xml:space="preserve">Emissions from synthetic gasoline production are reported in the </w:t>
      </w:r>
      <w:r w:rsidRPr="001D5327">
        <w:rPr>
          <w:rFonts w:cs="Calibri"/>
          <w:i/>
          <w:lang w:eastAsia="en-GB"/>
        </w:rPr>
        <w:t>Manufacture of solid fuels and other energy industries</w:t>
      </w:r>
      <w:r w:rsidRPr="001D5327">
        <w:rPr>
          <w:rFonts w:cs="Calibri"/>
        </w:rPr>
        <w:t xml:space="preserve"> category. Synthetic gasoline production in </w:t>
      </w:r>
      <w:r w:rsidRPr="001D5327">
        <w:t>New Zealand</w:t>
      </w:r>
      <w:r w:rsidRPr="001D5327">
        <w:rPr>
          <w:rFonts w:cs="Calibri"/>
        </w:rPr>
        <w:t xml:space="preserve"> ceased in 1997.</w:t>
      </w:r>
    </w:p>
    <w:p w14:paraId="0623896E" w14:textId="77777777" w:rsidR="00D97D6C" w:rsidRPr="001D5327" w:rsidRDefault="00D97D6C" w:rsidP="008F4DF2">
      <w:pPr>
        <w:pStyle w:val="BodyText"/>
        <w:rPr>
          <w:rFonts w:cs="Calibri"/>
        </w:rPr>
      </w:pPr>
      <w:r w:rsidRPr="001D5327">
        <w:rPr>
          <w:rFonts w:cs="Calibri"/>
        </w:rPr>
        <w:t xml:space="preserve">The allocation of natural gas consumed for energy use versus non-energy use across time is shown in figure 3.1.2, and a table giving the energy versus non-energy use data for natural gas is included in annex 5. The trend in natural gas use in the </w:t>
      </w:r>
      <w:r w:rsidRPr="001D5327">
        <w:rPr>
          <w:rFonts w:cs="Calibri"/>
          <w:i/>
          <w:iCs/>
          <w:lang w:eastAsia="en-GB"/>
        </w:rPr>
        <w:t>Chemicals</w:t>
      </w:r>
      <w:r w:rsidRPr="001D5327">
        <w:rPr>
          <w:rFonts w:cs="Calibri"/>
        </w:rPr>
        <w:t xml:space="preserve"> category can be explained partly by events in the methanol production industry in </w:t>
      </w:r>
      <w:r w:rsidRPr="001D5327">
        <w:t>New Zealand</w:t>
      </w:r>
      <w:r w:rsidRPr="001D5327">
        <w:rPr>
          <w:rFonts w:cs="Calibri"/>
        </w:rPr>
        <w:t>.</w:t>
      </w:r>
    </w:p>
    <w:p w14:paraId="1C5BF5B7" w14:textId="6597DC83" w:rsidR="00D97D6C" w:rsidRPr="001D5327" w:rsidRDefault="00D97D6C" w:rsidP="008F4DF2">
      <w:pPr>
        <w:pStyle w:val="BodyText"/>
        <w:rPr>
          <w:rFonts w:cs="Calibri"/>
        </w:rPr>
      </w:pPr>
      <w:r w:rsidRPr="001D5327">
        <w:rPr>
          <w:rFonts w:cs="Calibri"/>
        </w:rPr>
        <w:t xml:space="preserve">Methanex New Zealand operates methanol production plants in the country and is a major gas user. Methanex significantly reduced its production in 2004 </w:t>
      </w:r>
      <w:r w:rsidR="00C51881" w:rsidRPr="001D5327">
        <w:rPr>
          <w:rFonts w:cs="Calibri"/>
        </w:rPr>
        <w:t xml:space="preserve">due to </w:t>
      </w:r>
      <w:r w:rsidR="00B26B59" w:rsidRPr="001D5327">
        <w:rPr>
          <w:rFonts w:cs="Calibri"/>
        </w:rPr>
        <w:t xml:space="preserve">insufficient </w:t>
      </w:r>
      <w:r w:rsidRPr="001D5327">
        <w:rPr>
          <w:rFonts w:cs="Calibri"/>
        </w:rPr>
        <w:t xml:space="preserve">gas supply in 2003, but increased its capacity </w:t>
      </w:r>
      <w:r w:rsidR="001E27EB" w:rsidRPr="001D5327">
        <w:rPr>
          <w:rFonts w:cs="Calibri"/>
        </w:rPr>
        <w:t>first</w:t>
      </w:r>
      <w:r w:rsidRPr="001D5327">
        <w:rPr>
          <w:rFonts w:cs="Calibri"/>
        </w:rPr>
        <w:t xml:space="preserve"> in 2008 and then further in 2012. Production at full capacity resumed in December 2013.</w:t>
      </w:r>
      <w:r w:rsidR="009C38FB" w:rsidRPr="001D5327">
        <w:rPr>
          <w:rFonts w:cs="Calibri"/>
        </w:rPr>
        <w:t xml:space="preserve"> </w:t>
      </w:r>
      <w:r w:rsidR="00BF4E03" w:rsidRPr="001D5327">
        <w:rPr>
          <w:rFonts w:cs="Calibri"/>
        </w:rPr>
        <w:t>T</w:t>
      </w:r>
      <w:r w:rsidR="009C38FB" w:rsidRPr="001D5327">
        <w:rPr>
          <w:rFonts w:cs="Calibri"/>
        </w:rPr>
        <w:t>he Waitara Valley plant</w:t>
      </w:r>
      <w:r w:rsidR="00BF4E03" w:rsidRPr="001D5327">
        <w:rPr>
          <w:rFonts w:cs="Calibri"/>
        </w:rPr>
        <w:t xml:space="preserve"> was mothballed</w:t>
      </w:r>
      <w:r w:rsidR="009C38FB" w:rsidRPr="001D5327">
        <w:rPr>
          <w:rFonts w:cs="Calibri"/>
        </w:rPr>
        <w:t xml:space="preserve"> in early</w:t>
      </w:r>
      <w:r w:rsidR="001E27EB" w:rsidRPr="001D5327">
        <w:rPr>
          <w:rFonts w:cs="Calibri"/>
        </w:rPr>
        <w:t> </w:t>
      </w:r>
      <w:r w:rsidR="009C38FB" w:rsidRPr="001D5327">
        <w:rPr>
          <w:rFonts w:cs="Calibri"/>
        </w:rPr>
        <w:t>2021.</w:t>
      </w:r>
    </w:p>
    <w:p w14:paraId="0EEE1C2A" w14:textId="7795C301" w:rsidR="00D97D6C" w:rsidRPr="001D5327" w:rsidRDefault="00D97D6C" w:rsidP="008F4DF2">
      <w:pPr>
        <w:pStyle w:val="BodyText"/>
        <w:rPr>
          <w:rFonts w:cs="Calibri"/>
        </w:rPr>
      </w:pPr>
      <w:r w:rsidRPr="001D5327">
        <w:rPr>
          <w:rFonts w:cs="Calibri"/>
        </w:rPr>
        <w:t xml:space="preserve">Details of natural gas use for the various non-energy uses are covered </w:t>
      </w:r>
      <w:r w:rsidR="006E3B52" w:rsidRPr="001D5327">
        <w:rPr>
          <w:rFonts w:cs="Calibri"/>
        </w:rPr>
        <w:t xml:space="preserve">in </w:t>
      </w:r>
      <w:r w:rsidR="001C4C26" w:rsidRPr="001D5327">
        <w:rPr>
          <w:rFonts w:cs="Calibri"/>
        </w:rPr>
        <w:t>chapter 4</w:t>
      </w:r>
      <w:r w:rsidR="001C4C26">
        <w:rPr>
          <w:rFonts w:cs="Calibri"/>
        </w:rPr>
        <w:t xml:space="preserve"> (</w:t>
      </w:r>
      <w:r w:rsidRPr="001D5327">
        <w:rPr>
          <w:rFonts w:cs="Calibri"/>
        </w:rPr>
        <w:t>IPPU</w:t>
      </w:r>
      <w:r w:rsidR="00AA5C92">
        <w:rPr>
          <w:rFonts w:cs="Calibri"/>
        </w:rPr>
        <w:t> </w:t>
      </w:r>
      <w:r w:rsidRPr="001D5327">
        <w:rPr>
          <w:rFonts w:cs="Calibri"/>
        </w:rPr>
        <w:t>sector).</w:t>
      </w:r>
    </w:p>
    <w:p w14:paraId="5FBB30F3" w14:textId="499A38DF" w:rsidR="00D97D6C" w:rsidRPr="001D5327" w:rsidRDefault="00D97D6C" w:rsidP="00D97D6C">
      <w:pPr>
        <w:pStyle w:val="Figure"/>
        <w:spacing w:after="80"/>
        <w:rPr>
          <w:rFonts w:cs="Calibri"/>
        </w:rPr>
      </w:pPr>
      <w:bookmarkStart w:id="187" w:name="_Toc481751985"/>
      <w:bookmarkStart w:id="188" w:name="_Toc36292769"/>
      <w:bookmarkStart w:id="189" w:name="_Toc68786634"/>
      <w:bookmarkStart w:id="190" w:name="_Toc164154005"/>
      <w:bookmarkStart w:id="191" w:name="_Toc194674838"/>
      <w:bookmarkStart w:id="192" w:name="_Toc95834069"/>
      <w:r w:rsidRPr="001D5327">
        <w:rPr>
          <w:rFonts w:cs="Calibri"/>
        </w:rPr>
        <w:t>Figure 3.1.2</w:t>
      </w:r>
      <w:r w:rsidRPr="001D5327">
        <w:tab/>
      </w:r>
      <w:r w:rsidRPr="001D5327">
        <w:rPr>
          <w:rFonts w:cs="Calibri"/>
        </w:rPr>
        <w:t>Natural gas consumption by end use type</w:t>
      </w:r>
      <w:bookmarkEnd w:id="187"/>
      <w:r w:rsidR="00636ED3" w:rsidRPr="001D5327">
        <w:rPr>
          <w:rFonts w:cs="Calibri"/>
        </w:rPr>
        <w:t>,</w:t>
      </w:r>
      <w:r w:rsidRPr="001D5327">
        <w:rPr>
          <w:rFonts w:cs="Calibri"/>
        </w:rPr>
        <w:t xml:space="preserve"> from 1990 to </w:t>
      </w:r>
      <w:bookmarkEnd w:id="188"/>
      <w:bookmarkEnd w:id="189"/>
      <w:bookmarkEnd w:id="190"/>
      <w:r w:rsidR="006A21DD" w:rsidRPr="001D5327">
        <w:rPr>
          <w:rFonts w:cs="Calibri"/>
        </w:rPr>
        <w:t>2023</w:t>
      </w:r>
      <w:bookmarkEnd w:id="191"/>
      <w:r w:rsidRPr="001D5327">
        <w:rPr>
          <w:rFonts w:cs="Calibri"/>
        </w:rPr>
        <w:t xml:space="preserve"> </w:t>
      </w:r>
      <w:bookmarkEnd w:id="192"/>
    </w:p>
    <w:p w14:paraId="2B51D53C" w14:textId="1BA31B23" w:rsidR="00D97D6C" w:rsidRPr="001D5327" w:rsidRDefault="003E09EA" w:rsidP="00D97D6C">
      <w:pPr>
        <w:pStyle w:val="BodyText"/>
        <w:spacing w:after="0"/>
        <w:rPr>
          <w:lang w:eastAsia="en-GB"/>
        </w:rPr>
      </w:pPr>
      <w:r w:rsidRPr="001D5327">
        <w:rPr>
          <w:noProof/>
          <w:lang w:eastAsia="en-GB"/>
        </w:rPr>
        <w:drawing>
          <wp:inline distT="0" distB="0" distL="0" distR="0" wp14:anchorId="43011E5D" wp14:editId="39796CFB">
            <wp:extent cx="5356746" cy="2678688"/>
            <wp:effectExtent l="0" t="0" r="0" b="7620"/>
            <wp:docPr id="16229424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42405" name="Graphic 1622942405"/>
                    <pic:cNvPicPr/>
                  </pic:nvPicPr>
                  <pic:blipFill>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5358975" cy="2679803"/>
                    </a:xfrm>
                    <a:prstGeom prst="rect">
                      <a:avLst/>
                    </a:prstGeom>
                  </pic:spPr>
                </pic:pic>
              </a:graphicData>
            </a:graphic>
          </wp:inline>
        </w:drawing>
      </w:r>
    </w:p>
    <w:p w14:paraId="7D6E3B68" w14:textId="77777777" w:rsidR="00D97D6C" w:rsidRPr="001D5327" w:rsidRDefault="00D97D6C" w:rsidP="008F4DF2">
      <w:pPr>
        <w:pStyle w:val="Heading3"/>
        <w:spacing w:before="120"/>
        <w:rPr>
          <w:rFonts w:cs="Calibri"/>
        </w:rPr>
      </w:pPr>
      <w:r w:rsidRPr="001D5327">
        <w:rPr>
          <w:rFonts w:cs="Calibri"/>
        </w:rPr>
        <w:t>3.1.6</w:t>
      </w:r>
      <w:r w:rsidRPr="001D5327">
        <w:rPr>
          <w:rFonts w:cs="Calibri"/>
        </w:rPr>
        <w:tab/>
        <w:t>Country-specific issues</w:t>
      </w:r>
    </w:p>
    <w:p w14:paraId="08E9F21B" w14:textId="77777777" w:rsidR="00D97D6C" w:rsidRPr="001D5327" w:rsidRDefault="00D97D6C" w:rsidP="00D97D6C">
      <w:pPr>
        <w:pStyle w:val="BodyText"/>
        <w:spacing w:before="100" w:after="100"/>
        <w:rPr>
          <w:rFonts w:cs="Calibri"/>
        </w:rPr>
      </w:pPr>
      <w:r w:rsidRPr="001D5327">
        <w:rPr>
          <w:rFonts w:cs="Calibri"/>
        </w:rPr>
        <w:t>Reporting for the Energy sector presents an issue related to the 2006</w:t>
      </w:r>
      <w:r w:rsidRPr="001D5327">
        <w:rPr>
          <w:rFonts w:cs="Calibri"/>
          <w:i/>
          <w:iCs/>
          <w:lang w:eastAsia="en-GB"/>
        </w:rPr>
        <w:t xml:space="preserve"> </w:t>
      </w:r>
      <w:r w:rsidRPr="001D5327">
        <w:rPr>
          <w:rFonts w:cs="Calibri"/>
        </w:rPr>
        <w:t>IPCC Guidelines (IPCC, 2006). The issue is described below.</w:t>
      </w:r>
    </w:p>
    <w:p w14:paraId="11F9A9E3" w14:textId="0DF36BA1" w:rsidR="00D97D6C" w:rsidRPr="001D5327" w:rsidRDefault="00D97D6C" w:rsidP="00D97D6C">
      <w:pPr>
        <w:pStyle w:val="Heading4"/>
        <w:spacing w:before="180"/>
        <w:rPr>
          <w:rFonts w:cs="Calibri"/>
        </w:rPr>
      </w:pPr>
      <w:r w:rsidRPr="001D5327">
        <w:rPr>
          <w:lang w:eastAsia="en-GB"/>
        </w:rPr>
        <w:t xml:space="preserve">Sectoral approach – </w:t>
      </w:r>
      <w:r w:rsidR="00F93EC8" w:rsidRPr="001D5327">
        <w:rPr>
          <w:lang w:eastAsia="en-GB"/>
        </w:rPr>
        <w:t>m</w:t>
      </w:r>
      <w:r w:rsidRPr="001D5327">
        <w:rPr>
          <w:lang w:eastAsia="en-GB"/>
        </w:rPr>
        <w:t>ethanol production</w:t>
      </w:r>
    </w:p>
    <w:p w14:paraId="31F72628" w14:textId="77777777" w:rsidR="00D97D6C" w:rsidRPr="001D5327" w:rsidRDefault="00D97D6C" w:rsidP="00D97D6C">
      <w:pPr>
        <w:pStyle w:val="BodyText"/>
        <w:spacing w:before="100" w:after="100"/>
        <w:rPr>
          <w:rFonts w:cs="Calibri"/>
        </w:rPr>
      </w:pPr>
      <w:r w:rsidRPr="001D5327">
        <w:rPr>
          <w:rFonts w:cs="Calibri"/>
        </w:rPr>
        <w:t xml:space="preserve">Sector activity data do not include non-energy use of fuels, and thus we do not need to modify emissions to account for the sequestration of carbon in methanol. Emissions from the natural gas used as fuel are reported in the CRT category 1.A.2.c </w:t>
      </w:r>
      <w:r w:rsidRPr="001D5327">
        <w:rPr>
          <w:rFonts w:cs="Calibri"/>
          <w:i/>
        </w:rPr>
        <w:t>Chemicals</w:t>
      </w:r>
      <w:r w:rsidRPr="001D5327">
        <w:rPr>
          <w:rFonts w:cs="Calibri"/>
        </w:rPr>
        <w:t xml:space="preserve"> under the Energy sector, and the emissions from the natural gas used as feedstock are described in chapter 4 (IPPU sector), section 4.3.2. </w:t>
      </w:r>
    </w:p>
    <w:p w14:paraId="717FAB50" w14:textId="77777777" w:rsidR="00D97D6C" w:rsidRPr="001D5327" w:rsidRDefault="00D97D6C" w:rsidP="00D97D6C">
      <w:pPr>
        <w:pStyle w:val="Heading3"/>
        <w:spacing w:before="280"/>
        <w:rPr>
          <w:rFonts w:cs="Calibri"/>
        </w:rPr>
      </w:pPr>
      <w:r w:rsidRPr="001D5327">
        <w:rPr>
          <w:rFonts w:cs="Calibri"/>
        </w:rPr>
        <w:t>3.1.7</w:t>
      </w:r>
      <w:r w:rsidRPr="001D5327">
        <w:rPr>
          <w:rFonts w:cs="Calibri"/>
        </w:rPr>
        <w:tab/>
        <w:t>New Zealand energy balance</w:t>
      </w:r>
    </w:p>
    <w:p w14:paraId="49DC13A6" w14:textId="2B91AFED" w:rsidR="00D97D6C" w:rsidRPr="001D5327" w:rsidRDefault="00D97D6C" w:rsidP="00D97D6C">
      <w:pPr>
        <w:pStyle w:val="BodyText"/>
        <w:spacing w:before="100" w:after="100"/>
      </w:pPr>
      <w:r w:rsidRPr="001D5327">
        <w:t>New Zealand’s</w:t>
      </w:r>
      <w:r w:rsidRPr="001D5327">
        <w:rPr>
          <w:rFonts w:cs="Calibri"/>
        </w:rPr>
        <w:t xml:space="preserve"> energy balance, along with comprehensive information and analysis of energy supply and demand, is published annually in </w:t>
      </w:r>
      <w:r w:rsidRPr="001D5327">
        <w:rPr>
          <w:rFonts w:cs="Calibri"/>
          <w:i/>
        </w:rPr>
        <w:t>Energy in New Zealand</w:t>
      </w:r>
      <w:r w:rsidRPr="001D5327">
        <w:rPr>
          <w:rFonts w:cs="Calibri"/>
        </w:rPr>
        <w:t xml:space="preserve"> (MBIE, </w:t>
      </w:r>
      <w:r w:rsidR="006A21DD" w:rsidRPr="001D5327">
        <w:rPr>
          <w:rFonts w:cs="Calibri"/>
        </w:rPr>
        <w:t>2024</w:t>
      </w:r>
      <w:r w:rsidR="002D4006" w:rsidRPr="001D5327">
        <w:rPr>
          <w:rFonts w:cs="Calibri"/>
        </w:rPr>
        <w:t>a</w:t>
      </w:r>
      <w:r w:rsidRPr="001D5327">
        <w:rPr>
          <w:rFonts w:cs="Calibri"/>
        </w:rPr>
        <w:t xml:space="preserve">). It covers energy statistics and includes supply and demand by fuel types, energy balance tables, pricing information and international comparisons. An electronic copy of this report is available online </w:t>
      </w:r>
      <w:r w:rsidRPr="001D5327">
        <w:rPr>
          <w:rFonts w:cs="Calibri"/>
        </w:rPr>
        <w:lastRenderedPageBreak/>
        <w:t xml:space="preserve">at: </w:t>
      </w:r>
      <w:hyperlink r:id="rId59" w:history="1">
        <w:r w:rsidRPr="001D5327">
          <w:rPr>
            <w:rStyle w:val="Hyperlink"/>
          </w:rPr>
          <w:t>www.mbie.govt.nz/building-and-energy/energy-and-natural-resources/energy-statistics-and-modelling/energy-publications-and-technical-papers/energy-in-new-zealand</w:t>
        </w:r>
      </w:hyperlink>
      <w:r w:rsidRPr="001D5327">
        <w:t>.</w:t>
      </w:r>
    </w:p>
    <w:p w14:paraId="1AEA9D40" w14:textId="1E0582AA" w:rsidR="00D97D6C" w:rsidRPr="001D5327" w:rsidRDefault="00D97D6C" w:rsidP="00D97D6C">
      <w:pPr>
        <w:pStyle w:val="BodyText"/>
        <w:spacing w:before="100" w:after="100"/>
        <w:rPr>
          <w:rFonts w:cs="Calibri"/>
          <w:iCs/>
          <w:lang w:eastAsia="en-GB"/>
        </w:rPr>
      </w:pPr>
      <w:r w:rsidRPr="001D5327">
        <w:rPr>
          <w:rFonts w:cs="Calibri"/>
          <w:iCs/>
          <w:lang w:eastAsia="en-GB"/>
        </w:rPr>
        <w:t>For the most part, categories and fuels from the energy balance correspond directly with the</w:t>
      </w:r>
      <w:r w:rsidR="00A26B1B" w:rsidRPr="001D5327">
        <w:rPr>
          <w:rFonts w:cs="Calibri"/>
          <w:iCs/>
          <w:lang w:eastAsia="en-GB"/>
        </w:rPr>
        <w:t> </w:t>
      </w:r>
      <w:r w:rsidRPr="001D5327">
        <w:rPr>
          <w:rFonts w:cs="Calibri"/>
          <w:iCs/>
          <w:lang w:eastAsia="en-GB"/>
        </w:rPr>
        <w:t xml:space="preserve">categories and fuels in CRT 1.A(b). A few special cases occur, as follows, where the structure of the CRT does not align with </w:t>
      </w:r>
      <w:r w:rsidRPr="001D5327">
        <w:t>New Zealand’s</w:t>
      </w:r>
      <w:r w:rsidRPr="001D5327">
        <w:rPr>
          <w:rFonts w:cs="Calibri"/>
          <w:iCs/>
          <w:lang w:eastAsia="en-GB"/>
        </w:rPr>
        <w:t xml:space="preserve"> energy balance.</w:t>
      </w:r>
    </w:p>
    <w:p w14:paraId="359F60D7" w14:textId="547274F2" w:rsidR="00D97D6C" w:rsidRPr="001D5327" w:rsidRDefault="00D97D6C" w:rsidP="00D97D6C">
      <w:pPr>
        <w:pStyle w:val="Bullet"/>
        <w:rPr>
          <w:lang w:eastAsia="en-GB"/>
        </w:rPr>
      </w:pPr>
      <w:r w:rsidRPr="001D5327">
        <w:rPr>
          <w:lang w:eastAsia="en-GB"/>
        </w:rPr>
        <w:t xml:space="preserve">In the </w:t>
      </w:r>
      <w:r w:rsidRPr="001D5327">
        <w:t>New Zealand</w:t>
      </w:r>
      <w:r w:rsidRPr="001D5327">
        <w:rPr>
          <w:lang w:eastAsia="en-GB"/>
        </w:rPr>
        <w:t xml:space="preserve"> energy balance table, crude oil and refinery feedstocks are combined, whereas in CRT 1.A(b) these are separate line items.</w:t>
      </w:r>
    </w:p>
    <w:p w14:paraId="3E52E19C" w14:textId="4E74B164" w:rsidR="00D97D6C" w:rsidRPr="001D5327" w:rsidRDefault="00D97D6C" w:rsidP="00D97D6C">
      <w:pPr>
        <w:pStyle w:val="Bullet"/>
        <w:rPr>
          <w:lang w:eastAsia="en-GB"/>
        </w:rPr>
      </w:pPr>
      <w:r w:rsidRPr="001D5327">
        <w:rPr>
          <w:lang w:eastAsia="en-GB"/>
        </w:rPr>
        <w:t xml:space="preserve">In </w:t>
      </w:r>
      <w:r w:rsidRPr="001D5327">
        <w:t>New Zealand</w:t>
      </w:r>
      <w:r w:rsidRPr="001D5327">
        <w:rPr>
          <w:lang w:eastAsia="en-GB"/>
        </w:rPr>
        <w:t>,</w:t>
      </w:r>
      <w:r w:rsidRPr="001D5327">
        <w:t xml:space="preserve"> </w:t>
      </w:r>
      <w:r w:rsidRPr="001D5327">
        <w:rPr>
          <w:lang w:eastAsia="en-GB"/>
        </w:rPr>
        <w:t>liquefied petroleum gas (LPG) is considered a primary fuel and indigenous production is included in the national energy balance as such. The CRT does not allow</w:t>
      </w:r>
      <w:r w:rsidR="00255D7B" w:rsidRPr="001D5327">
        <w:rPr>
          <w:lang w:eastAsia="en-GB"/>
        </w:rPr>
        <w:t xml:space="preserve"> </w:t>
      </w:r>
      <w:r w:rsidRPr="001D5327">
        <w:rPr>
          <w:lang w:eastAsia="en-GB"/>
        </w:rPr>
        <w:t xml:space="preserve">entry of LPG production, so it is included in natural gas production and then allocated to </w:t>
      </w:r>
      <w:r w:rsidR="00294228" w:rsidRPr="001D5327">
        <w:rPr>
          <w:lang w:eastAsia="en-GB"/>
        </w:rPr>
        <w:t>LPG</w:t>
      </w:r>
      <w:r w:rsidRPr="001D5327">
        <w:rPr>
          <w:lang w:eastAsia="en-GB"/>
        </w:rPr>
        <w:t xml:space="preserve"> via stock change.</w:t>
      </w:r>
    </w:p>
    <w:p w14:paraId="0CA5FEC8" w14:textId="1FF898FA" w:rsidR="00D97D6C" w:rsidRPr="001D5327" w:rsidRDefault="00D97D6C" w:rsidP="00D97D6C">
      <w:pPr>
        <w:pStyle w:val="Bullet"/>
        <w:rPr>
          <w:lang w:eastAsia="en-GB"/>
        </w:rPr>
      </w:pPr>
      <w:r w:rsidRPr="001D5327">
        <w:t>New Zealand’s</w:t>
      </w:r>
      <w:r w:rsidRPr="001D5327">
        <w:rPr>
          <w:lang w:eastAsia="en-GB"/>
        </w:rPr>
        <w:t xml:space="preserve"> energy balance includes the production of synthetic gasoline from natural gas under energy transformation. The CRT does not allow entry of synthetic gasoline transformation, so it is included in natural gas production and then allocated to gasoline via stock change.</w:t>
      </w:r>
    </w:p>
    <w:p w14:paraId="572C01B7" w14:textId="77777777" w:rsidR="00D97D6C" w:rsidRPr="001D5327" w:rsidRDefault="00D97D6C" w:rsidP="00D97D6C">
      <w:pPr>
        <w:pStyle w:val="BodyText"/>
        <w:spacing w:before="100" w:after="100"/>
        <w:rPr>
          <w:rFonts w:cs="Calibri"/>
          <w:iCs/>
          <w:lang w:eastAsia="en-GB"/>
        </w:rPr>
      </w:pPr>
      <w:r w:rsidRPr="001D5327">
        <w:rPr>
          <w:rFonts w:cs="Calibri"/>
          <w:iCs/>
          <w:lang w:eastAsia="en-GB"/>
        </w:rPr>
        <w:t>These allocations allow a more meaningful comparison with the sectoral approach data for liquid and gaseous fuels.</w:t>
      </w:r>
    </w:p>
    <w:p w14:paraId="4E4AB920" w14:textId="77777777" w:rsidR="00D97D6C" w:rsidRPr="001D5327" w:rsidRDefault="00D97D6C" w:rsidP="00D97D6C">
      <w:pPr>
        <w:pStyle w:val="Heading2"/>
      </w:pPr>
      <w:bookmarkStart w:id="193" w:name="_Toc321398810"/>
      <w:bookmarkStart w:id="194" w:name="_Toc384581636"/>
      <w:bookmarkStart w:id="195" w:name="_Toc448321508"/>
      <w:bookmarkStart w:id="196" w:name="_Toc481751370"/>
      <w:bookmarkStart w:id="197" w:name="_Toc36224387"/>
      <w:bookmarkStart w:id="198" w:name="_Toc68786307"/>
      <w:bookmarkStart w:id="199" w:name="_Toc164154175"/>
      <w:bookmarkStart w:id="200" w:name="_Toc194311999"/>
      <w:r w:rsidRPr="001D5327">
        <w:t>3.2</w:t>
      </w:r>
      <w:r w:rsidRPr="001D5327">
        <w:tab/>
        <w:t>Fuel combustion (CRT 1.A)</w:t>
      </w:r>
      <w:bookmarkEnd w:id="193"/>
      <w:bookmarkEnd w:id="194"/>
      <w:bookmarkEnd w:id="195"/>
      <w:bookmarkEnd w:id="196"/>
      <w:bookmarkEnd w:id="197"/>
      <w:bookmarkEnd w:id="198"/>
      <w:bookmarkEnd w:id="199"/>
      <w:bookmarkEnd w:id="200"/>
    </w:p>
    <w:p w14:paraId="23ACCCD4" w14:textId="77777777" w:rsidR="00D97D6C" w:rsidRPr="001D5327" w:rsidRDefault="00D97D6C" w:rsidP="00D97D6C">
      <w:pPr>
        <w:pStyle w:val="Heading3"/>
        <w:spacing w:before="240"/>
      </w:pPr>
      <w:bookmarkStart w:id="201" w:name="_Ref442177031"/>
      <w:r w:rsidRPr="001D5327">
        <w:t>3.2.1</w:t>
      </w:r>
      <w:r w:rsidRPr="001D5327">
        <w:tab/>
        <w:t xml:space="preserve">Sector-wide </w:t>
      </w:r>
      <w:bookmarkEnd w:id="201"/>
      <w:r w:rsidRPr="001D5327">
        <w:t>description</w:t>
      </w:r>
    </w:p>
    <w:p w14:paraId="373AB071" w14:textId="59272BA7" w:rsidR="00D97D6C" w:rsidRPr="001D5327" w:rsidRDefault="00D97D6C" w:rsidP="00D97D6C">
      <w:pPr>
        <w:pStyle w:val="BodyText"/>
        <w:rPr>
          <w:rFonts w:cs="Calibri"/>
        </w:rPr>
      </w:pPr>
      <w:r w:rsidRPr="001D5327">
        <w:rPr>
          <w:rFonts w:cs="Calibri"/>
        </w:rPr>
        <w:t xml:space="preserve">The </w:t>
      </w:r>
      <w:r w:rsidRPr="001D5327">
        <w:rPr>
          <w:rFonts w:cs="Calibri"/>
          <w:i/>
          <w:lang w:eastAsia="en-GB"/>
        </w:rPr>
        <w:t>Fuel combustion</w:t>
      </w:r>
      <w:r w:rsidRPr="001D5327">
        <w:rPr>
          <w:rFonts w:cs="Calibri"/>
        </w:rPr>
        <w:t xml:space="preserve"> category reports all fuel combustion activities from 1.A.1 </w:t>
      </w:r>
      <w:r w:rsidRPr="001D5327">
        <w:rPr>
          <w:rFonts w:cs="Calibri"/>
          <w:i/>
          <w:lang w:eastAsia="en-GB"/>
        </w:rPr>
        <w:t>Energy industries</w:t>
      </w:r>
      <w:r w:rsidRPr="001D5327">
        <w:rPr>
          <w:rFonts w:cs="Calibri"/>
        </w:rPr>
        <w:t xml:space="preserve">, 1.A.2 </w:t>
      </w:r>
      <w:r w:rsidRPr="001D5327">
        <w:rPr>
          <w:rFonts w:cs="Calibri"/>
          <w:i/>
          <w:lang w:eastAsia="en-GB"/>
        </w:rPr>
        <w:t>Manufacturing industries and construction</w:t>
      </w:r>
      <w:r w:rsidRPr="001D5327">
        <w:rPr>
          <w:rFonts w:cs="Calibri"/>
        </w:rPr>
        <w:t xml:space="preserve">, 1.A.3 </w:t>
      </w:r>
      <w:r w:rsidRPr="001D5327">
        <w:rPr>
          <w:rFonts w:cs="Calibri"/>
          <w:i/>
          <w:lang w:eastAsia="en-GB"/>
        </w:rPr>
        <w:t>Transport</w:t>
      </w:r>
      <w:r w:rsidRPr="001D5327">
        <w:rPr>
          <w:rFonts w:cs="Calibri"/>
        </w:rPr>
        <w:t xml:space="preserve"> and 1.A.4 </w:t>
      </w:r>
      <w:r w:rsidRPr="001D5327">
        <w:rPr>
          <w:rFonts w:cs="Calibri"/>
          <w:i/>
          <w:lang w:eastAsia="en-GB"/>
        </w:rPr>
        <w:t>Other</w:t>
      </w:r>
      <w:r w:rsidR="00B16E56" w:rsidRPr="001D5327">
        <w:rPr>
          <w:rFonts w:cs="Calibri"/>
          <w:i/>
          <w:lang w:eastAsia="en-GB"/>
        </w:rPr>
        <w:t xml:space="preserve"> </w:t>
      </w:r>
      <w:r w:rsidRPr="001D5327">
        <w:rPr>
          <w:rFonts w:cs="Calibri"/>
          <w:i/>
          <w:lang w:eastAsia="en-GB"/>
        </w:rPr>
        <w:t>sectors</w:t>
      </w:r>
      <w:r w:rsidRPr="001D5327">
        <w:rPr>
          <w:rFonts w:cs="Calibri"/>
        </w:rPr>
        <w:t xml:space="preserve"> categories (see figure 3.2.1). These categories use common activity data sources</w:t>
      </w:r>
      <w:r w:rsidR="00294228" w:rsidRPr="001D5327">
        <w:rPr>
          <w:rFonts w:cs="Calibri"/>
        </w:rPr>
        <w:t xml:space="preserve"> </w:t>
      </w:r>
      <w:r w:rsidRPr="001D5327">
        <w:rPr>
          <w:rFonts w:cs="Calibri"/>
        </w:rPr>
        <w:t>and</w:t>
      </w:r>
      <w:r w:rsidR="00442804" w:rsidRPr="001D5327">
        <w:rPr>
          <w:rFonts w:cs="Calibri"/>
        </w:rPr>
        <w:t xml:space="preserve"> </w:t>
      </w:r>
      <w:r w:rsidRPr="001D5327">
        <w:rPr>
          <w:rFonts w:cs="Calibri"/>
        </w:rPr>
        <w:t>emission factors. The CRT</w:t>
      </w:r>
      <w:r w:rsidR="001433D8" w:rsidRPr="001D5327">
        <w:rPr>
          <w:rFonts w:cs="Calibri"/>
        </w:rPr>
        <w:t>s</w:t>
      </w:r>
      <w:r w:rsidRPr="001D5327">
        <w:rPr>
          <w:rFonts w:cs="Calibri"/>
        </w:rPr>
        <w:t xml:space="preserve"> require energy emissions to be reported by category. Apportioning energy activity data across categories is not as accurate as apportioning activity data by fuel type because of difficulties in allocating liquid fuel to the appropriate categories.</w:t>
      </w:r>
    </w:p>
    <w:p w14:paraId="618FA734" w14:textId="3FCE7556" w:rsidR="00D97D6C" w:rsidRPr="001D5327" w:rsidRDefault="00D97D6C" w:rsidP="00D97D6C">
      <w:pPr>
        <w:pStyle w:val="BodyText"/>
        <w:rPr>
          <w:rFonts w:cs="Calibri"/>
        </w:rPr>
      </w:pPr>
      <w:r w:rsidRPr="001D5327">
        <w:rPr>
          <w:rFonts w:cs="Calibri"/>
        </w:rPr>
        <w:t>Information about methodologies, emission factors, uncertainty, and quality control and assurance for each of the categories is discussed below.</w:t>
      </w:r>
    </w:p>
    <w:p w14:paraId="5F0E7305" w14:textId="0072B290" w:rsidR="00D97D6C" w:rsidRPr="001D5327" w:rsidRDefault="00D97D6C" w:rsidP="00D97D6C">
      <w:pPr>
        <w:pStyle w:val="Figure"/>
        <w:rPr>
          <w:rFonts w:cs="Calibri"/>
        </w:rPr>
      </w:pPr>
      <w:bookmarkStart w:id="202" w:name="_Toc321399324"/>
      <w:bookmarkStart w:id="203" w:name="_Toc384582850"/>
      <w:bookmarkStart w:id="204" w:name="_Toc443060811"/>
      <w:bookmarkStart w:id="205" w:name="_Toc447275668"/>
      <w:bookmarkStart w:id="206" w:name="_Toc481751986"/>
      <w:bookmarkStart w:id="207" w:name="_Toc36292770"/>
      <w:bookmarkStart w:id="208" w:name="_Toc68786635"/>
      <w:bookmarkStart w:id="209" w:name="_Toc95834070"/>
      <w:bookmarkStart w:id="210" w:name="_Toc164154006"/>
      <w:bookmarkStart w:id="211" w:name="_Toc194674839"/>
      <w:r w:rsidRPr="001D5327">
        <w:rPr>
          <w:rFonts w:cs="Calibri"/>
        </w:rPr>
        <w:t>Figure 3.2.</w:t>
      </w:r>
      <w:r w:rsidRPr="001D5327">
        <w:rPr>
          <w:rFonts w:cs="Calibri"/>
        </w:rPr>
        <w:fldChar w:fldCharType="begin"/>
      </w:r>
      <w:r w:rsidRPr="001D5327">
        <w:rPr>
          <w:rFonts w:cs="Calibri"/>
        </w:rPr>
        <w:instrText xml:space="preserve"> SEQ Figure \* ARABIC \s 2 </w:instrText>
      </w:r>
      <w:r w:rsidRPr="001D5327">
        <w:rPr>
          <w:rFonts w:cs="Calibri"/>
        </w:rPr>
        <w:fldChar w:fldCharType="separate"/>
      </w:r>
      <w:r w:rsidR="00B93180">
        <w:rPr>
          <w:rFonts w:cs="Calibri"/>
          <w:noProof/>
        </w:rPr>
        <w:t>1</w:t>
      </w:r>
      <w:r w:rsidRPr="001D5327">
        <w:rPr>
          <w:rFonts w:cs="Calibri"/>
        </w:rPr>
        <w:fldChar w:fldCharType="end"/>
      </w:r>
      <w:r w:rsidRPr="001D5327">
        <w:tab/>
      </w:r>
      <w:r w:rsidRPr="001D5327">
        <w:rPr>
          <w:rFonts w:cs="Calibri"/>
        </w:rPr>
        <w:t xml:space="preserve">New Zealand’s emissions from the </w:t>
      </w:r>
      <w:r w:rsidR="00294228" w:rsidRPr="001D5327">
        <w:rPr>
          <w:rFonts w:cs="Calibri"/>
          <w:i/>
          <w:iCs/>
        </w:rPr>
        <w:t>F</w:t>
      </w:r>
      <w:r w:rsidRPr="001D5327">
        <w:rPr>
          <w:rFonts w:cs="Calibri"/>
          <w:i/>
          <w:iCs/>
        </w:rPr>
        <w:t>uel</w:t>
      </w:r>
      <w:r w:rsidRPr="001D5327">
        <w:rPr>
          <w:rFonts w:cs="Calibri"/>
          <w:i/>
        </w:rPr>
        <w:t xml:space="preserve"> combustion</w:t>
      </w:r>
      <w:r w:rsidRPr="001D5327">
        <w:rPr>
          <w:rFonts w:cs="Calibri"/>
        </w:rPr>
        <w:t xml:space="preserve"> categor</w:t>
      </w:r>
      <w:r w:rsidRPr="001D5327" w:rsidDel="00294228">
        <w:rPr>
          <w:rFonts w:cs="Calibri"/>
        </w:rPr>
        <w:t>ies</w:t>
      </w:r>
      <w:r w:rsidR="00636ED3" w:rsidRPr="001D5327">
        <w:rPr>
          <w:rFonts w:cs="Calibri"/>
        </w:rPr>
        <w:t>,</w:t>
      </w:r>
      <w:r w:rsidRPr="001D5327">
        <w:rPr>
          <w:rFonts w:cs="Calibri"/>
        </w:rPr>
        <w:t xml:space="preserve"> 1990</w:t>
      </w:r>
      <w:bookmarkEnd w:id="202"/>
      <w:r w:rsidRPr="001D5327">
        <w:rPr>
          <w:rFonts w:cs="Calibri"/>
        </w:rPr>
        <w:t xml:space="preserve"> </w:t>
      </w:r>
      <w:r w:rsidR="00BF4E03" w:rsidRPr="001D5327">
        <w:rPr>
          <w:rFonts w:cs="Calibri"/>
        </w:rPr>
        <w:t>versus</w:t>
      </w:r>
      <w:r w:rsidRPr="001D5327">
        <w:rPr>
          <w:rFonts w:cs="Calibri"/>
        </w:rPr>
        <w:t xml:space="preserve"> </w:t>
      </w:r>
      <w:bookmarkEnd w:id="203"/>
      <w:bookmarkEnd w:id="204"/>
      <w:bookmarkEnd w:id="205"/>
      <w:bookmarkEnd w:id="206"/>
      <w:bookmarkEnd w:id="207"/>
      <w:bookmarkEnd w:id="208"/>
      <w:bookmarkEnd w:id="209"/>
      <w:bookmarkEnd w:id="210"/>
      <w:r w:rsidR="006A21DD" w:rsidRPr="001D5327">
        <w:rPr>
          <w:rFonts w:cs="Calibri"/>
        </w:rPr>
        <w:t>2023</w:t>
      </w:r>
      <w:bookmarkEnd w:id="211"/>
    </w:p>
    <w:p w14:paraId="485F6DB1" w14:textId="2ADA9929" w:rsidR="00D97D6C" w:rsidRPr="001D5327" w:rsidRDefault="008F4DF2" w:rsidP="00D97D6C">
      <w:pPr>
        <w:pStyle w:val="BodyText"/>
        <w:spacing w:before="100" w:after="0"/>
        <w:rPr>
          <w:rFonts w:cs="Calibri"/>
        </w:rPr>
      </w:pPr>
      <w:r w:rsidRPr="001D5327">
        <w:rPr>
          <w:rFonts w:cs="Calibri"/>
          <w:noProof/>
        </w:rPr>
        <w:drawing>
          <wp:inline distT="0" distB="0" distL="0" distR="0" wp14:anchorId="610FE566" wp14:editId="0E3C7781">
            <wp:extent cx="5233917" cy="2486823"/>
            <wp:effectExtent l="0" t="0" r="5080" b="8890"/>
            <wp:docPr id="492802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a:extLst>
                        <a:ext uri="{28A0092B-C50C-407E-A947-70E740481C1C}">
                          <a14:useLocalDpi xmlns:a14="http://schemas.microsoft.com/office/drawing/2010/main" val="0"/>
                        </a:ext>
                      </a:extLst>
                    </a:blip>
                    <a:srcRect b="4984"/>
                    <a:stretch/>
                  </pic:blipFill>
                  <pic:spPr bwMode="auto">
                    <a:xfrm>
                      <a:off x="0" y="0"/>
                      <a:ext cx="5241151" cy="2490260"/>
                    </a:xfrm>
                    <a:prstGeom prst="rect">
                      <a:avLst/>
                    </a:prstGeom>
                    <a:noFill/>
                    <a:ln>
                      <a:noFill/>
                    </a:ln>
                    <a:extLst>
                      <a:ext uri="{53640926-AAD7-44D8-BBD7-CCE9431645EC}">
                        <a14:shadowObscured xmlns:a14="http://schemas.microsoft.com/office/drawing/2010/main"/>
                      </a:ext>
                    </a:extLst>
                  </pic:spPr>
                </pic:pic>
              </a:graphicData>
            </a:graphic>
          </wp:inline>
        </w:drawing>
      </w:r>
    </w:p>
    <w:p w14:paraId="10000834" w14:textId="69507C44" w:rsidR="00D97D6C" w:rsidRPr="001D5327" w:rsidRDefault="00D97D6C" w:rsidP="00D97D6C">
      <w:pPr>
        <w:pStyle w:val="Heading3"/>
        <w:rPr>
          <w:rFonts w:cs="Calibri"/>
        </w:rPr>
      </w:pPr>
      <w:r w:rsidRPr="001D5327">
        <w:rPr>
          <w:rFonts w:cs="Calibri"/>
        </w:rPr>
        <w:lastRenderedPageBreak/>
        <w:t>3.2.2</w:t>
      </w:r>
      <w:r w:rsidR="00396F88" w:rsidRPr="001D5327">
        <w:rPr>
          <w:rFonts w:cs="Calibri"/>
        </w:rPr>
        <w:tab/>
      </w:r>
      <w:r w:rsidRPr="001D5327">
        <w:rPr>
          <w:rFonts w:cs="Calibri"/>
        </w:rPr>
        <w:t>Methodological issues</w:t>
      </w:r>
    </w:p>
    <w:p w14:paraId="6C4771C1" w14:textId="3D16E723" w:rsidR="00D97D6C" w:rsidRPr="001D5327" w:rsidRDefault="00D97D6C" w:rsidP="00D97D6C">
      <w:pPr>
        <w:pStyle w:val="BodyText"/>
        <w:spacing w:before="100" w:after="100"/>
        <w:rPr>
          <w:rFonts w:cs="Calibri"/>
        </w:rPr>
      </w:pPr>
      <w:r w:rsidRPr="001D5327">
        <w:rPr>
          <w:rFonts w:cs="Calibri"/>
        </w:rPr>
        <w:t>Energy emissions are compiled using MBIE’s energy statistics, along with relevant New Zealand-specific emission factors. Unless otherwise noted in the relevant section, CO</w:t>
      </w:r>
      <w:r w:rsidRPr="001D5327">
        <w:rPr>
          <w:rFonts w:cs="Calibri"/>
          <w:vertAlign w:val="subscript"/>
          <w:lang w:eastAsia="en-GB"/>
        </w:rPr>
        <w:t>2</w:t>
      </w:r>
      <w:r w:rsidRPr="001D5327">
        <w:rPr>
          <w:rFonts w:cs="Calibri"/>
        </w:rPr>
        <w:t xml:space="preserve"> emissions are calculated by multiplying a country-specific emission factor for the given fuel by the relevant activity data using an IPCC </w:t>
      </w:r>
      <w:r w:rsidR="001E24AB" w:rsidRPr="001D5327">
        <w:rPr>
          <w:rFonts w:cs="Calibri"/>
        </w:rPr>
        <w:t>(</w:t>
      </w:r>
      <w:r w:rsidRPr="001D5327">
        <w:rPr>
          <w:rFonts w:cs="Calibri"/>
        </w:rPr>
        <w:t>2006</w:t>
      </w:r>
      <w:r w:rsidR="001E24AB" w:rsidRPr="001D5327">
        <w:rPr>
          <w:rFonts w:cs="Calibri"/>
        </w:rPr>
        <w:t>)</w:t>
      </w:r>
      <w:r w:rsidRPr="001D5327">
        <w:rPr>
          <w:rFonts w:cs="Calibri"/>
        </w:rPr>
        <w:t xml:space="preserve"> Tier 2 method. Non-CO</w:t>
      </w:r>
      <w:r w:rsidRPr="001D5327">
        <w:rPr>
          <w:rFonts w:cs="Calibri"/>
          <w:vertAlign w:val="subscript"/>
          <w:lang w:eastAsia="en-GB"/>
        </w:rPr>
        <w:t>2 </w:t>
      </w:r>
      <w:r w:rsidRPr="001D5327">
        <w:rPr>
          <w:rFonts w:cs="Calibri"/>
        </w:rPr>
        <w:t xml:space="preserve">emissions are calculated using IPCC </w:t>
      </w:r>
      <w:r w:rsidR="00D7241D" w:rsidRPr="001D5327">
        <w:rPr>
          <w:rFonts w:cs="Calibri"/>
        </w:rPr>
        <w:t>(</w:t>
      </w:r>
      <w:r w:rsidRPr="001D5327">
        <w:rPr>
          <w:rFonts w:cs="Calibri"/>
        </w:rPr>
        <w:t>2006</w:t>
      </w:r>
      <w:r w:rsidR="00D7241D" w:rsidRPr="001D5327">
        <w:rPr>
          <w:rFonts w:cs="Calibri"/>
        </w:rPr>
        <w:t>)</w:t>
      </w:r>
      <w:r w:rsidRPr="001D5327">
        <w:rPr>
          <w:rFonts w:cs="Calibri"/>
        </w:rPr>
        <w:t xml:space="preserve"> default emission factors, unless otherwise noted.</w:t>
      </w:r>
    </w:p>
    <w:p w14:paraId="0BE3E22B" w14:textId="77777777" w:rsidR="00D97D6C" w:rsidRPr="001D5327" w:rsidRDefault="00D97D6C" w:rsidP="00D97D6C">
      <w:pPr>
        <w:pStyle w:val="Heading4"/>
        <w:rPr>
          <w:rFonts w:cs="Calibri"/>
        </w:rPr>
      </w:pPr>
      <w:r w:rsidRPr="001D5327">
        <w:rPr>
          <w:lang w:eastAsia="en-GB"/>
        </w:rPr>
        <w:t xml:space="preserve">Activity data </w:t>
      </w:r>
    </w:p>
    <w:p w14:paraId="40683236" w14:textId="77777777" w:rsidR="00D97D6C" w:rsidRPr="001D5327" w:rsidRDefault="00D97D6C" w:rsidP="00BF2A76">
      <w:pPr>
        <w:pStyle w:val="Heading5"/>
      </w:pPr>
      <w:r w:rsidRPr="001D5327">
        <w:t>Liquid fuels</w:t>
      </w:r>
    </w:p>
    <w:p w14:paraId="785B09FF" w14:textId="2CCF8681" w:rsidR="00D97D6C" w:rsidRPr="001D5327" w:rsidRDefault="00BD450D" w:rsidP="00D97D6C">
      <w:pPr>
        <w:pStyle w:val="BodyText"/>
        <w:rPr>
          <w:rFonts w:cs="Calibri"/>
        </w:rPr>
      </w:pPr>
      <w:r w:rsidRPr="001D5327">
        <w:rPr>
          <w:rFonts w:cs="Calibri"/>
        </w:rPr>
        <w:t xml:space="preserve">Liquid fuel consumption data for the Energy sector are taken from MBIE’s national energy balance tables. </w:t>
      </w:r>
      <w:r w:rsidR="00D97D6C" w:rsidRPr="001D5327">
        <w:rPr>
          <w:rFonts w:cs="Calibri"/>
        </w:rPr>
        <w:t xml:space="preserve">Most of </w:t>
      </w:r>
      <w:r w:rsidRPr="001D5327">
        <w:rPr>
          <w:rFonts w:cs="Calibri"/>
        </w:rPr>
        <w:t>th</w:t>
      </w:r>
      <w:r w:rsidR="00352E08" w:rsidRPr="001D5327">
        <w:rPr>
          <w:rFonts w:cs="Calibri"/>
        </w:rPr>
        <w:t>ose</w:t>
      </w:r>
      <w:r w:rsidRPr="001D5327">
        <w:rPr>
          <w:rFonts w:cs="Calibri"/>
        </w:rPr>
        <w:t xml:space="preserve"> data are</w:t>
      </w:r>
      <w:r w:rsidR="00D97D6C" w:rsidRPr="001D5327">
        <w:rPr>
          <w:rFonts w:cs="Calibri"/>
        </w:rPr>
        <w:t xml:space="preserve"> sourced from the </w:t>
      </w:r>
      <w:r w:rsidR="00D97D6C" w:rsidRPr="001D5327">
        <w:rPr>
          <w:rFonts w:cs="Calibri"/>
          <w:iCs/>
          <w:lang w:eastAsia="en-GB"/>
        </w:rPr>
        <w:t>DPFI.</w:t>
      </w:r>
      <w:r w:rsidR="00D97D6C" w:rsidRPr="001D5327">
        <w:rPr>
          <w:rFonts w:cs="Calibri"/>
        </w:rPr>
        <w:t xml:space="preserve"> This quarterly survey includes liquid fuel sales data collected from the </w:t>
      </w:r>
      <w:r w:rsidR="0073167C" w:rsidRPr="001D5327">
        <w:rPr>
          <w:rFonts w:cs="Calibri"/>
        </w:rPr>
        <w:t xml:space="preserve">five </w:t>
      </w:r>
      <w:r w:rsidR="00D97D6C" w:rsidRPr="001D5327">
        <w:rPr>
          <w:rFonts w:cs="Calibri"/>
        </w:rPr>
        <w:t>oil companies importing and</w:t>
      </w:r>
      <w:r w:rsidR="0073167C" w:rsidRPr="001D5327">
        <w:rPr>
          <w:rFonts w:cs="Calibri"/>
        </w:rPr>
        <w:t>/or</w:t>
      </w:r>
      <w:r w:rsidR="00D97D6C" w:rsidRPr="001D5327">
        <w:rPr>
          <w:rFonts w:cs="Calibri"/>
        </w:rPr>
        <w:t xml:space="preserve"> selling fuel. The purpose of the survey is to </w:t>
      </w:r>
      <w:r w:rsidR="0073167C" w:rsidRPr="001D5327">
        <w:rPr>
          <w:rFonts w:cs="Calibri"/>
        </w:rPr>
        <w:t xml:space="preserve">collect </w:t>
      </w:r>
      <w:r w:rsidR="00D97D6C" w:rsidRPr="001D5327">
        <w:rPr>
          <w:rFonts w:cs="Calibri"/>
        </w:rPr>
        <w:t xml:space="preserve">data on the amount of fuel delivered by all oil companies to end users and other distribution outlets. Each oil company in New Zealand supplies MBIE with the volume of petroleum fuels delivered to resellers and the industrial, commercial and residential sectors. The survey was originally conducted by Stats NZ, but MBIE took over </w:t>
      </w:r>
      <w:r w:rsidR="00F60AC2" w:rsidRPr="001D5327">
        <w:rPr>
          <w:rFonts w:cs="Calibri"/>
        </w:rPr>
        <w:t xml:space="preserve">responsibility for </w:t>
      </w:r>
      <w:r w:rsidR="00D97D6C" w:rsidRPr="001D5327">
        <w:rPr>
          <w:rFonts w:cs="Calibri"/>
        </w:rPr>
        <w:t>conducting the survey in 2009.</w:t>
      </w:r>
    </w:p>
    <w:p w14:paraId="579B674F" w14:textId="36867F4C" w:rsidR="00D97D6C" w:rsidRPr="001D5327" w:rsidRDefault="00D97D6C" w:rsidP="00D97D6C">
      <w:pPr>
        <w:pStyle w:val="BodyText"/>
        <w:rPr>
          <w:rFonts w:cs="Calibri"/>
        </w:rPr>
      </w:pPr>
      <w:r w:rsidRPr="001D5327">
        <w:rPr>
          <w:rFonts w:cs="Calibri"/>
        </w:rPr>
        <w:t xml:space="preserve">Petroleum fuels data are currently collected in volume units (thousand litres). Before 2009, data were collected in metric tonnes. Year-specific calorific values are used for all liquid fuels, reflecting changes in liquid fuel properties over time. Annual fuel property data were formerly provided by New Zealand’s sole refinery (the </w:t>
      </w:r>
      <w:r w:rsidRPr="001D5327">
        <w:t>Marsden Point Oil Refinery)</w:t>
      </w:r>
      <w:r w:rsidRPr="001D5327">
        <w:rPr>
          <w:rFonts w:cs="Calibri"/>
        </w:rPr>
        <w:t>, which ceased operations in March 2022. The properties of imported fuels are now obtained from companies that import fuel.</w:t>
      </w:r>
    </w:p>
    <w:p w14:paraId="7FD71C49" w14:textId="4B620547" w:rsidR="00D97D6C" w:rsidRPr="001D5327" w:rsidRDefault="00D97D6C" w:rsidP="00D97D6C">
      <w:pPr>
        <w:pStyle w:val="BodyText"/>
        <w:rPr>
          <w:rFonts w:cs="Calibri"/>
        </w:rPr>
      </w:pPr>
      <w:r w:rsidRPr="001D5327">
        <w:rPr>
          <w:rFonts w:cs="Calibri"/>
        </w:rPr>
        <w:t>Emissions from fuel sold for use in international transport (e.g., international bunker fuels) are</w:t>
      </w:r>
      <w:r w:rsidR="00C141C3" w:rsidRPr="001D5327">
        <w:rPr>
          <w:rFonts w:cs="Calibri"/>
        </w:rPr>
        <w:t> </w:t>
      </w:r>
      <w:r w:rsidRPr="001D5327">
        <w:rPr>
          <w:rFonts w:cs="Calibri"/>
        </w:rPr>
        <w:t>reported separately as a memo item, as required (IPCC, 2006).</w:t>
      </w:r>
    </w:p>
    <w:p w14:paraId="7A650D82" w14:textId="1ADE3ED3" w:rsidR="00D97D6C" w:rsidRPr="001D5327" w:rsidRDefault="00D97D6C" w:rsidP="00D97D6C">
      <w:pPr>
        <w:pStyle w:val="BodyText"/>
        <w:rPr>
          <w:rFonts w:cs="Calibri"/>
        </w:rPr>
      </w:pPr>
      <w:r w:rsidRPr="001D5327">
        <w:rPr>
          <w:rFonts w:cs="Calibri"/>
        </w:rPr>
        <w:t xml:space="preserve">An MBIE-commissioned survey on liquid fuel use (MBIE, 2008) found that there were, at the time, 19 independent fuel distribution companies operating in New Zealand that bought fuel wholesale from oil companies and resold it to consumers. As a result, liquid fuel activity data </w:t>
      </w:r>
      <w:r w:rsidR="00F60AC2" w:rsidRPr="001D5327">
        <w:rPr>
          <w:rFonts w:cs="Calibri"/>
        </w:rPr>
        <w:t xml:space="preserve">were </w:t>
      </w:r>
      <w:r w:rsidRPr="001D5327">
        <w:rPr>
          <w:rFonts w:cs="Calibri"/>
        </w:rPr>
        <w:t xml:space="preserve">being over-allocated to the </w:t>
      </w:r>
      <w:r w:rsidRPr="001D5327">
        <w:rPr>
          <w:rFonts w:cs="Calibri"/>
          <w:i/>
        </w:rPr>
        <w:t>Transport</w:t>
      </w:r>
      <w:r w:rsidRPr="001D5327">
        <w:rPr>
          <w:rFonts w:cs="Calibri"/>
        </w:rPr>
        <w:t xml:space="preserve"> category (where </w:t>
      </w:r>
      <w:r w:rsidR="00F60AC2" w:rsidRPr="001D5327">
        <w:rPr>
          <w:rFonts w:cs="Calibri"/>
        </w:rPr>
        <w:t>they were</w:t>
      </w:r>
      <w:r w:rsidRPr="001D5327">
        <w:rPr>
          <w:rFonts w:cs="Calibri"/>
        </w:rPr>
        <w:t xml:space="preserve"> allocated by default). In contrast, most of the fuel purchased from these distribution companies was used by the </w:t>
      </w:r>
      <w:r w:rsidRPr="001D5327">
        <w:rPr>
          <w:rFonts w:cs="Calibri"/>
          <w:i/>
        </w:rPr>
        <w:t>Agriculture/forestry/fishing</w:t>
      </w:r>
      <w:r w:rsidRPr="001D5327">
        <w:rPr>
          <w:rFonts w:cs="Calibri"/>
        </w:rPr>
        <w:t xml:space="preserve"> category. The study recommended starting an annual survey of deliveries of gasoline and diesel to each sector by independent distributors and using these data to correctly allocate sales of liquid fuels by small resellers to the appropriate sector.</w:t>
      </w:r>
    </w:p>
    <w:p w14:paraId="11C43123" w14:textId="1C8B3101" w:rsidR="00D97D6C" w:rsidRPr="001D5327" w:rsidRDefault="00D97D6C" w:rsidP="00D97D6C">
      <w:pPr>
        <w:pStyle w:val="BodyText"/>
        <w:rPr>
          <w:rFonts w:cs="Calibri"/>
        </w:rPr>
      </w:pPr>
      <w:r w:rsidRPr="001D5327">
        <w:rPr>
          <w:rFonts w:cs="Calibri"/>
        </w:rPr>
        <w:t>As a result of this recommendation, the Annual Liquid Fuel Survey was started in 2009 (for the</w:t>
      </w:r>
      <w:r w:rsidR="008D40F3" w:rsidRPr="001D5327">
        <w:rPr>
          <w:rFonts w:cs="Calibri"/>
        </w:rPr>
        <w:t> </w:t>
      </w:r>
      <w:r w:rsidRPr="001D5327">
        <w:rPr>
          <w:rFonts w:cs="Calibri"/>
        </w:rPr>
        <w:t xml:space="preserve">2008 calendar year). The survey found that these independent fuel distribution companies </w:t>
      </w:r>
      <w:r w:rsidRPr="001D5327">
        <w:rPr>
          <w:rFonts w:cs="Calibri"/>
          <w:spacing w:val="-2"/>
        </w:rPr>
        <w:t xml:space="preserve">delivered fuel equating to 18 per cent of New Zealand’s total diesel consumption and 3 per cent </w:t>
      </w:r>
      <w:r w:rsidRPr="001D5327">
        <w:rPr>
          <w:rFonts w:cs="Calibri"/>
        </w:rPr>
        <w:t xml:space="preserve">of New Zealand’s total gasoline consumption. Using these data, each company’s deliveries between 1990 and 2006 were estimated, because no information was available for these years. The report </w:t>
      </w:r>
      <w:r w:rsidRPr="001D5327">
        <w:rPr>
          <w:rFonts w:cs="Calibri"/>
          <w:i/>
        </w:rPr>
        <w:t>Delivering the Diesel – Liquid Fuel Deliveries in New Zealand 1990–2008</w:t>
      </w:r>
      <w:r w:rsidRPr="001D5327">
        <w:rPr>
          <w:rFonts w:cs="Calibri"/>
        </w:rPr>
        <w:t xml:space="preserve"> (MBIE, 2010) details the methodology employed to perform this calculation.</w:t>
      </w:r>
      <w:r w:rsidR="00D37E7D" w:rsidRPr="001D5327">
        <w:rPr>
          <w:rFonts w:cs="Calibri"/>
        </w:rPr>
        <w:t xml:space="preserve"> </w:t>
      </w:r>
      <w:r w:rsidR="00F60AC2" w:rsidRPr="001D5327">
        <w:rPr>
          <w:rFonts w:cs="Calibri"/>
        </w:rPr>
        <w:t>The Annual Liquid</w:t>
      </w:r>
      <w:r w:rsidR="008D40F3" w:rsidRPr="001D5327">
        <w:rPr>
          <w:rFonts w:cs="Calibri"/>
        </w:rPr>
        <w:t> </w:t>
      </w:r>
      <w:r w:rsidR="00F60AC2" w:rsidRPr="001D5327">
        <w:rPr>
          <w:rFonts w:cs="Calibri"/>
        </w:rPr>
        <w:t>Fuel Survey</w:t>
      </w:r>
      <w:r w:rsidR="00F60AC2" w:rsidRPr="001D5327" w:rsidDel="00F60AC2">
        <w:rPr>
          <w:rFonts w:cs="Calibri"/>
        </w:rPr>
        <w:t xml:space="preserve"> </w:t>
      </w:r>
      <w:r w:rsidR="00D37E7D" w:rsidRPr="001D5327">
        <w:rPr>
          <w:rFonts w:cs="Calibri"/>
        </w:rPr>
        <w:t xml:space="preserve">is conducted every year and </w:t>
      </w:r>
      <w:r w:rsidR="00F60AC2" w:rsidRPr="001D5327">
        <w:rPr>
          <w:rFonts w:cs="Calibri"/>
        </w:rPr>
        <w:t>the results are</w:t>
      </w:r>
      <w:r w:rsidR="00D37E7D" w:rsidRPr="001D5327">
        <w:rPr>
          <w:rFonts w:cs="Calibri"/>
        </w:rPr>
        <w:t xml:space="preserve"> used to allocate resale of fuel to</w:t>
      </w:r>
      <w:r w:rsidR="008D40F3" w:rsidRPr="001D5327">
        <w:rPr>
          <w:rFonts w:cs="Calibri"/>
        </w:rPr>
        <w:t> </w:t>
      </w:r>
      <w:r w:rsidR="00D37E7D" w:rsidRPr="001D5327">
        <w:rPr>
          <w:rFonts w:cs="Calibri"/>
        </w:rPr>
        <w:t>industry subsectors.</w:t>
      </w:r>
      <w:r w:rsidR="001023C6" w:rsidRPr="001D5327">
        <w:rPr>
          <w:rFonts w:cs="Calibri"/>
        </w:rPr>
        <w:t xml:space="preserve"> </w:t>
      </w:r>
    </w:p>
    <w:p w14:paraId="2E9DB766" w14:textId="77777777" w:rsidR="00D97D6C" w:rsidRPr="001D5327" w:rsidRDefault="00D97D6C" w:rsidP="00BF2A76">
      <w:pPr>
        <w:pStyle w:val="Heading5"/>
      </w:pPr>
      <w:r w:rsidRPr="001D5327">
        <w:lastRenderedPageBreak/>
        <w:t>Solid fuels</w:t>
      </w:r>
    </w:p>
    <w:p w14:paraId="739199EB" w14:textId="0D9E5DDD" w:rsidR="00D97D6C" w:rsidRPr="001D5327" w:rsidRDefault="00D97D6C" w:rsidP="00F81896">
      <w:pPr>
        <w:pStyle w:val="BodyText"/>
        <w:spacing w:before="80" w:after="100"/>
        <w:rPr>
          <w:rFonts w:cs="Calibri"/>
        </w:rPr>
      </w:pPr>
      <w:r w:rsidRPr="001D5327">
        <w:rPr>
          <w:rFonts w:cs="Calibri"/>
        </w:rPr>
        <w:t>Since 2009, MBIE has conducted the New Zealand Quarterly Statistical Return of Coal Production and Sales, previously conducted by Stats NZ. The survey covers coal mined and sold by coal producers in New Zealand. The three grades of coal surveyed are bituminous, sub</w:t>
      </w:r>
      <w:r w:rsidRPr="001D5327">
        <w:rPr>
          <w:rFonts w:cs="Calibri"/>
        </w:rPr>
        <w:noBreakHyphen/>
        <w:t>bituminous and lignite. This survey</w:t>
      </w:r>
      <w:r w:rsidRPr="001D5327">
        <w:rPr>
          <w:rFonts w:cs="Calibri"/>
          <w:i/>
          <w:iCs/>
          <w:lang w:eastAsia="en-GB"/>
        </w:rPr>
        <w:t xml:space="preserve"> </w:t>
      </w:r>
      <w:r w:rsidRPr="001D5327">
        <w:rPr>
          <w:rFonts w:cs="Calibri"/>
        </w:rPr>
        <w:t>categorises coal sales by industry, recognising over 20 industries using the Australian and New Zealand Standard Industrial Classification 2006</w:t>
      </w:r>
      <w:r w:rsidR="00F60AC2" w:rsidRPr="001D5327">
        <w:rPr>
          <w:rFonts w:cs="Calibri"/>
        </w:rPr>
        <w:t xml:space="preserve"> </w:t>
      </w:r>
      <w:r w:rsidRPr="001D5327">
        <w:rPr>
          <w:rFonts w:cs="Calibri"/>
        </w:rPr>
        <w:t>(Australian Bureau of Statistics and Statistics New Zealand, 2006). Before 2009, when</w:t>
      </w:r>
      <w:r w:rsidR="008F4DF2" w:rsidRPr="001D5327">
        <w:rPr>
          <w:rFonts w:cs="Calibri"/>
        </w:rPr>
        <w:t xml:space="preserve"> </w:t>
      </w:r>
      <w:r w:rsidRPr="001D5327">
        <w:rPr>
          <w:rFonts w:cs="Calibri"/>
        </w:rPr>
        <w:t>Stats</w:t>
      </w:r>
      <w:r w:rsidR="008D40F3" w:rsidRPr="001D5327">
        <w:rPr>
          <w:rFonts w:cs="Calibri"/>
        </w:rPr>
        <w:t> </w:t>
      </w:r>
      <w:r w:rsidRPr="001D5327">
        <w:rPr>
          <w:rFonts w:cs="Calibri"/>
        </w:rPr>
        <w:t>NZ</w:t>
      </w:r>
      <w:r w:rsidR="008D40F3" w:rsidRPr="001D5327">
        <w:rPr>
          <w:rFonts w:cs="Calibri"/>
        </w:rPr>
        <w:t> </w:t>
      </w:r>
      <w:r w:rsidRPr="001D5327">
        <w:rPr>
          <w:rFonts w:cs="Calibri"/>
        </w:rPr>
        <w:t xml:space="preserve">ran the survey, coal sales were surveyed for only seven high-level sectors. </w:t>
      </w:r>
    </w:p>
    <w:p w14:paraId="33CAD2B8" w14:textId="77777777" w:rsidR="00D97D6C" w:rsidRPr="001D5327" w:rsidRDefault="00D97D6C" w:rsidP="00D97D6C">
      <w:pPr>
        <w:pStyle w:val="BodyText"/>
        <w:spacing w:before="100" w:after="100"/>
        <w:rPr>
          <w:rFonts w:cs="Calibri"/>
        </w:rPr>
      </w:pPr>
      <w:r w:rsidRPr="001D5327">
        <w:rPr>
          <w:rFonts w:cs="Calibri"/>
        </w:rPr>
        <w:t>All solid fuel used for iron and steel manufacture is reported under the IPPU sector, to avoid double counting.</w:t>
      </w:r>
    </w:p>
    <w:p w14:paraId="0702AA8C" w14:textId="77777777" w:rsidR="00D97D6C" w:rsidRPr="001D5327" w:rsidRDefault="00D97D6C" w:rsidP="00F81896">
      <w:pPr>
        <w:pStyle w:val="Heading5"/>
        <w:spacing w:before="180"/>
      </w:pPr>
      <w:r w:rsidRPr="001D5327">
        <w:t>Gaseous fuels</w:t>
      </w:r>
    </w:p>
    <w:p w14:paraId="0C557E33" w14:textId="0EA15D5B" w:rsidR="00D97D6C" w:rsidRPr="001D5327" w:rsidRDefault="00D97D6C" w:rsidP="00F81896">
      <w:pPr>
        <w:pStyle w:val="BodyText"/>
        <w:spacing w:before="80" w:after="100"/>
        <w:rPr>
          <w:rFonts w:cs="Calibri"/>
        </w:rPr>
      </w:pPr>
      <w:r w:rsidRPr="001D5327">
        <w:rPr>
          <w:rFonts w:cs="Calibri"/>
        </w:rPr>
        <w:t>MBIE receives activity data on gaseous fuels from various sources. Individual natural gas field operators provide information on the amount of gas extracted, vented, flared and for</w:t>
      </w:r>
      <w:r w:rsidR="004B029B" w:rsidRPr="001D5327">
        <w:rPr>
          <w:rFonts w:cs="Calibri"/>
        </w:rPr>
        <w:t xml:space="preserve"> </w:t>
      </w:r>
      <w:r w:rsidRPr="001D5327">
        <w:rPr>
          <w:rFonts w:cs="Calibri"/>
        </w:rPr>
        <w:t xml:space="preserve">own use at each gas field. </w:t>
      </w:r>
      <w:r w:rsidR="006A3BBA" w:rsidRPr="001D5327">
        <w:rPr>
          <w:rFonts w:cs="Calibri"/>
        </w:rPr>
        <w:t>The operator of the Kapuni Gas Treatment Plant</w:t>
      </w:r>
      <w:r w:rsidRPr="001D5327">
        <w:rPr>
          <w:rFonts w:cs="Calibri"/>
        </w:rPr>
        <w:t xml:space="preserve"> </w:t>
      </w:r>
      <w:r w:rsidR="006A3BBA" w:rsidRPr="001D5327">
        <w:rPr>
          <w:rFonts w:cs="Calibri"/>
        </w:rPr>
        <w:t>provides i</w:t>
      </w:r>
      <w:r w:rsidRPr="001D5327">
        <w:rPr>
          <w:rFonts w:cs="Calibri"/>
        </w:rPr>
        <w:t xml:space="preserve">nformation on processed gas </w:t>
      </w:r>
      <w:r w:rsidR="003C3D0E" w:rsidRPr="001D5327">
        <w:rPr>
          <w:rFonts w:cs="Calibri"/>
        </w:rPr>
        <w:t>(</w:t>
      </w:r>
      <w:r w:rsidRPr="001D5327">
        <w:rPr>
          <w:rFonts w:cs="Calibri"/>
        </w:rPr>
        <w:t xml:space="preserve">including </w:t>
      </w:r>
      <w:r w:rsidR="003C3D0E" w:rsidRPr="001D5327">
        <w:rPr>
          <w:rFonts w:cs="Calibri"/>
        </w:rPr>
        <w:t xml:space="preserve">at </w:t>
      </w:r>
      <w:r w:rsidRPr="001D5327">
        <w:rPr>
          <w:rFonts w:cs="Calibri"/>
        </w:rPr>
        <w:t>the Kapuni gas field</w:t>
      </w:r>
      <w:r w:rsidR="003C3D0E" w:rsidRPr="001D5327">
        <w:rPr>
          <w:rFonts w:cs="Calibri"/>
        </w:rPr>
        <w:t>)</w:t>
      </w:r>
      <w:r w:rsidR="006A3BBA" w:rsidRPr="001D5327">
        <w:rPr>
          <w:rFonts w:cs="Calibri"/>
        </w:rPr>
        <w:t>, while gas distribution networks provide</w:t>
      </w:r>
      <w:r w:rsidR="004B029B" w:rsidRPr="001D5327">
        <w:rPr>
          <w:rFonts w:cs="Calibri"/>
        </w:rPr>
        <w:t xml:space="preserve"> </w:t>
      </w:r>
      <w:r w:rsidRPr="001D5327">
        <w:rPr>
          <w:rFonts w:cs="Calibri"/>
        </w:rPr>
        <w:t xml:space="preserve">information on gas transmission and distribution throughout New Zealand. </w:t>
      </w:r>
    </w:p>
    <w:p w14:paraId="46D72CFD" w14:textId="4A58B408" w:rsidR="00D97D6C" w:rsidRPr="001D5327" w:rsidRDefault="00D97D6C" w:rsidP="00D97D6C">
      <w:pPr>
        <w:pStyle w:val="BodyText"/>
        <w:spacing w:before="100" w:after="100"/>
        <w:rPr>
          <w:rFonts w:cs="Calibri"/>
        </w:rPr>
      </w:pPr>
      <w:r w:rsidRPr="001D5327">
        <w:rPr>
          <w:rFonts w:cs="Calibri"/>
        </w:rPr>
        <w:t xml:space="preserve">Large users of gas, including electricity generation companies, provide their activity data directly to MBIE. </w:t>
      </w:r>
      <w:r w:rsidR="00DC35CA" w:rsidRPr="001D5327">
        <w:rPr>
          <w:rFonts w:cs="Calibri"/>
        </w:rPr>
        <w:t xml:space="preserve">Additionally, </w:t>
      </w:r>
      <w:r w:rsidRPr="001D5327">
        <w:rPr>
          <w:rFonts w:cs="Calibri"/>
        </w:rPr>
        <w:t>MBIE surveys retailers and wholesalers on a quarterly basis to</w:t>
      </w:r>
      <w:r w:rsidR="008D40F3" w:rsidRPr="001D5327">
        <w:rPr>
          <w:rFonts w:cs="Calibri"/>
        </w:rPr>
        <w:t> </w:t>
      </w:r>
      <w:r w:rsidRPr="001D5327">
        <w:rPr>
          <w:rFonts w:cs="Calibri"/>
        </w:rPr>
        <w:t xml:space="preserve">obtain </w:t>
      </w:r>
      <w:r w:rsidR="00163C6C" w:rsidRPr="001D5327">
        <w:rPr>
          <w:rFonts w:cs="Calibri"/>
        </w:rPr>
        <w:t xml:space="preserve">data on </w:t>
      </w:r>
      <w:r w:rsidR="00DC35CA" w:rsidRPr="001D5327">
        <w:rPr>
          <w:rFonts w:cs="Calibri"/>
        </w:rPr>
        <w:t>sales to</w:t>
      </w:r>
      <w:r w:rsidRPr="001D5327">
        <w:rPr>
          <w:rFonts w:cs="Calibri"/>
        </w:rPr>
        <w:t xml:space="preserve"> industrial, commercial and residential natural gas users.</w:t>
      </w:r>
    </w:p>
    <w:p w14:paraId="47E5C42B" w14:textId="57B85393" w:rsidR="00D97D6C" w:rsidRPr="001D5327" w:rsidRDefault="00D97D6C" w:rsidP="00D97D6C">
      <w:pPr>
        <w:pStyle w:val="BodyText"/>
        <w:spacing w:before="100" w:after="100"/>
        <w:rPr>
          <w:rFonts w:cs="Calibri"/>
        </w:rPr>
      </w:pPr>
      <w:r w:rsidRPr="001D5327">
        <w:rPr>
          <w:rFonts w:cs="Calibri"/>
        </w:rPr>
        <w:t xml:space="preserve">In response to expert review team (ERT) recommendations, all fuel combustion for electricity auto-production was disaggregated into the appropriate sector, rather than reported in </w:t>
      </w:r>
      <w:r w:rsidR="00900111" w:rsidRPr="001D5327">
        <w:rPr>
          <w:rFonts w:cs="Calibri"/>
        </w:rPr>
        <w:t>category</w:t>
      </w:r>
      <w:r w:rsidRPr="001D5327">
        <w:rPr>
          <w:rFonts w:cs="Calibri"/>
        </w:rPr>
        <w:t xml:space="preserve"> 1.A.2.g </w:t>
      </w:r>
      <w:r w:rsidRPr="001D5327">
        <w:rPr>
          <w:rFonts w:cs="Calibri"/>
          <w:i/>
          <w:lang w:eastAsia="en-GB"/>
        </w:rPr>
        <w:t>Manufacturing industries and construction – Other</w:t>
      </w:r>
      <w:r w:rsidRPr="001D5327">
        <w:rPr>
          <w:rFonts w:cs="Calibri"/>
        </w:rPr>
        <w:t>. This improvement was implemented in the 2013 submission and resulted in a reduction in unallocated industrial emissions and increases in various manufacturing and construction categories. For further information, see</w:t>
      </w:r>
      <w:r w:rsidR="004B029B" w:rsidRPr="001D5327">
        <w:rPr>
          <w:rFonts w:cs="Calibri"/>
        </w:rPr>
        <w:t xml:space="preserve"> </w:t>
      </w:r>
      <w:r w:rsidRPr="001D5327">
        <w:rPr>
          <w:rFonts w:cs="Calibri"/>
        </w:rPr>
        <w:t>section 3.2.8.</w:t>
      </w:r>
    </w:p>
    <w:p w14:paraId="54A392CA" w14:textId="77777777" w:rsidR="00D97D6C" w:rsidRPr="001D5327" w:rsidRDefault="00D97D6C" w:rsidP="00F81896">
      <w:pPr>
        <w:pStyle w:val="Heading5"/>
        <w:spacing w:before="180"/>
      </w:pPr>
      <w:r w:rsidRPr="001D5327">
        <w:t>Biomass</w:t>
      </w:r>
    </w:p>
    <w:p w14:paraId="2243422D" w14:textId="515859AD" w:rsidR="00D97D6C" w:rsidRPr="001D5327" w:rsidRDefault="00D97D6C" w:rsidP="00F81896">
      <w:pPr>
        <w:pStyle w:val="BodyText"/>
        <w:spacing w:before="80" w:after="100"/>
        <w:rPr>
          <w:rFonts w:cs="Calibri"/>
        </w:rPr>
      </w:pPr>
      <w:r w:rsidRPr="001D5327">
        <w:rPr>
          <w:rFonts w:cs="Calibri"/>
        </w:rPr>
        <w:t xml:space="preserve">Activity data for the use of biomass come from several different sources. </w:t>
      </w:r>
      <w:r w:rsidR="00B966BA" w:rsidRPr="001D5327">
        <w:rPr>
          <w:rFonts w:cs="Calibri"/>
        </w:rPr>
        <w:t>MBIE receives</w:t>
      </w:r>
      <w:r w:rsidRPr="001D5327">
        <w:rPr>
          <w:rFonts w:cs="Calibri"/>
        </w:rPr>
        <w:t xml:space="preserve"> </w:t>
      </w:r>
      <w:r w:rsidR="00B966BA" w:rsidRPr="001D5327">
        <w:rPr>
          <w:rFonts w:cs="Calibri"/>
        </w:rPr>
        <w:t>e</w:t>
      </w:r>
      <w:r w:rsidRPr="001D5327">
        <w:rPr>
          <w:rFonts w:cs="Calibri"/>
        </w:rPr>
        <w:t>lectricity and co</w:t>
      </w:r>
      <w:r w:rsidRPr="001D5327">
        <w:rPr>
          <w:rFonts w:cs="Calibri"/>
        </w:rPr>
        <w:noBreakHyphen/>
        <w:t xml:space="preserve">generation data from electricity generators. </w:t>
      </w:r>
    </w:p>
    <w:p w14:paraId="094E7651" w14:textId="77777777" w:rsidR="00D97D6C" w:rsidRPr="001D5327" w:rsidRDefault="00D97D6C" w:rsidP="00D97D6C">
      <w:pPr>
        <w:pStyle w:val="Bullet"/>
        <w:spacing w:after="100"/>
        <w:rPr>
          <w:rFonts w:cs="Calibri"/>
        </w:rPr>
      </w:pPr>
      <w:r w:rsidRPr="001D5327">
        <w:rPr>
          <w:rFonts w:cs="Calibri"/>
        </w:rPr>
        <w:t>New Zealand reports emissions from landfill gas, sewage waste gas, sludge gas (derived from cattle effluent at the Tirau dairy processing facility) and commercial biogas use. Before 2013, New Zealand only reported emissions from landfill gas, sewage waste gas and commercial biogas use.</w:t>
      </w:r>
    </w:p>
    <w:p w14:paraId="221DBD39" w14:textId="77777777" w:rsidR="00D97D6C" w:rsidRPr="001D5327" w:rsidRDefault="00D97D6C" w:rsidP="00D97D6C">
      <w:pPr>
        <w:pStyle w:val="Bullet"/>
        <w:spacing w:after="100"/>
        <w:rPr>
          <w:rFonts w:cs="Calibri"/>
        </w:rPr>
      </w:pPr>
      <w:r w:rsidRPr="001D5327">
        <w:rPr>
          <w:rFonts w:cs="Calibri"/>
        </w:rPr>
        <w:t>New Zealand’s gas biomass emissions are estimated based on electricity generation data (some of which are also estimated). No direct data are available on gas biomass emissions from landfills or sewage treatment facilities. See below for details of the estimation methodology of landfill gas and sewage waste gas.</w:t>
      </w:r>
    </w:p>
    <w:p w14:paraId="69F0E53B" w14:textId="3B86972F" w:rsidR="00D97D6C" w:rsidRPr="001D5327" w:rsidRDefault="00D97D6C" w:rsidP="00D97D6C">
      <w:pPr>
        <w:pStyle w:val="Bullet"/>
        <w:spacing w:after="100"/>
        <w:rPr>
          <w:rFonts w:cs="Calibri"/>
        </w:rPr>
      </w:pPr>
      <w:r w:rsidRPr="001D5327">
        <w:rPr>
          <w:rFonts w:cs="Calibri"/>
          <w:spacing w:val="-2"/>
        </w:rPr>
        <w:t xml:space="preserve">Gas biomass is known to be used by some local government councils, however, exploratory data collection in the past has indicated that </w:t>
      </w:r>
      <w:r w:rsidR="000F4933" w:rsidRPr="001D5327">
        <w:rPr>
          <w:rFonts w:cs="Calibri"/>
          <w:spacing w:val="-2"/>
        </w:rPr>
        <w:t>such use</w:t>
      </w:r>
      <w:r w:rsidRPr="001D5327">
        <w:rPr>
          <w:rFonts w:cs="Calibri"/>
          <w:spacing w:val="-2"/>
        </w:rPr>
        <w:t xml:space="preserve"> occurs </w:t>
      </w:r>
      <w:r w:rsidR="000F4933" w:rsidRPr="001D5327">
        <w:rPr>
          <w:rFonts w:cs="Calibri"/>
          <w:spacing w:val="-2"/>
        </w:rPr>
        <w:t xml:space="preserve">only </w:t>
      </w:r>
      <w:r w:rsidRPr="001D5327">
        <w:rPr>
          <w:rFonts w:cs="Calibri"/>
          <w:spacing w:val="-2"/>
        </w:rPr>
        <w:t xml:space="preserve">in small quantities and produces insignificant emissions. Because MBIE is aware of some use, it continues to report a standard estimate introduced in 2006 to </w:t>
      </w:r>
      <w:r w:rsidR="000F4933" w:rsidRPr="001D5327">
        <w:rPr>
          <w:rFonts w:cs="Calibri"/>
          <w:spacing w:val="-2"/>
        </w:rPr>
        <w:t>avoid any</w:t>
      </w:r>
      <w:r w:rsidRPr="001D5327">
        <w:rPr>
          <w:rFonts w:cs="Calibri"/>
          <w:spacing w:val="-2"/>
        </w:rPr>
        <w:t xml:space="preserve"> under</w:t>
      </w:r>
      <w:r w:rsidRPr="001D5327">
        <w:rPr>
          <w:rFonts w:cs="Calibri"/>
          <w:spacing w:val="-2"/>
        </w:rPr>
        <w:noBreakHyphen/>
        <w:t>reportin</w:t>
      </w:r>
      <w:r w:rsidRPr="001D5327">
        <w:rPr>
          <w:rFonts w:cs="Calibri"/>
        </w:rPr>
        <w:t>g.</w:t>
      </w:r>
    </w:p>
    <w:p w14:paraId="59970B1B" w14:textId="77777777" w:rsidR="00D97D6C" w:rsidRPr="001D5327" w:rsidRDefault="00D97D6C" w:rsidP="00D97D6C">
      <w:pPr>
        <w:pStyle w:val="Bullet"/>
        <w:spacing w:after="100"/>
        <w:rPr>
          <w:rFonts w:cs="Calibri"/>
        </w:rPr>
      </w:pPr>
      <w:r w:rsidRPr="001D5327">
        <w:rPr>
          <w:rFonts w:cs="Calibri"/>
        </w:rPr>
        <w:t>No information is collected on flared gas biomass.</w:t>
      </w:r>
    </w:p>
    <w:p w14:paraId="1292029F" w14:textId="3562ADB5" w:rsidR="00D97D6C" w:rsidRPr="001D5327" w:rsidRDefault="00D97D6C" w:rsidP="00D97D6C">
      <w:pPr>
        <w:pStyle w:val="Bullet"/>
        <w:spacing w:after="100"/>
        <w:rPr>
          <w:rFonts w:cs="Calibri"/>
        </w:rPr>
      </w:pPr>
      <w:r w:rsidRPr="001D5327">
        <w:rPr>
          <w:rFonts w:cs="Calibri"/>
        </w:rPr>
        <w:t>The only gas biomass direct-use data that have been collected are for the Tirau dairy processing facility (and only one data point, which has been used for all years whe</w:t>
      </w:r>
      <w:r w:rsidR="000F4933" w:rsidRPr="001D5327">
        <w:rPr>
          <w:rFonts w:cs="Calibri"/>
        </w:rPr>
        <w:t>n</w:t>
      </w:r>
      <w:r w:rsidRPr="001D5327">
        <w:rPr>
          <w:rFonts w:cs="Calibri"/>
        </w:rPr>
        <w:t xml:space="preserve"> it is believed the plant has produced emissions).</w:t>
      </w:r>
    </w:p>
    <w:p w14:paraId="067B5240" w14:textId="77777777" w:rsidR="00D97D6C" w:rsidRPr="001D5327" w:rsidRDefault="00D97D6C" w:rsidP="004B029B">
      <w:pPr>
        <w:pStyle w:val="Heading6"/>
      </w:pPr>
      <w:r w:rsidRPr="001D5327">
        <w:lastRenderedPageBreak/>
        <w:t>Gas biomass emissions estimates are based on electricity generation data</w:t>
      </w:r>
    </w:p>
    <w:p w14:paraId="440F157A" w14:textId="25AEC51C" w:rsidR="00D97D6C" w:rsidRPr="001D5327" w:rsidRDefault="00D97D6C" w:rsidP="00D97D6C">
      <w:pPr>
        <w:pStyle w:val="BodyText"/>
        <w:spacing w:before="80" w:after="100"/>
        <w:rPr>
          <w:rFonts w:cs="Calibri"/>
        </w:rPr>
      </w:pPr>
      <w:r w:rsidRPr="001D5327">
        <w:rPr>
          <w:rFonts w:cs="Calibri"/>
        </w:rPr>
        <w:t xml:space="preserve">Biomass electricity generation data are collected for 15 individual plants. As of 31 December </w:t>
      </w:r>
      <w:r w:rsidR="006A21DD" w:rsidRPr="001D5327">
        <w:rPr>
          <w:rFonts w:cs="Calibri"/>
        </w:rPr>
        <w:t>2023</w:t>
      </w:r>
      <w:r w:rsidRPr="001D5327">
        <w:rPr>
          <w:rFonts w:cs="Calibri"/>
        </w:rPr>
        <w:t>, New Zealand gas biomass generation was known to include the following</w:t>
      </w:r>
      <w:r w:rsidR="000F4933" w:rsidRPr="001D5327">
        <w:rPr>
          <w:rFonts w:cs="Calibri"/>
        </w:rPr>
        <w:t>.</w:t>
      </w:r>
    </w:p>
    <w:p w14:paraId="11B7B3F4" w14:textId="3CCC7A2B" w:rsidR="00D97D6C" w:rsidRPr="001D5327" w:rsidRDefault="00D97D6C" w:rsidP="00D97D6C">
      <w:pPr>
        <w:pStyle w:val="Bullet"/>
        <w:spacing w:after="100"/>
        <w:rPr>
          <w:rFonts w:cs="Calibri"/>
        </w:rPr>
      </w:pPr>
      <w:r w:rsidRPr="001D5327">
        <w:rPr>
          <w:rFonts w:cs="Calibri"/>
        </w:rPr>
        <w:t>Eleven landfill facilities</w:t>
      </w:r>
      <w:r w:rsidRPr="001D5327" w:rsidDel="000F4933">
        <w:rPr>
          <w:rFonts w:cs="Calibri"/>
        </w:rPr>
        <w:t>,</w:t>
      </w:r>
      <w:r w:rsidRPr="001D5327">
        <w:rPr>
          <w:rFonts w:cs="Calibri"/>
        </w:rPr>
        <w:t xml:space="preserve"> totalling 33.1 megawatts (MW). These facilities are electricity only. (Some landfill gas was used to heat a swimming pool in Christchurch before the </w:t>
      </w:r>
      <w:r w:rsidR="000F4933" w:rsidRPr="001D5327">
        <w:rPr>
          <w:rFonts w:cs="Calibri"/>
        </w:rPr>
        <w:t xml:space="preserve">Canterbury </w:t>
      </w:r>
      <w:r w:rsidRPr="001D5327">
        <w:rPr>
          <w:rFonts w:cs="Calibri"/>
        </w:rPr>
        <w:t>earthquake of February 2011, but that facility suffered major earthquake damage and has been removed. A new trigeneration facility has since been built.)</w:t>
      </w:r>
    </w:p>
    <w:p w14:paraId="4F7F47D2" w14:textId="7B0AFB4E" w:rsidR="00D97D6C" w:rsidRPr="001D5327" w:rsidRDefault="00D97D6C" w:rsidP="00D97D6C">
      <w:pPr>
        <w:pStyle w:val="Bullet"/>
        <w:spacing w:after="100"/>
        <w:rPr>
          <w:rFonts w:cs="Calibri"/>
        </w:rPr>
      </w:pPr>
      <w:r w:rsidRPr="001D5327">
        <w:rPr>
          <w:rFonts w:cs="Calibri"/>
        </w:rPr>
        <w:t xml:space="preserve">Four wastewater treatment facilities, totalling 12.9 MW. These are all cogeneration facilities that provide heat and electricity for processing sewage. </w:t>
      </w:r>
      <w:r w:rsidR="00B1013F" w:rsidRPr="001D5327">
        <w:rPr>
          <w:rFonts w:cs="Calibri"/>
        </w:rPr>
        <w:t xml:space="preserve">No </w:t>
      </w:r>
      <w:r w:rsidRPr="001D5327">
        <w:rPr>
          <w:rFonts w:cs="Calibri"/>
        </w:rPr>
        <w:t xml:space="preserve">information is </w:t>
      </w:r>
      <w:r w:rsidR="5B754A2F" w:rsidRPr="001D5327">
        <w:rPr>
          <w:rFonts w:cs="Calibri"/>
        </w:rPr>
        <w:t xml:space="preserve">held </w:t>
      </w:r>
      <w:r w:rsidRPr="001D5327">
        <w:rPr>
          <w:rFonts w:cs="Calibri"/>
        </w:rPr>
        <w:t>on</w:t>
      </w:r>
      <w:r w:rsidR="0090503F" w:rsidRPr="001D5327">
        <w:rPr>
          <w:rFonts w:cs="Calibri"/>
        </w:rPr>
        <w:t> </w:t>
      </w:r>
      <w:r w:rsidRPr="001D5327">
        <w:rPr>
          <w:rFonts w:cs="Calibri"/>
        </w:rPr>
        <w:t>the exact type of generation plant used at these individual</w:t>
      </w:r>
      <w:r w:rsidR="00296D90" w:rsidRPr="001D5327">
        <w:rPr>
          <w:rFonts w:cs="Calibri"/>
        </w:rPr>
        <w:t> </w:t>
      </w:r>
      <w:r w:rsidRPr="001D5327">
        <w:rPr>
          <w:rFonts w:cs="Calibri"/>
        </w:rPr>
        <w:t>facilities, although they are known to be a combination of gas turbines, internal</w:t>
      </w:r>
      <w:r w:rsidR="00296D90" w:rsidRPr="001D5327">
        <w:rPr>
          <w:rFonts w:cs="Calibri"/>
        </w:rPr>
        <w:t> </w:t>
      </w:r>
      <w:r w:rsidRPr="001D5327">
        <w:rPr>
          <w:rFonts w:cs="Calibri"/>
        </w:rPr>
        <w:t>combustion engines and some steam turbine facilities.</w:t>
      </w:r>
    </w:p>
    <w:p w14:paraId="60F31542" w14:textId="77777777" w:rsidR="00D97D6C" w:rsidRPr="001D5327" w:rsidRDefault="00D97D6C" w:rsidP="00D97D6C">
      <w:pPr>
        <w:pStyle w:val="BodyText"/>
        <w:spacing w:before="100" w:after="100" w:line="240" w:lineRule="atLeast"/>
        <w:rPr>
          <w:rFonts w:cs="Calibri"/>
        </w:rPr>
      </w:pPr>
      <w:r w:rsidRPr="001D5327">
        <w:rPr>
          <w:rFonts w:cs="Calibri"/>
        </w:rPr>
        <w:t>Generation data are collected for each year ending 31 March, with generation assumed to be distributed equally across quarters to estimate December year-end generation. Generation data are usually collected from all 15 plants. However, in some years, estimates are made based on the previous year’s generation.</w:t>
      </w:r>
    </w:p>
    <w:p w14:paraId="68837A3D" w14:textId="023C08B7" w:rsidR="00D97D6C" w:rsidRPr="001D5327" w:rsidRDefault="00D97D6C" w:rsidP="00D97D6C">
      <w:pPr>
        <w:pStyle w:val="BodyText"/>
        <w:spacing w:before="100" w:after="100" w:line="240" w:lineRule="atLeast"/>
        <w:rPr>
          <w:rFonts w:cs="Calibri"/>
        </w:rPr>
      </w:pPr>
      <w:r w:rsidRPr="001D5327">
        <w:rPr>
          <w:rFonts w:cs="Calibri"/>
        </w:rPr>
        <w:t xml:space="preserve">Fuel input information </w:t>
      </w:r>
      <w:r w:rsidR="00B702CC" w:rsidRPr="001D5327">
        <w:rPr>
          <w:rFonts w:cs="Calibri"/>
        </w:rPr>
        <w:t xml:space="preserve">from </w:t>
      </w:r>
      <w:r w:rsidRPr="001D5327">
        <w:rPr>
          <w:rFonts w:cs="Calibri"/>
        </w:rPr>
        <w:t>small generators (those less than 10 MW)</w:t>
      </w:r>
      <w:r w:rsidR="00D947EF" w:rsidRPr="001D5327">
        <w:rPr>
          <w:rFonts w:cs="Calibri"/>
        </w:rPr>
        <w:t xml:space="preserve"> </w:t>
      </w:r>
      <w:r w:rsidR="00B702CC" w:rsidRPr="001D5327">
        <w:rPr>
          <w:rFonts w:cs="Calibri"/>
        </w:rPr>
        <w:t>is not currently used within the electricity generation data system.</w:t>
      </w:r>
      <w:r w:rsidRPr="001D5327">
        <w:rPr>
          <w:rFonts w:cs="Calibri"/>
        </w:rPr>
        <w:t xml:space="preserve"> </w:t>
      </w:r>
      <w:r w:rsidR="00B702CC" w:rsidRPr="001D5327">
        <w:rPr>
          <w:rFonts w:cs="Calibri"/>
        </w:rPr>
        <w:t>Instead, e</w:t>
      </w:r>
      <w:r w:rsidRPr="001D5327">
        <w:rPr>
          <w:rFonts w:cs="Calibri"/>
        </w:rPr>
        <w:t xml:space="preserve">stimates of fuel input are made on the assumption of 30 per cent efficiency based on gross generation. </w:t>
      </w:r>
    </w:p>
    <w:p w14:paraId="16F55A44" w14:textId="77777777" w:rsidR="00D97D6C" w:rsidRPr="001D5327" w:rsidRDefault="00D97D6C" w:rsidP="00D97D6C">
      <w:pPr>
        <w:pStyle w:val="BodyText"/>
        <w:spacing w:before="100" w:after="100" w:line="240" w:lineRule="atLeast"/>
        <w:rPr>
          <w:rFonts w:cs="Calibri"/>
        </w:rPr>
      </w:pPr>
      <w:r w:rsidRPr="001D5327">
        <w:rPr>
          <w:rFonts w:cs="Calibri"/>
        </w:rPr>
        <w:t>All generation data collected are assumed to be net generation (i.e., excluding parasitic load). These values are scaled up using default net-to-gross generation factors sourced from the International Energy Agency. For all thermal generation, the net-to-gross factor is assumed to be 1.07 (i.e., an additional 7 per cent of electricity is generated but used within the plant itself). Fuel input estimates are then calculated based on the gross generation using a default electrical efficiency factor of 30 per cent. This estimated quantity of biogas is used as total biogas for energy purposes. Biogas use estimates for landfill gas and sewage waste gas are calculated and reported in petajoules (PJ).</w:t>
      </w:r>
    </w:p>
    <w:p w14:paraId="5D94AFF4" w14:textId="3BA88511" w:rsidR="00D97D6C" w:rsidRPr="001D5327" w:rsidRDefault="00D97D6C" w:rsidP="00D97D6C">
      <w:pPr>
        <w:pStyle w:val="BodyText"/>
        <w:spacing w:before="100" w:after="100"/>
        <w:rPr>
          <w:rFonts w:cs="Calibri"/>
        </w:rPr>
      </w:pPr>
      <w:r w:rsidRPr="001D5327">
        <w:rPr>
          <w:rFonts w:cs="Calibri"/>
        </w:rPr>
        <w:t xml:space="preserve">Energy quantities of gas biomass are then converted into greenhouse gas emissions using </w:t>
      </w:r>
      <w:r w:rsidR="00B73D2D" w:rsidRPr="001D5327">
        <w:rPr>
          <w:rFonts w:cs="Calibri"/>
        </w:rPr>
        <w:t xml:space="preserve">emission factors derived from the </w:t>
      </w:r>
      <w:r w:rsidRPr="001D5327">
        <w:rPr>
          <w:rFonts w:cs="Calibri"/>
        </w:rPr>
        <w:t xml:space="preserve">default IPCC </w:t>
      </w:r>
      <w:r w:rsidR="00D7241D" w:rsidRPr="001D5327">
        <w:rPr>
          <w:rFonts w:cs="Calibri"/>
        </w:rPr>
        <w:t xml:space="preserve">(2006) </w:t>
      </w:r>
      <w:r w:rsidRPr="001D5327">
        <w:rPr>
          <w:rFonts w:cs="Calibri"/>
        </w:rPr>
        <w:t xml:space="preserve">emission factors </w:t>
      </w:r>
      <w:r w:rsidR="00434D6F" w:rsidRPr="001D5327">
        <w:rPr>
          <w:rFonts w:cs="Calibri"/>
        </w:rPr>
        <w:t>(table 3.1.3)</w:t>
      </w:r>
      <w:r w:rsidR="0048136B" w:rsidRPr="001D5327">
        <w:rPr>
          <w:rFonts w:cs="Calibri"/>
        </w:rPr>
        <w:t>.</w:t>
      </w:r>
    </w:p>
    <w:p w14:paraId="5867EF00" w14:textId="5C815ADB" w:rsidR="00B73D2D" w:rsidRPr="001D5327" w:rsidRDefault="00B73D2D" w:rsidP="00B73D2D">
      <w:pPr>
        <w:pStyle w:val="Table"/>
      </w:pPr>
      <w:bookmarkStart w:id="212" w:name="_Toc194241669"/>
      <w:r w:rsidRPr="001D5327">
        <w:t>Table 3.</w:t>
      </w:r>
      <w:r w:rsidR="008E1D46" w:rsidRPr="001D5327">
        <w:t>1</w:t>
      </w:r>
      <w:r w:rsidRPr="001D5327">
        <w:t>.</w:t>
      </w:r>
      <w:r w:rsidR="008E1D46" w:rsidRPr="001D5327">
        <w:t>3</w:t>
      </w:r>
      <w:r w:rsidRPr="001D5327">
        <w:tab/>
      </w:r>
      <w:r w:rsidR="008E1D46" w:rsidRPr="001D5327">
        <w:t xml:space="preserve">Emission factors </w:t>
      </w:r>
      <w:r w:rsidRPr="001D5327">
        <w:t xml:space="preserve">for </w:t>
      </w:r>
      <w:r w:rsidR="008E1D46" w:rsidRPr="001D5327">
        <w:t>gas biomass</w:t>
      </w:r>
      <w:bookmarkEnd w:id="212"/>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4479"/>
        <w:gridCol w:w="4026"/>
      </w:tblGrid>
      <w:tr w:rsidR="00B73D2D" w:rsidRPr="001D5327" w14:paraId="0B4B818A" w14:textId="77777777" w:rsidTr="00B93D20">
        <w:trPr>
          <w:tblHeader/>
        </w:trPr>
        <w:tc>
          <w:tcPr>
            <w:tcW w:w="2633" w:type="pct"/>
            <w:shd w:val="clear" w:color="auto" w:fill="1B556B"/>
            <w:noWrap/>
            <w:vAlign w:val="bottom"/>
            <w:hideMark/>
          </w:tcPr>
          <w:p w14:paraId="2648AC17" w14:textId="632A779C" w:rsidR="00B73D2D" w:rsidRPr="001D5327" w:rsidRDefault="00BB3451" w:rsidP="00B93D20">
            <w:pPr>
              <w:pStyle w:val="TableTextBold"/>
              <w:spacing w:before="40" w:after="40"/>
              <w:rPr>
                <w:rFonts w:cs="Calibri"/>
                <w:noProof w:val="0"/>
                <w:color w:val="FFFFFF"/>
              </w:rPr>
            </w:pPr>
            <w:r w:rsidRPr="001D5327">
              <w:rPr>
                <w:rFonts w:cs="Calibri"/>
                <w:noProof w:val="0"/>
                <w:color w:val="FFFFFF"/>
              </w:rPr>
              <w:t>Gas</w:t>
            </w:r>
          </w:p>
        </w:tc>
        <w:tc>
          <w:tcPr>
            <w:tcW w:w="2367" w:type="pct"/>
            <w:shd w:val="clear" w:color="auto" w:fill="1B556B"/>
            <w:noWrap/>
            <w:vAlign w:val="bottom"/>
            <w:hideMark/>
          </w:tcPr>
          <w:p w14:paraId="4CFEC712" w14:textId="68D9B503" w:rsidR="00B73D2D" w:rsidRPr="001D5327" w:rsidRDefault="00BB3451" w:rsidP="00B93D20">
            <w:pPr>
              <w:pStyle w:val="TableTextBold"/>
              <w:spacing w:before="40" w:after="40"/>
              <w:jc w:val="right"/>
              <w:rPr>
                <w:rFonts w:cs="Calibri"/>
                <w:noProof w:val="0"/>
                <w:color w:val="FFFFFF"/>
              </w:rPr>
            </w:pPr>
            <w:r w:rsidRPr="001D5327">
              <w:rPr>
                <w:rFonts w:cs="Calibri"/>
                <w:noProof w:val="0"/>
                <w:color w:val="FFFFFF"/>
              </w:rPr>
              <w:t>Tonnes per PJ</w:t>
            </w:r>
          </w:p>
        </w:tc>
      </w:tr>
      <w:tr w:rsidR="00B73D2D" w:rsidRPr="001D5327" w14:paraId="0D2164E8" w14:textId="77777777" w:rsidTr="00B93D20">
        <w:tc>
          <w:tcPr>
            <w:tcW w:w="2633" w:type="pct"/>
            <w:shd w:val="clear" w:color="auto" w:fill="auto"/>
            <w:noWrap/>
            <w:hideMark/>
          </w:tcPr>
          <w:p w14:paraId="6AB53EFB" w14:textId="64DF199A" w:rsidR="00B73D2D" w:rsidRPr="001D5327" w:rsidRDefault="00B73D2D" w:rsidP="00B93D20">
            <w:pPr>
              <w:pStyle w:val="TableText"/>
              <w:spacing w:before="40" w:after="40"/>
              <w:rPr>
                <w:rFonts w:cs="Calibri"/>
              </w:rPr>
            </w:pPr>
            <w:r w:rsidRPr="001D5327">
              <w:rPr>
                <w:rFonts w:cs="Calibri"/>
              </w:rPr>
              <w:t>C</w:t>
            </w:r>
            <w:r w:rsidR="008E1D46" w:rsidRPr="001D5327">
              <w:rPr>
                <w:rFonts w:cs="Calibri"/>
              </w:rPr>
              <w:t>arbon dioxide</w:t>
            </w:r>
          </w:p>
        </w:tc>
        <w:tc>
          <w:tcPr>
            <w:tcW w:w="2367" w:type="pct"/>
            <w:shd w:val="clear" w:color="auto" w:fill="auto"/>
            <w:noWrap/>
            <w:hideMark/>
          </w:tcPr>
          <w:p w14:paraId="463E17B2" w14:textId="5770A92B" w:rsidR="00B73D2D" w:rsidRPr="001D5327" w:rsidRDefault="008E1D46" w:rsidP="00B93D20">
            <w:pPr>
              <w:pStyle w:val="TableText"/>
              <w:spacing w:before="40" w:after="40"/>
              <w:jc w:val="right"/>
              <w:rPr>
                <w:rFonts w:cs="Calibri"/>
              </w:rPr>
            </w:pPr>
            <w:r w:rsidRPr="001D5327">
              <w:rPr>
                <w:rFonts w:cs="Calibri"/>
              </w:rPr>
              <w:t>49,170</w:t>
            </w:r>
          </w:p>
        </w:tc>
      </w:tr>
      <w:tr w:rsidR="00B73D2D" w:rsidRPr="001D5327" w14:paraId="7AC98539" w14:textId="77777777" w:rsidTr="00B93D20">
        <w:tc>
          <w:tcPr>
            <w:tcW w:w="2633" w:type="pct"/>
            <w:shd w:val="clear" w:color="auto" w:fill="auto"/>
            <w:noWrap/>
            <w:hideMark/>
          </w:tcPr>
          <w:p w14:paraId="5528C9F5" w14:textId="485D202F" w:rsidR="00B73D2D" w:rsidRPr="001D5327" w:rsidRDefault="008E1D46" w:rsidP="00B93D20">
            <w:pPr>
              <w:pStyle w:val="TableText"/>
              <w:spacing w:before="40" w:after="40"/>
              <w:rPr>
                <w:rFonts w:cs="Calibri"/>
              </w:rPr>
            </w:pPr>
            <w:r w:rsidRPr="001D5327">
              <w:rPr>
                <w:rFonts w:cs="Calibri"/>
              </w:rPr>
              <w:t>Methane</w:t>
            </w:r>
          </w:p>
        </w:tc>
        <w:tc>
          <w:tcPr>
            <w:tcW w:w="2367" w:type="pct"/>
            <w:shd w:val="clear" w:color="auto" w:fill="auto"/>
            <w:noWrap/>
            <w:hideMark/>
          </w:tcPr>
          <w:p w14:paraId="18D8A641" w14:textId="70250FA2" w:rsidR="00B73D2D" w:rsidRPr="001D5327" w:rsidRDefault="008E1D46" w:rsidP="00B93D20">
            <w:pPr>
              <w:pStyle w:val="TableText"/>
              <w:spacing w:before="40" w:after="40"/>
              <w:jc w:val="right"/>
              <w:rPr>
                <w:rFonts w:cs="Calibri"/>
              </w:rPr>
            </w:pPr>
            <w:r w:rsidRPr="001D5327">
              <w:rPr>
                <w:rFonts w:cs="Calibri"/>
              </w:rPr>
              <w:t>0.9</w:t>
            </w:r>
          </w:p>
        </w:tc>
      </w:tr>
      <w:tr w:rsidR="00B73D2D" w:rsidRPr="001D5327" w14:paraId="6AD87765" w14:textId="77777777" w:rsidTr="00B93D20">
        <w:tc>
          <w:tcPr>
            <w:tcW w:w="2633" w:type="pct"/>
            <w:shd w:val="clear" w:color="auto" w:fill="auto"/>
            <w:noWrap/>
          </w:tcPr>
          <w:p w14:paraId="2008C9DB" w14:textId="039E4A5A" w:rsidR="00B73D2D" w:rsidRPr="001D5327" w:rsidRDefault="008E1D46" w:rsidP="00B93D20">
            <w:pPr>
              <w:pStyle w:val="TableText"/>
              <w:spacing w:before="40" w:after="40"/>
              <w:rPr>
                <w:rFonts w:cs="Calibri"/>
              </w:rPr>
            </w:pPr>
            <w:r w:rsidRPr="001D5327">
              <w:rPr>
                <w:rFonts w:cs="Calibri"/>
              </w:rPr>
              <w:t>Nitrous oxide</w:t>
            </w:r>
          </w:p>
        </w:tc>
        <w:tc>
          <w:tcPr>
            <w:tcW w:w="2367" w:type="pct"/>
            <w:shd w:val="clear" w:color="auto" w:fill="auto"/>
            <w:noWrap/>
          </w:tcPr>
          <w:p w14:paraId="0C348AA3" w14:textId="6EE361B6" w:rsidR="00B73D2D" w:rsidRPr="001D5327" w:rsidRDefault="008E1D46" w:rsidP="00B93D20">
            <w:pPr>
              <w:pStyle w:val="TableText"/>
              <w:spacing w:before="40" w:after="40"/>
              <w:jc w:val="right"/>
              <w:rPr>
                <w:rFonts w:cs="Calibri"/>
              </w:rPr>
            </w:pPr>
            <w:r w:rsidRPr="001D5327">
              <w:rPr>
                <w:rFonts w:cs="Calibri"/>
              </w:rPr>
              <w:t>0.09</w:t>
            </w:r>
          </w:p>
        </w:tc>
      </w:tr>
    </w:tbl>
    <w:p w14:paraId="63F0D32F" w14:textId="6A625838" w:rsidR="00D97D6C" w:rsidRPr="001D5327" w:rsidRDefault="00D97D6C" w:rsidP="0090503F">
      <w:pPr>
        <w:pStyle w:val="BodyText"/>
        <w:spacing w:before="240"/>
      </w:pPr>
      <w:r w:rsidRPr="001D5327">
        <w:t>The CO</w:t>
      </w:r>
      <w:r w:rsidRPr="001D5327">
        <w:rPr>
          <w:vertAlign w:val="subscript"/>
        </w:rPr>
        <w:t>2</w:t>
      </w:r>
      <w:r w:rsidRPr="001D5327">
        <w:t xml:space="preserve"> emission factor is derived from the IPCC </w:t>
      </w:r>
      <w:r w:rsidR="00D7241D" w:rsidRPr="001D5327">
        <w:t xml:space="preserve">(2006) </w:t>
      </w:r>
      <w:r w:rsidRPr="001D5327">
        <w:t xml:space="preserve">default net emission factor </w:t>
      </w:r>
      <w:r w:rsidR="00296D90" w:rsidRPr="001D5327">
        <w:t>–</w:t>
      </w:r>
      <w:r w:rsidRPr="001D5327">
        <w:t xml:space="preserve"> it is assumed that the net emission factor is 10 per cent lower than the gross emission factor.</w:t>
      </w:r>
    </w:p>
    <w:p w14:paraId="28E2AD68" w14:textId="77777777" w:rsidR="00D97D6C" w:rsidRPr="001D5327" w:rsidRDefault="00D97D6C" w:rsidP="00D97D6C">
      <w:pPr>
        <w:pStyle w:val="BodyText"/>
        <w:spacing w:before="100" w:after="100"/>
        <w:rPr>
          <w:rFonts w:cs="Calibri"/>
        </w:rPr>
      </w:pPr>
      <w:r w:rsidRPr="001D5327">
        <w:rPr>
          <w:rFonts w:cs="Calibri"/>
        </w:rPr>
        <w:t>Emissions from gas biomass comprise a very small part of New Zealand’s emissions inventory. Given this situation, MBIE believes the current process is sufficient for estimating emissions from gas biomass and that efforts to improve the quality estimates are better focused on other areas.</w:t>
      </w:r>
    </w:p>
    <w:p w14:paraId="5EE63D99" w14:textId="1E2CB730" w:rsidR="00B702CC" w:rsidRPr="001D5327" w:rsidRDefault="00B702CC" w:rsidP="004B029B">
      <w:pPr>
        <w:pStyle w:val="Heading6"/>
      </w:pPr>
      <w:r w:rsidRPr="001D5327">
        <w:t>Solid biomass</w:t>
      </w:r>
    </w:p>
    <w:p w14:paraId="6D3484AC" w14:textId="187B73B3" w:rsidR="005D2A51" w:rsidRPr="001D5327" w:rsidRDefault="00D97D6C" w:rsidP="00D97D6C">
      <w:pPr>
        <w:pStyle w:val="BodyText"/>
        <w:spacing w:before="100" w:line="240" w:lineRule="atLeast"/>
        <w:rPr>
          <w:rFonts w:cs="Calibri"/>
        </w:rPr>
      </w:pPr>
      <w:r w:rsidRPr="001D5327">
        <w:rPr>
          <w:rFonts w:cs="Calibri"/>
        </w:rPr>
        <w:t xml:space="preserve">Residential and industrial solid biomass activity data are taken from the annual </w:t>
      </w:r>
      <w:r w:rsidRPr="001D5327">
        <w:rPr>
          <w:rFonts w:cs="Calibri"/>
          <w:i/>
          <w:lang w:eastAsia="en-GB"/>
        </w:rPr>
        <w:t>Energy in New Zealand</w:t>
      </w:r>
      <w:r w:rsidRPr="001D5327">
        <w:rPr>
          <w:rFonts w:cs="Calibri"/>
        </w:rPr>
        <w:t xml:space="preserve"> publication (MBIE, </w:t>
      </w:r>
      <w:r w:rsidR="006A21DD" w:rsidRPr="001D5327">
        <w:rPr>
          <w:rFonts w:cs="Calibri"/>
        </w:rPr>
        <w:t>2024</w:t>
      </w:r>
      <w:r w:rsidR="002D4006" w:rsidRPr="001D5327">
        <w:rPr>
          <w:rFonts w:cs="Calibri"/>
        </w:rPr>
        <w:t>a</w:t>
      </w:r>
      <w:r w:rsidRPr="001D5327">
        <w:rPr>
          <w:rFonts w:cs="Calibri"/>
        </w:rPr>
        <w:t xml:space="preserve">). </w:t>
      </w:r>
    </w:p>
    <w:p w14:paraId="2820B516" w14:textId="152FE5F4" w:rsidR="00723315" w:rsidRPr="001D5327" w:rsidRDefault="00723315" w:rsidP="006C32E1">
      <w:pPr>
        <w:pStyle w:val="Heading6"/>
      </w:pPr>
      <w:r w:rsidRPr="001D5327">
        <w:lastRenderedPageBreak/>
        <w:t>Liquid biomass</w:t>
      </w:r>
    </w:p>
    <w:p w14:paraId="33890EBA" w14:textId="77777777" w:rsidR="00D97D6C" w:rsidRPr="001D5327" w:rsidRDefault="00D97D6C" w:rsidP="00D97D6C">
      <w:pPr>
        <w:pStyle w:val="BodyText"/>
        <w:rPr>
          <w:rFonts w:cs="Calibri"/>
        </w:rPr>
      </w:pPr>
      <w:r w:rsidRPr="001D5327">
        <w:rPr>
          <w:rFonts w:cs="Calibri"/>
        </w:rPr>
        <w:t xml:space="preserve">Liquid biofuel activity data are based on information collected under the </w:t>
      </w:r>
      <w:r w:rsidRPr="001D5327">
        <w:rPr>
          <w:rFonts w:cs="Calibri"/>
          <w:i/>
          <w:lang w:eastAsia="en-GB"/>
        </w:rPr>
        <w:t>Petroleum or Engine Fuel Monitoring Levy</w:t>
      </w:r>
      <w:r w:rsidRPr="001D5327">
        <w:rPr>
          <w:rFonts w:cs="Calibri"/>
          <w:iCs/>
          <w:lang w:eastAsia="en-GB"/>
        </w:rPr>
        <w:t>,</w:t>
      </w:r>
      <w:r w:rsidRPr="001D5327">
        <w:rPr>
          <w:rFonts w:cs="Calibri"/>
        </w:rPr>
        <w:t xml:space="preserve"> as reported in MBIE quarterly online data releases. </w:t>
      </w:r>
    </w:p>
    <w:p w14:paraId="2C06D1CF" w14:textId="77777777" w:rsidR="00D97D6C" w:rsidRPr="001D5327" w:rsidRDefault="00D97D6C" w:rsidP="00BF2A76">
      <w:pPr>
        <w:pStyle w:val="Heading5"/>
      </w:pPr>
      <w:r w:rsidRPr="001D5327">
        <w:t>Electricity auto-production</w:t>
      </w:r>
    </w:p>
    <w:p w14:paraId="1CABBCAE" w14:textId="77777777" w:rsidR="00D97D6C" w:rsidRPr="001D5327" w:rsidRDefault="00D97D6C" w:rsidP="00D97D6C">
      <w:pPr>
        <w:pStyle w:val="BodyText"/>
        <w:spacing w:before="100"/>
        <w:rPr>
          <w:rFonts w:cs="Calibri"/>
        </w:rPr>
      </w:pPr>
      <w:r w:rsidRPr="001D5327">
        <w:rPr>
          <w:rFonts w:cs="Calibri"/>
        </w:rPr>
        <w:t xml:space="preserve">All combustion activity for electricity auto-production is allocated into the appropriate manufacturing category. </w:t>
      </w:r>
    </w:p>
    <w:p w14:paraId="037227D2" w14:textId="77777777" w:rsidR="00D97D6C" w:rsidRPr="001D5327" w:rsidRDefault="00D97D6C" w:rsidP="00D97D6C">
      <w:pPr>
        <w:pStyle w:val="Heading4"/>
        <w:rPr>
          <w:rFonts w:cs="Calibri"/>
        </w:rPr>
      </w:pPr>
      <w:r w:rsidRPr="001D5327">
        <w:rPr>
          <w:lang w:eastAsia="en-GB"/>
        </w:rPr>
        <w:t>Emission factors</w:t>
      </w:r>
    </w:p>
    <w:p w14:paraId="4D6E5724" w14:textId="478D1B57" w:rsidR="00D97D6C" w:rsidRPr="001D5327" w:rsidRDefault="00D97D6C" w:rsidP="00D97D6C">
      <w:pPr>
        <w:pStyle w:val="BodyText"/>
        <w:rPr>
          <w:rFonts w:cs="Calibri"/>
        </w:rPr>
      </w:pPr>
      <w:r w:rsidRPr="001D5327">
        <w:rPr>
          <w:rFonts w:cs="Calibri"/>
        </w:rPr>
        <w:t>New Zealand emission factors are based on gross calorific values. A list of emission factors for CO</w:t>
      </w:r>
      <w:r w:rsidRPr="001D5327">
        <w:rPr>
          <w:rFonts w:cs="Calibri"/>
          <w:vertAlign w:val="subscript"/>
          <w:lang w:eastAsia="en-GB"/>
        </w:rPr>
        <w:t>2</w:t>
      </w:r>
      <w:r w:rsidRPr="001D5327">
        <w:rPr>
          <w:rFonts w:cs="Calibri"/>
        </w:rPr>
        <w:t xml:space="preserve">, </w:t>
      </w:r>
      <w:r w:rsidR="00377C34" w:rsidRPr="001D5327">
        <w:rPr>
          <w:rFonts w:cs="Calibri"/>
        </w:rPr>
        <w:t>methane (</w:t>
      </w:r>
      <w:r w:rsidRPr="001D5327">
        <w:rPr>
          <w:rFonts w:cs="Calibri"/>
        </w:rPr>
        <w:t>CH</w:t>
      </w:r>
      <w:r w:rsidRPr="001D5327">
        <w:rPr>
          <w:rFonts w:cs="Calibri"/>
          <w:vertAlign w:val="subscript"/>
        </w:rPr>
        <w:t>4</w:t>
      </w:r>
      <w:r w:rsidR="00377C34" w:rsidRPr="001D5327">
        <w:t>)</w:t>
      </w:r>
      <w:r w:rsidRPr="001D5327">
        <w:rPr>
          <w:rFonts w:cs="Calibri"/>
        </w:rPr>
        <w:t xml:space="preserve"> and </w:t>
      </w:r>
      <w:r w:rsidR="00377C34" w:rsidRPr="001D5327">
        <w:rPr>
          <w:rFonts w:cs="Calibri"/>
        </w:rPr>
        <w:t>nitrous oxide</w:t>
      </w:r>
      <w:r w:rsidRPr="001D5327">
        <w:rPr>
          <w:rFonts w:cs="Calibri"/>
        </w:rPr>
        <w:t xml:space="preserve"> </w:t>
      </w:r>
      <w:r w:rsidR="00377C34" w:rsidRPr="001D5327">
        <w:rPr>
          <w:rFonts w:cs="Calibri"/>
        </w:rPr>
        <w:t>(</w:t>
      </w:r>
      <w:r w:rsidRPr="001D5327">
        <w:rPr>
          <w:rFonts w:cs="Calibri"/>
        </w:rPr>
        <w:t>N</w:t>
      </w:r>
      <w:r w:rsidRPr="001D5327">
        <w:rPr>
          <w:rFonts w:cs="Calibri"/>
          <w:vertAlign w:val="subscript"/>
        </w:rPr>
        <w:t>2</w:t>
      </w:r>
      <w:r w:rsidRPr="001D5327">
        <w:rPr>
          <w:rFonts w:cs="Calibri"/>
        </w:rPr>
        <w:t>O</w:t>
      </w:r>
      <w:r w:rsidR="00377C34" w:rsidRPr="001D5327">
        <w:rPr>
          <w:rFonts w:cs="Calibri"/>
        </w:rPr>
        <w:t>)</w:t>
      </w:r>
      <w:r w:rsidRPr="001D5327">
        <w:rPr>
          <w:rFonts w:cs="Calibri"/>
        </w:rPr>
        <w:t xml:space="preserve"> for all fuel types is provided in annex 5. The characteristics of liquid, so</w:t>
      </w:r>
      <w:r w:rsidR="00377C34" w:rsidRPr="001D5327">
        <w:rPr>
          <w:rFonts w:cs="Calibri"/>
        </w:rPr>
        <w:t>l</w:t>
      </w:r>
      <w:r w:rsidRPr="001D5327">
        <w:rPr>
          <w:rFonts w:cs="Calibri"/>
        </w:rPr>
        <w:t>id</w:t>
      </w:r>
      <w:r w:rsidRPr="001D5327">
        <w:t> </w:t>
      </w:r>
      <w:r w:rsidRPr="001D5327">
        <w:rPr>
          <w:rFonts w:cs="Calibri"/>
        </w:rPr>
        <w:t>and gaseous fuels and biomass used in New Zealand are described under each of the fuel</w:t>
      </w:r>
      <w:r w:rsidRPr="001D5327">
        <w:t> </w:t>
      </w:r>
      <w:r w:rsidRPr="001D5327">
        <w:rPr>
          <w:rFonts w:cs="Calibri"/>
        </w:rPr>
        <w:t>sections below. Where a New Zealand-specific value is not available, MBIE uses either the</w:t>
      </w:r>
      <w:r w:rsidR="00296D90" w:rsidRPr="001D5327">
        <w:rPr>
          <w:rFonts w:cs="Calibri"/>
        </w:rPr>
        <w:t> </w:t>
      </w:r>
      <w:r w:rsidRPr="001D5327">
        <w:rPr>
          <w:rFonts w:cs="Calibri"/>
        </w:rPr>
        <w:t xml:space="preserve">IPCC </w:t>
      </w:r>
      <w:r w:rsidR="00A41B80" w:rsidRPr="001D5327">
        <w:rPr>
          <w:rFonts w:cs="Calibri"/>
        </w:rPr>
        <w:t xml:space="preserve">(2006) </w:t>
      </w:r>
      <w:r w:rsidRPr="001D5327">
        <w:rPr>
          <w:rFonts w:cs="Calibri"/>
        </w:rPr>
        <w:t>value that best reflects New Zealand conditions or the mid-point value from the IPCC</w:t>
      </w:r>
      <w:r w:rsidR="00296D90" w:rsidRPr="001D5327">
        <w:rPr>
          <w:rFonts w:cs="Calibri"/>
        </w:rPr>
        <w:t> </w:t>
      </w:r>
      <w:r w:rsidR="00A41B80" w:rsidRPr="001D5327">
        <w:rPr>
          <w:rFonts w:cs="Calibri"/>
        </w:rPr>
        <w:t xml:space="preserve">(2006) </w:t>
      </w:r>
      <w:r w:rsidRPr="001D5327">
        <w:rPr>
          <w:rFonts w:cs="Calibri"/>
        </w:rPr>
        <w:t xml:space="preserve">range. All emission factors from the IPCC </w:t>
      </w:r>
      <w:r w:rsidR="00A41B80" w:rsidRPr="001D5327">
        <w:rPr>
          <w:rFonts w:cs="Calibri"/>
        </w:rPr>
        <w:t xml:space="preserve">(2006) </w:t>
      </w:r>
      <w:r w:rsidRPr="001D5327">
        <w:rPr>
          <w:rFonts w:cs="Calibri"/>
        </w:rPr>
        <w:t xml:space="preserve">are converted from net calorific value </w:t>
      </w:r>
      <w:r w:rsidR="00705152" w:rsidRPr="001D5327">
        <w:rPr>
          <w:rFonts w:cs="Calibri"/>
        </w:rPr>
        <w:t xml:space="preserve">basis </w:t>
      </w:r>
      <w:r w:rsidRPr="001D5327">
        <w:rPr>
          <w:rFonts w:cs="Calibri"/>
        </w:rPr>
        <w:t>to gross calorific value</w:t>
      </w:r>
      <w:r w:rsidR="00705152" w:rsidRPr="001D5327">
        <w:rPr>
          <w:rFonts w:cs="Calibri"/>
        </w:rPr>
        <w:t xml:space="preserve"> basis</w:t>
      </w:r>
      <w:r w:rsidRPr="001D5327">
        <w:rPr>
          <w:rFonts w:cs="Calibri"/>
        </w:rPr>
        <w:t>. New Zealand adopts the following</w:t>
      </w:r>
      <w:r w:rsidR="00377C34" w:rsidRPr="001D5327">
        <w:rPr>
          <w:rFonts w:cs="Calibri"/>
        </w:rPr>
        <w:t xml:space="preserve"> assumptions</w:t>
      </w:r>
      <w:r w:rsidRPr="001D5327">
        <w:rPr>
          <w:rFonts w:cs="Calibri"/>
        </w:rPr>
        <w:t xml:space="preserve"> </w:t>
      </w:r>
      <w:r w:rsidR="00705152" w:rsidRPr="001D5327">
        <w:rPr>
          <w:rFonts w:cs="Calibri"/>
        </w:rPr>
        <w:t xml:space="preserve">(table 3.1.4) </w:t>
      </w:r>
      <w:r w:rsidR="00377C34" w:rsidRPr="001D5327">
        <w:rPr>
          <w:rFonts w:cs="Calibri"/>
        </w:rPr>
        <w:t xml:space="preserve">from the </w:t>
      </w:r>
      <w:r w:rsidRPr="001D5327">
        <w:rPr>
          <w:rFonts w:cs="Calibri"/>
        </w:rPr>
        <w:t>Organisation for Economic Co-operation and</w:t>
      </w:r>
      <w:r w:rsidRPr="001D5327">
        <w:t> </w:t>
      </w:r>
      <w:r w:rsidRPr="001D5327">
        <w:rPr>
          <w:rFonts w:cs="Calibri"/>
        </w:rPr>
        <w:t>Development and International Energy Agency to make these conversions</w:t>
      </w:r>
      <w:r w:rsidR="00377C34" w:rsidRPr="001D5327">
        <w:rPr>
          <w:rFonts w:cs="Calibri"/>
        </w:rPr>
        <w:t>.</w:t>
      </w:r>
    </w:p>
    <w:p w14:paraId="5A24A03A" w14:textId="0B5EA64F" w:rsidR="00EC0E56" w:rsidRPr="001D5327" w:rsidRDefault="00EC0E56" w:rsidP="00EC0E56">
      <w:pPr>
        <w:pStyle w:val="Table"/>
      </w:pPr>
      <w:bookmarkStart w:id="213" w:name="_Toc194241670"/>
      <w:r w:rsidRPr="001D5327">
        <w:t>Table 3.1.4</w:t>
      </w:r>
      <w:r w:rsidRPr="001D5327">
        <w:tab/>
      </w:r>
      <w:r w:rsidR="00705152" w:rsidRPr="001D5327">
        <w:t>Net-to-gross calorific value conversion factors</w:t>
      </w:r>
      <w:bookmarkEnd w:id="213"/>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4479"/>
        <w:gridCol w:w="4026"/>
      </w:tblGrid>
      <w:tr w:rsidR="00EC0E56" w:rsidRPr="001D5327" w14:paraId="2339BD05" w14:textId="77777777" w:rsidTr="00B93D20">
        <w:trPr>
          <w:tblHeader/>
        </w:trPr>
        <w:tc>
          <w:tcPr>
            <w:tcW w:w="2633" w:type="pct"/>
            <w:shd w:val="clear" w:color="auto" w:fill="1B556B"/>
            <w:noWrap/>
            <w:vAlign w:val="bottom"/>
            <w:hideMark/>
          </w:tcPr>
          <w:p w14:paraId="4A23A54A" w14:textId="0D956252" w:rsidR="00EC0E56" w:rsidRPr="001D5327" w:rsidRDefault="00EC0E56" w:rsidP="00B93D20">
            <w:pPr>
              <w:pStyle w:val="TableTextBold"/>
              <w:spacing w:before="40" w:after="40"/>
              <w:rPr>
                <w:rFonts w:cs="Calibri"/>
                <w:noProof w:val="0"/>
                <w:color w:val="FFFFFF"/>
              </w:rPr>
            </w:pPr>
            <w:r w:rsidRPr="001D5327">
              <w:rPr>
                <w:rFonts w:cs="Calibri"/>
                <w:noProof w:val="0"/>
                <w:color w:val="FFFFFF"/>
              </w:rPr>
              <w:t>Fuel</w:t>
            </w:r>
            <w:r w:rsidR="00705152" w:rsidRPr="001D5327">
              <w:rPr>
                <w:rFonts w:cs="Calibri"/>
                <w:noProof w:val="0"/>
                <w:color w:val="FFFFFF"/>
              </w:rPr>
              <w:t xml:space="preserve"> type</w:t>
            </w:r>
          </w:p>
        </w:tc>
        <w:tc>
          <w:tcPr>
            <w:tcW w:w="2367" w:type="pct"/>
            <w:shd w:val="clear" w:color="auto" w:fill="1B556B"/>
            <w:noWrap/>
            <w:vAlign w:val="bottom"/>
            <w:hideMark/>
          </w:tcPr>
          <w:p w14:paraId="5488E804" w14:textId="5ABE05E9" w:rsidR="00EC0E56" w:rsidRPr="001D5327" w:rsidRDefault="00705152" w:rsidP="00B93D20">
            <w:pPr>
              <w:pStyle w:val="TableTextBold"/>
              <w:spacing w:before="40" w:after="40"/>
              <w:jc w:val="right"/>
              <w:rPr>
                <w:rFonts w:cs="Calibri"/>
                <w:noProof w:val="0"/>
                <w:color w:val="FFFFFF"/>
              </w:rPr>
            </w:pPr>
            <w:r w:rsidRPr="001D5327">
              <w:rPr>
                <w:rFonts w:cs="Calibri"/>
                <w:noProof w:val="0"/>
                <w:color w:val="FFFFFF"/>
              </w:rPr>
              <w:t>Factor</w:t>
            </w:r>
          </w:p>
        </w:tc>
      </w:tr>
      <w:tr w:rsidR="00EC0E56" w:rsidRPr="001D5327" w14:paraId="4F4CB0BA" w14:textId="77777777" w:rsidTr="00B93D20">
        <w:tc>
          <w:tcPr>
            <w:tcW w:w="2633" w:type="pct"/>
            <w:shd w:val="clear" w:color="auto" w:fill="auto"/>
            <w:noWrap/>
            <w:hideMark/>
          </w:tcPr>
          <w:p w14:paraId="79151AF1" w14:textId="7577BB5F" w:rsidR="00EC0E56" w:rsidRPr="001D5327" w:rsidRDefault="00705152" w:rsidP="00B93D20">
            <w:pPr>
              <w:pStyle w:val="TableText"/>
              <w:spacing w:before="40" w:after="40"/>
              <w:rPr>
                <w:rFonts w:cs="Calibri"/>
              </w:rPr>
            </w:pPr>
            <w:r w:rsidRPr="001D5327">
              <w:rPr>
                <w:rFonts w:cs="Calibri"/>
              </w:rPr>
              <w:t>Gaseous</w:t>
            </w:r>
          </w:p>
        </w:tc>
        <w:tc>
          <w:tcPr>
            <w:tcW w:w="2367" w:type="pct"/>
            <w:shd w:val="clear" w:color="auto" w:fill="auto"/>
            <w:noWrap/>
            <w:hideMark/>
          </w:tcPr>
          <w:p w14:paraId="39B77D3F" w14:textId="5C26F5B1" w:rsidR="00EC0E56" w:rsidRPr="001D5327" w:rsidRDefault="00705152" w:rsidP="00B93D20">
            <w:pPr>
              <w:pStyle w:val="TableText"/>
              <w:spacing w:before="40" w:after="40"/>
              <w:jc w:val="right"/>
              <w:rPr>
                <w:rFonts w:cs="Calibri"/>
              </w:rPr>
            </w:pPr>
            <w:r w:rsidRPr="001D5327">
              <w:rPr>
                <w:rFonts w:cs="Calibri"/>
              </w:rPr>
              <w:t>0.90</w:t>
            </w:r>
          </w:p>
        </w:tc>
      </w:tr>
      <w:tr w:rsidR="00EC0E56" w:rsidRPr="001D5327" w14:paraId="25778620" w14:textId="77777777" w:rsidTr="00B93D20">
        <w:tc>
          <w:tcPr>
            <w:tcW w:w="2633" w:type="pct"/>
            <w:shd w:val="clear" w:color="auto" w:fill="auto"/>
            <w:noWrap/>
            <w:hideMark/>
          </w:tcPr>
          <w:p w14:paraId="4C24BD6A" w14:textId="658DAB63" w:rsidR="00EC0E56" w:rsidRPr="001D5327" w:rsidRDefault="00705152" w:rsidP="00B93D20">
            <w:pPr>
              <w:pStyle w:val="TableText"/>
              <w:spacing w:before="40" w:after="40"/>
              <w:rPr>
                <w:rFonts w:cs="Calibri"/>
              </w:rPr>
            </w:pPr>
            <w:r w:rsidRPr="001D5327">
              <w:rPr>
                <w:rFonts w:cs="Calibri"/>
              </w:rPr>
              <w:t>Liquid</w:t>
            </w:r>
          </w:p>
        </w:tc>
        <w:tc>
          <w:tcPr>
            <w:tcW w:w="2367" w:type="pct"/>
            <w:shd w:val="clear" w:color="auto" w:fill="auto"/>
            <w:noWrap/>
            <w:hideMark/>
          </w:tcPr>
          <w:p w14:paraId="3883704A" w14:textId="4C569F99" w:rsidR="00EC0E56" w:rsidRPr="001D5327" w:rsidRDefault="00EC0E56" w:rsidP="00B93D20">
            <w:pPr>
              <w:pStyle w:val="TableText"/>
              <w:spacing w:before="40" w:after="40"/>
              <w:jc w:val="right"/>
              <w:rPr>
                <w:rFonts w:cs="Calibri"/>
              </w:rPr>
            </w:pPr>
            <w:r w:rsidRPr="001D5327">
              <w:rPr>
                <w:rFonts w:cs="Calibri"/>
              </w:rPr>
              <w:t>0.9</w:t>
            </w:r>
            <w:r w:rsidR="00705152" w:rsidRPr="001D5327">
              <w:rPr>
                <w:rFonts w:cs="Calibri"/>
              </w:rPr>
              <w:t>5</w:t>
            </w:r>
          </w:p>
        </w:tc>
      </w:tr>
      <w:tr w:rsidR="00EC0E56" w:rsidRPr="001D5327" w14:paraId="18BBAF62" w14:textId="77777777" w:rsidTr="00B93D20">
        <w:tc>
          <w:tcPr>
            <w:tcW w:w="2633" w:type="pct"/>
            <w:shd w:val="clear" w:color="auto" w:fill="auto"/>
            <w:noWrap/>
          </w:tcPr>
          <w:p w14:paraId="756138C9" w14:textId="796BDCB0" w:rsidR="00EC0E56" w:rsidRPr="001D5327" w:rsidRDefault="00705152" w:rsidP="00B93D20">
            <w:pPr>
              <w:pStyle w:val="TableText"/>
              <w:spacing w:before="40" w:after="40"/>
              <w:rPr>
                <w:rFonts w:cs="Calibri"/>
              </w:rPr>
            </w:pPr>
            <w:r w:rsidRPr="001D5327">
              <w:rPr>
                <w:rFonts w:cs="Calibri"/>
              </w:rPr>
              <w:t>Solid</w:t>
            </w:r>
          </w:p>
        </w:tc>
        <w:tc>
          <w:tcPr>
            <w:tcW w:w="2367" w:type="pct"/>
            <w:shd w:val="clear" w:color="auto" w:fill="auto"/>
            <w:noWrap/>
          </w:tcPr>
          <w:p w14:paraId="2DCC7BF2" w14:textId="7480ADBB" w:rsidR="00EC0E56" w:rsidRPr="001D5327" w:rsidRDefault="00EC0E56" w:rsidP="00B93D20">
            <w:pPr>
              <w:pStyle w:val="TableText"/>
              <w:spacing w:before="40" w:after="40"/>
              <w:jc w:val="right"/>
              <w:rPr>
                <w:rFonts w:cs="Calibri"/>
              </w:rPr>
            </w:pPr>
            <w:r w:rsidRPr="001D5327">
              <w:rPr>
                <w:rFonts w:cs="Calibri"/>
              </w:rPr>
              <w:t>0.9</w:t>
            </w:r>
            <w:r w:rsidR="00705152" w:rsidRPr="001D5327">
              <w:rPr>
                <w:rFonts w:cs="Calibri"/>
              </w:rPr>
              <w:t>5</w:t>
            </w:r>
          </w:p>
        </w:tc>
      </w:tr>
      <w:tr w:rsidR="00705152" w:rsidRPr="001D5327" w14:paraId="44369DD3" w14:textId="77777777" w:rsidTr="00B93D20">
        <w:tc>
          <w:tcPr>
            <w:tcW w:w="2633" w:type="pct"/>
            <w:shd w:val="clear" w:color="auto" w:fill="auto"/>
            <w:noWrap/>
          </w:tcPr>
          <w:p w14:paraId="398AE93C" w14:textId="3C3611D6" w:rsidR="00705152" w:rsidRPr="001D5327" w:rsidRDefault="00705152" w:rsidP="00B93D20">
            <w:pPr>
              <w:pStyle w:val="TableText"/>
              <w:spacing w:before="40" w:after="40"/>
              <w:rPr>
                <w:rFonts w:cs="Calibri"/>
              </w:rPr>
            </w:pPr>
            <w:r w:rsidRPr="001D5327">
              <w:rPr>
                <w:rFonts w:cs="Calibri"/>
              </w:rPr>
              <w:t>Wood</w:t>
            </w:r>
          </w:p>
        </w:tc>
        <w:tc>
          <w:tcPr>
            <w:tcW w:w="2367" w:type="pct"/>
            <w:shd w:val="clear" w:color="auto" w:fill="auto"/>
            <w:noWrap/>
          </w:tcPr>
          <w:p w14:paraId="21228435" w14:textId="5A0BFA33" w:rsidR="00705152" w:rsidRPr="001D5327" w:rsidRDefault="00705152" w:rsidP="00B93D20">
            <w:pPr>
              <w:pStyle w:val="TableText"/>
              <w:spacing w:before="40" w:after="40"/>
              <w:jc w:val="right"/>
              <w:rPr>
                <w:rFonts w:cs="Calibri"/>
              </w:rPr>
            </w:pPr>
            <w:r w:rsidRPr="001D5327">
              <w:rPr>
                <w:rFonts w:cs="Calibri"/>
              </w:rPr>
              <w:t>0.80</w:t>
            </w:r>
          </w:p>
        </w:tc>
      </w:tr>
    </w:tbl>
    <w:p w14:paraId="77F6358E" w14:textId="77777777" w:rsidR="00D97D6C" w:rsidRPr="001D5327" w:rsidRDefault="00D97D6C" w:rsidP="0090503F">
      <w:pPr>
        <w:pStyle w:val="Heading5"/>
        <w:spacing w:before="360"/>
      </w:pPr>
      <w:r w:rsidRPr="001D5327">
        <w:t>Liquid fuels</w:t>
      </w:r>
    </w:p>
    <w:p w14:paraId="3B7186FE" w14:textId="416BD018" w:rsidR="00D97D6C" w:rsidRPr="001D5327" w:rsidRDefault="00D97D6C" w:rsidP="00D97D6C">
      <w:pPr>
        <w:pStyle w:val="BodyText"/>
        <w:rPr>
          <w:rFonts w:cs="Calibri"/>
        </w:rPr>
      </w:pPr>
      <w:r w:rsidRPr="001D5327">
        <w:rPr>
          <w:rFonts w:cs="Calibri"/>
        </w:rPr>
        <w:t>Where possible, CO</w:t>
      </w:r>
      <w:r w:rsidRPr="001D5327">
        <w:rPr>
          <w:rFonts w:cs="Calibri"/>
          <w:vertAlign w:val="subscript"/>
          <w:lang w:eastAsia="en-GB"/>
        </w:rPr>
        <w:t>2</w:t>
      </w:r>
      <w:r w:rsidRPr="001D5327">
        <w:rPr>
          <w:rFonts w:cs="Calibri"/>
        </w:rPr>
        <w:t xml:space="preserve"> emission factors for liquid fuels are calculated on an annual basis. Carbon dioxide emission factors</w:t>
      </w:r>
      <w:r w:rsidR="002F5482" w:rsidRPr="001D5327">
        <w:rPr>
          <w:rFonts w:cs="Calibri"/>
        </w:rPr>
        <w:t xml:space="preserve"> for 1990</w:t>
      </w:r>
      <w:r w:rsidR="003819D1" w:rsidRPr="001D5327">
        <w:rPr>
          <w:rFonts w:cs="Calibri"/>
        </w:rPr>
        <w:t xml:space="preserve"> to </w:t>
      </w:r>
      <w:r w:rsidR="002F5482" w:rsidRPr="001D5327">
        <w:rPr>
          <w:rFonts w:cs="Calibri"/>
        </w:rPr>
        <w:t>2021</w:t>
      </w:r>
      <w:r w:rsidRPr="001D5327">
        <w:rPr>
          <w:rFonts w:cs="Calibri"/>
        </w:rPr>
        <w:t xml:space="preserve"> were calculated from Refining New Zealand data on the carbon content and calorific values of the fuels that they produced. </w:t>
      </w:r>
      <w:r w:rsidR="00577EA9" w:rsidRPr="001D5327">
        <w:rPr>
          <w:rFonts w:cs="Calibri"/>
        </w:rPr>
        <w:t xml:space="preserve">Due to the closure of the New Zealand refinery, </w:t>
      </w:r>
      <w:r w:rsidR="002F5482" w:rsidRPr="001D5327">
        <w:rPr>
          <w:rFonts w:cs="Calibri"/>
        </w:rPr>
        <w:t>collection of</w:t>
      </w:r>
      <w:r w:rsidRPr="001D5327">
        <w:rPr>
          <w:rFonts w:cs="Calibri"/>
        </w:rPr>
        <w:t xml:space="preserve"> fuel property data from fuel importers</w:t>
      </w:r>
      <w:r w:rsidR="002F5482" w:rsidRPr="001D5327">
        <w:rPr>
          <w:rFonts w:cs="Calibri"/>
        </w:rPr>
        <w:t xml:space="preserve"> started in 2022</w:t>
      </w:r>
      <w:r w:rsidRPr="001D5327">
        <w:rPr>
          <w:rFonts w:cs="Calibri"/>
        </w:rPr>
        <w:t>. For non-CO</w:t>
      </w:r>
      <w:r w:rsidRPr="001D5327">
        <w:rPr>
          <w:rFonts w:cs="Calibri"/>
          <w:vertAlign w:val="subscript"/>
          <w:lang w:eastAsia="en-GB"/>
        </w:rPr>
        <w:t>2</w:t>
      </w:r>
      <w:r w:rsidRPr="001D5327">
        <w:rPr>
          <w:rFonts w:cs="Calibri"/>
        </w:rPr>
        <w:t xml:space="preserve"> emissions, IPCC </w:t>
      </w:r>
      <w:r w:rsidR="00A41B80" w:rsidRPr="001D5327">
        <w:rPr>
          <w:rFonts w:cs="Calibri"/>
        </w:rPr>
        <w:t xml:space="preserve">(2006) </w:t>
      </w:r>
      <w:r w:rsidRPr="001D5327">
        <w:rPr>
          <w:rFonts w:cs="Calibri"/>
        </w:rPr>
        <w:t xml:space="preserve">default values are used unless otherwise specified in the relevant section. Annex 5 </w:t>
      </w:r>
      <w:r w:rsidR="003819D1" w:rsidRPr="001D5327">
        <w:rPr>
          <w:rFonts w:cs="Calibri"/>
        </w:rPr>
        <w:t xml:space="preserve">provides </w:t>
      </w:r>
      <w:r w:rsidRPr="001D5327">
        <w:rPr>
          <w:rFonts w:cs="Calibri"/>
        </w:rPr>
        <w:t>further information on liquid fuel emission factors, including a time series of gross calorific values.</w:t>
      </w:r>
    </w:p>
    <w:p w14:paraId="0D54823D" w14:textId="77777777" w:rsidR="00D97D6C" w:rsidRPr="001D5327" w:rsidRDefault="00D97D6C" w:rsidP="00BF2A76">
      <w:pPr>
        <w:pStyle w:val="Heading5"/>
      </w:pPr>
      <w:r w:rsidRPr="001D5327">
        <w:t>Solid fuels</w:t>
      </w:r>
    </w:p>
    <w:p w14:paraId="7E1507F7" w14:textId="77777777" w:rsidR="00D97D6C" w:rsidRPr="001D5327" w:rsidRDefault="00D97D6C" w:rsidP="00D97D6C">
      <w:pPr>
        <w:pStyle w:val="BodyText"/>
        <w:rPr>
          <w:rFonts w:cs="Calibri"/>
        </w:rPr>
      </w:pPr>
      <w:r w:rsidRPr="001D5327">
        <w:rPr>
          <w:rFonts w:cs="Calibri"/>
        </w:rPr>
        <w:t>Emission factors for solid fuels were updated for the 2016 submission across the time series from 1990 to 2008, in response to a 2013 ERT recommendation (FCCC/ARR/2013/NZL, paragraph 32) (UNFCCC, 2014). A comprehensive list of carbon content by coal mine is not currently available. A review of New Zealand’s coal emission factors in preparation for the New Zealand Emissions Trading Scheme (NZ ETS) (CRL Energy Ltd, 2009) recommended re</w:t>
      </w:r>
      <w:r w:rsidRPr="001D5327">
        <w:rPr>
          <w:rFonts w:cs="Calibri"/>
        </w:rPr>
        <w:noBreakHyphen/>
        <w:t xml:space="preserve">weighting the current default emission factors to 2007 production rather than continuing with those in the </w:t>
      </w:r>
      <w:r w:rsidRPr="001D5327">
        <w:t xml:space="preserve">New Zealand Energy Information Handbook </w:t>
      </w:r>
      <w:r w:rsidRPr="001D5327">
        <w:rPr>
          <w:rFonts w:cs="Calibri"/>
        </w:rPr>
        <w:t>(Baines, 1993). However, following the recommendation of the ERT review of New Zealand’s 2013 submission (FCCC/ARR/2013/NZL, paragraph 32) (UNFCCC, 2014), the emission factors between 1990</w:t>
      </w:r>
      <w:r w:rsidRPr="001D5327">
        <w:t> </w:t>
      </w:r>
      <w:r w:rsidRPr="001D5327">
        <w:rPr>
          <w:rFonts w:cs="Calibri"/>
        </w:rPr>
        <w:t xml:space="preserve">and 2008 have been interpolated. </w:t>
      </w:r>
    </w:p>
    <w:p w14:paraId="07DF9C93" w14:textId="42FC2AE4" w:rsidR="00D97D6C" w:rsidRPr="001D5327" w:rsidRDefault="00D97D6C" w:rsidP="00D97D6C">
      <w:pPr>
        <w:pStyle w:val="BodyText"/>
        <w:rPr>
          <w:rFonts w:cs="Calibri"/>
        </w:rPr>
      </w:pPr>
      <w:r w:rsidRPr="001D5327">
        <w:rPr>
          <w:rFonts w:cs="Calibri"/>
        </w:rPr>
        <w:lastRenderedPageBreak/>
        <w:t>The emission factor used to calculate emissions from</w:t>
      </w:r>
      <w:r w:rsidR="00206328" w:rsidRPr="001D5327">
        <w:rPr>
          <w:rFonts w:cs="Calibri"/>
        </w:rPr>
        <w:t xml:space="preserve"> </w:t>
      </w:r>
      <w:r w:rsidRPr="001D5327">
        <w:rPr>
          <w:rFonts w:cs="Calibri"/>
        </w:rPr>
        <w:t>coal use in the public electricity and heat production sector has been weighted to reflect the combustion of imported coal. A time series of the effect of this weighting is included in annex 5.</w:t>
      </w:r>
    </w:p>
    <w:p w14:paraId="28866109" w14:textId="77777777" w:rsidR="00D97D6C" w:rsidRPr="001D5327" w:rsidRDefault="00D97D6C" w:rsidP="00BF2A76">
      <w:pPr>
        <w:pStyle w:val="Heading5"/>
      </w:pPr>
      <w:r w:rsidRPr="001D5327">
        <w:t>Gaseous fuels</w:t>
      </w:r>
    </w:p>
    <w:p w14:paraId="4645617F" w14:textId="07E791FF" w:rsidR="00D97D6C" w:rsidRPr="001D5327" w:rsidRDefault="00D97D6C" w:rsidP="00D97D6C">
      <w:pPr>
        <w:pStyle w:val="BodyText"/>
        <w:spacing w:before="100" w:after="100"/>
        <w:rPr>
          <w:rFonts w:cs="Calibri"/>
        </w:rPr>
      </w:pPr>
      <w:r w:rsidRPr="001D5327">
        <w:rPr>
          <w:rFonts w:cs="Calibri"/>
        </w:rPr>
        <w:t xml:space="preserve">New Zealand’s gaseous fuel emission factors are above the </w:t>
      </w:r>
      <w:r w:rsidR="00E56769" w:rsidRPr="001D5327">
        <w:rPr>
          <w:rFonts w:cs="Calibri"/>
        </w:rPr>
        <w:t>IPCC (</w:t>
      </w:r>
      <w:r w:rsidR="0068535B" w:rsidRPr="001D5327">
        <w:rPr>
          <w:rFonts w:cs="Calibri"/>
        </w:rPr>
        <w:t xml:space="preserve">2006) </w:t>
      </w:r>
      <w:r w:rsidRPr="001D5327">
        <w:rPr>
          <w:rFonts w:cs="Calibri"/>
        </w:rPr>
        <w:t xml:space="preserve">default range because New Zealand natural gas fields tend to have </w:t>
      </w:r>
      <w:r w:rsidR="002D13C9" w:rsidRPr="001D5327">
        <w:rPr>
          <w:rFonts w:cs="Calibri"/>
        </w:rPr>
        <w:t xml:space="preserve">a </w:t>
      </w:r>
      <w:r w:rsidRPr="001D5327">
        <w:rPr>
          <w:rFonts w:cs="Calibri"/>
        </w:rPr>
        <w:t>higher CO</w:t>
      </w:r>
      <w:r w:rsidRPr="001D5327">
        <w:rPr>
          <w:rFonts w:cs="Calibri"/>
          <w:vertAlign w:val="subscript"/>
          <w:lang w:eastAsia="en-GB"/>
        </w:rPr>
        <w:t>2</w:t>
      </w:r>
      <w:r w:rsidRPr="001D5327">
        <w:rPr>
          <w:rFonts w:cs="Calibri"/>
        </w:rPr>
        <w:t xml:space="preserve"> content than most international gas fields. This is verified by regular gas composition analysis. Emission factors for </w:t>
      </w:r>
      <w:r w:rsidR="006A21DD" w:rsidRPr="001D5327">
        <w:rPr>
          <w:rFonts w:cs="Calibri"/>
        </w:rPr>
        <w:t>2023</w:t>
      </w:r>
      <w:r w:rsidRPr="001D5327">
        <w:rPr>
          <w:rFonts w:cs="Calibri"/>
        </w:rPr>
        <w:t xml:space="preserve"> from all fields, along with the production weighted average, are included in annex 5.</w:t>
      </w:r>
    </w:p>
    <w:p w14:paraId="6EBA2D0F" w14:textId="59D889B3" w:rsidR="00D97D6C" w:rsidRPr="001D5327" w:rsidRDefault="00D97D6C" w:rsidP="00D97D6C">
      <w:pPr>
        <w:pStyle w:val="BodyText"/>
        <w:spacing w:before="100" w:after="100"/>
        <w:rPr>
          <w:rFonts w:cs="Calibri"/>
        </w:rPr>
      </w:pPr>
      <w:r w:rsidRPr="001D5327">
        <w:rPr>
          <w:rFonts w:cs="Calibri"/>
        </w:rPr>
        <w:t xml:space="preserve">The annual gaseous fuel emission factor is calculated as an average of the emission factors of all natural gas fields in New Zealand, weighted by each field’s relative production for the year. This method provides increased accuracy because it </w:t>
      </w:r>
      <w:r w:rsidR="002D13C9" w:rsidRPr="001D5327">
        <w:rPr>
          <w:rFonts w:cs="Calibri"/>
        </w:rPr>
        <w:t>considers</w:t>
      </w:r>
      <w:r w:rsidRPr="001D5327">
        <w:rPr>
          <w:rFonts w:cs="Calibri"/>
        </w:rPr>
        <w:t xml:space="preserve"> trends in gas fields</w:t>
      </w:r>
      <w:r w:rsidR="002D13C9" w:rsidRPr="001D5327">
        <w:rPr>
          <w:rFonts w:cs="Calibri"/>
        </w:rPr>
        <w:t>’</w:t>
      </w:r>
      <w:r w:rsidRPr="001D5327">
        <w:rPr>
          <w:rFonts w:cs="Calibri"/>
        </w:rPr>
        <w:t xml:space="preserve"> production rates over time (e.g., the decline in production from both the M</w:t>
      </w:r>
      <w:r w:rsidR="00E408A8" w:rsidRPr="001D5327">
        <w:rPr>
          <w:rFonts w:cs="Calibri"/>
        </w:rPr>
        <w:t>ā</w:t>
      </w:r>
      <w:r w:rsidRPr="001D5327">
        <w:rPr>
          <w:rFonts w:cs="Calibri"/>
        </w:rPr>
        <w:t>ui and Kapuni gas fields). This emission factor fluctuates slightly from year to year, mainly due to the relative production volume at different gas fields.</w:t>
      </w:r>
    </w:p>
    <w:p w14:paraId="775F962D" w14:textId="6BFC7C45" w:rsidR="00D97D6C" w:rsidRPr="001D5327" w:rsidRDefault="00D97D6C" w:rsidP="00D97D6C">
      <w:pPr>
        <w:pStyle w:val="BodyText"/>
        <w:spacing w:before="100" w:after="100"/>
        <w:rPr>
          <w:rFonts w:cs="Calibri"/>
        </w:rPr>
      </w:pPr>
      <w:r w:rsidRPr="001D5327">
        <w:rPr>
          <w:rFonts w:cs="Calibri"/>
        </w:rPr>
        <w:t>Natural gas from the Kapuni gas field has a particularly high CO</w:t>
      </w:r>
      <w:r w:rsidRPr="001D5327">
        <w:rPr>
          <w:rFonts w:cs="Calibri"/>
          <w:vertAlign w:val="subscript"/>
          <w:lang w:eastAsia="en-GB"/>
        </w:rPr>
        <w:t xml:space="preserve">2 </w:t>
      </w:r>
      <w:r w:rsidRPr="001D5327">
        <w:rPr>
          <w:rFonts w:cs="Calibri"/>
        </w:rPr>
        <w:t>content. Historically, this field</w:t>
      </w:r>
      <w:r w:rsidR="00AB557C" w:rsidRPr="001D5327">
        <w:rPr>
          <w:rFonts w:cs="Calibri"/>
        </w:rPr>
        <w:t> </w:t>
      </w:r>
      <w:r w:rsidRPr="001D5327">
        <w:rPr>
          <w:rFonts w:cs="Calibri"/>
        </w:rPr>
        <w:t>has been valued by the petrochemicals industry as a feedstock. However, most of the gas from this field is now treated, and the excess CO</w:t>
      </w:r>
      <w:r w:rsidRPr="001D5327">
        <w:rPr>
          <w:rFonts w:cs="Calibri"/>
          <w:vertAlign w:val="subscript"/>
          <w:lang w:eastAsia="en-GB"/>
        </w:rPr>
        <w:t>2</w:t>
      </w:r>
      <w:r w:rsidRPr="001D5327">
        <w:rPr>
          <w:rFonts w:cs="Calibri"/>
        </w:rPr>
        <w:t xml:space="preserve"> is removed at the Kapuni Gas Treatment Plant. Consequently, separate emission factors were used to calculate emissions from Kapuni treated and untreated gas, due to the difference in carbon content (see annex 5). Carbon dioxide removed from raw Kapuni gas (which is then vented) is reported in </w:t>
      </w:r>
      <w:r w:rsidR="00900111" w:rsidRPr="001D5327">
        <w:rPr>
          <w:rFonts w:cs="Calibri"/>
        </w:rPr>
        <w:t xml:space="preserve">category </w:t>
      </w:r>
      <w:r w:rsidRPr="001D5327">
        <w:rPr>
          <w:rFonts w:cs="Calibri"/>
        </w:rPr>
        <w:t xml:space="preserve">1.B.2.c </w:t>
      </w:r>
      <w:r w:rsidRPr="001D5327">
        <w:rPr>
          <w:rFonts w:cs="Calibri"/>
          <w:i/>
          <w:iCs/>
          <w:lang w:eastAsia="en-GB"/>
        </w:rPr>
        <w:t>Venting and flaring</w:t>
      </w:r>
      <w:r w:rsidRPr="001D5327">
        <w:rPr>
          <w:rFonts w:cs="Calibri"/>
        </w:rPr>
        <w:t>.</w:t>
      </w:r>
    </w:p>
    <w:p w14:paraId="291134C2" w14:textId="77777777" w:rsidR="00D97D6C" w:rsidRPr="001D5327" w:rsidRDefault="00D97D6C" w:rsidP="00BF2A76">
      <w:pPr>
        <w:pStyle w:val="Heading5"/>
      </w:pPr>
      <w:r w:rsidRPr="001D5327">
        <w:t>Biomass</w:t>
      </w:r>
    </w:p>
    <w:p w14:paraId="1421CC6C" w14:textId="6034DB02" w:rsidR="00D97D6C" w:rsidRPr="001D5327" w:rsidRDefault="00D97D6C" w:rsidP="00D97D6C">
      <w:pPr>
        <w:pStyle w:val="BodyText"/>
        <w:spacing w:after="100"/>
        <w:rPr>
          <w:rFonts w:cs="Calibri"/>
        </w:rPr>
      </w:pPr>
      <w:r w:rsidRPr="001D5327">
        <w:rPr>
          <w:rFonts w:cs="Calibri"/>
        </w:rPr>
        <w:t xml:space="preserve">Emission factors for wood combustion are calculated from </w:t>
      </w:r>
      <w:r w:rsidR="00012916" w:rsidRPr="001D5327">
        <w:rPr>
          <w:rFonts w:cs="Calibri"/>
        </w:rPr>
        <w:t>a</w:t>
      </w:r>
      <w:r w:rsidR="00B43F64">
        <w:rPr>
          <w:rFonts w:cs="Calibri"/>
        </w:rPr>
        <w:t>n</w:t>
      </w:r>
      <w:r w:rsidR="00012916" w:rsidRPr="001D5327">
        <w:rPr>
          <w:rFonts w:cs="Calibri"/>
        </w:rPr>
        <w:t xml:space="preserve"> </w:t>
      </w:r>
      <w:r w:rsidRPr="001D5327">
        <w:rPr>
          <w:rFonts w:cs="Calibri"/>
        </w:rPr>
        <w:t xml:space="preserve">IPCC </w:t>
      </w:r>
      <w:r w:rsidR="00563486" w:rsidRPr="001D5327">
        <w:rPr>
          <w:rFonts w:cs="Calibri"/>
        </w:rPr>
        <w:t>(</w:t>
      </w:r>
      <w:r w:rsidRPr="001D5327">
        <w:rPr>
          <w:rFonts w:cs="Calibri"/>
        </w:rPr>
        <w:t>2006</w:t>
      </w:r>
      <w:r w:rsidR="00563486" w:rsidRPr="001D5327">
        <w:rPr>
          <w:rFonts w:cs="Calibri"/>
        </w:rPr>
        <w:t>)</w:t>
      </w:r>
      <w:r w:rsidRPr="001D5327">
        <w:rPr>
          <w:rFonts w:cs="Calibri"/>
        </w:rPr>
        <w:t xml:space="preserve"> default emission factor and assume that the net calorific value is 20 per cent lower than the gross calorific value (IPCC, 2006). Carbon dioxide emissions from wood used for energy production are reported as a memo item and are not included in the estimate of New Zealand’s total greenhouse gas emissions (IPCC, 2006). Carbon dioxide emission factors for liquid biofuels are sourced from the </w:t>
      </w:r>
      <w:r w:rsidRPr="001D5327">
        <w:rPr>
          <w:rFonts w:cs="Calibri"/>
          <w:i/>
          <w:iCs/>
          <w:lang w:eastAsia="en-GB"/>
        </w:rPr>
        <w:t xml:space="preserve">New Zealand Energy Information Handbook </w:t>
      </w:r>
      <w:r w:rsidRPr="001D5327">
        <w:rPr>
          <w:rFonts w:cs="Calibri"/>
        </w:rPr>
        <w:t>(Baines, 1993), while CH</w:t>
      </w:r>
      <w:r w:rsidRPr="001D5327">
        <w:rPr>
          <w:rFonts w:cs="Calibri"/>
          <w:vertAlign w:val="subscript"/>
        </w:rPr>
        <w:t>4</w:t>
      </w:r>
      <w:r w:rsidRPr="001D5327">
        <w:rPr>
          <w:rFonts w:cs="Calibri"/>
        </w:rPr>
        <w:t xml:space="preserve"> and N</w:t>
      </w:r>
      <w:r w:rsidRPr="001D5327">
        <w:rPr>
          <w:rFonts w:cs="Calibri"/>
          <w:vertAlign w:val="subscript"/>
        </w:rPr>
        <w:t>2</w:t>
      </w:r>
      <w:r w:rsidRPr="001D5327">
        <w:rPr>
          <w:rFonts w:cs="Calibri"/>
        </w:rPr>
        <w:t xml:space="preserve">O emission factors are IPCC </w:t>
      </w:r>
      <w:r w:rsidR="005F3CCC" w:rsidRPr="001D5327">
        <w:rPr>
          <w:rFonts w:cs="Calibri"/>
        </w:rPr>
        <w:t>(</w:t>
      </w:r>
      <w:r w:rsidRPr="001D5327">
        <w:rPr>
          <w:rFonts w:cs="Calibri"/>
        </w:rPr>
        <w:t>2006</w:t>
      </w:r>
      <w:r w:rsidR="005F3CCC" w:rsidRPr="001D5327">
        <w:rPr>
          <w:rFonts w:cs="Calibri"/>
        </w:rPr>
        <w:t>)</w:t>
      </w:r>
      <w:r w:rsidRPr="001D5327">
        <w:rPr>
          <w:rFonts w:cs="Calibri"/>
        </w:rPr>
        <w:t xml:space="preserve"> default emission factors.</w:t>
      </w:r>
    </w:p>
    <w:p w14:paraId="6FAC0BD2" w14:textId="77777777" w:rsidR="00D97D6C" w:rsidRPr="001D5327" w:rsidRDefault="00D97D6C" w:rsidP="00D97D6C">
      <w:pPr>
        <w:pStyle w:val="Heading3"/>
        <w:spacing w:before="320"/>
        <w:rPr>
          <w:rFonts w:cs="Calibri"/>
        </w:rPr>
      </w:pPr>
      <w:r w:rsidRPr="001D5327">
        <w:rPr>
          <w:rFonts w:cs="Calibri"/>
        </w:rPr>
        <w:t>3.2.3</w:t>
      </w:r>
      <w:r w:rsidRPr="001D5327">
        <w:tab/>
      </w:r>
      <w:r w:rsidRPr="001D5327">
        <w:rPr>
          <w:rFonts w:cs="Calibri"/>
        </w:rPr>
        <w:t>Uncertainty assessment and time-series consistency</w:t>
      </w:r>
    </w:p>
    <w:p w14:paraId="364E6728" w14:textId="18944743" w:rsidR="00D97D6C" w:rsidRPr="001D5327" w:rsidRDefault="00D97D6C" w:rsidP="00D97D6C">
      <w:pPr>
        <w:pStyle w:val="BodyText"/>
        <w:spacing w:before="100" w:after="100"/>
        <w:rPr>
          <w:rFonts w:cs="Calibri"/>
          <w:lang w:eastAsia="en-GB"/>
        </w:rPr>
      </w:pPr>
      <w:r w:rsidRPr="001D5327">
        <w:rPr>
          <w:rFonts w:cs="Calibri"/>
          <w:lang w:eastAsia="en-GB"/>
        </w:rPr>
        <w:t>Uncertainty in greenhouse gas emissions from fuel combustion varies depending on the type of greenhouse gas. The uncertainty in CO</w:t>
      </w:r>
      <w:r w:rsidRPr="001D5327">
        <w:rPr>
          <w:rFonts w:cs="Calibri"/>
          <w:vertAlign w:val="subscript"/>
          <w:lang w:eastAsia="en-GB"/>
        </w:rPr>
        <w:t>2</w:t>
      </w:r>
      <w:r w:rsidRPr="001D5327">
        <w:rPr>
          <w:rFonts w:cs="Calibri"/>
          <w:sz w:val="14"/>
          <w:szCs w:val="14"/>
          <w:lang w:eastAsia="en-GB"/>
        </w:rPr>
        <w:t xml:space="preserve"> </w:t>
      </w:r>
      <w:r w:rsidRPr="001D5327">
        <w:rPr>
          <w:rFonts w:cs="Calibri"/>
          <w:lang w:eastAsia="en-GB"/>
        </w:rPr>
        <w:t>emissions is relatively low. This is important because CO</w:t>
      </w:r>
      <w:r w:rsidRPr="001D5327">
        <w:rPr>
          <w:rFonts w:cs="Calibri"/>
          <w:vertAlign w:val="subscript"/>
          <w:lang w:eastAsia="en-GB"/>
        </w:rPr>
        <w:t>2</w:t>
      </w:r>
      <w:r w:rsidRPr="001D5327">
        <w:rPr>
          <w:rFonts w:cs="Calibri"/>
          <w:lang w:eastAsia="en-GB"/>
        </w:rPr>
        <w:t xml:space="preserve"> emissions comprise around 96 per cent to 97 per cent of </w:t>
      </w:r>
      <w:r w:rsidR="00F7621D" w:rsidRPr="001D5327">
        <w:rPr>
          <w:rFonts w:cs="Calibri"/>
          <w:lang w:eastAsia="en-GB"/>
        </w:rPr>
        <w:t>carbon dioxide equivalent (</w:t>
      </w:r>
      <w:r w:rsidRPr="001D5327">
        <w:rPr>
          <w:rFonts w:cs="Calibri"/>
        </w:rPr>
        <w:t>CO</w:t>
      </w:r>
      <w:r w:rsidRPr="001D5327">
        <w:rPr>
          <w:rFonts w:cs="Calibri"/>
          <w:vertAlign w:val="subscript"/>
        </w:rPr>
        <w:t>2</w:t>
      </w:r>
      <w:r w:rsidRPr="001D5327">
        <w:rPr>
          <w:rFonts w:cs="Calibri"/>
        </w:rPr>
        <w:t>-e</w:t>
      </w:r>
      <w:r w:rsidR="00F7621D" w:rsidRPr="001D5327">
        <w:rPr>
          <w:rFonts w:cs="Calibri"/>
        </w:rPr>
        <w:t>)</w:t>
      </w:r>
      <w:r w:rsidRPr="001D5327">
        <w:rPr>
          <w:rFonts w:cs="Calibri"/>
          <w:lang w:eastAsia="en-GB"/>
        </w:rPr>
        <w:t xml:space="preserve"> emissions from fuel combustion in </w:t>
      </w:r>
      <w:r w:rsidRPr="001D5327">
        <w:rPr>
          <w:rFonts w:cs="Calibri"/>
        </w:rPr>
        <w:t>New Zealand</w:t>
      </w:r>
      <w:r w:rsidRPr="001D5327">
        <w:rPr>
          <w:rFonts w:cs="Calibri"/>
          <w:lang w:eastAsia="en-GB"/>
        </w:rPr>
        <w:t>. By comparison, emissions of the non-</w:t>
      </w:r>
      <w:r w:rsidRPr="001D5327">
        <w:rPr>
          <w:rFonts w:cs="Calibri"/>
        </w:rPr>
        <w:t>CO</w:t>
      </w:r>
      <w:r w:rsidRPr="001D5327">
        <w:rPr>
          <w:rFonts w:cs="Calibri"/>
          <w:vertAlign w:val="subscript"/>
        </w:rPr>
        <w:t>2</w:t>
      </w:r>
      <w:r w:rsidRPr="001D5327">
        <w:rPr>
          <w:rFonts w:cs="Calibri"/>
          <w:sz w:val="14"/>
          <w:szCs w:val="14"/>
          <w:lang w:eastAsia="en-GB"/>
        </w:rPr>
        <w:t xml:space="preserve"> </w:t>
      </w:r>
      <w:r w:rsidRPr="001D5327">
        <w:rPr>
          <w:rFonts w:cs="Calibri"/>
          <w:lang w:eastAsia="en-GB"/>
        </w:rPr>
        <w:t xml:space="preserve">gases are much less certain because emissions of these gases vary with combustion conditions. Uncertainties for </w:t>
      </w:r>
      <w:r w:rsidRPr="001D5327">
        <w:rPr>
          <w:rFonts w:cs="Calibri"/>
        </w:rPr>
        <w:t>CO</w:t>
      </w:r>
      <w:r w:rsidRPr="001D5327">
        <w:rPr>
          <w:rFonts w:cs="Calibri"/>
          <w:vertAlign w:val="subscript"/>
        </w:rPr>
        <w:t>2</w:t>
      </w:r>
      <w:r w:rsidRPr="001D5327">
        <w:rPr>
          <w:rFonts w:cs="Calibri"/>
          <w:lang w:eastAsia="en-GB"/>
        </w:rPr>
        <w:t xml:space="preserve">, </w:t>
      </w:r>
      <w:r w:rsidRPr="001D5327">
        <w:rPr>
          <w:rFonts w:cs="Calibri"/>
        </w:rPr>
        <w:t>CH</w:t>
      </w:r>
      <w:r w:rsidRPr="001D5327">
        <w:rPr>
          <w:rFonts w:cs="Calibri"/>
          <w:vertAlign w:val="subscript"/>
        </w:rPr>
        <w:t>4</w:t>
      </w:r>
      <w:r w:rsidRPr="001D5327">
        <w:rPr>
          <w:rFonts w:cs="Calibri"/>
          <w:lang w:eastAsia="en-GB"/>
        </w:rPr>
        <w:t xml:space="preserve"> and </w:t>
      </w:r>
      <w:r w:rsidRPr="001D5327">
        <w:rPr>
          <w:rFonts w:cs="Calibri"/>
        </w:rPr>
        <w:t>N</w:t>
      </w:r>
      <w:r w:rsidRPr="001D5327">
        <w:rPr>
          <w:rFonts w:cs="Calibri"/>
          <w:vertAlign w:val="subscript"/>
        </w:rPr>
        <w:t>2</w:t>
      </w:r>
      <w:r w:rsidRPr="001D5327">
        <w:rPr>
          <w:rFonts w:cs="Calibri"/>
        </w:rPr>
        <w:t>O</w:t>
      </w:r>
      <w:r w:rsidRPr="001D5327">
        <w:rPr>
          <w:rFonts w:cs="Calibri"/>
          <w:lang w:eastAsia="en-GB"/>
        </w:rPr>
        <w:t xml:space="preserve"> activity data and emission factors are supplied in table 3.2.1. Many of the non</w:t>
      </w:r>
      <w:r w:rsidRPr="001D5327">
        <w:rPr>
          <w:rFonts w:cs="Calibri"/>
          <w:lang w:eastAsia="en-GB"/>
        </w:rPr>
        <w:noBreakHyphen/>
      </w:r>
      <w:r w:rsidRPr="001D5327">
        <w:rPr>
          <w:rFonts w:cs="Calibri"/>
        </w:rPr>
        <w:t>CO</w:t>
      </w:r>
      <w:r w:rsidRPr="001D5327">
        <w:rPr>
          <w:rFonts w:cs="Calibri"/>
          <w:vertAlign w:val="subscript"/>
        </w:rPr>
        <w:t>2</w:t>
      </w:r>
      <w:r w:rsidRPr="001D5327">
        <w:rPr>
          <w:rFonts w:cs="Calibri"/>
          <w:sz w:val="14"/>
          <w:szCs w:val="14"/>
          <w:lang w:eastAsia="en-GB"/>
        </w:rPr>
        <w:t xml:space="preserve"> </w:t>
      </w:r>
      <w:r w:rsidRPr="001D5327">
        <w:rPr>
          <w:rFonts w:cs="Calibri"/>
          <w:lang w:eastAsia="en-GB"/>
        </w:rPr>
        <w:t xml:space="preserve">emission factors used by </w:t>
      </w:r>
      <w:r w:rsidRPr="001D5327">
        <w:rPr>
          <w:rFonts w:cs="Calibri"/>
        </w:rPr>
        <w:t xml:space="preserve">New Zealand </w:t>
      </w:r>
      <w:r w:rsidRPr="001D5327">
        <w:rPr>
          <w:rFonts w:cs="Calibri"/>
          <w:lang w:eastAsia="en-GB"/>
        </w:rPr>
        <w:t xml:space="preserve">are the IPCC </w:t>
      </w:r>
      <w:r w:rsidR="00110ED6" w:rsidRPr="001D5327">
        <w:rPr>
          <w:rFonts w:cs="Calibri"/>
          <w:lang w:eastAsia="en-GB"/>
        </w:rPr>
        <w:t xml:space="preserve">(2006) </w:t>
      </w:r>
      <w:r w:rsidRPr="001D5327">
        <w:rPr>
          <w:rFonts w:cs="Calibri"/>
          <w:lang w:eastAsia="en-GB"/>
        </w:rPr>
        <w:t>default values. Further detailed information around uncertainties for each fuel type can be found in annex 5.</w:t>
      </w:r>
    </w:p>
    <w:p w14:paraId="78D84AB6" w14:textId="53C723E8" w:rsidR="00D97D6C" w:rsidRPr="001D5327" w:rsidRDefault="00D97D6C" w:rsidP="000252E3">
      <w:pPr>
        <w:pStyle w:val="Table"/>
      </w:pPr>
      <w:bookmarkStart w:id="214" w:name="_Toc384582169"/>
      <w:bookmarkStart w:id="215" w:name="_Toc443060845"/>
      <w:bookmarkStart w:id="216" w:name="_Toc451176061"/>
      <w:bookmarkStart w:id="217" w:name="_Toc481751487"/>
      <w:bookmarkStart w:id="218" w:name="_Toc507496590"/>
      <w:bookmarkStart w:id="219" w:name="_Toc36224524"/>
      <w:bookmarkStart w:id="220" w:name="_Toc68786405"/>
      <w:bookmarkStart w:id="221" w:name="_Toc164153804"/>
      <w:bookmarkStart w:id="222" w:name="_Toc194241671"/>
      <w:r w:rsidRPr="001D5327">
        <w:lastRenderedPageBreak/>
        <w:t>Table 3.2.1</w:t>
      </w:r>
      <w:r w:rsidRPr="001D5327">
        <w:tab/>
        <w:t>Uncertainty for New Zealand’s Energy sector emission estimates</w:t>
      </w:r>
      <w:bookmarkEnd w:id="214"/>
      <w:bookmarkEnd w:id="215"/>
      <w:bookmarkEnd w:id="216"/>
      <w:bookmarkEnd w:id="217"/>
      <w:bookmarkEnd w:id="218"/>
      <w:bookmarkEnd w:id="219"/>
      <w:r w:rsidRPr="001D5327">
        <w:t xml:space="preserve"> for </w:t>
      </w:r>
      <w:bookmarkEnd w:id="220"/>
      <w:bookmarkEnd w:id="221"/>
      <w:r w:rsidR="006A21DD" w:rsidRPr="001D5327">
        <w:t>2023</w:t>
      </w:r>
      <w:bookmarkEnd w:id="222"/>
    </w:p>
    <w:tbl>
      <w:tblPr>
        <w:tblW w:w="8505"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544"/>
        <w:gridCol w:w="4584"/>
        <w:gridCol w:w="1657"/>
        <w:gridCol w:w="1720"/>
      </w:tblGrid>
      <w:tr w:rsidR="000252E3" w:rsidRPr="001D5327" w14:paraId="57E2BAD2" w14:textId="77777777" w:rsidTr="00D11AC9">
        <w:trPr>
          <w:tblHeader/>
        </w:trPr>
        <w:tc>
          <w:tcPr>
            <w:tcW w:w="320" w:type="pct"/>
            <w:shd w:val="clear" w:color="auto" w:fill="1B556B" w:themeFill="text2"/>
            <w:noWrap/>
            <w:vAlign w:val="bottom"/>
            <w:hideMark/>
          </w:tcPr>
          <w:p w14:paraId="57B43716" w14:textId="77777777" w:rsidR="000252E3" w:rsidRPr="001D5327" w:rsidRDefault="000252E3" w:rsidP="000252E3">
            <w:pPr>
              <w:pStyle w:val="TableTextBold"/>
              <w:keepNext/>
              <w:spacing w:before="40" w:after="40"/>
              <w:rPr>
                <w:rFonts w:cs="Calibri"/>
                <w:noProof w:val="0"/>
                <w:color w:val="FFFFFF"/>
              </w:rPr>
            </w:pPr>
          </w:p>
        </w:tc>
        <w:tc>
          <w:tcPr>
            <w:tcW w:w="2695" w:type="pct"/>
            <w:shd w:val="clear" w:color="auto" w:fill="1B556B" w:themeFill="text2"/>
            <w:noWrap/>
            <w:vAlign w:val="bottom"/>
            <w:hideMark/>
          </w:tcPr>
          <w:p w14:paraId="37B227E0" w14:textId="77777777" w:rsidR="000252E3" w:rsidRPr="001D5327" w:rsidRDefault="000252E3" w:rsidP="000252E3">
            <w:pPr>
              <w:pStyle w:val="TableTextBold"/>
              <w:keepNext/>
              <w:spacing w:before="40" w:after="40"/>
              <w:rPr>
                <w:rFonts w:cs="Calibri"/>
                <w:noProof w:val="0"/>
                <w:color w:val="FFFFFF"/>
              </w:rPr>
            </w:pPr>
            <w:r w:rsidRPr="001D5327">
              <w:rPr>
                <w:rFonts w:cs="Calibri"/>
                <w:noProof w:val="0"/>
                <w:color w:val="FFFFFF"/>
              </w:rPr>
              <w:t xml:space="preserve">Category </w:t>
            </w:r>
          </w:p>
        </w:tc>
        <w:tc>
          <w:tcPr>
            <w:tcW w:w="974" w:type="pct"/>
            <w:shd w:val="clear" w:color="auto" w:fill="1B556B" w:themeFill="text2"/>
            <w:vAlign w:val="bottom"/>
            <w:hideMark/>
          </w:tcPr>
          <w:p w14:paraId="48B090E5" w14:textId="77777777" w:rsidR="000252E3" w:rsidRPr="001D5327" w:rsidRDefault="000252E3" w:rsidP="000252E3">
            <w:pPr>
              <w:pStyle w:val="TableTextBold"/>
              <w:keepNext/>
              <w:spacing w:before="40" w:after="40"/>
              <w:jc w:val="right"/>
              <w:rPr>
                <w:rFonts w:cs="Calibri"/>
                <w:noProof w:val="0"/>
                <w:color w:val="FFFFFF"/>
              </w:rPr>
            </w:pPr>
            <w:r w:rsidRPr="001D5327">
              <w:rPr>
                <w:rFonts w:cs="Calibri"/>
                <w:noProof w:val="0"/>
                <w:color w:val="FFFFFF"/>
              </w:rPr>
              <w:t>Activity data uncertainty (%)</w:t>
            </w:r>
          </w:p>
        </w:tc>
        <w:tc>
          <w:tcPr>
            <w:tcW w:w="1011" w:type="pct"/>
            <w:shd w:val="clear" w:color="auto" w:fill="1B556B" w:themeFill="text2"/>
            <w:vAlign w:val="bottom"/>
            <w:hideMark/>
          </w:tcPr>
          <w:p w14:paraId="38B376D6" w14:textId="77777777" w:rsidR="000252E3" w:rsidRPr="001D5327" w:rsidRDefault="000252E3" w:rsidP="000252E3">
            <w:pPr>
              <w:pStyle w:val="TableTextBold"/>
              <w:keepNext/>
              <w:spacing w:before="40" w:after="40"/>
              <w:jc w:val="right"/>
              <w:rPr>
                <w:rFonts w:cs="Calibri"/>
                <w:noProof w:val="0"/>
                <w:color w:val="FFFFFF"/>
              </w:rPr>
            </w:pPr>
            <w:r w:rsidRPr="001D5327">
              <w:rPr>
                <w:rFonts w:cs="Calibri"/>
                <w:noProof w:val="0"/>
                <w:color w:val="FFFFFF"/>
              </w:rPr>
              <w:t>Emission factor uncertainty (%)</w:t>
            </w:r>
          </w:p>
        </w:tc>
      </w:tr>
      <w:tr w:rsidR="000252E3" w:rsidRPr="001D5327" w14:paraId="67EE8360" w14:textId="77777777" w:rsidTr="00D11AC9">
        <w:tc>
          <w:tcPr>
            <w:tcW w:w="320" w:type="pct"/>
            <w:vMerge w:val="restart"/>
            <w:noWrap/>
            <w:vAlign w:val="center"/>
          </w:tcPr>
          <w:p w14:paraId="3025E447" w14:textId="77777777" w:rsidR="000252E3" w:rsidRPr="001D5327" w:rsidRDefault="000252E3" w:rsidP="000252E3">
            <w:pPr>
              <w:pStyle w:val="TableText"/>
              <w:keepNext/>
              <w:spacing w:before="40" w:after="40"/>
              <w:rPr>
                <w:rFonts w:cs="Calibri"/>
              </w:rPr>
            </w:pPr>
            <w:r w:rsidRPr="001D5327">
              <w:rPr>
                <w:rFonts w:cs="Calibri"/>
              </w:rPr>
              <w:t>CO</w:t>
            </w:r>
            <w:r w:rsidRPr="001D5327">
              <w:rPr>
                <w:rFonts w:cs="Calibri"/>
                <w:vertAlign w:val="subscript"/>
              </w:rPr>
              <w:t>2</w:t>
            </w:r>
          </w:p>
        </w:tc>
        <w:tc>
          <w:tcPr>
            <w:tcW w:w="2695" w:type="pct"/>
            <w:shd w:val="clear" w:color="auto" w:fill="auto"/>
            <w:noWrap/>
          </w:tcPr>
          <w:p w14:paraId="38B35767" w14:textId="77777777" w:rsidR="000252E3" w:rsidRPr="001D5327" w:rsidRDefault="000252E3" w:rsidP="000252E3">
            <w:pPr>
              <w:pStyle w:val="TableText"/>
              <w:keepNext/>
              <w:spacing w:before="40" w:after="40"/>
              <w:rPr>
                <w:rFonts w:cs="Calibri"/>
              </w:rPr>
            </w:pPr>
            <w:r w:rsidRPr="001D5327">
              <w:t>Gaseous Fuels</w:t>
            </w:r>
          </w:p>
        </w:tc>
        <w:tc>
          <w:tcPr>
            <w:tcW w:w="974" w:type="pct"/>
            <w:shd w:val="clear" w:color="auto" w:fill="auto"/>
            <w:noWrap/>
          </w:tcPr>
          <w:p w14:paraId="532CDB91" w14:textId="77777777" w:rsidR="000252E3" w:rsidRPr="001D5327" w:rsidRDefault="000252E3" w:rsidP="000252E3">
            <w:pPr>
              <w:pStyle w:val="TableText"/>
              <w:keepNext/>
              <w:spacing w:before="40" w:after="40"/>
              <w:jc w:val="right"/>
              <w:rPr>
                <w:rFonts w:cs="Calibri"/>
              </w:rPr>
            </w:pPr>
            <w:r w:rsidRPr="001D5327">
              <w:rPr>
                <w:rFonts w:cs="Calibri"/>
              </w:rPr>
              <w:t>±</w:t>
            </w:r>
            <w:r w:rsidRPr="001D5327">
              <w:t>7.5</w:t>
            </w:r>
          </w:p>
        </w:tc>
        <w:tc>
          <w:tcPr>
            <w:tcW w:w="1011" w:type="pct"/>
            <w:shd w:val="clear" w:color="auto" w:fill="auto"/>
            <w:noWrap/>
          </w:tcPr>
          <w:p w14:paraId="7AF018A6" w14:textId="77777777" w:rsidR="000252E3" w:rsidRPr="001D5327" w:rsidRDefault="000252E3" w:rsidP="000252E3">
            <w:pPr>
              <w:pStyle w:val="TableText"/>
              <w:keepNext/>
              <w:spacing w:before="40" w:after="40"/>
              <w:jc w:val="right"/>
              <w:rPr>
                <w:rFonts w:cs="Calibri"/>
              </w:rPr>
            </w:pPr>
            <w:r w:rsidRPr="001D5327">
              <w:rPr>
                <w:rFonts w:cs="Calibri"/>
              </w:rPr>
              <w:t>±</w:t>
            </w:r>
            <w:r w:rsidRPr="001D5327">
              <w:t>2.4</w:t>
            </w:r>
          </w:p>
        </w:tc>
      </w:tr>
      <w:tr w:rsidR="000252E3" w:rsidRPr="001D5327" w14:paraId="3D98A0FB" w14:textId="77777777" w:rsidTr="00D11AC9">
        <w:tc>
          <w:tcPr>
            <w:tcW w:w="320" w:type="pct"/>
            <w:vMerge/>
            <w:noWrap/>
          </w:tcPr>
          <w:p w14:paraId="4432E971" w14:textId="77777777" w:rsidR="000252E3" w:rsidRPr="001D5327" w:rsidRDefault="000252E3" w:rsidP="000252E3">
            <w:pPr>
              <w:pStyle w:val="TableText"/>
              <w:keepNext/>
              <w:spacing w:before="40" w:after="40"/>
              <w:rPr>
                <w:rFonts w:cs="Calibri"/>
              </w:rPr>
            </w:pPr>
          </w:p>
        </w:tc>
        <w:tc>
          <w:tcPr>
            <w:tcW w:w="2695" w:type="pct"/>
            <w:shd w:val="clear" w:color="auto" w:fill="auto"/>
            <w:noWrap/>
          </w:tcPr>
          <w:p w14:paraId="70327FA5" w14:textId="77777777" w:rsidR="000252E3" w:rsidRPr="001D5327" w:rsidRDefault="000252E3" w:rsidP="000252E3">
            <w:pPr>
              <w:pStyle w:val="TableText"/>
              <w:keepNext/>
              <w:spacing w:before="40" w:after="40"/>
              <w:rPr>
                <w:rFonts w:cs="Calibri"/>
              </w:rPr>
            </w:pPr>
            <w:r w:rsidRPr="001D5327">
              <w:t>Liquid Fuels</w:t>
            </w:r>
          </w:p>
        </w:tc>
        <w:tc>
          <w:tcPr>
            <w:tcW w:w="974" w:type="pct"/>
            <w:shd w:val="clear" w:color="auto" w:fill="auto"/>
            <w:noWrap/>
          </w:tcPr>
          <w:p w14:paraId="5C57D6D9" w14:textId="77777777" w:rsidR="000252E3" w:rsidRPr="001D5327" w:rsidRDefault="000252E3" w:rsidP="000252E3">
            <w:pPr>
              <w:pStyle w:val="TableText"/>
              <w:keepNext/>
              <w:spacing w:before="40" w:after="40"/>
              <w:jc w:val="right"/>
              <w:rPr>
                <w:rFonts w:cs="Calibri"/>
              </w:rPr>
            </w:pPr>
            <w:r w:rsidRPr="001D5327">
              <w:rPr>
                <w:rFonts w:cs="Calibri"/>
              </w:rPr>
              <w:t>±</w:t>
            </w:r>
            <w:r w:rsidRPr="001D5327">
              <w:t>2.5</w:t>
            </w:r>
          </w:p>
        </w:tc>
        <w:tc>
          <w:tcPr>
            <w:tcW w:w="1011" w:type="pct"/>
            <w:shd w:val="clear" w:color="auto" w:fill="auto"/>
            <w:noWrap/>
          </w:tcPr>
          <w:p w14:paraId="30DA310E" w14:textId="77777777" w:rsidR="000252E3" w:rsidRPr="001D5327" w:rsidRDefault="000252E3" w:rsidP="000252E3">
            <w:pPr>
              <w:pStyle w:val="TableText"/>
              <w:keepNext/>
              <w:spacing w:before="40" w:after="40"/>
              <w:jc w:val="right"/>
              <w:rPr>
                <w:rFonts w:cs="Calibri"/>
              </w:rPr>
            </w:pPr>
            <w:r w:rsidRPr="001D5327">
              <w:rPr>
                <w:rFonts w:cs="Calibri"/>
              </w:rPr>
              <w:t>±</w:t>
            </w:r>
            <w:r w:rsidRPr="001D5327">
              <w:t>0.5</w:t>
            </w:r>
          </w:p>
        </w:tc>
      </w:tr>
      <w:tr w:rsidR="000252E3" w:rsidRPr="001D5327" w14:paraId="63D3BF0E" w14:textId="77777777" w:rsidTr="00D11AC9">
        <w:tc>
          <w:tcPr>
            <w:tcW w:w="320" w:type="pct"/>
            <w:vMerge/>
            <w:noWrap/>
          </w:tcPr>
          <w:p w14:paraId="23648E2F" w14:textId="77777777" w:rsidR="000252E3" w:rsidRPr="001D5327" w:rsidRDefault="000252E3" w:rsidP="00D11AC9">
            <w:pPr>
              <w:pStyle w:val="TableText"/>
              <w:spacing w:before="40" w:after="40"/>
              <w:rPr>
                <w:rFonts w:cs="Calibri"/>
              </w:rPr>
            </w:pPr>
          </w:p>
        </w:tc>
        <w:tc>
          <w:tcPr>
            <w:tcW w:w="2695" w:type="pct"/>
            <w:shd w:val="clear" w:color="auto" w:fill="auto"/>
            <w:noWrap/>
          </w:tcPr>
          <w:p w14:paraId="63AF621C" w14:textId="77777777" w:rsidR="000252E3" w:rsidRPr="001D5327" w:rsidRDefault="000252E3" w:rsidP="00D11AC9">
            <w:pPr>
              <w:pStyle w:val="TableText"/>
              <w:spacing w:before="40" w:after="40"/>
              <w:rPr>
                <w:rFonts w:cs="Calibri"/>
              </w:rPr>
            </w:pPr>
            <w:r w:rsidRPr="001D5327">
              <w:t>Other Fossil Fuels</w:t>
            </w:r>
          </w:p>
        </w:tc>
        <w:tc>
          <w:tcPr>
            <w:tcW w:w="974" w:type="pct"/>
            <w:shd w:val="clear" w:color="auto" w:fill="auto"/>
            <w:noWrap/>
          </w:tcPr>
          <w:p w14:paraId="5A53BF7C" w14:textId="77777777" w:rsidR="000252E3" w:rsidRPr="001D5327" w:rsidRDefault="000252E3" w:rsidP="00D11AC9">
            <w:pPr>
              <w:pStyle w:val="TableText"/>
              <w:spacing w:before="40" w:after="40"/>
              <w:jc w:val="right"/>
              <w:rPr>
                <w:rFonts w:cs="Calibri"/>
              </w:rPr>
            </w:pPr>
            <w:r w:rsidRPr="001D5327">
              <w:rPr>
                <w:rFonts w:cs="Calibri"/>
              </w:rPr>
              <w:t>±</w:t>
            </w:r>
            <w:r w:rsidRPr="001D5327">
              <w:t>5.0</w:t>
            </w:r>
          </w:p>
        </w:tc>
        <w:tc>
          <w:tcPr>
            <w:tcW w:w="1011" w:type="pct"/>
            <w:shd w:val="clear" w:color="auto" w:fill="auto"/>
            <w:noWrap/>
          </w:tcPr>
          <w:p w14:paraId="59E5E6CA" w14:textId="77777777" w:rsidR="000252E3" w:rsidRPr="001D5327" w:rsidRDefault="000252E3" w:rsidP="00D11AC9">
            <w:pPr>
              <w:pStyle w:val="TableText"/>
              <w:spacing w:before="40" w:after="40"/>
              <w:jc w:val="right"/>
              <w:rPr>
                <w:rFonts w:cs="Calibri"/>
              </w:rPr>
            </w:pPr>
            <w:r w:rsidRPr="001D5327">
              <w:rPr>
                <w:rFonts w:cs="Calibri"/>
              </w:rPr>
              <w:t>±</w:t>
            </w:r>
            <w:r w:rsidRPr="001D5327">
              <w:t>5.0</w:t>
            </w:r>
          </w:p>
        </w:tc>
      </w:tr>
      <w:tr w:rsidR="000252E3" w:rsidRPr="001D5327" w14:paraId="40596282" w14:textId="77777777" w:rsidTr="00D11AC9">
        <w:tc>
          <w:tcPr>
            <w:tcW w:w="320" w:type="pct"/>
            <w:vMerge/>
            <w:noWrap/>
          </w:tcPr>
          <w:p w14:paraId="4D555699" w14:textId="77777777" w:rsidR="000252E3" w:rsidRPr="001D5327" w:rsidRDefault="000252E3" w:rsidP="00D11AC9">
            <w:pPr>
              <w:pStyle w:val="TableText"/>
              <w:spacing w:before="40" w:after="40"/>
              <w:rPr>
                <w:rFonts w:cs="Calibri"/>
              </w:rPr>
            </w:pPr>
          </w:p>
        </w:tc>
        <w:tc>
          <w:tcPr>
            <w:tcW w:w="2695" w:type="pct"/>
            <w:shd w:val="clear" w:color="auto" w:fill="auto"/>
            <w:noWrap/>
          </w:tcPr>
          <w:p w14:paraId="5DE8159B" w14:textId="77777777" w:rsidR="000252E3" w:rsidRPr="001D5327" w:rsidRDefault="000252E3" w:rsidP="00D11AC9">
            <w:pPr>
              <w:pStyle w:val="TableText"/>
              <w:spacing w:before="40" w:after="40"/>
              <w:rPr>
                <w:rFonts w:cs="Calibri"/>
              </w:rPr>
            </w:pPr>
            <w:r w:rsidRPr="001D5327">
              <w:t>Solid Fuels</w:t>
            </w:r>
          </w:p>
        </w:tc>
        <w:tc>
          <w:tcPr>
            <w:tcW w:w="974" w:type="pct"/>
            <w:shd w:val="clear" w:color="auto" w:fill="auto"/>
            <w:noWrap/>
          </w:tcPr>
          <w:p w14:paraId="2B91B5F9" w14:textId="77777777" w:rsidR="000252E3" w:rsidRPr="001D5327" w:rsidRDefault="000252E3" w:rsidP="00D11AC9">
            <w:pPr>
              <w:pStyle w:val="TableText"/>
              <w:spacing w:before="40" w:after="40"/>
              <w:jc w:val="right"/>
              <w:rPr>
                <w:rFonts w:cs="Calibri"/>
              </w:rPr>
            </w:pPr>
            <w:r w:rsidRPr="001D5327">
              <w:rPr>
                <w:rFonts w:cs="Calibri"/>
              </w:rPr>
              <w:t>±</w:t>
            </w:r>
            <w:r w:rsidRPr="001D5327">
              <w:t>15.2</w:t>
            </w:r>
          </w:p>
        </w:tc>
        <w:tc>
          <w:tcPr>
            <w:tcW w:w="1011" w:type="pct"/>
            <w:shd w:val="clear" w:color="auto" w:fill="auto"/>
            <w:noWrap/>
          </w:tcPr>
          <w:p w14:paraId="0FFEE30F" w14:textId="77777777" w:rsidR="000252E3" w:rsidRPr="001D5327" w:rsidRDefault="000252E3" w:rsidP="00D11AC9">
            <w:pPr>
              <w:pStyle w:val="TableText"/>
              <w:spacing w:before="40" w:after="40"/>
              <w:jc w:val="right"/>
              <w:rPr>
                <w:rFonts w:cs="Calibri"/>
              </w:rPr>
            </w:pPr>
            <w:r w:rsidRPr="001D5327">
              <w:rPr>
                <w:rFonts w:cs="Calibri"/>
              </w:rPr>
              <w:t>±</w:t>
            </w:r>
            <w:r w:rsidRPr="001D5327">
              <w:t>2.2</w:t>
            </w:r>
          </w:p>
        </w:tc>
      </w:tr>
      <w:tr w:rsidR="000252E3" w:rsidRPr="001D5327" w14:paraId="467731AD" w14:textId="77777777" w:rsidTr="00D11AC9">
        <w:tc>
          <w:tcPr>
            <w:tcW w:w="320" w:type="pct"/>
            <w:vMerge/>
            <w:noWrap/>
          </w:tcPr>
          <w:p w14:paraId="4024E793" w14:textId="77777777" w:rsidR="000252E3" w:rsidRPr="001D5327" w:rsidRDefault="000252E3" w:rsidP="00D11AC9">
            <w:pPr>
              <w:pStyle w:val="TableText"/>
              <w:spacing w:before="40" w:after="40"/>
              <w:rPr>
                <w:rFonts w:cs="Calibri"/>
              </w:rPr>
            </w:pPr>
          </w:p>
        </w:tc>
        <w:tc>
          <w:tcPr>
            <w:tcW w:w="2695" w:type="pct"/>
            <w:shd w:val="clear" w:color="auto" w:fill="auto"/>
            <w:noWrap/>
          </w:tcPr>
          <w:p w14:paraId="62D4BDC7" w14:textId="2F468474" w:rsidR="000252E3" w:rsidRPr="001D5327" w:rsidRDefault="000252E3" w:rsidP="00D11AC9">
            <w:pPr>
              <w:pStyle w:val="TableText"/>
              <w:spacing w:before="40" w:after="40"/>
              <w:rPr>
                <w:rFonts w:cs="Calibri"/>
              </w:rPr>
            </w:pPr>
            <w:r w:rsidRPr="001D5327">
              <w:t>Fugitive – Oil Exploration</w:t>
            </w:r>
          </w:p>
        </w:tc>
        <w:tc>
          <w:tcPr>
            <w:tcW w:w="974" w:type="pct"/>
            <w:shd w:val="clear" w:color="auto" w:fill="auto"/>
            <w:noWrap/>
          </w:tcPr>
          <w:p w14:paraId="16817128" w14:textId="77777777" w:rsidR="000252E3" w:rsidRPr="001D5327" w:rsidRDefault="000252E3" w:rsidP="00D11AC9">
            <w:pPr>
              <w:pStyle w:val="TableText"/>
              <w:spacing w:before="40" w:after="40"/>
              <w:jc w:val="right"/>
              <w:rPr>
                <w:rFonts w:cs="Calibri"/>
              </w:rPr>
            </w:pPr>
            <w:r w:rsidRPr="001D5327">
              <w:rPr>
                <w:rFonts w:cs="Calibri"/>
              </w:rPr>
              <w:t>±</w:t>
            </w:r>
            <w:r w:rsidRPr="001D5327">
              <w:t>2.5</w:t>
            </w:r>
          </w:p>
        </w:tc>
        <w:tc>
          <w:tcPr>
            <w:tcW w:w="1011" w:type="pct"/>
            <w:shd w:val="clear" w:color="auto" w:fill="auto"/>
            <w:noWrap/>
          </w:tcPr>
          <w:p w14:paraId="7EDEDAA7" w14:textId="77777777" w:rsidR="000252E3" w:rsidRPr="001D5327" w:rsidRDefault="000252E3" w:rsidP="00D11AC9">
            <w:pPr>
              <w:pStyle w:val="TableText"/>
              <w:spacing w:before="40" w:after="40"/>
              <w:jc w:val="right"/>
              <w:rPr>
                <w:rFonts w:cs="Calibri"/>
              </w:rPr>
            </w:pPr>
            <w:r w:rsidRPr="001D5327">
              <w:rPr>
                <w:rFonts w:cs="Calibri"/>
              </w:rPr>
              <w:t>±</w:t>
            </w:r>
            <w:r w:rsidRPr="001D5327">
              <w:t>100.0</w:t>
            </w:r>
          </w:p>
        </w:tc>
      </w:tr>
      <w:tr w:rsidR="000252E3" w:rsidRPr="001D5327" w14:paraId="4E591FCE" w14:textId="77777777" w:rsidTr="00D11AC9">
        <w:tc>
          <w:tcPr>
            <w:tcW w:w="320" w:type="pct"/>
            <w:vMerge/>
            <w:noWrap/>
          </w:tcPr>
          <w:p w14:paraId="65B9A12C" w14:textId="77777777" w:rsidR="000252E3" w:rsidRPr="001D5327" w:rsidRDefault="000252E3" w:rsidP="00D11AC9">
            <w:pPr>
              <w:pStyle w:val="TableText"/>
              <w:spacing w:before="40" w:after="40"/>
              <w:rPr>
                <w:rFonts w:cs="Calibri"/>
              </w:rPr>
            </w:pPr>
          </w:p>
        </w:tc>
        <w:tc>
          <w:tcPr>
            <w:tcW w:w="2695" w:type="pct"/>
            <w:shd w:val="clear" w:color="auto" w:fill="auto"/>
            <w:noWrap/>
          </w:tcPr>
          <w:p w14:paraId="1D690155" w14:textId="180FCC68" w:rsidR="000252E3" w:rsidRPr="001D5327" w:rsidRDefault="000252E3" w:rsidP="00D11AC9">
            <w:pPr>
              <w:pStyle w:val="TableText"/>
              <w:spacing w:before="40" w:after="40"/>
              <w:rPr>
                <w:rFonts w:cs="Calibri"/>
              </w:rPr>
            </w:pPr>
            <w:r w:rsidRPr="001D5327">
              <w:t>Fugitive – Oil Production</w:t>
            </w:r>
          </w:p>
        </w:tc>
        <w:tc>
          <w:tcPr>
            <w:tcW w:w="974" w:type="pct"/>
            <w:shd w:val="clear" w:color="auto" w:fill="auto"/>
            <w:noWrap/>
          </w:tcPr>
          <w:p w14:paraId="6064E661" w14:textId="77777777" w:rsidR="000252E3" w:rsidRPr="001D5327" w:rsidRDefault="000252E3" w:rsidP="00D11AC9">
            <w:pPr>
              <w:pStyle w:val="TableText"/>
              <w:spacing w:before="40" w:after="40"/>
              <w:jc w:val="right"/>
              <w:rPr>
                <w:rFonts w:cs="Calibri"/>
              </w:rPr>
            </w:pPr>
            <w:r w:rsidRPr="001D5327">
              <w:rPr>
                <w:rFonts w:cs="Calibri"/>
              </w:rPr>
              <w:t>±</w:t>
            </w:r>
            <w:r w:rsidRPr="001D5327">
              <w:t>2.5</w:t>
            </w:r>
          </w:p>
        </w:tc>
        <w:tc>
          <w:tcPr>
            <w:tcW w:w="1011" w:type="pct"/>
            <w:shd w:val="clear" w:color="auto" w:fill="auto"/>
            <w:noWrap/>
          </w:tcPr>
          <w:p w14:paraId="19E7028A" w14:textId="77777777" w:rsidR="000252E3" w:rsidRPr="001D5327" w:rsidRDefault="000252E3" w:rsidP="00D11AC9">
            <w:pPr>
              <w:pStyle w:val="TableText"/>
              <w:spacing w:before="40" w:after="40"/>
              <w:jc w:val="right"/>
              <w:rPr>
                <w:rFonts w:cs="Calibri"/>
              </w:rPr>
            </w:pPr>
            <w:r w:rsidRPr="001D5327">
              <w:rPr>
                <w:rFonts w:cs="Calibri"/>
              </w:rPr>
              <w:t>±</w:t>
            </w:r>
            <w:r w:rsidRPr="001D5327">
              <w:t>100.0</w:t>
            </w:r>
          </w:p>
        </w:tc>
      </w:tr>
      <w:tr w:rsidR="000252E3" w:rsidRPr="001D5327" w14:paraId="0C87B731" w14:textId="77777777" w:rsidTr="00D11AC9">
        <w:tc>
          <w:tcPr>
            <w:tcW w:w="320" w:type="pct"/>
            <w:vMerge/>
            <w:noWrap/>
          </w:tcPr>
          <w:p w14:paraId="4C25FA1A" w14:textId="77777777" w:rsidR="000252E3" w:rsidRPr="001D5327" w:rsidRDefault="000252E3" w:rsidP="00D11AC9">
            <w:pPr>
              <w:pStyle w:val="TableText"/>
              <w:spacing w:before="40" w:after="40"/>
              <w:rPr>
                <w:rFonts w:cs="Calibri"/>
              </w:rPr>
            </w:pPr>
          </w:p>
        </w:tc>
        <w:tc>
          <w:tcPr>
            <w:tcW w:w="2695" w:type="pct"/>
            <w:shd w:val="clear" w:color="auto" w:fill="auto"/>
            <w:noWrap/>
          </w:tcPr>
          <w:p w14:paraId="67F8903C" w14:textId="6B1C30CA" w:rsidR="000252E3" w:rsidRPr="001D5327" w:rsidRDefault="000252E3" w:rsidP="00D11AC9">
            <w:pPr>
              <w:pStyle w:val="TableText"/>
              <w:spacing w:before="40" w:after="40"/>
              <w:rPr>
                <w:rFonts w:cs="Calibri"/>
              </w:rPr>
            </w:pPr>
            <w:r w:rsidRPr="001D5327">
              <w:t>Fugitive – Oil Transport</w:t>
            </w:r>
          </w:p>
        </w:tc>
        <w:tc>
          <w:tcPr>
            <w:tcW w:w="974" w:type="pct"/>
            <w:shd w:val="clear" w:color="auto" w:fill="auto"/>
            <w:noWrap/>
          </w:tcPr>
          <w:p w14:paraId="45C23100" w14:textId="77777777" w:rsidR="000252E3" w:rsidRPr="001D5327" w:rsidRDefault="000252E3" w:rsidP="00D11AC9">
            <w:pPr>
              <w:pStyle w:val="TableText"/>
              <w:spacing w:before="40" w:after="40"/>
              <w:jc w:val="right"/>
              <w:rPr>
                <w:rFonts w:cs="Calibri"/>
              </w:rPr>
            </w:pPr>
            <w:r w:rsidRPr="001D5327">
              <w:rPr>
                <w:rFonts w:cs="Calibri"/>
              </w:rPr>
              <w:t>±</w:t>
            </w:r>
            <w:r w:rsidRPr="001D5327">
              <w:t>2.5</w:t>
            </w:r>
          </w:p>
        </w:tc>
        <w:tc>
          <w:tcPr>
            <w:tcW w:w="1011" w:type="pct"/>
            <w:shd w:val="clear" w:color="auto" w:fill="auto"/>
            <w:noWrap/>
          </w:tcPr>
          <w:p w14:paraId="45DEB9B9" w14:textId="77777777" w:rsidR="000252E3" w:rsidRPr="001D5327" w:rsidRDefault="000252E3" w:rsidP="00D11AC9">
            <w:pPr>
              <w:pStyle w:val="TableText"/>
              <w:spacing w:before="40" w:after="40"/>
              <w:jc w:val="right"/>
              <w:rPr>
                <w:rFonts w:cs="Calibri"/>
              </w:rPr>
            </w:pPr>
            <w:r w:rsidRPr="001D5327">
              <w:rPr>
                <w:rFonts w:cs="Calibri"/>
              </w:rPr>
              <w:t>±</w:t>
            </w:r>
            <w:r w:rsidRPr="001D5327">
              <w:t>100.0</w:t>
            </w:r>
          </w:p>
        </w:tc>
      </w:tr>
      <w:tr w:rsidR="000252E3" w:rsidRPr="001D5327" w14:paraId="10430A0A" w14:textId="77777777" w:rsidTr="00D11AC9">
        <w:tc>
          <w:tcPr>
            <w:tcW w:w="320" w:type="pct"/>
            <w:vMerge/>
            <w:noWrap/>
          </w:tcPr>
          <w:p w14:paraId="4D8B8321" w14:textId="77777777" w:rsidR="000252E3" w:rsidRPr="001D5327" w:rsidRDefault="000252E3" w:rsidP="00D11AC9">
            <w:pPr>
              <w:pStyle w:val="TableText"/>
              <w:spacing w:before="40" w:after="40"/>
              <w:rPr>
                <w:rFonts w:cs="Calibri"/>
              </w:rPr>
            </w:pPr>
          </w:p>
        </w:tc>
        <w:tc>
          <w:tcPr>
            <w:tcW w:w="2695" w:type="pct"/>
            <w:shd w:val="clear" w:color="auto" w:fill="auto"/>
            <w:noWrap/>
          </w:tcPr>
          <w:p w14:paraId="7C3268E5" w14:textId="1DB6B84F" w:rsidR="000252E3" w:rsidRPr="001D5327" w:rsidRDefault="000252E3" w:rsidP="00D11AC9">
            <w:pPr>
              <w:pStyle w:val="TableText"/>
              <w:spacing w:before="40" w:after="40"/>
              <w:rPr>
                <w:rFonts w:cs="Calibri"/>
              </w:rPr>
            </w:pPr>
            <w:r w:rsidRPr="001D5327">
              <w:t>Fugitive – Gas Production</w:t>
            </w:r>
          </w:p>
        </w:tc>
        <w:tc>
          <w:tcPr>
            <w:tcW w:w="974" w:type="pct"/>
            <w:shd w:val="clear" w:color="auto" w:fill="auto"/>
            <w:noWrap/>
          </w:tcPr>
          <w:p w14:paraId="34EF0637" w14:textId="77777777" w:rsidR="000252E3" w:rsidRPr="001D5327" w:rsidRDefault="000252E3" w:rsidP="00D11AC9">
            <w:pPr>
              <w:pStyle w:val="TableText"/>
              <w:spacing w:before="40" w:after="40"/>
              <w:jc w:val="right"/>
              <w:rPr>
                <w:rFonts w:cs="Calibri"/>
              </w:rPr>
            </w:pPr>
            <w:r w:rsidRPr="001D5327">
              <w:rPr>
                <w:rFonts w:cs="Calibri"/>
              </w:rPr>
              <w:t>±</w:t>
            </w:r>
            <w:r w:rsidRPr="001D5327">
              <w:t>7.5</w:t>
            </w:r>
          </w:p>
        </w:tc>
        <w:tc>
          <w:tcPr>
            <w:tcW w:w="1011" w:type="pct"/>
            <w:shd w:val="clear" w:color="auto" w:fill="auto"/>
            <w:noWrap/>
          </w:tcPr>
          <w:p w14:paraId="50CE2A8B" w14:textId="77777777" w:rsidR="000252E3" w:rsidRPr="001D5327" w:rsidRDefault="000252E3" w:rsidP="00D11AC9">
            <w:pPr>
              <w:pStyle w:val="TableText"/>
              <w:spacing w:before="40" w:after="40"/>
              <w:jc w:val="right"/>
              <w:rPr>
                <w:rFonts w:cs="Calibri"/>
              </w:rPr>
            </w:pPr>
            <w:r w:rsidRPr="001D5327">
              <w:rPr>
                <w:rFonts w:cs="Calibri"/>
              </w:rPr>
              <w:t>±</w:t>
            </w:r>
            <w:r w:rsidRPr="001D5327">
              <w:t>100.0</w:t>
            </w:r>
          </w:p>
        </w:tc>
      </w:tr>
      <w:tr w:rsidR="000252E3" w:rsidRPr="001D5327" w14:paraId="454B41AE" w14:textId="77777777" w:rsidTr="00D11AC9">
        <w:tc>
          <w:tcPr>
            <w:tcW w:w="320" w:type="pct"/>
            <w:vMerge/>
            <w:noWrap/>
          </w:tcPr>
          <w:p w14:paraId="76E4D88D" w14:textId="77777777" w:rsidR="000252E3" w:rsidRPr="001D5327" w:rsidRDefault="000252E3" w:rsidP="00D11AC9">
            <w:pPr>
              <w:pStyle w:val="TableText"/>
              <w:spacing w:before="40" w:after="40"/>
              <w:rPr>
                <w:rFonts w:cs="Calibri"/>
              </w:rPr>
            </w:pPr>
          </w:p>
        </w:tc>
        <w:tc>
          <w:tcPr>
            <w:tcW w:w="2695" w:type="pct"/>
            <w:shd w:val="clear" w:color="auto" w:fill="auto"/>
            <w:noWrap/>
          </w:tcPr>
          <w:p w14:paraId="44549EE5" w14:textId="1C8E2A14" w:rsidR="000252E3" w:rsidRPr="001D5327" w:rsidRDefault="000252E3" w:rsidP="00D11AC9">
            <w:pPr>
              <w:pStyle w:val="TableText"/>
              <w:spacing w:before="40" w:after="40"/>
              <w:rPr>
                <w:rFonts w:cs="Calibri"/>
              </w:rPr>
            </w:pPr>
            <w:r w:rsidRPr="001D5327">
              <w:t>Fugitive – Gas Transmission and Storage</w:t>
            </w:r>
          </w:p>
        </w:tc>
        <w:tc>
          <w:tcPr>
            <w:tcW w:w="974" w:type="pct"/>
            <w:shd w:val="clear" w:color="auto" w:fill="auto"/>
            <w:noWrap/>
          </w:tcPr>
          <w:p w14:paraId="7D6092D3" w14:textId="77777777" w:rsidR="000252E3" w:rsidRPr="001D5327" w:rsidRDefault="000252E3" w:rsidP="00D11AC9">
            <w:pPr>
              <w:pStyle w:val="TableText"/>
              <w:spacing w:before="40" w:after="40"/>
              <w:jc w:val="right"/>
              <w:rPr>
                <w:rFonts w:cs="Calibri"/>
              </w:rPr>
            </w:pPr>
            <w:r w:rsidRPr="001D5327">
              <w:rPr>
                <w:rFonts w:cs="Calibri"/>
              </w:rPr>
              <w:t>±</w:t>
            </w:r>
            <w:r w:rsidRPr="001D5327">
              <w:t>7.5</w:t>
            </w:r>
          </w:p>
        </w:tc>
        <w:tc>
          <w:tcPr>
            <w:tcW w:w="1011" w:type="pct"/>
            <w:shd w:val="clear" w:color="auto" w:fill="auto"/>
            <w:noWrap/>
          </w:tcPr>
          <w:p w14:paraId="7CEDAE79" w14:textId="77777777" w:rsidR="000252E3" w:rsidRPr="001D5327" w:rsidRDefault="000252E3" w:rsidP="00D11AC9">
            <w:pPr>
              <w:pStyle w:val="TableText"/>
              <w:spacing w:before="40" w:after="40"/>
              <w:jc w:val="right"/>
              <w:rPr>
                <w:rFonts w:cs="Calibri"/>
              </w:rPr>
            </w:pPr>
            <w:r w:rsidRPr="001D5327">
              <w:rPr>
                <w:rFonts w:cs="Calibri"/>
              </w:rPr>
              <w:t>±</w:t>
            </w:r>
            <w:r w:rsidRPr="001D5327">
              <w:t>100.0</w:t>
            </w:r>
          </w:p>
        </w:tc>
      </w:tr>
      <w:tr w:rsidR="000252E3" w:rsidRPr="001D5327" w14:paraId="390FF22E" w14:textId="77777777" w:rsidTr="00D11AC9">
        <w:tc>
          <w:tcPr>
            <w:tcW w:w="320" w:type="pct"/>
            <w:vMerge/>
            <w:noWrap/>
          </w:tcPr>
          <w:p w14:paraId="73239570" w14:textId="77777777" w:rsidR="000252E3" w:rsidRPr="001D5327" w:rsidRDefault="000252E3" w:rsidP="00D11AC9">
            <w:pPr>
              <w:pStyle w:val="TableText"/>
              <w:spacing w:before="40" w:after="40"/>
              <w:rPr>
                <w:rFonts w:cs="Calibri"/>
              </w:rPr>
            </w:pPr>
          </w:p>
        </w:tc>
        <w:tc>
          <w:tcPr>
            <w:tcW w:w="2695" w:type="pct"/>
            <w:shd w:val="clear" w:color="auto" w:fill="auto"/>
            <w:noWrap/>
          </w:tcPr>
          <w:p w14:paraId="3728D2BD" w14:textId="7D87B08F" w:rsidR="000252E3" w:rsidRPr="001D5327" w:rsidRDefault="000252E3" w:rsidP="00D11AC9">
            <w:pPr>
              <w:pStyle w:val="TableText"/>
              <w:spacing w:before="40" w:after="40"/>
              <w:rPr>
                <w:rFonts w:cs="Calibri"/>
              </w:rPr>
            </w:pPr>
            <w:r w:rsidRPr="001D5327">
              <w:t>Fugitive – Gas Distribution</w:t>
            </w:r>
          </w:p>
        </w:tc>
        <w:tc>
          <w:tcPr>
            <w:tcW w:w="974" w:type="pct"/>
            <w:shd w:val="clear" w:color="auto" w:fill="auto"/>
            <w:noWrap/>
          </w:tcPr>
          <w:p w14:paraId="3429699D" w14:textId="77777777" w:rsidR="000252E3" w:rsidRPr="001D5327" w:rsidRDefault="000252E3" w:rsidP="00D11AC9">
            <w:pPr>
              <w:pStyle w:val="TableText"/>
              <w:spacing w:before="40" w:after="40"/>
              <w:jc w:val="right"/>
              <w:rPr>
                <w:rFonts w:cs="Calibri"/>
              </w:rPr>
            </w:pPr>
            <w:r w:rsidRPr="001D5327">
              <w:rPr>
                <w:rFonts w:cs="Calibri"/>
              </w:rPr>
              <w:t>±</w:t>
            </w:r>
            <w:r w:rsidRPr="001D5327">
              <w:t>7.5</w:t>
            </w:r>
          </w:p>
        </w:tc>
        <w:tc>
          <w:tcPr>
            <w:tcW w:w="1011" w:type="pct"/>
            <w:shd w:val="clear" w:color="auto" w:fill="auto"/>
            <w:noWrap/>
          </w:tcPr>
          <w:p w14:paraId="33C5746B" w14:textId="77777777" w:rsidR="000252E3" w:rsidRPr="001D5327" w:rsidRDefault="000252E3" w:rsidP="00D11AC9">
            <w:pPr>
              <w:pStyle w:val="TableText"/>
              <w:spacing w:before="40" w:after="40"/>
              <w:jc w:val="right"/>
              <w:rPr>
                <w:rFonts w:cs="Calibri"/>
              </w:rPr>
            </w:pPr>
            <w:r w:rsidRPr="001D5327">
              <w:rPr>
                <w:rFonts w:cs="Calibri"/>
              </w:rPr>
              <w:t>±</w:t>
            </w:r>
            <w:r w:rsidRPr="001D5327">
              <w:t>100.0</w:t>
            </w:r>
          </w:p>
        </w:tc>
      </w:tr>
      <w:tr w:rsidR="000252E3" w:rsidRPr="001D5327" w14:paraId="3E6042A2" w14:textId="77777777" w:rsidTr="00D11AC9">
        <w:tc>
          <w:tcPr>
            <w:tcW w:w="320" w:type="pct"/>
            <w:vMerge/>
            <w:noWrap/>
          </w:tcPr>
          <w:p w14:paraId="33CAA93A" w14:textId="77777777" w:rsidR="000252E3" w:rsidRPr="001D5327" w:rsidRDefault="000252E3" w:rsidP="00D11AC9">
            <w:pPr>
              <w:pStyle w:val="TableText"/>
              <w:spacing w:before="40" w:after="40"/>
              <w:rPr>
                <w:rFonts w:cs="Calibri"/>
              </w:rPr>
            </w:pPr>
          </w:p>
        </w:tc>
        <w:tc>
          <w:tcPr>
            <w:tcW w:w="2695" w:type="pct"/>
            <w:shd w:val="clear" w:color="auto" w:fill="auto"/>
            <w:noWrap/>
          </w:tcPr>
          <w:p w14:paraId="00CAD9BC" w14:textId="1F2572B5" w:rsidR="000252E3" w:rsidRPr="001D5327" w:rsidRDefault="000252E3" w:rsidP="00D11AC9">
            <w:pPr>
              <w:pStyle w:val="TableText"/>
              <w:spacing w:before="40" w:after="40"/>
              <w:rPr>
                <w:rFonts w:cs="Calibri"/>
              </w:rPr>
            </w:pPr>
            <w:r w:rsidRPr="001D5327">
              <w:t>Fugitive – Venting and Flaring</w:t>
            </w:r>
          </w:p>
        </w:tc>
        <w:tc>
          <w:tcPr>
            <w:tcW w:w="974" w:type="pct"/>
            <w:shd w:val="clear" w:color="auto" w:fill="auto"/>
            <w:noWrap/>
          </w:tcPr>
          <w:p w14:paraId="010FB59A" w14:textId="77777777" w:rsidR="000252E3" w:rsidRPr="001D5327" w:rsidRDefault="000252E3" w:rsidP="00D11AC9">
            <w:pPr>
              <w:pStyle w:val="TableText"/>
              <w:spacing w:before="40" w:after="40"/>
              <w:jc w:val="right"/>
              <w:rPr>
                <w:rFonts w:cs="Calibri"/>
              </w:rPr>
            </w:pPr>
            <w:r w:rsidRPr="001D5327">
              <w:rPr>
                <w:rFonts w:cs="Calibri"/>
              </w:rPr>
              <w:t>±</w:t>
            </w:r>
            <w:r w:rsidRPr="001D5327">
              <w:t>7.5</w:t>
            </w:r>
          </w:p>
        </w:tc>
        <w:tc>
          <w:tcPr>
            <w:tcW w:w="1011" w:type="pct"/>
            <w:shd w:val="clear" w:color="auto" w:fill="auto"/>
            <w:noWrap/>
          </w:tcPr>
          <w:p w14:paraId="52B6802E" w14:textId="77777777" w:rsidR="000252E3" w:rsidRPr="001D5327" w:rsidRDefault="000252E3" w:rsidP="00D11AC9">
            <w:pPr>
              <w:pStyle w:val="TableText"/>
              <w:spacing w:before="40" w:after="40"/>
              <w:jc w:val="right"/>
              <w:rPr>
                <w:rFonts w:cs="Calibri"/>
              </w:rPr>
            </w:pPr>
            <w:r w:rsidRPr="001D5327">
              <w:rPr>
                <w:rFonts w:cs="Calibri"/>
              </w:rPr>
              <w:t>±</w:t>
            </w:r>
            <w:r w:rsidRPr="001D5327">
              <w:t>2.4</w:t>
            </w:r>
          </w:p>
        </w:tc>
      </w:tr>
      <w:tr w:rsidR="000252E3" w:rsidRPr="001D5327" w14:paraId="156ECD59" w14:textId="77777777" w:rsidTr="00D11AC9">
        <w:tc>
          <w:tcPr>
            <w:tcW w:w="320" w:type="pct"/>
            <w:vMerge/>
            <w:noWrap/>
          </w:tcPr>
          <w:p w14:paraId="0DE90AE2" w14:textId="77777777" w:rsidR="000252E3" w:rsidRPr="001D5327" w:rsidRDefault="000252E3" w:rsidP="00D11AC9">
            <w:pPr>
              <w:pStyle w:val="TableText"/>
              <w:spacing w:before="40" w:after="40"/>
              <w:rPr>
                <w:rFonts w:cs="Calibri"/>
              </w:rPr>
            </w:pPr>
          </w:p>
        </w:tc>
        <w:tc>
          <w:tcPr>
            <w:tcW w:w="2695" w:type="pct"/>
            <w:shd w:val="clear" w:color="auto" w:fill="auto"/>
            <w:noWrap/>
          </w:tcPr>
          <w:p w14:paraId="40534543" w14:textId="0CEDC9E3" w:rsidR="000252E3" w:rsidRPr="001D5327" w:rsidRDefault="000252E3" w:rsidP="00D11AC9">
            <w:pPr>
              <w:pStyle w:val="TableText"/>
              <w:spacing w:before="40" w:after="40"/>
              <w:rPr>
                <w:rFonts w:cs="Calibri"/>
              </w:rPr>
            </w:pPr>
            <w:r w:rsidRPr="001D5327">
              <w:t>Fugitive – Other Forms of Energy Production (Geothermal)</w:t>
            </w:r>
          </w:p>
        </w:tc>
        <w:tc>
          <w:tcPr>
            <w:tcW w:w="974" w:type="pct"/>
            <w:shd w:val="clear" w:color="auto" w:fill="auto"/>
            <w:noWrap/>
          </w:tcPr>
          <w:p w14:paraId="5594E7EA" w14:textId="77777777" w:rsidR="000252E3" w:rsidRPr="001D5327" w:rsidRDefault="000252E3" w:rsidP="00D11AC9">
            <w:pPr>
              <w:pStyle w:val="TableText"/>
              <w:spacing w:before="40" w:after="40"/>
              <w:jc w:val="right"/>
              <w:rPr>
                <w:rFonts w:cs="Calibri"/>
              </w:rPr>
            </w:pPr>
            <w:r w:rsidRPr="001D5327">
              <w:rPr>
                <w:rFonts w:cs="Calibri"/>
              </w:rPr>
              <w:t>±</w:t>
            </w:r>
            <w:r w:rsidRPr="001D5327">
              <w:t>5.0</w:t>
            </w:r>
          </w:p>
        </w:tc>
        <w:tc>
          <w:tcPr>
            <w:tcW w:w="1011" w:type="pct"/>
            <w:shd w:val="clear" w:color="auto" w:fill="auto"/>
            <w:noWrap/>
          </w:tcPr>
          <w:p w14:paraId="4C91EE46" w14:textId="77777777" w:rsidR="000252E3" w:rsidRPr="001D5327" w:rsidRDefault="000252E3" w:rsidP="00D11AC9">
            <w:pPr>
              <w:pStyle w:val="TableText"/>
              <w:spacing w:before="40" w:after="40"/>
              <w:jc w:val="right"/>
              <w:rPr>
                <w:rFonts w:cs="Calibri"/>
              </w:rPr>
            </w:pPr>
            <w:r w:rsidRPr="001D5327">
              <w:rPr>
                <w:rFonts w:cs="Calibri"/>
              </w:rPr>
              <w:t>±</w:t>
            </w:r>
            <w:r w:rsidRPr="001D5327">
              <w:t>5.0</w:t>
            </w:r>
          </w:p>
        </w:tc>
      </w:tr>
      <w:tr w:rsidR="000252E3" w:rsidRPr="001D5327" w14:paraId="65FAECCA" w14:textId="77777777" w:rsidTr="00D11AC9">
        <w:tc>
          <w:tcPr>
            <w:tcW w:w="320" w:type="pct"/>
            <w:vMerge w:val="restart"/>
            <w:shd w:val="clear" w:color="auto" w:fill="C4D8E0"/>
            <w:noWrap/>
            <w:vAlign w:val="center"/>
          </w:tcPr>
          <w:p w14:paraId="56C8819C" w14:textId="77777777" w:rsidR="000252E3" w:rsidRPr="001D5327" w:rsidRDefault="000252E3" w:rsidP="00D11AC9">
            <w:pPr>
              <w:pStyle w:val="TableText"/>
              <w:spacing w:before="40" w:after="40"/>
              <w:rPr>
                <w:rFonts w:cs="Calibri"/>
              </w:rPr>
            </w:pPr>
            <w:r w:rsidRPr="001D5327">
              <w:rPr>
                <w:rFonts w:cs="Calibri"/>
              </w:rPr>
              <w:t>CH</w:t>
            </w:r>
            <w:r w:rsidRPr="001D5327">
              <w:rPr>
                <w:rFonts w:cs="Calibri"/>
                <w:vertAlign w:val="subscript"/>
              </w:rPr>
              <w:t>4</w:t>
            </w:r>
          </w:p>
        </w:tc>
        <w:tc>
          <w:tcPr>
            <w:tcW w:w="2695" w:type="pct"/>
            <w:shd w:val="clear" w:color="auto" w:fill="C4D8E0"/>
            <w:noWrap/>
          </w:tcPr>
          <w:p w14:paraId="652112F0" w14:textId="77777777" w:rsidR="000252E3" w:rsidRPr="001D5327" w:rsidRDefault="000252E3" w:rsidP="00D11AC9">
            <w:pPr>
              <w:pStyle w:val="TableText"/>
              <w:spacing w:before="40" w:after="40"/>
              <w:rPr>
                <w:rFonts w:cs="Calibri"/>
              </w:rPr>
            </w:pPr>
            <w:r w:rsidRPr="001D5327">
              <w:t>Gaseous Fuels</w:t>
            </w:r>
          </w:p>
        </w:tc>
        <w:tc>
          <w:tcPr>
            <w:tcW w:w="974" w:type="pct"/>
            <w:shd w:val="clear" w:color="auto" w:fill="C4D8E0"/>
            <w:noWrap/>
          </w:tcPr>
          <w:p w14:paraId="40E07627" w14:textId="77777777" w:rsidR="000252E3" w:rsidRPr="001D5327" w:rsidRDefault="000252E3" w:rsidP="00D11AC9">
            <w:pPr>
              <w:pStyle w:val="TableText"/>
              <w:spacing w:before="40" w:after="40"/>
              <w:jc w:val="right"/>
              <w:rPr>
                <w:rFonts w:cs="Calibri"/>
              </w:rPr>
            </w:pPr>
            <w:r w:rsidRPr="001D5327">
              <w:rPr>
                <w:rFonts w:cs="Calibri"/>
              </w:rPr>
              <w:t>±</w:t>
            </w:r>
            <w:r w:rsidRPr="001D5327">
              <w:t>7.5</w:t>
            </w:r>
          </w:p>
        </w:tc>
        <w:tc>
          <w:tcPr>
            <w:tcW w:w="1011" w:type="pct"/>
            <w:shd w:val="clear" w:color="auto" w:fill="C4D8E0"/>
            <w:noWrap/>
          </w:tcPr>
          <w:p w14:paraId="7E217E65" w14:textId="77777777" w:rsidR="000252E3" w:rsidRPr="001D5327" w:rsidRDefault="000252E3" w:rsidP="00D11AC9">
            <w:pPr>
              <w:pStyle w:val="TableText"/>
              <w:spacing w:before="40" w:after="40"/>
              <w:jc w:val="right"/>
              <w:rPr>
                <w:rFonts w:cs="Calibri"/>
              </w:rPr>
            </w:pPr>
            <w:r w:rsidRPr="001D5327">
              <w:rPr>
                <w:rFonts w:cs="Calibri"/>
              </w:rPr>
              <w:t>±</w:t>
            </w:r>
            <w:r w:rsidRPr="001D5327">
              <w:t>50.0</w:t>
            </w:r>
          </w:p>
        </w:tc>
      </w:tr>
      <w:tr w:rsidR="000252E3" w:rsidRPr="001D5327" w14:paraId="35BA2B83" w14:textId="77777777" w:rsidTr="00D11AC9">
        <w:tc>
          <w:tcPr>
            <w:tcW w:w="320" w:type="pct"/>
            <w:vMerge/>
            <w:shd w:val="clear" w:color="auto" w:fill="C4D8E0"/>
            <w:noWrap/>
          </w:tcPr>
          <w:p w14:paraId="665AE436" w14:textId="77777777" w:rsidR="000252E3" w:rsidRPr="001D5327" w:rsidRDefault="000252E3" w:rsidP="00D11AC9">
            <w:pPr>
              <w:pStyle w:val="TableText"/>
              <w:spacing w:before="40" w:after="40"/>
              <w:rPr>
                <w:rFonts w:cs="Calibri"/>
              </w:rPr>
            </w:pPr>
          </w:p>
        </w:tc>
        <w:tc>
          <w:tcPr>
            <w:tcW w:w="2695" w:type="pct"/>
            <w:shd w:val="clear" w:color="auto" w:fill="C4D8E0"/>
            <w:noWrap/>
          </w:tcPr>
          <w:p w14:paraId="47F1DBDC" w14:textId="77777777" w:rsidR="000252E3" w:rsidRPr="001D5327" w:rsidRDefault="000252E3" w:rsidP="00D11AC9">
            <w:pPr>
              <w:pStyle w:val="TableText"/>
              <w:spacing w:before="40" w:after="40"/>
              <w:rPr>
                <w:rFonts w:cs="Calibri"/>
              </w:rPr>
            </w:pPr>
            <w:r w:rsidRPr="001D5327">
              <w:t>Liquid Fuels</w:t>
            </w:r>
          </w:p>
        </w:tc>
        <w:tc>
          <w:tcPr>
            <w:tcW w:w="974" w:type="pct"/>
            <w:shd w:val="clear" w:color="auto" w:fill="C4D8E0"/>
            <w:noWrap/>
          </w:tcPr>
          <w:p w14:paraId="248C6482" w14:textId="77777777" w:rsidR="000252E3" w:rsidRPr="001D5327" w:rsidRDefault="000252E3" w:rsidP="00D11AC9">
            <w:pPr>
              <w:pStyle w:val="TableText"/>
              <w:spacing w:before="40" w:after="40"/>
              <w:jc w:val="right"/>
              <w:rPr>
                <w:rFonts w:cs="Calibri"/>
              </w:rPr>
            </w:pPr>
            <w:r w:rsidRPr="001D5327">
              <w:rPr>
                <w:rFonts w:cs="Calibri"/>
              </w:rPr>
              <w:t>±</w:t>
            </w:r>
            <w:r w:rsidRPr="001D5327">
              <w:t>2.5</w:t>
            </w:r>
          </w:p>
        </w:tc>
        <w:tc>
          <w:tcPr>
            <w:tcW w:w="1011" w:type="pct"/>
            <w:shd w:val="clear" w:color="auto" w:fill="C4D8E0"/>
            <w:noWrap/>
          </w:tcPr>
          <w:p w14:paraId="38F8A40C" w14:textId="77777777" w:rsidR="000252E3" w:rsidRPr="001D5327" w:rsidRDefault="000252E3" w:rsidP="00D11AC9">
            <w:pPr>
              <w:pStyle w:val="TableText"/>
              <w:spacing w:before="40" w:after="40"/>
              <w:jc w:val="right"/>
              <w:rPr>
                <w:rFonts w:cs="Calibri"/>
              </w:rPr>
            </w:pPr>
            <w:r w:rsidRPr="001D5327">
              <w:rPr>
                <w:rFonts w:cs="Calibri"/>
              </w:rPr>
              <w:t>±</w:t>
            </w:r>
            <w:r w:rsidRPr="001D5327">
              <w:t>50.0</w:t>
            </w:r>
          </w:p>
        </w:tc>
      </w:tr>
      <w:tr w:rsidR="000252E3" w:rsidRPr="001D5327" w14:paraId="70E0108E" w14:textId="77777777" w:rsidTr="00D11AC9">
        <w:tc>
          <w:tcPr>
            <w:tcW w:w="320" w:type="pct"/>
            <w:vMerge/>
            <w:shd w:val="clear" w:color="auto" w:fill="C4D8E0"/>
            <w:noWrap/>
          </w:tcPr>
          <w:p w14:paraId="4224218C" w14:textId="77777777" w:rsidR="000252E3" w:rsidRPr="001D5327" w:rsidRDefault="000252E3" w:rsidP="00D11AC9">
            <w:pPr>
              <w:pStyle w:val="TableText"/>
              <w:spacing w:before="40" w:after="40"/>
              <w:rPr>
                <w:rFonts w:cs="Calibri"/>
              </w:rPr>
            </w:pPr>
          </w:p>
        </w:tc>
        <w:tc>
          <w:tcPr>
            <w:tcW w:w="2695" w:type="pct"/>
            <w:shd w:val="clear" w:color="auto" w:fill="C4D8E0"/>
            <w:noWrap/>
          </w:tcPr>
          <w:p w14:paraId="7F27D358" w14:textId="77777777" w:rsidR="000252E3" w:rsidRPr="001D5327" w:rsidRDefault="000252E3" w:rsidP="00D11AC9">
            <w:pPr>
              <w:pStyle w:val="TableText"/>
              <w:spacing w:before="40" w:after="40"/>
              <w:rPr>
                <w:rFonts w:cs="Calibri"/>
              </w:rPr>
            </w:pPr>
            <w:r w:rsidRPr="001D5327">
              <w:t>Other Fossil Fuels</w:t>
            </w:r>
          </w:p>
        </w:tc>
        <w:tc>
          <w:tcPr>
            <w:tcW w:w="974" w:type="pct"/>
            <w:shd w:val="clear" w:color="auto" w:fill="C4D8E0"/>
            <w:noWrap/>
          </w:tcPr>
          <w:p w14:paraId="35E3CEDB" w14:textId="77777777" w:rsidR="000252E3" w:rsidRPr="001D5327" w:rsidRDefault="000252E3" w:rsidP="00D11AC9">
            <w:pPr>
              <w:pStyle w:val="TableText"/>
              <w:spacing w:before="40" w:after="40"/>
              <w:jc w:val="right"/>
              <w:rPr>
                <w:rFonts w:cs="Calibri"/>
              </w:rPr>
            </w:pPr>
            <w:r w:rsidRPr="001D5327">
              <w:rPr>
                <w:rFonts w:cs="Calibri"/>
              </w:rPr>
              <w:t>±</w:t>
            </w:r>
            <w:r w:rsidRPr="001D5327">
              <w:t>5.0</w:t>
            </w:r>
          </w:p>
        </w:tc>
        <w:tc>
          <w:tcPr>
            <w:tcW w:w="1011" w:type="pct"/>
            <w:shd w:val="clear" w:color="auto" w:fill="C4D8E0"/>
            <w:noWrap/>
          </w:tcPr>
          <w:p w14:paraId="7F837302" w14:textId="77777777" w:rsidR="000252E3" w:rsidRPr="001D5327" w:rsidRDefault="000252E3" w:rsidP="00D11AC9">
            <w:pPr>
              <w:pStyle w:val="TableText"/>
              <w:spacing w:before="40" w:after="40"/>
              <w:jc w:val="right"/>
              <w:rPr>
                <w:rFonts w:cs="Calibri"/>
              </w:rPr>
            </w:pPr>
            <w:r w:rsidRPr="001D5327">
              <w:rPr>
                <w:rFonts w:cs="Calibri"/>
              </w:rPr>
              <w:t>±</w:t>
            </w:r>
            <w:r w:rsidRPr="001D5327">
              <w:t>50.0</w:t>
            </w:r>
          </w:p>
        </w:tc>
      </w:tr>
      <w:tr w:rsidR="000252E3" w:rsidRPr="001D5327" w14:paraId="3BC96C91" w14:textId="77777777" w:rsidTr="00D11AC9">
        <w:tc>
          <w:tcPr>
            <w:tcW w:w="320" w:type="pct"/>
            <w:vMerge/>
            <w:shd w:val="clear" w:color="auto" w:fill="C4D8E0"/>
            <w:noWrap/>
          </w:tcPr>
          <w:p w14:paraId="5EE8091A" w14:textId="77777777" w:rsidR="000252E3" w:rsidRPr="001D5327" w:rsidRDefault="000252E3" w:rsidP="00D11AC9">
            <w:pPr>
              <w:pStyle w:val="TableText"/>
              <w:spacing w:before="40" w:after="40"/>
              <w:rPr>
                <w:rFonts w:cs="Calibri"/>
              </w:rPr>
            </w:pPr>
          </w:p>
        </w:tc>
        <w:tc>
          <w:tcPr>
            <w:tcW w:w="2695" w:type="pct"/>
            <w:shd w:val="clear" w:color="auto" w:fill="C4D8E0"/>
            <w:noWrap/>
          </w:tcPr>
          <w:p w14:paraId="06B20B7B" w14:textId="77777777" w:rsidR="000252E3" w:rsidRPr="001D5327" w:rsidRDefault="000252E3" w:rsidP="00D11AC9">
            <w:pPr>
              <w:pStyle w:val="TableText"/>
              <w:spacing w:before="40" w:after="40"/>
              <w:rPr>
                <w:rFonts w:cs="Calibri"/>
              </w:rPr>
            </w:pPr>
            <w:r w:rsidRPr="001D5327">
              <w:t>Solid Fuels</w:t>
            </w:r>
          </w:p>
        </w:tc>
        <w:tc>
          <w:tcPr>
            <w:tcW w:w="974" w:type="pct"/>
            <w:shd w:val="clear" w:color="auto" w:fill="C4D8E0"/>
            <w:noWrap/>
          </w:tcPr>
          <w:p w14:paraId="776F29C6" w14:textId="77777777" w:rsidR="000252E3" w:rsidRPr="001D5327" w:rsidRDefault="000252E3" w:rsidP="00D11AC9">
            <w:pPr>
              <w:pStyle w:val="TableText"/>
              <w:spacing w:before="40" w:after="40"/>
              <w:jc w:val="right"/>
              <w:rPr>
                <w:rFonts w:cs="Calibri"/>
              </w:rPr>
            </w:pPr>
            <w:r w:rsidRPr="001D5327">
              <w:rPr>
                <w:rFonts w:cs="Calibri"/>
              </w:rPr>
              <w:t>±</w:t>
            </w:r>
            <w:r w:rsidRPr="001D5327">
              <w:t>15.2</w:t>
            </w:r>
          </w:p>
        </w:tc>
        <w:tc>
          <w:tcPr>
            <w:tcW w:w="1011" w:type="pct"/>
            <w:shd w:val="clear" w:color="auto" w:fill="C4D8E0"/>
            <w:noWrap/>
          </w:tcPr>
          <w:p w14:paraId="7EA284B1" w14:textId="77777777" w:rsidR="000252E3" w:rsidRPr="001D5327" w:rsidRDefault="000252E3" w:rsidP="00D11AC9">
            <w:pPr>
              <w:pStyle w:val="TableText"/>
              <w:spacing w:before="40" w:after="40"/>
              <w:jc w:val="right"/>
              <w:rPr>
                <w:rFonts w:cs="Calibri"/>
              </w:rPr>
            </w:pPr>
            <w:r w:rsidRPr="001D5327">
              <w:rPr>
                <w:rFonts w:cs="Calibri"/>
              </w:rPr>
              <w:t>±</w:t>
            </w:r>
            <w:r w:rsidRPr="001D5327">
              <w:t>50.0</w:t>
            </w:r>
          </w:p>
        </w:tc>
      </w:tr>
      <w:tr w:rsidR="000252E3" w:rsidRPr="001D5327" w14:paraId="1DDB555B" w14:textId="77777777" w:rsidTr="00D11AC9">
        <w:tc>
          <w:tcPr>
            <w:tcW w:w="320" w:type="pct"/>
            <w:vMerge/>
            <w:shd w:val="clear" w:color="auto" w:fill="C4D8E0"/>
            <w:noWrap/>
          </w:tcPr>
          <w:p w14:paraId="3956D0AA" w14:textId="77777777" w:rsidR="000252E3" w:rsidRPr="001D5327" w:rsidRDefault="000252E3" w:rsidP="00D11AC9">
            <w:pPr>
              <w:pStyle w:val="TableText"/>
              <w:spacing w:before="40" w:after="40"/>
              <w:rPr>
                <w:rFonts w:cs="Calibri"/>
              </w:rPr>
            </w:pPr>
          </w:p>
        </w:tc>
        <w:tc>
          <w:tcPr>
            <w:tcW w:w="2695" w:type="pct"/>
            <w:shd w:val="clear" w:color="auto" w:fill="C4D8E0"/>
            <w:noWrap/>
          </w:tcPr>
          <w:p w14:paraId="528FE95E" w14:textId="77777777" w:rsidR="000252E3" w:rsidRPr="001D5327" w:rsidRDefault="000252E3" w:rsidP="00D11AC9">
            <w:pPr>
              <w:pStyle w:val="TableText"/>
              <w:spacing w:before="40" w:after="40"/>
              <w:rPr>
                <w:rFonts w:cs="Calibri"/>
              </w:rPr>
            </w:pPr>
            <w:r w:rsidRPr="001D5327">
              <w:t>Biomass</w:t>
            </w:r>
          </w:p>
        </w:tc>
        <w:tc>
          <w:tcPr>
            <w:tcW w:w="974" w:type="pct"/>
            <w:shd w:val="clear" w:color="auto" w:fill="C4D8E0"/>
            <w:noWrap/>
          </w:tcPr>
          <w:p w14:paraId="75F88C4B" w14:textId="77777777" w:rsidR="000252E3" w:rsidRPr="001D5327" w:rsidRDefault="000252E3" w:rsidP="00D11AC9">
            <w:pPr>
              <w:pStyle w:val="TableText"/>
              <w:spacing w:before="40" w:after="40"/>
              <w:jc w:val="right"/>
              <w:rPr>
                <w:rFonts w:cs="Calibri"/>
              </w:rPr>
            </w:pPr>
            <w:r w:rsidRPr="001D5327">
              <w:rPr>
                <w:rFonts w:cs="Calibri"/>
              </w:rPr>
              <w:t>±</w:t>
            </w:r>
            <w:r w:rsidRPr="001D5327">
              <w:t>50.0</w:t>
            </w:r>
          </w:p>
        </w:tc>
        <w:tc>
          <w:tcPr>
            <w:tcW w:w="1011" w:type="pct"/>
            <w:shd w:val="clear" w:color="auto" w:fill="C4D8E0"/>
            <w:noWrap/>
          </w:tcPr>
          <w:p w14:paraId="5B2B0E95" w14:textId="77777777" w:rsidR="000252E3" w:rsidRPr="001D5327" w:rsidRDefault="000252E3" w:rsidP="00D11AC9">
            <w:pPr>
              <w:pStyle w:val="TableText"/>
              <w:spacing w:before="40" w:after="40"/>
              <w:jc w:val="right"/>
              <w:rPr>
                <w:rFonts w:cs="Calibri"/>
              </w:rPr>
            </w:pPr>
            <w:r w:rsidRPr="001D5327">
              <w:rPr>
                <w:rFonts w:cs="Calibri"/>
              </w:rPr>
              <w:t>±</w:t>
            </w:r>
            <w:r w:rsidRPr="001D5327">
              <w:t>50.0</w:t>
            </w:r>
          </w:p>
        </w:tc>
      </w:tr>
      <w:tr w:rsidR="000252E3" w:rsidRPr="001D5327" w14:paraId="51F31C30" w14:textId="77777777" w:rsidTr="00D11AC9">
        <w:tc>
          <w:tcPr>
            <w:tcW w:w="320" w:type="pct"/>
            <w:vMerge/>
            <w:shd w:val="clear" w:color="auto" w:fill="C4D8E0"/>
            <w:noWrap/>
          </w:tcPr>
          <w:p w14:paraId="026634C4" w14:textId="77777777" w:rsidR="000252E3" w:rsidRPr="001D5327" w:rsidRDefault="000252E3" w:rsidP="00D11AC9">
            <w:pPr>
              <w:pStyle w:val="TableText"/>
              <w:spacing w:before="40" w:after="40"/>
              <w:rPr>
                <w:rFonts w:cs="Calibri"/>
              </w:rPr>
            </w:pPr>
          </w:p>
        </w:tc>
        <w:tc>
          <w:tcPr>
            <w:tcW w:w="2695" w:type="pct"/>
            <w:shd w:val="clear" w:color="auto" w:fill="C4D8E0"/>
            <w:noWrap/>
          </w:tcPr>
          <w:p w14:paraId="2602F93A" w14:textId="18C3D4B0" w:rsidR="000252E3" w:rsidRPr="001D5327" w:rsidRDefault="000252E3" w:rsidP="00D11AC9">
            <w:pPr>
              <w:pStyle w:val="TableText"/>
              <w:spacing w:before="40" w:after="40"/>
              <w:rPr>
                <w:rFonts w:cs="Calibri"/>
              </w:rPr>
            </w:pPr>
            <w:r w:rsidRPr="001D5327">
              <w:t>Fugitive – Coal Handling</w:t>
            </w:r>
          </w:p>
        </w:tc>
        <w:tc>
          <w:tcPr>
            <w:tcW w:w="974" w:type="pct"/>
            <w:shd w:val="clear" w:color="auto" w:fill="C4D8E0"/>
            <w:noWrap/>
          </w:tcPr>
          <w:p w14:paraId="5B1FFE7D" w14:textId="77777777" w:rsidR="000252E3" w:rsidRPr="001D5327" w:rsidRDefault="000252E3" w:rsidP="00D11AC9">
            <w:pPr>
              <w:pStyle w:val="TableText"/>
              <w:spacing w:before="40" w:after="40"/>
              <w:jc w:val="right"/>
              <w:rPr>
                <w:rFonts w:cs="Calibri"/>
              </w:rPr>
            </w:pPr>
            <w:r w:rsidRPr="001D5327">
              <w:rPr>
                <w:rFonts w:cs="Calibri"/>
              </w:rPr>
              <w:t>±</w:t>
            </w:r>
            <w:r w:rsidRPr="001D5327">
              <w:t>15.2</w:t>
            </w:r>
          </w:p>
        </w:tc>
        <w:tc>
          <w:tcPr>
            <w:tcW w:w="1011" w:type="pct"/>
            <w:shd w:val="clear" w:color="auto" w:fill="C4D8E0"/>
            <w:noWrap/>
          </w:tcPr>
          <w:p w14:paraId="7572D8C6" w14:textId="77777777" w:rsidR="000252E3" w:rsidRPr="001D5327" w:rsidRDefault="000252E3" w:rsidP="00D11AC9">
            <w:pPr>
              <w:pStyle w:val="TableText"/>
              <w:spacing w:before="40" w:after="40"/>
              <w:jc w:val="right"/>
              <w:rPr>
                <w:rFonts w:cs="Calibri"/>
              </w:rPr>
            </w:pPr>
            <w:r w:rsidRPr="001D5327">
              <w:rPr>
                <w:rFonts w:cs="Calibri"/>
              </w:rPr>
              <w:t>±</w:t>
            </w:r>
            <w:r w:rsidRPr="001D5327">
              <w:t>50.0</w:t>
            </w:r>
          </w:p>
        </w:tc>
      </w:tr>
      <w:tr w:rsidR="000252E3" w:rsidRPr="001D5327" w14:paraId="076283C5" w14:textId="77777777" w:rsidTr="00D11AC9">
        <w:tc>
          <w:tcPr>
            <w:tcW w:w="320" w:type="pct"/>
            <w:vMerge/>
            <w:shd w:val="clear" w:color="auto" w:fill="C4D8E0"/>
            <w:noWrap/>
          </w:tcPr>
          <w:p w14:paraId="768D4BCE" w14:textId="77777777" w:rsidR="000252E3" w:rsidRPr="001D5327" w:rsidRDefault="000252E3" w:rsidP="00D11AC9">
            <w:pPr>
              <w:pStyle w:val="TableText"/>
              <w:spacing w:before="40" w:after="40"/>
              <w:rPr>
                <w:rFonts w:cs="Calibri"/>
              </w:rPr>
            </w:pPr>
          </w:p>
        </w:tc>
        <w:tc>
          <w:tcPr>
            <w:tcW w:w="2695" w:type="pct"/>
            <w:shd w:val="clear" w:color="auto" w:fill="C4D8E0"/>
            <w:noWrap/>
          </w:tcPr>
          <w:p w14:paraId="25A20D08" w14:textId="764390BB" w:rsidR="000252E3" w:rsidRPr="001D5327" w:rsidRDefault="000252E3" w:rsidP="00D11AC9">
            <w:pPr>
              <w:pStyle w:val="TableText"/>
              <w:spacing w:before="40" w:after="40"/>
              <w:rPr>
                <w:rFonts w:cs="Calibri"/>
              </w:rPr>
            </w:pPr>
            <w:r w:rsidRPr="001D5327">
              <w:t>Fugitive – Oil Exploration</w:t>
            </w:r>
          </w:p>
        </w:tc>
        <w:tc>
          <w:tcPr>
            <w:tcW w:w="974" w:type="pct"/>
            <w:shd w:val="clear" w:color="auto" w:fill="C4D8E0"/>
            <w:noWrap/>
          </w:tcPr>
          <w:p w14:paraId="54DAB4A9" w14:textId="77777777" w:rsidR="000252E3" w:rsidRPr="001D5327" w:rsidRDefault="000252E3" w:rsidP="00D11AC9">
            <w:pPr>
              <w:pStyle w:val="TableText"/>
              <w:spacing w:before="40" w:after="40"/>
              <w:jc w:val="right"/>
              <w:rPr>
                <w:rFonts w:cs="Calibri"/>
              </w:rPr>
            </w:pPr>
            <w:r w:rsidRPr="001D5327">
              <w:rPr>
                <w:rFonts w:cs="Calibri"/>
              </w:rPr>
              <w:t>±</w:t>
            </w:r>
            <w:r w:rsidRPr="001D5327">
              <w:t>2.5</w:t>
            </w:r>
          </w:p>
        </w:tc>
        <w:tc>
          <w:tcPr>
            <w:tcW w:w="1011" w:type="pct"/>
            <w:shd w:val="clear" w:color="auto" w:fill="C4D8E0"/>
            <w:noWrap/>
          </w:tcPr>
          <w:p w14:paraId="65519F8B" w14:textId="77777777" w:rsidR="000252E3" w:rsidRPr="001D5327" w:rsidRDefault="000252E3" w:rsidP="00D11AC9">
            <w:pPr>
              <w:pStyle w:val="TableText"/>
              <w:spacing w:before="40" w:after="40"/>
              <w:jc w:val="right"/>
              <w:rPr>
                <w:rFonts w:cs="Calibri"/>
              </w:rPr>
            </w:pPr>
            <w:r w:rsidRPr="001D5327">
              <w:rPr>
                <w:rFonts w:cs="Calibri"/>
              </w:rPr>
              <w:t>±</w:t>
            </w:r>
            <w:r w:rsidRPr="001D5327">
              <w:t>50.0</w:t>
            </w:r>
          </w:p>
        </w:tc>
      </w:tr>
      <w:tr w:rsidR="000252E3" w:rsidRPr="001D5327" w14:paraId="6F72549B" w14:textId="77777777" w:rsidTr="00D11AC9">
        <w:tc>
          <w:tcPr>
            <w:tcW w:w="320" w:type="pct"/>
            <w:vMerge/>
            <w:shd w:val="clear" w:color="auto" w:fill="C4D8E0"/>
            <w:noWrap/>
          </w:tcPr>
          <w:p w14:paraId="6965E219" w14:textId="77777777" w:rsidR="000252E3" w:rsidRPr="001D5327" w:rsidRDefault="000252E3" w:rsidP="00D11AC9">
            <w:pPr>
              <w:pStyle w:val="TableText"/>
              <w:spacing w:before="40" w:after="40"/>
              <w:rPr>
                <w:rFonts w:cs="Calibri"/>
              </w:rPr>
            </w:pPr>
          </w:p>
        </w:tc>
        <w:tc>
          <w:tcPr>
            <w:tcW w:w="2695" w:type="pct"/>
            <w:shd w:val="clear" w:color="auto" w:fill="C4D8E0"/>
            <w:noWrap/>
          </w:tcPr>
          <w:p w14:paraId="049FC881" w14:textId="3811BE50" w:rsidR="000252E3" w:rsidRPr="001D5327" w:rsidRDefault="000252E3" w:rsidP="00D11AC9">
            <w:pPr>
              <w:pStyle w:val="TableText"/>
              <w:spacing w:before="40" w:after="40"/>
              <w:rPr>
                <w:rFonts w:cs="Calibri"/>
              </w:rPr>
            </w:pPr>
            <w:r w:rsidRPr="001D5327">
              <w:t>Fugitive – Oil Production</w:t>
            </w:r>
          </w:p>
        </w:tc>
        <w:tc>
          <w:tcPr>
            <w:tcW w:w="974" w:type="pct"/>
            <w:shd w:val="clear" w:color="auto" w:fill="C4D8E0"/>
            <w:noWrap/>
          </w:tcPr>
          <w:p w14:paraId="00DBB42A" w14:textId="77777777" w:rsidR="000252E3" w:rsidRPr="001D5327" w:rsidRDefault="000252E3" w:rsidP="00D11AC9">
            <w:pPr>
              <w:pStyle w:val="TableText"/>
              <w:spacing w:before="40" w:after="40"/>
              <w:jc w:val="right"/>
              <w:rPr>
                <w:rFonts w:cs="Calibri"/>
              </w:rPr>
            </w:pPr>
            <w:r w:rsidRPr="001D5327">
              <w:rPr>
                <w:rFonts w:cs="Calibri"/>
              </w:rPr>
              <w:t>±</w:t>
            </w:r>
            <w:r w:rsidRPr="001D5327">
              <w:t>2.5</w:t>
            </w:r>
          </w:p>
        </w:tc>
        <w:tc>
          <w:tcPr>
            <w:tcW w:w="1011" w:type="pct"/>
            <w:shd w:val="clear" w:color="auto" w:fill="C4D8E0"/>
            <w:noWrap/>
          </w:tcPr>
          <w:p w14:paraId="079B64AF" w14:textId="77777777" w:rsidR="000252E3" w:rsidRPr="001D5327" w:rsidRDefault="000252E3" w:rsidP="00D11AC9">
            <w:pPr>
              <w:pStyle w:val="TableText"/>
              <w:spacing w:before="40" w:after="40"/>
              <w:jc w:val="right"/>
              <w:rPr>
                <w:rFonts w:cs="Calibri"/>
              </w:rPr>
            </w:pPr>
            <w:r w:rsidRPr="001D5327">
              <w:rPr>
                <w:rFonts w:cs="Calibri"/>
              </w:rPr>
              <w:t>±</w:t>
            </w:r>
            <w:r w:rsidRPr="001D5327">
              <w:t>50.0</w:t>
            </w:r>
          </w:p>
        </w:tc>
      </w:tr>
      <w:tr w:rsidR="000252E3" w:rsidRPr="001D5327" w14:paraId="04638C25" w14:textId="77777777" w:rsidTr="00D11AC9">
        <w:tc>
          <w:tcPr>
            <w:tcW w:w="320" w:type="pct"/>
            <w:vMerge/>
            <w:shd w:val="clear" w:color="auto" w:fill="C4D8E0"/>
            <w:noWrap/>
          </w:tcPr>
          <w:p w14:paraId="1024AB25" w14:textId="77777777" w:rsidR="000252E3" w:rsidRPr="001D5327" w:rsidRDefault="000252E3" w:rsidP="00D11AC9">
            <w:pPr>
              <w:pStyle w:val="TableText"/>
              <w:spacing w:before="40" w:after="40"/>
              <w:rPr>
                <w:rFonts w:cs="Calibri"/>
              </w:rPr>
            </w:pPr>
          </w:p>
        </w:tc>
        <w:tc>
          <w:tcPr>
            <w:tcW w:w="2695" w:type="pct"/>
            <w:shd w:val="clear" w:color="auto" w:fill="C4D8E0"/>
            <w:noWrap/>
          </w:tcPr>
          <w:p w14:paraId="69C66ACD" w14:textId="03B1C128" w:rsidR="000252E3" w:rsidRPr="001D5327" w:rsidRDefault="000252E3" w:rsidP="00D11AC9">
            <w:pPr>
              <w:pStyle w:val="TableText"/>
              <w:spacing w:before="40" w:after="40"/>
              <w:rPr>
                <w:rFonts w:cs="Calibri"/>
              </w:rPr>
            </w:pPr>
            <w:r w:rsidRPr="001D5327">
              <w:t>Fugitive – Oil Transport</w:t>
            </w:r>
          </w:p>
        </w:tc>
        <w:tc>
          <w:tcPr>
            <w:tcW w:w="974" w:type="pct"/>
            <w:shd w:val="clear" w:color="auto" w:fill="C4D8E0"/>
            <w:noWrap/>
          </w:tcPr>
          <w:p w14:paraId="7BFC3BCC" w14:textId="77777777" w:rsidR="000252E3" w:rsidRPr="001D5327" w:rsidRDefault="000252E3" w:rsidP="00D11AC9">
            <w:pPr>
              <w:pStyle w:val="TableText"/>
              <w:spacing w:before="40" w:after="40"/>
              <w:jc w:val="right"/>
              <w:rPr>
                <w:rFonts w:cs="Calibri"/>
              </w:rPr>
            </w:pPr>
            <w:r w:rsidRPr="001D5327">
              <w:rPr>
                <w:rFonts w:cs="Calibri"/>
              </w:rPr>
              <w:t>±</w:t>
            </w:r>
            <w:r w:rsidRPr="001D5327">
              <w:t>2.5</w:t>
            </w:r>
          </w:p>
        </w:tc>
        <w:tc>
          <w:tcPr>
            <w:tcW w:w="1011" w:type="pct"/>
            <w:shd w:val="clear" w:color="auto" w:fill="C4D8E0"/>
            <w:noWrap/>
          </w:tcPr>
          <w:p w14:paraId="168EEE95" w14:textId="77777777" w:rsidR="000252E3" w:rsidRPr="001D5327" w:rsidRDefault="000252E3" w:rsidP="00D11AC9">
            <w:pPr>
              <w:pStyle w:val="TableText"/>
              <w:spacing w:before="40" w:after="40"/>
              <w:jc w:val="right"/>
              <w:rPr>
                <w:rFonts w:cs="Calibri"/>
              </w:rPr>
            </w:pPr>
            <w:r w:rsidRPr="001D5327">
              <w:rPr>
                <w:rFonts w:cs="Calibri"/>
              </w:rPr>
              <w:t>±</w:t>
            </w:r>
            <w:r w:rsidRPr="001D5327">
              <w:t>50.0</w:t>
            </w:r>
          </w:p>
        </w:tc>
      </w:tr>
      <w:tr w:rsidR="000252E3" w:rsidRPr="001D5327" w14:paraId="03D42F65" w14:textId="77777777" w:rsidTr="00D11AC9">
        <w:tc>
          <w:tcPr>
            <w:tcW w:w="320" w:type="pct"/>
            <w:vMerge/>
            <w:shd w:val="clear" w:color="auto" w:fill="C4D8E0"/>
            <w:noWrap/>
          </w:tcPr>
          <w:p w14:paraId="7A041BE3" w14:textId="77777777" w:rsidR="000252E3" w:rsidRPr="001D5327" w:rsidRDefault="000252E3" w:rsidP="00D11AC9">
            <w:pPr>
              <w:pStyle w:val="TableText"/>
              <w:spacing w:before="40" w:after="40"/>
              <w:rPr>
                <w:rFonts w:cs="Calibri"/>
              </w:rPr>
            </w:pPr>
          </w:p>
        </w:tc>
        <w:tc>
          <w:tcPr>
            <w:tcW w:w="2695" w:type="pct"/>
            <w:shd w:val="clear" w:color="auto" w:fill="C4D8E0"/>
            <w:noWrap/>
          </w:tcPr>
          <w:p w14:paraId="0AAED95E" w14:textId="560F8B64" w:rsidR="000252E3" w:rsidRPr="001D5327" w:rsidRDefault="000252E3" w:rsidP="00D11AC9">
            <w:pPr>
              <w:pStyle w:val="TableText"/>
              <w:spacing w:before="40" w:after="40"/>
              <w:rPr>
                <w:rFonts w:cs="Calibri"/>
              </w:rPr>
            </w:pPr>
            <w:r w:rsidRPr="001D5327">
              <w:t>Fugitive – Oil Refining</w:t>
            </w:r>
          </w:p>
        </w:tc>
        <w:tc>
          <w:tcPr>
            <w:tcW w:w="974" w:type="pct"/>
            <w:shd w:val="clear" w:color="auto" w:fill="C4D8E0"/>
            <w:noWrap/>
          </w:tcPr>
          <w:p w14:paraId="70D58F09" w14:textId="77777777" w:rsidR="000252E3" w:rsidRPr="001D5327" w:rsidRDefault="000252E3" w:rsidP="00D11AC9">
            <w:pPr>
              <w:pStyle w:val="TableText"/>
              <w:spacing w:before="40" w:after="40"/>
              <w:jc w:val="right"/>
              <w:rPr>
                <w:rFonts w:cs="Calibri"/>
              </w:rPr>
            </w:pPr>
            <w:r w:rsidRPr="001D5327">
              <w:rPr>
                <w:rFonts w:cs="Calibri"/>
              </w:rPr>
              <w:t>±</w:t>
            </w:r>
            <w:r w:rsidRPr="001D5327">
              <w:t>2.5</w:t>
            </w:r>
          </w:p>
        </w:tc>
        <w:tc>
          <w:tcPr>
            <w:tcW w:w="1011" w:type="pct"/>
            <w:shd w:val="clear" w:color="auto" w:fill="C4D8E0"/>
            <w:noWrap/>
          </w:tcPr>
          <w:p w14:paraId="4BDD4CB2" w14:textId="77777777" w:rsidR="000252E3" w:rsidRPr="001D5327" w:rsidRDefault="000252E3" w:rsidP="00D11AC9">
            <w:pPr>
              <w:pStyle w:val="TableText"/>
              <w:spacing w:before="40" w:after="40"/>
              <w:jc w:val="right"/>
              <w:rPr>
                <w:rFonts w:cs="Calibri"/>
              </w:rPr>
            </w:pPr>
            <w:r w:rsidRPr="001D5327">
              <w:rPr>
                <w:rFonts w:cs="Calibri"/>
              </w:rPr>
              <w:t>±</w:t>
            </w:r>
            <w:r w:rsidRPr="001D5327">
              <w:t>50.0</w:t>
            </w:r>
          </w:p>
        </w:tc>
      </w:tr>
      <w:tr w:rsidR="000252E3" w:rsidRPr="001D5327" w14:paraId="79C0003A" w14:textId="77777777" w:rsidTr="00D11AC9">
        <w:tc>
          <w:tcPr>
            <w:tcW w:w="320" w:type="pct"/>
            <w:vMerge/>
            <w:shd w:val="clear" w:color="auto" w:fill="C4D8E0"/>
            <w:noWrap/>
          </w:tcPr>
          <w:p w14:paraId="7E2AEA4A" w14:textId="77777777" w:rsidR="000252E3" w:rsidRPr="001D5327" w:rsidRDefault="000252E3" w:rsidP="00D11AC9">
            <w:pPr>
              <w:pStyle w:val="TableText"/>
              <w:spacing w:before="40" w:after="40"/>
              <w:rPr>
                <w:rFonts w:cs="Calibri"/>
              </w:rPr>
            </w:pPr>
          </w:p>
        </w:tc>
        <w:tc>
          <w:tcPr>
            <w:tcW w:w="2695" w:type="pct"/>
            <w:shd w:val="clear" w:color="auto" w:fill="C4D8E0"/>
            <w:noWrap/>
          </w:tcPr>
          <w:p w14:paraId="4F6B065A" w14:textId="5A1CDDE2" w:rsidR="000252E3" w:rsidRPr="001D5327" w:rsidRDefault="000252E3" w:rsidP="00D11AC9">
            <w:pPr>
              <w:pStyle w:val="TableText"/>
              <w:spacing w:before="40" w:after="40"/>
              <w:rPr>
                <w:rFonts w:cs="Calibri"/>
              </w:rPr>
            </w:pPr>
            <w:r w:rsidRPr="001D5327">
              <w:t>Fugitive – Gas Production</w:t>
            </w:r>
          </w:p>
        </w:tc>
        <w:tc>
          <w:tcPr>
            <w:tcW w:w="974" w:type="pct"/>
            <w:shd w:val="clear" w:color="auto" w:fill="C4D8E0"/>
            <w:noWrap/>
          </w:tcPr>
          <w:p w14:paraId="57DF9312" w14:textId="77777777" w:rsidR="000252E3" w:rsidRPr="001D5327" w:rsidRDefault="000252E3" w:rsidP="00D11AC9">
            <w:pPr>
              <w:pStyle w:val="TableText"/>
              <w:spacing w:before="40" w:after="40"/>
              <w:jc w:val="right"/>
              <w:rPr>
                <w:rFonts w:cs="Calibri"/>
              </w:rPr>
            </w:pPr>
            <w:r w:rsidRPr="001D5327">
              <w:rPr>
                <w:rFonts w:cs="Calibri"/>
              </w:rPr>
              <w:t>±</w:t>
            </w:r>
            <w:r w:rsidRPr="001D5327">
              <w:t>7.5</w:t>
            </w:r>
          </w:p>
        </w:tc>
        <w:tc>
          <w:tcPr>
            <w:tcW w:w="1011" w:type="pct"/>
            <w:shd w:val="clear" w:color="auto" w:fill="C4D8E0"/>
            <w:noWrap/>
          </w:tcPr>
          <w:p w14:paraId="3719F45A" w14:textId="77777777" w:rsidR="000252E3" w:rsidRPr="001D5327" w:rsidRDefault="000252E3" w:rsidP="00D11AC9">
            <w:pPr>
              <w:pStyle w:val="TableText"/>
              <w:spacing w:before="40" w:after="40"/>
              <w:jc w:val="right"/>
              <w:rPr>
                <w:rFonts w:cs="Calibri"/>
              </w:rPr>
            </w:pPr>
            <w:r w:rsidRPr="001D5327">
              <w:rPr>
                <w:rFonts w:cs="Calibri"/>
              </w:rPr>
              <w:t>±</w:t>
            </w:r>
            <w:r w:rsidRPr="001D5327">
              <w:t>50.0</w:t>
            </w:r>
          </w:p>
        </w:tc>
      </w:tr>
      <w:tr w:rsidR="000252E3" w:rsidRPr="001D5327" w14:paraId="272BBEE0" w14:textId="77777777" w:rsidTr="00D11AC9">
        <w:tc>
          <w:tcPr>
            <w:tcW w:w="320" w:type="pct"/>
            <w:vMerge/>
            <w:shd w:val="clear" w:color="auto" w:fill="C4D8E0"/>
            <w:noWrap/>
          </w:tcPr>
          <w:p w14:paraId="55D5A19D" w14:textId="77777777" w:rsidR="000252E3" w:rsidRPr="001D5327" w:rsidRDefault="000252E3" w:rsidP="00D11AC9">
            <w:pPr>
              <w:pStyle w:val="TableText"/>
              <w:spacing w:before="40" w:after="40"/>
              <w:rPr>
                <w:rFonts w:cs="Calibri"/>
              </w:rPr>
            </w:pPr>
          </w:p>
        </w:tc>
        <w:tc>
          <w:tcPr>
            <w:tcW w:w="2695" w:type="pct"/>
            <w:shd w:val="clear" w:color="auto" w:fill="C4D8E0"/>
            <w:noWrap/>
          </w:tcPr>
          <w:p w14:paraId="7FA5D747" w14:textId="5DA189A9" w:rsidR="000252E3" w:rsidRPr="001D5327" w:rsidRDefault="000252E3" w:rsidP="00D11AC9">
            <w:pPr>
              <w:pStyle w:val="TableText"/>
              <w:spacing w:before="40" w:after="40"/>
              <w:rPr>
                <w:rFonts w:cs="Calibri"/>
              </w:rPr>
            </w:pPr>
            <w:r w:rsidRPr="001D5327">
              <w:t>Fugitive – Gas Transmission and Storage</w:t>
            </w:r>
          </w:p>
        </w:tc>
        <w:tc>
          <w:tcPr>
            <w:tcW w:w="974" w:type="pct"/>
            <w:shd w:val="clear" w:color="auto" w:fill="C4D8E0"/>
            <w:noWrap/>
          </w:tcPr>
          <w:p w14:paraId="1840B76E" w14:textId="77777777" w:rsidR="000252E3" w:rsidRPr="001D5327" w:rsidRDefault="000252E3" w:rsidP="00D11AC9">
            <w:pPr>
              <w:pStyle w:val="TableText"/>
              <w:spacing w:before="40" w:after="40"/>
              <w:jc w:val="right"/>
              <w:rPr>
                <w:rFonts w:cs="Calibri"/>
              </w:rPr>
            </w:pPr>
            <w:r w:rsidRPr="001D5327">
              <w:rPr>
                <w:rFonts w:cs="Calibri"/>
              </w:rPr>
              <w:t>±</w:t>
            </w:r>
            <w:r w:rsidRPr="001D5327">
              <w:t>7.5</w:t>
            </w:r>
          </w:p>
        </w:tc>
        <w:tc>
          <w:tcPr>
            <w:tcW w:w="1011" w:type="pct"/>
            <w:shd w:val="clear" w:color="auto" w:fill="C4D8E0"/>
            <w:noWrap/>
          </w:tcPr>
          <w:p w14:paraId="05C9BB86" w14:textId="77777777" w:rsidR="000252E3" w:rsidRPr="001D5327" w:rsidRDefault="000252E3" w:rsidP="00D11AC9">
            <w:pPr>
              <w:pStyle w:val="TableText"/>
              <w:spacing w:before="40" w:after="40"/>
              <w:jc w:val="right"/>
              <w:rPr>
                <w:rFonts w:cs="Calibri"/>
              </w:rPr>
            </w:pPr>
            <w:r w:rsidRPr="001D5327">
              <w:rPr>
                <w:rFonts w:cs="Calibri"/>
              </w:rPr>
              <w:t>±</w:t>
            </w:r>
            <w:r w:rsidRPr="001D5327">
              <w:t>100.0</w:t>
            </w:r>
          </w:p>
        </w:tc>
      </w:tr>
      <w:tr w:rsidR="000252E3" w:rsidRPr="001D5327" w14:paraId="01AAD08E" w14:textId="77777777" w:rsidTr="00D11AC9">
        <w:tc>
          <w:tcPr>
            <w:tcW w:w="320" w:type="pct"/>
            <w:vMerge/>
            <w:shd w:val="clear" w:color="auto" w:fill="C4D8E0"/>
            <w:noWrap/>
          </w:tcPr>
          <w:p w14:paraId="54465DE2" w14:textId="77777777" w:rsidR="000252E3" w:rsidRPr="001D5327" w:rsidRDefault="000252E3" w:rsidP="00D11AC9">
            <w:pPr>
              <w:pStyle w:val="TableText"/>
              <w:spacing w:before="40" w:after="40"/>
              <w:rPr>
                <w:rFonts w:cs="Calibri"/>
              </w:rPr>
            </w:pPr>
          </w:p>
        </w:tc>
        <w:tc>
          <w:tcPr>
            <w:tcW w:w="2695" w:type="pct"/>
            <w:shd w:val="clear" w:color="auto" w:fill="C4D8E0"/>
            <w:noWrap/>
          </w:tcPr>
          <w:p w14:paraId="2A8C7E05" w14:textId="21BB0107" w:rsidR="000252E3" w:rsidRPr="001D5327" w:rsidRDefault="000252E3" w:rsidP="00D11AC9">
            <w:pPr>
              <w:pStyle w:val="TableText"/>
              <w:spacing w:before="40" w:after="40"/>
              <w:rPr>
                <w:rFonts w:cs="Calibri"/>
              </w:rPr>
            </w:pPr>
            <w:r w:rsidRPr="001D5327">
              <w:t>Fugitive – Gas Distribution</w:t>
            </w:r>
          </w:p>
        </w:tc>
        <w:tc>
          <w:tcPr>
            <w:tcW w:w="974" w:type="pct"/>
            <w:shd w:val="clear" w:color="auto" w:fill="C4D8E0"/>
            <w:noWrap/>
          </w:tcPr>
          <w:p w14:paraId="6ACB5444" w14:textId="77777777" w:rsidR="000252E3" w:rsidRPr="001D5327" w:rsidRDefault="000252E3" w:rsidP="00D11AC9">
            <w:pPr>
              <w:pStyle w:val="TableText"/>
              <w:spacing w:before="40" w:after="40"/>
              <w:jc w:val="right"/>
              <w:rPr>
                <w:rFonts w:cs="Calibri"/>
              </w:rPr>
            </w:pPr>
            <w:r w:rsidRPr="001D5327">
              <w:rPr>
                <w:rFonts w:cs="Calibri"/>
              </w:rPr>
              <w:t>±</w:t>
            </w:r>
            <w:r w:rsidRPr="001D5327">
              <w:t>7.5</w:t>
            </w:r>
          </w:p>
        </w:tc>
        <w:tc>
          <w:tcPr>
            <w:tcW w:w="1011" w:type="pct"/>
            <w:shd w:val="clear" w:color="auto" w:fill="C4D8E0"/>
            <w:noWrap/>
          </w:tcPr>
          <w:p w14:paraId="156C955D" w14:textId="77777777" w:rsidR="000252E3" w:rsidRPr="001D5327" w:rsidRDefault="000252E3" w:rsidP="00D11AC9">
            <w:pPr>
              <w:pStyle w:val="TableText"/>
              <w:spacing w:before="40" w:after="40"/>
              <w:jc w:val="right"/>
              <w:rPr>
                <w:rFonts w:cs="Calibri"/>
              </w:rPr>
            </w:pPr>
            <w:r w:rsidRPr="001D5327">
              <w:rPr>
                <w:rFonts w:cs="Calibri"/>
              </w:rPr>
              <w:t>±</w:t>
            </w:r>
            <w:r w:rsidRPr="001D5327">
              <w:t>100.0</w:t>
            </w:r>
          </w:p>
        </w:tc>
      </w:tr>
      <w:tr w:rsidR="000252E3" w:rsidRPr="001D5327" w14:paraId="5912B41F" w14:textId="77777777" w:rsidTr="00D11AC9">
        <w:tc>
          <w:tcPr>
            <w:tcW w:w="320" w:type="pct"/>
            <w:vMerge/>
            <w:shd w:val="clear" w:color="auto" w:fill="C4D8E0"/>
            <w:noWrap/>
          </w:tcPr>
          <w:p w14:paraId="110F7ACE" w14:textId="77777777" w:rsidR="000252E3" w:rsidRPr="001D5327" w:rsidRDefault="000252E3" w:rsidP="00D11AC9">
            <w:pPr>
              <w:pStyle w:val="TableText"/>
              <w:spacing w:before="40" w:after="40"/>
              <w:rPr>
                <w:rFonts w:cs="Calibri"/>
              </w:rPr>
            </w:pPr>
          </w:p>
        </w:tc>
        <w:tc>
          <w:tcPr>
            <w:tcW w:w="2695" w:type="pct"/>
            <w:shd w:val="clear" w:color="auto" w:fill="C4D8E0"/>
            <w:noWrap/>
          </w:tcPr>
          <w:p w14:paraId="19E6F28E" w14:textId="480E0D18" w:rsidR="000252E3" w:rsidRPr="001D5327" w:rsidRDefault="000252E3" w:rsidP="00D11AC9">
            <w:pPr>
              <w:pStyle w:val="TableText"/>
              <w:spacing w:before="40" w:after="40"/>
              <w:rPr>
                <w:rFonts w:cs="Calibri"/>
              </w:rPr>
            </w:pPr>
            <w:r w:rsidRPr="001D5327">
              <w:t>Fugitive – Venting and Flaring</w:t>
            </w:r>
          </w:p>
        </w:tc>
        <w:tc>
          <w:tcPr>
            <w:tcW w:w="974" w:type="pct"/>
            <w:shd w:val="clear" w:color="auto" w:fill="C4D8E0"/>
            <w:noWrap/>
          </w:tcPr>
          <w:p w14:paraId="4BF3E12A" w14:textId="77777777" w:rsidR="000252E3" w:rsidRPr="001D5327" w:rsidRDefault="000252E3" w:rsidP="00D11AC9">
            <w:pPr>
              <w:pStyle w:val="TableText"/>
              <w:spacing w:before="40" w:after="40"/>
              <w:jc w:val="right"/>
              <w:rPr>
                <w:rFonts w:cs="Calibri"/>
              </w:rPr>
            </w:pPr>
            <w:r w:rsidRPr="001D5327">
              <w:rPr>
                <w:rFonts w:cs="Calibri"/>
              </w:rPr>
              <w:t>±</w:t>
            </w:r>
            <w:r w:rsidRPr="001D5327">
              <w:t>7.5</w:t>
            </w:r>
          </w:p>
        </w:tc>
        <w:tc>
          <w:tcPr>
            <w:tcW w:w="1011" w:type="pct"/>
            <w:shd w:val="clear" w:color="auto" w:fill="C4D8E0"/>
            <w:noWrap/>
          </w:tcPr>
          <w:p w14:paraId="6611EF35" w14:textId="77777777" w:rsidR="000252E3" w:rsidRPr="001D5327" w:rsidRDefault="000252E3" w:rsidP="00D11AC9">
            <w:pPr>
              <w:pStyle w:val="TableText"/>
              <w:spacing w:before="40" w:after="40"/>
              <w:jc w:val="right"/>
              <w:rPr>
                <w:rFonts w:cs="Calibri"/>
              </w:rPr>
            </w:pPr>
            <w:r w:rsidRPr="001D5327">
              <w:rPr>
                <w:rFonts w:cs="Calibri"/>
              </w:rPr>
              <w:t>±</w:t>
            </w:r>
            <w:r w:rsidRPr="001D5327">
              <w:t>50.0</w:t>
            </w:r>
          </w:p>
        </w:tc>
      </w:tr>
      <w:tr w:rsidR="000252E3" w:rsidRPr="001D5327" w14:paraId="3172C7B8" w14:textId="77777777" w:rsidTr="00D11AC9">
        <w:tc>
          <w:tcPr>
            <w:tcW w:w="320" w:type="pct"/>
            <w:vMerge/>
            <w:shd w:val="clear" w:color="auto" w:fill="C4D8E0"/>
            <w:noWrap/>
          </w:tcPr>
          <w:p w14:paraId="3D94EA5F" w14:textId="77777777" w:rsidR="000252E3" w:rsidRPr="001D5327" w:rsidRDefault="000252E3" w:rsidP="00D11AC9">
            <w:pPr>
              <w:pStyle w:val="TableText"/>
              <w:spacing w:before="40" w:after="40"/>
              <w:rPr>
                <w:rFonts w:cs="Calibri"/>
              </w:rPr>
            </w:pPr>
          </w:p>
        </w:tc>
        <w:tc>
          <w:tcPr>
            <w:tcW w:w="2695" w:type="pct"/>
            <w:shd w:val="clear" w:color="auto" w:fill="C4D8E0"/>
            <w:noWrap/>
          </w:tcPr>
          <w:p w14:paraId="14F00193" w14:textId="0849ABDF" w:rsidR="000252E3" w:rsidRPr="001D5327" w:rsidRDefault="000252E3" w:rsidP="00D11AC9">
            <w:pPr>
              <w:pStyle w:val="TableText"/>
              <w:spacing w:before="40" w:after="40"/>
              <w:rPr>
                <w:rFonts w:cs="Calibri"/>
              </w:rPr>
            </w:pPr>
            <w:r w:rsidRPr="001D5327">
              <w:t>Fugitive – Other Forms of Energy Production (Geothermal)</w:t>
            </w:r>
          </w:p>
        </w:tc>
        <w:tc>
          <w:tcPr>
            <w:tcW w:w="974" w:type="pct"/>
            <w:shd w:val="clear" w:color="auto" w:fill="C4D8E0"/>
            <w:noWrap/>
          </w:tcPr>
          <w:p w14:paraId="56792DAE" w14:textId="77777777" w:rsidR="000252E3" w:rsidRPr="001D5327" w:rsidRDefault="000252E3" w:rsidP="00D11AC9">
            <w:pPr>
              <w:pStyle w:val="TableText"/>
              <w:spacing w:before="40" w:after="40"/>
              <w:jc w:val="right"/>
              <w:rPr>
                <w:rFonts w:cs="Calibri"/>
              </w:rPr>
            </w:pPr>
            <w:r w:rsidRPr="001D5327">
              <w:rPr>
                <w:rFonts w:cs="Calibri"/>
              </w:rPr>
              <w:t>±</w:t>
            </w:r>
            <w:r w:rsidRPr="001D5327">
              <w:t>5.0</w:t>
            </w:r>
          </w:p>
        </w:tc>
        <w:tc>
          <w:tcPr>
            <w:tcW w:w="1011" w:type="pct"/>
            <w:shd w:val="clear" w:color="auto" w:fill="C4D8E0"/>
            <w:noWrap/>
          </w:tcPr>
          <w:p w14:paraId="01DA5EC8" w14:textId="77450828" w:rsidR="000252E3" w:rsidRPr="001D5327" w:rsidRDefault="000252E3" w:rsidP="00D11AC9">
            <w:pPr>
              <w:pStyle w:val="TableText"/>
              <w:spacing w:before="40" w:after="40"/>
              <w:jc w:val="right"/>
              <w:rPr>
                <w:rFonts w:cs="Calibri"/>
              </w:rPr>
            </w:pPr>
            <w:r w:rsidRPr="001D5327">
              <w:rPr>
                <w:rFonts w:cs="Calibri"/>
              </w:rPr>
              <w:t>±</w:t>
            </w:r>
            <w:r w:rsidRPr="001D5327">
              <w:t>5.0</w:t>
            </w:r>
          </w:p>
        </w:tc>
      </w:tr>
      <w:tr w:rsidR="000252E3" w:rsidRPr="001D5327" w14:paraId="111350BD" w14:textId="77777777" w:rsidTr="00D11AC9">
        <w:tc>
          <w:tcPr>
            <w:tcW w:w="320" w:type="pct"/>
            <w:vMerge w:val="restart"/>
            <w:noWrap/>
            <w:vAlign w:val="center"/>
          </w:tcPr>
          <w:p w14:paraId="1B64A601" w14:textId="77777777" w:rsidR="000252E3" w:rsidRPr="001D5327" w:rsidRDefault="000252E3" w:rsidP="00D11AC9">
            <w:pPr>
              <w:pStyle w:val="TableText"/>
              <w:spacing w:before="40" w:after="40"/>
              <w:rPr>
                <w:rFonts w:cs="Calibri"/>
              </w:rPr>
            </w:pPr>
            <w:r w:rsidRPr="001D5327">
              <w:rPr>
                <w:rFonts w:cs="Calibri"/>
              </w:rPr>
              <w:t>N</w:t>
            </w:r>
            <w:r w:rsidRPr="001D5327">
              <w:rPr>
                <w:rFonts w:cs="Calibri"/>
                <w:vertAlign w:val="subscript"/>
              </w:rPr>
              <w:t>2</w:t>
            </w:r>
            <w:r w:rsidRPr="001D5327">
              <w:rPr>
                <w:rFonts w:cs="Calibri"/>
              </w:rPr>
              <w:t>O</w:t>
            </w:r>
          </w:p>
        </w:tc>
        <w:tc>
          <w:tcPr>
            <w:tcW w:w="2695" w:type="pct"/>
            <w:shd w:val="clear" w:color="auto" w:fill="auto"/>
            <w:noWrap/>
          </w:tcPr>
          <w:p w14:paraId="7F413BC4" w14:textId="77777777" w:rsidR="000252E3" w:rsidRPr="001D5327" w:rsidRDefault="000252E3" w:rsidP="00D11AC9">
            <w:pPr>
              <w:pStyle w:val="TableText"/>
              <w:spacing w:before="40" w:after="40"/>
              <w:rPr>
                <w:rFonts w:cs="Calibri"/>
              </w:rPr>
            </w:pPr>
            <w:r w:rsidRPr="001D5327">
              <w:t>Gaseous Fuels</w:t>
            </w:r>
          </w:p>
        </w:tc>
        <w:tc>
          <w:tcPr>
            <w:tcW w:w="974" w:type="pct"/>
            <w:shd w:val="clear" w:color="auto" w:fill="auto"/>
            <w:noWrap/>
          </w:tcPr>
          <w:p w14:paraId="049ED261" w14:textId="77777777" w:rsidR="000252E3" w:rsidRPr="001D5327" w:rsidRDefault="000252E3" w:rsidP="00D11AC9">
            <w:pPr>
              <w:pStyle w:val="TableText"/>
              <w:spacing w:before="40" w:after="40"/>
              <w:jc w:val="right"/>
              <w:rPr>
                <w:rFonts w:cs="Calibri"/>
              </w:rPr>
            </w:pPr>
            <w:r w:rsidRPr="001D5327">
              <w:rPr>
                <w:rFonts w:cs="Calibri"/>
              </w:rPr>
              <w:t>±</w:t>
            </w:r>
            <w:r w:rsidRPr="001D5327">
              <w:t>7.5</w:t>
            </w:r>
          </w:p>
        </w:tc>
        <w:tc>
          <w:tcPr>
            <w:tcW w:w="1011" w:type="pct"/>
            <w:shd w:val="clear" w:color="auto" w:fill="auto"/>
            <w:noWrap/>
          </w:tcPr>
          <w:p w14:paraId="5BF99699" w14:textId="77777777" w:rsidR="000252E3" w:rsidRPr="001D5327" w:rsidRDefault="000252E3" w:rsidP="00D11AC9">
            <w:pPr>
              <w:pStyle w:val="TableText"/>
              <w:spacing w:before="40" w:after="40"/>
              <w:jc w:val="right"/>
              <w:rPr>
                <w:rFonts w:cs="Calibri"/>
              </w:rPr>
            </w:pPr>
            <w:r w:rsidRPr="001D5327">
              <w:t>±50.0</w:t>
            </w:r>
          </w:p>
        </w:tc>
      </w:tr>
      <w:tr w:rsidR="000252E3" w:rsidRPr="001D5327" w14:paraId="22EAE0CF" w14:textId="77777777" w:rsidTr="00D11AC9">
        <w:tc>
          <w:tcPr>
            <w:tcW w:w="320" w:type="pct"/>
            <w:vMerge/>
            <w:noWrap/>
          </w:tcPr>
          <w:p w14:paraId="2D0D1E61" w14:textId="77777777" w:rsidR="000252E3" w:rsidRPr="001D5327" w:rsidRDefault="000252E3" w:rsidP="00D11AC9">
            <w:pPr>
              <w:pStyle w:val="TableText"/>
              <w:spacing w:before="40" w:after="40"/>
              <w:rPr>
                <w:rFonts w:cs="Calibri"/>
              </w:rPr>
            </w:pPr>
          </w:p>
        </w:tc>
        <w:tc>
          <w:tcPr>
            <w:tcW w:w="2695" w:type="pct"/>
            <w:shd w:val="clear" w:color="auto" w:fill="auto"/>
            <w:noWrap/>
          </w:tcPr>
          <w:p w14:paraId="6B534029" w14:textId="77777777" w:rsidR="000252E3" w:rsidRPr="001D5327" w:rsidRDefault="000252E3" w:rsidP="00D11AC9">
            <w:pPr>
              <w:pStyle w:val="TableText"/>
              <w:spacing w:before="40" w:after="40"/>
              <w:rPr>
                <w:rFonts w:cs="Calibri"/>
              </w:rPr>
            </w:pPr>
            <w:r w:rsidRPr="001D5327">
              <w:t>Liquid Fuels</w:t>
            </w:r>
          </w:p>
        </w:tc>
        <w:tc>
          <w:tcPr>
            <w:tcW w:w="974" w:type="pct"/>
            <w:shd w:val="clear" w:color="auto" w:fill="auto"/>
            <w:noWrap/>
          </w:tcPr>
          <w:p w14:paraId="73D14553" w14:textId="77777777" w:rsidR="000252E3" w:rsidRPr="001D5327" w:rsidRDefault="000252E3" w:rsidP="00D11AC9">
            <w:pPr>
              <w:pStyle w:val="TableText"/>
              <w:spacing w:before="40" w:after="40"/>
              <w:jc w:val="right"/>
              <w:rPr>
                <w:rFonts w:cs="Calibri"/>
              </w:rPr>
            </w:pPr>
            <w:r w:rsidRPr="001D5327">
              <w:rPr>
                <w:rFonts w:cs="Calibri"/>
              </w:rPr>
              <w:t>±</w:t>
            </w:r>
            <w:r w:rsidRPr="001D5327">
              <w:t>2.5</w:t>
            </w:r>
          </w:p>
        </w:tc>
        <w:tc>
          <w:tcPr>
            <w:tcW w:w="1011" w:type="pct"/>
            <w:shd w:val="clear" w:color="auto" w:fill="auto"/>
            <w:noWrap/>
          </w:tcPr>
          <w:p w14:paraId="3E5D78AA" w14:textId="77777777" w:rsidR="000252E3" w:rsidRPr="001D5327" w:rsidRDefault="000252E3" w:rsidP="00D11AC9">
            <w:pPr>
              <w:pStyle w:val="TableText"/>
              <w:spacing w:before="40" w:after="40"/>
              <w:jc w:val="right"/>
              <w:rPr>
                <w:rFonts w:cs="Calibri"/>
              </w:rPr>
            </w:pPr>
            <w:r w:rsidRPr="001D5327">
              <w:rPr>
                <w:rFonts w:cs="Calibri"/>
              </w:rPr>
              <w:t>±</w:t>
            </w:r>
            <w:r w:rsidRPr="001D5327">
              <w:t>50.0</w:t>
            </w:r>
          </w:p>
        </w:tc>
      </w:tr>
      <w:tr w:rsidR="000252E3" w:rsidRPr="001D5327" w14:paraId="7754CB1E" w14:textId="77777777" w:rsidTr="00D11AC9">
        <w:tc>
          <w:tcPr>
            <w:tcW w:w="320" w:type="pct"/>
            <w:vMerge/>
            <w:noWrap/>
          </w:tcPr>
          <w:p w14:paraId="27BF30E1" w14:textId="77777777" w:rsidR="000252E3" w:rsidRPr="001D5327" w:rsidRDefault="000252E3" w:rsidP="00D11AC9">
            <w:pPr>
              <w:pStyle w:val="TableText"/>
              <w:spacing w:before="40" w:after="40"/>
              <w:rPr>
                <w:rFonts w:cs="Calibri"/>
              </w:rPr>
            </w:pPr>
          </w:p>
        </w:tc>
        <w:tc>
          <w:tcPr>
            <w:tcW w:w="2695" w:type="pct"/>
            <w:shd w:val="clear" w:color="auto" w:fill="auto"/>
            <w:noWrap/>
          </w:tcPr>
          <w:p w14:paraId="6CC2ECBF" w14:textId="77777777" w:rsidR="000252E3" w:rsidRPr="001D5327" w:rsidRDefault="000252E3" w:rsidP="00D11AC9">
            <w:pPr>
              <w:pStyle w:val="TableText"/>
              <w:spacing w:before="40" w:after="40"/>
              <w:rPr>
                <w:rFonts w:cs="Calibri"/>
              </w:rPr>
            </w:pPr>
            <w:r w:rsidRPr="001D5327">
              <w:t>Other Fossil Fuels</w:t>
            </w:r>
          </w:p>
        </w:tc>
        <w:tc>
          <w:tcPr>
            <w:tcW w:w="974" w:type="pct"/>
            <w:shd w:val="clear" w:color="auto" w:fill="auto"/>
            <w:noWrap/>
          </w:tcPr>
          <w:p w14:paraId="0D014065" w14:textId="77777777" w:rsidR="000252E3" w:rsidRPr="001D5327" w:rsidRDefault="000252E3" w:rsidP="00D11AC9">
            <w:pPr>
              <w:pStyle w:val="TableText"/>
              <w:spacing w:before="40" w:after="40"/>
              <w:jc w:val="right"/>
              <w:rPr>
                <w:rFonts w:cs="Calibri"/>
              </w:rPr>
            </w:pPr>
            <w:r w:rsidRPr="001D5327">
              <w:rPr>
                <w:rFonts w:cs="Calibri"/>
              </w:rPr>
              <w:t>±</w:t>
            </w:r>
            <w:r w:rsidRPr="001D5327">
              <w:t>5.0</w:t>
            </w:r>
          </w:p>
        </w:tc>
        <w:tc>
          <w:tcPr>
            <w:tcW w:w="1011" w:type="pct"/>
            <w:shd w:val="clear" w:color="auto" w:fill="auto"/>
            <w:noWrap/>
          </w:tcPr>
          <w:p w14:paraId="0410107A" w14:textId="77777777" w:rsidR="000252E3" w:rsidRPr="001D5327" w:rsidRDefault="000252E3" w:rsidP="00D11AC9">
            <w:pPr>
              <w:pStyle w:val="TableText"/>
              <w:spacing w:before="40" w:after="40"/>
              <w:jc w:val="right"/>
              <w:rPr>
                <w:rFonts w:cs="Calibri"/>
              </w:rPr>
            </w:pPr>
            <w:r w:rsidRPr="001D5327">
              <w:rPr>
                <w:rFonts w:cs="Calibri"/>
              </w:rPr>
              <w:t>±</w:t>
            </w:r>
            <w:r w:rsidRPr="001D5327">
              <w:t>50.0</w:t>
            </w:r>
          </w:p>
        </w:tc>
      </w:tr>
      <w:tr w:rsidR="000252E3" w:rsidRPr="001D5327" w14:paraId="64E266E8" w14:textId="77777777" w:rsidTr="00D11AC9">
        <w:tc>
          <w:tcPr>
            <w:tcW w:w="320" w:type="pct"/>
            <w:vMerge/>
            <w:noWrap/>
          </w:tcPr>
          <w:p w14:paraId="0B0143F3" w14:textId="77777777" w:rsidR="000252E3" w:rsidRPr="001D5327" w:rsidRDefault="000252E3" w:rsidP="00D11AC9">
            <w:pPr>
              <w:pStyle w:val="TableText"/>
              <w:spacing w:before="40" w:after="40"/>
              <w:rPr>
                <w:rFonts w:cs="Calibri"/>
              </w:rPr>
            </w:pPr>
          </w:p>
        </w:tc>
        <w:tc>
          <w:tcPr>
            <w:tcW w:w="2695" w:type="pct"/>
            <w:shd w:val="clear" w:color="auto" w:fill="auto"/>
            <w:noWrap/>
          </w:tcPr>
          <w:p w14:paraId="4A98731B" w14:textId="77777777" w:rsidR="000252E3" w:rsidRPr="001D5327" w:rsidRDefault="000252E3" w:rsidP="00D11AC9">
            <w:pPr>
              <w:pStyle w:val="TableText"/>
              <w:spacing w:before="40" w:after="40"/>
              <w:rPr>
                <w:rFonts w:cs="Calibri"/>
              </w:rPr>
            </w:pPr>
            <w:r w:rsidRPr="001D5327">
              <w:t>Solid Fuels</w:t>
            </w:r>
          </w:p>
        </w:tc>
        <w:tc>
          <w:tcPr>
            <w:tcW w:w="974" w:type="pct"/>
            <w:shd w:val="clear" w:color="auto" w:fill="auto"/>
            <w:noWrap/>
          </w:tcPr>
          <w:p w14:paraId="5584A4A1" w14:textId="77777777" w:rsidR="000252E3" w:rsidRPr="001D5327" w:rsidRDefault="000252E3" w:rsidP="00D11AC9">
            <w:pPr>
              <w:pStyle w:val="TableText"/>
              <w:spacing w:before="40" w:after="40"/>
              <w:jc w:val="right"/>
              <w:rPr>
                <w:rFonts w:cs="Calibri"/>
              </w:rPr>
            </w:pPr>
            <w:r w:rsidRPr="001D5327">
              <w:rPr>
                <w:rFonts w:cs="Calibri"/>
              </w:rPr>
              <w:t>±</w:t>
            </w:r>
            <w:r w:rsidRPr="001D5327">
              <w:t>15.2</w:t>
            </w:r>
          </w:p>
        </w:tc>
        <w:tc>
          <w:tcPr>
            <w:tcW w:w="1011" w:type="pct"/>
            <w:shd w:val="clear" w:color="auto" w:fill="auto"/>
            <w:noWrap/>
          </w:tcPr>
          <w:p w14:paraId="5CAC9BD0" w14:textId="77777777" w:rsidR="000252E3" w:rsidRPr="001D5327" w:rsidRDefault="000252E3" w:rsidP="00D11AC9">
            <w:pPr>
              <w:pStyle w:val="TableText"/>
              <w:spacing w:before="40" w:after="40"/>
              <w:jc w:val="right"/>
              <w:rPr>
                <w:rFonts w:cs="Calibri"/>
              </w:rPr>
            </w:pPr>
            <w:r w:rsidRPr="001D5327">
              <w:rPr>
                <w:rFonts w:cs="Calibri"/>
              </w:rPr>
              <w:t>±</w:t>
            </w:r>
            <w:r w:rsidRPr="001D5327">
              <w:t>50.0</w:t>
            </w:r>
          </w:p>
        </w:tc>
      </w:tr>
      <w:tr w:rsidR="000252E3" w:rsidRPr="001D5327" w14:paraId="588C4A40" w14:textId="77777777" w:rsidTr="00D11AC9">
        <w:tc>
          <w:tcPr>
            <w:tcW w:w="320" w:type="pct"/>
            <w:vMerge/>
            <w:noWrap/>
          </w:tcPr>
          <w:p w14:paraId="5C92C525" w14:textId="77777777" w:rsidR="000252E3" w:rsidRPr="001D5327" w:rsidRDefault="000252E3" w:rsidP="00D11AC9">
            <w:pPr>
              <w:pStyle w:val="TableText"/>
              <w:spacing w:before="40" w:after="40"/>
              <w:rPr>
                <w:rFonts w:cs="Calibri"/>
              </w:rPr>
            </w:pPr>
          </w:p>
        </w:tc>
        <w:tc>
          <w:tcPr>
            <w:tcW w:w="2695" w:type="pct"/>
            <w:shd w:val="clear" w:color="auto" w:fill="auto"/>
            <w:noWrap/>
          </w:tcPr>
          <w:p w14:paraId="05A207BE" w14:textId="77777777" w:rsidR="000252E3" w:rsidRPr="001D5327" w:rsidRDefault="000252E3" w:rsidP="00D11AC9">
            <w:pPr>
              <w:pStyle w:val="TableText"/>
              <w:spacing w:before="40" w:after="40"/>
              <w:rPr>
                <w:rFonts w:cs="Calibri"/>
              </w:rPr>
            </w:pPr>
            <w:r w:rsidRPr="001D5327">
              <w:t>Biomass</w:t>
            </w:r>
          </w:p>
        </w:tc>
        <w:tc>
          <w:tcPr>
            <w:tcW w:w="974" w:type="pct"/>
            <w:shd w:val="clear" w:color="auto" w:fill="auto"/>
            <w:noWrap/>
          </w:tcPr>
          <w:p w14:paraId="340FBBB2" w14:textId="77777777" w:rsidR="000252E3" w:rsidRPr="001D5327" w:rsidRDefault="000252E3" w:rsidP="00D11AC9">
            <w:pPr>
              <w:pStyle w:val="TableText"/>
              <w:spacing w:before="40" w:after="40"/>
              <w:jc w:val="right"/>
              <w:rPr>
                <w:rFonts w:cs="Calibri"/>
              </w:rPr>
            </w:pPr>
            <w:r w:rsidRPr="001D5327">
              <w:rPr>
                <w:rFonts w:cs="Calibri"/>
              </w:rPr>
              <w:t>±</w:t>
            </w:r>
            <w:r w:rsidRPr="001D5327">
              <w:t>50.0</w:t>
            </w:r>
          </w:p>
        </w:tc>
        <w:tc>
          <w:tcPr>
            <w:tcW w:w="1011" w:type="pct"/>
            <w:shd w:val="clear" w:color="auto" w:fill="auto"/>
            <w:noWrap/>
          </w:tcPr>
          <w:p w14:paraId="5AA073EE" w14:textId="77777777" w:rsidR="000252E3" w:rsidRPr="001D5327" w:rsidRDefault="000252E3" w:rsidP="00D11AC9">
            <w:pPr>
              <w:pStyle w:val="TableText"/>
              <w:spacing w:before="40" w:after="40"/>
              <w:jc w:val="right"/>
              <w:rPr>
                <w:rFonts w:cs="Calibri"/>
              </w:rPr>
            </w:pPr>
            <w:r w:rsidRPr="001D5327">
              <w:rPr>
                <w:rFonts w:cs="Calibri"/>
              </w:rPr>
              <w:t>±</w:t>
            </w:r>
            <w:r w:rsidRPr="001D5327">
              <w:t>50.0</w:t>
            </w:r>
          </w:p>
        </w:tc>
      </w:tr>
      <w:tr w:rsidR="000252E3" w:rsidRPr="001D5327" w14:paraId="24488E9A" w14:textId="77777777" w:rsidTr="00D11AC9">
        <w:tc>
          <w:tcPr>
            <w:tcW w:w="320" w:type="pct"/>
            <w:vMerge/>
            <w:noWrap/>
          </w:tcPr>
          <w:p w14:paraId="19095C75" w14:textId="77777777" w:rsidR="000252E3" w:rsidRPr="001D5327" w:rsidRDefault="000252E3" w:rsidP="00D11AC9">
            <w:pPr>
              <w:pStyle w:val="TableText"/>
              <w:spacing w:before="40" w:after="40"/>
              <w:rPr>
                <w:rFonts w:cs="Calibri"/>
              </w:rPr>
            </w:pPr>
          </w:p>
        </w:tc>
        <w:tc>
          <w:tcPr>
            <w:tcW w:w="2695" w:type="pct"/>
            <w:shd w:val="clear" w:color="auto" w:fill="auto"/>
            <w:noWrap/>
          </w:tcPr>
          <w:p w14:paraId="172CBADD" w14:textId="4FC93ACB" w:rsidR="000252E3" w:rsidRPr="001D5327" w:rsidRDefault="000252E3" w:rsidP="00D11AC9">
            <w:pPr>
              <w:pStyle w:val="TableText"/>
              <w:spacing w:before="40" w:after="40"/>
              <w:rPr>
                <w:rFonts w:cs="Calibri"/>
              </w:rPr>
            </w:pPr>
            <w:r w:rsidRPr="001D5327">
              <w:t>Fugitive – Venting and Flaring</w:t>
            </w:r>
          </w:p>
        </w:tc>
        <w:tc>
          <w:tcPr>
            <w:tcW w:w="974" w:type="pct"/>
            <w:shd w:val="clear" w:color="auto" w:fill="auto"/>
            <w:noWrap/>
          </w:tcPr>
          <w:p w14:paraId="2A097944" w14:textId="77777777" w:rsidR="000252E3" w:rsidRPr="001D5327" w:rsidRDefault="000252E3" w:rsidP="00D11AC9">
            <w:pPr>
              <w:pStyle w:val="TableText"/>
              <w:spacing w:before="40" w:after="40"/>
              <w:jc w:val="right"/>
              <w:rPr>
                <w:rFonts w:cs="Calibri"/>
              </w:rPr>
            </w:pPr>
            <w:r w:rsidRPr="001D5327">
              <w:rPr>
                <w:rFonts w:cs="Calibri"/>
              </w:rPr>
              <w:t>±</w:t>
            </w:r>
            <w:r w:rsidRPr="001D5327">
              <w:t>7.5</w:t>
            </w:r>
          </w:p>
        </w:tc>
        <w:tc>
          <w:tcPr>
            <w:tcW w:w="1011" w:type="pct"/>
            <w:shd w:val="clear" w:color="auto" w:fill="auto"/>
            <w:noWrap/>
          </w:tcPr>
          <w:p w14:paraId="487DFC65" w14:textId="77777777" w:rsidR="000252E3" w:rsidRPr="001D5327" w:rsidRDefault="000252E3" w:rsidP="00D11AC9">
            <w:pPr>
              <w:pStyle w:val="TableText"/>
              <w:spacing w:before="40" w:after="40"/>
              <w:jc w:val="right"/>
              <w:rPr>
                <w:rFonts w:cs="Calibri"/>
              </w:rPr>
            </w:pPr>
            <w:r w:rsidRPr="001D5327">
              <w:rPr>
                <w:rFonts w:cs="Calibri"/>
              </w:rPr>
              <w:t>±</w:t>
            </w:r>
            <w:r w:rsidRPr="001D5327">
              <w:t>100.0</w:t>
            </w:r>
          </w:p>
        </w:tc>
      </w:tr>
    </w:tbl>
    <w:p w14:paraId="748BD7EC" w14:textId="26028E56" w:rsidR="00D97D6C" w:rsidRPr="001D5327" w:rsidRDefault="00D97D6C" w:rsidP="003B4675">
      <w:pPr>
        <w:pStyle w:val="BodyText"/>
        <w:spacing w:before="240" w:after="100"/>
        <w:rPr>
          <w:rFonts w:cs="Calibri"/>
        </w:rPr>
      </w:pPr>
      <w:r w:rsidRPr="001D5327">
        <w:rPr>
          <w:rFonts w:cs="Calibri"/>
          <w:lang w:eastAsia="en-GB"/>
        </w:rPr>
        <w:t>To estimate activity data uncertainty, we use the percentage difference between annual calculated consumer energy from supply-side surveys and annual observed consumer energy from demand-side surveys. As a result, activity data uncertainty can vary significantly from year to year.</w:t>
      </w:r>
    </w:p>
    <w:p w14:paraId="33E75C51" w14:textId="77777777" w:rsidR="00D97D6C" w:rsidRPr="001D5327" w:rsidRDefault="00D97D6C" w:rsidP="003B4675">
      <w:pPr>
        <w:pStyle w:val="Heading3"/>
        <w:spacing w:before="280"/>
        <w:rPr>
          <w:rFonts w:cs="Calibri"/>
        </w:rPr>
      </w:pPr>
      <w:r w:rsidRPr="001D5327">
        <w:rPr>
          <w:rFonts w:cs="Calibri"/>
        </w:rPr>
        <w:t>3.2.4</w:t>
      </w:r>
      <w:r w:rsidRPr="001D5327">
        <w:rPr>
          <w:rFonts w:cs="Calibri"/>
        </w:rPr>
        <w:tab/>
        <w:t>Sector-wide QA/QC and verification</w:t>
      </w:r>
    </w:p>
    <w:p w14:paraId="4DCD5256" w14:textId="7CDA9136" w:rsidR="00D97D6C" w:rsidRPr="001D5327" w:rsidRDefault="00D97D6C" w:rsidP="00D97D6C">
      <w:pPr>
        <w:pStyle w:val="BodyText"/>
        <w:rPr>
          <w:rFonts w:cs="Calibri"/>
        </w:rPr>
      </w:pPr>
      <w:r w:rsidRPr="001D5327">
        <w:rPr>
          <w:rFonts w:cs="Calibri"/>
          <w:lang w:eastAsia="en-GB"/>
        </w:rPr>
        <w:t xml:space="preserve">In the preparation of this inventory, the </w:t>
      </w:r>
      <w:r w:rsidRPr="001D5327">
        <w:rPr>
          <w:rFonts w:cs="Calibri"/>
          <w:i/>
          <w:lang w:eastAsia="en-GB"/>
        </w:rPr>
        <w:t xml:space="preserve">Fugitive </w:t>
      </w:r>
      <w:r w:rsidR="00086803" w:rsidRPr="001D5327">
        <w:rPr>
          <w:rFonts w:cs="Calibri"/>
          <w:i/>
          <w:lang w:eastAsia="en-GB"/>
        </w:rPr>
        <w:t>emissions</w:t>
      </w:r>
      <w:r w:rsidRPr="001D5327">
        <w:rPr>
          <w:rFonts w:cs="Calibri"/>
          <w:lang w:eastAsia="en-GB"/>
        </w:rPr>
        <w:t xml:space="preserve"> category underwent Tier 1 quality-assurance </w:t>
      </w:r>
      <w:r w:rsidR="00FE6B3D" w:rsidRPr="001D5327">
        <w:rPr>
          <w:rFonts w:cs="Calibri"/>
          <w:lang w:eastAsia="en-GB"/>
        </w:rPr>
        <w:t xml:space="preserve">(QA) </w:t>
      </w:r>
      <w:r w:rsidRPr="001D5327">
        <w:rPr>
          <w:rFonts w:cs="Calibri"/>
          <w:lang w:eastAsia="en-GB"/>
        </w:rPr>
        <w:t xml:space="preserve">and quality-control </w:t>
      </w:r>
      <w:r w:rsidR="00FE6B3D" w:rsidRPr="001D5327">
        <w:rPr>
          <w:rFonts w:cs="Calibri"/>
          <w:lang w:eastAsia="en-GB"/>
        </w:rPr>
        <w:t xml:space="preserve">(QC) </w:t>
      </w:r>
      <w:r w:rsidRPr="001D5327">
        <w:rPr>
          <w:rFonts w:cs="Calibri"/>
          <w:lang w:eastAsia="en-GB"/>
        </w:rPr>
        <w:t>checks, as recommended in the 2006 IPCC Guidelines</w:t>
      </w:r>
      <w:r w:rsidR="00110ED6" w:rsidRPr="001D5327">
        <w:rPr>
          <w:rFonts w:cs="Calibri"/>
          <w:lang w:eastAsia="en-GB"/>
        </w:rPr>
        <w:t xml:space="preserve"> (IPCC, 2006)</w:t>
      </w:r>
      <w:r w:rsidRPr="001D5327">
        <w:rPr>
          <w:rFonts w:cs="Calibri"/>
          <w:lang w:eastAsia="en-GB"/>
        </w:rPr>
        <w:t xml:space="preserve">. These include regular control sums throughout systems to verify system integrity, time-series consistency checks on activity data and consistency checks on implied emission factors at the industry–plant level, where possible. </w:t>
      </w:r>
      <w:r w:rsidRPr="001D5327">
        <w:rPr>
          <w:rFonts w:cs="Calibri"/>
        </w:rPr>
        <w:t>Figure 3.2.2</w:t>
      </w:r>
      <w:r w:rsidRPr="001D5327">
        <w:rPr>
          <w:rFonts w:cs="Calibri"/>
          <w:lang w:eastAsia="en-GB"/>
        </w:rPr>
        <w:t xml:space="preserve"> </w:t>
      </w:r>
      <w:r w:rsidR="00541895" w:rsidRPr="001D5327">
        <w:rPr>
          <w:rFonts w:cs="Calibri"/>
          <w:lang w:eastAsia="en-GB"/>
        </w:rPr>
        <w:t xml:space="preserve">presents </w:t>
      </w:r>
      <w:r w:rsidRPr="001D5327">
        <w:rPr>
          <w:rFonts w:cs="Calibri"/>
          <w:lang w:eastAsia="en-GB"/>
        </w:rPr>
        <w:t>the quality control process map for the Energy sector.</w:t>
      </w:r>
    </w:p>
    <w:p w14:paraId="58DC8EF3" w14:textId="296FA60F" w:rsidR="00D97D6C" w:rsidRPr="001D5327" w:rsidRDefault="00D97D6C" w:rsidP="008D23D6">
      <w:pPr>
        <w:pStyle w:val="Figure"/>
        <w:spacing w:after="60"/>
        <w:rPr>
          <w:rFonts w:cs="Calibri"/>
        </w:rPr>
      </w:pPr>
      <w:bookmarkStart w:id="223" w:name="_Ref442370883"/>
      <w:bookmarkStart w:id="224" w:name="_Toc384582852"/>
      <w:bookmarkStart w:id="225" w:name="_Ref442370874"/>
      <w:bookmarkStart w:id="226" w:name="_Toc443060812"/>
      <w:bookmarkStart w:id="227" w:name="_Toc447275669"/>
      <w:bookmarkStart w:id="228" w:name="_Toc481751987"/>
      <w:bookmarkStart w:id="229" w:name="_Toc36292771"/>
      <w:bookmarkStart w:id="230" w:name="_Toc68786636"/>
      <w:bookmarkStart w:id="231" w:name="_Toc95834071"/>
      <w:bookmarkStart w:id="232" w:name="_Toc164154007"/>
      <w:bookmarkStart w:id="233" w:name="_Toc194674840"/>
      <w:r w:rsidRPr="001D5327">
        <w:rPr>
          <w:rFonts w:cs="Calibri"/>
        </w:rPr>
        <w:lastRenderedPageBreak/>
        <w:t>Figure 3.2.</w:t>
      </w:r>
      <w:r w:rsidRPr="001D5327">
        <w:rPr>
          <w:rFonts w:cs="Calibri"/>
        </w:rPr>
        <w:fldChar w:fldCharType="begin"/>
      </w:r>
      <w:r w:rsidRPr="001D5327">
        <w:rPr>
          <w:rFonts w:cs="Calibri"/>
        </w:rPr>
        <w:instrText xml:space="preserve"> SEQ Figure \* ARABIC \s 2 </w:instrText>
      </w:r>
      <w:r w:rsidRPr="001D5327">
        <w:rPr>
          <w:rFonts w:cs="Calibri"/>
        </w:rPr>
        <w:fldChar w:fldCharType="separate"/>
      </w:r>
      <w:r w:rsidR="00B93180">
        <w:rPr>
          <w:rFonts w:cs="Calibri"/>
          <w:noProof/>
        </w:rPr>
        <w:t>2</w:t>
      </w:r>
      <w:r w:rsidRPr="001D5327">
        <w:rPr>
          <w:rFonts w:cs="Calibri"/>
        </w:rPr>
        <w:fldChar w:fldCharType="end"/>
      </w:r>
      <w:bookmarkEnd w:id="223"/>
      <w:r w:rsidRPr="001D5327">
        <w:rPr>
          <w:rFonts w:cs="Calibri"/>
        </w:rPr>
        <w:t xml:space="preserve"> </w:t>
      </w:r>
      <w:r w:rsidRPr="001D5327">
        <w:rPr>
          <w:rFonts w:cs="Calibri"/>
        </w:rPr>
        <w:tab/>
        <w:t>Energy sector quality control process map</w:t>
      </w:r>
      <w:bookmarkEnd w:id="224"/>
      <w:bookmarkEnd w:id="225"/>
      <w:bookmarkEnd w:id="226"/>
      <w:bookmarkEnd w:id="227"/>
      <w:bookmarkEnd w:id="228"/>
      <w:bookmarkEnd w:id="229"/>
      <w:bookmarkEnd w:id="230"/>
      <w:bookmarkEnd w:id="231"/>
      <w:bookmarkEnd w:id="232"/>
      <w:bookmarkEnd w:id="233"/>
    </w:p>
    <w:p w14:paraId="2064D4B9" w14:textId="77777777" w:rsidR="00D97D6C" w:rsidRPr="001D5327" w:rsidRDefault="00D97D6C" w:rsidP="00296D90">
      <w:pPr>
        <w:pStyle w:val="BodyText"/>
        <w:jc w:val="center"/>
      </w:pPr>
      <w:r w:rsidRPr="001D5327">
        <w:rPr>
          <w:noProof/>
        </w:rPr>
        <w:drawing>
          <wp:inline distT="0" distB="0" distL="0" distR="0" wp14:anchorId="37DCC045" wp14:editId="7588BF9A">
            <wp:extent cx="4627537" cy="6353092"/>
            <wp:effectExtent l="0" t="0" r="1905" b="0"/>
            <wp:docPr id="499227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227123" name="Picture 1"/>
                    <pic:cNvPicPr/>
                  </pic:nvPicPr>
                  <pic:blipFill rotWithShape="1">
                    <a:blip r:embed="rId61" cstate="print">
                      <a:extLst>
                        <a:ext uri="{28A0092B-C50C-407E-A947-70E740481C1C}">
                          <a14:useLocalDpi xmlns:a14="http://schemas.microsoft.com/office/drawing/2010/main" val="0"/>
                        </a:ext>
                      </a:extLst>
                    </a:blip>
                    <a:srcRect t="-481"/>
                    <a:stretch/>
                  </pic:blipFill>
                  <pic:spPr bwMode="auto">
                    <a:xfrm>
                      <a:off x="0" y="0"/>
                      <a:ext cx="4658133" cy="6395097"/>
                    </a:xfrm>
                    <a:prstGeom prst="rect">
                      <a:avLst/>
                    </a:prstGeom>
                    <a:ln>
                      <a:noFill/>
                    </a:ln>
                    <a:extLst>
                      <a:ext uri="{53640926-AAD7-44D8-BBD7-CCE9431645EC}">
                        <a14:shadowObscured xmlns:a14="http://schemas.microsoft.com/office/drawing/2010/main"/>
                      </a:ext>
                    </a:extLst>
                  </pic:spPr>
                </pic:pic>
              </a:graphicData>
            </a:graphic>
          </wp:inline>
        </w:drawing>
      </w:r>
    </w:p>
    <w:p w14:paraId="57418BE1" w14:textId="77777777" w:rsidR="00D97D6C" w:rsidRPr="001D5327" w:rsidRDefault="00D97D6C" w:rsidP="008D23D6">
      <w:pPr>
        <w:pStyle w:val="BodyText"/>
        <w:spacing w:after="100"/>
        <w:rPr>
          <w:rFonts w:cs="Calibri"/>
        </w:rPr>
      </w:pPr>
      <w:r w:rsidRPr="001D5327">
        <w:rPr>
          <w:rFonts w:cs="Calibri"/>
          <w:lang w:eastAsia="en-GB"/>
        </w:rPr>
        <w:t xml:space="preserve">As discussed in section 3.1, the reference approach provides a good, high-level quality check for activity data. A significant deviation (greater than 5 per cent) indicates a likely issue. </w:t>
      </w:r>
    </w:p>
    <w:p w14:paraId="08A02C4E" w14:textId="77777777" w:rsidR="00D97D6C" w:rsidRPr="001D5327" w:rsidRDefault="00D97D6C" w:rsidP="008D23D6">
      <w:pPr>
        <w:pStyle w:val="BodyText"/>
        <w:spacing w:before="100" w:after="100"/>
        <w:rPr>
          <w:rFonts w:cs="Calibri"/>
          <w:lang w:eastAsia="en-GB"/>
        </w:rPr>
      </w:pPr>
      <w:r w:rsidRPr="001D5327">
        <w:rPr>
          <w:rFonts w:cs="Calibri"/>
          <w:lang w:eastAsia="en-GB"/>
        </w:rPr>
        <w:t>Implied CO</w:t>
      </w:r>
      <w:r w:rsidRPr="001D5327">
        <w:rPr>
          <w:rFonts w:cs="Calibri"/>
          <w:vertAlign w:val="subscript"/>
          <w:lang w:eastAsia="en-GB"/>
        </w:rPr>
        <w:t>2</w:t>
      </w:r>
      <w:r w:rsidRPr="001D5327">
        <w:rPr>
          <w:rFonts w:cs="Calibri"/>
          <w:lang w:eastAsia="en-GB"/>
        </w:rPr>
        <w:t xml:space="preserve"> emission factors for combustion of liquid, solid and gaseous fuels from this inventory were compared with those in the IPCC Emission Factor Database and converted to gross values for comparability with the New Zealand energy system. </w:t>
      </w:r>
    </w:p>
    <w:p w14:paraId="03D05F97" w14:textId="269DC166" w:rsidR="00D97D6C" w:rsidRPr="001D5327" w:rsidRDefault="00D97D6C" w:rsidP="008D23D6">
      <w:pPr>
        <w:pStyle w:val="BodyText"/>
        <w:spacing w:before="100" w:after="100"/>
        <w:rPr>
          <w:rFonts w:cs="Calibri"/>
          <w:lang w:eastAsia="en-GB"/>
        </w:rPr>
      </w:pPr>
      <w:r w:rsidRPr="001D5327">
        <w:t>Figures 3.2.3, 3.2.4</w:t>
      </w:r>
      <w:r w:rsidRPr="001D5327">
        <w:rPr>
          <w:lang w:eastAsia="en-GB"/>
        </w:rPr>
        <w:t xml:space="preserve"> </w:t>
      </w:r>
      <w:r w:rsidRPr="001D5327">
        <w:t>and 3.2.5</w:t>
      </w:r>
      <w:r w:rsidRPr="001D5327">
        <w:rPr>
          <w:lang w:eastAsia="en-GB"/>
        </w:rPr>
        <w:t xml:space="preserve"> show the upper, lower and middle IPCC </w:t>
      </w:r>
      <w:r w:rsidR="00AE4514" w:rsidRPr="001D5327">
        <w:rPr>
          <w:lang w:eastAsia="en-GB"/>
        </w:rPr>
        <w:t>(</w:t>
      </w:r>
      <w:r w:rsidRPr="001D5327">
        <w:rPr>
          <w:lang w:eastAsia="en-GB"/>
        </w:rPr>
        <w:t>2006</w:t>
      </w:r>
      <w:r w:rsidR="00AE4514" w:rsidRPr="001D5327">
        <w:rPr>
          <w:lang w:eastAsia="en-GB"/>
        </w:rPr>
        <w:t>)</w:t>
      </w:r>
      <w:r w:rsidRPr="001D5327">
        <w:rPr>
          <w:lang w:eastAsia="en-GB"/>
        </w:rPr>
        <w:t xml:space="preserve"> emission factor ranges</w:t>
      </w:r>
      <w:r w:rsidR="00541895" w:rsidRPr="001D5327">
        <w:rPr>
          <w:lang w:eastAsia="en-GB"/>
        </w:rPr>
        <w:t xml:space="preserve"> for liquid, solid and gaseous fuel combustion</w:t>
      </w:r>
      <w:r w:rsidRPr="001D5327">
        <w:rPr>
          <w:lang w:eastAsia="en-GB"/>
        </w:rPr>
        <w:t xml:space="preserve">, and compare the implied emission factors according to observed </w:t>
      </w:r>
      <w:r w:rsidRPr="001D5327">
        <w:t>fuel</w:t>
      </w:r>
      <w:r w:rsidRPr="001D5327">
        <w:rPr>
          <w:lang w:eastAsia="en-GB"/>
        </w:rPr>
        <w:t xml:space="preserve"> consumption in </w:t>
      </w:r>
      <w:r w:rsidRPr="001D5327">
        <w:rPr>
          <w:rFonts w:cs="Calibri"/>
          <w:lang w:eastAsia="en-GB"/>
        </w:rPr>
        <w:t>New Zealand</w:t>
      </w:r>
      <w:r w:rsidRPr="001D5327">
        <w:rPr>
          <w:lang w:eastAsia="en-GB"/>
        </w:rPr>
        <w:t xml:space="preserve"> for the given year. </w:t>
      </w:r>
      <w:r w:rsidRPr="001D5327">
        <w:rPr>
          <w:rFonts w:cs="Calibri"/>
          <w:lang w:eastAsia="en-GB"/>
        </w:rPr>
        <w:t xml:space="preserve">Each fuel type falls within the IPCC </w:t>
      </w:r>
      <w:r w:rsidR="00AE4514" w:rsidRPr="001D5327">
        <w:rPr>
          <w:rFonts w:cs="Calibri"/>
          <w:lang w:eastAsia="en-GB"/>
        </w:rPr>
        <w:t xml:space="preserve">(2006) </w:t>
      </w:r>
      <w:r w:rsidRPr="001D5327">
        <w:rPr>
          <w:rFonts w:cs="Calibri"/>
          <w:lang w:eastAsia="en-GB"/>
        </w:rPr>
        <w:t>default range, except for gaseous fuels. This is because, as discussed in section</w:t>
      </w:r>
      <w:r w:rsidR="00541895" w:rsidRPr="001D5327">
        <w:rPr>
          <w:rFonts w:cs="Calibri"/>
          <w:lang w:eastAsia="en-GB"/>
        </w:rPr>
        <w:t> </w:t>
      </w:r>
      <w:r w:rsidRPr="001D5327">
        <w:rPr>
          <w:rFonts w:cs="Calibri"/>
          <w:lang w:eastAsia="en-GB"/>
        </w:rPr>
        <w:t>3.2.</w:t>
      </w:r>
      <w:r w:rsidR="78672612" w:rsidRPr="001D5327">
        <w:rPr>
          <w:rFonts w:cs="Calibri"/>
          <w:lang w:eastAsia="en-GB"/>
        </w:rPr>
        <w:t>2</w:t>
      </w:r>
      <w:r w:rsidRPr="001D5327">
        <w:rPr>
          <w:rFonts w:cs="Calibri"/>
          <w:lang w:eastAsia="en-GB"/>
        </w:rPr>
        <w:t xml:space="preserve">, </w:t>
      </w:r>
      <w:r w:rsidRPr="001D5327">
        <w:rPr>
          <w:rFonts w:cs="Calibri"/>
        </w:rPr>
        <w:t>CO</w:t>
      </w:r>
      <w:r w:rsidRPr="001D5327">
        <w:rPr>
          <w:rFonts w:cs="Calibri"/>
          <w:vertAlign w:val="subscript"/>
        </w:rPr>
        <w:t>2</w:t>
      </w:r>
      <w:r w:rsidRPr="001D5327">
        <w:rPr>
          <w:rFonts w:cs="Calibri"/>
        </w:rPr>
        <w:t xml:space="preserve"> emission factors for </w:t>
      </w:r>
      <w:r w:rsidRPr="001D5327">
        <w:rPr>
          <w:rFonts w:cs="Calibri"/>
          <w:lang w:eastAsia="en-GB"/>
        </w:rPr>
        <w:t>New Zealand</w:t>
      </w:r>
      <w:r w:rsidRPr="001D5327">
        <w:rPr>
          <w:rFonts w:cs="Calibri"/>
        </w:rPr>
        <w:t xml:space="preserve"> natural gas fields are established through gas composition analysis and are known to be high by international standards.</w:t>
      </w:r>
    </w:p>
    <w:p w14:paraId="6BEFE09F" w14:textId="5141FBB2" w:rsidR="00D97D6C" w:rsidRPr="001D5327" w:rsidRDefault="00D97D6C" w:rsidP="004464B0">
      <w:pPr>
        <w:pStyle w:val="Figure"/>
        <w:spacing w:after="0"/>
        <w:rPr>
          <w:rFonts w:cs="Calibri"/>
        </w:rPr>
      </w:pPr>
      <w:bookmarkStart w:id="234" w:name="_Ref442369949"/>
      <w:bookmarkStart w:id="235" w:name="_Toc321399325"/>
      <w:bookmarkStart w:id="236" w:name="_Toc384582853"/>
      <w:bookmarkStart w:id="237" w:name="_Toc443060813"/>
      <w:bookmarkStart w:id="238" w:name="_Toc447275670"/>
      <w:bookmarkStart w:id="239" w:name="_Toc481751988"/>
      <w:bookmarkStart w:id="240" w:name="_Toc36292772"/>
      <w:bookmarkStart w:id="241" w:name="_Toc68786637"/>
      <w:bookmarkStart w:id="242" w:name="_Toc95834072"/>
      <w:bookmarkStart w:id="243" w:name="_Toc164154008"/>
      <w:bookmarkStart w:id="244" w:name="_Toc194674841"/>
      <w:r w:rsidRPr="001D5327">
        <w:rPr>
          <w:rFonts w:cs="Calibri"/>
        </w:rPr>
        <w:lastRenderedPageBreak/>
        <w:t>Figure 3.2.</w:t>
      </w:r>
      <w:r w:rsidRPr="001D5327">
        <w:rPr>
          <w:rFonts w:cs="Calibri"/>
        </w:rPr>
        <w:fldChar w:fldCharType="begin"/>
      </w:r>
      <w:r w:rsidRPr="001D5327">
        <w:rPr>
          <w:rFonts w:cs="Calibri"/>
        </w:rPr>
        <w:instrText xml:space="preserve"> SEQ Figure \* ARABIC \s 2 </w:instrText>
      </w:r>
      <w:r w:rsidRPr="001D5327">
        <w:rPr>
          <w:rFonts w:cs="Calibri"/>
        </w:rPr>
        <w:fldChar w:fldCharType="separate"/>
      </w:r>
      <w:r w:rsidR="00B93180">
        <w:rPr>
          <w:rFonts w:cs="Calibri"/>
          <w:noProof/>
        </w:rPr>
        <w:t>3</w:t>
      </w:r>
      <w:r w:rsidRPr="001D5327">
        <w:rPr>
          <w:rFonts w:cs="Calibri"/>
        </w:rPr>
        <w:fldChar w:fldCharType="end"/>
      </w:r>
      <w:bookmarkEnd w:id="234"/>
      <w:r w:rsidRPr="001D5327">
        <w:rPr>
          <w:rFonts w:cs="Calibri"/>
        </w:rPr>
        <w:t xml:space="preserve"> </w:t>
      </w:r>
      <w:r w:rsidRPr="001D5327">
        <w:rPr>
          <w:rFonts w:cs="Calibri"/>
        </w:rPr>
        <w:tab/>
        <w:t>Carbon dioxide implied emission factor (IEF) – Liquid fuel combustion</w:t>
      </w:r>
      <w:bookmarkEnd w:id="235"/>
      <w:bookmarkEnd w:id="236"/>
      <w:bookmarkEnd w:id="237"/>
      <w:bookmarkEnd w:id="238"/>
      <w:bookmarkEnd w:id="239"/>
      <w:r w:rsidR="00636ED3" w:rsidRPr="001D5327">
        <w:rPr>
          <w:rFonts w:cs="Calibri"/>
        </w:rPr>
        <w:t>,</w:t>
      </w:r>
      <w:r w:rsidRPr="001D5327">
        <w:rPr>
          <w:rFonts w:cs="Calibri"/>
        </w:rPr>
        <w:t xml:space="preserve"> from 1990</w:t>
      </w:r>
      <w:r w:rsidR="00D3659D" w:rsidRPr="001D5327">
        <w:rPr>
          <w:rFonts w:cs="Calibri"/>
        </w:rPr>
        <w:t> </w:t>
      </w:r>
      <w:r w:rsidRPr="001D5327">
        <w:rPr>
          <w:rFonts w:cs="Calibri"/>
        </w:rPr>
        <w:t>to</w:t>
      </w:r>
      <w:bookmarkEnd w:id="240"/>
      <w:bookmarkEnd w:id="241"/>
      <w:bookmarkEnd w:id="242"/>
      <w:bookmarkEnd w:id="243"/>
      <w:r w:rsidR="00D3659D" w:rsidRPr="001D5327">
        <w:rPr>
          <w:rFonts w:cs="Calibri"/>
        </w:rPr>
        <w:t> </w:t>
      </w:r>
      <w:r w:rsidR="006A21DD" w:rsidRPr="001D5327">
        <w:rPr>
          <w:rFonts w:cs="Calibri"/>
        </w:rPr>
        <w:t>2023</w:t>
      </w:r>
      <w:bookmarkEnd w:id="244"/>
    </w:p>
    <w:p w14:paraId="6C891983" w14:textId="1BDBEB91" w:rsidR="00D97D6C" w:rsidRPr="001D5327" w:rsidRDefault="004464B0" w:rsidP="00D97D6C">
      <w:pPr>
        <w:pStyle w:val="BodyText"/>
        <w:rPr>
          <w:rFonts w:cs="Calibri"/>
        </w:rPr>
      </w:pPr>
      <w:r w:rsidRPr="001D5327">
        <w:rPr>
          <w:rFonts w:cs="Calibri"/>
          <w:noProof/>
        </w:rPr>
        <w:drawing>
          <wp:inline distT="0" distB="0" distL="0" distR="0" wp14:anchorId="6AC40B4A" wp14:editId="76E75622">
            <wp:extent cx="5122354" cy="2349138"/>
            <wp:effectExtent l="0" t="0" r="2540" b="0"/>
            <wp:docPr id="10384642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2">
                      <a:extLst>
                        <a:ext uri="{28A0092B-C50C-407E-A947-70E740481C1C}">
                          <a14:useLocalDpi xmlns:a14="http://schemas.microsoft.com/office/drawing/2010/main" val="0"/>
                        </a:ext>
                      </a:extLst>
                    </a:blip>
                    <a:srcRect b="5064"/>
                    <a:stretch/>
                  </pic:blipFill>
                  <pic:spPr bwMode="auto">
                    <a:xfrm>
                      <a:off x="0" y="0"/>
                      <a:ext cx="5135216" cy="2355037"/>
                    </a:xfrm>
                    <a:prstGeom prst="rect">
                      <a:avLst/>
                    </a:prstGeom>
                    <a:noFill/>
                    <a:ln>
                      <a:noFill/>
                    </a:ln>
                    <a:extLst>
                      <a:ext uri="{53640926-AAD7-44D8-BBD7-CCE9431645EC}">
                        <a14:shadowObscured xmlns:a14="http://schemas.microsoft.com/office/drawing/2010/main"/>
                      </a:ext>
                    </a:extLst>
                  </pic:spPr>
                </pic:pic>
              </a:graphicData>
            </a:graphic>
          </wp:inline>
        </w:drawing>
      </w:r>
    </w:p>
    <w:p w14:paraId="62A4AA34" w14:textId="14CEEEDA" w:rsidR="00D97D6C" w:rsidRPr="001D5327" w:rsidRDefault="00D97D6C" w:rsidP="004464B0">
      <w:pPr>
        <w:pStyle w:val="Figure"/>
        <w:rPr>
          <w:rFonts w:cs="Calibri"/>
        </w:rPr>
      </w:pPr>
      <w:bookmarkStart w:id="245" w:name="_Ref442369961"/>
      <w:bookmarkStart w:id="246" w:name="_Toc321399326"/>
      <w:bookmarkStart w:id="247" w:name="_Toc384582854"/>
      <w:bookmarkStart w:id="248" w:name="_Toc443060814"/>
      <w:bookmarkStart w:id="249" w:name="_Toc447275671"/>
      <w:bookmarkStart w:id="250" w:name="_Toc481751989"/>
      <w:bookmarkStart w:id="251" w:name="_Toc36292773"/>
      <w:bookmarkStart w:id="252" w:name="_Toc68786638"/>
      <w:bookmarkStart w:id="253" w:name="_Toc95834073"/>
      <w:bookmarkStart w:id="254" w:name="_Toc164154009"/>
      <w:bookmarkStart w:id="255" w:name="_Toc194674842"/>
      <w:r w:rsidRPr="001D5327">
        <w:rPr>
          <w:rFonts w:cs="Calibri"/>
        </w:rPr>
        <w:t>Figure 3.2.</w:t>
      </w:r>
      <w:r w:rsidRPr="001D5327">
        <w:rPr>
          <w:rFonts w:cs="Calibri"/>
        </w:rPr>
        <w:fldChar w:fldCharType="begin"/>
      </w:r>
      <w:r w:rsidRPr="001D5327">
        <w:rPr>
          <w:rFonts w:cs="Calibri"/>
        </w:rPr>
        <w:instrText xml:space="preserve"> SEQ Figure \* ARABIC \s 2 </w:instrText>
      </w:r>
      <w:r w:rsidRPr="001D5327">
        <w:rPr>
          <w:rFonts w:cs="Calibri"/>
        </w:rPr>
        <w:fldChar w:fldCharType="separate"/>
      </w:r>
      <w:r w:rsidR="00B93180">
        <w:rPr>
          <w:rFonts w:cs="Calibri"/>
          <w:noProof/>
        </w:rPr>
        <w:t>4</w:t>
      </w:r>
      <w:r w:rsidRPr="001D5327">
        <w:rPr>
          <w:rFonts w:cs="Calibri"/>
        </w:rPr>
        <w:fldChar w:fldCharType="end"/>
      </w:r>
      <w:bookmarkEnd w:id="245"/>
      <w:r w:rsidRPr="001D5327">
        <w:rPr>
          <w:rFonts w:cs="Calibri"/>
        </w:rPr>
        <w:t xml:space="preserve"> </w:t>
      </w:r>
      <w:r w:rsidRPr="001D5327">
        <w:rPr>
          <w:rFonts w:cs="Calibri"/>
        </w:rPr>
        <w:tab/>
        <w:t>Carbon dioxide implied emission factor (IEF) – Solid fuel combustion</w:t>
      </w:r>
      <w:bookmarkEnd w:id="246"/>
      <w:bookmarkEnd w:id="247"/>
      <w:bookmarkEnd w:id="248"/>
      <w:bookmarkEnd w:id="249"/>
      <w:bookmarkEnd w:id="250"/>
      <w:r w:rsidR="00636ED3" w:rsidRPr="001D5327">
        <w:rPr>
          <w:rFonts w:cs="Calibri"/>
        </w:rPr>
        <w:t>,</w:t>
      </w:r>
      <w:r w:rsidRPr="001D5327">
        <w:rPr>
          <w:rFonts w:cs="Calibri"/>
        </w:rPr>
        <w:t xml:space="preserve"> from 1990</w:t>
      </w:r>
      <w:r w:rsidR="00D3659D" w:rsidRPr="001D5327">
        <w:rPr>
          <w:rFonts w:cs="Calibri"/>
        </w:rPr>
        <w:t> </w:t>
      </w:r>
      <w:r w:rsidRPr="001D5327">
        <w:rPr>
          <w:rFonts w:cs="Calibri"/>
        </w:rPr>
        <w:t>to</w:t>
      </w:r>
      <w:bookmarkEnd w:id="251"/>
      <w:bookmarkEnd w:id="252"/>
      <w:bookmarkEnd w:id="253"/>
      <w:bookmarkEnd w:id="254"/>
      <w:r w:rsidR="00D3659D" w:rsidRPr="001D5327">
        <w:rPr>
          <w:rFonts w:cs="Calibri"/>
        </w:rPr>
        <w:t> </w:t>
      </w:r>
      <w:r w:rsidR="006A21DD" w:rsidRPr="001D5327">
        <w:rPr>
          <w:rFonts w:cs="Calibri"/>
        </w:rPr>
        <w:t>2023</w:t>
      </w:r>
      <w:bookmarkEnd w:id="255"/>
    </w:p>
    <w:p w14:paraId="62227138" w14:textId="4688D53F" w:rsidR="00D97D6C" w:rsidRPr="001D5327" w:rsidRDefault="004464B0" w:rsidP="00D97D6C">
      <w:pPr>
        <w:pStyle w:val="BodyText"/>
      </w:pPr>
      <w:r w:rsidRPr="001D5327">
        <w:rPr>
          <w:noProof/>
        </w:rPr>
        <w:drawing>
          <wp:inline distT="0" distB="0" distL="0" distR="0" wp14:anchorId="329B3078" wp14:editId="651A6923">
            <wp:extent cx="5138450" cy="2402274"/>
            <wp:effectExtent l="0" t="0" r="5080" b="0"/>
            <wp:docPr id="11975939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3">
                      <a:extLst>
                        <a:ext uri="{28A0092B-C50C-407E-A947-70E740481C1C}">
                          <a14:useLocalDpi xmlns:a14="http://schemas.microsoft.com/office/drawing/2010/main" val="0"/>
                        </a:ext>
                      </a:extLst>
                    </a:blip>
                    <a:srcRect t="2526" b="3972"/>
                    <a:stretch/>
                  </pic:blipFill>
                  <pic:spPr bwMode="auto">
                    <a:xfrm>
                      <a:off x="0" y="0"/>
                      <a:ext cx="5145008" cy="2405340"/>
                    </a:xfrm>
                    <a:prstGeom prst="rect">
                      <a:avLst/>
                    </a:prstGeom>
                    <a:noFill/>
                    <a:ln>
                      <a:noFill/>
                    </a:ln>
                    <a:extLst>
                      <a:ext uri="{53640926-AAD7-44D8-BBD7-CCE9431645EC}">
                        <a14:shadowObscured xmlns:a14="http://schemas.microsoft.com/office/drawing/2010/main"/>
                      </a:ext>
                    </a:extLst>
                  </pic:spPr>
                </pic:pic>
              </a:graphicData>
            </a:graphic>
          </wp:inline>
        </w:drawing>
      </w:r>
    </w:p>
    <w:p w14:paraId="5E5E5380" w14:textId="7888545A" w:rsidR="00D97D6C" w:rsidRPr="001D5327" w:rsidRDefault="00D97D6C" w:rsidP="004464B0">
      <w:pPr>
        <w:pStyle w:val="Figure"/>
        <w:spacing w:before="0" w:after="0"/>
        <w:rPr>
          <w:rFonts w:cs="Calibri"/>
          <w:lang w:eastAsia="en-GB"/>
        </w:rPr>
      </w:pPr>
      <w:bookmarkStart w:id="256" w:name="_Ref442369964"/>
      <w:bookmarkStart w:id="257" w:name="_Toc321399327"/>
      <w:bookmarkStart w:id="258" w:name="_Toc384582855"/>
      <w:bookmarkStart w:id="259" w:name="_Toc443060815"/>
      <w:bookmarkStart w:id="260" w:name="_Toc447275672"/>
      <w:bookmarkStart w:id="261" w:name="_Toc481751990"/>
      <w:bookmarkStart w:id="262" w:name="_Toc36292774"/>
      <w:bookmarkStart w:id="263" w:name="_Toc68786639"/>
      <w:bookmarkStart w:id="264" w:name="_Toc95834074"/>
      <w:bookmarkStart w:id="265" w:name="_Toc164154010"/>
      <w:bookmarkStart w:id="266" w:name="_Toc194674843"/>
      <w:r w:rsidRPr="001D5327">
        <w:rPr>
          <w:rFonts w:cs="Calibri"/>
        </w:rPr>
        <w:t>Figure 3.2.</w:t>
      </w:r>
      <w:r w:rsidRPr="001D5327">
        <w:rPr>
          <w:rFonts w:cs="Calibri"/>
        </w:rPr>
        <w:fldChar w:fldCharType="begin"/>
      </w:r>
      <w:r w:rsidRPr="001D5327">
        <w:rPr>
          <w:rFonts w:cs="Calibri"/>
        </w:rPr>
        <w:instrText xml:space="preserve"> SEQ Figure \* ARABIC \s 2 </w:instrText>
      </w:r>
      <w:r w:rsidRPr="001D5327">
        <w:rPr>
          <w:rFonts w:cs="Calibri"/>
        </w:rPr>
        <w:fldChar w:fldCharType="separate"/>
      </w:r>
      <w:r w:rsidR="00B93180">
        <w:rPr>
          <w:rFonts w:cs="Calibri"/>
          <w:noProof/>
        </w:rPr>
        <w:t>5</w:t>
      </w:r>
      <w:r w:rsidRPr="001D5327">
        <w:rPr>
          <w:rFonts w:cs="Calibri"/>
        </w:rPr>
        <w:fldChar w:fldCharType="end"/>
      </w:r>
      <w:bookmarkEnd w:id="256"/>
      <w:r w:rsidRPr="001D5327">
        <w:rPr>
          <w:rFonts w:cs="Calibri"/>
          <w:lang w:eastAsia="en-GB"/>
        </w:rPr>
        <w:tab/>
        <w:t xml:space="preserve">Carbon dioxide implied emission factor </w:t>
      </w:r>
      <w:r w:rsidRPr="001D5327">
        <w:rPr>
          <w:rFonts w:cs="Calibri"/>
        </w:rPr>
        <w:t>(IEF)</w:t>
      </w:r>
      <w:r w:rsidRPr="001D5327">
        <w:rPr>
          <w:rFonts w:cs="Calibri"/>
          <w:lang w:eastAsia="en-GB"/>
        </w:rPr>
        <w:t xml:space="preserve"> – Gaseous fuel combustion</w:t>
      </w:r>
      <w:bookmarkEnd w:id="257"/>
      <w:bookmarkEnd w:id="258"/>
      <w:bookmarkEnd w:id="259"/>
      <w:bookmarkEnd w:id="260"/>
      <w:bookmarkEnd w:id="261"/>
      <w:r w:rsidR="00636ED3" w:rsidRPr="001D5327">
        <w:rPr>
          <w:rFonts w:cs="Calibri"/>
          <w:lang w:eastAsia="en-GB"/>
        </w:rPr>
        <w:t>,</w:t>
      </w:r>
      <w:r w:rsidRPr="001D5327">
        <w:rPr>
          <w:rFonts w:cs="Calibri"/>
          <w:lang w:eastAsia="en-GB"/>
        </w:rPr>
        <w:t xml:space="preserve"> </w:t>
      </w:r>
      <w:r w:rsidRPr="001D5327">
        <w:rPr>
          <w:rFonts w:cs="Calibri"/>
        </w:rPr>
        <w:t>from 1990</w:t>
      </w:r>
      <w:r w:rsidR="00D3659D" w:rsidRPr="001D5327">
        <w:rPr>
          <w:rFonts w:cs="Calibri"/>
        </w:rPr>
        <w:t> </w:t>
      </w:r>
      <w:r w:rsidRPr="001D5327">
        <w:rPr>
          <w:rFonts w:cs="Calibri"/>
        </w:rPr>
        <w:t>to</w:t>
      </w:r>
      <w:bookmarkEnd w:id="262"/>
      <w:bookmarkEnd w:id="263"/>
      <w:bookmarkEnd w:id="264"/>
      <w:bookmarkEnd w:id="265"/>
      <w:r w:rsidR="00D3659D" w:rsidRPr="001D5327">
        <w:rPr>
          <w:rFonts w:cs="Calibri"/>
        </w:rPr>
        <w:t> </w:t>
      </w:r>
      <w:r w:rsidR="006A21DD" w:rsidRPr="001D5327">
        <w:rPr>
          <w:rFonts w:cs="Calibri"/>
        </w:rPr>
        <w:t>2023</w:t>
      </w:r>
      <w:bookmarkEnd w:id="266"/>
    </w:p>
    <w:p w14:paraId="63B62D64" w14:textId="434AB013" w:rsidR="00D97D6C" w:rsidRPr="001D5327" w:rsidRDefault="004464B0" w:rsidP="00D97D6C">
      <w:pPr>
        <w:pStyle w:val="BodyText"/>
      </w:pPr>
      <w:r w:rsidRPr="001D5327">
        <w:rPr>
          <w:noProof/>
        </w:rPr>
        <w:drawing>
          <wp:inline distT="0" distB="0" distL="0" distR="0" wp14:anchorId="63C4F4DA" wp14:editId="524E86B7">
            <wp:extent cx="5190462" cy="2485292"/>
            <wp:effectExtent l="0" t="0" r="0" b="0"/>
            <wp:docPr id="12341378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a:extLst>
                        <a:ext uri="{28A0092B-C50C-407E-A947-70E740481C1C}">
                          <a14:useLocalDpi xmlns:a14="http://schemas.microsoft.com/office/drawing/2010/main" val="0"/>
                        </a:ext>
                      </a:extLst>
                    </a:blip>
                    <a:srcRect b="4237"/>
                    <a:stretch/>
                  </pic:blipFill>
                  <pic:spPr bwMode="auto">
                    <a:xfrm>
                      <a:off x="0" y="0"/>
                      <a:ext cx="5199543" cy="2489640"/>
                    </a:xfrm>
                    <a:prstGeom prst="rect">
                      <a:avLst/>
                    </a:prstGeom>
                    <a:noFill/>
                    <a:ln>
                      <a:noFill/>
                    </a:ln>
                    <a:extLst>
                      <a:ext uri="{53640926-AAD7-44D8-BBD7-CCE9431645EC}">
                        <a14:shadowObscured xmlns:a14="http://schemas.microsoft.com/office/drawing/2010/main"/>
                      </a:ext>
                    </a:extLst>
                  </pic:spPr>
                </pic:pic>
              </a:graphicData>
            </a:graphic>
          </wp:inline>
        </w:drawing>
      </w:r>
    </w:p>
    <w:p w14:paraId="5EF831A3" w14:textId="1D0A2CD9" w:rsidR="00D97D6C" w:rsidRPr="001D5327" w:rsidRDefault="00D97D6C" w:rsidP="004464B0">
      <w:pPr>
        <w:pStyle w:val="Noteundertable"/>
        <w:spacing w:before="0" w:after="0"/>
        <w:rPr>
          <w:rFonts w:cs="Calibri"/>
        </w:rPr>
      </w:pPr>
      <w:r w:rsidRPr="001D5327">
        <w:rPr>
          <w:rFonts w:cs="Calibri"/>
          <w:b/>
        </w:rPr>
        <w:t>Note:</w:t>
      </w:r>
      <w:r w:rsidRPr="001D5327">
        <w:rPr>
          <w:rFonts w:cs="Calibri"/>
        </w:rPr>
        <w:t xml:space="preserve"> </w:t>
      </w:r>
      <w:r w:rsidRPr="001D5327">
        <w:tab/>
      </w:r>
      <w:r w:rsidRPr="001D5327">
        <w:rPr>
          <w:rFonts w:cs="Calibri"/>
        </w:rPr>
        <w:t>As discussed in section 3.2.2 under ‘Emission factors’, carbon dioxide emission factors for New Zealand natural gas fields are established through gas composition analysis and are known to be high by international standards. t/TJ = tonnes per terajoule.</w:t>
      </w:r>
    </w:p>
    <w:p w14:paraId="72953206" w14:textId="77777777" w:rsidR="00D97D6C" w:rsidRPr="001D5327" w:rsidRDefault="00D97D6C" w:rsidP="00D97D6C">
      <w:pPr>
        <w:pStyle w:val="Heading3"/>
        <w:rPr>
          <w:rFonts w:cs="Calibri"/>
        </w:rPr>
      </w:pPr>
      <w:r w:rsidRPr="001D5327">
        <w:rPr>
          <w:rFonts w:cs="Calibri"/>
        </w:rPr>
        <w:lastRenderedPageBreak/>
        <w:t>3.2.5</w:t>
      </w:r>
      <w:r w:rsidRPr="001D5327">
        <w:rPr>
          <w:rFonts w:cs="Calibri"/>
        </w:rPr>
        <w:tab/>
        <w:t>Sector-wide recalculations</w:t>
      </w:r>
    </w:p>
    <w:p w14:paraId="67271647" w14:textId="77777777" w:rsidR="00D97D6C" w:rsidRPr="001D5327" w:rsidRDefault="00D97D6C" w:rsidP="00D97D6C">
      <w:pPr>
        <w:pStyle w:val="BodyText"/>
      </w:pPr>
      <w:r w:rsidRPr="001D5327">
        <w:t xml:space="preserve">There have been no sector-wide recalculations. Any category-specific recalculations are described in their relevant sections. </w:t>
      </w:r>
    </w:p>
    <w:p w14:paraId="618EA0B8" w14:textId="77777777" w:rsidR="00D97D6C" w:rsidRPr="001D5327" w:rsidRDefault="00D97D6C" w:rsidP="004455EA">
      <w:pPr>
        <w:pStyle w:val="Heading3"/>
        <w:spacing w:before="320"/>
        <w:rPr>
          <w:rFonts w:cs="Calibri"/>
        </w:rPr>
      </w:pPr>
      <w:r w:rsidRPr="001D5327">
        <w:rPr>
          <w:rFonts w:cs="Calibri"/>
        </w:rPr>
        <w:t>3.2.6</w:t>
      </w:r>
      <w:r w:rsidRPr="001D5327">
        <w:rPr>
          <w:rFonts w:cs="Calibri"/>
        </w:rPr>
        <w:tab/>
        <w:t>Sector-wide planned improvements</w:t>
      </w:r>
    </w:p>
    <w:p w14:paraId="41FEF8F3" w14:textId="05405FE8" w:rsidR="00D97D6C" w:rsidRPr="001D5327" w:rsidRDefault="00BE075B" w:rsidP="00D97D6C">
      <w:pPr>
        <w:pStyle w:val="BodyText"/>
        <w:rPr>
          <w:rFonts w:cs="Calibri"/>
        </w:rPr>
      </w:pPr>
      <w:r w:rsidRPr="001D5327">
        <w:rPr>
          <w:rFonts w:cs="Calibri"/>
        </w:rPr>
        <w:t>There are no sector-wide planned improvements.</w:t>
      </w:r>
      <w:r w:rsidR="0056604D" w:rsidRPr="001D5327">
        <w:rPr>
          <w:rFonts w:cs="Calibri"/>
        </w:rPr>
        <w:t xml:space="preserve"> </w:t>
      </w:r>
      <w:r w:rsidR="00D97D6C" w:rsidRPr="001D5327">
        <w:rPr>
          <w:rFonts w:cs="Calibri"/>
        </w:rPr>
        <w:t xml:space="preserve">All category-specific planned improvements are discussed in their corresponding sections. </w:t>
      </w:r>
    </w:p>
    <w:p w14:paraId="6DA14A22" w14:textId="77777777" w:rsidR="00D97D6C" w:rsidRPr="001D5327" w:rsidRDefault="00D97D6C" w:rsidP="004455EA">
      <w:pPr>
        <w:pStyle w:val="Heading3"/>
        <w:spacing w:before="320"/>
      </w:pPr>
      <w:bookmarkStart w:id="267" w:name="_Ref189640217"/>
      <w:r w:rsidRPr="001D5327">
        <w:t>3.2.7</w:t>
      </w:r>
      <w:r w:rsidRPr="001D5327">
        <w:tab/>
        <w:t>Fuel combustion: Energy industries (CRT 1.A.1)</w:t>
      </w:r>
      <w:bookmarkEnd w:id="267"/>
    </w:p>
    <w:p w14:paraId="5FA5DB9B" w14:textId="77777777" w:rsidR="00D97D6C" w:rsidRPr="001D5327" w:rsidRDefault="00D97D6C" w:rsidP="00D97D6C">
      <w:pPr>
        <w:pStyle w:val="Heading4"/>
      </w:pPr>
      <w:r w:rsidRPr="001D5327">
        <w:t>Category description</w:t>
      </w:r>
    </w:p>
    <w:p w14:paraId="78E6C0D1" w14:textId="156844DF" w:rsidR="00D97D6C" w:rsidRPr="001D5327" w:rsidRDefault="00D97D6C" w:rsidP="00D97D6C">
      <w:pPr>
        <w:pStyle w:val="BodyText"/>
        <w:rPr>
          <w:rFonts w:cs="Calibri"/>
          <w:lang w:eastAsia="en-GB"/>
        </w:rPr>
      </w:pPr>
      <w:r w:rsidRPr="001D5327">
        <w:rPr>
          <w:rFonts w:cs="Calibri"/>
          <w:lang w:eastAsia="en-GB"/>
        </w:rPr>
        <w:t xml:space="preserve">This category includes combustion for public electricity and heat production, petroleum refining, the manufacture of solid fuels and other energy industries. The latter category includes estimates for natural gas in oil and gas extraction and from natural gas used in synthetic gasoline production. </w:t>
      </w:r>
    </w:p>
    <w:p w14:paraId="47800743" w14:textId="502B68A0" w:rsidR="00D97D6C" w:rsidRPr="001D5327" w:rsidRDefault="00D97D6C" w:rsidP="00D97D6C">
      <w:pPr>
        <w:pStyle w:val="BodyText"/>
        <w:rPr>
          <w:rFonts w:cs="Calibri"/>
          <w:lang w:eastAsia="en-GB"/>
        </w:rPr>
      </w:pPr>
      <w:r w:rsidRPr="001D5327">
        <w:rPr>
          <w:rFonts w:cs="Calibri"/>
          <w:lang w:eastAsia="en-GB"/>
        </w:rPr>
        <w:t xml:space="preserve">In </w:t>
      </w:r>
      <w:r w:rsidR="006A21DD" w:rsidRPr="001D5327">
        <w:rPr>
          <w:rFonts w:cs="Calibri"/>
        </w:rPr>
        <w:t>2023</w:t>
      </w:r>
      <w:r w:rsidRPr="001D5327">
        <w:rPr>
          <w:rFonts w:cs="Calibri"/>
          <w:lang w:eastAsia="en-GB"/>
        </w:rPr>
        <w:t xml:space="preserve">, emissions in category 1.A.1 </w:t>
      </w:r>
      <w:r w:rsidRPr="001D5327">
        <w:rPr>
          <w:rFonts w:cs="Calibri"/>
          <w:i/>
          <w:lang w:eastAsia="en-GB"/>
        </w:rPr>
        <w:t>Energy industries</w:t>
      </w:r>
      <w:r w:rsidRPr="001D5327">
        <w:rPr>
          <w:rFonts w:cs="Calibri"/>
          <w:lang w:eastAsia="en-GB"/>
        </w:rPr>
        <w:t xml:space="preserve"> totalled </w:t>
      </w:r>
      <w:r w:rsidR="00112372" w:rsidRPr="001D5327">
        <w:rPr>
          <w:rFonts w:cs="Calibri"/>
          <w:lang w:eastAsia="en-GB"/>
        </w:rPr>
        <w:t>2,939.7</w:t>
      </w:r>
      <w:r w:rsidRPr="001D5327">
        <w:rPr>
          <w:rFonts w:cs="Calibri"/>
        </w:rPr>
        <w:t xml:space="preserve"> </w:t>
      </w:r>
      <w:r w:rsidRPr="001D5327">
        <w:rPr>
          <w:rFonts w:cs="Calibri"/>
          <w:lang w:eastAsia="en-GB"/>
        </w:rPr>
        <w:t>kt CO</w:t>
      </w:r>
      <w:r w:rsidRPr="001D5327">
        <w:rPr>
          <w:rFonts w:cs="Calibri"/>
          <w:vertAlign w:val="subscript"/>
          <w:lang w:eastAsia="en-GB"/>
        </w:rPr>
        <w:t>2</w:t>
      </w:r>
      <w:r w:rsidRPr="001D5327">
        <w:rPr>
          <w:rFonts w:cs="Calibri"/>
          <w:lang w:eastAsia="en-GB"/>
        </w:rPr>
        <w:t>-e (</w:t>
      </w:r>
      <w:r w:rsidRPr="001D5327">
        <w:rPr>
          <w:rFonts w:cs="Calibri"/>
        </w:rPr>
        <w:t>10.</w:t>
      </w:r>
      <w:r w:rsidR="00112372" w:rsidRPr="001D5327">
        <w:rPr>
          <w:rFonts w:cs="Calibri"/>
        </w:rPr>
        <w:t>2</w:t>
      </w:r>
      <w:r w:rsidR="00866B23" w:rsidRPr="001D5327">
        <w:rPr>
          <w:rFonts w:cs="Calibri"/>
        </w:rPr>
        <w:t> </w:t>
      </w:r>
      <w:r w:rsidRPr="001D5327">
        <w:rPr>
          <w:rFonts w:cs="Calibri"/>
        </w:rPr>
        <w:t>per cent</w:t>
      </w:r>
      <w:r w:rsidRPr="001D5327">
        <w:rPr>
          <w:rFonts w:cs="Calibri"/>
          <w:lang w:eastAsia="en-GB"/>
        </w:rPr>
        <w:t xml:space="preserve"> </w:t>
      </w:r>
      <w:r w:rsidRPr="001D5327">
        <w:rPr>
          <w:rFonts w:cs="Calibri"/>
          <w:spacing w:val="-2"/>
          <w:lang w:eastAsia="en-GB"/>
        </w:rPr>
        <w:t xml:space="preserve">of the Energy sector emissions). Emissions from energy industries in </w:t>
      </w:r>
      <w:r w:rsidR="006A21DD" w:rsidRPr="001D5327">
        <w:rPr>
          <w:rFonts w:cs="Calibri"/>
          <w:spacing w:val="-2"/>
          <w:lang w:eastAsia="en-GB"/>
        </w:rPr>
        <w:t>2023</w:t>
      </w:r>
      <w:r w:rsidRPr="001D5327">
        <w:rPr>
          <w:rFonts w:cs="Calibri"/>
          <w:spacing w:val="-2"/>
          <w:lang w:eastAsia="en-GB"/>
        </w:rPr>
        <w:t xml:space="preserve"> were</w:t>
      </w:r>
      <w:r w:rsidRPr="001D5327">
        <w:rPr>
          <w:rFonts w:cs="Calibri"/>
          <w:spacing w:val="-2"/>
        </w:rPr>
        <w:t xml:space="preserve"> </w:t>
      </w:r>
      <w:r w:rsidR="00112372" w:rsidRPr="001D5327">
        <w:rPr>
          <w:rFonts w:cs="Calibri"/>
          <w:spacing w:val="-2"/>
        </w:rPr>
        <w:t>3,034.4</w:t>
      </w:r>
      <w:r w:rsidRPr="001D5327">
        <w:rPr>
          <w:rFonts w:cs="Calibri"/>
          <w:spacing w:val="-2"/>
        </w:rPr>
        <w:t xml:space="preserve"> </w:t>
      </w:r>
      <w:r w:rsidRPr="001D5327">
        <w:rPr>
          <w:rFonts w:cs="Calibri"/>
          <w:spacing w:val="-2"/>
          <w:lang w:eastAsia="en-GB"/>
        </w:rPr>
        <w:t>kt CO</w:t>
      </w:r>
      <w:r w:rsidRPr="001D5327">
        <w:rPr>
          <w:rFonts w:cs="Calibri"/>
          <w:spacing w:val="-2"/>
          <w:vertAlign w:val="subscript"/>
          <w:lang w:eastAsia="en-GB"/>
        </w:rPr>
        <w:t>2</w:t>
      </w:r>
      <w:r w:rsidRPr="001D5327">
        <w:rPr>
          <w:rFonts w:cs="Calibri"/>
          <w:spacing w:val="-2"/>
          <w:lang w:eastAsia="en-GB"/>
        </w:rPr>
        <w:noBreakHyphen/>
        <w:t>e</w:t>
      </w:r>
      <w:r w:rsidRPr="001D5327">
        <w:rPr>
          <w:rFonts w:cs="Calibri"/>
          <w:lang w:eastAsia="en-GB"/>
        </w:rPr>
        <w:t xml:space="preserve"> (</w:t>
      </w:r>
      <w:r w:rsidR="00866B23" w:rsidRPr="001D5327">
        <w:rPr>
          <w:rFonts w:cs="Calibri"/>
          <w:lang w:eastAsia="en-GB"/>
        </w:rPr>
        <w:t>50.</w:t>
      </w:r>
      <w:r w:rsidR="00112372" w:rsidRPr="001D5327">
        <w:rPr>
          <w:rFonts w:cs="Calibri"/>
          <w:lang w:eastAsia="en-GB"/>
        </w:rPr>
        <w:t>8</w:t>
      </w:r>
      <w:r w:rsidRPr="001D5327">
        <w:rPr>
          <w:rFonts w:cs="Calibri"/>
        </w:rPr>
        <w:t xml:space="preserve"> per cent</w:t>
      </w:r>
      <w:r w:rsidRPr="001D5327">
        <w:rPr>
          <w:rFonts w:cs="Calibri"/>
          <w:lang w:eastAsia="en-GB"/>
        </w:rPr>
        <w:t xml:space="preserve">) lower than the 1990 level of </w:t>
      </w:r>
      <w:r w:rsidR="00112372" w:rsidRPr="001D5327">
        <w:rPr>
          <w:rFonts w:cs="Calibri"/>
        </w:rPr>
        <w:t>5,974.1</w:t>
      </w:r>
      <w:r w:rsidRPr="001D5327">
        <w:rPr>
          <w:rFonts w:cs="Calibri"/>
        </w:rPr>
        <w:t xml:space="preserve"> </w:t>
      </w:r>
      <w:r w:rsidRPr="001D5327">
        <w:rPr>
          <w:rFonts w:cs="Calibri"/>
          <w:lang w:eastAsia="en-GB"/>
        </w:rPr>
        <w:t>kt CO</w:t>
      </w:r>
      <w:r w:rsidRPr="001D5327">
        <w:rPr>
          <w:rFonts w:cs="Calibri"/>
          <w:vertAlign w:val="subscript"/>
          <w:lang w:eastAsia="en-GB"/>
        </w:rPr>
        <w:t>2</w:t>
      </w:r>
      <w:r w:rsidRPr="001D5327">
        <w:rPr>
          <w:rFonts w:cs="Calibri"/>
          <w:lang w:eastAsia="en-GB"/>
        </w:rPr>
        <w:t xml:space="preserve">-e. Category 1.A.1.a </w:t>
      </w:r>
      <w:r w:rsidRPr="001D5327">
        <w:rPr>
          <w:rFonts w:cs="Calibri"/>
          <w:i/>
          <w:lang w:eastAsia="en-GB"/>
        </w:rPr>
        <w:t>Public electricity and heat production</w:t>
      </w:r>
      <w:r w:rsidRPr="001D5327">
        <w:rPr>
          <w:rFonts w:cs="Calibri"/>
          <w:lang w:eastAsia="en-GB"/>
        </w:rPr>
        <w:t xml:space="preserve"> was the largest contributor to this sector, accounting for </w:t>
      </w:r>
      <w:r w:rsidRPr="001D5327">
        <w:rPr>
          <w:rFonts w:cs="Calibri"/>
          <w:spacing w:val="-2"/>
          <w:lang w:eastAsia="en-GB"/>
        </w:rPr>
        <w:t>2,7</w:t>
      </w:r>
      <w:r w:rsidR="00866B23" w:rsidRPr="001D5327">
        <w:rPr>
          <w:rFonts w:cs="Calibri"/>
          <w:spacing w:val="-2"/>
          <w:lang w:eastAsia="en-GB"/>
        </w:rPr>
        <w:t>37.3</w:t>
      </w:r>
      <w:r w:rsidRPr="001D5327">
        <w:rPr>
          <w:rFonts w:cs="Calibri"/>
          <w:spacing w:val="-2"/>
          <w:lang w:eastAsia="en-GB"/>
        </w:rPr>
        <w:t> kt CO</w:t>
      </w:r>
      <w:r w:rsidRPr="001D5327">
        <w:rPr>
          <w:rFonts w:cs="Calibri"/>
          <w:spacing w:val="-2"/>
          <w:vertAlign w:val="subscript"/>
          <w:lang w:eastAsia="en-GB"/>
        </w:rPr>
        <w:t>2</w:t>
      </w:r>
      <w:r w:rsidRPr="001D5327">
        <w:rPr>
          <w:rFonts w:cs="Calibri"/>
          <w:spacing w:val="-2"/>
          <w:lang w:eastAsia="en-GB"/>
        </w:rPr>
        <w:t xml:space="preserve">-e of emissions from the </w:t>
      </w:r>
      <w:r w:rsidRPr="001D5327">
        <w:rPr>
          <w:rFonts w:cs="Calibri"/>
          <w:i/>
          <w:spacing w:val="-2"/>
          <w:lang w:eastAsia="en-GB"/>
        </w:rPr>
        <w:t>Energy industries</w:t>
      </w:r>
      <w:r w:rsidRPr="001D5327">
        <w:rPr>
          <w:rFonts w:cs="Calibri"/>
          <w:spacing w:val="-2"/>
          <w:lang w:eastAsia="en-GB"/>
        </w:rPr>
        <w:t xml:space="preserve"> category in </w:t>
      </w:r>
      <w:r w:rsidR="006A21DD" w:rsidRPr="001D5327">
        <w:rPr>
          <w:rFonts w:cs="Calibri"/>
          <w:spacing w:val="-2"/>
        </w:rPr>
        <w:t>2023</w:t>
      </w:r>
      <w:r w:rsidRPr="001D5327">
        <w:rPr>
          <w:rFonts w:cs="Calibri"/>
          <w:spacing w:val="-2"/>
          <w:lang w:eastAsia="en-GB"/>
        </w:rPr>
        <w:t>. This is 7</w:t>
      </w:r>
      <w:r w:rsidR="00866B23" w:rsidRPr="001D5327">
        <w:rPr>
          <w:rFonts w:cs="Calibri"/>
          <w:spacing w:val="-2"/>
          <w:lang w:eastAsia="en-GB"/>
        </w:rPr>
        <w:t>52.6</w:t>
      </w:r>
      <w:r w:rsidRPr="001D5327">
        <w:rPr>
          <w:rFonts w:cs="Calibri"/>
          <w:spacing w:val="-2"/>
        </w:rPr>
        <w:t> </w:t>
      </w:r>
      <w:r w:rsidRPr="001D5327">
        <w:rPr>
          <w:rFonts w:cs="Calibri"/>
          <w:spacing w:val="-2"/>
          <w:lang w:eastAsia="en-GB"/>
        </w:rPr>
        <w:t>kt CO</w:t>
      </w:r>
      <w:r w:rsidRPr="001D5327">
        <w:rPr>
          <w:rFonts w:cs="Calibri"/>
          <w:spacing w:val="-2"/>
          <w:vertAlign w:val="subscript"/>
          <w:lang w:eastAsia="en-GB"/>
        </w:rPr>
        <w:t>2</w:t>
      </w:r>
      <w:r w:rsidRPr="001D5327">
        <w:rPr>
          <w:rFonts w:cs="Calibri"/>
          <w:spacing w:val="-2"/>
          <w:lang w:eastAsia="en-GB"/>
        </w:rPr>
        <w:noBreakHyphen/>
        <w:t>e</w:t>
      </w:r>
      <w:r w:rsidRPr="001D5327">
        <w:rPr>
          <w:rFonts w:cs="Calibri"/>
          <w:lang w:eastAsia="en-GB"/>
        </w:rPr>
        <w:t xml:space="preserve"> (2</w:t>
      </w:r>
      <w:r w:rsidR="00866B23" w:rsidRPr="001D5327">
        <w:rPr>
          <w:rFonts w:cs="Calibri"/>
          <w:lang w:eastAsia="en-GB"/>
        </w:rPr>
        <w:t>1.6</w:t>
      </w:r>
      <w:r w:rsidRPr="001D5327">
        <w:rPr>
          <w:rFonts w:cs="Calibri"/>
        </w:rPr>
        <w:t> per cent</w:t>
      </w:r>
      <w:r w:rsidRPr="001D5327">
        <w:rPr>
          <w:rFonts w:cs="Calibri"/>
          <w:lang w:eastAsia="en-GB"/>
        </w:rPr>
        <w:t xml:space="preserve">) lower than the 1990 level of </w:t>
      </w:r>
      <w:r w:rsidRPr="001D5327">
        <w:rPr>
          <w:rFonts w:cs="Calibri"/>
        </w:rPr>
        <w:t>3,489.9 </w:t>
      </w:r>
      <w:r w:rsidRPr="001D5327">
        <w:rPr>
          <w:rFonts w:cs="Calibri"/>
          <w:lang w:eastAsia="en-GB"/>
        </w:rPr>
        <w:t>kt CO</w:t>
      </w:r>
      <w:r w:rsidRPr="001D5327">
        <w:rPr>
          <w:rFonts w:cs="Calibri"/>
          <w:vertAlign w:val="subscript"/>
          <w:lang w:eastAsia="en-GB"/>
        </w:rPr>
        <w:t>2</w:t>
      </w:r>
      <w:r w:rsidRPr="001D5327">
        <w:rPr>
          <w:rFonts w:cs="Calibri"/>
          <w:lang w:eastAsia="en-GB"/>
        </w:rPr>
        <w:t>-e.</w:t>
      </w:r>
    </w:p>
    <w:p w14:paraId="15A38091" w14:textId="57F26C35" w:rsidR="00D97D6C" w:rsidRPr="001D5327" w:rsidRDefault="00D97D6C" w:rsidP="00D97D6C">
      <w:pPr>
        <w:pStyle w:val="Heading4"/>
      </w:pPr>
      <w:r w:rsidRPr="001D5327">
        <w:rPr>
          <w:lang w:eastAsia="en-GB"/>
        </w:rPr>
        <w:t xml:space="preserve">Changes in emissions between </w:t>
      </w:r>
      <w:r w:rsidR="00704343" w:rsidRPr="001D5327">
        <w:t>2022</w:t>
      </w:r>
      <w:r w:rsidRPr="001D5327">
        <w:t xml:space="preserve"> </w:t>
      </w:r>
      <w:r w:rsidRPr="001D5327">
        <w:rPr>
          <w:lang w:eastAsia="en-GB"/>
        </w:rPr>
        <w:t xml:space="preserve">and </w:t>
      </w:r>
      <w:r w:rsidR="006A21DD" w:rsidRPr="001D5327">
        <w:t>2023</w:t>
      </w:r>
    </w:p>
    <w:p w14:paraId="3C87EB61" w14:textId="0D113E79" w:rsidR="00D97D6C" w:rsidRPr="001D5327" w:rsidRDefault="00D97D6C" w:rsidP="00D97D6C">
      <w:pPr>
        <w:pStyle w:val="BodyText"/>
        <w:rPr>
          <w:rFonts w:cs="Calibri"/>
          <w:lang w:eastAsia="en-GB"/>
        </w:rPr>
      </w:pPr>
      <w:r w:rsidRPr="001D5327">
        <w:rPr>
          <w:rFonts w:cs="Calibri"/>
          <w:lang w:eastAsia="en-GB"/>
        </w:rPr>
        <w:t xml:space="preserve">Between </w:t>
      </w:r>
      <w:r w:rsidR="00704343" w:rsidRPr="001D5327">
        <w:rPr>
          <w:rFonts w:cs="Calibri"/>
        </w:rPr>
        <w:t>2022</w:t>
      </w:r>
      <w:r w:rsidRPr="001D5327">
        <w:rPr>
          <w:rFonts w:cs="Calibri"/>
        </w:rPr>
        <w:t xml:space="preserve"> </w:t>
      </w:r>
      <w:r w:rsidRPr="001D5327">
        <w:rPr>
          <w:rFonts w:cs="Calibri"/>
          <w:lang w:eastAsia="en-GB"/>
        </w:rPr>
        <w:t xml:space="preserve">and </w:t>
      </w:r>
      <w:r w:rsidR="006A21DD" w:rsidRPr="001D5327">
        <w:rPr>
          <w:rFonts w:cs="Calibri"/>
        </w:rPr>
        <w:t>2023</w:t>
      </w:r>
      <w:r w:rsidRPr="001D5327">
        <w:rPr>
          <w:rFonts w:cs="Calibri"/>
          <w:lang w:eastAsia="en-GB"/>
        </w:rPr>
        <w:t xml:space="preserve">, emissions from 1.A.1.a </w:t>
      </w:r>
      <w:r w:rsidRPr="001D5327">
        <w:rPr>
          <w:rFonts w:cs="Calibri"/>
          <w:i/>
          <w:lang w:eastAsia="en-GB"/>
        </w:rPr>
        <w:t>Public electricity and heat production</w:t>
      </w:r>
      <w:r w:rsidRPr="001D5327">
        <w:rPr>
          <w:rFonts w:cs="Calibri"/>
          <w:lang w:eastAsia="en-GB"/>
        </w:rPr>
        <w:t xml:space="preserve"> </w:t>
      </w:r>
      <w:r w:rsidRPr="001D5327">
        <w:rPr>
          <w:rFonts w:cs="Calibri"/>
        </w:rPr>
        <w:t xml:space="preserve">decreased by </w:t>
      </w:r>
      <w:r w:rsidR="00866B23" w:rsidRPr="001D5327">
        <w:rPr>
          <w:rFonts w:cs="Calibri"/>
        </w:rPr>
        <w:t>153.5</w:t>
      </w:r>
      <w:r w:rsidRPr="001D5327">
        <w:rPr>
          <w:rFonts w:cs="Calibri"/>
        </w:rPr>
        <w:t xml:space="preserve"> </w:t>
      </w:r>
      <w:r w:rsidRPr="001D5327">
        <w:rPr>
          <w:rFonts w:cs="Calibri"/>
          <w:lang w:eastAsia="en-GB"/>
        </w:rPr>
        <w:t>kt CO</w:t>
      </w:r>
      <w:r w:rsidRPr="001D5327">
        <w:rPr>
          <w:rFonts w:cs="Calibri"/>
          <w:vertAlign w:val="subscript"/>
          <w:lang w:eastAsia="en-GB"/>
        </w:rPr>
        <w:t>2</w:t>
      </w:r>
      <w:r w:rsidRPr="001D5327">
        <w:rPr>
          <w:rFonts w:cs="Calibri"/>
          <w:lang w:eastAsia="en-GB"/>
        </w:rPr>
        <w:t>-e (</w:t>
      </w:r>
      <w:r w:rsidR="00866B23" w:rsidRPr="001D5327">
        <w:rPr>
          <w:rFonts w:cs="Calibri"/>
          <w:lang w:eastAsia="en-GB"/>
        </w:rPr>
        <w:t>5.3</w:t>
      </w:r>
      <w:r w:rsidRPr="001D5327">
        <w:rPr>
          <w:rFonts w:cs="Calibri"/>
        </w:rPr>
        <w:t xml:space="preserve"> per cent</w:t>
      </w:r>
      <w:r w:rsidRPr="001D5327">
        <w:rPr>
          <w:rFonts w:cs="Calibri"/>
          <w:lang w:eastAsia="en-GB"/>
        </w:rPr>
        <w:t xml:space="preserve">). </w:t>
      </w:r>
      <w:r w:rsidR="005C5280" w:rsidRPr="001D5327">
        <w:rPr>
          <w:rFonts w:cs="Calibri"/>
          <w:lang w:eastAsia="en-GB"/>
        </w:rPr>
        <w:t>T</w:t>
      </w:r>
      <w:r w:rsidRPr="001D5327">
        <w:rPr>
          <w:rFonts w:cs="Calibri"/>
          <w:lang w:eastAsia="en-GB"/>
        </w:rPr>
        <w:t>he</w:t>
      </w:r>
      <w:r w:rsidRPr="001D5327">
        <w:rPr>
          <w:rFonts w:cs="Calibri"/>
        </w:rPr>
        <w:t xml:space="preserve"> share of electricity generated from renewable energy sources increased from 8</w:t>
      </w:r>
      <w:r w:rsidR="00866B23" w:rsidRPr="001D5327">
        <w:rPr>
          <w:rFonts w:cs="Calibri"/>
        </w:rPr>
        <w:t>7</w:t>
      </w:r>
      <w:r w:rsidRPr="001D5327">
        <w:rPr>
          <w:rFonts w:cs="Calibri"/>
        </w:rPr>
        <w:t xml:space="preserve"> per cent to 8</w:t>
      </w:r>
      <w:r w:rsidR="00866B23" w:rsidRPr="001D5327">
        <w:rPr>
          <w:rFonts w:cs="Calibri"/>
        </w:rPr>
        <w:t>8</w:t>
      </w:r>
      <w:r w:rsidRPr="001D5327">
        <w:rPr>
          <w:rFonts w:cs="Calibri"/>
        </w:rPr>
        <w:t xml:space="preserve"> per cent over this period, due mainly to higher </w:t>
      </w:r>
      <w:r w:rsidR="00866B23" w:rsidRPr="001D5327">
        <w:rPr>
          <w:rFonts w:cs="Calibri"/>
        </w:rPr>
        <w:t xml:space="preserve">wind and </w:t>
      </w:r>
      <w:r w:rsidRPr="001D5327">
        <w:rPr>
          <w:rFonts w:cs="Calibri"/>
        </w:rPr>
        <w:t>hydro generation</w:t>
      </w:r>
      <w:r w:rsidR="00832F3E" w:rsidRPr="001D5327">
        <w:rPr>
          <w:rFonts w:cs="Calibri"/>
        </w:rPr>
        <w:t xml:space="preserve"> in response to favourable weather patterns</w:t>
      </w:r>
      <w:r w:rsidRPr="001D5327">
        <w:rPr>
          <w:rFonts w:cs="Calibri"/>
        </w:rPr>
        <w:t xml:space="preserve">. The increased renewable generation displaced gas and coal-fired generation, which together </w:t>
      </w:r>
      <w:r w:rsidRPr="001D5327">
        <w:rPr>
          <w:rFonts w:cs="Calibri"/>
          <w:lang w:eastAsia="en-GB"/>
        </w:rPr>
        <w:t xml:space="preserve">decreased </w:t>
      </w:r>
      <w:r w:rsidR="00832F3E" w:rsidRPr="001D5327">
        <w:rPr>
          <w:rFonts w:cs="Calibri"/>
          <w:lang w:eastAsia="en-GB"/>
        </w:rPr>
        <w:t>7.8</w:t>
      </w:r>
      <w:r w:rsidR="00EA7D59" w:rsidRPr="001D5327">
        <w:rPr>
          <w:rFonts w:cs="Calibri"/>
          <w:lang w:eastAsia="en-GB"/>
        </w:rPr>
        <w:t> </w:t>
      </w:r>
      <w:r w:rsidRPr="001D5327">
        <w:rPr>
          <w:rFonts w:cs="Calibri"/>
          <w:lang w:eastAsia="en-GB"/>
        </w:rPr>
        <w:t xml:space="preserve">per cent from </w:t>
      </w:r>
      <w:r w:rsidR="00704343" w:rsidRPr="001D5327">
        <w:rPr>
          <w:rFonts w:cs="Calibri"/>
        </w:rPr>
        <w:t>2022</w:t>
      </w:r>
      <w:r w:rsidRPr="001D5327">
        <w:rPr>
          <w:rFonts w:cs="Calibri"/>
          <w:lang w:eastAsia="en-GB"/>
        </w:rPr>
        <w:t>.</w:t>
      </w:r>
    </w:p>
    <w:p w14:paraId="455DC4A0" w14:textId="61171735" w:rsidR="00D97D6C" w:rsidRPr="001D5327" w:rsidRDefault="00D97D6C" w:rsidP="00D97D6C">
      <w:pPr>
        <w:pStyle w:val="BodyText"/>
        <w:rPr>
          <w:rFonts w:cs="Calibri"/>
          <w:lang w:eastAsia="en-GB"/>
        </w:rPr>
      </w:pPr>
      <w:r w:rsidRPr="001D5327">
        <w:rPr>
          <w:rFonts w:cs="Calibri"/>
          <w:spacing w:val="-2"/>
          <w:lang w:eastAsia="en-GB"/>
        </w:rPr>
        <w:t xml:space="preserve">Between </w:t>
      </w:r>
      <w:r w:rsidR="00704343" w:rsidRPr="001D5327">
        <w:rPr>
          <w:rFonts w:cs="Calibri"/>
          <w:spacing w:val="-2"/>
        </w:rPr>
        <w:t>2022</w:t>
      </w:r>
      <w:r w:rsidRPr="001D5327">
        <w:rPr>
          <w:rFonts w:cs="Calibri"/>
          <w:spacing w:val="-2"/>
        </w:rPr>
        <w:t xml:space="preserve"> </w:t>
      </w:r>
      <w:r w:rsidRPr="001D5327">
        <w:rPr>
          <w:rFonts w:cs="Calibri"/>
          <w:spacing w:val="-2"/>
          <w:lang w:eastAsia="en-GB"/>
        </w:rPr>
        <w:t xml:space="preserve">and </w:t>
      </w:r>
      <w:r w:rsidR="006A21DD" w:rsidRPr="001D5327">
        <w:rPr>
          <w:rFonts w:cs="Calibri"/>
          <w:spacing w:val="-2"/>
        </w:rPr>
        <w:t>2023</w:t>
      </w:r>
      <w:r w:rsidRPr="001D5327">
        <w:rPr>
          <w:rFonts w:cs="Calibri"/>
          <w:spacing w:val="-2"/>
          <w:lang w:eastAsia="en-GB"/>
        </w:rPr>
        <w:t xml:space="preserve">, emissions from 1.A.1.b </w:t>
      </w:r>
      <w:r w:rsidRPr="001D5327">
        <w:rPr>
          <w:rFonts w:cs="Calibri"/>
          <w:i/>
          <w:spacing w:val="-2"/>
          <w:lang w:eastAsia="en-GB"/>
        </w:rPr>
        <w:t xml:space="preserve">Petroleum refining </w:t>
      </w:r>
      <w:r w:rsidRPr="001D5327">
        <w:rPr>
          <w:rFonts w:cs="Calibri"/>
          <w:spacing w:val="-2"/>
        </w:rPr>
        <w:t xml:space="preserve">decreased by </w:t>
      </w:r>
      <w:r w:rsidR="00112372" w:rsidRPr="001D5327">
        <w:rPr>
          <w:rFonts w:cs="Calibri"/>
          <w:spacing w:val="-2"/>
        </w:rPr>
        <w:t>166.1</w:t>
      </w:r>
      <w:r w:rsidRPr="001D5327">
        <w:rPr>
          <w:rFonts w:cs="Calibri"/>
          <w:spacing w:val="-2"/>
        </w:rPr>
        <w:t xml:space="preserve"> </w:t>
      </w:r>
      <w:r w:rsidRPr="001D5327">
        <w:rPr>
          <w:rFonts w:cs="Calibri"/>
          <w:spacing w:val="-2"/>
          <w:lang w:eastAsia="en-GB"/>
        </w:rPr>
        <w:t>kt CO</w:t>
      </w:r>
      <w:r w:rsidRPr="001D5327">
        <w:rPr>
          <w:rFonts w:cs="Calibri"/>
          <w:spacing w:val="-2"/>
          <w:vertAlign w:val="subscript"/>
          <w:lang w:eastAsia="en-GB"/>
        </w:rPr>
        <w:t>2</w:t>
      </w:r>
      <w:r w:rsidRPr="001D5327">
        <w:rPr>
          <w:rFonts w:cs="Calibri"/>
          <w:spacing w:val="-2"/>
          <w:lang w:eastAsia="en-GB"/>
        </w:rPr>
        <w:noBreakHyphen/>
        <w:t>e</w:t>
      </w:r>
      <w:r w:rsidRPr="001D5327">
        <w:rPr>
          <w:rFonts w:cs="Calibri"/>
          <w:lang w:eastAsia="en-GB"/>
        </w:rPr>
        <w:t xml:space="preserve"> (</w:t>
      </w:r>
      <w:r w:rsidR="008F7016" w:rsidRPr="001D5327">
        <w:rPr>
          <w:rFonts w:cs="Calibri"/>
          <w:lang w:eastAsia="en-GB"/>
        </w:rPr>
        <w:t>100.0</w:t>
      </w:r>
      <w:r w:rsidRPr="001D5327">
        <w:rPr>
          <w:rFonts w:cs="Calibri"/>
        </w:rPr>
        <w:t xml:space="preserve"> per cent</w:t>
      </w:r>
      <w:r w:rsidRPr="001D5327">
        <w:rPr>
          <w:rFonts w:cs="Calibri"/>
          <w:lang w:eastAsia="en-GB"/>
        </w:rPr>
        <w:t xml:space="preserve">). This was due to the closure of </w:t>
      </w:r>
      <w:r w:rsidR="00525304" w:rsidRPr="001D5327">
        <w:rPr>
          <w:rFonts w:cs="Calibri"/>
          <w:lang w:eastAsia="en-GB"/>
        </w:rPr>
        <w:t>New Zealand’s sole o</w:t>
      </w:r>
      <w:r w:rsidRPr="001D5327">
        <w:rPr>
          <w:rFonts w:cs="Calibri"/>
          <w:lang w:eastAsia="en-GB"/>
        </w:rPr>
        <w:t xml:space="preserve">il </w:t>
      </w:r>
      <w:r w:rsidR="00525304" w:rsidRPr="001D5327">
        <w:rPr>
          <w:rFonts w:cs="Calibri"/>
          <w:lang w:eastAsia="en-GB"/>
        </w:rPr>
        <w:t>r</w:t>
      </w:r>
      <w:r w:rsidRPr="001D5327">
        <w:rPr>
          <w:rFonts w:cs="Calibri"/>
          <w:lang w:eastAsia="en-GB"/>
        </w:rPr>
        <w:t xml:space="preserve">efinery in March 2022. </w:t>
      </w:r>
    </w:p>
    <w:p w14:paraId="394D068B" w14:textId="5A254454" w:rsidR="00D97D6C" w:rsidRPr="001D5327" w:rsidRDefault="00D97D6C" w:rsidP="00D97D6C">
      <w:pPr>
        <w:pStyle w:val="BodyText"/>
        <w:rPr>
          <w:rFonts w:cs="Calibri"/>
        </w:rPr>
      </w:pPr>
      <w:r w:rsidRPr="001D5327">
        <w:rPr>
          <w:rFonts w:cs="Calibri"/>
        </w:rPr>
        <w:t xml:space="preserve">Key categories identified in the </w:t>
      </w:r>
      <w:r w:rsidR="006A21DD" w:rsidRPr="001D5327">
        <w:rPr>
          <w:rFonts w:cs="Calibri"/>
        </w:rPr>
        <w:t>2023</w:t>
      </w:r>
      <w:r w:rsidRPr="001D5327">
        <w:rPr>
          <w:rFonts w:cs="Calibri"/>
        </w:rPr>
        <w:t xml:space="preserve"> level and trend assessment for the </w:t>
      </w:r>
      <w:r w:rsidRPr="001D5327">
        <w:rPr>
          <w:rFonts w:cs="Calibri"/>
          <w:i/>
        </w:rPr>
        <w:t>Energy industries</w:t>
      </w:r>
      <w:r w:rsidRPr="001D5327">
        <w:rPr>
          <w:rFonts w:cs="Calibri"/>
        </w:rPr>
        <w:t xml:space="preserve"> category are given in table 3.2.2.</w:t>
      </w:r>
    </w:p>
    <w:p w14:paraId="5B00C2DC" w14:textId="77777777" w:rsidR="00D97D6C" w:rsidRPr="001D5327" w:rsidRDefault="00D97D6C" w:rsidP="00D97D6C">
      <w:pPr>
        <w:pStyle w:val="Table"/>
      </w:pPr>
      <w:bookmarkStart w:id="268" w:name="_Toc68786406"/>
      <w:bookmarkStart w:id="269" w:name="_Toc164153805"/>
      <w:bookmarkStart w:id="270" w:name="_Toc194241672"/>
      <w:r w:rsidRPr="001D5327">
        <w:t>Table 3.2.2</w:t>
      </w:r>
      <w:r w:rsidRPr="001D5327">
        <w:tab/>
        <w:t xml:space="preserve">Key categories for 1.A.1 </w:t>
      </w:r>
      <w:r w:rsidRPr="001D5327">
        <w:rPr>
          <w:i/>
          <w:iCs/>
        </w:rPr>
        <w:t>Energy industries</w:t>
      </w:r>
      <w:bookmarkEnd w:id="268"/>
      <w:bookmarkEnd w:id="269"/>
      <w:bookmarkEnd w:id="270"/>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4788"/>
        <w:gridCol w:w="1267"/>
        <w:gridCol w:w="1266"/>
        <w:gridCol w:w="1184"/>
      </w:tblGrid>
      <w:tr w:rsidR="00D97D6C" w:rsidRPr="001D5327" w14:paraId="2F9A3C6F" w14:textId="77777777" w:rsidTr="274146D5">
        <w:trPr>
          <w:tblHeader/>
        </w:trPr>
        <w:tc>
          <w:tcPr>
            <w:tcW w:w="2815" w:type="pct"/>
            <w:shd w:val="clear" w:color="auto" w:fill="1B556B" w:themeFill="text2"/>
            <w:noWrap/>
            <w:vAlign w:val="bottom"/>
            <w:hideMark/>
          </w:tcPr>
          <w:p w14:paraId="47404CE2" w14:textId="0B271124" w:rsidR="00D97D6C" w:rsidRPr="001D5327" w:rsidRDefault="00986327" w:rsidP="00B55F24">
            <w:pPr>
              <w:pStyle w:val="TableTextBold"/>
              <w:rPr>
                <w:rFonts w:cs="Calibri"/>
                <w:noProof w:val="0"/>
                <w:color w:val="FFFFFF"/>
              </w:rPr>
            </w:pPr>
            <w:r w:rsidRPr="001D5327">
              <w:rPr>
                <w:rFonts w:cs="Calibri"/>
                <w:noProof w:val="0"/>
                <w:color w:val="FFFFFF" w:themeColor="background1"/>
              </w:rPr>
              <w:t>Category</w:t>
            </w:r>
          </w:p>
        </w:tc>
        <w:tc>
          <w:tcPr>
            <w:tcW w:w="745" w:type="pct"/>
            <w:shd w:val="clear" w:color="auto" w:fill="1B556B" w:themeFill="text2"/>
            <w:noWrap/>
            <w:vAlign w:val="bottom"/>
            <w:hideMark/>
          </w:tcPr>
          <w:p w14:paraId="08D26793" w14:textId="77777777" w:rsidR="00D97D6C" w:rsidRPr="001D5327" w:rsidRDefault="00D97D6C" w:rsidP="00B8286F">
            <w:pPr>
              <w:pStyle w:val="TableTextBold"/>
              <w:rPr>
                <w:rFonts w:cs="Calibri"/>
                <w:noProof w:val="0"/>
                <w:color w:val="FFFFFF"/>
              </w:rPr>
            </w:pPr>
            <w:r w:rsidRPr="001D5327">
              <w:rPr>
                <w:rFonts w:cs="Calibri"/>
                <w:noProof w:val="0"/>
                <w:color w:val="FFFFFF"/>
              </w:rPr>
              <w:t>Liquid fuels</w:t>
            </w:r>
          </w:p>
        </w:tc>
        <w:tc>
          <w:tcPr>
            <w:tcW w:w="744" w:type="pct"/>
            <w:shd w:val="clear" w:color="auto" w:fill="1B556B" w:themeFill="text2"/>
            <w:vAlign w:val="bottom"/>
            <w:hideMark/>
          </w:tcPr>
          <w:p w14:paraId="0ADC3458" w14:textId="77777777" w:rsidR="00D97D6C" w:rsidRPr="001D5327" w:rsidRDefault="00D97D6C" w:rsidP="00B8286F">
            <w:pPr>
              <w:pStyle w:val="TableTextBold"/>
              <w:rPr>
                <w:rFonts w:cs="Calibri"/>
                <w:noProof w:val="0"/>
                <w:color w:val="FFFFFF"/>
              </w:rPr>
            </w:pPr>
            <w:r w:rsidRPr="001D5327">
              <w:rPr>
                <w:rFonts w:cs="Calibri"/>
                <w:noProof w:val="0"/>
                <w:color w:val="FFFFFF"/>
              </w:rPr>
              <w:t>Solid fuels</w:t>
            </w:r>
          </w:p>
        </w:tc>
        <w:tc>
          <w:tcPr>
            <w:tcW w:w="696" w:type="pct"/>
            <w:shd w:val="clear" w:color="auto" w:fill="1B556B" w:themeFill="text2"/>
            <w:vAlign w:val="bottom"/>
            <w:hideMark/>
          </w:tcPr>
          <w:p w14:paraId="3CD0C173" w14:textId="77777777" w:rsidR="00D97D6C" w:rsidRPr="001D5327" w:rsidRDefault="00D97D6C" w:rsidP="00B8286F">
            <w:pPr>
              <w:pStyle w:val="TableTextBold"/>
              <w:rPr>
                <w:rFonts w:cs="Calibri"/>
                <w:noProof w:val="0"/>
                <w:color w:val="FFFFFF"/>
              </w:rPr>
            </w:pPr>
            <w:r w:rsidRPr="001D5327">
              <w:rPr>
                <w:rFonts w:cs="Calibri"/>
                <w:noProof w:val="0"/>
                <w:color w:val="FFFFFF"/>
              </w:rPr>
              <w:t>Gaseous fuels</w:t>
            </w:r>
          </w:p>
        </w:tc>
      </w:tr>
      <w:tr w:rsidR="00D97D6C" w:rsidRPr="001D5327" w14:paraId="3E011606" w14:textId="77777777" w:rsidTr="00B55F24">
        <w:tc>
          <w:tcPr>
            <w:tcW w:w="2815" w:type="pct"/>
            <w:shd w:val="clear" w:color="auto" w:fill="auto"/>
            <w:noWrap/>
            <w:hideMark/>
          </w:tcPr>
          <w:p w14:paraId="4B0D3821" w14:textId="77777777" w:rsidR="00D97D6C" w:rsidRPr="001D5327" w:rsidRDefault="00D97D6C" w:rsidP="00B55F24">
            <w:pPr>
              <w:pStyle w:val="TableText"/>
              <w:spacing w:before="50" w:after="50"/>
              <w:rPr>
                <w:rFonts w:cs="Calibri"/>
              </w:rPr>
            </w:pPr>
            <w:r w:rsidRPr="001D5327">
              <w:rPr>
                <w:rFonts w:cs="Calibri"/>
              </w:rPr>
              <w:t>Public electricity and heat production – CO</w:t>
            </w:r>
            <w:r w:rsidRPr="001D5327">
              <w:rPr>
                <w:rFonts w:cs="Calibri"/>
                <w:vertAlign w:val="subscript"/>
              </w:rPr>
              <w:t>2</w:t>
            </w:r>
          </w:p>
        </w:tc>
        <w:tc>
          <w:tcPr>
            <w:tcW w:w="745" w:type="pct"/>
            <w:shd w:val="clear" w:color="auto" w:fill="auto"/>
            <w:noWrap/>
            <w:hideMark/>
          </w:tcPr>
          <w:p w14:paraId="552F209B" w14:textId="77777777" w:rsidR="00D97D6C" w:rsidRPr="001D5327" w:rsidRDefault="00D97D6C" w:rsidP="00B8286F">
            <w:pPr>
              <w:pStyle w:val="TableText"/>
              <w:spacing w:before="50" w:after="50"/>
              <w:rPr>
                <w:rFonts w:cs="Calibri"/>
              </w:rPr>
            </w:pPr>
            <w:r w:rsidRPr="001D5327">
              <w:rPr>
                <w:rFonts w:cs="Calibri"/>
              </w:rPr>
              <w:t>–</w:t>
            </w:r>
          </w:p>
        </w:tc>
        <w:tc>
          <w:tcPr>
            <w:tcW w:w="744" w:type="pct"/>
            <w:shd w:val="clear" w:color="auto" w:fill="auto"/>
            <w:noWrap/>
            <w:hideMark/>
          </w:tcPr>
          <w:p w14:paraId="0C02B341" w14:textId="69966851" w:rsidR="00D97D6C" w:rsidRPr="001D5327" w:rsidRDefault="00D97D6C" w:rsidP="00B8286F">
            <w:pPr>
              <w:pStyle w:val="TableText"/>
              <w:spacing w:before="50" w:after="50"/>
              <w:rPr>
                <w:rFonts w:cs="Calibri"/>
              </w:rPr>
            </w:pPr>
            <w:r w:rsidRPr="001D5327">
              <w:rPr>
                <w:rFonts w:cs="Calibri"/>
              </w:rPr>
              <w:t>Level</w:t>
            </w:r>
          </w:p>
        </w:tc>
        <w:tc>
          <w:tcPr>
            <w:tcW w:w="696" w:type="pct"/>
            <w:shd w:val="clear" w:color="auto" w:fill="auto"/>
            <w:noWrap/>
            <w:hideMark/>
          </w:tcPr>
          <w:p w14:paraId="5EA36907" w14:textId="77777777" w:rsidR="00D97D6C" w:rsidRPr="001D5327" w:rsidRDefault="00D97D6C" w:rsidP="00B8286F">
            <w:pPr>
              <w:pStyle w:val="TableText"/>
              <w:spacing w:before="50" w:after="50"/>
              <w:rPr>
                <w:rFonts w:cs="Calibri"/>
              </w:rPr>
            </w:pPr>
            <w:r w:rsidRPr="001D5327">
              <w:rPr>
                <w:rFonts w:cs="Calibri"/>
              </w:rPr>
              <w:t>Level, trend</w:t>
            </w:r>
          </w:p>
        </w:tc>
      </w:tr>
      <w:tr w:rsidR="00D97D6C" w:rsidRPr="001D5327" w14:paraId="50049372" w14:textId="77777777" w:rsidTr="00B55F24">
        <w:tc>
          <w:tcPr>
            <w:tcW w:w="2815" w:type="pct"/>
            <w:shd w:val="clear" w:color="auto" w:fill="auto"/>
            <w:noWrap/>
            <w:hideMark/>
          </w:tcPr>
          <w:p w14:paraId="4AB6ADE9" w14:textId="77777777" w:rsidR="00D97D6C" w:rsidRPr="001D5327" w:rsidRDefault="00D97D6C" w:rsidP="00B55F24">
            <w:pPr>
              <w:pStyle w:val="TableText"/>
              <w:spacing w:before="50" w:after="50"/>
              <w:rPr>
                <w:rFonts w:cs="Calibri"/>
              </w:rPr>
            </w:pPr>
            <w:r w:rsidRPr="001D5327">
              <w:rPr>
                <w:rFonts w:cs="Calibri"/>
              </w:rPr>
              <w:t>Petroleum refining – CO</w:t>
            </w:r>
            <w:r w:rsidRPr="001D5327">
              <w:rPr>
                <w:rFonts w:cs="Calibri"/>
                <w:vertAlign w:val="subscript"/>
              </w:rPr>
              <w:t>2</w:t>
            </w:r>
          </w:p>
        </w:tc>
        <w:tc>
          <w:tcPr>
            <w:tcW w:w="745" w:type="pct"/>
            <w:shd w:val="clear" w:color="auto" w:fill="auto"/>
            <w:noWrap/>
            <w:hideMark/>
          </w:tcPr>
          <w:p w14:paraId="5D3A934B" w14:textId="77777777" w:rsidR="00D97D6C" w:rsidRPr="001D5327" w:rsidRDefault="00D97D6C" w:rsidP="00B8286F">
            <w:pPr>
              <w:pStyle w:val="TableText"/>
              <w:spacing w:before="50" w:after="50"/>
              <w:rPr>
                <w:rFonts w:cs="Calibri"/>
              </w:rPr>
            </w:pPr>
            <w:r w:rsidRPr="001D5327">
              <w:rPr>
                <w:rFonts w:cs="Calibri"/>
              </w:rPr>
              <w:t>Trend</w:t>
            </w:r>
          </w:p>
        </w:tc>
        <w:tc>
          <w:tcPr>
            <w:tcW w:w="744" w:type="pct"/>
            <w:shd w:val="clear" w:color="auto" w:fill="auto"/>
            <w:noWrap/>
          </w:tcPr>
          <w:p w14:paraId="2B31814F" w14:textId="77777777" w:rsidR="00D97D6C" w:rsidRPr="001D5327" w:rsidRDefault="00D97D6C" w:rsidP="00B8286F">
            <w:pPr>
              <w:pStyle w:val="TableText"/>
              <w:spacing w:before="50" w:after="50"/>
              <w:rPr>
                <w:rFonts w:cs="Calibri"/>
              </w:rPr>
            </w:pPr>
            <w:r w:rsidRPr="001D5327">
              <w:rPr>
                <w:rFonts w:cs="Calibri"/>
              </w:rPr>
              <w:t>–</w:t>
            </w:r>
          </w:p>
        </w:tc>
        <w:tc>
          <w:tcPr>
            <w:tcW w:w="696" w:type="pct"/>
            <w:shd w:val="clear" w:color="auto" w:fill="auto"/>
            <w:noWrap/>
            <w:hideMark/>
          </w:tcPr>
          <w:p w14:paraId="253A7E1B" w14:textId="77777777" w:rsidR="00D97D6C" w:rsidRPr="001D5327" w:rsidRDefault="00D97D6C" w:rsidP="00B8286F">
            <w:pPr>
              <w:pStyle w:val="TableText"/>
              <w:spacing w:before="50" w:after="50"/>
              <w:rPr>
                <w:rFonts w:cs="Calibri"/>
              </w:rPr>
            </w:pPr>
            <w:r w:rsidRPr="001D5327">
              <w:rPr>
                <w:rFonts w:cs="Calibri"/>
              </w:rPr>
              <w:t>–</w:t>
            </w:r>
          </w:p>
        </w:tc>
      </w:tr>
      <w:tr w:rsidR="00D97D6C" w:rsidRPr="001D5327" w14:paraId="578A5AE7" w14:textId="77777777" w:rsidTr="00B55F24">
        <w:tc>
          <w:tcPr>
            <w:tcW w:w="2815" w:type="pct"/>
            <w:shd w:val="clear" w:color="auto" w:fill="auto"/>
            <w:noWrap/>
          </w:tcPr>
          <w:p w14:paraId="5A995ABF" w14:textId="77777777" w:rsidR="00D97D6C" w:rsidRPr="001D5327" w:rsidRDefault="00D97D6C" w:rsidP="00B55F24">
            <w:pPr>
              <w:pStyle w:val="TableText"/>
              <w:spacing w:before="50" w:after="50"/>
              <w:rPr>
                <w:rFonts w:cs="Calibri"/>
              </w:rPr>
            </w:pPr>
            <w:r w:rsidRPr="001D5327">
              <w:rPr>
                <w:rFonts w:cs="Calibri"/>
              </w:rPr>
              <w:t>Manufacture of solid fuels and other energy industries – CO</w:t>
            </w:r>
            <w:r w:rsidRPr="001D5327">
              <w:rPr>
                <w:rFonts w:cs="Calibri"/>
                <w:vertAlign w:val="subscript"/>
              </w:rPr>
              <w:t>2</w:t>
            </w:r>
          </w:p>
        </w:tc>
        <w:tc>
          <w:tcPr>
            <w:tcW w:w="745" w:type="pct"/>
            <w:shd w:val="clear" w:color="auto" w:fill="auto"/>
            <w:noWrap/>
          </w:tcPr>
          <w:p w14:paraId="483B4587" w14:textId="77777777" w:rsidR="00D97D6C" w:rsidRPr="001D5327" w:rsidRDefault="00D97D6C" w:rsidP="00B8286F">
            <w:pPr>
              <w:pStyle w:val="TableText"/>
              <w:spacing w:before="50" w:after="50"/>
              <w:rPr>
                <w:rFonts w:cs="Calibri"/>
              </w:rPr>
            </w:pPr>
            <w:r w:rsidRPr="001D5327">
              <w:rPr>
                <w:rFonts w:cs="Calibri"/>
              </w:rPr>
              <w:t>–</w:t>
            </w:r>
          </w:p>
        </w:tc>
        <w:tc>
          <w:tcPr>
            <w:tcW w:w="744" w:type="pct"/>
            <w:shd w:val="clear" w:color="auto" w:fill="auto"/>
            <w:noWrap/>
          </w:tcPr>
          <w:p w14:paraId="24E7145A" w14:textId="77777777" w:rsidR="00D97D6C" w:rsidRPr="001D5327" w:rsidRDefault="00D97D6C" w:rsidP="00B8286F">
            <w:pPr>
              <w:pStyle w:val="TableText"/>
              <w:spacing w:before="50" w:after="50"/>
              <w:rPr>
                <w:rFonts w:cs="Calibri"/>
              </w:rPr>
            </w:pPr>
            <w:r w:rsidRPr="001D5327">
              <w:rPr>
                <w:rFonts w:cs="Calibri"/>
              </w:rPr>
              <w:t>–</w:t>
            </w:r>
          </w:p>
        </w:tc>
        <w:tc>
          <w:tcPr>
            <w:tcW w:w="696" w:type="pct"/>
            <w:shd w:val="clear" w:color="auto" w:fill="auto"/>
            <w:noWrap/>
          </w:tcPr>
          <w:p w14:paraId="50047F09" w14:textId="38836F39" w:rsidR="00D97D6C" w:rsidRPr="001D5327" w:rsidRDefault="00880042" w:rsidP="00B8286F">
            <w:pPr>
              <w:pStyle w:val="TableText"/>
              <w:spacing w:before="50" w:after="50"/>
              <w:rPr>
                <w:rFonts w:cs="Calibri"/>
              </w:rPr>
            </w:pPr>
            <w:r w:rsidRPr="001D5327">
              <w:rPr>
                <w:rFonts w:cs="Calibri"/>
              </w:rPr>
              <w:t>T</w:t>
            </w:r>
            <w:r w:rsidR="00D97D6C" w:rsidRPr="001D5327">
              <w:rPr>
                <w:rFonts w:cs="Calibri"/>
              </w:rPr>
              <w:t>rend</w:t>
            </w:r>
          </w:p>
        </w:tc>
      </w:tr>
    </w:tbl>
    <w:p w14:paraId="71CE3990" w14:textId="254E9FA5" w:rsidR="00D97D6C" w:rsidRPr="001D5327" w:rsidRDefault="006E3B52" w:rsidP="00D97D6C">
      <w:pPr>
        <w:pStyle w:val="BodyText"/>
        <w:spacing w:before="240"/>
        <w:rPr>
          <w:rFonts w:ascii="Arial" w:hAnsi="Arial" w:cs="Arial"/>
        </w:rPr>
      </w:pPr>
      <w:r w:rsidRPr="001D5327">
        <w:t>E</w:t>
      </w:r>
      <w:r w:rsidR="00D97D6C" w:rsidRPr="001D5327">
        <w:t>lectricity generation</w:t>
      </w:r>
      <w:r w:rsidRPr="001D5327">
        <w:t xml:space="preserve"> in New Zealand</w:t>
      </w:r>
      <w:r w:rsidR="00D97D6C" w:rsidRPr="001D5327">
        <w:t xml:space="preserve"> is dominated by hydroelectric generation. For the </w:t>
      </w:r>
      <w:r w:rsidR="006A21DD" w:rsidRPr="001D5327">
        <w:t>2023</w:t>
      </w:r>
      <w:r w:rsidR="00D97D6C" w:rsidRPr="001D5327">
        <w:t xml:space="preserve"> calendar year, hydro generation provided </w:t>
      </w:r>
      <w:r w:rsidR="008F7016" w:rsidRPr="001D5327">
        <w:t>60.5</w:t>
      </w:r>
      <w:r w:rsidR="00D97D6C" w:rsidRPr="001D5327">
        <w:t xml:space="preserve"> per cent of New Zealand’s electricity generation. A further </w:t>
      </w:r>
      <w:r w:rsidR="008F7016" w:rsidRPr="001D5327">
        <w:t>17.8</w:t>
      </w:r>
      <w:r w:rsidR="00D97D6C" w:rsidRPr="001D5327">
        <w:t xml:space="preserve"> per cent came from geothermal, </w:t>
      </w:r>
      <w:r w:rsidR="008F7016" w:rsidRPr="001D5327">
        <w:t>7.4</w:t>
      </w:r>
      <w:r w:rsidR="00D97D6C" w:rsidRPr="001D5327">
        <w:t xml:space="preserve"> per cent from wind, 1.6 per cent from biomass and 0.</w:t>
      </w:r>
      <w:r w:rsidR="008F7016" w:rsidRPr="001D5327">
        <w:t xml:space="preserve">8 </w:t>
      </w:r>
      <w:r w:rsidR="00D97D6C" w:rsidRPr="001D5327">
        <w:t xml:space="preserve">per cent from solar. The remaining </w:t>
      </w:r>
      <w:r w:rsidR="008F7016" w:rsidRPr="001D5327">
        <w:t>11.9</w:t>
      </w:r>
      <w:r w:rsidR="00D97D6C" w:rsidRPr="001D5327">
        <w:t xml:space="preserve"> per cent was provided by fossil fuel thermal generation plants using natural gas, coal and oil (MBIE, </w:t>
      </w:r>
      <w:r w:rsidR="006A21DD" w:rsidRPr="001D5327">
        <w:t>2024</w:t>
      </w:r>
      <w:r w:rsidR="002D4006" w:rsidRPr="001D5327">
        <w:t>a</w:t>
      </w:r>
      <w:r w:rsidR="00D97D6C" w:rsidRPr="001D5327">
        <w:t>).</w:t>
      </w:r>
    </w:p>
    <w:p w14:paraId="0F834DDD" w14:textId="06D42FBC" w:rsidR="00D97D6C" w:rsidRPr="001D5327" w:rsidRDefault="00D97D6C" w:rsidP="00D97D6C">
      <w:pPr>
        <w:pStyle w:val="BodyText"/>
        <w:rPr>
          <w:lang w:eastAsia="en-GB"/>
        </w:rPr>
      </w:pPr>
      <w:r w:rsidRPr="001D5327">
        <w:rPr>
          <w:lang w:eastAsia="en-GB"/>
        </w:rPr>
        <w:lastRenderedPageBreak/>
        <w:t>Greenhouse</w:t>
      </w:r>
      <w:r w:rsidRPr="001D5327">
        <w:t xml:space="preserve"> </w:t>
      </w:r>
      <w:r w:rsidRPr="001D5327">
        <w:rPr>
          <w:lang w:eastAsia="en-GB"/>
        </w:rPr>
        <w:t xml:space="preserve">gas emissions </w:t>
      </w:r>
      <w:r w:rsidRPr="001D5327">
        <w:t>from</w:t>
      </w:r>
      <w:r w:rsidRPr="001D5327">
        <w:rPr>
          <w:lang w:eastAsia="en-GB"/>
        </w:rPr>
        <w:t xml:space="preserve"> the </w:t>
      </w:r>
      <w:r w:rsidRPr="001D5327">
        <w:rPr>
          <w:i/>
          <w:lang w:eastAsia="en-GB"/>
        </w:rPr>
        <w:t>Public electricity and heat production</w:t>
      </w:r>
      <w:r w:rsidRPr="001D5327">
        <w:rPr>
          <w:lang w:eastAsia="en-GB"/>
        </w:rPr>
        <w:t xml:space="preserve"> category show large</w:t>
      </w:r>
      <w:r w:rsidR="00C15A7C" w:rsidRPr="001D5327">
        <w:rPr>
          <w:lang w:eastAsia="en-GB"/>
        </w:rPr>
        <w:t xml:space="preserve"> </w:t>
      </w:r>
      <w:r w:rsidRPr="001D5327">
        <w:rPr>
          <w:lang w:eastAsia="en-GB"/>
        </w:rPr>
        <w:t xml:space="preserve">year-to-year fluctuations between 1990 and </w:t>
      </w:r>
      <w:r w:rsidR="006A21DD" w:rsidRPr="001D5327">
        <w:t>2023</w:t>
      </w:r>
      <w:r w:rsidRPr="001D5327">
        <w:rPr>
          <w:lang w:eastAsia="en-GB"/>
        </w:rPr>
        <w:t>. These fluctuations can also be seen over the</w:t>
      </w:r>
      <w:r w:rsidR="00C15A7C" w:rsidRPr="001D5327">
        <w:rPr>
          <w:lang w:eastAsia="en-GB"/>
        </w:rPr>
        <w:t> </w:t>
      </w:r>
      <w:r w:rsidRPr="001D5327">
        <w:rPr>
          <w:lang w:eastAsia="en-GB"/>
        </w:rPr>
        <w:t xml:space="preserve">time series </w:t>
      </w:r>
      <w:r w:rsidR="006E3B52" w:rsidRPr="001D5327">
        <w:rPr>
          <w:lang w:eastAsia="en-GB"/>
        </w:rPr>
        <w:t>of</w:t>
      </w:r>
      <w:r w:rsidRPr="001D5327">
        <w:rPr>
          <w:lang w:eastAsia="en-GB"/>
        </w:rPr>
        <w:t xml:space="preserve"> New Zealand’s gross emissions. The fluctuations are influenced by</w:t>
      </w:r>
      <w:r w:rsidR="00EA7D59" w:rsidRPr="001D5327">
        <w:rPr>
          <w:lang w:eastAsia="en-GB"/>
        </w:rPr>
        <w:t xml:space="preserve"> </w:t>
      </w:r>
      <w:r w:rsidRPr="001D5327">
        <w:rPr>
          <w:lang w:eastAsia="en-GB"/>
        </w:rPr>
        <w:t>the</w:t>
      </w:r>
      <w:r w:rsidR="00EA7D59" w:rsidRPr="001D5327">
        <w:rPr>
          <w:lang w:eastAsia="en-GB"/>
        </w:rPr>
        <w:t xml:space="preserve"> </w:t>
      </w:r>
      <w:r w:rsidRPr="001D5327">
        <w:rPr>
          <w:lang w:eastAsia="en-GB"/>
        </w:rPr>
        <w:t xml:space="preserve">close </w:t>
      </w:r>
      <w:r w:rsidRPr="001D5327">
        <w:rPr>
          <w:spacing w:val="-2"/>
          <w:lang w:eastAsia="en-GB"/>
        </w:rPr>
        <w:t xml:space="preserve">inverse relationship between thermal and renewable generation (see </w:t>
      </w:r>
      <w:r w:rsidRPr="001D5327">
        <w:rPr>
          <w:spacing w:val="-2"/>
        </w:rPr>
        <w:t>figure 3.2.6</w:t>
      </w:r>
      <w:r w:rsidRPr="001D5327">
        <w:rPr>
          <w:spacing w:val="-2"/>
          <w:lang w:eastAsia="en-GB"/>
        </w:rPr>
        <w:t>).</w:t>
      </w:r>
      <w:r w:rsidR="00EA7D59" w:rsidRPr="001D5327">
        <w:rPr>
          <w:spacing w:val="-2"/>
          <w:lang w:eastAsia="en-GB"/>
        </w:rPr>
        <w:t xml:space="preserve"> </w:t>
      </w:r>
      <w:r w:rsidRPr="001D5327">
        <w:rPr>
          <w:spacing w:val="-2"/>
          <w:lang w:eastAsia="en-GB"/>
        </w:rPr>
        <w:t>In a dry year</w:t>
      </w:r>
      <w:r w:rsidRPr="001D5327">
        <w:rPr>
          <w:lang w:eastAsia="en-GB"/>
        </w:rPr>
        <w:t xml:space="preserve">, </w:t>
      </w:r>
      <w:r w:rsidRPr="001D5327">
        <w:rPr>
          <w:spacing w:val="-2"/>
          <w:lang w:eastAsia="en-GB"/>
        </w:rPr>
        <w:t xml:space="preserve">when low rainfall </w:t>
      </w:r>
      <w:r w:rsidR="0087085F" w:rsidRPr="001D5327">
        <w:rPr>
          <w:spacing w:val="-2"/>
          <w:lang w:eastAsia="en-GB"/>
        </w:rPr>
        <w:t xml:space="preserve">reduces </w:t>
      </w:r>
      <w:r w:rsidRPr="001D5327">
        <w:rPr>
          <w:spacing w:val="-2"/>
          <w:lang w:eastAsia="en-GB"/>
        </w:rPr>
        <w:t>most of New Zealand’s hydro lake levels, any shortfall</w:t>
      </w:r>
      <w:r w:rsidR="00EA7D59" w:rsidRPr="001D5327">
        <w:rPr>
          <w:spacing w:val="-2"/>
          <w:lang w:eastAsia="en-GB"/>
        </w:rPr>
        <w:t xml:space="preserve"> </w:t>
      </w:r>
      <w:r w:rsidRPr="001D5327">
        <w:rPr>
          <w:spacing w:val="-2"/>
          <w:lang w:eastAsia="en-GB"/>
        </w:rPr>
        <w:t>in</w:t>
      </w:r>
      <w:r w:rsidR="00EA7D59" w:rsidRPr="001D5327">
        <w:rPr>
          <w:spacing w:val="-2"/>
          <w:lang w:eastAsia="en-GB"/>
        </w:rPr>
        <w:t xml:space="preserve"> </w:t>
      </w:r>
      <w:r w:rsidRPr="001D5327">
        <w:rPr>
          <w:spacing w:val="-2"/>
          <w:lang w:eastAsia="en-GB"/>
        </w:rPr>
        <w:t>hydroelectric</w:t>
      </w:r>
      <w:r w:rsidRPr="001D5327">
        <w:rPr>
          <w:lang w:eastAsia="en-GB"/>
        </w:rPr>
        <w:t xml:space="preserve"> generation is made up by increased thermal electricity generation. </w:t>
      </w:r>
      <w:r w:rsidRPr="001D5327">
        <w:rPr>
          <w:rFonts w:cs="Calibri"/>
          <w:lang w:eastAsia="en-GB"/>
        </w:rPr>
        <w:t>New Zealand’s</w:t>
      </w:r>
      <w:r w:rsidRPr="001D5327">
        <w:rPr>
          <w:lang w:eastAsia="en-GB"/>
        </w:rPr>
        <w:t xml:space="preserve"> hydro resources have limited storage capacity; total reservoir storage is only around 10 per cent of New Zealand’s annual demand. Hence, regular rainfall throughout the year is needed to sustain a high level of hydro generation. Electricity generation in a ‘normal’ hydro year does not require significant use of natural gas and coal, while a ‘dry’ hydro year requires </w:t>
      </w:r>
      <w:r w:rsidR="002E2780" w:rsidRPr="001D5327">
        <w:rPr>
          <w:lang w:eastAsia="en-GB"/>
        </w:rPr>
        <w:t xml:space="preserve">greater </w:t>
      </w:r>
      <w:r w:rsidRPr="001D5327">
        <w:rPr>
          <w:lang w:eastAsia="en-GB"/>
        </w:rPr>
        <w:t>use of natural gas and coal.</w:t>
      </w:r>
    </w:p>
    <w:p w14:paraId="3B4ED733" w14:textId="101EDA0A" w:rsidR="00D97D6C" w:rsidRPr="001D5327" w:rsidRDefault="00D97D6C" w:rsidP="00D97D6C">
      <w:pPr>
        <w:pStyle w:val="Figure"/>
        <w:rPr>
          <w:rFonts w:cs="Calibri"/>
          <w:lang w:eastAsia="en-GB"/>
        </w:rPr>
      </w:pPr>
      <w:bookmarkStart w:id="271" w:name="_Ref442370451"/>
      <w:bookmarkStart w:id="272" w:name="_Toc321399328"/>
      <w:bookmarkStart w:id="273" w:name="_Toc384582856"/>
      <w:bookmarkStart w:id="274" w:name="_Toc443060816"/>
      <w:bookmarkStart w:id="275" w:name="_Toc447275673"/>
      <w:bookmarkStart w:id="276" w:name="_Toc481751991"/>
      <w:bookmarkStart w:id="277" w:name="_Toc36292775"/>
      <w:bookmarkStart w:id="278" w:name="_Toc68786640"/>
      <w:bookmarkStart w:id="279" w:name="_Toc95834075"/>
      <w:bookmarkStart w:id="280" w:name="_Toc164154011"/>
      <w:bookmarkStart w:id="281" w:name="_Toc194674844"/>
      <w:r w:rsidRPr="001D5327">
        <w:rPr>
          <w:rFonts w:cs="Calibri"/>
        </w:rPr>
        <w:t>Figure 3.2.</w:t>
      </w:r>
      <w:r w:rsidRPr="001D5327">
        <w:rPr>
          <w:rFonts w:cs="Calibri"/>
        </w:rPr>
        <w:fldChar w:fldCharType="begin"/>
      </w:r>
      <w:r w:rsidRPr="001D5327">
        <w:rPr>
          <w:rFonts w:cs="Calibri"/>
        </w:rPr>
        <w:instrText xml:space="preserve"> SEQ Figure \* ARABIC \s 2 </w:instrText>
      </w:r>
      <w:r w:rsidRPr="001D5327">
        <w:rPr>
          <w:rFonts w:cs="Calibri"/>
        </w:rPr>
        <w:fldChar w:fldCharType="separate"/>
      </w:r>
      <w:r w:rsidR="00B93180">
        <w:rPr>
          <w:rFonts w:cs="Calibri"/>
          <w:noProof/>
        </w:rPr>
        <w:t>6</w:t>
      </w:r>
      <w:r w:rsidRPr="001D5327">
        <w:rPr>
          <w:rFonts w:cs="Calibri"/>
        </w:rPr>
        <w:fldChar w:fldCharType="end"/>
      </w:r>
      <w:bookmarkEnd w:id="271"/>
      <w:r w:rsidRPr="001D5327">
        <w:rPr>
          <w:rFonts w:cs="Calibri"/>
          <w:lang w:eastAsia="en-GB"/>
        </w:rPr>
        <w:tab/>
        <w:t xml:space="preserve">New Zealand’s </w:t>
      </w:r>
      <w:r w:rsidRPr="001D5327">
        <w:rPr>
          <w:rFonts w:cs="Calibri"/>
        </w:rPr>
        <w:t>electricity</w:t>
      </w:r>
      <w:r w:rsidRPr="001D5327">
        <w:rPr>
          <w:rFonts w:cs="Calibri"/>
          <w:lang w:eastAsia="en-GB"/>
        </w:rPr>
        <w:t xml:space="preserve"> generation by source</w:t>
      </w:r>
      <w:bookmarkEnd w:id="272"/>
      <w:bookmarkEnd w:id="273"/>
      <w:bookmarkEnd w:id="274"/>
      <w:bookmarkEnd w:id="275"/>
      <w:bookmarkEnd w:id="276"/>
      <w:bookmarkEnd w:id="277"/>
      <w:r w:rsidR="00636ED3" w:rsidRPr="001D5327">
        <w:rPr>
          <w:rFonts w:cs="Calibri"/>
          <w:lang w:eastAsia="en-GB"/>
        </w:rPr>
        <w:t>,</w:t>
      </w:r>
      <w:r w:rsidRPr="001D5327">
        <w:rPr>
          <w:rFonts w:cs="Calibri"/>
          <w:lang w:eastAsia="en-GB"/>
        </w:rPr>
        <w:t xml:space="preserve"> from 1990 to </w:t>
      </w:r>
      <w:bookmarkEnd w:id="278"/>
      <w:bookmarkEnd w:id="279"/>
      <w:bookmarkEnd w:id="280"/>
      <w:r w:rsidR="006A21DD" w:rsidRPr="001D5327">
        <w:rPr>
          <w:rFonts w:cs="Calibri"/>
          <w:lang w:eastAsia="en-GB"/>
        </w:rPr>
        <w:t>2023</w:t>
      </w:r>
      <w:bookmarkEnd w:id="281"/>
    </w:p>
    <w:p w14:paraId="5AA2970B" w14:textId="5D09AB49" w:rsidR="00D97D6C" w:rsidRPr="001D5327" w:rsidRDefault="004455EA" w:rsidP="00D97D6C">
      <w:pPr>
        <w:pStyle w:val="BodyText"/>
        <w:rPr>
          <w:rFonts w:cs="Calibri"/>
          <w:sz w:val="26"/>
        </w:rPr>
      </w:pPr>
      <w:r w:rsidRPr="001D5327">
        <w:rPr>
          <w:rFonts w:cs="Calibri"/>
          <w:noProof/>
          <w:sz w:val="26"/>
        </w:rPr>
        <w:drawing>
          <wp:inline distT="0" distB="0" distL="0" distR="0" wp14:anchorId="4CB2E5E4" wp14:editId="72DE0C26">
            <wp:extent cx="5400722" cy="2480531"/>
            <wp:effectExtent l="0" t="0" r="0" b="0"/>
            <wp:docPr id="1660572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a:extLst>
                        <a:ext uri="{28A0092B-C50C-407E-A947-70E740481C1C}">
                          <a14:useLocalDpi xmlns:a14="http://schemas.microsoft.com/office/drawing/2010/main" val="0"/>
                        </a:ext>
                      </a:extLst>
                    </a:blip>
                    <a:srcRect t="2061" b="6081"/>
                    <a:stretch/>
                  </pic:blipFill>
                  <pic:spPr bwMode="auto">
                    <a:xfrm>
                      <a:off x="0" y="0"/>
                      <a:ext cx="5401310" cy="2480801"/>
                    </a:xfrm>
                    <a:prstGeom prst="rect">
                      <a:avLst/>
                    </a:prstGeom>
                    <a:noFill/>
                    <a:ln>
                      <a:noFill/>
                    </a:ln>
                    <a:extLst>
                      <a:ext uri="{53640926-AAD7-44D8-BBD7-CCE9431645EC}">
                        <a14:shadowObscured xmlns:a14="http://schemas.microsoft.com/office/drawing/2010/main"/>
                      </a:ext>
                    </a:extLst>
                  </pic:spPr>
                </pic:pic>
              </a:graphicData>
            </a:graphic>
          </wp:inline>
        </w:drawing>
      </w:r>
    </w:p>
    <w:p w14:paraId="2A8960D5" w14:textId="77777777" w:rsidR="00D97D6C" w:rsidRPr="001D5327" w:rsidRDefault="00D97D6C" w:rsidP="00D97D6C">
      <w:pPr>
        <w:pStyle w:val="Heading4"/>
      </w:pPr>
      <w:r w:rsidRPr="001D5327">
        <w:t>Methodological issues</w:t>
      </w:r>
    </w:p>
    <w:p w14:paraId="73548B11" w14:textId="77777777" w:rsidR="00D97D6C" w:rsidRPr="001D5327" w:rsidRDefault="00D97D6C" w:rsidP="003D70A0">
      <w:pPr>
        <w:pStyle w:val="Heading5"/>
        <w:spacing w:before="180"/>
        <w:rPr>
          <w:sz w:val="26"/>
        </w:rPr>
      </w:pPr>
      <w:r w:rsidRPr="001D5327">
        <w:rPr>
          <w:lang w:eastAsia="en-GB"/>
        </w:rPr>
        <w:t>1.A.1.c Manufacture of solid fuels and other energy industries</w:t>
      </w:r>
    </w:p>
    <w:p w14:paraId="0D67F427" w14:textId="77777777" w:rsidR="00D97D6C" w:rsidRPr="001D5327" w:rsidRDefault="00D97D6C" w:rsidP="00D97D6C">
      <w:pPr>
        <w:pStyle w:val="BodyText"/>
        <w:rPr>
          <w:rFonts w:cs="Calibri"/>
          <w:lang w:eastAsia="en-GB"/>
        </w:rPr>
      </w:pPr>
      <w:r w:rsidRPr="001D5327">
        <w:rPr>
          <w:rFonts w:cs="Calibri"/>
          <w:lang w:eastAsia="en-GB"/>
        </w:rPr>
        <w:t>Methanex New Zealand produced synthetic gasoline until 1997. A Tier 2 methodology was used to estimate CO</w:t>
      </w:r>
      <w:r w:rsidRPr="001D5327">
        <w:rPr>
          <w:rFonts w:cs="Calibri"/>
          <w:vertAlign w:val="subscript"/>
          <w:lang w:eastAsia="en-GB"/>
        </w:rPr>
        <w:t>2</w:t>
      </w:r>
      <w:r w:rsidRPr="001D5327">
        <w:rPr>
          <w:rFonts w:cs="Calibri"/>
          <w:lang w:eastAsia="en-GB"/>
        </w:rPr>
        <w:t xml:space="preserve"> emissions based on the annual weighted average gas emission factor. </w:t>
      </w:r>
    </w:p>
    <w:p w14:paraId="680E4213" w14:textId="77777777" w:rsidR="00D97D6C" w:rsidRPr="001D5327" w:rsidRDefault="00D97D6C" w:rsidP="00D97D6C">
      <w:pPr>
        <w:pStyle w:val="Heading4"/>
        <w:rPr>
          <w:lang w:eastAsia="en-GB"/>
        </w:rPr>
      </w:pPr>
      <w:r w:rsidRPr="001D5327">
        <w:rPr>
          <w:lang w:eastAsia="en-GB"/>
        </w:rPr>
        <w:t>Activity data</w:t>
      </w:r>
    </w:p>
    <w:p w14:paraId="0609BECE" w14:textId="77777777" w:rsidR="00D97D6C" w:rsidRPr="001D5327" w:rsidRDefault="00D97D6C" w:rsidP="003D70A0">
      <w:pPr>
        <w:pStyle w:val="Heading5"/>
        <w:spacing w:before="180"/>
        <w:rPr>
          <w:sz w:val="26"/>
        </w:rPr>
      </w:pPr>
      <w:r w:rsidRPr="001D5327">
        <w:rPr>
          <w:lang w:eastAsia="en-GB"/>
        </w:rPr>
        <w:t>1.A.1.a Public electricity and heat production</w:t>
      </w:r>
    </w:p>
    <w:p w14:paraId="3EE98787" w14:textId="41530579" w:rsidR="00D97D6C" w:rsidRPr="001D5327" w:rsidRDefault="00D97D6C" w:rsidP="00D97D6C">
      <w:pPr>
        <w:pStyle w:val="BodyText"/>
        <w:rPr>
          <w:rFonts w:cs="Calibri"/>
          <w:lang w:eastAsia="en-GB"/>
        </w:rPr>
      </w:pPr>
      <w:r w:rsidRPr="001D5327">
        <w:rPr>
          <w:rFonts w:cs="Calibri"/>
          <w:lang w:eastAsia="en-GB"/>
        </w:rPr>
        <w:t xml:space="preserve">All thermal electricity generators provide figures to MBIE </w:t>
      </w:r>
      <w:r w:rsidR="00434D6F" w:rsidRPr="001D5327">
        <w:rPr>
          <w:rFonts w:cs="Calibri"/>
          <w:lang w:eastAsia="en-GB"/>
        </w:rPr>
        <w:t>on</w:t>
      </w:r>
      <w:r w:rsidRPr="001D5327">
        <w:rPr>
          <w:rFonts w:cs="Calibri"/>
          <w:lang w:eastAsia="en-GB"/>
        </w:rPr>
        <w:t xml:space="preserve"> coal, natural gas and oil used for electricity generation. Greenhouse gas emissions from geothermal electricity generation are reported in </w:t>
      </w:r>
      <w:r w:rsidR="00900111" w:rsidRPr="001D5327">
        <w:rPr>
          <w:rFonts w:cs="Calibri"/>
        </w:rPr>
        <w:t xml:space="preserve">category </w:t>
      </w:r>
      <w:r w:rsidRPr="001D5327">
        <w:rPr>
          <w:rFonts w:cs="Calibri"/>
          <w:lang w:eastAsia="en-GB"/>
        </w:rPr>
        <w:t xml:space="preserve">1.B.2.d </w:t>
      </w:r>
      <w:r w:rsidRPr="001D5327">
        <w:rPr>
          <w:rFonts w:cs="Calibri"/>
          <w:i/>
          <w:iCs/>
          <w:lang w:eastAsia="en-GB"/>
        </w:rPr>
        <w:t>Fugitive emissions – Geothermal</w:t>
      </w:r>
      <w:r w:rsidRPr="001D5327">
        <w:rPr>
          <w:rFonts w:cs="Calibri"/>
          <w:lang w:eastAsia="en-GB"/>
        </w:rPr>
        <w:t>.</w:t>
      </w:r>
    </w:p>
    <w:p w14:paraId="200123B5" w14:textId="4AFA1921" w:rsidR="00D97D6C" w:rsidRPr="001D5327" w:rsidRDefault="00D97D6C" w:rsidP="00D97D6C">
      <w:pPr>
        <w:pStyle w:val="BodyText"/>
        <w:rPr>
          <w:rFonts w:cs="Calibri"/>
          <w:lang w:eastAsia="en-GB"/>
        </w:rPr>
      </w:pPr>
      <w:r w:rsidRPr="001D5327">
        <w:rPr>
          <w:rFonts w:cs="Calibri"/>
          <w:lang w:eastAsia="en-GB"/>
        </w:rPr>
        <w:t xml:space="preserve">Around 5 per cent of New Zealand’s electricity is supplied by co-generation (also known as combined heat and power) (MBIE, </w:t>
      </w:r>
      <w:r w:rsidR="006A21DD" w:rsidRPr="001D5327">
        <w:rPr>
          <w:rFonts w:cs="Calibri"/>
          <w:lang w:eastAsia="en-GB"/>
        </w:rPr>
        <w:t>2024</w:t>
      </w:r>
      <w:r w:rsidR="002D4006" w:rsidRPr="001D5327">
        <w:rPr>
          <w:rFonts w:cs="Calibri"/>
          <w:lang w:eastAsia="en-GB"/>
        </w:rPr>
        <w:t>a</w:t>
      </w:r>
      <w:r w:rsidRPr="001D5327">
        <w:rPr>
          <w:rFonts w:cs="Calibri"/>
          <w:lang w:eastAsia="en-GB"/>
        </w:rPr>
        <w:t xml:space="preserve">). Most major co-generation plants are attached to large industrial facilities that consume </w:t>
      </w:r>
      <w:r w:rsidR="0056604D" w:rsidRPr="001D5327">
        <w:rPr>
          <w:rFonts w:cs="Calibri"/>
          <w:lang w:eastAsia="en-GB"/>
        </w:rPr>
        <w:t>most of</w:t>
      </w:r>
      <w:r w:rsidRPr="001D5327">
        <w:rPr>
          <w:rFonts w:cs="Calibri"/>
          <w:lang w:eastAsia="en-GB"/>
        </w:rPr>
        <w:t xml:space="preserve"> the generated electricity and heat. </w:t>
      </w:r>
    </w:p>
    <w:p w14:paraId="66C38C2D" w14:textId="0A3B1D4D" w:rsidR="00D97D6C" w:rsidRPr="001D5327" w:rsidRDefault="00D97D6C" w:rsidP="00D97D6C">
      <w:pPr>
        <w:pStyle w:val="BodyText"/>
        <w:rPr>
          <w:rFonts w:cs="Calibri"/>
          <w:lang w:eastAsia="en-GB"/>
        </w:rPr>
      </w:pPr>
      <w:r w:rsidRPr="001D5327">
        <w:rPr>
          <w:rFonts w:cs="Calibri"/>
          <w:lang w:eastAsia="en-GB"/>
        </w:rPr>
        <w:t xml:space="preserve">Six co-generation plants that fit the IPCC </w:t>
      </w:r>
      <w:r w:rsidR="00AE4514" w:rsidRPr="001D5327">
        <w:rPr>
          <w:rFonts w:cs="Calibri"/>
          <w:lang w:eastAsia="en-GB"/>
        </w:rPr>
        <w:t>(</w:t>
      </w:r>
      <w:r w:rsidRPr="001D5327">
        <w:rPr>
          <w:rFonts w:cs="Calibri"/>
          <w:lang w:eastAsia="en-GB"/>
        </w:rPr>
        <w:t>2006</w:t>
      </w:r>
      <w:r w:rsidR="00AE4514" w:rsidRPr="001D5327">
        <w:rPr>
          <w:rFonts w:cs="Calibri"/>
          <w:lang w:eastAsia="en-GB"/>
        </w:rPr>
        <w:t>)</w:t>
      </w:r>
      <w:r w:rsidRPr="001D5327">
        <w:rPr>
          <w:rFonts w:cs="Calibri"/>
          <w:lang w:eastAsia="en-GB"/>
        </w:rPr>
        <w:t xml:space="preserve"> definition of public electricity and heat production produce electricity as their primary purpose. The emissions from these plants are included in </w:t>
      </w:r>
      <w:r w:rsidR="00A54002" w:rsidRPr="001D5327">
        <w:rPr>
          <w:rFonts w:cs="Calibri"/>
          <w:lang w:eastAsia="en-GB"/>
        </w:rPr>
        <w:t>category</w:t>
      </w:r>
      <w:r w:rsidRPr="001D5327">
        <w:rPr>
          <w:rFonts w:cs="Calibri"/>
          <w:lang w:eastAsia="en-GB"/>
        </w:rPr>
        <w:t xml:space="preserve"> 1.A.1.a </w:t>
      </w:r>
      <w:r w:rsidRPr="001D5327">
        <w:rPr>
          <w:rFonts w:cs="Calibri"/>
          <w:i/>
          <w:lang w:eastAsia="en-GB"/>
        </w:rPr>
        <w:t>Public electricity and heat production</w:t>
      </w:r>
      <w:r w:rsidRPr="001D5327">
        <w:rPr>
          <w:rFonts w:cs="Calibri"/>
          <w:lang w:eastAsia="en-GB"/>
        </w:rPr>
        <w:t>, while emissions from other co</w:t>
      </w:r>
      <w:r w:rsidRPr="001D5327">
        <w:rPr>
          <w:rFonts w:cs="Calibri"/>
          <w:lang w:eastAsia="en-GB"/>
        </w:rPr>
        <w:noBreakHyphen/>
        <w:t xml:space="preserve">generation plants are included in </w:t>
      </w:r>
      <w:r w:rsidR="00A54002" w:rsidRPr="001D5327">
        <w:rPr>
          <w:rFonts w:cs="Calibri"/>
          <w:lang w:eastAsia="en-GB"/>
        </w:rPr>
        <w:t>category</w:t>
      </w:r>
      <w:r w:rsidRPr="001D5327">
        <w:rPr>
          <w:rFonts w:cs="Calibri"/>
          <w:lang w:eastAsia="en-GB"/>
        </w:rPr>
        <w:t xml:space="preserve"> 1.A.2 </w:t>
      </w:r>
      <w:r w:rsidRPr="001D5327">
        <w:rPr>
          <w:rFonts w:cs="Calibri"/>
          <w:i/>
          <w:lang w:eastAsia="en-GB"/>
        </w:rPr>
        <w:t>Manufacturing industries and construction</w:t>
      </w:r>
      <w:r w:rsidRPr="001D5327">
        <w:rPr>
          <w:rFonts w:cs="Calibri"/>
          <w:lang w:eastAsia="en-GB"/>
        </w:rPr>
        <w:t xml:space="preserve"> (section 3.2.8). </w:t>
      </w:r>
    </w:p>
    <w:p w14:paraId="76E587BD" w14:textId="77777777" w:rsidR="00D97D6C" w:rsidRPr="001D5327" w:rsidRDefault="00D97D6C" w:rsidP="00D97D6C">
      <w:pPr>
        <w:pStyle w:val="BodyText"/>
        <w:rPr>
          <w:rFonts w:cs="Calibri"/>
          <w:lang w:eastAsia="en-GB"/>
        </w:rPr>
      </w:pPr>
      <w:r w:rsidRPr="001D5327">
        <w:rPr>
          <w:rFonts w:cs="Calibri"/>
          <w:lang w:eastAsia="en-GB"/>
        </w:rPr>
        <w:lastRenderedPageBreak/>
        <w:t>To establish a consistent approach to on-site generation, MBIE developed a decision tree to guide the allocation of associated fuel consumption and identify whether the plant is a main activity electricity generator or an autoproducer (see figure 3.2.7).</w:t>
      </w:r>
    </w:p>
    <w:p w14:paraId="60E2701C" w14:textId="7D6D010F" w:rsidR="00F417C2" w:rsidRDefault="00D97D6C" w:rsidP="00D97D6C">
      <w:pPr>
        <w:pStyle w:val="Figure"/>
        <w:rPr>
          <w:rFonts w:cs="Calibri"/>
          <w:lang w:eastAsia="en-GB"/>
        </w:rPr>
      </w:pPr>
      <w:bookmarkStart w:id="282" w:name="_Ref442370479"/>
      <w:bookmarkStart w:id="283" w:name="_Toc321399329"/>
      <w:bookmarkStart w:id="284" w:name="_Toc384582857"/>
      <w:bookmarkStart w:id="285" w:name="_Toc443060817"/>
      <w:bookmarkStart w:id="286" w:name="_Toc447275674"/>
      <w:bookmarkStart w:id="287" w:name="_Toc481751992"/>
      <w:bookmarkStart w:id="288" w:name="_Toc36292776"/>
      <w:bookmarkStart w:id="289" w:name="_Toc68786641"/>
      <w:bookmarkStart w:id="290" w:name="_Toc95834076"/>
      <w:bookmarkStart w:id="291" w:name="_Toc164154012"/>
      <w:bookmarkStart w:id="292" w:name="_Toc194674845"/>
      <w:r w:rsidRPr="001D5327">
        <w:rPr>
          <w:rFonts w:cs="Calibri"/>
        </w:rPr>
        <w:t>Figure 3.2.</w:t>
      </w:r>
      <w:r w:rsidRPr="001D5327">
        <w:rPr>
          <w:rFonts w:cs="Calibri"/>
        </w:rPr>
        <w:fldChar w:fldCharType="begin"/>
      </w:r>
      <w:r w:rsidRPr="001D5327">
        <w:rPr>
          <w:rFonts w:cs="Calibri"/>
        </w:rPr>
        <w:instrText xml:space="preserve"> SEQ Figure \* ARABIC \s 2 </w:instrText>
      </w:r>
      <w:r w:rsidRPr="001D5327">
        <w:rPr>
          <w:rFonts w:cs="Calibri"/>
        </w:rPr>
        <w:fldChar w:fldCharType="separate"/>
      </w:r>
      <w:r w:rsidR="00B93180">
        <w:rPr>
          <w:rFonts w:cs="Calibri"/>
          <w:noProof/>
        </w:rPr>
        <w:t>7</w:t>
      </w:r>
      <w:r w:rsidRPr="001D5327">
        <w:rPr>
          <w:rFonts w:cs="Calibri"/>
        </w:rPr>
        <w:fldChar w:fldCharType="end"/>
      </w:r>
      <w:bookmarkEnd w:id="282"/>
      <w:r w:rsidRPr="001D5327">
        <w:rPr>
          <w:rFonts w:cs="Calibri"/>
          <w:lang w:eastAsia="en-GB"/>
        </w:rPr>
        <w:tab/>
        <w:t xml:space="preserve">Decision tree </w:t>
      </w:r>
      <w:bookmarkEnd w:id="283"/>
      <w:r w:rsidRPr="001D5327">
        <w:rPr>
          <w:rFonts w:cs="Calibri"/>
          <w:lang w:eastAsia="en-GB"/>
        </w:rPr>
        <w:t>to identify a main activity electricity generator or an autoproducer</w:t>
      </w:r>
      <w:bookmarkEnd w:id="284"/>
      <w:bookmarkEnd w:id="285"/>
      <w:bookmarkEnd w:id="286"/>
      <w:bookmarkEnd w:id="287"/>
      <w:bookmarkEnd w:id="288"/>
      <w:bookmarkEnd w:id="289"/>
      <w:bookmarkEnd w:id="290"/>
      <w:bookmarkEnd w:id="291"/>
      <w:bookmarkEnd w:id="292"/>
    </w:p>
    <w:p w14:paraId="5E95655B" w14:textId="79698A10" w:rsidR="00D97D6C" w:rsidRPr="001D5327" w:rsidRDefault="00F417C2" w:rsidP="00F417C2">
      <w:pPr>
        <w:pStyle w:val="BodyText"/>
        <w:jc w:val="center"/>
        <w:rPr>
          <w:lang w:eastAsia="en-GB"/>
        </w:rPr>
      </w:pPr>
      <w:r>
        <w:rPr>
          <w:noProof/>
          <w:lang w:eastAsia="en-GB"/>
        </w:rPr>
        <w:drawing>
          <wp:inline distT="0" distB="0" distL="0" distR="0" wp14:anchorId="422398EF" wp14:editId="781A4446">
            <wp:extent cx="3909903" cy="2880000"/>
            <wp:effectExtent l="0" t="0" r="0" b="0"/>
            <wp:docPr id="1273276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76354" name="Picture 1273276354"/>
                    <pic:cNvPicPr/>
                  </pic:nvPicPr>
                  <pic:blipFill>
                    <a:blip r:embed="rId66">
                      <a:extLst>
                        <a:ext uri="{28A0092B-C50C-407E-A947-70E740481C1C}">
                          <a14:useLocalDpi xmlns:a14="http://schemas.microsoft.com/office/drawing/2010/main" val="0"/>
                        </a:ext>
                      </a:extLst>
                    </a:blip>
                    <a:stretch>
                      <a:fillRect/>
                    </a:stretch>
                  </pic:blipFill>
                  <pic:spPr>
                    <a:xfrm>
                      <a:off x="0" y="0"/>
                      <a:ext cx="3909903" cy="2880000"/>
                    </a:xfrm>
                    <a:prstGeom prst="rect">
                      <a:avLst/>
                    </a:prstGeom>
                  </pic:spPr>
                </pic:pic>
              </a:graphicData>
            </a:graphic>
          </wp:inline>
        </w:drawing>
      </w:r>
    </w:p>
    <w:p w14:paraId="4BCEA554" w14:textId="77777777" w:rsidR="00D97D6C" w:rsidRPr="001D5327" w:rsidRDefault="00D97D6C" w:rsidP="00BF2A76">
      <w:pPr>
        <w:pStyle w:val="Heading5"/>
        <w:rPr>
          <w:sz w:val="26"/>
        </w:rPr>
      </w:pPr>
      <w:r w:rsidRPr="001D5327">
        <w:rPr>
          <w:lang w:eastAsia="en-GB"/>
        </w:rPr>
        <w:t xml:space="preserve">1.A.1.b </w:t>
      </w:r>
      <w:r w:rsidRPr="001D5327">
        <w:t>Petroleum</w:t>
      </w:r>
      <w:r w:rsidRPr="001D5327">
        <w:rPr>
          <w:lang w:eastAsia="en-GB"/>
        </w:rPr>
        <w:t xml:space="preserve"> refining</w:t>
      </w:r>
    </w:p>
    <w:p w14:paraId="51A97715" w14:textId="4287202F" w:rsidR="00D97D6C" w:rsidRPr="001D5327" w:rsidRDefault="00D97D6C" w:rsidP="00D97D6C">
      <w:pPr>
        <w:pStyle w:val="BodyText"/>
        <w:keepLines/>
        <w:rPr>
          <w:rFonts w:cs="Calibri"/>
          <w:lang w:eastAsia="en-GB"/>
        </w:rPr>
      </w:pPr>
      <w:r w:rsidRPr="001D5327">
        <w:rPr>
          <w:rFonts w:cs="Calibri"/>
          <w:lang w:eastAsia="en-GB"/>
        </w:rPr>
        <w:t xml:space="preserve">Petroleum refining in New Zealand occurred up until March 2022 at only one site: the Marsden Point Oil Refinery, owned by Refining New Zealand. Refining New Zealand formerly provided annual activity data and emission factors for each type of fuel consumed at the site. The fuel-type specific emission factors were adopted under the Government’s Projects to Reduce Emissions in 2003 (Ministry for the Environment, 2009). </w:t>
      </w:r>
    </w:p>
    <w:p w14:paraId="6D4A4C39" w14:textId="77777777" w:rsidR="00D97D6C" w:rsidRPr="001D5327" w:rsidRDefault="00D97D6C" w:rsidP="00D97D6C">
      <w:pPr>
        <w:pStyle w:val="BodyText"/>
        <w:rPr>
          <w:rFonts w:cs="Calibri"/>
          <w:lang w:eastAsia="en-GB"/>
        </w:rPr>
      </w:pPr>
      <w:r w:rsidRPr="001D5327">
        <w:rPr>
          <w:rFonts w:cs="Calibri"/>
          <w:lang w:eastAsia="en-GB"/>
        </w:rPr>
        <w:t xml:space="preserve">Refinery gas is obtained during the distillation of crude oil and production of oil products. As a result, emissions from its combustion are implicitly included under liquid fuels in the reference approach. </w:t>
      </w:r>
    </w:p>
    <w:p w14:paraId="565B209D" w14:textId="77777777" w:rsidR="00D97D6C" w:rsidRPr="001D5327" w:rsidRDefault="00D97D6C" w:rsidP="00BF2A76">
      <w:pPr>
        <w:pStyle w:val="Heading5"/>
        <w:rPr>
          <w:lang w:eastAsia="en-GB"/>
        </w:rPr>
      </w:pPr>
      <w:r w:rsidRPr="001D5327">
        <w:rPr>
          <w:lang w:eastAsia="en-GB"/>
        </w:rPr>
        <w:t>1.A.1.c.ii Manufacture of solid fuels and other energy industries – Other energy industries</w:t>
      </w:r>
    </w:p>
    <w:p w14:paraId="00FF1542" w14:textId="278B9915" w:rsidR="00D97D6C" w:rsidRPr="001D5327" w:rsidRDefault="00D97D6C" w:rsidP="00D97D6C">
      <w:pPr>
        <w:pStyle w:val="BodyText"/>
        <w:rPr>
          <w:rFonts w:cs="Calibri"/>
          <w:lang w:eastAsia="en-GB"/>
        </w:rPr>
      </w:pPr>
      <w:r w:rsidRPr="001D5327">
        <w:rPr>
          <w:rFonts w:cs="Calibri"/>
          <w:lang w:eastAsia="en-GB"/>
        </w:rPr>
        <w:t>Activity data for the useful combustion (own use) of natural gas during oil and gas extraction are provided to MBIE by each individual gas and/or oil field operator. Some crude oil is also</w:t>
      </w:r>
      <w:r w:rsidR="000750F7" w:rsidRPr="001D5327">
        <w:rPr>
          <w:rFonts w:cs="Calibri"/>
          <w:lang w:eastAsia="en-GB"/>
        </w:rPr>
        <w:t> </w:t>
      </w:r>
      <w:r w:rsidRPr="001D5327">
        <w:rPr>
          <w:rFonts w:cs="Calibri"/>
          <w:lang w:eastAsia="en-GB"/>
        </w:rPr>
        <w:t>combusted (own use) during oil and gas extraction</w:t>
      </w:r>
      <w:r w:rsidR="00AC5477" w:rsidRPr="001D5327">
        <w:rPr>
          <w:rFonts w:cs="Calibri"/>
          <w:lang w:eastAsia="en-GB"/>
        </w:rPr>
        <w:t>, and</w:t>
      </w:r>
      <w:r w:rsidRPr="001D5327">
        <w:rPr>
          <w:rFonts w:cs="Calibri"/>
          <w:lang w:eastAsia="en-GB"/>
        </w:rPr>
        <w:t xml:space="preserve"> </w:t>
      </w:r>
      <w:r w:rsidR="00AC5477" w:rsidRPr="001D5327">
        <w:rPr>
          <w:rFonts w:cs="Calibri"/>
          <w:lang w:eastAsia="en-GB"/>
        </w:rPr>
        <w:t>t</w:t>
      </w:r>
      <w:r w:rsidRPr="001D5327">
        <w:rPr>
          <w:rFonts w:cs="Calibri"/>
          <w:lang w:eastAsia="en-GB"/>
        </w:rPr>
        <w:t xml:space="preserve">he quantity is reported </w:t>
      </w:r>
      <w:r w:rsidR="00AC5477" w:rsidRPr="001D5327">
        <w:rPr>
          <w:rFonts w:cs="Calibri"/>
          <w:lang w:eastAsia="en-GB"/>
        </w:rPr>
        <w:t xml:space="preserve">in </w:t>
      </w:r>
      <w:r w:rsidR="002F3F34" w:rsidRPr="001D5327">
        <w:rPr>
          <w:rFonts w:cs="Calibri"/>
          <w:lang w:eastAsia="en-GB"/>
        </w:rPr>
        <w:t>NZ</w:t>
      </w:r>
      <w:r w:rsidR="000750F7" w:rsidRPr="001D5327">
        <w:rPr>
          <w:rFonts w:cs="Calibri"/>
          <w:lang w:eastAsia="en-GB"/>
        </w:rPr>
        <w:t> </w:t>
      </w:r>
      <w:r w:rsidR="00AC5477" w:rsidRPr="001D5327">
        <w:rPr>
          <w:rFonts w:cs="Calibri"/>
          <w:lang w:eastAsia="en-GB"/>
        </w:rPr>
        <w:t>ETS</w:t>
      </w:r>
      <w:r w:rsidR="000750F7" w:rsidRPr="001D5327">
        <w:rPr>
          <w:rFonts w:cs="Calibri"/>
          <w:lang w:eastAsia="en-GB"/>
        </w:rPr>
        <w:t> </w:t>
      </w:r>
      <w:r w:rsidR="00AC5477" w:rsidRPr="001D5327">
        <w:rPr>
          <w:rFonts w:cs="Calibri"/>
          <w:lang w:eastAsia="en-GB"/>
        </w:rPr>
        <w:t>returns</w:t>
      </w:r>
      <w:r w:rsidRPr="001D5327">
        <w:rPr>
          <w:rFonts w:cs="Calibri"/>
          <w:lang w:eastAsia="en-GB"/>
        </w:rPr>
        <w:t xml:space="preserve">. </w:t>
      </w:r>
    </w:p>
    <w:p w14:paraId="54DF3FDF" w14:textId="77777777" w:rsidR="00D97D6C" w:rsidRPr="001D5327" w:rsidRDefault="00D97D6C" w:rsidP="00D97D6C">
      <w:pPr>
        <w:pStyle w:val="BodyText"/>
        <w:rPr>
          <w:rFonts w:cs="Calibri"/>
          <w:lang w:eastAsia="en-GB"/>
        </w:rPr>
      </w:pPr>
      <w:r w:rsidRPr="001D5327">
        <w:rPr>
          <w:rFonts w:cs="Calibri"/>
          <w:lang w:eastAsia="en-GB"/>
        </w:rPr>
        <w:t>Emissions from natural gas combustion (own use) for the purpose of natural gas transmission are reported directly to MBIE by the transmission network operator. Emissions from natural gas combustion (own use) for the purpose of natural gas processing are reported directly to MBIE by the plant operator.</w:t>
      </w:r>
    </w:p>
    <w:p w14:paraId="13A21F03" w14:textId="77777777" w:rsidR="00D97D6C" w:rsidRPr="001D5327" w:rsidRDefault="00D97D6C" w:rsidP="00D97D6C">
      <w:pPr>
        <w:pStyle w:val="BodyText"/>
        <w:rPr>
          <w:rFonts w:cs="Calibri"/>
          <w:lang w:eastAsia="en-GB"/>
        </w:rPr>
      </w:pPr>
      <w:r w:rsidRPr="001D5327">
        <w:rPr>
          <w:rFonts w:cs="Calibri"/>
          <w:lang w:eastAsia="en-GB"/>
        </w:rPr>
        <w:t>Losses and own use of coal by coal mining entities are reported as a single item, so data on on</w:t>
      </w:r>
      <w:r w:rsidRPr="001D5327">
        <w:rPr>
          <w:rFonts w:cs="Calibri"/>
          <w:lang w:eastAsia="en-GB"/>
        </w:rPr>
        <w:noBreakHyphen/>
        <w:t>site coal use are not available. Historically, coal mines would use their own coal to fuel on</w:t>
      </w:r>
      <w:r w:rsidRPr="001D5327">
        <w:rPr>
          <w:rFonts w:cs="Calibri"/>
          <w:lang w:eastAsia="en-GB"/>
        </w:rPr>
        <w:noBreakHyphen/>
        <w:t>site water boilers. However, the last of these at the Stockton mine closed in the mid-1980s, and the expert opinion of coal industry specialists is that any water boilers on site are now fuelled by natural gas or electricity.</w:t>
      </w:r>
    </w:p>
    <w:p w14:paraId="4D8C8297" w14:textId="77777777" w:rsidR="00D97D6C" w:rsidRPr="001D5327" w:rsidRDefault="00D97D6C" w:rsidP="00D97D6C">
      <w:pPr>
        <w:pStyle w:val="Heading4"/>
        <w:rPr>
          <w:rFonts w:cs="Calibri"/>
          <w:sz w:val="26"/>
        </w:rPr>
      </w:pPr>
      <w:r w:rsidRPr="001D5327">
        <w:rPr>
          <w:lang w:eastAsia="en-GB"/>
        </w:rPr>
        <w:lastRenderedPageBreak/>
        <w:t>Emission factors</w:t>
      </w:r>
    </w:p>
    <w:p w14:paraId="227AC628" w14:textId="77777777" w:rsidR="00D97D6C" w:rsidRPr="001D5327" w:rsidRDefault="00D97D6C" w:rsidP="00BF2A76">
      <w:pPr>
        <w:pStyle w:val="Heading5"/>
        <w:rPr>
          <w:sz w:val="26"/>
        </w:rPr>
      </w:pPr>
      <w:r w:rsidRPr="001D5327">
        <w:rPr>
          <w:lang w:eastAsia="en-GB"/>
        </w:rPr>
        <w:t>Gaseous fuels</w:t>
      </w:r>
    </w:p>
    <w:p w14:paraId="5B10A434" w14:textId="58C65AE7" w:rsidR="00D97D6C" w:rsidRPr="001D5327" w:rsidRDefault="00D97D6C" w:rsidP="00D97D6C">
      <w:pPr>
        <w:pStyle w:val="BodyText"/>
        <w:rPr>
          <w:rFonts w:cs="Calibri"/>
          <w:sz w:val="16"/>
          <w:szCs w:val="16"/>
          <w:lang w:eastAsia="en-GB"/>
        </w:rPr>
      </w:pPr>
      <w:r w:rsidRPr="001D5327">
        <w:rPr>
          <w:rFonts w:cs="Calibri"/>
          <w:lang w:eastAsia="en-GB"/>
        </w:rPr>
        <w:t>As mentioned in section 3.2.2, New Zealand’s CO</w:t>
      </w:r>
      <w:r w:rsidRPr="001D5327">
        <w:rPr>
          <w:rFonts w:cs="Calibri"/>
          <w:vertAlign w:val="subscript"/>
          <w:lang w:eastAsia="en-GB"/>
        </w:rPr>
        <w:t>2</w:t>
      </w:r>
      <w:r w:rsidRPr="001D5327">
        <w:rPr>
          <w:rFonts w:cs="Calibri"/>
          <w:lang w:eastAsia="en-GB"/>
        </w:rPr>
        <w:t xml:space="preserve"> emission factor for natural gas fluctuates from year to year, reflecting the relative amount of gas produced from the various gas fields in a given year. New Zealand gas fields also have higher CO</w:t>
      </w:r>
      <w:r w:rsidRPr="001D5327">
        <w:rPr>
          <w:rFonts w:cs="Calibri"/>
          <w:vertAlign w:val="subscript"/>
          <w:lang w:eastAsia="en-GB"/>
        </w:rPr>
        <w:t>2</w:t>
      </w:r>
      <w:r w:rsidRPr="001D5327">
        <w:rPr>
          <w:rFonts w:cs="Calibri"/>
          <w:lang w:eastAsia="en-GB"/>
        </w:rPr>
        <w:t xml:space="preserve"> content than most international gas fields. This is particularly evident in </w:t>
      </w:r>
      <w:r w:rsidR="00A54002" w:rsidRPr="001D5327">
        <w:rPr>
          <w:rFonts w:cs="Calibri"/>
          <w:lang w:eastAsia="en-GB"/>
        </w:rPr>
        <w:t xml:space="preserve">category </w:t>
      </w:r>
      <w:r w:rsidRPr="001D5327">
        <w:rPr>
          <w:rFonts w:cs="Calibri"/>
          <w:lang w:eastAsia="en-GB"/>
        </w:rPr>
        <w:t xml:space="preserve">1.A.1.a </w:t>
      </w:r>
      <w:r w:rsidRPr="001D5327">
        <w:rPr>
          <w:rFonts w:cs="Calibri"/>
          <w:i/>
          <w:lang w:eastAsia="en-GB"/>
        </w:rPr>
        <w:t>Public electricity and heat production</w:t>
      </w:r>
      <w:r w:rsidRPr="001D5327">
        <w:rPr>
          <w:rFonts w:cs="Calibri"/>
          <w:lang w:eastAsia="en-GB"/>
        </w:rPr>
        <w:t>.</w:t>
      </w:r>
      <w:r w:rsidRPr="001D5327">
        <w:rPr>
          <w:rFonts w:cs="Calibri"/>
          <w:sz w:val="16"/>
          <w:szCs w:val="16"/>
          <w:lang w:eastAsia="en-GB"/>
        </w:rPr>
        <w:t xml:space="preserve"> </w:t>
      </w:r>
    </w:p>
    <w:p w14:paraId="28783728" w14:textId="77777777" w:rsidR="00D97D6C" w:rsidRPr="001D5327" w:rsidRDefault="00D97D6C" w:rsidP="00D97D6C">
      <w:pPr>
        <w:pStyle w:val="Heading4"/>
      </w:pPr>
      <w:r w:rsidRPr="001D5327">
        <w:t>Uncertainty assessment and time-series consistency</w:t>
      </w:r>
    </w:p>
    <w:p w14:paraId="26E8D253" w14:textId="77777777" w:rsidR="00D97D6C" w:rsidRPr="001D5327" w:rsidRDefault="00D97D6C" w:rsidP="00D97D6C">
      <w:pPr>
        <w:pStyle w:val="BodyText"/>
        <w:rPr>
          <w:rFonts w:cs="Calibri"/>
          <w:lang w:eastAsia="en-GB"/>
        </w:rPr>
      </w:pPr>
      <w:r w:rsidRPr="001D5327">
        <w:rPr>
          <w:rFonts w:cs="Calibri"/>
          <w:lang w:eastAsia="en-GB"/>
        </w:rPr>
        <w:t xml:space="preserve">Uncertainties in emissions and activity data estimates for this category are relevant to the entire </w:t>
      </w:r>
      <w:r w:rsidRPr="001D5327">
        <w:rPr>
          <w:rFonts w:cs="Calibri"/>
          <w:i/>
          <w:lang w:eastAsia="en-GB"/>
        </w:rPr>
        <w:t>Fuel combustion</w:t>
      </w:r>
      <w:r w:rsidRPr="001D5327">
        <w:rPr>
          <w:rFonts w:cs="Calibri"/>
          <w:lang w:eastAsia="en-GB"/>
        </w:rPr>
        <w:t xml:space="preserve"> category (see table 3.2.1).</w:t>
      </w:r>
    </w:p>
    <w:p w14:paraId="4CD976FE" w14:textId="77777777" w:rsidR="00D97D6C" w:rsidRPr="001D5327" w:rsidRDefault="00D97D6C" w:rsidP="00D97D6C">
      <w:pPr>
        <w:pStyle w:val="Heading4"/>
      </w:pPr>
      <w:r w:rsidRPr="001D5327">
        <w:t>Category-specific QA/QC and verification</w:t>
      </w:r>
    </w:p>
    <w:p w14:paraId="4DB6DAFE" w14:textId="77777777" w:rsidR="00D97D6C" w:rsidRPr="001D5327" w:rsidRDefault="00D97D6C" w:rsidP="00D97D6C">
      <w:pPr>
        <w:pStyle w:val="BodyText"/>
        <w:rPr>
          <w:rFonts w:cs="Calibri"/>
          <w:lang w:eastAsia="en-GB"/>
        </w:rPr>
      </w:pPr>
      <w:r w:rsidRPr="001D5327">
        <w:rPr>
          <w:rFonts w:cs="Calibri"/>
          <w:lang w:eastAsia="en-GB"/>
        </w:rPr>
        <w:t xml:space="preserve">In the preparation of this inventory, the </w:t>
      </w:r>
      <w:r w:rsidRPr="001D5327">
        <w:rPr>
          <w:rFonts w:cs="Calibri"/>
          <w:i/>
          <w:lang w:eastAsia="en-GB"/>
        </w:rPr>
        <w:t>Energy industries</w:t>
      </w:r>
      <w:r w:rsidRPr="001D5327">
        <w:rPr>
          <w:rFonts w:cs="Calibri"/>
          <w:lang w:eastAsia="en-GB"/>
        </w:rPr>
        <w:t xml:space="preserve"> category underwent Tier 1 quality-assurance and quality-control checks as recommended in the 2006 IPCC Guidelines. These include regular control sums throughout systems, to verify system integrity, and consistency checks on implied emission factors.</w:t>
      </w:r>
    </w:p>
    <w:p w14:paraId="7AFC319D" w14:textId="77777777" w:rsidR="00D97D6C" w:rsidRPr="001D5327" w:rsidRDefault="00D97D6C" w:rsidP="00D97D6C">
      <w:pPr>
        <w:pStyle w:val="Heading4"/>
      </w:pPr>
      <w:bookmarkStart w:id="293" w:name="_Ref189640253"/>
      <w:r w:rsidRPr="001D5327">
        <w:t>Category-specific recalculations</w:t>
      </w:r>
      <w:bookmarkEnd w:id="293"/>
    </w:p>
    <w:p w14:paraId="450504E0" w14:textId="78E41573" w:rsidR="00A47074" w:rsidRPr="001D5327" w:rsidRDefault="00C00E9A" w:rsidP="00D97D6C">
      <w:pPr>
        <w:pStyle w:val="BodyText"/>
        <w:rPr>
          <w:rFonts w:cs="Calibri"/>
          <w:lang w:eastAsia="en-GB"/>
        </w:rPr>
      </w:pPr>
      <w:r w:rsidRPr="001D5327">
        <w:rPr>
          <w:rFonts w:cs="Calibri"/>
          <w:lang w:eastAsia="en-GB"/>
        </w:rPr>
        <w:t xml:space="preserve">In previous submissions, </w:t>
      </w:r>
      <w:r w:rsidR="00C81C78" w:rsidRPr="001D5327">
        <w:rPr>
          <w:rFonts w:cs="Calibri"/>
          <w:lang w:eastAsia="en-GB"/>
        </w:rPr>
        <w:t xml:space="preserve">the </w:t>
      </w:r>
      <w:r w:rsidRPr="001D5327">
        <w:rPr>
          <w:rFonts w:cs="Calibri"/>
          <w:lang w:eastAsia="en-GB"/>
        </w:rPr>
        <w:t xml:space="preserve">domestic production of liquid carbon dioxide was </w:t>
      </w:r>
      <w:r w:rsidR="00A47074" w:rsidRPr="001D5327">
        <w:rPr>
          <w:rFonts w:cs="Calibri"/>
          <w:lang w:eastAsia="en-GB"/>
        </w:rPr>
        <w:t xml:space="preserve">treated </w:t>
      </w:r>
      <w:r w:rsidRPr="001D5327">
        <w:rPr>
          <w:rFonts w:cs="Calibri"/>
          <w:lang w:eastAsia="en-GB"/>
        </w:rPr>
        <w:t xml:space="preserve">as an emission at the point of manufacture and reported under the Energy sector category 1.A.1 </w:t>
      </w:r>
      <w:r w:rsidRPr="001D5327">
        <w:rPr>
          <w:rFonts w:cs="Calibri"/>
          <w:i/>
          <w:iCs/>
          <w:lang w:eastAsia="en-GB"/>
        </w:rPr>
        <w:t>Energy industries</w:t>
      </w:r>
      <w:r w:rsidRPr="001D5327">
        <w:rPr>
          <w:rFonts w:cs="Calibri"/>
          <w:lang w:eastAsia="en-GB"/>
        </w:rPr>
        <w:t xml:space="preserve">. </w:t>
      </w:r>
      <w:r w:rsidR="00920B07" w:rsidRPr="001D5327">
        <w:rPr>
          <w:rFonts w:cs="Calibri"/>
          <w:lang w:eastAsia="en-GB"/>
        </w:rPr>
        <w:t xml:space="preserve">To improve </w:t>
      </w:r>
      <w:r w:rsidRPr="001D5327">
        <w:rPr>
          <w:rFonts w:cs="Calibri"/>
          <w:lang w:eastAsia="en-GB"/>
        </w:rPr>
        <w:t>consistency</w:t>
      </w:r>
      <w:r w:rsidR="003D5B61" w:rsidRPr="001D5327">
        <w:rPr>
          <w:rFonts w:cs="Calibri"/>
          <w:lang w:eastAsia="en-GB"/>
        </w:rPr>
        <w:t>,</w:t>
      </w:r>
      <w:r w:rsidRPr="001D5327">
        <w:rPr>
          <w:rFonts w:cs="Calibri"/>
          <w:lang w:eastAsia="en-GB"/>
        </w:rPr>
        <w:t xml:space="preserve"> </w:t>
      </w:r>
      <w:r w:rsidR="0001244D" w:rsidRPr="001D5327">
        <w:rPr>
          <w:rFonts w:cs="Calibri"/>
          <w:lang w:eastAsia="en-GB"/>
        </w:rPr>
        <w:t>transparency,</w:t>
      </w:r>
      <w:r w:rsidR="003D5B61" w:rsidRPr="001D5327">
        <w:rPr>
          <w:rFonts w:cs="Calibri"/>
          <w:lang w:eastAsia="en-GB"/>
        </w:rPr>
        <w:t xml:space="preserve"> and comparability with other Annex I Parties</w:t>
      </w:r>
      <w:r w:rsidRPr="001D5327">
        <w:rPr>
          <w:rFonts w:cs="Calibri"/>
          <w:lang w:eastAsia="en-GB"/>
        </w:rPr>
        <w:t xml:space="preserve">, </w:t>
      </w:r>
      <w:r w:rsidR="00A47074" w:rsidRPr="001D5327">
        <w:rPr>
          <w:rFonts w:cs="Calibri"/>
          <w:lang w:eastAsia="en-GB"/>
        </w:rPr>
        <w:t>we now report domestically produced liquid carbon dioxide as CO</w:t>
      </w:r>
      <w:r w:rsidR="00A47074" w:rsidRPr="001D5327">
        <w:rPr>
          <w:rFonts w:cs="Calibri"/>
          <w:vertAlign w:val="subscript"/>
          <w:lang w:eastAsia="en-GB"/>
        </w:rPr>
        <w:t>2</w:t>
      </w:r>
      <w:r w:rsidR="00A47074" w:rsidRPr="001D5327">
        <w:rPr>
          <w:rFonts w:cs="Calibri"/>
          <w:lang w:eastAsia="en-GB"/>
        </w:rPr>
        <w:t xml:space="preserve"> capture under category 1.A.1, </w:t>
      </w:r>
      <w:r w:rsidR="0001244D" w:rsidRPr="001D5327">
        <w:rPr>
          <w:rFonts w:cs="Calibri"/>
          <w:lang w:eastAsia="en-GB"/>
        </w:rPr>
        <w:t xml:space="preserve">and the consumption of domestically produced liquid carbon dioxide has been reallocated to the IPPU sector to align with the consumption of </w:t>
      </w:r>
      <w:r w:rsidRPr="001D5327">
        <w:rPr>
          <w:rFonts w:cs="Calibri"/>
          <w:lang w:eastAsia="en-GB"/>
        </w:rPr>
        <w:t xml:space="preserve">imported </w:t>
      </w:r>
      <w:r w:rsidR="0001244D" w:rsidRPr="001D5327">
        <w:rPr>
          <w:rFonts w:cs="Calibri"/>
          <w:lang w:eastAsia="en-GB"/>
        </w:rPr>
        <w:t xml:space="preserve">liquid </w:t>
      </w:r>
      <w:r w:rsidRPr="001D5327">
        <w:rPr>
          <w:rFonts w:cs="Calibri"/>
          <w:lang w:eastAsia="en-GB"/>
        </w:rPr>
        <w:t>carbon dioxide</w:t>
      </w:r>
      <w:r w:rsidR="004F7F68" w:rsidRPr="001D5327">
        <w:rPr>
          <w:rFonts w:cs="Calibri"/>
          <w:lang w:eastAsia="en-GB"/>
        </w:rPr>
        <w:t>. This reallocation has been applied across the entire time series.</w:t>
      </w:r>
    </w:p>
    <w:p w14:paraId="271F3238" w14:textId="49CF5B88" w:rsidR="00C00E9A" w:rsidRPr="001D5327" w:rsidRDefault="00A47074" w:rsidP="00D97D6C">
      <w:pPr>
        <w:pStyle w:val="BodyText"/>
        <w:rPr>
          <w:rFonts w:cs="Calibri"/>
          <w:lang w:eastAsia="en-GB"/>
        </w:rPr>
      </w:pPr>
      <w:r w:rsidRPr="001D5327">
        <w:rPr>
          <w:rFonts w:cs="Calibri"/>
          <w:lang w:eastAsia="en-GB"/>
        </w:rPr>
        <w:t>L</w:t>
      </w:r>
      <w:r w:rsidR="00286A68" w:rsidRPr="001D5327">
        <w:rPr>
          <w:rFonts w:cs="Calibri"/>
          <w:lang w:eastAsia="en-GB"/>
        </w:rPr>
        <w:t xml:space="preserve">iquid carbon dioxide is </w:t>
      </w:r>
      <w:r w:rsidR="00AC5477" w:rsidRPr="001D5327">
        <w:rPr>
          <w:rFonts w:cs="Calibri"/>
          <w:lang w:eastAsia="en-GB"/>
        </w:rPr>
        <w:t xml:space="preserve">utilised </w:t>
      </w:r>
      <w:r w:rsidR="00286A68" w:rsidRPr="001D5327">
        <w:rPr>
          <w:rFonts w:cs="Calibri"/>
          <w:lang w:eastAsia="en-GB"/>
        </w:rPr>
        <w:t xml:space="preserve">in a range of applications such as </w:t>
      </w:r>
      <w:r w:rsidR="004D6352" w:rsidRPr="001D5327">
        <w:rPr>
          <w:rFonts w:cs="Calibri"/>
          <w:lang w:eastAsia="en-GB"/>
        </w:rPr>
        <w:t>brewing</w:t>
      </w:r>
      <w:r w:rsidR="00286A68" w:rsidRPr="001D5327">
        <w:rPr>
          <w:rFonts w:cs="Calibri"/>
          <w:lang w:eastAsia="en-GB"/>
        </w:rPr>
        <w:t xml:space="preserve"> and </w:t>
      </w:r>
      <w:r w:rsidR="004D6352" w:rsidRPr="001D5327">
        <w:rPr>
          <w:rFonts w:cs="Calibri"/>
          <w:lang w:eastAsia="en-GB"/>
        </w:rPr>
        <w:t>producing dry</w:t>
      </w:r>
      <w:r w:rsidR="000750F7" w:rsidRPr="001D5327">
        <w:rPr>
          <w:rFonts w:cs="Calibri"/>
          <w:lang w:eastAsia="en-GB"/>
        </w:rPr>
        <w:t> </w:t>
      </w:r>
      <w:r w:rsidR="004D6352" w:rsidRPr="001D5327">
        <w:rPr>
          <w:rFonts w:cs="Calibri"/>
          <w:lang w:eastAsia="en-GB"/>
        </w:rPr>
        <w:t xml:space="preserve">ice </w:t>
      </w:r>
      <w:r w:rsidRPr="001D5327">
        <w:rPr>
          <w:rFonts w:cs="Calibri"/>
          <w:lang w:eastAsia="en-GB"/>
        </w:rPr>
        <w:t>(</w:t>
      </w:r>
      <w:r w:rsidR="004D6352" w:rsidRPr="001D5327">
        <w:rPr>
          <w:rFonts w:cs="Calibri"/>
          <w:lang w:eastAsia="en-GB"/>
        </w:rPr>
        <w:t xml:space="preserve">which is </w:t>
      </w:r>
      <w:r w:rsidRPr="001D5327">
        <w:rPr>
          <w:rFonts w:cs="Calibri"/>
          <w:lang w:eastAsia="en-GB"/>
        </w:rPr>
        <w:t xml:space="preserve">in turn </w:t>
      </w:r>
      <w:r w:rsidR="004D6352" w:rsidRPr="001D5327">
        <w:rPr>
          <w:rFonts w:cs="Calibri"/>
          <w:lang w:eastAsia="en-GB"/>
        </w:rPr>
        <w:t>used, for example, to safely transport human organs that are destined</w:t>
      </w:r>
      <w:r w:rsidR="000750F7" w:rsidRPr="001D5327">
        <w:rPr>
          <w:rFonts w:cs="Calibri"/>
          <w:lang w:eastAsia="en-GB"/>
        </w:rPr>
        <w:t> </w:t>
      </w:r>
      <w:r w:rsidR="004D6352" w:rsidRPr="001D5327">
        <w:rPr>
          <w:rFonts w:cs="Calibri"/>
          <w:lang w:eastAsia="en-GB"/>
        </w:rPr>
        <w:t>for</w:t>
      </w:r>
      <w:r w:rsidR="00E87F22" w:rsidRPr="001D5327">
        <w:rPr>
          <w:rFonts w:cs="Calibri"/>
          <w:lang w:eastAsia="en-GB"/>
        </w:rPr>
        <w:t> </w:t>
      </w:r>
      <w:r w:rsidR="004D6352" w:rsidRPr="001D5327">
        <w:rPr>
          <w:rFonts w:cs="Calibri"/>
          <w:lang w:eastAsia="en-GB"/>
        </w:rPr>
        <w:t>transplant</w:t>
      </w:r>
      <w:r w:rsidRPr="001D5327">
        <w:rPr>
          <w:rFonts w:cs="Calibri"/>
          <w:lang w:eastAsia="en-GB"/>
        </w:rPr>
        <w:t>)</w:t>
      </w:r>
      <w:r w:rsidR="004D6352" w:rsidRPr="001D5327">
        <w:rPr>
          <w:rFonts w:cs="Calibri"/>
          <w:lang w:eastAsia="en-GB"/>
        </w:rPr>
        <w:t>.</w:t>
      </w:r>
      <w:r w:rsidR="00286A68" w:rsidRPr="001D5327">
        <w:rPr>
          <w:rFonts w:cs="Calibri"/>
          <w:lang w:eastAsia="en-GB"/>
        </w:rPr>
        <w:t xml:space="preserve"> T</w:t>
      </w:r>
      <w:r w:rsidR="00CC69F0" w:rsidRPr="001D5327">
        <w:rPr>
          <w:rFonts w:cs="Calibri"/>
          <w:lang w:eastAsia="en-GB"/>
        </w:rPr>
        <w:t xml:space="preserve">he </w:t>
      </w:r>
      <w:r w:rsidR="00CF3FCB" w:rsidRPr="001D5327">
        <w:rPr>
          <w:rFonts w:cs="Calibri"/>
          <w:lang w:eastAsia="en-GB"/>
        </w:rPr>
        <w:t>domestic consumption of products derived from liquid carbon</w:t>
      </w:r>
      <w:r w:rsidR="000750F7" w:rsidRPr="001D5327">
        <w:rPr>
          <w:rFonts w:cs="Calibri"/>
          <w:lang w:eastAsia="en-GB"/>
        </w:rPr>
        <w:t> </w:t>
      </w:r>
      <w:r w:rsidR="00CF3FCB" w:rsidRPr="001D5327">
        <w:rPr>
          <w:rFonts w:cs="Calibri"/>
          <w:lang w:eastAsia="en-GB"/>
        </w:rPr>
        <w:t xml:space="preserve">dioxide </w:t>
      </w:r>
      <w:r w:rsidR="00CC69F0" w:rsidRPr="001D5327">
        <w:rPr>
          <w:rFonts w:cs="Calibri"/>
          <w:lang w:eastAsia="en-GB"/>
        </w:rPr>
        <w:t>is</w:t>
      </w:r>
      <w:r w:rsidR="00E87F22" w:rsidRPr="001D5327">
        <w:rPr>
          <w:rFonts w:cs="Calibri"/>
          <w:lang w:eastAsia="en-GB"/>
        </w:rPr>
        <w:t> </w:t>
      </w:r>
      <w:r w:rsidR="00CF3FCB" w:rsidRPr="001D5327">
        <w:rPr>
          <w:rFonts w:cs="Calibri"/>
          <w:lang w:eastAsia="en-GB"/>
        </w:rPr>
        <w:t>reported</w:t>
      </w:r>
      <w:r w:rsidR="00CC69F0" w:rsidRPr="001D5327">
        <w:rPr>
          <w:rFonts w:cs="Calibri"/>
          <w:lang w:eastAsia="en-GB"/>
        </w:rPr>
        <w:t xml:space="preserve"> as </w:t>
      </w:r>
      <w:r w:rsidR="00CF3FCB" w:rsidRPr="001D5327">
        <w:rPr>
          <w:rFonts w:cs="Calibri"/>
          <w:lang w:eastAsia="en-GB"/>
        </w:rPr>
        <w:t xml:space="preserve">a source of </w:t>
      </w:r>
      <w:r w:rsidR="00CC69F0" w:rsidRPr="001D5327">
        <w:rPr>
          <w:rFonts w:cs="Calibri"/>
          <w:lang w:eastAsia="en-GB"/>
        </w:rPr>
        <w:t>CO</w:t>
      </w:r>
      <w:r w:rsidR="00CC69F0" w:rsidRPr="001D5327">
        <w:rPr>
          <w:rFonts w:cs="Calibri"/>
          <w:vertAlign w:val="subscript"/>
          <w:lang w:eastAsia="en-GB"/>
        </w:rPr>
        <w:t>2</w:t>
      </w:r>
      <w:r w:rsidR="001B0782" w:rsidRPr="001D5327">
        <w:rPr>
          <w:rFonts w:cs="Calibri"/>
          <w:lang w:eastAsia="en-GB"/>
        </w:rPr>
        <w:t xml:space="preserve"> e</w:t>
      </w:r>
      <w:r w:rsidR="00CC69F0" w:rsidRPr="001D5327">
        <w:rPr>
          <w:rFonts w:cs="Calibri"/>
          <w:lang w:eastAsia="en-GB"/>
        </w:rPr>
        <w:t>missions in</w:t>
      </w:r>
      <w:r w:rsidR="00C00E9A" w:rsidRPr="001D5327">
        <w:rPr>
          <w:rFonts w:cs="Calibri"/>
          <w:lang w:eastAsia="en-GB"/>
        </w:rPr>
        <w:t xml:space="preserve"> IPPU category 2.H.3 </w:t>
      </w:r>
      <w:r w:rsidR="00C00E9A" w:rsidRPr="001D5327">
        <w:rPr>
          <w:rFonts w:cs="Calibri"/>
          <w:i/>
          <w:iCs/>
          <w:lang w:eastAsia="en-GB"/>
        </w:rPr>
        <w:t>Other (carbon</w:t>
      </w:r>
      <w:r w:rsidR="000750F7" w:rsidRPr="001D5327">
        <w:rPr>
          <w:rFonts w:cs="Calibri"/>
          <w:i/>
          <w:iCs/>
          <w:lang w:eastAsia="en-GB"/>
        </w:rPr>
        <w:t> </w:t>
      </w:r>
      <w:r w:rsidR="00C00E9A" w:rsidRPr="001D5327">
        <w:rPr>
          <w:rFonts w:cs="Calibri"/>
          <w:i/>
          <w:iCs/>
          <w:lang w:eastAsia="en-GB"/>
        </w:rPr>
        <w:t>dioxide</w:t>
      </w:r>
      <w:r w:rsidR="000750F7" w:rsidRPr="001D5327">
        <w:rPr>
          <w:rFonts w:cs="Calibri"/>
          <w:i/>
          <w:iCs/>
          <w:lang w:eastAsia="en-GB"/>
        </w:rPr>
        <w:t> </w:t>
      </w:r>
      <w:r w:rsidR="003E483A" w:rsidRPr="001D5327">
        <w:rPr>
          <w:rFonts w:cs="Calibri"/>
          <w:i/>
          <w:iCs/>
          <w:lang w:eastAsia="en-GB"/>
        </w:rPr>
        <w:t>consumption</w:t>
      </w:r>
      <w:r w:rsidR="00C00E9A" w:rsidRPr="001D5327">
        <w:rPr>
          <w:rFonts w:cs="Calibri"/>
          <w:i/>
          <w:iCs/>
          <w:lang w:eastAsia="en-GB"/>
        </w:rPr>
        <w:t>)</w:t>
      </w:r>
      <w:r w:rsidR="00C00E9A" w:rsidRPr="001D5327">
        <w:rPr>
          <w:rFonts w:cs="Calibri"/>
          <w:lang w:eastAsia="en-GB"/>
        </w:rPr>
        <w:t>.</w:t>
      </w:r>
    </w:p>
    <w:p w14:paraId="562ADB35" w14:textId="014463A1" w:rsidR="00C81C78" w:rsidRPr="001D5327" w:rsidRDefault="004F7F68" w:rsidP="00D97D6C">
      <w:pPr>
        <w:pStyle w:val="BodyText"/>
        <w:rPr>
          <w:rFonts w:cs="Calibri"/>
          <w:lang w:eastAsia="en-GB"/>
        </w:rPr>
      </w:pPr>
      <w:r w:rsidRPr="001D5327">
        <w:rPr>
          <w:rFonts w:cs="Calibri"/>
          <w:lang w:eastAsia="en-GB"/>
        </w:rPr>
        <w:t xml:space="preserve">We have improved the </w:t>
      </w:r>
      <w:r w:rsidR="00A7126F" w:rsidRPr="001D5327">
        <w:rPr>
          <w:rFonts w:cs="Calibri"/>
          <w:lang w:eastAsia="en-GB"/>
        </w:rPr>
        <w:t xml:space="preserve">method used to calculate </w:t>
      </w:r>
      <w:r w:rsidR="001B0782" w:rsidRPr="001D5327">
        <w:rPr>
          <w:rFonts w:cs="Calibri"/>
          <w:lang w:eastAsia="en-GB"/>
        </w:rPr>
        <w:t>the CO</w:t>
      </w:r>
      <w:r w:rsidR="001B0782" w:rsidRPr="001D5327">
        <w:rPr>
          <w:rFonts w:cs="Calibri"/>
          <w:vertAlign w:val="subscript"/>
          <w:lang w:eastAsia="en-GB"/>
        </w:rPr>
        <w:t>2</w:t>
      </w:r>
      <w:r w:rsidR="001B0782" w:rsidRPr="001D5327">
        <w:rPr>
          <w:rFonts w:cs="Calibri"/>
          <w:lang w:eastAsia="en-GB"/>
        </w:rPr>
        <w:t xml:space="preserve"> </w:t>
      </w:r>
      <w:r w:rsidR="00A7126F" w:rsidRPr="001D5327">
        <w:rPr>
          <w:rFonts w:cs="Calibri"/>
          <w:lang w:eastAsia="en-GB"/>
        </w:rPr>
        <w:t>emission factors of natural gas used</w:t>
      </w:r>
      <w:r w:rsidR="00E87F22" w:rsidRPr="001D5327">
        <w:rPr>
          <w:rFonts w:cs="Calibri"/>
          <w:lang w:eastAsia="en-GB"/>
        </w:rPr>
        <w:t> </w:t>
      </w:r>
      <w:r w:rsidR="00A7126F" w:rsidRPr="001D5327">
        <w:rPr>
          <w:rFonts w:cs="Calibri"/>
          <w:lang w:eastAsia="en-GB"/>
        </w:rPr>
        <w:t>for electricity generation</w:t>
      </w:r>
      <w:r w:rsidRPr="001D5327">
        <w:rPr>
          <w:rFonts w:cs="Calibri"/>
          <w:lang w:eastAsia="en-GB"/>
        </w:rPr>
        <w:t>, refining the implementation of the software code used in this</w:t>
      </w:r>
      <w:r w:rsidR="000750F7" w:rsidRPr="001D5327">
        <w:rPr>
          <w:rFonts w:cs="Calibri"/>
          <w:lang w:eastAsia="en-GB"/>
        </w:rPr>
        <w:t> </w:t>
      </w:r>
      <w:r w:rsidRPr="001D5327">
        <w:rPr>
          <w:rFonts w:cs="Calibri"/>
          <w:lang w:eastAsia="en-GB"/>
        </w:rPr>
        <w:t xml:space="preserve">process. This improvement has increased the accuracy of this value and has </w:t>
      </w:r>
      <w:r w:rsidR="00A7126F" w:rsidRPr="001D5327">
        <w:rPr>
          <w:rFonts w:cs="Calibri"/>
          <w:lang w:eastAsia="en-GB"/>
        </w:rPr>
        <w:t xml:space="preserve">resulted in </w:t>
      </w:r>
      <w:r w:rsidR="001B0782" w:rsidRPr="001D5327">
        <w:rPr>
          <w:rFonts w:cs="Calibri"/>
          <w:lang w:eastAsia="en-GB"/>
        </w:rPr>
        <w:t>the</w:t>
      </w:r>
      <w:r w:rsidR="000750F7" w:rsidRPr="001D5327">
        <w:rPr>
          <w:rFonts w:cs="Calibri"/>
          <w:lang w:eastAsia="en-GB"/>
        </w:rPr>
        <w:t> </w:t>
      </w:r>
      <w:r w:rsidR="001B0782" w:rsidRPr="001D5327">
        <w:rPr>
          <w:rFonts w:cs="Calibri"/>
          <w:lang w:eastAsia="en-GB"/>
        </w:rPr>
        <w:t>recalculation of CO</w:t>
      </w:r>
      <w:r w:rsidR="001B0782" w:rsidRPr="001D5327">
        <w:rPr>
          <w:rFonts w:cs="Calibri"/>
          <w:vertAlign w:val="subscript"/>
          <w:lang w:eastAsia="en-GB"/>
        </w:rPr>
        <w:t>2</w:t>
      </w:r>
      <w:r w:rsidR="001B0782" w:rsidRPr="001D5327">
        <w:rPr>
          <w:rFonts w:cs="Calibri"/>
          <w:lang w:eastAsia="en-GB"/>
        </w:rPr>
        <w:t xml:space="preserve"> e</w:t>
      </w:r>
      <w:r w:rsidR="00A7126F" w:rsidRPr="001D5327">
        <w:rPr>
          <w:rFonts w:cs="Calibri"/>
          <w:lang w:eastAsia="en-GB"/>
        </w:rPr>
        <w:t>mission</w:t>
      </w:r>
      <w:r w:rsidR="00E22B70" w:rsidRPr="001D5327">
        <w:rPr>
          <w:rFonts w:cs="Calibri"/>
          <w:lang w:eastAsia="en-GB"/>
        </w:rPr>
        <w:t>s</w:t>
      </w:r>
      <w:r w:rsidR="00A7126F" w:rsidRPr="001D5327">
        <w:rPr>
          <w:rFonts w:cs="Calibri"/>
          <w:lang w:eastAsia="en-GB"/>
        </w:rPr>
        <w:t xml:space="preserve"> </w:t>
      </w:r>
      <w:r w:rsidR="009205D7" w:rsidRPr="001D5327">
        <w:rPr>
          <w:rFonts w:cs="Calibri"/>
          <w:lang w:eastAsia="en-GB"/>
        </w:rPr>
        <w:t>for 2020</w:t>
      </w:r>
      <w:r w:rsidR="006E2511" w:rsidRPr="001D5327">
        <w:rPr>
          <w:rFonts w:cs="Calibri"/>
          <w:lang w:eastAsia="en-GB"/>
        </w:rPr>
        <w:t xml:space="preserve"> to </w:t>
      </w:r>
      <w:r w:rsidR="009205D7" w:rsidRPr="001D5327">
        <w:rPr>
          <w:rFonts w:cs="Calibri"/>
          <w:lang w:eastAsia="en-GB"/>
        </w:rPr>
        <w:t>2022</w:t>
      </w:r>
      <w:r w:rsidR="001B0782" w:rsidRPr="001D5327">
        <w:rPr>
          <w:rFonts w:cs="Calibri"/>
          <w:lang w:eastAsia="en-GB"/>
        </w:rPr>
        <w:t>.</w:t>
      </w:r>
    </w:p>
    <w:p w14:paraId="38085117" w14:textId="7506E1FE" w:rsidR="00D97D6C" w:rsidRPr="001D5327" w:rsidRDefault="00D97D6C" w:rsidP="00D97D6C">
      <w:pPr>
        <w:pStyle w:val="BodyText"/>
        <w:rPr>
          <w:rFonts w:cs="Calibri"/>
          <w:lang w:eastAsia="en-GB"/>
        </w:rPr>
      </w:pPr>
      <w:r w:rsidRPr="001D5327">
        <w:rPr>
          <w:rFonts w:cs="Calibri"/>
          <w:lang w:eastAsia="en-GB"/>
        </w:rPr>
        <w:t xml:space="preserve">Some historical data on fuel consumption for electricity generation </w:t>
      </w:r>
      <w:r w:rsidR="004F7F68" w:rsidRPr="001D5327">
        <w:rPr>
          <w:rFonts w:cs="Calibri"/>
          <w:lang w:eastAsia="en-GB"/>
        </w:rPr>
        <w:t>ha</w:t>
      </w:r>
      <w:r w:rsidR="006E2511" w:rsidRPr="001D5327">
        <w:rPr>
          <w:rFonts w:cs="Calibri"/>
          <w:lang w:eastAsia="en-GB"/>
        </w:rPr>
        <w:t>ve</w:t>
      </w:r>
      <w:r w:rsidR="004F7F68" w:rsidRPr="001D5327">
        <w:rPr>
          <w:rFonts w:cs="Calibri"/>
          <w:lang w:eastAsia="en-GB"/>
        </w:rPr>
        <w:t xml:space="preserve"> been </w:t>
      </w:r>
      <w:r w:rsidRPr="001D5327">
        <w:rPr>
          <w:rFonts w:cs="Calibri"/>
          <w:lang w:eastAsia="en-GB"/>
        </w:rPr>
        <w:t>revised in</w:t>
      </w:r>
      <w:r w:rsidR="00E87F22" w:rsidRPr="001D5327">
        <w:rPr>
          <w:rFonts w:cs="Calibri"/>
          <w:lang w:eastAsia="en-GB"/>
        </w:rPr>
        <w:t xml:space="preserve"> </w:t>
      </w:r>
      <w:r w:rsidRPr="001D5327">
        <w:rPr>
          <w:rFonts w:cs="Calibri"/>
          <w:lang w:eastAsia="en-GB"/>
        </w:rPr>
        <w:t>the</w:t>
      </w:r>
      <w:r w:rsidR="00E87F22" w:rsidRPr="001D5327">
        <w:rPr>
          <w:rFonts w:cs="Calibri"/>
          <w:lang w:eastAsia="en-GB"/>
        </w:rPr>
        <w:t> </w:t>
      </w:r>
      <w:r w:rsidRPr="001D5327">
        <w:rPr>
          <w:rFonts w:cs="Calibri"/>
          <w:lang w:eastAsia="en-GB"/>
        </w:rPr>
        <w:t xml:space="preserve">national energy balance tables. This </w:t>
      </w:r>
      <w:r w:rsidR="004F7F68" w:rsidRPr="001D5327">
        <w:rPr>
          <w:rFonts w:cs="Calibri"/>
          <w:lang w:eastAsia="en-GB"/>
        </w:rPr>
        <w:t xml:space="preserve">has </w:t>
      </w:r>
      <w:r w:rsidRPr="001D5327">
        <w:rPr>
          <w:rFonts w:cs="Calibri"/>
          <w:lang w:eastAsia="en-GB"/>
        </w:rPr>
        <w:t>result</w:t>
      </w:r>
      <w:r w:rsidR="004F7F68" w:rsidRPr="001D5327">
        <w:rPr>
          <w:rFonts w:cs="Calibri"/>
          <w:lang w:eastAsia="en-GB"/>
        </w:rPr>
        <w:t>ed</w:t>
      </w:r>
      <w:r w:rsidRPr="001D5327">
        <w:rPr>
          <w:rFonts w:cs="Calibri"/>
          <w:lang w:eastAsia="en-GB"/>
        </w:rPr>
        <w:t xml:space="preserve"> in minor revisions to activity data and recalculations </w:t>
      </w:r>
      <w:r w:rsidR="006E2511" w:rsidRPr="001D5327">
        <w:rPr>
          <w:rFonts w:cs="Calibri"/>
          <w:lang w:eastAsia="en-GB"/>
        </w:rPr>
        <w:t xml:space="preserve">of </w:t>
      </w:r>
      <w:r w:rsidRPr="001D5327">
        <w:rPr>
          <w:rFonts w:cs="Calibri"/>
          <w:lang w:eastAsia="en-GB"/>
        </w:rPr>
        <w:t xml:space="preserve">the corresponding emissions for some recent years. </w:t>
      </w:r>
    </w:p>
    <w:p w14:paraId="321BBF57" w14:textId="77777777" w:rsidR="00D97D6C" w:rsidRPr="001D5327" w:rsidRDefault="00D97D6C" w:rsidP="00D97D6C">
      <w:pPr>
        <w:pStyle w:val="Heading4"/>
      </w:pPr>
      <w:bookmarkStart w:id="294" w:name="_Ref442360713"/>
      <w:r w:rsidRPr="001D5327">
        <w:t>Category-specific planned improvements</w:t>
      </w:r>
    </w:p>
    <w:p w14:paraId="6D883A3B" w14:textId="122BA28D" w:rsidR="00D97D6C" w:rsidRPr="001D5327" w:rsidRDefault="00D97D6C" w:rsidP="00D97D6C">
      <w:pPr>
        <w:pStyle w:val="BodyText"/>
        <w:rPr>
          <w:rFonts w:cs="Calibri"/>
          <w:lang w:eastAsia="en-GB"/>
        </w:rPr>
      </w:pPr>
      <w:r w:rsidRPr="001D5327">
        <w:rPr>
          <w:rFonts w:cs="Calibri"/>
          <w:lang w:eastAsia="en-GB"/>
        </w:rPr>
        <w:t xml:space="preserve">There </w:t>
      </w:r>
      <w:r w:rsidR="00706B99" w:rsidRPr="001D5327">
        <w:rPr>
          <w:rFonts w:cs="Calibri"/>
          <w:lang w:eastAsia="en-GB"/>
        </w:rPr>
        <w:t xml:space="preserve">are </w:t>
      </w:r>
      <w:r w:rsidRPr="001D5327">
        <w:rPr>
          <w:rFonts w:cs="Calibri"/>
          <w:lang w:eastAsia="en-GB"/>
        </w:rPr>
        <w:t>no planned improvements for this category.</w:t>
      </w:r>
    </w:p>
    <w:p w14:paraId="1E2ECA2B" w14:textId="77777777" w:rsidR="00D97D6C" w:rsidRPr="001D5327" w:rsidRDefault="00D97D6C" w:rsidP="00955C8A">
      <w:pPr>
        <w:pStyle w:val="Heading3"/>
      </w:pPr>
      <w:r w:rsidRPr="001D5327">
        <w:lastRenderedPageBreak/>
        <w:t>3.2.8</w:t>
      </w:r>
      <w:r w:rsidRPr="001D5327">
        <w:tab/>
        <w:t>Fuel combustion: Manufacturing industries and construction (CRT 1.A.2)</w:t>
      </w:r>
      <w:bookmarkEnd w:id="294"/>
    </w:p>
    <w:p w14:paraId="040E9A48" w14:textId="77777777" w:rsidR="00D97D6C" w:rsidRPr="001D5327" w:rsidRDefault="00D97D6C" w:rsidP="00D97D6C">
      <w:pPr>
        <w:pStyle w:val="Heading4"/>
      </w:pPr>
      <w:r w:rsidRPr="001D5327">
        <w:t>Category description</w:t>
      </w:r>
    </w:p>
    <w:p w14:paraId="3F417AA6" w14:textId="77777777" w:rsidR="00D97D6C" w:rsidRPr="001D5327" w:rsidRDefault="00D97D6C" w:rsidP="00D97D6C">
      <w:pPr>
        <w:pStyle w:val="BodyText"/>
        <w:rPr>
          <w:rFonts w:cs="Calibri"/>
        </w:rPr>
      </w:pPr>
      <w:r w:rsidRPr="001D5327">
        <w:rPr>
          <w:rFonts w:cs="Calibri"/>
        </w:rPr>
        <w:t>This category comprises emissions from fossil fuels combusted in the manufacture of iron and steel, other non</w:t>
      </w:r>
      <w:r w:rsidRPr="001D5327">
        <w:rPr>
          <w:rFonts w:cs="Calibri"/>
        </w:rPr>
        <w:noBreakHyphen/>
        <w:t>ferrous metals, chemicals, pulp, paper and print, food processing, beverages and tobacco, and in other manufacturing-related activities. Emissions from co</w:t>
      </w:r>
      <w:r w:rsidRPr="001D5327">
        <w:rPr>
          <w:rFonts w:cs="Calibri"/>
        </w:rPr>
        <w:noBreakHyphen/>
        <w:t>generation plants that do not meet the definition of co</w:t>
      </w:r>
      <w:r w:rsidRPr="001D5327">
        <w:rPr>
          <w:rFonts w:cs="Calibri"/>
        </w:rPr>
        <w:noBreakHyphen/>
        <w:t>generation as provided in the 2006 IPCC Guidelines are included in this category.</w:t>
      </w:r>
    </w:p>
    <w:p w14:paraId="4E0AF883" w14:textId="62C95139" w:rsidR="00D97D6C" w:rsidRPr="001D5327" w:rsidRDefault="00D97D6C" w:rsidP="00D97D6C">
      <w:pPr>
        <w:pStyle w:val="BodyText"/>
        <w:rPr>
          <w:rFonts w:cs="Calibri"/>
        </w:rPr>
      </w:pPr>
      <w:r w:rsidRPr="001D5327">
        <w:rPr>
          <w:rFonts w:cs="Calibri"/>
        </w:rPr>
        <w:t xml:space="preserve">In </w:t>
      </w:r>
      <w:r w:rsidR="006A21DD" w:rsidRPr="001D5327">
        <w:rPr>
          <w:rFonts w:cs="Calibri"/>
        </w:rPr>
        <w:t>2023</w:t>
      </w:r>
      <w:r w:rsidRPr="001D5327">
        <w:rPr>
          <w:rFonts w:cs="Calibri"/>
        </w:rPr>
        <w:t xml:space="preserve">, emissions from the 1.A.2 </w:t>
      </w:r>
      <w:r w:rsidRPr="001D5327">
        <w:rPr>
          <w:rFonts w:cs="Calibri"/>
          <w:i/>
          <w:lang w:eastAsia="en-GB"/>
        </w:rPr>
        <w:t>Manufacturing industries and construction</w:t>
      </w:r>
      <w:r w:rsidRPr="001D5327">
        <w:rPr>
          <w:rFonts w:cs="Calibri"/>
        </w:rPr>
        <w:t xml:space="preserve"> category accounted for </w:t>
      </w:r>
      <w:r w:rsidR="00E84170" w:rsidRPr="001D5327">
        <w:rPr>
          <w:rFonts w:cs="Calibri"/>
        </w:rPr>
        <w:t>6,126.3</w:t>
      </w:r>
      <w:r w:rsidRPr="001D5327">
        <w:rPr>
          <w:rFonts w:cs="Calibri"/>
        </w:rPr>
        <w:t xml:space="preserve"> kt CO</w:t>
      </w:r>
      <w:r w:rsidRPr="001D5327">
        <w:rPr>
          <w:rFonts w:cs="Calibri"/>
          <w:vertAlign w:val="subscript"/>
          <w:lang w:eastAsia="en-GB"/>
        </w:rPr>
        <w:t>2</w:t>
      </w:r>
      <w:r w:rsidRPr="001D5327">
        <w:rPr>
          <w:rFonts w:cs="Calibri"/>
        </w:rPr>
        <w:t>-e (</w:t>
      </w:r>
      <w:r w:rsidR="00E84170" w:rsidRPr="001D5327">
        <w:rPr>
          <w:rFonts w:cs="Calibri"/>
        </w:rPr>
        <w:t>21.2</w:t>
      </w:r>
      <w:r w:rsidRPr="001D5327">
        <w:rPr>
          <w:rFonts w:cs="Calibri"/>
        </w:rPr>
        <w:t xml:space="preserve"> per cent) of emissions from the Energy sector. The largest contributors were </w:t>
      </w:r>
      <w:r w:rsidRPr="001D5327">
        <w:rPr>
          <w:rFonts w:cs="Calibri"/>
          <w:i/>
          <w:iCs/>
          <w:lang w:eastAsia="en-GB"/>
        </w:rPr>
        <w:t>Food processing</w:t>
      </w:r>
      <w:r w:rsidRPr="001D5327">
        <w:rPr>
          <w:rFonts w:cs="Calibri"/>
        </w:rPr>
        <w:t xml:space="preserve"> (</w:t>
      </w:r>
      <w:r w:rsidR="00E84170" w:rsidRPr="001D5327">
        <w:rPr>
          <w:rFonts w:cs="Calibri"/>
        </w:rPr>
        <w:t>2,703.2</w:t>
      </w:r>
      <w:r w:rsidRPr="001D5327">
        <w:rPr>
          <w:rFonts w:cs="Calibri"/>
        </w:rPr>
        <w:t xml:space="preserve"> kt CO</w:t>
      </w:r>
      <w:r w:rsidRPr="001D5327">
        <w:rPr>
          <w:rFonts w:cs="Calibri"/>
          <w:vertAlign w:val="subscript"/>
          <w:lang w:eastAsia="en-GB"/>
        </w:rPr>
        <w:t>2</w:t>
      </w:r>
      <w:r w:rsidRPr="001D5327">
        <w:rPr>
          <w:rFonts w:cs="Calibri"/>
        </w:rPr>
        <w:t xml:space="preserve">-e) and </w:t>
      </w:r>
      <w:r w:rsidRPr="001D5327">
        <w:rPr>
          <w:rFonts w:cs="Calibri"/>
          <w:i/>
          <w:iCs/>
          <w:lang w:eastAsia="en-GB"/>
        </w:rPr>
        <w:t>Chemicals</w:t>
      </w:r>
      <w:r w:rsidRPr="001D5327">
        <w:rPr>
          <w:rFonts w:cs="Calibri"/>
        </w:rPr>
        <w:t xml:space="preserve"> (</w:t>
      </w:r>
      <w:r w:rsidR="00E84170" w:rsidRPr="001D5327">
        <w:rPr>
          <w:rFonts w:cs="Calibri"/>
        </w:rPr>
        <w:t>1,312.4</w:t>
      </w:r>
      <w:r w:rsidRPr="001D5327">
        <w:rPr>
          <w:rFonts w:cs="Calibri"/>
        </w:rPr>
        <w:t xml:space="preserve"> kt CO</w:t>
      </w:r>
      <w:r w:rsidRPr="001D5327">
        <w:rPr>
          <w:rFonts w:cs="Calibri"/>
          <w:vertAlign w:val="subscript"/>
          <w:lang w:eastAsia="en-GB"/>
        </w:rPr>
        <w:t>2</w:t>
      </w:r>
      <w:r w:rsidRPr="001D5327">
        <w:rPr>
          <w:rFonts w:cs="Calibri"/>
        </w:rPr>
        <w:t xml:space="preserve">-e). </w:t>
      </w:r>
    </w:p>
    <w:p w14:paraId="15EC9B00" w14:textId="322406E5" w:rsidR="00D97D6C" w:rsidRPr="001D5327" w:rsidRDefault="00D97D6C" w:rsidP="00D97D6C">
      <w:pPr>
        <w:pStyle w:val="Heading4"/>
        <w:rPr>
          <w:lang w:eastAsia="en-GB"/>
        </w:rPr>
      </w:pPr>
      <w:r w:rsidRPr="001D5327">
        <w:rPr>
          <w:lang w:eastAsia="en-GB"/>
        </w:rPr>
        <w:t xml:space="preserve">Changes in emissions between </w:t>
      </w:r>
      <w:r w:rsidRPr="001D5327">
        <w:rPr>
          <w:rFonts w:cs="Calibri"/>
        </w:rPr>
        <w:t xml:space="preserve">1990 </w:t>
      </w:r>
      <w:r w:rsidRPr="001D5327">
        <w:rPr>
          <w:lang w:eastAsia="en-GB"/>
        </w:rPr>
        <w:t xml:space="preserve">and </w:t>
      </w:r>
      <w:r w:rsidR="006A21DD" w:rsidRPr="001D5327">
        <w:rPr>
          <w:rFonts w:cs="Calibri"/>
        </w:rPr>
        <w:t>2023</w:t>
      </w:r>
    </w:p>
    <w:p w14:paraId="31030792" w14:textId="6AECCA93" w:rsidR="00D97D6C" w:rsidRPr="001D5327" w:rsidRDefault="00D97D6C" w:rsidP="00D97D6C">
      <w:pPr>
        <w:pStyle w:val="BodyText"/>
        <w:rPr>
          <w:rFonts w:cs="Calibri"/>
        </w:rPr>
      </w:pPr>
      <w:r w:rsidRPr="001D5327">
        <w:rPr>
          <w:rFonts w:cs="Calibri"/>
        </w:rPr>
        <w:t xml:space="preserve">Emissions from this category </w:t>
      </w:r>
      <w:r w:rsidR="00D92CC9" w:rsidRPr="001D5327">
        <w:rPr>
          <w:rFonts w:cs="Calibri"/>
        </w:rPr>
        <w:t xml:space="preserve">were </w:t>
      </w:r>
      <w:r w:rsidR="00E84170" w:rsidRPr="001D5327">
        <w:rPr>
          <w:rFonts w:cs="Calibri"/>
        </w:rPr>
        <w:t>1,370.3</w:t>
      </w:r>
      <w:r w:rsidRPr="001D5327">
        <w:rPr>
          <w:rFonts w:cs="Calibri"/>
        </w:rPr>
        <w:t xml:space="preserve"> kt CO</w:t>
      </w:r>
      <w:r w:rsidRPr="001D5327">
        <w:rPr>
          <w:rFonts w:cs="Calibri"/>
          <w:vertAlign w:val="subscript"/>
          <w:lang w:eastAsia="en-GB"/>
        </w:rPr>
        <w:t>2</w:t>
      </w:r>
      <w:r w:rsidRPr="001D5327">
        <w:rPr>
          <w:rFonts w:cs="Calibri"/>
        </w:rPr>
        <w:t>-e (</w:t>
      </w:r>
      <w:r w:rsidR="00E84170" w:rsidRPr="001D5327">
        <w:rPr>
          <w:rFonts w:cs="Calibri"/>
        </w:rPr>
        <w:t>28.8</w:t>
      </w:r>
      <w:r w:rsidRPr="001D5327">
        <w:rPr>
          <w:rFonts w:cs="Calibri"/>
        </w:rPr>
        <w:t xml:space="preserve"> per cent) higher than the 1990 level of </w:t>
      </w:r>
      <w:r w:rsidR="00E84170" w:rsidRPr="001D5327">
        <w:rPr>
          <w:rFonts w:cs="Calibri"/>
        </w:rPr>
        <w:t>4,756.0</w:t>
      </w:r>
      <w:r w:rsidRPr="001D5327">
        <w:rPr>
          <w:rFonts w:cs="Calibri"/>
        </w:rPr>
        <w:t> kt CO</w:t>
      </w:r>
      <w:r w:rsidRPr="001D5327">
        <w:rPr>
          <w:rFonts w:cs="Calibri"/>
          <w:vertAlign w:val="subscript"/>
          <w:lang w:eastAsia="en-GB"/>
        </w:rPr>
        <w:t>2</w:t>
      </w:r>
      <w:r w:rsidRPr="001D5327">
        <w:rPr>
          <w:rFonts w:cs="Calibri"/>
        </w:rPr>
        <w:t xml:space="preserve">-e. The most significant categories contributing to this increase were </w:t>
      </w:r>
      <w:r w:rsidRPr="001D5327">
        <w:rPr>
          <w:rFonts w:cs="Calibri"/>
          <w:i/>
          <w:iCs/>
          <w:lang w:eastAsia="en-GB"/>
        </w:rPr>
        <w:t>Food processing</w:t>
      </w:r>
      <w:r w:rsidRPr="001D5327">
        <w:rPr>
          <w:rFonts w:cs="Calibri"/>
        </w:rPr>
        <w:t xml:space="preserve"> (up </w:t>
      </w:r>
      <w:r w:rsidR="00E84170" w:rsidRPr="001D5327">
        <w:rPr>
          <w:rFonts w:cs="Calibri"/>
        </w:rPr>
        <w:t>1,031.4</w:t>
      </w:r>
      <w:r w:rsidRPr="001D5327">
        <w:rPr>
          <w:rFonts w:cs="Calibri"/>
        </w:rPr>
        <w:t xml:space="preserve"> kt CO</w:t>
      </w:r>
      <w:r w:rsidRPr="001D5327">
        <w:rPr>
          <w:rFonts w:cs="Calibri"/>
          <w:vertAlign w:val="subscript"/>
          <w:lang w:eastAsia="en-GB"/>
        </w:rPr>
        <w:t>2</w:t>
      </w:r>
      <w:r w:rsidRPr="001D5327">
        <w:rPr>
          <w:rFonts w:cs="Calibri"/>
        </w:rPr>
        <w:t xml:space="preserve">-e or </w:t>
      </w:r>
      <w:r w:rsidR="00E84170" w:rsidRPr="001D5327">
        <w:rPr>
          <w:rFonts w:cs="Calibri"/>
        </w:rPr>
        <w:t>61.7</w:t>
      </w:r>
      <w:r w:rsidRPr="001D5327">
        <w:rPr>
          <w:rFonts w:cs="Calibri"/>
        </w:rPr>
        <w:t xml:space="preserve"> per cent) and </w:t>
      </w:r>
      <w:r w:rsidRPr="001D5327">
        <w:rPr>
          <w:rFonts w:cs="Calibri"/>
          <w:i/>
          <w:iCs/>
          <w:lang w:eastAsia="en-GB"/>
        </w:rPr>
        <w:t>Chemicals</w:t>
      </w:r>
      <w:r w:rsidRPr="001D5327">
        <w:rPr>
          <w:rFonts w:cs="Calibri"/>
        </w:rPr>
        <w:t xml:space="preserve"> (up </w:t>
      </w:r>
      <w:r w:rsidR="00E84170" w:rsidRPr="001D5327">
        <w:rPr>
          <w:rFonts w:cs="Calibri"/>
        </w:rPr>
        <w:t>776.4</w:t>
      </w:r>
      <w:r w:rsidRPr="001D5327">
        <w:rPr>
          <w:rFonts w:cs="Calibri"/>
        </w:rPr>
        <w:t xml:space="preserve"> kt CO</w:t>
      </w:r>
      <w:r w:rsidRPr="001D5327">
        <w:rPr>
          <w:rFonts w:cs="Calibri"/>
          <w:vertAlign w:val="subscript"/>
          <w:lang w:eastAsia="en-GB"/>
        </w:rPr>
        <w:t>2</w:t>
      </w:r>
      <w:r w:rsidRPr="001D5327">
        <w:rPr>
          <w:rFonts w:cs="Calibri"/>
        </w:rPr>
        <w:t xml:space="preserve">-e or </w:t>
      </w:r>
      <w:r w:rsidR="00E84170" w:rsidRPr="001D5327">
        <w:rPr>
          <w:rFonts w:cs="Calibri"/>
        </w:rPr>
        <w:t>144.8</w:t>
      </w:r>
      <w:r w:rsidRPr="001D5327">
        <w:rPr>
          <w:rFonts w:cs="Calibri"/>
        </w:rPr>
        <w:t> per cent).</w:t>
      </w:r>
    </w:p>
    <w:p w14:paraId="5C464B32" w14:textId="127E980A" w:rsidR="00D97D6C" w:rsidRPr="001D5327" w:rsidRDefault="00D97D6C" w:rsidP="00D97D6C">
      <w:pPr>
        <w:pStyle w:val="BodyText"/>
        <w:spacing w:after="100"/>
        <w:rPr>
          <w:rFonts w:cs="Calibri"/>
        </w:rPr>
      </w:pPr>
      <w:r w:rsidRPr="001D5327">
        <w:rPr>
          <w:rFonts w:cs="Calibri"/>
        </w:rPr>
        <w:t xml:space="preserve">A decline in methanol production in 2003 to 2004 caused a significant reduction in emissions from this category. Methanol production </w:t>
      </w:r>
      <w:r w:rsidR="00D92CC9" w:rsidRPr="001D5327">
        <w:rPr>
          <w:rFonts w:cs="Calibri"/>
        </w:rPr>
        <w:t xml:space="preserve">was </w:t>
      </w:r>
      <w:r w:rsidRPr="001D5327">
        <w:rPr>
          <w:rFonts w:cs="Calibri"/>
        </w:rPr>
        <w:t xml:space="preserve">the largest source of emissions in category 1.A.2.c </w:t>
      </w:r>
      <w:r w:rsidRPr="001D5327">
        <w:rPr>
          <w:rFonts w:cs="Calibri"/>
          <w:i/>
          <w:lang w:eastAsia="en-GB"/>
        </w:rPr>
        <w:t>Chemicals</w:t>
      </w:r>
      <w:r w:rsidRPr="001D5327">
        <w:rPr>
          <w:rFonts w:cs="Calibri"/>
        </w:rPr>
        <w:t>. Methanex New Zealand restarted previously mothballed plants in 2012/13</w:t>
      </w:r>
      <w:r w:rsidR="006616B3" w:rsidRPr="001D5327">
        <w:rPr>
          <w:rFonts w:cs="Calibri"/>
        </w:rPr>
        <w:t xml:space="preserve"> (</w:t>
      </w:r>
      <w:r w:rsidR="6FC04E5C" w:rsidRPr="001D5327">
        <w:rPr>
          <w:rFonts w:cs="Calibri"/>
        </w:rPr>
        <w:t>the resulting increase in gas use can be seen in</w:t>
      </w:r>
      <w:r w:rsidR="006616B3" w:rsidRPr="001D5327">
        <w:rPr>
          <w:rFonts w:cs="Calibri"/>
        </w:rPr>
        <w:t xml:space="preserve"> figure 3.1.2)</w:t>
      </w:r>
      <w:r w:rsidRPr="001D5327">
        <w:rPr>
          <w:rFonts w:cs="Calibri"/>
        </w:rPr>
        <w:t>, but then mothballed the Waitara Valley plant</w:t>
      </w:r>
      <w:r w:rsidR="001023C6" w:rsidRPr="001D5327">
        <w:rPr>
          <w:rFonts w:cs="Calibri"/>
        </w:rPr>
        <w:t xml:space="preserve"> </w:t>
      </w:r>
      <w:r w:rsidRPr="001D5327">
        <w:rPr>
          <w:rFonts w:cs="Calibri"/>
        </w:rPr>
        <w:t>in early 2021.</w:t>
      </w:r>
    </w:p>
    <w:p w14:paraId="0FBFB13B" w14:textId="4386B49F" w:rsidR="00D97D6C" w:rsidRPr="001D5327" w:rsidRDefault="00D97D6C" w:rsidP="00D97D6C">
      <w:pPr>
        <w:pStyle w:val="Heading4"/>
        <w:rPr>
          <w:lang w:eastAsia="en-GB"/>
        </w:rPr>
      </w:pPr>
      <w:r w:rsidRPr="001D5327">
        <w:rPr>
          <w:lang w:eastAsia="en-GB"/>
        </w:rPr>
        <w:t xml:space="preserve">Changes in emissions between </w:t>
      </w:r>
      <w:r w:rsidR="00704343" w:rsidRPr="001D5327">
        <w:rPr>
          <w:rFonts w:cs="Calibri"/>
        </w:rPr>
        <w:t>2022</w:t>
      </w:r>
      <w:r w:rsidRPr="001D5327">
        <w:rPr>
          <w:rFonts w:cs="Calibri"/>
        </w:rPr>
        <w:t xml:space="preserve"> </w:t>
      </w:r>
      <w:r w:rsidRPr="001D5327">
        <w:rPr>
          <w:lang w:eastAsia="en-GB"/>
        </w:rPr>
        <w:t xml:space="preserve">and </w:t>
      </w:r>
      <w:r w:rsidR="006A21DD" w:rsidRPr="001D5327">
        <w:rPr>
          <w:rFonts w:cs="Calibri"/>
        </w:rPr>
        <w:t>2023</w:t>
      </w:r>
    </w:p>
    <w:p w14:paraId="47FEE5C5" w14:textId="3DE5BD9A" w:rsidR="00D97D6C" w:rsidRPr="001D5327" w:rsidRDefault="00D97D6C" w:rsidP="00D97D6C">
      <w:pPr>
        <w:pStyle w:val="BodyText"/>
        <w:spacing w:before="100" w:after="100"/>
        <w:rPr>
          <w:lang w:eastAsia="en-GB"/>
        </w:rPr>
      </w:pPr>
      <w:r w:rsidRPr="001D5327">
        <w:rPr>
          <w:lang w:eastAsia="en-GB"/>
        </w:rPr>
        <w:t xml:space="preserve">Between </w:t>
      </w:r>
      <w:r w:rsidR="00704343" w:rsidRPr="001D5327">
        <w:rPr>
          <w:rFonts w:cs="Calibri"/>
        </w:rPr>
        <w:t>2022</w:t>
      </w:r>
      <w:r w:rsidRPr="001D5327">
        <w:rPr>
          <w:lang w:eastAsia="en-GB"/>
        </w:rPr>
        <w:t xml:space="preserve"> and </w:t>
      </w:r>
      <w:r w:rsidR="006A21DD" w:rsidRPr="001D5327">
        <w:rPr>
          <w:rFonts w:cs="Calibri"/>
        </w:rPr>
        <w:t>2023</w:t>
      </w:r>
      <w:r w:rsidRPr="001D5327">
        <w:rPr>
          <w:lang w:eastAsia="en-GB"/>
        </w:rPr>
        <w:t xml:space="preserve">, </w:t>
      </w:r>
      <w:r w:rsidRPr="001D5327">
        <w:rPr>
          <w:rFonts w:cs="Calibri"/>
        </w:rPr>
        <w:t>emissions</w:t>
      </w:r>
      <w:r w:rsidRPr="001D5327">
        <w:rPr>
          <w:lang w:eastAsia="en-GB"/>
        </w:rPr>
        <w:t xml:space="preserve"> from the </w:t>
      </w:r>
      <w:r w:rsidRPr="001D5327">
        <w:rPr>
          <w:i/>
          <w:lang w:eastAsia="en-GB"/>
        </w:rPr>
        <w:t>Manufacturing industries and construction</w:t>
      </w:r>
      <w:r w:rsidRPr="001D5327">
        <w:rPr>
          <w:lang w:eastAsia="en-GB"/>
        </w:rPr>
        <w:t xml:space="preserve"> category decreased by </w:t>
      </w:r>
      <w:r w:rsidR="00F32012" w:rsidRPr="001D5327">
        <w:rPr>
          <w:rFonts w:cs="Calibri"/>
        </w:rPr>
        <w:t>138.3</w:t>
      </w:r>
      <w:r w:rsidRPr="001D5327">
        <w:rPr>
          <w:rFonts w:cs="Calibri"/>
        </w:rPr>
        <w:t xml:space="preserve"> </w:t>
      </w:r>
      <w:r w:rsidRPr="001D5327">
        <w:rPr>
          <w:lang w:eastAsia="en-GB"/>
        </w:rPr>
        <w:t>kt CO</w:t>
      </w:r>
      <w:r w:rsidRPr="001D5327">
        <w:rPr>
          <w:vertAlign w:val="subscript"/>
          <w:lang w:eastAsia="en-GB"/>
        </w:rPr>
        <w:t>2</w:t>
      </w:r>
      <w:r w:rsidRPr="001D5327">
        <w:rPr>
          <w:lang w:eastAsia="en-GB"/>
        </w:rPr>
        <w:t>-e (</w:t>
      </w:r>
      <w:r w:rsidR="00F32012" w:rsidRPr="001D5327">
        <w:rPr>
          <w:rFonts w:cs="Calibri"/>
        </w:rPr>
        <w:t>2.2</w:t>
      </w:r>
      <w:r w:rsidRPr="001D5327">
        <w:rPr>
          <w:rFonts w:cs="Calibri"/>
        </w:rPr>
        <w:t xml:space="preserve"> per cent</w:t>
      </w:r>
      <w:r w:rsidRPr="001D5327">
        <w:rPr>
          <w:lang w:eastAsia="en-GB"/>
        </w:rPr>
        <w:t xml:space="preserve">). This was driven chiefly by a decrease in emissions from the </w:t>
      </w:r>
      <w:r w:rsidR="00F32012" w:rsidRPr="001D5327">
        <w:rPr>
          <w:i/>
          <w:lang w:eastAsia="en-GB"/>
        </w:rPr>
        <w:t>Mining (excluding fuels) and quarrying</w:t>
      </w:r>
      <w:r w:rsidRPr="001D5327">
        <w:rPr>
          <w:lang w:eastAsia="en-GB"/>
        </w:rPr>
        <w:t xml:space="preserve"> category, down </w:t>
      </w:r>
      <w:r w:rsidR="00F32012" w:rsidRPr="001D5327">
        <w:rPr>
          <w:lang w:eastAsia="en-GB"/>
        </w:rPr>
        <w:t>82.7</w:t>
      </w:r>
      <w:r w:rsidRPr="001D5327">
        <w:rPr>
          <w:rFonts w:cs="Calibri"/>
        </w:rPr>
        <w:t xml:space="preserve"> </w:t>
      </w:r>
      <w:r w:rsidRPr="001D5327">
        <w:rPr>
          <w:lang w:eastAsia="en-GB"/>
        </w:rPr>
        <w:t>kt CO</w:t>
      </w:r>
      <w:r w:rsidRPr="001D5327">
        <w:rPr>
          <w:vertAlign w:val="subscript"/>
          <w:lang w:eastAsia="en-GB"/>
        </w:rPr>
        <w:t>2</w:t>
      </w:r>
      <w:r w:rsidRPr="001D5327">
        <w:rPr>
          <w:lang w:eastAsia="en-GB"/>
        </w:rPr>
        <w:t>-e (</w:t>
      </w:r>
      <w:r w:rsidR="00F32012" w:rsidRPr="001D5327">
        <w:rPr>
          <w:lang w:eastAsia="en-GB"/>
        </w:rPr>
        <w:t>18.8</w:t>
      </w:r>
      <w:r w:rsidRPr="001D5327">
        <w:rPr>
          <w:rFonts w:cs="Calibri"/>
        </w:rPr>
        <w:t xml:space="preserve"> per cent</w:t>
      </w:r>
      <w:r w:rsidRPr="001D5327">
        <w:rPr>
          <w:lang w:eastAsia="en-GB"/>
        </w:rPr>
        <w:t xml:space="preserve">) from </w:t>
      </w:r>
      <w:r w:rsidR="00704343" w:rsidRPr="001D5327">
        <w:rPr>
          <w:lang w:eastAsia="en-GB"/>
        </w:rPr>
        <w:t>2022</w:t>
      </w:r>
      <w:r w:rsidRPr="001D5327">
        <w:rPr>
          <w:lang w:eastAsia="en-GB"/>
        </w:rPr>
        <w:t xml:space="preserve">. This drop is largely a result of </w:t>
      </w:r>
      <w:r w:rsidR="00F32012" w:rsidRPr="001D5327">
        <w:rPr>
          <w:lang w:eastAsia="en-GB"/>
        </w:rPr>
        <w:t>a decrease in the consumption of solid fuels in this category.</w:t>
      </w:r>
    </w:p>
    <w:p w14:paraId="18C19F65" w14:textId="7FA85149" w:rsidR="00D97D6C" w:rsidRPr="001D5327" w:rsidRDefault="00D97D6C" w:rsidP="00D97D6C">
      <w:pPr>
        <w:pStyle w:val="BodyText"/>
        <w:spacing w:before="100" w:after="100"/>
        <w:rPr>
          <w:rFonts w:cs="Calibri"/>
        </w:rPr>
      </w:pPr>
      <w:r w:rsidRPr="001D5327">
        <w:rPr>
          <w:rFonts w:cs="Calibri"/>
        </w:rPr>
        <w:t xml:space="preserve">Key categories identified in the </w:t>
      </w:r>
      <w:r w:rsidR="00704343" w:rsidRPr="001D5327">
        <w:rPr>
          <w:rFonts w:cs="Calibri"/>
        </w:rPr>
        <w:t>2023</w:t>
      </w:r>
      <w:r w:rsidRPr="001D5327">
        <w:rPr>
          <w:rFonts w:cs="Calibri"/>
        </w:rPr>
        <w:t xml:space="preserve"> level and trend assessment for the </w:t>
      </w:r>
      <w:r w:rsidRPr="001D5327">
        <w:rPr>
          <w:rFonts w:cs="Calibri"/>
          <w:i/>
        </w:rPr>
        <w:t>Manufacturing industries and construction</w:t>
      </w:r>
      <w:r w:rsidRPr="001D5327">
        <w:rPr>
          <w:rFonts w:cs="Calibri"/>
        </w:rPr>
        <w:t xml:space="preserve"> category are given in table 3.2.3.</w:t>
      </w:r>
    </w:p>
    <w:p w14:paraId="570C9D96" w14:textId="77777777" w:rsidR="00D97D6C" w:rsidRPr="001D5327" w:rsidRDefault="00D97D6C" w:rsidP="00D97D6C">
      <w:pPr>
        <w:pStyle w:val="Table"/>
        <w:rPr>
          <w:rFonts w:cs="Calibri"/>
        </w:rPr>
      </w:pPr>
      <w:bookmarkStart w:id="295" w:name="_Toc68786407"/>
      <w:bookmarkStart w:id="296" w:name="_Toc164153806"/>
      <w:bookmarkStart w:id="297" w:name="_Toc194241673"/>
      <w:r w:rsidRPr="001D5327">
        <w:rPr>
          <w:rFonts w:cs="Calibri"/>
        </w:rPr>
        <w:t>Table 3.2.3</w:t>
      </w:r>
      <w:r w:rsidRPr="001D5327">
        <w:tab/>
      </w:r>
      <w:r w:rsidRPr="001D5327">
        <w:rPr>
          <w:rFonts w:cs="Calibri"/>
        </w:rPr>
        <w:t xml:space="preserve">Key categories for 1.A.2 </w:t>
      </w:r>
      <w:r w:rsidRPr="001D5327">
        <w:rPr>
          <w:i/>
          <w:iCs/>
        </w:rPr>
        <w:t>Manufacturing industries and construction</w:t>
      </w:r>
      <w:bookmarkEnd w:id="295"/>
      <w:bookmarkEnd w:id="296"/>
      <w:bookmarkEnd w:id="297"/>
    </w:p>
    <w:tbl>
      <w:tblPr>
        <w:tblW w:w="8505"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4233"/>
        <w:gridCol w:w="1407"/>
        <w:gridCol w:w="1225"/>
        <w:gridCol w:w="1640"/>
      </w:tblGrid>
      <w:tr w:rsidR="00D97D6C" w:rsidRPr="001D5327" w14:paraId="6A4CC14A" w14:textId="77777777" w:rsidTr="00E87F22">
        <w:trPr>
          <w:tblHeader/>
        </w:trPr>
        <w:tc>
          <w:tcPr>
            <w:tcW w:w="2489" w:type="pct"/>
            <w:shd w:val="clear" w:color="auto" w:fill="1B556B"/>
            <w:noWrap/>
            <w:vAlign w:val="bottom"/>
            <w:hideMark/>
          </w:tcPr>
          <w:p w14:paraId="1A0670AA" w14:textId="77777777" w:rsidR="00D97D6C" w:rsidRPr="001D5327" w:rsidRDefault="00D97D6C" w:rsidP="00B55F24">
            <w:pPr>
              <w:pStyle w:val="TableTextBold"/>
              <w:spacing w:before="40" w:after="40"/>
              <w:rPr>
                <w:rFonts w:cs="Calibri"/>
                <w:noProof w:val="0"/>
                <w:color w:val="FFFFFF"/>
              </w:rPr>
            </w:pPr>
            <w:r w:rsidRPr="001D5327">
              <w:rPr>
                <w:rFonts w:cs="Calibri"/>
                <w:noProof w:val="0"/>
                <w:color w:val="FFFFFF"/>
              </w:rPr>
              <w:t xml:space="preserve">Category </w:t>
            </w:r>
          </w:p>
        </w:tc>
        <w:tc>
          <w:tcPr>
            <w:tcW w:w="827" w:type="pct"/>
            <w:shd w:val="clear" w:color="auto" w:fill="1B556B"/>
            <w:noWrap/>
            <w:vAlign w:val="bottom"/>
            <w:hideMark/>
          </w:tcPr>
          <w:p w14:paraId="041CF630" w14:textId="77777777" w:rsidR="00D97D6C" w:rsidRPr="001D5327" w:rsidRDefault="00D97D6C" w:rsidP="00B55F24">
            <w:pPr>
              <w:pStyle w:val="TableTextBold"/>
              <w:spacing w:before="40" w:after="40"/>
              <w:rPr>
                <w:rFonts w:cs="Calibri"/>
                <w:noProof w:val="0"/>
                <w:color w:val="FFFFFF"/>
              </w:rPr>
            </w:pPr>
            <w:r w:rsidRPr="001D5327">
              <w:rPr>
                <w:rFonts w:cs="Calibri"/>
                <w:noProof w:val="0"/>
                <w:color w:val="FFFFFF"/>
              </w:rPr>
              <w:t>Liquid fuels</w:t>
            </w:r>
          </w:p>
        </w:tc>
        <w:tc>
          <w:tcPr>
            <w:tcW w:w="720" w:type="pct"/>
            <w:shd w:val="clear" w:color="auto" w:fill="1B556B"/>
            <w:vAlign w:val="bottom"/>
            <w:hideMark/>
          </w:tcPr>
          <w:p w14:paraId="661D4D67" w14:textId="77777777" w:rsidR="00D97D6C" w:rsidRPr="001D5327" w:rsidRDefault="00D97D6C" w:rsidP="00B55F24">
            <w:pPr>
              <w:pStyle w:val="TableTextBold"/>
              <w:spacing w:before="40" w:after="40"/>
              <w:rPr>
                <w:rFonts w:cs="Calibri"/>
                <w:noProof w:val="0"/>
                <w:color w:val="FFFFFF"/>
              </w:rPr>
            </w:pPr>
            <w:r w:rsidRPr="001D5327">
              <w:rPr>
                <w:rFonts w:cs="Calibri"/>
                <w:noProof w:val="0"/>
                <w:color w:val="FFFFFF"/>
              </w:rPr>
              <w:t>Solid fuels</w:t>
            </w:r>
          </w:p>
        </w:tc>
        <w:tc>
          <w:tcPr>
            <w:tcW w:w="964" w:type="pct"/>
            <w:shd w:val="clear" w:color="auto" w:fill="1B556B"/>
            <w:vAlign w:val="bottom"/>
            <w:hideMark/>
          </w:tcPr>
          <w:p w14:paraId="0D2F4A94" w14:textId="77777777" w:rsidR="00D97D6C" w:rsidRPr="001D5327" w:rsidRDefault="00D97D6C" w:rsidP="00B55F24">
            <w:pPr>
              <w:pStyle w:val="TableTextBold"/>
              <w:spacing w:before="40" w:after="40"/>
              <w:rPr>
                <w:rFonts w:cs="Calibri"/>
                <w:noProof w:val="0"/>
                <w:color w:val="FFFFFF"/>
              </w:rPr>
            </w:pPr>
            <w:r w:rsidRPr="001D5327">
              <w:rPr>
                <w:rFonts w:cs="Calibri"/>
                <w:noProof w:val="0"/>
                <w:color w:val="FFFFFF"/>
              </w:rPr>
              <w:t>Gaseous fuels</w:t>
            </w:r>
          </w:p>
        </w:tc>
      </w:tr>
      <w:tr w:rsidR="00D97D6C" w:rsidRPr="001D5327" w14:paraId="3D8F71D6" w14:textId="77777777" w:rsidTr="00E87F22">
        <w:tc>
          <w:tcPr>
            <w:tcW w:w="2489" w:type="pct"/>
            <w:shd w:val="clear" w:color="auto" w:fill="auto"/>
            <w:noWrap/>
          </w:tcPr>
          <w:p w14:paraId="1DA0368F" w14:textId="77777777" w:rsidR="00D97D6C" w:rsidRPr="001D5327" w:rsidRDefault="00D97D6C" w:rsidP="00B55F24">
            <w:pPr>
              <w:pStyle w:val="TableText"/>
              <w:spacing w:before="40" w:after="40"/>
              <w:rPr>
                <w:rFonts w:cs="Calibri"/>
              </w:rPr>
            </w:pPr>
            <w:r w:rsidRPr="001D5327">
              <w:rPr>
                <w:rFonts w:cs="Calibri"/>
              </w:rPr>
              <w:t>Chemicals – CO</w:t>
            </w:r>
            <w:r w:rsidRPr="001D5327">
              <w:rPr>
                <w:rFonts w:cs="Calibri"/>
                <w:vertAlign w:val="subscript"/>
              </w:rPr>
              <w:t>2</w:t>
            </w:r>
          </w:p>
        </w:tc>
        <w:tc>
          <w:tcPr>
            <w:tcW w:w="827" w:type="pct"/>
            <w:shd w:val="clear" w:color="auto" w:fill="auto"/>
            <w:noWrap/>
          </w:tcPr>
          <w:p w14:paraId="2659DD66" w14:textId="77777777" w:rsidR="00D97D6C" w:rsidRPr="001D5327" w:rsidRDefault="00D97D6C" w:rsidP="00B55F24">
            <w:pPr>
              <w:pStyle w:val="TableText"/>
              <w:spacing w:before="40" w:after="40"/>
              <w:rPr>
                <w:rFonts w:cs="Calibri"/>
              </w:rPr>
            </w:pPr>
            <w:r w:rsidRPr="001D5327">
              <w:rPr>
                <w:rFonts w:cs="Calibri"/>
              </w:rPr>
              <w:t>–</w:t>
            </w:r>
          </w:p>
        </w:tc>
        <w:tc>
          <w:tcPr>
            <w:tcW w:w="720" w:type="pct"/>
            <w:shd w:val="clear" w:color="auto" w:fill="auto"/>
            <w:noWrap/>
          </w:tcPr>
          <w:p w14:paraId="608F568A" w14:textId="77777777" w:rsidR="00D97D6C" w:rsidRPr="001D5327" w:rsidRDefault="00D97D6C" w:rsidP="00B55F24">
            <w:pPr>
              <w:pStyle w:val="TableText"/>
              <w:spacing w:before="40" w:after="40"/>
              <w:rPr>
                <w:rFonts w:cs="Calibri"/>
              </w:rPr>
            </w:pPr>
            <w:r w:rsidRPr="001D5327">
              <w:rPr>
                <w:rFonts w:cs="Calibri"/>
              </w:rPr>
              <w:t>–</w:t>
            </w:r>
          </w:p>
        </w:tc>
        <w:tc>
          <w:tcPr>
            <w:tcW w:w="964" w:type="pct"/>
            <w:shd w:val="clear" w:color="auto" w:fill="auto"/>
            <w:noWrap/>
          </w:tcPr>
          <w:p w14:paraId="75F7C6B8" w14:textId="77777777" w:rsidR="00D97D6C" w:rsidRPr="001D5327" w:rsidRDefault="00D97D6C" w:rsidP="00B55F24">
            <w:pPr>
              <w:pStyle w:val="TableText"/>
              <w:spacing w:before="40" w:after="40"/>
              <w:rPr>
                <w:rFonts w:cs="Calibri"/>
              </w:rPr>
            </w:pPr>
            <w:r w:rsidRPr="001D5327">
              <w:rPr>
                <w:rFonts w:cs="Calibri"/>
              </w:rPr>
              <w:t>Level, trend</w:t>
            </w:r>
          </w:p>
        </w:tc>
      </w:tr>
      <w:tr w:rsidR="00D97D6C" w:rsidRPr="001D5327" w14:paraId="170C2F1C" w14:textId="77777777" w:rsidTr="00E87F22">
        <w:tc>
          <w:tcPr>
            <w:tcW w:w="2489" w:type="pct"/>
            <w:shd w:val="clear" w:color="auto" w:fill="auto"/>
            <w:noWrap/>
            <w:hideMark/>
          </w:tcPr>
          <w:p w14:paraId="430EF549" w14:textId="77777777" w:rsidR="00D97D6C" w:rsidRPr="001D5327" w:rsidRDefault="00D97D6C" w:rsidP="00B55F24">
            <w:pPr>
              <w:pStyle w:val="TableText"/>
              <w:spacing w:before="40" w:after="40"/>
              <w:rPr>
                <w:rFonts w:cs="Calibri"/>
              </w:rPr>
            </w:pPr>
            <w:r w:rsidRPr="001D5327">
              <w:rPr>
                <w:rFonts w:cs="Calibri"/>
              </w:rPr>
              <w:t>Pulp, paper and print – CO</w:t>
            </w:r>
            <w:r w:rsidRPr="001D5327">
              <w:rPr>
                <w:rFonts w:cs="Calibri"/>
                <w:vertAlign w:val="subscript"/>
              </w:rPr>
              <w:t>2</w:t>
            </w:r>
          </w:p>
        </w:tc>
        <w:tc>
          <w:tcPr>
            <w:tcW w:w="827" w:type="pct"/>
            <w:shd w:val="clear" w:color="auto" w:fill="auto"/>
            <w:noWrap/>
            <w:hideMark/>
          </w:tcPr>
          <w:p w14:paraId="2FE4C37E" w14:textId="77777777" w:rsidR="00D97D6C" w:rsidRPr="001D5327" w:rsidRDefault="00D97D6C" w:rsidP="00B55F24">
            <w:pPr>
              <w:pStyle w:val="TableText"/>
              <w:spacing w:before="40" w:after="40"/>
              <w:rPr>
                <w:rFonts w:cs="Calibri"/>
              </w:rPr>
            </w:pPr>
            <w:r w:rsidRPr="001D5327">
              <w:rPr>
                <w:rFonts w:cs="Calibri"/>
              </w:rPr>
              <w:t>–</w:t>
            </w:r>
          </w:p>
        </w:tc>
        <w:tc>
          <w:tcPr>
            <w:tcW w:w="720" w:type="pct"/>
            <w:shd w:val="clear" w:color="auto" w:fill="auto"/>
            <w:noWrap/>
          </w:tcPr>
          <w:p w14:paraId="762C87AC" w14:textId="77777777" w:rsidR="00D97D6C" w:rsidRPr="001D5327" w:rsidRDefault="00D97D6C" w:rsidP="00B55F24">
            <w:pPr>
              <w:pStyle w:val="TableText"/>
              <w:spacing w:before="40" w:after="40"/>
              <w:rPr>
                <w:rFonts w:cs="Calibri"/>
              </w:rPr>
            </w:pPr>
            <w:r w:rsidRPr="001D5327">
              <w:rPr>
                <w:rFonts w:cs="Calibri"/>
              </w:rPr>
              <w:t>Trend</w:t>
            </w:r>
          </w:p>
        </w:tc>
        <w:tc>
          <w:tcPr>
            <w:tcW w:w="964" w:type="pct"/>
            <w:shd w:val="clear" w:color="auto" w:fill="auto"/>
            <w:noWrap/>
            <w:hideMark/>
          </w:tcPr>
          <w:p w14:paraId="255DB597" w14:textId="5D3F48D8" w:rsidR="00D97D6C" w:rsidRPr="001D5327" w:rsidRDefault="008A40A7" w:rsidP="00B55F24">
            <w:pPr>
              <w:pStyle w:val="TableText"/>
              <w:spacing w:before="40" w:after="40"/>
              <w:rPr>
                <w:rFonts w:cs="Calibri"/>
              </w:rPr>
            </w:pPr>
            <w:r w:rsidRPr="001D5327">
              <w:rPr>
                <w:rFonts w:cs="Calibri"/>
              </w:rPr>
              <w:t>Level, t</w:t>
            </w:r>
            <w:r w:rsidR="00D97D6C" w:rsidRPr="001D5327">
              <w:rPr>
                <w:rFonts w:cs="Calibri"/>
              </w:rPr>
              <w:t>rend</w:t>
            </w:r>
          </w:p>
        </w:tc>
      </w:tr>
      <w:tr w:rsidR="00D97D6C" w:rsidRPr="001D5327" w14:paraId="71660882" w14:textId="77777777" w:rsidTr="00E87F22">
        <w:tc>
          <w:tcPr>
            <w:tcW w:w="2489" w:type="pct"/>
            <w:shd w:val="clear" w:color="auto" w:fill="auto"/>
            <w:noWrap/>
          </w:tcPr>
          <w:p w14:paraId="49780310" w14:textId="77777777" w:rsidR="00D97D6C" w:rsidRPr="001D5327" w:rsidRDefault="00D97D6C" w:rsidP="00B55F24">
            <w:pPr>
              <w:pStyle w:val="TableText"/>
              <w:spacing w:before="40" w:after="40"/>
              <w:rPr>
                <w:rFonts w:cs="Calibri"/>
              </w:rPr>
            </w:pPr>
            <w:r w:rsidRPr="001D5327">
              <w:rPr>
                <w:rFonts w:cs="Calibri"/>
              </w:rPr>
              <w:t>Food processing, beverages and tobacco – CO</w:t>
            </w:r>
            <w:r w:rsidRPr="001D5327">
              <w:rPr>
                <w:rFonts w:cs="Calibri"/>
                <w:vertAlign w:val="subscript"/>
              </w:rPr>
              <w:t>2</w:t>
            </w:r>
          </w:p>
        </w:tc>
        <w:tc>
          <w:tcPr>
            <w:tcW w:w="827" w:type="pct"/>
            <w:shd w:val="clear" w:color="auto" w:fill="auto"/>
            <w:noWrap/>
          </w:tcPr>
          <w:p w14:paraId="1C1A5801" w14:textId="77777777" w:rsidR="00D97D6C" w:rsidRPr="001D5327" w:rsidRDefault="00D97D6C" w:rsidP="00B55F24">
            <w:pPr>
              <w:pStyle w:val="TableText"/>
              <w:spacing w:before="40" w:after="40"/>
              <w:rPr>
                <w:rFonts w:cs="Calibri"/>
              </w:rPr>
            </w:pPr>
            <w:r w:rsidRPr="001D5327">
              <w:rPr>
                <w:rFonts w:cs="Calibri"/>
              </w:rPr>
              <w:t>Level</w:t>
            </w:r>
          </w:p>
        </w:tc>
        <w:tc>
          <w:tcPr>
            <w:tcW w:w="720" w:type="pct"/>
            <w:shd w:val="clear" w:color="auto" w:fill="auto"/>
            <w:noWrap/>
          </w:tcPr>
          <w:p w14:paraId="39AED403" w14:textId="77777777" w:rsidR="00D97D6C" w:rsidRPr="001D5327" w:rsidRDefault="00D97D6C" w:rsidP="00B55F24">
            <w:pPr>
              <w:pStyle w:val="TableText"/>
              <w:spacing w:before="40" w:after="40"/>
              <w:rPr>
                <w:rFonts w:cs="Calibri"/>
              </w:rPr>
            </w:pPr>
            <w:r w:rsidRPr="001D5327">
              <w:rPr>
                <w:rFonts w:cs="Calibri"/>
              </w:rPr>
              <w:t>Level, trend</w:t>
            </w:r>
          </w:p>
        </w:tc>
        <w:tc>
          <w:tcPr>
            <w:tcW w:w="964" w:type="pct"/>
            <w:shd w:val="clear" w:color="auto" w:fill="auto"/>
            <w:noWrap/>
          </w:tcPr>
          <w:p w14:paraId="03085308" w14:textId="77777777" w:rsidR="00D97D6C" w:rsidRPr="001D5327" w:rsidRDefault="00D97D6C" w:rsidP="00B55F24">
            <w:pPr>
              <w:pStyle w:val="TableText"/>
              <w:spacing w:before="40" w:after="40"/>
              <w:rPr>
                <w:rFonts w:cs="Calibri"/>
              </w:rPr>
            </w:pPr>
            <w:r w:rsidRPr="001D5327">
              <w:rPr>
                <w:rFonts w:cs="Calibri"/>
              </w:rPr>
              <w:t>Level, trend</w:t>
            </w:r>
          </w:p>
        </w:tc>
      </w:tr>
      <w:tr w:rsidR="00D97D6C" w:rsidRPr="001D5327" w14:paraId="4619EBF4" w14:textId="77777777" w:rsidTr="00E87F22">
        <w:tc>
          <w:tcPr>
            <w:tcW w:w="2489" w:type="pct"/>
            <w:shd w:val="clear" w:color="auto" w:fill="auto"/>
            <w:noWrap/>
          </w:tcPr>
          <w:p w14:paraId="726162AE" w14:textId="77777777" w:rsidR="00D97D6C" w:rsidRPr="001D5327" w:rsidRDefault="00D97D6C" w:rsidP="00B55F24">
            <w:pPr>
              <w:pStyle w:val="TableText"/>
              <w:spacing w:before="40" w:after="40"/>
              <w:rPr>
                <w:rFonts w:cs="Calibri"/>
              </w:rPr>
            </w:pPr>
            <w:r w:rsidRPr="001D5327">
              <w:rPr>
                <w:rFonts w:cs="Calibri"/>
              </w:rPr>
              <w:t>Non-metallic minerals – CO</w:t>
            </w:r>
            <w:r w:rsidRPr="001D5327">
              <w:rPr>
                <w:rFonts w:cs="Calibri"/>
                <w:vertAlign w:val="subscript"/>
              </w:rPr>
              <w:t>2</w:t>
            </w:r>
          </w:p>
        </w:tc>
        <w:tc>
          <w:tcPr>
            <w:tcW w:w="827" w:type="pct"/>
            <w:shd w:val="clear" w:color="auto" w:fill="auto"/>
            <w:noWrap/>
          </w:tcPr>
          <w:p w14:paraId="1D139CEE" w14:textId="77777777" w:rsidR="00D97D6C" w:rsidRPr="001D5327" w:rsidRDefault="00D97D6C" w:rsidP="00B55F24">
            <w:pPr>
              <w:pStyle w:val="TableText"/>
              <w:spacing w:before="40" w:after="40"/>
              <w:rPr>
                <w:rFonts w:cs="Calibri"/>
              </w:rPr>
            </w:pPr>
            <w:r w:rsidRPr="001D5327">
              <w:rPr>
                <w:rFonts w:cs="Calibri"/>
              </w:rPr>
              <w:t>–</w:t>
            </w:r>
          </w:p>
        </w:tc>
        <w:tc>
          <w:tcPr>
            <w:tcW w:w="720" w:type="pct"/>
            <w:shd w:val="clear" w:color="auto" w:fill="auto"/>
            <w:noWrap/>
          </w:tcPr>
          <w:p w14:paraId="147829B6" w14:textId="57B0683E" w:rsidR="00D97D6C" w:rsidRPr="001D5327" w:rsidRDefault="00175FF6" w:rsidP="00B55F24">
            <w:pPr>
              <w:pStyle w:val="TableText"/>
              <w:spacing w:before="40" w:after="40"/>
              <w:rPr>
                <w:rFonts w:cs="Calibri"/>
              </w:rPr>
            </w:pPr>
            <w:r w:rsidRPr="001D5327">
              <w:rPr>
                <w:rFonts w:cs="Calibri"/>
              </w:rPr>
              <w:t>T</w:t>
            </w:r>
            <w:r w:rsidR="00D97D6C" w:rsidRPr="001D5327">
              <w:rPr>
                <w:rFonts w:cs="Calibri"/>
              </w:rPr>
              <w:t>rend</w:t>
            </w:r>
          </w:p>
        </w:tc>
        <w:tc>
          <w:tcPr>
            <w:tcW w:w="964" w:type="pct"/>
            <w:shd w:val="clear" w:color="auto" w:fill="auto"/>
            <w:noWrap/>
          </w:tcPr>
          <w:p w14:paraId="60E4D706" w14:textId="77777777" w:rsidR="00D97D6C" w:rsidRPr="001D5327" w:rsidRDefault="00D97D6C" w:rsidP="00B55F24">
            <w:pPr>
              <w:pStyle w:val="TableText"/>
              <w:spacing w:before="40" w:after="40"/>
              <w:rPr>
                <w:rFonts w:cs="Calibri"/>
              </w:rPr>
            </w:pPr>
            <w:r w:rsidRPr="001D5327">
              <w:rPr>
                <w:rFonts w:cs="Calibri"/>
              </w:rPr>
              <w:t>–</w:t>
            </w:r>
          </w:p>
        </w:tc>
      </w:tr>
      <w:tr w:rsidR="00D97D6C" w:rsidRPr="001D5327" w14:paraId="3B16DF61" w14:textId="77777777" w:rsidTr="00E87F22">
        <w:tc>
          <w:tcPr>
            <w:tcW w:w="2489" w:type="pct"/>
            <w:shd w:val="clear" w:color="auto" w:fill="auto"/>
            <w:noWrap/>
          </w:tcPr>
          <w:p w14:paraId="6B7DC342" w14:textId="77777777" w:rsidR="00D97D6C" w:rsidRPr="001D5327" w:rsidRDefault="00D97D6C" w:rsidP="00B55F24">
            <w:pPr>
              <w:pStyle w:val="TableText"/>
              <w:spacing w:before="40" w:after="40"/>
              <w:rPr>
                <w:rFonts w:cs="Calibri"/>
              </w:rPr>
            </w:pPr>
            <w:r w:rsidRPr="001D5327">
              <w:rPr>
                <w:rFonts w:cs="Calibri"/>
              </w:rPr>
              <w:t>Other – Mining and quarrying – CO</w:t>
            </w:r>
            <w:r w:rsidRPr="001D5327">
              <w:rPr>
                <w:rFonts w:cs="Calibri"/>
                <w:vertAlign w:val="subscript"/>
              </w:rPr>
              <w:t>2</w:t>
            </w:r>
          </w:p>
        </w:tc>
        <w:tc>
          <w:tcPr>
            <w:tcW w:w="827" w:type="pct"/>
            <w:shd w:val="clear" w:color="auto" w:fill="auto"/>
            <w:noWrap/>
          </w:tcPr>
          <w:p w14:paraId="52B8B017" w14:textId="77777777" w:rsidR="00D97D6C" w:rsidRPr="001D5327" w:rsidRDefault="00D97D6C" w:rsidP="00B55F24">
            <w:pPr>
              <w:pStyle w:val="TableText"/>
              <w:spacing w:before="40" w:after="40"/>
              <w:rPr>
                <w:rFonts w:cs="Calibri"/>
              </w:rPr>
            </w:pPr>
            <w:r w:rsidRPr="001D5327">
              <w:rPr>
                <w:rFonts w:cs="Calibri"/>
              </w:rPr>
              <w:t>Level, trend</w:t>
            </w:r>
          </w:p>
        </w:tc>
        <w:tc>
          <w:tcPr>
            <w:tcW w:w="720" w:type="pct"/>
            <w:shd w:val="clear" w:color="auto" w:fill="auto"/>
            <w:noWrap/>
          </w:tcPr>
          <w:p w14:paraId="1248389A" w14:textId="77777777" w:rsidR="00D97D6C" w:rsidRPr="001D5327" w:rsidRDefault="00D97D6C" w:rsidP="00B55F24">
            <w:pPr>
              <w:pStyle w:val="TableText"/>
              <w:spacing w:before="40" w:after="40"/>
              <w:rPr>
                <w:rFonts w:cs="Calibri"/>
              </w:rPr>
            </w:pPr>
            <w:r w:rsidRPr="001D5327">
              <w:rPr>
                <w:rFonts w:cs="Calibri"/>
              </w:rPr>
              <w:t>–</w:t>
            </w:r>
          </w:p>
        </w:tc>
        <w:tc>
          <w:tcPr>
            <w:tcW w:w="964" w:type="pct"/>
            <w:shd w:val="clear" w:color="auto" w:fill="auto"/>
            <w:noWrap/>
          </w:tcPr>
          <w:p w14:paraId="77B0220A" w14:textId="77777777" w:rsidR="00D97D6C" w:rsidRPr="001D5327" w:rsidRDefault="00D97D6C" w:rsidP="00B55F24">
            <w:pPr>
              <w:pStyle w:val="TableText"/>
              <w:spacing w:before="40" w:after="40"/>
              <w:rPr>
                <w:rFonts w:cs="Calibri"/>
              </w:rPr>
            </w:pPr>
            <w:r w:rsidRPr="001D5327">
              <w:rPr>
                <w:rFonts w:cs="Calibri"/>
              </w:rPr>
              <w:t>–</w:t>
            </w:r>
          </w:p>
        </w:tc>
      </w:tr>
      <w:tr w:rsidR="00D97D6C" w:rsidRPr="001D5327" w14:paraId="3320F692" w14:textId="77777777" w:rsidTr="00E87F22">
        <w:tc>
          <w:tcPr>
            <w:tcW w:w="2489" w:type="pct"/>
            <w:shd w:val="clear" w:color="auto" w:fill="auto"/>
            <w:noWrap/>
          </w:tcPr>
          <w:p w14:paraId="77846EEA" w14:textId="77777777" w:rsidR="00D97D6C" w:rsidRPr="001D5327" w:rsidRDefault="00D97D6C" w:rsidP="00B55F24">
            <w:pPr>
              <w:pStyle w:val="TableText"/>
              <w:spacing w:before="40" w:after="40"/>
              <w:rPr>
                <w:rFonts w:cs="Calibri"/>
              </w:rPr>
            </w:pPr>
            <w:r w:rsidRPr="001D5327">
              <w:rPr>
                <w:rFonts w:cs="Calibri"/>
              </w:rPr>
              <w:t>Other – Construction – CO</w:t>
            </w:r>
            <w:r w:rsidRPr="001D5327">
              <w:rPr>
                <w:rFonts w:cs="Calibri"/>
                <w:szCs w:val="16"/>
                <w:vertAlign w:val="subscript"/>
              </w:rPr>
              <w:t>2</w:t>
            </w:r>
            <w:r w:rsidRPr="001D5327">
              <w:rPr>
                <w:rFonts w:cs="Calibri"/>
              </w:rPr>
              <w:t>*</w:t>
            </w:r>
          </w:p>
        </w:tc>
        <w:tc>
          <w:tcPr>
            <w:tcW w:w="827" w:type="pct"/>
            <w:shd w:val="clear" w:color="auto" w:fill="auto"/>
            <w:noWrap/>
          </w:tcPr>
          <w:p w14:paraId="2EA00FAE" w14:textId="77777777" w:rsidR="00D97D6C" w:rsidRPr="001D5327" w:rsidRDefault="00D97D6C" w:rsidP="00B55F24">
            <w:pPr>
              <w:pStyle w:val="TableText"/>
              <w:spacing w:before="40" w:after="40"/>
              <w:rPr>
                <w:rFonts w:cs="Calibri"/>
              </w:rPr>
            </w:pPr>
            <w:r w:rsidRPr="001D5327">
              <w:rPr>
                <w:rFonts w:cs="Calibri"/>
              </w:rPr>
              <w:t>Level, trend</w:t>
            </w:r>
          </w:p>
        </w:tc>
        <w:tc>
          <w:tcPr>
            <w:tcW w:w="720" w:type="pct"/>
            <w:shd w:val="clear" w:color="auto" w:fill="auto"/>
            <w:noWrap/>
          </w:tcPr>
          <w:p w14:paraId="4D8645AD" w14:textId="77777777" w:rsidR="00D97D6C" w:rsidRPr="001D5327" w:rsidRDefault="00D97D6C" w:rsidP="00B55F24">
            <w:pPr>
              <w:pStyle w:val="TableText"/>
              <w:spacing w:before="40" w:after="40"/>
              <w:rPr>
                <w:rFonts w:cs="Calibri"/>
              </w:rPr>
            </w:pPr>
            <w:r w:rsidRPr="001D5327">
              <w:rPr>
                <w:rFonts w:cs="Calibri"/>
              </w:rPr>
              <w:t>–</w:t>
            </w:r>
          </w:p>
        </w:tc>
        <w:tc>
          <w:tcPr>
            <w:tcW w:w="964" w:type="pct"/>
            <w:shd w:val="clear" w:color="auto" w:fill="auto"/>
            <w:noWrap/>
          </w:tcPr>
          <w:p w14:paraId="332BD1EB" w14:textId="77777777" w:rsidR="00D97D6C" w:rsidRPr="001D5327" w:rsidRDefault="00D97D6C" w:rsidP="00B55F24">
            <w:pPr>
              <w:pStyle w:val="TableText"/>
              <w:spacing w:before="40" w:after="40"/>
              <w:rPr>
                <w:rFonts w:cs="Calibri"/>
              </w:rPr>
            </w:pPr>
            <w:r w:rsidRPr="001D5327">
              <w:rPr>
                <w:rFonts w:cs="Calibri"/>
              </w:rPr>
              <w:t>–</w:t>
            </w:r>
          </w:p>
        </w:tc>
      </w:tr>
      <w:tr w:rsidR="00D97D6C" w:rsidRPr="001D5327" w14:paraId="138C4C8B" w14:textId="77777777" w:rsidTr="00E87F22">
        <w:tc>
          <w:tcPr>
            <w:tcW w:w="2489" w:type="pct"/>
            <w:shd w:val="clear" w:color="auto" w:fill="auto"/>
            <w:noWrap/>
          </w:tcPr>
          <w:p w14:paraId="129FFC7C" w14:textId="77777777" w:rsidR="00D97D6C" w:rsidRPr="001D5327" w:rsidRDefault="00D97D6C" w:rsidP="00B55F24">
            <w:pPr>
              <w:pStyle w:val="TableText"/>
              <w:spacing w:before="40" w:after="40"/>
              <w:rPr>
                <w:rFonts w:cs="Calibri"/>
              </w:rPr>
            </w:pPr>
            <w:r w:rsidRPr="001D5327">
              <w:rPr>
                <w:rFonts w:cs="Calibri"/>
              </w:rPr>
              <w:t>Other – Other non-specified – CO</w:t>
            </w:r>
            <w:r w:rsidRPr="001D5327">
              <w:rPr>
                <w:rFonts w:cs="Calibri"/>
                <w:vertAlign w:val="subscript"/>
              </w:rPr>
              <w:t>2</w:t>
            </w:r>
          </w:p>
        </w:tc>
        <w:tc>
          <w:tcPr>
            <w:tcW w:w="827" w:type="pct"/>
            <w:shd w:val="clear" w:color="auto" w:fill="auto"/>
            <w:noWrap/>
          </w:tcPr>
          <w:p w14:paraId="1EA5D26D" w14:textId="77777777" w:rsidR="00D97D6C" w:rsidRPr="001D5327" w:rsidRDefault="00D97D6C" w:rsidP="00B55F24">
            <w:pPr>
              <w:pStyle w:val="TableText"/>
              <w:spacing w:before="40" w:after="40"/>
              <w:rPr>
                <w:rFonts w:cs="Calibri"/>
              </w:rPr>
            </w:pPr>
            <w:r w:rsidRPr="001D5327" w:rsidDel="00B177AC">
              <w:rPr>
                <w:rFonts w:cs="Calibri"/>
              </w:rPr>
              <w:t>Level, trend</w:t>
            </w:r>
          </w:p>
        </w:tc>
        <w:tc>
          <w:tcPr>
            <w:tcW w:w="720" w:type="pct"/>
            <w:shd w:val="clear" w:color="auto" w:fill="auto"/>
            <w:noWrap/>
          </w:tcPr>
          <w:p w14:paraId="5A866DF9" w14:textId="77777777" w:rsidR="00D97D6C" w:rsidRPr="001D5327" w:rsidRDefault="00D97D6C" w:rsidP="00B55F24">
            <w:pPr>
              <w:pStyle w:val="TableText"/>
              <w:spacing w:before="40" w:after="40"/>
              <w:rPr>
                <w:rFonts w:cs="Calibri"/>
              </w:rPr>
            </w:pPr>
            <w:r w:rsidRPr="001D5327">
              <w:rPr>
                <w:rFonts w:cs="Calibri"/>
              </w:rPr>
              <w:t>Trend</w:t>
            </w:r>
          </w:p>
        </w:tc>
        <w:tc>
          <w:tcPr>
            <w:tcW w:w="964" w:type="pct"/>
            <w:shd w:val="clear" w:color="auto" w:fill="auto"/>
            <w:noWrap/>
          </w:tcPr>
          <w:p w14:paraId="7235C325" w14:textId="77777777" w:rsidR="00D97D6C" w:rsidRPr="001D5327" w:rsidRDefault="00D97D6C" w:rsidP="00B55F24">
            <w:pPr>
              <w:pStyle w:val="TableText"/>
              <w:spacing w:before="40" w:after="40"/>
              <w:rPr>
                <w:rFonts w:cs="Calibri"/>
              </w:rPr>
            </w:pPr>
            <w:r w:rsidRPr="001D5327">
              <w:rPr>
                <w:rFonts w:cs="Calibri"/>
              </w:rPr>
              <w:t>–</w:t>
            </w:r>
          </w:p>
        </w:tc>
      </w:tr>
    </w:tbl>
    <w:p w14:paraId="08612BC5" w14:textId="77777777" w:rsidR="00D97D6C" w:rsidRPr="001D5327" w:rsidRDefault="00D97D6C" w:rsidP="00D97D6C">
      <w:pPr>
        <w:pStyle w:val="Noteundertable"/>
        <w:rPr>
          <w:lang w:eastAsia="en-GB"/>
        </w:rPr>
      </w:pPr>
      <w:r w:rsidRPr="001D5327">
        <w:rPr>
          <w:b/>
          <w:bCs/>
          <w:lang w:eastAsia="en-GB"/>
        </w:rPr>
        <w:t>Note:</w:t>
      </w:r>
      <w:r w:rsidRPr="001D5327">
        <w:rPr>
          <w:lang w:eastAsia="en-GB"/>
        </w:rPr>
        <w:tab/>
        <w:t>*</w:t>
      </w:r>
      <w:r w:rsidRPr="001D5327">
        <w:rPr>
          <w:szCs w:val="19"/>
        </w:rPr>
        <w:t xml:space="preserve"> This key category is calculated using emissions that do not distinguish by fuel type; however, it is known to be primarily liquid fuels.</w:t>
      </w:r>
    </w:p>
    <w:p w14:paraId="12D8CBAF" w14:textId="77777777" w:rsidR="00D97D6C" w:rsidRPr="001D5327" w:rsidRDefault="00D97D6C" w:rsidP="00D97D6C">
      <w:pPr>
        <w:pStyle w:val="Heading4"/>
      </w:pPr>
      <w:r w:rsidRPr="001D5327">
        <w:lastRenderedPageBreak/>
        <w:t>Methodological issues</w:t>
      </w:r>
    </w:p>
    <w:p w14:paraId="220AA502" w14:textId="5E5D8F90" w:rsidR="00D97D6C" w:rsidRPr="001D5327" w:rsidRDefault="00D97D6C" w:rsidP="00D97D6C">
      <w:pPr>
        <w:pStyle w:val="BodyText"/>
        <w:spacing w:before="100" w:after="100"/>
        <w:rPr>
          <w:rFonts w:cs="Calibri"/>
          <w:lang w:eastAsia="en-GB"/>
        </w:rPr>
      </w:pPr>
      <w:r w:rsidRPr="001D5327">
        <w:rPr>
          <w:rFonts w:cs="Calibri"/>
          <w:lang w:eastAsia="en-GB"/>
        </w:rPr>
        <w:t xml:space="preserve">Some emissions from the use of solid fuels and gaseous fuels are excluded from the </w:t>
      </w:r>
      <w:r w:rsidRPr="001D5327">
        <w:rPr>
          <w:rFonts w:cs="Calibri"/>
          <w:i/>
          <w:iCs/>
          <w:lang w:eastAsia="en-GB"/>
        </w:rPr>
        <w:t>Manufacturing industries and construction</w:t>
      </w:r>
      <w:r w:rsidRPr="001D5327">
        <w:rPr>
          <w:rFonts w:cs="Calibri"/>
          <w:lang w:eastAsia="en-GB"/>
        </w:rPr>
        <w:t xml:space="preserve"> category because they are accounted for under the</w:t>
      </w:r>
      <w:r w:rsidR="004C0C49" w:rsidRPr="001D5327">
        <w:rPr>
          <w:rFonts w:cs="Calibri"/>
          <w:lang w:eastAsia="en-GB"/>
        </w:rPr>
        <w:t> </w:t>
      </w:r>
      <w:r w:rsidRPr="001D5327">
        <w:rPr>
          <w:rFonts w:cs="Calibri"/>
          <w:lang w:eastAsia="en-GB"/>
        </w:rPr>
        <w:t>IPPU sector</w:t>
      </w:r>
      <w:r w:rsidR="00E51602" w:rsidRPr="001D5327">
        <w:rPr>
          <w:rFonts w:cs="Calibri"/>
          <w:lang w:eastAsia="en-GB"/>
        </w:rPr>
        <w:t>. Th</w:t>
      </w:r>
      <w:r w:rsidR="00986327" w:rsidRPr="001D5327">
        <w:rPr>
          <w:rFonts w:cs="Calibri"/>
          <w:lang w:eastAsia="en-GB"/>
        </w:rPr>
        <w:t>ese</w:t>
      </w:r>
      <w:r w:rsidRPr="001D5327">
        <w:rPr>
          <w:rFonts w:cs="Calibri"/>
          <w:lang w:eastAsia="en-GB"/>
        </w:rPr>
        <w:t xml:space="preserve"> include the following</w:t>
      </w:r>
      <w:r w:rsidR="00986327" w:rsidRPr="001D5327">
        <w:rPr>
          <w:rFonts w:cs="Calibri"/>
          <w:lang w:eastAsia="en-GB"/>
        </w:rPr>
        <w:t>.</w:t>
      </w:r>
    </w:p>
    <w:p w14:paraId="0D690C8E" w14:textId="6DA74AE2" w:rsidR="00D97D6C" w:rsidRPr="001D5327" w:rsidRDefault="00D97D6C" w:rsidP="00D97D6C">
      <w:pPr>
        <w:pStyle w:val="Bullet"/>
        <w:spacing w:after="100"/>
        <w:rPr>
          <w:lang w:eastAsia="en-GB"/>
        </w:rPr>
      </w:pPr>
      <w:r w:rsidRPr="001D5327">
        <w:rPr>
          <w:lang w:eastAsia="en-GB"/>
        </w:rPr>
        <w:t>New Zealand Steel Limited uses coal as a reducing agent in the steel-making process. In</w:t>
      </w:r>
      <w:r w:rsidR="004C0C49" w:rsidRPr="001D5327">
        <w:rPr>
          <w:lang w:eastAsia="en-GB"/>
        </w:rPr>
        <w:t> </w:t>
      </w:r>
      <w:r w:rsidRPr="001D5327">
        <w:rPr>
          <w:lang w:eastAsia="en-GB"/>
        </w:rPr>
        <w:t xml:space="preserve">accordance with </w:t>
      </w:r>
      <w:r w:rsidR="006905E1" w:rsidRPr="001D5327">
        <w:rPr>
          <w:lang w:eastAsia="en-GB"/>
        </w:rPr>
        <w:t xml:space="preserve">the </w:t>
      </w:r>
      <w:r w:rsidRPr="001D5327">
        <w:rPr>
          <w:lang w:eastAsia="en-GB"/>
        </w:rPr>
        <w:t>2006 IPCC Guidelines, the emissions from this are included under the</w:t>
      </w:r>
      <w:r w:rsidR="004C0C49" w:rsidRPr="001D5327">
        <w:rPr>
          <w:lang w:eastAsia="en-GB"/>
        </w:rPr>
        <w:t> </w:t>
      </w:r>
      <w:r w:rsidRPr="001D5327">
        <w:rPr>
          <w:lang w:eastAsia="en-GB"/>
        </w:rPr>
        <w:t>IPPU sector rather than the Energy sector.</w:t>
      </w:r>
    </w:p>
    <w:p w14:paraId="12135A5D" w14:textId="342221CF" w:rsidR="00D97D6C" w:rsidRPr="001D5327" w:rsidRDefault="00D97D6C" w:rsidP="00D97D6C">
      <w:pPr>
        <w:pStyle w:val="Bullet"/>
        <w:spacing w:after="100"/>
        <w:rPr>
          <w:lang w:eastAsia="en-GB"/>
        </w:rPr>
      </w:pPr>
      <w:r w:rsidRPr="001D5327">
        <w:rPr>
          <w:lang w:eastAsia="en-GB"/>
        </w:rPr>
        <w:t xml:space="preserve">In several instances, natural gas is excluded from the </w:t>
      </w:r>
      <w:r w:rsidRPr="001D5327">
        <w:rPr>
          <w:i/>
          <w:lang w:eastAsia="en-GB"/>
        </w:rPr>
        <w:t>Manufacturing industries and construction</w:t>
      </w:r>
      <w:r w:rsidRPr="001D5327">
        <w:rPr>
          <w:lang w:eastAsia="en-GB"/>
        </w:rPr>
        <w:t xml:space="preserve"> category because it is accounted </w:t>
      </w:r>
      <w:r w:rsidRPr="001D5327">
        <w:rPr>
          <w:spacing w:val="-2"/>
          <w:lang w:eastAsia="en-GB"/>
        </w:rPr>
        <w:t xml:space="preserve">for under the IPPU sector. </w:t>
      </w:r>
      <w:r w:rsidR="006905E1" w:rsidRPr="001D5327">
        <w:rPr>
          <w:spacing w:val="-2"/>
          <w:lang w:eastAsia="en-GB"/>
        </w:rPr>
        <w:t>Among the emissions excluded are those from</w:t>
      </w:r>
      <w:r w:rsidRPr="001D5327">
        <w:rPr>
          <w:spacing w:val="-2"/>
          <w:lang w:eastAsia="en-GB"/>
        </w:rPr>
        <w:t xml:space="preserve"> urea production, hydrogen production and some of the</w:t>
      </w:r>
      <w:r w:rsidRPr="001D5327">
        <w:rPr>
          <w:lang w:eastAsia="en-GB"/>
        </w:rPr>
        <w:t xml:space="preserve"> </w:t>
      </w:r>
      <w:r w:rsidRPr="001D5327">
        <w:rPr>
          <w:spacing w:val="-2"/>
          <w:lang w:eastAsia="en-GB"/>
        </w:rPr>
        <w:t>natural gas used by New Zealand Steel (New Zealand Steel separately reports its emissions from</w:t>
      </w:r>
      <w:r w:rsidRPr="001D5327">
        <w:rPr>
          <w:lang w:eastAsia="en-GB"/>
        </w:rPr>
        <w:t xml:space="preserve"> natural gas as part of the combustion process and natural gas as part of the</w:t>
      </w:r>
      <w:r w:rsidR="006905E1" w:rsidRPr="001D5327">
        <w:rPr>
          <w:lang w:eastAsia="en-GB"/>
        </w:rPr>
        <w:t xml:space="preserve"> </w:t>
      </w:r>
      <w:r w:rsidRPr="001D5327">
        <w:rPr>
          <w:lang w:eastAsia="en-GB"/>
        </w:rPr>
        <w:t>chemical</w:t>
      </w:r>
      <w:r w:rsidR="006905E1" w:rsidRPr="001D5327">
        <w:rPr>
          <w:lang w:eastAsia="en-GB"/>
        </w:rPr>
        <w:t> </w:t>
      </w:r>
      <w:r w:rsidRPr="001D5327">
        <w:rPr>
          <w:lang w:eastAsia="en-GB"/>
        </w:rPr>
        <w:t>process).</w:t>
      </w:r>
    </w:p>
    <w:p w14:paraId="0B7E4CCC" w14:textId="77777777" w:rsidR="00D97D6C" w:rsidRPr="001D5327" w:rsidRDefault="00D97D6C" w:rsidP="00D97D6C">
      <w:pPr>
        <w:pStyle w:val="Heading4"/>
        <w:rPr>
          <w:lang w:eastAsia="en-GB"/>
        </w:rPr>
      </w:pPr>
      <w:r w:rsidRPr="001D5327">
        <w:rPr>
          <w:lang w:eastAsia="en-GB"/>
        </w:rPr>
        <w:t>Activity data</w:t>
      </w:r>
    </w:p>
    <w:p w14:paraId="0754EBA1" w14:textId="385BEF0B" w:rsidR="00D97D6C" w:rsidRPr="001D5327" w:rsidRDefault="00D97D6C" w:rsidP="00D97D6C">
      <w:pPr>
        <w:pStyle w:val="BodyText"/>
        <w:spacing w:before="80"/>
        <w:rPr>
          <w:rFonts w:cs="Calibri"/>
          <w:spacing w:val="-2"/>
        </w:rPr>
      </w:pPr>
      <w:r w:rsidRPr="001D5327">
        <w:rPr>
          <w:rFonts w:cs="Calibri"/>
          <w:spacing w:val="-2"/>
        </w:rPr>
        <w:t xml:space="preserve">Energy balance tables released with </w:t>
      </w:r>
      <w:r w:rsidRPr="001D5327">
        <w:rPr>
          <w:rFonts w:cs="Calibri"/>
          <w:i/>
          <w:spacing w:val="-2"/>
        </w:rPr>
        <w:t>Energy in</w:t>
      </w:r>
      <w:r w:rsidRPr="001D5327">
        <w:rPr>
          <w:rFonts w:cs="Calibri"/>
          <w:spacing w:val="-2"/>
        </w:rPr>
        <w:t xml:space="preserve"> </w:t>
      </w:r>
      <w:r w:rsidRPr="001D5327">
        <w:rPr>
          <w:rFonts w:cs="Calibri"/>
          <w:i/>
          <w:spacing w:val="-2"/>
        </w:rPr>
        <w:t xml:space="preserve">New Zealand </w:t>
      </w:r>
      <w:r w:rsidRPr="001D5327">
        <w:rPr>
          <w:rFonts w:cs="Calibri"/>
          <w:spacing w:val="-2"/>
        </w:rPr>
        <w:t xml:space="preserve">(MBIE, </w:t>
      </w:r>
      <w:r w:rsidR="006A21DD" w:rsidRPr="001D5327">
        <w:rPr>
          <w:rFonts w:cs="Calibri"/>
          <w:spacing w:val="-2"/>
        </w:rPr>
        <w:t>2024</w:t>
      </w:r>
      <w:r w:rsidR="002D4006" w:rsidRPr="001D5327">
        <w:rPr>
          <w:rFonts w:cs="Calibri"/>
          <w:spacing w:val="-2"/>
        </w:rPr>
        <w:t>a</w:t>
      </w:r>
      <w:r w:rsidRPr="001D5327">
        <w:rPr>
          <w:rFonts w:cs="Calibri"/>
          <w:spacing w:val="-2"/>
        </w:rPr>
        <w:t xml:space="preserve">) categorise industrial uses of energy using the Australian and New Zealand Standard Industrial Classification (ANZSIC) 2006. From 2009, MBIE started to collect more detailed information on the industry of fuel use in the various surveys used to compile its balance tables, and this has allowed MBIE to further disaggregate the </w:t>
      </w:r>
      <w:r w:rsidRPr="001D5327">
        <w:rPr>
          <w:rFonts w:cs="Calibri"/>
          <w:i/>
          <w:spacing w:val="-2"/>
        </w:rPr>
        <w:t>Manufacturing industries and construction</w:t>
      </w:r>
      <w:r w:rsidRPr="001D5327">
        <w:rPr>
          <w:rFonts w:cs="Calibri"/>
          <w:spacing w:val="-2"/>
        </w:rPr>
        <w:t xml:space="preserve"> category. Where actual survey data are not available at the required level, estimates of the energy use across these categories have been made to ensure time-series consistency. These are described in further detail below.</w:t>
      </w:r>
    </w:p>
    <w:p w14:paraId="5FE037D5" w14:textId="77777777" w:rsidR="00D97D6C" w:rsidRPr="001D5327" w:rsidRDefault="00D97D6C" w:rsidP="00BF2A76">
      <w:pPr>
        <w:pStyle w:val="Heading5"/>
      </w:pPr>
      <w:r w:rsidRPr="001D5327">
        <w:t>Solid fuels</w:t>
      </w:r>
    </w:p>
    <w:p w14:paraId="37CAD6FF" w14:textId="77777777" w:rsidR="00D97D6C" w:rsidRPr="001D5327" w:rsidRDefault="00D97D6C" w:rsidP="00363D10">
      <w:pPr>
        <w:pStyle w:val="BodyText"/>
      </w:pPr>
      <w:r w:rsidRPr="001D5327">
        <w:t xml:space="preserve">Prior to 2010, coal use in the </w:t>
      </w:r>
      <w:r w:rsidRPr="001D5327">
        <w:rPr>
          <w:i/>
        </w:rPr>
        <w:t>Manufacturing industries and construction</w:t>
      </w:r>
      <w:r w:rsidRPr="001D5327">
        <w:t xml:space="preserve"> category could not be further disaggregated, because no data existed to allow for more detailed categorisation. However, in 2010, MBIE implemented disaggregation for coal use in this category based on the improved industry use data mentioned above. This disaggregation was applied from 2009 onwards, and the percentage splits (based on 2009 data) were applied to activity data for the annual inventory submission across the whole time series (back to 1990). However, during 2014, the coal data system at MBIE was revised to internally disaggregate manufacturing industries based on a 2011 survey of major coal users. Therefore, applying the disaggregation procedure previously used within the greenhouse gas data system is no longer necessary. </w:t>
      </w:r>
    </w:p>
    <w:p w14:paraId="7BA6CEB2" w14:textId="77777777" w:rsidR="00D97D6C" w:rsidRPr="001D5327" w:rsidRDefault="00D97D6C" w:rsidP="00363D10">
      <w:pPr>
        <w:pStyle w:val="BodyText"/>
      </w:pPr>
      <w:r w:rsidRPr="001D5327">
        <w:t xml:space="preserve">From 2009 onwards, the coal sales survey conducted by MBIE provides data at a more disaggregated level. </w:t>
      </w:r>
    </w:p>
    <w:p w14:paraId="49548F9B" w14:textId="77777777" w:rsidR="00D97D6C" w:rsidRPr="001D5327" w:rsidRDefault="00D97D6C" w:rsidP="00BF2A76">
      <w:pPr>
        <w:pStyle w:val="Heading5"/>
      </w:pPr>
      <w:r w:rsidRPr="001D5327">
        <w:t>Solid biomass</w:t>
      </w:r>
    </w:p>
    <w:p w14:paraId="5A16B693" w14:textId="6029EA13" w:rsidR="00053DF1" w:rsidRPr="001D5327" w:rsidRDefault="006E5FF6" w:rsidP="00053DF1">
      <w:pPr>
        <w:pStyle w:val="BodyText"/>
        <w:spacing w:before="100" w:line="240" w:lineRule="atLeast"/>
        <w:rPr>
          <w:rFonts w:cs="Calibri"/>
        </w:rPr>
      </w:pPr>
      <w:r w:rsidRPr="001D5327">
        <w:rPr>
          <w:rFonts w:cs="Calibri"/>
        </w:rPr>
        <w:t xml:space="preserve">The activity data for the industrial use of solid biomass are taken from the annual </w:t>
      </w:r>
      <w:r w:rsidRPr="001D5327">
        <w:rPr>
          <w:rFonts w:cs="Calibri"/>
          <w:i/>
          <w:lang w:eastAsia="en-GB"/>
        </w:rPr>
        <w:t>Energy in New Zealand</w:t>
      </w:r>
      <w:r w:rsidRPr="001D5327">
        <w:rPr>
          <w:rFonts w:cs="Calibri"/>
        </w:rPr>
        <w:t xml:space="preserve"> publication (MBIE, 2024a). </w:t>
      </w:r>
      <w:r w:rsidR="00053DF1" w:rsidRPr="001D5327">
        <w:rPr>
          <w:rFonts w:cs="Calibri"/>
        </w:rPr>
        <w:t>Th</w:t>
      </w:r>
      <w:r w:rsidRPr="001D5327">
        <w:rPr>
          <w:rFonts w:cs="Calibri"/>
        </w:rPr>
        <w:t xml:space="preserve">is dataset </w:t>
      </w:r>
      <w:r w:rsidR="00053DF1" w:rsidRPr="001D5327">
        <w:rPr>
          <w:rFonts w:cs="Calibri"/>
        </w:rPr>
        <w:t xml:space="preserve">is estimated based on several sources. The main source used is a database of wood processors in New Zealand, </w:t>
      </w:r>
      <w:r w:rsidR="006905E1" w:rsidRPr="001D5327">
        <w:rPr>
          <w:rFonts w:cs="Calibri"/>
        </w:rPr>
        <w:t>which is</w:t>
      </w:r>
      <w:r w:rsidR="00053DF1" w:rsidRPr="001D5327">
        <w:rPr>
          <w:rFonts w:cs="Calibri"/>
        </w:rPr>
        <w:t xml:space="preserve"> maintained by Scion. Scion is a Crown </w:t>
      </w:r>
      <w:r w:rsidR="006905E1" w:rsidRPr="001D5327">
        <w:rPr>
          <w:rFonts w:cs="Calibri"/>
        </w:rPr>
        <w:t>r</w:t>
      </w:r>
      <w:r w:rsidR="00053DF1" w:rsidRPr="001D5327">
        <w:rPr>
          <w:rFonts w:cs="Calibri"/>
        </w:rPr>
        <w:t xml:space="preserve">esearch </w:t>
      </w:r>
      <w:r w:rsidR="006905E1" w:rsidRPr="001D5327">
        <w:rPr>
          <w:rFonts w:cs="Calibri"/>
        </w:rPr>
        <w:t>i</w:t>
      </w:r>
      <w:r w:rsidR="00053DF1" w:rsidRPr="001D5327">
        <w:rPr>
          <w:rFonts w:cs="Calibri"/>
        </w:rPr>
        <w:t xml:space="preserve">nstitute specialising in forestry, wood products and other biomaterial sectors. Scion’s Wood Processing Database covers the majority of large-scale wood processors in the country and contains a range of information, including estimates of energy demand by sites. Annual estimates of wood residual and black liquor use are sourced from the </w:t>
      </w:r>
      <w:r w:rsidR="00053DF1" w:rsidRPr="001D5327">
        <w:rPr>
          <w:rFonts w:cs="Calibri"/>
          <w:spacing w:val="-2"/>
        </w:rPr>
        <w:t>database. As th</w:t>
      </w:r>
      <w:r w:rsidR="006905E1" w:rsidRPr="001D5327">
        <w:rPr>
          <w:rFonts w:cs="Calibri"/>
          <w:spacing w:val="-2"/>
        </w:rPr>
        <w:t>ese</w:t>
      </w:r>
      <w:r w:rsidR="00053DF1" w:rsidRPr="001D5327">
        <w:rPr>
          <w:rFonts w:cs="Calibri"/>
          <w:spacing w:val="-2"/>
        </w:rPr>
        <w:t xml:space="preserve"> data are collected every couple of years, </w:t>
      </w:r>
      <w:r w:rsidR="732FABF2" w:rsidRPr="001D5327">
        <w:rPr>
          <w:rFonts w:cs="Calibri"/>
          <w:spacing w:val="-2"/>
        </w:rPr>
        <w:t>estimated data</w:t>
      </w:r>
      <w:r w:rsidR="00053DF1" w:rsidRPr="001D5327">
        <w:rPr>
          <w:rFonts w:cs="Calibri"/>
          <w:spacing w:val="-2"/>
        </w:rPr>
        <w:t xml:space="preserve"> </w:t>
      </w:r>
      <w:r w:rsidR="3F98FA3F" w:rsidRPr="001D5327">
        <w:rPr>
          <w:rFonts w:cs="Calibri"/>
          <w:spacing w:val="-2"/>
        </w:rPr>
        <w:t>are</w:t>
      </w:r>
      <w:r w:rsidR="00053DF1" w:rsidRPr="001D5327">
        <w:rPr>
          <w:rFonts w:cs="Calibri"/>
          <w:spacing w:val="-2"/>
        </w:rPr>
        <w:t xml:space="preserve"> carried forward</w:t>
      </w:r>
      <w:r w:rsidR="00053DF1" w:rsidRPr="001D5327">
        <w:rPr>
          <w:rFonts w:cs="Calibri"/>
        </w:rPr>
        <w:t xml:space="preserve"> using data published by the Ministry for Primary Industries on activity by wood processors for years whe</w:t>
      </w:r>
      <w:r w:rsidR="004A3F1C" w:rsidRPr="001D5327">
        <w:rPr>
          <w:rFonts w:cs="Calibri"/>
        </w:rPr>
        <w:t>n</w:t>
      </w:r>
      <w:r w:rsidR="00053DF1" w:rsidRPr="001D5327">
        <w:rPr>
          <w:rFonts w:cs="Calibri"/>
        </w:rPr>
        <w:t xml:space="preserve"> MBIE has not received an updated Wood Processing Database.</w:t>
      </w:r>
    </w:p>
    <w:p w14:paraId="4C15FA69" w14:textId="79E89D3C" w:rsidR="00D97D6C" w:rsidRPr="001D5327" w:rsidRDefault="00D97D6C" w:rsidP="00363D10">
      <w:pPr>
        <w:pStyle w:val="BodyText"/>
      </w:pPr>
      <w:r w:rsidRPr="001D5327">
        <w:lastRenderedPageBreak/>
        <w:t xml:space="preserve">The Bioenergy Association of New Zealand conducted the 2006 Heat Plant Survey of </w:t>
      </w:r>
      <w:r w:rsidRPr="001D5327">
        <w:rPr>
          <w:lang w:eastAsia="en-GB"/>
        </w:rPr>
        <w:t>New</w:t>
      </w:r>
      <w:r w:rsidR="004C0C49" w:rsidRPr="001D5327">
        <w:rPr>
          <w:lang w:eastAsia="en-GB"/>
        </w:rPr>
        <w:t> </w:t>
      </w:r>
      <w:r w:rsidRPr="001D5327">
        <w:rPr>
          <w:lang w:eastAsia="en-GB"/>
        </w:rPr>
        <w:t>Zealand (</w:t>
      </w:r>
      <w:r w:rsidRPr="001D5327">
        <w:t>Bioenergy Association of New Zealand, 2011)</w:t>
      </w:r>
      <w:r w:rsidRPr="001D5327">
        <w:rPr>
          <w:lang w:eastAsia="en-GB"/>
        </w:rPr>
        <w:t xml:space="preserve"> to gain information on heat plant</w:t>
      </w:r>
      <w:r w:rsidR="004C0C49" w:rsidRPr="001D5327">
        <w:rPr>
          <w:lang w:eastAsia="en-GB"/>
        </w:rPr>
        <w:t> </w:t>
      </w:r>
      <w:r w:rsidRPr="001D5327">
        <w:rPr>
          <w:lang w:eastAsia="en-GB"/>
        </w:rPr>
        <w:t>(boiler) capacity and use in New Zealand. One area this survey examined was solid biomass use in New Zealand industrial companies (see table 3.2.4). The survey show</w:t>
      </w:r>
      <w:r w:rsidR="00053DF1" w:rsidRPr="001D5327">
        <w:rPr>
          <w:lang w:eastAsia="en-GB"/>
        </w:rPr>
        <w:t>ed</w:t>
      </w:r>
      <w:r w:rsidRPr="001D5327">
        <w:rPr>
          <w:lang w:eastAsia="en-GB"/>
        </w:rPr>
        <w:t xml:space="preserve"> that most solid biomass in New Zealand is used by the wood processing industry. The industrial allocations from the survey were used to separate out solid biomass activity data for the inventory. These splits were applied across the whole time series (back to 1990) for activity data and </w:t>
      </w:r>
      <w:r w:rsidRPr="001D5327">
        <w:t>CO</w:t>
      </w:r>
      <w:r w:rsidRPr="001D5327">
        <w:rPr>
          <w:vertAlign w:val="subscript"/>
        </w:rPr>
        <w:t>2</w:t>
      </w:r>
      <w:r w:rsidRPr="001D5327">
        <w:t>, CH</w:t>
      </w:r>
      <w:r w:rsidRPr="001D5327">
        <w:rPr>
          <w:vertAlign w:val="subscript"/>
        </w:rPr>
        <w:t>4</w:t>
      </w:r>
      <w:r w:rsidRPr="001D5327">
        <w:t> and N</w:t>
      </w:r>
      <w:r w:rsidRPr="001D5327">
        <w:rPr>
          <w:vertAlign w:val="subscript"/>
        </w:rPr>
        <w:t>2</w:t>
      </w:r>
      <w:r w:rsidRPr="001D5327">
        <w:t>O emissions.</w:t>
      </w:r>
    </w:p>
    <w:p w14:paraId="02346477" w14:textId="64B88D06" w:rsidR="00D97D6C" w:rsidRPr="001D5327" w:rsidRDefault="00D97D6C" w:rsidP="00D97D6C">
      <w:pPr>
        <w:pStyle w:val="Table"/>
        <w:rPr>
          <w:rFonts w:cs="Calibri"/>
        </w:rPr>
      </w:pPr>
      <w:bookmarkStart w:id="298" w:name="_Toc321399159"/>
      <w:bookmarkStart w:id="299" w:name="_Toc384582171"/>
      <w:bookmarkStart w:id="300" w:name="_Toc443060846"/>
      <w:bookmarkStart w:id="301" w:name="_Toc451176062"/>
      <w:bookmarkStart w:id="302" w:name="_Toc481751488"/>
      <w:bookmarkStart w:id="303" w:name="_Toc507496591"/>
      <w:bookmarkStart w:id="304" w:name="_Toc36224525"/>
      <w:bookmarkStart w:id="305" w:name="_Toc68786408"/>
      <w:bookmarkStart w:id="306" w:name="_Toc164153807"/>
      <w:bookmarkStart w:id="307" w:name="_Toc194241674"/>
      <w:r w:rsidRPr="001D5327">
        <w:rPr>
          <w:rFonts w:cs="Calibri"/>
        </w:rPr>
        <w:t xml:space="preserve">Table 3.2.4 </w:t>
      </w:r>
      <w:r w:rsidRPr="001D5327">
        <w:rPr>
          <w:rFonts w:cs="Calibri"/>
        </w:rPr>
        <w:tab/>
        <w:t xml:space="preserve">Solid biomass splits for 2006 that were used to disaggregate the </w:t>
      </w:r>
      <w:r w:rsidRPr="001D5327">
        <w:rPr>
          <w:rFonts w:cs="Calibri"/>
          <w:i/>
          <w:iCs/>
        </w:rPr>
        <w:t>Manufacturing industries</w:t>
      </w:r>
      <w:r w:rsidRPr="001D5327">
        <w:rPr>
          <w:rFonts w:cs="Calibri"/>
          <w:i/>
          <w:iCs/>
        </w:rPr>
        <w:br/>
        <w:t>and construction</w:t>
      </w:r>
      <w:r w:rsidRPr="001D5327">
        <w:rPr>
          <w:rFonts w:cs="Calibri"/>
        </w:rPr>
        <w:t xml:space="preserve"> category between 1990 and </w:t>
      </w:r>
      <w:bookmarkEnd w:id="298"/>
      <w:bookmarkEnd w:id="299"/>
      <w:bookmarkEnd w:id="300"/>
      <w:bookmarkEnd w:id="301"/>
      <w:bookmarkEnd w:id="302"/>
      <w:bookmarkEnd w:id="303"/>
      <w:bookmarkEnd w:id="304"/>
      <w:bookmarkEnd w:id="305"/>
      <w:bookmarkEnd w:id="306"/>
      <w:r w:rsidR="00704343" w:rsidRPr="001D5327">
        <w:rPr>
          <w:rFonts w:cs="Calibri"/>
        </w:rPr>
        <w:t>2023</w:t>
      </w:r>
      <w:bookmarkEnd w:id="307"/>
    </w:p>
    <w:tbl>
      <w:tblPr>
        <w:tblW w:w="8505"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1991"/>
        <w:gridCol w:w="5246"/>
        <w:gridCol w:w="1268"/>
      </w:tblGrid>
      <w:tr w:rsidR="00D97D6C" w:rsidRPr="001D5327" w14:paraId="6C5E8562" w14:textId="77777777" w:rsidTr="003B0A3C">
        <w:trPr>
          <w:tblHeader/>
        </w:trPr>
        <w:tc>
          <w:tcPr>
            <w:tcW w:w="1560" w:type="dxa"/>
            <w:shd w:val="clear" w:color="auto" w:fill="1B556B"/>
            <w:vAlign w:val="bottom"/>
          </w:tcPr>
          <w:p w14:paraId="2EFEE64C" w14:textId="77777777" w:rsidR="00D97D6C" w:rsidRPr="001D5327" w:rsidRDefault="00D97D6C" w:rsidP="00B55F24">
            <w:pPr>
              <w:pStyle w:val="TableTextBold"/>
              <w:keepNext/>
              <w:spacing w:before="40" w:after="40"/>
              <w:rPr>
                <w:rFonts w:cs="Calibri"/>
                <w:bCs/>
                <w:noProof w:val="0"/>
                <w:color w:val="FFFFFF"/>
              </w:rPr>
            </w:pPr>
            <w:r w:rsidRPr="001D5327">
              <w:rPr>
                <w:rFonts w:cs="Calibri"/>
                <w:bCs/>
                <w:noProof w:val="0"/>
                <w:color w:val="FFFFFF"/>
              </w:rPr>
              <w:t>CRT category code</w:t>
            </w:r>
          </w:p>
        </w:tc>
        <w:tc>
          <w:tcPr>
            <w:tcW w:w="4110" w:type="dxa"/>
            <w:shd w:val="clear" w:color="auto" w:fill="1B556B"/>
            <w:vAlign w:val="bottom"/>
          </w:tcPr>
          <w:p w14:paraId="03D5CCE1" w14:textId="77777777" w:rsidR="00D97D6C" w:rsidRPr="001D5327" w:rsidRDefault="00D97D6C" w:rsidP="00B55F24">
            <w:pPr>
              <w:pStyle w:val="TableTextBold"/>
              <w:spacing w:before="40" w:after="40"/>
              <w:rPr>
                <w:rFonts w:cs="Calibri"/>
                <w:bCs/>
                <w:noProof w:val="0"/>
                <w:color w:val="FFFFFF"/>
              </w:rPr>
            </w:pPr>
            <w:r w:rsidRPr="001D5327">
              <w:rPr>
                <w:rFonts w:cs="Calibri"/>
                <w:bCs/>
                <w:noProof w:val="0"/>
                <w:color w:val="FFFFFF"/>
              </w:rPr>
              <w:t>Manufacturing industries and construction category</w:t>
            </w:r>
          </w:p>
        </w:tc>
        <w:tc>
          <w:tcPr>
            <w:tcW w:w="993" w:type="dxa"/>
            <w:shd w:val="clear" w:color="auto" w:fill="1B556B"/>
            <w:vAlign w:val="bottom"/>
          </w:tcPr>
          <w:p w14:paraId="3C2180FF" w14:textId="77777777" w:rsidR="00D97D6C" w:rsidRPr="001D5327" w:rsidRDefault="00D97D6C" w:rsidP="00B95F90">
            <w:pPr>
              <w:pStyle w:val="TableTextBold"/>
              <w:spacing w:before="40" w:after="40"/>
              <w:jc w:val="right"/>
              <w:rPr>
                <w:rFonts w:cs="Calibri"/>
                <w:noProof w:val="0"/>
                <w:color w:val="FFFFFF"/>
              </w:rPr>
            </w:pPr>
            <w:r w:rsidRPr="001D5327">
              <w:rPr>
                <w:rFonts w:cs="Calibri"/>
                <w:noProof w:val="0"/>
                <w:color w:val="FFFFFF"/>
              </w:rPr>
              <w:t>Per cent</w:t>
            </w:r>
          </w:p>
        </w:tc>
      </w:tr>
      <w:tr w:rsidR="00D97D6C" w:rsidRPr="001D5327" w14:paraId="6979B4F8" w14:textId="77777777" w:rsidTr="003B0A3C">
        <w:tc>
          <w:tcPr>
            <w:tcW w:w="1560" w:type="dxa"/>
            <w:shd w:val="clear" w:color="auto" w:fill="auto"/>
            <w:vAlign w:val="center"/>
          </w:tcPr>
          <w:p w14:paraId="012FFD23" w14:textId="77777777" w:rsidR="00D97D6C" w:rsidRPr="001D5327" w:rsidRDefault="00D97D6C" w:rsidP="00B55F24">
            <w:pPr>
              <w:pStyle w:val="TableText"/>
              <w:keepNext/>
              <w:spacing w:before="40" w:after="40"/>
              <w:rPr>
                <w:rFonts w:cs="Calibri"/>
                <w:bCs/>
              </w:rPr>
            </w:pPr>
            <w:r w:rsidRPr="001D5327">
              <w:rPr>
                <w:rFonts w:cs="Calibri"/>
                <w:bCs/>
              </w:rPr>
              <w:t>1.A.2.a</w:t>
            </w:r>
          </w:p>
        </w:tc>
        <w:tc>
          <w:tcPr>
            <w:tcW w:w="4110" w:type="dxa"/>
            <w:shd w:val="clear" w:color="auto" w:fill="auto"/>
            <w:vAlign w:val="center"/>
          </w:tcPr>
          <w:p w14:paraId="290ED6FF" w14:textId="77777777" w:rsidR="00D97D6C" w:rsidRPr="001D5327" w:rsidRDefault="00D97D6C" w:rsidP="00B55F24">
            <w:pPr>
              <w:pStyle w:val="TableText"/>
              <w:spacing w:before="40" w:after="40"/>
              <w:rPr>
                <w:rFonts w:cs="Calibri"/>
                <w:lang w:eastAsia="en-GB"/>
              </w:rPr>
            </w:pPr>
            <w:r w:rsidRPr="001D5327">
              <w:rPr>
                <w:rFonts w:cs="Calibri"/>
              </w:rPr>
              <w:t>Iron and steel</w:t>
            </w:r>
          </w:p>
        </w:tc>
        <w:tc>
          <w:tcPr>
            <w:tcW w:w="993" w:type="dxa"/>
            <w:shd w:val="clear" w:color="auto" w:fill="auto"/>
            <w:vAlign w:val="center"/>
          </w:tcPr>
          <w:p w14:paraId="395ABFB7" w14:textId="77777777" w:rsidR="00D97D6C" w:rsidRPr="001D5327" w:rsidRDefault="00D97D6C" w:rsidP="00B95F90">
            <w:pPr>
              <w:pStyle w:val="TableText"/>
              <w:spacing w:before="40" w:after="40"/>
              <w:jc w:val="right"/>
            </w:pPr>
            <w:r w:rsidRPr="001D5327">
              <w:t>NO</w:t>
            </w:r>
          </w:p>
        </w:tc>
      </w:tr>
      <w:tr w:rsidR="00D97D6C" w:rsidRPr="001D5327" w14:paraId="7B63627E" w14:textId="77777777" w:rsidTr="003B0A3C">
        <w:tc>
          <w:tcPr>
            <w:tcW w:w="1560" w:type="dxa"/>
            <w:shd w:val="clear" w:color="auto" w:fill="auto"/>
            <w:vAlign w:val="center"/>
          </w:tcPr>
          <w:p w14:paraId="7D207C63" w14:textId="77777777" w:rsidR="00D97D6C" w:rsidRPr="001D5327" w:rsidRDefault="00D97D6C" w:rsidP="00B55F24">
            <w:pPr>
              <w:pStyle w:val="TableText"/>
              <w:keepNext/>
              <w:spacing w:before="40" w:after="40"/>
              <w:rPr>
                <w:rFonts w:cs="Calibri"/>
                <w:bCs/>
              </w:rPr>
            </w:pPr>
            <w:r w:rsidRPr="001D5327">
              <w:rPr>
                <w:rFonts w:cs="Calibri"/>
                <w:bCs/>
              </w:rPr>
              <w:t>1.A.2.b</w:t>
            </w:r>
          </w:p>
        </w:tc>
        <w:tc>
          <w:tcPr>
            <w:tcW w:w="4110" w:type="dxa"/>
            <w:shd w:val="clear" w:color="auto" w:fill="auto"/>
            <w:vAlign w:val="center"/>
          </w:tcPr>
          <w:p w14:paraId="6250CA30" w14:textId="77777777" w:rsidR="00D97D6C" w:rsidRPr="001D5327" w:rsidRDefault="00D97D6C" w:rsidP="00B55F24">
            <w:pPr>
              <w:pStyle w:val="TableText"/>
              <w:spacing w:before="40" w:after="40"/>
              <w:rPr>
                <w:rFonts w:cs="Calibri"/>
              </w:rPr>
            </w:pPr>
            <w:r w:rsidRPr="001D5327">
              <w:rPr>
                <w:rFonts w:cs="Calibri"/>
              </w:rPr>
              <w:t>Non-ferrous metals</w:t>
            </w:r>
          </w:p>
        </w:tc>
        <w:tc>
          <w:tcPr>
            <w:tcW w:w="993" w:type="dxa"/>
            <w:shd w:val="clear" w:color="auto" w:fill="auto"/>
            <w:vAlign w:val="center"/>
          </w:tcPr>
          <w:p w14:paraId="506986C0" w14:textId="77777777" w:rsidR="00D97D6C" w:rsidRPr="001D5327" w:rsidRDefault="00D97D6C" w:rsidP="00B95F90">
            <w:pPr>
              <w:pStyle w:val="TableText"/>
              <w:spacing w:before="40" w:after="40"/>
              <w:jc w:val="right"/>
            </w:pPr>
            <w:r w:rsidRPr="001D5327">
              <w:t>NO</w:t>
            </w:r>
          </w:p>
        </w:tc>
      </w:tr>
      <w:tr w:rsidR="00D97D6C" w:rsidRPr="001D5327" w14:paraId="1E8F89D1" w14:textId="77777777" w:rsidTr="003B0A3C">
        <w:tc>
          <w:tcPr>
            <w:tcW w:w="1560" w:type="dxa"/>
            <w:shd w:val="clear" w:color="auto" w:fill="auto"/>
            <w:vAlign w:val="center"/>
          </w:tcPr>
          <w:p w14:paraId="2EC66772" w14:textId="77777777" w:rsidR="00D97D6C" w:rsidRPr="001D5327" w:rsidRDefault="00D97D6C" w:rsidP="00B55F24">
            <w:pPr>
              <w:pStyle w:val="TableText"/>
              <w:spacing w:before="40" w:after="40"/>
              <w:rPr>
                <w:rFonts w:cs="Calibri"/>
                <w:bCs/>
              </w:rPr>
            </w:pPr>
            <w:r w:rsidRPr="001D5327">
              <w:rPr>
                <w:rFonts w:cs="Calibri"/>
                <w:bCs/>
              </w:rPr>
              <w:t>1.A.2.c</w:t>
            </w:r>
          </w:p>
        </w:tc>
        <w:tc>
          <w:tcPr>
            <w:tcW w:w="4110" w:type="dxa"/>
            <w:shd w:val="clear" w:color="auto" w:fill="auto"/>
            <w:vAlign w:val="center"/>
          </w:tcPr>
          <w:p w14:paraId="0C7B5B01" w14:textId="77777777" w:rsidR="00D97D6C" w:rsidRPr="001D5327" w:rsidRDefault="00D97D6C" w:rsidP="00B55F24">
            <w:pPr>
              <w:pStyle w:val="TableText"/>
              <w:spacing w:before="40" w:after="40"/>
              <w:rPr>
                <w:rFonts w:cs="Calibri"/>
                <w:lang w:eastAsia="en-GB"/>
              </w:rPr>
            </w:pPr>
            <w:r w:rsidRPr="001D5327">
              <w:rPr>
                <w:rFonts w:cs="Calibri"/>
              </w:rPr>
              <w:t>Chemicals</w:t>
            </w:r>
          </w:p>
        </w:tc>
        <w:tc>
          <w:tcPr>
            <w:tcW w:w="993" w:type="dxa"/>
            <w:shd w:val="clear" w:color="auto" w:fill="auto"/>
            <w:vAlign w:val="center"/>
          </w:tcPr>
          <w:p w14:paraId="735EFFFD" w14:textId="77777777" w:rsidR="00D97D6C" w:rsidRPr="001D5327" w:rsidRDefault="00D97D6C" w:rsidP="00B95F90">
            <w:pPr>
              <w:pStyle w:val="TableText"/>
              <w:spacing w:before="40" w:after="40"/>
              <w:jc w:val="right"/>
            </w:pPr>
            <w:r w:rsidRPr="001D5327">
              <w:t>NO</w:t>
            </w:r>
          </w:p>
        </w:tc>
      </w:tr>
      <w:tr w:rsidR="00D97D6C" w:rsidRPr="001D5327" w14:paraId="1F147A58" w14:textId="77777777" w:rsidTr="003B0A3C">
        <w:tc>
          <w:tcPr>
            <w:tcW w:w="1560" w:type="dxa"/>
            <w:shd w:val="clear" w:color="auto" w:fill="auto"/>
            <w:vAlign w:val="center"/>
          </w:tcPr>
          <w:p w14:paraId="03A6E8FA" w14:textId="77777777" w:rsidR="00D97D6C" w:rsidRPr="001D5327" w:rsidRDefault="00D97D6C" w:rsidP="00B55F24">
            <w:pPr>
              <w:pStyle w:val="TableText"/>
              <w:spacing w:before="40" w:after="40"/>
              <w:rPr>
                <w:rFonts w:cs="Calibri"/>
                <w:bCs/>
              </w:rPr>
            </w:pPr>
            <w:r w:rsidRPr="001D5327">
              <w:rPr>
                <w:rFonts w:cs="Calibri"/>
                <w:bCs/>
              </w:rPr>
              <w:t>1.A.2.d</w:t>
            </w:r>
          </w:p>
        </w:tc>
        <w:tc>
          <w:tcPr>
            <w:tcW w:w="4110" w:type="dxa"/>
            <w:shd w:val="clear" w:color="auto" w:fill="auto"/>
            <w:vAlign w:val="center"/>
          </w:tcPr>
          <w:p w14:paraId="35446E53" w14:textId="77777777" w:rsidR="00D97D6C" w:rsidRPr="001D5327" w:rsidRDefault="00D97D6C" w:rsidP="00B55F24">
            <w:pPr>
              <w:pStyle w:val="TableText"/>
              <w:spacing w:before="40" w:after="40"/>
              <w:rPr>
                <w:rFonts w:cs="Calibri"/>
                <w:lang w:eastAsia="en-GB"/>
              </w:rPr>
            </w:pPr>
            <w:r w:rsidRPr="001D5327">
              <w:rPr>
                <w:rFonts w:cs="Calibri"/>
              </w:rPr>
              <w:t>Pulp, paper and print</w:t>
            </w:r>
          </w:p>
        </w:tc>
        <w:tc>
          <w:tcPr>
            <w:tcW w:w="993" w:type="dxa"/>
            <w:shd w:val="clear" w:color="auto" w:fill="auto"/>
            <w:vAlign w:val="center"/>
          </w:tcPr>
          <w:p w14:paraId="1D494623" w14:textId="77777777" w:rsidR="00D97D6C" w:rsidRPr="001D5327" w:rsidRDefault="00D97D6C" w:rsidP="00B95F90">
            <w:pPr>
              <w:pStyle w:val="TableText"/>
              <w:spacing w:before="40" w:after="40"/>
              <w:jc w:val="right"/>
            </w:pPr>
            <w:r w:rsidRPr="001D5327">
              <w:t>99.94</w:t>
            </w:r>
          </w:p>
        </w:tc>
      </w:tr>
      <w:tr w:rsidR="00D97D6C" w:rsidRPr="001D5327" w14:paraId="7295E938" w14:textId="77777777" w:rsidTr="003B0A3C">
        <w:tc>
          <w:tcPr>
            <w:tcW w:w="1560" w:type="dxa"/>
            <w:shd w:val="clear" w:color="auto" w:fill="auto"/>
            <w:vAlign w:val="center"/>
          </w:tcPr>
          <w:p w14:paraId="6FA63C56" w14:textId="77777777" w:rsidR="00D97D6C" w:rsidRPr="001D5327" w:rsidRDefault="00D97D6C" w:rsidP="00B55F24">
            <w:pPr>
              <w:pStyle w:val="TableText"/>
              <w:spacing w:before="40" w:after="40"/>
              <w:rPr>
                <w:rFonts w:cs="Calibri"/>
                <w:bCs/>
              </w:rPr>
            </w:pPr>
            <w:r w:rsidRPr="001D5327">
              <w:rPr>
                <w:rFonts w:cs="Calibri"/>
                <w:bCs/>
              </w:rPr>
              <w:t>1.A.2.e</w:t>
            </w:r>
          </w:p>
        </w:tc>
        <w:tc>
          <w:tcPr>
            <w:tcW w:w="4110" w:type="dxa"/>
            <w:shd w:val="clear" w:color="auto" w:fill="auto"/>
            <w:vAlign w:val="center"/>
          </w:tcPr>
          <w:p w14:paraId="57659C30" w14:textId="77777777" w:rsidR="00D97D6C" w:rsidRPr="001D5327" w:rsidRDefault="00D97D6C" w:rsidP="00B55F24">
            <w:pPr>
              <w:pStyle w:val="TableText"/>
              <w:spacing w:before="40" w:after="40"/>
              <w:rPr>
                <w:rFonts w:cs="Calibri"/>
                <w:lang w:eastAsia="en-GB"/>
              </w:rPr>
            </w:pPr>
            <w:r w:rsidRPr="001D5327">
              <w:rPr>
                <w:rFonts w:cs="Calibri"/>
              </w:rPr>
              <w:t>Food processing, beverages and tobacco</w:t>
            </w:r>
          </w:p>
        </w:tc>
        <w:tc>
          <w:tcPr>
            <w:tcW w:w="993" w:type="dxa"/>
            <w:shd w:val="clear" w:color="auto" w:fill="auto"/>
            <w:vAlign w:val="center"/>
          </w:tcPr>
          <w:p w14:paraId="7025BB78" w14:textId="77777777" w:rsidR="00D97D6C" w:rsidRPr="001D5327" w:rsidRDefault="00D97D6C" w:rsidP="00B95F90">
            <w:pPr>
              <w:pStyle w:val="TableText"/>
              <w:spacing w:before="40" w:after="40"/>
              <w:jc w:val="right"/>
            </w:pPr>
            <w:r w:rsidRPr="001D5327">
              <w:t>0.05</w:t>
            </w:r>
          </w:p>
        </w:tc>
      </w:tr>
      <w:tr w:rsidR="00D97D6C" w:rsidRPr="001D5327" w14:paraId="476152AA" w14:textId="77777777" w:rsidTr="003B0A3C">
        <w:tc>
          <w:tcPr>
            <w:tcW w:w="1560" w:type="dxa"/>
            <w:shd w:val="clear" w:color="auto" w:fill="auto"/>
            <w:vAlign w:val="center"/>
          </w:tcPr>
          <w:p w14:paraId="7C2108A5" w14:textId="77777777" w:rsidR="00D97D6C" w:rsidRPr="001D5327" w:rsidRDefault="00D97D6C" w:rsidP="00B55F24">
            <w:pPr>
              <w:pStyle w:val="TableText"/>
              <w:spacing w:before="40" w:after="40"/>
              <w:rPr>
                <w:rFonts w:cs="Calibri"/>
                <w:bCs/>
              </w:rPr>
            </w:pPr>
            <w:r w:rsidRPr="001D5327">
              <w:rPr>
                <w:rFonts w:cs="Calibri"/>
                <w:bCs/>
              </w:rPr>
              <w:t>1.A.2.g</w:t>
            </w:r>
          </w:p>
        </w:tc>
        <w:tc>
          <w:tcPr>
            <w:tcW w:w="4110" w:type="dxa"/>
            <w:shd w:val="clear" w:color="auto" w:fill="auto"/>
            <w:vAlign w:val="center"/>
          </w:tcPr>
          <w:p w14:paraId="1A559329" w14:textId="77777777" w:rsidR="00D97D6C" w:rsidRPr="001D5327" w:rsidRDefault="00D97D6C" w:rsidP="00B55F24">
            <w:pPr>
              <w:pStyle w:val="TableText"/>
              <w:spacing w:before="40" w:after="40"/>
              <w:rPr>
                <w:rFonts w:cs="Calibri"/>
                <w:lang w:eastAsia="en-GB"/>
              </w:rPr>
            </w:pPr>
            <w:r w:rsidRPr="001D5327">
              <w:rPr>
                <w:rFonts w:cs="Calibri"/>
              </w:rPr>
              <w:t>Other – Mining and construction</w:t>
            </w:r>
          </w:p>
        </w:tc>
        <w:tc>
          <w:tcPr>
            <w:tcW w:w="993" w:type="dxa"/>
            <w:shd w:val="clear" w:color="auto" w:fill="auto"/>
            <w:vAlign w:val="center"/>
          </w:tcPr>
          <w:p w14:paraId="5FFB510D" w14:textId="77777777" w:rsidR="00D97D6C" w:rsidRPr="001D5327" w:rsidRDefault="00D97D6C" w:rsidP="00B95F90">
            <w:pPr>
              <w:pStyle w:val="TableText"/>
              <w:spacing w:before="40" w:after="40"/>
              <w:jc w:val="right"/>
            </w:pPr>
            <w:r w:rsidRPr="001D5327">
              <w:t>NO</w:t>
            </w:r>
          </w:p>
        </w:tc>
      </w:tr>
      <w:tr w:rsidR="00D97D6C" w:rsidRPr="001D5327" w14:paraId="2B5711E0" w14:textId="77777777" w:rsidTr="003B0A3C">
        <w:tc>
          <w:tcPr>
            <w:tcW w:w="1560" w:type="dxa"/>
            <w:shd w:val="clear" w:color="auto" w:fill="auto"/>
            <w:vAlign w:val="center"/>
          </w:tcPr>
          <w:p w14:paraId="7BAD0FA8" w14:textId="77777777" w:rsidR="00D97D6C" w:rsidRPr="001D5327" w:rsidRDefault="00D97D6C" w:rsidP="00B55F24">
            <w:pPr>
              <w:pStyle w:val="TableText"/>
              <w:spacing w:before="40" w:after="40"/>
              <w:rPr>
                <w:rFonts w:cs="Calibri"/>
                <w:bCs/>
              </w:rPr>
            </w:pPr>
            <w:r w:rsidRPr="001D5327">
              <w:rPr>
                <w:rFonts w:cs="Calibri"/>
                <w:bCs/>
              </w:rPr>
              <w:t>1.A.2.g</w:t>
            </w:r>
          </w:p>
        </w:tc>
        <w:tc>
          <w:tcPr>
            <w:tcW w:w="4110" w:type="dxa"/>
            <w:shd w:val="clear" w:color="auto" w:fill="auto"/>
            <w:vAlign w:val="center"/>
          </w:tcPr>
          <w:p w14:paraId="393EA04F" w14:textId="77777777" w:rsidR="00D97D6C" w:rsidRPr="001D5327" w:rsidRDefault="00D97D6C" w:rsidP="00B55F24">
            <w:pPr>
              <w:pStyle w:val="TableText"/>
              <w:spacing w:before="40" w:after="40"/>
              <w:rPr>
                <w:rFonts w:cs="Calibri"/>
                <w:lang w:eastAsia="en-GB"/>
              </w:rPr>
            </w:pPr>
            <w:r w:rsidRPr="001D5327">
              <w:rPr>
                <w:rFonts w:cs="Calibri"/>
              </w:rPr>
              <w:t>Other – Textiles</w:t>
            </w:r>
          </w:p>
        </w:tc>
        <w:tc>
          <w:tcPr>
            <w:tcW w:w="993" w:type="dxa"/>
            <w:shd w:val="clear" w:color="auto" w:fill="auto"/>
            <w:vAlign w:val="center"/>
          </w:tcPr>
          <w:p w14:paraId="3298CF57" w14:textId="77777777" w:rsidR="00D97D6C" w:rsidRPr="001D5327" w:rsidRDefault="00D97D6C" w:rsidP="00B95F90">
            <w:pPr>
              <w:pStyle w:val="TableText"/>
              <w:spacing w:before="40" w:after="40"/>
              <w:jc w:val="right"/>
            </w:pPr>
            <w:r w:rsidRPr="001D5327">
              <w:t>NO</w:t>
            </w:r>
          </w:p>
        </w:tc>
      </w:tr>
      <w:tr w:rsidR="00D97D6C" w:rsidRPr="001D5327" w14:paraId="2F622E43" w14:textId="77777777" w:rsidTr="003B0A3C">
        <w:tc>
          <w:tcPr>
            <w:tcW w:w="1560" w:type="dxa"/>
            <w:shd w:val="clear" w:color="auto" w:fill="auto"/>
            <w:vAlign w:val="center"/>
          </w:tcPr>
          <w:p w14:paraId="46558CFA" w14:textId="77777777" w:rsidR="00D97D6C" w:rsidRPr="001D5327" w:rsidRDefault="00D97D6C" w:rsidP="00B55F24">
            <w:pPr>
              <w:pStyle w:val="TableText"/>
              <w:spacing w:before="40" w:after="40"/>
              <w:rPr>
                <w:rFonts w:cs="Calibri"/>
                <w:bCs/>
              </w:rPr>
            </w:pPr>
            <w:r w:rsidRPr="001D5327">
              <w:rPr>
                <w:rFonts w:cs="Calibri"/>
                <w:bCs/>
              </w:rPr>
              <w:t>1.A.2.f</w:t>
            </w:r>
          </w:p>
        </w:tc>
        <w:tc>
          <w:tcPr>
            <w:tcW w:w="4110" w:type="dxa"/>
            <w:shd w:val="clear" w:color="auto" w:fill="auto"/>
            <w:vAlign w:val="center"/>
          </w:tcPr>
          <w:p w14:paraId="5B0E1B0D" w14:textId="77777777" w:rsidR="00D97D6C" w:rsidRPr="001D5327" w:rsidRDefault="00D97D6C" w:rsidP="00B55F24">
            <w:pPr>
              <w:pStyle w:val="TableText"/>
              <w:spacing w:before="40" w:after="40"/>
              <w:rPr>
                <w:rFonts w:cs="Calibri"/>
                <w:lang w:eastAsia="en-GB"/>
              </w:rPr>
            </w:pPr>
            <w:r w:rsidRPr="001D5327">
              <w:rPr>
                <w:rFonts w:cs="Calibri"/>
              </w:rPr>
              <w:t>Other – Non-metallic minerals</w:t>
            </w:r>
          </w:p>
        </w:tc>
        <w:tc>
          <w:tcPr>
            <w:tcW w:w="993" w:type="dxa"/>
            <w:shd w:val="clear" w:color="auto" w:fill="auto"/>
            <w:vAlign w:val="center"/>
          </w:tcPr>
          <w:p w14:paraId="47309F75" w14:textId="77777777" w:rsidR="00D97D6C" w:rsidRPr="001D5327" w:rsidRDefault="00D97D6C" w:rsidP="00B95F90">
            <w:pPr>
              <w:pStyle w:val="TableText"/>
              <w:spacing w:before="40" w:after="40"/>
              <w:jc w:val="right"/>
            </w:pPr>
            <w:r w:rsidRPr="001D5327">
              <w:t>NO</w:t>
            </w:r>
          </w:p>
        </w:tc>
      </w:tr>
      <w:tr w:rsidR="00D97D6C" w:rsidRPr="001D5327" w14:paraId="783F5073" w14:textId="77777777" w:rsidTr="003B0A3C">
        <w:tc>
          <w:tcPr>
            <w:tcW w:w="1560" w:type="dxa"/>
            <w:shd w:val="clear" w:color="auto" w:fill="auto"/>
            <w:vAlign w:val="center"/>
          </w:tcPr>
          <w:p w14:paraId="64958340" w14:textId="77777777" w:rsidR="00D97D6C" w:rsidRPr="001D5327" w:rsidRDefault="00D97D6C" w:rsidP="00B55F24">
            <w:pPr>
              <w:pStyle w:val="TableText"/>
              <w:spacing w:before="40" w:after="40"/>
              <w:rPr>
                <w:rFonts w:cs="Calibri"/>
                <w:bCs/>
              </w:rPr>
            </w:pPr>
            <w:r w:rsidRPr="001D5327">
              <w:rPr>
                <w:rFonts w:cs="Calibri"/>
                <w:bCs/>
              </w:rPr>
              <w:t>1.A.2.f</w:t>
            </w:r>
          </w:p>
        </w:tc>
        <w:tc>
          <w:tcPr>
            <w:tcW w:w="4110" w:type="dxa"/>
            <w:shd w:val="clear" w:color="auto" w:fill="auto"/>
            <w:vAlign w:val="center"/>
          </w:tcPr>
          <w:p w14:paraId="56D90FF5" w14:textId="77777777" w:rsidR="00D97D6C" w:rsidRPr="001D5327" w:rsidRDefault="00D97D6C" w:rsidP="00B55F24">
            <w:pPr>
              <w:pStyle w:val="TableText"/>
              <w:spacing w:before="40" w:after="40"/>
              <w:rPr>
                <w:rFonts w:cs="Calibri"/>
                <w:lang w:eastAsia="en-GB"/>
              </w:rPr>
            </w:pPr>
            <w:r w:rsidRPr="001D5327">
              <w:rPr>
                <w:rFonts w:cs="Calibri"/>
              </w:rPr>
              <w:t xml:space="preserve">Other – Manufacturing of machinery </w:t>
            </w:r>
          </w:p>
        </w:tc>
        <w:tc>
          <w:tcPr>
            <w:tcW w:w="993" w:type="dxa"/>
            <w:shd w:val="clear" w:color="auto" w:fill="auto"/>
            <w:vAlign w:val="center"/>
          </w:tcPr>
          <w:p w14:paraId="6045FE72" w14:textId="77777777" w:rsidR="00D97D6C" w:rsidRPr="001D5327" w:rsidRDefault="00D97D6C" w:rsidP="00B95F90">
            <w:pPr>
              <w:pStyle w:val="TableText"/>
              <w:spacing w:before="40" w:after="40"/>
              <w:jc w:val="right"/>
            </w:pPr>
            <w:r w:rsidRPr="001D5327">
              <w:t>NO</w:t>
            </w:r>
          </w:p>
        </w:tc>
      </w:tr>
      <w:tr w:rsidR="00D97D6C" w:rsidRPr="001D5327" w14:paraId="6F53BC99" w14:textId="77777777" w:rsidTr="003B0A3C">
        <w:tc>
          <w:tcPr>
            <w:tcW w:w="1560" w:type="dxa"/>
            <w:shd w:val="clear" w:color="auto" w:fill="auto"/>
            <w:vAlign w:val="center"/>
          </w:tcPr>
          <w:p w14:paraId="2FFE4157" w14:textId="77777777" w:rsidR="00D97D6C" w:rsidRPr="001D5327" w:rsidRDefault="00D97D6C" w:rsidP="00B55F24">
            <w:pPr>
              <w:pStyle w:val="TableText"/>
              <w:spacing w:before="40" w:after="40"/>
              <w:rPr>
                <w:rFonts w:cs="Calibri"/>
                <w:bCs/>
              </w:rPr>
            </w:pPr>
            <w:r w:rsidRPr="001D5327">
              <w:rPr>
                <w:rFonts w:cs="Calibri"/>
                <w:bCs/>
              </w:rPr>
              <w:t>1.A.2.g</w:t>
            </w:r>
          </w:p>
        </w:tc>
        <w:tc>
          <w:tcPr>
            <w:tcW w:w="4110" w:type="dxa"/>
            <w:shd w:val="clear" w:color="auto" w:fill="auto"/>
            <w:vAlign w:val="center"/>
          </w:tcPr>
          <w:p w14:paraId="481D804B" w14:textId="77777777" w:rsidR="00D97D6C" w:rsidRPr="001D5327" w:rsidRDefault="00D97D6C" w:rsidP="00B55F24">
            <w:pPr>
              <w:pStyle w:val="TableText"/>
              <w:spacing w:before="40" w:after="40"/>
              <w:rPr>
                <w:rFonts w:cs="Calibri"/>
                <w:lang w:eastAsia="en-GB"/>
              </w:rPr>
            </w:pPr>
            <w:r w:rsidRPr="001D5327">
              <w:rPr>
                <w:rFonts w:cs="Calibri"/>
              </w:rPr>
              <w:t>Other – Non-specified</w:t>
            </w:r>
          </w:p>
        </w:tc>
        <w:tc>
          <w:tcPr>
            <w:tcW w:w="993" w:type="dxa"/>
            <w:shd w:val="clear" w:color="auto" w:fill="auto"/>
            <w:vAlign w:val="center"/>
          </w:tcPr>
          <w:p w14:paraId="2ECFA759" w14:textId="77777777" w:rsidR="00D97D6C" w:rsidRPr="001D5327" w:rsidRDefault="00D97D6C" w:rsidP="00B95F90">
            <w:pPr>
              <w:pStyle w:val="TableText"/>
              <w:spacing w:before="40" w:after="40"/>
              <w:jc w:val="right"/>
            </w:pPr>
            <w:r w:rsidRPr="001D5327">
              <w:t>0.01</w:t>
            </w:r>
          </w:p>
        </w:tc>
      </w:tr>
    </w:tbl>
    <w:p w14:paraId="7A772D6B" w14:textId="77777777" w:rsidR="00D97D6C" w:rsidRPr="001D5327" w:rsidRDefault="00D97D6C" w:rsidP="00D97D6C">
      <w:pPr>
        <w:pStyle w:val="Noteundertable"/>
        <w:rPr>
          <w:rFonts w:cs="Calibri"/>
        </w:rPr>
      </w:pPr>
      <w:r w:rsidRPr="001D5327">
        <w:rPr>
          <w:rFonts w:cs="Calibri"/>
          <w:b/>
        </w:rPr>
        <w:t>Note:</w:t>
      </w:r>
      <w:r w:rsidRPr="001D5327">
        <w:rPr>
          <w:rFonts w:cs="Calibri"/>
        </w:rPr>
        <w:t xml:space="preserve"> </w:t>
      </w:r>
      <w:r w:rsidRPr="001D5327">
        <w:rPr>
          <w:rFonts w:cs="Calibri"/>
        </w:rPr>
        <w:tab/>
        <w:t>NO = not occurring. Survey data indicate that solid biomass combustion does not occur in the sectors.</w:t>
      </w:r>
    </w:p>
    <w:p w14:paraId="49165B2E" w14:textId="77777777" w:rsidR="00D97D6C" w:rsidRPr="001D5327" w:rsidRDefault="00D97D6C" w:rsidP="00BF2A76">
      <w:pPr>
        <w:pStyle w:val="Heading5"/>
      </w:pPr>
      <w:r w:rsidRPr="001D5327">
        <w:t>Gas biomass</w:t>
      </w:r>
    </w:p>
    <w:p w14:paraId="79B4D08B" w14:textId="77777777" w:rsidR="00D97D6C" w:rsidRPr="001D5327" w:rsidRDefault="00D97D6C" w:rsidP="00363D10">
      <w:pPr>
        <w:pStyle w:val="BodyText"/>
      </w:pPr>
      <w:r w:rsidRPr="001D5327">
        <w:t xml:space="preserve">Sludge gas is produced at the Tirau dairy processing facility. Cattle effluent is used to produce sludge gas that is used to raise heat for the milk processing facility, which is open from </w:t>
      </w:r>
      <w:r w:rsidRPr="001D5327">
        <w:rPr>
          <w:spacing w:val="-2"/>
        </w:rPr>
        <w:t>September through to December each year. See section 3.2.2 (Biomass) for further information.</w:t>
      </w:r>
    </w:p>
    <w:p w14:paraId="28B166B9" w14:textId="77777777" w:rsidR="00D97D6C" w:rsidRPr="001D5327" w:rsidRDefault="00D97D6C" w:rsidP="00363D10">
      <w:pPr>
        <w:pStyle w:val="BodyText"/>
      </w:pPr>
      <w:r w:rsidRPr="001D5327">
        <w:t>Sludge gas is not metered or analysed at the site but estimates of flow rate and CH</w:t>
      </w:r>
      <w:r w:rsidRPr="001D5327">
        <w:rPr>
          <w:vertAlign w:val="subscript"/>
        </w:rPr>
        <w:t>4</w:t>
      </w:r>
      <w:r w:rsidRPr="001D5327">
        <w:t xml:space="preserve"> content were obtained from the facility manager for the 2011 reporting year. MBIE then used these data to calculate an estimate of the total energy content, which was then confirmed by the facility manager. </w:t>
      </w:r>
    </w:p>
    <w:p w14:paraId="38BE955C" w14:textId="1527C172" w:rsidR="00D97D6C" w:rsidRPr="001D5327" w:rsidRDefault="00D97D6C" w:rsidP="00363D10">
      <w:pPr>
        <w:pStyle w:val="BodyText"/>
        <w:rPr>
          <w:rFonts w:cs="Calibri"/>
          <w:spacing w:val="-2"/>
        </w:rPr>
      </w:pPr>
      <w:r w:rsidRPr="001D5327">
        <w:rPr>
          <w:rFonts w:cs="Calibri"/>
          <w:spacing w:val="-2"/>
        </w:rPr>
        <w:t>The facility has operated in the same fashion since its construction in the late 1980s. Therefore</w:t>
      </w:r>
      <w:r w:rsidR="00F36E6A" w:rsidRPr="001D5327">
        <w:rPr>
          <w:rFonts w:cs="Calibri"/>
          <w:spacing w:val="-2"/>
        </w:rPr>
        <w:t>,</w:t>
      </w:r>
      <w:r w:rsidRPr="001D5327">
        <w:rPr>
          <w:rFonts w:cs="Calibri"/>
          <w:spacing w:val="-2"/>
        </w:rPr>
        <w:t xml:space="preserve"> this estimate is assumed to be valid across the time series.</w:t>
      </w:r>
    </w:p>
    <w:p w14:paraId="0274AF36" w14:textId="1852D45F" w:rsidR="00D97D6C" w:rsidRPr="001D5327" w:rsidRDefault="00D97D6C" w:rsidP="00BF2A76">
      <w:pPr>
        <w:pStyle w:val="Heading5"/>
      </w:pPr>
      <w:r w:rsidRPr="001D5327">
        <w:t>Liquid fuels</w:t>
      </w:r>
    </w:p>
    <w:p w14:paraId="5172545A" w14:textId="44ECC310" w:rsidR="00D97D6C" w:rsidRPr="001D5327" w:rsidRDefault="00D97D6C" w:rsidP="00D97D6C">
      <w:pPr>
        <w:pStyle w:val="BodyText"/>
        <w:spacing w:before="80"/>
        <w:rPr>
          <w:rFonts w:cs="Calibri"/>
        </w:rPr>
      </w:pPr>
      <w:r w:rsidRPr="001D5327">
        <w:rPr>
          <w:rFonts w:cs="Calibri"/>
        </w:rPr>
        <w:t>As mentioned in section 3.2.2 (</w:t>
      </w:r>
      <w:r w:rsidR="006B471E" w:rsidRPr="001D5327">
        <w:rPr>
          <w:rFonts w:cs="Calibri"/>
        </w:rPr>
        <w:t>‘</w:t>
      </w:r>
      <w:r w:rsidRPr="001D5327">
        <w:rPr>
          <w:rFonts w:cs="Calibri"/>
        </w:rPr>
        <w:t>Liquid fuels</w:t>
      </w:r>
      <w:r w:rsidR="006B471E" w:rsidRPr="001D5327">
        <w:rPr>
          <w:rFonts w:cs="Calibri"/>
        </w:rPr>
        <w:t>’</w:t>
      </w:r>
      <w:r w:rsidRPr="001D5327">
        <w:rPr>
          <w:rFonts w:cs="Calibri"/>
        </w:rPr>
        <w:t xml:space="preserve">), </w:t>
      </w:r>
      <w:r w:rsidRPr="001D5327">
        <w:rPr>
          <w:rFonts w:cs="Calibri"/>
          <w:lang w:eastAsia="en-GB"/>
        </w:rPr>
        <w:t>New Zealand</w:t>
      </w:r>
      <w:r w:rsidRPr="001D5327">
        <w:rPr>
          <w:rFonts w:cs="Calibri"/>
        </w:rPr>
        <w:t xml:space="preserve"> uses the </w:t>
      </w:r>
      <w:r w:rsidRPr="001D5327">
        <w:rPr>
          <w:rFonts w:cs="Calibri"/>
          <w:iCs/>
        </w:rPr>
        <w:t>Annual Liquid Fuel Survey</w:t>
      </w:r>
      <w:r w:rsidR="004F288F" w:rsidRPr="001D5327">
        <w:rPr>
          <w:rFonts w:cs="Calibri"/>
          <w:iCs/>
        </w:rPr>
        <w:t> </w:t>
      </w:r>
      <w:r w:rsidRPr="001D5327">
        <w:rPr>
          <w:rFonts w:cs="Calibri"/>
        </w:rPr>
        <w:t xml:space="preserve">to capture sales by independent distributors. With this information, some liquid fuel demand that </w:t>
      </w:r>
      <w:r w:rsidRPr="001D5327">
        <w:rPr>
          <w:rFonts w:cs="Calibri"/>
          <w:spacing w:val="-2"/>
        </w:rPr>
        <w:t>would otherwise be allocated to national transport is reallocated to the correct sector.</w:t>
      </w:r>
      <w:r w:rsidRPr="001D5327">
        <w:rPr>
          <w:rFonts w:cs="Calibri"/>
        </w:rPr>
        <w:t xml:space="preserve"> As a result of this reallocation, emissions attributed to category 1.A.3 </w:t>
      </w:r>
      <w:r w:rsidRPr="001D5327">
        <w:rPr>
          <w:rFonts w:cs="Calibri"/>
          <w:i/>
        </w:rPr>
        <w:t>Transport</w:t>
      </w:r>
      <w:r w:rsidRPr="001D5327">
        <w:rPr>
          <w:rFonts w:cs="Calibri"/>
        </w:rPr>
        <w:t xml:space="preserve"> decreased by around 20 per cent, and emissions </w:t>
      </w:r>
      <w:r w:rsidRPr="001D5327">
        <w:rPr>
          <w:rFonts w:cs="Calibri"/>
          <w:spacing w:val="-2"/>
        </w:rPr>
        <w:t>attributed to other categories, such as 1.A.4.c</w:t>
      </w:r>
      <w:r w:rsidR="00B8286F" w:rsidRPr="001D5327">
        <w:rPr>
          <w:rFonts w:cs="Calibri"/>
          <w:spacing w:val="-2"/>
        </w:rPr>
        <w:t> </w:t>
      </w:r>
      <w:r w:rsidRPr="001D5327">
        <w:rPr>
          <w:rFonts w:cs="Calibri"/>
          <w:i/>
          <w:spacing w:val="-2"/>
        </w:rPr>
        <w:t>Agriculture/forestry/fishing</w:t>
      </w:r>
      <w:r w:rsidRPr="001D5327">
        <w:rPr>
          <w:rFonts w:cs="Calibri"/>
          <w:spacing w:val="-2"/>
        </w:rPr>
        <w:t>, increased significantly.</w:t>
      </w:r>
    </w:p>
    <w:p w14:paraId="2A1AE135" w14:textId="77777777" w:rsidR="00D97D6C" w:rsidRPr="001D5327" w:rsidRDefault="00D97D6C" w:rsidP="00D97D6C">
      <w:pPr>
        <w:pStyle w:val="BodyText"/>
        <w:rPr>
          <w:rFonts w:cs="Calibri"/>
        </w:rPr>
      </w:pPr>
      <w:r w:rsidRPr="001D5327">
        <w:rPr>
          <w:rFonts w:cs="Calibri"/>
        </w:rPr>
        <w:t xml:space="preserve">Following ERT recommendations (in the 2007 in-country review), </w:t>
      </w:r>
      <w:r w:rsidRPr="001D5327">
        <w:rPr>
          <w:rFonts w:cs="Calibri"/>
          <w:lang w:eastAsia="en-GB"/>
        </w:rPr>
        <w:t>New Zealand</w:t>
      </w:r>
      <w:r w:rsidRPr="001D5327">
        <w:rPr>
          <w:rFonts w:cs="Calibri"/>
        </w:rPr>
        <w:t xml:space="preserve"> began to disaggregate liquid fuel combustion in the 1.A.2 </w:t>
      </w:r>
      <w:r w:rsidRPr="001D5327">
        <w:rPr>
          <w:rFonts w:cs="Calibri"/>
          <w:i/>
        </w:rPr>
        <w:t>Manufacturing industries and construction</w:t>
      </w:r>
      <w:r w:rsidRPr="001D5327">
        <w:rPr>
          <w:rFonts w:cs="Calibri"/>
        </w:rPr>
        <w:t xml:space="preserve"> category for the 2011 inventory. Diesel and gasoline consumption were disaggregated for the 2012 submission, and the method was subsequently extended to include fuel oil.</w:t>
      </w:r>
    </w:p>
    <w:p w14:paraId="643E76EF" w14:textId="77777777" w:rsidR="00D97D6C" w:rsidRPr="001D5327" w:rsidRDefault="00D97D6C" w:rsidP="00D97D6C">
      <w:pPr>
        <w:pStyle w:val="BodyText"/>
        <w:rPr>
          <w:rFonts w:cs="Calibri"/>
        </w:rPr>
      </w:pPr>
      <w:r w:rsidRPr="001D5327">
        <w:rPr>
          <w:rFonts w:cs="Calibri"/>
        </w:rPr>
        <w:lastRenderedPageBreak/>
        <w:t xml:space="preserve">While data are not collected at this level of detail in energy surveys for liquid fuels, </w:t>
      </w:r>
      <w:r w:rsidRPr="001D5327">
        <w:rPr>
          <w:rFonts w:cs="Calibri"/>
          <w:lang w:eastAsia="en-GB"/>
        </w:rPr>
        <w:t>New Zealand</w:t>
      </w:r>
      <w:r w:rsidRPr="001D5327">
        <w:rPr>
          <w:rFonts w:cs="Calibri"/>
        </w:rPr>
        <w:t xml:space="preserve"> has produced estimates based on Stats NZ survey data. Stats NZ conducted an industrial and trade energy use survey (Stats NZ, 2018), which assessed energy consumption and end use across manufacturing industries for the 2016 calendar year. Proportions of liquid energy end use were then determined across the manufacturing industries. These proportions, along with category gross domestic product (GDP) data from Stats NZ for the period, were used to calculate implied energy intensities (PJ per unit of GDP) for each category for diesel, gasoline and fuel oil (see table 3.2.5). These intensities were then applied to Stats NZ GDP data across the time series and scaled to match the fuel sales reported for all manufacturing industries and construction, to estimate activity data for each category. </w:t>
      </w:r>
    </w:p>
    <w:p w14:paraId="4B659001" w14:textId="77777777" w:rsidR="00D97D6C" w:rsidRPr="001D5327" w:rsidRDefault="00D97D6C" w:rsidP="00D97D6C">
      <w:pPr>
        <w:pStyle w:val="Table"/>
        <w:rPr>
          <w:rFonts w:cs="Calibri"/>
        </w:rPr>
      </w:pPr>
      <w:bookmarkStart w:id="308" w:name="_Toc68786409"/>
      <w:bookmarkStart w:id="309" w:name="_Toc164153808"/>
      <w:bookmarkStart w:id="310" w:name="_Toc194241675"/>
      <w:r w:rsidRPr="001D5327">
        <w:rPr>
          <w:rFonts w:cs="Calibri"/>
        </w:rPr>
        <w:t xml:space="preserve">Table 3.2.5 </w:t>
      </w:r>
      <w:r w:rsidRPr="001D5327">
        <w:rPr>
          <w:rFonts w:cs="Calibri"/>
        </w:rPr>
        <w:tab/>
        <w:t>Energy intensity values used to disaggregate liquid fuel use for manufacturing (gigajoules </w:t>
      </w:r>
      <w:r w:rsidRPr="001D5327">
        <w:t>per </w:t>
      </w:r>
      <w:r w:rsidRPr="001D5327">
        <w:rPr>
          <w:rFonts w:cs="Calibri"/>
        </w:rPr>
        <w:t>gross domestic product index)</w:t>
      </w:r>
      <w:bookmarkEnd w:id="308"/>
      <w:bookmarkEnd w:id="309"/>
      <w:bookmarkEnd w:id="310"/>
    </w:p>
    <w:tbl>
      <w:tblPr>
        <w:tblW w:w="8505"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4050"/>
        <w:gridCol w:w="1620"/>
        <w:gridCol w:w="1418"/>
        <w:gridCol w:w="1417"/>
      </w:tblGrid>
      <w:tr w:rsidR="00D97D6C" w:rsidRPr="001D5327" w14:paraId="7F6FAEF5" w14:textId="77777777" w:rsidTr="004F288F">
        <w:trPr>
          <w:tblHeader/>
        </w:trPr>
        <w:tc>
          <w:tcPr>
            <w:tcW w:w="2835" w:type="dxa"/>
            <w:shd w:val="clear" w:color="auto" w:fill="1B556B"/>
          </w:tcPr>
          <w:p w14:paraId="125266C2" w14:textId="77777777" w:rsidR="00D97D6C" w:rsidRPr="001D5327" w:rsidRDefault="00D97D6C" w:rsidP="00B11F53">
            <w:pPr>
              <w:pStyle w:val="TableTextBold"/>
              <w:spacing w:before="40" w:after="40"/>
              <w:rPr>
                <w:noProof w:val="0"/>
                <w:color w:val="FFFFFF"/>
              </w:rPr>
            </w:pPr>
            <w:r w:rsidRPr="001D5327">
              <w:rPr>
                <w:noProof w:val="0"/>
                <w:color w:val="FFFFFF"/>
              </w:rPr>
              <w:t>Category</w:t>
            </w:r>
          </w:p>
        </w:tc>
        <w:tc>
          <w:tcPr>
            <w:tcW w:w="1134" w:type="dxa"/>
            <w:shd w:val="clear" w:color="auto" w:fill="1B556B"/>
          </w:tcPr>
          <w:p w14:paraId="7E3CE5A2" w14:textId="77777777" w:rsidR="00D97D6C" w:rsidRPr="001D5327" w:rsidRDefault="00D97D6C" w:rsidP="00B95F90">
            <w:pPr>
              <w:pStyle w:val="TableTextBold"/>
              <w:spacing w:before="40" w:after="40"/>
              <w:jc w:val="right"/>
              <w:rPr>
                <w:noProof w:val="0"/>
                <w:color w:val="FFFFFF"/>
              </w:rPr>
            </w:pPr>
            <w:r w:rsidRPr="001D5327">
              <w:rPr>
                <w:noProof w:val="0"/>
                <w:color w:val="FFFFFF" w:themeColor="background1"/>
              </w:rPr>
              <w:t>Gasoline</w:t>
            </w:r>
          </w:p>
        </w:tc>
        <w:tc>
          <w:tcPr>
            <w:tcW w:w="993" w:type="dxa"/>
            <w:shd w:val="clear" w:color="auto" w:fill="1B556B"/>
          </w:tcPr>
          <w:p w14:paraId="01426ACC" w14:textId="77777777" w:rsidR="00D97D6C" w:rsidRPr="001D5327" w:rsidRDefault="00D97D6C" w:rsidP="00B95F90">
            <w:pPr>
              <w:pStyle w:val="TableTextBold"/>
              <w:spacing w:before="40" w:after="40"/>
              <w:jc w:val="right"/>
              <w:rPr>
                <w:noProof w:val="0"/>
                <w:color w:val="FFFFFF"/>
              </w:rPr>
            </w:pPr>
            <w:r w:rsidRPr="001D5327">
              <w:rPr>
                <w:noProof w:val="0"/>
                <w:color w:val="FFFFFF"/>
              </w:rPr>
              <w:t>Diesel</w:t>
            </w:r>
          </w:p>
        </w:tc>
        <w:tc>
          <w:tcPr>
            <w:tcW w:w="992" w:type="dxa"/>
            <w:shd w:val="clear" w:color="auto" w:fill="1B556B"/>
          </w:tcPr>
          <w:p w14:paraId="6C07B9CC" w14:textId="77777777" w:rsidR="00D97D6C" w:rsidRPr="001D5327" w:rsidRDefault="00D97D6C" w:rsidP="00B95F90">
            <w:pPr>
              <w:pStyle w:val="TableTextBold"/>
              <w:spacing w:before="40" w:after="40"/>
              <w:jc w:val="right"/>
              <w:rPr>
                <w:noProof w:val="0"/>
                <w:color w:val="FFFFFF"/>
              </w:rPr>
            </w:pPr>
            <w:r w:rsidRPr="001D5327">
              <w:rPr>
                <w:noProof w:val="0"/>
                <w:color w:val="FFFFFF"/>
              </w:rPr>
              <w:t>Fuel oil</w:t>
            </w:r>
          </w:p>
        </w:tc>
      </w:tr>
      <w:tr w:rsidR="00D97D6C" w:rsidRPr="001D5327" w14:paraId="3B179265" w14:textId="77777777" w:rsidTr="004F288F">
        <w:tc>
          <w:tcPr>
            <w:tcW w:w="2835" w:type="dxa"/>
            <w:shd w:val="clear" w:color="auto" w:fill="auto"/>
          </w:tcPr>
          <w:p w14:paraId="7A97EF4D" w14:textId="77777777" w:rsidR="00D97D6C" w:rsidRPr="001D5327" w:rsidRDefault="00D97D6C" w:rsidP="00B11F53">
            <w:pPr>
              <w:pStyle w:val="TableText"/>
              <w:spacing w:before="40" w:after="40"/>
            </w:pPr>
            <w:r w:rsidRPr="001D5327">
              <w:t>Mining</w:t>
            </w:r>
          </w:p>
        </w:tc>
        <w:tc>
          <w:tcPr>
            <w:tcW w:w="1134" w:type="dxa"/>
            <w:shd w:val="clear" w:color="auto" w:fill="auto"/>
          </w:tcPr>
          <w:p w14:paraId="31C45861" w14:textId="77777777" w:rsidR="00D97D6C" w:rsidRPr="001D5327" w:rsidRDefault="00D97D6C" w:rsidP="00B95F90">
            <w:pPr>
              <w:pStyle w:val="TableText"/>
              <w:tabs>
                <w:tab w:val="decimal" w:pos="27"/>
              </w:tabs>
              <w:spacing w:before="40" w:after="40"/>
              <w:jc w:val="right"/>
            </w:pPr>
            <w:r w:rsidRPr="001D5327">
              <w:t>2.4</w:t>
            </w:r>
          </w:p>
        </w:tc>
        <w:tc>
          <w:tcPr>
            <w:tcW w:w="993" w:type="dxa"/>
          </w:tcPr>
          <w:p w14:paraId="547F615F" w14:textId="77777777" w:rsidR="00D97D6C" w:rsidRPr="001D5327" w:rsidRDefault="00D97D6C" w:rsidP="00B95F90">
            <w:pPr>
              <w:pStyle w:val="TableText"/>
              <w:tabs>
                <w:tab w:val="decimal" w:pos="244"/>
              </w:tabs>
              <w:spacing w:before="40" w:after="40"/>
              <w:jc w:val="right"/>
            </w:pPr>
            <w:r w:rsidRPr="001D5327">
              <w:t>1,117.9</w:t>
            </w:r>
          </w:p>
        </w:tc>
        <w:tc>
          <w:tcPr>
            <w:tcW w:w="992" w:type="dxa"/>
            <w:shd w:val="clear" w:color="auto" w:fill="auto"/>
          </w:tcPr>
          <w:p w14:paraId="35C75513" w14:textId="77777777" w:rsidR="00D97D6C" w:rsidRPr="001D5327" w:rsidRDefault="00D97D6C" w:rsidP="00B95F90">
            <w:pPr>
              <w:pStyle w:val="TableText"/>
              <w:tabs>
                <w:tab w:val="decimal" w:pos="147"/>
              </w:tabs>
              <w:spacing w:before="40" w:after="40"/>
              <w:jc w:val="right"/>
            </w:pPr>
            <w:r w:rsidRPr="001D5327">
              <w:t>19.6</w:t>
            </w:r>
          </w:p>
        </w:tc>
      </w:tr>
      <w:tr w:rsidR="00D97D6C" w:rsidRPr="001D5327" w14:paraId="74A28F96" w14:textId="77777777" w:rsidTr="004F288F">
        <w:tc>
          <w:tcPr>
            <w:tcW w:w="2835" w:type="dxa"/>
            <w:shd w:val="clear" w:color="auto" w:fill="auto"/>
          </w:tcPr>
          <w:p w14:paraId="1257F407" w14:textId="77777777" w:rsidR="00D97D6C" w:rsidRPr="001D5327" w:rsidRDefault="00D97D6C" w:rsidP="00B11F53">
            <w:pPr>
              <w:pStyle w:val="TableText"/>
              <w:spacing w:before="40" w:after="40"/>
            </w:pPr>
            <w:r w:rsidRPr="001D5327">
              <w:t xml:space="preserve">Building and construction </w:t>
            </w:r>
          </w:p>
        </w:tc>
        <w:tc>
          <w:tcPr>
            <w:tcW w:w="1134" w:type="dxa"/>
            <w:shd w:val="clear" w:color="auto" w:fill="auto"/>
          </w:tcPr>
          <w:p w14:paraId="53396105" w14:textId="77777777" w:rsidR="00D97D6C" w:rsidRPr="001D5327" w:rsidRDefault="00D97D6C" w:rsidP="00B95F90">
            <w:pPr>
              <w:pStyle w:val="TableText"/>
              <w:tabs>
                <w:tab w:val="decimal" w:pos="27"/>
              </w:tabs>
              <w:spacing w:before="40" w:after="40"/>
              <w:jc w:val="right"/>
            </w:pPr>
            <w:r w:rsidRPr="001D5327">
              <w:t>30.5</w:t>
            </w:r>
          </w:p>
        </w:tc>
        <w:tc>
          <w:tcPr>
            <w:tcW w:w="993" w:type="dxa"/>
          </w:tcPr>
          <w:p w14:paraId="5B4BEAA9" w14:textId="77777777" w:rsidR="00D97D6C" w:rsidRPr="001D5327" w:rsidRDefault="00D97D6C" w:rsidP="00B95F90">
            <w:pPr>
              <w:pStyle w:val="TableText"/>
              <w:tabs>
                <w:tab w:val="decimal" w:pos="244"/>
              </w:tabs>
              <w:spacing w:before="40" w:after="40"/>
              <w:jc w:val="right"/>
            </w:pPr>
            <w:r w:rsidRPr="001D5327">
              <w:t>334.8</w:t>
            </w:r>
          </w:p>
        </w:tc>
        <w:tc>
          <w:tcPr>
            <w:tcW w:w="992" w:type="dxa"/>
            <w:shd w:val="clear" w:color="auto" w:fill="auto"/>
          </w:tcPr>
          <w:p w14:paraId="0A763A2D" w14:textId="77777777" w:rsidR="00D97D6C" w:rsidRPr="001D5327" w:rsidRDefault="00D97D6C" w:rsidP="00B95F90">
            <w:pPr>
              <w:pStyle w:val="TableText"/>
              <w:tabs>
                <w:tab w:val="decimal" w:pos="147"/>
              </w:tabs>
              <w:spacing w:before="40" w:after="40"/>
              <w:jc w:val="right"/>
            </w:pPr>
            <w:r w:rsidRPr="001D5327">
              <w:t>2.7</w:t>
            </w:r>
          </w:p>
        </w:tc>
      </w:tr>
      <w:tr w:rsidR="00D97D6C" w:rsidRPr="001D5327" w14:paraId="47120B9A" w14:textId="77777777" w:rsidTr="004F288F">
        <w:tc>
          <w:tcPr>
            <w:tcW w:w="2835" w:type="dxa"/>
            <w:shd w:val="clear" w:color="auto" w:fill="auto"/>
          </w:tcPr>
          <w:p w14:paraId="1B6B5306" w14:textId="77777777" w:rsidR="00D97D6C" w:rsidRPr="001D5327" w:rsidRDefault="00D97D6C" w:rsidP="00B11F53">
            <w:pPr>
              <w:pStyle w:val="TableText"/>
              <w:spacing w:before="40" w:after="40"/>
            </w:pPr>
            <w:r w:rsidRPr="001D5327">
              <w:t>Food processing</w:t>
            </w:r>
          </w:p>
        </w:tc>
        <w:tc>
          <w:tcPr>
            <w:tcW w:w="1134" w:type="dxa"/>
            <w:shd w:val="clear" w:color="auto" w:fill="auto"/>
          </w:tcPr>
          <w:p w14:paraId="7F5CC573" w14:textId="77777777" w:rsidR="00D97D6C" w:rsidRPr="001D5327" w:rsidRDefault="00D97D6C" w:rsidP="00B95F90">
            <w:pPr>
              <w:pStyle w:val="TableText"/>
              <w:tabs>
                <w:tab w:val="decimal" w:pos="27"/>
              </w:tabs>
              <w:spacing w:before="40" w:after="40"/>
              <w:jc w:val="right"/>
            </w:pPr>
            <w:r w:rsidRPr="001D5327">
              <w:t>1.4</w:t>
            </w:r>
          </w:p>
        </w:tc>
        <w:tc>
          <w:tcPr>
            <w:tcW w:w="993" w:type="dxa"/>
          </w:tcPr>
          <w:p w14:paraId="250FB66E" w14:textId="77777777" w:rsidR="00D97D6C" w:rsidRPr="001D5327" w:rsidRDefault="00D97D6C" w:rsidP="00B95F90">
            <w:pPr>
              <w:pStyle w:val="TableText"/>
              <w:tabs>
                <w:tab w:val="decimal" w:pos="244"/>
              </w:tabs>
              <w:spacing w:before="40" w:after="40"/>
              <w:jc w:val="right"/>
            </w:pPr>
            <w:r w:rsidRPr="001D5327">
              <w:t>475.6</w:t>
            </w:r>
          </w:p>
        </w:tc>
        <w:tc>
          <w:tcPr>
            <w:tcW w:w="992" w:type="dxa"/>
            <w:shd w:val="clear" w:color="auto" w:fill="auto"/>
          </w:tcPr>
          <w:p w14:paraId="66D651EE" w14:textId="77777777" w:rsidR="00D97D6C" w:rsidRPr="001D5327" w:rsidRDefault="00D97D6C" w:rsidP="00B95F90">
            <w:pPr>
              <w:pStyle w:val="TableText"/>
              <w:tabs>
                <w:tab w:val="decimal" w:pos="147"/>
              </w:tabs>
              <w:spacing w:before="40" w:after="40"/>
              <w:jc w:val="right"/>
            </w:pPr>
            <w:r w:rsidRPr="001D5327">
              <w:t>243.5</w:t>
            </w:r>
          </w:p>
        </w:tc>
      </w:tr>
      <w:tr w:rsidR="00D97D6C" w:rsidRPr="001D5327" w14:paraId="29B8A174" w14:textId="77777777" w:rsidTr="004F288F">
        <w:tc>
          <w:tcPr>
            <w:tcW w:w="2835" w:type="dxa"/>
            <w:shd w:val="clear" w:color="auto" w:fill="auto"/>
          </w:tcPr>
          <w:p w14:paraId="1A53DB41" w14:textId="77777777" w:rsidR="00D97D6C" w:rsidRPr="001D5327" w:rsidRDefault="00D97D6C" w:rsidP="00B11F53">
            <w:pPr>
              <w:pStyle w:val="TableText"/>
              <w:spacing w:before="40" w:after="40"/>
            </w:pPr>
            <w:r w:rsidRPr="001D5327">
              <w:t>Textiles</w:t>
            </w:r>
          </w:p>
        </w:tc>
        <w:tc>
          <w:tcPr>
            <w:tcW w:w="1134" w:type="dxa"/>
            <w:shd w:val="clear" w:color="auto" w:fill="auto"/>
          </w:tcPr>
          <w:p w14:paraId="1E0F0AF5" w14:textId="77777777" w:rsidR="00D97D6C" w:rsidRPr="001D5327" w:rsidRDefault="00D97D6C" w:rsidP="00B95F90">
            <w:pPr>
              <w:pStyle w:val="TableText"/>
              <w:tabs>
                <w:tab w:val="decimal" w:pos="27"/>
              </w:tabs>
              <w:spacing w:before="40" w:after="40"/>
              <w:jc w:val="right"/>
            </w:pPr>
            <w:r w:rsidRPr="001D5327">
              <w:t>0.9</w:t>
            </w:r>
          </w:p>
        </w:tc>
        <w:tc>
          <w:tcPr>
            <w:tcW w:w="993" w:type="dxa"/>
          </w:tcPr>
          <w:p w14:paraId="42241146" w14:textId="77777777" w:rsidR="00D97D6C" w:rsidRPr="001D5327" w:rsidRDefault="00D97D6C" w:rsidP="00B95F90">
            <w:pPr>
              <w:pStyle w:val="TableText"/>
              <w:tabs>
                <w:tab w:val="decimal" w:pos="244"/>
              </w:tabs>
              <w:spacing w:before="40" w:after="40"/>
              <w:jc w:val="right"/>
            </w:pPr>
            <w:r w:rsidRPr="001D5327">
              <w:t>12.8</w:t>
            </w:r>
          </w:p>
        </w:tc>
        <w:tc>
          <w:tcPr>
            <w:tcW w:w="992" w:type="dxa"/>
            <w:shd w:val="clear" w:color="auto" w:fill="auto"/>
          </w:tcPr>
          <w:p w14:paraId="7CB79413" w14:textId="77777777" w:rsidR="00D97D6C" w:rsidRPr="001D5327" w:rsidRDefault="00D97D6C" w:rsidP="00B95F90">
            <w:pPr>
              <w:pStyle w:val="TableText"/>
              <w:tabs>
                <w:tab w:val="decimal" w:pos="147"/>
              </w:tabs>
              <w:spacing w:before="40" w:after="40"/>
              <w:jc w:val="right"/>
            </w:pPr>
            <w:r w:rsidRPr="001D5327">
              <w:t>158.6</w:t>
            </w:r>
          </w:p>
        </w:tc>
      </w:tr>
      <w:tr w:rsidR="00D97D6C" w:rsidRPr="001D5327" w14:paraId="21CB3AF2" w14:textId="77777777" w:rsidTr="004F288F">
        <w:tc>
          <w:tcPr>
            <w:tcW w:w="2835" w:type="dxa"/>
            <w:shd w:val="clear" w:color="auto" w:fill="auto"/>
          </w:tcPr>
          <w:p w14:paraId="2B169F0E" w14:textId="77777777" w:rsidR="00D97D6C" w:rsidRPr="001D5327" w:rsidRDefault="00D97D6C" w:rsidP="00B11F53">
            <w:pPr>
              <w:pStyle w:val="TableText"/>
              <w:spacing w:before="40" w:after="40"/>
            </w:pPr>
            <w:r w:rsidRPr="001D5327">
              <w:t>Wood, pulp, paper and printing</w:t>
            </w:r>
          </w:p>
        </w:tc>
        <w:tc>
          <w:tcPr>
            <w:tcW w:w="1134" w:type="dxa"/>
            <w:shd w:val="clear" w:color="auto" w:fill="auto"/>
          </w:tcPr>
          <w:p w14:paraId="1DE0B39B" w14:textId="77777777" w:rsidR="00D97D6C" w:rsidRPr="001D5327" w:rsidRDefault="00D97D6C" w:rsidP="00B95F90">
            <w:pPr>
              <w:pStyle w:val="TableText"/>
              <w:tabs>
                <w:tab w:val="decimal" w:pos="27"/>
              </w:tabs>
              <w:spacing w:before="40" w:after="40"/>
              <w:jc w:val="right"/>
            </w:pPr>
            <w:r w:rsidRPr="001D5327">
              <w:t>1.1</w:t>
            </w:r>
          </w:p>
        </w:tc>
        <w:tc>
          <w:tcPr>
            <w:tcW w:w="993" w:type="dxa"/>
          </w:tcPr>
          <w:p w14:paraId="5056FAC7" w14:textId="77777777" w:rsidR="00D97D6C" w:rsidRPr="001D5327" w:rsidRDefault="00D97D6C" w:rsidP="00B95F90">
            <w:pPr>
              <w:pStyle w:val="TableText"/>
              <w:tabs>
                <w:tab w:val="decimal" w:pos="244"/>
              </w:tabs>
              <w:spacing w:before="40" w:after="40"/>
              <w:jc w:val="right"/>
            </w:pPr>
            <w:r w:rsidRPr="001D5327">
              <w:t>199.5</w:t>
            </w:r>
          </w:p>
        </w:tc>
        <w:tc>
          <w:tcPr>
            <w:tcW w:w="992" w:type="dxa"/>
            <w:shd w:val="clear" w:color="auto" w:fill="auto"/>
          </w:tcPr>
          <w:p w14:paraId="33DF8A59" w14:textId="77777777" w:rsidR="00D97D6C" w:rsidRPr="001D5327" w:rsidRDefault="00D97D6C" w:rsidP="00B95F90">
            <w:pPr>
              <w:pStyle w:val="TableText"/>
              <w:tabs>
                <w:tab w:val="decimal" w:pos="147"/>
              </w:tabs>
              <w:spacing w:before="40" w:after="40"/>
              <w:jc w:val="right"/>
            </w:pPr>
            <w:r w:rsidRPr="001D5327">
              <w:t>43.7</w:t>
            </w:r>
          </w:p>
        </w:tc>
      </w:tr>
      <w:tr w:rsidR="00D97D6C" w:rsidRPr="001D5327" w14:paraId="510252BE" w14:textId="77777777" w:rsidTr="004F288F">
        <w:tc>
          <w:tcPr>
            <w:tcW w:w="2835" w:type="dxa"/>
            <w:shd w:val="clear" w:color="auto" w:fill="auto"/>
          </w:tcPr>
          <w:p w14:paraId="0CA11BC0" w14:textId="77777777" w:rsidR="00D97D6C" w:rsidRPr="001D5327" w:rsidRDefault="00D97D6C" w:rsidP="00B11F53">
            <w:pPr>
              <w:pStyle w:val="TableText"/>
              <w:spacing w:before="40" w:after="40"/>
            </w:pPr>
            <w:r w:rsidRPr="001D5327">
              <w:t>Chemicals</w:t>
            </w:r>
          </w:p>
        </w:tc>
        <w:tc>
          <w:tcPr>
            <w:tcW w:w="1134" w:type="dxa"/>
            <w:shd w:val="clear" w:color="auto" w:fill="auto"/>
          </w:tcPr>
          <w:p w14:paraId="1BB25351" w14:textId="77777777" w:rsidR="00D97D6C" w:rsidRPr="001D5327" w:rsidRDefault="00D97D6C" w:rsidP="00B95F90">
            <w:pPr>
              <w:pStyle w:val="TableText"/>
              <w:tabs>
                <w:tab w:val="decimal" w:pos="27"/>
              </w:tabs>
              <w:spacing w:before="40" w:after="40"/>
              <w:jc w:val="right"/>
            </w:pPr>
            <w:r w:rsidRPr="001D5327">
              <w:t>0.2</w:t>
            </w:r>
          </w:p>
        </w:tc>
        <w:tc>
          <w:tcPr>
            <w:tcW w:w="993" w:type="dxa"/>
          </w:tcPr>
          <w:p w14:paraId="2333179B" w14:textId="77777777" w:rsidR="00D97D6C" w:rsidRPr="001D5327" w:rsidRDefault="00D97D6C" w:rsidP="00B95F90">
            <w:pPr>
              <w:pStyle w:val="TableText"/>
              <w:tabs>
                <w:tab w:val="decimal" w:pos="244"/>
              </w:tabs>
              <w:spacing w:before="40" w:after="40"/>
              <w:jc w:val="right"/>
            </w:pPr>
            <w:r w:rsidRPr="001D5327">
              <w:t>36.3</w:t>
            </w:r>
          </w:p>
        </w:tc>
        <w:tc>
          <w:tcPr>
            <w:tcW w:w="992" w:type="dxa"/>
            <w:shd w:val="clear" w:color="auto" w:fill="auto"/>
          </w:tcPr>
          <w:p w14:paraId="7A1D4C3A" w14:textId="77777777" w:rsidR="00D97D6C" w:rsidRPr="001D5327" w:rsidRDefault="00D97D6C" w:rsidP="00B95F90">
            <w:pPr>
              <w:pStyle w:val="TableText"/>
              <w:tabs>
                <w:tab w:val="decimal" w:pos="147"/>
              </w:tabs>
              <w:spacing w:before="40" w:after="40"/>
              <w:jc w:val="right"/>
            </w:pPr>
            <w:r w:rsidRPr="001D5327">
              <w:t>2.0</w:t>
            </w:r>
          </w:p>
        </w:tc>
      </w:tr>
      <w:tr w:rsidR="00D97D6C" w:rsidRPr="001D5327" w14:paraId="7DF9FAFA" w14:textId="77777777" w:rsidTr="004F288F">
        <w:tc>
          <w:tcPr>
            <w:tcW w:w="2835" w:type="dxa"/>
            <w:shd w:val="clear" w:color="auto" w:fill="auto"/>
          </w:tcPr>
          <w:p w14:paraId="612D1EA9" w14:textId="77777777" w:rsidR="00D97D6C" w:rsidRPr="001D5327" w:rsidRDefault="00D97D6C" w:rsidP="00B11F53">
            <w:pPr>
              <w:pStyle w:val="TableText"/>
              <w:spacing w:before="40" w:after="40"/>
            </w:pPr>
            <w:r w:rsidRPr="001D5327">
              <w:t>Non-metallic minerals</w:t>
            </w:r>
          </w:p>
        </w:tc>
        <w:tc>
          <w:tcPr>
            <w:tcW w:w="1134" w:type="dxa"/>
            <w:shd w:val="clear" w:color="auto" w:fill="auto"/>
          </w:tcPr>
          <w:p w14:paraId="1AFE18DB" w14:textId="77777777" w:rsidR="00D97D6C" w:rsidRPr="001D5327" w:rsidRDefault="00D97D6C" w:rsidP="00B95F90">
            <w:pPr>
              <w:pStyle w:val="TableText"/>
              <w:tabs>
                <w:tab w:val="decimal" w:pos="27"/>
              </w:tabs>
              <w:spacing w:before="40" w:after="40"/>
              <w:jc w:val="right"/>
            </w:pPr>
            <w:r w:rsidRPr="001D5327">
              <w:t>0.7</w:t>
            </w:r>
          </w:p>
        </w:tc>
        <w:tc>
          <w:tcPr>
            <w:tcW w:w="993" w:type="dxa"/>
          </w:tcPr>
          <w:p w14:paraId="210C4CC6" w14:textId="77777777" w:rsidR="00D97D6C" w:rsidRPr="001D5327" w:rsidRDefault="00D97D6C" w:rsidP="00B95F90">
            <w:pPr>
              <w:pStyle w:val="TableText"/>
              <w:tabs>
                <w:tab w:val="decimal" w:pos="244"/>
              </w:tabs>
              <w:spacing w:before="40" w:after="40"/>
              <w:jc w:val="right"/>
            </w:pPr>
            <w:r w:rsidRPr="001D5327">
              <w:t>587.4</w:t>
            </w:r>
          </w:p>
        </w:tc>
        <w:tc>
          <w:tcPr>
            <w:tcW w:w="992" w:type="dxa"/>
            <w:shd w:val="clear" w:color="auto" w:fill="auto"/>
          </w:tcPr>
          <w:p w14:paraId="6FE9F8C8" w14:textId="77777777" w:rsidR="00D97D6C" w:rsidRPr="001D5327" w:rsidRDefault="00D97D6C" w:rsidP="00B95F90">
            <w:pPr>
              <w:pStyle w:val="TableText"/>
              <w:tabs>
                <w:tab w:val="decimal" w:pos="147"/>
              </w:tabs>
              <w:spacing w:before="40" w:after="40"/>
              <w:jc w:val="right"/>
            </w:pPr>
            <w:r w:rsidRPr="001D5327">
              <w:t>263.9</w:t>
            </w:r>
          </w:p>
        </w:tc>
      </w:tr>
      <w:tr w:rsidR="00D97D6C" w:rsidRPr="001D5327" w14:paraId="57594154" w14:textId="77777777" w:rsidTr="004F288F">
        <w:tc>
          <w:tcPr>
            <w:tcW w:w="2835" w:type="dxa"/>
            <w:shd w:val="clear" w:color="auto" w:fill="auto"/>
          </w:tcPr>
          <w:p w14:paraId="7A1E3F6E" w14:textId="77777777" w:rsidR="00D97D6C" w:rsidRPr="001D5327" w:rsidRDefault="00D97D6C" w:rsidP="00B11F53">
            <w:pPr>
              <w:pStyle w:val="TableText"/>
              <w:spacing w:before="40" w:after="40"/>
            </w:pPr>
            <w:r w:rsidRPr="001D5327">
              <w:t>Basic metals</w:t>
            </w:r>
          </w:p>
        </w:tc>
        <w:tc>
          <w:tcPr>
            <w:tcW w:w="1134" w:type="dxa"/>
            <w:shd w:val="clear" w:color="auto" w:fill="auto"/>
          </w:tcPr>
          <w:p w14:paraId="75744D7A" w14:textId="77777777" w:rsidR="00D97D6C" w:rsidRPr="001D5327" w:rsidRDefault="00D97D6C" w:rsidP="00B95F90">
            <w:pPr>
              <w:pStyle w:val="TableText"/>
              <w:tabs>
                <w:tab w:val="decimal" w:pos="27"/>
              </w:tabs>
              <w:spacing w:before="40" w:after="40"/>
              <w:jc w:val="right"/>
            </w:pPr>
            <w:r w:rsidRPr="001D5327">
              <w:t>1.2</w:t>
            </w:r>
          </w:p>
        </w:tc>
        <w:tc>
          <w:tcPr>
            <w:tcW w:w="993" w:type="dxa"/>
          </w:tcPr>
          <w:p w14:paraId="09CD3E87" w14:textId="77777777" w:rsidR="00D97D6C" w:rsidRPr="001D5327" w:rsidRDefault="00D97D6C" w:rsidP="00B95F90">
            <w:pPr>
              <w:pStyle w:val="TableText"/>
              <w:tabs>
                <w:tab w:val="decimal" w:pos="244"/>
              </w:tabs>
              <w:spacing w:before="40" w:after="40"/>
              <w:jc w:val="right"/>
            </w:pPr>
            <w:r w:rsidRPr="001D5327">
              <w:t>88.1</w:t>
            </w:r>
          </w:p>
        </w:tc>
        <w:tc>
          <w:tcPr>
            <w:tcW w:w="992" w:type="dxa"/>
            <w:shd w:val="clear" w:color="auto" w:fill="auto"/>
          </w:tcPr>
          <w:p w14:paraId="21E4889A" w14:textId="77777777" w:rsidR="00D97D6C" w:rsidRPr="001D5327" w:rsidRDefault="00D97D6C" w:rsidP="00B95F90">
            <w:pPr>
              <w:pStyle w:val="TableText"/>
              <w:tabs>
                <w:tab w:val="decimal" w:pos="147"/>
              </w:tabs>
              <w:spacing w:before="40" w:after="40"/>
              <w:jc w:val="right"/>
            </w:pPr>
            <w:r w:rsidRPr="001D5327">
              <w:t>0.4</w:t>
            </w:r>
          </w:p>
        </w:tc>
      </w:tr>
      <w:tr w:rsidR="00D97D6C" w:rsidRPr="001D5327" w14:paraId="78A0A2C6" w14:textId="77777777" w:rsidTr="004F288F">
        <w:tc>
          <w:tcPr>
            <w:tcW w:w="2835" w:type="dxa"/>
            <w:shd w:val="clear" w:color="auto" w:fill="auto"/>
          </w:tcPr>
          <w:p w14:paraId="162C1500" w14:textId="77777777" w:rsidR="00D97D6C" w:rsidRPr="001D5327" w:rsidRDefault="00D97D6C" w:rsidP="00B11F53">
            <w:pPr>
              <w:pStyle w:val="TableText"/>
              <w:spacing w:before="40" w:after="40"/>
            </w:pPr>
            <w:r w:rsidRPr="001D5327">
              <w:t>Mechanical/electrical equipment</w:t>
            </w:r>
          </w:p>
        </w:tc>
        <w:tc>
          <w:tcPr>
            <w:tcW w:w="1134" w:type="dxa"/>
            <w:shd w:val="clear" w:color="auto" w:fill="auto"/>
          </w:tcPr>
          <w:p w14:paraId="342E608A" w14:textId="77777777" w:rsidR="00D97D6C" w:rsidRPr="001D5327" w:rsidRDefault="00D97D6C" w:rsidP="00B95F90">
            <w:pPr>
              <w:pStyle w:val="TableText"/>
              <w:tabs>
                <w:tab w:val="decimal" w:pos="27"/>
              </w:tabs>
              <w:spacing w:before="40" w:after="40"/>
              <w:jc w:val="right"/>
            </w:pPr>
            <w:r w:rsidRPr="001D5327">
              <w:t>2.6</w:t>
            </w:r>
          </w:p>
        </w:tc>
        <w:tc>
          <w:tcPr>
            <w:tcW w:w="993" w:type="dxa"/>
          </w:tcPr>
          <w:p w14:paraId="723A692B" w14:textId="77777777" w:rsidR="00D97D6C" w:rsidRPr="001D5327" w:rsidRDefault="00D97D6C" w:rsidP="00B95F90">
            <w:pPr>
              <w:pStyle w:val="TableText"/>
              <w:tabs>
                <w:tab w:val="decimal" w:pos="244"/>
              </w:tabs>
              <w:spacing w:before="40" w:after="40"/>
              <w:jc w:val="right"/>
            </w:pPr>
            <w:r w:rsidRPr="001D5327">
              <w:t>23.6</w:t>
            </w:r>
          </w:p>
        </w:tc>
        <w:tc>
          <w:tcPr>
            <w:tcW w:w="992" w:type="dxa"/>
            <w:shd w:val="clear" w:color="auto" w:fill="auto"/>
          </w:tcPr>
          <w:p w14:paraId="45E18B0F" w14:textId="77777777" w:rsidR="00D97D6C" w:rsidRPr="001D5327" w:rsidRDefault="00D97D6C" w:rsidP="00B95F90">
            <w:pPr>
              <w:pStyle w:val="TableText"/>
              <w:tabs>
                <w:tab w:val="decimal" w:pos="147"/>
              </w:tabs>
              <w:spacing w:before="40" w:after="40"/>
              <w:jc w:val="right"/>
            </w:pPr>
            <w:r w:rsidRPr="001D5327">
              <w:t>0.9</w:t>
            </w:r>
          </w:p>
        </w:tc>
      </w:tr>
      <w:tr w:rsidR="00D97D6C" w:rsidRPr="001D5327" w14:paraId="64B640A2" w14:textId="77777777" w:rsidTr="004F288F">
        <w:tc>
          <w:tcPr>
            <w:tcW w:w="2835" w:type="dxa"/>
            <w:shd w:val="clear" w:color="auto" w:fill="auto"/>
          </w:tcPr>
          <w:p w14:paraId="45918E73" w14:textId="77777777" w:rsidR="00D97D6C" w:rsidRPr="001D5327" w:rsidRDefault="00D97D6C" w:rsidP="00B11F53">
            <w:pPr>
              <w:pStyle w:val="TableText"/>
              <w:spacing w:before="40" w:after="40"/>
            </w:pPr>
            <w:r w:rsidRPr="001D5327">
              <w:t>Industry unallocated</w:t>
            </w:r>
          </w:p>
        </w:tc>
        <w:tc>
          <w:tcPr>
            <w:tcW w:w="1134" w:type="dxa"/>
            <w:shd w:val="clear" w:color="auto" w:fill="auto"/>
          </w:tcPr>
          <w:p w14:paraId="7C12A9D1" w14:textId="77777777" w:rsidR="00D97D6C" w:rsidRPr="001D5327" w:rsidRDefault="00D97D6C" w:rsidP="00B95F90">
            <w:pPr>
              <w:pStyle w:val="TableText"/>
              <w:tabs>
                <w:tab w:val="decimal" w:pos="27"/>
              </w:tabs>
              <w:spacing w:before="40" w:after="40"/>
              <w:jc w:val="right"/>
            </w:pPr>
            <w:r w:rsidRPr="001D5327">
              <w:t>0.7</w:t>
            </w:r>
          </w:p>
        </w:tc>
        <w:tc>
          <w:tcPr>
            <w:tcW w:w="993" w:type="dxa"/>
          </w:tcPr>
          <w:p w14:paraId="7309A12C" w14:textId="77777777" w:rsidR="00D97D6C" w:rsidRPr="001D5327" w:rsidRDefault="00D97D6C" w:rsidP="00B95F90">
            <w:pPr>
              <w:pStyle w:val="TableText"/>
              <w:tabs>
                <w:tab w:val="decimal" w:pos="244"/>
              </w:tabs>
              <w:spacing w:before="40" w:after="40"/>
              <w:jc w:val="right"/>
            </w:pPr>
            <w:r w:rsidRPr="001D5327">
              <w:t>2.7</w:t>
            </w:r>
          </w:p>
        </w:tc>
        <w:tc>
          <w:tcPr>
            <w:tcW w:w="992" w:type="dxa"/>
            <w:shd w:val="clear" w:color="auto" w:fill="auto"/>
          </w:tcPr>
          <w:p w14:paraId="537904B4" w14:textId="77777777" w:rsidR="00D97D6C" w:rsidRPr="001D5327" w:rsidRDefault="00D97D6C" w:rsidP="00B95F90">
            <w:pPr>
              <w:pStyle w:val="TableText"/>
              <w:tabs>
                <w:tab w:val="decimal" w:pos="147"/>
              </w:tabs>
              <w:spacing w:before="40" w:after="40"/>
              <w:jc w:val="right"/>
            </w:pPr>
            <w:r w:rsidRPr="001D5327">
              <w:t>0.5</w:t>
            </w:r>
          </w:p>
        </w:tc>
      </w:tr>
    </w:tbl>
    <w:p w14:paraId="3EDA7F7D" w14:textId="59538F6E" w:rsidR="00D97D6C" w:rsidRPr="001D5327" w:rsidRDefault="00D97D6C" w:rsidP="00D97D6C">
      <w:pPr>
        <w:pStyle w:val="BodyText"/>
        <w:spacing w:before="240"/>
        <w:rPr>
          <w:rFonts w:cs="Calibri"/>
        </w:rPr>
      </w:pPr>
      <w:r w:rsidRPr="001D5327">
        <w:rPr>
          <w:rFonts w:cs="Calibri"/>
        </w:rPr>
        <w:t>By disaggregating into categories, more accurate estimates of stationary versus mobile combustion for diesel were also able to be made, resulting in small changes to the emissions from manufacturing industries and construction.</w:t>
      </w:r>
    </w:p>
    <w:p w14:paraId="5F59A2D1" w14:textId="002C3DEA" w:rsidR="00D97D6C" w:rsidRPr="001D5327" w:rsidRDefault="00D97D6C" w:rsidP="00D97D6C">
      <w:pPr>
        <w:pStyle w:val="BodyText"/>
        <w:rPr>
          <w:rFonts w:cs="Calibri"/>
        </w:rPr>
      </w:pPr>
      <w:r w:rsidRPr="001D5327">
        <w:rPr>
          <w:rFonts w:cs="Calibri"/>
        </w:rPr>
        <w:t xml:space="preserve">Disaggregating the </w:t>
      </w:r>
      <w:r w:rsidRPr="001D5327">
        <w:rPr>
          <w:rFonts w:cs="Calibri"/>
          <w:i/>
        </w:rPr>
        <w:t>Manufacturing industries and construction</w:t>
      </w:r>
      <w:r w:rsidRPr="001D5327">
        <w:rPr>
          <w:rFonts w:cs="Calibri"/>
        </w:rPr>
        <w:t xml:space="preserve"> category for solid fuels, solid biomass, gasoline and diesel has led to a significant decrease in the </w:t>
      </w:r>
      <w:r w:rsidRPr="001D5327">
        <w:rPr>
          <w:rFonts w:cs="Calibri"/>
          <w:i/>
        </w:rPr>
        <w:t>Other – not specified</w:t>
      </w:r>
      <w:r w:rsidRPr="001D5327">
        <w:rPr>
          <w:rFonts w:cs="Calibri"/>
        </w:rPr>
        <w:t xml:space="preserve"> category (1.A.2.g) under </w:t>
      </w:r>
      <w:r w:rsidRPr="001D5327">
        <w:rPr>
          <w:rFonts w:cs="Calibri"/>
          <w:i/>
        </w:rPr>
        <w:t>Manufacturing industries and construction</w:t>
      </w:r>
      <w:r w:rsidRPr="001D5327">
        <w:rPr>
          <w:rFonts w:cs="Calibri"/>
        </w:rPr>
        <w:t>. The proportions are shown in </w:t>
      </w:r>
      <w:r w:rsidR="001C3E6B" w:rsidRPr="001D5327">
        <w:rPr>
          <w:rFonts w:cs="Calibri"/>
        </w:rPr>
        <w:t>figure 3.2.8 and figure 3.2.9</w:t>
      </w:r>
      <w:r w:rsidRPr="001D5327">
        <w:rPr>
          <w:rFonts w:cs="Calibri"/>
        </w:rPr>
        <w:t>.</w:t>
      </w:r>
    </w:p>
    <w:p w14:paraId="0CC825EA" w14:textId="6B335FC5" w:rsidR="00D97D6C" w:rsidRPr="001D5327" w:rsidRDefault="00D97D6C" w:rsidP="00D97D6C">
      <w:pPr>
        <w:pStyle w:val="Figure"/>
        <w:rPr>
          <w:rFonts w:cs="Calibri"/>
        </w:rPr>
      </w:pPr>
      <w:bookmarkStart w:id="311" w:name="_Ref445300349"/>
      <w:bookmarkStart w:id="312" w:name="_Toc36292777"/>
      <w:bookmarkStart w:id="313" w:name="_Toc321399330"/>
      <w:bookmarkStart w:id="314" w:name="_Toc384582858"/>
      <w:bookmarkStart w:id="315" w:name="_Toc443060818"/>
      <w:bookmarkStart w:id="316" w:name="_Toc447275675"/>
      <w:bookmarkStart w:id="317" w:name="_Toc481751993"/>
      <w:bookmarkStart w:id="318" w:name="_Toc68786642"/>
      <w:bookmarkStart w:id="319" w:name="_Toc95834077"/>
      <w:bookmarkStart w:id="320" w:name="_Toc164154013"/>
      <w:bookmarkStart w:id="321" w:name="_Toc194674846"/>
      <w:r w:rsidRPr="001D5327">
        <w:t>Figure 3.2.</w:t>
      </w:r>
      <w:r w:rsidR="00FF301B">
        <w:fldChar w:fldCharType="begin"/>
      </w:r>
      <w:r w:rsidR="00FF301B">
        <w:instrText xml:space="preserve"> SEQ Figure \* ARABIC \s 2 </w:instrText>
      </w:r>
      <w:r w:rsidR="00FF301B">
        <w:fldChar w:fldCharType="separate"/>
      </w:r>
      <w:r w:rsidR="00B93180">
        <w:rPr>
          <w:noProof/>
        </w:rPr>
        <w:t>8</w:t>
      </w:r>
      <w:r w:rsidR="00FF301B">
        <w:rPr>
          <w:noProof/>
        </w:rPr>
        <w:fldChar w:fldCharType="end"/>
      </w:r>
      <w:bookmarkEnd w:id="311"/>
      <w:r w:rsidRPr="001D5327">
        <w:t xml:space="preserve"> </w:t>
      </w:r>
      <w:r w:rsidRPr="001D5327">
        <w:tab/>
        <w:t xml:space="preserve">Proportions used for </w:t>
      </w:r>
      <w:r w:rsidRPr="001D5327">
        <w:rPr>
          <w:i/>
          <w:iCs/>
        </w:rPr>
        <w:t>Manufacturing industries and construction</w:t>
      </w:r>
      <w:r w:rsidRPr="001D5327">
        <w:t xml:space="preserve"> category – Gasoline</w:t>
      </w:r>
      <w:r w:rsidR="00636ED3" w:rsidRPr="001D5327">
        <w:t>,</w:t>
      </w:r>
      <w:r w:rsidRPr="001D5327">
        <w:t xml:space="preserve"> from</w:t>
      </w:r>
      <w:r w:rsidR="00636ED3" w:rsidRPr="001D5327">
        <w:t> </w:t>
      </w:r>
      <w:r w:rsidRPr="001D5327">
        <w:t xml:space="preserve">1990 to </w:t>
      </w:r>
      <w:bookmarkEnd w:id="312"/>
      <w:bookmarkEnd w:id="313"/>
      <w:bookmarkEnd w:id="314"/>
      <w:bookmarkEnd w:id="315"/>
      <w:bookmarkEnd w:id="316"/>
      <w:bookmarkEnd w:id="317"/>
      <w:bookmarkEnd w:id="318"/>
      <w:bookmarkEnd w:id="319"/>
      <w:bookmarkEnd w:id="320"/>
      <w:r w:rsidR="00704343" w:rsidRPr="001D5327">
        <w:t>2023</w:t>
      </w:r>
      <w:bookmarkEnd w:id="321"/>
    </w:p>
    <w:p w14:paraId="75632A64" w14:textId="4D56E804" w:rsidR="00D97D6C" w:rsidRPr="001D5327" w:rsidRDefault="00460B67" w:rsidP="00D97D6C">
      <w:pPr>
        <w:pStyle w:val="BodyText"/>
      </w:pPr>
      <w:r w:rsidRPr="001D5327">
        <w:rPr>
          <w:noProof/>
        </w:rPr>
        <w:drawing>
          <wp:inline distT="0" distB="0" distL="0" distR="0" wp14:anchorId="41513ADD" wp14:editId="5C0122AA">
            <wp:extent cx="5367131" cy="2528613"/>
            <wp:effectExtent l="0" t="0" r="5080" b="5080"/>
            <wp:docPr id="603459137" name="Picture 7"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59137" name="Picture 7" descr="A graph of different colored lines&#10;&#10;Description automatically generated"/>
                    <pic:cNvPicPr/>
                  </pic:nvPicPr>
                  <pic:blipFill rotWithShape="1">
                    <a:blip r:embed="rId67" cstate="print">
                      <a:extLst>
                        <a:ext uri="{28A0092B-C50C-407E-A947-70E740481C1C}">
                          <a14:useLocalDpi xmlns:a14="http://schemas.microsoft.com/office/drawing/2010/main" val="0"/>
                        </a:ext>
                      </a:extLst>
                    </a:blip>
                    <a:srcRect t="1177" b="4607"/>
                    <a:stretch/>
                  </pic:blipFill>
                  <pic:spPr bwMode="auto">
                    <a:xfrm>
                      <a:off x="0" y="0"/>
                      <a:ext cx="5369824" cy="2529882"/>
                    </a:xfrm>
                    <a:prstGeom prst="rect">
                      <a:avLst/>
                    </a:prstGeom>
                    <a:ln>
                      <a:noFill/>
                    </a:ln>
                    <a:extLst>
                      <a:ext uri="{53640926-AAD7-44D8-BBD7-CCE9431645EC}">
                        <a14:shadowObscured xmlns:a14="http://schemas.microsoft.com/office/drawing/2010/main"/>
                      </a:ext>
                    </a:extLst>
                  </pic:spPr>
                </pic:pic>
              </a:graphicData>
            </a:graphic>
          </wp:inline>
        </w:drawing>
      </w:r>
    </w:p>
    <w:p w14:paraId="785E3ADB" w14:textId="45D3B15E" w:rsidR="00D97D6C" w:rsidRPr="001D5327" w:rsidRDefault="00D97D6C" w:rsidP="00D97D6C">
      <w:pPr>
        <w:pStyle w:val="Figure"/>
        <w:spacing w:before="240" w:after="80"/>
      </w:pPr>
      <w:bookmarkStart w:id="322" w:name="_Ref445300362"/>
      <w:bookmarkStart w:id="323" w:name="_Toc321399331"/>
      <w:bookmarkStart w:id="324" w:name="_Toc384582859"/>
      <w:bookmarkStart w:id="325" w:name="_Toc443060819"/>
      <w:bookmarkStart w:id="326" w:name="_Toc447275676"/>
      <w:bookmarkStart w:id="327" w:name="_Toc481751994"/>
      <w:bookmarkStart w:id="328" w:name="_Toc36292778"/>
      <w:bookmarkStart w:id="329" w:name="_Toc68786643"/>
      <w:bookmarkStart w:id="330" w:name="_Toc95834078"/>
      <w:bookmarkStart w:id="331" w:name="_Toc164154014"/>
      <w:bookmarkStart w:id="332" w:name="_Toc194674847"/>
      <w:r w:rsidRPr="001D5327">
        <w:lastRenderedPageBreak/>
        <w:t>Figure 3.2.</w:t>
      </w:r>
      <w:r w:rsidR="00FF301B">
        <w:fldChar w:fldCharType="begin"/>
      </w:r>
      <w:r w:rsidR="00FF301B">
        <w:instrText xml:space="preserve"> SEQ Figure \* ARABIC \s 2 </w:instrText>
      </w:r>
      <w:r w:rsidR="00FF301B">
        <w:fldChar w:fldCharType="separate"/>
      </w:r>
      <w:r w:rsidR="00B93180">
        <w:rPr>
          <w:noProof/>
        </w:rPr>
        <w:t>9</w:t>
      </w:r>
      <w:r w:rsidR="00FF301B">
        <w:rPr>
          <w:noProof/>
        </w:rPr>
        <w:fldChar w:fldCharType="end"/>
      </w:r>
      <w:bookmarkEnd w:id="322"/>
      <w:r w:rsidRPr="001D5327">
        <w:t xml:space="preserve"> </w:t>
      </w:r>
      <w:r w:rsidRPr="001D5327">
        <w:tab/>
      </w:r>
      <w:bookmarkStart w:id="333" w:name="_Hlk66695051"/>
      <w:r w:rsidRPr="001D5327">
        <w:t xml:space="preserve">Proportions used for </w:t>
      </w:r>
      <w:r w:rsidRPr="001D5327">
        <w:rPr>
          <w:i/>
          <w:iCs/>
        </w:rPr>
        <w:t>Manufacturing industries and construction</w:t>
      </w:r>
      <w:r w:rsidRPr="001D5327">
        <w:t xml:space="preserve"> category –</w:t>
      </w:r>
      <w:r w:rsidR="0067016D" w:rsidRPr="001D5327">
        <w:t> </w:t>
      </w:r>
      <w:r w:rsidRPr="001D5327">
        <w:t>Diesel</w:t>
      </w:r>
      <w:r w:rsidR="00636ED3" w:rsidRPr="001D5327">
        <w:t>,</w:t>
      </w:r>
      <w:bookmarkEnd w:id="323"/>
      <w:bookmarkEnd w:id="324"/>
      <w:bookmarkEnd w:id="325"/>
      <w:bookmarkEnd w:id="326"/>
      <w:bookmarkEnd w:id="327"/>
      <w:r w:rsidR="0067016D" w:rsidRPr="001D5327">
        <w:t> </w:t>
      </w:r>
      <w:r w:rsidRPr="001D5327">
        <w:t>from</w:t>
      </w:r>
      <w:r w:rsidR="00636ED3" w:rsidRPr="001D5327">
        <w:t> </w:t>
      </w:r>
      <w:r w:rsidRPr="001D5327">
        <w:t>1990 to </w:t>
      </w:r>
      <w:bookmarkEnd w:id="328"/>
      <w:bookmarkEnd w:id="329"/>
      <w:bookmarkEnd w:id="330"/>
      <w:bookmarkEnd w:id="331"/>
      <w:bookmarkEnd w:id="333"/>
      <w:r w:rsidR="00704343" w:rsidRPr="001D5327">
        <w:t>2023</w:t>
      </w:r>
      <w:bookmarkEnd w:id="332"/>
    </w:p>
    <w:p w14:paraId="5204DF90" w14:textId="2ED1BE0F" w:rsidR="00D97D6C" w:rsidRPr="001D5327" w:rsidRDefault="00460B67" w:rsidP="00D97D6C">
      <w:pPr>
        <w:pStyle w:val="BodyText"/>
        <w:rPr>
          <w:rFonts w:cs="Calibri"/>
        </w:rPr>
      </w:pPr>
      <w:r w:rsidRPr="001D5327">
        <w:rPr>
          <w:rFonts w:cs="Calibri"/>
          <w:noProof/>
        </w:rPr>
        <w:drawing>
          <wp:inline distT="0" distB="0" distL="0" distR="0" wp14:anchorId="7C63CFBE" wp14:editId="20585779">
            <wp:extent cx="5399600" cy="2504661"/>
            <wp:effectExtent l="0" t="0" r="0" b="0"/>
            <wp:docPr id="840984612" name="Picture 8"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984612" name="Picture 8" descr="A graph of a number of people&#10;&#10;Description automatically generated with medium confidence"/>
                    <pic:cNvPicPr/>
                  </pic:nvPicPr>
                  <pic:blipFill rotWithShape="1">
                    <a:blip r:embed="rId68" cstate="print">
                      <a:extLst>
                        <a:ext uri="{28A0092B-C50C-407E-A947-70E740481C1C}">
                          <a14:useLocalDpi xmlns:a14="http://schemas.microsoft.com/office/drawing/2010/main" val="0"/>
                        </a:ext>
                      </a:extLst>
                    </a:blip>
                    <a:srcRect t="2355" b="4884"/>
                    <a:stretch/>
                  </pic:blipFill>
                  <pic:spPr bwMode="auto">
                    <a:xfrm>
                      <a:off x="0" y="0"/>
                      <a:ext cx="5400675" cy="2505160"/>
                    </a:xfrm>
                    <a:prstGeom prst="rect">
                      <a:avLst/>
                    </a:prstGeom>
                    <a:ln>
                      <a:noFill/>
                    </a:ln>
                    <a:extLst>
                      <a:ext uri="{53640926-AAD7-44D8-BBD7-CCE9431645EC}">
                        <a14:shadowObscured xmlns:a14="http://schemas.microsoft.com/office/drawing/2010/main"/>
                      </a:ext>
                    </a:extLst>
                  </pic:spPr>
                </pic:pic>
              </a:graphicData>
            </a:graphic>
          </wp:inline>
        </w:drawing>
      </w:r>
    </w:p>
    <w:p w14:paraId="200188D5" w14:textId="6D15FAD8" w:rsidR="00D97D6C" w:rsidRPr="001D5327" w:rsidRDefault="00D97D6C" w:rsidP="00BF2A76">
      <w:pPr>
        <w:pStyle w:val="Heading5"/>
      </w:pPr>
      <w:r w:rsidRPr="001D5327">
        <w:t>Gaseous fuels</w:t>
      </w:r>
    </w:p>
    <w:p w14:paraId="75EB0DF8" w14:textId="31C156C8" w:rsidR="00D97D6C" w:rsidRPr="001D5327" w:rsidRDefault="00D97D6C" w:rsidP="00D97D6C">
      <w:pPr>
        <w:pStyle w:val="BodyText"/>
      </w:pPr>
      <w:r w:rsidRPr="001D5327">
        <w:t>Annual natural gas consumption statistics are published by MBIE</w:t>
      </w:r>
      <w:r w:rsidR="006335B7" w:rsidRPr="001D5327">
        <w:t xml:space="preserve"> (2024a)</w:t>
      </w:r>
      <w:r w:rsidRPr="001D5327">
        <w:t>. A review of the allocation of natural gas consumption data was undertaken in 2011 by MBIE. The purpose of</w:t>
      </w:r>
      <w:r w:rsidR="00B8286F" w:rsidRPr="001D5327">
        <w:t> </w:t>
      </w:r>
      <w:r w:rsidRPr="001D5327">
        <w:t>this review was to address time-series discontinuities in the sectoral breakdown for some</w:t>
      </w:r>
      <w:r w:rsidR="00B8286F" w:rsidRPr="001D5327">
        <w:t> </w:t>
      </w:r>
      <w:r w:rsidRPr="001D5327">
        <w:t xml:space="preserve">sectors before </w:t>
      </w:r>
      <w:r w:rsidRPr="001D5327">
        <w:rPr>
          <w:spacing w:val="-2"/>
        </w:rPr>
        <w:t>2006. Several inconsistencies in sector reporting were found, along with a</w:t>
      </w:r>
      <w:r w:rsidR="00B8286F" w:rsidRPr="001D5327">
        <w:rPr>
          <w:spacing w:val="-2"/>
        </w:rPr>
        <w:t> </w:t>
      </w:r>
      <w:r w:rsidRPr="001D5327">
        <w:rPr>
          <w:spacing w:val="-2"/>
        </w:rPr>
        <w:t>considerable amoun</w:t>
      </w:r>
      <w:r w:rsidRPr="001D5327">
        <w:t xml:space="preserve">t </w:t>
      </w:r>
      <w:r w:rsidRPr="001D5327">
        <w:rPr>
          <w:spacing w:val="-2"/>
        </w:rPr>
        <w:t>of missing data for sectoral breakdowns. Inconsistencies from 2003 to 2005 were due to change</w:t>
      </w:r>
      <w:r w:rsidRPr="001D5327">
        <w:t>s in survey design over time. Inconsistencies or missing data before 2003 were re</w:t>
      </w:r>
      <w:r w:rsidRPr="001D5327">
        <w:noBreakHyphen/>
        <w:t>worked and re-estimated. These missing data comprised around 40 per cent of total natural gas use (which was not altered at a total level but only reallocated by sector).</w:t>
      </w:r>
    </w:p>
    <w:p w14:paraId="5583E4F2" w14:textId="77777777" w:rsidR="00D97D6C" w:rsidRPr="001D5327" w:rsidRDefault="00D97D6C" w:rsidP="00D97D6C">
      <w:pPr>
        <w:pStyle w:val="BodyText"/>
      </w:pPr>
      <w:r w:rsidRPr="001D5327">
        <w:t>Where necessary, new estimates of gas consumption were made, depending on data availability. The chosen data source in order of preference was as follows.</w:t>
      </w:r>
    </w:p>
    <w:p w14:paraId="3FF2E983" w14:textId="7313EA6C" w:rsidR="00D97D6C" w:rsidRPr="001D5327" w:rsidRDefault="00D97D6C" w:rsidP="005E2FBB">
      <w:pPr>
        <w:pStyle w:val="Bullet"/>
      </w:pPr>
      <w:r w:rsidRPr="001D5327">
        <w:t>Data from major consumers of natural gas were used if available because the</w:t>
      </w:r>
      <w:r w:rsidR="00BE2924" w:rsidRPr="001D5327">
        <w:t>se data</w:t>
      </w:r>
      <w:r w:rsidRPr="001D5327">
        <w:t xml:space="preserve"> are more reliable</w:t>
      </w:r>
      <w:r w:rsidR="001930F4" w:rsidRPr="001D5327">
        <w:t xml:space="preserve"> and</w:t>
      </w:r>
      <w:r w:rsidRPr="001D5327">
        <w:t xml:space="preserve"> accurate</w:t>
      </w:r>
      <w:r w:rsidR="001930F4" w:rsidRPr="001D5327">
        <w:t>,</w:t>
      </w:r>
      <w:r w:rsidRPr="001D5327">
        <w:t xml:space="preserve"> and </w:t>
      </w:r>
      <w:r w:rsidR="001930F4" w:rsidRPr="001D5327">
        <w:t>more</w:t>
      </w:r>
      <w:r w:rsidRPr="001D5327">
        <w:t xml:space="preserve"> easily classified by sector.</w:t>
      </w:r>
    </w:p>
    <w:p w14:paraId="64F51902" w14:textId="77777777" w:rsidR="00D97D6C" w:rsidRPr="001D5327" w:rsidRDefault="00D97D6C" w:rsidP="00D97D6C">
      <w:pPr>
        <w:pStyle w:val="Bullet"/>
      </w:pPr>
      <w:r w:rsidRPr="001D5327">
        <w:t>Where these data were not available, natural gas retailers’ reported sales by sector were used.</w:t>
      </w:r>
    </w:p>
    <w:p w14:paraId="29CD5A70" w14:textId="78328047" w:rsidR="00D97D6C" w:rsidRPr="001D5327" w:rsidRDefault="00D97D6C" w:rsidP="00D97D6C">
      <w:pPr>
        <w:pStyle w:val="Bullet"/>
      </w:pPr>
      <w:r w:rsidRPr="001D5327">
        <w:t xml:space="preserve">If these data were also not available, then estimates based on regressions using GDP data were used. GDP output and production data were used along with assumptions about energy intensity and consumption of categories (to </w:t>
      </w:r>
      <w:r w:rsidR="00BE2924" w:rsidRPr="001D5327">
        <w:t xml:space="preserve">the most </w:t>
      </w:r>
      <w:r w:rsidRPr="001D5327">
        <w:t xml:space="preserve">detailed level possible). </w:t>
      </w:r>
    </w:p>
    <w:p w14:paraId="46134611" w14:textId="1D678DC1" w:rsidR="00D97D6C" w:rsidRPr="001D5327" w:rsidRDefault="00D97D6C" w:rsidP="00D97D6C">
      <w:pPr>
        <w:pStyle w:val="BodyText"/>
      </w:pPr>
      <w:r w:rsidRPr="001D5327">
        <w:t>Several categories are represented by only one or two major natural gas consumers: for some of these cases</w:t>
      </w:r>
      <w:r w:rsidR="00BE2924" w:rsidRPr="001D5327">
        <w:t>,</w:t>
      </w:r>
      <w:r w:rsidRPr="001D5327">
        <w:t xml:space="preserve"> data from major consumers were directly used. Where there are industries with many major natural gas consumers, gas retailers’ reported sales by sector were used, though these can, at times, exhibit data quality issues. </w:t>
      </w:r>
    </w:p>
    <w:p w14:paraId="6C73C9AC" w14:textId="227B607B" w:rsidR="00D97D6C" w:rsidRPr="001D5327" w:rsidRDefault="00D97D6C" w:rsidP="00D97D6C">
      <w:pPr>
        <w:pStyle w:val="BodyText"/>
      </w:pPr>
      <w:r w:rsidRPr="001D5327">
        <w:t xml:space="preserve">A review was also undertaken in 2014 by MBIE covering data going back to 1999. Several sales previously identified as wholesale sales (i.e., gas bought to be on-sold) were in fact sold to consumers, but at ‘wholesale’ (lower) prices. Work was done to correct the classifications of these sales, based on customer name, to </w:t>
      </w:r>
      <w:r w:rsidR="00BE2924" w:rsidRPr="001D5327">
        <w:t>reflect</w:t>
      </w:r>
      <w:r w:rsidRPr="001D5327">
        <w:t xml:space="preserve"> their relevant sectors.</w:t>
      </w:r>
    </w:p>
    <w:p w14:paraId="310CC0F9" w14:textId="77777777" w:rsidR="00D97D6C" w:rsidRPr="001D5327" w:rsidRDefault="00D97D6C" w:rsidP="00BF2A76">
      <w:pPr>
        <w:pStyle w:val="Heading5"/>
      </w:pPr>
      <w:r w:rsidRPr="001D5327">
        <w:lastRenderedPageBreak/>
        <w:t>Other fossil fuels</w:t>
      </w:r>
    </w:p>
    <w:p w14:paraId="5153E31A" w14:textId="5DF008AF" w:rsidR="00D97D6C" w:rsidRPr="001D5327" w:rsidRDefault="00D97D6C" w:rsidP="00D97D6C">
      <w:pPr>
        <w:pStyle w:val="BodyText"/>
        <w:spacing w:before="100" w:after="100"/>
        <w:rPr>
          <w:rFonts w:cs="Calibri"/>
        </w:rPr>
      </w:pPr>
      <w:r w:rsidRPr="001D5327">
        <w:rPr>
          <w:rFonts w:cs="Calibri"/>
          <w:spacing w:val="-2"/>
        </w:rPr>
        <w:t>This category includes waste oil and tyre-derived fuel. Activity data are sourced from the NZ ETS</w:t>
      </w:r>
      <w:r w:rsidRPr="001D5327">
        <w:rPr>
          <w:rFonts w:cs="Calibri"/>
        </w:rPr>
        <w:t>.</w:t>
      </w:r>
      <w:r w:rsidR="00460B67" w:rsidRPr="001D5327">
        <w:rPr>
          <w:rFonts w:cs="Calibri"/>
        </w:rPr>
        <w:t xml:space="preserve"> </w:t>
      </w:r>
      <w:r w:rsidR="00460B67" w:rsidRPr="001D5327">
        <w:rPr>
          <w:lang w:eastAsia="en-GB"/>
        </w:rPr>
        <w:t>A Tier 2 methodology was used to estimate CO</w:t>
      </w:r>
      <w:r w:rsidR="00460B67" w:rsidRPr="001D5327">
        <w:rPr>
          <w:vertAlign w:val="subscript"/>
          <w:lang w:eastAsia="en-GB"/>
        </w:rPr>
        <w:t>2</w:t>
      </w:r>
      <w:r w:rsidR="00460B67" w:rsidRPr="001D5327">
        <w:rPr>
          <w:lang w:eastAsia="en-GB"/>
        </w:rPr>
        <w:t xml:space="preserve"> emissions based on an emission factor of</w:t>
      </w:r>
      <w:r w:rsidR="007B3DB0" w:rsidRPr="001D5327">
        <w:rPr>
          <w:lang w:eastAsia="en-GB"/>
        </w:rPr>
        <w:t xml:space="preserve"> </w:t>
      </w:r>
      <w:r w:rsidR="00460B67" w:rsidRPr="001D5327">
        <w:rPr>
          <w:lang w:eastAsia="en-GB"/>
        </w:rPr>
        <w:t>1</w:t>
      </w:r>
      <w:r w:rsidR="00460B67" w:rsidRPr="001D5327">
        <w:t>,668 kg CO</w:t>
      </w:r>
      <w:r w:rsidR="00460B67" w:rsidRPr="001D5327">
        <w:rPr>
          <w:vertAlign w:val="subscript"/>
        </w:rPr>
        <w:t>2</w:t>
      </w:r>
      <w:r w:rsidR="00460B67" w:rsidRPr="001D5327">
        <w:t xml:space="preserve"> per tonne (the Annex I average), while Tier 1 methodologies</w:t>
      </w:r>
      <w:r w:rsidR="00460B67" w:rsidRPr="001D5327">
        <w:rPr>
          <w:lang w:eastAsia="en-GB"/>
        </w:rPr>
        <w:t xml:space="preserve"> were used for CH</w:t>
      </w:r>
      <w:r w:rsidR="00460B67" w:rsidRPr="001D5327">
        <w:rPr>
          <w:vertAlign w:val="subscript"/>
          <w:lang w:eastAsia="en-GB"/>
        </w:rPr>
        <w:t>4</w:t>
      </w:r>
      <w:r w:rsidR="007B3DB0" w:rsidRPr="001D5327">
        <w:rPr>
          <w:vertAlign w:val="subscript"/>
          <w:lang w:eastAsia="en-GB"/>
        </w:rPr>
        <w:t xml:space="preserve"> </w:t>
      </w:r>
      <w:r w:rsidR="00460B67" w:rsidRPr="001D5327">
        <w:rPr>
          <w:lang w:eastAsia="en-GB"/>
        </w:rPr>
        <w:t>and N</w:t>
      </w:r>
      <w:r w:rsidR="00460B67" w:rsidRPr="001D5327">
        <w:rPr>
          <w:vertAlign w:val="subscript"/>
          <w:lang w:eastAsia="en-GB"/>
        </w:rPr>
        <w:t>2</w:t>
      </w:r>
      <w:r w:rsidR="00460B67" w:rsidRPr="001D5327">
        <w:rPr>
          <w:lang w:eastAsia="en-GB"/>
        </w:rPr>
        <w:t>O based on default IPCC (2006) emission factors for industrial wastes.</w:t>
      </w:r>
    </w:p>
    <w:p w14:paraId="1A3C43B3" w14:textId="77777777" w:rsidR="00D97D6C" w:rsidRPr="001D5327" w:rsidRDefault="00D97D6C" w:rsidP="00BF2A76">
      <w:pPr>
        <w:pStyle w:val="Heading5"/>
        <w:rPr>
          <w:lang w:eastAsia="en-GB"/>
        </w:rPr>
      </w:pPr>
      <w:r w:rsidRPr="001D5327">
        <w:rPr>
          <w:lang w:eastAsia="en-GB"/>
        </w:rPr>
        <w:t>1.A.2.a Iron and steel</w:t>
      </w:r>
    </w:p>
    <w:p w14:paraId="14FDE90C" w14:textId="5547C62D" w:rsidR="00D97D6C" w:rsidRPr="001D5327" w:rsidRDefault="00D97D6C" w:rsidP="00D97D6C">
      <w:pPr>
        <w:pStyle w:val="BodyText"/>
        <w:spacing w:before="100" w:after="100"/>
        <w:rPr>
          <w:rFonts w:cs="Calibri"/>
          <w:lang w:eastAsia="en-GB"/>
        </w:rPr>
      </w:pPr>
      <w:r w:rsidRPr="001D5327">
        <w:rPr>
          <w:rFonts w:cs="Calibri"/>
          <w:lang w:eastAsia="en-GB"/>
        </w:rPr>
        <w:t xml:space="preserve">Activity data for coal used in iron and steel production are reported to MBIE by New Zealand Steel Limited. A considerable amount of coal is used in the production of iron. Most of the coal is used in the direct reduction process to remove oxygen from iron-sand. However, all emissions from the use of coal are included in the IPPU sector because the primary purpose of the coal is to produce iron (IPCC, 2006). A small amount of </w:t>
      </w:r>
      <w:r w:rsidRPr="001D5327">
        <w:rPr>
          <w:rFonts w:cs="Calibri"/>
        </w:rPr>
        <w:t xml:space="preserve">natural </w:t>
      </w:r>
      <w:r w:rsidRPr="001D5327">
        <w:rPr>
          <w:rFonts w:cs="Calibri"/>
          <w:lang w:eastAsia="en-GB"/>
        </w:rPr>
        <w:t xml:space="preserve">gas is used in the production of iron and steel to provide energy for the process: this is reported under the Energy sector in </w:t>
      </w:r>
      <w:r w:rsidR="00A54002" w:rsidRPr="001D5327">
        <w:rPr>
          <w:rFonts w:cs="Calibri"/>
          <w:lang w:eastAsia="en-GB"/>
        </w:rPr>
        <w:t xml:space="preserve">category </w:t>
      </w:r>
      <w:r w:rsidRPr="001D5327">
        <w:rPr>
          <w:rFonts w:cs="Calibri"/>
          <w:lang w:eastAsia="en-GB"/>
        </w:rPr>
        <w:t xml:space="preserve">1.A.2.a </w:t>
      </w:r>
      <w:r w:rsidRPr="001D5327">
        <w:rPr>
          <w:rFonts w:cs="Calibri"/>
          <w:i/>
          <w:lang w:eastAsia="en-GB"/>
        </w:rPr>
        <w:t>Iron and steel</w:t>
      </w:r>
      <w:r w:rsidRPr="001D5327">
        <w:rPr>
          <w:rFonts w:cs="Calibri"/>
          <w:lang w:eastAsia="en-GB"/>
        </w:rPr>
        <w:t>.</w:t>
      </w:r>
    </w:p>
    <w:p w14:paraId="6BE21B9E" w14:textId="77777777" w:rsidR="00D97D6C" w:rsidRPr="001D5327" w:rsidRDefault="00D97D6C" w:rsidP="00BF2A76">
      <w:pPr>
        <w:pStyle w:val="Heading5"/>
        <w:rPr>
          <w:lang w:eastAsia="en-GB"/>
        </w:rPr>
      </w:pPr>
      <w:r w:rsidRPr="001D5327">
        <w:rPr>
          <w:lang w:eastAsia="en-GB"/>
        </w:rPr>
        <w:t>1.A.2.c Chemicals</w:t>
      </w:r>
    </w:p>
    <w:p w14:paraId="5C4A6752" w14:textId="77777777" w:rsidR="00D97D6C" w:rsidRPr="001D5327" w:rsidRDefault="00D97D6C" w:rsidP="00D97D6C">
      <w:pPr>
        <w:pStyle w:val="BodyText"/>
        <w:spacing w:after="100"/>
        <w:rPr>
          <w:lang w:eastAsia="en-GB"/>
        </w:rPr>
      </w:pPr>
      <w:r w:rsidRPr="001D5327">
        <w:rPr>
          <w:lang w:eastAsia="en-GB"/>
        </w:rPr>
        <w:t xml:space="preserve">The </w:t>
      </w:r>
      <w:r w:rsidRPr="001D5327">
        <w:rPr>
          <w:i/>
          <w:lang w:eastAsia="en-GB"/>
        </w:rPr>
        <w:t>Chemicals</w:t>
      </w:r>
      <w:r w:rsidRPr="001D5327">
        <w:rPr>
          <w:lang w:eastAsia="en-GB"/>
        </w:rPr>
        <w:t xml:space="preserve"> category includes estimates from the following </w:t>
      </w:r>
      <w:r w:rsidRPr="001D5327">
        <w:t>sub</w:t>
      </w:r>
      <w:r w:rsidRPr="001D5327">
        <w:rPr>
          <w:lang w:eastAsia="en-GB"/>
        </w:rPr>
        <w:t>-industries:</w:t>
      </w:r>
    </w:p>
    <w:p w14:paraId="2D6A966C" w14:textId="77777777" w:rsidR="00D97D6C" w:rsidRPr="001D5327" w:rsidRDefault="00D97D6C" w:rsidP="00D97D6C">
      <w:pPr>
        <w:pStyle w:val="Bullet"/>
        <w:spacing w:after="100"/>
      </w:pPr>
      <w:r w:rsidRPr="001D5327">
        <w:t>industrial gases and synthetic resin</w:t>
      </w:r>
    </w:p>
    <w:p w14:paraId="6D197AB5" w14:textId="77777777" w:rsidR="00D97D6C" w:rsidRPr="001D5327" w:rsidRDefault="00D97D6C" w:rsidP="00D97D6C">
      <w:pPr>
        <w:pStyle w:val="Bullet"/>
        <w:spacing w:after="100"/>
      </w:pPr>
      <w:r w:rsidRPr="001D5327">
        <w:t>organic industrial chemicals</w:t>
      </w:r>
    </w:p>
    <w:p w14:paraId="05856AEB" w14:textId="77777777" w:rsidR="00D97D6C" w:rsidRPr="001D5327" w:rsidRDefault="00D97D6C" w:rsidP="00D97D6C">
      <w:pPr>
        <w:pStyle w:val="Bullet"/>
        <w:spacing w:after="100"/>
      </w:pPr>
      <w:r w:rsidRPr="001D5327">
        <w:t>inorganic industrial chemicals, other chemical production, rubber and plastic products.</w:t>
      </w:r>
    </w:p>
    <w:p w14:paraId="6A6361E8" w14:textId="44700E1E" w:rsidR="00D97D6C" w:rsidRPr="001D5327" w:rsidRDefault="00D97D6C" w:rsidP="00D97D6C">
      <w:pPr>
        <w:pStyle w:val="BodyText"/>
        <w:spacing w:after="100"/>
      </w:pPr>
      <w:r w:rsidRPr="001D5327">
        <w:t xml:space="preserve">The quantity of natural gas used for the production of methanol and ammonia (and, subsequently, urea) has been split into feedstock gas (which is included in 2.B.8.a </w:t>
      </w:r>
      <w:r w:rsidR="6DA35289" w:rsidRPr="001D5327">
        <w:t xml:space="preserve">for methanol </w:t>
      </w:r>
      <w:r w:rsidRPr="001D5327">
        <w:t>and 2.B.1 </w:t>
      </w:r>
      <w:r w:rsidR="504B9C45" w:rsidRPr="001D5327">
        <w:t>for ammonia</w:t>
      </w:r>
      <w:r w:rsidRPr="001D5327">
        <w:t xml:space="preserve">) and energy-use gas (which is included in </w:t>
      </w:r>
      <w:r w:rsidR="00A54002" w:rsidRPr="001D5327">
        <w:t xml:space="preserve">category </w:t>
      </w:r>
      <w:r w:rsidRPr="001D5327">
        <w:t xml:space="preserve">1.A.2.c </w:t>
      </w:r>
      <w:r w:rsidRPr="001D5327">
        <w:rPr>
          <w:i/>
          <w:iCs/>
        </w:rPr>
        <w:t>Chemicals</w:t>
      </w:r>
      <w:r w:rsidRPr="001D5327">
        <w:t>). Further details are included in chapter 4 (IPPU sector).</w:t>
      </w:r>
    </w:p>
    <w:p w14:paraId="01AFE564" w14:textId="382AD8E4" w:rsidR="00D97D6C" w:rsidRPr="001D5327" w:rsidRDefault="00D97D6C" w:rsidP="00D97D6C">
      <w:pPr>
        <w:pStyle w:val="BodyText"/>
        <w:spacing w:after="100"/>
      </w:pPr>
      <w:r w:rsidRPr="001D5327">
        <w:t xml:space="preserve">Activity data for methanol production are supplied directly by Methanex New Zealand. Until 2004, methanol was produced at two plants by Methanex New Zealand. In November 2004, production at the Motunui plant was halted and the plant re-opened in late 2008. </w:t>
      </w:r>
      <w:r w:rsidR="00966DAC" w:rsidRPr="001D5327">
        <w:rPr>
          <w:rFonts w:cs="Calibri"/>
        </w:rPr>
        <w:t>The Waitara</w:t>
      </w:r>
      <w:r w:rsidR="00DB1790" w:rsidRPr="001D5327">
        <w:rPr>
          <w:rFonts w:cs="Calibri"/>
        </w:rPr>
        <w:t> </w:t>
      </w:r>
      <w:r w:rsidR="00966DAC" w:rsidRPr="001D5327">
        <w:rPr>
          <w:rFonts w:cs="Calibri"/>
        </w:rPr>
        <w:t xml:space="preserve">Valley plant was mothballed in early 2021. </w:t>
      </w:r>
      <w:r w:rsidRPr="001D5327">
        <w:t>Methanex New Zealand exports most of</w:t>
      </w:r>
      <w:r w:rsidR="007B3DB0" w:rsidRPr="001D5327">
        <w:t> </w:t>
      </w:r>
      <w:r w:rsidRPr="001D5327">
        <w:t>this methanol.</w:t>
      </w:r>
    </w:p>
    <w:p w14:paraId="53FFD437" w14:textId="77777777" w:rsidR="00D97D6C" w:rsidRPr="001D5327" w:rsidRDefault="00D97D6C" w:rsidP="00D97D6C">
      <w:pPr>
        <w:pStyle w:val="BodyText"/>
        <w:spacing w:after="100"/>
      </w:pPr>
      <w:r w:rsidRPr="001D5327">
        <w:t xml:space="preserve">Methanex is the sole methanol producer in New Zealand and considers its natural gas </w:t>
      </w:r>
      <w:r w:rsidRPr="001D5327">
        <w:rPr>
          <w:spacing w:val="-2"/>
        </w:rPr>
        <w:t xml:space="preserve">consumption to be commercially sensitive information. </w:t>
      </w:r>
      <w:r w:rsidRPr="001D5327">
        <w:rPr>
          <w:spacing w:val="-2"/>
          <w:lang w:eastAsia="en-GB"/>
        </w:rPr>
        <w:t>New Zealand</w:t>
      </w:r>
      <w:r w:rsidRPr="001D5327">
        <w:rPr>
          <w:spacing w:val="-2"/>
        </w:rPr>
        <w:t xml:space="preserve"> takes a Tier 2 (IPCC, 2006</w:t>
      </w:r>
      <w:r w:rsidRPr="001D5327">
        <w:t xml:space="preserve">) approach to estimating emissions from methanol production. This approach uses natural gas consumption at the plant along with country- and field-specific emission factors to calculate potential emissions before deducting the carbon sequestered in the end product. </w:t>
      </w:r>
    </w:p>
    <w:p w14:paraId="187D263D" w14:textId="77777777" w:rsidR="00D97D6C" w:rsidRPr="001D5327" w:rsidRDefault="00D97D6C" w:rsidP="00D97D6C">
      <w:pPr>
        <w:pStyle w:val="BodyText"/>
      </w:pPr>
      <w:r w:rsidRPr="001D5327">
        <w:t>The major non-fuel-related emissions from the methanol process are CH</w:t>
      </w:r>
      <w:r w:rsidRPr="001D5327">
        <w:rPr>
          <w:vertAlign w:val="subscript"/>
        </w:rPr>
        <w:t>4</w:t>
      </w:r>
      <w:r w:rsidRPr="001D5327">
        <w:t xml:space="preserve"> (reported under the IPPU sector) and non-methane volatile organic compounds.</w:t>
      </w:r>
    </w:p>
    <w:p w14:paraId="1430BDFE" w14:textId="12E51644" w:rsidR="00D97D6C" w:rsidRPr="001D5327" w:rsidRDefault="00D97D6C" w:rsidP="00D97D6C">
      <w:pPr>
        <w:pStyle w:val="BodyText"/>
      </w:pPr>
      <w:r w:rsidRPr="001D5327">
        <w:t xml:space="preserve">Superphosphate fertiliser is commonly used in </w:t>
      </w:r>
      <w:r w:rsidRPr="001D5327">
        <w:rPr>
          <w:rFonts w:cs="Calibri"/>
          <w:lang w:eastAsia="en-GB"/>
        </w:rPr>
        <w:t>New Zealand</w:t>
      </w:r>
      <w:r w:rsidRPr="001D5327">
        <w:t xml:space="preserve"> to ensure that soil has a sufficiently high phosphorous content. It is manufactured from the reaction between sulphuric acid and phosphate rock.</w:t>
      </w:r>
      <w:r w:rsidRPr="001D5327">
        <w:rPr>
          <w:rStyle w:val="FootnoteReference"/>
          <w:rFonts w:cs="Calibri"/>
        </w:rPr>
        <w:footnoteReference w:id="21"/>
      </w:r>
      <w:r w:rsidRPr="001D5327">
        <w:t xml:space="preserve"> During the process, the heat generated by the exothermic reaction between molten sulphur and oxygen is recovered in a waste-heat boiler to produce steam that is then used for process heating and to drive a steam turbine that produces electricity. The electricity is used on site and </w:t>
      </w:r>
      <w:r w:rsidRPr="001D5327">
        <w:rPr>
          <w:bCs/>
        </w:rPr>
        <w:t>generally</w:t>
      </w:r>
      <w:r w:rsidRPr="001D5327">
        <w:t xml:space="preserve"> any excess is exported to the local power supplier.</w:t>
      </w:r>
      <w:r w:rsidR="00304B0B" w:rsidRPr="001D5327">
        <w:t xml:space="preserve"> </w:t>
      </w:r>
      <w:r w:rsidR="00357EF9" w:rsidRPr="001D5327">
        <w:lastRenderedPageBreak/>
        <w:t>Because</w:t>
      </w:r>
      <w:r w:rsidR="00304B0B" w:rsidRPr="001D5327">
        <w:t xml:space="preserve"> the exothermic reaction is not based on the combustion of fossil fuels, there are no associated emissions to report in the Energy sector.</w:t>
      </w:r>
    </w:p>
    <w:p w14:paraId="2CF565DB" w14:textId="77777777" w:rsidR="00D97D6C" w:rsidRPr="001D5327" w:rsidRDefault="00D97D6C" w:rsidP="00BF2A76">
      <w:pPr>
        <w:pStyle w:val="Heading5"/>
        <w:rPr>
          <w:lang w:eastAsia="en-GB"/>
        </w:rPr>
      </w:pPr>
      <w:r w:rsidRPr="001D5327">
        <w:rPr>
          <w:lang w:eastAsia="en-GB"/>
        </w:rPr>
        <w:t>On-site electricity generation</w:t>
      </w:r>
    </w:p>
    <w:p w14:paraId="5D515F51" w14:textId="77777777" w:rsidR="00D97D6C" w:rsidRPr="001D5327" w:rsidRDefault="00D97D6C" w:rsidP="00D97D6C">
      <w:pPr>
        <w:pStyle w:val="BodyText"/>
        <w:rPr>
          <w:lang w:eastAsia="en-GB"/>
        </w:rPr>
      </w:pPr>
      <w:r w:rsidRPr="001D5327">
        <w:rPr>
          <w:lang w:eastAsia="en-GB"/>
        </w:rPr>
        <w:t xml:space="preserve">As mentioned in section </w:t>
      </w:r>
      <w:r w:rsidRPr="001D5327">
        <w:t>3.2.2</w:t>
      </w:r>
      <w:r w:rsidRPr="001D5327">
        <w:rPr>
          <w:lang w:eastAsia="en-GB"/>
        </w:rPr>
        <w:t xml:space="preserve">, on-site </w:t>
      </w:r>
      <w:r w:rsidRPr="001D5327">
        <w:t>electricity</w:t>
      </w:r>
      <w:r w:rsidRPr="001D5327">
        <w:rPr>
          <w:lang w:eastAsia="en-GB"/>
        </w:rPr>
        <w:t xml:space="preserve"> generation is allocated to either the </w:t>
      </w:r>
      <w:r w:rsidRPr="001D5327">
        <w:rPr>
          <w:i/>
          <w:lang w:eastAsia="en-GB"/>
        </w:rPr>
        <w:t>Public electricity and heat production</w:t>
      </w:r>
      <w:r w:rsidRPr="001D5327">
        <w:rPr>
          <w:lang w:eastAsia="en-GB"/>
        </w:rPr>
        <w:t xml:space="preserve"> category or the sector in which the associated plant operates, using the decision tree shown in figure</w:t>
      </w:r>
      <w:r w:rsidRPr="001D5327">
        <w:t xml:space="preserve"> 3.2.7</w:t>
      </w:r>
      <w:r w:rsidRPr="001D5327">
        <w:rPr>
          <w:lang w:eastAsia="en-GB"/>
        </w:rPr>
        <w:t xml:space="preserve">. </w:t>
      </w:r>
    </w:p>
    <w:p w14:paraId="15C2A1B0" w14:textId="039ACAB9" w:rsidR="00D97D6C" w:rsidRPr="001D5327" w:rsidRDefault="00D97D6C" w:rsidP="00D97D6C">
      <w:pPr>
        <w:pStyle w:val="Heading4"/>
        <w:rPr>
          <w:lang w:eastAsia="en-GB"/>
        </w:rPr>
      </w:pPr>
      <w:r w:rsidRPr="001D5327">
        <w:rPr>
          <w:lang w:eastAsia="en-GB"/>
        </w:rPr>
        <w:t>Uncertainty assessment and time-series consistency</w:t>
      </w:r>
    </w:p>
    <w:p w14:paraId="66C188B2" w14:textId="77777777" w:rsidR="00D97D6C" w:rsidRPr="001D5327" w:rsidRDefault="00D97D6C" w:rsidP="00D97D6C">
      <w:pPr>
        <w:pStyle w:val="BodyText"/>
        <w:rPr>
          <w:lang w:eastAsia="en-GB"/>
        </w:rPr>
      </w:pPr>
      <w:r w:rsidRPr="001D5327">
        <w:rPr>
          <w:lang w:eastAsia="en-GB"/>
        </w:rPr>
        <w:t>Uncertainties in emission and activity data estimates are those relevant to the entire Energy sector (annex 5).</w:t>
      </w:r>
    </w:p>
    <w:p w14:paraId="29A5F180" w14:textId="77777777" w:rsidR="00D97D6C" w:rsidRPr="001D5327" w:rsidRDefault="00D97D6C" w:rsidP="00D97D6C">
      <w:pPr>
        <w:pStyle w:val="Heading4"/>
        <w:rPr>
          <w:lang w:eastAsia="en-GB"/>
        </w:rPr>
      </w:pPr>
      <w:r w:rsidRPr="001D5327">
        <w:rPr>
          <w:lang w:eastAsia="en-GB"/>
        </w:rPr>
        <w:t>Category-specific QA/QC and verification</w:t>
      </w:r>
    </w:p>
    <w:p w14:paraId="5E2E975C" w14:textId="77777777" w:rsidR="00D97D6C" w:rsidRPr="001D5327" w:rsidRDefault="00D97D6C" w:rsidP="00D97D6C">
      <w:pPr>
        <w:pStyle w:val="BodyText"/>
        <w:rPr>
          <w:lang w:eastAsia="en-GB"/>
        </w:rPr>
      </w:pPr>
      <w:r w:rsidRPr="001D5327">
        <w:rPr>
          <w:lang w:eastAsia="en-GB"/>
        </w:rPr>
        <w:t xml:space="preserve">In the preparation of this inventory, the </w:t>
      </w:r>
      <w:r w:rsidRPr="001D5327">
        <w:rPr>
          <w:i/>
          <w:lang w:eastAsia="en-GB"/>
        </w:rPr>
        <w:t>Manufacturing industries and construction</w:t>
      </w:r>
      <w:r w:rsidRPr="001D5327">
        <w:rPr>
          <w:lang w:eastAsia="en-GB"/>
        </w:rPr>
        <w:t xml:space="preserve"> category underwent Tier 1 quality-assurance and quality-control checks, as recommended in the 2006 IPCC Guidelines. These include regular control sums </w:t>
      </w:r>
      <w:r w:rsidRPr="001D5327">
        <w:t>throughout</w:t>
      </w:r>
      <w:r w:rsidRPr="001D5327">
        <w:rPr>
          <w:lang w:eastAsia="en-GB"/>
        </w:rPr>
        <w:t xml:space="preserve"> systems, to verify system integrity, and time-series consistency checks.</w:t>
      </w:r>
    </w:p>
    <w:p w14:paraId="3C7198C9" w14:textId="77777777" w:rsidR="00D97D6C" w:rsidRPr="001D5327" w:rsidRDefault="00D97D6C" w:rsidP="00D97D6C">
      <w:pPr>
        <w:pStyle w:val="Heading4"/>
        <w:rPr>
          <w:lang w:eastAsia="en-GB"/>
        </w:rPr>
      </w:pPr>
      <w:r w:rsidRPr="001D5327">
        <w:rPr>
          <w:lang w:eastAsia="en-GB"/>
        </w:rPr>
        <w:t>Category-specific recalculations</w:t>
      </w:r>
    </w:p>
    <w:p w14:paraId="6CFF343A" w14:textId="77777777" w:rsidR="00D97D6C" w:rsidRPr="001D5327" w:rsidRDefault="00D97D6C" w:rsidP="00D97D6C">
      <w:pPr>
        <w:pStyle w:val="BodyText"/>
        <w:rPr>
          <w:lang w:eastAsia="en-GB"/>
        </w:rPr>
      </w:pPr>
      <w:r w:rsidRPr="001D5327">
        <w:rPr>
          <w:lang w:eastAsia="en-GB"/>
        </w:rPr>
        <w:t xml:space="preserve">Historical energy demand data in the national energy balance tables are occasionally revised from year to year. This may result in minor revisions to activity data and recalculations to the corresponding emissions for some years in some categories. </w:t>
      </w:r>
    </w:p>
    <w:p w14:paraId="17AD97F9" w14:textId="73ED870D" w:rsidR="00DC0939" w:rsidRPr="001D5327" w:rsidRDefault="00D97D6C" w:rsidP="00D97D6C">
      <w:pPr>
        <w:pStyle w:val="Heading4"/>
        <w:rPr>
          <w:lang w:eastAsia="en-GB"/>
        </w:rPr>
      </w:pPr>
      <w:r w:rsidRPr="001D5327">
        <w:rPr>
          <w:lang w:eastAsia="en-GB"/>
        </w:rPr>
        <w:t>Category-specific planned improvements</w:t>
      </w:r>
    </w:p>
    <w:p w14:paraId="4DA0A68E" w14:textId="77777777" w:rsidR="008F2FFF" w:rsidRPr="001D5327" w:rsidRDefault="008F2FFF" w:rsidP="008F2FFF">
      <w:pPr>
        <w:pStyle w:val="BodyText"/>
        <w:rPr>
          <w:rFonts w:cs="Calibri"/>
          <w:lang w:eastAsia="en-GB"/>
        </w:rPr>
      </w:pPr>
      <w:r w:rsidRPr="001D5327">
        <w:rPr>
          <w:rFonts w:cs="Calibri"/>
          <w:lang w:eastAsia="en-GB"/>
        </w:rPr>
        <w:t>There are no planned improvements for this category.</w:t>
      </w:r>
    </w:p>
    <w:p w14:paraId="7F1608E3" w14:textId="6A98AFE0" w:rsidR="00D97D6C" w:rsidRPr="001D5327" w:rsidRDefault="00D97D6C" w:rsidP="00CF77F4">
      <w:pPr>
        <w:pStyle w:val="Heading3"/>
      </w:pPr>
      <w:r w:rsidRPr="001D5327">
        <w:t>3.2.9</w:t>
      </w:r>
      <w:r w:rsidR="00363D10" w:rsidRPr="001D5327">
        <w:tab/>
      </w:r>
      <w:r w:rsidRPr="001D5327">
        <w:t>Fuel combustion: Transport (CRT 1.A.3)</w:t>
      </w:r>
    </w:p>
    <w:p w14:paraId="0B5FFBF5" w14:textId="77777777" w:rsidR="00D97D6C" w:rsidRPr="001D5327" w:rsidRDefault="00D97D6C" w:rsidP="00D97D6C">
      <w:pPr>
        <w:pStyle w:val="Heading4"/>
      </w:pPr>
      <w:r w:rsidRPr="001D5327">
        <w:t>Category description</w:t>
      </w:r>
    </w:p>
    <w:p w14:paraId="7C51937B" w14:textId="77777777" w:rsidR="00D97D6C" w:rsidRPr="001D5327" w:rsidRDefault="00D97D6C" w:rsidP="00D97D6C">
      <w:pPr>
        <w:pStyle w:val="BodyText"/>
        <w:rPr>
          <w:lang w:eastAsia="en-GB"/>
        </w:rPr>
      </w:pPr>
      <w:r w:rsidRPr="001D5327">
        <w:rPr>
          <w:lang w:eastAsia="en-GB"/>
        </w:rPr>
        <w:t xml:space="preserve">This category includes emissions from fuels </w:t>
      </w:r>
      <w:r w:rsidRPr="001D5327">
        <w:t>combusted</w:t>
      </w:r>
      <w:r w:rsidRPr="001D5327">
        <w:rPr>
          <w:lang w:eastAsia="en-GB"/>
        </w:rPr>
        <w:t xml:space="preserve"> during domestic transportation, such as civil aviation, road, rail and domestic marine transport. Emissions from international marine and aviation bunkers are reported as memo items and are not included in </w:t>
      </w:r>
      <w:r w:rsidRPr="001D5327">
        <w:rPr>
          <w:rFonts w:cs="Calibri"/>
          <w:lang w:eastAsia="en-GB"/>
        </w:rPr>
        <w:t>New Zealand’s</w:t>
      </w:r>
      <w:r w:rsidRPr="001D5327">
        <w:rPr>
          <w:lang w:eastAsia="en-GB"/>
        </w:rPr>
        <w:t xml:space="preserve"> total emissions.</w:t>
      </w:r>
    </w:p>
    <w:p w14:paraId="6093DFB3" w14:textId="4E40ECA4" w:rsidR="00D97D6C" w:rsidRPr="001D5327" w:rsidRDefault="00D97D6C" w:rsidP="00D97D6C">
      <w:pPr>
        <w:pStyle w:val="BodyText"/>
      </w:pPr>
      <w:r w:rsidRPr="001D5327">
        <w:rPr>
          <w:rFonts w:cs="Calibri"/>
          <w:lang w:eastAsia="en-GB"/>
        </w:rPr>
        <w:t xml:space="preserve">In </w:t>
      </w:r>
      <w:r w:rsidR="00704343" w:rsidRPr="001D5327">
        <w:rPr>
          <w:rFonts w:cs="Calibri"/>
        </w:rPr>
        <w:t>2023</w:t>
      </w:r>
      <w:r w:rsidRPr="001D5327">
        <w:rPr>
          <w:rFonts w:cs="Calibri"/>
          <w:lang w:eastAsia="en-GB"/>
        </w:rPr>
        <w:t xml:space="preserve">, category 1.A.3 </w:t>
      </w:r>
      <w:r w:rsidRPr="001D5327">
        <w:rPr>
          <w:rFonts w:cs="Calibri"/>
          <w:i/>
          <w:lang w:eastAsia="en-GB"/>
        </w:rPr>
        <w:t>Transport</w:t>
      </w:r>
      <w:r w:rsidRPr="001D5327">
        <w:rPr>
          <w:rFonts w:cs="Calibri"/>
          <w:lang w:eastAsia="en-GB"/>
        </w:rPr>
        <w:t xml:space="preserve"> was responsible for </w:t>
      </w:r>
      <w:r w:rsidR="00A15F88" w:rsidRPr="001D5327">
        <w:rPr>
          <w:rFonts w:cs="Calibri"/>
          <w:lang w:eastAsia="en-GB"/>
        </w:rPr>
        <w:t>14,155.6</w:t>
      </w:r>
      <w:r w:rsidRPr="001D5327">
        <w:rPr>
          <w:rFonts w:cs="Calibri"/>
        </w:rPr>
        <w:t xml:space="preserve"> </w:t>
      </w:r>
      <w:r w:rsidRPr="001D5327">
        <w:rPr>
          <w:rFonts w:cs="Calibri"/>
          <w:lang w:eastAsia="en-GB"/>
        </w:rPr>
        <w:t>kt CO</w:t>
      </w:r>
      <w:r w:rsidRPr="001D5327">
        <w:rPr>
          <w:rFonts w:cs="Calibri"/>
          <w:vertAlign w:val="subscript"/>
          <w:lang w:eastAsia="en-GB"/>
        </w:rPr>
        <w:t>2</w:t>
      </w:r>
      <w:r w:rsidRPr="001D5327">
        <w:rPr>
          <w:rFonts w:cs="Calibri"/>
          <w:lang w:eastAsia="en-GB"/>
        </w:rPr>
        <w:t>-e (</w:t>
      </w:r>
      <w:r w:rsidR="00A15F88" w:rsidRPr="001D5327">
        <w:rPr>
          <w:rFonts w:cs="Calibri"/>
          <w:lang w:eastAsia="en-GB"/>
        </w:rPr>
        <w:t>49.</w:t>
      </w:r>
      <w:r w:rsidR="00EA626B" w:rsidRPr="001D5327">
        <w:rPr>
          <w:rFonts w:cs="Calibri"/>
          <w:lang w:eastAsia="en-GB"/>
        </w:rPr>
        <w:t>1</w:t>
      </w:r>
      <w:r w:rsidRPr="001D5327">
        <w:rPr>
          <w:rFonts w:cs="Calibri"/>
          <w:lang w:eastAsia="en-GB"/>
        </w:rPr>
        <w:t xml:space="preserve"> </w:t>
      </w:r>
      <w:r w:rsidRPr="001D5327">
        <w:rPr>
          <w:rFonts w:cs="Calibri"/>
        </w:rPr>
        <w:t>per cent</w:t>
      </w:r>
      <w:r w:rsidRPr="001D5327">
        <w:rPr>
          <w:rFonts w:cs="Calibri"/>
          <w:lang w:eastAsia="en-GB"/>
        </w:rPr>
        <w:t xml:space="preserve"> of emissions from the Energy sector). The transport emissions profile in </w:t>
      </w:r>
      <w:r w:rsidR="00704343" w:rsidRPr="001D5327">
        <w:rPr>
          <w:rFonts w:cs="Calibri"/>
        </w:rPr>
        <w:t>2023</w:t>
      </w:r>
      <w:r w:rsidRPr="001D5327">
        <w:rPr>
          <w:rFonts w:cs="Calibri"/>
          <w:lang w:eastAsia="en-GB"/>
        </w:rPr>
        <w:t xml:space="preserve"> was dominated by emissions from category 1.A.3.b </w:t>
      </w:r>
      <w:r w:rsidRPr="001D5327">
        <w:rPr>
          <w:rFonts w:cs="Calibri"/>
          <w:i/>
          <w:lang w:eastAsia="en-GB"/>
        </w:rPr>
        <w:t>Road transportation</w:t>
      </w:r>
      <w:r w:rsidRPr="001D5327">
        <w:rPr>
          <w:rFonts w:cs="Calibri"/>
          <w:lang w:eastAsia="en-GB"/>
        </w:rPr>
        <w:t xml:space="preserve">, which accounted for </w:t>
      </w:r>
      <w:r w:rsidR="00A15F88" w:rsidRPr="001D5327">
        <w:rPr>
          <w:rFonts w:cs="Calibri"/>
          <w:lang w:eastAsia="en-GB"/>
        </w:rPr>
        <w:t>12,599.8</w:t>
      </w:r>
      <w:r w:rsidRPr="001D5327">
        <w:rPr>
          <w:rFonts w:cs="Calibri"/>
        </w:rPr>
        <w:t> </w:t>
      </w:r>
      <w:r w:rsidRPr="001D5327">
        <w:rPr>
          <w:rFonts w:cs="Calibri"/>
          <w:lang w:eastAsia="en-GB"/>
        </w:rPr>
        <w:t>kt CO</w:t>
      </w:r>
      <w:r w:rsidRPr="001D5327">
        <w:rPr>
          <w:rFonts w:cs="Calibri"/>
          <w:vertAlign w:val="subscript"/>
          <w:lang w:eastAsia="en-GB"/>
        </w:rPr>
        <w:t>2</w:t>
      </w:r>
      <w:r w:rsidRPr="001D5327">
        <w:rPr>
          <w:rFonts w:cs="Calibri"/>
          <w:lang w:eastAsia="en-GB"/>
        </w:rPr>
        <w:t>-e (</w:t>
      </w:r>
      <w:r w:rsidR="00A15F88" w:rsidRPr="001D5327">
        <w:rPr>
          <w:rFonts w:cs="Calibri"/>
          <w:lang w:eastAsia="en-GB"/>
        </w:rPr>
        <w:t>89.0</w:t>
      </w:r>
      <w:r w:rsidRPr="001D5327">
        <w:rPr>
          <w:rFonts w:cs="Calibri"/>
        </w:rPr>
        <w:t> per cent</w:t>
      </w:r>
      <w:r w:rsidRPr="001D5327">
        <w:rPr>
          <w:rFonts w:cs="Calibri"/>
          <w:lang w:eastAsia="en-GB"/>
        </w:rPr>
        <w:t>) of total transport emissions</w:t>
      </w:r>
      <w:r w:rsidR="00EA626B" w:rsidRPr="001D5327">
        <w:rPr>
          <w:rFonts w:cs="Calibri"/>
          <w:lang w:eastAsia="en-GB"/>
        </w:rPr>
        <w:t>.</w:t>
      </w:r>
      <w:r w:rsidRPr="001D5327">
        <w:rPr>
          <w:rFonts w:cs="Calibri"/>
          <w:lang w:eastAsia="en-GB"/>
        </w:rPr>
        <w:t xml:space="preserve"> </w:t>
      </w:r>
    </w:p>
    <w:p w14:paraId="0355721A" w14:textId="1D8C186E" w:rsidR="00EA626B" w:rsidRPr="001D5327" w:rsidRDefault="00EA626B" w:rsidP="00EA626B">
      <w:pPr>
        <w:pStyle w:val="Heading4"/>
        <w:rPr>
          <w:lang w:eastAsia="en-GB"/>
        </w:rPr>
      </w:pPr>
      <w:r w:rsidRPr="001D5327">
        <w:rPr>
          <w:lang w:eastAsia="en-GB"/>
        </w:rPr>
        <w:t xml:space="preserve">Changes in emissions between 1990 and </w:t>
      </w:r>
      <w:r w:rsidRPr="001D5327">
        <w:t>2023</w:t>
      </w:r>
    </w:p>
    <w:p w14:paraId="5670C22D" w14:textId="6D9D5E74" w:rsidR="00EA626B" w:rsidRPr="001D5327" w:rsidRDefault="00EA626B" w:rsidP="00D97D6C">
      <w:pPr>
        <w:pStyle w:val="BodyText"/>
        <w:rPr>
          <w:rFonts w:cs="Calibri"/>
          <w:lang w:eastAsia="en-GB"/>
        </w:rPr>
      </w:pPr>
      <w:r w:rsidRPr="001D5327">
        <w:rPr>
          <w:rFonts w:cs="Calibri"/>
          <w:spacing w:val="-2"/>
          <w:lang w:eastAsia="en-GB"/>
        </w:rPr>
        <w:t>Emissions in 2023 were 6,032.1</w:t>
      </w:r>
      <w:r w:rsidRPr="001D5327">
        <w:rPr>
          <w:rFonts w:cs="Calibri"/>
          <w:spacing w:val="-2"/>
        </w:rPr>
        <w:t xml:space="preserve"> </w:t>
      </w:r>
      <w:r w:rsidRPr="001D5327">
        <w:rPr>
          <w:rFonts w:cs="Calibri"/>
          <w:spacing w:val="-2"/>
          <w:lang w:eastAsia="en-GB"/>
        </w:rPr>
        <w:t>kt CO</w:t>
      </w:r>
      <w:r w:rsidRPr="001D5327">
        <w:rPr>
          <w:rFonts w:cs="Calibri"/>
          <w:spacing w:val="-2"/>
          <w:vertAlign w:val="subscript"/>
          <w:lang w:eastAsia="en-GB"/>
        </w:rPr>
        <w:t>2</w:t>
      </w:r>
      <w:r w:rsidRPr="001D5327">
        <w:rPr>
          <w:rFonts w:cs="Calibri"/>
          <w:spacing w:val="-2"/>
          <w:lang w:eastAsia="en-GB"/>
        </w:rPr>
        <w:t>-e (74.3</w:t>
      </w:r>
      <w:r w:rsidRPr="001D5327">
        <w:rPr>
          <w:rFonts w:cs="Calibri"/>
          <w:spacing w:val="-2"/>
        </w:rPr>
        <w:t xml:space="preserve"> per cent</w:t>
      </w:r>
      <w:r w:rsidRPr="001D5327">
        <w:rPr>
          <w:rFonts w:cs="Calibri"/>
          <w:spacing w:val="-2"/>
          <w:lang w:eastAsia="en-GB"/>
        </w:rPr>
        <w:t xml:space="preserve">) higher than the </w:t>
      </w:r>
      <w:r w:rsidRPr="001D5327">
        <w:rPr>
          <w:rFonts w:cs="Calibri"/>
          <w:spacing w:val="-2"/>
        </w:rPr>
        <w:t xml:space="preserve">8,123.5 </w:t>
      </w:r>
      <w:r w:rsidRPr="001D5327">
        <w:rPr>
          <w:rFonts w:cs="Calibri"/>
          <w:spacing w:val="-2"/>
          <w:lang w:eastAsia="en-GB"/>
        </w:rPr>
        <w:t>kt CO</w:t>
      </w:r>
      <w:r w:rsidRPr="001D5327">
        <w:rPr>
          <w:rFonts w:cs="Calibri"/>
          <w:spacing w:val="-2"/>
          <w:vertAlign w:val="subscript"/>
          <w:lang w:eastAsia="en-GB"/>
        </w:rPr>
        <w:t>2</w:t>
      </w:r>
      <w:r w:rsidRPr="001D5327">
        <w:rPr>
          <w:rFonts w:cs="Calibri"/>
          <w:spacing w:val="-2"/>
          <w:lang w:eastAsia="en-GB"/>
        </w:rPr>
        <w:t xml:space="preserve">-e emitted from the transport sector in 1990. Emissions from category 1.A.3.b </w:t>
      </w:r>
      <w:r w:rsidRPr="001D5327">
        <w:rPr>
          <w:rFonts w:cs="Calibri"/>
          <w:i/>
          <w:spacing w:val="-2"/>
          <w:lang w:eastAsia="en-GB"/>
        </w:rPr>
        <w:t>Road transportation</w:t>
      </w:r>
      <w:r w:rsidRPr="001D5327">
        <w:rPr>
          <w:rFonts w:cs="Calibri"/>
          <w:spacing w:val="-2"/>
          <w:lang w:eastAsia="en-GB"/>
        </w:rPr>
        <w:t xml:space="preserve"> have grown by </w:t>
      </w:r>
      <w:r w:rsidRPr="001D5327">
        <w:rPr>
          <w:rFonts w:cs="Calibri"/>
          <w:spacing w:val="-2"/>
        </w:rPr>
        <w:t xml:space="preserve">5,771.3 </w:t>
      </w:r>
      <w:r w:rsidRPr="001D5327">
        <w:rPr>
          <w:rFonts w:cs="Calibri"/>
          <w:spacing w:val="-2"/>
          <w:lang w:eastAsia="en-GB"/>
        </w:rPr>
        <w:t>kt CO</w:t>
      </w:r>
      <w:r w:rsidRPr="001D5327">
        <w:rPr>
          <w:rFonts w:cs="Calibri"/>
          <w:spacing w:val="-2"/>
          <w:vertAlign w:val="subscript"/>
          <w:lang w:eastAsia="en-GB"/>
        </w:rPr>
        <w:t>2</w:t>
      </w:r>
      <w:r w:rsidRPr="001D5327">
        <w:rPr>
          <w:rFonts w:cs="Calibri"/>
          <w:spacing w:val="-2"/>
          <w:lang w:eastAsia="en-GB"/>
        </w:rPr>
        <w:t>-e (</w:t>
      </w:r>
      <w:r w:rsidRPr="001D5327">
        <w:rPr>
          <w:rFonts w:cs="Calibri"/>
          <w:spacing w:val="-2"/>
        </w:rPr>
        <w:t>84.5 per cent</w:t>
      </w:r>
      <w:r w:rsidRPr="001D5327">
        <w:rPr>
          <w:rFonts w:cs="Calibri"/>
          <w:spacing w:val="-2"/>
          <w:lang w:eastAsia="en-GB"/>
        </w:rPr>
        <w:t xml:space="preserve">) since 1990. </w:t>
      </w:r>
      <w:r w:rsidRPr="001D5327">
        <w:rPr>
          <w:spacing w:val="-2"/>
        </w:rPr>
        <w:t>The underlying drivers of this increase are nuanced, but key factors include population growth and increased economic activit</w:t>
      </w:r>
      <w:r w:rsidRPr="001D5327">
        <w:t>y.</w:t>
      </w:r>
    </w:p>
    <w:p w14:paraId="23F9C659" w14:textId="53B937BF" w:rsidR="00D97D6C" w:rsidRPr="001D5327" w:rsidRDefault="00D97D6C" w:rsidP="00D97D6C">
      <w:pPr>
        <w:pStyle w:val="Heading4"/>
        <w:rPr>
          <w:lang w:eastAsia="en-GB"/>
        </w:rPr>
      </w:pPr>
      <w:r w:rsidRPr="001D5327">
        <w:rPr>
          <w:lang w:eastAsia="en-GB"/>
        </w:rPr>
        <w:lastRenderedPageBreak/>
        <w:t xml:space="preserve">Changes in emissions between </w:t>
      </w:r>
      <w:r w:rsidR="00704343" w:rsidRPr="001D5327">
        <w:t>2022</w:t>
      </w:r>
      <w:r w:rsidRPr="001D5327">
        <w:rPr>
          <w:lang w:eastAsia="en-GB"/>
        </w:rPr>
        <w:t xml:space="preserve"> and </w:t>
      </w:r>
      <w:r w:rsidR="00704343" w:rsidRPr="001D5327">
        <w:t>2023</w:t>
      </w:r>
    </w:p>
    <w:p w14:paraId="43886106" w14:textId="7993F356" w:rsidR="00F848B9" w:rsidRPr="001D5327" w:rsidRDefault="00D97D6C" w:rsidP="00F848B9">
      <w:pPr>
        <w:pStyle w:val="BodyText"/>
        <w:rPr>
          <w:rFonts w:cs="Calibri"/>
          <w:lang w:eastAsia="en-GB"/>
        </w:rPr>
      </w:pPr>
      <w:r w:rsidRPr="001D5327">
        <w:rPr>
          <w:rFonts w:cs="Calibri"/>
          <w:lang w:eastAsia="en-GB"/>
        </w:rPr>
        <w:t xml:space="preserve">Between </w:t>
      </w:r>
      <w:r w:rsidR="00704343" w:rsidRPr="001D5327">
        <w:rPr>
          <w:rFonts w:cs="Calibri"/>
        </w:rPr>
        <w:t>2022</w:t>
      </w:r>
      <w:r w:rsidRPr="001D5327">
        <w:rPr>
          <w:rFonts w:cs="Calibri"/>
          <w:lang w:eastAsia="en-GB"/>
        </w:rPr>
        <w:t xml:space="preserve"> and </w:t>
      </w:r>
      <w:r w:rsidR="00704343" w:rsidRPr="001D5327">
        <w:rPr>
          <w:rFonts w:cs="Calibri"/>
        </w:rPr>
        <w:t>2023</w:t>
      </w:r>
      <w:r w:rsidRPr="001D5327">
        <w:rPr>
          <w:rFonts w:cs="Calibri"/>
          <w:lang w:eastAsia="en-GB"/>
        </w:rPr>
        <w:t xml:space="preserve">, emissions from transport </w:t>
      </w:r>
      <w:r w:rsidR="00A15F88" w:rsidRPr="001D5327">
        <w:rPr>
          <w:rFonts w:cs="Calibri"/>
          <w:lang w:eastAsia="en-GB"/>
        </w:rPr>
        <w:t xml:space="preserve">increased </w:t>
      </w:r>
      <w:r w:rsidRPr="001D5327">
        <w:rPr>
          <w:rFonts w:cs="Calibri"/>
          <w:lang w:eastAsia="en-GB"/>
        </w:rPr>
        <w:t xml:space="preserve">by </w:t>
      </w:r>
      <w:r w:rsidR="00A15F88" w:rsidRPr="001D5327">
        <w:rPr>
          <w:rFonts w:cs="Calibri"/>
          <w:lang w:eastAsia="en-GB"/>
        </w:rPr>
        <w:t>469.7</w:t>
      </w:r>
      <w:r w:rsidRPr="001D5327">
        <w:rPr>
          <w:rFonts w:cs="Calibri"/>
        </w:rPr>
        <w:t xml:space="preserve"> </w:t>
      </w:r>
      <w:r w:rsidRPr="001D5327">
        <w:rPr>
          <w:rFonts w:cs="Calibri"/>
          <w:lang w:eastAsia="en-GB"/>
        </w:rPr>
        <w:t>kt CO</w:t>
      </w:r>
      <w:r w:rsidRPr="001D5327">
        <w:rPr>
          <w:rFonts w:cs="Calibri"/>
          <w:vertAlign w:val="subscript"/>
          <w:lang w:eastAsia="en-GB"/>
        </w:rPr>
        <w:t>2</w:t>
      </w:r>
      <w:r w:rsidRPr="001D5327">
        <w:rPr>
          <w:rFonts w:cs="Calibri"/>
          <w:lang w:eastAsia="en-GB"/>
        </w:rPr>
        <w:t>-e (</w:t>
      </w:r>
      <w:r w:rsidR="00A15F88" w:rsidRPr="001D5327">
        <w:rPr>
          <w:rFonts w:cs="Calibri"/>
          <w:lang w:eastAsia="en-GB"/>
        </w:rPr>
        <w:t>3.4</w:t>
      </w:r>
      <w:r w:rsidRPr="001D5327">
        <w:rPr>
          <w:rFonts w:cs="Calibri"/>
        </w:rPr>
        <w:t> per cent</w:t>
      </w:r>
      <w:r w:rsidRPr="001D5327">
        <w:rPr>
          <w:rFonts w:cs="Calibri"/>
          <w:lang w:eastAsia="en-GB"/>
        </w:rPr>
        <w:t>).</w:t>
      </w:r>
      <w:r w:rsidRPr="001D5327" w:rsidDel="004B2054">
        <w:rPr>
          <w:rFonts w:cs="Calibri"/>
          <w:lang w:eastAsia="en-GB"/>
        </w:rPr>
        <w:t xml:space="preserve"> </w:t>
      </w:r>
      <w:r w:rsidRPr="001D5327">
        <w:rPr>
          <w:spacing w:val="-2"/>
        </w:rPr>
        <w:t xml:space="preserve">This is primarily due to </w:t>
      </w:r>
      <w:r w:rsidR="00EA626B" w:rsidRPr="001D5327">
        <w:rPr>
          <w:spacing w:val="-2"/>
        </w:rPr>
        <w:t xml:space="preserve">increases </w:t>
      </w:r>
      <w:r w:rsidRPr="001D5327">
        <w:rPr>
          <w:spacing w:val="-2"/>
        </w:rPr>
        <w:t xml:space="preserve">in </w:t>
      </w:r>
      <w:r w:rsidR="00F848B9" w:rsidRPr="001D5327">
        <w:rPr>
          <w:rFonts w:cs="Calibri"/>
          <w:i/>
          <w:iCs/>
          <w:color w:val="000000"/>
        </w:rPr>
        <w:t>Domestic aviation</w:t>
      </w:r>
      <w:r w:rsidR="00F848B9" w:rsidRPr="001D5327">
        <w:rPr>
          <w:i/>
          <w:spacing w:val="-2"/>
        </w:rPr>
        <w:t xml:space="preserve"> </w:t>
      </w:r>
      <w:r w:rsidR="00F848B9" w:rsidRPr="001D5327">
        <w:rPr>
          <w:iCs/>
          <w:spacing w:val="-2"/>
        </w:rPr>
        <w:t>(up 245.</w:t>
      </w:r>
      <w:r w:rsidR="00300C64" w:rsidRPr="001D5327">
        <w:rPr>
          <w:iCs/>
          <w:spacing w:val="-2"/>
        </w:rPr>
        <w:t>2</w:t>
      </w:r>
      <w:r w:rsidR="00F848B9" w:rsidRPr="001D5327">
        <w:rPr>
          <w:iCs/>
          <w:spacing w:val="-2"/>
        </w:rPr>
        <w:t xml:space="preserve"> </w:t>
      </w:r>
      <w:r w:rsidR="00F848B9" w:rsidRPr="001D5327">
        <w:rPr>
          <w:rFonts w:cs="Calibri"/>
          <w:spacing w:val="-2"/>
        </w:rPr>
        <w:t>kt CO</w:t>
      </w:r>
      <w:r w:rsidR="00F848B9" w:rsidRPr="001D5327">
        <w:rPr>
          <w:rFonts w:cs="Calibri"/>
          <w:spacing w:val="-2"/>
          <w:vertAlign w:val="subscript"/>
        </w:rPr>
        <w:t>2</w:t>
      </w:r>
      <w:r w:rsidR="00F848B9" w:rsidRPr="001D5327">
        <w:rPr>
          <w:rFonts w:cs="Calibri"/>
          <w:spacing w:val="-2"/>
        </w:rPr>
        <w:t>-e or 24.0 per cent</w:t>
      </w:r>
      <w:r w:rsidR="00F848B9" w:rsidRPr="001D5327">
        <w:rPr>
          <w:iCs/>
          <w:spacing w:val="-2"/>
        </w:rPr>
        <w:t>) and</w:t>
      </w:r>
      <w:r w:rsidR="00F848B9" w:rsidRPr="001D5327">
        <w:rPr>
          <w:i/>
          <w:spacing w:val="-2"/>
        </w:rPr>
        <w:t xml:space="preserve"> </w:t>
      </w:r>
      <w:r w:rsidRPr="001D5327">
        <w:rPr>
          <w:i/>
          <w:spacing w:val="-2"/>
        </w:rPr>
        <w:t xml:space="preserve">Road transportation </w:t>
      </w:r>
      <w:r w:rsidRPr="001D5327">
        <w:rPr>
          <w:spacing w:val="-2"/>
        </w:rPr>
        <w:t>(</w:t>
      </w:r>
      <w:r w:rsidR="00F848B9" w:rsidRPr="001D5327">
        <w:rPr>
          <w:spacing w:val="-2"/>
        </w:rPr>
        <w:t>up 233.7</w:t>
      </w:r>
      <w:r w:rsidRPr="001D5327">
        <w:rPr>
          <w:rFonts w:cs="Calibri"/>
          <w:spacing w:val="-2"/>
        </w:rPr>
        <w:t> kt CO</w:t>
      </w:r>
      <w:r w:rsidRPr="001D5327">
        <w:rPr>
          <w:rFonts w:cs="Calibri"/>
          <w:spacing w:val="-2"/>
          <w:vertAlign w:val="subscript"/>
        </w:rPr>
        <w:t>2</w:t>
      </w:r>
      <w:r w:rsidRPr="001D5327">
        <w:rPr>
          <w:rFonts w:cs="Calibri"/>
          <w:spacing w:val="-2"/>
        </w:rPr>
        <w:t>-e or 1.</w:t>
      </w:r>
      <w:r w:rsidR="00F848B9" w:rsidRPr="001D5327">
        <w:rPr>
          <w:rFonts w:cs="Calibri"/>
          <w:spacing w:val="-2"/>
        </w:rPr>
        <w:t>9</w:t>
      </w:r>
      <w:r w:rsidRPr="001D5327">
        <w:rPr>
          <w:rFonts w:cs="Calibri"/>
          <w:spacing w:val="-2"/>
        </w:rPr>
        <w:t> per cent)</w:t>
      </w:r>
      <w:r w:rsidRPr="001D5327">
        <w:rPr>
          <w:rFonts w:cs="Calibri"/>
          <w:color w:val="000000"/>
          <w:spacing w:val="-2"/>
        </w:rPr>
        <w:t>.</w:t>
      </w:r>
      <w:r w:rsidRPr="001D5327">
        <w:rPr>
          <w:rFonts w:cs="Calibri"/>
          <w:color w:val="000000"/>
        </w:rPr>
        <w:t xml:space="preserve"> </w:t>
      </w:r>
      <w:r w:rsidR="00F848B9" w:rsidRPr="001D5327">
        <w:t xml:space="preserve">The </w:t>
      </w:r>
      <w:r w:rsidR="00CA6A39" w:rsidRPr="001D5327">
        <w:t>factors behind</w:t>
      </w:r>
      <w:r w:rsidR="00F848B9" w:rsidRPr="001D5327">
        <w:t xml:space="preserve"> th</w:t>
      </w:r>
      <w:r w:rsidR="0072589D" w:rsidRPr="001D5327">
        <w:t>ese</w:t>
      </w:r>
      <w:r w:rsidR="00F848B9" w:rsidRPr="001D5327">
        <w:t xml:space="preserve"> </w:t>
      </w:r>
      <w:r w:rsidR="00CA6A39" w:rsidRPr="001D5327">
        <w:t>movements vary by mode</w:t>
      </w:r>
      <w:r w:rsidR="00F848B9" w:rsidRPr="001D5327">
        <w:t xml:space="preserve">, but </w:t>
      </w:r>
      <w:r w:rsidR="00CA6A39" w:rsidRPr="001D5327">
        <w:t xml:space="preserve">a </w:t>
      </w:r>
      <w:r w:rsidR="00F848B9" w:rsidRPr="001D5327">
        <w:t xml:space="preserve">key </w:t>
      </w:r>
      <w:r w:rsidR="00CA6A39" w:rsidRPr="001D5327">
        <w:t>contributor is rebounding</w:t>
      </w:r>
      <w:r w:rsidR="00F848B9" w:rsidRPr="001D5327">
        <w:t xml:space="preserve"> activity</w:t>
      </w:r>
      <w:r w:rsidR="00CA6A39" w:rsidRPr="001D5327">
        <w:t xml:space="preserve"> following </w:t>
      </w:r>
      <w:r w:rsidR="008A178C" w:rsidRPr="001D5327">
        <w:t>restrictions on activity and movement</w:t>
      </w:r>
      <w:r w:rsidR="00CA6A39" w:rsidRPr="001D5327">
        <w:t xml:space="preserve"> </w:t>
      </w:r>
      <w:r w:rsidR="008A178C" w:rsidRPr="001D5327">
        <w:t xml:space="preserve">in response to the </w:t>
      </w:r>
      <w:r w:rsidR="00CA6A39" w:rsidRPr="001D5327">
        <w:t>COVID</w:t>
      </w:r>
      <w:r w:rsidR="008A178C" w:rsidRPr="001D5327">
        <w:t>-</w:t>
      </w:r>
      <w:r w:rsidR="00CA6A39" w:rsidRPr="001D5327">
        <w:t>19</w:t>
      </w:r>
      <w:r w:rsidR="008A178C" w:rsidRPr="001D5327">
        <w:t xml:space="preserve"> pandemic</w:t>
      </w:r>
      <w:r w:rsidR="00F848B9" w:rsidRPr="001D5327">
        <w:t>.</w:t>
      </w:r>
    </w:p>
    <w:p w14:paraId="32DC9F61" w14:textId="487B6A90" w:rsidR="00D97D6C" w:rsidRPr="001D5327" w:rsidRDefault="00D97D6C" w:rsidP="00D97D6C">
      <w:pPr>
        <w:pStyle w:val="BodyText"/>
        <w:rPr>
          <w:rFonts w:cs="Calibri"/>
        </w:rPr>
      </w:pPr>
      <w:r w:rsidRPr="001D5327">
        <w:rPr>
          <w:rFonts w:cs="Calibri"/>
        </w:rPr>
        <w:t xml:space="preserve">Key categories identified in the </w:t>
      </w:r>
      <w:r w:rsidR="00704343" w:rsidRPr="001D5327">
        <w:rPr>
          <w:rFonts w:cs="Calibri"/>
        </w:rPr>
        <w:t>2023</w:t>
      </w:r>
      <w:r w:rsidRPr="001D5327">
        <w:rPr>
          <w:rFonts w:cs="Calibri"/>
        </w:rPr>
        <w:t xml:space="preserve"> level and trend assessment for the </w:t>
      </w:r>
      <w:r w:rsidRPr="001D5327">
        <w:rPr>
          <w:rFonts w:cs="Calibri"/>
          <w:i/>
          <w:lang w:eastAsia="en-GB"/>
        </w:rPr>
        <w:t>Transport</w:t>
      </w:r>
      <w:r w:rsidRPr="001D5327">
        <w:rPr>
          <w:rFonts w:cs="Calibri"/>
        </w:rPr>
        <w:t xml:space="preserve"> category are given in table 3.2.6.</w:t>
      </w:r>
    </w:p>
    <w:p w14:paraId="54DB17C4" w14:textId="77777777" w:rsidR="00D97D6C" w:rsidRPr="001D5327" w:rsidRDefault="00D97D6C" w:rsidP="00D97D6C">
      <w:pPr>
        <w:pStyle w:val="Table"/>
      </w:pPr>
      <w:bookmarkStart w:id="334" w:name="_Toc68786410"/>
      <w:bookmarkStart w:id="335" w:name="_Toc164153809"/>
      <w:bookmarkStart w:id="336" w:name="_Toc194241676"/>
      <w:r w:rsidRPr="001D5327">
        <w:t>Table 3.2.6</w:t>
      </w:r>
      <w:r w:rsidRPr="001D5327">
        <w:tab/>
        <w:t xml:space="preserve">Key categories for 1.A.3 </w:t>
      </w:r>
      <w:r w:rsidRPr="001D5327">
        <w:rPr>
          <w:i/>
          <w:iCs/>
        </w:rPr>
        <w:t>Transport</w:t>
      </w:r>
      <w:bookmarkEnd w:id="334"/>
      <w:bookmarkEnd w:id="335"/>
      <w:bookmarkEnd w:id="336"/>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3038"/>
        <w:gridCol w:w="1820"/>
        <w:gridCol w:w="1621"/>
        <w:gridCol w:w="2026"/>
      </w:tblGrid>
      <w:tr w:rsidR="002C4CEF" w:rsidRPr="001D5327" w14:paraId="2A0DCE2C" w14:textId="77777777" w:rsidTr="00DB1790">
        <w:trPr>
          <w:cantSplit/>
          <w:tblHeader/>
        </w:trPr>
        <w:tc>
          <w:tcPr>
            <w:tcW w:w="1786" w:type="pct"/>
            <w:shd w:val="clear" w:color="auto" w:fill="1B556B"/>
            <w:noWrap/>
            <w:vAlign w:val="bottom"/>
            <w:hideMark/>
          </w:tcPr>
          <w:p w14:paraId="742B97A3" w14:textId="2FBD9BB2" w:rsidR="00D97D6C" w:rsidRPr="001D5327" w:rsidRDefault="00986327" w:rsidP="00B55F24">
            <w:pPr>
              <w:pStyle w:val="TableTextBold"/>
              <w:spacing w:before="40" w:after="40"/>
              <w:rPr>
                <w:rFonts w:cs="Calibri"/>
                <w:noProof w:val="0"/>
                <w:color w:val="FFFFFF"/>
              </w:rPr>
            </w:pPr>
            <w:r w:rsidRPr="001D5327">
              <w:rPr>
                <w:rFonts w:cs="Calibri"/>
                <w:noProof w:val="0"/>
                <w:color w:val="FFFFFF"/>
              </w:rPr>
              <w:t>Category</w:t>
            </w:r>
          </w:p>
        </w:tc>
        <w:tc>
          <w:tcPr>
            <w:tcW w:w="1070" w:type="pct"/>
            <w:shd w:val="clear" w:color="auto" w:fill="1B556B"/>
            <w:noWrap/>
            <w:vAlign w:val="bottom"/>
            <w:hideMark/>
          </w:tcPr>
          <w:p w14:paraId="47653576" w14:textId="77777777" w:rsidR="00D97D6C" w:rsidRPr="001D5327" w:rsidRDefault="00D97D6C" w:rsidP="00B55F24">
            <w:pPr>
              <w:pStyle w:val="TableTextBold"/>
              <w:spacing w:before="40" w:after="40"/>
              <w:rPr>
                <w:rFonts w:cs="Calibri"/>
                <w:noProof w:val="0"/>
                <w:color w:val="FFFFFF"/>
              </w:rPr>
            </w:pPr>
            <w:r w:rsidRPr="001D5327">
              <w:rPr>
                <w:rFonts w:cs="Calibri"/>
                <w:noProof w:val="0"/>
                <w:color w:val="FFFFFF"/>
              </w:rPr>
              <w:t>Liquid fuels</w:t>
            </w:r>
          </w:p>
        </w:tc>
        <w:tc>
          <w:tcPr>
            <w:tcW w:w="953" w:type="pct"/>
            <w:shd w:val="clear" w:color="auto" w:fill="1B556B"/>
            <w:vAlign w:val="bottom"/>
            <w:hideMark/>
          </w:tcPr>
          <w:p w14:paraId="10C0C36A" w14:textId="77777777" w:rsidR="00D97D6C" w:rsidRPr="001D5327" w:rsidRDefault="00D97D6C" w:rsidP="00B55F24">
            <w:pPr>
              <w:pStyle w:val="TableTextBold"/>
              <w:spacing w:before="40" w:after="40"/>
              <w:rPr>
                <w:rFonts w:cs="Calibri"/>
                <w:noProof w:val="0"/>
                <w:color w:val="FFFFFF"/>
              </w:rPr>
            </w:pPr>
            <w:r w:rsidRPr="001D5327">
              <w:rPr>
                <w:rFonts w:cs="Calibri"/>
                <w:noProof w:val="0"/>
                <w:color w:val="FFFFFF"/>
              </w:rPr>
              <w:t>Solid fuels</w:t>
            </w:r>
          </w:p>
        </w:tc>
        <w:tc>
          <w:tcPr>
            <w:tcW w:w="1191" w:type="pct"/>
            <w:shd w:val="clear" w:color="auto" w:fill="1B556B"/>
            <w:vAlign w:val="bottom"/>
            <w:hideMark/>
          </w:tcPr>
          <w:p w14:paraId="4E15814A" w14:textId="77777777" w:rsidR="00D97D6C" w:rsidRPr="001D5327" w:rsidRDefault="00D97D6C" w:rsidP="00B55F24">
            <w:pPr>
              <w:pStyle w:val="TableTextBold"/>
              <w:spacing w:before="40" w:after="40"/>
              <w:rPr>
                <w:rFonts w:cs="Calibri"/>
                <w:noProof w:val="0"/>
                <w:color w:val="FFFFFF"/>
              </w:rPr>
            </w:pPr>
            <w:r w:rsidRPr="001D5327">
              <w:rPr>
                <w:rFonts w:cs="Calibri"/>
                <w:noProof w:val="0"/>
                <w:color w:val="FFFFFF"/>
              </w:rPr>
              <w:t>Gaseous fuels</w:t>
            </w:r>
          </w:p>
        </w:tc>
      </w:tr>
      <w:tr w:rsidR="002C4CEF" w:rsidRPr="001D5327" w14:paraId="5CA1409A" w14:textId="77777777" w:rsidTr="00DB1790">
        <w:trPr>
          <w:cantSplit/>
        </w:trPr>
        <w:tc>
          <w:tcPr>
            <w:tcW w:w="1786" w:type="pct"/>
            <w:shd w:val="clear" w:color="auto" w:fill="auto"/>
            <w:noWrap/>
            <w:hideMark/>
          </w:tcPr>
          <w:p w14:paraId="6EAB431A" w14:textId="77777777" w:rsidR="00D97D6C" w:rsidRPr="001D5327" w:rsidRDefault="00D97D6C" w:rsidP="00B55F24">
            <w:pPr>
              <w:pStyle w:val="TableText"/>
              <w:spacing w:before="40" w:after="40"/>
              <w:rPr>
                <w:rFonts w:cs="Calibri"/>
              </w:rPr>
            </w:pPr>
            <w:r w:rsidRPr="001D5327">
              <w:rPr>
                <w:rFonts w:cs="Calibri"/>
              </w:rPr>
              <w:t>Domestic aviation – CO</w:t>
            </w:r>
            <w:r w:rsidRPr="001D5327">
              <w:rPr>
                <w:rFonts w:cs="Calibri"/>
                <w:vertAlign w:val="subscript"/>
              </w:rPr>
              <w:t>2</w:t>
            </w:r>
          </w:p>
        </w:tc>
        <w:tc>
          <w:tcPr>
            <w:tcW w:w="1070" w:type="pct"/>
            <w:shd w:val="clear" w:color="auto" w:fill="auto"/>
            <w:noWrap/>
            <w:hideMark/>
          </w:tcPr>
          <w:p w14:paraId="3B3A2379" w14:textId="77777777" w:rsidR="00D97D6C" w:rsidRPr="001D5327" w:rsidRDefault="00D97D6C" w:rsidP="00B55F24">
            <w:pPr>
              <w:pStyle w:val="TableText"/>
              <w:spacing w:before="40" w:after="40"/>
              <w:rPr>
                <w:rFonts w:cs="Calibri"/>
              </w:rPr>
            </w:pPr>
            <w:r w:rsidRPr="001D5327">
              <w:rPr>
                <w:rFonts w:cs="Calibri"/>
              </w:rPr>
              <w:t>Level, trend</w:t>
            </w:r>
          </w:p>
        </w:tc>
        <w:tc>
          <w:tcPr>
            <w:tcW w:w="953" w:type="pct"/>
            <w:shd w:val="clear" w:color="auto" w:fill="auto"/>
            <w:noWrap/>
            <w:hideMark/>
          </w:tcPr>
          <w:p w14:paraId="406FA981" w14:textId="77777777" w:rsidR="00D97D6C" w:rsidRPr="001D5327" w:rsidRDefault="00D97D6C" w:rsidP="00B55F24">
            <w:pPr>
              <w:pStyle w:val="TableText"/>
              <w:spacing w:before="40" w:after="40"/>
              <w:rPr>
                <w:rFonts w:cs="Calibri"/>
              </w:rPr>
            </w:pPr>
            <w:r w:rsidRPr="001D5327">
              <w:rPr>
                <w:rFonts w:cs="Calibri"/>
              </w:rPr>
              <w:t>–</w:t>
            </w:r>
          </w:p>
        </w:tc>
        <w:tc>
          <w:tcPr>
            <w:tcW w:w="1191" w:type="pct"/>
            <w:shd w:val="clear" w:color="auto" w:fill="auto"/>
            <w:noWrap/>
            <w:hideMark/>
          </w:tcPr>
          <w:p w14:paraId="16C69DD2" w14:textId="77777777" w:rsidR="00D97D6C" w:rsidRPr="001D5327" w:rsidRDefault="00D97D6C" w:rsidP="00B55F24">
            <w:pPr>
              <w:pStyle w:val="TableText"/>
              <w:spacing w:before="40" w:after="40"/>
              <w:rPr>
                <w:rFonts w:cs="Calibri"/>
              </w:rPr>
            </w:pPr>
            <w:r w:rsidRPr="001D5327">
              <w:rPr>
                <w:rFonts w:cs="Calibri"/>
              </w:rPr>
              <w:t>–</w:t>
            </w:r>
          </w:p>
        </w:tc>
      </w:tr>
      <w:tr w:rsidR="002C4CEF" w:rsidRPr="001D5327" w14:paraId="51AF09AD" w14:textId="77777777" w:rsidTr="00DB1790">
        <w:trPr>
          <w:cantSplit/>
        </w:trPr>
        <w:tc>
          <w:tcPr>
            <w:tcW w:w="1786" w:type="pct"/>
            <w:shd w:val="clear" w:color="auto" w:fill="auto"/>
            <w:noWrap/>
            <w:hideMark/>
          </w:tcPr>
          <w:p w14:paraId="31384071" w14:textId="77777777" w:rsidR="00D97D6C" w:rsidRPr="001D5327" w:rsidRDefault="00D97D6C" w:rsidP="00B55F24">
            <w:pPr>
              <w:pStyle w:val="TableText"/>
              <w:spacing w:before="40" w:after="40"/>
              <w:rPr>
                <w:rFonts w:cs="Calibri"/>
              </w:rPr>
            </w:pPr>
            <w:r w:rsidRPr="001D5327">
              <w:rPr>
                <w:rFonts w:cs="Calibri"/>
              </w:rPr>
              <w:t>Road transportation – CO</w:t>
            </w:r>
            <w:r w:rsidRPr="001D5327">
              <w:rPr>
                <w:rFonts w:cs="Calibri"/>
                <w:vertAlign w:val="subscript"/>
              </w:rPr>
              <w:t>2</w:t>
            </w:r>
          </w:p>
        </w:tc>
        <w:tc>
          <w:tcPr>
            <w:tcW w:w="1070" w:type="pct"/>
            <w:shd w:val="clear" w:color="auto" w:fill="auto"/>
            <w:noWrap/>
            <w:hideMark/>
          </w:tcPr>
          <w:p w14:paraId="560D097D" w14:textId="77777777" w:rsidR="00D97D6C" w:rsidRPr="001D5327" w:rsidRDefault="00D97D6C" w:rsidP="00B55F24">
            <w:pPr>
              <w:pStyle w:val="TableText"/>
              <w:spacing w:before="40" w:after="40"/>
              <w:rPr>
                <w:rFonts w:cs="Calibri"/>
              </w:rPr>
            </w:pPr>
            <w:r w:rsidRPr="001D5327">
              <w:rPr>
                <w:rFonts w:cs="Calibri"/>
              </w:rPr>
              <w:t>Level, trend</w:t>
            </w:r>
          </w:p>
        </w:tc>
        <w:tc>
          <w:tcPr>
            <w:tcW w:w="953" w:type="pct"/>
            <w:shd w:val="clear" w:color="auto" w:fill="auto"/>
            <w:noWrap/>
          </w:tcPr>
          <w:p w14:paraId="4D31E377" w14:textId="77777777" w:rsidR="00D97D6C" w:rsidRPr="001D5327" w:rsidRDefault="00D97D6C" w:rsidP="00B55F24">
            <w:pPr>
              <w:pStyle w:val="TableText"/>
              <w:spacing w:before="40" w:after="40"/>
              <w:rPr>
                <w:rFonts w:cs="Calibri"/>
              </w:rPr>
            </w:pPr>
            <w:r w:rsidRPr="001D5327">
              <w:rPr>
                <w:rFonts w:cs="Calibri"/>
              </w:rPr>
              <w:t>–</w:t>
            </w:r>
          </w:p>
        </w:tc>
        <w:tc>
          <w:tcPr>
            <w:tcW w:w="1191" w:type="pct"/>
            <w:shd w:val="clear" w:color="auto" w:fill="auto"/>
            <w:noWrap/>
            <w:hideMark/>
          </w:tcPr>
          <w:p w14:paraId="0DF02B05" w14:textId="77777777" w:rsidR="00D97D6C" w:rsidRPr="001D5327" w:rsidRDefault="00D97D6C" w:rsidP="00B55F24">
            <w:pPr>
              <w:pStyle w:val="TableText"/>
              <w:spacing w:before="40" w:after="40"/>
              <w:rPr>
                <w:rFonts w:cs="Calibri"/>
              </w:rPr>
            </w:pPr>
            <w:r w:rsidRPr="001D5327">
              <w:rPr>
                <w:rFonts w:cs="Calibri"/>
              </w:rPr>
              <w:t>Trend</w:t>
            </w:r>
          </w:p>
        </w:tc>
      </w:tr>
      <w:tr w:rsidR="002C4CEF" w:rsidRPr="001D5327" w14:paraId="01E8EA34" w14:textId="77777777" w:rsidTr="00DB1790">
        <w:trPr>
          <w:cantSplit/>
        </w:trPr>
        <w:tc>
          <w:tcPr>
            <w:tcW w:w="1786" w:type="pct"/>
            <w:shd w:val="clear" w:color="auto" w:fill="auto"/>
            <w:noWrap/>
          </w:tcPr>
          <w:p w14:paraId="431307CA" w14:textId="77777777" w:rsidR="00D97D6C" w:rsidRPr="001D5327" w:rsidRDefault="00D97D6C" w:rsidP="00B55F24">
            <w:pPr>
              <w:pStyle w:val="TableText"/>
              <w:spacing w:before="40" w:after="40"/>
              <w:rPr>
                <w:rFonts w:cs="Calibri"/>
              </w:rPr>
            </w:pPr>
            <w:r w:rsidRPr="001D5327">
              <w:rPr>
                <w:rFonts w:cs="Calibri"/>
              </w:rPr>
              <w:t>Domestic navigation – CO</w:t>
            </w:r>
            <w:r w:rsidRPr="001D5327">
              <w:rPr>
                <w:rFonts w:cs="Calibri"/>
                <w:vertAlign w:val="subscript"/>
              </w:rPr>
              <w:t>2</w:t>
            </w:r>
          </w:p>
        </w:tc>
        <w:tc>
          <w:tcPr>
            <w:tcW w:w="1070" w:type="pct"/>
            <w:shd w:val="clear" w:color="auto" w:fill="auto"/>
            <w:noWrap/>
          </w:tcPr>
          <w:p w14:paraId="4C1EB755" w14:textId="77777777" w:rsidR="00D97D6C" w:rsidRPr="001D5327" w:rsidRDefault="00D97D6C" w:rsidP="00B55F24">
            <w:pPr>
              <w:pStyle w:val="TableText"/>
              <w:spacing w:before="40" w:after="40"/>
              <w:rPr>
                <w:rFonts w:cs="Calibri"/>
              </w:rPr>
            </w:pPr>
            <w:r w:rsidRPr="001D5327">
              <w:rPr>
                <w:rFonts w:cs="Calibri"/>
              </w:rPr>
              <w:t>Trend</w:t>
            </w:r>
          </w:p>
        </w:tc>
        <w:tc>
          <w:tcPr>
            <w:tcW w:w="953" w:type="pct"/>
            <w:shd w:val="clear" w:color="auto" w:fill="auto"/>
            <w:noWrap/>
          </w:tcPr>
          <w:p w14:paraId="516C27BF" w14:textId="77777777" w:rsidR="00D97D6C" w:rsidRPr="001D5327" w:rsidRDefault="00D97D6C" w:rsidP="00B55F24">
            <w:pPr>
              <w:pStyle w:val="TableText"/>
              <w:spacing w:before="40" w:after="40"/>
              <w:rPr>
                <w:rFonts w:cs="Calibri"/>
              </w:rPr>
            </w:pPr>
            <w:r w:rsidRPr="001D5327">
              <w:rPr>
                <w:rFonts w:cs="Calibri"/>
              </w:rPr>
              <w:t>–</w:t>
            </w:r>
          </w:p>
        </w:tc>
        <w:tc>
          <w:tcPr>
            <w:tcW w:w="1191" w:type="pct"/>
            <w:shd w:val="clear" w:color="auto" w:fill="auto"/>
            <w:noWrap/>
          </w:tcPr>
          <w:p w14:paraId="3D3DAB7F" w14:textId="77777777" w:rsidR="00D97D6C" w:rsidRPr="001D5327" w:rsidRDefault="00D97D6C" w:rsidP="00B55F24">
            <w:pPr>
              <w:pStyle w:val="TableText"/>
              <w:spacing w:before="40" w:after="40"/>
              <w:rPr>
                <w:rFonts w:cs="Calibri"/>
              </w:rPr>
            </w:pPr>
            <w:r w:rsidRPr="001D5327">
              <w:rPr>
                <w:rFonts w:cs="Calibri"/>
              </w:rPr>
              <w:t>–</w:t>
            </w:r>
          </w:p>
        </w:tc>
      </w:tr>
    </w:tbl>
    <w:p w14:paraId="5F6D6FCE" w14:textId="77777777" w:rsidR="00D97D6C" w:rsidRPr="001D5327" w:rsidRDefault="00D97D6C" w:rsidP="00D97D6C">
      <w:pPr>
        <w:pStyle w:val="Heading4"/>
        <w:spacing w:before="360"/>
      </w:pPr>
      <w:r w:rsidRPr="001D5327">
        <w:t>Methodological issues</w:t>
      </w:r>
    </w:p>
    <w:p w14:paraId="04672468" w14:textId="77777777" w:rsidR="00D97D6C" w:rsidRPr="001D5327" w:rsidRDefault="00D97D6C" w:rsidP="00BF2A76">
      <w:pPr>
        <w:pStyle w:val="Heading5"/>
      </w:pPr>
      <w:r w:rsidRPr="001D5327">
        <w:rPr>
          <w:lang w:eastAsia="en-GB"/>
        </w:rPr>
        <w:t xml:space="preserve">1.A.3.a </w:t>
      </w:r>
      <w:r w:rsidRPr="001D5327">
        <w:t>Civil</w:t>
      </w:r>
      <w:r w:rsidRPr="001D5327">
        <w:rPr>
          <w:lang w:eastAsia="en-GB"/>
        </w:rPr>
        <w:t xml:space="preserve"> aviation</w:t>
      </w:r>
    </w:p>
    <w:p w14:paraId="03EC69D9" w14:textId="77777777" w:rsidR="00D97D6C" w:rsidRPr="001D5327" w:rsidRDefault="00D97D6C" w:rsidP="00D97D6C">
      <w:pPr>
        <w:pStyle w:val="BodyText"/>
        <w:spacing w:before="100" w:after="100"/>
        <w:rPr>
          <w:rFonts w:cs="Calibri"/>
          <w:lang w:eastAsia="en-GB"/>
        </w:rPr>
      </w:pPr>
      <w:r w:rsidRPr="001D5327">
        <w:rPr>
          <w:rFonts w:cs="Calibri"/>
          <w:lang w:eastAsia="en-GB"/>
        </w:rPr>
        <w:t xml:space="preserve">A Tier 1 approach (IPCC, 2006) that does not use landing and take-off cycles has been taken to estimate emissions from the </w:t>
      </w:r>
      <w:r w:rsidRPr="001D5327">
        <w:rPr>
          <w:rFonts w:cs="Calibri"/>
          <w:i/>
          <w:lang w:eastAsia="en-GB"/>
        </w:rPr>
        <w:t>Civil aviation</w:t>
      </w:r>
      <w:r w:rsidRPr="001D5327">
        <w:rPr>
          <w:rFonts w:cs="Calibri"/>
          <w:lang w:eastAsia="en-GB"/>
        </w:rPr>
        <w:t xml:space="preserve"> category. Given the uncertainty surrounding </w:t>
      </w:r>
      <w:r w:rsidRPr="001D5327">
        <w:rPr>
          <w:rFonts w:cs="Calibri"/>
        </w:rPr>
        <w:t>CH</w:t>
      </w:r>
      <w:r w:rsidRPr="001D5327">
        <w:rPr>
          <w:rFonts w:cs="Calibri"/>
          <w:vertAlign w:val="subscript"/>
        </w:rPr>
        <w:t>4</w:t>
      </w:r>
      <w:r w:rsidRPr="001D5327">
        <w:rPr>
          <w:rFonts w:cs="Calibri"/>
          <w:lang w:eastAsia="en-GB"/>
        </w:rPr>
        <w:t xml:space="preserve"> and </w:t>
      </w:r>
      <w:r w:rsidRPr="001D5327">
        <w:rPr>
          <w:rFonts w:cs="Calibri"/>
        </w:rPr>
        <w:t>N</w:t>
      </w:r>
      <w:r w:rsidRPr="001D5327">
        <w:rPr>
          <w:rFonts w:cs="Calibri"/>
          <w:vertAlign w:val="subscript"/>
        </w:rPr>
        <w:t>2</w:t>
      </w:r>
      <w:r w:rsidRPr="001D5327">
        <w:rPr>
          <w:rFonts w:cs="Calibri"/>
        </w:rPr>
        <w:t>O</w:t>
      </w:r>
      <w:r w:rsidRPr="001D5327">
        <w:rPr>
          <w:rFonts w:cs="Calibri"/>
          <w:lang w:eastAsia="en-GB"/>
        </w:rPr>
        <w:t xml:space="preserve"> emission factors for landing and take-off cycles, a Tier 2 approach to estimating non-CO</w:t>
      </w:r>
      <w:r w:rsidRPr="001D5327">
        <w:rPr>
          <w:rFonts w:cs="Calibri"/>
          <w:vertAlign w:val="subscript"/>
          <w:lang w:eastAsia="en-GB"/>
        </w:rPr>
        <w:t>2</w:t>
      </w:r>
      <w:r w:rsidRPr="001D5327">
        <w:rPr>
          <w:rFonts w:cs="Calibri"/>
          <w:lang w:eastAsia="en-GB"/>
        </w:rPr>
        <w:t xml:space="preserve"> emissions would not necessarily reduce uncertainty (IPCC, 2006).</w:t>
      </w:r>
    </w:p>
    <w:p w14:paraId="07EF82B6" w14:textId="702BBFB2" w:rsidR="00B40B20" w:rsidRPr="001D5327" w:rsidRDefault="00B40B20" w:rsidP="00D97D6C">
      <w:pPr>
        <w:pStyle w:val="BodyText"/>
        <w:spacing w:before="100" w:after="100"/>
        <w:rPr>
          <w:rFonts w:cs="Calibri"/>
          <w:lang w:eastAsia="en-GB"/>
        </w:rPr>
      </w:pPr>
      <w:r w:rsidRPr="001D5327">
        <w:rPr>
          <w:rFonts w:cs="Calibri"/>
          <w:lang w:eastAsia="en-GB"/>
        </w:rPr>
        <w:t xml:space="preserve">Hot air ballooning is considered a form of adventure aviation rather than transport, and is included in </w:t>
      </w:r>
      <w:r w:rsidR="00D13024" w:rsidRPr="001D5327">
        <w:rPr>
          <w:rFonts w:cs="Calibri"/>
          <w:lang w:eastAsia="en-GB"/>
        </w:rPr>
        <w:t xml:space="preserve">category </w:t>
      </w:r>
      <w:r w:rsidRPr="001D5327">
        <w:rPr>
          <w:rFonts w:cs="Calibri"/>
          <w:lang w:eastAsia="en-GB"/>
        </w:rPr>
        <w:t xml:space="preserve">1.A.4.a </w:t>
      </w:r>
      <w:r w:rsidRPr="001D5327">
        <w:rPr>
          <w:rFonts w:cs="Calibri"/>
          <w:i/>
          <w:iCs/>
          <w:lang w:eastAsia="en-GB"/>
        </w:rPr>
        <w:t>Commercial/institutional</w:t>
      </w:r>
      <w:r w:rsidRPr="001D5327">
        <w:rPr>
          <w:rFonts w:cs="Calibri"/>
          <w:lang w:eastAsia="en-GB"/>
        </w:rPr>
        <w:t xml:space="preserve">. </w:t>
      </w:r>
    </w:p>
    <w:p w14:paraId="1FA568ED" w14:textId="77777777" w:rsidR="00D97D6C" w:rsidRPr="001D5327" w:rsidRDefault="00D97D6C" w:rsidP="00BF2A76">
      <w:pPr>
        <w:pStyle w:val="Heading5"/>
        <w:rPr>
          <w:lang w:eastAsia="en-GB"/>
        </w:rPr>
      </w:pPr>
      <w:r w:rsidRPr="001D5327">
        <w:rPr>
          <w:szCs w:val="22"/>
        </w:rPr>
        <w:t xml:space="preserve">1.A.3.b </w:t>
      </w:r>
      <w:r w:rsidRPr="001D5327">
        <w:rPr>
          <w:lang w:eastAsia="en-GB"/>
        </w:rPr>
        <w:t xml:space="preserve">Road </w:t>
      </w:r>
      <w:r w:rsidRPr="001D5327">
        <w:t>transportation</w:t>
      </w:r>
    </w:p>
    <w:p w14:paraId="27B6FD54" w14:textId="0272EF14" w:rsidR="00D97D6C" w:rsidRPr="001D5327" w:rsidRDefault="00D97D6C" w:rsidP="00D97D6C">
      <w:pPr>
        <w:pStyle w:val="BodyText"/>
        <w:spacing w:before="100" w:after="100"/>
        <w:rPr>
          <w:rFonts w:cs="Calibri"/>
          <w:lang w:eastAsia="en-GB"/>
        </w:rPr>
      </w:pPr>
      <w:r w:rsidRPr="001D5327">
        <w:rPr>
          <w:rFonts w:cs="Calibri"/>
          <w:lang w:eastAsia="en-GB"/>
        </w:rPr>
        <w:t xml:space="preserve">The IPCC </w:t>
      </w:r>
      <w:r w:rsidR="002B2475" w:rsidRPr="001D5327">
        <w:rPr>
          <w:rFonts w:cs="Calibri"/>
          <w:lang w:eastAsia="en-GB"/>
        </w:rPr>
        <w:t>(</w:t>
      </w:r>
      <w:r w:rsidRPr="001D5327">
        <w:rPr>
          <w:rFonts w:cs="Calibri"/>
          <w:lang w:eastAsia="en-GB"/>
        </w:rPr>
        <w:t>2006</w:t>
      </w:r>
      <w:r w:rsidR="002B2475" w:rsidRPr="001D5327">
        <w:rPr>
          <w:rFonts w:cs="Calibri"/>
          <w:lang w:eastAsia="en-GB"/>
        </w:rPr>
        <w:t>)</w:t>
      </w:r>
      <w:r w:rsidRPr="001D5327">
        <w:rPr>
          <w:rFonts w:cs="Calibri"/>
          <w:lang w:eastAsia="en-GB"/>
        </w:rPr>
        <w:t xml:space="preserve"> Tier 2 approach was used to calculate </w:t>
      </w:r>
      <w:r w:rsidRPr="001D5327">
        <w:rPr>
          <w:rFonts w:cs="Calibri"/>
        </w:rPr>
        <w:t>CO</w:t>
      </w:r>
      <w:r w:rsidRPr="001D5327">
        <w:rPr>
          <w:rFonts w:cs="Calibri"/>
          <w:vertAlign w:val="subscript"/>
        </w:rPr>
        <w:t>2</w:t>
      </w:r>
      <w:r w:rsidRPr="001D5327">
        <w:rPr>
          <w:rFonts w:cs="Calibri"/>
          <w:sz w:val="14"/>
          <w:szCs w:val="14"/>
          <w:lang w:eastAsia="en-GB"/>
        </w:rPr>
        <w:t xml:space="preserve"> </w:t>
      </w:r>
      <w:r w:rsidRPr="001D5327">
        <w:rPr>
          <w:rFonts w:cs="Calibri"/>
          <w:lang w:eastAsia="en-GB"/>
        </w:rPr>
        <w:t xml:space="preserve">emissions from </w:t>
      </w:r>
      <w:r w:rsidRPr="001D5327">
        <w:rPr>
          <w:rFonts w:cs="Calibri"/>
          <w:i/>
          <w:lang w:eastAsia="en-GB"/>
        </w:rPr>
        <w:t>Road transportation</w:t>
      </w:r>
      <w:r w:rsidRPr="001D5327">
        <w:rPr>
          <w:rFonts w:cs="Calibri"/>
          <w:lang w:eastAsia="en-GB"/>
        </w:rPr>
        <w:t xml:space="preserve"> using New Zealand-specific emission factors. The emission factors </w:t>
      </w:r>
      <w:r w:rsidR="00392A20" w:rsidRPr="001D5327">
        <w:rPr>
          <w:rFonts w:cs="Calibri"/>
          <w:lang w:eastAsia="en-GB"/>
        </w:rPr>
        <w:t xml:space="preserve">for oil products </w:t>
      </w:r>
      <w:r w:rsidRPr="001D5327">
        <w:rPr>
          <w:rFonts w:cs="Calibri"/>
          <w:lang w:eastAsia="en-GB"/>
        </w:rPr>
        <w:t>were calculated using data provided by New Zealand’s sole oil refinery</w:t>
      </w:r>
      <w:r w:rsidR="00392A20" w:rsidRPr="001D5327">
        <w:rPr>
          <w:rFonts w:cs="Calibri"/>
          <w:lang w:eastAsia="en-GB"/>
        </w:rPr>
        <w:t xml:space="preserve"> up until 2021, </w:t>
      </w:r>
      <w:r w:rsidRPr="001D5327">
        <w:rPr>
          <w:rFonts w:cs="Calibri"/>
          <w:lang w:eastAsia="en-GB"/>
        </w:rPr>
        <w:t xml:space="preserve">and </w:t>
      </w:r>
      <w:r w:rsidR="00392A20" w:rsidRPr="001D5327">
        <w:rPr>
          <w:rFonts w:cs="Calibri"/>
          <w:lang w:eastAsia="en-GB"/>
        </w:rPr>
        <w:t xml:space="preserve">by </w:t>
      </w:r>
      <w:r w:rsidRPr="001D5327">
        <w:rPr>
          <w:rFonts w:cs="Calibri"/>
          <w:lang w:eastAsia="en-GB"/>
        </w:rPr>
        <w:t>fuel importers starting in 2022</w:t>
      </w:r>
      <w:r w:rsidR="00392A20" w:rsidRPr="001D5327">
        <w:rPr>
          <w:rFonts w:cs="Calibri"/>
          <w:lang w:eastAsia="en-GB"/>
        </w:rPr>
        <w:t>.</w:t>
      </w:r>
      <w:r w:rsidRPr="001D5327">
        <w:rPr>
          <w:rFonts w:cs="Calibri"/>
          <w:lang w:eastAsia="en-GB"/>
        </w:rPr>
        <w:t xml:space="preserve"> </w:t>
      </w:r>
      <w:r w:rsidR="00392A20" w:rsidRPr="001D5327">
        <w:rPr>
          <w:rFonts w:cs="Calibri"/>
          <w:lang w:eastAsia="en-GB"/>
        </w:rPr>
        <w:t>T</w:t>
      </w:r>
      <w:r w:rsidRPr="001D5327">
        <w:rPr>
          <w:rFonts w:cs="Calibri"/>
          <w:lang w:eastAsia="en-GB"/>
        </w:rPr>
        <w:t xml:space="preserve">he </w:t>
      </w:r>
      <w:r w:rsidR="00392A20" w:rsidRPr="001D5327">
        <w:rPr>
          <w:rFonts w:cs="Calibri"/>
          <w:lang w:eastAsia="en-GB"/>
        </w:rPr>
        <w:t xml:space="preserve">emission factor for compressed natural gas (CNG) was calculated based on the </w:t>
      </w:r>
      <w:r w:rsidRPr="001D5327">
        <w:rPr>
          <w:rFonts w:cs="Calibri"/>
          <w:lang w:eastAsia="en-GB"/>
        </w:rPr>
        <w:t xml:space="preserve">weighted average emission factor of New Zealand </w:t>
      </w:r>
      <w:r w:rsidRPr="001D5327">
        <w:rPr>
          <w:rFonts w:cs="Calibri"/>
        </w:rPr>
        <w:t xml:space="preserve">natural </w:t>
      </w:r>
      <w:r w:rsidRPr="001D5327">
        <w:rPr>
          <w:rFonts w:cs="Calibri"/>
          <w:lang w:eastAsia="en-GB"/>
        </w:rPr>
        <w:t xml:space="preserve">gas fields. </w:t>
      </w:r>
    </w:p>
    <w:p w14:paraId="32213FF5" w14:textId="582266F9" w:rsidR="00D97D6C" w:rsidRPr="001D5327" w:rsidRDefault="00D97D6C" w:rsidP="00D97D6C">
      <w:pPr>
        <w:pStyle w:val="BodyText"/>
        <w:spacing w:before="100"/>
        <w:rPr>
          <w:rFonts w:cs="Calibri"/>
          <w:lang w:eastAsia="en-GB"/>
        </w:rPr>
      </w:pPr>
      <w:r w:rsidRPr="001D5327">
        <w:rPr>
          <w:rFonts w:cs="Calibri"/>
          <w:lang w:eastAsia="en-GB"/>
        </w:rPr>
        <w:t xml:space="preserve">Since the 2012 submission, New Zealand has used a Tier 3 (IPCC, 2006) methodology to estimate </w:t>
      </w:r>
      <w:r w:rsidRPr="001D5327">
        <w:rPr>
          <w:rFonts w:cs="Calibri"/>
        </w:rPr>
        <w:t>CH</w:t>
      </w:r>
      <w:r w:rsidRPr="001D5327">
        <w:rPr>
          <w:rFonts w:cs="Calibri"/>
          <w:vertAlign w:val="subscript"/>
        </w:rPr>
        <w:t>4</w:t>
      </w:r>
      <w:r w:rsidRPr="001D5327">
        <w:rPr>
          <w:rFonts w:cs="Calibri"/>
          <w:lang w:eastAsia="en-GB"/>
        </w:rPr>
        <w:t xml:space="preserve"> and </w:t>
      </w:r>
      <w:r w:rsidRPr="001D5327">
        <w:rPr>
          <w:rFonts w:cs="Calibri"/>
        </w:rPr>
        <w:t>N</w:t>
      </w:r>
      <w:r w:rsidRPr="001D5327">
        <w:rPr>
          <w:rFonts w:cs="Calibri"/>
          <w:vertAlign w:val="subscript"/>
        </w:rPr>
        <w:t>2</w:t>
      </w:r>
      <w:r w:rsidRPr="001D5327">
        <w:rPr>
          <w:rFonts w:cs="Calibri"/>
        </w:rPr>
        <w:t>O</w:t>
      </w:r>
      <w:r w:rsidRPr="001D5327">
        <w:rPr>
          <w:rFonts w:cs="Calibri"/>
          <w:lang w:eastAsia="en-GB"/>
        </w:rPr>
        <w:t xml:space="preserve"> emissions from road transport.</w:t>
      </w:r>
      <w:r w:rsidRPr="001D5327">
        <w:rPr>
          <w:rFonts w:cs="Calibri"/>
        </w:rPr>
        <w:t xml:space="preserve"> </w:t>
      </w:r>
      <w:r w:rsidR="00F7621D" w:rsidRPr="001D5327">
        <w:rPr>
          <w:rFonts w:cs="Calibri"/>
        </w:rPr>
        <w:t>Annex 5</w:t>
      </w:r>
      <w:r w:rsidRPr="001D5327">
        <w:rPr>
          <w:rFonts w:cs="Calibri"/>
          <w:lang w:eastAsia="en-GB"/>
        </w:rPr>
        <w:t xml:space="preserve"> </w:t>
      </w:r>
      <w:r w:rsidR="00F7621D" w:rsidRPr="001D5327">
        <w:rPr>
          <w:rFonts w:cs="Calibri"/>
          <w:lang w:eastAsia="en-GB"/>
        </w:rPr>
        <w:t>provides i</w:t>
      </w:r>
      <w:r w:rsidRPr="001D5327">
        <w:rPr>
          <w:rFonts w:cs="Calibri"/>
        </w:rPr>
        <w:t>nformation on non</w:t>
      </w:r>
      <w:r w:rsidR="007B3DB0" w:rsidRPr="001D5327">
        <w:rPr>
          <w:rFonts w:cs="Calibri"/>
        </w:rPr>
        <w:noBreakHyphen/>
      </w:r>
      <w:r w:rsidRPr="001D5327">
        <w:rPr>
          <w:rFonts w:cs="Calibri"/>
        </w:rPr>
        <w:t>CO</w:t>
      </w:r>
      <w:r w:rsidRPr="001D5327">
        <w:rPr>
          <w:rFonts w:cs="Calibri"/>
          <w:vertAlign w:val="subscript"/>
        </w:rPr>
        <w:t>2</w:t>
      </w:r>
      <w:r w:rsidRPr="001D5327">
        <w:rPr>
          <w:rFonts w:cs="Calibri"/>
        </w:rPr>
        <w:t xml:space="preserve"> emission factors.</w:t>
      </w:r>
    </w:p>
    <w:p w14:paraId="409F5592" w14:textId="5B493CC4" w:rsidR="00D97D6C" w:rsidRPr="001D5327" w:rsidRDefault="00D97D6C" w:rsidP="00D97D6C">
      <w:pPr>
        <w:pStyle w:val="BodyText"/>
        <w:spacing w:before="100"/>
        <w:rPr>
          <w:rFonts w:cs="Calibri"/>
          <w:lang w:eastAsia="en-GB"/>
        </w:rPr>
      </w:pPr>
      <w:r w:rsidRPr="001D5327">
        <w:rPr>
          <w:rFonts w:cs="Calibri"/>
          <w:lang w:eastAsia="en-GB"/>
        </w:rPr>
        <w:t>Data collected by New Zealand’s Ministry of Transport provide comprehensive information on vehicle-kilometres-travelled by vehicle class and fuel type from 2001 to 20</w:t>
      </w:r>
      <w:r w:rsidRPr="001D5327">
        <w:rPr>
          <w:rFonts w:cs="Calibri"/>
        </w:rPr>
        <w:t>16</w:t>
      </w:r>
      <w:r w:rsidRPr="001D5327">
        <w:rPr>
          <w:rFonts w:cs="Calibri"/>
          <w:lang w:eastAsia="en-GB"/>
        </w:rPr>
        <w:t xml:space="preserve">. </w:t>
      </w:r>
      <w:r w:rsidRPr="001D5327">
        <w:rPr>
          <w:rFonts w:cs="Calibri"/>
        </w:rPr>
        <w:t xml:space="preserve">Vehicle-kilometres-travelled were sourced from national six-monthly warrant of fitness inspections. </w:t>
      </w:r>
      <w:r w:rsidRPr="001D5327">
        <w:rPr>
          <w:rFonts w:cs="Calibri"/>
          <w:spacing w:val="-2"/>
        </w:rPr>
        <w:t>These were further split into travel type (urban, rural, highway, motorway) using </w:t>
      </w:r>
      <w:r w:rsidRPr="001D5327">
        <w:rPr>
          <w:rFonts w:cs="Calibri"/>
          <w:spacing w:val="-2"/>
          <w:lang w:eastAsia="en-GB"/>
        </w:rPr>
        <w:t>New Zealand’</w:t>
      </w:r>
      <w:r w:rsidRPr="001D5327">
        <w:rPr>
          <w:rFonts w:cs="Calibri"/>
          <w:lang w:eastAsia="en-GB"/>
        </w:rPr>
        <w:t>s</w:t>
      </w:r>
      <w:r w:rsidRPr="001D5327">
        <w:rPr>
          <w:rFonts w:cs="Calibri"/>
        </w:rPr>
        <w:t xml:space="preserve"> Road Assessment and Maintenance Management system. The New Zealand Travel Survey (Ministry of Transport, 2010) is used to further split the ‘urban’ travel type into cold and hot starts. This survey provides detailed trip-by-trip information on travel type. These data were used to establish the percentage</w:t>
      </w:r>
      <w:r w:rsidR="00B67F9E" w:rsidRPr="001D5327">
        <w:rPr>
          <w:rFonts w:cs="Calibri"/>
        </w:rPr>
        <w:t>s</w:t>
      </w:r>
      <w:r w:rsidRPr="001D5327">
        <w:rPr>
          <w:rFonts w:cs="Calibri"/>
        </w:rPr>
        <w:t xml:space="preserve"> of light-vehicle urban travel that comprise cold </w:t>
      </w:r>
      <w:r w:rsidR="00B67F9E" w:rsidRPr="001D5327">
        <w:rPr>
          <w:rFonts w:cs="Calibri"/>
        </w:rPr>
        <w:t>starts</w:t>
      </w:r>
      <w:r w:rsidRPr="001D5327">
        <w:rPr>
          <w:rFonts w:cs="Calibri"/>
        </w:rPr>
        <w:t xml:space="preserve"> and hot starts. </w:t>
      </w:r>
      <w:r w:rsidRPr="001D5327">
        <w:rPr>
          <w:rFonts w:cs="Calibri"/>
          <w:lang w:eastAsia="en-GB"/>
        </w:rPr>
        <w:t>Before 2001, insufficient data were available, so good practice guidance was used in choosing the splicing method to ensure time</w:t>
      </w:r>
      <w:r w:rsidRPr="001D5327">
        <w:rPr>
          <w:rFonts w:cs="Calibri"/>
          <w:lang w:eastAsia="en-GB"/>
        </w:rPr>
        <w:noBreakHyphen/>
        <w:t>series consistency.</w:t>
      </w:r>
    </w:p>
    <w:p w14:paraId="3BA2AB64" w14:textId="77777777" w:rsidR="00D97D6C" w:rsidRPr="001D5327" w:rsidRDefault="00D97D6C" w:rsidP="00DB1790">
      <w:pPr>
        <w:pStyle w:val="BodyText"/>
        <w:keepNext/>
      </w:pPr>
      <w:r w:rsidRPr="001D5327">
        <w:lastRenderedPageBreak/>
        <w:t xml:space="preserve">The current </w:t>
      </w:r>
      <w:r w:rsidRPr="001D5327">
        <w:rPr>
          <w:rFonts w:cs="Calibri"/>
          <w:lang w:eastAsia="en-GB"/>
        </w:rPr>
        <w:t xml:space="preserve">New </w:t>
      </w:r>
      <w:r w:rsidRPr="001D5327">
        <w:t>Zealand vehicle fleet is split relatively evenly between vehicles:</w:t>
      </w:r>
    </w:p>
    <w:p w14:paraId="6A95DDA3" w14:textId="77777777" w:rsidR="00D97D6C" w:rsidRPr="001D5327" w:rsidRDefault="00D97D6C" w:rsidP="00D97D6C">
      <w:pPr>
        <w:pStyle w:val="Bullet"/>
      </w:pPr>
      <w:r w:rsidRPr="001D5327">
        <w:t>manufactured in New Zealand</w:t>
      </w:r>
      <w:r w:rsidRPr="001D5327">
        <w:rPr>
          <w:vertAlign w:val="superscript"/>
        </w:rPr>
        <w:footnoteReference w:id="22"/>
      </w:r>
      <w:r w:rsidRPr="001D5327">
        <w:t xml:space="preserve"> or imported for sale as new vehicles</w:t>
      </w:r>
    </w:p>
    <w:p w14:paraId="1264ACE8" w14:textId="77777777" w:rsidR="00D97D6C" w:rsidRPr="001D5327" w:rsidRDefault="00D97D6C" w:rsidP="00D97D6C">
      <w:pPr>
        <w:pStyle w:val="Bullet"/>
      </w:pPr>
      <w:r w:rsidRPr="001D5327">
        <w:t xml:space="preserve">produced and used in Japan and then imported into </w:t>
      </w:r>
      <w:r w:rsidRPr="001D5327">
        <w:rPr>
          <w:rFonts w:cs="Calibri"/>
          <w:lang w:eastAsia="en-GB"/>
        </w:rPr>
        <w:t>New Zealand</w:t>
      </w:r>
      <w:r w:rsidRPr="001D5327">
        <w:t>.</w:t>
      </w:r>
    </w:p>
    <w:p w14:paraId="3B49E8F8" w14:textId="77777777" w:rsidR="00D97D6C" w:rsidRPr="001D5327" w:rsidRDefault="00D97D6C" w:rsidP="00D97D6C">
      <w:pPr>
        <w:pStyle w:val="BodyText"/>
        <w:spacing w:after="100"/>
      </w:pPr>
      <w:r w:rsidRPr="001D5327">
        <w:t>This split has been relatively constant for the past nine years.</w:t>
      </w:r>
    </w:p>
    <w:p w14:paraId="1D7B3DC6" w14:textId="7D203979" w:rsidR="00D97D6C" w:rsidRPr="001D5327" w:rsidRDefault="00D97D6C" w:rsidP="00D97D6C">
      <w:pPr>
        <w:pStyle w:val="BodyText"/>
      </w:pPr>
      <w:r w:rsidRPr="001D5327">
        <w:t>For this reason, estimat</w:t>
      </w:r>
      <w:r w:rsidR="00F16CAF" w:rsidRPr="001D5327">
        <w:t>es of</w:t>
      </w:r>
      <w:r w:rsidRPr="001D5327">
        <w:t xml:space="preserve"> emissions from road transport </w:t>
      </w:r>
      <w:r w:rsidR="00F16CAF" w:rsidRPr="001D5327">
        <w:t>split</w:t>
      </w:r>
      <w:r w:rsidRPr="001D5327">
        <w:t xml:space="preserve"> the </w:t>
      </w:r>
      <w:r w:rsidRPr="001D5327">
        <w:rPr>
          <w:rFonts w:cs="Calibri"/>
          <w:lang w:eastAsia="en-GB"/>
        </w:rPr>
        <w:t>New Zealand</w:t>
      </w:r>
      <w:r w:rsidRPr="001D5327">
        <w:t xml:space="preserve"> vehicle fleet (and associated CH</w:t>
      </w:r>
      <w:r w:rsidRPr="001D5327">
        <w:rPr>
          <w:vertAlign w:val="subscript"/>
        </w:rPr>
        <w:t>4</w:t>
      </w:r>
      <w:r w:rsidRPr="001D5327">
        <w:t xml:space="preserve"> and N</w:t>
      </w:r>
      <w:r w:rsidRPr="001D5327">
        <w:rPr>
          <w:vertAlign w:val="subscript"/>
        </w:rPr>
        <w:t>2</w:t>
      </w:r>
      <w:r w:rsidRPr="001D5327">
        <w:t xml:space="preserve">O emissions) into sub-fleets: the ‘new vehicle fleet’ and the ‘used vehicle fleet’. This allocation is based on a vehicle’s year of manufacture rather than when it </w:t>
      </w:r>
      <w:r w:rsidR="00C14B1B" w:rsidRPr="001D5327">
        <w:t>wa</w:t>
      </w:r>
      <w:r w:rsidRPr="001D5327">
        <w:t xml:space="preserve">s first added to the </w:t>
      </w:r>
      <w:r w:rsidRPr="001D5327">
        <w:rPr>
          <w:rFonts w:cs="Calibri"/>
          <w:lang w:eastAsia="en-GB"/>
        </w:rPr>
        <w:t>New Zealand</w:t>
      </w:r>
      <w:r w:rsidRPr="001D5327">
        <w:t xml:space="preserve"> fleet. </w:t>
      </w:r>
    </w:p>
    <w:p w14:paraId="1BFD99F1" w14:textId="77777777" w:rsidR="00D97D6C" w:rsidRPr="001D5327" w:rsidRDefault="00D97D6C" w:rsidP="00D97D6C">
      <w:pPr>
        <w:pStyle w:val="BodyText"/>
      </w:pPr>
      <w:r w:rsidRPr="001D5327">
        <w:t>New vehicles are allocated an appropriate vehicle class from the COPERT 4 model (European Environment Agency, 2007), and used Japanese vehicles are allocated emission factors as per categories from the Japanese Ministry of the Environment. These emission factors are broken down by:</w:t>
      </w:r>
    </w:p>
    <w:p w14:paraId="6B077130" w14:textId="77777777" w:rsidR="00D97D6C" w:rsidRPr="001D5327" w:rsidRDefault="00D97D6C" w:rsidP="00D97D6C">
      <w:pPr>
        <w:pStyle w:val="Bullet"/>
      </w:pPr>
      <w:r w:rsidRPr="001D5327">
        <w:t>vehicle type</w:t>
      </w:r>
    </w:p>
    <w:p w14:paraId="178E38F3" w14:textId="77777777" w:rsidR="00D97D6C" w:rsidRPr="001D5327" w:rsidRDefault="00D97D6C" w:rsidP="00D97D6C">
      <w:pPr>
        <w:pStyle w:val="Bullet"/>
      </w:pPr>
      <w:r w:rsidRPr="001D5327">
        <w:t xml:space="preserve">fuel type </w:t>
      </w:r>
    </w:p>
    <w:p w14:paraId="462B7527" w14:textId="77777777" w:rsidR="00D97D6C" w:rsidRPr="001D5327" w:rsidRDefault="00D97D6C" w:rsidP="00D97D6C">
      <w:pPr>
        <w:pStyle w:val="Bullet"/>
      </w:pPr>
      <w:r w:rsidRPr="001D5327">
        <w:t xml:space="preserve">vehicle weight class </w:t>
      </w:r>
    </w:p>
    <w:p w14:paraId="0C3A3FD3" w14:textId="77777777" w:rsidR="00D97D6C" w:rsidRPr="001D5327" w:rsidRDefault="00D97D6C" w:rsidP="00D97D6C">
      <w:pPr>
        <w:pStyle w:val="Bullet"/>
      </w:pPr>
      <w:r w:rsidRPr="001D5327">
        <w:t>year of manufacture.</w:t>
      </w:r>
    </w:p>
    <w:p w14:paraId="31AF2F49" w14:textId="59CA41B0" w:rsidR="00D97D6C" w:rsidRPr="001D5327" w:rsidRDefault="00D97D6C" w:rsidP="00D97D6C">
      <w:pPr>
        <w:pStyle w:val="BodyText"/>
      </w:pPr>
      <w:r w:rsidRPr="001D5327">
        <w:t xml:space="preserve">Due to the presence of expensive catalysts, many used vehicles imported into </w:t>
      </w:r>
      <w:r w:rsidRPr="001D5327">
        <w:rPr>
          <w:lang w:eastAsia="en-GB"/>
        </w:rPr>
        <w:t>New Zealand</w:t>
      </w:r>
      <w:r w:rsidRPr="001D5327">
        <w:t xml:space="preserve"> </w:t>
      </w:r>
      <w:r w:rsidR="00C14B1B" w:rsidRPr="001D5327">
        <w:t xml:space="preserve">have </w:t>
      </w:r>
      <w:r w:rsidRPr="001D5327">
        <w:t xml:space="preserve">their catalytic converters removed before being exported from Japan. The Ministry of Transport undertook several testing studies to determine the proportion of catalytic converters that are removed in Japan before export. </w:t>
      </w:r>
    </w:p>
    <w:p w14:paraId="28B5CEC0" w14:textId="3808DDEF" w:rsidR="00D97D6C" w:rsidRPr="001D5327" w:rsidRDefault="00D97D6C" w:rsidP="00D97D6C">
      <w:pPr>
        <w:pStyle w:val="BodyText"/>
      </w:pPr>
      <w:r w:rsidRPr="001D5327">
        <w:rPr>
          <w:lang w:eastAsia="en-GB"/>
        </w:rPr>
        <w:t xml:space="preserve">MBIE </w:t>
      </w:r>
      <w:r w:rsidRPr="001D5327">
        <w:t>and the Ministry for the Environment met with the Australian inventory reporting team in July 2011 to conduct a review of proposed methodologies for calculating emissions of CH</w:t>
      </w:r>
      <w:r w:rsidRPr="001D5327">
        <w:rPr>
          <w:vertAlign w:val="subscript"/>
        </w:rPr>
        <w:t>4</w:t>
      </w:r>
      <w:r w:rsidRPr="001D5327">
        <w:t xml:space="preserve"> and N</w:t>
      </w:r>
      <w:r w:rsidRPr="001D5327">
        <w:rPr>
          <w:vertAlign w:val="subscript"/>
        </w:rPr>
        <w:t>2</w:t>
      </w:r>
      <w:r w:rsidRPr="001D5327">
        <w:t xml:space="preserve">O associated with road transport. </w:t>
      </w:r>
      <w:r w:rsidRPr="001D5327">
        <w:rPr>
          <w:lang w:eastAsia="en-GB"/>
        </w:rPr>
        <w:t>New Zealand’s</w:t>
      </w:r>
      <w:r w:rsidRPr="001D5327">
        <w:t xml:space="preserve"> Tier 3 approach for road transport was presented, resulting in a recommendation from the Australian team that the new methodology be adopted for the 2012 submission, and that </w:t>
      </w:r>
      <w:r w:rsidRPr="001D5327">
        <w:rPr>
          <w:lang w:eastAsia="en-GB"/>
        </w:rPr>
        <w:t>New Zealand</w:t>
      </w:r>
      <w:r w:rsidRPr="001D5327">
        <w:t xml:space="preserve"> use the IPCC-recommended approach to selecting splicing techniques to choose an appropriate splicing method. </w:t>
      </w:r>
      <w:r w:rsidRPr="001D5327">
        <w:rPr>
          <w:lang w:eastAsia="en-GB"/>
        </w:rPr>
        <w:t>New Zealand</w:t>
      </w:r>
      <w:r w:rsidRPr="001D5327">
        <w:t xml:space="preserve"> </w:t>
      </w:r>
      <w:r w:rsidR="00030C51" w:rsidRPr="001D5327">
        <w:t xml:space="preserve">then </w:t>
      </w:r>
      <w:r w:rsidRPr="001D5327">
        <w:t>applied</w:t>
      </w:r>
      <w:r w:rsidR="00205E6B" w:rsidRPr="001D5327">
        <w:t xml:space="preserve"> </w:t>
      </w:r>
      <w:r w:rsidRPr="001D5327">
        <w:t xml:space="preserve">splicing techniques following the 2006 IPCC Guidelines on the method selection approach. </w:t>
      </w:r>
    </w:p>
    <w:p w14:paraId="61C95D4F" w14:textId="77777777" w:rsidR="00D97D6C" w:rsidRPr="001D5327" w:rsidRDefault="00D97D6C" w:rsidP="00D97D6C">
      <w:pPr>
        <w:pStyle w:val="BodyText"/>
        <w:rPr>
          <w:lang w:eastAsia="en-US"/>
        </w:rPr>
      </w:pPr>
      <w:r w:rsidRPr="001D5327">
        <w:rPr>
          <w:lang w:eastAsia="en-GB"/>
        </w:rPr>
        <w:t>For the 2018 submission, the Ministry of Transport implemented several improvements for its estimates of non-CO</w:t>
      </w:r>
      <w:r w:rsidRPr="001D5327">
        <w:rPr>
          <w:vertAlign w:val="subscript"/>
          <w:lang w:eastAsia="en-GB"/>
        </w:rPr>
        <w:t>2</w:t>
      </w:r>
      <w:r w:rsidRPr="001D5327">
        <w:rPr>
          <w:lang w:eastAsia="en-GB"/>
        </w:rPr>
        <w:t xml:space="preserve"> emissions from road transport. First, new emission factors for Euro 5 and 6 vehicles have been used, where previously these vehicles were treated as Euro 4/IV. Second, t</w:t>
      </w:r>
      <w:r w:rsidRPr="001D5327">
        <w:t xml:space="preserve">he European Monitoring and Evaluation Programme/European Environment Agency emission inventory guidebook was updated in late 2016 (European Environment Agency, 2016). Some of the emission factors for Euro 4 and earlier vehicles were also updated in this version of the guidebook. Moreover, detailed emission factors were provided for heavy-duty trucks in different gross vehicle mass bands. </w:t>
      </w:r>
    </w:p>
    <w:p w14:paraId="050D9D6F" w14:textId="77777777" w:rsidR="00D97D6C" w:rsidRPr="001D5327" w:rsidRDefault="00D97D6C" w:rsidP="00205E6B">
      <w:pPr>
        <w:pStyle w:val="Heading6"/>
      </w:pPr>
      <w:r w:rsidRPr="001D5327">
        <w:t>Time-series consistency</w:t>
      </w:r>
    </w:p>
    <w:p w14:paraId="765D56DB" w14:textId="5849DF7A" w:rsidR="00D97D6C" w:rsidRPr="001D5327" w:rsidRDefault="00D97D6C" w:rsidP="00D97D6C">
      <w:pPr>
        <w:pStyle w:val="BodyText"/>
        <w:spacing w:before="100" w:after="100"/>
        <w:rPr>
          <w:rFonts w:cs="Calibri"/>
          <w:lang w:eastAsia="en-GB"/>
        </w:rPr>
      </w:pPr>
      <w:bookmarkStart w:id="337" w:name="_Toc321399334"/>
      <w:r w:rsidRPr="001D5327">
        <w:rPr>
          <w:rFonts w:cs="Calibri"/>
          <w:lang w:eastAsia="en-GB"/>
        </w:rPr>
        <w:t xml:space="preserve">Insufficient data exist to apply the Tier 3 methodology between 1990 and 2000, so we have combined methods to form a complete time series </w:t>
      </w:r>
      <w:r w:rsidR="00030C51" w:rsidRPr="001D5327">
        <w:rPr>
          <w:rFonts w:cs="Calibri"/>
          <w:lang w:eastAsia="en-GB"/>
        </w:rPr>
        <w:t xml:space="preserve">following the IPCC </w:t>
      </w:r>
      <w:r w:rsidR="00922797" w:rsidRPr="001D5327">
        <w:rPr>
          <w:rFonts w:cs="Calibri"/>
          <w:lang w:eastAsia="en-GB"/>
        </w:rPr>
        <w:t xml:space="preserve">(2006) </w:t>
      </w:r>
      <w:r w:rsidR="00030C51" w:rsidRPr="001D5327">
        <w:rPr>
          <w:rFonts w:cs="Calibri"/>
          <w:lang w:eastAsia="en-GB"/>
        </w:rPr>
        <w:t xml:space="preserve">guidance on data splicing </w:t>
      </w:r>
      <w:r w:rsidR="00D960F9" w:rsidRPr="001D5327">
        <w:rPr>
          <w:rFonts w:cs="Calibri"/>
          <w:lang w:eastAsia="en-GB"/>
        </w:rPr>
        <w:t>(Volume 1, section 5.3.3 splicing techniques)</w:t>
      </w:r>
      <w:r w:rsidRPr="001D5327">
        <w:rPr>
          <w:rFonts w:cs="Calibri"/>
          <w:lang w:eastAsia="en-GB"/>
        </w:rPr>
        <w:t xml:space="preserve">. To establish the most appropriate </w:t>
      </w:r>
      <w:r w:rsidRPr="001D5327">
        <w:rPr>
          <w:rFonts w:cs="Calibri"/>
          <w:lang w:eastAsia="en-GB"/>
        </w:rPr>
        <w:lastRenderedPageBreak/>
        <w:t xml:space="preserve">splicing method, emissions were calculated using the Tier 1 methodology for the period 2001 </w:t>
      </w:r>
      <w:r w:rsidRPr="001D5327">
        <w:rPr>
          <w:rFonts w:cs="Calibri"/>
          <w:spacing w:val="-2"/>
          <w:lang w:eastAsia="en-GB"/>
        </w:rPr>
        <w:t>to 2016. These emissions were compared against those calculated using the Tier 3 methodology,</w:t>
      </w:r>
      <w:r w:rsidRPr="001D5327">
        <w:rPr>
          <w:rFonts w:cs="Calibri"/>
          <w:lang w:eastAsia="en-GB"/>
        </w:rPr>
        <w:t xml:space="preserve"> to determine the relationship between the two series (see </w:t>
      </w:r>
      <w:r w:rsidRPr="001D5327">
        <w:rPr>
          <w:rFonts w:cs="Calibri"/>
        </w:rPr>
        <w:t>figure 3.2.1</w:t>
      </w:r>
      <w:r w:rsidR="00747C8F" w:rsidRPr="001D5327">
        <w:rPr>
          <w:rFonts w:cs="Calibri"/>
        </w:rPr>
        <w:t>0</w:t>
      </w:r>
      <w:r w:rsidRPr="001D5327">
        <w:rPr>
          <w:rFonts w:cs="Calibri"/>
          <w:lang w:eastAsia="en-GB"/>
        </w:rPr>
        <w:t xml:space="preserve">). The guidance for the method selection process is provided in table 5.1 (volume 2) of the 2006 IPCC Guidelines. </w:t>
      </w:r>
    </w:p>
    <w:p w14:paraId="75D9FDDA" w14:textId="0516B30F" w:rsidR="00D97D6C" w:rsidRPr="001D5327" w:rsidRDefault="00D97D6C" w:rsidP="00D97D6C">
      <w:pPr>
        <w:pStyle w:val="Figure"/>
        <w:spacing w:after="80"/>
        <w:rPr>
          <w:rFonts w:cs="Calibri"/>
        </w:rPr>
      </w:pPr>
      <w:bookmarkStart w:id="338" w:name="_Ref442370701"/>
      <w:bookmarkStart w:id="339" w:name="_Toc384582863"/>
      <w:bookmarkStart w:id="340" w:name="_Toc443060823"/>
      <w:bookmarkStart w:id="341" w:name="_Toc447275680"/>
      <w:bookmarkStart w:id="342" w:name="_Toc481751998"/>
      <w:bookmarkStart w:id="343" w:name="_Toc36292780"/>
      <w:bookmarkStart w:id="344" w:name="_Toc68786645"/>
      <w:bookmarkStart w:id="345" w:name="_Toc95834080"/>
      <w:bookmarkStart w:id="346" w:name="_Toc164154015"/>
      <w:bookmarkStart w:id="347" w:name="_Toc194674848"/>
      <w:r w:rsidRPr="001D5327">
        <w:rPr>
          <w:rFonts w:cs="Calibri"/>
        </w:rPr>
        <w:t>Figure 3.2.</w:t>
      </w:r>
      <w:r w:rsidRPr="001D5327">
        <w:rPr>
          <w:rFonts w:cs="Calibri"/>
        </w:rPr>
        <w:fldChar w:fldCharType="begin"/>
      </w:r>
      <w:r w:rsidRPr="001D5327">
        <w:rPr>
          <w:rFonts w:cs="Calibri"/>
        </w:rPr>
        <w:instrText xml:space="preserve"> SEQ Figure \* ARABIC \s 2 </w:instrText>
      </w:r>
      <w:r w:rsidRPr="001D5327">
        <w:rPr>
          <w:rFonts w:cs="Calibri"/>
        </w:rPr>
        <w:fldChar w:fldCharType="separate"/>
      </w:r>
      <w:r w:rsidR="00B93180">
        <w:rPr>
          <w:rFonts w:cs="Calibri"/>
          <w:noProof/>
        </w:rPr>
        <w:t>10</w:t>
      </w:r>
      <w:r w:rsidRPr="001D5327">
        <w:rPr>
          <w:rFonts w:cs="Calibri"/>
        </w:rPr>
        <w:fldChar w:fldCharType="end"/>
      </w:r>
      <w:bookmarkEnd w:id="338"/>
      <w:r w:rsidRPr="001D5327">
        <w:rPr>
          <w:rFonts w:cs="Calibri"/>
          <w:lang w:eastAsia="en-GB"/>
        </w:rPr>
        <w:t xml:space="preserve"> </w:t>
      </w:r>
      <w:r w:rsidRPr="001D5327">
        <w:rPr>
          <w:rFonts w:cs="Calibri"/>
          <w:lang w:eastAsia="en-GB"/>
        </w:rPr>
        <w:tab/>
        <w:t>Splicing method decision tree for gasoline emissions</w:t>
      </w:r>
      <w:bookmarkEnd w:id="337"/>
      <w:bookmarkEnd w:id="339"/>
      <w:bookmarkEnd w:id="340"/>
      <w:bookmarkEnd w:id="341"/>
      <w:bookmarkEnd w:id="342"/>
      <w:bookmarkEnd w:id="343"/>
      <w:bookmarkEnd w:id="344"/>
      <w:bookmarkEnd w:id="345"/>
      <w:bookmarkEnd w:id="346"/>
      <w:bookmarkEnd w:id="347"/>
    </w:p>
    <w:p w14:paraId="46EC7C6C" w14:textId="77777777" w:rsidR="00D97D6C" w:rsidRPr="001D5327" w:rsidRDefault="00D97D6C" w:rsidP="00FC773F">
      <w:pPr>
        <w:pStyle w:val="BodyText"/>
      </w:pPr>
      <w:r w:rsidRPr="001D5327">
        <w:rPr>
          <w:noProof/>
        </w:rPr>
        <w:drawing>
          <wp:inline distT="0" distB="0" distL="0" distR="0" wp14:anchorId="273AE6CD" wp14:editId="06789BE4">
            <wp:extent cx="5141343" cy="4160494"/>
            <wp:effectExtent l="0" t="0" r="2540" b="0"/>
            <wp:docPr id="1025526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526065" name="Picture 1025526065"/>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5149850" cy="4167378"/>
                    </a:xfrm>
                    <a:prstGeom prst="rect">
                      <a:avLst/>
                    </a:prstGeom>
                    <a:ln>
                      <a:noFill/>
                    </a:ln>
                    <a:extLst>
                      <a:ext uri="{53640926-AAD7-44D8-BBD7-CCE9431645EC}">
                        <a14:shadowObscured xmlns:a14="http://schemas.microsoft.com/office/drawing/2010/main"/>
                      </a:ext>
                    </a:extLst>
                  </pic:spPr>
                </pic:pic>
              </a:graphicData>
            </a:graphic>
          </wp:inline>
        </w:drawing>
      </w:r>
    </w:p>
    <w:p w14:paraId="796E082F" w14:textId="5D9FD4B8" w:rsidR="00D97D6C" w:rsidRPr="001D5327" w:rsidRDefault="00D97D6C" w:rsidP="00D97D6C">
      <w:pPr>
        <w:pStyle w:val="BodyText"/>
        <w:spacing w:before="100" w:after="100"/>
        <w:rPr>
          <w:rFonts w:cs="Calibri"/>
        </w:rPr>
      </w:pPr>
      <w:r w:rsidRPr="001D5327">
        <w:rPr>
          <w:rFonts w:cs="Calibri"/>
          <w:lang w:eastAsia="en-GB"/>
        </w:rPr>
        <w:t>For all fuels, interpolation was considered inappropriate due to the size of the block of unavailable data and the lack of data from before the missing bloc</w:t>
      </w:r>
      <w:r w:rsidRPr="001D5327">
        <w:rPr>
          <w:rFonts w:cs="Calibri"/>
        </w:rPr>
        <w:t xml:space="preserve">k (1990–2000). </w:t>
      </w:r>
    </w:p>
    <w:p w14:paraId="0D3CE1D2" w14:textId="77777777" w:rsidR="00D97D6C" w:rsidRPr="001D5327" w:rsidRDefault="00D97D6C" w:rsidP="00D97D6C">
      <w:pPr>
        <w:pStyle w:val="BodyText"/>
        <w:spacing w:before="100" w:after="100"/>
        <w:rPr>
          <w:rFonts w:cs="Calibri"/>
        </w:rPr>
      </w:pPr>
      <w:r w:rsidRPr="001D5327">
        <w:rPr>
          <w:rFonts w:cs="Calibri"/>
        </w:rPr>
        <w:t xml:space="preserve">For emission estimates from </w:t>
      </w:r>
      <w:r w:rsidRPr="001D5327">
        <w:rPr>
          <w:rFonts w:cs="Calibri"/>
          <w:lang w:eastAsia="en-GB"/>
        </w:rPr>
        <w:t xml:space="preserve">LPG, the relationship between Tier 1 and Tier 3 appears nearly constant for both </w:t>
      </w:r>
      <w:r w:rsidRPr="001D5327">
        <w:rPr>
          <w:rFonts w:cs="Calibri"/>
        </w:rPr>
        <w:t>N</w:t>
      </w:r>
      <w:r w:rsidRPr="001D5327">
        <w:rPr>
          <w:rFonts w:cs="Calibri"/>
          <w:vertAlign w:val="subscript"/>
        </w:rPr>
        <w:t>2</w:t>
      </w:r>
      <w:r w:rsidRPr="001D5327">
        <w:rPr>
          <w:rFonts w:cs="Calibri"/>
        </w:rPr>
        <w:t>O</w:t>
      </w:r>
      <w:r w:rsidRPr="001D5327">
        <w:rPr>
          <w:rFonts w:cs="Calibri"/>
          <w:lang w:eastAsia="en-GB"/>
        </w:rPr>
        <w:t xml:space="preserve"> and </w:t>
      </w:r>
      <w:r w:rsidRPr="001D5327">
        <w:rPr>
          <w:rFonts w:cs="Calibri"/>
        </w:rPr>
        <w:t>CH</w:t>
      </w:r>
      <w:r w:rsidRPr="001D5327">
        <w:rPr>
          <w:rFonts w:cs="Calibri"/>
          <w:vertAlign w:val="subscript"/>
        </w:rPr>
        <w:t>4</w:t>
      </w:r>
      <w:r w:rsidRPr="001D5327">
        <w:rPr>
          <w:rFonts w:cs="Calibri"/>
          <w:lang w:eastAsia="en-GB"/>
        </w:rPr>
        <w:t xml:space="preserve"> from 2001 until 2002. As a result, the overlap method was used (IPCC, 2006), with:</w:t>
      </w:r>
    </w:p>
    <w:p w14:paraId="73AFFABF" w14:textId="77777777" w:rsidR="00D97D6C" w:rsidRPr="001D5327" w:rsidRDefault="00000000" w:rsidP="00BE2857">
      <w:pPr>
        <w:pStyle w:val="BodyText"/>
        <w:spacing w:before="0" w:after="180"/>
        <w:jc w:val="center"/>
        <w:rPr>
          <w:rFonts w:cs="Calibri"/>
          <w:lang w:eastAsia="en-GB"/>
        </w:rPr>
      </w:pPr>
      <m:oMathPara>
        <m:oMath>
          <m:sSub>
            <m:sSubPr>
              <m:ctrlPr>
                <w:rPr>
                  <w:rFonts w:ascii="Cambria Math" w:hAnsi="Cambria Math" w:cs="Calibri"/>
                  <w:i/>
                  <w:iCs/>
                  <w:sz w:val="24"/>
                  <w:lang w:eastAsia="en-GB"/>
                </w:rPr>
              </m:ctrlPr>
            </m:sSubPr>
            <m:e>
              <m:r>
                <w:rPr>
                  <w:rFonts w:ascii="Cambria Math" w:hAnsi="Cambria Math" w:cs="Calibri"/>
                  <w:sz w:val="24"/>
                  <w:lang w:eastAsia="en-GB"/>
                </w:rPr>
                <m:t>y</m:t>
              </m:r>
            </m:e>
            <m:sub>
              <m:r>
                <w:rPr>
                  <w:rFonts w:ascii="Cambria Math" w:hAnsi="Cambria Math" w:cs="Calibri"/>
                  <w:sz w:val="24"/>
                  <w:lang w:eastAsia="en-GB"/>
                </w:rPr>
                <m:t>t</m:t>
              </m:r>
            </m:sub>
          </m:sSub>
          <m:r>
            <w:rPr>
              <w:rFonts w:ascii="Cambria Math" w:hAnsi="Cambria Math" w:cs="Calibri"/>
              <w:sz w:val="24"/>
              <w:lang w:eastAsia="en-GB"/>
            </w:rPr>
            <m:t>=</m:t>
          </m:r>
          <m:sSub>
            <m:sSubPr>
              <m:ctrlPr>
                <w:rPr>
                  <w:rFonts w:ascii="Cambria Math" w:hAnsi="Cambria Math" w:cs="Calibri"/>
                  <w:i/>
                  <w:iCs/>
                  <w:sz w:val="24"/>
                  <w:lang w:eastAsia="en-GB"/>
                </w:rPr>
              </m:ctrlPr>
            </m:sSubPr>
            <m:e>
              <m:r>
                <w:rPr>
                  <w:rFonts w:ascii="Cambria Math" w:hAnsi="Cambria Math" w:cs="Calibri"/>
                  <w:sz w:val="24"/>
                  <w:lang w:eastAsia="en-GB"/>
                </w:rPr>
                <m:t>x</m:t>
              </m:r>
            </m:e>
            <m:sub>
              <m:r>
                <w:rPr>
                  <w:rFonts w:ascii="Cambria Math" w:hAnsi="Cambria Math" w:cs="Calibri"/>
                  <w:sz w:val="24"/>
                  <w:lang w:eastAsia="en-GB"/>
                </w:rPr>
                <m:t>t</m:t>
              </m:r>
            </m:sub>
          </m:sSub>
          <m:d>
            <m:dPr>
              <m:ctrlPr>
                <w:rPr>
                  <w:rFonts w:ascii="Cambria Math" w:hAnsi="Cambria Math" w:cs="Calibri"/>
                  <w:i/>
                  <w:iCs/>
                  <w:sz w:val="24"/>
                  <w:lang w:eastAsia="en-GB"/>
                </w:rPr>
              </m:ctrlPr>
            </m:dPr>
            <m:e>
              <m:nary>
                <m:naryPr>
                  <m:chr m:val="∑"/>
                  <m:limLoc m:val="undOvr"/>
                  <m:ctrlPr>
                    <w:rPr>
                      <w:rFonts w:ascii="Cambria Math" w:hAnsi="Cambria Math" w:cs="Calibri"/>
                      <w:i/>
                      <w:iCs/>
                      <w:sz w:val="24"/>
                      <w:lang w:eastAsia="en-GB"/>
                    </w:rPr>
                  </m:ctrlPr>
                </m:naryPr>
                <m:sub>
                  <m:r>
                    <w:rPr>
                      <w:rFonts w:ascii="Cambria Math" w:hAnsi="Cambria Math" w:cs="Calibri"/>
                      <w:sz w:val="24"/>
                      <w:lang w:eastAsia="en-GB"/>
                    </w:rPr>
                    <m:t>i=m</m:t>
                  </m:r>
                </m:sub>
                <m:sup>
                  <m:r>
                    <w:rPr>
                      <w:rFonts w:ascii="Cambria Math" w:hAnsi="Cambria Math" w:cs="Calibri"/>
                      <w:sz w:val="24"/>
                      <w:lang w:eastAsia="en-GB"/>
                    </w:rPr>
                    <m:t>n</m:t>
                  </m:r>
                </m:sup>
                <m:e>
                  <m:sSub>
                    <m:sSubPr>
                      <m:ctrlPr>
                        <w:rPr>
                          <w:rFonts w:ascii="Cambria Math" w:hAnsi="Cambria Math" w:cs="Calibri"/>
                          <w:i/>
                          <w:iCs/>
                          <w:sz w:val="24"/>
                          <w:lang w:eastAsia="en-GB"/>
                        </w:rPr>
                      </m:ctrlPr>
                    </m:sSubPr>
                    <m:e>
                      <m:r>
                        <w:rPr>
                          <w:rFonts w:ascii="Cambria Math" w:hAnsi="Cambria Math" w:cs="Calibri"/>
                          <w:sz w:val="24"/>
                          <w:lang w:eastAsia="en-GB"/>
                        </w:rPr>
                        <m:t>y</m:t>
                      </m:r>
                    </m:e>
                    <m:sub>
                      <m:r>
                        <w:rPr>
                          <w:rFonts w:ascii="Cambria Math" w:hAnsi="Cambria Math" w:cs="Calibri"/>
                          <w:sz w:val="24"/>
                          <w:lang w:eastAsia="en-GB"/>
                        </w:rPr>
                        <m:t>i</m:t>
                      </m:r>
                    </m:sub>
                  </m:sSub>
                </m:e>
              </m:nary>
              <m:r>
                <w:rPr>
                  <w:rFonts w:ascii="Cambria Math" w:hAnsi="Cambria Math" w:cs="Calibri"/>
                  <w:sz w:val="24"/>
                  <w:lang w:eastAsia="en-GB"/>
                </w:rPr>
                <m:t>/</m:t>
              </m:r>
              <m:nary>
                <m:naryPr>
                  <m:chr m:val="∑"/>
                  <m:limLoc m:val="undOvr"/>
                  <m:ctrlPr>
                    <w:rPr>
                      <w:rFonts w:ascii="Cambria Math" w:hAnsi="Cambria Math" w:cs="Calibri"/>
                      <w:i/>
                      <w:iCs/>
                      <w:sz w:val="24"/>
                      <w:lang w:eastAsia="en-GB"/>
                    </w:rPr>
                  </m:ctrlPr>
                </m:naryPr>
                <m:sub>
                  <m:r>
                    <w:rPr>
                      <w:rFonts w:ascii="Cambria Math" w:hAnsi="Cambria Math" w:cs="Calibri"/>
                      <w:sz w:val="24"/>
                      <w:lang w:eastAsia="en-GB"/>
                    </w:rPr>
                    <m:t>i=m</m:t>
                  </m:r>
                </m:sub>
                <m:sup>
                  <m:r>
                    <w:rPr>
                      <w:rFonts w:ascii="Cambria Math" w:hAnsi="Cambria Math" w:cs="Calibri"/>
                      <w:sz w:val="24"/>
                      <w:lang w:eastAsia="en-GB"/>
                    </w:rPr>
                    <m:t>n</m:t>
                  </m:r>
                </m:sup>
                <m:e>
                  <m:sSub>
                    <m:sSubPr>
                      <m:ctrlPr>
                        <w:rPr>
                          <w:rFonts w:ascii="Cambria Math" w:hAnsi="Cambria Math" w:cs="Calibri"/>
                          <w:i/>
                          <w:iCs/>
                          <w:sz w:val="24"/>
                          <w:lang w:eastAsia="en-GB"/>
                        </w:rPr>
                      </m:ctrlPr>
                    </m:sSubPr>
                    <m:e>
                      <m:r>
                        <w:rPr>
                          <w:rFonts w:ascii="Cambria Math" w:hAnsi="Cambria Math" w:cs="Calibri"/>
                          <w:sz w:val="24"/>
                          <w:lang w:eastAsia="en-GB"/>
                        </w:rPr>
                        <m:t>x</m:t>
                      </m:r>
                    </m:e>
                    <m:sub>
                      <m:r>
                        <w:rPr>
                          <w:rFonts w:ascii="Cambria Math" w:hAnsi="Cambria Math" w:cs="Calibri"/>
                          <w:sz w:val="24"/>
                          <w:lang w:eastAsia="en-GB"/>
                        </w:rPr>
                        <m:t>i</m:t>
                      </m:r>
                    </m:sub>
                  </m:sSub>
                </m:e>
              </m:nary>
            </m:e>
          </m:d>
        </m:oMath>
      </m:oMathPara>
    </w:p>
    <w:p w14:paraId="413359D6" w14:textId="77777777" w:rsidR="00D97D6C" w:rsidRPr="001D5327" w:rsidRDefault="00D97D6C" w:rsidP="00D97D6C">
      <w:pPr>
        <w:pStyle w:val="BodyText"/>
        <w:spacing w:after="0"/>
        <w:ind w:left="964" w:hanging="964"/>
        <w:rPr>
          <w:rFonts w:cs="Calibri"/>
        </w:rPr>
      </w:pPr>
      <w:r w:rsidRPr="001D5327">
        <w:rPr>
          <w:rFonts w:cs="Calibri"/>
          <w:lang w:eastAsia="en-GB"/>
        </w:rPr>
        <w:t xml:space="preserve">Where: </w:t>
      </w:r>
      <w:r w:rsidRPr="001D5327">
        <w:rPr>
          <w:rFonts w:cs="Calibri"/>
          <w:lang w:eastAsia="en-GB"/>
        </w:rPr>
        <w:tab/>
      </w:r>
      <w:r w:rsidRPr="001D5327">
        <w:rPr>
          <w:rFonts w:cs="Calibri"/>
          <w:i/>
        </w:rPr>
        <w:t>y</w:t>
      </w:r>
      <w:r w:rsidRPr="001D5327">
        <w:rPr>
          <w:rFonts w:cs="Calibri"/>
          <w:vertAlign w:val="subscript"/>
        </w:rPr>
        <w:t>t</w:t>
      </w:r>
      <w:r w:rsidRPr="001D5327">
        <w:rPr>
          <w:rFonts w:cs="Calibri"/>
        </w:rPr>
        <w:t xml:space="preserve"> is the recalculated emission estimate computed using the overlap method</w:t>
      </w:r>
    </w:p>
    <w:p w14:paraId="6A0A48AC" w14:textId="77777777" w:rsidR="00D97D6C" w:rsidRPr="001D5327" w:rsidRDefault="00D97D6C" w:rsidP="00D97D6C">
      <w:pPr>
        <w:pStyle w:val="BodyText"/>
        <w:spacing w:before="80" w:after="0"/>
        <w:ind w:left="993" w:hanging="993"/>
      </w:pPr>
      <w:r w:rsidRPr="001D5327">
        <w:tab/>
      </w:r>
      <w:r w:rsidRPr="001D5327">
        <w:rPr>
          <w:i/>
        </w:rPr>
        <w:t>x</w:t>
      </w:r>
      <w:r w:rsidRPr="001D5327">
        <w:rPr>
          <w:vertAlign w:val="subscript"/>
        </w:rPr>
        <w:t>t</w:t>
      </w:r>
      <w:r w:rsidRPr="001D5327">
        <w:t xml:space="preserve"> is the estimate developed using the previous method</w:t>
      </w:r>
    </w:p>
    <w:p w14:paraId="2792D7D6" w14:textId="77777777" w:rsidR="00D97D6C" w:rsidRPr="001D5327" w:rsidRDefault="00D97D6C" w:rsidP="00D97D6C">
      <w:pPr>
        <w:pStyle w:val="BodyText"/>
        <w:spacing w:before="80"/>
        <w:ind w:left="993" w:hanging="993"/>
      </w:pPr>
      <w:r w:rsidRPr="001D5327">
        <w:tab/>
      </w:r>
      <w:r w:rsidRPr="001D5327">
        <w:rPr>
          <w:i/>
        </w:rPr>
        <w:t>y</w:t>
      </w:r>
      <w:r w:rsidRPr="001D5327">
        <w:rPr>
          <w:i/>
          <w:vertAlign w:val="subscript"/>
        </w:rPr>
        <w:t>i</w:t>
      </w:r>
      <w:r w:rsidRPr="001D5327">
        <w:t xml:space="preserve"> and </w:t>
      </w:r>
      <w:r w:rsidRPr="001D5327">
        <w:rPr>
          <w:i/>
        </w:rPr>
        <w:t>x</w:t>
      </w:r>
      <w:r w:rsidRPr="001D5327">
        <w:rPr>
          <w:i/>
          <w:vertAlign w:val="subscript"/>
        </w:rPr>
        <w:t>i</w:t>
      </w:r>
      <w:r w:rsidRPr="001D5327">
        <w:t xml:space="preserve"> are the estimates prepared using the new and previously used methods during the period of overlap, as denoted by years </w:t>
      </w:r>
      <w:r w:rsidRPr="001D5327">
        <w:rPr>
          <w:i/>
        </w:rPr>
        <w:t>m</w:t>
      </w:r>
      <w:r w:rsidRPr="001D5327">
        <w:t xml:space="preserve"> through </w:t>
      </w:r>
      <w:r w:rsidRPr="001D5327">
        <w:rPr>
          <w:i/>
        </w:rPr>
        <w:t>n</w:t>
      </w:r>
      <w:r w:rsidRPr="001D5327">
        <w:t>.</w:t>
      </w:r>
    </w:p>
    <w:p w14:paraId="476EEF0E" w14:textId="77777777" w:rsidR="00D97D6C" w:rsidRPr="001D5327" w:rsidRDefault="00D97D6C" w:rsidP="00DB1F34">
      <w:pPr>
        <w:pStyle w:val="BodyText"/>
        <w:spacing w:after="0"/>
        <w:rPr>
          <w:lang w:eastAsia="en-GB"/>
        </w:rPr>
      </w:pPr>
      <w:r w:rsidRPr="001D5327">
        <w:rPr>
          <w:lang w:eastAsia="en-GB"/>
        </w:rPr>
        <w:t xml:space="preserve">However, for gasoline and diesel vehicles, the ratio Tier 3:Tier 1 appears to change approximately linearly with time. While surrogates for Ministry of Transport data were available (fuel </w:t>
      </w:r>
      <w:r w:rsidRPr="001D5327">
        <w:t>consumption</w:t>
      </w:r>
      <w:r w:rsidRPr="001D5327">
        <w:rPr>
          <w:lang w:eastAsia="en-GB"/>
        </w:rPr>
        <w:t xml:space="preserve">), their use resulted in a step change that is unlikely to be representative of road transport emissions for the period. While the trend in emissions was </w:t>
      </w:r>
      <w:r w:rsidRPr="001D5327">
        <w:rPr>
          <w:lang w:eastAsia="en-GB"/>
        </w:rPr>
        <w:lastRenderedPageBreak/>
        <w:t>not consistent over time, the trend of the Tier 3:Tier 1 ratio emission estimates showed a strong linear relationship with time. As a result, a hybrid method of overlap and trend extrapolation was chosen with:</w:t>
      </w:r>
    </w:p>
    <w:p w14:paraId="05D5BC6A" w14:textId="77777777" w:rsidR="00D97D6C" w:rsidRPr="001D5327" w:rsidRDefault="00000000" w:rsidP="00BE2857">
      <w:pPr>
        <w:pStyle w:val="BodyText"/>
        <w:spacing w:after="180"/>
        <w:jc w:val="center"/>
        <w:rPr>
          <w:i/>
          <w:sz w:val="24"/>
        </w:rPr>
      </w:pPr>
      <m:oMathPara>
        <m:oMath>
          <m:sSub>
            <m:sSubPr>
              <m:ctrlPr>
                <w:rPr>
                  <w:rFonts w:ascii="Cambria Math" w:hAnsi="Cambria Math"/>
                  <w:i/>
                  <w:iCs/>
                  <w:sz w:val="24"/>
                  <w:lang w:eastAsia="en-GB"/>
                </w:rPr>
              </m:ctrlPr>
            </m:sSubPr>
            <m:e>
              <m:r>
                <w:rPr>
                  <w:rFonts w:ascii="Cambria Math" w:hAnsi="Cambria Math"/>
                  <w:sz w:val="24"/>
                  <w:lang w:eastAsia="en-GB"/>
                </w:rPr>
                <m:t>y</m:t>
              </m:r>
            </m:e>
            <m:sub>
              <m:r>
                <w:rPr>
                  <w:rFonts w:ascii="Cambria Math" w:hAnsi="Cambria Math"/>
                  <w:sz w:val="24"/>
                  <w:lang w:eastAsia="en-GB"/>
                </w:rPr>
                <m:t>t</m:t>
              </m:r>
            </m:sub>
          </m:sSub>
          <m:r>
            <w:rPr>
              <w:rFonts w:ascii="Cambria Math" w:hAnsi="Cambria Math"/>
              <w:sz w:val="24"/>
              <w:lang w:eastAsia="en-GB"/>
            </w:rPr>
            <m:t>=(at+b)</m:t>
          </m:r>
          <m:sSub>
            <m:sSubPr>
              <m:ctrlPr>
                <w:rPr>
                  <w:rFonts w:ascii="Cambria Math" w:hAnsi="Cambria Math"/>
                  <w:i/>
                  <w:iCs/>
                  <w:sz w:val="24"/>
                  <w:lang w:eastAsia="en-GB"/>
                </w:rPr>
              </m:ctrlPr>
            </m:sSubPr>
            <m:e>
              <m:r>
                <w:rPr>
                  <w:rFonts w:ascii="Cambria Math" w:hAnsi="Cambria Math"/>
                  <w:sz w:val="24"/>
                  <w:lang w:eastAsia="en-GB"/>
                </w:rPr>
                <m:t>x</m:t>
              </m:r>
            </m:e>
            <m:sub>
              <m:r>
                <w:rPr>
                  <w:rFonts w:ascii="Cambria Math" w:hAnsi="Cambria Math"/>
                  <w:sz w:val="24"/>
                  <w:lang w:eastAsia="en-GB"/>
                </w:rPr>
                <m:t>t</m:t>
              </m:r>
            </m:sub>
          </m:sSub>
        </m:oMath>
      </m:oMathPara>
    </w:p>
    <w:p w14:paraId="73A9D731" w14:textId="77777777" w:rsidR="00D97D6C" w:rsidRPr="001D5327" w:rsidRDefault="00D97D6C" w:rsidP="00FC773F">
      <w:pPr>
        <w:pStyle w:val="BodyText"/>
        <w:spacing w:before="80" w:after="0"/>
        <w:ind w:left="907" w:hanging="907"/>
      </w:pPr>
      <w:r w:rsidRPr="001D5327">
        <w:rPr>
          <w:lang w:eastAsia="en-GB"/>
        </w:rPr>
        <w:t xml:space="preserve">Where: </w:t>
      </w:r>
      <w:r w:rsidRPr="001D5327">
        <w:rPr>
          <w:lang w:eastAsia="en-GB"/>
        </w:rPr>
        <w:tab/>
      </w:r>
      <w:r w:rsidRPr="001D5327">
        <w:rPr>
          <w:i/>
        </w:rPr>
        <w:t>t</w:t>
      </w:r>
      <w:r w:rsidRPr="001D5327">
        <w:t xml:space="preserve"> is the year for which a new estimate is required</w:t>
      </w:r>
    </w:p>
    <w:p w14:paraId="55B164D7" w14:textId="77777777" w:rsidR="00D97D6C" w:rsidRPr="001D5327" w:rsidRDefault="00D97D6C" w:rsidP="00FC773F">
      <w:pPr>
        <w:pStyle w:val="BodyText"/>
        <w:spacing w:before="80" w:after="0"/>
        <w:ind w:left="907" w:hanging="907"/>
      </w:pPr>
      <w:r w:rsidRPr="001D5327">
        <w:rPr>
          <w:i/>
        </w:rPr>
        <w:tab/>
        <w:t>a</w:t>
      </w:r>
      <w:r w:rsidRPr="001D5327">
        <w:t xml:space="preserve"> is the slope of the line achieved by regressing Tier 3:Tier 1 for the overlap period</w:t>
      </w:r>
    </w:p>
    <w:p w14:paraId="117677A1" w14:textId="77777777" w:rsidR="00D97D6C" w:rsidRPr="001D5327" w:rsidRDefault="00D97D6C" w:rsidP="00FC773F">
      <w:pPr>
        <w:pStyle w:val="BodyText"/>
        <w:spacing w:before="80" w:after="0"/>
        <w:ind w:left="907" w:hanging="907"/>
        <w:rPr>
          <w:spacing w:val="-2"/>
        </w:rPr>
      </w:pPr>
      <w:r w:rsidRPr="001D5327">
        <w:rPr>
          <w:i/>
        </w:rPr>
        <w:tab/>
      </w:r>
      <w:r w:rsidRPr="001D5327">
        <w:rPr>
          <w:i/>
          <w:spacing w:val="-2"/>
        </w:rPr>
        <w:t>b</w:t>
      </w:r>
      <w:r w:rsidRPr="001D5327">
        <w:rPr>
          <w:spacing w:val="-2"/>
        </w:rPr>
        <w:t xml:space="preserve"> is the intercept of the line achieved by regressing Tier 3:Tier 1 for the overlap period</w:t>
      </w:r>
    </w:p>
    <w:p w14:paraId="08D82812" w14:textId="77777777" w:rsidR="00D97D6C" w:rsidRPr="001D5327" w:rsidRDefault="00D97D6C" w:rsidP="00FC773F">
      <w:pPr>
        <w:pStyle w:val="BodyText"/>
        <w:spacing w:before="80"/>
        <w:ind w:left="907" w:hanging="907"/>
      </w:pPr>
      <w:r w:rsidRPr="001D5327">
        <w:tab/>
      </w:r>
      <w:r w:rsidRPr="001D5327">
        <w:rPr>
          <w:i/>
        </w:rPr>
        <w:t>x</w:t>
      </w:r>
      <w:r w:rsidRPr="001D5327">
        <w:rPr>
          <w:i/>
          <w:vertAlign w:val="subscript"/>
        </w:rPr>
        <w:t>t</w:t>
      </w:r>
      <w:r w:rsidRPr="001D5327">
        <w:t xml:space="preserve"> is the estimate for year </w:t>
      </w:r>
      <w:r w:rsidRPr="001D5327">
        <w:rPr>
          <w:i/>
        </w:rPr>
        <w:t>t</w:t>
      </w:r>
      <w:r w:rsidRPr="001D5327">
        <w:t xml:space="preserve"> using the previous methodology.</w:t>
      </w:r>
    </w:p>
    <w:p w14:paraId="6785E013" w14:textId="77777777" w:rsidR="00D97D6C" w:rsidRPr="001D5327" w:rsidRDefault="00D97D6C" w:rsidP="00D97D6C">
      <w:pPr>
        <w:pStyle w:val="BodyText"/>
        <w:spacing w:before="100" w:after="100"/>
        <w:rPr>
          <w:rFonts w:cs="Calibri"/>
          <w:lang w:eastAsia="en-GB"/>
        </w:rPr>
      </w:pPr>
      <w:r w:rsidRPr="001D5327">
        <w:rPr>
          <w:rFonts w:cs="Calibri"/>
          <w:lang w:eastAsia="en-GB"/>
        </w:rPr>
        <w:t>The relationship between Tier 3 and Tier 1 emissions is linear from 2001 to 2005 (inclusive) for both CH</w:t>
      </w:r>
      <w:r w:rsidRPr="001D5327">
        <w:rPr>
          <w:rFonts w:cs="Calibri"/>
          <w:vertAlign w:val="subscript"/>
          <w:lang w:eastAsia="en-GB"/>
        </w:rPr>
        <w:t>4</w:t>
      </w:r>
      <w:r w:rsidRPr="001D5327">
        <w:rPr>
          <w:rFonts w:cs="Calibri"/>
          <w:lang w:eastAsia="en-GB"/>
        </w:rPr>
        <w:t xml:space="preserve"> and N</w:t>
      </w:r>
      <w:r w:rsidRPr="001D5327">
        <w:rPr>
          <w:rFonts w:cs="Calibri"/>
          <w:vertAlign w:val="subscript"/>
          <w:lang w:eastAsia="en-GB"/>
        </w:rPr>
        <w:t>2</w:t>
      </w:r>
      <w:r w:rsidRPr="001D5327">
        <w:rPr>
          <w:rFonts w:cs="Calibri"/>
          <w:lang w:eastAsia="en-GB"/>
        </w:rPr>
        <w:t>O. This relationship was extrapolated back to the beginning of the time series to derive a factor by which to multiply the Tier 1 estimate for a given year.</w:t>
      </w:r>
    </w:p>
    <w:p w14:paraId="15F2392F" w14:textId="77777777" w:rsidR="00D97D6C" w:rsidRPr="001D5327" w:rsidRDefault="00D97D6C" w:rsidP="008613C8">
      <w:pPr>
        <w:pStyle w:val="Heading6"/>
      </w:pPr>
      <w:r w:rsidRPr="001D5327">
        <w:t>Dual-fuel vehicles</w:t>
      </w:r>
    </w:p>
    <w:p w14:paraId="0888725B" w14:textId="76775C5E" w:rsidR="00D97D6C" w:rsidRPr="001D5327" w:rsidRDefault="00D97D6C" w:rsidP="00D97D6C">
      <w:pPr>
        <w:pStyle w:val="BodyText"/>
        <w:spacing w:before="100" w:after="100"/>
        <w:rPr>
          <w:rFonts w:cs="Calibri"/>
          <w:lang w:eastAsia="en-GB"/>
        </w:rPr>
      </w:pPr>
      <w:r w:rsidRPr="001D5327">
        <w:rPr>
          <w:rFonts w:cs="Calibri"/>
        </w:rPr>
        <w:t xml:space="preserve">Historically, the </w:t>
      </w:r>
      <w:r w:rsidRPr="001D5327">
        <w:rPr>
          <w:rFonts w:cs="Calibri"/>
          <w:lang w:eastAsia="en-GB"/>
        </w:rPr>
        <w:t xml:space="preserve">New Zealand </w:t>
      </w:r>
      <w:r w:rsidRPr="001D5327">
        <w:rPr>
          <w:rFonts w:cs="Calibri"/>
        </w:rPr>
        <w:t>Government encouraged the production and use of dual</w:t>
      </w:r>
      <w:r w:rsidR="00B8286F" w:rsidRPr="001D5327">
        <w:rPr>
          <w:rFonts w:cs="Calibri"/>
        </w:rPr>
        <w:t xml:space="preserve"> </w:t>
      </w:r>
      <w:r w:rsidRPr="001D5327">
        <w:rPr>
          <w:rFonts w:cs="Calibri"/>
        </w:rPr>
        <w:t xml:space="preserve">fuels (CNG–gasoline and LPG–gasoline) in transport as a strategy to reduce </w:t>
      </w:r>
      <w:r w:rsidRPr="001D5327">
        <w:rPr>
          <w:rFonts w:cs="Calibri"/>
          <w:lang w:eastAsia="en-GB"/>
        </w:rPr>
        <w:t>New Zealand’s</w:t>
      </w:r>
      <w:r w:rsidRPr="001D5327">
        <w:rPr>
          <w:rFonts w:cs="Calibri"/>
        </w:rPr>
        <w:t xml:space="preserve"> dependence on imported oil. </w:t>
      </w:r>
      <w:r w:rsidRPr="001D5327">
        <w:rPr>
          <w:rFonts w:cs="Calibri"/>
          <w:lang w:eastAsia="en-GB"/>
        </w:rPr>
        <w:t>New Zealand</w:t>
      </w:r>
      <w:r w:rsidRPr="001D5327">
        <w:rPr>
          <w:rFonts w:cs="Calibri"/>
        </w:rPr>
        <w:t xml:space="preserve"> saw significant use of dual fuels in vehicles until 1987, when government subsidies were removed. Since then, dual fuel use has decreased, due both to the removal of subsidies and to falling oil prices. The last recorded use of dual fuels in </w:t>
      </w:r>
      <w:r w:rsidRPr="001D5327">
        <w:rPr>
          <w:rFonts w:cs="Calibri"/>
          <w:lang w:eastAsia="en-GB"/>
        </w:rPr>
        <w:t>New Zealand</w:t>
      </w:r>
      <w:r w:rsidRPr="001D5327">
        <w:rPr>
          <w:rFonts w:cs="Calibri"/>
        </w:rPr>
        <w:t xml:space="preserve"> was a Hamilton bus company, which continued using CNG in its bus fleet until 2017. Use of CNG or LPG for transport has not been recorded since.</w:t>
      </w:r>
    </w:p>
    <w:p w14:paraId="7597BBF6" w14:textId="19B5CC01" w:rsidR="00D97D6C" w:rsidRPr="001D5327" w:rsidRDefault="00D97D6C" w:rsidP="00D97D6C">
      <w:pPr>
        <w:pStyle w:val="BodyText"/>
        <w:spacing w:before="100" w:after="100"/>
        <w:rPr>
          <w:rFonts w:cs="Calibri"/>
          <w:lang w:eastAsia="en-GB"/>
        </w:rPr>
      </w:pPr>
      <w:r w:rsidRPr="001D5327">
        <w:rPr>
          <w:rFonts w:cs="Calibri"/>
          <w:spacing w:val="-2"/>
          <w:lang w:eastAsia="en-GB"/>
        </w:rPr>
        <w:t xml:space="preserve">The vehicle-kilometres-travelled data provided by the Ministry of Transport allocates all vehicles using dual fuels (LPG–gasoline and CNG–gasoline) to the </w:t>
      </w:r>
      <w:r w:rsidRPr="001D5327">
        <w:rPr>
          <w:rFonts w:cs="Calibri"/>
          <w:i/>
          <w:spacing w:val="-2"/>
          <w:lang w:eastAsia="en-GB"/>
        </w:rPr>
        <w:t>Gasoline</w:t>
      </w:r>
      <w:r w:rsidRPr="001D5327">
        <w:rPr>
          <w:rFonts w:cs="Calibri"/>
          <w:spacing w:val="-2"/>
          <w:lang w:eastAsia="en-GB"/>
        </w:rPr>
        <w:t xml:space="preserve"> category. Historically, non-CO</w:t>
      </w:r>
      <w:r w:rsidRPr="001D5327">
        <w:rPr>
          <w:rFonts w:cs="Calibri"/>
          <w:spacing w:val="-2"/>
          <w:vertAlign w:val="subscript"/>
          <w:lang w:eastAsia="en-GB"/>
        </w:rPr>
        <w:t>2</w:t>
      </w:r>
      <w:r w:rsidRPr="001D5327">
        <w:rPr>
          <w:rFonts w:cs="Calibri"/>
          <w:spacing w:val="-2"/>
          <w:lang w:eastAsia="en-GB"/>
        </w:rPr>
        <w:t xml:space="preserve"> emission factors have been lower for LPG than for gasoline, and correctly allocating dual fuel activity data between gasoline and LPG would result in a slight decrease in overall emissions. As a result, activity data for LPG–gasoline dual-fuel vehicles </w:t>
      </w:r>
      <w:r w:rsidR="008E09C9" w:rsidRPr="001D5327">
        <w:rPr>
          <w:rFonts w:cs="Calibri"/>
          <w:spacing w:val="-2"/>
          <w:lang w:eastAsia="en-GB"/>
        </w:rPr>
        <w:t xml:space="preserve">were </w:t>
      </w:r>
      <w:r w:rsidRPr="001D5327">
        <w:rPr>
          <w:rFonts w:cs="Calibri"/>
          <w:spacing w:val="-2"/>
          <w:lang w:eastAsia="en-GB"/>
        </w:rPr>
        <w:t>not reallocated due to a desire to be conservative when applying methods that would lead to net</w:t>
      </w:r>
      <w:r w:rsidR="00BE2857" w:rsidRPr="001D5327">
        <w:rPr>
          <w:rFonts w:cs="Calibri"/>
          <w:spacing w:val="-2"/>
          <w:lang w:eastAsia="en-GB"/>
        </w:rPr>
        <w:t> </w:t>
      </w:r>
      <w:r w:rsidRPr="001D5327">
        <w:rPr>
          <w:rFonts w:cs="Calibri"/>
          <w:spacing w:val="-2"/>
          <w:lang w:eastAsia="en-GB"/>
        </w:rPr>
        <w:t>emission reductions</w:t>
      </w:r>
      <w:r w:rsidRPr="001D5327">
        <w:rPr>
          <w:rFonts w:cs="Calibri"/>
          <w:lang w:eastAsia="en-GB"/>
        </w:rPr>
        <w:t>.</w:t>
      </w:r>
    </w:p>
    <w:p w14:paraId="5912C154" w14:textId="5C74E806" w:rsidR="00D97D6C" w:rsidRPr="001D5327" w:rsidRDefault="00D97D6C" w:rsidP="00D97D6C">
      <w:pPr>
        <w:pStyle w:val="BodyText"/>
        <w:spacing w:before="100" w:after="100"/>
        <w:rPr>
          <w:rFonts w:cs="Calibri"/>
          <w:lang w:eastAsia="en-GB"/>
        </w:rPr>
      </w:pPr>
      <w:r w:rsidRPr="001D5327">
        <w:rPr>
          <w:rFonts w:cs="Calibri"/>
          <w:lang w:eastAsia="en-GB"/>
        </w:rPr>
        <w:t>To ensure that emissions were not underestimated, an estimate of the fuel used in CNG buses was also made. The remaining natural gas was then assumed to be combusted in converted light passenger vehicles, and an IPCC default emission factor was used to estimate the associated emissions.</w:t>
      </w:r>
    </w:p>
    <w:p w14:paraId="3F8FA22F" w14:textId="77777777" w:rsidR="00D97D6C" w:rsidRPr="001D5327" w:rsidRDefault="00D97D6C" w:rsidP="008613C8">
      <w:pPr>
        <w:pStyle w:val="Heading6"/>
      </w:pPr>
      <w:r w:rsidRPr="001D5327">
        <w:t>Blended biofuels</w:t>
      </w:r>
    </w:p>
    <w:p w14:paraId="044DC9C8" w14:textId="7640FE6A" w:rsidR="00D97D6C" w:rsidRPr="001D5327" w:rsidRDefault="00D97D6C" w:rsidP="00D97D6C">
      <w:pPr>
        <w:pStyle w:val="BodyText"/>
        <w:spacing w:before="100"/>
        <w:rPr>
          <w:rFonts w:cs="Calibri"/>
          <w:lang w:eastAsia="en-GB"/>
        </w:rPr>
      </w:pPr>
      <w:r w:rsidRPr="001D5327">
        <w:rPr>
          <w:rFonts w:cs="Calibri"/>
          <w:lang w:eastAsia="en-GB"/>
        </w:rPr>
        <w:t xml:space="preserve">Since 2007, some fuel retailers have sold small volumes of biogasoline and biodiesel blended with mineral oil products (data on these exist from 2007 onwards). These fuels are categorised under 1.A.3.b </w:t>
      </w:r>
      <w:r w:rsidRPr="001D5327">
        <w:rPr>
          <w:rFonts w:cs="Calibri"/>
          <w:i/>
          <w:lang w:eastAsia="en-GB"/>
        </w:rPr>
        <w:t>Road transportation</w:t>
      </w:r>
      <w:r w:rsidRPr="001D5327">
        <w:rPr>
          <w:rFonts w:cs="Calibri"/>
          <w:lang w:eastAsia="en-GB"/>
        </w:rPr>
        <w:t>. To ensure that liquid biofuel combustion is considered correctly in the inventory, the energy split (i.e., gasoline as a share of combined gasoline and biogasoline or mineral diesel as a share of mineral diesel and biodiesel) was calculated</w:t>
      </w:r>
      <w:r w:rsidR="0019198E" w:rsidRPr="001D5327">
        <w:rPr>
          <w:rFonts w:cs="Calibri"/>
          <w:lang w:eastAsia="en-GB"/>
        </w:rPr>
        <w:t xml:space="preserve"> first</w:t>
      </w:r>
      <w:r w:rsidRPr="001D5327">
        <w:rPr>
          <w:rFonts w:cs="Calibri"/>
          <w:lang w:eastAsia="en-GB"/>
        </w:rPr>
        <w:t xml:space="preserve">, and then the new estimate was multiplied by this factor to account for the biofuel proportion of the fuel. The emissions from the combustion of biofuels were then estimated using a Tier 1 methodology, as in previous inventories. </w:t>
      </w:r>
    </w:p>
    <w:p w14:paraId="3742B5EE" w14:textId="77777777" w:rsidR="00D97D6C" w:rsidRPr="001D5327" w:rsidRDefault="00D97D6C" w:rsidP="008613C8">
      <w:pPr>
        <w:pStyle w:val="Heading6"/>
      </w:pPr>
      <w:r w:rsidRPr="001D5327">
        <w:t>Biodiesel</w:t>
      </w:r>
    </w:p>
    <w:p w14:paraId="154A2EC0" w14:textId="77777777" w:rsidR="00D97D6C" w:rsidRPr="001D5327" w:rsidRDefault="00D97D6C" w:rsidP="005262B5">
      <w:pPr>
        <w:pStyle w:val="BodyText"/>
        <w:spacing w:before="100" w:after="100"/>
        <w:rPr>
          <w:rFonts w:cs="Calibri"/>
          <w:lang w:eastAsia="en-GB"/>
        </w:rPr>
      </w:pPr>
      <w:r w:rsidRPr="001D5327">
        <w:rPr>
          <w:rFonts w:cs="Calibri"/>
          <w:lang w:eastAsia="en-GB"/>
        </w:rPr>
        <w:t xml:space="preserve">Blended biodiesel has been disaggregated into biogenic and fossil fractions in our reporting. The biodiesel biogenic fraction continues to be classified as </w:t>
      </w:r>
      <w:r w:rsidRPr="001D5327">
        <w:rPr>
          <w:rFonts w:cs="Calibri"/>
          <w:i/>
          <w:lang w:eastAsia="en-GB"/>
        </w:rPr>
        <w:t>Biomass</w:t>
      </w:r>
      <w:r w:rsidRPr="001D5327">
        <w:rPr>
          <w:rFonts w:cs="Calibri"/>
          <w:lang w:eastAsia="en-GB"/>
        </w:rPr>
        <w:t xml:space="preserve">, while the biodiesel fossil fraction is classified as </w:t>
      </w:r>
      <w:r w:rsidRPr="001D5327">
        <w:rPr>
          <w:rFonts w:cs="Calibri"/>
          <w:i/>
          <w:lang w:eastAsia="en-GB"/>
        </w:rPr>
        <w:t>Other fossil fuels</w:t>
      </w:r>
      <w:r w:rsidRPr="001D5327">
        <w:rPr>
          <w:rFonts w:cs="Calibri"/>
          <w:lang w:eastAsia="en-GB"/>
        </w:rPr>
        <w:t>.</w:t>
      </w:r>
    </w:p>
    <w:p w14:paraId="59F03392" w14:textId="77777777" w:rsidR="00D97D6C" w:rsidRPr="001D5327" w:rsidRDefault="00D97D6C" w:rsidP="005262B5">
      <w:pPr>
        <w:pStyle w:val="BodyText"/>
        <w:spacing w:before="100" w:after="100"/>
        <w:rPr>
          <w:rFonts w:cs="Calibri"/>
          <w:lang w:eastAsia="en-GB"/>
        </w:rPr>
      </w:pPr>
      <w:r w:rsidRPr="001D5327">
        <w:rPr>
          <w:rFonts w:cs="Calibri"/>
          <w:lang w:eastAsia="en-GB"/>
        </w:rPr>
        <w:lastRenderedPageBreak/>
        <w:t xml:space="preserve">Biodiesel produced and consumed in New Zealand is generally fatty acid methyl ester (FAME). </w:t>
      </w:r>
      <w:r w:rsidRPr="001D5327">
        <w:rPr>
          <w:rFonts w:cs="Calibri"/>
          <w:spacing w:val="-2"/>
          <w:lang w:eastAsia="en-GB"/>
        </w:rPr>
        <w:t>To produce FAME, vegetable oil or animal fat is trans-esterified with methanol, which is assumed</w:t>
      </w:r>
      <w:r w:rsidRPr="001D5327">
        <w:rPr>
          <w:rFonts w:cs="Calibri"/>
          <w:lang w:eastAsia="en-GB"/>
        </w:rPr>
        <w:t xml:space="preserve"> to be of fossil origin. Consequently, every single molecule of FAME contains one fossil carbon </w:t>
      </w:r>
      <w:r w:rsidRPr="001D5327">
        <w:rPr>
          <w:rFonts w:cs="Calibri"/>
          <w:spacing w:val="-2"/>
          <w:lang w:eastAsia="en-GB"/>
        </w:rPr>
        <w:t>atom. While the exact fraction of fossil carbon in FAME depends on the nature of the feedstock</w:t>
      </w:r>
      <w:r w:rsidRPr="001D5327">
        <w:rPr>
          <w:rFonts w:cs="Calibri"/>
          <w:lang w:eastAsia="en-GB"/>
        </w:rPr>
        <w:t xml:space="preserve"> oil, a value of 5.4 per cent is assumed based on measurements of a range of biodiesels from Reddy et al. (2008). As a result, part of the CO</w:t>
      </w:r>
      <w:r w:rsidRPr="001D5327">
        <w:rPr>
          <w:rFonts w:cs="Calibri"/>
          <w:vertAlign w:val="subscript"/>
          <w:lang w:eastAsia="en-GB"/>
        </w:rPr>
        <w:t>2</w:t>
      </w:r>
      <w:r w:rsidRPr="001D5327">
        <w:rPr>
          <w:rFonts w:cs="Calibri"/>
          <w:lang w:eastAsia="en-GB"/>
        </w:rPr>
        <w:t xml:space="preserve"> emissions previously reported as biomass memo items are now included in the national total emissions.</w:t>
      </w:r>
    </w:p>
    <w:p w14:paraId="6EF74E3D" w14:textId="77777777" w:rsidR="00D97D6C" w:rsidRPr="001D5327" w:rsidRDefault="00D97D6C" w:rsidP="00EE2F61">
      <w:pPr>
        <w:pStyle w:val="Heading5"/>
        <w:spacing w:before="220"/>
      </w:pPr>
      <w:r w:rsidRPr="001D5327">
        <w:rPr>
          <w:lang w:eastAsia="en-GB"/>
        </w:rPr>
        <w:t>1.A.3.c Railways</w:t>
      </w:r>
    </w:p>
    <w:p w14:paraId="20817113" w14:textId="77777777" w:rsidR="00D97D6C" w:rsidRPr="001D5327" w:rsidRDefault="00D97D6C" w:rsidP="005262B5">
      <w:pPr>
        <w:pStyle w:val="BodyText"/>
        <w:spacing w:before="100" w:after="100"/>
        <w:rPr>
          <w:rFonts w:cs="Calibri"/>
          <w:lang w:eastAsia="en-GB"/>
        </w:rPr>
      </w:pPr>
      <w:r w:rsidRPr="001D5327">
        <w:rPr>
          <w:rFonts w:cs="Calibri"/>
          <w:lang w:eastAsia="en-GB"/>
        </w:rPr>
        <w:t>Non-CO</w:t>
      </w:r>
      <w:r w:rsidRPr="001D5327">
        <w:rPr>
          <w:rFonts w:cs="Calibri"/>
          <w:vertAlign w:val="subscript"/>
          <w:lang w:eastAsia="en-GB"/>
        </w:rPr>
        <w:t>2</w:t>
      </w:r>
      <w:r w:rsidRPr="001D5327">
        <w:rPr>
          <w:rFonts w:cs="Calibri"/>
          <w:lang w:eastAsia="en-GB"/>
        </w:rPr>
        <w:t xml:space="preserve"> emissions from the </w:t>
      </w:r>
      <w:r w:rsidRPr="001D5327">
        <w:rPr>
          <w:rFonts w:cs="Calibri"/>
          <w:i/>
          <w:lang w:eastAsia="en-GB"/>
        </w:rPr>
        <w:t>Railways</w:t>
      </w:r>
      <w:r w:rsidRPr="001D5327">
        <w:rPr>
          <w:rFonts w:cs="Calibri"/>
          <w:lang w:eastAsia="en-GB"/>
        </w:rPr>
        <w:t xml:space="preserve"> category (including both liquid and solid fuels) were estimated using a Tier 1 approach (IPCC, 2006).</w:t>
      </w:r>
    </w:p>
    <w:p w14:paraId="20DBA392" w14:textId="77777777" w:rsidR="00D97D6C" w:rsidRPr="001D5327" w:rsidRDefault="00D97D6C" w:rsidP="00EE2F61">
      <w:pPr>
        <w:pStyle w:val="Heading5"/>
        <w:spacing w:before="220"/>
        <w:rPr>
          <w:lang w:eastAsia="en-GB"/>
        </w:rPr>
      </w:pPr>
      <w:r w:rsidRPr="001D5327">
        <w:rPr>
          <w:lang w:eastAsia="en-GB"/>
        </w:rPr>
        <w:t>1.A.3.d Navigation (domestic marine transport)</w:t>
      </w:r>
    </w:p>
    <w:p w14:paraId="251EDE53" w14:textId="77777777" w:rsidR="00D97D6C" w:rsidRPr="001D5327" w:rsidRDefault="00D97D6C" w:rsidP="005262B5">
      <w:pPr>
        <w:pStyle w:val="BodyText"/>
        <w:spacing w:before="100" w:after="100"/>
        <w:rPr>
          <w:rFonts w:cs="Calibri"/>
          <w:lang w:eastAsia="en-GB"/>
        </w:rPr>
      </w:pPr>
      <w:r w:rsidRPr="001D5327">
        <w:rPr>
          <w:rFonts w:cs="Calibri"/>
          <w:lang w:eastAsia="en-GB"/>
        </w:rPr>
        <w:t>Non-CO</w:t>
      </w:r>
      <w:r w:rsidRPr="001D5327">
        <w:rPr>
          <w:rFonts w:cs="Calibri"/>
          <w:vertAlign w:val="subscript"/>
          <w:lang w:eastAsia="en-GB"/>
        </w:rPr>
        <w:t>2</w:t>
      </w:r>
      <w:r w:rsidRPr="001D5327">
        <w:rPr>
          <w:rFonts w:cs="Calibri"/>
          <w:lang w:eastAsia="en-GB"/>
        </w:rPr>
        <w:t xml:space="preserve"> emissions from the </w:t>
      </w:r>
      <w:r w:rsidRPr="001D5327">
        <w:rPr>
          <w:rFonts w:cs="Calibri"/>
          <w:i/>
          <w:lang w:eastAsia="en-GB"/>
        </w:rPr>
        <w:t>Navigation</w:t>
      </w:r>
      <w:r w:rsidRPr="001D5327">
        <w:rPr>
          <w:rFonts w:cs="Calibri"/>
          <w:lang w:eastAsia="en-GB"/>
        </w:rPr>
        <w:t xml:space="preserve"> category in New Zealand were estimated using a Tier 1 approach (IPCC, 2006).</w:t>
      </w:r>
    </w:p>
    <w:p w14:paraId="2C43D82A" w14:textId="77777777" w:rsidR="00D97D6C" w:rsidRPr="001D5327" w:rsidRDefault="00D97D6C" w:rsidP="00EE2F61">
      <w:pPr>
        <w:pStyle w:val="Heading5"/>
        <w:spacing w:before="220"/>
        <w:rPr>
          <w:lang w:eastAsia="en-GB"/>
        </w:rPr>
      </w:pPr>
      <w:r w:rsidRPr="001D5327">
        <w:rPr>
          <w:lang w:eastAsia="en-GB"/>
        </w:rPr>
        <w:t>1.A.3.e Other transportation</w:t>
      </w:r>
    </w:p>
    <w:p w14:paraId="41C89E12" w14:textId="77777777" w:rsidR="00D97D6C" w:rsidRPr="001D5327" w:rsidRDefault="00D97D6C" w:rsidP="005262B5">
      <w:pPr>
        <w:pStyle w:val="BodyText"/>
        <w:spacing w:before="100" w:after="100"/>
        <w:rPr>
          <w:rFonts w:cs="Calibri"/>
          <w:lang w:eastAsia="en-GB"/>
        </w:rPr>
      </w:pPr>
      <w:r w:rsidRPr="001D5327">
        <w:rPr>
          <w:rFonts w:cs="Calibri"/>
          <w:lang w:eastAsia="en-GB"/>
        </w:rPr>
        <w:t xml:space="preserve">Combustion related to pipeline transport has been recategorised from 1.A.1.c </w:t>
      </w:r>
      <w:r w:rsidRPr="001D5327">
        <w:rPr>
          <w:rFonts w:cs="Calibri"/>
          <w:i/>
          <w:iCs/>
          <w:lang w:eastAsia="en-GB"/>
        </w:rPr>
        <w:t>Manufacture of solid fuels and other energy industries</w:t>
      </w:r>
      <w:r w:rsidRPr="001D5327">
        <w:rPr>
          <w:rFonts w:cs="Calibri"/>
          <w:lang w:eastAsia="en-GB"/>
        </w:rPr>
        <w:t xml:space="preserve"> to 1.A.3.e.i </w:t>
      </w:r>
      <w:r w:rsidRPr="001D5327">
        <w:rPr>
          <w:rFonts w:cs="Calibri"/>
          <w:i/>
          <w:lang w:eastAsia="en-GB"/>
        </w:rPr>
        <w:t>Pipeline transport</w:t>
      </w:r>
      <w:r w:rsidRPr="001D5327">
        <w:rPr>
          <w:rFonts w:cs="Calibri"/>
          <w:iCs/>
          <w:lang w:eastAsia="en-GB"/>
        </w:rPr>
        <w:t>,</w:t>
      </w:r>
      <w:r w:rsidRPr="001D5327">
        <w:rPr>
          <w:rFonts w:cs="Calibri"/>
          <w:lang w:eastAsia="en-GB"/>
        </w:rPr>
        <w:t xml:space="preserve"> in response to feedback received from the ERT during the 2018 centralised review.</w:t>
      </w:r>
    </w:p>
    <w:p w14:paraId="4864F813" w14:textId="1E555B94" w:rsidR="00D97D6C" w:rsidRPr="001D5327" w:rsidRDefault="00D97D6C" w:rsidP="005262B5">
      <w:pPr>
        <w:pStyle w:val="BodyText"/>
        <w:spacing w:before="100" w:after="100"/>
        <w:rPr>
          <w:rFonts w:cs="Calibri"/>
        </w:rPr>
      </w:pPr>
      <w:r w:rsidRPr="001D5327">
        <w:rPr>
          <w:rFonts w:cs="Calibri"/>
        </w:rPr>
        <w:t xml:space="preserve">A recent development in </w:t>
      </w:r>
      <w:r w:rsidRPr="001D5327">
        <w:rPr>
          <w:rFonts w:cs="Calibri"/>
          <w:lang w:eastAsia="en-GB"/>
        </w:rPr>
        <w:t>New Zealand</w:t>
      </w:r>
      <w:r w:rsidRPr="001D5327">
        <w:rPr>
          <w:rFonts w:cs="Calibri"/>
        </w:rPr>
        <w:t xml:space="preserve"> is the emergence of a </w:t>
      </w:r>
      <w:r w:rsidR="0098624C" w:rsidRPr="001D5327">
        <w:rPr>
          <w:rFonts w:cs="Calibri"/>
        </w:rPr>
        <w:t xml:space="preserve">growing </w:t>
      </w:r>
      <w:r w:rsidRPr="001D5327">
        <w:rPr>
          <w:rFonts w:cs="Calibri"/>
        </w:rPr>
        <w:t xml:space="preserve">aerospace industry. In </w:t>
      </w:r>
      <w:r w:rsidRPr="001D5327">
        <w:rPr>
          <w:rFonts w:cs="Calibri"/>
          <w:lang w:eastAsia="en-GB"/>
        </w:rPr>
        <w:t>New Zealand</w:t>
      </w:r>
      <w:r w:rsidRPr="001D5327">
        <w:rPr>
          <w:rFonts w:cs="Calibri"/>
        </w:rPr>
        <w:t xml:space="preserve">, space-related activities (launches into outer space, launch facilities, high-altitude vehicles and payloads) are overseen by the New Zealand Space Agency, based within MBIE, as regulated in legislation by the Outer Space and High-altitude Activities Act 2017. Currently, one private company is </w:t>
      </w:r>
      <w:r w:rsidR="5D858A19" w:rsidRPr="001D5327">
        <w:rPr>
          <w:rFonts w:eastAsia="Segoe UI" w:cs="Calibri"/>
        </w:rPr>
        <w:t xml:space="preserve">operating an ongoing programme </w:t>
      </w:r>
      <w:r w:rsidR="0E002144" w:rsidRPr="001D5327">
        <w:rPr>
          <w:rFonts w:cs="Calibri"/>
        </w:rPr>
        <w:t xml:space="preserve">of </w:t>
      </w:r>
      <w:r w:rsidRPr="001D5327">
        <w:rPr>
          <w:rFonts w:cs="Calibri"/>
        </w:rPr>
        <w:t>launching rockets from a launch complex on the Māhia Peninsula (on the east coast of</w:t>
      </w:r>
      <w:r w:rsidRPr="001D5327">
        <w:rPr>
          <w:rFonts w:cs="Calibri"/>
          <w:lang w:eastAsia="en-GB"/>
        </w:rPr>
        <w:t xml:space="preserve"> New Zealand’s</w:t>
      </w:r>
      <w:r w:rsidRPr="001D5327">
        <w:rPr>
          <w:rFonts w:cs="Calibri"/>
        </w:rPr>
        <w:t xml:space="preserve"> North Island) to put small</w:t>
      </w:r>
      <w:r w:rsidR="005262B5" w:rsidRPr="001D5327">
        <w:rPr>
          <w:rFonts w:cs="Calibri"/>
        </w:rPr>
        <w:t> </w:t>
      </w:r>
      <w:r w:rsidRPr="001D5327">
        <w:rPr>
          <w:rFonts w:cs="Calibri"/>
        </w:rPr>
        <w:t>satellites in orbit around Earth. The rockets use liquid oxygen and RP-1 (a form of highly</w:t>
      </w:r>
      <w:r w:rsidR="0019119B" w:rsidRPr="001D5327">
        <w:rPr>
          <w:rFonts w:cs="Calibri"/>
        </w:rPr>
        <w:t xml:space="preserve"> </w:t>
      </w:r>
      <w:r w:rsidRPr="001D5327">
        <w:rPr>
          <w:rFonts w:cs="Calibri"/>
        </w:rPr>
        <w:t>refined kerosene) as propellants.</w:t>
      </w:r>
      <w:r w:rsidR="003373C0" w:rsidRPr="001D5327">
        <w:rPr>
          <w:rFonts w:cs="Calibri"/>
        </w:rPr>
        <w:t xml:space="preserve"> In 2022, </w:t>
      </w:r>
      <w:r w:rsidR="0019119B" w:rsidRPr="001D5327">
        <w:rPr>
          <w:rFonts w:cs="Calibri"/>
        </w:rPr>
        <w:t xml:space="preserve">the number of rockets </w:t>
      </w:r>
      <w:r w:rsidR="003373C0" w:rsidRPr="001D5327">
        <w:rPr>
          <w:rFonts w:cs="Calibri"/>
        </w:rPr>
        <w:t xml:space="preserve">New Zealand launched </w:t>
      </w:r>
      <w:r w:rsidR="0019119B" w:rsidRPr="001D5327">
        <w:rPr>
          <w:rFonts w:cs="Calibri"/>
        </w:rPr>
        <w:t>was</w:t>
      </w:r>
      <w:r w:rsidR="005262B5" w:rsidRPr="001D5327">
        <w:rPr>
          <w:rFonts w:cs="Calibri"/>
        </w:rPr>
        <w:t> </w:t>
      </w:r>
      <w:r w:rsidR="003373C0" w:rsidRPr="001D5327">
        <w:rPr>
          <w:rFonts w:cs="Calibri"/>
        </w:rPr>
        <w:t xml:space="preserve">the fourth </w:t>
      </w:r>
      <w:r w:rsidR="0019119B" w:rsidRPr="001D5327">
        <w:rPr>
          <w:rFonts w:cs="Calibri"/>
        </w:rPr>
        <w:t xml:space="preserve">highest </w:t>
      </w:r>
      <w:r w:rsidR="003373C0" w:rsidRPr="001D5327">
        <w:rPr>
          <w:rFonts w:cs="Calibri"/>
        </w:rPr>
        <w:t xml:space="preserve">in the world, behind the United States, China and Russia (Aerospace New Zealand, </w:t>
      </w:r>
      <w:r w:rsidR="004706B0" w:rsidRPr="001D5327">
        <w:rPr>
          <w:rFonts w:cs="Calibri"/>
        </w:rPr>
        <w:t>no date</w:t>
      </w:r>
      <w:r w:rsidR="003373C0" w:rsidRPr="001D5327">
        <w:rPr>
          <w:rFonts w:cs="Calibri"/>
        </w:rPr>
        <w:t>).</w:t>
      </w:r>
    </w:p>
    <w:p w14:paraId="648DBB14" w14:textId="5F8BFE7C" w:rsidR="00D97D6C" w:rsidRPr="001D5327" w:rsidRDefault="00D97D6C" w:rsidP="005262B5">
      <w:pPr>
        <w:pStyle w:val="BodyText"/>
        <w:spacing w:before="100" w:after="100"/>
        <w:rPr>
          <w:rFonts w:cs="Calibri"/>
        </w:rPr>
      </w:pPr>
      <w:r w:rsidRPr="001D5327">
        <w:rPr>
          <w:rFonts w:cs="Calibri"/>
          <w:spacing w:val="-2"/>
        </w:rPr>
        <w:t>The specific categorisation of aerospace activity within energy statistics is yet to be determined</w:t>
      </w:r>
      <w:r w:rsidRPr="001D5327">
        <w:rPr>
          <w:rFonts w:cs="Calibri"/>
        </w:rPr>
        <w:t xml:space="preserve">, although this type of kerosene is likely classified as jet kerosene under ANZSIC code </w:t>
      </w:r>
      <w:r w:rsidRPr="001D5327">
        <w:rPr>
          <w:rFonts w:cs="Calibri"/>
          <w:i/>
        </w:rPr>
        <w:t>I49 Air and</w:t>
      </w:r>
      <w:r w:rsidR="005262B5" w:rsidRPr="001D5327">
        <w:rPr>
          <w:rFonts w:cs="Calibri"/>
          <w:i/>
        </w:rPr>
        <w:t> </w:t>
      </w:r>
      <w:r w:rsidRPr="001D5327">
        <w:rPr>
          <w:rFonts w:cs="Calibri"/>
          <w:i/>
        </w:rPr>
        <w:t>Space Transport</w:t>
      </w:r>
      <w:r w:rsidRPr="001D5327">
        <w:rPr>
          <w:rFonts w:cs="Calibri"/>
        </w:rPr>
        <w:t xml:space="preserve">, and so would be included in </w:t>
      </w:r>
      <w:r w:rsidR="00A54002" w:rsidRPr="001D5327">
        <w:rPr>
          <w:rFonts w:cs="Calibri"/>
        </w:rPr>
        <w:t xml:space="preserve">category </w:t>
      </w:r>
      <w:r w:rsidRPr="001D5327">
        <w:rPr>
          <w:rFonts w:cs="Calibri"/>
          <w:iCs/>
        </w:rPr>
        <w:t>1.A.3.a</w:t>
      </w:r>
      <w:r w:rsidRPr="001D5327">
        <w:rPr>
          <w:rFonts w:cs="Calibri"/>
          <w:i/>
        </w:rPr>
        <w:t xml:space="preserve"> Civil aviation</w:t>
      </w:r>
      <w:r w:rsidRPr="001D5327">
        <w:rPr>
          <w:rFonts w:cs="Calibri"/>
        </w:rPr>
        <w:t xml:space="preserve">. While the combustion characteristics of rocket engines are likely to differ somewhat from other jet-fuelled activities, no specific emission factors are provided in the 2006 IPCC Guidelines. </w:t>
      </w:r>
    </w:p>
    <w:p w14:paraId="2C4EE7BA" w14:textId="3B4EF105" w:rsidR="00D97D6C" w:rsidRPr="001D5327" w:rsidRDefault="00D97D6C" w:rsidP="005262B5">
      <w:pPr>
        <w:pStyle w:val="BodyText"/>
        <w:spacing w:before="100" w:after="100"/>
        <w:rPr>
          <w:rFonts w:cs="Calibri"/>
        </w:rPr>
      </w:pPr>
      <w:r w:rsidRPr="001D5327">
        <w:rPr>
          <w:rFonts w:cs="Calibri"/>
        </w:rPr>
        <w:t>The 2006 IPCC Guidelines cover emissions from civil aviation</w:t>
      </w:r>
      <w:r w:rsidR="00206328" w:rsidRPr="001D5327">
        <w:rPr>
          <w:rFonts w:cs="Calibri"/>
        </w:rPr>
        <w:t xml:space="preserve"> </w:t>
      </w:r>
      <w:r w:rsidRPr="001D5327">
        <w:rPr>
          <w:rFonts w:cs="Calibri"/>
        </w:rPr>
        <w:t xml:space="preserve">but do not specifically refer to aeronautics or aerospace. Ballistic vehicles, such as rockets, are usually considered to be included under aeronautics but not aviation. While the 2006 IPCC </w:t>
      </w:r>
      <w:r w:rsidRPr="001D5327">
        <w:rPr>
          <w:rFonts w:cs="Calibri"/>
          <w:iCs/>
        </w:rPr>
        <w:t>Guidelines</w:t>
      </w:r>
      <w:r w:rsidRPr="001D5327">
        <w:rPr>
          <w:rFonts w:cs="Calibri"/>
        </w:rPr>
        <w:t xml:space="preserve"> (volume 2, table 3.1.1) state that emissions from all remaining transport activities should be reported in</w:t>
      </w:r>
      <w:r w:rsidR="00EE2F61" w:rsidRPr="001D5327">
        <w:rPr>
          <w:rFonts w:cs="Calibri"/>
        </w:rPr>
        <w:t> </w:t>
      </w:r>
      <w:r w:rsidR="00A54002" w:rsidRPr="001D5327">
        <w:rPr>
          <w:rFonts w:cs="Calibri"/>
        </w:rPr>
        <w:t xml:space="preserve">category </w:t>
      </w:r>
      <w:r w:rsidRPr="001D5327">
        <w:rPr>
          <w:rFonts w:cs="Calibri"/>
          <w:iCs/>
        </w:rPr>
        <w:t>1.A.3.e</w:t>
      </w:r>
      <w:r w:rsidRPr="001D5327">
        <w:rPr>
          <w:rFonts w:cs="Calibri"/>
          <w:i/>
        </w:rPr>
        <w:t xml:space="preserve"> Other transportation</w:t>
      </w:r>
      <w:r w:rsidRPr="001D5327">
        <w:rPr>
          <w:rFonts w:cs="Calibri"/>
        </w:rPr>
        <w:t>, as mentioned above, the aerospace fuel activity data</w:t>
      </w:r>
      <w:r w:rsidR="00EE2F61" w:rsidRPr="001D5327">
        <w:rPr>
          <w:rFonts w:cs="Calibri"/>
        </w:rPr>
        <w:t> </w:t>
      </w:r>
      <w:r w:rsidRPr="001D5327">
        <w:rPr>
          <w:rFonts w:cs="Calibri"/>
        </w:rPr>
        <w:t xml:space="preserve">are currently included in </w:t>
      </w:r>
      <w:r w:rsidR="00D13024" w:rsidRPr="001D5327">
        <w:rPr>
          <w:rFonts w:cs="Calibri"/>
        </w:rPr>
        <w:t xml:space="preserve">category </w:t>
      </w:r>
      <w:r w:rsidRPr="001D5327">
        <w:rPr>
          <w:rFonts w:cs="Calibri"/>
          <w:iCs/>
        </w:rPr>
        <w:t xml:space="preserve">1.A.3.a </w:t>
      </w:r>
      <w:r w:rsidRPr="001D5327">
        <w:rPr>
          <w:rFonts w:cs="Calibri"/>
          <w:i/>
        </w:rPr>
        <w:t>Civil aviation</w:t>
      </w:r>
      <w:r w:rsidRPr="001D5327">
        <w:rPr>
          <w:rFonts w:cs="Calibri"/>
          <w:iCs/>
        </w:rPr>
        <w:t xml:space="preserve">. </w:t>
      </w:r>
      <w:r w:rsidRPr="001D5327">
        <w:rPr>
          <w:rFonts w:cs="Calibri"/>
        </w:rPr>
        <w:t xml:space="preserve">Further justification for not disaggregating the category is </w:t>
      </w:r>
      <w:r w:rsidR="00E60CD8" w:rsidRPr="001D5327">
        <w:rPr>
          <w:rFonts w:cs="Calibri"/>
        </w:rPr>
        <w:t xml:space="preserve">that </w:t>
      </w:r>
      <w:r w:rsidRPr="001D5327">
        <w:rPr>
          <w:rFonts w:cs="Calibri"/>
        </w:rPr>
        <w:t xml:space="preserve">commercial data confidentiality </w:t>
      </w:r>
      <w:r w:rsidR="00E60CD8" w:rsidRPr="001D5327">
        <w:rPr>
          <w:rFonts w:cs="Calibri"/>
        </w:rPr>
        <w:t xml:space="preserve">is a </w:t>
      </w:r>
      <w:r w:rsidRPr="001D5327">
        <w:rPr>
          <w:rFonts w:cs="Calibri"/>
        </w:rPr>
        <w:t>concern due to the small number of companies operating in the sector.</w:t>
      </w:r>
    </w:p>
    <w:p w14:paraId="6A1C8EE7" w14:textId="77777777" w:rsidR="00D97D6C" w:rsidRPr="001D5327" w:rsidRDefault="00D97D6C" w:rsidP="00D97D6C">
      <w:pPr>
        <w:pStyle w:val="Heading4"/>
        <w:rPr>
          <w:lang w:eastAsia="en-GB"/>
        </w:rPr>
      </w:pPr>
      <w:r w:rsidRPr="001D5327">
        <w:lastRenderedPageBreak/>
        <w:t>Activity</w:t>
      </w:r>
      <w:r w:rsidRPr="001D5327">
        <w:rPr>
          <w:lang w:eastAsia="en-GB"/>
        </w:rPr>
        <w:t xml:space="preserve"> data</w:t>
      </w:r>
    </w:p>
    <w:p w14:paraId="64A326EE" w14:textId="77777777" w:rsidR="00D97D6C" w:rsidRPr="001D5327" w:rsidRDefault="00D97D6C" w:rsidP="00BF2A76">
      <w:pPr>
        <w:pStyle w:val="Heading5"/>
        <w:rPr>
          <w:lang w:eastAsia="en-GB"/>
        </w:rPr>
      </w:pPr>
      <w:r w:rsidRPr="001D5327">
        <w:rPr>
          <w:lang w:eastAsia="en-GB"/>
        </w:rPr>
        <w:t>1.A.3.a Civil aviation</w:t>
      </w:r>
    </w:p>
    <w:p w14:paraId="621971B1" w14:textId="4196DF10" w:rsidR="00D97D6C" w:rsidRPr="001D5327" w:rsidRDefault="00D97D6C" w:rsidP="00D97D6C">
      <w:pPr>
        <w:pStyle w:val="BodyText"/>
        <w:spacing w:before="100"/>
        <w:rPr>
          <w:rFonts w:cs="Calibri"/>
        </w:rPr>
      </w:pPr>
      <w:r w:rsidRPr="001D5327">
        <w:rPr>
          <w:rFonts w:cs="Calibri"/>
          <w:lang w:eastAsia="en-GB"/>
        </w:rPr>
        <w:t xml:space="preserve">MBIE </w:t>
      </w:r>
      <w:r w:rsidRPr="001D5327">
        <w:rPr>
          <w:rFonts w:cs="Calibri"/>
        </w:rPr>
        <w:t xml:space="preserve">currently collects data on domestic and international aviation fuel use through the </w:t>
      </w:r>
      <w:r w:rsidRPr="001D5327">
        <w:rPr>
          <w:rFonts w:cs="Calibri"/>
          <w:iCs/>
          <w:spacing w:val="-2"/>
          <w:lang w:eastAsia="en-GB"/>
        </w:rPr>
        <w:t>DPFI</w:t>
      </w:r>
      <w:r w:rsidRPr="001D5327">
        <w:rPr>
          <w:rFonts w:cs="Calibri"/>
        </w:rPr>
        <w:t xml:space="preserve">. The respondents to this survey are </w:t>
      </w:r>
      <w:r w:rsidRPr="001D5327">
        <w:rPr>
          <w:rFonts w:cs="Calibri"/>
          <w:lang w:eastAsia="en-GB"/>
        </w:rPr>
        <w:t>New Zealand’s</w:t>
      </w:r>
      <w:r w:rsidRPr="001D5327">
        <w:rPr>
          <w:rFonts w:cs="Calibri"/>
        </w:rPr>
        <w:t xml:space="preserve"> </w:t>
      </w:r>
      <w:r w:rsidR="00C44B5B" w:rsidRPr="001D5327">
        <w:rPr>
          <w:rFonts w:cs="Calibri"/>
        </w:rPr>
        <w:t xml:space="preserve">five </w:t>
      </w:r>
      <w:r w:rsidRPr="001D5327">
        <w:rPr>
          <w:rFonts w:cs="Calibri"/>
        </w:rPr>
        <w:t xml:space="preserve">main oil companies </w:t>
      </w:r>
      <w:r w:rsidR="00755564" w:rsidRPr="001D5327">
        <w:rPr>
          <w:rFonts w:cs="Calibri"/>
        </w:rPr>
        <w:t>–</w:t>
      </w:r>
      <w:r w:rsidRPr="001D5327">
        <w:rPr>
          <w:rFonts w:cs="Calibri"/>
        </w:rPr>
        <w:t xml:space="preserve"> namely</w:t>
      </w:r>
      <w:r w:rsidR="00755564" w:rsidRPr="001D5327">
        <w:rPr>
          <w:rFonts w:cs="Calibri"/>
        </w:rPr>
        <w:t>,</w:t>
      </w:r>
      <w:r w:rsidRPr="001D5327">
        <w:rPr>
          <w:rFonts w:cs="Calibri"/>
        </w:rPr>
        <w:t xml:space="preserve"> BP, Z Energy, ExxonMobil</w:t>
      </w:r>
      <w:r w:rsidR="00C44B5B" w:rsidRPr="001D5327">
        <w:rPr>
          <w:rFonts w:cs="Calibri"/>
        </w:rPr>
        <w:t>, Timaru Oil Services Limited</w:t>
      </w:r>
      <w:r w:rsidRPr="001D5327">
        <w:rPr>
          <w:rFonts w:cs="Calibri"/>
        </w:rPr>
        <w:t xml:space="preserve"> and Gull</w:t>
      </w:r>
      <w:r w:rsidR="00755564" w:rsidRPr="001D5327">
        <w:rPr>
          <w:rFonts w:cs="Calibri"/>
        </w:rPr>
        <w:t>.</w:t>
      </w:r>
      <w:r w:rsidRPr="001D5327">
        <w:rPr>
          <w:rFonts w:cs="Calibri"/>
        </w:rPr>
        <w:t xml:space="preserve"> (Gull</w:t>
      </w:r>
      <w:r w:rsidR="00496E54" w:rsidRPr="001D5327">
        <w:rPr>
          <w:rFonts w:cs="Calibri"/>
        </w:rPr>
        <w:t xml:space="preserve"> and Timaru Oil Services Limited do not supply fuel for aviation</w:t>
      </w:r>
      <w:r w:rsidR="00755564" w:rsidRPr="001D5327">
        <w:rPr>
          <w:rFonts w:cs="Calibri"/>
        </w:rPr>
        <w:t>.</w:t>
      </w:r>
      <w:r w:rsidRPr="001D5327">
        <w:rPr>
          <w:rFonts w:cs="Calibri"/>
        </w:rPr>
        <w:t>)</w:t>
      </w:r>
    </w:p>
    <w:p w14:paraId="052B8F76" w14:textId="5C80F08F" w:rsidR="00D97D6C" w:rsidRPr="001D5327" w:rsidRDefault="00D97D6C" w:rsidP="00D97D6C">
      <w:pPr>
        <w:pStyle w:val="BodyText"/>
        <w:spacing w:before="100"/>
        <w:rPr>
          <w:rFonts w:cs="Calibri"/>
        </w:rPr>
      </w:pPr>
      <w:r w:rsidRPr="001D5327">
        <w:rPr>
          <w:rFonts w:cs="Calibri"/>
          <w:lang w:eastAsia="en-GB"/>
        </w:rPr>
        <w:t xml:space="preserve">Our distinction between domestic and international flights is based on refuelling at the domestic and international terminals of New Zealand airports. </w:t>
      </w:r>
      <w:r w:rsidRPr="001D5327">
        <w:rPr>
          <w:rFonts w:cs="Calibri"/>
        </w:rPr>
        <w:t>The allocation of aviation fuels between domestic and international segments has previously been raised by the ERT. A previous centralised review stated (UNFCCC, 2009):</w:t>
      </w:r>
    </w:p>
    <w:p w14:paraId="732B5484" w14:textId="77777777" w:rsidR="00D97D6C" w:rsidRPr="001D5327" w:rsidRDefault="00D97D6C" w:rsidP="00795762">
      <w:pPr>
        <w:pStyle w:val="Quote"/>
      </w:pPr>
      <w:r w:rsidRPr="001D5327">
        <w:t>The National Inventory Report (NIR) reports that the allocation of fuel consumption between domestic and international air transport is based on refuelling at the domestic and international terminals of New Zealand’s airports. Currently splitting the domestic and international components of fuels used for international flights with a domestic segment was not considered; however, the number of international flights with a domestic segment is considered to be negligible. The Expert Review Team (ERT) notes that in 2006, New Zealand began consultations with the airlines to clarify the situation and improve the relevant Activity Data (AD), and is currently working on a methodology that will allow for better international and domestic fuel use allocation. New Zealand is encouraged to adopt the new approach and report the outcome in its 2010 submissions.</w:t>
      </w:r>
    </w:p>
    <w:p w14:paraId="60564410" w14:textId="5DE301F5" w:rsidR="00D97D6C" w:rsidRPr="001D5327" w:rsidRDefault="00D97D6C" w:rsidP="00D97D6C">
      <w:pPr>
        <w:pStyle w:val="BodyText"/>
        <w:spacing w:before="100" w:after="100"/>
        <w:rPr>
          <w:rFonts w:cs="Calibri"/>
        </w:rPr>
      </w:pPr>
      <w:r w:rsidRPr="001D5327">
        <w:rPr>
          <w:rFonts w:cs="Calibri"/>
        </w:rPr>
        <w:t xml:space="preserve">In the </w:t>
      </w:r>
      <w:r w:rsidRPr="001D5327">
        <w:rPr>
          <w:rFonts w:cs="Calibri"/>
          <w:iCs/>
          <w:spacing w:val="-2"/>
          <w:lang w:eastAsia="en-GB"/>
        </w:rPr>
        <w:t>DPFI</w:t>
      </w:r>
      <w:r w:rsidRPr="001D5327">
        <w:rPr>
          <w:rFonts w:cs="Calibri"/>
        </w:rPr>
        <w:t xml:space="preserve">, the oil companies report quantities of different fuels (jet A1, aviation gasoline and kerosene, among others) used for the purposes of international and domestic transport. The companies have indicated that they allocate the fuel to international or domestic transport based on whether or not they are legally required to charge goods and services tax (GST) on the activity; GST is </w:t>
      </w:r>
      <w:r w:rsidR="009214DA" w:rsidRPr="001D5327">
        <w:rPr>
          <w:rFonts w:cs="Calibri"/>
        </w:rPr>
        <w:t>zero rated</w:t>
      </w:r>
      <w:r w:rsidRPr="001D5327">
        <w:rPr>
          <w:rFonts w:cs="Calibri"/>
        </w:rPr>
        <w:t xml:space="preserve"> when the destination of a flight is outside of </w:t>
      </w:r>
      <w:r w:rsidRPr="001D5327">
        <w:rPr>
          <w:rFonts w:cs="Calibri"/>
          <w:lang w:eastAsia="en-GB"/>
        </w:rPr>
        <w:t>New Zealand</w:t>
      </w:r>
      <w:r w:rsidRPr="001D5327">
        <w:rPr>
          <w:rFonts w:cs="Calibri"/>
        </w:rPr>
        <w:t xml:space="preserve">. </w:t>
      </w:r>
    </w:p>
    <w:p w14:paraId="687DFA3E" w14:textId="6FF34CE0" w:rsidR="00D97D6C" w:rsidRPr="001D5327" w:rsidRDefault="004E22B6" w:rsidP="00D97D6C">
      <w:pPr>
        <w:pStyle w:val="BodyText"/>
        <w:spacing w:before="100" w:after="100"/>
        <w:rPr>
          <w:rFonts w:cs="Calibri"/>
        </w:rPr>
      </w:pPr>
      <w:r w:rsidRPr="001D5327">
        <w:rPr>
          <w:rFonts w:cs="Calibri"/>
        </w:rPr>
        <w:t>Historically, s</w:t>
      </w:r>
      <w:r w:rsidR="00D97D6C" w:rsidRPr="001D5327">
        <w:rPr>
          <w:rFonts w:cs="Calibri"/>
        </w:rPr>
        <w:t xml:space="preserve">ome international flights from </w:t>
      </w:r>
      <w:r w:rsidR="00D97D6C" w:rsidRPr="001D5327">
        <w:rPr>
          <w:rFonts w:cs="Calibri"/>
          <w:lang w:eastAsia="en-GB"/>
        </w:rPr>
        <w:t>New Zealand</w:t>
      </w:r>
      <w:r w:rsidR="00D97D6C" w:rsidRPr="001D5327">
        <w:rPr>
          <w:rFonts w:cs="Calibri"/>
        </w:rPr>
        <w:t xml:space="preserve"> contain</w:t>
      </w:r>
      <w:r w:rsidRPr="001D5327">
        <w:rPr>
          <w:rFonts w:cs="Calibri"/>
        </w:rPr>
        <w:t>ed</w:t>
      </w:r>
      <w:r w:rsidR="00D97D6C" w:rsidRPr="001D5327">
        <w:rPr>
          <w:rFonts w:cs="Calibri"/>
        </w:rPr>
        <w:t xml:space="preserve"> a domestic leg, for example, Christchurch–Auckland–Tokyo. Industry practice is to refuel at both points with </w:t>
      </w:r>
      <w:r w:rsidR="00D97D6C" w:rsidRPr="001D5327">
        <w:rPr>
          <w:rFonts w:cs="Calibri"/>
          <w:spacing w:val="-2"/>
        </w:rPr>
        <w:t>sufficient fuel</w:t>
      </w:r>
      <w:r w:rsidR="00FD51F9" w:rsidRPr="001D5327">
        <w:rPr>
          <w:rFonts w:cs="Calibri"/>
          <w:spacing w:val="-2"/>
        </w:rPr>
        <w:t xml:space="preserve"> </w:t>
      </w:r>
      <w:r w:rsidR="00D97D6C" w:rsidRPr="001D5327">
        <w:rPr>
          <w:rFonts w:cs="Calibri"/>
          <w:spacing w:val="-2"/>
        </w:rPr>
        <w:t>to reach the next destination so that the domestic leg will be coded appropriately</w:t>
      </w:r>
      <w:r w:rsidR="00D97D6C" w:rsidRPr="001D5327">
        <w:rPr>
          <w:rFonts w:cs="Calibri"/>
        </w:rPr>
        <w:t>. By this logic, the domestic leg will attract GST so the fuel use will therefore be coded as domestic, and the international leg, which does not attract GST, will be coded as international.</w:t>
      </w:r>
    </w:p>
    <w:p w14:paraId="43F613F6" w14:textId="5175856E" w:rsidR="00D97D6C" w:rsidRPr="001D5327" w:rsidRDefault="009214DA" w:rsidP="00D97D6C">
      <w:pPr>
        <w:pStyle w:val="BodyText"/>
        <w:spacing w:before="100" w:after="100"/>
        <w:rPr>
          <w:rFonts w:cs="Calibri"/>
        </w:rPr>
      </w:pPr>
      <w:r w:rsidRPr="001D5327">
        <w:rPr>
          <w:rFonts w:cs="Calibri"/>
        </w:rPr>
        <w:t>T</w:t>
      </w:r>
      <w:r w:rsidR="00D97D6C" w:rsidRPr="001D5327">
        <w:rPr>
          <w:rFonts w:cs="Calibri"/>
        </w:rPr>
        <w:t xml:space="preserve">his </w:t>
      </w:r>
      <w:r w:rsidRPr="001D5327">
        <w:rPr>
          <w:rFonts w:cs="Calibri"/>
        </w:rPr>
        <w:t>sales-based</w:t>
      </w:r>
      <w:r w:rsidR="00D97D6C" w:rsidRPr="001D5327">
        <w:rPr>
          <w:rFonts w:cs="Calibri"/>
        </w:rPr>
        <w:t xml:space="preserve"> approach</w:t>
      </w:r>
      <w:r w:rsidR="00FA4D7F" w:rsidRPr="001D5327">
        <w:rPr>
          <w:rFonts w:cs="Calibri"/>
        </w:rPr>
        <w:t xml:space="preserve"> is appropriate because just three companies</w:t>
      </w:r>
      <w:r w:rsidR="00D97D6C" w:rsidRPr="001D5327">
        <w:rPr>
          <w:rFonts w:cs="Calibri"/>
        </w:rPr>
        <w:t xml:space="preserve"> </w:t>
      </w:r>
      <w:r w:rsidR="00FA4D7F" w:rsidRPr="001D5327">
        <w:rPr>
          <w:rFonts w:cs="Calibri"/>
        </w:rPr>
        <w:t>(</w:t>
      </w:r>
      <w:r w:rsidR="00D97D6C" w:rsidRPr="001D5327">
        <w:rPr>
          <w:rFonts w:cs="Calibri"/>
        </w:rPr>
        <w:t xml:space="preserve">BP, Z Energy and </w:t>
      </w:r>
      <w:r w:rsidR="00666D37" w:rsidRPr="001D5327">
        <w:rPr>
          <w:rFonts w:cs="Calibri"/>
        </w:rPr>
        <w:t>Exxon</w:t>
      </w:r>
      <w:r w:rsidR="00D97D6C" w:rsidRPr="001D5327">
        <w:rPr>
          <w:rFonts w:cs="Calibri"/>
        </w:rPr>
        <w:t>Mobil</w:t>
      </w:r>
      <w:r w:rsidR="00FA4D7F" w:rsidRPr="001D5327">
        <w:rPr>
          <w:rFonts w:cs="Calibri"/>
        </w:rPr>
        <w:t>)</w:t>
      </w:r>
      <w:r w:rsidR="00D97D6C" w:rsidRPr="001D5327">
        <w:rPr>
          <w:rFonts w:cs="Calibri"/>
        </w:rPr>
        <w:t xml:space="preserve"> supply 100 per cent of the aviation fuels market in </w:t>
      </w:r>
      <w:r w:rsidR="00D97D6C" w:rsidRPr="001D5327">
        <w:rPr>
          <w:rFonts w:cs="Calibri"/>
          <w:lang w:eastAsia="en-GB"/>
        </w:rPr>
        <w:t>New Zealand</w:t>
      </w:r>
      <w:r w:rsidR="00FA4D7F" w:rsidRPr="001D5327">
        <w:rPr>
          <w:rFonts w:cs="Calibri"/>
          <w:lang w:eastAsia="en-GB"/>
        </w:rPr>
        <w:t>, and the accuracy of the international</w:t>
      </w:r>
      <w:r w:rsidR="00E32989" w:rsidRPr="001D5327">
        <w:rPr>
          <w:rFonts w:cs="Calibri"/>
          <w:lang w:eastAsia="en-GB"/>
        </w:rPr>
        <w:t>–</w:t>
      </w:r>
      <w:r w:rsidR="00FA4D7F" w:rsidRPr="001D5327">
        <w:rPr>
          <w:rFonts w:cs="Calibri"/>
          <w:lang w:eastAsia="en-GB"/>
        </w:rPr>
        <w:t xml:space="preserve">domestic split relies </w:t>
      </w:r>
      <w:r w:rsidR="00E32989" w:rsidRPr="001D5327">
        <w:rPr>
          <w:rFonts w:cs="Calibri"/>
          <w:lang w:eastAsia="en-GB"/>
        </w:rPr>
        <w:t xml:space="preserve">solely </w:t>
      </w:r>
      <w:r w:rsidR="00FA4D7F" w:rsidRPr="001D5327">
        <w:rPr>
          <w:rFonts w:cs="Calibri"/>
          <w:lang w:eastAsia="en-GB"/>
        </w:rPr>
        <w:t xml:space="preserve">on the </w:t>
      </w:r>
      <w:r w:rsidR="00A57D3D" w:rsidRPr="001D5327">
        <w:rPr>
          <w:rFonts w:cs="Calibri"/>
          <w:lang w:eastAsia="en-GB"/>
        </w:rPr>
        <w:t>reporting from these three respondents</w:t>
      </w:r>
      <w:r w:rsidR="00D97D6C" w:rsidRPr="001D5327">
        <w:rPr>
          <w:rFonts w:cs="Calibri"/>
        </w:rPr>
        <w:t xml:space="preserve">. </w:t>
      </w:r>
    </w:p>
    <w:p w14:paraId="52688C5F" w14:textId="77777777" w:rsidR="00D97D6C" w:rsidRPr="001D5327" w:rsidRDefault="00D97D6C" w:rsidP="00BF2A76">
      <w:pPr>
        <w:pStyle w:val="Heading5"/>
        <w:rPr>
          <w:lang w:eastAsia="en-GB"/>
        </w:rPr>
      </w:pPr>
      <w:r w:rsidRPr="001D5327">
        <w:rPr>
          <w:lang w:eastAsia="en-GB"/>
        </w:rPr>
        <w:t>1.A.3.b Road transportation</w:t>
      </w:r>
    </w:p>
    <w:p w14:paraId="0FDE07B5" w14:textId="77777777" w:rsidR="00D97D6C" w:rsidRPr="001D5327" w:rsidRDefault="00D97D6C" w:rsidP="00550502">
      <w:pPr>
        <w:pStyle w:val="BodyText"/>
        <w:spacing w:before="100" w:after="100"/>
        <w:rPr>
          <w:rFonts w:cs="Calibri"/>
          <w:lang w:eastAsia="en-GB"/>
        </w:rPr>
      </w:pPr>
      <w:r w:rsidRPr="001D5327">
        <w:rPr>
          <w:rFonts w:cs="Calibri"/>
          <w:lang w:eastAsia="en-GB"/>
        </w:rPr>
        <w:t xml:space="preserve">Activity data for the </w:t>
      </w:r>
      <w:r w:rsidRPr="001D5327">
        <w:rPr>
          <w:rFonts w:cs="Calibri"/>
          <w:i/>
          <w:lang w:eastAsia="en-GB"/>
        </w:rPr>
        <w:t>Road transportation</w:t>
      </w:r>
      <w:r w:rsidRPr="001D5327">
        <w:rPr>
          <w:rFonts w:cs="Calibri"/>
          <w:lang w:eastAsia="en-GB"/>
        </w:rPr>
        <w:t xml:space="preserve"> category are provided by the Ministry of Transport’s six-monthly fleet data and MBIE’s national energy statistics. For more information on the use of vehicle fleet data for estimating non-CO</w:t>
      </w:r>
      <w:r w:rsidRPr="001D5327">
        <w:rPr>
          <w:rFonts w:cs="Calibri"/>
          <w:vertAlign w:val="subscript"/>
          <w:lang w:eastAsia="en-GB"/>
        </w:rPr>
        <w:t xml:space="preserve">2 </w:t>
      </w:r>
      <w:r w:rsidRPr="001D5327">
        <w:rPr>
          <w:rFonts w:cs="Calibri"/>
          <w:lang w:eastAsia="en-GB"/>
        </w:rPr>
        <w:t>emissions, see ‘Methodological issues’ above.</w:t>
      </w:r>
    </w:p>
    <w:p w14:paraId="53DA7382" w14:textId="77777777" w:rsidR="00D97D6C" w:rsidRPr="001D5327" w:rsidRDefault="00D97D6C" w:rsidP="00550502">
      <w:pPr>
        <w:pStyle w:val="BodyText"/>
        <w:spacing w:before="100" w:after="100"/>
        <w:rPr>
          <w:rFonts w:cs="Calibri"/>
          <w:lang w:eastAsia="en-GB"/>
        </w:rPr>
      </w:pPr>
      <w:r w:rsidRPr="001D5327">
        <w:rPr>
          <w:rFonts w:cs="Calibri"/>
          <w:lang w:eastAsia="en-GB"/>
        </w:rPr>
        <w:t xml:space="preserve">Activity data for the </w:t>
      </w:r>
      <w:r w:rsidRPr="001D5327">
        <w:rPr>
          <w:rFonts w:cs="Calibri"/>
          <w:i/>
          <w:lang w:eastAsia="en-GB"/>
        </w:rPr>
        <w:t>Transport</w:t>
      </w:r>
      <w:r w:rsidRPr="001D5327">
        <w:rPr>
          <w:rFonts w:cs="Calibri"/>
          <w:lang w:eastAsia="en-GB"/>
        </w:rPr>
        <w:t xml:space="preserve"> category were sourced from the </w:t>
      </w:r>
      <w:r w:rsidRPr="001D5327">
        <w:rPr>
          <w:rFonts w:cs="Calibri"/>
          <w:iCs/>
          <w:spacing w:val="-2"/>
          <w:lang w:eastAsia="en-GB"/>
        </w:rPr>
        <w:t>DPFI</w:t>
      </w:r>
      <w:r w:rsidRPr="001D5327">
        <w:rPr>
          <w:rFonts w:cs="Calibri"/>
          <w:iCs/>
          <w:lang w:eastAsia="en-GB"/>
        </w:rPr>
        <w:t xml:space="preserve"> </w:t>
      </w:r>
      <w:r w:rsidRPr="001D5327">
        <w:rPr>
          <w:rFonts w:cs="Calibri"/>
          <w:lang w:eastAsia="en-GB"/>
        </w:rPr>
        <w:t xml:space="preserve">conducted by MBIE. LPG and CNG consumption figures are reported </w:t>
      </w:r>
      <w:r w:rsidRPr="001D5327">
        <w:rPr>
          <w:rFonts w:cs="Calibri"/>
          <w:iCs/>
          <w:lang w:eastAsia="en-GB"/>
        </w:rPr>
        <w:t>online by</w:t>
      </w:r>
      <w:r w:rsidRPr="001D5327">
        <w:rPr>
          <w:rFonts w:cs="Calibri"/>
        </w:rPr>
        <w:t> </w:t>
      </w:r>
      <w:r w:rsidRPr="001D5327">
        <w:rPr>
          <w:rFonts w:cs="Calibri"/>
          <w:lang w:eastAsia="en-GB"/>
        </w:rPr>
        <w:t>MBIE.</w:t>
      </w:r>
    </w:p>
    <w:p w14:paraId="3B64B3AD" w14:textId="77777777" w:rsidR="00392E8F" w:rsidRPr="001D5327" w:rsidRDefault="00D97D6C" w:rsidP="00550502">
      <w:pPr>
        <w:pStyle w:val="BodyText"/>
        <w:spacing w:before="100" w:after="100"/>
        <w:rPr>
          <w:rFonts w:cs="Calibri"/>
        </w:rPr>
      </w:pPr>
      <w:r w:rsidRPr="001D5327">
        <w:rPr>
          <w:rFonts w:cs="Calibri"/>
          <w:spacing w:val="-2"/>
        </w:rPr>
        <w:t xml:space="preserve">As mentioned in section 3.2.2, this inventory continues to use the results of the </w:t>
      </w:r>
      <w:r w:rsidRPr="001D5327">
        <w:rPr>
          <w:rFonts w:cs="Calibri"/>
          <w:iCs/>
          <w:spacing w:val="-2"/>
        </w:rPr>
        <w:t>Annual Liquid Fuel Survey</w:t>
      </w:r>
      <w:r w:rsidRPr="001D5327">
        <w:rPr>
          <w:rFonts w:cs="Calibri"/>
          <w:spacing w:val="-2"/>
        </w:rPr>
        <w:t xml:space="preserve"> that began in 2009. The purpose of this survey is to capture the allocation of fuel resold by small independent resellers. In recent years, these independent resellers have accounted for around 30 per cent of national diesel sales and around 8 per cent of national gasoline sales.</w:t>
      </w:r>
      <w:r w:rsidRPr="001D5327">
        <w:rPr>
          <w:rFonts w:cs="Calibri"/>
        </w:rPr>
        <w:t xml:space="preserve"> </w:t>
      </w:r>
    </w:p>
    <w:p w14:paraId="7E8E2A60" w14:textId="2A709083" w:rsidR="00D97D6C" w:rsidRPr="001D5327" w:rsidRDefault="00D97D6C" w:rsidP="00550502">
      <w:pPr>
        <w:pStyle w:val="BodyText"/>
        <w:spacing w:before="100" w:after="100"/>
        <w:rPr>
          <w:rFonts w:cs="Calibri"/>
        </w:rPr>
      </w:pPr>
      <w:r w:rsidRPr="001D5327">
        <w:rPr>
          <w:rFonts w:cs="Calibri"/>
        </w:rPr>
        <w:lastRenderedPageBreak/>
        <w:t xml:space="preserve">As a result of resale data captured by this survey, emissions that would otherwise be reported in category 1.A.3.b </w:t>
      </w:r>
      <w:r w:rsidRPr="001D5327">
        <w:rPr>
          <w:rFonts w:cs="Calibri"/>
          <w:i/>
        </w:rPr>
        <w:t>Road transportation</w:t>
      </w:r>
      <w:r w:rsidRPr="001D5327">
        <w:rPr>
          <w:rFonts w:cs="Calibri"/>
        </w:rPr>
        <w:t xml:space="preserve"> are allocated to the</w:t>
      </w:r>
      <w:r w:rsidR="00333799" w:rsidRPr="001D5327">
        <w:rPr>
          <w:rFonts w:cs="Calibri"/>
        </w:rPr>
        <w:t>ir</w:t>
      </w:r>
      <w:r w:rsidRPr="001D5327">
        <w:rPr>
          <w:rFonts w:cs="Calibri"/>
        </w:rPr>
        <w:t xml:space="preserve"> correct category. For time-series consistency, these reallocations were also made from 1990 to 2008, before the collection of data on the resale of liquid fuel by independent distributors.</w:t>
      </w:r>
    </w:p>
    <w:p w14:paraId="2EFC9126" w14:textId="708402B8" w:rsidR="00D97D6C" w:rsidRPr="001D5327" w:rsidRDefault="00D97D6C" w:rsidP="00DA355E">
      <w:pPr>
        <w:pStyle w:val="BodyText"/>
        <w:spacing w:before="100" w:after="100"/>
        <w:rPr>
          <w:rFonts w:cs="Calibri"/>
        </w:rPr>
      </w:pPr>
      <w:r w:rsidRPr="001D5327">
        <w:rPr>
          <w:rFonts w:cs="Calibri"/>
          <w:spacing w:val="-2"/>
        </w:rPr>
        <w:t xml:space="preserve">The diesel activity data for the </w:t>
      </w:r>
      <w:r w:rsidRPr="001D5327">
        <w:rPr>
          <w:rFonts w:cs="Calibri"/>
          <w:i/>
          <w:spacing w:val="-2"/>
        </w:rPr>
        <w:t>Road transport</w:t>
      </w:r>
      <w:r w:rsidRPr="001D5327">
        <w:rPr>
          <w:rFonts w:cs="Calibri"/>
          <w:spacing w:val="-2"/>
        </w:rPr>
        <w:t xml:space="preserve"> category are assumed to be the diesel reported for domestic transport, less that reported by KiwiRail</w:t>
      </w:r>
      <w:r w:rsidRPr="001D5327">
        <w:rPr>
          <w:rFonts w:cs="Calibri"/>
          <w:spacing w:val="-2"/>
          <w:lang w:eastAsia="en-GB"/>
        </w:rPr>
        <w:t>, the operator of national rail services in</w:t>
      </w:r>
      <w:r w:rsidR="00E97B15" w:rsidRPr="001D5327">
        <w:rPr>
          <w:rFonts w:cs="Calibri"/>
          <w:spacing w:val="-2"/>
          <w:lang w:eastAsia="en-GB"/>
        </w:rPr>
        <w:t xml:space="preserve"> </w:t>
      </w:r>
      <w:r w:rsidRPr="001D5327">
        <w:rPr>
          <w:rFonts w:cs="Calibri"/>
          <w:spacing w:val="-2"/>
          <w:lang w:eastAsia="en-GB"/>
        </w:rPr>
        <w:t>New Zealand,</w:t>
      </w:r>
      <w:r w:rsidRPr="001D5327">
        <w:rPr>
          <w:rFonts w:cs="Calibri"/>
          <w:spacing w:val="-2"/>
        </w:rPr>
        <w:t xml:space="preserve"> in </w:t>
      </w:r>
      <w:r w:rsidR="00D13024" w:rsidRPr="001D5327">
        <w:rPr>
          <w:rFonts w:cs="Calibri"/>
          <w:spacing w:val="-2"/>
        </w:rPr>
        <w:t>the categories</w:t>
      </w:r>
      <w:r w:rsidRPr="001D5327">
        <w:rPr>
          <w:rFonts w:cs="Calibri"/>
          <w:spacing w:val="-2"/>
        </w:rPr>
        <w:t xml:space="preserve"> 1.A.3.c </w:t>
      </w:r>
      <w:r w:rsidRPr="001D5327">
        <w:rPr>
          <w:rFonts w:cs="Calibri"/>
          <w:i/>
          <w:spacing w:val="-2"/>
        </w:rPr>
        <w:t>Railways</w:t>
      </w:r>
      <w:r w:rsidRPr="001D5327">
        <w:rPr>
          <w:rFonts w:cs="Calibri"/>
          <w:spacing w:val="-2"/>
        </w:rPr>
        <w:t xml:space="preserve"> and 1.A.3.d </w:t>
      </w:r>
      <w:r w:rsidRPr="001D5327">
        <w:rPr>
          <w:rFonts w:cs="Calibri"/>
          <w:i/>
          <w:spacing w:val="-2"/>
        </w:rPr>
        <w:t>Domestic navigation</w:t>
      </w:r>
      <w:r w:rsidRPr="001D5327">
        <w:rPr>
          <w:rFonts w:cs="Calibri"/>
          <w:spacing w:val="-2"/>
        </w:rPr>
        <w:t>, discussed belo</w:t>
      </w:r>
      <w:r w:rsidRPr="001D5327">
        <w:rPr>
          <w:rFonts w:cs="Calibri"/>
        </w:rPr>
        <w:t xml:space="preserve">w. </w:t>
      </w:r>
    </w:p>
    <w:p w14:paraId="2A59246A" w14:textId="77777777" w:rsidR="00D97D6C" w:rsidRPr="001D5327" w:rsidRDefault="00D97D6C" w:rsidP="00DA355E">
      <w:pPr>
        <w:pStyle w:val="BodyText"/>
        <w:spacing w:before="100" w:after="100"/>
        <w:rPr>
          <w:rFonts w:cs="Calibri"/>
        </w:rPr>
      </w:pPr>
      <w:r w:rsidRPr="001D5327">
        <w:rPr>
          <w:rFonts w:cs="Calibri"/>
        </w:rPr>
        <w:t>The fuel sold data have been validated by estimating fuel consumption based on vehicle kilometres using a vehicle fleet model. Over the past decade, the fuel quantity from the fuel use data has been larger than that estimated using kilometres travelled. Several factors can contribute to differences between the two methods, for example, fuel sold by retailers that is then used for off-road purposes, and the real-world fuel efficiencies of vehicles differing from assumptions used in the vehicle fleet model. Across the time series (2001–15), the average difference is 1.5 per cent for gasoline and 4.8 per cent for diesel, which shows that the methods align very closely. This level of agreement compares favourably with the fuel data of other countries.</w:t>
      </w:r>
    </w:p>
    <w:p w14:paraId="38D6C688" w14:textId="1904CE93" w:rsidR="00D97D6C" w:rsidRPr="001D5327" w:rsidRDefault="00D97D6C" w:rsidP="00DA355E">
      <w:pPr>
        <w:pStyle w:val="BodyText"/>
        <w:spacing w:before="100" w:after="100"/>
        <w:rPr>
          <w:rFonts w:cs="Calibri"/>
        </w:rPr>
      </w:pPr>
      <w:r w:rsidRPr="001D5327">
        <w:t xml:space="preserve">MBIE receives import–export and excise data on liquid biofuels from the New Zealand Customs </w:t>
      </w:r>
      <w:r w:rsidRPr="001D5327">
        <w:rPr>
          <w:spacing w:val="-2"/>
        </w:rPr>
        <w:t>Service and sales data from major fuel companies. In December 2012 the Biofuel Sales Obligation</w:t>
      </w:r>
      <w:r w:rsidRPr="001D5327">
        <w:t xml:space="preserve"> was abolished and in June 2012 the Biodiesels Grant Scheme was removed. Following the removal</w:t>
      </w:r>
      <w:r w:rsidR="00D21009" w:rsidRPr="001D5327">
        <w:t xml:space="preserve"> of these initiatives</w:t>
      </w:r>
      <w:r w:rsidRPr="001D5327">
        <w:t>, biodiesel use fell significantly and has remained relatively stagnant</w:t>
      </w:r>
      <w:r w:rsidR="00FD51F9" w:rsidRPr="001D5327">
        <w:t> </w:t>
      </w:r>
      <w:r w:rsidRPr="001D5327">
        <w:t>since.</w:t>
      </w:r>
    </w:p>
    <w:p w14:paraId="228B28F3" w14:textId="77777777" w:rsidR="00D97D6C" w:rsidRPr="001D5327" w:rsidRDefault="00D97D6C" w:rsidP="00BF2A76">
      <w:pPr>
        <w:pStyle w:val="Heading5"/>
        <w:rPr>
          <w:lang w:eastAsia="en-GB"/>
        </w:rPr>
      </w:pPr>
      <w:r w:rsidRPr="001D5327">
        <w:rPr>
          <w:lang w:eastAsia="en-GB"/>
        </w:rPr>
        <w:t>1.A.3.c Railways</w:t>
      </w:r>
    </w:p>
    <w:p w14:paraId="4FAEA813" w14:textId="7F981E4E" w:rsidR="00D97D6C" w:rsidRPr="001D5327" w:rsidRDefault="00D97D6C" w:rsidP="00DA355E">
      <w:pPr>
        <w:pStyle w:val="BodyText"/>
        <w:spacing w:before="100" w:after="100"/>
        <w:rPr>
          <w:rFonts w:cs="Calibri"/>
          <w:lang w:eastAsia="en-GB"/>
        </w:rPr>
      </w:pPr>
      <w:r w:rsidRPr="001D5327">
        <w:rPr>
          <w:rFonts w:cs="Calibri"/>
          <w:lang w:eastAsia="en-GB"/>
        </w:rPr>
        <w:t>Activity data for fuel used in this category are obtained directly from KiwiRail. This</w:t>
      </w:r>
      <w:r w:rsidR="00D21009" w:rsidRPr="001D5327">
        <w:rPr>
          <w:rFonts w:cs="Calibri"/>
          <w:lang w:eastAsia="en-GB"/>
        </w:rPr>
        <w:t xml:space="preserve"> category</w:t>
      </w:r>
      <w:r w:rsidRPr="001D5327">
        <w:rPr>
          <w:rFonts w:cs="Calibri"/>
          <w:lang w:eastAsia="en-GB"/>
        </w:rPr>
        <w:t xml:space="preserve"> also includes diesel sold to the metropolitan service operated in Auckland. </w:t>
      </w:r>
    </w:p>
    <w:p w14:paraId="7A72CAC6" w14:textId="77777777" w:rsidR="00D97D6C" w:rsidRPr="001D5327" w:rsidRDefault="00D97D6C" w:rsidP="00BF2A76">
      <w:pPr>
        <w:pStyle w:val="Heading5"/>
      </w:pPr>
      <w:r w:rsidRPr="001D5327">
        <w:rPr>
          <w:lang w:eastAsia="en-GB"/>
        </w:rPr>
        <w:t xml:space="preserve">1.A.3.d Domestic navigation </w:t>
      </w:r>
    </w:p>
    <w:p w14:paraId="20DA0106" w14:textId="41927C16" w:rsidR="00D97D6C" w:rsidRPr="001D5327" w:rsidRDefault="00D97D6C" w:rsidP="00DA355E">
      <w:pPr>
        <w:pStyle w:val="BodyText"/>
        <w:spacing w:before="100" w:after="100"/>
        <w:rPr>
          <w:rFonts w:cs="Calibri"/>
          <w:lang w:eastAsia="en-GB"/>
        </w:rPr>
      </w:pPr>
      <w:r w:rsidRPr="001D5327">
        <w:rPr>
          <w:rFonts w:cs="Calibri"/>
          <w:lang w:eastAsia="en-GB"/>
        </w:rPr>
        <w:t xml:space="preserve">Activity data for fuel oil use in domestic transport are sourced from the quarterly </w:t>
      </w:r>
      <w:r w:rsidRPr="001D5327">
        <w:rPr>
          <w:rFonts w:cs="Calibri"/>
          <w:iCs/>
          <w:spacing w:val="-2"/>
          <w:lang w:eastAsia="en-GB"/>
        </w:rPr>
        <w:t>DPFI</w:t>
      </w:r>
      <w:r w:rsidRPr="001D5327">
        <w:rPr>
          <w:rFonts w:cs="Calibri"/>
          <w:i/>
          <w:iCs/>
          <w:lang w:eastAsia="en-GB"/>
        </w:rPr>
        <w:t xml:space="preserve"> </w:t>
      </w:r>
      <w:r w:rsidRPr="001D5327">
        <w:rPr>
          <w:rFonts w:cs="Calibri"/>
          <w:lang w:eastAsia="en-GB"/>
        </w:rPr>
        <w:t>conducted by MBIE. KiwiRail (</w:t>
      </w:r>
      <w:r w:rsidR="00D21009" w:rsidRPr="001D5327">
        <w:rPr>
          <w:rFonts w:cs="Calibri"/>
          <w:lang w:eastAsia="en-GB"/>
        </w:rPr>
        <w:t xml:space="preserve">as </w:t>
      </w:r>
      <w:r w:rsidRPr="001D5327">
        <w:rPr>
          <w:rFonts w:cs="Calibri"/>
          <w:lang w:eastAsia="en-GB"/>
        </w:rPr>
        <w:t>the operator of the Interislander ferry service)</w:t>
      </w:r>
      <w:r w:rsidR="7564F4EB" w:rsidRPr="001D5327">
        <w:rPr>
          <w:rFonts w:cs="Calibri"/>
          <w:lang w:eastAsia="en-GB"/>
        </w:rPr>
        <w:t xml:space="preserve"> provides data on diesel consumption each year</w:t>
      </w:r>
      <w:r w:rsidRPr="001D5327">
        <w:rPr>
          <w:rFonts w:cs="Calibri"/>
          <w:lang w:eastAsia="en-GB"/>
        </w:rPr>
        <w:t xml:space="preserve">. New Zealand-specific emission factors have been used to estimate </w:t>
      </w:r>
      <w:r w:rsidRPr="001D5327">
        <w:rPr>
          <w:rFonts w:cs="Calibri"/>
        </w:rPr>
        <w:t>CO</w:t>
      </w:r>
      <w:r w:rsidRPr="001D5327">
        <w:rPr>
          <w:rFonts w:cs="Calibri"/>
          <w:vertAlign w:val="subscript"/>
        </w:rPr>
        <w:t>2</w:t>
      </w:r>
      <w:r w:rsidRPr="001D5327">
        <w:rPr>
          <w:rFonts w:cs="Calibri"/>
          <w:sz w:val="14"/>
          <w:szCs w:val="14"/>
          <w:lang w:eastAsia="en-GB"/>
        </w:rPr>
        <w:t xml:space="preserve"> </w:t>
      </w:r>
      <w:r w:rsidRPr="001D5327">
        <w:rPr>
          <w:rFonts w:cs="Calibri"/>
          <w:lang w:eastAsia="en-GB"/>
        </w:rPr>
        <w:t xml:space="preserve">emissions and, because of insufficient </w:t>
      </w:r>
      <w:r w:rsidRPr="001D5327">
        <w:rPr>
          <w:rFonts w:cs="Calibri"/>
          <w:spacing w:val="-2"/>
          <w:lang w:eastAsia="en-GB"/>
        </w:rPr>
        <w:t xml:space="preserve">data, the IPCC </w:t>
      </w:r>
      <w:r w:rsidR="00922797" w:rsidRPr="001D5327">
        <w:rPr>
          <w:rFonts w:cs="Calibri"/>
          <w:spacing w:val="-2"/>
          <w:lang w:eastAsia="en-GB"/>
        </w:rPr>
        <w:t>(</w:t>
      </w:r>
      <w:r w:rsidRPr="001D5327">
        <w:rPr>
          <w:rFonts w:cs="Calibri"/>
          <w:spacing w:val="-2"/>
          <w:lang w:eastAsia="en-GB"/>
        </w:rPr>
        <w:t>2006</w:t>
      </w:r>
      <w:r w:rsidR="00922797" w:rsidRPr="001D5327">
        <w:rPr>
          <w:rFonts w:cs="Calibri"/>
          <w:spacing w:val="-2"/>
          <w:lang w:eastAsia="en-GB"/>
        </w:rPr>
        <w:t>)</w:t>
      </w:r>
      <w:r w:rsidRPr="001D5327">
        <w:rPr>
          <w:rFonts w:cs="Calibri"/>
          <w:spacing w:val="-2"/>
          <w:lang w:eastAsia="en-GB"/>
        </w:rPr>
        <w:t xml:space="preserve"> default emission factors have been used to estimate </w:t>
      </w:r>
      <w:r w:rsidRPr="001D5327">
        <w:rPr>
          <w:rFonts w:cs="Calibri"/>
          <w:spacing w:val="-2"/>
        </w:rPr>
        <w:t>CH</w:t>
      </w:r>
      <w:r w:rsidRPr="001D5327">
        <w:rPr>
          <w:rFonts w:cs="Calibri"/>
          <w:spacing w:val="-2"/>
          <w:vertAlign w:val="subscript"/>
        </w:rPr>
        <w:t>4</w:t>
      </w:r>
      <w:r w:rsidRPr="001D5327">
        <w:rPr>
          <w:rFonts w:cs="Calibri"/>
          <w:spacing w:val="-2"/>
          <w:sz w:val="14"/>
          <w:szCs w:val="14"/>
          <w:lang w:eastAsia="en-GB"/>
        </w:rPr>
        <w:t xml:space="preserve"> </w:t>
      </w:r>
      <w:r w:rsidRPr="001D5327">
        <w:rPr>
          <w:rFonts w:cs="Calibri"/>
          <w:spacing w:val="-2"/>
          <w:lang w:eastAsia="en-GB"/>
        </w:rPr>
        <w:t xml:space="preserve">and </w:t>
      </w:r>
      <w:r w:rsidRPr="001D5327">
        <w:rPr>
          <w:rFonts w:cs="Calibri"/>
          <w:spacing w:val="-2"/>
        </w:rPr>
        <w:t>N</w:t>
      </w:r>
      <w:r w:rsidRPr="001D5327">
        <w:rPr>
          <w:rFonts w:cs="Calibri"/>
          <w:spacing w:val="-2"/>
          <w:vertAlign w:val="subscript"/>
        </w:rPr>
        <w:t>2</w:t>
      </w:r>
      <w:r w:rsidRPr="001D5327">
        <w:rPr>
          <w:rFonts w:cs="Calibri"/>
          <w:spacing w:val="-2"/>
        </w:rPr>
        <w:t>O</w:t>
      </w:r>
      <w:r w:rsidRPr="001D5327">
        <w:rPr>
          <w:rFonts w:cs="Calibri"/>
          <w:spacing w:val="-2"/>
          <w:lang w:eastAsia="en-GB"/>
        </w:rPr>
        <w:t xml:space="preserve"> emissions</w:t>
      </w:r>
      <w:r w:rsidRPr="001D5327">
        <w:rPr>
          <w:rFonts w:cs="Calibri"/>
          <w:lang w:eastAsia="en-GB"/>
        </w:rPr>
        <w:t>.</w:t>
      </w:r>
    </w:p>
    <w:p w14:paraId="6665F6A7" w14:textId="399B307C" w:rsidR="00D97D6C" w:rsidRPr="001D5327" w:rsidRDefault="00D97D6C" w:rsidP="00DA355E">
      <w:pPr>
        <w:pStyle w:val="BodyText"/>
        <w:spacing w:before="100" w:after="100"/>
        <w:rPr>
          <w:rFonts w:cs="Calibri"/>
        </w:rPr>
      </w:pPr>
      <w:r w:rsidRPr="001D5327">
        <w:rPr>
          <w:rFonts w:cs="Calibri"/>
          <w:lang w:eastAsia="en-GB"/>
        </w:rPr>
        <w:t xml:space="preserve">Fuel sales to international marine bunkers are reported separately in national energy data surveys. </w:t>
      </w:r>
    </w:p>
    <w:p w14:paraId="70B45CB3" w14:textId="68E05D96" w:rsidR="00D97D6C" w:rsidRPr="001D5327" w:rsidRDefault="00D97D6C" w:rsidP="00DA355E">
      <w:pPr>
        <w:pStyle w:val="BodyText"/>
        <w:spacing w:before="100" w:after="100"/>
        <w:rPr>
          <w:rFonts w:cs="Calibri"/>
        </w:rPr>
      </w:pPr>
      <w:r w:rsidRPr="001D5327">
        <w:rPr>
          <w:rFonts w:cs="Calibri"/>
        </w:rPr>
        <w:t xml:space="preserve">Historically, the Marsden Point Oil Refinery produced marine diesel oil (MDO). Production of </w:t>
      </w:r>
      <w:r w:rsidRPr="001D5327">
        <w:rPr>
          <w:rFonts w:cs="Calibri"/>
          <w:spacing w:val="-2"/>
        </w:rPr>
        <w:t>MDO at the refinery stopped in late 2006. Data collected from the operators of the Interislander</w:t>
      </w:r>
      <w:r w:rsidRPr="001D5327">
        <w:rPr>
          <w:rFonts w:cs="Calibri"/>
        </w:rPr>
        <w:t xml:space="preserve"> ferry service (KiwiRail) have not included MDO use since 2006. The end of the collection of these data coincided with this operator ceasing a ‘fast ferry’ service (which ran on MDO) between the North Island and South Island. </w:t>
      </w:r>
    </w:p>
    <w:p w14:paraId="52553EC7" w14:textId="2BAF301C" w:rsidR="00D97D6C" w:rsidRPr="001D5327" w:rsidRDefault="00C0384D" w:rsidP="00DA355E">
      <w:pPr>
        <w:pStyle w:val="BodyText"/>
        <w:spacing w:before="100" w:after="100"/>
        <w:rPr>
          <w:rFonts w:cs="Calibri"/>
          <w:lang w:eastAsia="en-GB"/>
        </w:rPr>
      </w:pPr>
      <w:r w:rsidRPr="001D5327">
        <w:rPr>
          <w:rFonts w:cs="Calibri"/>
        </w:rPr>
        <w:t>It is difficult to quantify t</w:t>
      </w:r>
      <w:r w:rsidR="00894BCE" w:rsidRPr="001D5327">
        <w:rPr>
          <w:rFonts w:cs="Calibri"/>
        </w:rPr>
        <w:t>he precise</w:t>
      </w:r>
      <w:r w:rsidR="00D97D6C" w:rsidRPr="001D5327">
        <w:rPr>
          <w:rFonts w:cs="Calibri"/>
        </w:rPr>
        <w:t xml:space="preserve"> </w:t>
      </w:r>
      <w:r w:rsidRPr="001D5327">
        <w:rPr>
          <w:rFonts w:cs="Calibri"/>
        </w:rPr>
        <w:t>volume</w:t>
      </w:r>
      <w:r w:rsidR="00D97D6C" w:rsidRPr="001D5327">
        <w:rPr>
          <w:rFonts w:cs="Calibri"/>
        </w:rPr>
        <w:t xml:space="preserve"> of diesel used for commercial domestic navigation in </w:t>
      </w:r>
      <w:r w:rsidR="00D97D6C" w:rsidRPr="001D5327">
        <w:rPr>
          <w:rFonts w:cs="Calibri"/>
          <w:lang w:eastAsia="en-GB"/>
        </w:rPr>
        <w:t>New Zealand</w:t>
      </w:r>
      <w:r w:rsidR="00D97D6C" w:rsidRPr="001D5327">
        <w:rPr>
          <w:rFonts w:cs="Calibri"/>
        </w:rPr>
        <w:t xml:space="preserve">. </w:t>
      </w:r>
      <w:r w:rsidRPr="001D5327">
        <w:rPr>
          <w:rFonts w:cs="Calibri"/>
        </w:rPr>
        <w:t>Currently, t</w:t>
      </w:r>
      <w:r w:rsidR="00D97D6C" w:rsidRPr="001D5327">
        <w:rPr>
          <w:rFonts w:cs="Calibri"/>
        </w:rPr>
        <w:t xml:space="preserve">he DPFI </w:t>
      </w:r>
      <w:r w:rsidRPr="001D5327">
        <w:rPr>
          <w:rFonts w:cs="Calibri"/>
        </w:rPr>
        <w:t xml:space="preserve">only differentiates </w:t>
      </w:r>
      <w:r w:rsidR="00D97D6C" w:rsidRPr="001D5327">
        <w:rPr>
          <w:rFonts w:cs="Calibri"/>
        </w:rPr>
        <w:t>sales</w:t>
      </w:r>
      <w:r w:rsidRPr="001D5327">
        <w:rPr>
          <w:rFonts w:cs="Calibri"/>
        </w:rPr>
        <w:t xml:space="preserve"> of diesel</w:t>
      </w:r>
      <w:r w:rsidR="00D97D6C" w:rsidRPr="001D5327">
        <w:rPr>
          <w:rFonts w:cs="Calibri"/>
        </w:rPr>
        <w:t xml:space="preserve"> </w:t>
      </w:r>
      <w:r w:rsidRPr="001D5327">
        <w:rPr>
          <w:rFonts w:cs="Calibri"/>
        </w:rPr>
        <w:t>to the level of domestic transport.</w:t>
      </w:r>
      <w:r w:rsidR="002761D4" w:rsidRPr="001D5327">
        <w:rPr>
          <w:rFonts w:cs="Calibri"/>
        </w:rPr>
        <w:t xml:space="preserve"> MBIE’s oil data system </w:t>
      </w:r>
      <w:r w:rsidR="002C4177" w:rsidRPr="001D5327">
        <w:rPr>
          <w:rFonts w:cs="Calibri"/>
        </w:rPr>
        <w:t>sub</w:t>
      </w:r>
      <w:r w:rsidR="002761D4" w:rsidRPr="001D5327">
        <w:rPr>
          <w:rFonts w:cs="Calibri"/>
        </w:rPr>
        <w:t xml:space="preserve">categorises diesel </w:t>
      </w:r>
      <w:r w:rsidR="002C4177" w:rsidRPr="001D5327">
        <w:rPr>
          <w:rFonts w:cs="Calibri"/>
        </w:rPr>
        <w:t xml:space="preserve">sold for domestic transport </w:t>
      </w:r>
      <w:r w:rsidR="00D97D6C" w:rsidRPr="001D5327">
        <w:rPr>
          <w:rFonts w:cs="Calibri"/>
        </w:rPr>
        <w:t xml:space="preserve">as </w:t>
      </w:r>
      <w:r w:rsidR="002C4177" w:rsidRPr="001D5327">
        <w:rPr>
          <w:rFonts w:cs="Calibri"/>
        </w:rPr>
        <w:t>being us</w:t>
      </w:r>
      <w:r w:rsidR="00364891" w:rsidRPr="001D5327">
        <w:rPr>
          <w:rFonts w:cs="Calibri"/>
        </w:rPr>
        <w:t>ed</w:t>
      </w:r>
      <w:r w:rsidR="002C4177" w:rsidRPr="001D5327">
        <w:rPr>
          <w:rFonts w:cs="Calibri"/>
        </w:rPr>
        <w:t xml:space="preserve"> for </w:t>
      </w:r>
      <w:r w:rsidR="00D97D6C" w:rsidRPr="001D5327">
        <w:rPr>
          <w:rFonts w:cs="Calibri"/>
        </w:rPr>
        <w:t>road transport.</w:t>
      </w:r>
    </w:p>
    <w:p w14:paraId="2B564CF5" w14:textId="77777777" w:rsidR="00D97D6C" w:rsidRPr="001D5327" w:rsidRDefault="00D97D6C" w:rsidP="00D97D6C">
      <w:pPr>
        <w:pStyle w:val="Heading4"/>
      </w:pPr>
      <w:r w:rsidRPr="001D5327">
        <w:lastRenderedPageBreak/>
        <w:t>Uncertainty assessment and time-series consistency</w:t>
      </w:r>
    </w:p>
    <w:p w14:paraId="28D325BA" w14:textId="77777777" w:rsidR="00D97D6C" w:rsidRPr="001D5327" w:rsidRDefault="00D97D6C" w:rsidP="00550502">
      <w:pPr>
        <w:pStyle w:val="BodyText"/>
        <w:rPr>
          <w:lang w:eastAsia="en-GB"/>
        </w:rPr>
      </w:pPr>
      <w:r w:rsidRPr="001D5327">
        <w:rPr>
          <w:lang w:eastAsia="en-GB"/>
        </w:rPr>
        <w:t xml:space="preserve">Uncertainties in </w:t>
      </w:r>
      <w:r w:rsidRPr="001D5327">
        <w:t>emission</w:t>
      </w:r>
      <w:r w:rsidRPr="001D5327">
        <w:rPr>
          <w:lang w:eastAsia="en-GB"/>
        </w:rPr>
        <w:t xml:space="preserve"> estimates from the </w:t>
      </w:r>
      <w:r w:rsidRPr="001D5327">
        <w:rPr>
          <w:i/>
          <w:lang w:eastAsia="en-GB"/>
        </w:rPr>
        <w:t>Transport</w:t>
      </w:r>
      <w:r w:rsidRPr="001D5327">
        <w:rPr>
          <w:lang w:eastAsia="en-GB"/>
        </w:rPr>
        <w:t xml:space="preserve"> category are relevant to the entire </w:t>
      </w:r>
      <w:r w:rsidRPr="001D5327">
        <w:rPr>
          <w:i/>
          <w:lang w:eastAsia="en-GB"/>
        </w:rPr>
        <w:t>Fuel combustion</w:t>
      </w:r>
      <w:r w:rsidRPr="001D5327">
        <w:rPr>
          <w:lang w:eastAsia="en-GB"/>
        </w:rPr>
        <w:t xml:space="preserve"> sector (see table 3.2.1).</w:t>
      </w:r>
    </w:p>
    <w:p w14:paraId="475B186D" w14:textId="77777777" w:rsidR="00D97D6C" w:rsidRPr="001D5327" w:rsidRDefault="00D97D6C" w:rsidP="00D97D6C">
      <w:pPr>
        <w:pStyle w:val="Heading4"/>
      </w:pPr>
      <w:r w:rsidRPr="001D5327">
        <w:t>Category-specific QA/QC and verification</w:t>
      </w:r>
    </w:p>
    <w:p w14:paraId="0CC4EEDC" w14:textId="77777777" w:rsidR="00D97D6C" w:rsidRPr="001D5327" w:rsidRDefault="00D97D6C" w:rsidP="00550502">
      <w:pPr>
        <w:pStyle w:val="BodyText"/>
      </w:pPr>
      <w:r w:rsidRPr="001D5327">
        <w:rPr>
          <w:spacing w:val="-2"/>
          <w:lang w:eastAsia="en-GB"/>
        </w:rPr>
        <w:t xml:space="preserve">In the preparation of this inventory, the </w:t>
      </w:r>
      <w:r w:rsidRPr="001D5327">
        <w:rPr>
          <w:i/>
          <w:spacing w:val="-2"/>
          <w:lang w:eastAsia="en-GB"/>
        </w:rPr>
        <w:t>Transport</w:t>
      </w:r>
      <w:r w:rsidRPr="001D5327">
        <w:rPr>
          <w:spacing w:val="-2"/>
          <w:lang w:eastAsia="en-GB"/>
        </w:rPr>
        <w:t xml:space="preserve"> category underwent Tier 1 quality-assurance</w:t>
      </w:r>
      <w:r w:rsidRPr="001D5327">
        <w:rPr>
          <w:lang w:eastAsia="en-GB"/>
        </w:rPr>
        <w:t xml:space="preserve"> and quality-control checks as recommended in the 2006 IPCC Guidelines. These include regular control sums throughout systems, to verify system integrity, and time-series consistency checks.</w:t>
      </w:r>
    </w:p>
    <w:p w14:paraId="7A0C188E" w14:textId="77777777" w:rsidR="00D97D6C" w:rsidRPr="001D5327" w:rsidRDefault="00D97D6C" w:rsidP="00550502">
      <w:pPr>
        <w:pStyle w:val="BodyText"/>
        <w:rPr>
          <w:lang w:eastAsia="en-GB"/>
        </w:rPr>
      </w:pPr>
      <w:r w:rsidRPr="001D5327">
        <w:rPr>
          <w:lang w:eastAsia="en-GB"/>
        </w:rPr>
        <w:t xml:space="preserve">Comparisons of international implied emission factors across the time series (1990–2012), and those resulting from the new Tier 3 methodology for </w:t>
      </w:r>
      <w:r w:rsidRPr="001D5327">
        <w:t>CH</w:t>
      </w:r>
      <w:r w:rsidRPr="001D5327">
        <w:rPr>
          <w:vertAlign w:val="subscript"/>
        </w:rPr>
        <w:t>4</w:t>
      </w:r>
      <w:r w:rsidRPr="001D5327">
        <w:rPr>
          <w:lang w:eastAsia="en-GB"/>
        </w:rPr>
        <w:t xml:space="preserve"> and </w:t>
      </w:r>
      <w:r w:rsidRPr="001D5327">
        <w:t>N</w:t>
      </w:r>
      <w:r w:rsidRPr="001D5327">
        <w:rPr>
          <w:vertAlign w:val="subscript"/>
        </w:rPr>
        <w:t>2</w:t>
      </w:r>
      <w:r w:rsidRPr="001D5327">
        <w:t>O</w:t>
      </w:r>
      <w:r w:rsidRPr="001D5327">
        <w:rPr>
          <w:lang w:eastAsia="en-GB"/>
        </w:rPr>
        <w:t xml:space="preserve"> emissions from road transport, were made using data from the United Nations Framework Convention on Climate Change website. </w:t>
      </w:r>
    </w:p>
    <w:p w14:paraId="3D16E6FD" w14:textId="77777777" w:rsidR="00D97D6C" w:rsidRPr="001D5327" w:rsidRDefault="00D97D6C" w:rsidP="00D97D6C">
      <w:pPr>
        <w:pStyle w:val="Heading4"/>
      </w:pPr>
      <w:r w:rsidRPr="001D5327">
        <w:t>Category-specific recalculations</w:t>
      </w:r>
    </w:p>
    <w:p w14:paraId="32A844DD" w14:textId="77777777" w:rsidR="00D97D6C" w:rsidRPr="001D5327" w:rsidRDefault="00D97D6C" w:rsidP="00550502">
      <w:pPr>
        <w:pStyle w:val="BodyText"/>
        <w:rPr>
          <w:lang w:eastAsia="en-GB"/>
        </w:rPr>
      </w:pPr>
      <w:r w:rsidRPr="001D5327">
        <w:rPr>
          <w:lang w:eastAsia="en-GB"/>
        </w:rPr>
        <w:t xml:space="preserve">Historical energy demand data in the national energy balance tables are occasionally revised from year to year. This may result in minor revisions to activity data and recalculations to the corresponding emissions for some years in some categories. </w:t>
      </w:r>
    </w:p>
    <w:p w14:paraId="7C669AAA" w14:textId="77777777" w:rsidR="00D97D6C" w:rsidRPr="001D5327" w:rsidRDefault="00D97D6C" w:rsidP="00D97D6C">
      <w:pPr>
        <w:pStyle w:val="Heading4"/>
      </w:pPr>
      <w:r w:rsidRPr="001D5327">
        <w:t>Category-specific planned improvements</w:t>
      </w:r>
    </w:p>
    <w:p w14:paraId="0748576F" w14:textId="77777777" w:rsidR="00D97D6C" w:rsidRPr="001D5327" w:rsidRDefault="00D97D6C" w:rsidP="00550502">
      <w:pPr>
        <w:pStyle w:val="BodyText"/>
      </w:pPr>
      <w:r w:rsidRPr="001D5327">
        <w:rPr>
          <w:lang w:eastAsia="en-GB"/>
        </w:rPr>
        <w:t>MBIE and the Ministry of Transport are considering incorporating the results of a new aviation emissions model in the inventory estimates (for CH</w:t>
      </w:r>
      <w:r w:rsidRPr="001D5327">
        <w:rPr>
          <w:vertAlign w:val="subscript"/>
          <w:lang w:eastAsia="en-GB"/>
        </w:rPr>
        <w:t>4</w:t>
      </w:r>
      <w:r w:rsidRPr="001D5327">
        <w:rPr>
          <w:lang w:eastAsia="en-GB"/>
        </w:rPr>
        <w:t xml:space="preserve"> and N</w:t>
      </w:r>
      <w:r w:rsidRPr="001D5327">
        <w:rPr>
          <w:vertAlign w:val="subscript"/>
          <w:lang w:eastAsia="en-GB"/>
        </w:rPr>
        <w:t>2</w:t>
      </w:r>
      <w:r w:rsidRPr="001D5327">
        <w:rPr>
          <w:lang w:eastAsia="en-GB"/>
        </w:rPr>
        <w:t xml:space="preserve">O emissions). This will </w:t>
      </w:r>
      <w:r w:rsidRPr="001D5327">
        <w:t>require</w:t>
      </w:r>
      <w:r w:rsidRPr="001D5327">
        <w:rPr>
          <w:lang w:eastAsia="en-GB"/>
        </w:rPr>
        <w:t xml:space="preserve"> time and resources to progress if it is deemed to be a worthwhile improvement. </w:t>
      </w:r>
    </w:p>
    <w:p w14:paraId="7D4EF18C" w14:textId="68B28831" w:rsidR="00D97D6C" w:rsidRPr="001D5327" w:rsidRDefault="00D97D6C" w:rsidP="00402C72">
      <w:pPr>
        <w:pStyle w:val="Heading3"/>
        <w:tabs>
          <w:tab w:val="clear" w:pos="851"/>
          <w:tab w:val="left" w:pos="993"/>
        </w:tabs>
      </w:pPr>
      <w:r w:rsidRPr="001D5327">
        <w:t>3.2.10</w:t>
      </w:r>
      <w:r w:rsidR="00402C72" w:rsidRPr="001D5327">
        <w:tab/>
      </w:r>
      <w:r w:rsidRPr="001D5327">
        <w:t>Fuel combustion: Other sectors (CRT 1.A.4)</w:t>
      </w:r>
    </w:p>
    <w:p w14:paraId="589578DA" w14:textId="77777777" w:rsidR="00D97D6C" w:rsidRPr="001D5327" w:rsidRDefault="00D97D6C" w:rsidP="00D97D6C">
      <w:pPr>
        <w:pStyle w:val="Heading4"/>
      </w:pPr>
      <w:r w:rsidRPr="001D5327">
        <w:t>Category description</w:t>
      </w:r>
    </w:p>
    <w:p w14:paraId="794A19BC" w14:textId="77777777" w:rsidR="00D97D6C" w:rsidRPr="001D5327" w:rsidRDefault="00D97D6C" w:rsidP="00550502">
      <w:pPr>
        <w:pStyle w:val="BodyText"/>
        <w:rPr>
          <w:lang w:eastAsia="en-GB"/>
        </w:rPr>
      </w:pPr>
      <w:r w:rsidRPr="001D5327">
        <w:rPr>
          <w:lang w:eastAsia="en-GB"/>
        </w:rPr>
        <w:t xml:space="preserve">The category 1.A.4 </w:t>
      </w:r>
      <w:r w:rsidRPr="001D5327">
        <w:rPr>
          <w:i/>
          <w:lang w:eastAsia="en-GB"/>
        </w:rPr>
        <w:t>Other sectors</w:t>
      </w:r>
      <w:r w:rsidRPr="001D5327">
        <w:rPr>
          <w:lang w:eastAsia="en-GB"/>
        </w:rPr>
        <w:t xml:space="preserve"> comprises emissions from fuels combusted in the </w:t>
      </w:r>
      <w:r w:rsidRPr="001D5327">
        <w:rPr>
          <w:i/>
          <w:lang w:eastAsia="en-GB"/>
        </w:rPr>
        <w:t>Commercial/institutional</w:t>
      </w:r>
      <w:r w:rsidRPr="001D5327">
        <w:rPr>
          <w:lang w:eastAsia="en-GB"/>
        </w:rPr>
        <w:t xml:space="preserve">, </w:t>
      </w:r>
      <w:r w:rsidRPr="001D5327">
        <w:rPr>
          <w:i/>
          <w:lang w:eastAsia="en-GB"/>
        </w:rPr>
        <w:t>Residential</w:t>
      </w:r>
      <w:r w:rsidRPr="001D5327">
        <w:rPr>
          <w:lang w:eastAsia="en-GB"/>
        </w:rPr>
        <w:t xml:space="preserve"> and </w:t>
      </w:r>
      <w:r w:rsidRPr="001D5327">
        <w:rPr>
          <w:i/>
          <w:lang w:eastAsia="en-GB"/>
        </w:rPr>
        <w:t>Agriculture/forestry/fishing</w:t>
      </w:r>
      <w:r w:rsidRPr="001D5327">
        <w:rPr>
          <w:lang w:eastAsia="en-GB"/>
        </w:rPr>
        <w:t xml:space="preserve"> categories.</w:t>
      </w:r>
    </w:p>
    <w:p w14:paraId="2ACA39A2" w14:textId="438CF29B" w:rsidR="00D97D6C" w:rsidRPr="001D5327" w:rsidRDefault="00D97D6C" w:rsidP="00550502">
      <w:pPr>
        <w:pStyle w:val="BodyText"/>
      </w:pPr>
      <w:r w:rsidRPr="001D5327">
        <w:rPr>
          <w:lang w:eastAsia="en-GB"/>
        </w:rPr>
        <w:t xml:space="preserve">In </w:t>
      </w:r>
      <w:r w:rsidR="00704343" w:rsidRPr="001D5327">
        <w:t>2023</w:t>
      </w:r>
      <w:r w:rsidRPr="001D5327">
        <w:rPr>
          <w:lang w:eastAsia="en-GB"/>
        </w:rPr>
        <w:t xml:space="preserve">, the </w:t>
      </w:r>
      <w:r w:rsidRPr="001D5327">
        <w:rPr>
          <w:i/>
          <w:lang w:eastAsia="en-GB"/>
        </w:rPr>
        <w:t>Fuel combustion – Other sectors</w:t>
      </w:r>
      <w:r w:rsidRPr="001D5327">
        <w:rPr>
          <w:lang w:eastAsia="en-GB"/>
        </w:rPr>
        <w:t xml:space="preserve"> category accounted for </w:t>
      </w:r>
      <w:r w:rsidR="00621E69" w:rsidRPr="001D5327">
        <w:rPr>
          <w:lang w:eastAsia="en-GB"/>
        </w:rPr>
        <w:t>4,455.6</w:t>
      </w:r>
      <w:r w:rsidRPr="001D5327">
        <w:t xml:space="preserve"> </w:t>
      </w:r>
      <w:r w:rsidRPr="001D5327">
        <w:rPr>
          <w:lang w:eastAsia="en-GB"/>
        </w:rPr>
        <w:t>kt CO</w:t>
      </w:r>
      <w:r w:rsidRPr="001D5327">
        <w:rPr>
          <w:vertAlign w:val="subscript"/>
          <w:lang w:eastAsia="en-GB"/>
        </w:rPr>
        <w:t>2</w:t>
      </w:r>
      <w:r w:rsidRPr="001D5327">
        <w:rPr>
          <w:lang w:eastAsia="en-GB"/>
        </w:rPr>
        <w:t>-e (</w:t>
      </w:r>
      <w:r w:rsidR="00621E69" w:rsidRPr="001D5327">
        <w:t>15.4</w:t>
      </w:r>
      <w:r w:rsidRPr="001D5327">
        <w:t> per</w:t>
      </w:r>
      <w:r w:rsidR="00392E8F" w:rsidRPr="001D5327">
        <w:t> </w:t>
      </w:r>
      <w:r w:rsidRPr="001D5327">
        <w:t>cent</w:t>
      </w:r>
      <w:r w:rsidRPr="001D5327">
        <w:rPr>
          <w:lang w:eastAsia="en-GB"/>
        </w:rPr>
        <w:t xml:space="preserve"> of the emissions from the Energy sector). This is </w:t>
      </w:r>
      <w:r w:rsidR="00621E69" w:rsidRPr="001D5327">
        <w:rPr>
          <w:lang w:eastAsia="en-GB"/>
        </w:rPr>
        <w:t>871.7</w:t>
      </w:r>
      <w:r w:rsidRPr="001D5327">
        <w:rPr>
          <w:lang w:eastAsia="en-GB"/>
        </w:rPr>
        <w:t xml:space="preserve"> kt CO</w:t>
      </w:r>
      <w:r w:rsidRPr="001D5327">
        <w:rPr>
          <w:vertAlign w:val="subscript"/>
          <w:lang w:eastAsia="en-GB"/>
        </w:rPr>
        <w:t>2</w:t>
      </w:r>
      <w:r w:rsidRPr="001D5327">
        <w:rPr>
          <w:lang w:eastAsia="en-GB"/>
        </w:rPr>
        <w:t>-e (</w:t>
      </w:r>
      <w:r w:rsidRPr="001D5327">
        <w:t>2</w:t>
      </w:r>
      <w:r w:rsidR="00EE3015" w:rsidRPr="001D5327">
        <w:t>4</w:t>
      </w:r>
      <w:r w:rsidRPr="001D5327">
        <w:t>.</w:t>
      </w:r>
      <w:r w:rsidR="00EE3015" w:rsidRPr="001D5327">
        <w:t>3</w:t>
      </w:r>
      <w:r w:rsidRPr="001D5327">
        <w:t xml:space="preserve"> per cent</w:t>
      </w:r>
      <w:r w:rsidRPr="001D5327">
        <w:rPr>
          <w:lang w:eastAsia="en-GB"/>
        </w:rPr>
        <w:t xml:space="preserve">) higher than the 1990 value of </w:t>
      </w:r>
      <w:r w:rsidR="00621E69" w:rsidRPr="001D5327">
        <w:t>3,583.9</w:t>
      </w:r>
      <w:r w:rsidRPr="001D5327">
        <w:t xml:space="preserve"> </w:t>
      </w:r>
      <w:r w:rsidRPr="001D5327">
        <w:rPr>
          <w:lang w:eastAsia="en-GB"/>
        </w:rPr>
        <w:t>kt CO</w:t>
      </w:r>
      <w:r w:rsidRPr="001D5327">
        <w:rPr>
          <w:vertAlign w:val="subscript"/>
          <w:lang w:eastAsia="en-GB"/>
        </w:rPr>
        <w:t>2</w:t>
      </w:r>
      <w:r w:rsidRPr="001D5327">
        <w:rPr>
          <w:lang w:eastAsia="en-GB"/>
        </w:rPr>
        <w:t xml:space="preserve">-e. The main contributors to this increase were </w:t>
      </w:r>
      <w:r w:rsidRPr="001D5327">
        <w:rPr>
          <w:i/>
          <w:spacing w:val="-2"/>
          <w:lang w:eastAsia="en-GB"/>
        </w:rPr>
        <w:t>Commercial/institutional</w:t>
      </w:r>
      <w:r w:rsidRPr="001D5327">
        <w:rPr>
          <w:spacing w:val="-2"/>
          <w:lang w:eastAsia="en-GB"/>
        </w:rPr>
        <w:t xml:space="preserve"> (up </w:t>
      </w:r>
      <w:r w:rsidR="00621E69" w:rsidRPr="001D5327">
        <w:rPr>
          <w:spacing w:val="-2"/>
          <w:lang w:eastAsia="en-GB"/>
        </w:rPr>
        <w:t>310.6</w:t>
      </w:r>
      <w:r w:rsidRPr="001D5327">
        <w:rPr>
          <w:spacing w:val="-2"/>
          <w:lang w:eastAsia="en-GB"/>
        </w:rPr>
        <w:t xml:space="preserve"> kt CO</w:t>
      </w:r>
      <w:r w:rsidRPr="001D5327">
        <w:rPr>
          <w:spacing w:val="-2"/>
          <w:vertAlign w:val="subscript"/>
          <w:lang w:eastAsia="en-GB"/>
        </w:rPr>
        <w:t>2</w:t>
      </w:r>
      <w:r w:rsidRPr="001D5327">
        <w:rPr>
          <w:spacing w:val="-2"/>
          <w:lang w:eastAsia="en-GB"/>
        </w:rPr>
        <w:t xml:space="preserve">-e or </w:t>
      </w:r>
      <w:r w:rsidR="00621E69" w:rsidRPr="001D5327">
        <w:rPr>
          <w:spacing w:val="-2"/>
          <w:lang w:eastAsia="en-GB"/>
        </w:rPr>
        <w:t>35.1</w:t>
      </w:r>
      <w:r w:rsidRPr="001D5327">
        <w:rPr>
          <w:spacing w:val="-2"/>
          <w:lang w:eastAsia="en-GB"/>
        </w:rPr>
        <w:t xml:space="preserve"> per cent) and </w:t>
      </w:r>
      <w:r w:rsidRPr="001D5327">
        <w:rPr>
          <w:i/>
          <w:spacing w:val="-2"/>
          <w:lang w:eastAsia="en-GB"/>
        </w:rPr>
        <w:t>Residential</w:t>
      </w:r>
      <w:r w:rsidRPr="001D5327">
        <w:rPr>
          <w:spacing w:val="-2"/>
          <w:lang w:eastAsia="en-GB"/>
        </w:rPr>
        <w:t xml:space="preserve"> (up </w:t>
      </w:r>
      <w:r w:rsidR="00621E69" w:rsidRPr="001D5327">
        <w:rPr>
          <w:spacing w:val="-2"/>
          <w:lang w:eastAsia="en-GB"/>
        </w:rPr>
        <w:t>383.5</w:t>
      </w:r>
      <w:r w:rsidRPr="001D5327">
        <w:rPr>
          <w:spacing w:val="-2"/>
          <w:lang w:eastAsia="en-GB"/>
        </w:rPr>
        <w:t xml:space="preserve"> kt CO</w:t>
      </w:r>
      <w:r w:rsidRPr="001D5327">
        <w:rPr>
          <w:spacing w:val="-2"/>
          <w:vertAlign w:val="subscript"/>
          <w:lang w:eastAsia="en-GB"/>
        </w:rPr>
        <w:t>2</w:t>
      </w:r>
      <w:r w:rsidRPr="001D5327">
        <w:rPr>
          <w:spacing w:val="-2"/>
          <w:lang w:eastAsia="en-GB"/>
        </w:rPr>
        <w:noBreakHyphen/>
        <w:t>e</w:t>
      </w:r>
      <w:r w:rsidRPr="001D5327">
        <w:rPr>
          <w:lang w:eastAsia="en-GB"/>
        </w:rPr>
        <w:t xml:space="preserve"> or </w:t>
      </w:r>
      <w:r w:rsidR="00621E69" w:rsidRPr="001D5327">
        <w:rPr>
          <w:lang w:eastAsia="en-GB"/>
        </w:rPr>
        <w:t>26.3</w:t>
      </w:r>
      <w:r w:rsidRPr="001D5327">
        <w:rPr>
          <w:lang w:eastAsia="en-GB"/>
        </w:rPr>
        <w:t xml:space="preserve"> per cent).</w:t>
      </w:r>
    </w:p>
    <w:p w14:paraId="2B11CAE7" w14:textId="7F4FA25C" w:rsidR="00D97D6C" w:rsidRPr="001D5327" w:rsidRDefault="00D97D6C" w:rsidP="00D97D6C">
      <w:pPr>
        <w:pStyle w:val="Heading4"/>
        <w:rPr>
          <w:lang w:eastAsia="en-GB"/>
        </w:rPr>
      </w:pPr>
      <w:r w:rsidRPr="001D5327">
        <w:rPr>
          <w:lang w:eastAsia="en-GB"/>
        </w:rPr>
        <w:t xml:space="preserve">Changes in emissions between </w:t>
      </w:r>
      <w:r w:rsidR="00704343" w:rsidRPr="001D5327">
        <w:t>2022</w:t>
      </w:r>
      <w:r w:rsidRPr="001D5327">
        <w:rPr>
          <w:lang w:eastAsia="en-GB"/>
        </w:rPr>
        <w:t xml:space="preserve"> and </w:t>
      </w:r>
      <w:r w:rsidR="00704343" w:rsidRPr="001D5327">
        <w:t>2023</w:t>
      </w:r>
    </w:p>
    <w:p w14:paraId="64A1CB98" w14:textId="7AD56D06" w:rsidR="00D97D6C" w:rsidRPr="001D5327" w:rsidRDefault="00D97D6C" w:rsidP="00550502">
      <w:pPr>
        <w:pStyle w:val="BodyText"/>
        <w:rPr>
          <w:lang w:eastAsia="en-GB"/>
        </w:rPr>
      </w:pPr>
      <w:r w:rsidRPr="001D5327">
        <w:rPr>
          <w:lang w:eastAsia="en-GB"/>
        </w:rPr>
        <w:t xml:space="preserve">Between </w:t>
      </w:r>
      <w:r w:rsidR="00704343" w:rsidRPr="001D5327">
        <w:t>2022</w:t>
      </w:r>
      <w:r w:rsidRPr="001D5327">
        <w:t xml:space="preserve"> </w:t>
      </w:r>
      <w:r w:rsidRPr="001D5327">
        <w:rPr>
          <w:lang w:eastAsia="en-GB"/>
        </w:rPr>
        <w:t xml:space="preserve">and </w:t>
      </w:r>
      <w:r w:rsidR="00704343" w:rsidRPr="001D5327">
        <w:t>2023</w:t>
      </w:r>
      <w:r w:rsidRPr="001D5327">
        <w:rPr>
          <w:lang w:eastAsia="en-GB"/>
        </w:rPr>
        <w:t xml:space="preserve">, emissions from 1.A.4 </w:t>
      </w:r>
      <w:r w:rsidRPr="001D5327">
        <w:rPr>
          <w:i/>
          <w:lang w:eastAsia="en-GB"/>
        </w:rPr>
        <w:t>Other sectors</w:t>
      </w:r>
      <w:r w:rsidRPr="001D5327">
        <w:rPr>
          <w:lang w:eastAsia="en-GB"/>
        </w:rPr>
        <w:t xml:space="preserve"> </w:t>
      </w:r>
      <w:r w:rsidRPr="001D5327">
        <w:t xml:space="preserve">decreased by </w:t>
      </w:r>
      <w:r w:rsidR="00621E69" w:rsidRPr="001D5327">
        <w:t>66.9</w:t>
      </w:r>
      <w:r w:rsidRPr="001D5327">
        <w:t> </w:t>
      </w:r>
      <w:r w:rsidRPr="001D5327">
        <w:rPr>
          <w:lang w:eastAsia="en-GB"/>
        </w:rPr>
        <w:t>kt CO</w:t>
      </w:r>
      <w:r w:rsidRPr="001D5327">
        <w:rPr>
          <w:vertAlign w:val="subscript"/>
          <w:lang w:eastAsia="en-GB"/>
        </w:rPr>
        <w:t>2</w:t>
      </w:r>
      <w:r w:rsidRPr="001D5327">
        <w:rPr>
          <w:lang w:eastAsia="en-GB"/>
        </w:rPr>
        <w:noBreakHyphen/>
        <w:t>e (</w:t>
      </w:r>
      <w:r w:rsidR="00621E69" w:rsidRPr="001D5327">
        <w:rPr>
          <w:lang w:eastAsia="en-GB"/>
        </w:rPr>
        <w:t>1.5</w:t>
      </w:r>
      <w:r w:rsidRPr="001D5327">
        <w:t> per cent</w:t>
      </w:r>
      <w:r w:rsidRPr="001D5327">
        <w:rPr>
          <w:lang w:eastAsia="en-GB"/>
        </w:rPr>
        <w:t xml:space="preserve">). A </w:t>
      </w:r>
      <w:r w:rsidR="00621E69" w:rsidRPr="001D5327">
        <w:rPr>
          <w:lang w:eastAsia="en-GB"/>
        </w:rPr>
        <w:t xml:space="preserve">decrease </w:t>
      </w:r>
      <w:r w:rsidRPr="001D5327">
        <w:rPr>
          <w:lang w:eastAsia="en-GB"/>
        </w:rPr>
        <w:t xml:space="preserve">of </w:t>
      </w:r>
      <w:r w:rsidR="00621E69" w:rsidRPr="001D5327">
        <w:rPr>
          <w:lang w:eastAsia="en-GB"/>
        </w:rPr>
        <w:t>143.1</w:t>
      </w:r>
      <w:r w:rsidRPr="001D5327">
        <w:rPr>
          <w:lang w:eastAsia="en-GB"/>
        </w:rPr>
        <w:t xml:space="preserve"> kt CO</w:t>
      </w:r>
      <w:r w:rsidRPr="001D5327">
        <w:rPr>
          <w:vertAlign w:val="subscript"/>
          <w:lang w:eastAsia="en-GB"/>
        </w:rPr>
        <w:t>2</w:t>
      </w:r>
      <w:r w:rsidRPr="001D5327">
        <w:rPr>
          <w:lang w:eastAsia="en-GB"/>
        </w:rPr>
        <w:t xml:space="preserve">-e from </w:t>
      </w:r>
      <w:r w:rsidRPr="001D5327">
        <w:rPr>
          <w:i/>
          <w:iCs/>
          <w:lang w:eastAsia="en-GB"/>
        </w:rPr>
        <w:t>Commercial/institutional</w:t>
      </w:r>
      <w:r w:rsidRPr="001D5327">
        <w:rPr>
          <w:lang w:eastAsia="en-GB"/>
        </w:rPr>
        <w:t xml:space="preserve"> was offset by a </w:t>
      </w:r>
      <w:r w:rsidR="00621E69" w:rsidRPr="001D5327">
        <w:rPr>
          <w:lang w:eastAsia="en-GB"/>
        </w:rPr>
        <w:t>41.4</w:t>
      </w:r>
      <w:r w:rsidR="00392E8F" w:rsidRPr="001D5327">
        <w:rPr>
          <w:lang w:eastAsia="en-GB"/>
        </w:rPr>
        <w:t> </w:t>
      </w:r>
      <w:r w:rsidRPr="001D5327">
        <w:rPr>
          <w:lang w:eastAsia="en-GB"/>
        </w:rPr>
        <w:t>kt CO</w:t>
      </w:r>
      <w:r w:rsidRPr="001D5327">
        <w:rPr>
          <w:vertAlign w:val="subscript"/>
          <w:lang w:eastAsia="en-GB"/>
        </w:rPr>
        <w:t>2</w:t>
      </w:r>
      <w:r w:rsidRPr="001D5327">
        <w:rPr>
          <w:lang w:eastAsia="en-GB"/>
        </w:rPr>
        <w:t xml:space="preserve">-e </w:t>
      </w:r>
      <w:r w:rsidR="00621E69" w:rsidRPr="001D5327">
        <w:rPr>
          <w:lang w:eastAsia="en-GB"/>
        </w:rPr>
        <w:t xml:space="preserve">increase </w:t>
      </w:r>
      <w:r w:rsidRPr="001D5327">
        <w:rPr>
          <w:lang w:eastAsia="en-GB"/>
        </w:rPr>
        <w:t xml:space="preserve">from </w:t>
      </w:r>
      <w:r w:rsidRPr="001D5327">
        <w:rPr>
          <w:i/>
          <w:iCs/>
          <w:lang w:eastAsia="en-GB"/>
        </w:rPr>
        <w:t>Agriculture/forestry/fishing</w:t>
      </w:r>
      <w:r w:rsidRPr="001D5327">
        <w:rPr>
          <w:lang w:eastAsia="en-GB"/>
        </w:rPr>
        <w:t>.</w:t>
      </w:r>
    </w:p>
    <w:p w14:paraId="2E0C7198" w14:textId="0ADBFA3E" w:rsidR="00D97D6C" w:rsidRPr="001D5327" w:rsidRDefault="00D97D6C" w:rsidP="00550502">
      <w:pPr>
        <w:pStyle w:val="BodyText"/>
      </w:pPr>
      <w:r w:rsidRPr="001D5327">
        <w:t xml:space="preserve">Key categories identified in the </w:t>
      </w:r>
      <w:r w:rsidR="00704343" w:rsidRPr="001D5327">
        <w:t>2023</w:t>
      </w:r>
      <w:r w:rsidRPr="001D5327">
        <w:t xml:space="preserve"> level and trend assessment for the </w:t>
      </w:r>
      <w:r w:rsidRPr="001D5327">
        <w:rPr>
          <w:i/>
        </w:rPr>
        <w:t>Other sectors</w:t>
      </w:r>
      <w:r w:rsidRPr="001D5327">
        <w:t xml:space="preserve"> category are given in table 3.2.7.</w:t>
      </w:r>
    </w:p>
    <w:p w14:paraId="2E6E92DC" w14:textId="77777777" w:rsidR="00D97D6C" w:rsidRPr="001D5327" w:rsidRDefault="00D97D6C" w:rsidP="00D97D6C">
      <w:pPr>
        <w:pStyle w:val="Table"/>
      </w:pPr>
      <w:bookmarkStart w:id="348" w:name="_Toc68786411"/>
      <w:bookmarkStart w:id="349" w:name="_Toc164153810"/>
      <w:bookmarkStart w:id="350" w:name="_Toc194241677"/>
      <w:r w:rsidRPr="001D5327">
        <w:lastRenderedPageBreak/>
        <w:t>Table 3.2.7</w:t>
      </w:r>
      <w:r w:rsidRPr="001D5327">
        <w:tab/>
        <w:t xml:space="preserve">Key categories for 1.A.4 </w:t>
      </w:r>
      <w:r w:rsidRPr="001D5327">
        <w:rPr>
          <w:i/>
          <w:iCs/>
          <w:lang w:eastAsia="en-GB"/>
        </w:rPr>
        <w:t>Other sectors</w:t>
      </w:r>
      <w:bookmarkEnd w:id="348"/>
      <w:bookmarkEnd w:id="349"/>
      <w:bookmarkEnd w:id="350"/>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3644"/>
        <w:gridCol w:w="1621"/>
        <w:gridCol w:w="1417"/>
        <w:gridCol w:w="1823"/>
      </w:tblGrid>
      <w:tr w:rsidR="00D97D6C" w:rsidRPr="001D5327" w14:paraId="15D73DDB" w14:textId="77777777" w:rsidTr="00FD51F9">
        <w:trPr>
          <w:tblHeader/>
        </w:trPr>
        <w:tc>
          <w:tcPr>
            <w:tcW w:w="2142" w:type="pct"/>
            <w:shd w:val="clear" w:color="auto" w:fill="1B556B"/>
            <w:noWrap/>
            <w:vAlign w:val="bottom"/>
            <w:hideMark/>
          </w:tcPr>
          <w:p w14:paraId="6304D611" w14:textId="7626E158" w:rsidR="00D97D6C" w:rsidRPr="001D5327" w:rsidRDefault="00986327" w:rsidP="00B55F24">
            <w:pPr>
              <w:pStyle w:val="TableTextBold"/>
              <w:rPr>
                <w:rFonts w:cs="Calibri"/>
                <w:noProof w:val="0"/>
                <w:color w:val="FFFFFF"/>
              </w:rPr>
            </w:pPr>
            <w:r w:rsidRPr="001D5327">
              <w:rPr>
                <w:rFonts w:cs="Calibri"/>
                <w:noProof w:val="0"/>
                <w:color w:val="FFFFFF"/>
              </w:rPr>
              <w:t>Category</w:t>
            </w:r>
          </w:p>
        </w:tc>
        <w:tc>
          <w:tcPr>
            <w:tcW w:w="953" w:type="pct"/>
            <w:shd w:val="clear" w:color="auto" w:fill="1B556B"/>
            <w:noWrap/>
            <w:vAlign w:val="bottom"/>
            <w:hideMark/>
          </w:tcPr>
          <w:p w14:paraId="4B952357" w14:textId="77777777" w:rsidR="00D97D6C" w:rsidRPr="001D5327" w:rsidRDefault="00D97D6C" w:rsidP="00B55F24">
            <w:pPr>
              <w:pStyle w:val="TableTextBold"/>
              <w:rPr>
                <w:rFonts w:cs="Calibri"/>
                <w:noProof w:val="0"/>
                <w:color w:val="FFFFFF"/>
              </w:rPr>
            </w:pPr>
            <w:r w:rsidRPr="001D5327">
              <w:rPr>
                <w:rFonts w:cs="Calibri"/>
                <w:noProof w:val="0"/>
                <w:color w:val="FFFFFF"/>
              </w:rPr>
              <w:t>Liquid fuels</w:t>
            </w:r>
          </w:p>
        </w:tc>
        <w:tc>
          <w:tcPr>
            <w:tcW w:w="833" w:type="pct"/>
            <w:shd w:val="clear" w:color="auto" w:fill="1B556B"/>
            <w:vAlign w:val="bottom"/>
            <w:hideMark/>
          </w:tcPr>
          <w:p w14:paraId="3379A04A" w14:textId="77777777" w:rsidR="00D97D6C" w:rsidRPr="001D5327" w:rsidRDefault="00D97D6C" w:rsidP="00B55F24">
            <w:pPr>
              <w:pStyle w:val="TableTextBold"/>
              <w:rPr>
                <w:rFonts w:cs="Calibri"/>
                <w:noProof w:val="0"/>
                <w:color w:val="FFFFFF"/>
              </w:rPr>
            </w:pPr>
            <w:r w:rsidRPr="001D5327">
              <w:rPr>
                <w:rFonts w:cs="Calibri"/>
                <w:noProof w:val="0"/>
                <w:color w:val="FFFFFF"/>
              </w:rPr>
              <w:t>Solid fuels</w:t>
            </w:r>
          </w:p>
        </w:tc>
        <w:tc>
          <w:tcPr>
            <w:tcW w:w="1072" w:type="pct"/>
            <w:shd w:val="clear" w:color="auto" w:fill="1B556B"/>
            <w:vAlign w:val="bottom"/>
            <w:hideMark/>
          </w:tcPr>
          <w:p w14:paraId="5C070EFF" w14:textId="77777777" w:rsidR="00D97D6C" w:rsidRPr="001D5327" w:rsidRDefault="00D97D6C" w:rsidP="00B55F24">
            <w:pPr>
              <w:pStyle w:val="TableTextBold"/>
              <w:rPr>
                <w:rFonts w:cs="Calibri"/>
                <w:noProof w:val="0"/>
                <w:color w:val="FFFFFF"/>
              </w:rPr>
            </w:pPr>
            <w:r w:rsidRPr="001D5327">
              <w:rPr>
                <w:rFonts w:cs="Calibri"/>
                <w:noProof w:val="0"/>
                <w:color w:val="FFFFFF"/>
              </w:rPr>
              <w:t>Gaseous fuels</w:t>
            </w:r>
          </w:p>
        </w:tc>
      </w:tr>
      <w:tr w:rsidR="00D97D6C" w:rsidRPr="001D5327" w14:paraId="61A020A6" w14:textId="77777777" w:rsidTr="00FD51F9">
        <w:tc>
          <w:tcPr>
            <w:tcW w:w="2142" w:type="pct"/>
            <w:shd w:val="clear" w:color="auto" w:fill="auto"/>
            <w:noWrap/>
            <w:hideMark/>
          </w:tcPr>
          <w:p w14:paraId="7D6CBFA4" w14:textId="77777777" w:rsidR="00D97D6C" w:rsidRPr="001D5327" w:rsidRDefault="00D97D6C" w:rsidP="00B55F24">
            <w:pPr>
              <w:pStyle w:val="TableText"/>
              <w:spacing w:before="50" w:after="50"/>
              <w:rPr>
                <w:rFonts w:cs="Calibri"/>
              </w:rPr>
            </w:pPr>
            <w:r w:rsidRPr="001D5327">
              <w:rPr>
                <w:rFonts w:cs="Calibri"/>
              </w:rPr>
              <w:t>Commercial/institutional – CO</w:t>
            </w:r>
            <w:r w:rsidRPr="001D5327">
              <w:rPr>
                <w:rFonts w:cs="Calibri"/>
                <w:vertAlign w:val="subscript"/>
              </w:rPr>
              <w:t>2</w:t>
            </w:r>
          </w:p>
        </w:tc>
        <w:tc>
          <w:tcPr>
            <w:tcW w:w="953" w:type="pct"/>
            <w:shd w:val="clear" w:color="auto" w:fill="auto"/>
            <w:noWrap/>
            <w:hideMark/>
          </w:tcPr>
          <w:p w14:paraId="5000E28D" w14:textId="77777777" w:rsidR="00D97D6C" w:rsidRPr="001D5327" w:rsidRDefault="00D97D6C" w:rsidP="00B55F24">
            <w:pPr>
              <w:pStyle w:val="TableText"/>
              <w:spacing w:before="50" w:after="50"/>
              <w:rPr>
                <w:rFonts w:cs="Calibri"/>
              </w:rPr>
            </w:pPr>
            <w:r w:rsidRPr="001D5327">
              <w:rPr>
                <w:rFonts w:cs="Calibri"/>
              </w:rPr>
              <w:t>Level, trend</w:t>
            </w:r>
          </w:p>
        </w:tc>
        <w:tc>
          <w:tcPr>
            <w:tcW w:w="833" w:type="pct"/>
            <w:shd w:val="clear" w:color="auto" w:fill="auto"/>
            <w:noWrap/>
            <w:hideMark/>
          </w:tcPr>
          <w:p w14:paraId="4D000B52" w14:textId="77777777" w:rsidR="00D97D6C" w:rsidRPr="001D5327" w:rsidRDefault="00D97D6C" w:rsidP="00B55F24">
            <w:pPr>
              <w:pStyle w:val="TableText"/>
              <w:spacing w:before="50" w:after="50"/>
              <w:rPr>
                <w:rFonts w:cs="Calibri"/>
              </w:rPr>
            </w:pPr>
            <w:r w:rsidRPr="001D5327">
              <w:rPr>
                <w:rFonts w:cs="Calibri"/>
              </w:rPr>
              <w:t>Trend</w:t>
            </w:r>
          </w:p>
        </w:tc>
        <w:tc>
          <w:tcPr>
            <w:tcW w:w="1072" w:type="pct"/>
            <w:shd w:val="clear" w:color="auto" w:fill="auto"/>
            <w:noWrap/>
            <w:hideMark/>
          </w:tcPr>
          <w:p w14:paraId="15BF294D" w14:textId="77777777" w:rsidR="00D97D6C" w:rsidRPr="001D5327" w:rsidRDefault="00D97D6C" w:rsidP="00B55F24">
            <w:pPr>
              <w:pStyle w:val="TableText"/>
              <w:spacing w:before="50" w:after="50"/>
              <w:rPr>
                <w:rFonts w:cs="Calibri"/>
              </w:rPr>
            </w:pPr>
            <w:r w:rsidRPr="001D5327">
              <w:rPr>
                <w:rFonts w:cs="Calibri"/>
              </w:rPr>
              <w:t>Level, trend</w:t>
            </w:r>
          </w:p>
        </w:tc>
      </w:tr>
      <w:tr w:rsidR="00D97D6C" w:rsidRPr="001D5327" w14:paraId="2B7C07B7" w14:textId="77777777" w:rsidTr="00FD51F9">
        <w:tc>
          <w:tcPr>
            <w:tcW w:w="2142" w:type="pct"/>
            <w:shd w:val="clear" w:color="auto" w:fill="auto"/>
            <w:noWrap/>
            <w:hideMark/>
          </w:tcPr>
          <w:p w14:paraId="57116A8D" w14:textId="77777777" w:rsidR="00D97D6C" w:rsidRPr="001D5327" w:rsidRDefault="00D97D6C" w:rsidP="00B55F24">
            <w:pPr>
              <w:pStyle w:val="TableText"/>
              <w:spacing w:before="50" w:after="50"/>
              <w:rPr>
                <w:rFonts w:cs="Calibri"/>
              </w:rPr>
            </w:pPr>
            <w:r w:rsidRPr="001D5327">
              <w:rPr>
                <w:rFonts w:cs="Calibri"/>
              </w:rPr>
              <w:t>Residential – CO</w:t>
            </w:r>
            <w:r w:rsidRPr="001D5327">
              <w:rPr>
                <w:rFonts w:cs="Calibri"/>
                <w:vertAlign w:val="subscript"/>
              </w:rPr>
              <w:t>2</w:t>
            </w:r>
          </w:p>
        </w:tc>
        <w:tc>
          <w:tcPr>
            <w:tcW w:w="953" w:type="pct"/>
            <w:shd w:val="clear" w:color="auto" w:fill="auto"/>
            <w:noWrap/>
            <w:hideMark/>
          </w:tcPr>
          <w:p w14:paraId="523192CA" w14:textId="77777777" w:rsidR="00D97D6C" w:rsidRPr="001D5327" w:rsidRDefault="00D97D6C" w:rsidP="00B55F24">
            <w:pPr>
              <w:pStyle w:val="TableText"/>
              <w:spacing w:before="50" w:after="50"/>
              <w:rPr>
                <w:rFonts w:cs="Calibri"/>
              </w:rPr>
            </w:pPr>
            <w:r w:rsidRPr="001D5327">
              <w:rPr>
                <w:rFonts w:cs="Calibri"/>
              </w:rPr>
              <w:t>Level, trend</w:t>
            </w:r>
          </w:p>
        </w:tc>
        <w:tc>
          <w:tcPr>
            <w:tcW w:w="833" w:type="pct"/>
            <w:shd w:val="clear" w:color="auto" w:fill="auto"/>
            <w:noWrap/>
          </w:tcPr>
          <w:p w14:paraId="52D93AFB" w14:textId="77777777" w:rsidR="00D97D6C" w:rsidRPr="001D5327" w:rsidRDefault="00D97D6C" w:rsidP="00B55F24">
            <w:pPr>
              <w:pStyle w:val="TableText"/>
              <w:spacing w:before="50" w:after="50"/>
              <w:rPr>
                <w:rFonts w:cs="Calibri"/>
              </w:rPr>
            </w:pPr>
            <w:r w:rsidRPr="001D5327">
              <w:rPr>
                <w:rFonts w:cs="Calibri"/>
              </w:rPr>
              <w:t>Trend</w:t>
            </w:r>
          </w:p>
        </w:tc>
        <w:tc>
          <w:tcPr>
            <w:tcW w:w="1072" w:type="pct"/>
            <w:shd w:val="clear" w:color="auto" w:fill="auto"/>
            <w:noWrap/>
            <w:hideMark/>
          </w:tcPr>
          <w:p w14:paraId="72B882BA" w14:textId="77777777" w:rsidR="00D97D6C" w:rsidRPr="001D5327" w:rsidRDefault="00D97D6C" w:rsidP="00B55F24">
            <w:pPr>
              <w:pStyle w:val="TableText"/>
              <w:spacing w:before="50" w:after="50"/>
              <w:rPr>
                <w:rFonts w:cs="Calibri"/>
              </w:rPr>
            </w:pPr>
            <w:r w:rsidRPr="001D5327">
              <w:rPr>
                <w:rFonts w:cs="Calibri"/>
              </w:rPr>
              <w:t>Level, trend</w:t>
            </w:r>
          </w:p>
        </w:tc>
      </w:tr>
      <w:tr w:rsidR="00D97D6C" w:rsidRPr="001D5327" w14:paraId="71BDEB98" w14:textId="77777777" w:rsidTr="00FD51F9">
        <w:tc>
          <w:tcPr>
            <w:tcW w:w="2142" w:type="pct"/>
            <w:shd w:val="clear" w:color="auto" w:fill="auto"/>
            <w:noWrap/>
          </w:tcPr>
          <w:p w14:paraId="5040D1EB" w14:textId="77777777" w:rsidR="00D97D6C" w:rsidRPr="001D5327" w:rsidRDefault="00D97D6C" w:rsidP="00B55F24">
            <w:pPr>
              <w:pStyle w:val="TableText"/>
              <w:spacing w:before="50" w:after="50"/>
              <w:rPr>
                <w:rFonts w:cs="Calibri"/>
              </w:rPr>
            </w:pPr>
            <w:r w:rsidRPr="001D5327">
              <w:rPr>
                <w:rFonts w:cs="Calibri"/>
              </w:rPr>
              <w:t>Agriculture/forestry/fishing – CO</w:t>
            </w:r>
            <w:r w:rsidRPr="001D5327">
              <w:rPr>
                <w:rFonts w:cs="Calibri"/>
                <w:vertAlign w:val="subscript"/>
              </w:rPr>
              <w:t>2</w:t>
            </w:r>
          </w:p>
        </w:tc>
        <w:tc>
          <w:tcPr>
            <w:tcW w:w="953" w:type="pct"/>
            <w:shd w:val="clear" w:color="auto" w:fill="auto"/>
            <w:noWrap/>
          </w:tcPr>
          <w:p w14:paraId="61C2076D" w14:textId="77777777" w:rsidR="00D97D6C" w:rsidRPr="001D5327" w:rsidRDefault="00D97D6C" w:rsidP="00B55F24">
            <w:pPr>
              <w:pStyle w:val="TableText"/>
              <w:spacing w:before="50" w:after="50"/>
              <w:rPr>
                <w:rFonts w:cs="Calibri"/>
              </w:rPr>
            </w:pPr>
            <w:r w:rsidRPr="001D5327">
              <w:rPr>
                <w:rFonts w:cs="Calibri"/>
              </w:rPr>
              <w:t>Level, trend</w:t>
            </w:r>
          </w:p>
        </w:tc>
        <w:tc>
          <w:tcPr>
            <w:tcW w:w="833" w:type="pct"/>
            <w:shd w:val="clear" w:color="auto" w:fill="auto"/>
            <w:noWrap/>
          </w:tcPr>
          <w:p w14:paraId="6BA3BF61" w14:textId="77777777" w:rsidR="00D97D6C" w:rsidRPr="001D5327" w:rsidRDefault="00D97D6C" w:rsidP="00B55F24">
            <w:pPr>
              <w:pStyle w:val="TableText"/>
              <w:spacing w:before="50" w:after="50"/>
              <w:rPr>
                <w:rFonts w:cs="Calibri"/>
              </w:rPr>
            </w:pPr>
            <w:r w:rsidRPr="001D5327">
              <w:rPr>
                <w:rFonts w:cs="Calibri"/>
              </w:rPr>
              <w:t>Trend</w:t>
            </w:r>
          </w:p>
        </w:tc>
        <w:tc>
          <w:tcPr>
            <w:tcW w:w="1072" w:type="pct"/>
            <w:shd w:val="clear" w:color="auto" w:fill="auto"/>
            <w:noWrap/>
          </w:tcPr>
          <w:p w14:paraId="03F1E3D4" w14:textId="77777777" w:rsidR="00D97D6C" w:rsidRPr="001D5327" w:rsidRDefault="00D97D6C" w:rsidP="00B55F24">
            <w:pPr>
              <w:pStyle w:val="TableText"/>
              <w:spacing w:before="50" w:after="50"/>
              <w:rPr>
                <w:rFonts w:cs="Calibri"/>
              </w:rPr>
            </w:pPr>
            <w:r w:rsidRPr="001D5327">
              <w:rPr>
                <w:rFonts w:cs="Calibri"/>
              </w:rPr>
              <w:t>–</w:t>
            </w:r>
          </w:p>
        </w:tc>
      </w:tr>
    </w:tbl>
    <w:p w14:paraId="1E040D2C" w14:textId="77777777" w:rsidR="00D97D6C" w:rsidRPr="001D5327" w:rsidRDefault="00D97D6C" w:rsidP="00D97D6C">
      <w:pPr>
        <w:pStyle w:val="Heading4"/>
        <w:spacing w:before="360"/>
      </w:pPr>
      <w:r w:rsidRPr="001D5327">
        <w:t>Methodological issues</w:t>
      </w:r>
    </w:p>
    <w:p w14:paraId="69C6ACAD" w14:textId="77777777" w:rsidR="00FF0CC7" w:rsidRPr="001D5327" w:rsidRDefault="00FF0CC7" w:rsidP="00FF0CC7">
      <w:pPr>
        <w:pStyle w:val="Heading5"/>
      </w:pPr>
      <w:r w:rsidRPr="001D5327">
        <w:t>Solid biomass</w:t>
      </w:r>
    </w:p>
    <w:p w14:paraId="419B0951" w14:textId="1BA97033" w:rsidR="00FF0CC7" w:rsidRPr="001D5327" w:rsidRDefault="00FF0CC7" w:rsidP="00FF0CC7">
      <w:pPr>
        <w:pStyle w:val="BodyText"/>
        <w:spacing w:before="100" w:after="100"/>
        <w:rPr>
          <w:rFonts w:cs="Calibri"/>
        </w:rPr>
      </w:pPr>
      <w:r w:rsidRPr="001D5327">
        <w:rPr>
          <w:rFonts w:cs="Calibri"/>
        </w:rPr>
        <w:t>Outdoor combustion of biomass (e.g.</w:t>
      </w:r>
      <w:r w:rsidR="00392E8F" w:rsidRPr="001D5327">
        <w:rPr>
          <w:rFonts w:cs="Calibri"/>
        </w:rPr>
        <w:t>,</w:t>
      </w:r>
      <w:r w:rsidRPr="001D5327">
        <w:rPr>
          <w:rFonts w:cs="Calibri"/>
        </w:rPr>
        <w:t xml:space="preserve"> bonfires, barbecues, campfires, pizza ovens, braziers, chimeneas, or in preparation for traditional methods of cooking food such as hāngī, umu and lovo) is common in </w:t>
      </w:r>
      <w:r w:rsidRPr="001D5327">
        <w:rPr>
          <w:rFonts w:cs="Calibri"/>
          <w:lang w:eastAsia="en-GB"/>
        </w:rPr>
        <w:t>New Zealand</w:t>
      </w:r>
      <w:r w:rsidRPr="001D5327">
        <w:rPr>
          <w:rFonts w:cs="Calibri"/>
        </w:rPr>
        <w:t>. These activities are distinct from open-burning of unwanted biomass that is not used for energy purposes, which would be reported under the Waste</w:t>
      </w:r>
      <w:r w:rsidR="007A0CF3" w:rsidRPr="001D5327">
        <w:rPr>
          <w:rFonts w:cs="Calibri"/>
        </w:rPr>
        <w:t xml:space="preserve"> </w:t>
      </w:r>
      <w:r w:rsidRPr="001D5327">
        <w:rPr>
          <w:rFonts w:cs="Calibri"/>
        </w:rPr>
        <w:t>sector. While activity data are not available, expert opinion indicates that the likely level of activity is relatively minor compared with the indoor residential combustion of biomass; therefore, emissions associated with these outdoor activities have not been estimated.</w:t>
      </w:r>
    </w:p>
    <w:p w14:paraId="6F139338" w14:textId="3F100BC3" w:rsidR="00FF0CC7" w:rsidRPr="001D5327" w:rsidRDefault="00FF0CC7" w:rsidP="00FF0CC7">
      <w:pPr>
        <w:pStyle w:val="Heading5"/>
        <w:spacing w:before="320"/>
      </w:pPr>
      <w:r w:rsidRPr="001D5327">
        <w:t xml:space="preserve">Solid </w:t>
      </w:r>
      <w:r w:rsidR="00EE3015" w:rsidRPr="001D5327">
        <w:t xml:space="preserve">fossil </w:t>
      </w:r>
      <w:r w:rsidRPr="001D5327">
        <w:t>fuels</w:t>
      </w:r>
    </w:p>
    <w:p w14:paraId="15503C3B" w14:textId="351E8E87" w:rsidR="00FF0CC7" w:rsidRPr="001D5327" w:rsidRDefault="00FF0CC7" w:rsidP="008D45EF">
      <w:pPr>
        <w:pStyle w:val="BodyText"/>
        <w:spacing w:before="100" w:after="100"/>
      </w:pPr>
      <w:r w:rsidRPr="001D5327">
        <w:t>Several synthetic solid fuels are used as lightweight cooking fuels by hikers and the military. Examples include hexamethylenetetramine, metaldehyde and trioxane, which are derived from chemical feedstocks such as aldehydes and ammonia, and hence contain fossil carbon. These fuels are not covered by the national energy balance, and the emissions associated with their combustion have not been estimated.</w:t>
      </w:r>
    </w:p>
    <w:p w14:paraId="470E8602" w14:textId="77777777" w:rsidR="00FF0CC7" w:rsidRPr="001D5327" w:rsidRDefault="00FF0CC7" w:rsidP="00FF0CC7">
      <w:pPr>
        <w:pStyle w:val="Heading5"/>
        <w:rPr>
          <w:lang w:eastAsia="en-GB"/>
        </w:rPr>
      </w:pPr>
      <w:r w:rsidRPr="001D5327">
        <w:rPr>
          <w:lang w:eastAsia="en-GB"/>
        </w:rPr>
        <w:t>Other fossil fuels</w:t>
      </w:r>
    </w:p>
    <w:p w14:paraId="1341036F" w14:textId="1F10D055" w:rsidR="00FF0CC7" w:rsidRPr="001D5327" w:rsidRDefault="00FF0CC7" w:rsidP="008D45EF">
      <w:pPr>
        <w:pStyle w:val="BodyText"/>
        <w:spacing w:before="100" w:after="100"/>
      </w:pPr>
      <w:r w:rsidRPr="001D5327">
        <w:t>Chafing fuel is a fuel commonly used in the commercial sector for heating food, typically placed under a chafing dish. It is usually sold in a small canister and burned directly within that</w:t>
      </w:r>
      <w:r w:rsidR="00566C07" w:rsidRPr="001D5327">
        <w:t> </w:t>
      </w:r>
      <w:r w:rsidRPr="001D5327">
        <w:t>canister. The fuel often contains methanol, ethanol or diethylene glycol, as these may be</w:t>
      </w:r>
      <w:r w:rsidR="00566C07" w:rsidRPr="001D5327">
        <w:t> </w:t>
      </w:r>
      <w:r w:rsidRPr="001D5327">
        <w:t xml:space="preserve">burned safely indoors, and produce minimal soot or odour. These fuels are also used for emergency heating, outdoor cooking, and fondue. </w:t>
      </w:r>
      <w:r w:rsidR="006A6790" w:rsidRPr="001D5327">
        <w:t>A source of appropriate activity data is being investigated and an update will be provided in the next annual submission.</w:t>
      </w:r>
    </w:p>
    <w:p w14:paraId="135CCE43" w14:textId="77777777" w:rsidR="00D97D6C" w:rsidRPr="001D5327" w:rsidRDefault="00D97D6C" w:rsidP="00D97D6C">
      <w:pPr>
        <w:pStyle w:val="Heading4"/>
        <w:rPr>
          <w:lang w:eastAsia="en-GB"/>
        </w:rPr>
      </w:pPr>
      <w:r w:rsidRPr="001D5327">
        <w:rPr>
          <w:lang w:eastAsia="en-GB"/>
        </w:rPr>
        <w:t>Activity data</w:t>
      </w:r>
    </w:p>
    <w:p w14:paraId="6A619B28" w14:textId="77777777" w:rsidR="00D97D6C" w:rsidRPr="001D5327" w:rsidRDefault="00D97D6C" w:rsidP="00BF2A76">
      <w:pPr>
        <w:pStyle w:val="Heading5"/>
      </w:pPr>
      <w:r w:rsidRPr="001D5327">
        <w:t>Liquid fuels</w:t>
      </w:r>
    </w:p>
    <w:p w14:paraId="3D8A3DED" w14:textId="523B683F" w:rsidR="00D97D6C" w:rsidRPr="001D5327" w:rsidRDefault="00D97D6C" w:rsidP="008D45EF">
      <w:pPr>
        <w:pStyle w:val="BodyText"/>
        <w:spacing w:before="100" w:after="100"/>
        <w:rPr>
          <w:rFonts w:cs="Calibri"/>
        </w:rPr>
      </w:pPr>
      <w:r w:rsidRPr="001D5327">
        <w:rPr>
          <w:rFonts w:cs="Calibri"/>
        </w:rPr>
        <w:t>As mentioned in section 3.2.2, this inventory use</w:t>
      </w:r>
      <w:r w:rsidR="00EE3015" w:rsidRPr="001D5327">
        <w:rPr>
          <w:rFonts w:cs="Calibri"/>
        </w:rPr>
        <w:t>s</w:t>
      </w:r>
      <w:r w:rsidRPr="001D5327">
        <w:rPr>
          <w:rFonts w:cs="Calibri"/>
        </w:rPr>
        <w:t xml:space="preserve"> the results of the </w:t>
      </w:r>
      <w:r w:rsidRPr="001D5327">
        <w:rPr>
          <w:rFonts w:cs="Calibri"/>
          <w:iCs/>
        </w:rPr>
        <w:t>Annual Liquid Fuel Survey</w:t>
      </w:r>
      <w:r w:rsidRPr="001D5327">
        <w:rPr>
          <w:rFonts w:cs="Calibri"/>
        </w:rPr>
        <w:t xml:space="preserve"> that began in 2009. The purpose of the </w:t>
      </w:r>
      <w:r w:rsidR="00392E8F" w:rsidRPr="001D5327">
        <w:rPr>
          <w:rFonts w:cs="Calibri"/>
        </w:rPr>
        <w:t>s</w:t>
      </w:r>
      <w:r w:rsidRPr="001D5327">
        <w:rPr>
          <w:rFonts w:cs="Calibri"/>
        </w:rPr>
        <w:t xml:space="preserve">urvey is to capture the allocation of fuel resold by small independent resellers. In recent years, these independent resellers accounted for around 30 per cent of national diesel deliveries and around 8 per cent of national gasoline deliveries. </w:t>
      </w:r>
    </w:p>
    <w:p w14:paraId="7B767241" w14:textId="13B4F1F2" w:rsidR="00D97D6C" w:rsidRPr="001D5327" w:rsidRDefault="00D97D6C" w:rsidP="008D45EF">
      <w:pPr>
        <w:pStyle w:val="BodyText"/>
        <w:spacing w:before="100" w:after="100"/>
        <w:rPr>
          <w:rFonts w:cs="Calibri"/>
        </w:rPr>
      </w:pPr>
      <w:r w:rsidRPr="001D5327">
        <w:rPr>
          <w:rFonts w:cs="Calibri"/>
        </w:rPr>
        <w:t xml:space="preserve">As the result of resale data captured by the </w:t>
      </w:r>
      <w:r w:rsidRPr="001D5327">
        <w:rPr>
          <w:rFonts w:cs="Calibri"/>
          <w:iCs/>
        </w:rPr>
        <w:t>Annual Liquid Fuel Survey</w:t>
      </w:r>
      <w:r w:rsidRPr="001D5327">
        <w:rPr>
          <w:rFonts w:cs="Calibri"/>
        </w:rPr>
        <w:t xml:space="preserve">, emissions that would otherwise be reported in category 1.A.3.b </w:t>
      </w:r>
      <w:r w:rsidRPr="001D5327">
        <w:rPr>
          <w:rFonts w:cs="Calibri"/>
          <w:i/>
        </w:rPr>
        <w:t>Road transportation</w:t>
      </w:r>
      <w:r w:rsidRPr="001D5327">
        <w:rPr>
          <w:rFonts w:cs="Calibri"/>
        </w:rPr>
        <w:t xml:space="preserve"> are allocated to the</w:t>
      </w:r>
      <w:r w:rsidR="00392E8F" w:rsidRPr="001D5327">
        <w:rPr>
          <w:rFonts w:cs="Calibri"/>
        </w:rPr>
        <w:t>ir</w:t>
      </w:r>
      <w:r w:rsidRPr="001D5327">
        <w:rPr>
          <w:rFonts w:cs="Calibri"/>
        </w:rPr>
        <w:t xml:space="preserve"> correct category. For time-series consistency, these reallocations are also made from 1990 to 2008, before the collection of data on the resale of liquid fuel by small, independent distributors began.</w:t>
      </w:r>
    </w:p>
    <w:p w14:paraId="0A0A1A8F" w14:textId="4C1B16D9" w:rsidR="00D97D6C" w:rsidRPr="001D5327" w:rsidRDefault="00D97D6C" w:rsidP="008D45EF">
      <w:pPr>
        <w:pStyle w:val="BodyText"/>
        <w:spacing w:before="100" w:after="100"/>
        <w:rPr>
          <w:rFonts w:cs="Calibri"/>
        </w:rPr>
      </w:pPr>
      <w:r w:rsidRPr="001D5327">
        <w:rPr>
          <w:rFonts w:cs="Calibri"/>
        </w:rPr>
        <w:t xml:space="preserve">Historical national energy sales surveys captured fuel use by mining operations under ‘other primary industry’. For consistency with the 2006 IPCC Guidelines, this inventory uses data provided by Stats NZ’s </w:t>
      </w:r>
      <w:r w:rsidRPr="001D5327">
        <w:rPr>
          <w:rFonts w:cs="Calibri"/>
          <w:iCs/>
        </w:rPr>
        <w:t>Energy Use Survey</w:t>
      </w:r>
      <w:r w:rsidRPr="001D5327">
        <w:rPr>
          <w:rFonts w:cs="Calibri"/>
        </w:rPr>
        <w:t xml:space="preserve"> (</w:t>
      </w:r>
      <w:r w:rsidRPr="001D5327">
        <w:rPr>
          <w:rFonts w:cs="Calibri"/>
          <w:lang w:eastAsia="en-GB"/>
        </w:rPr>
        <w:t xml:space="preserve">Stats NZ, 2018) </w:t>
      </w:r>
      <w:r w:rsidRPr="001D5327">
        <w:rPr>
          <w:rFonts w:cs="Calibri"/>
        </w:rPr>
        <w:t xml:space="preserve">to estimate the split of historical </w:t>
      </w:r>
      <w:r w:rsidRPr="001D5327">
        <w:rPr>
          <w:rFonts w:cs="Calibri"/>
        </w:rPr>
        <w:lastRenderedPageBreak/>
        <w:t>‘other primary industry’ activity for fuel oil between forestry and logging, and mining (see table</w:t>
      </w:r>
      <w:r w:rsidR="0019198E" w:rsidRPr="001D5327">
        <w:rPr>
          <w:rFonts w:cs="Calibri"/>
        </w:rPr>
        <w:t> </w:t>
      </w:r>
      <w:r w:rsidRPr="001D5327">
        <w:rPr>
          <w:rFonts w:cs="Calibri"/>
        </w:rPr>
        <w:t>3.2.8). The historical data are insufficient to extrapolate a historical trend for this split: instead, activity splits are interpolated between the two surveys and assumed to be constant for the period 1990 to 2008.</w:t>
      </w:r>
    </w:p>
    <w:p w14:paraId="40A985A3" w14:textId="77777777" w:rsidR="00D97D6C" w:rsidRPr="001D5327" w:rsidRDefault="00D97D6C" w:rsidP="00D97D6C">
      <w:pPr>
        <w:pStyle w:val="Table"/>
      </w:pPr>
      <w:bookmarkStart w:id="351" w:name="_Toc321399160"/>
      <w:bookmarkStart w:id="352" w:name="_Toc384582867"/>
      <w:bookmarkStart w:id="353" w:name="_Toc443060847"/>
      <w:bookmarkStart w:id="354" w:name="_Toc451176063"/>
      <w:bookmarkStart w:id="355" w:name="_Toc481751489"/>
      <w:bookmarkStart w:id="356" w:name="_Toc507496592"/>
      <w:bookmarkStart w:id="357" w:name="_Toc36224526"/>
      <w:bookmarkStart w:id="358" w:name="_Toc68786412"/>
      <w:bookmarkStart w:id="359" w:name="_Toc164153811"/>
      <w:bookmarkStart w:id="360" w:name="_Toc194241678"/>
      <w:r w:rsidRPr="001D5327">
        <w:t xml:space="preserve">Table 3.2.8 </w:t>
      </w:r>
      <w:r w:rsidRPr="001D5327">
        <w:tab/>
        <w:t>Split of fuel oil activity for ‘other primary industry’</w:t>
      </w:r>
      <w:bookmarkEnd w:id="351"/>
      <w:bookmarkEnd w:id="352"/>
      <w:bookmarkEnd w:id="353"/>
      <w:bookmarkEnd w:id="354"/>
      <w:bookmarkEnd w:id="355"/>
      <w:bookmarkEnd w:id="356"/>
      <w:bookmarkEnd w:id="357"/>
      <w:bookmarkEnd w:id="358"/>
      <w:bookmarkEnd w:id="359"/>
      <w:bookmarkEnd w:id="360"/>
      <w:r w:rsidRPr="001D5327">
        <w:rPr>
          <w:color w:val="FFFFFF"/>
        </w:rPr>
        <w:t xml:space="preserve"> </w:t>
      </w:r>
    </w:p>
    <w:tbl>
      <w:tblPr>
        <w:tblW w:w="8505"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2320"/>
        <w:gridCol w:w="3091"/>
        <w:gridCol w:w="3094"/>
      </w:tblGrid>
      <w:tr w:rsidR="00D97D6C" w:rsidRPr="001D5327" w14:paraId="3D9BB9CB" w14:textId="77777777" w:rsidTr="00566C07">
        <w:trPr>
          <w:cantSplit/>
        </w:trPr>
        <w:tc>
          <w:tcPr>
            <w:tcW w:w="1364" w:type="pct"/>
            <w:shd w:val="clear" w:color="auto" w:fill="1B556B"/>
            <w:vAlign w:val="bottom"/>
          </w:tcPr>
          <w:p w14:paraId="4278A611" w14:textId="77777777" w:rsidR="00D97D6C" w:rsidRPr="001D5327" w:rsidRDefault="00D97D6C" w:rsidP="00B55F24">
            <w:pPr>
              <w:pStyle w:val="TableTextBold"/>
              <w:keepNext/>
              <w:rPr>
                <w:rFonts w:cs="Calibri"/>
                <w:noProof w:val="0"/>
                <w:color w:val="FFFFFF"/>
              </w:rPr>
            </w:pPr>
            <w:r w:rsidRPr="001D5327">
              <w:rPr>
                <w:rFonts w:cs="Calibri"/>
                <w:noProof w:val="0"/>
                <w:color w:val="FFFFFF"/>
              </w:rPr>
              <w:t>Activity</w:t>
            </w:r>
          </w:p>
        </w:tc>
        <w:tc>
          <w:tcPr>
            <w:tcW w:w="1817" w:type="pct"/>
            <w:shd w:val="clear" w:color="auto" w:fill="1B556B"/>
            <w:vAlign w:val="bottom"/>
          </w:tcPr>
          <w:p w14:paraId="2987AA93" w14:textId="77777777" w:rsidR="00D97D6C" w:rsidRPr="001D5327" w:rsidRDefault="00D97D6C" w:rsidP="00A53C49">
            <w:pPr>
              <w:pStyle w:val="TableTextBold"/>
              <w:keepNext/>
              <w:jc w:val="right"/>
              <w:rPr>
                <w:rFonts w:cs="Calibri"/>
                <w:noProof w:val="0"/>
                <w:color w:val="FFFFFF"/>
              </w:rPr>
            </w:pPr>
            <w:r w:rsidRPr="001D5327">
              <w:rPr>
                <w:rFonts w:cs="Calibri"/>
                <w:noProof w:val="0"/>
                <w:color w:val="FFFFFF"/>
              </w:rPr>
              <w:t>Energy Use Survey 2008 (%)</w:t>
            </w:r>
          </w:p>
        </w:tc>
        <w:tc>
          <w:tcPr>
            <w:tcW w:w="1819" w:type="pct"/>
            <w:shd w:val="clear" w:color="auto" w:fill="1B556B"/>
            <w:vAlign w:val="bottom"/>
          </w:tcPr>
          <w:p w14:paraId="54A79F6B" w14:textId="77777777" w:rsidR="00D97D6C" w:rsidRPr="001D5327" w:rsidRDefault="00D97D6C" w:rsidP="00A53C49">
            <w:pPr>
              <w:pStyle w:val="TableTextBold"/>
              <w:keepNext/>
              <w:jc w:val="right"/>
              <w:rPr>
                <w:rFonts w:cs="Calibri"/>
                <w:noProof w:val="0"/>
                <w:color w:val="FFFFFF"/>
              </w:rPr>
            </w:pPr>
            <w:r w:rsidRPr="001D5327">
              <w:rPr>
                <w:rFonts w:cs="Calibri"/>
                <w:noProof w:val="0"/>
                <w:color w:val="FFFFFF"/>
              </w:rPr>
              <w:t>Energy Use Survey 2016 (%)</w:t>
            </w:r>
          </w:p>
        </w:tc>
      </w:tr>
      <w:tr w:rsidR="00D97D6C" w:rsidRPr="001D5327" w14:paraId="1E34492D" w14:textId="77777777" w:rsidTr="00566C07">
        <w:trPr>
          <w:cantSplit/>
          <w:trHeight w:val="250"/>
        </w:trPr>
        <w:tc>
          <w:tcPr>
            <w:tcW w:w="1364" w:type="pct"/>
          </w:tcPr>
          <w:p w14:paraId="1A336622" w14:textId="77777777" w:rsidR="00D97D6C" w:rsidRPr="001D5327" w:rsidRDefault="00D97D6C" w:rsidP="00B55F24">
            <w:pPr>
              <w:pStyle w:val="TableText"/>
              <w:rPr>
                <w:rFonts w:cs="Calibri"/>
              </w:rPr>
            </w:pPr>
            <w:r w:rsidRPr="001D5327">
              <w:rPr>
                <w:rFonts w:cs="Calibri"/>
              </w:rPr>
              <w:t>Forestry and logging</w:t>
            </w:r>
          </w:p>
        </w:tc>
        <w:tc>
          <w:tcPr>
            <w:tcW w:w="1817" w:type="pct"/>
            <w:vAlign w:val="center"/>
          </w:tcPr>
          <w:p w14:paraId="40E1E178" w14:textId="77777777" w:rsidR="00D97D6C" w:rsidRPr="001D5327" w:rsidRDefault="00D97D6C" w:rsidP="00A53C49">
            <w:pPr>
              <w:pStyle w:val="TableText"/>
              <w:jc w:val="right"/>
              <w:rPr>
                <w:rFonts w:cs="Calibri"/>
              </w:rPr>
            </w:pPr>
            <w:r w:rsidRPr="001D5327">
              <w:rPr>
                <w:rFonts w:cs="Calibri"/>
              </w:rPr>
              <w:t>51.3</w:t>
            </w:r>
          </w:p>
        </w:tc>
        <w:tc>
          <w:tcPr>
            <w:tcW w:w="1819" w:type="pct"/>
            <w:vAlign w:val="center"/>
          </w:tcPr>
          <w:p w14:paraId="34939E7F" w14:textId="77777777" w:rsidR="00D97D6C" w:rsidRPr="001D5327" w:rsidRDefault="00D97D6C" w:rsidP="00A53C49">
            <w:pPr>
              <w:pStyle w:val="TableText"/>
              <w:jc w:val="right"/>
              <w:rPr>
                <w:rFonts w:cs="Calibri"/>
              </w:rPr>
            </w:pPr>
            <w:r w:rsidRPr="001D5327">
              <w:rPr>
                <w:rFonts w:cs="Calibri"/>
              </w:rPr>
              <w:t>9.1</w:t>
            </w:r>
          </w:p>
        </w:tc>
      </w:tr>
      <w:tr w:rsidR="00D97D6C" w:rsidRPr="001D5327" w14:paraId="28461DB5" w14:textId="77777777" w:rsidTr="00566C07">
        <w:trPr>
          <w:cantSplit/>
        </w:trPr>
        <w:tc>
          <w:tcPr>
            <w:tcW w:w="1364" w:type="pct"/>
          </w:tcPr>
          <w:p w14:paraId="56E8116C" w14:textId="77777777" w:rsidR="00D97D6C" w:rsidRPr="001D5327" w:rsidRDefault="00D97D6C" w:rsidP="00B55F24">
            <w:pPr>
              <w:pStyle w:val="TableText"/>
              <w:rPr>
                <w:rFonts w:cs="Calibri"/>
              </w:rPr>
            </w:pPr>
            <w:r w:rsidRPr="001D5327">
              <w:rPr>
                <w:rFonts w:cs="Calibri"/>
              </w:rPr>
              <w:t>Mining</w:t>
            </w:r>
          </w:p>
        </w:tc>
        <w:tc>
          <w:tcPr>
            <w:tcW w:w="1817" w:type="pct"/>
            <w:vAlign w:val="center"/>
          </w:tcPr>
          <w:p w14:paraId="1FF1406A" w14:textId="77777777" w:rsidR="00D97D6C" w:rsidRPr="001D5327" w:rsidRDefault="00D97D6C" w:rsidP="00A53C49">
            <w:pPr>
              <w:pStyle w:val="TableText"/>
              <w:jc w:val="right"/>
              <w:rPr>
                <w:rFonts w:cs="Calibri"/>
              </w:rPr>
            </w:pPr>
            <w:r w:rsidRPr="001D5327">
              <w:rPr>
                <w:rFonts w:cs="Calibri"/>
              </w:rPr>
              <w:t>48.7</w:t>
            </w:r>
          </w:p>
        </w:tc>
        <w:tc>
          <w:tcPr>
            <w:tcW w:w="1819" w:type="pct"/>
            <w:vAlign w:val="center"/>
          </w:tcPr>
          <w:p w14:paraId="0540F6BB" w14:textId="77777777" w:rsidR="00D97D6C" w:rsidRPr="001D5327" w:rsidRDefault="00D97D6C" w:rsidP="00A53C49">
            <w:pPr>
              <w:pStyle w:val="TableText"/>
              <w:jc w:val="right"/>
              <w:rPr>
                <w:rFonts w:cs="Calibri"/>
              </w:rPr>
            </w:pPr>
            <w:r w:rsidRPr="001D5327">
              <w:rPr>
                <w:rFonts w:cs="Calibri"/>
              </w:rPr>
              <w:t>90.9</w:t>
            </w:r>
          </w:p>
        </w:tc>
      </w:tr>
    </w:tbl>
    <w:p w14:paraId="24EE5DF4" w14:textId="77777777" w:rsidR="00D97D6C" w:rsidRPr="001D5327" w:rsidRDefault="00D97D6C" w:rsidP="00A53C49">
      <w:pPr>
        <w:pStyle w:val="Heading5"/>
        <w:spacing w:before="320"/>
      </w:pPr>
      <w:r w:rsidRPr="001D5327">
        <w:t>Solid fuels</w:t>
      </w:r>
    </w:p>
    <w:p w14:paraId="67973221" w14:textId="0751711F" w:rsidR="00D97D6C" w:rsidRPr="001D5327" w:rsidRDefault="00D97D6C" w:rsidP="00550502">
      <w:pPr>
        <w:pStyle w:val="BodyText"/>
      </w:pPr>
      <w:r w:rsidRPr="001D5327">
        <w:t xml:space="preserve">In 2010, it was discovered that some coal reported as sold to the commercial sector was in fact being on-sold to resellers rather than </w:t>
      </w:r>
      <w:r w:rsidR="00F82D0E" w:rsidRPr="001D5327">
        <w:t xml:space="preserve">sold </w:t>
      </w:r>
      <w:r w:rsidRPr="001D5327">
        <w:t xml:space="preserve">directly to end users. As a result, some activity previously reported in the </w:t>
      </w:r>
      <w:r w:rsidRPr="001D5327">
        <w:rPr>
          <w:i/>
        </w:rPr>
        <w:t xml:space="preserve">Commercial </w:t>
      </w:r>
      <w:r w:rsidRPr="001D5327">
        <w:t xml:space="preserve">category has been reallocated to the Agriculture sector. This on-selling is assumed to continue across the time series 1990 to </w:t>
      </w:r>
      <w:r w:rsidR="00704343" w:rsidRPr="001D5327">
        <w:t>2023</w:t>
      </w:r>
      <w:r w:rsidRPr="001D5327">
        <w:t>.</w:t>
      </w:r>
    </w:p>
    <w:p w14:paraId="5B5F556A" w14:textId="77777777" w:rsidR="00D97D6C" w:rsidRPr="001D5327" w:rsidRDefault="00D97D6C" w:rsidP="00BF2A76">
      <w:pPr>
        <w:pStyle w:val="Heading5"/>
      </w:pPr>
      <w:r w:rsidRPr="001D5327">
        <w:t>Solid biomass</w:t>
      </w:r>
    </w:p>
    <w:p w14:paraId="735CB15A" w14:textId="6503BE26" w:rsidR="00D97D6C" w:rsidRPr="001D5327" w:rsidRDefault="00DA3C60" w:rsidP="00D97D6C">
      <w:pPr>
        <w:pStyle w:val="BodyText"/>
        <w:spacing w:before="80" w:after="100"/>
        <w:rPr>
          <w:rFonts w:cs="Calibri"/>
        </w:rPr>
      </w:pPr>
      <w:r w:rsidRPr="001D5327">
        <w:rPr>
          <w:rFonts w:cs="Calibri"/>
        </w:rPr>
        <w:t xml:space="preserve">Residential solid biomass includes imported charcoal and domestically produced firewood. The </w:t>
      </w:r>
      <w:r w:rsidR="00CB30D5" w:rsidRPr="001D5327">
        <w:rPr>
          <w:rFonts w:cs="Calibri"/>
        </w:rPr>
        <w:t>r</w:t>
      </w:r>
      <w:r w:rsidRPr="001D5327">
        <w:rPr>
          <w:rFonts w:cs="Calibri"/>
        </w:rPr>
        <w:t xml:space="preserve">esidential </w:t>
      </w:r>
      <w:r w:rsidR="00CB30D5" w:rsidRPr="001D5327">
        <w:rPr>
          <w:rFonts w:cs="Calibri"/>
        </w:rPr>
        <w:t xml:space="preserve">combustion of </w:t>
      </w:r>
      <w:r w:rsidRPr="001D5327">
        <w:rPr>
          <w:rFonts w:cs="Calibri"/>
        </w:rPr>
        <w:t xml:space="preserve">firewood </w:t>
      </w:r>
      <w:r w:rsidR="00CB30D5" w:rsidRPr="001D5327">
        <w:rPr>
          <w:rFonts w:cs="Calibri"/>
        </w:rPr>
        <w:t>is</w:t>
      </w:r>
      <w:r w:rsidRPr="001D5327">
        <w:rPr>
          <w:rFonts w:cs="Calibri"/>
        </w:rPr>
        <w:t xml:space="preserve"> estimated by MBIE </w:t>
      </w:r>
      <w:r w:rsidR="00CB30D5" w:rsidRPr="001D5327">
        <w:rPr>
          <w:rFonts w:cs="Calibri"/>
        </w:rPr>
        <w:t>using household number estimates from Stats NZ, along with five-yearly census figures estimating the percentage of households using biomass for heating.</w:t>
      </w:r>
      <w:r w:rsidR="007B54BD" w:rsidRPr="001D5327">
        <w:rPr>
          <w:rFonts w:cs="Calibri"/>
        </w:rPr>
        <w:t xml:space="preserve"> Interpolation is used to estimate shares for intermediate years. The average energy content of biomass burned in each household that use</w:t>
      </w:r>
      <w:r w:rsidR="00F82D0E" w:rsidRPr="001D5327">
        <w:rPr>
          <w:rFonts w:cs="Calibri"/>
        </w:rPr>
        <w:t>s</w:t>
      </w:r>
      <w:r w:rsidR="007B54BD" w:rsidRPr="001D5327">
        <w:rPr>
          <w:rFonts w:cs="Calibri"/>
        </w:rPr>
        <w:t xml:space="preserve"> wood for heating was estimated by the study </w:t>
      </w:r>
      <w:r w:rsidR="007B54BD" w:rsidRPr="001D5327">
        <w:rPr>
          <w:rFonts w:cs="Calibri"/>
          <w:i/>
        </w:rPr>
        <w:t>Energy Use in New Zealand Households</w:t>
      </w:r>
      <w:r w:rsidR="007B54BD" w:rsidRPr="001D5327">
        <w:rPr>
          <w:rFonts w:cs="Calibri"/>
        </w:rPr>
        <w:t xml:space="preserve"> (BRANZ, 2002).</w:t>
      </w:r>
      <w:r w:rsidR="00D97D6C" w:rsidRPr="001D5327">
        <w:rPr>
          <w:rFonts w:cs="Calibri"/>
        </w:rPr>
        <w:t xml:space="preserve"> The census data indicate that the popularity of woodburners is decreasing slowly over time. </w:t>
      </w:r>
    </w:p>
    <w:p w14:paraId="6F8E3DA2" w14:textId="77777777" w:rsidR="00D97D6C" w:rsidRPr="001D5327" w:rsidRDefault="00D97D6C" w:rsidP="00BF2A76">
      <w:pPr>
        <w:pStyle w:val="Heading5"/>
      </w:pPr>
      <w:r w:rsidRPr="001D5327">
        <w:t>Gaseous fuels</w:t>
      </w:r>
    </w:p>
    <w:p w14:paraId="3EDF5C59" w14:textId="46485421" w:rsidR="00D97D6C" w:rsidRPr="001D5327" w:rsidRDefault="00D97D6C" w:rsidP="00D97D6C">
      <w:pPr>
        <w:pStyle w:val="BodyText"/>
        <w:spacing w:before="80" w:after="100"/>
        <w:rPr>
          <w:rFonts w:cs="Calibri"/>
        </w:rPr>
      </w:pPr>
      <w:r w:rsidRPr="001D5327">
        <w:rPr>
          <w:rFonts w:cs="Calibri"/>
        </w:rPr>
        <w:t>Annual natural gas consumption statistics are published by MBIE</w:t>
      </w:r>
      <w:r w:rsidR="00457586" w:rsidRPr="001D5327">
        <w:rPr>
          <w:rFonts w:cs="Calibri"/>
        </w:rPr>
        <w:t xml:space="preserve"> (2024</w:t>
      </w:r>
      <w:r w:rsidR="00A15363" w:rsidRPr="001D5327">
        <w:rPr>
          <w:rFonts w:cs="Calibri"/>
        </w:rPr>
        <w:t>a</w:t>
      </w:r>
      <w:r w:rsidR="00457586" w:rsidRPr="001D5327">
        <w:rPr>
          <w:rFonts w:cs="Calibri"/>
        </w:rPr>
        <w:t>)</w:t>
      </w:r>
      <w:r w:rsidRPr="001D5327">
        <w:rPr>
          <w:rFonts w:cs="Calibri"/>
        </w:rPr>
        <w:t>. Reviews of all natural gas consumption data were undertaken in 2011 and 2014 by MBIE. For further information, see section 3.2.8 (</w:t>
      </w:r>
      <w:r w:rsidR="00F8120F" w:rsidRPr="001D5327">
        <w:rPr>
          <w:rFonts w:cs="Calibri"/>
        </w:rPr>
        <w:t>‘</w:t>
      </w:r>
      <w:r w:rsidRPr="001D5327">
        <w:rPr>
          <w:rFonts w:cs="Calibri"/>
        </w:rPr>
        <w:t>Gaseous fuels</w:t>
      </w:r>
      <w:r w:rsidR="00F8120F" w:rsidRPr="001D5327">
        <w:rPr>
          <w:rFonts w:cs="Calibri"/>
        </w:rPr>
        <w:t>’ under ‘Activity data’</w:t>
      </w:r>
      <w:r w:rsidRPr="001D5327">
        <w:rPr>
          <w:rFonts w:cs="Calibri"/>
        </w:rPr>
        <w:t>).</w:t>
      </w:r>
    </w:p>
    <w:p w14:paraId="19E69CC6" w14:textId="77777777" w:rsidR="00D97D6C" w:rsidRPr="001D5327" w:rsidRDefault="00D97D6C" w:rsidP="00BF2A76">
      <w:pPr>
        <w:pStyle w:val="Heading5"/>
        <w:rPr>
          <w:lang w:eastAsia="en-GB"/>
        </w:rPr>
      </w:pPr>
      <w:r w:rsidRPr="001D5327">
        <w:rPr>
          <w:lang w:eastAsia="en-GB"/>
        </w:rPr>
        <w:t>Other fossil fuels</w:t>
      </w:r>
    </w:p>
    <w:p w14:paraId="3F19149F" w14:textId="0ECFB222" w:rsidR="00D97D6C" w:rsidRPr="001D5327" w:rsidRDefault="00D97D6C" w:rsidP="00D97D6C">
      <w:pPr>
        <w:pStyle w:val="BodyText"/>
        <w:spacing w:before="80" w:after="100"/>
        <w:rPr>
          <w:rFonts w:cs="Calibri"/>
        </w:rPr>
      </w:pPr>
      <w:r w:rsidRPr="001D5327">
        <w:rPr>
          <w:rFonts w:cs="Calibri"/>
        </w:rPr>
        <w:t xml:space="preserve">Mixtures of fossil fuels are combined with a wide range of metal, organic and non-organic compounds in the formulation of fireworks. In </w:t>
      </w:r>
      <w:r w:rsidRPr="001D5327">
        <w:rPr>
          <w:rFonts w:cs="Calibri"/>
          <w:lang w:eastAsia="en-GB"/>
        </w:rPr>
        <w:t>New Zealand</w:t>
      </w:r>
      <w:r w:rsidRPr="001D5327">
        <w:rPr>
          <w:rFonts w:cs="Calibri"/>
        </w:rPr>
        <w:t>, most towns and cities hold public fireworks displays for Guy Fawkes Night (5 November) and increasingly on other days to celebrate religious and cultural festivals, such as Diwali, Matariki and Lunar New Year, as well as at major sporting events. Fireworks are imported from overseas, generally China – there is no domestic production. Common fossil–carbon based fuels include carbon black, coal, asphaltum and gilsonite. In addition to CO</w:t>
      </w:r>
      <w:r w:rsidRPr="001D5327">
        <w:rPr>
          <w:rFonts w:cs="Calibri"/>
          <w:vertAlign w:val="subscript"/>
        </w:rPr>
        <w:t>2</w:t>
      </w:r>
      <w:r w:rsidRPr="001D5327">
        <w:rPr>
          <w:rFonts w:cs="Calibri"/>
        </w:rPr>
        <w:t>, greenhouse gas emissions also include CH</w:t>
      </w:r>
      <w:r w:rsidRPr="001D5327">
        <w:rPr>
          <w:rFonts w:cs="Calibri"/>
          <w:vertAlign w:val="subscript"/>
        </w:rPr>
        <w:t>4</w:t>
      </w:r>
      <w:r w:rsidRPr="001D5327">
        <w:rPr>
          <w:rFonts w:cs="Calibri"/>
        </w:rPr>
        <w:t> and N</w:t>
      </w:r>
      <w:r w:rsidRPr="001D5327">
        <w:rPr>
          <w:rFonts w:cs="Calibri"/>
          <w:vertAlign w:val="subscript"/>
        </w:rPr>
        <w:t>2</w:t>
      </w:r>
      <w:r w:rsidRPr="001D5327">
        <w:rPr>
          <w:rFonts w:cs="Calibri"/>
        </w:rPr>
        <w:t xml:space="preserve">O. </w:t>
      </w:r>
    </w:p>
    <w:p w14:paraId="4038F68C" w14:textId="5FD052E6" w:rsidR="00D97D6C" w:rsidRPr="001D5327" w:rsidRDefault="00D97D6C" w:rsidP="00D97D6C">
      <w:pPr>
        <w:pStyle w:val="BodyText"/>
        <w:spacing w:before="100" w:after="100"/>
        <w:rPr>
          <w:rFonts w:cs="Calibri"/>
        </w:rPr>
      </w:pPr>
      <w:r w:rsidRPr="001D5327">
        <w:rPr>
          <w:rFonts w:cs="Calibri"/>
        </w:rPr>
        <w:t>The annual gross weight of imported</w:t>
      </w:r>
      <w:r w:rsidR="00206328" w:rsidRPr="001D5327">
        <w:rPr>
          <w:rFonts w:cs="Calibri"/>
        </w:rPr>
        <w:t xml:space="preserve"> </w:t>
      </w:r>
      <w:r w:rsidRPr="001D5327">
        <w:rPr>
          <w:rFonts w:cs="Calibri"/>
        </w:rPr>
        <w:t xml:space="preserve">fireworks was used as activity data. Emission factors were sourced from the Danish </w:t>
      </w:r>
      <w:r w:rsidR="00F8120F" w:rsidRPr="001D5327">
        <w:rPr>
          <w:rFonts w:cs="Calibri"/>
        </w:rPr>
        <w:t>national inventory report</w:t>
      </w:r>
      <w:r w:rsidRPr="001D5327">
        <w:rPr>
          <w:rFonts w:cs="Calibri"/>
        </w:rPr>
        <w:t xml:space="preserve">. </w:t>
      </w:r>
    </w:p>
    <w:p w14:paraId="64572A14" w14:textId="77777777" w:rsidR="00D97D6C" w:rsidRPr="001D5327" w:rsidRDefault="00D97D6C" w:rsidP="00D97D6C">
      <w:pPr>
        <w:pStyle w:val="Heading4"/>
      </w:pPr>
      <w:r w:rsidRPr="001D5327">
        <w:t>Uncertainty assessment and time-series consistency</w:t>
      </w:r>
    </w:p>
    <w:p w14:paraId="7EF63D91" w14:textId="77777777" w:rsidR="00D97D6C" w:rsidRPr="001D5327" w:rsidRDefault="00D97D6C" w:rsidP="00D97D6C">
      <w:pPr>
        <w:pStyle w:val="BodyText"/>
        <w:rPr>
          <w:lang w:eastAsia="en-GB"/>
        </w:rPr>
      </w:pPr>
      <w:r w:rsidRPr="001D5327">
        <w:rPr>
          <w:lang w:eastAsia="en-GB"/>
        </w:rPr>
        <w:t>Uncertainties in emission estimates for data from other sectors are relevant to the entire Energy sector (see table 3.2.1).</w:t>
      </w:r>
    </w:p>
    <w:p w14:paraId="47A4F0FE" w14:textId="77777777" w:rsidR="00D97D6C" w:rsidRPr="001D5327" w:rsidRDefault="00D97D6C" w:rsidP="00D97D6C">
      <w:pPr>
        <w:pStyle w:val="Heading4"/>
      </w:pPr>
      <w:r w:rsidRPr="001D5327">
        <w:lastRenderedPageBreak/>
        <w:t>Category-specific QA/QC and verification</w:t>
      </w:r>
    </w:p>
    <w:p w14:paraId="1DBE09EE" w14:textId="77777777" w:rsidR="00D97D6C" w:rsidRPr="001D5327" w:rsidRDefault="00D97D6C" w:rsidP="00D97D6C">
      <w:pPr>
        <w:pStyle w:val="BodyText"/>
        <w:spacing w:before="100" w:after="100"/>
        <w:rPr>
          <w:lang w:eastAsia="en-GB"/>
        </w:rPr>
      </w:pPr>
      <w:r w:rsidRPr="001D5327">
        <w:rPr>
          <w:lang w:eastAsia="en-GB"/>
        </w:rPr>
        <w:t xml:space="preserve">In the preparation of this inventory, the </w:t>
      </w:r>
      <w:r w:rsidRPr="001D5327">
        <w:rPr>
          <w:rFonts w:cs="Calibri"/>
          <w:i/>
          <w:lang w:eastAsia="en-GB"/>
        </w:rPr>
        <w:t>Other sectors</w:t>
      </w:r>
      <w:r w:rsidRPr="001D5327">
        <w:rPr>
          <w:lang w:eastAsia="en-GB"/>
        </w:rPr>
        <w:t xml:space="preserve"> category underwent Tier 1 quality-assurance and quality-control checks as recommended in the 2006 IPCC Guidelines. These include regular control sums throughout systems, to verify system integrity, and consistency checks of implied emission factors.</w:t>
      </w:r>
    </w:p>
    <w:p w14:paraId="1E8FB825" w14:textId="77777777" w:rsidR="00D97D6C" w:rsidRPr="001D5327" w:rsidRDefault="00D97D6C" w:rsidP="00D97D6C">
      <w:pPr>
        <w:pStyle w:val="Heading4"/>
      </w:pPr>
      <w:r w:rsidRPr="001D5327">
        <w:t>Category-specific recalculations</w:t>
      </w:r>
    </w:p>
    <w:p w14:paraId="0A981E44" w14:textId="56092462" w:rsidR="00D97D6C" w:rsidRPr="001D5327" w:rsidRDefault="00D97D6C" w:rsidP="00D97D6C">
      <w:pPr>
        <w:pStyle w:val="BodyText"/>
        <w:spacing w:before="100" w:after="100"/>
        <w:rPr>
          <w:lang w:eastAsia="en-GB"/>
        </w:rPr>
      </w:pPr>
      <w:r w:rsidRPr="001D5327">
        <w:rPr>
          <w:lang w:eastAsia="en-GB"/>
        </w:rPr>
        <w:t xml:space="preserve">Historical energy demand data in the national energy balance tables is occasionally revised from year to year. This may result in minor revisions to activity data and recalculations to the corresponding emissions for some years in some categories. </w:t>
      </w:r>
    </w:p>
    <w:p w14:paraId="08CDBA5F" w14:textId="77777777" w:rsidR="00D97D6C" w:rsidRPr="001D5327" w:rsidRDefault="00D97D6C" w:rsidP="00D97D6C">
      <w:pPr>
        <w:pStyle w:val="Heading4"/>
        <w:rPr>
          <w:lang w:eastAsia="en-GB"/>
        </w:rPr>
      </w:pPr>
      <w:r w:rsidRPr="001D5327">
        <w:t>Category</w:t>
      </w:r>
      <w:r w:rsidRPr="001D5327">
        <w:rPr>
          <w:lang w:eastAsia="en-GB"/>
        </w:rPr>
        <w:t>-specific planned improvements</w:t>
      </w:r>
    </w:p>
    <w:p w14:paraId="577393AB" w14:textId="77777777" w:rsidR="00D97D6C" w:rsidRPr="001D5327" w:rsidRDefault="00D97D6C" w:rsidP="00D97D6C">
      <w:pPr>
        <w:pStyle w:val="BodyText"/>
        <w:rPr>
          <w:rFonts w:cs="Calibri"/>
          <w:b/>
          <w:bCs/>
          <w:szCs w:val="24"/>
          <w:lang w:eastAsia="en-GB"/>
        </w:rPr>
      </w:pPr>
      <w:r w:rsidRPr="001D5327">
        <w:rPr>
          <w:rFonts w:cs="Calibri"/>
          <w:lang w:eastAsia="en-GB"/>
        </w:rPr>
        <w:t xml:space="preserve">No improvements are planned for this category. </w:t>
      </w:r>
    </w:p>
    <w:p w14:paraId="07F4FA11" w14:textId="77777777" w:rsidR="00D97D6C" w:rsidRPr="001D5327" w:rsidRDefault="00D97D6C" w:rsidP="00D97D6C">
      <w:pPr>
        <w:pStyle w:val="Heading2"/>
        <w:rPr>
          <w:rFonts w:cs="Calibri"/>
        </w:rPr>
      </w:pPr>
      <w:bookmarkStart w:id="361" w:name="_Toc321398811"/>
      <w:bookmarkStart w:id="362" w:name="_Toc384581637"/>
      <w:bookmarkStart w:id="363" w:name="_Toc448321509"/>
      <w:bookmarkStart w:id="364" w:name="_Toc481751371"/>
      <w:bookmarkStart w:id="365" w:name="_Toc36224388"/>
      <w:bookmarkStart w:id="366" w:name="_Toc68786308"/>
      <w:bookmarkStart w:id="367" w:name="_Toc164154176"/>
      <w:bookmarkStart w:id="368" w:name="_Toc194312000"/>
      <w:r w:rsidRPr="001D5327">
        <w:rPr>
          <w:rFonts w:cs="Calibri"/>
        </w:rPr>
        <w:t>3.3</w:t>
      </w:r>
      <w:r w:rsidRPr="001D5327">
        <w:rPr>
          <w:rFonts w:cs="Calibri"/>
        </w:rPr>
        <w:tab/>
        <w:t>Fugitive emissions from solid fuels and oil and natural gas and other emissions from energy production (CRT 1.B)</w:t>
      </w:r>
      <w:bookmarkEnd w:id="361"/>
      <w:bookmarkEnd w:id="362"/>
      <w:bookmarkEnd w:id="363"/>
      <w:bookmarkEnd w:id="364"/>
      <w:bookmarkEnd w:id="365"/>
      <w:bookmarkEnd w:id="366"/>
      <w:bookmarkEnd w:id="367"/>
      <w:bookmarkEnd w:id="368"/>
    </w:p>
    <w:p w14:paraId="5C2A03B7" w14:textId="6FD82C52" w:rsidR="00D97D6C" w:rsidRPr="001D5327" w:rsidRDefault="00D97D6C" w:rsidP="00D97D6C">
      <w:pPr>
        <w:pStyle w:val="Heading4"/>
      </w:pPr>
      <w:r w:rsidRPr="001D5327">
        <w:t>Category description</w:t>
      </w:r>
    </w:p>
    <w:p w14:paraId="52DD5D65" w14:textId="77777777" w:rsidR="00D97D6C" w:rsidRPr="001D5327" w:rsidRDefault="00D97D6C" w:rsidP="00D97D6C">
      <w:pPr>
        <w:pStyle w:val="BodyText"/>
        <w:spacing w:before="100" w:after="100"/>
        <w:rPr>
          <w:rFonts w:cs="Calibri"/>
          <w:lang w:eastAsia="en-GB"/>
        </w:rPr>
      </w:pPr>
      <w:r w:rsidRPr="001D5327">
        <w:rPr>
          <w:rFonts w:cs="Calibri"/>
          <w:lang w:eastAsia="en-GB"/>
        </w:rPr>
        <w:t xml:space="preserve">Fugitive emissions arise from the production, processing, transmission, storage and use of fossil fuels, and from non-productive combustion. This category comprises two categories: </w:t>
      </w:r>
      <w:r w:rsidRPr="001D5327">
        <w:rPr>
          <w:rFonts w:cs="Calibri"/>
          <w:i/>
          <w:lang w:eastAsia="en-GB"/>
        </w:rPr>
        <w:t>Solid fuels</w:t>
      </w:r>
      <w:r w:rsidRPr="001D5327">
        <w:rPr>
          <w:rFonts w:cs="Calibri"/>
          <w:lang w:eastAsia="en-GB"/>
        </w:rPr>
        <w:t xml:space="preserve"> and </w:t>
      </w:r>
      <w:r w:rsidRPr="001D5327">
        <w:rPr>
          <w:rFonts w:cs="Calibri"/>
          <w:i/>
          <w:lang w:eastAsia="en-GB"/>
        </w:rPr>
        <w:t>Oil and natural gas</w:t>
      </w:r>
      <w:r w:rsidRPr="001D5327">
        <w:rPr>
          <w:rFonts w:cs="Calibri"/>
          <w:lang w:eastAsia="en-GB"/>
        </w:rPr>
        <w:t>.</w:t>
      </w:r>
    </w:p>
    <w:p w14:paraId="1154C456" w14:textId="77616EAB" w:rsidR="00D97D6C" w:rsidRPr="001D5327" w:rsidRDefault="00D97D6C" w:rsidP="00D97D6C">
      <w:pPr>
        <w:pStyle w:val="BodyText"/>
        <w:spacing w:before="100" w:after="100"/>
        <w:rPr>
          <w:rFonts w:cs="Calibri"/>
          <w:lang w:eastAsia="en-GB"/>
        </w:rPr>
      </w:pPr>
      <w:r w:rsidRPr="001D5327">
        <w:rPr>
          <w:rFonts w:cs="Calibri"/>
          <w:lang w:eastAsia="en-GB"/>
        </w:rPr>
        <w:t xml:space="preserve">In </w:t>
      </w:r>
      <w:r w:rsidR="00704343" w:rsidRPr="001D5327">
        <w:rPr>
          <w:rFonts w:cs="Calibri"/>
        </w:rPr>
        <w:t>2023</w:t>
      </w:r>
      <w:r w:rsidRPr="001D5327">
        <w:rPr>
          <w:rFonts w:cs="Calibri"/>
          <w:lang w:eastAsia="en-GB"/>
        </w:rPr>
        <w:t xml:space="preserve">, </w:t>
      </w:r>
      <w:r w:rsidRPr="001D5327">
        <w:rPr>
          <w:rFonts w:cs="Calibri"/>
          <w:i/>
          <w:iCs/>
          <w:lang w:eastAsia="en-GB"/>
        </w:rPr>
        <w:t>Fugitive</w:t>
      </w:r>
      <w:r w:rsidRPr="001D5327">
        <w:rPr>
          <w:rFonts w:cs="Calibri"/>
          <w:lang w:eastAsia="en-GB"/>
        </w:rPr>
        <w:t xml:space="preserve"> </w:t>
      </w:r>
      <w:r w:rsidRPr="001D5327">
        <w:rPr>
          <w:rFonts w:cs="Calibri"/>
          <w:i/>
          <w:lang w:eastAsia="en-GB"/>
        </w:rPr>
        <w:t>emissions</w:t>
      </w:r>
      <w:r w:rsidRPr="001D5327">
        <w:rPr>
          <w:rFonts w:cs="Calibri"/>
          <w:lang w:eastAsia="en-GB"/>
        </w:rPr>
        <w:t xml:space="preserve"> from fuels accounted for </w:t>
      </w:r>
      <w:r w:rsidR="00212612" w:rsidRPr="001D5327">
        <w:rPr>
          <w:rFonts w:cs="Calibri"/>
        </w:rPr>
        <w:t>1,173.8</w:t>
      </w:r>
      <w:r w:rsidRPr="001D5327">
        <w:rPr>
          <w:rFonts w:cs="Calibri"/>
        </w:rPr>
        <w:t xml:space="preserve"> </w:t>
      </w:r>
      <w:r w:rsidRPr="001D5327">
        <w:rPr>
          <w:rFonts w:cs="Calibri"/>
          <w:lang w:eastAsia="en-GB"/>
        </w:rPr>
        <w:t>kt CO</w:t>
      </w:r>
      <w:r w:rsidRPr="001D5327">
        <w:rPr>
          <w:rFonts w:cs="Calibri"/>
          <w:vertAlign w:val="subscript"/>
          <w:lang w:eastAsia="en-GB"/>
        </w:rPr>
        <w:t>2</w:t>
      </w:r>
      <w:r w:rsidRPr="001D5327">
        <w:rPr>
          <w:rFonts w:cs="Calibri"/>
          <w:lang w:eastAsia="en-GB"/>
        </w:rPr>
        <w:t>-e (</w:t>
      </w:r>
      <w:r w:rsidR="00212612" w:rsidRPr="001D5327">
        <w:rPr>
          <w:rFonts w:cs="Calibri"/>
        </w:rPr>
        <w:t>4.1</w:t>
      </w:r>
      <w:r w:rsidRPr="001D5327">
        <w:rPr>
          <w:rFonts w:cs="Calibri"/>
        </w:rPr>
        <w:t xml:space="preserve"> per cent</w:t>
      </w:r>
      <w:r w:rsidRPr="001D5327">
        <w:rPr>
          <w:rFonts w:cs="Calibri"/>
          <w:lang w:eastAsia="en-GB"/>
        </w:rPr>
        <w:t xml:space="preserve">) of emissions from the Energy sector. This is </w:t>
      </w:r>
      <w:r w:rsidR="00212612" w:rsidRPr="001D5327">
        <w:rPr>
          <w:rFonts w:cs="Calibri"/>
        </w:rPr>
        <w:t>388.5</w:t>
      </w:r>
      <w:r w:rsidRPr="001D5327">
        <w:rPr>
          <w:rFonts w:cs="Calibri"/>
        </w:rPr>
        <w:t xml:space="preserve"> </w:t>
      </w:r>
      <w:r w:rsidRPr="001D5327">
        <w:rPr>
          <w:rFonts w:cs="Calibri"/>
          <w:lang w:eastAsia="en-GB"/>
        </w:rPr>
        <w:t>kt CO</w:t>
      </w:r>
      <w:r w:rsidRPr="001D5327">
        <w:rPr>
          <w:rFonts w:cs="Calibri"/>
          <w:vertAlign w:val="subscript"/>
          <w:lang w:eastAsia="en-GB"/>
        </w:rPr>
        <w:t>2</w:t>
      </w:r>
      <w:r w:rsidRPr="001D5327">
        <w:rPr>
          <w:rFonts w:cs="Calibri"/>
          <w:lang w:eastAsia="en-GB"/>
        </w:rPr>
        <w:t>-e (</w:t>
      </w:r>
      <w:r w:rsidR="00212612" w:rsidRPr="001D5327">
        <w:rPr>
          <w:rFonts w:cs="Calibri"/>
        </w:rPr>
        <w:t>24.9</w:t>
      </w:r>
      <w:r w:rsidRPr="001D5327">
        <w:rPr>
          <w:rFonts w:cs="Calibri"/>
        </w:rPr>
        <w:t xml:space="preserve"> per cent</w:t>
      </w:r>
      <w:r w:rsidRPr="001D5327">
        <w:rPr>
          <w:rFonts w:cs="Calibri"/>
          <w:lang w:eastAsia="en-GB"/>
        </w:rPr>
        <w:t xml:space="preserve">) lower than the 1990 level of </w:t>
      </w:r>
      <w:r w:rsidR="00212612" w:rsidRPr="001D5327">
        <w:rPr>
          <w:rFonts w:cs="Calibri"/>
        </w:rPr>
        <w:t>1,562.3</w:t>
      </w:r>
      <w:r w:rsidRPr="001D5327">
        <w:rPr>
          <w:rFonts w:cs="Calibri"/>
        </w:rPr>
        <w:t xml:space="preserve"> </w:t>
      </w:r>
      <w:r w:rsidRPr="001D5327">
        <w:rPr>
          <w:rFonts w:cs="Calibri"/>
          <w:lang w:eastAsia="en-GB"/>
        </w:rPr>
        <w:t>kt CO</w:t>
      </w:r>
      <w:r w:rsidRPr="001D5327">
        <w:rPr>
          <w:rFonts w:cs="Calibri"/>
          <w:vertAlign w:val="subscript"/>
          <w:lang w:eastAsia="en-GB"/>
        </w:rPr>
        <w:t>2</w:t>
      </w:r>
      <w:r w:rsidRPr="001D5327">
        <w:rPr>
          <w:rFonts w:cs="Calibri"/>
          <w:lang w:eastAsia="en-GB"/>
        </w:rPr>
        <w:t>-e.</w:t>
      </w:r>
    </w:p>
    <w:p w14:paraId="7BFCC625" w14:textId="20481CC2" w:rsidR="00D97D6C" w:rsidRPr="001D5327" w:rsidRDefault="00D97D6C" w:rsidP="00D97D6C">
      <w:pPr>
        <w:pStyle w:val="Heading4"/>
        <w:rPr>
          <w:lang w:eastAsia="en-GB"/>
        </w:rPr>
      </w:pPr>
      <w:r w:rsidRPr="001D5327">
        <w:rPr>
          <w:lang w:eastAsia="en-GB"/>
        </w:rPr>
        <w:t xml:space="preserve">Changes in emissions </w:t>
      </w:r>
      <w:r w:rsidRPr="001D5327">
        <w:t>between</w:t>
      </w:r>
      <w:r w:rsidRPr="001D5327">
        <w:rPr>
          <w:lang w:eastAsia="en-GB"/>
        </w:rPr>
        <w:t xml:space="preserve"> </w:t>
      </w:r>
      <w:r w:rsidR="00704343" w:rsidRPr="001D5327">
        <w:t>2022</w:t>
      </w:r>
      <w:r w:rsidRPr="001D5327">
        <w:t xml:space="preserve"> </w:t>
      </w:r>
      <w:r w:rsidRPr="001D5327">
        <w:rPr>
          <w:lang w:eastAsia="en-GB"/>
        </w:rPr>
        <w:t xml:space="preserve">and </w:t>
      </w:r>
      <w:r w:rsidR="00704343" w:rsidRPr="001D5327">
        <w:t>2023</w:t>
      </w:r>
    </w:p>
    <w:p w14:paraId="2B4A6E68" w14:textId="5773E360" w:rsidR="00D97D6C" w:rsidRPr="001D5327" w:rsidRDefault="00D97D6C" w:rsidP="00D97D6C">
      <w:pPr>
        <w:pStyle w:val="BodyText"/>
        <w:spacing w:before="100" w:after="100"/>
        <w:rPr>
          <w:rFonts w:cs="Calibri"/>
        </w:rPr>
      </w:pPr>
      <w:r w:rsidRPr="001D5327">
        <w:rPr>
          <w:rFonts w:cs="Calibri"/>
          <w:lang w:eastAsia="en-GB"/>
        </w:rPr>
        <w:t xml:space="preserve">Between </w:t>
      </w:r>
      <w:r w:rsidR="00704343" w:rsidRPr="001D5327">
        <w:rPr>
          <w:rFonts w:cs="Calibri"/>
        </w:rPr>
        <w:t>2022</w:t>
      </w:r>
      <w:r w:rsidRPr="001D5327">
        <w:rPr>
          <w:rFonts w:cs="Calibri"/>
          <w:lang w:eastAsia="en-GB"/>
        </w:rPr>
        <w:t xml:space="preserve"> and </w:t>
      </w:r>
      <w:r w:rsidR="00704343" w:rsidRPr="001D5327">
        <w:rPr>
          <w:rFonts w:cs="Calibri"/>
        </w:rPr>
        <w:t>2023</w:t>
      </w:r>
      <w:r w:rsidRPr="001D5327">
        <w:rPr>
          <w:rFonts w:cs="Calibri"/>
          <w:lang w:eastAsia="en-GB"/>
        </w:rPr>
        <w:t xml:space="preserve">, </w:t>
      </w:r>
      <w:r w:rsidRPr="001D5327">
        <w:rPr>
          <w:rFonts w:cs="Calibri"/>
          <w:i/>
          <w:iCs/>
          <w:lang w:eastAsia="en-GB"/>
        </w:rPr>
        <w:t>Fugitive</w:t>
      </w:r>
      <w:r w:rsidRPr="001D5327">
        <w:rPr>
          <w:rFonts w:cs="Calibri"/>
          <w:lang w:eastAsia="en-GB"/>
        </w:rPr>
        <w:t xml:space="preserve"> </w:t>
      </w:r>
      <w:r w:rsidRPr="001D5327">
        <w:rPr>
          <w:rFonts w:cs="Calibri"/>
          <w:i/>
          <w:lang w:eastAsia="en-GB"/>
        </w:rPr>
        <w:t>emissions</w:t>
      </w:r>
      <w:r w:rsidRPr="001D5327">
        <w:rPr>
          <w:rFonts w:cs="Calibri"/>
          <w:lang w:eastAsia="en-GB"/>
        </w:rPr>
        <w:t xml:space="preserve"> from fuels</w:t>
      </w:r>
      <w:r w:rsidRPr="001D5327">
        <w:rPr>
          <w:rFonts w:cs="Calibri"/>
        </w:rPr>
        <w:t xml:space="preserve"> </w:t>
      </w:r>
      <w:r w:rsidR="00212612" w:rsidRPr="001D5327">
        <w:rPr>
          <w:rFonts w:cs="Calibri"/>
        </w:rPr>
        <w:t xml:space="preserve">decreased </w:t>
      </w:r>
      <w:r w:rsidRPr="001D5327">
        <w:rPr>
          <w:rFonts w:cs="Calibri"/>
        </w:rPr>
        <w:t xml:space="preserve">by </w:t>
      </w:r>
      <w:r w:rsidR="00212612" w:rsidRPr="001D5327">
        <w:rPr>
          <w:rFonts w:cs="Calibri"/>
        </w:rPr>
        <w:t>146.7</w:t>
      </w:r>
      <w:r w:rsidRPr="001D5327">
        <w:rPr>
          <w:rFonts w:cs="Calibri"/>
        </w:rPr>
        <w:t xml:space="preserve"> </w:t>
      </w:r>
      <w:r w:rsidRPr="001D5327">
        <w:rPr>
          <w:rFonts w:cs="Calibri"/>
          <w:lang w:eastAsia="en-GB"/>
        </w:rPr>
        <w:t>kt CO</w:t>
      </w:r>
      <w:r w:rsidRPr="001D5327">
        <w:rPr>
          <w:rFonts w:cs="Calibri"/>
          <w:szCs w:val="14"/>
          <w:vertAlign w:val="subscript"/>
          <w:lang w:eastAsia="en-GB"/>
        </w:rPr>
        <w:t>2</w:t>
      </w:r>
      <w:r w:rsidRPr="001D5327">
        <w:rPr>
          <w:rFonts w:cs="Calibri"/>
          <w:lang w:eastAsia="en-GB"/>
        </w:rPr>
        <w:t>-e (</w:t>
      </w:r>
      <w:r w:rsidR="00212612" w:rsidRPr="001D5327">
        <w:rPr>
          <w:rFonts w:cs="Calibri"/>
        </w:rPr>
        <w:t>11.1</w:t>
      </w:r>
      <w:r w:rsidRPr="001D5327">
        <w:rPr>
          <w:rFonts w:cs="Calibri"/>
        </w:rPr>
        <w:t> per cent</w:t>
      </w:r>
      <w:r w:rsidRPr="001D5327">
        <w:rPr>
          <w:rFonts w:cs="Calibri"/>
          <w:lang w:eastAsia="en-GB"/>
        </w:rPr>
        <w:t xml:space="preserve">). This was primarily the result of increased activity in category 1.B.2.c. </w:t>
      </w:r>
      <w:r w:rsidRPr="001D5327">
        <w:rPr>
          <w:rFonts w:cs="Calibri"/>
          <w:i/>
          <w:lang w:eastAsia="en-GB"/>
        </w:rPr>
        <w:t>Venting and flaring</w:t>
      </w:r>
      <w:r w:rsidRPr="001D5327">
        <w:rPr>
          <w:rFonts w:cs="Calibri"/>
          <w:i/>
        </w:rPr>
        <w:t>.</w:t>
      </w:r>
    </w:p>
    <w:p w14:paraId="617A5416" w14:textId="379257E6" w:rsidR="00D97D6C" w:rsidRPr="001D5327" w:rsidRDefault="00D97D6C" w:rsidP="00D97D6C">
      <w:pPr>
        <w:pStyle w:val="BodyText"/>
        <w:spacing w:before="100" w:after="100"/>
        <w:rPr>
          <w:rFonts w:cs="Calibri"/>
        </w:rPr>
      </w:pPr>
      <w:r w:rsidRPr="001D5327">
        <w:rPr>
          <w:rFonts w:cs="Calibri"/>
        </w:rPr>
        <w:t xml:space="preserve">Key categories identified in the </w:t>
      </w:r>
      <w:r w:rsidR="00704343" w:rsidRPr="001D5327">
        <w:rPr>
          <w:rFonts w:cs="Calibri"/>
        </w:rPr>
        <w:t>2023</w:t>
      </w:r>
      <w:r w:rsidRPr="001D5327">
        <w:rPr>
          <w:rFonts w:cs="Calibri"/>
        </w:rPr>
        <w:t xml:space="preserve"> level and trend assessment for the </w:t>
      </w:r>
      <w:r w:rsidRPr="001D5327">
        <w:rPr>
          <w:rFonts w:cs="Calibri"/>
          <w:i/>
          <w:lang w:eastAsia="en-GB"/>
        </w:rPr>
        <w:t>Fugitive emissions</w:t>
      </w:r>
      <w:r w:rsidRPr="001D5327">
        <w:rPr>
          <w:rFonts w:cs="Calibri"/>
        </w:rPr>
        <w:t xml:space="preserve"> category are given in table 3.3.1.</w:t>
      </w:r>
    </w:p>
    <w:p w14:paraId="2CF8B4B3" w14:textId="77777777" w:rsidR="00D97D6C" w:rsidRPr="001D5327" w:rsidRDefault="00D97D6C" w:rsidP="00D97D6C">
      <w:pPr>
        <w:pStyle w:val="Table"/>
      </w:pPr>
      <w:bookmarkStart w:id="369" w:name="_Toc68786413"/>
      <w:bookmarkStart w:id="370" w:name="_Toc164153812"/>
      <w:bookmarkStart w:id="371" w:name="_Toc194241679"/>
      <w:r w:rsidRPr="001D5327">
        <w:t>Table 3.3.1</w:t>
      </w:r>
      <w:r w:rsidRPr="001D5327">
        <w:tab/>
        <w:t xml:space="preserve">Key categories for 1.B </w:t>
      </w:r>
      <w:r w:rsidRPr="001D5327">
        <w:rPr>
          <w:i/>
          <w:iCs/>
        </w:rPr>
        <w:t>Fugitive emissions</w:t>
      </w:r>
      <w:bookmarkEnd w:id="369"/>
      <w:bookmarkEnd w:id="370"/>
      <w:bookmarkEnd w:id="371"/>
    </w:p>
    <w:tbl>
      <w:tblPr>
        <w:tblW w:w="8505"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5060"/>
        <w:gridCol w:w="2028"/>
        <w:gridCol w:w="1417"/>
      </w:tblGrid>
      <w:tr w:rsidR="00D97D6C" w:rsidRPr="001D5327" w14:paraId="41E5A519" w14:textId="77777777" w:rsidTr="00566C07">
        <w:trPr>
          <w:cantSplit/>
          <w:tblHeader/>
        </w:trPr>
        <w:tc>
          <w:tcPr>
            <w:tcW w:w="2975" w:type="pct"/>
            <w:shd w:val="clear" w:color="auto" w:fill="1B556B"/>
            <w:noWrap/>
            <w:vAlign w:val="bottom"/>
            <w:hideMark/>
          </w:tcPr>
          <w:p w14:paraId="5C38EF4C" w14:textId="77777777" w:rsidR="00D97D6C" w:rsidRPr="001D5327" w:rsidRDefault="00D97D6C" w:rsidP="00B55F24">
            <w:pPr>
              <w:pStyle w:val="TableTextBold"/>
              <w:keepNext/>
              <w:spacing w:before="40" w:after="40"/>
              <w:rPr>
                <w:rFonts w:cs="Calibri"/>
                <w:noProof w:val="0"/>
                <w:color w:val="FFFFFF"/>
              </w:rPr>
            </w:pPr>
            <w:r w:rsidRPr="001D5327">
              <w:rPr>
                <w:rFonts w:cs="Calibri"/>
                <w:noProof w:val="0"/>
                <w:color w:val="FFFFFF"/>
              </w:rPr>
              <w:t>Category</w:t>
            </w:r>
          </w:p>
        </w:tc>
        <w:tc>
          <w:tcPr>
            <w:tcW w:w="1192" w:type="pct"/>
            <w:shd w:val="clear" w:color="auto" w:fill="1B556B"/>
            <w:noWrap/>
            <w:vAlign w:val="bottom"/>
            <w:hideMark/>
          </w:tcPr>
          <w:p w14:paraId="0F412043" w14:textId="77777777" w:rsidR="00D97D6C" w:rsidRPr="001D5327" w:rsidRDefault="00D97D6C" w:rsidP="00B55F24">
            <w:pPr>
              <w:pStyle w:val="TableTextBold"/>
              <w:keepNext/>
              <w:spacing w:before="40" w:after="40"/>
              <w:rPr>
                <w:rFonts w:cs="Calibri"/>
                <w:noProof w:val="0"/>
                <w:color w:val="FFFFFF"/>
              </w:rPr>
            </w:pPr>
            <w:r w:rsidRPr="001D5327">
              <w:rPr>
                <w:rFonts w:cs="Calibri"/>
                <w:noProof w:val="0"/>
                <w:color w:val="FFFFFF"/>
              </w:rPr>
              <w:t>CO</w:t>
            </w:r>
            <w:r w:rsidRPr="001D5327">
              <w:rPr>
                <w:rFonts w:cs="Calibri"/>
                <w:noProof w:val="0"/>
                <w:color w:val="FFFFFF"/>
                <w:vertAlign w:val="subscript"/>
              </w:rPr>
              <w:t>2</w:t>
            </w:r>
          </w:p>
        </w:tc>
        <w:tc>
          <w:tcPr>
            <w:tcW w:w="833" w:type="pct"/>
            <w:shd w:val="clear" w:color="auto" w:fill="1B556B"/>
            <w:vAlign w:val="bottom"/>
            <w:hideMark/>
          </w:tcPr>
          <w:p w14:paraId="507F6229" w14:textId="77777777" w:rsidR="00D97D6C" w:rsidRPr="001D5327" w:rsidRDefault="00D97D6C" w:rsidP="00B55F24">
            <w:pPr>
              <w:pStyle w:val="TableTextBold"/>
              <w:keepNext/>
              <w:spacing w:before="40" w:after="40"/>
              <w:rPr>
                <w:rFonts w:cs="Calibri"/>
                <w:noProof w:val="0"/>
                <w:color w:val="FFFFFF"/>
              </w:rPr>
            </w:pPr>
            <w:r w:rsidRPr="001D5327">
              <w:rPr>
                <w:rFonts w:cs="Calibri"/>
                <w:noProof w:val="0"/>
                <w:color w:val="FFFFFF"/>
              </w:rPr>
              <w:t>CH</w:t>
            </w:r>
            <w:r w:rsidRPr="001D5327">
              <w:rPr>
                <w:rFonts w:cs="Calibri"/>
                <w:noProof w:val="0"/>
                <w:color w:val="FFFFFF"/>
                <w:vertAlign w:val="subscript"/>
              </w:rPr>
              <w:t>4</w:t>
            </w:r>
          </w:p>
        </w:tc>
      </w:tr>
      <w:tr w:rsidR="00D97D6C" w:rsidRPr="001D5327" w14:paraId="28647411" w14:textId="77777777" w:rsidTr="00566C07">
        <w:trPr>
          <w:cantSplit/>
        </w:trPr>
        <w:tc>
          <w:tcPr>
            <w:tcW w:w="2975" w:type="pct"/>
            <w:shd w:val="clear" w:color="auto" w:fill="auto"/>
            <w:noWrap/>
            <w:hideMark/>
          </w:tcPr>
          <w:p w14:paraId="21FB80A2" w14:textId="77777777" w:rsidR="00D97D6C" w:rsidRPr="001D5327" w:rsidRDefault="00D97D6C" w:rsidP="00B55F24">
            <w:pPr>
              <w:pStyle w:val="TableText"/>
              <w:spacing w:before="40" w:after="40"/>
              <w:rPr>
                <w:rFonts w:cs="Calibri"/>
              </w:rPr>
            </w:pPr>
            <w:r w:rsidRPr="001D5327">
              <w:rPr>
                <w:rFonts w:cs="Calibri"/>
              </w:rPr>
              <w:t>Coal mining and handling – Underground mines</w:t>
            </w:r>
          </w:p>
        </w:tc>
        <w:tc>
          <w:tcPr>
            <w:tcW w:w="1192" w:type="pct"/>
            <w:shd w:val="clear" w:color="auto" w:fill="auto"/>
            <w:noWrap/>
            <w:hideMark/>
          </w:tcPr>
          <w:p w14:paraId="48828471" w14:textId="77777777" w:rsidR="00D97D6C" w:rsidRPr="001D5327" w:rsidRDefault="00D97D6C" w:rsidP="00B55F24">
            <w:pPr>
              <w:pStyle w:val="TableText"/>
              <w:spacing w:before="40" w:after="40"/>
              <w:rPr>
                <w:rFonts w:cs="Calibri"/>
              </w:rPr>
            </w:pPr>
            <w:r w:rsidRPr="001D5327">
              <w:rPr>
                <w:rFonts w:cs="Calibri"/>
              </w:rPr>
              <w:t>–</w:t>
            </w:r>
          </w:p>
        </w:tc>
        <w:tc>
          <w:tcPr>
            <w:tcW w:w="833" w:type="pct"/>
            <w:shd w:val="clear" w:color="auto" w:fill="auto"/>
            <w:noWrap/>
            <w:hideMark/>
          </w:tcPr>
          <w:p w14:paraId="521FC8BA" w14:textId="77777777" w:rsidR="00D97D6C" w:rsidRPr="001D5327" w:rsidRDefault="00D97D6C" w:rsidP="00B55F24">
            <w:pPr>
              <w:pStyle w:val="TableText"/>
              <w:spacing w:before="40" w:after="40"/>
              <w:rPr>
                <w:rFonts w:cs="Calibri"/>
              </w:rPr>
            </w:pPr>
            <w:r w:rsidRPr="001D5327">
              <w:rPr>
                <w:rFonts w:cs="Calibri"/>
              </w:rPr>
              <w:t>Trend</w:t>
            </w:r>
          </w:p>
        </w:tc>
      </w:tr>
      <w:tr w:rsidR="00D97D6C" w:rsidRPr="001D5327" w14:paraId="298A8F4D" w14:textId="77777777" w:rsidTr="00566C07">
        <w:trPr>
          <w:cantSplit/>
        </w:trPr>
        <w:tc>
          <w:tcPr>
            <w:tcW w:w="2975" w:type="pct"/>
            <w:shd w:val="clear" w:color="auto" w:fill="auto"/>
            <w:noWrap/>
            <w:hideMark/>
          </w:tcPr>
          <w:p w14:paraId="30C58A9E" w14:textId="77777777" w:rsidR="00D97D6C" w:rsidRPr="001D5327" w:rsidRDefault="00D97D6C" w:rsidP="00B55F24">
            <w:pPr>
              <w:pStyle w:val="TableText"/>
              <w:spacing w:before="40" w:after="40"/>
              <w:rPr>
                <w:rFonts w:cs="Calibri"/>
              </w:rPr>
            </w:pPr>
            <w:r w:rsidRPr="001D5327">
              <w:rPr>
                <w:rFonts w:cs="Calibri"/>
              </w:rPr>
              <w:t>Natural gas – Distribution</w:t>
            </w:r>
          </w:p>
        </w:tc>
        <w:tc>
          <w:tcPr>
            <w:tcW w:w="1192" w:type="pct"/>
            <w:shd w:val="clear" w:color="auto" w:fill="auto"/>
            <w:noWrap/>
            <w:hideMark/>
          </w:tcPr>
          <w:p w14:paraId="25638C18" w14:textId="77777777" w:rsidR="00D97D6C" w:rsidRPr="001D5327" w:rsidRDefault="00D97D6C" w:rsidP="00B55F24">
            <w:pPr>
              <w:pStyle w:val="TableText"/>
              <w:spacing w:before="40" w:after="40"/>
              <w:rPr>
                <w:rFonts w:cs="Calibri"/>
              </w:rPr>
            </w:pPr>
            <w:r w:rsidRPr="001D5327">
              <w:rPr>
                <w:rFonts w:cs="Calibri"/>
              </w:rPr>
              <w:t>–</w:t>
            </w:r>
          </w:p>
        </w:tc>
        <w:tc>
          <w:tcPr>
            <w:tcW w:w="833" w:type="pct"/>
            <w:shd w:val="clear" w:color="auto" w:fill="auto"/>
            <w:noWrap/>
          </w:tcPr>
          <w:p w14:paraId="77022D23" w14:textId="77777777" w:rsidR="00D97D6C" w:rsidRPr="001D5327" w:rsidRDefault="00D97D6C" w:rsidP="00B55F24">
            <w:pPr>
              <w:pStyle w:val="TableText"/>
              <w:spacing w:before="40" w:after="40"/>
              <w:rPr>
                <w:rFonts w:cs="Calibri"/>
              </w:rPr>
            </w:pPr>
            <w:r w:rsidRPr="001D5327">
              <w:rPr>
                <w:rFonts w:cs="Calibri"/>
              </w:rPr>
              <w:t>Trend</w:t>
            </w:r>
          </w:p>
        </w:tc>
      </w:tr>
      <w:tr w:rsidR="00D97D6C" w:rsidRPr="001D5327" w14:paraId="4E39231E" w14:textId="77777777" w:rsidTr="00566C07">
        <w:trPr>
          <w:cantSplit/>
        </w:trPr>
        <w:tc>
          <w:tcPr>
            <w:tcW w:w="2975" w:type="pct"/>
            <w:shd w:val="clear" w:color="auto" w:fill="auto"/>
            <w:noWrap/>
          </w:tcPr>
          <w:p w14:paraId="43A852EA" w14:textId="77777777" w:rsidR="00D97D6C" w:rsidRPr="001D5327" w:rsidRDefault="00D97D6C" w:rsidP="00B55F24">
            <w:pPr>
              <w:pStyle w:val="TableText"/>
              <w:spacing w:before="40" w:after="40"/>
              <w:rPr>
                <w:rFonts w:cs="Calibri"/>
              </w:rPr>
            </w:pPr>
            <w:r w:rsidRPr="001D5327">
              <w:rPr>
                <w:rFonts w:cs="Calibri"/>
              </w:rPr>
              <w:t>Venting – Gas</w:t>
            </w:r>
          </w:p>
        </w:tc>
        <w:tc>
          <w:tcPr>
            <w:tcW w:w="1192" w:type="pct"/>
            <w:shd w:val="clear" w:color="auto" w:fill="auto"/>
            <w:noWrap/>
          </w:tcPr>
          <w:p w14:paraId="2B81C1F6" w14:textId="77777777" w:rsidR="00D97D6C" w:rsidRPr="001D5327" w:rsidRDefault="00D97D6C" w:rsidP="00B55F24">
            <w:pPr>
              <w:pStyle w:val="TableText"/>
              <w:spacing w:before="40" w:after="40"/>
              <w:rPr>
                <w:rFonts w:cs="Calibri"/>
              </w:rPr>
            </w:pPr>
            <w:r w:rsidRPr="001D5327">
              <w:rPr>
                <w:rFonts w:cs="Calibri"/>
              </w:rPr>
              <w:t>Level, trend</w:t>
            </w:r>
          </w:p>
        </w:tc>
        <w:tc>
          <w:tcPr>
            <w:tcW w:w="833" w:type="pct"/>
            <w:shd w:val="clear" w:color="auto" w:fill="auto"/>
            <w:noWrap/>
          </w:tcPr>
          <w:p w14:paraId="2BFAC3E0" w14:textId="77777777" w:rsidR="00D97D6C" w:rsidRPr="001D5327" w:rsidRDefault="00D97D6C" w:rsidP="00B55F24">
            <w:pPr>
              <w:pStyle w:val="TableText"/>
              <w:spacing w:before="40" w:after="40"/>
              <w:rPr>
                <w:rFonts w:cs="Calibri"/>
              </w:rPr>
            </w:pPr>
            <w:r w:rsidRPr="001D5327">
              <w:rPr>
                <w:rFonts w:cs="Calibri"/>
              </w:rPr>
              <w:t>–</w:t>
            </w:r>
          </w:p>
        </w:tc>
      </w:tr>
      <w:tr w:rsidR="00D97D6C" w:rsidRPr="001D5327" w14:paraId="525A67EE" w14:textId="77777777" w:rsidTr="00566C07">
        <w:trPr>
          <w:cantSplit/>
        </w:trPr>
        <w:tc>
          <w:tcPr>
            <w:tcW w:w="2975" w:type="pct"/>
            <w:shd w:val="clear" w:color="auto" w:fill="auto"/>
            <w:noWrap/>
          </w:tcPr>
          <w:p w14:paraId="01051F54" w14:textId="77777777" w:rsidR="00D97D6C" w:rsidRPr="001D5327" w:rsidRDefault="00D97D6C" w:rsidP="00B55F24">
            <w:pPr>
              <w:pStyle w:val="TableText"/>
              <w:spacing w:before="40" w:after="40"/>
              <w:rPr>
                <w:rFonts w:cs="Calibri"/>
              </w:rPr>
            </w:pPr>
            <w:r w:rsidRPr="001D5327">
              <w:rPr>
                <w:rFonts w:cs="Calibri"/>
                <w:color w:val="000000"/>
              </w:rPr>
              <w:t>Venting – Combined</w:t>
            </w:r>
          </w:p>
        </w:tc>
        <w:tc>
          <w:tcPr>
            <w:tcW w:w="1192" w:type="pct"/>
            <w:shd w:val="clear" w:color="auto" w:fill="auto"/>
            <w:noWrap/>
          </w:tcPr>
          <w:p w14:paraId="3C8F7C6F" w14:textId="77777777" w:rsidR="00D97D6C" w:rsidRPr="001D5327" w:rsidRDefault="00D97D6C" w:rsidP="00B55F24">
            <w:pPr>
              <w:pStyle w:val="TableText"/>
              <w:spacing w:before="40" w:after="40"/>
              <w:rPr>
                <w:rFonts w:cs="Calibri"/>
              </w:rPr>
            </w:pPr>
            <w:r w:rsidRPr="001D5327">
              <w:rPr>
                <w:rFonts w:cs="Calibri"/>
              </w:rPr>
              <w:t>–</w:t>
            </w:r>
          </w:p>
        </w:tc>
        <w:tc>
          <w:tcPr>
            <w:tcW w:w="833" w:type="pct"/>
            <w:shd w:val="clear" w:color="auto" w:fill="auto"/>
            <w:noWrap/>
          </w:tcPr>
          <w:p w14:paraId="67A57A86" w14:textId="77777777" w:rsidR="00D97D6C" w:rsidRPr="001D5327" w:rsidRDefault="00D97D6C" w:rsidP="00B55F24">
            <w:pPr>
              <w:pStyle w:val="TableText"/>
              <w:spacing w:before="40" w:after="40"/>
              <w:rPr>
                <w:rFonts w:cs="Calibri"/>
              </w:rPr>
            </w:pPr>
            <w:r w:rsidRPr="001D5327">
              <w:rPr>
                <w:rFonts w:cs="Calibri"/>
              </w:rPr>
              <w:t>Trend</w:t>
            </w:r>
          </w:p>
        </w:tc>
      </w:tr>
      <w:tr w:rsidR="00D97D6C" w:rsidRPr="001D5327" w14:paraId="1595E252" w14:textId="77777777" w:rsidTr="00566C07">
        <w:trPr>
          <w:cantSplit/>
        </w:trPr>
        <w:tc>
          <w:tcPr>
            <w:tcW w:w="2975" w:type="pct"/>
            <w:shd w:val="clear" w:color="auto" w:fill="auto"/>
            <w:noWrap/>
          </w:tcPr>
          <w:p w14:paraId="7151FBF6" w14:textId="77777777" w:rsidR="00D97D6C" w:rsidRPr="001D5327" w:rsidRDefault="00D97D6C" w:rsidP="00B55F24">
            <w:pPr>
              <w:pStyle w:val="TableText"/>
              <w:spacing w:before="40" w:after="40"/>
              <w:rPr>
                <w:rFonts w:cs="Calibri"/>
              </w:rPr>
            </w:pPr>
            <w:r w:rsidRPr="001D5327">
              <w:rPr>
                <w:rFonts w:cs="Calibri"/>
                <w:color w:val="000000"/>
              </w:rPr>
              <w:t>Flaring – Combined</w:t>
            </w:r>
          </w:p>
        </w:tc>
        <w:tc>
          <w:tcPr>
            <w:tcW w:w="1192" w:type="pct"/>
            <w:shd w:val="clear" w:color="auto" w:fill="auto"/>
            <w:noWrap/>
          </w:tcPr>
          <w:p w14:paraId="713BF8C9" w14:textId="77777777" w:rsidR="00D97D6C" w:rsidRPr="001D5327" w:rsidRDefault="00D97D6C" w:rsidP="00B55F24">
            <w:pPr>
              <w:pStyle w:val="TableText"/>
              <w:spacing w:before="40" w:after="40"/>
              <w:rPr>
                <w:rFonts w:cs="Calibri"/>
              </w:rPr>
            </w:pPr>
            <w:r w:rsidRPr="001D5327">
              <w:rPr>
                <w:rFonts w:cs="Calibri"/>
              </w:rPr>
              <w:t>Trend</w:t>
            </w:r>
          </w:p>
        </w:tc>
        <w:tc>
          <w:tcPr>
            <w:tcW w:w="833" w:type="pct"/>
            <w:shd w:val="clear" w:color="auto" w:fill="auto"/>
            <w:noWrap/>
          </w:tcPr>
          <w:p w14:paraId="24C430EE" w14:textId="77777777" w:rsidR="00D97D6C" w:rsidRPr="001D5327" w:rsidRDefault="00D97D6C" w:rsidP="00B55F24">
            <w:pPr>
              <w:pStyle w:val="TableText"/>
              <w:spacing w:before="40" w:after="40"/>
              <w:rPr>
                <w:rFonts w:cs="Calibri"/>
              </w:rPr>
            </w:pPr>
            <w:r w:rsidRPr="001D5327">
              <w:rPr>
                <w:rFonts w:cs="Calibri"/>
              </w:rPr>
              <w:t>–</w:t>
            </w:r>
          </w:p>
        </w:tc>
      </w:tr>
      <w:tr w:rsidR="00D97D6C" w:rsidRPr="001D5327" w14:paraId="4661D401" w14:textId="77777777" w:rsidTr="00566C07">
        <w:trPr>
          <w:cantSplit/>
        </w:trPr>
        <w:tc>
          <w:tcPr>
            <w:tcW w:w="2975" w:type="pct"/>
            <w:shd w:val="clear" w:color="auto" w:fill="auto"/>
            <w:noWrap/>
          </w:tcPr>
          <w:p w14:paraId="32181EAF" w14:textId="77777777" w:rsidR="00D97D6C" w:rsidRPr="001D5327" w:rsidRDefault="00D97D6C" w:rsidP="00B55F24">
            <w:pPr>
              <w:pStyle w:val="TableText"/>
              <w:spacing w:before="40" w:after="40"/>
              <w:rPr>
                <w:rFonts w:cs="Calibri"/>
              </w:rPr>
            </w:pPr>
            <w:r w:rsidRPr="001D5327">
              <w:rPr>
                <w:rFonts w:cs="Calibri"/>
              </w:rPr>
              <w:t>Other – Geothermal</w:t>
            </w:r>
          </w:p>
        </w:tc>
        <w:tc>
          <w:tcPr>
            <w:tcW w:w="1192" w:type="pct"/>
            <w:shd w:val="clear" w:color="auto" w:fill="auto"/>
            <w:noWrap/>
          </w:tcPr>
          <w:p w14:paraId="625DF092" w14:textId="77777777" w:rsidR="00D97D6C" w:rsidRPr="001D5327" w:rsidRDefault="00D97D6C" w:rsidP="00B55F24">
            <w:pPr>
              <w:pStyle w:val="TableText"/>
              <w:spacing w:before="40" w:after="40"/>
              <w:rPr>
                <w:rFonts w:cs="Calibri"/>
              </w:rPr>
            </w:pPr>
            <w:r w:rsidRPr="001D5327">
              <w:rPr>
                <w:rFonts w:cs="Calibri"/>
              </w:rPr>
              <w:t>Level, trend</w:t>
            </w:r>
          </w:p>
        </w:tc>
        <w:tc>
          <w:tcPr>
            <w:tcW w:w="833" w:type="pct"/>
            <w:shd w:val="clear" w:color="auto" w:fill="auto"/>
            <w:noWrap/>
          </w:tcPr>
          <w:p w14:paraId="48E2F871" w14:textId="77777777" w:rsidR="00D97D6C" w:rsidRPr="001D5327" w:rsidRDefault="00D97D6C" w:rsidP="00B55F24">
            <w:pPr>
              <w:pStyle w:val="TableText"/>
              <w:spacing w:before="40" w:after="40"/>
              <w:rPr>
                <w:rFonts w:cs="Calibri"/>
              </w:rPr>
            </w:pPr>
            <w:r w:rsidRPr="001D5327">
              <w:rPr>
                <w:rFonts w:cs="Calibri"/>
              </w:rPr>
              <w:t>–</w:t>
            </w:r>
          </w:p>
        </w:tc>
      </w:tr>
    </w:tbl>
    <w:p w14:paraId="320EF2BF" w14:textId="77777777" w:rsidR="00D97D6C" w:rsidRPr="001D5327" w:rsidRDefault="00D97D6C" w:rsidP="00D97D6C">
      <w:pPr>
        <w:pStyle w:val="Heading3"/>
        <w:spacing w:before="480"/>
      </w:pPr>
      <w:r w:rsidRPr="001D5327">
        <w:lastRenderedPageBreak/>
        <w:t>3.3.1</w:t>
      </w:r>
      <w:r w:rsidRPr="001D5327">
        <w:tab/>
        <w:t>Fugitive emissions from fuels: Solid fuels (CRT 1.B.1)</w:t>
      </w:r>
    </w:p>
    <w:p w14:paraId="02834EB3" w14:textId="77777777" w:rsidR="00D97D6C" w:rsidRPr="001D5327" w:rsidRDefault="00D97D6C" w:rsidP="00C65728">
      <w:pPr>
        <w:pStyle w:val="Heading4"/>
        <w:spacing w:before="200"/>
      </w:pPr>
      <w:r w:rsidRPr="001D5327">
        <w:t>Category description</w:t>
      </w:r>
    </w:p>
    <w:p w14:paraId="026EDD2E" w14:textId="7885BF9B" w:rsidR="00D97D6C" w:rsidRPr="001D5327" w:rsidRDefault="00D97D6C" w:rsidP="00C65728">
      <w:pPr>
        <w:pStyle w:val="BodyText"/>
        <w:spacing w:before="80" w:after="100"/>
        <w:rPr>
          <w:lang w:eastAsia="en-GB"/>
        </w:rPr>
      </w:pPr>
      <w:r w:rsidRPr="001D5327">
        <w:rPr>
          <w:lang w:eastAsia="en-GB"/>
        </w:rPr>
        <w:t xml:space="preserve">In </w:t>
      </w:r>
      <w:r w:rsidR="00704343" w:rsidRPr="001D5327">
        <w:rPr>
          <w:rFonts w:cs="Calibri"/>
        </w:rPr>
        <w:t>2023</w:t>
      </w:r>
      <w:r w:rsidRPr="001D5327">
        <w:rPr>
          <w:lang w:eastAsia="en-GB"/>
        </w:rPr>
        <w:t xml:space="preserve">, fugitive emissions from the </w:t>
      </w:r>
      <w:r w:rsidRPr="001D5327">
        <w:rPr>
          <w:rFonts w:cs="Calibri"/>
          <w:i/>
          <w:lang w:eastAsia="en-GB"/>
        </w:rPr>
        <w:t>Solid fuels</w:t>
      </w:r>
      <w:r w:rsidRPr="001D5327">
        <w:rPr>
          <w:lang w:eastAsia="en-GB"/>
        </w:rPr>
        <w:t xml:space="preserve"> category accounted for </w:t>
      </w:r>
      <w:r w:rsidR="00212612" w:rsidRPr="001D5327">
        <w:rPr>
          <w:rFonts w:cs="Calibri"/>
        </w:rPr>
        <w:t>63.4</w:t>
      </w:r>
      <w:r w:rsidRPr="001D5327">
        <w:rPr>
          <w:rFonts w:cs="Calibri"/>
        </w:rPr>
        <w:t xml:space="preserve"> </w:t>
      </w:r>
      <w:r w:rsidRPr="001D5327">
        <w:rPr>
          <w:lang w:eastAsia="en-GB"/>
        </w:rPr>
        <w:t>kt CO</w:t>
      </w:r>
      <w:r w:rsidRPr="001D5327">
        <w:rPr>
          <w:rFonts w:cs="Calibri"/>
          <w:vertAlign w:val="subscript"/>
          <w:lang w:eastAsia="en-GB"/>
        </w:rPr>
        <w:t>2</w:t>
      </w:r>
      <w:r w:rsidRPr="001D5327">
        <w:rPr>
          <w:lang w:eastAsia="en-GB"/>
        </w:rPr>
        <w:t>-e (</w:t>
      </w:r>
      <w:r w:rsidRPr="001D5327">
        <w:rPr>
          <w:rFonts w:cs="Calibri"/>
        </w:rPr>
        <w:t>5.</w:t>
      </w:r>
      <w:r w:rsidR="00212612" w:rsidRPr="001D5327">
        <w:rPr>
          <w:rFonts w:cs="Calibri"/>
        </w:rPr>
        <w:t>4 </w:t>
      </w:r>
      <w:r w:rsidRPr="001D5327">
        <w:rPr>
          <w:rFonts w:cs="Calibri"/>
        </w:rPr>
        <w:t>per</w:t>
      </w:r>
      <w:r w:rsidR="00566C07" w:rsidRPr="001D5327">
        <w:rPr>
          <w:rFonts w:cs="Calibri"/>
        </w:rPr>
        <w:t xml:space="preserve"> </w:t>
      </w:r>
      <w:r w:rsidRPr="001D5327">
        <w:rPr>
          <w:rFonts w:cs="Calibri"/>
        </w:rPr>
        <w:t>cent</w:t>
      </w:r>
      <w:r w:rsidRPr="001D5327">
        <w:rPr>
          <w:lang w:eastAsia="en-GB"/>
        </w:rPr>
        <w:t xml:space="preserve">) of emissions from the </w:t>
      </w:r>
      <w:r w:rsidRPr="001D5327">
        <w:rPr>
          <w:rFonts w:cs="Calibri"/>
          <w:i/>
          <w:lang w:eastAsia="en-GB"/>
        </w:rPr>
        <w:t>Fugitive emissions</w:t>
      </w:r>
      <w:r w:rsidRPr="001D5327">
        <w:rPr>
          <w:lang w:eastAsia="en-GB"/>
        </w:rPr>
        <w:t xml:space="preserve"> category. This is </w:t>
      </w:r>
      <w:r w:rsidR="00212612" w:rsidRPr="001D5327">
        <w:rPr>
          <w:lang w:eastAsia="en-GB"/>
        </w:rPr>
        <w:t>304.0</w:t>
      </w:r>
      <w:r w:rsidRPr="001D5327">
        <w:rPr>
          <w:lang w:eastAsia="en-GB"/>
        </w:rPr>
        <w:t xml:space="preserve"> kt CO</w:t>
      </w:r>
      <w:r w:rsidRPr="001D5327">
        <w:rPr>
          <w:rFonts w:cs="Calibri"/>
          <w:vertAlign w:val="subscript"/>
          <w:lang w:eastAsia="en-GB"/>
        </w:rPr>
        <w:t>2</w:t>
      </w:r>
      <w:r w:rsidRPr="001D5327">
        <w:rPr>
          <w:lang w:eastAsia="en-GB"/>
        </w:rPr>
        <w:t>-e (</w:t>
      </w:r>
      <w:r w:rsidR="00212612" w:rsidRPr="001D5327">
        <w:rPr>
          <w:rFonts w:cs="Calibri"/>
        </w:rPr>
        <w:t>82.7</w:t>
      </w:r>
      <w:r w:rsidRPr="001D5327">
        <w:rPr>
          <w:rFonts w:cs="Calibri"/>
        </w:rPr>
        <w:t> per cent</w:t>
      </w:r>
      <w:r w:rsidRPr="001D5327">
        <w:rPr>
          <w:lang w:eastAsia="en-GB"/>
        </w:rPr>
        <w:t xml:space="preserve">) lower than the </w:t>
      </w:r>
      <w:r w:rsidRPr="001D5327">
        <w:rPr>
          <w:rFonts w:cs="Calibri"/>
        </w:rPr>
        <w:t xml:space="preserve">367.4 </w:t>
      </w:r>
      <w:r w:rsidRPr="001D5327">
        <w:rPr>
          <w:lang w:eastAsia="en-GB"/>
        </w:rPr>
        <w:t>kt CO</w:t>
      </w:r>
      <w:r w:rsidRPr="001D5327">
        <w:rPr>
          <w:rFonts w:cs="Calibri"/>
          <w:vertAlign w:val="subscript"/>
          <w:lang w:eastAsia="en-GB"/>
        </w:rPr>
        <w:t>2</w:t>
      </w:r>
      <w:r w:rsidRPr="001D5327">
        <w:rPr>
          <w:lang w:eastAsia="en-GB"/>
        </w:rPr>
        <w:t xml:space="preserve">-e reported for 1990. The factors behind this decrease include changes in </w:t>
      </w:r>
      <w:r w:rsidR="009563FD" w:rsidRPr="001D5327">
        <w:rPr>
          <w:lang w:eastAsia="en-GB"/>
        </w:rPr>
        <w:t>the amount and type of coal produced as well as in its method of extraction (open</w:t>
      </w:r>
      <w:r w:rsidR="00566C07" w:rsidRPr="001D5327">
        <w:rPr>
          <w:lang w:eastAsia="en-GB"/>
        </w:rPr>
        <w:noBreakHyphen/>
      </w:r>
      <w:r w:rsidR="009563FD" w:rsidRPr="001D5327">
        <w:rPr>
          <w:lang w:eastAsia="en-GB"/>
        </w:rPr>
        <w:t>cast versus underground).</w:t>
      </w:r>
    </w:p>
    <w:p w14:paraId="7227F15F" w14:textId="390C14E0" w:rsidR="00D97D6C" w:rsidRPr="001D5327" w:rsidRDefault="00D97D6C" w:rsidP="00C65728">
      <w:pPr>
        <w:pStyle w:val="BodyText"/>
        <w:spacing w:before="100" w:after="100"/>
        <w:rPr>
          <w:lang w:eastAsia="en-GB"/>
        </w:rPr>
      </w:pPr>
      <w:r w:rsidRPr="001D5327">
        <w:rPr>
          <w:lang w:eastAsia="en-GB"/>
        </w:rPr>
        <w:t xml:space="preserve">Between </w:t>
      </w:r>
      <w:r w:rsidR="00704343" w:rsidRPr="001D5327">
        <w:rPr>
          <w:rFonts w:cs="Calibri"/>
        </w:rPr>
        <w:t>2022</w:t>
      </w:r>
      <w:r w:rsidRPr="001D5327">
        <w:rPr>
          <w:rFonts w:cs="Calibri"/>
        </w:rPr>
        <w:t xml:space="preserve"> </w:t>
      </w:r>
      <w:r w:rsidRPr="001D5327">
        <w:rPr>
          <w:lang w:eastAsia="en-GB"/>
        </w:rPr>
        <w:t xml:space="preserve">and </w:t>
      </w:r>
      <w:r w:rsidR="00704343" w:rsidRPr="001D5327">
        <w:rPr>
          <w:rFonts w:cs="Calibri"/>
        </w:rPr>
        <w:t>2023</w:t>
      </w:r>
      <w:r w:rsidRPr="001D5327">
        <w:rPr>
          <w:lang w:eastAsia="en-GB"/>
        </w:rPr>
        <w:t xml:space="preserve">, fugitive emissions from the </w:t>
      </w:r>
      <w:r w:rsidRPr="001D5327">
        <w:rPr>
          <w:rFonts w:cs="Calibri"/>
          <w:i/>
          <w:lang w:eastAsia="en-GB"/>
        </w:rPr>
        <w:t>Solid fuels</w:t>
      </w:r>
      <w:r w:rsidRPr="001D5327">
        <w:rPr>
          <w:lang w:eastAsia="en-GB"/>
        </w:rPr>
        <w:t xml:space="preserve"> category </w:t>
      </w:r>
      <w:r w:rsidRPr="001D5327">
        <w:rPr>
          <w:rFonts w:cs="Calibri"/>
        </w:rPr>
        <w:t xml:space="preserve">decreased by </w:t>
      </w:r>
      <w:r w:rsidR="00212612" w:rsidRPr="001D5327">
        <w:rPr>
          <w:rFonts w:cs="Calibri"/>
        </w:rPr>
        <w:t>0.9</w:t>
      </w:r>
      <w:r w:rsidRPr="001D5327">
        <w:rPr>
          <w:rFonts w:cs="Calibri"/>
        </w:rPr>
        <w:t> </w:t>
      </w:r>
      <w:r w:rsidRPr="001D5327">
        <w:rPr>
          <w:lang w:eastAsia="en-GB"/>
        </w:rPr>
        <w:t>kt CO</w:t>
      </w:r>
      <w:r w:rsidRPr="001D5327">
        <w:rPr>
          <w:rFonts w:cs="Calibri"/>
          <w:vertAlign w:val="subscript"/>
          <w:lang w:eastAsia="en-GB"/>
        </w:rPr>
        <w:t>2</w:t>
      </w:r>
      <w:r w:rsidRPr="001D5327">
        <w:rPr>
          <w:lang w:eastAsia="en-GB"/>
        </w:rPr>
        <w:t>-e (</w:t>
      </w:r>
      <w:r w:rsidR="00212612" w:rsidRPr="001D5327">
        <w:rPr>
          <w:lang w:eastAsia="en-GB"/>
        </w:rPr>
        <w:t>1.4</w:t>
      </w:r>
      <w:r w:rsidRPr="001D5327">
        <w:rPr>
          <w:lang w:eastAsia="en-GB"/>
        </w:rPr>
        <w:t xml:space="preserve"> </w:t>
      </w:r>
      <w:r w:rsidRPr="001D5327">
        <w:rPr>
          <w:rFonts w:cs="Calibri"/>
        </w:rPr>
        <w:t>per cent</w:t>
      </w:r>
      <w:r w:rsidRPr="001D5327">
        <w:rPr>
          <w:lang w:eastAsia="en-GB"/>
        </w:rPr>
        <w:t>) due to decreased coal production.</w:t>
      </w:r>
    </w:p>
    <w:p w14:paraId="0163BB2D" w14:textId="77777777" w:rsidR="00D97D6C" w:rsidRPr="001D5327" w:rsidRDefault="00D97D6C" w:rsidP="00C65728">
      <w:pPr>
        <w:pStyle w:val="BodyText"/>
        <w:spacing w:before="100" w:after="100"/>
        <w:rPr>
          <w:lang w:eastAsia="en-GB"/>
        </w:rPr>
      </w:pPr>
      <w:r w:rsidRPr="001D5327">
        <w:rPr>
          <w:lang w:eastAsia="en-GB"/>
        </w:rPr>
        <w:t xml:space="preserve">New Zealand’s fugitive emissions from the </w:t>
      </w:r>
      <w:r w:rsidRPr="001D5327">
        <w:rPr>
          <w:rFonts w:cs="Calibri"/>
          <w:i/>
          <w:lang w:eastAsia="en-GB"/>
        </w:rPr>
        <w:t>Solid fuels</w:t>
      </w:r>
      <w:r w:rsidRPr="001D5327">
        <w:rPr>
          <w:lang w:eastAsia="en-GB"/>
        </w:rPr>
        <w:t xml:space="preserve"> category are a by-product of coal mining operations. Methane is created during coal formation and released when coal is mined. The amount of </w:t>
      </w:r>
      <w:r w:rsidRPr="001D5327">
        <w:rPr>
          <w:rFonts w:cs="Calibri"/>
        </w:rPr>
        <w:t>CH</w:t>
      </w:r>
      <w:r w:rsidRPr="001D5327">
        <w:rPr>
          <w:rFonts w:cs="Calibri"/>
          <w:vertAlign w:val="subscript"/>
        </w:rPr>
        <w:t>4</w:t>
      </w:r>
      <w:r w:rsidRPr="001D5327">
        <w:rPr>
          <w:lang w:eastAsia="en-GB"/>
        </w:rPr>
        <w:t xml:space="preserve"> released </w:t>
      </w:r>
      <w:r w:rsidRPr="001D5327">
        <w:t>during</w:t>
      </w:r>
      <w:r w:rsidRPr="001D5327">
        <w:rPr>
          <w:lang w:eastAsia="en-GB"/>
        </w:rPr>
        <w:t xml:space="preserve"> coal mining is dependent on the coal grade and the depth of the coal seam. Emissions also occur due to post-underground mining activities, such as coal processing, transportation and use.</w:t>
      </w:r>
    </w:p>
    <w:p w14:paraId="6A106E4F" w14:textId="3084E0A7" w:rsidR="00D97D6C" w:rsidRPr="001D5327" w:rsidRDefault="00D97D6C" w:rsidP="00C65728">
      <w:pPr>
        <w:pStyle w:val="BodyText"/>
        <w:spacing w:before="100" w:after="100"/>
        <w:rPr>
          <w:lang w:eastAsia="en-GB"/>
        </w:rPr>
      </w:pPr>
      <w:r w:rsidRPr="001D5327">
        <w:rPr>
          <w:lang w:eastAsia="en-GB"/>
        </w:rPr>
        <w:t xml:space="preserve">In </w:t>
      </w:r>
      <w:r w:rsidR="00704343" w:rsidRPr="001D5327">
        <w:rPr>
          <w:rFonts w:cs="Calibri"/>
        </w:rPr>
        <w:t>2023</w:t>
      </w:r>
      <w:r w:rsidRPr="001D5327">
        <w:rPr>
          <w:lang w:eastAsia="en-GB"/>
        </w:rPr>
        <w:t>, New Zealand</w:t>
      </w:r>
      <w:r w:rsidR="0064287C" w:rsidRPr="001D5327">
        <w:rPr>
          <w:lang w:eastAsia="en-GB"/>
        </w:rPr>
        <w:t>’s total</w:t>
      </w:r>
      <w:r w:rsidRPr="001D5327">
        <w:rPr>
          <w:lang w:eastAsia="en-GB"/>
        </w:rPr>
        <w:t xml:space="preserve"> coal production was 2.6 million tonnes. F</w:t>
      </w:r>
      <w:r w:rsidRPr="001D5327">
        <w:rPr>
          <w:rFonts w:cs="Calibri"/>
        </w:rPr>
        <w:t>ewer than 15 active coal</w:t>
      </w:r>
      <w:r w:rsidR="00566C07" w:rsidRPr="001D5327">
        <w:rPr>
          <w:rFonts w:cs="Calibri"/>
        </w:rPr>
        <w:t> </w:t>
      </w:r>
      <w:r w:rsidRPr="001D5327">
        <w:rPr>
          <w:rFonts w:cs="Calibri"/>
        </w:rPr>
        <w:t xml:space="preserve">mines are operating in </w:t>
      </w:r>
      <w:r w:rsidRPr="001D5327">
        <w:rPr>
          <w:lang w:eastAsia="en-GB"/>
        </w:rPr>
        <w:t>New Zealand</w:t>
      </w:r>
      <w:r w:rsidRPr="001D5327">
        <w:rPr>
          <w:rFonts w:cs="Calibri"/>
        </w:rPr>
        <w:t xml:space="preserve">, and as of </w:t>
      </w:r>
      <w:r w:rsidR="00704343" w:rsidRPr="001D5327">
        <w:rPr>
          <w:rFonts w:cs="Calibri"/>
        </w:rPr>
        <w:t>2023</w:t>
      </w:r>
      <w:r w:rsidRPr="001D5327">
        <w:rPr>
          <w:rFonts w:cs="Calibri"/>
        </w:rPr>
        <w:t xml:space="preserve"> none </w:t>
      </w:r>
      <w:r w:rsidR="0064287C" w:rsidRPr="001D5327">
        <w:rPr>
          <w:rFonts w:cs="Calibri"/>
        </w:rPr>
        <w:t xml:space="preserve">is </w:t>
      </w:r>
      <w:r w:rsidRPr="001D5327">
        <w:rPr>
          <w:rFonts w:cs="Calibri"/>
        </w:rPr>
        <w:t xml:space="preserve">underground. The two largest open-cast operations, at Stockton and Rotowaro, account for most national production. For further </w:t>
      </w:r>
      <w:r w:rsidRPr="001D5327">
        <w:rPr>
          <w:rFonts w:cs="Calibri"/>
          <w:spacing w:val="-2"/>
        </w:rPr>
        <w:t xml:space="preserve">information and data on the coal mining industry, refer to </w:t>
      </w:r>
      <w:r w:rsidRPr="001D5327">
        <w:rPr>
          <w:rFonts w:cs="Calibri"/>
          <w:i/>
          <w:spacing w:val="-2"/>
        </w:rPr>
        <w:t>Energy in New Zealand</w:t>
      </w:r>
      <w:r w:rsidRPr="001D5327">
        <w:rPr>
          <w:rFonts w:cs="Calibri"/>
          <w:spacing w:val="-2"/>
        </w:rPr>
        <w:t xml:space="preserve"> (MBIE,</w:t>
      </w:r>
      <w:r w:rsidR="00566C07" w:rsidRPr="001D5327">
        <w:rPr>
          <w:rFonts w:cs="Calibri"/>
          <w:spacing w:val="-2"/>
        </w:rPr>
        <w:t> </w:t>
      </w:r>
      <w:r w:rsidR="006A21DD" w:rsidRPr="001D5327">
        <w:rPr>
          <w:rFonts w:cs="Calibri"/>
          <w:spacing w:val="-2"/>
        </w:rPr>
        <w:t>2024</w:t>
      </w:r>
      <w:r w:rsidR="002D4006" w:rsidRPr="001D5327">
        <w:rPr>
          <w:rFonts w:cs="Calibri"/>
          <w:spacing w:val="-2"/>
        </w:rPr>
        <w:t>a</w:t>
      </w:r>
      <w:r w:rsidRPr="001D5327">
        <w:rPr>
          <w:rFonts w:cs="Calibri"/>
          <w:spacing w:val="-2"/>
        </w:rPr>
        <w:t>)</w:t>
      </w:r>
      <w:r w:rsidRPr="001D5327">
        <w:rPr>
          <w:rFonts w:cs="Calibri"/>
        </w:rPr>
        <w:t>.</w:t>
      </w:r>
    </w:p>
    <w:p w14:paraId="1364B90D" w14:textId="782DEB65" w:rsidR="00D97D6C" w:rsidRPr="001D5327" w:rsidRDefault="00D97D6C" w:rsidP="00C65728">
      <w:pPr>
        <w:pStyle w:val="BodyText"/>
        <w:spacing w:before="100" w:after="100"/>
        <w:rPr>
          <w:lang w:eastAsia="en-GB"/>
        </w:rPr>
      </w:pPr>
      <w:r w:rsidRPr="001D5327">
        <w:rPr>
          <w:lang w:eastAsia="en-GB"/>
        </w:rPr>
        <w:t xml:space="preserve">At the end of </w:t>
      </w:r>
      <w:r w:rsidR="00704343" w:rsidRPr="001D5327">
        <w:rPr>
          <w:rFonts w:cs="Calibri"/>
        </w:rPr>
        <w:t>2023</w:t>
      </w:r>
      <w:r w:rsidRPr="001D5327">
        <w:rPr>
          <w:lang w:eastAsia="en-GB"/>
        </w:rPr>
        <w:t xml:space="preserve">, no known flaring or capture of </w:t>
      </w:r>
      <w:r w:rsidRPr="001D5327">
        <w:rPr>
          <w:rFonts w:cs="Calibri"/>
        </w:rPr>
        <w:t>CH</w:t>
      </w:r>
      <w:r w:rsidRPr="001D5327">
        <w:rPr>
          <w:rFonts w:cs="Calibri"/>
          <w:vertAlign w:val="subscript"/>
        </w:rPr>
        <w:t>4</w:t>
      </w:r>
      <w:r w:rsidRPr="001D5327">
        <w:rPr>
          <w:rFonts w:cs="Calibri"/>
        </w:rPr>
        <w:t xml:space="preserve"> was occurring </w:t>
      </w:r>
      <w:r w:rsidRPr="001D5327">
        <w:rPr>
          <w:lang w:eastAsia="en-GB"/>
        </w:rPr>
        <w:t>at coal mines in New Zealand. Pilot schemes of both coal seam gas and underground coal gasification began in 2012, but these projects have not progressed.</w:t>
      </w:r>
    </w:p>
    <w:p w14:paraId="1A1BD954" w14:textId="77777777" w:rsidR="00D97D6C" w:rsidRPr="001D5327" w:rsidRDefault="00D97D6C" w:rsidP="00C65728">
      <w:pPr>
        <w:pStyle w:val="Heading4"/>
        <w:spacing w:before="200"/>
      </w:pPr>
      <w:r w:rsidRPr="001D5327">
        <w:t>Methodological issues</w:t>
      </w:r>
    </w:p>
    <w:p w14:paraId="396D286F" w14:textId="5E737687" w:rsidR="00D97D6C" w:rsidRPr="001D5327" w:rsidRDefault="00D97D6C" w:rsidP="00C65728">
      <w:pPr>
        <w:pStyle w:val="BodyText"/>
        <w:spacing w:before="80" w:after="100"/>
        <w:rPr>
          <w:rFonts w:cs="Calibri"/>
          <w:lang w:eastAsia="ko-KR"/>
        </w:rPr>
      </w:pPr>
      <w:r w:rsidRPr="001D5327">
        <w:rPr>
          <w:lang w:eastAsia="en-GB"/>
        </w:rPr>
        <w:t xml:space="preserve">The New Zealand-specific emission factor for underground mining of sub-bituminous coal is used to calculate </w:t>
      </w:r>
      <w:r w:rsidRPr="001D5327">
        <w:rPr>
          <w:rFonts w:cs="Calibri"/>
        </w:rPr>
        <w:t>CH</w:t>
      </w:r>
      <w:r w:rsidRPr="001D5327">
        <w:rPr>
          <w:rFonts w:cs="Calibri"/>
          <w:vertAlign w:val="subscript"/>
        </w:rPr>
        <w:t>4</w:t>
      </w:r>
      <w:r w:rsidRPr="001D5327">
        <w:rPr>
          <w:rFonts w:cs="Calibri"/>
          <w:sz w:val="14"/>
          <w:szCs w:val="14"/>
          <w:lang w:eastAsia="en-GB"/>
        </w:rPr>
        <w:t xml:space="preserve"> </w:t>
      </w:r>
      <w:r w:rsidRPr="001D5327">
        <w:rPr>
          <w:lang w:eastAsia="en-GB"/>
        </w:rPr>
        <w:t>emissions (Beamish and Vance, 1992). T</w:t>
      </w:r>
      <w:r w:rsidRPr="001D5327">
        <w:rPr>
          <w:rFonts w:cs="Calibri"/>
          <w:lang w:eastAsia="ko-KR"/>
        </w:rPr>
        <w:t xml:space="preserve">he sub-bituminous emission factor derived from Beamish and Vance is considered to be reliable because the emission factor (12.1 tonnes </w:t>
      </w:r>
      <w:r w:rsidR="0B6719EC" w:rsidRPr="001D5327">
        <w:rPr>
          <w:rFonts w:cs="Calibri"/>
          <w:lang w:eastAsia="ko-KR"/>
        </w:rPr>
        <w:t xml:space="preserve">of </w:t>
      </w:r>
      <w:r w:rsidR="762B8D67" w:rsidRPr="001D5327">
        <w:rPr>
          <w:rFonts w:cs="Calibri"/>
        </w:rPr>
        <w:t>CH</w:t>
      </w:r>
      <w:r w:rsidR="762B8D67" w:rsidRPr="001D5327">
        <w:rPr>
          <w:rFonts w:cs="Calibri"/>
          <w:vertAlign w:val="subscript"/>
        </w:rPr>
        <w:t>4</w:t>
      </w:r>
      <w:r w:rsidR="762B8D67" w:rsidRPr="001D5327">
        <w:rPr>
          <w:rFonts w:cs="Calibri"/>
          <w:lang w:eastAsia="ko-KR"/>
        </w:rPr>
        <w:t xml:space="preserve"> </w:t>
      </w:r>
      <w:r w:rsidRPr="001D5327">
        <w:rPr>
          <w:rFonts w:cs="Calibri"/>
          <w:lang w:eastAsia="ko-KR"/>
        </w:rPr>
        <w:t xml:space="preserve">per kilotonne </w:t>
      </w:r>
      <w:r w:rsidR="402A13D3" w:rsidRPr="001D5327">
        <w:rPr>
          <w:rFonts w:cs="Calibri"/>
          <w:lang w:eastAsia="ko-KR"/>
        </w:rPr>
        <w:t xml:space="preserve">of coal </w:t>
      </w:r>
      <w:r w:rsidRPr="001D5327">
        <w:rPr>
          <w:rFonts w:cs="Calibri"/>
          <w:lang w:eastAsia="ko-KR"/>
        </w:rPr>
        <w:t>(t/kt)) is:</w:t>
      </w:r>
    </w:p>
    <w:p w14:paraId="2BB4F7A7" w14:textId="3691430E" w:rsidR="00D97D6C" w:rsidRPr="001D5327" w:rsidRDefault="00D97D6C" w:rsidP="00C65728">
      <w:pPr>
        <w:pStyle w:val="Bullet"/>
        <w:spacing w:after="100"/>
        <w:rPr>
          <w:lang w:eastAsia="en-GB"/>
        </w:rPr>
      </w:pPr>
      <w:r w:rsidRPr="001D5327">
        <w:rPr>
          <w:lang w:eastAsia="en-GB"/>
        </w:rPr>
        <w:t xml:space="preserve">well within the IPCC </w:t>
      </w:r>
      <w:r w:rsidR="00922797" w:rsidRPr="001D5327">
        <w:rPr>
          <w:lang w:eastAsia="en-GB"/>
        </w:rPr>
        <w:t xml:space="preserve">(2006) </w:t>
      </w:r>
      <w:r w:rsidRPr="001D5327">
        <w:rPr>
          <w:lang w:eastAsia="en-GB"/>
        </w:rPr>
        <w:t>default range of 6.7–16.75 t/kt</w:t>
      </w:r>
    </w:p>
    <w:p w14:paraId="588D8687" w14:textId="7DC644E7" w:rsidR="00D97D6C" w:rsidRPr="001D5327" w:rsidRDefault="00D97D6C" w:rsidP="00C65728">
      <w:pPr>
        <w:pStyle w:val="Bullet"/>
        <w:spacing w:after="100"/>
        <w:rPr>
          <w:lang w:eastAsia="en-GB"/>
        </w:rPr>
      </w:pPr>
      <w:r w:rsidRPr="001D5327">
        <w:rPr>
          <w:lang w:eastAsia="en-GB"/>
        </w:rPr>
        <w:t xml:space="preserve">largely based on data for the most significant sub-bituminous coal mine in New Zealand (Huntly East mine), which was in continuous operation </w:t>
      </w:r>
      <w:r w:rsidR="006C0EB2" w:rsidRPr="001D5327">
        <w:rPr>
          <w:lang w:eastAsia="en-GB"/>
        </w:rPr>
        <w:t xml:space="preserve">from </w:t>
      </w:r>
      <w:r w:rsidRPr="001D5327">
        <w:rPr>
          <w:lang w:eastAsia="en-GB"/>
        </w:rPr>
        <w:t>1988</w:t>
      </w:r>
      <w:r w:rsidR="006C0EB2" w:rsidRPr="001D5327">
        <w:rPr>
          <w:lang w:eastAsia="en-GB"/>
        </w:rPr>
        <w:t xml:space="preserve"> to 2017</w:t>
      </w:r>
      <w:r w:rsidRPr="001D5327">
        <w:rPr>
          <w:lang w:eastAsia="en-GB"/>
        </w:rPr>
        <w:t xml:space="preserve"> and the most significant producing mine.</w:t>
      </w:r>
    </w:p>
    <w:p w14:paraId="486EC01C" w14:textId="77777777" w:rsidR="00D97D6C" w:rsidRPr="001D5327" w:rsidRDefault="00D97D6C" w:rsidP="00C65728">
      <w:pPr>
        <w:pStyle w:val="BodyText"/>
        <w:spacing w:before="100" w:after="100"/>
        <w:rPr>
          <w:lang w:eastAsia="ko-KR"/>
        </w:rPr>
      </w:pPr>
      <w:r w:rsidRPr="001D5327">
        <w:rPr>
          <w:lang w:eastAsia="ko-KR"/>
        </w:rPr>
        <w:t>The emission factor for underground mining of bituminous coal is taken from the 2006 IPCC Guidelines. It is noted that any bituminous emission factor derived from Beamish and Vance (1992) would not be reliable, and should not be used, for the following reasons.</w:t>
      </w:r>
    </w:p>
    <w:p w14:paraId="5BCCCE8F" w14:textId="3A4E436F" w:rsidR="00D97D6C" w:rsidRPr="001D5327" w:rsidRDefault="00D97D6C" w:rsidP="00C65728">
      <w:pPr>
        <w:pStyle w:val="Numberedparagraph"/>
        <w:spacing w:after="100"/>
      </w:pPr>
      <w:r w:rsidRPr="001D5327">
        <w:t>The derived emission factor (35.28 t CH</w:t>
      </w:r>
      <w:r w:rsidRPr="001D5327">
        <w:rPr>
          <w:vertAlign w:val="subscript"/>
        </w:rPr>
        <w:t>4</w:t>
      </w:r>
      <w:r w:rsidRPr="001D5327">
        <w:t>/kt) is more than double the high default IPCC</w:t>
      </w:r>
      <w:r w:rsidR="007D3873" w:rsidRPr="001D5327">
        <w:t xml:space="preserve"> (2006)</w:t>
      </w:r>
      <w:r w:rsidRPr="001D5327">
        <w:t xml:space="preserve"> value. Using such an emission factor that is so far out of line with the default values would require a strong justification.</w:t>
      </w:r>
    </w:p>
    <w:p w14:paraId="5B1D1C5D" w14:textId="77777777" w:rsidR="00D97D6C" w:rsidRPr="001D5327" w:rsidRDefault="00D97D6C" w:rsidP="00C65728">
      <w:pPr>
        <w:pStyle w:val="Numberedparagraph"/>
        <w:spacing w:after="100"/>
      </w:pPr>
      <w:r w:rsidRPr="001D5327">
        <w:t>New Zealand already has the highest implied emission factor for underground mining among Annex I Parties. Dramatically increasing the emission factor further still would not be in the interests of comparability.</w:t>
      </w:r>
    </w:p>
    <w:p w14:paraId="06D60284" w14:textId="77777777" w:rsidR="00D97D6C" w:rsidRPr="001D5327" w:rsidRDefault="00D97D6C" w:rsidP="00C65728">
      <w:pPr>
        <w:pStyle w:val="Numberedparagraph"/>
        <w:spacing w:after="100"/>
      </w:pPr>
      <w:r w:rsidRPr="001D5327">
        <w:t>The bituminous data are based on production (in 1988) of only 125 kt and so represent a very small sample size (compared with the sub-bituminous mines, where the data are based on production of 655 kt). The small sample size significantly increases the uncertainty.</w:t>
      </w:r>
    </w:p>
    <w:p w14:paraId="5B2B368D" w14:textId="77777777" w:rsidR="00D97D6C" w:rsidRPr="001D5327" w:rsidRDefault="00D97D6C" w:rsidP="00737799">
      <w:pPr>
        <w:pStyle w:val="Numberedparagraph"/>
      </w:pPr>
      <w:r w:rsidRPr="001D5327">
        <w:lastRenderedPageBreak/>
        <w:t>Beamish and Vance’s study is based on data from 1988, for just eight bituminous coal mines. These data are out of date because all of these mines are no longer producing, and bituminous coal production comes from entirely different underground mines, to which the suggested emission factors may not be applicable.</w:t>
      </w:r>
    </w:p>
    <w:p w14:paraId="23D8ACB2" w14:textId="77777777" w:rsidR="00D97D6C" w:rsidRPr="001D5327" w:rsidRDefault="00D97D6C" w:rsidP="00D97D6C">
      <w:pPr>
        <w:pStyle w:val="BodyText"/>
        <w:rPr>
          <w:lang w:eastAsia="en-GB"/>
        </w:rPr>
      </w:pPr>
      <w:r w:rsidRPr="001D5327">
        <w:rPr>
          <w:lang w:eastAsia="en-GB"/>
        </w:rPr>
        <w:t>Emission factors for the other categories, for example, surface mining, are sourced from the 2006 IPCC Guidelines.</w:t>
      </w:r>
    </w:p>
    <w:p w14:paraId="4A65EA9A" w14:textId="77777777" w:rsidR="00D97D6C" w:rsidRPr="001D5327" w:rsidRDefault="00D97D6C" w:rsidP="00D97D6C">
      <w:pPr>
        <w:pStyle w:val="Heading4"/>
        <w:rPr>
          <w:lang w:eastAsia="en-GB"/>
        </w:rPr>
      </w:pPr>
      <w:r w:rsidRPr="001D5327">
        <w:rPr>
          <w:lang w:eastAsia="en-GB"/>
        </w:rPr>
        <w:t>Activity data</w:t>
      </w:r>
    </w:p>
    <w:p w14:paraId="42E5E9CA" w14:textId="77777777" w:rsidR="00D97D6C" w:rsidRPr="001D5327" w:rsidRDefault="00D97D6C" w:rsidP="00D97D6C">
      <w:pPr>
        <w:pStyle w:val="BodyText"/>
        <w:rPr>
          <w:lang w:eastAsia="en-GB"/>
        </w:rPr>
      </w:pPr>
      <w:r w:rsidRPr="001D5327">
        <w:rPr>
          <w:lang w:eastAsia="en-GB"/>
        </w:rPr>
        <w:t>Activity data for this category are collected from MBIE’s coal production survey. This survey gathers quarterly data on coal production by mine type (underground and/or surface) and rank (coking, bituminous, sub-bituminous, lignite).</w:t>
      </w:r>
    </w:p>
    <w:p w14:paraId="0946CE0B" w14:textId="77777777" w:rsidR="00D97D6C" w:rsidRPr="001D5327" w:rsidRDefault="00D97D6C" w:rsidP="00BF2A76">
      <w:pPr>
        <w:pStyle w:val="Heading5"/>
        <w:rPr>
          <w:lang w:eastAsia="en-GB"/>
        </w:rPr>
      </w:pPr>
      <w:r w:rsidRPr="001D5327">
        <w:rPr>
          <w:lang w:eastAsia="en-GB"/>
        </w:rPr>
        <w:t>Abandoned underground mines (1.B.1.a.1.iii)</w:t>
      </w:r>
    </w:p>
    <w:p w14:paraId="7C5B1F6F" w14:textId="6F93D564" w:rsidR="00D97D6C" w:rsidRPr="001D5327" w:rsidRDefault="00D97D6C" w:rsidP="00D97D6C">
      <w:pPr>
        <w:pStyle w:val="BodyText"/>
        <w:spacing w:before="100" w:after="100"/>
        <w:rPr>
          <w:lang w:eastAsia="en-GB"/>
        </w:rPr>
      </w:pPr>
      <w:r w:rsidRPr="001D5327">
        <w:rPr>
          <w:lang w:eastAsia="en-GB"/>
        </w:rPr>
        <w:t xml:space="preserve">MBIE </w:t>
      </w:r>
      <w:r w:rsidR="00C65A50" w:rsidRPr="001D5327">
        <w:rPr>
          <w:lang w:eastAsia="en-GB"/>
        </w:rPr>
        <w:t>has</w:t>
      </w:r>
      <w:r w:rsidRPr="001D5327">
        <w:rPr>
          <w:lang w:eastAsia="en-GB"/>
        </w:rPr>
        <w:t xml:space="preserve"> investigat</w:t>
      </w:r>
      <w:r w:rsidR="00C65A50" w:rsidRPr="001D5327">
        <w:rPr>
          <w:lang w:eastAsia="en-GB"/>
        </w:rPr>
        <w:t>ed</w:t>
      </w:r>
      <w:r w:rsidRPr="001D5327">
        <w:rPr>
          <w:lang w:eastAsia="en-GB"/>
        </w:rPr>
        <w:t xml:space="preserve"> whether there was any activity in this category. According to the 2006 IPCC Guidelines, mines of only a few acres in size should be disregarded, and, additionally, non-gassy mines and flooded mines are presumed to have negligible emissions. Most New</w:t>
      </w:r>
      <w:r w:rsidR="00996EFA" w:rsidRPr="001D5327">
        <w:rPr>
          <w:lang w:eastAsia="en-GB"/>
        </w:rPr>
        <w:t> </w:t>
      </w:r>
      <w:r w:rsidRPr="001D5327">
        <w:rPr>
          <w:lang w:eastAsia="en-GB"/>
        </w:rPr>
        <w:t>Zealand mines are small by European standards and can be disregarded. The first stage of</w:t>
      </w:r>
      <w:r w:rsidR="00996EFA" w:rsidRPr="001D5327">
        <w:rPr>
          <w:lang w:eastAsia="en-GB"/>
        </w:rPr>
        <w:t> </w:t>
      </w:r>
      <w:r w:rsidRPr="001D5327">
        <w:rPr>
          <w:lang w:eastAsia="en-GB"/>
        </w:rPr>
        <w:t xml:space="preserve">the project was completed in 2016 and concluded that the activity is not occurring (NO) in the North Island: details are given in table 3.3.2. The second stage of the project, focusing on collating and digitising mine data for the South Island, commenced in December 2019. A mine plans database has been made available </w:t>
      </w:r>
      <w:r w:rsidR="00EC0E56" w:rsidRPr="001D5327">
        <w:rPr>
          <w:lang w:eastAsia="en-GB"/>
        </w:rPr>
        <w:t>online</w:t>
      </w:r>
      <w:r w:rsidR="00B316D0" w:rsidRPr="001D5327">
        <w:rPr>
          <w:lang w:eastAsia="en-GB"/>
        </w:rPr>
        <w:t xml:space="preserve"> (WorkSafe et al., no date)</w:t>
      </w:r>
      <w:r w:rsidR="00D6167B" w:rsidRPr="001D5327">
        <w:rPr>
          <w:lang w:eastAsia="en-GB"/>
        </w:rPr>
        <w:t>,</w:t>
      </w:r>
      <w:r w:rsidR="001023C6" w:rsidRPr="001D5327">
        <w:rPr>
          <w:rStyle w:val="FootnoteReference"/>
          <w:color w:val="32809C" w:themeColor="accent2"/>
          <w:lang w:eastAsia="en-GB"/>
        </w:rPr>
        <w:t xml:space="preserve"> </w:t>
      </w:r>
      <w:r w:rsidRPr="001D5327">
        <w:rPr>
          <w:lang w:eastAsia="en-GB"/>
        </w:rPr>
        <w:t>although this is still a work in progress. An online exploration database is also available</w:t>
      </w:r>
      <w:r w:rsidR="00B316D0" w:rsidRPr="001D5327">
        <w:rPr>
          <w:lang w:eastAsia="en-GB"/>
        </w:rPr>
        <w:t xml:space="preserve"> (</w:t>
      </w:r>
      <w:r w:rsidR="00B316D0" w:rsidRPr="001D5327">
        <w:t>New Zealand Petroleum and Minerals, no date)</w:t>
      </w:r>
      <w:r w:rsidR="00B37C94" w:rsidRPr="001D5327">
        <w:rPr>
          <w:lang w:eastAsia="en-GB"/>
        </w:rPr>
        <w:t>.</w:t>
      </w:r>
    </w:p>
    <w:p w14:paraId="4ED1E24E" w14:textId="77777777" w:rsidR="00D97D6C" w:rsidRPr="001D5327" w:rsidRDefault="00D97D6C" w:rsidP="00D97D6C">
      <w:pPr>
        <w:pStyle w:val="BodyText"/>
        <w:spacing w:before="100" w:after="100"/>
        <w:rPr>
          <w:lang w:eastAsia="en-GB"/>
        </w:rPr>
      </w:pPr>
      <w:r w:rsidRPr="001D5327">
        <w:rPr>
          <w:lang w:eastAsia="en-GB"/>
        </w:rPr>
        <w:t>During 2021, a contractor was employed to review all the coal reports within MBIE’s online coal mine databases and record the following details:</w:t>
      </w:r>
    </w:p>
    <w:p w14:paraId="64E3A346" w14:textId="77777777" w:rsidR="00D97D6C" w:rsidRPr="001D5327" w:rsidRDefault="00D97D6C" w:rsidP="00D97D6C">
      <w:pPr>
        <w:pStyle w:val="Bullet"/>
      </w:pPr>
      <w:r w:rsidRPr="001D5327">
        <w:t>mine name</w:t>
      </w:r>
    </w:p>
    <w:p w14:paraId="0BFBA593" w14:textId="77777777" w:rsidR="00D97D6C" w:rsidRPr="001D5327" w:rsidRDefault="00D97D6C" w:rsidP="00D97D6C">
      <w:pPr>
        <w:pStyle w:val="Bullet"/>
      </w:pPr>
      <w:r w:rsidRPr="001D5327">
        <w:t>mine number</w:t>
      </w:r>
    </w:p>
    <w:p w14:paraId="500BB684" w14:textId="77777777" w:rsidR="00D97D6C" w:rsidRPr="001D5327" w:rsidRDefault="00D97D6C" w:rsidP="00D97D6C">
      <w:pPr>
        <w:pStyle w:val="Bullet"/>
      </w:pPr>
      <w:r w:rsidRPr="001D5327">
        <w:t>coalfield</w:t>
      </w:r>
    </w:p>
    <w:p w14:paraId="6C65D60B" w14:textId="77777777" w:rsidR="00D97D6C" w:rsidRPr="001D5327" w:rsidRDefault="00D97D6C" w:rsidP="00D97D6C">
      <w:pPr>
        <w:pStyle w:val="Bullet"/>
      </w:pPr>
      <w:r w:rsidRPr="001D5327">
        <w:t>mining method</w:t>
      </w:r>
    </w:p>
    <w:p w14:paraId="19D15A03" w14:textId="77777777" w:rsidR="00D97D6C" w:rsidRPr="001D5327" w:rsidRDefault="00D97D6C" w:rsidP="00D97D6C">
      <w:pPr>
        <w:pStyle w:val="Bullet"/>
      </w:pPr>
      <w:r w:rsidRPr="001D5327">
        <w:t>location of the mine (grid reference or coordinates)</w:t>
      </w:r>
    </w:p>
    <w:p w14:paraId="0F76DBDE" w14:textId="77777777" w:rsidR="00D97D6C" w:rsidRPr="001D5327" w:rsidRDefault="00D97D6C" w:rsidP="00D97D6C">
      <w:pPr>
        <w:pStyle w:val="Bullet"/>
      </w:pPr>
      <w:r w:rsidRPr="001D5327">
        <w:t>mine start year</w:t>
      </w:r>
    </w:p>
    <w:p w14:paraId="5DDD7EA8" w14:textId="77777777" w:rsidR="00D97D6C" w:rsidRPr="001D5327" w:rsidRDefault="00D97D6C" w:rsidP="00D97D6C">
      <w:pPr>
        <w:pStyle w:val="Bullet"/>
      </w:pPr>
      <w:r w:rsidRPr="001D5327">
        <w:t>mine closure year</w:t>
      </w:r>
    </w:p>
    <w:p w14:paraId="1550D6EA" w14:textId="77777777" w:rsidR="00D97D6C" w:rsidRPr="001D5327" w:rsidRDefault="00D97D6C" w:rsidP="00D97D6C">
      <w:pPr>
        <w:pStyle w:val="Bullet"/>
      </w:pPr>
      <w:r w:rsidRPr="001D5327">
        <w:t>details of production</w:t>
      </w:r>
    </w:p>
    <w:p w14:paraId="5951875A" w14:textId="77777777" w:rsidR="00D97D6C" w:rsidRPr="001D5327" w:rsidRDefault="00D97D6C" w:rsidP="00D97D6C">
      <w:pPr>
        <w:pStyle w:val="Bullet"/>
      </w:pPr>
      <w:r w:rsidRPr="001D5327">
        <w:t>whether the mine was gassy (mentions of problems with gas)</w:t>
      </w:r>
    </w:p>
    <w:p w14:paraId="27C27850" w14:textId="77777777" w:rsidR="00D97D6C" w:rsidRPr="001D5327" w:rsidRDefault="00D97D6C" w:rsidP="00D97D6C">
      <w:pPr>
        <w:pStyle w:val="Bullet"/>
        <w:rPr>
          <w:lang w:eastAsia="en-GB"/>
        </w:rPr>
      </w:pPr>
      <w:r w:rsidRPr="001D5327">
        <w:t>whether the mine wa</w:t>
      </w:r>
      <w:r w:rsidRPr="001D5327">
        <w:rPr>
          <w:lang w:eastAsia="en-GB"/>
        </w:rPr>
        <w:t>s flooded or had water problems that would indicate it is now flooded.</w:t>
      </w:r>
    </w:p>
    <w:p w14:paraId="6A8E6F20" w14:textId="570F2C3F" w:rsidR="00D97D6C" w:rsidRPr="001D5327" w:rsidRDefault="00D97D6C" w:rsidP="00D97D6C">
      <w:pPr>
        <w:pStyle w:val="BodyText"/>
        <w:rPr>
          <w:rFonts w:cs="Arial"/>
        </w:rPr>
      </w:pPr>
      <w:r w:rsidRPr="001D5327">
        <w:rPr>
          <w:lang w:eastAsia="en-GB"/>
        </w:rPr>
        <w:t xml:space="preserve">A long list of historical mines was collated. Only 63 mines had information on whether the mine is </w:t>
      </w:r>
      <w:r w:rsidR="00B37C94" w:rsidRPr="001D5327">
        <w:rPr>
          <w:lang w:eastAsia="en-GB"/>
        </w:rPr>
        <w:t>now</w:t>
      </w:r>
      <w:r w:rsidRPr="001D5327">
        <w:rPr>
          <w:lang w:eastAsia="en-GB"/>
        </w:rPr>
        <w:t xml:space="preserve"> flooded and only 30 mines had information on whether the mine </w:t>
      </w:r>
      <w:r w:rsidRPr="001D5327">
        <w:t>was</w:t>
      </w:r>
      <w:r w:rsidRPr="001D5327">
        <w:rPr>
          <w:lang w:eastAsia="en-GB"/>
        </w:rPr>
        <w:t xml:space="preserve"> gassy. Further data collection and processing </w:t>
      </w:r>
      <w:r w:rsidR="00B37C94" w:rsidRPr="001D5327">
        <w:rPr>
          <w:lang w:eastAsia="en-GB"/>
        </w:rPr>
        <w:t>are</w:t>
      </w:r>
      <w:r w:rsidRPr="001D5327">
        <w:rPr>
          <w:lang w:eastAsia="en-GB"/>
        </w:rPr>
        <w:t xml:space="preserve"> required before we can make a meaningful assessment of fugitive emissions. In particular, we still need to collect:</w:t>
      </w:r>
    </w:p>
    <w:p w14:paraId="754A0533" w14:textId="77777777" w:rsidR="00D97D6C" w:rsidRPr="001D5327" w:rsidRDefault="00D97D6C" w:rsidP="00D97D6C">
      <w:pPr>
        <w:pStyle w:val="Bullet"/>
        <w:rPr>
          <w:lang w:eastAsia="en-GB"/>
        </w:rPr>
      </w:pPr>
      <w:r w:rsidRPr="001D5327">
        <w:t>elevation data</w:t>
      </w:r>
      <w:r w:rsidRPr="001D5327">
        <w:rPr>
          <w:lang w:eastAsia="en-GB"/>
        </w:rPr>
        <w:t xml:space="preserve"> to determine likely flooded or unflooded status</w:t>
      </w:r>
    </w:p>
    <w:p w14:paraId="33B668EB" w14:textId="77777777" w:rsidR="00D97D6C" w:rsidRPr="001D5327" w:rsidRDefault="00D97D6C" w:rsidP="00D97D6C">
      <w:pPr>
        <w:pStyle w:val="Bullet"/>
        <w:rPr>
          <w:lang w:eastAsia="en-GB"/>
        </w:rPr>
      </w:pPr>
      <w:r w:rsidRPr="001D5327">
        <w:rPr>
          <w:lang w:eastAsia="en-GB"/>
        </w:rPr>
        <w:t xml:space="preserve">data on </w:t>
      </w:r>
      <w:r w:rsidRPr="001D5327">
        <w:t>mine size</w:t>
      </w:r>
      <w:r w:rsidRPr="001D5327">
        <w:rPr>
          <w:lang w:eastAsia="en-GB"/>
        </w:rPr>
        <w:t xml:space="preserve"> to be used in applying a cut-off threshold.</w:t>
      </w:r>
    </w:p>
    <w:p w14:paraId="77E3CEB8" w14:textId="0D297011" w:rsidR="00D97D6C" w:rsidRPr="001D5327" w:rsidRDefault="00D97D6C" w:rsidP="00D97D6C">
      <w:pPr>
        <w:pStyle w:val="BodyText"/>
        <w:rPr>
          <w:lang w:eastAsia="en-GB"/>
        </w:rPr>
      </w:pPr>
      <w:r w:rsidRPr="001D5327">
        <w:rPr>
          <w:lang w:eastAsia="en-GB"/>
        </w:rPr>
        <w:lastRenderedPageBreak/>
        <w:t>Activity data in the form of CH</w:t>
      </w:r>
      <w:r w:rsidRPr="001D5327">
        <w:rPr>
          <w:rFonts w:cs="Calibri"/>
          <w:vertAlign w:val="subscript"/>
          <w:lang w:eastAsia="en-GB"/>
        </w:rPr>
        <w:t>4</w:t>
      </w:r>
      <w:r w:rsidRPr="001D5327">
        <w:rPr>
          <w:lang w:eastAsia="en-GB"/>
        </w:rPr>
        <w:t xml:space="preserve"> output derived from mine ventilation measurements have been obtained from mine operators for those mines where data exist. Those mines have now closed and are flooded. Category-specific details are not provided </w:t>
      </w:r>
      <w:r w:rsidR="00C7047D" w:rsidRPr="001D5327">
        <w:rPr>
          <w:lang w:eastAsia="en-GB"/>
        </w:rPr>
        <w:t>to</w:t>
      </w:r>
      <w:r w:rsidRPr="001D5327">
        <w:rPr>
          <w:lang w:eastAsia="en-GB"/>
        </w:rPr>
        <w:t xml:space="preserve"> </w:t>
      </w:r>
      <w:r w:rsidRPr="001D5327">
        <w:t>maintain</w:t>
      </w:r>
      <w:r w:rsidRPr="001D5327">
        <w:rPr>
          <w:lang w:eastAsia="en-GB"/>
        </w:rPr>
        <w:t xml:space="preserve"> confidentiality. Recovery and/or flaring of CH</w:t>
      </w:r>
      <w:r w:rsidRPr="001D5327">
        <w:rPr>
          <w:rFonts w:cs="Calibri"/>
          <w:vertAlign w:val="subscript"/>
          <w:lang w:eastAsia="en-GB"/>
        </w:rPr>
        <w:t>4</w:t>
      </w:r>
      <w:r w:rsidRPr="001D5327">
        <w:rPr>
          <w:lang w:eastAsia="en-GB"/>
        </w:rPr>
        <w:t xml:space="preserve"> from abandoned mines does not occur.</w:t>
      </w:r>
    </w:p>
    <w:p w14:paraId="797E5064" w14:textId="77777777" w:rsidR="00D97D6C" w:rsidRPr="001D5327" w:rsidRDefault="00D97D6C" w:rsidP="00D97D6C">
      <w:pPr>
        <w:pStyle w:val="Table"/>
        <w:rPr>
          <w:lang w:eastAsia="en-GB"/>
        </w:rPr>
      </w:pPr>
      <w:bookmarkStart w:id="372" w:name="_Toc443060848"/>
      <w:bookmarkStart w:id="373" w:name="_Toc451176064"/>
      <w:bookmarkStart w:id="374" w:name="_Toc481751490"/>
      <w:bookmarkStart w:id="375" w:name="_Toc507496593"/>
      <w:bookmarkStart w:id="376" w:name="_Toc36224527"/>
      <w:bookmarkStart w:id="377" w:name="_Toc68786414"/>
      <w:bookmarkStart w:id="378" w:name="_Toc164153813"/>
      <w:bookmarkStart w:id="379" w:name="_Toc194241680"/>
      <w:r w:rsidRPr="001D5327">
        <w:rPr>
          <w:rFonts w:cs="Calibri"/>
        </w:rPr>
        <w:t xml:space="preserve">Table 3.3.2 </w:t>
      </w:r>
      <w:r w:rsidRPr="001D5327">
        <w:rPr>
          <w:rFonts w:cs="Calibri"/>
        </w:rPr>
        <w:tab/>
        <w:t>Details of abandoned underground mines in the North Island</w:t>
      </w:r>
      <w:bookmarkEnd w:id="372"/>
      <w:bookmarkEnd w:id="373"/>
      <w:bookmarkEnd w:id="374"/>
      <w:bookmarkEnd w:id="375"/>
      <w:bookmarkEnd w:id="376"/>
      <w:bookmarkEnd w:id="377"/>
      <w:bookmarkEnd w:id="378"/>
      <w:bookmarkEnd w:id="379"/>
      <w:r w:rsidRPr="001D5327">
        <w:rPr>
          <w:lang w:eastAsia="en-GB"/>
        </w:rPr>
        <w:t xml:space="preserve"> </w:t>
      </w:r>
    </w:p>
    <w:tbl>
      <w:tblPr>
        <w:tblW w:w="8505" w:type="dxa"/>
        <w:tblBorders>
          <w:top w:val="single" w:sz="4" w:space="0" w:color="365F91"/>
          <w:bottom w:val="single" w:sz="4" w:space="0" w:color="365F91"/>
          <w:insideH w:val="single" w:sz="4" w:space="0" w:color="365F91"/>
        </w:tblBorders>
        <w:tblLayout w:type="fixed"/>
        <w:tblCellMar>
          <w:right w:w="85" w:type="dxa"/>
        </w:tblCellMar>
        <w:tblLook w:val="04A0" w:firstRow="1" w:lastRow="0" w:firstColumn="1" w:lastColumn="0" w:noHBand="0" w:noVBand="1"/>
      </w:tblPr>
      <w:tblGrid>
        <w:gridCol w:w="1557"/>
        <w:gridCol w:w="1645"/>
        <w:gridCol w:w="5303"/>
      </w:tblGrid>
      <w:tr w:rsidR="00D97D6C" w:rsidRPr="001D5327" w14:paraId="64790756" w14:textId="77777777" w:rsidTr="7E5D05BA">
        <w:trPr>
          <w:cantSplit/>
        </w:trPr>
        <w:tc>
          <w:tcPr>
            <w:tcW w:w="1474" w:type="dxa"/>
            <w:tcBorders>
              <w:top w:val="single" w:sz="4" w:space="0" w:color="1B556B" w:themeColor="text2"/>
              <w:bottom w:val="single" w:sz="4" w:space="0" w:color="1B556B" w:themeColor="text2"/>
            </w:tcBorders>
            <w:shd w:val="clear" w:color="auto" w:fill="1B556B" w:themeFill="text2"/>
            <w:vAlign w:val="bottom"/>
          </w:tcPr>
          <w:p w14:paraId="7DDF0DBA" w14:textId="77777777" w:rsidR="00D97D6C" w:rsidRPr="001D5327" w:rsidRDefault="00D97D6C" w:rsidP="00B55F24">
            <w:pPr>
              <w:pStyle w:val="TableTextBold"/>
              <w:keepNext/>
              <w:spacing w:before="40" w:after="40"/>
              <w:rPr>
                <w:rFonts w:cs="Calibri"/>
                <w:noProof w:val="0"/>
                <w:color w:val="FFFFFF"/>
              </w:rPr>
            </w:pPr>
            <w:r w:rsidRPr="001D5327">
              <w:rPr>
                <w:rFonts w:cs="Calibri"/>
                <w:noProof w:val="0"/>
                <w:color w:val="FFFFFF"/>
              </w:rPr>
              <w:t>Region/coalfield</w:t>
            </w:r>
          </w:p>
        </w:tc>
        <w:tc>
          <w:tcPr>
            <w:tcW w:w="1557" w:type="dxa"/>
            <w:tcBorders>
              <w:top w:val="single" w:sz="4" w:space="0" w:color="1B556B" w:themeColor="text2"/>
              <w:bottom w:val="single" w:sz="4" w:space="0" w:color="1B556B" w:themeColor="text2"/>
            </w:tcBorders>
            <w:shd w:val="clear" w:color="auto" w:fill="1B556B" w:themeFill="text2"/>
            <w:vAlign w:val="bottom"/>
          </w:tcPr>
          <w:p w14:paraId="711E8D15" w14:textId="414261D7" w:rsidR="00D97D6C" w:rsidRPr="001D5327" w:rsidRDefault="00D97D6C" w:rsidP="00B55F24">
            <w:pPr>
              <w:pStyle w:val="TableTextBold"/>
              <w:spacing w:before="40" w:after="40"/>
              <w:rPr>
                <w:rFonts w:cs="Calibri"/>
                <w:noProof w:val="0"/>
                <w:color w:val="FFFFFF"/>
              </w:rPr>
            </w:pPr>
            <w:r w:rsidRPr="001D5327">
              <w:rPr>
                <w:rFonts w:cs="Calibri"/>
                <w:noProof w:val="0"/>
                <w:color w:val="FFFFFF" w:themeColor="background1"/>
              </w:rPr>
              <w:t>Significant mine</w:t>
            </w:r>
            <w:r w:rsidR="00214A31" w:rsidRPr="001D5327">
              <w:rPr>
                <w:rFonts w:cs="Calibri"/>
                <w:noProof w:val="0"/>
                <w:color w:val="FFFFFF" w:themeColor="background1"/>
              </w:rPr>
              <w:t>(s)</w:t>
            </w:r>
          </w:p>
        </w:tc>
        <w:tc>
          <w:tcPr>
            <w:tcW w:w="5019" w:type="dxa"/>
            <w:tcBorders>
              <w:top w:val="single" w:sz="4" w:space="0" w:color="1B556B" w:themeColor="text2"/>
              <w:bottom w:val="single" w:sz="4" w:space="0" w:color="1B556B" w:themeColor="text2"/>
            </w:tcBorders>
            <w:shd w:val="clear" w:color="auto" w:fill="1B556B" w:themeFill="text2"/>
            <w:vAlign w:val="bottom"/>
          </w:tcPr>
          <w:p w14:paraId="3C1749DA" w14:textId="77777777" w:rsidR="00D97D6C" w:rsidRPr="001D5327" w:rsidRDefault="00D97D6C" w:rsidP="00B55F24">
            <w:pPr>
              <w:pStyle w:val="TableTextBold"/>
              <w:spacing w:before="40" w:after="40"/>
              <w:rPr>
                <w:rFonts w:cs="Calibri"/>
                <w:noProof w:val="0"/>
                <w:color w:val="FFFFFF"/>
              </w:rPr>
            </w:pPr>
            <w:r w:rsidRPr="001D5327">
              <w:rPr>
                <w:rFonts w:cs="Calibri"/>
                <w:noProof w:val="0"/>
                <w:color w:val="FFFFFF"/>
              </w:rPr>
              <w:t>Status</w:t>
            </w:r>
          </w:p>
        </w:tc>
      </w:tr>
      <w:tr w:rsidR="00D97D6C" w:rsidRPr="001D5327" w14:paraId="0930D5C4" w14:textId="77777777" w:rsidTr="7E5D05BA">
        <w:trPr>
          <w:cantSplit/>
          <w:trHeight w:val="250"/>
        </w:trPr>
        <w:tc>
          <w:tcPr>
            <w:tcW w:w="1474" w:type="dxa"/>
            <w:tcBorders>
              <w:top w:val="single" w:sz="4" w:space="0" w:color="1B556B" w:themeColor="text2"/>
              <w:bottom w:val="single" w:sz="4" w:space="0" w:color="1B556B" w:themeColor="text2"/>
            </w:tcBorders>
          </w:tcPr>
          <w:p w14:paraId="121B519A" w14:textId="77777777" w:rsidR="00D97D6C" w:rsidRPr="001D5327" w:rsidRDefault="00D97D6C" w:rsidP="00B55F24">
            <w:pPr>
              <w:pStyle w:val="TableText"/>
              <w:keepNext/>
              <w:spacing w:before="40" w:after="40"/>
              <w:rPr>
                <w:rFonts w:cs="Calibri"/>
              </w:rPr>
            </w:pPr>
            <w:r w:rsidRPr="001D5327">
              <w:rPr>
                <w:rFonts w:cs="Calibri"/>
              </w:rPr>
              <w:t>Northland</w:t>
            </w:r>
          </w:p>
        </w:tc>
        <w:tc>
          <w:tcPr>
            <w:tcW w:w="1557" w:type="dxa"/>
            <w:tcBorders>
              <w:top w:val="single" w:sz="4" w:space="0" w:color="1B556B" w:themeColor="text2"/>
              <w:bottom w:val="single" w:sz="4" w:space="0" w:color="1B556B" w:themeColor="text2"/>
            </w:tcBorders>
          </w:tcPr>
          <w:p w14:paraId="3D162EE0" w14:textId="77777777" w:rsidR="00D97D6C" w:rsidRPr="001D5327" w:rsidRDefault="00D97D6C" w:rsidP="00B55F24">
            <w:pPr>
              <w:pStyle w:val="TableText"/>
              <w:spacing w:before="40" w:after="40"/>
              <w:rPr>
                <w:rFonts w:cs="Calibri"/>
              </w:rPr>
            </w:pPr>
            <w:r w:rsidRPr="001D5327">
              <w:rPr>
                <w:rFonts w:cs="Calibri"/>
              </w:rPr>
              <w:t>Kamo</w:t>
            </w:r>
          </w:p>
        </w:tc>
        <w:tc>
          <w:tcPr>
            <w:tcW w:w="5019" w:type="dxa"/>
            <w:tcBorders>
              <w:top w:val="single" w:sz="4" w:space="0" w:color="1B556B" w:themeColor="text2"/>
              <w:bottom w:val="single" w:sz="4" w:space="0" w:color="1B556B" w:themeColor="text2"/>
            </w:tcBorders>
          </w:tcPr>
          <w:p w14:paraId="17112E7B" w14:textId="77777777" w:rsidR="00D97D6C" w:rsidRPr="001D5327" w:rsidRDefault="00D97D6C" w:rsidP="00B55F24">
            <w:pPr>
              <w:pStyle w:val="TableText"/>
              <w:spacing w:before="40" w:after="40"/>
              <w:rPr>
                <w:rFonts w:cs="Calibri"/>
              </w:rPr>
            </w:pPr>
            <w:r w:rsidRPr="001D5327">
              <w:rPr>
                <w:rFonts w:cs="Calibri"/>
              </w:rPr>
              <w:t>Only one significant mine; flooded</w:t>
            </w:r>
          </w:p>
        </w:tc>
      </w:tr>
      <w:tr w:rsidR="00D97D6C" w:rsidRPr="001D5327" w14:paraId="65B25B5C" w14:textId="77777777" w:rsidTr="7E5D05BA">
        <w:trPr>
          <w:cantSplit/>
        </w:trPr>
        <w:tc>
          <w:tcPr>
            <w:tcW w:w="1474" w:type="dxa"/>
            <w:tcBorders>
              <w:top w:val="single" w:sz="4" w:space="0" w:color="1B556B" w:themeColor="text2"/>
              <w:bottom w:val="nil"/>
            </w:tcBorders>
          </w:tcPr>
          <w:p w14:paraId="318572B5" w14:textId="77777777" w:rsidR="00D97D6C" w:rsidRPr="001D5327" w:rsidRDefault="00D97D6C" w:rsidP="00B55F24">
            <w:pPr>
              <w:pStyle w:val="TableText"/>
              <w:spacing w:before="40" w:after="40"/>
              <w:rPr>
                <w:rFonts w:cs="Calibri"/>
              </w:rPr>
            </w:pPr>
            <w:r w:rsidRPr="001D5327">
              <w:rPr>
                <w:rFonts w:cs="Calibri"/>
              </w:rPr>
              <w:t>Waikato</w:t>
            </w:r>
          </w:p>
        </w:tc>
        <w:tc>
          <w:tcPr>
            <w:tcW w:w="1557" w:type="dxa"/>
            <w:tcBorders>
              <w:top w:val="single" w:sz="4" w:space="0" w:color="1B556B" w:themeColor="text2"/>
              <w:bottom w:val="single" w:sz="4" w:space="0" w:color="1B556B" w:themeColor="text2"/>
            </w:tcBorders>
          </w:tcPr>
          <w:p w14:paraId="678E4D90" w14:textId="77777777" w:rsidR="00D97D6C" w:rsidRPr="001D5327" w:rsidRDefault="00D97D6C" w:rsidP="00B55F24">
            <w:pPr>
              <w:pStyle w:val="TableText"/>
              <w:spacing w:before="40" w:after="40"/>
              <w:rPr>
                <w:rFonts w:cs="Calibri"/>
              </w:rPr>
            </w:pPr>
            <w:r w:rsidRPr="001D5327">
              <w:rPr>
                <w:rFonts w:cs="Calibri"/>
              </w:rPr>
              <w:t>Rotowaro mines</w:t>
            </w:r>
          </w:p>
        </w:tc>
        <w:tc>
          <w:tcPr>
            <w:tcW w:w="5019" w:type="dxa"/>
            <w:tcBorders>
              <w:top w:val="single" w:sz="4" w:space="0" w:color="1B556B" w:themeColor="text2"/>
              <w:bottom w:val="single" w:sz="4" w:space="0" w:color="1B556B" w:themeColor="text2"/>
            </w:tcBorders>
          </w:tcPr>
          <w:p w14:paraId="594275E9" w14:textId="77777777" w:rsidR="00D97D6C" w:rsidRPr="001D5327" w:rsidRDefault="00D97D6C" w:rsidP="00B55F24">
            <w:pPr>
              <w:pStyle w:val="TableText"/>
              <w:spacing w:before="40" w:after="40"/>
              <w:rPr>
                <w:rFonts w:cs="Calibri"/>
              </w:rPr>
            </w:pPr>
            <w:r w:rsidRPr="001D5327">
              <w:rPr>
                <w:rFonts w:cs="Calibri"/>
              </w:rPr>
              <w:t>Underground mines either flooded or subsequently open-cast mined</w:t>
            </w:r>
          </w:p>
        </w:tc>
      </w:tr>
      <w:tr w:rsidR="00D97D6C" w:rsidRPr="001D5327" w14:paraId="7DC994AD" w14:textId="77777777" w:rsidTr="7E5D05BA">
        <w:trPr>
          <w:cantSplit/>
        </w:trPr>
        <w:tc>
          <w:tcPr>
            <w:tcW w:w="1474" w:type="dxa"/>
            <w:tcBorders>
              <w:top w:val="nil"/>
              <w:bottom w:val="nil"/>
            </w:tcBorders>
          </w:tcPr>
          <w:p w14:paraId="0667D1F6" w14:textId="77777777" w:rsidR="00D97D6C" w:rsidRPr="001D5327" w:rsidRDefault="00D97D6C" w:rsidP="00B55F24">
            <w:pPr>
              <w:pStyle w:val="TableText"/>
              <w:spacing w:before="40" w:after="40"/>
              <w:rPr>
                <w:rFonts w:cs="Calibri"/>
              </w:rPr>
            </w:pPr>
          </w:p>
        </w:tc>
        <w:tc>
          <w:tcPr>
            <w:tcW w:w="1557" w:type="dxa"/>
            <w:tcBorders>
              <w:top w:val="single" w:sz="4" w:space="0" w:color="1B556B" w:themeColor="text2"/>
              <w:bottom w:val="single" w:sz="4" w:space="0" w:color="1B556B" w:themeColor="text2"/>
            </w:tcBorders>
          </w:tcPr>
          <w:p w14:paraId="57EE6F4E" w14:textId="77777777" w:rsidR="00D97D6C" w:rsidRPr="001D5327" w:rsidRDefault="00D97D6C" w:rsidP="00B55F24">
            <w:pPr>
              <w:pStyle w:val="TableText"/>
              <w:spacing w:before="40" w:after="40"/>
              <w:rPr>
                <w:rFonts w:cs="Calibri"/>
              </w:rPr>
            </w:pPr>
            <w:r w:rsidRPr="001D5327">
              <w:rPr>
                <w:rFonts w:cs="Calibri"/>
              </w:rPr>
              <w:t>Huntly West</w:t>
            </w:r>
          </w:p>
        </w:tc>
        <w:tc>
          <w:tcPr>
            <w:tcW w:w="5019" w:type="dxa"/>
            <w:tcBorders>
              <w:top w:val="single" w:sz="4" w:space="0" w:color="1B556B" w:themeColor="text2"/>
              <w:bottom w:val="single" w:sz="4" w:space="0" w:color="1B556B" w:themeColor="text2"/>
            </w:tcBorders>
          </w:tcPr>
          <w:p w14:paraId="7130F23A" w14:textId="77777777" w:rsidR="00D97D6C" w:rsidRPr="001D5327" w:rsidRDefault="00D97D6C" w:rsidP="00B55F24">
            <w:pPr>
              <w:pStyle w:val="TableText"/>
              <w:spacing w:before="40" w:after="40"/>
              <w:rPr>
                <w:rFonts w:cs="Calibri"/>
              </w:rPr>
            </w:pPr>
            <w:r w:rsidRPr="001D5327">
              <w:rPr>
                <w:rFonts w:cs="Calibri"/>
              </w:rPr>
              <w:t>Flooded</w:t>
            </w:r>
          </w:p>
        </w:tc>
      </w:tr>
      <w:tr w:rsidR="00D97D6C" w:rsidRPr="001D5327" w14:paraId="356DEE78" w14:textId="77777777" w:rsidTr="7E5D05BA">
        <w:trPr>
          <w:cantSplit/>
        </w:trPr>
        <w:tc>
          <w:tcPr>
            <w:tcW w:w="1474" w:type="dxa"/>
            <w:tcBorders>
              <w:top w:val="nil"/>
              <w:bottom w:val="single" w:sz="4" w:space="0" w:color="1B556B" w:themeColor="text2"/>
            </w:tcBorders>
          </w:tcPr>
          <w:p w14:paraId="3959A98F" w14:textId="77777777" w:rsidR="00D97D6C" w:rsidRPr="001D5327" w:rsidRDefault="00D97D6C" w:rsidP="00B55F24">
            <w:pPr>
              <w:pStyle w:val="TableText"/>
              <w:spacing w:before="40" w:after="40"/>
              <w:rPr>
                <w:rFonts w:cs="Calibri"/>
              </w:rPr>
            </w:pPr>
          </w:p>
        </w:tc>
        <w:tc>
          <w:tcPr>
            <w:tcW w:w="1557" w:type="dxa"/>
            <w:tcBorders>
              <w:top w:val="single" w:sz="4" w:space="0" w:color="1B556B" w:themeColor="text2"/>
              <w:bottom w:val="single" w:sz="4" w:space="0" w:color="1B556B" w:themeColor="text2"/>
            </w:tcBorders>
          </w:tcPr>
          <w:p w14:paraId="3FCA9E67" w14:textId="77777777" w:rsidR="00D97D6C" w:rsidRPr="001D5327" w:rsidRDefault="00D97D6C" w:rsidP="00B55F24">
            <w:pPr>
              <w:pStyle w:val="TableText"/>
              <w:spacing w:before="40" w:after="40"/>
              <w:rPr>
                <w:rFonts w:cs="Calibri"/>
              </w:rPr>
            </w:pPr>
            <w:r w:rsidRPr="001D5327">
              <w:rPr>
                <w:rFonts w:cs="Calibri"/>
              </w:rPr>
              <w:t>Taupiri/Ralphs</w:t>
            </w:r>
          </w:p>
        </w:tc>
        <w:tc>
          <w:tcPr>
            <w:tcW w:w="5019" w:type="dxa"/>
            <w:tcBorders>
              <w:top w:val="single" w:sz="4" w:space="0" w:color="1B556B" w:themeColor="text2"/>
              <w:bottom w:val="single" w:sz="4" w:space="0" w:color="1B556B" w:themeColor="text2"/>
            </w:tcBorders>
          </w:tcPr>
          <w:p w14:paraId="5B2BABE2" w14:textId="77777777" w:rsidR="00D97D6C" w:rsidRPr="001D5327" w:rsidRDefault="00D97D6C" w:rsidP="00B55F24">
            <w:pPr>
              <w:pStyle w:val="TableText"/>
              <w:spacing w:before="40" w:after="40"/>
              <w:rPr>
                <w:rFonts w:cs="Calibri"/>
              </w:rPr>
            </w:pPr>
            <w:r w:rsidRPr="001D5327">
              <w:rPr>
                <w:rFonts w:cs="Calibri"/>
              </w:rPr>
              <w:t>Mines under Huntly township; flooded</w:t>
            </w:r>
          </w:p>
        </w:tc>
      </w:tr>
      <w:tr w:rsidR="00D97D6C" w:rsidRPr="001D5327" w14:paraId="0063EA52" w14:textId="77777777" w:rsidTr="7E5D05BA">
        <w:trPr>
          <w:cantSplit/>
        </w:trPr>
        <w:tc>
          <w:tcPr>
            <w:tcW w:w="1474" w:type="dxa"/>
            <w:tcBorders>
              <w:top w:val="single" w:sz="4" w:space="0" w:color="1B556B" w:themeColor="text2"/>
              <w:bottom w:val="single" w:sz="4" w:space="0" w:color="1B556B" w:themeColor="text2"/>
            </w:tcBorders>
          </w:tcPr>
          <w:p w14:paraId="5562449D" w14:textId="77777777" w:rsidR="00D97D6C" w:rsidRPr="001D5327" w:rsidRDefault="00D97D6C" w:rsidP="00B55F24">
            <w:pPr>
              <w:pStyle w:val="TableText"/>
              <w:spacing w:before="40" w:after="40"/>
              <w:rPr>
                <w:rFonts w:cs="Calibri"/>
              </w:rPr>
            </w:pPr>
            <w:r w:rsidRPr="001D5327">
              <w:rPr>
                <w:rFonts w:cs="Calibri"/>
              </w:rPr>
              <w:t>Taranaki</w:t>
            </w:r>
          </w:p>
        </w:tc>
        <w:tc>
          <w:tcPr>
            <w:tcW w:w="1557" w:type="dxa"/>
            <w:tcBorders>
              <w:top w:val="single" w:sz="4" w:space="0" w:color="1B556B" w:themeColor="text2"/>
              <w:bottom w:val="single" w:sz="4" w:space="0" w:color="1B556B" w:themeColor="text2"/>
            </w:tcBorders>
          </w:tcPr>
          <w:p w14:paraId="35EF1EC4" w14:textId="77777777" w:rsidR="00D97D6C" w:rsidRPr="001D5327" w:rsidRDefault="00D97D6C" w:rsidP="00B55F24">
            <w:pPr>
              <w:pStyle w:val="TableText"/>
              <w:spacing w:before="40" w:after="40"/>
              <w:rPr>
                <w:rFonts w:cs="Calibri"/>
              </w:rPr>
            </w:pPr>
            <w:r w:rsidRPr="001D5327">
              <w:rPr>
                <w:rFonts w:cs="Calibri"/>
              </w:rPr>
              <w:t>Tatu</w:t>
            </w:r>
          </w:p>
        </w:tc>
        <w:tc>
          <w:tcPr>
            <w:tcW w:w="5019" w:type="dxa"/>
            <w:tcBorders>
              <w:top w:val="single" w:sz="4" w:space="0" w:color="1B556B" w:themeColor="text2"/>
              <w:bottom w:val="single" w:sz="4" w:space="0" w:color="1B556B" w:themeColor="text2"/>
            </w:tcBorders>
          </w:tcPr>
          <w:p w14:paraId="317C15FA" w14:textId="77777777" w:rsidR="00D97D6C" w:rsidRPr="001D5327" w:rsidRDefault="00D97D6C" w:rsidP="00B55F24">
            <w:pPr>
              <w:pStyle w:val="TableText"/>
              <w:spacing w:before="40" w:after="40"/>
              <w:rPr>
                <w:rFonts w:cs="Calibri"/>
              </w:rPr>
            </w:pPr>
            <w:r w:rsidRPr="001D5327">
              <w:rPr>
                <w:rFonts w:cs="Calibri"/>
              </w:rPr>
              <w:t>Only one significant mine; flooded</w:t>
            </w:r>
          </w:p>
        </w:tc>
      </w:tr>
    </w:tbl>
    <w:p w14:paraId="1420FEBE" w14:textId="77777777" w:rsidR="00D97D6C" w:rsidRPr="001D5327" w:rsidRDefault="00D97D6C" w:rsidP="00996EFA">
      <w:pPr>
        <w:pStyle w:val="Heading4"/>
        <w:spacing w:before="360"/>
        <w:rPr>
          <w:lang w:eastAsia="en-GB"/>
        </w:rPr>
      </w:pPr>
      <w:r w:rsidRPr="001D5327">
        <w:rPr>
          <w:lang w:eastAsia="en-GB"/>
        </w:rPr>
        <w:t>Uncertainty assessment and time-series consistency</w:t>
      </w:r>
    </w:p>
    <w:p w14:paraId="50D98648" w14:textId="77777777" w:rsidR="00D97D6C" w:rsidRPr="001D5327" w:rsidRDefault="00D97D6C" w:rsidP="00D97D6C">
      <w:pPr>
        <w:pStyle w:val="BodyText"/>
        <w:rPr>
          <w:rFonts w:cs="Calibri"/>
          <w:spacing w:val="-2"/>
          <w:lang w:eastAsia="en-GB"/>
        </w:rPr>
      </w:pPr>
      <w:r w:rsidRPr="001D5327">
        <w:rPr>
          <w:rFonts w:cs="Calibri"/>
          <w:spacing w:val="-2"/>
          <w:lang w:eastAsia="en-GB"/>
        </w:rPr>
        <w:t>Uncertainties in fugitive emissions are relevant to the entire Energy sector (see table 3.2.1).</w:t>
      </w:r>
    </w:p>
    <w:p w14:paraId="44015666" w14:textId="77777777" w:rsidR="00D97D6C" w:rsidRPr="001D5327" w:rsidRDefault="00D97D6C" w:rsidP="00996EFA">
      <w:pPr>
        <w:pStyle w:val="Heading4"/>
        <w:spacing w:before="200"/>
        <w:rPr>
          <w:lang w:eastAsia="en-GB"/>
        </w:rPr>
      </w:pPr>
      <w:r w:rsidRPr="001D5327">
        <w:rPr>
          <w:lang w:eastAsia="en-GB"/>
        </w:rPr>
        <w:t>Category-specific QA/QC and verification</w:t>
      </w:r>
    </w:p>
    <w:p w14:paraId="025C55BC" w14:textId="77777777" w:rsidR="00D97D6C" w:rsidRPr="001D5327" w:rsidRDefault="00D97D6C" w:rsidP="00D97D6C">
      <w:pPr>
        <w:pStyle w:val="BodyText"/>
        <w:spacing w:before="100" w:after="100"/>
        <w:rPr>
          <w:lang w:eastAsia="en-GB"/>
        </w:rPr>
      </w:pPr>
      <w:r w:rsidRPr="001D5327">
        <w:rPr>
          <w:lang w:eastAsia="en-GB"/>
        </w:rPr>
        <w:t xml:space="preserve">In the preparation of this inventory, the </w:t>
      </w:r>
      <w:r w:rsidRPr="001D5327">
        <w:rPr>
          <w:rFonts w:cs="Calibri"/>
          <w:i/>
          <w:lang w:eastAsia="en-GB"/>
        </w:rPr>
        <w:t>Fugitive emissions</w:t>
      </w:r>
      <w:r w:rsidRPr="001D5327">
        <w:rPr>
          <w:lang w:eastAsia="en-GB"/>
        </w:rPr>
        <w:t xml:space="preserve"> category underwent Tier 1 quality-assurance and quality-control checks, as recommended in the 2006 IPCC Guidelines. These include regular control sums throughout systems, to verify system integrity, and consistency checks of implied emission factors.</w:t>
      </w:r>
    </w:p>
    <w:p w14:paraId="2B51B622" w14:textId="77777777" w:rsidR="00D97D6C" w:rsidRPr="001D5327" w:rsidRDefault="00D97D6C" w:rsidP="00D97D6C">
      <w:pPr>
        <w:pStyle w:val="Heading4"/>
        <w:rPr>
          <w:lang w:eastAsia="en-GB"/>
        </w:rPr>
      </w:pPr>
      <w:r w:rsidRPr="001D5327">
        <w:rPr>
          <w:lang w:eastAsia="en-GB"/>
        </w:rPr>
        <w:t>Category-specific recalculations</w:t>
      </w:r>
    </w:p>
    <w:p w14:paraId="78C50FF7" w14:textId="77777777" w:rsidR="00D97D6C" w:rsidRPr="001D5327" w:rsidRDefault="00D97D6C" w:rsidP="00D97D6C">
      <w:pPr>
        <w:pStyle w:val="BodyText"/>
        <w:spacing w:before="100" w:after="100"/>
        <w:rPr>
          <w:lang w:eastAsia="en-GB"/>
        </w:rPr>
      </w:pPr>
      <w:r w:rsidRPr="001D5327">
        <w:rPr>
          <w:lang w:eastAsia="en-GB"/>
        </w:rPr>
        <w:t xml:space="preserve">Some historical geothermal emissions data have been revised due to updated data provided by plant operators. This has resulted in minor recalculations to emissions for some years. </w:t>
      </w:r>
    </w:p>
    <w:p w14:paraId="3B0270DD" w14:textId="77777777" w:rsidR="00D97D6C" w:rsidRPr="001D5327" w:rsidRDefault="00D97D6C" w:rsidP="00D97D6C">
      <w:pPr>
        <w:pStyle w:val="Heading4"/>
        <w:rPr>
          <w:lang w:eastAsia="en-GB"/>
        </w:rPr>
      </w:pPr>
      <w:r w:rsidRPr="001D5327">
        <w:t>Category</w:t>
      </w:r>
      <w:r w:rsidRPr="001D5327">
        <w:rPr>
          <w:lang w:eastAsia="en-GB"/>
        </w:rPr>
        <w:t>-specific planned improvements</w:t>
      </w:r>
    </w:p>
    <w:p w14:paraId="67B0AB1F" w14:textId="6F2F57C1" w:rsidR="00D97D6C" w:rsidRPr="001D5327" w:rsidRDefault="00F207B5" w:rsidP="00D97D6C">
      <w:pPr>
        <w:pStyle w:val="BodyText"/>
        <w:spacing w:before="100" w:after="100"/>
        <w:rPr>
          <w:rFonts w:cs="Calibri"/>
          <w:b/>
          <w:bCs/>
          <w:szCs w:val="24"/>
          <w:lang w:eastAsia="en-GB"/>
        </w:rPr>
      </w:pPr>
      <w:r w:rsidRPr="001D5327">
        <w:rPr>
          <w:rFonts w:cs="Calibri"/>
          <w:lang w:eastAsia="en-GB"/>
        </w:rPr>
        <w:t>There are no planned improvements for this category</w:t>
      </w:r>
      <w:r w:rsidR="00D97D6C" w:rsidRPr="001D5327">
        <w:rPr>
          <w:rFonts w:cs="Calibri"/>
          <w:lang w:eastAsia="en-GB"/>
        </w:rPr>
        <w:t xml:space="preserve">. </w:t>
      </w:r>
    </w:p>
    <w:p w14:paraId="7FA1A01F" w14:textId="38616A06" w:rsidR="00D97D6C" w:rsidRPr="001D5327" w:rsidRDefault="00D97D6C" w:rsidP="00D97D6C">
      <w:pPr>
        <w:pStyle w:val="Heading3"/>
      </w:pPr>
      <w:r w:rsidRPr="001D5327">
        <w:t>3.3.2</w:t>
      </w:r>
      <w:r w:rsidRPr="001D5327">
        <w:tab/>
        <w:t>Fugitive emissions from fuels: Oil and natural gas and</w:t>
      </w:r>
      <w:r w:rsidR="00996EFA" w:rsidRPr="001D5327">
        <w:t> </w:t>
      </w:r>
      <w:r w:rsidRPr="001D5327">
        <w:t>other emissions from energy production (CRT 1.B.2)</w:t>
      </w:r>
    </w:p>
    <w:p w14:paraId="7688B99F" w14:textId="77777777" w:rsidR="00D97D6C" w:rsidRPr="001D5327" w:rsidRDefault="00D97D6C" w:rsidP="00D97D6C">
      <w:pPr>
        <w:pStyle w:val="Heading4"/>
        <w:rPr>
          <w:lang w:eastAsia="en-GB"/>
        </w:rPr>
      </w:pPr>
      <w:r w:rsidRPr="001D5327">
        <w:t>Category</w:t>
      </w:r>
      <w:r w:rsidRPr="001D5327">
        <w:rPr>
          <w:lang w:eastAsia="en-GB"/>
        </w:rPr>
        <w:t xml:space="preserve"> description</w:t>
      </w:r>
    </w:p>
    <w:p w14:paraId="76460C68" w14:textId="7682544D" w:rsidR="00D97D6C" w:rsidRPr="001D5327" w:rsidRDefault="00D97D6C" w:rsidP="00D97D6C">
      <w:pPr>
        <w:pStyle w:val="BodyText"/>
        <w:spacing w:before="100" w:after="100"/>
        <w:rPr>
          <w:rFonts w:cs="Calibri"/>
        </w:rPr>
      </w:pPr>
      <w:r w:rsidRPr="001D5327">
        <w:rPr>
          <w:lang w:eastAsia="en-GB"/>
        </w:rPr>
        <w:t xml:space="preserve">In </w:t>
      </w:r>
      <w:r w:rsidR="00704343" w:rsidRPr="001D5327">
        <w:rPr>
          <w:rFonts w:cs="Calibri"/>
        </w:rPr>
        <w:t>2023</w:t>
      </w:r>
      <w:r w:rsidRPr="001D5327">
        <w:rPr>
          <w:lang w:eastAsia="en-GB"/>
        </w:rPr>
        <w:t xml:space="preserve">, fugitive emissions from the </w:t>
      </w:r>
      <w:r w:rsidRPr="001D5327">
        <w:rPr>
          <w:rFonts w:cs="Calibri"/>
          <w:i/>
          <w:lang w:eastAsia="en-GB"/>
        </w:rPr>
        <w:t>Oil and natural gas</w:t>
      </w:r>
      <w:r w:rsidRPr="001D5327">
        <w:rPr>
          <w:lang w:eastAsia="en-GB"/>
        </w:rPr>
        <w:t xml:space="preserve"> category contributed </w:t>
      </w:r>
      <w:r w:rsidR="007E62EA" w:rsidRPr="001D5327">
        <w:rPr>
          <w:lang w:eastAsia="en-GB"/>
        </w:rPr>
        <w:t>1,110.4</w:t>
      </w:r>
      <w:r w:rsidRPr="001D5327">
        <w:rPr>
          <w:rFonts w:cs="Calibri"/>
        </w:rPr>
        <w:t> </w:t>
      </w:r>
      <w:r w:rsidRPr="001D5327">
        <w:rPr>
          <w:lang w:eastAsia="en-GB"/>
        </w:rPr>
        <w:t>kt CO</w:t>
      </w:r>
      <w:r w:rsidRPr="001D5327">
        <w:rPr>
          <w:rFonts w:cs="Calibri"/>
          <w:vertAlign w:val="subscript"/>
          <w:lang w:eastAsia="en-GB"/>
        </w:rPr>
        <w:t>2</w:t>
      </w:r>
      <w:r w:rsidRPr="001D5327">
        <w:rPr>
          <w:lang w:eastAsia="en-GB"/>
        </w:rPr>
        <w:t>-e (9</w:t>
      </w:r>
      <w:r w:rsidR="007E62EA" w:rsidRPr="001D5327">
        <w:rPr>
          <w:lang w:eastAsia="en-GB"/>
        </w:rPr>
        <w:t>4.6</w:t>
      </w:r>
      <w:r w:rsidRPr="001D5327">
        <w:rPr>
          <w:lang w:eastAsia="en-GB"/>
        </w:rPr>
        <w:t xml:space="preserve"> </w:t>
      </w:r>
      <w:r w:rsidRPr="001D5327">
        <w:rPr>
          <w:rFonts w:cs="Calibri"/>
        </w:rPr>
        <w:t>per cent</w:t>
      </w:r>
      <w:r w:rsidRPr="001D5327">
        <w:rPr>
          <w:lang w:eastAsia="en-GB"/>
        </w:rPr>
        <w:t xml:space="preserve">) to emissions from the </w:t>
      </w:r>
      <w:r w:rsidRPr="001D5327">
        <w:rPr>
          <w:rFonts w:cs="Calibri"/>
          <w:i/>
          <w:lang w:eastAsia="en-GB"/>
        </w:rPr>
        <w:t>Fugitive emissions</w:t>
      </w:r>
      <w:r w:rsidRPr="001D5327">
        <w:rPr>
          <w:lang w:eastAsia="en-GB"/>
        </w:rPr>
        <w:t xml:space="preserve"> category. This is </w:t>
      </w:r>
      <w:r w:rsidR="007E62EA" w:rsidRPr="001D5327">
        <w:rPr>
          <w:lang w:eastAsia="en-GB"/>
        </w:rPr>
        <w:t>84.5</w:t>
      </w:r>
      <w:r w:rsidRPr="001D5327">
        <w:rPr>
          <w:rFonts w:cs="Calibri"/>
        </w:rPr>
        <w:t xml:space="preserve"> </w:t>
      </w:r>
      <w:r w:rsidRPr="001D5327">
        <w:rPr>
          <w:lang w:eastAsia="en-GB"/>
        </w:rPr>
        <w:t>kt CO</w:t>
      </w:r>
      <w:r w:rsidRPr="001D5327">
        <w:rPr>
          <w:rFonts w:cs="Calibri"/>
          <w:vertAlign w:val="subscript"/>
          <w:lang w:eastAsia="en-GB"/>
        </w:rPr>
        <w:t>2</w:t>
      </w:r>
      <w:r w:rsidRPr="001D5327">
        <w:rPr>
          <w:lang w:eastAsia="en-GB"/>
        </w:rPr>
        <w:t>-e (</w:t>
      </w:r>
      <w:r w:rsidR="007E62EA" w:rsidRPr="001D5327">
        <w:rPr>
          <w:lang w:eastAsia="en-GB"/>
        </w:rPr>
        <w:t>7.1</w:t>
      </w:r>
      <w:r w:rsidRPr="001D5327">
        <w:rPr>
          <w:rFonts w:cs="Calibri"/>
        </w:rPr>
        <w:t> per cent</w:t>
      </w:r>
      <w:r w:rsidRPr="001D5327">
        <w:rPr>
          <w:lang w:eastAsia="en-GB"/>
        </w:rPr>
        <w:t xml:space="preserve">) </w:t>
      </w:r>
      <w:r w:rsidR="007E62EA" w:rsidRPr="001D5327">
        <w:rPr>
          <w:lang w:eastAsia="en-GB"/>
        </w:rPr>
        <w:t xml:space="preserve">lower </w:t>
      </w:r>
      <w:r w:rsidRPr="001D5327">
        <w:rPr>
          <w:lang w:eastAsia="en-GB"/>
        </w:rPr>
        <w:t xml:space="preserve">than the 1990 level of </w:t>
      </w:r>
      <w:r w:rsidR="007E62EA" w:rsidRPr="001D5327">
        <w:rPr>
          <w:rFonts w:cs="Calibri"/>
        </w:rPr>
        <w:t>1,194.9</w:t>
      </w:r>
      <w:r w:rsidRPr="001D5327">
        <w:rPr>
          <w:rFonts w:cs="Calibri"/>
        </w:rPr>
        <w:t xml:space="preserve"> </w:t>
      </w:r>
      <w:r w:rsidRPr="001D5327">
        <w:rPr>
          <w:lang w:eastAsia="en-GB"/>
        </w:rPr>
        <w:t>kt CO</w:t>
      </w:r>
      <w:r w:rsidRPr="001D5327">
        <w:rPr>
          <w:rFonts w:cs="Calibri"/>
          <w:vertAlign w:val="subscript"/>
          <w:lang w:eastAsia="en-GB"/>
        </w:rPr>
        <w:t>2</w:t>
      </w:r>
      <w:r w:rsidRPr="001D5327">
        <w:rPr>
          <w:lang w:eastAsia="en-GB"/>
        </w:rPr>
        <w:t xml:space="preserve">-e. </w:t>
      </w:r>
    </w:p>
    <w:p w14:paraId="7856F786" w14:textId="67D0F8AA" w:rsidR="00D97D6C" w:rsidRPr="001D5327" w:rsidRDefault="00D97D6C" w:rsidP="00D97D6C">
      <w:pPr>
        <w:pStyle w:val="BodyText"/>
        <w:spacing w:before="100" w:after="100"/>
        <w:rPr>
          <w:lang w:eastAsia="en-GB"/>
        </w:rPr>
      </w:pPr>
      <w:r w:rsidRPr="001D5327">
        <w:rPr>
          <w:lang w:eastAsia="en-GB"/>
        </w:rPr>
        <w:t xml:space="preserve">A source of emissions from the production and processing of natural gas is the Kapuni Gas Treatment Plant. The plant removes </w:t>
      </w:r>
      <w:r w:rsidRPr="001D5327">
        <w:rPr>
          <w:rFonts w:cs="Calibri"/>
        </w:rPr>
        <w:t>CO</w:t>
      </w:r>
      <w:r w:rsidRPr="001D5327">
        <w:rPr>
          <w:rFonts w:cs="Calibri"/>
          <w:vertAlign w:val="subscript"/>
        </w:rPr>
        <w:t>2</w:t>
      </w:r>
      <w:r w:rsidRPr="001D5327">
        <w:rPr>
          <w:rFonts w:cs="Calibri"/>
          <w:sz w:val="14"/>
          <w:szCs w:val="14"/>
          <w:lang w:eastAsia="en-GB"/>
        </w:rPr>
        <w:t xml:space="preserve"> </w:t>
      </w:r>
      <w:r w:rsidRPr="001D5327">
        <w:rPr>
          <w:lang w:eastAsia="en-GB"/>
        </w:rPr>
        <w:t xml:space="preserve">from a portion of the Kapuni gas (a </w:t>
      </w:r>
      <w:r w:rsidR="0A5003D2" w:rsidRPr="001D5327">
        <w:rPr>
          <w:lang w:eastAsia="en-GB"/>
        </w:rPr>
        <w:t xml:space="preserve">natural </w:t>
      </w:r>
      <w:r w:rsidR="00C93A1A" w:rsidRPr="001D5327">
        <w:rPr>
          <w:lang w:eastAsia="en-GB"/>
        </w:rPr>
        <w:t xml:space="preserve">gas </w:t>
      </w:r>
      <w:r w:rsidRPr="001D5327">
        <w:rPr>
          <w:lang w:eastAsia="en-GB"/>
        </w:rPr>
        <w:t>high</w:t>
      </w:r>
      <w:r w:rsidR="00C93A1A" w:rsidRPr="001D5327">
        <w:rPr>
          <w:lang w:eastAsia="en-GB"/>
        </w:rPr>
        <w:t xml:space="preserve"> in</w:t>
      </w:r>
      <w:r w:rsidR="00566C07" w:rsidRPr="001D5327">
        <w:rPr>
          <w:lang w:eastAsia="en-GB"/>
        </w:rPr>
        <w:t> </w:t>
      </w:r>
      <w:r w:rsidRPr="001D5327">
        <w:rPr>
          <w:rFonts w:cs="Calibri"/>
        </w:rPr>
        <w:t>CO</w:t>
      </w:r>
      <w:r w:rsidRPr="001D5327">
        <w:rPr>
          <w:rFonts w:cs="Calibri"/>
          <w:vertAlign w:val="subscript"/>
        </w:rPr>
        <w:t>2</w:t>
      </w:r>
      <w:r w:rsidRPr="001D5327">
        <w:rPr>
          <w:lang w:eastAsia="en-GB"/>
        </w:rPr>
        <w:t xml:space="preserve"> when untreated) before it enters the national transmission network. This </w:t>
      </w:r>
      <w:r w:rsidR="007E62EA" w:rsidRPr="001D5327">
        <w:rPr>
          <w:lang w:eastAsia="en-GB"/>
        </w:rPr>
        <w:t xml:space="preserve">activity </w:t>
      </w:r>
      <w:r w:rsidRPr="001D5327">
        <w:rPr>
          <w:lang w:eastAsia="en-GB"/>
        </w:rPr>
        <w:t>is reported in CRT 1.B.2.c.2.</w:t>
      </w:r>
    </w:p>
    <w:p w14:paraId="3B62D8B9" w14:textId="77777777" w:rsidR="00D97D6C" w:rsidRPr="001D5327" w:rsidRDefault="00D97D6C" w:rsidP="00D97D6C">
      <w:pPr>
        <w:pStyle w:val="BodyText"/>
        <w:spacing w:before="100" w:after="100"/>
        <w:rPr>
          <w:lang w:eastAsia="en-GB"/>
        </w:rPr>
      </w:pPr>
      <w:r w:rsidRPr="001D5327">
        <w:rPr>
          <w:lang w:eastAsia="en-GB"/>
        </w:rPr>
        <w:t xml:space="preserve">The large increase in </w:t>
      </w:r>
      <w:r w:rsidRPr="001D5327">
        <w:rPr>
          <w:rFonts w:cs="Calibri"/>
        </w:rPr>
        <w:t>CO</w:t>
      </w:r>
      <w:r w:rsidRPr="001D5327">
        <w:rPr>
          <w:rFonts w:cs="Calibri"/>
          <w:vertAlign w:val="subscript"/>
        </w:rPr>
        <w:t>2</w:t>
      </w:r>
      <w:r w:rsidRPr="001D5327">
        <w:rPr>
          <w:rFonts w:cs="Calibri"/>
          <w:sz w:val="14"/>
          <w:szCs w:val="14"/>
          <w:lang w:eastAsia="en-GB"/>
        </w:rPr>
        <w:t xml:space="preserve"> </w:t>
      </w:r>
      <w:r w:rsidRPr="001D5327">
        <w:rPr>
          <w:lang w:eastAsia="en-GB"/>
        </w:rPr>
        <w:t>emissions from the Kapuni plant between 2003 and 2004 and between 2004 and 2005 is related to the drop in methanol production. Carbon dioxide previously sequestered during this separation process was instead released as fugitive emissions from venting at the plant.</w:t>
      </w:r>
    </w:p>
    <w:p w14:paraId="5A211396" w14:textId="77777777" w:rsidR="00D97D6C" w:rsidRPr="001D5327" w:rsidRDefault="00D97D6C" w:rsidP="00D97D6C">
      <w:pPr>
        <w:pStyle w:val="BodyText"/>
        <w:spacing w:before="100" w:after="100"/>
        <w:rPr>
          <w:lang w:eastAsia="en-GB"/>
        </w:rPr>
      </w:pPr>
      <w:r w:rsidRPr="001D5327">
        <w:rPr>
          <w:lang w:eastAsia="en-GB"/>
        </w:rPr>
        <w:lastRenderedPageBreak/>
        <w:t>While emissions from the Kapuni plant may include traces of CH</w:t>
      </w:r>
      <w:r w:rsidRPr="001D5327">
        <w:rPr>
          <w:rFonts w:cs="Calibri"/>
          <w:vertAlign w:val="subscript"/>
          <w:lang w:eastAsia="en-GB"/>
        </w:rPr>
        <w:t>4</w:t>
      </w:r>
      <w:r w:rsidRPr="001D5327">
        <w:rPr>
          <w:lang w:eastAsia="en-GB"/>
        </w:rPr>
        <w:t>, the level of these emissions has been determined to be insignificant in comparison with national emissions: a conservative estimate (using default emission factors from the 2006 IPCC Guidelines) gives nearly 1.5 kt CO</w:t>
      </w:r>
      <w:r w:rsidRPr="001D5327">
        <w:rPr>
          <w:rFonts w:cs="Calibri"/>
          <w:vertAlign w:val="subscript"/>
          <w:lang w:eastAsia="en-GB"/>
        </w:rPr>
        <w:t>2</w:t>
      </w:r>
      <w:r w:rsidRPr="001D5327">
        <w:rPr>
          <w:lang w:eastAsia="en-GB"/>
        </w:rPr>
        <w:noBreakHyphen/>
        <w:t>e per year.</w:t>
      </w:r>
    </w:p>
    <w:p w14:paraId="41F94E4A" w14:textId="77777777" w:rsidR="00D97D6C" w:rsidRPr="001D5327" w:rsidRDefault="00D97D6C" w:rsidP="00D97D6C">
      <w:pPr>
        <w:pStyle w:val="BodyText"/>
        <w:spacing w:before="100" w:after="100"/>
        <w:rPr>
          <w:lang w:eastAsia="en-GB"/>
        </w:rPr>
      </w:pPr>
      <w:r w:rsidRPr="001D5327">
        <w:rPr>
          <w:lang w:eastAsia="en-GB"/>
        </w:rPr>
        <w:t xml:space="preserve">Carbon dioxide is also produced when natural gas is flared at the wellheads of other fields. The combustion efficiency of flaring is 95 per cent to 99 per cent, leaving some fugitive </w:t>
      </w:r>
      <w:r w:rsidRPr="001D5327">
        <w:rPr>
          <w:rFonts w:cs="Calibri"/>
        </w:rPr>
        <w:t>CH</w:t>
      </w:r>
      <w:r w:rsidRPr="001D5327">
        <w:rPr>
          <w:rFonts w:cs="Calibri"/>
          <w:vertAlign w:val="subscript"/>
        </w:rPr>
        <w:t>4</w:t>
      </w:r>
      <w:r w:rsidRPr="001D5327">
        <w:rPr>
          <w:lang w:eastAsia="en-GB"/>
        </w:rPr>
        <w:t xml:space="preserve"> emissions due to incomplete combustion. </w:t>
      </w:r>
    </w:p>
    <w:p w14:paraId="143D3CD6" w14:textId="77777777" w:rsidR="00D97D6C" w:rsidRPr="001D5327" w:rsidRDefault="00D97D6C" w:rsidP="00D97D6C">
      <w:pPr>
        <w:pStyle w:val="BodyText"/>
        <w:spacing w:before="100" w:after="100"/>
        <w:rPr>
          <w:lang w:eastAsia="en-GB"/>
        </w:rPr>
      </w:pPr>
      <w:r w:rsidRPr="001D5327">
        <w:rPr>
          <w:lang w:eastAsia="en-GB"/>
        </w:rPr>
        <w:t xml:space="preserve">Fugitive emissions also occur in transmission and distribution within the </w:t>
      </w:r>
      <w:r w:rsidRPr="001D5327">
        <w:rPr>
          <w:rFonts w:cs="Calibri"/>
        </w:rPr>
        <w:t xml:space="preserve">natural </w:t>
      </w:r>
      <w:r w:rsidRPr="001D5327">
        <w:rPr>
          <w:lang w:eastAsia="en-GB"/>
        </w:rPr>
        <w:t>gas transmission pipeline system. However, these emissions are relatively minor compared with those from venting and flaring.</w:t>
      </w:r>
    </w:p>
    <w:p w14:paraId="0C5389F4" w14:textId="3DA22943" w:rsidR="00D97D6C" w:rsidRPr="001D5327" w:rsidRDefault="00D97D6C" w:rsidP="00D97D6C">
      <w:pPr>
        <w:pStyle w:val="BodyText"/>
        <w:spacing w:before="100" w:after="100"/>
        <w:rPr>
          <w:lang w:eastAsia="en-GB"/>
        </w:rPr>
      </w:pPr>
      <w:r w:rsidRPr="001D5327">
        <w:rPr>
          <w:lang w:eastAsia="en-GB"/>
        </w:rPr>
        <w:t xml:space="preserve">The </w:t>
      </w:r>
      <w:r w:rsidRPr="001D5327">
        <w:rPr>
          <w:rFonts w:cs="Calibri"/>
          <w:i/>
          <w:lang w:eastAsia="en-GB"/>
        </w:rPr>
        <w:t>Oil and natural gas</w:t>
      </w:r>
      <w:r w:rsidRPr="001D5327">
        <w:rPr>
          <w:lang w:eastAsia="en-GB"/>
        </w:rPr>
        <w:t xml:space="preserve"> </w:t>
      </w:r>
      <w:r w:rsidR="00F207B5" w:rsidRPr="001D5327">
        <w:rPr>
          <w:i/>
          <w:iCs/>
          <w:lang w:eastAsia="en-GB"/>
        </w:rPr>
        <w:t>and other emissions from energy production</w:t>
      </w:r>
      <w:r w:rsidR="00F207B5" w:rsidRPr="001D5327">
        <w:rPr>
          <w:lang w:eastAsia="en-GB"/>
        </w:rPr>
        <w:t xml:space="preserve"> </w:t>
      </w:r>
      <w:r w:rsidRPr="001D5327">
        <w:rPr>
          <w:lang w:eastAsia="en-GB"/>
        </w:rPr>
        <w:t xml:space="preserve">category also includes estimates </w:t>
      </w:r>
      <w:r w:rsidR="00F207B5" w:rsidRPr="001D5327">
        <w:rPr>
          <w:lang w:eastAsia="en-GB"/>
        </w:rPr>
        <w:t>of</w:t>
      </w:r>
      <w:r w:rsidRPr="001D5327">
        <w:rPr>
          <w:lang w:eastAsia="en-GB"/>
        </w:rPr>
        <w:t xml:space="preserve"> emissions from geothermal operations. While some of the energy from geothermal fields is transformed into electricity, emissions from geothermal electricity generation are reported in the </w:t>
      </w:r>
      <w:r w:rsidRPr="001D5327">
        <w:rPr>
          <w:rFonts w:cs="Calibri"/>
          <w:i/>
          <w:lang w:eastAsia="en-GB"/>
        </w:rPr>
        <w:t>Fugitive emissions</w:t>
      </w:r>
      <w:r w:rsidRPr="001D5327">
        <w:rPr>
          <w:lang w:eastAsia="en-GB"/>
        </w:rPr>
        <w:t xml:space="preserve"> category because they are not the result of fuel combustion. Geothermal facilities supplying geothermal fluid for generating electricity or industrial heat are subject to the Climate Change (Stationary Energy and Industrial Processes) Regulations 2009 and are required to participate in the NZ ETS. Geothermal sites whose geothermal steam is not used for energy production have been excluded from the inventory. Operations falling outside the scope of the regulations are not included in the inventory due to a lack of data, methodology and emission factors. Besides this, such sites – rather than using high</w:t>
      </w:r>
      <w:r w:rsidR="00C93A1A" w:rsidRPr="001D5327">
        <w:rPr>
          <w:lang w:eastAsia="en-GB"/>
        </w:rPr>
        <w:t>-</w:t>
      </w:r>
      <w:r w:rsidRPr="001D5327">
        <w:rPr>
          <w:lang w:eastAsia="en-GB"/>
        </w:rPr>
        <w:t>temperature geothermal steam – use low</w:t>
      </w:r>
      <w:r w:rsidR="00C93A1A" w:rsidRPr="001D5327">
        <w:rPr>
          <w:lang w:eastAsia="en-GB"/>
        </w:rPr>
        <w:t>-</w:t>
      </w:r>
      <w:r w:rsidRPr="001D5327">
        <w:rPr>
          <w:lang w:eastAsia="en-GB"/>
        </w:rPr>
        <w:t>temperature hot water, which does not carry high levels of dissolved gases, and any emissions are considered insignificant. Naturally occurring sites do not contribute any anthropogenic emissions.</w:t>
      </w:r>
    </w:p>
    <w:p w14:paraId="7BE00F8F" w14:textId="7F74414F" w:rsidR="00D97D6C" w:rsidRPr="001D5327" w:rsidRDefault="00D97D6C" w:rsidP="00D97D6C">
      <w:pPr>
        <w:pStyle w:val="BodyText"/>
        <w:spacing w:before="100" w:after="100"/>
        <w:rPr>
          <w:lang w:eastAsia="en-GB"/>
        </w:rPr>
      </w:pPr>
      <w:r w:rsidRPr="001D5327">
        <w:rPr>
          <w:lang w:eastAsia="en-GB"/>
        </w:rPr>
        <w:t xml:space="preserve">In </w:t>
      </w:r>
      <w:r w:rsidR="00704343" w:rsidRPr="001D5327">
        <w:rPr>
          <w:rFonts w:cs="Calibri"/>
        </w:rPr>
        <w:t>2023</w:t>
      </w:r>
      <w:r w:rsidRPr="001D5327">
        <w:rPr>
          <w:lang w:eastAsia="en-GB"/>
        </w:rPr>
        <w:t xml:space="preserve">, emissions from geothermal operations were </w:t>
      </w:r>
      <w:r w:rsidR="006D419A" w:rsidRPr="001D5327">
        <w:rPr>
          <w:rFonts w:cs="Calibri"/>
        </w:rPr>
        <w:t>477.0</w:t>
      </w:r>
      <w:r w:rsidRPr="001D5327">
        <w:rPr>
          <w:rFonts w:cs="Calibri"/>
        </w:rPr>
        <w:t xml:space="preserve"> </w:t>
      </w:r>
      <w:r w:rsidRPr="001D5327">
        <w:rPr>
          <w:lang w:eastAsia="en-GB"/>
        </w:rPr>
        <w:t>kt CO</w:t>
      </w:r>
      <w:r w:rsidRPr="001D5327">
        <w:rPr>
          <w:rFonts w:cs="Calibri"/>
          <w:vertAlign w:val="subscript"/>
          <w:lang w:eastAsia="en-GB"/>
        </w:rPr>
        <w:t>2</w:t>
      </w:r>
      <w:r w:rsidRPr="001D5327">
        <w:rPr>
          <w:lang w:eastAsia="en-GB"/>
        </w:rPr>
        <w:t xml:space="preserve">-e, which is </w:t>
      </w:r>
      <w:r w:rsidR="006D419A" w:rsidRPr="001D5327">
        <w:rPr>
          <w:rFonts w:cs="Calibri"/>
        </w:rPr>
        <w:t>187.1</w:t>
      </w:r>
      <w:r w:rsidRPr="001D5327">
        <w:rPr>
          <w:rFonts w:cs="Calibri"/>
        </w:rPr>
        <w:t> </w:t>
      </w:r>
      <w:r w:rsidRPr="001D5327">
        <w:rPr>
          <w:lang w:eastAsia="en-GB"/>
        </w:rPr>
        <w:t>kt CO</w:t>
      </w:r>
      <w:r w:rsidRPr="001D5327">
        <w:rPr>
          <w:rFonts w:cs="Calibri"/>
          <w:vertAlign w:val="subscript"/>
          <w:lang w:eastAsia="en-GB"/>
        </w:rPr>
        <w:t>2</w:t>
      </w:r>
      <w:r w:rsidRPr="001D5327">
        <w:rPr>
          <w:lang w:eastAsia="en-GB"/>
        </w:rPr>
        <w:t>-e (</w:t>
      </w:r>
      <w:r w:rsidR="006D419A" w:rsidRPr="001D5327">
        <w:rPr>
          <w:lang w:eastAsia="en-GB"/>
        </w:rPr>
        <w:t>64.5</w:t>
      </w:r>
      <w:r w:rsidRPr="001D5327">
        <w:rPr>
          <w:rFonts w:cs="Calibri"/>
        </w:rPr>
        <w:t xml:space="preserve"> per cent</w:t>
      </w:r>
      <w:r w:rsidRPr="001D5327">
        <w:rPr>
          <w:lang w:eastAsia="en-GB"/>
        </w:rPr>
        <w:t xml:space="preserve">) higher than the 1990 level of </w:t>
      </w:r>
      <w:r w:rsidRPr="001D5327">
        <w:rPr>
          <w:rFonts w:cs="Calibri"/>
        </w:rPr>
        <w:t xml:space="preserve">289.9 </w:t>
      </w:r>
      <w:r w:rsidRPr="001D5327">
        <w:rPr>
          <w:lang w:eastAsia="en-GB"/>
        </w:rPr>
        <w:t>kt CO</w:t>
      </w:r>
      <w:r w:rsidRPr="001D5327">
        <w:rPr>
          <w:rFonts w:cs="Calibri"/>
          <w:vertAlign w:val="subscript"/>
          <w:lang w:eastAsia="en-GB"/>
        </w:rPr>
        <w:t>2</w:t>
      </w:r>
      <w:r w:rsidRPr="001D5327">
        <w:rPr>
          <w:lang w:eastAsia="en-GB"/>
        </w:rPr>
        <w:t xml:space="preserve">-e. </w:t>
      </w:r>
      <w:r w:rsidR="006D419A" w:rsidRPr="001D5327">
        <w:rPr>
          <w:lang w:eastAsia="en-GB"/>
        </w:rPr>
        <w:t>For reference, o</w:t>
      </w:r>
      <w:r w:rsidRPr="001D5327">
        <w:rPr>
          <w:lang w:eastAsia="en-GB"/>
        </w:rPr>
        <w:t xml:space="preserve">ver the same period </w:t>
      </w:r>
      <w:r w:rsidR="006D419A" w:rsidRPr="001D5327">
        <w:rPr>
          <w:lang w:eastAsia="en-GB"/>
        </w:rPr>
        <w:t xml:space="preserve">the total quantity of </w:t>
      </w:r>
      <w:r w:rsidRPr="001D5327">
        <w:rPr>
          <w:lang w:eastAsia="en-GB"/>
        </w:rPr>
        <w:t>electricity generat</w:t>
      </w:r>
      <w:r w:rsidR="006D419A" w:rsidRPr="001D5327">
        <w:rPr>
          <w:lang w:eastAsia="en-GB"/>
        </w:rPr>
        <w:t>ed</w:t>
      </w:r>
      <w:r w:rsidRPr="001D5327">
        <w:rPr>
          <w:lang w:eastAsia="en-GB"/>
        </w:rPr>
        <w:t xml:space="preserve"> from geothermal energy </w:t>
      </w:r>
      <w:r w:rsidR="006D419A" w:rsidRPr="001D5327">
        <w:rPr>
          <w:lang w:eastAsia="en-GB"/>
        </w:rPr>
        <w:t xml:space="preserve">has </w:t>
      </w:r>
      <w:r w:rsidRPr="001D5327">
        <w:rPr>
          <w:lang w:eastAsia="en-GB"/>
        </w:rPr>
        <w:t>quadrupled.</w:t>
      </w:r>
    </w:p>
    <w:p w14:paraId="5DC1CA72" w14:textId="7EF36B8E" w:rsidR="00D97D6C" w:rsidRPr="001D5327" w:rsidRDefault="00D97D6C" w:rsidP="00D97D6C">
      <w:pPr>
        <w:pStyle w:val="BodyText"/>
        <w:spacing w:before="100" w:after="100"/>
        <w:rPr>
          <w:rFonts w:cs="Calibri"/>
        </w:rPr>
      </w:pPr>
      <w:r w:rsidRPr="001D5327">
        <w:rPr>
          <w:rFonts w:cs="Calibri"/>
        </w:rPr>
        <w:t xml:space="preserve">Between </w:t>
      </w:r>
      <w:r w:rsidR="00704343" w:rsidRPr="001D5327">
        <w:rPr>
          <w:rFonts w:cs="Calibri"/>
        </w:rPr>
        <w:t>2022</w:t>
      </w:r>
      <w:r w:rsidRPr="001D5327">
        <w:rPr>
          <w:rFonts w:cs="Calibri"/>
        </w:rPr>
        <w:t xml:space="preserve"> and </w:t>
      </w:r>
      <w:r w:rsidR="00704343" w:rsidRPr="001D5327">
        <w:rPr>
          <w:rFonts w:cs="Calibri"/>
        </w:rPr>
        <w:t>2023</w:t>
      </w:r>
      <w:r w:rsidRPr="001D5327">
        <w:rPr>
          <w:rFonts w:cs="Calibri"/>
        </w:rPr>
        <w:t>, emissions from geothermal sources decreased by</w:t>
      </w:r>
      <w:r w:rsidR="006D419A" w:rsidRPr="001D5327">
        <w:rPr>
          <w:rFonts w:cs="Calibri"/>
        </w:rPr>
        <w:t xml:space="preserve"> 65.3 </w:t>
      </w:r>
      <w:r w:rsidR="006D419A" w:rsidRPr="001D5327">
        <w:rPr>
          <w:lang w:eastAsia="en-GB"/>
        </w:rPr>
        <w:t>kt CO</w:t>
      </w:r>
      <w:r w:rsidR="006D419A" w:rsidRPr="001D5327">
        <w:rPr>
          <w:rFonts w:cs="Calibri"/>
          <w:vertAlign w:val="subscript"/>
          <w:lang w:eastAsia="en-GB"/>
        </w:rPr>
        <w:t>2</w:t>
      </w:r>
      <w:r w:rsidR="006D419A" w:rsidRPr="001D5327">
        <w:rPr>
          <w:lang w:eastAsia="en-GB"/>
        </w:rPr>
        <w:t>-e</w:t>
      </w:r>
      <w:r w:rsidRPr="001D5327">
        <w:rPr>
          <w:rFonts w:cs="Calibri"/>
        </w:rPr>
        <w:t xml:space="preserve"> </w:t>
      </w:r>
      <w:r w:rsidR="006D419A" w:rsidRPr="001D5327">
        <w:rPr>
          <w:rFonts w:cs="Calibri"/>
        </w:rPr>
        <w:t>(12.0</w:t>
      </w:r>
      <w:r w:rsidR="00566C07" w:rsidRPr="001D5327">
        <w:rPr>
          <w:rFonts w:cs="Calibri"/>
        </w:rPr>
        <w:t> </w:t>
      </w:r>
      <w:r w:rsidRPr="001D5327">
        <w:rPr>
          <w:rFonts w:cs="Calibri"/>
        </w:rPr>
        <w:t>per cent</w:t>
      </w:r>
      <w:r w:rsidR="006D419A" w:rsidRPr="001D5327">
        <w:rPr>
          <w:rFonts w:cs="Calibri"/>
        </w:rPr>
        <w:t>)</w:t>
      </w:r>
      <w:r w:rsidRPr="001D5327">
        <w:rPr>
          <w:rFonts w:cs="Calibri"/>
        </w:rPr>
        <w:t xml:space="preserve">. A steady decline in emissions has occurred over the past </w:t>
      </w:r>
      <w:r w:rsidR="00A94F8A" w:rsidRPr="001D5327">
        <w:rPr>
          <w:rFonts w:cs="Calibri"/>
        </w:rPr>
        <w:t xml:space="preserve">eight </w:t>
      </w:r>
      <w:r w:rsidRPr="001D5327">
        <w:rPr>
          <w:rFonts w:cs="Calibri"/>
        </w:rPr>
        <w:t xml:space="preserve">years as the more recently developed fields have </w:t>
      </w:r>
      <w:r w:rsidR="00A94F8A" w:rsidRPr="001D5327">
        <w:rPr>
          <w:rFonts w:cs="Calibri"/>
        </w:rPr>
        <w:t xml:space="preserve">undergone </w:t>
      </w:r>
      <w:r w:rsidRPr="001D5327">
        <w:rPr>
          <w:rFonts w:cs="Calibri"/>
        </w:rPr>
        <w:t xml:space="preserve">degassing. Degassing is a commonly observed geothermal phenomenon </w:t>
      </w:r>
      <w:r w:rsidR="00A15363" w:rsidRPr="001D5327">
        <w:rPr>
          <w:rFonts w:cs="Calibri"/>
        </w:rPr>
        <w:t>just like</w:t>
      </w:r>
      <w:r w:rsidRPr="001D5327">
        <w:rPr>
          <w:rFonts w:cs="Calibri"/>
        </w:rPr>
        <w:t xml:space="preserve"> a freshly opened bottle of </w:t>
      </w:r>
      <w:r w:rsidR="00A94F8A" w:rsidRPr="001D5327">
        <w:rPr>
          <w:rFonts w:cs="Calibri"/>
        </w:rPr>
        <w:t>carbonated water</w:t>
      </w:r>
      <w:r w:rsidRPr="001D5327">
        <w:rPr>
          <w:rFonts w:cs="Calibri"/>
        </w:rPr>
        <w:t xml:space="preserve"> that is initially fizzy but gradually goes flat over time. Further information on </w:t>
      </w:r>
      <w:r w:rsidR="00A94F8A" w:rsidRPr="001D5327">
        <w:rPr>
          <w:rFonts w:cs="Calibri"/>
        </w:rPr>
        <w:t xml:space="preserve">the </w:t>
      </w:r>
      <w:r w:rsidRPr="001D5327">
        <w:rPr>
          <w:rFonts w:cs="Calibri"/>
        </w:rPr>
        <w:t xml:space="preserve">degassing of </w:t>
      </w:r>
      <w:r w:rsidRPr="001D5327">
        <w:rPr>
          <w:lang w:eastAsia="en-GB"/>
        </w:rPr>
        <w:t>New Zealand</w:t>
      </w:r>
      <w:r w:rsidRPr="001D5327">
        <w:rPr>
          <w:rFonts w:cs="Calibri"/>
        </w:rPr>
        <w:t xml:space="preserve"> geothermal fields is available in McLean and </w:t>
      </w:r>
      <w:r w:rsidRPr="001D5327">
        <w:t>Richardson</w:t>
      </w:r>
      <w:r w:rsidRPr="001D5327">
        <w:rPr>
          <w:rFonts w:cs="Calibri"/>
        </w:rPr>
        <w:t xml:space="preserve"> (2019). </w:t>
      </w:r>
    </w:p>
    <w:p w14:paraId="6E806E06" w14:textId="77777777" w:rsidR="00D97D6C" w:rsidRPr="001D5327" w:rsidRDefault="00D97D6C" w:rsidP="00D97D6C">
      <w:pPr>
        <w:pStyle w:val="Heading4"/>
        <w:rPr>
          <w:lang w:eastAsia="en-GB"/>
        </w:rPr>
      </w:pPr>
      <w:r w:rsidRPr="001D5327">
        <w:t>Methodological</w:t>
      </w:r>
      <w:r w:rsidRPr="001D5327">
        <w:rPr>
          <w:lang w:eastAsia="en-GB"/>
        </w:rPr>
        <w:t xml:space="preserve"> issues</w:t>
      </w:r>
    </w:p>
    <w:p w14:paraId="5009CAA0" w14:textId="77777777" w:rsidR="00D97D6C" w:rsidRPr="001D5327" w:rsidRDefault="00D97D6C" w:rsidP="00D97D6C">
      <w:pPr>
        <w:pStyle w:val="BodyText"/>
        <w:spacing w:before="100" w:after="100"/>
        <w:rPr>
          <w:lang w:eastAsia="en-GB"/>
        </w:rPr>
      </w:pPr>
      <w:r w:rsidRPr="001D5327">
        <w:rPr>
          <w:lang w:eastAsia="en-GB"/>
        </w:rPr>
        <w:t>Unless noted otherwise, CO</w:t>
      </w:r>
      <w:r w:rsidRPr="001D5327">
        <w:rPr>
          <w:rFonts w:cs="Calibri"/>
          <w:vertAlign w:val="subscript"/>
          <w:lang w:eastAsia="en-GB"/>
        </w:rPr>
        <w:t>2</w:t>
      </w:r>
      <w:r w:rsidRPr="001D5327">
        <w:rPr>
          <w:lang w:eastAsia="en-GB"/>
        </w:rPr>
        <w:t xml:space="preserve"> and CH</w:t>
      </w:r>
      <w:r w:rsidRPr="001D5327">
        <w:rPr>
          <w:rFonts w:cs="Calibri"/>
          <w:vertAlign w:val="subscript"/>
          <w:lang w:eastAsia="en-GB"/>
        </w:rPr>
        <w:t>4</w:t>
      </w:r>
      <w:r w:rsidRPr="001D5327">
        <w:rPr>
          <w:lang w:eastAsia="en-GB"/>
        </w:rPr>
        <w:t xml:space="preserve"> emissions from sources within this category have been calculated using the IPCC Tier 2 approach, and N</w:t>
      </w:r>
      <w:r w:rsidRPr="001D5327">
        <w:rPr>
          <w:rFonts w:cs="Calibri"/>
          <w:vertAlign w:val="subscript"/>
          <w:lang w:eastAsia="en-GB"/>
        </w:rPr>
        <w:t>2</w:t>
      </w:r>
      <w:r w:rsidRPr="001D5327">
        <w:rPr>
          <w:lang w:eastAsia="en-GB"/>
        </w:rPr>
        <w:t>O emissions were calculated using the default Tier 1 approach (IPCC, 2006).</w:t>
      </w:r>
    </w:p>
    <w:p w14:paraId="22AF2C13" w14:textId="77777777" w:rsidR="00D97D6C" w:rsidRPr="001D5327" w:rsidRDefault="00D97D6C" w:rsidP="00BF2A76">
      <w:pPr>
        <w:pStyle w:val="Heading5"/>
        <w:rPr>
          <w:lang w:eastAsia="en-GB"/>
        </w:rPr>
      </w:pPr>
      <w:r w:rsidRPr="001D5327">
        <w:rPr>
          <w:lang w:eastAsia="en-GB"/>
        </w:rPr>
        <w:t>Ozone precursors and sulphur dioxide from oil refining</w:t>
      </w:r>
    </w:p>
    <w:p w14:paraId="353AA779" w14:textId="4494AD26" w:rsidR="00D97D6C" w:rsidRPr="001D5327" w:rsidRDefault="00D97D6C" w:rsidP="00D97D6C">
      <w:pPr>
        <w:pStyle w:val="BodyText"/>
        <w:spacing w:before="100" w:after="100"/>
        <w:rPr>
          <w:lang w:eastAsia="en-GB"/>
        </w:rPr>
      </w:pPr>
      <w:r w:rsidRPr="001D5327">
        <w:rPr>
          <w:lang w:eastAsia="en-GB"/>
        </w:rPr>
        <w:t>New Zealand had only one oil refinery</w:t>
      </w:r>
      <w:r w:rsidR="00495BB8" w:rsidRPr="001D5327">
        <w:rPr>
          <w:lang w:eastAsia="en-GB"/>
        </w:rPr>
        <w:t xml:space="preserve">, which closed in </w:t>
      </w:r>
      <w:r w:rsidRPr="001D5327">
        <w:rPr>
          <w:lang w:eastAsia="en-GB"/>
        </w:rPr>
        <w:t>March 2022</w:t>
      </w:r>
      <w:r w:rsidR="00495BB8" w:rsidRPr="001D5327">
        <w:rPr>
          <w:lang w:eastAsia="en-GB"/>
        </w:rPr>
        <w:t>. T</w:t>
      </w:r>
      <w:r w:rsidRPr="001D5327">
        <w:rPr>
          <w:lang w:eastAsia="en-GB"/>
        </w:rPr>
        <w:t xml:space="preserve">his </w:t>
      </w:r>
      <w:r w:rsidRPr="001D5327">
        <w:t>refinery</w:t>
      </w:r>
      <w:r w:rsidRPr="001D5327">
        <w:rPr>
          <w:lang w:eastAsia="en-GB"/>
        </w:rPr>
        <w:t xml:space="preserve"> used a hydro</w:t>
      </w:r>
      <w:r w:rsidR="00566C07" w:rsidRPr="001D5327">
        <w:rPr>
          <w:lang w:eastAsia="en-GB"/>
        </w:rPr>
        <w:t> </w:t>
      </w:r>
      <w:r w:rsidRPr="001D5327">
        <w:rPr>
          <w:lang w:eastAsia="en-GB"/>
        </w:rPr>
        <w:t>cracker rather than a catalytic cracker</w:t>
      </w:r>
      <w:r w:rsidR="00495BB8" w:rsidRPr="001D5327">
        <w:rPr>
          <w:lang w:eastAsia="en-GB"/>
        </w:rPr>
        <w:t xml:space="preserve"> and thus produced</w:t>
      </w:r>
      <w:r w:rsidRPr="001D5327">
        <w:rPr>
          <w:lang w:eastAsia="en-GB"/>
        </w:rPr>
        <w:t xml:space="preserve"> no emissions from fluid catalytic cracking. However, emissions were produced from sulphur recovery plants and storage and handling.</w:t>
      </w:r>
    </w:p>
    <w:p w14:paraId="2637AD3E" w14:textId="77777777" w:rsidR="00D97D6C" w:rsidRPr="001D5327" w:rsidRDefault="00D97D6C" w:rsidP="00BF2A76">
      <w:pPr>
        <w:pStyle w:val="Heading5"/>
      </w:pPr>
      <w:r w:rsidRPr="001D5327">
        <w:lastRenderedPageBreak/>
        <w:t>1.B.2.c Venting and flaring</w:t>
      </w:r>
    </w:p>
    <w:p w14:paraId="40FDE6A9" w14:textId="5FFECADD" w:rsidR="00D97D6C" w:rsidRPr="001D5327" w:rsidRDefault="00D97D6C" w:rsidP="00D97D6C">
      <w:pPr>
        <w:pStyle w:val="BodyText"/>
        <w:spacing w:before="100" w:after="100"/>
      </w:pPr>
      <w:r w:rsidRPr="001D5327">
        <w:t xml:space="preserve">Oil and natural gas fields in </w:t>
      </w:r>
      <w:r w:rsidRPr="001D5327">
        <w:rPr>
          <w:lang w:eastAsia="en-GB"/>
        </w:rPr>
        <w:t>New Zealand</w:t>
      </w:r>
      <w:r w:rsidRPr="001D5327">
        <w:t xml:space="preserve"> produce a mixture of natural gas, crude oil, condensate and natural gas liquids</w:t>
      </w:r>
      <w:r w:rsidR="00495BB8" w:rsidRPr="001D5327">
        <w:t xml:space="preserve"> (at varying ratios)</w:t>
      </w:r>
      <w:r w:rsidRPr="001D5327">
        <w:t>. Hence, emissions for this category are</w:t>
      </w:r>
      <w:r w:rsidR="00566C07" w:rsidRPr="001D5327">
        <w:t> </w:t>
      </w:r>
      <w:r w:rsidRPr="001D5327">
        <w:t>reported under ‘combined’. The activity data are directly reported by field operators.</w:t>
      </w:r>
    </w:p>
    <w:p w14:paraId="6786B1A4" w14:textId="7FAED92E" w:rsidR="00D97D6C" w:rsidRPr="001D5327" w:rsidRDefault="00D97D6C" w:rsidP="00D97D6C">
      <w:pPr>
        <w:pStyle w:val="BodyText"/>
        <w:spacing w:before="100" w:after="100"/>
        <w:rPr>
          <w:rFonts w:cs="Calibri"/>
        </w:rPr>
      </w:pPr>
      <w:r w:rsidRPr="001D5327">
        <w:rPr>
          <w:rFonts w:cs="Calibri"/>
        </w:rPr>
        <w:t>Venting of CO</w:t>
      </w:r>
      <w:r w:rsidRPr="001D5327">
        <w:rPr>
          <w:rFonts w:cs="Calibri"/>
          <w:vertAlign w:val="subscript"/>
        </w:rPr>
        <w:t>2</w:t>
      </w:r>
      <w:r w:rsidRPr="001D5327">
        <w:rPr>
          <w:rFonts w:cs="Calibri"/>
        </w:rPr>
        <w:t xml:space="preserve"> resulting from hydrogen production at oil refineries is included under the</w:t>
      </w:r>
      <w:r w:rsidR="00566C07" w:rsidRPr="001D5327">
        <w:rPr>
          <w:rFonts w:cs="Calibri"/>
        </w:rPr>
        <w:t> </w:t>
      </w:r>
      <w:r w:rsidRPr="001D5327">
        <w:rPr>
          <w:rFonts w:cs="Calibri"/>
        </w:rPr>
        <w:t xml:space="preserve">IPPU sector </w:t>
      </w:r>
      <w:r w:rsidR="00495BB8" w:rsidRPr="001D5327">
        <w:rPr>
          <w:rFonts w:cs="Calibri"/>
        </w:rPr>
        <w:t>to</w:t>
      </w:r>
      <w:r w:rsidRPr="001D5327">
        <w:rPr>
          <w:rFonts w:cs="Calibri"/>
        </w:rPr>
        <w:t xml:space="preserve"> protect the confidentiality of individual companies (see chapter 4 for further information).</w:t>
      </w:r>
    </w:p>
    <w:p w14:paraId="3559CF06" w14:textId="77777777" w:rsidR="00D97D6C" w:rsidRPr="001D5327" w:rsidRDefault="00D97D6C" w:rsidP="00BF2A76">
      <w:pPr>
        <w:pStyle w:val="Heading5"/>
        <w:rPr>
          <w:rFonts w:cs="Calibri"/>
        </w:rPr>
      </w:pPr>
      <w:r w:rsidRPr="001D5327">
        <w:rPr>
          <w:rFonts w:cs="Calibri"/>
        </w:rPr>
        <w:t xml:space="preserve">1.B.2.d </w:t>
      </w:r>
      <w:r w:rsidRPr="001D5327">
        <w:rPr>
          <w:lang w:eastAsia="en-GB"/>
        </w:rPr>
        <w:t>Geothermal</w:t>
      </w:r>
    </w:p>
    <w:p w14:paraId="5167E8FA" w14:textId="77777777" w:rsidR="00D97D6C" w:rsidRPr="001D5327" w:rsidRDefault="00D97D6C" w:rsidP="00D97D6C">
      <w:pPr>
        <w:pStyle w:val="BodyText"/>
        <w:spacing w:before="100" w:after="100"/>
        <w:rPr>
          <w:rFonts w:cs="Calibri"/>
        </w:rPr>
      </w:pPr>
      <w:r w:rsidRPr="001D5327">
        <w:rPr>
          <w:rFonts w:cs="Calibri"/>
        </w:rPr>
        <w:t>When geothermal fluid is discharged, some CO</w:t>
      </w:r>
      <w:r w:rsidRPr="001D5327">
        <w:rPr>
          <w:rFonts w:cs="Calibri"/>
          <w:vertAlign w:val="subscript"/>
        </w:rPr>
        <w:t>2</w:t>
      </w:r>
      <w:r w:rsidRPr="001D5327">
        <w:rPr>
          <w:rFonts w:cs="Calibri"/>
        </w:rPr>
        <w:t xml:space="preserve"> and small amounts of CH</w:t>
      </w:r>
      <w:r w:rsidRPr="001D5327">
        <w:rPr>
          <w:rFonts w:cs="Calibri"/>
          <w:vertAlign w:val="subscript"/>
        </w:rPr>
        <w:t>4</w:t>
      </w:r>
      <w:r w:rsidRPr="001D5327">
        <w:rPr>
          <w:rFonts w:cs="Calibri"/>
        </w:rPr>
        <w:t xml:space="preserve"> are also released. The emissions released during electricity generation using geothermal fluid are reported in this inventory. Figure 3.3.1 shows a schematic diagram of a typical </w:t>
      </w:r>
      <w:r w:rsidRPr="001D5327">
        <w:rPr>
          <w:lang w:eastAsia="en-GB"/>
        </w:rPr>
        <w:t>New Zealand</w:t>
      </w:r>
      <w:r w:rsidRPr="001D5327">
        <w:rPr>
          <w:rFonts w:cs="Calibri"/>
        </w:rPr>
        <w:t xml:space="preserve"> geothermal flash power station. </w:t>
      </w:r>
    </w:p>
    <w:p w14:paraId="1A61A9D2" w14:textId="1115C91B" w:rsidR="00D97D6C" w:rsidRPr="001D5327" w:rsidRDefault="00D97D6C" w:rsidP="00D97D6C">
      <w:pPr>
        <w:pStyle w:val="BodyText"/>
        <w:spacing w:before="100" w:after="100"/>
        <w:rPr>
          <w:rFonts w:cs="Calibri"/>
        </w:rPr>
      </w:pPr>
      <w:r w:rsidRPr="001D5327">
        <w:rPr>
          <w:rFonts w:cs="Calibri"/>
        </w:rPr>
        <w:t>Estimates of CO</w:t>
      </w:r>
      <w:r w:rsidRPr="001D5327">
        <w:rPr>
          <w:rFonts w:cs="Calibri"/>
          <w:vertAlign w:val="subscript"/>
        </w:rPr>
        <w:t>2</w:t>
      </w:r>
      <w:r w:rsidRPr="001D5327">
        <w:rPr>
          <w:rFonts w:cs="Calibri"/>
        </w:rPr>
        <w:t xml:space="preserve"> and CH</w:t>
      </w:r>
      <w:r w:rsidRPr="001D5327">
        <w:rPr>
          <w:rFonts w:cs="Calibri"/>
          <w:vertAlign w:val="subscript"/>
        </w:rPr>
        <w:t>4</w:t>
      </w:r>
      <w:r w:rsidRPr="001D5327">
        <w:rPr>
          <w:rFonts w:cs="Calibri"/>
        </w:rPr>
        <w:t xml:space="preserve"> emissions for the </w:t>
      </w:r>
      <w:r w:rsidRPr="001D5327">
        <w:rPr>
          <w:rFonts w:cs="Calibri"/>
          <w:i/>
        </w:rPr>
        <w:t>Geothermal</w:t>
      </w:r>
      <w:r w:rsidRPr="001D5327">
        <w:rPr>
          <w:rFonts w:cs="Calibri"/>
        </w:rPr>
        <w:t xml:space="preserve"> category are obtained directly from geothermal power companies. </w:t>
      </w:r>
      <w:r w:rsidRPr="001D5327">
        <w:rPr>
          <w:lang w:eastAsia="en-GB"/>
        </w:rPr>
        <w:t>New Zealand</w:t>
      </w:r>
      <w:r w:rsidRPr="001D5327">
        <w:rPr>
          <w:rFonts w:cs="Calibri"/>
        </w:rPr>
        <w:t xml:space="preserve"> </w:t>
      </w:r>
      <w:r w:rsidR="00EC0E56" w:rsidRPr="001D5327">
        <w:rPr>
          <w:rFonts w:cs="Calibri"/>
        </w:rPr>
        <w:t xml:space="preserve">currently </w:t>
      </w:r>
      <w:r w:rsidRPr="001D5327">
        <w:rPr>
          <w:rFonts w:cs="Calibri"/>
        </w:rPr>
        <w:t>has around 15 geothermal power stations and most of these are owned (or partly owned) by two major power companies. Two</w:t>
      </w:r>
      <w:r w:rsidR="00944859" w:rsidRPr="001D5327">
        <w:rPr>
          <w:rFonts w:cs="Calibri"/>
        </w:rPr>
        <w:t> </w:t>
      </w:r>
      <w:r w:rsidRPr="001D5327">
        <w:rPr>
          <w:rFonts w:cs="Calibri"/>
        </w:rPr>
        <w:t>examples of methodologies used to estimate emissions by these companies are explained below.</w:t>
      </w:r>
    </w:p>
    <w:p w14:paraId="2FBC9F74" w14:textId="5A405E25" w:rsidR="00D97D6C" w:rsidRPr="001D5327" w:rsidRDefault="00D97D6C" w:rsidP="00D97D6C">
      <w:pPr>
        <w:pStyle w:val="Figure"/>
        <w:spacing w:after="0"/>
        <w:rPr>
          <w:rFonts w:cs="Calibri"/>
        </w:rPr>
      </w:pPr>
      <w:bookmarkStart w:id="380" w:name="_Ref442370730"/>
      <w:bookmarkStart w:id="381" w:name="_Toc321399339"/>
      <w:bookmarkStart w:id="382" w:name="_Toc384582868"/>
      <w:bookmarkStart w:id="383" w:name="_Toc443060827"/>
      <w:bookmarkStart w:id="384" w:name="_Toc447275684"/>
      <w:bookmarkStart w:id="385" w:name="_Toc481752001"/>
      <w:bookmarkStart w:id="386" w:name="_Toc36292781"/>
      <w:bookmarkStart w:id="387" w:name="_Toc68786646"/>
      <w:bookmarkStart w:id="388" w:name="_Toc95834081"/>
      <w:bookmarkStart w:id="389" w:name="_Toc164154016"/>
      <w:bookmarkStart w:id="390" w:name="_Toc194674849"/>
      <w:r w:rsidRPr="001D5327">
        <w:rPr>
          <w:rFonts w:cs="Calibri"/>
        </w:rPr>
        <w:t>Figure 3.3.</w:t>
      </w:r>
      <w:r w:rsidRPr="001D5327">
        <w:rPr>
          <w:rFonts w:cs="Calibri"/>
        </w:rPr>
        <w:fldChar w:fldCharType="begin"/>
      </w:r>
      <w:r w:rsidRPr="001D5327">
        <w:rPr>
          <w:rFonts w:cs="Calibri"/>
        </w:rPr>
        <w:instrText xml:space="preserve"> SEQ Figure \* ARABIC \s 2 </w:instrText>
      </w:r>
      <w:r w:rsidRPr="001D5327">
        <w:rPr>
          <w:rFonts w:cs="Calibri"/>
        </w:rPr>
        <w:fldChar w:fldCharType="separate"/>
      </w:r>
      <w:r w:rsidR="00B93180">
        <w:rPr>
          <w:rFonts w:cs="Calibri"/>
          <w:noProof/>
        </w:rPr>
        <w:t>1</w:t>
      </w:r>
      <w:r w:rsidRPr="001D5327">
        <w:rPr>
          <w:rFonts w:cs="Calibri"/>
        </w:rPr>
        <w:fldChar w:fldCharType="end"/>
      </w:r>
      <w:bookmarkEnd w:id="380"/>
      <w:r w:rsidRPr="001D5327">
        <w:rPr>
          <w:rFonts w:cs="Calibri"/>
        </w:rPr>
        <w:t xml:space="preserve"> </w:t>
      </w:r>
      <w:r w:rsidRPr="001D5327">
        <w:rPr>
          <w:rFonts w:cs="Calibri"/>
        </w:rPr>
        <w:tab/>
        <w:t>Schematic diagram of the use of geothermal fluid for electricity generation –</w:t>
      </w:r>
      <w:r w:rsidR="00904BEC" w:rsidRPr="001D5327">
        <w:rPr>
          <w:rFonts w:cs="Calibri"/>
        </w:rPr>
        <w:t> </w:t>
      </w:r>
      <w:r w:rsidRPr="001D5327">
        <w:rPr>
          <w:rFonts w:cs="Calibri"/>
        </w:rPr>
        <w:t>as at Wairakei and Ohaaki geothermal stations (New Zealand Institute of Chemistry, 1998)</w:t>
      </w:r>
      <w:bookmarkEnd w:id="381"/>
      <w:bookmarkEnd w:id="382"/>
      <w:bookmarkEnd w:id="383"/>
      <w:bookmarkEnd w:id="384"/>
      <w:bookmarkEnd w:id="385"/>
      <w:bookmarkEnd w:id="386"/>
      <w:bookmarkEnd w:id="387"/>
      <w:bookmarkEnd w:id="388"/>
      <w:bookmarkEnd w:id="389"/>
      <w:bookmarkEnd w:id="390"/>
    </w:p>
    <w:p w14:paraId="723DE786" w14:textId="296FF67B" w:rsidR="00D97D6C" w:rsidRPr="001D5327" w:rsidRDefault="00000000" w:rsidP="008F4423">
      <w:pPr>
        <w:pStyle w:val="BodyText"/>
        <w:spacing w:after="160"/>
        <w:jc w:val="center"/>
        <w:rPr>
          <w:rFonts w:cs="Calibri"/>
        </w:rPr>
      </w:pPr>
      <w:r>
        <w:rPr>
          <w:rFonts w:cs="Calibri"/>
        </w:rPr>
        <w:pict w14:anchorId="7E0E6AC0">
          <v:shape id="_x0000_i1026" type="#_x0000_t75" style="width:331pt;height:305.2pt">
            <v:imagedata r:id="rId70" o:title=""/>
          </v:shape>
        </w:pict>
      </w:r>
    </w:p>
    <w:p w14:paraId="4BE7FD56" w14:textId="0BD0DB84" w:rsidR="00D97D6C" w:rsidRPr="001D5327" w:rsidRDefault="00D97D6C" w:rsidP="008F4423">
      <w:pPr>
        <w:pStyle w:val="BodyText"/>
        <w:spacing w:after="100"/>
        <w:rPr>
          <w:rFonts w:cs="Calibri"/>
        </w:rPr>
      </w:pPr>
      <w:r w:rsidRPr="001D5327">
        <w:rPr>
          <w:rFonts w:cs="Calibri"/>
        </w:rPr>
        <w:t xml:space="preserve">Emissions from geothermal activities </w:t>
      </w:r>
      <w:r w:rsidR="00387826" w:rsidRPr="001D5327">
        <w:rPr>
          <w:rFonts w:cs="Calibri"/>
        </w:rPr>
        <w:t>increased</w:t>
      </w:r>
      <w:r w:rsidRPr="001D5327">
        <w:rPr>
          <w:rFonts w:cs="Calibri"/>
        </w:rPr>
        <w:t xml:space="preserve"> </w:t>
      </w:r>
      <w:r w:rsidR="005E1FAB" w:rsidRPr="001D5327">
        <w:rPr>
          <w:rFonts w:cs="Calibri"/>
        </w:rPr>
        <w:t>up until around 2015</w:t>
      </w:r>
      <w:r w:rsidRPr="001D5327">
        <w:rPr>
          <w:rFonts w:cs="Calibri"/>
        </w:rPr>
        <w:t xml:space="preserve">. The increases </w:t>
      </w:r>
      <w:r w:rsidR="005E1FAB" w:rsidRPr="001D5327">
        <w:rPr>
          <w:rFonts w:cs="Calibri"/>
        </w:rPr>
        <w:t>were</w:t>
      </w:r>
      <w:r w:rsidRPr="001D5327">
        <w:rPr>
          <w:rFonts w:cs="Calibri"/>
        </w:rPr>
        <w:t xml:space="preserve"> related to electricity generation, particularly with the additions of the 100 MW Kawerau geothermal plant since late 2008, Nga Awa Purua and Te Huka since 2010, Nga</w:t>
      </w:r>
      <w:r w:rsidR="6134C7D4" w:rsidRPr="001D5327">
        <w:rPr>
          <w:rFonts w:cs="Calibri"/>
        </w:rPr>
        <w:t xml:space="preserve"> T</w:t>
      </w:r>
      <w:r w:rsidRPr="001D5327">
        <w:rPr>
          <w:rFonts w:cs="Calibri"/>
        </w:rPr>
        <w:t>amariki since 2013 and Te Mihi since 2014.</w:t>
      </w:r>
    </w:p>
    <w:p w14:paraId="1DEE973F" w14:textId="77777777" w:rsidR="00D97D6C" w:rsidRPr="001D5327" w:rsidRDefault="00D97D6C" w:rsidP="00D97D6C">
      <w:pPr>
        <w:pStyle w:val="BodyText"/>
        <w:spacing w:before="100" w:after="100"/>
        <w:rPr>
          <w:lang w:eastAsia="en-GB"/>
        </w:rPr>
      </w:pPr>
      <w:r w:rsidRPr="001D5327">
        <w:rPr>
          <w:lang w:eastAsia="en-GB"/>
        </w:rPr>
        <w:lastRenderedPageBreak/>
        <w:t xml:space="preserve">The schedules to the Climate Change Response Act 2002 create obligations for people carrying out certain activities to report greenhouse gas emissions as part of the NZ ETS. The Climate Change (Stationary Energy and Industrial Processes) Regulations 2009 and Climate Change (Liquid Fossil Fuels) Amendment Regulations 2009 set out the data-collection requirements and methods for participants in those sectors to calculate their emissions, including prescribed default emission factors. </w:t>
      </w:r>
    </w:p>
    <w:p w14:paraId="652D1EE8" w14:textId="77777777" w:rsidR="00D97D6C" w:rsidRPr="001D5327" w:rsidRDefault="00D97D6C" w:rsidP="00D97D6C">
      <w:pPr>
        <w:pStyle w:val="BodyText"/>
        <w:spacing w:before="100" w:after="100"/>
        <w:rPr>
          <w:lang w:eastAsia="en-GB"/>
        </w:rPr>
      </w:pPr>
      <w:r w:rsidRPr="001D5327">
        <w:rPr>
          <w:lang w:eastAsia="en-GB"/>
        </w:rPr>
        <w:t xml:space="preserve">The Climate Change (Unique Emissions Factors) Regulations 2009 outline requirements for participants in certain sectors to calculate a unique emission factor (UEF) and apply for approval to use it in place of a default emission factor to calculate and report on emissions. Users of geothermal fluid are eligible to apply for a UEF. </w:t>
      </w:r>
    </w:p>
    <w:p w14:paraId="0F078E04" w14:textId="77777777" w:rsidR="00D97D6C" w:rsidRPr="001D5327" w:rsidRDefault="00D97D6C" w:rsidP="00D97D6C">
      <w:pPr>
        <w:pStyle w:val="BodyText"/>
        <w:rPr>
          <w:lang w:eastAsia="en-GB"/>
        </w:rPr>
      </w:pPr>
      <w:r w:rsidRPr="001D5327">
        <w:rPr>
          <w:lang w:eastAsia="en-GB"/>
        </w:rPr>
        <w:t xml:space="preserve">Operators could first apply for UEFs in 2010. MBIE received five applications relating to the use of UEFs for geothermal fluid for that calendar year. These five approved UEFs were then adopted for the inventory after careful assessment of the impact on the level of emissions and the time-series consistency. </w:t>
      </w:r>
    </w:p>
    <w:p w14:paraId="2FDFD9DD" w14:textId="204C2512" w:rsidR="00D97D6C" w:rsidRPr="001D5327" w:rsidRDefault="00D97D6C" w:rsidP="00D97D6C">
      <w:pPr>
        <w:pStyle w:val="BodyText"/>
        <w:rPr>
          <w:lang w:eastAsia="en-GB"/>
        </w:rPr>
      </w:pPr>
      <w:r w:rsidRPr="001D5327">
        <w:rPr>
          <w:lang w:eastAsia="en-GB"/>
        </w:rPr>
        <w:t xml:space="preserve">Because 2010 was the introduction year, MBIE </w:t>
      </w:r>
      <w:r w:rsidR="003E7147" w:rsidRPr="001D5327">
        <w:rPr>
          <w:lang w:eastAsia="en-GB"/>
        </w:rPr>
        <w:t>decided</w:t>
      </w:r>
      <w:r w:rsidRPr="001D5327">
        <w:rPr>
          <w:lang w:eastAsia="en-GB"/>
        </w:rPr>
        <w:t xml:space="preserve"> that the UEF would apply only to years for which sufficient data are available, that is, from 2010 onward. This submission continues with this approach. From 1990 to 2009, emissions are calculated using field-specific default emission factors. Emissions from 2010 onwards are calculated using UEFs where available and field-specific default emission factors otherwise.</w:t>
      </w:r>
    </w:p>
    <w:p w14:paraId="39B5C5C8" w14:textId="46EA1ECE" w:rsidR="00D97D6C" w:rsidRPr="001D5327" w:rsidRDefault="00D97D6C" w:rsidP="00D97D6C">
      <w:pPr>
        <w:pStyle w:val="BodyText"/>
        <w:spacing w:after="240"/>
        <w:rPr>
          <w:lang w:eastAsia="en-GB"/>
        </w:rPr>
      </w:pPr>
      <w:r w:rsidRPr="001D5327">
        <w:rPr>
          <w:lang w:eastAsia="en-GB"/>
        </w:rPr>
        <w:t xml:space="preserve">When </w:t>
      </w:r>
      <w:r w:rsidR="009E40A3" w:rsidRPr="001D5327">
        <w:rPr>
          <w:lang w:eastAsia="en-GB"/>
        </w:rPr>
        <w:t xml:space="preserve">a sufficient number of </w:t>
      </w:r>
      <w:r w:rsidRPr="001D5327">
        <w:rPr>
          <w:lang w:eastAsia="en-GB"/>
        </w:rPr>
        <w:t>years of UEF data are available for comparison, the 1990 to 2009 emission factors for each affected field will be reviewed.</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8505"/>
      </w:tblGrid>
      <w:tr w:rsidR="00D97D6C" w:rsidRPr="001D5327" w14:paraId="6D163B01" w14:textId="77777777" w:rsidTr="00B55F24">
        <w:tc>
          <w:tcPr>
            <w:tcW w:w="7938" w:type="dxa"/>
            <w:shd w:val="clear" w:color="auto" w:fill="auto"/>
          </w:tcPr>
          <w:p w14:paraId="0D7162F9" w14:textId="77777777" w:rsidR="00D97D6C" w:rsidRPr="001D5327" w:rsidRDefault="00D97D6C" w:rsidP="00B55F24">
            <w:pPr>
              <w:pStyle w:val="BodyText"/>
              <w:spacing w:before="240" w:after="0"/>
              <w:ind w:left="284"/>
              <w:rPr>
                <w:rFonts w:eastAsia="Calibri"/>
                <w:b/>
                <w:bCs/>
              </w:rPr>
            </w:pPr>
            <w:r w:rsidRPr="001D5327">
              <w:rPr>
                <w:rFonts w:eastAsia="Calibri"/>
                <w:b/>
                <w:bCs/>
              </w:rPr>
              <w:t>Geothermal methodology for Company A</w:t>
            </w:r>
          </w:p>
          <w:p w14:paraId="51EEB1B7" w14:textId="12DA646B" w:rsidR="00D97D6C" w:rsidRPr="001D5327" w:rsidRDefault="00D97D6C" w:rsidP="00B55F24">
            <w:pPr>
              <w:pStyle w:val="BodyText"/>
              <w:spacing w:before="100" w:after="80"/>
              <w:ind w:left="284" w:right="284"/>
              <w:rPr>
                <w:rFonts w:eastAsia="Calibri" w:cs="Calibri"/>
                <w:sz w:val="20"/>
              </w:rPr>
            </w:pPr>
            <w:r w:rsidRPr="001D5327">
              <w:rPr>
                <w:rFonts w:eastAsia="Calibri" w:cs="Calibri"/>
                <w:sz w:val="20"/>
              </w:rPr>
              <w:t>At Company A, quarterly gas sampling analysis is conducted to measure the amount of carbon dioxide (</w:t>
            </w:r>
            <w:r w:rsidRPr="001D5327">
              <w:rPr>
                <w:rFonts w:cs="Calibri"/>
                <w:sz w:val="20"/>
              </w:rPr>
              <w:t>CO</w:t>
            </w:r>
            <w:r w:rsidRPr="001D5327">
              <w:rPr>
                <w:rFonts w:cs="Calibri"/>
                <w:sz w:val="20"/>
                <w:vertAlign w:val="subscript"/>
              </w:rPr>
              <w:t>2</w:t>
            </w:r>
            <w:r w:rsidRPr="001D5327">
              <w:rPr>
                <w:rFonts w:cs="Calibri"/>
                <w:sz w:val="20"/>
              </w:rPr>
              <w:t>)</w:t>
            </w:r>
            <w:r w:rsidRPr="001D5327">
              <w:rPr>
                <w:rFonts w:eastAsia="Calibri" w:cs="Calibri"/>
                <w:sz w:val="20"/>
              </w:rPr>
              <w:t xml:space="preserve"> and methane (</w:t>
            </w:r>
            <w:r w:rsidRPr="001D5327">
              <w:rPr>
                <w:rFonts w:cs="Calibri"/>
                <w:sz w:val="20"/>
              </w:rPr>
              <w:t>CH</w:t>
            </w:r>
            <w:r w:rsidRPr="001D5327">
              <w:rPr>
                <w:rFonts w:cs="Calibri"/>
                <w:sz w:val="20"/>
                <w:vertAlign w:val="subscript"/>
              </w:rPr>
              <w:t>4</w:t>
            </w:r>
            <w:r w:rsidRPr="001D5327">
              <w:rPr>
                <w:rFonts w:cs="Calibri"/>
                <w:sz w:val="20"/>
              </w:rPr>
              <w:t>)</w:t>
            </w:r>
            <w:r w:rsidRPr="001D5327">
              <w:rPr>
                <w:rFonts w:eastAsia="Calibri" w:cs="Calibri"/>
                <w:sz w:val="20"/>
              </w:rPr>
              <w:t xml:space="preserve"> in the steam. Gas samples are collected at the inlet to the electricity generation station and at the extraction process when gas is dissolved in the condensate (wastewater).</w:t>
            </w:r>
          </w:p>
          <w:p w14:paraId="4D24895B" w14:textId="77777777" w:rsidR="00D97D6C" w:rsidRPr="001D5327" w:rsidRDefault="00D97D6C" w:rsidP="00B55F24">
            <w:pPr>
              <w:pStyle w:val="BodyText"/>
              <w:ind w:left="284" w:right="284"/>
              <w:rPr>
                <w:rFonts w:eastAsia="Calibri" w:cs="Calibri"/>
                <w:sz w:val="20"/>
              </w:rPr>
            </w:pPr>
            <w:r w:rsidRPr="001D5327">
              <w:rPr>
                <w:rFonts w:eastAsia="Calibri" w:cs="Calibri"/>
                <w:sz w:val="20"/>
              </w:rPr>
              <w:t xml:space="preserve">The concentration of </w:t>
            </w:r>
            <w:r w:rsidRPr="001D5327">
              <w:rPr>
                <w:rFonts w:cs="Calibri"/>
                <w:sz w:val="20"/>
              </w:rPr>
              <w:t>CO</w:t>
            </w:r>
            <w:r w:rsidRPr="001D5327">
              <w:rPr>
                <w:rFonts w:cs="Calibri"/>
                <w:sz w:val="20"/>
                <w:vertAlign w:val="subscript"/>
              </w:rPr>
              <w:t>2</w:t>
            </w:r>
            <w:r w:rsidRPr="001D5327">
              <w:rPr>
                <w:rFonts w:eastAsia="Calibri" w:cs="Calibri"/>
                <w:sz w:val="20"/>
              </w:rPr>
              <w:t xml:space="preserve"> (e.g., 0.612 per cent) and </w:t>
            </w:r>
            <w:r w:rsidRPr="001D5327">
              <w:rPr>
                <w:rFonts w:cs="Calibri"/>
                <w:sz w:val="20"/>
              </w:rPr>
              <w:t>CH</w:t>
            </w:r>
            <w:r w:rsidRPr="001D5327">
              <w:rPr>
                <w:rFonts w:cs="Calibri"/>
                <w:sz w:val="20"/>
                <w:vertAlign w:val="subscript"/>
              </w:rPr>
              <w:t>4</w:t>
            </w:r>
            <w:r w:rsidRPr="001D5327">
              <w:rPr>
                <w:rFonts w:eastAsia="Calibri" w:cs="Calibri"/>
                <w:sz w:val="20"/>
              </w:rPr>
              <w:t xml:space="preserve"> (e.g., 0.0029 per cent) by weight of discharged steam is then calculated by carrying out a mass balance.</w:t>
            </w:r>
          </w:p>
          <w:p w14:paraId="0DB633AA" w14:textId="77777777" w:rsidR="00D97D6C" w:rsidRPr="001D5327" w:rsidRDefault="00D97D6C" w:rsidP="00B55F24">
            <w:pPr>
              <w:spacing w:before="60"/>
              <w:ind w:left="284" w:right="284"/>
              <w:jc w:val="center"/>
              <w:rPr>
                <w:rFonts w:eastAsia="Calibri" w:cs="Calibri"/>
                <w:i/>
                <w:sz w:val="20"/>
              </w:rPr>
            </w:pPr>
            <w:r w:rsidRPr="001D5327">
              <w:rPr>
                <w:rFonts w:eastAsia="Calibri" w:cs="Calibri"/>
                <w:i/>
                <w:sz w:val="20"/>
              </w:rPr>
              <w:t xml:space="preserve">‘Gas discharged to atmosphere’ = ‘Gas to electricity generation station’ </w:t>
            </w:r>
            <w:r w:rsidRPr="001D5327">
              <w:rPr>
                <w:rFonts w:cs="Calibri"/>
                <w:sz w:val="20"/>
              </w:rPr>
              <w:t>–</w:t>
            </w:r>
            <w:r w:rsidRPr="001D5327">
              <w:rPr>
                <w:rFonts w:eastAsia="Calibri" w:cs="Calibri"/>
                <w:i/>
                <w:sz w:val="20"/>
              </w:rPr>
              <w:t xml:space="preserve"> ‘Gas dissolved in condensate’</w:t>
            </w:r>
          </w:p>
          <w:p w14:paraId="21E8BECD" w14:textId="77777777" w:rsidR="00D97D6C" w:rsidRPr="001D5327" w:rsidRDefault="00D97D6C" w:rsidP="00B55F24">
            <w:pPr>
              <w:pStyle w:val="BodyText"/>
              <w:spacing w:after="80"/>
              <w:ind w:left="284" w:right="284"/>
              <w:rPr>
                <w:rFonts w:eastAsia="Calibri" w:cs="Calibri"/>
                <w:sz w:val="20"/>
              </w:rPr>
            </w:pPr>
            <w:r w:rsidRPr="001D5327">
              <w:rPr>
                <w:rFonts w:eastAsia="Calibri" w:cs="Calibri"/>
                <w:sz w:val="20"/>
              </w:rPr>
              <w:t xml:space="preserve">Company A also collects information on the average steam flow (tonnes of steam per hour) to the electricity generation station. This average steam flow is based on an annual average (e.g., 582.3 tonnes of steam per hour). </w:t>
            </w:r>
          </w:p>
          <w:p w14:paraId="78EC813B" w14:textId="77777777" w:rsidR="00D97D6C" w:rsidRPr="001D5327" w:rsidRDefault="00D97D6C" w:rsidP="00B55F24">
            <w:pPr>
              <w:pStyle w:val="BodyText"/>
              <w:spacing w:before="80" w:after="80"/>
              <w:ind w:left="284" w:right="284"/>
              <w:rPr>
                <w:rFonts w:eastAsia="Calibri" w:cs="Calibri"/>
                <w:sz w:val="20"/>
              </w:rPr>
            </w:pPr>
            <w:r w:rsidRPr="001D5327">
              <w:rPr>
                <w:rFonts w:eastAsia="Calibri" w:cs="Calibri"/>
                <w:sz w:val="20"/>
              </w:rPr>
              <w:t xml:space="preserve">Therefore, working out </w:t>
            </w:r>
            <w:r w:rsidRPr="001D5327">
              <w:rPr>
                <w:rFonts w:cs="Calibri"/>
                <w:sz w:val="20"/>
              </w:rPr>
              <w:t>CO</w:t>
            </w:r>
            <w:r w:rsidRPr="001D5327">
              <w:rPr>
                <w:rFonts w:cs="Calibri"/>
                <w:sz w:val="20"/>
                <w:vertAlign w:val="subscript"/>
              </w:rPr>
              <w:t>2</w:t>
            </w:r>
            <w:r w:rsidRPr="001D5327">
              <w:rPr>
                <w:rFonts w:eastAsia="Calibri" w:cs="Calibri"/>
                <w:sz w:val="20"/>
              </w:rPr>
              <w:t xml:space="preserve"> emissions discharged to the atmosphere involves the following calculations.</w:t>
            </w:r>
          </w:p>
          <w:p w14:paraId="2426AE92" w14:textId="77777777" w:rsidR="00D97D6C" w:rsidRPr="001D5327" w:rsidRDefault="00D97D6C" w:rsidP="00B55F24">
            <w:pPr>
              <w:pStyle w:val="BodyText"/>
              <w:keepNext/>
              <w:spacing w:before="80" w:after="80"/>
              <w:ind w:left="284" w:right="284"/>
              <w:rPr>
                <w:rFonts w:eastAsia="Calibri" w:cs="Calibri"/>
                <w:sz w:val="20"/>
              </w:rPr>
            </w:pPr>
            <w:r w:rsidRPr="001D5327">
              <w:rPr>
                <w:rFonts w:eastAsia="Calibri" w:cs="Calibri"/>
                <w:sz w:val="20"/>
              </w:rPr>
              <w:t xml:space="preserve">Average discharge per hour is calculated as: </w:t>
            </w:r>
          </w:p>
          <w:p w14:paraId="7B03CD82" w14:textId="0F2D24EC" w:rsidR="00D97D6C" w:rsidRPr="001D5327" w:rsidRDefault="00022AD2" w:rsidP="00B55F24">
            <w:pPr>
              <w:ind w:left="284" w:right="284"/>
              <w:jc w:val="center"/>
              <w:rPr>
                <w:rFonts w:eastAsia="Calibri"/>
                <w:sz w:val="20"/>
                <w:szCs w:val="20"/>
              </w:rPr>
            </w:pPr>
            <m:oMathPara>
              <m:oMath>
                <m:r>
                  <w:rPr>
                    <w:rFonts w:ascii="Cambria Math" w:hAnsi="Cambria Math"/>
                    <w:sz w:val="20"/>
                    <w:szCs w:val="20"/>
                  </w:rPr>
                  <m:t>582.3</m:t>
                </m:r>
                <m:f>
                  <m:fPr>
                    <m:ctrlPr>
                      <w:rPr>
                        <w:rFonts w:ascii="Cambria Math" w:hAnsi="Cambria Math"/>
                        <w:sz w:val="20"/>
                        <w:szCs w:val="20"/>
                      </w:rPr>
                    </m:ctrlPr>
                  </m:fPr>
                  <m:num>
                    <m:r>
                      <w:rPr>
                        <w:rFonts w:ascii="Cambria Math" w:hAnsi="Cambria Math"/>
                        <w:sz w:val="20"/>
                        <w:szCs w:val="20"/>
                      </w:rPr>
                      <m:t>tonnes of steam</m:t>
                    </m:r>
                  </m:num>
                  <m:den>
                    <m:r>
                      <w:rPr>
                        <w:rFonts w:ascii="Cambria Math" w:hAnsi="Cambria Math"/>
                        <w:sz w:val="20"/>
                        <w:szCs w:val="20"/>
                      </w:rPr>
                      <m:t>hour</m:t>
                    </m:r>
                  </m:den>
                </m:f>
                <m: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0.612</m:t>
                    </m:r>
                  </m:num>
                  <m:den>
                    <m:r>
                      <w:rPr>
                        <w:rFonts w:ascii="Cambria Math" w:hAnsi="Cambria Math"/>
                        <w:sz w:val="20"/>
                        <w:szCs w:val="20"/>
                      </w:rPr>
                      <m:t>100</m:t>
                    </m:r>
                  </m:den>
                </m:f>
                <m:f>
                  <m:fPr>
                    <m:ctrlPr>
                      <w:rPr>
                        <w:rFonts w:ascii="Cambria Math" w:hAnsi="Cambria Math"/>
                        <w:sz w:val="20"/>
                        <w:szCs w:val="20"/>
                      </w:rPr>
                    </m:ctrlPr>
                  </m:fPr>
                  <m:num>
                    <m:r>
                      <w:rPr>
                        <w:rFonts w:ascii="Cambria Math" w:hAnsi="Cambria Math"/>
                        <w:sz w:val="20"/>
                        <w:szCs w:val="20"/>
                      </w:rPr>
                      <m:t>tonnes of C</m:t>
                    </m:r>
                    <m:sSub>
                      <m:sSubPr>
                        <m:ctrlPr>
                          <w:rPr>
                            <w:rFonts w:ascii="Cambria Math" w:hAnsi="Cambria Math"/>
                            <w:sz w:val="20"/>
                            <w:szCs w:val="20"/>
                          </w:rPr>
                        </m:ctrlPr>
                      </m:sSubPr>
                      <m:e>
                        <m:r>
                          <w:rPr>
                            <w:rFonts w:ascii="Cambria Math" w:hAnsi="Cambria Math"/>
                            <w:sz w:val="20"/>
                            <w:szCs w:val="20"/>
                          </w:rPr>
                          <m:t>O</m:t>
                        </m:r>
                      </m:e>
                      <m:sub>
                        <m:r>
                          <w:rPr>
                            <w:rFonts w:ascii="Cambria Math" w:hAnsi="Cambria Math"/>
                            <w:sz w:val="20"/>
                            <w:szCs w:val="20"/>
                          </w:rPr>
                          <m:t>2</m:t>
                        </m:r>
                      </m:sub>
                    </m:sSub>
                  </m:num>
                  <m:den>
                    <m:r>
                      <w:rPr>
                        <w:rFonts w:ascii="Cambria Math" w:hAnsi="Cambria Math"/>
                        <w:sz w:val="20"/>
                        <w:szCs w:val="20"/>
                      </w:rPr>
                      <m:t>tonnes of steam</m:t>
                    </m:r>
                  </m:den>
                </m:f>
                <m:r>
                  <w:rPr>
                    <w:rFonts w:ascii="Cambria Math" w:hAnsi="Cambria Math"/>
                    <w:sz w:val="20"/>
                    <w:szCs w:val="20"/>
                  </w:rPr>
                  <m:t>=3.565</m:t>
                </m:r>
                <m:f>
                  <m:fPr>
                    <m:ctrlPr>
                      <w:rPr>
                        <w:rFonts w:ascii="Cambria Math" w:hAnsi="Cambria Math"/>
                        <w:sz w:val="20"/>
                        <w:szCs w:val="20"/>
                      </w:rPr>
                    </m:ctrlPr>
                  </m:fPr>
                  <m:num>
                    <m:r>
                      <w:rPr>
                        <w:rFonts w:ascii="Cambria Math" w:hAnsi="Cambria Math"/>
                        <w:sz w:val="20"/>
                        <w:szCs w:val="20"/>
                      </w:rPr>
                      <m:t>tonnes of C</m:t>
                    </m:r>
                    <m:sSub>
                      <m:sSubPr>
                        <m:ctrlPr>
                          <w:rPr>
                            <w:rFonts w:ascii="Cambria Math" w:hAnsi="Cambria Math"/>
                            <w:sz w:val="20"/>
                            <w:szCs w:val="20"/>
                          </w:rPr>
                        </m:ctrlPr>
                      </m:sSubPr>
                      <m:e>
                        <m:r>
                          <w:rPr>
                            <w:rFonts w:ascii="Cambria Math" w:hAnsi="Cambria Math"/>
                            <w:sz w:val="20"/>
                            <w:szCs w:val="20"/>
                          </w:rPr>
                          <m:t>O</m:t>
                        </m:r>
                      </m:e>
                      <m:sub>
                        <m:r>
                          <w:rPr>
                            <w:rFonts w:ascii="Cambria Math" w:hAnsi="Cambria Math"/>
                            <w:sz w:val="20"/>
                            <w:szCs w:val="20"/>
                          </w:rPr>
                          <m:t>2</m:t>
                        </m:r>
                      </m:sub>
                    </m:sSub>
                  </m:num>
                  <m:den>
                    <m:r>
                      <w:rPr>
                        <w:rFonts w:ascii="Cambria Math" w:hAnsi="Cambria Math"/>
                        <w:sz w:val="20"/>
                        <w:szCs w:val="20"/>
                      </w:rPr>
                      <m:t>hour</m:t>
                    </m:r>
                  </m:den>
                </m:f>
              </m:oMath>
            </m:oMathPara>
          </w:p>
          <w:p w14:paraId="5BEFF673" w14:textId="77777777" w:rsidR="00D97D6C" w:rsidRPr="001D5327" w:rsidRDefault="00D97D6C" w:rsidP="00B55F24">
            <w:pPr>
              <w:spacing w:before="120" w:after="120"/>
              <w:ind w:left="284" w:right="284"/>
              <w:rPr>
                <w:rFonts w:eastAsia="Calibri" w:cs="Calibri"/>
                <w:sz w:val="20"/>
              </w:rPr>
            </w:pPr>
            <w:r w:rsidRPr="001D5327">
              <w:rPr>
                <w:rFonts w:eastAsia="Calibri" w:cs="Calibri"/>
                <w:sz w:val="20"/>
              </w:rPr>
              <w:t>And the total discharge per year is:</w:t>
            </w:r>
          </w:p>
          <w:p w14:paraId="1FCE8E4B" w14:textId="0BF244ED" w:rsidR="00D97D6C" w:rsidRPr="001D5327" w:rsidRDefault="00022AD2" w:rsidP="00B55F24">
            <w:pPr>
              <w:ind w:left="284" w:right="284"/>
              <w:jc w:val="center"/>
              <w:rPr>
                <w:rFonts w:eastAsia="Calibri" w:cs="Calibri"/>
                <w:sz w:val="18"/>
                <w:szCs w:val="18"/>
              </w:rPr>
            </w:pPr>
            <m:oMathPara>
              <m:oMath>
                <m:r>
                  <w:rPr>
                    <w:rFonts w:ascii="Cambria Math" w:hAnsi="Cambria Math"/>
                    <w:sz w:val="20"/>
                    <w:szCs w:val="20"/>
                  </w:rPr>
                  <m:t>3.565</m:t>
                </m:r>
                <m:f>
                  <m:fPr>
                    <m:ctrlPr>
                      <w:rPr>
                        <w:rFonts w:ascii="Cambria Math" w:hAnsi="Cambria Math"/>
                        <w:sz w:val="20"/>
                        <w:szCs w:val="20"/>
                      </w:rPr>
                    </m:ctrlPr>
                  </m:fPr>
                  <m:num>
                    <m:r>
                      <w:rPr>
                        <w:rFonts w:ascii="Cambria Math" w:hAnsi="Cambria Math"/>
                        <w:sz w:val="20"/>
                        <w:szCs w:val="20"/>
                      </w:rPr>
                      <m:t>tonnes of C</m:t>
                    </m:r>
                    <m:sSub>
                      <m:sSubPr>
                        <m:ctrlPr>
                          <w:rPr>
                            <w:rFonts w:ascii="Cambria Math" w:hAnsi="Cambria Math"/>
                            <w:sz w:val="20"/>
                            <w:szCs w:val="20"/>
                          </w:rPr>
                        </m:ctrlPr>
                      </m:sSubPr>
                      <m:e>
                        <m:r>
                          <w:rPr>
                            <w:rFonts w:ascii="Cambria Math" w:hAnsi="Cambria Math"/>
                            <w:sz w:val="20"/>
                            <w:szCs w:val="20"/>
                          </w:rPr>
                          <m:t>O</m:t>
                        </m:r>
                      </m:e>
                      <m:sub>
                        <m:r>
                          <w:rPr>
                            <w:rFonts w:ascii="Cambria Math" w:hAnsi="Cambria Math"/>
                            <w:sz w:val="20"/>
                            <w:szCs w:val="20"/>
                          </w:rPr>
                          <m:t>2</m:t>
                        </m:r>
                      </m:sub>
                    </m:sSub>
                  </m:num>
                  <m:den>
                    <m:r>
                      <w:rPr>
                        <w:rFonts w:ascii="Cambria Math" w:hAnsi="Cambria Math"/>
                        <w:sz w:val="20"/>
                        <w:szCs w:val="20"/>
                      </w:rPr>
                      <m:t>hour</m:t>
                    </m:r>
                  </m:den>
                </m:f>
                <m:r>
                  <w:rPr>
                    <w:rFonts w:ascii="Cambria Math" w:hAnsi="Cambria Math"/>
                    <w:sz w:val="20"/>
                    <w:szCs w:val="20"/>
                  </w:rPr>
                  <m:t>×</m:t>
                </m:r>
                <m:r>
                  <w:rPr>
                    <w:rFonts w:ascii="Cambria Math" w:eastAsia="Calibri" w:hAnsi="Cambria Math"/>
                    <w:sz w:val="20"/>
                    <w:szCs w:val="20"/>
                  </w:rPr>
                  <m:t>8,760</m:t>
                </m:r>
                <m:f>
                  <m:fPr>
                    <m:ctrlPr>
                      <w:rPr>
                        <w:rFonts w:ascii="Cambria Math" w:hAnsi="Cambria Math"/>
                        <w:sz w:val="20"/>
                        <w:szCs w:val="20"/>
                      </w:rPr>
                    </m:ctrlPr>
                  </m:fPr>
                  <m:num>
                    <m:r>
                      <w:rPr>
                        <w:rFonts w:ascii="Cambria Math" w:eastAsia="Calibri" w:hAnsi="Cambria Math"/>
                        <w:sz w:val="20"/>
                        <w:szCs w:val="20"/>
                      </w:rPr>
                      <m:t>hours</m:t>
                    </m:r>
                  </m:num>
                  <m:den>
                    <m:r>
                      <w:rPr>
                        <w:rFonts w:ascii="Cambria Math" w:eastAsia="Calibri" w:hAnsi="Cambria Math"/>
                        <w:sz w:val="20"/>
                        <w:szCs w:val="20"/>
                      </w:rPr>
                      <m:t>year</m:t>
                    </m:r>
                  </m:den>
                </m:f>
                <m:r>
                  <w:rPr>
                    <w:rFonts w:ascii="Cambria Math" w:eastAsia="Calibri" w:hAnsi="Cambria Math"/>
                    <w:sz w:val="20"/>
                    <w:szCs w:val="20"/>
                  </w:rPr>
                  <m:t>=31,230</m:t>
                </m:r>
                <m:r>
                  <w:rPr>
                    <w:rFonts w:ascii="Cambria Math" w:hAnsi="Cambria Math"/>
                    <w:sz w:val="20"/>
                    <w:szCs w:val="20"/>
                  </w:rPr>
                  <m:t> </m:t>
                </m:r>
                <m:r>
                  <w:rPr>
                    <w:rFonts w:ascii="Cambria Math" w:eastAsia="Calibri" w:hAnsi="Cambria Math"/>
                    <w:sz w:val="20"/>
                    <w:szCs w:val="20"/>
                  </w:rPr>
                  <m:t>tonnes</m:t>
                </m:r>
                <m:r>
                  <w:rPr>
                    <w:rFonts w:ascii="Cambria Math" w:hAnsi="Cambria Math"/>
                    <w:sz w:val="20"/>
                    <w:szCs w:val="20"/>
                  </w:rPr>
                  <m:t> </m:t>
                </m:r>
                <m:r>
                  <w:rPr>
                    <w:rFonts w:ascii="Cambria Math" w:eastAsia="Calibri" w:hAnsi="Cambria Math"/>
                    <w:sz w:val="20"/>
                    <w:szCs w:val="20"/>
                  </w:rPr>
                  <m:t>of</m:t>
                </m:r>
                <m:r>
                  <w:rPr>
                    <w:rFonts w:ascii="Cambria Math" w:hAnsi="Cambria Math"/>
                    <w:sz w:val="20"/>
                    <w:szCs w:val="20"/>
                  </w:rPr>
                  <m:t> </m:t>
                </m:r>
                <m:r>
                  <w:rPr>
                    <w:rFonts w:ascii="Cambria Math" w:eastAsia="Calibri" w:hAnsi="Cambria Math"/>
                    <w:sz w:val="20"/>
                    <w:szCs w:val="20"/>
                  </w:rPr>
                  <m:t>C</m:t>
                </m:r>
                <m:sSub>
                  <m:sSubPr>
                    <m:ctrlPr>
                      <w:rPr>
                        <w:rFonts w:ascii="Cambria Math" w:hAnsi="Cambria Math"/>
                        <w:sz w:val="20"/>
                        <w:szCs w:val="20"/>
                      </w:rPr>
                    </m:ctrlPr>
                  </m:sSubPr>
                  <m:e>
                    <m:r>
                      <w:rPr>
                        <w:rFonts w:ascii="Cambria Math" w:eastAsia="Calibri" w:hAnsi="Cambria Math"/>
                        <w:sz w:val="20"/>
                        <w:szCs w:val="20"/>
                      </w:rPr>
                      <m:t>O</m:t>
                    </m:r>
                  </m:e>
                  <m:sub>
                    <m:r>
                      <w:rPr>
                        <w:rFonts w:ascii="Cambria Math" w:eastAsia="Calibri" w:hAnsi="Cambria Math"/>
                        <w:sz w:val="20"/>
                        <w:szCs w:val="20"/>
                      </w:rPr>
                      <m:t>2</m:t>
                    </m:r>
                  </m:sub>
                </m:sSub>
              </m:oMath>
            </m:oMathPara>
          </w:p>
          <w:p w14:paraId="52359808" w14:textId="2F3CB4B8" w:rsidR="00D97D6C" w:rsidRPr="001D5327" w:rsidRDefault="00D97D6C" w:rsidP="00B55F24">
            <w:pPr>
              <w:spacing w:before="120" w:after="180"/>
              <w:ind w:left="284" w:right="284"/>
              <w:rPr>
                <w:rFonts w:eastAsia="Calibri" w:cs="Calibri"/>
                <w:sz w:val="20"/>
                <w:highlight w:val="yellow"/>
              </w:rPr>
            </w:pPr>
            <w:r w:rsidRPr="001D5327">
              <w:rPr>
                <w:rFonts w:eastAsia="Calibri" w:cs="Calibri"/>
                <w:sz w:val="20"/>
              </w:rPr>
              <w:t xml:space="preserve">Using the same methodology above will yield 149 tonnes of </w:t>
            </w:r>
            <w:r w:rsidRPr="001D5327">
              <w:rPr>
                <w:rFonts w:cs="Calibri"/>
                <w:sz w:val="20"/>
              </w:rPr>
              <w:t>CH</w:t>
            </w:r>
            <w:r w:rsidRPr="001D5327">
              <w:rPr>
                <w:rFonts w:cs="Calibri"/>
                <w:sz w:val="20"/>
                <w:vertAlign w:val="subscript"/>
              </w:rPr>
              <w:t>4</w:t>
            </w:r>
            <w:r w:rsidRPr="001D5327">
              <w:rPr>
                <w:rFonts w:eastAsia="Calibri" w:cs="Calibri"/>
                <w:sz w:val="20"/>
              </w:rPr>
              <w:t xml:space="preserve">. The overall emission for Company A is therefore 35,402 tonnes of </w:t>
            </w:r>
            <w:r w:rsidRPr="001D5327">
              <w:rPr>
                <w:rFonts w:cs="Calibri"/>
                <w:sz w:val="20"/>
              </w:rPr>
              <w:t>CO</w:t>
            </w:r>
            <w:r w:rsidRPr="001D5327">
              <w:rPr>
                <w:rFonts w:cs="Calibri"/>
                <w:sz w:val="20"/>
                <w:vertAlign w:val="subscript"/>
              </w:rPr>
              <w:t>2</w:t>
            </w:r>
            <w:r w:rsidRPr="001D5327">
              <w:rPr>
                <w:rFonts w:eastAsia="Calibri" w:cs="Calibri"/>
                <w:sz w:val="20"/>
              </w:rPr>
              <w:t xml:space="preserve">-e emissions. </w:t>
            </w:r>
          </w:p>
        </w:tc>
      </w:tr>
    </w:tbl>
    <w:p w14:paraId="08E275E0" w14:textId="77777777" w:rsidR="00D97D6C" w:rsidRPr="001D5327" w:rsidRDefault="00D97D6C" w:rsidP="00D97D6C">
      <w:pPr>
        <w:pStyle w:val="BodyText"/>
        <w:spacing w:before="40" w:after="60"/>
        <w:rPr>
          <w:rFonts w:cs="Calibri"/>
        </w:rPr>
      </w:pP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8505"/>
      </w:tblGrid>
      <w:tr w:rsidR="00D97D6C" w:rsidRPr="001D5327" w14:paraId="26DDE9D0" w14:textId="77777777" w:rsidTr="00B55F24">
        <w:tc>
          <w:tcPr>
            <w:tcW w:w="7938" w:type="dxa"/>
            <w:shd w:val="clear" w:color="auto" w:fill="auto"/>
          </w:tcPr>
          <w:p w14:paraId="72D0C40D" w14:textId="77777777" w:rsidR="00D97D6C" w:rsidRPr="001D5327" w:rsidRDefault="00D97D6C" w:rsidP="007B3DB0">
            <w:pPr>
              <w:pStyle w:val="BodyText"/>
              <w:spacing w:before="180" w:after="0"/>
              <w:ind w:left="284"/>
              <w:rPr>
                <w:rFonts w:eastAsia="Calibri"/>
                <w:b/>
                <w:bCs/>
              </w:rPr>
            </w:pPr>
            <w:r w:rsidRPr="001D5327">
              <w:rPr>
                <w:rFonts w:eastAsia="Calibri"/>
                <w:b/>
                <w:bCs/>
              </w:rPr>
              <w:t>Geothermal methodology for Company B</w:t>
            </w:r>
          </w:p>
          <w:p w14:paraId="4DFE10F8" w14:textId="4FB87711" w:rsidR="00D97D6C" w:rsidRPr="001D5327" w:rsidRDefault="00D97D6C" w:rsidP="00B55F24">
            <w:pPr>
              <w:pStyle w:val="BodyText"/>
              <w:spacing w:before="100" w:after="180"/>
              <w:ind w:left="284" w:right="284"/>
              <w:rPr>
                <w:rFonts w:eastAsia="Calibri" w:cs="Calibri"/>
                <w:sz w:val="20"/>
              </w:rPr>
            </w:pPr>
            <w:r w:rsidRPr="001D5327">
              <w:rPr>
                <w:rFonts w:eastAsia="Calibri" w:cs="Calibri"/>
                <w:sz w:val="20"/>
              </w:rPr>
              <w:t xml:space="preserve">At Company B, spot measurements of both </w:t>
            </w:r>
            <w:r w:rsidRPr="001D5327">
              <w:rPr>
                <w:rFonts w:cs="Calibri"/>
                <w:sz w:val="20"/>
              </w:rPr>
              <w:t>carbon dioxide</w:t>
            </w:r>
            <w:r w:rsidRPr="001D5327">
              <w:rPr>
                <w:rFonts w:eastAsia="Calibri" w:cs="Calibri"/>
                <w:sz w:val="20"/>
              </w:rPr>
              <w:t xml:space="preserve"> and </w:t>
            </w:r>
            <w:r w:rsidRPr="001D5327">
              <w:rPr>
                <w:rFonts w:cs="Calibri"/>
                <w:sz w:val="20"/>
              </w:rPr>
              <w:t xml:space="preserve">methane </w:t>
            </w:r>
            <w:r w:rsidRPr="001D5327">
              <w:rPr>
                <w:rFonts w:eastAsia="Calibri" w:cs="Calibri"/>
                <w:sz w:val="20"/>
              </w:rPr>
              <w:t>concentrations are taken at the inlet steam when the power stations are operating normally. The net megawatt hours of electricity generated that day are then used to calculate the emission factor. This implied emission factor is then multiplied by the annual amount of electricity generated to work out the annual emissions for each power station.</w:t>
            </w:r>
          </w:p>
        </w:tc>
      </w:tr>
    </w:tbl>
    <w:p w14:paraId="2A5FA3BC" w14:textId="77777777" w:rsidR="00D97D6C" w:rsidRPr="001D5327" w:rsidRDefault="00D97D6C" w:rsidP="00D97D6C">
      <w:pPr>
        <w:pStyle w:val="Heading4"/>
        <w:spacing w:before="320"/>
        <w:rPr>
          <w:lang w:eastAsia="en-GB"/>
        </w:rPr>
      </w:pPr>
      <w:r w:rsidRPr="001D5327">
        <w:rPr>
          <w:lang w:eastAsia="en-GB"/>
        </w:rPr>
        <w:t>Activity data</w:t>
      </w:r>
    </w:p>
    <w:p w14:paraId="32192E9A" w14:textId="77777777" w:rsidR="00D97D6C" w:rsidRPr="001D5327" w:rsidRDefault="00D97D6C" w:rsidP="007B3DB0">
      <w:pPr>
        <w:pStyle w:val="Heading5"/>
        <w:spacing w:before="220"/>
        <w:rPr>
          <w:lang w:eastAsia="en-GB"/>
        </w:rPr>
      </w:pPr>
      <w:r w:rsidRPr="001D5327">
        <w:rPr>
          <w:lang w:eastAsia="en-GB"/>
        </w:rPr>
        <w:t>1.B.2.a.1 Exploration</w:t>
      </w:r>
    </w:p>
    <w:p w14:paraId="0B1D927B" w14:textId="7236AE49" w:rsidR="00D97D6C" w:rsidRPr="001D5327" w:rsidRDefault="00D97D6C" w:rsidP="00D97D6C">
      <w:pPr>
        <w:pStyle w:val="BodyText"/>
        <w:spacing w:before="100" w:after="100"/>
        <w:rPr>
          <w:lang w:eastAsia="en-GB"/>
        </w:rPr>
      </w:pPr>
      <w:r w:rsidRPr="001D5327">
        <w:rPr>
          <w:lang w:eastAsia="en-GB"/>
        </w:rPr>
        <w:t xml:space="preserve">Activity data are the number of wells drilled in each year as reported by New Zealand Petroleum and Minerals (MBIE, </w:t>
      </w:r>
      <w:r w:rsidR="006A21DD" w:rsidRPr="001D5327">
        <w:rPr>
          <w:lang w:eastAsia="en-GB"/>
        </w:rPr>
        <w:t>2024</w:t>
      </w:r>
      <w:r w:rsidR="00282A25" w:rsidRPr="001D5327">
        <w:rPr>
          <w:lang w:eastAsia="en-GB"/>
        </w:rPr>
        <w:t>b</w:t>
      </w:r>
      <w:r w:rsidRPr="001D5327">
        <w:rPr>
          <w:lang w:eastAsia="en-GB"/>
        </w:rPr>
        <w:t>). Data were only available for the years from 2001 onwards, so estimates were made by extrapolation for the years preceding 2001.</w:t>
      </w:r>
    </w:p>
    <w:p w14:paraId="08892592" w14:textId="77777777" w:rsidR="00D97D6C" w:rsidRPr="001D5327" w:rsidRDefault="00D97D6C" w:rsidP="00E5102E">
      <w:pPr>
        <w:pStyle w:val="Heading5"/>
        <w:spacing w:before="220"/>
        <w:rPr>
          <w:lang w:eastAsia="en-GB"/>
        </w:rPr>
      </w:pPr>
      <w:r w:rsidRPr="001D5327">
        <w:rPr>
          <w:lang w:eastAsia="en-GB"/>
        </w:rPr>
        <w:t>1.B.2.a.3 Transport</w:t>
      </w:r>
    </w:p>
    <w:p w14:paraId="1072FDF3" w14:textId="7952755A" w:rsidR="00D97D6C" w:rsidRPr="001D5327" w:rsidRDefault="00D97D6C" w:rsidP="00E5102E">
      <w:pPr>
        <w:pStyle w:val="BodyText"/>
        <w:spacing w:before="100" w:after="100"/>
        <w:rPr>
          <w:rFonts w:cs="Calibri"/>
        </w:rPr>
      </w:pPr>
      <w:r w:rsidRPr="001D5327">
        <w:rPr>
          <w:lang w:eastAsia="en-GB"/>
        </w:rPr>
        <w:t xml:space="preserve">The activity data are New </w:t>
      </w:r>
      <w:r w:rsidRPr="001D5327">
        <w:t>Zealand’s</w:t>
      </w:r>
      <w:r w:rsidRPr="001D5327">
        <w:rPr>
          <w:lang w:eastAsia="en-GB"/>
        </w:rPr>
        <w:t xml:space="preserve"> total production of crude oil (MBIE, </w:t>
      </w:r>
      <w:r w:rsidR="006A21DD" w:rsidRPr="001D5327">
        <w:rPr>
          <w:lang w:eastAsia="en-GB"/>
        </w:rPr>
        <w:t>2024</w:t>
      </w:r>
      <w:r w:rsidR="002D4006" w:rsidRPr="001D5327">
        <w:rPr>
          <w:lang w:eastAsia="en-GB"/>
        </w:rPr>
        <w:t>a</w:t>
      </w:r>
      <w:r w:rsidRPr="001D5327">
        <w:rPr>
          <w:lang w:eastAsia="en-GB"/>
        </w:rPr>
        <w:t xml:space="preserve">). </w:t>
      </w:r>
    </w:p>
    <w:p w14:paraId="268517B0" w14:textId="77777777" w:rsidR="00D97D6C" w:rsidRPr="001D5327" w:rsidRDefault="00D97D6C" w:rsidP="00E5102E">
      <w:pPr>
        <w:pStyle w:val="Heading5"/>
        <w:spacing w:before="220"/>
        <w:rPr>
          <w:lang w:eastAsia="en-GB"/>
        </w:rPr>
      </w:pPr>
      <w:r w:rsidRPr="001D5327">
        <w:rPr>
          <w:lang w:eastAsia="en-GB"/>
        </w:rPr>
        <w:t>1.B.2.a.4 Refining</w:t>
      </w:r>
    </w:p>
    <w:p w14:paraId="5AEA8E8E" w14:textId="66820E19" w:rsidR="00D97D6C" w:rsidRPr="001D5327" w:rsidRDefault="00D97D6C" w:rsidP="00E5102E">
      <w:pPr>
        <w:pStyle w:val="BodyText"/>
        <w:spacing w:before="100" w:after="100"/>
        <w:rPr>
          <w:lang w:eastAsia="en-GB"/>
        </w:rPr>
      </w:pPr>
      <w:r w:rsidRPr="001D5327">
        <w:rPr>
          <w:lang w:eastAsia="en-GB"/>
        </w:rPr>
        <w:t xml:space="preserve">Activity data are total intake at New </w:t>
      </w:r>
      <w:r w:rsidRPr="001D5327">
        <w:t>Zealand’s</w:t>
      </w:r>
      <w:r w:rsidRPr="001D5327">
        <w:rPr>
          <w:lang w:eastAsia="en-GB"/>
        </w:rPr>
        <w:t xml:space="preserve"> Marsden Point Oil Refinery (MBIE, </w:t>
      </w:r>
      <w:r w:rsidR="006A21DD" w:rsidRPr="001D5327">
        <w:rPr>
          <w:lang w:eastAsia="en-GB"/>
        </w:rPr>
        <w:t>2024</w:t>
      </w:r>
      <w:r w:rsidR="002D4006" w:rsidRPr="001D5327">
        <w:rPr>
          <w:lang w:eastAsia="en-GB"/>
        </w:rPr>
        <w:t>a</w:t>
      </w:r>
      <w:r w:rsidRPr="001D5327">
        <w:rPr>
          <w:lang w:eastAsia="en-GB"/>
        </w:rPr>
        <w:t xml:space="preserve">). </w:t>
      </w:r>
    </w:p>
    <w:p w14:paraId="736BD2B2" w14:textId="77777777" w:rsidR="00D97D6C" w:rsidRPr="001D5327" w:rsidRDefault="00D97D6C" w:rsidP="00E5102E">
      <w:pPr>
        <w:pStyle w:val="Heading5"/>
        <w:spacing w:before="220"/>
        <w:rPr>
          <w:lang w:eastAsia="en-GB"/>
        </w:rPr>
      </w:pPr>
      <w:r w:rsidRPr="001D5327">
        <w:rPr>
          <w:lang w:eastAsia="en-GB"/>
        </w:rPr>
        <w:t>1.B.2.a.5 Distribution of oil products</w:t>
      </w:r>
    </w:p>
    <w:p w14:paraId="0A7EF333" w14:textId="56257670" w:rsidR="00D97D6C" w:rsidRPr="001D5327" w:rsidRDefault="00D97D6C" w:rsidP="00E5102E">
      <w:pPr>
        <w:pStyle w:val="BodyText"/>
        <w:spacing w:before="100" w:after="100"/>
        <w:rPr>
          <w:lang w:eastAsia="en-GB"/>
        </w:rPr>
      </w:pPr>
      <w:r w:rsidRPr="001D5327">
        <w:rPr>
          <w:lang w:eastAsia="en-GB"/>
        </w:rPr>
        <w:t xml:space="preserve">Activity data are New Zealand’s total consumption </w:t>
      </w:r>
      <w:r w:rsidRPr="001D5327">
        <w:t>of</w:t>
      </w:r>
      <w:r w:rsidRPr="001D5327">
        <w:rPr>
          <w:lang w:eastAsia="en-GB"/>
        </w:rPr>
        <w:t xml:space="preserve"> gasoline (MBIE, </w:t>
      </w:r>
      <w:r w:rsidR="006A21DD" w:rsidRPr="001D5327">
        <w:rPr>
          <w:lang w:eastAsia="en-GB"/>
        </w:rPr>
        <w:t>2024</w:t>
      </w:r>
      <w:r w:rsidR="002D4006" w:rsidRPr="001D5327">
        <w:rPr>
          <w:lang w:eastAsia="en-GB"/>
        </w:rPr>
        <w:t>a</w:t>
      </w:r>
      <w:r w:rsidRPr="001D5327">
        <w:rPr>
          <w:lang w:eastAsia="en-GB"/>
        </w:rPr>
        <w:t>).</w:t>
      </w:r>
    </w:p>
    <w:p w14:paraId="43449ACF" w14:textId="77777777" w:rsidR="00D97D6C" w:rsidRPr="001D5327" w:rsidRDefault="00D97D6C" w:rsidP="00E5102E">
      <w:pPr>
        <w:pStyle w:val="Heading5"/>
        <w:spacing w:before="220"/>
        <w:rPr>
          <w:lang w:eastAsia="en-GB"/>
        </w:rPr>
      </w:pPr>
      <w:r w:rsidRPr="001D5327">
        <w:rPr>
          <w:lang w:eastAsia="en-GB"/>
        </w:rPr>
        <w:t>1.B.2.b.3 Processing</w:t>
      </w:r>
    </w:p>
    <w:p w14:paraId="39F3C247" w14:textId="77777777" w:rsidR="00D97D6C" w:rsidRPr="001D5327" w:rsidRDefault="00D97D6C" w:rsidP="00E5102E">
      <w:pPr>
        <w:pStyle w:val="BodyText"/>
        <w:spacing w:before="100" w:after="100"/>
        <w:rPr>
          <w:lang w:eastAsia="en-GB"/>
        </w:rPr>
      </w:pPr>
      <w:r w:rsidRPr="001D5327">
        <w:rPr>
          <w:lang w:eastAsia="en-GB"/>
        </w:rPr>
        <w:t>Venting of CO</w:t>
      </w:r>
      <w:r w:rsidRPr="001D5327">
        <w:rPr>
          <w:rFonts w:cs="Calibri"/>
          <w:vertAlign w:val="subscript"/>
          <w:lang w:eastAsia="en-GB"/>
        </w:rPr>
        <w:t>2</w:t>
      </w:r>
      <w:r w:rsidRPr="001D5327">
        <w:rPr>
          <w:lang w:eastAsia="en-GB"/>
        </w:rPr>
        <w:t xml:space="preserve"> is reported in CRT category 1.B.2.c.2, in accordance with a previous ERT recommendation. No activity data are available.</w:t>
      </w:r>
    </w:p>
    <w:p w14:paraId="5770F7C8" w14:textId="77777777" w:rsidR="00D97D6C" w:rsidRPr="001D5327" w:rsidRDefault="00D97D6C" w:rsidP="00E5102E">
      <w:pPr>
        <w:pStyle w:val="Heading5"/>
        <w:spacing w:before="220"/>
        <w:rPr>
          <w:lang w:eastAsia="en-GB"/>
        </w:rPr>
      </w:pPr>
      <w:r w:rsidRPr="001D5327">
        <w:rPr>
          <w:lang w:eastAsia="en-GB"/>
        </w:rPr>
        <w:t>1.B.2.b.4 Transmission and 1.B.2.b.5 Distribution</w:t>
      </w:r>
    </w:p>
    <w:p w14:paraId="23DE9344" w14:textId="77777777" w:rsidR="00D97D6C" w:rsidRPr="001D5327" w:rsidRDefault="00D97D6C" w:rsidP="00E5102E">
      <w:pPr>
        <w:pStyle w:val="BodyText"/>
        <w:spacing w:before="100" w:after="100"/>
        <w:rPr>
          <w:lang w:eastAsia="en-GB"/>
        </w:rPr>
      </w:pPr>
      <w:r w:rsidRPr="001D5327">
        <w:rPr>
          <w:lang w:eastAsia="en-GB"/>
        </w:rPr>
        <w:t xml:space="preserve">Carbon dioxide and </w:t>
      </w:r>
      <w:r w:rsidRPr="001D5327">
        <w:rPr>
          <w:rFonts w:cs="Calibri"/>
        </w:rPr>
        <w:t>CH</w:t>
      </w:r>
      <w:r w:rsidRPr="001D5327">
        <w:rPr>
          <w:rFonts w:cs="Calibri"/>
          <w:vertAlign w:val="subscript"/>
        </w:rPr>
        <w:t>4</w:t>
      </w:r>
      <w:r w:rsidRPr="001D5327">
        <w:rPr>
          <w:rFonts w:cs="Calibri"/>
          <w:sz w:val="14"/>
          <w:szCs w:val="14"/>
          <w:lang w:eastAsia="en-GB"/>
        </w:rPr>
        <w:t xml:space="preserve"> </w:t>
      </w:r>
      <w:r w:rsidRPr="001D5327">
        <w:rPr>
          <w:lang w:eastAsia="en-GB"/>
        </w:rPr>
        <w:t xml:space="preserve">emissions from gas </w:t>
      </w:r>
      <w:r w:rsidRPr="001D5327">
        <w:t>leakage</w:t>
      </w:r>
      <w:r w:rsidRPr="001D5327">
        <w:rPr>
          <w:lang w:eastAsia="en-GB"/>
        </w:rPr>
        <w:t xml:space="preserve"> mainly occur from low-pressure distribution pipelines rather than from high-pressure transmission pipelines. Emissions from transmission and distribution are reported separately. </w:t>
      </w:r>
    </w:p>
    <w:p w14:paraId="775A00E8" w14:textId="2663C94C" w:rsidR="00A34FDB" w:rsidRPr="001D5327" w:rsidRDefault="00141EF2" w:rsidP="00E5102E">
      <w:pPr>
        <w:pStyle w:val="BodyText"/>
        <w:spacing w:before="100" w:after="100"/>
      </w:pPr>
      <w:r w:rsidRPr="001D5327">
        <w:rPr>
          <w:lang w:eastAsia="en-GB"/>
        </w:rPr>
        <w:t>Data on e</w:t>
      </w:r>
      <w:r w:rsidR="00D97D6C" w:rsidRPr="001D5327">
        <w:rPr>
          <w:lang w:eastAsia="en-GB"/>
        </w:rPr>
        <w:t>missions from the high-pressure transmission system were provided by the system operator. N</w:t>
      </w:r>
      <w:r w:rsidR="00D97D6C" w:rsidRPr="001D5327">
        <w:t>atural gas transmission losses included both direct leakage of CH</w:t>
      </w:r>
      <w:r w:rsidR="00D97D6C" w:rsidRPr="001D5327">
        <w:rPr>
          <w:vertAlign w:val="subscript"/>
        </w:rPr>
        <w:t>4</w:t>
      </w:r>
      <w:r w:rsidR="00D97D6C" w:rsidRPr="001D5327">
        <w:t xml:space="preserve"> and CO</w:t>
      </w:r>
      <w:r w:rsidR="00D97D6C" w:rsidRPr="001D5327">
        <w:rPr>
          <w:vertAlign w:val="subscript"/>
        </w:rPr>
        <w:t>2</w:t>
      </w:r>
      <w:r w:rsidR="00D97D6C" w:rsidRPr="001D5327">
        <w:t xml:space="preserve"> and gas lost and/or used when starting lines compressors. Data are provided for gigajoules (GJ) of CH</w:t>
      </w:r>
      <w:r w:rsidR="00D97D6C" w:rsidRPr="001D5327">
        <w:rPr>
          <w:vertAlign w:val="subscript"/>
        </w:rPr>
        <w:t>4</w:t>
      </w:r>
      <w:r w:rsidR="00D97D6C" w:rsidRPr="001D5327">
        <w:t xml:space="preserve"> and tonnes of CO</w:t>
      </w:r>
      <w:r w:rsidR="00D97D6C" w:rsidRPr="001D5327">
        <w:rPr>
          <w:vertAlign w:val="subscript"/>
        </w:rPr>
        <w:t>2</w:t>
      </w:r>
      <w:r w:rsidR="00D97D6C" w:rsidRPr="001D5327">
        <w:t>. Gigajoules of CH</w:t>
      </w:r>
      <w:r w:rsidR="00D97D6C" w:rsidRPr="001D5327">
        <w:rPr>
          <w:vertAlign w:val="subscript"/>
        </w:rPr>
        <w:t>4</w:t>
      </w:r>
      <w:r w:rsidR="00D97D6C" w:rsidRPr="001D5327">
        <w:t xml:space="preserve"> are converted to tonnes of CH</w:t>
      </w:r>
      <w:r w:rsidR="00D97D6C" w:rsidRPr="001D5327">
        <w:rPr>
          <w:vertAlign w:val="subscript"/>
        </w:rPr>
        <w:t>4</w:t>
      </w:r>
      <w:r w:rsidR="00D97D6C" w:rsidRPr="001D5327">
        <w:t xml:space="preserve"> using the conversion factor of 55.6 GJ/t.</w:t>
      </w:r>
    </w:p>
    <w:p w14:paraId="2CC468DA" w14:textId="3A79F272" w:rsidR="00D97D6C" w:rsidRPr="001D5327" w:rsidRDefault="00D97D6C" w:rsidP="00E5102E">
      <w:pPr>
        <w:pStyle w:val="BodyText"/>
        <w:spacing w:before="100" w:after="100"/>
      </w:pPr>
      <w:r w:rsidRPr="001D5327">
        <w:t>New Zealand has a high-pressure transmission network nearly 3,500 kilometres in length. It joins most North Island cities (reticulated natural gas is available only in </w:t>
      </w:r>
      <w:r w:rsidRPr="001D5327">
        <w:rPr>
          <w:lang w:eastAsia="en-GB"/>
        </w:rPr>
        <w:t>New Zealand’s</w:t>
      </w:r>
      <w:r w:rsidRPr="001D5327">
        <w:t xml:space="preserve"> North Island). No time series of the total length of the transmission lines is available; however, expert opinion is that it would have been nearly constant since 1990.</w:t>
      </w:r>
    </w:p>
    <w:p w14:paraId="05F7422C" w14:textId="77777777" w:rsidR="00D97D6C" w:rsidRPr="001D5327" w:rsidRDefault="00D97D6C" w:rsidP="00E5102E">
      <w:pPr>
        <w:pStyle w:val="BodyText"/>
        <w:spacing w:before="100" w:after="100"/>
      </w:pPr>
      <w:r w:rsidRPr="001D5327">
        <w:t>New Zealand bases distribution loss emissions on information about gas entering the distribution network, which is administrative data collected at the ‘gas gate’. It does not follow the alternative approach of using survey information collected from gas retailers on the amount of gas sold and metered at the individual customer (household, small business) level.</w:t>
      </w:r>
    </w:p>
    <w:p w14:paraId="4F00A58A" w14:textId="5122B9AF" w:rsidR="008F2FFF" w:rsidRPr="001D5327" w:rsidRDefault="00D97D6C" w:rsidP="005E1FAB">
      <w:pPr>
        <w:pStyle w:val="BodyText"/>
        <w:spacing w:before="100" w:after="100"/>
        <w:rPr>
          <w:lang w:eastAsia="en-GB"/>
        </w:rPr>
      </w:pPr>
      <w:r w:rsidRPr="001D5327">
        <w:lastRenderedPageBreak/>
        <w:t>For the 2023 submission, New</w:t>
      </w:r>
      <w:r w:rsidRPr="001D5327">
        <w:rPr>
          <w:lang w:eastAsia="en-GB"/>
        </w:rPr>
        <w:t xml:space="preserve"> Zealand implemented an improvement to the estimation of leakage from distribution networks, moving from a Tier </w:t>
      </w:r>
      <w:r w:rsidR="000F028E" w:rsidRPr="001D5327">
        <w:rPr>
          <w:lang w:eastAsia="en-GB"/>
        </w:rPr>
        <w:t xml:space="preserve">2 </w:t>
      </w:r>
      <w:r w:rsidRPr="001D5327">
        <w:rPr>
          <w:lang w:eastAsia="en-GB"/>
        </w:rPr>
        <w:t xml:space="preserve">methodology to using more accurate industry data derived from models that represent a Tier 3 approach. </w:t>
      </w:r>
      <w:r w:rsidR="008F2FFF" w:rsidRPr="001D5327">
        <w:rPr>
          <w:lang w:eastAsia="en-GB"/>
        </w:rPr>
        <w:t xml:space="preserve">The former methodology used an assumed constant leakage rate of 1.75 per cent of total reticulated natural gas. This figure was derived by the Natural Gas Corporation in the mid-1990s and </w:t>
      </w:r>
      <w:r w:rsidR="0064721F" w:rsidRPr="001D5327">
        <w:rPr>
          <w:lang w:eastAsia="en-GB"/>
        </w:rPr>
        <w:t>a review in 2022</w:t>
      </w:r>
      <w:r w:rsidR="008F2FFF" w:rsidRPr="001D5327">
        <w:rPr>
          <w:lang w:eastAsia="en-GB"/>
        </w:rPr>
        <w:t xml:space="preserve"> found </w:t>
      </w:r>
      <w:r w:rsidR="0064721F" w:rsidRPr="001D5327">
        <w:rPr>
          <w:lang w:eastAsia="en-GB"/>
        </w:rPr>
        <w:t xml:space="preserve">it </w:t>
      </w:r>
      <w:r w:rsidR="008F2FFF" w:rsidRPr="001D5327">
        <w:rPr>
          <w:lang w:eastAsia="en-GB"/>
        </w:rPr>
        <w:t>to be out</w:t>
      </w:r>
      <w:r w:rsidR="00141EF2" w:rsidRPr="001D5327">
        <w:rPr>
          <w:lang w:eastAsia="en-GB"/>
        </w:rPr>
        <w:t xml:space="preserve"> </w:t>
      </w:r>
      <w:r w:rsidR="008F2FFF" w:rsidRPr="001D5327">
        <w:rPr>
          <w:lang w:eastAsia="en-GB"/>
        </w:rPr>
        <w:t>of</w:t>
      </w:r>
      <w:r w:rsidR="00141EF2" w:rsidRPr="001D5327">
        <w:rPr>
          <w:lang w:eastAsia="en-GB"/>
        </w:rPr>
        <w:t xml:space="preserve"> </w:t>
      </w:r>
      <w:r w:rsidR="008F2FFF" w:rsidRPr="001D5327">
        <w:rPr>
          <w:lang w:eastAsia="en-GB"/>
        </w:rPr>
        <w:t xml:space="preserve">date. </w:t>
      </w:r>
      <w:r w:rsidR="0064721F" w:rsidRPr="001D5327">
        <w:rPr>
          <w:lang w:eastAsia="en-GB"/>
        </w:rPr>
        <w:t>E</w:t>
      </w:r>
      <w:r w:rsidR="008F2FFF" w:rsidRPr="001D5327">
        <w:rPr>
          <w:lang w:eastAsia="en-GB"/>
        </w:rPr>
        <w:t>ngagement with industry experts revealed that the current estimate of the leakage rate from the modernised distribution pipelines in New Zealand average</w:t>
      </w:r>
      <w:r w:rsidR="0064721F" w:rsidRPr="001D5327">
        <w:rPr>
          <w:lang w:eastAsia="en-GB"/>
        </w:rPr>
        <w:t>d</w:t>
      </w:r>
      <w:r w:rsidR="008F2FFF" w:rsidRPr="001D5327">
        <w:rPr>
          <w:lang w:eastAsia="en-GB"/>
        </w:rPr>
        <w:t xml:space="preserve"> 0.35 per cent over the period 2017 to 2021. </w:t>
      </w:r>
    </w:p>
    <w:p w14:paraId="66DB913F" w14:textId="76308FF7" w:rsidR="008F2FFF" w:rsidRPr="001D5327" w:rsidRDefault="008F2FFF" w:rsidP="008F2FFF">
      <w:pPr>
        <w:pStyle w:val="BodyText"/>
        <w:rPr>
          <w:lang w:eastAsia="en-GB"/>
        </w:rPr>
      </w:pPr>
      <w:r w:rsidRPr="001D5327">
        <w:rPr>
          <w:lang w:eastAsia="en-GB"/>
        </w:rPr>
        <w:t>The new estimates from industry represent a Tier 3 approach, using specific emission factors, assessed at the facility level. The industry emissions estimate model has been developed using</w:t>
      </w:r>
      <w:r w:rsidR="002547A1" w:rsidRPr="001D5327">
        <w:rPr>
          <w:lang w:eastAsia="en-GB"/>
        </w:rPr>
        <w:t> </w:t>
      </w:r>
      <w:r w:rsidRPr="001D5327">
        <w:rPr>
          <w:lang w:eastAsia="en-GB"/>
        </w:rPr>
        <w:t>a best</w:t>
      </w:r>
      <w:r w:rsidR="00141EF2" w:rsidRPr="001D5327">
        <w:rPr>
          <w:lang w:eastAsia="en-GB"/>
        </w:rPr>
        <w:t>-</w:t>
      </w:r>
      <w:r w:rsidRPr="001D5327">
        <w:rPr>
          <w:lang w:eastAsia="en-GB"/>
        </w:rPr>
        <w:t>practice Marco</w:t>
      </w:r>
      <w:r w:rsidR="00346F89" w:rsidRPr="001D5327">
        <w:rPr>
          <w:lang w:eastAsia="en-GB"/>
        </w:rPr>
        <w:t>g</w:t>
      </w:r>
      <w:r w:rsidRPr="001D5327">
        <w:rPr>
          <w:lang w:eastAsia="en-GB"/>
        </w:rPr>
        <w:t>az estimating template and uses internationally published emission rates (American Petroleum Institute Compendium of emissions rates) combined with</w:t>
      </w:r>
      <w:r w:rsidR="002547A1" w:rsidRPr="001D5327">
        <w:rPr>
          <w:lang w:eastAsia="en-GB"/>
        </w:rPr>
        <w:t> </w:t>
      </w:r>
      <w:r w:rsidRPr="001D5327">
        <w:rPr>
          <w:lang w:eastAsia="en-GB"/>
        </w:rPr>
        <w:t>company</w:t>
      </w:r>
      <w:r w:rsidR="00346F89" w:rsidRPr="001D5327">
        <w:rPr>
          <w:lang w:eastAsia="en-GB"/>
        </w:rPr>
        <w:t>-</w:t>
      </w:r>
      <w:r w:rsidRPr="001D5327">
        <w:rPr>
          <w:lang w:eastAsia="en-GB"/>
        </w:rPr>
        <w:t>specific asset knowledge and information to provide a bottom-up approach. Further, the industry is now completing annual asset</w:t>
      </w:r>
      <w:r w:rsidR="00346F89" w:rsidRPr="001D5327">
        <w:rPr>
          <w:lang w:eastAsia="en-GB"/>
        </w:rPr>
        <w:t>-</w:t>
      </w:r>
      <w:r w:rsidRPr="001D5327">
        <w:rPr>
          <w:lang w:eastAsia="en-GB"/>
        </w:rPr>
        <w:t>level leakage measurements to validate the emissions rates and estimates.</w:t>
      </w:r>
    </w:p>
    <w:p w14:paraId="1060103B" w14:textId="77777777" w:rsidR="008F2FFF" w:rsidRPr="001D5327" w:rsidRDefault="008F2FFF" w:rsidP="008F2FFF">
      <w:pPr>
        <w:pStyle w:val="BodyText"/>
        <w:rPr>
          <w:lang w:eastAsia="en-GB"/>
        </w:rPr>
      </w:pPr>
      <w:r w:rsidRPr="001D5327">
        <w:rPr>
          <w:lang w:eastAsia="en-GB"/>
        </w:rPr>
        <w:t>The Tier 3 methodology detailed above only applies from 2017 onwards. To preserve time-series consistency and avoid a step change between this and the previous method, data splicing was employed: for previous years where estimates from the Tier 3 models are not yet available, the leakage rate is interpolated back to the 1990 value of 1.75 per cent.</w:t>
      </w:r>
    </w:p>
    <w:p w14:paraId="505B61F4" w14:textId="77777777" w:rsidR="008F2FFF" w:rsidRPr="001D5327" w:rsidRDefault="008F2FFF" w:rsidP="008F2FFF">
      <w:pPr>
        <w:pStyle w:val="BodyText"/>
        <w:rPr>
          <w:lang w:eastAsia="en-GB"/>
        </w:rPr>
      </w:pPr>
      <w:r w:rsidRPr="001D5327">
        <w:rPr>
          <w:lang w:eastAsia="en-GB"/>
        </w:rPr>
        <w:t xml:space="preserve">Updated data sourced from field operators have been used to improve the accuracy of emission estimates for geothermal activities. </w:t>
      </w:r>
    </w:p>
    <w:p w14:paraId="49B4B3CB" w14:textId="77777777" w:rsidR="00D97D6C" w:rsidRPr="001D5327" w:rsidRDefault="00D97D6C" w:rsidP="00E5102E">
      <w:pPr>
        <w:pStyle w:val="Heading5"/>
        <w:spacing w:before="220"/>
        <w:rPr>
          <w:lang w:eastAsia="en-GB"/>
        </w:rPr>
      </w:pPr>
      <w:r w:rsidRPr="001D5327">
        <w:rPr>
          <w:lang w:eastAsia="en-GB"/>
        </w:rPr>
        <w:t xml:space="preserve">1.B.2.b.4 Natural gas storage </w:t>
      </w:r>
    </w:p>
    <w:p w14:paraId="34625760" w14:textId="405B76BE" w:rsidR="00D97D6C" w:rsidRPr="001D5327" w:rsidRDefault="00D97D6C" w:rsidP="00E5102E">
      <w:pPr>
        <w:pStyle w:val="BodyText"/>
        <w:spacing w:before="100" w:after="100"/>
      </w:pPr>
      <w:r w:rsidRPr="001D5327">
        <w:t>Natural gas storage occurs at the Ahuroa gas storage facility. Ahuroa is a depleted gas field that can hold 5 PJ to 10 PJ of natural gas at any one point. A significant portion of this gas is used to run Contact Energy’s Stratford gas peaking plant, which consists of two 100 MW open</w:t>
      </w:r>
      <w:r w:rsidR="002547A1" w:rsidRPr="001D5327">
        <w:noBreakHyphen/>
      </w:r>
      <w:r w:rsidRPr="001D5327">
        <w:t xml:space="preserve">cycle gas turbine units. </w:t>
      </w:r>
    </w:p>
    <w:p w14:paraId="3BBED58B" w14:textId="77777777" w:rsidR="00D97D6C" w:rsidRPr="001D5327" w:rsidRDefault="00D97D6C" w:rsidP="00BF2A76">
      <w:pPr>
        <w:pStyle w:val="Heading5"/>
        <w:rPr>
          <w:lang w:eastAsia="en-GB"/>
        </w:rPr>
      </w:pPr>
      <w:r w:rsidRPr="001D5327">
        <w:rPr>
          <w:lang w:eastAsia="en-GB"/>
        </w:rPr>
        <w:t>1.B.2.c Venting and fla</w:t>
      </w:r>
      <w:r w:rsidRPr="001D5327">
        <w:rPr>
          <w:rFonts w:cs="Calibri"/>
        </w:rPr>
        <w:t>r</w:t>
      </w:r>
      <w:r w:rsidRPr="001D5327">
        <w:rPr>
          <w:lang w:eastAsia="en-GB"/>
        </w:rPr>
        <w:t>ing</w:t>
      </w:r>
    </w:p>
    <w:p w14:paraId="2312FCE8" w14:textId="77777777" w:rsidR="00D97D6C" w:rsidRPr="001D5327" w:rsidRDefault="00D97D6C" w:rsidP="00D97D6C">
      <w:pPr>
        <w:pStyle w:val="BodyText"/>
      </w:pPr>
      <w:r w:rsidRPr="001D5327">
        <w:rPr>
          <w:lang w:eastAsia="en-GB"/>
        </w:rPr>
        <w:t xml:space="preserve">Data on </w:t>
      </w:r>
      <w:r w:rsidRPr="001D5327">
        <w:rPr>
          <w:rFonts w:cs="Calibri"/>
        </w:rPr>
        <w:t xml:space="preserve">natural </w:t>
      </w:r>
      <w:r w:rsidRPr="001D5327">
        <w:rPr>
          <w:lang w:eastAsia="en-GB"/>
        </w:rPr>
        <w:t xml:space="preserve">gas flaring, </w:t>
      </w:r>
      <w:r w:rsidRPr="001D5327">
        <w:t xml:space="preserve">losses and own use are reported directly by gas field operators. </w:t>
      </w:r>
    </w:p>
    <w:p w14:paraId="2A7D07BB" w14:textId="77777777" w:rsidR="00D97D6C" w:rsidRPr="001D5327" w:rsidRDefault="00D97D6C" w:rsidP="00D97D6C">
      <w:pPr>
        <w:pStyle w:val="BodyText"/>
        <w:rPr>
          <w:lang w:eastAsia="en-GB"/>
        </w:rPr>
      </w:pPr>
      <w:r w:rsidRPr="001D5327">
        <w:t>The operator of the Kapuni Ga</w:t>
      </w:r>
      <w:r w:rsidRPr="001D5327">
        <w:rPr>
          <w:lang w:eastAsia="en-GB"/>
        </w:rPr>
        <w:t xml:space="preserve">s Treatment Plant supplies estimates of </w:t>
      </w:r>
      <w:r w:rsidRPr="001D5327">
        <w:rPr>
          <w:rFonts w:cs="Calibri"/>
        </w:rPr>
        <w:t>CO</w:t>
      </w:r>
      <w:r w:rsidRPr="001D5327">
        <w:rPr>
          <w:rFonts w:cs="Calibri"/>
          <w:vertAlign w:val="subscript"/>
        </w:rPr>
        <w:t>2</w:t>
      </w:r>
      <w:r w:rsidRPr="001D5327">
        <w:rPr>
          <w:lang w:eastAsia="en-GB"/>
        </w:rPr>
        <w:t xml:space="preserve"> vented during the processing of natural gas.</w:t>
      </w:r>
    </w:p>
    <w:p w14:paraId="199E544C" w14:textId="77777777" w:rsidR="00D97D6C" w:rsidRPr="001D5327" w:rsidRDefault="00D97D6C" w:rsidP="00D97D6C">
      <w:pPr>
        <w:pStyle w:val="BodyText"/>
        <w:rPr>
          <w:lang w:eastAsia="en-GB"/>
        </w:rPr>
      </w:pPr>
      <w:r w:rsidRPr="001D5327">
        <w:rPr>
          <w:lang w:eastAsia="en-GB"/>
        </w:rPr>
        <w:t xml:space="preserve">In response to an ERT </w:t>
      </w:r>
      <w:r w:rsidRPr="001D5327">
        <w:t>recommendation</w:t>
      </w:r>
      <w:r w:rsidRPr="001D5327">
        <w:rPr>
          <w:lang w:eastAsia="en-GB"/>
        </w:rPr>
        <w:t xml:space="preserve">, flaring of refinery gas has been reallocated from 1.B.2.a </w:t>
      </w:r>
      <w:r w:rsidRPr="001D5327">
        <w:rPr>
          <w:i/>
          <w:iCs/>
          <w:lang w:eastAsia="en-GB"/>
        </w:rPr>
        <w:t>Oil</w:t>
      </w:r>
      <w:r w:rsidRPr="001D5327">
        <w:rPr>
          <w:lang w:eastAsia="en-GB"/>
        </w:rPr>
        <w:t xml:space="preserve"> to 1.B.2.c </w:t>
      </w:r>
      <w:r w:rsidRPr="001D5327">
        <w:rPr>
          <w:i/>
          <w:iCs/>
          <w:lang w:eastAsia="en-GB"/>
        </w:rPr>
        <w:t>Venting and flaring</w:t>
      </w:r>
      <w:r w:rsidRPr="001D5327">
        <w:rPr>
          <w:lang w:eastAsia="en-GB"/>
        </w:rPr>
        <w:t>.</w:t>
      </w:r>
    </w:p>
    <w:p w14:paraId="6A14A666" w14:textId="77777777" w:rsidR="00D97D6C" w:rsidRPr="001D5327" w:rsidRDefault="00D97D6C" w:rsidP="00D97D6C">
      <w:pPr>
        <w:pStyle w:val="Heading4"/>
        <w:rPr>
          <w:lang w:eastAsia="en-GB"/>
        </w:rPr>
      </w:pPr>
      <w:r w:rsidRPr="001D5327">
        <w:rPr>
          <w:lang w:eastAsia="en-GB"/>
        </w:rPr>
        <w:t>Emission factors</w:t>
      </w:r>
    </w:p>
    <w:p w14:paraId="35407923" w14:textId="2A9AB5B8" w:rsidR="00D97D6C" w:rsidRPr="001D5327" w:rsidRDefault="00D97D6C" w:rsidP="00D97D6C">
      <w:pPr>
        <w:pStyle w:val="BodyText"/>
        <w:rPr>
          <w:lang w:eastAsia="en-GB"/>
        </w:rPr>
      </w:pPr>
      <w:r w:rsidRPr="001D5327">
        <w:rPr>
          <w:lang w:eastAsia="en-GB"/>
        </w:rPr>
        <w:t xml:space="preserve">Unless noted </w:t>
      </w:r>
      <w:r w:rsidRPr="001D5327">
        <w:t>otherwise</w:t>
      </w:r>
      <w:r w:rsidRPr="001D5327">
        <w:rPr>
          <w:lang w:eastAsia="en-GB"/>
        </w:rPr>
        <w:t xml:space="preserve">, default IPCC </w:t>
      </w:r>
      <w:r w:rsidR="007C46E4" w:rsidRPr="001D5327">
        <w:rPr>
          <w:lang w:eastAsia="en-GB"/>
        </w:rPr>
        <w:t xml:space="preserve">(2006) </w:t>
      </w:r>
      <w:r w:rsidRPr="001D5327">
        <w:rPr>
          <w:lang w:eastAsia="en-GB"/>
        </w:rPr>
        <w:t>emission factors have been used.</w:t>
      </w:r>
    </w:p>
    <w:p w14:paraId="057404A4" w14:textId="77777777" w:rsidR="00D97D6C" w:rsidRPr="001D5327" w:rsidRDefault="00D97D6C" w:rsidP="00D97D6C">
      <w:pPr>
        <w:pStyle w:val="Heading4"/>
        <w:rPr>
          <w:lang w:eastAsia="en-GB"/>
        </w:rPr>
      </w:pPr>
      <w:r w:rsidRPr="001D5327">
        <w:t>Uncertainty</w:t>
      </w:r>
      <w:r w:rsidRPr="001D5327">
        <w:rPr>
          <w:lang w:eastAsia="en-GB"/>
        </w:rPr>
        <w:t xml:space="preserve"> assessment and time-series consistency</w:t>
      </w:r>
    </w:p>
    <w:p w14:paraId="4EE2C1A6" w14:textId="77777777" w:rsidR="00D97D6C" w:rsidRPr="001D5327" w:rsidRDefault="00D97D6C" w:rsidP="00D97D6C">
      <w:pPr>
        <w:pStyle w:val="BodyText"/>
        <w:rPr>
          <w:lang w:eastAsia="en-GB"/>
        </w:rPr>
      </w:pPr>
      <w:r w:rsidRPr="001D5327">
        <w:rPr>
          <w:lang w:eastAsia="en-GB"/>
        </w:rPr>
        <w:t>Time-series data from various geothermal fields vary in completeness, and some historical data are not available. Individual geothermal fields each produce varying levels of output and emissions so the overall implied emission factors display a certain amount of natural variation.</w:t>
      </w:r>
    </w:p>
    <w:p w14:paraId="6C2BCE60" w14:textId="77777777" w:rsidR="00D97D6C" w:rsidRPr="001D5327" w:rsidRDefault="00D97D6C" w:rsidP="00D97D6C">
      <w:pPr>
        <w:pStyle w:val="Heading4"/>
        <w:rPr>
          <w:lang w:eastAsia="en-GB"/>
        </w:rPr>
      </w:pPr>
      <w:r w:rsidRPr="001D5327">
        <w:lastRenderedPageBreak/>
        <w:t>Category</w:t>
      </w:r>
      <w:r w:rsidRPr="001D5327">
        <w:rPr>
          <w:lang w:eastAsia="en-GB"/>
        </w:rPr>
        <w:t>-specific QA/QC and verification</w:t>
      </w:r>
    </w:p>
    <w:p w14:paraId="6799273E" w14:textId="77777777" w:rsidR="00D97D6C" w:rsidRPr="001D5327" w:rsidRDefault="00D97D6C" w:rsidP="00D97D6C">
      <w:pPr>
        <w:pStyle w:val="BodyText"/>
        <w:rPr>
          <w:lang w:eastAsia="en-GB"/>
        </w:rPr>
      </w:pPr>
      <w:r w:rsidRPr="001D5327">
        <w:rPr>
          <w:lang w:eastAsia="en-GB"/>
        </w:rPr>
        <w:t xml:space="preserve">In the preparation of this inventory, the </w:t>
      </w:r>
      <w:r w:rsidRPr="001D5327">
        <w:rPr>
          <w:rFonts w:cs="Calibri"/>
          <w:i/>
          <w:lang w:eastAsia="en-GB"/>
        </w:rPr>
        <w:t>Fugitive emissions</w:t>
      </w:r>
      <w:r w:rsidRPr="001D5327">
        <w:rPr>
          <w:lang w:eastAsia="en-GB"/>
        </w:rPr>
        <w:t xml:space="preserve"> category underwent Tier 1 quality</w:t>
      </w:r>
      <w:r w:rsidRPr="001D5327">
        <w:rPr>
          <w:lang w:eastAsia="en-GB"/>
        </w:rPr>
        <w:noBreakHyphen/>
        <w:t>assurance and quality-control checks as recommended in the 2006 IPCC Guidelines. These include regular control sums throughout systems, to verify system integrity, and consistency checks of implied emission factors.</w:t>
      </w:r>
    </w:p>
    <w:p w14:paraId="798364CA" w14:textId="77777777" w:rsidR="00D97D6C" w:rsidRPr="001D5327" w:rsidRDefault="00D97D6C" w:rsidP="000F028E">
      <w:pPr>
        <w:pStyle w:val="Heading4"/>
        <w:rPr>
          <w:lang w:eastAsia="en-GB"/>
        </w:rPr>
      </w:pPr>
      <w:r w:rsidRPr="001D5327">
        <w:t>Category</w:t>
      </w:r>
      <w:r w:rsidRPr="001D5327">
        <w:rPr>
          <w:lang w:eastAsia="en-GB"/>
        </w:rPr>
        <w:t>-specific recalculations</w:t>
      </w:r>
    </w:p>
    <w:p w14:paraId="0A186D76" w14:textId="2817066B" w:rsidR="005702CF" w:rsidRPr="001D5327" w:rsidRDefault="005702CF" w:rsidP="005E1FAB">
      <w:pPr>
        <w:pStyle w:val="BodyText"/>
        <w:rPr>
          <w:lang w:eastAsia="en-GB"/>
        </w:rPr>
      </w:pPr>
      <w:r w:rsidRPr="001D5327">
        <w:rPr>
          <w:lang w:eastAsia="en-GB"/>
        </w:rPr>
        <w:t>Historical energy production and processing data in MBIE’s oil and gas data system are occasionally revised from year to year. This may result in minor revisions to activity data and</w:t>
      </w:r>
      <w:r w:rsidR="00760F95" w:rsidRPr="001D5327">
        <w:rPr>
          <w:lang w:eastAsia="en-GB"/>
        </w:rPr>
        <w:t> </w:t>
      </w:r>
      <w:r w:rsidRPr="001D5327">
        <w:rPr>
          <w:lang w:eastAsia="en-GB"/>
        </w:rPr>
        <w:t>recalculations to the corresponding emissions for some years in some categories.</w:t>
      </w:r>
    </w:p>
    <w:p w14:paraId="3AA97958" w14:textId="7B34E1F5" w:rsidR="00D97D6C" w:rsidRPr="001D5327" w:rsidRDefault="00D97D6C" w:rsidP="000F028E">
      <w:pPr>
        <w:pStyle w:val="Heading4"/>
      </w:pPr>
      <w:r w:rsidRPr="001D5327">
        <w:t>Category-specific planned improvements</w:t>
      </w:r>
    </w:p>
    <w:p w14:paraId="12A10481" w14:textId="4C24F066" w:rsidR="00D97D6C" w:rsidRPr="001D5327" w:rsidRDefault="00D97D6C" w:rsidP="00D97D6C">
      <w:pPr>
        <w:pStyle w:val="BodyText"/>
        <w:rPr>
          <w:rFonts w:cs="Calibri"/>
          <w:lang w:eastAsia="en-GB"/>
        </w:rPr>
      </w:pPr>
      <w:r w:rsidRPr="001D5327">
        <w:rPr>
          <w:rFonts w:cs="Calibri"/>
          <w:lang w:eastAsia="en-GB"/>
        </w:rPr>
        <w:t xml:space="preserve">Updated estimates of distribution losses will be incorporated as and when Tier 3 estimates from industry models become available. This is dependent on sufficiently detailed and disaggregated information on the historical state of distribution network infrastructure and assets. </w:t>
      </w:r>
    </w:p>
    <w:p w14:paraId="4636930B" w14:textId="121DBF8E" w:rsidR="00D97D6C" w:rsidRPr="001D5327" w:rsidRDefault="00D97D6C" w:rsidP="00D97D6C">
      <w:pPr>
        <w:pStyle w:val="BodyText"/>
        <w:rPr>
          <w:rFonts w:cs="Calibri"/>
          <w:lang w:eastAsia="en-GB"/>
        </w:rPr>
      </w:pPr>
      <w:r w:rsidRPr="001D5327">
        <w:rPr>
          <w:rFonts w:cs="Calibri"/>
          <w:lang w:eastAsia="en-GB"/>
        </w:rPr>
        <w:t>As the dataset of verified UEFs for individual geothermal fields and coal mines obtained from the NZ ETS grows, New Zealand will consider methods of incorporating these data to improve the accuracy of estimates.</w:t>
      </w:r>
    </w:p>
    <w:p w14:paraId="36B3E018" w14:textId="77777777" w:rsidR="00D97D6C" w:rsidRPr="001D5327" w:rsidRDefault="00D97D6C" w:rsidP="00D97D6C">
      <w:pPr>
        <w:pStyle w:val="Heading2"/>
        <w:rPr>
          <w:rFonts w:cs="Calibri"/>
        </w:rPr>
      </w:pPr>
      <w:bookmarkStart w:id="391" w:name="_Toc164154177"/>
      <w:bookmarkStart w:id="392" w:name="_Toc194312001"/>
      <w:r w:rsidRPr="001D5327">
        <w:rPr>
          <w:rFonts w:cs="Calibri"/>
        </w:rPr>
        <w:t>3.4</w:t>
      </w:r>
      <w:r w:rsidRPr="001D5327">
        <w:rPr>
          <w:rFonts w:cs="Calibri"/>
        </w:rPr>
        <w:tab/>
        <w:t>Carbon dioxide transport and storage (CRT 1.C)</w:t>
      </w:r>
      <w:bookmarkEnd w:id="391"/>
      <w:bookmarkEnd w:id="392"/>
    </w:p>
    <w:p w14:paraId="5758C297" w14:textId="1A4A6F26" w:rsidR="00B133B9" w:rsidRPr="001D5327" w:rsidRDefault="00D424CD" w:rsidP="00D97D6C">
      <w:pPr>
        <w:pStyle w:val="BodyText"/>
        <w:rPr>
          <w:lang w:eastAsia="en-GB"/>
        </w:rPr>
      </w:pPr>
      <w:r w:rsidRPr="001D5327">
        <w:rPr>
          <w:lang w:eastAsia="en-GB"/>
        </w:rPr>
        <w:t>The bulk transport of CO</w:t>
      </w:r>
      <w:r w:rsidRPr="001D5327">
        <w:rPr>
          <w:vertAlign w:val="subscript"/>
          <w:lang w:eastAsia="en-GB"/>
        </w:rPr>
        <w:t>2</w:t>
      </w:r>
      <w:r w:rsidRPr="001D5327">
        <w:rPr>
          <w:lang w:eastAsia="en-GB"/>
        </w:rPr>
        <w:t xml:space="preserve"> </w:t>
      </w:r>
      <w:r w:rsidR="005B0E0E" w:rsidRPr="001D5327">
        <w:rPr>
          <w:lang w:eastAsia="en-GB"/>
        </w:rPr>
        <w:t xml:space="preserve">occurs in New Zealand </w:t>
      </w:r>
      <w:r w:rsidR="00245177" w:rsidRPr="001D5327">
        <w:rPr>
          <w:lang w:eastAsia="en-GB"/>
        </w:rPr>
        <w:t xml:space="preserve">by means of ship. The total quantity of international trade (reported in kilotonnes) is used as activity data. </w:t>
      </w:r>
      <w:r w:rsidR="004B7465" w:rsidRPr="001D5327">
        <w:rPr>
          <w:lang w:eastAsia="en-GB"/>
        </w:rPr>
        <w:t xml:space="preserve">Default IPCC </w:t>
      </w:r>
      <w:r w:rsidR="007C46E4" w:rsidRPr="001D5327">
        <w:rPr>
          <w:lang w:eastAsia="en-GB"/>
        </w:rPr>
        <w:t xml:space="preserve">(2006) </w:t>
      </w:r>
      <w:r w:rsidR="004B7465" w:rsidRPr="001D5327">
        <w:rPr>
          <w:lang w:eastAsia="en-GB"/>
        </w:rPr>
        <w:t>emission factors for fugitive emissions from CO</w:t>
      </w:r>
      <w:r w:rsidR="004B7465" w:rsidRPr="001D5327">
        <w:rPr>
          <w:vertAlign w:val="subscript"/>
          <w:lang w:eastAsia="en-GB"/>
        </w:rPr>
        <w:t>2</w:t>
      </w:r>
      <w:r w:rsidR="004B7465" w:rsidRPr="001D5327">
        <w:rPr>
          <w:lang w:eastAsia="en-GB"/>
        </w:rPr>
        <w:t xml:space="preserve"> transport by ship are not available</w:t>
      </w:r>
      <w:r w:rsidR="00346F89" w:rsidRPr="001D5327">
        <w:rPr>
          <w:lang w:eastAsia="en-GB"/>
        </w:rPr>
        <w:t>;</w:t>
      </w:r>
      <w:r w:rsidR="00245177" w:rsidRPr="001D5327">
        <w:rPr>
          <w:lang w:eastAsia="en-GB"/>
        </w:rPr>
        <w:t xml:space="preserve"> h</w:t>
      </w:r>
      <w:r w:rsidR="005B0E0E" w:rsidRPr="001D5327">
        <w:rPr>
          <w:lang w:eastAsia="en-GB"/>
        </w:rPr>
        <w:t>ence</w:t>
      </w:r>
      <w:r w:rsidR="00346F89" w:rsidRPr="001D5327">
        <w:rPr>
          <w:lang w:eastAsia="en-GB"/>
        </w:rPr>
        <w:t>,</w:t>
      </w:r>
      <w:r w:rsidR="005B0E0E" w:rsidRPr="001D5327">
        <w:rPr>
          <w:lang w:eastAsia="en-GB"/>
        </w:rPr>
        <w:t xml:space="preserve"> emissions have not been estimated.</w:t>
      </w:r>
    </w:p>
    <w:p w14:paraId="6848F556" w14:textId="5A7A9D8F" w:rsidR="009C62F9" w:rsidRPr="001D5327" w:rsidRDefault="00D97D6C" w:rsidP="00D97D6C">
      <w:pPr>
        <w:pStyle w:val="BodyText"/>
        <w:rPr>
          <w:lang w:eastAsia="en-GB"/>
        </w:rPr>
      </w:pPr>
      <w:r w:rsidRPr="001D5327">
        <w:rPr>
          <w:lang w:eastAsia="en-GB"/>
        </w:rPr>
        <w:t xml:space="preserve">No </w:t>
      </w:r>
      <w:r w:rsidR="00F80A22" w:rsidRPr="001D5327">
        <w:rPr>
          <w:lang w:eastAsia="en-GB"/>
        </w:rPr>
        <w:t xml:space="preserve">known </w:t>
      </w:r>
      <w:r w:rsidRPr="001D5327">
        <w:rPr>
          <w:lang w:eastAsia="en-GB"/>
        </w:rPr>
        <w:t>CO</w:t>
      </w:r>
      <w:r w:rsidRPr="001D5327">
        <w:rPr>
          <w:vertAlign w:val="subscript"/>
          <w:lang w:eastAsia="en-GB"/>
        </w:rPr>
        <w:t>2</w:t>
      </w:r>
      <w:r w:rsidRPr="001D5327">
        <w:rPr>
          <w:sz w:val="14"/>
          <w:szCs w:val="14"/>
          <w:lang w:eastAsia="en-GB"/>
        </w:rPr>
        <w:t xml:space="preserve"> </w:t>
      </w:r>
      <w:r w:rsidRPr="001D5327">
        <w:rPr>
          <w:lang w:eastAsia="en-GB"/>
        </w:rPr>
        <w:t xml:space="preserve">storage occurred in New Zealand between 1990 and </w:t>
      </w:r>
      <w:r w:rsidR="00704343" w:rsidRPr="001D5327">
        <w:t>2023</w:t>
      </w:r>
      <w:r w:rsidRPr="001D5327">
        <w:rPr>
          <w:lang w:eastAsia="en-GB"/>
        </w:rPr>
        <w:t xml:space="preserve">. </w:t>
      </w:r>
      <w:r w:rsidR="00F80A22" w:rsidRPr="001D5327">
        <w:rPr>
          <w:lang w:eastAsia="en-GB"/>
        </w:rPr>
        <w:t>During 2024, the</w:t>
      </w:r>
      <w:r w:rsidR="00F705EF" w:rsidRPr="001D5327">
        <w:rPr>
          <w:lang w:eastAsia="en-GB"/>
        </w:rPr>
        <w:t> </w:t>
      </w:r>
      <w:r w:rsidR="00F80A22" w:rsidRPr="001D5327">
        <w:rPr>
          <w:lang w:eastAsia="en-GB"/>
        </w:rPr>
        <w:t>Government proposed a regulatory regime for carbon capture, utilisation and storage (MBIE,</w:t>
      </w:r>
      <w:r w:rsidR="00F705EF" w:rsidRPr="001D5327">
        <w:rPr>
          <w:lang w:eastAsia="en-GB"/>
        </w:rPr>
        <w:t> </w:t>
      </w:r>
      <w:r w:rsidR="00F80A22" w:rsidRPr="001D5327">
        <w:rPr>
          <w:lang w:eastAsia="en-GB"/>
        </w:rPr>
        <w:t>2024</w:t>
      </w:r>
      <w:r w:rsidR="00282A25" w:rsidRPr="001D5327">
        <w:rPr>
          <w:lang w:eastAsia="en-GB"/>
        </w:rPr>
        <w:t>c</w:t>
      </w:r>
      <w:r w:rsidR="00F80A22" w:rsidRPr="001D5327">
        <w:rPr>
          <w:lang w:eastAsia="en-GB"/>
        </w:rPr>
        <w:t>)</w:t>
      </w:r>
      <w:r w:rsidR="004C2B78" w:rsidRPr="001D5327">
        <w:rPr>
          <w:lang w:eastAsia="en-GB"/>
        </w:rPr>
        <w:t>.</w:t>
      </w:r>
    </w:p>
    <w:p w14:paraId="3D698EBD" w14:textId="77777777" w:rsidR="00D97D6C" w:rsidRPr="001D5327" w:rsidRDefault="00D97D6C" w:rsidP="00374637">
      <w:pPr>
        <w:pStyle w:val="Heading2"/>
        <w:spacing w:before="0" w:after="360"/>
        <w:rPr>
          <w:rFonts w:cs="Calibri"/>
          <w:b w:val="0"/>
        </w:rPr>
      </w:pPr>
      <w:r w:rsidRPr="001D5327">
        <w:rPr>
          <w:rFonts w:cs="Calibri"/>
        </w:rPr>
        <w:br w:type="page"/>
      </w:r>
      <w:bookmarkStart w:id="393" w:name="_Toc384581638"/>
      <w:bookmarkStart w:id="394" w:name="_Toc448321510"/>
      <w:bookmarkStart w:id="395" w:name="_Toc481751372"/>
      <w:bookmarkStart w:id="396" w:name="_Toc36224389"/>
      <w:bookmarkStart w:id="397" w:name="_Toc68786309"/>
      <w:bookmarkStart w:id="398" w:name="_Toc164154178"/>
      <w:bookmarkStart w:id="399" w:name="_Toc194312002"/>
      <w:r w:rsidRPr="001D5327">
        <w:rPr>
          <w:rStyle w:val="Heading2Char"/>
          <w:b/>
        </w:rPr>
        <w:lastRenderedPageBreak/>
        <w:t>Chapter 3: References</w:t>
      </w:r>
      <w:bookmarkEnd w:id="393"/>
      <w:bookmarkEnd w:id="394"/>
      <w:bookmarkEnd w:id="395"/>
      <w:bookmarkEnd w:id="396"/>
      <w:bookmarkEnd w:id="397"/>
      <w:bookmarkEnd w:id="398"/>
      <w:bookmarkEnd w:id="399"/>
    </w:p>
    <w:p w14:paraId="7C1EC874" w14:textId="3496C000" w:rsidR="003373C0" w:rsidRPr="001D5327" w:rsidRDefault="003373C0" w:rsidP="00D97D6C">
      <w:pPr>
        <w:pStyle w:val="References"/>
        <w:rPr>
          <w:rFonts w:cs="Calibri"/>
          <w:lang w:eastAsia="en-GB"/>
        </w:rPr>
      </w:pPr>
      <w:r w:rsidRPr="001D5327">
        <w:rPr>
          <w:rFonts w:cs="Calibri"/>
        </w:rPr>
        <w:t xml:space="preserve">Aerospace New Zealand. </w:t>
      </w:r>
      <w:r w:rsidR="004706B0" w:rsidRPr="001D5327">
        <w:rPr>
          <w:rFonts w:cs="Calibri"/>
        </w:rPr>
        <w:t>No date</w:t>
      </w:r>
      <w:r w:rsidRPr="001D5327">
        <w:rPr>
          <w:rFonts w:cs="Calibri"/>
        </w:rPr>
        <w:t xml:space="preserve">. </w:t>
      </w:r>
      <w:hyperlink r:id="rId71" w:history="1">
        <w:r w:rsidR="00E45B87" w:rsidRPr="001D5327">
          <w:rPr>
            <w:rStyle w:val="Hyperlink"/>
          </w:rPr>
          <w:t>Aerospace New Zealand</w:t>
        </w:r>
      </w:hyperlink>
      <w:r w:rsidR="00E45B87" w:rsidRPr="001D5327">
        <w:t xml:space="preserve">. </w:t>
      </w:r>
      <w:r w:rsidRPr="001D5327">
        <w:rPr>
          <w:rFonts w:cs="Calibri"/>
        </w:rPr>
        <w:t xml:space="preserve">Retrieved </w:t>
      </w:r>
      <w:r w:rsidR="00917167" w:rsidRPr="001D5327">
        <w:rPr>
          <w:rFonts w:cs="Calibri"/>
        </w:rPr>
        <w:t>20</w:t>
      </w:r>
      <w:r w:rsidRPr="001D5327">
        <w:rPr>
          <w:rFonts w:cs="Calibri"/>
        </w:rPr>
        <w:t xml:space="preserve"> February 2025.</w:t>
      </w:r>
    </w:p>
    <w:p w14:paraId="1595BB89" w14:textId="53D70D1C" w:rsidR="00D97D6C" w:rsidRPr="001D5327" w:rsidRDefault="00D97D6C" w:rsidP="00D97D6C">
      <w:pPr>
        <w:pStyle w:val="References"/>
        <w:rPr>
          <w:rFonts w:cs="Calibri"/>
          <w:lang w:eastAsia="en-GB"/>
        </w:rPr>
      </w:pPr>
      <w:r w:rsidRPr="001D5327">
        <w:rPr>
          <w:rFonts w:cs="Calibri"/>
          <w:lang w:eastAsia="en-GB"/>
        </w:rPr>
        <w:t xml:space="preserve">Australian Bureau of Statistics and Statistics New Zealand. 2006. </w:t>
      </w:r>
      <w:r w:rsidRPr="001D5327">
        <w:rPr>
          <w:rFonts w:cs="Calibri"/>
          <w:i/>
          <w:iCs/>
          <w:lang w:eastAsia="en-GB"/>
        </w:rPr>
        <w:t xml:space="preserve">Australian and New Zealand Standard Industrial Classification Revision 1.0. </w:t>
      </w:r>
      <w:r w:rsidRPr="001D5327">
        <w:rPr>
          <w:rFonts w:cs="Calibri"/>
          <w:lang w:eastAsia="en-GB"/>
        </w:rPr>
        <w:t>Canberra: Australian Bureau of Statistics.</w:t>
      </w:r>
    </w:p>
    <w:p w14:paraId="2C482633" w14:textId="77777777" w:rsidR="00D97D6C" w:rsidRPr="001D5327" w:rsidRDefault="00D97D6C" w:rsidP="00D97D6C">
      <w:pPr>
        <w:pStyle w:val="References"/>
        <w:rPr>
          <w:rFonts w:cs="Calibri"/>
          <w:lang w:eastAsia="en-GB"/>
        </w:rPr>
      </w:pPr>
      <w:r w:rsidRPr="001D5327">
        <w:rPr>
          <w:rFonts w:cs="Calibri"/>
          <w:lang w:eastAsia="en-GB"/>
        </w:rPr>
        <w:t xml:space="preserve">Baines JT. 1993. </w:t>
      </w:r>
      <w:r w:rsidRPr="001D5327">
        <w:rPr>
          <w:rFonts w:cs="Calibri"/>
          <w:i/>
          <w:iCs/>
          <w:lang w:eastAsia="en-GB"/>
        </w:rPr>
        <w:t>New Zealand Energy Information Handbook</w:t>
      </w:r>
      <w:r w:rsidRPr="001D5327">
        <w:rPr>
          <w:rFonts w:cs="Calibri"/>
          <w:lang w:eastAsia="en-GB"/>
        </w:rPr>
        <w:t>. Christchurch: Taylor Baines and Associates.</w:t>
      </w:r>
    </w:p>
    <w:p w14:paraId="66EE4B8A" w14:textId="4B3C607C" w:rsidR="00D97D6C" w:rsidRPr="001D5327" w:rsidRDefault="00D97D6C" w:rsidP="00D97D6C">
      <w:pPr>
        <w:pStyle w:val="References"/>
        <w:rPr>
          <w:rFonts w:cs="Calibri"/>
          <w:lang w:eastAsia="en-GB"/>
        </w:rPr>
      </w:pPr>
      <w:r w:rsidRPr="001D5327">
        <w:rPr>
          <w:rFonts w:cs="Calibri"/>
          <w:lang w:eastAsia="en-GB"/>
        </w:rPr>
        <w:t xml:space="preserve">Beamish BB, Vance WE. 1992. Greenhouse </w:t>
      </w:r>
      <w:r w:rsidR="000E0666" w:rsidRPr="001D5327">
        <w:rPr>
          <w:rFonts w:cs="Calibri"/>
          <w:lang w:eastAsia="en-GB"/>
        </w:rPr>
        <w:t>g</w:t>
      </w:r>
      <w:r w:rsidRPr="001D5327">
        <w:rPr>
          <w:rFonts w:cs="Calibri"/>
          <w:lang w:eastAsia="en-GB"/>
        </w:rPr>
        <w:t xml:space="preserve">as </w:t>
      </w:r>
      <w:r w:rsidR="000E0666" w:rsidRPr="001D5327">
        <w:rPr>
          <w:rFonts w:cs="Calibri"/>
          <w:lang w:eastAsia="en-GB"/>
        </w:rPr>
        <w:t>c</w:t>
      </w:r>
      <w:r w:rsidRPr="001D5327">
        <w:rPr>
          <w:rFonts w:cs="Calibri"/>
          <w:lang w:eastAsia="en-GB"/>
        </w:rPr>
        <w:t xml:space="preserve">ontributions from </w:t>
      </w:r>
      <w:r w:rsidR="000E0666" w:rsidRPr="001D5327">
        <w:rPr>
          <w:rFonts w:cs="Calibri"/>
          <w:lang w:eastAsia="en-GB"/>
        </w:rPr>
        <w:t>c</w:t>
      </w:r>
      <w:r w:rsidRPr="001D5327">
        <w:rPr>
          <w:rFonts w:cs="Calibri"/>
          <w:lang w:eastAsia="en-GB"/>
        </w:rPr>
        <w:t xml:space="preserve">oal </w:t>
      </w:r>
      <w:r w:rsidR="000E0666" w:rsidRPr="001D5327">
        <w:rPr>
          <w:rFonts w:cs="Calibri"/>
          <w:lang w:eastAsia="en-GB"/>
        </w:rPr>
        <w:t>m</w:t>
      </w:r>
      <w:r w:rsidRPr="001D5327">
        <w:rPr>
          <w:rFonts w:cs="Calibri"/>
          <w:lang w:eastAsia="en-GB"/>
        </w:rPr>
        <w:t xml:space="preserve">ining in Australia and New Zealand. </w:t>
      </w:r>
      <w:r w:rsidRPr="001D5327">
        <w:rPr>
          <w:rFonts w:cs="Calibri"/>
          <w:i/>
          <w:iCs/>
          <w:lang w:eastAsia="en-GB"/>
        </w:rPr>
        <w:t xml:space="preserve">Journal of the Royal Society of New Zealand </w:t>
      </w:r>
      <w:r w:rsidRPr="001D5327">
        <w:rPr>
          <w:rFonts w:cs="Calibri"/>
          <w:lang w:eastAsia="en-GB"/>
        </w:rPr>
        <w:t>22(2).</w:t>
      </w:r>
    </w:p>
    <w:p w14:paraId="5ED4E53E" w14:textId="0C7A1665" w:rsidR="00D97D6C" w:rsidRPr="001D5327" w:rsidRDefault="00D97D6C" w:rsidP="00D97D6C">
      <w:pPr>
        <w:pStyle w:val="References"/>
        <w:rPr>
          <w:rFonts w:cs="Calibri"/>
          <w:lang w:eastAsia="en-GB"/>
        </w:rPr>
      </w:pPr>
      <w:r w:rsidRPr="001D5327">
        <w:rPr>
          <w:rFonts w:cs="Calibri"/>
          <w:lang w:eastAsia="en-GB"/>
        </w:rPr>
        <w:t xml:space="preserve">Bioenergy Association of New Zealand. 2011. </w:t>
      </w:r>
      <w:hyperlink r:id="rId72" w:history="1">
        <w:r w:rsidRPr="001D5327">
          <w:rPr>
            <w:rStyle w:val="Hyperlink"/>
            <w:rFonts w:cs="Calibri"/>
            <w:i/>
            <w:lang w:eastAsia="en-GB"/>
          </w:rPr>
          <w:t>Heat Plant in New Zealand</w:t>
        </w:r>
      </w:hyperlink>
      <w:r w:rsidRPr="001D5327">
        <w:rPr>
          <w:rFonts w:cs="Calibri"/>
          <w:lang w:eastAsia="en-GB"/>
        </w:rPr>
        <w:t>. Retrieved</w:t>
      </w:r>
      <w:r w:rsidR="00C2444D" w:rsidRPr="001D5327">
        <w:rPr>
          <w:rFonts w:cs="Calibri"/>
        </w:rPr>
        <w:t xml:space="preserve"> 20 February 2025</w:t>
      </w:r>
      <w:r w:rsidRPr="001D5327">
        <w:rPr>
          <w:rFonts w:cs="Calibri"/>
        </w:rPr>
        <w:t xml:space="preserve">. </w:t>
      </w:r>
    </w:p>
    <w:p w14:paraId="286B5BE2" w14:textId="77777777" w:rsidR="00D97D6C" w:rsidRPr="001D5327" w:rsidRDefault="00D97D6C" w:rsidP="00D97D6C">
      <w:pPr>
        <w:pStyle w:val="References"/>
        <w:rPr>
          <w:rFonts w:cs="Calibri"/>
          <w:lang w:eastAsia="en-GB"/>
        </w:rPr>
      </w:pPr>
      <w:r w:rsidRPr="001D5327">
        <w:rPr>
          <w:rFonts w:cs="Calibri"/>
          <w:lang w:eastAsia="en-GB"/>
        </w:rPr>
        <w:t xml:space="preserve">BRANZ. 2002. </w:t>
      </w:r>
      <w:r w:rsidRPr="001D5327">
        <w:rPr>
          <w:rFonts w:cs="Calibri"/>
          <w:i/>
          <w:iCs/>
          <w:lang w:eastAsia="en-GB"/>
        </w:rPr>
        <w:t>Energy Use in New Zealand Households</w:t>
      </w:r>
      <w:r w:rsidRPr="001D5327">
        <w:rPr>
          <w:rFonts w:cs="Calibri"/>
          <w:lang w:eastAsia="en-GB"/>
        </w:rPr>
        <w:t>. Porirua, Wellington: Building Research Association of New Zealand.</w:t>
      </w:r>
    </w:p>
    <w:p w14:paraId="39B0B735" w14:textId="3B1E2C5D" w:rsidR="00D97D6C" w:rsidRPr="001D5327" w:rsidRDefault="00D97D6C" w:rsidP="00D97D6C">
      <w:pPr>
        <w:pStyle w:val="References"/>
        <w:rPr>
          <w:rFonts w:cs="Calibri"/>
          <w:lang w:eastAsia="en-GB"/>
        </w:rPr>
      </w:pPr>
      <w:r w:rsidRPr="001D5327">
        <w:rPr>
          <w:rFonts w:cs="Calibri"/>
          <w:lang w:eastAsia="en-GB"/>
        </w:rPr>
        <w:t xml:space="preserve">CRL Energy Ltd. 2009. </w:t>
      </w:r>
      <w:hyperlink r:id="rId73" w:history="1">
        <w:r w:rsidR="00C643EB" w:rsidRPr="001D5327">
          <w:rPr>
            <w:rStyle w:val="Hyperlink"/>
            <w:rFonts w:cs="Calibri"/>
            <w:i/>
            <w:iCs/>
            <w:lang w:eastAsia="en-GB"/>
          </w:rPr>
          <w:t>Review of Default Emission Factors in Draft Stationary Energy and Industrial Processes: Coal</w:t>
        </w:r>
      </w:hyperlink>
      <w:r w:rsidRPr="001D5327">
        <w:t>. Contract report prepared for the Ministry for the Environment. Wellington: Ministry for</w:t>
      </w:r>
      <w:r w:rsidR="00522DB0" w:rsidRPr="001D5327">
        <w:t> </w:t>
      </w:r>
      <w:r w:rsidRPr="001D5327">
        <w:t xml:space="preserve">the Environment. Retrieved </w:t>
      </w:r>
      <w:r w:rsidR="00C643EB" w:rsidRPr="001D5327">
        <w:rPr>
          <w:rFonts w:cs="Calibri"/>
        </w:rPr>
        <w:t>20 February 2025</w:t>
      </w:r>
      <w:r w:rsidRPr="001D5327">
        <w:rPr>
          <w:rFonts w:cs="Calibri"/>
          <w:lang w:eastAsia="en-GB"/>
        </w:rPr>
        <w:t>.</w:t>
      </w:r>
    </w:p>
    <w:p w14:paraId="4B713861" w14:textId="77777777" w:rsidR="00D97D6C" w:rsidRPr="001D5327" w:rsidRDefault="00D97D6C" w:rsidP="00D97D6C">
      <w:pPr>
        <w:pStyle w:val="References"/>
        <w:rPr>
          <w:rFonts w:cs="Calibri"/>
          <w:lang w:eastAsia="en-GB"/>
        </w:rPr>
      </w:pPr>
      <w:r w:rsidRPr="001D5327">
        <w:rPr>
          <w:rFonts w:cs="Calibri"/>
          <w:lang w:eastAsia="en-GB"/>
        </w:rPr>
        <w:t xml:space="preserve">European Environment Agency. 2007. </w:t>
      </w:r>
      <w:r w:rsidRPr="001D5327">
        <w:rPr>
          <w:rFonts w:cs="Calibri"/>
          <w:i/>
          <w:iCs/>
          <w:lang w:eastAsia="en-GB"/>
        </w:rPr>
        <w:t>EMEP/CORINAIR Emission Inventory Guidebook – 2007</w:t>
      </w:r>
      <w:r w:rsidRPr="001D5327">
        <w:rPr>
          <w:rFonts w:cs="Calibri"/>
          <w:iCs/>
          <w:lang w:eastAsia="en-GB"/>
        </w:rPr>
        <w:t>. Copenhagen:</w:t>
      </w:r>
      <w:r w:rsidRPr="001D5327">
        <w:rPr>
          <w:rFonts w:cs="Calibri"/>
          <w:lang w:eastAsia="en-GB"/>
        </w:rPr>
        <w:t xml:space="preserve"> European Environment Agency.</w:t>
      </w:r>
    </w:p>
    <w:p w14:paraId="518CD00E" w14:textId="77777777" w:rsidR="00D97D6C" w:rsidRPr="001D5327" w:rsidRDefault="00D97D6C" w:rsidP="00D97D6C">
      <w:pPr>
        <w:pStyle w:val="References"/>
        <w:rPr>
          <w:rFonts w:cs="Calibri"/>
          <w:lang w:eastAsia="en-GB"/>
        </w:rPr>
      </w:pPr>
      <w:r w:rsidRPr="001D5327">
        <w:rPr>
          <w:rFonts w:cs="Calibri"/>
          <w:lang w:eastAsia="en-GB"/>
        </w:rPr>
        <w:t xml:space="preserve">European Environment Agency. 2016. </w:t>
      </w:r>
      <w:r w:rsidRPr="001D5327">
        <w:rPr>
          <w:rFonts w:cs="Calibri"/>
          <w:i/>
          <w:lang w:eastAsia="en-GB"/>
        </w:rPr>
        <w:t xml:space="preserve">EMEP/EEA Air Pollutant Emission Inventory Guidebook 2016: </w:t>
      </w:r>
      <w:r w:rsidRPr="001D5327">
        <w:rPr>
          <w:rFonts w:cs="Calibri"/>
          <w:i/>
          <w:spacing w:val="-2"/>
          <w:lang w:eastAsia="en-GB"/>
        </w:rPr>
        <w:t>Technical guidance to prepare national emission inventories</w:t>
      </w:r>
      <w:r w:rsidRPr="001D5327">
        <w:rPr>
          <w:rFonts w:cs="Calibri"/>
          <w:spacing w:val="-2"/>
          <w:lang w:eastAsia="en-GB"/>
        </w:rPr>
        <w:t xml:space="preserve">. </w:t>
      </w:r>
      <w:r w:rsidRPr="001D5327">
        <w:rPr>
          <w:rFonts w:cs="Calibri"/>
          <w:iCs/>
          <w:spacing w:val="-2"/>
          <w:lang w:eastAsia="en-GB"/>
        </w:rPr>
        <w:t>Copenhagen</w:t>
      </w:r>
      <w:r w:rsidRPr="001D5327">
        <w:rPr>
          <w:rFonts w:cs="Calibri"/>
          <w:spacing w:val="-2"/>
          <w:lang w:eastAsia="en-GB"/>
        </w:rPr>
        <w:t>: European Environment Agency.</w:t>
      </w:r>
    </w:p>
    <w:p w14:paraId="22169BBA" w14:textId="77777777" w:rsidR="00D97D6C" w:rsidRPr="001D5327" w:rsidRDefault="00D97D6C" w:rsidP="00D97D6C">
      <w:pPr>
        <w:pStyle w:val="References"/>
        <w:rPr>
          <w:rFonts w:cs="Calibri"/>
        </w:rPr>
      </w:pPr>
      <w:r w:rsidRPr="001D5327">
        <w:rPr>
          <w:rFonts w:cs="Calibri"/>
        </w:rPr>
        <w:t xml:space="preserve">IPCC. 2006. Eggleston HS, Buendia L, Miwa K, Ngara T, Tanabe K (eds). </w:t>
      </w:r>
      <w:r w:rsidRPr="001D5327">
        <w:rPr>
          <w:rFonts w:cs="Calibri"/>
          <w:i/>
        </w:rPr>
        <w:t>2006 IPCC Guidelines for National Greenhouse Gas Inventories. Volume 2. Energy</w:t>
      </w:r>
      <w:r w:rsidRPr="001D5327">
        <w:rPr>
          <w:rFonts w:cs="Calibri"/>
        </w:rPr>
        <w:t xml:space="preserve">. IPCC National Greenhouse Gas Inventories Programme. Japan: </w:t>
      </w:r>
      <w:r w:rsidRPr="001D5327">
        <w:t xml:space="preserve">Published for the IPCC by the </w:t>
      </w:r>
      <w:r w:rsidRPr="001D5327">
        <w:rPr>
          <w:rFonts w:cs="Calibri"/>
        </w:rPr>
        <w:t>Institute for Global Environmental Strategies for IPCC.</w:t>
      </w:r>
    </w:p>
    <w:p w14:paraId="5FE9A558" w14:textId="096FF7CE" w:rsidR="00D97D6C" w:rsidRPr="001D5327" w:rsidRDefault="00D97D6C" w:rsidP="00D97D6C">
      <w:pPr>
        <w:pStyle w:val="References"/>
        <w:rPr>
          <w:rFonts w:cs="Calibri"/>
        </w:rPr>
      </w:pPr>
      <w:r w:rsidRPr="001D5327">
        <w:rPr>
          <w:rFonts w:cs="Calibri"/>
        </w:rPr>
        <w:t xml:space="preserve">MBIE. 2008. </w:t>
      </w:r>
      <w:hyperlink r:id="rId74" w:history="1">
        <w:r w:rsidRPr="001D5327">
          <w:rPr>
            <w:rStyle w:val="Hyperlink"/>
            <w:rFonts w:cs="Calibri"/>
            <w:i/>
            <w:iCs/>
          </w:rPr>
          <w:t>Liquid Fuel Use in New Zealand</w:t>
        </w:r>
      </w:hyperlink>
      <w:r w:rsidRPr="001D5327">
        <w:rPr>
          <w:rFonts w:cs="Calibri"/>
        </w:rPr>
        <w:t xml:space="preserve">. </w:t>
      </w:r>
      <w:r w:rsidRPr="001D5327">
        <w:rPr>
          <w:rFonts w:cs="Calibri"/>
          <w:lang w:eastAsia="en-GB"/>
        </w:rPr>
        <w:t xml:space="preserve">Wellington: </w:t>
      </w:r>
      <w:r w:rsidRPr="001D5327">
        <w:rPr>
          <w:rFonts w:cs="Calibri"/>
        </w:rPr>
        <w:t>Ministry of Business, Innovation and Employment</w:t>
      </w:r>
      <w:r w:rsidRPr="001D5327">
        <w:rPr>
          <w:rFonts w:cs="Calibri"/>
          <w:lang w:eastAsia="en-GB"/>
        </w:rPr>
        <w:t xml:space="preserve">. </w:t>
      </w:r>
      <w:r w:rsidRPr="001D5327">
        <w:rPr>
          <w:rFonts w:cs="Calibri"/>
        </w:rPr>
        <w:t xml:space="preserve">Retrieved </w:t>
      </w:r>
      <w:r w:rsidR="002244A5" w:rsidRPr="001D5327">
        <w:rPr>
          <w:rFonts w:cs="Calibri"/>
        </w:rPr>
        <w:t>20 February 2025</w:t>
      </w:r>
      <w:r w:rsidRPr="001D5327">
        <w:rPr>
          <w:rFonts w:cs="Calibri"/>
        </w:rPr>
        <w:t>.</w:t>
      </w:r>
    </w:p>
    <w:p w14:paraId="21790453" w14:textId="6E92B5F2" w:rsidR="00D97D6C" w:rsidRPr="001D5327" w:rsidRDefault="00D97D6C" w:rsidP="00D97D6C">
      <w:pPr>
        <w:pStyle w:val="References"/>
        <w:rPr>
          <w:rFonts w:cs="Calibri"/>
        </w:rPr>
      </w:pPr>
      <w:r w:rsidRPr="001D5327">
        <w:rPr>
          <w:rFonts w:cs="Calibri"/>
        </w:rPr>
        <w:t xml:space="preserve">MBIE. 2010. </w:t>
      </w:r>
      <w:hyperlink r:id="rId75" w:history="1">
        <w:r w:rsidRPr="001D5327">
          <w:rPr>
            <w:rStyle w:val="Hyperlink"/>
            <w:rFonts w:cs="Calibri"/>
            <w:i/>
          </w:rPr>
          <w:t>Delivering the Diesel – Liquid Fuel Deliveries in New Zealand 1990–2008</w:t>
        </w:r>
      </w:hyperlink>
      <w:r w:rsidRPr="001D5327">
        <w:rPr>
          <w:rFonts w:cs="Calibri"/>
        </w:rPr>
        <w:t xml:space="preserve">. </w:t>
      </w:r>
      <w:r w:rsidRPr="001D5327">
        <w:rPr>
          <w:rFonts w:cs="Calibri"/>
          <w:lang w:eastAsia="en-GB"/>
        </w:rPr>
        <w:t xml:space="preserve">Wellington: </w:t>
      </w:r>
      <w:r w:rsidRPr="001D5327">
        <w:t>Ministry of Business, Innovation and Employment. Retrieved</w:t>
      </w:r>
      <w:r w:rsidR="002244A5" w:rsidRPr="001D5327">
        <w:t xml:space="preserve"> </w:t>
      </w:r>
      <w:r w:rsidR="002244A5" w:rsidRPr="001D5327">
        <w:rPr>
          <w:rFonts w:cs="Calibri"/>
        </w:rPr>
        <w:t>20 February 2025</w:t>
      </w:r>
      <w:r w:rsidRPr="001D5327">
        <w:rPr>
          <w:rFonts w:cs="Calibri"/>
        </w:rPr>
        <w:t>.</w:t>
      </w:r>
    </w:p>
    <w:p w14:paraId="3AA7B873" w14:textId="1579F218" w:rsidR="00D97D6C" w:rsidRPr="001D5327" w:rsidRDefault="00D97D6C" w:rsidP="00D97D6C">
      <w:pPr>
        <w:pStyle w:val="References"/>
      </w:pPr>
      <w:r w:rsidRPr="001D5327">
        <w:rPr>
          <w:rFonts w:cs="Calibri"/>
          <w:lang w:eastAsia="en-GB"/>
        </w:rPr>
        <w:t>M</w:t>
      </w:r>
      <w:r w:rsidRPr="001D5327">
        <w:rPr>
          <w:rFonts w:cs="Calibri"/>
        </w:rPr>
        <w:t>BIE</w:t>
      </w:r>
      <w:r w:rsidRPr="001D5327">
        <w:rPr>
          <w:rFonts w:cs="Calibri"/>
          <w:lang w:eastAsia="en-GB"/>
        </w:rPr>
        <w:t xml:space="preserve">. </w:t>
      </w:r>
      <w:r w:rsidR="006A21DD" w:rsidRPr="001D5327">
        <w:rPr>
          <w:rFonts w:cs="Calibri"/>
          <w:lang w:eastAsia="en-GB"/>
        </w:rPr>
        <w:t>2024</w:t>
      </w:r>
      <w:r w:rsidR="00282A25" w:rsidRPr="001D5327">
        <w:rPr>
          <w:rFonts w:cs="Calibri"/>
          <w:lang w:eastAsia="en-GB"/>
        </w:rPr>
        <w:t>a</w:t>
      </w:r>
      <w:r w:rsidRPr="001D5327">
        <w:rPr>
          <w:rFonts w:cs="Calibri"/>
          <w:lang w:eastAsia="en-GB"/>
        </w:rPr>
        <w:t xml:space="preserve">. </w:t>
      </w:r>
      <w:hyperlink r:id="rId76" w:history="1">
        <w:r w:rsidRPr="001D5327">
          <w:rPr>
            <w:rStyle w:val="Hyperlink"/>
            <w:rFonts w:cs="Calibri"/>
            <w:i/>
            <w:iCs/>
            <w:lang w:eastAsia="en-GB"/>
          </w:rPr>
          <w:t>Energy in New Zealand</w:t>
        </w:r>
      </w:hyperlink>
      <w:r w:rsidRPr="001D5327">
        <w:rPr>
          <w:rFonts w:cs="Calibri"/>
          <w:lang w:eastAsia="en-GB"/>
        </w:rPr>
        <w:t xml:space="preserve">. Wellington: </w:t>
      </w:r>
      <w:r w:rsidRPr="001D5327">
        <w:rPr>
          <w:rFonts w:cs="Calibri"/>
        </w:rPr>
        <w:t>Ministry of Business, Innovation and Employment</w:t>
      </w:r>
      <w:r w:rsidRPr="001D5327">
        <w:rPr>
          <w:rFonts w:cs="Calibri"/>
          <w:lang w:eastAsia="en-GB"/>
        </w:rPr>
        <w:t xml:space="preserve">. </w:t>
      </w:r>
      <w:r w:rsidRPr="001D5327">
        <w:rPr>
          <w:rFonts w:cs="Calibri"/>
        </w:rPr>
        <w:t xml:space="preserve">Retrieved </w:t>
      </w:r>
      <w:r w:rsidR="002244A5" w:rsidRPr="001D5327">
        <w:t>20 February 2025</w:t>
      </w:r>
      <w:r w:rsidRPr="001D5327">
        <w:t>.</w:t>
      </w:r>
    </w:p>
    <w:p w14:paraId="21D8E496" w14:textId="0D63E12D" w:rsidR="00282A25" w:rsidRPr="001D5327" w:rsidRDefault="00282A25" w:rsidP="00D97D6C">
      <w:pPr>
        <w:pStyle w:val="References"/>
      </w:pPr>
      <w:r w:rsidRPr="001D5327">
        <w:t xml:space="preserve">MBIE. 2024b. </w:t>
      </w:r>
      <w:hyperlink r:id="rId77" w:history="1">
        <w:r w:rsidRPr="001D5327">
          <w:rPr>
            <w:rStyle w:val="Hyperlink"/>
            <w:i/>
          </w:rPr>
          <w:t xml:space="preserve">Petroleum </w:t>
        </w:r>
        <w:r w:rsidR="002559EB" w:rsidRPr="001D5327">
          <w:rPr>
            <w:rStyle w:val="Hyperlink"/>
            <w:i/>
            <w:iCs/>
          </w:rPr>
          <w:t>R</w:t>
        </w:r>
        <w:r w:rsidRPr="001D5327">
          <w:rPr>
            <w:rStyle w:val="Hyperlink"/>
            <w:i/>
            <w:iCs/>
          </w:rPr>
          <w:t xml:space="preserve">eserves </w:t>
        </w:r>
        <w:r w:rsidR="002559EB" w:rsidRPr="001D5327">
          <w:rPr>
            <w:rStyle w:val="Hyperlink"/>
            <w:i/>
            <w:iCs/>
          </w:rPr>
          <w:t>D</w:t>
        </w:r>
        <w:r w:rsidRPr="001D5327">
          <w:rPr>
            <w:rStyle w:val="Hyperlink"/>
            <w:i/>
          </w:rPr>
          <w:t>ata</w:t>
        </w:r>
      </w:hyperlink>
      <w:r w:rsidRPr="001D5327">
        <w:t xml:space="preserve">. Retrieved </w:t>
      </w:r>
      <w:r w:rsidR="00917167" w:rsidRPr="001D5327">
        <w:t>20</w:t>
      </w:r>
      <w:r w:rsidRPr="001D5327">
        <w:t xml:space="preserve"> February 2025.</w:t>
      </w:r>
    </w:p>
    <w:p w14:paraId="3227F5C5" w14:textId="693FB814" w:rsidR="00F80A22" w:rsidRPr="001D5327" w:rsidRDefault="00F80A22" w:rsidP="00D97D6C">
      <w:pPr>
        <w:pStyle w:val="References"/>
      </w:pPr>
      <w:r w:rsidRPr="001D5327">
        <w:t>MBIE. 2024</w:t>
      </w:r>
      <w:r w:rsidR="00282A25" w:rsidRPr="001D5327">
        <w:t>c</w:t>
      </w:r>
      <w:r w:rsidRPr="001D5327">
        <w:t>.</w:t>
      </w:r>
      <w:r w:rsidRPr="001D5327">
        <w:rPr>
          <w:i/>
        </w:rPr>
        <w:t xml:space="preserve"> </w:t>
      </w:r>
      <w:hyperlink r:id="rId78" w:history="1">
        <w:r w:rsidRPr="001D5327">
          <w:rPr>
            <w:rStyle w:val="Hyperlink"/>
            <w:i/>
          </w:rPr>
          <w:t xml:space="preserve">Proposed </w:t>
        </w:r>
        <w:r w:rsidR="002559EB" w:rsidRPr="001D5327">
          <w:rPr>
            <w:rStyle w:val="Hyperlink"/>
            <w:i/>
            <w:iCs/>
          </w:rPr>
          <w:t>Regulatory Regime</w:t>
        </w:r>
        <w:r w:rsidRPr="001D5327">
          <w:rPr>
            <w:rStyle w:val="Hyperlink"/>
            <w:i/>
          </w:rPr>
          <w:t xml:space="preserve"> for Carbon Capture, Utilisation</w:t>
        </w:r>
        <w:r w:rsidR="002559EB" w:rsidRPr="001D5327">
          <w:rPr>
            <w:rStyle w:val="Hyperlink"/>
            <w:i/>
            <w:iCs/>
          </w:rPr>
          <w:t>, and Storage (CCUS)</w:t>
        </w:r>
      </w:hyperlink>
      <w:r w:rsidRPr="001D5327">
        <w:t xml:space="preserve">. </w:t>
      </w:r>
      <w:r w:rsidRPr="001D5327">
        <w:rPr>
          <w:rFonts w:cs="Calibri"/>
        </w:rPr>
        <w:t xml:space="preserve">Retrieved </w:t>
      </w:r>
      <w:r w:rsidR="00917167" w:rsidRPr="001D5327">
        <w:rPr>
          <w:rFonts w:cs="Calibri"/>
        </w:rPr>
        <w:t xml:space="preserve">20 </w:t>
      </w:r>
      <w:r w:rsidRPr="001D5327">
        <w:t>February 2025.</w:t>
      </w:r>
    </w:p>
    <w:p w14:paraId="4F5BD484" w14:textId="7DF6667A" w:rsidR="00D97D6C" w:rsidRPr="001D5327" w:rsidRDefault="00D97D6C" w:rsidP="00D97D6C">
      <w:pPr>
        <w:pStyle w:val="References"/>
      </w:pPr>
      <w:r w:rsidRPr="001D5327">
        <w:t xml:space="preserve">McLean K, Richardson I. 2019. Greenhouse </w:t>
      </w:r>
      <w:r w:rsidR="00917167" w:rsidRPr="001D5327">
        <w:t>g</w:t>
      </w:r>
      <w:r w:rsidRPr="001D5327">
        <w:t xml:space="preserve">as </w:t>
      </w:r>
      <w:r w:rsidR="00917167" w:rsidRPr="001D5327">
        <w:t>e</w:t>
      </w:r>
      <w:r w:rsidRPr="001D5327">
        <w:t xml:space="preserve">missions from New Zealand </w:t>
      </w:r>
      <w:r w:rsidR="00917167" w:rsidRPr="001D5327">
        <w:t>g</w:t>
      </w:r>
      <w:r w:rsidRPr="001D5327">
        <w:t xml:space="preserve">eothermal </w:t>
      </w:r>
      <w:r w:rsidR="00917167" w:rsidRPr="001D5327">
        <w:t>p</w:t>
      </w:r>
      <w:r w:rsidRPr="001D5327">
        <w:t xml:space="preserve">ower </w:t>
      </w:r>
      <w:r w:rsidR="00917167" w:rsidRPr="001D5327">
        <w:t>g</w:t>
      </w:r>
      <w:r w:rsidRPr="001D5327">
        <w:t xml:space="preserve">eneration in </w:t>
      </w:r>
      <w:r w:rsidR="00917167" w:rsidRPr="001D5327">
        <w:t>c</w:t>
      </w:r>
      <w:r w:rsidRPr="001D5327">
        <w:t xml:space="preserve">ontext. In: </w:t>
      </w:r>
      <w:r w:rsidRPr="001D5327">
        <w:rPr>
          <w:i/>
        </w:rPr>
        <w:t xml:space="preserve">Proceedings </w:t>
      </w:r>
      <w:r w:rsidR="009A3C51" w:rsidRPr="001D5327">
        <w:rPr>
          <w:i/>
          <w:iCs/>
        </w:rPr>
        <w:t xml:space="preserve">of the </w:t>
      </w:r>
      <w:r w:rsidRPr="001D5327">
        <w:rPr>
          <w:i/>
        </w:rPr>
        <w:t>41st New Zealand Geothermal Workshop, 25–27 November 2019</w:t>
      </w:r>
      <w:r w:rsidRPr="001D5327">
        <w:t xml:space="preserve">. Auckland. </w:t>
      </w:r>
    </w:p>
    <w:p w14:paraId="10F4A366" w14:textId="77777777" w:rsidR="00D97D6C" w:rsidRPr="001D5327" w:rsidRDefault="00D97D6C" w:rsidP="00D97D6C">
      <w:pPr>
        <w:pStyle w:val="References"/>
        <w:rPr>
          <w:rFonts w:cs="Calibri"/>
        </w:rPr>
      </w:pPr>
      <w:r w:rsidRPr="001D5327">
        <w:rPr>
          <w:rFonts w:cs="Calibri"/>
          <w:lang w:eastAsia="en-GB"/>
        </w:rPr>
        <w:t xml:space="preserve">Ministry for the Environment. 2009. </w:t>
      </w:r>
      <w:r w:rsidRPr="001D5327">
        <w:rPr>
          <w:rFonts w:cs="Calibri"/>
          <w:i/>
          <w:iCs/>
          <w:lang w:eastAsia="en-GB"/>
        </w:rPr>
        <w:t>Projects to Reduce Emissions (PRE)</w:t>
      </w:r>
      <w:r w:rsidRPr="001D5327">
        <w:rPr>
          <w:rFonts w:cs="Calibri"/>
          <w:iCs/>
          <w:lang w:eastAsia="en-GB"/>
        </w:rPr>
        <w:t xml:space="preserve">. </w:t>
      </w:r>
      <w:r w:rsidRPr="001D5327">
        <w:rPr>
          <w:rFonts w:cs="Calibri"/>
          <w:lang w:eastAsia="en-GB"/>
        </w:rPr>
        <w:t xml:space="preserve">Wellington: </w:t>
      </w:r>
      <w:r w:rsidRPr="001D5327">
        <w:rPr>
          <w:rFonts w:cs="Calibri"/>
        </w:rPr>
        <w:t>Ministry for the Environment</w:t>
      </w:r>
      <w:r w:rsidRPr="001D5327">
        <w:rPr>
          <w:rFonts w:cs="Calibri"/>
          <w:lang w:eastAsia="en-GB"/>
        </w:rPr>
        <w:t xml:space="preserve">. </w:t>
      </w:r>
    </w:p>
    <w:p w14:paraId="142D328F" w14:textId="316EA947" w:rsidR="00D97D6C" w:rsidRPr="001D5327" w:rsidRDefault="00D97D6C" w:rsidP="00D97D6C">
      <w:pPr>
        <w:pStyle w:val="References"/>
        <w:rPr>
          <w:rFonts w:cs="Calibri"/>
        </w:rPr>
      </w:pPr>
      <w:r w:rsidRPr="001D5327">
        <w:rPr>
          <w:rFonts w:cs="Calibri"/>
        </w:rPr>
        <w:t xml:space="preserve">Ministry of Transport. 2010. </w:t>
      </w:r>
      <w:hyperlink r:id="rId79" w:history="1">
        <w:r w:rsidRPr="001D5327">
          <w:rPr>
            <w:rStyle w:val="Hyperlink"/>
            <w:rFonts w:cs="Calibri"/>
            <w:i/>
          </w:rPr>
          <w:t>New Zealand Travel Survey</w:t>
        </w:r>
      </w:hyperlink>
      <w:r w:rsidRPr="001D5327">
        <w:rPr>
          <w:rFonts w:cs="Calibri"/>
          <w:i/>
        </w:rPr>
        <w:t xml:space="preserve">. </w:t>
      </w:r>
      <w:r w:rsidRPr="001D5327">
        <w:rPr>
          <w:rFonts w:cs="Calibri"/>
          <w:lang w:eastAsia="en-GB"/>
        </w:rPr>
        <w:t xml:space="preserve">Wellington: </w:t>
      </w:r>
      <w:r w:rsidRPr="001D5327">
        <w:rPr>
          <w:rFonts w:cs="Calibri"/>
        </w:rPr>
        <w:t xml:space="preserve">Ministry of Transport. Retrieved </w:t>
      </w:r>
      <w:r w:rsidR="002244A5" w:rsidRPr="001D5327">
        <w:rPr>
          <w:rFonts w:cs="Calibri"/>
        </w:rPr>
        <w:t>20</w:t>
      </w:r>
      <w:r w:rsidR="00760F95" w:rsidRPr="001D5327">
        <w:rPr>
          <w:rFonts w:cs="Calibri"/>
        </w:rPr>
        <w:t> </w:t>
      </w:r>
      <w:r w:rsidR="002244A5" w:rsidRPr="001D5327">
        <w:rPr>
          <w:rFonts w:cs="Calibri"/>
        </w:rPr>
        <w:t>February 2</w:t>
      </w:r>
      <w:r w:rsidR="00760F95" w:rsidRPr="001D5327">
        <w:rPr>
          <w:rFonts w:cs="Calibri"/>
        </w:rPr>
        <w:t>0</w:t>
      </w:r>
      <w:r w:rsidR="002244A5" w:rsidRPr="001D5327">
        <w:rPr>
          <w:rFonts w:cs="Calibri"/>
        </w:rPr>
        <w:t>25</w:t>
      </w:r>
      <w:r w:rsidRPr="001D5327">
        <w:rPr>
          <w:rFonts w:cs="Calibri"/>
        </w:rPr>
        <w:t>.</w:t>
      </w:r>
    </w:p>
    <w:p w14:paraId="24F95BC3" w14:textId="77777777" w:rsidR="00D97D6C" w:rsidRPr="001D5327" w:rsidRDefault="00D97D6C" w:rsidP="00D97D6C">
      <w:pPr>
        <w:pStyle w:val="References"/>
        <w:rPr>
          <w:rFonts w:cs="Calibri"/>
        </w:rPr>
      </w:pPr>
      <w:r w:rsidRPr="001D5327">
        <w:rPr>
          <w:rFonts w:cs="Calibri"/>
        </w:rPr>
        <w:t xml:space="preserve">New Zealand Institute of Chemistry. 1998. </w:t>
      </w:r>
      <w:r w:rsidRPr="001D5327">
        <w:rPr>
          <w:rFonts w:cs="Calibri"/>
          <w:i/>
        </w:rPr>
        <w:t>Chemical Processes in New Zealand Auckland</w:t>
      </w:r>
      <w:r w:rsidRPr="001D5327">
        <w:rPr>
          <w:rFonts w:cs="Calibri"/>
        </w:rPr>
        <w:t>. Christchurch: New Zealand Institute of Chemistry.</w:t>
      </w:r>
    </w:p>
    <w:p w14:paraId="6F00344D" w14:textId="7491A812" w:rsidR="00FC23F4" w:rsidRPr="001D5327" w:rsidRDefault="00FC23F4" w:rsidP="00D97D6C">
      <w:pPr>
        <w:pStyle w:val="References"/>
        <w:rPr>
          <w:rFonts w:cs="Calibri"/>
        </w:rPr>
      </w:pPr>
      <w:r w:rsidRPr="001D5327">
        <w:t xml:space="preserve">New Zealand Petroleum and Minerals. No date. </w:t>
      </w:r>
      <w:hyperlink r:id="rId80" w:history="1">
        <w:r w:rsidRPr="001D5327">
          <w:rPr>
            <w:rStyle w:val="Hyperlink"/>
            <w:i/>
            <w:iCs/>
          </w:rPr>
          <w:t>Geodata Catalogue</w:t>
        </w:r>
      </w:hyperlink>
      <w:r w:rsidRPr="001D5327">
        <w:t>. Retrieved 20 February 2025.</w:t>
      </w:r>
    </w:p>
    <w:p w14:paraId="0D420A14" w14:textId="77777777" w:rsidR="00D97D6C" w:rsidRPr="001D5327" w:rsidRDefault="00D97D6C" w:rsidP="00D97D6C">
      <w:pPr>
        <w:pStyle w:val="References"/>
        <w:rPr>
          <w:rFonts w:cs="Calibri"/>
        </w:rPr>
      </w:pPr>
      <w:r w:rsidRPr="001D5327">
        <w:rPr>
          <w:rFonts w:cs="Calibri"/>
        </w:rPr>
        <w:t xml:space="preserve">Reddy CM, DeMello JA, Carmichael CA, Peacock EE, Xu L, Arey JS. 2008. Determination of biodiesel blending percentages using natural abundance radiocarbon analysis: Testing the accuracy of retail biodiesel blends. </w:t>
      </w:r>
      <w:r w:rsidRPr="001D5327">
        <w:rPr>
          <w:rFonts w:cs="Calibri"/>
          <w:i/>
        </w:rPr>
        <w:t>Environmental Science Technology</w:t>
      </w:r>
      <w:r w:rsidRPr="001D5327">
        <w:rPr>
          <w:rFonts w:cs="Calibri"/>
        </w:rPr>
        <w:t xml:space="preserve"> 42(7): 2476–2482.</w:t>
      </w:r>
    </w:p>
    <w:p w14:paraId="39896A9F" w14:textId="5A210B40" w:rsidR="00D97D6C" w:rsidRPr="001D5327" w:rsidRDefault="00D97D6C" w:rsidP="00D97D6C">
      <w:pPr>
        <w:pStyle w:val="References"/>
        <w:rPr>
          <w:rFonts w:cs="Calibri"/>
          <w:lang w:eastAsia="en-GB"/>
        </w:rPr>
      </w:pPr>
      <w:r w:rsidRPr="001D5327">
        <w:rPr>
          <w:rFonts w:cs="Calibri"/>
          <w:lang w:eastAsia="en-GB"/>
        </w:rPr>
        <w:t xml:space="preserve">Stats NZ. 2018. </w:t>
      </w:r>
      <w:hyperlink r:id="rId81" w:history="1">
        <w:r w:rsidRPr="001D5327">
          <w:rPr>
            <w:rStyle w:val="Hyperlink"/>
            <w:rFonts w:cs="Calibri"/>
            <w:i/>
            <w:lang w:eastAsia="en-GB"/>
          </w:rPr>
          <w:t>Energy Use Survey</w:t>
        </w:r>
      </w:hyperlink>
      <w:r w:rsidRPr="001D5327">
        <w:rPr>
          <w:rFonts w:cs="Calibri"/>
          <w:lang w:eastAsia="en-GB"/>
        </w:rPr>
        <w:t xml:space="preserve">. Retrieved </w:t>
      </w:r>
      <w:r w:rsidR="009A3C51" w:rsidRPr="001D5327">
        <w:rPr>
          <w:rFonts w:cs="Calibri"/>
          <w:lang w:eastAsia="en-GB"/>
        </w:rPr>
        <w:t>20</w:t>
      </w:r>
      <w:r w:rsidRPr="001D5327">
        <w:rPr>
          <w:rFonts w:cs="Calibri"/>
          <w:lang w:eastAsia="en-GB"/>
        </w:rPr>
        <w:t xml:space="preserve"> February 202</w:t>
      </w:r>
      <w:r w:rsidR="009A3C51" w:rsidRPr="001D5327">
        <w:rPr>
          <w:rFonts w:cs="Calibri"/>
          <w:lang w:eastAsia="en-GB"/>
        </w:rPr>
        <w:t>5</w:t>
      </w:r>
      <w:r w:rsidRPr="001D5327">
        <w:rPr>
          <w:rFonts w:cs="Calibri"/>
          <w:lang w:eastAsia="en-GB"/>
        </w:rPr>
        <w:t>.</w:t>
      </w:r>
    </w:p>
    <w:p w14:paraId="67CC28EE" w14:textId="77777777" w:rsidR="00D97D6C" w:rsidRPr="001D5327" w:rsidRDefault="00D97D6C" w:rsidP="00D97D6C">
      <w:pPr>
        <w:pStyle w:val="References"/>
        <w:rPr>
          <w:rFonts w:cs="Calibri"/>
        </w:rPr>
      </w:pPr>
      <w:r w:rsidRPr="001D5327">
        <w:rPr>
          <w:rFonts w:cs="Calibri"/>
        </w:rPr>
        <w:lastRenderedPageBreak/>
        <w:t xml:space="preserve">UNFCCC. 2009. FCCC/ARR/2008/NZL. </w:t>
      </w:r>
      <w:r w:rsidRPr="001D5327">
        <w:rPr>
          <w:rFonts w:cs="Calibri"/>
          <w:i/>
        </w:rPr>
        <w:t>Report of the Individual Review of the Greenhouse Gas Inventories of New Zealand Submitted in 2007 and 2008</w:t>
      </w:r>
      <w:r w:rsidRPr="001D5327">
        <w:rPr>
          <w:rFonts w:cs="Calibri"/>
        </w:rPr>
        <w:t>. Centralised Review.</w:t>
      </w:r>
    </w:p>
    <w:p w14:paraId="1E4B2421" w14:textId="77777777" w:rsidR="00D97D6C" w:rsidRPr="001D5327" w:rsidRDefault="00D97D6C" w:rsidP="00737799">
      <w:pPr>
        <w:pStyle w:val="References"/>
      </w:pPr>
      <w:r w:rsidRPr="001D5327">
        <w:t xml:space="preserve">UNFCCC. 2014. FCCC/ARR/2013/NZL. </w:t>
      </w:r>
      <w:r w:rsidRPr="001D5327">
        <w:rPr>
          <w:rFonts w:cs="Calibri"/>
          <w:i/>
          <w:szCs w:val="20"/>
        </w:rPr>
        <w:t>Report of the individual review of the annual submission of New Zealand submitted in 2013</w:t>
      </w:r>
      <w:r w:rsidRPr="001D5327">
        <w:t>. Centralised Review.</w:t>
      </w:r>
    </w:p>
    <w:p w14:paraId="4B30CCA2" w14:textId="1C435709" w:rsidR="00B316D0" w:rsidRPr="001D5327" w:rsidRDefault="00B316D0" w:rsidP="00737799">
      <w:pPr>
        <w:pStyle w:val="References"/>
        <w:rPr>
          <w:szCs w:val="20"/>
        </w:rPr>
      </w:pPr>
      <w:r w:rsidRPr="001D5327">
        <w:t xml:space="preserve">WorkSafe, New Zealand Petroleum and Minerals, MBIE. </w:t>
      </w:r>
      <w:r w:rsidR="00FC23F4" w:rsidRPr="001D5327">
        <w:t xml:space="preserve">No date. </w:t>
      </w:r>
      <w:hyperlink r:id="rId82" w:history="1">
        <w:r w:rsidRPr="001D5327">
          <w:rPr>
            <w:rStyle w:val="Hyperlink"/>
            <w:i/>
            <w:iCs/>
          </w:rPr>
          <w:t>NZ Mine Plans</w:t>
        </w:r>
      </w:hyperlink>
      <w:r w:rsidRPr="001D5327">
        <w:t>. Retrieved 20 February 2025.</w:t>
      </w:r>
    </w:p>
    <w:bookmarkEnd w:id="4"/>
    <w:p w14:paraId="3F602394" w14:textId="77777777" w:rsidR="006F1DCA" w:rsidRPr="001D5327" w:rsidRDefault="006F1DCA" w:rsidP="00737799"/>
    <w:p w14:paraId="037C2F03" w14:textId="77777777" w:rsidR="009327C0" w:rsidRPr="001D5327" w:rsidRDefault="009327C0" w:rsidP="00737799"/>
    <w:p w14:paraId="78FDADD8" w14:textId="77777777" w:rsidR="009327C0" w:rsidRPr="001D5327" w:rsidRDefault="009327C0" w:rsidP="00737799">
      <w:pPr>
        <w:sectPr w:rsidR="009327C0" w:rsidRPr="001D5327" w:rsidSect="00F66BF9">
          <w:footerReference w:type="even" r:id="rId83"/>
          <w:pgSz w:w="11907" w:h="16840" w:code="9"/>
          <w:pgMar w:top="1418" w:right="1701" w:bottom="1418" w:left="1701" w:header="567" w:footer="567" w:gutter="0"/>
          <w:cols w:space="720"/>
        </w:sectPr>
      </w:pPr>
    </w:p>
    <w:p w14:paraId="4E24270F" w14:textId="17C962F6" w:rsidR="009327C0" w:rsidRPr="001D5327" w:rsidRDefault="009327C0" w:rsidP="009327C0">
      <w:pPr>
        <w:pStyle w:val="Heading1"/>
      </w:pPr>
      <w:bookmarkStart w:id="400" w:name="_Toc194312003"/>
      <w:bookmarkStart w:id="401" w:name="Xfe3e662230991eecf43d5b5e72e4f8320726a62"/>
      <w:r w:rsidRPr="001D5327">
        <w:lastRenderedPageBreak/>
        <w:t>Chapter 4: Industrial Processes and</w:t>
      </w:r>
      <w:r w:rsidR="00404319" w:rsidRPr="001D5327">
        <w:t> </w:t>
      </w:r>
      <w:r w:rsidRPr="001D5327">
        <w:t>Product Use (IPPU)</w:t>
      </w:r>
      <w:bookmarkEnd w:id="400"/>
    </w:p>
    <w:p w14:paraId="5BFB414A" w14:textId="77777777" w:rsidR="009327C0" w:rsidRPr="001D5327" w:rsidRDefault="009327C0" w:rsidP="009327C0">
      <w:pPr>
        <w:pStyle w:val="Heading2"/>
        <w:spacing w:before="240"/>
      </w:pPr>
      <w:bookmarkStart w:id="402" w:name="_Toc194312004"/>
      <w:bookmarkStart w:id="403" w:name="sector-overview"/>
      <w:r w:rsidRPr="001D5327">
        <w:t xml:space="preserve">4.1 </w:t>
      </w:r>
      <w:r w:rsidRPr="001D5327">
        <w:tab/>
        <w:t>Sector overview</w:t>
      </w:r>
      <w:bookmarkEnd w:id="402"/>
    </w:p>
    <w:p w14:paraId="5104A1BA" w14:textId="70EFA4F2" w:rsidR="009327C0" w:rsidRPr="001D5327" w:rsidRDefault="009327C0" w:rsidP="009327C0">
      <w:pPr>
        <w:pStyle w:val="BodyText"/>
      </w:pPr>
      <w:r w:rsidRPr="001D5327">
        <w:t xml:space="preserve">The </w:t>
      </w:r>
      <w:r w:rsidR="008A0A46">
        <w:t>I</w:t>
      </w:r>
      <w:r w:rsidRPr="001D5327">
        <w:t xml:space="preserve">ndustrial </w:t>
      </w:r>
      <w:r w:rsidR="008A0A46">
        <w:t>P</w:t>
      </w:r>
      <w:r w:rsidRPr="001D5327">
        <w:t xml:space="preserve">rocesses and </w:t>
      </w:r>
      <w:r w:rsidR="008A0A46">
        <w:t>P</w:t>
      </w:r>
      <w:r w:rsidRPr="001D5327">
        <w:t xml:space="preserve">roduct </w:t>
      </w:r>
      <w:r w:rsidR="008A0A46">
        <w:t>U</w:t>
      </w:r>
      <w:r w:rsidRPr="001D5327">
        <w:t>se (IPPU) sector reports greenhouse gas emissions as by-products of chemical, metal and mineral productions. The sector also covers emissions of synthetic greenhouse gases used in products such as refrigerators and air conditioners and aerosols.</w:t>
      </w:r>
    </w:p>
    <w:p w14:paraId="39BD4159" w14:textId="77777777" w:rsidR="009327C0" w:rsidRPr="001D5327" w:rsidRDefault="009327C0" w:rsidP="009327C0">
      <w:pPr>
        <w:pStyle w:val="Heading3"/>
      </w:pPr>
      <w:bookmarkStart w:id="404" w:name="ippu-sector-in-new-zealand"/>
      <w:r w:rsidRPr="001D5327">
        <w:t xml:space="preserve">4.1.1 </w:t>
      </w:r>
      <w:r w:rsidRPr="001D5327">
        <w:tab/>
        <w:t>IPPU sector in New Zealand</w:t>
      </w:r>
    </w:p>
    <w:p w14:paraId="2C80D8F0" w14:textId="77777777" w:rsidR="009327C0" w:rsidRPr="001D5327" w:rsidRDefault="009327C0" w:rsidP="009327C0">
      <w:pPr>
        <w:pStyle w:val="BodyText"/>
      </w:pPr>
      <w:r w:rsidRPr="001D5327">
        <w:t>New Zealand has a relatively small number of industrial processing plants that emit non-energy related greenhouse gases. Carbon dioxide (CO</w:t>
      </w:r>
      <w:r w:rsidRPr="001D5327">
        <w:rPr>
          <w:vertAlign w:val="subscript"/>
        </w:rPr>
        <w:t>2</w:t>
      </w:r>
      <w:r w:rsidRPr="001D5327">
        <w:t>), methane (CH</w:t>
      </w:r>
      <w:r w:rsidRPr="001D5327">
        <w:rPr>
          <w:vertAlign w:val="subscript"/>
        </w:rPr>
        <w:t>4</w:t>
      </w:r>
      <w:r w:rsidRPr="001D5327">
        <w:t>) and nitrous oxide (N</w:t>
      </w:r>
      <w:r w:rsidRPr="001D5327">
        <w:rPr>
          <w:vertAlign w:val="subscript"/>
        </w:rPr>
        <w:t>2</w:t>
      </w:r>
      <w:r w:rsidRPr="001D5327">
        <w:t>O) emissions from eight distinct industrial processes in New Zealand are reported under the IPPU sector. These are:</w:t>
      </w:r>
    </w:p>
    <w:p w14:paraId="660F2E5A" w14:textId="77777777" w:rsidR="009327C0" w:rsidRPr="001D5327" w:rsidRDefault="009327C0" w:rsidP="009327C0">
      <w:pPr>
        <w:pStyle w:val="Bullet"/>
      </w:pPr>
      <w:r w:rsidRPr="001D5327">
        <w:t>calcination of limestone in cement production</w:t>
      </w:r>
    </w:p>
    <w:p w14:paraId="6F721141" w14:textId="77777777" w:rsidR="009327C0" w:rsidRPr="001D5327" w:rsidRDefault="009327C0" w:rsidP="009327C0">
      <w:pPr>
        <w:pStyle w:val="Bullet"/>
      </w:pPr>
      <w:r w:rsidRPr="001D5327">
        <w:t>calcination of limestone in burnt and slaked lime production</w:t>
      </w:r>
    </w:p>
    <w:p w14:paraId="060CCD4C" w14:textId="77777777" w:rsidR="009327C0" w:rsidRPr="001D5327" w:rsidRDefault="009327C0" w:rsidP="009327C0">
      <w:pPr>
        <w:pStyle w:val="Bullet"/>
      </w:pPr>
      <w:r w:rsidRPr="001D5327">
        <w:t>production of ammonia, which is further processed into urea</w:t>
      </w:r>
    </w:p>
    <w:p w14:paraId="342C98A1" w14:textId="77777777" w:rsidR="009327C0" w:rsidRPr="001D5327" w:rsidRDefault="009327C0" w:rsidP="009327C0">
      <w:pPr>
        <w:pStyle w:val="Bullet"/>
      </w:pPr>
      <w:r w:rsidRPr="001D5327">
        <w:t>production of methanol</w:t>
      </w:r>
    </w:p>
    <w:p w14:paraId="2DE81EEC" w14:textId="77777777" w:rsidR="009327C0" w:rsidRPr="001D5327" w:rsidRDefault="009327C0" w:rsidP="009327C0">
      <w:pPr>
        <w:pStyle w:val="Bullet"/>
      </w:pPr>
      <w:r w:rsidRPr="001D5327">
        <w:t>production of hydrogen in oil refining and for making hydrogen peroxide</w:t>
      </w:r>
    </w:p>
    <w:p w14:paraId="3CF713AF" w14:textId="77777777" w:rsidR="009327C0" w:rsidRPr="001D5327" w:rsidRDefault="009327C0" w:rsidP="009327C0">
      <w:pPr>
        <w:pStyle w:val="Bullet"/>
      </w:pPr>
      <w:r w:rsidRPr="001D5327">
        <w:t>production of steel, from iron sand and scrap steel</w:t>
      </w:r>
    </w:p>
    <w:p w14:paraId="6DBAF325" w14:textId="77777777" w:rsidR="009327C0" w:rsidRPr="001D5327" w:rsidRDefault="009327C0" w:rsidP="009327C0">
      <w:pPr>
        <w:pStyle w:val="Bullet"/>
      </w:pPr>
      <w:r w:rsidRPr="001D5327">
        <w:t>oxidation of anodes in aluminium smelting</w:t>
      </w:r>
    </w:p>
    <w:p w14:paraId="380EB2BA" w14:textId="77777777" w:rsidR="009327C0" w:rsidRPr="001D5327" w:rsidRDefault="009327C0" w:rsidP="009327C0">
      <w:pPr>
        <w:pStyle w:val="Bullet"/>
      </w:pPr>
      <w:r w:rsidRPr="001D5327">
        <w:t>use of soda ash and limestone in glass making.</w:t>
      </w:r>
    </w:p>
    <w:p w14:paraId="26EB4CC8" w14:textId="5AD13735" w:rsidR="009327C0" w:rsidRPr="001D5327" w:rsidRDefault="009327C0" w:rsidP="009327C0">
      <w:pPr>
        <w:pStyle w:val="BodyText"/>
      </w:pPr>
      <w:r w:rsidRPr="001D5327">
        <w:t xml:space="preserve">Hydrofluorocarbons (HFCs) and perfluorocarbons (PFCs) are used in many products including </w:t>
      </w:r>
      <w:r w:rsidRPr="001D5327">
        <w:rPr>
          <w:spacing w:val="-2"/>
        </w:rPr>
        <w:t>refrigeration and air conditioning equipment. Some recovered HFCs are exported for destruction.</w:t>
      </w:r>
      <w:r w:rsidRPr="001D5327">
        <w:t xml:space="preserve"> Perfluorocarbons are also emitted </w:t>
      </w:r>
      <w:r w:rsidR="000102AE">
        <w:t>because</w:t>
      </w:r>
      <w:r w:rsidRPr="001D5327">
        <w:t xml:space="preserve"> of anode effects in aluminium smelting. Sulphur hexafluoride (SF</w:t>
      </w:r>
      <w:r w:rsidRPr="001D5327">
        <w:rPr>
          <w:vertAlign w:val="subscript"/>
        </w:rPr>
        <w:t>6</w:t>
      </w:r>
      <w:r w:rsidRPr="001D5327">
        <w:t>) is used in the electricity distribution sector and for small-scale medical and scientific applications. Historically, a very small amount of SF</w:t>
      </w:r>
      <w:r w:rsidRPr="001D5327">
        <w:rPr>
          <w:vertAlign w:val="subscript"/>
        </w:rPr>
        <w:t>6</w:t>
      </w:r>
      <w:r w:rsidRPr="001D5327">
        <w:t xml:space="preserve"> has been used for magnesium casting. No fluorinated chemicals are produced in New Zealand; they are all imported.</w:t>
      </w:r>
    </w:p>
    <w:p w14:paraId="2BED6BE0" w14:textId="77777777" w:rsidR="009327C0" w:rsidRPr="001D5327" w:rsidRDefault="009327C0" w:rsidP="009327C0">
      <w:pPr>
        <w:pStyle w:val="BodyText"/>
      </w:pPr>
      <w:r w:rsidRPr="001D5327">
        <w:t>Small amounts of CO</w:t>
      </w:r>
      <w:r w:rsidRPr="001D5327">
        <w:rPr>
          <w:vertAlign w:val="subscript"/>
        </w:rPr>
        <w:t>2</w:t>
      </w:r>
      <w:r w:rsidRPr="001D5327">
        <w:t xml:space="preserve"> are reported from the use of lubricants and paraffin wax, imported calcium carbide, carbonates in kaolin clay used for ceramics production, and secondary lead production (recycling of lead-acid batteries). No other emission sources for direct greenhouse gases are applicable to New Zealand and no other activity data are available. Some indirect greenhouse gas emissions are reported from fertiliser, formaldehyde and other industries.</w:t>
      </w:r>
    </w:p>
    <w:p w14:paraId="4E503456" w14:textId="77777777" w:rsidR="009327C0" w:rsidRPr="001D5327" w:rsidRDefault="009327C0" w:rsidP="009327C0">
      <w:pPr>
        <w:pStyle w:val="BodyText"/>
      </w:pPr>
      <w:r w:rsidRPr="001D5327">
        <w:t>New Zealand reports emissions from Tokelau, which is a dependent territory of New Zealand. Due to the application of different methods, and the complexity of integrating emissions within the main sectors, Tokelau emissions are reported for all activities under the ‘Other’ sector of the Inventory. Therefore, all emissions reported in this sector exclude Tokelau. Please refer to chapter 8 and annex 7 for details of methods applied and the emissions for Tokelau.</w:t>
      </w:r>
    </w:p>
    <w:p w14:paraId="75F4976A" w14:textId="77777777" w:rsidR="009327C0" w:rsidRPr="001D5327" w:rsidRDefault="009327C0" w:rsidP="009327C0">
      <w:pPr>
        <w:pStyle w:val="Heading3"/>
      </w:pPr>
      <w:bookmarkStart w:id="405" w:name="emissions-summary"/>
      <w:bookmarkEnd w:id="404"/>
      <w:r w:rsidRPr="001D5327">
        <w:lastRenderedPageBreak/>
        <w:t xml:space="preserve">4.1.2 </w:t>
      </w:r>
      <w:r w:rsidRPr="001D5327">
        <w:tab/>
        <w:t>Emissions summary</w:t>
      </w:r>
    </w:p>
    <w:p w14:paraId="4361A4FC" w14:textId="77777777" w:rsidR="009327C0" w:rsidRPr="001D5327" w:rsidRDefault="009327C0" w:rsidP="009327C0">
      <w:pPr>
        <w:pStyle w:val="BodyText"/>
        <w:spacing w:before="100" w:after="100"/>
      </w:pPr>
      <w:r w:rsidRPr="001D5327">
        <w:t>The IPPU sector in New Zealand produces CO</w:t>
      </w:r>
      <w:r w:rsidRPr="001D5327">
        <w:rPr>
          <w:vertAlign w:val="subscript"/>
        </w:rPr>
        <w:t>2</w:t>
      </w:r>
      <w:r w:rsidRPr="001D5327">
        <w:t xml:space="preserve"> emissions (66.1 per cent of total IPPU sector emissions), fluorinated gases (28.9 per cent) and smaller amounts of CH</w:t>
      </w:r>
      <w:r w:rsidRPr="001D5327">
        <w:rPr>
          <w:vertAlign w:val="subscript"/>
        </w:rPr>
        <w:t>4</w:t>
      </w:r>
      <w:r w:rsidRPr="001D5327">
        <w:t xml:space="preserve"> and N</w:t>
      </w:r>
      <w:r w:rsidRPr="001D5327">
        <w:rPr>
          <w:vertAlign w:val="subscript"/>
        </w:rPr>
        <w:t>2</w:t>
      </w:r>
      <w:r w:rsidRPr="001D5327">
        <w:t xml:space="preserve">O. The major categories in the IPPU sector are </w:t>
      </w:r>
      <w:r w:rsidRPr="001D5327">
        <w:rPr>
          <w:i/>
          <w:iCs/>
        </w:rPr>
        <w:t>Iron and steel production</w:t>
      </w:r>
      <w:r w:rsidRPr="001D5327">
        <w:t xml:space="preserve">, </w:t>
      </w:r>
      <w:r w:rsidRPr="001D5327">
        <w:rPr>
          <w:i/>
          <w:iCs/>
        </w:rPr>
        <w:t>Refrigeration and air conditioning</w:t>
      </w:r>
      <w:r w:rsidRPr="001D5327">
        <w:t xml:space="preserve">, </w:t>
      </w:r>
      <w:r w:rsidRPr="001D5327">
        <w:rPr>
          <w:i/>
          <w:iCs/>
        </w:rPr>
        <w:t>Aluminium production</w:t>
      </w:r>
      <w:r w:rsidRPr="001D5327">
        <w:t xml:space="preserve"> and </w:t>
      </w:r>
      <w:r w:rsidRPr="001D5327">
        <w:rPr>
          <w:i/>
          <w:iCs/>
        </w:rPr>
        <w:t>Cement production</w:t>
      </w:r>
      <w:r w:rsidRPr="001D5327">
        <w:t xml:space="preserve">. Coal and natural gas are also used on a significant scale for energy in the </w:t>
      </w:r>
      <w:r w:rsidRPr="001D5327">
        <w:rPr>
          <w:i/>
          <w:iCs/>
        </w:rPr>
        <w:t>Mineral industry</w:t>
      </w:r>
      <w:r w:rsidRPr="001D5327">
        <w:t xml:space="preserve">, </w:t>
      </w:r>
      <w:r w:rsidRPr="001D5327">
        <w:rPr>
          <w:i/>
          <w:iCs/>
        </w:rPr>
        <w:t>Chemical industry</w:t>
      </w:r>
      <w:r w:rsidRPr="001D5327">
        <w:t xml:space="preserve"> and </w:t>
      </w:r>
      <w:r w:rsidRPr="001D5327">
        <w:rPr>
          <w:i/>
          <w:iCs/>
        </w:rPr>
        <w:t>Metal industry</w:t>
      </w:r>
      <w:r w:rsidRPr="001D5327">
        <w:t xml:space="preserve"> categories. Carbon dioxide and any other emissions from combustion of fuels in these industries are reported under the Energy sector.</w:t>
      </w:r>
    </w:p>
    <w:p w14:paraId="14032B8B" w14:textId="77777777" w:rsidR="009327C0" w:rsidRPr="001D5327" w:rsidRDefault="009327C0" w:rsidP="009327C0">
      <w:pPr>
        <w:pStyle w:val="Heading5"/>
      </w:pPr>
      <w:bookmarkStart w:id="406" w:name="section"/>
      <w:r w:rsidRPr="001D5327">
        <w:t>2023</w:t>
      </w:r>
    </w:p>
    <w:p w14:paraId="58AA3EB9" w14:textId="77777777" w:rsidR="009327C0" w:rsidRPr="001D5327" w:rsidRDefault="009327C0" w:rsidP="009327C0">
      <w:pPr>
        <w:pStyle w:val="BodyText"/>
        <w:spacing w:before="100" w:after="100"/>
      </w:pPr>
      <w:r w:rsidRPr="001D5327">
        <w:t>In 2023, emissions in the IPPU sector contributed 4,031.5 kilotonnes carbon dioxide equivalent (kt CO</w:t>
      </w:r>
      <w:r w:rsidRPr="001D5327">
        <w:rPr>
          <w:vertAlign w:val="subscript"/>
        </w:rPr>
        <w:t>2</w:t>
      </w:r>
      <w:r w:rsidRPr="001D5327">
        <w:t>-e), or 5.3 per cent, of New Zealand’s gross greenhouse gas emissions.</w:t>
      </w:r>
    </w:p>
    <w:p w14:paraId="16352723" w14:textId="77777777" w:rsidR="009327C0" w:rsidRPr="001D5327" w:rsidRDefault="009327C0" w:rsidP="009327C0">
      <w:pPr>
        <w:pStyle w:val="BodyText"/>
        <w:spacing w:before="100" w:after="100"/>
      </w:pPr>
      <w:r w:rsidRPr="001D5327">
        <w:t xml:space="preserve">The largest category is the </w:t>
      </w:r>
      <w:r w:rsidRPr="001D5327">
        <w:rPr>
          <w:i/>
          <w:iCs/>
        </w:rPr>
        <w:t>Metal industry</w:t>
      </w:r>
      <w:r w:rsidRPr="001D5327">
        <w:t>, with substantial CO</w:t>
      </w:r>
      <w:r w:rsidRPr="001D5327">
        <w:rPr>
          <w:vertAlign w:val="subscript"/>
        </w:rPr>
        <w:t>2</w:t>
      </w:r>
      <w:r w:rsidRPr="001D5327">
        <w:t xml:space="preserve"> emissions from the </w:t>
      </w:r>
      <w:r w:rsidRPr="001D5327">
        <w:rPr>
          <w:i/>
          <w:iCs/>
        </w:rPr>
        <w:t>Iron and steel production</w:t>
      </w:r>
      <w:r w:rsidRPr="001D5327">
        <w:t xml:space="preserve"> and </w:t>
      </w:r>
      <w:r w:rsidRPr="001D5327">
        <w:rPr>
          <w:i/>
          <w:iCs/>
        </w:rPr>
        <w:t>Aluminium production</w:t>
      </w:r>
      <w:r w:rsidRPr="001D5327">
        <w:t xml:space="preserve"> categories, as well as PFCs from the </w:t>
      </w:r>
      <w:r w:rsidRPr="001D5327">
        <w:rPr>
          <w:i/>
          <w:iCs/>
        </w:rPr>
        <w:t>Aluminium production</w:t>
      </w:r>
      <w:r w:rsidRPr="001D5327">
        <w:t xml:space="preserve"> category in earlier years. The </w:t>
      </w:r>
      <w:r w:rsidRPr="001D5327">
        <w:rPr>
          <w:i/>
          <w:iCs/>
        </w:rPr>
        <w:t>Mineral industry</w:t>
      </w:r>
      <w:r w:rsidRPr="001D5327">
        <w:t xml:space="preserve"> and </w:t>
      </w:r>
      <w:r w:rsidRPr="001D5327">
        <w:rPr>
          <w:i/>
          <w:iCs/>
        </w:rPr>
        <w:t>Chemical industry</w:t>
      </w:r>
      <w:r w:rsidRPr="001D5327">
        <w:t xml:space="preserve"> categories also contribute significant CO</w:t>
      </w:r>
      <w:r w:rsidRPr="001D5327">
        <w:rPr>
          <w:vertAlign w:val="subscript"/>
        </w:rPr>
        <w:t>2</w:t>
      </w:r>
      <w:r w:rsidRPr="001D5327">
        <w:t xml:space="preserve"> emissions, and most of the non-CO</w:t>
      </w:r>
      <w:r w:rsidRPr="001D5327">
        <w:rPr>
          <w:vertAlign w:val="subscript"/>
        </w:rPr>
        <w:t>2</w:t>
      </w:r>
      <w:r w:rsidRPr="001D5327">
        <w:t xml:space="preserve"> emissions come from the </w:t>
      </w:r>
      <w:r w:rsidRPr="001D5327">
        <w:rPr>
          <w:i/>
          <w:iCs/>
        </w:rPr>
        <w:t xml:space="preserve">Product uses as substitutes for </w:t>
      </w:r>
      <w:r w:rsidRPr="001D5327">
        <w:rPr>
          <w:i/>
        </w:rPr>
        <w:t>ozone depleting substances (</w:t>
      </w:r>
      <w:r w:rsidRPr="001D5327">
        <w:rPr>
          <w:i/>
          <w:iCs/>
        </w:rPr>
        <w:t>ODS)</w:t>
      </w:r>
      <w:r w:rsidRPr="001D5327">
        <w:t xml:space="preserve"> category.</w:t>
      </w:r>
    </w:p>
    <w:p w14:paraId="102B1AB9" w14:textId="77777777" w:rsidR="009327C0" w:rsidRPr="001D5327" w:rsidRDefault="009327C0" w:rsidP="009327C0">
      <w:pPr>
        <w:pStyle w:val="BodyText"/>
        <w:spacing w:before="100" w:after="100"/>
      </w:pPr>
      <w:r w:rsidRPr="001D5327">
        <w:t>The IPPU sector also produces smaller amounts of CH</w:t>
      </w:r>
      <w:r w:rsidRPr="001D5327">
        <w:rPr>
          <w:vertAlign w:val="subscript"/>
        </w:rPr>
        <w:t>4</w:t>
      </w:r>
      <w:r w:rsidRPr="001D5327">
        <w:t xml:space="preserve"> from methanol production and N</w:t>
      </w:r>
      <w:r w:rsidRPr="001D5327">
        <w:rPr>
          <w:vertAlign w:val="subscript"/>
        </w:rPr>
        <w:t>2</w:t>
      </w:r>
      <w:r w:rsidRPr="001D5327">
        <w:t xml:space="preserve">O used for medical applications in the </w:t>
      </w:r>
      <w:r w:rsidRPr="001D5327">
        <w:rPr>
          <w:i/>
          <w:iCs/>
        </w:rPr>
        <w:t>Other product manufacture and use</w:t>
      </w:r>
      <w:r w:rsidRPr="001D5327">
        <w:t xml:space="preserve"> category.</w:t>
      </w:r>
    </w:p>
    <w:p w14:paraId="60ACD6BD" w14:textId="77777777" w:rsidR="009327C0" w:rsidRPr="001D5327" w:rsidRDefault="009327C0" w:rsidP="009327C0">
      <w:pPr>
        <w:pStyle w:val="BodyText"/>
        <w:spacing w:before="100" w:after="100"/>
      </w:pPr>
      <w:r w:rsidRPr="001D5327">
        <w:t xml:space="preserve">Coal and natural gas are also used on a significant scale for energy in these industries, and related emissions are reported under the Energy sector in the category </w:t>
      </w:r>
      <w:r w:rsidRPr="001D5327">
        <w:rPr>
          <w:i/>
          <w:iCs/>
        </w:rPr>
        <w:t>Manufacturing industries and construction</w:t>
      </w:r>
      <w:r w:rsidRPr="001D5327">
        <w:t>.</w:t>
      </w:r>
    </w:p>
    <w:p w14:paraId="61B6FEF4" w14:textId="77777777" w:rsidR="009327C0" w:rsidRPr="001D5327" w:rsidRDefault="009327C0" w:rsidP="009327C0">
      <w:pPr>
        <w:pStyle w:val="BodyText"/>
        <w:spacing w:before="100" w:after="100"/>
      </w:pPr>
      <w:r w:rsidRPr="001D5327">
        <w:t>The emissions by category are shown in table 4.1.1.</w:t>
      </w:r>
    </w:p>
    <w:p w14:paraId="445FBEDE" w14:textId="77777777" w:rsidR="009327C0" w:rsidRPr="001D5327" w:rsidRDefault="009327C0" w:rsidP="009327C0">
      <w:pPr>
        <w:pStyle w:val="Heading5"/>
      </w:pPr>
      <w:bookmarkStart w:id="407" w:name="section-1"/>
      <w:bookmarkEnd w:id="406"/>
      <w:r w:rsidRPr="001D5327">
        <w:t>1990–2023</w:t>
      </w:r>
    </w:p>
    <w:p w14:paraId="282A1787" w14:textId="77777777" w:rsidR="009327C0" w:rsidRPr="001D5327" w:rsidRDefault="009327C0" w:rsidP="009327C0">
      <w:pPr>
        <w:pStyle w:val="BodyText"/>
        <w:spacing w:before="100" w:after="100"/>
      </w:pPr>
      <w:r w:rsidRPr="001D5327">
        <w:t>Emissions from the IPPU sector in 2023 were 548.4 kt CO</w:t>
      </w:r>
      <w:r w:rsidRPr="001D5327">
        <w:rPr>
          <w:vertAlign w:val="subscript"/>
        </w:rPr>
        <w:t>2</w:t>
      </w:r>
      <w:r w:rsidRPr="001D5327">
        <w:t>-e (15.7 per cent) higher than emissions in 1990 (3,483.1 kt CO</w:t>
      </w:r>
      <w:r w:rsidRPr="001D5327">
        <w:rPr>
          <w:vertAlign w:val="subscript"/>
        </w:rPr>
        <w:t>2</w:t>
      </w:r>
      <w:r w:rsidRPr="001D5327">
        <w:t xml:space="preserve">-e). This increase was mainly driven by increasing emissions from the </w:t>
      </w:r>
      <w:r w:rsidRPr="001D5327">
        <w:rPr>
          <w:i/>
          <w:iCs/>
        </w:rPr>
        <w:t>Product uses as substitutes for ODS</w:t>
      </w:r>
      <w:r w:rsidRPr="001D5327">
        <w:t xml:space="preserve"> category, due to the introduction of HFCs to replace ODS in refrigeration and air conditioning, and the increased use of household and commercial air conditioning.</w:t>
      </w:r>
    </w:p>
    <w:p w14:paraId="71D55774" w14:textId="4F349B95" w:rsidR="009327C0" w:rsidRPr="001D5327" w:rsidRDefault="009327C0" w:rsidP="009327C0">
      <w:pPr>
        <w:pStyle w:val="BodyText"/>
        <w:spacing w:before="100" w:after="100"/>
      </w:pPr>
      <w:r w:rsidRPr="001D5327">
        <w:t xml:space="preserve">Carbon dioxide emissions also increased, due largely to increased production of aluminium and steel. Between 2020 and 2022 the increase was offset by reduced emissions due to COVID-19 pandemic restrictions and the progressive shutdown of the Marsden Point Oil Refinery. There was a substantial reduction in emissions of PFCs due to improved management of anode effects in the </w:t>
      </w:r>
      <w:r w:rsidRPr="001D5327">
        <w:rPr>
          <w:i/>
          <w:iCs/>
        </w:rPr>
        <w:t>Aluminium production</w:t>
      </w:r>
      <w:r w:rsidRPr="001D5327">
        <w:t xml:space="preserve"> category and some reduction in emissions of N</w:t>
      </w:r>
      <w:r w:rsidRPr="001D5327">
        <w:rPr>
          <w:vertAlign w:val="subscript"/>
        </w:rPr>
        <w:t>2</w:t>
      </w:r>
      <w:r w:rsidRPr="001D5327">
        <w:t>O used for</w:t>
      </w:r>
      <w:r w:rsidR="00404319" w:rsidRPr="001D5327">
        <w:t> </w:t>
      </w:r>
      <w:r w:rsidRPr="001D5327">
        <w:t xml:space="preserve">medical applications in the </w:t>
      </w:r>
      <w:r w:rsidRPr="001D5327">
        <w:rPr>
          <w:i/>
          <w:iCs/>
        </w:rPr>
        <w:t>Other product manufacture and use</w:t>
      </w:r>
      <w:r w:rsidRPr="001D5327">
        <w:t xml:space="preserve"> category.</w:t>
      </w:r>
    </w:p>
    <w:p w14:paraId="2088ECF0" w14:textId="77777777" w:rsidR="009327C0" w:rsidRPr="001D5327" w:rsidRDefault="009327C0" w:rsidP="009327C0">
      <w:pPr>
        <w:pStyle w:val="BodyText"/>
      </w:pPr>
      <w:r w:rsidRPr="001D5327">
        <w:t>The trends are shown in figure 4.1.1 and figure 4.1.2.</w:t>
      </w:r>
    </w:p>
    <w:p w14:paraId="3FF666F7" w14:textId="77777777" w:rsidR="009327C0" w:rsidRPr="001D5327" w:rsidRDefault="009327C0" w:rsidP="009327C0">
      <w:pPr>
        <w:pStyle w:val="Heading5"/>
      </w:pPr>
      <w:bookmarkStart w:id="408" w:name="section-2"/>
      <w:bookmarkEnd w:id="407"/>
      <w:r w:rsidRPr="001D5327">
        <w:t>2022–2023</w:t>
      </w:r>
    </w:p>
    <w:p w14:paraId="6AD8D8E9" w14:textId="77777777" w:rsidR="009327C0" w:rsidRPr="001D5327" w:rsidRDefault="009327C0" w:rsidP="009327C0">
      <w:pPr>
        <w:pStyle w:val="BodyText"/>
      </w:pPr>
      <w:r w:rsidRPr="001D5327">
        <w:t>Between 2022 and 2023, emissions from the IPPU sector decreased by 412.4 kt CO</w:t>
      </w:r>
      <w:r w:rsidRPr="001D5327">
        <w:rPr>
          <w:vertAlign w:val="subscript"/>
        </w:rPr>
        <w:t>2</w:t>
      </w:r>
      <w:r w:rsidRPr="001D5327">
        <w:t>-e (9.3 per cent).</w:t>
      </w:r>
    </w:p>
    <w:p w14:paraId="1C0651EA" w14:textId="77777777" w:rsidR="009327C0" w:rsidRPr="001D5327" w:rsidRDefault="009327C0" w:rsidP="009327C0">
      <w:pPr>
        <w:pStyle w:val="BodyText"/>
      </w:pPr>
      <w:r w:rsidRPr="001D5327">
        <w:t xml:space="preserve">This change was mainly the result of decreased emissions from the </w:t>
      </w:r>
      <w:r w:rsidRPr="001D5327">
        <w:rPr>
          <w:i/>
          <w:iCs/>
        </w:rPr>
        <w:t>Refrigeration and air conditioning</w:t>
      </w:r>
      <w:r w:rsidRPr="001D5327">
        <w:t xml:space="preserve"> category.</w:t>
      </w:r>
    </w:p>
    <w:p w14:paraId="39814DCF" w14:textId="77777777" w:rsidR="009327C0" w:rsidRPr="001D5327" w:rsidRDefault="009327C0" w:rsidP="009327C0">
      <w:pPr>
        <w:pStyle w:val="Table"/>
      </w:pPr>
      <w:bookmarkStart w:id="409" w:name="_Toc194241681"/>
      <w:r w:rsidRPr="001D5327">
        <w:lastRenderedPageBreak/>
        <w:t xml:space="preserve">Table 4.1.1 </w:t>
      </w:r>
      <w:r w:rsidRPr="001D5327">
        <w:tab/>
        <w:t xml:space="preserve">New Zealand’s greenhouse gas emissions for the IPPU sector by category in </w:t>
      </w:r>
      <w:r w:rsidRPr="001D5327">
        <w:rPr>
          <w:bCs/>
        </w:rPr>
        <w:t>1990</w:t>
      </w:r>
      <w:r w:rsidRPr="001D5327">
        <w:t> and </w:t>
      </w:r>
      <w:r w:rsidRPr="001D5327">
        <w:rPr>
          <w:bCs/>
        </w:rPr>
        <w:t>2023</w:t>
      </w:r>
      <w:bookmarkEnd w:id="409"/>
    </w:p>
    <w:tbl>
      <w:tblPr>
        <w:tblW w:w="8494" w:type="dxa"/>
        <w:tblBorders>
          <w:top w:val="single" w:sz="4" w:space="0" w:color="1B556B"/>
          <w:bottom w:val="single" w:sz="4" w:space="0" w:color="1B556B"/>
          <w:insideH w:val="single" w:sz="4" w:space="0" w:color="1B556B"/>
        </w:tblBorders>
        <w:tblLayout w:type="fixed"/>
        <w:tblCellMar>
          <w:left w:w="85" w:type="dxa"/>
          <w:right w:w="85" w:type="dxa"/>
        </w:tblCellMar>
        <w:tblLook w:val="0420" w:firstRow="1" w:lastRow="0" w:firstColumn="0" w:lastColumn="0" w:noHBand="0" w:noVBand="1"/>
      </w:tblPr>
      <w:tblGrid>
        <w:gridCol w:w="3828"/>
        <w:gridCol w:w="851"/>
        <w:gridCol w:w="708"/>
        <w:gridCol w:w="994"/>
        <w:gridCol w:w="963"/>
        <w:gridCol w:w="576"/>
        <w:gridCol w:w="574"/>
      </w:tblGrid>
      <w:tr w:rsidR="009327C0" w:rsidRPr="001D5327" w14:paraId="03B557BE" w14:textId="77777777" w:rsidTr="00D11AC9">
        <w:trPr>
          <w:tblHeader/>
        </w:trPr>
        <w:tc>
          <w:tcPr>
            <w:tcW w:w="2253" w:type="pct"/>
            <w:shd w:val="clear" w:color="auto" w:fill="1B556B"/>
            <w:tcMar>
              <w:top w:w="0" w:type="dxa"/>
              <w:left w:w="85" w:type="dxa"/>
              <w:bottom w:w="0" w:type="dxa"/>
              <w:right w:w="85" w:type="dxa"/>
            </w:tcMar>
            <w:vAlign w:val="center"/>
          </w:tcPr>
          <w:p w14:paraId="3092C2D6" w14:textId="77777777" w:rsidR="009327C0" w:rsidRPr="001D5327" w:rsidRDefault="009327C0" w:rsidP="00D11AC9">
            <w:pPr>
              <w:pStyle w:val="TableTextBold"/>
              <w:spacing w:before="50" w:after="50"/>
              <w:rPr>
                <w:noProof w:val="0"/>
              </w:rPr>
            </w:pPr>
          </w:p>
        </w:tc>
        <w:tc>
          <w:tcPr>
            <w:tcW w:w="918" w:type="pct"/>
            <w:gridSpan w:val="2"/>
            <w:shd w:val="clear" w:color="auto" w:fill="1B556B"/>
            <w:tcMar>
              <w:top w:w="0" w:type="dxa"/>
              <w:left w:w="85" w:type="dxa"/>
              <w:bottom w:w="0" w:type="dxa"/>
              <w:right w:w="85" w:type="dxa"/>
            </w:tcMar>
            <w:vAlign w:val="bottom"/>
          </w:tcPr>
          <w:p w14:paraId="09494DE8" w14:textId="77777777" w:rsidR="009327C0" w:rsidRPr="001D5327" w:rsidRDefault="009327C0" w:rsidP="00D11AC9">
            <w:pPr>
              <w:pStyle w:val="TableTextBold"/>
              <w:spacing w:before="50" w:after="0"/>
              <w:jc w:val="center"/>
              <w:rPr>
                <w:noProof w:val="0"/>
              </w:rPr>
            </w:pPr>
            <w:r w:rsidRPr="001D5327">
              <w:rPr>
                <w:rFonts w:eastAsia="Calibri" w:cs="Calibri"/>
                <w:noProof w:val="0"/>
                <w:color w:val="FFFFFF"/>
                <w:szCs w:val="16"/>
              </w:rPr>
              <w:t>Emissions (kt CO</w:t>
            </w:r>
            <w:r w:rsidRPr="001D5327">
              <w:rPr>
                <w:rFonts w:eastAsia="Calibri" w:cs="Calibri"/>
                <w:noProof w:val="0"/>
                <w:color w:val="FFFFFF"/>
                <w:szCs w:val="16"/>
                <w:vertAlign w:val="subscript"/>
              </w:rPr>
              <w:t>2</w:t>
            </w:r>
            <w:r w:rsidRPr="001D5327">
              <w:rPr>
                <w:rFonts w:eastAsia="Calibri" w:cs="Calibri"/>
                <w:noProof w:val="0"/>
                <w:color w:val="FFFFFF"/>
                <w:szCs w:val="16"/>
              </w:rPr>
              <w:t>-e)</w:t>
            </w:r>
          </w:p>
        </w:tc>
        <w:tc>
          <w:tcPr>
            <w:tcW w:w="585" w:type="pct"/>
            <w:shd w:val="clear" w:color="auto" w:fill="1B556B"/>
            <w:tcMar>
              <w:top w:w="0" w:type="dxa"/>
              <w:left w:w="85" w:type="dxa"/>
              <w:bottom w:w="0" w:type="dxa"/>
              <w:right w:w="85" w:type="dxa"/>
            </w:tcMar>
            <w:vAlign w:val="center"/>
          </w:tcPr>
          <w:p w14:paraId="5C3E7FAB" w14:textId="77777777" w:rsidR="009327C0" w:rsidRPr="001D5327" w:rsidRDefault="009327C0" w:rsidP="00D11AC9">
            <w:pPr>
              <w:pStyle w:val="TableTextBold"/>
              <w:spacing w:before="50" w:after="0"/>
              <w:jc w:val="right"/>
              <w:rPr>
                <w:noProof w:val="0"/>
              </w:rPr>
            </w:pPr>
            <w:r w:rsidRPr="001D5327">
              <w:rPr>
                <w:rFonts w:eastAsia="Calibri" w:cs="Calibri"/>
                <w:noProof w:val="0"/>
                <w:color w:val="FFFFFF"/>
                <w:szCs w:val="16"/>
              </w:rPr>
              <w:t xml:space="preserve">Difference </w:t>
            </w:r>
            <w:r w:rsidRPr="001D5327">
              <w:rPr>
                <w:rFonts w:eastAsia="Calibri" w:cs="Calibri"/>
                <w:noProof w:val="0"/>
                <w:color w:val="FFFFFF"/>
                <w:szCs w:val="16"/>
              </w:rPr>
              <w:br/>
              <w:t>(kt CO</w:t>
            </w:r>
            <w:r w:rsidRPr="001D5327">
              <w:rPr>
                <w:rFonts w:eastAsia="Calibri" w:cs="Calibri"/>
                <w:noProof w:val="0"/>
                <w:color w:val="FFFFFF"/>
                <w:szCs w:val="16"/>
                <w:vertAlign w:val="subscript"/>
              </w:rPr>
              <w:t>2</w:t>
            </w:r>
            <w:r w:rsidRPr="001D5327">
              <w:rPr>
                <w:rFonts w:eastAsia="Calibri" w:cs="Calibri"/>
                <w:noProof w:val="0"/>
                <w:color w:val="FFFFFF"/>
                <w:szCs w:val="16"/>
              </w:rPr>
              <w:t>-e)</w:t>
            </w:r>
          </w:p>
        </w:tc>
        <w:tc>
          <w:tcPr>
            <w:tcW w:w="567" w:type="pct"/>
            <w:shd w:val="clear" w:color="auto" w:fill="1B556B"/>
            <w:tcMar>
              <w:top w:w="0" w:type="dxa"/>
              <w:left w:w="85" w:type="dxa"/>
              <w:bottom w:w="0" w:type="dxa"/>
              <w:right w:w="85" w:type="dxa"/>
            </w:tcMar>
            <w:vAlign w:val="bottom"/>
          </w:tcPr>
          <w:p w14:paraId="64B49A69" w14:textId="77777777" w:rsidR="009327C0" w:rsidRPr="001D5327" w:rsidRDefault="009327C0" w:rsidP="00D11AC9">
            <w:pPr>
              <w:pStyle w:val="TableTextBold"/>
              <w:spacing w:before="50" w:after="0"/>
              <w:jc w:val="right"/>
              <w:rPr>
                <w:noProof w:val="0"/>
              </w:rPr>
            </w:pPr>
            <w:r w:rsidRPr="001D5327">
              <w:rPr>
                <w:rFonts w:eastAsia="Calibri" w:cs="Calibri"/>
                <w:noProof w:val="0"/>
                <w:color w:val="FFFFFF"/>
                <w:szCs w:val="16"/>
              </w:rPr>
              <w:t>Change (%)</w:t>
            </w:r>
          </w:p>
        </w:tc>
        <w:tc>
          <w:tcPr>
            <w:tcW w:w="677" w:type="pct"/>
            <w:gridSpan w:val="2"/>
            <w:shd w:val="clear" w:color="auto" w:fill="1B556B"/>
            <w:tcMar>
              <w:top w:w="0" w:type="dxa"/>
              <w:left w:w="85" w:type="dxa"/>
              <w:bottom w:w="0" w:type="dxa"/>
              <w:right w:w="85" w:type="dxa"/>
            </w:tcMar>
            <w:vAlign w:val="bottom"/>
          </w:tcPr>
          <w:p w14:paraId="7F949F6F" w14:textId="77777777" w:rsidR="009327C0" w:rsidRPr="001D5327" w:rsidRDefault="009327C0" w:rsidP="00D11AC9">
            <w:pPr>
              <w:pStyle w:val="TableTextBold"/>
              <w:spacing w:before="50" w:after="0"/>
              <w:jc w:val="center"/>
              <w:rPr>
                <w:noProof w:val="0"/>
              </w:rPr>
            </w:pPr>
            <w:r w:rsidRPr="001D5327">
              <w:rPr>
                <w:rFonts w:eastAsia="Calibri" w:cs="Calibri"/>
                <w:noProof w:val="0"/>
                <w:color w:val="FFFFFF"/>
                <w:szCs w:val="16"/>
              </w:rPr>
              <w:t>Share (%)</w:t>
            </w:r>
          </w:p>
        </w:tc>
      </w:tr>
      <w:tr w:rsidR="009327C0" w:rsidRPr="001D5327" w14:paraId="2C497257" w14:textId="77777777" w:rsidTr="00D11AC9">
        <w:tc>
          <w:tcPr>
            <w:tcW w:w="2253" w:type="pct"/>
            <w:shd w:val="clear" w:color="auto" w:fill="1B556B"/>
            <w:tcMar>
              <w:top w:w="0" w:type="dxa"/>
              <w:left w:w="85" w:type="dxa"/>
              <w:bottom w:w="0" w:type="dxa"/>
              <w:right w:w="85" w:type="dxa"/>
            </w:tcMar>
            <w:vAlign w:val="center"/>
          </w:tcPr>
          <w:p w14:paraId="5EF3D596" w14:textId="77777777" w:rsidR="009327C0" w:rsidRPr="001D5327" w:rsidRDefault="009327C0" w:rsidP="00D11AC9">
            <w:pPr>
              <w:pStyle w:val="TableTextBold"/>
              <w:spacing w:before="0" w:after="50"/>
              <w:rPr>
                <w:noProof w:val="0"/>
              </w:rPr>
            </w:pPr>
            <w:r w:rsidRPr="001D5327">
              <w:rPr>
                <w:rFonts w:eastAsia="Calibri" w:cs="Calibri"/>
                <w:noProof w:val="0"/>
                <w:color w:val="FFFFFF"/>
                <w:szCs w:val="16"/>
              </w:rPr>
              <w:t>Source category</w:t>
            </w:r>
          </w:p>
        </w:tc>
        <w:tc>
          <w:tcPr>
            <w:tcW w:w="501" w:type="pct"/>
            <w:shd w:val="clear" w:color="auto" w:fill="1B556B"/>
            <w:tcMar>
              <w:top w:w="0" w:type="dxa"/>
              <w:left w:w="85" w:type="dxa"/>
              <w:bottom w:w="0" w:type="dxa"/>
              <w:right w:w="85" w:type="dxa"/>
            </w:tcMar>
            <w:vAlign w:val="center"/>
          </w:tcPr>
          <w:p w14:paraId="4B55B2DC" w14:textId="77777777" w:rsidR="009327C0" w:rsidRPr="001D5327" w:rsidRDefault="009327C0" w:rsidP="00D11AC9">
            <w:pPr>
              <w:pStyle w:val="TableTextBold"/>
              <w:spacing w:before="0" w:after="50"/>
              <w:jc w:val="right"/>
              <w:rPr>
                <w:noProof w:val="0"/>
              </w:rPr>
            </w:pPr>
            <w:r w:rsidRPr="001D5327">
              <w:rPr>
                <w:rFonts w:eastAsia="Calibri" w:cs="Calibri"/>
                <w:noProof w:val="0"/>
                <w:color w:val="FFFFFF"/>
                <w:szCs w:val="16"/>
              </w:rPr>
              <w:t>1990</w:t>
            </w:r>
          </w:p>
        </w:tc>
        <w:tc>
          <w:tcPr>
            <w:tcW w:w="417" w:type="pct"/>
            <w:shd w:val="clear" w:color="auto" w:fill="1B556B"/>
            <w:tcMar>
              <w:top w:w="0" w:type="dxa"/>
              <w:left w:w="85" w:type="dxa"/>
              <w:bottom w:w="0" w:type="dxa"/>
              <w:right w:w="85" w:type="dxa"/>
            </w:tcMar>
            <w:vAlign w:val="center"/>
          </w:tcPr>
          <w:p w14:paraId="31BB73D2" w14:textId="77777777" w:rsidR="009327C0" w:rsidRPr="001D5327" w:rsidRDefault="009327C0" w:rsidP="00D11AC9">
            <w:pPr>
              <w:pStyle w:val="TableTextBold"/>
              <w:spacing w:before="0" w:after="50"/>
              <w:jc w:val="right"/>
              <w:rPr>
                <w:noProof w:val="0"/>
              </w:rPr>
            </w:pPr>
            <w:r w:rsidRPr="001D5327">
              <w:rPr>
                <w:rFonts w:eastAsia="Calibri" w:cs="Calibri"/>
                <w:noProof w:val="0"/>
                <w:color w:val="FFFFFF"/>
                <w:szCs w:val="16"/>
              </w:rPr>
              <w:t>2023</w:t>
            </w:r>
          </w:p>
        </w:tc>
        <w:tc>
          <w:tcPr>
            <w:tcW w:w="585" w:type="pct"/>
            <w:shd w:val="clear" w:color="auto" w:fill="1B556B"/>
            <w:tcMar>
              <w:top w:w="0" w:type="dxa"/>
              <w:left w:w="85" w:type="dxa"/>
              <w:bottom w:w="0" w:type="dxa"/>
              <w:right w:w="85" w:type="dxa"/>
            </w:tcMar>
            <w:vAlign w:val="center"/>
          </w:tcPr>
          <w:p w14:paraId="7F570737" w14:textId="77777777" w:rsidR="009327C0" w:rsidRPr="001D5327" w:rsidRDefault="009327C0" w:rsidP="00D11AC9">
            <w:pPr>
              <w:pStyle w:val="TableTextBold"/>
              <w:spacing w:before="0" w:after="50"/>
              <w:jc w:val="right"/>
              <w:rPr>
                <w:noProof w:val="0"/>
              </w:rPr>
            </w:pPr>
            <w:r w:rsidRPr="001D5327">
              <w:rPr>
                <w:rFonts w:eastAsia="Calibri" w:cs="Calibri"/>
                <w:noProof w:val="0"/>
                <w:color w:val="FFFFFF"/>
                <w:szCs w:val="16"/>
              </w:rPr>
              <w:t>1990–2023</w:t>
            </w:r>
          </w:p>
        </w:tc>
        <w:tc>
          <w:tcPr>
            <w:tcW w:w="567" w:type="pct"/>
            <w:shd w:val="clear" w:color="auto" w:fill="1B556B"/>
            <w:tcMar>
              <w:top w:w="0" w:type="dxa"/>
              <w:left w:w="85" w:type="dxa"/>
              <w:bottom w:w="0" w:type="dxa"/>
              <w:right w:w="85" w:type="dxa"/>
            </w:tcMar>
            <w:vAlign w:val="center"/>
          </w:tcPr>
          <w:p w14:paraId="48BCD792" w14:textId="77777777" w:rsidR="009327C0" w:rsidRPr="001D5327" w:rsidRDefault="009327C0" w:rsidP="00D11AC9">
            <w:pPr>
              <w:pStyle w:val="TableTextBold"/>
              <w:spacing w:before="0" w:after="50"/>
              <w:jc w:val="right"/>
              <w:rPr>
                <w:noProof w:val="0"/>
              </w:rPr>
            </w:pPr>
            <w:r w:rsidRPr="001D5327">
              <w:rPr>
                <w:rFonts w:eastAsia="Calibri" w:cs="Calibri"/>
                <w:noProof w:val="0"/>
                <w:color w:val="FFFFFF"/>
                <w:szCs w:val="16"/>
              </w:rPr>
              <w:t>1990–2023</w:t>
            </w:r>
          </w:p>
        </w:tc>
        <w:tc>
          <w:tcPr>
            <w:tcW w:w="339" w:type="pct"/>
            <w:shd w:val="clear" w:color="auto" w:fill="1B556B"/>
            <w:tcMar>
              <w:top w:w="0" w:type="dxa"/>
              <w:left w:w="85" w:type="dxa"/>
              <w:bottom w:w="0" w:type="dxa"/>
              <w:right w:w="85" w:type="dxa"/>
            </w:tcMar>
            <w:vAlign w:val="center"/>
          </w:tcPr>
          <w:p w14:paraId="0FA6C8FE" w14:textId="77777777" w:rsidR="009327C0" w:rsidRPr="001D5327" w:rsidRDefault="009327C0" w:rsidP="00D11AC9">
            <w:pPr>
              <w:pStyle w:val="TableTextBold"/>
              <w:spacing w:before="0" w:after="50"/>
              <w:jc w:val="right"/>
              <w:rPr>
                <w:noProof w:val="0"/>
              </w:rPr>
            </w:pPr>
            <w:r w:rsidRPr="001D5327">
              <w:rPr>
                <w:rFonts w:eastAsia="Calibri" w:cs="Calibri"/>
                <w:noProof w:val="0"/>
                <w:color w:val="FFFFFF"/>
                <w:szCs w:val="16"/>
              </w:rPr>
              <w:t>1990</w:t>
            </w:r>
          </w:p>
        </w:tc>
        <w:tc>
          <w:tcPr>
            <w:tcW w:w="338" w:type="pct"/>
            <w:shd w:val="clear" w:color="auto" w:fill="1B556B"/>
            <w:tcMar>
              <w:top w:w="0" w:type="dxa"/>
              <w:left w:w="85" w:type="dxa"/>
              <w:bottom w:w="0" w:type="dxa"/>
              <w:right w:w="85" w:type="dxa"/>
            </w:tcMar>
            <w:vAlign w:val="center"/>
          </w:tcPr>
          <w:p w14:paraId="0C7980A8" w14:textId="77777777" w:rsidR="009327C0" w:rsidRPr="001D5327" w:rsidRDefault="009327C0" w:rsidP="00D11AC9">
            <w:pPr>
              <w:pStyle w:val="TableTextBold"/>
              <w:spacing w:before="0" w:after="50"/>
              <w:jc w:val="right"/>
              <w:rPr>
                <w:noProof w:val="0"/>
              </w:rPr>
            </w:pPr>
            <w:r w:rsidRPr="001D5327">
              <w:rPr>
                <w:rFonts w:eastAsia="Calibri" w:cs="Calibri"/>
                <w:noProof w:val="0"/>
                <w:color w:val="FFFFFF"/>
                <w:szCs w:val="16"/>
              </w:rPr>
              <w:t>2023</w:t>
            </w:r>
          </w:p>
        </w:tc>
      </w:tr>
      <w:tr w:rsidR="009327C0" w:rsidRPr="001D5327" w14:paraId="232DCA11" w14:textId="77777777" w:rsidTr="00D11AC9">
        <w:tc>
          <w:tcPr>
            <w:tcW w:w="2253" w:type="pct"/>
            <w:shd w:val="clear" w:color="auto" w:fill="FFFFFF"/>
            <w:tcMar>
              <w:top w:w="0" w:type="dxa"/>
              <w:left w:w="85" w:type="dxa"/>
              <w:bottom w:w="0" w:type="dxa"/>
              <w:right w:w="85" w:type="dxa"/>
            </w:tcMar>
            <w:vAlign w:val="center"/>
          </w:tcPr>
          <w:p w14:paraId="18B44E1F" w14:textId="77777777" w:rsidR="009327C0" w:rsidRPr="001D5327" w:rsidRDefault="009327C0" w:rsidP="00D11AC9">
            <w:pPr>
              <w:pStyle w:val="TableText"/>
              <w:spacing w:before="50" w:after="50"/>
            </w:pPr>
            <w:r w:rsidRPr="001D5327">
              <w:rPr>
                <w:rFonts w:eastAsia="Calibri"/>
              </w:rPr>
              <w:t>Mineral industry (2.A)</w:t>
            </w:r>
          </w:p>
        </w:tc>
        <w:tc>
          <w:tcPr>
            <w:tcW w:w="501" w:type="pct"/>
            <w:shd w:val="clear" w:color="auto" w:fill="FFFFFF"/>
            <w:tcMar>
              <w:top w:w="0" w:type="dxa"/>
              <w:left w:w="85" w:type="dxa"/>
              <w:bottom w:w="0" w:type="dxa"/>
              <w:right w:w="85" w:type="dxa"/>
            </w:tcMar>
            <w:vAlign w:val="center"/>
          </w:tcPr>
          <w:p w14:paraId="5825BEEC" w14:textId="77777777" w:rsidR="009327C0" w:rsidRPr="001D5327" w:rsidRDefault="009327C0" w:rsidP="00D11AC9">
            <w:pPr>
              <w:pStyle w:val="TableText"/>
              <w:spacing w:before="50" w:after="50"/>
              <w:jc w:val="right"/>
            </w:pPr>
            <w:r w:rsidRPr="001D5327">
              <w:rPr>
                <w:rFonts w:eastAsia="Calibri"/>
              </w:rPr>
              <w:t>561.9</w:t>
            </w:r>
          </w:p>
        </w:tc>
        <w:tc>
          <w:tcPr>
            <w:tcW w:w="417" w:type="pct"/>
            <w:shd w:val="clear" w:color="auto" w:fill="FFFFFF"/>
            <w:tcMar>
              <w:top w:w="0" w:type="dxa"/>
              <w:left w:w="85" w:type="dxa"/>
              <w:bottom w:w="0" w:type="dxa"/>
              <w:right w:w="85" w:type="dxa"/>
            </w:tcMar>
            <w:vAlign w:val="center"/>
          </w:tcPr>
          <w:p w14:paraId="3B1A3E66" w14:textId="77777777" w:rsidR="009327C0" w:rsidRPr="001D5327" w:rsidRDefault="009327C0" w:rsidP="00D11AC9">
            <w:pPr>
              <w:pStyle w:val="TableText"/>
              <w:spacing w:before="50" w:after="50"/>
              <w:jc w:val="right"/>
            </w:pPr>
            <w:r w:rsidRPr="001D5327">
              <w:rPr>
                <w:rFonts w:eastAsia="Calibri"/>
              </w:rPr>
              <w:t>528.2</w:t>
            </w:r>
          </w:p>
        </w:tc>
        <w:tc>
          <w:tcPr>
            <w:tcW w:w="585" w:type="pct"/>
            <w:shd w:val="clear" w:color="auto" w:fill="FFFFFF"/>
            <w:tcMar>
              <w:top w:w="0" w:type="dxa"/>
              <w:left w:w="85" w:type="dxa"/>
              <w:bottom w:w="0" w:type="dxa"/>
              <w:right w:w="85" w:type="dxa"/>
            </w:tcMar>
            <w:vAlign w:val="center"/>
          </w:tcPr>
          <w:p w14:paraId="78D8A0A6" w14:textId="34BF8446" w:rsidR="009327C0" w:rsidRPr="001D5327" w:rsidRDefault="003C45F8" w:rsidP="00D11AC9">
            <w:pPr>
              <w:pStyle w:val="TableText"/>
              <w:spacing w:before="50" w:after="50"/>
              <w:jc w:val="right"/>
            </w:pPr>
            <w:r>
              <w:rPr>
                <w:rFonts w:eastAsia="Calibri"/>
              </w:rPr>
              <w:t>-</w:t>
            </w:r>
            <w:r w:rsidR="009327C0" w:rsidRPr="001D5327">
              <w:rPr>
                <w:rFonts w:eastAsia="Calibri"/>
              </w:rPr>
              <w:t>33.7</w:t>
            </w:r>
          </w:p>
        </w:tc>
        <w:tc>
          <w:tcPr>
            <w:tcW w:w="567" w:type="pct"/>
            <w:shd w:val="clear" w:color="auto" w:fill="FFFFFF"/>
            <w:tcMar>
              <w:top w:w="0" w:type="dxa"/>
              <w:left w:w="85" w:type="dxa"/>
              <w:bottom w:w="0" w:type="dxa"/>
              <w:right w:w="85" w:type="dxa"/>
            </w:tcMar>
            <w:vAlign w:val="center"/>
          </w:tcPr>
          <w:p w14:paraId="2997F917" w14:textId="3212617A" w:rsidR="009327C0" w:rsidRPr="001D5327" w:rsidRDefault="003C45F8" w:rsidP="00D11AC9">
            <w:pPr>
              <w:pStyle w:val="TableText"/>
              <w:spacing w:before="50" w:after="50"/>
              <w:jc w:val="right"/>
            </w:pPr>
            <w:r>
              <w:rPr>
                <w:rFonts w:eastAsia="Calibri"/>
              </w:rPr>
              <w:t>-</w:t>
            </w:r>
            <w:r w:rsidR="009327C0" w:rsidRPr="001D5327">
              <w:rPr>
                <w:rFonts w:eastAsia="Calibri"/>
              </w:rPr>
              <w:t>6.0</w:t>
            </w:r>
          </w:p>
        </w:tc>
        <w:tc>
          <w:tcPr>
            <w:tcW w:w="339" w:type="pct"/>
            <w:shd w:val="clear" w:color="auto" w:fill="FFFFFF"/>
            <w:tcMar>
              <w:top w:w="0" w:type="dxa"/>
              <w:left w:w="85" w:type="dxa"/>
              <w:bottom w:w="0" w:type="dxa"/>
              <w:right w:w="85" w:type="dxa"/>
            </w:tcMar>
            <w:vAlign w:val="center"/>
          </w:tcPr>
          <w:p w14:paraId="463BB9B4" w14:textId="77777777" w:rsidR="009327C0" w:rsidRPr="001D5327" w:rsidRDefault="009327C0" w:rsidP="00D11AC9">
            <w:pPr>
              <w:pStyle w:val="TableText"/>
              <w:spacing w:before="50" w:after="50"/>
              <w:jc w:val="right"/>
            </w:pPr>
            <w:r w:rsidRPr="001D5327">
              <w:rPr>
                <w:rFonts w:eastAsia="Calibri"/>
              </w:rPr>
              <w:t>16.1</w:t>
            </w:r>
          </w:p>
        </w:tc>
        <w:tc>
          <w:tcPr>
            <w:tcW w:w="338" w:type="pct"/>
            <w:shd w:val="clear" w:color="auto" w:fill="FFFFFF"/>
            <w:tcMar>
              <w:top w:w="0" w:type="dxa"/>
              <w:left w:w="85" w:type="dxa"/>
              <w:bottom w:w="0" w:type="dxa"/>
              <w:right w:w="85" w:type="dxa"/>
            </w:tcMar>
            <w:vAlign w:val="center"/>
          </w:tcPr>
          <w:p w14:paraId="7C4FF9C4" w14:textId="77777777" w:rsidR="009327C0" w:rsidRPr="001D5327" w:rsidRDefault="009327C0" w:rsidP="00D11AC9">
            <w:pPr>
              <w:pStyle w:val="TableText"/>
              <w:spacing w:before="50" w:after="50"/>
              <w:jc w:val="right"/>
            </w:pPr>
            <w:r w:rsidRPr="001D5327">
              <w:rPr>
                <w:rFonts w:eastAsia="Calibri"/>
              </w:rPr>
              <w:t>13.1</w:t>
            </w:r>
          </w:p>
        </w:tc>
      </w:tr>
      <w:tr w:rsidR="009327C0" w:rsidRPr="001D5327" w14:paraId="58D1870F" w14:textId="77777777" w:rsidTr="00D11AC9">
        <w:tc>
          <w:tcPr>
            <w:tcW w:w="2253" w:type="pct"/>
            <w:shd w:val="clear" w:color="auto" w:fill="FFFFFF"/>
            <w:tcMar>
              <w:top w:w="0" w:type="dxa"/>
              <w:left w:w="85" w:type="dxa"/>
              <w:bottom w:w="0" w:type="dxa"/>
              <w:right w:w="85" w:type="dxa"/>
            </w:tcMar>
            <w:vAlign w:val="center"/>
          </w:tcPr>
          <w:p w14:paraId="2EADBD60" w14:textId="77777777" w:rsidR="009327C0" w:rsidRPr="001D5327" w:rsidRDefault="009327C0" w:rsidP="00D11AC9">
            <w:pPr>
              <w:pStyle w:val="TableText"/>
              <w:spacing w:before="50" w:after="50"/>
            </w:pPr>
            <w:r w:rsidRPr="001D5327">
              <w:rPr>
                <w:rFonts w:eastAsia="Calibri"/>
              </w:rPr>
              <w:t>Chemical industry (2.B)</w:t>
            </w:r>
          </w:p>
        </w:tc>
        <w:tc>
          <w:tcPr>
            <w:tcW w:w="501" w:type="pct"/>
            <w:shd w:val="clear" w:color="auto" w:fill="FFFFFF"/>
            <w:tcMar>
              <w:top w:w="0" w:type="dxa"/>
              <w:left w:w="85" w:type="dxa"/>
              <w:bottom w:w="0" w:type="dxa"/>
              <w:right w:w="85" w:type="dxa"/>
            </w:tcMar>
            <w:vAlign w:val="center"/>
          </w:tcPr>
          <w:p w14:paraId="5A46E57D" w14:textId="77777777" w:rsidR="009327C0" w:rsidRPr="001D5327" w:rsidRDefault="009327C0" w:rsidP="00D11AC9">
            <w:pPr>
              <w:pStyle w:val="TableText"/>
              <w:spacing w:before="50" w:after="50"/>
              <w:jc w:val="right"/>
            </w:pPr>
            <w:r w:rsidRPr="001D5327">
              <w:rPr>
                <w:rFonts w:eastAsia="Calibri"/>
              </w:rPr>
              <w:t>206.3</w:t>
            </w:r>
          </w:p>
        </w:tc>
        <w:tc>
          <w:tcPr>
            <w:tcW w:w="417" w:type="pct"/>
            <w:shd w:val="clear" w:color="auto" w:fill="FFFFFF"/>
            <w:tcMar>
              <w:top w:w="0" w:type="dxa"/>
              <w:left w:w="85" w:type="dxa"/>
              <w:bottom w:w="0" w:type="dxa"/>
              <w:right w:w="85" w:type="dxa"/>
            </w:tcMar>
            <w:vAlign w:val="center"/>
          </w:tcPr>
          <w:p w14:paraId="6CDECF8A" w14:textId="77777777" w:rsidR="009327C0" w:rsidRPr="001D5327" w:rsidRDefault="009327C0" w:rsidP="00D11AC9">
            <w:pPr>
              <w:pStyle w:val="TableText"/>
              <w:spacing w:before="50" w:after="50"/>
              <w:jc w:val="right"/>
            </w:pPr>
            <w:r w:rsidRPr="001D5327">
              <w:rPr>
                <w:rFonts w:eastAsia="Calibri"/>
              </w:rPr>
              <w:t>122.9</w:t>
            </w:r>
          </w:p>
        </w:tc>
        <w:tc>
          <w:tcPr>
            <w:tcW w:w="585" w:type="pct"/>
            <w:shd w:val="clear" w:color="auto" w:fill="FFFFFF"/>
            <w:tcMar>
              <w:top w:w="0" w:type="dxa"/>
              <w:left w:w="85" w:type="dxa"/>
              <w:bottom w:w="0" w:type="dxa"/>
              <w:right w:w="85" w:type="dxa"/>
            </w:tcMar>
            <w:vAlign w:val="center"/>
          </w:tcPr>
          <w:p w14:paraId="3ACCC6E3" w14:textId="51D34399" w:rsidR="009327C0" w:rsidRPr="001D5327" w:rsidRDefault="003C45F8" w:rsidP="00D11AC9">
            <w:pPr>
              <w:pStyle w:val="TableText"/>
              <w:spacing w:before="50" w:after="50"/>
              <w:jc w:val="right"/>
            </w:pPr>
            <w:r>
              <w:rPr>
                <w:rFonts w:eastAsia="Calibri"/>
              </w:rPr>
              <w:t>-</w:t>
            </w:r>
            <w:r w:rsidR="009327C0" w:rsidRPr="001D5327">
              <w:rPr>
                <w:rFonts w:eastAsia="Calibri"/>
              </w:rPr>
              <w:t>83.4</w:t>
            </w:r>
          </w:p>
        </w:tc>
        <w:tc>
          <w:tcPr>
            <w:tcW w:w="567" w:type="pct"/>
            <w:shd w:val="clear" w:color="auto" w:fill="FFFFFF"/>
            <w:tcMar>
              <w:top w:w="0" w:type="dxa"/>
              <w:left w:w="85" w:type="dxa"/>
              <w:bottom w:w="0" w:type="dxa"/>
              <w:right w:w="85" w:type="dxa"/>
            </w:tcMar>
            <w:vAlign w:val="center"/>
          </w:tcPr>
          <w:p w14:paraId="5CF6BFB7" w14:textId="7A6A4D80" w:rsidR="009327C0" w:rsidRPr="001D5327" w:rsidRDefault="003C45F8" w:rsidP="00D11AC9">
            <w:pPr>
              <w:pStyle w:val="TableText"/>
              <w:spacing w:before="50" w:after="50"/>
              <w:jc w:val="right"/>
            </w:pPr>
            <w:r>
              <w:rPr>
                <w:rFonts w:eastAsia="Calibri"/>
              </w:rPr>
              <w:t>-</w:t>
            </w:r>
            <w:r w:rsidR="009327C0" w:rsidRPr="001D5327">
              <w:rPr>
                <w:rFonts w:eastAsia="Calibri"/>
              </w:rPr>
              <w:t>40.4</w:t>
            </w:r>
          </w:p>
        </w:tc>
        <w:tc>
          <w:tcPr>
            <w:tcW w:w="339" w:type="pct"/>
            <w:shd w:val="clear" w:color="auto" w:fill="FFFFFF"/>
            <w:tcMar>
              <w:top w:w="0" w:type="dxa"/>
              <w:left w:w="85" w:type="dxa"/>
              <w:bottom w:w="0" w:type="dxa"/>
              <w:right w:w="85" w:type="dxa"/>
            </w:tcMar>
            <w:vAlign w:val="center"/>
          </w:tcPr>
          <w:p w14:paraId="0125B3BD" w14:textId="77777777" w:rsidR="009327C0" w:rsidRPr="001D5327" w:rsidRDefault="009327C0" w:rsidP="00D11AC9">
            <w:pPr>
              <w:pStyle w:val="TableText"/>
              <w:spacing w:before="50" w:after="50"/>
              <w:jc w:val="right"/>
            </w:pPr>
            <w:r w:rsidRPr="001D5327">
              <w:rPr>
                <w:rFonts w:eastAsia="Calibri"/>
              </w:rPr>
              <w:t>5.9</w:t>
            </w:r>
          </w:p>
        </w:tc>
        <w:tc>
          <w:tcPr>
            <w:tcW w:w="338" w:type="pct"/>
            <w:shd w:val="clear" w:color="auto" w:fill="FFFFFF"/>
            <w:tcMar>
              <w:top w:w="0" w:type="dxa"/>
              <w:left w:w="85" w:type="dxa"/>
              <w:bottom w:w="0" w:type="dxa"/>
              <w:right w:w="85" w:type="dxa"/>
            </w:tcMar>
            <w:vAlign w:val="center"/>
          </w:tcPr>
          <w:p w14:paraId="1E6D0E7D" w14:textId="77777777" w:rsidR="009327C0" w:rsidRPr="001D5327" w:rsidRDefault="009327C0" w:rsidP="00D11AC9">
            <w:pPr>
              <w:pStyle w:val="TableText"/>
              <w:spacing w:before="50" w:after="50"/>
              <w:jc w:val="right"/>
            </w:pPr>
            <w:r w:rsidRPr="001D5327">
              <w:rPr>
                <w:rFonts w:eastAsia="Calibri"/>
              </w:rPr>
              <w:t>3.0</w:t>
            </w:r>
          </w:p>
        </w:tc>
      </w:tr>
      <w:tr w:rsidR="009327C0" w:rsidRPr="001D5327" w14:paraId="097C0736" w14:textId="77777777" w:rsidTr="00D11AC9">
        <w:tc>
          <w:tcPr>
            <w:tcW w:w="2253" w:type="pct"/>
            <w:shd w:val="clear" w:color="auto" w:fill="FFFFFF"/>
            <w:tcMar>
              <w:top w:w="0" w:type="dxa"/>
              <w:left w:w="85" w:type="dxa"/>
              <w:bottom w:w="0" w:type="dxa"/>
              <w:right w:w="85" w:type="dxa"/>
            </w:tcMar>
            <w:vAlign w:val="center"/>
          </w:tcPr>
          <w:p w14:paraId="793731E2" w14:textId="77777777" w:rsidR="009327C0" w:rsidRPr="001D5327" w:rsidRDefault="009327C0" w:rsidP="00D11AC9">
            <w:pPr>
              <w:pStyle w:val="TableText"/>
              <w:spacing w:before="50" w:after="50"/>
            </w:pPr>
            <w:r w:rsidRPr="001D5327">
              <w:rPr>
                <w:rFonts w:eastAsia="Calibri"/>
              </w:rPr>
              <w:t>Metal industry (2.C)</w:t>
            </w:r>
          </w:p>
        </w:tc>
        <w:tc>
          <w:tcPr>
            <w:tcW w:w="501" w:type="pct"/>
            <w:shd w:val="clear" w:color="auto" w:fill="FFFFFF"/>
            <w:tcMar>
              <w:top w:w="0" w:type="dxa"/>
              <w:left w:w="85" w:type="dxa"/>
              <w:bottom w:w="0" w:type="dxa"/>
              <w:right w:w="85" w:type="dxa"/>
            </w:tcMar>
            <w:vAlign w:val="center"/>
          </w:tcPr>
          <w:p w14:paraId="5581B51E" w14:textId="77777777" w:rsidR="009327C0" w:rsidRPr="001D5327" w:rsidRDefault="009327C0" w:rsidP="00D11AC9">
            <w:pPr>
              <w:pStyle w:val="TableText"/>
              <w:spacing w:before="50" w:after="50"/>
              <w:jc w:val="right"/>
            </w:pPr>
            <w:r w:rsidRPr="001D5327">
              <w:rPr>
                <w:rFonts w:eastAsia="Calibri"/>
              </w:rPr>
              <w:t>2,578.3</w:t>
            </w:r>
          </w:p>
        </w:tc>
        <w:tc>
          <w:tcPr>
            <w:tcW w:w="417" w:type="pct"/>
            <w:shd w:val="clear" w:color="auto" w:fill="FFFFFF"/>
            <w:tcMar>
              <w:top w:w="0" w:type="dxa"/>
              <w:left w:w="85" w:type="dxa"/>
              <w:bottom w:w="0" w:type="dxa"/>
              <w:right w:w="85" w:type="dxa"/>
            </w:tcMar>
            <w:vAlign w:val="center"/>
          </w:tcPr>
          <w:p w14:paraId="6C0E3037" w14:textId="77777777" w:rsidR="009327C0" w:rsidRPr="001D5327" w:rsidRDefault="009327C0" w:rsidP="00D11AC9">
            <w:pPr>
              <w:pStyle w:val="TableText"/>
              <w:spacing w:before="50" w:after="50"/>
              <w:jc w:val="right"/>
            </w:pPr>
            <w:r w:rsidRPr="001D5327">
              <w:rPr>
                <w:rFonts w:eastAsia="Calibri"/>
              </w:rPr>
              <w:t>2,100.3</w:t>
            </w:r>
          </w:p>
        </w:tc>
        <w:tc>
          <w:tcPr>
            <w:tcW w:w="585" w:type="pct"/>
            <w:shd w:val="clear" w:color="auto" w:fill="FFFFFF"/>
            <w:tcMar>
              <w:top w:w="0" w:type="dxa"/>
              <w:left w:w="85" w:type="dxa"/>
              <w:bottom w:w="0" w:type="dxa"/>
              <w:right w:w="85" w:type="dxa"/>
            </w:tcMar>
            <w:vAlign w:val="center"/>
          </w:tcPr>
          <w:p w14:paraId="775C9288" w14:textId="44EB3985" w:rsidR="009327C0" w:rsidRPr="001D5327" w:rsidRDefault="003C45F8" w:rsidP="00D11AC9">
            <w:pPr>
              <w:pStyle w:val="TableText"/>
              <w:spacing w:before="50" w:after="50"/>
              <w:jc w:val="right"/>
            </w:pPr>
            <w:r>
              <w:rPr>
                <w:rFonts w:eastAsia="Calibri"/>
              </w:rPr>
              <w:t>-</w:t>
            </w:r>
            <w:r w:rsidR="009327C0" w:rsidRPr="001D5327">
              <w:rPr>
                <w:rFonts w:eastAsia="Calibri"/>
              </w:rPr>
              <w:t>478.0</w:t>
            </w:r>
          </w:p>
        </w:tc>
        <w:tc>
          <w:tcPr>
            <w:tcW w:w="567" w:type="pct"/>
            <w:shd w:val="clear" w:color="auto" w:fill="FFFFFF"/>
            <w:tcMar>
              <w:top w:w="0" w:type="dxa"/>
              <w:left w:w="85" w:type="dxa"/>
              <w:bottom w:w="0" w:type="dxa"/>
              <w:right w:w="85" w:type="dxa"/>
            </w:tcMar>
            <w:vAlign w:val="center"/>
          </w:tcPr>
          <w:p w14:paraId="356E629E" w14:textId="1E95EE8B" w:rsidR="009327C0" w:rsidRPr="001D5327" w:rsidRDefault="003C45F8" w:rsidP="00D11AC9">
            <w:pPr>
              <w:pStyle w:val="TableText"/>
              <w:spacing w:before="50" w:after="50"/>
              <w:jc w:val="right"/>
            </w:pPr>
            <w:r>
              <w:rPr>
                <w:rFonts w:eastAsia="Calibri"/>
              </w:rPr>
              <w:t>-</w:t>
            </w:r>
            <w:r w:rsidR="009327C0" w:rsidRPr="001D5327">
              <w:rPr>
                <w:rFonts w:eastAsia="Calibri"/>
              </w:rPr>
              <w:t>18.5</w:t>
            </w:r>
          </w:p>
        </w:tc>
        <w:tc>
          <w:tcPr>
            <w:tcW w:w="339" w:type="pct"/>
            <w:shd w:val="clear" w:color="auto" w:fill="FFFFFF"/>
            <w:tcMar>
              <w:top w:w="0" w:type="dxa"/>
              <w:left w:w="85" w:type="dxa"/>
              <w:bottom w:w="0" w:type="dxa"/>
              <w:right w:w="85" w:type="dxa"/>
            </w:tcMar>
            <w:vAlign w:val="center"/>
          </w:tcPr>
          <w:p w14:paraId="66CA20F0" w14:textId="77777777" w:rsidR="009327C0" w:rsidRPr="001D5327" w:rsidRDefault="009327C0" w:rsidP="00D11AC9">
            <w:pPr>
              <w:pStyle w:val="TableText"/>
              <w:spacing w:before="50" w:after="50"/>
              <w:jc w:val="right"/>
            </w:pPr>
            <w:r w:rsidRPr="001D5327">
              <w:rPr>
                <w:rFonts w:eastAsia="Calibri"/>
              </w:rPr>
              <w:t>74.0</w:t>
            </w:r>
          </w:p>
        </w:tc>
        <w:tc>
          <w:tcPr>
            <w:tcW w:w="338" w:type="pct"/>
            <w:shd w:val="clear" w:color="auto" w:fill="FFFFFF"/>
            <w:tcMar>
              <w:top w:w="0" w:type="dxa"/>
              <w:left w:w="85" w:type="dxa"/>
              <w:bottom w:w="0" w:type="dxa"/>
              <w:right w:w="85" w:type="dxa"/>
            </w:tcMar>
            <w:vAlign w:val="center"/>
          </w:tcPr>
          <w:p w14:paraId="735E7359" w14:textId="77777777" w:rsidR="009327C0" w:rsidRPr="001D5327" w:rsidRDefault="009327C0" w:rsidP="00D11AC9">
            <w:pPr>
              <w:pStyle w:val="TableText"/>
              <w:spacing w:before="50" w:after="50"/>
              <w:jc w:val="right"/>
            </w:pPr>
            <w:r w:rsidRPr="001D5327">
              <w:rPr>
                <w:rFonts w:eastAsia="Calibri"/>
              </w:rPr>
              <w:t>52.1</w:t>
            </w:r>
          </w:p>
        </w:tc>
      </w:tr>
      <w:tr w:rsidR="009327C0" w:rsidRPr="001D5327" w14:paraId="68921CD4" w14:textId="77777777" w:rsidTr="00D11AC9">
        <w:tc>
          <w:tcPr>
            <w:tcW w:w="2253" w:type="pct"/>
            <w:shd w:val="clear" w:color="auto" w:fill="FFFFFF"/>
            <w:tcMar>
              <w:top w:w="0" w:type="dxa"/>
              <w:left w:w="85" w:type="dxa"/>
              <w:bottom w:w="0" w:type="dxa"/>
              <w:right w:w="85" w:type="dxa"/>
            </w:tcMar>
            <w:vAlign w:val="center"/>
          </w:tcPr>
          <w:p w14:paraId="762D490D" w14:textId="77777777" w:rsidR="009327C0" w:rsidRPr="001D5327" w:rsidRDefault="009327C0" w:rsidP="00D11AC9">
            <w:pPr>
              <w:pStyle w:val="TableText"/>
              <w:spacing w:before="50" w:after="50"/>
            </w:pPr>
            <w:r w:rsidRPr="001D5327">
              <w:rPr>
                <w:rFonts w:eastAsia="Calibri"/>
              </w:rPr>
              <w:t>Non-energy products from fuels and solvent use (2.D)</w:t>
            </w:r>
          </w:p>
        </w:tc>
        <w:tc>
          <w:tcPr>
            <w:tcW w:w="501" w:type="pct"/>
            <w:shd w:val="clear" w:color="auto" w:fill="FFFFFF"/>
            <w:tcMar>
              <w:top w:w="0" w:type="dxa"/>
              <w:left w:w="85" w:type="dxa"/>
              <w:bottom w:w="0" w:type="dxa"/>
              <w:right w:w="85" w:type="dxa"/>
            </w:tcMar>
            <w:vAlign w:val="center"/>
          </w:tcPr>
          <w:p w14:paraId="42587EE5" w14:textId="77777777" w:rsidR="009327C0" w:rsidRPr="001D5327" w:rsidRDefault="009327C0" w:rsidP="00D11AC9">
            <w:pPr>
              <w:pStyle w:val="TableText"/>
              <w:spacing w:before="50" w:after="50"/>
              <w:jc w:val="right"/>
            </w:pPr>
            <w:r w:rsidRPr="001D5327">
              <w:rPr>
                <w:rFonts w:eastAsia="Calibri"/>
              </w:rPr>
              <w:t>17.5</w:t>
            </w:r>
          </w:p>
        </w:tc>
        <w:tc>
          <w:tcPr>
            <w:tcW w:w="417" w:type="pct"/>
            <w:shd w:val="clear" w:color="auto" w:fill="FFFFFF"/>
            <w:tcMar>
              <w:top w:w="0" w:type="dxa"/>
              <w:left w:w="85" w:type="dxa"/>
              <w:bottom w:w="0" w:type="dxa"/>
              <w:right w:w="85" w:type="dxa"/>
            </w:tcMar>
            <w:vAlign w:val="center"/>
          </w:tcPr>
          <w:p w14:paraId="5808E4BE" w14:textId="77777777" w:rsidR="009327C0" w:rsidRPr="001D5327" w:rsidRDefault="009327C0" w:rsidP="00D11AC9">
            <w:pPr>
              <w:pStyle w:val="TableText"/>
              <w:spacing w:before="50" w:after="50"/>
              <w:jc w:val="right"/>
            </w:pPr>
            <w:r w:rsidRPr="001D5327">
              <w:rPr>
                <w:rFonts w:eastAsia="Calibri"/>
              </w:rPr>
              <w:t>27.0</w:t>
            </w:r>
          </w:p>
        </w:tc>
        <w:tc>
          <w:tcPr>
            <w:tcW w:w="585" w:type="pct"/>
            <w:shd w:val="clear" w:color="auto" w:fill="FFFFFF"/>
            <w:tcMar>
              <w:top w:w="0" w:type="dxa"/>
              <w:left w:w="85" w:type="dxa"/>
              <w:bottom w:w="0" w:type="dxa"/>
              <w:right w:w="85" w:type="dxa"/>
            </w:tcMar>
            <w:vAlign w:val="center"/>
          </w:tcPr>
          <w:p w14:paraId="683C26C9" w14:textId="77777777" w:rsidR="009327C0" w:rsidRPr="001D5327" w:rsidRDefault="009327C0" w:rsidP="00D11AC9">
            <w:pPr>
              <w:pStyle w:val="TableText"/>
              <w:spacing w:before="50" w:after="50"/>
              <w:jc w:val="right"/>
            </w:pPr>
            <w:r w:rsidRPr="001D5327">
              <w:rPr>
                <w:rFonts w:eastAsia="Calibri"/>
              </w:rPr>
              <w:t>9.4</w:t>
            </w:r>
          </w:p>
        </w:tc>
        <w:tc>
          <w:tcPr>
            <w:tcW w:w="567" w:type="pct"/>
            <w:shd w:val="clear" w:color="auto" w:fill="FFFFFF"/>
            <w:tcMar>
              <w:top w:w="0" w:type="dxa"/>
              <w:left w:w="85" w:type="dxa"/>
              <w:bottom w:w="0" w:type="dxa"/>
              <w:right w:w="85" w:type="dxa"/>
            </w:tcMar>
            <w:vAlign w:val="center"/>
          </w:tcPr>
          <w:p w14:paraId="66A8DE16" w14:textId="77777777" w:rsidR="009327C0" w:rsidRPr="001D5327" w:rsidRDefault="009327C0" w:rsidP="00D11AC9">
            <w:pPr>
              <w:pStyle w:val="TableText"/>
              <w:spacing w:before="50" w:after="50"/>
              <w:jc w:val="right"/>
            </w:pPr>
            <w:r w:rsidRPr="001D5327">
              <w:rPr>
                <w:rFonts w:eastAsia="Calibri"/>
              </w:rPr>
              <w:t>53.8</w:t>
            </w:r>
          </w:p>
        </w:tc>
        <w:tc>
          <w:tcPr>
            <w:tcW w:w="339" w:type="pct"/>
            <w:shd w:val="clear" w:color="auto" w:fill="FFFFFF"/>
            <w:tcMar>
              <w:top w:w="0" w:type="dxa"/>
              <w:left w:w="85" w:type="dxa"/>
              <w:bottom w:w="0" w:type="dxa"/>
              <w:right w:w="85" w:type="dxa"/>
            </w:tcMar>
            <w:vAlign w:val="center"/>
          </w:tcPr>
          <w:p w14:paraId="775CCF80" w14:textId="77777777" w:rsidR="009327C0" w:rsidRPr="001D5327" w:rsidRDefault="009327C0" w:rsidP="00D11AC9">
            <w:pPr>
              <w:pStyle w:val="TableText"/>
              <w:spacing w:before="50" w:after="50"/>
              <w:jc w:val="right"/>
            </w:pPr>
            <w:r w:rsidRPr="001D5327">
              <w:rPr>
                <w:rFonts w:eastAsia="Calibri"/>
              </w:rPr>
              <w:t>0.5</w:t>
            </w:r>
          </w:p>
        </w:tc>
        <w:tc>
          <w:tcPr>
            <w:tcW w:w="338" w:type="pct"/>
            <w:shd w:val="clear" w:color="auto" w:fill="FFFFFF"/>
            <w:tcMar>
              <w:top w:w="0" w:type="dxa"/>
              <w:left w:w="85" w:type="dxa"/>
              <w:bottom w:w="0" w:type="dxa"/>
              <w:right w:w="85" w:type="dxa"/>
            </w:tcMar>
            <w:vAlign w:val="center"/>
          </w:tcPr>
          <w:p w14:paraId="3E9155B7" w14:textId="77777777" w:rsidR="009327C0" w:rsidRPr="001D5327" w:rsidRDefault="009327C0" w:rsidP="00D11AC9">
            <w:pPr>
              <w:pStyle w:val="TableText"/>
              <w:spacing w:before="50" w:after="50"/>
              <w:jc w:val="right"/>
            </w:pPr>
            <w:r w:rsidRPr="001D5327">
              <w:rPr>
                <w:rFonts w:eastAsia="Calibri"/>
              </w:rPr>
              <w:t>0.7</w:t>
            </w:r>
          </w:p>
        </w:tc>
      </w:tr>
      <w:tr w:rsidR="009327C0" w:rsidRPr="001D5327" w14:paraId="7691497E" w14:textId="77777777" w:rsidTr="00D11AC9">
        <w:tc>
          <w:tcPr>
            <w:tcW w:w="2253" w:type="pct"/>
            <w:shd w:val="clear" w:color="auto" w:fill="FFFFFF"/>
            <w:tcMar>
              <w:top w:w="0" w:type="dxa"/>
              <w:left w:w="85" w:type="dxa"/>
              <w:bottom w:w="0" w:type="dxa"/>
              <w:right w:w="85" w:type="dxa"/>
            </w:tcMar>
            <w:vAlign w:val="center"/>
          </w:tcPr>
          <w:p w14:paraId="4868D891" w14:textId="77777777" w:rsidR="009327C0" w:rsidRPr="001D5327" w:rsidRDefault="009327C0" w:rsidP="00D11AC9">
            <w:pPr>
              <w:pStyle w:val="TableText"/>
              <w:spacing w:before="50" w:after="50"/>
            </w:pPr>
            <w:r w:rsidRPr="001D5327">
              <w:rPr>
                <w:rFonts w:eastAsia="Calibri"/>
              </w:rPr>
              <w:t>Product uses as substitutes for ODS (2.F)</w:t>
            </w:r>
          </w:p>
        </w:tc>
        <w:tc>
          <w:tcPr>
            <w:tcW w:w="501" w:type="pct"/>
            <w:shd w:val="clear" w:color="auto" w:fill="FFFFFF"/>
            <w:tcMar>
              <w:top w:w="0" w:type="dxa"/>
              <w:left w:w="85" w:type="dxa"/>
              <w:bottom w:w="0" w:type="dxa"/>
              <w:right w:w="85" w:type="dxa"/>
            </w:tcMar>
            <w:vAlign w:val="center"/>
          </w:tcPr>
          <w:p w14:paraId="79490D90" w14:textId="709DA593" w:rsidR="009327C0" w:rsidRPr="001D5327" w:rsidRDefault="003C45F8" w:rsidP="00D11AC9">
            <w:pPr>
              <w:pStyle w:val="TableText"/>
              <w:spacing w:before="50" w:after="50"/>
              <w:jc w:val="right"/>
            </w:pPr>
            <w:r>
              <w:t>-</w:t>
            </w:r>
          </w:p>
        </w:tc>
        <w:tc>
          <w:tcPr>
            <w:tcW w:w="417" w:type="pct"/>
            <w:shd w:val="clear" w:color="auto" w:fill="FFFFFF"/>
            <w:tcMar>
              <w:top w:w="0" w:type="dxa"/>
              <w:left w:w="85" w:type="dxa"/>
              <w:bottom w:w="0" w:type="dxa"/>
              <w:right w:w="85" w:type="dxa"/>
            </w:tcMar>
            <w:vAlign w:val="center"/>
          </w:tcPr>
          <w:p w14:paraId="029A33D2" w14:textId="77777777" w:rsidR="009327C0" w:rsidRPr="001D5327" w:rsidRDefault="009327C0" w:rsidP="00D11AC9">
            <w:pPr>
              <w:pStyle w:val="TableText"/>
              <w:spacing w:before="50" w:after="50"/>
              <w:jc w:val="right"/>
            </w:pPr>
            <w:r w:rsidRPr="001D5327">
              <w:rPr>
                <w:rFonts w:eastAsia="Calibri"/>
              </w:rPr>
              <w:t>1,087.1</w:t>
            </w:r>
          </w:p>
        </w:tc>
        <w:tc>
          <w:tcPr>
            <w:tcW w:w="585" w:type="pct"/>
            <w:shd w:val="clear" w:color="auto" w:fill="FFFFFF"/>
            <w:tcMar>
              <w:top w:w="0" w:type="dxa"/>
              <w:left w:w="85" w:type="dxa"/>
              <w:bottom w:w="0" w:type="dxa"/>
              <w:right w:w="85" w:type="dxa"/>
            </w:tcMar>
            <w:vAlign w:val="center"/>
          </w:tcPr>
          <w:p w14:paraId="70C29EFB" w14:textId="77777777" w:rsidR="009327C0" w:rsidRPr="001D5327" w:rsidRDefault="009327C0" w:rsidP="00D11AC9">
            <w:pPr>
              <w:pStyle w:val="TableText"/>
              <w:spacing w:before="50" w:after="50"/>
              <w:jc w:val="right"/>
            </w:pPr>
            <w:r w:rsidRPr="001D5327">
              <w:rPr>
                <w:rFonts w:eastAsia="Calibri"/>
              </w:rPr>
              <w:t>1,087.1</w:t>
            </w:r>
          </w:p>
        </w:tc>
        <w:tc>
          <w:tcPr>
            <w:tcW w:w="567" w:type="pct"/>
            <w:shd w:val="clear" w:color="auto" w:fill="FFFFFF"/>
            <w:tcMar>
              <w:top w:w="0" w:type="dxa"/>
              <w:left w:w="85" w:type="dxa"/>
              <w:bottom w:w="0" w:type="dxa"/>
              <w:right w:w="85" w:type="dxa"/>
            </w:tcMar>
            <w:vAlign w:val="center"/>
          </w:tcPr>
          <w:p w14:paraId="7559FD04" w14:textId="1300A9C0" w:rsidR="009327C0" w:rsidRPr="001D5327" w:rsidRDefault="003C45F8" w:rsidP="00D11AC9">
            <w:pPr>
              <w:pStyle w:val="TableText"/>
              <w:spacing w:before="50" w:after="50"/>
              <w:jc w:val="right"/>
            </w:pPr>
            <w:r>
              <w:rPr>
                <w:rFonts w:eastAsia="Calibri"/>
              </w:rPr>
              <w:t>-</w:t>
            </w:r>
          </w:p>
        </w:tc>
        <w:tc>
          <w:tcPr>
            <w:tcW w:w="339" w:type="pct"/>
            <w:shd w:val="clear" w:color="auto" w:fill="FFFFFF"/>
            <w:tcMar>
              <w:top w:w="0" w:type="dxa"/>
              <w:left w:w="85" w:type="dxa"/>
              <w:bottom w:w="0" w:type="dxa"/>
              <w:right w:w="85" w:type="dxa"/>
            </w:tcMar>
            <w:vAlign w:val="center"/>
          </w:tcPr>
          <w:p w14:paraId="184C80B6" w14:textId="1FD0AF78" w:rsidR="009327C0" w:rsidRPr="001D5327" w:rsidRDefault="003C45F8" w:rsidP="00D11AC9">
            <w:pPr>
              <w:pStyle w:val="TableText"/>
              <w:spacing w:before="50" w:after="50"/>
              <w:jc w:val="right"/>
            </w:pPr>
            <w:r>
              <w:rPr>
                <w:rFonts w:eastAsia="Calibri"/>
              </w:rPr>
              <w:t>-</w:t>
            </w:r>
          </w:p>
        </w:tc>
        <w:tc>
          <w:tcPr>
            <w:tcW w:w="338" w:type="pct"/>
            <w:shd w:val="clear" w:color="auto" w:fill="FFFFFF"/>
            <w:tcMar>
              <w:top w:w="0" w:type="dxa"/>
              <w:left w:w="85" w:type="dxa"/>
              <w:bottom w:w="0" w:type="dxa"/>
              <w:right w:w="85" w:type="dxa"/>
            </w:tcMar>
            <w:vAlign w:val="center"/>
          </w:tcPr>
          <w:p w14:paraId="49F27C24" w14:textId="77777777" w:rsidR="009327C0" w:rsidRPr="001D5327" w:rsidRDefault="009327C0" w:rsidP="00D11AC9">
            <w:pPr>
              <w:pStyle w:val="TableText"/>
              <w:spacing w:before="50" w:after="50"/>
              <w:jc w:val="right"/>
            </w:pPr>
            <w:r w:rsidRPr="001D5327">
              <w:rPr>
                <w:rFonts w:eastAsia="Calibri"/>
              </w:rPr>
              <w:t>27.0</w:t>
            </w:r>
          </w:p>
        </w:tc>
      </w:tr>
      <w:tr w:rsidR="009327C0" w:rsidRPr="001D5327" w14:paraId="50C58AF3" w14:textId="77777777" w:rsidTr="00D11AC9">
        <w:tc>
          <w:tcPr>
            <w:tcW w:w="2253" w:type="pct"/>
            <w:shd w:val="clear" w:color="auto" w:fill="FFFFFF"/>
            <w:tcMar>
              <w:top w:w="0" w:type="dxa"/>
              <w:left w:w="85" w:type="dxa"/>
              <w:bottom w:w="0" w:type="dxa"/>
              <w:right w:w="85" w:type="dxa"/>
            </w:tcMar>
            <w:vAlign w:val="center"/>
          </w:tcPr>
          <w:p w14:paraId="3EBD4D80" w14:textId="77777777" w:rsidR="009327C0" w:rsidRPr="001D5327" w:rsidRDefault="009327C0" w:rsidP="00D11AC9">
            <w:pPr>
              <w:pStyle w:val="TableText"/>
              <w:spacing w:before="50" w:after="50"/>
            </w:pPr>
            <w:r w:rsidRPr="001D5327">
              <w:rPr>
                <w:rFonts w:eastAsia="Calibri"/>
              </w:rPr>
              <w:t>Other product manufacture and use (2.G)</w:t>
            </w:r>
          </w:p>
        </w:tc>
        <w:tc>
          <w:tcPr>
            <w:tcW w:w="501" w:type="pct"/>
            <w:shd w:val="clear" w:color="auto" w:fill="FFFFFF"/>
            <w:tcMar>
              <w:top w:w="0" w:type="dxa"/>
              <w:left w:w="85" w:type="dxa"/>
              <w:bottom w:w="0" w:type="dxa"/>
              <w:right w:w="85" w:type="dxa"/>
            </w:tcMar>
            <w:vAlign w:val="center"/>
          </w:tcPr>
          <w:p w14:paraId="7F530289" w14:textId="77777777" w:rsidR="009327C0" w:rsidRPr="001D5327" w:rsidRDefault="009327C0" w:rsidP="00D11AC9">
            <w:pPr>
              <w:pStyle w:val="TableText"/>
              <w:spacing w:before="50" w:after="50"/>
              <w:jc w:val="right"/>
            </w:pPr>
            <w:r w:rsidRPr="001D5327">
              <w:rPr>
                <w:rFonts w:eastAsia="Calibri"/>
              </w:rPr>
              <w:t>106.5</w:t>
            </w:r>
          </w:p>
        </w:tc>
        <w:tc>
          <w:tcPr>
            <w:tcW w:w="417" w:type="pct"/>
            <w:shd w:val="clear" w:color="auto" w:fill="FFFFFF"/>
            <w:tcMar>
              <w:top w:w="0" w:type="dxa"/>
              <w:left w:w="85" w:type="dxa"/>
              <w:bottom w:w="0" w:type="dxa"/>
              <w:right w:w="85" w:type="dxa"/>
            </w:tcMar>
            <w:vAlign w:val="center"/>
          </w:tcPr>
          <w:p w14:paraId="2E953636" w14:textId="77777777" w:rsidR="009327C0" w:rsidRPr="001D5327" w:rsidRDefault="009327C0" w:rsidP="00D11AC9">
            <w:pPr>
              <w:pStyle w:val="TableText"/>
              <w:spacing w:before="50" w:after="50"/>
              <w:jc w:val="right"/>
            </w:pPr>
            <w:r w:rsidRPr="001D5327">
              <w:rPr>
                <w:rFonts w:eastAsia="Calibri"/>
              </w:rPr>
              <w:t>129.1</w:t>
            </w:r>
          </w:p>
        </w:tc>
        <w:tc>
          <w:tcPr>
            <w:tcW w:w="585" w:type="pct"/>
            <w:shd w:val="clear" w:color="auto" w:fill="FFFFFF"/>
            <w:tcMar>
              <w:top w:w="0" w:type="dxa"/>
              <w:left w:w="85" w:type="dxa"/>
              <w:bottom w:w="0" w:type="dxa"/>
              <w:right w:w="85" w:type="dxa"/>
            </w:tcMar>
            <w:vAlign w:val="center"/>
          </w:tcPr>
          <w:p w14:paraId="2D4D7396" w14:textId="77777777" w:rsidR="009327C0" w:rsidRPr="001D5327" w:rsidRDefault="009327C0" w:rsidP="00D11AC9">
            <w:pPr>
              <w:pStyle w:val="TableText"/>
              <w:spacing w:before="50" w:after="50"/>
              <w:jc w:val="right"/>
            </w:pPr>
            <w:r w:rsidRPr="001D5327">
              <w:rPr>
                <w:rFonts w:eastAsia="Calibri"/>
              </w:rPr>
              <w:t>22.6</w:t>
            </w:r>
          </w:p>
        </w:tc>
        <w:tc>
          <w:tcPr>
            <w:tcW w:w="567" w:type="pct"/>
            <w:shd w:val="clear" w:color="auto" w:fill="FFFFFF"/>
            <w:tcMar>
              <w:top w:w="0" w:type="dxa"/>
              <w:left w:w="85" w:type="dxa"/>
              <w:bottom w:w="0" w:type="dxa"/>
              <w:right w:w="85" w:type="dxa"/>
            </w:tcMar>
            <w:vAlign w:val="center"/>
          </w:tcPr>
          <w:p w14:paraId="0F57FD4A" w14:textId="77777777" w:rsidR="009327C0" w:rsidRPr="001D5327" w:rsidRDefault="009327C0" w:rsidP="00D11AC9">
            <w:pPr>
              <w:pStyle w:val="TableText"/>
              <w:spacing w:before="50" w:after="50"/>
              <w:jc w:val="right"/>
            </w:pPr>
            <w:r w:rsidRPr="001D5327">
              <w:rPr>
                <w:rFonts w:eastAsia="Calibri"/>
              </w:rPr>
              <w:t>21.2</w:t>
            </w:r>
          </w:p>
        </w:tc>
        <w:tc>
          <w:tcPr>
            <w:tcW w:w="339" w:type="pct"/>
            <w:shd w:val="clear" w:color="auto" w:fill="FFFFFF"/>
            <w:tcMar>
              <w:top w:w="0" w:type="dxa"/>
              <w:left w:w="85" w:type="dxa"/>
              <w:bottom w:w="0" w:type="dxa"/>
              <w:right w:w="85" w:type="dxa"/>
            </w:tcMar>
            <w:vAlign w:val="center"/>
          </w:tcPr>
          <w:p w14:paraId="3D9CB169" w14:textId="77777777" w:rsidR="009327C0" w:rsidRPr="001D5327" w:rsidRDefault="009327C0" w:rsidP="00D11AC9">
            <w:pPr>
              <w:pStyle w:val="TableText"/>
              <w:spacing w:before="50" w:after="50"/>
              <w:jc w:val="right"/>
            </w:pPr>
            <w:r w:rsidRPr="001D5327">
              <w:rPr>
                <w:rFonts w:eastAsia="Calibri"/>
              </w:rPr>
              <w:t>3.1</w:t>
            </w:r>
          </w:p>
        </w:tc>
        <w:tc>
          <w:tcPr>
            <w:tcW w:w="338" w:type="pct"/>
            <w:shd w:val="clear" w:color="auto" w:fill="FFFFFF"/>
            <w:tcMar>
              <w:top w:w="0" w:type="dxa"/>
              <w:left w:w="85" w:type="dxa"/>
              <w:bottom w:w="0" w:type="dxa"/>
              <w:right w:w="85" w:type="dxa"/>
            </w:tcMar>
            <w:vAlign w:val="center"/>
          </w:tcPr>
          <w:p w14:paraId="3F4EE575" w14:textId="77777777" w:rsidR="009327C0" w:rsidRPr="001D5327" w:rsidRDefault="009327C0" w:rsidP="00D11AC9">
            <w:pPr>
              <w:pStyle w:val="TableText"/>
              <w:spacing w:before="50" w:after="50"/>
              <w:jc w:val="right"/>
            </w:pPr>
            <w:r w:rsidRPr="001D5327">
              <w:rPr>
                <w:rFonts w:eastAsia="Calibri"/>
              </w:rPr>
              <w:t>3.2</w:t>
            </w:r>
          </w:p>
        </w:tc>
      </w:tr>
      <w:tr w:rsidR="009327C0" w:rsidRPr="001D5327" w14:paraId="294B6186" w14:textId="77777777" w:rsidTr="00D11AC9">
        <w:tc>
          <w:tcPr>
            <w:tcW w:w="2253" w:type="pct"/>
            <w:shd w:val="clear" w:color="auto" w:fill="FFFFFF"/>
            <w:tcMar>
              <w:top w:w="0" w:type="dxa"/>
              <w:left w:w="85" w:type="dxa"/>
              <w:bottom w:w="0" w:type="dxa"/>
              <w:right w:w="85" w:type="dxa"/>
            </w:tcMar>
            <w:vAlign w:val="center"/>
          </w:tcPr>
          <w:p w14:paraId="45707720" w14:textId="77777777" w:rsidR="009327C0" w:rsidRPr="001D5327" w:rsidRDefault="009327C0" w:rsidP="00D11AC9">
            <w:pPr>
              <w:pStyle w:val="TableText"/>
              <w:spacing w:before="50" w:after="50"/>
            </w:pPr>
            <w:r w:rsidRPr="001D5327">
              <w:rPr>
                <w:rFonts w:eastAsia="Calibri"/>
              </w:rPr>
              <w:t>Other (2.H)</w:t>
            </w:r>
          </w:p>
        </w:tc>
        <w:tc>
          <w:tcPr>
            <w:tcW w:w="501" w:type="pct"/>
            <w:shd w:val="clear" w:color="auto" w:fill="FFFFFF"/>
            <w:tcMar>
              <w:top w:w="0" w:type="dxa"/>
              <w:left w:w="85" w:type="dxa"/>
              <w:bottom w:w="0" w:type="dxa"/>
              <w:right w:w="85" w:type="dxa"/>
            </w:tcMar>
            <w:vAlign w:val="center"/>
          </w:tcPr>
          <w:p w14:paraId="0696E138" w14:textId="77777777" w:rsidR="009327C0" w:rsidRPr="001D5327" w:rsidRDefault="009327C0" w:rsidP="00D11AC9">
            <w:pPr>
              <w:pStyle w:val="TableText"/>
              <w:spacing w:before="50" w:after="50"/>
              <w:jc w:val="right"/>
            </w:pPr>
            <w:r w:rsidRPr="001D5327">
              <w:rPr>
                <w:rFonts w:eastAsia="Calibri"/>
              </w:rPr>
              <w:t>12.5</w:t>
            </w:r>
          </w:p>
        </w:tc>
        <w:tc>
          <w:tcPr>
            <w:tcW w:w="417" w:type="pct"/>
            <w:shd w:val="clear" w:color="auto" w:fill="FFFFFF"/>
            <w:tcMar>
              <w:top w:w="0" w:type="dxa"/>
              <w:left w:w="85" w:type="dxa"/>
              <w:bottom w:w="0" w:type="dxa"/>
              <w:right w:w="85" w:type="dxa"/>
            </w:tcMar>
            <w:vAlign w:val="center"/>
          </w:tcPr>
          <w:p w14:paraId="654AC59B" w14:textId="77777777" w:rsidR="009327C0" w:rsidRPr="001D5327" w:rsidRDefault="009327C0" w:rsidP="00D11AC9">
            <w:pPr>
              <w:pStyle w:val="TableText"/>
              <w:spacing w:before="50" w:after="50"/>
              <w:jc w:val="right"/>
            </w:pPr>
            <w:r w:rsidRPr="001D5327">
              <w:rPr>
                <w:rFonts w:eastAsia="Calibri"/>
              </w:rPr>
              <w:t>36.9</w:t>
            </w:r>
          </w:p>
        </w:tc>
        <w:tc>
          <w:tcPr>
            <w:tcW w:w="585" w:type="pct"/>
            <w:shd w:val="clear" w:color="auto" w:fill="FFFFFF"/>
            <w:tcMar>
              <w:top w:w="0" w:type="dxa"/>
              <w:left w:w="85" w:type="dxa"/>
              <w:bottom w:w="0" w:type="dxa"/>
              <w:right w:w="85" w:type="dxa"/>
            </w:tcMar>
            <w:vAlign w:val="center"/>
          </w:tcPr>
          <w:p w14:paraId="008BC838" w14:textId="77777777" w:rsidR="009327C0" w:rsidRPr="001D5327" w:rsidRDefault="009327C0" w:rsidP="00D11AC9">
            <w:pPr>
              <w:pStyle w:val="TableText"/>
              <w:spacing w:before="50" w:after="50"/>
              <w:jc w:val="right"/>
            </w:pPr>
            <w:r w:rsidRPr="001D5327">
              <w:rPr>
                <w:rFonts w:eastAsia="Calibri"/>
              </w:rPr>
              <w:t>24.4</w:t>
            </w:r>
          </w:p>
        </w:tc>
        <w:tc>
          <w:tcPr>
            <w:tcW w:w="567" w:type="pct"/>
            <w:shd w:val="clear" w:color="auto" w:fill="FFFFFF"/>
            <w:tcMar>
              <w:top w:w="0" w:type="dxa"/>
              <w:left w:w="85" w:type="dxa"/>
              <w:bottom w:w="0" w:type="dxa"/>
              <w:right w:w="85" w:type="dxa"/>
            </w:tcMar>
            <w:vAlign w:val="center"/>
          </w:tcPr>
          <w:p w14:paraId="0D8CB7F5" w14:textId="77777777" w:rsidR="009327C0" w:rsidRPr="001D5327" w:rsidRDefault="009327C0" w:rsidP="00D11AC9">
            <w:pPr>
              <w:pStyle w:val="TableText"/>
              <w:spacing w:before="50" w:after="50"/>
              <w:jc w:val="right"/>
            </w:pPr>
            <w:r w:rsidRPr="001D5327">
              <w:rPr>
                <w:rFonts w:eastAsia="Calibri"/>
              </w:rPr>
              <w:t>195.5</w:t>
            </w:r>
          </w:p>
        </w:tc>
        <w:tc>
          <w:tcPr>
            <w:tcW w:w="339" w:type="pct"/>
            <w:shd w:val="clear" w:color="auto" w:fill="FFFFFF"/>
            <w:tcMar>
              <w:top w:w="0" w:type="dxa"/>
              <w:left w:w="85" w:type="dxa"/>
              <w:bottom w:w="0" w:type="dxa"/>
              <w:right w:w="85" w:type="dxa"/>
            </w:tcMar>
            <w:vAlign w:val="center"/>
          </w:tcPr>
          <w:p w14:paraId="6A79DA8A" w14:textId="77777777" w:rsidR="009327C0" w:rsidRPr="001D5327" w:rsidRDefault="009327C0" w:rsidP="00D11AC9">
            <w:pPr>
              <w:pStyle w:val="TableText"/>
              <w:spacing w:before="50" w:after="50"/>
              <w:jc w:val="right"/>
            </w:pPr>
            <w:r w:rsidRPr="001D5327">
              <w:rPr>
                <w:rFonts w:eastAsia="Calibri"/>
              </w:rPr>
              <w:t>0.4</w:t>
            </w:r>
          </w:p>
        </w:tc>
        <w:tc>
          <w:tcPr>
            <w:tcW w:w="338" w:type="pct"/>
            <w:shd w:val="clear" w:color="auto" w:fill="FFFFFF"/>
            <w:tcMar>
              <w:top w:w="0" w:type="dxa"/>
              <w:left w:w="85" w:type="dxa"/>
              <w:bottom w:w="0" w:type="dxa"/>
              <w:right w:w="85" w:type="dxa"/>
            </w:tcMar>
            <w:vAlign w:val="center"/>
          </w:tcPr>
          <w:p w14:paraId="5FC1CFBD" w14:textId="77777777" w:rsidR="009327C0" w:rsidRPr="001D5327" w:rsidRDefault="009327C0" w:rsidP="00D11AC9">
            <w:pPr>
              <w:pStyle w:val="TableText"/>
              <w:spacing w:before="50" w:after="50"/>
              <w:jc w:val="right"/>
            </w:pPr>
            <w:r w:rsidRPr="001D5327">
              <w:rPr>
                <w:rFonts w:eastAsia="Calibri"/>
              </w:rPr>
              <w:t>0.9</w:t>
            </w:r>
          </w:p>
        </w:tc>
      </w:tr>
      <w:tr w:rsidR="009327C0" w:rsidRPr="001D5327" w14:paraId="44521077" w14:textId="77777777" w:rsidTr="00D11AC9">
        <w:tc>
          <w:tcPr>
            <w:tcW w:w="2253" w:type="pct"/>
            <w:shd w:val="clear" w:color="auto" w:fill="FFFFFF"/>
            <w:tcMar>
              <w:top w:w="0" w:type="dxa"/>
              <w:left w:w="85" w:type="dxa"/>
              <w:bottom w:w="0" w:type="dxa"/>
              <w:right w:w="85" w:type="dxa"/>
            </w:tcMar>
            <w:vAlign w:val="center"/>
          </w:tcPr>
          <w:p w14:paraId="4BE91FAE" w14:textId="77777777" w:rsidR="009327C0" w:rsidRPr="001D5327" w:rsidRDefault="009327C0" w:rsidP="00D11AC9">
            <w:pPr>
              <w:pStyle w:val="Tableboldblue"/>
              <w:spacing w:before="50" w:after="50"/>
            </w:pPr>
            <w:r w:rsidRPr="001D5327">
              <w:rPr>
                <w:rFonts w:eastAsia="Calibri"/>
              </w:rPr>
              <w:t>Total</w:t>
            </w:r>
          </w:p>
        </w:tc>
        <w:tc>
          <w:tcPr>
            <w:tcW w:w="501" w:type="pct"/>
            <w:shd w:val="clear" w:color="auto" w:fill="FFFFFF"/>
            <w:tcMar>
              <w:top w:w="0" w:type="dxa"/>
              <w:left w:w="85" w:type="dxa"/>
              <w:bottom w:w="0" w:type="dxa"/>
              <w:right w:w="85" w:type="dxa"/>
            </w:tcMar>
            <w:vAlign w:val="center"/>
          </w:tcPr>
          <w:p w14:paraId="4971336C" w14:textId="77777777" w:rsidR="009327C0" w:rsidRPr="001D5327" w:rsidRDefault="009327C0" w:rsidP="00D11AC9">
            <w:pPr>
              <w:pStyle w:val="Tableboldblue"/>
              <w:spacing w:before="50" w:after="50"/>
              <w:jc w:val="right"/>
            </w:pPr>
            <w:r w:rsidRPr="001D5327">
              <w:rPr>
                <w:rFonts w:eastAsia="Calibri"/>
              </w:rPr>
              <w:t>3,483.1</w:t>
            </w:r>
          </w:p>
        </w:tc>
        <w:tc>
          <w:tcPr>
            <w:tcW w:w="417" w:type="pct"/>
            <w:shd w:val="clear" w:color="auto" w:fill="FFFFFF"/>
            <w:tcMar>
              <w:top w:w="0" w:type="dxa"/>
              <w:left w:w="85" w:type="dxa"/>
              <w:bottom w:w="0" w:type="dxa"/>
              <w:right w:w="85" w:type="dxa"/>
            </w:tcMar>
            <w:vAlign w:val="center"/>
          </w:tcPr>
          <w:p w14:paraId="16CE8E94" w14:textId="77777777" w:rsidR="009327C0" w:rsidRPr="001D5327" w:rsidRDefault="009327C0" w:rsidP="00D11AC9">
            <w:pPr>
              <w:pStyle w:val="Tableboldblue"/>
              <w:spacing w:before="50" w:after="50"/>
              <w:jc w:val="right"/>
            </w:pPr>
            <w:r w:rsidRPr="001D5327">
              <w:rPr>
                <w:rFonts w:eastAsia="Calibri"/>
              </w:rPr>
              <w:t>4,031.5</w:t>
            </w:r>
          </w:p>
        </w:tc>
        <w:tc>
          <w:tcPr>
            <w:tcW w:w="585" w:type="pct"/>
            <w:shd w:val="clear" w:color="auto" w:fill="FFFFFF"/>
            <w:tcMar>
              <w:top w:w="0" w:type="dxa"/>
              <w:left w:w="85" w:type="dxa"/>
              <w:bottom w:w="0" w:type="dxa"/>
              <w:right w:w="85" w:type="dxa"/>
            </w:tcMar>
            <w:vAlign w:val="center"/>
          </w:tcPr>
          <w:p w14:paraId="0D407D2A" w14:textId="77777777" w:rsidR="009327C0" w:rsidRPr="001D5327" w:rsidRDefault="009327C0" w:rsidP="00D11AC9">
            <w:pPr>
              <w:pStyle w:val="Tableboldblue"/>
              <w:spacing w:before="50" w:after="50"/>
              <w:jc w:val="right"/>
            </w:pPr>
            <w:r w:rsidRPr="001D5327">
              <w:rPr>
                <w:rFonts w:eastAsia="Calibri"/>
              </w:rPr>
              <w:t>548.4</w:t>
            </w:r>
          </w:p>
        </w:tc>
        <w:tc>
          <w:tcPr>
            <w:tcW w:w="567" w:type="pct"/>
            <w:shd w:val="clear" w:color="auto" w:fill="FFFFFF"/>
            <w:tcMar>
              <w:top w:w="0" w:type="dxa"/>
              <w:left w:w="85" w:type="dxa"/>
              <w:bottom w:w="0" w:type="dxa"/>
              <w:right w:w="85" w:type="dxa"/>
            </w:tcMar>
            <w:vAlign w:val="center"/>
          </w:tcPr>
          <w:p w14:paraId="7E0E6CFA" w14:textId="77777777" w:rsidR="009327C0" w:rsidRPr="001D5327" w:rsidRDefault="009327C0" w:rsidP="00D11AC9">
            <w:pPr>
              <w:pStyle w:val="Tableboldblue"/>
              <w:spacing w:before="50" w:after="50"/>
              <w:jc w:val="right"/>
            </w:pPr>
            <w:r w:rsidRPr="001D5327">
              <w:rPr>
                <w:rFonts w:eastAsia="Calibri"/>
              </w:rPr>
              <w:t>205.6</w:t>
            </w:r>
          </w:p>
        </w:tc>
        <w:tc>
          <w:tcPr>
            <w:tcW w:w="339" w:type="pct"/>
            <w:shd w:val="clear" w:color="auto" w:fill="FFFFFF"/>
            <w:tcMar>
              <w:top w:w="0" w:type="dxa"/>
              <w:left w:w="85" w:type="dxa"/>
              <w:bottom w:w="0" w:type="dxa"/>
              <w:right w:w="85" w:type="dxa"/>
            </w:tcMar>
            <w:vAlign w:val="center"/>
          </w:tcPr>
          <w:p w14:paraId="0A779FEB" w14:textId="23889831" w:rsidR="009327C0" w:rsidRPr="001D5327" w:rsidRDefault="003C45F8" w:rsidP="00D11AC9">
            <w:pPr>
              <w:pStyle w:val="Tableboldblue"/>
              <w:spacing w:before="50" w:after="50"/>
              <w:jc w:val="right"/>
            </w:pPr>
            <w:r>
              <w:rPr>
                <w:rFonts w:eastAsia="Calibri"/>
              </w:rPr>
              <w:t>-</w:t>
            </w:r>
          </w:p>
        </w:tc>
        <w:tc>
          <w:tcPr>
            <w:tcW w:w="338" w:type="pct"/>
            <w:shd w:val="clear" w:color="auto" w:fill="FFFFFF"/>
            <w:tcMar>
              <w:top w:w="0" w:type="dxa"/>
              <w:left w:w="85" w:type="dxa"/>
              <w:bottom w:w="0" w:type="dxa"/>
              <w:right w:w="85" w:type="dxa"/>
            </w:tcMar>
            <w:vAlign w:val="center"/>
          </w:tcPr>
          <w:p w14:paraId="2A3EBFD5" w14:textId="13CEB191" w:rsidR="009327C0" w:rsidRPr="001D5327" w:rsidRDefault="003C45F8" w:rsidP="00D11AC9">
            <w:pPr>
              <w:pStyle w:val="Tableboldblue"/>
              <w:spacing w:before="50" w:after="50"/>
              <w:jc w:val="right"/>
            </w:pPr>
            <w:r>
              <w:rPr>
                <w:rFonts w:eastAsia="Calibri"/>
              </w:rPr>
              <w:t>-</w:t>
            </w:r>
          </w:p>
        </w:tc>
      </w:tr>
    </w:tbl>
    <w:p w14:paraId="1B4E8704" w14:textId="77777777" w:rsidR="009327C0" w:rsidRPr="001D5327" w:rsidRDefault="009327C0" w:rsidP="009327C0">
      <w:pPr>
        <w:pStyle w:val="Noteundertable"/>
      </w:pPr>
      <w:r w:rsidRPr="001D5327">
        <w:rPr>
          <w:b/>
          <w:bCs/>
        </w:rPr>
        <w:t>Note:</w:t>
      </w:r>
      <w:r w:rsidRPr="001D5327">
        <w:t xml:space="preserve"> Columns may not sum to total due to rounding.</w:t>
      </w:r>
    </w:p>
    <w:p w14:paraId="2E9E5981" w14:textId="77777777" w:rsidR="009327C0" w:rsidRPr="001D5327" w:rsidRDefault="009327C0" w:rsidP="009327C0">
      <w:pPr>
        <w:pStyle w:val="Figure"/>
      </w:pPr>
      <w:bookmarkStart w:id="410" w:name="_Toc194674850"/>
      <w:r w:rsidRPr="001D5327">
        <w:t xml:space="preserve">Figure 4.1.1 </w:t>
      </w:r>
      <w:r w:rsidRPr="001D5327">
        <w:tab/>
        <w:t xml:space="preserve">New Zealand’s annual emissions from the IPPU sector, from </w:t>
      </w:r>
      <w:r w:rsidRPr="001D5327">
        <w:rPr>
          <w:bCs/>
        </w:rPr>
        <w:t>1990</w:t>
      </w:r>
      <w:r w:rsidRPr="001D5327">
        <w:t> to </w:t>
      </w:r>
      <w:r w:rsidRPr="001D5327">
        <w:rPr>
          <w:bCs/>
        </w:rPr>
        <w:t>2023</w:t>
      </w:r>
      <w:bookmarkEnd w:id="410"/>
    </w:p>
    <w:p w14:paraId="0BDC746C" w14:textId="77777777" w:rsidR="009327C0" w:rsidRPr="001D5327" w:rsidRDefault="009327C0" w:rsidP="009327C0">
      <w:pPr>
        <w:pStyle w:val="BodyText"/>
      </w:pPr>
      <w:r w:rsidRPr="001D5327">
        <w:rPr>
          <w:noProof/>
        </w:rPr>
        <w:drawing>
          <wp:inline distT="0" distB="0" distL="0" distR="0" wp14:anchorId="0C66CC28" wp14:editId="5EB2E289">
            <wp:extent cx="5397500" cy="4048125"/>
            <wp:effectExtent l="0" t="0" r="0" b="0"/>
            <wp:docPr id="24" name="Picture"/>
            <wp:cNvGraphicFramePr/>
            <a:graphic xmlns:a="http://schemas.openxmlformats.org/drawingml/2006/main">
              <a:graphicData uri="http://schemas.openxmlformats.org/drawingml/2006/picture">
                <pic:pic xmlns:pic="http://schemas.openxmlformats.org/drawingml/2006/picture">
                  <pic:nvPicPr>
                    <pic:cNvPr id="25" name="Picture" descr="code/graphs/images/fig_2_2_8_crf_s.png"/>
                    <pic:cNvPicPr>
                      <a:picLocks noChangeAspect="1" noChangeArrowheads="1"/>
                    </pic:cNvPicPr>
                  </pic:nvPicPr>
                  <pic:blipFill>
                    <a:blip r:embed="rId45"/>
                    <a:stretch>
                      <a:fillRect/>
                    </a:stretch>
                  </pic:blipFill>
                  <pic:spPr bwMode="auto">
                    <a:xfrm>
                      <a:off x="0" y="0"/>
                      <a:ext cx="5397500" cy="4048125"/>
                    </a:xfrm>
                    <a:prstGeom prst="rect">
                      <a:avLst/>
                    </a:prstGeom>
                    <a:noFill/>
                    <a:ln w="9525">
                      <a:noFill/>
                      <a:headEnd/>
                      <a:tailEnd/>
                    </a:ln>
                  </pic:spPr>
                </pic:pic>
              </a:graphicData>
            </a:graphic>
          </wp:inline>
        </w:drawing>
      </w:r>
    </w:p>
    <w:p w14:paraId="236AFC72" w14:textId="77777777" w:rsidR="009327C0" w:rsidRPr="001D5327" w:rsidRDefault="009327C0" w:rsidP="009327C0">
      <w:pPr>
        <w:pStyle w:val="BodyText"/>
      </w:pPr>
    </w:p>
    <w:p w14:paraId="5A637781" w14:textId="77777777" w:rsidR="009327C0" w:rsidRPr="001D5327" w:rsidRDefault="009327C0" w:rsidP="009327C0">
      <w:pPr>
        <w:pStyle w:val="Figure"/>
      </w:pPr>
      <w:bookmarkStart w:id="411" w:name="_Toc194674851"/>
      <w:r w:rsidRPr="001D5327">
        <w:lastRenderedPageBreak/>
        <w:t xml:space="preserve">Figure 4.1.2 </w:t>
      </w:r>
      <w:r w:rsidRPr="001D5327">
        <w:tab/>
        <w:t xml:space="preserve">New Zealand’s emissions from the IPPU sector in </w:t>
      </w:r>
      <w:r w:rsidRPr="001D5327">
        <w:rPr>
          <w:bCs/>
        </w:rPr>
        <w:t>1990</w:t>
      </w:r>
      <w:r w:rsidRPr="001D5327">
        <w:t> and </w:t>
      </w:r>
      <w:r w:rsidRPr="001D5327">
        <w:rPr>
          <w:bCs/>
        </w:rPr>
        <w:t>2023</w:t>
      </w:r>
      <w:bookmarkEnd w:id="411"/>
    </w:p>
    <w:p w14:paraId="34EC84C1" w14:textId="77777777" w:rsidR="009327C0" w:rsidRPr="001D5327" w:rsidRDefault="009327C0" w:rsidP="009327C0">
      <w:pPr>
        <w:pStyle w:val="BodyText"/>
      </w:pPr>
      <w:r w:rsidRPr="001D5327">
        <w:rPr>
          <w:noProof/>
        </w:rPr>
        <w:drawing>
          <wp:inline distT="0" distB="0" distL="0" distR="0" wp14:anchorId="0FA990F7" wp14:editId="772B1C7C">
            <wp:extent cx="5375082" cy="3904090"/>
            <wp:effectExtent l="0" t="0" r="0" b="1270"/>
            <wp:docPr id="1127153098" name="Picture" descr="A graph of different colored squar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7" name="Picture" descr="A graph of different colored squares&#10;&#10;Description automatically generated with medium confidence"/>
                    <pic:cNvPicPr>
                      <a:picLocks noChangeAspect="1" noChangeArrowheads="1"/>
                    </pic:cNvPicPr>
                  </pic:nvPicPr>
                  <pic:blipFill rotWithShape="1">
                    <a:blip r:embed="rId84"/>
                    <a:srcRect b="1790"/>
                    <a:stretch/>
                  </pic:blipFill>
                  <pic:spPr bwMode="auto">
                    <a:xfrm>
                      <a:off x="0" y="0"/>
                      <a:ext cx="5377479" cy="3905831"/>
                    </a:xfrm>
                    <a:prstGeom prst="rect">
                      <a:avLst/>
                    </a:prstGeom>
                    <a:noFill/>
                    <a:ln>
                      <a:noFill/>
                    </a:ln>
                    <a:extLst>
                      <a:ext uri="{53640926-AAD7-44D8-BBD7-CCE9431645EC}">
                        <a14:shadowObscured xmlns:a14="http://schemas.microsoft.com/office/drawing/2010/main"/>
                      </a:ext>
                    </a:extLst>
                  </pic:spPr>
                </pic:pic>
              </a:graphicData>
            </a:graphic>
          </wp:inline>
        </w:drawing>
      </w:r>
    </w:p>
    <w:p w14:paraId="70ADA160" w14:textId="77777777" w:rsidR="009327C0" w:rsidRPr="001D5327" w:rsidRDefault="009327C0" w:rsidP="009327C0">
      <w:pPr>
        <w:pStyle w:val="Noteundertable"/>
        <w:spacing w:before="0"/>
      </w:pPr>
      <w:r w:rsidRPr="001D5327">
        <w:rPr>
          <w:b/>
          <w:bCs/>
        </w:rPr>
        <w:t>Note:</w:t>
      </w:r>
      <w:r w:rsidRPr="001D5327">
        <w:t xml:space="preserve"> Emissions from the </w:t>
      </w:r>
      <w:r w:rsidRPr="001D5327">
        <w:rPr>
          <w:i/>
          <w:iCs/>
        </w:rPr>
        <w:t>Electronics industry</w:t>
      </w:r>
      <w:r w:rsidRPr="001D5327">
        <w:t xml:space="preserve"> are not occurring (NO).</w:t>
      </w:r>
    </w:p>
    <w:p w14:paraId="5014C1BB" w14:textId="77777777" w:rsidR="009327C0" w:rsidRPr="001D5327" w:rsidRDefault="009327C0" w:rsidP="009327C0">
      <w:pPr>
        <w:pStyle w:val="Heading3"/>
      </w:pPr>
      <w:bookmarkStart w:id="412" w:name="key-categories-for-ippu-sector-emissions"/>
      <w:bookmarkEnd w:id="405"/>
      <w:bookmarkEnd w:id="408"/>
      <w:r w:rsidRPr="001D5327">
        <w:t xml:space="preserve">4.1.3 </w:t>
      </w:r>
      <w:r w:rsidRPr="001D5327">
        <w:tab/>
        <w:t>Key categories for IPPU sector emissions</w:t>
      </w:r>
    </w:p>
    <w:p w14:paraId="47590577" w14:textId="77777777" w:rsidR="009327C0" w:rsidRPr="001D5327" w:rsidRDefault="009327C0" w:rsidP="009327C0">
      <w:pPr>
        <w:pStyle w:val="BodyText"/>
      </w:pPr>
      <w:r w:rsidRPr="001D5327">
        <w:t>Details of New Zealand’s key category analysis are given in chapter 1, section 1.4. The key categories in the IPPU sector are listed in table 4.1.2.</w:t>
      </w:r>
    </w:p>
    <w:p w14:paraId="3D337A9A" w14:textId="77777777" w:rsidR="009327C0" w:rsidRPr="001D5327" w:rsidRDefault="009327C0" w:rsidP="009327C0">
      <w:pPr>
        <w:pStyle w:val="Table"/>
      </w:pPr>
      <w:bookmarkStart w:id="413" w:name="_Toc194241682"/>
      <w:r w:rsidRPr="001D5327">
        <w:t xml:space="preserve">Table 4.1.2 </w:t>
      </w:r>
      <w:r w:rsidRPr="001D5327">
        <w:tab/>
        <w:t>Key categories in the IPPU sector</w:t>
      </w:r>
      <w:bookmarkEnd w:id="413"/>
    </w:p>
    <w:tbl>
      <w:tblPr>
        <w:tblW w:w="8494" w:type="dxa"/>
        <w:tblBorders>
          <w:top w:val="single" w:sz="4" w:space="0" w:color="1B556B"/>
          <w:bottom w:val="single" w:sz="4" w:space="0" w:color="1B556B"/>
          <w:insideH w:val="single" w:sz="4" w:space="0" w:color="1B556B"/>
        </w:tblBorders>
        <w:tblLayout w:type="fixed"/>
        <w:tblCellMar>
          <w:left w:w="85" w:type="dxa"/>
          <w:right w:w="85" w:type="dxa"/>
        </w:tblCellMar>
        <w:tblLook w:val="0420" w:firstRow="1" w:lastRow="0" w:firstColumn="0" w:lastColumn="0" w:noHBand="0" w:noVBand="1"/>
      </w:tblPr>
      <w:tblGrid>
        <w:gridCol w:w="1411"/>
        <w:gridCol w:w="4729"/>
        <w:gridCol w:w="522"/>
        <w:gridCol w:w="1832"/>
      </w:tblGrid>
      <w:tr w:rsidR="009327C0" w:rsidRPr="001D5327" w14:paraId="5129A97F" w14:textId="77777777" w:rsidTr="00D11AC9">
        <w:trPr>
          <w:tblHeader/>
        </w:trPr>
        <w:tc>
          <w:tcPr>
            <w:tcW w:w="1411" w:type="dxa"/>
            <w:shd w:val="clear" w:color="auto" w:fill="1B556B"/>
            <w:tcMar>
              <w:top w:w="0" w:type="dxa"/>
              <w:left w:w="85" w:type="dxa"/>
              <w:bottom w:w="0" w:type="dxa"/>
              <w:right w:w="85" w:type="dxa"/>
            </w:tcMar>
            <w:vAlign w:val="center"/>
          </w:tcPr>
          <w:p w14:paraId="7AF32DA6" w14:textId="77777777" w:rsidR="009327C0" w:rsidRPr="001D5327" w:rsidRDefault="009327C0" w:rsidP="00D11AC9">
            <w:pPr>
              <w:pStyle w:val="TableTextBold"/>
              <w:spacing w:before="40" w:after="40"/>
              <w:rPr>
                <w:noProof w:val="0"/>
                <w:color w:val="FFFFFF" w:themeColor="background1"/>
              </w:rPr>
            </w:pPr>
            <w:r w:rsidRPr="001D5327">
              <w:rPr>
                <w:rFonts w:eastAsia="Calibri"/>
                <w:noProof w:val="0"/>
                <w:color w:val="FFFFFF" w:themeColor="background1"/>
              </w:rPr>
              <w:t>CRT category code</w:t>
            </w:r>
          </w:p>
        </w:tc>
        <w:tc>
          <w:tcPr>
            <w:tcW w:w="4729" w:type="dxa"/>
            <w:shd w:val="clear" w:color="auto" w:fill="1B556B"/>
            <w:tcMar>
              <w:top w:w="0" w:type="dxa"/>
              <w:left w:w="85" w:type="dxa"/>
              <w:bottom w:w="0" w:type="dxa"/>
              <w:right w:w="85" w:type="dxa"/>
            </w:tcMar>
            <w:vAlign w:val="center"/>
          </w:tcPr>
          <w:p w14:paraId="5E2B32FD" w14:textId="77777777" w:rsidR="009327C0" w:rsidRPr="001D5327" w:rsidRDefault="009327C0" w:rsidP="00D11AC9">
            <w:pPr>
              <w:pStyle w:val="TableTextBold"/>
              <w:spacing w:before="40" w:after="40"/>
              <w:rPr>
                <w:noProof w:val="0"/>
                <w:color w:val="FFFFFF" w:themeColor="background1"/>
              </w:rPr>
            </w:pPr>
            <w:r w:rsidRPr="001D5327">
              <w:rPr>
                <w:rFonts w:eastAsia="Calibri"/>
                <w:noProof w:val="0"/>
                <w:color w:val="FFFFFF" w:themeColor="background1"/>
              </w:rPr>
              <w:t>IPCC categories</w:t>
            </w:r>
          </w:p>
        </w:tc>
        <w:tc>
          <w:tcPr>
            <w:tcW w:w="522" w:type="dxa"/>
            <w:shd w:val="clear" w:color="auto" w:fill="1B556B"/>
            <w:tcMar>
              <w:top w:w="0" w:type="dxa"/>
              <w:left w:w="85" w:type="dxa"/>
              <w:bottom w:w="0" w:type="dxa"/>
              <w:right w:w="85" w:type="dxa"/>
            </w:tcMar>
            <w:vAlign w:val="center"/>
          </w:tcPr>
          <w:p w14:paraId="3A4FED27" w14:textId="77777777" w:rsidR="009327C0" w:rsidRPr="001D5327" w:rsidRDefault="009327C0" w:rsidP="00D11AC9">
            <w:pPr>
              <w:pStyle w:val="TableTextBold"/>
              <w:spacing w:before="40" w:after="40"/>
              <w:rPr>
                <w:noProof w:val="0"/>
                <w:color w:val="FFFFFF" w:themeColor="background1"/>
              </w:rPr>
            </w:pPr>
            <w:r w:rsidRPr="001D5327">
              <w:rPr>
                <w:rFonts w:eastAsia="Calibri"/>
                <w:noProof w:val="0"/>
                <w:color w:val="FFFFFF" w:themeColor="background1"/>
              </w:rPr>
              <w:t>Gas</w:t>
            </w:r>
          </w:p>
        </w:tc>
        <w:tc>
          <w:tcPr>
            <w:tcW w:w="1832" w:type="dxa"/>
            <w:shd w:val="clear" w:color="auto" w:fill="1B556B"/>
            <w:tcMar>
              <w:top w:w="0" w:type="dxa"/>
              <w:left w:w="85" w:type="dxa"/>
              <w:bottom w:w="0" w:type="dxa"/>
              <w:right w:w="85" w:type="dxa"/>
            </w:tcMar>
            <w:vAlign w:val="center"/>
          </w:tcPr>
          <w:p w14:paraId="2749B175" w14:textId="77777777" w:rsidR="009327C0" w:rsidRPr="001D5327" w:rsidRDefault="009327C0" w:rsidP="00D11AC9">
            <w:pPr>
              <w:pStyle w:val="TableTextBold"/>
              <w:spacing w:before="40" w:after="40"/>
              <w:rPr>
                <w:noProof w:val="0"/>
                <w:color w:val="FFFFFF" w:themeColor="background1"/>
              </w:rPr>
            </w:pPr>
            <w:r w:rsidRPr="001D5327">
              <w:rPr>
                <w:rFonts w:eastAsia="Calibri"/>
                <w:noProof w:val="0"/>
                <w:color w:val="FFFFFF" w:themeColor="background1"/>
              </w:rPr>
              <w:t>Criteria for identification</w:t>
            </w:r>
          </w:p>
        </w:tc>
      </w:tr>
      <w:tr w:rsidR="009327C0" w:rsidRPr="001D5327" w14:paraId="145F86C6" w14:textId="77777777" w:rsidTr="00D11AC9">
        <w:tc>
          <w:tcPr>
            <w:tcW w:w="1411" w:type="dxa"/>
            <w:shd w:val="clear" w:color="auto" w:fill="FFFFFF"/>
            <w:tcMar>
              <w:top w:w="0" w:type="dxa"/>
              <w:left w:w="85" w:type="dxa"/>
              <w:bottom w:w="0" w:type="dxa"/>
              <w:right w:w="85" w:type="dxa"/>
            </w:tcMar>
          </w:tcPr>
          <w:p w14:paraId="46585EBA" w14:textId="77777777" w:rsidR="009327C0" w:rsidRPr="001D5327" w:rsidRDefault="009327C0" w:rsidP="00D11AC9">
            <w:pPr>
              <w:pStyle w:val="TableText"/>
              <w:spacing w:before="40" w:after="40"/>
            </w:pPr>
            <w:r w:rsidRPr="001D5327">
              <w:t>2.A.1.</w:t>
            </w:r>
          </w:p>
        </w:tc>
        <w:tc>
          <w:tcPr>
            <w:tcW w:w="4729" w:type="dxa"/>
            <w:shd w:val="clear" w:color="auto" w:fill="FFFFFF"/>
            <w:tcMar>
              <w:top w:w="0" w:type="dxa"/>
              <w:left w:w="85" w:type="dxa"/>
              <w:bottom w:w="0" w:type="dxa"/>
              <w:right w:w="85" w:type="dxa"/>
            </w:tcMar>
          </w:tcPr>
          <w:p w14:paraId="4736ED7F" w14:textId="77777777" w:rsidR="009327C0" w:rsidRPr="001D5327" w:rsidRDefault="009327C0" w:rsidP="00D11AC9">
            <w:pPr>
              <w:pStyle w:val="TableText"/>
              <w:spacing w:before="40" w:after="40"/>
            </w:pPr>
            <w:r w:rsidRPr="001D5327">
              <w:t>Mineral industry – Cement production</w:t>
            </w:r>
          </w:p>
        </w:tc>
        <w:tc>
          <w:tcPr>
            <w:tcW w:w="522" w:type="dxa"/>
            <w:shd w:val="clear" w:color="auto" w:fill="FFFFFF"/>
            <w:tcMar>
              <w:top w:w="0" w:type="dxa"/>
              <w:left w:w="85" w:type="dxa"/>
              <w:bottom w:w="0" w:type="dxa"/>
              <w:right w:w="85" w:type="dxa"/>
            </w:tcMar>
          </w:tcPr>
          <w:p w14:paraId="2141F881" w14:textId="77777777" w:rsidR="009327C0" w:rsidRPr="001D5327" w:rsidRDefault="009327C0" w:rsidP="00D11AC9">
            <w:pPr>
              <w:pStyle w:val="TableText"/>
              <w:spacing w:before="40" w:after="40"/>
            </w:pPr>
            <w:r w:rsidRPr="001D5327">
              <w:t>CO</w:t>
            </w:r>
            <w:r w:rsidRPr="001D5327">
              <w:rPr>
                <w:vertAlign w:val="subscript"/>
              </w:rPr>
              <w:t>2</w:t>
            </w:r>
          </w:p>
        </w:tc>
        <w:tc>
          <w:tcPr>
            <w:tcW w:w="1832" w:type="dxa"/>
            <w:shd w:val="clear" w:color="auto" w:fill="FFFFFF"/>
            <w:tcMar>
              <w:top w:w="0" w:type="dxa"/>
              <w:left w:w="85" w:type="dxa"/>
              <w:bottom w:w="0" w:type="dxa"/>
              <w:right w:w="85" w:type="dxa"/>
            </w:tcMar>
          </w:tcPr>
          <w:p w14:paraId="7AE73EC2" w14:textId="77777777" w:rsidR="009327C0" w:rsidRPr="001D5327" w:rsidRDefault="009327C0" w:rsidP="00D11AC9">
            <w:pPr>
              <w:pStyle w:val="TableText"/>
              <w:spacing w:before="40" w:after="40"/>
            </w:pPr>
            <w:r w:rsidRPr="001D5327">
              <w:t>L1, T1</w:t>
            </w:r>
          </w:p>
        </w:tc>
      </w:tr>
      <w:tr w:rsidR="009327C0" w:rsidRPr="001D5327" w14:paraId="4AC79F73" w14:textId="77777777" w:rsidTr="00D11AC9">
        <w:tc>
          <w:tcPr>
            <w:tcW w:w="1411" w:type="dxa"/>
            <w:shd w:val="clear" w:color="auto" w:fill="FFFFFF"/>
            <w:tcMar>
              <w:top w:w="0" w:type="dxa"/>
              <w:left w:w="85" w:type="dxa"/>
              <w:bottom w:w="0" w:type="dxa"/>
              <w:right w:w="85" w:type="dxa"/>
            </w:tcMar>
          </w:tcPr>
          <w:p w14:paraId="2FC21BCB" w14:textId="77777777" w:rsidR="009327C0" w:rsidRPr="001D5327" w:rsidRDefault="009327C0" w:rsidP="00D11AC9">
            <w:pPr>
              <w:pStyle w:val="TableText"/>
              <w:spacing w:before="40" w:after="40"/>
            </w:pPr>
            <w:r w:rsidRPr="001D5327">
              <w:t>2.B.10.</w:t>
            </w:r>
          </w:p>
        </w:tc>
        <w:tc>
          <w:tcPr>
            <w:tcW w:w="4729" w:type="dxa"/>
            <w:shd w:val="clear" w:color="auto" w:fill="FFFFFF"/>
            <w:tcMar>
              <w:top w:w="0" w:type="dxa"/>
              <w:left w:w="85" w:type="dxa"/>
              <w:bottom w:w="0" w:type="dxa"/>
              <w:right w:w="85" w:type="dxa"/>
            </w:tcMar>
          </w:tcPr>
          <w:p w14:paraId="44B1079F" w14:textId="77777777" w:rsidR="009327C0" w:rsidRPr="001D5327" w:rsidRDefault="009327C0" w:rsidP="00D11AC9">
            <w:pPr>
              <w:pStyle w:val="TableText"/>
              <w:spacing w:before="40" w:after="40"/>
            </w:pPr>
            <w:r w:rsidRPr="001D5327">
              <w:t>Chemical industry – Other</w:t>
            </w:r>
          </w:p>
        </w:tc>
        <w:tc>
          <w:tcPr>
            <w:tcW w:w="522" w:type="dxa"/>
            <w:shd w:val="clear" w:color="auto" w:fill="FFFFFF"/>
            <w:tcMar>
              <w:top w:w="0" w:type="dxa"/>
              <w:left w:w="85" w:type="dxa"/>
              <w:bottom w:w="0" w:type="dxa"/>
              <w:right w:w="85" w:type="dxa"/>
            </w:tcMar>
          </w:tcPr>
          <w:p w14:paraId="567E4689" w14:textId="77777777" w:rsidR="009327C0" w:rsidRPr="001D5327" w:rsidRDefault="009327C0" w:rsidP="00D11AC9">
            <w:pPr>
              <w:pStyle w:val="TableText"/>
              <w:spacing w:before="40" w:after="40"/>
            </w:pPr>
            <w:r w:rsidRPr="001D5327">
              <w:t>CO</w:t>
            </w:r>
            <w:r w:rsidRPr="001D5327">
              <w:rPr>
                <w:vertAlign w:val="subscript"/>
              </w:rPr>
              <w:t>2</w:t>
            </w:r>
          </w:p>
        </w:tc>
        <w:tc>
          <w:tcPr>
            <w:tcW w:w="1832" w:type="dxa"/>
            <w:shd w:val="clear" w:color="auto" w:fill="FFFFFF"/>
            <w:tcMar>
              <w:top w:w="0" w:type="dxa"/>
              <w:left w:w="85" w:type="dxa"/>
              <w:bottom w:w="0" w:type="dxa"/>
              <w:right w:w="85" w:type="dxa"/>
            </w:tcMar>
          </w:tcPr>
          <w:p w14:paraId="4564E590" w14:textId="77777777" w:rsidR="009327C0" w:rsidRPr="001D5327" w:rsidRDefault="009327C0" w:rsidP="00D11AC9">
            <w:pPr>
              <w:pStyle w:val="TableText"/>
              <w:spacing w:before="40" w:after="40"/>
            </w:pPr>
            <w:r w:rsidRPr="001D5327">
              <w:t>T1</w:t>
            </w:r>
          </w:p>
        </w:tc>
      </w:tr>
      <w:tr w:rsidR="009327C0" w:rsidRPr="001D5327" w14:paraId="6625FBBC" w14:textId="77777777" w:rsidTr="00D11AC9">
        <w:tc>
          <w:tcPr>
            <w:tcW w:w="1411" w:type="dxa"/>
            <w:shd w:val="clear" w:color="auto" w:fill="FFFFFF"/>
            <w:tcMar>
              <w:top w:w="0" w:type="dxa"/>
              <w:left w:w="85" w:type="dxa"/>
              <w:bottom w:w="0" w:type="dxa"/>
              <w:right w:w="85" w:type="dxa"/>
            </w:tcMar>
          </w:tcPr>
          <w:p w14:paraId="673CEC52" w14:textId="77777777" w:rsidR="009327C0" w:rsidRPr="001D5327" w:rsidRDefault="009327C0" w:rsidP="00D11AC9">
            <w:pPr>
              <w:pStyle w:val="TableText"/>
              <w:spacing w:before="40" w:after="40"/>
            </w:pPr>
            <w:r w:rsidRPr="001D5327">
              <w:t>2.C.1.</w:t>
            </w:r>
          </w:p>
        </w:tc>
        <w:tc>
          <w:tcPr>
            <w:tcW w:w="4729" w:type="dxa"/>
            <w:shd w:val="clear" w:color="auto" w:fill="FFFFFF"/>
            <w:tcMar>
              <w:top w:w="0" w:type="dxa"/>
              <w:left w:w="85" w:type="dxa"/>
              <w:bottom w:w="0" w:type="dxa"/>
              <w:right w:w="85" w:type="dxa"/>
            </w:tcMar>
          </w:tcPr>
          <w:p w14:paraId="2742F50F" w14:textId="77777777" w:rsidR="009327C0" w:rsidRPr="001D5327" w:rsidRDefault="009327C0" w:rsidP="00D11AC9">
            <w:pPr>
              <w:pStyle w:val="TableText"/>
              <w:spacing w:before="40" w:after="40"/>
            </w:pPr>
            <w:r w:rsidRPr="001D5327">
              <w:t>Metal industry – Iron and steel production</w:t>
            </w:r>
          </w:p>
        </w:tc>
        <w:tc>
          <w:tcPr>
            <w:tcW w:w="522" w:type="dxa"/>
            <w:shd w:val="clear" w:color="auto" w:fill="FFFFFF"/>
            <w:tcMar>
              <w:top w:w="0" w:type="dxa"/>
              <w:left w:w="85" w:type="dxa"/>
              <w:bottom w:w="0" w:type="dxa"/>
              <w:right w:w="85" w:type="dxa"/>
            </w:tcMar>
          </w:tcPr>
          <w:p w14:paraId="4EC0102C" w14:textId="77777777" w:rsidR="009327C0" w:rsidRPr="001D5327" w:rsidRDefault="009327C0" w:rsidP="00D11AC9">
            <w:pPr>
              <w:pStyle w:val="TableText"/>
              <w:spacing w:before="40" w:after="40"/>
            </w:pPr>
            <w:r w:rsidRPr="001D5327">
              <w:t>CO</w:t>
            </w:r>
            <w:r w:rsidRPr="001D5327">
              <w:rPr>
                <w:vertAlign w:val="subscript"/>
              </w:rPr>
              <w:t>2</w:t>
            </w:r>
          </w:p>
        </w:tc>
        <w:tc>
          <w:tcPr>
            <w:tcW w:w="1832" w:type="dxa"/>
            <w:shd w:val="clear" w:color="auto" w:fill="FFFFFF"/>
            <w:tcMar>
              <w:top w:w="0" w:type="dxa"/>
              <w:left w:w="85" w:type="dxa"/>
              <w:bottom w:w="0" w:type="dxa"/>
              <w:right w:w="85" w:type="dxa"/>
            </w:tcMar>
          </w:tcPr>
          <w:p w14:paraId="39394C04" w14:textId="77777777" w:rsidR="009327C0" w:rsidRPr="001D5327" w:rsidRDefault="009327C0" w:rsidP="00D11AC9">
            <w:pPr>
              <w:pStyle w:val="TableText"/>
              <w:spacing w:before="40" w:after="40"/>
            </w:pPr>
            <w:r w:rsidRPr="001D5327">
              <w:t>L1, T1</w:t>
            </w:r>
          </w:p>
        </w:tc>
      </w:tr>
      <w:tr w:rsidR="009327C0" w:rsidRPr="001D5327" w14:paraId="018AFADD" w14:textId="77777777" w:rsidTr="00D11AC9">
        <w:tc>
          <w:tcPr>
            <w:tcW w:w="1411" w:type="dxa"/>
            <w:shd w:val="clear" w:color="auto" w:fill="FFFFFF"/>
            <w:tcMar>
              <w:top w:w="0" w:type="dxa"/>
              <w:left w:w="85" w:type="dxa"/>
              <w:bottom w:w="0" w:type="dxa"/>
              <w:right w:w="85" w:type="dxa"/>
            </w:tcMar>
          </w:tcPr>
          <w:p w14:paraId="5A3743AC" w14:textId="77777777" w:rsidR="009327C0" w:rsidRPr="001D5327" w:rsidRDefault="009327C0" w:rsidP="00D11AC9">
            <w:pPr>
              <w:pStyle w:val="TableText"/>
              <w:spacing w:before="40" w:after="40"/>
            </w:pPr>
            <w:r w:rsidRPr="001D5327">
              <w:t>2.C.3.</w:t>
            </w:r>
          </w:p>
        </w:tc>
        <w:tc>
          <w:tcPr>
            <w:tcW w:w="4729" w:type="dxa"/>
            <w:shd w:val="clear" w:color="auto" w:fill="FFFFFF"/>
            <w:tcMar>
              <w:top w:w="0" w:type="dxa"/>
              <w:left w:w="85" w:type="dxa"/>
              <w:bottom w:w="0" w:type="dxa"/>
              <w:right w:w="85" w:type="dxa"/>
            </w:tcMar>
          </w:tcPr>
          <w:p w14:paraId="152BF84D" w14:textId="77777777" w:rsidR="009327C0" w:rsidRPr="001D5327" w:rsidRDefault="009327C0" w:rsidP="00D11AC9">
            <w:pPr>
              <w:pStyle w:val="TableText"/>
              <w:spacing w:before="40" w:after="40"/>
            </w:pPr>
            <w:r w:rsidRPr="001D5327">
              <w:t>Metal industry – Aluminium production</w:t>
            </w:r>
          </w:p>
        </w:tc>
        <w:tc>
          <w:tcPr>
            <w:tcW w:w="522" w:type="dxa"/>
            <w:shd w:val="clear" w:color="auto" w:fill="FFFFFF"/>
            <w:tcMar>
              <w:top w:w="0" w:type="dxa"/>
              <w:left w:w="85" w:type="dxa"/>
              <w:bottom w:w="0" w:type="dxa"/>
              <w:right w:w="85" w:type="dxa"/>
            </w:tcMar>
          </w:tcPr>
          <w:p w14:paraId="52E15B24" w14:textId="77777777" w:rsidR="009327C0" w:rsidRPr="001D5327" w:rsidRDefault="009327C0" w:rsidP="00D11AC9">
            <w:pPr>
              <w:pStyle w:val="TableText"/>
              <w:spacing w:before="40" w:after="40"/>
            </w:pPr>
            <w:r w:rsidRPr="001D5327">
              <w:t>CO</w:t>
            </w:r>
            <w:r w:rsidRPr="001D5327">
              <w:rPr>
                <w:vertAlign w:val="subscript"/>
              </w:rPr>
              <w:t>2</w:t>
            </w:r>
          </w:p>
        </w:tc>
        <w:tc>
          <w:tcPr>
            <w:tcW w:w="1832" w:type="dxa"/>
            <w:shd w:val="clear" w:color="auto" w:fill="FFFFFF"/>
            <w:tcMar>
              <w:top w:w="0" w:type="dxa"/>
              <w:left w:w="85" w:type="dxa"/>
              <w:bottom w:w="0" w:type="dxa"/>
              <w:right w:w="85" w:type="dxa"/>
            </w:tcMar>
          </w:tcPr>
          <w:p w14:paraId="2A72649F" w14:textId="77777777" w:rsidR="009327C0" w:rsidRPr="001D5327" w:rsidRDefault="009327C0" w:rsidP="00D11AC9">
            <w:pPr>
              <w:pStyle w:val="TableText"/>
              <w:spacing w:before="40" w:after="40"/>
            </w:pPr>
            <w:r w:rsidRPr="001D5327">
              <w:t>L1</w:t>
            </w:r>
          </w:p>
        </w:tc>
      </w:tr>
      <w:tr w:rsidR="009327C0" w:rsidRPr="001D5327" w14:paraId="05074C45" w14:textId="77777777" w:rsidTr="00D11AC9">
        <w:tc>
          <w:tcPr>
            <w:tcW w:w="1411" w:type="dxa"/>
            <w:shd w:val="clear" w:color="auto" w:fill="FFFFFF"/>
            <w:tcMar>
              <w:top w:w="0" w:type="dxa"/>
              <w:left w:w="85" w:type="dxa"/>
              <w:bottom w:w="0" w:type="dxa"/>
              <w:right w:w="85" w:type="dxa"/>
            </w:tcMar>
          </w:tcPr>
          <w:p w14:paraId="4BC68E42" w14:textId="77777777" w:rsidR="009327C0" w:rsidRPr="001D5327" w:rsidRDefault="009327C0" w:rsidP="00D11AC9">
            <w:pPr>
              <w:pStyle w:val="TableText"/>
              <w:spacing w:before="40" w:after="40"/>
            </w:pPr>
            <w:r w:rsidRPr="001D5327">
              <w:t>2.C.3.</w:t>
            </w:r>
          </w:p>
        </w:tc>
        <w:tc>
          <w:tcPr>
            <w:tcW w:w="4729" w:type="dxa"/>
            <w:shd w:val="clear" w:color="auto" w:fill="FFFFFF"/>
            <w:tcMar>
              <w:top w:w="0" w:type="dxa"/>
              <w:left w:w="85" w:type="dxa"/>
              <w:bottom w:w="0" w:type="dxa"/>
              <w:right w:w="85" w:type="dxa"/>
            </w:tcMar>
          </w:tcPr>
          <w:p w14:paraId="1B4C46A2" w14:textId="77777777" w:rsidR="009327C0" w:rsidRPr="001D5327" w:rsidRDefault="009327C0" w:rsidP="00D11AC9">
            <w:pPr>
              <w:pStyle w:val="TableText"/>
              <w:spacing w:before="40" w:after="40"/>
            </w:pPr>
            <w:r w:rsidRPr="001D5327">
              <w:t>Metal industry – Aluminium production</w:t>
            </w:r>
          </w:p>
        </w:tc>
        <w:tc>
          <w:tcPr>
            <w:tcW w:w="522" w:type="dxa"/>
            <w:shd w:val="clear" w:color="auto" w:fill="FFFFFF"/>
            <w:tcMar>
              <w:top w:w="0" w:type="dxa"/>
              <w:left w:w="85" w:type="dxa"/>
              <w:bottom w:w="0" w:type="dxa"/>
              <w:right w:w="85" w:type="dxa"/>
            </w:tcMar>
          </w:tcPr>
          <w:p w14:paraId="583E6CD2" w14:textId="77777777" w:rsidR="009327C0" w:rsidRPr="001D5327" w:rsidRDefault="009327C0" w:rsidP="00D11AC9">
            <w:pPr>
              <w:pStyle w:val="TableText"/>
              <w:spacing w:before="40" w:after="40"/>
            </w:pPr>
            <w:r w:rsidRPr="001D5327">
              <w:t>PFCs</w:t>
            </w:r>
          </w:p>
        </w:tc>
        <w:tc>
          <w:tcPr>
            <w:tcW w:w="1832" w:type="dxa"/>
            <w:shd w:val="clear" w:color="auto" w:fill="FFFFFF"/>
            <w:tcMar>
              <w:top w:w="0" w:type="dxa"/>
              <w:left w:w="85" w:type="dxa"/>
              <w:bottom w:w="0" w:type="dxa"/>
              <w:right w:w="85" w:type="dxa"/>
            </w:tcMar>
          </w:tcPr>
          <w:p w14:paraId="6DE1A86D" w14:textId="77777777" w:rsidR="009327C0" w:rsidRPr="001D5327" w:rsidRDefault="009327C0" w:rsidP="00D11AC9">
            <w:pPr>
              <w:pStyle w:val="TableText"/>
              <w:spacing w:before="40" w:after="40"/>
            </w:pPr>
            <w:r w:rsidRPr="001D5327">
              <w:t>T1</w:t>
            </w:r>
          </w:p>
        </w:tc>
      </w:tr>
      <w:tr w:rsidR="009327C0" w:rsidRPr="001D5327" w14:paraId="158E070E" w14:textId="77777777" w:rsidTr="00D11AC9">
        <w:tc>
          <w:tcPr>
            <w:tcW w:w="1411" w:type="dxa"/>
            <w:shd w:val="clear" w:color="auto" w:fill="FFFFFF"/>
            <w:tcMar>
              <w:top w:w="0" w:type="dxa"/>
              <w:left w:w="85" w:type="dxa"/>
              <w:bottom w:w="0" w:type="dxa"/>
              <w:right w:w="85" w:type="dxa"/>
            </w:tcMar>
          </w:tcPr>
          <w:p w14:paraId="0405B17C" w14:textId="77777777" w:rsidR="009327C0" w:rsidRPr="001D5327" w:rsidRDefault="009327C0" w:rsidP="00D11AC9">
            <w:pPr>
              <w:pStyle w:val="TableText"/>
              <w:spacing w:before="40" w:after="40"/>
            </w:pPr>
            <w:r w:rsidRPr="001D5327">
              <w:t>2.F.1.</w:t>
            </w:r>
          </w:p>
        </w:tc>
        <w:tc>
          <w:tcPr>
            <w:tcW w:w="4729" w:type="dxa"/>
            <w:shd w:val="clear" w:color="auto" w:fill="FFFFFF"/>
            <w:tcMar>
              <w:top w:w="0" w:type="dxa"/>
              <w:left w:w="85" w:type="dxa"/>
              <w:bottom w:w="0" w:type="dxa"/>
              <w:right w:w="85" w:type="dxa"/>
            </w:tcMar>
          </w:tcPr>
          <w:p w14:paraId="6976A149" w14:textId="77777777" w:rsidR="009327C0" w:rsidRPr="001D5327" w:rsidRDefault="009327C0" w:rsidP="00D11AC9">
            <w:pPr>
              <w:pStyle w:val="TableText"/>
              <w:spacing w:before="40" w:after="40"/>
            </w:pPr>
            <w:r w:rsidRPr="001D5327">
              <w:t>Product uses as substitutes for ODS – Refrigeration and air</w:t>
            </w:r>
            <w:r w:rsidRPr="001D5327">
              <w:noBreakHyphen/>
              <w:t>conditioning</w:t>
            </w:r>
          </w:p>
        </w:tc>
        <w:tc>
          <w:tcPr>
            <w:tcW w:w="522" w:type="dxa"/>
            <w:shd w:val="clear" w:color="auto" w:fill="FFFFFF"/>
            <w:tcMar>
              <w:top w:w="0" w:type="dxa"/>
              <w:left w:w="85" w:type="dxa"/>
              <w:bottom w:w="0" w:type="dxa"/>
              <w:right w:w="85" w:type="dxa"/>
            </w:tcMar>
          </w:tcPr>
          <w:p w14:paraId="0716530D" w14:textId="77777777" w:rsidR="009327C0" w:rsidRPr="001D5327" w:rsidRDefault="009327C0" w:rsidP="00D11AC9">
            <w:pPr>
              <w:pStyle w:val="TableText"/>
              <w:spacing w:before="40" w:after="40"/>
            </w:pPr>
            <w:r w:rsidRPr="001D5327">
              <w:t>HFCs</w:t>
            </w:r>
          </w:p>
        </w:tc>
        <w:tc>
          <w:tcPr>
            <w:tcW w:w="1832" w:type="dxa"/>
            <w:shd w:val="clear" w:color="auto" w:fill="FFFFFF"/>
            <w:tcMar>
              <w:top w:w="0" w:type="dxa"/>
              <w:left w:w="85" w:type="dxa"/>
              <w:bottom w:w="0" w:type="dxa"/>
              <w:right w:w="85" w:type="dxa"/>
            </w:tcMar>
          </w:tcPr>
          <w:p w14:paraId="7E7CD1EA" w14:textId="77777777" w:rsidR="009327C0" w:rsidRPr="001D5327" w:rsidRDefault="009327C0" w:rsidP="00D11AC9">
            <w:pPr>
              <w:pStyle w:val="TableText"/>
              <w:spacing w:before="40" w:after="40"/>
            </w:pPr>
            <w:r w:rsidRPr="001D5327">
              <w:t>L1, T1</w:t>
            </w:r>
          </w:p>
        </w:tc>
      </w:tr>
    </w:tbl>
    <w:p w14:paraId="04B1601C" w14:textId="77777777" w:rsidR="009327C0" w:rsidRPr="001D5327" w:rsidRDefault="009327C0" w:rsidP="009327C0">
      <w:pPr>
        <w:pStyle w:val="Noteundertable"/>
      </w:pPr>
      <w:r w:rsidRPr="001D5327">
        <w:rPr>
          <w:b/>
          <w:bCs/>
        </w:rPr>
        <w:t>Note:</w:t>
      </w:r>
      <w:r w:rsidRPr="001D5327">
        <w:t xml:space="preserve"> </w:t>
      </w:r>
      <w:r w:rsidRPr="001D5327">
        <w:tab/>
        <w:t>L1 means a key category is identified under the level analysis – approach 1 and T1 is trend analysis – approach 1. Refer to chapter 1, section 1.4, for more information.</w:t>
      </w:r>
    </w:p>
    <w:p w14:paraId="23C0B23E" w14:textId="77777777" w:rsidR="009327C0" w:rsidRPr="001D5327" w:rsidRDefault="009327C0" w:rsidP="009327C0">
      <w:pPr>
        <w:pStyle w:val="Heading3"/>
      </w:pPr>
      <w:bookmarkStart w:id="414" w:name="X57fcd64d9210984563e62d3973700db8c8d4db7"/>
      <w:bookmarkEnd w:id="412"/>
      <w:r w:rsidRPr="001D5327">
        <w:t xml:space="preserve">4.1.4 </w:t>
      </w:r>
      <w:r w:rsidRPr="001D5327">
        <w:tab/>
        <w:t>Methodological issues for the IPPU sector</w:t>
      </w:r>
    </w:p>
    <w:p w14:paraId="3282C479" w14:textId="77777777" w:rsidR="009327C0" w:rsidRPr="001D5327" w:rsidRDefault="009327C0" w:rsidP="009327C0">
      <w:pPr>
        <w:pStyle w:val="BodyText"/>
      </w:pPr>
      <w:r w:rsidRPr="001D5327">
        <w:t xml:space="preserve">Activity data in the IPPU sector have been derived from a variety of sources. In the </w:t>
      </w:r>
      <w:r w:rsidRPr="001D5327">
        <w:rPr>
          <w:i/>
          <w:iCs/>
        </w:rPr>
        <w:t>Mineral industry</w:t>
      </w:r>
      <w:r w:rsidRPr="001D5327">
        <w:t xml:space="preserve"> category, the primary data source is emissions data reported under the New Zealand Emissions Trading Scheme (NZ ETS). For the </w:t>
      </w:r>
      <w:r w:rsidRPr="001D5327">
        <w:rPr>
          <w:i/>
          <w:iCs/>
        </w:rPr>
        <w:t>Chemical industry</w:t>
      </w:r>
      <w:r w:rsidRPr="001D5327">
        <w:t xml:space="preserve"> and </w:t>
      </w:r>
      <w:r w:rsidRPr="001D5327">
        <w:rPr>
          <w:i/>
          <w:iCs/>
        </w:rPr>
        <w:t>Metal industry</w:t>
      </w:r>
      <w:r w:rsidRPr="001D5327">
        <w:t xml:space="preserve"> categories, data (including activity data) are provided to the Ministry of Business, Innovation and Employment (MBIE) in response to an annual survey.</w:t>
      </w:r>
    </w:p>
    <w:p w14:paraId="5DB82887" w14:textId="7017DD28" w:rsidR="009327C0" w:rsidRPr="001D5327" w:rsidRDefault="009327C0" w:rsidP="009327C0">
      <w:pPr>
        <w:pStyle w:val="BodyText"/>
      </w:pPr>
      <w:r w:rsidRPr="001D5327">
        <w:lastRenderedPageBreak/>
        <w:t>The small scale of New Zealand’s industry sector means some activities are carried out by only</w:t>
      </w:r>
      <w:r w:rsidR="0031200D" w:rsidRPr="001D5327">
        <w:t> </w:t>
      </w:r>
      <w:r w:rsidRPr="001D5327">
        <w:t>one or two companies. As a result, the data and emissions information supplied by these</w:t>
      </w:r>
      <w:r w:rsidR="0031200D" w:rsidRPr="001D5327">
        <w:t> </w:t>
      </w:r>
      <w:r w:rsidRPr="001D5327">
        <w:t>companies, in response to surveys, are frequently bound by confidentiality obligations, preventing the publication of their specific activity. The implications for reporting of activity data and emissions are as follows:</w:t>
      </w:r>
    </w:p>
    <w:p w14:paraId="7CF7A353" w14:textId="77777777" w:rsidR="009327C0" w:rsidRPr="001D5327" w:rsidRDefault="009327C0" w:rsidP="009327C0">
      <w:pPr>
        <w:pStyle w:val="Bullet"/>
      </w:pPr>
      <w:r w:rsidRPr="001D5327">
        <w:t>activity data for cement, steel and glass production are reported as confidential in the common reporting tables (CRTs)</w:t>
      </w:r>
    </w:p>
    <w:p w14:paraId="434190A7" w14:textId="77777777" w:rsidR="009327C0" w:rsidRPr="001D5327" w:rsidRDefault="009327C0" w:rsidP="009327C0">
      <w:pPr>
        <w:pStyle w:val="Bullet"/>
      </w:pPr>
      <w:r w:rsidRPr="001D5327">
        <w:t xml:space="preserve">emissions data for </w:t>
      </w:r>
      <w:r w:rsidRPr="001D5327">
        <w:rPr>
          <w:i/>
          <w:iCs/>
        </w:rPr>
        <w:t>Glass production</w:t>
      </w:r>
      <w:r w:rsidRPr="001D5327">
        <w:t xml:space="preserve"> (2.A.3) are reported in </w:t>
      </w:r>
      <w:r w:rsidRPr="001D5327">
        <w:rPr>
          <w:i/>
          <w:iCs/>
        </w:rPr>
        <w:t>Other process uses of carbonates</w:t>
      </w:r>
      <w:r w:rsidRPr="001D5327">
        <w:t xml:space="preserve"> category (2.A.4)</w:t>
      </w:r>
    </w:p>
    <w:p w14:paraId="455726EB" w14:textId="77777777" w:rsidR="009327C0" w:rsidRPr="001D5327" w:rsidRDefault="009327C0" w:rsidP="009327C0">
      <w:pPr>
        <w:pStyle w:val="Bullet"/>
      </w:pPr>
      <w:r w:rsidRPr="001D5327">
        <w:t xml:space="preserve">emissions from gas used for energy purposes in ammonia production are reported in the </w:t>
      </w:r>
      <w:r w:rsidRPr="001D5327">
        <w:rPr>
          <w:i/>
          <w:iCs/>
        </w:rPr>
        <w:t>Manufacturing industries and construction</w:t>
      </w:r>
      <w:r w:rsidRPr="001D5327">
        <w:t xml:space="preserve"> category in the Energy sector (1.A.2.c) where this information can be aggregated with other companies. Only chemical feedstock gas is reported in the </w:t>
      </w:r>
      <w:r w:rsidRPr="001D5327">
        <w:rPr>
          <w:i/>
          <w:iCs/>
        </w:rPr>
        <w:t>Chemical industry</w:t>
      </w:r>
      <w:r w:rsidRPr="001D5327">
        <w:t xml:space="preserve"> category. Total energy use for the ammonia–urea plant is not disclosed</w:t>
      </w:r>
    </w:p>
    <w:p w14:paraId="3B7CCD74" w14:textId="77777777" w:rsidR="009327C0" w:rsidRPr="001D5327" w:rsidRDefault="009327C0" w:rsidP="009327C0">
      <w:pPr>
        <w:pStyle w:val="Bullet"/>
      </w:pPr>
      <w:r w:rsidRPr="001D5327">
        <w:t>fuel-related emissions from ammonia production are reported in the Energy sector.</w:t>
      </w:r>
    </w:p>
    <w:p w14:paraId="3DE2AAF1" w14:textId="77777777" w:rsidR="009327C0" w:rsidRPr="001D5327" w:rsidRDefault="009327C0" w:rsidP="009327C0">
      <w:pPr>
        <w:pStyle w:val="BodyText"/>
      </w:pPr>
      <w:r w:rsidRPr="001D5327">
        <w:t>New Zealand uses a combination of Intergovernmental Panel on Climate Change (IPCC) Tier 1 and Tier 2 methods for the IPPU sector. Tier 2 methods are used for all key categories. Country-specific emission factors have been used where available, including for emissions of indirect greenhouse gases.</w:t>
      </w:r>
    </w:p>
    <w:p w14:paraId="3BC4A430" w14:textId="77777777" w:rsidR="009327C0" w:rsidRPr="001D5327" w:rsidRDefault="009327C0" w:rsidP="009327C0">
      <w:pPr>
        <w:pStyle w:val="BodyText"/>
      </w:pPr>
      <w:r w:rsidRPr="001D5327">
        <w:t xml:space="preserve">For the </w:t>
      </w:r>
      <w:r w:rsidRPr="001D5327">
        <w:rPr>
          <w:i/>
          <w:iCs/>
        </w:rPr>
        <w:t>Product uses as substitutes for ODS</w:t>
      </w:r>
      <w:r w:rsidRPr="001D5327">
        <w:t xml:space="preserve"> category, updated activity data were obtained through a detailed annual survey covering the electrical, refrigeration and other industry participants (Verum Group Ltd, unpublished), as well as importers of HFCs and other substances in this category.</w:t>
      </w:r>
    </w:p>
    <w:p w14:paraId="01DB879A" w14:textId="77777777" w:rsidR="009327C0" w:rsidRPr="001D5327" w:rsidRDefault="009327C0" w:rsidP="009327C0">
      <w:pPr>
        <w:pStyle w:val="BodyText"/>
      </w:pPr>
      <w:r w:rsidRPr="001D5327">
        <w:t xml:space="preserve">For the small amounts of indirect greenhouse gas emissions reported in the </w:t>
      </w:r>
      <w:r w:rsidRPr="001D5327">
        <w:rPr>
          <w:i/>
          <w:iCs/>
        </w:rPr>
        <w:t>Chemical industry</w:t>
      </w:r>
      <w:r w:rsidRPr="001D5327">
        <w:t xml:space="preserve"> category and </w:t>
      </w:r>
      <w:r w:rsidRPr="001D5327">
        <w:rPr>
          <w:i/>
          <w:iCs/>
        </w:rPr>
        <w:t>Other product manufacture and use</w:t>
      </w:r>
      <w:r w:rsidRPr="001D5327">
        <w:t xml:space="preserve"> category, data were obtained by a detailed industry survey and analysis in 2006 (CRL Energy, unpublished(a)). Emissions and activity data have been extrapolated for the years since that time.</w:t>
      </w:r>
    </w:p>
    <w:p w14:paraId="5DEDE155" w14:textId="77777777" w:rsidR="009327C0" w:rsidRPr="001D5327" w:rsidRDefault="009327C0" w:rsidP="009327C0">
      <w:pPr>
        <w:pStyle w:val="Heading3"/>
      </w:pPr>
      <w:bookmarkStart w:id="415" w:name="uncertainties"/>
      <w:bookmarkEnd w:id="414"/>
      <w:r w:rsidRPr="001D5327">
        <w:t xml:space="preserve">4.1.5 </w:t>
      </w:r>
      <w:r w:rsidRPr="001D5327">
        <w:tab/>
        <w:t>Uncertainties</w:t>
      </w:r>
    </w:p>
    <w:p w14:paraId="09EA512D" w14:textId="77777777" w:rsidR="009327C0" w:rsidRPr="001D5327" w:rsidRDefault="009327C0" w:rsidP="009327C0">
      <w:pPr>
        <w:pStyle w:val="BodyText"/>
      </w:pPr>
      <w:r w:rsidRPr="001D5327">
        <w:t>Each category addresses specific uncertainties, with the default uncertainties from the IPCC being applied in almost all instances.</w:t>
      </w:r>
    </w:p>
    <w:p w14:paraId="7D38E6EA" w14:textId="77777777" w:rsidR="009327C0" w:rsidRPr="001D5327" w:rsidRDefault="009327C0" w:rsidP="009327C0">
      <w:pPr>
        <w:pStyle w:val="BodyText"/>
      </w:pPr>
      <w:r w:rsidRPr="001D5327">
        <w:t xml:space="preserve">Country-specific estimates of uncertainty have been made in the </w:t>
      </w:r>
      <w:r w:rsidRPr="001D5327">
        <w:rPr>
          <w:i/>
          <w:iCs/>
        </w:rPr>
        <w:t>Product uses as substitutes for ODS</w:t>
      </w:r>
      <w:r w:rsidRPr="001D5327">
        <w:t xml:space="preserve"> category, reflecting the quality of data provided by survey respondents, and have been updated as needed for this submission.</w:t>
      </w:r>
    </w:p>
    <w:p w14:paraId="0AFF885C" w14:textId="77777777" w:rsidR="009327C0" w:rsidRPr="001D5327" w:rsidRDefault="009327C0" w:rsidP="009327C0">
      <w:pPr>
        <w:pStyle w:val="Heading3"/>
      </w:pPr>
      <w:bookmarkStart w:id="416" w:name="verification"/>
      <w:bookmarkEnd w:id="415"/>
      <w:r w:rsidRPr="001D5327">
        <w:t xml:space="preserve">4.1.6 </w:t>
      </w:r>
      <w:r w:rsidRPr="001D5327">
        <w:tab/>
        <w:t>Verification</w:t>
      </w:r>
    </w:p>
    <w:p w14:paraId="081EF3E3" w14:textId="77777777" w:rsidR="009327C0" w:rsidRPr="001D5327" w:rsidRDefault="009327C0" w:rsidP="009327C0">
      <w:pPr>
        <w:pStyle w:val="BodyText"/>
      </w:pPr>
      <w:r w:rsidRPr="001D5327">
        <w:t>The inventory agency (the Ministry for the Environment) verified information on CO</w:t>
      </w:r>
      <w:r w:rsidRPr="001D5327">
        <w:rPr>
          <w:vertAlign w:val="subscript"/>
        </w:rPr>
        <w:t>2</w:t>
      </w:r>
      <w:r w:rsidRPr="001D5327">
        <w:t xml:space="preserve"> emissions reported in the </w:t>
      </w:r>
      <w:r w:rsidRPr="001D5327">
        <w:rPr>
          <w:i/>
          <w:iCs/>
        </w:rPr>
        <w:t>Iron and steel production</w:t>
      </w:r>
      <w:r w:rsidRPr="001D5327">
        <w:t xml:space="preserve"> category against information provided by these industries as participants in the NZ ETS.</w:t>
      </w:r>
    </w:p>
    <w:p w14:paraId="267F035D" w14:textId="77777777" w:rsidR="009327C0" w:rsidRPr="001D5327" w:rsidRDefault="009327C0" w:rsidP="009327C0">
      <w:pPr>
        <w:pStyle w:val="BodyText"/>
      </w:pPr>
      <w:r w:rsidRPr="001D5327">
        <w:t xml:space="preserve">For PFCs in the </w:t>
      </w:r>
      <w:r w:rsidRPr="001D5327">
        <w:rPr>
          <w:i/>
          <w:iCs/>
        </w:rPr>
        <w:t>Aluminium production</w:t>
      </w:r>
      <w:r w:rsidRPr="001D5327">
        <w:t xml:space="preserve"> category and for CO</w:t>
      </w:r>
      <w:r w:rsidRPr="001D5327">
        <w:rPr>
          <w:vertAlign w:val="subscript"/>
        </w:rPr>
        <w:t>2</w:t>
      </w:r>
      <w:r w:rsidRPr="001D5327">
        <w:t xml:space="preserve"> in the </w:t>
      </w:r>
      <w:r w:rsidRPr="001D5327">
        <w:rPr>
          <w:i/>
          <w:iCs/>
        </w:rPr>
        <w:t>Mineral industry</w:t>
      </w:r>
      <w:r w:rsidRPr="001D5327">
        <w:t xml:space="preserve"> category, the NZ ETS is used as the primary data source. Verification is done over time as ETS returns are verified by the Environmental Protection Authority (EPA), the agency that administers the NZ ETS.</w:t>
      </w:r>
    </w:p>
    <w:p w14:paraId="71B0CD97" w14:textId="77777777" w:rsidR="009327C0" w:rsidRPr="001D5327" w:rsidRDefault="009327C0" w:rsidP="009327C0">
      <w:pPr>
        <w:pStyle w:val="BodyText"/>
        <w:rPr>
          <w:spacing w:val="-2"/>
        </w:rPr>
      </w:pPr>
      <w:r w:rsidRPr="001D5327">
        <w:lastRenderedPageBreak/>
        <w:t xml:space="preserve">All data supplied in response to annual surveys (for the </w:t>
      </w:r>
      <w:r w:rsidRPr="001D5327">
        <w:rPr>
          <w:i/>
          <w:iCs/>
        </w:rPr>
        <w:t>Chemical industry</w:t>
      </w:r>
      <w:r w:rsidRPr="001D5327">
        <w:t xml:space="preserve">, </w:t>
      </w:r>
      <w:r w:rsidRPr="001D5327">
        <w:rPr>
          <w:i/>
          <w:iCs/>
        </w:rPr>
        <w:t>Metal industry</w:t>
      </w:r>
      <w:r w:rsidRPr="001D5327">
        <w:t xml:space="preserve"> and </w:t>
      </w:r>
      <w:r w:rsidRPr="001D5327">
        <w:rPr>
          <w:i/>
          <w:iCs/>
        </w:rPr>
        <w:t>Product uses as substitutes for ODS</w:t>
      </w:r>
      <w:r w:rsidRPr="001D5327">
        <w:t xml:space="preserve"> categories) were verified against national totals or other </w:t>
      </w:r>
      <w:r w:rsidRPr="001D5327">
        <w:rPr>
          <w:spacing w:val="-2"/>
        </w:rPr>
        <w:t>publicly available information. Where possible, anomalous data were followed up and checked.</w:t>
      </w:r>
    </w:p>
    <w:p w14:paraId="26CC0CA6" w14:textId="77777777" w:rsidR="009327C0" w:rsidRPr="001D5327" w:rsidRDefault="009327C0" w:rsidP="009327C0">
      <w:pPr>
        <w:pStyle w:val="Heading3"/>
      </w:pPr>
      <w:bookmarkStart w:id="417" w:name="recalculations-and-improvements"/>
      <w:bookmarkEnd w:id="416"/>
      <w:r w:rsidRPr="001D5327">
        <w:t xml:space="preserve">4.1.7 </w:t>
      </w:r>
      <w:r w:rsidRPr="001D5327">
        <w:tab/>
        <w:t>Recalculations and improvements</w:t>
      </w:r>
    </w:p>
    <w:p w14:paraId="7D0DFA44" w14:textId="77777777" w:rsidR="009327C0" w:rsidRPr="001D5327" w:rsidRDefault="009327C0" w:rsidP="009327C0">
      <w:pPr>
        <w:pStyle w:val="BodyText"/>
      </w:pPr>
      <w:r w:rsidRPr="001D5327">
        <w:t xml:space="preserve">For the IPPU sector, several improvements in the </w:t>
      </w:r>
      <w:r w:rsidRPr="001D5327">
        <w:rPr>
          <w:i/>
          <w:iCs/>
        </w:rPr>
        <w:t>Refrigeration and air conditioning</w:t>
      </w:r>
      <w:r w:rsidRPr="001D5327">
        <w:t xml:space="preserve"> category were made, to better account for changes in stocks held by importers and users. These included:</w:t>
      </w:r>
    </w:p>
    <w:p w14:paraId="1C470B3A" w14:textId="77777777" w:rsidR="009327C0" w:rsidRPr="001D5327" w:rsidRDefault="009327C0" w:rsidP="009327C0">
      <w:pPr>
        <w:pStyle w:val="Bullet"/>
      </w:pPr>
      <w:r w:rsidRPr="001D5327">
        <w:t>changes to activity data for the early retirement of heat pumps (a reduction)</w:t>
      </w:r>
    </w:p>
    <w:p w14:paraId="6C8661BF" w14:textId="77777777" w:rsidR="009327C0" w:rsidRPr="001D5327" w:rsidRDefault="009327C0" w:rsidP="009327C0">
      <w:pPr>
        <w:pStyle w:val="Bullet"/>
      </w:pPr>
      <w:r w:rsidRPr="001D5327">
        <w:t>changes to activity data for refrigerant recycling (a reduction)</w:t>
      </w:r>
    </w:p>
    <w:p w14:paraId="7A60C6A2" w14:textId="77777777" w:rsidR="009327C0" w:rsidRPr="001D5327" w:rsidRDefault="009327C0" w:rsidP="009327C0">
      <w:pPr>
        <w:pStyle w:val="Bullet"/>
      </w:pPr>
      <w:r w:rsidRPr="001D5327">
        <w:t>changes to activity data for early retirement of air conditioners (an increase) with a consequent spike in disposal trends</w:t>
      </w:r>
    </w:p>
    <w:p w14:paraId="6DB12491" w14:textId="77777777" w:rsidR="009327C0" w:rsidRPr="001D5327" w:rsidRDefault="009327C0" w:rsidP="009327C0">
      <w:pPr>
        <w:pStyle w:val="Bullet"/>
      </w:pPr>
      <w:r w:rsidRPr="001D5327">
        <w:t>reassessment of historical emissions between 2014 and 2020.</w:t>
      </w:r>
    </w:p>
    <w:p w14:paraId="3FD4C849" w14:textId="77777777" w:rsidR="009327C0" w:rsidRPr="001D5327" w:rsidRDefault="009327C0" w:rsidP="009327C0">
      <w:pPr>
        <w:pStyle w:val="BodyText"/>
      </w:pPr>
      <w:r w:rsidRPr="001D5327">
        <w:t>Improvements and recalculations made to the IPPU sector have resulted in an increase of 0.1 per cent (4.9 kt CO</w:t>
      </w:r>
      <w:r w:rsidRPr="001D5327">
        <w:rPr>
          <w:vertAlign w:val="subscript"/>
        </w:rPr>
        <w:t>2</w:t>
      </w:r>
      <w:r w:rsidRPr="001D5327">
        <w:t>-e) in estimated IPPU emissions in 1990 and a decrease of 0.6 per cent (25.2 kt CO</w:t>
      </w:r>
      <w:r w:rsidRPr="001D5327">
        <w:rPr>
          <w:vertAlign w:val="subscript"/>
        </w:rPr>
        <w:t>2</w:t>
      </w:r>
      <w:r w:rsidRPr="001D5327">
        <w:t>-e) in estimated IPPU emissions in 2022.</w:t>
      </w:r>
    </w:p>
    <w:p w14:paraId="61146ADD" w14:textId="77777777" w:rsidR="009327C0" w:rsidRPr="001D5327" w:rsidRDefault="009327C0" w:rsidP="009327C0">
      <w:pPr>
        <w:pStyle w:val="Heading3"/>
      </w:pPr>
      <w:bookmarkStart w:id="418" w:name="X1f698cc084c84463889f5fff1260c8c66d2e4cc"/>
      <w:bookmarkEnd w:id="417"/>
      <w:r w:rsidRPr="001D5327">
        <w:t xml:space="preserve">4.1.8 </w:t>
      </w:r>
      <w:r w:rsidRPr="001D5327">
        <w:tab/>
        <w:t>Quality-assurance/quality-control (QA/QC) processes</w:t>
      </w:r>
    </w:p>
    <w:p w14:paraId="67549206" w14:textId="77777777" w:rsidR="009327C0" w:rsidRPr="001D5327" w:rsidRDefault="009327C0" w:rsidP="009327C0">
      <w:pPr>
        <w:pStyle w:val="BodyText"/>
      </w:pPr>
      <w:r w:rsidRPr="001D5327">
        <w:t>Tier 1 quality checks were carried out on all data collected for this sector, with minor exceptions where data did not require updating. Figure 4.1.3 describes the quality control process map for the IPPU sector. Verification against independent data sources was possible only in specific cases, such as the comparison of NZ ETS returns against data submitted in response to surveys.</w:t>
      </w:r>
    </w:p>
    <w:p w14:paraId="3272E60B" w14:textId="77777777" w:rsidR="009327C0" w:rsidRPr="001D5327" w:rsidRDefault="009327C0" w:rsidP="009327C0">
      <w:pPr>
        <w:pStyle w:val="Figure"/>
      </w:pPr>
      <w:bookmarkStart w:id="419" w:name="_Toc194674852"/>
      <w:r w:rsidRPr="001D5327">
        <w:lastRenderedPageBreak/>
        <w:t xml:space="preserve">Figure 4.1.3 </w:t>
      </w:r>
      <w:r w:rsidRPr="001D5327">
        <w:tab/>
        <w:t>Example: Tier 1 quality checks for the IPPU sector</w:t>
      </w:r>
      <w:bookmarkEnd w:id="419"/>
    </w:p>
    <w:p w14:paraId="7CF0031E" w14:textId="77777777" w:rsidR="009327C0" w:rsidRPr="001D5327" w:rsidRDefault="009327C0" w:rsidP="009327C0">
      <w:pPr>
        <w:pStyle w:val="BodyText"/>
        <w:jc w:val="center"/>
      </w:pPr>
      <w:r w:rsidRPr="001D5327">
        <w:rPr>
          <w:noProof/>
        </w:rPr>
        <w:drawing>
          <wp:inline distT="0" distB="0" distL="0" distR="0" wp14:anchorId="4BF0A932" wp14:editId="6A97CF95">
            <wp:extent cx="4741333" cy="5706533"/>
            <wp:effectExtent l="0" t="0" r="2540" b="8890"/>
            <wp:docPr id="37" name="Picture"/>
            <wp:cNvGraphicFramePr/>
            <a:graphic xmlns:a="http://schemas.openxmlformats.org/drawingml/2006/main">
              <a:graphicData uri="http://schemas.openxmlformats.org/drawingml/2006/picture">
                <pic:pic xmlns:pic="http://schemas.openxmlformats.org/drawingml/2006/picture">
                  <pic:nvPicPr>
                    <pic:cNvPr id="38" name="Picture" descr="images/fig_4_1_3.png"/>
                    <pic:cNvPicPr>
                      <a:picLocks noChangeAspect="1" noChangeArrowheads="1"/>
                    </pic:cNvPicPr>
                  </pic:nvPicPr>
                  <pic:blipFill>
                    <a:blip r:embed="rId85"/>
                    <a:stretch>
                      <a:fillRect/>
                    </a:stretch>
                  </pic:blipFill>
                  <pic:spPr bwMode="auto">
                    <a:xfrm>
                      <a:off x="0" y="0"/>
                      <a:ext cx="4757263" cy="5725706"/>
                    </a:xfrm>
                    <a:prstGeom prst="rect">
                      <a:avLst/>
                    </a:prstGeom>
                    <a:noFill/>
                    <a:ln w="9525">
                      <a:noFill/>
                      <a:headEnd/>
                      <a:tailEnd/>
                    </a:ln>
                  </pic:spPr>
                </pic:pic>
              </a:graphicData>
            </a:graphic>
          </wp:inline>
        </w:drawing>
      </w:r>
    </w:p>
    <w:p w14:paraId="1EB48EE9" w14:textId="77777777" w:rsidR="009327C0" w:rsidRPr="001D5327" w:rsidRDefault="009327C0" w:rsidP="009327C0">
      <w:pPr>
        <w:pStyle w:val="Noteundertable"/>
        <w:spacing w:after="0"/>
      </w:pPr>
      <w:r w:rsidRPr="001D5327">
        <w:rPr>
          <w:b/>
          <w:bCs/>
        </w:rPr>
        <w:t>Note:</w:t>
      </w:r>
      <w:r w:rsidRPr="001D5327">
        <w:t xml:space="preserve"> IPCC = Intergovernmental Panel on Climate Change. </w:t>
      </w:r>
    </w:p>
    <w:p w14:paraId="0FDB419C" w14:textId="77777777" w:rsidR="009327C0" w:rsidRPr="001D5327" w:rsidRDefault="009327C0" w:rsidP="009327C0">
      <w:pPr>
        <w:pStyle w:val="Heading2"/>
      </w:pPr>
      <w:bookmarkStart w:id="420" w:name="_Toc194312005"/>
      <w:bookmarkStart w:id="421" w:name="mineral-industry-2.a"/>
      <w:bookmarkEnd w:id="403"/>
      <w:bookmarkEnd w:id="418"/>
      <w:r w:rsidRPr="001D5327">
        <w:t xml:space="preserve">4.2 </w:t>
      </w:r>
      <w:r w:rsidRPr="001D5327">
        <w:tab/>
        <w:t>Mineral industry (2.A)</w:t>
      </w:r>
      <w:bookmarkEnd w:id="420"/>
    </w:p>
    <w:p w14:paraId="6970C3A7" w14:textId="77777777" w:rsidR="009327C0" w:rsidRPr="001D5327" w:rsidRDefault="009327C0" w:rsidP="009327C0">
      <w:pPr>
        <w:pStyle w:val="Heading3"/>
        <w:spacing w:before="240"/>
      </w:pPr>
      <w:bookmarkStart w:id="422" w:name="description"/>
      <w:r w:rsidRPr="001D5327">
        <w:t xml:space="preserve">4.2.1 </w:t>
      </w:r>
      <w:r w:rsidRPr="001D5327">
        <w:tab/>
        <w:t>Description</w:t>
      </w:r>
    </w:p>
    <w:p w14:paraId="260ED089" w14:textId="77777777" w:rsidR="009327C0" w:rsidRPr="001D5327" w:rsidRDefault="009327C0" w:rsidP="009327C0">
      <w:pPr>
        <w:pStyle w:val="BodyText"/>
      </w:pPr>
      <w:r w:rsidRPr="001D5327">
        <w:t xml:space="preserve">Emissions from the </w:t>
      </w:r>
      <w:r w:rsidRPr="001D5327">
        <w:rPr>
          <w:i/>
          <w:iCs/>
        </w:rPr>
        <w:t>Mineral industry</w:t>
      </w:r>
      <w:r w:rsidRPr="001D5327">
        <w:t xml:space="preserve"> category include CO</w:t>
      </w:r>
      <w:r w:rsidRPr="001D5327">
        <w:rPr>
          <w:vertAlign w:val="subscript"/>
        </w:rPr>
        <w:t>2</w:t>
      </w:r>
      <w:r w:rsidRPr="001D5327">
        <w:t xml:space="preserve"> from the calcination of limestone for cement and lime, and from the use of soda ash and limestone in the production of glass, aluminium, and iron and steel. Only CO</w:t>
      </w:r>
      <w:r w:rsidRPr="001D5327">
        <w:rPr>
          <w:vertAlign w:val="subscript"/>
        </w:rPr>
        <w:t>2</w:t>
      </w:r>
      <w:r w:rsidRPr="001D5327">
        <w:t xml:space="preserve"> from calcination is reported here. Any emissions from the combustion of fuel to provide heat for these activities are reported under the Energy sector.</w:t>
      </w:r>
    </w:p>
    <w:p w14:paraId="2162DCB5" w14:textId="77777777" w:rsidR="009327C0" w:rsidRPr="001D5327" w:rsidRDefault="009327C0" w:rsidP="009327C0">
      <w:pPr>
        <w:pStyle w:val="BodyText"/>
        <w:spacing w:before="100" w:after="100"/>
      </w:pPr>
      <w:r w:rsidRPr="001D5327">
        <w:t xml:space="preserve">Only one cement production facility is now operating in New Zealand, a dry-process plant operated by Golden Bay Cement Ltd near Whangārei. Holcim New Zealand Ltd operated a wet process cement plant at Cape Foulwind, on the West Coast of the South Island, but this plant was closed at the end of June 2016 and Holcim is now marketing cement made from imported </w:t>
      </w:r>
      <w:r w:rsidRPr="001D5327">
        <w:lastRenderedPageBreak/>
        <w:t>clinker. Another smaller cement company (Lee Cement Ltd) operated only from 1995 to 1998. The New Zealand cement industry produces clinker from the calcination of limestone and processes it into Portland cement or general-purpose cement.</w:t>
      </w:r>
    </w:p>
    <w:p w14:paraId="68B9C36C" w14:textId="77777777" w:rsidR="009327C0" w:rsidRPr="001D5327" w:rsidRDefault="009327C0" w:rsidP="009327C0">
      <w:pPr>
        <w:pStyle w:val="BodyText"/>
        <w:spacing w:before="100" w:after="100"/>
      </w:pPr>
      <w:r w:rsidRPr="001D5327">
        <w:t>Three companies (McDonald’s Lime Ltd, Websters Hydrated Lime Company and Perry Resources Ltd) have a history of making burnt and slaked lime at five different facilities in New Zealand. The industry has been consolidated over time and two companies (Graymont New Zealand and Websters Hydrated Lime Company) now produce most of New Zealand’s burnt and slaked lime. Another company (Lee Processors Limited) reported a small amount of emissions for the 2023 year.</w:t>
      </w:r>
    </w:p>
    <w:p w14:paraId="398B04DD" w14:textId="77777777" w:rsidR="009327C0" w:rsidRPr="001D5327" w:rsidRDefault="009327C0" w:rsidP="009327C0">
      <w:pPr>
        <w:pStyle w:val="BodyText"/>
        <w:spacing w:before="100" w:after="100"/>
      </w:pPr>
      <w:r w:rsidRPr="001D5327">
        <w:t>Small amounts of indirect emissions (sulphur dioxide (SO</w:t>
      </w:r>
      <w:r w:rsidRPr="001D5327">
        <w:rPr>
          <w:vertAlign w:val="subscript"/>
        </w:rPr>
        <w:t>2</w:t>
      </w:r>
      <w:r w:rsidRPr="001D5327">
        <w:t xml:space="preserve">) only) from the </w:t>
      </w:r>
      <w:r w:rsidRPr="001D5327">
        <w:rPr>
          <w:i/>
          <w:iCs/>
        </w:rPr>
        <w:t>Cement production</w:t>
      </w:r>
      <w:r w:rsidRPr="001D5327">
        <w:t xml:space="preserve"> category are also reported. Some emissions of SO</w:t>
      </w:r>
      <w:r w:rsidRPr="001D5327">
        <w:rPr>
          <w:vertAlign w:val="subscript"/>
        </w:rPr>
        <w:t>2</w:t>
      </w:r>
      <w:r w:rsidRPr="001D5327">
        <w:t xml:space="preserve"> from the </w:t>
      </w:r>
      <w:r w:rsidRPr="001D5327">
        <w:rPr>
          <w:i/>
          <w:iCs/>
        </w:rPr>
        <w:t>Lime production</w:t>
      </w:r>
      <w:r w:rsidRPr="001D5327">
        <w:t xml:space="preserve"> category were estimated in 2006 (CRL Energy, unpublished(a)), but there is currently no provision in the CRTs to report this. Some additional SO</w:t>
      </w:r>
      <w:r w:rsidRPr="001D5327">
        <w:rPr>
          <w:vertAlign w:val="subscript"/>
        </w:rPr>
        <w:t>2</w:t>
      </w:r>
      <w:r w:rsidRPr="001D5327">
        <w:t xml:space="preserve"> is derived from sulphur in coal or waste oil used as fuel in cement and lime kilns, and this is reported under the Energy sector.</w:t>
      </w:r>
    </w:p>
    <w:p w14:paraId="25466B14" w14:textId="77777777" w:rsidR="009327C0" w:rsidRPr="001D5327" w:rsidRDefault="009327C0" w:rsidP="009327C0">
      <w:pPr>
        <w:pStyle w:val="BodyText"/>
        <w:spacing w:before="100" w:after="100"/>
      </w:pPr>
      <w:r w:rsidRPr="001D5327">
        <w:t>Two companies make glass in New Zealand, with emissions from the use of soda ash and limestone generated in the process. VISY Glass (formerly O-I) New Zealand makes container glass and Tasman Insulation New Zealand Ltd makes smaller amounts of glass for building insulation products.</w:t>
      </w:r>
    </w:p>
    <w:p w14:paraId="19869B1C" w14:textId="77777777" w:rsidR="009327C0" w:rsidRPr="001D5327" w:rsidRDefault="009327C0" w:rsidP="009327C0">
      <w:pPr>
        <w:pStyle w:val="BodyText"/>
        <w:spacing w:before="100" w:after="100"/>
      </w:pPr>
      <w:r w:rsidRPr="001D5327">
        <w:t xml:space="preserve">Limestone and soda ash are also used in the steel and aluminium industries and would normally be reported in the </w:t>
      </w:r>
      <w:r w:rsidRPr="001D5327">
        <w:rPr>
          <w:i/>
          <w:iCs/>
        </w:rPr>
        <w:t>Metal industry</w:t>
      </w:r>
      <w:r w:rsidRPr="001D5327">
        <w:t xml:space="preserve"> category. Emissions from this use of mineral inputs are reported in the </w:t>
      </w:r>
      <w:r w:rsidRPr="001D5327">
        <w:rPr>
          <w:i/>
          <w:iCs/>
        </w:rPr>
        <w:t>Mineral industry</w:t>
      </w:r>
      <w:r w:rsidRPr="001D5327">
        <w:t xml:space="preserve"> category (see section 4.2.2); the data are aggregated to protect the confidentiality of data provided by these two glass companies.</w:t>
      </w:r>
    </w:p>
    <w:p w14:paraId="5BF94787" w14:textId="77777777" w:rsidR="009327C0" w:rsidRPr="001D5327" w:rsidRDefault="009327C0" w:rsidP="009327C0">
      <w:pPr>
        <w:pStyle w:val="BodyText"/>
        <w:spacing w:before="100" w:after="100"/>
      </w:pPr>
      <w:r w:rsidRPr="001D5327">
        <w:t>A very small amount of CO</w:t>
      </w:r>
      <w:r w:rsidRPr="001D5327">
        <w:rPr>
          <w:vertAlign w:val="subscript"/>
        </w:rPr>
        <w:t>2</w:t>
      </w:r>
      <w:r w:rsidRPr="001D5327">
        <w:t xml:space="preserve"> is reported from the use of kaolin clays in ceramics production.</w:t>
      </w:r>
    </w:p>
    <w:p w14:paraId="0539F564" w14:textId="77777777" w:rsidR="009327C0" w:rsidRPr="001D5327" w:rsidRDefault="009327C0" w:rsidP="009327C0">
      <w:pPr>
        <w:pStyle w:val="BodyText"/>
        <w:spacing w:before="100" w:after="100"/>
      </w:pPr>
      <w:r w:rsidRPr="001D5327">
        <w:t>The only key category is CO</w:t>
      </w:r>
      <w:r w:rsidRPr="001D5327">
        <w:rPr>
          <w:vertAlign w:val="subscript"/>
        </w:rPr>
        <w:t>2</w:t>
      </w:r>
      <w:r w:rsidRPr="001D5327">
        <w:t xml:space="preserve"> emissions from the </w:t>
      </w:r>
      <w:r w:rsidRPr="001D5327">
        <w:rPr>
          <w:i/>
          <w:iCs/>
        </w:rPr>
        <w:t>Cement production</w:t>
      </w:r>
      <w:r w:rsidRPr="001D5327">
        <w:t xml:space="preserve"> category (level and trend assessment).</w:t>
      </w:r>
    </w:p>
    <w:p w14:paraId="1B87ADA9" w14:textId="5CCE3B59" w:rsidR="009327C0" w:rsidRPr="001D5327" w:rsidRDefault="009327C0" w:rsidP="009327C0">
      <w:pPr>
        <w:pStyle w:val="BodyText"/>
        <w:spacing w:before="100" w:after="100"/>
      </w:pPr>
      <w:r w:rsidRPr="001D5327">
        <w:t xml:space="preserve">In 2023, the </w:t>
      </w:r>
      <w:r w:rsidRPr="001D5327">
        <w:rPr>
          <w:i/>
          <w:iCs/>
        </w:rPr>
        <w:t>Mineral industry</w:t>
      </w:r>
      <w:r w:rsidRPr="001D5327">
        <w:t xml:space="preserve"> category accounted for 528.2 kt CO</w:t>
      </w:r>
      <w:r w:rsidRPr="001D5327">
        <w:rPr>
          <w:vertAlign w:val="subscript"/>
        </w:rPr>
        <w:t>2</w:t>
      </w:r>
      <w:r w:rsidRPr="001D5327">
        <w:t>-e (13.1 per cent) of emissions from the IPPU sector. This is 33.7 kt (6.0 per cent) below the 1990 emissions. Production of cement, lime and glass containers had previously increased over time, with a</w:t>
      </w:r>
      <w:r w:rsidR="00BF4887" w:rsidRPr="001D5327">
        <w:t> </w:t>
      </w:r>
      <w:r w:rsidRPr="001D5327">
        <w:t>peak in 2015 of 869.3 kt CO</w:t>
      </w:r>
      <w:r w:rsidRPr="001D5327">
        <w:rPr>
          <w:vertAlign w:val="subscript"/>
        </w:rPr>
        <w:t>2</w:t>
      </w:r>
      <w:r w:rsidRPr="001D5327">
        <w:t>-e. Emissions decreased after 2015 due to the closure of the Holcim cement plant.</w:t>
      </w:r>
    </w:p>
    <w:p w14:paraId="3F1DE5F1" w14:textId="77777777" w:rsidR="009327C0" w:rsidRPr="001D5327" w:rsidRDefault="009327C0" w:rsidP="009327C0">
      <w:pPr>
        <w:pStyle w:val="Heading3"/>
      </w:pPr>
      <w:bookmarkStart w:id="423" w:name="methodological-issues"/>
      <w:bookmarkEnd w:id="422"/>
      <w:r w:rsidRPr="001D5327">
        <w:t xml:space="preserve">4.2.2 </w:t>
      </w:r>
      <w:r w:rsidRPr="001D5327">
        <w:tab/>
        <w:t>Methodological issues</w:t>
      </w:r>
    </w:p>
    <w:p w14:paraId="790B1534" w14:textId="77777777" w:rsidR="009327C0" w:rsidRPr="001D5327" w:rsidRDefault="009327C0" w:rsidP="009327C0">
      <w:pPr>
        <w:pStyle w:val="Heading4"/>
      </w:pPr>
      <w:bookmarkStart w:id="424" w:name="choice-of-activity-data"/>
      <w:r w:rsidRPr="001D5327">
        <w:t>Choice of activity data</w:t>
      </w:r>
    </w:p>
    <w:p w14:paraId="3939771C" w14:textId="77777777" w:rsidR="009327C0" w:rsidRPr="001D5327" w:rsidRDefault="009327C0" w:rsidP="009327C0">
      <w:pPr>
        <w:pStyle w:val="Heading5"/>
        <w:spacing w:before="200"/>
      </w:pPr>
      <w:bookmarkStart w:id="425" w:name="use-of-nz-ets-data"/>
      <w:r w:rsidRPr="001D5327">
        <w:t>Use of NZ ETS data</w:t>
      </w:r>
    </w:p>
    <w:p w14:paraId="6C9B3387" w14:textId="77777777" w:rsidR="009327C0" w:rsidRPr="001D5327" w:rsidRDefault="009327C0" w:rsidP="009327C0">
      <w:pPr>
        <w:pStyle w:val="BodyText"/>
      </w:pPr>
      <w:r w:rsidRPr="001D5327">
        <w:t>Firms that use limestone or soda ash in the production of clinker, cement, burnt or slaked lime, or glass have had emission reporting obligations under the NZ ETS since 2010. The emission returns submitted by participants in the NZ ETS are the primary source of data for CO</w:t>
      </w:r>
      <w:r w:rsidRPr="001D5327">
        <w:rPr>
          <w:vertAlign w:val="subscript"/>
        </w:rPr>
        <w:t>2</w:t>
      </w:r>
      <w:r w:rsidRPr="001D5327">
        <w:t xml:space="preserve"> emissions from these categories.</w:t>
      </w:r>
    </w:p>
    <w:p w14:paraId="1914B164" w14:textId="77777777" w:rsidR="009327C0" w:rsidRPr="001D5327" w:rsidRDefault="009327C0" w:rsidP="009327C0">
      <w:pPr>
        <w:pStyle w:val="BodyText"/>
        <w:spacing w:before="100" w:after="100"/>
      </w:pPr>
      <w:r w:rsidRPr="001D5327">
        <w:t>The EPA administers and audits the emission returns submitted by participants. Data submitted by NZ ETS participants are protected by stringent provisions relating to commercial confidentiality. However, under section 32 and section 149 of the Climate Change Response Act 2002, the inventory agency may request information from the EPA for the purpose of compiling New Zealand’s annual National Inventory Report.</w:t>
      </w:r>
    </w:p>
    <w:p w14:paraId="49E5F9CE" w14:textId="11E3F39C" w:rsidR="009327C0" w:rsidRPr="001D5327" w:rsidRDefault="009327C0" w:rsidP="009327C0">
      <w:pPr>
        <w:pStyle w:val="BodyText"/>
        <w:spacing w:before="100" w:after="100"/>
      </w:pPr>
      <w:r w:rsidRPr="001D5327">
        <w:lastRenderedPageBreak/>
        <w:t xml:space="preserve">All NZ ETS participants </w:t>
      </w:r>
      <w:r w:rsidR="00F15CDF">
        <w:t>must</w:t>
      </w:r>
      <w:r w:rsidRPr="001D5327">
        <w:t xml:space="preserve"> report their emissions in the calendar year but not all receive or</w:t>
      </w:r>
      <w:r w:rsidR="00B870DE" w:rsidRPr="001D5327">
        <w:t> </w:t>
      </w:r>
      <w:r w:rsidRPr="001D5327">
        <w:t>apply for ETS units. This encompasses production of clinker, container glass and burnt lime, including any burnt lime that is subsequently made into slaked lime (calcium hydroxide).</w:t>
      </w:r>
    </w:p>
    <w:p w14:paraId="16AD41AF" w14:textId="77777777" w:rsidR="009327C0" w:rsidRPr="001D5327" w:rsidRDefault="009327C0" w:rsidP="009327C0">
      <w:pPr>
        <w:pStyle w:val="Heading5"/>
      </w:pPr>
      <w:bookmarkStart w:id="426" w:name="cement-production-2.a.1"/>
      <w:bookmarkEnd w:id="425"/>
      <w:r w:rsidRPr="001D5327">
        <w:t>Cement production (2.A.1)</w:t>
      </w:r>
    </w:p>
    <w:p w14:paraId="0FBD94FE" w14:textId="77777777" w:rsidR="009327C0" w:rsidRPr="001D5327" w:rsidRDefault="009327C0" w:rsidP="009327C0">
      <w:pPr>
        <w:pStyle w:val="BodyText"/>
        <w:spacing w:before="100" w:after="100"/>
      </w:pPr>
      <w:r w:rsidRPr="001D5327">
        <w:t xml:space="preserve">In 2023, the </w:t>
      </w:r>
      <w:r w:rsidRPr="001D5327">
        <w:rPr>
          <w:i/>
          <w:iCs/>
        </w:rPr>
        <w:t>Cement production</w:t>
      </w:r>
      <w:r w:rsidRPr="001D5327">
        <w:t xml:space="preserve"> category accounted for 379.0 kt CO</w:t>
      </w:r>
      <w:r w:rsidRPr="001D5327">
        <w:rPr>
          <w:vertAlign w:val="subscript"/>
        </w:rPr>
        <w:t>2</w:t>
      </w:r>
      <w:r w:rsidRPr="001D5327">
        <w:t xml:space="preserve">-e (71.8 per cent) of emissions from the </w:t>
      </w:r>
      <w:r w:rsidRPr="001D5327">
        <w:rPr>
          <w:i/>
          <w:iCs/>
        </w:rPr>
        <w:t>Mineral industry</w:t>
      </w:r>
      <w:r w:rsidRPr="001D5327">
        <w:t xml:space="preserve"> category. The activity data used are the amounts of clinker produced by the cement plants. Calculation of emissions from clinker production is done on a plant-specific basis by the companies in preparing their NZ ETS returns. Because historically only two companies have been making cement in New Zealand, and now there is only one, the activity data for the </w:t>
      </w:r>
      <w:r w:rsidRPr="001D5327">
        <w:rPr>
          <w:i/>
          <w:iCs/>
        </w:rPr>
        <w:t>Cement production</w:t>
      </w:r>
      <w:r w:rsidRPr="001D5327">
        <w:t xml:space="preserve"> category are not reported and have been shown as confidential in the CRTs. For the years up to 2009, activity and emissions data were supplied by the cement companies to MBIE. From 2010, the companies’ NZ ETS returns have been used as the data source.</w:t>
      </w:r>
    </w:p>
    <w:p w14:paraId="77099383" w14:textId="77777777" w:rsidR="009327C0" w:rsidRPr="001D5327" w:rsidRDefault="009327C0" w:rsidP="009327C0">
      <w:pPr>
        <w:pStyle w:val="Heading5"/>
      </w:pPr>
      <w:bookmarkStart w:id="427" w:name="lime-production-2.a.2"/>
      <w:bookmarkEnd w:id="426"/>
      <w:r w:rsidRPr="001D5327">
        <w:t>Lime production (2.A.2)</w:t>
      </w:r>
    </w:p>
    <w:p w14:paraId="456CEE1E" w14:textId="77777777" w:rsidR="009327C0" w:rsidRPr="001D5327" w:rsidRDefault="009327C0" w:rsidP="009327C0">
      <w:pPr>
        <w:pStyle w:val="BodyText"/>
        <w:spacing w:before="100" w:after="100"/>
      </w:pPr>
      <w:r w:rsidRPr="001D5327">
        <w:t xml:space="preserve">In 2023, the </w:t>
      </w:r>
      <w:r w:rsidRPr="001D5327">
        <w:rPr>
          <w:i/>
          <w:iCs/>
        </w:rPr>
        <w:t>Lime production</w:t>
      </w:r>
      <w:r w:rsidRPr="001D5327">
        <w:t xml:space="preserve"> category accounted for 96.2 kt CO</w:t>
      </w:r>
      <w:r w:rsidRPr="001D5327">
        <w:rPr>
          <w:vertAlign w:val="subscript"/>
        </w:rPr>
        <w:t>2</w:t>
      </w:r>
      <w:r w:rsidRPr="001D5327">
        <w:t xml:space="preserve">-e (18.2 per cent) of emissions from the </w:t>
      </w:r>
      <w:r w:rsidRPr="001D5327">
        <w:rPr>
          <w:i/>
          <w:iCs/>
        </w:rPr>
        <w:t>Mineral industry</w:t>
      </w:r>
      <w:r w:rsidRPr="001D5327">
        <w:t xml:space="preserve"> category. The activity data used are the amounts of burnt lime produced, reported as tonnes of pure calcium oxide (CaO), as required in NZ ETS returns. This measure is used regardless of whether the lime is subsequently hydrated to make calcium hydroxide (Ca(OH)</w:t>
      </w:r>
      <w:r w:rsidRPr="001D5327">
        <w:rPr>
          <w:vertAlign w:val="subscript"/>
        </w:rPr>
        <w:t>2</w:t>
      </w:r>
      <w:r w:rsidRPr="001D5327">
        <w:t>).</w:t>
      </w:r>
    </w:p>
    <w:p w14:paraId="7EF7D388" w14:textId="77777777" w:rsidR="009327C0" w:rsidRPr="001D5327" w:rsidRDefault="009327C0" w:rsidP="009327C0">
      <w:pPr>
        <w:pStyle w:val="BodyText"/>
        <w:spacing w:before="100" w:after="100"/>
      </w:pPr>
      <w:r w:rsidRPr="001D5327">
        <w:t>Activity and emissions data were supplied annually by the lime companies to MBIE until 2009. This included the amount of burnt lime produced each year. From 2010, lime companies have reported CO</w:t>
      </w:r>
      <w:r w:rsidRPr="001D5327">
        <w:rPr>
          <w:vertAlign w:val="subscript"/>
        </w:rPr>
        <w:t>2</w:t>
      </w:r>
      <w:r w:rsidRPr="001D5327">
        <w:t xml:space="preserve"> emissions and the amounts of pure CaO in the lime that they produce in their reporting to the EPA.</w:t>
      </w:r>
    </w:p>
    <w:p w14:paraId="047AF20F" w14:textId="77777777" w:rsidR="009327C0" w:rsidRPr="001D5327" w:rsidRDefault="009327C0" w:rsidP="009327C0">
      <w:pPr>
        <w:pStyle w:val="Heading5"/>
      </w:pPr>
      <w:bookmarkStart w:id="428" w:name="glass-production-2.a.3"/>
      <w:bookmarkEnd w:id="427"/>
      <w:r w:rsidRPr="001D5327">
        <w:t>Glass production (2.A.3)</w:t>
      </w:r>
    </w:p>
    <w:p w14:paraId="7BA4E16B" w14:textId="209D8D3D" w:rsidR="009327C0" w:rsidRPr="001D5327" w:rsidRDefault="009327C0" w:rsidP="009327C0">
      <w:pPr>
        <w:pStyle w:val="BodyText"/>
        <w:spacing w:before="100" w:after="100"/>
      </w:pPr>
      <w:r w:rsidRPr="001D5327">
        <w:t xml:space="preserve">Activity and emissions data for the </w:t>
      </w:r>
      <w:r w:rsidRPr="001D5327">
        <w:rPr>
          <w:i/>
          <w:iCs/>
        </w:rPr>
        <w:t>Glass production</w:t>
      </w:r>
      <w:r w:rsidRPr="001D5327">
        <w:t xml:space="preserve"> category are not reported in 2.A.3. Instead, emissions from the use of soda ash and limestone in glass making are reported in the</w:t>
      </w:r>
      <w:r w:rsidR="00474D10" w:rsidRPr="001D5327">
        <w:t> </w:t>
      </w:r>
      <w:r w:rsidRPr="001D5327">
        <w:rPr>
          <w:i/>
          <w:iCs/>
        </w:rPr>
        <w:t>Other process uses of carbonates</w:t>
      </w:r>
      <w:r w:rsidRPr="001D5327">
        <w:t xml:space="preserve"> (2.A.4) category due to confidentiality concerns. These are aggregated with other relatively small amounts of CO</w:t>
      </w:r>
      <w:r w:rsidRPr="001D5327">
        <w:rPr>
          <w:vertAlign w:val="subscript"/>
        </w:rPr>
        <w:t>2</w:t>
      </w:r>
      <w:r w:rsidRPr="001D5327">
        <w:t xml:space="preserve"> emissions that derive from the calcination of limestone and soda ash.</w:t>
      </w:r>
    </w:p>
    <w:p w14:paraId="7F68BA02" w14:textId="77777777" w:rsidR="009327C0" w:rsidRPr="001D5327" w:rsidRDefault="009327C0" w:rsidP="009327C0">
      <w:pPr>
        <w:pStyle w:val="Heading5"/>
      </w:pPr>
      <w:bookmarkStart w:id="429" w:name="other-process-uses-of-carbonates-2.a.4"/>
      <w:bookmarkEnd w:id="428"/>
      <w:r w:rsidRPr="001D5327">
        <w:t>Other process uses of carbonates (2.A.4)</w:t>
      </w:r>
    </w:p>
    <w:p w14:paraId="6FB4CD8B" w14:textId="77777777" w:rsidR="009327C0" w:rsidRPr="001D5327" w:rsidRDefault="009327C0" w:rsidP="009327C0">
      <w:pPr>
        <w:pStyle w:val="BodyText"/>
        <w:spacing w:after="100"/>
      </w:pPr>
      <w:r w:rsidRPr="001D5327">
        <w:t xml:space="preserve">The data reported in the </w:t>
      </w:r>
      <w:r w:rsidRPr="001D5327">
        <w:rPr>
          <w:i/>
          <w:iCs/>
        </w:rPr>
        <w:t>Glass production</w:t>
      </w:r>
      <w:r w:rsidRPr="001D5327">
        <w:t xml:space="preserve"> category have been aggregated as follows and reported in the </w:t>
      </w:r>
      <w:r w:rsidRPr="001D5327">
        <w:rPr>
          <w:i/>
          <w:iCs/>
        </w:rPr>
        <w:t>Other process uses of carbonates</w:t>
      </w:r>
      <w:r w:rsidRPr="001D5327">
        <w:t xml:space="preserve"> category.</w:t>
      </w:r>
    </w:p>
    <w:p w14:paraId="063E4037" w14:textId="77777777" w:rsidR="009327C0" w:rsidRPr="001D5327" w:rsidRDefault="009327C0" w:rsidP="009327C0">
      <w:pPr>
        <w:pStyle w:val="Bullet"/>
        <w:spacing w:after="100"/>
      </w:pPr>
      <w:r w:rsidRPr="001D5327">
        <w:t>Emissions from a relatively small amount of soda ash used by New Zealand Aluminium Smelters Ltd (NZAS) at the Tiwai Point smelter are reported in 2.A.4.b (</w:t>
      </w:r>
      <w:r w:rsidRPr="001D5327">
        <w:rPr>
          <w:i/>
          <w:iCs/>
        </w:rPr>
        <w:t>Other uses of soda ash</w:t>
      </w:r>
      <w:r w:rsidRPr="001D5327">
        <w:t>) and aggregated with the CO</w:t>
      </w:r>
      <w:r w:rsidRPr="001D5327">
        <w:rPr>
          <w:vertAlign w:val="subscript"/>
        </w:rPr>
        <w:t>2</w:t>
      </w:r>
      <w:r w:rsidRPr="001D5327">
        <w:t xml:space="preserve"> emissions from soda ash used in glass making.</w:t>
      </w:r>
    </w:p>
    <w:p w14:paraId="1D32350E" w14:textId="77777777" w:rsidR="009327C0" w:rsidRPr="001D5327" w:rsidRDefault="009327C0" w:rsidP="009327C0">
      <w:pPr>
        <w:pStyle w:val="Bullet"/>
      </w:pPr>
      <w:r w:rsidRPr="001D5327">
        <w:t>Emissions from a relatively small amount of limestone used by New Zealand Steel Limited are reported in 2.A.4.d (</w:t>
      </w:r>
      <w:r w:rsidRPr="001D5327">
        <w:rPr>
          <w:i/>
          <w:iCs/>
        </w:rPr>
        <w:t>Other</w:t>
      </w:r>
      <w:r w:rsidRPr="001D5327">
        <w:t>) and aggregated with emissions from limestone used in glass making.</w:t>
      </w:r>
    </w:p>
    <w:p w14:paraId="2A2A20F8" w14:textId="77777777" w:rsidR="009327C0" w:rsidRPr="001D5327" w:rsidRDefault="009327C0" w:rsidP="009327C0">
      <w:pPr>
        <w:pStyle w:val="BodyText"/>
      </w:pPr>
      <w:r w:rsidRPr="001D5327">
        <w:t>The amounts of soda ash and limestone used are reported as activity data in these two CRTs. Also, because the limestone emissions cannot be fully disaggregated in early data provided by New Zealand Steel Limited, an extremely small amount of CO</w:t>
      </w:r>
      <w:r w:rsidRPr="001D5327">
        <w:rPr>
          <w:vertAlign w:val="subscript"/>
        </w:rPr>
        <w:t>2</w:t>
      </w:r>
      <w:r w:rsidRPr="001D5327">
        <w:t xml:space="preserve"> from coke and electrode use at the steel plant is also included (see section 4.4.2).</w:t>
      </w:r>
    </w:p>
    <w:p w14:paraId="2D3F9D7E" w14:textId="34FC9AA8" w:rsidR="009327C0" w:rsidRPr="001D5327" w:rsidRDefault="009327C0" w:rsidP="009327C0">
      <w:pPr>
        <w:pStyle w:val="BodyText"/>
      </w:pPr>
      <w:r w:rsidRPr="001D5327">
        <w:lastRenderedPageBreak/>
        <w:t>Data on glass making for the years up to 2006 were provided by the companies and updated for the years 2007 to 2009 by survey requests from MBIE. Data on limestone and soda ash use</w:t>
      </w:r>
      <w:r w:rsidR="00474D10" w:rsidRPr="001D5327">
        <w:t> </w:t>
      </w:r>
      <w:r w:rsidRPr="001D5327">
        <w:t>were based on the companies’ records where available. In the case of one glass-making facility, some historical emissions data had to be estimated based only on glass production rates, because actual limestone and soda ash use was not recorded before 2006.</w:t>
      </w:r>
    </w:p>
    <w:p w14:paraId="7C89A49D" w14:textId="77777777" w:rsidR="009327C0" w:rsidRPr="001D5327" w:rsidRDefault="009327C0" w:rsidP="009327C0">
      <w:pPr>
        <w:pStyle w:val="BodyText"/>
      </w:pPr>
      <w:r w:rsidRPr="001D5327">
        <w:t>From 2010 to 2023, the glass companies’ NZ ETS returns are used.</w:t>
      </w:r>
    </w:p>
    <w:p w14:paraId="477D23EE" w14:textId="77777777" w:rsidR="009327C0" w:rsidRPr="001D5327" w:rsidRDefault="009327C0" w:rsidP="009327C0">
      <w:pPr>
        <w:pStyle w:val="BodyText"/>
      </w:pPr>
      <w:r w:rsidRPr="001D5327">
        <w:t>A very small amount of CO</w:t>
      </w:r>
      <w:r w:rsidRPr="001D5327">
        <w:rPr>
          <w:vertAlign w:val="subscript"/>
        </w:rPr>
        <w:t>2</w:t>
      </w:r>
      <w:r w:rsidRPr="001D5327">
        <w:t xml:space="preserve"> is reported from the use of kaolin clays in ceramics production (2.A.4.a). The activity data used are the approximate amount of kaolin clay produced for this purpose (Christie et al., 1999). In the absence of better data, the rate of production is assumed constant for the whole time series. Emissions from ground limestone used in liming agricultural soils are reported under the Agriculture sector.</w:t>
      </w:r>
    </w:p>
    <w:p w14:paraId="26D835E8" w14:textId="77777777" w:rsidR="009327C0" w:rsidRPr="001D5327" w:rsidRDefault="009327C0" w:rsidP="009327C0">
      <w:pPr>
        <w:pStyle w:val="Heading4"/>
      </w:pPr>
      <w:bookmarkStart w:id="430" w:name="choice-of-methods"/>
      <w:bookmarkEnd w:id="424"/>
      <w:bookmarkEnd w:id="429"/>
      <w:r w:rsidRPr="001D5327">
        <w:t>Choice of methods</w:t>
      </w:r>
    </w:p>
    <w:p w14:paraId="4F98D3F5" w14:textId="77777777" w:rsidR="009327C0" w:rsidRPr="001D5327" w:rsidRDefault="009327C0" w:rsidP="009327C0">
      <w:pPr>
        <w:pStyle w:val="BodyText"/>
      </w:pPr>
      <w:r w:rsidRPr="001D5327">
        <w:t xml:space="preserve">For the years up to 2009, cement emissions were calculated using the methodology specified in the </w:t>
      </w:r>
      <w:r w:rsidRPr="001D5327">
        <w:rPr>
          <w:i/>
          <w:iCs/>
        </w:rPr>
        <w:t>Cement CO</w:t>
      </w:r>
      <w:r w:rsidRPr="001D5327">
        <w:rPr>
          <w:i/>
          <w:iCs/>
          <w:vertAlign w:val="subscript"/>
        </w:rPr>
        <w:t>2</w:t>
      </w:r>
      <w:r w:rsidRPr="001D5327">
        <w:rPr>
          <w:i/>
          <w:iCs/>
        </w:rPr>
        <w:t xml:space="preserve"> Protocol</w:t>
      </w:r>
      <w:r w:rsidRPr="001D5327">
        <w:t xml:space="preserve"> (World Business Council for Sustainable Development, 2005), which uses plant-specific emission factors based on the CaO and magnesium oxide (MgO) content of clinker produced. This also includes an adjustment for emissions due to cement kiln dust. This calculation is consistent with the IPCC Tier 2 method (IPCC, 2006a).</w:t>
      </w:r>
    </w:p>
    <w:p w14:paraId="35082D34" w14:textId="77777777" w:rsidR="009327C0" w:rsidRPr="001D5327" w:rsidRDefault="009327C0" w:rsidP="009327C0">
      <w:pPr>
        <w:pStyle w:val="BodyText"/>
      </w:pPr>
      <w:r w:rsidRPr="001D5327">
        <w:t>Emissions for lime up to 2009 were calculated using the IPCC Tier 1 method and the default emission factor of 0.75 tonnes CO</w:t>
      </w:r>
      <w:r w:rsidRPr="001D5327">
        <w:rPr>
          <w:vertAlign w:val="subscript"/>
        </w:rPr>
        <w:t>2</w:t>
      </w:r>
      <w:r w:rsidRPr="001D5327">
        <w:t xml:space="preserve"> per tonne of burnt lime produced. For glass making, the IPCC Tier 1 method and default emission factors were also used for the years up to 2009.</w:t>
      </w:r>
    </w:p>
    <w:p w14:paraId="15BAFD82" w14:textId="77777777" w:rsidR="009327C0" w:rsidRPr="001D5327" w:rsidRDefault="009327C0" w:rsidP="009327C0">
      <w:pPr>
        <w:pStyle w:val="BodyText"/>
      </w:pPr>
      <w:r w:rsidRPr="001D5327">
        <w:t xml:space="preserve">For NZ ETS reporting in the </w:t>
      </w:r>
      <w:r w:rsidRPr="001D5327">
        <w:rPr>
          <w:i/>
          <w:iCs/>
        </w:rPr>
        <w:t>Mineral industry</w:t>
      </w:r>
      <w:r w:rsidRPr="001D5327">
        <w:t xml:space="preserve"> category (from 2010), the methods used are specified in the Climate Change (Stationary Energy and Industrial Processes) Regulations 2009. These methods require firms making clinker or burnt lime to report CO</w:t>
      </w:r>
      <w:r w:rsidRPr="001D5327">
        <w:rPr>
          <w:vertAlign w:val="subscript"/>
        </w:rPr>
        <w:t>2</w:t>
      </w:r>
      <w:r w:rsidRPr="001D5327">
        <w:t xml:space="preserve"> emissions calculated from the amount of pure product made from calcination. In calculating their emissions, NZ ETS participants who make clinker or lime are required to determine and report the amounts of pure CaO and MgO in the clinker or burnt lime produced, and in kiln dust if relevant. The emissions are calculated from this chemical composition. The calculation of total emissions (TE) can be summarised as:</w:t>
      </w:r>
    </w:p>
    <w:p w14:paraId="419C20FE" w14:textId="29B66E42" w:rsidR="009327C0" w:rsidRPr="001D5327" w:rsidRDefault="009327C0" w:rsidP="009327C0">
      <w:pPr>
        <w:pStyle w:val="BodyText"/>
      </w:pPr>
      <m:oMathPara>
        <m:oMathParaPr>
          <m:jc m:val="center"/>
        </m:oMathParaPr>
        <m:oMath>
          <m:r>
            <m:rPr>
              <m:nor/>
            </m:rPr>
            <w:rPr>
              <w:rFonts w:ascii="Cambria Math" w:hAnsi="Cambria Math"/>
            </w:rPr>
            <m:t>TE</m:t>
          </m:r>
          <m:r>
            <m:rPr>
              <m:sty m:val="p"/>
            </m:rPr>
            <w:rPr>
              <w:rFonts w:ascii="Cambria Math" w:hAnsi="Cambria Math"/>
            </w:rPr>
            <m:t>=</m:t>
          </m:r>
          <m:r>
            <w:rPr>
              <w:rFonts w:ascii="Cambria Math" w:hAnsi="Cambria Math"/>
            </w:rPr>
            <m:t>0.7848</m:t>
          </m:r>
          <m:r>
            <m:rPr>
              <m:sty m:val="p"/>
            </m:rPr>
            <w:rPr>
              <w:rFonts w:ascii="Cambria Math" w:hAnsi="Cambria Math"/>
            </w:rPr>
            <m:t>×</m:t>
          </m:r>
          <m:r>
            <m:rPr>
              <m:nor/>
            </m:rPr>
            <w:rPr>
              <w:rFonts w:ascii="Cambria Math" w:hAnsi="Cambria Math"/>
            </w:rPr>
            <m:t>A</m:t>
          </m:r>
          <m:r>
            <m:rPr>
              <m:sty m:val="p"/>
            </m:rPr>
            <w:rPr>
              <w:rFonts w:ascii="Cambria Math" w:hAnsi="Cambria Math"/>
            </w:rPr>
            <m:t>+</m:t>
          </m:r>
          <m:r>
            <w:rPr>
              <w:rFonts w:ascii="Cambria Math" w:hAnsi="Cambria Math"/>
            </w:rPr>
            <m:t>1.0919</m:t>
          </m:r>
          <m:r>
            <m:rPr>
              <m:sty m:val="p"/>
            </m:rPr>
            <w:rPr>
              <w:rFonts w:ascii="Cambria Math" w:hAnsi="Cambria Math"/>
            </w:rPr>
            <m:t>×</m:t>
          </m:r>
          <m:r>
            <m:rPr>
              <m:nor/>
            </m:rPr>
            <w:rPr>
              <w:rFonts w:ascii="Cambria Math" w:hAnsi="Cambria Math"/>
            </w:rPr>
            <m:t>B</m:t>
          </m:r>
          <m:r>
            <m:rPr>
              <m:sty m:val="p"/>
            </m:rPr>
            <w:rPr>
              <w:rFonts w:ascii="Cambria Math" w:hAnsi="Cambria Math"/>
            </w:rPr>
            <m:t>+</m:t>
          </m:r>
          <m:r>
            <w:rPr>
              <w:rFonts w:ascii="Cambria Math" w:hAnsi="Cambria Math"/>
            </w:rPr>
            <m:t>0.7848</m:t>
          </m:r>
          <m:r>
            <m:rPr>
              <m:sty m:val="p"/>
            </m:rPr>
            <w:rPr>
              <w:rFonts w:ascii="Cambria Math" w:hAnsi="Cambria Math"/>
            </w:rPr>
            <m:t>×</m:t>
          </m:r>
          <m:r>
            <m:rPr>
              <m:nor/>
            </m:rPr>
            <w:rPr>
              <w:rFonts w:ascii="Cambria Math" w:hAnsi="Cambria Math"/>
            </w:rPr>
            <m:t>C</m:t>
          </m:r>
        </m:oMath>
      </m:oMathPara>
    </w:p>
    <w:p w14:paraId="6193CA84" w14:textId="77777777" w:rsidR="003B348D" w:rsidRPr="001D5327" w:rsidRDefault="009327C0" w:rsidP="003B348D">
      <w:pPr>
        <w:pStyle w:val="BodyText"/>
        <w:spacing w:before="40" w:after="40"/>
        <w:ind w:left="851" w:hanging="851"/>
      </w:pPr>
      <w:r w:rsidRPr="001D5327">
        <w:t xml:space="preserve">Where: </w:t>
      </w:r>
      <w:r w:rsidRPr="001D5327">
        <w:tab/>
        <w:t>A is the amount of CaO produced</w:t>
      </w:r>
    </w:p>
    <w:p w14:paraId="1D761BEB" w14:textId="77777777" w:rsidR="003B348D" w:rsidRPr="001D5327" w:rsidRDefault="009327C0" w:rsidP="003B348D">
      <w:pPr>
        <w:pStyle w:val="BodyText"/>
        <w:spacing w:before="40" w:after="40"/>
        <w:ind w:left="851"/>
      </w:pPr>
      <w:r w:rsidRPr="001D5327">
        <w:t>B is the amount of MgO produced</w:t>
      </w:r>
    </w:p>
    <w:p w14:paraId="1DAA9607" w14:textId="5719B9C5" w:rsidR="009327C0" w:rsidRPr="001D5327" w:rsidRDefault="009327C0" w:rsidP="003B348D">
      <w:pPr>
        <w:pStyle w:val="BodyText"/>
        <w:spacing w:before="40" w:after="40"/>
        <w:ind w:left="851"/>
      </w:pPr>
      <w:r w:rsidRPr="001D5327">
        <w:t>C is the amount of kiln dust produced.</w:t>
      </w:r>
    </w:p>
    <w:p w14:paraId="344A57A5" w14:textId="77777777" w:rsidR="009327C0" w:rsidRPr="001D5327" w:rsidRDefault="009327C0" w:rsidP="009327C0">
      <w:pPr>
        <w:pStyle w:val="BodyText"/>
      </w:pPr>
      <w:r w:rsidRPr="001D5327">
        <w:rPr>
          <w:spacing w:val="-2"/>
        </w:rPr>
        <w:t>Similarly, based on the Climate Change (Stationary Energy and Industrial Processes) Regulations</w:t>
      </w:r>
      <w:r w:rsidRPr="001D5327">
        <w:t xml:space="preserve"> 2009, NZ ETS participants who make glass report the amounts of pure limestone, dolomite and soda ash that they use in the process. This is consistent with the Tier 3 methods in volume 3, </w:t>
      </w:r>
      <w:r w:rsidRPr="001D5327">
        <w:rPr>
          <w:i/>
          <w:iCs/>
        </w:rPr>
        <w:t>Industrial Processes and Product Use</w:t>
      </w:r>
      <w:r w:rsidRPr="001D5327">
        <w:t>, of the 2006 IPCC Guidelines (IPCC, 2006a) but is described as country specific in the CRT because of a minor discrepancy: NZ ETS participants are not required to report separately very small amounts of kiln dust or MgO.</w:t>
      </w:r>
    </w:p>
    <w:p w14:paraId="23112B43" w14:textId="77777777" w:rsidR="009327C0" w:rsidRPr="001D5327" w:rsidRDefault="009327C0" w:rsidP="009327C0">
      <w:pPr>
        <w:pStyle w:val="BodyText"/>
      </w:pPr>
      <w:r w:rsidRPr="001D5327">
        <w:rPr>
          <w:spacing w:val="-2"/>
        </w:rPr>
        <w:t>NZ ETS participants in this category are not required to report annually on the specific methods</w:t>
      </w:r>
      <w:r w:rsidRPr="001D5327">
        <w:t xml:space="preserve"> that they have used to determine the amounts of pure CaO, MgO and other compounds that they report in their NZ ETS returns. They are required to keep this information available and it is verified regularly by the EPA.</w:t>
      </w:r>
    </w:p>
    <w:p w14:paraId="64B56668" w14:textId="77777777" w:rsidR="009327C0" w:rsidRPr="001D5327" w:rsidRDefault="009327C0" w:rsidP="00DF2E25">
      <w:pPr>
        <w:pStyle w:val="BodyText"/>
        <w:spacing w:before="100" w:after="100"/>
      </w:pPr>
      <w:r w:rsidRPr="001D5327">
        <w:lastRenderedPageBreak/>
        <w:t>All other emissions use Tier 1 methods. This includes the small amount of SO</w:t>
      </w:r>
      <w:r w:rsidRPr="001D5327">
        <w:rPr>
          <w:vertAlign w:val="subscript"/>
        </w:rPr>
        <w:t>2</w:t>
      </w:r>
      <w:r w:rsidRPr="001D5327">
        <w:t xml:space="preserve"> emissions reported for cement production. Emissions of SO</w:t>
      </w:r>
      <w:r w:rsidRPr="001D5327">
        <w:rPr>
          <w:vertAlign w:val="subscript"/>
        </w:rPr>
        <w:t>2</w:t>
      </w:r>
      <w:r w:rsidRPr="001D5327">
        <w:t xml:space="preserve"> from lime production were also estimated (CRL Energy, unpublished(a)). These used a country-specific emission factor of 0.5 kilograms SO</w:t>
      </w:r>
      <w:r w:rsidRPr="001D5327">
        <w:rPr>
          <w:vertAlign w:val="subscript"/>
        </w:rPr>
        <w:t>2</w:t>
      </w:r>
      <w:r w:rsidRPr="001D5327">
        <w:t xml:space="preserve"> per tonne of burnt lime produced, derived from plant measurements carried out in earlier years. There is no provision in the CRT to report these emissions, however.</w:t>
      </w:r>
    </w:p>
    <w:p w14:paraId="1E267F0C" w14:textId="77777777" w:rsidR="009327C0" w:rsidRPr="001D5327" w:rsidRDefault="009327C0" w:rsidP="009327C0">
      <w:pPr>
        <w:pStyle w:val="Heading4"/>
      </w:pPr>
      <w:bookmarkStart w:id="431" w:name="X64e8346dfcafd746400d549bffeca46f4706a17"/>
      <w:bookmarkEnd w:id="430"/>
      <w:r w:rsidRPr="001D5327">
        <w:t>Choice of emission factors and parameters</w:t>
      </w:r>
    </w:p>
    <w:p w14:paraId="45E4ABFA" w14:textId="77777777" w:rsidR="009327C0" w:rsidRPr="001D5327" w:rsidRDefault="009327C0" w:rsidP="00DF2E25">
      <w:pPr>
        <w:pStyle w:val="BodyText"/>
        <w:spacing w:before="100" w:after="100"/>
      </w:pPr>
      <w:r w:rsidRPr="001D5327">
        <w:t xml:space="preserve">All calculations made for NZ ETS reporting and used in the </w:t>
      </w:r>
      <w:r w:rsidRPr="001D5327">
        <w:rPr>
          <w:i/>
          <w:iCs/>
        </w:rPr>
        <w:t>Mineral industry</w:t>
      </w:r>
      <w:r w:rsidRPr="001D5327">
        <w:t xml:space="preserve"> category are based on plant-specific analysis.</w:t>
      </w:r>
    </w:p>
    <w:p w14:paraId="70A66DA2" w14:textId="77777777" w:rsidR="009327C0" w:rsidRPr="001D5327" w:rsidRDefault="009327C0" w:rsidP="00DF2E25">
      <w:pPr>
        <w:pStyle w:val="BodyText"/>
        <w:spacing w:before="100" w:after="100"/>
      </w:pPr>
      <w:r w:rsidRPr="001D5327">
        <w:t>The small amounts of SO</w:t>
      </w:r>
      <w:r w:rsidRPr="001D5327">
        <w:rPr>
          <w:vertAlign w:val="subscript"/>
        </w:rPr>
        <w:t>2</w:t>
      </w:r>
      <w:r w:rsidRPr="001D5327">
        <w:t xml:space="preserve"> emitted in the </w:t>
      </w:r>
      <w:r w:rsidRPr="001D5327">
        <w:rPr>
          <w:i/>
          <w:iCs/>
        </w:rPr>
        <w:t>Cement production</w:t>
      </w:r>
      <w:r w:rsidRPr="001D5327">
        <w:t xml:space="preserve"> category are estimated using plant-specific emission factors taken from mass balance data derived for the two cement plants in 2002 and 2005 (CRL Energy, unpublished(a)).</w:t>
      </w:r>
    </w:p>
    <w:p w14:paraId="3BC8DB8F" w14:textId="77777777" w:rsidR="009327C0" w:rsidRPr="001D5327" w:rsidRDefault="009327C0" w:rsidP="00DF2E25">
      <w:pPr>
        <w:pStyle w:val="BodyText"/>
        <w:spacing w:before="100" w:after="100"/>
      </w:pPr>
      <w:r w:rsidRPr="001D5327">
        <w:t>For the very small emissions of CO</w:t>
      </w:r>
      <w:r w:rsidRPr="001D5327">
        <w:rPr>
          <w:vertAlign w:val="subscript"/>
        </w:rPr>
        <w:t>2</w:t>
      </w:r>
      <w:r w:rsidRPr="001D5327">
        <w:t xml:space="preserve"> from the </w:t>
      </w:r>
      <w:r w:rsidRPr="001D5327">
        <w:rPr>
          <w:i/>
          <w:iCs/>
        </w:rPr>
        <w:t>Ceramics</w:t>
      </w:r>
      <w:r w:rsidRPr="001D5327">
        <w:t xml:space="preserve"> (2.A.4.a) category, a country-specific emission factor of 0.1 per cent of carbonates (as equivalent calcium carbonate) in local kaolin clay is used.</w:t>
      </w:r>
    </w:p>
    <w:p w14:paraId="239BD298" w14:textId="77777777" w:rsidR="009327C0" w:rsidRPr="001D5327" w:rsidRDefault="009327C0" w:rsidP="00DF2E25">
      <w:pPr>
        <w:pStyle w:val="BodyText"/>
        <w:spacing w:before="100" w:after="100"/>
      </w:pPr>
      <w:r w:rsidRPr="001D5327">
        <w:t>Other emission factors used are IPCC defaults.</w:t>
      </w:r>
    </w:p>
    <w:p w14:paraId="2BEADC4C" w14:textId="77777777" w:rsidR="009327C0" w:rsidRPr="001D5327" w:rsidRDefault="009327C0" w:rsidP="009327C0">
      <w:pPr>
        <w:pStyle w:val="Heading3"/>
      </w:pPr>
      <w:bookmarkStart w:id="432" w:name="Xd9e107894e296f5afe30d8cd057c67dba2122d9"/>
      <w:bookmarkEnd w:id="423"/>
      <w:bookmarkEnd w:id="431"/>
      <w:r w:rsidRPr="001D5327">
        <w:t xml:space="preserve">4.2.3 </w:t>
      </w:r>
      <w:r w:rsidRPr="001D5327">
        <w:tab/>
        <w:t>Uncertainty assessment and time-series consistency</w:t>
      </w:r>
    </w:p>
    <w:p w14:paraId="6C122999" w14:textId="77777777" w:rsidR="009327C0" w:rsidRPr="001D5327" w:rsidRDefault="009327C0" w:rsidP="009327C0">
      <w:pPr>
        <w:pStyle w:val="Heading4"/>
      </w:pPr>
      <w:bookmarkStart w:id="433" w:name="uncertainties-1"/>
      <w:r w:rsidRPr="001D5327">
        <w:t>Uncertainties</w:t>
      </w:r>
    </w:p>
    <w:p w14:paraId="0FD2B232" w14:textId="77777777" w:rsidR="009327C0" w:rsidRPr="001D5327" w:rsidRDefault="009327C0" w:rsidP="00DF2E25">
      <w:pPr>
        <w:pStyle w:val="BodyText"/>
        <w:spacing w:before="100" w:after="100"/>
      </w:pPr>
      <w:r w:rsidRPr="001D5327">
        <w:t>IPCC default uncertainties have been used for all CO</w:t>
      </w:r>
      <w:r w:rsidRPr="001D5327">
        <w:rPr>
          <w:vertAlign w:val="subscript"/>
        </w:rPr>
        <w:t>2</w:t>
      </w:r>
      <w:r w:rsidRPr="001D5327">
        <w:t xml:space="preserve"> emissions from the </w:t>
      </w:r>
      <w:r w:rsidRPr="001D5327">
        <w:rPr>
          <w:i/>
          <w:iCs/>
        </w:rPr>
        <w:t>Mineral industry</w:t>
      </w:r>
      <w:r w:rsidRPr="001D5327">
        <w:t xml:space="preserve"> category (see table 4.2.1), except ceramics for which there is substantial uncertainty in the activity data and in the composition of clay. Cement kiln dust is not relevant for 2017 to 2023 because the cement plant now operating reports no significant kiln dust produced. For SO</w:t>
      </w:r>
      <w:r w:rsidRPr="001D5327">
        <w:rPr>
          <w:vertAlign w:val="subscript"/>
        </w:rPr>
        <w:t>2</w:t>
      </w:r>
      <w:r w:rsidRPr="001D5327">
        <w:t xml:space="preserve"> emissions in the </w:t>
      </w:r>
      <w:r w:rsidRPr="001D5327">
        <w:rPr>
          <w:i/>
          <w:iCs/>
        </w:rPr>
        <w:t>Cement production</w:t>
      </w:r>
      <w:r w:rsidRPr="001D5327">
        <w:t xml:space="preserve"> category, an uncertainty of ±40 per cent was estimated based on the variance between surveys when these emissions were determined (CRL Energy, unpublished(a)).</w:t>
      </w:r>
    </w:p>
    <w:p w14:paraId="210AD2F3" w14:textId="77777777" w:rsidR="009327C0" w:rsidRPr="001D5327" w:rsidRDefault="009327C0" w:rsidP="009327C0">
      <w:pPr>
        <w:pStyle w:val="Table"/>
      </w:pPr>
      <w:bookmarkStart w:id="434" w:name="_Toc194241683"/>
      <w:r w:rsidRPr="001D5327">
        <w:t xml:space="preserve">Table 4.2.1 </w:t>
      </w:r>
      <w:r w:rsidRPr="001D5327">
        <w:tab/>
        <w:t>Uncertainty in emissions from mineral products</w:t>
      </w:r>
      <w:bookmarkEnd w:id="434"/>
    </w:p>
    <w:tbl>
      <w:tblPr>
        <w:tblW w:w="8494" w:type="dxa"/>
        <w:tblBorders>
          <w:top w:val="single" w:sz="4" w:space="0" w:color="1B556B"/>
          <w:bottom w:val="single" w:sz="4" w:space="0" w:color="1B556B"/>
          <w:insideH w:val="single" w:sz="4" w:space="0" w:color="1B556B"/>
        </w:tblBorders>
        <w:tblLayout w:type="fixed"/>
        <w:tblCellMar>
          <w:left w:w="85" w:type="dxa"/>
          <w:right w:w="85" w:type="dxa"/>
        </w:tblCellMar>
        <w:tblLook w:val="0420" w:firstRow="1" w:lastRow="0" w:firstColumn="0" w:lastColumn="0" w:noHBand="0" w:noVBand="1"/>
      </w:tblPr>
      <w:tblGrid>
        <w:gridCol w:w="2634"/>
        <w:gridCol w:w="2780"/>
        <w:gridCol w:w="3080"/>
      </w:tblGrid>
      <w:tr w:rsidR="009327C0" w:rsidRPr="001D5327" w14:paraId="1E2F04CA" w14:textId="77777777" w:rsidTr="00D11AC9">
        <w:trPr>
          <w:tblHeader/>
        </w:trPr>
        <w:tc>
          <w:tcPr>
            <w:tcW w:w="2634" w:type="dxa"/>
            <w:shd w:val="clear" w:color="auto" w:fill="1B556B"/>
            <w:tcMar>
              <w:top w:w="0" w:type="dxa"/>
              <w:left w:w="85" w:type="dxa"/>
              <w:bottom w:w="0" w:type="dxa"/>
              <w:right w:w="85" w:type="dxa"/>
            </w:tcMar>
            <w:vAlign w:val="center"/>
          </w:tcPr>
          <w:p w14:paraId="374B8341" w14:textId="77777777" w:rsidR="009327C0" w:rsidRPr="001D5327" w:rsidRDefault="009327C0" w:rsidP="00D11AC9">
            <w:pPr>
              <w:pStyle w:val="TableTextBold"/>
              <w:spacing w:before="40" w:after="40"/>
              <w:rPr>
                <w:noProof w:val="0"/>
                <w:color w:val="FFFFFF" w:themeColor="background1"/>
              </w:rPr>
            </w:pPr>
            <w:r w:rsidRPr="001D5327">
              <w:rPr>
                <w:rFonts w:eastAsia="Calibri"/>
                <w:noProof w:val="0"/>
                <w:color w:val="FFFFFF" w:themeColor="background1"/>
              </w:rPr>
              <w:t>Mineral product</w:t>
            </w:r>
          </w:p>
        </w:tc>
        <w:tc>
          <w:tcPr>
            <w:tcW w:w="2780" w:type="dxa"/>
            <w:shd w:val="clear" w:color="auto" w:fill="1B556B"/>
            <w:tcMar>
              <w:top w:w="0" w:type="dxa"/>
              <w:left w:w="85" w:type="dxa"/>
              <w:bottom w:w="0" w:type="dxa"/>
              <w:right w:w="85" w:type="dxa"/>
            </w:tcMar>
            <w:vAlign w:val="center"/>
          </w:tcPr>
          <w:p w14:paraId="66F71952" w14:textId="77777777" w:rsidR="009327C0" w:rsidRPr="001D5327" w:rsidRDefault="009327C0"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activity data (%)</w:t>
            </w:r>
          </w:p>
        </w:tc>
        <w:tc>
          <w:tcPr>
            <w:tcW w:w="3080" w:type="dxa"/>
            <w:shd w:val="clear" w:color="auto" w:fill="1B556B"/>
            <w:tcMar>
              <w:top w:w="0" w:type="dxa"/>
              <w:left w:w="85" w:type="dxa"/>
              <w:bottom w:w="0" w:type="dxa"/>
              <w:right w:w="85" w:type="dxa"/>
            </w:tcMar>
            <w:vAlign w:val="center"/>
          </w:tcPr>
          <w:p w14:paraId="30934E49" w14:textId="77777777" w:rsidR="009327C0" w:rsidRPr="001D5327" w:rsidRDefault="009327C0"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emission factors (%)</w:t>
            </w:r>
          </w:p>
        </w:tc>
      </w:tr>
      <w:tr w:rsidR="009327C0" w:rsidRPr="001D5327" w14:paraId="0D1D2605" w14:textId="77777777" w:rsidTr="00D11AC9">
        <w:tc>
          <w:tcPr>
            <w:tcW w:w="2634" w:type="dxa"/>
            <w:shd w:val="clear" w:color="auto" w:fill="FFFFFF"/>
            <w:tcMar>
              <w:top w:w="0" w:type="dxa"/>
              <w:left w:w="85" w:type="dxa"/>
              <w:bottom w:w="0" w:type="dxa"/>
              <w:right w:w="85" w:type="dxa"/>
            </w:tcMar>
            <w:vAlign w:val="center"/>
          </w:tcPr>
          <w:p w14:paraId="0CD76AB0" w14:textId="77777777" w:rsidR="009327C0" w:rsidRPr="001D5327" w:rsidRDefault="009327C0" w:rsidP="00D11AC9">
            <w:pPr>
              <w:pStyle w:val="TableText"/>
              <w:spacing w:before="40" w:after="40"/>
            </w:pPr>
            <w:r w:rsidRPr="001D5327">
              <w:rPr>
                <w:rFonts w:eastAsia="Calibri"/>
              </w:rPr>
              <w:t>Cement (CO</w:t>
            </w:r>
            <w:r w:rsidRPr="001D5327">
              <w:rPr>
                <w:rFonts w:eastAsia="Calibri"/>
                <w:vertAlign w:val="subscript"/>
              </w:rPr>
              <w:t>2</w:t>
            </w:r>
            <w:r w:rsidRPr="001D5327">
              <w:rPr>
                <w:rFonts w:eastAsia="Calibri"/>
              </w:rPr>
              <w:t>)</w:t>
            </w:r>
          </w:p>
        </w:tc>
        <w:tc>
          <w:tcPr>
            <w:tcW w:w="2780" w:type="dxa"/>
            <w:shd w:val="clear" w:color="auto" w:fill="FFFFFF"/>
            <w:tcMar>
              <w:top w:w="0" w:type="dxa"/>
              <w:left w:w="85" w:type="dxa"/>
              <w:bottom w:w="0" w:type="dxa"/>
              <w:right w:w="85" w:type="dxa"/>
            </w:tcMar>
            <w:vAlign w:val="center"/>
          </w:tcPr>
          <w:p w14:paraId="3F24A958" w14:textId="77777777" w:rsidR="009327C0" w:rsidRPr="001D5327" w:rsidRDefault="009327C0" w:rsidP="00D11AC9">
            <w:pPr>
              <w:pStyle w:val="TableText"/>
              <w:spacing w:before="40" w:after="40"/>
              <w:jc w:val="right"/>
            </w:pPr>
            <w:r w:rsidRPr="001D5327">
              <w:rPr>
                <w:rFonts w:eastAsia="Calibri"/>
              </w:rPr>
              <w:t>±1</w:t>
            </w:r>
          </w:p>
        </w:tc>
        <w:tc>
          <w:tcPr>
            <w:tcW w:w="3080" w:type="dxa"/>
            <w:shd w:val="clear" w:color="auto" w:fill="FFFFFF"/>
            <w:tcMar>
              <w:top w:w="0" w:type="dxa"/>
              <w:left w:w="85" w:type="dxa"/>
              <w:bottom w:w="0" w:type="dxa"/>
              <w:right w:w="85" w:type="dxa"/>
            </w:tcMar>
            <w:vAlign w:val="center"/>
          </w:tcPr>
          <w:p w14:paraId="7C8172C7" w14:textId="77777777" w:rsidR="009327C0" w:rsidRPr="001D5327" w:rsidRDefault="009327C0" w:rsidP="00D11AC9">
            <w:pPr>
              <w:pStyle w:val="TableText"/>
              <w:spacing w:before="40" w:after="40"/>
              <w:jc w:val="right"/>
            </w:pPr>
            <w:r w:rsidRPr="001D5327">
              <w:rPr>
                <w:rFonts w:eastAsia="Calibri"/>
              </w:rPr>
              <w:t>±1</w:t>
            </w:r>
          </w:p>
        </w:tc>
      </w:tr>
      <w:tr w:rsidR="009327C0" w:rsidRPr="001D5327" w14:paraId="0EB9B8E4" w14:textId="77777777" w:rsidTr="00D11AC9">
        <w:tc>
          <w:tcPr>
            <w:tcW w:w="2634" w:type="dxa"/>
            <w:shd w:val="clear" w:color="auto" w:fill="FFFFFF"/>
            <w:tcMar>
              <w:top w:w="0" w:type="dxa"/>
              <w:left w:w="85" w:type="dxa"/>
              <w:bottom w:w="0" w:type="dxa"/>
              <w:right w:w="85" w:type="dxa"/>
            </w:tcMar>
            <w:vAlign w:val="center"/>
          </w:tcPr>
          <w:p w14:paraId="32484CAF" w14:textId="77777777" w:rsidR="009327C0" w:rsidRPr="001D5327" w:rsidRDefault="009327C0" w:rsidP="00D11AC9">
            <w:pPr>
              <w:pStyle w:val="TableText"/>
              <w:spacing w:before="40" w:after="40"/>
            </w:pPr>
            <w:r w:rsidRPr="001D5327">
              <w:rPr>
                <w:rFonts w:eastAsia="Calibri"/>
              </w:rPr>
              <w:t>Cement kiln dust (CO</w:t>
            </w:r>
            <w:r w:rsidRPr="001D5327">
              <w:rPr>
                <w:rFonts w:eastAsia="Calibri"/>
                <w:vertAlign w:val="subscript"/>
              </w:rPr>
              <w:t>2</w:t>
            </w:r>
            <w:r w:rsidRPr="001D5327">
              <w:rPr>
                <w:rFonts w:eastAsia="Calibri"/>
              </w:rPr>
              <w:t>)</w:t>
            </w:r>
          </w:p>
        </w:tc>
        <w:tc>
          <w:tcPr>
            <w:tcW w:w="2780" w:type="dxa"/>
            <w:shd w:val="clear" w:color="auto" w:fill="FFFFFF"/>
            <w:tcMar>
              <w:top w:w="0" w:type="dxa"/>
              <w:left w:w="85" w:type="dxa"/>
              <w:bottom w:w="0" w:type="dxa"/>
              <w:right w:w="85" w:type="dxa"/>
            </w:tcMar>
            <w:vAlign w:val="center"/>
          </w:tcPr>
          <w:p w14:paraId="1AB29843" w14:textId="77777777" w:rsidR="009327C0" w:rsidRPr="001D5327" w:rsidRDefault="009327C0" w:rsidP="00D11AC9">
            <w:pPr>
              <w:pStyle w:val="TableText"/>
              <w:spacing w:before="40" w:after="40"/>
              <w:jc w:val="right"/>
            </w:pPr>
            <w:r w:rsidRPr="001D5327">
              <w:rPr>
                <w:rFonts w:eastAsia="Calibri"/>
              </w:rPr>
              <w:t>±1</w:t>
            </w:r>
          </w:p>
        </w:tc>
        <w:tc>
          <w:tcPr>
            <w:tcW w:w="3080" w:type="dxa"/>
            <w:shd w:val="clear" w:color="auto" w:fill="FFFFFF"/>
            <w:tcMar>
              <w:top w:w="0" w:type="dxa"/>
              <w:left w:w="85" w:type="dxa"/>
              <w:bottom w:w="0" w:type="dxa"/>
              <w:right w:w="85" w:type="dxa"/>
            </w:tcMar>
            <w:vAlign w:val="center"/>
          </w:tcPr>
          <w:p w14:paraId="50880F24" w14:textId="77777777" w:rsidR="009327C0" w:rsidRPr="001D5327" w:rsidRDefault="009327C0" w:rsidP="00D11AC9">
            <w:pPr>
              <w:pStyle w:val="TableText"/>
              <w:spacing w:before="40" w:after="40"/>
              <w:jc w:val="right"/>
            </w:pPr>
            <w:r w:rsidRPr="001D5327">
              <w:rPr>
                <w:rFonts w:eastAsia="Calibri"/>
              </w:rPr>
              <w:t>±5</w:t>
            </w:r>
          </w:p>
        </w:tc>
      </w:tr>
      <w:tr w:rsidR="009327C0" w:rsidRPr="001D5327" w14:paraId="7FD259DE" w14:textId="77777777" w:rsidTr="00D11AC9">
        <w:tc>
          <w:tcPr>
            <w:tcW w:w="2634" w:type="dxa"/>
            <w:shd w:val="clear" w:color="auto" w:fill="FFFFFF"/>
            <w:tcMar>
              <w:top w:w="0" w:type="dxa"/>
              <w:left w:w="85" w:type="dxa"/>
              <w:bottom w:w="0" w:type="dxa"/>
              <w:right w:w="85" w:type="dxa"/>
            </w:tcMar>
            <w:vAlign w:val="center"/>
          </w:tcPr>
          <w:p w14:paraId="05F6AA05" w14:textId="77777777" w:rsidR="009327C0" w:rsidRPr="001D5327" w:rsidRDefault="009327C0" w:rsidP="00D11AC9">
            <w:pPr>
              <w:pStyle w:val="TableText"/>
              <w:spacing w:before="40" w:after="40"/>
            </w:pPr>
            <w:r w:rsidRPr="001D5327">
              <w:rPr>
                <w:rFonts w:eastAsia="Calibri"/>
              </w:rPr>
              <w:t>Cement (SO</w:t>
            </w:r>
            <w:r w:rsidRPr="001D5327">
              <w:rPr>
                <w:rFonts w:eastAsia="Calibri"/>
                <w:vertAlign w:val="subscript"/>
              </w:rPr>
              <w:t>2</w:t>
            </w:r>
            <w:r w:rsidRPr="001D5327">
              <w:rPr>
                <w:rFonts w:eastAsia="Calibri"/>
              </w:rPr>
              <w:t>)</w:t>
            </w:r>
          </w:p>
        </w:tc>
        <w:tc>
          <w:tcPr>
            <w:tcW w:w="2780" w:type="dxa"/>
            <w:shd w:val="clear" w:color="auto" w:fill="FFFFFF"/>
            <w:tcMar>
              <w:top w:w="0" w:type="dxa"/>
              <w:left w:w="85" w:type="dxa"/>
              <w:bottom w:w="0" w:type="dxa"/>
              <w:right w:w="85" w:type="dxa"/>
            </w:tcMar>
            <w:vAlign w:val="center"/>
          </w:tcPr>
          <w:p w14:paraId="62E53537" w14:textId="77777777" w:rsidR="009327C0" w:rsidRPr="001D5327" w:rsidRDefault="009327C0" w:rsidP="00D11AC9">
            <w:pPr>
              <w:pStyle w:val="TableText"/>
              <w:spacing w:before="40" w:after="40"/>
              <w:jc w:val="right"/>
            </w:pPr>
            <w:r w:rsidRPr="001D5327">
              <w:rPr>
                <w:rFonts w:eastAsia="Calibri"/>
              </w:rPr>
              <w:t>±1</w:t>
            </w:r>
          </w:p>
        </w:tc>
        <w:tc>
          <w:tcPr>
            <w:tcW w:w="3080" w:type="dxa"/>
            <w:shd w:val="clear" w:color="auto" w:fill="FFFFFF"/>
            <w:tcMar>
              <w:top w:w="0" w:type="dxa"/>
              <w:left w:w="85" w:type="dxa"/>
              <w:bottom w:w="0" w:type="dxa"/>
              <w:right w:w="85" w:type="dxa"/>
            </w:tcMar>
            <w:vAlign w:val="center"/>
          </w:tcPr>
          <w:p w14:paraId="0E37700D" w14:textId="77777777" w:rsidR="009327C0" w:rsidRPr="001D5327" w:rsidRDefault="009327C0" w:rsidP="00D11AC9">
            <w:pPr>
              <w:pStyle w:val="TableText"/>
              <w:spacing w:before="40" w:after="40"/>
              <w:jc w:val="right"/>
            </w:pPr>
            <w:r w:rsidRPr="001D5327">
              <w:rPr>
                <w:rFonts w:eastAsia="Calibri"/>
              </w:rPr>
              <w:t>±40</w:t>
            </w:r>
          </w:p>
        </w:tc>
      </w:tr>
      <w:tr w:rsidR="009327C0" w:rsidRPr="001D5327" w14:paraId="76AAD64E" w14:textId="77777777" w:rsidTr="00D11AC9">
        <w:tc>
          <w:tcPr>
            <w:tcW w:w="2634" w:type="dxa"/>
            <w:shd w:val="clear" w:color="auto" w:fill="FFFFFF"/>
            <w:tcMar>
              <w:top w:w="0" w:type="dxa"/>
              <w:left w:w="85" w:type="dxa"/>
              <w:bottom w:w="0" w:type="dxa"/>
              <w:right w:w="85" w:type="dxa"/>
            </w:tcMar>
            <w:vAlign w:val="center"/>
          </w:tcPr>
          <w:p w14:paraId="43CE8DDD" w14:textId="77777777" w:rsidR="009327C0" w:rsidRPr="001D5327" w:rsidRDefault="009327C0" w:rsidP="00D11AC9">
            <w:pPr>
              <w:pStyle w:val="TableText"/>
              <w:spacing w:before="40" w:after="40"/>
            </w:pPr>
            <w:r w:rsidRPr="001D5327">
              <w:rPr>
                <w:rFonts w:eastAsia="Calibri"/>
              </w:rPr>
              <w:t>Lime (CO</w:t>
            </w:r>
            <w:r w:rsidRPr="001D5327">
              <w:rPr>
                <w:rFonts w:eastAsia="Calibri"/>
                <w:vertAlign w:val="subscript"/>
              </w:rPr>
              <w:t>2</w:t>
            </w:r>
            <w:r w:rsidRPr="001D5327">
              <w:rPr>
                <w:rFonts w:eastAsia="Calibri"/>
              </w:rPr>
              <w:t>)</w:t>
            </w:r>
          </w:p>
        </w:tc>
        <w:tc>
          <w:tcPr>
            <w:tcW w:w="2780" w:type="dxa"/>
            <w:shd w:val="clear" w:color="auto" w:fill="FFFFFF"/>
            <w:tcMar>
              <w:top w:w="0" w:type="dxa"/>
              <w:left w:w="85" w:type="dxa"/>
              <w:bottom w:w="0" w:type="dxa"/>
              <w:right w:w="85" w:type="dxa"/>
            </w:tcMar>
            <w:vAlign w:val="center"/>
          </w:tcPr>
          <w:p w14:paraId="662526A2" w14:textId="77777777" w:rsidR="009327C0" w:rsidRPr="001D5327" w:rsidRDefault="009327C0" w:rsidP="00D11AC9">
            <w:pPr>
              <w:pStyle w:val="TableText"/>
              <w:spacing w:before="40" w:after="40"/>
              <w:jc w:val="right"/>
            </w:pPr>
            <w:r w:rsidRPr="001D5327">
              <w:rPr>
                <w:rFonts w:eastAsia="Calibri"/>
              </w:rPr>
              <w:t>±2</w:t>
            </w:r>
          </w:p>
        </w:tc>
        <w:tc>
          <w:tcPr>
            <w:tcW w:w="3080" w:type="dxa"/>
            <w:shd w:val="clear" w:color="auto" w:fill="FFFFFF"/>
            <w:tcMar>
              <w:top w:w="0" w:type="dxa"/>
              <w:left w:w="85" w:type="dxa"/>
              <w:bottom w:w="0" w:type="dxa"/>
              <w:right w:w="85" w:type="dxa"/>
            </w:tcMar>
            <w:vAlign w:val="center"/>
          </w:tcPr>
          <w:p w14:paraId="3A47FC67" w14:textId="77777777" w:rsidR="009327C0" w:rsidRPr="001D5327" w:rsidRDefault="009327C0" w:rsidP="00D11AC9">
            <w:pPr>
              <w:pStyle w:val="TableText"/>
              <w:spacing w:before="40" w:after="40"/>
              <w:jc w:val="right"/>
            </w:pPr>
            <w:r w:rsidRPr="001D5327">
              <w:rPr>
                <w:rFonts w:eastAsia="Calibri"/>
              </w:rPr>
              <w:t>±2</w:t>
            </w:r>
          </w:p>
        </w:tc>
      </w:tr>
      <w:tr w:rsidR="009327C0" w:rsidRPr="001D5327" w14:paraId="13A5BEC0" w14:textId="77777777" w:rsidTr="00D11AC9">
        <w:tc>
          <w:tcPr>
            <w:tcW w:w="2634" w:type="dxa"/>
            <w:shd w:val="clear" w:color="auto" w:fill="FFFFFF"/>
            <w:tcMar>
              <w:top w:w="0" w:type="dxa"/>
              <w:left w:w="85" w:type="dxa"/>
              <w:bottom w:w="0" w:type="dxa"/>
              <w:right w:w="85" w:type="dxa"/>
            </w:tcMar>
            <w:vAlign w:val="center"/>
          </w:tcPr>
          <w:p w14:paraId="12EC54D7" w14:textId="77777777" w:rsidR="009327C0" w:rsidRPr="001D5327" w:rsidRDefault="009327C0" w:rsidP="00D11AC9">
            <w:pPr>
              <w:pStyle w:val="TableText"/>
              <w:spacing w:before="40" w:after="40"/>
            </w:pPr>
            <w:r w:rsidRPr="001D5327">
              <w:rPr>
                <w:rFonts w:eastAsia="Calibri"/>
              </w:rPr>
              <w:t>Glass (SO</w:t>
            </w:r>
            <w:r w:rsidRPr="001D5327">
              <w:rPr>
                <w:rFonts w:eastAsia="Calibri"/>
                <w:vertAlign w:val="subscript"/>
              </w:rPr>
              <w:t>2</w:t>
            </w:r>
            <w:r w:rsidRPr="001D5327">
              <w:rPr>
                <w:rFonts w:eastAsia="Calibri"/>
              </w:rPr>
              <w:t>)</w:t>
            </w:r>
          </w:p>
        </w:tc>
        <w:tc>
          <w:tcPr>
            <w:tcW w:w="2780" w:type="dxa"/>
            <w:shd w:val="clear" w:color="auto" w:fill="FFFFFF"/>
            <w:tcMar>
              <w:top w:w="0" w:type="dxa"/>
              <w:left w:w="85" w:type="dxa"/>
              <w:bottom w:w="0" w:type="dxa"/>
              <w:right w:w="85" w:type="dxa"/>
            </w:tcMar>
            <w:vAlign w:val="center"/>
          </w:tcPr>
          <w:p w14:paraId="0F7F822B" w14:textId="77777777" w:rsidR="009327C0" w:rsidRPr="001D5327" w:rsidRDefault="009327C0" w:rsidP="00D11AC9">
            <w:pPr>
              <w:pStyle w:val="TableText"/>
              <w:spacing w:before="40" w:after="40"/>
              <w:jc w:val="right"/>
            </w:pPr>
            <w:r w:rsidRPr="001D5327">
              <w:rPr>
                <w:rFonts w:eastAsia="Calibri"/>
              </w:rPr>
              <w:t>±5</w:t>
            </w:r>
          </w:p>
        </w:tc>
        <w:tc>
          <w:tcPr>
            <w:tcW w:w="3080" w:type="dxa"/>
            <w:shd w:val="clear" w:color="auto" w:fill="FFFFFF"/>
            <w:tcMar>
              <w:top w:w="0" w:type="dxa"/>
              <w:left w:w="85" w:type="dxa"/>
              <w:bottom w:w="0" w:type="dxa"/>
              <w:right w:w="85" w:type="dxa"/>
            </w:tcMar>
            <w:vAlign w:val="center"/>
          </w:tcPr>
          <w:p w14:paraId="29B158BB" w14:textId="77777777" w:rsidR="009327C0" w:rsidRPr="001D5327" w:rsidRDefault="009327C0" w:rsidP="00D11AC9">
            <w:pPr>
              <w:pStyle w:val="TableText"/>
              <w:spacing w:before="40" w:after="40"/>
              <w:jc w:val="right"/>
            </w:pPr>
            <w:r w:rsidRPr="001D5327">
              <w:rPr>
                <w:rFonts w:eastAsia="Calibri"/>
              </w:rPr>
              <w:t>±10</w:t>
            </w:r>
          </w:p>
        </w:tc>
      </w:tr>
      <w:tr w:rsidR="009327C0" w:rsidRPr="001D5327" w14:paraId="2A71241A" w14:textId="77777777" w:rsidTr="00D11AC9">
        <w:tc>
          <w:tcPr>
            <w:tcW w:w="2634" w:type="dxa"/>
            <w:shd w:val="clear" w:color="auto" w:fill="FFFFFF"/>
            <w:tcMar>
              <w:top w:w="0" w:type="dxa"/>
              <w:left w:w="85" w:type="dxa"/>
              <w:bottom w:w="0" w:type="dxa"/>
              <w:right w:w="85" w:type="dxa"/>
            </w:tcMar>
            <w:vAlign w:val="center"/>
          </w:tcPr>
          <w:p w14:paraId="589383CC" w14:textId="77777777" w:rsidR="009327C0" w:rsidRPr="001D5327" w:rsidRDefault="009327C0" w:rsidP="00D11AC9">
            <w:pPr>
              <w:pStyle w:val="TableText"/>
              <w:spacing w:before="40" w:after="40"/>
            </w:pPr>
            <w:r w:rsidRPr="001D5327">
              <w:rPr>
                <w:rFonts w:eastAsia="Calibri"/>
              </w:rPr>
              <w:t>Glass (NMVOC)</w:t>
            </w:r>
          </w:p>
        </w:tc>
        <w:tc>
          <w:tcPr>
            <w:tcW w:w="2780" w:type="dxa"/>
            <w:shd w:val="clear" w:color="auto" w:fill="FFFFFF"/>
            <w:tcMar>
              <w:top w:w="0" w:type="dxa"/>
              <w:left w:w="85" w:type="dxa"/>
              <w:bottom w:w="0" w:type="dxa"/>
              <w:right w:w="85" w:type="dxa"/>
            </w:tcMar>
            <w:vAlign w:val="center"/>
          </w:tcPr>
          <w:p w14:paraId="2E33FDDB" w14:textId="77777777" w:rsidR="009327C0" w:rsidRPr="001D5327" w:rsidRDefault="009327C0" w:rsidP="00D11AC9">
            <w:pPr>
              <w:pStyle w:val="TableText"/>
              <w:spacing w:before="40" w:after="40"/>
              <w:jc w:val="right"/>
            </w:pPr>
            <w:r w:rsidRPr="001D5327">
              <w:rPr>
                <w:rFonts w:eastAsia="Calibri"/>
              </w:rPr>
              <w:t>±5</w:t>
            </w:r>
          </w:p>
        </w:tc>
        <w:tc>
          <w:tcPr>
            <w:tcW w:w="3080" w:type="dxa"/>
            <w:shd w:val="clear" w:color="auto" w:fill="FFFFFF"/>
            <w:tcMar>
              <w:top w:w="0" w:type="dxa"/>
              <w:left w:w="85" w:type="dxa"/>
              <w:bottom w:w="0" w:type="dxa"/>
              <w:right w:w="85" w:type="dxa"/>
            </w:tcMar>
            <w:vAlign w:val="center"/>
          </w:tcPr>
          <w:p w14:paraId="1B9E7EBF" w14:textId="77777777" w:rsidR="009327C0" w:rsidRPr="001D5327" w:rsidRDefault="009327C0" w:rsidP="00D11AC9">
            <w:pPr>
              <w:pStyle w:val="TableText"/>
              <w:spacing w:before="40" w:after="40"/>
              <w:jc w:val="right"/>
            </w:pPr>
            <w:r w:rsidRPr="001D5327">
              <w:rPr>
                <w:rFonts w:eastAsia="Calibri"/>
              </w:rPr>
              <w:t>±50</w:t>
            </w:r>
          </w:p>
        </w:tc>
      </w:tr>
      <w:tr w:rsidR="009327C0" w:rsidRPr="001D5327" w14:paraId="6C08B778" w14:textId="77777777" w:rsidTr="00D11AC9">
        <w:tc>
          <w:tcPr>
            <w:tcW w:w="2634" w:type="dxa"/>
            <w:shd w:val="clear" w:color="auto" w:fill="FFFFFF"/>
            <w:tcMar>
              <w:top w:w="0" w:type="dxa"/>
              <w:left w:w="85" w:type="dxa"/>
              <w:bottom w:w="0" w:type="dxa"/>
              <w:right w:w="85" w:type="dxa"/>
            </w:tcMar>
            <w:vAlign w:val="center"/>
          </w:tcPr>
          <w:p w14:paraId="5182D48F" w14:textId="77777777" w:rsidR="009327C0" w:rsidRPr="001D5327" w:rsidRDefault="009327C0" w:rsidP="00D11AC9">
            <w:pPr>
              <w:pStyle w:val="TableText"/>
              <w:spacing w:before="40" w:after="40"/>
            </w:pPr>
            <w:r w:rsidRPr="001D5327">
              <w:rPr>
                <w:rFonts w:eastAsia="Calibri"/>
              </w:rPr>
              <w:t>Ceramics (CO</w:t>
            </w:r>
            <w:r w:rsidRPr="001D5327">
              <w:rPr>
                <w:rFonts w:eastAsia="Calibri"/>
                <w:vertAlign w:val="subscript"/>
              </w:rPr>
              <w:t>2</w:t>
            </w:r>
            <w:r w:rsidRPr="001D5327">
              <w:rPr>
                <w:rFonts w:eastAsia="Calibri"/>
              </w:rPr>
              <w:t>)</w:t>
            </w:r>
          </w:p>
        </w:tc>
        <w:tc>
          <w:tcPr>
            <w:tcW w:w="2780" w:type="dxa"/>
            <w:shd w:val="clear" w:color="auto" w:fill="FFFFFF"/>
            <w:tcMar>
              <w:top w:w="0" w:type="dxa"/>
              <w:left w:w="85" w:type="dxa"/>
              <w:bottom w:w="0" w:type="dxa"/>
              <w:right w:w="85" w:type="dxa"/>
            </w:tcMar>
            <w:vAlign w:val="center"/>
          </w:tcPr>
          <w:p w14:paraId="232146FF" w14:textId="77777777" w:rsidR="009327C0" w:rsidRPr="001D5327" w:rsidRDefault="009327C0" w:rsidP="00D11AC9">
            <w:pPr>
              <w:pStyle w:val="TableText"/>
              <w:spacing w:before="40" w:after="40"/>
              <w:jc w:val="right"/>
            </w:pPr>
            <w:r w:rsidRPr="001D5327">
              <w:rPr>
                <w:rFonts w:eastAsia="Calibri"/>
              </w:rPr>
              <w:t>±50</w:t>
            </w:r>
          </w:p>
        </w:tc>
        <w:tc>
          <w:tcPr>
            <w:tcW w:w="3080" w:type="dxa"/>
            <w:shd w:val="clear" w:color="auto" w:fill="FFFFFF"/>
            <w:tcMar>
              <w:top w:w="0" w:type="dxa"/>
              <w:left w:w="85" w:type="dxa"/>
              <w:bottom w:w="0" w:type="dxa"/>
              <w:right w:w="85" w:type="dxa"/>
            </w:tcMar>
            <w:vAlign w:val="center"/>
          </w:tcPr>
          <w:p w14:paraId="4EAD5E55" w14:textId="77777777" w:rsidR="009327C0" w:rsidRPr="001D5327" w:rsidRDefault="009327C0" w:rsidP="00D11AC9">
            <w:pPr>
              <w:pStyle w:val="TableText"/>
              <w:spacing w:before="40" w:after="40"/>
              <w:jc w:val="right"/>
            </w:pPr>
            <w:r w:rsidRPr="001D5327">
              <w:rPr>
                <w:rFonts w:eastAsia="Calibri"/>
              </w:rPr>
              <w:t>±20</w:t>
            </w:r>
          </w:p>
        </w:tc>
      </w:tr>
      <w:tr w:rsidR="009327C0" w:rsidRPr="001D5327" w14:paraId="3A698516" w14:textId="77777777" w:rsidTr="00D11AC9">
        <w:tc>
          <w:tcPr>
            <w:tcW w:w="2634" w:type="dxa"/>
            <w:shd w:val="clear" w:color="auto" w:fill="FFFFFF"/>
            <w:tcMar>
              <w:top w:w="0" w:type="dxa"/>
              <w:left w:w="85" w:type="dxa"/>
              <w:bottom w:w="0" w:type="dxa"/>
              <w:right w:w="85" w:type="dxa"/>
            </w:tcMar>
            <w:vAlign w:val="center"/>
          </w:tcPr>
          <w:p w14:paraId="25737992" w14:textId="77777777" w:rsidR="009327C0" w:rsidRPr="001D5327" w:rsidRDefault="009327C0" w:rsidP="00D11AC9">
            <w:pPr>
              <w:pStyle w:val="TableText"/>
              <w:spacing w:before="40" w:after="40"/>
            </w:pPr>
            <w:r w:rsidRPr="001D5327">
              <w:rPr>
                <w:rFonts w:eastAsia="Calibri"/>
              </w:rPr>
              <w:t>Other uses of soda ash (CO</w:t>
            </w:r>
            <w:r w:rsidRPr="001D5327">
              <w:rPr>
                <w:rFonts w:eastAsia="Calibri"/>
                <w:vertAlign w:val="subscript"/>
              </w:rPr>
              <w:t>2</w:t>
            </w:r>
            <w:r w:rsidRPr="001D5327">
              <w:rPr>
                <w:rFonts w:eastAsia="Calibri"/>
              </w:rPr>
              <w:t>)</w:t>
            </w:r>
          </w:p>
        </w:tc>
        <w:tc>
          <w:tcPr>
            <w:tcW w:w="2780" w:type="dxa"/>
            <w:shd w:val="clear" w:color="auto" w:fill="FFFFFF"/>
            <w:tcMar>
              <w:top w:w="0" w:type="dxa"/>
              <w:left w:w="85" w:type="dxa"/>
              <w:bottom w:w="0" w:type="dxa"/>
              <w:right w:w="85" w:type="dxa"/>
            </w:tcMar>
            <w:vAlign w:val="center"/>
          </w:tcPr>
          <w:p w14:paraId="5A0B9CFF" w14:textId="77777777" w:rsidR="009327C0" w:rsidRPr="001D5327" w:rsidRDefault="009327C0" w:rsidP="00D11AC9">
            <w:pPr>
              <w:pStyle w:val="TableText"/>
              <w:spacing w:before="40" w:after="40"/>
              <w:jc w:val="right"/>
            </w:pPr>
            <w:r w:rsidRPr="001D5327">
              <w:rPr>
                <w:rFonts w:eastAsia="Calibri"/>
              </w:rPr>
              <w:t>±3</w:t>
            </w:r>
          </w:p>
        </w:tc>
        <w:tc>
          <w:tcPr>
            <w:tcW w:w="3080" w:type="dxa"/>
            <w:shd w:val="clear" w:color="auto" w:fill="FFFFFF"/>
            <w:tcMar>
              <w:top w:w="0" w:type="dxa"/>
              <w:left w:w="85" w:type="dxa"/>
              <w:bottom w:w="0" w:type="dxa"/>
              <w:right w:w="85" w:type="dxa"/>
            </w:tcMar>
            <w:vAlign w:val="center"/>
          </w:tcPr>
          <w:p w14:paraId="0A92BD01" w14:textId="77777777" w:rsidR="009327C0" w:rsidRPr="001D5327" w:rsidRDefault="009327C0" w:rsidP="00D11AC9">
            <w:pPr>
              <w:pStyle w:val="TableText"/>
              <w:spacing w:before="40" w:after="40"/>
              <w:jc w:val="right"/>
            </w:pPr>
            <w:r w:rsidRPr="001D5327">
              <w:rPr>
                <w:rFonts w:eastAsia="Calibri"/>
              </w:rPr>
              <w:t>±2</w:t>
            </w:r>
          </w:p>
        </w:tc>
      </w:tr>
      <w:tr w:rsidR="009327C0" w:rsidRPr="001D5327" w14:paraId="7958BE2A" w14:textId="77777777" w:rsidTr="00D11AC9">
        <w:tc>
          <w:tcPr>
            <w:tcW w:w="2634" w:type="dxa"/>
            <w:shd w:val="clear" w:color="auto" w:fill="FFFFFF"/>
            <w:tcMar>
              <w:top w:w="0" w:type="dxa"/>
              <w:left w:w="85" w:type="dxa"/>
              <w:bottom w:w="0" w:type="dxa"/>
              <w:right w:w="85" w:type="dxa"/>
            </w:tcMar>
            <w:vAlign w:val="center"/>
          </w:tcPr>
          <w:p w14:paraId="7D237FE5" w14:textId="77777777" w:rsidR="009327C0" w:rsidRPr="001D5327" w:rsidRDefault="009327C0" w:rsidP="00D11AC9">
            <w:pPr>
              <w:pStyle w:val="TableText"/>
              <w:spacing w:before="40" w:after="40"/>
            </w:pPr>
            <w:r w:rsidRPr="001D5327">
              <w:rPr>
                <w:rFonts w:eastAsia="Calibri"/>
              </w:rPr>
              <w:t>Other uses of limestone (CO</w:t>
            </w:r>
            <w:r w:rsidRPr="001D5327">
              <w:rPr>
                <w:rFonts w:eastAsia="Calibri"/>
                <w:vertAlign w:val="subscript"/>
              </w:rPr>
              <w:t>2</w:t>
            </w:r>
            <w:r w:rsidRPr="001D5327">
              <w:rPr>
                <w:rFonts w:eastAsia="Calibri"/>
              </w:rPr>
              <w:t>)</w:t>
            </w:r>
          </w:p>
        </w:tc>
        <w:tc>
          <w:tcPr>
            <w:tcW w:w="2780" w:type="dxa"/>
            <w:shd w:val="clear" w:color="auto" w:fill="FFFFFF"/>
            <w:tcMar>
              <w:top w:w="0" w:type="dxa"/>
              <w:left w:w="85" w:type="dxa"/>
              <w:bottom w:w="0" w:type="dxa"/>
              <w:right w:w="85" w:type="dxa"/>
            </w:tcMar>
            <w:vAlign w:val="center"/>
          </w:tcPr>
          <w:p w14:paraId="55EE6B67" w14:textId="77777777" w:rsidR="009327C0" w:rsidRPr="001D5327" w:rsidRDefault="009327C0" w:rsidP="00D11AC9">
            <w:pPr>
              <w:pStyle w:val="TableText"/>
              <w:spacing w:before="40" w:after="40"/>
              <w:jc w:val="right"/>
            </w:pPr>
            <w:r w:rsidRPr="001D5327">
              <w:rPr>
                <w:rFonts w:eastAsia="Calibri"/>
              </w:rPr>
              <w:t>±3</w:t>
            </w:r>
          </w:p>
        </w:tc>
        <w:tc>
          <w:tcPr>
            <w:tcW w:w="3080" w:type="dxa"/>
            <w:shd w:val="clear" w:color="auto" w:fill="FFFFFF"/>
            <w:tcMar>
              <w:top w:w="0" w:type="dxa"/>
              <w:left w:w="85" w:type="dxa"/>
              <w:bottom w:w="0" w:type="dxa"/>
              <w:right w:w="85" w:type="dxa"/>
            </w:tcMar>
            <w:vAlign w:val="center"/>
          </w:tcPr>
          <w:p w14:paraId="369B27F5" w14:textId="77777777" w:rsidR="009327C0" w:rsidRPr="001D5327" w:rsidRDefault="009327C0" w:rsidP="00D11AC9">
            <w:pPr>
              <w:pStyle w:val="TableText"/>
              <w:spacing w:before="40" w:after="40"/>
              <w:jc w:val="right"/>
            </w:pPr>
            <w:r w:rsidRPr="001D5327">
              <w:rPr>
                <w:rFonts w:eastAsia="Calibri"/>
              </w:rPr>
              <w:t>±2</w:t>
            </w:r>
          </w:p>
        </w:tc>
      </w:tr>
    </w:tbl>
    <w:p w14:paraId="5C843B21" w14:textId="77777777" w:rsidR="009327C0" w:rsidRPr="001D5327" w:rsidRDefault="009327C0" w:rsidP="009327C0">
      <w:pPr>
        <w:pStyle w:val="Heading4"/>
        <w:spacing w:before="320"/>
      </w:pPr>
      <w:bookmarkStart w:id="435" w:name="time-series-consistency"/>
      <w:bookmarkEnd w:id="433"/>
      <w:r w:rsidRPr="001D5327">
        <w:t>Time-series consistency</w:t>
      </w:r>
    </w:p>
    <w:p w14:paraId="57DD5427" w14:textId="77777777" w:rsidR="009327C0" w:rsidRPr="001D5327" w:rsidRDefault="009327C0" w:rsidP="00DF2E25">
      <w:pPr>
        <w:pStyle w:val="BodyText"/>
        <w:spacing w:before="100"/>
      </w:pPr>
      <w:r w:rsidRPr="001D5327">
        <w:t>In previous inventory submissions, the reported activity data for lime production have not been fully consistent through the time series because of the change to using NZ ETS data and the use of different calculation methods for these emissions. A consistent approach, based on the methods that companies are required to use for NZ ETS reporting, is now applied for the entire time series.</w:t>
      </w:r>
    </w:p>
    <w:p w14:paraId="60F23CF9" w14:textId="77777777" w:rsidR="009327C0" w:rsidRPr="001D5327" w:rsidRDefault="009327C0" w:rsidP="009327C0">
      <w:pPr>
        <w:pStyle w:val="Heading3"/>
      </w:pPr>
      <w:bookmarkStart w:id="436" w:name="category-specific-qaqc-verification"/>
      <w:bookmarkEnd w:id="432"/>
      <w:bookmarkEnd w:id="435"/>
      <w:r w:rsidRPr="001D5327">
        <w:lastRenderedPageBreak/>
        <w:t xml:space="preserve">4.2.4 </w:t>
      </w:r>
      <w:r w:rsidRPr="001D5327">
        <w:tab/>
        <w:t>Category-specific QA/QC verification</w:t>
      </w:r>
    </w:p>
    <w:p w14:paraId="481A105F" w14:textId="554893CA" w:rsidR="009327C0" w:rsidRPr="001D5327" w:rsidRDefault="009327C0" w:rsidP="009327C0">
      <w:pPr>
        <w:pStyle w:val="BodyText"/>
      </w:pPr>
      <w:r w:rsidRPr="001D5327">
        <w:t>For this submission, data for all CO</w:t>
      </w:r>
      <w:r w:rsidRPr="001D5327">
        <w:rPr>
          <w:vertAlign w:val="subscript"/>
        </w:rPr>
        <w:t>2</w:t>
      </w:r>
      <w:r w:rsidRPr="001D5327">
        <w:t xml:space="preserve"> emissions in the </w:t>
      </w:r>
      <w:r w:rsidRPr="001D5327">
        <w:rPr>
          <w:i/>
          <w:iCs/>
        </w:rPr>
        <w:t>Mineral industry</w:t>
      </w:r>
      <w:r w:rsidRPr="001D5327">
        <w:t xml:space="preserve"> category underwent Tier</w:t>
      </w:r>
      <w:r w:rsidR="00D43008" w:rsidRPr="001D5327">
        <w:t> </w:t>
      </w:r>
      <w:r w:rsidRPr="001D5327">
        <w:t>1 quality checks in the preparation of this inventory. The only key category is CO</w:t>
      </w:r>
      <w:r w:rsidRPr="001D5327">
        <w:rPr>
          <w:vertAlign w:val="subscript"/>
        </w:rPr>
        <w:t>2</w:t>
      </w:r>
      <w:r w:rsidRPr="001D5327">
        <w:t xml:space="preserve"> emissions from </w:t>
      </w:r>
      <w:r w:rsidRPr="001D5327">
        <w:rPr>
          <w:i/>
          <w:iCs/>
        </w:rPr>
        <w:t>Cement production</w:t>
      </w:r>
      <w:r w:rsidRPr="001D5327">
        <w:t xml:space="preserve"> (level and trend assessment).</w:t>
      </w:r>
    </w:p>
    <w:p w14:paraId="2AF2E647" w14:textId="16DF15C3" w:rsidR="009327C0" w:rsidRPr="001D5327" w:rsidRDefault="009327C0" w:rsidP="009327C0">
      <w:pPr>
        <w:pStyle w:val="BodyText"/>
      </w:pPr>
      <w:r w:rsidRPr="001D5327">
        <w:t>Verification of activity data from independent sources is not currently possible. The EPA carries out verification of NZ ETS participants’ submitted data on a rotating basis and, as these</w:t>
      </w:r>
      <w:r w:rsidR="00D43008" w:rsidRPr="001D5327">
        <w:t> </w:t>
      </w:r>
      <w:r w:rsidRPr="001D5327">
        <w:t>verifications occur, the inventory agency (the Ministry for the Environment) will make use of the resulting information to verify the emissions data where possible.</w:t>
      </w:r>
    </w:p>
    <w:p w14:paraId="4378FC7F" w14:textId="77777777" w:rsidR="009327C0" w:rsidRPr="001D5327" w:rsidRDefault="009327C0" w:rsidP="009327C0">
      <w:pPr>
        <w:pStyle w:val="Heading3"/>
      </w:pPr>
      <w:bookmarkStart w:id="437" w:name="category-specific-recalculations"/>
      <w:bookmarkEnd w:id="436"/>
      <w:r w:rsidRPr="001D5327">
        <w:t xml:space="preserve">4.2.5 </w:t>
      </w:r>
      <w:r w:rsidRPr="001D5327">
        <w:tab/>
        <w:t>Category-specific recalculations</w:t>
      </w:r>
    </w:p>
    <w:p w14:paraId="137B71A6" w14:textId="77777777" w:rsidR="009327C0" w:rsidRPr="001D5327" w:rsidRDefault="009327C0" w:rsidP="009327C0">
      <w:pPr>
        <w:pStyle w:val="BodyText"/>
      </w:pPr>
      <w:r w:rsidRPr="001D5327">
        <w:t>There are no recalculations of direct gases for this category. There are some minor recalculations of SO</w:t>
      </w:r>
      <w:r w:rsidRPr="001D5327">
        <w:rPr>
          <w:vertAlign w:val="subscript"/>
        </w:rPr>
        <w:t>2</w:t>
      </w:r>
      <w:r w:rsidRPr="001D5327">
        <w:t xml:space="preserve"> averaging 0.02 tonne per annum between 1990 and 2022. </w:t>
      </w:r>
    </w:p>
    <w:p w14:paraId="01C3BB29" w14:textId="77777777" w:rsidR="009327C0" w:rsidRPr="001D5327" w:rsidRDefault="009327C0" w:rsidP="009327C0">
      <w:pPr>
        <w:pStyle w:val="Heading3"/>
      </w:pPr>
      <w:bookmarkStart w:id="438" w:name="category-specific-planned-improvements"/>
      <w:bookmarkEnd w:id="437"/>
      <w:r w:rsidRPr="001D5327">
        <w:t xml:space="preserve">4.2.6 </w:t>
      </w:r>
      <w:r w:rsidRPr="001D5327">
        <w:tab/>
        <w:t>Category-specific planned improvements</w:t>
      </w:r>
    </w:p>
    <w:p w14:paraId="4CEFBCCE" w14:textId="77777777" w:rsidR="009327C0" w:rsidRPr="001D5327" w:rsidRDefault="009327C0" w:rsidP="009327C0">
      <w:pPr>
        <w:pStyle w:val="BodyText"/>
      </w:pPr>
      <w:r w:rsidRPr="001D5327">
        <w:t xml:space="preserve">The inventory agency has worked with the companies in the </w:t>
      </w:r>
      <w:r w:rsidRPr="001D5327">
        <w:rPr>
          <w:i/>
          <w:iCs/>
        </w:rPr>
        <w:t>Mineral industry</w:t>
      </w:r>
      <w:r w:rsidRPr="001D5327">
        <w:t xml:space="preserve"> category to improve transparency and robustness in the data provided. Concerns about the confidentiality of data provided by the glass industry remain a barrier to improving transparency further.</w:t>
      </w:r>
    </w:p>
    <w:p w14:paraId="242B0B6C" w14:textId="77777777" w:rsidR="009327C0" w:rsidRPr="001D5327" w:rsidRDefault="009327C0" w:rsidP="009327C0">
      <w:pPr>
        <w:pStyle w:val="Heading2"/>
      </w:pPr>
      <w:bookmarkStart w:id="439" w:name="_Toc194312006"/>
      <w:bookmarkStart w:id="440" w:name="chemical-industry-2.b"/>
      <w:bookmarkEnd w:id="421"/>
      <w:bookmarkEnd w:id="438"/>
      <w:r w:rsidRPr="001D5327">
        <w:t xml:space="preserve">4.3 </w:t>
      </w:r>
      <w:r w:rsidRPr="001D5327">
        <w:tab/>
        <w:t>Chemical industry (2.B)</w:t>
      </w:r>
      <w:bookmarkEnd w:id="439"/>
    </w:p>
    <w:p w14:paraId="2261FDE3" w14:textId="77777777" w:rsidR="009327C0" w:rsidRPr="001D5327" w:rsidRDefault="009327C0" w:rsidP="009327C0">
      <w:pPr>
        <w:pStyle w:val="Heading3"/>
        <w:spacing w:before="240"/>
      </w:pPr>
      <w:bookmarkStart w:id="441" w:name="description-1"/>
      <w:r w:rsidRPr="001D5327">
        <w:t xml:space="preserve">4.3.1 </w:t>
      </w:r>
      <w:r w:rsidRPr="001D5327">
        <w:tab/>
        <w:t>Description</w:t>
      </w:r>
    </w:p>
    <w:p w14:paraId="2455A42A" w14:textId="77777777" w:rsidR="009327C0" w:rsidRPr="001D5327" w:rsidRDefault="009327C0" w:rsidP="009327C0">
      <w:pPr>
        <w:pStyle w:val="BodyText"/>
      </w:pPr>
      <w:r w:rsidRPr="001D5327">
        <w:t xml:space="preserve">The significant chemical processes occurring in New Zealand are the production of urea, methanol, superphosphate fertiliser, hydrogen peroxide, formaldehyde and ethanol. In addition, a substantial amount of hydrogen was made at the Marsden Point Oil Refinery until the refinery closed in March 2022. Carbon dioxide emissions from this process are reported in the </w:t>
      </w:r>
      <w:r w:rsidRPr="001D5327">
        <w:rPr>
          <w:i/>
          <w:iCs/>
        </w:rPr>
        <w:t>Chemical industry</w:t>
      </w:r>
      <w:r w:rsidRPr="001D5327">
        <w:t xml:space="preserve"> category. No other relevant chemical products (such as nitric acid, adipic acid or ethylene) are produced in New Zealand.</w:t>
      </w:r>
    </w:p>
    <w:p w14:paraId="0487A9AA" w14:textId="77777777" w:rsidR="009327C0" w:rsidRPr="001D5327" w:rsidRDefault="009327C0" w:rsidP="009327C0">
      <w:pPr>
        <w:pStyle w:val="BodyText"/>
      </w:pPr>
      <w:r w:rsidRPr="001D5327">
        <w:t>Ammonia is made at one site in Taranaki by the catalytic steam reforming of natural gas. The ammonia produced is further processed into urea. The emissions of CO</w:t>
      </w:r>
      <w:r w:rsidRPr="001D5327">
        <w:rPr>
          <w:vertAlign w:val="subscript"/>
        </w:rPr>
        <w:t>2</w:t>
      </w:r>
      <w:r w:rsidRPr="001D5327">
        <w:t xml:space="preserve"> reported in this category arise from the fraction of chemical feedstock CO</w:t>
      </w:r>
      <w:r w:rsidRPr="001D5327">
        <w:rPr>
          <w:vertAlign w:val="subscript"/>
        </w:rPr>
        <w:t>2</w:t>
      </w:r>
      <w:r w:rsidRPr="001D5327">
        <w:t xml:space="preserve"> that is not recovered for urea production. Emissions from combustion at this site are reported separately under the Energy sector (1.A.2.c). Nearly all of the urea produced is used as a fertiliser in New Zealand. The emissions associated with agricultural use of urea (both manufactured in New Zealand and imported) are reported under the Agriculture sector (3.H). A small amount of urea is also used for catalytic reduction of diesel exhaust emissions. The emissions of CO</w:t>
      </w:r>
      <w:r w:rsidRPr="001D5327">
        <w:rPr>
          <w:vertAlign w:val="subscript"/>
        </w:rPr>
        <w:t>2</w:t>
      </w:r>
      <w:r w:rsidRPr="001D5327">
        <w:t xml:space="preserve"> from this use of urea are reported in the </w:t>
      </w:r>
      <w:r w:rsidRPr="001D5327">
        <w:rPr>
          <w:i/>
          <w:iCs/>
        </w:rPr>
        <w:t>Non-energy products from fuels and solvent use</w:t>
      </w:r>
      <w:r w:rsidRPr="001D5327">
        <w:t xml:space="preserve"> category (2.D.3).</w:t>
      </w:r>
    </w:p>
    <w:p w14:paraId="6384A065" w14:textId="77777777" w:rsidR="009327C0" w:rsidRPr="001D5327" w:rsidRDefault="009327C0" w:rsidP="009327C0">
      <w:pPr>
        <w:pStyle w:val="BodyText"/>
      </w:pPr>
      <w:r w:rsidRPr="001D5327">
        <w:t>Methane emissions are reported from the production of methanol, which is made from natural gas feedstock at two sites in Taranaki. From 1990 to 1997, a large proportion of the methanol made in New Zealand was processed into synthetic gasoline for transport use. All emissions associated with the production of gasoline, including the synthetic gasoline produced from 1990 to 1997, are reported under the Energy sector (1.A.1). From 1998, all methanol made in New Zealand has been chemical methanol for export and, therefore, all process emissions from the methanol plants have been reported under the IPPU sector.</w:t>
      </w:r>
    </w:p>
    <w:p w14:paraId="720A2106" w14:textId="77777777" w:rsidR="009327C0" w:rsidRPr="001D5327" w:rsidRDefault="009327C0" w:rsidP="009327C0">
      <w:pPr>
        <w:pStyle w:val="BodyText"/>
      </w:pPr>
      <w:r w:rsidRPr="001D5327">
        <w:lastRenderedPageBreak/>
        <w:t>A small amount of CO</w:t>
      </w:r>
      <w:r w:rsidRPr="001D5327">
        <w:rPr>
          <w:vertAlign w:val="subscript"/>
        </w:rPr>
        <w:t>2</w:t>
      </w:r>
      <w:r w:rsidRPr="001D5327">
        <w:t xml:space="preserve"> is reported from the use of imported calcium carbide, which is used to produce acetylene for welding. No carbides are manufactured in New Zealand.</w:t>
      </w:r>
    </w:p>
    <w:p w14:paraId="09A1D752" w14:textId="77777777" w:rsidR="009327C0" w:rsidRPr="001D5327" w:rsidRDefault="009327C0" w:rsidP="009327C0">
      <w:pPr>
        <w:pStyle w:val="BodyText"/>
      </w:pPr>
      <w:r w:rsidRPr="001D5327">
        <w:t>Some indirect emissions (oxides of nitrogen (NO</w:t>
      </w:r>
      <w:r w:rsidRPr="001D5327">
        <w:rPr>
          <w:vertAlign w:val="subscript"/>
        </w:rPr>
        <w:t>x</w:t>
      </w:r>
      <w:r w:rsidRPr="001D5327">
        <w:t>), carbon monoxide (CO), non-methane volatile organic compounds (NMVOCs) and SO</w:t>
      </w:r>
      <w:r w:rsidRPr="001D5327">
        <w:rPr>
          <w:vertAlign w:val="subscript"/>
        </w:rPr>
        <w:t>2</w:t>
      </w:r>
      <w:r w:rsidRPr="001D5327">
        <w:t>) are reported from methanol, formaldehyde, ethanol and superphosphate fertiliser production.</w:t>
      </w:r>
    </w:p>
    <w:p w14:paraId="20CE2D3F" w14:textId="77777777" w:rsidR="009327C0" w:rsidRPr="001D5327" w:rsidRDefault="009327C0" w:rsidP="009327C0">
      <w:pPr>
        <w:pStyle w:val="BodyText"/>
      </w:pPr>
      <w:r w:rsidRPr="001D5327">
        <w:t xml:space="preserve">Emissions from the </w:t>
      </w:r>
      <w:r w:rsidRPr="001D5327">
        <w:rPr>
          <w:i/>
          <w:iCs/>
        </w:rPr>
        <w:t>Chemical industry</w:t>
      </w:r>
      <w:r w:rsidRPr="001D5327">
        <w:t xml:space="preserve"> category in 2023 were 122.9 kt CO</w:t>
      </w:r>
      <w:r w:rsidRPr="001D5327">
        <w:rPr>
          <w:vertAlign w:val="subscript"/>
        </w:rPr>
        <w:t>2</w:t>
      </w:r>
      <w:r w:rsidRPr="001D5327">
        <w:t>-e (3.0 per cent) of emissions from the IPPU sector. This is 83.4 kt CO</w:t>
      </w:r>
      <w:r w:rsidRPr="001D5327">
        <w:rPr>
          <w:vertAlign w:val="subscript"/>
        </w:rPr>
        <w:t>2</w:t>
      </w:r>
      <w:r w:rsidRPr="001D5327">
        <w:t>-e (40.4 per cent) below the 1990 level. The reduction occurred from 2020 and was driven by a decrease in emissions from the Marsden Point Oil Refinery. The refinery company outputs remained low as it prepared for its closure in March 2022 and due to COVID-19 pandemic restrictions.</w:t>
      </w:r>
    </w:p>
    <w:p w14:paraId="20AA962A" w14:textId="77777777" w:rsidR="009327C0" w:rsidRPr="001D5327" w:rsidRDefault="009327C0" w:rsidP="009327C0">
      <w:pPr>
        <w:pStyle w:val="BodyText"/>
      </w:pPr>
      <w:r w:rsidRPr="001D5327">
        <w:t>The only key category is CO</w:t>
      </w:r>
      <w:r w:rsidRPr="001D5327">
        <w:rPr>
          <w:vertAlign w:val="subscript"/>
        </w:rPr>
        <w:t>2</w:t>
      </w:r>
      <w:r w:rsidRPr="001D5327">
        <w:t xml:space="preserve"> emissions from the </w:t>
      </w:r>
      <w:r w:rsidRPr="001D5327">
        <w:rPr>
          <w:i/>
          <w:iCs/>
        </w:rPr>
        <w:t>Other</w:t>
      </w:r>
      <w:r w:rsidRPr="001D5327">
        <w:t xml:space="preserve"> category (trend assessment).</w:t>
      </w:r>
    </w:p>
    <w:p w14:paraId="4B4F9FA6" w14:textId="77777777" w:rsidR="009327C0" w:rsidRPr="001D5327" w:rsidRDefault="009327C0" w:rsidP="009327C0">
      <w:pPr>
        <w:pStyle w:val="Heading3"/>
      </w:pPr>
      <w:bookmarkStart w:id="442" w:name="methodological-issues-1"/>
      <w:bookmarkEnd w:id="441"/>
      <w:r w:rsidRPr="001D5327">
        <w:t xml:space="preserve">4.3.2 </w:t>
      </w:r>
      <w:r w:rsidRPr="001D5327">
        <w:tab/>
        <w:t>Methodological issues</w:t>
      </w:r>
    </w:p>
    <w:p w14:paraId="48AC8DB4" w14:textId="77777777" w:rsidR="009327C0" w:rsidRPr="001D5327" w:rsidRDefault="009327C0" w:rsidP="009327C0">
      <w:pPr>
        <w:pStyle w:val="Heading4"/>
        <w:spacing w:before="200"/>
      </w:pPr>
      <w:bookmarkStart w:id="443" w:name="choice-of-activity-data-1"/>
      <w:r w:rsidRPr="001D5327">
        <w:t>Choice of activity data</w:t>
      </w:r>
    </w:p>
    <w:p w14:paraId="1EC50989" w14:textId="77777777" w:rsidR="009327C0" w:rsidRPr="001D5327" w:rsidRDefault="009327C0" w:rsidP="009327C0">
      <w:pPr>
        <w:pStyle w:val="Heading5"/>
        <w:spacing w:before="200"/>
      </w:pPr>
      <w:bookmarkStart w:id="444" w:name="ammonia-and-urea-2.b.1"/>
      <w:r w:rsidRPr="001D5327">
        <w:t>Ammonia and urea (2.B.1)</w:t>
      </w:r>
    </w:p>
    <w:p w14:paraId="080B89C4" w14:textId="77777777" w:rsidR="009327C0" w:rsidRPr="001D5327" w:rsidRDefault="009327C0" w:rsidP="009327C0">
      <w:pPr>
        <w:pStyle w:val="BodyText"/>
      </w:pPr>
      <w:r w:rsidRPr="001D5327">
        <w:t>Data on the production of urea are supplied to MBIE by Ballance Agri-Nutrients Limited, which operates the ammonia–urea production plant. The activity data reported are the production of ammonia, which is back-estimated from the amount of urea produced on the basis of a site</w:t>
      </w:r>
      <w:r w:rsidRPr="001D5327">
        <w:noBreakHyphen/>
        <w:t>specific conversion factor that reflects the actual rate of conversion of ammonia to urea achieved in this plant.</w:t>
      </w:r>
    </w:p>
    <w:p w14:paraId="3DB0D222" w14:textId="77777777" w:rsidR="009327C0" w:rsidRPr="001D5327" w:rsidRDefault="009327C0" w:rsidP="009327C0">
      <w:pPr>
        <w:pStyle w:val="Heading5"/>
      </w:pPr>
      <w:bookmarkStart w:id="445" w:name="calcium-carbide-2.b.5.b"/>
      <w:bookmarkEnd w:id="444"/>
      <w:r w:rsidRPr="001D5327">
        <w:t>Calcium carbide (2.B.5.b)</w:t>
      </w:r>
    </w:p>
    <w:p w14:paraId="437A4974" w14:textId="77777777" w:rsidR="009327C0" w:rsidRPr="001D5327" w:rsidRDefault="009327C0" w:rsidP="009327C0">
      <w:pPr>
        <w:pStyle w:val="BodyText"/>
      </w:pPr>
      <w:r w:rsidRPr="001D5327">
        <w:t>A small amount of calcium carbide is imported to New Zealand and used to produce acetylene gas for welding. The approximate amount of calcium carbide imported is used as activity data.</w:t>
      </w:r>
    </w:p>
    <w:p w14:paraId="4560BE95" w14:textId="77777777" w:rsidR="009327C0" w:rsidRPr="001D5327" w:rsidRDefault="009327C0" w:rsidP="009327C0">
      <w:pPr>
        <w:pStyle w:val="Heading5"/>
      </w:pPr>
      <w:bookmarkStart w:id="446" w:name="methanol-2.b.8.a"/>
      <w:bookmarkEnd w:id="445"/>
      <w:r w:rsidRPr="001D5327">
        <w:t>Methanol (2.B.8.a)</w:t>
      </w:r>
    </w:p>
    <w:p w14:paraId="2B7C32FF" w14:textId="77777777" w:rsidR="009327C0" w:rsidRPr="001D5327" w:rsidRDefault="009327C0" w:rsidP="009327C0">
      <w:pPr>
        <w:pStyle w:val="BodyText"/>
      </w:pPr>
      <w:r w:rsidRPr="001D5327">
        <w:t>Data on methanol production (chemical methanol produced for export) are supplied to MBIE by Methanex, which operates the two methanol plants.</w:t>
      </w:r>
    </w:p>
    <w:p w14:paraId="56BD2472" w14:textId="77777777" w:rsidR="009327C0" w:rsidRPr="001D5327" w:rsidRDefault="009327C0" w:rsidP="009327C0">
      <w:pPr>
        <w:pStyle w:val="Heading5"/>
      </w:pPr>
      <w:bookmarkStart w:id="447" w:name="hydrogen-2.b.10"/>
      <w:bookmarkEnd w:id="446"/>
      <w:r w:rsidRPr="001D5327">
        <w:t>Hydrogen (2.B.10)</w:t>
      </w:r>
    </w:p>
    <w:p w14:paraId="312C1204" w14:textId="77777777" w:rsidR="009327C0" w:rsidRPr="001D5327" w:rsidRDefault="009327C0" w:rsidP="009327C0">
      <w:pPr>
        <w:pStyle w:val="BodyText"/>
      </w:pPr>
      <w:r w:rsidRPr="001D5327">
        <w:t>With the closure of Refining New Zealand Ltd at the Marsden Point Oil Refinery in March 2022, Evonik Limited becomes the only company that produces a small amount of hydrogen, which is converted to hydrogen peroxide. The hydrogen is produced from CH</w:t>
      </w:r>
      <w:r w:rsidRPr="001D5327">
        <w:rPr>
          <w:vertAlign w:val="subscript"/>
        </w:rPr>
        <w:t>4</w:t>
      </w:r>
      <w:r w:rsidRPr="001D5327">
        <w:t xml:space="preserve"> (from refinery gas and natural gas) and steam. Carbon dioxide is a by-product of the reaction and is vented to the atmosphere.</w:t>
      </w:r>
    </w:p>
    <w:p w14:paraId="02BBECD0" w14:textId="77777777" w:rsidR="009327C0" w:rsidRPr="001D5327" w:rsidRDefault="009327C0" w:rsidP="009327C0">
      <w:pPr>
        <w:pStyle w:val="BodyText"/>
      </w:pPr>
      <w:r w:rsidRPr="001D5327">
        <w:t>The activity data reported are the amounts of hydrogen produced, as reported to MBIE by the plant operators.</w:t>
      </w:r>
    </w:p>
    <w:p w14:paraId="7E78945E" w14:textId="77777777" w:rsidR="009327C0" w:rsidRPr="001D5327" w:rsidRDefault="009327C0" w:rsidP="009327C0">
      <w:pPr>
        <w:pStyle w:val="Heading5"/>
      </w:pPr>
      <w:bookmarkStart w:id="448" w:name="Xbc527a7de768077f9b950de1119dbfc6f99cb7f"/>
      <w:bookmarkEnd w:id="447"/>
      <w:r w:rsidRPr="001D5327">
        <w:t>Fertiliser, formaldehyde and ethanol (2.B.10)</w:t>
      </w:r>
    </w:p>
    <w:p w14:paraId="72E0CBD0" w14:textId="77777777" w:rsidR="009327C0" w:rsidRPr="001D5327" w:rsidRDefault="009327C0" w:rsidP="009327C0">
      <w:pPr>
        <w:pStyle w:val="BodyText"/>
      </w:pPr>
      <w:r w:rsidRPr="001D5327">
        <w:t>Some indirect emissions (SO</w:t>
      </w:r>
      <w:r w:rsidRPr="001D5327">
        <w:rPr>
          <w:vertAlign w:val="subscript"/>
        </w:rPr>
        <w:t>2</w:t>
      </w:r>
      <w:r w:rsidRPr="001D5327">
        <w:t xml:space="preserve"> and NMVOCs) are also reported from the production of ethanol for purposes other than food and drink, superphosphate fertiliser and formaldehyde.</w:t>
      </w:r>
    </w:p>
    <w:p w14:paraId="34F7F076" w14:textId="77777777" w:rsidR="009327C0" w:rsidRPr="001D5327" w:rsidRDefault="009327C0" w:rsidP="009327C0">
      <w:pPr>
        <w:pStyle w:val="Heading4"/>
      </w:pPr>
      <w:bookmarkStart w:id="449" w:name="choice-of-methods-1"/>
      <w:bookmarkEnd w:id="443"/>
      <w:bookmarkEnd w:id="448"/>
      <w:r w:rsidRPr="001D5327">
        <w:lastRenderedPageBreak/>
        <w:t>Choice of methods</w:t>
      </w:r>
    </w:p>
    <w:p w14:paraId="26D0A91F" w14:textId="77777777" w:rsidR="009327C0" w:rsidRPr="001D5327" w:rsidRDefault="009327C0" w:rsidP="009327C0">
      <w:pPr>
        <w:pStyle w:val="Heading5"/>
      </w:pPr>
      <w:bookmarkStart w:id="450" w:name="ammonia-and-urea-2.b.1-1"/>
      <w:r w:rsidRPr="001D5327">
        <w:t>Ammonia and urea (2.B.1)</w:t>
      </w:r>
    </w:p>
    <w:p w14:paraId="2DF4E454" w14:textId="77777777" w:rsidR="009327C0" w:rsidRPr="001D5327" w:rsidRDefault="009327C0" w:rsidP="009327C0">
      <w:pPr>
        <w:pStyle w:val="BodyText"/>
        <w:rPr>
          <w:spacing w:val="-2"/>
        </w:rPr>
      </w:pPr>
      <w:r w:rsidRPr="001D5327">
        <w:t>The CO</w:t>
      </w:r>
      <w:r w:rsidRPr="001D5327">
        <w:rPr>
          <w:vertAlign w:val="subscript"/>
        </w:rPr>
        <w:t>2</w:t>
      </w:r>
      <w:r w:rsidRPr="001D5327">
        <w:t xml:space="preserve"> emissions are estimated from a Tier 2 carbon balance, based on the feedstock gas </w:t>
      </w:r>
      <w:r w:rsidRPr="001D5327">
        <w:rPr>
          <w:spacing w:val="-2"/>
        </w:rPr>
        <w:t>used. The emissions are derived from all carbon in the feedstock gas used, less carbon recovered for urea production and remaining in the urea product (IPCC, 2006a). Note that only gas used as feedstock is included in this calculation. There are also significant CO</w:t>
      </w:r>
      <w:r w:rsidRPr="001D5327">
        <w:rPr>
          <w:spacing w:val="-2"/>
          <w:vertAlign w:val="subscript"/>
        </w:rPr>
        <w:t>2</w:t>
      </w:r>
      <w:r w:rsidRPr="001D5327">
        <w:rPr>
          <w:spacing w:val="-2"/>
        </w:rPr>
        <w:t xml:space="preserve"> emissions from gas used for combustion, which are reported under the Energy sector in the </w:t>
      </w:r>
      <w:r w:rsidRPr="001D5327">
        <w:rPr>
          <w:i/>
          <w:iCs/>
          <w:spacing w:val="-2"/>
        </w:rPr>
        <w:t>Manufacturing industries and construction</w:t>
      </w:r>
      <w:r w:rsidRPr="001D5327">
        <w:rPr>
          <w:spacing w:val="-2"/>
        </w:rPr>
        <w:t xml:space="preserve"> category (1.A.2.c) and aggregated with other data. This method has been used to allow data on the total gas used at the plant to remain confidential.</w:t>
      </w:r>
    </w:p>
    <w:p w14:paraId="26E82ABB" w14:textId="77777777" w:rsidR="009327C0" w:rsidRPr="001D5327" w:rsidRDefault="009327C0" w:rsidP="009327C0">
      <w:pPr>
        <w:pStyle w:val="Heading5"/>
      </w:pPr>
      <w:bookmarkStart w:id="451" w:name="calcium-carbide-2.b.5.b-1"/>
      <w:bookmarkEnd w:id="450"/>
      <w:r w:rsidRPr="001D5327">
        <w:t>Calcium carbide (2.B.5.b)</w:t>
      </w:r>
    </w:p>
    <w:p w14:paraId="33BC14F6" w14:textId="77777777" w:rsidR="009327C0" w:rsidRPr="001D5327" w:rsidRDefault="009327C0" w:rsidP="009327C0">
      <w:pPr>
        <w:pStyle w:val="BodyText"/>
      </w:pPr>
      <w:r w:rsidRPr="001D5327">
        <w:t>The Tier 1 method was used.</w:t>
      </w:r>
    </w:p>
    <w:p w14:paraId="517CF0B7" w14:textId="77777777" w:rsidR="009327C0" w:rsidRPr="001D5327" w:rsidRDefault="009327C0" w:rsidP="009327C0">
      <w:pPr>
        <w:pStyle w:val="Heading5"/>
      </w:pPr>
      <w:bookmarkStart w:id="452" w:name="methanol-2.b.8-and-2.b.8.a"/>
      <w:bookmarkEnd w:id="451"/>
      <w:r w:rsidRPr="001D5327">
        <w:t>Methanol (2.B.8 and 2.B.8.a)</w:t>
      </w:r>
    </w:p>
    <w:p w14:paraId="412B8408" w14:textId="77777777" w:rsidR="009327C0" w:rsidRPr="001D5327" w:rsidRDefault="009327C0" w:rsidP="009327C0">
      <w:pPr>
        <w:pStyle w:val="BodyText"/>
      </w:pPr>
      <w:r w:rsidRPr="001D5327">
        <w:t>Data on the natural gas used for methanol production are also supplied to MBIE by the plant operators. However, the available data on gas supplied to the methanol plants do not allow for any separate feedstock to be clearly distinguished from gas used for combustion. Also, close to 100 per cent of the carbon in feedstock gas is converted to methanol. Therefore, no significant CO</w:t>
      </w:r>
      <w:r w:rsidRPr="001D5327">
        <w:rPr>
          <w:vertAlign w:val="subscript"/>
        </w:rPr>
        <w:t>2</w:t>
      </w:r>
      <w:r w:rsidRPr="001D5327">
        <w:t xml:space="preserve"> emissions can be clearly related to the process. The 2006 IPCC Guidelines do not provide a method for estimation of any CO</w:t>
      </w:r>
      <w:r w:rsidRPr="001D5327">
        <w:rPr>
          <w:vertAlign w:val="subscript"/>
        </w:rPr>
        <w:t>2</w:t>
      </w:r>
      <w:r w:rsidRPr="001D5327">
        <w:t xml:space="preserve"> emissions from this process (IPCC, 2006a). Any small amounts of chemical process CO</w:t>
      </w:r>
      <w:r w:rsidRPr="001D5327">
        <w:rPr>
          <w:vertAlign w:val="subscript"/>
        </w:rPr>
        <w:t>2</w:t>
      </w:r>
      <w:r w:rsidRPr="001D5327">
        <w:t xml:space="preserve"> emissions from the methanol production process are included under the Energy sector (1.A.2), along with the much larger amount of combustion-related emissions from the methanol plants.</w:t>
      </w:r>
    </w:p>
    <w:p w14:paraId="3D7501CB" w14:textId="77777777" w:rsidR="009327C0" w:rsidRPr="001D5327" w:rsidRDefault="009327C0" w:rsidP="009327C0">
      <w:pPr>
        <w:pStyle w:val="BodyText"/>
      </w:pPr>
      <w:r w:rsidRPr="001D5327">
        <w:t>Fugitive CH</w:t>
      </w:r>
      <w:r w:rsidRPr="001D5327">
        <w:rPr>
          <w:vertAlign w:val="subscript"/>
        </w:rPr>
        <w:t>4</w:t>
      </w:r>
      <w:r w:rsidRPr="001D5327">
        <w:t xml:space="preserve"> from the methanol manufacturing process is estimated using the Tier 1 method. Emissions of NO</w:t>
      </w:r>
      <w:r w:rsidRPr="001D5327">
        <w:rPr>
          <w:vertAlign w:val="subscript"/>
        </w:rPr>
        <w:t>x</w:t>
      </w:r>
      <w:r w:rsidRPr="001D5327">
        <w:t>, CO and NMVOC are also reported.</w:t>
      </w:r>
    </w:p>
    <w:p w14:paraId="4CD2AF3F" w14:textId="77777777" w:rsidR="009327C0" w:rsidRPr="001D5327" w:rsidRDefault="009327C0" w:rsidP="009327C0">
      <w:pPr>
        <w:pStyle w:val="Heading5"/>
      </w:pPr>
      <w:bookmarkStart w:id="453" w:name="hydrogen-2.b.10-1"/>
      <w:bookmarkEnd w:id="452"/>
      <w:r w:rsidRPr="001D5327">
        <w:t>Hydrogen (2.B.10)</w:t>
      </w:r>
    </w:p>
    <w:p w14:paraId="4999F04F" w14:textId="77777777" w:rsidR="009327C0" w:rsidRPr="001D5327" w:rsidRDefault="009327C0" w:rsidP="009327C0">
      <w:pPr>
        <w:pStyle w:val="BodyText"/>
      </w:pPr>
      <w:r w:rsidRPr="001D5327">
        <w:t>Emissions of CO</w:t>
      </w:r>
      <w:r w:rsidRPr="001D5327">
        <w:rPr>
          <w:vertAlign w:val="subscript"/>
        </w:rPr>
        <w:t>2</w:t>
      </w:r>
      <w:r w:rsidRPr="001D5327">
        <w:t xml:space="preserve"> from hydrogen production are calculated using the Tier 2 methodology, based on feedstock composition (IPCC, 2006a). The required data are supplied by MBIE.</w:t>
      </w:r>
    </w:p>
    <w:p w14:paraId="31A4DA2C" w14:textId="77777777" w:rsidR="009327C0" w:rsidRPr="001D5327" w:rsidRDefault="009327C0" w:rsidP="009327C0">
      <w:pPr>
        <w:pStyle w:val="Heading4"/>
      </w:pPr>
      <w:bookmarkStart w:id="454" w:name="choice-of-emission-factors"/>
      <w:bookmarkEnd w:id="449"/>
      <w:bookmarkEnd w:id="453"/>
      <w:r w:rsidRPr="001D5327">
        <w:t>Choice of emission factors</w:t>
      </w:r>
    </w:p>
    <w:p w14:paraId="1C528ACD" w14:textId="77777777" w:rsidR="009327C0" w:rsidRPr="001D5327" w:rsidRDefault="009327C0" w:rsidP="009327C0">
      <w:pPr>
        <w:pStyle w:val="Heading5"/>
      </w:pPr>
      <w:bookmarkStart w:id="455" w:name="carbon-dioxide-and-methane"/>
      <w:r w:rsidRPr="001D5327">
        <w:t>Carbon dioxide and methane</w:t>
      </w:r>
    </w:p>
    <w:p w14:paraId="25A39285" w14:textId="77777777" w:rsidR="009327C0" w:rsidRPr="001D5327" w:rsidRDefault="009327C0" w:rsidP="009327C0">
      <w:pPr>
        <w:pStyle w:val="BodyText"/>
      </w:pPr>
      <w:r w:rsidRPr="001D5327">
        <w:t>For ammonia production, the carbon content of each type of natural gas (up to three types taken from different natural gas fields, and mixed pipeline gas) used as feedstock determines country-specific CO</w:t>
      </w:r>
      <w:r w:rsidRPr="001D5327">
        <w:rPr>
          <w:vertAlign w:val="subscript"/>
        </w:rPr>
        <w:t>2</w:t>
      </w:r>
      <w:r w:rsidRPr="001D5327">
        <w:t xml:space="preserve"> emission factors.</w:t>
      </w:r>
    </w:p>
    <w:p w14:paraId="0F38CD10" w14:textId="77777777" w:rsidR="009327C0" w:rsidRPr="001D5327" w:rsidRDefault="009327C0" w:rsidP="009327C0">
      <w:pPr>
        <w:pStyle w:val="BodyText"/>
      </w:pPr>
      <w:r w:rsidRPr="001D5327">
        <w:t>In some years, these emission factors are higher than Tier 1 default emission factors, due to the use of untreated high-CO</w:t>
      </w:r>
      <w:r w:rsidRPr="001D5327">
        <w:rPr>
          <w:vertAlign w:val="subscript"/>
        </w:rPr>
        <w:t>2</w:t>
      </w:r>
      <w:r w:rsidRPr="001D5327">
        <w:t xml:space="preserve"> gas from the Kapuni field as part of the feedstock at this plant. This gas has a carbon content factor (CCF</w:t>
      </w:r>
      <w:r w:rsidRPr="001D5327">
        <w:rPr>
          <w:vertAlign w:val="subscript"/>
        </w:rPr>
        <w:t>i</w:t>
      </w:r>
      <w:r w:rsidRPr="001D5327">
        <w:t>) of approximately 22.5 kilograms per gigajoule in comparison with the default of 15.3 kilograms per gigajoule. Kapuni gas has not been used since 2014.</w:t>
      </w:r>
    </w:p>
    <w:p w14:paraId="111FA300" w14:textId="71C104A9" w:rsidR="009327C0" w:rsidRPr="001D5327" w:rsidRDefault="009327C0" w:rsidP="009327C0">
      <w:pPr>
        <w:pStyle w:val="BodyText"/>
      </w:pPr>
      <w:r w:rsidRPr="001D5327">
        <w:t>For hydrogen production, site-specific (for refinery gas) and field-specific (for natural gas)</w:t>
      </w:r>
      <w:r w:rsidR="00AF6CF7" w:rsidRPr="001D5327">
        <w:t> </w:t>
      </w:r>
      <w:r w:rsidRPr="001D5327">
        <w:t>emission factors are used to determine the CO</w:t>
      </w:r>
      <w:r w:rsidRPr="001D5327">
        <w:rPr>
          <w:vertAlign w:val="subscript"/>
        </w:rPr>
        <w:t>2</w:t>
      </w:r>
      <w:r w:rsidRPr="001D5327">
        <w:t xml:space="preserve"> emissions from the feedstock gas streams</w:t>
      </w:r>
      <w:r w:rsidR="00AF6CF7" w:rsidRPr="001D5327">
        <w:t> </w:t>
      </w:r>
      <w:r w:rsidRPr="001D5327">
        <w:t>used.</w:t>
      </w:r>
    </w:p>
    <w:p w14:paraId="05BCF5B8" w14:textId="77777777" w:rsidR="009327C0" w:rsidRPr="001D5327" w:rsidRDefault="009327C0" w:rsidP="009327C0">
      <w:pPr>
        <w:pStyle w:val="BodyText"/>
      </w:pPr>
      <w:r w:rsidRPr="001D5327">
        <w:lastRenderedPageBreak/>
        <w:t>IPCC default emission factors are used to estimate emissions of CH</w:t>
      </w:r>
      <w:r w:rsidRPr="001D5327">
        <w:rPr>
          <w:vertAlign w:val="subscript"/>
        </w:rPr>
        <w:t>4</w:t>
      </w:r>
      <w:r w:rsidRPr="001D5327">
        <w:t xml:space="preserve"> from methanol manufacture and CO</w:t>
      </w:r>
      <w:r w:rsidRPr="001D5327">
        <w:rPr>
          <w:vertAlign w:val="subscript"/>
        </w:rPr>
        <w:t>2</w:t>
      </w:r>
      <w:r w:rsidRPr="001D5327">
        <w:t xml:space="preserve"> from calcium carbide use (IPCC, 2006a). No other information on these emission sources is available.</w:t>
      </w:r>
    </w:p>
    <w:p w14:paraId="3D2B4898" w14:textId="77777777" w:rsidR="009327C0" w:rsidRPr="001D5327" w:rsidRDefault="009327C0" w:rsidP="009327C0">
      <w:pPr>
        <w:pStyle w:val="Heading5"/>
      </w:pPr>
      <w:bookmarkStart w:id="456" w:name="indirect-emissions"/>
      <w:bookmarkEnd w:id="455"/>
      <w:r w:rsidRPr="001D5327">
        <w:t>Indirect emissions</w:t>
      </w:r>
    </w:p>
    <w:p w14:paraId="408CC443" w14:textId="77777777" w:rsidR="009327C0" w:rsidRPr="001D5327" w:rsidRDefault="009327C0" w:rsidP="009327C0">
      <w:pPr>
        <w:pStyle w:val="BodyText"/>
      </w:pPr>
      <w:r w:rsidRPr="001D5327">
        <w:t>Indirect emissions of NO</w:t>
      </w:r>
      <w:r w:rsidRPr="001D5327">
        <w:rPr>
          <w:vertAlign w:val="subscript"/>
        </w:rPr>
        <w:t>x</w:t>
      </w:r>
      <w:r w:rsidRPr="001D5327">
        <w:t>, CO and NMVOC from methanol production are reported (2.B.8) with emission factors estimated by Methanex (CRL Energy, unpublished(a)). The emission factors for NO</w:t>
      </w:r>
      <w:r w:rsidRPr="001D5327">
        <w:rPr>
          <w:vertAlign w:val="subscript"/>
        </w:rPr>
        <w:t>x</w:t>
      </w:r>
      <w:r w:rsidRPr="001D5327">
        <w:t xml:space="preserve"> and CO were derived from site measurements, and the emission factor for NMVOC is based on American Petroleum Institute methods for estimating vapour emissions from storage tanks. Some indirect greenhouse gas emissions are also reported for superphosphate fertiliser, formaldehyde and ethanol production (2.B.10). The emission factors used are country specific (CRL Energy unpublished(a)) and are as shown in table 4.3.1.</w:t>
      </w:r>
    </w:p>
    <w:p w14:paraId="73521E65" w14:textId="77777777" w:rsidR="009327C0" w:rsidRPr="001D5327" w:rsidRDefault="009327C0" w:rsidP="009327C0">
      <w:pPr>
        <w:pStyle w:val="Table"/>
      </w:pPr>
      <w:bookmarkStart w:id="457" w:name="_Toc194241684"/>
      <w:r w:rsidRPr="001D5327">
        <w:t xml:space="preserve">Table 4.3.1 </w:t>
      </w:r>
      <w:r w:rsidRPr="001D5327">
        <w:tab/>
        <w:t>Country-specific emission factors for indirect emissions</w:t>
      </w:r>
      <w:bookmarkEnd w:id="457"/>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742"/>
        <w:gridCol w:w="1335"/>
        <w:gridCol w:w="3417"/>
      </w:tblGrid>
      <w:tr w:rsidR="00D43008" w:rsidRPr="001D5327" w14:paraId="4F40CBC5" w14:textId="77777777" w:rsidTr="00D43008">
        <w:trPr>
          <w:tblHeader/>
        </w:trPr>
        <w:tc>
          <w:tcPr>
            <w:tcW w:w="0" w:type="auto"/>
            <w:shd w:val="clear" w:color="auto" w:fill="1B556B"/>
            <w:tcMar>
              <w:top w:w="0" w:type="dxa"/>
              <w:left w:w="85" w:type="dxa"/>
              <w:bottom w:w="0" w:type="dxa"/>
              <w:right w:w="85" w:type="dxa"/>
            </w:tcMar>
          </w:tcPr>
          <w:p w14:paraId="306503A6" w14:textId="77777777" w:rsidR="009327C0" w:rsidRPr="001D5327" w:rsidRDefault="009327C0" w:rsidP="00D43008">
            <w:pPr>
              <w:pStyle w:val="TableTextBold"/>
              <w:spacing w:before="40" w:after="40"/>
              <w:rPr>
                <w:noProof w:val="0"/>
                <w:color w:val="FFFFFF" w:themeColor="background1"/>
              </w:rPr>
            </w:pPr>
            <w:r w:rsidRPr="001D5327">
              <w:rPr>
                <w:rFonts w:eastAsia="Calibri"/>
                <w:noProof w:val="0"/>
                <w:color w:val="FFFFFF" w:themeColor="background1"/>
              </w:rPr>
              <w:t>Activity</w:t>
            </w:r>
          </w:p>
        </w:tc>
        <w:tc>
          <w:tcPr>
            <w:tcW w:w="0" w:type="auto"/>
            <w:shd w:val="clear" w:color="auto" w:fill="1B556B"/>
            <w:tcMar>
              <w:top w:w="0" w:type="dxa"/>
              <w:left w:w="85" w:type="dxa"/>
              <w:bottom w:w="0" w:type="dxa"/>
              <w:right w:w="85" w:type="dxa"/>
            </w:tcMar>
          </w:tcPr>
          <w:p w14:paraId="2E49D3FE" w14:textId="77777777" w:rsidR="009327C0" w:rsidRPr="001D5327" w:rsidRDefault="009327C0" w:rsidP="00D43008">
            <w:pPr>
              <w:pStyle w:val="TableTextBold"/>
              <w:spacing w:before="40" w:after="40"/>
              <w:rPr>
                <w:noProof w:val="0"/>
                <w:color w:val="FFFFFF" w:themeColor="background1"/>
              </w:rPr>
            </w:pPr>
            <w:r w:rsidRPr="001D5327">
              <w:rPr>
                <w:rFonts w:eastAsia="Calibri"/>
                <w:noProof w:val="0"/>
                <w:color w:val="FFFFFF" w:themeColor="background1"/>
              </w:rPr>
              <w:t>Type of gas</w:t>
            </w:r>
          </w:p>
        </w:tc>
        <w:tc>
          <w:tcPr>
            <w:tcW w:w="0" w:type="auto"/>
            <w:shd w:val="clear" w:color="auto" w:fill="1B556B"/>
            <w:tcMar>
              <w:top w:w="0" w:type="dxa"/>
              <w:left w:w="85" w:type="dxa"/>
              <w:bottom w:w="0" w:type="dxa"/>
              <w:right w:w="85" w:type="dxa"/>
            </w:tcMar>
          </w:tcPr>
          <w:p w14:paraId="61568532" w14:textId="77777777" w:rsidR="009327C0" w:rsidRPr="001D5327" w:rsidRDefault="009327C0" w:rsidP="00D43008">
            <w:pPr>
              <w:pStyle w:val="TableTextBold"/>
              <w:spacing w:before="40" w:after="40"/>
              <w:rPr>
                <w:noProof w:val="0"/>
                <w:color w:val="FFFFFF" w:themeColor="background1"/>
              </w:rPr>
            </w:pPr>
            <w:r w:rsidRPr="001D5327">
              <w:rPr>
                <w:rFonts w:eastAsia="Calibri"/>
                <w:noProof w:val="0"/>
                <w:color w:val="FFFFFF" w:themeColor="background1"/>
              </w:rPr>
              <w:t>Emission factor</w:t>
            </w:r>
          </w:p>
        </w:tc>
      </w:tr>
      <w:tr w:rsidR="009327C0" w:rsidRPr="001D5327" w14:paraId="14440ABB" w14:textId="77777777" w:rsidTr="00D43008">
        <w:tc>
          <w:tcPr>
            <w:tcW w:w="0" w:type="auto"/>
            <w:shd w:val="clear" w:color="auto" w:fill="FFFFFF"/>
            <w:tcMar>
              <w:top w:w="0" w:type="dxa"/>
              <w:left w:w="85" w:type="dxa"/>
              <w:bottom w:w="0" w:type="dxa"/>
              <w:right w:w="85" w:type="dxa"/>
            </w:tcMar>
          </w:tcPr>
          <w:p w14:paraId="03D62108" w14:textId="77777777" w:rsidR="009327C0" w:rsidRPr="001D5327" w:rsidRDefault="009327C0" w:rsidP="00D43008">
            <w:pPr>
              <w:pStyle w:val="TableText"/>
              <w:spacing w:before="40" w:after="40"/>
            </w:pPr>
            <w:r w:rsidRPr="001D5327">
              <w:rPr>
                <w:rFonts w:eastAsia="Calibri"/>
                <w:color w:val="000000"/>
              </w:rPr>
              <w:t>Superphosphate fertiliser production</w:t>
            </w:r>
          </w:p>
        </w:tc>
        <w:tc>
          <w:tcPr>
            <w:tcW w:w="0" w:type="auto"/>
            <w:shd w:val="clear" w:color="auto" w:fill="FFFFFF"/>
            <w:tcMar>
              <w:top w:w="0" w:type="dxa"/>
              <w:left w:w="85" w:type="dxa"/>
              <w:bottom w:w="0" w:type="dxa"/>
              <w:right w:w="85" w:type="dxa"/>
            </w:tcMar>
          </w:tcPr>
          <w:p w14:paraId="48BDE8ED" w14:textId="77777777" w:rsidR="009327C0" w:rsidRPr="001D5327" w:rsidRDefault="009327C0" w:rsidP="00D43008">
            <w:pPr>
              <w:pStyle w:val="TableText"/>
              <w:spacing w:before="40" w:after="40"/>
            </w:pPr>
            <w:r w:rsidRPr="001D5327">
              <w:rPr>
                <w:rFonts w:eastAsia="Calibri"/>
                <w:color w:val="000000"/>
              </w:rPr>
              <w:t>SO</w:t>
            </w:r>
            <w:r w:rsidRPr="001D5327">
              <w:rPr>
                <w:rFonts w:eastAsia="Calibri"/>
                <w:color w:val="000000"/>
                <w:vertAlign w:val="subscript"/>
              </w:rPr>
              <w:t>2</w:t>
            </w:r>
          </w:p>
        </w:tc>
        <w:tc>
          <w:tcPr>
            <w:tcW w:w="0" w:type="auto"/>
            <w:shd w:val="clear" w:color="auto" w:fill="FFFFFF"/>
            <w:tcMar>
              <w:top w:w="0" w:type="dxa"/>
              <w:left w:w="85" w:type="dxa"/>
              <w:bottom w:w="0" w:type="dxa"/>
              <w:right w:w="85" w:type="dxa"/>
            </w:tcMar>
          </w:tcPr>
          <w:p w14:paraId="389DAEB4" w14:textId="77777777" w:rsidR="009327C0" w:rsidRPr="001D5327" w:rsidRDefault="009327C0" w:rsidP="00D43008">
            <w:pPr>
              <w:pStyle w:val="TableText"/>
              <w:spacing w:before="40" w:after="40"/>
            </w:pPr>
            <w:r w:rsidRPr="001D5327">
              <w:rPr>
                <w:rFonts w:eastAsia="Calibri"/>
                <w:color w:val="000000"/>
              </w:rPr>
              <w:t>1.5 kg per tonne of H</w:t>
            </w:r>
            <w:r w:rsidRPr="001D5327">
              <w:rPr>
                <w:rFonts w:eastAsia="Calibri"/>
                <w:color w:val="000000"/>
                <w:vertAlign w:val="subscript"/>
              </w:rPr>
              <w:t>2</w:t>
            </w:r>
            <w:r w:rsidRPr="001D5327">
              <w:rPr>
                <w:rFonts w:eastAsia="Calibri"/>
                <w:color w:val="000000"/>
              </w:rPr>
              <w:t>SO</w:t>
            </w:r>
            <w:r w:rsidRPr="001D5327">
              <w:rPr>
                <w:rFonts w:eastAsia="Calibri"/>
                <w:color w:val="000000"/>
                <w:vertAlign w:val="subscript"/>
              </w:rPr>
              <w:t>4</w:t>
            </w:r>
          </w:p>
        </w:tc>
      </w:tr>
      <w:tr w:rsidR="009327C0" w:rsidRPr="001D5327" w14:paraId="5D07683F" w14:textId="77777777" w:rsidTr="00D43008">
        <w:tc>
          <w:tcPr>
            <w:tcW w:w="0" w:type="auto"/>
            <w:shd w:val="clear" w:color="auto" w:fill="FFFFFF"/>
            <w:tcMar>
              <w:top w:w="0" w:type="dxa"/>
              <w:left w:w="85" w:type="dxa"/>
              <w:bottom w:w="0" w:type="dxa"/>
              <w:right w:w="85" w:type="dxa"/>
            </w:tcMar>
          </w:tcPr>
          <w:p w14:paraId="115C6B86" w14:textId="77777777" w:rsidR="009327C0" w:rsidRPr="001D5327" w:rsidRDefault="009327C0" w:rsidP="00D43008">
            <w:pPr>
              <w:pStyle w:val="TableText"/>
              <w:spacing w:before="40" w:after="40"/>
            </w:pPr>
            <w:r w:rsidRPr="001D5327">
              <w:rPr>
                <w:rFonts w:eastAsia="Calibri"/>
                <w:color w:val="000000"/>
              </w:rPr>
              <w:t>Formaldehyde production</w:t>
            </w:r>
          </w:p>
        </w:tc>
        <w:tc>
          <w:tcPr>
            <w:tcW w:w="0" w:type="auto"/>
            <w:shd w:val="clear" w:color="auto" w:fill="FFFFFF"/>
            <w:tcMar>
              <w:top w:w="0" w:type="dxa"/>
              <w:left w:w="85" w:type="dxa"/>
              <w:bottom w:w="0" w:type="dxa"/>
              <w:right w:w="85" w:type="dxa"/>
            </w:tcMar>
          </w:tcPr>
          <w:p w14:paraId="2195A103" w14:textId="77777777" w:rsidR="009327C0" w:rsidRPr="001D5327" w:rsidRDefault="009327C0" w:rsidP="00D43008">
            <w:pPr>
              <w:pStyle w:val="TableText"/>
              <w:spacing w:before="40" w:after="40"/>
            </w:pPr>
            <w:r w:rsidRPr="001D5327">
              <w:rPr>
                <w:rFonts w:eastAsia="Calibri"/>
                <w:color w:val="000000"/>
              </w:rPr>
              <w:t>NMVOCs</w:t>
            </w:r>
          </w:p>
        </w:tc>
        <w:tc>
          <w:tcPr>
            <w:tcW w:w="0" w:type="auto"/>
            <w:shd w:val="clear" w:color="auto" w:fill="FFFFFF"/>
            <w:tcMar>
              <w:top w:w="0" w:type="dxa"/>
              <w:left w:w="85" w:type="dxa"/>
              <w:bottom w:w="0" w:type="dxa"/>
              <w:right w:w="85" w:type="dxa"/>
            </w:tcMar>
          </w:tcPr>
          <w:p w14:paraId="044EC5D0" w14:textId="77777777" w:rsidR="009327C0" w:rsidRPr="001D5327" w:rsidRDefault="009327C0" w:rsidP="00D43008">
            <w:pPr>
              <w:pStyle w:val="TableText"/>
              <w:spacing w:before="40" w:after="40"/>
            </w:pPr>
            <w:r w:rsidRPr="001D5327">
              <w:rPr>
                <w:rFonts w:eastAsia="Calibri"/>
                <w:color w:val="000000"/>
              </w:rPr>
              <w:t>1.5 kg per tonne of formaldehyde</w:t>
            </w:r>
          </w:p>
        </w:tc>
      </w:tr>
      <w:tr w:rsidR="009327C0" w:rsidRPr="001D5327" w14:paraId="56635CDF" w14:textId="77777777" w:rsidTr="00D43008">
        <w:tc>
          <w:tcPr>
            <w:tcW w:w="0" w:type="auto"/>
            <w:shd w:val="clear" w:color="auto" w:fill="FFFFFF"/>
            <w:tcMar>
              <w:top w:w="0" w:type="dxa"/>
              <w:left w:w="85" w:type="dxa"/>
              <w:bottom w:w="0" w:type="dxa"/>
              <w:right w:w="85" w:type="dxa"/>
            </w:tcMar>
          </w:tcPr>
          <w:p w14:paraId="00370EC2" w14:textId="77777777" w:rsidR="009327C0" w:rsidRPr="001D5327" w:rsidRDefault="009327C0" w:rsidP="00D43008">
            <w:pPr>
              <w:pStyle w:val="TableText"/>
              <w:spacing w:before="40" w:after="40"/>
            </w:pPr>
            <w:r w:rsidRPr="001D5327">
              <w:rPr>
                <w:rFonts w:eastAsia="Calibri"/>
                <w:color w:val="000000"/>
              </w:rPr>
              <w:t>Ethanol production</w:t>
            </w:r>
          </w:p>
        </w:tc>
        <w:tc>
          <w:tcPr>
            <w:tcW w:w="0" w:type="auto"/>
            <w:shd w:val="clear" w:color="auto" w:fill="FFFFFF"/>
            <w:tcMar>
              <w:top w:w="0" w:type="dxa"/>
              <w:left w:w="85" w:type="dxa"/>
              <w:bottom w:w="0" w:type="dxa"/>
              <w:right w:w="85" w:type="dxa"/>
            </w:tcMar>
          </w:tcPr>
          <w:p w14:paraId="5B3DE218" w14:textId="77777777" w:rsidR="009327C0" w:rsidRPr="001D5327" w:rsidRDefault="009327C0" w:rsidP="00D43008">
            <w:pPr>
              <w:pStyle w:val="TableText"/>
              <w:spacing w:before="40" w:after="40"/>
            </w:pPr>
            <w:r w:rsidRPr="001D5327">
              <w:rPr>
                <w:rFonts w:eastAsia="Calibri"/>
                <w:color w:val="000000"/>
              </w:rPr>
              <w:t>NMVOCs</w:t>
            </w:r>
          </w:p>
        </w:tc>
        <w:tc>
          <w:tcPr>
            <w:tcW w:w="0" w:type="auto"/>
            <w:shd w:val="clear" w:color="auto" w:fill="FFFFFF"/>
            <w:tcMar>
              <w:top w:w="0" w:type="dxa"/>
              <w:left w:w="85" w:type="dxa"/>
              <w:bottom w:w="0" w:type="dxa"/>
              <w:right w:w="85" w:type="dxa"/>
            </w:tcMar>
          </w:tcPr>
          <w:p w14:paraId="7017A6B5" w14:textId="77777777" w:rsidR="009327C0" w:rsidRPr="001D5327" w:rsidRDefault="009327C0" w:rsidP="00D43008">
            <w:pPr>
              <w:pStyle w:val="TableText"/>
              <w:spacing w:before="40" w:after="40"/>
            </w:pPr>
            <w:r w:rsidRPr="001D5327">
              <w:rPr>
                <w:rFonts w:eastAsia="Calibri"/>
                <w:color w:val="000000"/>
              </w:rPr>
              <w:t>6 g NMVOC per litre of ethanol</w:t>
            </w:r>
          </w:p>
        </w:tc>
      </w:tr>
    </w:tbl>
    <w:p w14:paraId="3CEEBF3D" w14:textId="77777777" w:rsidR="009327C0" w:rsidRPr="001D5327" w:rsidRDefault="009327C0" w:rsidP="00D43008">
      <w:pPr>
        <w:pStyle w:val="Heading3"/>
        <w:spacing w:before="440"/>
      </w:pPr>
      <w:bookmarkStart w:id="458" w:name="Xd140d158be0ceb5e383d4bdfbb982c81db38f88"/>
      <w:bookmarkEnd w:id="442"/>
      <w:bookmarkEnd w:id="454"/>
      <w:bookmarkEnd w:id="456"/>
      <w:r w:rsidRPr="001D5327">
        <w:t xml:space="preserve">4.3.3 </w:t>
      </w:r>
      <w:r w:rsidRPr="001D5327">
        <w:tab/>
        <w:t>Uncertainty assessment and time-series consistency</w:t>
      </w:r>
    </w:p>
    <w:p w14:paraId="2E2B540A" w14:textId="77777777" w:rsidR="009327C0" w:rsidRPr="001D5327" w:rsidRDefault="009327C0" w:rsidP="009327C0">
      <w:pPr>
        <w:pStyle w:val="Heading4"/>
      </w:pPr>
      <w:bookmarkStart w:id="459" w:name="uncertainties-2"/>
      <w:r w:rsidRPr="001D5327">
        <w:t>Uncertainties</w:t>
      </w:r>
    </w:p>
    <w:p w14:paraId="4F43C50B" w14:textId="77777777" w:rsidR="009327C0" w:rsidRPr="001D5327" w:rsidRDefault="009327C0" w:rsidP="009327C0">
      <w:pPr>
        <w:pStyle w:val="BodyText"/>
      </w:pPr>
      <w:r w:rsidRPr="001D5327">
        <w:t>The IPCC default uncertainties have been used for CO</w:t>
      </w:r>
      <w:r w:rsidRPr="001D5327">
        <w:rPr>
          <w:vertAlign w:val="subscript"/>
        </w:rPr>
        <w:t>2</w:t>
      </w:r>
      <w:r w:rsidRPr="001D5327">
        <w:t xml:space="preserve"> and most non-CO</w:t>
      </w:r>
      <w:r w:rsidRPr="001D5327">
        <w:rPr>
          <w:vertAlign w:val="subscript"/>
        </w:rPr>
        <w:t>2</w:t>
      </w:r>
      <w:r w:rsidRPr="001D5327">
        <w:t xml:space="preserve"> emissions from this category, as shown in table 4.3.2.</w:t>
      </w:r>
    </w:p>
    <w:p w14:paraId="75EB26C9" w14:textId="77777777" w:rsidR="009327C0" w:rsidRPr="001D5327" w:rsidRDefault="009327C0" w:rsidP="009327C0">
      <w:pPr>
        <w:pStyle w:val="Table"/>
      </w:pPr>
      <w:bookmarkStart w:id="460" w:name="_Toc194241685"/>
      <w:r w:rsidRPr="001D5327">
        <w:t xml:space="preserve">Table 4.3.2 </w:t>
      </w:r>
      <w:r w:rsidRPr="001D5327">
        <w:tab/>
        <w:t xml:space="preserve">Uncertainty in emissions from the </w:t>
      </w:r>
      <w:r w:rsidRPr="001D5327">
        <w:rPr>
          <w:i/>
          <w:iCs/>
        </w:rPr>
        <w:t>Chemical industry</w:t>
      </w:r>
      <w:r w:rsidRPr="001D5327">
        <w:t xml:space="preserve"> category</w:t>
      </w:r>
      <w:bookmarkEnd w:id="460"/>
    </w:p>
    <w:tbl>
      <w:tblPr>
        <w:tblW w:w="8494"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ook w:val="0420" w:firstRow="1" w:lastRow="0" w:firstColumn="0" w:lastColumn="0" w:noHBand="0" w:noVBand="1"/>
      </w:tblPr>
      <w:tblGrid>
        <w:gridCol w:w="2717"/>
        <w:gridCol w:w="2728"/>
        <w:gridCol w:w="3049"/>
      </w:tblGrid>
      <w:tr w:rsidR="009327C0" w:rsidRPr="001D5327" w14:paraId="13201091" w14:textId="77777777" w:rsidTr="00D11AC9">
        <w:trPr>
          <w:tblHeader/>
        </w:trPr>
        <w:tc>
          <w:tcPr>
            <w:tcW w:w="0" w:type="auto"/>
            <w:shd w:val="clear" w:color="auto" w:fill="1B556B"/>
            <w:tcMar>
              <w:top w:w="0" w:type="dxa"/>
              <w:left w:w="85" w:type="dxa"/>
              <w:bottom w:w="0" w:type="dxa"/>
              <w:right w:w="85" w:type="dxa"/>
            </w:tcMar>
          </w:tcPr>
          <w:p w14:paraId="593BED85" w14:textId="77777777" w:rsidR="009327C0" w:rsidRPr="001D5327" w:rsidRDefault="009327C0" w:rsidP="007964FE">
            <w:pPr>
              <w:pStyle w:val="TableTextBold"/>
              <w:spacing w:before="40" w:after="40"/>
              <w:rPr>
                <w:noProof w:val="0"/>
                <w:color w:val="FFFFFF" w:themeColor="background1"/>
              </w:rPr>
            </w:pPr>
            <w:r w:rsidRPr="001D5327">
              <w:rPr>
                <w:rFonts w:eastAsia="Calibri"/>
                <w:noProof w:val="0"/>
                <w:color w:val="FFFFFF" w:themeColor="background1"/>
              </w:rPr>
              <w:t>Product</w:t>
            </w:r>
          </w:p>
        </w:tc>
        <w:tc>
          <w:tcPr>
            <w:tcW w:w="0" w:type="auto"/>
            <w:shd w:val="clear" w:color="auto" w:fill="1B556B"/>
            <w:tcMar>
              <w:top w:w="0" w:type="dxa"/>
              <w:left w:w="85" w:type="dxa"/>
              <w:bottom w:w="0" w:type="dxa"/>
              <w:right w:w="85" w:type="dxa"/>
            </w:tcMar>
          </w:tcPr>
          <w:p w14:paraId="6B13F4EF" w14:textId="77777777" w:rsidR="009327C0" w:rsidRPr="001D5327" w:rsidRDefault="009327C0" w:rsidP="007964FE">
            <w:pPr>
              <w:pStyle w:val="TableTextBold"/>
              <w:spacing w:before="40" w:after="40"/>
              <w:jc w:val="right"/>
              <w:rPr>
                <w:noProof w:val="0"/>
                <w:color w:val="FFFFFF" w:themeColor="background1"/>
              </w:rPr>
            </w:pPr>
            <w:r w:rsidRPr="001D5327">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tcPr>
          <w:p w14:paraId="77A86B0F" w14:textId="77777777" w:rsidR="009327C0" w:rsidRPr="001D5327" w:rsidRDefault="009327C0" w:rsidP="007964FE">
            <w:pPr>
              <w:pStyle w:val="TableTextBold"/>
              <w:spacing w:before="40" w:after="40"/>
              <w:jc w:val="right"/>
              <w:rPr>
                <w:noProof w:val="0"/>
                <w:color w:val="FFFFFF" w:themeColor="background1"/>
              </w:rPr>
            </w:pPr>
            <w:r w:rsidRPr="001D5327">
              <w:rPr>
                <w:rFonts w:eastAsia="Calibri"/>
                <w:noProof w:val="0"/>
                <w:color w:val="FFFFFF" w:themeColor="background1"/>
              </w:rPr>
              <w:t>Uncertainty in emission factors (%)</w:t>
            </w:r>
          </w:p>
        </w:tc>
      </w:tr>
      <w:tr w:rsidR="009327C0" w:rsidRPr="001D5327" w14:paraId="1F70ACDF" w14:textId="77777777" w:rsidTr="00D11AC9">
        <w:tc>
          <w:tcPr>
            <w:tcW w:w="0" w:type="auto"/>
            <w:shd w:val="clear" w:color="auto" w:fill="FFFFFF"/>
            <w:tcMar>
              <w:top w:w="0" w:type="dxa"/>
              <w:left w:w="85" w:type="dxa"/>
              <w:bottom w:w="0" w:type="dxa"/>
              <w:right w:w="85" w:type="dxa"/>
            </w:tcMar>
          </w:tcPr>
          <w:p w14:paraId="502856BA" w14:textId="77777777" w:rsidR="009327C0" w:rsidRPr="001D5327" w:rsidRDefault="009327C0" w:rsidP="007964FE">
            <w:pPr>
              <w:pStyle w:val="TableText"/>
              <w:spacing w:before="40" w:after="40"/>
            </w:pPr>
            <w:r w:rsidRPr="001D5327">
              <w:rPr>
                <w:rFonts w:eastAsia="Calibri"/>
              </w:rPr>
              <w:t>Ammonia (CO</w:t>
            </w:r>
            <w:r w:rsidRPr="001D5327">
              <w:rPr>
                <w:rFonts w:eastAsia="Calibri"/>
                <w:vertAlign w:val="subscript"/>
              </w:rPr>
              <w:t>2</w:t>
            </w:r>
            <w:r w:rsidRPr="001D5327">
              <w:rPr>
                <w:rFonts w:eastAsia="Calibri"/>
              </w:rPr>
              <w:t>)</w:t>
            </w:r>
          </w:p>
        </w:tc>
        <w:tc>
          <w:tcPr>
            <w:tcW w:w="0" w:type="auto"/>
            <w:shd w:val="clear" w:color="auto" w:fill="FFFFFF"/>
            <w:tcMar>
              <w:top w:w="0" w:type="dxa"/>
              <w:left w:w="85" w:type="dxa"/>
              <w:bottom w:w="0" w:type="dxa"/>
              <w:right w:w="85" w:type="dxa"/>
            </w:tcMar>
          </w:tcPr>
          <w:p w14:paraId="3694056C" w14:textId="77777777" w:rsidR="009327C0" w:rsidRPr="001D5327" w:rsidRDefault="009327C0" w:rsidP="007964FE">
            <w:pPr>
              <w:pStyle w:val="TableText"/>
              <w:spacing w:before="40" w:after="40"/>
              <w:jc w:val="right"/>
            </w:pPr>
            <w:r w:rsidRPr="001D5327">
              <w:rPr>
                <w:rFonts w:eastAsia="Calibri"/>
              </w:rPr>
              <w:t>±2</w:t>
            </w:r>
          </w:p>
        </w:tc>
        <w:tc>
          <w:tcPr>
            <w:tcW w:w="0" w:type="auto"/>
            <w:shd w:val="clear" w:color="auto" w:fill="FFFFFF"/>
            <w:tcMar>
              <w:top w:w="0" w:type="dxa"/>
              <w:left w:w="85" w:type="dxa"/>
              <w:bottom w:w="0" w:type="dxa"/>
              <w:right w:w="85" w:type="dxa"/>
            </w:tcMar>
          </w:tcPr>
          <w:p w14:paraId="67A0D0A1" w14:textId="77777777" w:rsidR="009327C0" w:rsidRPr="001D5327" w:rsidRDefault="009327C0" w:rsidP="007964FE">
            <w:pPr>
              <w:pStyle w:val="TableText"/>
              <w:spacing w:before="40" w:after="40"/>
              <w:jc w:val="right"/>
            </w:pPr>
            <w:r w:rsidRPr="001D5327">
              <w:rPr>
                <w:rFonts w:eastAsia="Calibri"/>
              </w:rPr>
              <w:t>±6</w:t>
            </w:r>
          </w:p>
        </w:tc>
      </w:tr>
      <w:tr w:rsidR="009327C0" w:rsidRPr="001D5327" w14:paraId="5700DE62" w14:textId="77777777" w:rsidTr="00D11AC9">
        <w:tc>
          <w:tcPr>
            <w:tcW w:w="0" w:type="auto"/>
            <w:shd w:val="clear" w:color="auto" w:fill="FFFFFF"/>
            <w:tcMar>
              <w:top w:w="0" w:type="dxa"/>
              <w:left w:w="85" w:type="dxa"/>
              <w:bottom w:w="0" w:type="dxa"/>
              <w:right w:w="85" w:type="dxa"/>
            </w:tcMar>
          </w:tcPr>
          <w:p w14:paraId="40A4AE92" w14:textId="77777777" w:rsidR="009327C0" w:rsidRPr="001D5327" w:rsidRDefault="009327C0" w:rsidP="007964FE">
            <w:pPr>
              <w:pStyle w:val="TableText"/>
              <w:spacing w:before="40" w:after="40"/>
            </w:pPr>
            <w:r w:rsidRPr="001D5327">
              <w:rPr>
                <w:rFonts w:eastAsia="Calibri"/>
              </w:rPr>
              <w:t>Calcium carbide</w:t>
            </w:r>
          </w:p>
        </w:tc>
        <w:tc>
          <w:tcPr>
            <w:tcW w:w="0" w:type="auto"/>
            <w:shd w:val="clear" w:color="auto" w:fill="FFFFFF"/>
            <w:tcMar>
              <w:top w:w="0" w:type="dxa"/>
              <w:left w:w="85" w:type="dxa"/>
              <w:bottom w:w="0" w:type="dxa"/>
              <w:right w:w="85" w:type="dxa"/>
            </w:tcMar>
          </w:tcPr>
          <w:p w14:paraId="08C9DC6D" w14:textId="77777777" w:rsidR="009327C0" w:rsidRPr="001D5327" w:rsidRDefault="009327C0" w:rsidP="007964FE">
            <w:pPr>
              <w:pStyle w:val="TableText"/>
              <w:spacing w:before="40" w:after="40"/>
              <w:jc w:val="right"/>
            </w:pPr>
            <w:r w:rsidRPr="001D5327">
              <w:rPr>
                <w:rFonts w:eastAsia="Calibri"/>
              </w:rPr>
              <w:t>±50</w:t>
            </w:r>
          </w:p>
        </w:tc>
        <w:tc>
          <w:tcPr>
            <w:tcW w:w="0" w:type="auto"/>
            <w:shd w:val="clear" w:color="auto" w:fill="FFFFFF"/>
            <w:tcMar>
              <w:top w:w="0" w:type="dxa"/>
              <w:left w:w="85" w:type="dxa"/>
              <w:bottom w:w="0" w:type="dxa"/>
              <w:right w:w="85" w:type="dxa"/>
            </w:tcMar>
          </w:tcPr>
          <w:p w14:paraId="4319FCB7" w14:textId="77777777" w:rsidR="009327C0" w:rsidRPr="001D5327" w:rsidRDefault="009327C0" w:rsidP="007964FE">
            <w:pPr>
              <w:pStyle w:val="TableText"/>
              <w:spacing w:before="40" w:after="40"/>
              <w:jc w:val="right"/>
            </w:pPr>
            <w:r w:rsidRPr="001D5327">
              <w:rPr>
                <w:rFonts w:eastAsia="Calibri"/>
              </w:rPr>
              <w:t>±50</w:t>
            </w:r>
          </w:p>
        </w:tc>
      </w:tr>
      <w:tr w:rsidR="009327C0" w:rsidRPr="001D5327" w14:paraId="4B06740D" w14:textId="77777777" w:rsidTr="00D11AC9">
        <w:tc>
          <w:tcPr>
            <w:tcW w:w="0" w:type="auto"/>
            <w:shd w:val="clear" w:color="auto" w:fill="FFFFFF"/>
            <w:tcMar>
              <w:top w:w="0" w:type="dxa"/>
              <w:left w:w="85" w:type="dxa"/>
              <w:bottom w:w="0" w:type="dxa"/>
              <w:right w:w="85" w:type="dxa"/>
            </w:tcMar>
          </w:tcPr>
          <w:p w14:paraId="576030A3" w14:textId="77777777" w:rsidR="009327C0" w:rsidRPr="001D5327" w:rsidRDefault="009327C0" w:rsidP="007964FE">
            <w:pPr>
              <w:pStyle w:val="TableText"/>
              <w:spacing w:before="40" w:after="40"/>
            </w:pPr>
            <w:r w:rsidRPr="001D5327">
              <w:rPr>
                <w:rFonts w:eastAsia="Calibri"/>
              </w:rPr>
              <w:t>Formaldehyde (NMVOCs)</w:t>
            </w:r>
          </w:p>
        </w:tc>
        <w:tc>
          <w:tcPr>
            <w:tcW w:w="0" w:type="auto"/>
            <w:shd w:val="clear" w:color="auto" w:fill="FFFFFF"/>
            <w:tcMar>
              <w:top w:w="0" w:type="dxa"/>
              <w:left w:w="85" w:type="dxa"/>
              <w:bottom w:w="0" w:type="dxa"/>
              <w:right w:w="85" w:type="dxa"/>
            </w:tcMar>
          </w:tcPr>
          <w:p w14:paraId="2036D1A8" w14:textId="77777777" w:rsidR="009327C0" w:rsidRPr="001D5327" w:rsidRDefault="009327C0" w:rsidP="007964FE">
            <w:pPr>
              <w:pStyle w:val="TableText"/>
              <w:spacing w:before="40" w:after="40"/>
              <w:jc w:val="right"/>
            </w:pPr>
            <w:r w:rsidRPr="001D5327">
              <w:rPr>
                <w:rFonts w:eastAsia="Calibri"/>
              </w:rPr>
              <w:t>±2</w:t>
            </w:r>
          </w:p>
        </w:tc>
        <w:tc>
          <w:tcPr>
            <w:tcW w:w="0" w:type="auto"/>
            <w:shd w:val="clear" w:color="auto" w:fill="FFFFFF"/>
            <w:tcMar>
              <w:top w:w="0" w:type="dxa"/>
              <w:left w:w="85" w:type="dxa"/>
              <w:bottom w:w="0" w:type="dxa"/>
              <w:right w:w="85" w:type="dxa"/>
            </w:tcMar>
          </w:tcPr>
          <w:p w14:paraId="7215D7D8" w14:textId="77777777" w:rsidR="009327C0" w:rsidRPr="001D5327" w:rsidRDefault="009327C0" w:rsidP="007964FE">
            <w:pPr>
              <w:pStyle w:val="TableText"/>
              <w:spacing w:before="40" w:after="40"/>
              <w:jc w:val="right"/>
            </w:pPr>
            <w:r w:rsidRPr="001D5327">
              <w:rPr>
                <w:rFonts w:eastAsia="Calibri"/>
              </w:rPr>
              <w:t>±50</w:t>
            </w:r>
          </w:p>
        </w:tc>
      </w:tr>
      <w:tr w:rsidR="009327C0" w:rsidRPr="001D5327" w14:paraId="35F2BF72" w14:textId="77777777" w:rsidTr="00D11AC9">
        <w:tc>
          <w:tcPr>
            <w:tcW w:w="0" w:type="auto"/>
            <w:shd w:val="clear" w:color="auto" w:fill="FFFFFF"/>
            <w:tcMar>
              <w:top w:w="0" w:type="dxa"/>
              <w:left w:w="85" w:type="dxa"/>
              <w:bottom w:w="0" w:type="dxa"/>
              <w:right w:w="85" w:type="dxa"/>
            </w:tcMar>
          </w:tcPr>
          <w:p w14:paraId="519EF6DB" w14:textId="77777777" w:rsidR="009327C0" w:rsidRPr="001D5327" w:rsidRDefault="009327C0" w:rsidP="007964FE">
            <w:pPr>
              <w:pStyle w:val="TableText"/>
              <w:spacing w:before="40" w:after="40"/>
            </w:pPr>
            <w:r w:rsidRPr="001D5327">
              <w:rPr>
                <w:rFonts w:eastAsia="Calibri"/>
              </w:rPr>
              <w:t>Hydrogen</w:t>
            </w:r>
          </w:p>
        </w:tc>
        <w:tc>
          <w:tcPr>
            <w:tcW w:w="0" w:type="auto"/>
            <w:shd w:val="clear" w:color="auto" w:fill="FFFFFF"/>
            <w:tcMar>
              <w:top w:w="0" w:type="dxa"/>
              <w:left w:w="85" w:type="dxa"/>
              <w:bottom w:w="0" w:type="dxa"/>
              <w:right w:w="85" w:type="dxa"/>
            </w:tcMar>
          </w:tcPr>
          <w:p w14:paraId="5A710B1F" w14:textId="77777777" w:rsidR="009327C0" w:rsidRPr="001D5327" w:rsidRDefault="009327C0" w:rsidP="007964FE">
            <w:pPr>
              <w:pStyle w:val="TableText"/>
              <w:spacing w:before="40" w:after="40"/>
              <w:jc w:val="right"/>
            </w:pPr>
            <w:r w:rsidRPr="001D5327">
              <w:rPr>
                <w:rFonts w:eastAsia="Calibri"/>
              </w:rPr>
              <w:t>±2</w:t>
            </w:r>
          </w:p>
        </w:tc>
        <w:tc>
          <w:tcPr>
            <w:tcW w:w="0" w:type="auto"/>
            <w:shd w:val="clear" w:color="auto" w:fill="FFFFFF"/>
            <w:tcMar>
              <w:top w:w="0" w:type="dxa"/>
              <w:left w:w="85" w:type="dxa"/>
              <w:bottom w:w="0" w:type="dxa"/>
              <w:right w:w="85" w:type="dxa"/>
            </w:tcMar>
          </w:tcPr>
          <w:p w14:paraId="3DC47CC1" w14:textId="77777777" w:rsidR="009327C0" w:rsidRPr="001D5327" w:rsidRDefault="009327C0" w:rsidP="007964FE">
            <w:pPr>
              <w:pStyle w:val="TableText"/>
              <w:spacing w:before="40" w:after="40"/>
              <w:jc w:val="right"/>
            </w:pPr>
            <w:r w:rsidRPr="001D5327">
              <w:rPr>
                <w:rFonts w:eastAsia="Calibri"/>
              </w:rPr>
              <w:t>±6</w:t>
            </w:r>
          </w:p>
        </w:tc>
      </w:tr>
      <w:tr w:rsidR="009327C0" w:rsidRPr="001D5327" w14:paraId="115B16D6" w14:textId="77777777" w:rsidTr="00D11AC9">
        <w:tc>
          <w:tcPr>
            <w:tcW w:w="0" w:type="auto"/>
            <w:shd w:val="clear" w:color="auto" w:fill="FFFFFF"/>
            <w:tcMar>
              <w:top w:w="0" w:type="dxa"/>
              <w:left w:w="85" w:type="dxa"/>
              <w:bottom w:w="0" w:type="dxa"/>
              <w:right w:w="85" w:type="dxa"/>
            </w:tcMar>
          </w:tcPr>
          <w:p w14:paraId="3CA74F42" w14:textId="77777777" w:rsidR="009327C0" w:rsidRPr="001D5327" w:rsidRDefault="009327C0" w:rsidP="007964FE">
            <w:pPr>
              <w:pStyle w:val="TableText"/>
              <w:spacing w:before="40" w:after="40"/>
            </w:pPr>
            <w:r w:rsidRPr="001D5327">
              <w:rPr>
                <w:rFonts w:eastAsia="Calibri"/>
              </w:rPr>
              <w:t>Methanol (NO</w:t>
            </w:r>
            <w:r w:rsidRPr="001D5327">
              <w:rPr>
                <w:rFonts w:eastAsia="Calibri"/>
                <w:vertAlign w:val="subscript"/>
              </w:rPr>
              <w:t>x</w:t>
            </w:r>
            <w:r w:rsidRPr="001D5327">
              <w:rPr>
                <w:rFonts w:eastAsia="Calibri"/>
              </w:rPr>
              <w:t xml:space="preserve"> and CO)</w:t>
            </w:r>
          </w:p>
        </w:tc>
        <w:tc>
          <w:tcPr>
            <w:tcW w:w="0" w:type="auto"/>
            <w:shd w:val="clear" w:color="auto" w:fill="FFFFFF"/>
            <w:tcMar>
              <w:top w:w="0" w:type="dxa"/>
              <w:left w:w="85" w:type="dxa"/>
              <w:bottom w:w="0" w:type="dxa"/>
              <w:right w:w="85" w:type="dxa"/>
            </w:tcMar>
          </w:tcPr>
          <w:p w14:paraId="79985E74" w14:textId="77777777" w:rsidR="009327C0" w:rsidRPr="001D5327" w:rsidRDefault="009327C0" w:rsidP="007964FE">
            <w:pPr>
              <w:pStyle w:val="TableText"/>
              <w:spacing w:before="40" w:after="40"/>
              <w:jc w:val="right"/>
            </w:pPr>
            <w:r w:rsidRPr="001D5327">
              <w:rPr>
                <w:rFonts w:eastAsia="Calibri"/>
              </w:rPr>
              <w:t>±2</w:t>
            </w:r>
          </w:p>
        </w:tc>
        <w:tc>
          <w:tcPr>
            <w:tcW w:w="0" w:type="auto"/>
            <w:shd w:val="clear" w:color="auto" w:fill="FFFFFF"/>
            <w:tcMar>
              <w:top w:w="0" w:type="dxa"/>
              <w:left w:w="85" w:type="dxa"/>
              <w:bottom w:w="0" w:type="dxa"/>
              <w:right w:w="85" w:type="dxa"/>
            </w:tcMar>
          </w:tcPr>
          <w:p w14:paraId="656C9348" w14:textId="77777777" w:rsidR="009327C0" w:rsidRPr="001D5327" w:rsidRDefault="009327C0" w:rsidP="007964FE">
            <w:pPr>
              <w:pStyle w:val="TableText"/>
              <w:spacing w:before="40" w:after="40"/>
              <w:jc w:val="right"/>
            </w:pPr>
            <w:r w:rsidRPr="001D5327">
              <w:rPr>
                <w:rFonts w:eastAsia="Calibri"/>
              </w:rPr>
              <w:t>±50</w:t>
            </w:r>
          </w:p>
        </w:tc>
      </w:tr>
      <w:tr w:rsidR="009327C0" w:rsidRPr="001D5327" w14:paraId="4BBCAE21" w14:textId="77777777" w:rsidTr="00D11AC9">
        <w:tc>
          <w:tcPr>
            <w:tcW w:w="0" w:type="auto"/>
            <w:shd w:val="clear" w:color="auto" w:fill="FFFFFF"/>
            <w:tcMar>
              <w:top w:w="0" w:type="dxa"/>
              <w:left w:w="85" w:type="dxa"/>
              <w:bottom w:w="0" w:type="dxa"/>
              <w:right w:w="85" w:type="dxa"/>
            </w:tcMar>
          </w:tcPr>
          <w:p w14:paraId="6E87D5DF" w14:textId="77777777" w:rsidR="009327C0" w:rsidRPr="001D5327" w:rsidRDefault="009327C0" w:rsidP="007964FE">
            <w:pPr>
              <w:pStyle w:val="TableText"/>
              <w:spacing w:before="40" w:after="40"/>
            </w:pPr>
            <w:r w:rsidRPr="001D5327">
              <w:rPr>
                <w:rFonts w:eastAsia="Calibri"/>
              </w:rPr>
              <w:t>Methanol (NMVOCs)</w:t>
            </w:r>
          </w:p>
        </w:tc>
        <w:tc>
          <w:tcPr>
            <w:tcW w:w="0" w:type="auto"/>
            <w:shd w:val="clear" w:color="auto" w:fill="FFFFFF"/>
            <w:tcMar>
              <w:top w:w="0" w:type="dxa"/>
              <w:left w:w="85" w:type="dxa"/>
              <w:bottom w:w="0" w:type="dxa"/>
              <w:right w:w="85" w:type="dxa"/>
            </w:tcMar>
          </w:tcPr>
          <w:p w14:paraId="6C24CCD0" w14:textId="77777777" w:rsidR="009327C0" w:rsidRPr="001D5327" w:rsidRDefault="009327C0" w:rsidP="007964FE">
            <w:pPr>
              <w:pStyle w:val="TableText"/>
              <w:spacing w:before="40" w:after="40"/>
              <w:jc w:val="right"/>
            </w:pPr>
            <w:r w:rsidRPr="001D5327">
              <w:rPr>
                <w:rFonts w:eastAsia="Calibri"/>
              </w:rPr>
              <w:t>±2</w:t>
            </w:r>
          </w:p>
        </w:tc>
        <w:tc>
          <w:tcPr>
            <w:tcW w:w="0" w:type="auto"/>
            <w:shd w:val="clear" w:color="auto" w:fill="FFFFFF"/>
            <w:tcMar>
              <w:top w:w="0" w:type="dxa"/>
              <w:left w:w="85" w:type="dxa"/>
              <w:bottom w:w="0" w:type="dxa"/>
              <w:right w:w="85" w:type="dxa"/>
            </w:tcMar>
          </w:tcPr>
          <w:p w14:paraId="5AD22AB1" w14:textId="77777777" w:rsidR="009327C0" w:rsidRPr="001D5327" w:rsidRDefault="009327C0" w:rsidP="007964FE">
            <w:pPr>
              <w:pStyle w:val="TableText"/>
              <w:spacing w:before="40" w:after="40"/>
              <w:jc w:val="right"/>
            </w:pPr>
            <w:r w:rsidRPr="001D5327">
              <w:rPr>
                <w:rFonts w:eastAsia="Calibri"/>
              </w:rPr>
              <w:t>±30</w:t>
            </w:r>
          </w:p>
        </w:tc>
      </w:tr>
      <w:tr w:rsidR="009327C0" w:rsidRPr="001D5327" w14:paraId="3597C521" w14:textId="77777777" w:rsidTr="00D11AC9">
        <w:tc>
          <w:tcPr>
            <w:tcW w:w="0" w:type="auto"/>
            <w:shd w:val="clear" w:color="auto" w:fill="FFFFFF"/>
            <w:tcMar>
              <w:top w:w="0" w:type="dxa"/>
              <w:left w:w="85" w:type="dxa"/>
              <w:bottom w:w="0" w:type="dxa"/>
              <w:right w:w="85" w:type="dxa"/>
            </w:tcMar>
          </w:tcPr>
          <w:p w14:paraId="2070FC0F" w14:textId="77777777" w:rsidR="009327C0" w:rsidRPr="001D5327" w:rsidRDefault="009327C0" w:rsidP="007964FE">
            <w:pPr>
              <w:pStyle w:val="TableText"/>
              <w:spacing w:before="40" w:after="40"/>
            </w:pPr>
            <w:r w:rsidRPr="001D5327">
              <w:rPr>
                <w:rFonts w:eastAsia="Calibri"/>
              </w:rPr>
              <w:t>Methanol (CH</w:t>
            </w:r>
            <w:r w:rsidRPr="001D5327">
              <w:rPr>
                <w:rFonts w:eastAsia="Calibri"/>
                <w:vertAlign w:val="subscript"/>
              </w:rPr>
              <w:t>4</w:t>
            </w:r>
            <w:r w:rsidRPr="001D5327">
              <w:rPr>
                <w:rFonts w:eastAsia="Calibri"/>
              </w:rPr>
              <w:t>)</w:t>
            </w:r>
          </w:p>
        </w:tc>
        <w:tc>
          <w:tcPr>
            <w:tcW w:w="0" w:type="auto"/>
            <w:shd w:val="clear" w:color="auto" w:fill="FFFFFF"/>
            <w:tcMar>
              <w:top w:w="0" w:type="dxa"/>
              <w:left w:w="85" w:type="dxa"/>
              <w:bottom w:w="0" w:type="dxa"/>
              <w:right w:w="85" w:type="dxa"/>
            </w:tcMar>
          </w:tcPr>
          <w:p w14:paraId="29829DA6" w14:textId="77777777" w:rsidR="009327C0" w:rsidRPr="001D5327" w:rsidRDefault="009327C0" w:rsidP="007964FE">
            <w:pPr>
              <w:pStyle w:val="TableText"/>
              <w:spacing w:before="40" w:after="40"/>
              <w:jc w:val="right"/>
            </w:pPr>
            <w:r w:rsidRPr="001D5327">
              <w:rPr>
                <w:rFonts w:eastAsia="Calibri"/>
              </w:rPr>
              <w:t>±2</w:t>
            </w:r>
          </w:p>
        </w:tc>
        <w:tc>
          <w:tcPr>
            <w:tcW w:w="0" w:type="auto"/>
            <w:shd w:val="clear" w:color="auto" w:fill="FFFFFF"/>
            <w:tcMar>
              <w:top w:w="0" w:type="dxa"/>
              <w:left w:w="85" w:type="dxa"/>
              <w:bottom w:w="0" w:type="dxa"/>
              <w:right w:w="85" w:type="dxa"/>
            </w:tcMar>
          </w:tcPr>
          <w:p w14:paraId="12E6A6C0" w14:textId="77777777" w:rsidR="009327C0" w:rsidRPr="001D5327" w:rsidRDefault="009327C0" w:rsidP="007964FE">
            <w:pPr>
              <w:pStyle w:val="TableText"/>
              <w:spacing w:before="40" w:after="40"/>
              <w:jc w:val="right"/>
            </w:pPr>
            <w:r w:rsidRPr="001D5327">
              <w:rPr>
                <w:rFonts w:eastAsia="Calibri"/>
              </w:rPr>
              <w:t>±80</w:t>
            </w:r>
          </w:p>
        </w:tc>
      </w:tr>
      <w:tr w:rsidR="009327C0" w:rsidRPr="001D5327" w14:paraId="2D0EBCB8" w14:textId="77777777" w:rsidTr="00D11AC9">
        <w:tc>
          <w:tcPr>
            <w:tcW w:w="0" w:type="auto"/>
            <w:shd w:val="clear" w:color="auto" w:fill="FFFFFF"/>
            <w:tcMar>
              <w:top w:w="0" w:type="dxa"/>
              <w:left w:w="85" w:type="dxa"/>
              <w:bottom w:w="0" w:type="dxa"/>
              <w:right w:w="85" w:type="dxa"/>
            </w:tcMar>
          </w:tcPr>
          <w:p w14:paraId="1A72515E" w14:textId="77777777" w:rsidR="009327C0" w:rsidRPr="001D5327" w:rsidRDefault="009327C0" w:rsidP="007964FE">
            <w:pPr>
              <w:pStyle w:val="TableText"/>
              <w:spacing w:before="40" w:after="40"/>
            </w:pPr>
            <w:r w:rsidRPr="001D5327">
              <w:rPr>
                <w:rFonts w:eastAsia="Calibri"/>
              </w:rPr>
              <w:t>Superphosphate (varies by site)</w:t>
            </w:r>
          </w:p>
        </w:tc>
        <w:tc>
          <w:tcPr>
            <w:tcW w:w="0" w:type="auto"/>
            <w:shd w:val="clear" w:color="auto" w:fill="FFFFFF"/>
            <w:tcMar>
              <w:top w:w="0" w:type="dxa"/>
              <w:left w:w="85" w:type="dxa"/>
              <w:bottom w:w="0" w:type="dxa"/>
              <w:right w:w="85" w:type="dxa"/>
            </w:tcMar>
          </w:tcPr>
          <w:p w14:paraId="2EA8367A" w14:textId="77777777" w:rsidR="009327C0" w:rsidRPr="001D5327" w:rsidRDefault="009327C0" w:rsidP="007964FE">
            <w:pPr>
              <w:pStyle w:val="TableText"/>
              <w:spacing w:before="40" w:after="40"/>
              <w:jc w:val="right"/>
            </w:pPr>
            <w:r w:rsidRPr="001D5327">
              <w:rPr>
                <w:rFonts w:eastAsia="Calibri"/>
              </w:rPr>
              <w:t>±10</w:t>
            </w:r>
          </w:p>
        </w:tc>
        <w:tc>
          <w:tcPr>
            <w:tcW w:w="0" w:type="auto"/>
            <w:shd w:val="clear" w:color="auto" w:fill="FFFFFF"/>
            <w:tcMar>
              <w:top w:w="0" w:type="dxa"/>
              <w:left w:w="85" w:type="dxa"/>
              <w:bottom w:w="0" w:type="dxa"/>
              <w:right w:w="85" w:type="dxa"/>
            </w:tcMar>
          </w:tcPr>
          <w:p w14:paraId="063EAA0F" w14:textId="77777777" w:rsidR="009327C0" w:rsidRPr="001D5327" w:rsidRDefault="009327C0" w:rsidP="007964FE">
            <w:pPr>
              <w:pStyle w:val="TableText"/>
              <w:spacing w:before="40" w:after="40"/>
              <w:jc w:val="right"/>
            </w:pPr>
            <w:r w:rsidRPr="001D5327">
              <w:rPr>
                <w:rFonts w:eastAsia="Calibri"/>
              </w:rPr>
              <w:t>±25–60</w:t>
            </w:r>
          </w:p>
        </w:tc>
      </w:tr>
      <w:tr w:rsidR="009327C0" w:rsidRPr="001D5327" w14:paraId="5198DD90" w14:textId="77777777" w:rsidTr="00D11AC9">
        <w:tc>
          <w:tcPr>
            <w:tcW w:w="0" w:type="auto"/>
            <w:shd w:val="clear" w:color="auto" w:fill="FFFFFF"/>
            <w:tcMar>
              <w:top w:w="0" w:type="dxa"/>
              <w:left w:w="85" w:type="dxa"/>
              <w:bottom w:w="0" w:type="dxa"/>
              <w:right w:w="85" w:type="dxa"/>
            </w:tcMar>
          </w:tcPr>
          <w:p w14:paraId="296AAC52" w14:textId="77777777" w:rsidR="009327C0" w:rsidRPr="001D5327" w:rsidRDefault="009327C0" w:rsidP="007964FE">
            <w:pPr>
              <w:pStyle w:val="TableText"/>
              <w:spacing w:before="40" w:after="40"/>
            </w:pPr>
            <w:r w:rsidRPr="001D5327">
              <w:rPr>
                <w:rFonts w:eastAsia="Calibri"/>
              </w:rPr>
              <w:t>Sulphuric acid</w:t>
            </w:r>
          </w:p>
        </w:tc>
        <w:tc>
          <w:tcPr>
            <w:tcW w:w="0" w:type="auto"/>
            <w:shd w:val="clear" w:color="auto" w:fill="FFFFFF"/>
            <w:tcMar>
              <w:top w:w="0" w:type="dxa"/>
              <w:left w:w="85" w:type="dxa"/>
              <w:bottom w:w="0" w:type="dxa"/>
              <w:right w:w="85" w:type="dxa"/>
            </w:tcMar>
          </w:tcPr>
          <w:p w14:paraId="7C619895" w14:textId="77777777" w:rsidR="009327C0" w:rsidRPr="001D5327" w:rsidRDefault="009327C0" w:rsidP="007964FE">
            <w:pPr>
              <w:pStyle w:val="TableText"/>
              <w:spacing w:before="40" w:after="40"/>
              <w:jc w:val="right"/>
            </w:pPr>
            <w:r w:rsidRPr="001D5327">
              <w:rPr>
                <w:rFonts w:eastAsia="Calibri"/>
              </w:rPr>
              <w:t>±10</w:t>
            </w:r>
          </w:p>
        </w:tc>
        <w:tc>
          <w:tcPr>
            <w:tcW w:w="0" w:type="auto"/>
            <w:shd w:val="clear" w:color="auto" w:fill="FFFFFF"/>
            <w:tcMar>
              <w:top w:w="0" w:type="dxa"/>
              <w:left w:w="85" w:type="dxa"/>
              <w:bottom w:w="0" w:type="dxa"/>
              <w:right w:w="85" w:type="dxa"/>
            </w:tcMar>
          </w:tcPr>
          <w:p w14:paraId="47278151" w14:textId="77777777" w:rsidR="009327C0" w:rsidRPr="001D5327" w:rsidRDefault="009327C0" w:rsidP="007964FE">
            <w:pPr>
              <w:pStyle w:val="TableText"/>
              <w:spacing w:before="40" w:after="40"/>
              <w:jc w:val="right"/>
            </w:pPr>
            <w:r w:rsidRPr="001D5327">
              <w:rPr>
                <w:rFonts w:eastAsia="Calibri"/>
              </w:rPr>
              <w:t>±15</w:t>
            </w:r>
          </w:p>
        </w:tc>
      </w:tr>
    </w:tbl>
    <w:p w14:paraId="7078AEAF" w14:textId="77777777" w:rsidR="009327C0" w:rsidRPr="001D5327" w:rsidRDefault="009327C0" w:rsidP="009327C0">
      <w:pPr>
        <w:pStyle w:val="Heading4"/>
        <w:spacing w:before="320"/>
      </w:pPr>
      <w:bookmarkStart w:id="461" w:name="time-series-consistency-1"/>
      <w:bookmarkEnd w:id="459"/>
      <w:r w:rsidRPr="001D5327">
        <w:t>Time-series consistency</w:t>
      </w:r>
    </w:p>
    <w:p w14:paraId="60D25374" w14:textId="77777777" w:rsidR="009327C0" w:rsidRPr="001D5327" w:rsidRDefault="009327C0" w:rsidP="009327C0">
      <w:pPr>
        <w:pStyle w:val="BodyText"/>
      </w:pPr>
      <w:r w:rsidRPr="001D5327">
        <w:t>The implied emission factor for CO</w:t>
      </w:r>
      <w:r w:rsidRPr="001D5327">
        <w:rPr>
          <w:vertAlign w:val="subscript"/>
        </w:rPr>
        <w:t>2</w:t>
      </w:r>
      <w:r w:rsidRPr="001D5327">
        <w:t xml:space="preserve"> in ammonia production has reduced by about 5.0 per cent through the time series, reflecting higher plant utilisation and some improvements in plant efficiency. Because ammonia is made at a single site in New Zealand, the implied emission factor may also vary from year to year as a result of maintenance shutdowns and other events that affect plant performance.</w:t>
      </w:r>
    </w:p>
    <w:p w14:paraId="7FD867EC" w14:textId="77777777" w:rsidR="009327C0" w:rsidRPr="001D5327" w:rsidRDefault="009327C0" w:rsidP="009327C0">
      <w:pPr>
        <w:pStyle w:val="BodyText"/>
      </w:pPr>
      <w:r w:rsidRPr="001D5327">
        <w:t>The implied emission factor for hydrogen production (2.B.10) also varies from year to year mainly due to changes in refinery gas composition. Other implied emission factors in this category only reflect the default emission factors used.</w:t>
      </w:r>
    </w:p>
    <w:p w14:paraId="2C17C052" w14:textId="77777777" w:rsidR="009327C0" w:rsidRPr="001D5327" w:rsidRDefault="009327C0" w:rsidP="009327C0">
      <w:pPr>
        <w:pStyle w:val="Heading3"/>
      </w:pPr>
      <w:bookmarkStart w:id="462" w:name="category-specific-qaqc-and-verification"/>
      <w:bookmarkEnd w:id="458"/>
      <w:bookmarkEnd w:id="461"/>
      <w:r w:rsidRPr="001D5327">
        <w:lastRenderedPageBreak/>
        <w:t xml:space="preserve">4.3.4 </w:t>
      </w:r>
      <w:r w:rsidRPr="001D5327">
        <w:tab/>
        <w:t>Category-specific QA/QC and verification</w:t>
      </w:r>
    </w:p>
    <w:p w14:paraId="2639DFBC" w14:textId="77777777" w:rsidR="009327C0" w:rsidRPr="001D5327" w:rsidRDefault="009327C0" w:rsidP="009327C0">
      <w:pPr>
        <w:pStyle w:val="BodyText"/>
      </w:pPr>
      <w:r w:rsidRPr="001D5327">
        <w:t>For this submission, data for all CO</w:t>
      </w:r>
      <w:r w:rsidRPr="001D5327">
        <w:rPr>
          <w:vertAlign w:val="subscript"/>
        </w:rPr>
        <w:t>2</w:t>
      </w:r>
      <w:r w:rsidRPr="001D5327">
        <w:t xml:space="preserve"> emissions in the </w:t>
      </w:r>
      <w:r w:rsidRPr="001D5327">
        <w:rPr>
          <w:i/>
          <w:iCs/>
        </w:rPr>
        <w:t>Chemical industry</w:t>
      </w:r>
      <w:r w:rsidRPr="001D5327">
        <w:t xml:space="preserve"> category underwent Tier 1 quality checks in the preparation of this inventory. The only key category is CO</w:t>
      </w:r>
      <w:r w:rsidRPr="001D5327">
        <w:rPr>
          <w:vertAlign w:val="subscript"/>
        </w:rPr>
        <w:t>2</w:t>
      </w:r>
      <w:r w:rsidRPr="001D5327">
        <w:t xml:space="preserve"> emissions from </w:t>
      </w:r>
      <w:r w:rsidRPr="001D5327">
        <w:rPr>
          <w:i/>
          <w:iCs/>
        </w:rPr>
        <w:t>Other</w:t>
      </w:r>
      <w:r w:rsidRPr="001D5327">
        <w:t xml:space="preserve"> (hydrogen production) (trend assessment).</w:t>
      </w:r>
    </w:p>
    <w:p w14:paraId="1548EFE3" w14:textId="77777777" w:rsidR="009327C0" w:rsidRPr="001D5327" w:rsidRDefault="009327C0" w:rsidP="009327C0">
      <w:pPr>
        <w:pStyle w:val="Heading3"/>
      </w:pPr>
      <w:bookmarkStart w:id="463" w:name="category-specific-recalculations-1"/>
      <w:bookmarkEnd w:id="462"/>
      <w:r w:rsidRPr="001D5327">
        <w:t xml:space="preserve">4.3.5 </w:t>
      </w:r>
      <w:r w:rsidRPr="001D5327">
        <w:tab/>
        <w:t>Category-specific recalculations</w:t>
      </w:r>
    </w:p>
    <w:p w14:paraId="2A27A0F9" w14:textId="77777777" w:rsidR="009327C0" w:rsidRPr="001D5327" w:rsidRDefault="009327C0" w:rsidP="009327C0">
      <w:pPr>
        <w:pStyle w:val="BodyText"/>
      </w:pPr>
      <w:r w:rsidRPr="001D5327">
        <w:t>There were no recalculations for this category.</w:t>
      </w:r>
    </w:p>
    <w:p w14:paraId="4D572B33" w14:textId="77777777" w:rsidR="009327C0" w:rsidRPr="001D5327" w:rsidRDefault="009327C0" w:rsidP="009327C0">
      <w:pPr>
        <w:pStyle w:val="Heading3"/>
      </w:pPr>
      <w:bookmarkStart w:id="464" w:name="category-specific-planned-improvements-1"/>
      <w:bookmarkEnd w:id="463"/>
      <w:r w:rsidRPr="001D5327">
        <w:t xml:space="preserve">4.3.6 </w:t>
      </w:r>
      <w:r w:rsidRPr="001D5327">
        <w:tab/>
        <w:t>Category-specific planned improvements</w:t>
      </w:r>
    </w:p>
    <w:p w14:paraId="24212CF4" w14:textId="77777777" w:rsidR="009327C0" w:rsidRPr="001D5327" w:rsidRDefault="009327C0" w:rsidP="009327C0">
      <w:pPr>
        <w:pStyle w:val="BodyText"/>
      </w:pPr>
      <w:r w:rsidRPr="001D5327">
        <w:t>There were no planned improvements for this category.</w:t>
      </w:r>
    </w:p>
    <w:p w14:paraId="27C655EC" w14:textId="77777777" w:rsidR="009327C0" w:rsidRPr="001D5327" w:rsidRDefault="009327C0" w:rsidP="009327C0">
      <w:pPr>
        <w:pStyle w:val="Heading2"/>
      </w:pPr>
      <w:bookmarkStart w:id="465" w:name="_Toc194312007"/>
      <w:bookmarkStart w:id="466" w:name="metal-industry-2.c"/>
      <w:bookmarkEnd w:id="440"/>
      <w:bookmarkEnd w:id="464"/>
      <w:r w:rsidRPr="001D5327">
        <w:t xml:space="preserve">4.4 </w:t>
      </w:r>
      <w:r w:rsidRPr="001D5327">
        <w:tab/>
        <w:t>Metal industry (2.C)</w:t>
      </w:r>
      <w:bookmarkEnd w:id="465"/>
    </w:p>
    <w:p w14:paraId="7EDB0AEF" w14:textId="77777777" w:rsidR="009327C0" w:rsidRPr="001D5327" w:rsidRDefault="009327C0" w:rsidP="009327C0">
      <w:pPr>
        <w:pStyle w:val="Heading3"/>
        <w:spacing w:before="240"/>
      </w:pPr>
      <w:bookmarkStart w:id="467" w:name="description-2"/>
      <w:r w:rsidRPr="001D5327">
        <w:t xml:space="preserve">4.4.1 </w:t>
      </w:r>
      <w:r w:rsidRPr="001D5327">
        <w:tab/>
        <w:t>Description</w:t>
      </w:r>
    </w:p>
    <w:p w14:paraId="343F689D" w14:textId="77777777" w:rsidR="009327C0" w:rsidRPr="001D5327" w:rsidRDefault="009327C0" w:rsidP="009327C0">
      <w:pPr>
        <w:pStyle w:val="BodyText"/>
      </w:pPr>
      <w:r w:rsidRPr="001D5327">
        <w:t xml:space="preserve">The main emissions in the </w:t>
      </w:r>
      <w:r w:rsidRPr="001D5327">
        <w:rPr>
          <w:i/>
          <w:iCs/>
        </w:rPr>
        <w:t>Metal industry</w:t>
      </w:r>
      <w:r w:rsidRPr="001D5327">
        <w:t xml:space="preserve"> category in New Zealand are from iron and steel production (from iron sand and historically from recycled scrap steel) and from aluminium production. New Zealand has no production of coke, sinter or ferroalloys.</w:t>
      </w:r>
    </w:p>
    <w:p w14:paraId="7F9D1730" w14:textId="77777777" w:rsidR="009327C0" w:rsidRPr="001D5327" w:rsidRDefault="009327C0" w:rsidP="009327C0">
      <w:pPr>
        <w:pStyle w:val="BodyText"/>
      </w:pPr>
      <w:r w:rsidRPr="001D5327">
        <w:t>New Zealand Steel Limited produces iron using an ‘alternative iron-making process’, from titanomagnetite iron sand (Ure, 2000). This iron-making process involves the direct reduction of iron oxide contained in the sand, with sub-bituminous coal (which forms a reactive char) as the reductant. There is no coke production and no use of blast furnaces. The iron produced is then processed into steel.</w:t>
      </w:r>
    </w:p>
    <w:p w14:paraId="488F8991" w14:textId="77777777" w:rsidR="009327C0" w:rsidRPr="001D5327" w:rsidRDefault="009327C0" w:rsidP="009327C0">
      <w:pPr>
        <w:pStyle w:val="BodyText"/>
      </w:pPr>
      <w:r w:rsidRPr="001D5327">
        <w:t>Until 2015, Pacific Steel Limited operated an electric arc furnace at a separate site to process recycled scrap steel. The owners of New Zealand Steel Limited bought the Pacific Steel Limited production assets in 2015, and all of New Zealand’s steel-making capacity is now integrated at the New Zealand Steel site. Steel billet production at the Pacific Steel plant, using recycled scrap, stopped in October 2015. As a result, production in New Zealand is now focused on newly produced iron rather than recycled steel scrap.</w:t>
      </w:r>
    </w:p>
    <w:p w14:paraId="459D66B4" w14:textId="2F4773C2" w:rsidR="009327C0" w:rsidRPr="001D5327" w:rsidRDefault="009327C0" w:rsidP="009327C0">
      <w:pPr>
        <w:pStyle w:val="BodyText"/>
      </w:pPr>
      <w:r w:rsidRPr="001D5327">
        <w:t xml:space="preserve">Limestone and soda ash are also used in the steel and aluminium industries and would normally be reported in the </w:t>
      </w:r>
      <w:r w:rsidRPr="001D5327">
        <w:rPr>
          <w:i/>
          <w:iCs/>
        </w:rPr>
        <w:t>Metal industry</w:t>
      </w:r>
      <w:r w:rsidRPr="001D5327">
        <w:t xml:space="preserve"> category. Emissions from this use of mineral inputs</w:t>
      </w:r>
      <w:r w:rsidR="00C62F46" w:rsidRPr="001D5327">
        <w:t> </w:t>
      </w:r>
      <w:r w:rsidRPr="001D5327">
        <w:t xml:space="preserve">are reported in the </w:t>
      </w:r>
      <w:r w:rsidRPr="001D5327">
        <w:rPr>
          <w:i/>
          <w:iCs/>
        </w:rPr>
        <w:t>Mineral industry</w:t>
      </w:r>
      <w:r w:rsidRPr="001D5327">
        <w:t xml:space="preserve"> category (see section 4.2.2); the data have been aggregated to protect the confidentiality of data provided by these two glass companies.</w:t>
      </w:r>
    </w:p>
    <w:p w14:paraId="4279D7DD" w14:textId="1A73DB11" w:rsidR="009327C0" w:rsidRPr="001D5327" w:rsidRDefault="009327C0" w:rsidP="009327C0">
      <w:pPr>
        <w:pStyle w:val="BodyText"/>
      </w:pPr>
      <w:r w:rsidRPr="001D5327">
        <w:t>There is one aluminium smelter in New Zealand, operated by NZAS. The plant produces aluminium by smelting imported bauxite using centre-work prebake technology, resulting in</w:t>
      </w:r>
      <w:r w:rsidR="00E27EFA">
        <w:t> </w:t>
      </w:r>
      <w:r w:rsidRPr="001D5327">
        <w:t>CO</w:t>
      </w:r>
      <w:r w:rsidRPr="001D5327">
        <w:rPr>
          <w:vertAlign w:val="subscript"/>
        </w:rPr>
        <w:t>2</w:t>
      </w:r>
      <w:r w:rsidRPr="001D5327">
        <w:t xml:space="preserve"> and PFC emissions.</w:t>
      </w:r>
    </w:p>
    <w:p w14:paraId="575B1645" w14:textId="6A91CBCD" w:rsidR="009327C0" w:rsidRPr="001D5327" w:rsidRDefault="009327C0" w:rsidP="009327C0">
      <w:pPr>
        <w:pStyle w:val="BodyText"/>
      </w:pPr>
      <w:r w:rsidRPr="001D5327">
        <w:t>Very small amounts of emissions are also reported from secondary lead production (from the</w:t>
      </w:r>
      <w:r w:rsidR="006371CD" w:rsidRPr="001D5327">
        <w:t> </w:t>
      </w:r>
      <w:r w:rsidRPr="001D5327">
        <w:t>recycling of lead-acid batteries) from 1990 to 2015 and from use of SF</w:t>
      </w:r>
      <w:r w:rsidRPr="001D5327">
        <w:rPr>
          <w:vertAlign w:val="subscript"/>
        </w:rPr>
        <w:t>6</w:t>
      </w:r>
      <w:r w:rsidRPr="001D5327">
        <w:t xml:space="preserve"> in a magnesium foundry from 1990 to 1999.</w:t>
      </w:r>
    </w:p>
    <w:p w14:paraId="5C723EDD" w14:textId="77777777" w:rsidR="009327C0" w:rsidRPr="001D5327" w:rsidRDefault="009327C0" w:rsidP="009327C0">
      <w:pPr>
        <w:pStyle w:val="BodyText"/>
      </w:pPr>
      <w:r w:rsidRPr="001D5327">
        <w:t xml:space="preserve">Key categories in the </w:t>
      </w:r>
      <w:r w:rsidRPr="001D5327">
        <w:rPr>
          <w:i/>
          <w:iCs/>
        </w:rPr>
        <w:t>Metal industry</w:t>
      </w:r>
      <w:r w:rsidRPr="001D5327">
        <w:t xml:space="preserve"> category are CO</w:t>
      </w:r>
      <w:r w:rsidRPr="001D5327">
        <w:rPr>
          <w:vertAlign w:val="subscript"/>
        </w:rPr>
        <w:t>2</w:t>
      </w:r>
      <w:r w:rsidRPr="001D5327">
        <w:t xml:space="preserve"> emissions from </w:t>
      </w:r>
      <w:r w:rsidRPr="001D5327">
        <w:rPr>
          <w:i/>
          <w:iCs/>
        </w:rPr>
        <w:t>Iron and steel production</w:t>
      </w:r>
      <w:r w:rsidRPr="001D5327">
        <w:t xml:space="preserve"> (level and trend assessment) and </w:t>
      </w:r>
      <w:r w:rsidRPr="001D5327">
        <w:rPr>
          <w:i/>
          <w:iCs/>
        </w:rPr>
        <w:t>Aluminium production</w:t>
      </w:r>
      <w:r w:rsidRPr="001D5327">
        <w:t xml:space="preserve"> (level assessment), and PFCs from </w:t>
      </w:r>
      <w:r w:rsidRPr="001D5327">
        <w:rPr>
          <w:i/>
          <w:iCs/>
        </w:rPr>
        <w:t>Aluminium production</w:t>
      </w:r>
      <w:r w:rsidRPr="001D5327">
        <w:t xml:space="preserve"> (trend assessment).</w:t>
      </w:r>
    </w:p>
    <w:p w14:paraId="25E29069" w14:textId="5AD564B4" w:rsidR="009327C0" w:rsidRPr="001D5327" w:rsidRDefault="009327C0" w:rsidP="009327C0">
      <w:pPr>
        <w:pStyle w:val="BodyText"/>
      </w:pPr>
      <w:r w:rsidRPr="001D5327">
        <w:lastRenderedPageBreak/>
        <w:t xml:space="preserve">Emissions from the </w:t>
      </w:r>
      <w:r w:rsidRPr="001D5327">
        <w:rPr>
          <w:i/>
          <w:iCs/>
        </w:rPr>
        <w:t>Metal industry</w:t>
      </w:r>
      <w:r w:rsidRPr="001D5327">
        <w:t xml:space="preserve"> category in 2023 were 2,100.3 kt CO</w:t>
      </w:r>
      <w:r w:rsidRPr="001D5327">
        <w:rPr>
          <w:vertAlign w:val="subscript"/>
        </w:rPr>
        <w:t>2</w:t>
      </w:r>
      <w:r w:rsidRPr="001D5327">
        <w:t>-e (52.1 per cent) of emissions from the IPPU sector. This is 478.0 kt CO</w:t>
      </w:r>
      <w:r w:rsidRPr="001D5327">
        <w:rPr>
          <w:vertAlign w:val="subscript"/>
        </w:rPr>
        <w:t>2</w:t>
      </w:r>
      <w:r w:rsidRPr="001D5327">
        <w:t>-e (18.5 per cent) below the 1990 level. The decrease was driven by a reduction in emissions of PFCs in aluminium smelting, which has</w:t>
      </w:r>
      <w:r w:rsidR="00C62F46" w:rsidRPr="001D5327">
        <w:t> </w:t>
      </w:r>
      <w:r w:rsidRPr="001D5327">
        <w:t>been partly offset by increasing CO</w:t>
      </w:r>
      <w:r w:rsidRPr="001D5327">
        <w:rPr>
          <w:vertAlign w:val="subscript"/>
        </w:rPr>
        <w:t>2</w:t>
      </w:r>
      <w:r w:rsidRPr="001D5327">
        <w:t xml:space="preserve"> emissions due to increasing production of steel and aluminium. A small decrease in emissions occurred in 2016 due to the closure of the Pacific Steel plant and the cessation of lead battery recycling.</w:t>
      </w:r>
    </w:p>
    <w:p w14:paraId="7FCAC3BD" w14:textId="77777777" w:rsidR="009327C0" w:rsidRPr="001D5327" w:rsidRDefault="009327C0" w:rsidP="009327C0">
      <w:pPr>
        <w:pStyle w:val="BodyText"/>
      </w:pPr>
      <w:r w:rsidRPr="001D5327">
        <w:t>The New Zealand Steel site was closed from 26 March to 27 April 2020, due to COVID-19 pandemic restrictions. Aluminium production in 2021 and 2022 was approximately 5 per cent lower than 2019.</w:t>
      </w:r>
    </w:p>
    <w:p w14:paraId="20C42153" w14:textId="77777777" w:rsidR="009327C0" w:rsidRPr="001D5327" w:rsidRDefault="009327C0" w:rsidP="009327C0">
      <w:pPr>
        <w:pStyle w:val="Heading3"/>
      </w:pPr>
      <w:bookmarkStart w:id="468" w:name="methodological-issues-2"/>
      <w:bookmarkEnd w:id="467"/>
      <w:r w:rsidRPr="001D5327">
        <w:t xml:space="preserve">4.4.2 </w:t>
      </w:r>
      <w:r w:rsidRPr="001D5327">
        <w:tab/>
        <w:t>Methodological issues</w:t>
      </w:r>
    </w:p>
    <w:p w14:paraId="1F3F23C7" w14:textId="77777777" w:rsidR="009327C0" w:rsidRPr="001D5327" w:rsidRDefault="009327C0" w:rsidP="009327C0">
      <w:pPr>
        <w:pStyle w:val="Heading4"/>
      </w:pPr>
      <w:bookmarkStart w:id="469" w:name="choice-of-activity-data-2"/>
      <w:r w:rsidRPr="001D5327">
        <w:t>Choice of activity data</w:t>
      </w:r>
    </w:p>
    <w:p w14:paraId="544C4CBA" w14:textId="77777777" w:rsidR="009327C0" w:rsidRPr="001D5327" w:rsidRDefault="009327C0" w:rsidP="009327C0">
      <w:pPr>
        <w:pStyle w:val="Heading5"/>
      </w:pPr>
      <w:bookmarkStart w:id="470" w:name="X97250b938e5bd94c94bc4f7556b7abbd09c4f3f"/>
      <w:r w:rsidRPr="001D5327">
        <w:t>Iron and steel production (2.C.1 and 2.C.1.a)</w:t>
      </w:r>
    </w:p>
    <w:p w14:paraId="0E2867B2" w14:textId="77777777" w:rsidR="009327C0" w:rsidRPr="001D5327" w:rsidRDefault="009327C0" w:rsidP="009327C0">
      <w:pPr>
        <w:pStyle w:val="BodyText"/>
      </w:pPr>
      <w:r w:rsidRPr="001D5327">
        <w:t>In 2023, the Iron and steel production category accounted for 1,496.4 kt CO</w:t>
      </w:r>
      <w:r w:rsidRPr="001D5327">
        <w:rPr>
          <w:vertAlign w:val="subscript"/>
        </w:rPr>
        <w:t>2</w:t>
      </w:r>
      <w:r w:rsidRPr="001D5327">
        <w:t>-e (71.2 per cent) of emissions from the Metal industry category. The activity data (tonnes of steel produced) provided to MBIE came from two steel producers up to 2015 and now come from one; they are regarded as commercially confidential and are reported as confidential in the CRT.</w:t>
      </w:r>
    </w:p>
    <w:p w14:paraId="3F1ECF43" w14:textId="5F24D3EB" w:rsidR="009327C0" w:rsidRPr="001D5327" w:rsidRDefault="009327C0" w:rsidP="009327C0">
      <w:pPr>
        <w:pStyle w:val="BodyText"/>
      </w:pPr>
      <w:r w:rsidRPr="001D5327">
        <w:t>Most of the CO</w:t>
      </w:r>
      <w:r w:rsidRPr="001D5327">
        <w:rPr>
          <w:vertAlign w:val="subscript"/>
        </w:rPr>
        <w:t>2</w:t>
      </w:r>
      <w:r w:rsidRPr="001D5327">
        <w:t xml:space="preserve"> emissions from the Iron and steel production category are produced through the production of iron from titanomagnetite iron sand. Nearly all of the emissions in this process come from the use of sub-bituminous coal as a reducing agent. There is no carbon in</w:t>
      </w:r>
      <w:r w:rsidR="00DF420C" w:rsidRPr="001D5327">
        <w:t> </w:t>
      </w:r>
      <w:r w:rsidRPr="001D5327">
        <w:t>the iron sand used by New Zealand Steel Limited (see table 4.4.1). Figure 4.4.1 shows a simplified illustration of steel production in New Zealand.</w:t>
      </w:r>
    </w:p>
    <w:p w14:paraId="1C020EA4" w14:textId="77777777" w:rsidR="009327C0" w:rsidRPr="001D5327" w:rsidRDefault="009327C0" w:rsidP="009327C0">
      <w:pPr>
        <w:pStyle w:val="Table"/>
      </w:pPr>
      <w:bookmarkStart w:id="471" w:name="_Toc194241686"/>
      <w:r w:rsidRPr="001D5327">
        <w:t xml:space="preserve">Table 4.4.1 </w:t>
      </w:r>
      <w:r w:rsidRPr="001D5327">
        <w:tab/>
        <w:t>Typical analysis from New Zealand Steel Limited of the primary concentrate</w:t>
      </w:r>
      <w:r w:rsidRPr="001D5327">
        <w:br/>
        <w:t>(provided by New Zealand Steel Limited)</w:t>
      </w:r>
      <w:bookmarkEnd w:id="471"/>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925"/>
        <w:gridCol w:w="4569"/>
      </w:tblGrid>
      <w:tr w:rsidR="009327C0" w:rsidRPr="001D5327" w14:paraId="4F41E862" w14:textId="77777777" w:rsidTr="00D11AC9">
        <w:trPr>
          <w:tblHeader/>
        </w:trPr>
        <w:tc>
          <w:tcPr>
            <w:tcW w:w="0" w:type="auto"/>
            <w:shd w:val="clear" w:color="auto" w:fill="1B556B"/>
            <w:tcMar>
              <w:top w:w="0" w:type="dxa"/>
              <w:left w:w="85" w:type="dxa"/>
              <w:bottom w:w="0" w:type="dxa"/>
              <w:right w:w="85" w:type="dxa"/>
            </w:tcMar>
          </w:tcPr>
          <w:p w14:paraId="15F86021" w14:textId="77777777" w:rsidR="009327C0" w:rsidRPr="001D5327" w:rsidRDefault="009327C0" w:rsidP="00C62F46">
            <w:pPr>
              <w:pStyle w:val="TableTextBold"/>
              <w:spacing w:before="40" w:after="40"/>
              <w:rPr>
                <w:noProof w:val="0"/>
                <w:color w:val="FFFFFF" w:themeColor="background1"/>
              </w:rPr>
            </w:pPr>
            <w:r w:rsidRPr="001D5327">
              <w:rPr>
                <w:rFonts w:eastAsia="Calibri"/>
                <w:noProof w:val="0"/>
                <w:color w:val="FFFFFF" w:themeColor="background1"/>
              </w:rPr>
              <w:t>Element</w:t>
            </w:r>
          </w:p>
        </w:tc>
        <w:tc>
          <w:tcPr>
            <w:tcW w:w="0" w:type="auto"/>
            <w:shd w:val="clear" w:color="auto" w:fill="1B556B"/>
            <w:tcMar>
              <w:top w:w="0" w:type="dxa"/>
              <w:left w:w="85" w:type="dxa"/>
              <w:bottom w:w="0" w:type="dxa"/>
              <w:right w:w="85" w:type="dxa"/>
            </w:tcMar>
          </w:tcPr>
          <w:p w14:paraId="748C8E74" w14:textId="77777777" w:rsidR="009327C0" w:rsidRPr="001D5327" w:rsidRDefault="009327C0" w:rsidP="00C62F46">
            <w:pPr>
              <w:pStyle w:val="TableTextBold"/>
              <w:spacing w:before="40" w:after="40"/>
              <w:jc w:val="right"/>
              <w:rPr>
                <w:noProof w:val="0"/>
                <w:color w:val="FFFFFF" w:themeColor="background1"/>
              </w:rPr>
            </w:pPr>
            <w:r w:rsidRPr="001D5327">
              <w:rPr>
                <w:rFonts w:eastAsia="Calibri"/>
                <w:noProof w:val="0"/>
                <w:color w:val="FFFFFF" w:themeColor="background1"/>
              </w:rPr>
              <w:t>Result (%)</w:t>
            </w:r>
          </w:p>
        </w:tc>
      </w:tr>
      <w:tr w:rsidR="009327C0" w:rsidRPr="001D5327" w14:paraId="5B11EDE9" w14:textId="77777777" w:rsidTr="00D11AC9">
        <w:tc>
          <w:tcPr>
            <w:tcW w:w="0" w:type="auto"/>
            <w:shd w:val="clear" w:color="auto" w:fill="FFFFFF"/>
            <w:tcMar>
              <w:top w:w="0" w:type="dxa"/>
              <w:left w:w="85" w:type="dxa"/>
              <w:bottom w:w="0" w:type="dxa"/>
              <w:right w:w="85" w:type="dxa"/>
            </w:tcMar>
          </w:tcPr>
          <w:p w14:paraId="2E7CD557" w14:textId="77777777" w:rsidR="009327C0" w:rsidRPr="001D5327" w:rsidRDefault="009327C0" w:rsidP="00C62F46">
            <w:pPr>
              <w:pStyle w:val="TableText"/>
              <w:spacing w:before="40" w:after="40"/>
            </w:pPr>
            <w:r w:rsidRPr="001D5327">
              <w:rPr>
                <w:rFonts w:eastAsia="Calibri"/>
                <w:color w:val="000000"/>
              </w:rPr>
              <w:t>Fe</w:t>
            </w:r>
            <w:r w:rsidRPr="001D5327">
              <w:rPr>
                <w:rFonts w:eastAsia="Calibri"/>
                <w:color w:val="000000"/>
                <w:vertAlign w:val="subscript"/>
              </w:rPr>
              <w:t>3</w:t>
            </w:r>
            <w:r w:rsidRPr="001D5327">
              <w:rPr>
                <w:rFonts w:eastAsia="Calibri"/>
                <w:color w:val="000000"/>
              </w:rPr>
              <w:t>O</w:t>
            </w:r>
            <w:r w:rsidRPr="001D5327">
              <w:rPr>
                <w:rFonts w:eastAsia="Calibri"/>
                <w:color w:val="000000"/>
                <w:vertAlign w:val="subscript"/>
              </w:rPr>
              <w:t>4</w:t>
            </w:r>
          </w:p>
        </w:tc>
        <w:tc>
          <w:tcPr>
            <w:tcW w:w="0" w:type="auto"/>
            <w:shd w:val="clear" w:color="auto" w:fill="FFFFFF"/>
            <w:tcMar>
              <w:top w:w="0" w:type="dxa"/>
              <w:left w:w="85" w:type="dxa"/>
              <w:bottom w:w="0" w:type="dxa"/>
              <w:right w:w="85" w:type="dxa"/>
            </w:tcMar>
          </w:tcPr>
          <w:p w14:paraId="06112700" w14:textId="77777777" w:rsidR="009327C0" w:rsidRPr="001D5327" w:rsidRDefault="009327C0" w:rsidP="00C62F46">
            <w:pPr>
              <w:pStyle w:val="TableText"/>
              <w:spacing w:before="40" w:after="40"/>
              <w:jc w:val="right"/>
            </w:pPr>
            <w:r w:rsidRPr="001D5327">
              <w:rPr>
                <w:rFonts w:eastAsia="Calibri"/>
                <w:color w:val="000000"/>
              </w:rPr>
              <w:t>81.4</w:t>
            </w:r>
          </w:p>
        </w:tc>
      </w:tr>
      <w:tr w:rsidR="009327C0" w:rsidRPr="001D5327" w14:paraId="514C6DC1" w14:textId="77777777" w:rsidTr="00D11AC9">
        <w:tc>
          <w:tcPr>
            <w:tcW w:w="0" w:type="auto"/>
            <w:shd w:val="clear" w:color="auto" w:fill="FFFFFF"/>
            <w:tcMar>
              <w:top w:w="0" w:type="dxa"/>
              <w:left w:w="85" w:type="dxa"/>
              <w:bottom w:w="0" w:type="dxa"/>
              <w:right w:w="85" w:type="dxa"/>
            </w:tcMar>
          </w:tcPr>
          <w:p w14:paraId="59E0E55A" w14:textId="77777777" w:rsidR="009327C0" w:rsidRPr="001D5327" w:rsidRDefault="009327C0" w:rsidP="00C62F46">
            <w:pPr>
              <w:pStyle w:val="TableText"/>
              <w:spacing w:before="40" w:after="40"/>
            </w:pPr>
            <w:r w:rsidRPr="001D5327">
              <w:rPr>
                <w:rFonts w:eastAsia="Calibri"/>
                <w:color w:val="000000"/>
              </w:rPr>
              <w:t>TiO</w:t>
            </w:r>
            <w:r w:rsidRPr="001D5327">
              <w:rPr>
                <w:rFonts w:eastAsia="Calibri"/>
                <w:color w:val="000000"/>
                <w:vertAlign w:val="subscript"/>
              </w:rPr>
              <w:t>2</w:t>
            </w:r>
          </w:p>
        </w:tc>
        <w:tc>
          <w:tcPr>
            <w:tcW w:w="0" w:type="auto"/>
            <w:shd w:val="clear" w:color="auto" w:fill="FFFFFF"/>
            <w:tcMar>
              <w:top w:w="0" w:type="dxa"/>
              <w:left w:w="85" w:type="dxa"/>
              <w:bottom w:w="0" w:type="dxa"/>
              <w:right w:w="85" w:type="dxa"/>
            </w:tcMar>
          </w:tcPr>
          <w:p w14:paraId="23CB8224" w14:textId="77777777" w:rsidR="009327C0" w:rsidRPr="001D5327" w:rsidRDefault="009327C0" w:rsidP="00C62F46">
            <w:pPr>
              <w:pStyle w:val="TableText"/>
              <w:spacing w:before="40" w:after="40"/>
              <w:jc w:val="right"/>
            </w:pPr>
            <w:r w:rsidRPr="001D5327">
              <w:rPr>
                <w:rFonts w:eastAsia="Calibri"/>
                <w:color w:val="000000"/>
              </w:rPr>
              <w:t>7.9</w:t>
            </w:r>
          </w:p>
        </w:tc>
      </w:tr>
      <w:tr w:rsidR="009327C0" w:rsidRPr="001D5327" w14:paraId="6D6981FA" w14:textId="77777777" w:rsidTr="00D11AC9">
        <w:tc>
          <w:tcPr>
            <w:tcW w:w="0" w:type="auto"/>
            <w:shd w:val="clear" w:color="auto" w:fill="FFFFFF"/>
            <w:tcMar>
              <w:top w:w="0" w:type="dxa"/>
              <w:left w:w="85" w:type="dxa"/>
              <w:bottom w:w="0" w:type="dxa"/>
              <w:right w:w="85" w:type="dxa"/>
            </w:tcMar>
          </w:tcPr>
          <w:p w14:paraId="7C1B544F" w14:textId="77777777" w:rsidR="009327C0" w:rsidRPr="001D5327" w:rsidRDefault="009327C0" w:rsidP="00C62F46">
            <w:pPr>
              <w:pStyle w:val="TableText"/>
              <w:spacing w:before="40" w:after="40"/>
            </w:pPr>
            <w:r w:rsidRPr="001D5327">
              <w:rPr>
                <w:rFonts w:eastAsia="Calibri"/>
                <w:color w:val="000000"/>
              </w:rPr>
              <w:t>Al</w:t>
            </w:r>
            <w:r w:rsidRPr="001D5327">
              <w:rPr>
                <w:rFonts w:eastAsia="Calibri"/>
                <w:color w:val="000000"/>
                <w:vertAlign w:val="subscript"/>
              </w:rPr>
              <w:t>2</w:t>
            </w:r>
            <w:r w:rsidRPr="001D5327">
              <w:rPr>
                <w:rFonts w:eastAsia="Calibri"/>
                <w:color w:val="000000"/>
              </w:rPr>
              <w:t>O</w:t>
            </w:r>
            <w:r w:rsidRPr="001D5327">
              <w:rPr>
                <w:rFonts w:eastAsia="Calibri"/>
                <w:color w:val="000000"/>
                <w:vertAlign w:val="subscript"/>
              </w:rPr>
              <w:t>3</w:t>
            </w:r>
          </w:p>
        </w:tc>
        <w:tc>
          <w:tcPr>
            <w:tcW w:w="0" w:type="auto"/>
            <w:shd w:val="clear" w:color="auto" w:fill="FFFFFF"/>
            <w:tcMar>
              <w:top w:w="0" w:type="dxa"/>
              <w:left w:w="85" w:type="dxa"/>
              <w:bottom w:w="0" w:type="dxa"/>
              <w:right w:w="85" w:type="dxa"/>
            </w:tcMar>
          </w:tcPr>
          <w:p w14:paraId="3F7E5AAD" w14:textId="77777777" w:rsidR="009327C0" w:rsidRPr="001D5327" w:rsidRDefault="009327C0" w:rsidP="00C62F46">
            <w:pPr>
              <w:pStyle w:val="TableText"/>
              <w:spacing w:before="40" w:after="40"/>
              <w:jc w:val="right"/>
            </w:pPr>
            <w:r w:rsidRPr="001D5327">
              <w:rPr>
                <w:rFonts w:eastAsia="Calibri"/>
                <w:color w:val="000000"/>
              </w:rPr>
              <w:t>3.7</w:t>
            </w:r>
          </w:p>
        </w:tc>
      </w:tr>
      <w:tr w:rsidR="009327C0" w:rsidRPr="001D5327" w14:paraId="3192AFEC" w14:textId="77777777" w:rsidTr="00D11AC9">
        <w:tc>
          <w:tcPr>
            <w:tcW w:w="0" w:type="auto"/>
            <w:shd w:val="clear" w:color="auto" w:fill="FFFFFF"/>
            <w:tcMar>
              <w:top w:w="0" w:type="dxa"/>
              <w:left w:w="85" w:type="dxa"/>
              <w:bottom w:w="0" w:type="dxa"/>
              <w:right w:w="85" w:type="dxa"/>
            </w:tcMar>
          </w:tcPr>
          <w:p w14:paraId="03AC3994" w14:textId="77777777" w:rsidR="009327C0" w:rsidRPr="001D5327" w:rsidRDefault="009327C0" w:rsidP="00C62F46">
            <w:pPr>
              <w:pStyle w:val="TableText"/>
              <w:spacing w:before="40" w:after="40"/>
            </w:pPr>
            <w:r w:rsidRPr="001D5327">
              <w:rPr>
                <w:rFonts w:eastAsia="Calibri"/>
                <w:color w:val="000000"/>
              </w:rPr>
              <w:t>MgO</w:t>
            </w:r>
          </w:p>
        </w:tc>
        <w:tc>
          <w:tcPr>
            <w:tcW w:w="0" w:type="auto"/>
            <w:shd w:val="clear" w:color="auto" w:fill="FFFFFF"/>
            <w:tcMar>
              <w:top w:w="0" w:type="dxa"/>
              <w:left w:w="85" w:type="dxa"/>
              <w:bottom w:w="0" w:type="dxa"/>
              <w:right w:w="85" w:type="dxa"/>
            </w:tcMar>
          </w:tcPr>
          <w:p w14:paraId="012989A8" w14:textId="77777777" w:rsidR="009327C0" w:rsidRPr="001D5327" w:rsidRDefault="009327C0" w:rsidP="00C62F46">
            <w:pPr>
              <w:pStyle w:val="TableText"/>
              <w:spacing w:before="40" w:after="40"/>
              <w:jc w:val="right"/>
            </w:pPr>
            <w:r w:rsidRPr="001D5327">
              <w:rPr>
                <w:rFonts w:eastAsia="Calibri"/>
                <w:color w:val="000000"/>
              </w:rPr>
              <w:t>2.9</w:t>
            </w:r>
          </w:p>
        </w:tc>
      </w:tr>
      <w:tr w:rsidR="009327C0" w:rsidRPr="001D5327" w14:paraId="2DA6CF70" w14:textId="77777777" w:rsidTr="00D11AC9">
        <w:tc>
          <w:tcPr>
            <w:tcW w:w="0" w:type="auto"/>
            <w:shd w:val="clear" w:color="auto" w:fill="FFFFFF"/>
            <w:tcMar>
              <w:top w:w="0" w:type="dxa"/>
              <w:left w:w="85" w:type="dxa"/>
              <w:bottom w:w="0" w:type="dxa"/>
              <w:right w:w="85" w:type="dxa"/>
            </w:tcMar>
          </w:tcPr>
          <w:p w14:paraId="6373CBEC" w14:textId="77777777" w:rsidR="009327C0" w:rsidRPr="001D5327" w:rsidRDefault="009327C0" w:rsidP="00C62F46">
            <w:pPr>
              <w:pStyle w:val="TableText"/>
              <w:spacing w:before="40" w:after="40"/>
            </w:pPr>
            <w:r w:rsidRPr="001D5327">
              <w:rPr>
                <w:rFonts w:eastAsia="Calibri"/>
                <w:color w:val="000000"/>
              </w:rPr>
              <w:t>SiO</w:t>
            </w:r>
            <w:r w:rsidRPr="001D5327">
              <w:rPr>
                <w:rFonts w:eastAsia="Calibri"/>
                <w:color w:val="000000"/>
                <w:vertAlign w:val="subscript"/>
              </w:rPr>
              <w:t>2</w:t>
            </w:r>
          </w:p>
        </w:tc>
        <w:tc>
          <w:tcPr>
            <w:tcW w:w="0" w:type="auto"/>
            <w:shd w:val="clear" w:color="auto" w:fill="FFFFFF"/>
            <w:tcMar>
              <w:top w:w="0" w:type="dxa"/>
              <w:left w:w="85" w:type="dxa"/>
              <w:bottom w:w="0" w:type="dxa"/>
              <w:right w:w="85" w:type="dxa"/>
            </w:tcMar>
          </w:tcPr>
          <w:p w14:paraId="6C63043F" w14:textId="77777777" w:rsidR="009327C0" w:rsidRPr="001D5327" w:rsidRDefault="009327C0" w:rsidP="00C62F46">
            <w:pPr>
              <w:pStyle w:val="TableText"/>
              <w:spacing w:before="40" w:after="40"/>
              <w:jc w:val="right"/>
            </w:pPr>
            <w:r w:rsidRPr="001D5327">
              <w:rPr>
                <w:rFonts w:eastAsia="Calibri"/>
                <w:color w:val="000000"/>
              </w:rPr>
              <w:t>2.3</w:t>
            </w:r>
          </w:p>
        </w:tc>
      </w:tr>
      <w:tr w:rsidR="009327C0" w:rsidRPr="001D5327" w14:paraId="26C4F662" w14:textId="77777777" w:rsidTr="00D11AC9">
        <w:tc>
          <w:tcPr>
            <w:tcW w:w="0" w:type="auto"/>
            <w:shd w:val="clear" w:color="auto" w:fill="FFFFFF"/>
            <w:tcMar>
              <w:top w:w="0" w:type="dxa"/>
              <w:left w:w="85" w:type="dxa"/>
              <w:bottom w:w="0" w:type="dxa"/>
              <w:right w:w="85" w:type="dxa"/>
            </w:tcMar>
          </w:tcPr>
          <w:p w14:paraId="7370BA8D" w14:textId="77777777" w:rsidR="009327C0" w:rsidRPr="001D5327" w:rsidRDefault="009327C0" w:rsidP="00C62F46">
            <w:pPr>
              <w:pStyle w:val="TableText"/>
              <w:spacing w:before="40" w:after="40"/>
            </w:pPr>
            <w:r w:rsidRPr="001D5327">
              <w:rPr>
                <w:rFonts w:eastAsia="Calibri"/>
                <w:color w:val="000000"/>
              </w:rPr>
              <w:t>MnO</w:t>
            </w:r>
          </w:p>
        </w:tc>
        <w:tc>
          <w:tcPr>
            <w:tcW w:w="0" w:type="auto"/>
            <w:shd w:val="clear" w:color="auto" w:fill="FFFFFF"/>
            <w:tcMar>
              <w:top w:w="0" w:type="dxa"/>
              <w:left w:w="85" w:type="dxa"/>
              <w:bottom w:w="0" w:type="dxa"/>
              <w:right w:w="85" w:type="dxa"/>
            </w:tcMar>
          </w:tcPr>
          <w:p w14:paraId="46B19C46" w14:textId="77777777" w:rsidR="009327C0" w:rsidRPr="001D5327" w:rsidRDefault="009327C0" w:rsidP="00C62F46">
            <w:pPr>
              <w:pStyle w:val="TableText"/>
              <w:spacing w:before="40" w:after="40"/>
              <w:jc w:val="right"/>
            </w:pPr>
            <w:r w:rsidRPr="001D5327">
              <w:rPr>
                <w:rFonts w:eastAsia="Calibri"/>
                <w:color w:val="000000"/>
              </w:rPr>
              <w:t>0.6</w:t>
            </w:r>
          </w:p>
        </w:tc>
      </w:tr>
      <w:tr w:rsidR="009327C0" w:rsidRPr="001D5327" w14:paraId="392D5126" w14:textId="77777777" w:rsidTr="00D11AC9">
        <w:tc>
          <w:tcPr>
            <w:tcW w:w="0" w:type="auto"/>
            <w:shd w:val="clear" w:color="auto" w:fill="FFFFFF"/>
            <w:tcMar>
              <w:top w:w="0" w:type="dxa"/>
              <w:left w:w="85" w:type="dxa"/>
              <w:bottom w:w="0" w:type="dxa"/>
              <w:right w:w="85" w:type="dxa"/>
            </w:tcMar>
          </w:tcPr>
          <w:p w14:paraId="6D2CD5FB" w14:textId="77777777" w:rsidR="009327C0" w:rsidRPr="001D5327" w:rsidRDefault="009327C0" w:rsidP="00C62F46">
            <w:pPr>
              <w:pStyle w:val="TableText"/>
              <w:spacing w:before="40" w:after="40"/>
            </w:pPr>
            <w:r w:rsidRPr="001D5327">
              <w:rPr>
                <w:rFonts w:eastAsia="Calibri"/>
                <w:color w:val="000000"/>
              </w:rPr>
              <w:t>CaO</w:t>
            </w:r>
          </w:p>
        </w:tc>
        <w:tc>
          <w:tcPr>
            <w:tcW w:w="0" w:type="auto"/>
            <w:shd w:val="clear" w:color="auto" w:fill="FFFFFF"/>
            <w:tcMar>
              <w:top w:w="0" w:type="dxa"/>
              <w:left w:w="85" w:type="dxa"/>
              <w:bottom w:w="0" w:type="dxa"/>
              <w:right w:w="85" w:type="dxa"/>
            </w:tcMar>
          </w:tcPr>
          <w:p w14:paraId="6C19E9DA" w14:textId="77777777" w:rsidR="009327C0" w:rsidRPr="001D5327" w:rsidRDefault="009327C0" w:rsidP="00C62F46">
            <w:pPr>
              <w:pStyle w:val="TableText"/>
              <w:spacing w:before="40" w:after="40"/>
              <w:jc w:val="right"/>
            </w:pPr>
            <w:r w:rsidRPr="001D5327">
              <w:rPr>
                <w:rFonts w:eastAsia="Calibri"/>
                <w:color w:val="000000"/>
              </w:rPr>
              <w:t>0.5</w:t>
            </w:r>
          </w:p>
        </w:tc>
      </w:tr>
      <w:tr w:rsidR="009327C0" w:rsidRPr="001D5327" w14:paraId="76330982" w14:textId="77777777" w:rsidTr="00D11AC9">
        <w:tc>
          <w:tcPr>
            <w:tcW w:w="0" w:type="auto"/>
            <w:shd w:val="clear" w:color="auto" w:fill="FFFFFF"/>
            <w:tcMar>
              <w:top w:w="0" w:type="dxa"/>
              <w:left w:w="85" w:type="dxa"/>
              <w:bottom w:w="0" w:type="dxa"/>
              <w:right w:w="85" w:type="dxa"/>
            </w:tcMar>
          </w:tcPr>
          <w:p w14:paraId="1A8EE983" w14:textId="77777777" w:rsidR="009327C0" w:rsidRPr="001D5327" w:rsidRDefault="009327C0" w:rsidP="00C62F46">
            <w:pPr>
              <w:pStyle w:val="TableText"/>
              <w:spacing w:before="40" w:after="40"/>
            </w:pPr>
            <w:r w:rsidRPr="001D5327">
              <w:rPr>
                <w:rFonts w:eastAsia="Calibri"/>
                <w:color w:val="000000"/>
              </w:rPr>
              <w:t>V</w:t>
            </w:r>
            <w:r w:rsidRPr="001D5327">
              <w:rPr>
                <w:rFonts w:eastAsia="Calibri"/>
                <w:color w:val="000000"/>
                <w:vertAlign w:val="subscript"/>
              </w:rPr>
              <w:t>2</w:t>
            </w:r>
            <w:r w:rsidRPr="001D5327">
              <w:rPr>
                <w:rFonts w:eastAsia="Calibri"/>
                <w:color w:val="000000"/>
              </w:rPr>
              <w:t>O</w:t>
            </w:r>
            <w:r w:rsidRPr="001D5327">
              <w:rPr>
                <w:rFonts w:eastAsia="Calibri"/>
                <w:color w:val="000000"/>
                <w:vertAlign w:val="subscript"/>
              </w:rPr>
              <w:t>3</w:t>
            </w:r>
          </w:p>
        </w:tc>
        <w:tc>
          <w:tcPr>
            <w:tcW w:w="0" w:type="auto"/>
            <w:shd w:val="clear" w:color="auto" w:fill="FFFFFF"/>
            <w:tcMar>
              <w:top w:w="0" w:type="dxa"/>
              <w:left w:w="85" w:type="dxa"/>
              <w:bottom w:w="0" w:type="dxa"/>
              <w:right w:w="85" w:type="dxa"/>
            </w:tcMar>
          </w:tcPr>
          <w:p w14:paraId="77A0FDBC" w14:textId="77777777" w:rsidR="009327C0" w:rsidRPr="001D5327" w:rsidRDefault="009327C0" w:rsidP="00C62F46">
            <w:pPr>
              <w:pStyle w:val="TableText"/>
              <w:spacing w:before="40" w:after="40"/>
              <w:jc w:val="right"/>
            </w:pPr>
            <w:r w:rsidRPr="001D5327">
              <w:rPr>
                <w:rFonts w:eastAsia="Calibri"/>
                <w:color w:val="000000"/>
              </w:rPr>
              <w:t>0.5</w:t>
            </w:r>
          </w:p>
        </w:tc>
      </w:tr>
      <w:tr w:rsidR="009327C0" w:rsidRPr="001D5327" w14:paraId="250FD06C" w14:textId="77777777" w:rsidTr="00D11AC9">
        <w:tc>
          <w:tcPr>
            <w:tcW w:w="0" w:type="auto"/>
            <w:shd w:val="clear" w:color="auto" w:fill="FFFFFF"/>
            <w:tcMar>
              <w:top w:w="0" w:type="dxa"/>
              <w:left w:w="85" w:type="dxa"/>
              <w:bottom w:w="0" w:type="dxa"/>
              <w:right w:w="85" w:type="dxa"/>
            </w:tcMar>
          </w:tcPr>
          <w:p w14:paraId="1F00B5F1" w14:textId="77777777" w:rsidR="009327C0" w:rsidRPr="001D5327" w:rsidRDefault="009327C0" w:rsidP="00C62F46">
            <w:pPr>
              <w:pStyle w:val="TableText"/>
              <w:spacing w:before="40" w:after="40"/>
            </w:pPr>
            <w:r w:rsidRPr="001D5327">
              <w:rPr>
                <w:rFonts w:eastAsia="Calibri"/>
                <w:color w:val="000000"/>
              </w:rPr>
              <w:t>Zn</w:t>
            </w:r>
          </w:p>
        </w:tc>
        <w:tc>
          <w:tcPr>
            <w:tcW w:w="0" w:type="auto"/>
            <w:shd w:val="clear" w:color="auto" w:fill="FFFFFF"/>
            <w:tcMar>
              <w:top w:w="0" w:type="dxa"/>
              <w:left w:w="85" w:type="dxa"/>
              <w:bottom w:w="0" w:type="dxa"/>
              <w:right w:w="85" w:type="dxa"/>
            </w:tcMar>
          </w:tcPr>
          <w:p w14:paraId="79509FCF" w14:textId="77777777" w:rsidR="009327C0" w:rsidRPr="001D5327" w:rsidRDefault="009327C0" w:rsidP="00C62F46">
            <w:pPr>
              <w:pStyle w:val="TableText"/>
              <w:spacing w:before="40" w:after="40"/>
              <w:jc w:val="right"/>
            </w:pPr>
            <w:r w:rsidRPr="001D5327">
              <w:rPr>
                <w:rFonts w:eastAsia="Calibri"/>
                <w:color w:val="000000"/>
              </w:rPr>
              <w:t>0.1</w:t>
            </w:r>
          </w:p>
        </w:tc>
      </w:tr>
      <w:tr w:rsidR="009327C0" w:rsidRPr="001D5327" w14:paraId="2263F717" w14:textId="77777777" w:rsidTr="00D11AC9">
        <w:tc>
          <w:tcPr>
            <w:tcW w:w="0" w:type="auto"/>
            <w:shd w:val="clear" w:color="auto" w:fill="FFFFFF"/>
            <w:tcMar>
              <w:top w:w="0" w:type="dxa"/>
              <w:left w:w="85" w:type="dxa"/>
              <w:bottom w:w="0" w:type="dxa"/>
              <w:right w:w="85" w:type="dxa"/>
            </w:tcMar>
          </w:tcPr>
          <w:p w14:paraId="6ABB7B66" w14:textId="77777777" w:rsidR="009327C0" w:rsidRPr="001D5327" w:rsidRDefault="009327C0" w:rsidP="00C62F46">
            <w:pPr>
              <w:pStyle w:val="TableText"/>
              <w:spacing w:before="40" w:after="40"/>
            </w:pPr>
            <w:r w:rsidRPr="001D5327">
              <w:rPr>
                <w:rFonts w:eastAsia="Calibri"/>
                <w:color w:val="000000"/>
              </w:rPr>
              <w:t>Na</w:t>
            </w:r>
            <w:r w:rsidRPr="001D5327">
              <w:rPr>
                <w:rFonts w:eastAsia="Calibri"/>
                <w:color w:val="000000"/>
                <w:vertAlign w:val="subscript"/>
              </w:rPr>
              <w:t>2</w:t>
            </w:r>
            <w:r w:rsidRPr="001D5327">
              <w:rPr>
                <w:rFonts w:eastAsia="Calibri"/>
                <w:color w:val="000000"/>
              </w:rPr>
              <w:t>O</w:t>
            </w:r>
          </w:p>
        </w:tc>
        <w:tc>
          <w:tcPr>
            <w:tcW w:w="0" w:type="auto"/>
            <w:shd w:val="clear" w:color="auto" w:fill="FFFFFF"/>
            <w:tcMar>
              <w:top w:w="0" w:type="dxa"/>
              <w:left w:w="85" w:type="dxa"/>
              <w:bottom w:w="0" w:type="dxa"/>
              <w:right w:w="85" w:type="dxa"/>
            </w:tcMar>
          </w:tcPr>
          <w:p w14:paraId="3579F2CA" w14:textId="77777777" w:rsidR="009327C0" w:rsidRPr="001D5327" w:rsidRDefault="009327C0" w:rsidP="00C62F46">
            <w:pPr>
              <w:pStyle w:val="TableText"/>
              <w:spacing w:before="40" w:after="40"/>
              <w:jc w:val="right"/>
            </w:pPr>
            <w:r w:rsidRPr="001D5327">
              <w:rPr>
                <w:rFonts w:eastAsia="Calibri"/>
                <w:color w:val="000000"/>
              </w:rPr>
              <w:t>0.1</w:t>
            </w:r>
          </w:p>
        </w:tc>
      </w:tr>
      <w:tr w:rsidR="009327C0" w:rsidRPr="001D5327" w14:paraId="512D20B8" w14:textId="77777777" w:rsidTr="00D11AC9">
        <w:tc>
          <w:tcPr>
            <w:tcW w:w="0" w:type="auto"/>
            <w:shd w:val="clear" w:color="auto" w:fill="FFFFFF"/>
            <w:tcMar>
              <w:top w:w="0" w:type="dxa"/>
              <w:left w:w="85" w:type="dxa"/>
              <w:bottom w:w="0" w:type="dxa"/>
              <w:right w:w="85" w:type="dxa"/>
            </w:tcMar>
          </w:tcPr>
          <w:p w14:paraId="700B00AC" w14:textId="77777777" w:rsidR="009327C0" w:rsidRPr="001D5327" w:rsidRDefault="009327C0" w:rsidP="00C62F46">
            <w:pPr>
              <w:pStyle w:val="TableText"/>
              <w:spacing w:before="40" w:after="40"/>
            </w:pPr>
            <w:r w:rsidRPr="001D5327">
              <w:rPr>
                <w:rFonts w:eastAsia="Calibri"/>
                <w:color w:val="000000"/>
              </w:rPr>
              <w:t>Cr</w:t>
            </w:r>
          </w:p>
        </w:tc>
        <w:tc>
          <w:tcPr>
            <w:tcW w:w="0" w:type="auto"/>
            <w:shd w:val="clear" w:color="auto" w:fill="FFFFFF"/>
            <w:tcMar>
              <w:top w:w="0" w:type="dxa"/>
              <w:left w:w="85" w:type="dxa"/>
              <w:bottom w:w="0" w:type="dxa"/>
              <w:right w:w="85" w:type="dxa"/>
            </w:tcMar>
          </w:tcPr>
          <w:p w14:paraId="7125C616" w14:textId="77777777" w:rsidR="009327C0" w:rsidRPr="001D5327" w:rsidRDefault="009327C0" w:rsidP="00C62F46">
            <w:pPr>
              <w:pStyle w:val="TableText"/>
              <w:spacing w:before="40" w:after="40"/>
              <w:jc w:val="right"/>
            </w:pPr>
            <w:r w:rsidRPr="001D5327">
              <w:rPr>
                <w:rFonts w:eastAsia="Calibri"/>
                <w:color w:val="000000"/>
              </w:rPr>
              <w:t>0</w:t>
            </w:r>
          </w:p>
        </w:tc>
      </w:tr>
      <w:tr w:rsidR="009327C0" w:rsidRPr="001D5327" w14:paraId="1DA85387" w14:textId="77777777" w:rsidTr="00D11AC9">
        <w:tc>
          <w:tcPr>
            <w:tcW w:w="0" w:type="auto"/>
            <w:shd w:val="clear" w:color="auto" w:fill="FFFFFF"/>
            <w:tcMar>
              <w:top w:w="0" w:type="dxa"/>
              <w:left w:w="85" w:type="dxa"/>
              <w:bottom w:w="0" w:type="dxa"/>
              <w:right w:w="85" w:type="dxa"/>
            </w:tcMar>
          </w:tcPr>
          <w:p w14:paraId="4B4D0DE2" w14:textId="77777777" w:rsidR="009327C0" w:rsidRPr="001D5327" w:rsidRDefault="009327C0" w:rsidP="00C62F46">
            <w:pPr>
              <w:pStyle w:val="TableText"/>
              <w:spacing w:before="40" w:after="40"/>
            </w:pPr>
            <w:r w:rsidRPr="001D5327">
              <w:rPr>
                <w:rFonts w:eastAsia="Calibri"/>
                <w:color w:val="000000"/>
              </w:rPr>
              <w:t>P</w:t>
            </w:r>
          </w:p>
        </w:tc>
        <w:tc>
          <w:tcPr>
            <w:tcW w:w="0" w:type="auto"/>
            <w:shd w:val="clear" w:color="auto" w:fill="FFFFFF"/>
            <w:tcMar>
              <w:top w:w="0" w:type="dxa"/>
              <w:left w:w="85" w:type="dxa"/>
              <w:bottom w:w="0" w:type="dxa"/>
              <w:right w:w="85" w:type="dxa"/>
            </w:tcMar>
          </w:tcPr>
          <w:p w14:paraId="661A652D" w14:textId="77777777" w:rsidR="009327C0" w:rsidRPr="001D5327" w:rsidRDefault="009327C0" w:rsidP="00C62F46">
            <w:pPr>
              <w:pStyle w:val="TableText"/>
              <w:spacing w:before="40" w:after="40"/>
              <w:jc w:val="right"/>
            </w:pPr>
            <w:r w:rsidRPr="001D5327">
              <w:rPr>
                <w:rFonts w:eastAsia="Calibri"/>
                <w:color w:val="000000"/>
              </w:rPr>
              <w:t>0</w:t>
            </w:r>
          </w:p>
        </w:tc>
      </w:tr>
      <w:tr w:rsidR="009327C0" w:rsidRPr="001D5327" w14:paraId="3D576585" w14:textId="77777777" w:rsidTr="00D11AC9">
        <w:tc>
          <w:tcPr>
            <w:tcW w:w="0" w:type="auto"/>
            <w:shd w:val="clear" w:color="auto" w:fill="FFFFFF"/>
            <w:tcMar>
              <w:top w:w="0" w:type="dxa"/>
              <w:left w:w="85" w:type="dxa"/>
              <w:bottom w:w="0" w:type="dxa"/>
              <w:right w:w="85" w:type="dxa"/>
            </w:tcMar>
          </w:tcPr>
          <w:p w14:paraId="5D993643" w14:textId="77777777" w:rsidR="009327C0" w:rsidRPr="001D5327" w:rsidRDefault="009327C0" w:rsidP="00C62F46">
            <w:pPr>
              <w:pStyle w:val="TableText"/>
              <w:spacing w:before="40" w:after="40"/>
            </w:pPr>
            <w:r w:rsidRPr="001D5327">
              <w:rPr>
                <w:rFonts w:eastAsia="Calibri"/>
                <w:color w:val="000000"/>
              </w:rPr>
              <w:t>K</w:t>
            </w:r>
            <w:r w:rsidRPr="001D5327">
              <w:rPr>
                <w:rFonts w:eastAsia="Calibri"/>
                <w:color w:val="000000"/>
                <w:vertAlign w:val="subscript"/>
              </w:rPr>
              <w:t>2</w:t>
            </w:r>
            <w:r w:rsidRPr="001D5327">
              <w:rPr>
                <w:rFonts w:eastAsia="Calibri"/>
                <w:color w:val="000000"/>
              </w:rPr>
              <w:t>O</w:t>
            </w:r>
          </w:p>
        </w:tc>
        <w:tc>
          <w:tcPr>
            <w:tcW w:w="0" w:type="auto"/>
            <w:shd w:val="clear" w:color="auto" w:fill="FFFFFF"/>
            <w:tcMar>
              <w:top w:w="0" w:type="dxa"/>
              <w:left w:w="85" w:type="dxa"/>
              <w:bottom w:w="0" w:type="dxa"/>
              <w:right w:w="85" w:type="dxa"/>
            </w:tcMar>
          </w:tcPr>
          <w:p w14:paraId="59C38879" w14:textId="77777777" w:rsidR="009327C0" w:rsidRPr="001D5327" w:rsidRDefault="009327C0" w:rsidP="00C62F46">
            <w:pPr>
              <w:pStyle w:val="TableText"/>
              <w:spacing w:before="40" w:after="40"/>
              <w:jc w:val="right"/>
            </w:pPr>
            <w:r w:rsidRPr="001D5327">
              <w:rPr>
                <w:rFonts w:eastAsia="Calibri"/>
                <w:color w:val="000000"/>
              </w:rPr>
              <w:t>0</w:t>
            </w:r>
          </w:p>
        </w:tc>
      </w:tr>
      <w:tr w:rsidR="009327C0" w:rsidRPr="001D5327" w14:paraId="6BD8C33F" w14:textId="77777777" w:rsidTr="00D11AC9">
        <w:tc>
          <w:tcPr>
            <w:tcW w:w="0" w:type="auto"/>
            <w:shd w:val="clear" w:color="auto" w:fill="FFFFFF"/>
            <w:tcMar>
              <w:top w:w="0" w:type="dxa"/>
              <w:left w:w="85" w:type="dxa"/>
              <w:bottom w:w="0" w:type="dxa"/>
              <w:right w:w="85" w:type="dxa"/>
            </w:tcMar>
          </w:tcPr>
          <w:p w14:paraId="5CDE77CE" w14:textId="77777777" w:rsidR="009327C0" w:rsidRPr="001D5327" w:rsidRDefault="009327C0" w:rsidP="00C62F46">
            <w:pPr>
              <w:pStyle w:val="TableText"/>
              <w:spacing w:before="40" w:after="40"/>
            </w:pPr>
            <w:r w:rsidRPr="001D5327">
              <w:rPr>
                <w:rFonts w:eastAsia="Calibri"/>
                <w:color w:val="000000"/>
              </w:rPr>
              <w:t>Cu</w:t>
            </w:r>
          </w:p>
        </w:tc>
        <w:tc>
          <w:tcPr>
            <w:tcW w:w="0" w:type="auto"/>
            <w:shd w:val="clear" w:color="auto" w:fill="FFFFFF"/>
            <w:tcMar>
              <w:top w:w="0" w:type="dxa"/>
              <w:left w:w="85" w:type="dxa"/>
              <w:bottom w:w="0" w:type="dxa"/>
              <w:right w:w="85" w:type="dxa"/>
            </w:tcMar>
          </w:tcPr>
          <w:p w14:paraId="5DA70788" w14:textId="77777777" w:rsidR="009327C0" w:rsidRPr="001D5327" w:rsidRDefault="009327C0" w:rsidP="00C62F46">
            <w:pPr>
              <w:pStyle w:val="TableText"/>
              <w:spacing w:before="40" w:after="40"/>
              <w:jc w:val="right"/>
            </w:pPr>
            <w:r w:rsidRPr="001D5327">
              <w:rPr>
                <w:rFonts w:eastAsia="Calibri"/>
                <w:color w:val="000000"/>
              </w:rPr>
              <w:t>0</w:t>
            </w:r>
          </w:p>
        </w:tc>
      </w:tr>
      <w:tr w:rsidR="009327C0" w:rsidRPr="001D5327" w14:paraId="22508A8A" w14:textId="77777777" w:rsidTr="00D11AC9">
        <w:tc>
          <w:tcPr>
            <w:tcW w:w="0" w:type="auto"/>
            <w:shd w:val="clear" w:color="auto" w:fill="FFFFFF"/>
            <w:tcMar>
              <w:top w:w="0" w:type="dxa"/>
              <w:left w:w="85" w:type="dxa"/>
              <w:bottom w:w="0" w:type="dxa"/>
              <w:right w:w="85" w:type="dxa"/>
            </w:tcMar>
          </w:tcPr>
          <w:p w14:paraId="75C735BB" w14:textId="77777777" w:rsidR="009327C0" w:rsidRPr="001D5327" w:rsidRDefault="009327C0" w:rsidP="00C62F46">
            <w:pPr>
              <w:pStyle w:val="TableText"/>
              <w:spacing w:before="40" w:after="40"/>
              <w:rPr>
                <w:b/>
                <w:bCs/>
              </w:rPr>
            </w:pPr>
            <w:r w:rsidRPr="001D5327">
              <w:rPr>
                <w:rFonts w:eastAsia="Calibri"/>
                <w:b/>
                <w:bCs/>
                <w:color w:val="000000"/>
              </w:rPr>
              <w:t>Total</w:t>
            </w:r>
          </w:p>
        </w:tc>
        <w:tc>
          <w:tcPr>
            <w:tcW w:w="0" w:type="auto"/>
            <w:shd w:val="clear" w:color="auto" w:fill="FFFFFF"/>
            <w:tcMar>
              <w:top w:w="0" w:type="dxa"/>
              <w:left w:w="85" w:type="dxa"/>
              <w:bottom w:w="0" w:type="dxa"/>
              <w:right w:w="85" w:type="dxa"/>
            </w:tcMar>
          </w:tcPr>
          <w:p w14:paraId="76652BDC" w14:textId="77777777" w:rsidR="009327C0" w:rsidRPr="001D5327" w:rsidRDefault="009327C0" w:rsidP="00C62F46">
            <w:pPr>
              <w:pStyle w:val="TableText"/>
              <w:spacing w:before="40" w:after="40"/>
              <w:jc w:val="right"/>
              <w:rPr>
                <w:b/>
                <w:bCs/>
              </w:rPr>
            </w:pPr>
            <w:r w:rsidRPr="001D5327">
              <w:rPr>
                <w:rFonts w:eastAsia="Calibri"/>
                <w:b/>
                <w:bCs/>
                <w:color w:val="000000"/>
              </w:rPr>
              <w:t>100</w:t>
            </w:r>
          </w:p>
        </w:tc>
      </w:tr>
    </w:tbl>
    <w:p w14:paraId="06DF8E1A" w14:textId="77777777" w:rsidR="009327C0" w:rsidRPr="001D5327" w:rsidRDefault="009327C0" w:rsidP="009327C0">
      <w:pPr>
        <w:pStyle w:val="BodyText"/>
      </w:pPr>
    </w:p>
    <w:p w14:paraId="495B373D" w14:textId="77777777" w:rsidR="009327C0" w:rsidRPr="001D5327" w:rsidRDefault="009327C0" w:rsidP="009327C0">
      <w:pPr>
        <w:pStyle w:val="Figure"/>
        <w:spacing w:after="60"/>
      </w:pPr>
      <w:bookmarkStart w:id="472" w:name="_Toc194674853"/>
      <w:r w:rsidRPr="001D5327">
        <w:lastRenderedPageBreak/>
        <w:t xml:space="preserve">Figure 4.4.1 </w:t>
      </w:r>
      <w:r w:rsidRPr="001D5327">
        <w:tab/>
        <w:t>Simplified schematic of steel production in New Zealand</w:t>
      </w:r>
      <w:bookmarkEnd w:id="472"/>
    </w:p>
    <w:p w14:paraId="4B62F70D" w14:textId="77777777" w:rsidR="009327C0" w:rsidRPr="001D5327" w:rsidRDefault="009327C0" w:rsidP="009327C0">
      <w:pPr>
        <w:pStyle w:val="BodyText"/>
      </w:pPr>
      <w:r w:rsidRPr="001D5327">
        <w:rPr>
          <w:noProof/>
        </w:rPr>
        <w:drawing>
          <wp:inline distT="0" distB="0" distL="0" distR="0" wp14:anchorId="5D0380F6" wp14:editId="6A77448B">
            <wp:extent cx="5323114" cy="2891556"/>
            <wp:effectExtent l="0" t="0" r="0" b="4445"/>
            <wp:docPr id="1401176304" name="Picture 140117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extLst>
                        <a:ext uri="{28A0092B-C50C-407E-A947-70E740481C1C}">
                          <a14:useLocalDpi xmlns:a14="http://schemas.microsoft.com/office/drawing/2010/main" val="0"/>
                        </a:ext>
                      </a:extLst>
                    </a:blip>
                    <a:srcRect t="2130" b="2218"/>
                    <a:stretch/>
                  </pic:blipFill>
                  <pic:spPr bwMode="auto">
                    <a:xfrm>
                      <a:off x="0" y="0"/>
                      <a:ext cx="5335037" cy="2898033"/>
                    </a:xfrm>
                    <a:prstGeom prst="rect">
                      <a:avLst/>
                    </a:prstGeom>
                    <a:ln>
                      <a:noFill/>
                    </a:ln>
                    <a:extLst>
                      <a:ext uri="{53640926-AAD7-44D8-BBD7-CCE9431645EC}">
                        <a14:shadowObscured xmlns:a14="http://schemas.microsoft.com/office/drawing/2010/main"/>
                      </a:ext>
                    </a:extLst>
                  </pic:spPr>
                </pic:pic>
              </a:graphicData>
            </a:graphic>
          </wp:inline>
        </w:drawing>
      </w:r>
    </w:p>
    <w:p w14:paraId="2EAC8A09" w14:textId="77777777" w:rsidR="009327C0" w:rsidRPr="001D5327" w:rsidRDefault="009327C0" w:rsidP="009327C0">
      <w:pPr>
        <w:pStyle w:val="BodyText"/>
        <w:spacing w:after="100"/>
      </w:pPr>
      <w:r w:rsidRPr="001D5327">
        <w:t>Nearly all the carbon entering the process is from coal used as a reductant in the iron-making process, and nearly all of this is emitted as CO</w:t>
      </w:r>
      <w:r w:rsidRPr="001D5327">
        <w:rPr>
          <w:vertAlign w:val="subscript"/>
        </w:rPr>
        <w:t>2</w:t>
      </w:r>
      <w:r w:rsidRPr="001D5327">
        <w:t xml:space="preserve"> in two waste gas streams:</w:t>
      </w:r>
    </w:p>
    <w:p w14:paraId="2C384CB8" w14:textId="77777777" w:rsidR="009327C0" w:rsidRPr="001D5327" w:rsidRDefault="009327C0" w:rsidP="009327C0">
      <w:pPr>
        <w:pStyle w:val="Bullet"/>
        <w:spacing w:after="100"/>
      </w:pPr>
      <w:r w:rsidRPr="001D5327">
        <w:t>gas generated in multi-hearth furnaces used to heat and dry concentrated iron sand and coal – this gas contains excess volatiles from the coal</w:t>
      </w:r>
    </w:p>
    <w:p w14:paraId="06E3F355" w14:textId="77777777" w:rsidR="009327C0" w:rsidRPr="001D5327" w:rsidRDefault="009327C0" w:rsidP="009327C0">
      <w:pPr>
        <w:pStyle w:val="Bullet"/>
        <w:spacing w:after="100"/>
      </w:pPr>
      <w:r w:rsidRPr="001D5327">
        <w:t>gas generated in rotary reduction kilns used to convert oxide in the iron sand to iron – this gas is rich in CO.</w:t>
      </w:r>
    </w:p>
    <w:p w14:paraId="71FAB81A" w14:textId="77777777" w:rsidR="009327C0" w:rsidRPr="001D5327" w:rsidRDefault="009327C0" w:rsidP="009327C0">
      <w:pPr>
        <w:pStyle w:val="BodyText"/>
        <w:spacing w:after="100"/>
      </w:pPr>
      <w:r w:rsidRPr="001D5327">
        <w:t xml:space="preserve">All this waste gas is combusted in ‘afterburners’ and used for electricity production. It would </w:t>
      </w:r>
      <w:r w:rsidRPr="001D5327">
        <w:rPr>
          <w:spacing w:val="-2"/>
        </w:rPr>
        <w:t>not be acceptable for gas containing coal volatiles or CO to be emitted without this combustion</w:t>
      </w:r>
      <w:r w:rsidRPr="001D5327">
        <w:t xml:space="preserve"> stage. There is no other flaring or disposal mode for the waste gases. Emissions from supplementary natural gas used in this plant are reported under the Energy sector (1.A.2.a). New Zealand Steel reported in the past (CRL Energy Ltd unpublished(b)) that there were no detectable CH</w:t>
      </w:r>
      <w:r w:rsidRPr="001D5327">
        <w:rPr>
          <w:vertAlign w:val="subscript"/>
        </w:rPr>
        <w:t>4</w:t>
      </w:r>
      <w:r w:rsidRPr="001D5327">
        <w:t xml:space="preserve"> emissions from this plant. No updated information is currently available.</w:t>
      </w:r>
    </w:p>
    <w:p w14:paraId="3A75AE70" w14:textId="77777777" w:rsidR="009327C0" w:rsidRPr="001D5327" w:rsidRDefault="009327C0" w:rsidP="009327C0">
      <w:pPr>
        <w:pStyle w:val="BodyText"/>
        <w:spacing w:after="100"/>
      </w:pPr>
      <w:r w:rsidRPr="001D5327">
        <w:t>Much smaller amounts of CO</w:t>
      </w:r>
      <w:r w:rsidRPr="001D5327">
        <w:rPr>
          <w:vertAlign w:val="subscript"/>
        </w:rPr>
        <w:t>2</w:t>
      </w:r>
      <w:r w:rsidRPr="001D5327">
        <w:t xml:space="preserve"> are derived from limestone added to the multi-hearth furnaces, and from additives and natural gas used in melters and steel making.</w:t>
      </w:r>
    </w:p>
    <w:p w14:paraId="4FB1D53B" w14:textId="77777777" w:rsidR="009327C0" w:rsidRPr="001D5327" w:rsidRDefault="009327C0" w:rsidP="009327C0">
      <w:pPr>
        <w:pStyle w:val="BodyText"/>
        <w:spacing w:after="100"/>
      </w:pPr>
      <w:r w:rsidRPr="001D5327">
        <w:t>New Zealand Steel’s iron and steel manufacturing processes do not generate or emit CH</w:t>
      </w:r>
      <w:r w:rsidRPr="001D5327">
        <w:rPr>
          <w:vertAlign w:val="subscript"/>
        </w:rPr>
        <w:t>4</w:t>
      </w:r>
      <w:r w:rsidRPr="001D5327">
        <w:t>.</w:t>
      </w:r>
    </w:p>
    <w:p w14:paraId="744E0A67" w14:textId="77777777" w:rsidR="009327C0" w:rsidRPr="001D5327" w:rsidRDefault="009327C0" w:rsidP="009327C0">
      <w:pPr>
        <w:pStyle w:val="Heading5"/>
      </w:pPr>
      <w:bookmarkStart w:id="473" w:name="aluminium-production-2.c.3"/>
      <w:bookmarkEnd w:id="470"/>
      <w:r w:rsidRPr="001D5327">
        <w:t>Aluminium production (2.C.3)</w:t>
      </w:r>
    </w:p>
    <w:p w14:paraId="70F206AE" w14:textId="77777777" w:rsidR="009327C0" w:rsidRPr="001D5327" w:rsidRDefault="009327C0" w:rsidP="009327C0">
      <w:pPr>
        <w:pStyle w:val="BodyText"/>
        <w:spacing w:before="100" w:after="100"/>
      </w:pPr>
      <w:r w:rsidRPr="001D5327">
        <w:t>Carbon dioxide is emitted during the oxidation of carbon anodes. The two PFCs perfluoromethane (CF</w:t>
      </w:r>
      <w:r w:rsidRPr="001D5327">
        <w:rPr>
          <w:vertAlign w:val="subscript"/>
        </w:rPr>
        <w:t>4</w:t>
      </w:r>
      <w:r w:rsidRPr="001D5327">
        <w:t>) and perfluoroethane (C</w:t>
      </w:r>
      <w:r w:rsidRPr="001D5327">
        <w:rPr>
          <w:vertAlign w:val="subscript"/>
        </w:rPr>
        <w:t>2</w:t>
      </w:r>
      <w:r w:rsidRPr="001D5327">
        <w:t>F</w:t>
      </w:r>
      <w:r w:rsidRPr="001D5327">
        <w:rPr>
          <w:vertAlign w:val="subscript"/>
        </w:rPr>
        <w:t>6</w:t>
      </w:r>
      <w:r w:rsidRPr="001D5327">
        <w:t>) are emitted from the reduction cells used for smelting during anode effects. An anode effect occurs when the aluminium oxide concentration in the cell is low. The emissions from combustion of various fuels used in aluminium production (heavy fuel oil, liquefied petroleum gas, petrol and diesel) are reported under the Energy sector.</w:t>
      </w:r>
    </w:p>
    <w:p w14:paraId="0FF72565" w14:textId="77777777" w:rsidR="009327C0" w:rsidRPr="001D5327" w:rsidRDefault="009327C0" w:rsidP="009327C0">
      <w:pPr>
        <w:pStyle w:val="BodyText"/>
        <w:spacing w:before="100" w:after="100"/>
      </w:pPr>
      <w:r w:rsidRPr="001D5327">
        <w:t xml:space="preserve">In 2023, the </w:t>
      </w:r>
      <w:r w:rsidRPr="001D5327">
        <w:rPr>
          <w:i/>
          <w:iCs/>
        </w:rPr>
        <w:t>Aluminium production</w:t>
      </w:r>
      <w:r w:rsidRPr="001D5327">
        <w:t xml:space="preserve"> category accounted for 543.0 kt CO</w:t>
      </w:r>
      <w:r w:rsidRPr="001D5327">
        <w:rPr>
          <w:vertAlign w:val="subscript"/>
        </w:rPr>
        <w:t>2</w:t>
      </w:r>
      <w:r w:rsidRPr="001D5327">
        <w:t xml:space="preserve">-e (25.9 per cent) of emissions from the </w:t>
      </w:r>
      <w:r w:rsidRPr="001D5327">
        <w:rPr>
          <w:i/>
          <w:iCs/>
        </w:rPr>
        <w:t>Metal industry</w:t>
      </w:r>
      <w:r w:rsidRPr="001D5327">
        <w:t xml:space="preserve"> category. Activity data (production of hot metal aluminium from the smelter) and estimates of CO</w:t>
      </w:r>
      <w:r w:rsidRPr="001D5327">
        <w:rPr>
          <w:vertAlign w:val="subscript"/>
        </w:rPr>
        <w:t>2</w:t>
      </w:r>
      <w:r w:rsidRPr="001D5327">
        <w:t xml:space="preserve"> and PFC emissions were supplied by NZAS to MBIE until 2010. From 2011 to 2023, the CO</w:t>
      </w:r>
      <w:r w:rsidRPr="001D5327">
        <w:rPr>
          <w:vertAlign w:val="subscript"/>
        </w:rPr>
        <w:t>2</w:t>
      </w:r>
      <w:r w:rsidRPr="001D5327">
        <w:t xml:space="preserve"> and PFC emissions data and activity data were sourced from the company’s NZ ETS reporting.</w:t>
      </w:r>
    </w:p>
    <w:p w14:paraId="176241A0" w14:textId="77777777" w:rsidR="009327C0" w:rsidRPr="001D5327" w:rsidRDefault="009327C0" w:rsidP="009327C0">
      <w:pPr>
        <w:pStyle w:val="Heading5"/>
      </w:pPr>
      <w:bookmarkStart w:id="474" w:name="magnesium-and-other-metal-production"/>
      <w:bookmarkEnd w:id="473"/>
      <w:r w:rsidRPr="001D5327">
        <w:lastRenderedPageBreak/>
        <w:t>Magnesium and other metal production</w:t>
      </w:r>
    </w:p>
    <w:p w14:paraId="2F7C57DD" w14:textId="77777777" w:rsidR="009327C0" w:rsidRPr="001D5327" w:rsidRDefault="009327C0" w:rsidP="00CF110F">
      <w:pPr>
        <w:pStyle w:val="BodyText"/>
        <w:spacing w:before="100" w:after="100"/>
      </w:pPr>
      <w:r w:rsidRPr="001D5327">
        <w:t>From 1990 to 1999 a very small amount of SF</w:t>
      </w:r>
      <w:r w:rsidRPr="001D5327">
        <w:rPr>
          <w:vertAlign w:val="subscript"/>
        </w:rPr>
        <w:t>6</w:t>
      </w:r>
      <w:r w:rsidRPr="001D5327">
        <w:t xml:space="preserve"> was used as a cover gas in a magnesium foundry. Emissions are estimated based on an approximate estimate of the amount of SF</w:t>
      </w:r>
      <w:r w:rsidRPr="001D5327">
        <w:rPr>
          <w:vertAlign w:val="subscript"/>
        </w:rPr>
        <w:t>6</w:t>
      </w:r>
      <w:r w:rsidRPr="001D5327">
        <w:t xml:space="preserve"> that was used (2.C.4). No other activity data are available (CRL Energy, unpublished(b)).</w:t>
      </w:r>
    </w:p>
    <w:p w14:paraId="504390BA" w14:textId="53BC8910" w:rsidR="009327C0" w:rsidRPr="001D5327" w:rsidRDefault="009327C0" w:rsidP="00CF110F">
      <w:pPr>
        <w:pStyle w:val="BodyText"/>
        <w:spacing w:before="100" w:after="100"/>
      </w:pPr>
      <w:r w:rsidRPr="001D5327">
        <w:t>A very small amount of CO</w:t>
      </w:r>
      <w:r w:rsidRPr="001D5327">
        <w:rPr>
          <w:vertAlign w:val="subscript"/>
        </w:rPr>
        <w:t>2</w:t>
      </w:r>
      <w:r w:rsidRPr="001D5327">
        <w:t xml:space="preserve"> emissions was also reported from secondary lead production between 1990 and 2015, with the approximate recycled lead output as the activity data. This production has now stopped. The only other metal production that occurs in New Zealand is gold and silver mining. No emissions are reported from these activities.</w:t>
      </w:r>
    </w:p>
    <w:p w14:paraId="4B14086F" w14:textId="77777777" w:rsidR="009327C0" w:rsidRPr="001D5327" w:rsidRDefault="009327C0" w:rsidP="009327C0">
      <w:pPr>
        <w:pStyle w:val="Heading4"/>
      </w:pPr>
      <w:bookmarkStart w:id="475" w:name="choice-of-methods-2"/>
      <w:bookmarkEnd w:id="469"/>
      <w:bookmarkEnd w:id="474"/>
      <w:r w:rsidRPr="001D5327">
        <w:t>Choice of methods</w:t>
      </w:r>
    </w:p>
    <w:p w14:paraId="5A94747F" w14:textId="77777777" w:rsidR="009327C0" w:rsidRPr="001D5327" w:rsidRDefault="009327C0" w:rsidP="009327C0">
      <w:pPr>
        <w:pStyle w:val="Heading5"/>
      </w:pPr>
      <w:bookmarkStart w:id="476" w:name="Xac89373557bcdcd952c7e893036ad51683ed227"/>
      <w:r w:rsidRPr="001D5327">
        <w:t>Iron and steel production (2.C.1 and 2.C.1.a)</w:t>
      </w:r>
    </w:p>
    <w:p w14:paraId="0C4614BD" w14:textId="77777777" w:rsidR="009327C0" w:rsidRPr="001D5327" w:rsidRDefault="009327C0" w:rsidP="00CF110F">
      <w:pPr>
        <w:pStyle w:val="BodyText"/>
        <w:spacing w:before="100" w:after="100"/>
      </w:pPr>
      <w:r w:rsidRPr="001D5327">
        <w:t>The IPCC Tier 2 approach is used for calculating CO</w:t>
      </w:r>
      <w:r w:rsidRPr="001D5327">
        <w:rPr>
          <w:vertAlign w:val="subscript"/>
        </w:rPr>
        <w:t>2</w:t>
      </w:r>
      <w:r w:rsidRPr="001D5327">
        <w:t xml:space="preserve"> emissions from the iron and steel plant operated by New Zealand Steel Limited. Emissions from pig iron and steel production are not estimated separately because all of the iron made is processed into steel. This is a mass balance approach in which all carbon in the inputs are assumed to be emitted, except the small amount sequestered in the steel produced.</w:t>
      </w:r>
    </w:p>
    <w:p w14:paraId="77966003" w14:textId="77777777" w:rsidR="009327C0" w:rsidRPr="001D5327" w:rsidRDefault="009327C0" w:rsidP="00CF110F">
      <w:pPr>
        <w:pStyle w:val="BodyText"/>
        <w:spacing w:before="100" w:after="100"/>
      </w:pPr>
      <w:r w:rsidRPr="001D5327">
        <w:t>Most of the input carbon comes from the coal used as a reductant. There are also some CO</w:t>
      </w:r>
      <w:r w:rsidRPr="001D5327">
        <w:rPr>
          <w:vertAlign w:val="subscript"/>
        </w:rPr>
        <w:t>2</w:t>
      </w:r>
      <w:r w:rsidRPr="001D5327">
        <w:t xml:space="preserve"> emissions from the use of limestone in iron and steel production. These emissions are reported in the </w:t>
      </w:r>
      <w:r w:rsidRPr="001D5327">
        <w:rPr>
          <w:i/>
          <w:iCs/>
        </w:rPr>
        <w:t>Mineral industry</w:t>
      </w:r>
      <w:r w:rsidRPr="001D5327">
        <w:t xml:space="preserve"> category (2.A.4.d), to preserve the confidentiality of data on limestone use supplied by companies in the </w:t>
      </w:r>
      <w:r w:rsidRPr="001D5327">
        <w:rPr>
          <w:i/>
          <w:iCs/>
        </w:rPr>
        <w:t>Glass production</w:t>
      </w:r>
      <w:r w:rsidRPr="001D5327">
        <w:t xml:space="preserve"> category. A very small amount of CO</w:t>
      </w:r>
      <w:r w:rsidRPr="001D5327">
        <w:rPr>
          <w:vertAlign w:val="subscript"/>
        </w:rPr>
        <w:t>2</w:t>
      </w:r>
      <w:r w:rsidRPr="001D5327">
        <w:t xml:space="preserve"> from other carbon-containing inputs (coke and electrodes) is also included, and the carbon in steel produced is subtracted.</w:t>
      </w:r>
    </w:p>
    <w:p w14:paraId="5EEE4C9F" w14:textId="77777777" w:rsidR="009327C0" w:rsidRPr="001D5327" w:rsidRDefault="009327C0" w:rsidP="00CF110F">
      <w:pPr>
        <w:pStyle w:val="BodyText"/>
        <w:spacing w:before="100" w:after="100"/>
      </w:pPr>
      <w:r w:rsidRPr="001D5327">
        <w:t>Emissions from the production of steel by Pacific Steel Limited were also estimated using a Tier 2 mass balance approach. The average carbon content (0.2 per cent by mass) in the finished product is subtracted from the total carbon in the inputs to obtain the amount of carbon emitted. Due to limited process data collected and retained by Pacific Steel Limited in the past, emissions for the years 1990 to 1999 were calculated using the average of the implied emission factors for 2000 to 2008 based on production volume.</w:t>
      </w:r>
    </w:p>
    <w:p w14:paraId="76FE6193" w14:textId="77777777" w:rsidR="009327C0" w:rsidRPr="001D5327" w:rsidRDefault="009327C0" w:rsidP="009327C0">
      <w:pPr>
        <w:pStyle w:val="Heading5"/>
      </w:pPr>
      <w:bookmarkStart w:id="477" w:name="aluminium-production-2.c.3-1"/>
      <w:bookmarkEnd w:id="476"/>
      <w:r w:rsidRPr="001D5327">
        <w:t>Aluminium production (2.C.3)</w:t>
      </w:r>
    </w:p>
    <w:p w14:paraId="17F2413C" w14:textId="77777777" w:rsidR="009327C0" w:rsidRPr="001D5327" w:rsidRDefault="009327C0" w:rsidP="00CF110F">
      <w:pPr>
        <w:pStyle w:val="BodyText"/>
        <w:spacing w:before="100" w:after="100"/>
      </w:pPr>
      <w:r w:rsidRPr="001D5327">
        <w:t>NZAS calculates the process CO</w:t>
      </w:r>
      <w:r w:rsidRPr="001D5327">
        <w:rPr>
          <w:vertAlign w:val="subscript"/>
        </w:rPr>
        <w:t>2</w:t>
      </w:r>
      <w:r w:rsidRPr="001D5327">
        <w:t xml:space="preserve"> emissions using the International Aluminium Institute’s Tier 3 method (International Aluminium Institute, 2006, equations 1–3), which is compliant with the IPCC Tier 2 method (IPPC, 2006a). The same method is used in NZ ETS reporting for aluminium smelting. This method breaks the prebake anode process into three stages: baked anode consumption, pitch volatiles consumption and packing coke consumption.</w:t>
      </w:r>
    </w:p>
    <w:p w14:paraId="43BD65F3" w14:textId="77777777" w:rsidR="009327C0" w:rsidRPr="001D5327" w:rsidRDefault="009327C0" w:rsidP="00CF110F">
      <w:pPr>
        <w:pStyle w:val="BodyText"/>
        <w:spacing w:before="100" w:after="100"/>
      </w:pPr>
      <w:r w:rsidRPr="001D5327">
        <w:t>Also, NZAS adds soda ash to the reduction cells to maintain the electrolyte chemical composition. This results in CO</w:t>
      </w:r>
      <w:r w:rsidRPr="001D5327">
        <w:rPr>
          <w:vertAlign w:val="subscript"/>
        </w:rPr>
        <w:t>2</w:t>
      </w:r>
      <w:r w:rsidRPr="001D5327">
        <w:t xml:space="preserve"> emissions as a by-product. These emissions are reported in the </w:t>
      </w:r>
      <w:r w:rsidRPr="001D5327">
        <w:rPr>
          <w:i/>
          <w:iCs/>
        </w:rPr>
        <w:t>Mineral industry</w:t>
      </w:r>
      <w:r w:rsidRPr="001D5327">
        <w:t xml:space="preserve"> category (2.A.4.b) to preserve the confidentiality of data on soda ash use supplied by companies in the </w:t>
      </w:r>
      <w:r w:rsidRPr="001D5327">
        <w:rPr>
          <w:i/>
          <w:iCs/>
        </w:rPr>
        <w:t>Glass production</w:t>
      </w:r>
      <w:r w:rsidRPr="001D5327">
        <w:t xml:space="preserve"> category.</w:t>
      </w:r>
    </w:p>
    <w:p w14:paraId="53FCFC3C" w14:textId="77777777" w:rsidR="009327C0" w:rsidRPr="001D5327" w:rsidRDefault="009327C0" w:rsidP="00CF110F">
      <w:pPr>
        <w:pStyle w:val="BodyText"/>
        <w:spacing w:before="100" w:after="100"/>
      </w:pPr>
      <w:r w:rsidRPr="001D5327">
        <w:t>Data on the duration of anode effects at the smelter are available for 1993 and later years. Perfluorocarbon (CF</w:t>
      </w:r>
      <w:r w:rsidRPr="001D5327">
        <w:rPr>
          <w:vertAlign w:val="subscript"/>
        </w:rPr>
        <w:t>4</w:t>
      </w:r>
      <w:r w:rsidRPr="001D5327">
        <w:t xml:space="preserve"> and C</w:t>
      </w:r>
      <w:r w:rsidRPr="001D5327">
        <w:rPr>
          <w:vertAlign w:val="subscript"/>
        </w:rPr>
        <w:t>2</w:t>
      </w:r>
      <w:r w:rsidRPr="001D5327">
        <w:t>F</w:t>
      </w:r>
      <w:r w:rsidRPr="001D5327">
        <w:rPr>
          <w:vertAlign w:val="subscript"/>
        </w:rPr>
        <w:t>6</w:t>
      </w:r>
      <w:r w:rsidRPr="001D5327">
        <w:t>) emissions from aluminium production are estimated using:</w:t>
      </w:r>
    </w:p>
    <w:p w14:paraId="2B656549" w14:textId="77777777" w:rsidR="009327C0" w:rsidRPr="001D5327" w:rsidRDefault="009327C0" w:rsidP="00CF110F">
      <w:pPr>
        <w:pStyle w:val="Bullet"/>
        <w:spacing w:after="100"/>
      </w:pPr>
      <w:r w:rsidRPr="001D5327">
        <w:t>the IPCC Tier 1 method for the years 1990 and 1991. The data needed to apply a Tier 2 method are not available</w:t>
      </w:r>
    </w:p>
    <w:p w14:paraId="6BEB730A" w14:textId="77777777" w:rsidR="009327C0" w:rsidRPr="001D5327" w:rsidRDefault="009327C0" w:rsidP="00CF110F">
      <w:pPr>
        <w:pStyle w:val="Bullet"/>
        <w:spacing w:after="100"/>
      </w:pPr>
      <w:r w:rsidRPr="001D5327">
        <w:t>interpolation for 1992; at this time, there was still no recording of anode effect duration</w:t>
      </w:r>
    </w:p>
    <w:p w14:paraId="42A93873" w14:textId="77777777" w:rsidR="009327C0" w:rsidRPr="001D5327" w:rsidRDefault="009327C0" w:rsidP="00CF110F">
      <w:pPr>
        <w:pStyle w:val="Bullet"/>
        <w:spacing w:after="100"/>
      </w:pPr>
      <w:r w:rsidRPr="001D5327">
        <w:lastRenderedPageBreak/>
        <w:t>the IPCC Tier 2 method (using slope coefficients) from 1993 to 2023. This method is applied in the reporting requirements the company now uses in its NZ ETS returns.</w:t>
      </w:r>
    </w:p>
    <w:p w14:paraId="70E76A51" w14:textId="77777777" w:rsidR="009327C0" w:rsidRPr="001D5327" w:rsidRDefault="009327C0" w:rsidP="00CF110F">
      <w:pPr>
        <w:pStyle w:val="BodyText"/>
        <w:spacing w:after="100"/>
      </w:pPr>
      <w:r w:rsidRPr="001D5327">
        <w:t>There is no history of direct measurement of PFC emissions at the smelter, so site-specific slope coefficients (required for the use of Tier 3) are not currently available.</w:t>
      </w:r>
    </w:p>
    <w:p w14:paraId="78E69DC2" w14:textId="77777777" w:rsidR="009327C0" w:rsidRPr="001D5327" w:rsidRDefault="009327C0" w:rsidP="009327C0">
      <w:pPr>
        <w:pStyle w:val="Heading5"/>
      </w:pPr>
      <w:bookmarkStart w:id="478" w:name="magnesium-production-2.c.4"/>
      <w:bookmarkEnd w:id="477"/>
      <w:r w:rsidRPr="001D5327">
        <w:t>Magnesium production (2.C.4)</w:t>
      </w:r>
    </w:p>
    <w:p w14:paraId="423F10E4" w14:textId="77777777" w:rsidR="009327C0" w:rsidRPr="001D5327" w:rsidRDefault="009327C0" w:rsidP="00CF110F">
      <w:pPr>
        <w:pStyle w:val="BodyText"/>
        <w:spacing w:before="100" w:after="100"/>
      </w:pPr>
      <w:r w:rsidRPr="001D5327">
        <w:t>Emissions are estimated based on an approximate estimate of the amount of SF</w:t>
      </w:r>
      <w:r w:rsidRPr="001D5327">
        <w:rPr>
          <w:vertAlign w:val="subscript"/>
        </w:rPr>
        <w:t>6</w:t>
      </w:r>
      <w:r w:rsidRPr="001D5327">
        <w:t xml:space="preserve"> that was used as cover gas and on the basis that all SF</w:t>
      </w:r>
      <w:r w:rsidRPr="001D5327">
        <w:rPr>
          <w:vertAlign w:val="subscript"/>
        </w:rPr>
        <w:t>6</w:t>
      </w:r>
      <w:r w:rsidRPr="001D5327">
        <w:t xml:space="preserve"> used is emitted. The method is Tier 1.</w:t>
      </w:r>
    </w:p>
    <w:p w14:paraId="0877C696" w14:textId="77777777" w:rsidR="009327C0" w:rsidRPr="001D5327" w:rsidRDefault="009327C0" w:rsidP="009327C0">
      <w:pPr>
        <w:pStyle w:val="Heading5"/>
      </w:pPr>
      <w:bookmarkStart w:id="479" w:name="lead-production-2.c.5"/>
      <w:bookmarkEnd w:id="478"/>
      <w:r w:rsidRPr="001D5327">
        <w:t>Lead production (2.C.5)</w:t>
      </w:r>
    </w:p>
    <w:p w14:paraId="760A0E1A" w14:textId="77777777" w:rsidR="009327C0" w:rsidRPr="001D5327" w:rsidRDefault="009327C0" w:rsidP="00CF110F">
      <w:pPr>
        <w:pStyle w:val="BodyText"/>
        <w:spacing w:before="100" w:after="100"/>
      </w:pPr>
      <w:r w:rsidRPr="001D5327">
        <w:t>The Tier 1 method was used.</w:t>
      </w:r>
    </w:p>
    <w:p w14:paraId="7ACC02B0" w14:textId="77777777" w:rsidR="009327C0" w:rsidRPr="001D5327" w:rsidRDefault="009327C0" w:rsidP="009327C0">
      <w:pPr>
        <w:pStyle w:val="Heading4"/>
      </w:pPr>
      <w:bookmarkStart w:id="480" w:name="choice-of-emission-factors-1"/>
      <w:bookmarkEnd w:id="475"/>
      <w:bookmarkEnd w:id="479"/>
      <w:r w:rsidRPr="001D5327">
        <w:t>Choice of emission factors</w:t>
      </w:r>
    </w:p>
    <w:p w14:paraId="7F9014E4" w14:textId="77777777" w:rsidR="009327C0" w:rsidRPr="001D5327" w:rsidRDefault="009327C0" w:rsidP="009327C0">
      <w:pPr>
        <w:pStyle w:val="Heading5"/>
      </w:pPr>
      <w:bookmarkStart w:id="481" w:name="carbon-dioxide"/>
      <w:r w:rsidRPr="001D5327">
        <w:t>Carbon dioxide</w:t>
      </w:r>
    </w:p>
    <w:p w14:paraId="557E71E0" w14:textId="77777777" w:rsidR="009327C0" w:rsidRPr="001D5327" w:rsidRDefault="009327C0" w:rsidP="00CF110F">
      <w:pPr>
        <w:pStyle w:val="BodyText"/>
        <w:spacing w:before="100" w:after="100"/>
      </w:pPr>
      <w:r w:rsidRPr="001D5327">
        <w:rPr>
          <w:spacing w:val="-2"/>
        </w:rPr>
        <w:t>Plant-specific emission factors are applied for the sub-bituminous coal used as a reducing agent in iron and steel production. For the early years, the coal emission factor was 0.0937 tonnes</w:t>
      </w:r>
      <w:r w:rsidRPr="001D5327">
        <w:t xml:space="preserve"> of CO</w:t>
      </w:r>
      <w:r w:rsidRPr="001D5327">
        <w:rPr>
          <w:vertAlign w:val="subscript"/>
        </w:rPr>
        <w:t>2</w:t>
      </w:r>
      <w:r w:rsidRPr="001D5327">
        <w:t xml:space="preserve"> per gigajoule, as supplied by the steel company. Plant-specific emission factors are also used for other carbon-containing inputs in both the </w:t>
      </w:r>
      <w:r w:rsidRPr="001D5327">
        <w:rPr>
          <w:i/>
          <w:iCs/>
        </w:rPr>
        <w:t>Iron and steel production</w:t>
      </w:r>
      <w:r w:rsidRPr="001D5327">
        <w:t xml:space="preserve"> and </w:t>
      </w:r>
      <w:r w:rsidRPr="001D5327">
        <w:rPr>
          <w:i/>
          <w:iCs/>
        </w:rPr>
        <w:t>Aluminium production</w:t>
      </w:r>
      <w:r w:rsidRPr="001D5327">
        <w:t xml:space="preserve"> categories.</w:t>
      </w:r>
    </w:p>
    <w:p w14:paraId="6EE392BC" w14:textId="77777777" w:rsidR="009327C0" w:rsidRPr="001D5327" w:rsidRDefault="009327C0" w:rsidP="00CF110F">
      <w:pPr>
        <w:pStyle w:val="BodyText"/>
        <w:spacing w:before="100" w:after="100"/>
      </w:pPr>
      <w:r w:rsidRPr="001D5327">
        <w:t>The changes of implied emission factors for steel production across the time series are mainly caused by the changes of input mixture from year to year.</w:t>
      </w:r>
    </w:p>
    <w:p w14:paraId="2B8139DF" w14:textId="77777777" w:rsidR="009327C0" w:rsidRPr="001D5327" w:rsidRDefault="009327C0" w:rsidP="00CF110F">
      <w:pPr>
        <w:pStyle w:val="BodyText"/>
        <w:spacing w:before="100" w:after="100"/>
      </w:pPr>
      <w:r w:rsidRPr="001D5327">
        <w:t>For secondary lead production, the IPCC default emission factor (0.2 tonnes of CO</w:t>
      </w:r>
      <w:r w:rsidRPr="001D5327">
        <w:rPr>
          <w:vertAlign w:val="subscript"/>
        </w:rPr>
        <w:t>2</w:t>
      </w:r>
      <w:r w:rsidRPr="001D5327">
        <w:t xml:space="preserve"> per tonne of lead recycled) is used.</w:t>
      </w:r>
    </w:p>
    <w:p w14:paraId="1795F85B" w14:textId="0AF53984" w:rsidR="009327C0" w:rsidRPr="001D5327" w:rsidRDefault="009327C0" w:rsidP="009327C0">
      <w:pPr>
        <w:pStyle w:val="Heading5"/>
      </w:pPr>
      <w:bookmarkStart w:id="482" w:name="perfluorocarbons-and-sf6"/>
      <w:bookmarkEnd w:id="481"/>
      <w:r w:rsidRPr="001D5327">
        <w:t xml:space="preserve">Perfluorocarbons and </w:t>
      </w:r>
      <w:r w:rsidR="00882ADD" w:rsidRPr="00882ADD">
        <w:t>sulphur hexafluoride</w:t>
      </w:r>
    </w:p>
    <w:p w14:paraId="6F657473" w14:textId="77777777" w:rsidR="009327C0" w:rsidRPr="001D5327" w:rsidRDefault="009327C0" w:rsidP="00CF110F">
      <w:pPr>
        <w:pStyle w:val="BodyText"/>
        <w:spacing w:before="100" w:after="100"/>
      </w:pPr>
      <w:r w:rsidRPr="001D5327">
        <w:t>Default emission factors (slope coefficients) are used for emissions of CF</w:t>
      </w:r>
      <w:r w:rsidRPr="001D5327">
        <w:rPr>
          <w:vertAlign w:val="subscript"/>
        </w:rPr>
        <w:t>4</w:t>
      </w:r>
      <w:r w:rsidRPr="001D5327">
        <w:t xml:space="preserve"> and C</w:t>
      </w:r>
      <w:r w:rsidRPr="001D5327">
        <w:rPr>
          <w:vertAlign w:val="subscript"/>
        </w:rPr>
        <w:t>2</w:t>
      </w:r>
      <w:r w:rsidRPr="001D5327">
        <w:t>F</w:t>
      </w:r>
      <w:r w:rsidRPr="001D5327">
        <w:rPr>
          <w:vertAlign w:val="subscript"/>
        </w:rPr>
        <w:t>6</w:t>
      </w:r>
      <w:r w:rsidRPr="001D5327">
        <w:t xml:space="preserve"> from aluminium production. Data on the duration of anode effects are not available for the years 1990 to 1992 and for those years a Tier 1 method is used, with the default emission factors of 0.4 kilograms CF</w:t>
      </w:r>
      <w:r w:rsidRPr="001D5327">
        <w:rPr>
          <w:vertAlign w:val="subscript"/>
        </w:rPr>
        <w:t>4</w:t>
      </w:r>
      <w:r w:rsidRPr="001D5327">
        <w:t xml:space="preserve"> and 0.04 kilograms C</w:t>
      </w:r>
      <w:r w:rsidRPr="001D5327">
        <w:rPr>
          <w:vertAlign w:val="subscript"/>
        </w:rPr>
        <w:t>2</w:t>
      </w:r>
      <w:r w:rsidRPr="001D5327">
        <w:t>F</w:t>
      </w:r>
      <w:r w:rsidRPr="001D5327">
        <w:rPr>
          <w:vertAlign w:val="subscript"/>
        </w:rPr>
        <w:t>6</w:t>
      </w:r>
      <w:r w:rsidRPr="001D5327">
        <w:t xml:space="preserve"> per tonne of aluminium.</w:t>
      </w:r>
    </w:p>
    <w:p w14:paraId="2231653A" w14:textId="77777777" w:rsidR="009327C0" w:rsidRPr="001D5327" w:rsidRDefault="009327C0" w:rsidP="00CF110F">
      <w:pPr>
        <w:pStyle w:val="BodyText"/>
        <w:spacing w:before="100" w:after="100"/>
      </w:pPr>
      <w:r w:rsidRPr="001D5327">
        <w:t>Emissions of SF</w:t>
      </w:r>
      <w:r w:rsidRPr="001D5327">
        <w:rPr>
          <w:vertAlign w:val="subscript"/>
        </w:rPr>
        <w:t>6</w:t>
      </w:r>
      <w:r w:rsidRPr="001D5327">
        <w:t xml:space="preserve"> used in magnesium casting are immediate.</w:t>
      </w:r>
    </w:p>
    <w:p w14:paraId="5C0528E0" w14:textId="77777777" w:rsidR="009327C0" w:rsidRPr="001D5327" w:rsidRDefault="009327C0" w:rsidP="009327C0">
      <w:pPr>
        <w:pStyle w:val="Heading5"/>
      </w:pPr>
      <w:bookmarkStart w:id="483" w:name="indirect-emissions-1"/>
      <w:bookmarkEnd w:id="482"/>
      <w:r w:rsidRPr="001D5327">
        <w:t>Indirect emissions</w:t>
      </w:r>
    </w:p>
    <w:p w14:paraId="4CFE0C2A" w14:textId="77777777" w:rsidR="009327C0" w:rsidRPr="001D5327" w:rsidRDefault="009327C0" w:rsidP="00CF110F">
      <w:pPr>
        <w:pStyle w:val="BodyText"/>
        <w:spacing w:before="100" w:after="100"/>
      </w:pPr>
      <w:r w:rsidRPr="001D5327">
        <w:t>Emissions of indirect greenhouse gases (CO, SO</w:t>
      </w:r>
      <w:r w:rsidRPr="001D5327">
        <w:rPr>
          <w:vertAlign w:val="subscript"/>
        </w:rPr>
        <w:t>2</w:t>
      </w:r>
      <w:r w:rsidRPr="001D5327">
        <w:t xml:space="preserve"> and NO</w:t>
      </w:r>
      <w:r w:rsidRPr="001D5327">
        <w:rPr>
          <w:vertAlign w:val="subscript"/>
        </w:rPr>
        <w:t>x</w:t>
      </w:r>
      <w:r w:rsidRPr="001D5327">
        <w:t xml:space="preserve">) are reported for the </w:t>
      </w:r>
      <w:r w:rsidRPr="001D5327">
        <w:rPr>
          <w:i/>
          <w:iCs/>
        </w:rPr>
        <w:t>Iron and steel production</w:t>
      </w:r>
      <w:r w:rsidRPr="001D5327">
        <w:t xml:space="preserve"> and </w:t>
      </w:r>
      <w:r w:rsidRPr="001D5327">
        <w:rPr>
          <w:i/>
          <w:iCs/>
        </w:rPr>
        <w:t>Aluminium production</w:t>
      </w:r>
      <w:r w:rsidRPr="001D5327">
        <w:t xml:space="preserve"> categories. These are based on a mass balance calculation (for SO</w:t>
      </w:r>
      <w:r w:rsidRPr="001D5327">
        <w:rPr>
          <w:vertAlign w:val="subscript"/>
        </w:rPr>
        <w:t>2</w:t>
      </w:r>
      <w:r w:rsidRPr="001D5327">
        <w:t>) and a mix of plant-specific emission factors and IPCC defaults for other gases (CRL Energy, unpublished(a)).</w:t>
      </w:r>
    </w:p>
    <w:p w14:paraId="49258B96" w14:textId="77777777" w:rsidR="009327C0" w:rsidRPr="001D5327" w:rsidRDefault="009327C0" w:rsidP="009327C0">
      <w:pPr>
        <w:pStyle w:val="Heading3"/>
      </w:pPr>
      <w:bookmarkStart w:id="484" w:name="X78736684ec91b7fbd49bd3f7f851a6f0fbe0364"/>
      <w:bookmarkEnd w:id="468"/>
      <w:bookmarkEnd w:id="480"/>
      <w:bookmarkEnd w:id="483"/>
      <w:r w:rsidRPr="001D5327">
        <w:t xml:space="preserve">4.4.3 </w:t>
      </w:r>
      <w:r w:rsidRPr="001D5327">
        <w:tab/>
        <w:t>Uncertainty assessment and time-series consistency</w:t>
      </w:r>
    </w:p>
    <w:p w14:paraId="4068DBA6" w14:textId="77777777" w:rsidR="009327C0" w:rsidRPr="001D5327" w:rsidRDefault="009327C0" w:rsidP="009327C0">
      <w:pPr>
        <w:pStyle w:val="Heading4"/>
      </w:pPr>
      <w:bookmarkStart w:id="485" w:name="uncertainties-3"/>
      <w:r w:rsidRPr="001D5327">
        <w:t>Uncertainties</w:t>
      </w:r>
    </w:p>
    <w:p w14:paraId="11BF4733" w14:textId="77777777" w:rsidR="009327C0" w:rsidRPr="001D5327" w:rsidRDefault="009327C0" w:rsidP="009327C0">
      <w:pPr>
        <w:pStyle w:val="BodyText"/>
      </w:pPr>
      <w:r w:rsidRPr="001D5327">
        <w:t>IPCC default uncertainties have been used for activity data (see table 4.4.2). For the CO</w:t>
      </w:r>
      <w:r w:rsidRPr="001D5327">
        <w:rPr>
          <w:vertAlign w:val="subscript"/>
        </w:rPr>
        <w:t>2</w:t>
      </w:r>
      <w:r w:rsidRPr="001D5327">
        <w:t xml:space="preserve"> emission factors in the </w:t>
      </w:r>
      <w:r w:rsidRPr="001D5327">
        <w:rPr>
          <w:i/>
          <w:iCs/>
        </w:rPr>
        <w:t>Iron and steel production</w:t>
      </w:r>
      <w:r w:rsidRPr="001D5327">
        <w:t xml:space="preserve"> category, an uncertainty of ±7 per cent was assessed to reflect some uncertainty in the carbon content of the product. An uncertainty of </w:t>
      </w:r>
      <w:r w:rsidRPr="001D5327">
        <w:lastRenderedPageBreak/>
        <w:t>±30 per cent was assessed for PFCs reflecting the use of Tier 1 methods for the first three years. The uncertainties for indirect gases were assessed on a site-specific basis at the time the data were collected (CRL Energy, unpublished(a)). For magnesium casting, the uncertainty of ±100 per cent represents the approximate activity data (SF</w:t>
      </w:r>
      <w:r w:rsidRPr="001D5327">
        <w:rPr>
          <w:vertAlign w:val="subscript"/>
        </w:rPr>
        <w:t>6</w:t>
      </w:r>
      <w:r w:rsidRPr="001D5327">
        <w:t xml:space="preserve"> usage) available. This activity was already historical when the data were collected.</w:t>
      </w:r>
    </w:p>
    <w:p w14:paraId="721B2579" w14:textId="77777777" w:rsidR="009327C0" w:rsidRPr="001D5327" w:rsidRDefault="009327C0" w:rsidP="009327C0">
      <w:pPr>
        <w:pStyle w:val="Table"/>
      </w:pPr>
      <w:bookmarkStart w:id="486" w:name="_Toc194241687"/>
      <w:r w:rsidRPr="001D5327">
        <w:t xml:space="preserve">Table 4.4.2 </w:t>
      </w:r>
      <w:r w:rsidRPr="001D5327">
        <w:tab/>
        <w:t>Uncertainty in emissions from the metal industry</w:t>
      </w:r>
      <w:bookmarkEnd w:id="486"/>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997"/>
        <w:gridCol w:w="3068"/>
        <w:gridCol w:w="3429"/>
      </w:tblGrid>
      <w:tr w:rsidR="009327C0" w:rsidRPr="001D5327" w14:paraId="75337694" w14:textId="77777777" w:rsidTr="00D11AC9">
        <w:trPr>
          <w:tblHeader/>
        </w:trPr>
        <w:tc>
          <w:tcPr>
            <w:tcW w:w="0" w:type="auto"/>
            <w:shd w:val="clear" w:color="auto" w:fill="1B556B"/>
            <w:tcMar>
              <w:top w:w="0" w:type="dxa"/>
              <w:left w:w="85" w:type="dxa"/>
              <w:bottom w:w="0" w:type="dxa"/>
              <w:right w:w="85" w:type="dxa"/>
            </w:tcMar>
          </w:tcPr>
          <w:p w14:paraId="16798AC5" w14:textId="77777777" w:rsidR="009327C0" w:rsidRPr="001D5327" w:rsidRDefault="009327C0" w:rsidP="00D11AC9">
            <w:pPr>
              <w:pStyle w:val="TableTextBold"/>
              <w:spacing w:before="40" w:after="40"/>
              <w:rPr>
                <w:noProof w:val="0"/>
                <w:color w:val="FFFFFF" w:themeColor="background1"/>
              </w:rPr>
            </w:pPr>
            <w:r w:rsidRPr="001D5327">
              <w:rPr>
                <w:rFonts w:eastAsia="Calibri"/>
                <w:noProof w:val="0"/>
                <w:color w:val="FFFFFF" w:themeColor="background1"/>
              </w:rPr>
              <w:t>Category</w:t>
            </w:r>
          </w:p>
        </w:tc>
        <w:tc>
          <w:tcPr>
            <w:tcW w:w="0" w:type="auto"/>
            <w:shd w:val="clear" w:color="auto" w:fill="1B556B"/>
            <w:tcMar>
              <w:top w:w="0" w:type="dxa"/>
              <w:left w:w="85" w:type="dxa"/>
              <w:bottom w:w="0" w:type="dxa"/>
              <w:right w:w="85" w:type="dxa"/>
            </w:tcMar>
          </w:tcPr>
          <w:p w14:paraId="4FCD6C20" w14:textId="77777777" w:rsidR="009327C0" w:rsidRPr="001D5327" w:rsidRDefault="009327C0"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tcPr>
          <w:p w14:paraId="16B9E92F" w14:textId="77777777" w:rsidR="009327C0" w:rsidRPr="001D5327" w:rsidRDefault="009327C0"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emission factors (%)</w:t>
            </w:r>
          </w:p>
        </w:tc>
      </w:tr>
      <w:tr w:rsidR="009327C0" w:rsidRPr="001D5327" w14:paraId="000BFF8A" w14:textId="77777777" w:rsidTr="00D11AC9">
        <w:tc>
          <w:tcPr>
            <w:tcW w:w="0" w:type="auto"/>
            <w:shd w:val="clear" w:color="auto" w:fill="FFFFFF"/>
            <w:tcMar>
              <w:top w:w="0" w:type="dxa"/>
              <w:left w:w="85" w:type="dxa"/>
              <w:bottom w:w="0" w:type="dxa"/>
              <w:right w:w="85" w:type="dxa"/>
            </w:tcMar>
          </w:tcPr>
          <w:p w14:paraId="5259090C" w14:textId="77777777" w:rsidR="009327C0" w:rsidRPr="001D5327" w:rsidRDefault="009327C0" w:rsidP="00D11AC9">
            <w:pPr>
              <w:pStyle w:val="TableText"/>
              <w:spacing w:before="40" w:after="40"/>
            </w:pPr>
            <w:r w:rsidRPr="001D5327">
              <w:rPr>
                <w:rFonts w:eastAsia="Calibri"/>
                <w:color w:val="000000"/>
              </w:rPr>
              <w:t>Iron and steel (CO</w:t>
            </w:r>
            <w:r w:rsidRPr="001D5327">
              <w:rPr>
                <w:rFonts w:eastAsia="Calibri"/>
                <w:color w:val="000000"/>
                <w:vertAlign w:val="subscript"/>
              </w:rPr>
              <w:t>2</w:t>
            </w:r>
            <w:r w:rsidRPr="001D5327">
              <w:rPr>
                <w:rFonts w:eastAsia="Calibri"/>
                <w:color w:val="000000"/>
              </w:rPr>
              <w:t>)</w:t>
            </w:r>
          </w:p>
        </w:tc>
        <w:tc>
          <w:tcPr>
            <w:tcW w:w="0" w:type="auto"/>
            <w:shd w:val="clear" w:color="auto" w:fill="FFFFFF"/>
            <w:tcMar>
              <w:top w:w="0" w:type="dxa"/>
              <w:left w:w="85" w:type="dxa"/>
              <w:bottom w:w="0" w:type="dxa"/>
              <w:right w:w="85" w:type="dxa"/>
            </w:tcMar>
          </w:tcPr>
          <w:p w14:paraId="3CBCDFCF" w14:textId="77777777" w:rsidR="009327C0" w:rsidRPr="001D5327" w:rsidRDefault="009327C0" w:rsidP="00D11AC9">
            <w:pPr>
              <w:pStyle w:val="TableText"/>
              <w:spacing w:before="40" w:after="40"/>
              <w:jc w:val="right"/>
            </w:pPr>
            <w:r w:rsidRPr="001D5327">
              <w:rPr>
                <w:rFonts w:eastAsia="Calibri"/>
                <w:color w:val="000000"/>
              </w:rPr>
              <w:t>±5</w:t>
            </w:r>
          </w:p>
        </w:tc>
        <w:tc>
          <w:tcPr>
            <w:tcW w:w="0" w:type="auto"/>
            <w:shd w:val="clear" w:color="auto" w:fill="FFFFFF"/>
            <w:tcMar>
              <w:top w:w="0" w:type="dxa"/>
              <w:left w:w="85" w:type="dxa"/>
              <w:bottom w:w="0" w:type="dxa"/>
              <w:right w:w="85" w:type="dxa"/>
            </w:tcMar>
          </w:tcPr>
          <w:p w14:paraId="34E2E8DC" w14:textId="77777777" w:rsidR="009327C0" w:rsidRPr="001D5327" w:rsidRDefault="009327C0" w:rsidP="00D11AC9">
            <w:pPr>
              <w:pStyle w:val="TableText"/>
              <w:spacing w:before="40" w:after="40"/>
              <w:jc w:val="right"/>
            </w:pPr>
            <w:r w:rsidRPr="001D5327">
              <w:rPr>
                <w:rFonts w:eastAsia="Calibri"/>
                <w:color w:val="000000"/>
              </w:rPr>
              <w:t>±7</w:t>
            </w:r>
          </w:p>
        </w:tc>
      </w:tr>
      <w:tr w:rsidR="009327C0" w:rsidRPr="001D5327" w14:paraId="5C978136" w14:textId="77777777" w:rsidTr="00D11AC9">
        <w:tc>
          <w:tcPr>
            <w:tcW w:w="0" w:type="auto"/>
            <w:shd w:val="clear" w:color="auto" w:fill="FFFFFF"/>
            <w:tcMar>
              <w:top w:w="0" w:type="dxa"/>
              <w:left w:w="85" w:type="dxa"/>
              <w:bottom w:w="0" w:type="dxa"/>
              <w:right w:w="85" w:type="dxa"/>
            </w:tcMar>
          </w:tcPr>
          <w:p w14:paraId="67570CC6" w14:textId="77777777" w:rsidR="009327C0" w:rsidRPr="001D5327" w:rsidRDefault="009327C0" w:rsidP="00D11AC9">
            <w:pPr>
              <w:pStyle w:val="TableText"/>
              <w:spacing w:before="40" w:after="40"/>
            </w:pPr>
            <w:r w:rsidRPr="001D5327">
              <w:rPr>
                <w:rFonts w:eastAsia="Calibri"/>
                <w:color w:val="000000"/>
              </w:rPr>
              <w:t>Iron and steel (CO)</w:t>
            </w:r>
          </w:p>
        </w:tc>
        <w:tc>
          <w:tcPr>
            <w:tcW w:w="0" w:type="auto"/>
            <w:shd w:val="clear" w:color="auto" w:fill="FFFFFF"/>
            <w:tcMar>
              <w:top w:w="0" w:type="dxa"/>
              <w:left w:w="85" w:type="dxa"/>
              <w:bottom w:w="0" w:type="dxa"/>
              <w:right w:w="85" w:type="dxa"/>
            </w:tcMar>
          </w:tcPr>
          <w:p w14:paraId="1191F840" w14:textId="77777777" w:rsidR="009327C0" w:rsidRPr="001D5327" w:rsidRDefault="009327C0" w:rsidP="00D11AC9">
            <w:pPr>
              <w:pStyle w:val="TableText"/>
              <w:spacing w:before="40" w:after="40"/>
              <w:jc w:val="right"/>
            </w:pPr>
            <w:r w:rsidRPr="001D5327">
              <w:rPr>
                <w:rFonts w:eastAsia="Calibri"/>
                <w:color w:val="000000"/>
              </w:rPr>
              <w:t>±5</w:t>
            </w:r>
          </w:p>
        </w:tc>
        <w:tc>
          <w:tcPr>
            <w:tcW w:w="0" w:type="auto"/>
            <w:shd w:val="clear" w:color="auto" w:fill="FFFFFF"/>
            <w:tcMar>
              <w:top w:w="0" w:type="dxa"/>
              <w:left w:w="85" w:type="dxa"/>
              <w:bottom w:w="0" w:type="dxa"/>
              <w:right w:w="85" w:type="dxa"/>
            </w:tcMar>
          </w:tcPr>
          <w:p w14:paraId="27ED7B14" w14:textId="77777777" w:rsidR="009327C0" w:rsidRPr="001D5327" w:rsidRDefault="009327C0" w:rsidP="00D11AC9">
            <w:pPr>
              <w:pStyle w:val="TableText"/>
              <w:spacing w:before="40" w:after="40"/>
              <w:jc w:val="right"/>
            </w:pPr>
            <w:r w:rsidRPr="001D5327">
              <w:rPr>
                <w:rFonts w:eastAsia="Calibri"/>
                <w:color w:val="000000"/>
              </w:rPr>
              <w:t>±30</w:t>
            </w:r>
          </w:p>
        </w:tc>
      </w:tr>
      <w:tr w:rsidR="009327C0" w:rsidRPr="001D5327" w14:paraId="66DFE3CB" w14:textId="77777777" w:rsidTr="00D11AC9">
        <w:tc>
          <w:tcPr>
            <w:tcW w:w="0" w:type="auto"/>
            <w:shd w:val="clear" w:color="auto" w:fill="FFFFFF"/>
            <w:tcMar>
              <w:top w:w="0" w:type="dxa"/>
              <w:left w:w="85" w:type="dxa"/>
              <w:bottom w:w="0" w:type="dxa"/>
              <w:right w:w="85" w:type="dxa"/>
            </w:tcMar>
          </w:tcPr>
          <w:p w14:paraId="3B44D161" w14:textId="77777777" w:rsidR="009327C0" w:rsidRPr="001D5327" w:rsidRDefault="009327C0" w:rsidP="00D11AC9">
            <w:pPr>
              <w:pStyle w:val="TableText"/>
              <w:spacing w:before="40" w:after="40"/>
            </w:pPr>
            <w:r w:rsidRPr="001D5327">
              <w:rPr>
                <w:rFonts w:eastAsia="Calibri"/>
                <w:color w:val="000000"/>
              </w:rPr>
              <w:t>Iron and steel (NO</w:t>
            </w:r>
            <w:r w:rsidRPr="001D5327">
              <w:rPr>
                <w:rFonts w:eastAsia="Calibri"/>
                <w:color w:val="000000"/>
                <w:vertAlign w:val="subscript"/>
              </w:rPr>
              <w:t>x</w:t>
            </w:r>
            <w:r w:rsidRPr="001D5327">
              <w:rPr>
                <w:rFonts w:eastAsia="Calibri"/>
                <w:color w:val="000000"/>
              </w:rPr>
              <w:t>)</w:t>
            </w:r>
          </w:p>
        </w:tc>
        <w:tc>
          <w:tcPr>
            <w:tcW w:w="0" w:type="auto"/>
            <w:shd w:val="clear" w:color="auto" w:fill="FFFFFF"/>
            <w:tcMar>
              <w:top w:w="0" w:type="dxa"/>
              <w:left w:w="85" w:type="dxa"/>
              <w:bottom w:w="0" w:type="dxa"/>
              <w:right w:w="85" w:type="dxa"/>
            </w:tcMar>
          </w:tcPr>
          <w:p w14:paraId="5A214B21" w14:textId="77777777" w:rsidR="009327C0" w:rsidRPr="001D5327" w:rsidRDefault="009327C0" w:rsidP="00D11AC9">
            <w:pPr>
              <w:pStyle w:val="TableText"/>
              <w:spacing w:before="40" w:after="40"/>
              <w:jc w:val="right"/>
            </w:pPr>
            <w:r w:rsidRPr="001D5327">
              <w:rPr>
                <w:rFonts w:eastAsia="Calibri"/>
                <w:color w:val="000000"/>
              </w:rPr>
              <w:t>±5</w:t>
            </w:r>
          </w:p>
        </w:tc>
        <w:tc>
          <w:tcPr>
            <w:tcW w:w="0" w:type="auto"/>
            <w:shd w:val="clear" w:color="auto" w:fill="FFFFFF"/>
            <w:tcMar>
              <w:top w:w="0" w:type="dxa"/>
              <w:left w:w="85" w:type="dxa"/>
              <w:bottom w:w="0" w:type="dxa"/>
              <w:right w:w="85" w:type="dxa"/>
            </w:tcMar>
          </w:tcPr>
          <w:p w14:paraId="4A4C2979" w14:textId="77777777" w:rsidR="009327C0" w:rsidRPr="001D5327" w:rsidRDefault="009327C0" w:rsidP="00D11AC9">
            <w:pPr>
              <w:pStyle w:val="TableText"/>
              <w:spacing w:before="40" w:after="40"/>
              <w:jc w:val="right"/>
            </w:pPr>
            <w:r w:rsidRPr="001D5327">
              <w:rPr>
                <w:rFonts w:eastAsia="Calibri"/>
                <w:color w:val="000000"/>
              </w:rPr>
              <w:t>±70</w:t>
            </w:r>
          </w:p>
        </w:tc>
      </w:tr>
      <w:tr w:rsidR="009327C0" w:rsidRPr="001D5327" w14:paraId="592E9001" w14:textId="77777777" w:rsidTr="00D11AC9">
        <w:tc>
          <w:tcPr>
            <w:tcW w:w="0" w:type="auto"/>
            <w:shd w:val="clear" w:color="auto" w:fill="FFFFFF"/>
            <w:tcMar>
              <w:top w:w="0" w:type="dxa"/>
              <w:left w:w="85" w:type="dxa"/>
              <w:bottom w:w="0" w:type="dxa"/>
              <w:right w:w="85" w:type="dxa"/>
            </w:tcMar>
          </w:tcPr>
          <w:p w14:paraId="3632BE9C" w14:textId="77777777" w:rsidR="009327C0" w:rsidRPr="001D5327" w:rsidRDefault="009327C0" w:rsidP="00D11AC9">
            <w:pPr>
              <w:pStyle w:val="TableText"/>
              <w:spacing w:before="40" w:after="40"/>
            </w:pPr>
            <w:r w:rsidRPr="001D5327">
              <w:rPr>
                <w:rFonts w:eastAsia="Calibri"/>
                <w:color w:val="000000"/>
              </w:rPr>
              <w:t>Aluminium (CO</w:t>
            </w:r>
            <w:r w:rsidRPr="001D5327">
              <w:rPr>
                <w:rFonts w:eastAsia="Calibri"/>
                <w:color w:val="000000"/>
                <w:vertAlign w:val="subscript"/>
              </w:rPr>
              <w:t>2</w:t>
            </w:r>
            <w:r w:rsidRPr="001D5327">
              <w:rPr>
                <w:rFonts w:eastAsia="Calibri"/>
                <w:color w:val="000000"/>
              </w:rPr>
              <w:t>)</w:t>
            </w:r>
          </w:p>
        </w:tc>
        <w:tc>
          <w:tcPr>
            <w:tcW w:w="0" w:type="auto"/>
            <w:shd w:val="clear" w:color="auto" w:fill="FFFFFF"/>
            <w:tcMar>
              <w:top w:w="0" w:type="dxa"/>
              <w:left w:w="85" w:type="dxa"/>
              <w:bottom w:w="0" w:type="dxa"/>
              <w:right w:w="85" w:type="dxa"/>
            </w:tcMar>
          </w:tcPr>
          <w:p w14:paraId="53C734AC" w14:textId="77777777" w:rsidR="009327C0" w:rsidRPr="001D5327" w:rsidRDefault="009327C0" w:rsidP="00D11AC9">
            <w:pPr>
              <w:pStyle w:val="TableText"/>
              <w:spacing w:before="40" w:after="40"/>
              <w:jc w:val="right"/>
            </w:pPr>
            <w:r w:rsidRPr="001D5327">
              <w:rPr>
                <w:rFonts w:eastAsia="Calibri"/>
                <w:color w:val="000000"/>
              </w:rPr>
              <w:t>±5</w:t>
            </w:r>
          </w:p>
        </w:tc>
        <w:tc>
          <w:tcPr>
            <w:tcW w:w="0" w:type="auto"/>
            <w:shd w:val="clear" w:color="auto" w:fill="FFFFFF"/>
            <w:tcMar>
              <w:top w:w="0" w:type="dxa"/>
              <w:left w:w="85" w:type="dxa"/>
              <w:bottom w:w="0" w:type="dxa"/>
              <w:right w:w="85" w:type="dxa"/>
            </w:tcMar>
          </w:tcPr>
          <w:p w14:paraId="1C3C87B3" w14:textId="77777777" w:rsidR="009327C0" w:rsidRPr="001D5327" w:rsidRDefault="009327C0" w:rsidP="00D11AC9">
            <w:pPr>
              <w:pStyle w:val="TableText"/>
              <w:spacing w:before="40" w:after="40"/>
              <w:jc w:val="right"/>
            </w:pPr>
            <w:r w:rsidRPr="001D5327">
              <w:rPr>
                <w:rFonts w:eastAsia="Calibri"/>
                <w:color w:val="000000"/>
              </w:rPr>
              <w:t>±2</w:t>
            </w:r>
          </w:p>
        </w:tc>
      </w:tr>
      <w:tr w:rsidR="009327C0" w:rsidRPr="001D5327" w14:paraId="2FF32CA3" w14:textId="77777777" w:rsidTr="00D11AC9">
        <w:tc>
          <w:tcPr>
            <w:tcW w:w="0" w:type="auto"/>
            <w:shd w:val="clear" w:color="auto" w:fill="FFFFFF"/>
            <w:tcMar>
              <w:top w:w="0" w:type="dxa"/>
              <w:left w:w="85" w:type="dxa"/>
              <w:bottom w:w="0" w:type="dxa"/>
              <w:right w:w="85" w:type="dxa"/>
            </w:tcMar>
          </w:tcPr>
          <w:p w14:paraId="6A57561F" w14:textId="77777777" w:rsidR="009327C0" w:rsidRPr="001D5327" w:rsidRDefault="009327C0" w:rsidP="00D11AC9">
            <w:pPr>
              <w:pStyle w:val="TableText"/>
              <w:spacing w:before="40" w:after="40"/>
            </w:pPr>
            <w:r w:rsidRPr="001D5327">
              <w:rPr>
                <w:rFonts w:eastAsia="Calibri"/>
                <w:color w:val="000000"/>
              </w:rPr>
              <w:t>Aluminium (PFCs)</w:t>
            </w:r>
          </w:p>
        </w:tc>
        <w:tc>
          <w:tcPr>
            <w:tcW w:w="0" w:type="auto"/>
            <w:shd w:val="clear" w:color="auto" w:fill="FFFFFF"/>
            <w:tcMar>
              <w:top w:w="0" w:type="dxa"/>
              <w:left w:w="85" w:type="dxa"/>
              <w:bottom w:w="0" w:type="dxa"/>
              <w:right w:w="85" w:type="dxa"/>
            </w:tcMar>
          </w:tcPr>
          <w:p w14:paraId="338FC259" w14:textId="77777777" w:rsidR="009327C0" w:rsidRPr="001D5327" w:rsidRDefault="009327C0" w:rsidP="00D11AC9">
            <w:pPr>
              <w:pStyle w:val="TableText"/>
              <w:spacing w:before="40" w:after="40"/>
              <w:jc w:val="right"/>
            </w:pPr>
            <w:r w:rsidRPr="001D5327">
              <w:rPr>
                <w:rFonts w:eastAsia="Calibri"/>
                <w:color w:val="000000"/>
              </w:rPr>
              <w:t>±5</w:t>
            </w:r>
          </w:p>
        </w:tc>
        <w:tc>
          <w:tcPr>
            <w:tcW w:w="0" w:type="auto"/>
            <w:shd w:val="clear" w:color="auto" w:fill="FFFFFF"/>
            <w:tcMar>
              <w:top w:w="0" w:type="dxa"/>
              <w:left w:w="85" w:type="dxa"/>
              <w:bottom w:w="0" w:type="dxa"/>
              <w:right w:w="85" w:type="dxa"/>
            </w:tcMar>
          </w:tcPr>
          <w:p w14:paraId="2D1F9711" w14:textId="77777777" w:rsidR="009327C0" w:rsidRPr="001D5327" w:rsidRDefault="009327C0" w:rsidP="00D11AC9">
            <w:pPr>
              <w:pStyle w:val="TableText"/>
              <w:spacing w:before="40" w:after="40"/>
              <w:jc w:val="right"/>
            </w:pPr>
            <w:r w:rsidRPr="001D5327">
              <w:rPr>
                <w:rFonts w:eastAsia="Calibri"/>
                <w:color w:val="000000"/>
              </w:rPr>
              <w:t>±30</w:t>
            </w:r>
          </w:p>
        </w:tc>
      </w:tr>
      <w:tr w:rsidR="009327C0" w:rsidRPr="001D5327" w14:paraId="1CB02A99" w14:textId="77777777" w:rsidTr="00D11AC9">
        <w:tc>
          <w:tcPr>
            <w:tcW w:w="0" w:type="auto"/>
            <w:shd w:val="clear" w:color="auto" w:fill="FFFFFF"/>
            <w:tcMar>
              <w:top w:w="0" w:type="dxa"/>
              <w:left w:w="85" w:type="dxa"/>
              <w:bottom w:w="0" w:type="dxa"/>
              <w:right w:w="85" w:type="dxa"/>
            </w:tcMar>
          </w:tcPr>
          <w:p w14:paraId="1F042B4E" w14:textId="77777777" w:rsidR="009327C0" w:rsidRPr="001D5327" w:rsidRDefault="009327C0" w:rsidP="00D11AC9">
            <w:pPr>
              <w:pStyle w:val="TableText"/>
              <w:spacing w:before="40" w:after="40"/>
            </w:pPr>
            <w:r w:rsidRPr="001D5327">
              <w:rPr>
                <w:rFonts w:eastAsia="Calibri"/>
                <w:color w:val="000000"/>
              </w:rPr>
              <w:t>Aluminium (SO</w:t>
            </w:r>
            <w:r w:rsidRPr="001D5327">
              <w:rPr>
                <w:rFonts w:eastAsia="Calibri"/>
                <w:color w:val="000000"/>
                <w:vertAlign w:val="subscript"/>
              </w:rPr>
              <w:t>2</w:t>
            </w:r>
            <w:r w:rsidRPr="001D5327">
              <w:rPr>
                <w:rFonts w:eastAsia="Calibri"/>
                <w:color w:val="000000"/>
              </w:rPr>
              <w:t>)</w:t>
            </w:r>
          </w:p>
        </w:tc>
        <w:tc>
          <w:tcPr>
            <w:tcW w:w="0" w:type="auto"/>
            <w:shd w:val="clear" w:color="auto" w:fill="FFFFFF"/>
            <w:tcMar>
              <w:top w:w="0" w:type="dxa"/>
              <w:left w:w="85" w:type="dxa"/>
              <w:bottom w:w="0" w:type="dxa"/>
              <w:right w:w="85" w:type="dxa"/>
            </w:tcMar>
          </w:tcPr>
          <w:p w14:paraId="7DFE0AC0" w14:textId="77777777" w:rsidR="009327C0" w:rsidRPr="001D5327" w:rsidRDefault="009327C0" w:rsidP="00D11AC9">
            <w:pPr>
              <w:pStyle w:val="TableText"/>
              <w:spacing w:before="40" w:after="40"/>
              <w:jc w:val="right"/>
            </w:pPr>
            <w:r w:rsidRPr="001D5327">
              <w:rPr>
                <w:rFonts w:eastAsia="Calibri"/>
                <w:color w:val="000000"/>
              </w:rPr>
              <w:t>±5</w:t>
            </w:r>
          </w:p>
        </w:tc>
        <w:tc>
          <w:tcPr>
            <w:tcW w:w="0" w:type="auto"/>
            <w:shd w:val="clear" w:color="auto" w:fill="FFFFFF"/>
            <w:tcMar>
              <w:top w:w="0" w:type="dxa"/>
              <w:left w:w="85" w:type="dxa"/>
              <w:bottom w:w="0" w:type="dxa"/>
              <w:right w:w="85" w:type="dxa"/>
            </w:tcMar>
          </w:tcPr>
          <w:p w14:paraId="15EF6987" w14:textId="77777777" w:rsidR="009327C0" w:rsidRPr="001D5327" w:rsidRDefault="009327C0" w:rsidP="00D11AC9">
            <w:pPr>
              <w:pStyle w:val="TableText"/>
              <w:spacing w:before="40" w:after="40"/>
              <w:jc w:val="right"/>
            </w:pPr>
            <w:r w:rsidRPr="001D5327">
              <w:rPr>
                <w:rFonts w:eastAsia="Calibri"/>
                <w:color w:val="000000"/>
              </w:rPr>
              <w:t>±5</w:t>
            </w:r>
          </w:p>
        </w:tc>
      </w:tr>
      <w:tr w:rsidR="009327C0" w:rsidRPr="001D5327" w14:paraId="0891DEEF" w14:textId="77777777" w:rsidTr="00D11AC9">
        <w:tc>
          <w:tcPr>
            <w:tcW w:w="0" w:type="auto"/>
            <w:shd w:val="clear" w:color="auto" w:fill="FFFFFF"/>
            <w:tcMar>
              <w:top w:w="0" w:type="dxa"/>
              <w:left w:w="85" w:type="dxa"/>
              <w:bottom w:w="0" w:type="dxa"/>
              <w:right w:w="85" w:type="dxa"/>
            </w:tcMar>
          </w:tcPr>
          <w:p w14:paraId="2D5EFF28" w14:textId="77777777" w:rsidR="009327C0" w:rsidRPr="001D5327" w:rsidRDefault="009327C0" w:rsidP="00D11AC9">
            <w:pPr>
              <w:pStyle w:val="TableText"/>
              <w:spacing w:before="40" w:after="40"/>
            </w:pPr>
            <w:r w:rsidRPr="001D5327">
              <w:rPr>
                <w:rFonts w:eastAsia="Calibri"/>
                <w:color w:val="000000"/>
              </w:rPr>
              <w:t>Aluminium (CO)</w:t>
            </w:r>
          </w:p>
        </w:tc>
        <w:tc>
          <w:tcPr>
            <w:tcW w:w="0" w:type="auto"/>
            <w:shd w:val="clear" w:color="auto" w:fill="FFFFFF"/>
            <w:tcMar>
              <w:top w:w="0" w:type="dxa"/>
              <w:left w:w="85" w:type="dxa"/>
              <w:bottom w:w="0" w:type="dxa"/>
              <w:right w:w="85" w:type="dxa"/>
            </w:tcMar>
          </w:tcPr>
          <w:p w14:paraId="306F77A0" w14:textId="77777777" w:rsidR="009327C0" w:rsidRPr="001D5327" w:rsidRDefault="009327C0" w:rsidP="00D11AC9">
            <w:pPr>
              <w:pStyle w:val="TableText"/>
              <w:spacing w:before="40" w:after="40"/>
              <w:jc w:val="right"/>
            </w:pPr>
            <w:r w:rsidRPr="001D5327">
              <w:rPr>
                <w:rFonts w:eastAsia="Calibri"/>
                <w:color w:val="000000"/>
              </w:rPr>
              <w:t>±5</w:t>
            </w:r>
          </w:p>
        </w:tc>
        <w:tc>
          <w:tcPr>
            <w:tcW w:w="0" w:type="auto"/>
            <w:shd w:val="clear" w:color="auto" w:fill="FFFFFF"/>
            <w:tcMar>
              <w:top w:w="0" w:type="dxa"/>
              <w:left w:w="85" w:type="dxa"/>
              <w:bottom w:w="0" w:type="dxa"/>
              <w:right w:w="85" w:type="dxa"/>
            </w:tcMar>
          </w:tcPr>
          <w:p w14:paraId="3F4D03A6" w14:textId="77777777" w:rsidR="009327C0" w:rsidRPr="001D5327" w:rsidRDefault="009327C0" w:rsidP="00D11AC9">
            <w:pPr>
              <w:pStyle w:val="TableText"/>
              <w:spacing w:before="40" w:after="40"/>
              <w:jc w:val="right"/>
            </w:pPr>
            <w:r w:rsidRPr="001D5327">
              <w:rPr>
                <w:rFonts w:eastAsia="Calibri"/>
                <w:color w:val="000000"/>
              </w:rPr>
              <w:t>±40</w:t>
            </w:r>
          </w:p>
        </w:tc>
      </w:tr>
      <w:tr w:rsidR="009327C0" w:rsidRPr="001D5327" w14:paraId="3D40BCCD" w14:textId="77777777" w:rsidTr="00D11AC9">
        <w:tc>
          <w:tcPr>
            <w:tcW w:w="0" w:type="auto"/>
            <w:shd w:val="clear" w:color="auto" w:fill="FFFFFF"/>
            <w:tcMar>
              <w:top w:w="0" w:type="dxa"/>
              <w:left w:w="85" w:type="dxa"/>
              <w:bottom w:w="0" w:type="dxa"/>
              <w:right w:w="85" w:type="dxa"/>
            </w:tcMar>
          </w:tcPr>
          <w:p w14:paraId="5F223251" w14:textId="77777777" w:rsidR="009327C0" w:rsidRPr="001D5327" w:rsidRDefault="009327C0" w:rsidP="00D11AC9">
            <w:pPr>
              <w:pStyle w:val="TableText"/>
              <w:spacing w:before="40" w:after="40"/>
            </w:pPr>
            <w:r w:rsidRPr="001D5327">
              <w:rPr>
                <w:rFonts w:eastAsia="Calibri"/>
                <w:color w:val="000000"/>
              </w:rPr>
              <w:t>Aluminium (NO</w:t>
            </w:r>
            <w:r w:rsidRPr="001D5327">
              <w:rPr>
                <w:rFonts w:eastAsia="Calibri"/>
                <w:color w:val="000000"/>
                <w:vertAlign w:val="subscript"/>
              </w:rPr>
              <w:t>x</w:t>
            </w:r>
            <w:r w:rsidRPr="001D5327">
              <w:rPr>
                <w:rFonts w:eastAsia="Calibri"/>
                <w:color w:val="000000"/>
              </w:rPr>
              <w:t>)</w:t>
            </w:r>
          </w:p>
        </w:tc>
        <w:tc>
          <w:tcPr>
            <w:tcW w:w="0" w:type="auto"/>
            <w:shd w:val="clear" w:color="auto" w:fill="FFFFFF"/>
            <w:tcMar>
              <w:top w:w="0" w:type="dxa"/>
              <w:left w:w="85" w:type="dxa"/>
              <w:bottom w:w="0" w:type="dxa"/>
              <w:right w:w="85" w:type="dxa"/>
            </w:tcMar>
          </w:tcPr>
          <w:p w14:paraId="3DF12FCF" w14:textId="77777777" w:rsidR="009327C0" w:rsidRPr="001D5327" w:rsidRDefault="009327C0" w:rsidP="00D11AC9">
            <w:pPr>
              <w:pStyle w:val="TableText"/>
              <w:spacing w:before="40" w:after="40"/>
              <w:jc w:val="right"/>
            </w:pPr>
            <w:r w:rsidRPr="001D5327">
              <w:rPr>
                <w:rFonts w:eastAsia="Calibri"/>
                <w:color w:val="000000"/>
              </w:rPr>
              <w:t>±5</w:t>
            </w:r>
          </w:p>
        </w:tc>
        <w:tc>
          <w:tcPr>
            <w:tcW w:w="0" w:type="auto"/>
            <w:shd w:val="clear" w:color="auto" w:fill="FFFFFF"/>
            <w:tcMar>
              <w:top w:w="0" w:type="dxa"/>
              <w:left w:w="85" w:type="dxa"/>
              <w:bottom w:w="0" w:type="dxa"/>
              <w:right w:w="85" w:type="dxa"/>
            </w:tcMar>
          </w:tcPr>
          <w:p w14:paraId="68C3DEA1" w14:textId="77777777" w:rsidR="009327C0" w:rsidRPr="001D5327" w:rsidRDefault="009327C0" w:rsidP="00D11AC9">
            <w:pPr>
              <w:pStyle w:val="TableText"/>
              <w:spacing w:before="40" w:after="40"/>
              <w:jc w:val="right"/>
            </w:pPr>
            <w:r w:rsidRPr="001D5327">
              <w:rPr>
                <w:rFonts w:eastAsia="Calibri"/>
                <w:color w:val="000000"/>
              </w:rPr>
              <w:t>±50</w:t>
            </w:r>
          </w:p>
        </w:tc>
      </w:tr>
      <w:tr w:rsidR="009327C0" w:rsidRPr="001D5327" w14:paraId="0DDB8F5E" w14:textId="77777777" w:rsidTr="00D11AC9">
        <w:tc>
          <w:tcPr>
            <w:tcW w:w="0" w:type="auto"/>
            <w:shd w:val="clear" w:color="auto" w:fill="FFFFFF"/>
            <w:tcMar>
              <w:top w:w="0" w:type="dxa"/>
              <w:left w:w="85" w:type="dxa"/>
              <w:bottom w:w="0" w:type="dxa"/>
              <w:right w:w="85" w:type="dxa"/>
            </w:tcMar>
          </w:tcPr>
          <w:p w14:paraId="7797D70A" w14:textId="77777777" w:rsidR="009327C0" w:rsidRPr="001D5327" w:rsidRDefault="009327C0" w:rsidP="00D11AC9">
            <w:pPr>
              <w:pStyle w:val="TableText"/>
              <w:spacing w:before="40" w:after="40"/>
            </w:pPr>
            <w:r w:rsidRPr="001D5327">
              <w:rPr>
                <w:rFonts w:eastAsia="Calibri"/>
                <w:color w:val="000000"/>
              </w:rPr>
              <w:t>Magnesium (SF</w:t>
            </w:r>
            <w:r w:rsidRPr="001D5327">
              <w:rPr>
                <w:rFonts w:eastAsia="Calibri"/>
                <w:color w:val="000000"/>
                <w:vertAlign w:val="subscript"/>
              </w:rPr>
              <w:t>6</w:t>
            </w:r>
            <w:r w:rsidRPr="001D5327">
              <w:rPr>
                <w:rFonts w:eastAsia="Calibri"/>
                <w:color w:val="000000"/>
              </w:rPr>
              <w:t>)</w:t>
            </w:r>
          </w:p>
        </w:tc>
        <w:tc>
          <w:tcPr>
            <w:tcW w:w="0" w:type="auto"/>
            <w:shd w:val="clear" w:color="auto" w:fill="FFFFFF"/>
            <w:tcMar>
              <w:top w:w="0" w:type="dxa"/>
              <w:left w:w="85" w:type="dxa"/>
              <w:bottom w:w="0" w:type="dxa"/>
              <w:right w:w="85" w:type="dxa"/>
            </w:tcMar>
          </w:tcPr>
          <w:p w14:paraId="1721A148" w14:textId="77777777" w:rsidR="009327C0" w:rsidRPr="001D5327" w:rsidRDefault="009327C0" w:rsidP="00D11AC9">
            <w:pPr>
              <w:pStyle w:val="TableText"/>
              <w:spacing w:before="40" w:after="40"/>
              <w:jc w:val="right"/>
            </w:pPr>
            <w:r w:rsidRPr="001D5327">
              <w:rPr>
                <w:rFonts w:eastAsia="Calibri"/>
                <w:color w:val="000000"/>
              </w:rPr>
              <w:t>±100</w:t>
            </w:r>
          </w:p>
        </w:tc>
        <w:tc>
          <w:tcPr>
            <w:tcW w:w="0" w:type="auto"/>
            <w:shd w:val="clear" w:color="auto" w:fill="FFFFFF"/>
            <w:tcMar>
              <w:top w:w="0" w:type="dxa"/>
              <w:left w:w="85" w:type="dxa"/>
              <w:bottom w:w="0" w:type="dxa"/>
              <w:right w:w="85" w:type="dxa"/>
            </w:tcMar>
          </w:tcPr>
          <w:p w14:paraId="00350A5F" w14:textId="77777777" w:rsidR="009327C0" w:rsidRPr="001D5327" w:rsidRDefault="009327C0" w:rsidP="00D11AC9">
            <w:pPr>
              <w:pStyle w:val="TableText"/>
              <w:spacing w:before="40" w:after="40"/>
              <w:jc w:val="right"/>
            </w:pPr>
            <w:r w:rsidRPr="001D5327">
              <w:rPr>
                <w:rFonts w:eastAsia="Calibri"/>
                <w:color w:val="000000"/>
              </w:rPr>
              <w:t>±30</w:t>
            </w:r>
          </w:p>
        </w:tc>
      </w:tr>
      <w:tr w:rsidR="009327C0" w:rsidRPr="001D5327" w14:paraId="6FB45FD5" w14:textId="77777777" w:rsidTr="00D11AC9">
        <w:tc>
          <w:tcPr>
            <w:tcW w:w="0" w:type="auto"/>
            <w:shd w:val="clear" w:color="auto" w:fill="FFFFFF"/>
            <w:tcMar>
              <w:top w:w="0" w:type="dxa"/>
              <w:left w:w="85" w:type="dxa"/>
              <w:bottom w:w="0" w:type="dxa"/>
              <w:right w:w="85" w:type="dxa"/>
            </w:tcMar>
          </w:tcPr>
          <w:p w14:paraId="3B17CD1C" w14:textId="77777777" w:rsidR="009327C0" w:rsidRPr="001D5327" w:rsidRDefault="009327C0" w:rsidP="00D11AC9">
            <w:pPr>
              <w:pStyle w:val="TableText"/>
              <w:spacing w:before="40" w:after="40"/>
            </w:pPr>
            <w:r w:rsidRPr="001D5327">
              <w:rPr>
                <w:rFonts w:eastAsia="Calibri"/>
                <w:color w:val="000000"/>
              </w:rPr>
              <w:t>Lead (CO</w:t>
            </w:r>
            <w:r w:rsidRPr="001D5327">
              <w:rPr>
                <w:rFonts w:eastAsia="Calibri"/>
                <w:color w:val="000000"/>
                <w:vertAlign w:val="subscript"/>
              </w:rPr>
              <w:t>2</w:t>
            </w:r>
            <w:r w:rsidRPr="001D5327">
              <w:rPr>
                <w:rFonts w:eastAsia="Calibri"/>
                <w:color w:val="000000"/>
              </w:rPr>
              <w:t>)</w:t>
            </w:r>
          </w:p>
        </w:tc>
        <w:tc>
          <w:tcPr>
            <w:tcW w:w="0" w:type="auto"/>
            <w:shd w:val="clear" w:color="auto" w:fill="FFFFFF"/>
            <w:tcMar>
              <w:top w:w="0" w:type="dxa"/>
              <w:left w:w="85" w:type="dxa"/>
              <w:bottom w:w="0" w:type="dxa"/>
              <w:right w:w="85" w:type="dxa"/>
            </w:tcMar>
          </w:tcPr>
          <w:p w14:paraId="1B2489B7" w14:textId="77777777" w:rsidR="009327C0" w:rsidRPr="001D5327" w:rsidRDefault="009327C0" w:rsidP="00D11AC9">
            <w:pPr>
              <w:pStyle w:val="TableText"/>
              <w:spacing w:before="40" w:after="40"/>
              <w:jc w:val="right"/>
            </w:pPr>
            <w:r w:rsidRPr="001D5327">
              <w:rPr>
                <w:rFonts w:eastAsia="Calibri"/>
                <w:color w:val="000000"/>
              </w:rPr>
              <w:t>±50</w:t>
            </w:r>
          </w:p>
        </w:tc>
        <w:tc>
          <w:tcPr>
            <w:tcW w:w="0" w:type="auto"/>
            <w:shd w:val="clear" w:color="auto" w:fill="FFFFFF"/>
            <w:tcMar>
              <w:top w:w="0" w:type="dxa"/>
              <w:left w:w="85" w:type="dxa"/>
              <w:bottom w:w="0" w:type="dxa"/>
              <w:right w:w="85" w:type="dxa"/>
            </w:tcMar>
          </w:tcPr>
          <w:p w14:paraId="63C3F5AA" w14:textId="77777777" w:rsidR="009327C0" w:rsidRPr="001D5327" w:rsidRDefault="009327C0" w:rsidP="00D11AC9">
            <w:pPr>
              <w:pStyle w:val="TableText"/>
              <w:spacing w:before="40" w:after="40"/>
              <w:jc w:val="right"/>
            </w:pPr>
            <w:r w:rsidRPr="001D5327">
              <w:rPr>
                <w:rFonts w:eastAsia="Calibri"/>
                <w:color w:val="000000"/>
              </w:rPr>
              <w:t>±50</w:t>
            </w:r>
          </w:p>
        </w:tc>
      </w:tr>
    </w:tbl>
    <w:p w14:paraId="75CD6FDA" w14:textId="77777777" w:rsidR="009327C0" w:rsidRPr="001D5327" w:rsidRDefault="009327C0" w:rsidP="009327C0">
      <w:pPr>
        <w:pStyle w:val="Heading4"/>
        <w:spacing w:before="320"/>
      </w:pPr>
      <w:bookmarkStart w:id="487" w:name="time-series-consistency-2"/>
      <w:bookmarkEnd w:id="485"/>
      <w:r w:rsidRPr="001D5327">
        <w:t>Time-series consistency</w:t>
      </w:r>
    </w:p>
    <w:p w14:paraId="6548F99A" w14:textId="77777777" w:rsidR="009327C0" w:rsidRPr="001D5327" w:rsidRDefault="009327C0" w:rsidP="009327C0">
      <w:pPr>
        <w:pStyle w:val="BodyText"/>
      </w:pPr>
      <w:r w:rsidRPr="001D5327">
        <w:t>The implied emission factors for PFC emissions from aluminium production fluctuated over the time series between 1990 and 1998. The introduction of monitoring at the aluminium smelter in 1993 contributed to process and management improvements that reduced the frequency and duration of anode effects. This improvement process continued until about 1998. Since that time, emissions have been lower and relatively stable, due to the much better control of anode effects (see table 4.4.3).</w:t>
      </w:r>
    </w:p>
    <w:p w14:paraId="3B9C6914" w14:textId="77777777" w:rsidR="009327C0" w:rsidRPr="001D5327" w:rsidRDefault="009327C0" w:rsidP="009327C0">
      <w:pPr>
        <w:pStyle w:val="Table"/>
      </w:pPr>
      <w:bookmarkStart w:id="488" w:name="_Toc194241688"/>
      <w:r w:rsidRPr="001D5327">
        <w:t xml:space="preserve">Table 4.4.3 </w:t>
      </w:r>
      <w:r w:rsidRPr="001D5327">
        <w:tab/>
        <w:t>Explanation of variations in New Zealand’s aluminium emissions</w:t>
      </w:r>
      <w:bookmarkEnd w:id="488"/>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976"/>
        <w:gridCol w:w="5518"/>
      </w:tblGrid>
      <w:tr w:rsidR="009327C0" w:rsidRPr="001D5327" w14:paraId="1A1D82A3" w14:textId="77777777" w:rsidTr="00D11AC9">
        <w:trPr>
          <w:tblHeader/>
        </w:trPr>
        <w:tc>
          <w:tcPr>
            <w:tcW w:w="1752" w:type="pct"/>
            <w:shd w:val="clear" w:color="auto" w:fill="1B556B"/>
            <w:tcMar>
              <w:top w:w="0" w:type="dxa"/>
              <w:left w:w="85" w:type="dxa"/>
              <w:bottom w:w="0" w:type="dxa"/>
              <w:right w:w="85" w:type="dxa"/>
            </w:tcMar>
          </w:tcPr>
          <w:p w14:paraId="7A77FFD3" w14:textId="77777777" w:rsidR="009327C0" w:rsidRPr="001D5327" w:rsidRDefault="009327C0" w:rsidP="00D11AC9">
            <w:pPr>
              <w:pStyle w:val="TableTextBold"/>
              <w:spacing w:before="40" w:after="40"/>
              <w:rPr>
                <w:noProof w:val="0"/>
                <w:color w:val="FFFFFF" w:themeColor="background1"/>
              </w:rPr>
            </w:pPr>
            <w:r w:rsidRPr="001D5327">
              <w:rPr>
                <w:rFonts w:eastAsia="Calibri"/>
                <w:noProof w:val="0"/>
                <w:color w:val="FFFFFF" w:themeColor="background1"/>
              </w:rPr>
              <w:t>Variation in emissions</w:t>
            </w:r>
          </w:p>
        </w:tc>
        <w:tc>
          <w:tcPr>
            <w:tcW w:w="3248" w:type="pct"/>
            <w:shd w:val="clear" w:color="auto" w:fill="1B556B"/>
            <w:tcMar>
              <w:top w:w="0" w:type="dxa"/>
              <w:left w:w="85" w:type="dxa"/>
              <w:bottom w:w="0" w:type="dxa"/>
              <w:right w:w="85" w:type="dxa"/>
            </w:tcMar>
          </w:tcPr>
          <w:p w14:paraId="689E4081" w14:textId="77777777" w:rsidR="009327C0" w:rsidRPr="001D5327" w:rsidRDefault="009327C0" w:rsidP="00D11AC9">
            <w:pPr>
              <w:pStyle w:val="TableTextBold"/>
              <w:spacing w:before="40" w:after="40"/>
              <w:rPr>
                <w:noProof w:val="0"/>
                <w:color w:val="FFFFFF" w:themeColor="background1"/>
              </w:rPr>
            </w:pPr>
            <w:r w:rsidRPr="001D5327">
              <w:rPr>
                <w:rFonts w:eastAsia="Calibri"/>
                <w:noProof w:val="0"/>
                <w:color w:val="FFFFFF" w:themeColor="background1"/>
              </w:rPr>
              <w:t>Reason for variation</w:t>
            </w:r>
          </w:p>
        </w:tc>
      </w:tr>
      <w:tr w:rsidR="009327C0" w:rsidRPr="001D5327" w14:paraId="72E45B20" w14:textId="77777777" w:rsidTr="00D11AC9">
        <w:tc>
          <w:tcPr>
            <w:tcW w:w="1752" w:type="pct"/>
            <w:shd w:val="clear" w:color="auto" w:fill="FFFFFF"/>
            <w:tcMar>
              <w:top w:w="0" w:type="dxa"/>
              <w:left w:w="85" w:type="dxa"/>
              <w:bottom w:w="0" w:type="dxa"/>
              <w:right w:w="85" w:type="dxa"/>
            </w:tcMar>
          </w:tcPr>
          <w:p w14:paraId="79295EA9" w14:textId="77777777" w:rsidR="009327C0" w:rsidRPr="001D5327" w:rsidRDefault="009327C0" w:rsidP="00D11AC9">
            <w:pPr>
              <w:pStyle w:val="TableText"/>
              <w:spacing w:before="40" w:after="40"/>
            </w:pPr>
            <w:r w:rsidRPr="001D5327">
              <w:rPr>
                <w:rFonts w:eastAsia="Calibri"/>
                <w:color w:val="000000"/>
              </w:rPr>
              <w:t>Increase in CO</w:t>
            </w:r>
            <w:r w:rsidRPr="001D5327">
              <w:rPr>
                <w:rFonts w:eastAsia="Calibri"/>
                <w:color w:val="000000"/>
                <w:vertAlign w:val="subscript"/>
              </w:rPr>
              <w:t>2</w:t>
            </w:r>
            <w:r w:rsidRPr="001D5327">
              <w:rPr>
                <w:rFonts w:eastAsia="Calibri"/>
                <w:color w:val="000000"/>
              </w:rPr>
              <w:t xml:space="preserve"> and PFC emissions in 1996</w:t>
            </w:r>
          </w:p>
        </w:tc>
        <w:tc>
          <w:tcPr>
            <w:tcW w:w="3248" w:type="pct"/>
            <w:shd w:val="clear" w:color="auto" w:fill="FFFFFF"/>
            <w:tcMar>
              <w:top w:w="0" w:type="dxa"/>
              <w:left w:w="85" w:type="dxa"/>
              <w:bottom w:w="0" w:type="dxa"/>
              <w:right w:w="85" w:type="dxa"/>
            </w:tcMar>
          </w:tcPr>
          <w:p w14:paraId="4321631E" w14:textId="77777777" w:rsidR="009327C0" w:rsidRPr="001D5327" w:rsidRDefault="009327C0" w:rsidP="00D11AC9">
            <w:pPr>
              <w:pStyle w:val="TableText"/>
              <w:spacing w:before="40" w:after="40"/>
            </w:pPr>
            <w:r w:rsidRPr="001D5327">
              <w:rPr>
                <w:rFonts w:eastAsia="Calibri"/>
                <w:color w:val="000000"/>
              </w:rPr>
              <w:t>Commissioning of Line 4 cells</w:t>
            </w:r>
          </w:p>
        </w:tc>
      </w:tr>
      <w:tr w:rsidR="009327C0" w:rsidRPr="001D5327" w14:paraId="7D0AD0DA" w14:textId="77777777" w:rsidTr="00D11AC9">
        <w:tc>
          <w:tcPr>
            <w:tcW w:w="1752" w:type="pct"/>
            <w:shd w:val="clear" w:color="auto" w:fill="FFFFFF"/>
            <w:tcMar>
              <w:top w:w="0" w:type="dxa"/>
              <w:left w:w="85" w:type="dxa"/>
              <w:bottom w:w="0" w:type="dxa"/>
              <w:right w:w="85" w:type="dxa"/>
            </w:tcMar>
          </w:tcPr>
          <w:p w14:paraId="3D88C3AD" w14:textId="77777777" w:rsidR="009327C0" w:rsidRPr="001D5327" w:rsidRDefault="009327C0" w:rsidP="00D11AC9">
            <w:pPr>
              <w:pStyle w:val="TableText"/>
              <w:spacing w:before="40" w:after="40"/>
            </w:pPr>
            <w:r w:rsidRPr="001D5327">
              <w:rPr>
                <w:rFonts w:eastAsia="Calibri"/>
                <w:color w:val="000000"/>
              </w:rPr>
              <w:t>Decrease in CO</w:t>
            </w:r>
            <w:r w:rsidRPr="001D5327">
              <w:rPr>
                <w:rFonts w:eastAsia="Calibri"/>
                <w:color w:val="000000"/>
                <w:vertAlign w:val="subscript"/>
              </w:rPr>
              <w:t>2</w:t>
            </w:r>
            <w:r w:rsidRPr="001D5327">
              <w:rPr>
                <w:rFonts w:eastAsia="Calibri"/>
                <w:color w:val="000000"/>
              </w:rPr>
              <w:t xml:space="preserve"> emissions in 1995</w:t>
            </w:r>
          </w:p>
        </w:tc>
        <w:tc>
          <w:tcPr>
            <w:tcW w:w="3248" w:type="pct"/>
            <w:shd w:val="clear" w:color="auto" w:fill="FFFFFF"/>
            <w:tcMar>
              <w:top w:w="0" w:type="dxa"/>
              <w:left w:w="85" w:type="dxa"/>
              <w:bottom w:w="0" w:type="dxa"/>
              <w:right w:w="85" w:type="dxa"/>
            </w:tcMar>
          </w:tcPr>
          <w:p w14:paraId="42C790CD" w14:textId="77777777" w:rsidR="009327C0" w:rsidRPr="001D5327" w:rsidRDefault="009327C0" w:rsidP="00D11AC9">
            <w:pPr>
              <w:pStyle w:val="TableText"/>
              <w:spacing w:before="40" w:after="40"/>
            </w:pPr>
            <w:r w:rsidRPr="001D5327">
              <w:rPr>
                <w:rFonts w:eastAsia="Calibri"/>
                <w:color w:val="000000"/>
              </w:rPr>
              <w:t>Good anode performance, compared with 1994 and 1996</w:t>
            </w:r>
          </w:p>
        </w:tc>
      </w:tr>
      <w:tr w:rsidR="009327C0" w:rsidRPr="001D5327" w14:paraId="0FB007CB" w14:textId="77777777" w:rsidTr="00D11AC9">
        <w:tc>
          <w:tcPr>
            <w:tcW w:w="1752" w:type="pct"/>
            <w:shd w:val="clear" w:color="auto" w:fill="FFFFFF"/>
            <w:tcMar>
              <w:top w:w="0" w:type="dxa"/>
              <w:left w:w="85" w:type="dxa"/>
              <w:bottom w:w="0" w:type="dxa"/>
              <w:right w:w="85" w:type="dxa"/>
            </w:tcMar>
          </w:tcPr>
          <w:p w14:paraId="22FB26DF" w14:textId="77777777" w:rsidR="009327C0" w:rsidRPr="001D5327" w:rsidRDefault="009327C0" w:rsidP="00D11AC9">
            <w:pPr>
              <w:pStyle w:val="TableText"/>
              <w:spacing w:before="40" w:after="40"/>
            </w:pPr>
            <w:r w:rsidRPr="001D5327">
              <w:rPr>
                <w:rFonts w:eastAsia="Calibri"/>
                <w:color w:val="000000"/>
              </w:rPr>
              <w:t>Decrease in CO</w:t>
            </w:r>
            <w:r w:rsidRPr="001D5327">
              <w:rPr>
                <w:rFonts w:eastAsia="Calibri"/>
                <w:color w:val="000000"/>
                <w:vertAlign w:val="subscript"/>
              </w:rPr>
              <w:t>2</w:t>
            </w:r>
            <w:r w:rsidRPr="001D5327">
              <w:rPr>
                <w:rFonts w:eastAsia="Calibri"/>
                <w:color w:val="000000"/>
              </w:rPr>
              <w:t xml:space="preserve"> emissions in 1998</w:t>
            </w:r>
          </w:p>
        </w:tc>
        <w:tc>
          <w:tcPr>
            <w:tcW w:w="3248" w:type="pct"/>
            <w:shd w:val="clear" w:color="auto" w:fill="FFFFFF"/>
            <w:tcMar>
              <w:top w:w="0" w:type="dxa"/>
              <w:left w:w="85" w:type="dxa"/>
              <w:bottom w:w="0" w:type="dxa"/>
              <w:right w:w="85" w:type="dxa"/>
            </w:tcMar>
          </w:tcPr>
          <w:p w14:paraId="180EED3D" w14:textId="77777777" w:rsidR="009327C0" w:rsidRPr="001D5327" w:rsidRDefault="009327C0" w:rsidP="00D11AC9">
            <w:pPr>
              <w:pStyle w:val="TableText"/>
              <w:spacing w:before="40" w:after="40"/>
            </w:pPr>
            <w:r w:rsidRPr="001D5327">
              <w:rPr>
                <w:rFonts w:eastAsia="Calibri"/>
                <w:color w:val="000000"/>
              </w:rPr>
              <w:t>Good anode performance</w:t>
            </w:r>
          </w:p>
        </w:tc>
      </w:tr>
      <w:tr w:rsidR="009327C0" w:rsidRPr="001D5327" w14:paraId="0E121597" w14:textId="77777777" w:rsidTr="00D11AC9">
        <w:tc>
          <w:tcPr>
            <w:tcW w:w="1752" w:type="pct"/>
            <w:shd w:val="clear" w:color="auto" w:fill="FFFFFF"/>
            <w:tcMar>
              <w:top w:w="0" w:type="dxa"/>
              <w:left w:w="85" w:type="dxa"/>
              <w:bottom w:w="0" w:type="dxa"/>
              <w:right w:w="85" w:type="dxa"/>
            </w:tcMar>
          </w:tcPr>
          <w:p w14:paraId="6F27A6EC" w14:textId="77777777" w:rsidR="009327C0" w:rsidRPr="001D5327" w:rsidRDefault="009327C0" w:rsidP="00D11AC9">
            <w:pPr>
              <w:pStyle w:val="TableText"/>
              <w:spacing w:before="40" w:after="40"/>
            </w:pPr>
            <w:r w:rsidRPr="001D5327">
              <w:rPr>
                <w:rFonts w:eastAsia="Calibri"/>
                <w:color w:val="000000"/>
              </w:rPr>
              <w:t>Decrease in CO</w:t>
            </w:r>
            <w:r w:rsidRPr="001D5327">
              <w:rPr>
                <w:rFonts w:eastAsia="Calibri"/>
                <w:color w:val="000000"/>
                <w:vertAlign w:val="subscript"/>
              </w:rPr>
              <w:t>2</w:t>
            </w:r>
            <w:r w:rsidRPr="001D5327">
              <w:rPr>
                <w:rFonts w:eastAsia="Calibri"/>
                <w:color w:val="000000"/>
              </w:rPr>
              <w:t xml:space="preserve"> emissions in 2001, 2003 and 2006</w:t>
            </w:r>
          </w:p>
        </w:tc>
        <w:tc>
          <w:tcPr>
            <w:tcW w:w="3248" w:type="pct"/>
            <w:shd w:val="clear" w:color="auto" w:fill="FFFFFF"/>
            <w:tcMar>
              <w:top w:w="0" w:type="dxa"/>
              <w:left w:w="85" w:type="dxa"/>
              <w:bottom w:w="0" w:type="dxa"/>
              <w:right w:w="85" w:type="dxa"/>
            </w:tcMar>
          </w:tcPr>
          <w:p w14:paraId="5F3BA411" w14:textId="77777777" w:rsidR="009327C0" w:rsidRPr="001D5327" w:rsidRDefault="009327C0" w:rsidP="00D11AC9">
            <w:pPr>
              <w:pStyle w:val="TableText"/>
              <w:spacing w:before="40" w:after="40"/>
            </w:pPr>
            <w:r w:rsidRPr="001D5327">
              <w:rPr>
                <w:rFonts w:eastAsia="Calibri"/>
                <w:color w:val="000000"/>
              </w:rPr>
              <w:t>Fewer cells operating from reduced aluminium production due to reduced electricity supply</w:t>
            </w:r>
          </w:p>
        </w:tc>
      </w:tr>
      <w:tr w:rsidR="009327C0" w:rsidRPr="001D5327" w14:paraId="26D9884C" w14:textId="77777777" w:rsidTr="00D11AC9">
        <w:tc>
          <w:tcPr>
            <w:tcW w:w="1752" w:type="pct"/>
            <w:shd w:val="clear" w:color="auto" w:fill="FFFFFF"/>
            <w:tcMar>
              <w:top w:w="0" w:type="dxa"/>
              <w:left w:w="85" w:type="dxa"/>
              <w:bottom w:w="0" w:type="dxa"/>
              <w:right w:w="85" w:type="dxa"/>
            </w:tcMar>
          </w:tcPr>
          <w:p w14:paraId="66D30D88" w14:textId="77777777" w:rsidR="009327C0" w:rsidRPr="001D5327" w:rsidRDefault="009327C0" w:rsidP="00D11AC9">
            <w:pPr>
              <w:pStyle w:val="TableText"/>
              <w:spacing w:before="40" w:after="40"/>
            </w:pPr>
          </w:p>
        </w:tc>
        <w:tc>
          <w:tcPr>
            <w:tcW w:w="3248" w:type="pct"/>
            <w:shd w:val="clear" w:color="auto" w:fill="FFFFFF"/>
            <w:tcMar>
              <w:top w:w="0" w:type="dxa"/>
              <w:left w:w="85" w:type="dxa"/>
              <w:bottom w:w="0" w:type="dxa"/>
              <w:right w:w="85" w:type="dxa"/>
            </w:tcMar>
          </w:tcPr>
          <w:p w14:paraId="49BB05C7" w14:textId="77777777" w:rsidR="009327C0" w:rsidRPr="001D5327" w:rsidRDefault="009327C0" w:rsidP="00D11AC9">
            <w:pPr>
              <w:pStyle w:val="TableText"/>
              <w:spacing w:before="40" w:after="40"/>
            </w:pPr>
            <w:r w:rsidRPr="001D5327">
              <w:rPr>
                <w:rFonts w:eastAsia="Calibri"/>
                <w:color w:val="000000"/>
              </w:rPr>
              <w:t>Good anode performance contributed in 2001</w:t>
            </w:r>
          </w:p>
        </w:tc>
      </w:tr>
      <w:tr w:rsidR="009327C0" w:rsidRPr="001D5327" w14:paraId="289FEB7B" w14:textId="77777777" w:rsidTr="00D11AC9">
        <w:tc>
          <w:tcPr>
            <w:tcW w:w="1752" w:type="pct"/>
            <w:shd w:val="clear" w:color="auto" w:fill="FFFFFF"/>
            <w:tcMar>
              <w:top w:w="0" w:type="dxa"/>
              <w:left w:w="85" w:type="dxa"/>
              <w:bottom w:w="0" w:type="dxa"/>
              <w:right w:w="85" w:type="dxa"/>
            </w:tcMar>
          </w:tcPr>
          <w:p w14:paraId="024E9FC2" w14:textId="77777777" w:rsidR="009327C0" w:rsidRPr="001D5327" w:rsidRDefault="009327C0" w:rsidP="00D11AC9">
            <w:pPr>
              <w:pStyle w:val="TableText"/>
              <w:spacing w:before="40" w:after="40"/>
            </w:pPr>
            <w:r w:rsidRPr="001D5327">
              <w:rPr>
                <w:rFonts w:eastAsia="Calibri"/>
                <w:color w:val="000000"/>
              </w:rPr>
              <w:t>Decrease in CO</w:t>
            </w:r>
            <w:r w:rsidRPr="001D5327">
              <w:rPr>
                <w:rFonts w:eastAsia="Calibri"/>
                <w:color w:val="000000"/>
                <w:vertAlign w:val="subscript"/>
              </w:rPr>
              <w:t>2</w:t>
            </w:r>
            <w:r w:rsidRPr="001D5327">
              <w:rPr>
                <w:rFonts w:eastAsia="Calibri"/>
                <w:color w:val="000000"/>
              </w:rPr>
              <w:t xml:space="preserve"> emissions in 1996</w:t>
            </w:r>
          </w:p>
        </w:tc>
        <w:tc>
          <w:tcPr>
            <w:tcW w:w="3248" w:type="pct"/>
            <w:shd w:val="clear" w:color="auto" w:fill="FFFFFF"/>
            <w:tcMar>
              <w:top w:w="0" w:type="dxa"/>
              <w:left w:w="85" w:type="dxa"/>
              <w:bottom w:w="0" w:type="dxa"/>
              <w:right w:w="85" w:type="dxa"/>
            </w:tcMar>
          </w:tcPr>
          <w:p w14:paraId="1D538848" w14:textId="77777777" w:rsidR="009327C0" w:rsidRPr="001D5327" w:rsidRDefault="009327C0" w:rsidP="00D11AC9">
            <w:pPr>
              <w:pStyle w:val="TableText"/>
              <w:spacing w:before="40" w:after="40"/>
            </w:pPr>
            <w:r w:rsidRPr="001D5327">
              <w:rPr>
                <w:rFonts w:eastAsia="Calibri"/>
                <w:color w:val="000000"/>
              </w:rPr>
              <w:t>All cells operating, including introduction of additional cells</w:t>
            </w:r>
          </w:p>
        </w:tc>
      </w:tr>
      <w:tr w:rsidR="009327C0" w:rsidRPr="001D5327" w14:paraId="28EAB404" w14:textId="77777777" w:rsidTr="00D11AC9">
        <w:tc>
          <w:tcPr>
            <w:tcW w:w="1752" w:type="pct"/>
            <w:shd w:val="clear" w:color="auto" w:fill="FFFFFF"/>
            <w:tcMar>
              <w:top w:w="0" w:type="dxa"/>
              <w:left w:w="85" w:type="dxa"/>
              <w:bottom w:w="0" w:type="dxa"/>
              <w:right w:w="85" w:type="dxa"/>
            </w:tcMar>
          </w:tcPr>
          <w:p w14:paraId="1A199671" w14:textId="77777777" w:rsidR="009327C0" w:rsidRPr="001D5327" w:rsidRDefault="009327C0" w:rsidP="00D11AC9">
            <w:pPr>
              <w:pStyle w:val="TableText"/>
              <w:spacing w:before="40" w:after="40"/>
            </w:pPr>
          </w:p>
        </w:tc>
        <w:tc>
          <w:tcPr>
            <w:tcW w:w="3248" w:type="pct"/>
            <w:shd w:val="clear" w:color="auto" w:fill="FFFFFF"/>
            <w:tcMar>
              <w:top w:w="0" w:type="dxa"/>
              <w:left w:w="85" w:type="dxa"/>
              <w:bottom w:w="0" w:type="dxa"/>
              <w:right w:w="85" w:type="dxa"/>
            </w:tcMar>
          </w:tcPr>
          <w:p w14:paraId="62AD2ED6" w14:textId="77777777" w:rsidR="009327C0" w:rsidRPr="001D5327" w:rsidRDefault="009327C0" w:rsidP="00D11AC9">
            <w:pPr>
              <w:pStyle w:val="TableText"/>
              <w:spacing w:before="40" w:after="40"/>
            </w:pPr>
            <w:r w:rsidRPr="001D5327">
              <w:rPr>
                <w:rFonts w:eastAsia="Calibri"/>
                <w:color w:val="000000"/>
              </w:rPr>
              <w:t>Increasing aluminium production rate from the cells</w:t>
            </w:r>
          </w:p>
        </w:tc>
      </w:tr>
      <w:tr w:rsidR="009327C0" w:rsidRPr="001D5327" w14:paraId="4622DD64" w14:textId="77777777" w:rsidTr="00D11AC9">
        <w:tc>
          <w:tcPr>
            <w:tcW w:w="1752" w:type="pct"/>
            <w:shd w:val="clear" w:color="auto" w:fill="FFFFFF"/>
            <w:tcMar>
              <w:top w:w="0" w:type="dxa"/>
              <w:left w:w="85" w:type="dxa"/>
              <w:bottom w:w="0" w:type="dxa"/>
              <w:right w:w="85" w:type="dxa"/>
            </w:tcMar>
          </w:tcPr>
          <w:p w14:paraId="4F08C2FC" w14:textId="77777777" w:rsidR="009327C0" w:rsidRPr="001D5327" w:rsidRDefault="009327C0" w:rsidP="00D11AC9">
            <w:pPr>
              <w:pStyle w:val="TableText"/>
              <w:spacing w:before="40" w:after="40"/>
            </w:pPr>
            <w:r w:rsidRPr="001D5327">
              <w:rPr>
                <w:rFonts w:eastAsia="Calibri"/>
                <w:color w:val="000000"/>
              </w:rPr>
              <w:t>Decrease in PFC emissions in 1995</w:t>
            </w:r>
          </w:p>
        </w:tc>
        <w:tc>
          <w:tcPr>
            <w:tcW w:w="3248" w:type="pct"/>
            <w:shd w:val="clear" w:color="auto" w:fill="FFFFFF"/>
            <w:tcMar>
              <w:top w:w="0" w:type="dxa"/>
              <w:left w:w="85" w:type="dxa"/>
              <w:bottom w:w="0" w:type="dxa"/>
              <w:right w:w="85" w:type="dxa"/>
            </w:tcMar>
          </w:tcPr>
          <w:p w14:paraId="1E2D2CF8" w14:textId="77777777" w:rsidR="009327C0" w:rsidRPr="001D5327" w:rsidRDefault="009327C0" w:rsidP="00D11AC9">
            <w:pPr>
              <w:pStyle w:val="TableText"/>
              <w:spacing w:before="40" w:after="40"/>
            </w:pPr>
            <w:r w:rsidRPr="001D5327">
              <w:rPr>
                <w:rFonts w:eastAsia="Calibri"/>
                <w:color w:val="000000"/>
              </w:rPr>
              <w:t>Reduced anode frequencies</w:t>
            </w:r>
          </w:p>
        </w:tc>
      </w:tr>
      <w:tr w:rsidR="009327C0" w:rsidRPr="001D5327" w14:paraId="425F85CB" w14:textId="77777777" w:rsidTr="00D11AC9">
        <w:tc>
          <w:tcPr>
            <w:tcW w:w="1752" w:type="pct"/>
            <w:shd w:val="clear" w:color="auto" w:fill="FFFFFF"/>
            <w:tcMar>
              <w:top w:w="0" w:type="dxa"/>
              <w:left w:w="85" w:type="dxa"/>
              <w:bottom w:w="0" w:type="dxa"/>
              <w:right w:w="85" w:type="dxa"/>
            </w:tcMar>
          </w:tcPr>
          <w:p w14:paraId="4294211E" w14:textId="77777777" w:rsidR="009327C0" w:rsidRPr="001D5327" w:rsidRDefault="009327C0" w:rsidP="00D11AC9">
            <w:pPr>
              <w:pStyle w:val="TableText"/>
              <w:spacing w:before="40" w:after="40"/>
            </w:pPr>
          </w:p>
        </w:tc>
        <w:tc>
          <w:tcPr>
            <w:tcW w:w="3248" w:type="pct"/>
            <w:shd w:val="clear" w:color="auto" w:fill="FFFFFF"/>
            <w:tcMar>
              <w:top w:w="0" w:type="dxa"/>
              <w:left w:w="85" w:type="dxa"/>
              <w:bottom w:w="0" w:type="dxa"/>
              <w:right w:w="85" w:type="dxa"/>
            </w:tcMar>
          </w:tcPr>
          <w:p w14:paraId="47C742EE" w14:textId="77777777" w:rsidR="009327C0" w:rsidRPr="001D5327" w:rsidRDefault="009327C0" w:rsidP="00D11AC9">
            <w:pPr>
              <w:pStyle w:val="TableText"/>
              <w:spacing w:before="40" w:after="40"/>
            </w:pPr>
            <w:r w:rsidRPr="001D5327">
              <w:rPr>
                <w:rFonts w:eastAsia="Calibri"/>
                <w:color w:val="000000"/>
              </w:rPr>
              <w:t>The implementation of the change control strategy to all reduction cells</w:t>
            </w:r>
          </w:p>
        </w:tc>
      </w:tr>
      <w:tr w:rsidR="009327C0" w:rsidRPr="001D5327" w14:paraId="3BFD2F62" w14:textId="77777777" w:rsidTr="00D11AC9">
        <w:tc>
          <w:tcPr>
            <w:tcW w:w="1752" w:type="pct"/>
            <w:shd w:val="clear" w:color="auto" w:fill="FFFFFF"/>
            <w:tcMar>
              <w:top w:w="0" w:type="dxa"/>
              <w:left w:w="85" w:type="dxa"/>
              <w:bottom w:w="0" w:type="dxa"/>
              <w:right w:w="85" w:type="dxa"/>
            </w:tcMar>
          </w:tcPr>
          <w:p w14:paraId="659C94B6" w14:textId="77777777" w:rsidR="009327C0" w:rsidRPr="001D5327" w:rsidRDefault="009327C0" w:rsidP="00D11AC9">
            <w:pPr>
              <w:pStyle w:val="TableText"/>
              <w:spacing w:before="40" w:after="40"/>
            </w:pPr>
          </w:p>
        </w:tc>
        <w:tc>
          <w:tcPr>
            <w:tcW w:w="3248" w:type="pct"/>
            <w:shd w:val="clear" w:color="auto" w:fill="FFFFFF"/>
            <w:tcMar>
              <w:top w:w="0" w:type="dxa"/>
              <w:left w:w="85" w:type="dxa"/>
              <w:bottom w:w="0" w:type="dxa"/>
              <w:right w:w="85" w:type="dxa"/>
            </w:tcMar>
          </w:tcPr>
          <w:p w14:paraId="4301ED66" w14:textId="77777777" w:rsidR="009327C0" w:rsidRPr="001D5327" w:rsidRDefault="009327C0" w:rsidP="00D11AC9">
            <w:pPr>
              <w:pStyle w:val="TableText"/>
              <w:spacing w:before="40" w:after="40"/>
            </w:pPr>
            <w:r w:rsidRPr="001D5327">
              <w:rPr>
                <w:rFonts w:eastAsia="Calibri"/>
                <w:color w:val="000000"/>
              </w:rPr>
              <w:t>Repairs made to cells exerting higher frequencies</w:t>
            </w:r>
          </w:p>
        </w:tc>
      </w:tr>
      <w:tr w:rsidR="009327C0" w:rsidRPr="001D5327" w14:paraId="4BE0FD5C" w14:textId="77777777" w:rsidTr="00D11AC9">
        <w:tc>
          <w:tcPr>
            <w:tcW w:w="1752" w:type="pct"/>
            <w:shd w:val="clear" w:color="auto" w:fill="FFFFFF"/>
            <w:tcMar>
              <w:top w:w="0" w:type="dxa"/>
              <w:left w:w="85" w:type="dxa"/>
              <w:bottom w:w="0" w:type="dxa"/>
              <w:right w:w="85" w:type="dxa"/>
            </w:tcMar>
          </w:tcPr>
          <w:p w14:paraId="7B0F8775" w14:textId="77777777" w:rsidR="009327C0" w:rsidRPr="001D5327" w:rsidRDefault="009327C0" w:rsidP="00D11AC9">
            <w:pPr>
              <w:pStyle w:val="TableText"/>
              <w:spacing w:before="40" w:after="40"/>
            </w:pPr>
            <w:r w:rsidRPr="001D5327">
              <w:rPr>
                <w:rFonts w:eastAsia="Calibri"/>
                <w:color w:val="000000"/>
              </w:rPr>
              <w:t>Perfluorocarbon emissions remained high in 1997</w:t>
            </w:r>
          </w:p>
        </w:tc>
        <w:tc>
          <w:tcPr>
            <w:tcW w:w="3248" w:type="pct"/>
            <w:shd w:val="clear" w:color="auto" w:fill="FFFFFF"/>
            <w:tcMar>
              <w:top w:w="0" w:type="dxa"/>
              <w:left w:w="85" w:type="dxa"/>
              <w:bottom w:w="0" w:type="dxa"/>
              <w:right w:w="85" w:type="dxa"/>
            </w:tcMar>
          </w:tcPr>
          <w:p w14:paraId="1DCC90F0" w14:textId="77777777" w:rsidR="009327C0" w:rsidRPr="001D5327" w:rsidRDefault="009327C0" w:rsidP="00D11AC9">
            <w:pPr>
              <w:pStyle w:val="TableText"/>
              <w:spacing w:before="40" w:after="40"/>
            </w:pPr>
            <w:r w:rsidRPr="001D5327">
              <w:rPr>
                <w:rFonts w:eastAsia="Calibri"/>
                <w:color w:val="000000"/>
              </w:rPr>
              <w:t>Instability over the whole plant as the operating parameters were tuned for the material coming from the newly commissioned dry scrubbing equipment (removes the fluoride and particulate from the main stack discharge)</w:t>
            </w:r>
          </w:p>
        </w:tc>
      </w:tr>
      <w:tr w:rsidR="009327C0" w:rsidRPr="001D5327" w14:paraId="1E403839" w14:textId="77777777" w:rsidTr="00D11AC9">
        <w:tc>
          <w:tcPr>
            <w:tcW w:w="1752" w:type="pct"/>
            <w:shd w:val="clear" w:color="auto" w:fill="FFFFFF"/>
            <w:tcMar>
              <w:top w:w="0" w:type="dxa"/>
              <w:left w:w="85" w:type="dxa"/>
              <w:bottom w:w="0" w:type="dxa"/>
              <w:right w:w="85" w:type="dxa"/>
            </w:tcMar>
          </w:tcPr>
          <w:p w14:paraId="116498C7" w14:textId="77777777" w:rsidR="009327C0" w:rsidRPr="001D5327" w:rsidRDefault="009327C0" w:rsidP="00D11AC9">
            <w:pPr>
              <w:pStyle w:val="TableText"/>
              <w:spacing w:before="40" w:after="40"/>
            </w:pPr>
            <w:r w:rsidRPr="001D5327">
              <w:rPr>
                <w:rFonts w:eastAsia="Calibri"/>
                <w:color w:val="000000"/>
              </w:rPr>
              <w:t>Decrease in PFC emissions in 1998</w:t>
            </w:r>
          </w:p>
        </w:tc>
        <w:tc>
          <w:tcPr>
            <w:tcW w:w="3248" w:type="pct"/>
            <w:shd w:val="clear" w:color="auto" w:fill="FFFFFF"/>
            <w:tcMar>
              <w:top w:w="0" w:type="dxa"/>
              <w:left w:w="85" w:type="dxa"/>
              <w:bottom w:w="0" w:type="dxa"/>
              <w:right w:w="85" w:type="dxa"/>
            </w:tcMar>
          </w:tcPr>
          <w:p w14:paraId="5B45C26A" w14:textId="77777777" w:rsidR="009327C0" w:rsidRPr="001D5327" w:rsidRDefault="009327C0" w:rsidP="00D11AC9">
            <w:pPr>
              <w:pStyle w:val="TableText"/>
              <w:spacing w:before="40" w:after="40"/>
            </w:pPr>
            <w:r w:rsidRPr="001D5327">
              <w:rPr>
                <w:rFonts w:eastAsia="Calibri"/>
                <w:color w:val="000000"/>
              </w:rPr>
              <w:t>Cell operating parameter control from the introduction of modified software. This software has improved the detection of an anode-effect onset and will initiate actions to prevent the anode effect</w:t>
            </w:r>
          </w:p>
        </w:tc>
      </w:tr>
      <w:tr w:rsidR="009327C0" w:rsidRPr="001D5327" w14:paraId="61B2A868" w14:textId="77777777" w:rsidTr="00D11AC9">
        <w:tc>
          <w:tcPr>
            <w:tcW w:w="1752" w:type="pct"/>
            <w:shd w:val="clear" w:color="auto" w:fill="FFFFFF"/>
            <w:tcMar>
              <w:top w:w="0" w:type="dxa"/>
              <w:left w:w="85" w:type="dxa"/>
              <w:bottom w:w="0" w:type="dxa"/>
              <w:right w:w="85" w:type="dxa"/>
            </w:tcMar>
          </w:tcPr>
          <w:p w14:paraId="20B9A2C6" w14:textId="77777777" w:rsidR="009327C0" w:rsidRPr="001D5327" w:rsidRDefault="009327C0" w:rsidP="00D11AC9">
            <w:pPr>
              <w:pStyle w:val="TableText"/>
              <w:spacing w:before="40" w:after="40"/>
            </w:pPr>
            <w:r w:rsidRPr="001D5327">
              <w:rPr>
                <w:rFonts w:eastAsia="Calibri"/>
                <w:color w:val="000000"/>
              </w:rPr>
              <w:t>Perfluorocarbons emissions</w:t>
            </w:r>
            <w:r w:rsidRPr="001D5327" w:rsidDel="003A41BF">
              <w:rPr>
                <w:rFonts w:eastAsia="Calibri"/>
                <w:color w:val="000000"/>
              </w:rPr>
              <w:t xml:space="preserve"> </w:t>
            </w:r>
            <w:r w:rsidRPr="001D5327">
              <w:rPr>
                <w:rFonts w:eastAsia="Calibri"/>
                <w:color w:val="000000"/>
              </w:rPr>
              <w:t>remain relatively static in 2001, 2003 and 2006</w:t>
            </w:r>
          </w:p>
        </w:tc>
        <w:tc>
          <w:tcPr>
            <w:tcW w:w="3248" w:type="pct"/>
            <w:shd w:val="clear" w:color="auto" w:fill="FFFFFF"/>
            <w:tcMar>
              <w:top w:w="0" w:type="dxa"/>
              <w:left w:w="85" w:type="dxa"/>
              <w:bottom w:w="0" w:type="dxa"/>
              <w:right w:w="85" w:type="dxa"/>
            </w:tcMar>
          </w:tcPr>
          <w:p w14:paraId="0CA64506" w14:textId="77777777" w:rsidR="009327C0" w:rsidRPr="001D5327" w:rsidRDefault="009327C0" w:rsidP="00D11AC9">
            <w:pPr>
              <w:pStyle w:val="TableText"/>
              <w:spacing w:before="40" w:after="40"/>
            </w:pPr>
            <w:r w:rsidRPr="001D5327">
              <w:rPr>
                <w:rFonts w:eastAsia="Calibri"/>
                <w:color w:val="000000"/>
              </w:rPr>
              <w:t>Increased emissions from restarting the cells</w:t>
            </w:r>
          </w:p>
        </w:tc>
      </w:tr>
    </w:tbl>
    <w:p w14:paraId="1DF38496" w14:textId="77777777" w:rsidR="009327C0" w:rsidRPr="001D5327" w:rsidRDefault="009327C0" w:rsidP="009327C0">
      <w:pPr>
        <w:pStyle w:val="BodyText"/>
        <w:spacing w:before="240"/>
      </w:pPr>
      <w:r w:rsidRPr="001D5327">
        <w:t>The activities of lead-acid battery recycling and use of SF</w:t>
      </w:r>
      <w:r w:rsidRPr="001D5327">
        <w:rPr>
          <w:vertAlign w:val="subscript"/>
        </w:rPr>
        <w:t>6</w:t>
      </w:r>
      <w:r w:rsidRPr="001D5327">
        <w:t xml:space="preserve"> in a magnesium foundry ceased during the time series resulting in zero emissions after 1999 and 2015 respectively.</w:t>
      </w:r>
    </w:p>
    <w:p w14:paraId="22322A10" w14:textId="77777777" w:rsidR="009327C0" w:rsidRPr="001D5327" w:rsidRDefault="009327C0" w:rsidP="009327C0">
      <w:pPr>
        <w:pStyle w:val="Heading3"/>
      </w:pPr>
      <w:bookmarkStart w:id="489" w:name="Xe4347421cfe7809aeeb148783aa8997fbdcb635"/>
      <w:bookmarkEnd w:id="484"/>
      <w:bookmarkEnd w:id="487"/>
      <w:r w:rsidRPr="001D5327">
        <w:lastRenderedPageBreak/>
        <w:t xml:space="preserve">4.4.4 </w:t>
      </w:r>
      <w:r w:rsidRPr="001D5327">
        <w:tab/>
        <w:t>Category-specific QA/QC and verification</w:t>
      </w:r>
    </w:p>
    <w:p w14:paraId="79846ACC" w14:textId="77777777" w:rsidR="009327C0" w:rsidRPr="001D5327" w:rsidRDefault="009327C0" w:rsidP="009B788A">
      <w:pPr>
        <w:pStyle w:val="BodyText"/>
      </w:pPr>
      <w:r w:rsidRPr="001D5327">
        <w:t xml:space="preserve">The three key categories in the </w:t>
      </w:r>
      <w:r w:rsidRPr="001D5327">
        <w:rPr>
          <w:i/>
          <w:iCs/>
        </w:rPr>
        <w:t>Metal industry</w:t>
      </w:r>
      <w:r w:rsidRPr="001D5327">
        <w:t xml:space="preserve"> category are CO</w:t>
      </w:r>
      <w:r w:rsidRPr="001D5327">
        <w:rPr>
          <w:vertAlign w:val="subscript"/>
        </w:rPr>
        <w:t>2</w:t>
      </w:r>
      <w:r w:rsidRPr="001D5327">
        <w:t xml:space="preserve"> emissions from </w:t>
      </w:r>
      <w:r w:rsidRPr="001D5327">
        <w:rPr>
          <w:i/>
          <w:iCs/>
        </w:rPr>
        <w:t>Iron and steel production</w:t>
      </w:r>
      <w:r w:rsidRPr="001D5327">
        <w:t xml:space="preserve"> (level and trend assessment), </w:t>
      </w:r>
      <w:r w:rsidRPr="001D5327">
        <w:rPr>
          <w:i/>
          <w:iCs/>
        </w:rPr>
        <w:t>Aluminium production</w:t>
      </w:r>
      <w:r w:rsidRPr="001D5327">
        <w:t xml:space="preserve"> (level assessment) and PFCs from </w:t>
      </w:r>
      <w:r w:rsidRPr="001D5327">
        <w:rPr>
          <w:i/>
          <w:iCs/>
        </w:rPr>
        <w:t>Aluminium production</w:t>
      </w:r>
      <w:r w:rsidRPr="001D5327">
        <w:t xml:space="preserve"> (trend assessment). The data for all direct emissions in this category underwent Tier 1 quality checks in the preparation of this inventory.</w:t>
      </w:r>
    </w:p>
    <w:p w14:paraId="6801FCC8" w14:textId="77777777" w:rsidR="009327C0" w:rsidRPr="001D5327" w:rsidRDefault="009327C0" w:rsidP="009B788A">
      <w:pPr>
        <w:pStyle w:val="Heading3"/>
      </w:pPr>
      <w:bookmarkStart w:id="490" w:name="category-specific-recalculations-2"/>
      <w:bookmarkEnd w:id="489"/>
      <w:r w:rsidRPr="001D5327">
        <w:t xml:space="preserve">4.4.5 </w:t>
      </w:r>
      <w:r w:rsidRPr="001D5327">
        <w:tab/>
        <w:t>Category-specific recalculations</w:t>
      </w:r>
    </w:p>
    <w:p w14:paraId="2F4B7B6B" w14:textId="77777777" w:rsidR="009327C0" w:rsidRPr="001D5327" w:rsidRDefault="009327C0" w:rsidP="009327C0">
      <w:pPr>
        <w:pStyle w:val="BodyText"/>
        <w:spacing w:before="100" w:after="100"/>
      </w:pPr>
      <w:r w:rsidRPr="001D5327">
        <w:t>There were no recalculations for this category.</w:t>
      </w:r>
    </w:p>
    <w:p w14:paraId="7DCA8DE3" w14:textId="77777777" w:rsidR="009327C0" w:rsidRPr="001D5327" w:rsidRDefault="009327C0" w:rsidP="009B788A">
      <w:pPr>
        <w:pStyle w:val="Heading3"/>
      </w:pPr>
      <w:bookmarkStart w:id="491" w:name="category-specific-planned-improvements-2"/>
      <w:bookmarkEnd w:id="490"/>
      <w:r w:rsidRPr="001D5327">
        <w:t xml:space="preserve">4.4.6 </w:t>
      </w:r>
      <w:r w:rsidRPr="001D5327">
        <w:tab/>
        <w:t>Category-specific planned improvements</w:t>
      </w:r>
    </w:p>
    <w:p w14:paraId="5EB22B62" w14:textId="77777777" w:rsidR="009327C0" w:rsidRPr="001D5327" w:rsidRDefault="009327C0" w:rsidP="009327C0">
      <w:pPr>
        <w:pStyle w:val="BodyText"/>
      </w:pPr>
      <w:r w:rsidRPr="001D5327">
        <w:t>There were no planned improvements for this category.</w:t>
      </w:r>
    </w:p>
    <w:p w14:paraId="74373A6C" w14:textId="77777777" w:rsidR="009327C0" w:rsidRPr="001D5327" w:rsidRDefault="009327C0" w:rsidP="009B788A">
      <w:pPr>
        <w:pStyle w:val="Heading2"/>
      </w:pPr>
      <w:bookmarkStart w:id="492" w:name="_Toc194312008"/>
      <w:bookmarkStart w:id="493" w:name="Xf829b7d5893da9cb21d5d040b0002c1505c12d8"/>
      <w:bookmarkEnd w:id="466"/>
      <w:bookmarkEnd w:id="491"/>
      <w:r w:rsidRPr="001D5327">
        <w:t xml:space="preserve">4.5 </w:t>
      </w:r>
      <w:r w:rsidRPr="001D5327">
        <w:tab/>
        <w:t>Non-energy products from fuels and solvent use (2.D)</w:t>
      </w:r>
      <w:bookmarkEnd w:id="492"/>
    </w:p>
    <w:p w14:paraId="05C929B0" w14:textId="77777777" w:rsidR="009327C0" w:rsidRPr="001D5327" w:rsidRDefault="009327C0" w:rsidP="009327C0">
      <w:pPr>
        <w:pStyle w:val="Heading3"/>
        <w:spacing w:before="240"/>
      </w:pPr>
      <w:bookmarkStart w:id="494" w:name="description-3"/>
      <w:r w:rsidRPr="001D5327">
        <w:t xml:space="preserve">4.5.1 </w:t>
      </w:r>
      <w:r w:rsidRPr="001D5327">
        <w:tab/>
        <w:t>Description</w:t>
      </w:r>
    </w:p>
    <w:p w14:paraId="11510082" w14:textId="77777777" w:rsidR="009327C0" w:rsidRPr="001D5327" w:rsidRDefault="009327C0" w:rsidP="009B788A">
      <w:pPr>
        <w:pStyle w:val="BodyText"/>
      </w:pPr>
      <w:r w:rsidRPr="001D5327">
        <w:t xml:space="preserve">The emissions reported in the </w:t>
      </w:r>
      <w:r w:rsidRPr="001D5327">
        <w:rPr>
          <w:i/>
          <w:iCs/>
        </w:rPr>
        <w:t>Non-energy products from fuels and solvent use</w:t>
      </w:r>
      <w:r w:rsidRPr="001D5327">
        <w:t xml:space="preserve"> category include CO</w:t>
      </w:r>
      <w:r w:rsidRPr="001D5327">
        <w:rPr>
          <w:vertAlign w:val="subscript"/>
        </w:rPr>
        <w:t>2</w:t>
      </w:r>
      <w:r w:rsidRPr="001D5327">
        <w:t xml:space="preserve"> from the use of lubricants and a very small amount from the use of paraffin wax, some of which is likely to be used for candles.</w:t>
      </w:r>
    </w:p>
    <w:p w14:paraId="6B8D3E36" w14:textId="77777777" w:rsidR="009327C0" w:rsidRPr="001D5327" w:rsidRDefault="009327C0" w:rsidP="009B788A">
      <w:pPr>
        <w:pStyle w:val="BodyText"/>
      </w:pPr>
      <w:r w:rsidRPr="001D5327">
        <w:t>In addition, a small amount of CO</w:t>
      </w:r>
      <w:r w:rsidRPr="001D5327">
        <w:rPr>
          <w:vertAlign w:val="subscript"/>
        </w:rPr>
        <w:t>2</w:t>
      </w:r>
      <w:r w:rsidRPr="001D5327">
        <w:t xml:space="preserve"> is reported from the use of urea-based catalysts in diesel exhaust fluid (DEF) for control of NO</w:t>
      </w:r>
      <w:r w:rsidRPr="001D5327">
        <w:rPr>
          <w:vertAlign w:val="subscript"/>
        </w:rPr>
        <w:t>x</w:t>
      </w:r>
      <w:r w:rsidRPr="001D5327">
        <w:t xml:space="preserve"> emissions in diesel engine exhaust gas. These emissions are associated with transport, and the method used is given in volume 2, </w:t>
      </w:r>
      <w:r w:rsidRPr="001D5327">
        <w:rPr>
          <w:i/>
          <w:iCs/>
        </w:rPr>
        <w:t>Energy</w:t>
      </w:r>
      <w:r w:rsidRPr="001D5327">
        <w:t>, of the 2006 IPCC Guidelines (IPCC, 2006b); however, the CRT does not appear to allow for them to be reported under the Energy sector, so they are placed in 2.D.3.</w:t>
      </w:r>
    </w:p>
    <w:p w14:paraId="2498864B" w14:textId="77777777" w:rsidR="009327C0" w:rsidRPr="001D5327" w:rsidRDefault="009327C0" w:rsidP="009B788A">
      <w:pPr>
        <w:pStyle w:val="BodyText"/>
      </w:pPr>
      <w:r w:rsidRPr="001D5327">
        <w:t>Some emissions of indirect greenhouse gases (mainly NMVOCs) are estimated and reported from:</w:t>
      </w:r>
    </w:p>
    <w:p w14:paraId="0A64BBA6" w14:textId="77777777" w:rsidR="009327C0" w:rsidRPr="001D5327" w:rsidRDefault="009327C0" w:rsidP="009B788A">
      <w:pPr>
        <w:pStyle w:val="Bullet"/>
      </w:pPr>
      <w:r w:rsidRPr="001D5327">
        <w:t>the use of asphalt in road paving and roofing applications</w:t>
      </w:r>
    </w:p>
    <w:p w14:paraId="557F7EF5" w14:textId="77777777" w:rsidR="009327C0" w:rsidRPr="001D5327" w:rsidRDefault="009327C0" w:rsidP="009B788A">
      <w:pPr>
        <w:pStyle w:val="Bullet"/>
      </w:pPr>
      <w:r w:rsidRPr="001D5327">
        <w:t>painting</w:t>
      </w:r>
    </w:p>
    <w:p w14:paraId="17366AED" w14:textId="77777777" w:rsidR="009327C0" w:rsidRPr="001D5327" w:rsidRDefault="009327C0" w:rsidP="009B788A">
      <w:pPr>
        <w:pStyle w:val="Bullet"/>
      </w:pPr>
      <w:r w:rsidRPr="001D5327">
        <w:t>degreasing and dry cleaning</w:t>
      </w:r>
    </w:p>
    <w:p w14:paraId="1DB0CB7C" w14:textId="77777777" w:rsidR="009327C0" w:rsidRPr="001D5327" w:rsidRDefault="009327C0" w:rsidP="009B788A">
      <w:pPr>
        <w:pStyle w:val="Bullet"/>
      </w:pPr>
      <w:r w:rsidRPr="001D5327">
        <w:t>use of solvents in printing</w:t>
      </w:r>
    </w:p>
    <w:p w14:paraId="227B0F2B" w14:textId="77777777" w:rsidR="009327C0" w:rsidRPr="001D5327" w:rsidRDefault="009327C0" w:rsidP="009B788A">
      <w:pPr>
        <w:pStyle w:val="Bullet"/>
      </w:pPr>
      <w:r w:rsidRPr="001D5327">
        <w:t>general domestic and commercial use of solvents.</w:t>
      </w:r>
    </w:p>
    <w:p w14:paraId="6601A429" w14:textId="77777777" w:rsidR="009327C0" w:rsidRPr="001D5327" w:rsidRDefault="009327C0" w:rsidP="009B788A">
      <w:pPr>
        <w:pStyle w:val="BodyText"/>
      </w:pPr>
      <w:r w:rsidRPr="001D5327">
        <w:t xml:space="preserve">Emissions from the </w:t>
      </w:r>
      <w:r w:rsidRPr="001D5327">
        <w:rPr>
          <w:i/>
          <w:iCs/>
        </w:rPr>
        <w:t>Non-energy products from fuels and solvent use</w:t>
      </w:r>
      <w:r w:rsidRPr="001D5327">
        <w:t xml:space="preserve"> category in 2023 were 27.0 kt CO</w:t>
      </w:r>
      <w:r w:rsidRPr="001D5327">
        <w:rPr>
          <w:vertAlign w:val="subscript"/>
        </w:rPr>
        <w:t>2</w:t>
      </w:r>
      <w:r w:rsidRPr="001D5327">
        <w:t>-e (0.7 per cent) of emissions from the IPPU sector.</w:t>
      </w:r>
    </w:p>
    <w:p w14:paraId="680393EE" w14:textId="77777777" w:rsidR="009327C0" w:rsidRPr="001D5327" w:rsidRDefault="009327C0" w:rsidP="009B788A">
      <w:pPr>
        <w:pStyle w:val="BodyText"/>
      </w:pPr>
      <w:r w:rsidRPr="001D5327">
        <w:t>There were no key categories.</w:t>
      </w:r>
    </w:p>
    <w:p w14:paraId="6C4F05E6" w14:textId="77777777" w:rsidR="009327C0" w:rsidRPr="001D5327" w:rsidRDefault="009327C0" w:rsidP="009327C0">
      <w:pPr>
        <w:pStyle w:val="Heading3"/>
        <w:spacing w:before="320"/>
      </w:pPr>
      <w:bookmarkStart w:id="495" w:name="methodological-issues-3"/>
      <w:bookmarkEnd w:id="494"/>
      <w:r w:rsidRPr="001D5327">
        <w:lastRenderedPageBreak/>
        <w:t>4.5.2</w:t>
      </w:r>
      <w:r w:rsidRPr="001D5327">
        <w:tab/>
        <w:t>Methodological issues</w:t>
      </w:r>
    </w:p>
    <w:p w14:paraId="2EA22CBC" w14:textId="77777777" w:rsidR="009327C0" w:rsidRPr="001D5327" w:rsidRDefault="009327C0" w:rsidP="00623089">
      <w:pPr>
        <w:pStyle w:val="Heading4"/>
        <w:spacing w:before="180"/>
      </w:pPr>
      <w:bookmarkStart w:id="496" w:name="choice-of-activity-data-3"/>
      <w:r w:rsidRPr="001D5327">
        <w:t>Choice of activity data</w:t>
      </w:r>
    </w:p>
    <w:p w14:paraId="1E9AFC98" w14:textId="77777777" w:rsidR="009327C0" w:rsidRPr="001D5327" w:rsidRDefault="009327C0" w:rsidP="009327C0">
      <w:pPr>
        <w:pStyle w:val="Heading5"/>
        <w:spacing w:before="120"/>
      </w:pPr>
      <w:bookmarkStart w:id="497" w:name="lubricant-use-2.d.1"/>
      <w:r w:rsidRPr="001D5327">
        <w:t>Lubricant use (2.D.1)</w:t>
      </w:r>
    </w:p>
    <w:p w14:paraId="3AD913F5" w14:textId="77777777" w:rsidR="009327C0" w:rsidRPr="001D5327" w:rsidRDefault="009327C0" w:rsidP="00F6262F">
      <w:pPr>
        <w:pStyle w:val="BodyText"/>
        <w:spacing w:before="100" w:after="100"/>
      </w:pPr>
      <w:r w:rsidRPr="001D5327">
        <w:t>Activity data for the years between 2018 and 2023 are provided by MBIE. However, this information is not available for the years before 2018. For earlier years, the activity data have been estimated by assuming that the amount of lubricant used was proportional to the amount of ‘other petroleum products’</w:t>
      </w:r>
      <w:r w:rsidRPr="001D5327">
        <w:rPr>
          <w:rStyle w:val="FootnoteReference"/>
        </w:rPr>
        <w:footnoteReference w:id="23"/>
      </w:r>
      <w:r w:rsidRPr="001D5327">
        <w:t xml:space="preserve"> used in New Zealand in the year. </w:t>
      </w:r>
    </w:p>
    <w:p w14:paraId="34DF7572" w14:textId="77777777" w:rsidR="009327C0" w:rsidRPr="001D5327" w:rsidRDefault="009327C0" w:rsidP="00F6262F">
      <w:pPr>
        <w:pStyle w:val="Heading5"/>
        <w:spacing w:before="180"/>
      </w:pPr>
      <w:bookmarkStart w:id="498" w:name="paraffin-wax-use-2.d.2"/>
      <w:bookmarkEnd w:id="497"/>
      <w:r w:rsidRPr="001D5327">
        <w:t>Paraffin wax use (2.D.2)</w:t>
      </w:r>
    </w:p>
    <w:p w14:paraId="7BA96F47" w14:textId="77777777" w:rsidR="009327C0" w:rsidRPr="001D5327" w:rsidRDefault="009327C0" w:rsidP="00F6262F">
      <w:pPr>
        <w:pStyle w:val="BodyText"/>
        <w:spacing w:before="100" w:after="100"/>
      </w:pPr>
      <w:r w:rsidRPr="001D5327">
        <w:t>A small amount of paraffin wax is imported into New Zealand. There were no reliable data on import volumes, so the activity data have been estimated from an estimate of the value of imports. This is only available for 2005 to 2011, and the activity data for other years have been assumed to be the same.</w:t>
      </w:r>
    </w:p>
    <w:p w14:paraId="2E1EE0F8" w14:textId="77777777" w:rsidR="009327C0" w:rsidRPr="001D5327" w:rsidRDefault="009327C0" w:rsidP="00F6262F">
      <w:pPr>
        <w:pStyle w:val="Heading5"/>
        <w:spacing w:before="180"/>
      </w:pPr>
      <w:bookmarkStart w:id="499" w:name="X53dc6432fdb869336adf4e31274caaba582fc1e"/>
      <w:bookmarkEnd w:id="498"/>
      <w:r w:rsidRPr="001D5327">
        <w:t>Use of urea-based catalysts in transport (2.D.3)</w:t>
      </w:r>
    </w:p>
    <w:p w14:paraId="71A94C67" w14:textId="77777777" w:rsidR="009327C0" w:rsidRPr="001D5327" w:rsidRDefault="009327C0" w:rsidP="00F6262F">
      <w:pPr>
        <w:pStyle w:val="BodyText"/>
        <w:spacing w:before="100" w:after="100"/>
      </w:pPr>
      <w:r w:rsidRPr="001D5327">
        <w:t>The activity data (quantity of DEF used) are estimated from total sales of diesel, with the assessment that 33 per cent of fuel is used in heavy vehicles and 51 per cent of the heavy vehicle fleet currently uses DEF. The amounts for years up to 2016 are estimated by back casting the uptake of vehicles that require DEF over time. There was no use of urea catalysts before 2008.</w:t>
      </w:r>
    </w:p>
    <w:p w14:paraId="06E5021C" w14:textId="77777777" w:rsidR="009327C0" w:rsidRPr="001D5327" w:rsidRDefault="009327C0" w:rsidP="00F6262F">
      <w:pPr>
        <w:pStyle w:val="Heading5"/>
        <w:spacing w:before="180"/>
      </w:pPr>
      <w:bookmarkStart w:id="500" w:name="X5a2ff4389a61f28f24ab5c4134095d3d95f1ebf"/>
      <w:bookmarkEnd w:id="499"/>
      <w:r w:rsidRPr="001D5327">
        <w:t>Asphalt paving and roofing and solvent use (2.D.3)</w:t>
      </w:r>
    </w:p>
    <w:p w14:paraId="1A8E94DC" w14:textId="77777777" w:rsidR="009327C0" w:rsidRPr="001D5327" w:rsidRDefault="009327C0" w:rsidP="00F6262F">
      <w:pPr>
        <w:pStyle w:val="BodyText"/>
        <w:spacing w:before="100" w:after="100"/>
      </w:pPr>
      <w:r w:rsidRPr="001D5327">
        <w:t>Three main bitumen production companies that provide materials for road paving are operating in New Zealand. Data on bitumen production and emission rates were provided by these companies (CRL Energy, unpublished(a)). One company is also manufacturing asphalt roofing in New Zealand.</w:t>
      </w:r>
    </w:p>
    <w:p w14:paraId="6AF18799" w14:textId="77777777" w:rsidR="009327C0" w:rsidRPr="001D5327" w:rsidRDefault="009327C0" w:rsidP="00F6262F">
      <w:pPr>
        <w:pStyle w:val="BodyText"/>
        <w:spacing w:before="100" w:after="100"/>
      </w:pPr>
      <w:r w:rsidRPr="001D5327">
        <w:t>Solvent use was estimated in 2006 (CRL Energy, unpublished(a)) and, for all of these sources, activity data for the years up to 2005 have been extrapolated for 2006 to 2023 in the absence of any updated information.</w:t>
      </w:r>
    </w:p>
    <w:p w14:paraId="4EEBE3F4" w14:textId="77777777" w:rsidR="009327C0" w:rsidRPr="001D5327" w:rsidRDefault="009327C0" w:rsidP="009327C0">
      <w:pPr>
        <w:pStyle w:val="Heading4"/>
      </w:pPr>
      <w:bookmarkStart w:id="501" w:name="choice-of-methods-3"/>
      <w:bookmarkEnd w:id="496"/>
      <w:bookmarkEnd w:id="500"/>
      <w:r w:rsidRPr="001D5327">
        <w:t>Choice of methods</w:t>
      </w:r>
    </w:p>
    <w:p w14:paraId="4A94ECB8" w14:textId="77777777" w:rsidR="009327C0" w:rsidRPr="001D5327" w:rsidRDefault="009327C0" w:rsidP="009327C0">
      <w:pPr>
        <w:pStyle w:val="BodyText"/>
      </w:pPr>
      <w:r w:rsidRPr="001D5327">
        <w:t>Tier 1 methods (IPCC, 2006a, 2006b) are used to estimate all emissions in this category. Only approximate activity data are available, with no country-specific information on the amounts of lubricant and paraffin wax used for specific applications.</w:t>
      </w:r>
    </w:p>
    <w:p w14:paraId="4E4A29F5" w14:textId="77777777" w:rsidR="009327C0" w:rsidRPr="001D5327" w:rsidRDefault="009327C0" w:rsidP="009327C0">
      <w:pPr>
        <w:pStyle w:val="Heading4"/>
      </w:pPr>
      <w:bookmarkStart w:id="502" w:name="choice-of-emission-factors-2"/>
      <w:bookmarkEnd w:id="501"/>
      <w:r w:rsidRPr="001D5327">
        <w:t>Choice of emission factors</w:t>
      </w:r>
    </w:p>
    <w:p w14:paraId="0E38710D" w14:textId="77777777" w:rsidR="009327C0" w:rsidRPr="001D5327" w:rsidRDefault="009327C0" w:rsidP="00F6262F">
      <w:pPr>
        <w:pStyle w:val="Heading5"/>
        <w:spacing w:before="180"/>
      </w:pPr>
      <w:bookmarkStart w:id="503" w:name="X07c9d37066ae676aeb1a63ade4f6e018c873acc"/>
      <w:r w:rsidRPr="001D5327">
        <w:t>Lubricant use (2.D.1) and paraffin wax use (2.D.2)</w:t>
      </w:r>
    </w:p>
    <w:p w14:paraId="2655B96B" w14:textId="77777777" w:rsidR="009327C0" w:rsidRPr="001D5327" w:rsidRDefault="009327C0" w:rsidP="00F6262F">
      <w:pPr>
        <w:pStyle w:val="BodyText"/>
        <w:spacing w:before="100" w:after="100"/>
      </w:pPr>
      <w:r w:rsidRPr="001D5327">
        <w:t>Default emission factors (carbon content and ‘oxidised during use’ factor) are used for these categories.</w:t>
      </w:r>
    </w:p>
    <w:p w14:paraId="41B71277" w14:textId="77777777" w:rsidR="009327C0" w:rsidRPr="001D5327" w:rsidRDefault="009327C0" w:rsidP="00F6262F">
      <w:pPr>
        <w:pStyle w:val="Heading5"/>
        <w:spacing w:before="180"/>
      </w:pPr>
      <w:bookmarkStart w:id="504" w:name="Xd865a9ffeb62c328969c34b256eb2fb99d580d5"/>
      <w:bookmarkEnd w:id="503"/>
      <w:r w:rsidRPr="001D5327">
        <w:t>Use of urea-based catalysts in transport (2.D.3)</w:t>
      </w:r>
    </w:p>
    <w:p w14:paraId="274C3BD8" w14:textId="77777777" w:rsidR="009327C0" w:rsidRPr="001D5327" w:rsidRDefault="009327C0" w:rsidP="00F6262F">
      <w:pPr>
        <w:pStyle w:val="BodyText"/>
        <w:spacing w:before="100" w:after="100"/>
      </w:pPr>
      <w:r w:rsidRPr="001D5327">
        <w:t>Default emission factors are used. DEF sold in New Zealand conforms with international norms and contains 32.5 per cent urea, which is the default value.</w:t>
      </w:r>
    </w:p>
    <w:p w14:paraId="32A0946D" w14:textId="77777777" w:rsidR="009327C0" w:rsidRPr="001D5327" w:rsidRDefault="009327C0" w:rsidP="009327C0">
      <w:pPr>
        <w:pStyle w:val="Heading5"/>
      </w:pPr>
      <w:bookmarkStart w:id="505" w:name="X7e5c19f314da272d173de1f7d800ff53200023f"/>
      <w:bookmarkEnd w:id="504"/>
      <w:r w:rsidRPr="001D5327">
        <w:lastRenderedPageBreak/>
        <w:t>Asphalt paving and roofing and solvent use (2.D.3)</w:t>
      </w:r>
    </w:p>
    <w:p w14:paraId="556AF3F6" w14:textId="77777777" w:rsidR="009327C0" w:rsidRPr="001D5327" w:rsidRDefault="009327C0" w:rsidP="00623089">
      <w:pPr>
        <w:pStyle w:val="BodyText"/>
      </w:pPr>
      <w:r w:rsidRPr="001D5327">
        <w:t xml:space="preserve">The bitumen content of road paving used in New Zealand is about 6 per cent, which is lower than commonly used in most countries. The NMVOC emissions from road paving are calculated </w:t>
      </w:r>
      <w:r w:rsidRPr="001D5327">
        <w:rPr>
          <w:spacing w:val="-2"/>
        </w:rPr>
        <w:t>using a country-specific method based on the fraction of bitumen in asphalt used in road paving</w:t>
      </w:r>
      <w:r w:rsidRPr="001D5327">
        <w:t xml:space="preserve"> material, the fraction of solvent added to bitumen and an assessment that 75 per cent of the solvent added will be emitted (see table 4.5.1).</w:t>
      </w:r>
    </w:p>
    <w:p w14:paraId="031E0075" w14:textId="77777777" w:rsidR="009327C0" w:rsidRPr="001D5327" w:rsidRDefault="009327C0" w:rsidP="009327C0">
      <w:pPr>
        <w:pStyle w:val="Table"/>
      </w:pPr>
      <w:bookmarkStart w:id="506" w:name="_Toc194241689"/>
      <w:r w:rsidRPr="001D5327">
        <w:t xml:space="preserve">Table 4.5.1 </w:t>
      </w:r>
      <w:r w:rsidRPr="001D5327">
        <w:tab/>
        <w:t>Calculation of NMVOC emissions from road paving</w:t>
      </w:r>
      <w:bookmarkEnd w:id="506"/>
    </w:p>
    <w:tbl>
      <w:tblPr>
        <w:tblW w:w="5000" w:type="pct"/>
        <w:jc w:val="center"/>
        <w:tblBorders>
          <w:top w:val="single" w:sz="4" w:space="0" w:color="1B556B"/>
          <w:bottom w:val="single" w:sz="4" w:space="0" w:color="1B556B"/>
          <w:insideH w:val="single" w:sz="4" w:space="0" w:color="1B556B"/>
          <w:insideV w:val="single" w:sz="4" w:space="0" w:color="1B556B"/>
        </w:tblBorders>
        <w:tblCellMar>
          <w:left w:w="85" w:type="dxa"/>
          <w:right w:w="85" w:type="dxa"/>
        </w:tblCellMar>
        <w:tblLook w:val="0420" w:firstRow="1" w:lastRow="0" w:firstColumn="0" w:lastColumn="0" w:noHBand="0" w:noVBand="1"/>
      </w:tblPr>
      <w:tblGrid>
        <w:gridCol w:w="8505"/>
      </w:tblGrid>
      <w:tr w:rsidR="009327C0" w:rsidRPr="001D5327" w14:paraId="0BD9AE36" w14:textId="77777777" w:rsidTr="00D11AC9">
        <w:trPr>
          <w:tblHeader/>
          <w:jc w:val="center"/>
        </w:trPr>
        <w:tc>
          <w:tcPr>
            <w:tcW w:w="0" w:type="auto"/>
            <w:shd w:val="clear" w:color="auto" w:fill="1B556B"/>
            <w:tcMar>
              <w:top w:w="0" w:type="dxa"/>
              <w:left w:w="85" w:type="dxa"/>
              <w:bottom w:w="0" w:type="dxa"/>
              <w:right w:w="85" w:type="dxa"/>
            </w:tcMar>
          </w:tcPr>
          <w:p w14:paraId="3104450C" w14:textId="77777777" w:rsidR="009327C0" w:rsidRPr="001D5327" w:rsidRDefault="009327C0" w:rsidP="00D11AC9">
            <w:pPr>
              <w:pStyle w:val="TableTextBold"/>
              <w:spacing w:before="40" w:after="40"/>
              <w:rPr>
                <w:noProof w:val="0"/>
                <w:color w:val="FFFFFF" w:themeColor="background1"/>
              </w:rPr>
            </w:pPr>
            <w:r w:rsidRPr="001D5327">
              <w:rPr>
                <w:rFonts w:eastAsia="Calibri"/>
                <w:noProof w:val="0"/>
                <w:color w:val="FFFFFF" w:themeColor="background1"/>
              </w:rPr>
              <w:t>Calculation of NMVOC emissions from road paving</w:t>
            </w:r>
          </w:p>
        </w:tc>
      </w:tr>
      <w:tr w:rsidR="009327C0" w:rsidRPr="001D5327" w14:paraId="6083E055" w14:textId="77777777" w:rsidTr="00D11AC9">
        <w:trPr>
          <w:jc w:val="center"/>
        </w:trPr>
        <w:tc>
          <w:tcPr>
            <w:tcW w:w="0" w:type="auto"/>
            <w:shd w:val="clear" w:color="auto" w:fill="FFFFFF"/>
            <w:tcMar>
              <w:top w:w="0" w:type="dxa"/>
              <w:left w:w="85" w:type="dxa"/>
              <w:bottom w:w="0" w:type="dxa"/>
              <w:right w:w="85" w:type="dxa"/>
            </w:tcMar>
          </w:tcPr>
          <w:p w14:paraId="38FD17B9" w14:textId="77777777" w:rsidR="009327C0" w:rsidRPr="001D5327" w:rsidRDefault="009327C0" w:rsidP="00D11AC9">
            <w:pPr>
              <w:pStyle w:val="TableText"/>
              <w:spacing w:before="40" w:after="40"/>
            </w:pPr>
            <w:r w:rsidRPr="001D5327">
              <w:rPr>
                <w:rFonts w:eastAsia="Calibri"/>
                <w:color w:val="000000"/>
              </w:rPr>
              <w:t>NMVOC emitted = A × B × C × D</w:t>
            </w:r>
          </w:p>
        </w:tc>
      </w:tr>
      <w:tr w:rsidR="009327C0" w:rsidRPr="001D5327" w14:paraId="06C79E4F" w14:textId="77777777" w:rsidTr="00D11AC9">
        <w:trPr>
          <w:jc w:val="center"/>
        </w:trPr>
        <w:tc>
          <w:tcPr>
            <w:tcW w:w="0" w:type="auto"/>
            <w:shd w:val="clear" w:color="auto" w:fill="FFFFFF"/>
            <w:tcMar>
              <w:top w:w="0" w:type="dxa"/>
              <w:left w:w="85" w:type="dxa"/>
              <w:bottom w:w="0" w:type="dxa"/>
              <w:right w:w="85" w:type="dxa"/>
            </w:tcMar>
          </w:tcPr>
          <w:p w14:paraId="3E420BB3" w14:textId="77777777" w:rsidR="009327C0" w:rsidRPr="001D5327" w:rsidRDefault="009327C0" w:rsidP="00D11AC9">
            <w:pPr>
              <w:pStyle w:val="TableText"/>
              <w:spacing w:before="40" w:after="40"/>
            </w:pPr>
            <w:r w:rsidRPr="001D5327">
              <w:rPr>
                <w:rFonts w:eastAsia="Calibri"/>
                <w:color w:val="000000"/>
              </w:rPr>
              <w:t>Where:</w:t>
            </w:r>
          </w:p>
        </w:tc>
      </w:tr>
      <w:tr w:rsidR="009327C0" w:rsidRPr="001D5327" w14:paraId="2B5685F8" w14:textId="77777777" w:rsidTr="00D11AC9">
        <w:trPr>
          <w:jc w:val="center"/>
        </w:trPr>
        <w:tc>
          <w:tcPr>
            <w:tcW w:w="0" w:type="auto"/>
            <w:shd w:val="clear" w:color="auto" w:fill="FFFFFF"/>
            <w:tcMar>
              <w:top w:w="0" w:type="dxa"/>
              <w:left w:w="85" w:type="dxa"/>
              <w:bottom w:w="0" w:type="dxa"/>
              <w:right w:w="85" w:type="dxa"/>
            </w:tcMar>
          </w:tcPr>
          <w:p w14:paraId="3310ECBB" w14:textId="77777777" w:rsidR="009327C0" w:rsidRPr="001D5327" w:rsidRDefault="009327C0" w:rsidP="00D11AC9">
            <w:pPr>
              <w:pStyle w:val="TableText"/>
              <w:spacing w:before="40" w:after="40"/>
            </w:pPr>
            <w:r w:rsidRPr="001D5327">
              <w:rPr>
                <w:rFonts w:eastAsia="Calibri"/>
                <w:color w:val="000000"/>
              </w:rPr>
              <w:t>A = road paving material used (kilotonnes)</w:t>
            </w:r>
          </w:p>
        </w:tc>
      </w:tr>
      <w:tr w:rsidR="009327C0" w:rsidRPr="001D5327" w14:paraId="0A85AB28" w14:textId="77777777" w:rsidTr="00D11AC9">
        <w:trPr>
          <w:jc w:val="center"/>
        </w:trPr>
        <w:tc>
          <w:tcPr>
            <w:tcW w:w="0" w:type="auto"/>
            <w:shd w:val="clear" w:color="auto" w:fill="FFFFFF"/>
            <w:tcMar>
              <w:top w:w="0" w:type="dxa"/>
              <w:left w:w="85" w:type="dxa"/>
              <w:bottom w:w="0" w:type="dxa"/>
              <w:right w:w="85" w:type="dxa"/>
            </w:tcMar>
          </w:tcPr>
          <w:p w14:paraId="315E523D" w14:textId="77777777" w:rsidR="009327C0" w:rsidRPr="001D5327" w:rsidRDefault="009327C0" w:rsidP="00D11AC9">
            <w:pPr>
              <w:pStyle w:val="TableText"/>
              <w:spacing w:before="40" w:after="40"/>
            </w:pPr>
            <w:r w:rsidRPr="001D5327">
              <w:rPr>
                <w:rFonts w:eastAsia="Calibri"/>
                <w:color w:val="000000"/>
              </w:rPr>
              <w:t>B = fraction by weight of bitumen in asphalt</w:t>
            </w:r>
          </w:p>
        </w:tc>
      </w:tr>
      <w:tr w:rsidR="009327C0" w:rsidRPr="001D5327" w14:paraId="3DA154F8" w14:textId="77777777" w:rsidTr="00D11AC9">
        <w:trPr>
          <w:jc w:val="center"/>
        </w:trPr>
        <w:tc>
          <w:tcPr>
            <w:tcW w:w="0" w:type="auto"/>
            <w:shd w:val="clear" w:color="auto" w:fill="FFFFFF"/>
            <w:tcMar>
              <w:top w:w="0" w:type="dxa"/>
              <w:left w:w="85" w:type="dxa"/>
              <w:bottom w:w="0" w:type="dxa"/>
              <w:right w:w="85" w:type="dxa"/>
            </w:tcMar>
          </w:tcPr>
          <w:p w14:paraId="4503CB76" w14:textId="77777777" w:rsidR="009327C0" w:rsidRPr="001D5327" w:rsidRDefault="009327C0" w:rsidP="00D11AC9">
            <w:pPr>
              <w:pStyle w:val="TableText"/>
              <w:spacing w:before="40" w:after="40"/>
            </w:pPr>
            <w:r w:rsidRPr="001D5327">
              <w:rPr>
                <w:rFonts w:eastAsia="Calibri"/>
                <w:color w:val="000000"/>
              </w:rPr>
              <w:t>C = fraction of solvent added to bitumen (0.04)</w:t>
            </w:r>
          </w:p>
        </w:tc>
      </w:tr>
      <w:tr w:rsidR="009327C0" w:rsidRPr="001D5327" w14:paraId="1320B1A3" w14:textId="77777777" w:rsidTr="00D11AC9">
        <w:trPr>
          <w:jc w:val="center"/>
        </w:trPr>
        <w:tc>
          <w:tcPr>
            <w:tcW w:w="0" w:type="auto"/>
            <w:shd w:val="clear" w:color="auto" w:fill="FFFFFF"/>
            <w:tcMar>
              <w:top w:w="0" w:type="dxa"/>
              <w:left w:w="85" w:type="dxa"/>
              <w:bottom w:w="0" w:type="dxa"/>
              <w:right w:w="85" w:type="dxa"/>
            </w:tcMar>
          </w:tcPr>
          <w:p w14:paraId="71458588" w14:textId="77777777" w:rsidR="009327C0" w:rsidRPr="001D5327" w:rsidRDefault="009327C0" w:rsidP="00D11AC9">
            <w:pPr>
              <w:pStyle w:val="TableText"/>
              <w:spacing w:before="40" w:after="40"/>
            </w:pPr>
            <w:r w:rsidRPr="001D5327">
              <w:rPr>
                <w:rFonts w:eastAsia="Calibri"/>
                <w:color w:val="000000"/>
              </w:rPr>
              <w:t>D = fraction of solvent emitted (0.75)</w:t>
            </w:r>
          </w:p>
        </w:tc>
      </w:tr>
    </w:tbl>
    <w:p w14:paraId="684B7E2C" w14:textId="77777777" w:rsidR="009327C0" w:rsidRPr="001D5327" w:rsidRDefault="009327C0" w:rsidP="009327C0">
      <w:pPr>
        <w:pStyle w:val="BodyText"/>
        <w:spacing w:before="240"/>
      </w:pPr>
      <w:r w:rsidRPr="001D5327">
        <w:t>The fraction of bitumen in asphalt used in road paving materials was reduced over time as methods of laying roading improved (see table 4.5.2).</w:t>
      </w:r>
    </w:p>
    <w:p w14:paraId="33345486" w14:textId="77777777" w:rsidR="009327C0" w:rsidRPr="001D5327" w:rsidRDefault="009327C0" w:rsidP="009327C0">
      <w:pPr>
        <w:pStyle w:val="Table"/>
      </w:pPr>
      <w:bookmarkStart w:id="507" w:name="_Toc194241690"/>
      <w:r w:rsidRPr="001D5327">
        <w:t xml:space="preserve">Table 4.5.2 </w:t>
      </w:r>
      <w:r w:rsidRPr="001D5327">
        <w:tab/>
        <w:t>Fraction of bitumen in road paving material</w:t>
      </w:r>
      <w:bookmarkEnd w:id="507"/>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819"/>
        <w:gridCol w:w="6675"/>
      </w:tblGrid>
      <w:tr w:rsidR="009327C0" w:rsidRPr="001D5327" w14:paraId="77E42861" w14:textId="77777777" w:rsidTr="00D11AC9">
        <w:trPr>
          <w:tblHeader/>
        </w:trPr>
        <w:tc>
          <w:tcPr>
            <w:tcW w:w="0" w:type="auto"/>
            <w:shd w:val="clear" w:color="auto" w:fill="1B556B"/>
            <w:tcMar>
              <w:top w:w="0" w:type="dxa"/>
              <w:left w:w="85" w:type="dxa"/>
              <w:bottom w:w="0" w:type="dxa"/>
              <w:right w:w="85" w:type="dxa"/>
            </w:tcMar>
          </w:tcPr>
          <w:p w14:paraId="799B59CA" w14:textId="77777777" w:rsidR="009327C0" w:rsidRPr="001D5327" w:rsidRDefault="009327C0" w:rsidP="00D11AC9">
            <w:pPr>
              <w:pStyle w:val="TableTextBold"/>
              <w:spacing w:before="40" w:after="40"/>
              <w:rPr>
                <w:noProof w:val="0"/>
                <w:color w:val="FFFFFF" w:themeColor="background1"/>
              </w:rPr>
            </w:pPr>
            <w:r w:rsidRPr="001D5327">
              <w:rPr>
                <w:rFonts w:eastAsia="Calibri"/>
                <w:noProof w:val="0"/>
                <w:color w:val="FFFFFF" w:themeColor="background1"/>
              </w:rPr>
              <w:t>Reporting years</w:t>
            </w:r>
          </w:p>
        </w:tc>
        <w:tc>
          <w:tcPr>
            <w:tcW w:w="0" w:type="auto"/>
            <w:shd w:val="clear" w:color="auto" w:fill="1B556B"/>
            <w:tcMar>
              <w:top w:w="0" w:type="dxa"/>
              <w:left w:w="85" w:type="dxa"/>
              <w:bottom w:w="0" w:type="dxa"/>
              <w:right w:w="85" w:type="dxa"/>
            </w:tcMar>
          </w:tcPr>
          <w:p w14:paraId="57D094AA" w14:textId="77777777" w:rsidR="009327C0" w:rsidRPr="001D5327" w:rsidRDefault="009327C0" w:rsidP="00D11AC9">
            <w:pPr>
              <w:pStyle w:val="TableTextBold"/>
              <w:spacing w:before="40" w:after="40"/>
              <w:rPr>
                <w:noProof w:val="0"/>
                <w:color w:val="FFFFFF" w:themeColor="background1"/>
              </w:rPr>
            </w:pPr>
            <w:r w:rsidRPr="001D5327">
              <w:rPr>
                <w:rFonts w:eastAsia="Calibri"/>
                <w:noProof w:val="0"/>
                <w:color w:val="FFFFFF" w:themeColor="background1"/>
              </w:rPr>
              <w:t>Fraction by weight of bitumen in asphalt (B above, in table 4.5.1)</w:t>
            </w:r>
          </w:p>
        </w:tc>
      </w:tr>
      <w:tr w:rsidR="009327C0" w:rsidRPr="001D5327" w14:paraId="61F826BF" w14:textId="77777777" w:rsidTr="00D11AC9">
        <w:tc>
          <w:tcPr>
            <w:tcW w:w="0" w:type="auto"/>
            <w:shd w:val="clear" w:color="auto" w:fill="FFFFFF"/>
            <w:tcMar>
              <w:top w:w="0" w:type="dxa"/>
              <w:left w:w="85" w:type="dxa"/>
              <w:bottom w:w="0" w:type="dxa"/>
              <w:right w:w="85" w:type="dxa"/>
            </w:tcMar>
          </w:tcPr>
          <w:p w14:paraId="06EDFD4A" w14:textId="77777777" w:rsidR="009327C0" w:rsidRPr="001D5327" w:rsidRDefault="009327C0" w:rsidP="00D11AC9">
            <w:pPr>
              <w:pStyle w:val="TableText"/>
              <w:spacing w:before="40" w:after="40"/>
            </w:pPr>
            <w:r w:rsidRPr="001D5327">
              <w:rPr>
                <w:rFonts w:eastAsia="Calibri"/>
                <w:color w:val="000000"/>
              </w:rPr>
              <w:t>1990–2001</w:t>
            </w:r>
          </w:p>
        </w:tc>
        <w:tc>
          <w:tcPr>
            <w:tcW w:w="0" w:type="auto"/>
            <w:shd w:val="clear" w:color="auto" w:fill="FFFFFF"/>
            <w:tcMar>
              <w:top w:w="0" w:type="dxa"/>
              <w:left w:w="85" w:type="dxa"/>
              <w:bottom w:w="0" w:type="dxa"/>
              <w:right w:w="85" w:type="dxa"/>
            </w:tcMar>
          </w:tcPr>
          <w:p w14:paraId="731AB0A9" w14:textId="77777777" w:rsidR="009327C0" w:rsidRPr="001D5327" w:rsidRDefault="009327C0" w:rsidP="00D11AC9">
            <w:pPr>
              <w:pStyle w:val="TableText"/>
              <w:spacing w:before="40" w:after="40"/>
            </w:pPr>
            <w:r w:rsidRPr="001D5327">
              <w:rPr>
                <w:rFonts w:eastAsia="Calibri"/>
                <w:color w:val="000000"/>
              </w:rPr>
              <w:t>0.8</w:t>
            </w:r>
          </w:p>
        </w:tc>
      </w:tr>
      <w:tr w:rsidR="009327C0" w:rsidRPr="001D5327" w14:paraId="7EB94B4D" w14:textId="77777777" w:rsidTr="00D11AC9">
        <w:tc>
          <w:tcPr>
            <w:tcW w:w="0" w:type="auto"/>
            <w:shd w:val="clear" w:color="auto" w:fill="FFFFFF"/>
            <w:tcMar>
              <w:top w:w="0" w:type="dxa"/>
              <w:left w:w="85" w:type="dxa"/>
              <w:bottom w:w="0" w:type="dxa"/>
              <w:right w:w="85" w:type="dxa"/>
            </w:tcMar>
          </w:tcPr>
          <w:p w14:paraId="07F36833" w14:textId="77777777" w:rsidR="009327C0" w:rsidRPr="001D5327" w:rsidRDefault="009327C0" w:rsidP="00D11AC9">
            <w:pPr>
              <w:pStyle w:val="TableText"/>
              <w:spacing w:before="40" w:after="40"/>
            </w:pPr>
            <w:r w:rsidRPr="001D5327">
              <w:rPr>
                <w:rFonts w:eastAsia="Calibri"/>
                <w:color w:val="000000"/>
              </w:rPr>
              <w:t>2002–2003</w:t>
            </w:r>
          </w:p>
        </w:tc>
        <w:tc>
          <w:tcPr>
            <w:tcW w:w="0" w:type="auto"/>
            <w:shd w:val="clear" w:color="auto" w:fill="FFFFFF"/>
            <w:tcMar>
              <w:top w:w="0" w:type="dxa"/>
              <w:left w:w="85" w:type="dxa"/>
              <w:bottom w:w="0" w:type="dxa"/>
              <w:right w:w="85" w:type="dxa"/>
            </w:tcMar>
          </w:tcPr>
          <w:p w14:paraId="1FF114D7" w14:textId="77777777" w:rsidR="009327C0" w:rsidRPr="001D5327" w:rsidRDefault="009327C0" w:rsidP="00D11AC9">
            <w:pPr>
              <w:pStyle w:val="TableText"/>
              <w:spacing w:before="40" w:after="40"/>
            </w:pPr>
            <w:r w:rsidRPr="001D5327">
              <w:rPr>
                <w:rFonts w:eastAsia="Calibri"/>
                <w:color w:val="000000"/>
              </w:rPr>
              <w:t>0.65</w:t>
            </w:r>
          </w:p>
        </w:tc>
      </w:tr>
      <w:tr w:rsidR="009327C0" w:rsidRPr="001D5327" w14:paraId="75127C88" w14:textId="77777777" w:rsidTr="00D11AC9">
        <w:tc>
          <w:tcPr>
            <w:tcW w:w="0" w:type="auto"/>
            <w:shd w:val="clear" w:color="auto" w:fill="FFFFFF"/>
            <w:tcMar>
              <w:top w:w="0" w:type="dxa"/>
              <w:left w:w="85" w:type="dxa"/>
              <w:bottom w:w="0" w:type="dxa"/>
              <w:right w:w="85" w:type="dxa"/>
            </w:tcMar>
          </w:tcPr>
          <w:p w14:paraId="258AC8F4" w14:textId="77777777" w:rsidR="009327C0" w:rsidRPr="001D5327" w:rsidRDefault="009327C0" w:rsidP="00D11AC9">
            <w:pPr>
              <w:pStyle w:val="TableText"/>
              <w:spacing w:before="40" w:after="40"/>
            </w:pPr>
            <w:r w:rsidRPr="001D5327">
              <w:rPr>
                <w:rFonts w:eastAsia="Calibri"/>
                <w:color w:val="000000"/>
              </w:rPr>
              <w:t>2004–2018</w:t>
            </w:r>
          </w:p>
        </w:tc>
        <w:tc>
          <w:tcPr>
            <w:tcW w:w="0" w:type="auto"/>
            <w:shd w:val="clear" w:color="auto" w:fill="FFFFFF"/>
            <w:tcMar>
              <w:top w:w="0" w:type="dxa"/>
              <w:left w:w="85" w:type="dxa"/>
              <w:bottom w:w="0" w:type="dxa"/>
              <w:right w:w="85" w:type="dxa"/>
            </w:tcMar>
          </w:tcPr>
          <w:p w14:paraId="584BF568" w14:textId="77777777" w:rsidR="009327C0" w:rsidRPr="001D5327" w:rsidRDefault="009327C0" w:rsidP="00D11AC9">
            <w:pPr>
              <w:pStyle w:val="TableText"/>
              <w:spacing w:before="40" w:after="40"/>
            </w:pPr>
            <w:r w:rsidRPr="001D5327">
              <w:rPr>
                <w:rFonts w:eastAsia="Calibri"/>
                <w:color w:val="000000"/>
              </w:rPr>
              <w:t>0.6</w:t>
            </w:r>
          </w:p>
        </w:tc>
      </w:tr>
    </w:tbl>
    <w:p w14:paraId="614060DE" w14:textId="77777777" w:rsidR="009327C0" w:rsidRPr="001D5327" w:rsidRDefault="009327C0" w:rsidP="009327C0">
      <w:pPr>
        <w:pStyle w:val="BodyText"/>
        <w:spacing w:before="240"/>
      </w:pPr>
      <w:r w:rsidRPr="001D5327">
        <w:t>For asphalt used as roofing material, IPCC default emission factors of 0.05 kilograms NMVOC and 0.0095 kilograms CO per tonne of product have been used.</w:t>
      </w:r>
    </w:p>
    <w:p w14:paraId="7DD12167" w14:textId="77777777" w:rsidR="009327C0" w:rsidRPr="001D5327" w:rsidRDefault="009327C0" w:rsidP="009327C0">
      <w:pPr>
        <w:pStyle w:val="Heading3"/>
      </w:pPr>
      <w:bookmarkStart w:id="508" w:name="X335db87626b49a835690f4032684f06d4f55ca8"/>
      <w:bookmarkEnd w:id="495"/>
      <w:bookmarkEnd w:id="502"/>
      <w:bookmarkEnd w:id="505"/>
      <w:r w:rsidRPr="001D5327">
        <w:t xml:space="preserve">4.5.3 </w:t>
      </w:r>
      <w:r w:rsidRPr="001D5327">
        <w:tab/>
        <w:t>Uncertainty assessment and time-series consistency</w:t>
      </w:r>
    </w:p>
    <w:p w14:paraId="5AFB56D1" w14:textId="77777777" w:rsidR="009327C0" w:rsidRPr="001D5327" w:rsidRDefault="009327C0" w:rsidP="009327C0">
      <w:pPr>
        <w:pStyle w:val="Heading4"/>
      </w:pPr>
      <w:bookmarkStart w:id="509" w:name="uncertainties-4"/>
      <w:r w:rsidRPr="001D5327">
        <w:t>Uncertainties</w:t>
      </w:r>
    </w:p>
    <w:p w14:paraId="773E6710" w14:textId="77777777" w:rsidR="009327C0" w:rsidRPr="001D5327" w:rsidRDefault="009327C0" w:rsidP="009327C0">
      <w:pPr>
        <w:pStyle w:val="BodyText"/>
      </w:pPr>
      <w:r w:rsidRPr="001D5327">
        <w:t>IPCC default uncertainty is estimated for CO</w:t>
      </w:r>
      <w:r w:rsidRPr="001D5327">
        <w:rPr>
          <w:vertAlign w:val="subscript"/>
        </w:rPr>
        <w:t>2</w:t>
      </w:r>
      <w:r w:rsidRPr="001D5327">
        <w:t xml:space="preserve"> from lubricant use. The uncertainties used for indirect emissions in this category are a mix of defaults and country specific. These uncertainties are shown in table 4.5.3.</w:t>
      </w:r>
    </w:p>
    <w:p w14:paraId="3004DA88" w14:textId="77777777" w:rsidR="009327C0" w:rsidRPr="001D5327" w:rsidRDefault="009327C0" w:rsidP="009327C0">
      <w:pPr>
        <w:pStyle w:val="Table"/>
      </w:pPr>
      <w:bookmarkStart w:id="510" w:name="_Toc194241691"/>
      <w:r w:rsidRPr="001D5327">
        <w:t xml:space="preserve">Table 4.5.3 </w:t>
      </w:r>
      <w:r w:rsidRPr="001D5327">
        <w:tab/>
        <w:t>Uncertainty in emissions in non-energy products from fuels and solvent use</w:t>
      </w:r>
      <w:bookmarkEnd w:id="510"/>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132"/>
        <w:gridCol w:w="2532"/>
        <w:gridCol w:w="2830"/>
      </w:tblGrid>
      <w:tr w:rsidR="009327C0" w:rsidRPr="001D5327" w14:paraId="173F073C" w14:textId="77777777" w:rsidTr="00D11AC9">
        <w:trPr>
          <w:tblHeader/>
        </w:trPr>
        <w:tc>
          <w:tcPr>
            <w:tcW w:w="0" w:type="auto"/>
            <w:shd w:val="clear" w:color="auto" w:fill="1B556B"/>
            <w:tcMar>
              <w:top w:w="0" w:type="dxa"/>
              <w:left w:w="85" w:type="dxa"/>
              <w:bottom w:w="0" w:type="dxa"/>
              <w:right w:w="85" w:type="dxa"/>
            </w:tcMar>
          </w:tcPr>
          <w:p w14:paraId="454067DA" w14:textId="77777777" w:rsidR="009327C0" w:rsidRPr="001D5327" w:rsidRDefault="009327C0" w:rsidP="00D11AC9">
            <w:pPr>
              <w:pStyle w:val="TableTextBold"/>
              <w:rPr>
                <w:noProof w:val="0"/>
                <w:color w:val="FFFFFF" w:themeColor="background1"/>
              </w:rPr>
            </w:pPr>
            <w:r w:rsidRPr="001D5327">
              <w:rPr>
                <w:rFonts w:eastAsia="Calibri"/>
                <w:noProof w:val="0"/>
                <w:color w:val="FFFFFF" w:themeColor="background1"/>
              </w:rPr>
              <w:t>Category</w:t>
            </w:r>
          </w:p>
        </w:tc>
        <w:tc>
          <w:tcPr>
            <w:tcW w:w="0" w:type="auto"/>
            <w:shd w:val="clear" w:color="auto" w:fill="1B556B"/>
            <w:tcMar>
              <w:top w:w="0" w:type="dxa"/>
              <w:left w:w="85" w:type="dxa"/>
              <w:bottom w:w="0" w:type="dxa"/>
              <w:right w:w="85" w:type="dxa"/>
            </w:tcMar>
          </w:tcPr>
          <w:p w14:paraId="52DCE4DF" w14:textId="77777777" w:rsidR="009327C0" w:rsidRPr="001D5327" w:rsidRDefault="009327C0" w:rsidP="00D11AC9">
            <w:pPr>
              <w:pStyle w:val="TableTextBold"/>
              <w:jc w:val="right"/>
              <w:rPr>
                <w:noProof w:val="0"/>
                <w:color w:val="FFFFFF" w:themeColor="background1"/>
              </w:rPr>
            </w:pPr>
            <w:r w:rsidRPr="001D5327">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tcPr>
          <w:p w14:paraId="7F450E35" w14:textId="77777777" w:rsidR="009327C0" w:rsidRPr="001D5327" w:rsidRDefault="009327C0" w:rsidP="00D11AC9">
            <w:pPr>
              <w:pStyle w:val="TableTextBold"/>
              <w:jc w:val="right"/>
              <w:rPr>
                <w:noProof w:val="0"/>
                <w:color w:val="FFFFFF" w:themeColor="background1"/>
              </w:rPr>
            </w:pPr>
            <w:r w:rsidRPr="001D5327">
              <w:rPr>
                <w:rFonts w:eastAsia="Calibri"/>
                <w:noProof w:val="0"/>
                <w:color w:val="FFFFFF" w:themeColor="background1"/>
              </w:rPr>
              <w:t>Uncertainty in emission factors (%)</w:t>
            </w:r>
          </w:p>
        </w:tc>
      </w:tr>
      <w:tr w:rsidR="009327C0" w:rsidRPr="001D5327" w14:paraId="0406F21D" w14:textId="77777777" w:rsidTr="00D11AC9">
        <w:tc>
          <w:tcPr>
            <w:tcW w:w="0" w:type="auto"/>
            <w:shd w:val="clear" w:color="auto" w:fill="FFFFFF"/>
            <w:tcMar>
              <w:top w:w="0" w:type="dxa"/>
              <w:left w:w="85" w:type="dxa"/>
              <w:bottom w:w="0" w:type="dxa"/>
              <w:right w:w="85" w:type="dxa"/>
            </w:tcMar>
          </w:tcPr>
          <w:p w14:paraId="68054590" w14:textId="77777777" w:rsidR="009327C0" w:rsidRPr="001D5327" w:rsidRDefault="009327C0" w:rsidP="00D11AC9">
            <w:pPr>
              <w:pStyle w:val="TableText"/>
              <w:spacing w:before="40" w:after="40"/>
            </w:pPr>
            <w:r w:rsidRPr="001D5327">
              <w:rPr>
                <w:rFonts w:eastAsia="Calibri"/>
                <w:color w:val="000000"/>
              </w:rPr>
              <w:t>Lubricant use</w:t>
            </w:r>
          </w:p>
        </w:tc>
        <w:tc>
          <w:tcPr>
            <w:tcW w:w="0" w:type="auto"/>
            <w:shd w:val="clear" w:color="auto" w:fill="FFFFFF"/>
            <w:tcMar>
              <w:top w:w="0" w:type="dxa"/>
              <w:left w:w="85" w:type="dxa"/>
              <w:bottom w:w="0" w:type="dxa"/>
              <w:right w:w="85" w:type="dxa"/>
            </w:tcMar>
          </w:tcPr>
          <w:p w14:paraId="2D4A8B11" w14:textId="77777777" w:rsidR="009327C0" w:rsidRPr="001D5327" w:rsidRDefault="009327C0" w:rsidP="00D11AC9">
            <w:pPr>
              <w:pStyle w:val="TableText"/>
              <w:spacing w:before="40" w:after="40"/>
              <w:jc w:val="right"/>
            </w:pPr>
            <w:r w:rsidRPr="001D5327">
              <w:rPr>
                <w:rFonts w:eastAsia="Calibri"/>
                <w:color w:val="000000"/>
              </w:rPr>
              <w:t>±20</w:t>
            </w:r>
          </w:p>
        </w:tc>
        <w:tc>
          <w:tcPr>
            <w:tcW w:w="0" w:type="auto"/>
            <w:shd w:val="clear" w:color="auto" w:fill="FFFFFF"/>
            <w:tcMar>
              <w:top w:w="0" w:type="dxa"/>
              <w:left w:w="85" w:type="dxa"/>
              <w:bottom w:w="0" w:type="dxa"/>
              <w:right w:w="85" w:type="dxa"/>
            </w:tcMar>
          </w:tcPr>
          <w:p w14:paraId="1FC5D847" w14:textId="77777777" w:rsidR="009327C0" w:rsidRPr="001D5327" w:rsidRDefault="009327C0" w:rsidP="00D11AC9">
            <w:pPr>
              <w:pStyle w:val="TableText"/>
              <w:spacing w:before="40" w:after="40"/>
              <w:jc w:val="right"/>
            </w:pPr>
            <w:r w:rsidRPr="001D5327">
              <w:rPr>
                <w:rFonts w:eastAsia="Calibri"/>
                <w:color w:val="000000"/>
              </w:rPr>
              <w:t>±50</w:t>
            </w:r>
          </w:p>
        </w:tc>
      </w:tr>
      <w:tr w:rsidR="009327C0" w:rsidRPr="001D5327" w14:paraId="348F7B9D" w14:textId="77777777" w:rsidTr="00D11AC9">
        <w:tc>
          <w:tcPr>
            <w:tcW w:w="0" w:type="auto"/>
            <w:shd w:val="clear" w:color="auto" w:fill="FFFFFF"/>
            <w:tcMar>
              <w:top w:w="0" w:type="dxa"/>
              <w:left w:w="85" w:type="dxa"/>
              <w:bottom w:w="0" w:type="dxa"/>
              <w:right w:w="85" w:type="dxa"/>
            </w:tcMar>
          </w:tcPr>
          <w:p w14:paraId="1982FF9B" w14:textId="77777777" w:rsidR="009327C0" w:rsidRPr="001D5327" w:rsidRDefault="009327C0" w:rsidP="00D11AC9">
            <w:pPr>
              <w:pStyle w:val="TableText"/>
              <w:spacing w:before="40" w:after="40"/>
            </w:pPr>
            <w:r w:rsidRPr="001D5327">
              <w:rPr>
                <w:rFonts w:eastAsia="Calibri"/>
                <w:color w:val="000000"/>
              </w:rPr>
              <w:t>Paraffin wax use</w:t>
            </w:r>
          </w:p>
        </w:tc>
        <w:tc>
          <w:tcPr>
            <w:tcW w:w="0" w:type="auto"/>
            <w:shd w:val="clear" w:color="auto" w:fill="FFFFFF"/>
            <w:tcMar>
              <w:top w:w="0" w:type="dxa"/>
              <w:left w:w="85" w:type="dxa"/>
              <w:bottom w:w="0" w:type="dxa"/>
              <w:right w:w="85" w:type="dxa"/>
            </w:tcMar>
          </w:tcPr>
          <w:p w14:paraId="51949235" w14:textId="77777777" w:rsidR="009327C0" w:rsidRPr="001D5327" w:rsidRDefault="009327C0" w:rsidP="00D11AC9">
            <w:pPr>
              <w:pStyle w:val="TableText"/>
              <w:spacing w:before="40" w:after="40"/>
              <w:jc w:val="right"/>
            </w:pPr>
            <w:r w:rsidRPr="001D5327">
              <w:rPr>
                <w:rFonts w:eastAsia="Calibri"/>
                <w:color w:val="000000"/>
              </w:rPr>
              <w:t>±20</w:t>
            </w:r>
          </w:p>
        </w:tc>
        <w:tc>
          <w:tcPr>
            <w:tcW w:w="0" w:type="auto"/>
            <w:shd w:val="clear" w:color="auto" w:fill="FFFFFF"/>
            <w:tcMar>
              <w:top w:w="0" w:type="dxa"/>
              <w:left w:w="85" w:type="dxa"/>
              <w:bottom w:w="0" w:type="dxa"/>
              <w:right w:w="85" w:type="dxa"/>
            </w:tcMar>
          </w:tcPr>
          <w:p w14:paraId="4BB9DE3C" w14:textId="77777777" w:rsidR="009327C0" w:rsidRPr="001D5327" w:rsidRDefault="009327C0" w:rsidP="00D11AC9">
            <w:pPr>
              <w:pStyle w:val="TableText"/>
              <w:spacing w:before="40" w:after="40"/>
              <w:jc w:val="right"/>
            </w:pPr>
            <w:r w:rsidRPr="001D5327">
              <w:rPr>
                <w:rFonts w:eastAsia="Calibri"/>
                <w:color w:val="000000"/>
              </w:rPr>
              <w:t>±100</w:t>
            </w:r>
          </w:p>
        </w:tc>
      </w:tr>
      <w:tr w:rsidR="009327C0" w:rsidRPr="001D5327" w14:paraId="5FF57E8D" w14:textId="77777777" w:rsidTr="00D11AC9">
        <w:tc>
          <w:tcPr>
            <w:tcW w:w="0" w:type="auto"/>
            <w:shd w:val="clear" w:color="auto" w:fill="FFFFFF"/>
            <w:tcMar>
              <w:top w:w="0" w:type="dxa"/>
              <w:left w:w="85" w:type="dxa"/>
              <w:bottom w:w="0" w:type="dxa"/>
              <w:right w:w="85" w:type="dxa"/>
            </w:tcMar>
          </w:tcPr>
          <w:p w14:paraId="7F860B60" w14:textId="77777777" w:rsidR="009327C0" w:rsidRPr="001D5327" w:rsidRDefault="009327C0" w:rsidP="00D11AC9">
            <w:pPr>
              <w:pStyle w:val="TableText"/>
              <w:spacing w:before="40" w:after="40"/>
            </w:pPr>
            <w:r w:rsidRPr="001D5327">
              <w:rPr>
                <w:rFonts w:eastAsia="Calibri"/>
                <w:color w:val="000000"/>
              </w:rPr>
              <w:t>Use of urea-based catalysts in transport</w:t>
            </w:r>
          </w:p>
        </w:tc>
        <w:tc>
          <w:tcPr>
            <w:tcW w:w="0" w:type="auto"/>
            <w:shd w:val="clear" w:color="auto" w:fill="FFFFFF"/>
            <w:tcMar>
              <w:top w:w="0" w:type="dxa"/>
              <w:left w:w="85" w:type="dxa"/>
              <w:bottom w:w="0" w:type="dxa"/>
              <w:right w:w="85" w:type="dxa"/>
            </w:tcMar>
          </w:tcPr>
          <w:p w14:paraId="546F5DCE" w14:textId="77777777" w:rsidR="009327C0" w:rsidRPr="001D5327" w:rsidRDefault="009327C0" w:rsidP="00D11AC9">
            <w:pPr>
              <w:pStyle w:val="TableText"/>
              <w:spacing w:before="40" w:after="40"/>
              <w:jc w:val="right"/>
            </w:pPr>
            <w:r w:rsidRPr="001D5327">
              <w:rPr>
                <w:rFonts w:eastAsia="Calibri"/>
                <w:color w:val="000000"/>
              </w:rPr>
              <w:t>±50</w:t>
            </w:r>
          </w:p>
        </w:tc>
        <w:tc>
          <w:tcPr>
            <w:tcW w:w="0" w:type="auto"/>
            <w:shd w:val="clear" w:color="auto" w:fill="FFFFFF"/>
            <w:tcMar>
              <w:top w:w="0" w:type="dxa"/>
              <w:left w:w="85" w:type="dxa"/>
              <w:bottom w:w="0" w:type="dxa"/>
              <w:right w:w="85" w:type="dxa"/>
            </w:tcMar>
          </w:tcPr>
          <w:p w14:paraId="4F6E9275" w14:textId="77777777" w:rsidR="009327C0" w:rsidRPr="001D5327" w:rsidRDefault="009327C0" w:rsidP="00D11AC9">
            <w:pPr>
              <w:pStyle w:val="TableText"/>
              <w:spacing w:before="40" w:after="40"/>
              <w:jc w:val="right"/>
            </w:pPr>
            <w:r w:rsidRPr="001D5327">
              <w:rPr>
                <w:rFonts w:eastAsia="Calibri"/>
                <w:color w:val="000000"/>
              </w:rPr>
              <w:t>±10</w:t>
            </w:r>
          </w:p>
        </w:tc>
      </w:tr>
      <w:tr w:rsidR="009327C0" w:rsidRPr="001D5327" w14:paraId="77F59934" w14:textId="77777777" w:rsidTr="00D11AC9">
        <w:tc>
          <w:tcPr>
            <w:tcW w:w="0" w:type="auto"/>
            <w:shd w:val="clear" w:color="auto" w:fill="FFFFFF"/>
            <w:tcMar>
              <w:top w:w="0" w:type="dxa"/>
              <w:left w:w="85" w:type="dxa"/>
              <w:bottom w:w="0" w:type="dxa"/>
              <w:right w:w="85" w:type="dxa"/>
            </w:tcMar>
          </w:tcPr>
          <w:p w14:paraId="6804BE36" w14:textId="77777777" w:rsidR="009327C0" w:rsidRPr="001D5327" w:rsidRDefault="009327C0" w:rsidP="00D11AC9">
            <w:pPr>
              <w:pStyle w:val="TableText"/>
              <w:spacing w:before="40" w:after="40"/>
            </w:pPr>
            <w:r w:rsidRPr="001D5327">
              <w:rPr>
                <w:rFonts w:eastAsia="Calibri"/>
                <w:color w:val="000000"/>
              </w:rPr>
              <w:t>Asphalt road paving</w:t>
            </w:r>
          </w:p>
        </w:tc>
        <w:tc>
          <w:tcPr>
            <w:tcW w:w="0" w:type="auto"/>
            <w:shd w:val="clear" w:color="auto" w:fill="FFFFFF"/>
            <w:tcMar>
              <w:top w:w="0" w:type="dxa"/>
              <w:left w:w="85" w:type="dxa"/>
              <w:bottom w:w="0" w:type="dxa"/>
              <w:right w:w="85" w:type="dxa"/>
            </w:tcMar>
          </w:tcPr>
          <w:p w14:paraId="19021967" w14:textId="77777777" w:rsidR="009327C0" w:rsidRPr="001D5327" w:rsidRDefault="009327C0" w:rsidP="00D11AC9">
            <w:pPr>
              <w:pStyle w:val="TableText"/>
              <w:spacing w:before="40" w:after="40"/>
              <w:jc w:val="right"/>
            </w:pPr>
            <w:r w:rsidRPr="001D5327">
              <w:rPr>
                <w:rFonts w:eastAsia="Calibri"/>
                <w:color w:val="000000"/>
              </w:rPr>
              <w:t>±40</w:t>
            </w:r>
          </w:p>
        </w:tc>
        <w:tc>
          <w:tcPr>
            <w:tcW w:w="0" w:type="auto"/>
            <w:shd w:val="clear" w:color="auto" w:fill="FFFFFF"/>
            <w:tcMar>
              <w:top w:w="0" w:type="dxa"/>
              <w:left w:w="85" w:type="dxa"/>
              <w:bottom w:w="0" w:type="dxa"/>
              <w:right w:w="85" w:type="dxa"/>
            </w:tcMar>
          </w:tcPr>
          <w:p w14:paraId="00953A98" w14:textId="77777777" w:rsidR="009327C0" w:rsidRPr="001D5327" w:rsidRDefault="009327C0" w:rsidP="00D11AC9">
            <w:pPr>
              <w:pStyle w:val="TableText"/>
              <w:spacing w:before="40" w:after="40"/>
              <w:jc w:val="right"/>
            </w:pPr>
            <w:r w:rsidRPr="001D5327">
              <w:rPr>
                <w:rFonts w:eastAsia="Calibri"/>
                <w:color w:val="000000"/>
              </w:rPr>
              <w:t>±40</w:t>
            </w:r>
          </w:p>
        </w:tc>
      </w:tr>
      <w:tr w:rsidR="009327C0" w:rsidRPr="001D5327" w14:paraId="123665B2" w14:textId="77777777" w:rsidTr="00D11AC9">
        <w:tc>
          <w:tcPr>
            <w:tcW w:w="0" w:type="auto"/>
            <w:shd w:val="clear" w:color="auto" w:fill="FFFFFF"/>
            <w:tcMar>
              <w:top w:w="0" w:type="dxa"/>
              <w:left w:w="85" w:type="dxa"/>
              <w:bottom w:w="0" w:type="dxa"/>
              <w:right w:w="85" w:type="dxa"/>
            </w:tcMar>
          </w:tcPr>
          <w:p w14:paraId="240364BE" w14:textId="77777777" w:rsidR="009327C0" w:rsidRPr="001D5327" w:rsidRDefault="009327C0" w:rsidP="00D11AC9">
            <w:pPr>
              <w:pStyle w:val="TableText"/>
              <w:spacing w:before="40" w:after="40"/>
            </w:pPr>
            <w:r w:rsidRPr="001D5327">
              <w:rPr>
                <w:rFonts w:eastAsia="Calibri"/>
                <w:color w:val="000000"/>
              </w:rPr>
              <w:t>Asphalt roofing</w:t>
            </w:r>
          </w:p>
        </w:tc>
        <w:tc>
          <w:tcPr>
            <w:tcW w:w="0" w:type="auto"/>
            <w:shd w:val="clear" w:color="auto" w:fill="FFFFFF"/>
            <w:tcMar>
              <w:top w:w="0" w:type="dxa"/>
              <w:left w:w="85" w:type="dxa"/>
              <w:bottom w:w="0" w:type="dxa"/>
              <w:right w:w="85" w:type="dxa"/>
            </w:tcMar>
          </w:tcPr>
          <w:p w14:paraId="313C8DFD" w14:textId="77777777" w:rsidR="009327C0" w:rsidRPr="001D5327" w:rsidRDefault="009327C0" w:rsidP="00D11AC9">
            <w:pPr>
              <w:pStyle w:val="TableText"/>
              <w:spacing w:before="40" w:after="40"/>
              <w:jc w:val="right"/>
            </w:pPr>
            <w:r w:rsidRPr="001D5327">
              <w:rPr>
                <w:rFonts w:eastAsia="Calibri"/>
                <w:color w:val="000000"/>
              </w:rPr>
              <w:t>±50</w:t>
            </w:r>
          </w:p>
        </w:tc>
        <w:tc>
          <w:tcPr>
            <w:tcW w:w="0" w:type="auto"/>
            <w:shd w:val="clear" w:color="auto" w:fill="FFFFFF"/>
            <w:tcMar>
              <w:top w:w="0" w:type="dxa"/>
              <w:left w:w="85" w:type="dxa"/>
              <w:bottom w:w="0" w:type="dxa"/>
              <w:right w:w="85" w:type="dxa"/>
            </w:tcMar>
          </w:tcPr>
          <w:p w14:paraId="7B1FE8E4" w14:textId="77777777" w:rsidR="009327C0" w:rsidRPr="001D5327" w:rsidRDefault="009327C0" w:rsidP="00D11AC9">
            <w:pPr>
              <w:pStyle w:val="TableText"/>
              <w:spacing w:before="40" w:after="40"/>
              <w:jc w:val="right"/>
            </w:pPr>
            <w:r w:rsidRPr="001D5327">
              <w:rPr>
                <w:rFonts w:eastAsia="Calibri"/>
                <w:color w:val="000000"/>
              </w:rPr>
              <w:t>±40</w:t>
            </w:r>
          </w:p>
        </w:tc>
      </w:tr>
      <w:tr w:rsidR="009327C0" w:rsidRPr="001D5327" w14:paraId="738700BF" w14:textId="77777777" w:rsidTr="00D11AC9">
        <w:tc>
          <w:tcPr>
            <w:tcW w:w="0" w:type="auto"/>
            <w:shd w:val="clear" w:color="auto" w:fill="FFFFFF"/>
            <w:tcMar>
              <w:top w:w="0" w:type="dxa"/>
              <w:left w:w="85" w:type="dxa"/>
              <w:bottom w:w="0" w:type="dxa"/>
              <w:right w:w="85" w:type="dxa"/>
            </w:tcMar>
          </w:tcPr>
          <w:p w14:paraId="4BE822AC" w14:textId="77777777" w:rsidR="009327C0" w:rsidRPr="001D5327" w:rsidRDefault="009327C0" w:rsidP="00D11AC9">
            <w:pPr>
              <w:pStyle w:val="TableText"/>
              <w:spacing w:before="40" w:after="40"/>
            </w:pPr>
            <w:r w:rsidRPr="001D5327">
              <w:rPr>
                <w:rFonts w:eastAsia="Calibri"/>
                <w:color w:val="000000"/>
              </w:rPr>
              <w:t>Paint application</w:t>
            </w:r>
          </w:p>
        </w:tc>
        <w:tc>
          <w:tcPr>
            <w:tcW w:w="0" w:type="auto"/>
            <w:shd w:val="clear" w:color="auto" w:fill="FFFFFF"/>
            <w:tcMar>
              <w:top w:w="0" w:type="dxa"/>
              <w:left w:w="85" w:type="dxa"/>
              <w:bottom w:w="0" w:type="dxa"/>
              <w:right w:w="85" w:type="dxa"/>
            </w:tcMar>
          </w:tcPr>
          <w:p w14:paraId="2387057D" w14:textId="77777777" w:rsidR="009327C0" w:rsidRPr="001D5327" w:rsidRDefault="009327C0" w:rsidP="00D11AC9">
            <w:pPr>
              <w:pStyle w:val="TableText"/>
              <w:spacing w:before="40" w:after="40"/>
              <w:jc w:val="right"/>
            </w:pPr>
            <w:r w:rsidRPr="001D5327">
              <w:rPr>
                <w:rFonts w:eastAsia="Calibri"/>
                <w:color w:val="000000"/>
              </w:rPr>
              <w:t>±40</w:t>
            </w:r>
          </w:p>
        </w:tc>
        <w:tc>
          <w:tcPr>
            <w:tcW w:w="0" w:type="auto"/>
            <w:shd w:val="clear" w:color="auto" w:fill="FFFFFF"/>
            <w:tcMar>
              <w:top w:w="0" w:type="dxa"/>
              <w:left w:w="85" w:type="dxa"/>
              <w:bottom w:w="0" w:type="dxa"/>
              <w:right w:w="85" w:type="dxa"/>
            </w:tcMar>
          </w:tcPr>
          <w:p w14:paraId="0DEA608F" w14:textId="77777777" w:rsidR="009327C0" w:rsidRPr="001D5327" w:rsidRDefault="009327C0" w:rsidP="00D11AC9">
            <w:pPr>
              <w:pStyle w:val="TableText"/>
              <w:spacing w:before="40" w:after="40"/>
              <w:jc w:val="right"/>
            </w:pPr>
            <w:r w:rsidRPr="001D5327">
              <w:rPr>
                <w:rFonts w:eastAsia="Calibri"/>
                <w:color w:val="000000"/>
              </w:rPr>
              <w:t>±50</w:t>
            </w:r>
          </w:p>
        </w:tc>
      </w:tr>
      <w:tr w:rsidR="009327C0" w:rsidRPr="001D5327" w14:paraId="11DE2B42" w14:textId="77777777" w:rsidTr="00D11AC9">
        <w:tc>
          <w:tcPr>
            <w:tcW w:w="0" w:type="auto"/>
            <w:shd w:val="clear" w:color="auto" w:fill="FFFFFF"/>
            <w:tcMar>
              <w:top w:w="0" w:type="dxa"/>
              <w:left w:w="85" w:type="dxa"/>
              <w:bottom w:w="0" w:type="dxa"/>
              <w:right w:w="85" w:type="dxa"/>
            </w:tcMar>
          </w:tcPr>
          <w:p w14:paraId="1D34A570" w14:textId="77777777" w:rsidR="009327C0" w:rsidRPr="001D5327" w:rsidRDefault="009327C0" w:rsidP="00D11AC9">
            <w:pPr>
              <w:pStyle w:val="TableText"/>
              <w:spacing w:before="40" w:after="40"/>
            </w:pPr>
            <w:r w:rsidRPr="001D5327">
              <w:rPr>
                <w:rFonts w:eastAsia="Calibri"/>
                <w:color w:val="000000"/>
              </w:rPr>
              <w:t>Degreasing and dry cleaning</w:t>
            </w:r>
          </w:p>
        </w:tc>
        <w:tc>
          <w:tcPr>
            <w:tcW w:w="0" w:type="auto"/>
            <w:shd w:val="clear" w:color="auto" w:fill="FFFFFF"/>
            <w:tcMar>
              <w:top w:w="0" w:type="dxa"/>
              <w:left w:w="85" w:type="dxa"/>
              <w:bottom w:w="0" w:type="dxa"/>
              <w:right w:w="85" w:type="dxa"/>
            </w:tcMar>
          </w:tcPr>
          <w:p w14:paraId="07BB6B85" w14:textId="77777777" w:rsidR="009327C0" w:rsidRPr="001D5327" w:rsidRDefault="009327C0" w:rsidP="00D11AC9">
            <w:pPr>
              <w:pStyle w:val="TableText"/>
              <w:spacing w:before="40" w:after="40"/>
              <w:jc w:val="right"/>
            </w:pPr>
            <w:r w:rsidRPr="001D5327">
              <w:rPr>
                <w:rFonts w:eastAsia="Calibri"/>
                <w:color w:val="000000"/>
              </w:rPr>
              <w:t>±40</w:t>
            </w:r>
          </w:p>
        </w:tc>
        <w:tc>
          <w:tcPr>
            <w:tcW w:w="0" w:type="auto"/>
            <w:shd w:val="clear" w:color="auto" w:fill="FFFFFF"/>
            <w:tcMar>
              <w:top w:w="0" w:type="dxa"/>
              <w:left w:w="85" w:type="dxa"/>
              <w:bottom w:w="0" w:type="dxa"/>
              <w:right w:w="85" w:type="dxa"/>
            </w:tcMar>
          </w:tcPr>
          <w:p w14:paraId="3C1878C6" w14:textId="77777777" w:rsidR="009327C0" w:rsidRPr="001D5327" w:rsidRDefault="009327C0" w:rsidP="00D11AC9">
            <w:pPr>
              <w:pStyle w:val="TableText"/>
              <w:spacing w:before="40" w:after="40"/>
              <w:jc w:val="right"/>
            </w:pPr>
            <w:r w:rsidRPr="001D5327">
              <w:rPr>
                <w:rFonts w:eastAsia="Calibri"/>
                <w:color w:val="000000"/>
              </w:rPr>
              <w:t>±60</w:t>
            </w:r>
          </w:p>
        </w:tc>
      </w:tr>
      <w:tr w:rsidR="009327C0" w:rsidRPr="001D5327" w14:paraId="50DC4DF3" w14:textId="77777777" w:rsidTr="00D11AC9">
        <w:tc>
          <w:tcPr>
            <w:tcW w:w="0" w:type="auto"/>
            <w:shd w:val="clear" w:color="auto" w:fill="FFFFFF"/>
            <w:tcMar>
              <w:top w:w="0" w:type="dxa"/>
              <w:left w:w="85" w:type="dxa"/>
              <w:bottom w:w="0" w:type="dxa"/>
              <w:right w:w="85" w:type="dxa"/>
            </w:tcMar>
          </w:tcPr>
          <w:p w14:paraId="132E48F6" w14:textId="77777777" w:rsidR="009327C0" w:rsidRPr="001D5327" w:rsidRDefault="009327C0" w:rsidP="00D11AC9">
            <w:pPr>
              <w:pStyle w:val="TableText"/>
              <w:spacing w:before="40" w:after="40"/>
            </w:pPr>
            <w:r w:rsidRPr="001D5327">
              <w:rPr>
                <w:rFonts w:eastAsia="Calibri"/>
                <w:color w:val="000000"/>
              </w:rPr>
              <w:t>Printing</w:t>
            </w:r>
          </w:p>
        </w:tc>
        <w:tc>
          <w:tcPr>
            <w:tcW w:w="0" w:type="auto"/>
            <w:shd w:val="clear" w:color="auto" w:fill="FFFFFF"/>
            <w:tcMar>
              <w:top w:w="0" w:type="dxa"/>
              <w:left w:w="85" w:type="dxa"/>
              <w:bottom w:w="0" w:type="dxa"/>
              <w:right w:w="85" w:type="dxa"/>
            </w:tcMar>
          </w:tcPr>
          <w:p w14:paraId="71B1D1DE" w14:textId="77777777" w:rsidR="009327C0" w:rsidRPr="001D5327" w:rsidRDefault="009327C0" w:rsidP="00D11AC9">
            <w:pPr>
              <w:pStyle w:val="TableText"/>
              <w:spacing w:before="40" w:after="40"/>
              <w:jc w:val="right"/>
            </w:pPr>
            <w:r w:rsidRPr="001D5327">
              <w:rPr>
                <w:rFonts w:eastAsia="Calibri"/>
                <w:color w:val="000000"/>
              </w:rPr>
              <w:t>±50</w:t>
            </w:r>
          </w:p>
        </w:tc>
        <w:tc>
          <w:tcPr>
            <w:tcW w:w="0" w:type="auto"/>
            <w:shd w:val="clear" w:color="auto" w:fill="FFFFFF"/>
            <w:tcMar>
              <w:top w:w="0" w:type="dxa"/>
              <w:left w:w="85" w:type="dxa"/>
              <w:bottom w:w="0" w:type="dxa"/>
              <w:right w:w="85" w:type="dxa"/>
            </w:tcMar>
          </w:tcPr>
          <w:p w14:paraId="4DCD1CF2" w14:textId="77777777" w:rsidR="009327C0" w:rsidRPr="001D5327" w:rsidRDefault="009327C0" w:rsidP="00D11AC9">
            <w:pPr>
              <w:pStyle w:val="TableText"/>
              <w:spacing w:before="40" w:after="40"/>
              <w:jc w:val="right"/>
            </w:pPr>
            <w:r w:rsidRPr="001D5327">
              <w:rPr>
                <w:rFonts w:eastAsia="Calibri"/>
                <w:color w:val="000000"/>
              </w:rPr>
              <w:t>±50</w:t>
            </w:r>
          </w:p>
        </w:tc>
      </w:tr>
      <w:tr w:rsidR="009327C0" w:rsidRPr="001D5327" w14:paraId="69A848ED" w14:textId="77777777" w:rsidTr="00D11AC9">
        <w:tc>
          <w:tcPr>
            <w:tcW w:w="0" w:type="auto"/>
            <w:shd w:val="clear" w:color="auto" w:fill="FFFFFF"/>
            <w:tcMar>
              <w:top w:w="0" w:type="dxa"/>
              <w:left w:w="85" w:type="dxa"/>
              <w:bottom w:w="0" w:type="dxa"/>
              <w:right w:w="85" w:type="dxa"/>
            </w:tcMar>
          </w:tcPr>
          <w:p w14:paraId="2EA73B8B" w14:textId="77777777" w:rsidR="009327C0" w:rsidRPr="001D5327" w:rsidRDefault="009327C0" w:rsidP="00D11AC9">
            <w:pPr>
              <w:pStyle w:val="TableText"/>
              <w:spacing w:before="40" w:after="40"/>
            </w:pPr>
            <w:r w:rsidRPr="001D5327">
              <w:rPr>
                <w:rFonts w:eastAsia="Calibri"/>
                <w:color w:val="000000"/>
              </w:rPr>
              <w:t>Domestic and commercial solvent use</w:t>
            </w:r>
          </w:p>
        </w:tc>
        <w:tc>
          <w:tcPr>
            <w:tcW w:w="0" w:type="auto"/>
            <w:shd w:val="clear" w:color="auto" w:fill="FFFFFF"/>
            <w:tcMar>
              <w:top w:w="0" w:type="dxa"/>
              <w:left w:w="85" w:type="dxa"/>
              <w:bottom w:w="0" w:type="dxa"/>
              <w:right w:w="85" w:type="dxa"/>
            </w:tcMar>
          </w:tcPr>
          <w:p w14:paraId="60A41C49" w14:textId="77777777" w:rsidR="009327C0" w:rsidRPr="001D5327" w:rsidRDefault="009327C0" w:rsidP="00D11AC9">
            <w:pPr>
              <w:pStyle w:val="TableText"/>
              <w:spacing w:before="40" w:after="40"/>
              <w:jc w:val="right"/>
            </w:pPr>
            <w:r w:rsidRPr="001D5327">
              <w:rPr>
                <w:rFonts w:eastAsia="Calibri"/>
                <w:color w:val="000000"/>
              </w:rPr>
              <w:t>±50</w:t>
            </w:r>
          </w:p>
        </w:tc>
        <w:tc>
          <w:tcPr>
            <w:tcW w:w="0" w:type="auto"/>
            <w:shd w:val="clear" w:color="auto" w:fill="FFFFFF"/>
            <w:tcMar>
              <w:top w:w="0" w:type="dxa"/>
              <w:left w:w="85" w:type="dxa"/>
              <w:bottom w:w="0" w:type="dxa"/>
              <w:right w:w="85" w:type="dxa"/>
            </w:tcMar>
          </w:tcPr>
          <w:p w14:paraId="12DDFFBA" w14:textId="77777777" w:rsidR="009327C0" w:rsidRPr="001D5327" w:rsidRDefault="009327C0" w:rsidP="00D11AC9">
            <w:pPr>
              <w:pStyle w:val="TableText"/>
              <w:spacing w:before="40" w:after="40"/>
              <w:jc w:val="right"/>
            </w:pPr>
            <w:r w:rsidRPr="001D5327">
              <w:rPr>
                <w:rFonts w:eastAsia="Calibri"/>
                <w:color w:val="000000"/>
              </w:rPr>
              <w:t>±60</w:t>
            </w:r>
          </w:p>
        </w:tc>
      </w:tr>
    </w:tbl>
    <w:p w14:paraId="78029B70" w14:textId="77777777" w:rsidR="009327C0" w:rsidRPr="001D5327" w:rsidRDefault="009327C0" w:rsidP="009327C0">
      <w:pPr>
        <w:pStyle w:val="Heading4"/>
        <w:spacing w:before="360"/>
      </w:pPr>
      <w:bookmarkStart w:id="511" w:name="time-series-consistency-3"/>
      <w:bookmarkEnd w:id="509"/>
      <w:r w:rsidRPr="001D5327">
        <w:lastRenderedPageBreak/>
        <w:t>Time-series consistency</w:t>
      </w:r>
    </w:p>
    <w:p w14:paraId="171214BF" w14:textId="77777777" w:rsidR="009327C0" w:rsidRPr="001D5327" w:rsidRDefault="009327C0" w:rsidP="00D42CDB">
      <w:pPr>
        <w:pStyle w:val="BodyText"/>
        <w:spacing w:before="100" w:after="100"/>
      </w:pPr>
      <w:r w:rsidRPr="001D5327">
        <w:t>For CO</w:t>
      </w:r>
      <w:r w:rsidRPr="001D5327">
        <w:rPr>
          <w:vertAlign w:val="subscript"/>
        </w:rPr>
        <w:t>2</w:t>
      </w:r>
      <w:r w:rsidRPr="001D5327">
        <w:t xml:space="preserve"> emissions in this category, the activity data have been extrapolated and emission factors are defaults. The implied emission factors and time-series consistency reflect this.</w:t>
      </w:r>
    </w:p>
    <w:p w14:paraId="2BB29D02" w14:textId="77777777" w:rsidR="009327C0" w:rsidRPr="001D5327" w:rsidRDefault="009327C0" w:rsidP="00D42CDB">
      <w:pPr>
        <w:pStyle w:val="Heading3"/>
        <w:spacing w:before="280"/>
      </w:pPr>
      <w:bookmarkStart w:id="512" w:name="X82c00aa75cec5601534b14371f804a69d91c8c4"/>
      <w:bookmarkEnd w:id="508"/>
      <w:bookmarkEnd w:id="511"/>
      <w:r w:rsidRPr="001D5327">
        <w:t xml:space="preserve">4.5.4 </w:t>
      </w:r>
      <w:r w:rsidRPr="001D5327">
        <w:tab/>
        <w:t>Category-specific QA/QC and verification</w:t>
      </w:r>
    </w:p>
    <w:p w14:paraId="7E3E2359" w14:textId="77777777" w:rsidR="009327C0" w:rsidRPr="001D5327" w:rsidRDefault="009327C0" w:rsidP="00D42CDB">
      <w:pPr>
        <w:pStyle w:val="BodyText"/>
        <w:spacing w:before="100" w:after="100"/>
      </w:pPr>
      <w:r w:rsidRPr="001D5327">
        <w:rPr>
          <w:i/>
          <w:iCs/>
        </w:rPr>
        <w:t>Non-energy products from fuels and solvent use</w:t>
      </w:r>
      <w:r w:rsidRPr="001D5327">
        <w:t xml:space="preserve"> is a non-key category. Verification of the data from independent sources was not feasible.</w:t>
      </w:r>
    </w:p>
    <w:p w14:paraId="30DF146E" w14:textId="77777777" w:rsidR="009327C0" w:rsidRPr="001D5327" w:rsidRDefault="009327C0" w:rsidP="00D42CDB">
      <w:pPr>
        <w:pStyle w:val="Heading3"/>
        <w:spacing w:before="280"/>
      </w:pPr>
      <w:bookmarkStart w:id="513" w:name="category-specific-recalculations-3"/>
      <w:bookmarkEnd w:id="512"/>
      <w:r w:rsidRPr="001D5327">
        <w:t xml:space="preserve">4.5.5 </w:t>
      </w:r>
      <w:r w:rsidRPr="001D5327">
        <w:tab/>
        <w:t>Category-specific recalculations</w:t>
      </w:r>
    </w:p>
    <w:p w14:paraId="791F869D" w14:textId="77777777" w:rsidR="009327C0" w:rsidRPr="001D5327" w:rsidRDefault="009327C0" w:rsidP="00D42CDB">
      <w:pPr>
        <w:pStyle w:val="BodyText"/>
        <w:spacing w:before="100" w:after="100"/>
      </w:pPr>
      <w:r w:rsidRPr="001D5327">
        <w:t xml:space="preserve">Changes made in the lubricant activity data have led to a decrease of average annual emissions by 16.7 kt in this category between 1990 and 2022. </w:t>
      </w:r>
    </w:p>
    <w:p w14:paraId="497C4040" w14:textId="77777777" w:rsidR="009327C0" w:rsidRPr="001D5327" w:rsidRDefault="009327C0" w:rsidP="00D42CDB">
      <w:pPr>
        <w:pStyle w:val="Heading3"/>
        <w:spacing w:before="280"/>
      </w:pPr>
      <w:bookmarkStart w:id="514" w:name="category-specific-planned-improvements-3"/>
      <w:bookmarkEnd w:id="513"/>
      <w:r w:rsidRPr="001D5327">
        <w:t xml:space="preserve">4.5.6 </w:t>
      </w:r>
      <w:r w:rsidRPr="001D5327">
        <w:tab/>
        <w:t>Category-specific planned improvements</w:t>
      </w:r>
    </w:p>
    <w:p w14:paraId="3EB9C3F9" w14:textId="77777777" w:rsidR="009327C0" w:rsidRPr="001D5327" w:rsidRDefault="009327C0" w:rsidP="00D42CDB">
      <w:pPr>
        <w:pStyle w:val="BodyText"/>
        <w:spacing w:before="100" w:after="100"/>
      </w:pPr>
      <w:r w:rsidRPr="001D5327">
        <w:t>This category is not a priority for improvement, due to the small scale of emissions. The inventory agency will make use of improved activity data where possible, particularly for lubricants and urea-based catalysts.</w:t>
      </w:r>
    </w:p>
    <w:p w14:paraId="779FF06F" w14:textId="77777777" w:rsidR="009327C0" w:rsidRPr="001D5327" w:rsidRDefault="009327C0" w:rsidP="00D42CDB">
      <w:pPr>
        <w:pStyle w:val="Heading2"/>
        <w:spacing w:before="320"/>
      </w:pPr>
      <w:bookmarkStart w:id="515" w:name="_Toc194312009"/>
      <w:bookmarkStart w:id="516" w:name="electronics-industry-2.e"/>
      <w:bookmarkEnd w:id="493"/>
      <w:bookmarkEnd w:id="514"/>
      <w:r w:rsidRPr="001D5327">
        <w:t xml:space="preserve">4.6 </w:t>
      </w:r>
      <w:r w:rsidRPr="001D5327">
        <w:tab/>
        <w:t>Electronics industry (2.E)</w:t>
      </w:r>
      <w:bookmarkEnd w:id="515"/>
    </w:p>
    <w:p w14:paraId="4DD7CF61" w14:textId="77777777" w:rsidR="009327C0" w:rsidRPr="001D5327" w:rsidRDefault="009327C0" w:rsidP="009327C0">
      <w:pPr>
        <w:pStyle w:val="BodyText"/>
      </w:pPr>
      <w:r w:rsidRPr="001D5327">
        <w:t>New Zealand has no significant industry engaged in the manufacture of electronic products, and no emissions are reported in this category.</w:t>
      </w:r>
    </w:p>
    <w:p w14:paraId="6B3B9C38" w14:textId="77777777" w:rsidR="009327C0" w:rsidRPr="001D5327" w:rsidRDefault="009327C0" w:rsidP="00D42CDB">
      <w:pPr>
        <w:pStyle w:val="Heading2"/>
        <w:spacing w:before="320"/>
      </w:pPr>
      <w:bookmarkStart w:id="517" w:name="_Toc194312010"/>
      <w:bookmarkStart w:id="518" w:name="product-uses-as-substitutes-for-ods-2.f"/>
      <w:bookmarkEnd w:id="516"/>
      <w:r w:rsidRPr="001D5327">
        <w:t xml:space="preserve">4.7 </w:t>
      </w:r>
      <w:r w:rsidRPr="001D5327">
        <w:tab/>
        <w:t>Product uses as substitutes for ODS (2.F)</w:t>
      </w:r>
      <w:bookmarkEnd w:id="517"/>
    </w:p>
    <w:p w14:paraId="68E50455" w14:textId="77777777" w:rsidR="009327C0" w:rsidRPr="001D5327" w:rsidRDefault="009327C0" w:rsidP="00623089">
      <w:pPr>
        <w:pStyle w:val="Heading3"/>
        <w:spacing w:before="240"/>
      </w:pPr>
      <w:bookmarkStart w:id="519" w:name="description-4"/>
      <w:r w:rsidRPr="001D5327">
        <w:t xml:space="preserve">4.7.1 </w:t>
      </w:r>
      <w:r w:rsidRPr="001D5327">
        <w:tab/>
        <w:t>Description</w:t>
      </w:r>
    </w:p>
    <w:p w14:paraId="34E4119D" w14:textId="77777777" w:rsidR="009327C0" w:rsidRPr="001D5327" w:rsidRDefault="009327C0" w:rsidP="00D42CDB">
      <w:pPr>
        <w:pStyle w:val="BodyText"/>
        <w:spacing w:before="100" w:after="100"/>
      </w:pPr>
      <w:r w:rsidRPr="001D5327">
        <w:t xml:space="preserve">Hydrofluorocarbons are used in a wide range of equipment and products, including refrigeration and air conditioning systems and aerosols. Small amounts of PFCs have also been used in these applications in some years. No HFCs or PFCs are manufactured in New Zealand. Perfluorocarbons are also emitted from the aluminium-smelting process and these emissions are reported in the </w:t>
      </w:r>
      <w:r w:rsidRPr="001D5327">
        <w:rPr>
          <w:i/>
          <w:iCs/>
        </w:rPr>
        <w:t>Metal industry</w:t>
      </w:r>
      <w:r w:rsidRPr="001D5327">
        <w:t xml:space="preserve"> category (2.C.3.b).</w:t>
      </w:r>
    </w:p>
    <w:p w14:paraId="2C847A9E" w14:textId="77777777" w:rsidR="009327C0" w:rsidRPr="001D5327" w:rsidRDefault="009327C0" w:rsidP="00D42CDB">
      <w:pPr>
        <w:pStyle w:val="BodyText"/>
        <w:spacing w:before="100" w:after="100"/>
      </w:pPr>
      <w:r w:rsidRPr="001D5327">
        <w:t>The use of HFCs in New Zealand began in 1992 and has increased since the mid-1990s when chlorofluorocarbons (CFCs) and hydrochlorofluorocarbons (HCFCs) began to be phased out under the Montreal Protocol. The Ozone Layer Protection Act 1996 set out a programme for phasing out the use of ODS in New Zealand. New Zealand is a signatory to the Kigali Amendment to the Montreal Protocol and is now phasing down the consumption of HFCs. The phase-down is being implemented through a permitting system for imports, which began on 1 January 2020.</w:t>
      </w:r>
    </w:p>
    <w:p w14:paraId="7160DD48" w14:textId="77777777" w:rsidR="009327C0" w:rsidRPr="001D5327" w:rsidRDefault="009327C0" w:rsidP="00D42CDB">
      <w:pPr>
        <w:pStyle w:val="BodyText"/>
        <w:spacing w:before="100" w:after="100"/>
      </w:pPr>
      <w:r w:rsidRPr="001D5327">
        <w:t xml:space="preserve">In 2023, emissions in the </w:t>
      </w:r>
      <w:r w:rsidRPr="001D5327">
        <w:rPr>
          <w:i/>
          <w:iCs/>
        </w:rPr>
        <w:t>Product uses as substitutes for ODS</w:t>
      </w:r>
      <w:r w:rsidRPr="001D5327">
        <w:t xml:space="preserve"> category were 1,087.1 kt CO</w:t>
      </w:r>
      <w:r w:rsidRPr="001D5327">
        <w:rPr>
          <w:vertAlign w:val="subscript"/>
        </w:rPr>
        <w:t>2</w:t>
      </w:r>
      <w:r w:rsidRPr="001D5327">
        <w:t>-e or 27.0 per cent of emissions from the IPPU sector. This was a decrease of 458.9 kt CO</w:t>
      </w:r>
      <w:r w:rsidRPr="001D5327">
        <w:rPr>
          <w:vertAlign w:val="subscript"/>
        </w:rPr>
        <w:t>2</w:t>
      </w:r>
      <w:r w:rsidRPr="001D5327">
        <w:t>-e (29.7 per cent) from the 2021 level of 1,546.0 kt CO</w:t>
      </w:r>
      <w:r w:rsidRPr="001D5327">
        <w:rPr>
          <w:vertAlign w:val="subscript"/>
        </w:rPr>
        <w:t>2</w:t>
      </w:r>
      <w:r w:rsidRPr="001D5327">
        <w:t>-e. No HFCs or PFCs were used in 1990. The first consumption of HFCs in New Zealand was reported in 1992 and the first consumption of PFCs in 1995.</w:t>
      </w:r>
    </w:p>
    <w:p w14:paraId="2C1603DA" w14:textId="77777777" w:rsidR="009327C0" w:rsidRPr="001D5327" w:rsidRDefault="009327C0" w:rsidP="00D42CDB">
      <w:pPr>
        <w:pStyle w:val="BodyText"/>
        <w:spacing w:before="100"/>
      </w:pPr>
      <w:r w:rsidRPr="001D5327">
        <w:t xml:space="preserve">Most of these emissions come from the use of HFCs in the </w:t>
      </w:r>
      <w:r w:rsidRPr="001D5327">
        <w:rPr>
          <w:i/>
          <w:iCs/>
        </w:rPr>
        <w:t>Refrigeration and air conditioning</w:t>
      </w:r>
      <w:r w:rsidRPr="001D5327">
        <w:t xml:space="preserve"> category. Emissions from the use of HFCs in the </w:t>
      </w:r>
      <w:r w:rsidRPr="001D5327">
        <w:rPr>
          <w:i/>
          <w:iCs/>
        </w:rPr>
        <w:t>Refrigeration and air conditioning</w:t>
      </w:r>
      <w:r w:rsidRPr="001D5327">
        <w:t xml:space="preserve"> category (level and trend assessment) were identified as a key category.</w:t>
      </w:r>
    </w:p>
    <w:p w14:paraId="639E7CDD" w14:textId="77777777" w:rsidR="009327C0" w:rsidRPr="001D5327" w:rsidRDefault="009327C0" w:rsidP="009327C0">
      <w:pPr>
        <w:pStyle w:val="Heading3"/>
      </w:pPr>
      <w:bookmarkStart w:id="520" w:name="methodological-issues-4"/>
      <w:bookmarkEnd w:id="519"/>
      <w:r w:rsidRPr="001D5327">
        <w:lastRenderedPageBreak/>
        <w:t xml:space="preserve">4.7.2 </w:t>
      </w:r>
      <w:r w:rsidRPr="001D5327">
        <w:tab/>
        <w:t>Methodological issues</w:t>
      </w:r>
    </w:p>
    <w:p w14:paraId="52290CBD" w14:textId="77777777" w:rsidR="009327C0" w:rsidRPr="001D5327" w:rsidRDefault="009327C0" w:rsidP="009327C0">
      <w:pPr>
        <w:pStyle w:val="Heading4"/>
      </w:pPr>
      <w:bookmarkStart w:id="521" w:name="choice-of-activity-data-4"/>
      <w:r w:rsidRPr="001D5327">
        <w:t>Choice of activity data</w:t>
      </w:r>
    </w:p>
    <w:p w14:paraId="0BDAA26E" w14:textId="77777777" w:rsidR="009327C0" w:rsidRPr="001D5327" w:rsidRDefault="009327C0" w:rsidP="009327C0">
      <w:pPr>
        <w:pStyle w:val="BodyText"/>
      </w:pPr>
      <w:r w:rsidRPr="001D5327">
        <w:t>New Zealand imports substantial amounts of new HFCs, mainly for use as refrigerants, both in bulk and in factory-charged equipment. Both bulk chemical and equipment charged in New Zealand are exported, but on a much smaller scale.</w:t>
      </w:r>
    </w:p>
    <w:p w14:paraId="5D95FB6C" w14:textId="77777777" w:rsidR="009327C0" w:rsidRPr="001D5327" w:rsidRDefault="009327C0" w:rsidP="009327C0">
      <w:pPr>
        <w:pStyle w:val="BodyText"/>
      </w:pPr>
      <w:r w:rsidRPr="001D5327">
        <w:t xml:space="preserve">Most of the activity data for the </w:t>
      </w:r>
      <w:r w:rsidRPr="001D5327">
        <w:rPr>
          <w:i/>
          <w:iCs/>
        </w:rPr>
        <w:t>Product uses as substitutes for ODS</w:t>
      </w:r>
      <w:r w:rsidRPr="001D5327">
        <w:t xml:space="preserve"> category are collected using annual surveys of companies that import, distribute and export refrigerants and other synthetic gases, manufacture or import products containing them or use them on a significant scale (Verum Group, unpublished).</w:t>
      </w:r>
    </w:p>
    <w:p w14:paraId="5DDB578B" w14:textId="77777777" w:rsidR="009327C0" w:rsidRPr="001D5327" w:rsidRDefault="009327C0" w:rsidP="009327C0">
      <w:pPr>
        <w:pStyle w:val="BodyText"/>
      </w:pPr>
      <w:r w:rsidRPr="001D5327">
        <w:t>Data on bulk imports and exports of refrigerant, and factory-charged imported and exported equipment, were obtained using a survey. Detailed information on the supplies and banks of chemical in each sub-application was obtained from survey questionnaires and follow-up calls to request specific data. The survey included:</w:t>
      </w:r>
    </w:p>
    <w:p w14:paraId="42BA4C42" w14:textId="77777777" w:rsidR="009327C0" w:rsidRPr="001D5327" w:rsidRDefault="009327C0" w:rsidP="009327C0">
      <w:pPr>
        <w:pStyle w:val="Bullet"/>
      </w:pPr>
      <w:r w:rsidRPr="001D5327">
        <w:t>14 companies known to be significant importers and distributors of HFCs and PFCs</w:t>
      </w:r>
    </w:p>
    <w:p w14:paraId="000C54E0" w14:textId="77777777" w:rsidR="009327C0" w:rsidRPr="001D5327" w:rsidRDefault="009327C0" w:rsidP="009327C0">
      <w:pPr>
        <w:pStyle w:val="Bullet"/>
      </w:pPr>
      <w:r w:rsidRPr="001D5327">
        <w:t>approximately 50 manufacturers, exporters, importers and significant users of air conditioning and refrigeration systems and equipment</w:t>
      </w:r>
    </w:p>
    <w:p w14:paraId="7420C121" w14:textId="77777777" w:rsidR="009327C0" w:rsidRPr="001D5327" w:rsidRDefault="009327C0" w:rsidP="009327C0">
      <w:pPr>
        <w:pStyle w:val="Bullet"/>
      </w:pPr>
      <w:r w:rsidRPr="001D5327">
        <w:t>importers, service agents and installers of vehicle air conditioners, and their trade association</w:t>
      </w:r>
    </w:p>
    <w:p w14:paraId="279E1231" w14:textId="77777777" w:rsidR="009327C0" w:rsidRPr="001D5327" w:rsidRDefault="009327C0" w:rsidP="009327C0">
      <w:pPr>
        <w:pStyle w:val="Bullet"/>
      </w:pPr>
      <w:r w:rsidRPr="001D5327">
        <w:t>the three companies that supply fire protection equipment</w:t>
      </w:r>
    </w:p>
    <w:p w14:paraId="762CA502" w14:textId="77777777" w:rsidR="009327C0" w:rsidRPr="001D5327" w:rsidRDefault="009327C0" w:rsidP="009327C0">
      <w:pPr>
        <w:pStyle w:val="Bullet"/>
      </w:pPr>
      <w:r w:rsidRPr="001D5327">
        <w:t>five foam blowing companies and their suppliers</w:t>
      </w:r>
    </w:p>
    <w:p w14:paraId="29C33B4F" w14:textId="77777777" w:rsidR="009327C0" w:rsidRPr="001D5327" w:rsidRDefault="009327C0" w:rsidP="009327C0">
      <w:pPr>
        <w:pStyle w:val="Bullet"/>
      </w:pPr>
      <w:r w:rsidRPr="001D5327">
        <w:t>the government pharmaceutical purchasing agency (Pharmac)</w:t>
      </w:r>
    </w:p>
    <w:p w14:paraId="41C709A9" w14:textId="77777777" w:rsidR="009327C0" w:rsidRPr="001D5327" w:rsidRDefault="009327C0" w:rsidP="009327C0">
      <w:pPr>
        <w:pStyle w:val="Bullet"/>
      </w:pPr>
      <w:r w:rsidRPr="001D5327">
        <w:t>aerosol importers</w:t>
      </w:r>
    </w:p>
    <w:p w14:paraId="0BCA6892" w14:textId="77777777" w:rsidR="009327C0" w:rsidRPr="001D5327" w:rsidRDefault="009327C0" w:rsidP="009327C0">
      <w:pPr>
        <w:pStyle w:val="Bullet"/>
      </w:pPr>
      <w:r w:rsidRPr="001D5327">
        <w:t>four past importers of SF</w:t>
      </w:r>
      <w:r w:rsidRPr="001D5327">
        <w:rPr>
          <w:vertAlign w:val="subscript"/>
        </w:rPr>
        <w:t>6</w:t>
      </w:r>
    </w:p>
    <w:p w14:paraId="6F1A6A26" w14:textId="77777777" w:rsidR="009327C0" w:rsidRPr="001D5327" w:rsidRDefault="009327C0" w:rsidP="009327C0">
      <w:pPr>
        <w:pStyle w:val="Bullet"/>
      </w:pPr>
      <w:r w:rsidRPr="001D5327">
        <w:t>eighteen main SF</w:t>
      </w:r>
      <w:r w:rsidRPr="001D5327">
        <w:rPr>
          <w:vertAlign w:val="subscript"/>
        </w:rPr>
        <w:t>6</w:t>
      </w:r>
      <w:r w:rsidRPr="001D5327">
        <w:t xml:space="preserve"> electrical users.</w:t>
      </w:r>
    </w:p>
    <w:p w14:paraId="63672E16" w14:textId="77777777" w:rsidR="009327C0" w:rsidRPr="001D5327" w:rsidRDefault="009327C0" w:rsidP="009327C0">
      <w:pPr>
        <w:pStyle w:val="BodyText"/>
      </w:pPr>
      <w:r w:rsidRPr="001D5327">
        <w:t>Equipment sales data are also sourced from the Energy Efficiency and Conservation Authority for equipment reported under New Zealand’s mandatory energy efficiency labelling scheme. Import data are sourced from Stats NZ and the EPA for information derived from the NZ ETS and climate change levy.</w:t>
      </w:r>
    </w:p>
    <w:p w14:paraId="085FEC9E" w14:textId="77777777" w:rsidR="009327C0" w:rsidRPr="001D5327" w:rsidRDefault="009327C0" w:rsidP="009327C0">
      <w:pPr>
        <w:pStyle w:val="Heading5"/>
      </w:pPr>
      <w:bookmarkStart w:id="522" w:name="refrigeration-and-air-conditioning-2.f.1"/>
      <w:r w:rsidRPr="001D5327">
        <w:t>Refrigeration and air conditioning (2.F.1)</w:t>
      </w:r>
    </w:p>
    <w:p w14:paraId="63052F14" w14:textId="77777777" w:rsidR="009327C0" w:rsidRPr="001D5327" w:rsidRDefault="009327C0" w:rsidP="009327C0">
      <w:pPr>
        <w:pStyle w:val="BodyText"/>
      </w:pPr>
      <w:r w:rsidRPr="001D5327">
        <w:t>Data are used to estimate the annual sales of new refrigerant and the total charge of new equipment, for input into the mass balance equation used to estimate emissions of each compound for each sub-application.</w:t>
      </w:r>
    </w:p>
    <w:p w14:paraId="58EC0F9F" w14:textId="0B65A993" w:rsidR="009327C0" w:rsidRPr="001D5327" w:rsidRDefault="009327C0" w:rsidP="009327C0">
      <w:pPr>
        <w:pStyle w:val="BodyText"/>
      </w:pPr>
      <w:r w:rsidRPr="001D5327">
        <w:t>This information has been used to assess the mass balance for each sub-application. However, the attribution of bulk chemical to individual sub-applications is less accurate than the data on</w:t>
      </w:r>
      <w:r w:rsidR="00570573" w:rsidRPr="001D5327">
        <w:t> </w:t>
      </w:r>
      <w:r w:rsidRPr="001D5327">
        <w:t>total amounts of each chemical imported. It is consistently challenging to attribute bulk chemical accurately to each of the six specific sub-applications.</w:t>
      </w:r>
    </w:p>
    <w:p w14:paraId="73201C2D" w14:textId="3555340B" w:rsidR="009327C0" w:rsidRPr="001D5327" w:rsidRDefault="009327C0" w:rsidP="00F4582D">
      <w:pPr>
        <w:pStyle w:val="BodyText"/>
        <w:spacing w:before="100" w:after="100"/>
      </w:pPr>
      <w:r w:rsidRPr="001D5327">
        <w:t>The accurate attribution of bulk chemical to a specific year of use is also challenging, due to large year-to-year variations in the amounts imported. Imports to New Zealand are variable at</w:t>
      </w:r>
      <w:r w:rsidR="00570573" w:rsidRPr="001D5327">
        <w:t> </w:t>
      </w:r>
      <w:r w:rsidRPr="001D5327">
        <w:t xml:space="preserve">any time, due to the small amounts of some refrigerants that are used. In addition, import volumes have fluctuated at various times. Significant stockpiling of refrigerant gases occurred </w:t>
      </w:r>
      <w:r w:rsidRPr="001D5327">
        <w:lastRenderedPageBreak/>
        <w:t>in anticipation of NZ ETS obligations in 2013. Stockpiling also appears to have occurred in other years, in response to various price and policy changes. Stock changes are an important factor in applying the mass balance approach to calculate emissions.</w:t>
      </w:r>
    </w:p>
    <w:p w14:paraId="31E5ED40" w14:textId="77777777" w:rsidR="009327C0" w:rsidRPr="001D5327" w:rsidRDefault="009327C0" w:rsidP="00F4582D">
      <w:pPr>
        <w:pStyle w:val="BodyText"/>
        <w:spacing w:before="100" w:after="100"/>
      </w:pPr>
      <w:r w:rsidRPr="001D5327">
        <w:t>Care is also needed to avoid double counting of chemical that is sold more than once by wholesalers and other owners before it is used.</w:t>
      </w:r>
    </w:p>
    <w:p w14:paraId="5CCB7050" w14:textId="77777777" w:rsidR="009327C0" w:rsidRPr="001D5327" w:rsidRDefault="009327C0" w:rsidP="00F4582D">
      <w:pPr>
        <w:pStyle w:val="BodyText"/>
        <w:spacing w:before="100" w:after="100"/>
      </w:pPr>
      <w:r w:rsidRPr="001D5327">
        <w:t>Additionally, the data on the imports of refrigerant in pre-charged equipment are incomplete and inaccurate. Total reported imports do not appear to fully account for the quantities in equipment that is sold, as indicated by New Zealand’s mandatory product labelling scheme. The number of vehicles imported is known accurately (</w:t>
      </w:r>
      <w:r w:rsidRPr="001D5327">
        <w:rPr>
          <w:i/>
          <w:iCs/>
        </w:rPr>
        <w:t>Mobile air conditioning</w:t>
      </w:r>
      <w:r w:rsidRPr="001D5327">
        <w:t>) but there is significant uncertainty in the quantities of refrigerant in each vehicle due to the variety of new and second-hand models imported.</w:t>
      </w:r>
    </w:p>
    <w:p w14:paraId="03A09285" w14:textId="77777777" w:rsidR="009327C0" w:rsidRPr="001D5327" w:rsidRDefault="009327C0" w:rsidP="00F4582D">
      <w:pPr>
        <w:pStyle w:val="BodyText"/>
        <w:spacing w:before="100" w:after="100"/>
      </w:pPr>
      <w:r w:rsidRPr="001D5327">
        <w:t>As a result of these challenges, several expert judgements were made to attribute activity data for each HFC over time and across sub-applications. These are documented in the report by Verum Group (unpublished) and in the stock models used to calculate emissions.</w:t>
      </w:r>
    </w:p>
    <w:p w14:paraId="4221A98B" w14:textId="2ADF5F8D" w:rsidR="009327C0" w:rsidRPr="001D5327" w:rsidRDefault="009327C0" w:rsidP="00F4582D">
      <w:pPr>
        <w:pStyle w:val="BodyText"/>
        <w:spacing w:before="100" w:after="100"/>
      </w:pPr>
      <w:r w:rsidRPr="001D5327">
        <w:t xml:space="preserve">For the </w:t>
      </w:r>
      <w:r w:rsidRPr="001D5327">
        <w:rPr>
          <w:i/>
          <w:iCs/>
        </w:rPr>
        <w:t>Mobile air conditioning</w:t>
      </w:r>
      <w:r w:rsidRPr="001D5327">
        <w:t xml:space="preserve"> sub-application, only HFC-134a is used in New Zealand and has</w:t>
      </w:r>
      <w:r w:rsidR="00570573" w:rsidRPr="001D5327">
        <w:t> </w:t>
      </w:r>
      <w:r w:rsidRPr="001D5327">
        <w:t>been since 1994. Data on vehicle registrations and fleet numbers are provided by the New</w:t>
      </w:r>
      <w:r w:rsidR="00570573" w:rsidRPr="001D5327">
        <w:t> </w:t>
      </w:r>
      <w:r w:rsidRPr="001D5327">
        <w:t>Zealand Transport Agency. Estimates of the annual amount added to the bank, and first fill emissions, are based on information on the number of new cars, trucks and buses with air conditioning added to the fleet each year. The results of the survey of bulk importers and distributors were also used to help determine the amount of HFC-134a sold for mobile air</w:t>
      </w:r>
      <w:r w:rsidR="00570573" w:rsidRPr="001D5327">
        <w:t> </w:t>
      </w:r>
      <w:r w:rsidRPr="001D5327">
        <w:t>conditioning.</w:t>
      </w:r>
    </w:p>
    <w:p w14:paraId="2072204D" w14:textId="77777777" w:rsidR="009327C0" w:rsidRPr="001D5327" w:rsidRDefault="009327C0" w:rsidP="00F4582D">
      <w:pPr>
        <w:pStyle w:val="BodyText"/>
        <w:spacing w:before="100" w:after="100"/>
      </w:pPr>
      <w:r w:rsidRPr="001D5327">
        <w:t>In 2009, the average charge of HFC-134a in vehicle air conditioning systems added to the bank at that time was estimated to be as shown in table 4.7.1, based on IPCC defaults and information from the industry.</w:t>
      </w:r>
    </w:p>
    <w:p w14:paraId="554DE58A" w14:textId="77777777" w:rsidR="009327C0" w:rsidRPr="001D5327" w:rsidRDefault="009327C0" w:rsidP="009327C0">
      <w:pPr>
        <w:pStyle w:val="Table"/>
      </w:pPr>
      <w:bookmarkStart w:id="523" w:name="_Toc194241692"/>
      <w:r w:rsidRPr="001D5327">
        <w:t xml:space="preserve">Table 4.7.1 </w:t>
      </w:r>
      <w:r w:rsidRPr="001D5327">
        <w:tab/>
        <w:t>Average charge (grams) of HFC-134a in mobile air conditioners, 2009</w:t>
      </w:r>
      <w:bookmarkEnd w:id="523"/>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128"/>
        <w:gridCol w:w="3041"/>
        <w:gridCol w:w="2325"/>
      </w:tblGrid>
      <w:tr w:rsidR="009327C0" w:rsidRPr="001D5327" w14:paraId="14BA3A70" w14:textId="77777777" w:rsidTr="00D11AC9">
        <w:trPr>
          <w:tblHeader/>
        </w:trPr>
        <w:tc>
          <w:tcPr>
            <w:tcW w:w="0" w:type="auto"/>
            <w:shd w:val="clear" w:color="auto" w:fill="1B556B"/>
            <w:tcMar>
              <w:top w:w="0" w:type="dxa"/>
              <w:left w:w="85" w:type="dxa"/>
              <w:bottom w:w="0" w:type="dxa"/>
              <w:right w:w="85" w:type="dxa"/>
            </w:tcMar>
          </w:tcPr>
          <w:p w14:paraId="286BC87C" w14:textId="77777777" w:rsidR="009327C0" w:rsidRPr="001D5327" w:rsidRDefault="009327C0" w:rsidP="00D11AC9">
            <w:pPr>
              <w:pStyle w:val="TableTextBold"/>
              <w:rPr>
                <w:noProof w:val="0"/>
                <w:color w:val="FFFFFF" w:themeColor="background1"/>
              </w:rPr>
            </w:pPr>
            <w:r w:rsidRPr="001D5327">
              <w:rPr>
                <w:rFonts w:eastAsia="Calibri"/>
                <w:noProof w:val="0"/>
                <w:color w:val="FFFFFF" w:themeColor="background1"/>
              </w:rPr>
              <w:t>Charge for cars and vans (g)</w:t>
            </w:r>
          </w:p>
        </w:tc>
        <w:tc>
          <w:tcPr>
            <w:tcW w:w="0" w:type="auto"/>
            <w:shd w:val="clear" w:color="auto" w:fill="1B556B"/>
            <w:tcMar>
              <w:top w:w="0" w:type="dxa"/>
              <w:left w:w="85" w:type="dxa"/>
              <w:bottom w:w="0" w:type="dxa"/>
              <w:right w:w="85" w:type="dxa"/>
            </w:tcMar>
          </w:tcPr>
          <w:p w14:paraId="49F6FF5C" w14:textId="77777777" w:rsidR="009327C0" w:rsidRPr="001D5327" w:rsidRDefault="009327C0" w:rsidP="00623089">
            <w:pPr>
              <w:pStyle w:val="TableTextBold"/>
              <w:jc w:val="right"/>
              <w:rPr>
                <w:noProof w:val="0"/>
                <w:color w:val="FFFFFF" w:themeColor="background1"/>
              </w:rPr>
            </w:pPr>
            <w:r w:rsidRPr="001D5327">
              <w:rPr>
                <w:rFonts w:eastAsia="Calibri"/>
                <w:noProof w:val="0"/>
                <w:color w:val="FFFFFF" w:themeColor="background1"/>
              </w:rPr>
              <w:t>Charge for heavy trucks (g)</w:t>
            </w:r>
          </w:p>
        </w:tc>
        <w:tc>
          <w:tcPr>
            <w:tcW w:w="0" w:type="auto"/>
            <w:shd w:val="clear" w:color="auto" w:fill="1B556B"/>
            <w:tcMar>
              <w:top w:w="0" w:type="dxa"/>
              <w:left w:w="85" w:type="dxa"/>
              <w:bottom w:w="0" w:type="dxa"/>
              <w:right w:w="85" w:type="dxa"/>
            </w:tcMar>
          </w:tcPr>
          <w:p w14:paraId="23AF3CBF" w14:textId="77777777" w:rsidR="009327C0" w:rsidRPr="001D5327" w:rsidRDefault="009327C0" w:rsidP="00623089">
            <w:pPr>
              <w:pStyle w:val="TableTextBold"/>
              <w:jc w:val="right"/>
              <w:rPr>
                <w:noProof w:val="0"/>
                <w:color w:val="FFFFFF" w:themeColor="background1"/>
              </w:rPr>
            </w:pPr>
            <w:r w:rsidRPr="001D5327">
              <w:rPr>
                <w:rFonts w:eastAsia="Calibri"/>
                <w:noProof w:val="0"/>
                <w:color w:val="FFFFFF" w:themeColor="background1"/>
              </w:rPr>
              <w:t>Charge for buses (g)</w:t>
            </w:r>
          </w:p>
        </w:tc>
      </w:tr>
      <w:tr w:rsidR="009327C0" w:rsidRPr="001D5327" w14:paraId="780803E9" w14:textId="77777777" w:rsidTr="00D11AC9">
        <w:tc>
          <w:tcPr>
            <w:tcW w:w="0" w:type="auto"/>
            <w:shd w:val="clear" w:color="auto" w:fill="FFFFFF"/>
            <w:tcMar>
              <w:top w:w="0" w:type="dxa"/>
              <w:left w:w="85" w:type="dxa"/>
              <w:bottom w:w="0" w:type="dxa"/>
              <w:right w:w="85" w:type="dxa"/>
            </w:tcMar>
          </w:tcPr>
          <w:p w14:paraId="4760A65D" w14:textId="77777777" w:rsidR="009327C0" w:rsidRPr="001D5327" w:rsidRDefault="009327C0" w:rsidP="00D11AC9">
            <w:pPr>
              <w:pStyle w:val="TableText"/>
            </w:pPr>
            <w:r w:rsidRPr="001D5327">
              <w:rPr>
                <w:rFonts w:eastAsia="Calibri"/>
                <w:color w:val="000000"/>
              </w:rPr>
              <w:t>600</w:t>
            </w:r>
          </w:p>
        </w:tc>
        <w:tc>
          <w:tcPr>
            <w:tcW w:w="0" w:type="auto"/>
            <w:shd w:val="clear" w:color="auto" w:fill="FFFFFF"/>
            <w:tcMar>
              <w:top w:w="0" w:type="dxa"/>
              <w:left w:w="85" w:type="dxa"/>
              <w:bottom w:w="0" w:type="dxa"/>
              <w:right w:w="85" w:type="dxa"/>
            </w:tcMar>
          </w:tcPr>
          <w:p w14:paraId="61DB2928" w14:textId="77777777" w:rsidR="009327C0" w:rsidRPr="001D5327" w:rsidRDefault="009327C0" w:rsidP="00623089">
            <w:pPr>
              <w:pStyle w:val="TableText"/>
              <w:jc w:val="right"/>
            </w:pPr>
            <w:r w:rsidRPr="001D5327">
              <w:rPr>
                <w:rFonts w:eastAsia="Calibri"/>
                <w:color w:val="000000"/>
              </w:rPr>
              <w:t>800</w:t>
            </w:r>
          </w:p>
        </w:tc>
        <w:tc>
          <w:tcPr>
            <w:tcW w:w="0" w:type="auto"/>
            <w:shd w:val="clear" w:color="auto" w:fill="FFFFFF"/>
            <w:tcMar>
              <w:top w:w="0" w:type="dxa"/>
              <w:left w:w="85" w:type="dxa"/>
              <w:bottom w:w="0" w:type="dxa"/>
              <w:right w:w="85" w:type="dxa"/>
            </w:tcMar>
          </w:tcPr>
          <w:p w14:paraId="2FC6C889" w14:textId="77777777" w:rsidR="009327C0" w:rsidRPr="001D5327" w:rsidRDefault="009327C0" w:rsidP="00623089">
            <w:pPr>
              <w:pStyle w:val="TableText"/>
              <w:jc w:val="right"/>
            </w:pPr>
            <w:r w:rsidRPr="001D5327">
              <w:rPr>
                <w:rFonts w:eastAsia="Calibri"/>
                <w:color w:val="000000"/>
              </w:rPr>
              <w:t>4000</w:t>
            </w:r>
          </w:p>
        </w:tc>
      </w:tr>
    </w:tbl>
    <w:p w14:paraId="668B012C" w14:textId="77777777" w:rsidR="009327C0" w:rsidRPr="001D5327" w:rsidRDefault="009327C0" w:rsidP="009327C0">
      <w:pPr>
        <w:pStyle w:val="BodyText"/>
        <w:spacing w:before="240"/>
      </w:pPr>
      <w:r w:rsidRPr="001D5327">
        <w:t>These amounts were higher in earlier years, with the charge in a car air conditioner at approximately 700 grams in 2000. New Zealand imports a wide variety of vehicles, many of them used cars, and it is not feasible to obtain accurate and up-to-date statistics on their refrigerant charge. Based on this earlier trend, the average charges in new vehicles added to the fleet were assessed to reduce by 2.0 per cent per year for 2010 to 2023. Discussion with importers in 2018 indicated that the ongoing trend to reduce these charges has continued (Verum Group, unpublished).</w:t>
      </w:r>
    </w:p>
    <w:p w14:paraId="7DB8D4D0" w14:textId="77777777" w:rsidR="009327C0" w:rsidRPr="001D5327" w:rsidRDefault="009327C0" w:rsidP="009327C0">
      <w:pPr>
        <w:pStyle w:val="Heading5"/>
      </w:pPr>
      <w:bookmarkStart w:id="524" w:name="foam-blowing-agents-2.f.2"/>
      <w:bookmarkEnd w:id="522"/>
      <w:r w:rsidRPr="001D5327">
        <w:t>Foam blowing agents (2.F.2)</w:t>
      </w:r>
    </w:p>
    <w:p w14:paraId="36C93BFB" w14:textId="77777777" w:rsidR="009327C0" w:rsidRPr="001D5327" w:rsidRDefault="009327C0" w:rsidP="009327C0">
      <w:pPr>
        <w:pStyle w:val="BodyText"/>
      </w:pPr>
      <w:r w:rsidRPr="001D5327">
        <w:t>Only closed-cell foams are produced in New Zealand. Companies importing and using HFCs for foam blowing have provided data on the gas imported and used, in response to the annual survey. Survey data showed a growing trend in the utilisation of commercial HFC blends up until 2019. During 2021 and 2023, foam companies have moved to the increasing use of hydrofluoroolefin (HFO) blowing agents. Small quantities of HFC-245fa are estimated to be contained in insulating foam in refrigerators and freezers that are imported from Mexico and the United States of America. Imported items from other source countries are unlikely to contain HFCs.</w:t>
      </w:r>
    </w:p>
    <w:p w14:paraId="610ECEF1" w14:textId="77777777" w:rsidR="009327C0" w:rsidRPr="001D5327" w:rsidRDefault="009327C0" w:rsidP="004C294C">
      <w:pPr>
        <w:pStyle w:val="Heading5"/>
      </w:pPr>
      <w:bookmarkStart w:id="525" w:name="fire-protection-2.f.3"/>
      <w:bookmarkEnd w:id="524"/>
      <w:r w:rsidRPr="001D5327">
        <w:lastRenderedPageBreak/>
        <w:t>Fire protection (2.F.3)</w:t>
      </w:r>
    </w:p>
    <w:p w14:paraId="1025EDB0" w14:textId="77777777" w:rsidR="009327C0" w:rsidRPr="001D5327" w:rsidRDefault="009327C0" w:rsidP="00623089">
      <w:pPr>
        <w:pStyle w:val="BodyText"/>
        <w:spacing w:before="100" w:after="100"/>
      </w:pPr>
      <w:r w:rsidRPr="001D5327">
        <w:t>Three companies in New Zealand have imported and supplied fire protection equipment that contains HFC-227ea, with two other firms installing small amounts in marine fire protection systems. This gas has been used since 1994 as a substitute for ODS. No other HFCs or PFCs are used. The companies have provided data on the amount imported in equipment, in response to the annual survey. There have been no new installations in recent years. Current stocks and recovered chemical are used to replace leakage.</w:t>
      </w:r>
    </w:p>
    <w:p w14:paraId="1A1C2F43" w14:textId="77777777" w:rsidR="009327C0" w:rsidRPr="001D5327" w:rsidRDefault="009327C0" w:rsidP="009327C0">
      <w:pPr>
        <w:pStyle w:val="Heading5"/>
      </w:pPr>
      <w:bookmarkStart w:id="526" w:name="aerosols-2.f.4"/>
      <w:bookmarkEnd w:id="525"/>
      <w:r w:rsidRPr="001D5327">
        <w:t>Aerosols (2.F.4)</w:t>
      </w:r>
    </w:p>
    <w:p w14:paraId="464DEB44" w14:textId="77777777" w:rsidR="009327C0" w:rsidRPr="001D5327" w:rsidRDefault="009327C0" w:rsidP="00623089">
      <w:pPr>
        <w:pStyle w:val="BodyText"/>
        <w:spacing w:before="100" w:after="100"/>
      </w:pPr>
      <w:r w:rsidRPr="001D5327">
        <w:t>Most of the HFC use and emissions in this category are for medical use in metered dose inhalers (MDIs). MDIs that use HFC-134a were introduced in 1995, and all MDIs sold in New Zealand from 2012, if they have used any propellant, have used HFCs. Most of the MDIs imported and sold in New Zealand contain either 200 or 120 doses and either 15 grams or 9.5 grams of HFC-134a propellant per inhaler. A small proportion use HFC-227ea. Also, approximately 12.0 per cent of MDIs now sold do not use a propellant at all.</w:t>
      </w:r>
    </w:p>
    <w:p w14:paraId="364765F2" w14:textId="77777777" w:rsidR="009327C0" w:rsidRPr="001D5327" w:rsidRDefault="009327C0" w:rsidP="00623089">
      <w:pPr>
        <w:pStyle w:val="BodyText"/>
        <w:spacing w:before="100" w:after="100"/>
      </w:pPr>
      <w:r w:rsidRPr="001D5327">
        <w:t>All MDIs used in New Zealand are imported. Pharmac supplies annual data on the sales of MDIs, measured as millions of doses for HFC and non-propellant inhalers.</w:t>
      </w:r>
    </w:p>
    <w:p w14:paraId="6C1ED160" w14:textId="77777777" w:rsidR="009327C0" w:rsidRPr="001D5327" w:rsidRDefault="009327C0" w:rsidP="00623089">
      <w:pPr>
        <w:pStyle w:val="BodyText"/>
        <w:spacing w:before="100" w:after="100"/>
      </w:pPr>
      <w:r w:rsidRPr="001D5327">
        <w:t>An approximate weighted average is used to estimate emissions per dose for each propellant. This average amount of propellant per dose has changed over time due to a changing mix of inhaler types (120 and 200 dose inhalers) as shown in table 4.7.2.</w:t>
      </w:r>
    </w:p>
    <w:p w14:paraId="75532F41" w14:textId="77777777" w:rsidR="009327C0" w:rsidRPr="001D5327" w:rsidRDefault="009327C0" w:rsidP="009327C0">
      <w:pPr>
        <w:pStyle w:val="Table"/>
      </w:pPr>
      <w:bookmarkStart w:id="527" w:name="_Toc194241693"/>
      <w:r w:rsidRPr="001D5327">
        <w:t xml:space="preserve">Table 4.7.2 </w:t>
      </w:r>
      <w:r w:rsidRPr="001D5327">
        <w:tab/>
        <w:t>Average emissions per dose in metered dose inhalers (milligrams)</w:t>
      </w:r>
      <w:bookmarkEnd w:id="527"/>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699"/>
        <w:gridCol w:w="3322"/>
        <w:gridCol w:w="3473"/>
      </w:tblGrid>
      <w:tr w:rsidR="009327C0" w:rsidRPr="001D5327" w14:paraId="7572F97F" w14:textId="77777777" w:rsidTr="00D11AC9">
        <w:trPr>
          <w:tblHeader/>
        </w:trPr>
        <w:tc>
          <w:tcPr>
            <w:tcW w:w="0" w:type="auto"/>
            <w:shd w:val="clear" w:color="auto" w:fill="1B556B"/>
            <w:tcMar>
              <w:top w:w="0" w:type="dxa"/>
              <w:left w:w="85" w:type="dxa"/>
              <w:bottom w:w="0" w:type="dxa"/>
              <w:right w:w="85" w:type="dxa"/>
            </w:tcMar>
          </w:tcPr>
          <w:p w14:paraId="1348D9A9" w14:textId="77777777" w:rsidR="009327C0" w:rsidRPr="001D5327" w:rsidRDefault="009327C0" w:rsidP="00623089">
            <w:pPr>
              <w:pStyle w:val="TableTextBold"/>
              <w:spacing w:before="40" w:after="40"/>
              <w:rPr>
                <w:noProof w:val="0"/>
                <w:color w:val="FFFFFF" w:themeColor="background1"/>
              </w:rPr>
            </w:pPr>
            <w:r w:rsidRPr="001D5327">
              <w:rPr>
                <w:rFonts w:eastAsia="Calibri"/>
                <w:noProof w:val="0"/>
                <w:color w:val="FFFFFF" w:themeColor="background1"/>
              </w:rPr>
              <w:t>Propellant</w:t>
            </w:r>
          </w:p>
        </w:tc>
        <w:tc>
          <w:tcPr>
            <w:tcW w:w="0" w:type="auto"/>
            <w:shd w:val="clear" w:color="auto" w:fill="1B556B"/>
            <w:tcMar>
              <w:top w:w="0" w:type="dxa"/>
              <w:left w:w="85" w:type="dxa"/>
              <w:bottom w:w="0" w:type="dxa"/>
              <w:right w:w="85" w:type="dxa"/>
            </w:tcMar>
          </w:tcPr>
          <w:p w14:paraId="6CD2E469" w14:textId="77777777" w:rsidR="009327C0" w:rsidRPr="001D5327" w:rsidRDefault="009327C0" w:rsidP="00623089">
            <w:pPr>
              <w:pStyle w:val="TableTextBold"/>
              <w:spacing w:before="40" w:after="40"/>
              <w:jc w:val="right"/>
              <w:rPr>
                <w:noProof w:val="0"/>
                <w:color w:val="FFFFFF" w:themeColor="background1"/>
              </w:rPr>
            </w:pPr>
            <w:r w:rsidRPr="001D5327">
              <w:rPr>
                <w:rFonts w:eastAsia="Calibri"/>
                <w:noProof w:val="0"/>
                <w:color w:val="FFFFFF" w:themeColor="background1"/>
              </w:rPr>
              <w:t>Inhalers using HFC-134a</w:t>
            </w:r>
          </w:p>
        </w:tc>
        <w:tc>
          <w:tcPr>
            <w:tcW w:w="0" w:type="auto"/>
            <w:shd w:val="clear" w:color="auto" w:fill="1B556B"/>
            <w:tcMar>
              <w:top w:w="0" w:type="dxa"/>
              <w:left w:w="85" w:type="dxa"/>
              <w:bottom w:w="0" w:type="dxa"/>
              <w:right w:w="85" w:type="dxa"/>
            </w:tcMar>
          </w:tcPr>
          <w:p w14:paraId="71917CF0" w14:textId="77777777" w:rsidR="009327C0" w:rsidRPr="001D5327" w:rsidRDefault="009327C0" w:rsidP="00623089">
            <w:pPr>
              <w:pStyle w:val="TableTextBold"/>
              <w:spacing w:before="40" w:after="40"/>
              <w:jc w:val="right"/>
              <w:rPr>
                <w:noProof w:val="0"/>
                <w:color w:val="FFFFFF" w:themeColor="background1"/>
              </w:rPr>
            </w:pPr>
            <w:r w:rsidRPr="001D5327">
              <w:rPr>
                <w:rFonts w:eastAsia="Calibri"/>
                <w:noProof w:val="0"/>
                <w:color w:val="FFFFFF" w:themeColor="background1"/>
              </w:rPr>
              <w:t>Inhalers using HFC-227ea</w:t>
            </w:r>
          </w:p>
        </w:tc>
      </w:tr>
      <w:tr w:rsidR="009327C0" w:rsidRPr="001D5327" w14:paraId="4EBAFCB9" w14:textId="77777777" w:rsidTr="00D11AC9">
        <w:tc>
          <w:tcPr>
            <w:tcW w:w="0" w:type="auto"/>
            <w:shd w:val="clear" w:color="auto" w:fill="FFFFFF"/>
            <w:tcMar>
              <w:top w:w="0" w:type="dxa"/>
              <w:left w:w="85" w:type="dxa"/>
              <w:bottom w:w="0" w:type="dxa"/>
              <w:right w:w="85" w:type="dxa"/>
            </w:tcMar>
          </w:tcPr>
          <w:p w14:paraId="56DA7625" w14:textId="77777777" w:rsidR="009327C0" w:rsidRPr="001D5327" w:rsidRDefault="009327C0" w:rsidP="00623089">
            <w:pPr>
              <w:pStyle w:val="TableText"/>
              <w:spacing w:before="40" w:after="40"/>
            </w:pPr>
            <w:r w:rsidRPr="001D5327">
              <w:rPr>
                <w:rFonts w:eastAsia="Calibri"/>
                <w:color w:val="000000"/>
              </w:rPr>
              <w:t>1995–2015</w:t>
            </w:r>
          </w:p>
        </w:tc>
        <w:tc>
          <w:tcPr>
            <w:tcW w:w="0" w:type="auto"/>
            <w:shd w:val="clear" w:color="auto" w:fill="FFFFFF"/>
            <w:tcMar>
              <w:top w:w="0" w:type="dxa"/>
              <w:left w:w="85" w:type="dxa"/>
              <w:bottom w:w="0" w:type="dxa"/>
              <w:right w:w="85" w:type="dxa"/>
            </w:tcMar>
          </w:tcPr>
          <w:p w14:paraId="15F350C5" w14:textId="77777777" w:rsidR="009327C0" w:rsidRPr="001D5327" w:rsidRDefault="009327C0" w:rsidP="00623089">
            <w:pPr>
              <w:pStyle w:val="TableText"/>
              <w:spacing w:before="40" w:after="40"/>
              <w:jc w:val="right"/>
            </w:pPr>
            <w:r w:rsidRPr="001D5327">
              <w:rPr>
                <w:rFonts w:eastAsia="Calibri"/>
                <w:color w:val="000000"/>
              </w:rPr>
              <w:t>81.4</w:t>
            </w:r>
          </w:p>
        </w:tc>
        <w:tc>
          <w:tcPr>
            <w:tcW w:w="0" w:type="auto"/>
            <w:shd w:val="clear" w:color="auto" w:fill="FFFFFF"/>
            <w:tcMar>
              <w:top w:w="0" w:type="dxa"/>
              <w:left w:w="85" w:type="dxa"/>
              <w:bottom w:w="0" w:type="dxa"/>
              <w:right w:w="85" w:type="dxa"/>
            </w:tcMar>
          </w:tcPr>
          <w:p w14:paraId="326E5B8D" w14:textId="77777777" w:rsidR="009327C0" w:rsidRPr="001D5327" w:rsidRDefault="009327C0" w:rsidP="00623089">
            <w:pPr>
              <w:pStyle w:val="TableText"/>
              <w:spacing w:before="40" w:after="40"/>
              <w:jc w:val="right"/>
            </w:pPr>
            <w:r w:rsidRPr="001D5327">
              <w:rPr>
                <w:rFonts w:eastAsia="Calibri"/>
                <w:color w:val="000000"/>
              </w:rPr>
              <w:t>66.9</w:t>
            </w:r>
          </w:p>
        </w:tc>
      </w:tr>
      <w:tr w:rsidR="009327C0" w:rsidRPr="001D5327" w14:paraId="564115F3" w14:textId="77777777" w:rsidTr="00D11AC9">
        <w:tc>
          <w:tcPr>
            <w:tcW w:w="0" w:type="auto"/>
            <w:shd w:val="clear" w:color="auto" w:fill="FFFFFF"/>
            <w:tcMar>
              <w:top w:w="0" w:type="dxa"/>
              <w:left w:w="85" w:type="dxa"/>
              <w:bottom w:w="0" w:type="dxa"/>
              <w:right w:w="85" w:type="dxa"/>
            </w:tcMar>
          </w:tcPr>
          <w:p w14:paraId="767E3080" w14:textId="77777777" w:rsidR="009327C0" w:rsidRPr="001D5327" w:rsidRDefault="009327C0" w:rsidP="00623089">
            <w:pPr>
              <w:pStyle w:val="TableText"/>
              <w:spacing w:before="40" w:after="40"/>
            </w:pPr>
            <w:r w:rsidRPr="001D5327">
              <w:rPr>
                <w:rFonts w:eastAsia="Calibri"/>
                <w:color w:val="000000"/>
              </w:rPr>
              <w:t>2016</w:t>
            </w:r>
          </w:p>
        </w:tc>
        <w:tc>
          <w:tcPr>
            <w:tcW w:w="0" w:type="auto"/>
            <w:shd w:val="clear" w:color="auto" w:fill="FFFFFF"/>
            <w:tcMar>
              <w:top w:w="0" w:type="dxa"/>
              <w:left w:w="85" w:type="dxa"/>
              <w:bottom w:w="0" w:type="dxa"/>
              <w:right w:w="85" w:type="dxa"/>
            </w:tcMar>
          </w:tcPr>
          <w:p w14:paraId="6217A2E6" w14:textId="77777777" w:rsidR="009327C0" w:rsidRPr="001D5327" w:rsidRDefault="009327C0" w:rsidP="00623089">
            <w:pPr>
              <w:pStyle w:val="TableText"/>
              <w:spacing w:before="40" w:after="40"/>
              <w:jc w:val="right"/>
            </w:pPr>
            <w:r w:rsidRPr="001D5327">
              <w:rPr>
                <w:rFonts w:eastAsia="Calibri"/>
                <w:color w:val="000000"/>
              </w:rPr>
              <w:t>80.2</w:t>
            </w:r>
          </w:p>
        </w:tc>
        <w:tc>
          <w:tcPr>
            <w:tcW w:w="0" w:type="auto"/>
            <w:shd w:val="clear" w:color="auto" w:fill="FFFFFF"/>
            <w:tcMar>
              <w:top w:w="0" w:type="dxa"/>
              <w:left w:w="85" w:type="dxa"/>
              <w:bottom w:w="0" w:type="dxa"/>
              <w:right w:w="85" w:type="dxa"/>
            </w:tcMar>
          </w:tcPr>
          <w:p w14:paraId="3FD129E5" w14:textId="77777777" w:rsidR="009327C0" w:rsidRPr="001D5327" w:rsidRDefault="009327C0" w:rsidP="00623089">
            <w:pPr>
              <w:pStyle w:val="TableText"/>
              <w:spacing w:before="40" w:after="40"/>
              <w:jc w:val="right"/>
            </w:pPr>
            <w:r w:rsidRPr="001D5327">
              <w:rPr>
                <w:rFonts w:eastAsia="Calibri"/>
                <w:color w:val="000000"/>
              </w:rPr>
              <w:t>68.1</w:t>
            </w:r>
          </w:p>
        </w:tc>
      </w:tr>
      <w:tr w:rsidR="009327C0" w:rsidRPr="001D5327" w14:paraId="09881362" w14:textId="77777777" w:rsidTr="00D11AC9">
        <w:tc>
          <w:tcPr>
            <w:tcW w:w="0" w:type="auto"/>
            <w:shd w:val="clear" w:color="auto" w:fill="FFFFFF"/>
            <w:tcMar>
              <w:top w:w="0" w:type="dxa"/>
              <w:left w:w="85" w:type="dxa"/>
              <w:bottom w:w="0" w:type="dxa"/>
              <w:right w:w="85" w:type="dxa"/>
            </w:tcMar>
          </w:tcPr>
          <w:p w14:paraId="19F3EA5D" w14:textId="77777777" w:rsidR="009327C0" w:rsidRPr="001D5327" w:rsidRDefault="009327C0" w:rsidP="00623089">
            <w:pPr>
              <w:pStyle w:val="TableText"/>
              <w:spacing w:before="40" w:after="40"/>
            </w:pPr>
            <w:r w:rsidRPr="001D5327">
              <w:rPr>
                <w:rFonts w:eastAsia="Calibri"/>
                <w:color w:val="000000"/>
              </w:rPr>
              <w:t>2017</w:t>
            </w:r>
          </w:p>
        </w:tc>
        <w:tc>
          <w:tcPr>
            <w:tcW w:w="0" w:type="auto"/>
            <w:shd w:val="clear" w:color="auto" w:fill="FFFFFF"/>
            <w:tcMar>
              <w:top w:w="0" w:type="dxa"/>
              <w:left w:w="85" w:type="dxa"/>
              <w:bottom w:w="0" w:type="dxa"/>
              <w:right w:w="85" w:type="dxa"/>
            </w:tcMar>
          </w:tcPr>
          <w:p w14:paraId="3D72B885" w14:textId="77777777" w:rsidR="009327C0" w:rsidRPr="001D5327" w:rsidRDefault="009327C0" w:rsidP="00623089">
            <w:pPr>
              <w:pStyle w:val="TableText"/>
              <w:spacing w:before="40" w:after="40"/>
              <w:jc w:val="right"/>
            </w:pPr>
            <w:r w:rsidRPr="001D5327">
              <w:rPr>
                <w:rFonts w:eastAsia="Calibri"/>
                <w:color w:val="000000"/>
              </w:rPr>
              <w:t>79.5</w:t>
            </w:r>
          </w:p>
        </w:tc>
        <w:tc>
          <w:tcPr>
            <w:tcW w:w="0" w:type="auto"/>
            <w:shd w:val="clear" w:color="auto" w:fill="FFFFFF"/>
            <w:tcMar>
              <w:top w:w="0" w:type="dxa"/>
              <w:left w:w="85" w:type="dxa"/>
              <w:bottom w:w="0" w:type="dxa"/>
              <w:right w:w="85" w:type="dxa"/>
            </w:tcMar>
          </w:tcPr>
          <w:p w14:paraId="751D8BC6" w14:textId="77777777" w:rsidR="009327C0" w:rsidRPr="001D5327" w:rsidRDefault="009327C0" w:rsidP="00623089">
            <w:pPr>
              <w:pStyle w:val="TableText"/>
              <w:spacing w:before="40" w:after="40"/>
              <w:jc w:val="right"/>
            </w:pPr>
            <w:r w:rsidRPr="001D5327">
              <w:rPr>
                <w:rFonts w:eastAsia="Calibri"/>
                <w:color w:val="000000"/>
              </w:rPr>
              <w:t>68.5</w:t>
            </w:r>
          </w:p>
        </w:tc>
      </w:tr>
      <w:tr w:rsidR="009327C0" w:rsidRPr="001D5327" w14:paraId="288823E4" w14:textId="77777777" w:rsidTr="00D11AC9">
        <w:tc>
          <w:tcPr>
            <w:tcW w:w="0" w:type="auto"/>
            <w:shd w:val="clear" w:color="auto" w:fill="FFFFFF"/>
            <w:tcMar>
              <w:top w:w="0" w:type="dxa"/>
              <w:left w:w="85" w:type="dxa"/>
              <w:bottom w:w="0" w:type="dxa"/>
              <w:right w:w="85" w:type="dxa"/>
            </w:tcMar>
          </w:tcPr>
          <w:p w14:paraId="445C522B" w14:textId="77777777" w:rsidR="009327C0" w:rsidRPr="001D5327" w:rsidRDefault="009327C0" w:rsidP="00623089">
            <w:pPr>
              <w:pStyle w:val="TableText"/>
              <w:spacing w:before="40" w:after="40"/>
            </w:pPr>
            <w:r w:rsidRPr="001D5327">
              <w:rPr>
                <w:rFonts w:eastAsia="Calibri"/>
                <w:color w:val="000000"/>
              </w:rPr>
              <w:t>2018</w:t>
            </w:r>
          </w:p>
        </w:tc>
        <w:tc>
          <w:tcPr>
            <w:tcW w:w="0" w:type="auto"/>
            <w:shd w:val="clear" w:color="auto" w:fill="FFFFFF"/>
            <w:tcMar>
              <w:top w:w="0" w:type="dxa"/>
              <w:left w:w="85" w:type="dxa"/>
              <w:bottom w:w="0" w:type="dxa"/>
              <w:right w:w="85" w:type="dxa"/>
            </w:tcMar>
          </w:tcPr>
          <w:p w14:paraId="24C924F9" w14:textId="77777777" w:rsidR="009327C0" w:rsidRPr="001D5327" w:rsidRDefault="009327C0" w:rsidP="00623089">
            <w:pPr>
              <w:pStyle w:val="TableText"/>
              <w:spacing w:before="40" w:after="40"/>
              <w:jc w:val="right"/>
            </w:pPr>
            <w:r w:rsidRPr="001D5327">
              <w:rPr>
                <w:rFonts w:eastAsia="Calibri"/>
                <w:color w:val="000000"/>
              </w:rPr>
              <w:t>78.3</w:t>
            </w:r>
          </w:p>
        </w:tc>
        <w:tc>
          <w:tcPr>
            <w:tcW w:w="0" w:type="auto"/>
            <w:shd w:val="clear" w:color="auto" w:fill="FFFFFF"/>
            <w:tcMar>
              <w:top w:w="0" w:type="dxa"/>
              <w:left w:w="85" w:type="dxa"/>
              <w:bottom w:w="0" w:type="dxa"/>
              <w:right w:w="85" w:type="dxa"/>
            </w:tcMar>
          </w:tcPr>
          <w:p w14:paraId="539C26C5" w14:textId="77777777" w:rsidR="009327C0" w:rsidRPr="001D5327" w:rsidRDefault="009327C0" w:rsidP="00623089">
            <w:pPr>
              <w:pStyle w:val="TableText"/>
              <w:spacing w:before="40" w:after="40"/>
              <w:jc w:val="right"/>
            </w:pPr>
            <w:r w:rsidRPr="001D5327">
              <w:rPr>
                <w:rFonts w:eastAsia="Calibri"/>
                <w:color w:val="000000"/>
              </w:rPr>
              <w:t>70.3</w:t>
            </w:r>
          </w:p>
        </w:tc>
      </w:tr>
      <w:tr w:rsidR="009327C0" w:rsidRPr="001D5327" w14:paraId="58FB60BE" w14:textId="77777777" w:rsidTr="00D11AC9">
        <w:tc>
          <w:tcPr>
            <w:tcW w:w="0" w:type="auto"/>
            <w:shd w:val="clear" w:color="auto" w:fill="FFFFFF"/>
            <w:tcMar>
              <w:top w:w="0" w:type="dxa"/>
              <w:left w:w="85" w:type="dxa"/>
              <w:bottom w:w="0" w:type="dxa"/>
              <w:right w:w="85" w:type="dxa"/>
            </w:tcMar>
          </w:tcPr>
          <w:p w14:paraId="09D5B0E2" w14:textId="77777777" w:rsidR="009327C0" w:rsidRPr="001D5327" w:rsidRDefault="009327C0" w:rsidP="00623089">
            <w:pPr>
              <w:pStyle w:val="TableText"/>
              <w:spacing w:before="40" w:after="40"/>
            </w:pPr>
            <w:r w:rsidRPr="001D5327">
              <w:rPr>
                <w:rFonts w:eastAsia="Calibri"/>
                <w:color w:val="000000"/>
              </w:rPr>
              <w:t>2019</w:t>
            </w:r>
          </w:p>
        </w:tc>
        <w:tc>
          <w:tcPr>
            <w:tcW w:w="0" w:type="auto"/>
            <w:shd w:val="clear" w:color="auto" w:fill="FFFFFF"/>
            <w:tcMar>
              <w:top w:w="0" w:type="dxa"/>
              <w:left w:w="85" w:type="dxa"/>
              <w:bottom w:w="0" w:type="dxa"/>
              <w:right w:w="85" w:type="dxa"/>
            </w:tcMar>
          </w:tcPr>
          <w:p w14:paraId="65EF736A" w14:textId="77777777" w:rsidR="009327C0" w:rsidRPr="001D5327" w:rsidRDefault="009327C0" w:rsidP="00623089">
            <w:pPr>
              <w:pStyle w:val="TableText"/>
              <w:spacing w:before="40" w:after="40"/>
              <w:jc w:val="right"/>
            </w:pPr>
            <w:r w:rsidRPr="001D5327">
              <w:rPr>
                <w:rFonts w:eastAsia="Calibri"/>
                <w:color w:val="000000"/>
              </w:rPr>
              <w:t>77.9</w:t>
            </w:r>
          </w:p>
        </w:tc>
        <w:tc>
          <w:tcPr>
            <w:tcW w:w="0" w:type="auto"/>
            <w:shd w:val="clear" w:color="auto" w:fill="FFFFFF"/>
            <w:tcMar>
              <w:top w:w="0" w:type="dxa"/>
              <w:left w:w="85" w:type="dxa"/>
              <w:bottom w:w="0" w:type="dxa"/>
              <w:right w:w="85" w:type="dxa"/>
            </w:tcMar>
          </w:tcPr>
          <w:p w14:paraId="2E2B94E2" w14:textId="77777777" w:rsidR="009327C0" w:rsidRPr="001D5327" w:rsidRDefault="009327C0" w:rsidP="00623089">
            <w:pPr>
              <w:pStyle w:val="TableText"/>
              <w:spacing w:before="40" w:after="40"/>
              <w:jc w:val="right"/>
            </w:pPr>
            <w:r w:rsidRPr="001D5327">
              <w:rPr>
                <w:rFonts w:eastAsia="Calibri"/>
                <w:color w:val="000000"/>
              </w:rPr>
              <w:t>73.5</w:t>
            </w:r>
          </w:p>
        </w:tc>
      </w:tr>
      <w:tr w:rsidR="009327C0" w:rsidRPr="001D5327" w14:paraId="1D111282" w14:textId="77777777" w:rsidTr="00D11AC9">
        <w:tc>
          <w:tcPr>
            <w:tcW w:w="0" w:type="auto"/>
            <w:shd w:val="clear" w:color="auto" w:fill="FFFFFF"/>
            <w:tcMar>
              <w:top w:w="0" w:type="dxa"/>
              <w:left w:w="85" w:type="dxa"/>
              <w:bottom w:w="0" w:type="dxa"/>
              <w:right w:w="85" w:type="dxa"/>
            </w:tcMar>
          </w:tcPr>
          <w:p w14:paraId="3EBB2D2B" w14:textId="77777777" w:rsidR="009327C0" w:rsidRPr="001D5327" w:rsidRDefault="009327C0" w:rsidP="00623089">
            <w:pPr>
              <w:pStyle w:val="TableText"/>
              <w:spacing w:before="40" w:after="40"/>
            </w:pPr>
            <w:r w:rsidRPr="001D5327">
              <w:rPr>
                <w:rFonts w:eastAsia="Calibri"/>
                <w:color w:val="000000"/>
              </w:rPr>
              <w:t>2020</w:t>
            </w:r>
          </w:p>
        </w:tc>
        <w:tc>
          <w:tcPr>
            <w:tcW w:w="0" w:type="auto"/>
            <w:shd w:val="clear" w:color="auto" w:fill="FFFFFF"/>
            <w:tcMar>
              <w:top w:w="0" w:type="dxa"/>
              <w:left w:w="85" w:type="dxa"/>
              <w:bottom w:w="0" w:type="dxa"/>
              <w:right w:w="85" w:type="dxa"/>
            </w:tcMar>
          </w:tcPr>
          <w:p w14:paraId="2DC0A3CA" w14:textId="77777777" w:rsidR="009327C0" w:rsidRPr="001D5327" w:rsidRDefault="009327C0" w:rsidP="00623089">
            <w:pPr>
              <w:pStyle w:val="TableText"/>
              <w:spacing w:before="40" w:after="40"/>
              <w:jc w:val="right"/>
            </w:pPr>
            <w:r w:rsidRPr="001D5327">
              <w:rPr>
                <w:rFonts w:eastAsia="Calibri"/>
                <w:color w:val="000000"/>
              </w:rPr>
              <w:t>77.5</w:t>
            </w:r>
          </w:p>
        </w:tc>
        <w:tc>
          <w:tcPr>
            <w:tcW w:w="0" w:type="auto"/>
            <w:shd w:val="clear" w:color="auto" w:fill="FFFFFF"/>
            <w:tcMar>
              <w:top w:w="0" w:type="dxa"/>
              <w:left w:w="85" w:type="dxa"/>
              <w:bottom w:w="0" w:type="dxa"/>
              <w:right w:w="85" w:type="dxa"/>
            </w:tcMar>
          </w:tcPr>
          <w:p w14:paraId="525835B4" w14:textId="77777777" w:rsidR="009327C0" w:rsidRPr="001D5327" w:rsidRDefault="009327C0" w:rsidP="00623089">
            <w:pPr>
              <w:pStyle w:val="TableText"/>
              <w:spacing w:before="40" w:after="40"/>
              <w:jc w:val="right"/>
            </w:pPr>
            <w:r w:rsidRPr="001D5327">
              <w:rPr>
                <w:rFonts w:eastAsia="Calibri"/>
                <w:color w:val="000000"/>
              </w:rPr>
              <w:t>83.2</w:t>
            </w:r>
          </w:p>
        </w:tc>
      </w:tr>
      <w:tr w:rsidR="009327C0" w:rsidRPr="001D5327" w14:paraId="4ED63661" w14:textId="77777777" w:rsidTr="00D11AC9">
        <w:tc>
          <w:tcPr>
            <w:tcW w:w="0" w:type="auto"/>
            <w:shd w:val="clear" w:color="auto" w:fill="FFFFFF"/>
            <w:tcMar>
              <w:top w:w="0" w:type="dxa"/>
              <w:left w:w="85" w:type="dxa"/>
              <w:bottom w:w="0" w:type="dxa"/>
              <w:right w:w="85" w:type="dxa"/>
            </w:tcMar>
          </w:tcPr>
          <w:p w14:paraId="32FFD015" w14:textId="77777777" w:rsidR="009327C0" w:rsidRPr="001D5327" w:rsidRDefault="009327C0" w:rsidP="00623089">
            <w:pPr>
              <w:pStyle w:val="TableText"/>
              <w:spacing w:before="40" w:after="40"/>
            </w:pPr>
            <w:r w:rsidRPr="001D5327">
              <w:rPr>
                <w:rFonts w:eastAsia="Calibri"/>
                <w:color w:val="000000"/>
              </w:rPr>
              <w:t>2021</w:t>
            </w:r>
          </w:p>
        </w:tc>
        <w:tc>
          <w:tcPr>
            <w:tcW w:w="0" w:type="auto"/>
            <w:shd w:val="clear" w:color="auto" w:fill="FFFFFF"/>
            <w:tcMar>
              <w:top w:w="0" w:type="dxa"/>
              <w:left w:w="85" w:type="dxa"/>
              <w:bottom w:w="0" w:type="dxa"/>
              <w:right w:w="85" w:type="dxa"/>
            </w:tcMar>
          </w:tcPr>
          <w:p w14:paraId="1ADE7AB7" w14:textId="77777777" w:rsidR="009327C0" w:rsidRPr="001D5327" w:rsidRDefault="009327C0" w:rsidP="00623089">
            <w:pPr>
              <w:pStyle w:val="TableText"/>
              <w:spacing w:before="40" w:after="40"/>
              <w:jc w:val="right"/>
            </w:pPr>
            <w:r w:rsidRPr="001D5327">
              <w:rPr>
                <w:rFonts w:eastAsia="Calibri"/>
                <w:color w:val="000000"/>
              </w:rPr>
              <w:t>76.9</w:t>
            </w:r>
          </w:p>
        </w:tc>
        <w:tc>
          <w:tcPr>
            <w:tcW w:w="0" w:type="auto"/>
            <w:shd w:val="clear" w:color="auto" w:fill="FFFFFF"/>
            <w:tcMar>
              <w:top w:w="0" w:type="dxa"/>
              <w:left w:w="85" w:type="dxa"/>
              <w:bottom w:w="0" w:type="dxa"/>
              <w:right w:w="85" w:type="dxa"/>
            </w:tcMar>
          </w:tcPr>
          <w:p w14:paraId="64168416" w14:textId="77777777" w:rsidR="009327C0" w:rsidRPr="001D5327" w:rsidRDefault="009327C0" w:rsidP="00623089">
            <w:pPr>
              <w:pStyle w:val="TableText"/>
              <w:spacing w:before="40" w:after="40"/>
              <w:jc w:val="right"/>
            </w:pPr>
            <w:r w:rsidRPr="001D5327">
              <w:rPr>
                <w:rFonts w:eastAsia="Calibri"/>
                <w:color w:val="000000"/>
              </w:rPr>
              <w:t>87.8</w:t>
            </w:r>
          </w:p>
        </w:tc>
      </w:tr>
    </w:tbl>
    <w:p w14:paraId="0AF100C8" w14:textId="77777777" w:rsidR="009327C0" w:rsidRPr="001D5327" w:rsidRDefault="009327C0" w:rsidP="004C294C">
      <w:pPr>
        <w:pStyle w:val="BodyText"/>
        <w:keepNext/>
        <w:spacing w:before="240" w:after="0"/>
        <w:outlineLvl w:val="4"/>
      </w:pPr>
      <w:r w:rsidRPr="001D5327">
        <w:t>HFC-134a is the predominant HFC propellant used in non-medical aerosols in New Zealand. A small amount of HFC-152a has been used from 2015. A very small amount of HFC-43-10mee was reported between 2020 and 2023, mixed with HFC-134a in a specialised aerosol product.</w:t>
      </w:r>
    </w:p>
    <w:p w14:paraId="5AB7AE74" w14:textId="77777777" w:rsidR="009327C0" w:rsidRPr="001D5327" w:rsidRDefault="009327C0" w:rsidP="00F4582D">
      <w:pPr>
        <w:pStyle w:val="BodyText"/>
        <w:spacing w:before="100" w:after="80"/>
      </w:pPr>
      <w:r w:rsidRPr="001D5327">
        <w:t>All non-MDI aerosols used in New Zealand now are imported, with the propellant charge already in place. Up until 2014, one company loaded specialised aerosols in New Zealand with HFC-134a as the propellant. This activity is no longer carried out.</w:t>
      </w:r>
    </w:p>
    <w:p w14:paraId="53AC8203" w14:textId="77777777" w:rsidR="009327C0" w:rsidRPr="001D5327" w:rsidRDefault="009327C0" w:rsidP="00F4582D">
      <w:pPr>
        <w:pStyle w:val="BodyText"/>
        <w:spacing w:before="100" w:after="80"/>
      </w:pPr>
      <w:r w:rsidRPr="001D5327">
        <w:t>Nearly all the aerosol cans that are imported and sold in New Zealand use hydrocarbon propellants, while only a few specialised applications use HFCs.</w:t>
      </w:r>
    </w:p>
    <w:p w14:paraId="1C04A02F" w14:textId="77777777" w:rsidR="009327C0" w:rsidRPr="001D5327" w:rsidRDefault="009327C0" w:rsidP="00F4582D">
      <w:pPr>
        <w:pStyle w:val="BodyText"/>
        <w:spacing w:before="100" w:after="80"/>
      </w:pPr>
      <w:r w:rsidRPr="001D5327">
        <w:t>Information on the importation, manufacture and use of non-MDI aerosol products has been sourced from the survey data, which has been supplied by importers, from the one New Zealand aerosol manufacturer that previously used HFC-134a and from their industry association.</w:t>
      </w:r>
    </w:p>
    <w:p w14:paraId="7881DE8C" w14:textId="77777777" w:rsidR="009327C0" w:rsidRPr="001D5327" w:rsidRDefault="009327C0" w:rsidP="00623089">
      <w:pPr>
        <w:pStyle w:val="BodyText"/>
        <w:spacing w:before="100" w:after="80"/>
      </w:pPr>
      <w:r w:rsidRPr="001D5327">
        <w:t>Import data, irrespective of the source, are not complete or reliable due to the diffuse nature of the aerosol market. The available data do not clearly differentiate aerosols containing HFCs from the significantly larger number that contain hydrocarbons.</w:t>
      </w:r>
    </w:p>
    <w:p w14:paraId="294398E5" w14:textId="77777777" w:rsidR="009327C0" w:rsidRPr="001D5327" w:rsidRDefault="009327C0" w:rsidP="009327C0">
      <w:pPr>
        <w:pStyle w:val="BodyText"/>
      </w:pPr>
      <w:r w:rsidRPr="001D5327">
        <w:lastRenderedPageBreak/>
        <w:t>Survey data have provided some incomplete estimates of imports containing HFCs, for example, they accounted for 6.6 tonnes of HFC-134a in 2006. By combining this information with data from the New Zealand manufacturer, an assessment has been made of the proportions of HFC-134a in aerosol products sold in New Zealand:</w:t>
      </w:r>
    </w:p>
    <w:p w14:paraId="214D62BC" w14:textId="77777777" w:rsidR="009327C0" w:rsidRPr="001D5327" w:rsidRDefault="009327C0" w:rsidP="009327C0">
      <w:pPr>
        <w:pStyle w:val="Bullet"/>
      </w:pPr>
      <w:r w:rsidRPr="001D5327">
        <w:t>zero from 1990 to 1995, when HFC propellant had not yet been introduced</w:t>
      </w:r>
    </w:p>
    <w:p w14:paraId="30D17C19" w14:textId="77777777" w:rsidR="009327C0" w:rsidRPr="001D5327" w:rsidRDefault="009327C0" w:rsidP="009327C0">
      <w:pPr>
        <w:pStyle w:val="Bullet"/>
      </w:pPr>
      <w:r w:rsidRPr="001D5327">
        <w:t>phased in from 1996 to 2000, reaching 1 per cent in 2000</w:t>
      </w:r>
    </w:p>
    <w:p w14:paraId="6F928E97" w14:textId="77777777" w:rsidR="009327C0" w:rsidRPr="001D5327" w:rsidRDefault="009327C0" w:rsidP="009327C0">
      <w:pPr>
        <w:pStyle w:val="Bullet"/>
      </w:pPr>
      <w:r w:rsidRPr="001D5327">
        <w:t>1 per cent (approximately 17 tonnes of HFC-134a annually) from 2001 to 2016</w:t>
      </w:r>
    </w:p>
    <w:p w14:paraId="647529F2" w14:textId="7C721105" w:rsidR="009327C0" w:rsidRPr="001D5327" w:rsidRDefault="009327C0" w:rsidP="009327C0">
      <w:pPr>
        <w:pStyle w:val="Bullet"/>
        <w:rPr>
          <w:spacing w:val="-2"/>
        </w:rPr>
      </w:pPr>
      <w:r w:rsidRPr="001D5327">
        <w:rPr>
          <w:spacing w:val="-2"/>
        </w:rPr>
        <w:t>phasing down by 0.1 per cent each year from 2017 to 2019, driven by introduction of</w:t>
      </w:r>
      <w:r w:rsidR="00623089" w:rsidRPr="001D5327">
        <w:rPr>
          <w:spacing w:val="-2"/>
        </w:rPr>
        <w:t> </w:t>
      </w:r>
      <w:r w:rsidRPr="001D5327">
        <w:rPr>
          <w:spacing w:val="-2"/>
        </w:rPr>
        <w:t>HFOs</w:t>
      </w:r>
    </w:p>
    <w:p w14:paraId="7DD702C0" w14:textId="77777777" w:rsidR="009327C0" w:rsidRPr="001D5327" w:rsidRDefault="009327C0" w:rsidP="009327C0">
      <w:pPr>
        <w:pStyle w:val="Bullet"/>
      </w:pPr>
      <w:r w:rsidRPr="001D5327">
        <w:t>remaining at 0.7 per cent for 2020</w:t>
      </w:r>
    </w:p>
    <w:p w14:paraId="3C9177C9" w14:textId="77777777" w:rsidR="009327C0" w:rsidRPr="001D5327" w:rsidRDefault="009327C0" w:rsidP="009327C0">
      <w:pPr>
        <w:pStyle w:val="Bullet"/>
      </w:pPr>
      <w:r w:rsidRPr="001D5327">
        <w:t>0.6 per cent in 2023 due to a further increase in the use of HFOs.</w:t>
      </w:r>
    </w:p>
    <w:p w14:paraId="33AD338F" w14:textId="77777777" w:rsidR="009327C0" w:rsidRPr="001D5327" w:rsidRDefault="009327C0" w:rsidP="009327C0">
      <w:pPr>
        <w:pStyle w:val="BodyText"/>
      </w:pPr>
      <w:r w:rsidRPr="001D5327">
        <w:t>For all non-MDI aerosol products using HFC-134a as the propellant, the average propellant charge is assessed to be 84 grams.</w:t>
      </w:r>
    </w:p>
    <w:p w14:paraId="169FD11D" w14:textId="77777777" w:rsidR="009327C0" w:rsidRPr="001D5327" w:rsidRDefault="009327C0" w:rsidP="009327C0">
      <w:pPr>
        <w:pStyle w:val="Heading4"/>
      </w:pPr>
      <w:bookmarkStart w:id="528" w:name="choice-of-methods-4"/>
      <w:bookmarkEnd w:id="521"/>
      <w:bookmarkEnd w:id="526"/>
      <w:r w:rsidRPr="001D5327">
        <w:t>Choice of methods</w:t>
      </w:r>
    </w:p>
    <w:p w14:paraId="0C26090D" w14:textId="77777777" w:rsidR="009327C0" w:rsidRPr="001D5327" w:rsidRDefault="009327C0" w:rsidP="009327C0">
      <w:pPr>
        <w:pStyle w:val="Heading5"/>
      </w:pPr>
      <w:bookmarkStart w:id="529" w:name="X2a0b4f98fb268b5ee5bb40534f221a9a267d986"/>
      <w:r w:rsidRPr="001D5327">
        <w:t>Refrigeration and air conditioning (2.F.1)</w:t>
      </w:r>
    </w:p>
    <w:p w14:paraId="2A35DE16" w14:textId="77777777" w:rsidR="009327C0" w:rsidRPr="001D5327" w:rsidRDefault="009327C0" w:rsidP="009327C0">
      <w:pPr>
        <w:pStyle w:val="BodyText"/>
      </w:pPr>
      <w:r w:rsidRPr="001D5327">
        <w:t xml:space="preserve">The Tier 2b mass balance approach is used to estimate emissions from the </w:t>
      </w:r>
      <w:r w:rsidRPr="001D5327">
        <w:rPr>
          <w:i/>
          <w:iCs/>
        </w:rPr>
        <w:t>Refrigeration and air conditioning</w:t>
      </w:r>
      <w:r w:rsidRPr="001D5327">
        <w:t xml:space="preserve"> category. This method is used because complete and accurate data are available on bulk imports of the refrigerants used for these applications. The alternative Tier 2a approach would require bottom-up data on the charges, leakage rates and population of a great variety of equipment items. This information is not available.</w:t>
      </w:r>
    </w:p>
    <w:p w14:paraId="6F95CBD4" w14:textId="77777777" w:rsidR="009327C0" w:rsidRPr="001D5327" w:rsidRDefault="009327C0" w:rsidP="009327C0">
      <w:pPr>
        <w:pStyle w:val="BodyText"/>
      </w:pPr>
      <w:r w:rsidRPr="001D5327">
        <w:t>Annual sales and the charge in new equipment are calculated as shown in box 7.3 in the 2006 IPCC Guidelines (IPCC, 2006a) (see box 4.1). Total charge of new equipment includes equipment that is later exported.</w:t>
      </w:r>
    </w:p>
    <w:p w14:paraId="60B97C0D" w14:textId="77777777" w:rsidR="009327C0" w:rsidRPr="001D5327" w:rsidRDefault="009327C0" w:rsidP="009327C0">
      <w:pPr>
        <w:pStyle w:val="BodyText"/>
      </w:pPr>
      <w:r w:rsidRPr="001D5327">
        <w:rPr>
          <w:b/>
          <w:bCs/>
        </w:rPr>
        <w:t>Box 4.1</w:t>
      </w:r>
      <w:r w:rsidRPr="001D5327">
        <w:t xml:space="preserve"> </w:t>
      </w:r>
      <w:r w:rsidRPr="001D5327">
        <w:rPr>
          <w:noProof/>
        </w:rPr>
        <w:drawing>
          <wp:inline distT="0" distB="0" distL="0" distR="0" wp14:anchorId="7C8D66E7" wp14:editId="57B1A706">
            <wp:extent cx="5397500" cy="2884948"/>
            <wp:effectExtent l="0" t="0" r="0" b="0"/>
            <wp:docPr id="133" name="Picture"/>
            <wp:cNvGraphicFramePr/>
            <a:graphic xmlns:a="http://schemas.openxmlformats.org/drawingml/2006/main">
              <a:graphicData uri="http://schemas.openxmlformats.org/drawingml/2006/picture">
                <pic:pic xmlns:pic="http://schemas.openxmlformats.org/drawingml/2006/picture">
                  <pic:nvPicPr>
                    <pic:cNvPr id="134" name="Picture" descr="images/box_4_1.png"/>
                    <pic:cNvPicPr>
                      <a:picLocks noChangeAspect="1" noChangeArrowheads="1"/>
                    </pic:cNvPicPr>
                  </pic:nvPicPr>
                  <pic:blipFill>
                    <a:blip r:embed="rId87"/>
                    <a:stretch>
                      <a:fillRect/>
                    </a:stretch>
                  </pic:blipFill>
                  <pic:spPr bwMode="auto">
                    <a:xfrm>
                      <a:off x="0" y="0"/>
                      <a:ext cx="5397500" cy="2884948"/>
                    </a:xfrm>
                    <a:prstGeom prst="rect">
                      <a:avLst/>
                    </a:prstGeom>
                    <a:noFill/>
                    <a:ln w="9525">
                      <a:noFill/>
                      <a:headEnd/>
                      <a:tailEnd/>
                    </a:ln>
                  </pic:spPr>
                </pic:pic>
              </a:graphicData>
            </a:graphic>
          </wp:inline>
        </w:drawing>
      </w:r>
    </w:p>
    <w:p w14:paraId="46D8D843" w14:textId="77777777" w:rsidR="009327C0" w:rsidRPr="001D5327" w:rsidRDefault="009327C0" w:rsidP="009327C0">
      <w:pPr>
        <w:pStyle w:val="BodyText"/>
        <w:spacing w:before="240"/>
      </w:pPr>
      <w:r w:rsidRPr="001D5327">
        <w:t>The mass balance approach uses equation 7.9 in the 2006 IPCC Guidelines (IPCC, 2006a) (box 4.2).</w:t>
      </w:r>
    </w:p>
    <w:p w14:paraId="07ED5E81" w14:textId="77777777" w:rsidR="009327C0" w:rsidRPr="001D5327" w:rsidRDefault="009327C0" w:rsidP="009327C0">
      <w:pPr>
        <w:pStyle w:val="BodyText"/>
      </w:pPr>
      <w:r w:rsidRPr="001D5327">
        <w:rPr>
          <w:b/>
          <w:bCs/>
        </w:rPr>
        <w:lastRenderedPageBreak/>
        <w:t>Box 4.2</w:t>
      </w:r>
      <w:r w:rsidRPr="001D5327">
        <w:t xml:space="preserve"> </w:t>
      </w:r>
      <w:r w:rsidRPr="001D5327">
        <w:rPr>
          <w:noProof/>
        </w:rPr>
        <w:drawing>
          <wp:inline distT="0" distB="0" distL="0" distR="0" wp14:anchorId="55617BCD" wp14:editId="17D75386">
            <wp:extent cx="5397500" cy="847613"/>
            <wp:effectExtent l="0" t="0" r="0" b="0"/>
            <wp:docPr id="136" name="Picture"/>
            <wp:cNvGraphicFramePr/>
            <a:graphic xmlns:a="http://schemas.openxmlformats.org/drawingml/2006/main">
              <a:graphicData uri="http://schemas.openxmlformats.org/drawingml/2006/picture">
                <pic:pic xmlns:pic="http://schemas.openxmlformats.org/drawingml/2006/picture">
                  <pic:nvPicPr>
                    <pic:cNvPr id="137" name="Picture" descr="images/box_4_2.png"/>
                    <pic:cNvPicPr>
                      <a:picLocks noChangeAspect="1" noChangeArrowheads="1"/>
                    </pic:cNvPicPr>
                  </pic:nvPicPr>
                  <pic:blipFill>
                    <a:blip r:embed="rId88"/>
                    <a:stretch>
                      <a:fillRect/>
                    </a:stretch>
                  </pic:blipFill>
                  <pic:spPr bwMode="auto">
                    <a:xfrm>
                      <a:off x="0" y="0"/>
                      <a:ext cx="5397500" cy="847613"/>
                    </a:xfrm>
                    <a:prstGeom prst="rect">
                      <a:avLst/>
                    </a:prstGeom>
                    <a:noFill/>
                    <a:ln w="9525">
                      <a:noFill/>
                      <a:headEnd/>
                      <a:tailEnd/>
                    </a:ln>
                  </pic:spPr>
                </pic:pic>
              </a:graphicData>
            </a:graphic>
          </wp:inline>
        </w:drawing>
      </w:r>
    </w:p>
    <w:p w14:paraId="384F3E60" w14:textId="77777777" w:rsidR="009327C0" w:rsidRPr="001D5327" w:rsidRDefault="009327C0" w:rsidP="009327C0">
      <w:pPr>
        <w:pStyle w:val="BodyText"/>
      </w:pPr>
      <w:r w:rsidRPr="001D5327">
        <w:t xml:space="preserve">Spreadsheet models have been used to represent the refrigerant consumption and banks. Estimates have been made for the six sub-applications: </w:t>
      </w:r>
      <w:r w:rsidRPr="001D5327">
        <w:rPr>
          <w:i/>
          <w:iCs/>
        </w:rPr>
        <w:t>Household refrigeration</w:t>
      </w:r>
      <w:r w:rsidRPr="001D5327">
        <w:t xml:space="preserve">, </w:t>
      </w:r>
      <w:r w:rsidRPr="001D5327">
        <w:rPr>
          <w:i/>
          <w:iCs/>
        </w:rPr>
        <w:t>Commercial refrigeration</w:t>
      </w:r>
      <w:r w:rsidRPr="001D5327">
        <w:t xml:space="preserve">, </w:t>
      </w:r>
      <w:r w:rsidRPr="001D5327">
        <w:rPr>
          <w:i/>
          <w:iCs/>
        </w:rPr>
        <w:t>Industrial refrigeration</w:t>
      </w:r>
      <w:r w:rsidRPr="001D5327">
        <w:t xml:space="preserve">, </w:t>
      </w:r>
      <w:r w:rsidRPr="001D5327">
        <w:rPr>
          <w:i/>
          <w:iCs/>
        </w:rPr>
        <w:t>Transport refrigeration</w:t>
      </w:r>
      <w:r w:rsidRPr="001D5327">
        <w:t xml:space="preserve">, </w:t>
      </w:r>
      <w:r w:rsidRPr="001D5327">
        <w:rPr>
          <w:i/>
          <w:iCs/>
        </w:rPr>
        <w:t>Stationary air conditioning</w:t>
      </w:r>
      <w:r w:rsidRPr="001D5327">
        <w:t xml:space="preserve"> and</w:t>
      </w:r>
      <w:r w:rsidRPr="001D5327">
        <w:rPr>
          <w:i/>
          <w:iCs/>
        </w:rPr>
        <w:t xml:space="preserve"> Mobile air conditioning</w:t>
      </w:r>
      <w:r w:rsidRPr="001D5327">
        <w:t>. For commercial and industrial refrigeration, where the required data are available, the models distinguish and calculate separately:</w:t>
      </w:r>
    </w:p>
    <w:p w14:paraId="5318B59A" w14:textId="77777777" w:rsidR="009327C0" w:rsidRPr="001D5327" w:rsidRDefault="009327C0" w:rsidP="009327C0">
      <w:pPr>
        <w:pStyle w:val="Bullet"/>
      </w:pPr>
      <w:r w:rsidRPr="001D5327">
        <w:t>recovery for destruction</w:t>
      </w:r>
    </w:p>
    <w:p w14:paraId="75FBAEC8" w14:textId="77777777" w:rsidR="009327C0" w:rsidRPr="001D5327" w:rsidRDefault="009327C0" w:rsidP="009327C0">
      <w:pPr>
        <w:pStyle w:val="Bullet"/>
      </w:pPr>
      <w:r w:rsidRPr="001D5327">
        <w:t>recovery for reuse of the refrigerant.</w:t>
      </w:r>
    </w:p>
    <w:p w14:paraId="536D26B1" w14:textId="77777777" w:rsidR="009327C0" w:rsidRPr="001D5327" w:rsidRDefault="009327C0" w:rsidP="009327C0">
      <w:pPr>
        <w:pStyle w:val="BodyText"/>
      </w:pPr>
      <w:r w:rsidRPr="001D5327">
        <w:t>Country-specific assessments for the lifetime of equipment have been made to calculate the ‘original total charge of retiring equipment’. These assessments include progressive retirement of air conditioning equipment in years 8 to 19, and dehumidifiers in years 6 to 15. The analysis also takes into account the impact of the 2011 Canterbury earthquake, which resulted in emissions from demolition of damaged buildings in the following years.</w:t>
      </w:r>
    </w:p>
    <w:p w14:paraId="1D722DD8" w14:textId="77777777" w:rsidR="009327C0" w:rsidRPr="001D5327" w:rsidRDefault="009327C0" w:rsidP="009327C0">
      <w:pPr>
        <w:pStyle w:val="BodyText"/>
      </w:pPr>
      <w:r w:rsidRPr="001D5327">
        <w:t>There is currently no facility for the intentional destruction of HFCs or PFCs from this application operating in New Zealand. Some HFCs are exported for destruction in Australia, and the amounts recovered for destruction are reported.</w:t>
      </w:r>
    </w:p>
    <w:p w14:paraId="40556D44" w14:textId="77777777" w:rsidR="009327C0" w:rsidRPr="001D5327" w:rsidRDefault="009327C0" w:rsidP="009327C0">
      <w:pPr>
        <w:pStyle w:val="BodyText"/>
      </w:pPr>
      <w:r w:rsidRPr="001D5327">
        <w:t>Table 4.7.3 summarises the methodological tiers that are used for each sub-application.</w:t>
      </w:r>
    </w:p>
    <w:p w14:paraId="284DB394" w14:textId="77777777" w:rsidR="009327C0" w:rsidRPr="001D5327" w:rsidRDefault="009327C0" w:rsidP="009327C0">
      <w:pPr>
        <w:pStyle w:val="Table"/>
      </w:pPr>
      <w:bookmarkStart w:id="530" w:name="_Toc194241694"/>
      <w:r w:rsidRPr="001D5327">
        <w:t xml:space="preserve">Table 4.7.3 </w:t>
      </w:r>
      <w:r w:rsidRPr="001D5327">
        <w:tab/>
        <w:t>Summary of methodological tiers by sub-application</w:t>
      </w:r>
      <w:bookmarkEnd w:id="530"/>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358"/>
        <w:gridCol w:w="1417"/>
        <w:gridCol w:w="3719"/>
      </w:tblGrid>
      <w:tr w:rsidR="009327C0" w:rsidRPr="001D5327" w14:paraId="0DD7C926" w14:textId="77777777" w:rsidTr="00D11AC9">
        <w:trPr>
          <w:tblHeader/>
        </w:trPr>
        <w:tc>
          <w:tcPr>
            <w:tcW w:w="0" w:type="auto"/>
            <w:shd w:val="clear" w:color="auto" w:fill="1B556B"/>
            <w:tcMar>
              <w:top w:w="0" w:type="dxa"/>
              <w:left w:w="85" w:type="dxa"/>
              <w:bottom w:w="0" w:type="dxa"/>
              <w:right w:w="85" w:type="dxa"/>
            </w:tcMar>
          </w:tcPr>
          <w:p w14:paraId="47EF017E" w14:textId="77777777" w:rsidR="009327C0" w:rsidRPr="001D5327" w:rsidRDefault="009327C0" w:rsidP="00623089">
            <w:pPr>
              <w:pStyle w:val="TableTextBold"/>
              <w:spacing w:before="40" w:after="40"/>
              <w:rPr>
                <w:noProof w:val="0"/>
                <w:color w:val="FFFFFF" w:themeColor="background1"/>
              </w:rPr>
            </w:pPr>
            <w:r w:rsidRPr="001D5327">
              <w:rPr>
                <w:rFonts w:eastAsia="Calibri"/>
                <w:noProof w:val="0"/>
                <w:color w:val="FFFFFF" w:themeColor="background1"/>
              </w:rPr>
              <w:t>Sub-application</w:t>
            </w:r>
          </w:p>
        </w:tc>
        <w:tc>
          <w:tcPr>
            <w:tcW w:w="0" w:type="auto"/>
            <w:shd w:val="clear" w:color="auto" w:fill="1B556B"/>
            <w:tcMar>
              <w:top w:w="0" w:type="dxa"/>
              <w:left w:w="85" w:type="dxa"/>
              <w:bottom w:w="0" w:type="dxa"/>
              <w:right w:w="85" w:type="dxa"/>
            </w:tcMar>
          </w:tcPr>
          <w:p w14:paraId="3719189D" w14:textId="77777777" w:rsidR="009327C0" w:rsidRPr="001D5327" w:rsidRDefault="009327C0" w:rsidP="00623089">
            <w:pPr>
              <w:pStyle w:val="TableTextBold"/>
              <w:spacing w:before="40" w:after="40"/>
              <w:rPr>
                <w:noProof w:val="0"/>
                <w:color w:val="FFFFFF" w:themeColor="background1"/>
              </w:rPr>
            </w:pPr>
            <w:r w:rsidRPr="001D5327">
              <w:rPr>
                <w:rFonts w:eastAsia="Calibri"/>
                <w:noProof w:val="0"/>
                <w:color w:val="FFFFFF" w:themeColor="background1"/>
              </w:rPr>
              <w:t>Chemical</w:t>
            </w:r>
          </w:p>
        </w:tc>
        <w:tc>
          <w:tcPr>
            <w:tcW w:w="0" w:type="auto"/>
            <w:shd w:val="clear" w:color="auto" w:fill="1B556B"/>
            <w:tcMar>
              <w:top w:w="0" w:type="dxa"/>
              <w:left w:w="85" w:type="dxa"/>
              <w:bottom w:w="0" w:type="dxa"/>
              <w:right w:w="85" w:type="dxa"/>
            </w:tcMar>
          </w:tcPr>
          <w:p w14:paraId="58D210B5" w14:textId="77777777" w:rsidR="009327C0" w:rsidRPr="001D5327" w:rsidRDefault="009327C0" w:rsidP="00623089">
            <w:pPr>
              <w:pStyle w:val="TableTextBold"/>
              <w:spacing w:before="40" w:after="40"/>
              <w:rPr>
                <w:noProof w:val="0"/>
                <w:color w:val="FFFFFF" w:themeColor="background1"/>
              </w:rPr>
            </w:pPr>
            <w:r w:rsidRPr="001D5327">
              <w:rPr>
                <w:rFonts w:eastAsia="Calibri"/>
                <w:noProof w:val="0"/>
                <w:color w:val="FFFFFF" w:themeColor="background1"/>
              </w:rPr>
              <w:t>Method used (Tier)</w:t>
            </w:r>
          </w:p>
        </w:tc>
      </w:tr>
      <w:tr w:rsidR="009327C0" w:rsidRPr="001D5327" w14:paraId="56D6FF94" w14:textId="77777777" w:rsidTr="00D11AC9">
        <w:tc>
          <w:tcPr>
            <w:tcW w:w="0" w:type="auto"/>
            <w:shd w:val="clear" w:color="auto" w:fill="FFFFFF"/>
            <w:tcMar>
              <w:top w:w="0" w:type="dxa"/>
              <w:left w:w="85" w:type="dxa"/>
              <w:bottom w:w="0" w:type="dxa"/>
              <w:right w:w="85" w:type="dxa"/>
            </w:tcMar>
          </w:tcPr>
          <w:p w14:paraId="2A4C5EAB" w14:textId="77777777" w:rsidR="009327C0" w:rsidRPr="001D5327" w:rsidRDefault="009327C0" w:rsidP="00623089">
            <w:pPr>
              <w:pStyle w:val="TableText"/>
              <w:spacing w:before="40" w:after="40"/>
            </w:pPr>
            <w:r w:rsidRPr="001D5327">
              <w:rPr>
                <w:rFonts w:eastAsia="Calibri"/>
                <w:color w:val="000000"/>
              </w:rPr>
              <w:t>Household refrigeration</w:t>
            </w:r>
          </w:p>
        </w:tc>
        <w:tc>
          <w:tcPr>
            <w:tcW w:w="0" w:type="auto"/>
            <w:shd w:val="clear" w:color="auto" w:fill="FFFFFF"/>
            <w:tcMar>
              <w:top w:w="0" w:type="dxa"/>
              <w:left w:w="85" w:type="dxa"/>
              <w:bottom w:w="0" w:type="dxa"/>
              <w:right w:w="85" w:type="dxa"/>
            </w:tcMar>
          </w:tcPr>
          <w:p w14:paraId="4ED891DF" w14:textId="77777777" w:rsidR="009327C0" w:rsidRPr="001D5327" w:rsidRDefault="009327C0" w:rsidP="00623089">
            <w:pPr>
              <w:pStyle w:val="TableText"/>
              <w:spacing w:before="40" w:after="40"/>
            </w:pPr>
            <w:r w:rsidRPr="001D5327">
              <w:rPr>
                <w:rFonts w:eastAsia="Calibri"/>
                <w:color w:val="000000"/>
              </w:rPr>
              <w:t>HFC-134a</w:t>
            </w:r>
          </w:p>
        </w:tc>
        <w:tc>
          <w:tcPr>
            <w:tcW w:w="0" w:type="auto"/>
            <w:shd w:val="clear" w:color="auto" w:fill="FFFFFF"/>
            <w:tcMar>
              <w:top w:w="0" w:type="dxa"/>
              <w:left w:w="85" w:type="dxa"/>
              <w:bottom w:w="0" w:type="dxa"/>
              <w:right w:w="85" w:type="dxa"/>
            </w:tcMar>
          </w:tcPr>
          <w:p w14:paraId="65610A5A" w14:textId="77777777" w:rsidR="009327C0" w:rsidRPr="001D5327" w:rsidRDefault="009327C0" w:rsidP="00623089">
            <w:pPr>
              <w:pStyle w:val="TableText"/>
              <w:spacing w:before="40" w:after="40"/>
            </w:pPr>
            <w:r w:rsidRPr="001D5327">
              <w:rPr>
                <w:rFonts w:eastAsia="Calibri"/>
                <w:color w:val="000000"/>
              </w:rPr>
              <w:t>2a</w:t>
            </w:r>
          </w:p>
        </w:tc>
      </w:tr>
      <w:tr w:rsidR="009327C0" w:rsidRPr="001D5327" w14:paraId="20836A3C" w14:textId="77777777" w:rsidTr="00D11AC9">
        <w:tc>
          <w:tcPr>
            <w:tcW w:w="0" w:type="auto"/>
            <w:shd w:val="clear" w:color="auto" w:fill="FFFFFF"/>
            <w:tcMar>
              <w:top w:w="0" w:type="dxa"/>
              <w:left w:w="85" w:type="dxa"/>
              <w:bottom w:w="0" w:type="dxa"/>
              <w:right w:w="85" w:type="dxa"/>
            </w:tcMar>
          </w:tcPr>
          <w:p w14:paraId="1117A54A" w14:textId="77777777" w:rsidR="009327C0" w:rsidRPr="001D5327" w:rsidRDefault="009327C0" w:rsidP="00623089">
            <w:pPr>
              <w:pStyle w:val="TableText"/>
              <w:spacing w:before="40" w:after="40"/>
            </w:pPr>
            <w:r w:rsidRPr="001D5327">
              <w:rPr>
                <w:rFonts w:eastAsia="Calibri"/>
                <w:color w:val="000000"/>
              </w:rPr>
              <w:t>Commercial refrigeration</w:t>
            </w:r>
          </w:p>
        </w:tc>
        <w:tc>
          <w:tcPr>
            <w:tcW w:w="0" w:type="auto"/>
            <w:shd w:val="clear" w:color="auto" w:fill="FFFFFF"/>
            <w:tcMar>
              <w:top w:w="0" w:type="dxa"/>
              <w:left w:w="85" w:type="dxa"/>
              <w:bottom w:w="0" w:type="dxa"/>
              <w:right w:w="85" w:type="dxa"/>
            </w:tcMar>
          </w:tcPr>
          <w:p w14:paraId="532CB729" w14:textId="77777777" w:rsidR="009327C0" w:rsidRPr="001D5327" w:rsidRDefault="009327C0" w:rsidP="00623089">
            <w:pPr>
              <w:pStyle w:val="TableText"/>
              <w:spacing w:before="40" w:after="40"/>
            </w:pPr>
            <w:r w:rsidRPr="001D5327">
              <w:rPr>
                <w:rFonts w:eastAsia="Calibri"/>
                <w:color w:val="000000"/>
              </w:rPr>
              <w:t>HFC-32</w:t>
            </w:r>
          </w:p>
        </w:tc>
        <w:tc>
          <w:tcPr>
            <w:tcW w:w="0" w:type="auto"/>
            <w:shd w:val="clear" w:color="auto" w:fill="FFFFFF"/>
            <w:tcMar>
              <w:top w:w="0" w:type="dxa"/>
              <w:left w:w="85" w:type="dxa"/>
              <w:bottom w:w="0" w:type="dxa"/>
              <w:right w:w="85" w:type="dxa"/>
            </w:tcMar>
          </w:tcPr>
          <w:p w14:paraId="757B9155" w14:textId="77777777" w:rsidR="009327C0" w:rsidRPr="001D5327" w:rsidRDefault="009327C0" w:rsidP="00623089">
            <w:pPr>
              <w:pStyle w:val="TableText"/>
              <w:spacing w:before="40" w:after="40"/>
            </w:pPr>
            <w:r w:rsidRPr="001D5327">
              <w:rPr>
                <w:rFonts w:eastAsia="Calibri"/>
                <w:color w:val="000000"/>
              </w:rPr>
              <w:t>2a</w:t>
            </w:r>
          </w:p>
        </w:tc>
      </w:tr>
      <w:tr w:rsidR="009327C0" w:rsidRPr="001D5327" w14:paraId="60FA5BC8" w14:textId="77777777" w:rsidTr="00D11AC9">
        <w:tc>
          <w:tcPr>
            <w:tcW w:w="0" w:type="auto"/>
            <w:shd w:val="clear" w:color="auto" w:fill="FFFFFF"/>
            <w:tcMar>
              <w:top w:w="0" w:type="dxa"/>
              <w:left w:w="85" w:type="dxa"/>
              <w:bottom w:w="0" w:type="dxa"/>
              <w:right w:w="85" w:type="dxa"/>
            </w:tcMar>
          </w:tcPr>
          <w:p w14:paraId="6C8F391D" w14:textId="77777777" w:rsidR="009327C0" w:rsidRPr="001D5327" w:rsidRDefault="009327C0" w:rsidP="00623089">
            <w:pPr>
              <w:pStyle w:val="TableText"/>
              <w:spacing w:before="40" w:after="40"/>
            </w:pPr>
          </w:p>
        </w:tc>
        <w:tc>
          <w:tcPr>
            <w:tcW w:w="0" w:type="auto"/>
            <w:shd w:val="clear" w:color="auto" w:fill="FFFFFF"/>
            <w:tcMar>
              <w:top w:w="0" w:type="dxa"/>
              <w:left w:w="85" w:type="dxa"/>
              <w:bottom w:w="0" w:type="dxa"/>
              <w:right w:w="85" w:type="dxa"/>
            </w:tcMar>
          </w:tcPr>
          <w:p w14:paraId="4D8F0C03" w14:textId="77777777" w:rsidR="009327C0" w:rsidRPr="001D5327" w:rsidRDefault="009327C0" w:rsidP="00623089">
            <w:pPr>
              <w:pStyle w:val="TableText"/>
              <w:spacing w:before="40" w:after="40"/>
            </w:pPr>
            <w:r w:rsidRPr="001D5327">
              <w:rPr>
                <w:rFonts w:eastAsia="Calibri"/>
                <w:color w:val="000000"/>
              </w:rPr>
              <w:t>HFC-125</w:t>
            </w:r>
          </w:p>
        </w:tc>
        <w:tc>
          <w:tcPr>
            <w:tcW w:w="0" w:type="auto"/>
            <w:shd w:val="clear" w:color="auto" w:fill="FFFFFF"/>
            <w:tcMar>
              <w:top w:w="0" w:type="dxa"/>
              <w:left w:w="85" w:type="dxa"/>
              <w:bottom w:w="0" w:type="dxa"/>
              <w:right w:w="85" w:type="dxa"/>
            </w:tcMar>
          </w:tcPr>
          <w:p w14:paraId="03CCC04F" w14:textId="77777777" w:rsidR="009327C0" w:rsidRPr="001D5327" w:rsidRDefault="009327C0" w:rsidP="00623089">
            <w:pPr>
              <w:pStyle w:val="TableText"/>
              <w:spacing w:before="40" w:after="40"/>
            </w:pPr>
            <w:r w:rsidRPr="001D5327">
              <w:rPr>
                <w:rFonts w:eastAsia="Calibri"/>
                <w:color w:val="000000"/>
              </w:rPr>
              <w:t>2b to 2006, 2a for 2007–2021</w:t>
            </w:r>
          </w:p>
        </w:tc>
      </w:tr>
      <w:tr w:rsidR="009327C0" w:rsidRPr="001D5327" w14:paraId="2A48AC27" w14:textId="77777777" w:rsidTr="00D11AC9">
        <w:tc>
          <w:tcPr>
            <w:tcW w:w="0" w:type="auto"/>
            <w:shd w:val="clear" w:color="auto" w:fill="FFFFFF"/>
            <w:tcMar>
              <w:top w:w="0" w:type="dxa"/>
              <w:left w:w="85" w:type="dxa"/>
              <w:bottom w:w="0" w:type="dxa"/>
              <w:right w:w="85" w:type="dxa"/>
            </w:tcMar>
          </w:tcPr>
          <w:p w14:paraId="7F9FF3A0" w14:textId="77777777" w:rsidR="009327C0" w:rsidRPr="001D5327" w:rsidRDefault="009327C0" w:rsidP="00623089">
            <w:pPr>
              <w:pStyle w:val="TableText"/>
              <w:spacing w:before="40" w:after="40"/>
            </w:pPr>
          </w:p>
        </w:tc>
        <w:tc>
          <w:tcPr>
            <w:tcW w:w="0" w:type="auto"/>
            <w:shd w:val="clear" w:color="auto" w:fill="FFFFFF"/>
            <w:tcMar>
              <w:top w:w="0" w:type="dxa"/>
              <w:left w:w="85" w:type="dxa"/>
              <w:bottom w:w="0" w:type="dxa"/>
              <w:right w:w="85" w:type="dxa"/>
            </w:tcMar>
          </w:tcPr>
          <w:p w14:paraId="36523783" w14:textId="77777777" w:rsidR="009327C0" w:rsidRPr="001D5327" w:rsidRDefault="009327C0" w:rsidP="00623089">
            <w:pPr>
              <w:pStyle w:val="TableText"/>
              <w:spacing w:before="40" w:after="40"/>
            </w:pPr>
            <w:r w:rsidRPr="001D5327">
              <w:rPr>
                <w:rFonts w:eastAsia="Calibri"/>
                <w:color w:val="000000"/>
              </w:rPr>
              <w:t>HFC-134a</w:t>
            </w:r>
          </w:p>
        </w:tc>
        <w:tc>
          <w:tcPr>
            <w:tcW w:w="0" w:type="auto"/>
            <w:shd w:val="clear" w:color="auto" w:fill="FFFFFF"/>
            <w:tcMar>
              <w:top w:w="0" w:type="dxa"/>
              <w:left w:w="85" w:type="dxa"/>
              <w:bottom w:w="0" w:type="dxa"/>
              <w:right w:w="85" w:type="dxa"/>
            </w:tcMar>
          </w:tcPr>
          <w:p w14:paraId="0B287622" w14:textId="77777777" w:rsidR="009327C0" w:rsidRPr="001D5327" w:rsidRDefault="009327C0" w:rsidP="00623089">
            <w:pPr>
              <w:pStyle w:val="TableText"/>
              <w:spacing w:before="40" w:after="40"/>
            </w:pPr>
            <w:r w:rsidRPr="001D5327">
              <w:rPr>
                <w:rFonts w:eastAsia="Calibri"/>
                <w:color w:val="000000"/>
              </w:rPr>
              <w:t>2a</w:t>
            </w:r>
          </w:p>
        </w:tc>
      </w:tr>
      <w:tr w:rsidR="009327C0" w:rsidRPr="001D5327" w14:paraId="33F55537" w14:textId="77777777" w:rsidTr="00D11AC9">
        <w:tc>
          <w:tcPr>
            <w:tcW w:w="0" w:type="auto"/>
            <w:shd w:val="clear" w:color="auto" w:fill="FFFFFF"/>
            <w:tcMar>
              <w:top w:w="0" w:type="dxa"/>
              <w:left w:w="85" w:type="dxa"/>
              <w:bottom w:w="0" w:type="dxa"/>
              <w:right w:w="85" w:type="dxa"/>
            </w:tcMar>
          </w:tcPr>
          <w:p w14:paraId="410117AE" w14:textId="77777777" w:rsidR="009327C0" w:rsidRPr="001D5327" w:rsidRDefault="009327C0" w:rsidP="00623089">
            <w:pPr>
              <w:pStyle w:val="TableText"/>
              <w:spacing w:before="40" w:after="40"/>
            </w:pPr>
          </w:p>
        </w:tc>
        <w:tc>
          <w:tcPr>
            <w:tcW w:w="0" w:type="auto"/>
            <w:shd w:val="clear" w:color="auto" w:fill="FFFFFF"/>
            <w:tcMar>
              <w:top w:w="0" w:type="dxa"/>
              <w:left w:w="85" w:type="dxa"/>
              <w:bottom w:w="0" w:type="dxa"/>
              <w:right w:w="85" w:type="dxa"/>
            </w:tcMar>
          </w:tcPr>
          <w:p w14:paraId="61F63AF0" w14:textId="77777777" w:rsidR="009327C0" w:rsidRPr="001D5327" w:rsidRDefault="009327C0" w:rsidP="00623089">
            <w:pPr>
              <w:pStyle w:val="TableText"/>
              <w:spacing w:before="40" w:after="40"/>
            </w:pPr>
            <w:r w:rsidRPr="001D5327">
              <w:rPr>
                <w:rFonts w:eastAsia="Calibri"/>
                <w:color w:val="000000"/>
              </w:rPr>
              <w:t>HFC-143a</w:t>
            </w:r>
          </w:p>
        </w:tc>
        <w:tc>
          <w:tcPr>
            <w:tcW w:w="0" w:type="auto"/>
            <w:shd w:val="clear" w:color="auto" w:fill="FFFFFF"/>
            <w:tcMar>
              <w:top w:w="0" w:type="dxa"/>
              <w:left w:w="85" w:type="dxa"/>
              <w:bottom w:w="0" w:type="dxa"/>
              <w:right w:w="85" w:type="dxa"/>
            </w:tcMar>
          </w:tcPr>
          <w:p w14:paraId="3E3FE307" w14:textId="77777777" w:rsidR="009327C0" w:rsidRPr="001D5327" w:rsidRDefault="009327C0" w:rsidP="00623089">
            <w:pPr>
              <w:pStyle w:val="TableText"/>
              <w:spacing w:before="40" w:after="40"/>
            </w:pPr>
            <w:r w:rsidRPr="001D5327">
              <w:rPr>
                <w:rFonts w:eastAsia="Calibri"/>
                <w:color w:val="000000"/>
              </w:rPr>
              <w:t>2b</w:t>
            </w:r>
          </w:p>
        </w:tc>
      </w:tr>
      <w:tr w:rsidR="009327C0" w:rsidRPr="001D5327" w14:paraId="7EFC467B" w14:textId="77777777" w:rsidTr="00D11AC9">
        <w:tc>
          <w:tcPr>
            <w:tcW w:w="0" w:type="auto"/>
            <w:shd w:val="clear" w:color="auto" w:fill="FFFFFF"/>
            <w:tcMar>
              <w:top w:w="0" w:type="dxa"/>
              <w:left w:w="85" w:type="dxa"/>
              <w:bottom w:w="0" w:type="dxa"/>
              <w:right w:w="85" w:type="dxa"/>
            </w:tcMar>
          </w:tcPr>
          <w:p w14:paraId="65D2F85E" w14:textId="77777777" w:rsidR="009327C0" w:rsidRPr="001D5327" w:rsidRDefault="009327C0" w:rsidP="00623089">
            <w:pPr>
              <w:pStyle w:val="TableText"/>
              <w:spacing w:before="40" w:after="40"/>
            </w:pPr>
            <w:r w:rsidRPr="001D5327">
              <w:rPr>
                <w:rFonts w:eastAsia="Calibri"/>
                <w:color w:val="000000"/>
              </w:rPr>
              <w:t>Industrial refrigeration</w:t>
            </w:r>
          </w:p>
        </w:tc>
        <w:tc>
          <w:tcPr>
            <w:tcW w:w="0" w:type="auto"/>
            <w:shd w:val="clear" w:color="auto" w:fill="FFFFFF"/>
            <w:tcMar>
              <w:top w:w="0" w:type="dxa"/>
              <w:left w:w="85" w:type="dxa"/>
              <w:bottom w:w="0" w:type="dxa"/>
              <w:right w:w="85" w:type="dxa"/>
            </w:tcMar>
          </w:tcPr>
          <w:p w14:paraId="698F22BC" w14:textId="77777777" w:rsidR="009327C0" w:rsidRPr="001D5327" w:rsidRDefault="009327C0" w:rsidP="00623089">
            <w:pPr>
              <w:pStyle w:val="TableText"/>
              <w:spacing w:before="40" w:after="40"/>
            </w:pPr>
            <w:r w:rsidRPr="001D5327">
              <w:rPr>
                <w:rFonts w:eastAsia="Calibri"/>
                <w:color w:val="000000"/>
              </w:rPr>
              <w:t>HFC-32</w:t>
            </w:r>
          </w:p>
        </w:tc>
        <w:tc>
          <w:tcPr>
            <w:tcW w:w="0" w:type="auto"/>
            <w:shd w:val="clear" w:color="auto" w:fill="FFFFFF"/>
            <w:tcMar>
              <w:top w:w="0" w:type="dxa"/>
              <w:left w:w="85" w:type="dxa"/>
              <w:bottom w:w="0" w:type="dxa"/>
              <w:right w:w="85" w:type="dxa"/>
            </w:tcMar>
          </w:tcPr>
          <w:p w14:paraId="3334786A" w14:textId="77777777" w:rsidR="009327C0" w:rsidRPr="001D5327" w:rsidRDefault="009327C0" w:rsidP="00623089">
            <w:pPr>
              <w:pStyle w:val="TableText"/>
              <w:spacing w:before="40" w:after="40"/>
            </w:pPr>
            <w:r w:rsidRPr="001D5327">
              <w:rPr>
                <w:rFonts w:eastAsia="Calibri"/>
                <w:color w:val="000000"/>
              </w:rPr>
              <w:t>2a</w:t>
            </w:r>
          </w:p>
        </w:tc>
      </w:tr>
      <w:tr w:rsidR="009327C0" w:rsidRPr="001D5327" w14:paraId="05EFC0FD" w14:textId="77777777" w:rsidTr="00D11AC9">
        <w:tc>
          <w:tcPr>
            <w:tcW w:w="0" w:type="auto"/>
            <w:shd w:val="clear" w:color="auto" w:fill="FFFFFF"/>
            <w:tcMar>
              <w:top w:w="0" w:type="dxa"/>
              <w:left w:w="85" w:type="dxa"/>
              <w:bottom w:w="0" w:type="dxa"/>
              <w:right w:w="85" w:type="dxa"/>
            </w:tcMar>
          </w:tcPr>
          <w:p w14:paraId="2F28E3EE" w14:textId="77777777" w:rsidR="009327C0" w:rsidRPr="001D5327" w:rsidRDefault="009327C0" w:rsidP="00623089">
            <w:pPr>
              <w:pStyle w:val="TableText"/>
              <w:spacing w:before="40" w:after="40"/>
            </w:pPr>
          </w:p>
        </w:tc>
        <w:tc>
          <w:tcPr>
            <w:tcW w:w="0" w:type="auto"/>
            <w:shd w:val="clear" w:color="auto" w:fill="FFFFFF"/>
            <w:tcMar>
              <w:top w:w="0" w:type="dxa"/>
              <w:left w:w="85" w:type="dxa"/>
              <w:bottom w:w="0" w:type="dxa"/>
              <w:right w:w="85" w:type="dxa"/>
            </w:tcMar>
          </w:tcPr>
          <w:p w14:paraId="4EBCF60E" w14:textId="77777777" w:rsidR="009327C0" w:rsidRPr="001D5327" w:rsidRDefault="009327C0" w:rsidP="00623089">
            <w:pPr>
              <w:pStyle w:val="TableText"/>
              <w:spacing w:before="40" w:after="40"/>
            </w:pPr>
            <w:r w:rsidRPr="001D5327">
              <w:rPr>
                <w:rFonts w:eastAsia="Calibri"/>
                <w:color w:val="000000"/>
              </w:rPr>
              <w:t>HFC-125</w:t>
            </w:r>
          </w:p>
        </w:tc>
        <w:tc>
          <w:tcPr>
            <w:tcW w:w="0" w:type="auto"/>
            <w:shd w:val="clear" w:color="auto" w:fill="FFFFFF"/>
            <w:tcMar>
              <w:top w:w="0" w:type="dxa"/>
              <w:left w:w="85" w:type="dxa"/>
              <w:bottom w:w="0" w:type="dxa"/>
              <w:right w:w="85" w:type="dxa"/>
            </w:tcMar>
          </w:tcPr>
          <w:p w14:paraId="423853B3" w14:textId="77777777" w:rsidR="009327C0" w:rsidRPr="001D5327" w:rsidRDefault="009327C0" w:rsidP="00623089">
            <w:pPr>
              <w:pStyle w:val="TableText"/>
              <w:spacing w:before="40" w:after="40"/>
            </w:pPr>
            <w:r w:rsidRPr="001D5327">
              <w:rPr>
                <w:rFonts w:eastAsia="Calibri"/>
                <w:color w:val="000000"/>
              </w:rPr>
              <w:t>2a</w:t>
            </w:r>
          </w:p>
        </w:tc>
      </w:tr>
      <w:tr w:rsidR="009327C0" w:rsidRPr="001D5327" w14:paraId="2BCA97F4" w14:textId="77777777" w:rsidTr="00D11AC9">
        <w:tc>
          <w:tcPr>
            <w:tcW w:w="0" w:type="auto"/>
            <w:shd w:val="clear" w:color="auto" w:fill="FFFFFF"/>
            <w:tcMar>
              <w:top w:w="0" w:type="dxa"/>
              <w:left w:w="85" w:type="dxa"/>
              <w:bottom w:w="0" w:type="dxa"/>
              <w:right w:w="85" w:type="dxa"/>
            </w:tcMar>
          </w:tcPr>
          <w:p w14:paraId="59CB5DE9" w14:textId="77777777" w:rsidR="009327C0" w:rsidRPr="001D5327" w:rsidRDefault="009327C0" w:rsidP="00623089">
            <w:pPr>
              <w:pStyle w:val="TableText"/>
              <w:spacing w:before="40" w:after="40"/>
            </w:pPr>
          </w:p>
        </w:tc>
        <w:tc>
          <w:tcPr>
            <w:tcW w:w="0" w:type="auto"/>
            <w:shd w:val="clear" w:color="auto" w:fill="FFFFFF"/>
            <w:tcMar>
              <w:top w:w="0" w:type="dxa"/>
              <w:left w:w="85" w:type="dxa"/>
              <w:bottom w:w="0" w:type="dxa"/>
              <w:right w:w="85" w:type="dxa"/>
            </w:tcMar>
          </w:tcPr>
          <w:p w14:paraId="69DE8FBB" w14:textId="77777777" w:rsidR="009327C0" w:rsidRPr="001D5327" w:rsidRDefault="009327C0" w:rsidP="00623089">
            <w:pPr>
              <w:pStyle w:val="TableText"/>
              <w:spacing w:before="40" w:after="40"/>
            </w:pPr>
            <w:r w:rsidRPr="001D5327">
              <w:rPr>
                <w:rFonts w:eastAsia="Calibri"/>
                <w:color w:val="000000"/>
              </w:rPr>
              <w:t>HFC-134a</w:t>
            </w:r>
          </w:p>
        </w:tc>
        <w:tc>
          <w:tcPr>
            <w:tcW w:w="0" w:type="auto"/>
            <w:shd w:val="clear" w:color="auto" w:fill="FFFFFF"/>
            <w:tcMar>
              <w:top w:w="0" w:type="dxa"/>
              <w:left w:w="85" w:type="dxa"/>
              <w:bottom w:w="0" w:type="dxa"/>
              <w:right w:w="85" w:type="dxa"/>
            </w:tcMar>
          </w:tcPr>
          <w:p w14:paraId="1A3CDBD7" w14:textId="77777777" w:rsidR="009327C0" w:rsidRPr="001D5327" w:rsidRDefault="009327C0" w:rsidP="00623089">
            <w:pPr>
              <w:pStyle w:val="TableText"/>
              <w:spacing w:before="40" w:after="40"/>
            </w:pPr>
            <w:r w:rsidRPr="001D5327">
              <w:rPr>
                <w:rFonts w:eastAsia="Calibri"/>
                <w:color w:val="000000"/>
              </w:rPr>
              <w:t>2b</w:t>
            </w:r>
          </w:p>
        </w:tc>
      </w:tr>
      <w:tr w:rsidR="009327C0" w:rsidRPr="001D5327" w14:paraId="135E1DFE" w14:textId="77777777" w:rsidTr="00D11AC9">
        <w:tc>
          <w:tcPr>
            <w:tcW w:w="0" w:type="auto"/>
            <w:shd w:val="clear" w:color="auto" w:fill="FFFFFF"/>
            <w:tcMar>
              <w:top w:w="0" w:type="dxa"/>
              <w:left w:w="85" w:type="dxa"/>
              <w:bottom w:w="0" w:type="dxa"/>
              <w:right w:w="85" w:type="dxa"/>
            </w:tcMar>
          </w:tcPr>
          <w:p w14:paraId="1634451C" w14:textId="77777777" w:rsidR="009327C0" w:rsidRPr="001D5327" w:rsidRDefault="009327C0" w:rsidP="00623089">
            <w:pPr>
              <w:pStyle w:val="TableText"/>
              <w:spacing w:before="40" w:after="40"/>
            </w:pPr>
          </w:p>
        </w:tc>
        <w:tc>
          <w:tcPr>
            <w:tcW w:w="0" w:type="auto"/>
            <w:shd w:val="clear" w:color="auto" w:fill="FFFFFF"/>
            <w:tcMar>
              <w:top w:w="0" w:type="dxa"/>
              <w:left w:w="85" w:type="dxa"/>
              <w:bottom w:w="0" w:type="dxa"/>
              <w:right w:w="85" w:type="dxa"/>
            </w:tcMar>
          </w:tcPr>
          <w:p w14:paraId="6E4BF200" w14:textId="77777777" w:rsidR="009327C0" w:rsidRPr="001D5327" w:rsidRDefault="009327C0" w:rsidP="00623089">
            <w:pPr>
              <w:pStyle w:val="TableText"/>
              <w:spacing w:before="40" w:after="40"/>
            </w:pPr>
            <w:r w:rsidRPr="001D5327">
              <w:rPr>
                <w:rFonts w:eastAsia="Calibri"/>
                <w:color w:val="000000"/>
              </w:rPr>
              <w:t>HFC-143a</w:t>
            </w:r>
          </w:p>
        </w:tc>
        <w:tc>
          <w:tcPr>
            <w:tcW w:w="0" w:type="auto"/>
            <w:shd w:val="clear" w:color="auto" w:fill="FFFFFF"/>
            <w:tcMar>
              <w:top w:w="0" w:type="dxa"/>
              <w:left w:w="85" w:type="dxa"/>
              <w:bottom w:w="0" w:type="dxa"/>
              <w:right w:w="85" w:type="dxa"/>
            </w:tcMar>
          </w:tcPr>
          <w:p w14:paraId="728FD7FE" w14:textId="77777777" w:rsidR="009327C0" w:rsidRPr="001D5327" w:rsidRDefault="009327C0" w:rsidP="00623089">
            <w:pPr>
              <w:pStyle w:val="TableText"/>
              <w:spacing w:before="40" w:after="40"/>
            </w:pPr>
            <w:r w:rsidRPr="001D5327">
              <w:rPr>
                <w:rFonts w:eastAsia="Calibri"/>
                <w:color w:val="000000"/>
              </w:rPr>
              <w:t>2a</w:t>
            </w:r>
          </w:p>
        </w:tc>
      </w:tr>
      <w:tr w:rsidR="009327C0" w:rsidRPr="001D5327" w14:paraId="4A28C515" w14:textId="77777777" w:rsidTr="00D11AC9">
        <w:tc>
          <w:tcPr>
            <w:tcW w:w="0" w:type="auto"/>
            <w:shd w:val="clear" w:color="auto" w:fill="FFFFFF"/>
            <w:tcMar>
              <w:top w:w="0" w:type="dxa"/>
              <w:left w:w="85" w:type="dxa"/>
              <w:bottom w:w="0" w:type="dxa"/>
              <w:right w:w="85" w:type="dxa"/>
            </w:tcMar>
          </w:tcPr>
          <w:p w14:paraId="1CB15059" w14:textId="77777777" w:rsidR="009327C0" w:rsidRPr="001D5327" w:rsidRDefault="009327C0" w:rsidP="00623089">
            <w:pPr>
              <w:pStyle w:val="TableText"/>
              <w:spacing w:before="40" w:after="40"/>
            </w:pPr>
            <w:r w:rsidRPr="001D5327">
              <w:rPr>
                <w:rFonts w:eastAsia="Calibri"/>
                <w:color w:val="000000"/>
              </w:rPr>
              <w:t>Transport refrigeration</w:t>
            </w:r>
          </w:p>
        </w:tc>
        <w:tc>
          <w:tcPr>
            <w:tcW w:w="0" w:type="auto"/>
            <w:shd w:val="clear" w:color="auto" w:fill="FFFFFF"/>
            <w:tcMar>
              <w:top w:w="0" w:type="dxa"/>
              <w:left w:w="85" w:type="dxa"/>
              <w:bottom w:w="0" w:type="dxa"/>
              <w:right w:w="85" w:type="dxa"/>
            </w:tcMar>
          </w:tcPr>
          <w:p w14:paraId="59642D37" w14:textId="77777777" w:rsidR="009327C0" w:rsidRPr="001D5327" w:rsidRDefault="009327C0" w:rsidP="00623089">
            <w:pPr>
              <w:pStyle w:val="TableText"/>
              <w:spacing w:before="40" w:after="40"/>
            </w:pPr>
            <w:r w:rsidRPr="001D5327">
              <w:rPr>
                <w:rFonts w:eastAsia="Calibri"/>
                <w:color w:val="000000"/>
              </w:rPr>
              <w:t>HFC-32</w:t>
            </w:r>
          </w:p>
        </w:tc>
        <w:tc>
          <w:tcPr>
            <w:tcW w:w="0" w:type="auto"/>
            <w:shd w:val="clear" w:color="auto" w:fill="FFFFFF"/>
            <w:tcMar>
              <w:top w:w="0" w:type="dxa"/>
              <w:left w:w="85" w:type="dxa"/>
              <w:bottom w:w="0" w:type="dxa"/>
              <w:right w:w="85" w:type="dxa"/>
            </w:tcMar>
          </w:tcPr>
          <w:p w14:paraId="73276A5F" w14:textId="77777777" w:rsidR="009327C0" w:rsidRPr="001D5327" w:rsidRDefault="009327C0" w:rsidP="00623089">
            <w:pPr>
              <w:pStyle w:val="TableText"/>
              <w:spacing w:before="40" w:after="40"/>
            </w:pPr>
            <w:r w:rsidRPr="001D5327">
              <w:rPr>
                <w:rFonts w:eastAsia="Calibri"/>
                <w:color w:val="000000"/>
              </w:rPr>
              <w:t>2a</w:t>
            </w:r>
          </w:p>
        </w:tc>
      </w:tr>
      <w:tr w:rsidR="009327C0" w:rsidRPr="001D5327" w14:paraId="1E1B2578" w14:textId="77777777" w:rsidTr="00D11AC9">
        <w:tc>
          <w:tcPr>
            <w:tcW w:w="0" w:type="auto"/>
            <w:shd w:val="clear" w:color="auto" w:fill="FFFFFF"/>
            <w:tcMar>
              <w:top w:w="0" w:type="dxa"/>
              <w:left w:w="85" w:type="dxa"/>
              <w:bottom w:w="0" w:type="dxa"/>
              <w:right w:w="85" w:type="dxa"/>
            </w:tcMar>
          </w:tcPr>
          <w:p w14:paraId="191D992A" w14:textId="77777777" w:rsidR="009327C0" w:rsidRPr="001D5327" w:rsidRDefault="009327C0" w:rsidP="00623089">
            <w:pPr>
              <w:pStyle w:val="TableText"/>
              <w:spacing w:before="40" w:after="40"/>
            </w:pPr>
          </w:p>
        </w:tc>
        <w:tc>
          <w:tcPr>
            <w:tcW w:w="0" w:type="auto"/>
            <w:shd w:val="clear" w:color="auto" w:fill="FFFFFF"/>
            <w:tcMar>
              <w:top w:w="0" w:type="dxa"/>
              <w:left w:w="85" w:type="dxa"/>
              <w:bottom w:w="0" w:type="dxa"/>
              <w:right w:w="85" w:type="dxa"/>
            </w:tcMar>
          </w:tcPr>
          <w:p w14:paraId="1F898E44" w14:textId="77777777" w:rsidR="009327C0" w:rsidRPr="001D5327" w:rsidRDefault="009327C0" w:rsidP="00623089">
            <w:pPr>
              <w:pStyle w:val="TableText"/>
              <w:spacing w:before="40" w:after="40"/>
            </w:pPr>
            <w:r w:rsidRPr="001D5327">
              <w:rPr>
                <w:rFonts w:eastAsia="Calibri"/>
                <w:color w:val="000000"/>
              </w:rPr>
              <w:t>HFC-125</w:t>
            </w:r>
          </w:p>
        </w:tc>
        <w:tc>
          <w:tcPr>
            <w:tcW w:w="0" w:type="auto"/>
            <w:shd w:val="clear" w:color="auto" w:fill="FFFFFF"/>
            <w:tcMar>
              <w:top w:w="0" w:type="dxa"/>
              <w:left w:w="85" w:type="dxa"/>
              <w:bottom w:w="0" w:type="dxa"/>
              <w:right w:w="85" w:type="dxa"/>
            </w:tcMar>
          </w:tcPr>
          <w:p w14:paraId="7B238E68" w14:textId="77777777" w:rsidR="009327C0" w:rsidRPr="001D5327" w:rsidRDefault="009327C0" w:rsidP="00623089">
            <w:pPr>
              <w:pStyle w:val="TableText"/>
              <w:spacing w:before="40" w:after="40"/>
            </w:pPr>
            <w:r w:rsidRPr="001D5327">
              <w:rPr>
                <w:rFonts w:eastAsia="Calibri"/>
                <w:color w:val="000000"/>
              </w:rPr>
              <w:t>2a</w:t>
            </w:r>
          </w:p>
        </w:tc>
      </w:tr>
      <w:tr w:rsidR="009327C0" w:rsidRPr="001D5327" w14:paraId="000C6A55" w14:textId="77777777" w:rsidTr="00D11AC9">
        <w:tc>
          <w:tcPr>
            <w:tcW w:w="0" w:type="auto"/>
            <w:shd w:val="clear" w:color="auto" w:fill="FFFFFF"/>
            <w:tcMar>
              <w:top w:w="0" w:type="dxa"/>
              <w:left w:w="85" w:type="dxa"/>
              <w:bottom w:w="0" w:type="dxa"/>
              <w:right w:w="85" w:type="dxa"/>
            </w:tcMar>
          </w:tcPr>
          <w:p w14:paraId="12791F79" w14:textId="77777777" w:rsidR="009327C0" w:rsidRPr="001D5327" w:rsidRDefault="009327C0" w:rsidP="00623089">
            <w:pPr>
              <w:pStyle w:val="TableText"/>
              <w:spacing w:before="40" w:after="40"/>
            </w:pPr>
          </w:p>
        </w:tc>
        <w:tc>
          <w:tcPr>
            <w:tcW w:w="0" w:type="auto"/>
            <w:shd w:val="clear" w:color="auto" w:fill="FFFFFF"/>
            <w:tcMar>
              <w:top w:w="0" w:type="dxa"/>
              <w:left w:w="85" w:type="dxa"/>
              <w:bottom w:w="0" w:type="dxa"/>
              <w:right w:w="85" w:type="dxa"/>
            </w:tcMar>
          </w:tcPr>
          <w:p w14:paraId="4BB9253F" w14:textId="77777777" w:rsidR="009327C0" w:rsidRPr="001D5327" w:rsidRDefault="009327C0" w:rsidP="00623089">
            <w:pPr>
              <w:pStyle w:val="TableText"/>
              <w:spacing w:before="40" w:after="40"/>
            </w:pPr>
            <w:r w:rsidRPr="001D5327">
              <w:rPr>
                <w:rFonts w:eastAsia="Calibri"/>
                <w:color w:val="000000"/>
              </w:rPr>
              <w:t>HFC-134a</w:t>
            </w:r>
          </w:p>
        </w:tc>
        <w:tc>
          <w:tcPr>
            <w:tcW w:w="0" w:type="auto"/>
            <w:shd w:val="clear" w:color="auto" w:fill="FFFFFF"/>
            <w:tcMar>
              <w:top w:w="0" w:type="dxa"/>
              <w:left w:w="85" w:type="dxa"/>
              <w:bottom w:w="0" w:type="dxa"/>
              <w:right w:w="85" w:type="dxa"/>
            </w:tcMar>
          </w:tcPr>
          <w:p w14:paraId="18D6B5E2" w14:textId="77777777" w:rsidR="009327C0" w:rsidRPr="001D5327" w:rsidRDefault="009327C0" w:rsidP="00623089">
            <w:pPr>
              <w:pStyle w:val="TableText"/>
              <w:spacing w:before="40" w:after="40"/>
            </w:pPr>
            <w:r w:rsidRPr="001D5327">
              <w:rPr>
                <w:rFonts w:eastAsia="Calibri"/>
                <w:color w:val="000000"/>
              </w:rPr>
              <w:t>2a</w:t>
            </w:r>
          </w:p>
        </w:tc>
      </w:tr>
      <w:tr w:rsidR="009327C0" w:rsidRPr="001D5327" w14:paraId="5358DDB3" w14:textId="77777777" w:rsidTr="00D11AC9">
        <w:tc>
          <w:tcPr>
            <w:tcW w:w="0" w:type="auto"/>
            <w:shd w:val="clear" w:color="auto" w:fill="FFFFFF"/>
            <w:tcMar>
              <w:top w:w="0" w:type="dxa"/>
              <w:left w:w="85" w:type="dxa"/>
              <w:bottom w:w="0" w:type="dxa"/>
              <w:right w:w="85" w:type="dxa"/>
            </w:tcMar>
          </w:tcPr>
          <w:p w14:paraId="77580070" w14:textId="77777777" w:rsidR="009327C0" w:rsidRPr="001D5327" w:rsidRDefault="009327C0" w:rsidP="00623089">
            <w:pPr>
              <w:pStyle w:val="TableText"/>
              <w:spacing w:before="40" w:after="40"/>
            </w:pPr>
          </w:p>
        </w:tc>
        <w:tc>
          <w:tcPr>
            <w:tcW w:w="0" w:type="auto"/>
            <w:shd w:val="clear" w:color="auto" w:fill="FFFFFF"/>
            <w:tcMar>
              <w:top w:w="0" w:type="dxa"/>
              <w:left w:w="85" w:type="dxa"/>
              <w:bottom w:w="0" w:type="dxa"/>
              <w:right w:w="85" w:type="dxa"/>
            </w:tcMar>
          </w:tcPr>
          <w:p w14:paraId="0615C66C" w14:textId="77777777" w:rsidR="009327C0" w:rsidRPr="001D5327" w:rsidRDefault="009327C0" w:rsidP="00623089">
            <w:pPr>
              <w:pStyle w:val="TableText"/>
              <w:spacing w:before="40" w:after="40"/>
            </w:pPr>
            <w:r w:rsidRPr="001D5327">
              <w:rPr>
                <w:rFonts w:eastAsia="Calibri"/>
                <w:color w:val="000000"/>
              </w:rPr>
              <w:t>HFC-143a</w:t>
            </w:r>
          </w:p>
        </w:tc>
        <w:tc>
          <w:tcPr>
            <w:tcW w:w="0" w:type="auto"/>
            <w:shd w:val="clear" w:color="auto" w:fill="FFFFFF"/>
            <w:tcMar>
              <w:top w:w="0" w:type="dxa"/>
              <w:left w:w="85" w:type="dxa"/>
              <w:bottom w:w="0" w:type="dxa"/>
              <w:right w:w="85" w:type="dxa"/>
            </w:tcMar>
          </w:tcPr>
          <w:p w14:paraId="0C69D68F" w14:textId="77777777" w:rsidR="009327C0" w:rsidRPr="001D5327" w:rsidRDefault="009327C0" w:rsidP="00623089">
            <w:pPr>
              <w:pStyle w:val="TableText"/>
              <w:spacing w:before="40" w:after="40"/>
            </w:pPr>
            <w:r w:rsidRPr="001D5327">
              <w:rPr>
                <w:rFonts w:eastAsia="Calibri"/>
                <w:color w:val="000000"/>
              </w:rPr>
              <w:t>2a</w:t>
            </w:r>
          </w:p>
        </w:tc>
      </w:tr>
      <w:tr w:rsidR="009327C0" w:rsidRPr="001D5327" w14:paraId="31743833" w14:textId="77777777" w:rsidTr="00D11AC9">
        <w:tc>
          <w:tcPr>
            <w:tcW w:w="0" w:type="auto"/>
            <w:shd w:val="clear" w:color="auto" w:fill="FFFFFF"/>
            <w:tcMar>
              <w:top w:w="0" w:type="dxa"/>
              <w:left w:w="85" w:type="dxa"/>
              <w:bottom w:w="0" w:type="dxa"/>
              <w:right w:w="85" w:type="dxa"/>
            </w:tcMar>
          </w:tcPr>
          <w:p w14:paraId="133E0D3F" w14:textId="77777777" w:rsidR="009327C0" w:rsidRPr="001D5327" w:rsidRDefault="009327C0" w:rsidP="00623089">
            <w:pPr>
              <w:pStyle w:val="TableText"/>
              <w:spacing w:before="40" w:after="40"/>
            </w:pPr>
            <w:r w:rsidRPr="001D5327">
              <w:rPr>
                <w:rFonts w:eastAsia="Calibri"/>
                <w:color w:val="000000"/>
              </w:rPr>
              <w:t>Stationary air conditioning</w:t>
            </w:r>
          </w:p>
        </w:tc>
        <w:tc>
          <w:tcPr>
            <w:tcW w:w="0" w:type="auto"/>
            <w:shd w:val="clear" w:color="auto" w:fill="FFFFFF"/>
            <w:tcMar>
              <w:top w:w="0" w:type="dxa"/>
              <w:left w:w="85" w:type="dxa"/>
              <w:bottom w:w="0" w:type="dxa"/>
              <w:right w:w="85" w:type="dxa"/>
            </w:tcMar>
          </w:tcPr>
          <w:p w14:paraId="4E8EEEF8" w14:textId="77777777" w:rsidR="009327C0" w:rsidRPr="001D5327" w:rsidRDefault="009327C0" w:rsidP="00623089">
            <w:pPr>
              <w:pStyle w:val="TableText"/>
              <w:spacing w:before="40" w:after="40"/>
            </w:pPr>
            <w:r w:rsidRPr="001D5327">
              <w:rPr>
                <w:rFonts w:eastAsia="Calibri"/>
                <w:color w:val="000000"/>
              </w:rPr>
              <w:t>HFC-32</w:t>
            </w:r>
          </w:p>
        </w:tc>
        <w:tc>
          <w:tcPr>
            <w:tcW w:w="0" w:type="auto"/>
            <w:shd w:val="clear" w:color="auto" w:fill="FFFFFF"/>
            <w:tcMar>
              <w:top w:w="0" w:type="dxa"/>
              <w:left w:w="85" w:type="dxa"/>
              <w:bottom w:w="0" w:type="dxa"/>
              <w:right w:w="85" w:type="dxa"/>
            </w:tcMar>
          </w:tcPr>
          <w:p w14:paraId="5C728C10" w14:textId="77777777" w:rsidR="009327C0" w:rsidRPr="001D5327" w:rsidRDefault="009327C0" w:rsidP="00623089">
            <w:pPr>
              <w:pStyle w:val="TableText"/>
              <w:spacing w:before="40" w:after="40"/>
            </w:pPr>
            <w:r w:rsidRPr="001D5327">
              <w:rPr>
                <w:rFonts w:eastAsia="Calibri"/>
                <w:color w:val="000000"/>
              </w:rPr>
              <w:t>2b</w:t>
            </w:r>
          </w:p>
        </w:tc>
      </w:tr>
      <w:tr w:rsidR="009327C0" w:rsidRPr="001D5327" w14:paraId="04FF9AA1" w14:textId="77777777" w:rsidTr="00D11AC9">
        <w:tc>
          <w:tcPr>
            <w:tcW w:w="0" w:type="auto"/>
            <w:shd w:val="clear" w:color="auto" w:fill="FFFFFF"/>
            <w:tcMar>
              <w:top w:w="0" w:type="dxa"/>
              <w:left w:w="85" w:type="dxa"/>
              <w:bottom w:w="0" w:type="dxa"/>
              <w:right w:w="85" w:type="dxa"/>
            </w:tcMar>
          </w:tcPr>
          <w:p w14:paraId="529CD611" w14:textId="77777777" w:rsidR="009327C0" w:rsidRPr="001D5327" w:rsidRDefault="009327C0" w:rsidP="00623089">
            <w:pPr>
              <w:pStyle w:val="TableText"/>
              <w:spacing w:before="40" w:after="40"/>
            </w:pPr>
          </w:p>
        </w:tc>
        <w:tc>
          <w:tcPr>
            <w:tcW w:w="0" w:type="auto"/>
            <w:shd w:val="clear" w:color="auto" w:fill="FFFFFF"/>
            <w:tcMar>
              <w:top w:w="0" w:type="dxa"/>
              <w:left w:w="85" w:type="dxa"/>
              <w:bottom w:w="0" w:type="dxa"/>
              <w:right w:w="85" w:type="dxa"/>
            </w:tcMar>
          </w:tcPr>
          <w:p w14:paraId="65CD2656" w14:textId="77777777" w:rsidR="009327C0" w:rsidRPr="001D5327" w:rsidRDefault="009327C0" w:rsidP="00623089">
            <w:pPr>
              <w:pStyle w:val="TableText"/>
              <w:spacing w:before="40" w:after="40"/>
            </w:pPr>
            <w:r w:rsidRPr="001D5327">
              <w:rPr>
                <w:rFonts w:eastAsia="Calibri"/>
                <w:color w:val="000000"/>
              </w:rPr>
              <w:t>HFC-125</w:t>
            </w:r>
          </w:p>
        </w:tc>
        <w:tc>
          <w:tcPr>
            <w:tcW w:w="0" w:type="auto"/>
            <w:shd w:val="clear" w:color="auto" w:fill="FFFFFF"/>
            <w:tcMar>
              <w:top w:w="0" w:type="dxa"/>
              <w:left w:w="85" w:type="dxa"/>
              <w:bottom w:w="0" w:type="dxa"/>
              <w:right w:w="85" w:type="dxa"/>
            </w:tcMar>
          </w:tcPr>
          <w:p w14:paraId="0A449B1F" w14:textId="77777777" w:rsidR="009327C0" w:rsidRPr="001D5327" w:rsidRDefault="009327C0" w:rsidP="00623089">
            <w:pPr>
              <w:pStyle w:val="TableText"/>
              <w:spacing w:before="40" w:after="40"/>
            </w:pPr>
            <w:r w:rsidRPr="001D5327">
              <w:rPr>
                <w:rFonts w:eastAsia="Calibri"/>
                <w:color w:val="000000"/>
              </w:rPr>
              <w:t>2a to 2006, 2b for 2007–2021</w:t>
            </w:r>
          </w:p>
        </w:tc>
      </w:tr>
      <w:tr w:rsidR="009327C0" w:rsidRPr="001D5327" w14:paraId="17B61181" w14:textId="77777777" w:rsidTr="00D11AC9">
        <w:tc>
          <w:tcPr>
            <w:tcW w:w="0" w:type="auto"/>
            <w:shd w:val="clear" w:color="auto" w:fill="FFFFFF"/>
            <w:tcMar>
              <w:top w:w="0" w:type="dxa"/>
              <w:left w:w="85" w:type="dxa"/>
              <w:bottom w:w="0" w:type="dxa"/>
              <w:right w:w="85" w:type="dxa"/>
            </w:tcMar>
          </w:tcPr>
          <w:p w14:paraId="5CDBC5F6" w14:textId="77777777" w:rsidR="009327C0" w:rsidRPr="001D5327" w:rsidRDefault="009327C0" w:rsidP="00623089">
            <w:pPr>
              <w:pStyle w:val="TableText"/>
              <w:spacing w:before="40" w:after="40"/>
            </w:pPr>
          </w:p>
        </w:tc>
        <w:tc>
          <w:tcPr>
            <w:tcW w:w="0" w:type="auto"/>
            <w:shd w:val="clear" w:color="auto" w:fill="FFFFFF"/>
            <w:tcMar>
              <w:top w:w="0" w:type="dxa"/>
              <w:left w:w="85" w:type="dxa"/>
              <w:bottom w:w="0" w:type="dxa"/>
              <w:right w:w="85" w:type="dxa"/>
            </w:tcMar>
          </w:tcPr>
          <w:p w14:paraId="76466666" w14:textId="77777777" w:rsidR="009327C0" w:rsidRPr="001D5327" w:rsidRDefault="009327C0" w:rsidP="00623089">
            <w:pPr>
              <w:pStyle w:val="TableText"/>
              <w:spacing w:before="40" w:after="40"/>
            </w:pPr>
            <w:r w:rsidRPr="001D5327">
              <w:rPr>
                <w:rFonts w:eastAsia="Calibri"/>
                <w:color w:val="000000"/>
              </w:rPr>
              <w:t>HFC 134a</w:t>
            </w:r>
          </w:p>
        </w:tc>
        <w:tc>
          <w:tcPr>
            <w:tcW w:w="0" w:type="auto"/>
            <w:shd w:val="clear" w:color="auto" w:fill="FFFFFF"/>
            <w:tcMar>
              <w:top w:w="0" w:type="dxa"/>
              <w:left w:w="85" w:type="dxa"/>
              <w:bottom w:w="0" w:type="dxa"/>
              <w:right w:w="85" w:type="dxa"/>
            </w:tcMar>
          </w:tcPr>
          <w:p w14:paraId="05D356D0" w14:textId="77777777" w:rsidR="009327C0" w:rsidRPr="001D5327" w:rsidRDefault="009327C0" w:rsidP="00623089">
            <w:pPr>
              <w:pStyle w:val="TableText"/>
              <w:spacing w:before="40" w:after="40"/>
            </w:pPr>
            <w:r w:rsidRPr="001D5327">
              <w:rPr>
                <w:rFonts w:eastAsia="Calibri"/>
                <w:color w:val="000000"/>
              </w:rPr>
              <w:t>2a</w:t>
            </w:r>
          </w:p>
        </w:tc>
      </w:tr>
      <w:tr w:rsidR="009327C0" w:rsidRPr="001D5327" w14:paraId="5B2F7B2F" w14:textId="77777777" w:rsidTr="00D11AC9">
        <w:tc>
          <w:tcPr>
            <w:tcW w:w="0" w:type="auto"/>
            <w:shd w:val="clear" w:color="auto" w:fill="FFFFFF"/>
            <w:tcMar>
              <w:top w:w="0" w:type="dxa"/>
              <w:left w:w="85" w:type="dxa"/>
              <w:bottom w:w="0" w:type="dxa"/>
              <w:right w:w="85" w:type="dxa"/>
            </w:tcMar>
          </w:tcPr>
          <w:p w14:paraId="3ECA2E39" w14:textId="77777777" w:rsidR="009327C0" w:rsidRPr="001D5327" w:rsidRDefault="009327C0" w:rsidP="00623089">
            <w:pPr>
              <w:pStyle w:val="TableText"/>
              <w:spacing w:before="40" w:after="40"/>
            </w:pPr>
            <w:r w:rsidRPr="001D5327">
              <w:rPr>
                <w:rFonts w:eastAsia="Calibri"/>
                <w:color w:val="000000"/>
              </w:rPr>
              <w:t>Mobile air conditioning</w:t>
            </w:r>
          </w:p>
        </w:tc>
        <w:tc>
          <w:tcPr>
            <w:tcW w:w="0" w:type="auto"/>
            <w:shd w:val="clear" w:color="auto" w:fill="FFFFFF"/>
            <w:tcMar>
              <w:top w:w="0" w:type="dxa"/>
              <w:left w:w="85" w:type="dxa"/>
              <w:bottom w:w="0" w:type="dxa"/>
              <w:right w:w="85" w:type="dxa"/>
            </w:tcMar>
          </w:tcPr>
          <w:p w14:paraId="6D5C0890" w14:textId="77777777" w:rsidR="009327C0" w:rsidRPr="001D5327" w:rsidRDefault="009327C0" w:rsidP="00623089">
            <w:pPr>
              <w:pStyle w:val="TableText"/>
              <w:spacing w:before="40" w:after="40"/>
            </w:pPr>
            <w:r w:rsidRPr="001D5327">
              <w:rPr>
                <w:rFonts w:eastAsia="Calibri"/>
                <w:color w:val="000000"/>
              </w:rPr>
              <w:t>HFC-134a</w:t>
            </w:r>
          </w:p>
        </w:tc>
        <w:tc>
          <w:tcPr>
            <w:tcW w:w="0" w:type="auto"/>
            <w:shd w:val="clear" w:color="auto" w:fill="FFFFFF"/>
            <w:tcMar>
              <w:top w:w="0" w:type="dxa"/>
              <w:left w:w="85" w:type="dxa"/>
              <w:bottom w:w="0" w:type="dxa"/>
              <w:right w:w="85" w:type="dxa"/>
            </w:tcMar>
          </w:tcPr>
          <w:p w14:paraId="7EC15D91" w14:textId="77777777" w:rsidR="009327C0" w:rsidRPr="001D5327" w:rsidRDefault="009327C0" w:rsidP="00623089">
            <w:pPr>
              <w:pStyle w:val="TableText"/>
              <w:spacing w:before="40" w:after="40"/>
            </w:pPr>
            <w:r w:rsidRPr="001D5327">
              <w:rPr>
                <w:rFonts w:eastAsia="Calibri"/>
                <w:color w:val="000000"/>
              </w:rPr>
              <w:t>2b</w:t>
            </w:r>
          </w:p>
        </w:tc>
      </w:tr>
    </w:tbl>
    <w:p w14:paraId="4795AF7D" w14:textId="77777777" w:rsidR="009327C0" w:rsidRPr="001D5327" w:rsidRDefault="009327C0" w:rsidP="009327C0">
      <w:pPr>
        <w:pStyle w:val="Heading5"/>
        <w:spacing w:before="360"/>
      </w:pPr>
      <w:bookmarkStart w:id="531" w:name="other-2.f.2-2.f.3-and-2.f.4"/>
      <w:bookmarkEnd w:id="529"/>
      <w:r w:rsidRPr="001D5327">
        <w:t>Other (2.F.2, 2.F.3 and 2.F.4)</w:t>
      </w:r>
    </w:p>
    <w:p w14:paraId="547A1A16" w14:textId="77777777" w:rsidR="009327C0" w:rsidRPr="001D5327" w:rsidRDefault="009327C0" w:rsidP="009327C0">
      <w:pPr>
        <w:pStyle w:val="BodyText"/>
      </w:pPr>
      <w:r w:rsidRPr="001D5327">
        <w:t>The IPCC Tier 1a method was used for foam blowing agents and fire protection equipment.</w:t>
      </w:r>
    </w:p>
    <w:p w14:paraId="6B47A95D" w14:textId="77777777" w:rsidR="009327C0" w:rsidRPr="001D5327" w:rsidRDefault="009327C0" w:rsidP="009327C0">
      <w:pPr>
        <w:pStyle w:val="BodyText"/>
      </w:pPr>
      <w:r w:rsidRPr="001D5327">
        <w:lastRenderedPageBreak/>
        <w:t>Aerosol emissions are calculated using the IPCC Tier 1a and Tier 2a method (IPCC, 2006a, equation 7.6). Tier 2a requires subdividing these emissions by sub-application. In this submission, emissions from MDIs are reported separately as a sub-application (2.F.4.a). Insufficient data are available to further subdivide aerosol products by sub-application and all other aerosol products are reported together (2.F.4.b).</w:t>
      </w:r>
    </w:p>
    <w:p w14:paraId="373939CA" w14:textId="77777777" w:rsidR="009327C0" w:rsidRPr="001D5327" w:rsidRDefault="009327C0" w:rsidP="009327C0">
      <w:pPr>
        <w:pStyle w:val="Heading4"/>
      </w:pPr>
      <w:bookmarkStart w:id="532" w:name="choice-of-emission-factors-3"/>
      <w:bookmarkEnd w:id="528"/>
      <w:bookmarkEnd w:id="531"/>
      <w:r w:rsidRPr="001D5327">
        <w:t>Choice of emission factors</w:t>
      </w:r>
    </w:p>
    <w:p w14:paraId="296ACE87" w14:textId="77777777" w:rsidR="009327C0" w:rsidRPr="001D5327" w:rsidRDefault="009327C0" w:rsidP="009327C0">
      <w:pPr>
        <w:pStyle w:val="Heading5"/>
      </w:pPr>
      <w:bookmarkStart w:id="533" w:name="X5ee48ed4561621277b4b20c214d7e73c7fbd5de"/>
      <w:r w:rsidRPr="001D5327">
        <w:t>Refrigeration and air conditioning (2.F.1)</w:t>
      </w:r>
    </w:p>
    <w:p w14:paraId="0181EA36" w14:textId="77777777" w:rsidR="009327C0" w:rsidRPr="001D5327" w:rsidRDefault="009327C0" w:rsidP="009327C0">
      <w:pPr>
        <w:pStyle w:val="BodyText"/>
      </w:pPr>
      <w:r w:rsidRPr="001D5327">
        <w:t xml:space="preserve">The emission factors used in each sub-application (other than </w:t>
      </w:r>
      <w:r w:rsidRPr="001D5327">
        <w:rPr>
          <w:i/>
          <w:iCs/>
        </w:rPr>
        <w:t>Mobile air conditioning</w:t>
      </w:r>
      <w:r w:rsidRPr="001D5327">
        <w:t>) were assessed using a combination of IPCC defaults, information from the New Zealand industry and expert judgement.</w:t>
      </w:r>
    </w:p>
    <w:p w14:paraId="7002D2EF" w14:textId="0B8943DF" w:rsidR="009327C0" w:rsidRPr="001D5327" w:rsidRDefault="009327C0" w:rsidP="009327C0">
      <w:pPr>
        <w:pStyle w:val="BodyText"/>
      </w:pPr>
      <w:r w:rsidRPr="001D5327">
        <w:t>In addition, the annual leakage rates were adjusted in some cases, to ensure that the total results for all sub-applications were consistent with the much more complete and accurate data available to estimate the total mass balance (for all five sub-applications) for each chemical. For each chemical, use of the Tier 2b method means that emission factors only affect</w:t>
      </w:r>
      <w:r w:rsidR="00623089" w:rsidRPr="001D5327">
        <w:t> </w:t>
      </w:r>
      <w:r w:rsidRPr="001D5327">
        <w:t>the attribution of emissions among these five sub-applications, not the total emissions. Attribution to any one sub-application is subject to high uncertainties and may, consequently, be subject to significant apparent year-to-year variations.</w:t>
      </w:r>
    </w:p>
    <w:p w14:paraId="3763194E" w14:textId="77777777" w:rsidR="009327C0" w:rsidRPr="001D5327" w:rsidRDefault="009327C0" w:rsidP="009327C0">
      <w:pPr>
        <w:pStyle w:val="BodyText"/>
      </w:pPr>
      <w:r w:rsidRPr="001D5327">
        <w:t>These emission factors are detailed in the report by Verum Group (unpublished) and in the stock models used to calculate emissions.</w:t>
      </w:r>
    </w:p>
    <w:p w14:paraId="6FCE9BBA" w14:textId="77777777" w:rsidR="009327C0" w:rsidRPr="001D5327" w:rsidRDefault="009327C0" w:rsidP="009327C0">
      <w:pPr>
        <w:pStyle w:val="BodyText"/>
      </w:pPr>
      <w:r w:rsidRPr="001D5327">
        <w:t xml:space="preserve">For </w:t>
      </w:r>
      <w:r w:rsidRPr="001D5327">
        <w:rPr>
          <w:i/>
          <w:iCs/>
        </w:rPr>
        <w:t>Mobile air conditioning</w:t>
      </w:r>
      <w:r w:rsidRPr="001D5327">
        <w:t xml:space="preserve">, the model distinguishes between leakage that is replaced in regular servicing (3.0 per cent of the bank each year) and refrigerant that leaks but is not replaced because owners do not have the air conditioning units serviced. The overall average amount of loss for the fleet is assessed to be 15±10 per cent; that is, at any time a notional ‘average vehicle’ will have 85±10 per cent of the charge that it would have if there was no leakage. There is also some uncertainty in the proportion of bulk imports of HFC-134a used in </w:t>
      </w:r>
      <w:r w:rsidRPr="001D5327">
        <w:rPr>
          <w:i/>
          <w:iCs/>
        </w:rPr>
        <w:t>Mobile air conditioning</w:t>
      </w:r>
      <w:r w:rsidRPr="001D5327">
        <w:t xml:space="preserve"> as opposed to the other sub-applications.</w:t>
      </w:r>
    </w:p>
    <w:p w14:paraId="643918F7" w14:textId="77777777" w:rsidR="009327C0" w:rsidRPr="001D5327" w:rsidRDefault="009327C0" w:rsidP="009327C0">
      <w:pPr>
        <w:pStyle w:val="Heading5"/>
      </w:pPr>
      <w:bookmarkStart w:id="534" w:name="foam-blowing-agents-2.f.2-1"/>
      <w:bookmarkEnd w:id="533"/>
      <w:r w:rsidRPr="001D5327">
        <w:t>Foam blowing agents (2.F.2)</w:t>
      </w:r>
    </w:p>
    <w:p w14:paraId="7D7FB93B" w14:textId="77777777" w:rsidR="009327C0" w:rsidRPr="001D5327" w:rsidRDefault="009327C0" w:rsidP="009327C0">
      <w:pPr>
        <w:pStyle w:val="BodyText"/>
      </w:pPr>
      <w:r w:rsidRPr="001D5327">
        <w:t>The IPCC default emission factors for closed-cell foam are used, that is, assuming 10.0 per cent loss in the first year of use and 4.5 per cent in each of the following 20 years.</w:t>
      </w:r>
    </w:p>
    <w:p w14:paraId="27F21627" w14:textId="77777777" w:rsidR="009327C0" w:rsidRPr="001D5327" w:rsidRDefault="009327C0" w:rsidP="009327C0">
      <w:pPr>
        <w:pStyle w:val="Heading5"/>
      </w:pPr>
      <w:bookmarkStart w:id="535" w:name="fire-protection-2.f.3-1"/>
      <w:bookmarkEnd w:id="534"/>
      <w:r w:rsidRPr="001D5327">
        <w:t>Fire protection (2.F.3)</w:t>
      </w:r>
    </w:p>
    <w:p w14:paraId="0D48AA9E" w14:textId="77777777" w:rsidR="009327C0" w:rsidRPr="001D5327" w:rsidRDefault="009327C0" w:rsidP="009327C0">
      <w:pPr>
        <w:pStyle w:val="BodyText"/>
      </w:pPr>
      <w:r w:rsidRPr="001D5327">
        <w:t>For fire protection equipment, a country-specific emission factor of 0.015 (1.5 per cent of the charge lost in leakage each year (Verum Group, unpublished)) is used. This estimate is based on information from one major supplier of these systems, which was able to supply records of the amount of HFC-227ea it used to replace leakage and accidental discharges. Fire protection systems have a long life and retirements are rare. Based on information from the system suppliers, it is assessed that all refrigerant present on decommissioning is recovered.</w:t>
      </w:r>
    </w:p>
    <w:p w14:paraId="37C617B6" w14:textId="77777777" w:rsidR="009327C0" w:rsidRPr="001D5327" w:rsidRDefault="009327C0" w:rsidP="009327C0">
      <w:pPr>
        <w:pStyle w:val="Heading5"/>
      </w:pPr>
      <w:bookmarkStart w:id="536" w:name="aerosols-2.f.4-1"/>
      <w:bookmarkEnd w:id="535"/>
      <w:r w:rsidRPr="001D5327">
        <w:t>Aerosols (2.F.4)</w:t>
      </w:r>
    </w:p>
    <w:p w14:paraId="45887051" w14:textId="77777777" w:rsidR="009327C0" w:rsidRPr="001D5327" w:rsidRDefault="009327C0" w:rsidP="009327C0">
      <w:pPr>
        <w:pStyle w:val="BodyText"/>
      </w:pPr>
      <w:r w:rsidRPr="001D5327">
        <w:t>Aerosol emissions are considered to be prompt (emitted in the first year or two after manufacture or import) and so the default emission factor of 50.0 per cent of the initial charge emitted per year is applied.</w:t>
      </w:r>
    </w:p>
    <w:p w14:paraId="1E49AD0B" w14:textId="77777777" w:rsidR="009327C0" w:rsidRPr="001D5327" w:rsidRDefault="009327C0" w:rsidP="009327C0">
      <w:pPr>
        <w:pStyle w:val="Heading3"/>
      </w:pPr>
      <w:bookmarkStart w:id="537" w:name="Xdae3a73b4942cf61299e82ccf0fc4c1b4ea5cab"/>
      <w:bookmarkEnd w:id="520"/>
      <w:bookmarkEnd w:id="532"/>
      <w:bookmarkEnd w:id="536"/>
      <w:r w:rsidRPr="001D5327">
        <w:lastRenderedPageBreak/>
        <w:t xml:space="preserve">4.7.3 </w:t>
      </w:r>
      <w:r w:rsidRPr="001D5327">
        <w:tab/>
        <w:t>Uncertainty assessment and time-series consistency</w:t>
      </w:r>
    </w:p>
    <w:p w14:paraId="0B803BC4" w14:textId="77777777" w:rsidR="009327C0" w:rsidRPr="001D5327" w:rsidRDefault="009327C0" w:rsidP="009327C0">
      <w:pPr>
        <w:pStyle w:val="Heading4"/>
      </w:pPr>
      <w:bookmarkStart w:id="538" w:name="uncertainties-5"/>
      <w:r w:rsidRPr="001D5327">
        <w:t>Uncertainties</w:t>
      </w:r>
    </w:p>
    <w:p w14:paraId="51818D97" w14:textId="77777777" w:rsidR="009327C0" w:rsidRPr="001D5327" w:rsidRDefault="009327C0" w:rsidP="009327C0">
      <w:pPr>
        <w:pStyle w:val="BodyText"/>
      </w:pPr>
      <w:r w:rsidRPr="001D5327">
        <w:t xml:space="preserve">Data on bulk imports of refrigerant gases in the </w:t>
      </w:r>
      <w:r w:rsidRPr="001D5327">
        <w:rPr>
          <w:i/>
          <w:iCs/>
        </w:rPr>
        <w:t>Refrigeration and air conditioning</w:t>
      </w:r>
      <w:r w:rsidRPr="001D5327">
        <w:t xml:space="preserve"> category are complete and accurate, with uncertainty of ±5 per cent. Data on the amount imported in factory-charged equipment, and the amount in retired equipment, are much less accurate, and uncertainties are estimated with some use of expert judgement.</w:t>
      </w:r>
    </w:p>
    <w:p w14:paraId="7221CD51" w14:textId="77777777" w:rsidR="009327C0" w:rsidRPr="001D5327" w:rsidRDefault="009327C0" w:rsidP="009327C0">
      <w:pPr>
        <w:pStyle w:val="BodyText"/>
      </w:pPr>
      <w:r w:rsidRPr="001D5327">
        <w:t xml:space="preserve">Table 4.7.4 summarises the uncertainties for each category. For the </w:t>
      </w:r>
      <w:r w:rsidRPr="001D5327">
        <w:rPr>
          <w:i/>
          <w:iCs/>
        </w:rPr>
        <w:t>Refrigeration and air conditioning</w:t>
      </w:r>
      <w:r w:rsidRPr="001D5327">
        <w:t xml:space="preserve"> category, uncertainty is attributed only to the activity data and is updated annually to reflect the share of different equipment types in the latest reported year. Uncertainties in this category have also been estimated for each sub-application. However, these reflect the uncertain attribution of emissions between sub-applications, which does not contribute to the overall uncertainty given for this category.</w:t>
      </w:r>
    </w:p>
    <w:p w14:paraId="15CE991C" w14:textId="77777777" w:rsidR="009327C0" w:rsidRPr="001D5327" w:rsidRDefault="009327C0" w:rsidP="009327C0">
      <w:pPr>
        <w:pStyle w:val="Table"/>
      </w:pPr>
      <w:bookmarkStart w:id="539" w:name="_Toc194241695"/>
      <w:r w:rsidRPr="001D5327">
        <w:t xml:space="preserve">Table 4.7.4 </w:t>
      </w:r>
      <w:r w:rsidRPr="001D5327">
        <w:tab/>
        <w:t xml:space="preserve">New Zealand’s uncertainties in </w:t>
      </w:r>
      <w:r w:rsidRPr="001D5327">
        <w:rPr>
          <w:i/>
        </w:rPr>
        <w:t>Product uses as substitutes for ODS</w:t>
      </w:r>
      <w:bookmarkEnd w:id="539"/>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831"/>
        <w:gridCol w:w="2674"/>
        <w:gridCol w:w="2989"/>
      </w:tblGrid>
      <w:tr w:rsidR="009327C0" w:rsidRPr="001D5327" w14:paraId="541F6ACC" w14:textId="77777777" w:rsidTr="00D11AC9">
        <w:trPr>
          <w:tblHeader/>
        </w:trPr>
        <w:tc>
          <w:tcPr>
            <w:tcW w:w="0" w:type="auto"/>
            <w:shd w:val="clear" w:color="auto" w:fill="1B556B"/>
            <w:tcMar>
              <w:top w:w="0" w:type="dxa"/>
              <w:left w:w="85" w:type="dxa"/>
              <w:bottom w:w="0" w:type="dxa"/>
              <w:right w:w="85" w:type="dxa"/>
            </w:tcMar>
          </w:tcPr>
          <w:p w14:paraId="31D4843D" w14:textId="77777777" w:rsidR="009327C0" w:rsidRPr="001D5327" w:rsidRDefault="009327C0" w:rsidP="00D11AC9">
            <w:pPr>
              <w:pStyle w:val="TableTextBold"/>
              <w:spacing w:before="40" w:after="40"/>
              <w:rPr>
                <w:noProof w:val="0"/>
                <w:color w:val="FFFFFF" w:themeColor="background1"/>
              </w:rPr>
            </w:pPr>
            <w:r w:rsidRPr="001D5327">
              <w:rPr>
                <w:rFonts w:eastAsia="Calibri"/>
                <w:noProof w:val="0"/>
                <w:color w:val="FFFFFF" w:themeColor="background1"/>
              </w:rPr>
              <w:t>Category</w:t>
            </w:r>
          </w:p>
        </w:tc>
        <w:tc>
          <w:tcPr>
            <w:tcW w:w="0" w:type="auto"/>
            <w:shd w:val="clear" w:color="auto" w:fill="1B556B"/>
            <w:tcMar>
              <w:top w:w="0" w:type="dxa"/>
              <w:left w:w="85" w:type="dxa"/>
              <w:bottom w:w="0" w:type="dxa"/>
              <w:right w:w="85" w:type="dxa"/>
            </w:tcMar>
          </w:tcPr>
          <w:p w14:paraId="40E1F36C" w14:textId="77777777" w:rsidR="009327C0" w:rsidRPr="001D5327" w:rsidRDefault="009327C0"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tcPr>
          <w:p w14:paraId="37445937" w14:textId="77777777" w:rsidR="009327C0" w:rsidRPr="001D5327" w:rsidRDefault="009327C0"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emission factors (%)</w:t>
            </w:r>
          </w:p>
        </w:tc>
      </w:tr>
      <w:tr w:rsidR="009327C0" w:rsidRPr="001D5327" w14:paraId="730DED2D" w14:textId="77777777" w:rsidTr="00D11AC9">
        <w:tc>
          <w:tcPr>
            <w:tcW w:w="0" w:type="auto"/>
            <w:shd w:val="clear" w:color="auto" w:fill="FFFFFF"/>
            <w:tcMar>
              <w:top w:w="0" w:type="dxa"/>
              <w:left w:w="85" w:type="dxa"/>
              <w:bottom w:w="0" w:type="dxa"/>
              <w:right w:w="85" w:type="dxa"/>
            </w:tcMar>
          </w:tcPr>
          <w:p w14:paraId="5450E974" w14:textId="77777777" w:rsidR="009327C0" w:rsidRPr="001D5327" w:rsidRDefault="009327C0" w:rsidP="00D11AC9">
            <w:pPr>
              <w:pStyle w:val="TableText"/>
              <w:spacing w:before="40" w:after="40"/>
            </w:pPr>
            <w:r w:rsidRPr="001D5327">
              <w:rPr>
                <w:rFonts w:eastAsia="Calibri"/>
                <w:color w:val="000000"/>
              </w:rPr>
              <w:t>Refrigeration and air conditioning</w:t>
            </w:r>
          </w:p>
        </w:tc>
        <w:tc>
          <w:tcPr>
            <w:tcW w:w="0" w:type="auto"/>
            <w:shd w:val="clear" w:color="auto" w:fill="FFFFFF"/>
            <w:tcMar>
              <w:top w:w="0" w:type="dxa"/>
              <w:left w:w="85" w:type="dxa"/>
              <w:bottom w:w="0" w:type="dxa"/>
              <w:right w:w="85" w:type="dxa"/>
            </w:tcMar>
          </w:tcPr>
          <w:p w14:paraId="3F18DCB6" w14:textId="77777777" w:rsidR="009327C0" w:rsidRPr="001D5327" w:rsidRDefault="009327C0" w:rsidP="00D11AC9">
            <w:pPr>
              <w:pStyle w:val="TableText"/>
              <w:spacing w:before="40" w:after="40"/>
              <w:jc w:val="right"/>
            </w:pPr>
            <w:r w:rsidRPr="001D5327">
              <w:rPr>
                <w:rFonts w:eastAsia="Calibri"/>
                <w:color w:val="000000"/>
              </w:rPr>
              <w:t>±24</w:t>
            </w:r>
          </w:p>
        </w:tc>
        <w:tc>
          <w:tcPr>
            <w:tcW w:w="0" w:type="auto"/>
            <w:shd w:val="clear" w:color="auto" w:fill="FFFFFF"/>
            <w:tcMar>
              <w:top w:w="0" w:type="dxa"/>
              <w:left w:w="85" w:type="dxa"/>
              <w:bottom w:w="0" w:type="dxa"/>
              <w:right w:w="85" w:type="dxa"/>
            </w:tcMar>
          </w:tcPr>
          <w:p w14:paraId="37D7F63A" w14:textId="77777777" w:rsidR="009327C0" w:rsidRPr="001D5327" w:rsidRDefault="009327C0" w:rsidP="00D11AC9">
            <w:pPr>
              <w:pStyle w:val="TableText"/>
              <w:spacing w:before="40" w:after="40"/>
              <w:jc w:val="right"/>
            </w:pPr>
            <w:r w:rsidRPr="001D5327">
              <w:rPr>
                <w:rFonts w:eastAsia="Calibri"/>
                <w:color w:val="000000"/>
              </w:rPr>
              <w:t>NA</w:t>
            </w:r>
          </w:p>
        </w:tc>
      </w:tr>
      <w:tr w:rsidR="009327C0" w:rsidRPr="001D5327" w14:paraId="791E71B6" w14:textId="77777777" w:rsidTr="00D11AC9">
        <w:tc>
          <w:tcPr>
            <w:tcW w:w="0" w:type="auto"/>
            <w:shd w:val="clear" w:color="auto" w:fill="FFFFFF"/>
            <w:tcMar>
              <w:top w:w="0" w:type="dxa"/>
              <w:left w:w="85" w:type="dxa"/>
              <w:bottom w:w="0" w:type="dxa"/>
              <w:right w:w="85" w:type="dxa"/>
            </w:tcMar>
          </w:tcPr>
          <w:p w14:paraId="7850DCF1" w14:textId="77777777" w:rsidR="009327C0" w:rsidRPr="001D5327" w:rsidRDefault="009327C0" w:rsidP="00D11AC9">
            <w:pPr>
              <w:pStyle w:val="TableText"/>
              <w:spacing w:before="40" w:after="40"/>
            </w:pPr>
            <w:r w:rsidRPr="001D5327">
              <w:rPr>
                <w:rFonts w:eastAsia="Calibri"/>
                <w:color w:val="000000"/>
              </w:rPr>
              <w:t>Foam blowing agents</w:t>
            </w:r>
          </w:p>
        </w:tc>
        <w:tc>
          <w:tcPr>
            <w:tcW w:w="0" w:type="auto"/>
            <w:shd w:val="clear" w:color="auto" w:fill="FFFFFF"/>
            <w:tcMar>
              <w:top w:w="0" w:type="dxa"/>
              <w:left w:w="85" w:type="dxa"/>
              <w:bottom w:w="0" w:type="dxa"/>
              <w:right w:w="85" w:type="dxa"/>
            </w:tcMar>
          </w:tcPr>
          <w:p w14:paraId="513904A8" w14:textId="77777777" w:rsidR="009327C0" w:rsidRPr="001D5327" w:rsidRDefault="009327C0" w:rsidP="00D11AC9">
            <w:pPr>
              <w:pStyle w:val="TableText"/>
              <w:spacing w:before="40" w:after="40"/>
              <w:jc w:val="right"/>
            </w:pPr>
            <w:r w:rsidRPr="001D5327">
              <w:rPr>
                <w:rFonts w:eastAsia="Calibri"/>
                <w:color w:val="000000"/>
              </w:rPr>
              <w:t>±12</w:t>
            </w:r>
          </w:p>
        </w:tc>
        <w:tc>
          <w:tcPr>
            <w:tcW w:w="0" w:type="auto"/>
            <w:shd w:val="clear" w:color="auto" w:fill="FFFFFF"/>
            <w:tcMar>
              <w:top w:w="0" w:type="dxa"/>
              <w:left w:w="85" w:type="dxa"/>
              <w:bottom w:w="0" w:type="dxa"/>
              <w:right w:w="85" w:type="dxa"/>
            </w:tcMar>
          </w:tcPr>
          <w:p w14:paraId="13748BA8" w14:textId="77777777" w:rsidR="009327C0" w:rsidRPr="001D5327" w:rsidRDefault="009327C0" w:rsidP="00D11AC9">
            <w:pPr>
              <w:pStyle w:val="TableText"/>
              <w:spacing w:before="40" w:after="40"/>
              <w:jc w:val="right"/>
            </w:pPr>
            <w:r w:rsidRPr="001D5327">
              <w:rPr>
                <w:rFonts w:eastAsia="Calibri"/>
                <w:color w:val="000000"/>
              </w:rPr>
              <w:t>±50</w:t>
            </w:r>
          </w:p>
        </w:tc>
      </w:tr>
      <w:tr w:rsidR="009327C0" w:rsidRPr="001D5327" w14:paraId="54C06E63" w14:textId="77777777" w:rsidTr="00D11AC9">
        <w:tc>
          <w:tcPr>
            <w:tcW w:w="0" w:type="auto"/>
            <w:shd w:val="clear" w:color="auto" w:fill="FFFFFF"/>
            <w:tcMar>
              <w:top w:w="0" w:type="dxa"/>
              <w:left w:w="85" w:type="dxa"/>
              <w:bottom w:w="0" w:type="dxa"/>
              <w:right w:w="85" w:type="dxa"/>
            </w:tcMar>
          </w:tcPr>
          <w:p w14:paraId="1FFD5079" w14:textId="77777777" w:rsidR="009327C0" w:rsidRPr="001D5327" w:rsidRDefault="009327C0" w:rsidP="00D11AC9">
            <w:pPr>
              <w:pStyle w:val="TableText"/>
              <w:spacing w:before="40" w:after="40"/>
            </w:pPr>
            <w:r w:rsidRPr="001D5327">
              <w:rPr>
                <w:rFonts w:eastAsia="Calibri"/>
                <w:color w:val="000000"/>
              </w:rPr>
              <w:t>Aerosols</w:t>
            </w:r>
          </w:p>
        </w:tc>
        <w:tc>
          <w:tcPr>
            <w:tcW w:w="0" w:type="auto"/>
            <w:shd w:val="clear" w:color="auto" w:fill="FFFFFF"/>
            <w:tcMar>
              <w:top w:w="0" w:type="dxa"/>
              <w:left w:w="85" w:type="dxa"/>
              <w:bottom w:w="0" w:type="dxa"/>
              <w:right w:w="85" w:type="dxa"/>
            </w:tcMar>
          </w:tcPr>
          <w:p w14:paraId="54050773" w14:textId="77777777" w:rsidR="009327C0" w:rsidRPr="001D5327" w:rsidRDefault="009327C0" w:rsidP="00D11AC9">
            <w:pPr>
              <w:pStyle w:val="TableText"/>
              <w:spacing w:before="40" w:after="40"/>
              <w:jc w:val="right"/>
            </w:pPr>
            <w:r w:rsidRPr="001D5327">
              <w:rPr>
                <w:rFonts w:eastAsia="Calibri"/>
                <w:color w:val="000000"/>
              </w:rPr>
              <w:t>±25</w:t>
            </w:r>
          </w:p>
        </w:tc>
        <w:tc>
          <w:tcPr>
            <w:tcW w:w="0" w:type="auto"/>
            <w:shd w:val="clear" w:color="auto" w:fill="FFFFFF"/>
            <w:tcMar>
              <w:top w:w="0" w:type="dxa"/>
              <w:left w:w="85" w:type="dxa"/>
              <w:bottom w:w="0" w:type="dxa"/>
              <w:right w:w="85" w:type="dxa"/>
            </w:tcMar>
          </w:tcPr>
          <w:p w14:paraId="5FFBAA48" w14:textId="77777777" w:rsidR="009327C0" w:rsidRPr="001D5327" w:rsidRDefault="009327C0" w:rsidP="00D11AC9">
            <w:pPr>
              <w:pStyle w:val="TableText"/>
              <w:spacing w:before="40" w:after="40"/>
              <w:jc w:val="right"/>
            </w:pPr>
            <w:r w:rsidRPr="001D5327">
              <w:rPr>
                <w:rFonts w:eastAsia="Calibri"/>
                <w:color w:val="000000"/>
              </w:rPr>
              <w:t>±10</w:t>
            </w:r>
          </w:p>
        </w:tc>
      </w:tr>
      <w:tr w:rsidR="009327C0" w:rsidRPr="001D5327" w14:paraId="48324614" w14:textId="77777777" w:rsidTr="00D11AC9">
        <w:tc>
          <w:tcPr>
            <w:tcW w:w="0" w:type="auto"/>
            <w:shd w:val="clear" w:color="auto" w:fill="FFFFFF"/>
            <w:tcMar>
              <w:top w:w="0" w:type="dxa"/>
              <w:left w:w="85" w:type="dxa"/>
              <w:bottom w:w="0" w:type="dxa"/>
              <w:right w:w="85" w:type="dxa"/>
            </w:tcMar>
          </w:tcPr>
          <w:p w14:paraId="7557AAD2" w14:textId="77777777" w:rsidR="009327C0" w:rsidRPr="001D5327" w:rsidRDefault="009327C0" w:rsidP="00D11AC9">
            <w:pPr>
              <w:pStyle w:val="TableText"/>
              <w:spacing w:before="40" w:after="40"/>
            </w:pPr>
            <w:r w:rsidRPr="001D5327">
              <w:rPr>
                <w:rFonts w:eastAsia="Calibri"/>
                <w:color w:val="000000"/>
              </w:rPr>
              <w:t>Fire protection</w:t>
            </w:r>
          </w:p>
        </w:tc>
        <w:tc>
          <w:tcPr>
            <w:tcW w:w="0" w:type="auto"/>
            <w:shd w:val="clear" w:color="auto" w:fill="FFFFFF"/>
            <w:tcMar>
              <w:top w:w="0" w:type="dxa"/>
              <w:left w:w="85" w:type="dxa"/>
              <w:bottom w:w="0" w:type="dxa"/>
              <w:right w:w="85" w:type="dxa"/>
            </w:tcMar>
          </w:tcPr>
          <w:p w14:paraId="3F4138D8" w14:textId="77777777" w:rsidR="009327C0" w:rsidRPr="001D5327" w:rsidRDefault="009327C0" w:rsidP="00D11AC9">
            <w:pPr>
              <w:pStyle w:val="TableText"/>
              <w:spacing w:before="40" w:after="40"/>
              <w:jc w:val="right"/>
            </w:pPr>
            <w:r w:rsidRPr="001D5327">
              <w:rPr>
                <w:rFonts w:eastAsia="Calibri"/>
                <w:color w:val="000000"/>
              </w:rPr>
              <w:t>±30</w:t>
            </w:r>
          </w:p>
        </w:tc>
        <w:tc>
          <w:tcPr>
            <w:tcW w:w="0" w:type="auto"/>
            <w:shd w:val="clear" w:color="auto" w:fill="FFFFFF"/>
            <w:tcMar>
              <w:top w:w="0" w:type="dxa"/>
              <w:left w:w="85" w:type="dxa"/>
              <w:bottom w:w="0" w:type="dxa"/>
              <w:right w:w="85" w:type="dxa"/>
            </w:tcMar>
          </w:tcPr>
          <w:p w14:paraId="442E885E" w14:textId="77777777" w:rsidR="009327C0" w:rsidRPr="001D5327" w:rsidRDefault="009327C0" w:rsidP="00D11AC9">
            <w:pPr>
              <w:pStyle w:val="TableText"/>
              <w:spacing w:before="40" w:after="40"/>
              <w:jc w:val="right"/>
            </w:pPr>
            <w:r w:rsidRPr="001D5327">
              <w:rPr>
                <w:rFonts w:eastAsia="Calibri"/>
                <w:color w:val="000000"/>
              </w:rPr>
              <w:t>±30</w:t>
            </w:r>
          </w:p>
        </w:tc>
      </w:tr>
    </w:tbl>
    <w:p w14:paraId="4BB7557E" w14:textId="77777777" w:rsidR="009327C0" w:rsidRPr="001D5327" w:rsidRDefault="009327C0" w:rsidP="009327C0">
      <w:pPr>
        <w:pStyle w:val="Noteundertable"/>
      </w:pPr>
      <w:r w:rsidRPr="001D5327">
        <w:rPr>
          <w:b/>
          <w:bCs/>
        </w:rPr>
        <w:t>Note:</w:t>
      </w:r>
      <w:r w:rsidRPr="001D5327">
        <w:t xml:space="preserve"> NA = not applicable.</w:t>
      </w:r>
    </w:p>
    <w:p w14:paraId="53578FA6" w14:textId="77777777" w:rsidR="009327C0" w:rsidRPr="001D5327" w:rsidRDefault="009327C0" w:rsidP="009327C0">
      <w:pPr>
        <w:pStyle w:val="Heading4"/>
      </w:pPr>
      <w:bookmarkStart w:id="540" w:name="time-series-consistency-4"/>
      <w:bookmarkEnd w:id="538"/>
      <w:r w:rsidRPr="001D5327">
        <w:t>Time-series consistency</w:t>
      </w:r>
    </w:p>
    <w:p w14:paraId="612EBB14" w14:textId="77777777" w:rsidR="009327C0" w:rsidRPr="001D5327" w:rsidRDefault="009327C0" w:rsidP="00623089">
      <w:pPr>
        <w:pStyle w:val="BodyText"/>
        <w:spacing w:before="100" w:after="100"/>
      </w:pPr>
      <w:r w:rsidRPr="001D5327">
        <w:t>There is substantial variation over the time series due to the introduction and increasing use of HFCs as replacements for CFCs and HCFCs. In previous submissions, year-to-year variation in the calculated emissions from refrigeration and air conditioning has been driven by changes in stocks from year to year. Recalculations made for this submission have reduced this apparent variance.</w:t>
      </w:r>
    </w:p>
    <w:p w14:paraId="58CBDE0F" w14:textId="77777777" w:rsidR="009327C0" w:rsidRPr="001D5327" w:rsidRDefault="009327C0" w:rsidP="00623089">
      <w:pPr>
        <w:pStyle w:val="BodyText"/>
        <w:spacing w:before="100" w:after="100"/>
      </w:pPr>
      <w:r w:rsidRPr="001D5327">
        <w:t>Calculated annual HFC emissions have increased at a consistent rate from 1,010.5 kt CO</w:t>
      </w:r>
      <w:r w:rsidRPr="001D5327">
        <w:rPr>
          <w:vertAlign w:val="subscript"/>
        </w:rPr>
        <w:t>2</w:t>
      </w:r>
      <w:r w:rsidRPr="001D5327">
        <w:t>-e in 2010 to 1,087.1 kt CO</w:t>
      </w:r>
      <w:r w:rsidRPr="001D5327">
        <w:rPr>
          <w:vertAlign w:val="subscript"/>
        </w:rPr>
        <w:t>2</w:t>
      </w:r>
      <w:r w:rsidRPr="001D5327">
        <w:t>-e in 2023. The banks of HFCs in operating equipment are also increasing over time, particularly in air conditioners. Future emissions will depend on the maintenance and eventual retirement of this equipment.</w:t>
      </w:r>
    </w:p>
    <w:p w14:paraId="2012BF97" w14:textId="77777777" w:rsidR="009327C0" w:rsidRPr="001D5327" w:rsidRDefault="009327C0" w:rsidP="009327C0">
      <w:pPr>
        <w:pStyle w:val="Heading3"/>
      </w:pPr>
      <w:bookmarkStart w:id="541" w:name="X187910eb94fda0957981d3d62def95cc1933357"/>
      <w:bookmarkEnd w:id="537"/>
      <w:bookmarkEnd w:id="540"/>
      <w:r w:rsidRPr="001D5327">
        <w:t xml:space="preserve">4.7.4 </w:t>
      </w:r>
      <w:r w:rsidRPr="001D5327">
        <w:tab/>
        <w:t>Category-specific QA/QC and verification</w:t>
      </w:r>
    </w:p>
    <w:p w14:paraId="0A4CCB0A" w14:textId="77777777" w:rsidR="009327C0" w:rsidRPr="001D5327" w:rsidRDefault="009327C0" w:rsidP="009327C0">
      <w:pPr>
        <w:pStyle w:val="Heading4"/>
      </w:pPr>
      <w:bookmarkStart w:id="542" w:name="Xe9bd00ae0ea4fa766aa0aa1d0da6758b8332234"/>
      <w:r w:rsidRPr="001D5327">
        <w:t>Refrigeration and air conditioning (2.F.1)</w:t>
      </w:r>
    </w:p>
    <w:p w14:paraId="3F16078A" w14:textId="77777777" w:rsidR="009327C0" w:rsidRPr="001D5327" w:rsidRDefault="009327C0" w:rsidP="00623089">
      <w:pPr>
        <w:pStyle w:val="BodyText"/>
        <w:spacing w:before="100"/>
      </w:pPr>
      <w:r w:rsidRPr="001D5327">
        <w:t xml:space="preserve">Use of HFCs in </w:t>
      </w:r>
      <w:r w:rsidRPr="001D5327">
        <w:rPr>
          <w:i/>
          <w:iCs/>
        </w:rPr>
        <w:t>Refrigeration and air conditioning</w:t>
      </w:r>
      <w:r w:rsidRPr="001D5327">
        <w:t xml:space="preserve"> was a key category (level and trend assessment). In the preparation of this inventory, the data on HFCs underwent Tier 1 quality checks. During data collection and calculation, activity data provided by industry were verified against national totals where possible, and unreturned questionnaires and anomalous data were followed up and verified to ensure a complete and accurate record of activity data.</w:t>
      </w:r>
    </w:p>
    <w:p w14:paraId="4B2C08DB" w14:textId="77777777" w:rsidR="009327C0" w:rsidRPr="001D5327" w:rsidRDefault="009327C0" w:rsidP="009327C0">
      <w:pPr>
        <w:pStyle w:val="BodyText"/>
      </w:pPr>
      <w:r w:rsidRPr="001D5327">
        <w:t xml:space="preserve">For the years up to 2001, the survey data supplied by importers on bulk HFC imports were </w:t>
      </w:r>
      <w:r w:rsidRPr="001D5327">
        <w:rPr>
          <w:spacing w:val="-2"/>
        </w:rPr>
        <w:t>verified by comparison with import data supplied by Stats NZ. The former Ministry of Economic Development compiled a detailed breakdown of bulk HFCs using these data and information from import licences for a range of mixtures, such as HFCs and HCFCs. This analysis</w:t>
      </w:r>
      <w:r w:rsidRPr="001D5327">
        <w:t xml:space="preserve"> has not been carried out since 2001, due to restricted access to commercially sensitive import data. </w:t>
      </w:r>
      <w:r w:rsidRPr="001D5327">
        <w:lastRenderedPageBreak/>
        <w:t>Consequently, this independent check on the total imports reported by bulk chemical suppliers became unavailable after that year.</w:t>
      </w:r>
    </w:p>
    <w:p w14:paraId="735C9D96" w14:textId="77777777" w:rsidR="009327C0" w:rsidRPr="001D5327" w:rsidRDefault="009327C0" w:rsidP="009327C0">
      <w:pPr>
        <w:pStyle w:val="BodyText"/>
      </w:pPr>
      <w:r w:rsidRPr="001D5327">
        <w:t>Survey data provided by Fisher and Paykel Limited (the largest importer and manufacturer) were used to compare with total import data, where possible. In addition, bulk importers now submit NZ ETS returns, which are used to verify survey information on import volumes, where possible.</w:t>
      </w:r>
    </w:p>
    <w:p w14:paraId="43167023" w14:textId="77777777" w:rsidR="009327C0" w:rsidRPr="001D5327" w:rsidRDefault="009327C0" w:rsidP="009327C0">
      <w:pPr>
        <w:pStyle w:val="BodyText"/>
      </w:pPr>
      <w:r w:rsidRPr="001D5327">
        <w:t>There were no other key categories. The data underwent Tier 1 quality checks.</w:t>
      </w:r>
    </w:p>
    <w:p w14:paraId="4ED8D73D" w14:textId="77777777" w:rsidR="009327C0" w:rsidRPr="001D5327" w:rsidRDefault="009327C0" w:rsidP="009327C0">
      <w:pPr>
        <w:pStyle w:val="Heading3"/>
      </w:pPr>
      <w:bookmarkStart w:id="543" w:name="category-specific-recalculations-4"/>
      <w:bookmarkEnd w:id="541"/>
      <w:bookmarkEnd w:id="542"/>
      <w:r w:rsidRPr="001D5327">
        <w:t xml:space="preserve">4.7.5 </w:t>
      </w:r>
      <w:r w:rsidRPr="001D5327">
        <w:tab/>
        <w:t>Category-specific recalculations</w:t>
      </w:r>
    </w:p>
    <w:p w14:paraId="6FC627E8" w14:textId="77777777" w:rsidR="009327C0" w:rsidRPr="001D5327" w:rsidRDefault="009327C0" w:rsidP="009327C0">
      <w:pPr>
        <w:pStyle w:val="BodyText"/>
      </w:pPr>
      <w:r w:rsidRPr="001D5327">
        <w:t>In this submission, the following was recalculated.</w:t>
      </w:r>
    </w:p>
    <w:p w14:paraId="1FF5ECF0" w14:textId="77777777" w:rsidR="009327C0" w:rsidRPr="001D5327" w:rsidRDefault="009327C0" w:rsidP="009327C0">
      <w:pPr>
        <w:pStyle w:val="Sub-lista"/>
      </w:pPr>
      <w:r w:rsidRPr="001D5327">
        <w:t>Correction of minor calculation errors for HFC foam blowing manufacturing chemicals re</w:t>
      </w:r>
      <w:r w:rsidRPr="001D5327">
        <w:noBreakHyphen/>
        <w:t>exported. Total foam blowing emissions for each HFC were slightly affected by the accumulation of these errors: estimates of 2022 emissions increased by 0.10 kt CO</w:t>
      </w:r>
      <w:r w:rsidRPr="001D5327">
        <w:rPr>
          <w:vertAlign w:val="subscript"/>
        </w:rPr>
        <w:t>2</w:t>
      </w:r>
      <w:r w:rsidRPr="001D5327">
        <w:t>-e, 0.03 kt CO</w:t>
      </w:r>
      <w:r w:rsidRPr="001D5327">
        <w:rPr>
          <w:vertAlign w:val="subscript"/>
        </w:rPr>
        <w:t>2</w:t>
      </w:r>
      <w:r w:rsidRPr="001D5327">
        <w:t>-e and 0.04 kt CO</w:t>
      </w:r>
      <w:r w:rsidRPr="001D5327">
        <w:rPr>
          <w:vertAlign w:val="subscript"/>
        </w:rPr>
        <w:t>2</w:t>
      </w:r>
      <w:r w:rsidRPr="001D5327">
        <w:t xml:space="preserve">-e for HFC-227ea, HFC-245fa and HFC-365mfc. </w:t>
      </w:r>
    </w:p>
    <w:p w14:paraId="388F7E31" w14:textId="066F6C23" w:rsidR="009327C0" w:rsidRPr="001D5327" w:rsidRDefault="009327C0" w:rsidP="009327C0">
      <w:pPr>
        <w:pStyle w:val="Sub-lista"/>
      </w:pPr>
      <w:r w:rsidRPr="001D5327">
        <w:t>Undeclared refrigerant stock estimates were changed from 110 tonnes and 2 tonnes R134a to 140 tonnes and 77 tonnes in 2021 and 2022, respectively. New coolstores installations in 2022 reduced R134a by 10 tonnes, which affects stocks with a minor reduction of those installation emissions (0.</w:t>
      </w:r>
      <w:r w:rsidR="00A7729E">
        <w:t>40</w:t>
      </w:r>
      <w:r w:rsidRPr="001D5327">
        <w:t xml:space="preserve"> kt CO</w:t>
      </w:r>
      <w:r w:rsidRPr="001D5327">
        <w:rPr>
          <w:vertAlign w:val="subscript"/>
        </w:rPr>
        <w:t>2</w:t>
      </w:r>
      <w:r w:rsidRPr="001D5327">
        <w:t>-e). The reduced bulk supply had led to a reduction in estimates of commercial refrigeration HFC-134a operations emissions in 2021 and 2022 (totalling 38.9 kt CO</w:t>
      </w:r>
      <w:r w:rsidRPr="001D5327">
        <w:rPr>
          <w:vertAlign w:val="subscript"/>
        </w:rPr>
        <w:t>2</w:t>
      </w:r>
      <w:r w:rsidRPr="001D5327">
        <w:t>-e and 45.1 kt CO</w:t>
      </w:r>
      <w:r w:rsidRPr="001D5327">
        <w:rPr>
          <w:vertAlign w:val="subscript"/>
        </w:rPr>
        <w:t>2</w:t>
      </w:r>
      <w:r w:rsidRPr="001D5327">
        <w:t>-e).</w:t>
      </w:r>
    </w:p>
    <w:p w14:paraId="73E8F0D2" w14:textId="0A61739C" w:rsidR="009327C0" w:rsidRPr="001D5327" w:rsidRDefault="009327C0" w:rsidP="009327C0">
      <w:pPr>
        <w:pStyle w:val="Sub-lista"/>
      </w:pPr>
      <w:r w:rsidRPr="001D5327">
        <w:t xml:space="preserve">A shortage of R32 to replace leakage from newer heat pumps suggested there may be greatly reduced leakage of HFC-32 (reduced 2022 estimate from 2.9 per cent to 2.4 per cent of stocks; </w:t>
      </w:r>
      <w:r w:rsidR="003C45F8">
        <w:t>-</w:t>
      </w:r>
      <w:r w:rsidRPr="001D5327">
        <w:t>6.1 kt CO</w:t>
      </w:r>
      <w:r w:rsidRPr="001D5327">
        <w:rPr>
          <w:vertAlign w:val="subscript"/>
        </w:rPr>
        <w:t>2</w:t>
      </w:r>
      <w:r w:rsidRPr="001D5327">
        <w:t xml:space="preserve">-e). Similarly, for the HFC-125 component of R410A in older heat pumps, somewhat reduced stocks suggested a smaller impact on 2022 leakage emissions from 2.6 per cent to 2.5 per cent </w:t>
      </w:r>
      <w:r w:rsidRPr="001D5327">
        <w:rPr>
          <w:spacing w:val="-2"/>
        </w:rPr>
        <w:t>(</w:t>
      </w:r>
      <w:r w:rsidR="003C45F8">
        <w:rPr>
          <w:spacing w:val="-2"/>
        </w:rPr>
        <w:t>-</w:t>
      </w:r>
      <w:r w:rsidRPr="001D5327">
        <w:rPr>
          <w:spacing w:val="-2"/>
        </w:rPr>
        <w:t>3.5 kt CO</w:t>
      </w:r>
      <w:r w:rsidRPr="001D5327">
        <w:rPr>
          <w:spacing w:val="-2"/>
          <w:vertAlign w:val="subscript"/>
        </w:rPr>
        <w:t>2</w:t>
      </w:r>
      <w:r w:rsidRPr="001D5327">
        <w:rPr>
          <w:spacing w:val="-2"/>
        </w:rPr>
        <w:t>-e)</w:t>
      </w:r>
      <w:r w:rsidRPr="001D5327">
        <w:t xml:space="preserve">. </w:t>
      </w:r>
    </w:p>
    <w:p w14:paraId="4A6B8C05" w14:textId="35B8A7B0" w:rsidR="009327C0" w:rsidRPr="001D5327" w:rsidRDefault="009327C0" w:rsidP="009327C0">
      <w:pPr>
        <w:pStyle w:val="Sub-lista"/>
      </w:pPr>
      <w:r w:rsidRPr="001D5327">
        <w:t xml:space="preserve">The impact of reduced R404A supply for 2022 leakage replacement was to reduce HFC-143a emissions by </w:t>
      </w:r>
      <w:r w:rsidR="003C45F8">
        <w:t>-</w:t>
      </w:r>
      <w:r w:rsidRPr="001D5327">
        <w:t>10.4 kt CO</w:t>
      </w:r>
      <w:r w:rsidRPr="001D5327">
        <w:rPr>
          <w:vertAlign w:val="subscript"/>
        </w:rPr>
        <w:t>2</w:t>
      </w:r>
      <w:r w:rsidRPr="001D5327">
        <w:t xml:space="preserve">-e, compared with the previous estimate. </w:t>
      </w:r>
    </w:p>
    <w:p w14:paraId="1AE76CAB" w14:textId="6103233B" w:rsidR="009327C0" w:rsidRPr="001D5327" w:rsidRDefault="009327C0" w:rsidP="009327C0">
      <w:pPr>
        <w:pStyle w:val="Sub-lista"/>
      </w:pPr>
      <w:r w:rsidRPr="001D5327">
        <w:t xml:space="preserve">Several recalculation errors in the past have been discovered in historical 2000 to 2006 emissions calculations (where ‘NO’ emissions have been amended to small recovery and/or disposal numbers and not included in emissions calculations by mass balance). In total, this set of corrections amounted to </w:t>
      </w:r>
      <w:r w:rsidR="003C45F8">
        <w:t>-</w:t>
      </w:r>
      <w:r w:rsidRPr="001D5327">
        <w:t>3.9 kt CO</w:t>
      </w:r>
      <w:r w:rsidRPr="001D5327">
        <w:rPr>
          <w:vertAlign w:val="subscript"/>
        </w:rPr>
        <w:t>2</w:t>
      </w:r>
      <w:r w:rsidRPr="001D5327">
        <w:t xml:space="preserve">-e, </w:t>
      </w:r>
      <w:r w:rsidR="003C45F8">
        <w:t>-</w:t>
      </w:r>
      <w:r w:rsidRPr="001D5327">
        <w:t>7.9 kt CO</w:t>
      </w:r>
      <w:r w:rsidRPr="001D5327">
        <w:rPr>
          <w:vertAlign w:val="subscript"/>
        </w:rPr>
        <w:t>2</w:t>
      </w:r>
      <w:r w:rsidRPr="001D5327">
        <w:t xml:space="preserve">-e, </w:t>
      </w:r>
      <w:r w:rsidR="003C45F8">
        <w:t>-</w:t>
      </w:r>
      <w:r w:rsidRPr="001D5327">
        <w:t>3.9 kt CO</w:t>
      </w:r>
      <w:r w:rsidRPr="001D5327">
        <w:rPr>
          <w:vertAlign w:val="subscript"/>
        </w:rPr>
        <w:t>2</w:t>
      </w:r>
      <w:r w:rsidRPr="001D5327">
        <w:t>-e and </w:t>
      </w:r>
      <w:r w:rsidR="00C817BE">
        <w:noBreakHyphen/>
      </w:r>
      <w:r w:rsidRPr="001D5327">
        <w:t>11.7 kt CO</w:t>
      </w:r>
      <w:r w:rsidRPr="001D5327">
        <w:rPr>
          <w:vertAlign w:val="subscript"/>
        </w:rPr>
        <w:t>2</w:t>
      </w:r>
      <w:r w:rsidRPr="001D5327">
        <w:t xml:space="preserve">-e for 2000 to 2003 respectively. </w:t>
      </w:r>
    </w:p>
    <w:p w14:paraId="3B408F39" w14:textId="77777777" w:rsidR="009327C0" w:rsidRPr="001D5327" w:rsidRDefault="009327C0" w:rsidP="009327C0">
      <w:pPr>
        <w:pStyle w:val="Sub-lista"/>
      </w:pPr>
      <w:r w:rsidRPr="001D5327">
        <w:t xml:space="preserve">Household refrigeration HFC-134a stock changes are: +0.08 tonnes, +0.27 tonnes, +0.23 tonnes, +0.21 tonnes, +0.34 tonnes and +0.33 tonnes, respectively, between 2017 and 2022. These would have a negligible impact (0.0002 tonnes to 0.0011 tonnes) on operations emissions. There was also a slight impact from other HFC-134a source changes on retirement share of recovery volume for 2022 leading to a 0.0025 tonnes increase in disposal emissions. </w:t>
      </w:r>
    </w:p>
    <w:p w14:paraId="36C352E7" w14:textId="77777777" w:rsidR="009327C0" w:rsidRPr="001D5327" w:rsidRDefault="009327C0" w:rsidP="009327C0">
      <w:pPr>
        <w:pStyle w:val="Sub-lista"/>
      </w:pPr>
      <w:r w:rsidRPr="001D5327">
        <w:t>Commercial refrigeration net equipment stock additions for 2021 and 2022 were revised for consistency with previous years (in terms of data gap filling). The main impacts were the addition of 0.40 tonnes and 0.80 tonnes R404A to those stocks in 2021 and 2022, increasing 2022 HFC-125 and HFC-143a operations emissions by 0.17 CO</w:t>
      </w:r>
      <w:r w:rsidRPr="001D5327">
        <w:rPr>
          <w:vertAlign w:val="subscript"/>
        </w:rPr>
        <w:t>2</w:t>
      </w:r>
      <w:r w:rsidRPr="001D5327">
        <w:t>-e and 0.30 CO</w:t>
      </w:r>
      <w:r w:rsidRPr="001D5327">
        <w:rPr>
          <w:vertAlign w:val="subscript"/>
        </w:rPr>
        <w:t>2</w:t>
      </w:r>
      <w:r w:rsidRPr="001D5327">
        <w:noBreakHyphen/>
        <w:t xml:space="preserve">e respectively. </w:t>
      </w:r>
    </w:p>
    <w:p w14:paraId="7E502F8C" w14:textId="77777777" w:rsidR="009327C0" w:rsidRPr="001D5327" w:rsidRDefault="009327C0" w:rsidP="000D3C83">
      <w:pPr>
        <w:pStyle w:val="Sub-lista"/>
        <w:keepLines/>
      </w:pPr>
      <w:r w:rsidRPr="001D5327">
        <w:lastRenderedPageBreak/>
        <w:t>Transport refrigeration net equipment stock additions for 2022 were revised for consistency, with new incomplete information used to fill 2023 data gaps. The impacts on installation and operating emissions were increases of 0.01 kt CO</w:t>
      </w:r>
      <w:r w:rsidRPr="001D5327">
        <w:rPr>
          <w:vertAlign w:val="subscript"/>
        </w:rPr>
        <w:t>2</w:t>
      </w:r>
      <w:r w:rsidRPr="001D5327">
        <w:t>-e, 0.18 kt CO</w:t>
      </w:r>
      <w:r w:rsidRPr="001D5327">
        <w:rPr>
          <w:vertAlign w:val="subscript"/>
        </w:rPr>
        <w:t>2</w:t>
      </w:r>
      <w:r w:rsidRPr="001D5327">
        <w:t>-e and 0.02 kt CO</w:t>
      </w:r>
      <w:r w:rsidRPr="001D5327">
        <w:rPr>
          <w:vertAlign w:val="subscript"/>
        </w:rPr>
        <w:t>2</w:t>
      </w:r>
      <w:r w:rsidRPr="001D5327">
        <w:t>-e for HFC-32, HFC-125, HFC-143a respectively, totalling 0.21 kt CO</w:t>
      </w:r>
      <w:r w:rsidRPr="001D5327">
        <w:rPr>
          <w:vertAlign w:val="subscript"/>
        </w:rPr>
        <w:t>2</w:t>
      </w:r>
      <w:r w:rsidRPr="001D5327">
        <w:t>-e. Improved information for the disposed vehicle calculations for 2022 had the impact of increasing disposal HFC-134a emissions by 0.21 tonnes. This represented a 0.27 kt CO</w:t>
      </w:r>
      <w:r w:rsidRPr="001D5327">
        <w:rPr>
          <w:vertAlign w:val="subscript"/>
        </w:rPr>
        <w:t>2</w:t>
      </w:r>
      <w:r w:rsidRPr="001D5327">
        <w:t xml:space="preserve">-e (0.13 per cent) increase in total MAC HFC-134a emissions, compared with the previous 2022 estimate (Verum Group, unpublished). </w:t>
      </w:r>
      <w:bookmarkStart w:id="544" w:name="category-specific-planned-improvements-4"/>
      <w:bookmarkEnd w:id="543"/>
    </w:p>
    <w:p w14:paraId="653D0093" w14:textId="77777777" w:rsidR="009327C0" w:rsidRPr="001D5327" w:rsidRDefault="009327C0" w:rsidP="009327C0">
      <w:pPr>
        <w:pStyle w:val="Heading3"/>
      </w:pPr>
      <w:r w:rsidRPr="001D5327">
        <w:t xml:space="preserve">4.7.6 </w:t>
      </w:r>
      <w:r w:rsidRPr="001D5327">
        <w:tab/>
        <w:t>Category-specific planned improvements</w:t>
      </w:r>
    </w:p>
    <w:p w14:paraId="704BE4D6" w14:textId="77777777" w:rsidR="009327C0" w:rsidRPr="001D5327" w:rsidRDefault="009327C0" w:rsidP="009327C0">
      <w:pPr>
        <w:pStyle w:val="BodyText"/>
      </w:pPr>
      <w:r w:rsidRPr="001D5327">
        <w:t xml:space="preserve">No specific improvements are planned for this category. There are still some unexplained year-to-year variations in emissions from the </w:t>
      </w:r>
      <w:r w:rsidRPr="001D5327">
        <w:rPr>
          <w:i/>
          <w:iCs/>
        </w:rPr>
        <w:t>Refrigeration and air conditioning</w:t>
      </w:r>
      <w:r w:rsidRPr="001D5327">
        <w:t xml:space="preserve"> category, which is an indication that further improvements can be made by better accounting for stockpiling of bulk chemical. Future submissions will continue to address this issue.</w:t>
      </w:r>
    </w:p>
    <w:p w14:paraId="2A96D2FD" w14:textId="77777777" w:rsidR="009327C0" w:rsidRPr="001D5327" w:rsidRDefault="009327C0" w:rsidP="009327C0">
      <w:pPr>
        <w:pStyle w:val="Heading2"/>
      </w:pPr>
      <w:bookmarkStart w:id="545" w:name="_Toc194312011"/>
      <w:bookmarkStart w:id="546" w:name="other-product-manufacture-and-use-2.g"/>
      <w:bookmarkEnd w:id="518"/>
      <w:bookmarkEnd w:id="544"/>
      <w:r w:rsidRPr="001D5327">
        <w:t xml:space="preserve">4.8 </w:t>
      </w:r>
      <w:r w:rsidRPr="001D5327">
        <w:tab/>
        <w:t>Other product manufacture and use (2.G)</w:t>
      </w:r>
      <w:bookmarkEnd w:id="545"/>
    </w:p>
    <w:p w14:paraId="77290774" w14:textId="77777777" w:rsidR="009327C0" w:rsidRPr="001D5327" w:rsidRDefault="009327C0" w:rsidP="009327C0">
      <w:pPr>
        <w:pStyle w:val="Heading3"/>
        <w:spacing w:before="240"/>
      </w:pPr>
      <w:bookmarkStart w:id="547" w:name="description-5"/>
      <w:r w:rsidRPr="001D5327">
        <w:t xml:space="preserve">4.8.1 </w:t>
      </w:r>
      <w:r w:rsidRPr="001D5327">
        <w:tab/>
        <w:t>Description</w:t>
      </w:r>
    </w:p>
    <w:p w14:paraId="7C0FDB48" w14:textId="77777777" w:rsidR="009327C0" w:rsidRPr="001D5327" w:rsidRDefault="009327C0" w:rsidP="009327C0">
      <w:pPr>
        <w:pStyle w:val="BodyText"/>
      </w:pPr>
      <w:r w:rsidRPr="001D5327">
        <w:t xml:space="preserve">The </w:t>
      </w:r>
      <w:r w:rsidRPr="001D5327">
        <w:rPr>
          <w:i/>
          <w:iCs/>
        </w:rPr>
        <w:t>Other product manufacture and use</w:t>
      </w:r>
      <w:r w:rsidRPr="001D5327">
        <w:t xml:space="preserve"> category in New Zealand comprises emissions from:</w:t>
      </w:r>
    </w:p>
    <w:p w14:paraId="075C59F6" w14:textId="77777777" w:rsidR="009327C0" w:rsidRPr="001D5327" w:rsidRDefault="009327C0" w:rsidP="009327C0">
      <w:pPr>
        <w:pStyle w:val="Bullet"/>
      </w:pPr>
      <w:r w:rsidRPr="001D5327">
        <w:t>use of SF</w:t>
      </w:r>
      <w:r w:rsidRPr="001D5327">
        <w:rPr>
          <w:vertAlign w:val="subscript"/>
        </w:rPr>
        <w:t>6</w:t>
      </w:r>
      <w:r w:rsidRPr="001D5327">
        <w:t xml:space="preserve"> as an insulant and arc-extinguishing agent in electrical switchgear</w:t>
      </w:r>
    </w:p>
    <w:p w14:paraId="7CF3EF21" w14:textId="77777777" w:rsidR="009327C0" w:rsidRPr="001D5327" w:rsidRDefault="009327C0" w:rsidP="009327C0">
      <w:pPr>
        <w:pStyle w:val="Bullet"/>
      </w:pPr>
      <w:r w:rsidRPr="001D5327">
        <w:t>use of SF</w:t>
      </w:r>
      <w:r w:rsidRPr="001D5327">
        <w:rPr>
          <w:vertAlign w:val="subscript"/>
        </w:rPr>
        <w:t>6</w:t>
      </w:r>
      <w:r w:rsidRPr="001D5327">
        <w:t xml:space="preserve"> in eye surgery</w:t>
      </w:r>
    </w:p>
    <w:p w14:paraId="3529D11B" w14:textId="77777777" w:rsidR="009327C0" w:rsidRPr="001D5327" w:rsidRDefault="009327C0" w:rsidP="009327C0">
      <w:pPr>
        <w:pStyle w:val="Bullet"/>
      </w:pPr>
      <w:r w:rsidRPr="001D5327">
        <w:t>use of PFCs (C</w:t>
      </w:r>
      <w:r w:rsidRPr="001D5327">
        <w:rPr>
          <w:vertAlign w:val="subscript"/>
        </w:rPr>
        <w:t>2</w:t>
      </w:r>
      <w:r w:rsidRPr="001D5327">
        <w:t>F</w:t>
      </w:r>
      <w:r w:rsidRPr="001D5327">
        <w:rPr>
          <w:vertAlign w:val="subscript"/>
        </w:rPr>
        <w:t>6</w:t>
      </w:r>
      <w:r w:rsidRPr="001D5327">
        <w:t xml:space="preserve"> and perfluoropropane (C</w:t>
      </w:r>
      <w:r w:rsidRPr="001D5327">
        <w:rPr>
          <w:vertAlign w:val="subscript"/>
        </w:rPr>
        <w:t>3</w:t>
      </w:r>
      <w:r w:rsidRPr="001D5327">
        <w:t>F</w:t>
      </w:r>
      <w:r w:rsidRPr="001D5327">
        <w:rPr>
          <w:vertAlign w:val="subscript"/>
        </w:rPr>
        <w:t>8</w:t>
      </w:r>
      <w:r w:rsidRPr="001D5327">
        <w:t>)) in eye surgery</w:t>
      </w:r>
    </w:p>
    <w:p w14:paraId="2047C610" w14:textId="77777777" w:rsidR="009327C0" w:rsidRPr="001D5327" w:rsidRDefault="009327C0" w:rsidP="009327C0">
      <w:pPr>
        <w:pStyle w:val="Bullet"/>
      </w:pPr>
      <w:r w:rsidRPr="001D5327">
        <w:t>use of SF</w:t>
      </w:r>
      <w:r w:rsidRPr="001D5327">
        <w:rPr>
          <w:vertAlign w:val="subscript"/>
        </w:rPr>
        <w:t>6</w:t>
      </w:r>
      <w:r w:rsidRPr="001D5327">
        <w:t xml:space="preserve"> as a tracer gas in scientific experiments</w:t>
      </w:r>
    </w:p>
    <w:p w14:paraId="7C8611B3" w14:textId="77777777" w:rsidR="009327C0" w:rsidRPr="001D5327" w:rsidRDefault="009327C0" w:rsidP="009327C0">
      <w:pPr>
        <w:pStyle w:val="Bullet"/>
      </w:pPr>
      <w:r w:rsidRPr="001D5327">
        <w:t>possible other uses of SF</w:t>
      </w:r>
      <w:r w:rsidRPr="001D5327">
        <w:rPr>
          <w:vertAlign w:val="subscript"/>
        </w:rPr>
        <w:t>6</w:t>
      </w:r>
      <w:r w:rsidRPr="001D5327">
        <w:t>, such as in vehicle tyres and industrial equipment</w:t>
      </w:r>
    </w:p>
    <w:p w14:paraId="3E620194" w14:textId="77777777" w:rsidR="009327C0" w:rsidRPr="001D5327" w:rsidRDefault="009327C0" w:rsidP="009327C0">
      <w:pPr>
        <w:pStyle w:val="Bullet"/>
      </w:pPr>
      <w:r w:rsidRPr="001D5327">
        <w:t>medical uses of N</w:t>
      </w:r>
      <w:r w:rsidRPr="001D5327">
        <w:rPr>
          <w:vertAlign w:val="subscript"/>
        </w:rPr>
        <w:t>2</w:t>
      </w:r>
      <w:r w:rsidRPr="001D5327">
        <w:t>O.</w:t>
      </w:r>
    </w:p>
    <w:p w14:paraId="50E366DA" w14:textId="77777777" w:rsidR="009327C0" w:rsidRPr="001D5327" w:rsidRDefault="009327C0" w:rsidP="009327C0">
      <w:pPr>
        <w:pStyle w:val="BodyText"/>
      </w:pPr>
      <w:r w:rsidRPr="001D5327">
        <w:t>There were no emissions of nitrogen trifluoride (NF</w:t>
      </w:r>
      <w:r w:rsidRPr="001D5327">
        <w:rPr>
          <w:vertAlign w:val="subscript"/>
        </w:rPr>
        <w:t>3</w:t>
      </w:r>
      <w:r w:rsidRPr="001D5327">
        <w:t xml:space="preserve">) in New Zealand. </w:t>
      </w:r>
    </w:p>
    <w:p w14:paraId="3EED9C1A" w14:textId="77777777" w:rsidR="009327C0" w:rsidRPr="001D5327" w:rsidRDefault="009327C0" w:rsidP="009327C0">
      <w:pPr>
        <w:pStyle w:val="BodyText"/>
      </w:pPr>
      <w:r w:rsidRPr="001D5327">
        <w:t>There were no key categories.</w:t>
      </w:r>
    </w:p>
    <w:p w14:paraId="3C8A624B" w14:textId="77777777" w:rsidR="009327C0" w:rsidRPr="001D5327" w:rsidRDefault="009327C0" w:rsidP="009327C0">
      <w:pPr>
        <w:pStyle w:val="BodyText"/>
        <w:rPr>
          <w:spacing w:val="-2"/>
        </w:rPr>
      </w:pPr>
      <w:r w:rsidRPr="001D5327">
        <w:rPr>
          <w:spacing w:val="-2"/>
        </w:rPr>
        <w:t xml:space="preserve">In 2023, emissions from the </w:t>
      </w:r>
      <w:r w:rsidRPr="001D5327">
        <w:rPr>
          <w:i/>
          <w:iCs/>
          <w:spacing w:val="-2"/>
        </w:rPr>
        <w:t>Other product manufacture and use</w:t>
      </w:r>
      <w:r w:rsidRPr="001D5327">
        <w:rPr>
          <w:spacing w:val="-2"/>
        </w:rPr>
        <w:t xml:space="preserve"> category totalled 129.1 kt CO</w:t>
      </w:r>
      <w:r w:rsidRPr="001D5327">
        <w:rPr>
          <w:spacing w:val="-2"/>
          <w:vertAlign w:val="subscript"/>
        </w:rPr>
        <w:t>2</w:t>
      </w:r>
      <w:r w:rsidRPr="001D5327">
        <w:rPr>
          <w:spacing w:val="-2"/>
        </w:rPr>
        <w:t>-e</w:t>
      </w:r>
      <w:r w:rsidRPr="001D5327">
        <w:t xml:space="preserve"> or 3.2 per cent of emissions from the IPPU sector. This is an increase of 22.6 kt (21.2 per cent) </w:t>
      </w:r>
      <w:r w:rsidRPr="001D5327">
        <w:rPr>
          <w:spacing w:val="-2"/>
        </w:rPr>
        <w:t>from the emissions in 1990, driven by a slight increase in the importation and use of N</w:t>
      </w:r>
      <w:r w:rsidRPr="001D5327">
        <w:rPr>
          <w:spacing w:val="-2"/>
          <w:vertAlign w:val="subscript"/>
        </w:rPr>
        <w:t>2</w:t>
      </w:r>
      <w:r w:rsidRPr="001D5327">
        <w:rPr>
          <w:spacing w:val="-2"/>
        </w:rPr>
        <w:t>O in 2023.</w:t>
      </w:r>
    </w:p>
    <w:p w14:paraId="23E9B0B6" w14:textId="77777777" w:rsidR="009327C0" w:rsidRPr="001D5327" w:rsidRDefault="009327C0" w:rsidP="009327C0">
      <w:pPr>
        <w:pStyle w:val="Heading3"/>
      </w:pPr>
      <w:bookmarkStart w:id="548" w:name="methodological-issues-5"/>
      <w:bookmarkEnd w:id="547"/>
      <w:r w:rsidRPr="001D5327">
        <w:t xml:space="preserve">4.8.2 </w:t>
      </w:r>
      <w:r w:rsidRPr="001D5327">
        <w:tab/>
        <w:t>Methodological issues</w:t>
      </w:r>
    </w:p>
    <w:p w14:paraId="572D0B4F" w14:textId="77777777" w:rsidR="009327C0" w:rsidRPr="001D5327" w:rsidRDefault="009327C0" w:rsidP="009327C0">
      <w:pPr>
        <w:pStyle w:val="Heading4"/>
      </w:pPr>
      <w:bookmarkStart w:id="549" w:name="choice-of-activity-data-5"/>
      <w:r w:rsidRPr="001D5327">
        <w:t>Choice of activity data</w:t>
      </w:r>
    </w:p>
    <w:p w14:paraId="7617C3B1" w14:textId="77777777" w:rsidR="009327C0" w:rsidRPr="001D5327" w:rsidRDefault="009327C0" w:rsidP="009327C0">
      <w:pPr>
        <w:pStyle w:val="BodyText"/>
      </w:pPr>
      <w:r w:rsidRPr="001D5327">
        <w:t>Companies importing or using SF</w:t>
      </w:r>
      <w:r w:rsidRPr="001D5327">
        <w:rPr>
          <w:vertAlign w:val="subscript"/>
        </w:rPr>
        <w:t>6</w:t>
      </w:r>
      <w:r w:rsidRPr="001D5327">
        <w:t xml:space="preserve"> and N</w:t>
      </w:r>
      <w:r w:rsidRPr="001D5327">
        <w:rPr>
          <w:vertAlign w:val="subscript"/>
        </w:rPr>
        <w:t>2</w:t>
      </w:r>
      <w:r w:rsidRPr="001D5327">
        <w:t>O provided data on their imports and holdings in response to an annual survey. This included all significant electricity companies, equipment manufacturers and industrial electricity users. In addition, companies report their holdings and emissions in NZ ETS returns if they use SF</w:t>
      </w:r>
      <w:r w:rsidRPr="001D5327">
        <w:rPr>
          <w:vertAlign w:val="subscript"/>
        </w:rPr>
        <w:t>6</w:t>
      </w:r>
      <w:r w:rsidRPr="001D5327">
        <w:t xml:space="preserve"> in electrical equipment and have more than 1 tonne of the gas in operating equipment.</w:t>
      </w:r>
    </w:p>
    <w:p w14:paraId="08BB5005" w14:textId="77777777" w:rsidR="009327C0" w:rsidRPr="001D5327" w:rsidRDefault="009327C0" w:rsidP="009327C0">
      <w:pPr>
        <w:pStyle w:val="Heading5"/>
      </w:pPr>
      <w:bookmarkStart w:id="550" w:name="electrical-equipment-2.g.1"/>
      <w:r w:rsidRPr="001D5327">
        <w:lastRenderedPageBreak/>
        <w:t>Electrical equipment (2.G.1)</w:t>
      </w:r>
    </w:p>
    <w:p w14:paraId="14F986E4" w14:textId="77777777" w:rsidR="009327C0" w:rsidRPr="001D5327" w:rsidRDefault="009327C0" w:rsidP="009327C0">
      <w:pPr>
        <w:pStyle w:val="BodyText"/>
      </w:pPr>
      <w:r w:rsidRPr="001D5327">
        <w:t>Data on bulk imports of SF</w:t>
      </w:r>
      <w:r w:rsidRPr="001D5327">
        <w:rPr>
          <w:vertAlign w:val="subscript"/>
        </w:rPr>
        <w:t>6</w:t>
      </w:r>
      <w:r w:rsidRPr="001D5327">
        <w:t xml:space="preserve"> and the charge in installed equipment were supplied by New Zealand’s only manufacturer of relevant electrical equipment (ABB Limited) and by the electricity transmission and generation companies. The transmission and generation companies import SF</w:t>
      </w:r>
      <w:r w:rsidRPr="001D5327">
        <w:rPr>
          <w:vertAlign w:val="subscript"/>
        </w:rPr>
        <w:t>6</w:t>
      </w:r>
      <w:r w:rsidRPr="001D5327">
        <w:t xml:space="preserve"> for their own use.</w:t>
      </w:r>
    </w:p>
    <w:p w14:paraId="43B89FB6" w14:textId="7F359012" w:rsidR="009327C0" w:rsidRPr="001D5327" w:rsidRDefault="009327C0" w:rsidP="009327C0">
      <w:pPr>
        <w:pStyle w:val="Heading5"/>
      </w:pPr>
      <w:bookmarkStart w:id="551" w:name="X8fe72f8bd6f1c3ba6c651405085fb6f6d944075"/>
      <w:bookmarkEnd w:id="550"/>
      <w:r w:rsidRPr="001D5327">
        <w:t xml:space="preserve">Sulphur hexafluoride and </w:t>
      </w:r>
      <w:r w:rsidR="00394F16" w:rsidRPr="00394F16">
        <w:t>perfluorocarbons</w:t>
      </w:r>
      <w:r w:rsidRPr="001D5327">
        <w:t xml:space="preserve"> from other product use (2.G.2)</w:t>
      </w:r>
    </w:p>
    <w:p w14:paraId="1CD3DC84" w14:textId="77777777" w:rsidR="009327C0" w:rsidRPr="001D5327" w:rsidRDefault="009327C0" w:rsidP="009327C0">
      <w:pPr>
        <w:pStyle w:val="BodyText"/>
      </w:pPr>
      <w:r w:rsidRPr="001D5327">
        <w:t>One company (BOC Limited) imported SF</w:t>
      </w:r>
      <w:r w:rsidRPr="001D5327">
        <w:rPr>
          <w:vertAlign w:val="subscript"/>
        </w:rPr>
        <w:t>6</w:t>
      </w:r>
      <w:r w:rsidRPr="001D5327">
        <w:t xml:space="preserve"> into New Zealand (for uses other than electrical switchgear) until 2012. There is no other known importer, and some users appear to have been using previously imported supplies since that time. The current usage rate is assessed (from earlier importation rates) to be approximately 120 kilograms per year. This is made up of 30 kilograms for medical use, 50 kilograms for scientific use and 40 kilograms for other uses.</w:t>
      </w:r>
    </w:p>
    <w:p w14:paraId="06BF6DCD" w14:textId="77777777" w:rsidR="009327C0" w:rsidRPr="001D5327" w:rsidRDefault="009327C0" w:rsidP="009327C0">
      <w:pPr>
        <w:pStyle w:val="BodyText"/>
      </w:pPr>
      <w:r w:rsidRPr="001D5327">
        <w:t>Extremely small amounts of C</w:t>
      </w:r>
      <w:r w:rsidRPr="001D5327">
        <w:rPr>
          <w:vertAlign w:val="subscript"/>
        </w:rPr>
        <w:t>2</w:t>
      </w:r>
      <w:r w:rsidRPr="001D5327">
        <w:t>F</w:t>
      </w:r>
      <w:r w:rsidRPr="001D5327">
        <w:rPr>
          <w:vertAlign w:val="subscript"/>
        </w:rPr>
        <w:t>6</w:t>
      </w:r>
      <w:r w:rsidRPr="001D5327">
        <w:t xml:space="preserve"> and C</w:t>
      </w:r>
      <w:r w:rsidRPr="001D5327">
        <w:rPr>
          <w:vertAlign w:val="subscript"/>
        </w:rPr>
        <w:t>3</w:t>
      </w:r>
      <w:r w:rsidRPr="001D5327">
        <w:t>F</w:t>
      </w:r>
      <w:r w:rsidRPr="001D5327">
        <w:rPr>
          <w:vertAlign w:val="subscript"/>
        </w:rPr>
        <w:t>8</w:t>
      </w:r>
      <w:r w:rsidRPr="001D5327">
        <w:t xml:space="preserve"> have been imported into New Zealand from 2011, for use in a specialised type of eye surgery. The importer provided information on the amount imported: between 0.1 kilograms and 0.3 kilograms per year. Enquiries to importers and the tyre industry have indicated that there is no use of SF</w:t>
      </w:r>
      <w:r w:rsidRPr="001D5327">
        <w:rPr>
          <w:vertAlign w:val="subscript"/>
        </w:rPr>
        <w:t>6</w:t>
      </w:r>
      <w:r w:rsidRPr="001D5327">
        <w:t xml:space="preserve"> in New Zealand for other applications such as double-glazed windows, tyres and shoes.</w:t>
      </w:r>
    </w:p>
    <w:p w14:paraId="78E40DA3" w14:textId="77777777" w:rsidR="009327C0" w:rsidRPr="001D5327" w:rsidRDefault="009327C0" w:rsidP="009327C0">
      <w:pPr>
        <w:pStyle w:val="Heading5"/>
      </w:pPr>
      <w:bookmarkStart w:id="552" w:name="nitrous-oxide-from-product-uses-2.g.3"/>
      <w:bookmarkEnd w:id="551"/>
      <w:r w:rsidRPr="001D5327">
        <w:t>Nitrous oxide from product uses (2.G.3)</w:t>
      </w:r>
    </w:p>
    <w:p w14:paraId="5FEC20F2" w14:textId="77777777" w:rsidR="009327C0" w:rsidRPr="001D5327" w:rsidRDefault="009327C0" w:rsidP="009327C0">
      <w:pPr>
        <w:pStyle w:val="BodyText"/>
      </w:pPr>
      <w:r w:rsidRPr="001D5327">
        <w:t>Data on the import quantities of N</w:t>
      </w:r>
      <w:r w:rsidRPr="001D5327">
        <w:rPr>
          <w:vertAlign w:val="subscript"/>
        </w:rPr>
        <w:t>2</w:t>
      </w:r>
      <w:r w:rsidRPr="001D5327">
        <w:t>O were available from the New Zealand Customs Service and Stats NZ from 2005, but some of these are considered unreliable due to classification errors by importers. Survey responses from companies that sell N</w:t>
      </w:r>
      <w:r w:rsidRPr="001D5327">
        <w:rPr>
          <w:vertAlign w:val="subscript"/>
        </w:rPr>
        <w:t>2</w:t>
      </w:r>
      <w:r w:rsidRPr="001D5327">
        <w:t>O and from import data have been assessed together to estimate the total imports, which vary between 181 tonnes and 205 tonnes per year (CRL Energy, unpublished(b)).</w:t>
      </w:r>
    </w:p>
    <w:p w14:paraId="00B8D223" w14:textId="77777777" w:rsidR="009327C0" w:rsidRPr="001D5327" w:rsidRDefault="009327C0" w:rsidP="009327C0">
      <w:pPr>
        <w:pStyle w:val="Heading4"/>
      </w:pPr>
      <w:bookmarkStart w:id="553" w:name="choice-of-methods-5"/>
      <w:bookmarkEnd w:id="549"/>
      <w:bookmarkEnd w:id="552"/>
      <w:r w:rsidRPr="001D5327">
        <w:t>Choice of methods</w:t>
      </w:r>
    </w:p>
    <w:p w14:paraId="4D62439C" w14:textId="77777777" w:rsidR="009327C0" w:rsidRPr="001D5327" w:rsidRDefault="009327C0" w:rsidP="009327C0">
      <w:pPr>
        <w:pStyle w:val="Heading5"/>
      </w:pPr>
      <w:bookmarkStart w:id="554" w:name="electrical-equipment-2.g.1-1"/>
      <w:r w:rsidRPr="001D5327">
        <w:t>Electrical equipment (2.G.1)</w:t>
      </w:r>
    </w:p>
    <w:p w14:paraId="4DC888AC" w14:textId="77777777" w:rsidR="009327C0" w:rsidRPr="001D5327" w:rsidRDefault="009327C0" w:rsidP="009327C0">
      <w:pPr>
        <w:pStyle w:val="BodyText"/>
      </w:pPr>
      <w:r w:rsidRPr="001D5327">
        <w:t>The national grid company, Transpower, and several of the larger electricity generation companies have supplied stocks and usage data that are detailed enough to allow the use of a Tier 3 approach for the years 2003 to 2019. This uses a mass balance calculation for closed pressure equipment and an emission factor calculation for sealed pressure equipment.</w:t>
      </w:r>
    </w:p>
    <w:p w14:paraId="212FFAFD" w14:textId="77777777" w:rsidR="009327C0" w:rsidRPr="001D5327" w:rsidRDefault="009327C0" w:rsidP="009327C0">
      <w:pPr>
        <w:pStyle w:val="BodyText"/>
      </w:pPr>
      <w:r w:rsidRPr="001D5327">
        <w:t>For all data prior to 2003, and for the other distribution companies that do not have ETS reporting obligations and have not provided detailed data, a Tier 1 approach is used.</w:t>
      </w:r>
    </w:p>
    <w:p w14:paraId="48BC80D8" w14:textId="77777777" w:rsidR="009327C0" w:rsidRPr="001D5327" w:rsidRDefault="009327C0" w:rsidP="009327C0">
      <w:pPr>
        <w:pStyle w:val="BodyText"/>
      </w:pPr>
      <w:r w:rsidRPr="001D5327">
        <w:t>Both approaches account for emissions from the operation and disposal of equipment.</w:t>
      </w:r>
    </w:p>
    <w:p w14:paraId="02A7BC82" w14:textId="77777777" w:rsidR="009327C0" w:rsidRPr="001D5327" w:rsidRDefault="009327C0" w:rsidP="009327C0">
      <w:pPr>
        <w:pStyle w:val="Heading5"/>
      </w:pPr>
      <w:bookmarkStart w:id="555" w:name="other"/>
      <w:bookmarkEnd w:id="554"/>
      <w:r w:rsidRPr="001D5327">
        <w:t>Other</w:t>
      </w:r>
    </w:p>
    <w:p w14:paraId="77F77920" w14:textId="77777777" w:rsidR="009327C0" w:rsidRPr="001D5327" w:rsidRDefault="009327C0" w:rsidP="009327C0">
      <w:pPr>
        <w:pStyle w:val="BodyText"/>
      </w:pPr>
      <w:r w:rsidRPr="001D5327">
        <w:t>Because the quantities are small and the emissions are all considered to be prompt, Tier 1 methods are used for all other emissions in this category. All SF</w:t>
      </w:r>
      <w:r w:rsidRPr="001D5327">
        <w:rPr>
          <w:vertAlign w:val="subscript"/>
        </w:rPr>
        <w:t>6</w:t>
      </w:r>
      <w:r w:rsidRPr="001D5327">
        <w:t xml:space="preserve"> or N</w:t>
      </w:r>
      <w:r w:rsidRPr="001D5327">
        <w:rPr>
          <w:vertAlign w:val="subscript"/>
        </w:rPr>
        <w:t>2</w:t>
      </w:r>
      <w:r w:rsidRPr="001D5327">
        <w:t>O that is imported is assumed to be sold and emitted.</w:t>
      </w:r>
    </w:p>
    <w:p w14:paraId="6BEEBFC7" w14:textId="77777777" w:rsidR="009327C0" w:rsidRPr="001D5327" w:rsidRDefault="009327C0" w:rsidP="009327C0">
      <w:pPr>
        <w:pStyle w:val="Heading4"/>
      </w:pPr>
      <w:bookmarkStart w:id="556" w:name="choice-of-emission-factors-4"/>
      <w:bookmarkEnd w:id="553"/>
      <w:bookmarkEnd w:id="555"/>
      <w:r w:rsidRPr="001D5327">
        <w:lastRenderedPageBreak/>
        <w:t>Choice of emission factors</w:t>
      </w:r>
    </w:p>
    <w:p w14:paraId="41402F80" w14:textId="77777777" w:rsidR="009327C0" w:rsidRPr="001D5327" w:rsidRDefault="009327C0" w:rsidP="009327C0">
      <w:pPr>
        <w:pStyle w:val="Heading5"/>
      </w:pPr>
      <w:bookmarkStart w:id="557" w:name="electrical-equipment-2.g.1-2"/>
      <w:r w:rsidRPr="001D5327">
        <w:t>Electrical equipment (2.G.1)</w:t>
      </w:r>
    </w:p>
    <w:p w14:paraId="566B253A" w14:textId="77777777" w:rsidR="009327C0" w:rsidRPr="001D5327" w:rsidRDefault="009327C0" w:rsidP="009327C0">
      <w:pPr>
        <w:pStyle w:val="BodyText"/>
      </w:pPr>
      <w:r w:rsidRPr="001D5327">
        <w:t>Default loss rates have been used, where required, for sealed pressure equipment and where a Tier 1 method has had to be used. Factors based on Europe have been used, because these are based on a study that distinguished between sealed and closed equipment types (IPCC, 2006a).</w:t>
      </w:r>
    </w:p>
    <w:p w14:paraId="67801934" w14:textId="6C64C1F0" w:rsidR="009327C0" w:rsidRPr="001D5327" w:rsidRDefault="009327C0" w:rsidP="009327C0">
      <w:pPr>
        <w:pStyle w:val="BodyText"/>
      </w:pPr>
      <w:r w:rsidRPr="001D5327">
        <w:t>Improved information from surveys has allowed the use of these two different equipment types in New Zealand to be better disaggregated over time, and the choice of emission factors</w:t>
      </w:r>
      <w:r w:rsidR="000D3C83" w:rsidRPr="001D5327">
        <w:t xml:space="preserve"> </w:t>
      </w:r>
      <w:r w:rsidRPr="001D5327">
        <w:t>has become progressively more accurate (Verum Group, unpublished). However, this distinction is not always clear and remains a source of uncertainty. Units that are described as</w:t>
      </w:r>
      <w:r w:rsidR="00435A78" w:rsidRPr="001D5327">
        <w:t> </w:t>
      </w:r>
      <w:r w:rsidRPr="001D5327">
        <w:t>sealed can sometimes be topped up with SF</w:t>
      </w:r>
      <w:r w:rsidRPr="001D5327">
        <w:rPr>
          <w:vertAlign w:val="subscript"/>
        </w:rPr>
        <w:t>6</w:t>
      </w:r>
      <w:r w:rsidRPr="001D5327">
        <w:t xml:space="preserve"> in service.</w:t>
      </w:r>
    </w:p>
    <w:p w14:paraId="3853D8C0" w14:textId="77777777" w:rsidR="009327C0" w:rsidRPr="001D5327" w:rsidRDefault="009327C0" w:rsidP="009327C0">
      <w:pPr>
        <w:pStyle w:val="BodyText"/>
      </w:pPr>
      <w:r w:rsidRPr="001D5327">
        <w:t xml:space="preserve">Losses on disposal are assessed as 95.0 per cent if a service agent is not used, and 5.0 per cent </w:t>
      </w:r>
      <w:r w:rsidRPr="001D5327">
        <w:rPr>
          <w:spacing w:val="-2"/>
        </w:rPr>
        <w:t>when service agents carry out the disposal and implement good recovery practices. No recovery</w:t>
      </w:r>
      <w:r w:rsidRPr="001D5327">
        <w:t xml:space="preserve"> of SF</w:t>
      </w:r>
      <w:r w:rsidRPr="001D5327">
        <w:rPr>
          <w:vertAlign w:val="subscript"/>
        </w:rPr>
        <w:t>6</w:t>
      </w:r>
      <w:r w:rsidRPr="001D5327">
        <w:t xml:space="preserve"> was reported before the year 2000.</w:t>
      </w:r>
    </w:p>
    <w:p w14:paraId="03AF1712" w14:textId="77777777" w:rsidR="009327C0" w:rsidRPr="001D5327" w:rsidRDefault="009327C0" w:rsidP="009327C0">
      <w:pPr>
        <w:pStyle w:val="Heading5"/>
      </w:pPr>
      <w:bookmarkStart w:id="558" w:name="other-1"/>
      <w:bookmarkEnd w:id="557"/>
      <w:r w:rsidRPr="001D5327">
        <w:t>Other</w:t>
      </w:r>
    </w:p>
    <w:p w14:paraId="6F14AE6E" w14:textId="77777777" w:rsidR="009327C0" w:rsidRPr="001D5327" w:rsidRDefault="009327C0" w:rsidP="009327C0">
      <w:pPr>
        <w:pStyle w:val="BodyText"/>
      </w:pPr>
      <w:r w:rsidRPr="001D5327">
        <w:t>Emissions of SF</w:t>
      </w:r>
      <w:r w:rsidRPr="001D5327">
        <w:rPr>
          <w:vertAlign w:val="subscript"/>
        </w:rPr>
        <w:t>6</w:t>
      </w:r>
      <w:r w:rsidRPr="001D5327">
        <w:t xml:space="preserve"> and other gases for all other applications are assumed to be prompt, and an emission factor of either 50.0 per cent or 100.0 per cent is used, as appropriate.</w:t>
      </w:r>
    </w:p>
    <w:p w14:paraId="0774A834" w14:textId="77777777" w:rsidR="009327C0" w:rsidRPr="001D5327" w:rsidRDefault="009327C0" w:rsidP="009327C0">
      <w:pPr>
        <w:pStyle w:val="Heading3"/>
      </w:pPr>
      <w:bookmarkStart w:id="559" w:name="X8dc34323e1d4858e7475bb42fd4d8e8390e3395"/>
      <w:bookmarkEnd w:id="548"/>
      <w:bookmarkEnd w:id="556"/>
      <w:bookmarkEnd w:id="558"/>
      <w:r w:rsidRPr="001D5327">
        <w:t>4.8.3 Uncertainty assessment and time-series consistency</w:t>
      </w:r>
    </w:p>
    <w:p w14:paraId="21657848" w14:textId="77777777" w:rsidR="009327C0" w:rsidRPr="001D5327" w:rsidRDefault="009327C0" w:rsidP="009327C0">
      <w:pPr>
        <w:pStyle w:val="Heading4"/>
      </w:pPr>
      <w:bookmarkStart w:id="560" w:name="uncertainties-6"/>
      <w:r w:rsidRPr="001D5327">
        <w:t>Uncertainties</w:t>
      </w:r>
    </w:p>
    <w:p w14:paraId="4CC42E22" w14:textId="77777777" w:rsidR="009327C0" w:rsidRPr="001D5327" w:rsidRDefault="009327C0" w:rsidP="009327C0">
      <w:pPr>
        <w:pStyle w:val="BodyText"/>
      </w:pPr>
      <w:r w:rsidRPr="001D5327">
        <w:t>A mix of expert judgement and IPCC default uncertainties has been used for emissions in this category (see table 4.8.1). The IPCC (2006a) recommends the use of expert judgement for sources such as N</w:t>
      </w:r>
      <w:r w:rsidRPr="001D5327">
        <w:rPr>
          <w:vertAlign w:val="subscript"/>
        </w:rPr>
        <w:t>2</w:t>
      </w:r>
      <w:r w:rsidRPr="001D5327">
        <w:t xml:space="preserve">O from product uses, because the uncertainties vary from country to country. For categories other than </w:t>
      </w:r>
      <w:r w:rsidRPr="001D5327">
        <w:rPr>
          <w:i/>
          <w:iCs/>
        </w:rPr>
        <w:t>Electrical equipment</w:t>
      </w:r>
      <w:r w:rsidRPr="001D5327">
        <w:t>, there is no uncertainty in emission factors because emissions are immediate.</w:t>
      </w:r>
    </w:p>
    <w:p w14:paraId="1D2AAF3C" w14:textId="77777777" w:rsidR="009327C0" w:rsidRPr="001D5327" w:rsidRDefault="009327C0" w:rsidP="009327C0">
      <w:pPr>
        <w:pStyle w:val="Table"/>
      </w:pPr>
      <w:bookmarkStart w:id="561" w:name="_Toc194241696"/>
      <w:r w:rsidRPr="001D5327">
        <w:t xml:space="preserve">Table 4.8.1 </w:t>
      </w:r>
      <w:r w:rsidRPr="001D5327">
        <w:tab/>
        <w:t xml:space="preserve">Uncertainty in emissions from </w:t>
      </w:r>
      <w:r w:rsidRPr="001D5327">
        <w:rPr>
          <w:i/>
        </w:rPr>
        <w:t>Other product manufacture and use</w:t>
      </w:r>
      <w:bookmarkEnd w:id="561"/>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064"/>
        <w:gridCol w:w="2564"/>
        <w:gridCol w:w="2866"/>
      </w:tblGrid>
      <w:tr w:rsidR="009327C0" w:rsidRPr="001D5327" w14:paraId="3F826A63" w14:textId="77777777" w:rsidTr="00D11AC9">
        <w:trPr>
          <w:tblHeader/>
        </w:trPr>
        <w:tc>
          <w:tcPr>
            <w:tcW w:w="0" w:type="auto"/>
            <w:shd w:val="clear" w:color="auto" w:fill="1B556B"/>
            <w:tcMar>
              <w:top w:w="0" w:type="dxa"/>
              <w:left w:w="85" w:type="dxa"/>
              <w:bottom w:w="0" w:type="dxa"/>
              <w:right w:w="85" w:type="dxa"/>
            </w:tcMar>
          </w:tcPr>
          <w:p w14:paraId="09916552" w14:textId="77777777" w:rsidR="009327C0" w:rsidRPr="001D5327" w:rsidRDefault="009327C0" w:rsidP="00D11AC9">
            <w:pPr>
              <w:pStyle w:val="TableTextBold"/>
              <w:spacing w:before="40" w:after="40"/>
              <w:rPr>
                <w:noProof w:val="0"/>
                <w:color w:val="FFFFFF" w:themeColor="background1"/>
              </w:rPr>
            </w:pPr>
            <w:r w:rsidRPr="001D5327">
              <w:rPr>
                <w:rFonts w:eastAsia="Calibri"/>
                <w:noProof w:val="0"/>
                <w:color w:val="FFFFFF" w:themeColor="background1"/>
              </w:rPr>
              <w:t>Category</w:t>
            </w:r>
          </w:p>
        </w:tc>
        <w:tc>
          <w:tcPr>
            <w:tcW w:w="0" w:type="auto"/>
            <w:shd w:val="clear" w:color="auto" w:fill="1B556B"/>
            <w:tcMar>
              <w:top w:w="0" w:type="dxa"/>
              <w:left w:w="85" w:type="dxa"/>
              <w:bottom w:w="0" w:type="dxa"/>
              <w:right w:w="85" w:type="dxa"/>
            </w:tcMar>
          </w:tcPr>
          <w:p w14:paraId="29E8AA12" w14:textId="77777777" w:rsidR="009327C0" w:rsidRPr="001D5327" w:rsidRDefault="009327C0"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tcPr>
          <w:p w14:paraId="5DD13F9E" w14:textId="77777777" w:rsidR="009327C0" w:rsidRPr="001D5327" w:rsidRDefault="009327C0"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emission factors (%)</w:t>
            </w:r>
          </w:p>
        </w:tc>
      </w:tr>
      <w:tr w:rsidR="009327C0" w:rsidRPr="001D5327" w14:paraId="1DED443D" w14:textId="77777777" w:rsidTr="00D11AC9">
        <w:tc>
          <w:tcPr>
            <w:tcW w:w="0" w:type="auto"/>
            <w:shd w:val="clear" w:color="auto" w:fill="FFFFFF"/>
            <w:tcMar>
              <w:top w:w="0" w:type="dxa"/>
              <w:left w:w="85" w:type="dxa"/>
              <w:bottom w:w="0" w:type="dxa"/>
              <w:right w:w="85" w:type="dxa"/>
            </w:tcMar>
          </w:tcPr>
          <w:p w14:paraId="09383794" w14:textId="77777777" w:rsidR="009327C0" w:rsidRPr="001D5327" w:rsidRDefault="009327C0" w:rsidP="00D11AC9">
            <w:pPr>
              <w:pStyle w:val="TableText"/>
              <w:spacing w:before="40" w:after="40"/>
            </w:pPr>
            <w:r w:rsidRPr="001D5327">
              <w:rPr>
                <w:rFonts w:eastAsia="Calibri"/>
                <w:color w:val="000000"/>
              </w:rPr>
              <w:t>Electrical equipment</w:t>
            </w:r>
          </w:p>
        </w:tc>
        <w:tc>
          <w:tcPr>
            <w:tcW w:w="0" w:type="auto"/>
            <w:shd w:val="clear" w:color="auto" w:fill="FFFFFF"/>
            <w:tcMar>
              <w:top w:w="0" w:type="dxa"/>
              <w:left w:w="85" w:type="dxa"/>
              <w:bottom w:w="0" w:type="dxa"/>
              <w:right w:w="85" w:type="dxa"/>
            </w:tcMar>
          </w:tcPr>
          <w:p w14:paraId="4CB8D38D" w14:textId="77777777" w:rsidR="009327C0" w:rsidRPr="001D5327" w:rsidRDefault="009327C0" w:rsidP="00D11AC9">
            <w:pPr>
              <w:pStyle w:val="TableText"/>
              <w:spacing w:before="40" w:after="40"/>
              <w:jc w:val="right"/>
            </w:pPr>
            <w:r w:rsidRPr="001D5327">
              <w:rPr>
                <w:rFonts w:eastAsia="Calibri"/>
                <w:color w:val="000000"/>
              </w:rPr>
              <w:t>±20</w:t>
            </w:r>
          </w:p>
        </w:tc>
        <w:tc>
          <w:tcPr>
            <w:tcW w:w="0" w:type="auto"/>
            <w:shd w:val="clear" w:color="auto" w:fill="FFFFFF"/>
            <w:tcMar>
              <w:top w:w="0" w:type="dxa"/>
              <w:left w:w="85" w:type="dxa"/>
              <w:bottom w:w="0" w:type="dxa"/>
              <w:right w:w="85" w:type="dxa"/>
            </w:tcMar>
          </w:tcPr>
          <w:p w14:paraId="69989732" w14:textId="77777777" w:rsidR="009327C0" w:rsidRPr="001D5327" w:rsidRDefault="009327C0" w:rsidP="00D11AC9">
            <w:pPr>
              <w:pStyle w:val="TableText"/>
              <w:spacing w:before="40" w:after="40"/>
              <w:jc w:val="right"/>
            </w:pPr>
            <w:r w:rsidRPr="001D5327">
              <w:rPr>
                <w:rFonts w:eastAsia="Calibri"/>
                <w:color w:val="000000"/>
              </w:rPr>
              <w:t>±30</w:t>
            </w:r>
          </w:p>
        </w:tc>
      </w:tr>
      <w:tr w:rsidR="009327C0" w:rsidRPr="001D5327" w14:paraId="6BA1D862" w14:textId="77777777" w:rsidTr="00D11AC9">
        <w:tc>
          <w:tcPr>
            <w:tcW w:w="0" w:type="auto"/>
            <w:shd w:val="clear" w:color="auto" w:fill="FFFFFF"/>
            <w:tcMar>
              <w:top w:w="0" w:type="dxa"/>
              <w:left w:w="85" w:type="dxa"/>
              <w:bottom w:w="0" w:type="dxa"/>
              <w:right w:w="85" w:type="dxa"/>
            </w:tcMar>
          </w:tcPr>
          <w:p w14:paraId="325FA14B" w14:textId="77777777" w:rsidR="009327C0" w:rsidRPr="001D5327" w:rsidRDefault="009327C0" w:rsidP="00D11AC9">
            <w:pPr>
              <w:pStyle w:val="TableText"/>
              <w:spacing w:before="40" w:after="40"/>
            </w:pPr>
            <w:r w:rsidRPr="001D5327">
              <w:rPr>
                <w:rFonts w:eastAsia="Calibri"/>
                <w:color w:val="000000"/>
              </w:rPr>
              <w:t>Medical and other product use (SF</w:t>
            </w:r>
            <w:r w:rsidRPr="001D5327">
              <w:rPr>
                <w:rFonts w:eastAsia="Calibri"/>
                <w:color w:val="000000"/>
                <w:vertAlign w:val="subscript"/>
              </w:rPr>
              <w:t>6</w:t>
            </w:r>
            <w:r w:rsidRPr="001D5327">
              <w:rPr>
                <w:rFonts w:eastAsia="Calibri"/>
                <w:color w:val="000000"/>
              </w:rPr>
              <w:t>)</w:t>
            </w:r>
          </w:p>
        </w:tc>
        <w:tc>
          <w:tcPr>
            <w:tcW w:w="0" w:type="auto"/>
            <w:shd w:val="clear" w:color="auto" w:fill="FFFFFF"/>
            <w:tcMar>
              <w:top w:w="0" w:type="dxa"/>
              <w:left w:w="85" w:type="dxa"/>
              <w:bottom w:w="0" w:type="dxa"/>
              <w:right w:w="85" w:type="dxa"/>
            </w:tcMar>
          </w:tcPr>
          <w:p w14:paraId="19BB7884" w14:textId="77777777" w:rsidR="009327C0" w:rsidRPr="001D5327" w:rsidRDefault="009327C0" w:rsidP="00D11AC9">
            <w:pPr>
              <w:pStyle w:val="TableText"/>
              <w:spacing w:before="40" w:after="40"/>
              <w:jc w:val="right"/>
            </w:pPr>
            <w:r w:rsidRPr="001D5327">
              <w:rPr>
                <w:rFonts w:eastAsia="Calibri"/>
                <w:color w:val="000000"/>
              </w:rPr>
              <w:t>±80</w:t>
            </w:r>
          </w:p>
        </w:tc>
        <w:tc>
          <w:tcPr>
            <w:tcW w:w="0" w:type="auto"/>
            <w:shd w:val="clear" w:color="auto" w:fill="FFFFFF"/>
            <w:tcMar>
              <w:top w:w="0" w:type="dxa"/>
              <w:left w:w="85" w:type="dxa"/>
              <w:bottom w:w="0" w:type="dxa"/>
              <w:right w:w="85" w:type="dxa"/>
            </w:tcMar>
          </w:tcPr>
          <w:p w14:paraId="480B1141" w14:textId="47072F03" w:rsidR="009327C0" w:rsidRPr="001D5327" w:rsidRDefault="00C817BE" w:rsidP="00D11AC9">
            <w:pPr>
              <w:pStyle w:val="TableText"/>
              <w:spacing w:before="40" w:after="40"/>
              <w:jc w:val="right"/>
            </w:pPr>
            <w:r>
              <w:rPr>
                <w:rFonts w:eastAsia="Calibri"/>
                <w:color w:val="000000"/>
              </w:rPr>
              <w:t>-</w:t>
            </w:r>
          </w:p>
        </w:tc>
      </w:tr>
      <w:tr w:rsidR="009327C0" w:rsidRPr="001D5327" w14:paraId="2110258E" w14:textId="77777777" w:rsidTr="00D11AC9">
        <w:tc>
          <w:tcPr>
            <w:tcW w:w="0" w:type="auto"/>
            <w:shd w:val="clear" w:color="auto" w:fill="FFFFFF"/>
            <w:tcMar>
              <w:top w:w="0" w:type="dxa"/>
              <w:left w:w="85" w:type="dxa"/>
              <w:bottom w:w="0" w:type="dxa"/>
              <w:right w:w="85" w:type="dxa"/>
            </w:tcMar>
          </w:tcPr>
          <w:p w14:paraId="3AF7056A" w14:textId="77777777" w:rsidR="009327C0" w:rsidRPr="001D5327" w:rsidRDefault="009327C0" w:rsidP="00D11AC9">
            <w:pPr>
              <w:pStyle w:val="TableText"/>
              <w:spacing w:before="40" w:after="40"/>
            </w:pPr>
            <w:r w:rsidRPr="001D5327">
              <w:rPr>
                <w:rFonts w:eastAsia="Calibri"/>
                <w:color w:val="000000"/>
              </w:rPr>
              <w:t>Medical and other product use (PFCs)</w:t>
            </w:r>
          </w:p>
        </w:tc>
        <w:tc>
          <w:tcPr>
            <w:tcW w:w="0" w:type="auto"/>
            <w:shd w:val="clear" w:color="auto" w:fill="FFFFFF"/>
            <w:tcMar>
              <w:top w:w="0" w:type="dxa"/>
              <w:left w:w="85" w:type="dxa"/>
              <w:bottom w:w="0" w:type="dxa"/>
              <w:right w:w="85" w:type="dxa"/>
            </w:tcMar>
          </w:tcPr>
          <w:p w14:paraId="319776DF" w14:textId="77777777" w:rsidR="009327C0" w:rsidRPr="001D5327" w:rsidRDefault="009327C0" w:rsidP="00D11AC9">
            <w:pPr>
              <w:pStyle w:val="TableText"/>
              <w:spacing w:before="40" w:after="40"/>
              <w:jc w:val="right"/>
            </w:pPr>
            <w:r w:rsidRPr="001D5327">
              <w:rPr>
                <w:rFonts w:eastAsia="Calibri"/>
                <w:color w:val="000000"/>
              </w:rPr>
              <w:t>±80</w:t>
            </w:r>
          </w:p>
        </w:tc>
        <w:tc>
          <w:tcPr>
            <w:tcW w:w="0" w:type="auto"/>
            <w:shd w:val="clear" w:color="auto" w:fill="FFFFFF"/>
            <w:tcMar>
              <w:top w:w="0" w:type="dxa"/>
              <w:left w:w="85" w:type="dxa"/>
              <w:bottom w:w="0" w:type="dxa"/>
              <w:right w:w="85" w:type="dxa"/>
            </w:tcMar>
          </w:tcPr>
          <w:p w14:paraId="1AB807CE" w14:textId="09D813D4" w:rsidR="009327C0" w:rsidRPr="001D5327" w:rsidRDefault="00C817BE" w:rsidP="00D11AC9">
            <w:pPr>
              <w:pStyle w:val="TableText"/>
              <w:spacing w:before="40" w:after="40"/>
              <w:jc w:val="right"/>
            </w:pPr>
            <w:r>
              <w:rPr>
                <w:rFonts w:eastAsia="Calibri"/>
                <w:color w:val="000000"/>
              </w:rPr>
              <w:t>-</w:t>
            </w:r>
          </w:p>
        </w:tc>
      </w:tr>
      <w:tr w:rsidR="009327C0" w:rsidRPr="001D5327" w14:paraId="4563F79A" w14:textId="77777777" w:rsidTr="00D11AC9">
        <w:tc>
          <w:tcPr>
            <w:tcW w:w="0" w:type="auto"/>
            <w:shd w:val="clear" w:color="auto" w:fill="FFFFFF"/>
            <w:tcMar>
              <w:top w:w="0" w:type="dxa"/>
              <w:left w:w="85" w:type="dxa"/>
              <w:bottom w:w="0" w:type="dxa"/>
              <w:right w:w="85" w:type="dxa"/>
            </w:tcMar>
          </w:tcPr>
          <w:p w14:paraId="037D8983" w14:textId="77777777" w:rsidR="009327C0" w:rsidRPr="001D5327" w:rsidRDefault="009327C0" w:rsidP="00D11AC9">
            <w:pPr>
              <w:pStyle w:val="TableText"/>
              <w:spacing w:before="40" w:after="40"/>
            </w:pPr>
            <w:r w:rsidRPr="001D5327">
              <w:rPr>
                <w:rFonts w:eastAsia="Calibri"/>
                <w:color w:val="000000"/>
              </w:rPr>
              <w:t>Nitrous oxide</w:t>
            </w:r>
            <w:r w:rsidRPr="001D5327" w:rsidDel="00920CC5">
              <w:rPr>
                <w:rFonts w:eastAsia="Calibri"/>
                <w:color w:val="000000"/>
              </w:rPr>
              <w:t xml:space="preserve"> </w:t>
            </w:r>
            <w:r w:rsidRPr="001D5327">
              <w:rPr>
                <w:rFonts w:eastAsia="Calibri"/>
                <w:color w:val="000000"/>
              </w:rPr>
              <w:t>from other product uses</w:t>
            </w:r>
          </w:p>
        </w:tc>
        <w:tc>
          <w:tcPr>
            <w:tcW w:w="0" w:type="auto"/>
            <w:shd w:val="clear" w:color="auto" w:fill="FFFFFF"/>
            <w:tcMar>
              <w:top w:w="0" w:type="dxa"/>
              <w:left w:w="85" w:type="dxa"/>
              <w:bottom w:w="0" w:type="dxa"/>
              <w:right w:w="85" w:type="dxa"/>
            </w:tcMar>
          </w:tcPr>
          <w:p w14:paraId="021120AA" w14:textId="77777777" w:rsidR="009327C0" w:rsidRPr="001D5327" w:rsidRDefault="009327C0" w:rsidP="00D11AC9">
            <w:pPr>
              <w:pStyle w:val="TableText"/>
              <w:spacing w:before="40" w:after="40"/>
              <w:jc w:val="right"/>
            </w:pPr>
            <w:r w:rsidRPr="001D5327">
              <w:rPr>
                <w:rFonts w:eastAsia="Calibri"/>
                <w:color w:val="000000"/>
              </w:rPr>
              <w:t>±15</w:t>
            </w:r>
          </w:p>
        </w:tc>
        <w:tc>
          <w:tcPr>
            <w:tcW w:w="0" w:type="auto"/>
            <w:shd w:val="clear" w:color="auto" w:fill="FFFFFF"/>
            <w:tcMar>
              <w:top w:w="0" w:type="dxa"/>
              <w:left w:w="85" w:type="dxa"/>
              <w:bottom w:w="0" w:type="dxa"/>
              <w:right w:w="85" w:type="dxa"/>
            </w:tcMar>
          </w:tcPr>
          <w:p w14:paraId="661EC477" w14:textId="02CDAA8D" w:rsidR="009327C0" w:rsidRPr="001D5327" w:rsidRDefault="00C817BE" w:rsidP="00D11AC9">
            <w:pPr>
              <w:pStyle w:val="TableText"/>
              <w:spacing w:before="40" w:after="40"/>
              <w:jc w:val="right"/>
            </w:pPr>
            <w:r>
              <w:rPr>
                <w:rFonts w:eastAsia="Calibri"/>
                <w:color w:val="000000"/>
              </w:rPr>
              <w:t>-</w:t>
            </w:r>
          </w:p>
        </w:tc>
      </w:tr>
    </w:tbl>
    <w:p w14:paraId="271EAEC8" w14:textId="77777777" w:rsidR="009327C0" w:rsidRPr="001D5327" w:rsidRDefault="009327C0" w:rsidP="009327C0">
      <w:pPr>
        <w:pStyle w:val="Heading4"/>
        <w:spacing w:before="360"/>
      </w:pPr>
      <w:bookmarkStart w:id="562" w:name="time-series-consistency-5"/>
      <w:bookmarkEnd w:id="560"/>
      <w:r w:rsidRPr="001D5327">
        <w:t>Time-series consistency</w:t>
      </w:r>
    </w:p>
    <w:p w14:paraId="5F23EE58" w14:textId="77777777" w:rsidR="009327C0" w:rsidRPr="001D5327" w:rsidRDefault="009327C0" w:rsidP="009327C0">
      <w:pPr>
        <w:pStyle w:val="BodyText"/>
      </w:pPr>
      <w:r w:rsidRPr="001D5327">
        <w:t xml:space="preserve">The implied emission factors for the </w:t>
      </w:r>
      <w:r w:rsidRPr="001D5327">
        <w:rPr>
          <w:i/>
          <w:iCs/>
        </w:rPr>
        <w:t>Electrical equipment</w:t>
      </w:r>
      <w:r w:rsidRPr="001D5327">
        <w:t xml:space="preserve"> category have declined, due to improvements both in data quality and in the actual management of SF</w:t>
      </w:r>
      <w:r w:rsidRPr="001D5327">
        <w:rPr>
          <w:vertAlign w:val="subscript"/>
        </w:rPr>
        <w:t>6</w:t>
      </w:r>
      <w:r w:rsidRPr="001D5327">
        <w:t xml:space="preserve"> utilisation and recovery by Transpower and other users over time. Recovery did not occur before 2000. Imports of SF</w:t>
      </w:r>
      <w:r w:rsidRPr="001D5327">
        <w:rPr>
          <w:vertAlign w:val="subscript"/>
        </w:rPr>
        <w:t>6</w:t>
      </w:r>
      <w:r w:rsidRPr="001D5327">
        <w:t xml:space="preserve"> and N</w:t>
      </w:r>
      <w:r w:rsidRPr="001D5327">
        <w:rPr>
          <w:vertAlign w:val="subscript"/>
        </w:rPr>
        <w:t>2</w:t>
      </w:r>
      <w:r w:rsidRPr="001D5327">
        <w:t>O for other purposes have varied over time.</w:t>
      </w:r>
    </w:p>
    <w:p w14:paraId="007B8EF3" w14:textId="77777777" w:rsidR="009327C0" w:rsidRPr="001D5327" w:rsidRDefault="009327C0" w:rsidP="009327C0">
      <w:pPr>
        <w:pStyle w:val="Heading3"/>
      </w:pPr>
      <w:bookmarkStart w:id="563" w:name="X351b21e8e7b63b231f89d69bfe2546b820386ca"/>
      <w:bookmarkEnd w:id="559"/>
      <w:bookmarkEnd w:id="562"/>
      <w:r w:rsidRPr="001D5327">
        <w:t xml:space="preserve">4.8.4 </w:t>
      </w:r>
      <w:r w:rsidRPr="001D5327">
        <w:tab/>
        <w:t>Category-specific QA/QC and verification</w:t>
      </w:r>
    </w:p>
    <w:p w14:paraId="1F279FC0" w14:textId="77777777" w:rsidR="009327C0" w:rsidRPr="001D5327" w:rsidRDefault="009327C0" w:rsidP="009327C0">
      <w:pPr>
        <w:pStyle w:val="BodyText"/>
      </w:pPr>
      <w:r w:rsidRPr="001D5327">
        <w:rPr>
          <w:i/>
          <w:iCs/>
        </w:rPr>
        <w:t>Other product manufacture and use</w:t>
      </w:r>
      <w:r w:rsidRPr="001D5327">
        <w:t xml:space="preserve"> was a non-key category.</w:t>
      </w:r>
    </w:p>
    <w:p w14:paraId="4E284751" w14:textId="77777777" w:rsidR="009327C0" w:rsidRPr="001D5327" w:rsidRDefault="009327C0" w:rsidP="009327C0">
      <w:pPr>
        <w:pStyle w:val="Heading3"/>
      </w:pPr>
      <w:bookmarkStart w:id="564" w:name="category-specific-recalculations-5"/>
      <w:bookmarkEnd w:id="563"/>
      <w:r w:rsidRPr="001D5327">
        <w:lastRenderedPageBreak/>
        <w:t xml:space="preserve">4.8.5 </w:t>
      </w:r>
      <w:r w:rsidRPr="001D5327">
        <w:tab/>
        <w:t>Category-specific recalculations</w:t>
      </w:r>
    </w:p>
    <w:p w14:paraId="7A44C71A" w14:textId="77777777" w:rsidR="009327C0" w:rsidRPr="001D5327" w:rsidRDefault="009327C0" w:rsidP="009327C0">
      <w:pPr>
        <w:pStyle w:val="BodyText"/>
      </w:pPr>
      <w:r w:rsidRPr="001D5327">
        <w:t>There were no recalculations for the 2025 submission.</w:t>
      </w:r>
    </w:p>
    <w:p w14:paraId="3B971C58" w14:textId="77777777" w:rsidR="009327C0" w:rsidRPr="001D5327" w:rsidRDefault="009327C0" w:rsidP="009327C0">
      <w:pPr>
        <w:pStyle w:val="Heading3"/>
      </w:pPr>
      <w:bookmarkStart w:id="565" w:name="category-specific-planned-improvements-5"/>
      <w:bookmarkEnd w:id="564"/>
      <w:r w:rsidRPr="001D5327">
        <w:t xml:space="preserve">4.8.6 </w:t>
      </w:r>
      <w:r w:rsidRPr="001D5327">
        <w:tab/>
        <w:t>Category-specific planned improvements</w:t>
      </w:r>
    </w:p>
    <w:p w14:paraId="2F272506" w14:textId="77777777" w:rsidR="009327C0" w:rsidRPr="001D5327" w:rsidRDefault="009327C0" w:rsidP="009327C0">
      <w:pPr>
        <w:pStyle w:val="BodyText"/>
      </w:pPr>
      <w:r w:rsidRPr="001D5327">
        <w:t xml:space="preserve">For the </w:t>
      </w:r>
      <w:r w:rsidRPr="001D5327">
        <w:rPr>
          <w:i/>
          <w:iCs/>
        </w:rPr>
        <w:t>Electrical equipment</w:t>
      </w:r>
      <w:r w:rsidRPr="001D5327">
        <w:t xml:space="preserve"> category, it is expected that further improved activity data and more detailed reporting on stocks of SF</w:t>
      </w:r>
      <w:r w:rsidRPr="001D5327">
        <w:rPr>
          <w:vertAlign w:val="subscript"/>
        </w:rPr>
        <w:t>6</w:t>
      </w:r>
      <w:r w:rsidRPr="001D5327">
        <w:t xml:space="preserve"> will become available over time from NZ ETS reporting and from surveys, as SF</w:t>
      </w:r>
      <w:r w:rsidRPr="001D5327">
        <w:rPr>
          <w:vertAlign w:val="subscript"/>
        </w:rPr>
        <w:t>6</w:t>
      </w:r>
      <w:r w:rsidRPr="001D5327">
        <w:t xml:space="preserve"> handling practices in the industry improve. Better information may enable the consistent use of Tier 2 or Tier 3 methods for this category in future submissions.</w:t>
      </w:r>
    </w:p>
    <w:p w14:paraId="0BC434D8" w14:textId="77777777" w:rsidR="009327C0" w:rsidRPr="001D5327" w:rsidRDefault="009327C0" w:rsidP="009327C0">
      <w:pPr>
        <w:pStyle w:val="Heading2"/>
      </w:pPr>
      <w:bookmarkStart w:id="566" w:name="_Toc194312012"/>
      <w:r w:rsidRPr="001D5327">
        <w:t>4.9</w:t>
      </w:r>
      <w:r w:rsidRPr="001D5327">
        <w:tab/>
        <w:t>Other (2.H)</w:t>
      </w:r>
      <w:bookmarkEnd w:id="566"/>
    </w:p>
    <w:p w14:paraId="012BF7E6" w14:textId="77777777" w:rsidR="009327C0" w:rsidRPr="001D5327" w:rsidRDefault="009327C0" w:rsidP="009327C0">
      <w:pPr>
        <w:pStyle w:val="Heading3"/>
        <w:spacing w:before="240"/>
      </w:pPr>
      <w:r w:rsidRPr="001D5327">
        <w:t>4.9.1</w:t>
      </w:r>
      <w:r w:rsidRPr="001D5327">
        <w:tab/>
        <w:t>Description</w:t>
      </w:r>
    </w:p>
    <w:p w14:paraId="0ED1D33A" w14:textId="77777777" w:rsidR="009327C0" w:rsidRPr="001D5327" w:rsidRDefault="009327C0" w:rsidP="009327C0">
      <w:pPr>
        <w:pStyle w:val="BodyText"/>
      </w:pPr>
      <w:r w:rsidRPr="001D5327">
        <w:t xml:space="preserve">This is a new category for New Zealand. </w:t>
      </w:r>
    </w:p>
    <w:p w14:paraId="22A1130B" w14:textId="77777777" w:rsidR="009327C0" w:rsidRPr="001D5327" w:rsidRDefault="009327C0" w:rsidP="009327C0">
      <w:pPr>
        <w:pStyle w:val="BodyText"/>
      </w:pPr>
      <w:r w:rsidRPr="001D5327">
        <w:t xml:space="preserve">The </w:t>
      </w:r>
      <w:r w:rsidRPr="001D5327">
        <w:rPr>
          <w:i/>
        </w:rPr>
        <w:t xml:space="preserve">Other </w:t>
      </w:r>
      <w:r w:rsidRPr="001D5327">
        <w:t xml:space="preserve">category in New Zealand comprises emissions from: </w:t>
      </w:r>
    </w:p>
    <w:p w14:paraId="18644A1A" w14:textId="77777777" w:rsidR="009327C0" w:rsidRPr="001D5327" w:rsidRDefault="009327C0" w:rsidP="009327C0">
      <w:pPr>
        <w:pStyle w:val="Bullet"/>
      </w:pPr>
      <w:r w:rsidRPr="001D5327">
        <w:t xml:space="preserve">pulp and paper production </w:t>
      </w:r>
    </w:p>
    <w:p w14:paraId="5A7B9302" w14:textId="77777777" w:rsidR="009327C0" w:rsidRPr="001D5327" w:rsidRDefault="009327C0" w:rsidP="009327C0">
      <w:pPr>
        <w:pStyle w:val="Bullet"/>
      </w:pPr>
      <w:r w:rsidRPr="001D5327">
        <w:t xml:space="preserve">food and beverage production </w:t>
      </w:r>
    </w:p>
    <w:p w14:paraId="51C3A7D4" w14:textId="77777777" w:rsidR="009327C0" w:rsidRPr="001D5327" w:rsidRDefault="009327C0" w:rsidP="009327C0">
      <w:pPr>
        <w:pStyle w:val="Bullet"/>
      </w:pPr>
      <w:r w:rsidRPr="001D5327">
        <w:t>fibreboard production</w:t>
      </w:r>
    </w:p>
    <w:p w14:paraId="5A0A47FB" w14:textId="77777777" w:rsidR="009327C0" w:rsidRPr="001D5327" w:rsidRDefault="009327C0" w:rsidP="009327C0">
      <w:pPr>
        <w:pStyle w:val="Bullet"/>
      </w:pPr>
      <w:r w:rsidRPr="001D5327">
        <w:t>particleboard production</w:t>
      </w:r>
    </w:p>
    <w:p w14:paraId="57784B76" w14:textId="77777777" w:rsidR="009327C0" w:rsidRPr="001D5327" w:rsidRDefault="009327C0" w:rsidP="009327C0">
      <w:pPr>
        <w:pStyle w:val="Bullet"/>
      </w:pPr>
      <w:r w:rsidRPr="001D5327">
        <w:t>liquid carbon dioxide consumption.</w:t>
      </w:r>
    </w:p>
    <w:p w14:paraId="3CF3E18F" w14:textId="77777777" w:rsidR="009327C0" w:rsidRPr="001D5327" w:rsidRDefault="009327C0" w:rsidP="009327C0">
      <w:pPr>
        <w:pStyle w:val="BodyText"/>
      </w:pPr>
      <w:r w:rsidRPr="001D5327">
        <w:t xml:space="preserve">Pulp and paper production, food and beverage production, fibreboard production and particleboard production were reported under 2.G </w:t>
      </w:r>
      <w:r w:rsidRPr="001D5327">
        <w:rPr>
          <w:i/>
          <w:iCs/>
        </w:rPr>
        <w:t>Other product manufacture and use</w:t>
      </w:r>
      <w:r w:rsidRPr="001D5327">
        <w:t xml:space="preserve"> in previous inventories and now are moved under 2.H to comply with the CRT format. </w:t>
      </w:r>
    </w:p>
    <w:p w14:paraId="7320EFCE" w14:textId="77777777" w:rsidR="009327C0" w:rsidRPr="001D5327" w:rsidRDefault="009327C0" w:rsidP="009327C0">
      <w:pPr>
        <w:pStyle w:val="BodyText"/>
      </w:pPr>
      <w:r w:rsidRPr="001D5327">
        <w:t>Small amounts of indirect emissions (NMVOC and SO</w:t>
      </w:r>
      <w:r w:rsidRPr="001D5327">
        <w:rPr>
          <w:vertAlign w:val="subscript"/>
        </w:rPr>
        <w:t>2</w:t>
      </w:r>
      <w:r w:rsidRPr="001D5327">
        <w:t xml:space="preserve">) are reported from the manufacture of food and drink, pulp and paper, and board products (fibreboard and particleboard). </w:t>
      </w:r>
    </w:p>
    <w:p w14:paraId="519CAF44" w14:textId="77777777" w:rsidR="009327C0" w:rsidRPr="001D5327" w:rsidRDefault="009327C0" w:rsidP="009327C0">
      <w:pPr>
        <w:pStyle w:val="BodyText"/>
      </w:pPr>
      <w:r w:rsidRPr="001D5327">
        <w:t xml:space="preserve">Imported liquid carbon dioxide has now been added in the national inventory, along with domestic production of liquid carbon dioxide that was previously included under the </w:t>
      </w:r>
      <w:r w:rsidRPr="00C123A2">
        <w:t>Energy sector</w:t>
      </w:r>
      <w:r w:rsidRPr="001D5327">
        <w:t xml:space="preserve"> category 1.A.1 </w:t>
      </w:r>
      <w:r w:rsidRPr="00711FF4">
        <w:rPr>
          <w:i/>
          <w:iCs/>
        </w:rPr>
        <w:t>Energy industries</w:t>
      </w:r>
      <w:r w:rsidRPr="001D5327">
        <w:t xml:space="preserve">. </w:t>
      </w:r>
    </w:p>
    <w:p w14:paraId="02FCA03E" w14:textId="77777777" w:rsidR="009327C0" w:rsidRPr="001D5327" w:rsidRDefault="009327C0" w:rsidP="009327C0">
      <w:pPr>
        <w:pStyle w:val="BodyText"/>
      </w:pPr>
      <w:r w:rsidRPr="001D5327">
        <w:rPr>
          <w:spacing w:val="-2"/>
        </w:rPr>
        <w:t>In 2023,</w:t>
      </w:r>
      <w:r w:rsidRPr="001D5327" w:rsidDel="00BE193D">
        <w:rPr>
          <w:spacing w:val="-2"/>
        </w:rPr>
        <w:t xml:space="preserve"> </w:t>
      </w:r>
      <w:r w:rsidRPr="001D5327">
        <w:rPr>
          <w:spacing w:val="-2"/>
        </w:rPr>
        <w:t xml:space="preserve">emissions from 2.H </w:t>
      </w:r>
      <w:r w:rsidRPr="001D5327">
        <w:rPr>
          <w:i/>
          <w:spacing w:val="-2"/>
        </w:rPr>
        <w:t xml:space="preserve">Other </w:t>
      </w:r>
      <w:r w:rsidRPr="001D5327">
        <w:rPr>
          <w:spacing w:val="-2"/>
        </w:rPr>
        <w:t>totalled 36.9 kt CO</w:t>
      </w:r>
      <w:r w:rsidRPr="001D5327">
        <w:rPr>
          <w:spacing w:val="-2"/>
          <w:vertAlign w:val="subscript"/>
        </w:rPr>
        <w:t>2</w:t>
      </w:r>
      <w:r w:rsidRPr="001D5327">
        <w:rPr>
          <w:spacing w:val="-2"/>
        </w:rPr>
        <w:t>-e</w:t>
      </w:r>
      <w:r w:rsidRPr="001D5327">
        <w:t xml:space="preserve"> or 0.9 per cent of emissions from the IPPU sector. This is an increase of 24.4 kt (195.5 per cent) from the emissions in 1990.</w:t>
      </w:r>
    </w:p>
    <w:p w14:paraId="309C2A83" w14:textId="77777777" w:rsidR="009327C0" w:rsidRPr="001D5327" w:rsidRDefault="009327C0" w:rsidP="009327C0">
      <w:pPr>
        <w:pStyle w:val="BodyText"/>
        <w:spacing w:before="100"/>
      </w:pPr>
      <w:r w:rsidRPr="001D5327">
        <w:t xml:space="preserve">There are no key categories. </w:t>
      </w:r>
    </w:p>
    <w:p w14:paraId="7217C213" w14:textId="77777777" w:rsidR="009327C0" w:rsidRPr="001D5327" w:rsidRDefault="009327C0" w:rsidP="009327C0">
      <w:pPr>
        <w:pStyle w:val="Heading3"/>
      </w:pPr>
      <w:r w:rsidRPr="001D5327">
        <w:t xml:space="preserve">4.9.2 </w:t>
      </w:r>
      <w:r w:rsidRPr="001D5327">
        <w:tab/>
        <w:t>Methodological issues</w:t>
      </w:r>
    </w:p>
    <w:p w14:paraId="147D459F" w14:textId="77777777" w:rsidR="009327C0" w:rsidRPr="001D5327" w:rsidRDefault="009327C0" w:rsidP="009327C0">
      <w:pPr>
        <w:pStyle w:val="Heading4"/>
      </w:pPr>
      <w:r w:rsidRPr="001D5327">
        <w:t>Choice of activity data</w:t>
      </w:r>
    </w:p>
    <w:p w14:paraId="24E49BD6" w14:textId="77777777" w:rsidR="009327C0" w:rsidRPr="001D5327" w:rsidRDefault="009327C0" w:rsidP="009327C0">
      <w:pPr>
        <w:pStyle w:val="Heading5"/>
        <w:spacing w:before="120"/>
      </w:pPr>
      <w:r w:rsidRPr="001D5327">
        <w:t>Carbon dioxide consumption (2.H.3)</w:t>
      </w:r>
    </w:p>
    <w:p w14:paraId="713B279F" w14:textId="77777777" w:rsidR="009327C0" w:rsidRPr="001D5327" w:rsidRDefault="009327C0" w:rsidP="009327C0">
      <w:pPr>
        <w:pStyle w:val="BodyText"/>
      </w:pPr>
      <w:r w:rsidRPr="001D5327">
        <w:t xml:space="preserve">The activity data (tonnes of liquid carbon dioxide) are provided by MBIE. The data is the sum of imported liquid carbon dioxide and domestic production of liquid carbon dioxide, which was previously included as an emission at the point of manufacture and reported under the </w:t>
      </w:r>
      <w:r w:rsidRPr="001D5327">
        <w:rPr>
          <w:i/>
          <w:iCs/>
        </w:rPr>
        <w:t>Energy sector</w:t>
      </w:r>
      <w:r w:rsidRPr="001D5327">
        <w:t xml:space="preserve"> category 1.A.1 </w:t>
      </w:r>
      <w:r w:rsidRPr="001D5327">
        <w:rPr>
          <w:i/>
          <w:iCs/>
        </w:rPr>
        <w:t>Energy industries</w:t>
      </w:r>
      <w:r w:rsidRPr="001D5327">
        <w:t xml:space="preserve">. </w:t>
      </w:r>
    </w:p>
    <w:p w14:paraId="056BF886" w14:textId="77777777" w:rsidR="009327C0" w:rsidRPr="001D5327" w:rsidRDefault="009327C0" w:rsidP="009327C0">
      <w:pPr>
        <w:pStyle w:val="Heading4"/>
        <w:rPr>
          <w:bCs/>
          <w:iCs/>
        </w:rPr>
      </w:pPr>
      <w:r w:rsidRPr="001D5327">
        <w:lastRenderedPageBreak/>
        <w:t>Choice of methods</w:t>
      </w:r>
    </w:p>
    <w:p w14:paraId="1A29E69A" w14:textId="77777777" w:rsidR="009327C0" w:rsidRPr="001D5327" w:rsidRDefault="009327C0" w:rsidP="009327C0">
      <w:pPr>
        <w:pStyle w:val="Heading5"/>
        <w:spacing w:before="120"/>
      </w:pPr>
      <w:r w:rsidRPr="001D5327">
        <w:t>Carbon dioxide consumption (2.H.3)</w:t>
      </w:r>
    </w:p>
    <w:p w14:paraId="54806515" w14:textId="77777777" w:rsidR="009327C0" w:rsidRPr="001D5327" w:rsidRDefault="009327C0" w:rsidP="009327C0">
      <w:pPr>
        <w:pStyle w:val="BodyText"/>
      </w:pPr>
      <w:r w:rsidRPr="001D5327">
        <w:t>No set method was provided by the IPCC (2006a). In this case, no calculation was needed.</w:t>
      </w:r>
    </w:p>
    <w:p w14:paraId="5CB2A6E0" w14:textId="77777777" w:rsidR="009327C0" w:rsidRPr="001D5327" w:rsidRDefault="009327C0" w:rsidP="009327C0">
      <w:pPr>
        <w:pStyle w:val="Heading4"/>
        <w:rPr>
          <w:bCs/>
          <w:iCs/>
        </w:rPr>
      </w:pPr>
      <w:r w:rsidRPr="001D5327">
        <w:t>Choice of emission factors</w:t>
      </w:r>
    </w:p>
    <w:p w14:paraId="4CB8CDD2" w14:textId="77777777" w:rsidR="009327C0" w:rsidRPr="001D5327" w:rsidRDefault="009327C0" w:rsidP="009327C0">
      <w:pPr>
        <w:pStyle w:val="Heading5"/>
        <w:spacing w:before="120"/>
      </w:pPr>
      <w:r w:rsidRPr="001D5327">
        <w:t>Carbon dioxide consumption (2.H.3)</w:t>
      </w:r>
    </w:p>
    <w:p w14:paraId="68BCC116" w14:textId="77777777" w:rsidR="009327C0" w:rsidRPr="001D5327" w:rsidRDefault="009327C0" w:rsidP="009327C0">
      <w:pPr>
        <w:pStyle w:val="BodyText"/>
      </w:pPr>
      <w:r w:rsidRPr="001D5327">
        <w:t>Carbon dioxide has a default of emission factor of 1.</w:t>
      </w:r>
    </w:p>
    <w:p w14:paraId="2C4853FE" w14:textId="77777777" w:rsidR="009327C0" w:rsidRPr="001D5327" w:rsidRDefault="009327C0" w:rsidP="009327C0">
      <w:pPr>
        <w:pStyle w:val="Heading3"/>
      </w:pPr>
      <w:r w:rsidRPr="001D5327">
        <w:t xml:space="preserve">4.9.3 </w:t>
      </w:r>
      <w:r w:rsidRPr="001D5327">
        <w:tab/>
        <w:t>Uncertainty assessment and time-series consistency</w:t>
      </w:r>
    </w:p>
    <w:p w14:paraId="6DCAF96F" w14:textId="77777777" w:rsidR="009327C0" w:rsidRPr="001D5327" w:rsidRDefault="009327C0" w:rsidP="009327C0">
      <w:pPr>
        <w:pStyle w:val="Heading4"/>
        <w:rPr>
          <w:bCs/>
          <w:iCs/>
        </w:rPr>
      </w:pPr>
      <w:r w:rsidRPr="001D5327">
        <w:t>Uncertainties and Time-series consistency</w:t>
      </w:r>
    </w:p>
    <w:p w14:paraId="1ED00014" w14:textId="77777777" w:rsidR="009327C0" w:rsidRPr="001D5327" w:rsidRDefault="009327C0" w:rsidP="009327C0">
      <w:pPr>
        <w:pStyle w:val="BodyText"/>
      </w:pPr>
      <w:r w:rsidRPr="001D5327">
        <w:t xml:space="preserve">No IPCC default uncertainties were given. Imports of liquid carbon dioxide for consumption have varied over time. </w:t>
      </w:r>
    </w:p>
    <w:p w14:paraId="2C9FB058" w14:textId="77777777" w:rsidR="009327C0" w:rsidRPr="001D5327" w:rsidRDefault="009327C0" w:rsidP="009327C0">
      <w:pPr>
        <w:pStyle w:val="Heading3"/>
      </w:pPr>
      <w:r w:rsidRPr="001D5327">
        <w:t>4.9.4</w:t>
      </w:r>
      <w:r w:rsidRPr="001D5327">
        <w:tab/>
        <w:t>Category-specific QA/QC and verification</w:t>
      </w:r>
    </w:p>
    <w:p w14:paraId="053CF8D6" w14:textId="77777777" w:rsidR="009327C0" w:rsidRPr="001D5327" w:rsidRDefault="009327C0" w:rsidP="009327C0">
      <w:pPr>
        <w:pStyle w:val="BodyText"/>
      </w:pPr>
      <w:r w:rsidRPr="001D5327">
        <w:rPr>
          <w:iCs/>
        </w:rPr>
        <w:t>This category</w:t>
      </w:r>
      <w:r w:rsidRPr="001D5327">
        <w:rPr>
          <w:i/>
        </w:rPr>
        <w:t xml:space="preserve"> </w:t>
      </w:r>
      <w:r w:rsidRPr="001D5327">
        <w:t xml:space="preserve">was a non-key category. </w:t>
      </w:r>
    </w:p>
    <w:p w14:paraId="0F22ED8E" w14:textId="77777777" w:rsidR="009327C0" w:rsidRPr="001D5327" w:rsidRDefault="009327C0" w:rsidP="009327C0">
      <w:pPr>
        <w:pStyle w:val="Heading3"/>
      </w:pPr>
      <w:r w:rsidRPr="001D5327">
        <w:t>4.9.5</w:t>
      </w:r>
      <w:r w:rsidRPr="001D5327">
        <w:tab/>
        <w:t>Category-specific recalculations</w:t>
      </w:r>
    </w:p>
    <w:p w14:paraId="4A0022D2" w14:textId="77777777" w:rsidR="009327C0" w:rsidRPr="001D5327" w:rsidRDefault="009327C0" w:rsidP="009327C0">
      <w:pPr>
        <w:pStyle w:val="BodyText"/>
      </w:pPr>
      <w:r w:rsidRPr="001D5327">
        <w:t>There are no recalculations for the 2025 submission.</w:t>
      </w:r>
    </w:p>
    <w:p w14:paraId="0244C203" w14:textId="77777777" w:rsidR="009327C0" w:rsidRPr="001D5327" w:rsidRDefault="009327C0" w:rsidP="009327C0">
      <w:pPr>
        <w:pStyle w:val="Heading3"/>
      </w:pPr>
      <w:r w:rsidRPr="001D5327">
        <w:t>4.9.6</w:t>
      </w:r>
      <w:r w:rsidRPr="001D5327">
        <w:tab/>
        <w:t>Category-specific planned improvements</w:t>
      </w:r>
    </w:p>
    <w:p w14:paraId="22D399E6" w14:textId="77777777" w:rsidR="009327C0" w:rsidRPr="001D5327" w:rsidRDefault="009327C0" w:rsidP="009327C0">
      <w:pPr>
        <w:pStyle w:val="BodyText"/>
      </w:pPr>
      <w:r w:rsidRPr="001D5327">
        <w:t xml:space="preserve">There were no planned improvements for this category. </w:t>
      </w:r>
    </w:p>
    <w:p w14:paraId="2AC3D7DD" w14:textId="77777777" w:rsidR="009327C0" w:rsidRPr="001D5327" w:rsidRDefault="009327C0" w:rsidP="009327C0">
      <w:r w:rsidRPr="001D5327">
        <w:br w:type="page"/>
      </w:r>
    </w:p>
    <w:p w14:paraId="363CF275" w14:textId="77777777" w:rsidR="009327C0" w:rsidRPr="001D5327" w:rsidRDefault="009327C0" w:rsidP="009327C0">
      <w:pPr>
        <w:pStyle w:val="Heading2"/>
        <w:spacing w:after="360"/>
      </w:pPr>
      <w:bookmarkStart w:id="567" w:name="_Toc194312013"/>
      <w:bookmarkStart w:id="568" w:name="chapter-4-references"/>
      <w:bookmarkEnd w:id="546"/>
      <w:bookmarkEnd w:id="565"/>
      <w:r w:rsidRPr="001D5327">
        <w:lastRenderedPageBreak/>
        <w:t>Chapter 4: References</w:t>
      </w:r>
      <w:bookmarkEnd w:id="567"/>
    </w:p>
    <w:p w14:paraId="5B2E3CAE" w14:textId="77777777" w:rsidR="009327C0" w:rsidRPr="001D5327" w:rsidRDefault="009327C0" w:rsidP="009327C0">
      <w:pPr>
        <w:pStyle w:val="References"/>
      </w:pPr>
      <w:r w:rsidRPr="001D5327">
        <w:t xml:space="preserve">Christie T, Thompson B, Brathwaite B. 1999. </w:t>
      </w:r>
      <w:r w:rsidRPr="001D5327">
        <w:rPr>
          <w:i/>
          <w:iCs/>
        </w:rPr>
        <w:t>Mineral Commodity Report 20 – Clays</w:t>
      </w:r>
      <w:r w:rsidRPr="001D5327">
        <w:t>. Wellington: Institute of Geological and Nuclear Sciences.</w:t>
      </w:r>
    </w:p>
    <w:p w14:paraId="17DAD8AC" w14:textId="77777777" w:rsidR="009327C0" w:rsidRPr="001D5327" w:rsidRDefault="009327C0" w:rsidP="009327C0">
      <w:pPr>
        <w:pStyle w:val="References"/>
      </w:pPr>
      <w:r w:rsidRPr="001D5327">
        <w:t>CRL Energy Ltd. Unpublished(a). Hennessy W, Maxwell D. Inventory of HFC, PFC and SF</w:t>
      </w:r>
      <w:r w:rsidRPr="001D5327">
        <w:rPr>
          <w:vertAlign w:val="subscript"/>
        </w:rPr>
        <w:t>6</w:t>
      </w:r>
      <w:r w:rsidRPr="001D5327">
        <w:t xml:space="preserve"> Emissions for New Zealand 2004–2005. A report by CRL Energy Ltd to the Ministry for the Environment in 2006.</w:t>
      </w:r>
    </w:p>
    <w:p w14:paraId="41B702D2" w14:textId="3B8FE471" w:rsidR="009327C0" w:rsidRPr="001D5327" w:rsidRDefault="009327C0" w:rsidP="009327C0">
      <w:pPr>
        <w:pStyle w:val="References"/>
      </w:pPr>
      <w:r w:rsidRPr="001D5327">
        <w:t>CRL Energy Ltd. Unpublished(b). Hennessy W, Maxwell D. Inventory of Non-CO</w:t>
      </w:r>
      <w:r w:rsidRPr="001D5327">
        <w:rPr>
          <w:vertAlign w:val="subscript"/>
        </w:rPr>
        <w:t>2</w:t>
      </w:r>
      <w:r w:rsidRPr="001D5327">
        <w:t xml:space="preserve"> Greenhouse Gas Emissions from Industrial Sources and Solvents for New Zealand 2004–2005. A report by CRL Energy Ltd</w:t>
      </w:r>
      <w:r w:rsidR="00435A78" w:rsidRPr="001D5327">
        <w:t> </w:t>
      </w:r>
      <w:r w:rsidRPr="001D5327">
        <w:t>to the Ministry for the Environment in 2006.</w:t>
      </w:r>
    </w:p>
    <w:p w14:paraId="24F3FEF1" w14:textId="77777777" w:rsidR="009327C0" w:rsidRPr="001D5327" w:rsidRDefault="009327C0" w:rsidP="009327C0">
      <w:pPr>
        <w:pStyle w:val="References"/>
      </w:pPr>
      <w:r w:rsidRPr="001D5327">
        <w:t xml:space="preserve">International Aluminium Institute. 2006. </w:t>
      </w:r>
      <w:r w:rsidRPr="001D5327">
        <w:rPr>
          <w:i/>
          <w:iCs/>
        </w:rPr>
        <w:t>The Aluminium Sector Greenhouse Gas Protocol</w:t>
      </w:r>
      <w:r w:rsidRPr="001D5327">
        <w:t>. London: International Aluminium Institute.</w:t>
      </w:r>
    </w:p>
    <w:p w14:paraId="3F88366C" w14:textId="77777777" w:rsidR="009327C0" w:rsidRPr="001D5327" w:rsidRDefault="009327C0" w:rsidP="009327C0">
      <w:pPr>
        <w:pStyle w:val="References"/>
      </w:pPr>
      <w:r w:rsidRPr="001D5327">
        <w:t xml:space="preserve">IPCC. 2006a. Eggleston HS, Buendia L, Miwa K, Ngara T, Tanabe K (eds). </w:t>
      </w:r>
      <w:r w:rsidRPr="001D5327">
        <w:rPr>
          <w:i/>
          <w:iCs/>
        </w:rPr>
        <w:t>2006 IPCC Guidelines for National Greenhouse Gas Inventories. Volume 3. Industrial Processes and Product Use</w:t>
      </w:r>
      <w:r w:rsidRPr="001D5327">
        <w:t>. IPCC National Greenhouse Gas Inventories Programme. Japan: Institute for Global Environmental Strategies for IPCC.</w:t>
      </w:r>
    </w:p>
    <w:p w14:paraId="679CA306" w14:textId="77777777" w:rsidR="009327C0" w:rsidRPr="001D5327" w:rsidRDefault="009327C0" w:rsidP="009327C0">
      <w:pPr>
        <w:pStyle w:val="References"/>
      </w:pPr>
      <w:r w:rsidRPr="001D5327">
        <w:t xml:space="preserve">IPCC. 2006b. Eggleston HS, Buendia L, Miwa K, Ngara T, Tanabe K (eds). </w:t>
      </w:r>
      <w:r w:rsidRPr="001D5327">
        <w:rPr>
          <w:i/>
          <w:iCs/>
        </w:rPr>
        <w:t>2006 IPCC Guidelines for National Greenhouse Gas Inventories. Volume 2. Energy.</w:t>
      </w:r>
      <w:r w:rsidRPr="001D5327">
        <w:t xml:space="preserve"> IPCC National Greenhouse Gas Inventories Programme. Japan: Institute for Global Environmental Strategies for IPCC.</w:t>
      </w:r>
    </w:p>
    <w:p w14:paraId="7F271C8E" w14:textId="77777777" w:rsidR="009327C0" w:rsidRPr="001D5327" w:rsidRDefault="009327C0" w:rsidP="009327C0">
      <w:pPr>
        <w:pStyle w:val="References"/>
      </w:pPr>
      <w:r w:rsidRPr="001D5327">
        <w:t xml:space="preserve">Ure CR. 2000. Alternative Iron-making at BHP New Zealand Steel. In: </w:t>
      </w:r>
      <w:r w:rsidRPr="001D5327">
        <w:rPr>
          <w:i/>
          <w:iCs/>
        </w:rPr>
        <w:t>58th Electric Furnace Conference and 17th Process Technology Conference Proceedings.</w:t>
      </w:r>
      <w:r w:rsidRPr="001D5327">
        <w:t xml:space="preserve"> Orlando, FL: Iron and Steel Society. 12–15 November 2000. pp 535–546.</w:t>
      </w:r>
    </w:p>
    <w:p w14:paraId="1A7F6BB3" w14:textId="77777777" w:rsidR="009327C0" w:rsidRPr="001D5327" w:rsidRDefault="009327C0" w:rsidP="009327C0">
      <w:pPr>
        <w:pStyle w:val="References"/>
      </w:pPr>
      <w:r w:rsidRPr="001D5327">
        <w:t>Verum Group Ltd. Unpublished. Hennessy W. Inventory of HFC, SF</w:t>
      </w:r>
      <w:r w:rsidRPr="001D5327">
        <w:rPr>
          <w:vertAlign w:val="subscript"/>
        </w:rPr>
        <w:t>6</w:t>
      </w:r>
      <w:r w:rsidRPr="001D5327">
        <w:t xml:space="preserve"> and Other Industrial Process Emissions for New Zealand 2024. A report by Verum Group Ltd to the Ministry for the Environment in 2024.</w:t>
      </w:r>
    </w:p>
    <w:p w14:paraId="25536C19" w14:textId="77777777" w:rsidR="009327C0" w:rsidRPr="001D5327" w:rsidRDefault="009327C0" w:rsidP="009327C0">
      <w:pPr>
        <w:pStyle w:val="References"/>
      </w:pPr>
      <w:r w:rsidRPr="001D5327">
        <w:t xml:space="preserve">World Business Council for Sustainable Development. 2005. </w:t>
      </w:r>
      <w:r w:rsidRPr="001D5327">
        <w:rPr>
          <w:i/>
          <w:iCs/>
        </w:rPr>
        <w:t>The Cement CO</w:t>
      </w:r>
      <w:r w:rsidRPr="001D5327">
        <w:rPr>
          <w:i/>
          <w:iCs/>
          <w:vertAlign w:val="subscript"/>
        </w:rPr>
        <w:t>2</w:t>
      </w:r>
      <w:r w:rsidRPr="001D5327">
        <w:rPr>
          <w:i/>
          <w:iCs/>
        </w:rPr>
        <w:t xml:space="preserve"> Protocol: CO</w:t>
      </w:r>
      <w:r w:rsidRPr="001D5327">
        <w:rPr>
          <w:i/>
          <w:iCs/>
          <w:vertAlign w:val="subscript"/>
        </w:rPr>
        <w:t>2</w:t>
      </w:r>
      <w:r w:rsidRPr="001D5327">
        <w:rPr>
          <w:i/>
          <w:iCs/>
        </w:rPr>
        <w:t xml:space="preserve"> Accounting and Reporting Standard for the Cement Industry.</w:t>
      </w:r>
      <w:r w:rsidRPr="001D5327">
        <w:t xml:space="preserve"> Switzerland: World Business Council for Sustainable Development.</w:t>
      </w:r>
      <w:bookmarkEnd w:id="401"/>
      <w:bookmarkEnd w:id="568"/>
    </w:p>
    <w:p w14:paraId="085CDD93" w14:textId="77777777" w:rsidR="008447D4" w:rsidRPr="001D5327" w:rsidRDefault="008447D4" w:rsidP="00737799"/>
    <w:p w14:paraId="246BBE87" w14:textId="77777777" w:rsidR="00590FE1" w:rsidRPr="001D5327" w:rsidRDefault="00590FE1" w:rsidP="00737799"/>
    <w:p w14:paraId="4A99A460" w14:textId="77777777" w:rsidR="00590FE1" w:rsidRPr="001D5327" w:rsidRDefault="00590FE1" w:rsidP="00737799">
      <w:pPr>
        <w:sectPr w:rsidR="00590FE1" w:rsidRPr="001D5327" w:rsidSect="003B16F1">
          <w:footerReference w:type="even" r:id="rId89"/>
          <w:footerReference w:type="default" r:id="rId90"/>
          <w:pgSz w:w="11907" w:h="16840" w:code="9"/>
          <w:pgMar w:top="1418" w:right="1701" w:bottom="1418" w:left="1701" w:header="567" w:footer="567" w:gutter="0"/>
          <w:cols w:space="720"/>
        </w:sectPr>
      </w:pPr>
    </w:p>
    <w:p w14:paraId="2BA90A38" w14:textId="77777777" w:rsidR="00590FE1" w:rsidRPr="001D5327" w:rsidRDefault="00590FE1" w:rsidP="00590FE1">
      <w:pPr>
        <w:pStyle w:val="Heading1"/>
      </w:pPr>
      <w:bookmarkStart w:id="569" w:name="_Toc36224400"/>
      <w:bookmarkStart w:id="570" w:name="_Toc68786320"/>
      <w:bookmarkStart w:id="571" w:name="_Toc131591235"/>
      <w:bookmarkStart w:id="572" w:name="_Toc164154189"/>
      <w:bookmarkStart w:id="573" w:name="_Toc194312014"/>
      <w:bookmarkStart w:id="574" w:name="_Toc481751384"/>
      <w:bookmarkStart w:id="575" w:name="_Toc511116599"/>
      <w:bookmarkStart w:id="576" w:name="_Toc5269361"/>
      <w:bookmarkStart w:id="577" w:name="_Toc32570642"/>
      <w:bookmarkStart w:id="578" w:name="_Toc36224401"/>
      <w:bookmarkStart w:id="579" w:name="_Toc68786321"/>
      <w:bookmarkStart w:id="580" w:name="_Toc131591236"/>
      <w:r w:rsidRPr="001D5327">
        <w:lastRenderedPageBreak/>
        <w:t>Chapter 5: Agriculture</w:t>
      </w:r>
      <w:bookmarkEnd w:id="569"/>
      <w:bookmarkEnd w:id="570"/>
      <w:bookmarkEnd w:id="571"/>
      <w:bookmarkEnd w:id="572"/>
      <w:bookmarkEnd w:id="573"/>
    </w:p>
    <w:p w14:paraId="0EF9D120" w14:textId="77777777" w:rsidR="00590FE1" w:rsidRPr="001D5327" w:rsidRDefault="00590FE1" w:rsidP="00590FE1">
      <w:pPr>
        <w:pStyle w:val="Heading2"/>
        <w:spacing w:before="0"/>
      </w:pPr>
      <w:bookmarkStart w:id="581" w:name="_Toc164154190"/>
      <w:bookmarkStart w:id="582" w:name="_Toc194312015"/>
      <w:bookmarkEnd w:id="574"/>
      <w:bookmarkEnd w:id="575"/>
      <w:bookmarkEnd w:id="576"/>
      <w:bookmarkEnd w:id="577"/>
      <w:bookmarkEnd w:id="578"/>
      <w:bookmarkEnd w:id="579"/>
      <w:bookmarkEnd w:id="580"/>
      <w:r w:rsidRPr="001D5327">
        <w:t xml:space="preserve">5.1 </w:t>
      </w:r>
      <w:r w:rsidRPr="001D5327">
        <w:tab/>
        <w:t>Sector overview</w:t>
      </w:r>
      <w:bookmarkEnd w:id="581"/>
      <w:bookmarkEnd w:id="582"/>
    </w:p>
    <w:p w14:paraId="20D876BE" w14:textId="77777777" w:rsidR="00590FE1" w:rsidRPr="001D5327" w:rsidRDefault="00590FE1" w:rsidP="00590FE1">
      <w:pPr>
        <w:pStyle w:val="Heading4"/>
      </w:pPr>
      <w:r w:rsidRPr="001D5327">
        <w:t xml:space="preserve">Emissions summary </w:t>
      </w:r>
    </w:p>
    <w:p w14:paraId="2B5020C1" w14:textId="77777777" w:rsidR="00590FE1" w:rsidRPr="001D5327" w:rsidRDefault="00590FE1" w:rsidP="00590FE1">
      <w:pPr>
        <w:pStyle w:val="Heading5"/>
        <w:spacing w:before="180"/>
      </w:pPr>
      <w:r w:rsidRPr="001D5327">
        <w:t>2023</w:t>
      </w:r>
    </w:p>
    <w:p w14:paraId="3C055BC3" w14:textId="77777777" w:rsidR="00590FE1" w:rsidRPr="001D5327" w:rsidRDefault="00590FE1" w:rsidP="00590FE1">
      <w:pPr>
        <w:pStyle w:val="BodyText"/>
      </w:pPr>
      <w:r w:rsidRPr="001D5327">
        <w:t>In 2023, emissions from the Agriculture sector totalled 40,613.0 kilotonnes carbon dioxide equivalent (kt CO</w:t>
      </w:r>
      <w:r w:rsidRPr="001D5327">
        <w:rPr>
          <w:vertAlign w:val="subscript"/>
        </w:rPr>
        <w:t>2</w:t>
      </w:r>
      <w:r w:rsidRPr="001D5327">
        <w:t xml:space="preserve">-e), representing 53.1 per cent of New Zealand’s gross emissions in 2023. </w:t>
      </w:r>
    </w:p>
    <w:p w14:paraId="349E24E7" w14:textId="77777777" w:rsidR="00590FE1" w:rsidRPr="001D5327" w:rsidRDefault="00590FE1" w:rsidP="00590FE1">
      <w:pPr>
        <w:pStyle w:val="BodyText"/>
      </w:pPr>
      <w:r w:rsidRPr="001D5327">
        <w:t xml:space="preserve">Methane from </w:t>
      </w:r>
      <w:r w:rsidRPr="001D5327">
        <w:rPr>
          <w:i/>
          <w:iCs/>
        </w:rPr>
        <w:t>Enteric fermentation</w:t>
      </w:r>
      <w:r w:rsidRPr="001D5327">
        <w:t xml:space="preserve"> was the main source of Agriculture emissions, contributing 78.0 per cent (31,661.7 kt CO</w:t>
      </w:r>
      <w:r w:rsidRPr="001D5327">
        <w:rPr>
          <w:vertAlign w:val="subscript"/>
        </w:rPr>
        <w:t>2</w:t>
      </w:r>
      <w:r w:rsidRPr="001D5327">
        <w:t xml:space="preserve">-e) of the sector’s emissions. </w:t>
      </w:r>
      <w:r w:rsidRPr="001D5327">
        <w:rPr>
          <w:i/>
          <w:iCs/>
        </w:rPr>
        <w:t xml:space="preserve">Agricultural soils </w:t>
      </w:r>
      <w:r w:rsidRPr="001D5327">
        <w:t xml:space="preserve">(15.7 per cent) were the second largest source followed by </w:t>
      </w:r>
      <w:r w:rsidRPr="001D5327">
        <w:rPr>
          <w:i/>
          <w:iCs/>
        </w:rPr>
        <w:t xml:space="preserve">Manure management </w:t>
      </w:r>
      <w:r w:rsidRPr="001D5327">
        <w:t xml:space="preserve">(4.6 per cent). </w:t>
      </w:r>
      <w:r w:rsidRPr="001D5327">
        <w:rPr>
          <w:i/>
          <w:iCs/>
        </w:rPr>
        <w:t xml:space="preserve">Urea application </w:t>
      </w:r>
      <w:r w:rsidRPr="001D5327">
        <w:t xml:space="preserve">and </w:t>
      </w:r>
      <w:r w:rsidRPr="001D5327">
        <w:rPr>
          <w:i/>
          <w:iCs/>
        </w:rPr>
        <w:t>Liming</w:t>
      </w:r>
      <w:r w:rsidRPr="001D5327">
        <w:t xml:space="preserve"> contributed 1.0 per cent and 0.7 per cent respectivel</w:t>
      </w:r>
      <w:bookmarkStart w:id="583" w:name="statsNZref"/>
      <w:bookmarkEnd w:id="583"/>
      <w:r w:rsidRPr="001D5327">
        <w:t xml:space="preserve">y. </w:t>
      </w:r>
      <w:r w:rsidRPr="001D5327">
        <w:rPr>
          <w:i/>
          <w:iCs/>
        </w:rPr>
        <w:t>Field burning of agricultural residues</w:t>
      </w:r>
      <w:r w:rsidRPr="001D5327">
        <w:t xml:space="preserve"> contributed less than 0.1 per cent. </w:t>
      </w:r>
    </w:p>
    <w:p w14:paraId="31FA7C53" w14:textId="77777777" w:rsidR="00590FE1" w:rsidRPr="001D5327" w:rsidRDefault="00590FE1" w:rsidP="00590FE1">
      <w:pPr>
        <w:pStyle w:val="BodyText"/>
      </w:pPr>
      <w:r w:rsidRPr="001D5327">
        <w:rPr>
          <w:spacing w:val="-2"/>
        </w:rPr>
        <w:t>Methane (CH</w:t>
      </w:r>
      <w:r w:rsidRPr="001D5327">
        <w:rPr>
          <w:spacing w:val="-2"/>
          <w:vertAlign w:val="subscript"/>
        </w:rPr>
        <w:t>4</w:t>
      </w:r>
      <w:r w:rsidRPr="001D5327">
        <w:rPr>
          <w:spacing w:val="-2"/>
        </w:rPr>
        <w:t xml:space="preserve">) emissions from </w:t>
      </w:r>
      <w:r w:rsidRPr="001D5327">
        <w:rPr>
          <w:i/>
          <w:iCs/>
          <w:spacing w:val="-2"/>
        </w:rPr>
        <w:t>Enteric fermentation</w:t>
      </w:r>
      <w:r w:rsidRPr="001D5327">
        <w:rPr>
          <w:spacing w:val="-2"/>
        </w:rPr>
        <w:t xml:space="preserve"> contributed 41.</w:t>
      </w:r>
      <w:r w:rsidRPr="001D5327">
        <w:t xml:space="preserve">4 </w:t>
      </w:r>
      <w:r w:rsidRPr="001D5327">
        <w:rPr>
          <w:spacing w:val="-2"/>
        </w:rPr>
        <w:t xml:space="preserve">per cent of </w:t>
      </w:r>
      <w:r w:rsidRPr="001D5327">
        <w:t>New Zealand’s gross emissions, and nitrous oxide (N</w:t>
      </w:r>
      <w:r w:rsidRPr="001D5327">
        <w:rPr>
          <w:vertAlign w:val="subscript"/>
        </w:rPr>
        <w:t>2</w:t>
      </w:r>
      <w:r w:rsidRPr="001D5327">
        <w:t xml:space="preserve">O) emissions from the </w:t>
      </w:r>
      <w:r w:rsidRPr="001D5327">
        <w:rPr>
          <w:i/>
          <w:iCs/>
        </w:rPr>
        <w:t>Agricultural soils</w:t>
      </w:r>
      <w:r w:rsidRPr="001D5327">
        <w:t xml:space="preserve"> category contributed 8.3 per cent of New Zealand’s gross emissions.</w:t>
      </w:r>
    </w:p>
    <w:p w14:paraId="71803DC9" w14:textId="77777777" w:rsidR="00590FE1" w:rsidRPr="001D5327" w:rsidRDefault="00590FE1" w:rsidP="00590FE1">
      <w:pPr>
        <w:pStyle w:val="BodyText"/>
      </w:pPr>
      <w:r w:rsidRPr="001D5327">
        <w:t>New Zealand reports emissions from Tokelau, which is a dependent territory of New Zealand. Due to the application of different methods and the complexity of integrating emissions within the main sectors, Tokelau emissions are reported for all activities under the ‘Other’ sector of the Inventory. Therefore, all emissions reported in this sector exclude Tokelau. Please refer to chapter 8 and annex 7 for details of methods applied and the emissions for Tokelau.</w:t>
      </w:r>
    </w:p>
    <w:p w14:paraId="5FCF4CB7" w14:textId="77777777" w:rsidR="00590FE1" w:rsidRPr="001D5327" w:rsidRDefault="00590FE1" w:rsidP="00590FE1">
      <w:pPr>
        <w:pStyle w:val="Heading5"/>
      </w:pPr>
      <w:r w:rsidRPr="001D5327">
        <w:t>1990–2023</w:t>
      </w:r>
    </w:p>
    <w:p w14:paraId="2EBEFCB2" w14:textId="77777777" w:rsidR="00590FE1" w:rsidRPr="001D5327" w:rsidRDefault="00590FE1" w:rsidP="00590FE1">
      <w:pPr>
        <w:pStyle w:val="BodyText"/>
      </w:pPr>
      <w:r w:rsidRPr="001D5327">
        <w:t xml:space="preserve">In 2023, New Zealand’s Agriculture sector emissions were 10.0 per cent (3,697.9 kt </w:t>
      </w:r>
      <w:r w:rsidRPr="001D5327">
        <w:rPr>
          <w:spacing w:val="-2"/>
        </w:rPr>
        <w:t>CO</w:t>
      </w:r>
      <w:r w:rsidRPr="001D5327">
        <w:rPr>
          <w:spacing w:val="-2"/>
          <w:vertAlign w:val="subscript"/>
        </w:rPr>
        <w:t>2</w:t>
      </w:r>
      <w:r w:rsidRPr="001D5327">
        <w:rPr>
          <w:spacing w:val="-2"/>
        </w:rPr>
        <w:t>-e</w:t>
      </w:r>
      <w:r w:rsidRPr="001D5327">
        <w:t xml:space="preserve">) above the 1990 level (36,915.1 kt </w:t>
      </w:r>
      <w:r w:rsidRPr="001D5327">
        <w:rPr>
          <w:spacing w:val="-2"/>
        </w:rPr>
        <w:t>CO</w:t>
      </w:r>
      <w:r w:rsidRPr="001D5327">
        <w:rPr>
          <w:spacing w:val="-2"/>
          <w:vertAlign w:val="subscript"/>
        </w:rPr>
        <w:t>2</w:t>
      </w:r>
      <w:r w:rsidRPr="001D5327">
        <w:rPr>
          <w:spacing w:val="-2"/>
        </w:rPr>
        <w:t>-e</w:t>
      </w:r>
      <w:r w:rsidRPr="001D5327">
        <w:t>) (table 5.1.1).</w:t>
      </w:r>
    </w:p>
    <w:p w14:paraId="6FF107F0" w14:textId="77777777" w:rsidR="00590FE1" w:rsidRPr="001D5327" w:rsidRDefault="00590FE1" w:rsidP="00590FE1">
      <w:pPr>
        <w:pStyle w:val="Table"/>
        <w:rPr>
          <w:rFonts w:cs="Calibri"/>
        </w:rPr>
      </w:pPr>
      <w:bookmarkStart w:id="584" w:name="_Toc32570909"/>
      <w:bookmarkStart w:id="585" w:name="_Toc36224544"/>
      <w:bookmarkStart w:id="586" w:name="_Toc68786430"/>
      <w:bookmarkStart w:id="587" w:name="_Toc95574065"/>
      <w:bookmarkStart w:id="588" w:name="_Toc127458248"/>
      <w:bookmarkStart w:id="589" w:name="_Toc131591344"/>
      <w:bookmarkStart w:id="590" w:name="_Toc160114434"/>
      <w:bookmarkStart w:id="591" w:name="_Toc164153830"/>
      <w:bookmarkStart w:id="592" w:name="_Toc194241697"/>
      <w:r w:rsidRPr="001D5327">
        <w:rPr>
          <w:rFonts w:cs="Calibri"/>
        </w:rPr>
        <w:t xml:space="preserve">Table 5.1.1 </w:t>
      </w:r>
      <w:r w:rsidRPr="001D5327">
        <w:rPr>
          <w:rFonts w:cs="Calibri"/>
        </w:rPr>
        <w:tab/>
        <w:t xml:space="preserve">Trends and relative contribution of </w:t>
      </w:r>
      <w:r w:rsidRPr="001D5327">
        <w:t>New Zealand’s</w:t>
      </w:r>
      <w:r w:rsidRPr="001D5327">
        <w:rPr>
          <w:rFonts w:cs="Calibri"/>
        </w:rPr>
        <w:t xml:space="preserve"> agricultural greenhouse gas emissions by category between 1990 and </w:t>
      </w:r>
      <w:bookmarkEnd w:id="584"/>
      <w:bookmarkEnd w:id="585"/>
      <w:bookmarkEnd w:id="586"/>
      <w:bookmarkEnd w:id="587"/>
      <w:r w:rsidRPr="001D5327">
        <w:rPr>
          <w:rFonts w:cs="Calibri"/>
        </w:rPr>
        <w:t>202</w:t>
      </w:r>
      <w:bookmarkEnd w:id="588"/>
      <w:bookmarkEnd w:id="589"/>
      <w:r w:rsidRPr="001D5327">
        <w:rPr>
          <w:rFonts w:cs="Calibri"/>
        </w:rPr>
        <w:t>2</w:t>
      </w:r>
      <w:bookmarkEnd w:id="590"/>
      <w:bookmarkEnd w:id="591"/>
      <w:bookmarkEnd w:id="592"/>
    </w:p>
    <w:tbl>
      <w:tblPr>
        <w:tblW w:w="8437" w:type="dxa"/>
        <w:tblBorders>
          <w:top w:val="single" w:sz="4" w:space="0" w:color="1B556B"/>
          <w:bottom w:val="single" w:sz="4" w:space="0" w:color="1B556B"/>
          <w:insideH w:val="single" w:sz="4" w:space="0" w:color="1B556B"/>
        </w:tblBorders>
        <w:tblLayout w:type="fixed"/>
        <w:tblCellMar>
          <w:right w:w="85" w:type="dxa"/>
        </w:tblCellMar>
        <w:tblLook w:val="04A0" w:firstRow="1" w:lastRow="0" w:firstColumn="1" w:lastColumn="0" w:noHBand="0" w:noVBand="1"/>
      </w:tblPr>
      <w:tblGrid>
        <w:gridCol w:w="3206"/>
        <w:gridCol w:w="796"/>
        <w:gridCol w:w="894"/>
        <w:gridCol w:w="1002"/>
        <w:gridCol w:w="989"/>
        <w:gridCol w:w="824"/>
        <w:gridCol w:w="726"/>
      </w:tblGrid>
      <w:tr w:rsidR="00590FE1" w:rsidRPr="001D5327" w14:paraId="1E9EA896" w14:textId="77777777" w:rsidTr="00403787">
        <w:tc>
          <w:tcPr>
            <w:tcW w:w="3206" w:type="dxa"/>
            <w:shd w:val="clear" w:color="auto" w:fill="1B556B"/>
            <w:vAlign w:val="bottom"/>
          </w:tcPr>
          <w:p w14:paraId="0CCA62C6" w14:textId="77777777" w:rsidR="00590FE1" w:rsidRPr="001D5327" w:rsidRDefault="00590FE1" w:rsidP="00403787">
            <w:pPr>
              <w:pStyle w:val="TableTextBold"/>
              <w:spacing w:before="40"/>
              <w:rPr>
                <w:noProof w:val="0"/>
                <w:color w:val="FFFFFF" w:themeColor="background1"/>
                <w:szCs w:val="16"/>
              </w:rPr>
            </w:pPr>
            <w:bookmarkStart w:id="593" w:name="_Hlk153455080"/>
          </w:p>
        </w:tc>
        <w:tc>
          <w:tcPr>
            <w:tcW w:w="1690" w:type="dxa"/>
            <w:gridSpan w:val="2"/>
            <w:shd w:val="clear" w:color="auto" w:fill="1B556B"/>
            <w:vAlign w:val="bottom"/>
          </w:tcPr>
          <w:p w14:paraId="4B3BFEA6" w14:textId="77777777" w:rsidR="00590FE1" w:rsidRPr="001D5327" w:rsidRDefault="00590FE1" w:rsidP="00403787">
            <w:pPr>
              <w:pStyle w:val="TableTextBold"/>
              <w:spacing w:before="40" w:after="0"/>
              <w:jc w:val="center"/>
              <w:rPr>
                <w:noProof w:val="0"/>
                <w:color w:val="FFFFFF" w:themeColor="background1"/>
                <w:szCs w:val="16"/>
              </w:rPr>
            </w:pPr>
            <w:r w:rsidRPr="001D5327">
              <w:rPr>
                <w:noProof w:val="0"/>
                <w:color w:val="FFFFFF" w:themeColor="background1"/>
                <w:szCs w:val="16"/>
              </w:rPr>
              <w:t>Emissions</w:t>
            </w:r>
            <w:r w:rsidRPr="001D5327">
              <w:rPr>
                <w:noProof w:val="0"/>
                <w:color w:val="FFFFFF" w:themeColor="background1"/>
                <w:szCs w:val="16"/>
              </w:rPr>
              <w:br/>
              <w:t>(kt CO</w:t>
            </w:r>
            <w:r w:rsidRPr="001D5327">
              <w:rPr>
                <w:noProof w:val="0"/>
                <w:color w:val="FFFFFF" w:themeColor="background1"/>
                <w:szCs w:val="16"/>
                <w:vertAlign w:val="subscript"/>
              </w:rPr>
              <w:t>2</w:t>
            </w:r>
            <w:r w:rsidRPr="001D5327">
              <w:rPr>
                <w:noProof w:val="0"/>
                <w:color w:val="FFFFFF" w:themeColor="background1"/>
                <w:szCs w:val="16"/>
              </w:rPr>
              <w:t>-e)</w:t>
            </w:r>
          </w:p>
        </w:tc>
        <w:tc>
          <w:tcPr>
            <w:tcW w:w="1002" w:type="dxa"/>
            <w:shd w:val="clear" w:color="auto" w:fill="1B556B"/>
            <w:vAlign w:val="bottom"/>
          </w:tcPr>
          <w:p w14:paraId="57A51366" w14:textId="77777777" w:rsidR="00590FE1" w:rsidRPr="001D5327" w:rsidRDefault="00590FE1" w:rsidP="00403787">
            <w:pPr>
              <w:pStyle w:val="TableTextBold"/>
              <w:spacing w:before="40" w:after="0"/>
              <w:jc w:val="center"/>
              <w:rPr>
                <w:noProof w:val="0"/>
                <w:color w:val="FFFFFF" w:themeColor="background1"/>
                <w:szCs w:val="16"/>
              </w:rPr>
            </w:pPr>
            <w:r w:rsidRPr="001D5327">
              <w:rPr>
                <w:noProof w:val="0"/>
                <w:color w:val="FFFFFF" w:themeColor="background1"/>
                <w:szCs w:val="16"/>
              </w:rPr>
              <w:t>Change</w:t>
            </w:r>
            <w:r w:rsidRPr="001D5327">
              <w:rPr>
                <w:noProof w:val="0"/>
                <w:color w:val="FFFFFF" w:themeColor="background1"/>
                <w:szCs w:val="16"/>
              </w:rPr>
              <w:br/>
              <w:t>(%)</w:t>
            </w:r>
          </w:p>
        </w:tc>
        <w:tc>
          <w:tcPr>
            <w:tcW w:w="989" w:type="dxa"/>
            <w:shd w:val="clear" w:color="auto" w:fill="1B556B"/>
            <w:vAlign w:val="bottom"/>
          </w:tcPr>
          <w:p w14:paraId="72E61BE0" w14:textId="77777777" w:rsidR="00590FE1" w:rsidRPr="001D5327" w:rsidRDefault="00590FE1" w:rsidP="00403787">
            <w:pPr>
              <w:pStyle w:val="TableTextBold"/>
              <w:spacing w:before="40" w:after="0"/>
              <w:jc w:val="center"/>
              <w:rPr>
                <w:noProof w:val="0"/>
                <w:color w:val="FFFFFF" w:themeColor="background1"/>
                <w:szCs w:val="16"/>
              </w:rPr>
            </w:pPr>
            <w:r w:rsidRPr="001D5327">
              <w:rPr>
                <w:noProof w:val="0"/>
                <w:color w:val="FFFFFF" w:themeColor="background1"/>
                <w:szCs w:val="16"/>
              </w:rPr>
              <w:t>Difference</w:t>
            </w:r>
            <w:r w:rsidRPr="001D5327">
              <w:rPr>
                <w:noProof w:val="0"/>
                <w:color w:val="FFFFFF" w:themeColor="background1"/>
                <w:szCs w:val="16"/>
              </w:rPr>
              <w:br/>
              <w:t>(kt CO</w:t>
            </w:r>
            <w:r w:rsidRPr="001D5327">
              <w:rPr>
                <w:noProof w:val="0"/>
                <w:color w:val="FFFFFF" w:themeColor="background1"/>
                <w:szCs w:val="16"/>
                <w:vertAlign w:val="subscript"/>
              </w:rPr>
              <w:t>2</w:t>
            </w:r>
            <w:r w:rsidRPr="001D5327">
              <w:rPr>
                <w:noProof w:val="0"/>
                <w:color w:val="FFFFFF" w:themeColor="background1"/>
                <w:szCs w:val="16"/>
              </w:rPr>
              <w:t>-e)</w:t>
            </w:r>
          </w:p>
        </w:tc>
        <w:tc>
          <w:tcPr>
            <w:tcW w:w="1550" w:type="dxa"/>
            <w:gridSpan w:val="2"/>
            <w:shd w:val="clear" w:color="auto" w:fill="1B556B"/>
            <w:vAlign w:val="bottom"/>
          </w:tcPr>
          <w:p w14:paraId="00C848D4" w14:textId="77777777" w:rsidR="00590FE1" w:rsidRPr="001D5327" w:rsidRDefault="00590FE1" w:rsidP="00403787">
            <w:pPr>
              <w:pStyle w:val="TableTextBold"/>
              <w:spacing w:before="40" w:after="0"/>
              <w:jc w:val="center"/>
              <w:rPr>
                <w:noProof w:val="0"/>
                <w:color w:val="FFFFFF" w:themeColor="background1"/>
                <w:szCs w:val="16"/>
              </w:rPr>
            </w:pPr>
            <w:r w:rsidRPr="001D5327">
              <w:rPr>
                <w:noProof w:val="0"/>
                <w:color w:val="FFFFFF" w:themeColor="background1"/>
                <w:szCs w:val="16"/>
              </w:rPr>
              <w:t>Share (%) of sector</w:t>
            </w:r>
          </w:p>
        </w:tc>
      </w:tr>
      <w:tr w:rsidR="00590FE1" w:rsidRPr="001D5327" w14:paraId="3EEE093D" w14:textId="77777777" w:rsidTr="00403787">
        <w:tc>
          <w:tcPr>
            <w:tcW w:w="3206" w:type="dxa"/>
            <w:shd w:val="clear" w:color="auto" w:fill="1B556B"/>
          </w:tcPr>
          <w:p w14:paraId="47B6457B" w14:textId="77777777" w:rsidR="00590FE1" w:rsidRPr="001D5327" w:rsidRDefault="00590FE1" w:rsidP="00403787">
            <w:pPr>
              <w:pStyle w:val="TableTextBold"/>
              <w:spacing w:before="40" w:after="40"/>
              <w:rPr>
                <w:noProof w:val="0"/>
                <w:color w:val="FFFFFF" w:themeColor="background1"/>
                <w:szCs w:val="16"/>
              </w:rPr>
            </w:pPr>
            <w:r w:rsidRPr="001D5327">
              <w:rPr>
                <w:noProof w:val="0"/>
                <w:color w:val="FFFFFF" w:themeColor="background1"/>
                <w:szCs w:val="16"/>
              </w:rPr>
              <w:t>Category</w:t>
            </w:r>
          </w:p>
        </w:tc>
        <w:tc>
          <w:tcPr>
            <w:tcW w:w="796" w:type="dxa"/>
            <w:shd w:val="clear" w:color="auto" w:fill="1B556B"/>
            <w:vAlign w:val="bottom"/>
          </w:tcPr>
          <w:p w14:paraId="36944D7F" w14:textId="77777777" w:rsidR="00590FE1" w:rsidRPr="001D5327" w:rsidRDefault="00590FE1" w:rsidP="00403787">
            <w:pPr>
              <w:pStyle w:val="TableTextBold"/>
              <w:spacing w:before="40" w:after="40"/>
              <w:jc w:val="right"/>
              <w:rPr>
                <w:noProof w:val="0"/>
                <w:color w:val="FFFFFF" w:themeColor="background1"/>
                <w:szCs w:val="16"/>
              </w:rPr>
            </w:pPr>
            <w:r w:rsidRPr="001D5327">
              <w:rPr>
                <w:noProof w:val="0"/>
                <w:color w:val="FFFFFF" w:themeColor="background1"/>
                <w:szCs w:val="16"/>
              </w:rPr>
              <w:t>1990</w:t>
            </w:r>
          </w:p>
        </w:tc>
        <w:tc>
          <w:tcPr>
            <w:tcW w:w="894" w:type="dxa"/>
            <w:shd w:val="clear" w:color="auto" w:fill="1B556B"/>
            <w:vAlign w:val="bottom"/>
          </w:tcPr>
          <w:p w14:paraId="726DE025" w14:textId="77777777" w:rsidR="00590FE1" w:rsidRPr="001D5327" w:rsidRDefault="00590FE1" w:rsidP="00403787">
            <w:pPr>
              <w:pStyle w:val="TableTextBold"/>
              <w:spacing w:before="40" w:after="40"/>
              <w:jc w:val="right"/>
              <w:rPr>
                <w:noProof w:val="0"/>
                <w:color w:val="FFFFFF" w:themeColor="background1"/>
                <w:szCs w:val="16"/>
              </w:rPr>
            </w:pPr>
            <w:r w:rsidRPr="001D5327">
              <w:rPr>
                <w:noProof w:val="0"/>
                <w:color w:val="FFFFFF" w:themeColor="background1"/>
              </w:rPr>
              <w:t>2023</w:t>
            </w:r>
          </w:p>
        </w:tc>
        <w:tc>
          <w:tcPr>
            <w:tcW w:w="1002" w:type="dxa"/>
            <w:shd w:val="clear" w:color="auto" w:fill="1B556B"/>
            <w:vAlign w:val="bottom"/>
          </w:tcPr>
          <w:p w14:paraId="7C3CD191" w14:textId="77777777" w:rsidR="00590FE1" w:rsidRPr="001D5327" w:rsidRDefault="00590FE1" w:rsidP="00403787">
            <w:pPr>
              <w:pStyle w:val="TableTextBold"/>
              <w:spacing w:before="40" w:after="40"/>
              <w:jc w:val="right"/>
              <w:rPr>
                <w:noProof w:val="0"/>
                <w:color w:val="FFFFFF" w:themeColor="background1"/>
                <w:szCs w:val="16"/>
              </w:rPr>
            </w:pPr>
            <w:r w:rsidRPr="001D5327">
              <w:rPr>
                <w:noProof w:val="0"/>
                <w:color w:val="FFFFFF" w:themeColor="background1"/>
                <w:szCs w:val="16"/>
              </w:rPr>
              <w:t>1990–2023</w:t>
            </w:r>
          </w:p>
        </w:tc>
        <w:tc>
          <w:tcPr>
            <w:tcW w:w="989" w:type="dxa"/>
            <w:shd w:val="clear" w:color="auto" w:fill="1B556B"/>
            <w:vAlign w:val="bottom"/>
          </w:tcPr>
          <w:p w14:paraId="444097B2" w14:textId="77777777" w:rsidR="00590FE1" w:rsidRPr="001D5327" w:rsidRDefault="00590FE1" w:rsidP="00403787">
            <w:pPr>
              <w:pStyle w:val="TableTextBold"/>
              <w:spacing w:before="40" w:after="40"/>
              <w:jc w:val="right"/>
              <w:rPr>
                <w:noProof w:val="0"/>
                <w:color w:val="FFFFFF" w:themeColor="background1"/>
                <w:szCs w:val="16"/>
              </w:rPr>
            </w:pPr>
            <w:r w:rsidRPr="001D5327">
              <w:rPr>
                <w:noProof w:val="0"/>
                <w:color w:val="FFFFFF" w:themeColor="background1"/>
                <w:szCs w:val="16"/>
              </w:rPr>
              <w:t>1990–2023</w:t>
            </w:r>
          </w:p>
        </w:tc>
        <w:tc>
          <w:tcPr>
            <w:tcW w:w="824" w:type="dxa"/>
            <w:shd w:val="clear" w:color="auto" w:fill="1B556B"/>
            <w:tcMar>
              <w:right w:w="85" w:type="dxa"/>
            </w:tcMar>
          </w:tcPr>
          <w:p w14:paraId="7D08506B" w14:textId="77777777" w:rsidR="00590FE1" w:rsidRPr="001D5327" w:rsidRDefault="00590FE1" w:rsidP="00403787">
            <w:pPr>
              <w:pStyle w:val="TableTextBold"/>
              <w:spacing w:before="40" w:after="40"/>
              <w:jc w:val="right"/>
              <w:rPr>
                <w:noProof w:val="0"/>
                <w:color w:val="FFFFFF" w:themeColor="background1"/>
                <w:szCs w:val="16"/>
              </w:rPr>
            </w:pPr>
            <w:r w:rsidRPr="001D5327">
              <w:rPr>
                <w:noProof w:val="0"/>
                <w:color w:val="FFFFFF" w:themeColor="background1"/>
                <w:szCs w:val="16"/>
              </w:rPr>
              <w:t>1990</w:t>
            </w:r>
          </w:p>
        </w:tc>
        <w:tc>
          <w:tcPr>
            <w:tcW w:w="726" w:type="dxa"/>
            <w:shd w:val="clear" w:color="auto" w:fill="1B556B"/>
            <w:tcMar>
              <w:right w:w="85" w:type="dxa"/>
            </w:tcMar>
          </w:tcPr>
          <w:p w14:paraId="43020106" w14:textId="77777777" w:rsidR="00590FE1" w:rsidRPr="001D5327" w:rsidRDefault="00590FE1" w:rsidP="00403787">
            <w:pPr>
              <w:pStyle w:val="TableTextBold"/>
              <w:spacing w:before="40" w:after="40"/>
              <w:jc w:val="right"/>
              <w:rPr>
                <w:noProof w:val="0"/>
                <w:color w:val="FFFFFF" w:themeColor="background1"/>
                <w:szCs w:val="16"/>
              </w:rPr>
            </w:pPr>
            <w:r w:rsidRPr="001D5327">
              <w:rPr>
                <w:noProof w:val="0"/>
                <w:color w:val="FFFFFF" w:themeColor="background1"/>
              </w:rPr>
              <w:t>2023</w:t>
            </w:r>
          </w:p>
        </w:tc>
      </w:tr>
      <w:tr w:rsidR="00590FE1" w:rsidRPr="001D5327" w14:paraId="7C3741F0" w14:textId="77777777" w:rsidTr="00403787">
        <w:tc>
          <w:tcPr>
            <w:tcW w:w="3206" w:type="dxa"/>
            <w:shd w:val="clear" w:color="auto" w:fill="auto"/>
            <w:vAlign w:val="bottom"/>
          </w:tcPr>
          <w:p w14:paraId="4CE53CA1" w14:textId="77777777" w:rsidR="00590FE1" w:rsidRPr="001D5327" w:rsidRDefault="00590FE1" w:rsidP="00403787">
            <w:pPr>
              <w:pStyle w:val="TableText"/>
              <w:spacing w:before="40" w:after="40"/>
              <w:rPr>
                <w:rFonts w:cs="Calibri"/>
                <w:szCs w:val="16"/>
              </w:rPr>
            </w:pPr>
            <w:r w:rsidRPr="001D5327">
              <w:rPr>
                <w:rFonts w:cs="Calibri"/>
                <w:szCs w:val="16"/>
              </w:rPr>
              <w:t>Enteric fermentation (3.A)</w:t>
            </w:r>
          </w:p>
        </w:tc>
        <w:tc>
          <w:tcPr>
            <w:tcW w:w="796" w:type="dxa"/>
            <w:shd w:val="clear" w:color="auto" w:fill="auto"/>
          </w:tcPr>
          <w:p w14:paraId="1153D3AB" w14:textId="77777777" w:rsidR="00590FE1" w:rsidRPr="001D5327" w:rsidRDefault="00590FE1" w:rsidP="00403787">
            <w:pPr>
              <w:pStyle w:val="TableText"/>
              <w:spacing w:before="40" w:after="40"/>
              <w:jc w:val="right"/>
              <w:rPr>
                <w:rFonts w:cs="Calibri"/>
                <w:szCs w:val="16"/>
              </w:rPr>
            </w:pPr>
            <w:r w:rsidRPr="001D5327">
              <w:t>31,034.9</w:t>
            </w:r>
          </w:p>
        </w:tc>
        <w:tc>
          <w:tcPr>
            <w:tcW w:w="894" w:type="dxa"/>
            <w:shd w:val="clear" w:color="auto" w:fill="auto"/>
          </w:tcPr>
          <w:p w14:paraId="57EBFF2B" w14:textId="77777777" w:rsidR="00590FE1" w:rsidRPr="001D5327" w:rsidRDefault="00590FE1" w:rsidP="00403787">
            <w:pPr>
              <w:pStyle w:val="TableText"/>
              <w:spacing w:before="40" w:after="40"/>
              <w:jc w:val="right"/>
              <w:rPr>
                <w:rFonts w:cs="Calibri"/>
                <w:szCs w:val="16"/>
              </w:rPr>
            </w:pPr>
            <w:r w:rsidRPr="001D5327">
              <w:t>31,661.7</w:t>
            </w:r>
          </w:p>
        </w:tc>
        <w:tc>
          <w:tcPr>
            <w:tcW w:w="1002" w:type="dxa"/>
            <w:shd w:val="clear" w:color="auto" w:fill="auto"/>
          </w:tcPr>
          <w:p w14:paraId="13A8E95E" w14:textId="77777777" w:rsidR="00590FE1" w:rsidRPr="001D5327" w:rsidRDefault="00590FE1" w:rsidP="00403787">
            <w:pPr>
              <w:pStyle w:val="TableText"/>
              <w:spacing w:before="40" w:after="40"/>
              <w:jc w:val="right"/>
              <w:rPr>
                <w:rFonts w:cs="Calibri"/>
                <w:szCs w:val="16"/>
              </w:rPr>
            </w:pPr>
            <w:r w:rsidRPr="001D5327">
              <w:t>2.0</w:t>
            </w:r>
          </w:p>
        </w:tc>
        <w:tc>
          <w:tcPr>
            <w:tcW w:w="989" w:type="dxa"/>
            <w:shd w:val="clear" w:color="auto" w:fill="auto"/>
          </w:tcPr>
          <w:p w14:paraId="520D7F55" w14:textId="77777777" w:rsidR="00590FE1" w:rsidRPr="001D5327" w:rsidRDefault="00590FE1" w:rsidP="00403787">
            <w:pPr>
              <w:pStyle w:val="TableText"/>
              <w:spacing w:before="40" w:after="40"/>
              <w:jc w:val="right"/>
              <w:rPr>
                <w:rFonts w:cs="Calibri"/>
                <w:szCs w:val="16"/>
              </w:rPr>
            </w:pPr>
            <w:r w:rsidRPr="001D5327">
              <w:t>626.8</w:t>
            </w:r>
          </w:p>
        </w:tc>
        <w:tc>
          <w:tcPr>
            <w:tcW w:w="824" w:type="dxa"/>
            <w:shd w:val="clear" w:color="auto" w:fill="auto"/>
          </w:tcPr>
          <w:p w14:paraId="6ADAC4F4" w14:textId="77777777" w:rsidR="00590FE1" w:rsidRPr="001D5327" w:rsidRDefault="00590FE1" w:rsidP="00403787">
            <w:pPr>
              <w:pStyle w:val="TableText"/>
              <w:spacing w:before="40" w:after="40"/>
              <w:jc w:val="right"/>
              <w:rPr>
                <w:rFonts w:cs="Calibri"/>
                <w:szCs w:val="16"/>
              </w:rPr>
            </w:pPr>
            <w:r w:rsidRPr="001D5327">
              <w:t>84.1</w:t>
            </w:r>
          </w:p>
        </w:tc>
        <w:tc>
          <w:tcPr>
            <w:tcW w:w="726" w:type="dxa"/>
            <w:shd w:val="clear" w:color="auto" w:fill="auto"/>
          </w:tcPr>
          <w:p w14:paraId="65C2C61D" w14:textId="77777777" w:rsidR="00590FE1" w:rsidRPr="001D5327" w:rsidRDefault="00590FE1" w:rsidP="00403787">
            <w:pPr>
              <w:pStyle w:val="TableText"/>
              <w:spacing w:before="40" w:after="40"/>
              <w:jc w:val="right"/>
              <w:rPr>
                <w:rFonts w:cs="Calibri"/>
                <w:szCs w:val="16"/>
              </w:rPr>
            </w:pPr>
            <w:r w:rsidRPr="001D5327">
              <w:t>78.0</w:t>
            </w:r>
          </w:p>
        </w:tc>
      </w:tr>
      <w:tr w:rsidR="00590FE1" w:rsidRPr="001D5327" w14:paraId="52890971" w14:textId="77777777" w:rsidTr="00403787">
        <w:tc>
          <w:tcPr>
            <w:tcW w:w="3206" w:type="dxa"/>
            <w:shd w:val="clear" w:color="auto" w:fill="auto"/>
            <w:vAlign w:val="bottom"/>
          </w:tcPr>
          <w:p w14:paraId="6EE99A9B" w14:textId="77777777" w:rsidR="00590FE1" w:rsidRPr="001D5327" w:rsidRDefault="00590FE1" w:rsidP="00403787">
            <w:pPr>
              <w:pStyle w:val="TableText"/>
              <w:spacing w:before="40" w:after="40"/>
              <w:rPr>
                <w:rFonts w:cs="Calibri"/>
                <w:szCs w:val="16"/>
              </w:rPr>
            </w:pPr>
            <w:r w:rsidRPr="001D5327">
              <w:rPr>
                <w:rFonts w:cs="Calibri"/>
                <w:szCs w:val="16"/>
              </w:rPr>
              <w:t>Manure management (3.B)</w:t>
            </w:r>
          </w:p>
        </w:tc>
        <w:tc>
          <w:tcPr>
            <w:tcW w:w="796" w:type="dxa"/>
            <w:shd w:val="clear" w:color="auto" w:fill="auto"/>
          </w:tcPr>
          <w:p w14:paraId="12DD276B" w14:textId="77777777" w:rsidR="00590FE1" w:rsidRPr="001D5327" w:rsidRDefault="00590FE1" w:rsidP="00403787">
            <w:pPr>
              <w:pStyle w:val="TableText"/>
              <w:spacing w:before="40" w:after="40"/>
              <w:jc w:val="right"/>
              <w:rPr>
                <w:rFonts w:cs="Calibri"/>
                <w:szCs w:val="16"/>
              </w:rPr>
            </w:pPr>
            <w:r w:rsidRPr="001D5327">
              <w:t>859.8</w:t>
            </w:r>
          </w:p>
        </w:tc>
        <w:tc>
          <w:tcPr>
            <w:tcW w:w="894" w:type="dxa"/>
            <w:shd w:val="clear" w:color="auto" w:fill="auto"/>
          </w:tcPr>
          <w:p w14:paraId="493DF821" w14:textId="77777777" w:rsidR="00590FE1" w:rsidRPr="001D5327" w:rsidRDefault="00590FE1" w:rsidP="00403787">
            <w:pPr>
              <w:pStyle w:val="TableText"/>
              <w:spacing w:before="40" w:after="40"/>
              <w:jc w:val="right"/>
              <w:rPr>
                <w:rFonts w:cs="Calibri"/>
                <w:szCs w:val="16"/>
              </w:rPr>
            </w:pPr>
            <w:r w:rsidRPr="001D5327">
              <w:t>1,861.5</w:t>
            </w:r>
          </w:p>
        </w:tc>
        <w:tc>
          <w:tcPr>
            <w:tcW w:w="1002" w:type="dxa"/>
            <w:shd w:val="clear" w:color="auto" w:fill="auto"/>
          </w:tcPr>
          <w:p w14:paraId="6964F608" w14:textId="77777777" w:rsidR="00590FE1" w:rsidRPr="001D5327" w:rsidRDefault="00590FE1" w:rsidP="00403787">
            <w:pPr>
              <w:pStyle w:val="TableText"/>
              <w:spacing w:before="40" w:after="40"/>
              <w:jc w:val="right"/>
              <w:rPr>
                <w:rFonts w:cs="Calibri"/>
                <w:szCs w:val="16"/>
              </w:rPr>
            </w:pPr>
            <w:r w:rsidRPr="001D5327">
              <w:t>116.5</w:t>
            </w:r>
          </w:p>
        </w:tc>
        <w:tc>
          <w:tcPr>
            <w:tcW w:w="989" w:type="dxa"/>
            <w:shd w:val="clear" w:color="auto" w:fill="auto"/>
          </w:tcPr>
          <w:p w14:paraId="613F8E42" w14:textId="77777777" w:rsidR="00590FE1" w:rsidRPr="001D5327" w:rsidRDefault="00590FE1" w:rsidP="00403787">
            <w:pPr>
              <w:pStyle w:val="TableText"/>
              <w:spacing w:before="40" w:after="40"/>
              <w:jc w:val="right"/>
              <w:rPr>
                <w:rFonts w:cs="Calibri"/>
                <w:szCs w:val="16"/>
              </w:rPr>
            </w:pPr>
            <w:r w:rsidRPr="001D5327">
              <w:t>1,001.7</w:t>
            </w:r>
          </w:p>
        </w:tc>
        <w:tc>
          <w:tcPr>
            <w:tcW w:w="824" w:type="dxa"/>
            <w:shd w:val="clear" w:color="auto" w:fill="auto"/>
          </w:tcPr>
          <w:p w14:paraId="5E4175C2" w14:textId="77777777" w:rsidR="00590FE1" w:rsidRPr="001D5327" w:rsidRDefault="00590FE1" w:rsidP="00403787">
            <w:pPr>
              <w:pStyle w:val="TableText"/>
              <w:spacing w:before="40" w:after="40"/>
              <w:jc w:val="right"/>
              <w:rPr>
                <w:rFonts w:cs="Calibri"/>
                <w:szCs w:val="16"/>
              </w:rPr>
            </w:pPr>
            <w:r w:rsidRPr="001D5327">
              <w:t>2.3</w:t>
            </w:r>
          </w:p>
        </w:tc>
        <w:tc>
          <w:tcPr>
            <w:tcW w:w="726" w:type="dxa"/>
            <w:shd w:val="clear" w:color="auto" w:fill="auto"/>
          </w:tcPr>
          <w:p w14:paraId="104F7004" w14:textId="77777777" w:rsidR="00590FE1" w:rsidRPr="001D5327" w:rsidRDefault="00590FE1" w:rsidP="00403787">
            <w:pPr>
              <w:pStyle w:val="TableText"/>
              <w:spacing w:before="40" w:after="40"/>
              <w:jc w:val="right"/>
              <w:rPr>
                <w:rFonts w:cs="Calibri"/>
                <w:szCs w:val="16"/>
              </w:rPr>
            </w:pPr>
            <w:r w:rsidRPr="001D5327">
              <w:t>4.6</w:t>
            </w:r>
          </w:p>
        </w:tc>
      </w:tr>
      <w:tr w:rsidR="00590FE1" w:rsidRPr="001D5327" w14:paraId="10F28E58" w14:textId="77777777" w:rsidTr="00403787">
        <w:tc>
          <w:tcPr>
            <w:tcW w:w="3206" w:type="dxa"/>
            <w:shd w:val="clear" w:color="auto" w:fill="auto"/>
            <w:vAlign w:val="bottom"/>
          </w:tcPr>
          <w:p w14:paraId="6E3C1288" w14:textId="77777777" w:rsidR="00590FE1" w:rsidRPr="001D5327" w:rsidRDefault="00590FE1" w:rsidP="00403787">
            <w:pPr>
              <w:pStyle w:val="TableText"/>
              <w:spacing w:before="40" w:after="40"/>
              <w:rPr>
                <w:rFonts w:cs="Calibri"/>
                <w:szCs w:val="16"/>
              </w:rPr>
            </w:pPr>
            <w:r w:rsidRPr="001D5327">
              <w:rPr>
                <w:rFonts w:cs="Calibri"/>
                <w:szCs w:val="16"/>
              </w:rPr>
              <w:t>Rice cultivation (3.C)</w:t>
            </w:r>
          </w:p>
        </w:tc>
        <w:tc>
          <w:tcPr>
            <w:tcW w:w="796" w:type="dxa"/>
            <w:shd w:val="clear" w:color="auto" w:fill="auto"/>
            <w:vAlign w:val="bottom"/>
          </w:tcPr>
          <w:p w14:paraId="119FED7C" w14:textId="77777777" w:rsidR="00590FE1" w:rsidRPr="001D5327" w:rsidRDefault="00590FE1" w:rsidP="00403787">
            <w:pPr>
              <w:pStyle w:val="TableText"/>
              <w:spacing w:before="40" w:after="40"/>
              <w:jc w:val="right"/>
              <w:rPr>
                <w:rFonts w:cs="Calibri"/>
                <w:szCs w:val="16"/>
              </w:rPr>
            </w:pPr>
            <w:r w:rsidRPr="001D5327">
              <w:rPr>
                <w:rFonts w:cs="Calibri"/>
                <w:szCs w:val="16"/>
              </w:rPr>
              <w:t>NO</w:t>
            </w:r>
          </w:p>
        </w:tc>
        <w:tc>
          <w:tcPr>
            <w:tcW w:w="894" w:type="dxa"/>
            <w:shd w:val="clear" w:color="auto" w:fill="auto"/>
            <w:vAlign w:val="bottom"/>
          </w:tcPr>
          <w:p w14:paraId="3F666E1C" w14:textId="77777777" w:rsidR="00590FE1" w:rsidRPr="001D5327" w:rsidRDefault="00590FE1" w:rsidP="00403787">
            <w:pPr>
              <w:pStyle w:val="TableText"/>
              <w:spacing w:before="40" w:after="40"/>
              <w:jc w:val="right"/>
              <w:rPr>
                <w:rFonts w:cs="Calibri"/>
                <w:szCs w:val="16"/>
              </w:rPr>
            </w:pPr>
            <w:r w:rsidRPr="001D5327">
              <w:rPr>
                <w:rFonts w:cs="Calibri"/>
                <w:szCs w:val="16"/>
              </w:rPr>
              <w:t>NO</w:t>
            </w:r>
          </w:p>
        </w:tc>
        <w:tc>
          <w:tcPr>
            <w:tcW w:w="1002" w:type="dxa"/>
            <w:shd w:val="clear" w:color="auto" w:fill="auto"/>
            <w:vAlign w:val="bottom"/>
          </w:tcPr>
          <w:p w14:paraId="579B0DA0" w14:textId="5C815BB7" w:rsidR="00590FE1" w:rsidRPr="001D5327" w:rsidRDefault="00C817BE" w:rsidP="00403787">
            <w:pPr>
              <w:pStyle w:val="TableText"/>
              <w:spacing w:before="40" w:after="40"/>
              <w:jc w:val="right"/>
              <w:rPr>
                <w:rFonts w:cs="Calibri"/>
                <w:szCs w:val="16"/>
              </w:rPr>
            </w:pPr>
            <w:r>
              <w:rPr>
                <w:rFonts w:cs="Calibri"/>
                <w:szCs w:val="16"/>
              </w:rPr>
              <w:t>-</w:t>
            </w:r>
          </w:p>
        </w:tc>
        <w:tc>
          <w:tcPr>
            <w:tcW w:w="989" w:type="dxa"/>
            <w:shd w:val="clear" w:color="auto" w:fill="auto"/>
            <w:vAlign w:val="bottom"/>
          </w:tcPr>
          <w:p w14:paraId="72668AB7" w14:textId="7E646857" w:rsidR="00590FE1" w:rsidRPr="001D5327" w:rsidRDefault="00C817BE" w:rsidP="00403787">
            <w:pPr>
              <w:pStyle w:val="TableText"/>
              <w:spacing w:before="40" w:after="40"/>
              <w:jc w:val="right"/>
              <w:rPr>
                <w:rFonts w:cs="Calibri"/>
                <w:szCs w:val="16"/>
              </w:rPr>
            </w:pPr>
            <w:r>
              <w:rPr>
                <w:rFonts w:cs="Calibri"/>
                <w:szCs w:val="16"/>
              </w:rPr>
              <w:t>-</w:t>
            </w:r>
          </w:p>
        </w:tc>
        <w:tc>
          <w:tcPr>
            <w:tcW w:w="824" w:type="dxa"/>
            <w:shd w:val="clear" w:color="auto" w:fill="auto"/>
            <w:vAlign w:val="bottom"/>
          </w:tcPr>
          <w:p w14:paraId="62E47548" w14:textId="44D737EB" w:rsidR="00590FE1" w:rsidRPr="001D5327" w:rsidRDefault="00C817BE" w:rsidP="00403787">
            <w:pPr>
              <w:pStyle w:val="TableText"/>
              <w:spacing w:before="40" w:after="40"/>
              <w:jc w:val="right"/>
              <w:rPr>
                <w:rFonts w:cs="Calibri"/>
                <w:szCs w:val="16"/>
              </w:rPr>
            </w:pPr>
            <w:r>
              <w:rPr>
                <w:rFonts w:cs="Calibri"/>
                <w:szCs w:val="16"/>
              </w:rPr>
              <w:t>-</w:t>
            </w:r>
          </w:p>
        </w:tc>
        <w:tc>
          <w:tcPr>
            <w:tcW w:w="726" w:type="dxa"/>
            <w:shd w:val="clear" w:color="auto" w:fill="auto"/>
            <w:vAlign w:val="bottom"/>
          </w:tcPr>
          <w:p w14:paraId="71742D16" w14:textId="15955D17" w:rsidR="00590FE1" w:rsidRPr="001D5327" w:rsidRDefault="00C817BE" w:rsidP="00403787">
            <w:pPr>
              <w:pStyle w:val="TableText"/>
              <w:spacing w:before="40" w:after="40"/>
              <w:jc w:val="right"/>
              <w:rPr>
                <w:rFonts w:cs="Calibri"/>
                <w:szCs w:val="16"/>
              </w:rPr>
            </w:pPr>
            <w:r>
              <w:rPr>
                <w:rFonts w:cs="Calibri"/>
                <w:szCs w:val="16"/>
              </w:rPr>
              <w:t>-</w:t>
            </w:r>
          </w:p>
        </w:tc>
      </w:tr>
      <w:tr w:rsidR="00590FE1" w:rsidRPr="001D5327" w14:paraId="5DDA6A60" w14:textId="77777777" w:rsidTr="00403787">
        <w:tc>
          <w:tcPr>
            <w:tcW w:w="3206" w:type="dxa"/>
            <w:shd w:val="clear" w:color="auto" w:fill="auto"/>
            <w:vAlign w:val="bottom"/>
          </w:tcPr>
          <w:p w14:paraId="444B886E" w14:textId="77777777" w:rsidR="00590FE1" w:rsidRPr="001D5327" w:rsidRDefault="00590FE1" w:rsidP="00403787">
            <w:pPr>
              <w:pStyle w:val="TableText"/>
              <w:spacing w:before="40" w:after="40"/>
              <w:rPr>
                <w:rFonts w:cs="Calibri"/>
                <w:szCs w:val="16"/>
              </w:rPr>
            </w:pPr>
            <w:r w:rsidRPr="001D5327">
              <w:rPr>
                <w:rFonts w:cs="Calibri"/>
                <w:szCs w:val="16"/>
              </w:rPr>
              <w:t>Agricultural soils (3.D)</w:t>
            </w:r>
          </w:p>
        </w:tc>
        <w:tc>
          <w:tcPr>
            <w:tcW w:w="796" w:type="dxa"/>
            <w:shd w:val="clear" w:color="auto" w:fill="auto"/>
          </w:tcPr>
          <w:p w14:paraId="20BDC239" w14:textId="77777777" w:rsidR="00590FE1" w:rsidRPr="001D5327" w:rsidRDefault="00590FE1" w:rsidP="00403787">
            <w:pPr>
              <w:pStyle w:val="TableText"/>
              <w:spacing w:before="40" w:after="40"/>
              <w:jc w:val="right"/>
              <w:rPr>
                <w:rFonts w:cs="Calibri"/>
                <w:szCs w:val="16"/>
              </w:rPr>
            </w:pPr>
            <w:r w:rsidRPr="001D5327">
              <w:t>4,655.1</w:t>
            </w:r>
          </w:p>
        </w:tc>
        <w:tc>
          <w:tcPr>
            <w:tcW w:w="894" w:type="dxa"/>
            <w:shd w:val="clear" w:color="auto" w:fill="auto"/>
          </w:tcPr>
          <w:p w14:paraId="2AD0CB84" w14:textId="77777777" w:rsidR="00590FE1" w:rsidRPr="001D5327" w:rsidRDefault="00590FE1" w:rsidP="00403787">
            <w:pPr>
              <w:pStyle w:val="TableText"/>
              <w:spacing w:before="40" w:after="40"/>
              <w:jc w:val="right"/>
              <w:rPr>
                <w:rFonts w:cs="Calibri"/>
                <w:szCs w:val="16"/>
              </w:rPr>
            </w:pPr>
            <w:r w:rsidRPr="001D5327">
              <w:t>6,372.4</w:t>
            </w:r>
          </w:p>
        </w:tc>
        <w:tc>
          <w:tcPr>
            <w:tcW w:w="1002" w:type="dxa"/>
            <w:shd w:val="clear" w:color="auto" w:fill="auto"/>
          </w:tcPr>
          <w:p w14:paraId="271C5362" w14:textId="77777777" w:rsidR="00590FE1" w:rsidRPr="001D5327" w:rsidRDefault="00590FE1" w:rsidP="00403787">
            <w:pPr>
              <w:pStyle w:val="TableText"/>
              <w:spacing w:before="40" w:after="40"/>
              <w:jc w:val="right"/>
              <w:rPr>
                <w:rFonts w:cs="Calibri"/>
                <w:szCs w:val="16"/>
              </w:rPr>
            </w:pPr>
            <w:r w:rsidRPr="001D5327">
              <w:t>36.9</w:t>
            </w:r>
          </w:p>
        </w:tc>
        <w:tc>
          <w:tcPr>
            <w:tcW w:w="989" w:type="dxa"/>
            <w:shd w:val="clear" w:color="auto" w:fill="auto"/>
          </w:tcPr>
          <w:p w14:paraId="04B79492" w14:textId="77777777" w:rsidR="00590FE1" w:rsidRPr="001D5327" w:rsidRDefault="00590FE1" w:rsidP="00403787">
            <w:pPr>
              <w:pStyle w:val="TableText"/>
              <w:spacing w:before="40" w:after="40"/>
              <w:jc w:val="right"/>
              <w:rPr>
                <w:rFonts w:cs="Calibri"/>
                <w:szCs w:val="16"/>
              </w:rPr>
            </w:pPr>
            <w:r w:rsidRPr="001D5327">
              <w:t>1,717.3</w:t>
            </w:r>
          </w:p>
        </w:tc>
        <w:tc>
          <w:tcPr>
            <w:tcW w:w="824" w:type="dxa"/>
            <w:shd w:val="clear" w:color="auto" w:fill="auto"/>
          </w:tcPr>
          <w:p w14:paraId="11CB60D6" w14:textId="77777777" w:rsidR="00590FE1" w:rsidRPr="001D5327" w:rsidRDefault="00590FE1" w:rsidP="00403787">
            <w:pPr>
              <w:pStyle w:val="TableText"/>
              <w:spacing w:before="40" w:after="40"/>
              <w:jc w:val="right"/>
              <w:rPr>
                <w:rFonts w:cs="Calibri"/>
                <w:szCs w:val="16"/>
              </w:rPr>
            </w:pPr>
            <w:r w:rsidRPr="001D5327">
              <w:t>12.6</w:t>
            </w:r>
          </w:p>
        </w:tc>
        <w:tc>
          <w:tcPr>
            <w:tcW w:w="726" w:type="dxa"/>
            <w:shd w:val="clear" w:color="auto" w:fill="auto"/>
          </w:tcPr>
          <w:p w14:paraId="424EA345" w14:textId="77777777" w:rsidR="00590FE1" w:rsidRPr="001D5327" w:rsidRDefault="00590FE1" w:rsidP="00403787">
            <w:pPr>
              <w:pStyle w:val="TableText"/>
              <w:spacing w:before="40" w:after="40"/>
              <w:jc w:val="right"/>
              <w:rPr>
                <w:rFonts w:cs="Calibri"/>
                <w:szCs w:val="16"/>
              </w:rPr>
            </w:pPr>
            <w:r w:rsidRPr="001D5327">
              <w:t>15.7</w:t>
            </w:r>
          </w:p>
        </w:tc>
      </w:tr>
      <w:tr w:rsidR="00590FE1" w:rsidRPr="001D5327" w14:paraId="17B393A8" w14:textId="77777777" w:rsidTr="00403787">
        <w:tc>
          <w:tcPr>
            <w:tcW w:w="3206" w:type="dxa"/>
            <w:shd w:val="clear" w:color="auto" w:fill="auto"/>
            <w:vAlign w:val="bottom"/>
          </w:tcPr>
          <w:p w14:paraId="1F2FDCB0" w14:textId="77777777" w:rsidR="00590FE1" w:rsidRPr="001D5327" w:rsidRDefault="00590FE1" w:rsidP="00403787">
            <w:pPr>
              <w:pStyle w:val="TableText"/>
              <w:spacing w:before="40" w:after="40"/>
              <w:rPr>
                <w:rFonts w:cs="Calibri"/>
                <w:szCs w:val="16"/>
              </w:rPr>
            </w:pPr>
            <w:r w:rsidRPr="001D5327">
              <w:rPr>
                <w:rFonts w:cs="Calibri"/>
                <w:szCs w:val="16"/>
              </w:rPr>
              <w:t>Field burning of agricultural residues (3.F)</w:t>
            </w:r>
          </w:p>
        </w:tc>
        <w:tc>
          <w:tcPr>
            <w:tcW w:w="796" w:type="dxa"/>
            <w:shd w:val="clear" w:color="auto" w:fill="auto"/>
          </w:tcPr>
          <w:p w14:paraId="0A32106D" w14:textId="77777777" w:rsidR="00590FE1" w:rsidRPr="001D5327" w:rsidRDefault="00590FE1" w:rsidP="00403787">
            <w:pPr>
              <w:pStyle w:val="TableText"/>
              <w:spacing w:before="40" w:after="40"/>
              <w:jc w:val="right"/>
              <w:rPr>
                <w:rFonts w:cs="Calibri"/>
                <w:szCs w:val="16"/>
              </w:rPr>
            </w:pPr>
            <w:r w:rsidRPr="001D5327">
              <w:t>29.6</w:t>
            </w:r>
          </w:p>
        </w:tc>
        <w:tc>
          <w:tcPr>
            <w:tcW w:w="894" w:type="dxa"/>
            <w:shd w:val="clear" w:color="auto" w:fill="auto"/>
          </w:tcPr>
          <w:p w14:paraId="3DACD9D3" w14:textId="77777777" w:rsidR="00590FE1" w:rsidRPr="001D5327" w:rsidRDefault="00590FE1" w:rsidP="00403787">
            <w:pPr>
              <w:pStyle w:val="TableText"/>
              <w:spacing w:before="40" w:after="40"/>
              <w:jc w:val="right"/>
              <w:rPr>
                <w:rFonts w:cs="Calibri"/>
                <w:szCs w:val="16"/>
              </w:rPr>
            </w:pPr>
            <w:r w:rsidRPr="001D5327">
              <w:t>17.9</w:t>
            </w:r>
          </w:p>
        </w:tc>
        <w:tc>
          <w:tcPr>
            <w:tcW w:w="1002" w:type="dxa"/>
            <w:shd w:val="clear" w:color="auto" w:fill="auto"/>
          </w:tcPr>
          <w:p w14:paraId="2B2D3E48" w14:textId="6F0D0358" w:rsidR="00590FE1" w:rsidRPr="001D5327" w:rsidRDefault="00C817BE" w:rsidP="00403787">
            <w:pPr>
              <w:pStyle w:val="TableText"/>
              <w:spacing w:before="40" w:after="40"/>
              <w:jc w:val="right"/>
              <w:rPr>
                <w:rFonts w:cs="Calibri"/>
                <w:szCs w:val="16"/>
              </w:rPr>
            </w:pPr>
            <w:r>
              <w:t>-</w:t>
            </w:r>
            <w:r w:rsidR="00590FE1" w:rsidRPr="001D5327">
              <w:t>39.3</w:t>
            </w:r>
          </w:p>
        </w:tc>
        <w:tc>
          <w:tcPr>
            <w:tcW w:w="989" w:type="dxa"/>
            <w:shd w:val="clear" w:color="auto" w:fill="auto"/>
          </w:tcPr>
          <w:p w14:paraId="01BB26B4" w14:textId="5D67D449" w:rsidR="00590FE1" w:rsidRPr="001D5327" w:rsidRDefault="00C817BE" w:rsidP="00403787">
            <w:pPr>
              <w:pStyle w:val="TableText"/>
              <w:spacing w:before="40" w:after="40"/>
              <w:jc w:val="right"/>
              <w:rPr>
                <w:rFonts w:cs="Calibri"/>
                <w:szCs w:val="16"/>
              </w:rPr>
            </w:pPr>
            <w:r>
              <w:t>-</w:t>
            </w:r>
            <w:r w:rsidR="00590FE1" w:rsidRPr="001D5327">
              <w:t>11.6</w:t>
            </w:r>
          </w:p>
        </w:tc>
        <w:tc>
          <w:tcPr>
            <w:tcW w:w="824" w:type="dxa"/>
            <w:shd w:val="clear" w:color="auto" w:fill="auto"/>
          </w:tcPr>
          <w:p w14:paraId="03C87301" w14:textId="77777777" w:rsidR="00590FE1" w:rsidRPr="001D5327" w:rsidRDefault="00590FE1" w:rsidP="00403787">
            <w:pPr>
              <w:pStyle w:val="TableText"/>
              <w:spacing w:before="40" w:after="40"/>
              <w:jc w:val="right"/>
              <w:rPr>
                <w:rFonts w:cs="Calibri"/>
                <w:szCs w:val="16"/>
              </w:rPr>
            </w:pPr>
            <w:r w:rsidRPr="001D5327">
              <w:t>0.1</w:t>
            </w:r>
          </w:p>
        </w:tc>
        <w:tc>
          <w:tcPr>
            <w:tcW w:w="726" w:type="dxa"/>
            <w:shd w:val="clear" w:color="auto" w:fill="auto"/>
          </w:tcPr>
          <w:p w14:paraId="3BF095E7" w14:textId="77777777" w:rsidR="00590FE1" w:rsidRPr="001D5327" w:rsidRDefault="00590FE1" w:rsidP="00403787">
            <w:pPr>
              <w:pStyle w:val="TableText"/>
              <w:spacing w:before="40" w:after="40"/>
              <w:jc w:val="right"/>
              <w:rPr>
                <w:rFonts w:cs="Calibri"/>
                <w:szCs w:val="16"/>
              </w:rPr>
            </w:pPr>
            <w:r w:rsidRPr="001D5327">
              <w:t>0.0</w:t>
            </w:r>
          </w:p>
        </w:tc>
      </w:tr>
      <w:tr w:rsidR="00590FE1" w:rsidRPr="001D5327" w14:paraId="7074FE9B" w14:textId="77777777" w:rsidTr="00403787">
        <w:tc>
          <w:tcPr>
            <w:tcW w:w="3206" w:type="dxa"/>
            <w:shd w:val="clear" w:color="auto" w:fill="auto"/>
            <w:vAlign w:val="bottom"/>
          </w:tcPr>
          <w:p w14:paraId="5F3448EE" w14:textId="77777777" w:rsidR="00590FE1" w:rsidRPr="001D5327" w:rsidRDefault="00590FE1" w:rsidP="00403787">
            <w:pPr>
              <w:pStyle w:val="TableText"/>
              <w:spacing w:before="40" w:after="40"/>
              <w:rPr>
                <w:rFonts w:cs="Calibri"/>
                <w:szCs w:val="16"/>
              </w:rPr>
            </w:pPr>
            <w:r w:rsidRPr="001D5327">
              <w:rPr>
                <w:rFonts w:cs="Calibri"/>
                <w:szCs w:val="16"/>
              </w:rPr>
              <w:t>Liming CO</w:t>
            </w:r>
            <w:r w:rsidRPr="001D5327">
              <w:rPr>
                <w:rFonts w:cs="Calibri"/>
                <w:szCs w:val="16"/>
                <w:vertAlign w:val="subscript"/>
              </w:rPr>
              <w:t>2</w:t>
            </w:r>
            <w:r w:rsidRPr="001D5327">
              <w:rPr>
                <w:rFonts w:cs="Calibri"/>
                <w:szCs w:val="16"/>
              </w:rPr>
              <w:t xml:space="preserve"> emissions (3.G)</w:t>
            </w:r>
          </w:p>
        </w:tc>
        <w:tc>
          <w:tcPr>
            <w:tcW w:w="796" w:type="dxa"/>
            <w:shd w:val="clear" w:color="auto" w:fill="auto"/>
          </w:tcPr>
          <w:p w14:paraId="73DEB570" w14:textId="77777777" w:rsidR="00590FE1" w:rsidRPr="001D5327" w:rsidRDefault="00590FE1" w:rsidP="00403787">
            <w:pPr>
              <w:pStyle w:val="TableText"/>
              <w:spacing w:before="40" w:after="40"/>
              <w:jc w:val="right"/>
              <w:rPr>
                <w:rFonts w:cs="Calibri"/>
                <w:szCs w:val="16"/>
              </w:rPr>
            </w:pPr>
            <w:r w:rsidRPr="001D5327">
              <w:t>296.5</w:t>
            </w:r>
          </w:p>
        </w:tc>
        <w:tc>
          <w:tcPr>
            <w:tcW w:w="894" w:type="dxa"/>
            <w:shd w:val="clear" w:color="auto" w:fill="auto"/>
          </w:tcPr>
          <w:p w14:paraId="41E387DE" w14:textId="77777777" w:rsidR="00590FE1" w:rsidRPr="001D5327" w:rsidRDefault="00590FE1" w:rsidP="00403787">
            <w:pPr>
              <w:pStyle w:val="TableText"/>
              <w:spacing w:before="40" w:after="40"/>
              <w:jc w:val="right"/>
              <w:rPr>
                <w:rFonts w:cs="Calibri"/>
                <w:szCs w:val="16"/>
              </w:rPr>
            </w:pPr>
            <w:r w:rsidRPr="001D5327">
              <w:t>273.8</w:t>
            </w:r>
          </w:p>
        </w:tc>
        <w:tc>
          <w:tcPr>
            <w:tcW w:w="1002" w:type="dxa"/>
            <w:shd w:val="clear" w:color="auto" w:fill="auto"/>
          </w:tcPr>
          <w:p w14:paraId="50E024FE" w14:textId="26F4F7E1" w:rsidR="00590FE1" w:rsidRPr="001D5327" w:rsidRDefault="00C817BE" w:rsidP="00403787">
            <w:pPr>
              <w:pStyle w:val="TableText"/>
              <w:spacing w:before="40" w:after="40"/>
              <w:jc w:val="right"/>
              <w:rPr>
                <w:rFonts w:cs="Calibri"/>
                <w:szCs w:val="16"/>
              </w:rPr>
            </w:pPr>
            <w:r>
              <w:t>-</w:t>
            </w:r>
            <w:r w:rsidR="00590FE1" w:rsidRPr="001D5327">
              <w:t>7.7</w:t>
            </w:r>
          </w:p>
        </w:tc>
        <w:tc>
          <w:tcPr>
            <w:tcW w:w="989" w:type="dxa"/>
            <w:shd w:val="clear" w:color="auto" w:fill="auto"/>
          </w:tcPr>
          <w:p w14:paraId="41F7F9D7" w14:textId="18C41ACF" w:rsidR="00590FE1" w:rsidRPr="001D5327" w:rsidRDefault="00C817BE" w:rsidP="00403787">
            <w:pPr>
              <w:pStyle w:val="TableText"/>
              <w:spacing w:before="40" w:after="40"/>
              <w:jc w:val="right"/>
              <w:rPr>
                <w:rFonts w:cs="Calibri"/>
                <w:szCs w:val="16"/>
              </w:rPr>
            </w:pPr>
            <w:r>
              <w:t>-</w:t>
            </w:r>
            <w:r w:rsidR="00590FE1" w:rsidRPr="001D5327">
              <w:t>22.7</w:t>
            </w:r>
          </w:p>
        </w:tc>
        <w:tc>
          <w:tcPr>
            <w:tcW w:w="824" w:type="dxa"/>
            <w:shd w:val="clear" w:color="auto" w:fill="auto"/>
          </w:tcPr>
          <w:p w14:paraId="61389794" w14:textId="77777777" w:rsidR="00590FE1" w:rsidRPr="001D5327" w:rsidRDefault="00590FE1" w:rsidP="00403787">
            <w:pPr>
              <w:pStyle w:val="TableText"/>
              <w:spacing w:before="40" w:after="40"/>
              <w:jc w:val="right"/>
              <w:rPr>
                <w:rFonts w:cs="Calibri"/>
                <w:szCs w:val="16"/>
              </w:rPr>
            </w:pPr>
            <w:r w:rsidRPr="001D5327">
              <w:t>0.8</w:t>
            </w:r>
          </w:p>
        </w:tc>
        <w:tc>
          <w:tcPr>
            <w:tcW w:w="726" w:type="dxa"/>
            <w:shd w:val="clear" w:color="auto" w:fill="auto"/>
          </w:tcPr>
          <w:p w14:paraId="531BE6E0" w14:textId="77777777" w:rsidR="00590FE1" w:rsidRPr="001D5327" w:rsidRDefault="00590FE1" w:rsidP="00403787">
            <w:pPr>
              <w:pStyle w:val="TableText"/>
              <w:spacing w:before="40" w:after="40"/>
              <w:jc w:val="right"/>
              <w:rPr>
                <w:rFonts w:cs="Calibri"/>
                <w:szCs w:val="16"/>
              </w:rPr>
            </w:pPr>
            <w:r w:rsidRPr="001D5327">
              <w:t>0.7</w:t>
            </w:r>
          </w:p>
        </w:tc>
      </w:tr>
      <w:tr w:rsidR="00590FE1" w:rsidRPr="001D5327" w14:paraId="774B09C3" w14:textId="77777777" w:rsidTr="00403787">
        <w:tc>
          <w:tcPr>
            <w:tcW w:w="3206" w:type="dxa"/>
            <w:shd w:val="clear" w:color="auto" w:fill="auto"/>
            <w:vAlign w:val="bottom"/>
          </w:tcPr>
          <w:p w14:paraId="53587B57" w14:textId="77777777" w:rsidR="00590FE1" w:rsidRPr="001D5327" w:rsidRDefault="00590FE1" w:rsidP="00403787">
            <w:pPr>
              <w:pStyle w:val="TableText"/>
              <w:spacing w:before="40" w:after="40"/>
              <w:rPr>
                <w:rFonts w:cs="Calibri"/>
                <w:szCs w:val="16"/>
              </w:rPr>
            </w:pPr>
            <w:r w:rsidRPr="001D5327">
              <w:rPr>
                <w:rFonts w:cs="Calibri"/>
                <w:szCs w:val="16"/>
              </w:rPr>
              <w:t>Urea application CO</w:t>
            </w:r>
            <w:r w:rsidRPr="001D5327">
              <w:rPr>
                <w:rFonts w:cs="Calibri"/>
                <w:szCs w:val="16"/>
                <w:vertAlign w:val="subscript"/>
              </w:rPr>
              <w:t>2</w:t>
            </w:r>
            <w:r w:rsidRPr="001D5327">
              <w:rPr>
                <w:rFonts w:cs="Calibri"/>
                <w:szCs w:val="16"/>
              </w:rPr>
              <w:t xml:space="preserve"> emissions (3.H)</w:t>
            </w:r>
          </w:p>
        </w:tc>
        <w:tc>
          <w:tcPr>
            <w:tcW w:w="796" w:type="dxa"/>
            <w:shd w:val="clear" w:color="auto" w:fill="auto"/>
          </w:tcPr>
          <w:p w14:paraId="04809C57" w14:textId="77777777" w:rsidR="00590FE1" w:rsidRPr="001D5327" w:rsidRDefault="00590FE1" w:rsidP="00403787">
            <w:pPr>
              <w:pStyle w:val="TableText"/>
              <w:spacing w:before="40" w:after="40"/>
              <w:jc w:val="right"/>
              <w:rPr>
                <w:rFonts w:cs="Calibri"/>
                <w:szCs w:val="16"/>
              </w:rPr>
            </w:pPr>
            <w:r w:rsidRPr="001D5327">
              <w:t>39.2</w:t>
            </w:r>
          </w:p>
        </w:tc>
        <w:tc>
          <w:tcPr>
            <w:tcW w:w="894" w:type="dxa"/>
            <w:shd w:val="clear" w:color="auto" w:fill="auto"/>
          </w:tcPr>
          <w:p w14:paraId="54FA6004" w14:textId="77777777" w:rsidR="00590FE1" w:rsidRPr="001D5327" w:rsidRDefault="00590FE1" w:rsidP="00403787">
            <w:pPr>
              <w:pStyle w:val="TableText"/>
              <w:spacing w:before="40" w:after="40"/>
              <w:jc w:val="right"/>
              <w:rPr>
                <w:rFonts w:cs="Calibri"/>
                <w:szCs w:val="16"/>
              </w:rPr>
            </w:pPr>
            <w:r w:rsidRPr="001D5327">
              <w:t>425.7</w:t>
            </w:r>
          </w:p>
        </w:tc>
        <w:tc>
          <w:tcPr>
            <w:tcW w:w="1002" w:type="dxa"/>
            <w:shd w:val="clear" w:color="auto" w:fill="auto"/>
          </w:tcPr>
          <w:p w14:paraId="24424BF4" w14:textId="77777777" w:rsidR="00590FE1" w:rsidRPr="001D5327" w:rsidRDefault="00590FE1" w:rsidP="00403787">
            <w:pPr>
              <w:pStyle w:val="TableText"/>
              <w:spacing w:before="40" w:after="40"/>
              <w:jc w:val="right"/>
              <w:rPr>
                <w:rFonts w:cs="Calibri"/>
                <w:szCs w:val="16"/>
              </w:rPr>
            </w:pPr>
            <w:r w:rsidRPr="001D5327">
              <w:t>986.0</w:t>
            </w:r>
          </w:p>
        </w:tc>
        <w:tc>
          <w:tcPr>
            <w:tcW w:w="989" w:type="dxa"/>
            <w:shd w:val="clear" w:color="auto" w:fill="auto"/>
          </w:tcPr>
          <w:p w14:paraId="1E688298" w14:textId="77777777" w:rsidR="00590FE1" w:rsidRPr="001D5327" w:rsidRDefault="00590FE1" w:rsidP="00403787">
            <w:pPr>
              <w:pStyle w:val="TableText"/>
              <w:spacing w:before="40" w:after="40"/>
              <w:jc w:val="right"/>
              <w:rPr>
                <w:rFonts w:cs="Calibri"/>
                <w:szCs w:val="16"/>
              </w:rPr>
            </w:pPr>
            <w:r w:rsidRPr="001D5327">
              <w:t>386.5</w:t>
            </w:r>
          </w:p>
        </w:tc>
        <w:tc>
          <w:tcPr>
            <w:tcW w:w="824" w:type="dxa"/>
            <w:shd w:val="clear" w:color="auto" w:fill="auto"/>
          </w:tcPr>
          <w:p w14:paraId="2A66C87A" w14:textId="77777777" w:rsidR="00590FE1" w:rsidRPr="001D5327" w:rsidRDefault="00590FE1" w:rsidP="00403787">
            <w:pPr>
              <w:pStyle w:val="TableText"/>
              <w:spacing w:before="40" w:after="40"/>
              <w:jc w:val="right"/>
              <w:rPr>
                <w:rFonts w:cs="Calibri"/>
                <w:szCs w:val="16"/>
              </w:rPr>
            </w:pPr>
            <w:r w:rsidRPr="001D5327">
              <w:t>0.1</w:t>
            </w:r>
          </w:p>
        </w:tc>
        <w:tc>
          <w:tcPr>
            <w:tcW w:w="726" w:type="dxa"/>
            <w:shd w:val="clear" w:color="auto" w:fill="auto"/>
          </w:tcPr>
          <w:p w14:paraId="4425C032" w14:textId="77777777" w:rsidR="00590FE1" w:rsidRPr="001D5327" w:rsidRDefault="00590FE1" w:rsidP="00403787">
            <w:pPr>
              <w:pStyle w:val="TableText"/>
              <w:spacing w:before="40" w:after="40"/>
              <w:jc w:val="right"/>
              <w:rPr>
                <w:rFonts w:cs="Calibri"/>
                <w:szCs w:val="16"/>
              </w:rPr>
            </w:pPr>
            <w:r w:rsidRPr="001D5327">
              <w:t>1.0</w:t>
            </w:r>
          </w:p>
        </w:tc>
      </w:tr>
      <w:tr w:rsidR="00590FE1" w:rsidRPr="001D5327" w14:paraId="32EC2778" w14:textId="77777777" w:rsidTr="00403787">
        <w:tc>
          <w:tcPr>
            <w:tcW w:w="3206" w:type="dxa"/>
            <w:shd w:val="clear" w:color="auto" w:fill="auto"/>
            <w:vAlign w:val="bottom"/>
          </w:tcPr>
          <w:p w14:paraId="14C2889C" w14:textId="3E1784D8" w:rsidR="00590FE1" w:rsidRPr="001D5327" w:rsidRDefault="00590FE1" w:rsidP="00403787">
            <w:pPr>
              <w:pStyle w:val="TableText"/>
              <w:spacing w:before="40" w:after="40"/>
              <w:rPr>
                <w:rFonts w:cs="Calibri"/>
                <w:szCs w:val="16"/>
              </w:rPr>
            </w:pPr>
            <w:r w:rsidRPr="001D5327">
              <w:rPr>
                <w:rFonts w:cs="Calibri"/>
                <w:szCs w:val="16"/>
              </w:rPr>
              <w:t>Other carbon-containing fertilisers (3.</w:t>
            </w:r>
            <w:r w:rsidR="00D92B8C">
              <w:rPr>
                <w:rFonts w:cs="Calibri"/>
                <w:szCs w:val="16"/>
              </w:rPr>
              <w:t>I</w:t>
            </w:r>
            <w:r w:rsidRPr="001D5327">
              <w:rPr>
                <w:rFonts w:cs="Calibri"/>
                <w:szCs w:val="16"/>
              </w:rPr>
              <w:t>)</w:t>
            </w:r>
          </w:p>
        </w:tc>
        <w:tc>
          <w:tcPr>
            <w:tcW w:w="796" w:type="dxa"/>
            <w:shd w:val="clear" w:color="auto" w:fill="auto"/>
            <w:vAlign w:val="bottom"/>
          </w:tcPr>
          <w:p w14:paraId="05FF8B70" w14:textId="77777777" w:rsidR="00590FE1" w:rsidRPr="001D5327" w:rsidRDefault="00590FE1" w:rsidP="00403787">
            <w:pPr>
              <w:pStyle w:val="TableText"/>
              <w:spacing w:before="40" w:after="40"/>
              <w:jc w:val="right"/>
              <w:rPr>
                <w:rFonts w:cs="Calibri"/>
                <w:szCs w:val="16"/>
              </w:rPr>
            </w:pPr>
            <w:r w:rsidRPr="001D5327">
              <w:rPr>
                <w:rFonts w:cs="Calibri"/>
                <w:szCs w:val="16"/>
              </w:rPr>
              <w:t>NE</w:t>
            </w:r>
          </w:p>
        </w:tc>
        <w:tc>
          <w:tcPr>
            <w:tcW w:w="894" w:type="dxa"/>
            <w:shd w:val="clear" w:color="auto" w:fill="auto"/>
            <w:vAlign w:val="bottom"/>
          </w:tcPr>
          <w:p w14:paraId="3794F518" w14:textId="77777777" w:rsidR="00590FE1" w:rsidRPr="001D5327" w:rsidRDefault="00590FE1" w:rsidP="00403787">
            <w:pPr>
              <w:pStyle w:val="TableText"/>
              <w:spacing w:before="40" w:after="40"/>
              <w:jc w:val="right"/>
              <w:rPr>
                <w:rFonts w:cs="Calibri"/>
                <w:szCs w:val="16"/>
              </w:rPr>
            </w:pPr>
            <w:r w:rsidRPr="001D5327">
              <w:rPr>
                <w:rFonts w:cs="Calibri"/>
                <w:szCs w:val="16"/>
              </w:rPr>
              <w:t>NE</w:t>
            </w:r>
          </w:p>
        </w:tc>
        <w:tc>
          <w:tcPr>
            <w:tcW w:w="1002" w:type="dxa"/>
            <w:shd w:val="clear" w:color="auto" w:fill="auto"/>
            <w:vAlign w:val="bottom"/>
          </w:tcPr>
          <w:p w14:paraId="688B7667" w14:textId="1A1AD723" w:rsidR="00590FE1" w:rsidRPr="001D5327" w:rsidRDefault="00C817BE" w:rsidP="00403787">
            <w:pPr>
              <w:pStyle w:val="TableText"/>
              <w:spacing w:before="40" w:after="40"/>
              <w:jc w:val="right"/>
              <w:rPr>
                <w:rFonts w:cs="Calibri"/>
                <w:szCs w:val="16"/>
              </w:rPr>
            </w:pPr>
            <w:r>
              <w:rPr>
                <w:rFonts w:cs="Calibri"/>
                <w:szCs w:val="16"/>
              </w:rPr>
              <w:t>-</w:t>
            </w:r>
          </w:p>
        </w:tc>
        <w:tc>
          <w:tcPr>
            <w:tcW w:w="989" w:type="dxa"/>
            <w:shd w:val="clear" w:color="auto" w:fill="auto"/>
            <w:vAlign w:val="bottom"/>
          </w:tcPr>
          <w:p w14:paraId="494A41B5" w14:textId="56D979DD" w:rsidR="00590FE1" w:rsidRPr="001D5327" w:rsidRDefault="00C817BE" w:rsidP="00403787">
            <w:pPr>
              <w:pStyle w:val="TableText"/>
              <w:spacing w:before="40" w:after="40"/>
              <w:jc w:val="right"/>
              <w:rPr>
                <w:rFonts w:cs="Calibri"/>
                <w:szCs w:val="16"/>
              </w:rPr>
            </w:pPr>
            <w:r>
              <w:rPr>
                <w:rFonts w:cs="Calibri"/>
                <w:szCs w:val="16"/>
              </w:rPr>
              <w:t>-</w:t>
            </w:r>
          </w:p>
        </w:tc>
        <w:tc>
          <w:tcPr>
            <w:tcW w:w="824" w:type="dxa"/>
            <w:shd w:val="clear" w:color="auto" w:fill="auto"/>
            <w:vAlign w:val="bottom"/>
          </w:tcPr>
          <w:p w14:paraId="40C792FF" w14:textId="5525253A" w:rsidR="00590FE1" w:rsidRPr="001D5327" w:rsidRDefault="00C817BE" w:rsidP="00403787">
            <w:pPr>
              <w:pStyle w:val="TableText"/>
              <w:spacing w:before="40" w:after="40"/>
              <w:jc w:val="right"/>
              <w:rPr>
                <w:rFonts w:cs="Calibri"/>
                <w:szCs w:val="16"/>
              </w:rPr>
            </w:pPr>
            <w:r>
              <w:rPr>
                <w:rFonts w:cs="Calibri"/>
                <w:szCs w:val="16"/>
              </w:rPr>
              <w:t>-</w:t>
            </w:r>
          </w:p>
        </w:tc>
        <w:tc>
          <w:tcPr>
            <w:tcW w:w="726" w:type="dxa"/>
            <w:shd w:val="clear" w:color="auto" w:fill="auto"/>
            <w:vAlign w:val="bottom"/>
          </w:tcPr>
          <w:p w14:paraId="435F1D19" w14:textId="04E5F7BC" w:rsidR="00590FE1" w:rsidRPr="001D5327" w:rsidRDefault="00C817BE" w:rsidP="00403787">
            <w:pPr>
              <w:pStyle w:val="TableText"/>
              <w:spacing w:before="40" w:after="40"/>
              <w:jc w:val="right"/>
              <w:rPr>
                <w:rFonts w:cs="Calibri"/>
                <w:szCs w:val="16"/>
              </w:rPr>
            </w:pPr>
            <w:r>
              <w:rPr>
                <w:rFonts w:cs="Calibri"/>
                <w:szCs w:val="16"/>
              </w:rPr>
              <w:t>-</w:t>
            </w:r>
          </w:p>
        </w:tc>
      </w:tr>
      <w:tr w:rsidR="00590FE1" w:rsidRPr="001D5327" w14:paraId="04E02969" w14:textId="77777777" w:rsidTr="00403787">
        <w:tc>
          <w:tcPr>
            <w:tcW w:w="3206" w:type="dxa"/>
            <w:shd w:val="clear" w:color="auto" w:fill="auto"/>
            <w:vAlign w:val="bottom"/>
          </w:tcPr>
          <w:p w14:paraId="28B2E2D6" w14:textId="77777777" w:rsidR="00590FE1" w:rsidRPr="001D5327" w:rsidRDefault="00590FE1" w:rsidP="00403787">
            <w:pPr>
              <w:pStyle w:val="TableText"/>
              <w:spacing w:before="40" w:after="40"/>
              <w:rPr>
                <w:rFonts w:cs="Calibri"/>
                <w:b/>
                <w:bCs/>
                <w:color w:val="1B556B"/>
                <w:szCs w:val="16"/>
              </w:rPr>
            </w:pPr>
            <w:r w:rsidRPr="001D5327">
              <w:rPr>
                <w:rFonts w:cs="Calibri"/>
                <w:b/>
                <w:bCs/>
                <w:color w:val="1B556B"/>
                <w:szCs w:val="16"/>
              </w:rPr>
              <w:t>Total</w:t>
            </w:r>
          </w:p>
        </w:tc>
        <w:tc>
          <w:tcPr>
            <w:tcW w:w="796" w:type="dxa"/>
            <w:shd w:val="clear" w:color="auto" w:fill="auto"/>
          </w:tcPr>
          <w:p w14:paraId="71B50714" w14:textId="77777777" w:rsidR="00590FE1" w:rsidRPr="001D5327" w:rsidRDefault="00590FE1" w:rsidP="00403787">
            <w:pPr>
              <w:pStyle w:val="Tableboldblue"/>
              <w:spacing w:before="40" w:after="40"/>
              <w:jc w:val="right"/>
              <w:rPr>
                <w:rFonts w:cs="Calibri"/>
                <w:color w:val="1B556B"/>
                <w:szCs w:val="16"/>
              </w:rPr>
            </w:pPr>
            <w:r w:rsidRPr="001D5327">
              <w:t>36,915.1</w:t>
            </w:r>
          </w:p>
        </w:tc>
        <w:tc>
          <w:tcPr>
            <w:tcW w:w="894" w:type="dxa"/>
            <w:shd w:val="clear" w:color="auto" w:fill="auto"/>
          </w:tcPr>
          <w:p w14:paraId="48DD7437" w14:textId="77777777" w:rsidR="00590FE1" w:rsidRPr="001D5327" w:rsidRDefault="00590FE1" w:rsidP="00403787">
            <w:pPr>
              <w:pStyle w:val="Tableboldblue"/>
              <w:spacing w:before="40" w:after="40"/>
              <w:jc w:val="right"/>
              <w:rPr>
                <w:rFonts w:cs="Calibri"/>
                <w:color w:val="1B556B"/>
                <w:szCs w:val="16"/>
              </w:rPr>
            </w:pPr>
            <w:r w:rsidRPr="001D5327">
              <w:t>40,613.0</w:t>
            </w:r>
          </w:p>
        </w:tc>
        <w:tc>
          <w:tcPr>
            <w:tcW w:w="1002" w:type="dxa"/>
            <w:shd w:val="clear" w:color="auto" w:fill="auto"/>
          </w:tcPr>
          <w:p w14:paraId="72C035D3" w14:textId="77777777" w:rsidR="00590FE1" w:rsidRPr="001D5327" w:rsidRDefault="00590FE1" w:rsidP="00403787">
            <w:pPr>
              <w:pStyle w:val="Tableboldblue"/>
              <w:spacing w:before="40" w:after="40"/>
              <w:jc w:val="right"/>
              <w:rPr>
                <w:rFonts w:cs="Calibri"/>
                <w:color w:val="1B556B"/>
                <w:szCs w:val="16"/>
              </w:rPr>
            </w:pPr>
            <w:r w:rsidRPr="001D5327">
              <w:t>10.0</w:t>
            </w:r>
          </w:p>
        </w:tc>
        <w:tc>
          <w:tcPr>
            <w:tcW w:w="989" w:type="dxa"/>
            <w:shd w:val="clear" w:color="auto" w:fill="auto"/>
          </w:tcPr>
          <w:p w14:paraId="52DDC34E" w14:textId="77777777" w:rsidR="00590FE1" w:rsidRPr="001D5327" w:rsidRDefault="00590FE1" w:rsidP="00403787">
            <w:pPr>
              <w:pStyle w:val="Tableboldblue"/>
              <w:spacing w:before="40" w:after="40"/>
              <w:jc w:val="right"/>
              <w:rPr>
                <w:rFonts w:cs="Calibri"/>
                <w:color w:val="1B556B"/>
                <w:szCs w:val="16"/>
              </w:rPr>
            </w:pPr>
            <w:r w:rsidRPr="001D5327">
              <w:t>3,697.9</w:t>
            </w:r>
          </w:p>
        </w:tc>
        <w:tc>
          <w:tcPr>
            <w:tcW w:w="824" w:type="dxa"/>
            <w:shd w:val="clear" w:color="auto" w:fill="auto"/>
          </w:tcPr>
          <w:p w14:paraId="209A77A8" w14:textId="77777777" w:rsidR="00590FE1" w:rsidRPr="001D5327" w:rsidRDefault="00590FE1" w:rsidP="00403787">
            <w:pPr>
              <w:pStyle w:val="Tableboldblue"/>
              <w:spacing w:before="40" w:after="40"/>
              <w:jc w:val="right"/>
              <w:rPr>
                <w:rFonts w:cs="Calibri"/>
                <w:color w:val="1B556B"/>
                <w:szCs w:val="16"/>
              </w:rPr>
            </w:pPr>
            <w:r w:rsidRPr="001D5327">
              <w:t>100.0</w:t>
            </w:r>
          </w:p>
        </w:tc>
        <w:tc>
          <w:tcPr>
            <w:tcW w:w="726" w:type="dxa"/>
            <w:shd w:val="clear" w:color="auto" w:fill="auto"/>
          </w:tcPr>
          <w:p w14:paraId="60ED2638" w14:textId="77777777" w:rsidR="00590FE1" w:rsidRPr="001D5327" w:rsidRDefault="00590FE1" w:rsidP="00403787">
            <w:pPr>
              <w:pStyle w:val="Tableboldblue"/>
              <w:spacing w:before="40" w:after="40"/>
              <w:jc w:val="right"/>
              <w:rPr>
                <w:rFonts w:cs="Calibri"/>
                <w:color w:val="1B556B"/>
                <w:szCs w:val="16"/>
              </w:rPr>
            </w:pPr>
            <w:r w:rsidRPr="001D5327">
              <w:t>100.0</w:t>
            </w:r>
          </w:p>
        </w:tc>
      </w:tr>
    </w:tbl>
    <w:bookmarkEnd w:id="593"/>
    <w:p w14:paraId="26A14650" w14:textId="77777777" w:rsidR="00590FE1" w:rsidRPr="001D5327" w:rsidRDefault="00590FE1" w:rsidP="00590FE1">
      <w:pPr>
        <w:pStyle w:val="Noteundertable"/>
        <w:rPr>
          <w:rFonts w:cs="Calibri"/>
        </w:rPr>
      </w:pPr>
      <w:r w:rsidRPr="001D5327">
        <w:rPr>
          <w:rFonts w:cs="Calibri"/>
          <w:b/>
          <w:bCs/>
        </w:rPr>
        <w:t>Note:</w:t>
      </w:r>
      <w:r w:rsidRPr="001D5327">
        <w:rPr>
          <w:rFonts w:cs="Calibri"/>
        </w:rPr>
        <w:t xml:space="preserve"> </w:t>
      </w:r>
      <w:r w:rsidRPr="001D5327">
        <w:rPr>
          <w:rFonts w:cs="Calibri"/>
        </w:rPr>
        <w:tab/>
        <w:t>NO = not occurring, NE = not estimated. Columns may not sum due to rounding. Percentages presented are calculated from unrounded values.</w:t>
      </w:r>
    </w:p>
    <w:p w14:paraId="14132223" w14:textId="77777777" w:rsidR="00590FE1" w:rsidRPr="001D5327" w:rsidRDefault="00590FE1" w:rsidP="00590FE1">
      <w:pPr>
        <w:pStyle w:val="BodyText"/>
        <w:rPr>
          <w:rFonts w:cs="Calibri"/>
          <w:spacing w:val="-2"/>
        </w:rPr>
      </w:pPr>
      <w:r w:rsidRPr="001D5327">
        <w:rPr>
          <w:rFonts w:cs="Calibri"/>
        </w:rPr>
        <w:lastRenderedPageBreak/>
        <w:t xml:space="preserve">The greatest absolute contributions to the increase since 1990 are a 1,717.3 kt </w:t>
      </w:r>
      <w:r w:rsidRPr="001D5327">
        <w:rPr>
          <w:rFonts w:cs="Calibri"/>
          <w:spacing w:val="-2"/>
        </w:rPr>
        <w:t>CO</w:t>
      </w:r>
      <w:r w:rsidRPr="001D5327">
        <w:rPr>
          <w:rFonts w:cs="Calibri"/>
          <w:spacing w:val="-2"/>
          <w:vertAlign w:val="subscript"/>
        </w:rPr>
        <w:t>2</w:t>
      </w:r>
      <w:r w:rsidRPr="001D5327">
        <w:rPr>
          <w:rFonts w:cs="Calibri"/>
          <w:spacing w:val="-2"/>
        </w:rPr>
        <w:t>-e (36.9</w:t>
      </w:r>
      <w:r w:rsidRPr="001D5327">
        <w:rPr>
          <w:spacing w:val="-2"/>
        </w:rPr>
        <w:t xml:space="preserve"> per cent</w:t>
      </w:r>
      <w:r w:rsidRPr="001D5327">
        <w:rPr>
          <w:rFonts w:cs="Calibri"/>
          <w:spacing w:val="-2"/>
        </w:rPr>
        <w:t xml:space="preserve">) increase in emissions from </w:t>
      </w:r>
      <w:r w:rsidRPr="001D5327">
        <w:rPr>
          <w:rFonts w:cs="Calibri"/>
          <w:i/>
          <w:spacing w:val="-2"/>
        </w:rPr>
        <w:t>Agricultural soils</w:t>
      </w:r>
      <w:r w:rsidRPr="001D5327">
        <w:rPr>
          <w:rFonts w:cs="Calibri"/>
        </w:rPr>
        <w:t xml:space="preserve">, </w:t>
      </w:r>
      <w:r w:rsidRPr="001D5327">
        <w:rPr>
          <w:rFonts w:cs="Calibri"/>
          <w:spacing w:val="-2"/>
        </w:rPr>
        <w:t>a 1,001.7</w:t>
      </w:r>
      <w:r w:rsidRPr="001D5327">
        <w:rPr>
          <w:spacing w:val="-2"/>
        </w:rPr>
        <w:t xml:space="preserve"> </w:t>
      </w:r>
      <w:r w:rsidRPr="001D5327">
        <w:rPr>
          <w:rFonts w:cs="Calibri"/>
          <w:spacing w:val="-2"/>
        </w:rPr>
        <w:t>kt CO</w:t>
      </w:r>
      <w:r w:rsidRPr="001D5327">
        <w:rPr>
          <w:rFonts w:cs="Calibri"/>
          <w:spacing w:val="-2"/>
          <w:vertAlign w:val="subscript"/>
        </w:rPr>
        <w:t>2</w:t>
      </w:r>
      <w:r w:rsidRPr="001D5327">
        <w:rPr>
          <w:rFonts w:cs="Calibri"/>
          <w:spacing w:val="-2"/>
        </w:rPr>
        <w:t xml:space="preserve">-e </w:t>
      </w:r>
      <w:r w:rsidRPr="001D5327">
        <w:t xml:space="preserve">(116.5 per cent) increase in emissions from </w:t>
      </w:r>
      <w:r w:rsidRPr="001D5327">
        <w:rPr>
          <w:i/>
        </w:rPr>
        <w:t>Manure management</w:t>
      </w:r>
      <w:r w:rsidRPr="001D5327">
        <w:t xml:space="preserve">, and a 626.8 </w:t>
      </w:r>
      <w:r w:rsidRPr="001D5327">
        <w:rPr>
          <w:rFonts w:cs="Calibri"/>
          <w:spacing w:val="-2"/>
        </w:rPr>
        <w:t>kt CO</w:t>
      </w:r>
      <w:r w:rsidRPr="001D5327">
        <w:rPr>
          <w:rFonts w:cs="Calibri"/>
          <w:spacing w:val="-2"/>
          <w:vertAlign w:val="subscript"/>
        </w:rPr>
        <w:t>2</w:t>
      </w:r>
      <w:r w:rsidRPr="001D5327">
        <w:rPr>
          <w:rFonts w:cs="Calibri"/>
          <w:spacing w:val="-2"/>
        </w:rPr>
        <w:t xml:space="preserve">-e (2.0 per cent) increase in </w:t>
      </w:r>
      <w:r w:rsidRPr="001D5327">
        <w:rPr>
          <w:spacing w:val="-2"/>
        </w:rPr>
        <w:t>CH</w:t>
      </w:r>
      <w:r w:rsidRPr="001D5327">
        <w:rPr>
          <w:spacing w:val="-2"/>
          <w:vertAlign w:val="subscript"/>
        </w:rPr>
        <w:t>4</w:t>
      </w:r>
      <w:r w:rsidRPr="001D5327">
        <w:rPr>
          <w:rFonts w:cs="Calibri"/>
          <w:spacing w:val="-2"/>
        </w:rPr>
        <w:t xml:space="preserve"> emissions from </w:t>
      </w:r>
      <w:r w:rsidRPr="001D5327">
        <w:rPr>
          <w:rFonts w:cs="Calibri"/>
          <w:i/>
          <w:szCs w:val="16"/>
        </w:rPr>
        <w:t xml:space="preserve">Enteric fermentation </w:t>
      </w:r>
      <w:r w:rsidRPr="001D5327">
        <w:rPr>
          <w:rFonts w:cs="Calibri"/>
        </w:rPr>
        <w:t xml:space="preserve">(table 5.1.1 and figure 5.1.1). </w:t>
      </w:r>
    </w:p>
    <w:p w14:paraId="3D115F99" w14:textId="77777777" w:rsidR="00590FE1" w:rsidRPr="001D5327" w:rsidRDefault="00590FE1" w:rsidP="00590FE1">
      <w:pPr>
        <w:pStyle w:val="BodyText"/>
        <w:rPr>
          <w:rFonts w:cs="Calibri"/>
        </w:rPr>
      </w:pPr>
      <w:r w:rsidRPr="001D5327">
        <w:rPr>
          <w:rFonts w:cs="Calibri"/>
          <w:spacing w:val="-2"/>
        </w:rPr>
        <w:t>The increase in N</w:t>
      </w:r>
      <w:r w:rsidRPr="001D5327">
        <w:rPr>
          <w:rFonts w:cs="Calibri"/>
          <w:spacing w:val="-2"/>
          <w:vertAlign w:val="subscript"/>
        </w:rPr>
        <w:t>2</w:t>
      </w:r>
      <w:r w:rsidRPr="001D5327">
        <w:rPr>
          <w:rFonts w:cs="Calibri"/>
          <w:spacing w:val="-2"/>
        </w:rPr>
        <w:t xml:space="preserve">O emissions from </w:t>
      </w:r>
      <w:r w:rsidRPr="001D5327">
        <w:rPr>
          <w:rFonts w:cs="Calibri"/>
          <w:i/>
          <w:iCs/>
          <w:spacing w:val="-2"/>
        </w:rPr>
        <w:t>Agricultural soils</w:t>
      </w:r>
      <w:r w:rsidRPr="001D5327">
        <w:rPr>
          <w:rFonts w:cs="Calibri"/>
          <w:spacing w:val="-2"/>
        </w:rPr>
        <w:t xml:space="preserve"> is primarily a result of increased application</w:t>
      </w:r>
      <w:r w:rsidRPr="001D5327">
        <w:rPr>
          <w:rFonts w:cs="Calibri"/>
        </w:rPr>
        <w:t xml:space="preserve"> of synthetic nitrogen fertiliser by 534 per cent</w:t>
      </w:r>
      <w:r w:rsidRPr="001D5327" w:rsidDel="00721C02">
        <w:rPr>
          <w:rFonts w:cs="Calibri"/>
        </w:rPr>
        <w:t xml:space="preserve"> </w:t>
      </w:r>
      <w:r w:rsidRPr="001D5327">
        <w:rPr>
          <w:rFonts w:cs="Calibri"/>
        </w:rPr>
        <w:t>since 1990. This is partly due to an increase in dairy farming, as w</w:t>
      </w:r>
      <w:bookmarkStart w:id="594" w:name="xxxxx"/>
      <w:bookmarkEnd w:id="594"/>
      <w:r w:rsidRPr="001D5327">
        <w:rPr>
          <w:rFonts w:cs="Calibri"/>
        </w:rPr>
        <w:t>ell as increased use on other farm types.</w:t>
      </w:r>
      <w:r w:rsidRPr="001D5327">
        <w:t xml:space="preserve"> The emissions from synthetic nitrogen fertiliser use (N</w:t>
      </w:r>
      <w:r w:rsidRPr="001D5327">
        <w:rPr>
          <w:vertAlign w:val="subscript"/>
        </w:rPr>
        <w:t>2</w:t>
      </w:r>
      <w:r w:rsidRPr="001D5327">
        <w:t xml:space="preserve">O) increased by 1,094.3 </w:t>
      </w:r>
      <w:r w:rsidRPr="001D5327">
        <w:rPr>
          <w:rFonts w:cs="Calibri"/>
        </w:rPr>
        <w:t xml:space="preserve">kt </w:t>
      </w:r>
      <w:r w:rsidRPr="001D5327">
        <w:rPr>
          <w:rFonts w:cs="Calibri"/>
          <w:spacing w:val="-2"/>
        </w:rPr>
        <w:t>CO</w:t>
      </w:r>
      <w:r w:rsidRPr="001D5327">
        <w:rPr>
          <w:rFonts w:cs="Calibri"/>
          <w:spacing w:val="-2"/>
          <w:vertAlign w:val="subscript"/>
        </w:rPr>
        <w:t>2</w:t>
      </w:r>
      <w:r w:rsidRPr="001D5327">
        <w:rPr>
          <w:rFonts w:cs="Calibri"/>
          <w:spacing w:val="-2"/>
        </w:rPr>
        <w:t xml:space="preserve">-e between 1990 and 2023. This is 63.7 per cent of the total increase in emissions from </w:t>
      </w:r>
      <w:r w:rsidRPr="001D5327">
        <w:rPr>
          <w:rFonts w:cs="Calibri"/>
          <w:i/>
          <w:spacing w:val="-2"/>
        </w:rPr>
        <w:t xml:space="preserve">Agricultural soils. </w:t>
      </w:r>
    </w:p>
    <w:p w14:paraId="5E8D43FA" w14:textId="54B74507" w:rsidR="00590FE1" w:rsidRPr="001D5327" w:rsidRDefault="00590FE1" w:rsidP="00590FE1">
      <w:pPr>
        <w:pStyle w:val="BodyText"/>
        <w:rPr>
          <w:rFonts w:cs="Calibri"/>
        </w:rPr>
      </w:pPr>
      <w:r w:rsidRPr="001D5327">
        <w:rPr>
          <w:rFonts w:cs="Calibri"/>
        </w:rPr>
        <w:t xml:space="preserve">The increase in emissions from </w:t>
      </w:r>
      <w:r w:rsidRPr="001D5327">
        <w:rPr>
          <w:rFonts w:cs="Calibri"/>
          <w:i/>
          <w:iCs/>
        </w:rPr>
        <w:t>Manure management</w:t>
      </w:r>
      <w:r w:rsidRPr="001D5327">
        <w:rPr>
          <w:rFonts w:cs="Calibri"/>
        </w:rPr>
        <w:t xml:space="preserve"> and </w:t>
      </w:r>
      <w:r w:rsidRPr="001D5327">
        <w:rPr>
          <w:rFonts w:cs="Calibri"/>
          <w:i/>
        </w:rPr>
        <w:t>Enteric fermentation</w:t>
      </w:r>
      <w:r w:rsidRPr="001D5327">
        <w:rPr>
          <w:rFonts w:cs="Calibri"/>
        </w:rPr>
        <w:t xml:space="preserve"> is driven by an increase in dairy cattle </w:t>
      </w:r>
      <w:r w:rsidRPr="001D5327">
        <w:rPr>
          <w:rFonts w:cs="Calibri"/>
          <w:spacing w:val="-2"/>
        </w:rPr>
        <w:t xml:space="preserve">numbers. The increase in dairy </w:t>
      </w:r>
      <w:r w:rsidRPr="001D5327">
        <w:rPr>
          <w:rFonts w:cs="Calibri"/>
          <w:i/>
          <w:iCs/>
          <w:spacing w:val="-2"/>
        </w:rPr>
        <w:t>Enteric fermentation</w:t>
      </w:r>
      <w:r w:rsidRPr="001D5327">
        <w:rPr>
          <w:rFonts w:cs="Calibri"/>
          <w:spacing w:val="-2"/>
        </w:rPr>
        <w:t xml:space="preserve"> emissions is partially offset by a decline in sheep numbers and a decrease in </w:t>
      </w:r>
      <w:r w:rsidRPr="001D5327">
        <w:rPr>
          <w:rFonts w:cs="Calibri"/>
          <w:i/>
          <w:iCs/>
          <w:spacing w:val="-2"/>
        </w:rPr>
        <w:t>Non-dairy</w:t>
      </w:r>
      <w:r w:rsidRPr="001D5327">
        <w:rPr>
          <w:rFonts w:cs="Calibri"/>
          <w:spacing w:val="-2"/>
        </w:rPr>
        <w:t xml:space="preserve"> (beef) </w:t>
      </w:r>
      <w:r w:rsidRPr="001D5327">
        <w:rPr>
          <w:rFonts w:cs="Calibri"/>
          <w:i/>
          <w:iCs/>
          <w:spacing w:val="-2"/>
        </w:rPr>
        <w:t>cattle</w:t>
      </w:r>
      <w:r w:rsidRPr="001D5327">
        <w:rPr>
          <w:rFonts w:cs="Calibri"/>
          <w:spacing w:val="-2"/>
        </w:rPr>
        <w:t>. The</w:t>
      </w:r>
      <w:r w:rsidRPr="001D5327">
        <w:rPr>
          <w:rFonts w:cs="Calibri"/>
        </w:rPr>
        <w:t xml:space="preserve"> change in</w:t>
      </w:r>
      <w:r w:rsidR="005300E2" w:rsidRPr="001D5327">
        <w:rPr>
          <w:rFonts w:cs="Calibri"/>
        </w:rPr>
        <w:t xml:space="preserve"> </w:t>
      </w:r>
      <w:r w:rsidRPr="001D5327">
        <w:rPr>
          <w:rFonts w:cs="Calibri"/>
        </w:rPr>
        <w:t xml:space="preserve">animal populations since 1990 reflects the relative financial returns in each sector (it has become more profitable to farm dairy cattle than non-dairy cattle or sheep in </w:t>
      </w:r>
      <w:r w:rsidRPr="001D5327">
        <w:t>New Zealand</w:t>
      </w:r>
      <w:r w:rsidRPr="001D5327">
        <w:rPr>
          <w:rFonts w:cs="Calibri"/>
        </w:rPr>
        <w:t xml:space="preserve"> over the reporting period). </w:t>
      </w:r>
    </w:p>
    <w:p w14:paraId="6C75AE07" w14:textId="77777777" w:rsidR="00590FE1" w:rsidRPr="001D5327" w:rsidRDefault="00590FE1" w:rsidP="00590FE1">
      <w:pPr>
        <w:pStyle w:val="Figure"/>
      </w:pPr>
      <w:bookmarkStart w:id="595" w:name="_Toc32570956"/>
      <w:bookmarkStart w:id="596" w:name="_Toc36292786"/>
      <w:bookmarkStart w:id="597" w:name="_Toc68786651"/>
      <w:bookmarkStart w:id="598" w:name="_Toc95574112"/>
      <w:bookmarkStart w:id="599" w:name="_Toc127458551"/>
      <w:bookmarkStart w:id="600" w:name="_Toc131591553"/>
      <w:bookmarkStart w:id="601" w:name="_Toc164154021"/>
      <w:bookmarkStart w:id="602" w:name="_Toc194674854"/>
      <w:r w:rsidRPr="001D5327">
        <w:t>Figure 5.1.1</w:t>
      </w:r>
      <w:r w:rsidRPr="001D5327">
        <w:tab/>
        <w:t>New Zealand’s emissions from the Agriculture sector, from 1990 to </w:t>
      </w:r>
      <w:bookmarkEnd w:id="595"/>
      <w:bookmarkEnd w:id="596"/>
      <w:bookmarkEnd w:id="597"/>
      <w:bookmarkEnd w:id="598"/>
      <w:bookmarkEnd w:id="599"/>
      <w:bookmarkEnd w:id="600"/>
      <w:bookmarkEnd w:id="601"/>
      <w:r w:rsidRPr="001D5327">
        <w:t>2023</w:t>
      </w:r>
      <w:bookmarkEnd w:id="602"/>
    </w:p>
    <w:p w14:paraId="79A22512" w14:textId="77777777" w:rsidR="00590FE1" w:rsidRPr="001D5327" w:rsidRDefault="00590FE1" w:rsidP="00590FE1">
      <w:pPr>
        <w:pStyle w:val="BodyText"/>
        <w:spacing w:before="0"/>
      </w:pPr>
      <w:r w:rsidRPr="001D5327">
        <w:rPr>
          <w:rFonts w:cs="Calibri"/>
          <w:noProof/>
        </w:rPr>
        <w:drawing>
          <wp:inline distT="0" distB="0" distL="0" distR="0" wp14:anchorId="59CBBF5D" wp14:editId="78792E1F">
            <wp:extent cx="5397500" cy="2995246"/>
            <wp:effectExtent l="0" t="0" r="0" b="0"/>
            <wp:docPr id="46489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3736"/>
                    <a:stretch/>
                  </pic:blipFill>
                  <pic:spPr bwMode="auto">
                    <a:xfrm>
                      <a:off x="0" y="0"/>
                      <a:ext cx="5397500" cy="2995246"/>
                    </a:xfrm>
                    <a:prstGeom prst="rect">
                      <a:avLst/>
                    </a:prstGeom>
                    <a:noFill/>
                    <a:ln>
                      <a:noFill/>
                    </a:ln>
                    <a:extLst>
                      <a:ext uri="{53640926-AAD7-44D8-BBD7-CCE9431645EC}">
                        <a14:shadowObscured xmlns:a14="http://schemas.microsoft.com/office/drawing/2010/main"/>
                      </a:ext>
                    </a:extLst>
                  </pic:spPr>
                </pic:pic>
              </a:graphicData>
            </a:graphic>
          </wp:inline>
        </w:drawing>
      </w:r>
    </w:p>
    <w:p w14:paraId="5C751E58" w14:textId="1C421174" w:rsidR="00590FE1" w:rsidRPr="001D5327" w:rsidRDefault="00590FE1" w:rsidP="00590FE1">
      <w:pPr>
        <w:pStyle w:val="Noteundertable"/>
        <w:spacing w:before="0"/>
        <w:rPr>
          <w:rFonts w:cs="Calibri"/>
        </w:rPr>
      </w:pPr>
      <w:r w:rsidRPr="001D5327">
        <w:rPr>
          <w:rFonts w:cs="Calibri"/>
          <w:b/>
          <w:bCs/>
        </w:rPr>
        <w:t>Note:</w:t>
      </w:r>
      <w:r w:rsidRPr="001D5327">
        <w:rPr>
          <w:rFonts w:cs="Calibri"/>
        </w:rPr>
        <w:t xml:space="preserve"> </w:t>
      </w:r>
      <w:r w:rsidRPr="001D5327">
        <w:rPr>
          <w:rFonts w:cs="Calibri"/>
        </w:rPr>
        <w:tab/>
        <w:t xml:space="preserve">Rice cultivation does not occur (NO) in New Zealand. Emissions from other carbon-containing fertilisers are not estimated (NE). </w:t>
      </w:r>
      <w:r w:rsidR="003E31A2" w:rsidRPr="003E31A2">
        <w:rPr>
          <w:rFonts w:cs="Calibri"/>
        </w:rPr>
        <w:t>The change between 1990 and 2023 is presented for each category in kt CO</w:t>
      </w:r>
      <w:r w:rsidR="003E31A2" w:rsidRPr="003E31A2">
        <w:rPr>
          <w:rFonts w:cs="Calibri"/>
          <w:vertAlign w:val="subscript"/>
        </w:rPr>
        <w:t>2</w:t>
      </w:r>
      <w:r w:rsidR="003E31A2" w:rsidRPr="003E31A2">
        <w:rPr>
          <w:rFonts w:cs="Calibri"/>
        </w:rPr>
        <w:t>-e</w:t>
      </w:r>
      <w:r w:rsidR="003E31A2">
        <w:rPr>
          <w:rFonts w:cs="Calibri"/>
        </w:rPr>
        <w:t>.</w:t>
      </w:r>
    </w:p>
    <w:p w14:paraId="141A0B16" w14:textId="77777777" w:rsidR="00590FE1" w:rsidRPr="001D5327" w:rsidRDefault="00590FE1" w:rsidP="00590FE1">
      <w:pPr>
        <w:pStyle w:val="BodyText"/>
        <w:rPr>
          <w:rFonts w:cs="Calibri"/>
        </w:rPr>
      </w:pPr>
      <w:r w:rsidRPr="001D5327">
        <w:rPr>
          <w:rFonts w:cs="Calibri"/>
        </w:rPr>
        <w:t xml:space="preserve">Agriculture emissions most recently peaked at 43,203.4 kt </w:t>
      </w:r>
      <w:r w:rsidRPr="001D5327">
        <w:t>CO</w:t>
      </w:r>
      <w:r w:rsidRPr="001D5327">
        <w:rPr>
          <w:vertAlign w:val="subscript"/>
        </w:rPr>
        <w:t>2</w:t>
      </w:r>
      <w:r w:rsidRPr="001D5327">
        <w:t xml:space="preserve">-e in 2014, corresponding with a peak in overall cattle numbers. Prior to 2014, </w:t>
      </w:r>
      <w:r w:rsidRPr="001D5327">
        <w:rPr>
          <w:iCs/>
        </w:rPr>
        <w:t>Agriculture</w:t>
      </w:r>
      <w:r w:rsidRPr="001D5327">
        <w:rPr>
          <w:i/>
        </w:rPr>
        <w:t xml:space="preserve"> </w:t>
      </w:r>
      <w:r w:rsidRPr="001D5327">
        <w:t>emissions were at their highest in 2005 (43,161.7 kt CO</w:t>
      </w:r>
      <w:r w:rsidRPr="001D5327">
        <w:rPr>
          <w:vertAlign w:val="subscript"/>
        </w:rPr>
        <w:t>2</w:t>
      </w:r>
      <w:r w:rsidRPr="001D5327">
        <w:t>-e) but dropped by around 1,400 kt CO</w:t>
      </w:r>
      <w:r w:rsidRPr="001D5327">
        <w:rPr>
          <w:vertAlign w:val="subscript"/>
        </w:rPr>
        <w:t>2</w:t>
      </w:r>
      <w:r w:rsidRPr="001D5327">
        <w:t>-e during the Global Financial Crisis (2007–08) and another 900 kt CO</w:t>
      </w:r>
      <w:r w:rsidRPr="001D5327">
        <w:rPr>
          <w:vertAlign w:val="subscript"/>
        </w:rPr>
        <w:t>2</w:t>
      </w:r>
      <w:r w:rsidRPr="001D5327">
        <w:t>-e during a 2008 nationwide drought. Agriculture emissions have remained slightly below the 2014 peak in the years 2015 to 2021 and have dropped significantly in 2022 and 2023 (figure 5.1.2).</w:t>
      </w:r>
    </w:p>
    <w:p w14:paraId="4627FACC" w14:textId="77777777" w:rsidR="00590FE1" w:rsidRPr="001D5327" w:rsidRDefault="00590FE1" w:rsidP="00590FE1">
      <w:pPr>
        <w:pStyle w:val="Figure"/>
      </w:pPr>
      <w:bookmarkStart w:id="603" w:name="_Toc32570957"/>
      <w:bookmarkStart w:id="604" w:name="_Toc36292787"/>
      <w:bookmarkStart w:id="605" w:name="_Toc68786652"/>
      <w:bookmarkStart w:id="606" w:name="_Toc95574113"/>
      <w:bookmarkStart w:id="607" w:name="_Toc127458552"/>
      <w:bookmarkStart w:id="608" w:name="_Toc131591554"/>
      <w:bookmarkStart w:id="609" w:name="_Toc164154022"/>
      <w:bookmarkStart w:id="610" w:name="_Toc194674855"/>
      <w:r w:rsidRPr="001D5327">
        <w:lastRenderedPageBreak/>
        <w:t>Figure 5.1.2</w:t>
      </w:r>
      <w:r w:rsidRPr="001D5327">
        <w:tab/>
        <w:t>New Zealand’s Agriculture sector emissions, from 1990 to </w:t>
      </w:r>
      <w:bookmarkEnd w:id="603"/>
      <w:bookmarkEnd w:id="604"/>
      <w:bookmarkEnd w:id="605"/>
      <w:bookmarkEnd w:id="606"/>
      <w:bookmarkEnd w:id="607"/>
      <w:bookmarkEnd w:id="608"/>
      <w:bookmarkEnd w:id="609"/>
      <w:r w:rsidRPr="001D5327">
        <w:t>2023</w:t>
      </w:r>
      <w:bookmarkEnd w:id="610"/>
    </w:p>
    <w:p w14:paraId="06CD399B" w14:textId="77777777" w:rsidR="00590FE1" w:rsidRPr="001D5327" w:rsidRDefault="00590FE1" w:rsidP="00590FE1">
      <w:pPr>
        <w:pStyle w:val="BodyText"/>
        <w:spacing w:before="0" w:after="0"/>
        <w:rPr>
          <w:rFonts w:cs="Calibri"/>
        </w:rPr>
      </w:pPr>
      <w:r w:rsidRPr="001D5327">
        <w:rPr>
          <w:noProof/>
        </w:rPr>
        <w:drawing>
          <wp:inline distT="0" distB="0" distL="0" distR="0" wp14:anchorId="5BEB4535" wp14:editId="6BCAFC76">
            <wp:extent cx="5099539" cy="2987729"/>
            <wp:effectExtent l="0" t="0" r="6350" b="3175"/>
            <wp:docPr id="5038850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113086" cy="2995666"/>
                    </a:xfrm>
                    <a:prstGeom prst="rect">
                      <a:avLst/>
                    </a:prstGeom>
                  </pic:spPr>
                </pic:pic>
              </a:graphicData>
            </a:graphic>
          </wp:inline>
        </w:drawing>
      </w:r>
    </w:p>
    <w:p w14:paraId="0A27AC74" w14:textId="38281F72" w:rsidR="00590FE1" w:rsidRPr="001D5327" w:rsidRDefault="00590FE1" w:rsidP="00590FE1">
      <w:pPr>
        <w:pStyle w:val="Heading5"/>
      </w:pPr>
      <w:r w:rsidRPr="001D5327">
        <w:t>2022–2023</w:t>
      </w:r>
    </w:p>
    <w:p w14:paraId="2F0F9A02" w14:textId="77777777" w:rsidR="00590FE1" w:rsidRPr="001D5327" w:rsidRDefault="00590FE1" w:rsidP="00590FE1">
      <w:pPr>
        <w:pStyle w:val="BodyText"/>
      </w:pPr>
      <w:r w:rsidRPr="001D5327">
        <w:t>Between 2022 and 2023, total Agriculture emissions decreased 2.2 per cent (908.4 kt CO</w:t>
      </w:r>
      <w:r w:rsidRPr="001D5327">
        <w:rPr>
          <w:vertAlign w:val="subscript"/>
        </w:rPr>
        <w:t>2</w:t>
      </w:r>
      <w:r w:rsidRPr="001D5327">
        <w:noBreakHyphen/>
        <w:t>e), largely due to a decrease in emissions from dairy cattle, non-dairy cattle, sheep, and limestone application. Specifically:</w:t>
      </w:r>
    </w:p>
    <w:p w14:paraId="04941D97" w14:textId="77777777" w:rsidR="00590FE1" w:rsidRPr="001D5327" w:rsidRDefault="00590FE1" w:rsidP="00590FE1">
      <w:pPr>
        <w:pStyle w:val="Bullet"/>
      </w:pPr>
      <w:r w:rsidRPr="001D5327">
        <w:t>dairy cattle emissions decreased by 1.6 per cent (328.2 kt CO</w:t>
      </w:r>
      <w:r w:rsidRPr="001D5327">
        <w:rPr>
          <w:vertAlign w:val="subscript"/>
        </w:rPr>
        <w:t>2</w:t>
      </w:r>
      <w:r w:rsidRPr="001D5327">
        <w:t>-e) due to a decrease in the dairy cattle population</w:t>
      </w:r>
    </w:p>
    <w:p w14:paraId="413FDBAF" w14:textId="77777777" w:rsidR="00590FE1" w:rsidRPr="001D5327" w:rsidRDefault="00590FE1" w:rsidP="00590FE1">
      <w:pPr>
        <w:pStyle w:val="Bullet"/>
      </w:pPr>
      <w:r w:rsidRPr="001D5327">
        <w:t>sheep emissions decreased by 3.1 per cent (294.6 kt CO</w:t>
      </w:r>
      <w:r w:rsidRPr="001D5327">
        <w:rPr>
          <w:vertAlign w:val="subscript"/>
        </w:rPr>
        <w:t>2</w:t>
      </w:r>
      <w:r w:rsidRPr="001D5327">
        <w:t xml:space="preserve">-e) due to </w:t>
      </w:r>
      <w:r w:rsidRPr="001D5327" w:rsidDel="008E6959">
        <w:t xml:space="preserve">a </w:t>
      </w:r>
      <w:r w:rsidRPr="001D5327">
        <w:t>continuing decrease in the sheep population</w:t>
      </w:r>
    </w:p>
    <w:p w14:paraId="49DB9A65" w14:textId="77777777" w:rsidR="00590FE1" w:rsidRPr="001D5327" w:rsidRDefault="00590FE1" w:rsidP="00590FE1">
      <w:pPr>
        <w:pStyle w:val="Bullet"/>
      </w:pPr>
      <w:r w:rsidRPr="001D5327">
        <w:t>emissions from limestone use decreased by 38.8 per cent (166.6 kt CO</w:t>
      </w:r>
      <w:r w:rsidRPr="001D5327">
        <w:rPr>
          <w:vertAlign w:val="subscript"/>
        </w:rPr>
        <w:t>2</w:t>
      </w:r>
      <w:r w:rsidRPr="001D5327">
        <w:t>-e) due to a decrease in limestone use</w:t>
      </w:r>
    </w:p>
    <w:p w14:paraId="08BEFC05" w14:textId="77777777" w:rsidR="00590FE1" w:rsidRPr="001D5327" w:rsidRDefault="00590FE1" w:rsidP="00590FE1">
      <w:pPr>
        <w:pStyle w:val="Bullet"/>
      </w:pPr>
      <w:r w:rsidRPr="001D5327">
        <w:t>non-dairy cattle emissions decreased by 1.5 per cent (127.8 kt CO</w:t>
      </w:r>
      <w:r w:rsidRPr="001D5327">
        <w:rPr>
          <w:vertAlign w:val="subscript"/>
        </w:rPr>
        <w:t>2</w:t>
      </w:r>
      <w:r w:rsidRPr="001D5327">
        <w:t>-e) due to a decrease in the beef cattle population.</w:t>
      </w:r>
    </w:p>
    <w:p w14:paraId="21D711CD" w14:textId="77777777" w:rsidR="00590FE1" w:rsidRPr="001D5327" w:rsidRDefault="00590FE1" w:rsidP="00590FE1">
      <w:pPr>
        <w:pStyle w:val="BodyText"/>
      </w:pPr>
      <w:r w:rsidRPr="001D5327">
        <w:rPr>
          <w:spacing w:val="-2"/>
        </w:rPr>
        <w:t>Emissions from urea (carbon dioxide (CO</w:t>
      </w:r>
      <w:r w:rsidRPr="001D5327">
        <w:rPr>
          <w:spacing w:val="-2"/>
          <w:vertAlign w:val="subscript"/>
        </w:rPr>
        <w:t>2</w:t>
      </w:r>
      <w:r w:rsidRPr="001D5327">
        <w:rPr>
          <w:spacing w:val="-2"/>
        </w:rPr>
        <w:t>) and N</w:t>
      </w:r>
      <w:r w:rsidRPr="001D5327">
        <w:rPr>
          <w:spacing w:val="-2"/>
          <w:vertAlign w:val="subscript"/>
        </w:rPr>
        <w:t>2</w:t>
      </w:r>
      <w:r w:rsidRPr="001D5327">
        <w:rPr>
          <w:spacing w:val="-2"/>
        </w:rPr>
        <w:t>O) increased by 11.3 per cent (126.0 kt CO</w:t>
      </w:r>
      <w:r w:rsidRPr="001D5327">
        <w:rPr>
          <w:spacing w:val="-2"/>
          <w:vertAlign w:val="subscript"/>
        </w:rPr>
        <w:t>2</w:t>
      </w:r>
      <w:r w:rsidRPr="001D5327">
        <w:rPr>
          <w:spacing w:val="-2"/>
        </w:rPr>
        <w:t>-e)</w:t>
      </w:r>
      <w:r w:rsidRPr="001D5327">
        <w:t xml:space="preserve"> due to an increase in urea use and decrease in urease inhibitor use. This increase reflects a slight recovery in urea use following a significant decrease in 2022. The impact of increased emissions from urea from 2022 to 2023 was largely offset by a decrease in the use of other (non-urea) synthetic nitrogen fertilisers.</w:t>
      </w:r>
    </w:p>
    <w:p w14:paraId="52D2B1F9" w14:textId="77777777" w:rsidR="00590FE1" w:rsidRPr="001D5327" w:rsidRDefault="00590FE1" w:rsidP="00590FE1">
      <w:pPr>
        <w:pStyle w:val="Heading3"/>
      </w:pPr>
      <w:bookmarkStart w:id="611" w:name="_Toc32570643"/>
      <w:r w:rsidRPr="001D5327">
        <w:t>5.1.1</w:t>
      </w:r>
      <w:r w:rsidRPr="001D5327">
        <w:tab/>
        <w:t>New Zealand farming practices and trends</w:t>
      </w:r>
      <w:bookmarkEnd w:id="611"/>
      <w:r w:rsidRPr="001D5327">
        <w:t xml:space="preserve"> </w:t>
      </w:r>
    </w:p>
    <w:p w14:paraId="780288C0" w14:textId="77777777" w:rsidR="00590FE1" w:rsidRPr="001D5327" w:rsidRDefault="00590FE1" w:rsidP="00590FE1">
      <w:pPr>
        <w:pStyle w:val="BodyText"/>
        <w:rPr>
          <w:rFonts w:cs="Calibri"/>
        </w:rPr>
      </w:pPr>
      <w:r w:rsidRPr="001D5327">
        <w:rPr>
          <w:rFonts w:cs="Calibri"/>
        </w:rPr>
        <w:t xml:space="preserve">Agriculture is a major component of the </w:t>
      </w:r>
      <w:r w:rsidRPr="001D5327">
        <w:t>New Zealand</w:t>
      </w:r>
      <w:r w:rsidRPr="001D5327" w:rsidDel="007E7C77">
        <w:rPr>
          <w:rFonts w:cs="Calibri"/>
        </w:rPr>
        <w:t xml:space="preserve"> </w:t>
      </w:r>
      <w:r w:rsidRPr="001D5327">
        <w:rPr>
          <w:rFonts w:cs="Calibri"/>
        </w:rPr>
        <w:t xml:space="preserve">economy, and exports from food and fibre products comprised around </w:t>
      </w:r>
      <w:r w:rsidRPr="001D5327">
        <w:t xml:space="preserve">81 per cent of New Zealand’s merchandise exports and delivered $54.6 billion in export earnings in the year to 30 June 2024 (MPI, 2024). </w:t>
      </w:r>
      <w:r w:rsidRPr="001D5327">
        <w:rPr>
          <w:rFonts w:cs="Calibri"/>
        </w:rPr>
        <w:t xml:space="preserve">The production of agricultural products in </w:t>
      </w:r>
      <w:r w:rsidRPr="001D5327" w:rsidDel="00AD2AA8">
        <w:t xml:space="preserve">New </w:t>
      </w:r>
      <w:r w:rsidRPr="001D5327">
        <w:t>Zealand</w:t>
      </w:r>
      <w:r w:rsidRPr="001D5327">
        <w:rPr>
          <w:rFonts w:cs="Calibri"/>
        </w:rPr>
        <w:t xml:space="preserve"> is helped by the favourable temperate climate and access to abundant fresh water and highly productive soils. Typical farming practices in </w:t>
      </w:r>
      <w:r w:rsidRPr="001D5327" w:rsidDel="00224057">
        <w:t xml:space="preserve">New </w:t>
      </w:r>
      <w:r w:rsidRPr="001D5327">
        <w:t>Zealand</w:t>
      </w:r>
      <w:r w:rsidRPr="001D5327">
        <w:rPr>
          <w:rFonts w:cs="Calibri"/>
        </w:rPr>
        <w:t xml:space="preserve"> include the use of year-round outdoor pastoral grazing systems and nitrogen inputs through nitrogen fixation by legumes, particularly white clover (</w:t>
      </w:r>
      <w:r w:rsidRPr="001D5327">
        <w:rPr>
          <w:rFonts w:cs="Calibri"/>
          <w:i/>
          <w:iCs/>
        </w:rPr>
        <w:t>Trifolium repens</w:t>
      </w:r>
      <w:r w:rsidRPr="001D5327">
        <w:rPr>
          <w:rFonts w:cs="Calibri"/>
        </w:rPr>
        <w:t xml:space="preserve">), complemented (if required) by synthetic nitrogen fertiliser and supplementary feeds. </w:t>
      </w:r>
      <w:r w:rsidRPr="001D5327">
        <w:rPr>
          <w:rFonts w:cs="Calibri"/>
        </w:rPr>
        <w:lastRenderedPageBreak/>
        <w:t>The</w:t>
      </w:r>
      <w:r w:rsidRPr="001D5327" w:rsidDel="008E6959">
        <w:rPr>
          <w:rFonts w:cs="Calibri"/>
        </w:rPr>
        <w:t xml:space="preserve"> </w:t>
      </w:r>
      <w:r w:rsidRPr="001D5327">
        <w:rPr>
          <w:rFonts w:cs="Calibri"/>
        </w:rPr>
        <w:t xml:space="preserve">widespread use of outdoor pastoral grazing systems means </w:t>
      </w:r>
      <w:r w:rsidRPr="001D5327">
        <w:t>New Zealand’s</w:t>
      </w:r>
      <w:r w:rsidRPr="001D5327">
        <w:rPr>
          <w:rFonts w:cs="Calibri"/>
        </w:rPr>
        <w:t xml:space="preserve"> agricultural production is more sensitive to climatic variation affecting feed production than countries that use intensive grain</w:t>
      </w:r>
      <w:r w:rsidRPr="001D5327">
        <w:rPr>
          <w:rFonts w:cs="Calibri"/>
        </w:rPr>
        <w:noBreakHyphen/>
        <w:t xml:space="preserve">fed systems and/or indoor feedlots. </w:t>
      </w:r>
    </w:p>
    <w:p w14:paraId="14453227" w14:textId="77777777" w:rsidR="00590FE1" w:rsidRPr="001D5327" w:rsidRDefault="00590FE1" w:rsidP="00590FE1">
      <w:pPr>
        <w:pStyle w:val="BodyText"/>
      </w:pPr>
      <w:r w:rsidRPr="001D5327">
        <w:t xml:space="preserve">Intensive housing of major ruminant livestock species rarely occurs in </w:t>
      </w:r>
      <w:r w:rsidRPr="001D5327" w:rsidDel="00DF24B0">
        <w:t>New</w:t>
      </w:r>
      <w:r w:rsidRPr="001D5327">
        <w:t xml:space="preserve"> Zealand. Farmers may temporarily take animals off regular grazing areas to prevent damage to soils and limit any subsequent loss in pasture growth, although most off-paddock pads are also outdoors. This means </w:t>
      </w:r>
      <w:r w:rsidRPr="001D5327" w:rsidDel="00DF24B0">
        <w:t xml:space="preserve">New </w:t>
      </w:r>
      <w:r w:rsidRPr="001D5327">
        <w:t xml:space="preserve">Zealand has a much lower proportion of agricultural emissions from </w:t>
      </w:r>
      <w:r w:rsidRPr="001D5327">
        <w:rPr>
          <w:i/>
          <w:iCs/>
        </w:rPr>
        <w:t>Manure</w:t>
      </w:r>
      <w:r w:rsidRPr="001D5327">
        <w:rPr>
          <w:i/>
        </w:rPr>
        <w:t xml:space="preserve"> management</w:t>
      </w:r>
      <w:r w:rsidRPr="001D5327">
        <w:t xml:space="preserve">, compared with other Annex I Parties, because most manure is deposited directly onto pastures. For further information about New Zealand’s agricultural farming conditions, see section 2.1.6.4 (National circumstances, Agriculture) of New Zealand’s first Biennial Transparency Report under the Paris Agreement (MfE, 2024). </w:t>
      </w:r>
    </w:p>
    <w:p w14:paraId="3DA1B425" w14:textId="77777777" w:rsidR="00590FE1" w:rsidRPr="001D5327" w:rsidRDefault="00590FE1" w:rsidP="00590FE1">
      <w:pPr>
        <w:pStyle w:val="BodyText"/>
        <w:rPr>
          <w:rFonts w:cs="Calibri"/>
        </w:rPr>
      </w:pPr>
      <w:r w:rsidRPr="001D5327">
        <w:rPr>
          <w:rFonts w:cs="Calibri"/>
        </w:rPr>
        <w:t xml:space="preserve">Trends in emissions from the Agriculture sector are largely driven by the populations of the ruminant livestock categories (dairy cattle, non-dairy cattle, sheep and deer). In 1990 and 2023 respectively, 95.0 per cent and 92.4 per cent of agricultural emissions originated from these ruminant livestock categories. </w:t>
      </w:r>
    </w:p>
    <w:p w14:paraId="7F88CF32" w14:textId="27332296" w:rsidR="00590FE1" w:rsidRPr="001D5327" w:rsidRDefault="00590FE1" w:rsidP="00590FE1">
      <w:pPr>
        <w:pStyle w:val="BodyText"/>
      </w:pPr>
      <w:r w:rsidRPr="001D5327">
        <w:t xml:space="preserve">Agricultural livestock activities use around 34 per cent of New Zealand’s total land area (Stats NZ, 2024). Since 1990, the proportions of the main livestock categories farmed in </w:t>
      </w:r>
      <w:r w:rsidRPr="001D5327" w:rsidDel="007A3905">
        <w:t>New</w:t>
      </w:r>
      <w:r w:rsidRPr="001D5327">
        <w:t> Zealand have changed (see figure 5.1.3a and figure 5.1.3b). The</w:t>
      </w:r>
      <w:r w:rsidRPr="001D5327" w:rsidDel="00BA6D59">
        <w:t xml:space="preserve"> </w:t>
      </w:r>
      <w:r w:rsidRPr="001D5327">
        <w:t>population of dairy cattle has increased while the populations of sheep, non-dairy cattle, and deer have decreased.</w:t>
      </w:r>
      <w:r w:rsidRPr="001D5327">
        <w:rPr>
          <w:color w:val="FF0000"/>
        </w:rPr>
        <w:t xml:space="preserve"> </w:t>
      </w:r>
      <w:r w:rsidRPr="001D5327">
        <w:t>Between 1990 and 2023, the land area used for sheep and non-dairy cattle grazing has decreased by 41.6 per cent (5.2 million hectares) from 12.5 million hectares to 7.3 million hectares (Beef + Lamb New Zealand Ltd, 2024a), while the area used for dairy farming has increased by 66.4 per cent (679,859 hectares) (LIC and DairyNZ, 2024). Dairy farming has also intensified over this period, with the average number of cows per hectare increasing by 17.4 per cent.</w:t>
      </w:r>
      <w:r w:rsidRPr="001D5327" w:rsidDel="00103073">
        <w:t xml:space="preserve"> </w:t>
      </w:r>
      <w:r w:rsidRPr="001D5327">
        <w:t>However, since 2015, both the total land under dairy production and the national herd size have decreased 2.8 per cent and 5.9 per cent respectively since 2015 (LIC</w:t>
      </w:r>
      <w:r w:rsidR="005B637A" w:rsidRPr="001D5327">
        <w:t> </w:t>
      </w:r>
      <w:r w:rsidRPr="001D5327">
        <w:t>and DairyNZ, 2024).</w:t>
      </w:r>
    </w:p>
    <w:p w14:paraId="3E81B69D" w14:textId="77777777" w:rsidR="00590FE1" w:rsidRPr="001D5327" w:rsidRDefault="00590FE1" w:rsidP="00590FE1">
      <w:pPr>
        <w:pStyle w:val="BodyText"/>
      </w:pPr>
      <w:r w:rsidRPr="001D5327">
        <w:t xml:space="preserve">The use of synthetic nitrogen fertiliser in the Agriculture sector has increased by </w:t>
      </w:r>
      <w:r w:rsidRPr="001D5327">
        <w:rPr>
          <w:rFonts w:cs="Calibri"/>
        </w:rPr>
        <w:t xml:space="preserve">534 </w:t>
      </w:r>
      <w:r w:rsidRPr="001D5327">
        <w:t>per cent since 1990, although total use has decreased in recent years. Total emissions from synthetic nitrogen fertiliser (including CO</w:t>
      </w:r>
      <w:r w:rsidRPr="001D5327">
        <w:rPr>
          <w:vertAlign w:val="subscript"/>
        </w:rPr>
        <w:t>2</w:t>
      </w:r>
      <w:r w:rsidRPr="001D5327">
        <w:t xml:space="preserve"> from urea) have increased from 0.8 per cent of agricultural emissions in 1990 to a peak of 5.2 per cent in 2020. Since 2020, synthetic nitrogen fertiliser use has decreased. Total emissions from synthetic nitrogen fertiliser (including CO</w:t>
      </w:r>
      <w:r w:rsidRPr="001D5327">
        <w:rPr>
          <w:vertAlign w:val="subscript"/>
        </w:rPr>
        <w:t>2</w:t>
      </w:r>
      <w:r w:rsidRPr="001D5327">
        <w:t xml:space="preserve"> from urea) contributed 4.3 per cent of agricultural emissions in 2023. </w:t>
      </w:r>
    </w:p>
    <w:p w14:paraId="11476BD8" w14:textId="77777777" w:rsidR="00590FE1" w:rsidRPr="001D5327" w:rsidRDefault="00590FE1" w:rsidP="00590FE1">
      <w:pPr>
        <w:pStyle w:val="Figure"/>
        <w:spacing w:after="0"/>
      </w:pPr>
      <w:bookmarkStart w:id="612" w:name="_Toc507158462"/>
      <w:bookmarkStart w:id="613" w:name="_Toc511116955"/>
      <w:bookmarkStart w:id="614" w:name="_Toc5269685"/>
      <w:bookmarkStart w:id="615" w:name="_Toc32570958"/>
      <w:bookmarkStart w:id="616" w:name="_Toc36292788"/>
      <w:bookmarkStart w:id="617" w:name="_Toc68786653"/>
      <w:bookmarkStart w:id="618" w:name="_Toc95574114"/>
      <w:bookmarkStart w:id="619" w:name="_Toc127458553"/>
      <w:bookmarkStart w:id="620" w:name="_Toc131591555"/>
      <w:bookmarkStart w:id="621" w:name="_Toc164154023"/>
      <w:bookmarkStart w:id="622" w:name="_Toc194674856"/>
      <w:r w:rsidRPr="001D5327">
        <w:lastRenderedPageBreak/>
        <w:t xml:space="preserve">Figure 5.1.3(a) </w:t>
      </w:r>
      <w:r w:rsidRPr="001D5327">
        <w:tab/>
        <w:t xml:space="preserve">Populations of New Zealand’s dairy cattle, non-dairy cattle and deer, from 1990 to 2023 </w:t>
      </w:r>
      <w:r w:rsidRPr="001D5327">
        <w:br/>
        <w:t>(June year ending)</w:t>
      </w:r>
      <w:bookmarkEnd w:id="612"/>
      <w:bookmarkEnd w:id="613"/>
      <w:bookmarkEnd w:id="614"/>
      <w:bookmarkEnd w:id="615"/>
      <w:bookmarkEnd w:id="616"/>
      <w:bookmarkEnd w:id="617"/>
      <w:bookmarkEnd w:id="618"/>
      <w:bookmarkEnd w:id="619"/>
      <w:bookmarkEnd w:id="620"/>
      <w:bookmarkEnd w:id="621"/>
      <w:bookmarkEnd w:id="622"/>
      <w:r w:rsidRPr="001D5327">
        <w:t xml:space="preserve"> </w:t>
      </w:r>
    </w:p>
    <w:p w14:paraId="7C0109E4" w14:textId="77777777" w:rsidR="00590FE1" w:rsidRPr="001D5327" w:rsidRDefault="00590FE1" w:rsidP="00590FE1">
      <w:pPr>
        <w:pStyle w:val="BodyText"/>
        <w:jc w:val="center"/>
      </w:pPr>
      <w:r w:rsidRPr="001D5327">
        <w:rPr>
          <w:noProof/>
        </w:rPr>
        <w:drawing>
          <wp:inline distT="0" distB="0" distL="0" distR="0" wp14:anchorId="65441E85" wp14:editId="0153C4A3">
            <wp:extent cx="5400675" cy="3048000"/>
            <wp:effectExtent l="0" t="0" r="9525" b="0"/>
            <wp:docPr id="217647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rotWithShape="1">
                    <a:blip r:embed="rId93" cstate="print">
                      <a:extLst>
                        <a:ext uri="{28A0092B-C50C-407E-A947-70E740481C1C}">
                          <a14:useLocalDpi xmlns:a14="http://schemas.microsoft.com/office/drawing/2010/main" val="0"/>
                        </a:ext>
                      </a:extLst>
                    </a:blip>
                    <a:srcRect b="3633"/>
                    <a:stretch/>
                  </pic:blipFill>
                  <pic:spPr bwMode="auto">
                    <a:xfrm>
                      <a:off x="0" y="0"/>
                      <a:ext cx="5400675" cy="3048000"/>
                    </a:xfrm>
                    <a:prstGeom prst="rect">
                      <a:avLst/>
                    </a:prstGeom>
                    <a:ln>
                      <a:noFill/>
                    </a:ln>
                    <a:extLst>
                      <a:ext uri="{53640926-AAD7-44D8-BBD7-CCE9431645EC}">
                        <a14:shadowObscured xmlns:a14="http://schemas.microsoft.com/office/drawing/2010/main"/>
                      </a:ext>
                    </a:extLst>
                  </pic:spPr>
                </pic:pic>
              </a:graphicData>
            </a:graphic>
          </wp:inline>
        </w:drawing>
      </w:r>
    </w:p>
    <w:p w14:paraId="4EE57A85" w14:textId="32ABED75" w:rsidR="00590FE1" w:rsidRPr="001D5327" w:rsidRDefault="00590FE1" w:rsidP="00590FE1">
      <w:pPr>
        <w:pStyle w:val="Source"/>
        <w:spacing w:before="0" w:after="120"/>
      </w:pPr>
      <w:r w:rsidRPr="001D5327">
        <w:t>Source:</w:t>
      </w:r>
      <w:r w:rsidRPr="001D5327">
        <w:rPr>
          <w:b/>
          <w:bCs/>
        </w:rPr>
        <w:tab/>
      </w:r>
      <w:r w:rsidRPr="001D5327">
        <w:t>Stats NZ</w:t>
      </w:r>
    </w:p>
    <w:p w14:paraId="549A228C" w14:textId="77777777" w:rsidR="00590FE1" w:rsidRPr="001D5327" w:rsidRDefault="00590FE1" w:rsidP="00590FE1">
      <w:pPr>
        <w:pStyle w:val="Figure"/>
        <w:spacing w:after="0"/>
      </w:pPr>
      <w:bookmarkStart w:id="623" w:name="_Toc507158463"/>
      <w:bookmarkStart w:id="624" w:name="_Toc511116956"/>
      <w:bookmarkStart w:id="625" w:name="_Toc5269686"/>
      <w:bookmarkStart w:id="626" w:name="_Toc32570959"/>
      <w:bookmarkStart w:id="627" w:name="_Toc36292789"/>
      <w:bookmarkStart w:id="628" w:name="_Toc68786654"/>
      <w:bookmarkStart w:id="629" w:name="_Toc95574115"/>
      <w:bookmarkStart w:id="630" w:name="_Toc127458554"/>
      <w:bookmarkStart w:id="631" w:name="_Toc131591556"/>
      <w:bookmarkStart w:id="632" w:name="_Toc164154024"/>
      <w:bookmarkStart w:id="633" w:name="_Toc194674857"/>
      <w:r w:rsidRPr="001D5327">
        <w:t xml:space="preserve">Figure 5.1.3(b) </w:t>
      </w:r>
      <w:r w:rsidRPr="001D5327">
        <w:tab/>
        <w:t>Population of New Zealand’s sheep, from 1990 to 2023 (June year ending)</w:t>
      </w:r>
      <w:bookmarkEnd w:id="623"/>
      <w:bookmarkEnd w:id="624"/>
      <w:bookmarkEnd w:id="625"/>
      <w:bookmarkEnd w:id="626"/>
      <w:bookmarkEnd w:id="627"/>
      <w:bookmarkEnd w:id="628"/>
      <w:bookmarkEnd w:id="629"/>
      <w:bookmarkEnd w:id="630"/>
      <w:bookmarkEnd w:id="631"/>
      <w:bookmarkEnd w:id="632"/>
      <w:bookmarkEnd w:id="633"/>
    </w:p>
    <w:p w14:paraId="382C33B8" w14:textId="77777777" w:rsidR="00590FE1" w:rsidRPr="001D5327" w:rsidRDefault="00590FE1" w:rsidP="00590FE1">
      <w:pPr>
        <w:pStyle w:val="BodyText"/>
        <w:jc w:val="center"/>
      </w:pPr>
      <w:bookmarkStart w:id="634" w:name="_Toc507158464"/>
      <w:bookmarkStart w:id="635" w:name="_MON_1606658001"/>
      <w:bookmarkStart w:id="636" w:name="_Toc507158465"/>
      <w:bookmarkEnd w:id="634"/>
      <w:bookmarkEnd w:id="635"/>
      <w:r w:rsidRPr="001D5327">
        <w:rPr>
          <w:noProof/>
        </w:rPr>
        <w:drawing>
          <wp:inline distT="0" distB="0" distL="0" distR="0" wp14:anchorId="05AB5F69" wp14:editId="1A77E97C">
            <wp:extent cx="5167745" cy="2985133"/>
            <wp:effectExtent l="0" t="0" r="0" b="6350"/>
            <wp:docPr id="5738231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rotWithShape="1">
                    <a:blip r:embed="rId94" cstate="print">
                      <a:extLst>
                        <a:ext uri="{28A0092B-C50C-407E-A947-70E740481C1C}">
                          <a14:useLocalDpi xmlns:a14="http://schemas.microsoft.com/office/drawing/2010/main" val="0"/>
                        </a:ext>
                      </a:extLst>
                    </a:blip>
                    <a:srcRect b="1406"/>
                    <a:stretch/>
                  </pic:blipFill>
                  <pic:spPr bwMode="auto">
                    <a:xfrm>
                      <a:off x="0" y="0"/>
                      <a:ext cx="5177487" cy="2990760"/>
                    </a:xfrm>
                    <a:prstGeom prst="rect">
                      <a:avLst/>
                    </a:prstGeom>
                    <a:ln>
                      <a:noFill/>
                    </a:ln>
                    <a:extLst>
                      <a:ext uri="{53640926-AAD7-44D8-BBD7-CCE9431645EC}">
                        <a14:shadowObscured xmlns:a14="http://schemas.microsoft.com/office/drawing/2010/main"/>
                      </a:ext>
                    </a:extLst>
                  </pic:spPr>
                </pic:pic>
              </a:graphicData>
            </a:graphic>
          </wp:inline>
        </w:drawing>
      </w:r>
    </w:p>
    <w:p w14:paraId="12C8F20A" w14:textId="77777777" w:rsidR="00590FE1" w:rsidRPr="001D5327" w:rsidRDefault="00590FE1" w:rsidP="00590FE1">
      <w:pPr>
        <w:pStyle w:val="Source"/>
        <w:spacing w:before="80" w:after="120"/>
        <w:rPr>
          <w:szCs w:val="24"/>
        </w:rPr>
      </w:pPr>
      <w:r w:rsidRPr="001D5327">
        <w:rPr>
          <w:szCs w:val="24"/>
        </w:rPr>
        <w:t>Source:</w:t>
      </w:r>
      <w:r w:rsidRPr="001D5327">
        <w:rPr>
          <w:b/>
          <w:bCs/>
          <w:szCs w:val="24"/>
        </w:rPr>
        <w:tab/>
      </w:r>
      <w:r w:rsidRPr="001D5327">
        <w:rPr>
          <w:szCs w:val="24"/>
        </w:rPr>
        <w:t>Stats NZ</w:t>
      </w:r>
      <w:bookmarkEnd w:id="636"/>
      <w:r w:rsidRPr="001D5327">
        <w:rPr>
          <w:szCs w:val="24"/>
        </w:rPr>
        <w:t xml:space="preserve"> </w:t>
      </w:r>
    </w:p>
    <w:p w14:paraId="41FA1517" w14:textId="77777777" w:rsidR="00590FE1" w:rsidRPr="001D5327" w:rsidRDefault="00590FE1" w:rsidP="00590FE1">
      <w:pPr>
        <w:pStyle w:val="Heading4"/>
        <w:rPr>
          <w:bCs/>
          <w:i/>
          <w:iCs/>
        </w:rPr>
      </w:pPr>
      <w:r w:rsidRPr="001D5327">
        <w:t>Effect of productivity improvements and climatic events on implied emission factors</w:t>
      </w:r>
    </w:p>
    <w:p w14:paraId="3207FAAF" w14:textId="77777777" w:rsidR="00590FE1" w:rsidRPr="001D5327" w:rsidRDefault="00590FE1" w:rsidP="00590FE1">
      <w:pPr>
        <w:pStyle w:val="BodyText"/>
        <w:spacing w:before="80" w:after="100"/>
        <w:rPr>
          <w:rFonts w:cs="Calibri"/>
        </w:rPr>
      </w:pPr>
      <w:r w:rsidRPr="001D5327">
        <w:rPr>
          <w:rFonts w:cs="Calibri"/>
        </w:rPr>
        <w:t>From 1990 to 2023, a gradual increase has occurred in the implied CH</w:t>
      </w:r>
      <w:r w:rsidRPr="001D5327">
        <w:rPr>
          <w:rFonts w:cs="Calibri"/>
          <w:vertAlign w:val="subscript"/>
        </w:rPr>
        <w:t>4</w:t>
      </w:r>
      <w:r w:rsidRPr="001D5327">
        <w:rPr>
          <w:rFonts w:cs="Calibri"/>
        </w:rPr>
        <w:t xml:space="preserve"> and N</w:t>
      </w:r>
      <w:r w:rsidRPr="001D5327">
        <w:rPr>
          <w:rFonts w:cs="Calibri"/>
          <w:vertAlign w:val="subscript"/>
        </w:rPr>
        <w:t>2</w:t>
      </w:r>
      <w:r w:rsidRPr="001D5327">
        <w:rPr>
          <w:rFonts w:cs="Calibri"/>
        </w:rPr>
        <w:t>O emission factors</w:t>
      </w:r>
      <w:r w:rsidRPr="001D5327">
        <w:rPr>
          <w:rStyle w:val="FootnoteReference"/>
          <w:rFonts w:cs="Calibri"/>
        </w:rPr>
        <w:footnoteReference w:id="24"/>
      </w:r>
      <w:r w:rsidRPr="001D5327">
        <w:rPr>
          <w:rFonts w:cs="Calibri"/>
        </w:rPr>
        <w:t xml:space="preserve"> per head of the major livestock species and types farmed in </w:t>
      </w:r>
      <w:r w:rsidRPr="001D5327" w:rsidDel="00F3790D">
        <w:t xml:space="preserve">New </w:t>
      </w:r>
      <w:r w:rsidRPr="001D5327">
        <w:t>Zealand</w:t>
      </w:r>
      <w:r w:rsidRPr="001D5327">
        <w:rPr>
          <w:rFonts w:cs="Calibri"/>
        </w:rPr>
        <w:t xml:space="preserve">. This trend reflects the increased levels of productivity (milk and meat yield per head) achieved by </w:t>
      </w:r>
      <w:r w:rsidRPr="001D5327" w:rsidDel="000131D9">
        <w:t xml:space="preserve">New </w:t>
      </w:r>
      <w:r w:rsidRPr="001D5327">
        <w:t>Zealand</w:t>
      </w:r>
      <w:r w:rsidRPr="001D5327">
        <w:rPr>
          <w:rFonts w:cs="Calibri"/>
        </w:rPr>
        <w:t xml:space="preserve"> farmers between 1990 and 2023. Increases in animal liveweight and milk yield </w:t>
      </w:r>
      <w:r w:rsidRPr="001D5327">
        <w:rPr>
          <w:rFonts w:cs="Calibri"/>
        </w:rPr>
        <w:lastRenderedPageBreak/>
        <w:t>per animal require increased feed intake to meet higher energy demands, which results in higher CH</w:t>
      </w:r>
      <w:r w:rsidRPr="001D5327">
        <w:rPr>
          <w:rFonts w:cs="Calibri"/>
          <w:vertAlign w:val="subscript"/>
        </w:rPr>
        <w:t>4</w:t>
      </w:r>
      <w:r w:rsidRPr="001D5327">
        <w:rPr>
          <w:rFonts w:cs="Calibri"/>
        </w:rPr>
        <w:t xml:space="preserve"> and N</w:t>
      </w:r>
      <w:r w:rsidRPr="001D5327">
        <w:rPr>
          <w:rFonts w:cs="Calibri"/>
          <w:vertAlign w:val="subscript"/>
        </w:rPr>
        <w:t>2</w:t>
      </w:r>
      <w:r w:rsidRPr="001D5327">
        <w:rPr>
          <w:rFonts w:cs="Calibri"/>
        </w:rPr>
        <w:t>O emissions per animal (i.e., higher implied emission factors (IEFs)). The increased levels of productivity have also caused emissions per unit of product (i.e., milk and meat emissions intensity) to steadily decrease overall since 1990.</w:t>
      </w:r>
    </w:p>
    <w:p w14:paraId="7728D18E" w14:textId="77777777" w:rsidR="00590FE1" w:rsidRPr="001D5327" w:rsidRDefault="00590FE1" w:rsidP="00590FE1">
      <w:pPr>
        <w:pStyle w:val="BodyText"/>
        <w:spacing w:before="100" w:after="100"/>
        <w:rPr>
          <w:rFonts w:cs="Calibri"/>
        </w:rPr>
      </w:pPr>
      <w:r w:rsidRPr="001D5327">
        <w:rPr>
          <w:rFonts w:cs="Calibri"/>
        </w:rPr>
        <w:t xml:space="preserve">The use of year-round outdoor pastoral grazing systems means </w:t>
      </w:r>
      <w:r w:rsidRPr="001D5327">
        <w:t>New Zealand</w:t>
      </w:r>
      <w:r w:rsidRPr="001D5327">
        <w:rPr>
          <w:rFonts w:cs="Calibri"/>
        </w:rPr>
        <w:t xml:space="preserve"> production is dependent on the quantity and quality of pasture grown on land managed by farmers, as well as the use and/or availability of any supplementary feeds and fertiliser inputs. Pasture growth is strongly influenced by weather and climatic events, such as droughts and floods, however, the temperate maritime climate is generally favourable for pastoral agriculture. These factors can cause changes in per-animal productivity and mean that IEFs can be noticeably different in adjacent years. For example, in 2008, a major nationwide drought affected both livestock numbers and animal performance, resulting in lower livestock emissions and overall agricultural emissions (see figure 5.1.2). The livestock population and IEFs started to increase after the drought, once seasonal growing conditions improved, and farmers restored herd and flock numbers. </w:t>
      </w:r>
    </w:p>
    <w:p w14:paraId="73FC2773" w14:textId="77777777" w:rsidR="00590FE1" w:rsidRPr="001D5327" w:rsidRDefault="00590FE1" w:rsidP="00590FE1">
      <w:pPr>
        <w:pStyle w:val="BodyText"/>
      </w:pPr>
      <w:r w:rsidRPr="001D5327">
        <w:t>An example of this is included in figure 5.1.4, which overlays milk production per milking dairy cow with the IEFs (enteric fermentation) for all dairy cattle from 1990 to 2023. The figure shows that, while per cow productivity has trended upward, there is a large amount of inter-annual variability (mainly influenced by climatic conditions and international product prices). It also shows that the IEFs are affected by these changes in productivity.</w:t>
      </w:r>
    </w:p>
    <w:p w14:paraId="2B825227" w14:textId="77777777" w:rsidR="00590FE1" w:rsidRPr="001D5327" w:rsidRDefault="00590FE1" w:rsidP="00590FE1">
      <w:pPr>
        <w:pStyle w:val="Figure"/>
        <w:spacing w:after="0"/>
      </w:pPr>
      <w:bookmarkStart w:id="638" w:name="_Toc507158466"/>
      <w:bookmarkStart w:id="639" w:name="_Toc511116957"/>
      <w:bookmarkStart w:id="640" w:name="_Toc5269687"/>
      <w:bookmarkStart w:id="641" w:name="_Toc32570960"/>
      <w:bookmarkStart w:id="642" w:name="_Toc36292790"/>
      <w:bookmarkStart w:id="643" w:name="_Toc68786655"/>
      <w:bookmarkStart w:id="644" w:name="_Toc95574116"/>
      <w:bookmarkStart w:id="645" w:name="_Toc127458555"/>
      <w:bookmarkStart w:id="646" w:name="_Toc131591557"/>
      <w:bookmarkStart w:id="647" w:name="_Toc164154025"/>
      <w:bookmarkStart w:id="648" w:name="_Toc194674858"/>
      <w:r w:rsidRPr="001D5327">
        <w:t>Figure 5.1.4</w:t>
      </w:r>
      <w:r w:rsidRPr="001D5327">
        <w:tab/>
        <w:t>Dairy milk productivity and implied enteric fermentation methane emission factors for dairy cows, from 1990 to </w:t>
      </w:r>
      <w:bookmarkEnd w:id="638"/>
      <w:bookmarkEnd w:id="639"/>
      <w:bookmarkEnd w:id="640"/>
      <w:bookmarkEnd w:id="641"/>
      <w:bookmarkEnd w:id="642"/>
      <w:bookmarkEnd w:id="643"/>
      <w:bookmarkEnd w:id="644"/>
      <w:bookmarkEnd w:id="645"/>
      <w:bookmarkEnd w:id="646"/>
      <w:bookmarkEnd w:id="647"/>
      <w:r w:rsidRPr="001D5327">
        <w:t>2023</w:t>
      </w:r>
      <w:bookmarkEnd w:id="648"/>
    </w:p>
    <w:p w14:paraId="419660E2" w14:textId="77777777" w:rsidR="00590FE1" w:rsidRPr="001D5327" w:rsidRDefault="00590FE1" w:rsidP="00590FE1">
      <w:pPr>
        <w:pStyle w:val="BodyText"/>
        <w:spacing w:after="0"/>
        <w:jc w:val="center"/>
      </w:pPr>
      <w:r w:rsidRPr="001D5327">
        <w:rPr>
          <w:noProof/>
        </w:rPr>
        <w:drawing>
          <wp:inline distT="0" distB="0" distL="0" distR="0" wp14:anchorId="0544EAB6" wp14:editId="3FED0637">
            <wp:extent cx="4839179" cy="3089564"/>
            <wp:effectExtent l="0" t="0" r="0" b="0"/>
            <wp:docPr id="1899869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849056" cy="3095870"/>
                    </a:xfrm>
                    <a:prstGeom prst="rect">
                      <a:avLst/>
                    </a:prstGeom>
                    <a:noFill/>
                    <a:ln>
                      <a:noFill/>
                    </a:ln>
                  </pic:spPr>
                </pic:pic>
              </a:graphicData>
            </a:graphic>
          </wp:inline>
        </w:drawing>
      </w:r>
    </w:p>
    <w:p w14:paraId="410F9937" w14:textId="77777777" w:rsidR="00590FE1" w:rsidRPr="001D5327" w:rsidRDefault="00590FE1" w:rsidP="00590FE1">
      <w:pPr>
        <w:pStyle w:val="Noteundertable"/>
      </w:pPr>
      <w:r w:rsidRPr="001D5327">
        <w:rPr>
          <w:b/>
          <w:bCs/>
        </w:rPr>
        <w:t>Note:</w:t>
      </w:r>
      <w:r w:rsidRPr="001D5327">
        <w:t xml:space="preserve"> </w:t>
      </w:r>
      <w:r w:rsidRPr="001D5327">
        <w:tab/>
        <w:t>Milk production per cow is calculated by dividing total milk production by the milking dairy cattle population (i.e., excluding replacements and breeding bull numbers).</w:t>
      </w:r>
    </w:p>
    <w:p w14:paraId="0E75A807" w14:textId="77777777" w:rsidR="00590FE1" w:rsidRPr="001D5327" w:rsidRDefault="00590FE1" w:rsidP="00590FE1">
      <w:pPr>
        <w:pStyle w:val="Heading3"/>
      </w:pPr>
      <w:bookmarkStart w:id="649" w:name="_Toc32570644"/>
      <w:r w:rsidRPr="001D5327">
        <w:lastRenderedPageBreak/>
        <w:t xml:space="preserve">5.1.2 </w:t>
      </w:r>
      <w:r w:rsidRPr="001D5327">
        <w:tab/>
        <w:t>Key categories for Agriculture sector emissions</w:t>
      </w:r>
      <w:bookmarkEnd w:id="649"/>
      <w:r w:rsidRPr="001D5327">
        <w:t xml:space="preserve"> </w:t>
      </w:r>
    </w:p>
    <w:p w14:paraId="52BBCE3D" w14:textId="77777777" w:rsidR="00590FE1" w:rsidRPr="001D5327" w:rsidRDefault="00590FE1" w:rsidP="005300E2">
      <w:pPr>
        <w:pStyle w:val="BodyText"/>
        <w:keepNext/>
      </w:pPr>
      <w:r w:rsidRPr="001D5327">
        <w:t xml:space="preserve">Details of New Zealand’s analysis of key categories are in chapter 1, section 1.4. The key categories in the Agriculture sector are listed in table 5.1.2. </w:t>
      </w:r>
    </w:p>
    <w:p w14:paraId="09E3CEC2" w14:textId="77777777" w:rsidR="00590FE1" w:rsidRPr="001D5327" w:rsidRDefault="00590FE1" w:rsidP="00590FE1">
      <w:pPr>
        <w:pStyle w:val="Table"/>
      </w:pPr>
      <w:bookmarkStart w:id="650" w:name="_Toc481751507"/>
      <w:bookmarkStart w:id="651" w:name="_Toc507158597"/>
      <w:bookmarkStart w:id="652" w:name="_Toc511116731"/>
      <w:bookmarkStart w:id="653" w:name="_Toc5269471"/>
      <w:bookmarkStart w:id="654" w:name="_Toc32570910"/>
      <w:bookmarkStart w:id="655" w:name="_Toc36224545"/>
      <w:bookmarkStart w:id="656" w:name="_Toc68786431"/>
      <w:bookmarkStart w:id="657" w:name="_Toc95574066"/>
      <w:bookmarkStart w:id="658" w:name="_Toc127458249"/>
      <w:bookmarkStart w:id="659" w:name="_Toc131591345"/>
      <w:bookmarkStart w:id="660" w:name="_Toc160114435"/>
      <w:bookmarkStart w:id="661" w:name="_Toc164153831"/>
      <w:bookmarkStart w:id="662" w:name="_Toc194241698"/>
      <w:r w:rsidRPr="001D5327">
        <w:t xml:space="preserve">Table 5.1.2 </w:t>
      </w:r>
      <w:r w:rsidRPr="001D5327">
        <w:tab/>
        <w:t>Key categories in the Agriculture sector</w:t>
      </w:r>
      <w:bookmarkEnd w:id="650"/>
      <w:bookmarkEnd w:id="651"/>
      <w:bookmarkEnd w:id="652"/>
      <w:bookmarkEnd w:id="653"/>
      <w:bookmarkEnd w:id="654"/>
      <w:bookmarkEnd w:id="655"/>
      <w:bookmarkEnd w:id="656"/>
      <w:bookmarkEnd w:id="657"/>
      <w:bookmarkEnd w:id="658"/>
      <w:bookmarkEnd w:id="659"/>
      <w:bookmarkEnd w:id="660"/>
      <w:bookmarkEnd w:id="661"/>
      <w:bookmarkEnd w:id="662"/>
    </w:p>
    <w:tbl>
      <w:tblPr>
        <w:tblW w:w="8505" w:type="dxa"/>
        <w:tblBorders>
          <w:top w:val="single" w:sz="4" w:space="0" w:color="1B556B"/>
          <w:bottom w:val="single" w:sz="4" w:space="0" w:color="1B556B"/>
          <w:insideH w:val="single" w:sz="4" w:space="0" w:color="1B556B"/>
        </w:tblBorders>
        <w:tblLayout w:type="fixed"/>
        <w:tblCellMar>
          <w:left w:w="85" w:type="dxa"/>
          <w:right w:w="85" w:type="dxa"/>
        </w:tblCellMar>
        <w:tblLook w:val="04A0" w:firstRow="1" w:lastRow="0" w:firstColumn="1" w:lastColumn="0" w:noHBand="0" w:noVBand="1"/>
      </w:tblPr>
      <w:tblGrid>
        <w:gridCol w:w="1071"/>
        <w:gridCol w:w="5733"/>
        <w:gridCol w:w="567"/>
        <w:gridCol w:w="1134"/>
      </w:tblGrid>
      <w:tr w:rsidR="00590FE1" w:rsidRPr="001D5327" w14:paraId="2100ED8E" w14:textId="77777777" w:rsidTr="00403787">
        <w:trPr>
          <w:trHeight w:val="462"/>
          <w:tblHeader/>
        </w:trPr>
        <w:tc>
          <w:tcPr>
            <w:tcW w:w="1071" w:type="dxa"/>
            <w:shd w:val="clear" w:color="auto" w:fill="1B556B"/>
            <w:vAlign w:val="bottom"/>
          </w:tcPr>
          <w:p w14:paraId="037F9EBB" w14:textId="77777777" w:rsidR="00590FE1" w:rsidRPr="001D5327" w:rsidRDefault="00590FE1" w:rsidP="00403787">
            <w:pPr>
              <w:pStyle w:val="TableTextBold"/>
              <w:spacing w:before="40" w:after="40"/>
              <w:rPr>
                <w:noProof w:val="0"/>
                <w:color w:val="FFFFFF" w:themeColor="background1"/>
              </w:rPr>
            </w:pPr>
            <w:r w:rsidRPr="001D5327">
              <w:rPr>
                <w:noProof w:val="0"/>
                <w:color w:val="FFFFFF" w:themeColor="background1"/>
              </w:rPr>
              <w:t>CRT category code</w:t>
            </w:r>
          </w:p>
        </w:tc>
        <w:tc>
          <w:tcPr>
            <w:tcW w:w="5733" w:type="dxa"/>
            <w:shd w:val="clear" w:color="auto" w:fill="1B556B"/>
            <w:vAlign w:val="bottom"/>
          </w:tcPr>
          <w:p w14:paraId="51F90C87" w14:textId="77777777" w:rsidR="00590FE1" w:rsidRPr="001D5327" w:rsidRDefault="00590FE1" w:rsidP="00403787">
            <w:pPr>
              <w:pStyle w:val="TableTextBold"/>
              <w:spacing w:before="40" w:after="40"/>
              <w:rPr>
                <w:noProof w:val="0"/>
                <w:color w:val="FFFFFF" w:themeColor="background1"/>
              </w:rPr>
            </w:pPr>
            <w:r w:rsidRPr="001D5327">
              <w:rPr>
                <w:noProof w:val="0"/>
                <w:color w:val="FFFFFF" w:themeColor="background1"/>
              </w:rPr>
              <w:t>IPCC categories</w:t>
            </w:r>
          </w:p>
        </w:tc>
        <w:tc>
          <w:tcPr>
            <w:tcW w:w="567" w:type="dxa"/>
            <w:shd w:val="clear" w:color="auto" w:fill="1B556B"/>
            <w:vAlign w:val="bottom"/>
          </w:tcPr>
          <w:p w14:paraId="5A627168" w14:textId="77777777" w:rsidR="00590FE1" w:rsidRPr="001D5327" w:rsidRDefault="00590FE1" w:rsidP="00403787">
            <w:pPr>
              <w:pStyle w:val="TableTextBold"/>
              <w:spacing w:before="40" w:after="40"/>
              <w:rPr>
                <w:noProof w:val="0"/>
                <w:color w:val="FFFFFF" w:themeColor="background1"/>
              </w:rPr>
            </w:pPr>
            <w:r w:rsidRPr="001D5327">
              <w:rPr>
                <w:noProof w:val="0"/>
                <w:color w:val="FFFFFF" w:themeColor="background1"/>
              </w:rPr>
              <w:t>Gas</w:t>
            </w:r>
          </w:p>
        </w:tc>
        <w:tc>
          <w:tcPr>
            <w:tcW w:w="1134" w:type="dxa"/>
            <w:shd w:val="clear" w:color="auto" w:fill="1B556B"/>
            <w:vAlign w:val="bottom"/>
          </w:tcPr>
          <w:p w14:paraId="0DA57EDF" w14:textId="77777777" w:rsidR="00590FE1" w:rsidRPr="001D5327" w:rsidRDefault="00590FE1" w:rsidP="00403787">
            <w:pPr>
              <w:pStyle w:val="TableTextBold"/>
              <w:spacing w:before="40" w:after="40"/>
              <w:rPr>
                <w:noProof w:val="0"/>
                <w:color w:val="FFFFFF" w:themeColor="background1"/>
              </w:rPr>
            </w:pPr>
            <w:r w:rsidRPr="001D5327">
              <w:rPr>
                <w:noProof w:val="0"/>
                <w:color w:val="FFFFFF" w:themeColor="background1"/>
              </w:rPr>
              <w:t>Criteria for identification</w:t>
            </w:r>
          </w:p>
        </w:tc>
      </w:tr>
      <w:tr w:rsidR="00590FE1" w:rsidRPr="001D5327" w14:paraId="5549C85A" w14:textId="77777777" w:rsidTr="00403787">
        <w:trPr>
          <w:trHeight w:val="250"/>
        </w:trPr>
        <w:tc>
          <w:tcPr>
            <w:tcW w:w="1071" w:type="dxa"/>
            <w:shd w:val="clear" w:color="auto" w:fill="FFFFFF"/>
          </w:tcPr>
          <w:p w14:paraId="3BA6316F" w14:textId="77777777" w:rsidR="00590FE1" w:rsidRPr="001D5327" w:rsidRDefault="00590FE1" w:rsidP="00403787">
            <w:pPr>
              <w:pStyle w:val="TableText"/>
              <w:spacing w:before="40" w:after="40"/>
            </w:pPr>
            <w:r w:rsidRPr="001D5327">
              <w:t>3.A.1.a.</w:t>
            </w:r>
          </w:p>
        </w:tc>
        <w:tc>
          <w:tcPr>
            <w:tcW w:w="5733" w:type="dxa"/>
            <w:shd w:val="clear" w:color="auto" w:fill="FFFFFF"/>
          </w:tcPr>
          <w:p w14:paraId="71C348C9" w14:textId="77777777" w:rsidR="00590FE1" w:rsidRPr="001D5327" w:rsidRDefault="00590FE1" w:rsidP="00403787">
            <w:pPr>
              <w:pStyle w:val="TableText"/>
              <w:spacing w:before="40" w:after="40"/>
            </w:pPr>
            <w:r w:rsidRPr="001D5327">
              <w:t>Option A – Dairy cattle</w:t>
            </w:r>
          </w:p>
        </w:tc>
        <w:tc>
          <w:tcPr>
            <w:tcW w:w="567" w:type="dxa"/>
            <w:shd w:val="clear" w:color="auto" w:fill="FFFFFF"/>
          </w:tcPr>
          <w:p w14:paraId="6BCC4293" w14:textId="77777777" w:rsidR="00590FE1" w:rsidRPr="001D5327" w:rsidRDefault="00590FE1" w:rsidP="00403787">
            <w:pPr>
              <w:pStyle w:val="TableText"/>
              <w:spacing w:before="40" w:after="40"/>
            </w:pPr>
            <w:r w:rsidRPr="001D5327">
              <w:t>CH</w:t>
            </w:r>
            <w:r w:rsidRPr="001D5327">
              <w:rPr>
                <w:vertAlign w:val="subscript"/>
              </w:rPr>
              <w:t>4</w:t>
            </w:r>
          </w:p>
        </w:tc>
        <w:tc>
          <w:tcPr>
            <w:tcW w:w="1134" w:type="dxa"/>
            <w:shd w:val="clear" w:color="auto" w:fill="FFFFFF"/>
          </w:tcPr>
          <w:p w14:paraId="1622EF7A" w14:textId="77777777" w:rsidR="00590FE1" w:rsidRPr="001D5327" w:rsidRDefault="00590FE1" w:rsidP="00403787">
            <w:pPr>
              <w:pStyle w:val="TableText"/>
              <w:spacing w:before="40" w:after="40"/>
            </w:pPr>
            <w:r w:rsidRPr="001D5327">
              <w:t>L1, T1</w:t>
            </w:r>
          </w:p>
        </w:tc>
      </w:tr>
      <w:tr w:rsidR="00590FE1" w:rsidRPr="001D5327" w14:paraId="0EDBBDEA" w14:textId="77777777" w:rsidTr="00403787">
        <w:tc>
          <w:tcPr>
            <w:tcW w:w="1071" w:type="dxa"/>
            <w:shd w:val="clear" w:color="auto" w:fill="FFFFFF"/>
          </w:tcPr>
          <w:p w14:paraId="0A9804E8" w14:textId="77777777" w:rsidR="00590FE1" w:rsidRPr="001D5327" w:rsidRDefault="00590FE1" w:rsidP="00403787">
            <w:pPr>
              <w:pStyle w:val="TableText"/>
              <w:spacing w:before="40" w:after="40"/>
            </w:pPr>
            <w:r w:rsidRPr="001D5327">
              <w:t>3.A.1.b.</w:t>
            </w:r>
          </w:p>
        </w:tc>
        <w:tc>
          <w:tcPr>
            <w:tcW w:w="5733" w:type="dxa"/>
            <w:shd w:val="clear" w:color="auto" w:fill="FFFFFF"/>
          </w:tcPr>
          <w:p w14:paraId="0500F474" w14:textId="77777777" w:rsidR="00590FE1" w:rsidRPr="001D5327" w:rsidRDefault="00590FE1" w:rsidP="00403787">
            <w:pPr>
              <w:pStyle w:val="TableText"/>
              <w:spacing w:before="40" w:after="40"/>
            </w:pPr>
            <w:r w:rsidRPr="001D5327">
              <w:t>Option A – Non-dairy cattle</w:t>
            </w:r>
          </w:p>
        </w:tc>
        <w:tc>
          <w:tcPr>
            <w:tcW w:w="567" w:type="dxa"/>
            <w:shd w:val="clear" w:color="auto" w:fill="FFFFFF"/>
          </w:tcPr>
          <w:p w14:paraId="10AEB426" w14:textId="77777777" w:rsidR="00590FE1" w:rsidRPr="001D5327" w:rsidRDefault="00590FE1" w:rsidP="00403787">
            <w:pPr>
              <w:pStyle w:val="TableText"/>
              <w:spacing w:before="40" w:after="40"/>
            </w:pPr>
            <w:r w:rsidRPr="001D5327">
              <w:t>CH</w:t>
            </w:r>
            <w:r w:rsidRPr="001D5327">
              <w:rPr>
                <w:vertAlign w:val="subscript"/>
              </w:rPr>
              <w:t>4</w:t>
            </w:r>
          </w:p>
        </w:tc>
        <w:tc>
          <w:tcPr>
            <w:tcW w:w="1134" w:type="dxa"/>
            <w:shd w:val="clear" w:color="auto" w:fill="FFFFFF"/>
          </w:tcPr>
          <w:p w14:paraId="1941DD84" w14:textId="77777777" w:rsidR="00590FE1" w:rsidRPr="001D5327" w:rsidRDefault="00590FE1" w:rsidP="00403787">
            <w:pPr>
              <w:pStyle w:val="TableText"/>
              <w:spacing w:before="40" w:after="40"/>
            </w:pPr>
            <w:r w:rsidRPr="001D5327">
              <w:t>L1, T1</w:t>
            </w:r>
          </w:p>
        </w:tc>
      </w:tr>
      <w:tr w:rsidR="00590FE1" w:rsidRPr="001D5327" w14:paraId="5917B9DA" w14:textId="77777777" w:rsidTr="00403787">
        <w:tc>
          <w:tcPr>
            <w:tcW w:w="1071" w:type="dxa"/>
            <w:shd w:val="clear" w:color="auto" w:fill="FFFFFF"/>
          </w:tcPr>
          <w:p w14:paraId="1F116CE3" w14:textId="77777777" w:rsidR="00590FE1" w:rsidRPr="001D5327" w:rsidRDefault="00590FE1" w:rsidP="00403787">
            <w:pPr>
              <w:pStyle w:val="TableText"/>
              <w:spacing w:before="40" w:after="40"/>
            </w:pPr>
            <w:r w:rsidRPr="001D5327">
              <w:t>3.A.2.</w:t>
            </w:r>
          </w:p>
        </w:tc>
        <w:tc>
          <w:tcPr>
            <w:tcW w:w="5733" w:type="dxa"/>
            <w:shd w:val="clear" w:color="auto" w:fill="FFFFFF"/>
          </w:tcPr>
          <w:p w14:paraId="7A8B00C0" w14:textId="77777777" w:rsidR="00590FE1" w:rsidRPr="001D5327" w:rsidRDefault="00590FE1" w:rsidP="00403787">
            <w:pPr>
              <w:pStyle w:val="TableText"/>
              <w:spacing w:before="40" w:after="40"/>
            </w:pPr>
            <w:r w:rsidRPr="001D5327">
              <w:t>Enteric fermentation – Sheep</w:t>
            </w:r>
          </w:p>
        </w:tc>
        <w:tc>
          <w:tcPr>
            <w:tcW w:w="567" w:type="dxa"/>
            <w:shd w:val="clear" w:color="auto" w:fill="FFFFFF"/>
          </w:tcPr>
          <w:p w14:paraId="41A8C01C" w14:textId="77777777" w:rsidR="00590FE1" w:rsidRPr="001D5327" w:rsidRDefault="00590FE1" w:rsidP="00403787">
            <w:pPr>
              <w:pStyle w:val="TableText"/>
              <w:spacing w:before="40" w:after="40"/>
            </w:pPr>
            <w:r w:rsidRPr="001D5327">
              <w:t>CH</w:t>
            </w:r>
            <w:r w:rsidRPr="001D5327">
              <w:rPr>
                <w:vertAlign w:val="subscript"/>
              </w:rPr>
              <w:t>4</w:t>
            </w:r>
          </w:p>
        </w:tc>
        <w:tc>
          <w:tcPr>
            <w:tcW w:w="1134" w:type="dxa"/>
            <w:shd w:val="clear" w:color="auto" w:fill="FFFFFF"/>
          </w:tcPr>
          <w:p w14:paraId="01DEBD7B" w14:textId="77777777" w:rsidR="00590FE1" w:rsidRPr="001D5327" w:rsidRDefault="00590FE1" w:rsidP="00403787">
            <w:pPr>
              <w:pStyle w:val="TableText"/>
              <w:spacing w:before="40" w:after="40"/>
            </w:pPr>
            <w:r w:rsidRPr="001D5327">
              <w:t>L1, T1</w:t>
            </w:r>
          </w:p>
        </w:tc>
      </w:tr>
      <w:tr w:rsidR="00590FE1" w:rsidRPr="001D5327" w14:paraId="5EF75EB6" w14:textId="77777777" w:rsidTr="00403787">
        <w:tc>
          <w:tcPr>
            <w:tcW w:w="1071" w:type="dxa"/>
            <w:shd w:val="clear" w:color="auto" w:fill="FFFFFF"/>
          </w:tcPr>
          <w:p w14:paraId="7E41B371" w14:textId="77777777" w:rsidR="00590FE1" w:rsidRPr="001D5327" w:rsidRDefault="00590FE1" w:rsidP="00403787">
            <w:pPr>
              <w:pStyle w:val="TableText"/>
              <w:spacing w:before="40" w:after="40"/>
            </w:pPr>
            <w:r w:rsidRPr="001D5327">
              <w:t>3.A.4.c.</w:t>
            </w:r>
          </w:p>
        </w:tc>
        <w:tc>
          <w:tcPr>
            <w:tcW w:w="5733" w:type="dxa"/>
            <w:shd w:val="clear" w:color="auto" w:fill="FFFFFF"/>
          </w:tcPr>
          <w:p w14:paraId="398DDF53" w14:textId="77777777" w:rsidR="00590FE1" w:rsidRPr="001D5327" w:rsidRDefault="00590FE1" w:rsidP="00403787">
            <w:pPr>
              <w:pStyle w:val="TableText"/>
              <w:spacing w:before="40" w:after="40"/>
            </w:pPr>
            <w:r w:rsidRPr="001D5327">
              <w:t>Other livestock – Deer</w:t>
            </w:r>
          </w:p>
        </w:tc>
        <w:tc>
          <w:tcPr>
            <w:tcW w:w="567" w:type="dxa"/>
            <w:shd w:val="clear" w:color="auto" w:fill="FFFFFF"/>
          </w:tcPr>
          <w:p w14:paraId="12BD54F0" w14:textId="77777777" w:rsidR="00590FE1" w:rsidRPr="001D5327" w:rsidRDefault="00590FE1" w:rsidP="00403787">
            <w:pPr>
              <w:pStyle w:val="TableText"/>
              <w:spacing w:before="40" w:after="40"/>
            </w:pPr>
            <w:r w:rsidRPr="001D5327">
              <w:t>CH</w:t>
            </w:r>
            <w:r w:rsidRPr="001D5327">
              <w:rPr>
                <w:vertAlign w:val="subscript"/>
              </w:rPr>
              <w:t>4</w:t>
            </w:r>
          </w:p>
        </w:tc>
        <w:tc>
          <w:tcPr>
            <w:tcW w:w="1134" w:type="dxa"/>
            <w:shd w:val="clear" w:color="auto" w:fill="FFFFFF"/>
          </w:tcPr>
          <w:p w14:paraId="0470303E" w14:textId="77777777" w:rsidR="00590FE1" w:rsidRPr="001D5327" w:rsidRDefault="00590FE1" w:rsidP="00403787">
            <w:pPr>
              <w:pStyle w:val="TableText"/>
              <w:spacing w:before="40" w:after="40"/>
            </w:pPr>
            <w:r w:rsidRPr="001D5327">
              <w:t>L1, T1</w:t>
            </w:r>
          </w:p>
        </w:tc>
      </w:tr>
      <w:tr w:rsidR="00590FE1" w:rsidRPr="001D5327" w14:paraId="0FB77A18" w14:textId="77777777" w:rsidTr="00403787">
        <w:tc>
          <w:tcPr>
            <w:tcW w:w="1071" w:type="dxa"/>
            <w:shd w:val="clear" w:color="auto" w:fill="FFFFFF"/>
          </w:tcPr>
          <w:p w14:paraId="52F9620E" w14:textId="77777777" w:rsidR="00590FE1" w:rsidRPr="001D5327" w:rsidRDefault="00590FE1" w:rsidP="00403787">
            <w:pPr>
              <w:pStyle w:val="TableText"/>
              <w:spacing w:before="40" w:after="40"/>
            </w:pPr>
            <w:r w:rsidRPr="001D5327">
              <w:t>3.A.4.d.</w:t>
            </w:r>
          </w:p>
        </w:tc>
        <w:tc>
          <w:tcPr>
            <w:tcW w:w="5733" w:type="dxa"/>
            <w:shd w:val="clear" w:color="auto" w:fill="FFFFFF"/>
          </w:tcPr>
          <w:p w14:paraId="4433892E" w14:textId="77777777" w:rsidR="00590FE1" w:rsidRPr="001D5327" w:rsidRDefault="00590FE1" w:rsidP="00403787">
            <w:pPr>
              <w:pStyle w:val="TableText"/>
              <w:spacing w:before="40" w:after="40"/>
            </w:pPr>
            <w:r w:rsidRPr="001D5327">
              <w:t>Other livestock – Goats</w:t>
            </w:r>
          </w:p>
        </w:tc>
        <w:tc>
          <w:tcPr>
            <w:tcW w:w="567" w:type="dxa"/>
            <w:shd w:val="clear" w:color="auto" w:fill="FFFFFF"/>
          </w:tcPr>
          <w:p w14:paraId="0822783D" w14:textId="77777777" w:rsidR="00590FE1" w:rsidRPr="001D5327" w:rsidRDefault="00590FE1" w:rsidP="00403787">
            <w:pPr>
              <w:pStyle w:val="TableText"/>
              <w:spacing w:before="40" w:after="40"/>
            </w:pPr>
            <w:r w:rsidRPr="001D5327">
              <w:t>CH</w:t>
            </w:r>
            <w:r w:rsidRPr="001D5327">
              <w:rPr>
                <w:vertAlign w:val="subscript"/>
              </w:rPr>
              <w:t>4</w:t>
            </w:r>
          </w:p>
        </w:tc>
        <w:tc>
          <w:tcPr>
            <w:tcW w:w="1134" w:type="dxa"/>
            <w:shd w:val="clear" w:color="auto" w:fill="FFFFFF"/>
          </w:tcPr>
          <w:p w14:paraId="2D6B7D6D" w14:textId="77777777" w:rsidR="00590FE1" w:rsidRPr="001D5327" w:rsidRDefault="00590FE1" w:rsidP="00403787">
            <w:pPr>
              <w:pStyle w:val="TableText"/>
              <w:spacing w:before="40" w:after="40"/>
            </w:pPr>
            <w:r w:rsidRPr="001D5327">
              <w:t>T1</w:t>
            </w:r>
          </w:p>
        </w:tc>
      </w:tr>
      <w:tr w:rsidR="00590FE1" w:rsidRPr="001D5327" w14:paraId="409E7B95" w14:textId="77777777" w:rsidTr="00403787">
        <w:tc>
          <w:tcPr>
            <w:tcW w:w="1071" w:type="dxa"/>
            <w:shd w:val="clear" w:color="auto" w:fill="FFFFFF"/>
          </w:tcPr>
          <w:p w14:paraId="0CD3A6BD" w14:textId="77777777" w:rsidR="00590FE1" w:rsidRPr="001D5327" w:rsidRDefault="00590FE1" w:rsidP="00403787">
            <w:pPr>
              <w:pStyle w:val="TableText"/>
              <w:spacing w:before="40" w:after="40"/>
            </w:pPr>
            <w:r w:rsidRPr="001D5327">
              <w:t>3.B(a).</w:t>
            </w:r>
          </w:p>
        </w:tc>
        <w:tc>
          <w:tcPr>
            <w:tcW w:w="5733" w:type="dxa"/>
            <w:shd w:val="clear" w:color="auto" w:fill="FFFFFF"/>
          </w:tcPr>
          <w:p w14:paraId="2EB06718" w14:textId="77777777" w:rsidR="00590FE1" w:rsidRPr="001D5327" w:rsidRDefault="00590FE1" w:rsidP="00403787">
            <w:pPr>
              <w:pStyle w:val="TableText"/>
              <w:spacing w:before="40" w:after="40"/>
            </w:pPr>
            <w:r w:rsidRPr="001D5327">
              <w:t>CH₄ emissions – 3.B.2. Sheep</w:t>
            </w:r>
          </w:p>
        </w:tc>
        <w:tc>
          <w:tcPr>
            <w:tcW w:w="567" w:type="dxa"/>
            <w:shd w:val="clear" w:color="auto" w:fill="FFFFFF"/>
          </w:tcPr>
          <w:p w14:paraId="406FD3AB" w14:textId="77777777" w:rsidR="00590FE1" w:rsidRPr="001D5327" w:rsidRDefault="00590FE1" w:rsidP="00403787">
            <w:pPr>
              <w:pStyle w:val="TableText"/>
              <w:spacing w:before="40" w:after="40"/>
            </w:pPr>
            <w:r w:rsidRPr="001D5327">
              <w:t>CH</w:t>
            </w:r>
            <w:r w:rsidRPr="001D5327">
              <w:rPr>
                <w:vertAlign w:val="subscript"/>
              </w:rPr>
              <w:t>4</w:t>
            </w:r>
          </w:p>
        </w:tc>
        <w:tc>
          <w:tcPr>
            <w:tcW w:w="1134" w:type="dxa"/>
            <w:shd w:val="clear" w:color="auto" w:fill="FFFFFF"/>
          </w:tcPr>
          <w:p w14:paraId="1D1819B2" w14:textId="77777777" w:rsidR="00590FE1" w:rsidRPr="001D5327" w:rsidRDefault="00590FE1" w:rsidP="00403787">
            <w:pPr>
              <w:pStyle w:val="TableText"/>
              <w:spacing w:before="40" w:after="40"/>
            </w:pPr>
            <w:r w:rsidRPr="001D5327">
              <w:t>T1</w:t>
            </w:r>
          </w:p>
        </w:tc>
      </w:tr>
      <w:tr w:rsidR="00590FE1" w:rsidRPr="001D5327" w14:paraId="22E7514A" w14:textId="77777777" w:rsidTr="00403787">
        <w:tc>
          <w:tcPr>
            <w:tcW w:w="1071" w:type="dxa"/>
            <w:shd w:val="clear" w:color="auto" w:fill="FFFFFF"/>
          </w:tcPr>
          <w:p w14:paraId="1AF7ECA1" w14:textId="77777777" w:rsidR="00590FE1" w:rsidRPr="001D5327" w:rsidRDefault="00590FE1" w:rsidP="00403787">
            <w:pPr>
              <w:pStyle w:val="TableText"/>
              <w:spacing w:before="40" w:after="40"/>
            </w:pPr>
            <w:r w:rsidRPr="001D5327">
              <w:t>3.B.1.a.</w:t>
            </w:r>
          </w:p>
        </w:tc>
        <w:tc>
          <w:tcPr>
            <w:tcW w:w="5733" w:type="dxa"/>
            <w:shd w:val="clear" w:color="auto" w:fill="FFFFFF"/>
          </w:tcPr>
          <w:p w14:paraId="343DACBD" w14:textId="77777777" w:rsidR="00590FE1" w:rsidRPr="001D5327" w:rsidRDefault="00590FE1" w:rsidP="00403787">
            <w:pPr>
              <w:pStyle w:val="TableText"/>
              <w:spacing w:before="40" w:after="40"/>
            </w:pPr>
            <w:r w:rsidRPr="001D5327">
              <w:t>Option A – Dairy cattle</w:t>
            </w:r>
          </w:p>
        </w:tc>
        <w:tc>
          <w:tcPr>
            <w:tcW w:w="567" w:type="dxa"/>
            <w:shd w:val="clear" w:color="auto" w:fill="FFFFFF"/>
          </w:tcPr>
          <w:p w14:paraId="3D1896BE" w14:textId="77777777" w:rsidR="00590FE1" w:rsidRPr="001D5327" w:rsidRDefault="00590FE1" w:rsidP="00403787">
            <w:pPr>
              <w:pStyle w:val="TableText"/>
              <w:spacing w:before="40" w:after="40"/>
            </w:pPr>
            <w:r w:rsidRPr="001D5327">
              <w:t>CH</w:t>
            </w:r>
            <w:r w:rsidRPr="001D5327">
              <w:rPr>
                <w:vertAlign w:val="subscript"/>
              </w:rPr>
              <w:t>4</w:t>
            </w:r>
          </w:p>
        </w:tc>
        <w:tc>
          <w:tcPr>
            <w:tcW w:w="1134" w:type="dxa"/>
            <w:shd w:val="clear" w:color="auto" w:fill="FFFFFF"/>
          </w:tcPr>
          <w:p w14:paraId="735BC6D2" w14:textId="77777777" w:rsidR="00590FE1" w:rsidRPr="001D5327" w:rsidRDefault="00590FE1" w:rsidP="00403787">
            <w:pPr>
              <w:pStyle w:val="TableText"/>
              <w:spacing w:before="40" w:after="40"/>
            </w:pPr>
            <w:r w:rsidRPr="001D5327">
              <w:t>L1, T1</w:t>
            </w:r>
          </w:p>
        </w:tc>
      </w:tr>
      <w:tr w:rsidR="00590FE1" w:rsidRPr="001D5327" w14:paraId="3B726922" w14:textId="77777777" w:rsidTr="00403787">
        <w:tc>
          <w:tcPr>
            <w:tcW w:w="1071" w:type="dxa"/>
            <w:shd w:val="clear" w:color="auto" w:fill="FFFFFF"/>
          </w:tcPr>
          <w:p w14:paraId="1F26460C" w14:textId="77777777" w:rsidR="00590FE1" w:rsidRPr="001D5327" w:rsidRDefault="00590FE1" w:rsidP="00403787">
            <w:pPr>
              <w:pStyle w:val="TableText"/>
              <w:spacing w:before="40" w:after="40"/>
            </w:pPr>
            <w:r w:rsidRPr="001D5327">
              <w:t>3.D.1.a.</w:t>
            </w:r>
          </w:p>
        </w:tc>
        <w:tc>
          <w:tcPr>
            <w:tcW w:w="5733" w:type="dxa"/>
            <w:shd w:val="clear" w:color="auto" w:fill="FFFFFF"/>
          </w:tcPr>
          <w:p w14:paraId="1A59FCC0" w14:textId="77777777" w:rsidR="00590FE1" w:rsidRPr="001D5327" w:rsidRDefault="00590FE1" w:rsidP="00403787">
            <w:pPr>
              <w:pStyle w:val="TableText"/>
              <w:spacing w:before="40" w:after="40"/>
            </w:pPr>
            <w:r w:rsidRPr="001D5327">
              <w:t>Direct N₂O emissions from managed soils – Inorganic N fertilizers</w:t>
            </w:r>
          </w:p>
        </w:tc>
        <w:tc>
          <w:tcPr>
            <w:tcW w:w="567" w:type="dxa"/>
            <w:shd w:val="clear" w:color="auto" w:fill="FFFFFF"/>
          </w:tcPr>
          <w:p w14:paraId="094202AF" w14:textId="77777777" w:rsidR="00590FE1" w:rsidRPr="001D5327" w:rsidRDefault="00590FE1" w:rsidP="00403787">
            <w:pPr>
              <w:pStyle w:val="TableText"/>
              <w:spacing w:before="40" w:after="40"/>
            </w:pPr>
            <w:r w:rsidRPr="001D5327">
              <w:t>N</w:t>
            </w:r>
            <w:r w:rsidRPr="001D5327">
              <w:rPr>
                <w:vertAlign w:val="subscript"/>
              </w:rPr>
              <w:t>2</w:t>
            </w:r>
            <w:r w:rsidRPr="001D5327">
              <w:t>O</w:t>
            </w:r>
          </w:p>
        </w:tc>
        <w:tc>
          <w:tcPr>
            <w:tcW w:w="1134" w:type="dxa"/>
            <w:shd w:val="clear" w:color="auto" w:fill="FFFFFF"/>
          </w:tcPr>
          <w:p w14:paraId="446D9824" w14:textId="77777777" w:rsidR="00590FE1" w:rsidRPr="001D5327" w:rsidRDefault="00590FE1" w:rsidP="00403787">
            <w:pPr>
              <w:pStyle w:val="TableText"/>
              <w:spacing w:before="40" w:after="40"/>
            </w:pPr>
            <w:r w:rsidRPr="001D5327">
              <w:t>L1, T1</w:t>
            </w:r>
          </w:p>
        </w:tc>
      </w:tr>
      <w:tr w:rsidR="00590FE1" w:rsidRPr="001D5327" w14:paraId="6AE289C7" w14:textId="77777777" w:rsidTr="00403787">
        <w:tc>
          <w:tcPr>
            <w:tcW w:w="1071" w:type="dxa"/>
            <w:shd w:val="clear" w:color="auto" w:fill="FFFFFF"/>
          </w:tcPr>
          <w:p w14:paraId="2F37FED7" w14:textId="77777777" w:rsidR="00590FE1" w:rsidRPr="001D5327" w:rsidRDefault="00590FE1" w:rsidP="00403787">
            <w:pPr>
              <w:pStyle w:val="TableText"/>
              <w:spacing w:before="40" w:after="40"/>
            </w:pPr>
            <w:r w:rsidRPr="001D5327">
              <w:t>3.D.1.c.</w:t>
            </w:r>
          </w:p>
        </w:tc>
        <w:tc>
          <w:tcPr>
            <w:tcW w:w="5733" w:type="dxa"/>
            <w:shd w:val="clear" w:color="auto" w:fill="FFFFFF"/>
          </w:tcPr>
          <w:p w14:paraId="12384E82" w14:textId="77777777" w:rsidR="00590FE1" w:rsidRPr="001D5327" w:rsidRDefault="00590FE1" w:rsidP="00403787">
            <w:pPr>
              <w:pStyle w:val="TableText"/>
              <w:spacing w:before="40" w:after="40"/>
            </w:pPr>
            <w:r w:rsidRPr="001D5327">
              <w:t>Direct N₂O emissions from managed soils – Urine and dung deposited by grazing animals</w:t>
            </w:r>
          </w:p>
        </w:tc>
        <w:tc>
          <w:tcPr>
            <w:tcW w:w="567" w:type="dxa"/>
            <w:shd w:val="clear" w:color="auto" w:fill="FFFFFF"/>
          </w:tcPr>
          <w:p w14:paraId="152880E2" w14:textId="77777777" w:rsidR="00590FE1" w:rsidRPr="001D5327" w:rsidRDefault="00590FE1" w:rsidP="00403787">
            <w:pPr>
              <w:pStyle w:val="TableText"/>
              <w:spacing w:before="40" w:after="40"/>
            </w:pPr>
            <w:r w:rsidRPr="001D5327">
              <w:t>N</w:t>
            </w:r>
            <w:r w:rsidRPr="001D5327">
              <w:rPr>
                <w:vertAlign w:val="subscript"/>
              </w:rPr>
              <w:t>2</w:t>
            </w:r>
            <w:r w:rsidRPr="001D5327">
              <w:t>O</w:t>
            </w:r>
          </w:p>
        </w:tc>
        <w:tc>
          <w:tcPr>
            <w:tcW w:w="1134" w:type="dxa"/>
            <w:shd w:val="clear" w:color="auto" w:fill="FFFFFF"/>
          </w:tcPr>
          <w:p w14:paraId="4DE525A8" w14:textId="77777777" w:rsidR="00590FE1" w:rsidRPr="001D5327" w:rsidRDefault="00590FE1" w:rsidP="00403787">
            <w:pPr>
              <w:pStyle w:val="TableText"/>
              <w:spacing w:before="40" w:after="40"/>
            </w:pPr>
            <w:r w:rsidRPr="001D5327">
              <w:t>L1, T1</w:t>
            </w:r>
          </w:p>
        </w:tc>
      </w:tr>
      <w:tr w:rsidR="00590FE1" w:rsidRPr="001D5327" w14:paraId="5463794C" w14:textId="77777777" w:rsidTr="00403787">
        <w:tc>
          <w:tcPr>
            <w:tcW w:w="1071" w:type="dxa"/>
            <w:shd w:val="clear" w:color="auto" w:fill="FFFFFF"/>
          </w:tcPr>
          <w:p w14:paraId="0FCC78C7" w14:textId="77777777" w:rsidR="00590FE1" w:rsidRPr="001D5327" w:rsidRDefault="00590FE1" w:rsidP="00403787">
            <w:pPr>
              <w:pStyle w:val="TableText"/>
              <w:spacing w:before="40" w:after="40"/>
            </w:pPr>
            <w:r w:rsidRPr="001D5327">
              <w:t>3.D.1.d.</w:t>
            </w:r>
          </w:p>
        </w:tc>
        <w:tc>
          <w:tcPr>
            <w:tcW w:w="5733" w:type="dxa"/>
            <w:shd w:val="clear" w:color="auto" w:fill="FFFFFF"/>
          </w:tcPr>
          <w:p w14:paraId="324229E9" w14:textId="77777777" w:rsidR="00590FE1" w:rsidRPr="001D5327" w:rsidRDefault="00590FE1" w:rsidP="00403787">
            <w:pPr>
              <w:pStyle w:val="TableText"/>
              <w:spacing w:before="40" w:after="40"/>
            </w:pPr>
            <w:r w:rsidRPr="001D5327">
              <w:t>Direct N₂O emissions from managed soils – Crop residues</w:t>
            </w:r>
          </w:p>
        </w:tc>
        <w:tc>
          <w:tcPr>
            <w:tcW w:w="567" w:type="dxa"/>
            <w:shd w:val="clear" w:color="auto" w:fill="FFFFFF"/>
          </w:tcPr>
          <w:p w14:paraId="2F4E8B4A" w14:textId="77777777" w:rsidR="00590FE1" w:rsidRPr="001D5327" w:rsidRDefault="00590FE1" w:rsidP="00403787">
            <w:pPr>
              <w:pStyle w:val="TableText"/>
              <w:spacing w:before="40" w:after="40"/>
            </w:pPr>
            <w:r w:rsidRPr="001D5327">
              <w:t>N</w:t>
            </w:r>
            <w:r w:rsidRPr="001D5327">
              <w:rPr>
                <w:vertAlign w:val="subscript"/>
              </w:rPr>
              <w:t>2</w:t>
            </w:r>
            <w:r w:rsidRPr="001D5327">
              <w:t>O</w:t>
            </w:r>
          </w:p>
        </w:tc>
        <w:tc>
          <w:tcPr>
            <w:tcW w:w="1134" w:type="dxa"/>
            <w:shd w:val="clear" w:color="auto" w:fill="FFFFFF"/>
          </w:tcPr>
          <w:p w14:paraId="73425FD6" w14:textId="77777777" w:rsidR="00590FE1" w:rsidRPr="001D5327" w:rsidRDefault="00590FE1" w:rsidP="00403787">
            <w:pPr>
              <w:pStyle w:val="TableText"/>
              <w:spacing w:before="40" w:after="40"/>
            </w:pPr>
            <w:r w:rsidRPr="001D5327">
              <w:t>L1</w:t>
            </w:r>
          </w:p>
        </w:tc>
      </w:tr>
      <w:tr w:rsidR="00590FE1" w:rsidRPr="001D5327" w14:paraId="7F45CF4D" w14:textId="77777777" w:rsidTr="00403787">
        <w:tc>
          <w:tcPr>
            <w:tcW w:w="1071" w:type="dxa"/>
            <w:shd w:val="clear" w:color="auto" w:fill="FFFFFF"/>
          </w:tcPr>
          <w:p w14:paraId="07312976" w14:textId="77777777" w:rsidR="00590FE1" w:rsidRPr="001D5327" w:rsidRDefault="00590FE1" w:rsidP="00403787">
            <w:pPr>
              <w:pStyle w:val="TableText"/>
              <w:spacing w:before="40" w:after="40"/>
            </w:pPr>
            <w:r w:rsidRPr="001D5327">
              <w:t>3.D.1.f.</w:t>
            </w:r>
          </w:p>
        </w:tc>
        <w:tc>
          <w:tcPr>
            <w:tcW w:w="5733" w:type="dxa"/>
            <w:shd w:val="clear" w:color="auto" w:fill="FFFFFF"/>
          </w:tcPr>
          <w:p w14:paraId="041046F9" w14:textId="77777777" w:rsidR="00590FE1" w:rsidRPr="001D5327" w:rsidRDefault="00590FE1" w:rsidP="00403787">
            <w:pPr>
              <w:pStyle w:val="TableText"/>
              <w:spacing w:before="40" w:after="40"/>
            </w:pPr>
            <w:r w:rsidRPr="001D5327">
              <w:t>Direct N₂O emissions from managed soils – Cultivation of organic soils</w:t>
            </w:r>
          </w:p>
        </w:tc>
        <w:tc>
          <w:tcPr>
            <w:tcW w:w="567" w:type="dxa"/>
            <w:shd w:val="clear" w:color="auto" w:fill="FFFFFF"/>
          </w:tcPr>
          <w:p w14:paraId="7F7F6D49" w14:textId="77777777" w:rsidR="00590FE1" w:rsidRPr="001D5327" w:rsidRDefault="00590FE1" w:rsidP="00403787">
            <w:pPr>
              <w:pStyle w:val="TableText"/>
              <w:spacing w:before="40" w:after="40"/>
            </w:pPr>
            <w:r w:rsidRPr="001D5327">
              <w:t>N</w:t>
            </w:r>
            <w:r w:rsidRPr="001D5327">
              <w:rPr>
                <w:vertAlign w:val="subscript"/>
              </w:rPr>
              <w:t>2</w:t>
            </w:r>
            <w:r w:rsidRPr="001D5327">
              <w:t>O</w:t>
            </w:r>
          </w:p>
        </w:tc>
        <w:tc>
          <w:tcPr>
            <w:tcW w:w="1134" w:type="dxa"/>
            <w:shd w:val="clear" w:color="auto" w:fill="FFFFFF"/>
          </w:tcPr>
          <w:p w14:paraId="56907783" w14:textId="77777777" w:rsidR="00590FE1" w:rsidRPr="001D5327" w:rsidRDefault="00590FE1" w:rsidP="00403787">
            <w:pPr>
              <w:pStyle w:val="TableText"/>
              <w:spacing w:before="40" w:after="40"/>
            </w:pPr>
            <w:r w:rsidRPr="001D5327">
              <w:t>L1, T1</w:t>
            </w:r>
          </w:p>
        </w:tc>
      </w:tr>
      <w:tr w:rsidR="00590FE1" w:rsidRPr="001D5327" w14:paraId="3ADA11B0" w14:textId="77777777" w:rsidTr="00403787">
        <w:tc>
          <w:tcPr>
            <w:tcW w:w="1071" w:type="dxa"/>
            <w:shd w:val="clear" w:color="auto" w:fill="FFFFFF"/>
          </w:tcPr>
          <w:p w14:paraId="342EC0B3" w14:textId="77777777" w:rsidR="00590FE1" w:rsidRPr="001D5327" w:rsidRDefault="00590FE1" w:rsidP="00403787">
            <w:pPr>
              <w:pStyle w:val="TableText"/>
              <w:spacing w:before="40" w:after="40"/>
            </w:pPr>
            <w:r w:rsidRPr="001D5327">
              <w:t>3.D.2.a.</w:t>
            </w:r>
          </w:p>
        </w:tc>
        <w:tc>
          <w:tcPr>
            <w:tcW w:w="5733" w:type="dxa"/>
            <w:shd w:val="clear" w:color="auto" w:fill="FFFFFF"/>
          </w:tcPr>
          <w:p w14:paraId="00A35318" w14:textId="77777777" w:rsidR="00590FE1" w:rsidRPr="001D5327" w:rsidRDefault="00590FE1" w:rsidP="00403787">
            <w:pPr>
              <w:pStyle w:val="TableText"/>
              <w:spacing w:before="40" w:after="40"/>
            </w:pPr>
            <w:r w:rsidRPr="001D5327">
              <w:t>Indirect N₂O emissions from managed soils – Atmospheric deposition</w:t>
            </w:r>
          </w:p>
        </w:tc>
        <w:tc>
          <w:tcPr>
            <w:tcW w:w="567" w:type="dxa"/>
            <w:shd w:val="clear" w:color="auto" w:fill="FFFFFF"/>
          </w:tcPr>
          <w:p w14:paraId="14B77ED0" w14:textId="77777777" w:rsidR="00590FE1" w:rsidRPr="001D5327" w:rsidRDefault="00590FE1" w:rsidP="00403787">
            <w:pPr>
              <w:pStyle w:val="TableText"/>
              <w:spacing w:before="40" w:after="40"/>
            </w:pPr>
            <w:r w:rsidRPr="001D5327">
              <w:t>N</w:t>
            </w:r>
            <w:r w:rsidRPr="001D5327">
              <w:rPr>
                <w:vertAlign w:val="subscript"/>
              </w:rPr>
              <w:t>2</w:t>
            </w:r>
            <w:r w:rsidRPr="001D5327">
              <w:t>O</w:t>
            </w:r>
          </w:p>
        </w:tc>
        <w:tc>
          <w:tcPr>
            <w:tcW w:w="1134" w:type="dxa"/>
            <w:shd w:val="clear" w:color="auto" w:fill="FFFFFF"/>
          </w:tcPr>
          <w:p w14:paraId="5E88A2CA" w14:textId="77777777" w:rsidR="00590FE1" w:rsidRPr="001D5327" w:rsidRDefault="00590FE1" w:rsidP="00403787">
            <w:pPr>
              <w:pStyle w:val="TableText"/>
              <w:spacing w:before="40" w:after="40"/>
            </w:pPr>
            <w:r w:rsidRPr="001D5327">
              <w:t>L1</w:t>
            </w:r>
          </w:p>
        </w:tc>
      </w:tr>
      <w:tr w:rsidR="00590FE1" w:rsidRPr="001D5327" w14:paraId="1D07740C" w14:textId="77777777" w:rsidTr="00403787">
        <w:tc>
          <w:tcPr>
            <w:tcW w:w="1071" w:type="dxa"/>
            <w:shd w:val="clear" w:color="auto" w:fill="FFFFFF"/>
          </w:tcPr>
          <w:p w14:paraId="5AE5571D" w14:textId="77777777" w:rsidR="00590FE1" w:rsidRPr="001D5327" w:rsidRDefault="00590FE1" w:rsidP="00403787">
            <w:pPr>
              <w:pStyle w:val="TableText"/>
              <w:spacing w:before="40" w:after="40"/>
            </w:pPr>
            <w:r w:rsidRPr="001D5327">
              <w:t>3.D.2.b.</w:t>
            </w:r>
          </w:p>
        </w:tc>
        <w:tc>
          <w:tcPr>
            <w:tcW w:w="5733" w:type="dxa"/>
            <w:shd w:val="clear" w:color="auto" w:fill="FFFFFF"/>
          </w:tcPr>
          <w:p w14:paraId="2B4BECFF" w14:textId="77777777" w:rsidR="00590FE1" w:rsidRPr="001D5327" w:rsidRDefault="00590FE1" w:rsidP="00403787">
            <w:pPr>
              <w:pStyle w:val="TableText"/>
              <w:spacing w:before="40" w:after="40"/>
            </w:pPr>
            <w:r w:rsidRPr="001D5327">
              <w:t>Indirect N₂O emissions from managed soils – Nitrogen leaching and run-off</w:t>
            </w:r>
          </w:p>
        </w:tc>
        <w:tc>
          <w:tcPr>
            <w:tcW w:w="567" w:type="dxa"/>
            <w:shd w:val="clear" w:color="auto" w:fill="FFFFFF"/>
          </w:tcPr>
          <w:p w14:paraId="1ACFB6F9" w14:textId="77777777" w:rsidR="00590FE1" w:rsidRPr="001D5327" w:rsidRDefault="00590FE1" w:rsidP="00403787">
            <w:pPr>
              <w:pStyle w:val="TableText"/>
              <w:spacing w:before="40" w:after="40"/>
            </w:pPr>
            <w:r w:rsidRPr="001D5327">
              <w:t>N</w:t>
            </w:r>
            <w:r w:rsidRPr="001D5327">
              <w:rPr>
                <w:vertAlign w:val="subscript"/>
              </w:rPr>
              <w:t>2</w:t>
            </w:r>
            <w:r w:rsidRPr="001D5327">
              <w:t>O</w:t>
            </w:r>
          </w:p>
        </w:tc>
        <w:tc>
          <w:tcPr>
            <w:tcW w:w="1134" w:type="dxa"/>
            <w:shd w:val="clear" w:color="auto" w:fill="FFFFFF"/>
          </w:tcPr>
          <w:p w14:paraId="2DAB3B1C" w14:textId="77777777" w:rsidR="00590FE1" w:rsidRPr="001D5327" w:rsidRDefault="00590FE1" w:rsidP="00403787">
            <w:pPr>
              <w:pStyle w:val="TableText"/>
              <w:spacing w:before="40" w:after="40"/>
            </w:pPr>
            <w:r w:rsidRPr="001D5327">
              <w:t>L1</w:t>
            </w:r>
          </w:p>
        </w:tc>
      </w:tr>
      <w:tr w:rsidR="00590FE1" w:rsidRPr="001D5327" w14:paraId="4D859C5A" w14:textId="77777777" w:rsidTr="00403787">
        <w:tc>
          <w:tcPr>
            <w:tcW w:w="1071" w:type="dxa"/>
            <w:shd w:val="clear" w:color="auto" w:fill="FFFFFF"/>
          </w:tcPr>
          <w:p w14:paraId="41FB9FCA" w14:textId="77777777" w:rsidR="00590FE1" w:rsidRPr="001D5327" w:rsidRDefault="00590FE1" w:rsidP="00403787">
            <w:pPr>
              <w:pStyle w:val="TableText"/>
              <w:spacing w:before="40" w:after="40"/>
            </w:pPr>
            <w:r w:rsidRPr="001D5327">
              <w:t>3.G.</w:t>
            </w:r>
          </w:p>
        </w:tc>
        <w:tc>
          <w:tcPr>
            <w:tcW w:w="5733" w:type="dxa"/>
            <w:shd w:val="clear" w:color="auto" w:fill="FFFFFF"/>
          </w:tcPr>
          <w:p w14:paraId="6D2DE165" w14:textId="77777777" w:rsidR="00590FE1" w:rsidRPr="001D5327" w:rsidRDefault="00590FE1" w:rsidP="00403787">
            <w:pPr>
              <w:pStyle w:val="TableText"/>
              <w:spacing w:before="40" w:after="40"/>
            </w:pPr>
            <w:r w:rsidRPr="001D5327">
              <w:t>Agriculture – Liming</w:t>
            </w:r>
          </w:p>
        </w:tc>
        <w:tc>
          <w:tcPr>
            <w:tcW w:w="567" w:type="dxa"/>
            <w:shd w:val="clear" w:color="auto" w:fill="FFFFFF"/>
          </w:tcPr>
          <w:p w14:paraId="142CD7CE" w14:textId="77777777" w:rsidR="00590FE1" w:rsidRPr="001D5327" w:rsidRDefault="00590FE1" w:rsidP="00403787">
            <w:pPr>
              <w:pStyle w:val="TableText"/>
              <w:spacing w:before="40" w:after="40"/>
            </w:pPr>
            <w:r w:rsidRPr="001D5327">
              <w:t>CO</w:t>
            </w:r>
            <w:r w:rsidRPr="001D5327">
              <w:rPr>
                <w:vertAlign w:val="subscript"/>
              </w:rPr>
              <w:t>2</w:t>
            </w:r>
          </w:p>
        </w:tc>
        <w:tc>
          <w:tcPr>
            <w:tcW w:w="1134" w:type="dxa"/>
            <w:shd w:val="clear" w:color="auto" w:fill="FFFFFF"/>
          </w:tcPr>
          <w:p w14:paraId="175FB3E8" w14:textId="77777777" w:rsidR="00590FE1" w:rsidRPr="001D5327" w:rsidRDefault="00590FE1" w:rsidP="00403787">
            <w:pPr>
              <w:pStyle w:val="TableText"/>
              <w:spacing w:before="40" w:after="40"/>
            </w:pPr>
            <w:r w:rsidRPr="001D5327">
              <w:t>L1</w:t>
            </w:r>
          </w:p>
        </w:tc>
      </w:tr>
      <w:tr w:rsidR="00590FE1" w:rsidRPr="001D5327" w14:paraId="4AAE02A6" w14:textId="77777777" w:rsidTr="00403787">
        <w:tc>
          <w:tcPr>
            <w:tcW w:w="1071" w:type="dxa"/>
            <w:shd w:val="clear" w:color="auto" w:fill="FFFFFF"/>
          </w:tcPr>
          <w:p w14:paraId="19CC1711" w14:textId="77777777" w:rsidR="00590FE1" w:rsidRPr="001D5327" w:rsidRDefault="00590FE1" w:rsidP="00403787">
            <w:pPr>
              <w:pStyle w:val="TableText"/>
              <w:spacing w:before="40" w:after="40"/>
            </w:pPr>
            <w:r w:rsidRPr="001D5327">
              <w:t>3.H.</w:t>
            </w:r>
          </w:p>
        </w:tc>
        <w:tc>
          <w:tcPr>
            <w:tcW w:w="5733" w:type="dxa"/>
            <w:shd w:val="clear" w:color="auto" w:fill="FFFFFF"/>
          </w:tcPr>
          <w:p w14:paraId="459DB002" w14:textId="77777777" w:rsidR="00590FE1" w:rsidRPr="001D5327" w:rsidRDefault="00590FE1" w:rsidP="00403787">
            <w:pPr>
              <w:pStyle w:val="TableText"/>
              <w:spacing w:before="40" w:after="40"/>
            </w:pPr>
            <w:r w:rsidRPr="001D5327">
              <w:t>Agriculture – Urea application</w:t>
            </w:r>
          </w:p>
        </w:tc>
        <w:tc>
          <w:tcPr>
            <w:tcW w:w="567" w:type="dxa"/>
            <w:shd w:val="clear" w:color="auto" w:fill="FFFFFF"/>
          </w:tcPr>
          <w:p w14:paraId="4D76057B" w14:textId="77777777" w:rsidR="00590FE1" w:rsidRPr="001D5327" w:rsidRDefault="00590FE1" w:rsidP="00403787">
            <w:pPr>
              <w:pStyle w:val="TableText"/>
              <w:spacing w:before="40" w:after="40"/>
            </w:pPr>
            <w:r w:rsidRPr="001D5327">
              <w:t>CO</w:t>
            </w:r>
            <w:r w:rsidRPr="001D5327">
              <w:rPr>
                <w:vertAlign w:val="subscript"/>
              </w:rPr>
              <w:t>2</w:t>
            </w:r>
          </w:p>
        </w:tc>
        <w:tc>
          <w:tcPr>
            <w:tcW w:w="1134" w:type="dxa"/>
            <w:shd w:val="clear" w:color="auto" w:fill="FFFFFF"/>
          </w:tcPr>
          <w:p w14:paraId="43BD27D6" w14:textId="77777777" w:rsidR="00590FE1" w:rsidRPr="001D5327" w:rsidRDefault="00590FE1" w:rsidP="00403787">
            <w:pPr>
              <w:pStyle w:val="TableText"/>
              <w:spacing w:before="40" w:after="40"/>
            </w:pPr>
            <w:r w:rsidRPr="001D5327">
              <w:t>L1, T1</w:t>
            </w:r>
          </w:p>
        </w:tc>
      </w:tr>
    </w:tbl>
    <w:p w14:paraId="10A88634" w14:textId="77777777" w:rsidR="00590FE1" w:rsidRPr="001D5327" w:rsidRDefault="00590FE1" w:rsidP="00590FE1">
      <w:pPr>
        <w:pStyle w:val="Noteundertable"/>
        <w:spacing w:before="100"/>
        <w:rPr>
          <w:rFonts w:cs="Calibri"/>
        </w:rPr>
      </w:pPr>
      <w:r w:rsidRPr="001D5327">
        <w:rPr>
          <w:rFonts w:cs="Calibri"/>
          <w:b/>
          <w:bCs/>
        </w:rPr>
        <w:t>Note</w:t>
      </w:r>
      <w:r w:rsidRPr="001D5327">
        <w:rPr>
          <w:rFonts w:cs="Calibri"/>
        </w:rPr>
        <w:t xml:space="preserve">: </w:t>
      </w:r>
      <w:r w:rsidRPr="001D5327">
        <w:tab/>
      </w:r>
      <w:r w:rsidRPr="001D5327">
        <w:rPr>
          <w:rFonts w:cs="Calibri"/>
        </w:rPr>
        <w:t xml:space="preserve">L1 means a key category is identified under the level analysis – approach 1 and T1 is trend analysis </w:t>
      </w:r>
      <w:r w:rsidRPr="001D5327">
        <w:br/>
      </w:r>
      <w:r w:rsidRPr="001D5327">
        <w:rPr>
          <w:rFonts w:cs="Calibri"/>
        </w:rPr>
        <w:t>– approach 1. See chapter 1, for more information.</w:t>
      </w:r>
    </w:p>
    <w:p w14:paraId="2C3141F2" w14:textId="77777777" w:rsidR="00590FE1" w:rsidRPr="001D5327" w:rsidRDefault="00590FE1" w:rsidP="00590FE1">
      <w:pPr>
        <w:pStyle w:val="Heading3"/>
      </w:pPr>
      <w:bookmarkStart w:id="663" w:name="_Toc32570645"/>
      <w:r w:rsidRPr="001D5327">
        <w:t xml:space="preserve">5.1.3 </w:t>
      </w:r>
      <w:r w:rsidRPr="001D5327">
        <w:tab/>
        <w:t>Methodological issues for the Agriculture sector</w:t>
      </w:r>
      <w:bookmarkEnd w:id="663"/>
      <w:r w:rsidRPr="001D5327">
        <w:t xml:space="preserve"> </w:t>
      </w:r>
    </w:p>
    <w:p w14:paraId="78BBBE92" w14:textId="77777777" w:rsidR="00590FE1" w:rsidRPr="001D5327" w:rsidRDefault="00590FE1" w:rsidP="00590FE1">
      <w:pPr>
        <w:pStyle w:val="BodyText"/>
        <w:spacing w:before="100" w:after="100"/>
        <w:rPr>
          <w:rFonts w:cs="Calibri"/>
        </w:rPr>
      </w:pPr>
      <w:r w:rsidRPr="001D5327">
        <w:rPr>
          <w:rFonts w:cs="Calibri"/>
        </w:rPr>
        <w:t>The Agriculture</w:t>
      </w:r>
      <w:r w:rsidRPr="001D5327">
        <w:rPr>
          <w:rFonts w:cs="Calibri"/>
          <w:i/>
        </w:rPr>
        <w:t xml:space="preserve"> </w:t>
      </w:r>
      <w:r w:rsidRPr="001D5327">
        <w:rPr>
          <w:rFonts w:cs="Calibri"/>
        </w:rPr>
        <w:t>sector includes emissions of CH</w:t>
      </w:r>
      <w:r w:rsidRPr="001D5327">
        <w:rPr>
          <w:rFonts w:cs="Calibri"/>
          <w:vertAlign w:val="subscript"/>
        </w:rPr>
        <w:t>4</w:t>
      </w:r>
      <w:r w:rsidRPr="001D5327">
        <w:rPr>
          <w:rFonts w:cs="Calibri"/>
        </w:rPr>
        <w:t xml:space="preserve"> and N</w:t>
      </w:r>
      <w:r w:rsidRPr="001D5327">
        <w:rPr>
          <w:rFonts w:cs="Calibri"/>
          <w:vertAlign w:val="subscript"/>
        </w:rPr>
        <w:t>2</w:t>
      </w:r>
      <w:r w:rsidRPr="001D5327">
        <w:rPr>
          <w:rFonts w:cs="Calibri"/>
        </w:rPr>
        <w:t xml:space="preserve">O from livestock industries (estimated in </w:t>
      </w:r>
      <w:r w:rsidRPr="001D5327">
        <w:rPr>
          <w:rFonts w:cs="Calibri"/>
          <w:i/>
        </w:rPr>
        <w:t xml:space="preserve">Enteric fermentation </w:t>
      </w:r>
      <w:r w:rsidRPr="001D5327">
        <w:rPr>
          <w:rFonts w:cs="Calibri"/>
        </w:rPr>
        <w:t>(CH</w:t>
      </w:r>
      <w:r w:rsidRPr="001D5327">
        <w:rPr>
          <w:rFonts w:cs="Calibri"/>
          <w:vertAlign w:val="subscript"/>
        </w:rPr>
        <w:t>4</w:t>
      </w:r>
      <w:r w:rsidRPr="001D5327">
        <w:rPr>
          <w:rFonts w:cs="Calibri"/>
        </w:rPr>
        <w:t xml:space="preserve">) and </w:t>
      </w:r>
      <w:r w:rsidRPr="001D5327">
        <w:rPr>
          <w:rFonts w:cs="Calibri"/>
          <w:i/>
        </w:rPr>
        <w:t xml:space="preserve">Manure management </w:t>
      </w:r>
      <w:r w:rsidRPr="001D5327">
        <w:rPr>
          <w:rFonts w:cs="Calibri"/>
        </w:rPr>
        <w:t>(CH</w:t>
      </w:r>
      <w:r w:rsidRPr="001D5327">
        <w:rPr>
          <w:rFonts w:cs="Calibri"/>
          <w:vertAlign w:val="subscript"/>
        </w:rPr>
        <w:t>4</w:t>
      </w:r>
      <w:r w:rsidRPr="001D5327">
        <w:rPr>
          <w:rFonts w:cs="Calibri"/>
        </w:rPr>
        <w:t xml:space="preserve"> and N</w:t>
      </w:r>
      <w:r w:rsidRPr="001D5327">
        <w:rPr>
          <w:rFonts w:cs="Calibri"/>
          <w:vertAlign w:val="subscript"/>
        </w:rPr>
        <w:t>2</w:t>
      </w:r>
      <w:r w:rsidRPr="001D5327">
        <w:rPr>
          <w:rFonts w:cs="Calibri"/>
        </w:rPr>
        <w:t>O)).</w:t>
      </w:r>
      <w:r w:rsidRPr="001D5327">
        <w:rPr>
          <w:rFonts w:cs="Calibri"/>
          <w:i/>
        </w:rPr>
        <w:t xml:space="preserve"> </w:t>
      </w:r>
      <w:r w:rsidRPr="001D5327">
        <w:rPr>
          <w:rFonts w:cs="Calibri"/>
        </w:rPr>
        <w:t xml:space="preserve">In </w:t>
      </w:r>
      <w:r w:rsidRPr="001D5327">
        <w:t>New Zealand</w:t>
      </w:r>
      <w:r w:rsidRPr="001D5327">
        <w:rPr>
          <w:rFonts w:cs="Calibri"/>
        </w:rPr>
        <w:t xml:space="preserve">, the predominant species (in terms of population) are sheep, followed by dairy cattle, non-dairy cattle and deer. The majority of </w:t>
      </w:r>
      <w:r w:rsidRPr="001D5327" w:rsidDel="00586F76">
        <w:t xml:space="preserve">New </w:t>
      </w:r>
      <w:r w:rsidRPr="001D5327">
        <w:t>Zealand</w:t>
      </w:r>
      <w:r w:rsidRPr="001D5327">
        <w:rPr>
          <w:rFonts w:cs="Calibri"/>
        </w:rPr>
        <w:t xml:space="preserve"> animals are selected to perform under outdoor pastoral farming systems. </w:t>
      </w:r>
    </w:p>
    <w:p w14:paraId="558AE930" w14:textId="77777777" w:rsidR="00590FE1" w:rsidRPr="001D5327" w:rsidRDefault="00590FE1" w:rsidP="00590FE1">
      <w:pPr>
        <w:pStyle w:val="BodyText"/>
        <w:spacing w:before="100" w:after="100"/>
        <w:rPr>
          <w:rFonts w:cs="Calibri"/>
        </w:rPr>
      </w:pPr>
      <w:r w:rsidRPr="001D5327">
        <w:rPr>
          <w:rFonts w:cs="Calibri"/>
        </w:rPr>
        <w:t>Other agricultural emission sources include N</w:t>
      </w:r>
      <w:r w:rsidRPr="001D5327">
        <w:rPr>
          <w:rFonts w:cs="Calibri"/>
          <w:vertAlign w:val="subscript"/>
        </w:rPr>
        <w:t>2</w:t>
      </w:r>
      <w:r w:rsidRPr="001D5327">
        <w:rPr>
          <w:rFonts w:cs="Calibri"/>
        </w:rPr>
        <w:t xml:space="preserve">O from </w:t>
      </w:r>
      <w:r w:rsidRPr="001D5327">
        <w:rPr>
          <w:rFonts w:cs="Calibri"/>
          <w:i/>
          <w:iCs/>
        </w:rPr>
        <w:t>Agricultural soils</w:t>
      </w:r>
      <w:r w:rsidRPr="001D5327">
        <w:rPr>
          <w:rFonts w:cs="Calibri"/>
        </w:rPr>
        <w:t>, CH</w:t>
      </w:r>
      <w:r w:rsidRPr="001D5327">
        <w:rPr>
          <w:rFonts w:cs="Calibri"/>
          <w:vertAlign w:val="subscript"/>
        </w:rPr>
        <w:t>4</w:t>
      </w:r>
      <w:r w:rsidRPr="001D5327">
        <w:rPr>
          <w:rFonts w:cs="Calibri"/>
        </w:rPr>
        <w:t xml:space="preserve"> and N</w:t>
      </w:r>
      <w:r w:rsidRPr="001D5327">
        <w:rPr>
          <w:rFonts w:cs="Calibri"/>
          <w:vertAlign w:val="subscript"/>
        </w:rPr>
        <w:t>2</w:t>
      </w:r>
      <w:r w:rsidRPr="001D5327">
        <w:rPr>
          <w:rFonts w:cs="Calibri"/>
        </w:rPr>
        <w:t>O from </w:t>
      </w:r>
      <w:r w:rsidRPr="001D5327">
        <w:rPr>
          <w:rFonts w:cs="Calibri"/>
          <w:i/>
          <w:iCs/>
        </w:rPr>
        <w:t>Field burning of agricultural residues</w:t>
      </w:r>
      <w:r w:rsidRPr="001D5327">
        <w:rPr>
          <w:rFonts w:cs="Calibri"/>
        </w:rPr>
        <w:t xml:space="preserve"> and CO</w:t>
      </w:r>
      <w:r w:rsidRPr="001D5327">
        <w:rPr>
          <w:rFonts w:cs="Calibri"/>
          <w:vertAlign w:val="subscript"/>
        </w:rPr>
        <w:t>2</w:t>
      </w:r>
      <w:r w:rsidRPr="001D5327">
        <w:rPr>
          <w:rFonts w:cs="Calibri"/>
        </w:rPr>
        <w:t xml:space="preserve"> from </w:t>
      </w:r>
      <w:r w:rsidRPr="001D5327">
        <w:rPr>
          <w:rFonts w:cs="Calibri"/>
          <w:i/>
          <w:iCs/>
        </w:rPr>
        <w:t>Liming</w:t>
      </w:r>
      <w:r w:rsidRPr="001D5327">
        <w:rPr>
          <w:rFonts w:cs="Calibri"/>
        </w:rPr>
        <w:t xml:space="preserve"> and </w:t>
      </w:r>
      <w:r w:rsidRPr="001D5327">
        <w:rPr>
          <w:rFonts w:cs="Calibri"/>
          <w:i/>
          <w:iCs/>
        </w:rPr>
        <w:t>Urea application</w:t>
      </w:r>
      <w:r w:rsidRPr="001D5327">
        <w:rPr>
          <w:rFonts w:cs="Calibri"/>
        </w:rPr>
        <w:t>.</w:t>
      </w:r>
    </w:p>
    <w:p w14:paraId="4D20C3E8" w14:textId="77777777" w:rsidR="00590FE1" w:rsidRPr="001D5327" w:rsidRDefault="00590FE1" w:rsidP="00590FE1">
      <w:pPr>
        <w:pStyle w:val="BodyText"/>
        <w:spacing w:before="100" w:after="100"/>
        <w:rPr>
          <w:rFonts w:cs="Calibri"/>
        </w:rPr>
      </w:pPr>
      <w:r w:rsidRPr="001D5327">
        <w:t>New Zealand</w:t>
      </w:r>
      <w:r w:rsidRPr="001D5327">
        <w:rPr>
          <w:rFonts w:cs="Calibri"/>
        </w:rPr>
        <w:t xml:space="preserve"> uses a range of models and tiers appropriate to the size of the different emission categories for calculating emissions. For example, in 2023, 92.4 per cent of </w:t>
      </w:r>
      <w:r w:rsidRPr="001D5327">
        <w:t xml:space="preserve">emissions from the Agriculture sector come from </w:t>
      </w:r>
      <w:r w:rsidRPr="001D5327">
        <w:rPr>
          <w:rFonts w:cs="Calibri"/>
          <w:i/>
          <w:iCs/>
        </w:rPr>
        <w:t>Dairy cattle</w:t>
      </w:r>
      <w:r w:rsidRPr="001D5327">
        <w:rPr>
          <w:rFonts w:cs="Calibri"/>
        </w:rPr>
        <w:t xml:space="preserve">, </w:t>
      </w:r>
      <w:r w:rsidRPr="001D5327">
        <w:rPr>
          <w:rFonts w:cs="Calibri"/>
          <w:i/>
          <w:iCs/>
        </w:rPr>
        <w:t>Non-dairy cattle</w:t>
      </w:r>
      <w:r w:rsidRPr="001D5327">
        <w:rPr>
          <w:rFonts w:cs="Calibri"/>
        </w:rPr>
        <w:t>,</w:t>
      </w:r>
      <w:r w:rsidRPr="001D5327">
        <w:rPr>
          <w:rFonts w:cs="Calibri"/>
          <w:i/>
          <w:iCs/>
        </w:rPr>
        <w:t xml:space="preserve"> Sheep</w:t>
      </w:r>
      <w:r w:rsidRPr="001D5327">
        <w:rPr>
          <w:rFonts w:cs="Calibri"/>
        </w:rPr>
        <w:t xml:space="preserve"> and </w:t>
      </w:r>
      <w:r w:rsidRPr="001D5327">
        <w:rPr>
          <w:rFonts w:cs="Calibri"/>
          <w:i/>
          <w:iCs/>
        </w:rPr>
        <w:t>Deer</w:t>
      </w:r>
      <w:r w:rsidRPr="001D5327">
        <w:rPr>
          <w:rFonts w:cs="Calibri"/>
        </w:rPr>
        <w:t xml:space="preserve"> (‘major’ livestock </w:t>
      </w:r>
      <w:r w:rsidRPr="001D5327">
        <w:rPr>
          <w:rFonts w:cs="Calibri"/>
          <w:spacing w:val="-2"/>
        </w:rPr>
        <w:t xml:space="preserve">categories). Emissions from major livestock categories are estimated using </w:t>
      </w:r>
      <w:r w:rsidRPr="001D5327">
        <w:t xml:space="preserve">Intergovernmental </w:t>
      </w:r>
      <w:r w:rsidRPr="001D5327">
        <w:rPr>
          <w:spacing w:val="-2"/>
        </w:rPr>
        <w:t xml:space="preserve">Panel on Climate Change (IPCC) </w:t>
      </w:r>
      <w:r w:rsidRPr="001D5327">
        <w:rPr>
          <w:rFonts w:cs="Calibri"/>
          <w:spacing w:val="-2"/>
        </w:rPr>
        <w:t>Tier 2 methodologies.</w:t>
      </w:r>
      <w:r w:rsidRPr="001D5327">
        <w:rPr>
          <w:rFonts w:cs="Calibri"/>
        </w:rPr>
        <w:t xml:space="preserve"> Other livestock species, including </w:t>
      </w:r>
      <w:r w:rsidRPr="001D5327">
        <w:rPr>
          <w:rFonts w:cs="Calibri"/>
          <w:i/>
          <w:iCs/>
        </w:rPr>
        <w:t>Swine</w:t>
      </w:r>
      <w:r w:rsidRPr="001D5327">
        <w:rPr>
          <w:rFonts w:cs="Calibri"/>
        </w:rPr>
        <w:t>,</w:t>
      </w:r>
      <w:r w:rsidRPr="001D5327">
        <w:rPr>
          <w:rFonts w:cs="Calibri"/>
          <w:i/>
          <w:iCs/>
        </w:rPr>
        <w:t xml:space="preserve"> Goats</w:t>
      </w:r>
      <w:r w:rsidRPr="001D5327">
        <w:rPr>
          <w:rFonts w:cs="Calibri"/>
        </w:rPr>
        <w:t>,</w:t>
      </w:r>
      <w:r w:rsidRPr="001D5327">
        <w:rPr>
          <w:rFonts w:cs="Calibri"/>
          <w:i/>
          <w:iCs/>
        </w:rPr>
        <w:t xml:space="preserve"> Horses</w:t>
      </w:r>
      <w:r w:rsidRPr="001D5327">
        <w:rPr>
          <w:rFonts w:cs="Calibri"/>
        </w:rPr>
        <w:t>,</w:t>
      </w:r>
      <w:r w:rsidRPr="001D5327">
        <w:rPr>
          <w:rFonts w:cs="Calibri"/>
          <w:i/>
          <w:iCs/>
        </w:rPr>
        <w:t xml:space="preserve"> </w:t>
      </w:r>
      <w:r w:rsidRPr="001D5327">
        <w:rPr>
          <w:rFonts w:cs="Calibri"/>
          <w:i/>
        </w:rPr>
        <w:t>Llamas</w:t>
      </w:r>
      <w:r w:rsidRPr="001D5327">
        <w:rPr>
          <w:i/>
        </w:rPr>
        <w:t xml:space="preserve"> and alpaca</w:t>
      </w:r>
      <w:r w:rsidRPr="001D5327">
        <w:rPr>
          <w:rFonts w:cs="Calibri"/>
          <w:i/>
        </w:rPr>
        <w:t>s</w:t>
      </w:r>
      <w:r w:rsidRPr="001D5327">
        <w:rPr>
          <w:rFonts w:cs="Calibri"/>
        </w:rPr>
        <w:t>,</w:t>
      </w:r>
      <w:r w:rsidRPr="001D5327">
        <w:rPr>
          <w:rFonts w:cs="Calibri"/>
          <w:i/>
          <w:iCs/>
        </w:rPr>
        <w:t xml:space="preserve"> Mules and asses</w:t>
      </w:r>
      <w:r w:rsidRPr="001D5327">
        <w:rPr>
          <w:rFonts w:cs="Calibri"/>
        </w:rPr>
        <w:t xml:space="preserve"> </w:t>
      </w:r>
      <w:r w:rsidRPr="001D5327">
        <w:rPr>
          <w:rFonts w:cs="Calibri"/>
          <w:spacing w:val="-2"/>
        </w:rPr>
        <w:t xml:space="preserve">and </w:t>
      </w:r>
      <w:r w:rsidRPr="001D5327">
        <w:rPr>
          <w:rFonts w:cs="Calibri"/>
          <w:i/>
          <w:iCs/>
          <w:spacing w:val="-2"/>
        </w:rPr>
        <w:t xml:space="preserve">Poultry </w:t>
      </w:r>
      <w:r w:rsidRPr="001D5327">
        <w:rPr>
          <w:rFonts w:cs="Calibri"/>
          <w:spacing w:val="-2"/>
        </w:rPr>
        <w:t>(‘minor’ livestock categories) account for only 0.4 per cent of Agriculture emissions,</w:t>
      </w:r>
      <w:r w:rsidRPr="001D5327">
        <w:rPr>
          <w:rFonts w:cs="Calibri"/>
        </w:rPr>
        <w:t xml:space="preserve"> and are estimated using Tier 1 methodologies with some Tier 2 components. As such, most of </w:t>
      </w:r>
      <w:r w:rsidRPr="001D5327">
        <w:t>New Zealand’s</w:t>
      </w:r>
      <w:r w:rsidRPr="001D5327">
        <w:rPr>
          <w:rFonts w:cs="Calibri"/>
        </w:rPr>
        <w:t xml:space="preserve"> reported agricultural emissions are calculated using a Tier 2 </w:t>
      </w:r>
      <w:r w:rsidRPr="001D5327">
        <w:rPr>
          <w:rFonts w:cs="Calibri"/>
          <w:spacing w:val="-2"/>
        </w:rPr>
        <w:t xml:space="preserve">methodology. A partial Tier 3 methodology is used for calculating emissions from </w:t>
      </w:r>
      <w:r w:rsidRPr="001D5327">
        <w:rPr>
          <w:rFonts w:cs="Calibri"/>
          <w:i/>
          <w:spacing w:val="-2"/>
        </w:rPr>
        <w:t>A</w:t>
      </w:r>
      <w:r w:rsidRPr="001D5327">
        <w:rPr>
          <w:rFonts w:cs="Calibri"/>
          <w:i/>
          <w:iCs/>
          <w:spacing w:val="-2"/>
        </w:rPr>
        <w:t xml:space="preserve">gricultural soils </w:t>
      </w:r>
      <w:r w:rsidRPr="001D5327">
        <w:rPr>
          <w:rFonts w:cs="Calibri"/>
          <w:spacing w:val="-2"/>
        </w:rPr>
        <w:t xml:space="preserve">for </w:t>
      </w:r>
      <w:r w:rsidRPr="001D5327">
        <w:rPr>
          <w:rFonts w:cs="Calibri"/>
          <w:i/>
          <w:iCs/>
          <w:szCs w:val="16"/>
        </w:rPr>
        <w:t>Urine and dung deposited by grazing animals</w:t>
      </w:r>
      <w:r w:rsidRPr="001D5327">
        <w:rPr>
          <w:rFonts w:cs="Calibri"/>
          <w:szCs w:val="16"/>
        </w:rPr>
        <w:t>.</w:t>
      </w:r>
      <w:r w:rsidRPr="001D5327">
        <w:rPr>
          <w:rFonts w:cs="Calibri"/>
          <w:spacing w:val="-2"/>
        </w:rPr>
        <w:t xml:space="preserve"> Table 5.1.3 summarises methods and emission factors for Agriculture categories.</w:t>
      </w:r>
    </w:p>
    <w:p w14:paraId="7D088394" w14:textId="77777777" w:rsidR="00590FE1" w:rsidRPr="001D5327" w:rsidRDefault="00590FE1" w:rsidP="00590FE1">
      <w:pPr>
        <w:pStyle w:val="Table"/>
        <w:rPr>
          <w:rFonts w:cs="Calibri"/>
        </w:rPr>
      </w:pPr>
      <w:bookmarkStart w:id="664" w:name="_Toc32570911"/>
      <w:bookmarkStart w:id="665" w:name="_Toc36224546"/>
      <w:bookmarkStart w:id="666" w:name="_Toc68786432"/>
      <w:bookmarkStart w:id="667" w:name="_Toc95574067"/>
      <w:bookmarkStart w:id="668" w:name="_Toc127458250"/>
      <w:bookmarkStart w:id="669" w:name="_Toc131591346"/>
      <w:bookmarkStart w:id="670" w:name="_Toc160114436"/>
      <w:bookmarkStart w:id="671" w:name="_Toc164153832"/>
      <w:bookmarkStart w:id="672" w:name="_Toc194241699"/>
      <w:r w:rsidRPr="001D5327">
        <w:rPr>
          <w:rFonts w:cs="Calibri"/>
        </w:rPr>
        <w:lastRenderedPageBreak/>
        <w:t xml:space="preserve">Table 5.1.3 </w:t>
      </w:r>
      <w:r w:rsidRPr="001D5327">
        <w:rPr>
          <w:rFonts w:cs="Calibri"/>
        </w:rPr>
        <w:tab/>
        <w:t>Methods and emission factors in the Agriculture sector</w:t>
      </w:r>
      <w:bookmarkEnd w:id="664"/>
      <w:bookmarkEnd w:id="665"/>
      <w:bookmarkEnd w:id="666"/>
      <w:bookmarkEnd w:id="667"/>
      <w:bookmarkEnd w:id="668"/>
      <w:bookmarkEnd w:id="669"/>
      <w:bookmarkEnd w:id="670"/>
      <w:bookmarkEnd w:id="671"/>
      <w:bookmarkEnd w:id="672"/>
    </w:p>
    <w:tbl>
      <w:tblPr>
        <w:tblW w:w="8514" w:type="dxa"/>
        <w:tblLayout w:type="fixed"/>
        <w:tblCellMar>
          <w:left w:w="85" w:type="dxa"/>
          <w:right w:w="85" w:type="dxa"/>
        </w:tblCellMar>
        <w:tblLook w:val="04A0" w:firstRow="1" w:lastRow="0" w:firstColumn="1" w:lastColumn="0" w:noHBand="0" w:noVBand="1"/>
      </w:tblPr>
      <w:tblGrid>
        <w:gridCol w:w="319"/>
        <w:gridCol w:w="3225"/>
        <w:gridCol w:w="828"/>
        <w:gridCol w:w="828"/>
        <w:gridCol w:w="829"/>
        <w:gridCol w:w="828"/>
        <w:gridCol w:w="828"/>
        <w:gridCol w:w="829"/>
      </w:tblGrid>
      <w:tr w:rsidR="00590FE1" w:rsidRPr="001D5327" w14:paraId="66A9E7D9" w14:textId="77777777" w:rsidTr="00D23419">
        <w:trPr>
          <w:tblHeader/>
        </w:trPr>
        <w:tc>
          <w:tcPr>
            <w:tcW w:w="3544" w:type="dxa"/>
            <w:gridSpan w:val="2"/>
            <w:vMerge w:val="restart"/>
            <w:tcBorders>
              <w:top w:val="single" w:sz="4" w:space="0" w:color="1B556B" w:themeColor="text2"/>
              <w:left w:val="nil"/>
              <w:right w:val="single" w:sz="4" w:space="0" w:color="1B556B"/>
            </w:tcBorders>
            <w:shd w:val="clear" w:color="auto" w:fill="1B556B" w:themeFill="text2"/>
            <w:vAlign w:val="bottom"/>
          </w:tcPr>
          <w:p w14:paraId="4AACBEF9" w14:textId="77777777" w:rsidR="00590FE1" w:rsidRPr="001D5327" w:rsidRDefault="00590FE1" w:rsidP="00403787">
            <w:pPr>
              <w:pStyle w:val="TableTextBold"/>
              <w:keepNext/>
              <w:spacing w:before="40" w:after="40"/>
              <w:rPr>
                <w:noProof w:val="0"/>
                <w:color w:val="FFFFFF" w:themeColor="background1"/>
                <w:szCs w:val="16"/>
              </w:rPr>
            </w:pPr>
            <w:r w:rsidRPr="001D5327">
              <w:rPr>
                <w:noProof w:val="0"/>
                <w:color w:val="FFFFFF" w:themeColor="background1"/>
                <w:szCs w:val="16"/>
              </w:rPr>
              <w:t>Source category</w:t>
            </w:r>
          </w:p>
        </w:tc>
        <w:tc>
          <w:tcPr>
            <w:tcW w:w="1656" w:type="dxa"/>
            <w:gridSpan w:val="2"/>
            <w:tcBorders>
              <w:top w:val="single" w:sz="4" w:space="0" w:color="1B556B" w:themeColor="text2"/>
              <w:left w:val="single" w:sz="4" w:space="0" w:color="1B556B"/>
              <w:right w:val="nil"/>
            </w:tcBorders>
            <w:shd w:val="clear" w:color="auto" w:fill="1B556B" w:themeFill="text2"/>
            <w:vAlign w:val="center"/>
          </w:tcPr>
          <w:p w14:paraId="60273A2F" w14:textId="77777777" w:rsidR="00590FE1" w:rsidRPr="001D5327" w:rsidRDefault="00590FE1" w:rsidP="00403787">
            <w:pPr>
              <w:pStyle w:val="TableTextBold"/>
              <w:keepNext/>
              <w:spacing w:before="40" w:after="0"/>
              <w:jc w:val="center"/>
              <w:rPr>
                <w:noProof w:val="0"/>
                <w:color w:val="FFFFFF" w:themeColor="background1"/>
                <w:szCs w:val="16"/>
              </w:rPr>
            </w:pPr>
            <w:r w:rsidRPr="001D5327">
              <w:rPr>
                <w:noProof w:val="0"/>
                <w:color w:val="FFFFFF" w:themeColor="background1"/>
                <w:szCs w:val="16"/>
              </w:rPr>
              <w:t>CH</w:t>
            </w:r>
            <w:r w:rsidRPr="001D5327">
              <w:rPr>
                <w:noProof w:val="0"/>
                <w:color w:val="FFFFFF" w:themeColor="background1"/>
                <w:szCs w:val="16"/>
                <w:vertAlign w:val="subscript"/>
              </w:rPr>
              <w:t>4</w:t>
            </w:r>
          </w:p>
        </w:tc>
        <w:tc>
          <w:tcPr>
            <w:tcW w:w="1657" w:type="dxa"/>
            <w:gridSpan w:val="2"/>
            <w:tcBorders>
              <w:top w:val="single" w:sz="4" w:space="0" w:color="1B556B" w:themeColor="text2"/>
              <w:left w:val="nil"/>
              <w:right w:val="nil"/>
            </w:tcBorders>
            <w:shd w:val="clear" w:color="auto" w:fill="1B556B" w:themeFill="text2"/>
            <w:vAlign w:val="center"/>
          </w:tcPr>
          <w:p w14:paraId="5BF01435" w14:textId="77777777" w:rsidR="00590FE1" w:rsidRPr="001D5327" w:rsidRDefault="00590FE1" w:rsidP="00403787">
            <w:pPr>
              <w:pStyle w:val="TableTextBold"/>
              <w:keepNext/>
              <w:spacing w:before="40" w:after="0"/>
              <w:jc w:val="center"/>
              <w:rPr>
                <w:noProof w:val="0"/>
                <w:color w:val="FFFFFF" w:themeColor="background1"/>
                <w:szCs w:val="16"/>
              </w:rPr>
            </w:pPr>
            <w:r w:rsidRPr="001D5327">
              <w:rPr>
                <w:noProof w:val="0"/>
                <w:color w:val="FFFFFF" w:themeColor="background1"/>
                <w:szCs w:val="16"/>
              </w:rPr>
              <w:t>N</w:t>
            </w:r>
            <w:r w:rsidRPr="001D5327">
              <w:rPr>
                <w:noProof w:val="0"/>
                <w:color w:val="FFFFFF" w:themeColor="background1"/>
                <w:szCs w:val="16"/>
                <w:vertAlign w:val="subscript"/>
              </w:rPr>
              <w:t>2</w:t>
            </w:r>
            <w:r w:rsidRPr="001D5327">
              <w:rPr>
                <w:noProof w:val="0"/>
                <w:color w:val="FFFFFF" w:themeColor="background1"/>
                <w:szCs w:val="16"/>
              </w:rPr>
              <w:t>O</w:t>
            </w:r>
          </w:p>
        </w:tc>
        <w:tc>
          <w:tcPr>
            <w:tcW w:w="1657" w:type="dxa"/>
            <w:gridSpan w:val="2"/>
            <w:tcBorders>
              <w:top w:val="single" w:sz="4" w:space="0" w:color="1B556B" w:themeColor="text2"/>
              <w:left w:val="nil"/>
              <w:right w:val="nil"/>
            </w:tcBorders>
            <w:shd w:val="clear" w:color="auto" w:fill="1B556B" w:themeFill="text2"/>
            <w:vAlign w:val="center"/>
          </w:tcPr>
          <w:p w14:paraId="24442E1E" w14:textId="77777777" w:rsidR="00590FE1" w:rsidRPr="001D5327" w:rsidRDefault="00590FE1" w:rsidP="00403787">
            <w:pPr>
              <w:pStyle w:val="TableTextBold"/>
              <w:keepNext/>
              <w:spacing w:before="40" w:after="0"/>
              <w:jc w:val="center"/>
              <w:rPr>
                <w:noProof w:val="0"/>
                <w:color w:val="FFFFFF" w:themeColor="background1"/>
                <w:szCs w:val="16"/>
              </w:rPr>
            </w:pPr>
            <w:r w:rsidRPr="001D5327">
              <w:rPr>
                <w:noProof w:val="0"/>
                <w:color w:val="FFFFFF" w:themeColor="background1"/>
                <w:szCs w:val="16"/>
              </w:rPr>
              <w:t>CO</w:t>
            </w:r>
            <w:r w:rsidRPr="001D5327">
              <w:rPr>
                <w:noProof w:val="0"/>
                <w:color w:val="FFFFFF" w:themeColor="background1"/>
                <w:szCs w:val="16"/>
                <w:vertAlign w:val="subscript"/>
              </w:rPr>
              <w:t>2</w:t>
            </w:r>
          </w:p>
        </w:tc>
      </w:tr>
      <w:tr w:rsidR="00590FE1" w:rsidRPr="001D5327" w14:paraId="19CCA038" w14:textId="77777777" w:rsidTr="00D23419">
        <w:trPr>
          <w:tblHeader/>
        </w:trPr>
        <w:tc>
          <w:tcPr>
            <w:tcW w:w="3544" w:type="dxa"/>
            <w:gridSpan w:val="2"/>
            <w:vMerge/>
            <w:tcBorders>
              <w:right w:val="single" w:sz="4" w:space="0" w:color="1B556B"/>
            </w:tcBorders>
            <w:vAlign w:val="center"/>
            <w:hideMark/>
          </w:tcPr>
          <w:p w14:paraId="1F305D74" w14:textId="77777777" w:rsidR="00590FE1" w:rsidRPr="001D5327" w:rsidRDefault="00590FE1" w:rsidP="00403787">
            <w:pPr>
              <w:pStyle w:val="TableTextBold"/>
              <w:keepNext/>
              <w:jc w:val="center"/>
              <w:rPr>
                <w:noProof w:val="0"/>
                <w:color w:val="FFFFFF" w:themeColor="background1"/>
                <w:szCs w:val="16"/>
              </w:rPr>
            </w:pPr>
          </w:p>
        </w:tc>
        <w:tc>
          <w:tcPr>
            <w:tcW w:w="828" w:type="dxa"/>
            <w:tcBorders>
              <w:left w:val="single" w:sz="4" w:space="0" w:color="1B556B"/>
              <w:bottom w:val="single" w:sz="4" w:space="0" w:color="1B556B" w:themeColor="text2"/>
              <w:right w:val="nil"/>
            </w:tcBorders>
            <w:shd w:val="clear" w:color="auto" w:fill="1B556B" w:themeFill="text2"/>
            <w:vAlign w:val="center"/>
            <w:hideMark/>
          </w:tcPr>
          <w:p w14:paraId="1D7DFB04" w14:textId="77777777" w:rsidR="00590FE1" w:rsidRPr="001D5327" w:rsidRDefault="00590FE1" w:rsidP="00403787">
            <w:pPr>
              <w:pStyle w:val="TableTextBold"/>
              <w:keepNext/>
              <w:spacing w:before="40" w:after="40"/>
              <w:rPr>
                <w:noProof w:val="0"/>
                <w:color w:val="FFFFFF" w:themeColor="background1"/>
                <w:szCs w:val="16"/>
              </w:rPr>
            </w:pPr>
            <w:r w:rsidRPr="001D5327">
              <w:rPr>
                <w:noProof w:val="0"/>
                <w:color w:val="FFFFFF" w:themeColor="background1"/>
                <w:szCs w:val="16"/>
              </w:rPr>
              <w:t>Method applied</w:t>
            </w:r>
          </w:p>
        </w:tc>
        <w:tc>
          <w:tcPr>
            <w:tcW w:w="828" w:type="dxa"/>
            <w:tcBorders>
              <w:left w:val="nil"/>
              <w:bottom w:val="single" w:sz="4" w:space="0" w:color="1B556B" w:themeColor="text2"/>
              <w:right w:val="nil"/>
            </w:tcBorders>
            <w:shd w:val="clear" w:color="auto" w:fill="1B556B" w:themeFill="text2"/>
            <w:vAlign w:val="center"/>
            <w:hideMark/>
          </w:tcPr>
          <w:p w14:paraId="0513940F" w14:textId="77777777" w:rsidR="00590FE1" w:rsidRPr="001D5327" w:rsidRDefault="00590FE1" w:rsidP="00403787">
            <w:pPr>
              <w:pStyle w:val="TableTextBold"/>
              <w:keepNext/>
              <w:spacing w:before="40" w:after="40"/>
              <w:rPr>
                <w:noProof w:val="0"/>
                <w:color w:val="FFFFFF" w:themeColor="background1"/>
                <w:szCs w:val="16"/>
              </w:rPr>
            </w:pPr>
            <w:r w:rsidRPr="001D5327">
              <w:rPr>
                <w:noProof w:val="0"/>
                <w:color w:val="FFFFFF" w:themeColor="background1"/>
                <w:szCs w:val="16"/>
              </w:rPr>
              <w:t>Emission factor</w:t>
            </w:r>
          </w:p>
        </w:tc>
        <w:tc>
          <w:tcPr>
            <w:tcW w:w="829" w:type="dxa"/>
            <w:tcBorders>
              <w:left w:val="nil"/>
              <w:bottom w:val="single" w:sz="4" w:space="0" w:color="1B556B" w:themeColor="text2"/>
              <w:right w:val="nil"/>
            </w:tcBorders>
            <w:shd w:val="clear" w:color="auto" w:fill="1B556B" w:themeFill="text2"/>
            <w:vAlign w:val="center"/>
            <w:hideMark/>
          </w:tcPr>
          <w:p w14:paraId="5B23C17D" w14:textId="77777777" w:rsidR="00590FE1" w:rsidRPr="001D5327" w:rsidRDefault="00590FE1" w:rsidP="00403787">
            <w:pPr>
              <w:pStyle w:val="TableTextBold"/>
              <w:keepNext/>
              <w:spacing w:before="40" w:after="40"/>
              <w:rPr>
                <w:noProof w:val="0"/>
                <w:color w:val="FFFFFF" w:themeColor="background1"/>
                <w:szCs w:val="16"/>
              </w:rPr>
            </w:pPr>
            <w:r w:rsidRPr="001D5327">
              <w:rPr>
                <w:noProof w:val="0"/>
                <w:color w:val="FFFFFF" w:themeColor="background1"/>
                <w:szCs w:val="16"/>
              </w:rPr>
              <w:t>Method applied</w:t>
            </w:r>
          </w:p>
        </w:tc>
        <w:tc>
          <w:tcPr>
            <w:tcW w:w="828" w:type="dxa"/>
            <w:tcBorders>
              <w:left w:val="nil"/>
              <w:bottom w:val="single" w:sz="4" w:space="0" w:color="1B556B" w:themeColor="text2"/>
              <w:right w:val="nil"/>
            </w:tcBorders>
            <w:shd w:val="clear" w:color="auto" w:fill="1B556B" w:themeFill="text2"/>
            <w:vAlign w:val="center"/>
            <w:hideMark/>
          </w:tcPr>
          <w:p w14:paraId="05C2C18A" w14:textId="77777777" w:rsidR="00590FE1" w:rsidRPr="001D5327" w:rsidRDefault="00590FE1" w:rsidP="00403787">
            <w:pPr>
              <w:pStyle w:val="TableTextBold"/>
              <w:keepNext/>
              <w:spacing w:before="40" w:after="40"/>
              <w:rPr>
                <w:noProof w:val="0"/>
                <w:color w:val="FFFFFF" w:themeColor="background1"/>
                <w:szCs w:val="16"/>
              </w:rPr>
            </w:pPr>
            <w:r w:rsidRPr="001D5327">
              <w:rPr>
                <w:noProof w:val="0"/>
                <w:color w:val="FFFFFF" w:themeColor="background1"/>
                <w:szCs w:val="16"/>
              </w:rPr>
              <w:t>Emission factor</w:t>
            </w:r>
          </w:p>
        </w:tc>
        <w:tc>
          <w:tcPr>
            <w:tcW w:w="828" w:type="dxa"/>
            <w:tcBorders>
              <w:left w:val="nil"/>
              <w:bottom w:val="single" w:sz="4" w:space="0" w:color="1B556B" w:themeColor="text2"/>
              <w:right w:val="nil"/>
            </w:tcBorders>
            <w:shd w:val="clear" w:color="auto" w:fill="1B556B" w:themeFill="text2"/>
            <w:vAlign w:val="center"/>
            <w:hideMark/>
          </w:tcPr>
          <w:p w14:paraId="1B87788B" w14:textId="77777777" w:rsidR="00590FE1" w:rsidRPr="001D5327" w:rsidRDefault="00590FE1" w:rsidP="00403787">
            <w:pPr>
              <w:pStyle w:val="TableTextBold"/>
              <w:keepNext/>
              <w:spacing w:before="40" w:after="40"/>
              <w:rPr>
                <w:noProof w:val="0"/>
                <w:color w:val="FFFFFF" w:themeColor="background1"/>
                <w:szCs w:val="16"/>
              </w:rPr>
            </w:pPr>
            <w:r w:rsidRPr="001D5327">
              <w:rPr>
                <w:noProof w:val="0"/>
                <w:color w:val="FFFFFF" w:themeColor="background1"/>
                <w:szCs w:val="16"/>
              </w:rPr>
              <w:t>Method applied</w:t>
            </w:r>
          </w:p>
        </w:tc>
        <w:tc>
          <w:tcPr>
            <w:tcW w:w="829" w:type="dxa"/>
            <w:tcBorders>
              <w:left w:val="nil"/>
              <w:bottom w:val="single" w:sz="4" w:space="0" w:color="1B556B" w:themeColor="text2"/>
              <w:right w:val="nil"/>
            </w:tcBorders>
            <w:shd w:val="clear" w:color="auto" w:fill="1B556B" w:themeFill="text2"/>
            <w:vAlign w:val="center"/>
            <w:hideMark/>
          </w:tcPr>
          <w:p w14:paraId="372822D2" w14:textId="77777777" w:rsidR="00590FE1" w:rsidRPr="001D5327" w:rsidRDefault="00590FE1" w:rsidP="00403787">
            <w:pPr>
              <w:pStyle w:val="TableTextBold"/>
              <w:keepNext/>
              <w:spacing w:before="40" w:after="40"/>
              <w:rPr>
                <w:noProof w:val="0"/>
                <w:color w:val="FFFFFF" w:themeColor="background1"/>
                <w:szCs w:val="16"/>
              </w:rPr>
            </w:pPr>
            <w:r w:rsidRPr="001D5327">
              <w:rPr>
                <w:noProof w:val="0"/>
                <w:color w:val="FFFFFF" w:themeColor="background1"/>
                <w:szCs w:val="16"/>
              </w:rPr>
              <w:t>Emission factor</w:t>
            </w:r>
          </w:p>
        </w:tc>
      </w:tr>
      <w:tr w:rsidR="00D23419" w:rsidRPr="001D5327" w14:paraId="3B75CCFB" w14:textId="77777777" w:rsidTr="00D23419">
        <w:tc>
          <w:tcPr>
            <w:tcW w:w="320" w:type="dxa"/>
            <w:tcBorders>
              <w:top w:val="single" w:sz="4" w:space="0" w:color="1B556B" w:themeColor="text2"/>
              <w:left w:val="nil"/>
              <w:bottom w:val="single" w:sz="4" w:space="0" w:color="1B556B" w:themeColor="text2"/>
              <w:right w:val="nil"/>
            </w:tcBorders>
            <w:shd w:val="clear" w:color="auto" w:fill="auto"/>
            <w:noWrap/>
            <w:vAlign w:val="center"/>
            <w:hideMark/>
          </w:tcPr>
          <w:p w14:paraId="5A2B3439" w14:textId="77777777" w:rsidR="00D23419" w:rsidRPr="001D5327" w:rsidRDefault="00D23419" w:rsidP="00403787">
            <w:pPr>
              <w:pStyle w:val="TableText"/>
              <w:keepNext/>
              <w:spacing w:before="30" w:after="30"/>
              <w:rPr>
                <w:b/>
                <w:bCs/>
              </w:rPr>
            </w:pPr>
            <w:r w:rsidRPr="001D5327">
              <w:rPr>
                <w:b/>
                <w:bCs/>
              </w:rPr>
              <w:t>A</w:t>
            </w:r>
          </w:p>
        </w:tc>
        <w:tc>
          <w:tcPr>
            <w:tcW w:w="3225" w:type="dxa"/>
            <w:tcBorders>
              <w:top w:val="single" w:sz="4" w:space="0" w:color="1B556B" w:themeColor="text2"/>
              <w:left w:val="nil"/>
              <w:bottom w:val="single" w:sz="4" w:space="0" w:color="1B556B" w:themeColor="text2"/>
            </w:tcBorders>
            <w:shd w:val="clear" w:color="auto" w:fill="auto"/>
            <w:vAlign w:val="center"/>
            <w:hideMark/>
          </w:tcPr>
          <w:p w14:paraId="186858F9" w14:textId="11A0AF2A" w:rsidR="00D23419" w:rsidRPr="001D5327" w:rsidRDefault="00D23419" w:rsidP="00403787">
            <w:pPr>
              <w:pStyle w:val="TableText"/>
              <w:keepNext/>
              <w:spacing w:before="30" w:after="30"/>
              <w:rPr>
                <w:b/>
                <w:bCs/>
              </w:rPr>
            </w:pPr>
            <w:r w:rsidRPr="001D5327">
              <w:rPr>
                <w:b/>
                <w:bCs/>
              </w:rPr>
              <w:t>Enteric Fermentation</w:t>
            </w:r>
          </w:p>
        </w:tc>
        <w:tc>
          <w:tcPr>
            <w:tcW w:w="1655" w:type="dxa"/>
            <w:gridSpan w:val="2"/>
            <w:tcBorders>
              <w:top w:val="single" w:sz="4" w:space="0" w:color="1B556B" w:themeColor="text2"/>
              <w:left w:val="nil"/>
              <w:bottom w:val="single" w:sz="4" w:space="0" w:color="1B556B" w:themeColor="text2"/>
              <w:right w:val="nil"/>
            </w:tcBorders>
            <w:shd w:val="clear" w:color="auto" w:fill="auto"/>
            <w:vAlign w:val="center"/>
          </w:tcPr>
          <w:p w14:paraId="6BECED11" w14:textId="77777777" w:rsidR="00D23419" w:rsidRPr="001D5327" w:rsidRDefault="00D23419" w:rsidP="00D23419">
            <w:pPr>
              <w:pStyle w:val="TableText"/>
              <w:keepNext/>
              <w:spacing w:before="30" w:after="30"/>
              <w:rPr>
                <w:b/>
                <w:bCs/>
              </w:rPr>
            </w:pPr>
          </w:p>
        </w:tc>
        <w:tc>
          <w:tcPr>
            <w:tcW w:w="829" w:type="dxa"/>
            <w:tcBorders>
              <w:top w:val="single" w:sz="4" w:space="0" w:color="1B556B" w:themeColor="text2"/>
              <w:left w:val="nil"/>
              <w:bottom w:val="single" w:sz="4" w:space="0" w:color="1B556B" w:themeColor="text2"/>
              <w:right w:val="nil"/>
            </w:tcBorders>
            <w:shd w:val="clear" w:color="auto" w:fill="auto"/>
            <w:noWrap/>
            <w:vAlign w:val="center"/>
          </w:tcPr>
          <w:p w14:paraId="7629FD6E" w14:textId="31FA571E" w:rsidR="00D23419" w:rsidRPr="001D5327" w:rsidRDefault="00D23419" w:rsidP="00403787">
            <w:pPr>
              <w:pStyle w:val="TableText"/>
              <w:keepNext/>
              <w:spacing w:before="30" w:after="30"/>
              <w:rPr>
                <w:b/>
                <w:bCs/>
              </w:rPr>
            </w:pPr>
          </w:p>
        </w:tc>
        <w:tc>
          <w:tcPr>
            <w:tcW w:w="828" w:type="dxa"/>
            <w:tcBorders>
              <w:top w:val="single" w:sz="4" w:space="0" w:color="1B556B" w:themeColor="text2"/>
              <w:left w:val="nil"/>
              <w:bottom w:val="single" w:sz="4" w:space="0" w:color="1B556B" w:themeColor="text2"/>
              <w:right w:val="nil"/>
            </w:tcBorders>
            <w:shd w:val="clear" w:color="auto" w:fill="auto"/>
            <w:noWrap/>
            <w:vAlign w:val="center"/>
          </w:tcPr>
          <w:p w14:paraId="43EC4EE9" w14:textId="77777777" w:rsidR="00D23419" w:rsidRPr="001D5327" w:rsidRDefault="00D23419" w:rsidP="00403787">
            <w:pPr>
              <w:pStyle w:val="TableText"/>
              <w:keepNext/>
              <w:spacing w:before="30" w:after="30"/>
              <w:rPr>
                <w:b/>
                <w:bCs/>
              </w:rPr>
            </w:pPr>
          </w:p>
        </w:tc>
        <w:tc>
          <w:tcPr>
            <w:tcW w:w="828" w:type="dxa"/>
            <w:tcBorders>
              <w:top w:val="single" w:sz="4" w:space="0" w:color="1B556B" w:themeColor="text2"/>
              <w:left w:val="nil"/>
              <w:bottom w:val="single" w:sz="4" w:space="0" w:color="1B556B" w:themeColor="text2"/>
              <w:right w:val="nil"/>
            </w:tcBorders>
            <w:shd w:val="clear" w:color="auto" w:fill="auto"/>
            <w:noWrap/>
            <w:vAlign w:val="center"/>
          </w:tcPr>
          <w:p w14:paraId="5B9C147D" w14:textId="77777777" w:rsidR="00D23419" w:rsidRPr="001D5327" w:rsidRDefault="00D23419" w:rsidP="00403787">
            <w:pPr>
              <w:pStyle w:val="TableText"/>
              <w:keepNext/>
              <w:spacing w:before="30" w:after="30"/>
              <w:rPr>
                <w:b/>
                <w:bCs/>
              </w:rPr>
            </w:pPr>
          </w:p>
        </w:tc>
        <w:tc>
          <w:tcPr>
            <w:tcW w:w="829" w:type="dxa"/>
            <w:tcBorders>
              <w:top w:val="single" w:sz="4" w:space="0" w:color="1B556B" w:themeColor="text2"/>
              <w:left w:val="nil"/>
              <w:bottom w:val="single" w:sz="4" w:space="0" w:color="1B556B" w:themeColor="text2"/>
              <w:right w:val="nil"/>
            </w:tcBorders>
            <w:shd w:val="clear" w:color="auto" w:fill="auto"/>
            <w:noWrap/>
            <w:vAlign w:val="center"/>
          </w:tcPr>
          <w:p w14:paraId="0DCAE311" w14:textId="77777777" w:rsidR="00D23419" w:rsidRPr="001D5327" w:rsidRDefault="00D23419" w:rsidP="00403787">
            <w:pPr>
              <w:pStyle w:val="TableText"/>
              <w:keepNext/>
              <w:spacing w:before="30" w:after="30"/>
              <w:rPr>
                <w:b/>
                <w:bCs/>
              </w:rPr>
            </w:pPr>
          </w:p>
        </w:tc>
      </w:tr>
      <w:tr w:rsidR="00590FE1" w:rsidRPr="001D5327" w14:paraId="5E54B1E4" w14:textId="77777777" w:rsidTr="00403787">
        <w:tc>
          <w:tcPr>
            <w:tcW w:w="320" w:type="dxa"/>
            <w:vMerge w:val="restart"/>
            <w:tcBorders>
              <w:top w:val="single" w:sz="4" w:space="0" w:color="1B556B" w:themeColor="text2"/>
              <w:left w:val="nil"/>
              <w:bottom w:val="single" w:sz="8" w:space="0" w:color="365F91"/>
              <w:right w:val="nil"/>
            </w:tcBorders>
            <w:shd w:val="clear" w:color="auto" w:fill="auto"/>
            <w:noWrap/>
            <w:vAlign w:val="center"/>
            <w:hideMark/>
          </w:tcPr>
          <w:p w14:paraId="31458FCD" w14:textId="77777777" w:rsidR="00590FE1" w:rsidRPr="001D5327" w:rsidRDefault="00590FE1" w:rsidP="00403787">
            <w:pPr>
              <w:pStyle w:val="TableText"/>
              <w:keepNext/>
              <w:spacing w:before="30" w:after="30"/>
              <w:rPr>
                <w:rFonts w:cs="Calibri"/>
                <w:szCs w:val="16"/>
              </w:rPr>
            </w:pPr>
            <w:r w:rsidRPr="001D5327">
              <w:rPr>
                <w:rFonts w:cs="Calibri"/>
                <w:szCs w:val="16"/>
              </w:rPr>
              <w:t>1</w:t>
            </w:r>
          </w:p>
        </w:tc>
        <w:tc>
          <w:tcPr>
            <w:tcW w:w="3224" w:type="dxa"/>
            <w:tcBorders>
              <w:top w:val="single" w:sz="4" w:space="0" w:color="1B556B" w:themeColor="text2"/>
              <w:left w:val="nil"/>
              <w:bottom w:val="nil"/>
              <w:right w:val="nil"/>
            </w:tcBorders>
            <w:shd w:val="clear" w:color="auto" w:fill="auto"/>
            <w:vAlign w:val="center"/>
            <w:hideMark/>
          </w:tcPr>
          <w:p w14:paraId="54AA8469" w14:textId="77777777" w:rsidR="00590FE1" w:rsidRPr="001D5327" w:rsidRDefault="00590FE1" w:rsidP="00403787">
            <w:pPr>
              <w:pStyle w:val="TableText"/>
              <w:keepNext/>
              <w:spacing w:before="30" w:after="30"/>
              <w:rPr>
                <w:rFonts w:cs="Calibri"/>
                <w:szCs w:val="16"/>
              </w:rPr>
            </w:pPr>
            <w:r w:rsidRPr="001D5327">
              <w:rPr>
                <w:rFonts w:cs="Calibri"/>
                <w:szCs w:val="16"/>
              </w:rPr>
              <w:t>Cattle</w:t>
            </w:r>
          </w:p>
        </w:tc>
        <w:tc>
          <w:tcPr>
            <w:tcW w:w="828" w:type="dxa"/>
            <w:tcBorders>
              <w:top w:val="single" w:sz="4" w:space="0" w:color="1B556B" w:themeColor="text2"/>
              <w:left w:val="nil"/>
              <w:bottom w:val="nil"/>
              <w:right w:val="nil"/>
            </w:tcBorders>
            <w:shd w:val="clear" w:color="auto" w:fill="auto"/>
            <w:noWrap/>
            <w:vAlign w:val="center"/>
            <w:hideMark/>
          </w:tcPr>
          <w:p w14:paraId="2CA6A14A" w14:textId="77777777" w:rsidR="00590FE1" w:rsidRPr="001D5327" w:rsidRDefault="00590FE1" w:rsidP="00403787">
            <w:pPr>
              <w:pStyle w:val="TableText"/>
              <w:keepNext/>
              <w:spacing w:before="30" w:after="30"/>
              <w:rPr>
                <w:rFonts w:cs="Calibri"/>
                <w:color w:val="FFFFFF"/>
                <w:szCs w:val="16"/>
              </w:rPr>
            </w:pPr>
            <w:r w:rsidRPr="001D5327">
              <w:rPr>
                <w:rFonts w:cs="Calibri"/>
                <w:color w:val="FFFFFF"/>
                <w:szCs w:val="16"/>
              </w:rPr>
              <w:t>-</w:t>
            </w:r>
          </w:p>
        </w:tc>
        <w:tc>
          <w:tcPr>
            <w:tcW w:w="828" w:type="dxa"/>
            <w:tcBorders>
              <w:top w:val="single" w:sz="4" w:space="0" w:color="1B556B" w:themeColor="text2"/>
              <w:left w:val="nil"/>
              <w:bottom w:val="nil"/>
              <w:right w:val="nil"/>
            </w:tcBorders>
            <w:shd w:val="clear" w:color="auto" w:fill="auto"/>
            <w:noWrap/>
            <w:vAlign w:val="center"/>
            <w:hideMark/>
          </w:tcPr>
          <w:p w14:paraId="0F865200" w14:textId="77777777" w:rsidR="00590FE1" w:rsidRPr="001D5327" w:rsidRDefault="00590FE1" w:rsidP="00403787">
            <w:pPr>
              <w:pStyle w:val="TableText"/>
              <w:keepNext/>
              <w:spacing w:before="30" w:after="30"/>
              <w:rPr>
                <w:rFonts w:cs="Calibri"/>
                <w:color w:val="FFFFFF"/>
                <w:szCs w:val="16"/>
              </w:rPr>
            </w:pPr>
            <w:r w:rsidRPr="001D5327">
              <w:rPr>
                <w:rFonts w:cs="Calibri"/>
                <w:color w:val="FFFFFF"/>
                <w:szCs w:val="16"/>
              </w:rPr>
              <w:t>-</w:t>
            </w:r>
          </w:p>
        </w:tc>
        <w:tc>
          <w:tcPr>
            <w:tcW w:w="829" w:type="dxa"/>
            <w:tcBorders>
              <w:top w:val="single" w:sz="4" w:space="0" w:color="1B556B" w:themeColor="text2"/>
              <w:left w:val="nil"/>
              <w:bottom w:val="nil"/>
              <w:right w:val="nil"/>
            </w:tcBorders>
            <w:shd w:val="clear" w:color="auto" w:fill="auto"/>
            <w:vAlign w:val="center"/>
            <w:hideMark/>
          </w:tcPr>
          <w:p w14:paraId="2F0493BB" w14:textId="77777777" w:rsidR="00590FE1" w:rsidRPr="001D5327" w:rsidRDefault="00590FE1" w:rsidP="00403787">
            <w:pPr>
              <w:pStyle w:val="TableText"/>
              <w:keepNext/>
              <w:spacing w:before="30" w:after="30"/>
              <w:rPr>
                <w:rFonts w:cs="Calibri"/>
                <w:color w:val="FFFFFF"/>
                <w:szCs w:val="16"/>
              </w:rPr>
            </w:pPr>
            <w:r w:rsidRPr="001D5327">
              <w:rPr>
                <w:rFonts w:cs="Calibri"/>
                <w:color w:val="FFFFFF"/>
                <w:szCs w:val="16"/>
              </w:rPr>
              <w:t>-</w:t>
            </w:r>
          </w:p>
        </w:tc>
        <w:tc>
          <w:tcPr>
            <w:tcW w:w="828" w:type="dxa"/>
            <w:tcBorders>
              <w:top w:val="single" w:sz="4" w:space="0" w:color="1B556B" w:themeColor="text2"/>
              <w:left w:val="nil"/>
              <w:bottom w:val="nil"/>
              <w:right w:val="nil"/>
            </w:tcBorders>
            <w:shd w:val="clear" w:color="auto" w:fill="auto"/>
            <w:noWrap/>
            <w:vAlign w:val="center"/>
            <w:hideMark/>
          </w:tcPr>
          <w:p w14:paraId="5DA43C95" w14:textId="77777777" w:rsidR="00590FE1" w:rsidRPr="001D5327" w:rsidRDefault="00590FE1" w:rsidP="00403787">
            <w:pPr>
              <w:pStyle w:val="TableText"/>
              <w:keepNext/>
              <w:spacing w:before="30" w:after="30"/>
              <w:rPr>
                <w:rFonts w:cs="Calibri"/>
                <w:color w:val="FFFFFF"/>
                <w:szCs w:val="16"/>
              </w:rPr>
            </w:pPr>
            <w:r w:rsidRPr="001D5327">
              <w:rPr>
                <w:rFonts w:cs="Calibri"/>
                <w:color w:val="FFFFFF"/>
                <w:szCs w:val="16"/>
              </w:rPr>
              <w:t>-</w:t>
            </w:r>
          </w:p>
        </w:tc>
        <w:tc>
          <w:tcPr>
            <w:tcW w:w="828" w:type="dxa"/>
            <w:tcBorders>
              <w:top w:val="single" w:sz="4" w:space="0" w:color="1B556B" w:themeColor="text2"/>
              <w:left w:val="nil"/>
              <w:bottom w:val="nil"/>
              <w:right w:val="nil"/>
            </w:tcBorders>
            <w:shd w:val="clear" w:color="auto" w:fill="auto"/>
            <w:noWrap/>
            <w:vAlign w:val="center"/>
            <w:hideMark/>
          </w:tcPr>
          <w:p w14:paraId="00B4FD32" w14:textId="77777777" w:rsidR="00590FE1" w:rsidRPr="001D5327" w:rsidRDefault="00590FE1" w:rsidP="00403787">
            <w:pPr>
              <w:pStyle w:val="TableText"/>
              <w:keepNext/>
              <w:spacing w:before="30" w:after="30"/>
              <w:rPr>
                <w:rFonts w:cs="Calibri"/>
                <w:color w:val="FFFFFF"/>
                <w:szCs w:val="16"/>
              </w:rPr>
            </w:pPr>
            <w:r w:rsidRPr="001D5327">
              <w:rPr>
                <w:rFonts w:cs="Calibri"/>
                <w:color w:val="FFFFFF"/>
                <w:szCs w:val="16"/>
              </w:rPr>
              <w:t>-</w:t>
            </w:r>
          </w:p>
        </w:tc>
        <w:tc>
          <w:tcPr>
            <w:tcW w:w="829" w:type="dxa"/>
            <w:tcBorders>
              <w:top w:val="single" w:sz="4" w:space="0" w:color="1B556B" w:themeColor="text2"/>
              <w:left w:val="nil"/>
              <w:bottom w:val="nil"/>
              <w:right w:val="nil"/>
            </w:tcBorders>
            <w:shd w:val="clear" w:color="auto" w:fill="auto"/>
            <w:vAlign w:val="center"/>
            <w:hideMark/>
          </w:tcPr>
          <w:p w14:paraId="3A620B35" w14:textId="77777777" w:rsidR="00590FE1" w:rsidRPr="001D5327" w:rsidRDefault="00590FE1" w:rsidP="00403787">
            <w:pPr>
              <w:pStyle w:val="TableText"/>
              <w:keepNext/>
              <w:spacing w:before="30" w:after="30"/>
              <w:rPr>
                <w:rFonts w:cs="Calibri"/>
                <w:color w:val="FFFFFF"/>
                <w:szCs w:val="16"/>
              </w:rPr>
            </w:pPr>
            <w:r w:rsidRPr="001D5327">
              <w:rPr>
                <w:rFonts w:cs="Calibri"/>
                <w:color w:val="FFFFFF"/>
                <w:szCs w:val="16"/>
              </w:rPr>
              <w:t>-</w:t>
            </w:r>
          </w:p>
        </w:tc>
      </w:tr>
      <w:tr w:rsidR="00590FE1" w:rsidRPr="001D5327" w14:paraId="6C651626" w14:textId="77777777" w:rsidTr="00403787">
        <w:tc>
          <w:tcPr>
            <w:tcW w:w="320" w:type="dxa"/>
            <w:vMerge/>
            <w:vAlign w:val="center"/>
            <w:hideMark/>
          </w:tcPr>
          <w:p w14:paraId="723961A0" w14:textId="77777777" w:rsidR="00590FE1" w:rsidRPr="001D5327" w:rsidRDefault="00590FE1" w:rsidP="00403787">
            <w:pPr>
              <w:pStyle w:val="TableText"/>
              <w:keepNext/>
              <w:spacing w:before="30" w:after="30"/>
              <w:rPr>
                <w:rFonts w:cs="Calibri"/>
                <w:szCs w:val="16"/>
              </w:rPr>
            </w:pPr>
          </w:p>
        </w:tc>
        <w:tc>
          <w:tcPr>
            <w:tcW w:w="3224" w:type="dxa"/>
            <w:tcBorders>
              <w:top w:val="nil"/>
              <w:left w:val="nil"/>
              <w:bottom w:val="nil"/>
              <w:right w:val="nil"/>
            </w:tcBorders>
            <w:shd w:val="clear" w:color="auto" w:fill="auto"/>
            <w:vAlign w:val="center"/>
            <w:hideMark/>
          </w:tcPr>
          <w:p w14:paraId="1E632340" w14:textId="77777777" w:rsidR="00590FE1" w:rsidRPr="001D5327" w:rsidRDefault="00590FE1" w:rsidP="00403787">
            <w:pPr>
              <w:pStyle w:val="TableText"/>
              <w:keepNext/>
              <w:spacing w:before="30" w:after="30"/>
              <w:rPr>
                <w:rFonts w:cs="Calibri"/>
                <w:szCs w:val="16"/>
              </w:rPr>
            </w:pPr>
            <w:r w:rsidRPr="001D5327">
              <w:rPr>
                <w:rFonts w:cs="Calibri"/>
                <w:szCs w:val="16"/>
              </w:rPr>
              <w:t>Dairy Cattle</w:t>
            </w:r>
          </w:p>
        </w:tc>
        <w:tc>
          <w:tcPr>
            <w:tcW w:w="828" w:type="dxa"/>
            <w:tcBorders>
              <w:top w:val="nil"/>
              <w:left w:val="nil"/>
              <w:bottom w:val="nil"/>
              <w:right w:val="nil"/>
            </w:tcBorders>
            <w:shd w:val="clear" w:color="auto" w:fill="auto"/>
            <w:noWrap/>
            <w:vAlign w:val="center"/>
            <w:hideMark/>
          </w:tcPr>
          <w:p w14:paraId="5C4C05EC" w14:textId="77777777" w:rsidR="00590FE1" w:rsidRPr="001D5327" w:rsidRDefault="00590FE1" w:rsidP="00403787">
            <w:pPr>
              <w:pStyle w:val="TableText"/>
              <w:keepNext/>
              <w:spacing w:before="30" w:after="30"/>
              <w:rPr>
                <w:rFonts w:cs="Calibri"/>
                <w:szCs w:val="16"/>
              </w:rPr>
            </w:pPr>
            <w:r w:rsidRPr="001D5327">
              <w:rPr>
                <w:rFonts w:cs="Calibri"/>
                <w:szCs w:val="16"/>
              </w:rPr>
              <w:t>T2</w:t>
            </w:r>
          </w:p>
        </w:tc>
        <w:tc>
          <w:tcPr>
            <w:tcW w:w="828" w:type="dxa"/>
            <w:tcBorders>
              <w:top w:val="nil"/>
              <w:left w:val="nil"/>
              <w:bottom w:val="nil"/>
              <w:right w:val="nil"/>
            </w:tcBorders>
            <w:shd w:val="clear" w:color="auto" w:fill="auto"/>
            <w:noWrap/>
            <w:vAlign w:val="center"/>
            <w:hideMark/>
          </w:tcPr>
          <w:p w14:paraId="6B8C06FF" w14:textId="77777777" w:rsidR="00590FE1" w:rsidRPr="001D5327" w:rsidRDefault="00590FE1" w:rsidP="00403787">
            <w:pPr>
              <w:pStyle w:val="TableText"/>
              <w:keepNext/>
              <w:spacing w:before="30" w:after="30"/>
              <w:rPr>
                <w:rFonts w:cs="Calibri"/>
                <w:szCs w:val="16"/>
              </w:rPr>
            </w:pPr>
            <w:r w:rsidRPr="001D5327">
              <w:rPr>
                <w:rFonts w:cs="Calibri"/>
                <w:szCs w:val="16"/>
              </w:rPr>
              <w:t>CS</w:t>
            </w:r>
          </w:p>
        </w:tc>
        <w:tc>
          <w:tcPr>
            <w:tcW w:w="829" w:type="dxa"/>
            <w:tcBorders>
              <w:top w:val="nil"/>
              <w:left w:val="nil"/>
              <w:bottom w:val="nil"/>
              <w:right w:val="nil"/>
            </w:tcBorders>
            <w:shd w:val="clear" w:color="auto" w:fill="auto"/>
            <w:vAlign w:val="center"/>
            <w:hideMark/>
          </w:tcPr>
          <w:p w14:paraId="75F563C9" w14:textId="74C21BAF" w:rsidR="00590FE1" w:rsidRPr="00C817BE" w:rsidRDefault="00590FE1" w:rsidP="00403787">
            <w:pPr>
              <w:pStyle w:val="TableText"/>
              <w:keepNext/>
              <w:spacing w:before="30" w:after="30"/>
              <w:rPr>
                <w:rFonts w:cs="Calibri"/>
                <w:color w:val="FFFFFF"/>
                <w:szCs w:val="16"/>
              </w:rPr>
            </w:pPr>
            <w:r w:rsidRPr="00C817BE">
              <w:rPr>
                <w:rFonts w:cs="Calibri"/>
                <w:color w:val="FFFFFF"/>
                <w:szCs w:val="16"/>
              </w:rPr>
              <w:t>-</w:t>
            </w:r>
            <w:r w:rsidR="00C817BE">
              <w:t>-</w:t>
            </w:r>
          </w:p>
        </w:tc>
        <w:tc>
          <w:tcPr>
            <w:tcW w:w="828" w:type="dxa"/>
            <w:tcBorders>
              <w:top w:val="nil"/>
              <w:left w:val="nil"/>
              <w:bottom w:val="nil"/>
              <w:right w:val="nil"/>
            </w:tcBorders>
            <w:shd w:val="clear" w:color="auto" w:fill="auto"/>
            <w:noWrap/>
            <w:vAlign w:val="center"/>
            <w:hideMark/>
          </w:tcPr>
          <w:p w14:paraId="62021FA9" w14:textId="670630C4" w:rsidR="00590FE1" w:rsidRPr="00C817BE" w:rsidRDefault="00590FE1" w:rsidP="00403787">
            <w:pPr>
              <w:pStyle w:val="TableText"/>
              <w:keepNext/>
              <w:spacing w:before="30" w:after="30"/>
              <w:rPr>
                <w:rFonts w:cs="Calibri"/>
                <w:color w:val="FFFFFF"/>
                <w:szCs w:val="16"/>
              </w:rPr>
            </w:pPr>
            <w:r w:rsidRPr="00C817BE">
              <w:rPr>
                <w:rFonts w:cs="Calibri"/>
                <w:color w:val="FFFFFF"/>
                <w:szCs w:val="16"/>
              </w:rPr>
              <w:t>-</w:t>
            </w:r>
            <w:r w:rsidR="00C817BE">
              <w:t>-</w:t>
            </w:r>
          </w:p>
        </w:tc>
        <w:tc>
          <w:tcPr>
            <w:tcW w:w="828" w:type="dxa"/>
            <w:tcBorders>
              <w:top w:val="nil"/>
              <w:left w:val="nil"/>
              <w:bottom w:val="nil"/>
              <w:right w:val="nil"/>
            </w:tcBorders>
            <w:shd w:val="clear" w:color="auto" w:fill="auto"/>
            <w:noWrap/>
            <w:vAlign w:val="center"/>
            <w:hideMark/>
          </w:tcPr>
          <w:p w14:paraId="06858A2A" w14:textId="070C4FCC" w:rsidR="00590FE1" w:rsidRPr="00C817BE" w:rsidRDefault="00590FE1" w:rsidP="00403787">
            <w:pPr>
              <w:pStyle w:val="TableText"/>
              <w:keepNext/>
              <w:spacing w:before="30" w:after="30"/>
              <w:rPr>
                <w:rFonts w:cs="Calibri"/>
                <w:color w:val="FFFFFF"/>
                <w:szCs w:val="16"/>
              </w:rPr>
            </w:pPr>
            <w:r w:rsidRPr="00C817BE">
              <w:rPr>
                <w:rFonts w:cs="Calibri"/>
                <w:color w:val="FFFFFF"/>
                <w:szCs w:val="16"/>
              </w:rPr>
              <w:t>-</w:t>
            </w:r>
            <w:r w:rsidR="00C817BE">
              <w:t>-</w:t>
            </w:r>
          </w:p>
        </w:tc>
        <w:tc>
          <w:tcPr>
            <w:tcW w:w="829" w:type="dxa"/>
            <w:tcBorders>
              <w:top w:val="nil"/>
              <w:left w:val="nil"/>
              <w:bottom w:val="nil"/>
              <w:right w:val="nil"/>
            </w:tcBorders>
            <w:shd w:val="clear" w:color="auto" w:fill="auto"/>
            <w:vAlign w:val="center"/>
            <w:hideMark/>
          </w:tcPr>
          <w:p w14:paraId="4C1212B9" w14:textId="7631F8F0" w:rsidR="00590FE1" w:rsidRPr="00C817BE" w:rsidRDefault="00590FE1" w:rsidP="00403787">
            <w:pPr>
              <w:pStyle w:val="TableText"/>
              <w:keepNext/>
              <w:spacing w:before="30" w:after="30"/>
              <w:rPr>
                <w:rFonts w:cs="Calibri"/>
                <w:color w:val="FFFFFF"/>
                <w:szCs w:val="16"/>
              </w:rPr>
            </w:pPr>
            <w:r w:rsidRPr="00C817BE">
              <w:rPr>
                <w:rFonts w:cs="Calibri"/>
                <w:color w:val="FFFFFF"/>
                <w:szCs w:val="16"/>
              </w:rPr>
              <w:t>-</w:t>
            </w:r>
            <w:r w:rsidR="00C817BE">
              <w:t>-</w:t>
            </w:r>
          </w:p>
        </w:tc>
      </w:tr>
      <w:tr w:rsidR="00590FE1" w:rsidRPr="001D5327" w14:paraId="077741CE" w14:textId="77777777" w:rsidTr="00403787">
        <w:tc>
          <w:tcPr>
            <w:tcW w:w="320" w:type="dxa"/>
            <w:vMerge/>
            <w:vAlign w:val="center"/>
            <w:hideMark/>
          </w:tcPr>
          <w:p w14:paraId="7D0FB2ED" w14:textId="77777777" w:rsidR="00590FE1" w:rsidRPr="001D5327" w:rsidRDefault="00590FE1" w:rsidP="00403787">
            <w:pPr>
              <w:pStyle w:val="TableText"/>
              <w:keepNext/>
              <w:spacing w:before="30" w:after="30"/>
              <w:rPr>
                <w:rFonts w:cs="Calibri"/>
                <w:szCs w:val="16"/>
              </w:rPr>
            </w:pPr>
          </w:p>
        </w:tc>
        <w:tc>
          <w:tcPr>
            <w:tcW w:w="3224" w:type="dxa"/>
            <w:tcBorders>
              <w:top w:val="nil"/>
              <w:left w:val="nil"/>
              <w:bottom w:val="single" w:sz="4" w:space="0" w:color="1B556B" w:themeColor="text2"/>
              <w:right w:val="nil"/>
            </w:tcBorders>
            <w:shd w:val="clear" w:color="auto" w:fill="auto"/>
            <w:vAlign w:val="center"/>
            <w:hideMark/>
          </w:tcPr>
          <w:p w14:paraId="5E502981" w14:textId="77777777" w:rsidR="00590FE1" w:rsidRPr="001D5327" w:rsidRDefault="00590FE1" w:rsidP="00403787">
            <w:pPr>
              <w:pStyle w:val="TableText"/>
              <w:keepNext/>
              <w:spacing w:before="30" w:after="30"/>
              <w:rPr>
                <w:rFonts w:cs="Calibri"/>
                <w:szCs w:val="16"/>
              </w:rPr>
            </w:pPr>
            <w:r w:rsidRPr="001D5327">
              <w:rPr>
                <w:rFonts w:cs="Calibri"/>
                <w:szCs w:val="16"/>
              </w:rPr>
              <w:t>Non-Dairy Cattle</w:t>
            </w:r>
          </w:p>
        </w:tc>
        <w:tc>
          <w:tcPr>
            <w:tcW w:w="828" w:type="dxa"/>
            <w:tcBorders>
              <w:top w:val="nil"/>
              <w:left w:val="nil"/>
              <w:bottom w:val="single" w:sz="4" w:space="0" w:color="1B556B" w:themeColor="text2"/>
              <w:right w:val="nil"/>
            </w:tcBorders>
            <w:shd w:val="clear" w:color="auto" w:fill="auto"/>
            <w:noWrap/>
            <w:vAlign w:val="center"/>
            <w:hideMark/>
          </w:tcPr>
          <w:p w14:paraId="445519FF" w14:textId="77777777" w:rsidR="00590FE1" w:rsidRPr="001D5327" w:rsidRDefault="00590FE1" w:rsidP="00403787">
            <w:pPr>
              <w:pStyle w:val="TableText"/>
              <w:keepNext/>
              <w:spacing w:before="30" w:after="30"/>
              <w:rPr>
                <w:rFonts w:cs="Calibri"/>
                <w:szCs w:val="16"/>
              </w:rPr>
            </w:pPr>
            <w:r w:rsidRPr="001D5327">
              <w:rPr>
                <w:rFonts w:cs="Calibri"/>
                <w:szCs w:val="16"/>
              </w:rPr>
              <w:t>T2</w:t>
            </w:r>
          </w:p>
        </w:tc>
        <w:tc>
          <w:tcPr>
            <w:tcW w:w="828" w:type="dxa"/>
            <w:tcBorders>
              <w:top w:val="nil"/>
              <w:left w:val="nil"/>
              <w:bottom w:val="single" w:sz="4" w:space="0" w:color="1B556B" w:themeColor="text2"/>
              <w:right w:val="nil"/>
            </w:tcBorders>
            <w:shd w:val="clear" w:color="auto" w:fill="auto"/>
            <w:noWrap/>
            <w:vAlign w:val="center"/>
            <w:hideMark/>
          </w:tcPr>
          <w:p w14:paraId="0FD32734" w14:textId="77777777" w:rsidR="00590FE1" w:rsidRPr="001D5327" w:rsidRDefault="00590FE1" w:rsidP="00403787">
            <w:pPr>
              <w:pStyle w:val="TableText"/>
              <w:keepNext/>
              <w:spacing w:before="30" w:after="30"/>
              <w:rPr>
                <w:rFonts w:cs="Calibri"/>
                <w:szCs w:val="16"/>
              </w:rPr>
            </w:pPr>
            <w:r w:rsidRPr="001D5327">
              <w:rPr>
                <w:rFonts w:cs="Calibri"/>
                <w:szCs w:val="16"/>
              </w:rPr>
              <w:t>CS</w:t>
            </w:r>
          </w:p>
        </w:tc>
        <w:tc>
          <w:tcPr>
            <w:tcW w:w="829" w:type="dxa"/>
            <w:tcBorders>
              <w:top w:val="nil"/>
              <w:left w:val="nil"/>
              <w:bottom w:val="single" w:sz="4" w:space="0" w:color="1B556B" w:themeColor="text2"/>
              <w:right w:val="nil"/>
            </w:tcBorders>
            <w:shd w:val="clear" w:color="auto" w:fill="auto"/>
            <w:vAlign w:val="center"/>
            <w:hideMark/>
          </w:tcPr>
          <w:p w14:paraId="3293A805" w14:textId="7864F259" w:rsidR="00590FE1" w:rsidRPr="00C817BE" w:rsidRDefault="00590FE1" w:rsidP="00403787">
            <w:pPr>
              <w:pStyle w:val="TableText"/>
              <w:keepNext/>
              <w:spacing w:before="30" w:after="30"/>
              <w:rPr>
                <w:rFonts w:cs="Calibri"/>
                <w:color w:val="FFFFFF"/>
                <w:szCs w:val="16"/>
              </w:rPr>
            </w:pPr>
            <w:r w:rsidRPr="00C817BE">
              <w:rPr>
                <w:rFonts w:cs="Calibri"/>
                <w:color w:val="FFFFFF"/>
                <w:szCs w:val="16"/>
              </w:rPr>
              <w:t>-</w:t>
            </w:r>
            <w:r w:rsidR="00C817BE">
              <w:t>-</w:t>
            </w:r>
          </w:p>
        </w:tc>
        <w:tc>
          <w:tcPr>
            <w:tcW w:w="828" w:type="dxa"/>
            <w:tcBorders>
              <w:top w:val="nil"/>
              <w:left w:val="nil"/>
              <w:bottom w:val="single" w:sz="4" w:space="0" w:color="1B556B" w:themeColor="text2"/>
              <w:right w:val="nil"/>
            </w:tcBorders>
            <w:shd w:val="clear" w:color="auto" w:fill="auto"/>
            <w:noWrap/>
            <w:vAlign w:val="center"/>
            <w:hideMark/>
          </w:tcPr>
          <w:p w14:paraId="65A18F25" w14:textId="7651B14F" w:rsidR="00590FE1" w:rsidRPr="00C817BE" w:rsidRDefault="00590FE1" w:rsidP="00403787">
            <w:pPr>
              <w:pStyle w:val="TableText"/>
              <w:keepNext/>
              <w:spacing w:before="30" w:after="30"/>
              <w:rPr>
                <w:rFonts w:cs="Calibri"/>
                <w:color w:val="FFFFFF"/>
                <w:szCs w:val="16"/>
              </w:rPr>
            </w:pPr>
            <w:r w:rsidRPr="00C817BE">
              <w:rPr>
                <w:rFonts w:cs="Calibri"/>
                <w:color w:val="FFFFFF"/>
                <w:szCs w:val="16"/>
              </w:rPr>
              <w:t>-</w:t>
            </w:r>
            <w:r w:rsidR="00C817BE">
              <w:t>-</w:t>
            </w:r>
          </w:p>
        </w:tc>
        <w:tc>
          <w:tcPr>
            <w:tcW w:w="828" w:type="dxa"/>
            <w:tcBorders>
              <w:top w:val="nil"/>
              <w:left w:val="nil"/>
              <w:bottom w:val="single" w:sz="4" w:space="0" w:color="1B556B" w:themeColor="text2"/>
              <w:right w:val="nil"/>
            </w:tcBorders>
            <w:shd w:val="clear" w:color="auto" w:fill="auto"/>
            <w:noWrap/>
            <w:vAlign w:val="center"/>
            <w:hideMark/>
          </w:tcPr>
          <w:p w14:paraId="01FD7BA7" w14:textId="676B4B01" w:rsidR="00590FE1" w:rsidRPr="00C817BE" w:rsidRDefault="00590FE1" w:rsidP="00403787">
            <w:pPr>
              <w:pStyle w:val="TableText"/>
              <w:keepNext/>
              <w:spacing w:before="30" w:after="30"/>
              <w:rPr>
                <w:rFonts w:cs="Calibri"/>
                <w:color w:val="FFFFFF"/>
                <w:szCs w:val="16"/>
              </w:rPr>
            </w:pPr>
            <w:r w:rsidRPr="00C817BE">
              <w:rPr>
                <w:rFonts w:cs="Calibri"/>
                <w:color w:val="FFFFFF"/>
                <w:szCs w:val="16"/>
              </w:rPr>
              <w:t>-</w:t>
            </w:r>
            <w:r w:rsidR="00C817BE">
              <w:t>-</w:t>
            </w:r>
          </w:p>
        </w:tc>
        <w:tc>
          <w:tcPr>
            <w:tcW w:w="829" w:type="dxa"/>
            <w:tcBorders>
              <w:top w:val="nil"/>
              <w:left w:val="nil"/>
              <w:bottom w:val="single" w:sz="4" w:space="0" w:color="1B556B" w:themeColor="text2"/>
              <w:right w:val="nil"/>
            </w:tcBorders>
            <w:shd w:val="clear" w:color="auto" w:fill="auto"/>
            <w:vAlign w:val="center"/>
            <w:hideMark/>
          </w:tcPr>
          <w:p w14:paraId="747D56C9" w14:textId="4091E434" w:rsidR="00590FE1" w:rsidRPr="00C817BE" w:rsidRDefault="00590FE1" w:rsidP="00403787">
            <w:pPr>
              <w:pStyle w:val="TableText"/>
              <w:keepNext/>
              <w:spacing w:before="30" w:after="30"/>
              <w:rPr>
                <w:rFonts w:cs="Calibri"/>
                <w:color w:val="FFFFFF"/>
                <w:szCs w:val="16"/>
              </w:rPr>
            </w:pPr>
            <w:r w:rsidRPr="00C817BE">
              <w:rPr>
                <w:rFonts w:cs="Calibri"/>
                <w:color w:val="FFFFFF"/>
                <w:szCs w:val="16"/>
              </w:rPr>
              <w:t>-</w:t>
            </w:r>
            <w:r w:rsidR="00C817BE">
              <w:t>-</w:t>
            </w:r>
          </w:p>
        </w:tc>
      </w:tr>
      <w:tr w:rsidR="00590FE1" w:rsidRPr="001D5327" w14:paraId="431CEF71" w14:textId="77777777" w:rsidTr="00403787">
        <w:tc>
          <w:tcPr>
            <w:tcW w:w="320" w:type="dxa"/>
            <w:tcBorders>
              <w:top w:val="single" w:sz="4" w:space="0" w:color="1B556B" w:themeColor="text2"/>
              <w:left w:val="nil"/>
              <w:bottom w:val="single" w:sz="4" w:space="0" w:color="1B556B" w:themeColor="text2"/>
              <w:right w:val="nil"/>
            </w:tcBorders>
            <w:shd w:val="clear" w:color="auto" w:fill="auto"/>
            <w:noWrap/>
            <w:vAlign w:val="center"/>
            <w:hideMark/>
          </w:tcPr>
          <w:p w14:paraId="05242BB8" w14:textId="77777777" w:rsidR="00590FE1" w:rsidRPr="001D5327" w:rsidRDefault="00590FE1" w:rsidP="00403787">
            <w:pPr>
              <w:pStyle w:val="TableText"/>
              <w:spacing w:before="30" w:after="30"/>
              <w:rPr>
                <w:rFonts w:cs="Calibri"/>
                <w:szCs w:val="16"/>
              </w:rPr>
            </w:pPr>
            <w:r w:rsidRPr="001D5327">
              <w:rPr>
                <w:rFonts w:cs="Calibri"/>
                <w:szCs w:val="16"/>
              </w:rPr>
              <w:t>2</w:t>
            </w:r>
          </w:p>
        </w:tc>
        <w:tc>
          <w:tcPr>
            <w:tcW w:w="3224" w:type="dxa"/>
            <w:tcBorders>
              <w:top w:val="single" w:sz="4" w:space="0" w:color="1B556B" w:themeColor="text2"/>
              <w:left w:val="nil"/>
              <w:bottom w:val="single" w:sz="4" w:space="0" w:color="1B556B" w:themeColor="text2"/>
              <w:right w:val="nil"/>
            </w:tcBorders>
            <w:shd w:val="clear" w:color="auto" w:fill="auto"/>
            <w:vAlign w:val="center"/>
            <w:hideMark/>
          </w:tcPr>
          <w:p w14:paraId="57ADE7F1" w14:textId="77777777" w:rsidR="00590FE1" w:rsidRPr="001D5327" w:rsidRDefault="00590FE1" w:rsidP="00403787">
            <w:pPr>
              <w:pStyle w:val="TableText"/>
              <w:spacing w:before="30" w:after="30"/>
              <w:rPr>
                <w:rFonts w:cs="Calibri"/>
                <w:szCs w:val="16"/>
              </w:rPr>
            </w:pPr>
            <w:r w:rsidRPr="001D5327">
              <w:rPr>
                <w:rFonts w:cs="Calibri"/>
                <w:szCs w:val="16"/>
              </w:rPr>
              <w:t xml:space="preserve">Sheep </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45A7E7EF" w14:textId="77777777" w:rsidR="00590FE1" w:rsidRPr="001D5327" w:rsidRDefault="00590FE1" w:rsidP="00403787">
            <w:pPr>
              <w:pStyle w:val="TableText"/>
              <w:spacing w:before="30" w:after="30"/>
              <w:rPr>
                <w:rFonts w:cs="Calibri"/>
                <w:szCs w:val="16"/>
              </w:rPr>
            </w:pPr>
            <w:hyperlink r:id="rId96" w:history="1">
              <w:r w:rsidRPr="001D5327">
                <w:rPr>
                  <w:rFonts w:cs="Calibri"/>
                  <w:szCs w:val="16"/>
                </w:rPr>
                <w:t>T2</w:t>
              </w:r>
            </w:hyperlink>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55799E6E" w14:textId="77777777" w:rsidR="00590FE1" w:rsidRPr="001D5327" w:rsidRDefault="00590FE1" w:rsidP="00403787">
            <w:pPr>
              <w:pStyle w:val="TableText"/>
              <w:spacing w:before="30" w:after="30"/>
              <w:rPr>
                <w:rFonts w:cs="Calibri"/>
                <w:szCs w:val="16"/>
              </w:rPr>
            </w:pPr>
            <w:r w:rsidRPr="001D5327">
              <w:rPr>
                <w:rFonts w:cs="Calibri"/>
                <w:szCs w:val="16"/>
              </w:rPr>
              <w:t>CS</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35BFBD4D" w14:textId="040BE4B1"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17CDF690" w14:textId="58A79E33"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53789FA5" w14:textId="3CEE7460"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559152A9" w14:textId="6F1CAF47"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r>
      <w:tr w:rsidR="00590FE1" w:rsidRPr="001D5327" w14:paraId="7D579B87" w14:textId="77777777" w:rsidTr="00403787">
        <w:tc>
          <w:tcPr>
            <w:tcW w:w="320" w:type="dxa"/>
            <w:tcBorders>
              <w:top w:val="single" w:sz="4" w:space="0" w:color="1B556B" w:themeColor="text2"/>
              <w:left w:val="nil"/>
              <w:bottom w:val="single" w:sz="4" w:space="0" w:color="1B556B" w:themeColor="text2"/>
              <w:right w:val="nil"/>
            </w:tcBorders>
            <w:shd w:val="clear" w:color="auto" w:fill="auto"/>
            <w:noWrap/>
            <w:vAlign w:val="center"/>
            <w:hideMark/>
          </w:tcPr>
          <w:p w14:paraId="481A97EB" w14:textId="77777777" w:rsidR="00590FE1" w:rsidRPr="001D5327" w:rsidRDefault="00590FE1" w:rsidP="00403787">
            <w:pPr>
              <w:pStyle w:val="TableText"/>
              <w:spacing w:before="30" w:after="30"/>
              <w:rPr>
                <w:rFonts w:cs="Calibri"/>
                <w:szCs w:val="16"/>
              </w:rPr>
            </w:pPr>
            <w:r w:rsidRPr="001D5327">
              <w:rPr>
                <w:rFonts w:cs="Calibri"/>
                <w:szCs w:val="16"/>
              </w:rPr>
              <w:t>3</w:t>
            </w:r>
          </w:p>
        </w:tc>
        <w:tc>
          <w:tcPr>
            <w:tcW w:w="3224" w:type="dxa"/>
            <w:tcBorders>
              <w:top w:val="single" w:sz="4" w:space="0" w:color="1B556B" w:themeColor="text2"/>
              <w:left w:val="nil"/>
              <w:bottom w:val="single" w:sz="4" w:space="0" w:color="1B556B" w:themeColor="text2"/>
              <w:right w:val="nil"/>
            </w:tcBorders>
            <w:shd w:val="clear" w:color="auto" w:fill="auto"/>
            <w:vAlign w:val="center"/>
            <w:hideMark/>
          </w:tcPr>
          <w:p w14:paraId="3F42F25B" w14:textId="77777777" w:rsidR="00590FE1" w:rsidRPr="001D5327" w:rsidRDefault="00590FE1" w:rsidP="00403787">
            <w:pPr>
              <w:pStyle w:val="TableText"/>
              <w:spacing w:before="30" w:after="30"/>
              <w:rPr>
                <w:rFonts w:cs="Calibri"/>
                <w:szCs w:val="16"/>
              </w:rPr>
            </w:pPr>
            <w:r w:rsidRPr="001D5327">
              <w:rPr>
                <w:rFonts w:cs="Calibri"/>
                <w:szCs w:val="16"/>
              </w:rPr>
              <w:t>Swine</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06585AB0" w14:textId="77777777" w:rsidR="00590FE1" w:rsidRPr="001D5327" w:rsidRDefault="00590FE1" w:rsidP="00403787">
            <w:pPr>
              <w:pStyle w:val="TableText"/>
              <w:spacing w:before="30" w:after="30"/>
              <w:rPr>
                <w:rFonts w:cs="Calibri"/>
                <w:szCs w:val="16"/>
              </w:rPr>
            </w:pPr>
            <w:r w:rsidRPr="001D5327">
              <w:rPr>
                <w:rFonts w:cs="Calibri"/>
                <w:szCs w:val="16"/>
              </w:rPr>
              <w:t>T1</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069BCC4F" w14:textId="77777777" w:rsidR="00590FE1" w:rsidRPr="001D5327" w:rsidRDefault="00590FE1" w:rsidP="00403787">
            <w:pPr>
              <w:pStyle w:val="TableText"/>
              <w:spacing w:before="30" w:after="30"/>
              <w:rPr>
                <w:rFonts w:cs="Calibri"/>
                <w:szCs w:val="16"/>
              </w:rPr>
            </w:pPr>
            <w:r w:rsidRPr="001D5327">
              <w:rPr>
                <w:rFonts w:cs="Calibri"/>
                <w:szCs w:val="16"/>
              </w:rPr>
              <w:t>CS</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21F9B949" w14:textId="6E9A1E7D"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0445DD0C" w14:textId="2D04F0D1"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073DB954" w14:textId="11D7175C"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65FB862F" w14:textId="597CBF71"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r>
      <w:tr w:rsidR="00590FE1" w:rsidRPr="001D5327" w14:paraId="61768887" w14:textId="77777777" w:rsidTr="00403787">
        <w:tc>
          <w:tcPr>
            <w:tcW w:w="320" w:type="dxa"/>
            <w:tcBorders>
              <w:top w:val="single" w:sz="4" w:space="0" w:color="1B556B" w:themeColor="text2"/>
              <w:left w:val="nil"/>
              <w:bottom w:val="single" w:sz="4" w:space="0" w:color="1B556B" w:themeColor="text2"/>
              <w:right w:val="nil"/>
            </w:tcBorders>
            <w:shd w:val="clear" w:color="auto" w:fill="auto"/>
            <w:noWrap/>
            <w:vAlign w:val="center"/>
            <w:hideMark/>
          </w:tcPr>
          <w:p w14:paraId="24F67DCF" w14:textId="77777777" w:rsidR="00590FE1" w:rsidRPr="001D5327" w:rsidRDefault="00590FE1" w:rsidP="00403787">
            <w:pPr>
              <w:pStyle w:val="TableText"/>
              <w:spacing w:before="30" w:after="30"/>
              <w:rPr>
                <w:rFonts w:cs="Calibri"/>
                <w:szCs w:val="16"/>
              </w:rPr>
            </w:pPr>
            <w:r w:rsidRPr="001D5327">
              <w:rPr>
                <w:rFonts w:cs="Calibri"/>
                <w:szCs w:val="16"/>
              </w:rPr>
              <w:t>4</w:t>
            </w:r>
          </w:p>
        </w:tc>
        <w:tc>
          <w:tcPr>
            <w:tcW w:w="3224" w:type="dxa"/>
            <w:tcBorders>
              <w:top w:val="single" w:sz="4" w:space="0" w:color="1B556B" w:themeColor="text2"/>
              <w:left w:val="nil"/>
              <w:bottom w:val="single" w:sz="4" w:space="0" w:color="1B556B" w:themeColor="text2"/>
              <w:right w:val="nil"/>
            </w:tcBorders>
            <w:shd w:val="clear" w:color="auto" w:fill="auto"/>
            <w:vAlign w:val="center"/>
            <w:hideMark/>
          </w:tcPr>
          <w:p w14:paraId="1F453A1B" w14:textId="77777777" w:rsidR="00590FE1" w:rsidRPr="001D5327" w:rsidRDefault="00590FE1" w:rsidP="00403787">
            <w:pPr>
              <w:pStyle w:val="TableText"/>
              <w:spacing w:before="30" w:after="30"/>
              <w:rPr>
                <w:rFonts w:cs="Calibri"/>
                <w:szCs w:val="16"/>
              </w:rPr>
            </w:pPr>
            <w:r w:rsidRPr="001D5327">
              <w:rPr>
                <w:rFonts w:cs="Calibri"/>
                <w:szCs w:val="16"/>
              </w:rPr>
              <w:t>Other Livestock (Camels, Deer, Goats, Horses, Mules and Asses, Poultry)</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3DD2D15C" w14:textId="77777777" w:rsidR="00590FE1" w:rsidRPr="001D5327" w:rsidRDefault="00590FE1" w:rsidP="00403787">
            <w:pPr>
              <w:pStyle w:val="TableText"/>
              <w:spacing w:before="30" w:after="30"/>
              <w:rPr>
                <w:rFonts w:cs="Calibri"/>
                <w:szCs w:val="16"/>
              </w:rPr>
            </w:pPr>
            <w:r w:rsidRPr="001D5327">
              <w:rPr>
                <w:rFonts w:cs="Calibri"/>
                <w:szCs w:val="16"/>
              </w:rPr>
              <w:t>T1, T2</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5BB68F10" w14:textId="77777777" w:rsidR="00590FE1" w:rsidRPr="001D5327" w:rsidRDefault="00590FE1" w:rsidP="00403787">
            <w:pPr>
              <w:pStyle w:val="TableText"/>
              <w:spacing w:before="30" w:after="30"/>
              <w:rPr>
                <w:rFonts w:cs="Calibri"/>
                <w:szCs w:val="16"/>
              </w:rPr>
            </w:pPr>
            <w:r w:rsidRPr="001D5327">
              <w:rPr>
                <w:rFonts w:cs="Calibri"/>
                <w:szCs w:val="16"/>
              </w:rPr>
              <w:t>CS, D</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059B2E16" w14:textId="3DB9BA98"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2D43AA3B" w14:textId="1D67687A"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17E661AB" w14:textId="1498DB6E"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7C3D947D" w14:textId="3769DD92"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r>
      <w:tr w:rsidR="00590FE1" w:rsidRPr="001D5327" w14:paraId="14B76E9A" w14:textId="77777777" w:rsidTr="00403787">
        <w:tc>
          <w:tcPr>
            <w:tcW w:w="320" w:type="dxa"/>
            <w:tcBorders>
              <w:top w:val="single" w:sz="4" w:space="0" w:color="1B556B" w:themeColor="text2"/>
              <w:left w:val="nil"/>
              <w:bottom w:val="single" w:sz="4" w:space="0" w:color="1B556B" w:themeColor="text2"/>
              <w:right w:val="nil"/>
            </w:tcBorders>
            <w:shd w:val="clear" w:color="auto" w:fill="auto"/>
            <w:noWrap/>
            <w:vAlign w:val="center"/>
            <w:hideMark/>
          </w:tcPr>
          <w:p w14:paraId="1B608C78" w14:textId="77777777" w:rsidR="00590FE1" w:rsidRPr="001D5327" w:rsidRDefault="00590FE1" w:rsidP="00403787">
            <w:pPr>
              <w:pStyle w:val="TableText"/>
              <w:spacing w:before="30" w:after="30"/>
              <w:rPr>
                <w:rFonts w:cs="Calibri"/>
                <w:b/>
                <w:bCs/>
                <w:szCs w:val="16"/>
              </w:rPr>
            </w:pPr>
            <w:r w:rsidRPr="001D5327">
              <w:rPr>
                <w:rFonts w:cs="Calibri"/>
                <w:b/>
                <w:bCs/>
                <w:szCs w:val="16"/>
              </w:rPr>
              <w:t>B</w:t>
            </w:r>
          </w:p>
        </w:tc>
        <w:tc>
          <w:tcPr>
            <w:tcW w:w="3224" w:type="dxa"/>
            <w:tcBorders>
              <w:top w:val="single" w:sz="4" w:space="0" w:color="1B556B" w:themeColor="text2"/>
              <w:left w:val="nil"/>
              <w:bottom w:val="single" w:sz="4" w:space="0" w:color="1B556B" w:themeColor="text2"/>
              <w:right w:val="nil"/>
            </w:tcBorders>
            <w:shd w:val="clear" w:color="auto" w:fill="auto"/>
            <w:vAlign w:val="center"/>
            <w:hideMark/>
          </w:tcPr>
          <w:p w14:paraId="61F9A0DF" w14:textId="77777777" w:rsidR="00590FE1" w:rsidRPr="001D5327" w:rsidRDefault="00590FE1" w:rsidP="00403787">
            <w:pPr>
              <w:pStyle w:val="TableText"/>
              <w:spacing w:before="30" w:after="30"/>
              <w:rPr>
                <w:rFonts w:cs="Calibri"/>
                <w:b/>
                <w:bCs/>
                <w:szCs w:val="16"/>
              </w:rPr>
            </w:pPr>
            <w:r w:rsidRPr="001D5327">
              <w:rPr>
                <w:rFonts w:cs="Calibri"/>
                <w:b/>
                <w:bCs/>
                <w:szCs w:val="16"/>
              </w:rPr>
              <w:t>Manure Management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409D7D94"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74E76630"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6C482DF4"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2817E6D9"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37FFDA64"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6D69F3B6"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r>
      <w:tr w:rsidR="00590FE1" w:rsidRPr="001D5327" w14:paraId="44047098" w14:textId="77777777" w:rsidTr="00403787">
        <w:tc>
          <w:tcPr>
            <w:tcW w:w="320" w:type="dxa"/>
            <w:vMerge w:val="restart"/>
            <w:tcBorders>
              <w:top w:val="single" w:sz="4" w:space="0" w:color="1B556B" w:themeColor="text2"/>
              <w:left w:val="nil"/>
              <w:bottom w:val="single" w:sz="8" w:space="0" w:color="365F91"/>
              <w:right w:val="nil"/>
            </w:tcBorders>
            <w:shd w:val="clear" w:color="auto" w:fill="auto"/>
            <w:noWrap/>
            <w:vAlign w:val="center"/>
            <w:hideMark/>
          </w:tcPr>
          <w:p w14:paraId="5C1AC98F" w14:textId="77777777" w:rsidR="00590FE1" w:rsidRPr="001D5327" w:rsidRDefault="00590FE1" w:rsidP="00403787">
            <w:pPr>
              <w:pStyle w:val="TableText"/>
              <w:spacing w:before="30" w:after="30"/>
              <w:rPr>
                <w:rFonts w:cs="Calibri"/>
                <w:szCs w:val="16"/>
              </w:rPr>
            </w:pPr>
            <w:r w:rsidRPr="001D5327">
              <w:rPr>
                <w:rFonts w:cs="Calibri"/>
                <w:szCs w:val="16"/>
              </w:rPr>
              <w:t>1</w:t>
            </w:r>
          </w:p>
        </w:tc>
        <w:tc>
          <w:tcPr>
            <w:tcW w:w="3224" w:type="dxa"/>
            <w:tcBorders>
              <w:top w:val="single" w:sz="4" w:space="0" w:color="1B556B" w:themeColor="text2"/>
              <w:left w:val="nil"/>
              <w:bottom w:val="nil"/>
              <w:right w:val="nil"/>
            </w:tcBorders>
            <w:shd w:val="clear" w:color="auto" w:fill="auto"/>
            <w:vAlign w:val="center"/>
            <w:hideMark/>
          </w:tcPr>
          <w:p w14:paraId="0AB354F6" w14:textId="77777777" w:rsidR="00590FE1" w:rsidRPr="001D5327" w:rsidRDefault="00590FE1" w:rsidP="00403787">
            <w:pPr>
              <w:pStyle w:val="TableText"/>
              <w:spacing w:before="30" w:after="30"/>
              <w:rPr>
                <w:rFonts w:cs="Calibri"/>
                <w:szCs w:val="16"/>
              </w:rPr>
            </w:pPr>
            <w:r w:rsidRPr="001D5327">
              <w:rPr>
                <w:rFonts w:cs="Calibri"/>
                <w:szCs w:val="16"/>
              </w:rPr>
              <w:t>Cattle</w:t>
            </w:r>
          </w:p>
        </w:tc>
        <w:tc>
          <w:tcPr>
            <w:tcW w:w="828" w:type="dxa"/>
            <w:tcBorders>
              <w:top w:val="single" w:sz="4" w:space="0" w:color="1B556B" w:themeColor="text2"/>
              <w:left w:val="nil"/>
              <w:bottom w:val="nil"/>
              <w:right w:val="nil"/>
            </w:tcBorders>
            <w:shd w:val="clear" w:color="auto" w:fill="auto"/>
            <w:noWrap/>
            <w:vAlign w:val="center"/>
            <w:hideMark/>
          </w:tcPr>
          <w:p w14:paraId="1CCF04F6"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single" w:sz="4" w:space="0" w:color="1B556B" w:themeColor="text2"/>
              <w:left w:val="nil"/>
              <w:bottom w:val="nil"/>
              <w:right w:val="nil"/>
            </w:tcBorders>
            <w:shd w:val="clear" w:color="auto" w:fill="auto"/>
            <w:noWrap/>
            <w:vAlign w:val="center"/>
            <w:hideMark/>
          </w:tcPr>
          <w:p w14:paraId="4CFE0F8F"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9" w:type="dxa"/>
            <w:tcBorders>
              <w:top w:val="single" w:sz="4" w:space="0" w:color="1B556B" w:themeColor="text2"/>
              <w:left w:val="nil"/>
              <w:bottom w:val="nil"/>
              <w:right w:val="nil"/>
            </w:tcBorders>
            <w:shd w:val="clear" w:color="auto" w:fill="auto"/>
            <w:noWrap/>
            <w:vAlign w:val="center"/>
            <w:hideMark/>
          </w:tcPr>
          <w:p w14:paraId="49A7B1A6"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single" w:sz="4" w:space="0" w:color="1B556B" w:themeColor="text2"/>
              <w:left w:val="nil"/>
              <w:bottom w:val="nil"/>
              <w:right w:val="nil"/>
            </w:tcBorders>
            <w:shd w:val="clear" w:color="auto" w:fill="auto"/>
            <w:noWrap/>
            <w:vAlign w:val="center"/>
            <w:hideMark/>
          </w:tcPr>
          <w:p w14:paraId="4156F8D5"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single" w:sz="4" w:space="0" w:color="1B556B" w:themeColor="text2"/>
              <w:left w:val="nil"/>
              <w:bottom w:val="nil"/>
              <w:right w:val="nil"/>
            </w:tcBorders>
            <w:shd w:val="clear" w:color="auto" w:fill="auto"/>
            <w:noWrap/>
            <w:vAlign w:val="center"/>
            <w:hideMark/>
          </w:tcPr>
          <w:p w14:paraId="4094E0D1"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9" w:type="dxa"/>
            <w:tcBorders>
              <w:top w:val="single" w:sz="4" w:space="0" w:color="1B556B" w:themeColor="text2"/>
              <w:left w:val="nil"/>
              <w:bottom w:val="nil"/>
              <w:right w:val="nil"/>
            </w:tcBorders>
            <w:shd w:val="clear" w:color="auto" w:fill="auto"/>
            <w:noWrap/>
            <w:vAlign w:val="center"/>
            <w:hideMark/>
          </w:tcPr>
          <w:p w14:paraId="2A8178CF"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r>
      <w:tr w:rsidR="00590FE1" w:rsidRPr="001D5327" w14:paraId="4F8270DB" w14:textId="77777777" w:rsidTr="00403787">
        <w:tc>
          <w:tcPr>
            <w:tcW w:w="320" w:type="dxa"/>
            <w:vMerge/>
            <w:vAlign w:val="center"/>
            <w:hideMark/>
          </w:tcPr>
          <w:p w14:paraId="7960576C" w14:textId="77777777" w:rsidR="00590FE1" w:rsidRPr="001D5327" w:rsidRDefault="00590FE1" w:rsidP="00403787">
            <w:pPr>
              <w:pStyle w:val="TableText"/>
              <w:spacing w:before="30" w:after="30"/>
              <w:rPr>
                <w:rFonts w:cs="Calibri"/>
                <w:szCs w:val="16"/>
              </w:rPr>
            </w:pPr>
          </w:p>
        </w:tc>
        <w:tc>
          <w:tcPr>
            <w:tcW w:w="3224" w:type="dxa"/>
            <w:tcBorders>
              <w:top w:val="nil"/>
              <w:left w:val="nil"/>
              <w:bottom w:val="nil"/>
              <w:right w:val="nil"/>
            </w:tcBorders>
            <w:shd w:val="clear" w:color="auto" w:fill="auto"/>
            <w:vAlign w:val="center"/>
            <w:hideMark/>
          </w:tcPr>
          <w:p w14:paraId="0006D322" w14:textId="77777777" w:rsidR="00590FE1" w:rsidRPr="001D5327" w:rsidRDefault="00590FE1" w:rsidP="00403787">
            <w:pPr>
              <w:pStyle w:val="TableText"/>
              <w:spacing w:before="30" w:after="30"/>
              <w:rPr>
                <w:rFonts w:cs="Calibri"/>
                <w:szCs w:val="16"/>
              </w:rPr>
            </w:pPr>
            <w:r w:rsidRPr="001D5327">
              <w:rPr>
                <w:rFonts w:cs="Calibri"/>
                <w:szCs w:val="16"/>
              </w:rPr>
              <w:t>Dairy Cattle</w:t>
            </w:r>
          </w:p>
        </w:tc>
        <w:tc>
          <w:tcPr>
            <w:tcW w:w="828" w:type="dxa"/>
            <w:tcBorders>
              <w:top w:val="nil"/>
              <w:left w:val="nil"/>
              <w:bottom w:val="nil"/>
              <w:right w:val="nil"/>
            </w:tcBorders>
            <w:shd w:val="clear" w:color="auto" w:fill="auto"/>
            <w:noWrap/>
            <w:vAlign w:val="center"/>
            <w:hideMark/>
          </w:tcPr>
          <w:p w14:paraId="20DE6D6F" w14:textId="77777777" w:rsidR="00590FE1" w:rsidRPr="001D5327" w:rsidRDefault="00590FE1" w:rsidP="00403787">
            <w:pPr>
              <w:pStyle w:val="TableText"/>
              <w:spacing w:before="30" w:after="30"/>
              <w:rPr>
                <w:rFonts w:cs="Calibri"/>
                <w:szCs w:val="16"/>
              </w:rPr>
            </w:pPr>
            <w:r w:rsidRPr="001D5327">
              <w:rPr>
                <w:rFonts w:cs="Calibri"/>
                <w:szCs w:val="16"/>
              </w:rPr>
              <w:t>T2</w:t>
            </w:r>
          </w:p>
        </w:tc>
        <w:tc>
          <w:tcPr>
            <w:tcW w:w="828" w:type="dxa"/>
            <w:tcBorders>
              <w:top w:val="nil"/>
              <w:left w:val="nil"/>
              <w:bottom w:val="nil"/>
              <w:right w:val="nil"/>
            </w:tcBorders>
            <w:shd w:val="clear" w:color="auto" w:fill="auto"/>
            <w:noWrap/>
            <w:vAlign w:val="center"/>
            <w:hideMark/>
          </w:tcPr>
          <w:p w14:paraId="10190A01" w14:textId="77777777" w:rsidR="00590FE1" w:rsidRPr="001D5327" w:rsidRDefault="00590FE1" w:rsidP="00403787">
            <w:pPr>
              <w:pStyle w:val="TableText"/>
              <w:spacing w:before="30" w:after="30"/>
              <w:rPr>
                <w:rFonts w:cs="Calibri"/>
                <w:szCs w:val="16"/>
              </w:rPr>
            </w:pPr>
            <w:r w:rsidRPr="001D5327">
              <w:rPr>
                <w:rFonts w:cs="Calibri"/>
                <w:szCs w:val="16"/>
              </w:rPr>
              <w:t>CS</w:t>
            </w:r>
          </w:p>
        </w:tc>
        <w:tc>
          <w:tcPr>
            <w:tcW w:w="829" w:type="dxa"/>
            <w:tcBorders>
              <w:top w:val="nil"/>
              <w:left w:val="nil"/>
              <w:bottom w:val="nil"/>
              <w:right w:val="nil"/>
            </w:tcBorders>
            <w:shd w:val="clear" w:color="auto" w:fill="auto"/>
            <w:noWrap/>
            <w:vAlign w:val="center"/>
            <w:hideMark/>
          </w:tcPr>
          <w:p w14:paraId="2BA17ED6" w14:textId="77777777" w:rsidR="00590FE1" w:rsidRPr="001D5327" w:rsidRDefault="00590FE1" w:rsidP="00403787">
            <w:pPr>
              <w:pStyle w:val="TableText"/>
              <w:spacing w:before="30" w:after="30"/>
              <w:rPr>
                <w:rFonts w:cs="Calibri"/>
                <w:szCs w:val="16"/>
              </w:rPr>
            </w:pPr>
            <w:r w:rsidRPr="001D5327">
              <w:rPr>
                <w:rFonts w:cs="Calibri"/>
                <w:szCs w:val="16"/>
              </w:rPr>
              <w:t>T2</w:t>
            </w:r>
          </w:p>
        </w:tc>
        <w:tc>
          <w:tcPr>
            <w:tcW w:w="828" w:type="dxa"/>
            <w:tcBorders>
              <w:top w:val="nil"/>
              <w:left w:val="nil"/>
              <w:bottom w:val="nil"/>
              <w:right w:val="nil"/>
            </w:tcBorders>
            <w:shd w:val="clear" w:color="auto" w:fill="auto"/>
            <w:noWrap/>
            <w:vAlign w:val="center"/>
            <w:hideMark/>
          </w:tcPr>
          <w:p w14:paraId="6D8BB39A" w14:textId="77777777" w:rsidR="00590FE1" w:rsidRPr="001D5327" w:rsidRDefault="00590FE1" w:rsidP="00403787">
            <w:pPr>
              <w:pStyle w:val="TableText"/>
              <w:spacing w:before="30" w:after="30"/>
              <w:rPr>
                <w:rFonts w:cs="Calibri"/>
                <w:szCs w:val="16"/>
              </w:rPr>
            </w:pPr>
            <w:r w:rsidRPr="001D5327">
              <w:rPr>
                <w:rFonts w:cs="Calibri"/>
                <w:szCs w:val="16"/>
              </w:rPr>
              <w:t>CS</w:t>
            </w:r>
          </w:p>
        </w:tc>
        <w:tc>
          <w:tcPr>
            <w:tcW w:w="828" w:type="dxa"/>
            <w:tcBorders>
              <w:top w:val="nil"/>
              <w:left w:val="nil"/>
              <w:bottom w:val="nil"/>
              <w:right w:val="nil"/>
            </w:tcBorders>
            <w:shd w:val="clear" w:color="auto" w:fill="auto"/>
            <w:noWrap/>
            <w:vAlign w:val="center"/>
            <w:hideMark/>
          </w:tcPr>
          <w:p w14:paraId="23760F50" w14:textId="2C36BA55"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9" w:type="dxa"/>
            <w:tcBorders>
              <w:top w:val="nil"/>
              <w:left w:val="nil"/>
              <w:bottom w:val="nil"/>
              <w:right w:val="nil"/>
            </w:tcBorders>
            <w:shd w:val="clear" w:color="auto" w:fill="auto"/>
            <w:noWrap/>
            <w:vAlign w:val="center"/>
            <w:hideMark/>
          </w:tcPr>
          <w:p w14:paraId="033626FD" w14:textId="23ABB066"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r>
      <w:tr w:rsidR="00590FE1" w:rsidRPr="001D5327" w14:paraId="4ED0A401" w14:textId="77777777" w:rsidTr="00403787">
        <w:tc>
          <w:tcPr>
            <w:tcW w:w="320" w:type="dxa"/>
            <w:vMerge/>
            <w:vAlign w:val="center"/>
            <w:hideMark/>
          </w:tcPr>
          <w:p w14:paraId="5A305D32" w14:textId="77777777" w:rsidR="00590FE1" w:rsidRPr="001D5327" w:rsidRDefault="00590FE1" w:rsidP="00403787">
            <w:pPr>
              <w:pStyle w:val="TableText"/>
              <w:spacing w:before="30" w:after="30"/>
              <w:rPr>
                <w:rFonts w:cs="Calibri"/>
                <w:szCs w:val="16"/>
              </w:rPr>
            </w:pPr>
          </w:p>
        </w:tc>
        <w:tc>
          <w:tcPr>
            <w:tcW w:w="3224" w:type="dxa"/>
            <w:tcBorders>
              <w:top w:val="nil"/>
              <w:left w:val="nil"/>
              <w:bottom w:val="single" w:sz="4" w:space="0" w:color="1B556B" w:themeColor="text2"/>
              <w:right w:val="nil"/>
            </w:tcBorders>
            <w:shd w:val="clear" w:color="auto" w:fill="auto"/>
            <w:vAlign w:val="center"/>
            <w:hideMark/>
          </w:tcPr>
          <w:p w14:paraId="0C743DA1" w14:textId="77777777" w:rsidR="00590FE1" w:rsidRPr="001D5327" w:rsidRDefault="00590FE1" w:rsidP="00403787">
            <w:pPr>
              <w:pStyle w:val="TableText"/>
              <w:spacing w:before="30" w:after="30"/>
              <w:rPr>
                <w:rFonts w:cs="Calibri"/>
                <w:szCs w:val="16"/>
              </w:rPr>
            </w:pPr>
            <w:r w:rsidRPr="001D5327">
              <w:rPr>
                <w:rFonts w:cs="Calibri"/>
                <w:szCs w:val="16"/>
              </w:rPr>
              <w:t>Non-Dairy Cattle</w:t>
            </w:r>
          </w:p>
        </w:tc>
        <w:tc>
          <w:tcPr>
            <w:tcW w:w="828" w:type="dxa"/>
            <w:tcBorders>
              <w:top w:val="nil"/>
              <w:left w:val="nil"/>
              <w:bottom w:val="single" w:sz="4" w:space="0" w:color="1B556B" w:themeColor="text2"/>
              <w:right w:val="nil"/>
            </w:tcBorders>
            <w:shd w:val="clear" w:color="auto" w:fill="auto"/>
            <w:noWrap/>
            <w:vAlign w:val="center"/>
            <w:hideMark/>
          </w:tcPr>
          <w:p w14:paraId="626D03A2" w14:textId="77777777" w:rsidR="00590FE1" w:rsidRPr="001D5327" w:rsidRDefault="00590FE1" w:rsidP="00403787">
            <w:pPr>
              <w:pStyle w:val="TableText"/>
              <w:spacing w:before="30" w:after="30"/>
              <w:rPr>
                <w:rFonts w:cs="Calibri"/>
                <w:szCs w:val="16"/>
              </w:rPr>
            </w:pPr>
            <w:r w:rsidRPr="001D5327">
              <w:rPr>
                <w:rFonts w:cs="Calibri"/>
                <w:szCs w:val="16"/>
              </w:rPr>
              <w:t>T2</w:t>
            </w:r>
          </w:p>
        </w:tc>
        <w:tc>
          <w:tcPr>
            <w:tcW w:w="828" w:type="dxa"/>
            <w:tcBorders>
              <w:top w:val="nil"/>
              <w:left w:val="nil"/>
              <w:bottom w:val="single" w:sz="4" w:space="0" w:color="1B556B" w:themeColor="text2"/>
              <w:right w:val="nil"/>
            </w:tcBorders>
            <w:shd w:val="clear" w:color="auto" w:fill="auto"/>
            <w:noWrap/>
            <w:vAlign w:val="center"/>
            <w:hideMark/>
          </w:tcPr>
          <w:p w14:paraId="0B3135E5" w14:textId="77777777" w:rsidR="00590FE1" w:rsidRPr="001D5327" w:rsidRDefault="00590FE1" w:rsidP="00403787">
            <w:pPr>
              <w:pStyle w:val="TableText"/>
              <w:spacing w:before="30" w:after="30"/>
              <w:rPr>
                <w:rFonts w:cs="Calibri"/>
                <w:szCs w:val="16"/>
              </w:rPr>
            </w:pPr>
            <w:r w:rsidRPr="001D5327">
              <w:rPr>
                <w:rFonts w:cs="Calibri"/>
                <w:szCs w:val="16"/>
              </w:rPr>
              <w:t>CS</w:t>
            </w:r>
          </w:p>
        </w:tc>
        <w:tc>
          <w:tcPr>
            <w:tcW w:w="829" w:type="dxa"/>
            <w:tcBorders>
              <w:top w:val="nil"/>
              <w:left w:val="nil"/>
              <w:bottom w:val="single" w:sz="4" w:space="0" w:color="1B556B" w:themeColor="text2"/>
              <w:right w:val="nil"/>
            </w:tcBorders>
            <w:shd w:val="clear" w:color="auto" w:fill="auto"/>
            <w:noWrap/>
            <w:vAlign w:val="center"/>
            <w:hideMark/>
          </w:tcPr>
          <w:p w14:paraId="79ED5613" w14:textId="77777777" w:rsidR="00590FE1" w:rsidRPr="001D5327" w:rsidRDefault="00590FE1" w:rsidP="00403787">
            <w:pPr>
              <w:pStyle w:val="TableText"/>
              <w:spacing w:before="30" w:after="30"/>
              <w:rPr>
                <w:rFonts w:cs="Calibri"/>
                <w:szCs w:val="16"/>
              </w:rPr>
            </w:pPr>
            <w:r w:rsidRPr="001D5327">
              <w:rPr>
                <w:rFonts w:cs="Calibri"/>
                <w:szCs w:val="16"/>
              </w:rPr>
              <w:t>NA</w:t>
            </w:r>
          </w:p>
        </w:tc>
        <w:tc>
          <w:tcPr>
            <w:tcW w:w="828" w:type="dxa"/>
            <w:tcBorders>
              <w:top w:val="nil"/>
              <w:left w:val="nil"/>
              <w:bottom w:val="single" w:sz="4" w:space="0" w:color="1B556B" w:themeColor="text2"/>
              <w:right w:val="nil"/>
            </w:tcBorders>
            <w:shd w:val="clear" w:color="auto" w:fill="auto"/>
            <w:noWrap/>
            <w:vAlign w:val="center"/>
            <w:hideMark/>
          </w:tcPr>
          <w:p w14:paraId="210C0679" w14:textId="77777777" w:rsidR="00590FE1" w:rsidRPr="001D5327" w:rsidRDefault="00590FE1" w:rsidP="00403787">
            <w:pPr>
              <w:pStyle w:val="TableText"/>
              <w:spacing w:before="30" w:after="30"/>
              <w:rPr>
                <w:rFonts w:cs="Calibri"/>
                <w:szCs w:val="16"/>
              </w:rPr>
            </w:pPr>
            <w:r w:rsidRPr="001D5327">
              <w:rPr>
                <w:rFonts w:cs="Calibri"/>
                <w:szCs w:val="16"/>
              </w:rPr>
              <w:t>NA</w:t>
            </w:r>
          </w:p>
        </w:tc>
        <w:tc>
          <w:tcPr>
            <w:tcW w:w="828" w:type="dxa"/>
            <w:tcBorders>
              <w:top w:val="nil"/>
              <w:left w:val="nil"/>
              <w:bottom w:val="single" w:sz="4" w:space="0" w:color="1B556B" w:themeColor="text2"/>
              <w:right w:val="nil"/>
            </w:tcBorders>
            <w:shd w:val="clear" w:color="auto" w:fill="auto"/>
            <w:noWrap/>
            <w:vAlign w:val="center"/>
            <w:hideMark/>
          </w:tcPr>
          <w:p w14:paraId="65611544" w14:textId="2FA7611D"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9" w:type="dxa"/>
            <w:tcBorders>
              <w:top w:val="nil"/>
              <w:left w:val="nil"/>
              <w:bottom w:val="single" w:sz="4" w:space="0" w:color="1B556B" w:themeColor="text2"/>
              <w:right w:val="nil"/>
            </w:tcBorders>
            <w:shd w:val="clear" w:color="auto" w:fill="auto"/>
            <w:noWrap/>
            <w:vAlign w:val="center"/>
            <w:hideMark/>
          </w:tcPr>
          <w:p w14:paraId="5879AC37" w14:textId="5647F027"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r>
      <w:tr w:rsidR="00590FE1" w:rsidRPr="001D5327" w14:paraId="3CB5B8E7" w14:textId="77777777" w:rsidTr="00403787">
        <w:tc>
          <w:tcPr>
            <w:tcW w:w="320" w:type="dxa"/>
            <w:tcBorders>
              <w:top w:val="single" w:sz="4" w:space="0" w:color="1B556B" w:themeColor="text2"/>
              <w:left w:val="nil"/>
              <w:right w:val="nil"/>
            </w:tcBorders>
            <w:shd w:val="clear" w:color="auto" w:fill="auto"/>
            <w:noWrap/>
            <w:vAlign w:val="center"/>
            <w:hideMark/>
          </w:tcPr>
          <w:p w14:paraId="35309507" w14:textId="77777777" w:rsidR="00590FE1" w:rsidRPr="001D5327" w:rsidRDefault="00590FE1" w:rsidP="00403787">
            <w:pPr>
              <w:pStyle w:val="TableText"/>
              <w:spacing w:before="30" w:after="30"/>
              <w:rPr>
                <w:rFonts w:cs="Calibri"/>
                <w:szCs w:val="16"/>
              </w:rPr>
            </w:pPr>
            <w:r w:rsidRPr="001D5327">
              <w:rPr>
                <w:rFonts w:cs="Calibri"/>
                <w:szCs w:val="16"/>
              </w:rPr>
              <w:t>2</w:t>
            </w:r>
          </w:p>
        </w:tc>
        <w:tc>
          <w:tcPr>
            <w:tcW w:w="3224" w:type="dxa"/>
            <w:tcBorders>
              <w:top w:val="single" w:sz="4" w:space="0" w:color="1B556B" w:themeColor="text2"/>
              <w:left w:val="nil"/>
              <w:right w:val="nil"/>
            </w:tcBorders>
            <w:shd w:val="clear" w:color="auto" w:fill="auto"/>
            <w:vAlign w:val="center"/>
            <w:hideMark/>
          </w:tcPr>
          <w:p w14:paraId="23D1FF24" w14:textId="77777777" w:rsidR="00590FE1" w:rsidRPr="001D5327" w:rsidRDefault="00590FE1" w:rsidP="00403787">
            <w:pPr>
              <w:pStyle w:val="TableText"/>
              <w:spacing w:before="30" w:after="30"/>
              <w:rPr>
                <w:rFonts w:cs="Calibri"/>
                <w:szCs w:val="16"/>
              </w:rPr>
            </w:pPr>
            <w:r w:rsidRPr="001D5327">
              <w:rPr>
                <w:rFonts w:cs="Calibri"/>
                <w:szCs w:val="16"/>
              </w:rPr>
              <w:t xml:space="preserve">Sheep </w:t>
            </w:r>
          </w:p>
        </w:tc>
        <w:tc>
          <w:tcPr>
            <w:tcW w:w="828" w:type="dxa"/>
            <w:tcBorders>
              <w:top w:val="single" w:sz="4" w:space="0" w:color="1B556B" w:themeColor="text2"/>
              <w:left w:val="nil"/>
              <w:right w:val="nil"/>
            </w:tcBorders>
            <w:shd w:val="clear" w:color="auto" w:fill="auto"/>
            <w:noWrap/>
            <w:vAlign w:val="center"/>
            <w:hideMark/>
          </w:tcPr>
          <w:p w14:paraId="4A35DA80" w14:textId="77777777" w:rsidR="00590FE1" w:rsidRPr="001D5327" w:rsidRDefault="00590FE1" w:rsidP="00403787">
            <w:pPr>
              <w:pStyle w:val="TableText"/>
              <w:spacing w:before="30" w:after="30"/>
              <w:rPr>
                <w:rFonts w:cs="Calibri"/>
                <w:szCs w:val="16"/>
              </w:rPr>
            </w:pPr>
            <w:r w:rsidRPr="001D5327">
              <w:rPr>
                <w:rFonts w:cs="Calibri"/>
                <w:szCs w:val="16"/>
              </w:rPr>
              <w:t>T2</w:t>
            </w:r>
          </w:p>
        </w:tc>
        <w:tc>
          <w:tcPr>
            <w:tcW w:w="828" w:type="dxa"/>
            <w:tcBorders>
              <w:top w:val="single" w:sz="4" w:space="0" w:color="1B556B" w:themeColor="text2"/>
              <w:left w:val="nil"/>
              <w:right w:val="nil"/>
            </w:tcBorders>
            <w:shd w:val="clear" w:color="auto" w:fill="auto"/>
            <w:noWrap/>
            <w:vAlign w:val="center"/>
            <w:hideMark/>
          </w:tcPr>
          <w:p w14:paraId="0F0C32D9" w14:textId="77777777" w:rsidR="00590FE1" w:rsidRPr="001D5327" w:rsidRDefault="00590FE1" w:rsidP="00403787">
            <w:pPr>
              <w:pStyle w:val="TableText"/>
              <w:spacing w:before="30" w:after="30"/>
              <w:rPr>
                <w:rFonts w:cs="Calibri"/>
                <w:szCs w:val="16"/>
              </w:rPr>
            </w:pPr>
            <w:r w:rsidRPr="001D5327">
              <w:rPr>
                <w:rFonts w:cs="Calibri"/>
                <w:szCs w:val="16"/>
              </w:rPr>
              <w:t>CS</w:t>
            </w:r>
          </w:p>
        </w:tc>
        <w:tc>
          <w:tcPr>
            <w:tcW w:w="829" w:type="dxa"/>
            <w:tcBorders>
              <w:top w:val="single" w:sz="4" w:space="0" w:color="1B556B" w:themeColor="text2"/>
              <w:left w:val="nil"/>
              <w:right w:val="nil"/>
            </w:tcBorders>
            <w:shd w:val="clear" w:color="auto" w:fill="auto"/>
            <w:noWrap/>
            <w:vAlign w:val="center"/>
            <w:hideMark/>
          </w:tcPr>
          <w:p w14:paraId="62077A35" w14:textId="77777777" w:rsidR="00590FE1" w:rsidRPr="001D5327" w:rsidRDefault="00590FE1" w:rsidP="00403787">
            <w:pPr>
              <w:pStyle w:val="TableText"/>
              <w:spacing w:before="30" w:after="30"/>
              <w:rPr>
                <w:rFonts w:cs="Calibri"/>
                <w:szCs w:val="16"/>
              </w:rPr>
            </w:pPr>
            <w:r w:rsidRPr="001D5327">
              <w:rPr>
                <w:rFonts w:cs="Calibri"/>
                <w:szCs w:val="16"/>
              </w:rPr>
              <w:t>NA</w:t>
            </w:r>
          </w:p>
        </w:tc>
        <w:tc>
          <w:tcPr>
            <w:tcW w:w="828" w:type="dxa"/>
            <w:tcBorders>
              <w:top w:val="single" w:sz="4" w:space="0" w:color="1B556B" w:themeColor="text2"/>
              <w:left w:val="nil"/>
              <w:right w:val="nil"/>
            </w:tcBorders>
            <w:shd w:val="clear" w:color="auto" w:fill="auto"/>
            <w:noWrap/>
            <w:vAlign w:val="center"/>
            <w:hideMark/>
          </w:tcPr>
          <w:p w14:paraId="53E8391D" w14:textId="77777777" w:rsidR="00590FE1" w:rsidRPr="001D5327" w:rsidRDefault="00590FE1" w:rsidP="00403787">
            <w:pPr>
              <w:pStyle w:val="TableText"/>
              <w:spacing w:before="30" w:after="30"/>
              <w:rPr>
                <w:rFonts w:cs="Calibri"/>
                <w:szCs w:val="16"/>
              </w:rPr>
            </w:pPr>
            <w:r w:rsidRPr="001D5327">
              <w:rPr>
                <w:rFonts w:cs="Calibri"/>
                <w:szCs w:val="16"/>
              </w:rPr>
              <w:t>NA</w:t>
            </w:r>
          </w:p>
        </w:tc>
        <w:tc>
          <w:tcPr>
            <w:tcW w:w="828" w:type="dxa"/>
            <w:tcBorders>
              <w:top w:val="single" w:sz="4" w:space="0" w:color="1B556B" w:themeColor="text2"/>
              <w:left w:val="nil"/>
              <w:right w:val="nil"/>
            </w:tcBorders>
            <w:shd w:val="clear" w:color="auto" w:fill="auto"/>
            <w:noWrap/>
            <w:vAlign w:val="center"/>
            <w:hideMark/>
          </w:tcPr>
          <w:p w14:paraId="0EE40307" w14:textId="261108CF"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9" w:type="dxa"/>
            <w:tcBorders>
              <w:top w:val="single" w:sz="4" w:space="0" w:color="1B556B" w:themeColor="text2"/>
              <w:left w:val="nil"/>
              <w:right w:val="nil"/>
            </w:tcBorders>
            <w:shd w:val="clear" w:color="auto" w:fill="auto"/>
            <w:noWrap/>
            <w:vAlign w:val="center"/>
            <w:hideMark/>
          </w:tcPr>
          <w:p w14:paraId="5C54CFD3" w14:textId="68408041"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r>
      <w:tr w:rsidR="00590FE1" w:rsidRPr="001D5327" w14:paraId="42C4088C" w14:textId="77777777" w:rsidTr="00403787">
        <w:tc>
          <w:tcPr>
            <w:tcW w:w="320" w:type="dxa"/>
            <w:tcBorders>
              <w:left w:val="nil"/>
              <w:bottom w:val="single" w:sz="4" w:space="0" w:color="1B556B" w:themeColor="text2"/>
              <w:right w:val="nil"/>
            </w:tcBorders>
            <w:shd w:val="clear" w:color="auto" w:fill="auto"/>
            <w:noWrap/>
            <w:vAlign w:val="center"/>
            <w:hideMark/>
          </w:tcPr>
          <w:p w14:paraId="22835B4C" w14:textId="77777777" w:rsidR="00590FE1" w:rsidRPr="001D5327" w:rsidRDefault="00590FE1" w:rsidP="00403787">
            <w:pPr>
              <w:pStyle w:val="TableText"/>
              <w:spacing w:before="30" w:after="30"/>
              <w:rPr>
                <w:rFonts w:cs="Calibri"/>
                <w:szCs w:val="16"/>
              </w:rPr>
            </w:pPr>
            <w:r w:rsidRPr="001D5327">
              <w:rPr>
                <w:rFonts w:cs="Calibri"/>
                <w:szCs w:val="16"/>
              </w:rPr>
              <w:t>3</w:t>
            </w:r>
          </w:p>
        </w:tc>
        <w:tc>
          <w:tcPr>
            <w:tcW w:w="3224" w:type="dxa"/>
            <w:tcBorders>
              <w:left w:val="nil"/>
              <w:bottom w:val="single" w:sz="4" w:space="0" w:color="1B556B" w:themeColor="text2"/>
              <w:right w:val="nil"/>
            </w:tcBorders>
            <w:shd w:val="clear" w:color="auto" w:fill="auto"/>
            <w:vAlign w:val="center"/>
            <w:hideMark/>
          </w:tcPr>
          <w:p w14:paraId="2452433C" w14:textId="77777777" w:rsidR="00590FE1" w:rsidRPr="001D5327" w:rsidRDefault="00590FE1" w:rsidP="00403787">
            <w:pPr>
              <w:pStyle w:val="TableText"/>
              <w:spacing w:before="30" w:after="30"/>
              <w:rPr>
                <w:rFonts w:cs="Calibri"/>
                <w:szCs w:val="16"/>
              </w:rPr>
            </w:pPr>
            <w:r w:rsidRPr="001D5327">
              <w:rPr>
                <w:rFonts w:cs="Calibri"/>
                <w:szCs w:val="16"/>
              </w:rPr>
              <w:t>Swine</w:t>
            </w:r>
          </w:p>
        </w:tc>
        <w:tc>
          <w:tcPr>
            <w:tcW w:w="828" w:type="dxa"/>
            <w:tcBorders>
              <w:left w:val="nil"/>
              <w:bottom w:val="single" w:sz="4" w:space="0" w:color="1B556B" w:themeColor="text2"/>
              <w:right w:val="nil"/>
            </w:tcBorders>
            <w:shd w:val="clear" w:color="auto" w:fill="auto"/>
            <w:noWrap/>
            <w:vAlign w:val="center"/>
            <w:hideMark/>
          </w:tcPr>
          <w:p w14:paraId="02EA195C" w14:textId="77777777" w:rsidR="00590FE1" w:rsidRPr="001D5327" w:rsidRDefault="00590FE1" w:rsidP="00403787">
            <w:pPr>
              <w:pStyle w:val="TableText"/>
              <w:spacing w:before="30" w:after="30"/>
              <w:rPr>
                <w:rFonts w:cs="Calibri"/>
                <w:szCs w:val="16"/>
              </w:rPr>
            </w:pPr>
            <w:r w:rsidRPr="001D5327">
              <w:rPr>
                <w:rFonts w:cs="Calibri"/>
                <w:szCs w:val="16"/>
              </w:rPr>
              <w:t>T1</w:t>
            </w:r>
          </w:p>
        </w:tc>
        <w:tc>
          <w:tcPr>
            <w:tcW w:w="828" w:type="dxa"/>
            <w:tcBorders>
              <w:left w:val="nil"/>
              <w:bottom w:val="single" w:sz="4" w:space="0" w:color="1B556B" w:themeColor="text2"/>
              <w:right w:val="nil"/>
            </w:tcBorders>
            <w:shd w:val="clear" w:color="auto" w:fill="auto"/>
            <w:noWrap/>
            <w:vAlign w:val="center"/>
            <w:hideMark/>
          </w:tcPr>
          <w:p w14:paraId="69DB999D" w14:textId="77777777" w:rsidR="00590FE1" w:rsidRPr="001D5327" w:rsidRDefault="00590FE1" w:rsidP="00403787">
            <w:pPr>
              <w:pStyle w:val="TableText"/>
              <w:spacing w:before="30" w:after="30"/>
              <w:rPr>
                <w:rFonts w:cs="Calibri"/>
                <w:szCs w:val="16"/>
              </w:rPr>
            </w:pPr>
            <w:r w:rsidRPr="001D5327">
              <w:rPr>
                <w:rFonts w:cs="Calibri"/>
                <w:szCs w:val="16"/>
              </w:rPr>
              <w:t>CS</w:t>
            </w:r>
          </w:p>
        </w:tc>
        <w:tc>
          <w:tcPr>
            <w:tcW w:w="829" w:type="dxa"/>
            <w:tcBorders>
              <w:left w:val="nil"/>
              <w:bottom w:val="single" w:sz="4" w:space="0" w:color="1B556B" w:themeColor="text2"/>
              <w:right w:val="nil"/>
            </w:tcBorders>
            <w:shd w:val="clear" w:color="auto" w:fill="auto"/>
            <w:noWrap/>
            <w:vAlign w:val="center"/>
            <w:hideMark/>
          </w:tcPr>
          <w:p w14:paraId="28A108E9" w14:textId="77777777" w:rsidR="00590FE1" w:rsidRPr="001D5327" w:rsidRDefault="00590FE1" w:rsidP="00403787">
            <w:pPr>
              <w:pStyle w:val="TableText"/>
              <w:spacing w:before="30" w:after="30"/>
              <w:rPr>
                <w:rFonts w:cs="Calibri"/>
                <w:szCs w:val="16"/>
              </w:rPr>
            </w:pPr>
            <w:r w:rsidRPr="001D5327">
              <w:rPr>
                <w:rFonts w:cs="Calibri"/>
                <w:szCs w:val="16"/>
              </w:rPr>
              <w:t>T1</w:t>
            </w:r>
          </w:p>
        </w:tc>
        <w:tc>
          <w:tcPr>
            <w:tcW w:w="828" w:type="dxa"/>
            <w:tcBorders>
              <w:left w:val="nil"/>
              <w:bottom w:val="single" w:sz="4" w:space="0" w:color="1B556B" w:themeColor="text2"/>
              <w:right w:val="nil"/>
            </w:tcBorders>
            <w:shd w:val="clear" w:color="auto" w:fill="auto"/>
            <w:noWrap/>
            <w:vAlign w:val="center"/>
            <w:hideMark/>
          </w:tcPr>
          <w:p w14:paraId="44DF9A33" w14:textId="77777777" w:rsidR="00590FE1" w:rsidRPr="001D5327" w:rsidRDefault="00590FE1" w:rsidP="00403787">
            <w:pPr>
              <w:pStyle w:val="TableText"/>
              <w:spacing w:before="30" w:after="30"/>
              <w:rPr>
                <w:rFonts w:cs="Calibri"/>
                <w:szCs w:val="16"/>
              </w:rPr>
            </w:pPr>
            <w:r w:rsidRPr="001D5327">
              <w:rPr>
                <w:rFonts w:cs="Calibri"/>
                <w:szCs w:val="16"/>
              </w:rPr>
              <w:t>CS</w:t>
            </w:r>
          </w:p>
        </w:tc>
        <w:tc>
          <w:tcPr>
            <w:tcW w:w="828" w:type="dxa"/>
            <w:tcBorders>
              <w:left w:val="nil"/>
              <w:bottom w:val="single" w:sz="4" w:space="0" w:color="1B556B" w:themeColor="text2"/>
              <w:right w:val="nil"/>
            </w:tcBorders>
            <w:shd w:val="clear" w:color="auto" w:fill="auto"/>
            <w:noWrap/>
            <w:vAlign w:val="center"/>
            <w:hideMark/>
          </w:tcPr>
          <w:p w14:paraId="512B8246" w14:textId="4AC6D66D"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9" w:type="dxa"/>
            <w:tcBorders>
              <w:left w:val="nil"/>
              <w:bottom w:val="single" w:sz="4" w:space="0" w:color="1B556B" w:themeColor="text2"/>
              <w:right w:val="nil"/>
            </w:tcBorders>
            <w:shd w:val="clear" w:color="auto" w:fill="auto"/>
            <w:noWrap/>
            <w:vAlign w:val="center"/>
            <w:hideMark/>
          </w:tcPr>
          <w:p w14:paraId="0D3198EA" w14:textId="76ADE945"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r>
      <w:tr w:rsidR="00590FE1" w:rsidRPr="001D5327" w14:paraId="7B735612" w14:textId="77777777" w:rsidTr="00403787">
        <w:tc>
          <w:tcPr>
            <w:tcW w:w="320" w:type="dxa"/>
            <w:vMerge w:val="restart"/>
            <w:tcBorders>
              <w:top w:val="single" w:sz="4" w:space="0" w:color="1B556B" w:themeColor="text2"/>
              <w:left w:val="nil"/>
              <w:bottom w:val="single" w:sz="8" w:space="0" w:color="365F91"/>
              <w:right w:val="nil"/>
            </w:tcBorders>
            <w:shd w:val="clear" w:color="auto" w:fill="auto"/>
            <w:noWrap/>
            <w:vAlign w:val="center"/>
            <w:hideMark/>
          </w:tcPr>
          <w:p w14:paraId="7588BDE5" w14:textId="77777777" w:rsidR="00590FE1" w:rsidRPr="001D5327" w:rsidRDefault="00590FE1" w:rsidP="00403787">
            <w:pPr>
              <w:pStyle w:val="TableText"/>
              <w:spacing w:before="30" w:after="30"/>
              <w:rPr>
                <w:rFonts w:cs="Calibri"/>
                <w:szCs w:val="16"/>
              </w:rPr>
            </w:pPr>
            <w:r w:rsidRPr="001D5327">
              <w:rPr>
                <w:rFonts w:cs="Calibri"/>
                <w:szCs w:val="16"/>
              </w:rPr>
              <w:t>4</w:t>
            </w:r>
          </w:p>
        </w:tc>
        <w:tc>
          <w:tcPr>
            <w:tcW w:w="3224" w:type="dxa"/>
            <w:tcBorders>
              <w:top w:val="single" w:sz="4" w:space="0" w:color="1B556B" w:themeColor="text2"/>
              <w:left w:val="nil"/>
              <w:bottom w:val="nil"/>
              <w:right w:val="nil"/>
            </w:tcBorders>
            <w:shd w:val="clear" w:color="auto" w:fill="auto"/>
            <w:vAlign w:val="center"/>
            <w:hideMark/>
          </w:tcPr>
          <w:p w14:paraId="19E9EEA2" w14:textId="77777777" w:rsidR="00590FE1" w:rsidRPr="001D5327" w:rsidRDefault="00590FE1" w:rsidP="00403787">
            <w:pPr>
              <w:pStyle w:val="TableText"/>
              <w:spacing w:before="30" w:after="30"/>
              <w:rPr>
                <w:rFonts w:cs="Calibri"/>
                <w:szCs w:val="16"/>
              </w:rPr>
            </w:pPr>
            <w:r w:rsidRPr="001D5327">
              <w:rPr>
                <w:rFonts w:cs="Calibri"/>
                <w:szCs w:val="16"/>
              </w:rPr>
              <w:t>Poultry</w:t>
            </w:r>
          </w:p>
        </w:tc>
        <w:tc>
          <w:tcPr>
            <w:tcW w:w="828" w:type="dxa"/>
            <w:tcBorders>
              <w:top w:val="single" w:sz="4" w:space="0" w:color="1B556B" w:themeColor="text2"/>
              <w:left w:val="nil"/>
              <w:bottom w:val="nil"/>
              <w:right w:val="nil"/>
            </w:tcBorders>
            <w:shd w:val="clear" w:color="auto" w:fill="auto"/>
            <w:noWrap/>
            <w:vAlign w:val="center"/>
            <w:hideMark/>
          </w:tcPr>
          <w:p w14:paraId="3E747AD1" w14:textId="77777777" w:rsidR="00590FE1" w:rsidRPr="001D5327" w:rsidRDefault="00590FE1" w:rsidP="00403787">
            <w:pPr>
              <w:pStyle w:val="TableText"/>
              <w:spacing w:before="30" w:after="30"/>
              <w:rPr>
                <w:rFonts w:cs="Calibri"/>
                <w:szCs w:val="16"/>
              </w:rPr>
            </w:pPr>
            <w:r w:rsidRPr="001D5327">
              <w:rPr>
                <w:rFonts w:cs="Calibri"/>
                <w:szCs w:val="16"/>
              </w:rPr>
              <w:t>T1</w:t>
            </w:r>
          </w:p>
        </w:tc>
        <w:tc>
          <w:tcPr>
            <w:tcW w:w="828" w:type="dxa"/>
            <w:tcBorders>
              <w:top w:val="single" w:sz="4" w:space="0" w:color="1B556B" w:themeColor="text2"/>
              <w:left w:val="nil"/>
              <w:bottom w:val="nil"/>
              <w:right w:val="nil"/>
            </w:tcBorders>
            <w:shd w:val="clear" w:color="auto" w:fill="auto"/>
            <w:noWrap/>
            <w:vAlign w:val="center"/>
            <w:hideMark/>
          </w:tcPr>
          <w:p w14:paraId="15988616" w14:textId="77777777" w:rsidR="00590FE1" w:rsidRPr="001D5327" w:rsidRDefault="00590FE1" w:rsidP="00403787">
            <w:pPr>
              <w:pStyle w:val="TableText"/>
              <w:spacing w:before="30" w:after="30"/>
              <w:rPr>
                <w:rFonts w:cs="Calibri"/>
                <w:szCs w:val="16"/>
              </w:rPr>
            </w:pPr>
            <w:r w:rsidRPr="001D5327">
              <w:rPr>
                <w:rFonts w:cs="Calibri"/>
                <w:szCs w:val="16"/>
              </w:rPr>
              <w:t>D</w:t>
            </w:r>
          </w:p>
        </w:tc>
        <w:tc>
          <w:tcPr>
            <w:tcW w:w="829" w:type="dxa"/>
            <w:tcBorders>
              <w:top w:val="single" w:sz="4" w:space="0" w:color="1B556B" w:themeColor="text2"/>
              <w:left w:val="nil"/>
              <w:bottom w:val="nil"/>
              <w:right w:val="nil"/>
            </w:tcBorders>
            <w:shd w:val="clear" w:color="auto" w:fill="auto"/>
            <w:noWrap/>
            <w:vAlign w:val="center"/>
            <w:hideMark/>
          </w:tcPr>
          <w:p w14:paraId="175CAB86" w14:textId="77777777" w:rsidR="00590FE1" w:rsidRPr="001D5327" w:rsidRDefault="00590FE1" w:rsidP="00403787">
            <w:pPr>
              <w:pStyle w:val="TableText"/>
              <w:spacing w:before="30" w:after="30"/>
              <w:rPr>
                <w:rFonts w:cs="Calibri"/>
                <w:szCs w:val="16"/>
              </w:rPr>
            </w:pPr>
            <w:r w:rsidRPr="001D5327">
              <w:rPr>
                <w:rFonts w:cs="Calibri"/>
                <w:szCs w:val="16"/>
              </w:rPr>
              <w:t>T1</w:t>
            </w:r>
          </w:p>
        </w:tc>
        <w:tc>
          <w:tcPr>
            <w:tcW w:w="828" w:type="dxa"/>
            <w:tcBorders>
              <w:top w:val="single" w:sz="4" w:space="0" w:color="1B556B" w:themeColor="text2"/>
              <w:left w:val="nil"/>
              <w:bottom w:val="nil"/>
              <w:right w:val="nil"/>
            </w:tcBorders>
            <w:shd w:val="clear" w:color="auto" w:fill="auto"/>
            <w:noWrap/>
            <w:vAlign w:val="center"/>
            <w:hideMark/>
          </w:tcPr>
          <w:p w14:paraId="592CE9A0" w14:textId="77777777" w:rsidR="00590FE1" w:rsidRPr="001D5327" w:rsidRDefault="00590FE1" w:rsidP="00403787">
            <w:pPr>
              <w:pStyle w:val="TableText"/>
              <w:spacing w:before="30" w:after="30"/>
              <w:rPr>
                <w:rFonts w:cs="Calibri"/>
                <w:szCs w:val="16"/>
              </w:rPr>
            </w:pPr>
            <w:r w:rsidRPr="001D5327">
              <w:rPr>
                <w:rFonts w:cs="Calibri"/>
                <w:szCs w:val="16"/>
              </w:rPr>
              <w:t>CS</w:t>
            </w:r>
          </w:p>
        </w:tc>
        <w:tc>
          <w:tcPr>
            <w:tcW w:w="828" w:type="dxa"/>
            <w:tcBorders>
              <w:top w:val="single" w:sz="4" w:space="0" w:color="1B556B" w:themeColor="text2"/>
              <w:left w:val="nil"/>
              <w:bottom w:val="nil"/>
              <w:right w:val="nil"/>
            </w:tcBorders>
            <w:shd w:val="clear" w:color="auto" w:fill="auto"/>
            <w:noWrap/>
            <w:vAlign w:val="center"/>
            <w:hideMark/>
          </w:tcPr>
          <w:p w14:paraId="2B0B96F0" w14:textId="51CDCEAD"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9" w:type="dxa"/>
            <w:tcBorders>
              <w:top w:val="single" w:sz="4" w:space="0" w:color="1B556B" w:themeColor="text2"/>
              <w:left w:val="nil"/>
              <w:bottom w:val="nil"/>
              <w:right w:val="nil"/>
            </w:tcBorders>
            <w:shd w:val="clear" w:color="auto" w:fill="auto"/>
            <w:noWrap/>
            <w:vAlign w:val="center"/>
            <w:hideMark/>
          </w:tcPr>
          <w:p w14:paraId="76AA39AB" w14:textId="1B10D24A"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r>
      <w:tr w:rsidR="00590FE1" w:rsidRPr="001D5327" w14:paraId="1444F2D7" w14:textId="77777777" w:rsidTr="00403787">
        <w:tc>
          <w:tcPr>
            <w:tcW w:w="320" w:type="dxa"/>
            <w:vMerge/>
            <w:vAlign w:val="center"/>
            <w:hideMark/>
          </w:tcPr>
          <w:p w14:paraId="12B9E19C" w14:textId="77777777" w:rsidR="00590FE1" w:rsidRPr="001D5327" w:rsidRDefault="00590FE1" w:rsidP="00403787">
            <w:pPr>
              <w:pStyle w:val="TableText"/>
              <w:spacing w:before="30" w:after="30"/>
              <w:rPr>
                <w:rFonts w:cs="Calibri"/>
                <w:szCs w:val="16"/>
              </w:rPr>
            </w:pPr>
          </w:p>
        </w:tc>
        <w:tc>
          <w:tcPr>
            <w:tcW w:w="3224" w:type="dxa"/>
            <w:tcBorders>
              <w:top w:val="nil"/>
              <w:left w:val="nil"/>
              <w:bottom w:val="single" w:sz="4" w:space="0" w:color="1B556B" w:themeColor="text2"/>
              <w:right w:val="nil"/>
            </w:tcBorders>
            <w:shd w:val="clear" w:color="auto" w:fill="auto"/>
            <w:vAlign w:val="center"/>
            <w:hideMark/>
          </w:tcPr>
          <w:p w14:paraId="0010D4E6" w14:textId="77777777" w:rsidR="00590FE1" w:rsidRPr="001D5327" w:rsidRDefault="00590FE1" w:rsidP="00403787">
            <w:pPr>
              <w:pStyle w:val="TableText"/>
              <w:spacing w:before="30" w:after="30"/>
              <w:rPr>
                <w:rFonts w:cs="Calibri"/>
              </w:rPr>
            </w:pPr>
            <w:r w:rsidRPr="001D5327">
              <w:rPr>
                <w:rFonts w:cs="Calibri"/>
              </w:rPr>
              <w:t>Other Livestock (Camels, Deer, Goats, Horses, Mules and Asses)</w:t>
            </w:r>
          </w:p>
        </w:tc>
        <w:tc>
          <w:tcPr>
            <w:tcW w:w="828" w:type="dxa"/>
            <w:tcBorders>
              <w:top w:val="nil"/>
              <w:left w:val="nil"/>
              <w:bottom w:val="single" w:sz="4" w:space="0" w:color="1B556B" w:themeColor="text2"/>
              <w:right w:val="nil"/>
            </w:tcBorders>
            <w:shd w:val="clear" w:color="auto" w:fill="auto"/>
            <w:noWrap/>
            <w:vAlign w:val="center"/>
            <w:hideMark/>
          </w:tcPr>
          <w:p w14:paraId="20C42A03" w14:textId="77777777" w:rsidR="00590FE1" w:rsidRPr="001D5327" w:rsidRDefault="00590FE1" w:rsidP="00403787">
            <w:pPr>
              <w:pStyle w:val="TableText"/>
              <w:spacing w:before="30" w:after="30"/>
              <w:rPr>
                <w:rFonts w:cs="Calibri"/>
                <w:szCs w:val="16"/>
              </w:rPr>
            </w:pPr>
            <w:r w:rsidRPr="001D5327">
              <w:rPr>
                <w:rFonts w:cs="Calibri"/>
                <w:szCs w:val="16"/>
              </w:rPr>
              <w:t>T1, T2</w:t>
            </w:r>
          </w:p>
        </w:tc>
        <w:tc>
          <w:tcPr>
            <w:tcW w:w="828" w:type="dxa"/>
            <w:tcBorders>
              <w:top w:val="nil"/>
              <w:left w:val="nil"/>
              <w:bottom w:val="single" w:sz="4" w:space="0" w:color="1B556B" w:themeColor="text2"/>
              <w:right w:val="nil"/>
            </w:tcBorders>
            <w:shd w:val="clear" w:color="auto" w:fill="auto"/>
            <w:noWrap/>
            <w:vAlign w:val="center"/>
            <w:hideMark/>
          </w:tcPr>
          <w:p w14:paraId="208C803F" w14:textId="77777777" w:rsidR="00590FE1" w:rsidRPr="001D5327" w:rsidRDefault="00590FE1" w:rsidP="00403787">
            <w:pPr>
              <w:pStyle w:val="TableText"/>
              <w:spacing w:before="30" w:after="30"/>
              <w:rPr>
                <w:rFonts w:cs="Calibri"/>
                <w:szCs w:val="16"/>
              </w:rPr>
            </w:pPr>
            <w:r w:rsidRPr="001D5327">
              <w:rPr>
                <w:rFonts w:cs="Calibri"/>
                <w:szCs w:val="16"/>
              </w:rPr>
              <w:t>CS, D</w:t>
            </w:r>
          </w:p>
        </w:tc>
        <w:tc>
          <w:tcPr>
            <w:tcW w:w="829" w:type="dxa"/>
            <w:tcBorders>
              <w:top w:val="nil"/>
              <w:left w:val="nil"/>
              <w:bottom w:val="single" w:sz="4" w:space="0" w:color="1B556B" w:themeColor="text2"/>
              <w:right w:val="nil"/>
            </w:tcBorders>
            <w:shd w:val="clear" w:color="auto" w:fill="auto"/>
            <w:noWrap/>
            <w:vAlign w:val="center"/>
            <w:hideMark/>
          </w:tcPr>
          <w:p w14:paraId="4920B91E" w14:textId="77777777" w:rsidR="00590FE1" w:rsidRPr="001D5327" w:rsidRDefault="00590FE1" w:rsidP="00403787">
            <w:pPr>
              <w:pStyle w:val="TableText"/>
              <w:spacing w:before="30" w:after="30"/>
              <w:rPr>
                <w:rFonts w:cs="Calibri"/>
                <w:szCs w:val="16"/>
              </w:rPr>
            </w:pPr>
            <w:r w:rsidRPr="001D5327">
              <w:rPr>
                <w:rFonts w:cs="Calibri"/>
                <w:szCs w:val="16"/>
              </w:rPr>
              <w:t>NA</w:t>
            </w:r>
          </w:p>
        </w:tc>
        <w:tc>
          <w:tcPr>
            <w:tcW w:w="828" w:type="dxa"/>
            <w:tcBorders>
              <w:top w:val="nil"/>
              <w:left w:val="nil"/>
              <w:bottom w:val="single" w:sz="4" w:space="0" w:color="1B556B" w:themeColor="text2"/>
              <w:right w:val="nil"/>
            </w:tcBorders>
            <w:shd w:val="clear" w:color="auto" w:fill="auto"/>
            <w:noWrap/>
            <w:vAlign w:val="center"/>
            <w:hideMark/>
          </w:tcPr>
          <w:p w14:paraId="076A91A3" w14:textId="77777777" w:rsidR="00590FE1" w:rsidRPr="001D5327" w:rsidRDefault="00590FE1" w:rsidP="00403787">
            <w:pPr>
              <w:pStyle w:val="TableText"/>
              <w:spacing w:before="30" w:after="30"/>
              <w:rPr>
                <w:rFonts w:cs="Calibri"/>
                <w:szCs w:val="16"/>
              </w:rPr>
            </w:pPr>
            <w:r w:rsidRPr="001D5327">
              <w:rPr>
                <w:rFonts w:cs="Calibri"/>
                <w:szCs w:val="16"/>
              </w:rPr>
              <w:t>NA</w:t>
            </w:r>
          </w:p>
        </w:tc>
        <w:tc>
          <w:tcPr>
            <w:tcW w:w="828" w:type="dxa"/>
            <w:tcBorders>
              <w:top w:val="nil"/>
              <w:left w:val="nil"/>
              <w:bottom w:val="single" w:sz="4" w:space="0" w:color="1B556B" w:themeColor="text2"/>
              <w:right w:val="nil"/>
            </w:tcBorders>
            <w:shd w:val="clear" w:color="auto" w:fill="auto"/>
            <w:noWrap/>
            <w:vAlign w:val="center"/>
            <w:hideMark/>
          </w:tcPr>
          <w:p w14:paraId="1E61D69C" w14:textId="53FCBEF7"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9" w:type="dxa"/>
            <w:tcBorders>
              <w:top w:val="nil"/>
              <w:left w:val="nil"/>
              <w:bottom w:val="single" w:sz="4" w:space="0" w:color="1B556B" w:themeColor="text2"/>
              <w:right w:val="nil"/>
            </w:tcBorders>
            <w:shd w:val="clear" w:color="auto" w:fill="auto"/>
            <w:noWrap/>
            <w:vAlign w:val="center"/>
            <w:hideMark/>
          </w:tcPr>
          <w:p w14:paraId="2A72E196" w14:textId="2E18B179"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r>
      <w:tr w:rsidR="00590FE1" w:rsidRPr="001D5327" w14:paraId="31F973F8" w14:textId="77777777" w:rsidTr="00403787">
        <w:tc>
          <w:tcPr>
            <w:tcW w:w="320" w:type="dxa"/>
            <w:tcBorders>
              <w:top w:val="single" w:sz="4" w:space="0" w:color="1B556B" w:themeColor="text2"/>
              <w:left w:val="nil"/>
              <w:bottom w:val="single" w:sz="4" w:space="0" w:color="1B556B" w:themeColor="text2"/>
              <w:right w:val="nil"/>
            </w:tcBorders>
            <w:shd w:val="clear" w:color="auto" w:fill="auto"/>
            <w:noWrap/>
            <w:vAlign w:val="center"/>
            <w:hideMark/>
          </w:tcPr>
          <w:p w14:paraId="3424D030" w14:textId="77777777" w:rsidR="00590FE1" w:rsidRPr="001D5327" w:rsidRDefault="00590FE1" w:rsidP="00403787">
            <w:pPr>
              <w:pStyle w:val="TableText"/>
              <w:spacing w:before="30" w:after="30"/>
              <w:rPr>
                <w:rFonts w:cs="Calibri"/>
                <w:b/>
                <w:bCs/>
                <w:szCs w:val="16"/>
              </w:rPr>
            </w:pPr>
            <w:r w:rsidRPr="001D5327">
              <w:rPr>
                <w:rFonts w:cs="Calibri"/>
                <w:b/>
                <w:bCs/>
                <w:szCs w:val="16"/>
              </w:rPr>
              <w:t>C</w:t>
            </w:r>
          </w:p>
        </w:tc>
        <w:tc>
          <w:tcPr>
            <w:tcW w:w="3224" w:type="dxa"/>
            <w:tcBorders>
              <w:top w:val="single" w:sz="4" w:space="0" w:color="1B556B" w:themeColor="text2"/>
              <w:left w:val="nil"/>
              <w:bottom w:val="single" w:sz="4" w:space="0" w:color="1B556B" w:themeColor="text2"/>
              <w:right w:val="nil"/>
            </w:tcBorders>
            <w:shd w:val="clear" w:color="auto" w:fill="auto"/>
            <w:vAlign w:val="center"/>
            <w:hideMark/>
          </w:tcPr>
          <w:p w14:paraId="0353901E" w14:textId="77777777" w:rsidR="00590FE1" w:rsidRPr="001D5327" w:rsidRDefault="00590FE1" w:rsidP="00403787">
            <w:pPr>
              <w:pStyle w:val="TableText"/>
              <w:spacing w:before="30" w:after="30"/>
              <w:rPr>
                <w:rFonts w:cs="Calibri"/>
                <w:b/>
                <w:bCs/>
                <w:szCs w:val="16"/>
              </w:rPr>
            </w:pPr>
            <w:r w:rsidRPr="001D5327">
              <w:rPr>
                <w:rFonts w:cs="Calibri"/>
                <w:b/>
                <w:bCs/>
                <w:szCs w:val="16"/>
              </w:rPr>
              <w:t>Rice Cultivation</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37CC77BC" w14:textId="77777777" w:rsidR="00590FE1" w:rsidRPr="001D5327" w:rsidRDefault="00590FE1" w:rsidP="00403787">
            <w:pPr>
              <w:pStyle w:val="TableText"/>
              <w:spacing w:before="30" w:after="30"/>
              <w:rPr>
                <w:rFonts w:cs="Calibri"/>
                <w:szCs w:val="16"/>
              </w:rPr>
            </w:pPr>
            <w:r w:rsidRPr="001D5327">
              <w:rPr>
                <w:rFonts w:cs="Calibri"/>
                <w:szCs w:val="16"/>
              </w:rPr>
              <w:t>NA</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3A1A40EA" w14:textId="77777777" w:rsidR="00590FE1" w:rsidRPr="001D5327" w:rsidRDefault="00590FE1" w:rsidP="00403787">
            <w:pPr>
              <w:pStyle w:val="TableText"/>
              <w:spacing w:before="30" w:after="30"/>
              <w:rPr>
                <w:rFonts w:cs="Calibri"/>
                <w:szCs w:val="16"/>
              </w:rPr>
            </w:pPr>
            <w:r w:rsidRPr="001D5327">
              <w:rPr>
                <w:rFonts w:cs="Calibri"/>
                <w:szCs w:val="16"/>
              </w:rPr>
              <w:t>NA</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1C3924C8" w14:textId="067CF14A"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5744C2FA" w14:textId="20902CC9"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03F8E51D" w14:textId="2BFE7600"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7E7A3969" w14:textId="47BD32E0"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r>
      <w:tr w:rsidR="00590FE1" w:rsidRPr="001D5327" w14:paraId="7A94253C" w14:textId="77777777" w:rsidTr="00403787">
        <w:tc>
          <w:tcPr>
            <w:tcW w:w="320" w:type="dxa"/>
            <w:tcBorders>
              <w:top w:val="single" w:sz="4" w:space="0" w:color="1B556B" w:themeColor="text2"/>
              <w:left w:val="nil"/>
              <w:bottom w:val="single" w:sz="4" w:space="0" w:color="1B556B" w:themeColor="text2"/>
              <w:right w:val="nil"/>
            </w:tcBorders>
            <w:shd w:val="clear" w:color="auto" w:fill="auto"/>
            <w:noWrap/>
            <w:vAlign w:val="center"/>
            <w:hideMark/>
          </w:tcPr>
          <w:p w14:paraId="49E2D0A1" w14:textId="77777777" w:rsidR="00590FE1" w:rsidRPr="001D5327" w:rsidRDefault="00590FE1" w:rsidP="00403787">
            <w:pPr>
              <w:pStyle w:val="TableText"/>
              <w:spacing w:before="30" w:after="30"/>
              <w:rPr>
                <w:rFonts w:cs="Calibri"/>
                <w:b/>
                <w:bCs/>
                <w:szCs w:val="16"/>
              </w:rPr>
            </w:pPr>
            <w:r w:rsidRPr="001D5327">
              <w:rPr>
                <w:rFonts w:cs="Calibri"/>
                <w:b/>
                <w:bCs/>
                <w:szCs w:val="16"/>
              </w:rPr>
              <w:t>D</w:t>
            </w:r>
          </w:p>
        </w:tc>
        <w:tc>
          <w:tcPr>
            <w:tcW w:w="3224" w:type="dxa"/>
            <w:tcBorders>
              <w:top w:val="single" w:sz="4" w:space="0" w:color="1B556B" w:themeColor="text2"/>
              <w:left w:val="nil"/>
              <w:bottom w:val="single" w:sz="4" w:space="0" w:color="1B556B" w:themeColor="text2"/>
              <w:right w:val="nil"/>
            </w:tcBorders>
            <w:shd w:val="clear" w:color="auto" w:fill="auto"/>
            <w:vAlign w:val="center"/>
            <w:hideMark/>
          </w:tcPr>
          <w:p w14:paraId="1D6A7AAB" w14:textId="77777777" w:rsidR="00590FE1" w:rsidRPr="001D5327" w:rsidRDefault="00590FE1" w:rsidP="00403787">
            <w:pPr>
              <w:pStyle w:val="TableText"/>
              <w:spacing w:before="30" w:after="30"/>
              <w:rPr>
                <w:rFonts w:cs="Calibri"/>
                <w:b/>
                <w:bCs/>
                <w:szCs w:val="16"/>
              </w:rPr>
            </w:pPr>
            <w:r w:rsidRPr="001D5327">
              <w:rPr>
                <w:rFonts w:cs="Calibri"/>
                <w:b/>
                <w:bCs/>
                <w:szCs w:val="16"/>
              </w:rPr>
              <w:t>Agricultural Soils</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18F0C538"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67CAB9AD"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674214DC"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6D273527"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142F1554" w14:textId="77777777" w:rsidR="00590FE1" w:rsidRPr="00C817BE" w:rsidRDefault="00590FE1" w:rsidP="00403787">
            <w:pPr>
              <w:pStyle w:val="TableText"/>
              <w:spacing w:before="30" w:after="30"/>
              <w:rPr>
                <w:rFonts w:cs="Calibri"/>
                <w:color w:val="FFFFFF"/>
                <w:szCs w:val="16"/>
              </w:rPr>
            </w:pPr>
            <w:r w:rsidRPr="00C817BE">
              <w:rPr>
                <w:rFonts w:cs="Calibri"/>
                <w:color w:val="FFFFFF"/>
                <w:szCs w:val="16"/>
              </w:rPr>
              <w:t>-</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6D51EA3D" w14:textId="77777777" w:rsidR="00590FE1" w:rsidRPr="00C817BE" w:rsidRDefault="00590FE1" w:rsidP="00403787">
            <w:pPr>
              <w:pStyle w:val="TableText"/>
              <w:spacing w:before="30" w:after="30"/>
              <w:rPr>
                <w:rFonts w:cs="Calibri"/>
                <w:color w:val="FFFFFF"/>
                <w:szCs w:val="16"/>
              </w:rPr>
            </w:pPr>
            <w:r w:rsidRPr="00C817BE">
              <w:rPr>
                <w:rFonts w:cs="Calibri"/>
                <w:color w:val="FFFFFF"/>
                <w:szCs w:val="16"/>
              </w:rPr>
              <w:t>-</w:t>
            </w:r>
          </w:p>
        </w:tc>
      </w:tr>
      <w:tr w:rsidR="00590FE1" w:rsidRPr="001D5327" w14:paraId="61F67FB0" w14:textId="77777777" w:rsidTr="00403787">
        <w:tc>
          <w:tcPr>
            <w:tcW w:w="320" w:type="dxa"/>
            <w:vMerge w:val="restart"/>
            <w:tcBorders>
              <w:top w:val="single" w:sz="4" w:space="0" w:color="1B556B" w:themeColor="text2"/>
              <w:left w:val="nil"/>
              <w:right w:val="nil"/>
            </w:tcBorders>
            <w:shd w:val="clear" w:color="auto" w:fill="auto"/>
            <w:noWrap/>
            <w:vAlign w:val="center"/>
            <w:hideMark/>
          </w:tcPr>
          <w:p w14:paraId="20657166" w14:textId="77777777" w:rsidR="00590FE1" w:rsidRPr="001D5327" w:rsidRDefault="00590FE1" w:rsidP="00403787">
            <w:pPr>
              <w:pStyle w:val="TableText"/>
              <w:spacing w:before="30" w:after="30"/>
              <w:rPr>
                <w:rFonts w:cs="Calibri"/>
                <w:szCs w:val="16"/>
              </w:rPr>
            </w:pPr>
            <w:r w:rsidRPr="001D5327">
              <w:rPr>
                <w:rFonts w:cs="Calibri"/>
                <w:szCs w:val="16"/>
              </w:rPr>
              <w:t>1</w:t>
            </w:r>
          </w:p>
        </w:tc>
        <w:tc>
          <w:tcPr>
            <w:tcW w:w="3224" w:type="dxa"/>
            <w:tcBorders>
              <w:top w:val="single" w:sz="4" w:space="0" w:color="1B556B" w:themeColor="text2"/>
              <w:left w:val="nil"/>
              <w:bottom w:val="nil"/>
              <w:right w:val="nil"/>
            </w:tcBorders>
            <w:shd w:val="clear" w:color="auto" w:fill="auto"/>
            <w:vAlign w:val="center"/>
            <w:hideMark/>
          </w:tcPr>
          <w:p w14:paraId="6EBC209B" w14:textId="77777777" w:rsidR="00590FE1" w:rsidRPr="001D5327" w:rsidRDefault="00590FE1" w:rsidP="00403787">
            <w:pPr>
              <w:pStyle w:val="TableText"/>
              <w:spacing w:before="30" w:after="30"/>
              <w:rPr>
                <w:rFonts w:cs="Calibri"/>
                <w:szCs w:val="16"/>
              </w:rPr>
            </w:pPr>
            <w:r w:rsidRPr="001D5327">
              <w:rPr>
                <w:rFonts w:cs="Calibri"/>
                <w:szCs w:val="16"/>
              </w:rPr>
              <w:t xml:space="preserve">Direct Emissions </w:t>
            </w:r>
          </w:p>
        </w:tc>
        <w:tc>
          <w:tcPr>
            <w:tcW w:w="828" w:type="dxa"/>
            <w:tcBorders>
              <w:top w:val="single" w:sz="4" w:space="0" w:color="1B556B" w:themeColor="text2"/>
              <w:left w:val="nil"/>
              <w:bottom w:val="nil"/>
              <w:right w:val="nil"/>
            </w:tcBorders>
            <w:shd w:val="clear" w:color="auto" w:fill="auto"/>
            <w:noWrap/>
            <w:vAlign w:val="center"/>
            <w:hideMark/>
          </w:tcPr>
          <w:p w14:paraId="423BD03F"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single" w:sz="4" w:space="0" w:color="1B556B" w:themeColor="text2"/>
              <w:left w:val="nil"/>
              <w:bottom w:val="nil"/>
              <w:right w:val="nil"/>
            </w:tcBorders>
            <w:shd w:val="clear" w:color="auto" w:fill="auto"/>
            <w:noWrap/>
            <w:vAlign w:val="center"/>
            <w:hideMark/>
          </w:tcPr>
          <w:p w14:paraId="0BB0D722"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9" w:type="dxa"/>
            <w:tcBorders>
              <w:top w:val="single" w:sz="4" w:space="0" w:color="1B556B" w:themeColor="text2"/>
              <w:left w:val="nil"/>
              <w:bottom w:val="nil"/>
              <w:right w:val="nil"/>
            </w:tcBorders>
            <w:shd w:val="clear" w:color="auto" w:fill="auto"/>
            <w:noWrap/>
            <w:vAlign w:val="center"/>
            <w:hideMark/>
          </w:tcPr>
          <w:p w14:paraId="1A39E974"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single" w:sz="4" w:space="0" w:color="1B556B" w:themeColor="text2"/>
              <w:left w:val="nil"/>
              <w:bottom w:val="nil"/>
              <w:right w:val="nil"/>
            </w:tcBorders>
            <w:shd w:val="clear" w:color="auto" w:fill="auto"/>
            <w:noWrap/>
            <w:vAlign w:val="center"/>
            <w:hideMark/>
          </w:tcPr>
          <w:p w14:paraId="3ABDC029"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single" w:sz="4" w:space="0" w:color="1B556B" w:themeColor="text2"/>
              <w:left w:val="nil"/>
              <w:bottom w:val="nil"/>
              <w:right w:val="nil"/>
            </w:tcBorders>
            <w:shd w:val="clear" w:color="auto" w:fill="auto"/>
            <w:noWrap/>
            <w:vAlign w:val="center"/>
            <w:hideMark/>
          </w:tcPr>
          <w:p w14:paraId="1C81C781" w14:textId="77777777" w:rsidR="00590FE1" w:rsidRPr="00C817BE" w:rsidRDefault="00590FE1" w:rsidP="00403787">
            <w:pPr>
              <w:pStyle w:val="TableText"/>
              <w:spacing w:before="30" w:after="30"/>
              <w:rPr>
                <w:rFonts w:cs="Calibri"/>
                <w:color w:val="FFFFFF"/>
                <w:szCs w:val="16"/>
              </w:rPr>
            </w:pPr>
            <w:r w:rsidRPr="00C817BE">
              <w:rPr>
                <w:rFonts w:cs="Calibri"/>
                <w:color w:val="FFFFFF"/>
                <w:szCs w:val="16"/>
              </w:rPr>
              <w:t>-</w:t>
            </w:r>
          </w:p>
        </w:tc>
        <w:tc>
          <w:tcPr>
            <w:tcW w:w="829" w:type="dxa"/>
            <w:tcBorders>
              <w:top w:val="single" w:sz="4" w:space="0" w:color="1B556B" w:themeColor="text2"/>
              <w:left w:val="nil"/>
              <w:bottom w:val="nil"/>
              <w:right w:val="nil"/>
            </w:tcBorders>
            <w:shd w:val="clear" w:color="auto" w:fill="auto"/>
            <w:noWrap/>
            <w:vAlign w:val="center"/>
            <w:hideMark/>
          </w:tcPr>
          <w:p w14:paraId="39CF54D7" w14:textId="77777777" w:rsidR="00590FE1" w:rsidRPr="00C817BE" w:rsidRDefault="00590FE1" w:rsidP="00403787">
            <w:pPr>
              <w:pStyle w:val="TableText"/>
              <w:spacing w:before="30" w:after="30"/>
              <w:rPr>
                <w:rFonts w:cs="Calibri"/>
                <w:color w:val="FFFFFF"/>
                <w:szCs w:val="16"/>
              </w:rPr>
            </w:pPr>
            <w:r w:rsidRPr="00C817BE">
              <w:rPr>
                <w:rFonts w:cs="Calibri"/>
                <w:color w:val="FFFFFF"/>
                <w:szCs w:val="16"/>
              </w:rPr>
              <w:t>-</w:t>
            </w:r>
          </w:p>
        </w:tc>
      </w:tr>
      <w:tr w:rsidR="00590FE1" w:rsidRPr="001D5327" w14:paraId="6061FEB4" w14:textId="77777777" w:rsidTr="00403787">
        <w:tc>
          <w:tcPr>
            <w:tcW w:w="320" w:type="dxa"/>
            <w:vMerge/>
            <w:vAlign w:val="center"/>
            <w:hideMark/>
          </w:tcPr>
          <w:p w14:paraId="488D7CFF" w14:textId="77777777" w:rsidR="00590FE1" w:rsidRPr="001D5327" w:rsidRDefault="00590FE1" w:rsidP="00403787">
            <w:pPr>
              <w:pStyle w:val="TableText"/>
              <w:spacing w:before="30" w:after="30"/>
              <w:rPr>
                <w:rFonts w:cs="Calibri"/>
                <w:szCs w:val="16"/>
              </w:rPr>
            </w:pPr>
          </w:p>
        </w:tc>
        <w:tc>
          <w:tcPr>
            <w:tcW w:w="3224" w:type="dxa"/>
            <w:tcBorders>
              <w:top w:val="nil"/>
              <w:left w:val="nil"/>
              <w:bottom w:val="nil"/>
              <w:right w:val="nil"/>
            </w:tcBorders>
            <w:shd w:val="clear" w:color="auto" w:fill="auto"/>
            <w:vAlign w:val="center"/>
            <w:hideMark/>
          </w:tcPr>
          <w:p w14:paraId="7701185A" w14:textId="77777777" w:rsidR="00590FE1" w:rsidRPr="001D5327" w:rsidRDefault="00590FE1" w:rsidP="00403787">
            <w:pPr>
              <w:pStyle w:val="TableText"/>
              <w:spacing w:before="30" w:after="30"/>
              <w:rPr>
                <w:rFonts w:cs="Calibri"/>
                <w:szCs w:val="16"/>
              </w:rPr>
            </w:pPr>
            <w:r w:rsidRPr="001D5327">
              <w:rPr>
                <w:rFonts w:cs="Calibri"/>
                <w:szCs w:val="16"/>
              </w:rPr>
              <w:t>Synthetic Fertilisers</w:t>
            </w:r>
          </w:p>
        </w:tc>
        <w:tc>
          <w:tcPr>
            <w:tcW w:w="828" w:type="dxa"/>
            <w:tcBorders>
              <w:top w:val="nil"/>
              <w:left w:val="nil"/>
              <w:bottom w:val="nil"/>
              <w:right w:val="nil"/>
            </w:tcBorders>
            <w:shd w:val="clear" w:color="auto" w:fill="auto"/>
            <w:noWrap/>
            <w:vAlign w:val="center"/>
            <w:hideMark/>
          </w:tcPr>
          <w:p w14:paraId="00102D1C"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nil"/>
              <w:left w:val="nil"/>
              <w:bottom w:val="nil"/>
              <w:right w:val="nil"/>
            </w:tcBorders>
            <w:shd w:val="clear" w:color="auto" w:fill="auto"/>
            <w:noWrap/>
            <w:vAlign w:val="center"/>
            <w:hideMark/>
          </w:tcPr>
          <w:p w14:paraId="079F3AC1"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9" w:type="dxa"/>
            <w:tcBorders>
              <w:top w:val="nil"/>
              <w:left w:val="nil"/>
              <w:bottom w:val="nil"/>
              <w:right w:val="nil"/>
            </w:tcBorders>
            <w:shd w:val="clear" w:color="auto" w:fill="auto"/>
            <w:noWrap/>
            <w:vAlign w:val="center"/>
            <w:hideMark/>
          </w:tcPr>
          <w:p w14:paraId="029DBEB5" w14:textId="77777777" w:rsidR="00590FE1" w:rsidRPr="001D5327" w:rsidRDefault="00590FE1" w:rsidP="00403787">
            <w:pPr>
              <w:pStyle w:val="TableText"/>
              <w:spacing w:before="30" w:after="30"/>
              <w:rPr>
                <w:rFonts w:cs="Calibri"/>
                <w:szCs w:val="16"/>
              </w:rPr>
            </w:pPr>
            <w:hyperlink r:id="rId97" w:history="1">
              <w:r w:rsidRPr="001D5327">
                <w:rPr>
                  <w:rFonts w:cs="Calibri"/>
                  <w:szCs w:val="16"/>
                </w:rPr>
                <w:t>T2</w:t>
              </w:r>
            </w:hyperlink>
          </w:p>
        </w:tc>
        <w:tc>
          <w:tcPr>
            <w:tcW w:w="828" w:type="dxa"/>
            <w:tcBorders>
              <w:top w:val="nil"/>
              <w:left w:val="nil"/>
              <w:bottom w:val="nil"/>
              <w:right w:val="nil"/>
            </w:tcBorders>
            <w:shd w:val="clear" w:color="auto" w:fill="auto"/>
            <w:noWrap/>
            <w:vAlign w:val="center"/>
            <w:hideMark/>
          </w:tcPr>
          <w:p w14:paraId="78A9D68C" w14:textId="77777777" w:rsidR="00590FE1" w:rsidRPr="001D5327" w:rsidRDefault="00590FE1" w:rsidP="00403787">
            <w:pPr>
              <w:pStyle w:val="TableText"/>
              <w:spacing w:before="30" w:after="30"/>
              <w:rPr>
                <w:rFonts w:cs="Calibri"/>
                <w:szCs w:val="16"/>
              </w:rPr>
            </w:pPr>
            <w:r w:rsidRPr="001D5327">
              <w:rPr>
                <w:rFonts w:cs="Calibri"/>
                <w:szCs w:val="16"/>
              </w:rPr>
              <w:t>CS</w:t>
            </w:r>
          </w:p>
        </w:tc>
        <w:tc>
          <w:tcPr>
            <w:tcW w:w="828" w:type="dxa"/>
            <w:tcBorders>
              <w:top w:val="nil"/>
              <w:left w:val="nil"/>
              <w:bottom w:val="nil"/>
              <w:right w:val="nil"/>
            </w:tcBorders>
            <w:shd w:val="clear" w:color="auto" w:fill="auto"/>
            <w:noWrap/>
            <w:vAlign w:val="center"/>
            <w:hideMark/>
          </w:tcPr>
          <w:p w14:paraId="2698BABC" w14:textId="2C8CA4B3"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9" w:type="dxa"/>
            <w:tcBorders>
              <w:top w:val="nil"/>
              <w:left w:val="nil"/>
              <w:bottom w:val="nil"/>
              <w:right w:val="nil"/>
            </w:tcBorders>
            <w:shd w:val="clear" w:color="auto" w:fill="auto"/>
            <w:noWrap/>
            <w:vAlign w:val="center"/>
            <w:hideMark/>
          </w:tcPr>
          <w:p w14:paraId="4C4078AA" w14:textId="058C8E40"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r>
      <w:tr w:rsidR="00590FE1" w:rsidRPr="001D5327" w14:paraId="7D14E39C" w14:textId="77777777" w:rsidTr="00403787">
        <w:tc>
          <w:tcPr>
            <w:tcW w:w="320" w:type="dxa"/>
            <w:vMerge/>
            <w:vAlign w:val="center"/>
            <w:hideMark/>
          </w:tcPr>
          <w:p w14:paraId="2A751D47" w14:textId="77777777" w:rsidR="00590FE1" w:rsidRPr="001D5327" w:rsidRDefault="00590FE1" w:rsidP="00403787">
            <w:pPr>
              <w:pStyle w:val="TableText"/>
              <w:spacing w:before="30" w:after="30"/>
              <w:rPr>
                <w:rFonts w:cs="Calibri"/>
                <w:szCs w:val="16"/>
              </w:rPr>
            </w:pPr>
          </w:p>
        </w:tc>
        <w:tc>
          <w:tcPr>
            <w:tcW w:w="3224" w:type="dxa"/>
            <w:tcBorders>
              <w:top w:val="nil"/>
              <w:left w:val="nil"/>
              <w:bottom w:val="nil"/>
              <w:right w:val="nil"/>
            </w:tcBorders>
            <w:shd w:val="clear" w:color="auto" w:fill="auto"/>
            <w:vAlign w:val="center"/>
            <w:hideMark/>
          </w:tcPr>
          <w:p w14:paraId="69F0F71F" w14:textId="77777777" w:rsidR="00590FE1" w:rsidRPr="001D5327" w:rsidRDefault="00590FE1" w:rsidP="00403787">
            <w:pPr>
              <w:pStyle w:val="TableText"/>
              <w:spacing w:before="30" w:after="30"/>
              <w:rPr>
                <w:rFonts w:cs="Calibri"/>
                <w:szCs w:val="16"/>
              </w:rPr>
            </w:pPr>
            <w:r w:rsidRPr="001D5327">
              <w:rPr>
                <w:rFonts w:cs="Calibri"/>
                <w:szCs w:val="16"/>
              </w:rPr>
              <w:t>Animal Manure Applied to Soils</w:t>
            </w:r>
          </w:p>
        </w:tc>
        <w:tc>
          <w:tcPr>
            <w:tcW w:w="828" w:type="dxa"/>
            <w:tcBorders>
              <w:top w:val="nil"/>
              <w:left w:val="nil"/>
              <w:bottom w:val="nil"/>
              <w:right w:val="nil"/>
            </w:tcBorders>
            <w:shd w:val="clear" w:color="auto" w:fill="auto"/>
            <w:noWrap/>
            <w:vAlign w:val="center"/>
            <w:hideMark/>
          </w:tcPr>
          <w:p w14:paraId="5C45414B"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nil"/>
              <w:left w:val="nil"/>
              <w:bottom w:val="nil"/>
              <w:right w:val="nil"/>
            </w:tcBorders>
            <w:shd w:val="clear" w:color="auto" w:fill="auto"/>
            <w:noWrap/>
            <w:vAlign w:val="center"/>
            <w:hideMark/>
          </w:tcPr>
          <w:p w14:paraId="67E6BCB3"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9" w:type="dxa"/>
            <w:tcBorders>
              <w:top w:val="nil"/>
              <w:left w:val="nil"/>
              <w:bottom w:val="nil"/>
              <w:right w:val="nil"/>
            </w:tcBorders>
            <w:shd w:val="clear" w:color="auto" w:fill="auto"/>
            <w:noWrap/>
            <w:vAlign w:val="center"/>
            <w:hideMark/>
          </w:tcPr>
          <w:p w14:paraId="19E212CB" w14:textId="77777777" w:rsidR="00590FE1" w:rsidRPr="001D5327" w:rsidRDefault="00590FE1" w:rsidP="00403787">
            <w:pPr>
              <w:pStyle w:val="TableText"/>
              <w:spacing w:before="30" w:after="30"/>
              <w:rPr>
                <w:rFonts w:cs="Calibri"/>
                <w:szCs w:val="16"/>
              </w:rPr>
            </w:pPr>
            <w:r w:rsidRPr="001D5327">
              <w:rPr>
                <w:rFonts w:cs="Calibri"/>
                <w:szCs w:val="16"/>
              </w:rPr>
              <w:t>T1, T2</w:t>
            </w:r>
          </w:p>
        </w:tc>
        <w:tc>
          <w:tcPr>
            <w:tcW w:w="828" w:type="dxa"/>
            <w:tcBorders>
              <w:top w:val="nil"/>
              <w:left w:val="nil"/>
              <w:bottom w:val="nil"/>
              <w:right w:val="nil"/>
            </w:tcBorders>
            <w:shd w:val="clear" w:color="auto" w:fill="auto"/>
            <w:noWrap/>
            <w:vAlign w:val="center"/>
            <w:hideMark/>
          </w:tcPr>
          <w:p w14:paraId="10F7C194" w14:textId="77777777" w:rsidR="00590FE1" w:rsidRPr="001D5327" w:rsidRDefault="00590FE1" w:rsidP="00403787">
            <w:pPr>
              <w:pStyle w:val="TableText"/>
              <w:spacing w:before="30" w:after="30"/>
              <w:rPr>
                <w:rFonts w:cs="Calibri"/>
                <w:szCs w:val="16"/>
              </w:rPr>
            </w:pPr>
            <w:r w:rsidRPr="001D5327">
              <w:rPr>
                <w:rFonts w:cs="Calibri"/>
                <w:szCs w:val="16"/>
              </w:rPr>
              <w:t>CS</w:t>
            </w:r>
          </w:p>
        </w:tc>
        <w:tc>
          <w:tcPr>
            <w:tcW w:w="828" w:type="dxa"/>
            <w:tcBorders>
              <w:top w:val="nil"/>
              <w:left w:val="nil"/>
              <w:bottom w:val="nil"/>
              <w:right w:val="nil"/>
            </w:tcBorders>
            <w:shd w:val="clear" w:color="auto" w:fill="auto"/>
            <w:noWrap/>
            <w:vAlign w:val="center"/>
            <w:hideMark/>
          </w:tcPr>
          <w:p w14:paraId="0BC9F75A" w14:textId="52A2FA6C"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9" w:type="dxa"/>
            <w:tcBorders>
              <w:top w:val="nil"/>
              <w:left w:val="nil"/>
              <w:bottom w:val="nil"/>
              <w:right w:val="nil"/>
            </w:tcBorders>
            <w:shd w:val="clear" w:color="auto" w:fill="auto"/>
            <w:noWrap/>
            <w:vAlign w:val="center"/>
            <w:hideMark/>
          </w:tcPr>
          <w:p w14:paraId="5E22EE17" w14:textId="020690B6"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r>
      <w:tr w:rsidR="00590FE1" w:rsidRPr="001D5327" w14:paraId="2D231320" w14:textId="77777777" w:rsidTr="00403787">
        <w:tc>
          <w:tcPr>
            <w:tcW w:w="320" w:type="dxa"/>
            <w:vMerge/>
            <w:vAlign w:val="center"/>
            <w:hideMark/>
          </w:tcPr>
          <w:p w14:paraId="256CD029" w14:textId="77777777" w:rsidR="00590FE1" w:rsidRPr="001D5327" w:rsidRDefault="00590FE1" w:rsidP="00403787">
            <w:pPr>
              <w:pStyle w:val="TableText"/>
              <w:spacing w:before="30" w:after="30"/>
              <w:rPr>
                <w:rFonts w:cs="Calibri"/>
                <w:szCs w:val="16"/>
              </w:rPr>
            </w:pPr>
          </w:p>
        </w:tc>
        <w:tc>
          <w:tcPr>
            <w:tcW w:w="3224" w:type="dxa"/>
            <w:tcBorders>
              <w:top w:val="nil"/>
              <w:left w:val="nil"/>
              <w:bottom w:val="nil"/>
              <w:right w:val="nil"/>
            </w:tcBorders>
            <w:shd w:val="clear" w:color="auto" w:fill="auto"/>
            <w:vAlign w:val="center"/>
            <w:hideMark/>
          </w:tcPr>
          <w:p w14:paraId="5A7A6B5E" w14:textId="77777777" w:rsidR="00590FE1" w:rsidRPr="001D5327" w:rsidRDefault="00590FE1" w:rsidP="00403787">
            <w:pPr>
              <w:pStyle w:val="TableText"/>
              <w:spacing w:before="30" w:after="30"/>
              <w:rPr>
                <w:rFonts w:cs="Calibri"/>
                <w:szCs w:val="16"/>
              </w:rPr>
            </w:pPr>
            <w:r w:rsidRPr="001D5327">
              <w:rPr>
                <w:rFonts w:cs="Calibri"/>
                <w:szCs w:val="16"/>
              </w:rPr>
              <w:t>Sewage Sludge Applied to Soils</w:t>
            </w:r>
          </w:p>
        </w:tc>
        <w:tc>
          <w:tcPr>
            <w:tcW w:w="828" w:type="dxa"/>
            <w:tcBorders>
              <w:top w:val="nil"/>
              <w:left w:val="nil"/>
              <w:bottom w:val="nil"/>
              <w:right w:val="nil"/>
            </w:tcBorders>
            <w:shd w:val="clear" w:color="auto" w:fill="auto"/>
            <w:noWrap/>
            <w:vAlign w:val="center"/>
            <w:hideMark/>
          </w:tcPr>
          <w:p w14:paraId="2575D103"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nil"/>
              <w:left w:val="nil"/>
              <w:bottom w:val="nil"/>
              <w:right w:val="nil"/>
            </w:tcBorders>
            <w:shd w:val="clear" w:color="auto" w:fill="auto"/>
            <w:noWrap/>
            <w:vAlign w:val="center"/>
            <w:hideMark/>
          </w:tcPr>
          <w:p w14:paraId="33E02E17"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9" w:type="dxa"/>
            <w:tcBorders>
              <w:top w:val="nil"/>
              <w:left w:val="nil"/>
              <w:bottom w:val="nil"/>
              <w:right w:val="nil"/>
            </w:tcBorders>
            <w:shd w:val="clear" w:color="auto" w:fill="auto"/>
            <w:noWrap/>
            <w:vAlign w:val="center"/>
            <w:hideMark/>
          </w:tcPr>
          <w:p w14:paraId="3A550591" w14:textId="77777777" w:rsidR="00590FE1" w:rsidRPr="001D5327" w:rsidRDefault="00590FE1" w:rsidP="00403787">
            <w:pPr>
              <w:pStyle w:val="TableText"/>
              <w:spacing w:before="30" w:after="30"/>
              <w:rPr>
                <w:rFonts w:cs="Calibri"/>
                <w:szCs w:val="16"/>
              </w:rPr>
            </w:pPr>
            <w:r w:rsidRPr="001D5327">
              <w:rPr>
                <w:rFonts w:cs="Calibri"/>
                <w:szCs w:val="16"/>
              </w:rPr>
              <w:t>NA</w:t>
            </w:r>
          </w:p>
        </w:tc>
        <w:tc>
          <w:tcPr>
            <w:tcW w:w="828" w:type="dxa"/>
            <w:tcBorders>
              <w:top w:val="nil"/>
              <w:left w:val="nil"/>
              <w:bottom w:val="nil"/>
              <w:right w:val="nil"/>
            </w:tcBorders>
            <w:shd w:val="clear" w:color="auto" w:fill="auto"/>
            <w:noWrap/>
            <w:vAlign w:val="center"/>
            <w:hideMark/>
          </w:tcPr>
          <w:p w14:paraId="6AC36404" w14:textId="77777777" w:rsidR="00590FE1" w:rsidRPr="001D5327" w:rsidRDefault="00590FE1" w:rsidP="00403787">
            <w:pPr>
              <w:pStyle w:val="TableText"/>
              <w:spacing w:before="30" w:after="30"/>
              <w:rPr>
                <w:rFonts w:cs="Calibri"/>
                <w:szCs w:val="16"/>
              </w:rPr>
            </w:pPr>
            <w:r w:rsidRPr="001D5327">
              <w:rPr>
                <w:rFonts w:cs="Calibri"/>
                <w:szCs w:val="16"/>
              </w:rPr>
              <w:t>NA</w:t>
            </w:r>
          </w:p>
        </w:tc>
        <w:tc>
          <w:tcPr>
            <w:tcW w:w="828" w:type="dxa"/>
            <w:tcBorders>
              <w:top w:val="nil"/>
              <w:left w:val="nil"/>
              <w:bottom w:val="nil"/>
              <w:right w:val="nil"/>
            </w:tcBorders>
            <w:shd w:val="clear" w:color="auto" w:fill="auto"/>
            <w:noWrap/>
            <w:vAlign w:val="center"/>
            <w:hideMark/>
          </w:tcPr>
          <w:p w14:paraId="64E0CD36" w14:textId="47555B0C"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9" w:type="dxa"/>
            <w:tcBorders>
              <w:top w:val="nil"/>
              <w:left w:val="nil"/>
              <w:bottom w:val="nil"/>
              <w:right w:val="nil"/>
            </w:tcBorders>
            <w:shd w:val="clear" w:color="auto" w:fill="auto"/>
            <w:noWrap/>
            <w:vAlign w:val="center"/>
            <w:hideMark/>
          </w:tcPr>
          <w:p w14:paraId="1F2D6FB4" w14:textId="0888C855"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r>
      <w:tr w:rsidR="00590FE1" w:rsidRPr="001D5327" w14:paraId="561FAA75" w14:textId="77777777" w:rsidTr="00403787">
        <w:tc>
          <w:tcPr>
            <w:tcW w:w="320" w:type="dxa"/>
            <w:vMerge/>
            <w:vAlign w:val="center"/>
            <w:hideMark/>
          </w:tcPr>
          <w:p w14:paraId="35A17816" w14:textId="77777777" w:rsidR="00590FE1" w:rsidRPr="001D5327" w:rsidRDefault="00590FE1" w:rsidP="00403787">
            <w:pPr>
              <w:pStyle w:val="TableText"/>
              <w:spacing w:before="30" w:after="30"/>
              <w:rPr>
                <w:rFonts w:cs="Calibri"/>
                <w:szCs w:val="16"/>
              </w:rPr>
            </w:pPr>
          </w:p>
        </w:tc>
        <w:tc>
          <w:tcPr>
            <w:tcW w:w="3224" w:type="dxa"/>
            <w:tcBorders>
              <w:top w:val="nil"/>
              <w:left w:val="nil"/>
              <w:bottom w:val="nil"/>
              <w:right w:val="nil"/>
            </w:tcBorders>
            <w:shd w:val="clear" w:color="auto" w:fill="auto"/>
            <w:vAlign w:val="center"/>
            <w:hideMark/>
          </w:tcPr>
          <w:p w14:paraId="0E88A615" w14:textId="77777777" w:rsidR="00590FE1" w:rsidRPr="001D5327" w:rsidRDefault="00590FE1" w:rsidP="00403787">
            <w:pPr>
              <w:pStyle w:val="TableText"/>
              <w:spacing w:before="30" w:after="30"/>
              <w:rPr>
                <w:rFonts w:cs="Calibri"/>
                <w:szCs w:val="16"/>
              </w:rPr>
            </w:pPr>
            <w:r w:rsidRPr="001D5327">
              <w:rPr>
                <w:rFonts w:cs="Calibri"/>
                <w:szCs w:val="16"/>
              </w:rPr>
              <w:t>Other Organic Fertilisers Applied to Soils</w:t>
            </w:r>
          </w:p>
        </w:tc>
        <w:tc>
          <w:tcPr>
            <w:tcW w:w="828" w:type="dxa"/>
            <w:tcBorders>
              <w:top w:val="nil"/>
              <w:left w:val="nil"/>
              <w:bottom w:val="nil"/>
              <w:right w:val="nil"/>
            </w:tcBorders>
            <w:shd w:val="clear" w:color="auto" w:fill="auto"/>
            <w:noWrap/>
            <w:vAlign w:val="center"/>
            <w:hideMark/>
          </w:tcPr>
          <w:p w14:paraId="2B582F0C"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nil"/>
              <w:left w:val="nil"/>
              <w:bottom w:val="nil"/>
              <w:right w:val="nil"/>
            </w:tcBorders>
            <w:shd w:val="clear" w:color="auto" w:fill="auto"/>
            <w:noWrap/>
            <w:vAlign w:val="center"/>
            <w:hideMark/>
          </w:tcPr>
          <w:p w14:paraId="7111BAC5"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9" w:type="dxa"/>
            <w:tcBorders>
              <w:top w:val="nil"/>
              <w:left w:val="nil"/>
              <w:bottom w:val="nil"/>
              <w:right w:val="nil"/>
            </w:tcBorders>
            <w:shd w:val="clear" w:color="auto" w:fill="auto"/>
            <w:noWrap/>
            <w:vAlign w:val="center"/>
            <w:hideMark/>
          </w:tcPr>
          <w:p w14:paraId="5037087C" w14:textId="77777777" w:rsidR="00590FE1" w:rsidRPr="001D5327" w:rsidRDefault="00590FE1" w:rsidP="00403787">
            <w:pPr>
              <w:pStyle w:val="TableText"/>
              <w:spacing w:before="30" w:after="30"/>
              <w:rPr>
                <w:rFonts w:cs="Calibri"/>
                <w:szCs w:val="16"/>
              </w:rPr>
            </w:pPr>
            <w:r w:rsidRPr="001D5327">
              <w:rPr>
                <w:rFonts w:cs="Calibri"/>
                <w:szCs w:val="16"/>
              </w:rPr>
              <w:t>T1</w:t>
            </w:r>
          </w:p>
        </w:tc>
        <w:tc>
          <w:tcPr>
            <w:tcW w:w="828" w:type="dxa"/>
            <w:tcBorders>
              <w:top w:val="nil"/>
              <w:left w:val="nil"/>
              <w:bottom w:val="nil"/>
              <w:right w:val="nil"/>
            </w:tcBorders>
            <w:shd w:val="clear" w:color="auto" w:fill="auto"/>
            <w:noWrap/>
            <w:vAlign w:val="center"/>
            <w:hideMark/>
          </w:tcPr>
          <w:p w14:paraId="6A4D4CB2" w14:textId="77777777" w:rsidR="00590FE1" w:rsidRPr="001D5327" w:rsidRDefault="00590FE1" w:rsidP="00403787">
            <w:pPr>
              <w:pStyle w:val="TableText"/>
              <w:spacing w:before="30" w:after="30"/>
              <w:rPr>
                <w:rFonts w:cs="Calibri"/>
                <w:szCs w:val="16"/>
              </w:rPr>
            </w:pPr>
            <w:r w:rsidRPr="001D5327">
              <w:rPr>
                <w:rFonts w:cs="Calibri"/>
                <w:szCs w:val="16"/>
              </w:rPr>
              <w:t>D</w:t>
            </w:r>
          </w:p>
        </w:tc>
        <w:tc>
          <w:tcPr>
            <w:tcW w:w="828" w:type="dxa"/>
            <w:tcBorders>
              <w:top w:val="nil"/>
              <w:left w:val="nil"/>
              <w:bottom w:val="nil"/>
              <w:right w:val="nil"/>
            </w:tcBorders>
            <w:shd w:val="clear" w:color="auto" w:fill="auto"/>
            <w:noWrap/>
            <w:vAlign w:val="center"/>
            <w:hideMark/>
          </w:tcPr>
          <w:p w14:paraId="328425BA" w14:textId="1EEBA4EB"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9" w:type="dxa"/>
            <w:tcBorders>
              <w:top w:val="nil"/>
              <w:left w:val="nil"/>
              <w:bottom w:val="nil"/>
              <w:right w:val="nil"/>
            </w:tcBorders>
            <w:shd w:val="clear" w:color="auto" w:fill="auto"/>
            <w:noWrap/>
            <w:vAlign w:val="center"/>
            <w:hideMark/>
          </w:tcPr>
          <w:p w14:paraId="12A81AFA" w14:textId="33D94E77"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r>
      <w:tr w:rsidR="00590FE1" w:rsidRPr="001D5327" w14:paraId="55E4BBA3" w14:textId="77777777" w:rsidTr="00403787">
        <w:tc>
          <w:tcPr>
            <w:tcW w:w="320" w:type="dxa"/>
            <w:vMerge/>
            <w:vAlign w:val="center"/>
            <w:hideMark/>
          </w:tcPr>
          <w:p w14:paraId="17DB28D7" w14:textId="77777777" w:rsidR="00590FE1" w:rsidRPr="001D5327" w:rsidRDefault="00590FE1" w:rsidP="00403787">
            <w:pPr>
              <w:pStyle w:val="TableText"/>
              <w:spacing w:before="30" w:after="30"/>
              <w:rPr>
                <w:rFonts w:cs="Calibri"/>
                <w:szCs w:val="16"/>
              </w:rPr>
            </w:pPr>
          </w:p>
        </w:tc>
        <w:tc>
          <w:tcPr>
            <w:tcW w:w="3224" w:type="dxa"/>
            <w:tcBorders>
              <w:top w:val="nil"/>
              <w:left w:val="nil"/>
              <w:bottom w:val="nil"/>
              <w:right w:val="nil"/>
            </w:tcBorders>
            <w:shd w:val="clear" w:color="auto" w:fill="auto"/>
            <w:vAlign w:val="center"/>
            <w:hideMark/>
          </w:tcPr>
          <w:p w14:paraId="4DBA8DE1" w14:textId="77777777" w:rsidR="00590FE1" w:rsidRPr="001D5327" w:rsidRDefault="00590FE1" w:rsidP="00403787">
            <w:pPr>
              <w:pStyle w:val="TableText"/>
              <w:spacing w:before="30" w:after="30"/>
              <w:rPr>
                <w:rFonts w:cs="Calibri"/>
                <w:szCs w:val="16"/>
              </w:rPr>
            </w:pPr>
            <w:r w:rsidRPr="001D5327">
              <w:rPr>
                <w:rFonts w:cs="Calibri"/>
                <w:szCs w:val="16"/>
              </w:rPr>
              <w:t>Urine and Dung Deposited by Grazing Animals</w:t>
            </w:r>
          </w:p>
        </w:tc>
        <w:tc>
          <w:tcPr>
            <w:tcW w:w="828" w:type="dxa"/>
            <w:tcBorders>
              <w:top w:val="nil"/>
              <w:left w:val="nil"/>
              <w:bottom w:val="nil"/>
              <w:right w:val="nil"/>
            </w:tcBorders>
            <w:shd w:val="clear" w:color="auto" w:fill="auto"/>
            <w:noWrap/>
            <w:vAlign w:val="center"/>
            <w:hideMark/>
          </w:tcPr>
          <w:p w14:paraId="08E1DF69"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nil"/>
              <w:left w:val="nil"/>
              <w:bottom w:val="nil"/>
              <w:right w:val="nil"/>
            </w:tcBorders>
            <w:shd w:val="clear" w:color="auto" w:fill="auto"/>
            <w:noWrap/>
            <w:vAlign w:val="center"/>
            <w:hideMark/>
          </w:tcPr>
          <w:p w14:paraId="5C447D7C"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9" w:type="dxa"/>
            <w:tcBorders>
              <w:top w:val="nil"/>
              <w:left w:val="nil"/>
              <w:bottom w:val="nil"/>
              <w:right w:val="nil"/>
            </w:tcBorders>
            <w:shd w:val="clear" w:color="auto" w:fill="auto"/>
            <w:noWrap/>
            <w:vAlign w:val="center"/>
            <w:hideMark/>
          </w:tcPr>
          <w:p w14:paraId="4A8EDCAE" w14:textId="77777777" w:rsidR="00590FE1" w:rsidRPr="001D5327" w:rsidRDefault="00590FE1" w:rsidP="00403787">
            <w:pPr>
              <w:pStyle w:val="TableText"/>
              <w:spacing w:before="30" w:after="30"/>
              <w:rPr>
                <w:rFonts w:cs="Calibri"/>
                <w:szCs w:val="16"/>
              </w:rPr>
            </w:pPr>
            <w:r w:rsidRPr="001D5327">
              <w:rPr>
                <w:rFonts w:cs="Calibri"/>
                <w:szCs w:val="16"/>
              </w:rPr>
              <w:t>T1, T2, T3</w:t>
            </w:r>
          </w:p>
        </w:tc>
        <w:tc>
          <w:tcPr>
            <w:tcW w:w="828" w:type="dxa"/>
            <w:tcBorders>
              <w:top w:val="nil"/>
              <w:left w:val="nil"/>
              <w:bottom w:val="nil"/>
              <w:right w:val="nil"/>
            </w:tcBorders>
            <w:shd w:val="clear" w:color="auto" w:fill="auto"/>
            <w:noWrap/>
            <w:vAlign w:val="center"/>
            <w:hideMark/>
          </w:tcPr>
          <w:p w14:paraId="65B4E8DC" w14:textId="77777777" w:rsidR="00590FE1" w:rsidRPr="001D5327" w:rsidRDefault="00590FE1" w:rsidP="00403787">
            <w:pPr>
              <w:pStyle w:val="TableText"/>
              <w:spacing w:before="30" w:after="30"/>
              <w:rPr>
                <w:rFonts w:cs="Calibri"/>
                <w:szCs w:val="16"/>
              </w:rPr>
            </w:pPr>
            <w:r w:rsidRPr="001D5327">
              <w:rPr>
                <w:rFonts w:cs="Calibri"/>
                <w:szCs w:val="16"/>
              </w:rPr>
              <w:t>CS</w:t>
            </w:r>
          </w:p>
        </w:tc>
        <w:tc>
          <w:tcPr>
            <w:tcW w:w="828" w:type="dxa"/>
            <w:tcBorders>
              <w:top w:val="nil"/>
              <w:left w:val="nil"/>
              <w:bottom w:val="nil"/>
              <w:right w:val="nil"/>
            </w:tcBorders>
            <w:shd w:val="clear" w:color="auto" w:fill="auto"/>
            <w:noWrap/>
            <w:vAlign w:val="center"/>
            <w:hideMark/>
          </w:tcPr>
          <w:p w14:paraId="68561E1B" w14:textId="56DF722E"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9" w:type="dxa"/>
            <w:tcBorders>
              <w:top w:val="nil"/>
              <w:left w:val="nil"/>
              <w:bottom w:val="nil"/>
              <w:right w:val="nil"/>
            </w:tcBorders>
            <w:shd w:val="clear" w:color="auto" w:fill="auto"/>
            <w:noWrap/>
            <w:vAlign w:val="center"/>
            <w:hideMark/>
          </w:tcPr>
          <w:p w14:paraId="4ACDD803" w14:textId="1A673789"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r>
      <w:tr w:rsidR="00590FE1" w:rsidRPr="001D5327" w14:paraId="429B6257" w14:textId="77777777" w:rsidTr="00403787">
        <w:tc>
          <w:tcPr>
            <w:tcW w:w="320" w:type="dxa"/>
            <w:vMerge/>
            <w:vAlign w:val="center"/>
            <w:hideMark/>
          </w:tcPr>
          <w:p w14:paraId="42FF402B" w14:textId="77777777" w:rsidR="00590FE1" w:rsidRPr="001D5327" w:rsidRDefault="00590FE1" w:rsidP="00403787">
            <w:pPr>
              <w:pStyle w:val="TableText"/>
              <w:spacing w:before="30" w:after="30"/>
              <w:rPr>
                <w:rFonts w:cs="Calibri"/>
                <w:szCs w:val="16"/>
              </w:rPr>
            </w:pPr>
          </w:p>
        </w:tc>
        <w:tc>
          <w:tcPr>
            <w:tcW w:w="3224" w:type="dxa"/>
            <w:tcBorders>
              <w:top w:val="nil"/>
              <w:left w:val="nil"/>
              <w:bottom w:val="nil"/>
              <w:right w:val="nil"/>
            </w:tcBorders>
            <w:shd w:val="clear" w:color="auto" w:fill="auto"/>
            <w:vAlign w:val="center"/>
            <w:hideMark/>
          </w:tcPr>
          <w:p w14:paraId="554D974C" w14:textId="77777777" w:rsidR="00590FE1" w:rsidRPr="001D5327" w:rsidRDefault="00590FE1" w:rsidP="00403787">
            <w:pPr>
              <w:pStyle w:val="TableText"/>
              <w:spacing w:before="30" w:after="30"/>
              <w:rPr>
                <w:rFonts w:cs="Calibri"/>
                <w:szCs w:val="16"/>
              </w:rPr>
            </w:pPr>
            <w:r w:rsidRPr="001D5327">
              <w:rPr>
                <w:rFonts w:cs="Calibri"/>
                <w:szCs w:val="16"/>
              </w:rPr>
              <w:t>Crop Residues</w:t>
            </w:r>
          </w:p>
        </w:tc>
        <w:tc>
          <w:tcPr>
            <w:tcW w:w="828" w:type="dxa"/>
            <w:tcBorders>
              <w:top w:val="nil"/>
              <w:left w:val="nil"/>
              <w:bottom w:val="nil"/>
              <w:right w:val="nil"/>
            </w:tcBorders>
            <w:shd w:val="clear" w:color="auto" w:fill="auto"/>
            <w:noWrap/>
            <w:vAlign w:val="center"/>
            <w:hideMark/>
          </w:tcPr>
          <w:p w14:paraId="1CB22B1C"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nil"/>
              <w:left w:val="nil"/>
              <w:bottom w:val="nil"/>
              <w:right w:val="nil"/>
            </w:tcBorders>
            <w:shd w:val="clear" w:color="auto" w:fill="auto"/>
            <w:noWrap/>
            <w:vAlign w:val="center"/>
            <w:hideMark/>
          </w:tcPr>
          <w:p w14:paraId="7A2C853E"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9" w:type="dxa"/>
            <w:tcBorders>
              <w:top w:val="nil"/>
              <w:left w:val="nil"/>
              <w:bottom w:val="nil"/>
              <w:right w:val="nil"/>
            </w:tcBorders>
            <w:shd w:val="clear" w:color="auto" w:fill="auto"/>
            <w:noWrap/>
            <w:vAlign w:val="center"/>
            <w:hideMark/>
          </w:tcPr>
          <w:p w14:paraId="1900A4F2" w14:textId="77777777" w:rsidR="00590FE1" w:rsidRPr="001D5327" w:rsidRDefault="00590FE1" w:rsidP="00403787">
            <w:pPr>
              <w:pStyle w:val="TableText"/>
              <w:spacing w:before="30" w:after="30"/>
              <w:rPr>
                <w:rFonts w:cs="Calibri"/>
                <w:szCs w:val="16"/>
              </w:rPr>
            </w:pPr>
            <w:r w:rsidRPr="001D5327">
              <w:rPr>
                <w:rFonts w:cs="Calibri"/>
                <w:szCs w:val="16"/>
              </w:rPr>
              <w:t>T2</w:t>
            </w:r>
          </w:p>
        </w:tc>
        <w:tc>
          <w:tcPr>
            <w:tcW w:w="828" w:type="dxa"/>
            <w:tcBorders>
              <w:top w:val="nil"/>
              <w:left w:val="nil"/>
              <w:bottom w:val="nil"/>
              <w:right w:val="nil"/>
            </w:tcBorders>
            <w:shd w:val="clear" w:color="auto" w:fill="auto"/>
            <w:noWrap/>
            <w:vAlign w:val="center"/>
            <w:hideMark/>
          </w:tcPr>
          <w:p w14:paraId="48C4907C" w14:textId="77777777" w:rsidR="00590FE1" w:rsidRPr="001D5327" w:rsidRDefault="00590FE1" w:rsidP="00403787">
            <w:pPr>
              <w:pStyle w:val="TableText"/>
              <w:spacing w:before="30" w:after="30"/>
              <w:rPr>
                <w:rFonts w:cs="Calibri"/>
                <w:szCs w:val="16"/>
              </w:rPr>
            </w:pPr>
            <w:r w:rsidRPr="001D5327">
              <w:rPr>
                <w:rFonts w:cs="Calibri"/>
                <w:szCs w:val="16"/>
              </w:rPr>
              <w:t>CS</w:t>
            </w:r>
          </w:p>
        </w:tc>
        <w:tc>
          <w:tcPr>
            <w:tcW w:w="828" w:type="dxa"/>
            <w:tcBorders>
              <w:top w:val="nil"/>
              <w:left w:val="nil"/>
              <w:bottom w:val="nil"/>
              <w:right w:val="nil"/>
            </w:tcBorders>
            <w:shd w:val="clear" w:color="auto" w:fill="auto"/>
            <w:noWrap/>
            <w:vAlign w:val="center"/>
            <w:hideMark/>
          </w:tcPr>
          <w:p w14:paraId="37E7C435" w14:textId="5DAF53A0"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9" w:type="dxa"/>
            <w:tcBorders>
              <w:top w:val="nil"/>
              <w:left w:val="nil"/>
              <w:bottom w:val="nil"/>
              <w:right w:val="nil"/>
            </w:tcBorders>
            <w:shd w:val="clear" w:color="auto" w:fill="auto"/>
            <w:noWrap/>
            <w:vAlign w:val="center"/>
            <w:hideMark/>
          </w:tcPr>
          <w:p w14:paraId="515EF2F4" w14:textId="5C3DD71B"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r>
      <w:tr w:rsidR="00590FE1" w:rsidRPr="001D5327" w14:paraId="00E5A3AC" w14:textId="77777777" w:rsidTr="00403787">
        <w:tc>
          <w:tcPr>
            <w:tcW w:w="320" w:type="dxa"/>
            <w:vMerge/>
            <w:vAlign w:val="center"/>
            <w:hideMark/>
          </w:tcPr>
          <w:p w14:paraId="5E188C6E" w14:textId="77777777" w:rsidR="00590FE1" w:rsidRPr="001D5327" w:rsidRDefault="00590FE1" w:rsidP="00403787">
            <w:pPr>
              <w:pStyle w:val="TableText"/>
              <w:spacing w:before="50" w:after="50"/>
              <w:rPr>
                <w:rFonts w:cs="Calibri"/>
                <w:szCs w:val="16"/>
              </w:rPr>
            </w:pPr>
          </w:p>
        </w:tc>
        <w:tc>
          <w:tcPr>
            <w:tcW w:w="3224" w:type="dxa"/>
            <w:tcBorders>
              <w:top w:val="nil"/>
              <w:left w:val="nil"/>
              <w:bottom w:val="nil"/>
              <w:right w:val="nil"/>
            </w:tcBorders>
            <w:shd w:val="clear" w:color="auto" w:fill="auto"/>
            <w:vAlign w:val="center"/>
            <w:hideMark/>
          </w:tcPr>
          <w:p w14:paraId="6ED03638" w14:textId="77777777" w:rsidR="00590FE1" w:rsidRPr="001D5327" w:rsidRDefault="00590FE1" w:rsidP="00403787">
            <w:pPr>
              <w:pStyle w:val="TableText"/>
              <w:spacing w:before="30" w:after="30"/>
              <w:rPr>
                <w:rFonts w:cs="Calibri"/>
                <w:szCs w:val="16"/>
              </w:rPr>
            </w:pPr>
            <w:r w:rsidRPr="001D5327">
              <w:rPr>
                <w:rFonts w:cs="Calibri"/>
                <w:szCs w:val="16"/>
              </w:rPr>
              <w:t>Mineralisation associated with Loss of Soil Organic Matter</w:t>
            </w:r>
          </w:p>
        </w:tc>
        <w:tc>
          <w:tcPr>
            <w:tcW w:w="828" w:type="dxa"/>
            <w:tcBorders>
              <w:top w:val="nil"/>
              <w:left w:val="nil"/>
              <w:bottom w:val="nil"/>
              <w:right w:val="nil"/>
            </w:tcBorders>
            <w:shd w:val="clear" w:color="auto" w:fill="auto"/>
            <w:noWrap/>
            <w:vAlign w:val="center"/>
            <w:hideMark/>
          </w:tcPr>
          <w:p w14:paraId="44BCEF84"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nil"/>
              <w:left w:val="nil"/>
              <w:bottom w:val="nil"/>
              <w:right w:val="nil"/>
            </w:tcBorders>
            <w:shd w:val="clear" w:color="auto" w:fill="auto"/>
            <w:noWrap/>
            <w:vAlign w:val="center"/>
            <w:hideMark/>
          </w:tcPr>
          <w:p w14:paraId="1F3D6775"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9" w:type="dxa"/>
            <w:tcBorders>
              <w:top w:val="nil"/>
              <w:left w:val="nil"/>
              <w:bottom w:val="nil"/>
              <w:right w:val="nil"/>
            </w:tcBorders>
            <w:shd w:val="clear" w:color="auto" w:fill="auto"/>
            <w:noWrap/>
            <w:vAlign w:val="center"/>
            <w:hideMark/>
          </w:tcPr>
          <w:p w14:paraId="11B6B871" w14:textId="77777777" w:rsidR="00590FE1" w:rsidRPr="001D5327" w:rsidRDefault="00590FE1" w:rsidP="00403787">
            <w:pPr>
              <w:pStyle w:val="TableText"/>
              <w:spacing w:before="30" w:after="30"/>
              <w:rPr>
                <w:rFonts w:cs="Calibri"/>
                <w:szCs w:val="16"/>
              </w:rPr>
            </w:pPr>
            <w:r w:rsidRPr="001D5327">
              <w:rPr>
                <w:rFonts w:cs="Calibri"/>
                <w:szCs w:val="16"/>
              </w:rPr>
              <w:t>T1</w:t>
            </w:r>
          </w:p>
        </w:tc>
        <w:tc>
          <w:tcPr>
            <w:tcW w:w="828" w:type="dxa"/>
            <w:tcBorders>
              <w:top w:val="nil"/>
              <w:left w:val="nil"/>
              <w:bottom w:val="nil"/>
              <w:right w:val="nil"/>
            </w:tcBorders>
            <w:shd w:val="clear" w:color="auto" w:fill="auto"/>
            <w:noWrap/>
            <w:vAlign w:val="center"/>
            <w:hideMark/>
          </w:tcPr>
          <w:p w14:paraId="29CE7EB9" w14:textId="77777777" w:rsidR="00590FE1" w:rsidRPr="001D5327" w:rsidRDefault="00590FE1" w:rsidP="00403787">
            <w:pPr>
              <w:pStyle w:val="TableText"/>
              <w:spacing w:before="30" w:after="30"/>
              <w:rPr>
                <w:rFonts w:cs="Calibri"/>
                <w:szCs w:val="16"/>
              </w:rPr>
            </w:pPr>
            <w:r w:rsidRPr="001D5327">
              <w:rPr>
                <w:rFonts w:cs="Calibri"/>
                <w:szCs w:val="16"/>
              </w:rPr>
              <w:t>D</w:t>
            </w:r>
          </w:p>
        </w:tc>
        <w:tc>
          <w:tcPr>
            <w:tcW w:w="828" w:type="dxa"/>
            <w:tcBorders>
              <w:top w:val="nil"/>
              <w:left w:val="nil"/>
              <w:bottom w:val="nil"/>
              <w:right w:val="nil"/>
            </w:tcBorders>
            <w:shd w:val="clear" w:color="auto" w:fill="auto"/>
            <w:noWrap/>
            <w:vAlign w:val="center"/>
            <w:hideMark/>
          </w:tcPr>
          <w:p w14:paraId="71E05778" w14:textId="722A93F8"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9" w:type="dxa"/>
            <w:tcBorders>
              <w:top w:val="nil"/>
              <w:left w:val="nil"/>
              <w:bottom w:val="nil"/>
              <w:right w:val="nil"/>
            </w:tcBorders>
            <w:shd w:val="clear" w:color="auto" w:fill="auto"/>
            <w:noWrap/>
            <w:vAlign w:val="center"/>
            <w:hideMark/>
          </w:tcPr>
          <w:p w14:paraId="468895BF" w14:textId="2DE39DF6"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r>
      <w:tr w:rsidR="00590FE1" w:rsidRPr="001D5327" w14:paraId="09683CA0" w14:textId="77777777" w:rsidTr="00403787">
        <w:tc>
          <w:tcPr>
            <w:tcW w:w="320" w:type="dxa"/>
            <w:vMerge/>
            <w:vAlign w:val="center"/>
            <w:hideMark/>
          </w:tcPr>
          <w:p w14:paraId="04C4A473" w14:textId="77777777" w:rsidR="00590FE1" w:rsidRPr="001D5327" w:rsidRDefault="00590FE1" w:rsidP="00403787">
            <w:pPr>
              <w:pStyle w:val="TableText"/>
              <w:spacing w:before="50" w:after="50"/>
              <w:rPr>
                <w:rFonts w:cs="Calibri"/>
                <w:szCs w:val="16"/>
              </w:rPr>
            </w:pPr>
          </w:p>
        </w:tc>
        <w:tc>
          <w:tcPr>
            <w:tcW w:w="3224" w:type="dxa"/>
            <w:tcBorders>
              <w:top w:val="nil"/>
              <w:left w:val="nil"/>
              <w:bottom w:val="single" w:sz="4" w:space="0" w:color="1B556B" w:themeColor="text2"/>
              <w:right w:val="nil"/>
            </w:tcBorders>
            <w:shd w:val="clear" w:color="auto" w:fill="auto"/>
            <w:vAlign w:val="center"/>
            <w:hideMark/>
          </w:tcPr>
          <w:p w14:paraId="06E594A4" w14:textId="77777777" w:rsidR="00590FE1" w:rsidRPr="001D5327" w:rsidRDefault="00590FE1" w:rsidP="00403787">
            <w:pPr>
              <w:pStyle w:val="TableText"/>
              <w:spacing w:before="30" w:after="30"/>
              <w:rPr>
                <w:rFonts w:cs="Calibri"/>
                <w:szCs w:val="16"/>
              </w:rPr>
            </w:pPr>
            <w:r w:rsidRPr="001D5327">
              <w:rPr>
                <w:rFonts w:cs="Calibri"/>
                <w:szCs w:val="16"/>
              </w:rPr>
              <w:t>Cultivation of Organic Soils</w:t>
            </w:r>
          </w:p>
        </w:tc>
        <w:tc>
          <w:tcPr>
            <w:tcW w:w="828" w:type="dxa"/>
            <w:tcBorders>
              <w:top w:val="nil"/>
              <w:left w:val="nil"/>
              <w:bottom w:val="single" w:sz="4" w:space="0" w:color="1B556B" w:themeColor="text2"/>
              <w:right w:val="nil"/>
            </w:tcBorders>
            <w:shd w:val="clear" w:color="auto" w:fill="auto"/>
            <w:noWrap/>
            <w:vAlign w:val="center"/>
            <w:hideMark/>
          </w:tcPr>
          <w:p w14:paraId="308413C8"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8" w:type="dxa"/>
            <w:tcBorders>
              <w:top w:val="nil"/>
              <w:left w:val="nil"/>
              <w:bottom w:val="single" w:sz="4" w:space="0" w:color="1B556B" w:themeColor="text2"/>
              <w:right w:val="nil"/>
            </w:tcBorders>
            <w:shd w:val="clear" w:color="auto" w:fill="auto"/>
            <w:noWrap/>
            <w:vAlign w:val="center"/>
            <w:hideMark/>
          </w:tcPr>
          <w:p w14:paraId="55F79CB4" w14:textId="77777777" w:rsidR="00590FE1" w:rsidRPr="001D5327" w:rsidRDefault="00590FE1" w:rsidP="00403787">
            <w:pPr>
              <w:pStyle w:val="TableText"/>
              <w:spacing w:before="30" w:after="30"/>
              <w:rPr>
                <w:rFonts w:cs="Calibri"/>
                <w:color w:val="FFFFFF"/>
                <w:szCs w:val="16"/>
              </w:rPr>
            </w:pPr>
            <w:r w:rsidRPr="001D5327">
              <w:rPr>
                <w:rFonts w:cs="Calibri"/>
                <w:color w:val="FFFFFF"/>
                <w:szCs w:val="16"/>
              </w:rPr>
              <w:t>-</w:t>
            </w:r>
          </w:p>
        </w:tc>
        <w:tc>
          <w:tcPr>
            <w:tcW w:w="829" w:type="dxa"/>
            <w:tcBorders>
              <w:top w:val="nil"/>
              <w:left w:val="nil"/>
              <w:bottom w:val="single" w:sz="4" w:space="0" w:color="1B556B" w:themeColor="text2"/>
              <w:right w:val="nil"/>
            </w:tcBorders>
            <w:shd w:val="clear" w:color="auto" w:fill="auto"/>
            <w:noWrap/>
            <w:vAlign w:val="center"/>
            <w:hideMark/>
          </w:tcPr>
          <w:p w14:paraId="17438886" w14:textId="77777777" w:rsidR="00590FE1" w:rsidRPr="001D5327" w:rsidRDefault="00590FE1" w:rsidP="00403787">
            <w:pPr>
              <w:pStyle w:val="TableText"/>
              <w:spacing w:before="30" w:after="30"/>
              <w:rPr>
                <w:rFonts w:cs="Calibri"/>
                <w:szCs w:val="16"/>
              </w:rPr>
            </w:pPr>
            <w:r w:rsidRPr="001D5327">
              <w:rPr>
                <w:rFonts w:cs="Calibri"/>
                <w:szCs w:val="16"/>
              </w:rPr>
              <w:t>T1</w:t>
            </w:r>
          </w:p>
        </w:tc>
        <w:tc>
          <w:tcPr>
            <w:tcW w:w="828" w:type="dxa"/>
            <w:tcBorders>
              <w:top w:val="nil"/>
              <w:left w:val="nil"/>
              <w:bottom w:val="single" w:sz="4" w:space="0" w:color="1B556B" w:themeColor="text2"/>
              <w:right w:val="nil"/>
            </w:tcBorders>
            <w:shd w:val="clear" w:color="auto" w:fill="auto"/>
            <w:noWrap/>
            <w:vAlign w:val="center"/>
            <w:hideMark/>
          </w:tcPr>
          <w:p w14:paraId="14D93C12" w14:textId="77777777" w:rsidR="00590FE1" w:rsidRPr="001D5327" w:rsidRDefault="00590FE1" w:rsidP="00403787">
            <w:pPr>
              <w:pStyle w:val="TableText"/>
              <w:spacing w:before="30" w:after="30"/>
              <w:rPr>
                <w:rFonts w:cs="Calibri"/>
                <w:szCs w:val="16"/>
              </w:rPr>
            </w:pPr>
            <w:r w:rsidRPr="001D5327">
              <w:rPr>
                <w:rFonts w:cs="Calibri"/>
                <w:szCs w:val="16"/>
              </w:rPr>
              <w:t>D</w:t>
            </w:r>
          </w:p>
        </w:tc>
        <w:tc>
          <w:tcPr>
            <w:tcW w:w="828" w:type="dxa"/>
            <w:tcBorders>
              <w:top w:val="nil"/>
              <w:left w:val="nil"/>
              <w:bottom w:val="single" w:sz="4" w:space="0" w:color="1B556B" w:themeColor="text2"/>
              <w:right w:val="nil"/>
            </w:tcBorders>
            <w:shd w:val="clear" w:color="auto" w:fill="auto"/>
            <w:noWrap/>
            <w:vAlign w:val="center"/>
            <w:hideMark/>
          </w:tcPr>
          <w:p w14:paraId="6CE24BA3" w14:textId="102782DF"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c>
          <w:tcPr>
            <w:tcW w:w="829" w:type="dxa"/>
            <w:tcBorders>
              <w:top w:val="nil"/>
              <w:left w:val="nil"/>
              <w:bottom w:val="single" w:sz="4" w:space="0" w:color="1B556B" w:themeColor="text2"/>
              <w:right w:val="nil"/>
            </w:tcBorders>
            <w:shd w:val="clear" w:color="auto" w:fill="auto"/>
            <w:noWrap/>
            <w:vAlign w:val="center"/>
            <w:hideMark/>
          </w:tcPr>
          <w:p w14:paraId="407CA8E5" w14:textId="2E53028E" w:rsidR="00590FE1" w:rsidRPr="00C817BE" w:rsidRDefault="00590FE1" w:rsidP="00403787">
            <w:pPr>
              <w:pStyle w:val="TableText"/>
              <w:spacing w:before="30" w:after="30"/>
              <w:rPr>
                <w:rFonts w:cs="Calibri"/>
                <w:color w:val="FFFFFF"/>
                <w:szCs w:val="16"/>
              </w:rPr>
            </w:pPr>
            <w:r w:rsidRPr="00C817BE">
              <w:rPr>
                <w:rFonts w:cs="Calibri"/>
                <w:color w:val="FFFFFF"/>
                <w:szCs w:val="16"/>
              </w:rPr>
              <w:t>-</w:t>
            </w:r>
            <w:r w:rsidR="00C817BE">
              <w:t>-</w:t>
            </w:r>
          </w:p>
        </w:tc>
      </w:tr>
      <w:tr w:rsidR="00590FE1" w:rsidRPr="001D5327" w14:paraId="2F6994BB" w14:textId="77777777" w:rsidTr="00403787">
        <w:tc>
          <w:tcPr>
            <w:tcW w:w="320" w:type="dxa"/>
            <w:vMerge w:val="restart"/>
            <w:tcBorders>
              <w:top w:val="single" w:sz="4" w:space="0" w:color="1B556B" w:themeColor="text2"/>
              <w:left w:val="nil"/>
              <w:bottom w:val="single" w:sz="4" w:space="0" w:color="365F91"/>
              <w:right w:val="nil"/>
            </w:tcBorders>
            <w:shd w:val="clear" w:color="auto" w:fill="auto"/>
            <w:noWrap/>
            <w:vAlign w:val="center"/>
            <w:hideMark/>
          </w:tcPr>
          <w:p w14:paraId="7EEA7B05" w14:textId="77777777" w:rsidR="00590FE1" w:rsidRPr="001D5327" w:rsidRDefault="00590FE1" w:rsidP="00403787">
            <w:pPr>
              <w:pStyle w:val="TableText"/>
              <w:spacing w:before="50" w:after="50"/>
              <w:rPr>
                <w:rFonts w:cs="Calibri"/>
                <w:szCs w:val="16"/>
              </w:rPr>
            </w:pPr>
            <w:r w:rsidRPr="001D5327">
              <w:rPr>
                <w:rFonts w:cs="Calibri"/>
                <w:szCs w:val="16"/>
              </w:rPr>
              <w:t>2</w:t>
            </w:r>
          </w:p>
        </w:tc>
        <w:tc>
          <w:tcPr>
            <w:tcW w:w="3224" w:type="dxa"/>
            <w:tcBorders>
              <w:top w:val="single" w:sz="4" w:space="0" w:color="1B556B" w:themeColor="text2"/>
              <w:left w:val="nil"/>
              <w:bottom w:val="nil"/>
              <w:right w:val="nil"/>
            </w:tcBorders>
            <w:shd w:val="clear" w:color="auto" w:fill="auto"/>
            <w:vAlign w:val="center"/>
            <w:hideMark/>
          </w:tcPr>
          <w:p w14:paraId="047E782A" w14:textId="77777777" w:rsidR="00590FE1" w:rsidRPr="001D5327" w:rsidRDefault="00590FE1" w:rsidP="00C817BE">
            <w:pPr>
              <w:pStyle w:val="TableText"/>
              <w:spacing w:before="40" w:after="40"/>
              <w:rPr>
                <w:rFonts w:cs="Calibri"/>
                <w:szCs w:val="16"/>
              </w:rPr>
            </w:pPr>
            <w:r w:rsidRPr="001D5327">
              <w:rPr>
                <w:rFonts w:cs="Calibri"/>
                <w:szCs w:val="16"/>
              </w:rPr>
              <w:t>Indirect Emissions</w:t>
            </w:r>
          </w:p>
        </w:tc>
        <w:tc>
          <w:tcPr>
            <w:tcW w:w="828" w:type="dxa"/>
            <w:tcBorders>
              <w:top w:val="single" w:sz="4" w:space="0" w:color="1B556B" w:themeColor="text2"/>
              <w:left w:val="nil"/>
              <w:bottom w:val="nil"/>
              <w:right w:val="nil"/>
            </w:tcBorders>
            <w:shd w:val="clear" w:color="auto" w:fill="auto"/>
            <w:noWrap/>
            <w:vAlign w:val="center"/>
            <w:hideMark/>
          </w:tcPr>
          <w:p w14:paraId="02D494CA" w14:textId="77777777" w:rsidR="00590FE1" w:rsidRPr="001D5327" w:rsidRDefault="00590FE1" w:rsidP="00C817BE">
            <w:pPr>
              <w:pStyle w:val="TableText"/>
              <w:spacing w:before="40" w:after="40"/>
              <w:rPr>
                <w:rFonts w:cs="Calibri"/>
                <w:color w:val="FFFFFF"/>
                <w:szCs w:val="16"/>
              </w:rPr>
            </w:pPr>
            <w:r w:rsidRPr="001D5327">
              <w:rPr>
                <w:rFonts w:cs="Calibri"/>
                <w:color w:val="FFFFFF"/>
                <w:szCs w:val="16"/>
              </w:rPr>
              <w:t>-</w:t>
            </w:r>
          </w:p>
        </w:tc>
        <w:tc>
          <w:tcPr>
            <w:tcW w:w="828" w:type="dxa"/>
            <w:tcBorders>
              <w:top w:val="single" w:sz="4" w:space="0" w:color="1B556B" w:themeColor="text2"/>
              <w:left w:val="nil"/>
              <w:bottom w:val="nil"/>
              <w:right w:val="nil"/>
            </w:tcBorders>
            <w:shd w:val="clear" w:color="auto" w:fill="auto"/>
            <w:noWrap/>
            <w:vAlign w:val="center"/>
            <w:hideMark/>
          </w:tcPr>
          <w:p w14:paraId="305CBF55" w14:textId="77777777" w:rsidR="00590FE1" w:rsidRPr="001D5327" w:rsidRDefault="00590FE1" w:rsidP="00C817BE">
            <w:pPr>
              <w:pStyle w:val="TableText"/>
              <w:spacing w:before="40" w:after="40"/>
              <w:rPr>
                <w:rFonts w:cs="Calibri"/>
                <w:color w:val="FFFFFF"/>
                <w:szCs w:val="16"/>
              </w:rPr>
            </w:pPr>
            <w:r w:rsidRPr="001D5327">
              <w:rPr>
                <w:rFonts w:cs="Calibri"/>
                <w:color w:val="FFFFFF"/>
                <w:szCs w:val="16"/>
              </w:rPr>
              <w:t>-</w:t>
            </w:r>
          </w:p>
        </w:tc>
        <w:tc>
          <w:tcPr>
            <w:tcW w:w="829" w:type="dxa"/>
            <w:tcBorders>
              <w:top w:val="single" w:sz="4" w:space="0" w:color="1B556B" w:themeColor="text2"/>
              <w:left w:val="nil"/>
              <w:bottom w:val="nil"/>
              <w:right w:val="nil"/>
            </w:tcBorders>
            <w:shd w:val="clear" w:color="auto" w:fill="auto"/>
            <w:noWrap/>
            <w:vAlign w:val="center"/>
            <w:hideMark/>
          </w:tcPr>
          <w:p w14:paraId="7124F153" w14:textId="77777777" w:rsidR="00590FE1" w:rsidRPr="001D5327" w:rsidRDefault="00590FE1" w:rsidP="00C817BE">
            <w:pPr>
              <w:pStyle w:val="TableText"/>
              <w:spacing w:before="40" w:after="40"/>
              <w:rPr>
                <w:rFonts w:cs="Calibri"/>
                <w:color w:val="FFFFFF"/>
                <w:szCs w:val="16"/>
              </w:rPr>
            </w:pPr>
            <w:r w:rsidRPr="001D5327">
              <w:rPr>
                <w:rFonts w:cs="Calibri"/>
                <w:color w:val="FFFFFF"/>
                <w:szCs w:val="16"/>
              </w:rPr>
              <w:t>-</w:t>
            </w:r>
          </w:p>
        </w:tc>
        <w:tc>
          <w:tcPr>
            <w:tcW w:w="828" w:type="dxa"/>
            <w:tcBorders>
              <w:top w:val="single" w:sz="4" w:space="0" w:color="1B556B" w:themeColor="text2"/>
              <w:left w:val="nil"/>
              <w:bottom w:val="nil"/>
              <w:right w:val="nil"/>
            </w:tcBorders>
            <w:shd w:val="clear" w:color="auto" w:fill="auto"/>
            <w:noWrap/>
            <w:vAlign w:val="center"/>
            <w:hideMark/>
          </w:tcPr>
          <w:p w14:paraId="314AFF01" w14:textId="77777777" w:rsidR="00590FE1" w:rsidRPr="001D5327" w:rsidRDefault="00590FE1" w:rsidP="00C817BE">
            <w:pPr>
              <w:pStyle w:val="TableText"/>
              <w:spacing w:before="40" w:after="40"/>
              <w:rPr>
                <w:rFonts w:cs="Calibri"/>
                <w:color w:val="FFFFFF"/>
                <w:szCs w:val="16"/>
              </w:rPr>
            </w:pPr>
            <w:r w:rsidRPr="001D5327">
              <w:rPr>
                <w:rFonts w:cs="Calibri"/>
                <w:color w:val="FFFFFF"/>
                <w:szCs w:val="16"/>
              </w:rPr>
              <w:t>-</w:t>
            </w:r>
          </w:p>
        </w:tc>
        <w:tc>
          <w:tcPr>
            <w:tcW w:w="828" w:type="dxa"/>
            <w:tcBorders>
              <w:top w:val="single" w:sz="4" w:space="0" w:color="1B556B" w:themeColor="text2"/>
              <w:left w:val="nil"/>
              <w:bottom w:val="nil"/>
              <w:right w:val="nil"/>
            </w:tcBorders>
            <w:shd w:val="clear" w:color="auto" w:fill="auto"/>
            <w:noWrap/>
            <w:vAlign w:val="center"/>
            <w:hideMark/>
          </w:tcPr>
          <w:p w14:paraId="25259AF6" w14:textId="77777777" w:rsidR="00590FE1" w:rsidRPr="00C817BE" w:rsidRDefault="00590FE1" w:rsidP="00C817BE">
            <w:pPr>
              <w:pStyle w:val="TableText"/>
              <w:spacing w:before="40" w:after="40"/>
              <w:rPr>
                <w:rFonts w:cs="Calibri"/>
                <w:color w:val="FFFFFF"/>
                <w:szCs w:val="16"/>
              </w:rPr>
            </w:pPr>
            <w:r w:rsidRPr="00C817BE">
              <w:rPr>
                <w:rFonts w:cs="Calibri"/>
                <w:color w:val="FFFFFF"/>
                <w:szCs w:val="16"/>
              </w:rPr>
              <w:t>-</w:t>
            </w:r>
          </w:p>
        </w:tc>
        <w:tc>
          <w:tcPr>
            <w:tcW w:w="829" w:type="dxa"/>
            <w:tcBorders>
              <w:top w:val="single" w:sz="4" w:space="0" w:color="1B556B" w:themeColor="text2"/>
              <w:left w:val="nil"/>
              <w:bottom w:val="nil"/>
              <w:right w:val="nil"/>
            </w:tcBorders>
            <w:shd w:val="clear" w:color="auto" w:fill="auto"/>
            <w:noWrap/>
            <w:vAlign w:val="center"/>
            <w:hideMark/>
          </w:tcPr>
          <w:p w14:paraId="2EB6A1CA" w14:textId="77777777" w:rsidR="00590FE1" w:rsidRPr="00C817BE" w:rsidRDefault="00590FE1" w:rsidP="00C817BE">
            <w:pPr>
              <w:pStyle w:val="TableText"/>
              <w:spacing w:before="40" w:after="40"/>
              <w:rPr>
                <w:rFonts w:cs="Calibri"/>
                <w:color w:val="FFFFFF"/>
                <w:szCs w:val="16"/>
              </w:rPr>
            </w:pPr>
            <w:r w:rsidRPr="00C817BE">
              <w:rPr>
                <w:rFonts w:cs="Calibri"/>
                <w:color w:val="FFFFFF"/>
                <w:szCs w:val="16"/>
              </w:rPr>
              <w:t>-</w:t>
            </w:r>
          </w:p>
        </w:tc>
      </w:tr>
      <w:tr w:rsidR="00590FE1" w:rsidRPr="001D5327" w14:paraId="066A1ECB" w14:textId="77777777" w:rsidTr="00403787">
        <w:tc>
          <w:tcPr>
            <w:tcW w:w="320" w:type="dxa"/>
            <w:vMerge/>
            <w:vAlign w:val="center"/>
            <w:hideMark/>
          </w:tcPr>
          <w:p w14:paraId="007B9551" w14:textId="77777777" w:rsidR="00590FE1" w:rsidRPr="001D5327" w:rsidRDefault="00590FE1" w:rsidP="00403787">
            <w:pPr>
              <w:pStyle w:val="TableText"/>
              <w:spacing w:before="50" w:after="50"/>
              <w:rPr>
                <w:rFonts w:cs="Calibri"/>
                <w:szCs w:val="16"/>
              </w:rPr>
            </w:pPr>
          </w:p>
        </w:tc>
        <w:tc>
          <w:tcPr>
            <w:tcW w:w="3224" w:type="dxa"/>
            <w:tcBorders>
              <w:top w:val="nil"/>
              <w:left w:val="nil"/>
              <w:bottom w:val="nil"/>
              <w:right w:val="nil"/>
            </w:tcBorders>
            <w:shd w:val="clear" w:color="auto" w:fill="auto"/>
            <w:vAlign w:val="center"/>
            <w:hideMark/>
          </w:tcPr>
          <w:p w14:paraId="201BED90" w14:textId="77777777" w:rsidR="00590FE1" w:rsidRPr="001D5327" w:rsidRDefault="00590FE1" w:rsidP="00C817BE">
            <w:pPr>
              <w:pStyle w:val="TableText"/>
              <w:spacing w:before="40" w:after="40"/>
              <w:rPr>
                <w:rFonts w:cs="Calibri"/>
                <w:szCs w:val="16"/>
              </w:rPr>
            </w:pPr>
            <w:r w:rsidRPr="001D5327">
              <w:rPr>
                <w:rFonts w:cs="Calibri"/>
                <w:szCs w:val="16"/>
              </w:rPr>
              <w:t>Atmospheric Deposition</w:t>
            </w:r>
          </w:p>
        </w:tc>
        <w:tc>
          <w:tcPr>
            <w:tcW w:w="828" w:type="dxa"/>
            <w:tcBorders>
              <w:top w:val="nil"/>
              <w:left w:val="nil"/>
              <w:bottom w:val="nil"/>
              <w:right w:val="nil"/>
            </w:tcBorders>
            <w:shd w:val="clear" w:color="auto" w:fill="auto"/>
            <w:noWrap/>
            <w:vAlign w:val="center"/>
            <w:hideMark/>
          </w:tcPr>
          <w:p w14:paraId="6A757C70" w14:textId="77777777" w:rsidR="00590FE1" w:rsidRPr="001D5327" w:rsidRDefault="00590FE1" w:rsidP="00C817BE">
            <w:pPr>
              <w:pStyle w:val="TableText"/>
              <w:spacing w:before="40" w:after="40"/>
              <w:rPr>
                <w:rFonts w:cs="Calibri"/>
                <w:color w:val="FFFFFF"/>
                <w:szCs w:val="16"/>
              </w:rPr>
            </w:pPr>
            <w:r w:rsidRPr="001D5327">
              <w:rPr>
                <w:rFonts w:cs="Calibri"/>
                <w:color w:val="FFFFFF"/>
                <w:szCs w:val="16"/>
              </w:rPr>
              <w:t>-</w:t>
            </w:r>
          </w:p>
        </w:tc>
        <w:tc>
          <w:tcPr>
            <w:tcW w:w="828" w:type="dxa"/>
            <w:tcBorders>
              <w:top w:val="nil"/>
              <w:left w:val="nil"/>
              <w:bottom w:val="nil"/>
              <w:right w:val="nil"/>
            </w:tcBorders>
            <w:shd w:val="clear" w:color="auto" w:fill="auto"/>
            <w:noWrap/>
            <w:vAlign w:val="center"/>
            <w:hideMark/>
          </w:tcPr>
          <w:p w14:paraId="3833B2D6" w14:textId="77777777" w:rsidR="00590FE1" w:rsidRPr="001D5327" w:rsidRDefault="00590FE1" w:rsidP="00C817BE">
            <w:pPr>
              <w:pStyle w:val="TableText"/>
              <w:spacing w:before="40" w:after="40"/>
              <w:rPr>
                <w:rFonts w:cs="Calibri"/>
                <w:color w:val="FFFFFF"/>
                <w:szCs w:val="16"/>
              </w:rPr>
            </w:pPr>
            <w:r w:rsidRPr="001D5327">
              <w:rPr>
                <w:rFonts w:cs="Calibri"/>
                <w:color w:val="FFFFFF"/>
                <w:szCs w:val="16"/>
              </w:rPr>
              <w:t>-</w:t>
            </w:r>
          </w:p>
        </w:tc>
        <w:tc>
          <w:tcPr>
            <w:tcW w:w="829" w:type="dxa"/>
            <w:tcBorders>
              <w:top w:val="nil"/>
              <w:left w:val="nil"/>
              <w:bottom w:val="nil"/>
              <w:right w:val="nil"/>
            </w:tcBorders>
            <w:shd w:val="clear" w:color="auto" w:fill="auto"/>
            <w:noWrap/>
            <w:vAlign w:val="center"/>
            <w:hideMark/>
          </w:tcPr>
          <w:p w14:paraId="32608B51" w14:textId="77777777" w:rsidR="00590FE1" w:rsidRPr="001D5327" w:rsidRDefault="00590FE1" w:rsidP="00C817BE">
            <w:pPr>
              <w:pStyle w:val="TableText"/>
              <w:spacing w:before="40" w:after="40"/>
              <w:rPr>
                <w:rFonts w:cs="Calibri"/>
                <w:szCs w:val="16"/>
              </w:rPr>
            </w:pPr>
            <w:r w:rsidRPr="001D5327">
              <w:rPr>
                <w:rFonts w:cs="Calibri"/>
                <w:szCs w:val="16"/>
              </w:rPr>
              <w:t>T1, T2</w:t>
            </w:r>
          </w:p>
        </w:tc>
        <w:tc>
          <w:tcPr>
            <w:tcW w:w="828" w:type="dxa"/>
            <w:tcBorders>
              <w:top w:val="nil"/>
              <w:left w:val="nil"/>
              <w:bottom w:val="nil"/>
              <w:right w:val="nil"/>
            </w:tcBorders>
            <w:shd w:val="clear" w:color="auto" w:fill="auto"/>
            <w:noWrap/>
            <w:vAlign w:val="center"/>
            <w:hideMark/>
          </w:tcPr>
          <w:p w14:paraId="3CCD7885" w14:textId="77777777" w:rsidR="00590FE1" w:rsidRPr="001D5327" w:rsidRDefault="00590FE1" w:rsidP="00C817BE">
            <w:pPr>
              <w:pStyle w:val="TableText"/>
              <w:spacing w:before="40" w:after="40"/>
              <w:rPr>
                <w:rFonts w:cs="Calibri"/>
                <w:szCs w:val="16"/>
              </w:rPr>
            </w:pPr>
            <w:r w:rsidRPr="001D5327">
              <w:rPr>
                <w:rFonts w:cs="Calibri"/>
                <w:szCs w:val="16"/>
              </w:rPr>
              <w:t>D</w:t>
            </w:r>
          </w:p>
        </w:tc>
        <w:tc>
          <w:tcPr>
            <w:tcW w:w="828" w:type="dxa"/>
            <w:tcBorders>
              <w:top w:val="nil"/>
              <w:left w:val="nil"/>
              <w:bottom w:val="nil"/>
              <w:right w:val="nil"/>
            </w:tcBorders>
            <w:shd w:val="clear" w:color="auto" w:fill="auto"/>
            <w:noWrap/>
            <w:vAlign w:val="center"/>
            <w:hideMark/>
          </w:tcPr>
          <w:p w14:paraId="319554D8" w14:textId="2913442F" w:rsidR="00590FE1" w:rsidRPr="00C817BE" w:rsidRDefault="00590FE1" w:rsidP="00C817BE">
            <w:pPr>
              <w:pStyle w:val="TableText"/>
              <w:spacing w:before="40" w:after="40"/>
              <w:rPr>
                <w:rFonts w:cs="Calibri"/>
                <w:color w:val="FFFFFF"/>
                <w:szCs w:val="16"/>
              </w:rPr>
            </w:pPr>
            <w:r w:rsidRPr="00C817BE">
              <w:rPr>
                <w:rFonts w:cs="Calibri"/>
                <w:color w:val="FFFFFF"/>
                <w:szCs w:val="16"/>
              </w:rPr>
              <w:t>-</w:t>
            </w:r>
            <w:r w:rsidR="00C817BE">
              <w:t>-</w:t>
            </w:r>
          </w:p>
        </w:tc>
        <w:tc>
          <w:tcPr>
            <w:tcW w:w="829" w:type="dxa"/>
            <w:tcBorders>
              <w:top w:val="nil"/>
              <w:left w:val="nil"/>
              <w:bottom w:val="nil"/>
              <w:right w:val="nil"/>
            </w:tcBorders>
            <w:shd w:val="clear" w:color="auto" w:fill="auto"/>
            <w:noWrap/>
            <w:vAlign w:val="center"/>
            <w:hideMark/>
          </w:tcPr>
          <w:p w14:paraId="48E4A3BB" w14:textId="158B74C0" w:rsidR="00590FE1" w:rsidRPr="00C817BE" w:rsidRDefault="00590FE1" w:rsidP="00C817BE">
            <w:pPr>
              <w:pStyle w:val="TableText"/>
              <w:spacing w:before="40" w:after="40"/>
              <w:rPr>
                <w:rFonts w:cs="Calibri"/>
                <w:color w:val="FFFFFF"/>
                <w:szCs w:val="16"/>
              </w:rPr>
            </w:pPr>
            <w:r w:rsidRPr="00C817BE">
              <w:rPr>
                <w:rFonts w:cs="Calibri"/>
                <w:color w:val="FFFFFF"/>
                <w:szCs w:val="16"/>
              </w:rPr>
              <w:t>-</w:t>
            </w:r>
            <w:r w:rsidR="00C817BE">
              <w:t>-</w:t>
            </w:r>
          </w:p>
        </w:tc>
      </w:tr>
      <w:tr w:rsidR="00590FE1" w:rsidRPr="001D5327" w14:paraId="6F517A39" w14:textId="77777777" w:rsidTr="00403787">
        <w:tc>
          <w:tcPr>
            <w:tcW w:w="320" w:type="dxa"/>
            <w:vMerge/>
            <w:vAlign w:val="center"/>
            <w:hideMark/>
          </w:tcPr>
          <w:p w14:paraId="302C0DC4" w14:textId="77777777" w:rsidR="00590FE1" w:rsidRPr="001D5327" w:rsidRDefault="00590FE1" w:rsidP="00403787">
            <w:pPr>
              <w:pStyle w:val="TableText"/>
              <w:spacing w:before="50" w:after="50"/>
              <w:rPr>
                <w:rFonts w:cs="Calibri"/>
                <w:szCs w:val="16"/>
              </w:rPr>
            </w:pPr>
          </w:p>
        </w:tc>
        <w:tc>
          <w:tcPr>
            <w:tcW w:w="3224" w:type="dxa"/>
            <w:tcBorders>
              <w:top w:val="nil"/>
              <w:left w:val="nil"/>
              <w:bottom w:val="single" w:sz="4" w:space="0" w:color="1B556B" w:themeColor="text2"/>
              <w:right w:val="nil"/>
            </w:tcBorders>
            <w:shd w:val="clear" w:color="auto" w:fill="auto"/>
            <w:vAlign w:val="center"/>
            <w:hideMark/>
          </w:tcPr>
          <w:p w14:paraId="2518DEA3" w14:textId="77777777" w:rsidR="00590FE1" w:rsidRPr="001D5327" w:rsidRDefault="00590FE1" w:rsidP="00C817BE">
            <w:pPr>
              <w:pStyle w:val="TableText"/>
              <w:spacing w:before="40" w:after="40"/>
              <w:rPr>
                <w:rFonts w:cs="Calibri"/>
                <w:szCs w:val="16"/>
              </w:rPr>
            </w:pPr>
            <w:r w:rsidRPr="001D5327">
              <w:rPr>
                <w:rFonts w:cs="Calibri"/>
                <w:szCs w:val="16"/>
              </w:rPr>
              <w:t>Nitrogen Leaching and Run-off</w:t>
            </w:r>
          </w:p>
        </w:tc>
        <w:tc>
          <w:tcPr>
            <w:tcW w:w="828" w:type="dxa"/>
            <w:tcBorders>
              <w:top w:val="nil"/>
              <w:left w:val="nil"/>
              <w:bottom w:val="single" w:sz="4" w:space="0" w:color="1B556B" w:themeColor="text2"/>
              <w:right w:val="nil"/>
            </w:tcBorders>
            <w:shd w:val="clear" w:color="auto" w:fill="auto"/>
            <w:noWrap/>
            <w:vAlign w:val="center"/>
            <w:hideMark/>
          </w:tcPr>
          <w:p w14:paraId="4621E32A" w14:textId="77777777" w:rsidR="00590FE1" w:rsidRPr="001D5327" w:rsidRDefault="00590FE1" w:rsidP="00C817BE">
            <w:pPr>
              <w:pStyle w:val="TableText"/>
              <w:spacing w:before="40" w:after="40"/>
              <w:rPr>
                <w:rFonts w:cs="Calibri"/>
                <w:color w:val="FFFFFF"/>
                <w:szCs w:val="16"/>
              </w:rPr>
            </w:pPr>
            <w:r w:rsidRPr="001D5327">
              <w:rPr>
                <w:rFonts w:cs="Calibri"/>
                <w:color w:val="FFFFFF"/>
                <w:szCs w:val="16"/>
              </w:rPr>
              <w:t>-</w:t>
            </w:r>
          </w:p>
        </w:tc>
        <w:tc>
          <w:tcPr>
            <w:tcW w:w="828" w:type="dxa"/>
            <w:tcBorders>
              <w:top w:val="nil"/>
              <w:left w:val="nil"/>
              <w:bottom w:val="single" w:sz="4" w:space="0" w:color="1B556B" w:themeColor="text2"/>
              <w:right w:val="nil"/>
            </w:tcBorders>
            <w:shd w:val="clear" w:color="auto" w:fill="auto"/>
            <w:noWrap/>
            <w:vAlign w:val="center"/>
            <w:hideMark/>
          </w:tcPr>
          <w:p w14:paraId="1D1494D5" w14:textId="77777777" w:rsidR="00590FE1" w:rsidRPr="001D5327" w:rsidRDefault="00590FE1" w:rsidP="00C817BE">
            <w:pPr>
              <w:pStyle w:val="TableText"/>
              <w:spacing w:before="40" w:after="40"/>
              <w:rPr>
                <w:rFonts w:cs="Calibri"/>
                <w:color w:val="FFFFFF"/>
                <w:szCs w:val="16"/>
              </w:rPr>
            </w:pPr>
            <w:r w:rsidRPr="001D5327">
              <w:rPr>
                <w:rFonts w:cs="Calibri"/>
                <w:color w:val="FFFFFF"/>
                <w:szCs w:val="16"/>
              </w:rPr>
              <w:t>-</w:t>
            </w:r>
          </w:p>
        </w:tc>
        <w:tc>
          <w:tcPr>
            <w:tcW w:w="829" w:type="dxa"/>
            <w:tcBorders>
              <w:top w:val="nil"/>
              <w:left w:val="nil"/>
              <w:bottom w:val="single" w:sz="4" w:space="0" w:color="1B556B" w:themeColor="text2"/>
              <w:right w:val="nil"/>
            </w:tcBorders>
            <w:shd w:val="clear" w:color="auto" w:fill="auto"/>
            <w:noWrap/>
            <w:vAlign w:val="center"/>
            <w:hideMark/>
          </w:tcPr>
          <w:p w14:paraId="399E694D" w14:textId="77777777" w:rsidR="00590FE1" w:rsidRPr="001D5327" w:rsidRDefault="00590FE1" w:rsidP="00C817BE">
            <w:pPr>
              <w:pStyle w:val="TableText"/>
              <w:spacing w:before="40" w:after="40"/>
              <w:rPr>
                <w:rFonts w:cs="Calibri"/>
                <w:szCs w:val="16"/>
              </w:rPr>
            </w:pPr>
            <w:r w:rsidRPr="001D5327">
              <w:rPr>
                <w:rFonts w:cs="Calibri"/>
                <w:szCs w:val="16"/>
              </w:rPr>
              <w:t>T1, T2</w:t>
            </w:r>
          </w:p>
        </w:tc>
        <w:tc>
          <w:tcPr>
            <w:tcW w:w="828" w:type="dxa"/>
            <w:tcBorders>
              <w:top w:val="nil"/>
              <w:left w:val="nil"/>
              <w:bottom w:val="single" w:sz="4" w:space="0" w:color="1B556B" w:themeColor="text2"/>
              <w:right w:val="nil"/>
            </w:tcBorders>
            <w:shd w:val="clear" w:color="auto" w:fill="auto"/>
            <w:noWrap/>
            <w:vAlign w:val="center"/>
            <w:hideMark/>
          </w:tcPr>
          <w:p w14:paraId="0D3A721D" w14:textId="77777777" w:rsidR="00590FE1" w:rsidRPr="001D5327" w:rsidRDefault="00590FE1" w:rsidP="00C817BE">
            <w:pPr>
              <w:pStyle w:val="TableText"/>
              <w:spacing w:before="40" w:after="40"/>
              <w:rPr>
                <w:rFonts w:cs="Calibri"/>
                <w:szCs w:val="16"/>
              </w:rPr>
            </w:pPr>
            <w:r w:rsidRPr="001D5327">
              <w:rPr>
                <w:rFonts w:cs="Calibri"/>
                <w:szCs w:val="16"/>
              </w:rPr>
              <w:t>CS</w:t>
            </w:r>
          </w:p>
        </w:tc>
        <w:tc>
          <w:tcPr>
            <w:tcW w:w="828" w:type="dxa"/>
            <w:tcBorders>
              <w:top w:val="nil"/>
              <w:left w:val="nil"/>
              <w:bottom w:val="single" w:sz="4" w:space="0" w:color="1B556B" w:themeColor="text2"/>
              <w:right w:val="nil"/>
            </w:tcBorders>
            <w:shd w:val="clear" w:color="auto" w:fill="auto"/>
            <w:noWrap/>
            <w:vAlign w:val="center"/>
            <w:hideMark/>
          </w:tcPr>
          <w:p w14:paraId="16386C6C" w14:textId="0D835D22" w:rsidR="00590FE1" w:rsidRPr="00C817BE" w:rsidRDefault="00590FE1" w:rsidP="00C817BE">
            <w:pPr>
              <w:pStyle w:val="TableText"/>
              <w:spacing w:before="40" w:after="40"/>
              <w:rPr>
                <w:rFonts w:cs="Calibri"/>
                <w:color w:val="FFFFFF"/>
                <w:szCs w:val="16"/>
              </w:rPr>
            </w:pPr>
            <w:r w:rsidRPr="00C817BE">
              <w:rPr>
                <w:rFonts w:cs="Calibri"/>
                <w:color w:val="FFFFFF"/>
                <w:szCs w:val="16"/>
              </w:rPr>
              <w:t>-</w:t>
            </w:r>
            <w:r w:rsidR="00C817BE">
              <w:t>-</w:t>
            </w:r>
          </w:p>
        </w:tc>
        <w:tc>
          <w:tcPr>
            <w:tcW w:w="829" w:type="dxa"/>
            <w:tcBorders>
              <w:top w:val="nil"/>
              <w:left w:val="nil"/>
              <w:bottom w:val="single" w:sz="4" w:space="0" w:color="1B556B" w:themeColor="text2"/>
              <w:right w:val="nil"/>
            </w:tcBorders>
            <w:shd w:val="clear" w:color="auto" w:fill="auto"/>
            <w:noWrap/>
            <w:vAlign w:val="center"/>
            <w:hideMark/>
          </w:tcPr>
          <w:p w14:paraId="0DA43352" w14:textId="0EB504A6" w:rsidR="00590FE1" w:rsidRPr="00C817BE" w:rsidRDefault="00590FE1" w:rsidP="00C817BE">
            <w:pPr>
              <w:pStyle w:val="TableText"/>
              <w:spacing w:before="40" w:after="40"/>
              <w:rPr>
                <w:rFonts w:cs="Calibri"/>
                <w:color w:val="FFFFFF"/>
                <w:szCs w:val="16"/>
              </w:rPr>
            </w:pPr>
            <w:r w:rsidRPr="00C817BE">
              <w:rPr>
                <w:rFonts w:cs="Calibri"/>
                <w:color w:val="FFFFFF"/>
                <w:szCs w:val="16"/>
              </w:rPr>
              <w:t>-</w:t>
            </w:r>
            <w:r w:rsidR="00C817BE">
              <w:t>-</w:t>
            </w:r>
          </w:p>
        </w:tc>
      </w:tr>
      <w:tr w:rsidR="00590FE1" w:rsidRPr="001D5327" w14:paraId="3053422D" w14:textId="77777777" w:rsidTr="00403787">
        <w:tc>
          <w:tcPr>
            <w:tcW w:w="320" w:type="dxa"/>
            <w:tcBorders>
              <w:top w:val="single" w:sz="4" w:space="0" w:color="1B556B" w:themeColor="text2"/>
              <w:left w:val="nil"/>
              <w:bottom w:val="single" w:sz="4" w:space="0" w:color="1B556B" w:themeColor="text2"/>
              <w:right w:val="nil"/>
            </w:tcBorders>
            <w:shd w:val="clear" w:color="auto" w:fill="auto"/>
            <w:noWrap/>
            <w:vAlign w:val="center"/>
            <w:hideMark/>
          </w:tcPr>
          <w:p w14:paraId="23CAC7B5" w14:textId="77777777" w:rsidR="00590FE1" w:rsidRPr="001D5327" w:rsidRDefault="00590FE1" w:rsidP="00403787">
            <w:pPr>
              <w:spacing w:before="50" w:after="50"/>
              <w:rPr>
                <w:rFonts w:cs="Calibri"/>
                <w:b/>
                <w:bCs/>
                <w:color w:val="000000"/>
                <w:sz w:val="16"/>
                <w:szCs w:val="16"/>
              </w:rPr>
            </w:pPr>
            <w:r w:rsidRPr="001D5327">
              <w:rPr>
                <w:rFonts w:cs="Calibri"/>
                <w:b/>
                <w:bCs/>
                <w:color w:val="000000"/>
                <w:sz w:val="16"/>
                <w:szCs w:val="16"/>
              </w:rPr>
              <w:t>E</w:t>
            </w:r>
          </w:p>
        </w:tc>
        <w:tc>
          <w:tcPr>
            <w:tcW w:w="3224" w:type="dxa"/>
            <w:tcBorders>
              <w:top w:val="single" w:sz="4" w:space="0" w:color="1B556B" w:themeColor="text2"/>
              <w:left w:val="nil"/>
              <w:bottom w:val="single" w:sz="4" w:space="0" w:color="1B556B" w:themeColor="text2"/>
              <w:right w:val="nil"/>
            </w:tcBorders>
            <w:shd w:val="clear" w:color="auto" w:fill="auto"/>
            <w:vAlign w:val="center"/>
            <w:hideMark/>
          </w:tcPr>
          <w:p w14:paraId="355C2CEB" w14:textId="77777777" w:rsidR="00590FE1" w:rsidRPr="001D5327" w:rsidRDefault="00590FE1" w:rsidP="00C817BE">
            <w:pPr>
              <w:spacing w:before="40" w:after="40"/>
              <w:rPr>
                <w:rFonts w:cs="Calibri"/>
                <w:b/>
                <w:bCs/>
                <w:color w:val="000000"/>
                <w:sz w:val="16"/>
                <w:szCs w:val="16"/>
              </w:rPr>
            </w:pPr>
            <w:r w:rsidRPr="001D5327">
              <w:rPr>
                <w:rFonts w:cs="Calibri"/>
                <w:b/>
                <w:bCs/>
                <w:color w:val="000000"/>
                <w:sz w:val="16"/>
                <w:szCs w:val="16"/>
              </w:rPr>
              <w:t xml:space="preserve">Prescribed Burning of Savannas </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2C33F5C2" w14:textId="77777777" w:rsidR="00590FE1" w:rsidRPr="001D5327" w:rsidRDefault="00590FE1" w:rsidP="00C817BE">
            <w:pPr>
              <w:spacing w:before="40" w:after="40"/>
              <w:rPr>
                <w:rFonts w:cs="Calibri"/>
                <w:color w:val="000000"/>
                <w:sz w:val="16"/>
                <w:szCs w:val="16"/>
              </w:rPr>
            </w:pPr>
            <w:r w:rsidRPr="001D5327">
              <w:rPr>
                <w:rFonts w:cs="Calibri"/>
                <w:color w:val="000000"/>
                <w:sz w:val="16"/>
                <w:szCs w:val="16"/>
              </w:rPr>
              <w:t>NA</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6067EAC4" w14:textId="77777777" w:rsidR="00590FE1" w:rsidRPr="001D5327" w:rsidRDefault="00590FE1" w:rsidP="00C817BE">
            <w:pPr>
              <w:spacing w:before="40" w:after="40"/>
              <w:rPr>
                <w:rFonts w:cs="Calibri"/>
                <w:color w:val="000000"/>
                <w:sz w:val="16"/>
                <w:szCs w:val="16"/>
              </w:rPr>
            </w:pPr>
            <w:r w:rsidRPr="001D5327">
              <w:rPr>
                <w:rFonts w:cs="Calibri"/>
                <w:color w:val="000000"/>
                <w:sz w:val="16"/>
                <w:szCs w:val="16"/>
              </w:rPr>
              <w:t>NA</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0DA65280" w14:textId="77777777" w:rsidR="00590FE1" w:rsidRPr="001D5327" w:rsidRDefault="00590FE1" w:rsidP="00C817BE">
            <w:pPr>
              <w:spacing w:before="40" w:after="40"/>
              <w:rPr>
                <w:rFonts w:cs="Calibri"/>
                <w:color w:val="000000"/>
                <w:sz w:val="16"/>
                <w:szCs w:val="16"/>
              </w:rPr>
            </w:pPr>
            <w:r w:rsidRPr="001D5327">
              <w:rPr>
                <w:rFonts w:cs="Calibri"/>
                <w:color w:val="000000"/>
                <w:sz w:val="16"/>
                <w:szCs w:val="16"/>
              </w:rPr>
              <w:t>NA</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40B79E30" w14:textId="77777777" w:rsidR="00590FE1" w:rsidRPr="001D5327" w:rsidRDefault="00590FE1" w:rsidP="00C817BE">
            <w:pPr>
              <w:spacing w:before="40" w:after="40"/>
              <w:rPr>
                <w:rFonts w:cs="Calibri"/>
                <w:color w:val="000000"/>
                <w:sz w:val="16"/>
                <w:szCs w:val="16"/>
              </w:rPr>
            </w:pPr>
            <w:r w:rsidRPr="001D5327">
              <w:rPr>
                <w:rFonts w:cs="Calibri"/>
                <w:color w:val="000000"/>
                <w:sz w:val="16"/>
                <w:szCs w:val="16"/>
              </w:rPr>
              <w:t>NA</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5F3C7F49" w14:textId="3935A421" w:rsidR="00590FE1" w:rsidRPr="00C817BE" w:rsidRDefault="00590FE1" w:rsidP="00C817BE">
            <w:pPr>
              <w:spacing w:before="40" w:after="40"/>
              <w:rPr>
                <w:rFonts w:cs="Calibri"/>
                <w:color w:val="FFFFFF"/>
                <w:sz w:val="16"/>
                <w:szCs w:val="16"/>
              </w:rPr>
            </w:pPr>
            <w:r w:rsidRPr="00C817BE">
              <w:rPr>
                <w:rFonts w:cs="Calibri"/>
                <w:color w:val="FFFFFF"/>
                <w:sz w:val="16"/>
                <w:szCs w:val="16"/>
              </w:rPr>
              <w:t>-</w:t>
            </w:r>
            <w:r w:rsidR="00C817BE">
              <w:rPr>
                <w:sz w:val="16"/>
                <w:szCs w:val="16"/>
              </w:rPr>
              <w:t>-</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2EEC0A48" w14:textId="743F4D79" w:rsidR="00590FE1" w:rsidRPr="00C817BE" w:rsidRDefault="00590FE1" w:rsidP="00C817BE">
            <w:pPr>
              <w:spacing w:before="40" w:after="40"/>
              <w:rPr>
                <w:rFonts w:cs="Calibri"/>
                <w:color w:val="FFFFFF"/>
                <w:sz w:val="16"/>
                <w:szCs w:val="16"/>
              </w:rPr>
            </w:pPr>
            <w:r w:rsidRPr="00C817BE">
              <w:rPr>
                <w:rFonts w:cs="Calibri"/>
                <w:color w:val="FFFFFF"/>
                <w:sz w:val="16"/>
                <w:szCs w:val="16"/>
              </w:rPr>
              <w:t>-</w:t>
            </w:r>
            <w:r w:rsidR="00C817BE">
              <w:rPr>
                <w:sz w:val="16"/>
                <w:szCs w:val="16"/>
              </w:rPr>
              <w:t>-</w:t>
            </w:r>
          </w:p>
        </w:tc>
      </w:tr>
      <w:tr w:rsidR="00590FE1" w:rsidRPr="001D5327" w14:paraId="242870DA" w14:textId="77777777" w:rsidTr="00403787">
        <w:tc>
          <w:tcPr>
            <w:tcW w:w="320" w:type="dxa"/>
            <w:tcBorders>
              <w:top w:val="single" w:sz="4" w:space="0" w:color="1B556B" w:themeColor="text2"/>
              <w:left w:val="nil"/>
              <w:bottom w:val="single" w:sz="4" w:space="0" w:color="1B556B" w:themeColor="text2"/>
              <w:right w:val="nil"/>
            </w:tcBorders>
            <w:shd w:val="clear" w:color="auto" w:fill="auto"/>
            <w:noWrap/>
            <w:vAlign w:val="center"/>
            <w:hideMark/>
          </w:tcPr>
          <w:p w14:paraId="051E7FE8" w14:textId="77777777" w:rsidR="00590FE1" w:rsidRPr="001D5327" w:rsidRDefault="00590FE1" w:rsidP="00403787">
            <w:pPr>
              <w:spacing w:before="50" w:after="50"/>
              <w:rPr>
                <w:rFonts w:cs="Calibri"/>
                <w:b/>
                <w:bCs/>
                <w:color w:val="000000"/>
                <w:sz w:val="16"/>
                <w:szCs w:val="16"/>
              </w:rPr>
            </w:pPr>
            <w:r w:rsidRPr="001D5327">
              <w:rPr>
                <w:rFonts w:cs="Calibri"/>
                <w:b/>
                <w:bCs/>
                <w:color w:val="000000"/>
                <w:sz w:val="16"/>
                <w:szCs w:val="16"/>
              </w:rPr>
              <w:t>F</w:t>
            </w:r>
          </w:p>
        </w:tc>
        <w:tc>
          <w:tcPr>
            <w:tcW w:w="3224" w:type="dxa"/>
            <w:tcBorders>
              <w:top w:val="single" w:sz="4" w:space="0" w:color="1B556B" w:themeColor="text2"/>
              <w:left w:val="nil"/>
              <w:bottom w:val="single" w:sz="4" w:space="0" w:color="1B556B" w:themeColor="text2"/>
              <w:right w:val="nil"/>
            </w:tcBorders>
            <w:shd w:val="clear" w:color="auto" w:fill="auto"/>
            <w:vAlign w:val="center"/>
            <w:hideMark/>
          </w:tcPr>
          <w:p w14:paraId="7E1DACA9" w14:textId="77777777" w:rsidR="00590FE1" w:rsidRPr="001D5327" w:rsidRDefault="00590FE1" w:rsidP="00C817BE">
            <w:pPr>
              <w:spacing w:before="40" w:after="40"/>
              <w:rPr>
                <w:rFonts w:cs="Calibri"/>
                <w:b/>
                <w:bCs/>
                <w:color w:val="000000"/>
                <w:sz w:val="16"/>
                <w:szCs w:val="16"/>
              </w:rPr>
            </w:pPr>
            <w:r w:rsidRPr="001D5327">
              <w:rPr>
                <w:rFonts w:cs="Calibri"/>
                <w:b/>
                <w:bCs/>
                <w:color w:val="000000"/>
                <w:sz w:val="16"/>
                <w:szCs w:val="16"/>
              </w:rPr>
              <w:t>Field Burning of Agricultural Residues</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5375D73D" w14:textId="77777777" w:rsidR="00590FE1" w:rsidRPr="001D5327" w:rsidRDefault="00590FE1" w:rsidP="00C817BE">
            <w:pPr>
              <w:spacing w:before="40" w:after="40"/>
              <w:rPr>
                <w:rFonts w:cs="Calibri"/>
                <w:color w:val="000000"/>
                <w:sz w:val="16"/>
                <w:szCs w:val="16"/>
              </w:rPr>
            </w:pPr>
            <w:r w:rsidRPr="001D5327">
              <w:rPr>
                <w:rFonts w:cs="Calibri"/>
                <w:color w:val="000000"/>
                <w:sz w:val="16"/>
                <w:szCs w:val="16"/>
              </w:rPr>
              <w:t>T2</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6ACF2523" w14:textId="77777777" w:rsidR="00590FE1" w:rsidRPr="001D5327" w:rsidRDefault="00590FE1" w:rsidP="00C817BE">
            <w:pPr>
              <w:spacing w:before="40" w:after="40"/>
              <w:rPr>
                <w:rFonts w:cs="Calibri"/>
                <w:color w:val="000000"/>
                <w:sz w:val="16"/>
                <w:szCs w:val="16"/>
              </w:rPr>
            </w:pPr>
            <w:r w:rsidRPr="001D5327">
              <w:rPr>
                <w:rFonts w:cs="Calibri"/>
                <w:color w:val="000000"/>
                <w:sz w:val="16"/>
                <w:szCs w:val="16"/>
              </w:rPr>
              <w:t>CS</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27D091B9" w14:textId="77777777" w:rsidR="00590FE1" w:rsidRPr="001D5327" w:rsidRDefault="00590FE1" w:rsidP="00C817BE">
            <w:pPr>
              <w:spacing w:before="40" w:after="40"/>
              <w:rPr>
                <w:rFonts w:cs="Calibri"/>
                <w:color w:val="000000"/>
                <w:sz w:val="16"/>
                <w:szCs w:val="16"/>
              </w:rPr>
            </w:pPr>
            <w:r w:rsidRPr="001D5327">
              <w:rPr>
                <w:rFonts w:cs="Calibri"/>
                <w:color w:val="000000"/>
                <w:sz w:val="16"/>
                <w:szCs w:val="16"/>
              </w:rPr>
              <w:t>T2</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0773302A" w14:textId="77777777" w:rsidR="00590FE1" w:rsidRPr="001D5327" w:rsidRDefault="00590FE1" w:rsidP="00C817BE">
            <w:pPr>
              <w:spacing w:before="40" w:after="40"/>
              <w:rPr>
                <w:rFonts w:cs="Calibri"/>
                <w:color w:val="000000"/>
                <w:sz w:val="16"/>
                <w:szCs w:val="16"/>
              </w:rPr>
            </w:pPr>
            <w:r w:rsidRPr="001D5327">
              <w:rPr>
                <w:rFonts w:cs="Calibri"/>
                <w:color w:val="000000"/>
                <w:sz w:val="16"/>
                <w:szCs w:val="16"/>
              </w:rPr>
              <w:t>CS</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690B7972" w14:textId="05AACBB9" w:rsidR="00590FE1" w:rsidRPr="00C817BE" w:rsidRDefault="00590FE1" w:rsidP="00C817BE">
            <w:pPr>
              <w:spacing w:before="40" w:after="40"/>
              <w:rPr>
                <w:rFonts w:cs="Calibri"/>
                <w:color w:val="FFFFFF"/>
                <w:sz w:val="16"/>
                <w:szCs w:val="16"/>
              </w:rPr>
            </w:pPr>
            <w:r w:rsidRPr="00C817BE">
              <w:rPr>
                <w:rFonts w:cs="Calibri"/>
                <w:color w:val="FFFFFF"/>
                <w:sz w:val="16"/>
                <w:szCs w:val="16"/>
              </w:rPr>
              <w:t>-</w:t>
            </w:r>
            <w:r w:rsidR="00C817BE">
              <w:rPr>
                <w:sz w:val="16"/>
                <w:szCs w:val="16"/>
              </w:rPr>
              <w:t>-</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783F0179" w14:textId="76FC5F95" w:rsidR="00590FE1" w:rsidRPr="00C817BE" w:rsidRDefault="00590FE1" w:rsidP="00C817BE">
            <w:pPr>
              <w:spacing w:before="40" w:after="40"/>
              <w:rPr>
                <w:rFonts w:cs="Calibri"/>
                <w:color w:val="FFFFFF"/>
                <w:sz w:val="16"/>
                <w:szCs w:val="16"/>
              </w:rPr>
            </w:pPr>
            <w:r w:rsidRPr="00C817BE">
              <w:rPr>
                <w:rFonts w:cs="Calibri"/>
                <w:color w:val="FFFFFF"/>
                <w:sz w:val="16"/>
                <w:szCs w:val="16"/>
              </w:rPr>
              <w:t>-</w:t>
            </w:r>
            <w:r w:rsidR="00C817BE">
              <w:rPr>
                <w:sz w:val="16"/>
                <w:szCs w:val="16"/>
              </w:rPr>
              <w:t>-</w:t>
            </w:r>
          </w:p>
        </w:tc>
      </w:tr>
      <w:tr w:rsidR="00590FE1" w:rsidRPr="001D5327" w14:paraId="16EA4BF9" w14:textId="77777777" w:rsidTr="00403787">
        <w:tc>
          <w:tcPr>
            <w:tcW w:w="320" w:type="dxa"/>
            <w:tcBorders>
              <w:top w:val="single" w:sz="4" w:space="0" w:color="1B556B" w:themeColor="text2"/>
              <w:left w:val="nil"/>
              <w:bottom w:val="single" w:sz="4" w:space="0" w:color="1B556B" w:themeColor="text2"/>
              <w:right w:val="nil"/>
            </w:tcBorders>
            <w:shd w:val="clear" w:color="auto" w:fill="auto"/>
            <w:noWrap/>
            <w:vAlign w:val="center"/>
            <w:hideMark/>
          </w:tcPr>
          <w:p w14:paraId="3E7E1245" w14:textId="77777777" w:rsidR="00590FE1" w:rsidRPr="001D5327" w:rsidRDefault="00590FE1" w:rsidP="00403787">
            <w:pPr>
              <w:spacing w:before="50" w:after="50"/>
              <w:rPr>
                <w:rFonts w:cs="Calibri"/>
                <w:b/>
                <w:bCs/>
                <w:color w:val="000000"/>
                <w:sz w:val="16"/>
                <w:szCs w:val="16"/>
              </w:rPr>
            </w:pPr>
            <w:r w:rsidRPr="001D5327">
              <w:rPr>
                <w:rFonts w:cs="Calibri"/>
                <w:b/>
                <w:bCs/>
                <w:color w:val="000000"/>
                <w:sz w:val="16"/>
                <w:szCs w:val="16"/>
              </w:rPr>
              <w:t>G</w:t>
            </w:r>
          </w:p>
        </w:tc>
        <w:tc>
          <w:tcPr>
            <w:tcW w:w="3224" w:type="dxa"/>
            <w:tcBorders>
              <w:top w:val="single" w:sz="4" w:space="0" w:color="1B556B" w:themeColor="text2"/>
              <w:left w:val="nil"/>
              <w:bottom w:val="single" w:sz="4" w:space="0" w:color="1B556B" w:themeColor="text2"/>
              <w:right w:val="nil"/>
            </w:tcBorders>
            <w:shd w:val="clear" w:color="auto" w:fill="auto"/>
            <w:vAlign w:val="center"/>
            <w:hideMark/>
          </w:tcPr>
          <w:p w14:paraId="058FA7F4" w14:textId="77777777" w:rsidR="00590FE1" w:rsidRPr="001D5327" w:rsidRDefault="00590FE1" w:rsidP="00C817BE">
            <w:pPr>
              <w:spacing w:before="40" w:after="40"/>
              <w:rPr>
                <w:rFonts w:cs="Calibri"/>
                <w:b/>
                <w:bCs/>
                <w:color w:val="000000"/>
                <w:sz w:val="16"/>
                <w:szCs w:val="16"/>
              </w:rPr>
            </w:pPr>
            <w:r w:rsidRPr="001D5327">
              <w:rPr>
                <w:rFonts w:cs="Calibri"/>
                <w:b/>
                <w:bCs/>
                <w:color w:val="000000"/>
                <w:sz w:val="16"/>
                <w:szCs w:val="16"/>
              </w:rPr>
              <w:t>Liming</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732AE8AB" w14:textId="530A1C90" w:rsidR="00590FE1" w:rsidRPr="00C817BE" w:rsidRDefault="00590FE1" w:rsidP="00C817BE">
            <w:pPr>
              <w:spacing w:before="40" w:after="40"/>
              <w:rPr>
                <w:rFonts w:cs="Calibri"/>
                <w:color w:val="FFFFFF"/>
                <w:sz w:val="16"/>
                <w:szCs w:val="16"/>
              </w:rPr>
            </w:pPr>
            <w:r w:rsidRPr="00C817BE">
              <w:rPr>
                <w:rFonts w:cs="Calibri"/>
                <w:color w:val="FFFFFF"/>
                <w:sz w:val="16"/>
                <w:szCs w:val="16"/>
              </w:rPr>
              <w:t>-</w:t>
            </w:r>
            <w:r w:rsidR="00C817BE">
              <w:rPr>
                <w:sz w:val="16"/>
                <w:szCs w:val="16"/>
              </w:rPr>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502CEEB1" w14:textId="1F3FCA75" w:rsidR="00590FE1" w:rsidRPr="00C817BE" w:rsidRDefault="00590FE1" w:rsidP="00C817BE">
            <w:pPr>
              <w:spacing w:before="40" w:after="40"/>
              <w:rPr>
                <w:rFonts w:cs="Calibri"/>
                <w:color w:val="FFFFFF"/>
                <w:sz w:val="16"/>
                <w:szCs w:val="16"/>
              </w:rPr>
            </w:pPr>
            <w:r w:rsidRPr="00C817BE">
              <w:rPr>
                <w:rFonts w:cs="Calibri"/>
                <w:color w:val="FFFFFF"/>
                <w:sz w:val="16"/>
                <w:szCs w:val="16"/>
              </w:rPr>
              <w:t>-</w:t>
            </w:r>
            <w:r w:rsidR="00C817BE">
              <w:rPr>
                <w:sz w:val="16"/>
                <w:szCs w:val="16"/>
              </w:rPr>
              <w:t>-</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66CDDED4" w14:textId="49E24F73" w:rsidR="00590FE1" w:rsidRPr="00C817BE" w:rsidRDefault="00590FE1" w:rsidP="00C817BE">
            <w:pPr>
              <w:spacing w:before="40" w:after="40"/>
              <w:rPr>
                <w:rFonts w:cs="Calibri"/>
                <w:color w:val="FFFFFF"/>
                <w:sz w:val="16"/>
                <w:szCs w:val="16"/>
              </w:rPr>
            </w:pPr>
            <w:r w:rsidRPr="00C817BE">
              <w:rPr>
                <w:rFonts w:cs="Calibri"/>
                <w:color w:val="FFFFFF"/>
                <w:sz w:val="16"/>
                <w:szCs w:val="16"/>
              </w:rPr>
              <w:t>-</w:t>
            </w:r>
            <w:r w:rsidR="00C817BE">
              <w:rPr>
                <w:sz w:val="16"/>
                <w:szCs w:val="16"/>
              </w:rPr>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02EA65C1" w14:textId="743EA68D" w:rsidR="00590FE1" w:rsidRPr="00C817BE" w:rsidRDefault="00590FE1" w:rsidP="00C817BE">
            <w:pPr>
              <w:spacing w:before="40" w:after="40"/>
              <w:rPr>
                <w:rFonts w:cs="Calibri"/>
                <w:color w:val="FFFFFF"/>
                <w:sz w:val="16"/>
                <w:szCs w:val="16"/>
              </w:rPr>
            </w:pPr>
            <w:r w:rsidRPr="00C817BE">
              <w:rPr>
                <w:rFonts w:cs="Calibri"/>
                <w:color w:val="FFFFFF"/>
                <w:sz w:val="16"/>
                <w:szCs w:val="16"/>
              </w:rPr>
              <w:t>-</w:t>
            </w:r>
            <w:r w:rsidR="00C817BE">
              <w:rPr>
                <w:sz w:val="16"/>
                <w:szCs w:val="16"/>
              </w:rPr>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754E3E74" w14:textId="77777777" w:rsidR="00590FE1" w:rsidRPr="001D5327" w:rsidRDefault="00590FE1" w:rsidP="00C817BE">
            <w:pPr>
              <w:spacing w:before="40" w:after="40"/>
              <w:rPr>
                <w:rFonts w:cs="Calibri"/>
                <w:color w:val="000000"/>
                <w:sz w:val="16"/>
                <w:szCs w:val="16"/>
              </w:rPr>
            </w:pPr>
            <w:r w:rsidRPr="001D5327">
              <w:rPr>
                <w:rFonts w:cs="Calibri"/>
                <w:color w:val="000000"/>
                <w:sz w:val="16"/>
                <w:szCs w:val="16"/>
              </w:rPr>
              <w:t>T1</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55BEE1D3" w14:textId="77777777" w:rsidR="00590FE1" w:rsidRPr="001D5327" w:rsidRDefault="00590FE1" w:rsidP="00C817BE">
            <w:pPr>
              <w:spacing w:before="40" w:after="40"/>
              <w:rPr>
                <w:rFonts w:cs="Calibri"/>
                <w:color w:val="000000"/>
                <w:sz w:val="16"/>
                <w:szCs w:val="16"/>
              </w:rPr>
            </w:pPr>
            <w:r w:rsidRPr="001D5327">
              <w:rPr>
                <w:rFonts w:cs="Calibri"/>
                <w:color w:val="000000"/>
                <w:sz w:val="16"/>
                <w:szCs w:val="16"/>
              </w:rPr>
              <w:t>D</w:t>
            </w:r>
          </w:p>
        </w:tc>
      </w:tr>
      <w:tr w:rsidR="00590FE1" w:rsidRPr="001D5327" w14:paraId="6CBAE1D2" w14:textId="77777777" w:rsidTr="00403787">
        <w:tc>
          <w:tcPr>
            <w:tcW w:w="320" w:type="dxa"/>
            <w:tcBorders>
              <w:top w:val="single" w:sz="4" w:space="0" w:color="1B556B" w:themeColor="text2"/>
              <w:left w:val="nil"/>
              <w:bottom w:val="single" w:sz="4" w:space="0" w:color="1B556B" w:themeColor="text2"/>
              <w:right w:val="nil"/>
            </w:tcBorders>
            <w:shd w:val="clear" w:color="auto" w:fill="auto"/>
            <w:noWrap/>
            <w:vAlign w:val="center"/>
            <w:hideMark/>
          </w:tcPr>
          <w:p w14:paraId="35714DA6" w14:textId="77777777" w:rsidR="00590FE1" w:rsidRPr="001D5327" w:rsidRDefault="00590FE1" w:rsidP="00403787">
            <w:pPr>
              <w:spacing w:before="50" w:after="50"/>
              <w:rPr>
                <w:rFonts w:cs="Calibri"/>
                <w:b/>
                <w:bCs/>
                <w:color w:val="000000"/>
                <w:sz w:val="16"/>
                <w:szCs w:val="16"/>
              </w:rPr>
            </w:pPr>
            <w:r w:rsidRPr="001D5327">
              <w:rPr>
                <w:rFonts w:cs="Calibri"/>
                <w:b/>
                <w:bCs/>
                <w:color w:val="000000"/>
                <w:sz w:val="16"/>
                <w:szCs w:val="16"/>
              </w:rPr>
              <w:t>H</w:t>
            </w:r>
          </w:p>
        </w:tc>
        <w:tc>
          <w:tcPr>
            <w:tcW w:w="3224" w:type="dxa"/>
            <w:tcBorders>
              <w:top w:val="single" w:sz="4" w:space="0" w:color="1B556B" w:themeColor="text2"/>
              <w:left w:val="nil"/>
              <w:bottom w:val="single" w:sz="4" w:space="0" w:color="1B556B" w:themeColor="text2"/>
              <w:right w:val="nil"/>
            </w:tcBorders>
            <w:shd w:val="clear" w:color="auto" w:fill="auto"/>
            <w:vAlign w:val="center"/>
            <w:hideMark/>
          </w:tcPr>
          <w:p w14:paraId="56BCAA00" w14:textId="77777777" w:rsidR="00590FE1" w:rsidRPr="001D5327" w:rsidRDefault="00590FE1" w:rsidP="00C817BE">
            <w:pPr>
              <w:spacing w:before="40" w:after="40"/>
              <w:rPr>
                <w:rFonts w:cs="Calibri"/>
                <w:b/>
                <w:bCs/>
                <w:color w:val="000000"/>
                <w:sz w:val="16"/>
                <w:szCs w:val="16"/>
              </w:rPr>
            </w:pPr>
            <w:r w:rsidRPr="001D5327">
              <w:rPr>
                <w:rFonts w:cs="Calibri"/>
                <w:b/>
                <w:bCs/>
                <w:color w:val="000000"/>
                <w:sz w:val="16"/>
                <w:szCs w:val="16"/>
              </w:rPr>
              <w:t>Urea Application</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1ED2B3E5" w14:textId="649DD792" w:rsidR="00590FE1" w:rsidRPr="00C817BE" w:rsidRDefault="00590FE1" w:rsidP="00C817BE">
            <w:pPr>
              <w:spacing w:before="40" w:after="40"/>
              <w:rPr>
                <w:rFonts w:cs="Calibri"/>
                <w:color w:val="FFFFFF"/>
                <w:sz w:val="16"/>
                <w:szCs w:val="16"/>
              </w:rPr>
            </w:pPr>
            <w:r w:rsidRPr="00C817BE">
              <w:rPr>
                <w:rFonts w:cs="Calibri"/>
                <w:color w:val="FFFFFF"/>
                <w:sz w:val="16"/>
                <w:szCs w:val="16"/>
              </w:rPr>
              <w:t>-</w:t>
            </w:r>
            <w:r w:rsidR="00C817BE">
              <w:rPr>
                <w:sz w:val="16"/>
                <w:szCs w:val="16"/>
              </w:rPr>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144C0F44" w14:textId="11A32CCC" w:rsidR="00590FE1" w:rsidRPr="00C817BE" w:rsidRDefault="00590FE1" w:rsidP="00C817BE">
            <w:pPr>
              <w:spacing w:before="40" w:after="40"/>
              <w:rPr>
                <w:rFonts w:cs="Calibri"/>
                <w:color w:val="FFFFFF"/>
                <w:sz w:val="16"/>
                <w:szCs w:val="16"/>
              </w:rPr>
            </w:pPr>
            <w:r w:rsidRPr="00C817BE">
              <w:rPr>
                <w:rFonts w:cs="Calibri"/>
                <w:color w:val="FFFFFF"/>
                <w:sz w:val="16"/>
                <w:szCs w:val="16"/>
              </w:rPr>
              <w:t>-</w:t>
            </w:r>
            <w:r w:rsidR="00C817BE">
              <w:rPr>
                <w:sz w:val="16"/>
                <w:szCs w:val="16"/>
              </w:rPr>
              <w:t>-</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44F26A96" w14:textId="0CEEEF6E" w:rsidR="00590FE1" w:rsidRPr="00C817BE" w:rsidRDefault="00590FE1" w:rsidP="00C817BE">
            <w:pPr>
              <w:spacing w:before="40" w:after="40"/>
              <w:rPr>
                <w:rFonts w:cs="Calibri"/>
                <w:color w:val="FFFFFF"/>
                <w:sz w:val="16"/>
                <w:szCs w:val="16"/>
              </w:rPr>
            </w:pPr>
            <w:r w:rsidRPr="00C817BE">
              <w:rPr>
                <w:rFonts w:cs="Calibri"/>
                <w:color w:val="FFFFFF"/>
                <w:sz w:val="16"/>
                <w:szCs w:val="16"/>
              </w:rPr>
              <w:t>-</w:t>
            </w:r>
            <w:r w:rsidR="00C817BE">
              <w:rPr>
                <w:sz w:val="16"/>
                <w:szCs w:val="16"/>
              </w:rPr>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22EFCFE4" w14:textId="2C420BE2" w:rsidR="00590FE1" w:rsidRPr="00C817BE" w:rsidRDefault="00590FE1" w:rsidP="00C817BE">
            <w:pPr>
              <w:spacing w:before="40" w:after="40"/>
              <w:rPr>
                <w:rFonts w:cs="Calibri"/>
                <w:color w:val="FFFFFF"/>
                <w:sz w:val="16"/>
                <w:szCs w:val="16"/>
              </w:rPr>
            </w:pPr>
            <w:r w:rsidRPr="00C817BE">
              <w:rPr>
                <w:rFonts w:cs="Calibri"/>
                <w:color w:val="FFFFFF"/>
                <w:sz w:val="16"/>
                <w:szCs w:val="16"/>
              </w:rPr>
              <w:t>-</w:t>
            </w:r>
            <w:r w:rsidR="00C817BE">
              <w:rPr>
                <w:sz w:val="16"/>
                <w:szCs w:val="16"/>
              </w:rPr>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650717AC" w14:textId="77777777" w:rsidR="00590FE1" w:rsidRPr="001D5327" w:rsidRDefault="00590FE1" w:rsidP="00C817BE">
            <w:pPr>
              <w:spacing w:before="40" w:after="40"/>
              <w:rPr>
                <w:rFonts w:cs="Calibri"/>
                <w:color w:val="000000"/>
                <w:sz w:val="16"/>
                <w:szCs w:val="16"/>
              </w:rPr>
            </w:pPr>
            <w:r w:rsidRPr="001D5327">
              <w:rPr>
                <w:rFonts w:cs="Calibri"/>
                <w:color w:val="000000"/>
                <w:sz w:val="16"/>
                <w:szCs w:val="16"/>
              </w:rPr>
              <w:t>T1</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5C240404" w14:textId="77777777" w:rsidR="00590FE1" w:rsidRPr="001D5327" w:rsidRDefault="00590FE1" w:rsidP="00C817BE">
            <w:pPr>
              <w:spacing w:before="40" w:after="40"/>
              <w:rPr>
                <w:rFonts w:cs="Calibri"/>
                <w:color w:val="000000"/>
                <w:sz w:val="16"/>
                <w:szCs w:val="16"/>
              </w:rPr>
            </w:pPr>
            <w:r w:rsidRPr="001D5327">
              <w:rPr>
                <w:rFonts w:cs="Calibri"/>
                <w:color w:val="000000"/>
                <w:sz w:val="16"/>
                <w:szCs w:val="16"/>
              </w:rPr>
              <w:t>D</w:t>
            </w:r>
          </w:p>
        </w:tc>
      </w:tr>
      <w:tr w:rsidR="00590FE1" w:rsidRPr="001D5327" w14:paraId="6B914184" w14:textId="77777777" w:rsidTr="00403787">
        <w:tc>
          <w:tcPr>
            <w:tcW w:w="320" w:type="dxa"/>
            <w:tcBorders>
              <w:top w:val="single" w:sz="4" w:space="0" w:color="1B556B" w:themeColor="text2"/>
              <w:left w:val="nil"/>
              <w:bottom w:val="single" w:sz="4" w:space="0" w:color="1B556B" w:themeColor="text2"/>
              <w:right w:val="nil"/>
            </w:tcBorders>
            <w:shd w:val="clear" w:color="auto" w:fill="auto"/>
            <w:noWrap/>
            <w:vAlign w:val="center"/>
            <w:hideMark/>
          </w:tcPr>
          <w:p w14:paraId="5876235C" w14:textId="77777777" w:rsidR="00590FE1" w:rsidRPr="001D5327" w:rsidRDefault="00590FE1" w:rsidP="00403787">
            <w:pPr>
              <w:spacing w:before="50" w:after="50"/>
              <w:rPr>
                <w:rFonts w:cs="Calibri"/>
                <w:b/>
                <w:bCs/>
                <w:color w:val="000000"/>
                <w:sz w:val="16"/>
                <w:szCs w:val="16"/>
              </w:rPr>
            </w:pPr>
            <w:r w:rsidRPr="001D5327">
              <w:rPr>
                <w:rFonts w:cs="Calibri"/>
                <w:b/>
                <w:bCs/>
                <w:color w:val="000000"/>
                <w:sz w:val="16"/>
                <w:szCs w:val="16"/>
              </w:rPr>
              <w:t>I</w:t>
            </w:r>
          </w:p>
        </w:tc>
        <w:tc>
          <w:tcPr>
            <w:tcW w:w="3224" w:type="dxa"/>
            <w:tcBorders>
              <w:top w:val="single" w:sz="4" w:space="0" w:color="1B556B" w:themeColor="text2"/>
              <w:left w:val="nil"/>
              <w:bottom w:val="single" w:sz="4" w:space="0" w:color="1B556B" w:themeColor="text2"/>
              <w:right w:val="nil"/>
            </w:tcBorders>
            <w:shd w:val="clear" w:color="auto" w:fill="auto"/>
            <w:vAlign w:val="center"/>
            <w:hideMark/>
          </w:tcPr>
          <w:p w14:paraId="473753D1" w14:textId="77777777" w:rsidR="00590FE1" w:rsidRPr="001D5327" w:rsidRDefault="00590FE1" w:rsidP="00C817BE">
            <w:pPr>
              <w:spacing w:before="40" w:after="40"/>
              <w:rPr>
                <w:rFonts w:cs="Calibri"/>
                <w:b/>
                <w:bCs/>
                <w:color w:val="000000"/>
                <w:sz w:val="16"/>
                <w:szCs w:val="16"/>
              </w:rPr>
            </w:pPr>
            <w:r w:rsidRPr="001D5327">
              <w:rPr>
                <w:rFonts w:cs="Calibri"/>
                <w:b/>
                <w:bCs/>
                <w:color w:val="000000"/>
                <w:sz w:val="16"/>
                <w:szCs w:val="16"/>
              </w:rPr>
              <w:t>Other Carbon-containing Fertilisers</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30975923" w14:textId="1DA6D742" w:rsidR="00590FE1" w:rsidRPr="00C817BE" w:rsidRDefault="00590FE1" w:rsidP="00C817BE">
            <w:pPr>
              <w:spacing w:before="40" w:after="40"/>
              <w:rPr>
                <w:rFonts w:cs="Calibri"/>
                <w:color w:val="FFFFFF"/>
                <w:sz w:val="16"/>
                <w:szCs w:val="16"/>
              </w:rPr>
            </w:pPr>
            <w:r w:rsidRPr="00C817BE">
              <w:rPr>
                <w:rFonts w:cs="Calibri"/>
                <w:color w:val="FFFFFF"/>
                <w:sz w:val="16"/>
                <w:szCs w:val="16"/>
              </w:rPr>
              <w:t>-</w:t>
            </w:r>
            <w:r w:rsidR="00C817BE">
              <w:rPr>
                <w:sz w:val="16"/>
                <w:szCs w:val="16"/>
              </w:rPr>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39434FE2" w14:textId="29E72448" w:rsidR="00590FE1" w:rsidRPr="00C817BE" w:rsidRDefault="00590FE1" w:rsidP="00C817BE">
            <w:pPr>
              <w:spacing w:before="40" w:after="40"/>
              <w:rPr>
                <w:rFonts w:cs="Calibri"/>
                <w:color w:val="FFFFFF"/>
                <w:sz w:val="16"/>
                <w:szCs w:val="16"/>
              </w:rPr>
            </w:pPr>
            <w:r w:rsidRPr="00C817BE">
              <w:rPr>
                <w:rFonts w:cs="Calibri"/>
                <w:color w:val="FFFFFF"/>
                <w:sz w:val="16"/>
                <w:szCs w:val="16"/>
              </w:rPr>
              <w:t>-</w:t>
            </w:r>
            <w:r w:rsidR="00C817BE">
              <w:rPr>
                <w:sz w:val="16"/>
                <w:szCs w:val="16"/>
              </w:rPr>
              <w:t>-</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665C6578" w14:textId="595BADBA" w:rsidR="00590FE1" w:rsidRPr="00C817BE" w:rsidRDefault="00590FE1" w:rsidP="00C817BE">
            <w:pPr>
              <w:spacing w:before="40" w:after="40"/>
              <w:rPr>
                <w:rFonts w:cs="Calibri"/>
                <w:color w:val="FFFFFF"/>
                <w:sz w:val="16"/>
                <w:szCs w:val="16"/>
              </w:rPr>
            </w:pPr>
            <w:r w:rsidRPr="00C817BE">
              <w:rPr>
                <w:rFonts w:cs="Calibri"/>
                <w:color w:val="FFFFFF"/>
                <w:sz w:val="16"/>
                <w:szCs w:val="16"/>
              </w:rPr>
              <w:t>-</w:t>
            </w:r>
            <w:r w:rsidR="00C817BE">
              <w:rPr>
                <w:sz w:val="16"/>
                <w:szCs w:val="16"/>
              </w:rPr>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01AD9AAB" w14:textId="70594912" w:rsidR="00590FE1" w:rsidRPr="00C817BE" w:rsidRDefault="00590FE1" w:rsidP="00C817BE">
            <w:pPr>
              <w:spacing w:before="40" w:after="40"/>
              <w:rPr>
                <w:rFonts w:cs="Calibri"/>
                <w:color w:val="FFFFFF"/>
                <w:sz w:val="16"/>
                <w:szCs w:val="16"/>
              </w:rPr>
            </w:pPr>
            <w:r w:rsidRPr="00C817BE">
              <w:rPr>
                <w:rFonts w:cs="Calibri"/>
                <w:color w:val="FFFFFF"/>
                <w:sz w:val="16"/>
                <w:szCs w:val="16"/>
              </w:rPr>
              <w:t>-</w:t>
            </w:r>
            <w:r w:rsidR="00C817BE">
              <w:rPr>
                <w:sz w:val="16"/>
                <w:szCs w:val="16"/>
              </w:rPr>
              <w:t>-</w:t>
            </w:r>
          </w:p>
        </w:tc>
        <w:tc>
          <w:tcPr>
            <w:tcW w:w="828" w:type="dxa"/>
            <w:tcBorders>
              <w:top w:val="single" w:sz="4" w:space="0" w:color="1B556B" w:themeColor="text2"/>
              <w:left w:val="nil"/>
              <w:bottom w:val="single" w:sz="4" w:space="0" w:color="1B556B" w:themeColor="text2"/>
              <w:right w:val="nil"/>
            </w:tcBorders>
            <w:shd w:val="clear" w:color="auto" w:fill="auto"/>
            <w:noWrap/>
            <w:vAlign w:val="center"/>
            <w:hideMark/>
          </w:tcPr>
          <w:p w14:paraId="7C133F13" w14:textId="77777777" w:rsidR="00590FE1" w:rsidRPr="001D5327" w:rsidRDefault="00590FE1" w:rsidP="00C817BE">
            <w:pPr>
              <w:spacing w:before="40" w:after="40"/>
              <w:rPr>
                <w:rFonts w:cs="Calibri"/>
                <w:color w:val="000000"/>
                <w:sz w:val="16"/>
                <w:szCs w:val="16"/>
              </w:rPr>
            </w:pPr>
            <w:r w:rsidRPr="001D5327">
              <w:rPr>
                <w:rFonts w:cs="Calibri"/>
                <w:color w:val="000000"/>
                <w:sz w:val="16"/>
                <w:szCs w:val="16"/>
              </w:rPr>
              <w:t>NA</w:t>
            </w:r>
          </w:p>
        </w:tc>
        <w:tc>
          <w:tcPr>
            <w:tcW w:w="829" w:type="dxa"/>
            <w:tcBorders>
              <w:top w:val="single" w:sz="4" w:space="0" w:color="1B556B" w:themeColor="text2"/>
              <w:left w:val="nil"/>
              <w:bottom w:val="single" w:sz="4" w:space="0" w:color="1B556B" w:themeColor="text2"/>
              <w:right w:val="nil"/>
            </w:tcBorders>
            <w:shd w:val="clear" w:color="auto" w:fill="auto"/>
            <w:noWrap/>
            <w:vAlign w:val="center"/>
            <w:hideMark/>
          </w:tcPr>
          <w:p w14:paraId="0967BB83" w14:textId="77777777" w:rsidR="00590FE1" w:rsidRPr="001D5327" w:rsidRDefault="00590FE1" w:rsidP="00C817BE">
            <w:pPr>
              <w:spacing w:before="40" w:after="40"/>
              <w:rPr>
                <w:rFonts w:cs="Calibri"/>
                <w:color w:val="000000"/>
                <w:sz w:val="16"/>
                <w:szCs w:val="16"/>
              </w:rPr>
            </w:pPr>
            <w:r w:rsidRPr="001D5327">
              <w:rPr>
                <w:rFonts w:cs="Calibri"/>
                <w:color w:val="000000"/>
                <w:sz w:val="16"/>
                <w:szCs w:val="16"/>
              </w:rPr>
              <w:t>NA</w:t>
            </w:r>
          </w:p>
        </w:tc>
      </w:tr>
    </w:tbl>
    <w:p w14:paraId="3E8B563F" w14:textId="77777777" w:rsidR="00590FE1" w:rsidRPr="001D5327" w:rsidRDefault="00590FE1" w:rsidP="00590FE1">
      <w:pPr>
        <w:pStyle w:val="Noteundertable"/>
        <w:rPr>
          <w:rFonts w:cs="Calibri"/>
        </w:rPr>
      </w:pPr>
      <w:r w:rsidRPr="001D5327">
        <w:rPr>
          <w:rFonts w:cs="Calibri"/>
          <w:b/>
          <w:bCs/>
        </w:rPr>
        <w:t>Note:</w:t>
      </w:r>
      <w:r w:rsidRPr="001D5327">
        <w:rPr>
          <w:rFonts w:cs="Calibri"/>
        </w:rPr>
        <w:t xml:space="preserve"> </w:t>
      </w:r>
      <w:r w:rsidRPr="001D5327">
        <w:rPr>
          <w:rFonts w:cs="Calibri"/>
        </w:rPr>
        <w:tab/>
        <w:t>CS = country specific; D = IPCC (2006) default; NA = not applicable; T1 = Tier 1; T2 = Tier 2.</w:t>
      </w:r>
    </w:p>
    <w:p w14:paraId="02787AF1" w14:textId="77777777" w:rsidR="00590FE1" w:rsidRPr="001D5327" w:rsidRDefault="00590FE1" w:rsidP="00590FE1">
      <w:pPr>
        <w:pStyle w:val="BodyText"/>
      </w:pPr>
      <w:r w:rsidRPr="001D5327">
        <w:t>Further technical details on emissions calculations are provided in the Agriculture inventory methodology document on the Ministry for Primary Industries (MPI) website (</w:t>
      </w:r>
      <w:hyperlink r:id="rId98" w:history="1">
        <w:r w:rsidRPr="001D5327">
          <w:rPr>
            <w:rStyle w:val="Hyperlink"/>
          </w:rPr>
          <w:t>www.mpi.govt.nz/dmsdocument/13906-Detailed-methodologies-for-agricultural-greenhouse-gas-emission-calculation</w:t>
        </w:r>
      </w:hyperlink>
      <w:r w:rsidRPr="001D5327">
        <w:t xml:space="preserve">) and in the methodological issues section for each category in this document. The approach for determining livestock nutritional and energy requirements, which is required to calculate </w:t>
      </w:r>
      <w:r w:rsidRPr="001D5327">
        <w:rPr>
          <w:i/>
          <w:iCs/>
        </w:rPr>
        <w:t>Enteric fermentation</w:t>
      </w:r>
      <w:r w:rsidRPr="001D5327">
        <w:t xml:space="preserve"> emissions and nitrogen excreted by livestock as the precursor for calculating </w:t>
      </w:r>
      <w:r w:rsidRPr="001D5327">
        <w:rPr>
          <w:i/>
          <w:iCs/>
        </w:rPr>
        <w:t>Manure management</w:t>
      </w:r>
      <w:r w:rsidRPr="001D5327">
        <w:t xml:space="preserve"> (and some </w:t>
      </w:r>
      <w:r w:rsidRPr="001D5327">
        <w:rPr>
          <w:i/>
          <w:iCs/>
        </w:rPr>
        <w:t xml:space="preserve">Agricultural soils </w:t>
      </w:r>
      <w:r w:rsidRPr="001D5327">
        <w:t>emissions), is described in the following paragraphs.</w:t>
      </w:r>
    </w:p>
    <w:p w14:paraId="63113109" w14:textId="77777777" w:rsidR="00590FE1" w:rsidRPr="001D5327" w:rsidRDefault="00590FE1" w:rsidP="00590FE1">
      <w:pPr>
        <w:pStyle w:val="Heading4"/>
      </w:pPr>
      <w:r w:rsidRPr="001D5327">
        <w:lastRenderedPageBreak/>
        <w:t xml:space="preserve">Description of the Tier 2 model for determining emissions from energy requirements for major ruminant livestock categories </w:t>
      </w:r>
    </w:p>
    <w:p w14:paraId="25931D09" w14:textId="77777777" w:rsidR="00590FE1" w:rsidRPr="001D5327" w:rsidRDefault="00590FE1" w:rsidP="00590FE1">
      <w:pPr>
        <w:pStyle w:val="BodyText"/>
      </w:pPr>
      <w:r w:rsidRPr="001D5327">
        <w:t xml:space="preserve">New Zealand uses a Tier 2, process-based model to calculate emissions from the major livestock categories (Clark et al., 2003). Components of the national Agriculture inventory model are constantly being improved through findings from new international and commissioned domestic research. The thoroughly researched country-specific emission factors and monthly data for livestock populations, animal productivity and feed quality mean New Zealand’s model is close to a Tier 3 inventory. However, data that informs pasture and non-pasture feed quality are not as comprehensive as would be required to report at a Tier 3 level. Figure 5.1.5 outlines the current Tier 2 methodology used to estimate emissions for the four major livestock categories. </w:t>
      </w:r>
    </w:p>
    <w:p w14:paraId="17CDA8EE" w14:textId="77777777" w:rsidR="00590FE1" w:rsidRPr="001D5327" w:rsidRDefault="00590FE1" w:rsidP="00590FE1">
      <w:pPr>
        <w:pStyle w:val="BodyText"/>
      </w:pPr>
      <w:r w:rsidRPr="001D5327">
        <w:t>Agricultural production (meat, milk and wool) and livestock population data are combined in the model with data on the total metabolisable energy (ME) content of the animal’s diet. To calculate CH</w:t>
      </w:r>
      <w:r w:rsidRPr="001D5327">
        <w:rPr>
          <w:vertAlign w:val="subscript"/>
        </w:rPr>
        <w:t>4</w:t>
      </w:r>
      <w:r w:rsidRPr="001D5327">
        <w:t xml:space="preserve"> emissions from enteric fermentation, the production data are used to determine the dry-matter intake (DMI) required to meet total annual productivity levels for each of the livestock categories and are then multiplied by a country-specific CH</w:t>
      </w:r>
      <w:r w:rsidRPr="001D5327">
        <w:rPr>
          <w:vertAlign w:val="subscript"/>
        </w:rPr>
        <w:t>4</w:t>
      </w:r>
      <w:r w:rsidRPr="001D5327">
        <w:t xml:space="preserve"> emission factor per unit of DMI. </w:t>
      </w:r>
      <w:r w:rsidRPr="001D5327">
        <w:rPr>
          <w:i/>
        </w:rPr>
        <w:t>Manure management</w:t>
      </w:r>
      <w:r w:rsidRPr="001D5327">
        <w:t xml:space="preserve"> emissions are primarily CH</w:t>
      </w:r>
      <w:r w:rsidRPr="001D5327">
        <w:rPr>
          <w:vertAlign w:val="subscript"/>
        </w:rPr>
        <w:t>4</w:t>
      </w:r>
      <w:r w:rsidRPr="001D5327">
        <w:t xml:space="preserve"> from manure dung and urine deposited directly onto pasture, but also N</w:t>
      </w:r>
      <w:r w:rsidRPr="001D5327">
        <w:rPr>
          <w:vertAlign w:val="subscript"/>
        </w:rPr>
        <w:t>2</w:t>
      </w:r>
      <w:r w:rsidRPr="001D5327">
        <w:t>O from manure breaking down due to the processes of nitrification, denitrification, volatilisation and leaching. Information on the nitrogen content of feed is multiplied with the DMI previously calculated to determine quantity of animal nitrogen intake and subsequent nitrogen excretion after allowing for nitrogen in growth and milk production.</w:t>
      </w:r>
    </w:p>
    <w:p w14:paraId="47D670F3" w14:textId="77777777" w:rsidR="00590FE1" w:rsidRPr="001D5327" w:rsidRDefault="00590FE1" w:rsidP="00590FE1">
      <w:pPr>
        <w:pStyle w:val="Figure"/>
        <w:spacing w:after="0"/>
      </w:pPr>
      <w:bookmarkStart w:id="673" w:name="_Toc481752010"/>
      <w:bookmarkStart w:id="674" w:name="_Toc507158469"/>
      <w:bookmarkStart w:id="675" w:name="_Toc511116960"/>
      <w:bookmarkStart w:id="676" w:name="_Toc5269690"/>
      <w:bookmarkStart w:id="677" w:name="_Toc32570961"/>
      <w:bookmarkStart w:id="678" w:name="_Toc36292791"/>
      <w:bookmarkStart w:id="679" w:name="_Toc68786656"/>
      <w:bookmarkStart w:id="680" w:name="_Toc95574117"/>
      <w:bookmarkStart w:id="681" w:name="_Toc127458556"/>
      <w:bookmarkStart w:id="682" w:name="_Toc131591558"/>
      <w:bookmarkStart w:id="683" w:name="_Toc164154026"/>
      <w:bookmarkStart w:id="684" w:name="_Toc194674859"/>
      <w:r w:rsidRPr="001D5327">
        <w:t xml:space="preserve">Figure 5.1.5 </w:t>
      </w:r>
      <w:r w:rsidRPr="001D5327">
        <w:tab/>
        <w:t>Simplified methodology for calculating emissions for major ruminant livestock categories</w:t>
      </w:r>
      <w:bookmarkEnd w:id="673"/>
      <w:bookmarkEnd w:id="674"/>
      <w:bookmarkEnd w:id="675"/>
      <w:bookmarkEnd w:id="676"/>
      <w:bookmarkEnd w:id="677"/>
      <w:bookmarkEnd w:id="678"/>
      <w:bookmarkEnd w:id="679"/>
      <w:bookmarkEnd w:id="680"/>
      <w:bookmarkEnd w:id="681"/>
      <w:bookmarkEnd w:id="682"/>
      <w:bookmarkEnd w:id="683"/>
      <w:bookmarkEnd w:id="684"/>
    </w:p>
    <w:p w14:paraId="08B806DA" w14:textId="77777777" w:rsidR="00590FE1" w:rsidRPr="001D5327" w:rsidRDefault="00590FE1" w:rsidP="00590FE1">
      <w:pPr>
        <w:pStyle w:val="BodyText"/>
        <w:jc w:val="center"/>
      </w:pPr>
      <w:r w:rsidRPr="001D5327">
        <w:rPr>
          <w:rFonts w:eastAsia="Calibri"/>
        </w:rPr>
        <w:object w:dxaOrig="14670" w:dyaOrig="13470" w14:anchorId="6E379D26">
          <v:shape id="_x0000_i1027" type="#_x0000_t75" style="width:294.45pt;height:323.45pt" o:ole="">
            <v:imagedata r:id="rId99" o:title="" cropbottom="2082f" cropright="12005f"/>
          </v:shape>
          <o:OLEObject Type="Embed" ProgID="Visio.Drawing.15" ShapeID="_x0000_i1027" DrawAspect="Content" ObjectID="_1806232874" r:id="rId100"/>
        </w:object>
      </w:r>
    </w:p>
    <w:p w14:paraId="16EB943E" w14:textId="77777777" w:rsidR="00590FE1" w:rsidRPr="001D5327" w:rsidRDefault="00590FE1" w:rsidP="00590FE1">
      <w:pPr>
        <w:pStyle w:val="Noteundertable"/>
        <w:spacing w:before="0" w:after="60"/>
        <w:rPr>
          <w:rFonts w:cs="Calibri"/>
        </w:rPr>
      </w:pPr>
      <w:r w:rsidRPr="001D5327">
        <w:rPr>
          <w:rFonts w:cs="Calibri"/>
          <w:b/>
          <w:bCs/>
        </w:rPr>
        <w:t xml:space="preserve">Note: </w:t>
      </w:r>
      <w:r w:rsidRPr="001D5327">
        <w:tab/>
      </w:r>
      <w:r w:rsidRPr="001D5327">
        <w:rPr>
          <w:rFonts w:cs="Calibri"/>
        </w:rPr>
        <w:t>CH</w:t>
      </w:r>
      <w:r w:rsidRPr="001D5327">
        <w:rPr>
          <w:rFonts w:cs="Calibri"/>
          <w:vertAlign w:val="subscript"/>
        </w:rPr>
        <w:t>4</w:t>
      </w:r>
      <w:r w:rsidRPr="001D5327">
        <w:rPr>
          <w:rFonts w:cs="Calibri"/>
        </w:rPr>
        <w:t xml:space="preserve"> = methane; DMI = dry-matter intake; kg = kilogram; MJ = megajoule; N</w:t>
      </w:r>
      <w:r w:rsidRPr="001D5327">
        <w:rPr>
          <w:rFonts w:cs="Calibri"/>
          <w:vertAlign w:val="subscript"/>
        </w:rPr>
        <w:t>2</w:t>
      </w:r>
      <w:r w:rsidRPr="001D5327">
        <w:rPr>
          <w:rFonts w:cs="Calibri"/>
        </w:rPr>
        <w:t>O = nitrous oxide; NZ = New Zealand.</w:t>
      </w:r>
    </w:p>
    <w:p w14:paraId="66A2C718" w14:textId="77777777" w:rsidR="00590FE1" w:rsidRPr="001D5327" w:rsidRDefault="00590FE1" w:rsidP="00590FE1">
      <w:pPr>
        <w:pStyle w:val="BodyText"/>
        <w:spacing w:before="80" w:after="60"/>
      </w:pPr>
      <w:r w:rsidRPr="001D5327">
        <w:lastRenderedPageBreak/>
        <w:t>The main emissions from ruminant livestock are CH</w:t>
      </w:r>
      <w:r w:rsidRPr="001D5327">
        <w:rPr>
          <w:vertAlign w:val="subscript"/>
        </w:rPr>
        <w:t>4</w:t>
      </w:r>
      <w:r w:rsidRPr="001D5327">
        <w:t xml:space="preserve"> from enteric fermentation and N</w:t>
      </w:r>
      <w:r w:rsidRPr="001D5327">
        <w:rPr>
          <w:vertAlign w:val="subscript"/>
        </w:rPr>
        <w:t>2</w:t>
      </w:r>
      <w:r w:rsidRPr="001D5327">
        <w:t xml:space="preserve">O from manure (urine and dung). The quantity of livestock emissions has a linear relationship with DMI, which is a function of livestock energy requirements and the energy concentration of the feed: </w:t>
      </w:r>
    </w:p>
    <w:p w14:paraId="0DBCC2E2" w14:textId="77777777" w:rsidR="00590FE1" w:rsidRPr="001D5327" w:rsidRDefault="00590FE1" w:rsidP="00590FE1">
      <w:pPr>
        <w:jc w:val="center"/>
        <w:rPr>
          <w:sz w:val="24"/>
        </w:rPr>
      </w:pPr>
      <m:oMathPara>
        <m:oMath>
          <m:r>
            <w:rPr>
              <w:rFonts w:ascii="Cambria Math" w:hAnsi="Cambria Math"/>
              <w:sz w:val="24"/>
            </w:rPr>
            <m:t>DMI=</m:t>
          </m:r>
          <m:f>
            <m:fPr>
              <m:ctrlPr>
                <w:rPr>
                  <w:rFonts w:ascii="Cambria Math" w:hAnsi="Cambria Math"/>
                  <w:i/>
                  <w:sz w:val="24"/>
                </w:rPr>
              </m:ctrlPr>
            </m:fPr>
            <m:num>
              <m:r>
                <w:rPr>
                  <w:rFonts w:ascii="Cambria Math" w:hAnsi="Cambria Math"/>
                  <w:sz w:val="24"/>
                </w:rPr>
                <m:t>M</m:t>
              </m:r>
              <m:sSub>
                <m:sSubPr>
                  <m:ctrlPr>
                    <w:rPr>
                      <w:rFonts w:ascii="Cambria Math" w:hAnsi="Cambria Math"/>
                      <w:i/>
                      <w:sz w:val="24"/>
                    </w:rPr>
                  </m:ctrlPr>
                </m:sSubPr>
                <m:e>
                  <m:r>
                    <w:rPr>
                      <w:rFonts w:ascii="Cambria Math" w:hAnsi="Cambria Math"/>
                      <w:sz w:val="24"/>
                    </w:rPr>
                    <m:t>E</m:t>
                  </m:r>
                </m:e>
                <m:sub>
                  <m:r>
                    <w:rPr>
                      <w:rFonts w:ascii="Cambria Math" w:hAnsi="Cambria Math"/>
                      <w:sz w:val="24"/>
                    </w:rPr>
                    <m:t>TOTAL</m:t>
                  </m:r>
                </m:sub>
              </m:sSub>
            </m:num>
            <m:den>
              <m:r>
                <w:rPr>
                  <w:rFonts w:ascii="Cambria Math" w:hAnsi="Cambria Math"/>
                  <w:sz w:val="24"/>
                </w:rPr>
                <m:t>E</m:t>
              </m:r>
            </m:den>
          </m:f>
        </m:oMath>
      </m:oMathPara>
    </w:p>
    <w:p w14:paraId="1D8CFF71" w14:textId="77777777" w:rsidR="00590FE1" w:rsidRPr="001D5327" w:rsidRDefault="00590FE1" w:rsidP="00590FE1">
      <w:pPr>
        <w:spacing w:before="80" w:after="20"/>
        <w:ind w:left="993" w:hanging="993"/>
        <w:rPr>
          <w:rFonts w:cs="Calibri"/>
        </w:rPr>
      </w:pPr>
      <w:r w:rsidRPr="001D5327">
        <w:rPr>
          <w:rFonts w:cs="Calibri"/>
        </w:rPr>
        <w:t>Where:</w:t>
      </w:r>
      <w:r w:rsidRPr="001D5327">
        <w:rPr>
          <w:rFonts w:cs="Calibri"/>
        </w:rPr>
        <w:tab/>
        <w:t>DMI is the dry-matter intake (kg year</w:t>
      </w:r>
      <w:r w:rsidRPr="001D5327">
        <w:rPr>
          <w:rFonts w:cs="Calibri"/>
          <w:vertAlign w:val="superscript"/>
        </w:rPr>
        <w:t>-1</w:t>
      </w:r>
      <w:r w:rsidRPr="001D5327">
        <w:rPr>
          <w:rFonts w:cs="Calibri"/>
        </w:rPr>
        <w:t>)</w:t>
      </w:r>
    </w:p>
    <w:p w14:paraId="45305363" w14:textId="77777777" w:rsidR="00590FE1" w:rsidRPr="001D5327" w:rsidRDefault="00590FE1" w:rsidP="00590FE1">
      <w:pPr>
        <w:spacing w:before="20" w:after="20"/>
        <w:ind w:left="993" w:hanging="993"/>
        <w:rPr>
          <w:rFonts w:cs="Calibri"/>
        </w:rPr>
      </w:pPr>
      <w:r w:rsidRPr="001D5327">
        <w:rPr>
          <w:rFonts w:cs="Calibri"/>
        </w:rPr>
        <w:tab/>
        <w:t>ME</w:t>
      </w:r>
      <w:r w:rsidRPr="001D5327">
        <w:rPr>
          <w:rFonts w:cs="Calibri"/>
          <w:vertAlign w:val="subscript"/>
        </w:rPr>
        <w:t>TOTAL</w:t>
      </w:r>
      <w:r w:rsidRPr="001D5327">
        <w:rPr>
          <w:rFonts w:cs="Calibri"/>
        </w:rPr>
        <w:t xml:space="preserve"> is the total metabolisable energy requirement of the animal (kJ), and</w:t>
      </w:r>
    </w:p>
    <w:p w14:paraId="69FBE5CA" w14:textId="77777777" w:rsidR="00590FE1" w:rsidRPr="001D5327" w:rsidRDefault="00590FE1" w:rsidP="00590FE1">
      <w:pPr>
        <w:spacing w:before="20" w:after="80"/>
        <w:ind w:left="993" w:hanging="993"/>
        <w:rPr>
          <w:rFonts w:cs="Calibri"/>
        </w:rPr>
      </w:pPr>
      <w:r w:rsidRPr="001D5327">
        <w:rPr>
          <w:rFonts w:cs="Calibri"/>
        </w:rPr>
        <w:tab/>
        <w:t>E is the energy concentration in the feed (kJ/kg DMI).</w:t>
      </w:r>
    </w:p>
    <w:p w14:paraId="7FAB54A4" w14:textId="77777777" w:rsidR="00590FE1" w:rsidRPr="001D5327" w:rsidRDefault="00590FE1" w:rsidP="00590FE1">
      <w:pPr>
        <w:pStyle w:val="Heading5"/>
      </w:pPr>
      <w:r w:rsidRPr="001D5327">
        <w:t>Calculating metabolisable energy requirements (ME</w:t>
      </w:r>
      <w:r w:rsidRPr="001D5327">
        <w:rPr>
          <w:vertAlign w:val="subscript"/>
        </w:rPr>
        <w:t>TOTAL</w:t>
      </w:r>
      <w:r w:rsidRPr="001D5327">
        <w:t xml:space="preserve">) </w:t>
      </w:r>
    </w:p>
    <w:p w14:paraId="6ADB04BF" w14:textId="77777777" w:rsidR="00590FE1" w:rsidRPr="001D5327" w:rsidRDefault="00590FE1" w:rsidP="00590FE1">
      <w:pPr>
        <w:pStyle w:val="BodyText"/>
        <w:spacing w:before="100" w:after="100"/>
      </w:pPr>
      <w:r w:rsidRPr="001D5327">
        <w:rPr>
          <w:spacing w:val="-2"/>
        </w:rPr>
        <w:t>For dairy cattle, non-dairy cattle and sheep, the approach for calculating total ME requirements</w:t>
      </w:r>
      <w:r w:rsidRPr="001D5327">
        <w:t xml:space="preserve"> </w:t>
      </w:r>
      <w:r w:rsidRPr="001D5327">
        <w:rPr>
          <w:spacing w:val="-2"/>
        </w:rPr>
        <w:t>was developed in Australia by the Commonwealth Scientific and Industrial Research Organisation</w:t>
      </w:r>
      <w:r w:rsidRPr="001D5327">
        <w:t xml:space="preserve"> (CSIRO, 1990). The CSIRO algorithms have been chosen because they specifically include methods to estimate the energy requirements of grazing ruminants outdoors, which is the predominant feeding method used in </w:t>
      </w:r>
      <w:r w:rsidRPr="001D5327" w:rsidDel="00A41A77">
        <w:t xml:space="preserve">New </w:t>
      </w:r>
      <w:r w:rsidRPr="001D5327">
        <w:t xml:space="preserve">Zealand. Further, </w:t>
      </w:r>
      <w:r w:rsidRPr="001D5327">
        <w:rPr>
          <w:spacing w:val="-2"/>
        </w:rPr>
        <w:t xml:space="preserve">the CSIRO algorithms consider animal liveweight and production requirements based on the rate of liveweight gain, gender, milk yield and physiological state. </w:t>
      </w:r>
      <w:r w:rsidRPr="001D5327">
        <w:t xml:space="preserve">All calculations are performed monthly. The equation below is derived from the general equation used in the Australian feeding standards and adjusted to suit </w:t>
      </w:r>
      <w:r w:rsidRPr="001D5327" w:rsidDel="00ED534A">
        <w:t>New</w:t>
      </w:r>
      <w:r w:rsidRPr="001D5327">
        <w:t xml:space="preserve"> Zealand conditions. </w:t>
      </w:r>
    </w:p>
    <w:p w14:paraId="6F520640" w14:textId="77777777" w:rsidR="00590FE1" w:rsidRPr="001D5327" w:rsidRDefault="00590FE1" w:rsidP="00590FE1">
      <w:pPr>
        <w:pStyle w:val="BodyText"/>
        <w:spacing w:before="100" w:after="80"/>
      </w:pPr>
      <w:r w:rsidRPr="001D5327">
        <w:t>The total energy required (ME</w:t>
      </w:r>
      <w:r w:rsidRPr="001D5327">
        <w:rPr>
          <w:vertAlign w:val="subscript"/>
        </w:rPr>
        <w:t>TOTAL</w:t>
      </w:r>
      <w:r w:rsidRPr="001D5327">
        <w:t>) is made up of:</w:t>
      </w:r>
    </w:p>
    <w:p w14:paraId="38C6B09F" w14:textId="77777777" w:rsidR="00590FE1" w:rsidRPr="001D5327" w:rsidRDefault="00590FE1" w:rsidP="00590FE1">
      <w:pPr>
        <w:pStyle w:val="Bullet"/>
        <w:spacing w:after="100"/>
      </w:pPr>
      <w:r w:rsidRPr="001D5327">
        <w:t>energy required to maintain animal weight, which is a function of the animal’s liveweight, gender, breed, stage of maturity and physiological state (e.g., growing or lactating) (ME</w:t>
      </w:r>
      <w:r w:rsidRPr="001D5327">
        <w:rPr>
          <w:vertAlign w:val="subscript"/>
        </w:rPr>
        <w:t>m</w:t>
      </w:r>
      <w:r w:rsidRPr="001D5327">
        <w:t>)</w:t>
      </w:r>
    </w:p>
    <w:p w14:paraId="3972A8D7" w14:textId="77777777" w:rsidR="00590FE1" w:rsidRPr="001D5327" w:rsidRDefault="00590FE1" w:rsidP="00590FE1">
      <w:pPr>
        <w:pStyle w:val="Bullet"/>
        <w:spacing w:after="100"/>
      </w:pPr>
      <w:r w:rsidRPr="001D5327">
        <w:t>energy required for the production of milk, wool, velvet, and live weight gain</w:t>
      </w:r>
      <w:r w:rsidRPr="001D5327" w:rsidDel="00E37BE3">
        <w:t xml:space="preserve"> </w:t>
      </w:r>
      <w:r w:rsidRPr="001D5327">
        <w:t>(ME</w:t>
      </w:r>
      <w:r w:rsidRPr="001D5327">
        <w:rPr>
          <w:vertAlign w:val="subscript"/>
        </w:rPr>
        <w:t>p</w:t>
      </w:r>
      <w:r w:rsidRPr="001D5327">
        <w:t>)</w:t>
      </w:r>
    </w:p>
    <w:p w14:paraId="7EC41B37" w14:textId="77777777" w:rsidR="00590FE1" w:rsidRPr="001D5327" w:rsidRDefault="00590FE1" w:rsidP="00590FE1">
      <w:pPr>
        <w:pStyle w:val="Bullet"/>
        <w:spacing w:after="100"/>
      </w:pPr>
      <w:r w:rsidRPr="001D5327">
        <w:t>energy required for gestation or growth of the conceptus at any given time during pregnancy (ME</w:t>
      </w:r>
      <w:r w:rsidRPr="001D5327">
        <w:rPr>
          <w:vertAlign w:val="subscript"/>
        </w:rPr>
        <w:t>c</w:t>
      </w:r>
      <w:r w:rsidRPr="001D5327">
        <w:t>)</w:t>
      </w:r>
    </w:p>
    <w:p w14:paraId="44550863" w14:textId="77777777" w:rsidR="00590FE1" w:rsidRPr="001D5327" w:rsidRDefault="00590FE1" w:rsidP="00590FE1">
      <w:pPr>
        <w:pStyle w:val="Bullet"/>
        <w:spacing w:after="80"/>
      </w:pPr>
      <w:r w:rsidRPr="001D5327">
        <w:t>the additional amount of energy expended during grazing, compared with similar housed animals (ME</w:t>
      </w:r>
      <w:r w:rsidRPr="001D5327">
        <w:rPr>
          <w:vertAlign w:val="subscript"/>
        </w:rPr>
        <w:t>GRAZE</w:t>
      </w:r>
      <w:r w:rsidRPr="001D5327">
        <w:t>).</w:t>
      </w:r>
    </w:p>
    <w:p w14:paraId="0D2F9E1A" w14:textId="77777777" w:rsidR="00590FE1" w:rsidRPr="001D5327" w:rsidRDefault="00590FE1" w:rsidP="00590FE1">
      <w:pPr>
        <w:spacing w:before="80" w:after="120"/>
        <w:jc w:val="center"/>
        <w:rPr>
          <w:i/>
          <w:sz w:val="24"/>
        </w:rPr>
      </w:pPr>
      <m:oMathPara>
        <m:oMath>
          <m:r>
            <w:rPr>
              <w:rFonts w:ascii="Cambria Math" w:hAnsi="Cambria Math" w:cs="Calibri"/>
              <w:sz w:val="24"/>
              <w:szCs w:val="24"/>
            </w:rPr>
            <m:t>M</m:t>
          </m:r>
          <m:sSub>
            <m:sSubPr>
              <m:ctrlPr>
                <w:rPr>
                  <w:rFonts w:ascii="Cambria Math" w:hAnsi="Cambria Math"/>
                  <w:i/>
                  <w:sz w:val="24"/>
                </w:rPr>
              </m:ctrlPr>
            </m:sSubPr>
            <m:e>
              <m:r>
                <w:rPr>
                  <w:rFonts w:ascii="Cambria Math" w:hAnsi="Cambria Math" w:cs="Calibri"/>
                  <w:sz w:val="24"/>
                  <w:szCs w:val="24"/>
                </w:rPr>
                <m:t>E</m:t>
              </m:r>
            </m:e>
            <m:sub>
              <m:r>
                <w:rPr>
                  <w:rFonts w:ascii="Cambria Math" w:hAnsi="Cambria Math" w:cs="Calibri"/>
                  <w:sz w:val="24"/>
                  <w:szCs w:val="24"/>
                </w:rPr>
                <m:t>TOTAL</m:t>
              </m:r>
            </m:sub>
          </m:sSub>
          <m:r>
            <w:rPr>
              <w:rFonts w:ascii="Cambria Math" w:hAnsi="Cambria Math"/>
              <w:sz w:val="24"/>
            </w:rPr>
            <m:t>=</m:t>
          </m:r>
          <m:sSub>
            <m:sSubPr>
              <m:ctrlPr>
                <w:rPr>
                  <w:rFonts w:ascii="Cambria Math" w:hAnsi="Cambria Math" w:cs="Calibri"/>
                  <w:i/>
                  <w:sz w:val="24"/>
                  <w:szCs w:val="24"/>
                </w:rPr>
              </m:ctrlPr>
            </m:sSubPr>
            <m:e>
              <m:r>
                <w:rPr>
                  <w:rFonts w:ascii="Cambria Math" w:hAnsi="Cambria Math" w:cs="Calibri"/>
                  <w:sz w:val="24"/>
                  <w:szCs w:val="24"/>
                </w:rPr>
                <m:t>ME</m:t>
              </m:r>
            </m:e>
            <m:sub>
              <m:r>
                <w:rPr>
                  <w:rFonts w:ascii="Cambria Math" w:hAnsi="Cambria Math" w:cs="Calibri"/>
                  <w:sz w:val="24"/>
                  <w:szCs w:val="24"/>
                </w:rPr>
                <m:t>m</m:t>
              </m:r>
            </m:sub>
          </m:sSub>
          <m:r>
            <w:rPr>
              <w:rFonts w:ascii="Cambria Math" w:hAnsi="Cambria Math" w:cs="Calibri"/>
              <w:sz w:val="24"/>
              <w:szCs w:val="24"/>
            </w:rPr>
            <m:t>+</m:t>
          </m:r>
          <m:sSub>
            <m:sSubPr>
              <m:ctrlPr>
                <w:rPr>
                  <w:rFonts w:ascii="Cambria Math" w:hAnsi="Cambria Math" w:cs="Calibri"/>
                  <w:i/>
                  <w:sz w:val="24"/>
                  <w:szCs w:val="24"/>
                </w:rPr>
              </m:ctrlPr>
            </m:sSubPr>
            <m:e>
              <m:r>
                <w:rPr>
                  <w:rFonts w:ascii="Cambria Math" w:hAnsi="Cambria Math" w:cs="Calibri"/>
                  <w:sz w:val="24"/>
                  <w:szCs w:val="24"/>
                </w:rPr>
                <m:t>ME</m:t>
              </m:r>
              <m:ctrlPr>
                <w:rPr>
                  <w:rFonts w:ascii="Cambria Math" w:hAnsi="Cambria Math"/>
                  <w:i/>
                  <w:sz w:val="24"/>
                </w:rPr>
              </m:ctrlPr>
            </m:e>
            <m:sub>
              <m:r>
                <w:rPr>
                  <w:rFonts w:ascii="Cambria Math" w:hAnsi="Cambria Math" w:cs="Calibri"/>
                  <w:sz w:val="24"/>
                  <w:szCs w:val="24"/>
                </w:rPr>
                <m:t>P</m:t>
              </m:r>
              <m:ctrlPr>
                <w:rPr>
                  <w:rFonts w:ascii="Cambria Math" w:hAnsi="Cambria Math"/>
                  <w:i/>
                  <w:sz w:val="24"/>
                </w:rPr>
              </m:ctrlPr>
            </m:sub>
          </m:sSub>
          <m:r>
            <w:rPr>
              <w:rFonts w:ascii="Cambria Math" w:hAnsi="Cambria Math"/>
              <w:sz w:val="24"/>
            </w:rPr>
            <m:t>+</m:t>
          </m:r>
          <m:sSub>
            <m:sSubPr>
              <m:ctrlPr>
                <w:rPr>
                  <w:rFonts w:ascii="Cambria Math" w:hAnsi="Cambria Math"/>
                  <w:i/>
                  <w:sz w:val="24"/>
                </w:rPr>
              </m:ctrlPr>
            </m:sSubPr>
            <m:e>
              <m:r>
                <w:rPr>
                  <w:rFonts w:ascii="Cambria Math" w:hAnsi="Cambria Math" w:cs="Calibri"/>
                  <w:sz w:val="24"/>
                  <w:szCs w:val="24"/>
                </w:rPr>
                <m:t>ME</m:t>
              </m:r>
            </m:e>
            <m:sub>
              <m:r>
                <w:rPr>
                  <w:rFonts w:ascii="Cambria Math" w:hAnsi="Cambria Math" w:cs="Calibri"/>
                  <w:sz w:val="24"/>
                  <w:szCs w:val="24"/>
                </w:rPr>
                <m:t>GRAZE</m:t>
              </m:r>
            </m:sub>
          </m:sSub>
          <m:r>
            <w:rPr>
              <w:rFonts w:ascii="Cambria Math" w:hAnsi="Cambria Math" w:cs="Calibri"/>
              <w:sz w:val="24"/>
              <w:szCs w:val="24"/>
            </w:rPr>
            <m:t>+</m:t>
          </m:r>
          <m:sSub>
            <m:sSubPr>
              <m:ctrlPr>
                <w:rPr>
                  <w:rFonts w:ascii="Cambria Math" w:hAnsi="Cambria Math" w:cs="Calibri"/>
                  <w:i/>
                  <w:sz w:val="24"/>
                  <w:szCs w:val="24"/>
                </w:rPr>
              </m:ctrlPr>
            </m:sSubPr>
            <m:e>
              <m:r>
                <w:rPr>
                  <w:rFonts w:ascii="Cambria Math" w:hAnsi="Cambria Math" w:cs="Calibri"/>
                  <w:sz w:val="24"/>
                  <w:szCs w:val="24"/>
                </w:rPr>
                <m:t>ME</m:t>
              </m:r>
            </m:e>
            <m:sub>
              <m:r>
                <w:rPr>
                  <w:rFonts w:ascii="Cambria Math" w:hAnsi="Cambria Math" w:cs="Calibri"/>
                  <w:sz w:val="24"/>
                  <w:szCs w:val="24"/>
                </w:rPr>
                <m:t>c</m:t>
              </m:r>
            </m:sub>
          </m:sSub>
        </m:oMath>
      </m:oMathPara>
    </w:p>
    <w:p w14:paraId="76D100A4" w14:textId="77777777" w:rsidR="00590FE1" w:rsidRPr="001D5327" w:rsidRDefault="00590FE1" w:rsidP="00590FE1">
      <w:pPr>
        <w:pStyle w:val="BodyText"/>
        <w:tabs>
          <w:tab w:val="left" w:pos="964"/>
        </w:tabs>
        <w:spacing w:after="20"/>
      </w:pPr>
      <w:r w:rsidRPr="001D5327">
        <w:t>Where:</w:t>
      </w:r>
      <w:r w:rsidRPr="001D5327">
        <w:tab/>
        <w:t>ME</w:t>
      </w:r>
      <w:r w:rsidRPr="001D5327">
        <w:rPr>
          <w:vertAlign w:val="subscript"/>
        </w:rPr>
        <w:t>m</w:t>
      </w:r>
      <w:r w:rsidRPr="001D5327">
        <w:t xml:space="preserve"> is the energy requirement for maintenance</w:t>
      </w:r>
    </w:p>
    <w:p w14:paraId="4B12926E" w14:textId="77777777" w:rsidR="00590FE1" w:rsidRPr="001D5327" w:rsidRDefault="00590FE1" w:rsidP="00590FE1">
      <w:pPr>
        <w:pStyle w:val="BodyText"/>
        <w:tabs>
          <w:tab w:val="left" w:pos="964"/>
        </w:tabs>
        <w:spacing w:before="40" w:after="20"/>
      </w:pPr>
      <w:r w:rsidRPr="001D5327">
        <w:tab/>
        <w:t>ME</w:t>
      </w:r>
      <w:r w:rsidRPr="001D5327">
        <w:rPr>
          <w:vertAlign w:val="subscript"/>
        </w:rPr>
        <w:t>P</w:t>
      </w:r>
      <w:r w:rsidRPr="001D5327">
        <w:t xml:space="preserve"> is the energy used directly for production (meat, milk, wool and so on) </w:t>
      </w:r>
    </w:p>
    <w:p w14:paraId="228873BC" w14:textId="77777777" w:rsidR="00590FE1" w:rsidRPr="001D5327" w:rsidRDefault="00590FE1" w:rsidP="00590FE1">
      <w:pPr>
        <w:pStyle w:val="BodyText"/>
        <w:tabs>
          <w:tab w:val="left" w:pos="964"/>
        </w:tabs>
        <w:spacing w:before="40" w:after="20"/>
      </w:pPr>
      <w:r w:rsidRPr="001D5327">
        <w:tab/>
        <w:t>ME</w:t>
      </w:r>
      <w:r w:rsidRPr="001D5327">
        <w:rPr>
          <w:vertAlign w:val="subscript"/>
        </w:rPr>
        <w:t>GRAZE</w:t>
      </w:r>
      <w:r w:rsidRPr="001D5327">
        <w:t xml:space="preserve"> is the additional energy required by grazing livestock, and</w:t>
      </w:r>
    </w:p>
    <w:p w14:paraId="67CCAABE" w14:textId="77777777" w:rsidR="00590FE1" w:rsidRPr="001D5327" w:rsidRDefault="00590FE1" w:rsidP="00590FE1">
      <w:pPr>
        <w:pStyle w:val="BodyText"/>
        <w:tabs>
          <w:tab w:val="left" w:pos="964"/>
        </w:tabs>
        <w:spacing w:before="40"/>
      </w:pPr>
      <w:r w:rsidRPr="001D5327">
        <w:tab/>
        <w:t>ME</w:t>
      </w:r>
      <w:r w:rsidRPr="001D5327">
        <w:rPr>
          <w:vertAlign w:val="subscript"/>
        </w:rPr>
        <w:t>c</w:t>
      </w:r>
      <w:r w:rsidRPr="001D5327">
        <w:t xml:space="preserve"> is the energy used for gestation or growth of the conceptus (MJ day</w:t>
      </w:r>
      <w:r w:rsidRPr="001D5327">
        <w:rPr>
          <w:vertAlign w:val="superscript"/>
        </w:rPr>
        <w:t>-1</w:t>
      </w:r>
      <w:r w:rsidRPr="001D5327">
        <w:t>).</w:t>
      </w:r>
    </w:p>
    <w:p w14:paraId="31BF24C0" w14:textId="77777777" w:rsidR="00590FE1" w:rsidRPr="001D5327" w:rsidRDefault="00590FE1" w:rsidP="00590FE1">
      <w:pPr>
        <w:pStyle w:val="BodyText"/>
        <w:spacing w:before="80" w:after="100"/>
      </w:pPr>
      <w:r w:rsidRPr="001D5327">
        <w:t>The ME</w:t>
      </w:r>
      <w:r w:rsidRPr="001D5327">
        <w:rPr>
          <w:vertAlign w:val="subscript"/>
        </w:rPr>
        <w:t>m</w:t>
      </w:r>
      <w:r w:rsidRPr="001D5327">
        <w:t xml:space="preserve"> requirement for an animal of a defined weight is not constant and will vary with energy costs of production. Increased productivity requires higher feed intakes and this affects the proportion of viscera and costs associated with respiration, cardiac output and so on. The Agriculture inventory model accounts for this by adding 10 per cent of the dietary ME allocated to production (ME</w:t>
      </w:r>
      <w:r w:rsidRPr="001D5327">
        <w:rPr>
          <w:vertAlign w:val="subscript"/>
        </w:rPr>
        <w:t>p</w:t>
      </w:r>
      <w:r w:rsidRPr="001D5327">
        <w:t>) to ME</w:t>
      </w:r>
      <w:r w:rsidRPr="001D5327">
        <w:rPr>
          <w:vertAlign w:val="subscript"/>
        </w:rPr>
        <w:t>m</w:t>
      </w:r>
      <w:r w:rsidRPr="001D5327">
        <w:t xml:space="preserve"> (CSIRO, 1990). The addition of the term </w:t>
      </w:r>
      <w:r w:rsidRPr="001D5327">
        <w:rPr>
          <w:i/>
        </w:rPr>
        <w:t>0.1 × ME</w:t>
      </w:r>
      <w:r w:rsidRPr="001D5327">
        <w:rPr>
          <w:i/>
          <w:vertAlign w:val="subscript"/>
        </w:rPr>
        <w:t>p</w:t>
      </w:r>
      <w:r w:rsidRPr="001D5327">
        <w:t xml:space="preserve"> is used to account for this. </w:t>
      </w:r>
    </w:p>
    <w:p w14:paraId="0CF1988B" w14:textId="77777777" w:rsidR="00590FE1" w:rsidRPr="001D5327" w:rsidRDefault="00590FE1" w:rsidP="00590FE1">
      <w:pPr>
        <w:pStyle w:val="BodyText"/>
        <w:spacing w:before="100" w:after="100"/>
      </w:pPr>
      <w:r w:rsidRPr="001D5327">
        <w:t>The Agriculture inventory model uses a generic equation to calculate ME</w:t>
      </w:r>
      <w:r w:rsidRPr="001D5327">
        <w:rPr>
          <w:vertAlign w:val="subscript"/>
        </w:rPr>
        <w:t>m</w:t>
      </w:r>
      <w:r w:rsidRPr="001D5327">
        <w:t xml:space="preserve"> for dairy and beef cattle, sheep and deer, but equations used to calculate ME</w:t>
      </w:r>
      <w:r w:rsidRPr="001D5327">
        <w:rPr>
          <w:vertAlign w:val="subscript"/>
        </w:rPr>
        <w:t xml:space="preserve">p </w:t>
      </w:r>
      <w:r w:rsidRPr="001D5327">
        <w:t>and ME</w:t>
      </w:r>
      <w:r w:rsidRPr="001D5327">
        <w:rPr>
          <w:vertAlign w:val="subscript"/>
        </w:rPr>
        <w:t>GRAZE</w:t>
      </w:r>
      <w:r w:rsidRPr="001D5327">
        <w:t xml:space="preserve"> differ for each animal category: </w:t>
      </w:r>
    </w:p>
    <w:p w14:paraId="2B75C837" w14:textId="77777777" w:rsidR="00590FE1" w:rsidRPr="001D5327" w:rsidRDefault="00000000" w:rsidP="00590FE1">
      <w:pPr>
        <w:spacing w:before="40"/>
        <w:rPr>
          <w:i/>
          <w:sz w:val="24"/>
          <w:szCs w:val="24"/>
        </w:rPr>
      </w:pPr>
      <m:oMathPara>
        <m:oMathParaPr>
          <m:jc m:val="center"/>
        </m:oMathParaPr>
        <m:oMath>
          <m:sSub>
            <m:sSubPr>
              <m:ctrlPr>
                <w:rPr>
                  <w:rFonts w:ascii="Cambria Math" w:hAnsi="Cambria Math"/>
                  <w:i/>
                  <w:sz w:val="24"/>
                  <w:szCs w:val="24"/>
                </w:rPr>
              </m:ctrlPr>
            </m:sSubPr>
            <m:e>
              <m:r>
                <w:rPr>
                  <w:rFonts w:ascii="Cambria Math" w:hAnsi="Cambria Math"/>
                  <w:sz w:val="24"/>
                  <w:szCs w:val="24"/>
                </w:rPr>
                <m:t>ME</m:t>
              </m:r>
            </m:e>
            <m:sub>
              <m:r>
                <w:rPr>
                  <w:rFonts w:ascii="Cambria Math" w:hAnsi="Cambria Math"/>
                  <w:sz w:val="24"/>
                  <w:szCs w:val="24"/>
                </w:rPr>
                <m:t>m</m:t>
              </m:r>
            </m:sub>
          </m:sSub>
          <m:r>
            <w:rPr>
              <w:rFonts w:ascii="Cambria Math" w:hAnsi="Cambria Math"/>
              <w:sz w:val="24"/>
              <w:szCs w:val="24"/>
            </w:rPr>
            <m:t>=K×S×</m:t>
          </m:r>
          <m:f>
            <m:fPr>
              <m:ctrlPr>
                <w:rPr>
                  <w:rFonts w:ascii="Cambria Math" w:hAnsi="Cambria Math"/>
                  <w:i/>
                  <w:sz w:val="24"/>
                  <w:szCs w:val="24"/>
                </w:rPr>
              </m:ctrlPr>
            </m:fPr>
            <m:num>
              <m:r>
                <w:rPr>
                  <w:rFonts w:ascii="Cambria Math" w:hAnsi="Cambria Math"/>
                  <w:sz w:val="24"/>
                  <w:szCs w:val="24"/>
                </w:rPr>
                <m:t>0.28L</m:t>
              </m:r>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rPr>
                    <m:t>0.75</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-0.03A</m:t>
                  </m:r>
                </m:sup>
              </m:sSup>
            </m:num>
            <m:den>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m</m:t>
                  </m:r>
                </m:sub>
              </m:sSub>
            </m:den>
          </m:f>
          <m:r>
            <w:rPr>
              <w:rFonts w:ascii="Cambria Math" w:hAnsi="Cambria Math"/>
              <w:sz w:val="24"/>
              <w:szCs w:val="24"/>
            </w:rPr>
            <m:t>+0.1×</m:t>
          </m:r>
          <m:sSub>
            <m:sSubPr>
              <m:ctrlPr>
                <w:rPr>
                  <w:rFonts w:ascii="Cambria Math" w:hAnsi="Cambria Math"/>
                  <w:i/>
                  <w:sz w:val="24"/>
                  <w:szCs w:val="24"/>
                </w:rPr>
              </m:ctrlPr>
            </m:sSubPr>
            <m:e>
              <m:r>
                <w:rPr>
                  <w:rFonts w:ascii="Cambria Math" w:hAnsi="Cambria Math"/>
                  <w:sz w:val="24"/>
                  <w:szCs w:val="24"/>
                </w:rPr>
                <m:t>ME</m:t>
              </m:r>
            </m:e>
            <m:sub>
              <m:r>
                <w:rPr>
                  <w:rFonts w:ascii="Cambria Math" w:hAnsi="Cambria Math"/>
                  <w:sz w:val="24"/>
                  <w:szCs w:val="24"/>
                </w:rPr>
                <m:t>p</m:t>
              </m:r>
            </m:sub>
          </m:sSub>
        </m:oMath>
      </m:oMathPara>
    </w:p>
    <w:p w14:paraId="608EB6E7" w14:textId="77777777" w:rsidR="00590FE1" w:rsidRPr="001D5327" w:rsidRDefault="00590FE1" w:rsidP="005300E2">
      <w:pPr>
        <w:pStyle w:val="BodyText"/>
        <w:spacing w:before="80" w:after="40"/>
        <w:ind w:left="964" w:hanging="964"/>
      </w:pPr>
      <w:r w:rsidRPr="001D5327">
        <w:lastRenderedPageBreak/>
        <w:t>Where:</w:t>
      </w:r>
      <w:r w:rsidRPr="001D5327">
        <w:tab/>
        <w:t>ME</w:t>
      </w:r>
      <w:r w:rsidRPr="001D5327">
        <w:rPr>
          <w:vertAlign w:val="subscript"/>
        </w:rPr>
        <w:t>m</w:t>
      </w:r>
      <w:r w:rsidRPr="001D5327">
        <w:t xml:space="preserve"> = metabolisable energy required to maintain animal weight (MJ/d)</w:t>
      </w:r>
    </w:p>
    <w:p w14:paraId="5E0B9C59" w14:textId="77777777" w:rsidR="00590FE1" w:rsidRPr="001D5327" w:rsidRDefault="00590FE1" w:rsidP="005300E2">
      <w:pPr>
        <w:pStyle w:val="BodyText"/>
        <w:spacing w:before="30" w:after="40"/>
        <w:ind w:left="964" w:hanging="964"/>
      </w:pPr>
      <w:r w:rsidRPr="001D5327">
        <w:tab/>
        <w:t xml:space="preserve">K = coefficient that accounts for differences in fasting heat production across species (CSIRO, 1990, p 22). This value is 1.0 for sheep and 1.4 for cattle and deer (CSIRO, 2007) </w:t>
      </w:r>
    </w:p>
    <w:p w14:paraId="7E79F9C4" w14:textId="77777777" w:rsidR="00590FE1" w:rsidRPr="001D5327" w:rsidRDefault="00590FE1" w:rsidP="005300E2">
      <w:pPr>
        <w:pStyle w:val="BodyText"/>
        <w:spacing w:before="30" w:after="40"/>
        <w:ind w:left="964" w:hanging="964"/>
      </w:pPr>
      <w:r w:rsidRPr="001D5327">
        <w:tab/>
        <w:t xml:space="preserve">S = coefficient that accounts for differences in basal metabolic rate between males and females. This value is 1.0 for mature females and castrates or 1.15 for entire mature males (CSIRO, 2007) </w:t>
      </w:r>
    </w:p>
    <w:p w14:paraId="286FC293" w14:textId="77777777" w:rsidR="00590FE1" w:rsidRPr="001D5327" w:rsidRDefault="00590FE1" w:rsidP="005300E2">
      <w:pPr>
        <w:pStyle w:val="BodyText"/>
        <w:spacing w:before="30" w:after="40"/>
        <w:ind w:left="964" w:hanging="964"/>
      </w:pPr>
      <w:r w:rsidRPr="001D5327">
        <w:tab/>
        <w:t xml:space="preserve">LW = live weight of animal (kg) </w:t>
      </w:r>
    </w:p>
    <w:p w14:paraId="62884A4E" w14:textId="77777777" w:rsidR="00590FE1" w:rsidRPr="001D5327" w:rsidRDefault="00590FE1" w:rsidP="005300E2">
      <w:pPr>
        <w:pStyle w:val="BodyText"/>
        <w:spacing w:before="30" w:after="40"/>
        <w:ind w:left="964" w:hanging="964"/>
      </w:pPr>
      <w:r w:rsidRPr="001D5327">
        <w:tab/>
        <w:t>A = age in years</w:t>
      </w:r>
    </w:p>
    <w:p w14:paraId="2197886D" w14:textId="77777777" w:rsidR="00590FE1" w:rsidRPr="001D5327" w:rsidRDefault="00590FE1" w:rsidP="005300E2">
      <w:pPr>
        <w:pStyle w:val="BodyText"/>
        <w:spacing w:before="30" w:after="40"/>
        <w:ind w:left="964" w:hanging="964"/>
      </w:pPr>
      <w:r w:rsidRPr="001D5327">
        <w:tab/>
        <w:t>k</w:t>
      </w:r>
      <w:r w:rsidRPr="001D5327">
        <w:rPr>
          <w:vertAlign w:val="subscript"/>
        </w:rPr>
        <w:t>m</w:t>
      </w:r>
      <w:r w:rsidRPr="001D5327">
        <w:t xml:space="preserve"> = efficiency of utilisation of ME for maintenance, or the factor used to convert ME to NE for maintenance</w:t>
      </w:r>
    </w:p>
    <w:p w14:paraId="4D597B43" w14:textId="77777777" w:rsidR="00590FE1" w:rsidRPr="001D5327" w:rsidRDefault="00590FE1" w:rsidP="00590FE1">
      <w:pPr>
        <w:pStyle w:val="BodyText"/>
        <w:spacing w:before="30" w:after="80"/>
        <w:ind w:left="964" w:hanging="964"/>
      </w:pPr>
      <w:r w:rsidRPr="001D5327">
        <w:tab/>
        <w:t>ME</w:t>
      </w:r>
      <w:r w:rsidRPr="001D5327">
        <w:rPr>
          <w:vertAlign w:val="subscript"/>
        </w:rPr>
        <w:t>p</w:t>
      </w:r>
      <w:r w:rsidRPr="001D5327">
        <w:t xml:space="preserve"> = ME required for production (MJ/d).</w:t>
      </w:r>
    </w:p>
    <w:p w14:paraId="7CDAA5FC" w14:textId="77777777" w:rsidR="00590FE1" w:rsidRPr="001D5327" w:rsidRDefault="00590FE1" w:rsidP="00590FE1">
      <w:pPr>
        <w:pStyle w:val="BodyText"/>
        <w:spacing w:after="100"/>
      </w:pPr>
      <w:r w:rsidRPr="001D5327">
        <w:t>For further details, see the Agriculture inventory methodology document on the MPI website (</w:t>
      </w:r>
      <w:hyperlink r:id="rId101" w:history="1">
        <w:r w:rsidRPr="001D5327">
          <w:rPr>
            <w:rStyle w:val="Hyperlink"/>
            <w:rFonts w:cs="Calibri"/>
            <w:spacing w:val="-2"/>
          </w:rPr>
          <w:t>www.mpi.govt.nz/dmsdocument/13906-detailed-methodologies-for-agricultural-greenhouse-gas-emission-calculation</w:t>
        </w:r>
      </w:hyperlink>
      <w:r w:rsidRPr="001D5327">
        <w:t>).</w:t>
      </w:r>
    </w:p>
    <w:p w14:paraId="6B1E9CEB" w14:textId="77777777" w:rsidR="00590FE1" w:rsidRPr="001D5327" w:rsidRDefault="00590FE1" w:rsidP="00590FE1">
      <w:pPr>
        <w:pStyle w:val="Heading5"/>
        <w:spacing w:before="200"/>
      </w:pPr>
      <w:r w:rsidRPr="001D5327">
        <w:t xml:space="preserve">Monthly diet energy (E) concentration </w:t>
      </w:r>
    </w:p>
    <w:p w14:paraId="1076E4A0" w14:textId="77777777" w:rsidR="00590FE1" w:rsidRPr="001D5327" w:rsidRDefault="00590FE1" w:rsidP="00590FE1">
      <w:pPr>
        <w:pStyle w:val="BodyText"/>
        <w:spacing w:before="100" w:after="100"/>
        <w:rPr>
          <w:strike/>
        </w:rPr>
      </w:pPr>
      <w:r w:rsidRPr="001D5327">
        <w:t xml:space="preserve">In New Zealand, dairy cattle, beef cattle, sheep and deer are predominantly fed on pasture all year round. Data sets of estimated monthly energy concentrations of pasture consumed by different livestock species are used in the Agriculture inventory model. This diet is typically supplemented with feeds of various types, such as hay and silage, and a range of different crops and crop wastes. Data on the concentration of pasture are reported in the Agriculture inventory methodology document (Pickering et al., 2024, appendices 3, 9 and 19) and are derived from published and unpublished research trial data and </w:t>
      </w:r>
      <w:r w:rsidRPr="001D5327" w:rsidDel="00574888">
        <w:t xml:space="preserve">supplemented </w:t>
      </w:r>
      <w:r w:rsidRPr="001D5327">
        <w:t>with additional data from farm surveys on commercial cattle and sheep farms.</w:t>
      </w:r>
    </w:p>
    <w:p w14:paraId="3C2D8E57" w14:textId="77777777" w:rsidR="00590FE1" w:rsidRPr="001D5327" w:rsidRDefault="00590FE1" w:rsidP="00590FE1">
      <w:pPr>
        <w:pStyle w:val="BodyText"/>
        <w:spacing w:before="100" w:after="100"/>
      </w:pPr>
      <w:r w:rsidRPr="001D5327">
        <w:t>To ensure consistency across the livestock emission source categories, a single enhanced livestock population characterisation and DMI estimate is produced by the Tier 2 model for each livestock class. The enhanced livestock characterisation and DMI are used to estimate CH</w:t>
      </w:r>
      <w:r w:rsidRPr="001D5327">
        <w:rPr>
          <w:vertAlign w:val="subscript"/>
        </w:rPr>
        <w:t>4</w:t>
      </w:r>
      <w:r w:rsidRPr="001D5327">
        <w:t xml:space="preserve"> emissions for the </w:t>
      </w:r>
      <w:r w:rsidRPr="001D5327">
        <w:rPr>
          <w:i/>
          <w:iCs/>
        </w:rPr>
        <w:t xml:space="preserve">Enteric fermentation </w:t>
      </w:r>
      <w:r w:rsidRPr="001D5327">
        <w:t>category, CH</w:t>
      </w:r>
      <w:r w:rsidRPr="001D5327">
        <w:rPr>
          <w:vertAlign w:val="subscript"/>
        </w:rPr>
        <w:t>4</w:t>
      </w:r>
      <w:r w:rsidRPr="001D5327">
        <w:t xml:space="preserve"> and N</w:t>
      </w:r>
      <w:r w:rsidRPr="001D5327">
        <w:rPr>
          <w:vertAlign w:val="subscript"/>
        </w:rPr>
        <w:t>2</w:t>
      </w:r>
      <w:r w:rsidRPr="001D5327">
        <w:t>O</w:t>
      </w:r>
      <w:r w:rsidRPr="001D5327" w:rsidDel="00574888">
        <w:t xml:space="preserve"> </w:t>
      </w:r>
      <w:r w:rsidRPr="001D5327">
        <w:t xml:space="preserve">emissions, derived from nitrogen concentration of the feed DMI, for the </w:t>
      </w:r>
      <w:r w:rsidRPr="001D5327">
        <w:rPr>
          <w:i/>
          <w:iCs/>
        </w:rPr>
        <w:t>Manure management</w:t>
      </w:r>
      <w:r w:rsidRPr="001D5327">
        <w:t xml:space="preserve"> category and N</w:t>
      </w:r>
      <w:r w:rsidRPr="001D5327">
        <w:rPr>
          <w:vertAlign w:val="subscript"/>
        </w:rPr>
        <w:t>2</w:t>
      </w:r>
      <w:r w:rsidRPr="001D5327">
        <w:t xml:space="preserve">O emissions for urine and dung deposited by grazing animals onto pasture in the </w:t>
      </w:r>
      <w:r w:rsidRPr="001D5327">
        <w:rPr>
          <w:i/>
          <w:iCs/>
        </w:rPr>
        <w:t>Agricultural soils</w:t>
      </w:r>
      <w:r w:rsidRPr="001D5327">
        <w:t xml:space="preserve"> category.</w:t>
      </w:r>
    </w:p>
    <w:p w14:paraId="3ABA6CA2" w14:textId="77777777" w:rsidR="00590FE1" w:rsidRPr="001D5327" w:rsidRDefault="00590FE1" w:rsidP="00590FE1">
      <w:pPr>
        <w:pStyle w:val="Heading3"/>
        <w:spacing w:before="240"/>
      </w:pPr>
      <w:bookmarkStart w:id="685" w:name="_Toc32570646"/>
      <w:r w:rsidRPr="001D5327">
        <w:t xml:space="preserve">5.1.4 </w:t>
      </w:r>
      <w:r w:rsidRPr="001D5327">
        <w:tab/>
        <w:t>Activity data</w:t>
      </w:r>
      <w:bookmarkEnd w:id="685"/>
    </w:p>
    <w:p w14:paraId="1CE65234" w14:textId="77777777" w:rsidR="00590FE1" w:rsidRPr="001D5327" w:rsidRDefault="00590FE1" w:rsidP="00590FE1">
      <w:pPr>
        <w:pStyle w:val="Heading4"/>
        <w:spacing w:before="180"/>
      </w:pPr>
      <w:r w:rsidRPr="001D5327">
        <w:t xml:space="preserve">Major livestock categories </w:t>
      </w:r>
    </w:p>
    <w:p w14:paraId="4AEC5614" w14:textId="77777777" w:rsidR="00590FE1" w:rsidRPr="001D5327" w:rsidRDefault="00590FE1" w:rsidP="00590FE1">
      <w:pPr>
        <w:pStyle w:val="BodyText"/>
        <w:spacing w:before="80"/>
        <w:rPr>
          <w:spacing w:val="-2"/>
        </w:rPr>
      </w:pPr>
      <w:r w:rsidRPr="001D5327">
        <w:rPr>
          <w:spacing w:val="-2"/>
        </w:rPr>
        <w:t xml:space="preserve">The Tier 2 methodology developed by </w:t>
      </w:r>
      <w:r w:rsidRPr="001D5327" w:rsidDel="00A71F3E">
        <w:rPr>
          <w:spacing w:val="-2"/>
        </w:rPr>
        <w:t xml:space="preserve">New </w:t>
      </w:r>
      <w:r w:rsidRPr="001D5327">
        <w:rPr>
          <w:spacing w:val="-2"/>
        </w:rPr>
        <w:t xml:space="preserve">Zealand uses data on livestock population and productivity to calculate livestock energy requirements and DMI. Animal population data are collected by Stats NZ, New Zealand’s official data agency. Productivity data for dairy are provided jointly by the Livestock Improvement Corporation (LIC, a farmer-owned cooperative genetics improvement organisation) and DairyNZ (an industry good dairy research, statistics and advisory body), with other data provided by industry organisations such Beef + Lamb New Zealand Ltd (an industry good non-dairy cattle and sheep research, survey and advisory body) and Deer Industry New Zealand (an industry good deer research and advisory body), which regularly collect animal sector statistics. Statistics on animal carcass weights are collected by MPI from all major meat processors and are used to derive inventory animal liveweights. </w:t>
      </w:r>
    </w:p>
    <w:p w14:paraId="67AF1827" w14:textId="77777777" w:rsidR="00590FE1" w:rsidRPr="001D5327" w:rsidRDefault="00590FE1" w:rsidP="00A64C68">
      <w:pPr>
        <w:pStyle w:val="BodyText"/>
        <w:keepLines/>
        <w:spacing w:before="100" w:after="100"/>
      </w:pPr>
      <w:r w:rsidRPr="001D5327">
        <w:lastRenderedPageBreak/>
        <w:t xml:space="preserve">A challenge for </w:t>
      </w:r>
      <w:r w:rsidRPr="001D5327" w:rsidDel="002028BE">
        <w:t xml:space="preserve">New </w:t>
      </w:r>
      <w:r w:rsidRPr="001D5327">
        <w:t xml:space="preserve">Zealand activity data is that the inventory is calculated on a calendar year basis for international comparability purposes, while the </w:t>
      </w:r>
      <w:r w:rsidRPr="001D5327" w:rsidDel="009A6E24">
        <w:t xml:space="preserve">New </w:t>
      </w:r>
      <w:r w:rsidRPr="001D5327">
        <w:t>Zealand agricultural sector uses a June year-end basis for animal statistics because this reflects the natural biological cycle for animals in the southern hemisphere. New Zealand developed a Tier 2 model that estimates livestock emissions on a monthly time step, beginning on 1 July of one calendar year and ending on 30 June of the next year. To calculate emissions for a single calendar year (1 January – 31 December), the calculated emissions data from the last six months of a July–June year are combined with the first six months’ emissions of the next July–June year. This approach enables comparisons with the agricultural inventories of other countries.</w:t>
      </w:r>
    </w:p>
    <w:p w14:paraId="433E76AC" w14:textId="77777777" w:rsidR="00590FE1" w:rsidRPr="001D5327" w:rsidRDefault="00590FE1" w:rsidP="00590FE1">
      <w:pPr>
        <w:pStyle w:val="BodyText"/>
        <w:spacing w:before="100" w:after="100"/>
      </w:pPr>
      <w:r w:rsidRPr="001D5327">
        <w:rPr>
          <w:iCs/>
        </w:rPr>
        <w:t>Dairy cattle</w:t>
      </w:r>
      <w:r w:rsidRPr="001D5327">
        <w:t xml:space="preserve"> are the only livestock type where emissions are currently calculated on a sub-national regional area basis represented by regional council areas. This allows the Agriculture inventory model to take into account </w:t>
      </w:r>
      <w:r w:rsidRPr="001D5327">
        <w:rPr>
          <w:spacing w:val="-2"/>
        </w:rPr>
        <w:t xml:space="preserve">regional differences in productivity for dairy livestock as a result of </w:t>
      </w:r>
      <w:r w:rsidRPr="001D5327">
        <w:t>New Zealand’s</w:t>
      </w:r>
      <w:r w:rsidRPr="001D5327">
        <w:rPr>
          <w:spacing w:val="-2"/>
        </w:rPr>
        <w:t xml:space="preserve"> different climatic conditions </w:t>
      </w:r>
      <w:r w:rsidRPr="001D5327">
        <w:t xml:space="preserve">and management systems (Clark, 2008a). A regional emissions assessment is not carried out </w:t>
      </w:r>
      <w:r w:rsidRPr="001D5327">
        <w:rPr>
          <w:spacing w:val="-2"/>
        </w:rPr>
        <w:t>for other livestock types because regional productivity data are currently unable to be accurately</w:t>
      </w:r>
      <w:r w:rsidRPr="001D5327">
        <w:t xml:space="preserve"> collected at the sub-national level and integrated into the national population data. </w:t>
      </w:r>
    </w:p>
    <w:p w14:paraId="4E5B6A8B" w14:textId="77777777" w:rsidR="00590FE1" w:rsidRPr="001D5327" w:rsidRDefault="00590FE1" w:rsidP="00590FE1">
      <w:pPr>
        <w:pStyle w:val="Heading5"/>
        <w:spacing w:before="200"/>
      </w:pPr>
      <w:r w:rsidRPr="001D5327">
        <w:t xml:space="preserve">Animal population data </w:t>
      </w:r>
    </w:p>
    <w:p w14:paraId="241329F8" w14:textId="77777777" w:rsidR="00590FE1" w:rsidRPr="001D5327" w:rsidRDefault="00590FE1" w:rsidP="00590FE1">
      <w:pPr>
        <w:pStyle w:val="BodyText"/>
        <w:spacing w:before="80" w:after="100"/>
      </w:pPr>
      <w:r w:rsidRPr="001D5327">
        <w:t>Stats NZ collects animal population data on a sub-national territorial authority basis. Animal population data are collected on an annual basis through the Agricultural Production Census and Agricultural Production Survey. The census occurs every five years (the most recent occurred in 2022) and the survey is conducted in the interim years. The only difference between these two processes is the sample size. The Census attempts to gather information from the entire target population, and the Survey attempts to gather information from a representative random sample of that population. Further details about the scope and accuracy of the Stats NZ Agricultural Production data collection are provided in annex 5, section A5.1.</w:t>
      </w:r>
    </w:p>
    <w:p w14:paraId="0E3DCFE9" w14:textId="5DCFA737" w:rsidR="00590FE1" w:rsidRPr="001D5327" w:rsidRDefault="00590FE1" w:rsidP="00590FE1">
      <w:pPr>
        <w:pStyle w:val="BodyText"/>
        <w:spacing w:before="100" w:after="100"/>
        <w:rPr>
          <w:spacing w:val="-2"/>
        </w:rPr>
      </w:pPr>
      <w:r w:rsidRPr="001D5327">
        <w:rPr>
          <w:spacing w:val="-2"/>
        </w:rPr>
        <w:t>Livestock population data for 2024 are needed to estimate emissions for the 2023 year. The</w:t>
      </w:r>
      <w:r w:rsidR="00A64C68" w:rsidRPr="001D5327">
        <w:rPr>
          <w:spacing w:val="-2"/>
        </w:rPr>
        <w:t xml:space="preserve"> </w:t>
      </w:r>
      <w:r w:rsidRPr="001D5327">
        <w:rPr>
          <w:spacing w:val="-2"/>
        </w:rPr>
        <w:t>timing of Stats NZ final data releases (June the year after the survey) and the inventory submission deadlines mean that actual 2024 population data are not available for this inventory submission. Projections based on figures published in New Zealand’s first Biennial Transparency Report under the Paris Agreement (MfE, 2024) have been used as a replacement for 2024 data.</w:t>
      </w:r>
    </w:p>
    <w:p w14:paraId="745DD5B0" w14:textId="77777777" w:rsidR="00590FE1" w:rsidRPr="001D5327" w:rsidRDefault="00590FE1" w:rsidP="00590FE1">
      <w:pPr>
        <w:pStyle w:val="BodyText"/>
        <w:spacing w:before="100" w:after="100"/>
      </w:pPr>
      <w:r w:rsidRPr="001D5327">
        <w:t xml:space="preserve">The New Zealand Agriculture inventory model uses a country-specific population characterisation for pasture-based livestock, compared with the default recommended by the </w:t>
      </w:r>
      <w:r w:rsidRPr="001D5327">
        <w:rPr>
          <w:spacing w:val="-2"/>
        </w:rPr>
        <w:t>IPCC for Tier 2 inventories (IPCC, 2000, 2006, 2019). The full list of categories</w:t>
      </w:r>
      <w:r w:rsidRPr="001D5327">
        <w:t xml:space="preserve"> for the major livestock populations can be found in annex 5, table A5.1.2, and in the Agriculture inventory methodology document on the MPI website (</w:t>
      </w:r>
      <w:hyperlink r:id="rId102" w:history="1">
        <w:r w:rsidRPr="001D5327">
          <w:rPr>
            <w:rStyle w:val="Hyperlink"/>
          </w:rPr>
          <w:t>www.mpi.govt.nz/dmsdocument/13906-detailed-methodologies-for-agricultural-greenhouse-gas-emission-calculation</w:t>
        </w:r>
      </w:hyperlink>
      <w:r w:rsidRPr="001D5327">
        <w:t xml:space="preserve">). </w:t>
      </w:r>
    </w:p>
    <w:p w14:paraId="4EDBBC0B" w14:textId="77777777" w:rsidR="00590FE1" w:rsidRPr="001D5327" w:rsidRDefault="00590FE1" w:rsidP="00590FE1">
      <w:pPr>
        <w:pStyle w:val="BodyText"/>
        <w:spacing w:before="100" w:after="100"/>
      </w:pPr>
      <w:r w:rsidRPr="001D5327">
        <w:t xml:space="preserve">For the purposes of emissions data reporting, dairy cattle encompasses all cattle that support the milking dairy herd. In addition to dairy heifers, this includes calves, young growing non-lactating heifers, dry cows and dairy bulls. All other cattle in New Zealand are characterised as </w:t>
      </w:r>
      <w:r w:rsidRPr="001D5327" w:rsidDel="00160A68">
        <w:t>n</w:t>
      </w:r>
      <w:r w:rsidRPr="001D5327">
        <w:t>on-dairy cattle. These include non-dairy breeding lactating cows used for producing slaughter animals, such as calves, dry cows, bulls and all slaughter classes. A proportion of male and female dairy calves not required for dairy replacements are transferred into the non-dairy herd and are slaughtered for meat consumption, generally at 24 to 36 months of age.</w:t>
      </w:r>
    </w:p>
    <w:p w14:paraId="5EC9DC9E" w14:textId="77777777" w:rsidR="00590FE1" w:rsidRPr="001D5327" w:rsidRDefault="00590FE1" w:rsidP="00590FE1">
      <w:pPr>
        <w:pStyle w:val="BodyText"/>
        <w:spacing w:before="100"/>
      </w:pPr>
      <w:r w:rsidRPr="001D5327">
        <w:t>A detailed livestock population model is used to calculate monthly populations for dairy cattle, non-dairy cattle, sheep and deer (see annex 5, table A5.1.2, for the full list of categories).</w:t>
      </w:r>
    </w:p>
    <w:p w14:paraId="01218573" w14:textId="77777777" w:rsidR="00590FE1" w:rsidRPr="001D5327" w:rsidRDefault="00590FE1" w:rsidP="00590FE1">
      <w:pPr>
        <w:pStyle w:val="BodyText"/>
      </w:pPr>
      <w:r w:rsidRPr="001D5327">
        <w:lastRenderedPageBreak/>
        <w:t xml:space="preserve">This monthly population delineation has been developed by using industry knowledge and assumptions as detailed in Burggraaf et al. (2022), Clark (2008b), Stevens and Ward (2023), </w:t>
      </w:r>
      <w:r w:rsidRPr="001D5327">
        <w:rPr>
          <w:rFonts w:cs="Arial"/>
        </w:rPr>
        <w:t>Stevens et al. (2022),</w:t>
      </w:r>
      <w:r w:rsidRPr="001D5327">
        <w:t xml:space="preserve"> Suttie (2012) and Thomson et al. (2010). Populations within a given year are adjusted on a monthly basis to account for births, deaths and transfers between age groups. For example, because most lambs are born and slaughtered between August and May, their numbers do not appear in the June census or survey data. Additionally, male and female dairy calves not necessary for replacements are usually slaughtered at four days of age or transferred to the non-dairy herd. The monthly population model ensures that the calculated feed demand more accurately reflects the status of each livestock category at a particular time of the year. Average national estimates of monthly birth and death dates </w:t>
      </w:r>
      <w:r w:rsidRPr="001D5327" w:rsidDel="00376970">
        <w:t xml:space="preserve">and rates </w:t>
      </w:r>
      <w:r w:rsidRPr="001D5327">
        <w:t>are used, which are based on expert opinion and limited published data. In reality, these vary across the country, due to differences in climate and farming systems in different parts of New Zealand.</w:t>
      </w:r>
    </w:p>
    <w:p w14:paraId="7E093D67" w14:textId="77777777" w:rsidR="00590FE1" w:rsidRPr="001D5327" w:rsidRDefault="00590FE1" w:rsidP="00590FE1">
      <w:pPr>
        <w:pStyle w:val="Heading5"/>
      </w:pPr>
      <w:r w:rsidRPr="001D5327">
        <w:t xml:space="preserve">Animal productivity data </w:t>
      </w:r>
    </w:p>
    <w:p w14:paraId="43859433" w14:textId="77777777" w:rsidR="00590FE1" w:rsidRPr="001D5327" w:rsidRDefault="00590FE1" w:rsidP="00046DED">
      <w:pPr>
        <w:pStyle w:val="BodyText"/>
        <w:spacing w:before="100" w:after="100"/>
      </w:pPr>
      <w:r w:rsidRPr="001D5327">
        <w:t xml:space="preserve">Animal productivity data are obtained from LIC and DairyNZ, Beef + Lamb New Zealand Ltd and Deer Industry New Zealand. </w:t>
      </w:r>
      <w:r w:rsidRPr="001D5327">
        <w:rPr>
          <w:rFonts w:cs="Calibri"/>
        </w:rPr>
        <w:t xml:space="preserve">Slaughter statistics are collected by MPI and used as a proxy to establish changes in animal </w:t>
      </w:r>
      <w:r w:rsidRPr="001D5327">
        <w:t>liveweight over time (</w:t>
      </w:r>
      <w:hyperlink r:id="rId103" w:history="1">
        <w:r w:rsidRPr="001D5327">
          <w:rPr>
            <w:rStyle w:val="Hyperlink"/>
          </w:rPr>
          <w:t>www.mpi.govt.nz/resources-and-forms/economic-intelligence/data</w:t>
        </w:r>
      </w:hyperlink>
      <w:r w:rsidRPr="001D5327">
        <w:t>). Animal liveweight is derived from published slaughter-weight statistics and general nationally derived killing-out percentages (Clark et al., 2003; Muir et al., 2008; Muir</w:t>
      </w:r>
      <w:r w:rsidRPr="001D5327">
        <w:rPr>
          <w:rFonts w:cs="Calibri"/>
        </w:rPr>
        <w:t xml:space="preserve"> and Thomson, 2010). </w:t>
      </w:r>
    </w:p>
    <w:p w14:paraId="7693509A" w14:textId="3925200B" w:rsidR="00590FE1" w:rsidRPr="001D5327" w:rsidRDefault="00590FE1" w:rsidP="00046DED">
      <w:pPr>
        <w:pStyle w:val="BodyText"/>
        <w:spacing w:before="100" w:after="100"/>
      </w:pPr>
      <w:r w:rsidRPr="001D5327">
        <w:t>The same data sources are used each year to ensure consistency. Other information, such as</w:t>
      </w:r>
      <w:r w:rsidR="00462B11" w:rsidRPr="001D5327">
        <w:t> </w:t>
      </w:r>
      <w:r w:rsidRPr="001D5327">
        <w:t>the liveweight of non-dairy cattle and breeding bulls, is collected at irregular intervals from</w:t>
      </w:r>
      <w:r w:rsidR="00462B11" w:rsidRPr="001D5327">
        <w:t> </w:t>
      </w:r>
      <w:r w:rsidRPr="001D5327">
        <w:t xml:space="preserve">small survey populations. For years when data are not available, expert opinion and extrapolation from existing data are used. </w:t>
      </w:r>
    </w:p>
    <w:p w14:paraId="0C880940" w14:textId="77777777" w:rsidR="00590FE1" w:rsidRPr="001D5327" w:rsidRDefault="00590FE1" w:rsidP="00046DED">
      <w:pPr>
        <w:pStyle w:val="BodyText"/>
        <w:spacing w:before="100" w:after="100"/>
      </w:pPr>
      <w:r w:rsidRPr="001D5327">
        <w:rPr>
          <w:b/>
          <w:bCs/>
          <w:i/>
          <w:iCs/>
        </w:rPr>
        <w:t>Dairy cattle – milk production:</w:t>
      </w:r>
      <w:r w:rsidRPr="001D5327">
        <w:t xml:space="preserve"> Regional data on milk production, proportions of dairy cattle breeds and animal liveweights are provided in the New Zealand dairy statistics reports. These data are collectively compiled by LIC and DairyNZ.</w:t>
      </w:r>
    </w:p>
    <w:p w14:paraId="59D7A5E7" w14:textId="63BD4B79" w:rsidR="00590FE1" w:rsidRPr="001D5327" w:rsidRDefault="00590FE1" w:rsidP="00046DED">
      <w:pPr>
        <w:pStyle w:val="BodyText"/>
        <w:spacing w:before="100" w:after="100"/>
      </w:pPr>
      <w:r w:rsidRPr="001D5327">
        <w:t xml:space="preserve">Data on New Zealand’s total milk production are taken from the amount of milk processed through </w:t>
      </w:r>
      <w:r w:rsidRPr="001D5327" w:rsidDel="00092D2D">
        <w:t xml:space="preserve">New </w:t>
      </w:r>
      <w:r w:rsidRPr="001D5327">
        <w:t>Zealand dairy factories for both the export and domestic markets. Data on individual animal production are sourced from the Dairy Industry Good Animal Database, maintained by DairyNZ. Dairy farmers are paid on total kilograms of milk solids (fat and protein) collected. Tankers that collect the milk also meter the milk collected from individual farms. These meters are regularly calibrated and audited. Each time a tanker picks up milk</w:t>
      </w:r>
      <w:r w:rsidR="00882DD5" w:rsidRPr="001D5327">
        <w:t xml:space="preserve"> </w:t>
      </w:r>
      <w:r w:rsidRPr="001D5327">
        <w:t>(daily or every other day depending on the season; B Bills, pers. comm., 2024),</w:t>
      </w:r>
      <w:r w:rsidRPr="001D5327" w:rsidDel="0036115A">
        <w:t xml:space="preserve"> </w:t>
      </w:r>
      <w:r w:rsidRPr="001D5327">
        <w:t>samples from</w:t>
      </w:r>
      <w:r w:rsidR="00882DD5" w:rsidRPr="001D5327">
        <w:t> </w:t>
      </w:r>
      <w:r w:rsidRPr="001D5327">
        <w:t xml:space="preserve">individual farms are independently tested for milk solids, milk fat percentage and protein content. </w:t>
      </w:r>
    </w:p>
    <w:p w14:paraId="41047DF6" w14:textId="77777777" w:rsidR="00590FE1" w:rsidRPr="001D5327" w:rsidRDefault="00590FE1" w:rsidP="00046DED">
      <w:pPr>
        <w:pStyle w:val="BodyText"/>
        <w:spacing w:before="100" w:after="100"/>
      </w:pPr>
      <w:r w:rsidRPr="001D5327">
        <w:t xml:space="preserve">LIC and DairyNZ provide annual milk production data (milk yield and composition), but the </w:t>
      </w:r>
      <w:r w:rsidRPr="001D5327">
        <w:rPr>
          <w:spacing w:val="-2"/>
        </w:rPr>
        <w:t>Tier 2 livestock model operates on a monthly time step. Monthly milk production is determined</w:t>
      </w:r>
      <w:r w:rsidRPr="001D5327">
        <w:t xml:space="preserve"> by multiplying the assessed proportion of annual milk production for each month by the total annual milk production (see annex 5, table A5.1.4). Milk production commences from mid-July to early August every year, peaking around October–November and declines during autumn (April–May in the southern hemisphere). Milk production is low to non-existent in June and July in most herds (see figure 5.1.6). Some farms may milk during June–July to provide fresh milk for domestic consumers in winter.</w:t>
      </w:r>
    </w:p>
    <w:p w14:paraId="6461278C" w14:textId="77777777" w:rsidR="00590FE1" w:rsidRPr="001D5327" w:rsidRDefault="00590FE1" w:rsidP="00590FE1">
      <w:pPr>
        <w:pStyle w:val="BodyText"/>
        <w:spacing w:before="100" w:after="100"/>
      </w:pPr>
      <w:r w:rsidRPr="001D5327">
        <w:t xml:space="preserve">New Zealand’s dairy production per animal is lower than in other developed countries. This is because </w:t>
      </w:r>
      <w:r w:rsidRPr="001D5327" w:rsidDel="00FF3DAF">
        <w:t xml:space="preserve">New </w:t>
      </w:r>
      <w:r w:rsidRPr="001D5327">
        <w:t xml:space="preserve">Zealand has predominantly pasture-based dairy systems rather than the housed grain-fed systems used in Europe and North America. </w:t>
      </w:r>
    </w:p>
    <w:p w14:paraId="7E371640" w14:textId="77777777" w:rsidR="00590FE1" w:rsidRPr="001D5327" w:rsidRDefault="00590FE1" w:rsidP="00590FE1">
      <w:pPr>
        <w:pStyle w:val="BodyText"/>
        <w:spacing w:before="100" w:after="100"/>
      </w:pPr>
      <w:r w:rsidRPr="001D5327">
        <w:lastRenderedPageBreak/>
        <w:t xml:space="preserve">Annual milk yields per animal have been obtained and reported as additional data in the </w:t>
      </w:r>
      <w:r w:rsidRPr="001D5327">
        <w:rPr>
          <w:rFonts w:eastAsia="Calibri" w:cs="Calibri"/>
        </w:rPr>
        <w:t>common reporting table</w:t>
      </w:r>
      <w:r w:rsidRPr="001D5327">
        <w:t xml:space="preserve"> (CRT) for Annex I country inventories by dividing the total milk produced by the total number of milking dairy cows and heifers. </w:t>
      </w:r>
    </w:p>
    <w:p w14:paraId="225D80C6" w14:textId="77777777" w:rsidR="00590FE1" w:rsidRPr="001D5327" w:rsidRDefault="00590FE1" w:rsidP="00590FE1">
      <w:pPr>
        <w:pStyle w:val="Figure"/>
      </w:pPr>
      <w:bookmarkStart w:id="686" w:name="_Toc481752011"/>
      <w:bookmarkStart w:id="687" w:name="_Toc507158470"/>
      <w:bookmarkStart w:id="688" w:name="_Toc511116961"/>
      <w:bookmarkStart w:id="689" w:name="_Toc5269691"/>
      <w:bookmarkStart w:id="690" w:name="_Toc32570962"/>
      <w:bookmarkStart w:id="691" w:name="_Toc36292792"/>
      <w:bookmarkStart w:id="692" w:name="_Toc68786657"/>
      <w:bookmarkStart w:id="693" w:name="_Toc95574118"/>
      <w:bookmarkStart w:id="694" w:name="_Toc127458557"/>
      <w:bookmarkStart w:id="695" w:name="_Toc131591559"/>
      <w:bookmarkStart w:id="696" w:name="_Toc164154027"/>
      <w:bookmarkStart w:id="697" w:name="_Toc194674860"/>
      <w:r w:rsidRPr="001D5327">
        <w:t xml:space="preserve">Figure 5.1.6 </w:t>
      </w:r>
      <w:r w:rsidRPr="001D5327">
        <w:tab/>
        <w:t xml:space="preserve">National monthly milk production in New Zealand, from 2021 to </w:t>
      </w:r>
      <w:bookmarkEnd w:id="686"/>
      <w:bookmarkEnd w:id="687"/>
      <w:bookmarkEnd w:id="688"/>
      <w:bookmarkEnd w:id="689"/>
      <w:bookmarkEnd w:id="690"/>
      <w:bookmarkEnd w:id="691"/>
      <w:bookmarkEnd w:id="692"/>
      <w:bookmarkEnd w:id="693"/>
      <w:bookmarkEnd w:id="694"/>
      <w:bookmarkEnd w:id="695"/>
      <w:bookmarkEnd w:id="696"/>
      <w:r w:rsidRPr="001D5327">
        <w:t>2023</w:t>
      </w:r>
      <w:bookmarkEnd w:id="697"/>
    </w:p>
    <w:p w14:paraId="7821F894" w14:textId="77777777" w:rsidR="00590FE1" w:rsidRPr="001D5327" w:rsidRDefault="00590FE1" w:rsidP="00590FE1">
      <w:pPr>
        <w:pStyle w:val="BodyText"/>
        <w:spacing w:before="80"/>
      </w:pPr>
      <w:r w:rsidRPr="001D5327">
        <w:rPr>
          <w:noProof/>
        </w:rPr>
        <w:drawing>
          <wp:inline distT="0" distB="0" distL="0" distR="0" wp14:anchorId="03143D90" wp14:editId="7BD6D34B">
            <wp:extent cx="5169877" cy="2881272"/>
            <wp:effectExtent l="0" t="0" r="0" b="5080"/>
            <wp:docPr id="655775043" name="Picture 655775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cstate="print">
                      <a:extLst>
                        <a:ext uri="{28A0092B-C50C-407E-A947-70E740481C1C}">
                          <a14:useLocalDpi xmlns:a14="http://schemas.microsoft.com/office/drawing/2010/main" val="0"/>
                        </a:ext>
                      </a:extLst>
                    </a:blip>
                    <a:srcRect b="4531"/>
                    <a:stretch/>
                  </pic:blipFill>
                  <pic:spPr bwMode="auto">
                    <a:xfrm>
                      <a:off x="0" y="0"/>
                      <a:ext cx="5169877" cy="2881272"/>
                    </a:xfrm>
                    <a:prstGeom prst="rect">
                      <a:avLst/>
                    </a:prstGeom>
                    <a:ln>
                      <a:noFill/>
                    </a:ln>
                    <a:extLst>
                      <a:ext uri="{53640926-AAD7-44D8-BBD7-CCE9431645EC}">
                        <a14:shadowObscured xmlns:a14="http://schemas.microsoft.com/office/drawing/2010/main"/>
                      </a:ext>
                    </a:extLst>
                  </pic:spPr>
                </pic:pic>
              </a:graphicData>
            </a:graphic>
          </wp:inline>
        </w:drawing>
      </w:r>
    </w:p>
    <w:p w14:paraId="4A4A3F00" w14:textId="77777777" w:rsidR="00590FE1" w:rsidRPr="001D5327" w:rsidRDefault="00590FE1" w:rsidP="00590FE1">
      <w:pPr>
        <w:pStyle w:val="Source"/>
        <w:spacing w:before="0" w:after="120"/>
        <w:rPr>
          <w:rFonts w:cs="Calibri"/>
          <w:b/>
          <w:bCs/>
          <w:szCs w:val="24"/>
        </w:rPr>
      </w:pPr>
      <w:r w:rsidRPr="001D5327">
        <w:rPr>
          <w:rFonts w:cs="Calibri"/>
          <w:szCs w:val="24"/>
        </w:rPr>
        <w:t>Source:</w:t>
      </w:r>
      <w:r w:rsidRPr="001D5327">
        <w:rPr>
          <w:rFonts w:cs="Calibri"/>
          <w:szCs w:val="24"/>
        </w:rPr>
        <w:tab/>
        <w:t>Dairy Companies Association of New Zealand (2024)</w:t>
      </w:r>
    </w:p>
    <w:p w14:paraId="1D5FB8F2" w14:textId="77777777" w:rsidR="00590FE1" w:rsidRPr="001D5327" w:rsidRDefault="00590FE1" w:rsidP="00590FE1">
      <w:pPr>
        <w:pStyle w:val="BodyText"/>
        <w:spacing w:before="100"/>
        <w:rPr>
          <w:rFonts w:cs="Calibri"/>
          <w:spacing w:val="-2"/>
        </w:rPr>
      </w:pPr>
      <w:r w:rsidRPr="001D5327">
        <w:rPr>
          <w:rFonts w:cs="Calibri"/>
          <w:spacing w:val="-2"/>
        </w:rPr>
        <w:t xml:space="preserve">Before 1993, no productivity data were collected at a territorial authority level, so pre-1993 data have been estimated by extrapolating from the trends observed in existing data from 1994 to 2008. </w:t>
      </w:r>
    </w:p>
    <w:p w14:paraId="7C46DC80" w14:textId="77777777" w:rsidR="00590FE1" w:rsidRPr="001D5327" w:rsidRDefault="00590FE1" w:rsidP="00590FE1">
      <w:pPr>
        <w:pStyle w:val="BodyText"/>
        <w:spacing w:before="100" w:after="80"/>
        <w:rPr>
          <w:rFonts w:cs="Calibri"/>
        </w:rPr>
      </w:pPr>
      <w:r w:rsidRPr="001D5327">
        <w:rPr>
          <w:rFonts w:cs="Calibri"/>
        </w:rPr>
        <w:t>Before 2004, not all productivity data required could be collected from LIC at a territorial authority level. From 1993 to 2003, annual milk yield per cow was determined by the following equation:</w:t>
      </w:r>
    </w:p>
    <w:p w14:paraId="45860A5E" w14:textId="77777777" w:rsidR="00590FE1" w:rsidRPr="001D5327" w:rsidRDefault="00590FE1" w:rsidP="00590FE1">
      <w:pPr>
        <w:pStyle w:val="BodyText"/>
        <w:spacing w:before="0" w:after="80"/>
        <w:jc w:val="center"/>
        <w:rPr>
          <w:rFonts w:ascii="Cambria Math" w:hAnsi="Cambria Math" w:cs="Calibri"/>
          <w:sz w:val="24"/>
          <w:szCs w:val="24"/>
        </w:rPr>
      </w:pPr>
      <m:oMathPara>
        <m:oMath>
          <m:r>
            <w:rPr>
              <w:rFonts w:ascii="Cambria Math" w:hAnsi="Cambria Math" w:cs="Calibri"/>
              <w:sz w:val="24"/>
              <w:szCs w:val="24"/>
            </w:rPr>
            <m:t xml:space="preserve">Litres per cow= </m:t>
          </m:r>
          <m:f>
            <m:fPr>
              <m:ctrlPr>
                <w:rPr>
                  <w:rFonts w:ascii="Cambria Math" w:hAnsi="Cambria Math" w:cs="Calibri"/>
                  <w:i/>
                  <w:sz w:val="24"/>
                  <w:szCs w:val="24"/>
                </w:rPr>
              </m:ctrlPr>
            </m:fPr>
            <m:num>
              <m:r>
                <w:rPr>
                  <w:rFonts w:ascii="Cambria Math" w:hAnsi="Cambria Math" w:cs="Calibri"/>
                  <w:sz w:val="24"/>
                  <w:szCs w:val="24"/>
                </w:rPr>
                <m:t xml:space="preserve">mean milk fat </m:t>
              </m:r>
              <m:d>
                <m:dPr>
                  <m:ctrlPr>
                    <w:rPr>
                      <w:rFonts w:ascii="Cambria Math" w:hAnsi="Cambria Math" w:cs="Calibri"/>
                      <w:i/>
                      <w:sz w:val="24"/>
                      <w:szCs w:val="24"/>
                    </w:rPr>
                  </m:ctrlPr>
                </m:dPr>
                <m:e>
                  <m:f>
                    <m:fPr>
                      <m:ctrlPr>
                        <w:rPr>
                          <w:rFonts w:ascii="Cambria Math" w:hAnsi="Cambria Math" w:cs="Calibri"/>
                          <w:i/>
                          <w:sz w:val="24"/>
                          <w:szCs w:val="24"/>
                        </w:rPr>
                      </m:ctrlPr>
                    </m:fPr>
                    <m:num>
                      <m:r>
                        <w:rPr>
                          <w:rFonts w:ascii="Cambria Math" w:hAnsi="Cambria Math" w:cs="Calibri"/>
                          <w:sz w:val="24"/>
                          <w:szCs w:val="24"/>
                        </w:rPr>
                        <m:t>kg</m:t>
                      </m:r>
                    </m:num>
                    <m:den>
                      <m:r>
                        <w:rPr>
                          <w:rFonts w:ascii="Cambria Math" w:hAnsi="Cambria Math" w:cs="Calibri"/>
                          <w:sz w:val="24"/>
                          <w:szCs w:val="24"/>
                        </w:rPr>
                        <m:t>cow</m:t>
                      </m:r>
                    </m:den>
                  </m:f>
                </m:e>
              </m:d>
              <m:r>
                <w:rPr>
                  <w:rFonts w:ascii="Cambria Math" w:hAnsi="Cambria Math" w:cs="Calibri"/>
                  <w:sz w:val="24"/>
                  <w:szCs w:val="24"/>
                </w:rPr>
                <m:t>×100</m:t>
              </m:r>
            </m:num>
            <m:den>
              <m:r>
                <w:rPr>
                  <w:rFonts w:ascii="Cambria Math" w:hAnsi="Cambria Math" w:cs="Calibri"/>
                  <w:sz w:val="24"/>
                  <w:szCs w:val="24"/>
                </w:rPr>
                <m:t>%milk fat</m:t>
              </m:r>
            </m:den>
          </m:f>
        </m:oMath>
      </m:oMathPara>
    </w:p>
    <w:p w14:paraId="42489955" w14:textId="77777777" w:rsidR="00590FE1" w:rsidRPr="001D5327" w:rsidRDefault="00590FE1" w:rsidP="00590FE1">
      <w:pPr>
        <w:pStyle w:val="BodyText"/>
        <w:spacing w:after="100"/>
        <w:rPr>
          <w:rFonts w:cs="Calibri"/>
        </w:rPr>
      </w:pPr>
      <w:r w:rsidRPr="001D5327">
        <w:rPr>
          <w:rFonts w:cs="Calibri"/>
        </w:rPr>
        <w:t>From 2004 onwards, productivity data have been collected by LIC and DairyNZ at a similar regional level as the livestock population data collected by Stats NZ. In some instances, the regional level data provided by LIC and DairyNZ are disaggregated more than required. MPI officials allocate this to other regions so that it lines up with the population data, for example, districts identified under the region ‘Central Plateau’ are allocated to the ‘Bay of Plenty’. This is a straightforward process because the districts provided by LIC and DairyNZ clearly fall within the specified regional boundaries that the Stats NZ data are based upon.</w:t>
      </w:r>
    </w:p>
    <w:p w14:paraId="762F1BE8" w14:textId="77777777" w:rsidR="00590FE1" w:rsidRPr="001D5327" w:rsidRDefault="00590FE1" w:rsidP="00590FE1">
      <w:pPr>
        <w:pStyle w:val="BodyText"/>
        <w:spacing w:before="100" w:after="100"/>
      </w:pPr>
      <w:r w:rsidRPr="001D5327">
        <w:t xml:space="preserve">In the 2023/24 season, 77 per cent of all dairy cattle in milk were tested by LIC for milk production, along with milk fat and protein levels (LIC and DairyNZ, 2024). LIC also does genetic testing to identify superior breeding stock and their genetic background. Genetic improvement has contributed to the productivity improvements in the </w:t>
      </w:r>
      <w:r w:rsidRPr="001D5327" w:rsidDel="008431A0">
        <w:t xml:space="preserve">New </w:t>
      </w:r>
      <w:r w:rsidRPr="001D5327">
        <w:t xml:space="preserve">Zealand dairy cattle herd (LIC, 2009). </w:t>
      </w:r>
    </w:p>
    <w:p w14:paraId="084E7ECF" w14:textId="77777777" w:rsidR="00590FE1" w:rsidRPr="001D5327" w:rsidRDefault="00590FE1" w:rsidP="00DC7B94">
      <w:pPr>
        <w:pStyle w:val="BodyText"/>
      </w:pPr>
      <w:r w:rsidRPr="001D5327">
        <w:rPr>
          <w:b/>
          <w:bCs/>
          <w:i/>
          <w:iCs/>
        </w:rPr>
        <w:t xml:space="preserve">Dairy cattle – liveweight: </w:t>
      </w:r>
      <w:r w:rsidRPr="001D5327">
        <w:t xml:space="preserve">Average liveweight data for dairy cows are obtained by considering the proportion of each breed in the national herd and its age structure based on LIC, Dairy Industry Good Animal Database and DairyNZ data. Dairy cow liveweight data are only available </w:t>
      </w:r>
      <w:r w:rsidRPr="001D5327">
        <w:lastRenderedPageBreak/>
        <w:t xml:space="preserve">from LIC and DairyNZ from 1996 onwards and have been disaggregated into eight regions, some of which comprise several regional council regions. Data from the livestock improvement regions were appropriately apportioned to regional council areas. Liveweights before 1996 were estimated using the trend in liveweights from 1996 to 2008, together with data on the breed composition of the national herd (LIC, 2009). </w:t>
      </w:r>
    </w:p>
    <w:p w14:paraId="4663717D" w14:textId="77777777" w:rsidR="00590FE1" w:rsidRPr="001D5327" w:rsidRDefault="00590FE1" w:rsidP="00DC7B94">
      <w:pPr>
        <w:pStyle w:val="BodyText"/>
      </w:pPr>
      <w:r w:rsidRPr="001D5327">
        <w:t xml:space="preserve">In the Agriculture inventory model, replacement dairy animals (calves) are assumed to be about 9 per cent of the weight of the average cow at birth and to reach the weight of the average adult cow at calving (at two years of age) (Clark et al., 2003). Growth between birth and calving is divided into two periods: birth to weaning (two months of age) and weaning to calving. Higher growth rates are applied in the model between birth and weaning when animals receive milk as part of their diet. Within each period, the same daily growth rate is applied for the entire length of the period and applied nationally. </w:t>
      </w:r>
    </w:p>
    <w:p w14:paraId="70059B47" w14:textId="77777777" w:rsidR="00590FE1" w:rsidRPr="001D5327" w:rsidRDefault="00590FE1" w:rsidP="00DC7B94">
      <w:pPr>
        <w:pStyle w:val="BodyText"/>
      </w:pPr>
      <w:r w:rsidRPr="001D5327">
        <w:t xml:space="preserve">No data are available on the liveweights and performance of most breeding dairy bulls, which can range from the small Jersey breeds through to larger European non-dairy breeds. It is assumed, based on expert opinion and industry data (Clark et al., 2003), that the average mature weight of a breeding dairy bull is 500 kilograms as of 1 January and that they grow at 0.5 kilograms per day. This gives an average liveweight (at the mid-point of the year) of 592 kilograms. This is almost 25 per cent higher than the average weight of a </w:t>
      </w:r>
      <w:r w:rsidRPr="001D5327" w:rsidDel="00FB166F">
        <w:t xml:space="preserve">New </w:t>
      </w:r>
      <w:r w:rsidRPr="001D5327">
        <w:t xml:space="preserve">Zealand breeding dairy cow but is supported by expert opinion, given that some of the bulls will be of a heavier breed (e.g., Friesian and some non-dairy breeds). Total emissions are not sensitive to these assumed liveweight values because breeding bulls in the dairy herd are low in number and contribute less than 0.1 per cent of emissions to the dairy sector. </w:t>
      </w:r>
    </w:p>
    <w:p w14:paraId="2222EEF4" w14:textId="77777777" w:rsidR="00590FE1" w:rsidRPr="001D5327" w:rsidRDefault="00590FE1" w:rsidP="00590FE1">
      <w:pPr>
        <w:pStyle w:val="BodyText"/>
        <w:spacing w:before="100" w:after="100"/>
      </w:pPr>
      <w:r w:rsidRPr="001D5327">
        <w:t xml:space="preserve">LIC and DairyNZ (2024) reported the proportions of different breeds in the </w:t>
      </w:r>
      <w:r w:rsidRPr="001D5327" w:rsidDel="0090362E">
        <w:t xml:space="preserve">New </w:t>
      </w:r>
      <w:r w:rsidRPr="001D5327">
        <w:t>Zealand dairy herd in 2023 as:</w:t>
      </w:r>
    </w:p>
    <w:p w14:paraId="3135B95E" w14:textId="77777777" w:rsidR="00590FE1" w:rsidRPr="001D5327" w:rsidRDefault="00590FE1" w:rsidP="00590FE1">
      <w:pPr>
        <w:pStyle w:val="Bullet"/>
        <w:spacing w:after="100"/>
      </w:pPr>
      <w:r w:rsidRPr="001D5327">
        <w:t xml:space="preserve">Holstein–Friesian/Jersey crossbreed (60.4 per cent) </w:t>
      </w:r>
    </w:p>
    <w:p w14:paraId="751523DC" w14:textId="77777777" w:rsidR="00590FE1" w:rsidRPr="001D5327" w:rsidRDefault="00590FE1" w:rsidP="00590FE1">
      <w:pPr>
        <w:pStyle w:val="Bullet"/>
        <w:spacing w:after="100"/>
      </w:pPr>
      <w:r w:rsidRPr="001D5327">
        <w:t xml:space="preserve">Holstein–Friesian (23.9 per cent) </w:t>
      </w:r>
    </w:p>
    <w:p w14:paraId="470DB186" w14:textId="77777777" w:rsidR="00590FE1" w:rsidRPr="001D5327" w:rsidRDefault="00590FE1" w:rsidP="00590FE1">
      <w:pPr>
        <w:pStyle w:val="Bullet"/>
        <w:spacing w:after="100"/>
      </w:pPr>
      <w:r w:rsidRPr="001D5327">
        <w:t xml:space="preserve">Jersey (7.5 per cent) </w:t>
      </w:r>
    </w:p>
    <w:p w14:paraId="73602C3B" w14:textId="77777777" w:rsidR="00590FE1" w:rsidRPr="001D5327" w:rsidRDefault="00590FE1" w:rsidP="00590FE1">
      <w:pPr>
        <w:pStyle w:val="Bullet"/>
        <w:spacing w:after="100"/>
      </w:pPr>
      <w:r w:rsidRPr="001D5327">
        <w:t xml:space="preserve">Ayrshire (0.4 per cent) </w:t>
      </w:r>
    </w:p>
    <w:p w14:paraId="4B8DC95F" w14:textId="77777777" w:rsidR="00590FE1" w:rsidRPr="001D5327" w:rsidRDefault="00590FE1" w:rsidP="00590FE1">
      <w:pPr>
        <w:pStyle w:val="Bullet"/>
      </w:pPr>
      <w:r w:rsidRPr="001D5327">
        <w:t>other breeds (7.8 per cent).</w:t>
      </w:r>
    </w:p>
    <w:p w14:paraId="197317C2" w14:textId="77777777" w:rsidR="00590FE1" w:rsidRPr="001D5327" w:rsidRDefault="00590FE1" w:rsidP="00590FE1">
      <w:pPr>
        <w:pStyle w:val="BodyText"/>
        <w:keepLines/>
      </w:pPr>
      <w:r w:rsidRPr="001D5327">
        <w:t xml:space="preserve">The Holstein–Friesian/Jersey crossbreed has been developed specifically for New Zealand’s pasture-based systems. This breed is 8.4 per cent lighter on average than a Holstein–Friesian cow (LIC and DairyNZ, 2024) and has lower maintenance feed requirements. It does less damage to pasture during wet periods due to its lower liveweight. It also has higher milk volumes than the Jersey breed while maintaining a high percentage of milk solids. </w:t>
      </w:r>
    </w:p>
    <w:p w14:paraId="6F632392" w14:textId="77777777" w:rsidR="00590FE1" w:rsidRPr="001D5327" w:rsidRDefault="00590FE1" w:rsidP="00590FE1">
      <w:pPr>
        <w:pStyle w:val="BodyText"/>
        <w:rPr>
          <w:rFonts w:cs="Calibri"/>
        </w:rPr>
      </w:pPr>
      <w:r w:rsidRPr="001D5327">
        <w:rPr>
          <w:rFonts w:cs="Calibri"/>
          <w:b/>
          <w:bCs/>
          <w:i/>
          <w:iCs/>
        </w:rPr>
        <w:t>Non-dairy</w:t>
      </w:r>
      <w:r w:rsidRPr="001D5327">
        <w:rPr>
          <w:rFonts w:cs="Calibri"/>
          <w:b/>
          <w:bCs/>
        </w:rPr>
        <w:t xml:space="preserve"> </w:t>
      </w:r>
      <w:r w:rsidRPr="001D5327">
        <w:rPr>
          <w:rFonts w:cs="Calibri"/>
          <w:b/>
          <w:bCs/>
          <w:i/>
          <w:iCs/>
        </w:rPr>
        <w:t>cattle:</w:t>
      </w:r>
      <w:r w:rsidRPr="001D5327">
        <w:rPr>
          <w:rFonts w:cs="Calibri"/>
        </w:rPr>
        <w:t xml:space="preserve"> The principal source of information for estimating productivity for non-dairy cattle is livestock slaughter statistics provided to MPI by meat processors, which are also used to estimate the liveweight of non-dairy cattle at slaughter, assuming killing-out percentages</w:t>
      </w:r>
      <w:r w:rsidRPr="001D5327">
        <w:rPr>
          <w:rStyle w:val="FootnoteReference"/>
          <w:rFonts w:cs="Calibri"/>
        </w:rPr>
        <w:footnoteReference w:id="25"/>
      </w:r>
      <w:r w:rsidRPr="001D5327">
        <w:rPr>
          <w:rFonts w:cs="Calibri"/>
        </w:rPr>
        <w:t xml:space="preserve"> of 55 per cent. Non-dairy cattle are assumed to be slaughtered at various ages depending on the sex and reproductive status of the animal (Stevens et al., 2022). Liveweights at birth are assumed to be around 7 per cent of an adult cow liveweight for heifers and 7 per cent of bull live weight for steers and bulls. As with dairy cattle, growth rates of all growing animals are divided into two periods in the model: birth to weaning and weaning to slaughter. Higher </w:t>
      </w:r>
      <w:r w:rsidRPr="001D5327">
        <w:rPr>
          <w:rFonts w:cs="Calibri"/>
        </w:rPr>
        <w:lastRenderedPageBreak/>
        <w:t xml:space="preserve">growth rates are applied before weaning as animals also receive milk as part of their diet. Within each period, the same daily growth rate is applied for the entire period. </w:t>
      </w:r>
    </w:p>
    <w:p w14:paraId="49589DC9" w14:textId="77777777" w:rsidR="00590FE1" w:rsidRPr="001D5327" w:rsidRDefault="00590FE1" w:rsidP="00590FE1">
      <w:pPr>
        <w:pStyle w:val="BodyText"/>
        <w:spacing w:before="100" w:after="100"/>
        <w:rPr>
          <w:rFonts w:cs="Calibri"/>
        </w:rPr>
      </w:pPr>
      <w:r w:rsidRPr="001D5327">
        <w:rPr>
          <w:rFonts w:cs="Calibri"/>
        </w:rPr>
        <w:t>MPI slaughter statistics only began to separate carcass weights of adult dairy cows and adult non-dairy cows in 2016. Therefore, several assumptions</w:t>
      </w:r>
      <w:r w:rsidRPr="001D5327">
        <w:rPr>
          <w:rStyle w:val="FootnoteReference"/>
          <w:rFonts w:cs="Calibri"/>
        </w:rPr>
        <w:footnoteReference w:id="26"/>
      </w:r>
      <w:r w:rsidRPr="001D5327">
        <w:rPr>
          <w:rFonts w:cs="Calibri"/>
        </w:rPr>
        <w:t xml:space="preserve"> are made to estimate the </w:t>
      </w:r>
      <w:r w:rsidRPr="001D5327">
        <w:rPr>
          <w:rFonts w:cs="Calibri"/>
          <w:spacing w:val="-2"/>
        </w:rPr>
        <w:t>liveweights of breeding non-dairy cows. A total milk yield of 800 litres is assumed to be produced</w:t>
      </w:r>
      <w:r w:rsidRPr="001D5327">
        <w:rPr>
          <w:rFonts w:cs="Calibri"/>
        </w:rPr>
        <w:t xml:space="preserve"> per breeding non-dairy cow, which is then consumed by non-dairy calves (Clark et al., 2003). </w:t>
      </w:r>
    </w:p>
    <w:p w14:paraId="67AA0AB3" w14:textId="77777777" w:rsidR="00590FE1" w:rsidRPr="001D5327" w:rsidRDefault="00590FE1" w:rsidP="00590FE1">
      <w:pPr>
        <w:pStyle w:val="BodyText"/>
        <w:spacing w:before="100" w:after="100"/>
      </w:pPr>
      <w:r w:rsidRPr="001D5327">
        <w:rPr>
          <w:b/>
          <w:bCs/>
          <w:i/>
          <w:iCs/>
        </w:rPr>
        <w:t>Sheep:</w:t>
      </w:r>
      <w:r w:rsidRPr="001D5327">
        <w:t xml:space="preserve"> Livestock slaughter statistics provided to MPI by meat processors are used to estimate the liveweights of adult sheep and lambs at slaughter, assuming killing-out percentages of </w:t>
      </w:r>
      <w:r w:rsidRPr="001D5327">
        <w:rPr>
          <w:spacing w:val="-2"/>
        </w:rPr>
        <w:t>around 40 per cent for ewes and 45 per cent for lambs (Thomson et al., 2010). Lamb liveweights</w:t>
      </w:r>
      <w:r w:rsidRPr="001D5327">
        <w:t xml:space="preserve"> at birth are assumed to be 9 per cent of the adult ewe weight, with all lambs assumed to be born on 11 September (Thomson et al., 2010). Growing breeding and non</w:t>
      </w:r>
      <w:r w:rsidRPr="001D5327">
        <w:noBreakHyphen/>
        <w:t xml:space="preserve">breeding ewe hoggets are assumed to reach full adult size when subsequently mated at an age of 20 months. Adult wethers (castrated male sheep) are assumed to be the same weight as adult breeding females. No within-year pattern of liveweight change is assumed for either adult wethers or adult ewes. All ewes rearing a lamb are assumed to have a total milk yield of 100 litres. Breeding rams are assumed to weigh 40 per cent more than adult ewes (Clark et al., 2003). Wool growth </w:t>
      </w:r>
      <w:r w:rsidRPr="001D5327" w:rsidDel="002B3828">
        <w:t xml:space="preserve">(greasy fleece) </w:t>
      </w:r>
      <w:r w:rsidRPr="001D5327">
        <w:t xml:space="preserve">is assumed to grow at a rate twice as fast as mature sheep (ewes, rams and wethers) than in growing sheep and lambs. Beef + Lamb New Zealand Ltd provides estimates of the total wool production from 1990 to 2024 from which the individual fleece weight is estimated (Beef + Lamb New Zealand Ltd, 2024b). </w:t>
      </w:r>
    </w:p>
    <w:p w14:paraId="01695756" w14:textId="77777777" w:rsidR="00590FE1" w:rsidRPr="001D5327" w:rsidRDefault="00590FE1" w:rsidP="00590FE1">
      <w:pPr>
        <w:pStyle w:val="BodyText"/>
        <w:spacing w:before="100" w:after="100"/>
        <w:rPr>
          <w:rFonts w:cs="Calibri"/>
        </w:rPr>
      </w:pPr>
      <w:r w:rsidRPr="001D5327">
        <w:rPr>
          <w:rFonts w:cs="Calibri"/>
          <w:b/>
          <w:bCs/>
          <w:i/>
          <w:iCs/>
        </w:rPr>
        <w:t>Deer</w:t>
      </w:r>
      <w:r w:rsidRPr="001D5327">
        <w:rPr>
          <w:rFonts w:cs="Calibri"/>
          <w:b/>
          <w:bCs/>
        </w:rPr>
        <w:t>:</w:t>
      </w:r>
      <w:r w:rsidRPr="001D5327">
        <w:rPr>
          <w:rFonts w:cs="Calibri"/>
        </w:rPr>
        <w:t xml:space="preserve"> Liveweights of growing hinds and stags are estimated from Deer Industry New Zealand statistics, assuming a killing-out percentage of 55 per cent. A fawn birth weight of 9 per cent of the adult female weight and a common birth date of mid-November are assumed. Liveweights of breeding stags and hinds are based on a report by Suttie (2012). Research by Stevens and Ward (2023) has shown that hind liveweights have not risen above 110 kilograms, so a cap to liveweight is applied. It is assumed there is no pattern of liveweight change within any given year for mature deer. The lactation assumptions are 204 litres of milk over 120 days, an average daily lactation yield of 1.7 litres of milk per day (Suttie, 2012). </w:t>
      </w:r>
    </w:p>
    <w:p w14:paraId="41483DB5" w14:textId="77777777" w:rsidR="00590FE1" w:rsidRPr="001D5327" w:rsidRDefault="00590FE1" w:rsidP="00590FE1">
      <w:pPr>
        <w:pStyle w:val="Heading4"/>
        <w:spacing w:before="180"/>
      </w:pPr>
      <w:r w:rsidRPr="001D5327">
        <w:t xml:space="preserve">Minor livestock categories </w:t>
      </w:r>
    </w:p>
    <w:p w14:paraId="0B741CD4" w14:textId="77777777" w:rsidR="00590FE1" w:rsidRPr="001D5327" w:rsidRDefault="00590FE1" w:rsidP="00590FE1">
      <w:pPr>
        <w:pStyle w:val="BodyText"/>
        <w:spacing w:before="100" w:after="100"/>
      </w:pPr>
      <w:r w:rsidRPr="001D5327">
        <w:t xml:space="preserve">Tier 1 methodology is used for goats, horses, mules and asses, swine, poultry, and alpacas (IPCC, 2006), using a combination of country-specific and IPCC default emission factors (annex 5, section A5.1.2, table A5.1.5). </w:t>
      </w:r>
    </w:p>
    <w:p w14:paraId="0082A851" w14:textId="77777777" w:rsidR="00590FE1" w:rsidRPr="001D5327" w:rsidRDefault="00590FE1" w:rsidP="00590FE1">
      <w:pPr>
        <w:pStyle w:val="BodyText"/>
        <w:spacing w:before="100" w:after="100"/>
        <w:rPr>
          <w:rFonts w:cs="Calibri"/>
        </w:rPr>
      </w:pPr>
      <w:r w:rsidRPr="001D5327">
        <w:rPr>
          <w:rFonts w:cs="Calibri"/>
        </w:rPr>
        <w:t xml:space="preserve">The populations of goats, horses and swine are reported using data from the Stats NZ Agricultural Production Census and the inter-census Agricultural Production Survey. Data on the population of alpacas before 2009 are provided by Henderson and Cameron (2010) based on data from the Alpaca Association of New Zealand. Alpaca populations for 2009 to 2022 are based on modelling by Sise (2023). From 2023 onwards, registration numbers from the Alpaca Association of New Zealand and the New Zealand Llama Association are used assuming a 51 per cent registration rate </w:t>
      </w:r>
      <w:sdt>
        <w:sdtPr>
          <w:rPr>
            <w:rFonts w:cs="Calibri"/>
          </w:rPr>
          <w:id w:val="-366301793"/>
          <w:citation/>
        </w:sdtPr>
        <w:sdtContent>
          <w:r w:rsidRPr="001D5327">
            <w:rPr>
              <w:rFonts w:cs="Calibri"/>
            </w:rPr>
            <w:fldChar w:fldCharType="begin"/>
          </w:r>
          <w:r w:rsidRPr="001D5327">
            <w:rPr>
              <w:rFonts w:cs="Calibri"/>
            </w:rPr>
            <w:instrText xml:space="preserve"> CITATION Sis23 \l 5129 </w:instrText>
          </w:r>
          <w:r w:rsidRPr="001D5327">
            <w:rPr>
              <w:rFonts w:cs="Calibri"/>
            </w:rPr>
            <w:fldChar w:fldCharType="separate"/>
          </w:r>
          <w:r w:rsidRPr="001D5327">
            <w:rPr>
              <w:rFonts w:cs="Calibri"/>
            </w:rPr>
            <w:t>(Sise, 2023)</w:t>
          </w:r>
          <w:r w:rsidRPr="001D5327">
            <w:rPr>
              <w:rFonts w:cs="Calibri"/>
            </w:rPr>
            <w:fldChar w:fldCharType="end"/>
          </w:r>
        </w:sdtContent>
      </w:sdt>
      <w:r w:rsidRPr="001D5327">
        <w:rPr>
          <w:rFonts w:cs="Calibri"/>
        </w:rPr>
        <w:t>.</w:t>
      </w:r>
    </w:p>
    <w:p w14:paraId="2F7FE0DA" w14:textId="77777777" w:rsidR="00590FE1" w:rsidRPr="001D5327" w:rsidRDefault="00590FE1" w:rsidP="00590FE1">
      <w:pPr>
        <w:pStyle w:val="BodyText"/>
      </w:pPr>
      <w:r w:rsidRPr="001D5327">
        <w:lastRenderedPageBreak/>
        <w:t xml:space="preserve">A small number of buffalo are farmed in New Zealand, with 699 animals being reported (Stats NZ, 2024). Because the buffalo livestock are used for producing milk, they are reported within the dairy herd. </w:t>
      </w:r>
    </w:p>
    <w:p w14:paraId="57E1D23A" w14:textId="77777777" w:rsidR="00590FE1" w:rsidRPr="001D5327" w:rsidRDefault="00590FE1" w:rsidP="00590FE1">
      <w:pPr>
        <w:pStyle w:val="BodyText"/>
        <w:spacing w:before="100" w:after="100"/>
      </w:pPr>
      <w:r w:rsidRPr="001D5327">
        <w:t xml:space="preserve">Mules and asses are not farmed commercially or used as working animals in </w:t>
      </w:r>
      <w:r w:rsidRPr="001D5327" w:rsidDel="00216995">
        <w:t xml:space="preserve">New </w:t>
      </w:r>
      <w:r w:rsidRPr="001D5327">
        <w:t xml:space="preserve">Zealand. A constant population of 1,500 donkeys has been included in the Agriculture inventory model under mules and asses </w:t>
      </w:r>
      <w:sdt>
        <w:sdtPr>
          <w:id w:val="-985702224"/>
          <w:citation/>
        </w:sdtPr>
        <w:sdtContent>
          <w:r w:rsidRPr="001D5327">
            <w:fldChar w:fldCharType="begin"/>
          </w:r>
          <w:r w:rsidRPr="001D5327">
            <w:instrText xml:space="preserve"> CITATION Sis23 \l 5129 </w:instrText>
          </w:r>
          <w:r w:rsidRPr="001D5327">
            <w:fldChar w:fldCharType="separate"/>
          </w:r>
          <w:r w:rsidRPr="001D5327">
            <w:t>(Sise, 2023)</w:t>
          </w:r>
          <w:r w:rsidRPr="001D5327">
            <w:fldChar w:fldCharType="end"/>
          </w:r>
        </w:sdtContent>
      </w:sdt>
      <w:r w:rsidRPr="001D5327">
        <w:t xml:space="preserve">. The emissions from these populations of animals are extremely small relative to the major livestock categories. </w:t>
      </w:r>
    </w:p>
    <w:p w14:paraId="0D4AE7E8" w14:textId="77777777" w:rsidR="00590FE1" w:rsidRPr="001D5327" w:rsidRDefault="00590FE1" w:rsidP="00590FE1">
      <w:pPr>
        <w:pStyle w:val="BodyText"/>
        <w:spacing w:before="100" w:after="100"/>
      </w:pPr>
      <w:r w:rsidRPr="001D5327">
        <w:rPr>
          <w:spacing w:val="-2"/>
        </w:rPr>
        <w:t>Poultry is further classified into three categories: broiler chicken,</w:t>
      </w:r>
      <w:r w:rsidRPr="001D5327">
        <w:rPr>
          <w:rStyle w:val="FootnoteReference"/>
          <w:spacing w:val="-2"/>
        </w:rPr>
        <w:footnoteReference w:id="27"/>
      </w:r>
      <w:r w:rsidRPr="001D5327">
        <w:rPr>
          <w:spacing w:val="-2"/>
        </w:rPr>
        <w:t xml:space="preserve"> layer hens and other poultry</w:t>
      </w:r>
      <w:r w:rsidRPr="001D5327">
        <w:t xml:space="preserve">. Stats NZ provides estimates of average annual broiler chicken flock sizes using industry data on the numbers of broilers processed every year since 1990. Mortality rates and days alive are used as suggested by Fick (2010). Stats NZ also obtains estimates of the number of layer hens and other poultry (e.g., ducks, turkeys, </w:t>
      </w:r>
      <w:r w:rsidRPr="001D5327" w:rsidDel="00DA50CC">
        <w:t>emus</w:t>
      </w:r>
      <w:r w:rsidRPr="001D5327">
        <w:t xml:space="preserve"> and ostriches) from the Agricultural Production </w:t>
      </w:r>
      <w:r w:rsidRPr="001D5327">
        <w:rPr>
          <w:spacing w:val="-2"/>
        </w:rPr>
        <w:t xml:space="preserve">Census and Agricultural Production Survey. Ostrich and emu farming in </w:t>
      </w:r>
      <w:r w:rsidRPr="001D5327" w:rsidDel="00912A03">
        <w:rPr>
          <w:spacing w:val="-2"/>
        </w:rPr>
        <w:t xml:space="preserve">New </w:t>
      </w:r>
      <w:r w:rsidRPr="001D5327">
        <w:rPr>
          <w:spacing w:val="-2"/>
        </w:rPr>
        <w:t>Zealand is extremely</w:t>
      </w:r>
      <w:r w:rsidRPr="001D5327">
        <w:t xml:space="preserve"> rare. In 2015, it was estimated only 739 ostriches were in the country. Other poultry manure management emissions are included and calculated. Enteric fermentation is negligible and therefore not estimated.</w:t>
      </w:r>
    </w:p>
    <w:p w14:paraId="0DAF6F93" w14:textId="77777777" w:rsidR="00590FE1" w:rsidRPr="001D5327" w:rsidRDefault="00590FE1" w:rsidP="00590FE1">
      <w:pPr>
        <w:pStyle w:val="BodyText"/>
        <w:spacing w:before="100" w:after="100"/>
      </w:pPr>
      <w:r w:rsidRPr="001D5327">
        <w:t xml:space="preserve">The average annual flock size of chickens is determined by the following equation: </w:t>
      </w:r>
    </w:p>
    <w:p w14:paraId="1E580809" w14:textId="77777777" w:rsidR="00590FE1" w:rsidRPr="001D5327" w:rsidRDefault="00590FE1" w:rsidP="00590FE1">
      <w:pPr>
        <w:pStyle w:val="BodyText"/>
        <w:spacing w:before="80" w:after="80"/>
        <w:rPr>
          <w:sz w:val="18"/>
          <w:szCs w:val="18"/>
        </w:rPr>
      </w:pPr>
      <m:oMathPara>
        <m:oMathParaPr>
          <m:jc m:val="left"/>
        </m:oMathParaPr>
        <m:oMath>
          <m:r>
            <w:rPr>
              <w:rFonts w:ascii="Cambria Math" w:hAnsi="Cambria Math"/>
              <w:sz w:val="18"/>
              <w:szCs w:val="18"/>
            </w:rPr>
            <m:t xml:space="preserve">Average annual flock size= </m:t>
          </m:r>
          <m:f>
            <m:fPr>
              <m:ctrlPr>
                <w:rPr>
                  <w:rFonts w:ascii="Cambria Math" w:hAnsi="Cambria Math"/>
                  <w:i/>
                  <w:sz w:val="18"/>
                  <w:szCs w:val="18"/>
                </w:rPr>
              </m:ctrlPr>
            </m:fPr>
            <m:num>
              <m:r>
                <w:rPr>
                  <w:rFonts w:ascii="Cambria Math" w:hAnsi="Cambria Math"/>
                  <w:sz w:val="18"/>
                  <w:szCs w:val="18"/>
                </w:rPr>
                <m:t>days alive</m:t>
              </m:r>
            </m:num>
            <m:den>
              <m:r>
                <w:rPr>
                  <w:rFonts w:ascii="Cambria Math" w:hAnsi="Cambria Math"/>
                  <w:sz w:val="18"/>
                  <w:szCs w:val="18"/>
                </w:rPr>
                <m:t>365</m:t>
              </m:r>
            </m:den>
          </m:f>
          <m:r>
            <w:rPr>
              <w:rFonts w:ascii="Cambria Math" w:hAnsi="Cambria Math"/>
              <w:sz w:val="18"/>
              <w:szCs w:val="18"/>
            </w:rPr>
            <m:t xml:space="preserve"> ×annual number of birds processed ×(1-mortality rate)</m:t>
          </m:r>
        </m:oMath>
      </m:oMathPara>
    </w:p>
    <w:p w14:paraId="32390C80" w14:textId="77777777" w:rsidR="00590FE1" w:rsidRPr="001D5327" w:rsidRDefault="00590FE1" w:rsidP="00590FE1">
      <w:pPr>
        <w:pStyle w:val="BodyText"/>
        <w:spacing w:before="100" w:after="100"/>
      </w:pPr>
      <w:r w:rsidRPr="001D5327">
        <w:t xml:space="preserve">Rabbits are considered an agricultural pest, and only a very small number are farmed in the country (R Sanson, pers. comm., 2019). Because of this, emissions from farmed rabbits are reported as ‘not estimated’ (NE) because their emissions are insignificant. There is no known farming of platypus or other fur-bearing animals. </w:t>
      </w:r>
    </w:p>
    <w:p w14:paraId="51A14C10" w14:textId="77777777" w:rsidR="00590FE1" w:rsidRPr="001D5327" w:rsidRDefault="00590FE1" w:rsidP="00590FE1">
      <w:pPr>
        <w:pStyle w:val="Heading3"/>
        <w:spacing w:before="280"/>
      </w:pPr>
      <w:bookmarkStart w:id="698" w:name="_Toc32570647"/>
      <w:r w:rsidRPr="001D5327">
        <w:t xml:space="preserve">5.1.5 </w:t>
      </w:r>
      <w:r w:rsidRPr="001D5327">
        <w:tab/>
        <w:t>Recalculations</w:t>
      </w:r>
      <w:bookmarkEnd w:id="698"/>
      <w:r w:rsidRPr="001D5327">
        <w:t xml:space="preserve"> </w:t>
      </w:r>
    </w:p>
    <w:p w14:paraId="33EFD92E" w14:textId="77777777" w:rsidR="00590FE1" w:rsidRPr="001D5327" w:rsidRDefault="00590FE1" w:rsidP="00590FE1">
      <w:pPr>
        <w:pStyle w:val="Heading4"/>
        <w:spacing w:before="180"/>
      </w:pPr>
      <w:r w:rsidRPr="001D5327">
        <w:t xml:space="preserve">Agricultural emissions research </w:t>
      </w:r>
    </w:p>
    <w:p w14:paraId="136B8B9C" w14:textId="77777777" w:rsidR="00590FE1" w:rsidRPr="001D5327" w:rsidRDefault="00590FE1" w:rsidP="00C7065A">
      <w:pPr>
        <w:pStyle w:val="BodyText"/>
        <w:spacing w:before="80" w:after="100"/>
      </w:pPr>
      <w:r w:rsidRPr="001D5327">
        <w:t>New Zealand invests in a comprehensive research programme to develop technologies and practices to reduce biological greenhouse gas emissions from agriculture. This is facilitated through the following.</w:t>
      </w:r>
    </w:p>
    <w:p w14:paraId="1FD7A79B" w14:textId="77777777" w:rsidR="00590FE1" w:rsidRPr="001D5327" w:rsidRDefault="00590FE1" w:rsidP="00590FE1">
      <w:pPr>
        <w:pStyle w:val="Bullet"/>
        <w:spacing w:after="100"/>
      </w:pPr>
      <w:r w:rsidRPr="001D5327">
        <w:t xml:space="preserve">The New Zealand Agricultural Greenhouse Gas Research Centre (NZAGRC), which was </w:t>
      </w:r>
      <w:r w:rsidRPr="001D5327">
        <w:rPr>
          <w:spacing w:val="-2"/>
        </w:rPr>
        <w:t xml:space="preserve">established in 2009. It aims to contribute to agricultural greenhouse gas </w:t>
      </w:r>
      <w:r w:rsidRPr="001D5327">
        <w:t>understanding and mitigation through research programmes and international collaboration, and to enhance New Zealand’s research capability and infrastructure in this area.</w:t>
      </w:r>
    </w:p>
    <w:p w14:paraId="2F45A72C" w14:textId="77777777" w:rsidR="00590FE1" w:rsidRPr="001D5327" w:rsidRDefault="00590FE1" w:rsidP="00590FE1">
      <w:pPr>
        <w:pStyle w:val="Bullet"/>
        <w:spacing w:after="100"/>
      </w:pPr>
      <w:bookmarkStart w:id="699" w:name="_Hlk187312141"/>
      <w:r w:rsidRPr="001D5327">
        <w:rPr>
          <w:spacing w:val="-2"/>
        </w:rPr>
        <w:t>The Pastoral Greenhouse Gas Research Consortium (PGgRc), which was established in 2003 by New Zealand agricultural sector organisations and private companies in partnership</w:t>
      </w:r>
      <w:r w:rsidRPr="001D5327">
        <w:t xml:space="preserve"> </w:t>
      </w:r>
      <w:r w:rsidRPr="001D5327">
        <w:rPr>
          <w:spacing w:val="-2"/>
        </w:rPr>
        <w:t>with the Government. It funds research, primarily into mitigation technologies and management</w:t>
      </w:r>
      <w:r w:rsidRPr="001D5327">
        <w:t xml:space="preserve"> practices for ruminants but also to provide information to improve on</w:t>
      </w:r>
      <w:r w:rsidRPr="001D5327">
        <w:noBreakHyphen/>
        <w:t>farm greenhouse gas inventories. The PGgRc was funded in partnership between the Government, through the Ministry of Business, Innovation and Employment and Agriculture sector parties. Funding from the Ministry of Business, Innovation and Employment has since ceased and the PGgRc now largely operates on funding from industry.</w:t>
      </w:r>
    </w:p>
    <w:bookmarkEnd w:id="699"/>
    <w:p w14:paraId="1E2B0FDD" w14:textId="6A327F1D" w:rsidR="00590FE1" w:rsidRPr="001D5327" w:rsidRDefault="00590FE1" w:rsidP="00590FE1">
      <w:pPr>
        <w:pStyle w:val="Bullet"/>
      </w:pPr>
      <w:r w:rsidRPr="001D5327">
        <w:rPr>
          <w:spacing w:val="-2"/>
        </w:rPr>
        <w:t>New Zealand</w:t>
      </w:r>
      <w:r w:rsidRPr="001D5327">
        <w:t xml:space="preserve"> is one of the founding members of the Global Research Alliance on Agricultural Greenhouse Gases (GRA), which facilitates international research </w:t>
      </w:r>
      <w:r w:rsidRPr="001D5327">
        <w:lastRenderedPageBreak/>
        <w:t xml:space="preserve">collaboration to study means of increasing global food production while reducing agricultural greenhouse gas emissions. This includes building capability, improving greenhouse gas inventories in developing countries, and facilitating the transfer of technologies and knowledge between members. </w:t>
      </w:r>
      <w:r w:rsidRPr="001D5327">
        <w:rPr>
          <w:spacing w:val="-2"/>
        </w:rPr>
        <w:t>New Zealand</w:t>
      </w:r>
      <w:r w:rsidRPr="001D5327">
        <w:t xml:space="preserve"> has hosted the GRA Secretariat since its establishment in 2009 and coordinates </w:t>
      </w:r>
      <w:r w:rsidRPr="001D5327">
        <w:rPr>
          <w:spacing w:val="-2"/>
        </w:rPr>
        <w:t>New Zealand’s</w:t>
      </w:r>
      <w:r w:rsidRPr="001D5327">
        <w:t xml:space="preserve"> contribution of</w:t>
      </w:r>
      <w:r w:rsidR="00C7065A" w:rsidRPr="001D5327">
        <w:t> </w:t>
      </w:r>
      <w:r w:rsidRPr="001D5327">
        <w:t>research, knowledge transfer and capability building largely through the NZAGRC.</w:t>
      </w:r>
    </w:p>
    <w:p w14:paraId="750C52B2" w14:textId="77777777" w:rsidR="00590FE1" w:rsidRPr="001D5327" w:rsidRDefault="00590FE1" w:rsidP="00590FE1">
      <w:pPr>
        <w:pStyle w:val="Bullet"/>
      </w:pPr>
      <w:r w:rsidRPr="001D5327">
        <w:t>New Zealand’s Greenhouse Gas Inventory Research Fund aims to support continuous improvement of the Agricultural Greenhouse Gas Inventory to improve the accuracy and reduce uncertainty of emissions reporting and forecasting. This follows the IPCC’s guidelines for the preparation and continuous improvement of national greenhouse gas inventories (IPCC, 2000, 2006). It has supported greenhouse gas agricultural inventory research since 2004.</w:t>
      </w:r>
    </w:p>
    <w:p w14:paraId="74CD6674" w14:textId="77777777" w:rsidR="00590FE1" w:rsidRPr="001D5327" w:rsidRDefault="00590FE1" w:rsidP="00590FE1">
      <w:pPr>
        <w:pStyle w:val="Bullet"/>
      </w:pPr>
      <w:r w:rsidRPr="001D5327">
        <w:t>The Centre for Climate Action on Agricultural Emissions was established in 2022 to accelerate the research, development and commercialisation of tools and technology to reduce emissions. It aims to achieve this via two main components:</w:t>
      </w:r>
    </w:p>
    <w:p w14:paraId="06E070A5" w14:textId="77777777" w:rsidR="00590FE1" w:rsidRPr="001D5327" w:rsidRDefault="00590FE1" w:rsidP="00590FE1">
      <w:pPr>
        <w:pStyle w:val="Sub-bullet"/>
      </w:pPr>
      <w:r w:rsidRPr="001D5327">
        <w:t>AgriZeroNZ: a joint venture partnership between the Government and industry to drive a targeted research programme and support the pathway and uptake of new mitigation tools and technologies</w:t>
      </w:r>
    </w:p>
    <w:p w14:paraId="6B4E3132" w14:textId="77777777" w:rsidR="00590FE1" w:rsidRPr="001D5327" w:rsidRDefault="00590FE1" w:rsidP="00590FE1">
      <w:pPr>
        <w:pStyle w:val="Sub-bullet"/>
      </w:pPr>
      <w:r w:rsidRPr="001D5327">
        <w:t>enhancing the NZAGRC via additional investment</w:t>
      </w:r>
    </w:p>
    <w:p w14:paraId="31C24167" w14:textId="77777777" w:rsidR="00590FE1" w:rsidRPr="001D5327" w:rsidRDefault="00590FE1" w:rsidP="0009360A">
      <w:pPr>
        <w:pStyle w:val="BodyText"/>
      </w:pPr>
      <w:r w:rsidRPr="001D5327">
        <w:t xml:space="preserve">Research and data from these sources feed into </w:t>
      </w:r>
      <w:r w:rsidRPr="001D5327">
        <w:rPr>
          <w:spacing w:val="-2"/>
        </w:rPr>
        <w:t>New Zealand’s</w:t>
      </w:r>
      <w:r w:rsidRPr="001D5327">
        <w:t xml:space="preserve"> improvement of the Agriculture inventory, and these research activities allow </w:t>
      </w:r>
      <w:r w:rsidRPr="001D5327" w:rsidDel="001A126F">
        <w:rPr>
          <w:spacing w:val="-2"/>
        </w:rPr>
        <w:t xml:space="preserve">New </w:t>
      </w:r>
      <w:r w:rsidRPr="001D5327">
        <w:rPr>
          <w:spacing w:val="-2"/>
        </w:rPr>
        <w:t>Zealand</w:t>
      </w:r>
      <w:r w:rsidRPr="001D5327">
        <w:t xml:space="preserve"> to share technical skills and expertise internationally.</w:t>
      </w:r>
    </w:p>
    <w:p w14:paraId="0453D82D" w14:textId="77777777" w:rsidR="00590FE1" w:rsidRPr="001D5327" w:rsidRDefault="00590FE1" w:rsidP="00590FE1">
      <w:pPr>
        <w:pStyle w:val="Heading4"/>
        <w:spacing w:before="180"/>
      </w:pPr>
      <w:r w:rsidRPr="001D5327">
        <w:t>Recalculation and improvement approval process in the Agriculture inventory</w:t>
      </w:r>
    </w:p>
    <w:p w14:paraId="1F98DBF7" w14:textId="77777777" w:rsidR="00590FE1" w:rsidRPr="001D5327" w:rsidRDefault="00590FE1" w:rsidP="0009360A">
      <w:pPr>
        <w:pStyle w:val="BodyText"/>
      </w:pPr>
      <w:r w:rsidRPr="001D5327">
        <w:t xml:space="preserve">The process for developing improvements and agreeing methodological changes to the Agriculture inventory is shown in figure 5.1.7. </w:t>
      </w:r>
    </w:p>
    <w:p w14:paraId="463B4D40" w14:textId="77777777" w:rsidR="00590FE1" w:rsidRPr="001D5327" w:rsidRDefault="00590FE1" w:rsidP="0009360A">
      <w:pPr>
        <w:pStyle w:val="BodyText"/>
      </w:pPr>
      <w:r w:rsidRPr="001D5327">
        <w:t xml:space="preserve">Domestically, </w:t>
      </w:r>
      <w:r w:rsidRPr="001D5327">
        <w:rPr>
          <w:spacing w:val="-2"/>
        </w:rPr>
        <w:t>New Zealand</w:t>
      </w:r>
      <w:r w:rsidRPr="001D5327">
        <w:t xml:space="preserve"> has a network of scientific experts in the fields of CO</w:t>
      </w:r>
      <w:r w:rsidRPr="001D5327">
        <w:rPr>
          <w:vertAlign w:val="subscript"/>
        </w:rPr>
        <w:t>2</w:t>
      </w:r>
      <w:r w:rsidRPr="001D5327">
        <w:t>, CH</w:t>
      </w:r>
      <w:r w:rsidRPr="001D5327">
        <w:rPr>
          <w:vertAlign w:val="subscript"/>
        </w:rPr>
        <w:t>4</w:t>
      </w:r>
      <w:r w:rsidRPr="001D5327">
        <w:t> and N</w:t>
      </w:r>
      <w:r w:rsidRPr="001D5327">
        <w:rPr>
          <w:vertAlign w:val="subscript"/>
        </w:rPr>
        <w:t>2</w:t>
      </w:r>
      <w:r w:rsidRPr="001D5327">
        <w:t>O emissions. Research findings are presented annually at the Greenhouse Gas Inventory Research Workshop. New inventory research ideas raised by the research community inform decisions for future inventory research. Final decisions on research priorities are made by MPI, following discussions between the network leaders and Ministry for the Environment (MfE) staff. Research is contracted to address specific questions relating to gaps in </w:t>
      </w:r>
      <w:r w:rsidRPr="001D5327">
        <w:rPr>
          <w:spacing w:val="-2"/>
        </w:rPr>
        <w:t>New Zealand’s</w:t>
      </w:r>
      <w:r w:rsidRPr="001D5327">
        <w:t xml:space="preserve"> knowledge base and to review, test and improve current model parameters used. Draft research reports are peer reviewed by at least one external independent expert with knowledge in the field and are assessed for their scientific robustness and suitability to be included in the Agriculture inventory model. A standard peer review report template is used.</w:t>
      </w:r>
    </w:p>
    <w:p w14:paraId="6C0F64C4" w14:textId="77777777" w:rsidR="00590FE1" w:rsidRPr="001D5327" w:rsidRDefault="00590FE1" w:rsidP="0009360A">
      <w:pPr>
        <w:pStyle w:val="BodyText"/>
      </w:pPr>
      <w:r w:rsidRPr="001D5327">
        <w:t>If the report recommends changes, a briefing and the final report, including the draft results of changes, are provided to the Agriculture Inventory Advisory Panel, which currently meets annually to review proposed changes to the Agriculture inventory model. The Panel comprises expert representatives from MPI and MfE and nominated science representatives from the Methanet and NzOnet expert advisory groups.</w:t>
      </w:r>
      <w:r w:rsidRPr="001D5327">
        <w:rPr>
          <w:rStyle w:val="FootnoteReference"/>
          <w:rFonts w:cs="Calibri"/>
        </w:rPr>
        <w:footnoteReference w:id="28"/>
      </w:r>
      <w:r w:rsidRPr="001D5327">
        <w:t xml:space="preserve"> The Panel is </w:t>
      </w:r>
      <w:r w:rsidRPr="001D5327">
        <w:rPr>
          <w:spacing w:val="-2"/>
        </w:rPr>
        <w:t xml:space="preserve">independent of policy and </w:t>
      </w:r>
      <w:r w:rsidRPr="001D5327">
        <w:rPr>
          <w:spacing w:val="-2"/>
        </w:rPr>
        <w:lastRenderedPageBreak/>
        <w:t>industry influences and has been formed to give independent advice</w:t>
      </w:r>
      <w:r w:rsidRPr="001D5327">
        <w:t xml:space="preserve"> </w:t>
      </w:r>
      <w:r w:rsidRPr="001D5327">
        <w:rPr>
          <w:spacing w:val="-2"/>
        </w:rPr>
        <w:t>on whether changes to the Agriculture section of the National Inventory Report are scientifically</w:t>
      </w:r>
      <w:r w:rsidRPr="001D5327">
        <w:t xml:space="preserve"> robust, justifiable and </w:t>
      </w:r>
      <w:r w:rsidRPr="001D5327">
        <w:rPr>
          <w:spacing w:val="-2"/>
        </w:rPr>
        <w:t>internationally defensible. The Panel assesses if the proposed changes have been appropriately</w:t>
      </w:r>
      <w:r w:rsidRPr="001D5327">
        <w:t xml:space="preserve"> researched, using recognised scientific methods, principles and practices, and if there is sufficient scientific evidence to support any recommended changes. </w:t>
      </w:r>
    </w:p>
    <w:p w14:paraId="2599AF36" w14:textId="77777777" w:rsidR="00590FE1" w:rsidRPr="001D5327" w:rsidRDefault="00590FE1" w:rsidP="00590FE1">
      <w:pPr>
        <w:pStyle w:val="BodyText"/>
        <w:spacing w:before="100" w:after="100"/>
      </w:pPr>
      <w:r w:rsidRPr="001D5327">
        <w:t>Changes recommended by the Panel must be approved by the Deputy Director-General (Policy and Trade) at MPI, as well as the Reporting Governance Group, which is chaired by MfE and leads the reporting, modelling and projections of emissions and removals across government and all sectors. Further details of the Reporting Governance Group</w:t>
      </w:r>
      <w:r w:rsidRPr="001D5327" w:rsidDel="00060F6C">
        <w:t xml:space="preserve"> </w:t>
      </w:r>
      <w:r w:rsidRPr="001D5327">
        <w:t xml:space="preserve">are provided in chapter 1, section 1.2.4. </w:t>
      </w:r>
    </w:p>
    <w:p w14:paraId="13E375C6" w14:textId="77777777" w:rsidR="00590FE1" w:rsidRPr="001D5327" w:rsidRDefault="00590FE1" w:rsidP="00590FE1">
      <w:pPr>
        <w:pStyle w:val="Figure"/>
      </w:pPr>
      <w:bookmarkStart w:id="700" w:name="_Toc447275694"/>
      <w:bookmarkStart w:id="701" w:name="_Toc481752012"/>
      <w:bookmarkStart w:id="702" w:name="_Toc507158471"/>
      <w:bookmarkStart w:id="703" w:name="_Toc511116962"/>
      <w:bookmarkStart w:id="704" w:name="_Toc5269692"/>
      <w:bookmarkStart w:id="705" w:name="_Toc32570963"/>
      <w:bookmarkStart w:id="706" w:name="_Toc36292793"/>
      <w:bookmarkStart w:id="707" w:name="_Toc68786658"/>
      <w:bookmarkStart w:id="708" w:name="_Toc95574119"/>
      <w:bookmarkStart w:id="709" w:name="_Toc127458558"/>
      <w:bookmarkStart w:id="710" w:name="_Toc131591560"/>
      <w:bookmarkStart w:id="711" w:name="_Toc164154028"/>
      <w:bookmarkStart w:id="712" w:name="_Toc194674861"/>
      <w:r w:rsidRPr="001D5327">
        <w:t xml:space="preserve">Figure 5.1.7 </w:t>
      </w:r>
      <w:r w:rsidRPr="001D5327">
        <w:tab/>
        <w:t>Agriculture sectoral approval process for inventory recalculations and improvements</w:t>
      </w:r>
      <w:bookmarkEnd w:id="700"/>
      <w:bookmarkEnd w:id="701"/>
      <w:bookmarkEnd w:id="702"/>
      <w:bookmarkEnd w:id="703"/>
      <w:bookmarkEnd w:id="704"/>
      <w:bookmarkEnd w:id="705"/>
      <w:bookmarkEnd w:id="706"/>
      <w:bookmarkEnd w:id="707"/>
      <w:bookmarkEnd w:id="708"/>
      <w:bookmarkEnd w:id="709"/>
      <w:bookmarkEnd w:id="710"/>
      <w:bookmarkEnd w:id="711"/>
      <w:bookmarkEnd w:id="712"/>
    </w:p>
    <w:p w14:paraId="1829E787" w14:textId="4AB74EE1" w:rsidR="00590FE1" w:rsidRPr="001D5327" w:rsidRDefault="00D463F4" w:rsidP="00590FE1">
      <w:pPr>
        <w:pStyle w:val="BodyText"/>
        <w:jc w:val="center"/>
        <w:rPr>
          <w:rFonts w:eastAsia="Calibri" w:cs="Calibri"/>
        </w:rPr>
      </w:pPr>
      <w:r w:rsidRPr="001D5327">
        <w:object w:dxaOrig="8351" w:dyaOrig="15661" w14:anchorId="6694A61A">
          <v:shape id="_x0000_i1028" type="#_x0000_t75" style="width:272.95pt;height:511.5pt" o:ole="">
            <v:imagedata r:id="rId105" o:title=""/>
          </v:shape>
          <o:OLEObject Type="Embed" ProgID="Visio.Drawing.15" ShapeID="_x0000_i1028" DrawAspect="Content" ObjectID="_1806232875" r:id="rId106"/>
        </w:object>
      </w:r>
    </w:p>
    <w:p w14:paraId="1AA3DB2B" w14:textId="77777777" w:rsidR="00590FE1" w:rsidRPr="001D5327" w:rsidRDefault="00590FE1" w:rsidP="00590FE1">
      <w:pPr>
        <w:pStyle w:val="Heading5"/>
      </w:pPr>
      <w:r w:rsidRPr="001D5327">
        <w:lastRenderedPageBreak/>
        <w:t>Agriculture Inventory Advisory Panel meeting – October 2024</w:t>
      </w:r>
    </w:p>
    <w:p w14:paraId="1B1BD225" w14:textId="77777777" w:rsidR="00590FE1" w:rsidRPr="001D5327" w:rsidRDefault="00590FE1" w:rsidP="00590FE1">
      <w:pPr>
        <w:pStyle w:val="BodyText"/>
        <w:keepNext/>
        <w:spacing w:before="100" w:after="100"/>
        <w:rPr>
          <w:rFonts w:cs="Calibri"/>
        </w:rPr>
      </w:pPr>
      <w:r w:rsidRPr="001D5327">
        <w:rPr>
          <w:rFonts w:cs="Calibri"/>
        </w:rPr>
        <w:t xml:space="preserve">The Panel meeting was held on 2 October 2024 and considered the following potential inventory changes: </w:t>
      </w:r>
    </w:p>
    <w:p w14:paraId="1559A0E6" w14:textId="77777777" w:rsidR="00590FE1" w:rsidRPr="001D5327" w:rsidRDefault="00590FE1" w:rsidP="00A45A09">
      <w:pPr>
        <w:pStyle w:val="Numberedparagraph"/>
        <w:keepNext/>
        <w:numPr>
          <w:ilvl w:val="0"/>
          <w:numId w:val="29"/>
        </w:numPr>
        <w:spacing w:after="100"/>
      </w:pPr>
      <w:r w:rsidRPr="001D5327">
        <w:t xml:space="preserve">inclusion of non-manure organic fertilisers </w:t>
      </w:r>
    </w:p>
    <w:p w14:paraId="2A7E47A9" w14:textId="77777777" w:rsidR="00590FE1" w:rsidRPr="001D5327" w:rsidRDefault="00590FE1" w:rsidP="00590FE1">
      <w:pPr>
        <w:pStyle w:val="Numberedparagraph"/>
        <w:spacing w:after="100"/>
      </w:pPr>
      <w:r w:rsidRPr="001D5327">
        <w:t>improvements to the deer population model and activity data</w:t>
      </w:r>
    </w:p>
    <w:p w14:paraId="498FE966" w14:textId="77777777" w:rsidR="00590FE1" w:rsidRPr="001D5327" w:rsidRDefault="00590FE1" w:rsidP="00590FE1">
      <w:pPr>
        <w:pStyle w:val="Numberedparagraph"/>
        <w:spacing w:after="100"/>
      </w:pPr>
      <w:r w:rsidRPr="001D5327">
        <w:t>introducing seasonality into the wool growth calculations</w:t>
      </w:r>
    </w:p>
    <w:p w14:paraId="30F9C114" w14:textId="77777777" w:rsidR="00590FE1" w:rsidRPr="001D5327" w:rsidRDefault="00590FE1" w:rsidP="00590FE1">
      <w:pPr>
        <w:pStyle w:val="Numberedparagraph"/>
        <w:spacing w:after="100"/>
      </w:pPr>
      <w:r w:rsidRPr="001D5327">
        <w:t>updating donkey, poultry, alpaca and llama populations</w:t>
      </w:r>
    </w:p>
    <w:p w14:paraId="7870D9A1" w14:textId="77777777" w:rsidR="00590FE1" w:rsidRPr="001D5327" w:rsidRDefault="00590FE1" w:rsidP="00590FE1">
      <w:pPr>
        <w:pStyle w:val="Numberedparagraph"/>
        <w:spacing w:after="100"/>
        <w:rPr>
          <w:spacing w:val="-2"/>
        </w:rPr>
      </w:pPr>
      <w:r w:rsidRPr="001D5327">
        <w:rPr>
          <w:spacing w:val="-2"/>
        </w:rPr>
        <w:t>corrections to the Agriculture inventory model code and incorporation of new activity data</w:t>
      </w:r>
    </w:p>
    <w:p w14:paraId="1C59ECA0" w14:textId="77777777" w:rsidR="00590FE1" w:rsidRPr="001D5327" w:rsidRDefault="00590FE1" w:rsidP="00590FE1">
      <w:pPr>
        <w:pStyle w:val="Numberedparagraph"/>
        <w:spacing w:after="100"/>
      </w:pPr>
      <w:r w:rsidRPr="001D5327">
        <w:t>inclusion of the EcoPond generation 2 mitigation technology for dairy cattle</w:t>
      </w:r>
    </w:p>
    <w:p w14:paraId="40D788C5" w14:textId="77777777" w:rsidR="00590FE1" w:rsidRPr="001D5327" w:rsidRDefault="00590FE1" w:rsidP="00590FE1">
      <w:pPr>
        <w:pStyle w:val="Numberedparagraph"/>
      </w:pPr>
      <w:r w:rsidRPr="001D5327">
        <w:t>updating emission calculations for swine.</w:t>
      </w:r>
    </w:p>
    <w:p w14:paraId="27A6D4D2" w14:textId="77777777" w:rsidR="00590FE1" w:rsidRPr="001D5327" w:rsidRDefault="00590FE1" w:rsidP="00590FE1">
      <w:pPr>
        <w:pStyle w:val="BodyText"/>
        <w:spacing w:before="100" w:after="100"/>
      </w:pPr>
      <w:r w:rsidRPr="001D5327">
        <w:t xml:space="preserve">The Panel recommended that all of the proposed changes should be incorporated into the 2025 submission, with the exception of EcoPond. </w:t>
      </w:r>
    </w:p>
    <w:p w14:paraId="463F3B4E" w14:textId="77777777" w:rsidR="00590FE1" w:rsidRPr="001D5327" w:rsidRDefault="00590FE1" w:rsidP="00590FE1">
      <w:pPr>
        <w:pStyle w:val="BodyText"/>
        <w:spacing w:before="100" w:after="100"/>
      </w:pPr>
      <w:r w:rsidRPr="001D5327">
        <w:t>EcoPond is an effluent treatment system intended to reduce CH</w:t>
      </w:r>
      <w:r w:rsidRPr="001D5327">
        <w:rPr>
          <w:sz w:val="14"/>
          <w:szCs w:val="14"/>
        </w:rPr>
        <w:t xml:space="preserve">4 </w:t>
      </w:r>
      <w:r w:rsidRPr="001D5327">
        <w:t xml:space="preserve">emissions from dairy effluent </w:t>
      </w:r>
      <w:r w:rsidRPr="001D5327">
        <w:rPr>
          <w:spacing w:val="-2"/>
        </w:rPr>
        <w:t>ponds. The Panel also considered the inclusion of EcoPond in 2023. The Panel concluded that the research and trial results demonstrate clearly that the EcoPond technology significantly reduces CH</w:t>
      </w:r>
      <w:r w:rsidRPr="001D5327">
        <w:rPr>
          <w:spacing w:val="-2"/>
          <w:sz w:val="14"/>
          <w:szCs w:val="14"/>
        </w:rPr>
        <w:t xml:space="preserve">4 </w:t>
      </w:r>
      <w:r w:rsidRPr="001D5327">
        <w:rPr>
          <w:spacing w:val="-2"/>
        </w:rPr>
        <w:t>from effluent ponds by more than 90 per cent. However, the Panel recommended that EcoPond should only be included in the inventory after further research is carried out using a standard operating procedure for the technology to reflect how it would be used commercially</w:t>
      </w:r>
      <w:r w:rsidRPr="001D5327">
        <w:t>.</w:t>
      </w:r>
    </w:p>
    <w:p w14:paraId="02D2EFF6" w14:textId="77777777" w:rsidR="00590FE1" w:rsidRPr="001D5327" w:rsidRDefault="00590FE1" w:rsidP="00590FE1">
      <w:pPr>
        <w:pStyle w:val="BodyText"/>
        <w:spacing w:before="100" w:after="100"/>
      </w:pPr>
      <w:r w:rsidRPr="001D5327">
        <w:t xml:space="preserve">All of the changes made have been backdated to the 1990 baseline. Further details on these changes are outlined in sections 5.2.5, 5.3.5 and 5.5.5 (category-specific recalculations), as well as chapter 10 (all recalculations). </w:t>
      </w:r>
    </w:p>
    <w:p w14:paraId="714C74ED" w14:textId="77777777" w:rsidR="00590FE1" w:rsidRPr="001D5327" w:rsidRDefault="00590FE1" w:rsidP="00590FE1">
      <w:pPr>
        <w:pStyle w:val="BodyText"/>
        <w:spacing w:before="100" w:after="100"/>
      </w:pPr>
      <w:r w:rsidRPr="001D5327">
        <w:t>The Panel also discussed progress towards including low-methane sheep in the inventory. The discussion focused on progress on developing a gene-flow model to track the impact of genetic improvement in the flock and activity data collection (which is still being investigated). This item did not result in recommended changes that affect emissions estimates.</w:t>
      </w:r>
    </w:p>
    <w:p w14:paraId="1D2E89A9" w14:textId="77777777" w:rsidR="00590FE1" w:rsidRPr="001D5327" w:rsidRDefault="00590FE1" w:rsidP="00590FE1">
      <w:pPr>
        <w:pStyle w:val="BodyText"/>
        <w:spacing w:before="100" w:after="100"/>
      </w:pPr>
      <w:r w:rsidRPr="001D5327">
        <w:rPr>
          <w:rFonts w:cs="Calibri"/>
        </w:rPr>
        <w:t xml:space="preserve">The briefings, reports, supporting documentation and minutes of the 2024 Panel meeting (as well as Panel meetings </w:t>
      </w:r>
      <w:r w:rsidRPr="001D5327">
        <w:t>for previous years) are available on the MPI website (</w:t>
      </w:r>
      <w:hyperlink r:id="rId107" w:history="1">
        <w:r w:rsidRPr="001D5327">
          <w:rPr>
            <w:rStyle w:val="Hyperlink"/>
          </w:rPr>
          <w:t>www.mpi.govt.nz/news-and-resources/statistics-and-forecasting/greenhouse-gas-reporting/agricultural-inventory-advisory-panel</w:t>
        </w:r>
      </w:hyperlink>
      <w:r w:rsidRPr="001D5327">
        <w:t xml:space="preserve">). </w:t>
      </w:r>
    </w:p>
    <w:p w14:paraId="1D63CF9E" w14:textId="77777777" w:rsidR="00590FE1" w:rsidRPr="001D5327" w:rsidRDefault="00590FE1" w:rsidP="00590FE1">
      <w:pPr>
        <w:pStyle w:val="Heading4"/>
      </w:pPr>
      <w:r w:rsidRPr="001D5327">
        <w:t xml:space="preserve">Recalculations approved for the 2025 National Inventory Report submission in the Agriculture sector </w:t>
      </w:r>
    </w:p>
    <w:p w14:paraId="1920B538" w14:textId="77777777" w:rsidR="00590FE1" w:rsidRPr="001D5327" w:rsidRDefault="00590FE1" w:rsidP="00590FE1">
      <w:pPr>
        <w:pStyle w:val="BodyText"/>
        <w:spacing w:before="80" w:after="100"/>
        <w:rPr>
          <w:rFonts w:cs="Calibri"/>
          <w:spacing w:val="-2"/>
        </w:rPr>
      </w:pPr>
      <w:r w:rsidRPr="001D5327">
        <w:rPr>
          <w:rFonts w:cs="Calibri"/>
          <w:spacing w:val="-2"/>
        </w:rPr>
        <w:t>Following the recommendations from the</w:t>
      </w:r>
      <w:r w:rsidRPr="001D5327">
        <w:rPr>
          <w:rFonts w:cs="Calibri"/>
        </w:rPr>
        <w:t xml:space="preserve"> </w:t>
      </w:r>
      <w:r w:rsidRPr="001D5327">
        <w:rPr>
          <w:rFonts w:cs="Calibri"/>
          <w:spacing w:val="-2"/>
        </w:rPr>
        <w:t xml:space="preserve">Agriculture Inventory Advisory Panel and approval from the Deputy Director-General (Policy and Trade) at MPI and the </w:t>
      </w:r>
      <w:r w:rsidRPr="001D5327">
        <w:t>Reporting Governance Group</w:t>
      </w:r>
      <w:r w:rsidRPr="001D5327">
        <w:rPr>
          <w:rFonts w:cs="Calibri"/>
          <w:spacing w:val="-2"/>
        </w:rPr>
        <w:t>, New Zealand has implemented all of the recommendations in its 2025</w:t>
      </w:r>
      <w:r w:rsidRPr="001D5327">
        <w:rPr>
          <w:rFonts w:cs="Calibri"/>
        </w:rPr>
        <w:t xml:space="preserve"> </w:t>
      </w:r>
      <w:r w:rsidRPr="001D5327">
        <w:rPr>
          <w:rFonts w:cs="Calibri"/>
          <w:spacing w:val="-2"/>
        </w:rPr>
        <w:t>annual inventory submission.</w:t>
      </w:r>
    </w:p>
    <w:p w14:paraId="16D4F080" w14:textId="77777777" w:rsidR="00590FE1" w:rsidRPr="001D5327" w:rsidRDefault="00590FE1" w:rsidP="00590FE1">
      <w:pPr>
        <w:pStyle w:val="BodyText"/>
        <w:spacing w:before="100" w:after="100"/>
      </w:pPr>
      <w:r w:rsidRPr="001D5327">
        <w:t xml:space="preserve">The implementation of these improvements results in an approximate 0.3 per cent </w:t>
      </w:r>
      <w:r w:rsidRPr="001D5327">
        <w:rPr>
          <w:i/>
        </w:rPr>
        <w:t>increase</w:t>
      </w:r>
      <w:r w:rsidRPr="001D5327">
        <w:t xml:space="preserve"> in the estimate of Agriculture sector emissions in 2022. However, the 2022 estimate of Agriculture sector emissions in the 2025 submission is 0.5 per cent </w:t>
      </w:r>
      <w:r w:rsidRPr="001D5327">
        <w:rPr>
          <w:i/>
        </w:rPr>
        <w:t>lower</w:t>
      </w:r>
      <w:r w:rsidRPr="001D5327">
        <w:t xml:space="preserve"> than the 2022 estimate in the 2024 submission due to revisions to key activity data for 2022 (that were published after the compilation of the 2024 submission). See chapter 10, section 10.2.5 for more detail on the implemented improvements for the Agriculture sector.</w:t>
      </w:r>
    </w:p>
    <w:p w14:paraId="021B1919" w14:textId="77777777" w:rsidR="00590FE1" w:rsidRPr="001D5327" w:rsidRDefault="00590FE1" w:rsidP="00590FE1">
      <w:pPr>
        <w:pStyle w:val="Heading3"/>
        <w:spacing w:before="320"/>
      </w:pPr>
      <w:bookmarkStart w:id="713" w:name="_Toc32570648"/>
      <w:r w:rsidRPr="001D5327">
        <w:lastRenderedPageBreak/>
        <w:t xml:space="preserve">5.1.6 </w:t>
      </w:r>
      <w:r w:rsidRPr="001D5327">
        <w:tab/>
        <w:t>Quality assurance and quality control (QA/QC)</w:t>
      </w:r>
      <w:bookmarkEnd w:id="713"/>
    </w:p>
    <w:p w14:paraId="649E8934" w14:textId="77777777" w:rsidR="00590FE1" w:rsidRPr="001D5327" w:rsidRDefault="00590FE1" w:rsidP="00590FE1">
      <w:pPr>
        <w:pStyle w:val="BodyText"/>
        <w:spacing w:before="100" w:after="100"/>
      </w:pPr>
      <w:r w:rsidRPr="001D5327">
        <w:t xml:space="preserve">The MPI Inventory team maintains close contact with the teams responsible for the collation of primary industries (agriculture, horticulture, forestry and fishing) data. These teams liaise </w:t>
      </w:r>
      <w:r w:rsidRPr="001D5327">
        <w:rPr>
          <w:spacing w:val="-2"/>
        </w:rPr>
        <w:t>with Stats NZ and provide analysis and forecasts of primary industries’ activity and performanc</w:t>
      </w:r>
      <w:r w:rsidRPr="001D5327">
        <w:t xml:space="preserve">e. This arrangement ensures that the MPI Inventory team has a good understanding of activity data and agricultural performance. </w:t>
      </w:r>
    </w:p>
    <w:p w14:paraId="310287C8" w14:textId="77777777" w:rsidR="00590FE1" w:rsidRPr="001D5327" w:rsidRDefault="00590FE1" w:rsidP="00590FE1">
      <w:pPr>
        <w:pStyle w:val="BodyText"/>
        <w:spacing w:before="100" w:after="100"/>
      </w:pPr>
      <w:r w:rsidRPr="001D5327">
        <w:t>The connection with Stats NZ ensures that statistical data are aligned with changes in agricultural management practices in the primary industries sector. Capturing this data is required to be able to track changes in emissions as a result of mitigation and shifts in farm management in the Agriculture inventory model.</w:t>
      </w:r>
    </w:p>
    <w:p w14:paraId="491FBFC0" w14:textId="77777777" w:rsidR="00590FE1" w:rsidRPr="001D5327" w:rsidRDefault="00590FE1" w:rsidP="00590FE1">
      <w:pPr>
        <w:pStyle w:val="BodyText"/>
        <w:spacing w:before="100" w:after="100"/>
        <w:rPr>
          <w:spacing w:val="-2"/>
        </w:rPr>
      </w:pPr>
      <w:r w:rsidRPr="001D5327">
        <w:rPr>
          <w:spacing w:val="-2"/>
        </w:rPr>
        <w:t>The MPI Inventory team also maintains relationships with industry bodies that provide additional data, such as Beef + Lamb New Zealand Ltd, DairyNZ, LIC, Deer Industry New Zealand, the Poultry Industry Association New Zealand and the Fertiliser Association of New Zealand.</w:t>
      </w:r>
    </w:p>
    <w:p w14:paraId="620BF626" w14:textId="77777777" w:rsidR="00590FE1" w:rsidRPr="001D5327" w:rsidRDefault="00590FE1" w:rsidP="00590FE1">
      <w:pPr>
        <w:pStyle w:val="BodyText"/>
        <w:spacing w:after="100"/>
      </w:pPr>
      <w:r w:rsidRPr="001D5327">
        <w:t xml:space="preserve">As part of the quality-control procedures, the Agriculture inventory sector is reviewed by MPI personnel with expertise in climate change policy, international policy, climate change science and livestock farming policy. The review ensures that the Agriculture inventory sector clearly explains the sources of agricultural emissions in New Zealand as well as the trends in emissions from year to year. The results from the Agriculture inventory sector also inform domestic and international climate change policy. </w:t>
      </w:r>
    </w:p>
    <w:p w14:paraId="7FEF01FE" w14:textId="77777777" w:rsidR="00590FE1" w:rsidRPr="001D5327" w:rsidRDefault="00590FE1" w:rsidP="00590FE1">
      <w:pPr>
        <w:pStyle w:val="BodyText"/>
      </w:pPr>
      <w:r w:rsidRPr="001D5327">
        <w:t xml:space="preserve">MPI’s Agriculture inventory sector experts meet regularly with the team at MfE that is responsible for coordinating the annual national inventory submission. MfE monitors MPI progress in implementing recommendations from previous expert review reports and on meeting timelines during the year. </w:t>
      </w:r>
    </w:p>
    <w:p w14:paraId="0F2C6696" w14:textId="77777777" w:rsidR="00590FE1" w:rsidRPr="001D5327" w:rsidRDefault="00590FE1" w:rsidP="00590FE1">
      <w:pPr>
        <w:pStyle w:val="BodyText"/>
      </w:pPr>
      <w:r w:rsidRPr="001D5327">
        <w:t xml:space="preserve">MPI participates in the annual inventory debrief coordinated by MfE, to ensure the National Inventory Compiler and each sector lead understand what is working well and where improvements could be made. </w:t>
      </w:r>
    </w:p>
    <w:p w14:paraId="35683EF7" w14:textId="77777777" w:rsidR="00590FE1" w:rsidRPr="001D5327" w:rsidRDefault="00590FE1" w:rsidP="00590FE1">
      <w:pPr>
        <w:pStyle w:val="BodyText"/>
      </w:pPr>
      <w:r w:rsidRPr="001D5327">
        <w:t>In 2016, an external audit firm (Deloitte), with specialist skills in quality-assurance and quality</w:t>
      </w:r>
      <w:r w:rsidRPr="001D5327">
        <w:noBreakHyphen/>
        <w:t xml:space="preserve">control (QA/QC) management, was engaged to evaluate and improve QA/QC processes for the Agriculture inventory sector. New Zealand has used this feedback to update and improve the QA/QC methodology. </w:t>
      </w:r>
    </w:p>
    <w:p w14:paraId="7B446597" w14:textId="77777777" w:rsidR="00590FE1" w:rsidRPr="001D5327" w:rsidRDefault="00590FE1" w:rsidP="00590FE1">
      <w:pPr>
        <w:pStyle w:val="BodyText"/>
      </w:pPr>
      <w:r w:rsidRPr="001D5327">
        <w:t xml:space="preserve">A process of quality-control checks is mandated in the </w:t>
      </w:r>
      <w:r w:rsidRPr="001D5327">
        <w:rPr>
          <w:i/>
          <w:iCs/>
        </w:rPr>
        <w:t>2006 IPCC Guidelines for National Greenhouse Gas Inventories</w:t>
      </w:r>
      <w:r w:rsidRPr="001D5327">
        <w:t xml:space="preserve"> (IPCC, 2006) and the internal compilation process is provided in table 5.1.4. </w:t>
      </w:r>
    </w:p>
    <w:p w14:paraId="09FA4639" w14:textId="77777777" w:rsidR="00590FE1" w:rsidRPr="001D5327" w:rsidRDefault="00590FE1" w:rsidP="00590FE1">
      <w:pPr>
        <w:pStyle w:val="Table"/>
        <w:rPr>
          <w:rFonts w:cs="Calibri"/>
        </w:rPr>
      </w:pPr>
      <w:bookmarkStart w:id="714" w:name="_Toc32570912"/>
      <w:bookmarkStart w:id="715" w:name="_Toc36224547"/>
      <w:bookmarkStart w:id="716" w:name="_Toc68786433"/>
      <w:bookmarkStart w:id="717" w:name="_Toc95574068"/>
      <w:bookmarkStart w:id="718" w:name="_Toc127458251"/>
      <w:bookmarkStart w:id="719" w:name="_Toc131591347"/>
      <w:bookmarkStart w:id="720" w:name="_Toc160114437"/>
      <w:bookmarkStart w:id="721" w:name="_Toc164153833"/>
      <w:bookmarkStart w:id="722" w:name="_Toc194241700"/>
      <w:r w:rsidRPr="001D5327">
        <w:t xml:space="preserve">Table 5.1.4 </w:t>
      </w:r>
      <w:r w:rsidRPr="001D5327">
        <w:tab/>
        <w:t>Agriculture sectoral approval process for inventory recalculations and improvements</w:t>
      </w:r>
      <w:bookmarkEnd w:id="714"/>
      <w:bookmarkEnd w:id="715"/>
      <w:bookmarkEnd w:id="716"/>
      <w:bookmarkEnd w:id="717"/>
      <w:bookmarkEnd w:id="718"/>
      <w:bookmarkEnd w:id="719"/>
      <w:bookmarkEnd w:id="720"/>
      <w:bookmarkEnd w:id="721"/>
      <w:bookmarkEnd w:id="722"/>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ook w:val="04A0" w:firstRow="1" w:lastRow="0" w:firstColumn="1" w:lastColumn="0" w:noHBand="0" w:noVBand="1"/>
      </w:tblPr>
      <w:tblGrid>
        <w:gridCol w:w="1324"/>
        <w:gridCol w:w="7181"/>
      </w:tblGrid>
      <w:tr w:rsidR="00590FE1" w:rsidRPr="001D5327" w14:paraId="53B677BF" w14:textId="77777777" w:rsidTr="00403787">
        <w:trPr>
          <w:tblHeader/>
        </w:trPr>
        <w:tc>
          <w:tcPr>
            <w:tcW w:w="1324" w:type="dxa"/>
            <w:shd w:val="clear" w:color="auto" w:fill="1B556B"/>
            <w:vAlign w:val="bottom"/>
          </w:tcPr>
          <w:p w14:paraId="6164AFA1" w14:textId="77777777" w:rsidR="00590FE1" w:rsidRPr="001D5327" w:rsidRDefault="00590FE1" w:rsidP="00403787">
            <w:pPr>
              <w:pStyle w:val="TableTextBold"/>
              <w:keepNext/>
              <w:rPr>
                <w:noProof w:val="0"/>
                <w:color w:val="FFFFFF" w:themeColor="background1"/>
              </w:rPr>
            </w:pPr>
            <w:r w:rsidRPr="001D5327">
              <w:rPr>
                <w:noProof w:val="0"/>
                <w:color w:val="FFFFFF" w:themeColor="background1"/>
              </w:rPr>
              <w:t>QA/QC area</w:t>
            </w:r>
          </w:p>
        </w:tc>
        <w:tc>
          <w:tcPr>
            <w:tcW w:w="7181" w:type="dxa"/>
            <w:shd w:val="clear" w:color="auto" w:fill="1B556B"/>
            <w:vAlign w:val="bottom"/>
          </w:tcPr>
          <w:p w14:paraId="6EB292CB" w14:textId="77777777" w:rsidR="00590FE1" w:rsidRPr="001D5327" w:rsidRDefault="00590FE1" w:rsidP="00403787">
            <w:pPr>
              <w:pStyle w:val="TableTextBold"/>
              <w:keepNext/>
              <w:rPr>
                <w:noProof w:val="0"/>
                <w:color w:val="FFFFFF" w:themeColor="background1"/>
              </w:rPr>
            </w:pPr>
            <w:r w:rsidRPr="001D5327">
              <w:rPr>
                <w:noProof w:val="0"/>
                <w:color w:val="FFFFFF" w:themeColor="background1"/>
              </w:rPr>
              <w:t>Details of QA/QC procedure</w:t>
            </w:r>
          </w:p>
        </w:tc>
      </w:tr>
      <w:tr w:rsidR="00590FE1" w:rsidRPr="001D5327" w14:paraId="56114397" w14:textId="77777777" w:rsidTr="00403787">
        <w:tc>
          <w:tcPr>
            <w:tcW w:w="1324" w:type="dxa"/>
            <w:shd w:val="clear" w:color="auto" w:fill="auto"/>
          </w:tcPr>
          <w:p w14:paraId="1A1CB9EC" w14:textId="77777777" w:rsidR="00590FE1" w:rsidRPr="001D5327" w:rsidRDefault="00590FE1" w:rsidP="00403787">
            <w:pPr>
              <w:pStyle w:val="TableText"/>
            </w:pPr>
            <w:r w:rsidRPr="001D5327">
              <w:t xml:space="preserve">Activity data </w:t>
            </w:r>
          </w:p>
        </w:tc>
        <w:tc>
          <w:tcPr>
            <w:tcW w:w="7181" w:type="dxa"/>
            <w:shd w:val="clear" w:color="auto" w:fill="auto"/>
          </w:tcPr>
          <w:p w14:paraId="5B155CE9" w14:textId="77777777" w:rsidR="00590FE1" w:rsidRPr="001D5327" w:rsidRDefault="00590FE1" w:rsidP="00403787">
            <w:pPr>
              <w:pStyle w:val="TableBullet"/>
              <w:spacing w:after="50"/>
            </w:pPr>
            <w:r w:rsidRPr="001D5327">
              <w:t xml:space="preserve">Data collection, requests, inputs and checks are recorded in a data check table, which is signed by the individual staff members performing the data input and checks. </w:t>
            </w:r>
          </w:p>
          <w:p w14:paraId="5D9A501A" w14:textId="77777777" w:rsidR="00590FE1" w:rsidRPr="001D5327" w:rsidRDefault="00590FE1" w:rsidP="00403787">
            <w:pPr>
              <w:pStyle w:val="TableBullet"/>
              <w:spacing w:before="0" w:after="50"/>
            </w:pPr>
            <w:r w:rsidRPr="001D5327">
              <w:t xml:space="preserve">A comprehensive list of all external data to be collected annually from internal and external sources is included as a part of the data check sheet. </w:t>
            </w:r>
          </w:p>
          <w:p w14:paraId="03FFE026" w14:textId="77777777" w:rsidR="00590FE1" w:rsidRPr="001D5327" w:rsidRDefault="00590FE1" w:rsidP="00403787">
            <w:pPr>
              <w:pStyle w:val="TableBullet"/>
              <w:spacing w:before="0" w:after="50"/>
            </w:pPr>
            <w:r w:rsidRPr="001D5327">
              <w:t xml:space="preserve">New activity data and a sample of historical data are cross checked for accuracy and completeness by someone who did not input that data. </w:t>
            </w:r>
          </w:p>
          <w:p w14:paraId="0A46B819" w14:textId="77777777" w:rsidR="00590FE1" w:rsidRPr="001D5327" w:rsidRDefault="00590FE1" w:rsidP="00403787">
            <w:pPr>
              <w:pStyle w:val="TableBullet"/>
              <w:spacing w:before="0"/>
            </w:pPr>
            <w:r w:rsidRPr="001D5327">
              <w:t xml:space="preserve">The data check table is included with the managerial sign-off materials before delivery to the Ministry for the Environment. </w:t>
            </w:r>
          </w:p>
        </w:tc>
      </w:tr>
      <w:tr w:rsidR="00590FE1" w:rsidRPr="001D5327" w14:paraId="19DE71AA" w14:textId="77777777" w:rsidTr="00403787">
        <w:tc>
          <w:tcPr>
            <w:tcW w:w="1324" w:type="dxa"/>
            <w:shd w:val="clear" w:color="auto" w:fill="auto"/>
          </w:tcPr>
          <w:p w14:paraId="6F5ACDA5" w14:textId="77777777" w:rsidR="00590FE1" w:rsidRPr="001D5327" w:rsidRDefault="00590FE1" w:rsidP="00403787">
            <w:pPr>
              <w:pStyle w:val="TableText"/>
              <w:spacing w:before="50" w:after="50"/>
              <w:rPr>
                <w:rFonts w:cs="Calibri"/>
                <w:color w:val="000000"/>
              </w:rPr>
            </w:pPr>
            <w:r w:rsidRPr="001D5327">
              <w:rPr>
                <w:rFonts w:cs="Calibri"/>
                <w:color w:val="000000"/>
              </w:rPr>
              <w:t xml:space="preserve">Emissions </w:t>
            </w:r>
          </w:p>
        </w:tc>
        <w:tc>
          <w:tcPr>
            <w:tcW w:w="7181" w:type="dxa"/>
            <w:shd w:val="clear" w:color="auto" w:fill="auto"/>
          </w:tcPr>
          <w:p w14:paraId="09903253" w14:textId="77777777" w:rsidR="00590FE1" w:rsidRPr="001D5327" w:rsidRDefault="00590FE1" w:rsidP="00403787">
            <w:pPr>
              <w:pStyle w:val="TableBullet"/>
              <w:spacing w:after="50"/>
            </w:pPr>
            <w:r w:rsidRPr="001D5327">
              <w:t xml:space="preserve">Implied emission factors are checked over time (1990 to most recent year) and against previous submissions. Any anomalies are investigated. </w:t>
            </w:r>
          </w:p>
          <w:p w14:paraId="7BE74588" w14:textId="77777777" w:rsidR="00590FE1" w:rsidRPr="001D5327" w:rsidRDefault="00590FE1" w:rsidP="00403787">
            <w:pPr>
              <w:pStyle w:val="TableBullet"/>
              <w:spacing w:before="0" w:after="50"/>
            </w:pPr>
            <w:r w:rsidRPr="001D5327">
              <w:lastRenderedPageBreak/>
              <w:t xml:space="preserve">Some key category emissions are compared against Tier 1 default methodologies and against similar parties, particularly Australia. A challenge for New Zealand is the lack of countries with similar agricultural circumstances and management practices. For example, New Zealand’s major livestock types are almost all kept outdoors on pasture in all seasons. </w:t>
            </w:r>
          </w:p>
          <w:p w14:paraId="72637920" w14:textId="77777777" w:rsidR="00590FE1" w:rsidRPr="001D5327" w:rsidRDefault="00590FE1" w:rsidP="00403787">
            <w:pPr>
              <w:pStyle w:val="TableBullet"/>
              <w:spacing w:before="0" w:after="50"/>
            </w:pPr>
            <w:r w:rsidRPr="001D5327">
              <w:t>Total emissions and each row of activity data from the common reporting tables are checked for accuracy against total emissions and activity outputs from the model. Category totals are also checked. Latest data points (2022) as well as 1990 and a random sample of years are checked.</w:t>
            </w:r>
          </w:p>
          <w:p w14:paraId="6D2AB13D" w14:textId="77777777" w:rsidR="00590FE1" w:rsidRPr="001D5327" w:rsidRDefault="00590FE1" w:rsidP="00403787">
            <w:pPr>
              <w:pStyle w:val="TableBullet"/>
              <w:spacing w:before="0"/>
            </w:pPr>
            <w:r w:rsidRPr="001D5327">
              <w:t xml:space="preserve">An automated tool is run on the common reporting tables that identifies blank inputs, duplicates, changes in data type, implied emission factor time-series consistency, included elsewhere (IE) and not estimated (NE) inputs and instances where a country-specific emission factor is used with a Tier 1 methodology. Each resulting occurrence is investigated to determine if there is an issue or error, and a justification is provided if the result is expected. </w:t>
            </w:r>
          </w:p>
        </w:tc>
      </w:tr>
      <w:tr w:rsidR="00590FE1" w:rsidRPr="001D5327" w14:paraId="5C4AF128" w14:textId="77777777" w:rsidTr="00403787">
        <w:tc>
          <w:tcPr>
            <w:tcW w:w="1324" w:type="dxa"/>
            <w:shd w:val="clear" w:color="auto" w:fill="auto"/>
          </w:tcPr>
          <w:p w14:paraId="05BB4E05" w14:textId="77777777" w:rsidR="00590FE1" w:rsidRPr="001D5327" w:rsidRDefault="00590FE1" w:rsidP="00403787">
            <w:pPr>
              <w:pStyle w:val="TableText"/>
              <w:keepNext/>
              <w:spacing w:before="50" w:after="50"/>
              <w:rPr>
                <w:rFonts w:cs="Calibri"/>
                <w:color w:val="000000"/>
              </w:rPr>
            </w:pPr>
            <w:r w:rsidRPr="001D5327">
              <w:rPr>
                <w:rFonts w:cs="Calibri"/>
                <w:color w:val="000000"/>
              </w:rPr>
              <w:lastRenderedPageBreak/>
              <w:t xml:space="preserve">Recalculations </w:t>
            </w:r>
          </w:p>
        </w:tc>
        <w:tc>
          <w:tcPr>
            <w:tcW w:w="7181" w:type="dxa"/>
            <w:shd w:val="clear" w:color="auto" w:fill="auto"/>
          </w:tcPr>
          <w:p w14:paraId="7DACBF53" w14:textId="77777777" w:rsidR="00590FE1" w:rsidRPr="001D5327" w:rsidRDefault="00590FE1" w:rsidP="00403787">
            <w:pPr>
              <w:pStyle w:val="TableBullet"/>
              <w:spacing w:after="50"/>
            </w:pPr>
            <w:r w:rsidRPr="001D5327">
              <w:t xml:space="preserve">Recalculations are agreed with the Ministry for the Environment and the Reporting Governance Group every year before the Agriculture inventory sectoral compilation commences. </w:t>
            </w:r>
          </w:p>
          <w:p w14:paraId="6734C51E" w14:textId="77777777" w:rsidR="00590FE1" w:rsidRPr="001D5327" w:rsidRDefault="00590FE1" w:rsidP="00403787">
            <w:pPr>
              <w:pStyle w:val="TableBullet"/>
              <w:spacing w:before="0" w:after="50"/>
            </w:pPr>
            <w:r w:rsidRPr="001D5327">
              <w:t>Recalculations are compared with previous submissions and, as far as possible, explained and confirmed by the changes in method or activity data.</w:t>
            </w:r>
          </w:p>
          <w:p w14:paraId="6E7AF460" w14:textId="77777777" w:rsidR="00590FE1" w:rsidRPr="001D5327" w:rsidRDefault="00590FE1" w:rsidP="00403787">
            <w:pPr>
              <w:pStyle w:val="TableBullet"/>
              <w:spacing w:before="0" w:after="50"/>
            </w:pPr>
            <w:r w:rsidRPr="001D5327">
              <w:t xml:space="preserve">The cumulative effect of any recalculations is investigated (the impact will not always be the sum of the impact of the changes, due to interactions between changes) and the level of interaction between changes is assessed. </w:t>
            </w:r>
          </w:p>
          <w:p w14:paraId="7DFDF6F7" w14:textId="77777777" w:rsidR="00590FE1" w:rsidRPr="001D5327" w:rsidRDefault="00590FE1" w:rsidP="00403787">
            <w:pPr>
              <w:pStyle w:val="TableBullet"/>
              <w:spacing w:before="0" w:after="50"/>
            </w:pPr>
            <w:r w:rsidRPr="001D5327">
              <w:t xml:space="preserve">Anomalous results from recalculations are checked and corrected, if necessary. </w:t>
            </w:r>
          </w:p>
          <w:p w14:paraId="12F857BF" w14:textId="77777777" w:rsidR="00590FE1" w:rsidRPr="001D5327" w:rsidRDefault="00590FE1" w:rsidP="00403787">
            <w:pPr>
              <w:pStyle w:val="TableBullet"/>
              <w:spacing w:before="0"/>
            </w:pPr>
            <w:r w:rsidRPr="001D5327">
              <w:t xml:space="preserve">The Agriculture inventory sector compiler completes recalculation forms, signs the forms and forwards them to the Ministry for the Environment. </w:t>
            </w:r>
          </w:p>
        </w:tc>
      </w:tr>
      <w:tr w:rsidR="00590FE1" w:rsidRPr="001D5327" w14:paraId="38F5D681" w14:textId="77777777" w:rsidTr="00403787">
        <w:tc>
          <w:tcPr>
            <w:tcW w:w="1324" w:type="dxa"/>
            <w:shd w:val="clear" w:color="auto" w:fill="auto"/>
          </w:tcPr>
          <w:p w14:paraId="42128344" w14:textId="77777777" w:rsidR="00590FE1" w:rsidRPr="001D5327" w:rsidRDefault="00590FE1" w:rsidP="00403787">
            <w:pPr>
              <w:pStyle w:val="TableText"/>
              <w:spacing w:before="50" w:after="50"/>
              <w:rPr>
                <w:rFonts w:cs="Calibri"/>
                <w:color w:val="000000"/>
              </w:rPr>
            </w:pPr>
            <w:r w:rsidRPr="001D5327">
              <w:rPr>
                <w:rFonts w:cs="Calibri"/>
                <w:color w:val="000000"/>
              </w:rPr>
              <w:t xml:space="preserve">Periodic reviews </w:t>
            </w:r>
          </w:p>
        </w:tc>
        <w:tc>
          <w:tcPr>
            <w:tcW w:w="7181" w:type="dxa"/>
            <w:shd w:val="clear" w:color="auto" w:fill="auto"/>
          </w:tcPr>
          <w:p w14:paraId="5B42AB95" w14:textId="77777777" w:rsidR="00590FE1" w:rsidRPr="001D5327" w:rsidRDefault="00590FE1" w:rsidP="00403787">
            <w:pPr>
              <w:pStyle w:val="TableBullet"/>
            </w:pPr>
            <w:r w:rsidRPr="001D5327">
              <w:t>Periodic reviews are completed on different aspects of the Agriculture inventory sector. Examples of these reviews are below.</w:t>
            </w:r>
          </w:p>
          <w:p w14:paraId="27BD51D7" w14:textId="03F9B9B4" w:rsidR="00590FE1" w:rsidRPr="001D5327" w:rsidRDefault="00590FE1" w:rsidP="00403787">
            <w:pPr>
              <w:pStyle w:val="TableBullet"/>
            </w:pPr>
            <w:r w:rsidRPr="001D5327">
              <w:t>The livestock population models and productivity parameters have been reviewed (e.g., Thomson et</w:t>
            </w:r>
            <w:r w:rsidR="00FA3598" w:rsidRPr="001D5327">
              <w:t> </w:t>
            </w:r>
            <w:r w:rsidRPr="001D5327">
              <w:t xml:space="preserve">al., 2010). These reviews have also been used to update and improve the Tier 2 model. </w:t>
            </w:r>
          </w:p>
          <w:p w14:paraId="24F96F5D" w14:textId="77777777" w:rsidR="00590FE1" w:rsidRPr="001D5327" w:rsidRDefault="00590FE1" w:rsidP="00403787">
            <w:pPr>
              <w:pStyle w:val="TableBullet"/>
            </w:pPr>
            <w:r w:rsidRPr="001D5327">
              <w:t xml:space="preserve">During the 2012 submission, new crops were included in the National Inventory Report and a new complex methodology was implemented. For the 2013 submission, Plant and Food Research, a Crown research institute that has expertise in this area, was hired to review the workbooks, check the formulae, and model parameters. </w:t>
            </w:r>
          </w:p>
          <w:p w14:paraId="1031F67D" w14:textId="77777777" w:rsidR="00590FE1" w:rsidRPr="001D5327" w:rsidRDefault="00590FE1" w:rsidP="00403787">
            <w:pPr>
              <w:pStyle w:val="TableBullet"/>
            </w:pPr>
            <w:r w:rsidRPr="001D5327">
              <w:t xml:space="preserve">During the 2015 submission, a mutual bilateral greenhouse gas inventory review was held between Australia and New Zealand, which included the Agriculture sector (Australian Government, unpublished). </w:t>
            </w:r>
          </w:p>
          <w:p w14:paraId="67C9D99F" w14:textId="77777777" w:rsidR="00590FE1" w:rsidRPr="001D5327" w:rsidRDefault="00590FE1" w:rsidP="00403787">
            <w:pPr>
              <w:pStyle w:val="TableBullet"/>
            </w:pPr>
            <w:r w:rsidRPr="001D5327">
              <w:t xml:space="preserve">In 2018, the population models in the Agriculture inventory model were reviewed. Small errors in the implementation of the population equations in the inventory model were found and corrected for in the 2019 (1990–2017) submission. </w:t>
            </w:r>
          </w:p>
          <w:p w14:paraId="45AE9C27" w14:textId="77777777" w:rsidR="00590FE1" w:rsidRPr="001D5327" w:rsidRDefault="00590FE1" w:rsidP="00403787">
            <w:pPr>
              <w:pStyle w:val="TableBullet"/>
            </w:pPr>
            <w:r w:rsidRPr="001D5327">
              <w:t>From 2022 to 2023, the Agriculture inventory model was migrated from Excel to R. For the 2023 (1990–2021) submission, the R model was run in parallel with the Excel model. During this process, the results between the two models were reviewed in detail. Some differences were identified and resulted in corrections of errors in the workings of the original model. The R model is now the active working model and was used for the 2024 (1990–2022) submission.</w:t>
            </w:r>
          </w:p>
          <w:p w14:paraId="56A95384" w14:textId="77777777" w:rsidR="00590FE1" w:rsidRPr="001D5327" w:rsidRDefault="00590FE1" w:rsidP="00403787">
            <w:pPr>
              <w:pStyle w:val="TableBullet"/>
            </w:pPr>
            <w:r w:rsidRPr="001D5327">
              <w:t>From 2023 onwards, in parallel to the inventory model, MPI has been developing an on-farm emissions calculation methodology and model. As part of this process, many of the calculations in the inventory model have been replicated in a way that could be implemented (and suitable) at the farm level. As errors are identified and corrections are made in the inventory model for the 2025 submission, they have been reviewed and verified internally by the team developing the on-farm emissions calculator.</w:t>
            </w:r>
          </w:p>
        </w:tc>
      </w:tr>
      <w:tr w:rsidR="00590FE1" w:rsidRPr="001D5327" w14:paraId="5E6FC0D1" w14:textId="77777777" w:rsidTr="00403787">
        <w:tc>
          <w:tcPr>
            <w:tcW w:w="1324" w:type="dxa"/>
            <w:shd w:val="clear" w:color="auto" w:fill="auto"/>
          </w:tcPr>
          <w:p w14:paraId="4A32EDC0" w14:textId="77777777" w:rsidR="00590FE1" w:rsidRPr="001D5327" w:rsidRDefault="00590FE1" w:rsidP="00403787">
            <w:pPr>
              <w:pStyle w:val="TableText"/>
              <w:spacing w:before="50" w:after="50"/>
              <w:rPr>
                <w:rFonts w:cs="Calibri"/>
                <w:color w:val="000000"/>
              </w:rPr>
            </w:pPr>
            <w:r w:rsidRPr="001D5327">
              <w:rPr>
                <w:rFonts w:cs="Calibri"/>
                <w:color w:val="000000"/>
              </w:rPr>
              <w:t xml:space="preserve">Error checking and reporting </w:t>
            </w:r>
          </w:p>
        </w:tc>
        <w:tc>
          <w:tcPr>
            <w:tcW w:w="7181" w:type="dxa"/>
            <w:shd w:val="clear" w:color="auto" w:fill="auto"/>
          </w:tcPr>
          <w:p w14:paraId="1ED7C541" w14:textId="77777777" w:rsidR="00590FE1" w:rsidRPr="001D5327" w:rsidRDefault="00590FE1" w:rsidP="00403787">
            <w:pPr>
              <w:pStyle w:val="TableBullet"/>
            </w:pPr>
            <w:r w:rsidRPr="001D5327">
              <w:t xml:space="preserve">Errors confirmed during the year are recorded, and the National Inventory Compiler is notified. The factors contributing to the error are assessed. </w:t>
            </w:r>
          </w:p>
          <w:p w14:paraId="56B714AC" w14:textId="77777777" w:rsidR="00590FE1" w:rsidRPr="001D5327" w:rsidRDefault="00590FE1" w:rsidP="00403787">
            <w:pPr>
              <w:pStyle w:val="TableBullet"/>
              <w:spacing w:before="0"/>
            </w:pPr>
            <w:r w:rsidRPr="001D5327">
              <w:t xml:space="preserve">A checklist of quality-control activities is followed during data collection and entry into the model, data upload to the Greenhouse Gas Inventory Reporting Tool and National Inventory Report chapter preparation. </w:t>
            </w:r>
          </w:p>
          <w:p w14:paraId="48A0DDF4" w14:textId="77777777" w:rsidR="00590FE1" w:rsidRPr="001D5327" w:rsidRDefault="00590FE1" w:rsidP="00403787">
            <w:pPr>
              <w:pStyle w:val="TableBullet"/>
              <w:spacing w:before="0"/>
            </w:pPr>
            <w:r w:rsidRPr="001D5327">
              <w:t xml:space="preserve">The Agriculture chapter of the National Inventory Report and the data exported to the Greenhouse Gas Inventory Reporting Tool are signed off by the chapter compiler, people involved in data checking and the responsible manager. </w:t>
            </w:r>
          </w:p>
        </w:tc>
      </w:tr>
      <w:tr w:rsidR="00590FE1" w:rsidRPr="001D5327" w14:paraId="32B665B4" w14:textId="77777777" w:rsidTr="00403787">
        <w:tc>
          <w:tcPr>
            <w:tcW w:w="1324" w:type="dxa"/>
            <w:shd w:val="clear" w:color="auto" w:fill="auto"/>
          </w:tcPr>
          <w:p w14:paraId="0044F057" w14:textId="77777777" w:rsidR="00590FE1" w:rsidRPr="001D5327" w:rsidRDefault="00590FE1" w:rsidP="00403787">
            <w:pPr>
              <w:pStyle w:val="TableText"/>
              <w:keepNext/>
              <w:spacing w:before="50" w:after="50"/>
              <w:rPr>
                <w:rFonts w:cs="Calibri"/>
                <w:color w:val="000000"/>
              </w:rPr>
            </w:pPr>
            <w:r w:rsidRPr="001D5327">
              <w:rPr>
                <w:rFonts w:cs="Calibri"/>
                <w:color w:val="000000"/>
              </w:rPr>
              <w:lastRenderedPageBreak/>
              <w:t xml:space="preserve">Documentation </w:t>
            </w:r>
          </w:p>
        </w:tc>
        <w:tc>
          <w:tcPr>
            <w:tcW w:w="7181" w:type="dxa"/>
            <w:shd w:val="clear" w:color="auto" w:fill="auto"/>
          </w:tcPr>
          <w:p w14:paraId="6FC4E7FC" w14:textId="77777777" w:rsidR="00590FE1" w:rsidRPr="001D5327" w:rsidRDefault="00590FE1" w:rsidP="00403787">
            <w:pPr>
              <w:pStyle w:val="TableBullet"/>
              <w:keepNext/>
            </w:pPr>
            <w:r w:rsidRPr="001D5327">
              <w:t xml:space="preserve">Internal working instructions are maintained, to allow for staff movements. </w:t>
            </w:r>
          </w:p>
          <w:p w14:paraId="70049918" w14:textId="77777777" w:rsidR="00590FE1" w:rsidRPr="001D5327" w:rsidRDefault="00590FE1" w:rsidP="00403787">
            <w:pPr>
              <w:pStyle w:val="TableBullet"/>
              <w:keepNext/>
              <w:spacing w:before="0"/>
            </w:pPr>
            <w:r w:rsidRPr="001D5327">
              <w:t xml:space="preserve">Workbooks and calculations are kept on a MPI electronic archiving and management system, enabling wider team access to all workbooks. </w:t>
            </w:r>
          </w:p>
          <w:p w14:paraId="7B72212E" w14:textId="77777777" w:rsidR="00590FE1" w:rsidRPr="001D5327" w:rsidRDefault="00590FE1" w:rsidP="00403787">
            <w:pPr>
              <w:pStyle w:val="TableBullet"/>
              <w:keepNext/>
              <w:spacing w:before="0"/>
            </w:pPr>
            <w:r w:rsidRPr="001D5327">
              <w:t>The R model is stored in a git repository, code commits (updates) are accompanied by descriptions of changes, and good comment etiquette is followed, which allows for effective version management, change control and diagnostic testing.</w:t>
            </w:r>
          </w:p>
          <w:p w14:paraId="646FDE77" w14:textId="77777777" w:rsidR="00590FE1" w:rsidRPr="001D5327" w:rsidRDefault="00590FE1" w:rsidP="00403787">
            <w:pPr>
              <w:pStyle w:val="TableBullet"/>
              <w:keepNext/>
              <w:spacing w:before="0"/>
            </w:pPr>
            <w:r w:rsidRPr="001D5327">
              <w:t xml:space="preserve">Hyperlinks between check sheets, sign-off documents and workbooks are used to link relevant files on the document management system. </w:t>
            </w:r>
          </w:p>
        </w:tc>
      </w:tr>
    </w:tbl>
    <w:p w14:paraId="1A688881" w14:textId="77777777" w:rsidR="00590FE1" w:rsidRPr="001D5327" w:rsidRDefault="00590FE1" w:rsidP="00590FE1">
      <w:pPr>
        <w:pStyle w:val="Heading3"/>
        <w:spacing w:before="400"/>
      </w:pPr>
      <w:bookmarkStart w:id="723" w:name="_Toc32570649"/>
      <w:r w:rsidRPr="001D5327">
        <w:t>5.1.7</w:t>
      </w:r>
      <w:r w:rsidRPr="001D5327">
        <w:tab/>
        <w:t>Planned improvements</w:t>
      </w:r>
      <w:bookmarkEnd w:id="723"/>
      <w:r w:rsidRPr="001D5327">
        <w:t xml:space="preserve"> and research</w:t>
      </w:r>
    </w:p>
    <w:p w14:paraId="374975BC" w14:textId="77777777" w:rsidR="00590FE1" w:rsidRPr="001D5327" w:rsidRDefault="00590FE1" w:rsidP="00590FE1">
      <w:pPr>
        <w:pStyle w:val="BodyText"/>
        <w:spacing w:after="100"/>
        <w:rPr>
          <w:rFonts w:cs="Calibri"/>
        </w:rPr>
      </w:pPr>
      <w:r w:rsidRPr="001D5327">
        <w:rPr>
          <w:rFonts w:cs="Calibri"/>
        </w:rPr>
        <w:t xml:space="preserve">MPI has planned and commissioned several projects aimed at further improving New Zealand’s Agriculture inventory. </w:t>
      </w:r>
    </w:p>
    <w:p w14:paraId="183681F8" w14:textId="77777777" w:rsidR="00590FE1" w:rsidRPr="001D5327" w:rsidRDefault="00590FE1" w:rsidP="00590FE1">
      <w:pPr>
        <w:pStyle w:val="BodyText"/>
        <w:spacing w:after="100"/>
        <w:ind w:left="567" w:hanging="567"/>
        <w:rPr>
          <w:rFonts w:cs="Calibri"/>
        </w:rPr>
      </w:pPr>
      <w:r w:rsidRPr="001D5327">
        <w:rPr>
          <w:rFonts w:cs="Calibri"/>
        </w:rPr>
        <w:t>Short-term studies (around one year) currently under way or recently completed include:</w:t>
      </w:r>
    </w:p>
    <w:p w14:paraId="7E24C44F" w14:textId="77777777" w:rsidR="00590FE1" w:rsidRPr="001D5327" w:rsidRDefault="00590FE1" w:rsidP="00590FE1">
      <w:pPr>
        <w:pStyle w:val="Bullet"/>
      </w:pPr>
      <w:r w:rsidRPr="001D5327">
        <w:t>development of a method for inclusion of biochar amendments to soil in New Zealand’s Greenhouse Gas Inventory and design of a comprehensive biochar database to inform this methodology (below)</w:t>
      </w:r>
    </w:p>
    <w:p w14:paraId="638BF3E6" w14:textId="77777777" w:rsidR="00590FE1" w:rsidRPr="001D5327" w:rsidRDefault="00590FE1" w:rsidP="00590FE1">
      <w:pPr>
        <w:pStyle w:val="Bullet"/>
      </w:pPr>
      <w:r w:rsidRPr="001D5327">
        <w:t>collecting additional field trial measurements of N</w:t>
      </w:r>
      <w:r w:rsidRPr="001D5327">
        <w:rPr>
          <w:vertAlign w:val="subscript"/>
        </w:rPr>
        <w:t>2</w:t>
      </w:r>
      <w:r w:rsidRPr="001D5327">
        <w:t>O emissions from the application of synthetic nitrogen fertilisers in autumn 2024 (see section 5.5.6).</w:t>
      </w:r>
    </w:p>
    <w:p w14:paraId="0B18994C" w14:textId="77777777" w:rsidR="00590FE1" w:rsidRPr="001D5327" w:rsidRDefault="00590FE1" w:rsidP="00590FE1">
      <w:pPr>
        <w:pStyle w:val="BodyText"/>
        <w:keepNext/>
        <w:spacing w:after="100"/>
        <w:rPr>
          <w:rFonts w:cs="Calibri"/>
        </w:rPr>
      </w:pPr>
      <w:r w:rsidRPr="001D5327">
        <w:rPr>
          <w:rFonts w:cs="Calibri"/>
        </w:rPr>
        <w:t>Longer-term studies (more than one year) include:</w:t>
      </w:r>
    </w:p>
    <w:p w14:paraId="49BDAAD0" w14:textId="77777777" w:rsidR="00590FE1" w:rsidRPr="001D5327" w:rsidRDefault="00590FE1">
      <w:pPr>
        <w:pStyle w:val="Bullet"/>
        <w:numPr>
          <w:ilvl w:val="0"/>
          <w:numId w:val="27"/>
        </w:numPr>
        <w:spacing w:after="100"/>
      </w:pPr>
      <w:r w:rsidRPr="001D5327">
        <w:t>measuring the CH</w:t>
      </w:r>
      <w:r w:rsidRPr="001D5327">
        <w:rPr>
          <w:vertAlign w:val="subscript"/>
        </w:rPr>
        <w:t>4</w:t>
      </w:r>
      <w:r w:rsidRPr="001D5327">
        <w:t xml:space="preserve"> emissions from feed supplemented dairy cows (see section 5.2.6)</w:t>
      </w:r>
    </w:p>
    <w:p w14:paraId="0C4EBBDE" w14:textId="77777777" w:rsidR="00590FE1" w:rsidRPr="001D5327" w:rsidRDefault="00590FE1">
      <w:pPr>
        <w:pStyle w:val="Bullet"/>
        <w:numPr>
          <w:ilvl w:val="0"/>
          <w:numId w:val="27"/>
        </w:numPr>
        <w:spacing w:after="100"/>
      </w:pPr>
      <w:r w:rsidRPr="001D5327">
        <w:t>undertaking integrative greenhouse gas evaluation of forages (see section 5.2.6)</w:t>
      </w:r>
    </w:p>
    <w:p w14:paraId="4389E002" w14:textId="77777777" w:rsidR="00590FE1" w:rsidRPr="001D5327" w:rsidRDefault="00590FE1">
      <w:pPr>
        <w:pStyle w:val="Bullet"/>
        <w:numPr>
          <w:ilvl w:val="0"/>
          <w:numId w:val="27"/>
        </w:numPr>
      </w:pPr>
      <w:r w:rsidRPr="001D5327">
        <w:t xml:space="preserve">updating data on the use of different manure and effluent management systems in </w:t>
      </w:r>
      <w:r w:rsidRPr="001D5327" w:rsidDel="00937384">
        <w:t>New</w:t>
      </w:r>
      <w:r w:rsidRPr="001D5327">
        <w:t> Zealand dairy farms (see section 5.3.6)</w:t>
      </w:r>
    </w:p>
    <w:p w14:paraId="1B637496" w14:textId="77777777" w:rsidR="00590FE1" w:rsidRPr="001D5327" w:rsidRDefault="00590FE1">
      <w:pPr>
        <w:pStyle w:val="Bullet"/>
        <w:numPr>
          <w:ilvl w:val="0"/>
          <w:numId w:val="27"/>
        </w:numPr>
      </w:pPr>
      <w:r w:rsidRPr="001D5327">
        <w:t xml:space="preserve">improving organic soils activity data and providing for the implementation of the IPCC 2013 Wetland Supplement (IPCC, 2014) (see section 5.5.6) </w:t>
      </w:r>
    </w:p>
    <w:p w14:paraId="517C5963" w14:textId="77777777" w:rsidR="00590FE1" w:rsidRPr="001D5327" w:rsidRDefault="00590FE1">
      <w:pPr>
        <w:pStyle w:val="Bullet"/>
        <w:numPr>
          <w:ilvl w:val="0"/>
          <w:numId w:val="27"/>
        </w:numPr>
      </w:pPr>
      <w:r w:rsidRPr="001D5327">
        <w:t>increasing measurements of N</w:t>
      </w:r>
      <w:r w:rsidRPr="001D5327">
        <w:rPr>
          <w:vertAlign w:val="subscript"/>
        </w:rPr>
        <w:t>2</w:t>
      </w:r>
      <w:r w:rsidRPr="001D5327">
        <w:t>O emissions in spring and summer to develop N</w:t>
      </w:r>
      <w:r w:rsidRPr="001D5327">
        <w:rPr>
          <w:vertAlign w:val="subscript"/>
        </w:rPr>
        <w:t>2</w:t>
      </w:r>
      <w:r w:rsidRPr="001D5327">
        <w:t>O emission factors for dung and urine (EF</w:t>
      </w:r>
      <w:r w:rsidRPr="001D5327">
        <w:rPr>
          <w:vertAlign w:val="subscript"/>
        </w:rPr>
        <w:t>3</w:t>
      </w:r>
      <w:r w:rsidRPr="001D5327">
        <w:t>), which vary by season (see section 5.5.6)</w:t>
      </w:r>
    </w:p>
    <w:p w14:paraId="2A7DFBF7" w14:textId="77777777" w:rsidR="00590FE1" w:rsidRPr="001D5327" w:rsidRDefault="00590FE1">
      <w:pPr>
        <w:pStyle w:val="Bullet"/>
        <w:numPr>
          <w:ilvl w:val="0"/>
          <w:numId w:val="27"/>
        </w:numPr>
      </w:pPr>
      <w:r w:rsidRPr="001D5327">
        <w:t>developing a database of greenhouse gas activity data for whenua Māori (Māori land) (below)</w:t>
      </w:r>
    </w:p>
    <w:p w14:paraId="3E37F3C5" w14:textId="77777777" w:rsidR="00590FE1" w:rsidRPr="001D5327" w:rsidRDefault="00590FE1">
      <w:pPr>
        <w:pStyle w:val="Bullet"/>
        <w:numPr>
          <w:ilvl w:val="0"/>
          <w:numId w:val="27"/>
        </w:numPr>
      </w:pPr>
      <w:r w:rsidRPr="001D5327">
        <w:t>top-down measuring and modelling of CH</w:t>
      </w:r>
      <w:r w:rsidRPr="001D5327">
        <w:rPr>
          <w:vertAlign w:val="subscript"/>
        </w:rPr>
        <w:t>4</w:t>
      </w:r>
      <w:r w:rsidRPr="001D5327">
        <w:t xml:space="preserve"> emissions as a verification tool (below)</w:t>
      </w:r>
    </w:p>
    <w:p w14:paraId="038F9986" w14:textId="77777777" w:rsidR="00590FE1" w:rsidRPr="001D5327" w:rsidRDefault="00590FE1">
      <w:pPr>
        <w:pStyle w:val="Bullet"/>
        <w:numPr>
          <w:ilvl w:val="0"/>
          <w:numId w:val="27"/>
        </w:numPr>
      </w:pPr>
      <w:r w:rsidRPr="001D5327">
        <w:t>modelling liveweight change in growing heifers and dairy cows due to seasonality or disease (below)</w:t>
      </w:r>
    </w:p>
    <w:p w14:paraId="37014BB3" w14:textId="77777777" w:rsidR="00590FE1" w:rsidRPr="001D5327" w:rsidRDefault="00590FE1">
      <w:pPr>
        <w:pStyle w:val="Bullet"/>
        <w:numPr>
          <w:ilvl w:val="0"/>
          <w:numId w:val="27"/>
        </w:numPr>
      </w:pPr>
      <w:r w:rsidRPr="001D5327">
        <w:t>improving liveweight estimates for dairy cattle across their lifespans, from birth to first calving, within lactation, and across lactations (below)</w:t>
      </w:r>
    </w:p>
    <w:p w14:paraId="47C1D756" w14:textId="77777777" w:rsidR="00590FE1" w:rsidRPr="001D5327" w:rsidRDefault="00590FE1">
      <w:pPr>
        <w:pStyle w:val="Bullet"/>
        <w:numPr>
          <w:ilvl w:val="0"/>
          <w:numId w:val="27"/>
        </w:numPr>
      </w:pPr>
      <w:r w:rsidRPr="001D5327">
        <w:t>developing a process-based N</w:t>
      </w:r>
      <w:r w:rsidRPr="001D5327">
        <w:rPr>
          <w:vertAlign w:val="subscript"/>
        </w:rPr>
        <w:t>2</w:t>
      </w:r>
      <w:r w:rsidRPr="001D5327">
        <w:t>O emissions model (see section 5.5.6)</w:t>
      </w:r>
    </w:p>
    <w:p w14:paraId="726ED8C1" w14:textId="77777777" w:rsidR="00590FE1" w:rsidRPr="001D5327" w:rsidRDefault="00590FE1">
      <w:pPr>
        <w:pStyle w:val="Bullet"/>
        <w:numPr>
          <w:ilvl w:val="0"/>
          <w:numId w:val="27"/>
        </w:numPr>
      </w:pPr>
      <w:r w:rsidRPr="001D5327">
        <w:t>quantifying greenhouse gas emissions in cropland, and grassland biomass carbon stock dynamics (below)</w:t>
      </w:r>
    </w:p>
    <w:p w14:paraId="217E4E24" w14:textId="77777777" w:rsidR="00590FE1" w:rsidRPr="001D5327" w:rsidRDefault="00590FE1">
      <w:pPr>
        <w:pStyle w:val="Bullet"/>
        <w:numPr>
          <w:ilvl w:val="0"/>
          <w:numId w:val="27"/>
        </w:numPr>
      </w:pPr>
      <w:r w:rsidRPr="001D5327">
        <w:t xml:space="preserve">continuing work to improve activity data, including through the annual collection of agricultural data by Stats NZ. </w:t>
      </w:r>
    </w:p>
    <w:p w14:paraId="05886F75" w14:textId="646CB17C" w:rsidR="00590FE1" w:rsidRPr="001D5327" w:rsidRDefault="00590FE1" w:rsidP="00590FE1">
      <w:pPr>
        <w:pStyle w:val="BodyText"/>
      </w:pPr>
      <w:r w:rsidRPr="001D5327">
        <w:t xml:space="preserve">New Zealand also intends to review the </w:t>
      </w:r>
      <w:r w:rsidRPr="001D5327">
        <w:rPr>
          <w:i/>
          <w:iCs/>
        </w:rPr>
        <w:t>2019 Refinement to the 2006 IPCC Guidelines for National Greenhouse Gas Inventories</w:t>
      </w:r>
      <w:r w:rsidRPr="001D5327">
        <w:t xml:space="preserve"> (IPCC, 2019) and investigate changes to methodology and emission factors for Agriculture, where appropriate. Meanwhile, any recalculations </w:t>
      </w:r>
      <w:r w:rsidRPr="001D5327">
        <w:lastRenderedPageBreak/>
        <w:t>considered for implementation have included the relevant changes detailed in IPCC</w:t>
      </w:r>
      <w:r w:rsidR="0059455D">
        <w:t>,</w:t>
      </w:r>
      <w:r w:rsidRPr="001D5327">
        <w:t xml:space="preserve"> 2019. Ongoing research into organic soils is being conducted, with the aim of enabling the implementation of the IPCC 2013 Wetland Supplement</w:t>
      </w:r>
      <w:r w:rsidRPr="001D5327">
        <w:rPr>
          <w:i/>
          <w:iCs/>
        </w:rPr>
        <w:t xml:space="preserve"> </w:t>
      </w:r>
      <w:r w:rsidRPr="001D5327">
        <w:t>(IPCC, 2014).</w:t>
      </w:r>
    </w:p>
    <w:p w14:paraId="5E288DB4" w14:textId="77777777" w:rsidR="00590FE1" w:rsidRPr="001D5327" w:rsidRDefault="00590FE1" w:rsidP="00590FE1">
      <w:pPr>
        <w:pStyle w:val="BodyText"/>
        <w:rPr>
          <w:rFonts w:cs="Calibri"/>
        </w:rPr>
      </w:pPr>
      <w:r w:rsidRPr="001D5327">
        <w:rPr>
          <w:rFonts w:cs="Calibri"/>
        </w:rPr>
        <w:t>Some of this research and potential improvements cover multiple categories of the Agriculture inventory sector and are described below. The remaining improvements relate only to a single Agriculture inventory sector category and are discussed in further detail in the relevant planned improvement sections 5.2.6 (</w:t>
      </w:r>
      <w:r w:rsidRPr="001D5327">
        <w:rPr>
          <w:rFonts w:cs="Calibri"/>
          <w:i/>
          <w:iCs/>
        </w:rPr>
        <w:t xml:space="preserve">Enteric fermentation </w:t>
      </w:r>
      <w:r w:rsidRPr="001D5327">
        <w:rPr>
          <w:rFonts w:cs="Calibri"/>
        </w:rPr>
        <w:t>(3.A)), 5.3.6 (</w:t>
      </w:r>
      <w:r w:rsidRPr="001D5327">
        <w:rPr>
          <w:rFonts w:cs="Calibri"/>
          <w:i/>
        </w:rPr>
        <w:t>Manure management</w:t>
      </w:r>
      <w:r w:rsidRPr="001D5327">
        <w:rPr>
          <w:rFonts w:cs="Calibri"/>
        </w:rPr>
        <w:t xml:space="preserve"> (3.B)) and 5.5.6 (</w:t>
      </w:r>
      <w:r w:rsidRPr="001D5327">
        <w:rPr>
          <w:rFonts w:cs="Calibri"/>
          <w:i/>
        </w:rPr>
        <w:t>Agricultural soils</w:t>
      </w:r>
      <w:r w:rsidRPr="001D5327">
        <w:rPr>
          <w:rFonts w:cs="Calibri"/>
        </w:rPr>
        <w:t xml:space="preserve"> (3.D)). </w:t>
      </w:r>
    </w:p>
    <w:p w14:paraId="54D1270E" w14:textId="77777777" w:rsidR="00590FE1" w:rsidRPr="001D5327" w:rsidRDefault="00590FE1" w:rsidP="00AB269B">
      <w:pPr>
        <w:pStyle w:val="Heading5"/>
      </w:pPr>
      <w:r w:rsidRPr="001D5327">
        <w:t xml:space="preserve">Method for inclusion of biochar </w:t>
      </w:r>
    </w:p>
    <w:p w14:paraId="76D416CE" w14:textId="77777777" w:rsidR="00590FE1" w:rsidRPr="001D5327" w:rsidRDefault="00590FE1" w:rsidP="00590FE1">
      <w:pPr>
        <w:pStyle w:val="BodyText"/>
        <w:rPr>
          <w:rFonts w:cs="Calibri"/>
        </w:rPr>
      </w:pPr>
      <w:r w:rsidRPr="001D5327">
        <w:rPr>
          <w:rFonts w:cs="Calibri"/>
        </w:rPr>
        <w:t xml:space="preserve">Biochar is a carbon-rich material produced from biomass through pyrolysis, with the potential to be a long-lasting carbon sink when applied to soils alongside generating possible production benefits. This project aims to develop a methodology to estimate greenhouse gas emissions or </w:t>
      </w:r>
      <w:r w:rsidRPr="001D5327">
        <w:rPr>
          <w:rFonts w:cs="Calibri"/>
          <w:spacing w:val="-2"/>
        </w:rPr>
        <w:t>sinks from biochar amendments to soil for New Zealand’s greenhouse gas inventory, enhancing</w:t>
      </w:r>
      <w:r w:rsidRPr="001D5327">
        <w:rPr>
          <w:rFonts w:cs="Calibri"/>
        </w:rPr>
        <w:t xml:space="preserve"> the country’s ability to report its emissions and removals effectively and potentially stimulating biochar-related activities. An investigation of the current state of biochar technology and use in New Zealand will inform the design of a database holding the required information to inform the methodology developed and support future reporting.</w:t>
      </w:r>
    </w:p>
    <w:p w14:paraId="417BCB0E" w14:textId="77777777" w:rsidR="00590FE1" w:rsidRPr="001D5327" w:rsidRDefault="00590FE1" w:rsidP="00590FE1">
      <w:pPr>
        <w:pStyle w:val="Heading5"/>
      </w:pPr>
      <w:r w:rsidRPr="001D5327">
        <w:t>Greenhouse gas activity data for whenua Māori</w:t>
      </w:r>
    </w:p>
    <w:p w14:paraId="4529B96B" w14:textId="77777777" w:rsidR="00590FE1" w:rsidRPr="001D5327" w:rsidRDefault="00590FE1" w:rsidP="00590FE1">
      <w:pPr>
        <w:pStyle w:val="BodyText"/>
        <w:spacing w:before="100" w:after="100"/>
        <w:rPr>
          <w:rFonts w:cs="Calibri"/>
        </w:rPr>
      </w:pPr>
      <w:r w:rsidRPr="001D5327">
        <w:rPr>
          <w:rFonts w:cs="Calibri"/>
        </w:rPr>
        <w:t>This project will work to develop a database of activity and emission data</w:t>
      </w:r>
      <w:r w:rsidRPr="001D5327">
        <w:t xml:space="preserve"> for </w:t>
      </w:r>
      <w:r w:rsidRPr="001D5327">
        <w:rPr>
          <w:rFonts w:cs="Calibri"/>
        </w:rPr>
        <w:t>whenua Māori (Māori land). Māori have significant</w:t>
      </w:r>
      <w:r w:rsidRPr="001D5327">
        <w:t xml:space="preserve"> agricultural </w:t>
      </w:r>
      <w:r w:rsidRPr="001D5327">
        <w:rPr>
          <w:rFonts w:cs="Calibri"/>
        </w:rPr>
        <w:t xml:space="preserve">interests across </w:t>
      </w:r>
      <w:r w:rsidRPr="001D5327" w:rsidDel="00637664">
        <w:t xml:space="preserve">New </w:t>
      </w:r>
      <w:r w:rsidRPr="001D5327">
        <w:t>Zealand</w:t>
      </w:r>
      <w:r w:rsidRPr="001D5327">
        <w:rPr>
          <w:rFonts w:cs="Calibri"/>
        </w:rPr>
        <w:t xml:space="preserve"> and current calculations of emissions are applied across the country, irrespective of land ownership and management differences. This will allow </w:t>
      </w:r>
      <w:r w:rsidRPr="001D5327" w:rsidDel="006553B8">
        <w:t xml:space="preserve">New </w:t>
      </w:r>
      <w:r w:rsidRPr="001D5327">
        <w:t>Zealand</w:t>
      </w:r>
      <w:r w:rsidRPr="001D5327">
        <w:rPr>
          <w:rFonts w:cs="Calibri"/>
        </w:rPr>
        <w:t xml:space="preserve"> to account for agricultural greenhouse gas emissions more accurately at a national level, while also helping to understand the implications of domestic policies on Māori land owners. </w:t>
      </w:r>
    </w:p>
    <w:p w14:paraId="6CBB15D6" w14:textId="77777777" w:rsidR="00590FE1" w:rsidRPr="001D5327" w:rsidRDefault="00590FE1" w:rsidP="00590FE1">
      <w:pPr>
        <w:pStyle w:val="Heading5"/>
        <w:spacing w:before="200"/>
      </w:pPr>
      <w:r w:rsidRPr="001D5327">
        <w:t>Top-down measuring and modelling of methane emissions as a verification tool</w:t>
      </w:r>
    </w:p>
    <w:p w14:paraId="60419605" w14:textId="77777777" w:rsidR="00590FE1" w:rsidRPr="001D5327" w:rsidRDefault="00590FE1" w:rsidP="00590FE1">
      <w:pPr>
        <w:pStyle w:val="BodyText"/>
        <w:spacing w:before="100" w:after="100"/>
        <w:rPr>
          <w:rFonts w:cs="Calibri"/>
        </w:rPr>
      </w:pPr>
      <w:r w:rsidRPr="001D5327">
        <w:rPr>
          <w:rFonts w:cs="Calibri"/>
        </w:rPr>
        <w:t>Accurate and regular reporting of CH</w:t>
      </w:r>
      <w:r w:rsidRPr="001D5327">
        <w:rPr>
          <w:rFonts w:cs="Calibri"/>
          <w:vertAlign w:val="subscript"/>
        </w:rPr>
        <w:t>4</w:t>
      </w:r>
      <w:r w:rsidRPr="001D5327">
        <w:rPr>
          <w:rFonts w:cs="Calibri"/>
        </w:rPr>
        <w:t xml:space="preserve"> is vital to </w:t>
      </w:r>
      <w:r w:rsidRPr="001D5327">
        <w:t>New Zealand’s</w:t>
      </w:r>
      <w:r w:rsidRPr="001D5327">
        <w:rPr>
          <w:rFonts w:cs="Calibri"/>
        </w:rPr>
        <w:t xml:space="preserve"> efforts to monitor and reduce anthropogenic greenhouse gas emissions. This research aims to investigate the feasibility of regular reporting of regional CH</w:t>
      </w:r>
      <w:r w:rsidRPr="001D5327">
        <w:rPr>
          <w:rFonts w:cs="Calibri"/>
          <w:vertAlign w:val="subscript"/>
        </w:rPr>
        <w:t xml:space="preserve">4 </w:t>
      </w:r>
      <w:r w:rsidRPr="001D5327">
        <w:rPr>
          <w:rFonts w:cs="Calibri"/>
        </w:rPr>
        <w:t xml:space="preserve">emissions using both ground-based observations and observations from satellites. This could be valuable as a verification tool for the current bottom-up methodology, while also </w:t>
      </w:r>
      <w:r w:rsidRPr="001D5327">
        <w:rPr>
          <w:rFonts w:cs="Calibri"/>
          <w:spacing w:val="-2"/>
        </w:rPr>
        <w:t>providing a more up-to-date reporting mechanism that could be provided to other stakeholders</w:t>
      </w:r>
      <w:r w:rsidRPr="001D5327">
        <w:rPr>
          <w:rFonts w:cs="Calibri"/>
        </w:rPr>
        <w:t xml:space="preserve"> across </w:t>
      </w:r>
      <w:r w:rsidRPr="001D5327" w:rsidDel="009E6A14">
        <w:t xml:space="preserve">New </w:t>
      </w:r>
      <w:r w:rsidRPr="001D5327">
        <w:t>Zealand</w:t>
      </w:r>
      <w:r w:rsidRPr="001D5327">
        <w:rPr>
          <w:rFonts w:cs="Calibri"/>
        </w:rPr>
        <w:t>.</w:t>
      </w:r>
    </w:p>
    <w:p w14:paraId="4F253194" w14:textId="77777777" w:rsidR="00590FE1" w:rsidRPr="001D5327" w:rsidRDefault="00590FE1" w:rsidP="00590FE1">
      <w:pPr>
        <w:pStyle w:val="Heading5"/>
        <w:spacing w:before="200"/>
      </w:pPr>
      <w:r w:rsidRPr="001D5327">
        <w:t>Modelling liveweight change in growing heifers and dairy cows</w:t>
      </w:r>
    </w:p>
    <w:p w14:paraId="60EBECF4" w14:textId="2B722B14" w:rsidR="00590FE1" w:rsidRPr="001D5327" w:rsidRDefault="00590FE1" w:rsidP="00590FE1">
      <w:pPr>
        <w:pStyle w:val="BodyText"/>
        <w:spacing w:before="100" w:after="100"/>
      </w:pPr>
      <w:r w:rsidRPr="001D5327">
        <w:t>Currently, the Greenhouse Gas Inventory has relatively simple assumptions about dairy cattle liveweight and liveweight change. With additional data and modelling, these estimates can be made more accurate, accounting for key genetic and environmental factors, and time of year. The primary objective of this project is to improve liveweight estimates for dairy cattle, from birth to first calving, within lactation and across lactations. This work will allow for regional and genetic (breed, genetic potential) differences and will consider differences in environment and management, such as feeding level, which correlate with different farm systems. The long history of data in the Dairy Industry Good Animal Database should allow robust estimates from</w:t>
      </w:r>
      <w:r w:rsidR="00B36D58" w:rsidRPr="001D5327">
        <w:t> </w:t>
      </w:r>
      <w:r w:rsidRPr="001D5327">
        <w:t>1990 to the present with appropriate documentation to allow for transparency and consistency for updating future inventory years.</w:t>
      </w:r>
    </w:p>
    <w:p w14:paraId="55EE45F3" w14:textId="77777777" w:rsidR="00590FE1" w:rsidRPr="001D5327" w:rsidRDefault="00590FE1" w:rsidP="00590FE1">
      <w:pPr>
        <w:pStyle w:val="Heading5"/>
        <w:spacing w:before="200"/>
      </w:pPr>
      <w:r w:rsidRPr="001D5327">
        <w:lastRenderedPageBreak/>
        <w:t>Improving liveweight estimates for dairy cattle across their lifespans</w:t>
      </w:r>
    </w:p>
    <w:p w14:paraId="30FE580A" w14:textId="77777777" w:rsidR="00590FE1" w:rsidRPr="001D5327" w:rsidRDefault="00590FE1" w:rsidP="00590FE1">
      <w:pPr>
        <w:pStyle w:val="BodyText"/>
        <w:spacing w:before="100" w:after="100"/>
      </w:pPr>
      <w:r w:rsidRPr="001D5327">
        <w:t>The current New Zealand inventory model assumes that dairy heifers grow linearly</w:t>
      </w:r>
      <w:r w:rsidRPr="001D5327" w:rsidDel="00E36527">
        <w:t xml:space="preserve"> </w:t>
      </w:r>
      <w:r w:rsidRPr="001D5327">
        <w:t xml:space="preserve">and mature dairy cows have a constant weight throughout the year. However, growing and lactating cattle have a non-linear growth curve affected by physiology and life stage, season and health of animals. This project aims to determine typical body weight change patterns for growing heifers and dairy cows. The project will also investigate liveweight change for dairy cattle during a disease event and determine their impact on predicted greenhouse gas emissions. </w:t>
      </w:r>
    </w:p>
    <w:p w14:paraId="28844C87" w14:textId="77777777" w:rsidR="00590FE1" w:rsidRPr="001D5327" w:rsidRDefault="00590FE1" w:rsidP="00590FE1">
      <w:pPr>
        <w:pStyle w:val="Heading5"/>
        <w:spacing w:before="200"/>
      </w:pPr>
      <w:r w:rsidRPr="001D5327">
        <w:t>Quantifying greenhouse gas emissions in cropland, and grassland biomass carbon stock dynamics</w:t>
      </w:r>
    </w:p>
    <w:p w14:paraId="7678A929" w14:textId="77777777" w:rsidR="00590FE1" w:rsidRPr="001D5327" w:rsidRDefault="00590FE1" w:rsidP="00590FE1">
      <w:pPr>
        <w:pStyle w:val="BodyText"/>
        <w:spacing w:before="100" w:after="100"/>
      </w:pPr>
      <w:r w:rsidRPr="001D5327">
        <w:t>This work has two contributing projects. The first project will provide a meta-analysis of estimates of the vegetation biomass carbon stocks for grassland types and the impacts of environment and management. This project will use a combination of literature, databases and modelling to better represent the way in which grassland biomass carbon stocks vary in space and time, and respond to management manipulations (e.g., grazing intensity, irrigation and fertiliser). This will allow a more accurate assessment of the impact of land use change within the grassland biome on carbon stocks for the purpose of inventory monitoring.</w:t>
      </w:r>
    </w:p>
    <w:p w14:paraId="0DFE8D19" w14:textId="77777777" w:rsidR="00590FE1" w:rsidRPr="001D5327" w:rsidRDefault="00590FE1" w:rsidP="00590FE1">
      <w:pPr>
        <w:pStyle w:val="BodyText"/>
        <w:spacing w:before="100" w:after="100"/>
      </w:pPr>
      <w:r w:rsidRPr="001D5327">
        <w:t>The second project aims to review estimates of biomass carbon stocks for croplands. Outcomes will include updated methods, revised parameters, and improved data sources and emission factors tailored to estimate emissions from cropland burning and vegetable and arable systems.</w:t>
      </w:r>
    </w:p>
    <w:p w14:paraId="7977ADA7" w14:textId="77777777" w:rsidR="00590FE1" w:rsidRPr="001D5327" w:rsidRDefault="00590FE1" w:rsidP="00590FE1">
      <w:pPr>
        <w:pStyle w:val="Heading5"/>
        <w:spacing w:before="200"/>
      </w:pPr>
      <w:r w:rsidRPr="001D5327">
        <w:t>Completed research and research priorities</w:t>
      </w:r>
    </w:p>
    <w:p w14:paraId="7F4DDAFF" w14:textId="77777777" w:rsidR="00590FE1" w:rsidRPr="001D5327" w:rsidRDefault="00590FE1" w:rsidP="00590FE1">
      <w:pPr>
        <w:pStyle w:val="BodyText"/>
        <w:spacing w:before="100" w:after="100"/>
        <w:rPr>
          <w:rFonts w:cs="Calibri"/>
        </w:rPr>
      </w:pPr>
      <w:r w:rsidRPr="001D5327">
        <w:rPr>
          <w:rFonts w:cs="Calibri"/>
        </w:rPr>
        <w:t>Refer to MPI’s website for published reports on completed Agricultural Greenhouse Gas Inventory-related research projects (</w:t>
      </w:r>
      <w:hyperlink r:id="rId108" w:history="1">
        <w:r w:rsidRPr="001D5327">
          <w:rPr>
            <w:rStyle w:val="Hyperlink"/>
            <w:rFonts w:cs="Calibri"/>
          </w:rPr>
          <w:t>www.mpi.govt.nz/science/open-data-and-forecasting/greenhouse-gas-reporting/agricultural-greenhouse-gas-inventory-reports</w:t>
        </w:r>
      </w:hyperlink>
      <w:r w:rsidRPr="001D5327">
        <w:rPr>
          <w:rFonts w:cs="Calibri"/>
        </w:rPr>
        <w:t xml:space="preserve">). </w:t>
      </w:r>
    </w:p>
    <w:p w14:paraId="68D7683D" w14:textId="77777777" w:rsidR="00590FE1" w:rsidRPr="001D5327" w:rsidRDefault="00590FE1" w:rsidP="00590FE1">
      <w:pPr>
        <w:pStyle w:val="BodyText"/>
        <w:spacing w:before="100" w:after="100"/>
        <w:rPr>
          <w:rFonts w:cs="Calibri"/>
        </w:rPr>
      </w:pPr>
      <w:r w:rsidRPr="001D5327">
        <w:rPr>
          <w:rFonts w:cs="Calibri"/>
        </w:rPr>
        <w:t>On the page for the Greenhouse Gas Inventory Research Fund (</w:t>
      </w:r>
      <w:hyperlink r:id="rId109" w:history="1">
        <w:r w:rsidRPr="001D5327">
          <w:rPr>
            <w:rStyle w:val="Hyperlink"/>
            <w:rFonts w:cs="Calibri"/>
          </w:rPr>
          <w:t>www.mpi.govt.nz/funding-rural-support/environment-and-natural-resources/greenhouse-gas-inventory-research-fund</w:t>
        </w:r>
      </w:hyperlink>
      <w:r w:rsidRPr="001D5327">
        <w:rPr>
          <w:rFonts w:cs="Calibri"/>
        </w:rPr>
        <w:t xml:space="preserve">) there is a list of projects approved from the most recent funding round. </w:t>
      </w:r>
    </w:p>
    <w:p w14:paraId="2AC6D2E3" w14:textId="77777777" w:rsidR="00590FE1" w:rsidRPr="001D5327" w:rsidRDefault="00590FE1" w:rsidP="00590FE1">
      <w:pPr>
        <w:pStyle w:val="Heading4"/>
      </w:pPr>
      <w:r w:rsidRPr="001D5327">
        <w:t>Future proposed research</w:t>
      </w:r>
    </w:p>
    <w:p w14:paraId="2895296E" w14:textId="77777777" w:rsidR="00590FE1" w:rsidRPr="001D5327" w:rsidRDefault="00590FE1" w:rsidP="00590FE1">
      <w:pPr>
        <w:pStyle w:val="BodyText"/>
      </w:pPr>
      <w:r w:rsidRPr="001D5327">
        <w:t>MPI has proposed research on new topics that would begin in 2025. Refer to MPI published Greenhouse Gas Inventory Research Fund 2024 priorities, for more information on these topics (</w:t>
      </w:r>
      <w:hyperlink r:id="rId110" w:history="1">
        <w:r w:rsidRPr="001D5327">
          <w:rPr>
            <w:rStyle w:val="Hyperlink"/>
          </w:rPr>
          <w:t>www.mpi.govt.nz/dmsdocument/57106-Greenhouse-Gas-Inventory-Research-Fund-2024-25-Priorities</w:t>
        </w:r>
      </w:hyperlink>
      <w:r w:rsidRPr="001D5327">
        <w:t xml:space="preserve">). </w:t>
      </w:r>
    </w:p>
    <w:p w14:paraId="7D632811" w14:textId="77777777" w:rsidR="00590FE1" w:rsidRPr="001D5327" w:rsidRDefault="00590FE1" w:rsidP="00590FE1">
      <w:pPr>
        <w:pStyle w:val="Heading2"/>
      </w:pPr>
      <w:bookmarkStart w:id="724" w:name="_Toc352504860"/>
      <w:bookmarkStart w:id="725" w:name="_Toc448321523"/>
      <w:bookmarkStart w:id="726" w:name="_Toc481751385"/>
      <w:bookmarkStart w:id="727" w:name="_Toc511116600"/>
      <w:bookmarkStart w:id="728" w:name="_Toc5269362"/>
      <w:bookmarkStart w:id="729" w:name="_Toc32570650"/>
      <w:bookmarkStart w:id="730" w:name="_Toc36224402"/>
      <w:bookmarkStart w:id="731" w:name="_Toc68786322"/>
      <w:bookmarkStart w:id="732" w:name="_Toc131591237"/>
      <w:bookmarkStart w:id="733" w:name="_Toc164154191"/>
      <w:bookmarkStart w:id="734" w:name="_Toc194312016"/>
      <w:r w:rsidRPr="001D5327">
        <w:t>5.2</w:t>
      </w:r>
      <w:r w:rsidRPr="001D5327">
        <w:tab/>
        <w:t>Enteric fermentation (3.A)</w:t>
      </w:r>
      <w:bookmarkEnd w:id="724"/>
      <w:bookmarkEnd w:id="725"/>
      <w:bookmarkEnd w:id="726"/>
      <w:bookmarkEnd w:id="727"/>
      <w:bookmarkEnd w:id="728"/>
      <w:bookmarkEnd w:id="729"/>
      <w:bookmarkEnd w:id="730"/>
      <w:bookmarkEnd w:id="731"/>
      <w:bookmarkEnd w:id="732"/>
      <w:bookmarkEnd w:id="733"/>
      <w:bookmarkEnd w:id="734"/>
    </w:p>
    <w:p w14:paraId="6004FC79" w14:textId="77777777" w:rsidR="00590FE1" w:rsidRPr="001D5327" w:rsidRDefault="00590FE1" w:rsidP="00590FE1">
      <w:pPr>
        <w:pStyle w:val="Heading3"/>
        <w:spacing w:before="240"/>
      </w:pPr>
      <w:bookmarkStart w:id="735" w:name="_Toc139253917"/>
      <w:bookmarkStart w:id="736" w:name="_Toc32570651"/>
      <w:r w:rsidRPr="001D5327">
        <w:t>5.2.1</w:t>
      </w:r>
      <w:r w:rsidRPr="001D5327">
        <w:tab/>
      </w:r>
      <w:bookmarkStart w:id="737" w:name="_Hlk154135479"/>
      <w:r w:rsidRPr="001D5327">
        <w:t>Category description</w:t>
      </w:r>
      <w:bookmarkEnd w:id="735"/>
      <w:bookmarkEnd w:id="736"/>
      <w:bookmarkEnd w:id="737"/>
    </w:p>
    <w:p w14:paraId="3A56A82A" w14:textId="5E8C5657" w:rsidR="00590FE1" w:rsidRPr="001D5327" w:rsidRDefault="00590FE1" w:rsidP="00590FE1">
      <w:pPr>
        <w:pStyle w:val="BodyText"/>
      </w:pPr>
      <w:r w:rsidRPr="001D5327">
        <w:t>Methane is produced predominantly by ruminants as a by-product of enteric fermentation, which is the digestive process that breaks down consumed plant material in the rumen under anaerobic conditions. A portion of the plant material is fermented in the rumen to simple fatty acids, hydrogen, CO</w:t>
      </w:r>
      <w:r w:rsidRPr="001D5327">
        <w:rPr>
          <w:vertAlign w:val="subscript"/>
        </w:rPr>
        <w:t>2</w:t>
      </w:r>
      <w:r w:rsidRPr="001D5327">
        <w:t xml:space="preserve"> and CH</w:t>
      </w:r>
      <w:r w:rsidRPr="001D5327">
        <w:rPr>
          <w:vertAlign w:val="subscript"/>
        </w:rPr>
        <w:t>4</w:t>
      </w:r>
      <w:r w:rsidRPr="001D5327">
        <w:t>. The gases from this process are released by eructation (burping) and exhalation by the animal. The amount of CH</w:t>
      </w:r>
      <w:r w:rsidRPr="001D5327">
        <w:rPr>
          <w:vertAlign w:val="subscript"/>
        </w:rPr>
        <w:t>4</w:t>
      </w:r>
      <w:r w:rsidRPr="001D5327">
        <w:t xml:space="preserve"> released is dependent on the type, quality and quantity of feed consumed, and energy expenditure of the animal. Energy expenditure depends on the type, age, weight, health and production of the animal, as well as whether the</w:t>
      </w:r>
      <w:r w:rsidR="008A26C8" w:rsidRPr="001D5327">
        <w:t> </w:t>
      </w:r>
      <w:r w:rsidRPr="001D5327">
        <w:t>animal is pregnant (and the stage of pregnancy) or lactating.</w:t>
      </w:r>
    </w:p>
    <w:p w14:paraId="297E36EA" w14:textId="77777777" w:rsidR="00590FE1" w:rsidRPr="001D5327" w:rsidRDefault="00590FE1" w:rsidP="00590FE1">
      <w:pPr>
        <w:pStyle w:val="BodyText"/>
      </w:pPr>
      <w:r w:rsidRPr="001D5327">
        <w:lastRenderedPageBreak/>
        <w:t xml:space="preserve">Methane emissions from the </w:t>
      </w:r>
      <w:r w:rsidRPr="001D5327">
        <w:rPr>
          <w:i/>
        </w:rPr>
        <w:t>Enteric fermentation</w:t>
      </w:r>
      <w:r w:rsidRPr="001D5327">
        <w:t xml:space="preserve"> category from </w:t>
      </w:r>
      <w:r w:rsidRPr="001D5327">
        <w:rPr>
          <w:i/>
        </w:rPr>
        <w:t>Dairy cattle</w:t>
      </w:r>
      <w:r w:rsidRPr="001D5327">
        <w:t xml:space="preserve">, </w:t>
      </w:r>
      <w:r w:rsidRPr="001D5327">
        <w:rPr>
          <w:i/>
        </w:rPr>
        <w:t xml:space="preserve">Non-dairy </w:t>
      </w:r>
      <w:r w:rsidRPr="001D5327">
        <w:t xml:space="preserve">(beef) </w:t>
      </w:r>
      <w:r w:rsidRPr="001D5327">
        <w:rPr>
          <w:i/>
        </w:rPr>
        <w:t>cattle</w:t>
      </w:r>
      <w:r w:rsidRPr="001D5327">
        <w:t>,</w:t>
      </w:r>
      <w:r w:rsidRPr="001D5327">
        <w:rPr>
          <w:i/>
        </w:rPr>
        <w:t xml:space="preserve"> Sheep </w:t>
      </w:r>
      <w:r w:rsidRPr="001D5327">
        <w:t xml:space="preserve">and </w:t>
      </w:r>
      <w:r w:rsidRPr="001D5327">
        <w:rPr>
          <w:i/>
        </w:rPr>
        <w:t>Deer</w:t>
      </w:r>
      <w:r w:rsidRPr="001D5327">
        <w:t xml:space="preserve"> were identified as among the largest key categories for </w:t>
      </w:r>
      <w:r w:rsidRPr="001D5327" w:rsidDel="006B7EB7">
        <w:t xml:space="preserve">New </w:t>
      </w:r>
      <w:r w:rsidRPr="001D5327">
        <w:t xml:space="preserve">Zealand in the 2025 level assessment, and were also assessed as key categories in the trend assessment. The methodology used by </w:t>
      </w:r>
      <w:r w:rsidRPr="001D5327" w:rsidDel="00635147">
        <w:t xml:space="preserve">New </w:t>
      </w:r>
      <w:r w:rsidRPr="001D5327">
        <w:t>Zealand for calculating CH</w:t>
      </w:r>
      <w:r w:rsidRPr="001D5327">
        <w:rPr>
          <w:vertAlign w:val="subscript"/>
        </w:rPr>
        <w:t>4</w:t>
      </w:r>
      <w:r w:rsidRPr="001D5327">
        <w:t xml:space="preserve"> emissions from enteric fermentation in domestic livestock is a Tier 2 modelling approach. </w:t>
      </w:r>
    </w:p>
    <w:p w14:paraId="6A0D78CF" w14:textId="77777777" w:rsidR="00590FE1" w:rsidRPr="001D5327" w:rsidRDefault="00590FE1" w:rsidP="00590FE1">
      <w:pPr>
        <w:pStyle w:val="BodyText"/>
      </w:pPr>
      <w:r w:rsidRPr="001D5327">
        <w:rPr>
          <w:i/>
          <w:iCs/>
        </w:rPr>
        <w:t>Enteric fermentation</w:t>
      </w:r>
      <w:r w:rsidRPr="001D5327">
        <w:t xml:space="preserve"> contributed an estimated 31,661.7 kt CO</w:t>
      </w:r>
      <w:r w:rsidRPr="001D5327">
        <w:rPr>
          <w:vertAlign w:val="subscript"/>
        </w:rPr>
        <w:t>2</w:t>
      </w:r>
      <w:r w:rsidRPr="001D5327">
        <w:t xml:space="preserve">-e, representing 41.6 per cent of New Zealand’s gross emissions and 78.0 per cent of Agriculture emissions in 2023. The major livestock categories contributing to </w:t>
      </w:r>
      <w:r w:rsidRPr="001D5327">
        <w:rPr>
          <w:i/>
          <w:iCs/>
        </w:rPr>
        <w:t>Enteric fermentation</w:t>
      </w:r>
      <w:r w:rsidRPr="001D5327">
        <w:t xml:space="preserve"> are:</w:t>
      </w:r>
    </w:p>
    <w:p w14:paraId="21E09A2F" w14:textId="77777777" w:rsidR="00590FE1" w:rsidRPr="001D5327" w:rsidRDefault="00590FE1">
      <w:pPr>
        <w:pStyle w:val="Bullet"/>
        <w:numPr>
          <w:ilvl w:val="0"/>
          <w:numId w:val="27"/>
        </w:numPr>
      </w:pPr>
      <w:r w:rsidRPr="001D5327">
        <w:rPr>
          <w:i/>
          <w:iCs/>
        </w:rPr>
        <w:t>Dairy cattle</w:t>
      </w:r>
      <w:r w:rsidRPr="001D5327">
        <w:t xml:space="preserve"> (49.2 per cent of </w:t>
      </w:r>
      <w:r w:rsidRPr="001D5327">
        <w:rPr>
          <w:i/>
          <w:iCs/>
        </w:rPr>
        <w:t>Enteric fermentation</w:t>
      </w:r>
      <w:r w:rsidRPr="001D5327">
        <w:t>)</w:t>
      </w:r>
    </w:p>
    <w:p w14:paraId="4087AFA7" w14:textId="77777777" w:rsidR="00590FE1" w:rsidRPr="001D5327" w:rsidRDefault="00590FE1">
      <w:pPr>
        <w:pStyle w:val="Bullet"/>
        <w:numPr>
          <w:ilvl w:val="0"/>
          <w:numId w:val="27"/>
        </w:numPr>
      </w:pPr>
      <w:r w:rsidRPr="001D5327">
        <w:rPr>
          <w:i/>
          <w:iCs/>
        </w:rPr>
        <w:t>Sheep</w:t>
      </w:r>
      <w:r w:rsidRPr="001D5327">
        <w:t xml:space="preserve"> (26.8 per cent of </w:t>
      </w:r>
      <w:r w:rsidRPr="001D5327">
        <w:rPr>
          <w:i/>
          <w:iCs/>
        </w:rPr>
        <w:t>Enteric fermentation</w:t>
      </w:r>
      <w:r w:rsidRPr="001D5327">
        <w:t>)</w:t>
      </w:r>
    </w:p>
    <w:p w14:paraId="306A6473" w14:textId="77777777" w:rsidR="00590FE1" w:rsidRPr="001D5327" w:rsidRDefault="00590FE1">
      <w:pPr>
        <w:pStyle w:val="Bullet"/>
        <w:numPr>
          <w:ilvl w:val="0"/>
          <w:numId w:val="27"/>
        </w:numPr>
      </w:pPr>
      <w:r w:rsidRPr="001D5327">
        <w:rPr>
          <w:i/>
          <w:iCs/>
        </w:rPr>
        <w:t>Non-dairy cattle</w:t>
      </w:r>
      <w:r w:rsidRPr="001D5327">
        <w:t xml:space="preserve"> (22.5 per cent of </w:t>
      </w:r>
      <w:r w:rsidRPr="001D5327">
        <w:rPr>
          <w:i/>
          <w:iCs/>
        </w:rPr>
        <w:t>Enteric fermentation</w:t>
      </w:r>
      <w:r w:rsidRPr="001D5327">
        <w:t>)</w:t>
      </w:r>
    </w:p>
    <w:p w14:paraId="7C9C4DE4" w14:textId="77777777" w:rsidR="00590FE1" w:rsidRPr="001D5327" w:rsidRDefault="00590FE1">
      <w:pPr>
        <w:pStyle w:val="Bullet"/>
        <w:numPr>
          <w:ilvl w:val="0"/>
          <w:numId w:val="27"/>
        </w:numPr>
      </w:pPr>
      <w:r w:rsidRPr="001D5327">
        <w:rPr>
          <w:i/>
          <w:iCs/>
        </w:rPr>
        <w:t>Deer</w:t>
      </w:r>
      <w:r w:rsidRPr="001D5327">
        <w:t xml:space="preserve"> (1.3 per cent of </w:t>
      </w:r>
      <w:r w:rsidRPr="001D5327">
        <w:rPr>
          <w:i/>
          <w:iCs/>
        </w:rPr>
        <w:t>Enteric fermentation</w:t>
      </w:r>
      <w:r w:rsidRPr="001D5327">
        <w:t>).</w:t>
      </w:r>
    </w:p>
    <w:p w14:paraId="136513ED" w14:textId="77777777" w:rsidR="00590FE1" w:rsidRPr="001D5327" w:rsidRDefault="00590FE1" w:rsidP="00590FE1">
      <w:pPr>
        <w:pStyle w:val="Heading5"/>
      </w:pPr>
      <w:r w:rsidRPr="001D5327">
        <w:t>Trends</w:t>
      </w:r>
    </w:p>
    <w:p w14:paraId="27BA1463" w14:textId="77777777" w:rsidR="00590FE1" w:rsidRPr="001D5327" w:rsidRDefault="00590FE1" w:rsidP="00590FE1">
      <w:pPr>
        <w:pStyle w:val="BodyText"/>
        <w:rPr>
          <w:rFonts w:cs="Calibri"/>
        </w:rPr>
      </w:pPr>
      <w:r w:rsidRPr="001D5327">
        <w:rPr>
          <w:rFonts w:cs="Calibri"/>
        </w:rPr>
        <w:t xml:space="preserve">Emissions from </w:t>
      </w:r>
      <w:r w:rsidRPr="001D5327">
        <w:rPr>
          <w:rFonts w:cs="Calibri"/>
          <w:i/>
          <w:iCs/>
        </w:rPr>
        <w:t xml:space="preserve">Enteric fermentation </w:t>
      </w:r>
      <w:r w:rsidRPr="001D5327">
        <w:rPr>
          <w:rFonts w:cs="Calibri"/>
        </w:rPr>
        <w:t>increased 2.0 per cent (626.8 kt CO</w:t>
      </w:r>
      <w:r w:rsidRPr="001D5327">
        <w:rPr>
          <w:rFonts w:cs="Calibri"/>
          <w:vertAlign w:val="subscript"/>
        </w:rPr>
        <w:t>2</w:t>
      </w:r>
      <w:r w:rsidRPr="001D5327">
        <w:rPr>
          <w:rFonts w:cs="Calibri"/>
        </w:rPr>
        <w:t xml:space="preserve">-e) between 1990 and 2023. Since 1990, there have been changes in the relative sources of emissions within the </w:t>
      </w:r>
      <w:r w:rsidRPr="001D5327">
        <w:rPr>
          <w:rFonts w:cs="Calibri"/>
          <w:i/>
          <w:iCs/>
        </w:rPr>
        <w:t>Enteric fermentation</w:t>
      </w:r>
      <w:r w:rsidRPr="001D5327">
        <w:rPr>
          <w:rFonts w:cs="Calibri"/>
        </w:rPr>
        <w:t xml:space="preserve"> category (see table 5.2.1). A large increase in CH</w:t>
      </w:r>
      <w:r w:rsidRPr="001D5327">
        <w:rPr>
          <w:rFonts w:cs="Calibri"/>
          <w:vertAlign w:val="subscript"/>
        </w:rPr>
        <w:t>4</w:t>
      </w:r>
      <w:r w:rsidRPr="001D5327">
        <w:rPr>
          <w:rFonts w:cs="Calibri"/>
        </w:rPr>
        <w:t xml:space="preserve"> emissions from </w:t>
      </w:r>
      <w:r w:rsidRPr="001D5327">
        <w:rPr>
          <w:rFonts w:cs="Calibri"/>
          <w:i/>
          <w:iCs/>
        </w:rPr>
        <w:t>Dairy cattle</w:t>
      </w:r>
      <w:r w:rsidRPr="001D5327">
        <w:rPr>
          <w:rFonts w:cs="Calibri"/>
        </w:rPr>
        <w:t xml:space="preserve"> (124.0 per cent increase in </w:t>
      </w:r>
      <w:r w:rsidRPr="001D5327">
        <w:rPr>
          <w:rFonts w:cs="Calibri"/>
          <w:i/>
          <w:iCs/>
        </w:rPr>
        <w:t>Enteric fermentation</w:t>
      </w:r>
      <w:r w:rsidRPr="001D5327">
        <w:rPr>
          <w:rFonts w:cs="Calibri"/>
        </w:rPr>
        <w:t xml:space="preserve"> emissions between 1990 and 2023) has been partially offset by decreases in </w:t>
      </w:r>
      <w:r w:rsidRPr="001D5327">
        <w:rPr>
          <w:rFonts w:cs="Calibri"/>
          <w:i/>
          <w:iCs/>
        </w:rPr>
        <w:t xml:space="preserve">Enteric fermentation </w:t>
      </w:r>
      <w:r w:rsidRPr="001D5327">
        <w:rPr>
          <w:rFonts w:cs="Calibri"/>
        </w:rPr>
        <w:t xml:space="preserve">emissions from </w:t>
      </w:r>
      <w:r w:rsidRPr="001D5327">
        <w:rPr>
          <w:rFonts w:cs="Calibri"/>
          <w:i/>
          <w:iCs/>
        </w:rPr>
        <w:t>Sheep</w:t>
      </w:r>
      <w:r w:rsidRPr="001D5327">
        <w:rPr>
          <w:rFonts w:cs="Calibri"/>
        </w:rPr>
        <w:t xml:space="preserve"> (46.7 per cent decrease) as well as </w:t>
      </w:r>
      <w:r w:rsidRPr="001D5327">
        <w:rPr>
          <w:rFonts w:cs="Calibri"/>
          <w:i/>
          <w:iCs/>
        </w:rPr>
        <w:t>Non-dairy</w:t>
      </w:r>
      <w:r w:rsidRPr="001D5327">
        <w:rPr>
          <w:rFonts w:cs="Calibri"/>
        </w:rPr>
        <w:t xml:space="preserve"> </w:t>
      </w:r>
      <w:r w:rsidRPr="001D5327">
        <w:rPr>
          <w:rFonts w:cs="Calibri"/>
          <w:i/>
          <w:iCs/>
        </w:rPr>
        <w:t>cattle</w:t>
      </w:r>
      <w:r w:rsidRPr="001D5327">
        <w:rPr>
          <w:rFonts w:cs="Calibri"/>
          <w:i/>
        </w:rPr>
        <w:t xml:space="preserve"> </w:t>
      </w:r>
      <w:r w:rsidRPr="001D5327">
        <w:rPr>
          <w:rFonts w:cs="Calibri"/>
          <w:iCs/>
        </w:rPr>
        <w:t>(3.7</w:t>
      </w:r>
      <w:r w:rsidRPr="001D5327">
        <w:rPr>
          <w:rFonts w:cs="Calibri"/>
          <w:i/>
        </w:rPr>
        <w:t xml:space="preserve"> </w:t>
      </w:r>
      <w:r w:rsidRPr="001D5327">
        <w:rPr>
          <w:rFonts w:cs="Calibri"/>
          <w:iCs/>
        </w:rPr>
        <w:t>per cent</w:t>
      </w:r>
      <w:r w:rsidRPr="001D5327">
        <w:rPr>
          <w:rFonts w:cs="Calibri"/>
          <w:i/>
        </w:rPr>
        <w:t xml:space="preserve"> </w:t>
      </w:r>
      <w:r w:rsidRPr="001D5327">
        <w:rPr>
          <w:rFonts w:cs="Calibri"/>
          <w:iCs/>
        </w:rPr>
        <w:t xml:space="preserve">decrease) </w:t>
      </w:r>
      <w:r w:rsidRPr="001D5327">
        <w:rPr>
          <w:rFonts w:cs="Calibri"/>
        </w:rPr>
        <w:t xml:space="preserve">and minor livestock species, such as </w:t>
      </w:r>
      <w:r w:rsidRPr="001D5327">
        <w:rPr>
          <w:rFonts w:cs="Calibri"/>
          <w:i/>
          <w:iCs/>
        </w:rPr>
        <w:t>Goats</w:t>
      </w:r>
      <w:r w:rsidRPr="001D5327">
        <w:rPr>
          <w:rFonts w:cs="Calibri"/>
        </w:rPr>
        <w:t xml:space="preserve">, </w:t>
      </w:r>
      <w:r w:rsidRPr="001D5327">
        <w:rPr>
          <w:rFonts w:cs="Calibri"/>
          <w:i/>
          <w:iCs/>
        </w:rPr>
        <w:t>Horses</w:t>
      </w:r>
      <w:r w:rsidRPr="001D5327">
        <w:rPr>
          <w:rFonts w:cs="Calibri"/>
        </w:rPr>
        <w:t xml:space="preserve"> and </w:t>
      </w:r>
      <w:r w:rsidRPr="001D5327">
        <w:rPr>
          <w:rFonts w:cs="Calibri"/>
          <w:i/>
          <w:iCs/>
        </w:rPr>
        <w:t xml:space="preserve">Swine </w:t>
      </w:r>
      <w:r w:rsidRPr="001D5327">
        <w:rPr>
          <w:rFonts w:cs="Calibri"/>
        </w:rPr>
        <w:t>(83.7 per cent decrease).</w:t>
      </w:r>
    </w:p>
    <w:p w14:paraId="28ACD0AA" w14:textId="77777777" w:rsidR="00590FE1" w:rsidRPr="001D5327" w:rsidRDefault="00590FE1" w:rsidP="00590FE1">
      <w:pPr>
        <w:pStyle w:val="Table"/>
        <w:tabs>
          <w:tab w:val="left" w:pos="709"/>
        </w:tabs>
        <w:rPr>
          <w:rFonts w:cs="Calibri"/>
        </w:rPr>
      </w:pPr>
      <w:bookmarkStart w:id="738" w:name="_Toc441830868"/>
      <w:bookmarkStart w:id="739" w:name="_Toc451176082"/>
      <w:bookmarkStart w:id="740" w:name="_Toc481751508"/>
      <w:bookmarkStart w:id="741" w:name="_Toc507158598"/>
      <w:bookmarkStart w:id="742" w:name="_Toc511116732"/>
      <w:bookmarkStart w:id="743" w:name="_Toc5269472"/>
      <w:bookmarkStart w:id="744" w:name="_Toc32570913"/>
      <w:bookmarkStart w:id="745" w:name="_Toc36224548"/>
      <w:bookmarkStart w:id="746" w:name="_Toc68786434"/>
      <w:bookmarkStart w:id="747" w:name="_Toc95574069"/>
      <w:bookmarkStart w:id="748" w:name="_Toc127458252"/>
      <w:bookmarkStart w:id="749" w:name="_Toc131591348"/>
      <w:bookmarkStart w:id="750" w:name="_Toc160114438"/>
      <w:bookmarkStart w:id="751" w:name="_Toc164153834"/>
      <w:bookmarkStart w:id="752" w:name="_Toc194241701"/>
      <w:bookmarkStart w:id="753" w:name="_Toc139253918"/>
      <w:r w:rsidRPr="001D5327">
        <w:rPr>
          <w:rFonts w:cs="Calibri"/>
        </w:rPr>
        <w:t>Table 5.2.1</w:t>
      </w:r>
      <w:r w:rsidRPr="001D5327">
        <w:rPr>
          <w:rFonts w:cs="Calibri"/>
        </w:rPr>
        <w:tab/>
        <w:t>Trends and relative contribution of enteric fermentation (methane expressed in kt CO</w:t>
      </w:r>
      <w:r w:rsidRPr="001D5327">
        <w:rPr>
          <w:rFonts w:cs="Calibri"/>
          <w:vertAlign w:val="subscript"/>
        </w:rPr>
        <w:t>2</w:t>
      </w:r>
      <w:r w:rsidRPr="001D5327">
        <w:rPr>
          <w:rFonts w:cs="Calibri"/>
        </w:rPr>
        <w:t xml:space="preserve">-e) from livestock categories between 1990 and </w:t>
      </w:r>
      <w:bookmarkEnd w:id="738"/>
      <w:bookmarkEnd w:id="739"/>
      <w:bookmarkEnd w:id="740"/>
      <w:bookmarkEnd w:id="741"/>
      <w:bookmarkEnd w:id="742"/>
      <w:bookmarkEnd w:id="743"/>
      <w:bookmarkEnd w:id="744"/>
      <w:bookmarkEnd w:id="745"/>
      <w:bookmarkEnd w:id="746"/>
      <w:r w:rsidRPr="001D5327">
        <w:rPr>
          <w:rFonts w:cs="Calibri"/>
        </w:rPr>
        <w:t>202</w:t>
      </w:r>
      <w:bookmarkEnd w:id="747"/>
      <w:bookmarkEnd w:id="748"/>
      <w:bookmarkEnd w:id="749"/>
      <w:r w:rsidRPr="001D5327">
        <w:rPr>
          <w:rFonts w:cs="Calibri"/>
        </w:rPr>
        <w:t>2</w:t>
      </w:r>
      <w:bookmarkEnd w:id="750"/>
      <w:bookmarkEnd w:id="751"/>
      <w:bookmarkEnd w:id="752"/>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4A0" w:firstRow="1" w:lastRow="0" w:firstColumn="1" w:lastColumn="0" w:noHBand="0" w:noVBand="1"/>
      </w:tblPr>
      <w:tblGrid>
        <w:gridCol w:w="1638"/>
        <w:gridCol w:w="914"/>
        <w:gridCol w:w="850"/>
        <w:gridCol w:w="631"/>
        <w:gridCol w:w="787"/>
        <w:gridCol w:w="1276"/>
        <w:gridCol w:w="714"/>
        <w:gridCol w:w="837"/>
        <w:gridCol w:w="858"/>
      </w:tblGrid>
      <w:tr w:rsidR="00590FE1" w:rsidRPr="001D5327" w14:paraId="7FD02EFE" w14:textId="77777777" w:rsidTr="00403787">
        <w:tc>
          <w:tcPr>
            <w:tcW w:w="1638" w:type="dxa"/>
            <w:tcBorders>
              <w:bottom w:val="nil"/>
            </w:tcBorders>
            <w:shd w:val="clear" w:color="auto" w:fill="1B556B"/>
            <w:vAlign w:val="bottom"/>
          </w:tcPr>
          <w:p w14:paraId="08CDD42A" w14:textId="77777777" w:rsidR="00590FE1" w:rsidRPr="001D5327" w:rsidRDefault="00590FE1" w:rsidP="00403787">
            <w:pPr>
              <w:pStyle w:val="TableTextBold"/>
              <w:keepNext/>
              <w:spacing w:after="0"/>
              <w:rPr>
                <w:noProof w:val="0"/>
                <w:color w:val="FFFFFF" w:themeColor="background1"/>
                <w:szCs w:val="16"/>
              </w:rPr>
            </w:pPr>
          </w:p>
        </w:tc>
        <w:tc>
          <w:tcPr>
            <w:tcW w:w="1764" w:type="dxa"/>
            <w:gridSpan w:val="2"/>
            <w:tcBorders>
              <w:bottom w:val="nil"/>
            </w:tcBorders>
            <w:shd w:val="clear" w:color="auto" w:fill="1B556B"/>
            <w:vAlign w:val="bottom"/>
          </w:tcPr>
          <w:p w14:paraId="5B5110E5" w14:textId="77777777" w:rsidR="00590FE1" w:rsidRPr="001D5327" w:rsidRDefault="00590FE1" w:rsidP="00403787">
            <w:pPr>
              <w:pStyle w:val="TableTextBold"/>
              <w:keepNext/>
              <w:tabs>
                <w:tab w:val="left" w:pos="241"/>
                <w:tab w:val="left" w:pos="1062"/>
              </w:tabs>
              <w:spacing w:after="20"/>
              <w:jc w:val="center"/>
              <w:rPr>
                <w:noProof w:val="0"/>
                <w:color w:val="FFFFFF" w:themeColor="background1"/>
                <w:szCs w:val="16"/>
              </w:rPr>
            </w:pPr>
            <w:r w:rsidRPr="001D5327">
              <w:rPr>
                <w:noProof w:val="0"/>
                <w:color w:val="FFFFFF" w:themeColor="background1"/>
                <w:szCs w:val="16"/>
              </w:rPr>
              <w:t>Emissions (kt CO</w:t>
            </w:r>
            <w:r w:rsidRPr="001D5327">
              <w:rPr>
                <w:noProof w:val="0"/>
                <w:color w:val="FFFFFF" w:themeColor="background1"/>
                <w:szCs w:val="16"/>
                <w:vertAlign w:val="subscript"/>
              </w:rPr>
              <w:t>2</w:t>
            </w:r>
            <w:r w:rsidRPr="001D5327">
              <w:rPr>
                <w:noProof w:val="0"/>
                <w:color w:val="FFFFFF" w:themeColor="background1"/>
                <w:szCs w:val="16"/>
              </w:rPr>
              <w:t>-e)</w:t>
            </w:r>
          </w:p>
        </w:tc>
        <w:tc>
          <w:tcPr>
            <w:tcW w:w="1418" w:type="dxa"/>
            <w:gridSpan w:val="2"/>
            <w:tcBorders>
              <w:bottom w:val="nil"/>
            </w:tcBorders>
            <w:shd w:val="clear" w:color="auto" w:fill="1B556B"/>
            <w:vAlign w:val="bottom"/>
          </w:tcPr>
          <w:p w14:paraId="5001FF87" w14:textId="77777777" w:rsidR="00590FE1" w:rsidRPr="001D5327" w:rsidRDefault="00590FE1" w:rsidP="00403787">
            <w:pPr>
              <w:pStyle w:val="TableTextBold"/>
              <w:keepNext/>
              <w:spacing w:after="20"/>
              <w:jc w:val="center"/>
              <w:rPr>
                <w:noProof w:val="0"/>
                <w:color w:val="FFFFFF" w:themeColor="background1"/>
                <w:szCs w:val="16"/>
              </w:rPr>
            </w:pPr>
            <w:r w:rsidRPr="001D5327">
              <w:rPr>
                <w:noProof w:val="0"/>
                <w:color w:val="FFFFFF" w:themeColor="background1"/>
                <w:szCs w:val="16"/>
              </w:rPr>
              <w:t>Change from 1990</w:t>
            </w:r>
          </w:p>
        </w:tc>
        <w:tc>
          <w:tcPr>
            <w:tcW w:w="1990" w:type="dxa"/>
            <w:gridSpan w:val="2"/>
            <w:tcBorders>
              <w:bottom w:val="nil"/>
            </w:tcBorders>
            <w:shd w:val="clear" w:color="auto" w:fill="1B556B"/>
            <w:vAlign w:val="bottom"/>
          </w:tcPr>
          <w:p w14:paraId="77B4ABD1" w14:textId="77777777" w:rsidR="00590FE1" w:rsidRPr="001D5327" w:rsidRDefault="00590FE1" w:rsidP="00403787">
            <w:pPr>
              <w:pStyle w:val="TableTextBold"/>
              <w:keepNext/>
              <w:spacing w:after="20"/>
              <w:jc w:val="center"/>
              <w:rPr>
                <w:noProof w:val="0"/>
                <w:color w:val="FFFFFF" w:themeColor="background1"/>
                <w:szCs w:val="16"/>
              </w:rPr>
            </w:pPr>
            <w:r w:rsidRPr="001D5327">
              <w:rPr>
                <w:noProof w:val="0"/>
                <w:color w:val="FFFFFF" w:themeColor="background1"/>
                <w:szCs w:val="16"/>
              </w:rPr>
              <w:t xml:space="preserve">Share of </w:t>
            </w:r>
            <w:r w:rsidRPr="001D5327">
              <w:rPr>
                <w:i/>
                <w:noProof w:val="0"/>
                <w:color w:val="FFFFFF" w:themeColor="background1"/>
                <w:szCs w:val="16"/>
              </w:rPr>
              <w:t>Enteric fermentation</w:t>
            </w:r>
            <w:r w:rsidRPr="001D5327">
              <w:rPr>
                <w:noProof w:val="0"/>
                <w:color w:val="FFFFFF" w:themeColor="background1"/>
                <w:szCs w:val="16"/>
              </w:rPr>
              <w:t xml:space="preserve"> category (%)</w:t>
            </w:r>
          </w:p>
        </w:tc>
        <w:tc>
          <w:tcPr>
            <w:tcW w:w="1695" w:type="dxa"/>
            <w:gridSpan w:val="2"/>
            <w:tcBorders>
              <w:bottom w:val="nil"/>
            </w:tcBorders>
            <w:shd w:val="clear" w:color="auto" w:fill="1B556B"/>
            <w:vAlign w:val="bottom"/>
          </w:tcPr>
          <w:p w14:paraId="69305F98" w14:textId="77777777" w:rsidR="00590FE1" w:rsidRPr="001D5327" w:rsidRDefault="00590FE1" w:rsidP="00403787">
            <w:pPr>
              <w:pStyle w:val="TableTextBold"/>
              <w:keepNext/>
              <w:spacing w:after="20"/>
              <w:jc w:val="center"/>
              <w:rPr>
                <w:noProof w:val="0"/>
                <w:color w:val="FFFFFF" w:themeColor="background1"/>
                <w:szCs w:val="16"/>
              </w:rPr>
            </w:pPr>
            <w:r w:rsidRPr="001D5327">
              <w:rPr>
                <w:noProof w:val="0"/>
                <w:color w:val="FFFFFF" w:themeColor="background1"/>
                <w:szCs w:val="16"/>
              </w:rPr>
              <w:t>Share of total Agriculture sector (%)</w:t>
            </w:r>
          </w:p>
        </w:tc>
      </w:tr>
      <w:tr w:rsidR="00590FE1" w:rsidRPr="001D5327" w14:paraId="2BD330B4" w14:textId="77777777" w:rsidTr="00403787">
        <w:tc>
          <w:tcPr>
            <w:tcW w:w="1638" w:type="dxa"/>
            <w:tcBorders>
              <w:top w:val="nil"/>
              <w:bottom w:val="single" w:sz="2" w:space="0" w:color="1B556B" w:themeColor="text2"/>
            </w:tcBorders>
            <w:shd w:val="clear" w:color="auto" w:fill="1B556B"/>
            <w:vAlign w:val="bottom"/>
          </w:tcPr>
          <w:p w14:paraId="70A7D23D" w14:textId="77777777" w:rsidR="00590FE1" w:rsidRPr="001D5327" w:rsidRDefault="00590FE1" w:rsidP="00403787">
            <w:pPr>
              <w:pStyle w:val="TableTextBold"/>
              <w:keepNext/>
              <w:spacing w:before="0"/>
              <w:rPr>
                <w:noProof w:val="0"/>
                <w:color w:val="FFFFFF" w:themeColor="background1"/>
                <w:szCs w:val="16"/>
              </w:rPr>
            </w:pPr>
            <w:r w:rsidRPr="001D5327">
              <w:rPr>
                <w:noProof w:val="0"/>
                <w:color w:val="FFFFFF" w:themeColor="background1"/>
                <w:szCs w:val="16"/>
              </w:rPr>
              <w:t>Livestock category</w:t>
            </w:r>
          </w:p>
        </w:tc>
        <w:tc>
          <w:tcPr>
            <w:tcW w:w="914" w:type="dxa"/>
            <w:tcBorders>
              <w:top w:val="nil"/>
              <w:bottom w:val="single" w:sz="2" w:space="0" w:color="1B556B" w:themeColor="text2"/>
            </w:tcBorders>
            <w:shd w:val="clear" w:color="auto" w:fill="1B556B"/>
            <w:vAlign w:val="bottom"/>
          </w:tcPr>
          <w:p w14:paraId="713953AF" w14:textId="77777777" w:rsidR="00590FE1" w:rsidRPr="001D5327" w:rsidRDefault="00590FE1" w:rsidP="00403787">
            <w:pPr>
              <w:pStyle w:val="TableTextBold"/>
              <w:keepNext/>
              <w:spacing w:before="0"/>
              <w:jc w:val="right"/>
              <w:rPr>
                <w:bCs/>
                <w:noProof w:val="0"/>
                <w:color w:val="FFFFFF" w:themeColor="background1"/>
                <w:szCs w:val="16"/>
              </w:rPr>
            </w:pPr>
            <w:r w:rsidRPr="001D5327">
              <w:rPr>
                <w:bCs/>
                <w:noProof w:val="0"/>
                <w:color w:val="FFFFFF" w:themeColor="background1"/>
              </w:rPr>
              <w:t>1990</w:t>
            </w:r>
          </w:p>
        </w:tc>
        <w:tc>
          <w:tcPr>
            <w:tcW w:w="850" w:type="dxa"/>
            <w:tcBorders>
              <w:top w:val="nil"/>
              <w:bottom w:val="single" w:sz="2" w:space="0" w:color="1B556B" w:themeColor="text2"/>
            </w:tcBorders>
            <w:shd w:val="clear" w:color="auto" w:fill="1B556B"/>
            <w:vAlign w:val="bottom"/>
          </w:tcPr>
          <w:p w14:paraId="3F4C6593" w14:textId="77777777" w:rsidR="00590FE1" w:rsidRPr="001D5327" w:rsidRDefault="00590FE1" w:rsidP="00403787">
            <w:pPr>
              <w:pStyle w:val="TableTextBold"/>
              <w:keepNext/>
              <w:spacing w:before="0"/>
              <w:jc w:val="right"/>
              <w:rPr>
                <w:noProof w:val="0"/>
                <w:color w:val="FFFFFF" w:themeColor="background1"/>
              </w:rPr>
            </w:pPr>
            <w:r w:rsidRPr="001D5327">
              <w:rPr>
                <w:noProof w:val="0"/>
                <w:color w:val="FFFFFF" w:themeColor="background1"/>
              </w:rPr>
              <w:t>2023</w:t>
            </w:r>
          </w:p>
        </w:tc>
        <w:tc>
          <w:tcPr>
            <w:tcW w:w="631" w:type="dxa"/>
            <w:tcBorders>
              <w:top w:val="nil"/>
              <w:bottom w:val="single" w:sz="2" w:space="0" w:color="1B556B" w:themeColor="text2"/>
            </w:tcBorders>
            <w:shd w:val="clear" w:color="auto" w:fill="1B556B"/>
            <w:vAlign w:val="bottom"/>
          </w:tcPr>
          <w:p w14:paraId="70E17BC3" w14:textId="77777777" w:rsidR="00590FE1" w:rsidRPr="001D5327" w:rsidRDefault="00590FE1" w:rsidP="00403787">
            <w:pPr>
              <w:pStyle w:val="TableTextBold"/>
              <w:keepNext/>
              <w:spacing w:before="0"/>
              <w:jc w:val="right"/>
              <w:rPr>
                <w:bCs/>
                <w:noProof w:val="0"/>
                <w:color w:val="FFFFFF" w:themeColor="background1"/>
                <w:szCs w:val="16"/>
              </w:rPr>
            </w:pPr>
            <w:r w:rsidRPr="001D5327">
              <w:rPr>
                <w:bCs/>
                <w:noProof w:val="0"/>
                <w:color w:val="FFFFFF" w:themeColor="background1"/>
              </w:rPr>
              <w:t>%</w:t>
            </w:r>
          </w:p>
        </w:tc>
        <w:tc>
          <w:tcPr>
            <w:tcW w:w="787" w:type="dxa"/>
            <w:tcBorders>
              <w:top w:val="nil"/>
              <w:bottom w:val="single" w:sz="2" w:space="0" w:color="1B556B" w:themeColor="text2"/>
            </w:tcBorders>
            <w:shd w:val="clear" w:color="auto" w:fill="1B556B"/>
            <w:vAlign w:val="bottom"/>
          </w:tcPr>
          <w:p w14:paraId="1555CCFF" w14:textId="77777777" w:rsidR="00590FE1" w:rsidRPr="001D5327" w:rsidRDefault="00590FE1" w:rsidP="00403787">
            <w:pPr>
              <w:pStyle w:val="TableTextBold"/>
              <w:keepNext/>
              <w:spacing w:before="0"/>
              <w:jc w:val="right"/>
              <w:rPr>
                <w:bCs/>
                <w:noProof w:val="0"/>
                <w:color w:val="FFFFFF" w:themeColor="background1"/>
                <w:szCs w:val="16"/>
              </w:rPr>
            </w:pPr>
            <w:r w:rsidRPr="001D5327">
              <w:rPr>
                <w:bCs/>
                <w:noProof w:val="0"/>
                <w:color w:val="FFFFFF" w:themeColor="background1"/>
              </w:rPr>
              <w:t>kt CO</w:t>
            </w:r>
            <w:r w:rsidRPr="001D5327">
              <w:rPr>
                <w:bCs/>
                <w:noProof w:val="0"/>
                <w:color w:val="FFFFFF"/>
                <w:vertAlign w:val="subscript"/>
              </w:rPr>
              <w:t>2</w:t>
            </w:r>
            <w:r w:rsidRPr="001D5327">
              <w:rPr>
                <w:bCs/>
                <w:noProof w:val="0"/>
                <w:color w:val="FFFFFF"/>
              </w:rPr>
              <w:t>-e</w:t>
            </w:r>
          </w:p>
        </w:tc>
        <w:tc>
          <w:tcPr>
            <w:tcW w:w="1276" w:type="dxa"/>
            <w:tcBorders>
              <w:top w:val="nil"/>
              <w:bottom w:val="single" w:sz="2" w:space="0" w:color="1B556B" w:themeColor="text2"/>
            </w:tcBorders>
            <w:shd w:val="clear" w:color="auto" w:fill="1B556B"/>
            <w:vAlign w:val="bottom"/>
          </w:tcPr>
          <w:p w14:paraId="17A60E82" w14:textId="77777777" w:rsidR="00590FE1" w:rsidRPr="001D5327" w:rsidRDefault="00590FE1" w:rsidP="00403787">
            <w:pPr>
              <w:pStyle w:val="TableTextBold"/>
              <w:keepNext/>
              <w:spacing w:before="0"/>
              <w:jc w:val="right"/>
              <w:rPr>
                <w:bCs/>
                <w:noProof w:val="0"/>
                <w:color w:val="FFFFFF" w:themeColor="background1"/>
                <w:szCs w:val="16"/>
              </w:rPr>
            </w:pPr>
            <w:r w:rsidRPr="001D5327">
              <w:rPr>
                <w:bCs/>
                <w:noProof w:val="0"/>
                <w:color w:val="FFFFFF" w:themeColor="background1"/>
              </w:rPr>
              <w:t>1990</w:t>
            </w:r>
          </w:p>
        </w:tc>
        <w:tc>
          <w:tcPr>
            <w:tcW w:w="714" w:type="dxa"/>
            <w:tcBorders>
              <w:top w:val="nil"/>
              <w:bottom w:val="single" w:sz="2" w:space="0" w:color="1B556B" w:themeColor="text2"/>
            </w:tcBorders>
            <w:shd w:val="clear" w:color="auto" w:fill="1B556B"/>
            <w:vAlign w:val="bottom"/>
          </w:tcPr>
          <w:p w14:paraId="588749B9" w14:textId="77777777" w:rsidR="00590FE1" w:rsidRPr="001D5327" w:rsidRDefault="00590FE1" w:rsidP="00403787">
            <w:pPr>
              <w:pStyle w:val="TableTextBold"/>
              <w:keepNext/>
              <w:spacing w:before="0"/>
              <w:jc w:val="right"/>
              <w:rPr>
                <w:noProof w:val="0"/>
                <w:color w:val="FFFFFF" w:themeColor="background1"/>
              </w:rPr>
            </w:pPr>
            <w:r w:rsidRPr="001D5327">
              <w:rPr>
                <w:noProof w:val="0"/>
                <w:color w:val="FFFFFF" w:themeColor="background1"/>
              </w:rPr>
              <w:t>2023</w:t>
            </w:r>
          </w:p>
        </w:tc>
        <w:tc>
          <w:tcPr>
            <w:tcW w:w="837" w:type="dxa"/>
            <w:tcBorders>
              <w:top w:val="nil"/>
              <w:bottom w:val="single" w:sz="2" w:space="0" w:color="1B556B" w:themeColor="text2"/>
            </w:tcBorders>
            <w:shd w:val="clear" w:color="auto" w:fill="1B556B"/>
            <w:vAlign w:val="bottom"/>
          </w:tcPr>
          <w:p w14:paraId="59241665" w14:textId="77777777" w:rsidR="00590FE1" w:rsidRPr="001D5327" w:rsidRDefault="00590FE1" w:rsidP="00403787">
            <w:pPr>
              <w:pStyle w:val="TableTextBold"/>
              <w:keepNext/>
              <w:spacing w:before="0"/>
              <w:jc w:val="right"/>
              <w:rPr>
                <w:bCs/>
                <w:noProof w:val="0"/>
                <w:color w:val="FFFFFF" w:themeColor="background1"/>
                <w:szCs w:val="16"/>
              </w:rPr>
            </w:pPr>
            <w:r w:rsidRPr="001D5327">
              <w:rPr>
                <w:bCs/>
                <w:noProof w:val="0"/>
                <w:color w:val="FFFFFF" w:themeColor="background1"/>
              </w:rPr>
              <w:t>1990</w:t>
            </w:r>
          </w:p>
        </w:tc>
        <w:tc>
          <w:tcPr>
            <w:tcW w:w="858" w:type="dxa"/>
            <w:tcBorders>
              <w:top w:val="nil"/>
              <w:bottom w:val="single" w:sz="2" w:space="0" w:color="1B556B" w:themeColor="text2"/>
            </w:tcBorders>
            <w:shd w:val="clear" w:color="auto" w:fill="1B556B"/>
            <w:vAlign w:val="bottom"/>
          </w:tcPr>
          <w:p w14:paraId="587C18E0" w14:textId="77777777" w:rsidR="00590FE1" w:rsidRPr="001D5327" w:rsidRDefault="00590FE1" w:rsidP="00403787">
            <w:pPr>
              <w:pStyle w:val="TableTextBold"/>
              <w:keepNext/>
              <w:spacing w:before="0"/>
              <w:jc w:val="right"/>
              <w:rPr>
                <w:noProof w:val="0"/>
                <w:color w:val="FFFFFF" w:themeColor="background1"/>
              </w:rPr>
            </w:pPr>
            <w:r w:rsidRPr="001D5327">
              <w:rPr>
                <w:noProof w:val="0"/>
                <w:color w:val="FFFFFF" w:themeColor="background1"/>
              </w:rPr>
              <w:t>2023</w:t>
            </w:r>
          </w:p>
        </w:tc>
      </w:tr>
      <w:tr w:rsidR="00590FE1" w:rsidRPr="001D5327" w14:paraId="5D0EC2C7" w14:textId="77777777" w:rsidTr="00403787">
        <w:tc>
          <w:tcPr>
            <w:tcW w:w="1638" w:type="dxa"/>
            <w:tcBorders>
              <w:top w:val="single" w:sz="2" w:space="0" w:color="1B556B" w:themeColor="text2"/>
            </w:tcBorders>
            <w:shd w:val="clear" w:color="auto" w:fill="auto"/>
          </w:tcPr>
          <w:p w14:paraId="60002F5F" w14:textId="77777777" w:rsidR="00590FE1" w:rsidRPr="001D5327" w:rsidRDefault="00590FE1" w:rsidP="00403787">
            <w:pPr>
              <w:pStyle w:val="TableText"/>
              <w:rPr>
                <w:rFonts w:cs="Calibri"/>
                <w:szCs w:val="16"/>
              </w:rPr>
            </w:pPr>
            <w:r w:rsidRPr="001D5327">
              <w:rPr>
                <w:rFonts w:cs="Calibri"/>
                <w:szCs w:val="16"/>
              </w:rPr>
              <w:t>Dairy cattle</w:t>
            </w:r>
          </w:p>
        </w:tc>
        <w:tc>
          <w:tcPr>
            <w:tcW w:w="914" w:type="dxa"/>
            <w:tcBorders>
              <w:top w:val="single" w:sz="2" w:space="0" w:color="1B556B" w:themeColor="text2"/>
            </w:tcBorders>
            <w:shd w:val="clear" w:color="auto" w:fill="auto"/>
          </w:tcPr>
          <w:p w14:paraId="02264262" w14:textId="77777777" w:rsidR="00590FE1" w:rsidRPr="001D5327" w:rsidRDefault="00590FE1" w:rsidP="00403787">
            <w:pPr>
              <w:pStyle w:val="TableText"/>
              <w:jc w:val="right"/>
              <w:rPr>
                <w:rFonts w:cs="Calibri"/>
                <w:szCs w:val="16"/>
              </w:rPr>
            </w:pPr>
            <w:r w:rsidRPr="001D5327">
              <w:t>6,960.4</w:t>
            </w:r>
          </w:p>
        </w:tc>
        <w:tc>
          <w:tcPr>
            <w:tcW w:w="850" w:type="dxa"/>
            <w:tcBorders>
              <w:top w:val="single" w:sz="2" w:space="0" w:color="1B556B" w:themeColor="text2"/>
            </w:tcBorders>
            <w:shd w:val="clear" w:color="auto" w:fill="auto"/>
          </w:tcPr>
          <w:p w14:paraId="10CD482D" w14:textId="77777777" w:rsidR="00590FE1" w:rsidRPr="001D5327" w:rsidRDefault="00590FE1" w:rsidP="00403787">
            <w:pPr>
              <w:pStyle w:val="TableText"/>
              <w:jc w:val="right"/>
              <w:rPr>
                <w:rFonts w:cs="Calibri"/>
                <w:szCs w:val="16"/>
              </w:rPr>
            </w:pPr>
            <w:r w:rsidRPr="001D5327">
              <w:t>15,590.4</w:t>
            </w:r>
          </w:p>
        </w:tc>
        <w:tc>
          <w:tcPr>
            <w:tcW w:w="631" w:type="dxa"/>
            <w:tcBorders>
              <w:top w:val="single" w:sz="2" w:space="0" w:color="1B556B" w:themeColor="text2"/>
            </w:tcBorders>
            <w:shd w:val="clear" w:color="auto" w:fill="auto"/>
          </w:tcPr>
          <w:p w14:paraId="2E569E06" w14:textId="77777777" w:rsidR="00590FE1" w:rsidRPr="001D5327" w:rsidRDefault="00590FE1" w:rsidP="00403787">
            <w:pPr>
              <w:pStyle w:val="TableText"/>
              <w:jc w:val="right"/>
              <w:rPr>
                <w:rFonts w:cs="Calibri"/>
                <w:szCs w:val="16"/>
              </w:rPr>
            </w:pPr>
            <w:r w:rsidRPr="001D5327">
              <w:t>124.0</w:t>
            </w:r>
          </w:p>
        </w:tc>
        <w:tc>
          <w:tcPr>
            <w:tcW w:w="787" w:type="dxa"/>
            <w:tcBorders>
              <w:top w:val="single" w:sz="2" w:space="0" w:color="1B556B" w:themeColor="text2"/>
            </w:tcBorders>
            <w:shd w:val="clear" w:color="auto" w:fill="auto"/>
          </w:tcPr>
          <w:p w14:paraId="4BF91516" w14:textId="77777777" w:rsidR="00590FE1" w:rsidRPr="001D5327" w:rsidRDefault="00590FE1" w:rsidP="00403787">
            <w:pPr>
              <w:pStyle w:val="TableText"/>
              <w:jc w:val="right"/>
              <w:rPr>
                <w:rFonts w:cs="Calibri"/>
                <w:szCs w:val="16"/>
              </w:rPr>
            </w:pPr>
            <w:r w:rsidRPr="001D5327">
              <w:t>8,630.0</w:t>
            </w:r>
          </w:p>
        </w:tc>
        <w:tc>
          <w:tcPr>
            <w:tcW w:w="1276" w:type="dxa"/>
            <w:tcBorders>
              <w:top w:val="single" w:sz="2" w:space="0" w:color="1B556B" w:themeColor="text2"/>
            </w:tcBorders>
            <w:shd w:val="clear" w:color="auto" w:fill="auto"/>
          </w:tcPr>
          <w:p w14:paraId="2DAABCB8" w14:textId="77777777" w:rsidR="00590FE1" w:rsidRPr="001D5327" w:rsidRDefault="00590FE1" w:rsidP="00403787">
            <w:pPr>
              <w:pStyle w:val="TableText"/>
              <w:jc w:val="right"/>
              <w:rPr>
                <w:rFonts w:cs="Calibri"/>
                <w:szCs w:val="16"/>
              </w:rPr>
            </w:pPr>
            <w:r w:rsidRPr="001D5327">
              <w:t>22.4</w:t>
            </w:r>
          </w:p>
        </w:tc>
        <w:tc>
          <w:tcPr>
            <w:tcW w:w="714" w:type="dxa"/>
            <w:tcBorders>
              <w:top w:val="single" w:sz="2" w:space="0" w:color="1B556B" w:themeColor="text2"/>
            </w:tcBorders>
            <w:shd w:val="clear" w:color="auto" w:fill="auto"/>
          </w:tcPr>
          <w:p w14:paraId="0A169C83" w14:textId="77777777" w:rsidR="00590FE1" w:rsidRPr="001D5327" w:rsidRDefault="00590FE1" w:rsidP="00403787">
            <w:pPr>
              <w:pStyle w:val="TableText"/>
              <w:jc w:val="right"/>
              <w:rPr>
                <w:rFonts w:cs="Calibri"/>
                <w:szCs w:val="16"/>
              </w:rPr>
            </w:pPr>
            <w:r w:rsidRPr="001D5327">
              <w:t>49.2</w:t>
            </w:r>
          </w:p>
        </w:tc>
        <w:tc>
          <w:tcPr>
            <w:tcW w:w="837" w:type="dxa"/>
            <w:tcBorders>
              <w:top w:val="single" w:sz="2" w:space="0" w:color="1B556B" w:themeColor="text2"/>
            </w:tcBorders>
            <w:shd w:val="clear" w:color="auto" w:fill="auto"/>
          </w:tcPr>
          <w:p w14:paraId="207F13E0" w14:textId="77777777" w:rsidR="00590FE1" w:rsidRPr="001D5327" w:rsidRDefault="00590FE1" w:rsidP="00403787">
            <w:pPr>
              <w:pStyle w:val="TableText"/>
              <w:jc w:val="right"/>
              <w:rPr>
                <w:rFonts w:cs="Calibri"/>
                <w:szCs w:val="16"/>
              </w:rPr>
            </w:pPr>
            <w:r w:rsidRPr="001D5327">
              <w:t>18.9</w:t>
            </w:r>
          </w:p>
        </w:tc>
        <w:tc>
          <w:tcPr>
            <w:tcW w:w="858" w:type="dxa"/>
            <w:tcBorders>
              <w:top w:val="single" w:sz="2" w:space="0" w:color="1B556B" w:themeColor="text2"/>
            </w:tcBorders>
            <w:shd w:val="clear" w:color="auto" w:fill="auto"/>
          </w:tcPr>
          <w:p w14:paraId="462A3A63" w14:textId="77777777" w:rsidR="00590FE1" w:rsidRPr="001D5327" w:rsidRDefault="00590FE1" w:rsidP="00403787">
            <w:pPr>
              <w:pStyle w:val="TableText"/>
              <w:jc w:val="right"/>
              <w:rPr>
                <w:rFonts w:cs="Calibri"/>
                <w:szCs w:val="16"/>
              </w:rPr>
            </w:pPr>
            <w:r w:rsidRPr="001D5327">
              <w:t>38.4</w:t>
            </w:r>
          </w:p>
        </w:tc>
      </w:tr>
      <w:tr w:rsidR="00590FE1" w:rsidRPr="001D5327" w14:paraId="5B92D77B" w14:textId="77777777" w:rsidTr="00403787">
        <w:tc>
          <w:tcPr>
            <w:tcW w:w="1638" w:type="dxa"/>
            <w:shd w:val="clear" w:color="auto" w:fill="auto"/>
          </w:tcPr>
          <w:p w14:paraId="1A532BD4" w14:textId="77777777" w:rsidR="00590FE1" w:rsidRPr="001D5327" w:rsidRDefault="00590FE1" w:rsidP="00403787">
            <w:pPr>
              <w:pStyle w:val="TableText"/>
              <w:rPr>
                <w:rFonts w:cs="Calibri"/>
                <w:szCs w:val="16"/>
              </w:rPr>
            </w:pPr>
            <w:r w:rsidRPr="001D5327">
              <w:rPr>
                <w:rFonts w:cs="Calibri"/>
                <w:szCs w:val="16"/>
              </w:rPr>
              <w:t>Non-dairy cattle</w:t>
            </w:r>
          </w:p>
        </w:tc>
        <w:tc>
          <w:tcPr>
            <w:tcW w:w="914" w:type="dxa"/>
            <w:shd w:val="clear" w:color="auto" w:fill="auto"/>
          </w:tcPr>
          <w:p w14:paraId="03C52E33" w14:textId="77777777" w:rsidR="00590FE1" w:rsidRPr="001D5327" w:rsidRDefault="00590FE1" w:rsidP="00403787">
            <w:pPr>
              <w:pStyle w:val="TableText"/>
              <w:jc w:val="right"/>
              <w:rPr>
                <w:rFonts w:cs="Calibri"/>
                <w:szCs w:val="16"/>
              </w:rPr>
            </w:pPr>
            <w:r w:rsidRPr="001D5327">
              <w:t>7,400.7</w:t>
            </w:r>
          </w:p>
        </w:tc>
        <w:tc>
          <w:tcPr>
            <w:tcW w:w="850" w:type="dxa"/>
            <w:shd w:val="clear" w:color="auto" w:fill="auto"/>
          </w:tcPr>
          <w:p w14:paraId="3E8A0743" w14:textId="77777777" w:rsidR="00590FE1" w:rsidRPr="001D5327" w:rsidRDefault="00590FE1" w:rsidP="00403787">
            <w:pPr>
              <w:pStyle w:val="TableText"/>
              <w:jc w:val="right"/>
              <w:rPr>
                <w:rFonts w:cs="Calibri"/>
                <w:szCs w:val="16"/>
              </w:rPr>
            </w:pPr>
            <w:r w:rsidRPr="001D5327">
              <w:t>7,125.9</w:t>
            </w:r>
          </w:p>
        </w:tc>
        <w:tc>
          <w:tcPr>
            <w:tcW w:w="631" w:type="dxa"/>
            <w:shd w:val="clear" w:color="auto" w:fill="auto"/>
          </w:tcPr>
          <w:p w14:paraId="504559AC" w14:textId="606D487F" w:rsidR="00590FE1" w:rsidRPr="001D5327" w:rsidRDefault="0070503C" w:rsidP="00403787">
            <w:pPr>
              <w:pStyle w:val="TableText"/>
              <w:jc w:val="right"/>
              <w:rPr>
                <w:rFonts w:cs="Calibri"/>
                <w:szCs w:val="16"/>
              </w:rPr>
            </w:pPr>
            <w:r>
              <w:t>-</w:t>
            </w:r>
            <w:r w:rsidR="00590FE1" w:rsidRPr="001D5327">
              <w:t>3.7</w:t>
            </w:r>
          </w:p>
        </w:tc>
        <w:tc>
          <w:tcPr>
            <w:tcW w:w="787" w:type="dxa"/>
            <w:shd w:val="clear" w:color="auto" w:fill="auto"/>
          </w:tcPr>
          <w:p w14:paraId="0F8E0E81" w14:textId="51EB1666" w:rsidR="00590FE1" w:rsidRPr="001D5327" w:rsidRDefault="0070503C" w:rsidP="00403787">
            <w:pPr>
              <w:pStyle w:val="TableText"/>
              <w:jc w:val="right"/>
              <w:rPr>
                <w:rFonts w:cs="Calibri"/>
                <w:szCs w:val="16"/>
              </w:rPr>
            </w:pPr>
            <w:r>
              <w:t>-</w:t>
            </w:r>
            <w:r w:rsidR="00590FE1" w:rsidRPr="001D5327">
              <w:t>274.8</w:t>
            </w:r>
          </w:p>
        </w:tc>
        <w:tc>
          <w:tcPr>
            <w:tcW w:w="1276" w:type="dxa"/>
            <w:shd w:val="clear" w:color="auto" w:fill="auto"/>
          </w:tcPr>
          <w:p w14:paraId="57CF175F" w14:textId="77777777" w:rsidR="00590FE1" w:rsidRPr="001D5327" w:rsidRDefault="00590FE1" w:rsidP="00403787">
            <w:pPr>
              <w:pStyle w:val="TableText"/>
              <w:jc w:val="right"/>
              <w:rPr>
                <w:rFonts w:cs="Calibri"/>
                <w:szCs w:val="16"/>
              </w:rPr>
            </w:pPr>
            <w:r w:rsidRPr="001D5327">
              <w:t>23.8</w:t>
            </w:r>
          </w:p>
        </w:tc>
        <w:tc>
          <w:tcPr>
            <w:tcW w:w="714" w:type="dxa"/>
            <w:shd w:val="clear" w:color="auto" w:fill="auto"/>
          </w:tcPr>
          <w:p w14:paraId="3EC06D4E" w14:textId="77777777" w:rsidR="00590FE1" w:rsidRPr="001D5327" w:rsidRDefault="00590FE1" w:rsidP="00403787">
            <w:pPr>
              <w:pStyle w:val="TableText"/>
              <w:jc w:val="right"/>
              <w:rPr>
                <w:rFonts w:cs="Calibri"/>
                <w:szCs w:val="16"/>
              </w:rPr>
            </w:pPr>
            <w:r w:rsidRPr="001D5327">
              <w:t>22.5</w:t>
            </w:r>
          </w:p>
        </w:tc>
        <w:tc>
          <w:tcPr>
            <w:tcW w:w="837" w:type="dxa"/>
            <w:shd w:val="clear" w:color="auto" w:fill="auto"/>
          </w:tcPr>
          <w:p w14:paraId="772E2259" w14:textId="77777777" w:rsidR="00590FE1" w:rsidRPr="001D5327" w:rsidRDefault="00590FE1" w:rsidP="00403787">
            <w:pPr>
              <w:pStyle w:val="TableText"/>
              <w:jc w:val="right"/>
              <w:rPr>
                <w:rFonts w:cs="Calibri"/>
                <w:szCs w:val="16"/>
              </w:rPr>
            </w:pPr>
            <w:r w:rsidRPr="001D5327">
              <w:t>20.0</w:t>
            </w:r>
          </w:p>
        </w:tc>
        <w:tc>
          <w:tcPr>
            <w:tcW w:w="858" w:type="dxa"/>
            <w:shd w:val="clear" w:color="auto" w:fill="auto"/>
          </w:tcPr>
          <w:p w14:paraId="3FE8A871" w14:textId="77777777" w:rsidR="00590FE1" w:rsidRPr="001D5327" w:rsidRDefault="00590FE1" w:rsidP="00403787">
            <w:pPr>
              <w:pStyle w:val="TableText"/>
              <w:jc w:val="right"/>
              <w:rPr>
                <w:rFonts w:cs="Calibri"/>
                <w:szCs w:val="16"/>
              </w:rPr>
            </w:pPr>
            <w:r w:rsidRPr="001D5327">
              <w:t>17.5</w:t>
            </w:r>
          </w:p>
        </w:tc>
      </w:tr>
      <w:tr w:rsidR="00590FE1" w:rsidRPr="001D5327" w14:paraId="452CDCC4" w14:textId="77777777" w:rsidTr="00403787">
        <w:tc>
          <w:tcPr>
            <w:tcW w:w="1638" w:type="dxa"/>
            <w:shd w:val="clear" w:color="auto" w:fill="auto"/>
          </w:tcPr>
          <w:p w14:paraId="2B61811F" w14:textId="77777777" w:rsidR="00590FE1" w:rsidRPr="001D5327" w:rsidRDefault="00590FE1" w:rsidP="00403787">
            <w:pPr>
              <w:pStyle w:val="TableText"/>
              <w:rPr>
                <w:rFonts w:cs="Calibri"/>
                <w:szCs w:val="16"/>
              </w:rPr>
            </w:pPr>
            <w:r w:rsidRPr="001D5327">
              <w:rPr>
                <w:rFonts w:cs="Calibri"/>
                <w:szCs w:val="16"/>
              </w:rPr>
              <w:t>Sheep</w:t>
            </w:r>
          </w:p>
        </w:tc>
        <w:tc>
          <w:tcPr>
            <w:tcW w:w="914" w:type="dxa"/>
            <w:shd w:val="clear" w:color="auto" w:fill="auto"/>
          </w:tcPr>
          <w:p w14:paraId="56A34A44" w14:textId="77777777" w:rsidR="00590FE1" w:rsidRPr="001D5327" w:rsidRDefault="00590FE1" w:rsidP="00403787">
            <w:pPr>
              <w:pStyle w:val="TableText"/>
              <w:jc w:val="right"/>
              <w:rPr>
                <w:rFonts w:cs="Calibri"/>
                <w:szCs w:val="16"/>
              </w:rPr>
            </w:pPr>
            <w:r w:rsidRPr="001D5327">
              <w:t>15,949.8</w:t>
            </w:r>
          </w:p>
        </w:tc>
        <w:tc>
          <w:tcPr>
            <w:tcW w:w="850" w:type="dxa"/>
            <w:shd w:val="clear" w:color="auto" w:fill="auto"/>
          </w:tcPr>
          <w:p w14:paraId="516501E5" w14:textId="77777777" w:rsidR="00590FE1" w:rsidRPr="001D5327" w:rsidRDefault="00590FE1" w:rsidP="00403787">
            <w:pPr>
              <w:pStyle w:val="TableText"/>
              <w:jc w:val="right"/>
              <w:rPr>
                <w:rFonts w:cs="Calibri"/>
                <w:szCs w:val="16"/>
              </w:rPr>
            </w:pPr>
            <w:r w:rsidRPr="001D5327">
              <w:t>8,493.7</w:t>
            </w:r>
          </w:p>
        </w:tc>
        <w:tc>
          <w:tcPr>
            <w:tcW w:w="631" w:type="dxa"/>
            <w:shd w:val="clear" w:color="auto" w:fill="auto"/>
          </w:tcPr>
          <w:p w14:paraId="2B069D50" w14:textId="6D9333DC" w:rsidR="00590FE1" w:rsidRPr="001D5327" w:rsidRDefault="0070503C" w:rsidP="00403787">
            <w:pPr>
              <w:pStyle w:val="TableText"/>
              <w:jc w:val="right"/>
              <w:rPr>
                <w:rFonts w:cs="Calibri"/>
                <w:szCs w:val="16"/>
              </w:rPr>
            </w:pPr>
            <w:r>
              <w:t>-</w:t>
            </w:r>
            <w:r w:rsidR="00590FE1" w:rsidRPr="001D5327">
              <w:t>46.7</w:t>
            </w:r>
          </w:p>
        </w:tc>
        <w:tc>
          <w:tcPr>
            <w:tcW w:w="787" w:type="dxa"/>
            <w:shd w:val="clear" w:color="auto" w:fill="auto"/>
          </w:tcPr>
          <w:p w14:paraId="37CDC7DA" w14:textId="0D171FAC" w:rsidR="00590FE1" w:rsidRPr="001D5327" w:rsidRDefault="0070503C" w:rsidP="00403787">
            <w:pPr>
              <w:pStyle w:val="TableText"/>
              <w:jc w:val="right"/>
              <w:rPr>
                <w:rFonts w:cs="Calibri"/>
                <w:szCs w:val="16"/>
              </w:rPr>
            </w:pPr>
            <w:r>
              <w:t>-</w:t>
            </w:r>
            <w:r w:rsidR="00590FE1" w:rsidRPr="001D5327">
              <w:t>7,456.1</w:t>
            </w:r>
          </w:p>
        </w:tc>
        <w:tc>
          <w:tcPr>
            <w:tcW w:w="1276" w:type="dxa"/>
            <w:shd w:val="clear" w:color="auto" w:fill="auto"/>
          </w:tcPr>
          <w:p w14:paraId="6C78BC1A" w14:textId="77777777" w:rsidR="00590FE1" w:rsidRPr="001D5327" w:rsidRDefault="00590FE1" w:rsidP="00403787">
            <w:pPr>
              <w:pStyle w:val="TableText"/>
              <w:jc w:val="right"/>
              <w:rPr>
                <w:rFonts w:cs="Calibri"/>
                <w:szCs w:val="16"/>
              </w:rPr>
            </w:pPr>
            <w:r w:rsidRPr="001D5327">
              <w:t>51.4</w:t>
            </w:r>
          </w:p>
        </w:tc>
        <w:tc>
          <w:tcPr>
            <w:tcW w:w="714" w:type="dxa"/>
            <w:shd w:val="clear" w:color="auto" w:fill="auto"/>
          </w:tcPr>
          <w:p w14:paraId="6ED51D57" w14:textId="77777777" w:rsidR="00590FE1" w:rsidRPr="001D5327" w:rsidRDefault="00590FE1" w:rsidP="00403787">
            <w:pPr>
              <w:pStyle w:val="TableText"/>
              <w:jc w:val="right"/>
              <w:rPr>
                <w:rFonts w:cs="Calibri"/>
                <w:szCs w:val="16"/>
              </w:rPr>
            </w:pPr>
            <w:r w:rsidRPr="001D5327">
              <w:t>26.8</w:t>
            </w:r>
          </w:p>
        </w:tc>
        <w:tc>
          <w:tcPr>
            <w:tcW w:w="837" w:type="dxa"/>
            <w:shd w:val="clear" w:color="auto" w:fill="auto"/>
          </w:tcPr>
          <w:p w14:paraId="00D38207" w14:textId="77777777" w:rsidR="00590FE1" w:rsidRPr="001D5327" w:rsidRDefault="00590FE1" w:rsidP="00403787">
            <w:pPr>
              <w:pStyle w:val="TableText"/>
              <w:jc w:val="right"/>
              <w:rPr>
                <w:rFonts w:cs="Calibri"/>
                <w:szCs w:val="16"/>
              </w:rPr>
            </w:pPr>
            <w:r w:rsidRPr="001D5327">
              <w:t>43.2</w:t>
            </w:r>
          </w:p>
        </w:tc>
        <w:tc>
          <w:tcPr>
            <w:tcW w:w="858" w:type="dxa"/>
            <w:shd w:val="clear" w:color="auto" w:fill="auto"/>
          </w:tcPr>
          <w:p w14:paraId="4D2FFDEA" w14:textId="77777777" w:rsidR="00590FE1" w:rsidRPr="001D5327" w:rsidRDefault="00590FE1" w:rsidP="00403787">
            <w:pPr>
              <w:pStyle w:val="TableText"/>
              <w:jc w:val="right"/>
              <w:rPr>
                <w:rFonts w:cs="Calibri"/>
                <w:szCs w:val="16"/>
              </w:rPr>
            </w:pPr>
            <w:r w:rsidRPr="001D5327">
              <w:t>20.9</w:t>
            </w:r>
          </w:p>
        </w:tc>
      </w:tr>
      <w:tr w:rsidR="00590FE1" w:rsidRPr="001D5327" w14:paraId="273AB875" w14:textId="77777777" w:rsidTr="00403787">
        <w:tc>
          <w:tcPr>
            <w:tcW w:w="1638" w:type="dxa"/>
            <w:shd w:val="clear" w:color="auto" w:fill="auto"/>
          </w:tcPr>
          <w:p w14:paraId="651E1994" w14:textId="77777777" w:rsidR="00590FE1" w:rsidRPr="001D5327" w:rsidRDefault="00590FE1" w:rsidP="00403787">
            <w:pPr>
              <w:pStyle w:val="TableText"/>
              <w:rPr>
                <w:rFonts w:cs="Calibri"/>
                <w:szCs w:val="16"/>
              </w:rPr>
            </w:pPr>
            <w:r w:rsidRPr="001D5327">
              <w:rPr>
                <w:rFonts w:cs="Calibri"/>
                <w:szCs w:val="16"/>
              </w:rPr>
              <w:t>Deer</w:t>
            </w:r>
          </w:p>
        </w:tc>
        <w:tc>
          <w:tcPr>
            <w:tcW w:w="914" w:type="dxa"/>
            <w:shd w:val="clear" w:color="auto" w:fill="auto"/>
          </w:tcPr>
          <w:p w14:paraId="4EC81C74" w14:textId="77777777" w:rsidR="00590FE1" w:rsidRPr="001D5327" w:rsidRDefault="00590FE1" w:rsidP="00403787">
            <w:pPr>
              <w:pStyle w:val="TableText"/>
              <w:jc w:val="right"/>
              <w:rPr>
                <w:rFonts w:cs="Calibri"/>
                <w:szCs w:val="16"/>
              </w:rPr>
            </w:pPr>
            <w:r w:rsidRPr="001D5327">
              <w:t>444.4</w:t>
            </w:r>
          </w:p>
        </w:tc>
        <w:tc>
          <w:tcPr>
            <w:tcW w:w="850" w:type="dxa"/>
            <w:shd w:val="clear" w:color="auto" w:fill="auto"/>
          </w:tcPr>
          <w:p w14:paraId="6DF8783D" w14:textId="77777777" w:rsidR="00590FE1" w:rsidRPr="001D5327" w:rsidRDefault="00590FE1" w:rsidP="00403787">
            <w:pPr>
              <w:pStyle w:val="TableText"/>
              <w:jc w:val="right"/>
              <w:rPr>
                <w:rFonts w:cs="Calibri"/>
                <w:szCs w:val="16"/>
              </w:rPr>
            </w:pPr>
            <w:r w:rsidRPr="001D5327">
              <w:t>406.2</w:t>
            </w:r>
          </w:p>
        </w:tc>
        <w:tc>
          <w:tcPr>
            <w:tcW w:w="631" w:type="dxa"/>
            <w:shd w:val="clear" w:color="auto" w:fill="auto"/>
          </w:tcPr>
          <w:p w14:paraId="70299DCA" w14:textId="2920500C" w:rsidR="00590FE1" w:rsidRPr="001D5327" w:rsidRDefault="0070503C" w:rsidP="00403787">
            <w:pPr>
              <w:pStyle w:val="TableText"/>
              <w:jc w:val="right"/>
              <w:rPr>
                <w:rFonts w:cs="Calibri"/>
                <w:szCs w:val="16"/>
              </w:rPr>
            </w:pPr>
            <w:r>
              <w:t>-</w:t>
            </w:r>
            <w:r w:rsidR="00590FE1" w:rsidRPr="001D5327">
              <w:t>8.6</w:t>
            </w:r>
          </w:p>
        </w:tc>
        <w:tc>
          <w:tcPr>
            <w:tcW w:w="787" w:type="dxa"/>
            <w:shd w:val="clear" w:color="auto" w:fill="auto"/>
          </w:tcPr>
          <w:p w14:paraId="0797424D" w14:textId="70A7BDA3" w:rsidR="00590FE1" w:rsidRPr="001D5327" w:rsidRDefault="0070503C" w:rsidP="00403787">
            <w:pPr>
              <w:pStyle w:val="TableText"/>
              <w:jc w:val="right"/>
              <w:rPr>
                <w:rFonts w:cs="Calibri"/>
                <w:szCs w:val="16"/>
              </w:rPr>
            </w:pPr>
            <w:r>
              <w:t>-</w:t>
            </w:r>
            <w:r w:rsidR="00590FE1" w:rsidRPr="001D5327">
              <w:t>38.3</w:t>
            </w:r>
          </w:p>
        </w:tc>
        <w:tc>
          <w:tcPr>
            <w:tcW w:w="1276" w:type="dxa"/>
            <w:shd w:val="clear" w:color="auto" w:fill="auto"/>
          </w:tcPr>
          <w:p w14:paraId="50D73773" w14:textId="77777777" w:rsidR="00590FE1" w:rsidRPr="001D5327" w:rsidRDefault="00590FE1" w:rsidP="00403787">
            <w:pPr>
              <w:pStyle w:val="TableText"/>
              <w:jc w:val="right"/>
              <w:rPr>
                <w:rFonts w:cs="Calibri"/>
                <w:szCs w:val="16"/>
              </w:rPr>
            </w:pPr>
            <w:r w:rsidRPr="001D5327">
              <w:t>1.4</w:t>
            </w:r>
          </w:p>
        </w:tc>
        <w:tc>
          <w:tcPr>
            <w:tcW w:w="714" w:type="dxa"/>
            <w:shd w:val="clear" w:color="auto" w:fill="auto"/>
          </w:tcPr>
          <w:p w14:paraId="6B770872" w14:textId="77777777" w:rsidR="00590FE1" w:rsidRPr="001D5327" w:rsidRDefault="00590FE1" w:rsidP="00403787">
            <w:pPr>
              <w:pStyle w:val="TableText"/>
              <w:jc w:val="right"/>
              <w:rPr>
                <w:rFonts w:cs="Calibri"/>
                <w:szCs w:val="16"/>
              </w:rPr>
            </w:pPr>
            <w:r w:rsidRPr="001D5327">
              <w:t>1.3</w:t>
            </w:r>
          </w:p>
        </w:tc>
        <w:tc>
          <w:tcPr>
            <w:tcW w:w="837" w:type="dxa"/>
            <w:shd w:val="clear" w:color="auto" w:fill="auto"/>
          </w:tcPr>
          <w:p w14:paraId="508BFD2B" w14:textId="77777777" w:rsidR="00590FE1" w:rsidRPr="001D5327" w:rsidRDefault="00590FE1" w:rsidP="00403787">
            <w:pPr>
              <w:pStyle w:val="TableText"/>
              <w:jc w:val="right"/>
              <w:rPr>
                <w:rFonts w:cs="Calibri"/>
                <w:szCs w:val="16"/>
              </w:rPr>
            </w:pPr>
            <w:r w:rsidRPr="001D5327">
              <w:t>1.2</w:t>
            </w:r>
          </w:p>
        </w:tc>
        <w:tc>
          <w:tcPr>
            <w:tcW w:w="858" w:type="dxa"/>
            <w:shd w:val="clear" w:color="auto" w:fill="auto"/>
          </w:tcPr>
          <w:p w14:paraId="257C28EC" w14:textId="77777777" w:rsidR="00590FE1" w:rsidRPr="001D5327" w:rsidRDefault="00590FE1" w:rsidP="00403787">
            <w:pPr>
              <w:pStyle w:val="TableText"/>
              <w:jc w:val="right"/>
              <w:rPr>
                <w:rFonts w:cs="Calibri"/>
                <w:szCs w:val="16"/>
              </w:rPr>
            </w:pPr>
            <w:r w:rsidRPr="001D5327">
              <w:t>1.0</w:t>
            </w:r>
          </w:p>
        </w:tc>
      </w:tr>
      <w:tr w:rsidR="00590FE1" w:rsidRPr="001D5327" w14:paraId="0666FFF5" w14:textId="77777777" w:rsidTr="00403787">
        <w:tc>
          <w:tcPr>
            <w:tcW w:w="1638" w:type="dxa"/>
            <w:shd w:val="clear" w:color="auto" w:fill="auto"/>
          </w:tcPr>
          <w:p w14:paraId="12C3285D" w14:textId="77777777" w:rsidR="00590FE1" w:rsidRPr="001D5327" w:rsidRDefault="00590FE1" w:rsidP="00403787">
            <w:pPr>
              <w:pStyle w:val="TableText"/>
              <w:rPr>
                <w:rFonts w:cs="Calibri"/>
                <w:szCs w:val="16"/>
              </w:rPr>
            </w:pPr>
            <w:r w:rsidRPr="001D5327">
              <w:rPr>
                <w:rFonts w:cs="Calibri"/>
                <w:szCs w:val="16"/>
              </w:rPr>
              <w:t>Minor livestock</w:t>
            </w:r>
          </w:p>
        </w:tc>
        <w:tc>
          <w:tcPr>
            <w:tcW w:w="914" w:type="dxa"/>
            <w:shd w:val="clear" w:color="auto" w:fill="auto"/>
          </w:tcPr>
          <w:p w14:paraId="63F032AD" w14:textId="77777777" w:rsidR="00590FE1" w:rsidRPr="001D5327" w:rsidRDefault="00590FE1" w:rsidP="00403787">
            <w:pPr>
              <w:pStyle w:val="TableText"/>
              <w:jc w:val="right"/>
              <w:rPr>
                <w:rFonts w:cs="Calibri"/>
                <w:szCs w:val="16"/>
              </w:rPr>
            </w:pPr>
            <w:r w:rsidRPr="001D5327">
              <w:t>279.5</w:t>
            </w:r>
          </w:p>
        </w:tc>
        <w:tc>
          <w:tcPr>
            <w:tcW w:w="850" w:type="dxa"/>
            <w:shd w:val="clear" w:color="auto" w:fill="auto"/>
          </w:tcPr>
          <w:p w14:paraId="10D50E36" w14:textId="77777777" w:rsidR="00590FE1" w:rsidRPr="001D5327" w:rsidRDefault="00590FE1" w:rsidP="00403787">
            <w:pPr>
              <w:pStyle w:val="TableText"/>
              <w:jc w:val="right"/>
              <w:rPr>
                <w:rFonts w:cs="Calibri"/>
                <w:szCs w:val="16"/>
              </w:rPr>
            </w:pPr>
            <w:r w:rsidRPr="001D5327">
              <w:t>45.6</w:t>
            </w:r>
          </w:p>
        </w:tc>
        <w:tc>
          <w:tcPr>
            <w:tcW w:w="631" w:type="dxa"/>
            <w:shd w:val="clear" w:color="auto" w:fill="auto"/>
          </w:tcPr>
          <w:p w14:paraId="588EEEA7" w14:textId="5225C3CB" w:rsidR="00590FE1" w:rsidRPr="001D5327" w:rsidRDefault="0070503C" w:rsidP="00403787">
            <w:pPr>
              <w:pStyle w:val="TableText"/>
              <w:jc w:val="right"/>
              <w:rPr>
                <w:rFonts w:cs="Calibri"/>
                <w:szCs w:val="16"/>
              </w:rPr>
            </w:pPr>
            <w:r>
              <w:t>-</w:t>
            </w:r>
            <w:r w:rsidR="00590FE1" w:rsidRPr="001D5327">
              <w:t>83.7</w:t>
            </w:r>
          </w:p>
        </w:tc>
        <w:tc>
          <w:tcPr>
            <w:tcW w:w="787" w:type="dxa"/>
            <w:shd w:val="clear" w:color="auto" w:fill="auto"/>
          </w:tcPr>
          <w:p w14:paraId="7E666FFB" w14:textId="45A4E1EC" w:rsidR="00590FE1" w:rsidRPr="001D5327" w:rsidRDefault="0070503C" w:rsidP="00403787">
            <w:pPr>
              <w:pStyle w:val="TableText"/>
              <w:jc w:val="right"/>
              <w:rPr>
                <w:rFonts w:cs="Calibri"/>
                <w:szCs w:val="16"/>
              </w:rPr>
            </w:pPr>
            <w:r>
              <w:t>-</w:t>
            </w:r>
            <w:r w:rsidR="00590FE1" w:rsidRPr="001D5327">
              <w:t>234.0</w:t>
            </w:r>
          </w:p>
        </w:tc>
        <w:tc>
          <w:tcPr>
            <w:tcW w:w="1276" w:type="dxa"/>
            <w:shd w:val="clear" w:color="auto" w:fill="auto"/>
          </w:tcPr>
          <w:p w14:paraId="3AE2DEEE" w14:textId="77777777" w:rsidR="00590FE1" w:rsidRPr="001D5327" w:rsidRDefault="00590FE1" w:rsidP="00403787">
            <w:pPr>
              <w:pStyle w:val="TableText"/>
              <w:jc w:val="right"/>
              <w:rPr>
                <w:rFonts w:cs="Calibri"/>
                <w:szCs w:val="16"/>
              </w:rPr>
            </w:pPr>
            <w:r w:rsidRPr="001D5327">
              <w:t>0.9</w:t>
            </w:r>
          </w:p>
        </w:tc>
        <w:tc>
          <w:tcPr>
            <w:tcW w:w="714" w:type="dxa"/>
            <w:shd w:val="clear" w:color="auto" w:fill="auto"/>
          </w:tcPr>
          <w:p w14:paraId="2C8F15EC" w14:textId="77777777" w:rsidR="00590FE1" w:rsidRPr="001D5327" w:rsidRDefault="00590FE1" w:rsidP="00403787">
            <w:pPr>
              <w:pStyle w:val="TableText"/>
              <w:jc w:val="right"/>
              <w:rPr>
                <w:rFonts w:cs="Calibri"/>
                <w:szCs w:val="16"/>
              </w:rPr>
            </w:pPr>
            <w:r w:rsidRPr="001D5327">
              <w:t>0.1</w:t>
            </w:r>
          </w:p>
        </w:tc>
        <w:tc>
          <w:tcPr>
            <w:tcW w:w="837" w:type="dxa"/>
            <w:shd w:val="clear" w:color="auto" w:fill="auto"/>
          </w:tcPr>
          <w:p w14:paraId="0848C0D3" w14:textId="77777777" w:rsidR="00590FE1" w:rsidRPr="001D5327" w:rsidRDefault="00590FE1" w:rsidP="00403787">
            <w:pPr>
              <w:pStyle w:val="TableText"/>
              <w:jc w:val="right"/>
              <w:rPr>
                <w:rFonts w:cs="Calibri"/>
                <w:szCs w:val="16"/>
              </w:rPr>
            </w:pPr>
            <w:r w:rsidRPr="001D5327">
              <w:t>0.8</w:t>
            </w:r>
          </w:p>
        </w:tc>
        <w:tc>
          <w:tcPr>
            <w:tcW w:w="858" w:type="dxa"/>
            <w:shd w:val="clear" w:color="auto" w:fill="auto"/>
          </w:tcPr>
          <w:p w14:paraId="6A1A1A11" w14:textId="77777777" w:rsidR="00590FE1" w:rsidRPr="001D5327" w:rsidRDefault="00590FE1" w:rsidP="00403787">
            <w:pPr>
              <w:pStyle w:val="TableText"/>
              <w:jc w:val="right"/>
              <w:rPr>
                <w:rFonts w:cs="Calibri"/>
                <w:szCs w:val="16"/>
              </w:rPr>
            </w:pPr>
            <w:r w:rsidRPr="001D5327">
              <w:t>0.1</w:t>
            </w:r>
          </w:p>
        </w:tc>
      </w:tr>
      <w:tr w:rsidR="00590FE1" w:rsidRPr="001D5327" w14:paraId="582600C0" w14:textId="77777777" w:rsidTr="00403787">
        <w:tc>
          <w:tcPr>
            <w:tcW w:w="1638" w:type="dxa"/>
            <w:shd w:val="clear" w:color="auto" w:fill="auto"/>
          </w:tcPr>
          <w:p w14:paraId="3875FE32" w14:textId="77777777" w:rsidR="00590FE1" w:rsidRPr="001D5327" w:rsidRDefault="00590FE1" w:rsidP="0020388D">
            <w:pPr>
              <w:pStyle w:val="Tableboldblue"/>
            </w:pPr>
            <w:r w:rsidRPr="001D5327">
              <w:t>Total</w:t>
            </w:r>
          </w:p>
        </w:tc>
        <w:tc>
          <w:tcPr>
            <w:tcW w:w="914" w:type="dxa"/>
            <w:shd w:val="clear" w:color="auto" w:fill="auto"/>
          </w:tcPr>
          <w:p w14:paraId="21A593BD" w14:textId="77777777" w:rsidR="00590FE1" w:rsidRPr="001D5327" w:rsidRDefault="00590FE1" w:rsidP="0020388D">
            <w:pPr>
              <w:pStyle w:val="Tableboldblue"/>
              <w:jc w:val="right"/>
            </w:pPr>
            <w:r w:rsidRPr="001D5327">
              <w:t>31,034.9</w:t>
            </w:r>
          </w:p>
        </w:tc>
        <w:tc>
          <w:tcPr>
            <w:tcW w:w="850" w:type="dxa"/>
            <w:shd w:val="clear" w:color="auto" w:fill="auto"/>
          </w:tcPr>
          <w:p w14:paraId="68218FC0" w14:textId="77777777" w:rsidR="00590FE1" w:rsidRPr="001D5327" w:rsidRDefault="00590FE1" w:rsidP="0020388D">
            <w:pPr>
              <w:pStyle w:val="Tableboldblue"/>
              <w:jc w:val="right"/>
            </w:pPr>
            <w:r w:rsidRPr="001D5327">
              <w:t>31,661.7</w:t>
            </w:r>
          </w:p>
        </w:tc>
        <w:tc>
          <w:tcPr>
            <w:tcW w:w="631" w:type="dxa"/>
            <w:shd w:val="clear" w:color="auto" w:fill="auto"/>
          </w:tcPr>
          <w:p w14:paraId="6A94ADA3" w14:textId="77777777" w:rsidR="00590FE1" w:rsidRPr="001D5327" w:rsidRDefault="00590FE1" w:rsidP="0020388D">
            <w:pPr>
              <w:pStyle w:val="Tableboldblue"/>
              <w:jc w:val="right"/>
            </w:pPr>
            <w:r w:rsidRPr="001D5327">
              <w:t>2.0</w:t>
            </w:r>
          </w:p>
        </w:tc>
        <w:tc>
          <w:tcPr>
            <w:tcW w:w="787" w:type="dxa"/>
            <w:shd w:val="clear" w:color="auto" w:fill="auto"/>
          </w:tcPr>
          <w:p w14:paraId="64D62DD7" w14:textId="77777777" w:rsidR="00590FE1" w:rsidRPr="001D5327" w:rsidRDefault="00590FE1" w:rsidP="0020388D">
            <w:pPr>
              <w:pStyle w:val="Tableboldblue"/>
              <w:jc w:val="right"/>
            </w:pPr>
            <w:r w:rsidRPr="001D5327">
              <w:t>626.8</w:t>
            </w:r>
          </w:p>
        </w:tc>
        <w:tc>
          <w:tcPr>
            <w:tcW w:w="1276" w:type="dxa"/>
            <w:shd w:val="clear" w:color="auto" w:fill="auto"/>
          </w:tcPr>
          <w:p w14:paraId="07A972F7" w14:textId="77777777" w:rsidR="00590FE1" w:rsidRPr="001D5327" w:rsidRDefault="00590FE1" w:rsidP="0020388D">
            <w:pPr>
              <w:pStyle w:val="Tableboldblue"/>
              <w:jc w:val="right"/>
            </w:pPr>
            <w:r w:rsidRPr="001D5327">
              <w:t>100.0</w:t>
            </w:r>
          </w:p>
        </w:tc>
        <w:tc>
          <w:tcPr>
            <w:tcW w:w="714" w:type="dxa"/>
            <w:shd w:val="clear" w:color="auto" w:fill="auto"/>
          </w:tcPr>
          <w:p w14:paraId="0AAC29C0" w14:textId="77777777" w:rsidR="00590FE1" w:rsidRPr="001D5327" w:rsidRDefault="00590FE1" w:rsidP="0020388D">
            <w:pPr>
              <w:pStyle w:val="Tableboldblue"/>
              <w:jc w:val="right"/>
            </w:pPr>
            <w:r w:rsidRPr="001D5327">
              <w:t>100.0</w:t>
            </w:r>
          </w:p>
        </w:tc>
        <w:tc>
          <w:tcPr>
            <w:tcW w:w="837" w:type="dxa"/>
            <w:shd w:val="clear" w:color="auto" w:fill="auto"/>
          </w:tcPr>
          <w:p w14:paraId="09CA7130" w14:textId="77777777" w:rsidR="00590FE1" w:rsidRPr="001D5327" w:rsidRDefault="00590FE1" w:rsidP="0020388D">
            <w:pPr>
              <w:pStyle w:val="Tableboldblue"/>
              <w:jc w:val="right"/>
            </w:pPr>
            <w:r w:rsidRPr="001D5327">
              <w:t>84.1</w:t>
            </w:r>
          </w:p>
        </w:tc>
        <w:tc>
          <w:tcPr>
            <w:tcW w:w="858" w:type="dxa"/>
            <w:shd w:val="clear" w:color="auto" w:fill="auto"/>
          </w:tcPr>
          <w:p w14:paraId="3664E806" w14:textId="77777777" w:rsidR="00590FE1" w:rsidRPr="001D5327" w:rsidRDefault="00590FE1" w:rsidP="0020388D">
            <w:pPr>
              <w:pStyle w:val="Tableboldblue"/>
              <w:jc w:val="right"/>
            </w:pPr>
            <w:r w:rsidRPr="001D5327">
              <w:t>78.0</w:t>
            </w:r>
          </w:p>
        </w:tc>
      </w:tr>
    </w:tbl>
    <w:p w14:paraId="44F7A608" w14:textId="77777777" w:rsidR="00590FE1" w:rsidRPr="001D5327" w:rsidRDefault="00590FE1" w:rsidP="00590FE1">
      <w:pPr>
        <w:pStyle w:val="Noteundertable"/>
        <w:rPr>
          <w:rFonts w:cs="Calibri"/>
        </w:rPr>
      </w:pPr>
      <w:r w:rsidRPr="001D5327">
        <w:rPr>
          <w:rFonts w:cs="Calibri"/>
          <w:b/>
          <w:bCs/>
        </w:rPr>
        <w:t>Note</w:t>
      </w:r>
      <w:r w:rsidRPr="001D5327">
        <w:rPr>
          <w:rFonts w:cs="Calibri"/>
        </w:rPr>
        <w:t>:</w:t>
      </w:r>
      <w:r w:rsidRPr="001D5327">
        <w:rPr>
          <w:rFonts w:cs="Calibri"/>
        </w:rPr>
        <w:tab/>
        <w:t>Percentages presented are calculated from unrounded values.</w:t>
      </w:r>
    </w:p>
    <w:p w14:paraId="6BA96A67" w14:textId="77777777" w:rsidR="00590FE1" w:rsidRPr="001D5327" w:rsidRDefault="00590FE1" w:rsidP="00590FE1">
      <w:pPr>
        <w:pStyle w:val="Heading3"/>
      </w:pPr>
      <w:bookmarkStart w:id="754" w:name="_Toc32570652"/>
      <w:r w:rsidRPr="001D5327">
        <w:t>5.2.2</w:t>
      </w:r>
      <w:r w:rsidRPr="001D5327">
        <w:tab/>
      </w:r>
      <w:bookmarkStart w:id="755" w:name="_Hlk154135484"/>
      <w:r w:rsidRPr="001D5327">
        <w:t>Methodological issues</w:t>
      </w:r>
      <w:bookmarkEnd w:id="753"/>
      <w:bookmarkEnd w:id="754"/>
      <w:r w:rsidRPr="001D5327">
        <w:t xml:space="preserve"> </w:t>
      </w:r>
      <w:bookmarkEnd w:id="755"/>
    </w:p>
    <w:p w14:paraId="5D63E807" w14:textId="77777777" w:rsidR="00590FE1" w:rsidRPr="001D5327" w:rsidRDefault="00590FE1" w:rsidP="00590FE1">
      <w:pPr>
        <w:pStyle w:val="Heading4"/>
        <w:spacing w:before="160"/>
      </w:pPr>
      <w:r w:rsidRPr="001D5327">
        <w:t xml:space="preserve">Emissions from </w:t>
      </w:r>
      <w:r w:rsidRPr="00CC4829">
        <w:rPr>
          <w:i/>
          <w:iCs/>
        </w:rPr>
        <w:t>Non-dairy cattle</w:t>
      </w:r>
      <w:r w:rsidRPr="001D5327">
        <w:t xml:space="preserve">, </w:t>
      </w:r>
      <w:r w:rsidRPr="00CC4829">
        <w:rPr>
          <w:i/>
          <w:iCs/>
        </w:rPr>
        <w:t>Dairy cattle</w:t>
      </w:r>
      <w:r w:rsidRPr="001D5327">
        <w:t xml:space="preserve"> and </w:t>
      </w:r>
      <w:r w:rsidRPr="00CC4829">
        <w:rPr>
          <w:i/>
          <w:iCs/>
        </w:rPr>
        <w:t>Deer</w:t>
      </w:r>
    </w:p>
    <w:p w14:paraId="5CC94310" w14:textId="77777777" w:rsidR="00590FE1" w:rsidRPr="001D5327" w:rsidRDefault="00590FE1" w:rsidP="00590FE1">
      <w:pPr>
        <w:pStyle w:val="BodyText"/>
        <w:rPr>
          <w:rFonts w:cs="Calibri"/>
        </w:rPr>
      </w:pPr>
      <w:r w:rsidRPr="001D5327">
        <w:rPr>
          <w:rFonts w:cs="Calibri"/>
        </w:rPr>
        <w:t>The total amount of enteric CH</w:t>
      </w:r>
      <w:r w:rsidRPr="001D5327">
        <w:rPr>
          <w:rFonts w:cs="Calibri"/>
          <w:vertAlign w:val="subscript"/>
        </w:rPr>
        <w:t>4</w:t>
      </w:r>
      <w:r w:rsidRPr="001D5327">
        <w:rPr>
          <w:rFonts w:cs="Calibri"/>
        </w:rPr>
        <w:t xml:space="preserve"> emitted by </w:t>
      </w:r>
      <w:r w:rsidRPr="001D5327">
        <w:rPr>
          <w:rFonts w:cs="Calibri"/>
          <w:i/>
          <w:iCs/>
        </w:rPr>
        <w:t>Non-dairy cattle, Dairy cattle</w:t>
      </w:r>
      <w:r w:rsidRPr="001D5327">
        <w:rPr>
          <w:rFonts w:cs="Calibri"/>
        </w:rPr>
        <w:t xml:space="preserve"> and </w:t>
      </w:r>
      <w:r w:rsidRPr="001D5327">
        <w:rPr>
          <w:rFonts w:cs="Calibri"/>
          <w:i/>
          <w:iCs/>
        </w:rPr>
        <w:t>Deer</w:t>
      </w:r>
      <w:r w:rsidRPr="001D5327">
        <w:rPr>
          <w:rFonts w:cs="Calibri"/>
        </w:rPr>
        <w:t xml:space="preserve"> is calculated using a CH</w:t>
      </w:r>
      <w:r w:rsidRPr="001D5327">
        <w:rPr>
          <w:rFonts w:cs="Calibri"/>
          <w:vertAlign w:val="subscript"/>
        </w:rPr>
        <w:t>4</w:t>
      </w:r>
      <w:r w:rsidRPr="001D5327">
        <w:rPr>
          <w:rFonts w:cs="Calibri"/>
        </w:rPr>
        <w:t xml:space="preserve"> conversion factor for emissions per unit of dry matter feed intake in kilograms of DMI per livestock category (see figure 5.2.1). The enhanced livestock population characterisation and DMI per head is calculated by New Zealand’s Tier 2 inventory model (see section 5.1.3).</w:t>
      </w:r>
      <w:r w:rsidRPr="001D5327">
        <w:rPr>
          <w:rFonts w:cs="Calibri"/>
          <w:i/>
        </w:rPr>
        <w:t xml:space="preserve"> </w:t>
      </w:r>
      <w:r w:rsidRPr="001D5327">
        <w:rPr>
          <w:rFonts w:cs="Calibri"/>
        </w:rPr>
        <w:t>A more complex algorithm has been used to calculate enteric CH</w:t>
      </w:r>
      <w:r w:rsidRPr="001D5327">
        <w:rPr>
          <w:rFonts w:cs="Calibri"/>
          <w:vertAlign w:val="subscript"/>
        </w:rPr>
        <w:t>4</w:t>
      </w:r>
      <w:r w:rsidRPr="001D5327">
        <w:rPr>
          <w:rFonts w:cs="Calibri"/>
        </w:rPr>
        <w:t xml:space="preserve"> emissions for </w:t>
      </w:r>
      <w:r w:rsidRPr="001D5327">
        <w:rPr>
          <w:rFonts w:cs="Calibri"/>
          <w:i/>
          <w:iCs/>
        </w:rPr>
        <w:t>Sheep</w:t>
      </w:r>
      <w:r w:rsidRPr="001D5327">
        <w:rPr>
          <w:rFonts w:cs="Calibri"/>
        </w:rPr>
        <w:t xml:space="preserve"> and is discussed in the next section.</w:t>
      </w:r>
    </w:p>
    <w:p w14:paraId="301E9395" w14:textId="77777777" w:rsidR="00590FE1" w:rsidRPr="001D5327" w:rsidRDefault="00590FE1" w:rsidP="00590FE1">
      <w:pPr>
        <w:pStyle w:val="Figure"/>
      </w:pPr>
      <w:bookmarkStart w:id="756" w:name="_Toc447275695"/>
      <w:bookmarkStart w:id="757" w:name="_Toc481752013"/>
      <w:bookmarkStart w:id="758" w:name="_Toc507158472"/>
      <w:bookmarkStart w:id="759" w:name="_Toc511116963"/>
      <w:bookmarkStart w:id="760" w:name="_Toc5269693"/>
      <w:bookmarkStart w:id="761" w:name="_Toc32570964"/>
      <w:bookmarkStart w:id="762" w:name="_Toc36292794"/>
      <w:bookmarkStart w:id="763" w:name="_Toc68786659"/>
      <w:bookmarkStart w:id="764" w:name="_Toc95574120"/>
      <w:bookmarkStart w:id="765" w:name="_Toc127458559"/>
      <w:bookmarkStart w:id="766" w:name="_Toc131591561"/>
      <w:bookmarkStart w:id="767" w:name="_Toc164154029"/>
      <w:bookmarkStart w:id="768" w:name="_Toc194674862"/>
      <w:bookmarkStart w:id="769" w:name="_Toc288316894"/>
      <w:bookmarkStart w:id="770" w:name="_Toc352505149"/>
      <w:r w:rsidRPr="001D5327">
        <w:lastRenderedPageBreak/>
        <w:t>Figure 5.2.1</w:t>
      </w:r>
      <w:r w:rsidRPr="001D5327">
        <w:tab/>
        <w:t>Schematic diagram showing how New Zealand’s methane emissions from enteric fermentation for dairy and beef cattle and deer are calculated</w:t>
      </w:r>
      <w:bookmarkEnd w:id="756"/>
      <w:bookmarkEnd w:id="757"/>
      <w:bookmarkEnd w:id="758"/>
      <w:bookmarkEnd w:id="759"/>
      <w:bookmarkEnd w:id="760"/>
      <w:bookmarkEnd w:id="761"/>
      <w:bookmarkEnd w:id="762"/>
      <w:bookmarkEnd w:id="763"/>
      <w:bookmarkEnd w:id="764"/>
      <w:bookmarkEnd w:id="765"/>
      <w:bookmarkEnd w:id="766"/>
      <w:bookmarkEnd w:id="767"/>
      <w:bookmarkEnd w:id="768"/>
    </w:p>
    <w:p w14:paraId="20107BA5" w14:textId="77777777" w:rsidR="00590FE1" w:rsidRPr="001D5327" w:rsidRDefault="00590FE1" w:rsidP="00590FE1">
      <w:pPr>
        <w:pStyle w:val="BodyText"/>
        <w:jc w:val="center"/>
        <w:rPr>
          <w:rFonts w:cs="Calibri"/>
        </w:rPr>
      </w:pPr>
      <w:r w:rsidRPr="001D5327">
        <w:rPr>
          <w:rFonts w:eastAsia="Calibri" w:cs="Calibri"/>
        </w:rPr>
        <w:object w:dxaOrig="17777" w:dyaOrig="9203" w14:anchorId="6FB5117A">
          <v:shape id="_x0000_i1029" type="#_x0000_t75" style="width:387.95pt;height:208.5pt" o:ole="">
            <v:imagedata r:id="rId111" o:title="" cropright="6980f"/>
          </v:shape>
          <o:OLEObject Type="Embed" ProgID="Visio.Drawing.15" ShapeID="_x0000_i1029" DrawAspect="Content" ObjectID="_1806232876" r:id="rId112"/>
        </w:object>
      </w:r>
    </w:p>
    <w:bookmarkEnd w:id="769"/>
    <w:bookmarkEnd w:id="770"/>
    <w:p w14:paraId="33642B7B" w14:textId="77777777" w:rsidR="00590FE1" w:rsidRPr="001D5327" w:rsidRDefault="00590FE1" w:rsidP="00590FE1">
      <w:pPr>
        <w:pStyle w:val="Noteundertable"/>
        <w:rPr>
          <w:rFonts w:cs="Calibri"/>
        </w:rPr>
      </w:pPr>
      <w:r w:rsidRPr="001D5327">
        <w:rPr>
          <w:rFonts w:cs="Calibri"/>
          <w:b/>
          <w:bCs/>
        </w:rPr>
        <w:t>Note:</w:t>
      </w:r>
      <w:r w:rsidRPr="001D5327">
        <w:rPr>
          <w:rFonts w:cs="Calibri"/>
        </w:rPr>
        <w:t xml:space="preserve"> </w:t>
      </w:r>
      <w:r w:rsidRPr="001D5327">
        <w:rPr>
          <w:rFonts w:cs="Calibri"/>
        </w:rPr>
        <w:tab/>
        <w:t>CH</w:t>
      </w:r>
      <w:r w:rsidRPr="001D5327">
        <w:rPr>
          <w:rFonts w:cs="Calibri"/>
          <w:vertAlign w:val="subscript"/>
        </w:rPr>
        <w:t>4</w:t>
      </w:r>
      <w:r w:rsidRPr="001D5327">
        <w:rPr>
          <w:rFonts w:cs="Calibri"/>
        </w:rPr>
        <w:t xml:space="preserve"> = methane; DMI = dry-matter intake; GEI = gross energy intake.</w:t>
      </w:r>
    </w:p>
    <w:p w14:paraId="24E4CC8D" w14:textId="77777777" w:rsidR="00590FE1" w:rsidRPr="001D5327" w:rsidRDefault="00590FE1" w:rsidP="00590FE1">
      <w:pPr>
        <w:pStyle w:val="BodyText"/>
        <w:keepNext/>
      </w:pPr>
      <w:r w:rsidRPr="001D5327">
        <w:t>The equation for the production of enteric CH</w:t>
      </w:r>
      <w:r w:rsidRPr="001D5327">
        <w:rPr>
          <w:vertAlign w:val="subscript"/>
        </w:rPr>
        <w:t>4</w:t>
      </w:r>
      <w:r w:rsidRPr="001D5327">
        <w:t xml:space="preserve"> for cattle and deer is:</w:t>
      </w:r>
    </w:p>
    <w:p w14:paraId="7887FFE8" w14:textId="77777777" w:rsidR="00590FE1" w:rsidRPr="001D5327" w:rsidRDefault="00000000" w:rsidP="00590FE1">
      <w:pPr>
        <w:spacing w:before="120" w:after="120"/>
        <w:rPr>
          <w:sz w:val="24"/>
          <w:szCs w:val="24"/>
        </w:rPr>
      </w:pPr>
      <m:oMathPara>
        <m:oMathParaPr>
          <m:jc m:val="center"/>
        </m:oMathParaPr>
        <m:oMath>
          <m:sSub>
            <m:sSubPr>
              <m:ctrlPr>
                <w:rPr>
                  <w:rFonts w:ascii="Cambria Math" w:hAnsi="Cambria Math"/>
                  <w:i/>
                  <w:sz w:val="24"/>
                  <w:szCs w:val="24"/>
                </w:rPr>
              </m:ctrlPr>
            </m:sSubPr>
            <m:e>
              <m:r>
                <w:rPr>
                  <w:rFonts w:ascii="Cambria Math" w:hAnsi="Cambria Math"/>
                  <w:sz w:val="24"/>
                  <w:szCs w:val="24"/>
                </w:rPr>
                <m:t>CH</m:t>
              </m:r>
            </m:e>
            <m:sub>
              <m:r>
                <w:rPr>
                  <w:rFonts w:ascii="Cambria Math" w:hAnsi="Cambria Math"/>
                  <w:sz w:val="24"/>
                  <w:szCs w:val="24"/>
                </w:rPr>
                <m:t>4-enteric</m:t>
              </m:r>
            </m:sub>
          </m:sSub>
          <m:r>
            <w:rPr>
              <w:rFonts w:ascii="Cambria Math" w:hAnsi="Cambria Math"/>
              <w:sz w:val="24"/>
              <w:szCs w:val="24"/>
            </w:rPr>
            <m:t>=</m:t>
          </m:r>
          <m:nary>
            <m:naryPr>
              <m:chr m:val="∑"/>
              <m:limLoc m:val="undOvr"/>
              <m:supHide m:val="1"/>
              <m:ctrlPr>
                <w:rPr>
                  <w:rFonts w:ascii="Cambria Math" w:hAnsi="Cambria Math"/>
                  <w:i/>
                  <w:sz w:val="24"/>
                  <w:szCs w:val="24"/>
                </w:rPr>
              </m:ctrlPr>
            </m:naryPr>
            <m:sub>
              <m:r>
                <w:rPr>
                  <w:rFonts w:ascii="Cambria Math" w:hAnsi="Cambria Math"/>
                  <w:sz w:val="24"/>
                  <w:szCs w:val="24"/>
                </w:rPr>
                <m:t>livestock type</m:t>
              </m:r>
            </m:sub>
            <m:sup/>
            <m:e>
              <m:sSub>
                <m:sSubPr>
                  <m:ctrlPr>
                    <w:rPr>
                      <w:rFonts w:ascii="Cambria Math" w:hAnsi="Cambria Math"/>
                      <w:i/>
                      <w:sz w:val="24"/>
                      <w:szCs w:val="24"/>
                    </w:rPr>
                  </m:ctrlPr>
                </m:sSubPr>
                <m:e>
                  <m:r>
                    <w:rPr>
                      <w:rFonts w:ascii="Cambria Math" w:hAnsi="Cambria Math"/>
                      <w:sz w:val="24"/>
                      <w:szCs w:val="24"/>
                    </w:rPr>
                    <m:t>Pop</m:t>
                  </m:r>
                </m:e>
                <m:sub>
                  <m:r>
                    <w:rPr>
                      <w:rFonts w:ascii="Cambria Math" w:hAnsi="Cambria Math"/>
                      <w:sz w:val="24"/>
                      <w:szCs w:val="24"/>
                    </w:rPr>
                    <m:t>livestock type</m:t>
                  </m:r>
                </m:sub>
              </m:sSub>
              <m:r>
                <w:rPr>
                  <w:rFonts w:ascii="Cambria Math" w:hAnsi="Cambria Math"/>
                  <w:sz w:val="24"/>
                  <w:szCs w:val="24"/>
                </w:rPr>
                <m:t xml:space="preserve"> ×</m:t>
              </m:r>
            </m:e>
          </m:nary>
          <m:r>
            <w:rPr>
              <w:rFonts w:ascii="Cambria Math" w:hAnsi="Cambria Math"/>
              <w:sz w:val="24"/>
              <w:szCs w:val="24"/>
            </w:rPr>
            <m:t xml:space="preserve"> DMI×</m:t>
          </m:r>
          <m:f>
            <m:fPr>
              <m:ctrlPr>
                <w:rPr>
                  <w:rFonts w:ascii="Cambria Math" w:hAnsi="Cambria Math"/>
                  <w:i/>
                  <w:sz w:val="24"/>
                  <w:szCs w:val="24"/>
                </w:rPr>
              </m:ctrlPr>
            </m:fPr>
            <m:num>
              <m:r>
                <w:rPr>
                  <w:rFonts w:ascii="Cambria Math" w:hAnsi="Cambria Math"/>
                  <w:sz w:val="24"/>
                  <w:szCs w:val="24"/>
                </w:rPr>
                <m:t>MCR</m:t>
              </m:r>
            </m:num>
            <m:den>
              <m:r>
                <w:rPr>
                  <w:rFonts w:ascii="Cambria Math" w:hAnsi="Cambria Math"/>
                  <w:sz w:val="24"/>
                  <w:szCs w:val="24"/>
                </w:rPr>
                <m:t>1000</m:t>
              </m:r>
            </m:den>
          </m:f>
        </m:oMath>
      </m:oMathPara>
    </w:p>
    <w:p w14:paraId="14715A73" w14:textId="77777777" w:rsidR="00590FE1" w:rsidRPr="001D5327" w:rsidRDefault="00590FE1" w:rsidP="00590FE1">
      <w:pPr>
        <w:pStyle w:val="BodyText"/>
        <w:spacing w:after="40"/>
        <w:ind w:left="851" w:hanging="851"/>
      </w:pPr>
      <w:r w:rsidRPr="001D5327">
        <w:t>Where:</w:t>
      </w:r>
      <w:r w:rsidRPr="001D5327">
        <w:tab/>
        <w:t>CH</w:t>
      </w:r>
      <w:r w:rsidRPr="001D5327">
        <w:rPr>
          <w:vertAlign w:val="subscript"/>
        </w:rPr>
        <w:t>4-enteric</w:t>
      </w:r>
      <w:r w:rsidRPr="001D5327">
        <w:t xml:space="preserve"> </w:t>
      </w:r>
      <w:r w:rsidRPr="001D5327">
        <w:rPr>
          <w:rFonts w:cstheme="minorHAnsi"/>
        </w:rPr>
        <w:t>=</w:t>
      </w:r>
      <w:r w:rsidRPr="001D5327">
        <w:t xml:space="preserve"> enteric CH</w:t>
      </w:r>
      <w:r w:rsidRPr="001D5327">
        <w:rPr>
          <w:vertAlign w:val="subscript"/>
        </w:rPr>
        <w:t>4</w:t>
      </w:r>
      <w:r w:rsidRPr="001D5327">
        <w:rPr>
          <w:rFonts w:cstheme="minorHAnsi"/>
        </w:rPr>
        <w:t xml:space="preserve"> emissions per day</w:t>
      </w:r>
      <w:r w:rsidRPr="001D5327">
        <w:t xml:space="preserve"> (kg)</w:t>
      </w:r>
    </w:p>
    <w:p w14:paraId="5BA7A84C" w14:textId="77777777" w:rsidR="00590FE1" w:rsidRPr="001D5327" w:rsidRDefault="00590FE1" w:rsidP="00590FE1">
      <w:pPr>
        <w:pStyle w:val="BodyText"/>
        <w:spacing w:before="40" w:after="40"/>
        <w:ind w:left="851" w:hanging="851"/>
      </w:pPr>
      <w:r w:rsidRPr="001D5327">
        <w:tab/>
      </w:r>
      <w:r w:rsidRPr="001D5327">
        <w:rPr>
          <w:rFonts w:cstheme="minorHAnsi"/>
        </w:rPr>
        <w:t>Pop</w:t>
      </w:r>
      <w:r w:rsidRPr="001D5327">
        <w:rPr>
          <w:rFonts w:cstheme="minorHAnsi"/>
          <w:vertAlign w:val="subscript"/>
        </w:rPr>
        <w:t>livestock</w:t>
      </w:r>
      <w:r w:rsidRPr="001D5327">
        <w:rPr>
          <w:vertAlign w:val="subscript"/>
        </w:rPr>
        <w:t xml:space="preserve"> type</w:t>
      </w:r>
      <w:r w:rsidRPr="001D5327">
        <w:t xml:space="preserve"> </w:t>
      </w:r>
      <w:r w:rsidRPr="001D5327">
        <w:rPr>
          <w:rFonts w:cstheme="minorHAnsi"/>
        </w:rPr>
        <w:t>=</w:t>
      </w:r>
      <w:r w:rsidRPr="001D5327">
        <w:t xml:space="preserve"> population of each livestock category (head)</w:t>
      </w:r>
    </w:p>
    <w:p w14:paraId="49F04021" w14:textId="77777777" w:rsidR="00590FE1" w:rsidRPr="001D5327" w:rsidRDefault="00590FE1" w:rsidP="00590FE1">
      <w:pPr>
        <w:pStyle w:val="BodyText"/>
        <w:spacing w:before="40" w:after="40"/>
        <w:ind w:left="851" w:hanging="851"/>
      </w:pPr>
      <w:r w:rsidRPr="001D5327">
        <w:tab/>
        <w:t xml:space="preserve">DMI = dry-matter intake (kg per animal per day) </w:t>
      </w:r>
    </w:p>
    <w:p w14:paraId="20D907A2" w14:textId="77777777" w:rsidR="00590FE1" w:rsidRPr="001D5327" w:rsidRDefault="00590FE1" w:rsidP="00590FE1">
      <w:pPr>
        <w:pStyle w:val="BodyText"/>
        <w:spacing w:before="40" w:after="0"/>
        <w:ind w:left="851" w:hanging="851"/>
      </w:pPr>
      <w:r w:rsidRPr="001D5327">
        <w:tab/>
        <w:t>MCR = methane conversion rate (21.6 grams of CH</w:t>
      </w:r>
      <w:r w:rsidRPr="001D5327">
        <w:rPr>
          <w:vertAlign w:val="subscript"/>
        </w:rPr>
        <w:t>4</w:t>
      </w:r>
      <w:r w:rsidRPr="001D5327">
        <w:t xml:space="preserve"> per kg of DMI for dairy cattle and non-dairy cattle and 21.25 grams of CH</w:t>
      </w:r>
      <w:r w:rsidRPr="001D5327">
        <w:rPr>
          <w:vertAlign w:val="subscript"/>
        </w:rPr>
        <w:t>4</w:t>
      </w:r>
      <w:r w:rsidRPr="001D5327">
        <w:t xml:space="preserve"> per kg of DMI for deer).</w:t>
      </w:r>
    </w:p>
    <w:p w14:paraId="41069CEE" w14:textId="77777777" w:rsidR="00590FE1" w:rsidRPr="001D5327" w:rsidRDefault="00590FE1" w:rsidP="00590FE1">
      <w:pPr>
        <w:pStyle w:val="Heading4"/>
      </w:pPr>
      <w:r w:rsidRPr="001D5327">
        <w:t xml:space="preserve">Emissions from </w:t>
      </w:r>
      <w:r w:rsidRPr="001D5327">
        <w:rPr>
          <w:i/>
          <w:iCs/>
        </w:rPr>
        <w:t>Sheep</w:t>
      </w:r>
    </w:p>
    <w:p w14:paraId="35BF3073" w14:textId="77777777" w:rsidR="00590FE1" w:rsidRPr="001D5327" w:rsidRDefault="00590FE1" w:rsidP="00590FE1">
      <w:pPr>
        <w:pStyle w:val="BodyText"/>
        <w:spacing w:before="80"/>
        <w:rPr>
          <w:rFonts w:cs="Calibri"/>
        </w:rPr>
      </w:pPr>
      <w:r w:rsidRPr="001D5327">
        <w:rPr>
          <w:rFonts w:cs="Calibri"/>
        </w:rPr>
        <w:t>Enteric CH</w:t>
      </w:r>
      <w:r w:rsidRPr="001D5327">
        <w:rPr>
          <w:rFonts w:cs="Calibri"/>
          <w:vertAlign w:val="subscript"/>
        </w:rPr>
        <w:t>4</w:t>
      </w:r>
      <w:r w:rsidRPr="001D5327">
        <w:rPr>
          <w:rFonts w:cs="Calibri"/>
        </w:rPr>
        <w:t xml:space="preserve"> emissions from </w:t>
      </w:r>
      <w:r w:rsidRPr="001D5327">
        <w:rPr>
          <w:rFonts w:cs="Calibri"/>
          <w:i/>
          <w:iCs/>
        </w:rPr>
        <w:t>Sheep</w:t>
      </w:r>
      <w:r w:rsidRPr="001D5327">
        <w:rPr>
          <w:rFonts w:cs="Calibri"/>
        </w:rPr>
        <w:t xml:space="preserve"> are calculated using the methodology outlined in a peer reviewed paper published by Swainson et al. (2016). The study confirmed that DMI alone has the largest influence on CH</w:t>
      </w:r>
      <w:r w:rsidRPr="001D5327">
        <w:rPr>
          <w:rFonts w:cs="Calibri"/>
          <w:vertAlign w:val="subscript"/>
        </w:rPr>
        <w:t>4</w:t>
      </w:r>
      <w:r w:rsidRPr="001D5327">
        <w:rPr>
          <w:rFonts w:cs="Calibri"/>
        </w:rPr>
        <w:t xml:space="preserve"> emissions and that pasture quality (as measured by the ME content) has a small but statistically significant effect on emissions from sheep less than one year of age.</w:t>
      </w:r>
    </w:p>
    <w:p w14:paraId="02B28B64" w14:textId="77777777" w:rsidR="00590FE1" w:rsidRPr="001D5327" w:rsidRDefault="00590FE1" w:rsidP="00590FE1">
      <w:pPr>
        <w:pStyle w:val="BodyText"/>
        <w:spacing w:before="80"/>
        <w:rPr>
          <w:rFonts w:cs="Calibri"/>
        </w:rPr>
      </w:pPr>
      <w:r w:rsidRPr="001D5327">
        <w:rPr>
          <w:rFonts w:cs="Calibri"/>
        </w:rPr>
        <w:t>Swainson et al. (2016) concluded that two log-transformed linear regressions (one for sheep less than one year of age and one for sheep greater than one year of age) provided the best fit for the data and recommended that these equations be used in the National Inventory Report.</w:t>
      </w:r>
      <w:r w:rsidRPr="001D5327" w:rsidDel="00970856">
        <w:rPr>
          <w:rFonts w:cs="Calibri"/>
        </w:rPr>
        <w:t xml:space="preserve"> </w:t>
      </w:r>
    </w:p>
    <w:p w14:paraId="169A261D" w14:textId="77777777" w:rsidR="00590FE1" w:rsidRPr="001D5327" w:rsidRDefault="00590FE1" w:rsidP="00590FE1">
      <w:pPr>
        <w:pStyle w:val="BodyText"/>
        <w:spacing w:before="80"/>
      </w:pPr>
      <w:r w:rsidRPr="001D5327">
        <w:t>The equation</w:t>
      </w:r>
      <w:r w:rsidRPr="001D5327">
        <w:rPr>
          <w:rStyle w:val="FootnoteReference"/>
          <w:rFonts w:cs="Calibri"/>
        </w:rPr>
        <w:footnoteReference w:id="29"/>
      </w:r>
      <w:r w:rsidRPr="001D5327">
        <w:t xml:space="preserve"> for the total production of enteric CH</w:t>
      </w:r>
      <w:r w:rsidRPr="001D5327">
        <w:rPr>
          <w:vertAlign w:val="subscript"/>
        </w:rPr>
        <w:t>4</w:t>
      </w:r>
      <w:r w:rsidRPr="001D5327">
        <w:t xml:space="preserve"> for sheep less than one year of age is:</w:t>
      </w:r>
    </w:p>
    <w:p w14:paraId="32B4F583" w14:textId="77777777" w:rsidR="00590FE1" w:rsidRPr="001D5327" w:rsidRDefault="00000000" w:rsidP="00590FE1">
      <w:pPr>
        <w:pStyle w:val="BodyText"/>
        <w:rPr>
          <w:i/>
          <w:sz w:val="24"/>
        </w:rPr>
      </w:pPr>
      <m:oMathPara>
        <m:oMathParaPr>
          <m:jc m:val="center"/>
        </m:oMathParaPr>
        <m:oMath>
          <m:sSub>
            <m:sSubPr>
              <m:ctrlPr>
                <w:rPr>
                  <w:rFonts w:ascii="Cambria Math" w:hAnsi="Cambria Math"/>
                  <w:i/>
                  <w:sz w:val="24"/>
                </w:rPr>
              </m:ctrlPr>
            </m:sSubPr>
            <m:e>
              <m:r>
                <w:rPr>
                  <w:rFonts w:ascii="Cambria Math" w:hAnsi="Cambria Math"/>
                  <w:sz w:val="24"/>
                </w:rPr>
                <m:t>CH</m:t>
              </m:r>
            </m:e>
            <m:sub>
              <m:r>
                <w:rPr>
                  <w:rFonts w:ascii="Cambria Math" w:hAnsi="Cambria Math"/>
                  <w:sz w:val="24"/>
                </w:rPr>
                <m:t>4-enteric</m:t>
              </m:r>
            </m:sub>
          </m:sSub>
          <m:r>
            <w:rPr>
              <w:rFonts w:ascii="Cambria Math" w:hAnsi="Cambria Math"/>
              <w:sz w:val="24"/>
            </w:rPr>
            <m:t xml:space="preserve">= </m:t>
          </m:r>
          <m:nary>
            <m:naryPr>
              <m:chr m:val="∑"/>
              <m:limLoc m:val="undOvr"/>
              <m:supHide m:val="1"/>
              <m:ctrlPr>
                <w:rPr>
                  <w:rFonts w:ascii="Cambria Math" w:hAnsi="Cambria Math"/>
                  <w:i/>
                  <w:sz w:val="24"/>
                </w:rPr>
              </m:ctrlPr>
            </m:naryPr>
            <m:sub>
              <m:r>
                <w:rPr>
                  <w:rFonts w:ascii="Cambria Math" w:hAnsi="Cambria Math"/>
                  <w:sz w:val="24"/>
                </w:rPr>
                <m:t xml:space="preserve">class </m:t>
              </m:r>
            </m:sub>
            <m:sup/>
            <m:e>
              <m:nary>
                <m:naryPr>
                  <m:chr m:val="∑"/>
                  <m:limLoc m:val="undOvr"/>
                  <m:supHide m:val="1"/>
                  <m:ctrlPr>
                    <w:rPr>
                      <w:rFonts w:ascii="Cambria Math" w:hAnsi="Cambria Math"/>
                      <w:i/>
                      <w:sz w:val="24"/>
                    </w:rPr>
                  </m:ctrlPr>
                </m:naryPr>
                <m:sub>
                  <m:r>
                    <w:rPr>
                      <w:rFonts w:ascii="Cambria Math" w:hAnsi="Cambria Math"/>
                      <w:sz w:val="24"/>
                    </w:rPr>
                    <m:t>month</m:t>
                  </m:r>
                </m:sub>
                <m:sup/>
                <m:e>
                  <m:sSub>
                    <m:sSubPr>
                      <m:ctrlPr>
                        <w:rPr>
                          <w:rFonts w:ascii="Cambria Math" w:hAnsi="Cambria Math"/>
                          <w:i/>
                          <w:sz w:val="24"/>
                        </w:rPr>
                      </m:ctrlPr>
                    </m:sSubPr>
                    <m:e>
                      <m:r>
                        <w:rPr>
                          <w:rFonts w:ascii="Cambria Math" w:hAnsi="Cambria Math"/>
                          <w:sz w:val="24"/>
                        </w:rPr>
                        <m:t>d</m:t>
                      </m:r>
                    </m:e>
                    <m:sub>
                      <m:r>
                        <w:rPr>
                          <w:rFonts w:ascii="Cambria Math" w:hAnsi="Cambria Math"/>
                          <w:sz w:val="24"/>
                        </w:rPr>
                        <m:t>m</m:t>
                      </m:r>
                    </m:sub>
                  </m:sSub>
                </m:e>
              </m:nary>
              <m:sSub>
                <m:sSubPr>
                  <m:ctrlPr>
                    <w:rPr>
                      <w:rFonts w:ascii="Cambria Math" w:hAnsi="Cambria Math"/>
                      <w:i/>
                      <w:sz w:val="24"/>
                    </w:rPr>
                  </m:ctrlPr>
                </m:sSubPr>
                <m:e>
                  <m:r>
                    <w:rPr>
                      <w:rFonts w:ascii="Cambria Math" w:hAnsi="Cambria Math"/>
                      <w:sz w:val="24"/>
                    </w:rPr>
                    <m:t>Lamb</m:t>
                  </m:r>
                </m:e>
                <m:sub>
                  <m:r>
                    <w:rPr>
                      <w:rFonts w:ascii="Cambria Math" w:hAnsi="Cambria Math"/>
                      <w:sz w:val="24"/>
                    </w:rPr>
                    <m:t>cm</m:t>
                  </m:r>
                </m:sub>
              </m:sSub>
              <m:f>
                <m:fPr>
                  <m:ctrlPr>
                    <w:rPr>
                      <w:rFonts w:ascii="Cambria Math" w:hAnsi="Cambria Math"/>
                      <w:i/>
                      <w:sz w:val="24"/>
                    </w:rPr>
                  </m:ctrlPr>
                </m:fPr>
                <m:num>
                  <m:r>
                    <w:rPr>
                      <w:rFonts w:ascii="Cambria Math" w:hAnsi="Cambria Math"/>
                      <w:sz w:val="24"/>
                    </w:rPr>
                    <m:t>11.705</m:t>
                  </m:r>
                </m:num>
                <m:den>
                  <m:r>
                    <w:rPr>
                      <w:rFonts w:ascii="Cambria Math" w:hAnsi="Cambria Math"/>
                      <w:sz w:val="24"/>
                    </w:rPr>
                    <m:t>1000</m:t>
                  </m:r>
                </m:den>
              </m:f>
            </m:e>
          </m:nary>
          <m:sSup>
            <m:sSupPr>
              <m:ctrlPr>
                <w:rPr>
                  <w:rFonts w:ascii="Cambria Math" w:hAnsi="Cambria Math"/>
                  <w:i/>
                  <w:sz w:val="24"/>
                </w:rPr>
              </m:ctrlPr>
            </m:sSupPr>
            <m:e>
              <m:sSup>
                <m:sSupPr>
                  <m:ctrlPr>
                    <w:rPr>
                      <w:rFonts w:ascii="Cambria Math" w:hAnsi="Cambria Math"/>
                      <w:i/>
                      <w:sz w:val="24"/>
                    </w:rPr>
                  </m:ctrlPr>
                </m:sSupPr>
                <m:e>
                  <m:r>
                    <w:rPr>
                      <w:rFonts w:ascii="Cambria Math" w:hAnsi="Cambria Math"/>
                      <w:sz w:val="24"/>
                    </w:rPr>
                    <m:t>e</m:t>
                  </m:r>
                </m:e>
                <m:sup>
                  <m:r>
                    <w:rPr>
                      <w:rFonts w:ascii="Cambria Math" w:hAnsi="Cambria Math"/>
                      <w:sz w:val="24"/>
                    </w:rPr>
                    <m:t>0.05×ME</m:t>
                  </m:r>
                </m:sup>
              </m:sSup>
              <m:r>
                <w:rPr>
                  <w:rFonts w:ascii="Cambria Math" w:hAnsi="Cambria Math"/>
                  <w:sz w:val="24"/>
                </w:rPr>
                <m:t>DMI</m:t>
              </m:r>
            </m:e>
            <m:sup>
              <m:r>
                <w:rPr>
                  <w:rFonts w:ascii="Cambria Math" w:hAnsi="Cambria Math"/>
                  <w:sz w:val="24"/>
                </w:rPr>
                <m:t>0.734</m:t>
              </m:r>
            </m:sup>
          </m:sSup>
        </m:oMath>
      </m:oMathPara>
    </w:p>
    <w:p w14:paraId="633B7E4D" w14:textId="77777777" w:rsidR="00590FE1" w:rsidRPr="001D5327" w:rsidRDefault="00590FE1" w:rsidP="00590FE1">
      <w:pPr>
        <w:pStyle w:val="BodyText"/>
      </w:pPr>
      <w:r w:rsidRPr="001D5327">
        <w:lastRenderedPageBreak/>
        <w:t>The equation</w:t>
      </w:r>
      <w:r w:rsidRPr="001D5327">
        <w:rPr>
          <w:rStyle w:val="FootnoteReference"/>
          <w:rFonts w:cs="Calibri"/>
        </w:rPr>
        <w:footnoteReference w:id="30"/>
      </w:r>
      <w:r w:rsidRPr="001D5327">
        <w:t xml:space="preserve"> for the total production of enteric CH</w:t>
      </w:r>
      <w:r w:rsidRPr="001D5327">
        <w:rPr>
          <w:vertAlign w:val="subscript"/>
        </w:rPr>
        <w:t>4</w:t>
      </w:r>
      <w:r w:rsidRPr="001D5327">
        <w:t xml:space="preserve"> for sheep greater than one year of age is:</w:t>
      </w:r>
    </w:p>
    <w:p w14:paraId="7C693665" w14:textId="77777777" w:rsidR="00590FE1" w:rsidRPr="001D5327" w:rsidRDefault="00000000" w:rsidP="00590FE1">
      <w:pPr>
        <w:pStyle w:val="BodyText"/>
        <w:rPr>
          <w:i/>
          <w:sz w:val="24"/>
        </w:rPr>
      </w:pPr>
      <m:oMathPara>
        <m:oMathParaPr>
          <m:jc m:val="center"/>
        </m:oMathParaPr>
        <m:oMath>
          <m:sSub>
            <m:sSubPr>
              <m:ctrlPr>
                <w:rPr>
                  <w:rFonts w:ascii="Cambria Math" w:hAnsi="Cambria Math"/>
                  <w:i/>
                  <w:sz w:val="24"/>
                </w:rPr>
              </m:ctrlPr>
            </m:sSubPr>
            <m:e>
              <m:r>
                <w:rPr>
                  <w:rFonts w:ascii="Cambria Math" w:hAnsi="Cambria Math"/>
                  <w:sz w:val="24"/>
                </w:rPr>
                <m:t>CH</m:t>
              </m:r>
            </m:e>
            <m:sub>
              <m:r>
                <w:rPr>
                  <w:rFonts w:ascii="Cambria Math" w:hAnsi="Cambria Math"/>
                  <w:sz w:val="24"/>
                </w:rPr>
                <m:t>4-enteric</m:t>
              </m:r>
            </m:sub>
          </m:sSub>
          <m:r>
            <w:rPr>
              <w:rFonts w:ascii="Cambria Math" w:hAnsi="Cambria Math"/>
              <w:sz w:val="24"/>
            </w:rPr>
            <m:t xml:space="preserve">= </m:t>
          </m:r>
          <m:nary>
            <m:naryPr>
              <m:chr m:val="∑"/>
              <m:limLoc m:val="undOvr"/>
              <m:supHide m:val="1"/>
              <m:ctrlPr>
                <w:rPr>
                  <w:rFonts w:ascii="Cambria Math" w:hAnsi="Cambria Math"/>
                  <w:i/>
                  <w:sz w:val="24"/>
                </w:rPr>
              </m:ctrlPr>
            </m:naryPr>
            <m:sub>
              <m:r>
                <w:rPr>
                  <w:rFonts w:ascii="Cambria Math" w:hAnsi="Cambria Math"/>
                  <w:sz w:val="24"/>
                </w:rPr>
                <m:t xml:space="preserve">class </m:t>
              </m:r>
            </m:sub>
            <m:sup/>
            <m:e>
              <m:nary>
                <m:naryPr>
                  <m:chr m:val="∑"/>
                  <m:limLoc m:val="undOvr"/>
                  <m:supHide m:val="1"/>
                  <m:ctrlPr>
                    <w:rPr>
                      <w:rFonts w:ascii="Cambria Math" w:hAnsi="Cambria Math"/>
                      <w:i/>
                      <w:sz w:val="24"/>
                    </w:rPr>
                  </m:ctrlPr>
                </m:naryPr>
                <m:sub>
                  <m:r>
                    <w:rPr>
                      <w:rFonts w:ascii="Cambria Math" w:hAnsi="Cambria Math"/>
                      <w:sz w:val="24"/>
                    </w:rPr>
                    <m:t>month</m:t>
                  </m:r>
                </m:sub>
                <m:sup/>
                <m:e>
                  <m:sSub>
                    <m:sSubPr>
                      <m:ctrlPr>
                        <w:rPr>
                          <w:rFonts w:ascii="Cambria Math" w:hAnsi="Cambria Math"/>
                          <w:i/>
                          <w:sz w:val="24"/>
                        </w:rPr>
                      </m:ctrlPr>
                    </m:sSubPr>
                    <m:e>
                      <m:r>
                        <w:rPr>
                          <w:rFonts w:ascii="Cambria Math" w:hAnsi="Cambria Math"/>
                          <w:sz w:val="24"/>
                        </w:rPr>
                        <m:t>d</m:t>
                      </m:r>
                    </m:e>
                    <m:sub>
                      <m:r>
                        <w:rPr>
                          <w:rFonts w:ascii="Cambria Math" w:hAnsi="Cambria Math"/>
                          <w:sz w:val="24"/>
                        </w:rPr>
                        <m:t>m</m:t>
                      </m:r>
                    </m:sub>
                  </m:sSub>
                </m:e>
              </m:nary>
              <m:sSub>
                <m:sSubPr>
                  <m:ctrlPr>
                    <w:rPr>
                      <w:rFonts w:ascii="Cambria Math" w:hAnsi="Cambria Math"/>
                      <w:i/>
                      <w:sz w:val="24"/>
                    </w:rPr>
                  </m:ctrlPr>
                </m:sSubPr>
                <m:e>
                  <m:r>
                    <w:rPr>
                      <w:rFonts w:ascii="Cambria Math" w:hAnsi="Cambria Math"/>
                      <w:sz w:val="24"/>
                    </w:rPr>
                    <m:t>Sheep</m:t>
                  </m:r>
                </m:e>
                <m:sub>
                  <m:r>
                    <w:rPr>
                      <w:rFonts w:ascii="Cambria Math" w:hAnsi="Cambria Math"/>
                      <w:sz w:val="24"/>
                    </w:rPr>
                    <m:t>cm</m:t>
                  </m:r>
                </m:sub>
              </m:sSub>
              <m:f>
                <m:fPr>
                  <m:ctrlPr>
                    <w:rPr>
                      <w:rFonts w:ascii="Cambria Math" w:hAnsi="Cambria Math"/>
                      <w:i/>
                      <w:sz w:val="24"/>
                    </w:rPr>
                  </m:ctrlPr>
                </m:fPr>
                <m:num>
                  <m:r>
                    <w:rPr>
                      <w:rFonts w:ascii="Cambria Math" w:hAnsi="Cambria Math"/>
                      <w:sz w:val="24"/>
                    </w:rPr>
                    <m:t>21.977</m:t>
                  </m:r>
                </m:num>
                <m:den>
                  <m:r>
                    <w:rPr>
                      <w:rFonts w:ascii="Cambria Math" w:hAnsi="Cambria Math"/>
                      <w:sz w:val="24"/>
                    </w:rPr>
                    <m:t>1000</m:t>
                  </m:r>
                </m:den>
              </m:f>
            </m:e>
          </m:nary>
          <m:sSup>
            <m:sSupPr>
              <m:ctrlPr>
                <w:rPr>
                  <w:rFonts w:ascii="Cambria Math" w:hAnsi="Cambria Math"/>
                  <w:i/>
                  <w:sz w:val="24"/>
                </w:rPr>
              </m:ctrlPr>
            </m:sSupPr>
            <m:e>
              <m:r>
                <w:rPr>
                  <w:rFonts w:ascii="Cambria Math" w:hAnsi="Cambria Math"/>
                  <w:sz w:val="24"/>
                </w:rPr>
                <m:t>DMI</m:t>
              </m:r>
            </m:e>
            <m:sup>
              <m:r>
                <w:rPr>
                  <w:rFonts w:ascii="Cambria Math" w:hAnsi="Cambria Math"/>
                  <w:sz w:val="24"/>
                </w:rPr>
                <m:t>0.765</m:t>
              </m:r>
            </m:sup>
          </m:sSup>
        </m:oMath>
      </m:oMathPara>
    </w:p>
    <w:p w14:paraId="6B58CC81" w14:textId="77777777" w:rsidR="00590FE1" w:rsidRPr="001D5327" w:rsidRDefault="00590FE1" w:rsidP="00590FE1">
      <w:pPr>
        <w:pStyle w:val="BodyText"/>
        <w:tabs>
          <w:tab w:val="left" w:pos="964"/>
        </w:tabs>
        <w:spacing w:after="40"/>
        <w:ind w:left="964" w:hanging="964"/>
        <w:rPr>
          <w:rFonts w:cs="Calibri"/>
        </w:rPr>
      </w:pPr>
      <w:r w:rsidRPr="001D5327">
        <w:rPr>
          <w:rFonts w:cs="Calibri"/>
        </w:rPr>
        <w:t xml:space="preserve">Where: </w:t>
      </w:r>
      <w:r w:rsidRPr="001D5327">
        <w:rPr>
          <w:rFonts w:cs="Calibri"/>
        </w:rPr>
        <w:tab/>
        <w:t>CH</w:t>
      </w:r>
      <w:r w:rsidRPr="001D5327">
        <w:rPr>
          <w:rFonts w:cs="Calibri"/>
          <w:vertAlign w:val="subscript"/>
        </w:rPr>
        <w:t>4-enteric</w:t>
      </w:r>
      <w:r w:rsidRPr="001D5327">
        <w:rPr>
          <w:rFonts w:cs="Calibri"/>
        </w:rPr>
        <w:t xml:space="preserve"> = total CH</w:t>
      </w:r>
      <w:r w:rsidRPr="001D5327">
        <w:rPr>
          <w:rFonts w:cs="Calibri"/>
          <w:vertAlign w:val="subscript"/>
        </w:rPr>
        <w:t>4</w:t>
      </w:r>
      <w:r w:rsidRPr="001D5327">
        <w:rPr>
          <w:rFonts w:cs="Calibri"/>
        </w:rPr>
        <w:t xml:space="preserve"> from enteric fermentation (kg CH</w:t>
      </w:r>
      <w:r w:rsidRPr="001D5327">
        <w:rPr>
          <w:rFonts w:cs="Calibri"/>
          <w:vertAlign w:val="subscript"/>
        </w:rPr>
        <w:t>4</w:t>
      </w:r>
      <w:r w:rsidRPr="001D5327">
        <w:rPr>
          <w:rFonts w:cs="Calibri"/>
        </w:rPr>
        <w:t>/year)</w:t>
      </w:r>
    </w:p>
    <w:p w14:paraId="48AA6EF8" w14:textId="77777777" w:rsidR="00590FE1" w:rsidRPr="001D5327" w:rsidRDefault="00590FE1" w:rsidP="00590FE1">
      <w:pPr>
        <w:pStyle w:val="BodyText"/>
        <w:tabs>
          <w:tab w:val="left" w:pos="964"/>
        </w:tabs>
        <w:spacing w:before="40" w:after="40"/>
        <w:ind w:left="964" w:hanging="964"/>
        <w:rPr>
          <w:rFonts w:cs="Calibri"/>
        </w:rPr>
      </w:pPr>
      <w:r w:rsidRPr="001D5327">
        <w:rPr>
          <w:rFonts w:cs="Calibri"/>
        </w:rPr>
        <w:tab/>
        <w:t>d</w:t>
      </w:r>
      <w:r w:rsidRPr="001D5327">
        <w:rPr>
          <w:rFonts w:cs="Calibri"/>
          <w:vertAlign w:val="subscript"/>
        </w:rPr>
        <w:t>m</w:t>
      </w:r>
      <w:r w:rsidRPr="001D5327">
        <w:rPr>
          <w:rFonts w:cs="Calibri"/>
        </w:rPr>
        <w:t xml:space="preserve"> = number of days in month m</w:t>
      </w:r>
    </w:p>
    <w:p w14:paraId="4D6FEE8B" w14:textId="77777777" w:rsidR="00590FE1" w:rsidRPr="001D5327" w:rsidRDefault="00590FE1" w:rsidP="00590FE1">
      <w:pPr>
        <w:pStyle w:val="BodyText"/>
        <w:tabs>
          <w:tab w:val="left" w:pos="964"/>
        </w:tabs>
        <w:spacing w:before="40" w:after="40"/>
        <w:ind w:left="964" w:hanging="964"/>
        <w:rPr>
          <w:rFonts w:cs="Calibri"/>
        </w:rPr>
      </w:pPr>
      <w:r w:rsidRPr="001D5327">
        <w:rPr>
          <w:rFonts w:cs="Calibri"/>
        </w:rPr>
        <w:tab/>
        <w:t>Lamb</w:t>
      </w:r>
      <w:r w:rsidRPr="001D5327">
        <w:rPr>
          <w:rFonts w:cs="Calibri"/>
          <w:vertAlign w:val="subscript"/>
        </w:rPr>
        <w:t xml:space="preserve">cm </w:t>
      </w:r>
      <w:r w:rsidRPr="001D5327">
        <w:rPr>
          <w:rFonts w:cs="Calibri"/>
        </w:rPr>
        <w:t>= population of sheep in class c during month m (head), less than one year of age (i.e., lambs)</w:t>
      </w:r>
    </w:p>
    <w:p w14:paraId="5A1F2B27" w14:textId="77777777" w:rsidR="00590FE1" w:rsidRPr="001D5327" w:rsidRDefault="00590FE1" w:rsidP="00590FE1">
      <w:pPr>
        <w:pStyle w:val="BodyText"/>
        <w:tabs>
          <w:tab w:val="left" w:pos="964"/>
        </w:tabs>
        <w:spacing w:before="40" w:after="40"/>
        <w:ind w:left="964" w:hanging="964"/>
        <w:rPr>
          <w:rFonts w:cs="Calibri"/>
        </w:rPr>
      </w:pPr>
      <w:r w:rsidRPr="001D5327">
        <w:rPr>
          <w:rFonts w:cs="Calibri"/>
        </w:rPr>
        <w:tab/>
        <w:t>Sheep</w:t>
      </w:r>
      <w:r w:rsidRPr="001D5327">
        <w:rPr>
          <w:rFonts w:cs="Calibri"/>
          <w:vertAlign w:val="subscript"/>
        </w:rPr>
        <w:t xml:space="preserve">cm </w:t>
      </w:r>
      <w:r w:rsidRPr="001D5327">
        <w:rPr>
          <w:rFonts w:cs="Calibri"/>
        </w:rPr>
        <w:t xml:space="preserve">= population of sheep in class c during month m (head), greater than one year of age </w:t>
      </w:r>
    </w:p>
    <w:p w14:paraId="78C75D24" w14:textId="77777777" w:rsidR="00590FE1" w:rsidRPr="001D5327" w:rsidRDefault="00590FE1" w:rsidP="00590FE1">
      <w:pPr>
        <w:pStyle w:val="BodyText"/>
        <w:tabs>
          <w:tab w:val="left" w:pos="964"/>
        </w:tabs>
        <w:spacing w:before="40" w:after="40"/>
        <w:ind w:left="964" w:hanging="964"/>
        <w:rPr>
          <w:rFonts w:cs="Calibri"/>
        </w:rPr>
      </w:pPr>
      <w:r w:rsidRPr="001D5327">
        <w:rPr>
          <w:rFonts w:cs="Calibri"/>
        </w:rPr>
        <w:tab/>
        <w:t>ME = metabolisable energy concentration of diet during month m (megajoules of metabolisable energy per kg of dry matter)</w:t>
      </w:r>
    </w:p>
    <w:p w14:paraId="134D3673" w14:textId="77777777" w:rsidR="00590FE1" w:rsidRPr="001D5327" w:rsidRDefault="00590FE1" w:rsidP="00590FE1">
      <w:pPr>
        <w:pStyle w:val="BodyText"/>
        <w:tabs>
          <w:tab w:val="left" w:pos="964"/>
        </w:tabs>
        <w:spacing w:before="40" w:after="40"/>
        <w:ind w:left="964" w:hanging="964"/>
        <w:rPr>
          <w:rFonts w:cs="Calibri"/>
        </w:rPr>
      </w:pPr>
      <w:r w:rsidRPr="001D5327">
        <w:rPr>
          <w:rFonts w:cs="Calibri"/>
        </w:rPr>
        <w:tab/>
        <w:t>DMI = daily dry-matter intake of an individual sheep of class c in month m (kg dry matter/head/day)</w:t>
      </w:r>
    </w:p>
    <w:p w14:paraId="142EA3BC" w14:textId="77777777" w:rsidR="00590FE1" w:rsidRPr="001D5327" w:rsidRDefault="00590FE1" w:rsidP="00590FE1">
      <w:pPr>
        <w:pStyle w:val="BodyText"/>
        <w:tabs>
          <w:tab w:val="left" w:pos="964"/>
        </w:tabs>
        <w:spacing w:before="40" w:after="40"/>
        <w:ind w:left="964" w:hanging="964"/>
        <w:rPr>
          <w:rFonts w:cs="Calibri"/>
        </w:rPr>
      </w:pPr>
      <w:r w:rsidRPr="001D5327">
        <w:rPr>
          <w:rFonts w:cs="Calibri"/>
        </w:rPr>
        <w:tab/>
        <w:t>class refers to the different categories of sheep greater than one year of age (e.g., dry ewes, wethers, rams) used in the Agriculture inventory model, and</w:t>
      </w:r>
    </w:p>
    <w:p w14:paraId="5C4C217C" w14:textId="77777777" w:rsidR="00590FE1" w:rsidRPr="001D5327" w:rsidRDefault="00590FE1" w:rsidP="00590FE1">
      <w:pPr>
        <w:pStyle w:val="BodyText"/>
        <w:tabs>
          <w:tab w:val="left" w:pos="964"/>
        </w:tabs>
        <w:spacing w:before="40"/>
        <w:ind w:left="964" w:hanging="964"/>
        <w:rPr>
          <w:rFonts w:cs="Calibri"/>
        </w:rPr>
      </w:pPr>
      <w:r w:rsidRPr="001D5327">
        <w:rPr>
          <w:rFonts w:cs="Calibri"/>
        </w:rPr>
        <w:tab/>
        <w:t>month refers to the 12 months of the calendar year.</w:t>
      </w:r>
    </w:p>
    <w:p w14:paraId="6FAD891B" w14:textId="77777777" w:rsidR="00590FE1" w:rsidRPr="001D5327" w:rsidRDefault="00590FE1" w:rsidP="00590FE1">
      <w:pPr>
        <w:pStyle w:val="BodyText"/>
      </w:pPr>
      <w:r w:rsidRPr="001D5327">
        <w:t xml:space="preserve">Dry-matter intake per sheep per day is calculated by New Zealand’s Tier 2 inventory model (see section 5.1.3). Monthly values of ME concentration for total diet (pasture and non-pasture feed) are calculated using New Zealand’s Tier 2 inventory model (see section 5.1.3). </w:t>
      </w:r>
    </w:p>
    <w:p w14:paraId="6F71C2B2" w14:textId="77777777" w:rsidR="00590FE1" w:rsidRPr="001D5327" w:rsidRDefault="00590FE1" w:rsidP="00590FE1">
      <w:pPr>
        <w:pStyle w:val="Heading4"/>
        <w:spacing w:before="200"/>
      </w:pPr>
      <w:r w:rsidRPr="001D5327">
        <w:t>Methane measurement and modelling</w:t>
      </w:r>
    </w:p>
    <w:p w14:paraId="7A472A76" w14:textId="51B8EC7A" w:rsidR="00590FE1" w:rsidRPr="001D5327" w:rsidRDefault="00590FE1" w:rsidP="00590FE1">
      <w:pPr>
        <w:pStyle w:val="BodyText"/>
      </w:pPr>
      <w:r w:rsidRPr="001D5327">
        <w:t>New Zealand uses country-specific methodology and emission factors for estimating enteric fermentation CH</w:t>
      </w:r>
      <w:r w:rsidRPr="001D5327">
        <w:rPr>
          <w:vertAlign w:val="subscript"/>
        </w:rPr>
        <w:t>4</w:t>
      </w:r>
      <w:r w:rsidRPr="001D5327">
        <w:t xml:space="preserve"> emissions per kilogram of dry matter feed intake (i.e., DMI) for several reasons. First, the data requirements for existing digestion models</w:t>
      </w:r>
      <w:r w:rsidRPr="001D5327">
        <w:rPr>
          <w:rStyle w:val="FootnoteReference"/>
          <w:rFonts w:cs="Calibri"/>
        </w:rPr>
        <w:footnoteReference w:id="31"/>
      </w:r>
      <w:r w:rsidRPr="001D5327">
        <w:t xml:space="preserve"> are less relevant to New Zealand’s predominantly outdoor pasture-based systems. Existing digestion models have been largely derived from animals fed indoors on diets unlike the grass-based diets fed</w:t>
      </w:r>
      <w:r w:rsidR="008A26C8" w:rsidRPr="001D5327">
        <w:t> </w:t>
      </w:r>
      <w:r w:rsidRPr="001D5327">
        <w:t>to </w:t>
      </w:r>
      <w:r w:rsidRPr="001D5327" w:rsidDel="00FD2CA9">
        <w:t xml:space="preserve">New </w:t>
      </w:r>
      <w:r w:rsidRPr="001D5327">
        <w:t xml:space="preserve">Zealand livestock. Further, these existing models have a lower predictive power when compared with empirical experimental data derived from </w:t>
      </w:r>
      <w:r w:rsidRPr="001D5327" w:rsidDel="0017066B">
        <w:t xml:space="preserve">New </w:t>
      </w:r>
      <w:r w:rsidRPr="001D5327">
        <w:t>Zealand research (Clark et al., 2003).</w:t>
      </w:r>
    </w:p>
    <w:p w14:paraId="1734DE31" w14:textId="77777777" w:rsidR="00590FE1" w:rsidRPr="001D5327" w:rsidRDefault="00590FE1" w:rsidP="00590FE1">
      <w:pPr>
        <w:pStyle w:val="BodyText"/>
      </w:pPr>
      <w:r w:rsidRPr="001D5327">
        <w:t xml:space="preserve">Since 1996, </w:t>
      </w:r>
      <w:r w:rsidRPr="001D5327" w:rsidDel="002531F0">
        <w:t xml:space="preserve">New </w:t>
      </w:r>
      <w:r w:rsidRPr="001D5327">
        <w:t>Zealand scientists have been measuring CH</w:t>
      </w:r>
      <w:r w:rsidRPr="001D5327">
        <w:rPr>
          <w:vertAlign w:val="subscript"/>
        </w:rPr>
        <w:t>4</w:t>
      </w:r>
      <w:r w:rsidRPr="001D5327">
        <w:t xml:space="preserve"> emissions from grazing (non</w:t>
      </w:r>
      <w:r w:rsidRPr="001D5327">
        <w:noBreakHyphen/>
        <w:t>housed) cattle and sheep initially using the sulphur hexafluoride (SF</w:t>
      </w:r>
      <w:r w:rsidRPr="001D5327">
        <w:rPr>
          <w:vertAlign w:val="subscript"/>
        </w:rPr>
        <w:t>6</w:t>
      </w:r>
      <w:r w:rsidRPr="001D5327">
        <w:t xml:space="preserve">) tracer technique (Lassey et al., 1997; Ulyatt et al., 1999). In recent years, </w:t>
      </w:r>
      <w:r w:rsidRPr="001D5327" w:rsidDel="002F5109">
        <w:t xml:space="preserve">New </w:t>
      </w:r>
      <w:r w:rsidRPr="001D5327">
        <w:t>Zealand-based research has used closed-circuit respiration chambers, which are considered the benchmark for assessing CH</w:t>
      </w:r>
      <w:r w:rsidRPr="001D5327">
        <w:rPr>
          <w:vertAlign w:val="subscript"/>
        </w:rPr>
        <w:t>4</w:t>
      </w:r>
      <w:r w:rsidRPr="001D5327">
        <w:t xml:space="preserve"> emissions from livestock. These have been used to derive respiration-chamber-based measurements of CH</w:t>
      </w:r>
      <w:r w:rsidRPr="001D5327">
        <w:rPr>
          <w:vertAlign w:val="subscript"/>
        </w:rPr>
        <w:t>4</w:t>
      </w:r>
      <w:r w:rsidRPr="001D5327">
        <w:t xml:space="preserve"> emissions for sheep and, more recently, an expanded programme for dairy and non-dairy cattle. </w:t>
      </w:r>
    </w:p>
    <w:p w14:paraId="623CB1E0" w14:textId="77777777" w:rsidR="00590FE1" w:rsidRPr="001D5327" w:rsidRDefault="00590FE1" w:rsidP="00590FE1">
      <w:pPr>
        <w:pStyle w:val="BodyText"/>
      </w:pPr>
      <w:r w:rsidRPr="001D5327">
        <w:t xml:space="preserve">To obtain </w:t>
      </w:r>
      <w:r w:rsidRPr="001D5327" w:rsidDel="007B0600">
        <w:t>New</w:t>
      </w:r>
      <w:r w:rsidRPr="001D5327">
        <w:t xml:space="preserve"> Zealand-specific values (or algorithms for sheep emissions), all relevant published and unpublished </w:t>
      </w:r>
      <w:r w:rsidRPr="001D5327" w:rsidDel="007B0600">
        <w:t xml:space="preserve">New </w:t>
      </w:r>
      <w:r w:rsidRPr="001D5327">
        <w:t xml:space="preserve">Zealand-specific data were collated and used to derive </w:t>
      </w:r>
      <w:r w:rsidRPr="001D5327">
        <w:lastRenderedPageBreak/>
        <w:t>average values for CH</w:t>
      </w:r>
      <w:r w:rsidRPr="001D5327">
        <w:rPr>
          <w:vertAlign w:val="subscript"/>
        </w:rPr>
        <w:t>4</w:t>
      </w:r>
      <w:r w:rsidRPr="001D5327">
        <w:t xml:space="preserve"> emissions from different categories of livestock </w:t>
      </w:r>
      <w:r w:rsidRPr="001D5327">
        <w:rPr>
          <w:spacing w:val="-2"/>
        </w:rPr>
        <w:t xml:space="preserve">(Clark et al., 2003; </w:t>
      </w:r>
      <w:r w:rsidRPr="001D5327">
        <w:t>Swainson et al., 2016). The associated data are presented in table 5.2.2 together with the IPCC (2006, tables 10.12 and 10.13) default values for per cent gross energy intake (GEI) used to calculate CH</w:t>
      </w:r>
      <w:r w:rsidRPr="001D5327">
        <w:rPr>
          <w:vertAlign w:val="subscript"/>
        </w:rPr>
        <w:t>4</w:t>
      </w:r>
      <w:r w:rsidRPr="001D5327">
        <w:t xml:space="preserve">. The New Zealand values for cattle fall within the IPCC range and are applied in this submission. </w:t>
      </w:r>
    </w:p>
    <w:p w14:paraId="4D80C16E" w14:textId="77777777" w:rsidR="00590FE1" w:rsidRPr="001D5327" w:rsidRDefault="00590FE1" w:rsidP="00590FE1">
      <w:pPr>
        <w:pStyle w:val="Table"/>
        <w:rPr>
          <w:rFonts w:cs="Calibri"/>
        </w:rPr>
      </w:pPr>
      <w:bookmarkStart w:id="771" w:name="_Toc441830869"/>
      <w:bookmarkStart w:id="772" w:name="_Toc451176083"/>
      <w:bookmarkStart w:id="773" w:name="_Toc481751509"/>
      <w:bookmarkStart w:id="774" w:name="_Toc507158599"/>
      <w:bookmarkStart w:id="775" w:name="_Toc511116733"/>
      <w:bookmarkStart w:id="776" w:name="_Toc5269473"/>
      <w:bookmarkStart w:id="777" w:name="_Toc32570914"/>
      <w:bookmarkStart w:id="778" w:name="_Toc36224549"/>
      <w:bookmarkStart w:id="779" w:name="_Toc68786435"/>
      <w:bookmarkStart w:id="780" w:name="_Toc95574070"/>
      <w:bookmarkStart w:id="781" w:name="_Toc127458253"/>
      <w:bookmarkStart w:id="782" w:name="_Toc131591349"/>
      <w:bookmarkStart w:id="783" w:name="_Toc160114439"/>
      <w:bookmarkStart w:id="784" w:name="_Toc164153835"/>
      <w:bookmarkStart w:id="785" w:name="_Toc194241702"/>
      <w:r w:rsidRPr="001D5327">
        <w:rPr>
          <w:rFonts w:cs="Calibri"/>
        </w:rPr>
        <w:t>Table 5.2.2</w:t>
      </w:r>
      <w:r w:rsidRPr="001D5327">
        <w:rPr>
          <w:rFonts w:cs="Calibri"/>
        </w:rPr>
        <w:tab/>
        <w:t>Methane (CH</w:t>
      </w:r>
      <w:r w:rsidRPr="001D5327">
        <w:rPr>
          <w:rFonts w:cs="Calibri"/>
          <w:vertAlign w:val="subscript"/>
        </w:rPr>
        <w:t>4</w:t>
      </w:r>
      <w:r w:rsidRPr="001D5327">
        <w:rPr>
          <w:rFonts w:cs="Calibri"/>
        </w:rPr>
        <w:t>) emissions and gross energy intake (GEI) from New Zealand measurements and IPCC (2006) default values</w:t>
      </w:r>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000" w:firstRow="0" w:lastRow="0" w:firstColumn="0" w:lastColumn="0" w:noHBand="0" w:noVBand="0"/>
      </w:tblPr>
      <w:tblGrid>
        <w:gridCol w:w="3402"/>
        <w:gridCol w:w="1418"/>
        <w:gridCol w:w="1701"/>
        <w:gridCol w:w="1984"/>
      </w:tblGrid>
      <w:tr w:rsidR="00590FE1" w:rsidRPr="001D5327" w14:paraId="1A53096B" w14:textId="77777777" w:rsidTr="00403787">
        <w:trPr>
          <w:tblHeader/>
        </w:trPr>
        <w:tc>
          <w:tcPr>
            <w:tcW w:w="3402" w:type="dxa"/>
            <w:shd w:val="clear" w:color="auto" w:fill="1B556B"/>
            <w:vAlign w:val="bottom"/>
          </w:tcPr>
          <w:p w14:paraId="5F8977BE" w14:textId="77777777" w:rsidR="00590FE1" w:rsidRPr="001D5327" w:rsidRDefault="00590FE1" w:rsidP="00B36D58">
            <w:pPr>
              <w:pStyle w:val="TableTextBold"/>
              <w:keepNext/>
              <w:spacing w:before="30" w:after="30"/>
              <w:rPr>
                <w:noProof w:val="0"/>
                <w:color w:val="FFFFFF" w:themeColor="background1"/>
              </w:rPr>
            </w:pPr>
          </w:p>
        </w:tc>
        <w:tc>
          <w:tcPr>
            <w:tcW w:w="1418" w:type="dxa"/>
            <w:shd w:val="clear" w:color="auto" w:fill="1B556B"/>
            <w:vAlign w:val="bottom"/>
          </w:tcPr>
          <w:p w14:paraId="37C3AB9C" w14:textId="77777777" w:rsidR="00590FE1" w:rsidRPr="001D5327" w:rsidRDefault="00590FE1" w:rsidP="00B36D58">
            <w:pPr>
              <w:pStyle w:val="TableTextBold"/>
              <w:keepNext/>
              <w:spacing w:before="30" w:after="30"/>
              <w:jc w:val="right"/>
              <w:rPr>
                <w:noProof w:val="0"/>
                <w:color w:val="FFFFFF" w:themeColor="background1"/>
              </w:rPr>
            </w:pPr>
            <w:r w:rsidRPr="001D5327">
              <w:rPr>
                <w:noProof w:val="0"/>
                <w:color w:val="FFFFFF" w:themeColor="background1"/>
              </w:rPr>
              <w:t>Adult cattle</w:t>
            </w:r>
          </w:p>
        </w:tc>
        <w:tc>
          <w:tcPr>
            <w:tcW w:w="1701" w:type="dxa"/>
            <w:shd w:val="clear" w:color="auto" w:fill="1B556B"/>
            <w:vAlign w:val="bottom"/>
          </w:tcPr>
          <w:p w14:paraId="689B559D" w14:textId="77777777" w:rsidR="00590FE1" w:rsidRPr="001D5327" w:rsidRDefault="00590FE1" w:rsidP="00B36D58">
            <w:pPr>
              <w:pStyle w:val="TableTextBold"/>
              <w:keepNext/>
              <w:spacing w:before="30" w:after="30"/>
              <w:jc w:val="right"/>
              <w:rPr>
                <w:noProof w:val="0"/>
                <w:color w:val="FFFFFF" w:themeColor="background1"/>
              </w:rPr>
            </w:pPr>
            <w:r w:rsidRPr="001D5327">
              <w:rPr>
                <w:noProof w:val="0"/>
                <w:color w:val="FFFFFF" w:themeColor="background1"/>
              </w:rPr>
              <w:t>Adult sheep (&gt; 1 year)</w:t>
            </w:r>
          </w:p>
        </w:tc>
        <w:tc>
          <w:tcPr>
            <w:tcW w:w="1984" w:type="dxa"/>
            <w:shd w:val="clear" w:color="auto" w:fill="1B556B"/>
            <w:vAlign w:val="bottom"/>
          </w:tcPr>
          <w:p w14:paraId="2A304EFD" w14:textId="77777777" w:rsidR="00590FE1" w:rsidRPr="001D5327" w:rsidRDefault="00590FE1" w:rsidP="00B36D58">
            <w:pPr>
              <w:pStyle w:val="TableTextBold"/>
              <w:keepNext/>
              <w:spacing w:before="30" w:after="30"/>
              <w:jc w:val="right"/>
              <w:rPr>
                <w:noProof w:val="0"/>
                <w:color w:val="FFFFFF" w:themeColor="background1"/>
              </w:rPr>
            </w:pPr>
            <w:r w:rsidRPr="001D5327">
              <w:rPr>
                <w:noProof w:val="0"/>
                <w:color w:val="FFFFFF" w:themeColor="background1"/>
              </w:rPr>
              <w:t>Young sheep (&lt; 1 year)</w:t>
            </w:r>
          </w:p>
        </w:tc>
      </w:tr>
      <w:tr w:rsidR="00590FE1" w:rsidRPr="001D5327" w14:paraId="4AE53C0A" w14:textId="77777777" w:rsidTr="00403787">
        <w:tc>
          <w:tcPr>
            <w:tcW w:w="3402" w:type="dxa"/>
            <w:vAlign w:val="bottom"/>
          </w:tcPr>
          <w:p w14:paraId="7E9D089D" w14:textId="77777777" w:rsidR="00590FE1" w:rsidRPr="001D5327" w:rsidRDefault="00590FE1" w:rsidP="00B36D58">
            <w:pPr>
              <w:pStyle w:val="TableText"/>
              <w:keepNext/>
              <w:spacing w:before="30" w:after="30"/>
              <w:rPr>
                <w:rFonts w:cs="Calibri"/>
              </w:rPr>
            </w:pPr>
            <w:r w:rsidRPr="001D5327">
              <w:rPr>
                <w:rFonts w:cs="Calibri"/>
              </w:rPr>
              <w:t>New Zealand CH</w:t>
            </w:r>
            <w:r w:rsidRPr="001D5327">
              <w:rPr>
                <w:rFonts w:cs="Calibri"/>
                <w:vertAlign w:val="subscript"/>
              </w:rPr>
              <w:t>4</w:t>
            </w:r>
            <w:r w:rsidRPr="001D5327">
              <w:rPr>
                <w:rFonts w:cs="Calibri"/>
              </w:rPr>
              <w:t xml:space="preserve"> emission rates from Clark et al. (2003) and Swainson et al. (2016) (g CH</w:t>
            </w:r>
            <w:r w:rsidRPr="001D5327">
              <w:rPr>
                <w:rFonts w:cs="Calibri"/>
                <w:vertAlign w:val="subscript"/>
              </w:rPr>
              <w:t>4</w:t>
            </w:r>
            <w:r w:rsidRPr="001D5327">
              <w:rPr>
                <w:rFonts w:cs="Calibri"/>
              </w:rPr>
              <w:t>/kg DMI)</w:t>
            </w:r>
          </w:p>
        </w:tc>
        <w:tc>
          <w:tcPr>
            <w:tcW w:w="1418" w:type="dxa"/>
            <w:vAlign w:val="bottom"/>
          </w:tcPr>
          <w:p w14:paraId="69605875" w14:textId="77777777" w:rsidR="00590FE1" w:rsidRPr="001D5327" w:rsidRDefault="00590FE1" w:rsidP="00B36D58">
            <w:pPr>
              <w:pStyle w:val="TableText"/>
              <w:keepNext/>
              <w:spacing w:before="30" w:after="30"/>
              <w:jc w:val="right"/>
              <w:rPr>
                <w:rFonts w:cs="Calibri"/>
              </w:rPr>
            </w:pPr>
            <w:r w:rsidRPr="001D5327">
              <w:rPr>
                <w:rFonts w:cs="Calibri"/>
              </w:rPr>
              <w:t>21.6 × DMI</w:t>
            </w:r>
          </w:p>
        </w:tc>
        <w:tc>
          <w:tcPr>
            <w:tcW w:w="1701" w:type="dxa"/>
            <w:vAlign w:val="bottom"/>
          </w:tcPr>
          <w:p w14:paraId="302E7039" w14:textId="77777777" w:rsidR="00590FE1" w:rsidRPr="001D5327" w:rsidRDefault="00590FE1" w:rsidP="00B36D58">
            <w:pPr>
              <w:pStyle w:val="TableText"/>
              <w:keepNext/>
              <w:spacing w:before="30" w:after="30"/>
              <w:jc w:val="right"/>
              <w:rPr>
                <w:rFonts w:cs="Calibri"/>
              </w:rPr>
            </w:pPr>
            <w:r w:rsidRPr="001D5327">
              <w:rPr>
                <w:rFonts w:cs="Calibri"/>
              </w:rPr>
              <w:t>21.977 × DMI</w:t>
            </w:r>
            <w:r w:rsidRPr="001D5327">
              <w:rPr>
                <w:rFonts w:cs="Calibri"/>
                <w:vertAlign w:val="superscript"/>
              </w:rPr>
              <w:t>0.765</w:t>
            </w:r>
          </w:p>
        </w:tc>
        <w:tc>
          <w:tcPr>
            <w:tcW w:w="1984" w:type="dxa"/>
            <w:vAlign w:val="bottom"/>
          </w:tcPr>
          <w:p w14:paraId="00940DE2" w14:textId="77777777" w:rsidR="00590FE1" w:rsidRPr="001D5327" w:rsidRDefault="00590FE1" w:rsidP="00B36D58">
            <w:pPr>
              <w:pStyle w:val="TableText"/>
              <w:keepNext/>
              <w:spacing w:before="30" w:after="30"/>
              <w:jc w:val="right"/>
              <w:rPr>
                <w:rFonts w:cs="Calibri"/>
              </w:rPr>
            </w:pPr>
            <w:r w:rsidRPr="001D5327">
              <w:rPr>
                <w:rFonts w:cs="Calibri"/>
              </w:rPr>
              <w:t>11.705 × e</w:t>
            </w:r>
            <w:r w:rsidRPr="001D5327">
              <w:rPr>
                <w:rFonts w:cs="Calibri"/>
                <w:vertAlign w:val="superscript"/>
              </w:rPr>
              <w:t>0.5ME</w:t>
            </w:r>
            <w:r w:rsidRPr="001D5327">
              <w:rPr>
                <w:rFonts w:cs="Calibri"/>
              </w:rPr>
              <w:t xml:space="preserve"> × DMI</w:t>
            </w:r>
            <w:r w:rsidRPr="001D5327">
              <w:rPr>
                <w:rFonts w:cs="Calibri"/>
                <w:vertAlign w:val="superscript"/>
              </w:rPr>
              <w:t>0.734</w:t>
            </w:r>
          </w:p>
        </w:tc>
      </w:tr>
      <w:tr w:rsidR="00590FE1" w:rsidRPr="001D5327" w14:paraId="761BEB31" w14:textId="77777777" w:rsidTr="00403787">
        <w:tc>
          <w:tcPr>
            <w:tcW w:w="3402" w:type="dxa"/>
            <w:shd w:val="clear" w:color="auto" w:fill="auto"/>
            <w:vAlign w:val="bottom"/>
          </w:tcPr>
          <w:p w14:paraId="573D3A87" w14:textId="77777777" w:rsidR="00590FE1" w:rsidRPr="001D5327" w:rsidRDefault="00590FE1" w:rsidP="00B36D58">
            <w:pPr>
              <w:pStyle w:val="TableText"/>
              <w:spacing w:before="30" w:after="30"/>
              <w:rPr>
                <w:rFonts w:cs="Calibri"/>
              </w:rPr>
            </w:pPr>
            <w:r w:rsidRPr="001D5327" w:rsidDel="005204FA">
              <w:rPr>
                <w:rFonts w:cs="Calibri"/>
              </w:rPr>
              <w:t xml:space="preserve">New </w:t>
            </w:r>
            <w:r w:rsidRPr="001D5327">
              <w:rPr>
                <w:rFonts w:cs="Calibri"/>
              </w:rPr>
              <w:t>Zealand data (GEI, %)</w:t>
            </w:r>
          </w:p>
        </w:tc>
        <w:tc>
          <w:tcPr>
            <w:tcW w:w="1418" w:type="dxa"/>
            <w:shd w:val="clear" w:color="auto" w:fill="auto"/>
            <w:vAlign w:val="bottom"/>
          </w:tcPr>
          <w:p w14:paraId="62FB2BC0" w14:textId="77777777" w:rsidR="00590FE1" w:rsidRPr="001D5327" w:rsidRDefault="00590FE1" w:rsidP="00B36D58">
            <w:pPr>
              <w:pStyle w:val="TableText"/>
              <w:spacing w:before="30" w:after="30"/>
              <w:jc w:val="right"/>
              <w:rPr>
                <w:rFonts w:cs="Calibri"/>
              </w:rPr>
            </w:pPr>
            <w:r w:rsidRPr="001D5327">
              <w:rPr>
                <w:rFonts w:cs="Calibri"/>
              </w:rPr>
              <w:t>6.5</w:t>
            </w:r>
          </w:p>
        </w:tc>
        <w:tc>
          <w:tcPr>
            <w:tcW w:w="1701" w:type="dxa"/>
            <w:shd w:val="clear" w:color="auto" w:fill="auto"/>
            <w:vAlign w:val="bottom"/>
          </w:tcPr>
          <w:p w14:paraId="58CA555E" w14:textId="6893DD67" w:rsidR="00590FE1" w:rsidRPr="001D5327" w:rsidRDefault="0070503C" w:rsidP="00B36D58">
            <w:pPr>
              <w:pStyle w:val="TableText"/>
              <w:spacing w:before="30" w:after="30"/>
              <w:jc w:val="right"/>
              <w:rPr>
                <w:rFonts w:cs="Calibri"/>
              </w:rPr>
            </w:pPr>
            <w:r>
              <w:rPr>
                <w:rFonts w:cs="Calibri"/>
              </w:rPr>
              <w:t>-</w:t>
            </w:r>
          </w:p>
        </w:tc>
        <w:tc>
          <w:tcPr>
            <w:tcW w:w="1984" w:type="dxa"/>
            <w:shd w:val="clear" w:color="auto" w:fill="auto"/>
            <w:vAlign w:val="bottom"/>
          </w:tcPr>
          <w:p w14:paraId="6539D136" w14:textId="554E87C7" w:rsidR="00590FE1" w:rsidRPr="001D5327" w:rsidRDefault="0070503C" w:rsidP="00B36D58">
            <w:pPr>
              <w:pStyle w:val="TableText"/>
              <w:spacing w:before="30" w:after="30"/>
              <w:jc w:val="right"/>
              <w:rPr>
                <w:rFonts w:cs="Calibri"/>
              </w:rPr>
            </w:pPr>
            <w:r>
              <w:rPr>
                <w:rFonts w:cs="Calibri"/>
              </w:rPr>
              <w:t>-</w:t>
            </w:r>
          </w:p>
        </w:tc>
      </w:tr>
      <w:tr w:rsidR="00590FE1" w:rsidRPr="001D5327" w14:paraId="28F5417E" w14:textId="77777777" w:rsidTr="00403787">
        <w:tc>
          <w:tcPr>
            <w:tcW w:w="3402" w:type="dxa"/>
            <w:vAlign w:val="bottom"/>
          </w:tcPr>
          <w:p w14:paraId="281AAA31" w14:textId="77777777" w:rsidR="00590FE1" w:rsidRPr="001D5327" w:rsidRDefault="00590FE1" w:rsidP="00B36D58">
            <w:pPr>
              <w:pStyle w:val="TableText"/>
              <w:spacing w:before="30" w:after="30"/>
              <w:rPr>
                <w:rFonts w:cs="Calibri"/>
              </w:rPr>
            </w:pPr>
            <w:r w:rsidRPr="001D5327">
              <w:rPr>
                <w:rFonts w:cs="Calibri"/>
              </w:rPr>
              <w:t>IPCC (2006) default Y</w:t>
            </w:r>
            <w:r w:rsidRPr="001D5327">
              <w:rPr>
                <w:rFonts w:cs="Calibri"/>
                <w:vertAlign w:val="subscript"/>
              </w:rPr>
              <w:t>m</w:t>
            </w:r>
            <w:r w:rsidRPr="001D5327">
              <w:rPr>
                <w:rFonts w:cs="Calibri"/>
              </w:rPr>
              <w:t xml:space="preserve"> values (GEI, %)</w:t>
            </w:r>
          </w:p>
        </w:tc>
        <w:tc>
          <w:tcPr>
            <w:tcW w:w="1418" w:type="dxa"/>
            <w:vAlign w:val="bottom"/>
          </w:tcPr>
          <w:p w14:paraId="21FFE927" w14:textId="77777777" w:rsidR="00590FE1" w:rsidRPr="001D5327" w:rsidRDefault="00590FE1" w:rsidP="00B36D58">
            <w:pPr>
              <w:pStyle w:val="TableText"/>
              <w:spacing w:before="30" w:after="30"/>
              <w:jc w:val="right"/>
              <w:rPr>
                <w:rFonts w:cs="Calibri"/>
              </w:rPr>
            </w:pPr>
            <w:r w:rsidRPr="001D5327">
              <w:rPr>
                <w:rFonts w:cs="Calibri"/>
              </w:rPr>
              <w:t>6.5 ± 1.0</w:t>
            </w:r>
          </w:p>
        </w:tc>
        <w:tc>
          <w:tcPr>
            <w:tcW w:w="1701" w:type="dxa"/>
            <w:vAlign w:val="bottom"/>
          </w:tcPr>
          <w:p w14:paraId="71A03E5A" w14:textId="77777777" w:rsidR="00590FE1" w:rsidRPr="001D5327" w:rsidRDefault="00590FE1" w:rsidP="00B36D58">
            <w:pPr>
              <w:pStyle w:val="TableText"/>
              <w:spacing w:before="30" w:after="30"/>
              <w:jc w:val="right"/>
              <w:rPr>
                <w:rFonts w:cs="Calibri"/>
              </w:rPr>
            </w:pPr>
            <w:r w:rsidRPr="001D5327">
              <w:rPr>
                <w:rFonts w:cs="Calibri"/>
              </w:rPr>
              <w:t>6.5 ± 1.0</w:t>
            </w:r>
          </w:p>
        </w:tc>
        <w:tc>
          <w:tcPr>
            <w:tcW w:w="1984" w:type="dxa"/>
            <w:vAlign w:val="bottom"/>
          </w:tcPr>
          <w:p w14:paraId="2B8503F3" w14:textId="77777777" w:rsidR="00590FE1" w:rsidRPr="001D5327" w:rsidRDefault="00590FE1" w:rsidP="00B36D58">
            <w:pPr>
              <w:pStyle w:val="TableText"/>
              <w:spacing w:before="30" w:after="30"/>
              <w:jc w:val="right"/>
              <w:rPr>
                <w:rFonts w:cs="Calibri"/>
              </w:rPr>
            </w:pPr>
            <w:r w:rsidRPr="001D5327">
              <w:rPr>
                <w:rFonts w:cs="Calibri"/>
              </w:rPr>
              <w:t>4.5 ± 1.0</w:t>
            </w:r>
          </w:p>
        </w:tc>
      </w:tr>
    </w:tbl>
    <w:p w14:paraId="63DE4BCC" w14:textId="77777777" w:rsidR="00590FE1" w:rsidRPr="001D5327" w:rsidRDefault="00590FE1" w:rsidP="00590FE1">
      <w:pPr>
        <w:pStyle w:val="Noteundertable"/>
        <w:rPr>
          <w:rFonts w:cs="Calibri"/>
        </w:rPr>
      </w:pPr>
      <w:r w:rsidRPr="001D5327">
        <w:rPr>
          <w:rFonts w:cs="Calibri"/>
          <w:b/>
          <w:bCs/>
        </w:rPr>
        <w:t xml:space="preserve">Note: </w:t>
      </w:r>
      <w:r w:rsidRPr="001D5327">
        <w:rPr>
          <w:rFonts w:cs="Calibri"/>
        </w:rPr>
        <w:tab/>
        <w:t>DMI = dry-matter intake; Y</w:t>
      </w:r>
      <w:r w:rsidRPr="001D5327">
        <w:rPr>
          <w:rFonts w:cs="Calibri"/>
          <w:vertAlign w:val="subscript"/>
        </w:rPr>
        <w:t>m</w:t>
      </w:r>
      <w:r w:rsidRPr="001D5327">
        <w:rPr>
          <w:rFonts w:cs="Calibri"/>
        </w:rPr>
        <w:t xml:space="preserve"> = methane yield, ME = metabolisable energy.</w:t>
      </w:r>
    </w:p>
    <w:p w14:paraId="620EC6D2" w14:textId="77777777" w:rsidR="00590FE1" w:rsidRPr="001D5327" w:rsidRDefault="00590FE1" w:rsidP="00590FE1">
      <w:pPr>
        <w:pStyle w:val="BodyText"/>
        <w:rPr>
          <w:rFonts w:cs="Calibri"/>
        </w:rPr>
      </w:pPr>
      <w:r w:rsidRPr="001D5327">
        <w:rPr>
          <w:rFonts w:cs="Calibri"/>
        </w:rPr>
        <w:t>The adult cattle value is applied to all dairy and non-dairy cattle, irrespective of age. The value for deer is calculated based on the average value for adult cows and the (now defunct) CH</w:t>
      </w:r>
      <w:r w:rsidRPr="001D5327">
        <w:rPr>
          <w:rFonts w:cs="Calibri"/>
          <w:vertAlign w:val="subscript"/>
        </w:rPr>
        <w:t>4</w:t>
      </w:r>
      <w:r w:rsidRPr="001D5327">
        <w:rPr>
          <w:rFonts w:cs="Calibri"/>
        </w:rPr>
        <w:t xml:space="preserve"> emission rate for adult ewes</w:t>
      </w:r>
      <w:r w:rsidRPr="001D5327">
        <w:rPr>
          <w:rStyle w:val="FootnoteReference"/>
          <w:rFonts w:cs="Calibri"/>
        </w:rPr>
        <w:footnoteReference w:id="32"/>
      </w:r>
      <w:r w:rsidRPr="001D5327">
        <w:rPr>
          <w:rFonts w:cs="Calibri"/>
        </w:rPr>
        <w:t xml:space="preserve"> (Clark et al., 2003). This is due to: (i) a lack of country-specific data for deer and (ii) that their liveweights are around halfway between cattle and sheep, both of which have emission factors based on robust, country-specific research. No CH</w:t>
      </w:r>
      <w:r w:rsidRPr="001D5327">
        <w:rPr>
          <w:rFonts w:cs="Calibri"/>
          <w:vertAlign w:val="subscript"/>
        </w:rPr>
        <w:t>4</w:t>
      </w:r>
      <w:r w:rsidRPr="001D5327">
        <w:rPr>
          <w:rFonts w:cs="Calibri"/>
        </w:rPr>
        <w:t xml:space="preserve"> emissions are assumed to arise from very young animals during the time that their diet only consists of milk (first two months of age for dairy calves, non-dairy calves and lambs, first four months of age for fawns).</w:t>
      </w:r>
    </w:p>
    <w:p w14:paraId="6BEE4DD6" w14:textId="77777777" w:rsidR="00590FE1" w:rsidRPr="001D5327" w:rsidRDefault="00590FE1" w:rsidP="00590FE1">
      <w:pPr>
        <w:pStyle w:val="BodyText"/>
        <w:rPr>
          <w:rFonts w:cs="Calibri"/>
        </w:rPr>
      </w:pPr>
      <w:r w:rsidRPr="001D5327">
        <w:rPr>
          <w:rFonts w:cs="Calibri"/>
        </w:rPr>
        <w:t>Table 5.2.3 shows a time series of CH</w:t>
      </w:r>
      <w:r w:rsidRPr="001D5327">
        <w:rPr>
          <w:rFonts w:cs="Calibri"/>
          <w:vertAlign w:val="subscript"/>
        </w:rPr>
        <w:t>4</w:t>
      </w:r>
      <w:r w:rsidRPr="001D5327">
        <w:rPr>
          <w:rFonts w:cs="Calibri"/>
        </w:rPr>
        <w:t xml:space="preserve"> IEFs (total emissions produced per animal type divided by the population of animals for each category) for dairy cattle, non-dairy cattle, sheep and deer. </w:t>
      </w:r>
      <w:r w:rsidRPr="001D5327">
        <w:t>New Zealand</w:t>
      </w:r>
      <w:r w:rsidRPr="001D5327">
        <w:rPr>
          <w:rFonts w:cs="Calibri"/>
        </w:rPr>
        <w:t xml:space="preserve"> experiences large inter-annual variability in these IEFs, which is explained further in section 5.1.1. In table 5.2.3, </w:t>
      </w:r>
      <w:r w:rsidRPr="001D5327">
        <w:rPr>
          <w:rFonts w:cs="Calibri"/>
          <w:i/>
          <w:iCs/>
        </w:rPr>
        <w:t>Milking dairy cattle</w:t>
      </w:r>
      <w:r w:rsidRPr="001D5327">
        <w:rPr>
          <w:rFonts w:cs="Calibri"/>
        </w:rPr>
        <w:t xml:space="preserve"> is a subset of </w:t>
      </w:r>
      <w:r w:rsidRPr="001D5327">
        <w:rPr>
          <w:rFonts w:cs="Calibri"/>
          <w:i/>
          <w:iCs/>
        </w:rPr>
        <w:t>All dairy cattle</w:t>
      </w:r>
      <w:r w:rsidRPr="001D5327">
        <w:rPr>
          <w:rFonts w:cs="Calibri"/>
        </w:rPr>
        <w:t xml:space="preserve"> and only includes mature dairy cows that are being milked. </w:t>
      </w:r>
      <w:r w:rsidRPr="001D5327">
        <w:rPr>
          <w:rFonts w:cs="Calibri"/>
          <w:i/>
          <w:iCs/>
        </w:rPr>
        <w:t>All dairy cattle</w:t>
      </w:r>
      <w:r w:rsidRPr="001D5327">
        <w:rPr>
          <w:rFonts w:cs="Calibri"/>
        </w:rPr>
        <w:t xml:space="preserve"> includes milking cows as well as calves, dairy bulls and other dairy cattle not being milked.</w:t>
      </w:r>
    </w:p>
    <w:p w14:paraId="302D0BFF" w14:textId="77777777" w:rsidR="00590FE1" w:rsidRPr="001D5327" w:rsidRDefault="00590FE1" w:rsidP="00590FE1">
      <w:pPr>
        <w:pStyle w:val="Table"/>
        <w:rPr>
          <w:rFonts w:cs="Calibri"/>
        </w:rPr>
      </w:pPr>
      <w:bookmarkStart w:id="786" w:name="_Toc441830870"/>
      <w:bookmarkStart w:id="787" w:name="_Toc451176084"/>
      <w:bookmarkStart w:id="788" w:name="_Toc481751510"/>
      <w:bookmarkStart w:id="789" w:name="_Toc507158600"/>
      <w:bookmarkStart w:id="790" w:name="_Toc511116734"/>
      <w:bookmarkStart w:id="791" w:name="_Toc5269474"/>
      <w:bookmarkStart w:id="792" w:name="_Toc32570915"/>
      <w:bookmarkStart w:id="793" w:name="_Toc36224550"/>
      <w:bookmarkStart w:id="794" w:name="_Toc68786436"/>
      <w:bookmarkStart w:id="795" w:name="_Toc95574071"/>
      <w:bookmarkStart w:id="796" w:name="_Toc127458254"/>
      <w:bookmarkStart w:id="797" w:name="_Toc131591350"/>
      <w:bookmarkStart w:id="798" w:name="_Toc160114440"/>
      <w:bookmarkStart w:id="799" w:name="_Toc164153836"/>
      <w:bookmarkStart w:id="800" w:name="_Toc194241703"/>
      <w:r w:rsidRPr="001D5327">
        <w:rPr>
          <w:rFonts w:cs="Calibri"/>
        </w:rPr>
        <w:t>Table 5.2.3</w:t>
      </w:r>
      <w:r w:rsidRPr="001D5327">
        <w:rPr>
          <w:rFonts w:cs="Calibri"/>
        </w:rPr>
        <w:tab/>
      </w:r>
      <w:r w:rsidRPr="001D5327">
        <w:t>New Zealand’s</w:t>
      </w:r>
      <w:r w:rsidRPr="001D5327">
        <w:rPr>
          <w:rFonts w:cs="Calibri"/>
        </w:rPr>
        <w:t xml:space="preserve"> implied emission factors for enteric fermentation, from 1990 to</w:t>
      </w:r>
      <w:bookmarkEnd w:id="786"/>
      <w:bookmarkEnd w:id="787"/>
      <w:bookmarkEnd w:id="788"/>
      <w:r w:rsidRPr="001D5327">
        <w:rPr>
          <w:rFonts w:cs="Calibri"/>
        </w:rPr>
        <w:t> </w:t>
      </w:r>
      <w:bookmarkEnd w:id="789"/>
      <w:bookmarkEnd w:id="790"/>
      <w:bookmarkEnd w:id="791"/>
      <w:bookmarkEnd w:id="792"/>
      <w:bookmarkEnd w:id="793"/>
      <w:bookmarkEnd w:id="794"/>
      <w:bookmarkEnd w:id="795"/>
      <w:bookmarkEnd w:id="796"/>
      <w:bookmarkEnd w:id="797"/>
      <w:bookmarkEnd w:id="798"/>
      <w:bookmarkEnd w:id="799"/>
      <w:r w:rsidRPr="001D5327">
        <w:rPr>
          <w:rFonts w:cs="Calibri"/>
        </w:rPr>
        <w:t>2023</w:t>
      </w:r>
      <w:bookmarkEnd w:id="800"/>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000" w:firstRow="0" w:lastRow="0" w:firstColumn="0" w:lastColumn="0" w:noHBand="0" w:noVBand="0"/>
      </w:tblPr>
      <w:tblGrid>
        <w:gridCol w:w="609"/>
        <w:gridCol w:w="1671"/>
        <w:gridCol w:w="1670"/>
        <w:gridCol w:w="1670"/>
        <w:gridCol w:w="1670"/>
        <w:gridCol w:w="1215"/>
      </w:tblGrid>
      <w:tr w:rsidR="00590FE1" w:rsidRPr="001D5327" w14:paraId="6182A9FC" w14:textId="77777777" w:rsidTr="00403787">
        <w:trPr>
          <w:trHeight w:val="623"/>
          <w:tblHeader/>
        </w:trPr>
        <w:tc>
          <w:tcPr>
            <w:tcW w:w="567" w:type="dxa"/>
            <w:shd w:val="clear" w:color="auto" w:fill="1B556B"/>
            <w:vAlign w:val="bottom"/>
          </w:tcPr>
          <w:p w14:paraId="4B31F5DA" w14:textId="77777777" w:rsidR="00590FE1" w:rsidRPr="001D5327" w:rsidRDefault="00590FE1" w:rsidP="00403787">
            <w:pPr>
              <w:pStyle w:val="TableTextBold"/>
              <w:keepNext/>
              <w:spacing w:before="40" w:after="40"/>
              <w:rPr>
                <w:noProof w:val="0"/>
                <w:color w:val="FFFFFF" w:themeColor="background1"/>
                <w:szCs w:val="16"/>
              </w:rPr>
            </w:pPr>
            <w:r w:rsidRPr="001D5327">
              <w:rPr>
                <w:noProof w:val="0"/>
                <w:color w:val="FFFFFF" w:themeColor="background1"/>
                <w:szCs w:val="16"/>
              </w:rPr>
              <w:t>Year</w:t>
            </w:r>
          </w:p>
        </w:tc>
        <w:tc>
          <w:tcPr>
            <w:tcW w:w="1560" w:type="dxa"/>
            <w:shd w:val="clear" w:color="auto" w:fill="1B556B"/>
            <w:vAlign w:val="bottom"/>
          </w:tcPr>
          <w:p w14:paraId="56B17938" w14:textId="77777777" w:rsidR="00590FE1" w:rsidRPr="001D5327" w:rsidRDefault="00590FE1" w:rsidP="00403787">
            <w:pPr>
              <w:pStyle w:val="TableTextBold"/>
              <w:spacing w:before="40" w:after="40"/>
              <w:jc w:val="right"/>
              <w:rPr>
                <w:noProof w:val="0"/>
                <w:color w:val="FFFFFF" w:themeColor="background1"/>
                <w:szCs w:val="16"/>
              </w:rPr>
            </w:pPr>
            <w:r w:rsidRPr="001D5327">
              <w:rPr>
                <w:noProof w:val="0"/>
                <w:color w:val="FFFFFF" w:themeColor="background1"/>
                <w:szCs w:val="16"/>
              </w:rPr>
              <w:t>All dairy cattle</w:t>
            </w:r>
            <w:r w:rsidRPr="001D5327">
              <w:rPr>
                <w:noProof w:val="0"/>
                <w:color w:val="FFFFFF" w:themeColor="background1"/>
                <w:szCs w:val="16"/>
              </w:rPr>
              <w:br/>
              <w:t>(kg CH</w:t>
            </w:r>
            <w:r w:rsidRPr="001D5327">
              <w:rPr>
                <w:noProof w:val="0"/>
                <w:color w:val="FFFFFF" w:themeColor="background1"/>
                <w:szCs w:val="16"/>
                <w:vertAlign w:val="subscript"/>
              </w:rPr>
              <w:t>4</w:t>
            </w:r>
            <w:r w:rsidRPr="001D5327">
              <w:rPr>
                <w:noProof w:val="0"/>
                <w:color w:val="FFFFFF" w:themeColor="background1"/>
                <w:szCs w:val="16"/>
              </w:rPr>
              <w:t xml:space="preserve"> per animal per annum)</w:t>
            </w:r>
          </w:p>
        </w:tc>
        <w:tc>
          <w:tcPr>
            <w:tcW w:w="1559" w:type="dxa"/>
            <w:shd w:val="clear" w:color="auto" w:fill="1B556B"/>
          </w:tcPr>
          <w:p w14:paraId="71844F0E" w14:textId="77777777" w:rsidR="00590FE1" w:rsidRPr="001D5327" w:rsidRDefault="00590FE1" w:rsidP="00403787">
            <w:pPr>
              <w:pStyle w:val="TableTextBold"/>
              <w:spacing w:before="40" w:after="40"/>
              <w:jc w:val="right"/>
              <w:rPr>
                <w:noProof w:val="0"/>
                <w:color w:val="FFFFFF" w:themeColor="background1"/>
                <w:szCs w:val="16"/>
              </w:rPr>
            </w:pPr>
            <w:r w:rsidRPr="001D5327">
              <w:rPr>
                <w:noProof w:val="0"/>
                <w:color w:val="FFFFFF" w:themeColor="background1"/>
                <w:szCs w:val="16"/>
              </w:rPr>
              <w:t>Milking dairy cattle (kg CH</w:t>
            </w:r>
            <w:r w:rsidRPr="001D5327">
              <w:rPr>
                <w:noProof w:val="0"/>
                <w:color w:val="FFFFFF" w:themeColor="background1"/>
                <w:szCs w:val="16"/>
                <w:vertAlign w:val="subscript"/>
              </w:rPr>
              <w:t>4</w:t>
            </w:r>
            <w:r w:rsidRPr="001D5327">
              <w:rPr>
                <w:noProof w:val="0"/>
                <w:color w:val="FFFFFF" w:themeColor="background1"/>
                <w:szCs w:val="16"/>
              </w:rPr>
              <w:t xml:space="preserve"> per animal per annum)</w:t>
            </w:r>
          </w:p>
        </w:tc>
        <w:tc>
          <w:tcPr>
            <w:tcW w:w="1559" w:type="dxa"/>
            <w:shd w:val="clear" w:color="auto" w:fill="1B556B"/>
            <w:vAlign w:val="bottom"/>
          </w:tcPr>
          <w:p w14:paraId="7BD9B3A2" w14:textId="77777777" w:rsidR="00590FE1" w:rsidRPr="001D5327" w:rsidRDefault="00590FE1" w:rsidP="00403787">
            <w:pPr>
              <w:pStyle w:val="TableTextBold"/>
              <w:spacing w:before="40" w:after="40"/>
              <w:jc w:val="right"/>
              <w:rPr>
                <w:noProof w:val="0"/>
                <w:color w:val="FFFFFF" w:themeColor="background1"/>
                <w:szCs w:val="16"/>
              </w:rPr>
            </w:pPr>
            <w:r w:rsidRPr="001D5327">
              <w:rPr>
                <w:noProof w:val="0"/>
                <w:color w:val="FFFFFF" w:themeColor="background1"/>
                <w:szCs w:val="16"/>
              </w:rPr>
              <w:t>Non-dairy cattle (kg CH</w:t>
            </w:r>
            <w:r w:rsidRPr="001D5327">
              <w:rPr>
                <w:noProof w:val="0"/>
                <w:color w:val="FFFFFF" w:themeColor="background1"/>
                <w:szCs w:val="16"/>
                <w:vertAlign w:val="subscript"/>
              </w:rPr>
              <w:t>4</w:t>
            </w:r>
            <w:r w:rsidRPr="001D5327">
              <w:rPr>
                <w:noProof w:val="0"/>
                <w:color w:val="FFFFFF" w:themeColor="background1"/>
                <w:szCs w:val="16"/>
              </w:rPr>
              <w:t xml:space="preserve"> per animal per annum)</w:t>
            </w:r>
          </w:p>
        </w:tc>
        <w:tc>
          <w:tcPr>
            <w:tcW w:w="1559" w:type="dxa"/>
            <w:shd w:val="clear" w:color="auto" w:fill="1B556B"/>
            <w:vAlign w:val="bottom"/>
          </w:tcPr>
          <w:p w14:paraId="69CD4F40" w14:textId="77777777" w:rsidR="00590FE1" w:rsidRPr="001D5327" w:rsidRDefault="00590FE1" w:rsidP="00403787">
            <w:pPr>
              <w:pStyle w:val="TableText"/>
              <w:spacing w:before="40" w:after="40"/>
              <w:jc w:val="right"/>
              <w:rPr>
                <w:b/>
                <w:bCs/>
                <w:color w:val="FFFFFF" w:themeColor="background1"/>
              </w:rPr>
            </w:pPr>
            <w:r w:rsidRPr="001D5327">
              <w:rPr>
                <w:b/>
                <w:bCs/>
                <w:color w:val="FFFFFF" w:themeColor="background1"/>
              </w:rPr>
              <w:t>Sheep, all</w:t>
            </w:r>
            <w:r w:rsidRPr="001D5327">
              <w:rPr>
                <w:b/>
                <w:bCs/>
                <w:color w:val="FFFFFF" w:themeColor="background1"/>
              </w:rPr>
              <w:br/>
              <w:t>(kg CH</w:t>
            </w:r>
            <w:r w:rsidRPr="001D5327">
              <w:rPr>
                <w:b/>
                <w:bCs/>
                <w:color w:val="FFFFFF" w:themeColor="background1"/>
                <w:vertAlign w:val="subscript"/>
              </w:rPr>
              <w:t>4</w:t>
            </w:r>
            <w:r w:rsidRPr="001D5327">
              <w:rPr>
                <w:b/>
                <w:bCs/>
                <w:color w:val="FFFFFF" w:themeColor="background1"/>
              </w:rPr>
              <w:t xml:space="preserve"> per animal per annum)</w:t>
            </w:r>
          </w:p>
        </w:tc>
        <w:tc>
          <w:tcPr>
            <w:tcW w:w="1134" w:type="dxa"/>
            <w:shd w:val="clear" w:color="auto" w:fill="1B556B"/>
            <w:vAlign w:val="bottom"/>
          </w:tcPr>
          <w:p w14:paraId="04663EC4" w14:textId="77777777" w:rsidR="00590FE1" w:rsidRPr="001D5327" w:rsidRDefault="00590FE1" w:rsidP="00403787">
            <w:pPr>
              <w:pStyle w:val="TableTextBold"/>
              <w:spacing w:before="40" w:after="40"/>
              <w:jc w:val="right"/>
              <w:rPr>
                <w:bCs/>
                <w:noProof w:val="0"/>
                <w:color w:val="FFFFFF" w:themeColor="background1"/>
                <w:szCs w:val="16"/>
              </w:rPr>
            </w:pPr>
            <w:r w:rsidRPr="001D5327">
              <w:rPr>
                <w:bCs/>
                <w:noProof w:val="0"/>
                <w:color w:val="FFFFFF" w:themeColor="background1"/>
                <w:szCs w:val="16"/>
              </w:rPr>
              <w:t>Deer (kg CH</w:t>
            </w:r>
            <w:r w:rsidRPr="001D5327">
              <w:rPr>
                <w:bCs/>
                <w:noProof w:val="0"/>
                <w:color w:val="FFFFFF" w:themeColor="background1"/>
                <w:szCs w:val="16"/>
                <w:vertAlign w:val="subscript"/>
              </w:rPr>
              <w:t>4</w:t>
            </w:r>
            <w:r w:rsidRPr="001D5327">
              <w:rPr>
                <w:bCs/>
                <w:noProof w:val="0"/>
                <w:color w:val="FFFFFF" w:themeColor="background1"/>
                <w:szCs w:val="16"/>
              </w:rPr>
              <w:t xml:space="preserve"> per animal per annum)</w:t>
            </w:r>
          </w:p>
        </w:tc>
      </w:tr>
      <w:tr w:rsidR="00590FE1" w:rsidRPr="001D5327" w14:paraId="16EC4ECA" w14:textId="77777777" w:rsidTr="00403787">
        <w:trPr>
          <w:trHeight w:val="239"/>
        </w:trPr>
        <w:tc>
          <w:tcPr>
            <w:tcW w:w="567" w:type="dxa"/>
          </w:tcPr>
          <w:p w14:paraId="6CC01F02" w14:textId="77777777" w:rsidR="00590FE1" w:rsidRPr="001D5327" w:rsidRDefault="00590FE1" w:rsidP="00B36D58">
            <w:pPr>
              <w:pStyle w:val="TableText"/>
              <w:keepNext/>
              <w:spacing w:before="30" w:after="30"/>
              <w:rPr>
                <w:rFonts w:cs="Calibri"/>
                <w:szCs w:val="16"/>
              </w:rPr>
            </w:pPr>
            <w:r w:rsidRPr="001D5327">
              <w:rPr>
                <w:rFonts w:cs="Calibri"/>
                <w:szCs w:val="16"/>
              </w:rPr>
              <w:t>1990</w:t>
            </w:r>
          </w:p>
        </w:tc>
        <w:tc>
          <w:tcPr>
            <w:tcW w:w="1560" w:type="dxa"/>
            <w:vAlign w:val="bottom"/>
          </w:tcPr>
          <w:p w14:paraId="2172703D" w14:textId="77777777" w:rsidR="00590FE1" w:rsidRPr="001D5327" w:rsidRDefault="00590FE1" w:rsidP="00B36D58">
            <w:pPr>
              <w:pStyle w:val="TableText"/>
              <w:spacing w:before="30" w:after="30"/>
              <w:jc w:val="right"/>
            </w:pPr>
            <w:r w:rsidRPr="001D5327">
              <w:t>72.2</w:t>
            </w:r>
          </w:p>
        </w:tc>
        <w:tc>
          <w:tcPr>
            <w:tcW w:w="1559" w:type="dxa"/>
          </w:tcPr>
          <w:p w14:paraId="3E4885D7" w14:textId="77777777" w:rsidR="00590FE1" w:rsidRPr="001D5327" w:rsidRDefault="00590FE1" w:rsidP="00B36D58">
            <w:pPr>
              <w:pStyle w:val="TableText"/>
              <w:spacing w:before="30" w:after="30"/>
              <w:jc w:val="right"/>
            </w:pPr>
            <w:r w:rsidRPr="001D5327">
              <w:t>76.6</w:t>
            </w:r>
          </w:p>
        </w:tc>
        <w:tc>
          <w:tcPr>
            <w:tcW w:w="1559" w:type="dxa"/>
          </w:tcPr>
          <w:p w14:paraId="7F434CFD" w14:textId="77777777" w:rsidR="00590FE1" w:rsidRPr="001D5327" w:rsidRDefault="00590FE1" w:rsidP="00B36D58">
            <w:pPr>
              <w:pStyle w:val="TableText"/>
              <w:spacing w:before="30" w:after="30"/>
              <w:jc w:val="right"/>
            </w:pPr>
            <w:r w:rsidRPr="001D5327">
              <w:t>57.5</w:t>
            </w:r>
          </w:p>
        </w:tc>
        <w:tc>
          <w:tcPr>
            <w:tcW w:w="1559" w:type="dxa"/>
          </w:tcPr>
          <w:p w14:paraId="53ED757A" w14:textId="77777777" w:rsidR="00590FE1" w:rsidRPr="001D5327" w:rsidRDefault="00590FE1" w:rsidP="00B36D58">
            <w:pPr>
              <w:pStyle w:val="TableText"/>
              <w:spacing w:before="30" w:after="30"/>
              <w:jc w:val="right"/>
            </w:pPr>
            <w:r w:rsidRPr="001D5327">
              <w:t>9.8</w:t>
            </w:r>
          </w:p>
        </w:tc>
        <w:tc>
          <w:tcPr>
            <w:tcW w:w="1134" w:type="dxa"/>
          </w:tcPr>
          <w:p w14:paraId="57C0B4FE" w14:textId="77777777" w:rsidR="00590FE1" w:rsidRPr="001D5327" w:rsidRDefault="00590FE1" w:rsidP="00B36D58">
            <w:pPr>
              <w:pStyle w:val="TableText"/>
              <w:spacing w:before="30" w:after="30"/>
              <w:jc w:val="right"/>
            </w:pPr>
            <w:r w:rsidRPr="001D5327">
              <w:t>16.3</w:t>
            </w:r>
          </w:p>
        </w:tc>
      </w:tr>
      <w:tr w:rsidR="00590FE1" w:rsidRPr="001D5327" w14:paraId="793AD99B" w14:textId="77777777" w:rsidTr="00403787">
        <w:trPr>
          <w:trHeight w:val="239"/>
        </w:trPr>
        <w:tc>
          <w:tcPr>
            <w:tcW w:w="567" w:type="dxa"/>
          </w:tcPr>
          <w:p w14:paraId="02975F0C" w14:textId="77777777" w:rsidR="00590FE1" w:rsidRPr="001D5327" w:rsidRDefault="00590FE1" w:rsidP="00B36D58">
            <w:pPr>
              <w:pStyle w:val="TableText"/>
              <w:spacing w:before="30" w:after="30"/>
              <w:rPr>
                <w:rFonts w:cs="Calibri"/>
                <w:szCs w:val="16"/>
              </w:rPr>
            </w:pPr>
            <w:r w:rsidRPr="001D5327">
              <w:rPr>
                <w:rFonts w:cs="Calibri"/>
                <w:szCs w:val="16"/>
              </w:rPr>
              <w:t>1995</w:t>
            </w:r>
          </w:p>
        </w:tc>
        <w:tc>
          <w:tcPr>
            <w:tcW w:w="1560" w:type="dxa"/>
            <w:vAlign w:val="bottom"/>
          </w:tcPr>
          <w:p w14:paraId="042603AA" w14:textId="77777777" w:rsidR="00590FE1" w:rsidRPr="001D5327" w:rsidRDefault="00590FE1" w:rsidP="00B36D58">
            <w:pPr>
              <w:pStyle w:val="TableText"/>
              <w:spacing w:before="30" w:after="30"/>
              <w:jc w:val="right"/>
            </w:pPr>
            <w:r w:rsidRPr="001D5327">
              <w:t>75.3</w:t>
            </w:r>
          </w:p>
        </w:tc>
        <w:tc>
          <w:tcPr>
            <w:tcW w:w="1559" w:type="dxa"/>
          </w:tcPr>
          <w:p w14:paraId="41673BFE" w14:textId="77777777" w:rsidR="00590FE1" w:rsidRPr="001D5327" w:rsidRDefault="00590FE1" w:rsidP="00B36D58">
            <w:pPr>
              <w:pStyle w:val="TableText"/>
              <w:spacing w:before="30" w:after="30"/>
              <w:jc w:val="right"/>
            </w:pPr>
            <w:r w:rsidRPr="001D5327">
              <w:t>83.0</w:t>
            </w:r>
          </w:p>
        </w:tc>
        <w:tc>
          <w:tcPr>
            <w:tcW w:w="1559" w:type="dxa"/>
          </w:tcPr>
          <w:p w14:paraId="307568B0" w14:textId="77777777" w:rsidR="00590FE1" w:rsidRPr="001D5327" w:rsidRDefault="00590FE1" w:rsidP="00B36D58">
            <w:pPr>
              <w:pStyle w:val="TableText"/>
              <w:spacing w:before="30" w:after="30"/>
              <w:jc w:val="right"/>
            </w:pPr>
            <w:r w:rsidRPr="001D5327">
              <w:t>60.4</w:t>
            </w:r>
          </w:p>
        </w:tc>
        <w:tc>
          <w:tcPr>
            <w:tcW w:w="1559" w:type="dxa"/>
          </w:tcPr>
          <w:p w14:paraId="233E084C" w14:textId="77777777" w:rsidR="00590FE1" w:rsidRPr="001D5327" w:rsidRDefault="00590FE1" w:rsidP="00B36D58">
            <w:pPr>
              <w:pStyle w:val="TableText"/>
              <w:spacing w:before="30" w:after="30"/>
              <w:jc w:val="right"/>
            </w:pPr>
            <w:r w:rsidRPr="001D5327">
              <w:t>10.5</w:t>
            </w:r>
          </w:p>
        </w:tc>
        <w:tc>
          <w:tcPr>
            <w:tcW w:w="1134" w:type="dxa"/>
          </w:tcPr>
          <w:p w14:paraId="1DD115B7" w14:textId="77777777" w:rsidR="00590FE1" w:rsidRPr="001D5327" w:rsidRDefault="00590FE1" w:rsidP="00B36D58">
            <w:pPr>
              <w:pStyle w:val="TableText"/>
              <w:spacing w:before="30" w:after="30"/>
              <w:jc w:val="right"/>
            </w:pPr>
            <w:r w:rsidRPr="001D5327">
              <w:t>18.0</w:t>
            </w:r>
          </w:p>
        </w:tc>
      </w:tr>
      <w:tr w:rsidR="00590FE1" w:rsidRPr="001D5327" w14:paraId="64591B1C" w14:textId="77777777" w:rsidTr="00403787">
        <w:trPr>
          <w:trHeight w:val="239"/>
        </w:trPr>
        <w:tc>
          <w:tcPr>
            <w:tcW w:w="567" w:type="dxa"/>
          </w:tcPr>
          <w:p w14:paraId="61BAFE20" w14:textId="77777777" w:rsidR="00590FE1" w:rsidRPr="001D5327" w:rsidRDefault="00590FE1" w:rsidP="00B36D58">
            <w:pPr>
              <w:pStyle w:val="TableText"/>
              <w:spacing w:before="30" w:after="30"/>
              <w:rPr>
                <w:rFonts w:cs="Calibri"/>
                <w:szCs w:val="16"/>
              </w:rPr>
            </w:pPr>
            <w:r w:rsidRPr="001D5327">
              <w:rPr>
                <w:rFonts w:cs="Calibri"/>
                <w:szCs w:val="16"/>
              </w:rPr>
              <w:t>2000</w:t>
            </w:r>
          </w:p>
        </w:tc>
        <w:tc>
          <w:tcPr>
            <w:tcW w:w="1560" w:type="dxa"/>
            <w:vAlign w:val="bottom"/>
          </w:tcPr>
          <w:p w14:paraId="5DB40457" w14:textId="77777777" w:rsidR="00590FE1" w:rsidRPr="001D5327" w:rsidRDefault="00590FE1" w:rsidP="00B36D58">
            <w:pPr>
              <w:pStyle w:val="TableText"/>
              <w:spacing w:before="30" w:after="30"/>
              <w:jc w:val="right"/>
            </w:pPr>
            <w:r w:rsidRPr="001D5327">
              <w:t>79.6</w:t>
            </w:r>
          </w:p>
        </w:tc>
        <w:tc>
          <w:tcPr>
            <w:tcW w:w="1559" w:type="dxa"/>
          </w:tcPr>
          <w:p w14:paraId="5E175AF7" w14:textId="77777777" w:rsidR="00590FE1" w:rsidRPr="001D5327" w:rsidRDefault="00590FE1" w:rsidP="00B36D58">
            <w:pPr>
              <w:pStyle w:val="TableText"/>
              <w:spacing w:before="30" w:after="30"/>
              <w:jc w:val="right"/>
            </w:pPr>
            <w:r w:rsidRPr="001D5327">
              <w:t>89.3</w:t>
            </w:r>
          </w:p>
        </w:tc>
        <w:tc>
          <w:tcPr>
            <w:tcW w:w="1559" w:type="dxa"/>
          </w:tcPr>
          <w:p w14:paraId="41099C02" w14:textId="77777777" w:rsidR="00590FE1" w:rsidRPr="001D5327" w:rsidRDefault="00590FE1" w:rsidP="00B36D58">
            <w:pPr>
              <w:pStyle w:val="TableText"/>
              <w:spacing w:before="30" w:after="30"/>
              <w:jc w:val="right"/>
            </w:pPr>
            <w:r w:rsidRPr="001D5327">
              <w:t>64.0</w:t>
            </w:r>
          </w:p>
        </w:tc>
        <w:tc>
          <w:tcPr>
            <w:tcW w:w="1559" w:type="dxa"/>
          </w:tcPr>
          <w:p w14:paraId="28B2D03F" w14:textId="77777777" w:rsidR="00590FE1" w:rsidRPr="001D5327" w:rsidRDefault="00590FE1" w:rsidP="00B36D58">
            <w:pPr>
              <w:pStyle w:val="TableText"/>
              <w:spacing w:before="30" w:after="30"/>
              <w:jc w:val="right"/>
            </w:pPr>
            <w:r w:rsidRPr="001D5327">
              <w:t>11.6</w:t>
            </w:r>
          </w:p>
        </w:tc>
        <w:tc>
          <w:tcPr>
            <w:tcW w:w="1134" w:type="dxa"/>
          </w:tcPr>
          <w:p w14:paraId="6EEBBA5B" w14:textId="77777777" w:rsidR="00590FE1" w:rsidRPr="001D5327" w:rsidRDefault="00590FE1" w:rsidP="00B36D58">
            <w:pPr>
              <w:pStyle w:val="TableText"/>
              <w:spacing w:before="30" w:after="30"/>
              <w:jc w:val="right"/>
            </w:pPr>
            <w:r w:rsidRPr="001D5327">
              <w:t>17.9</w:t>
            </w:r>
          </w:p>
        </w:tc>
      </w:tr>
      <w:tr w:rsidR="00590FE1" w:rsidRPr="001D5327" w14:paraId="1AFC0684" w14:textId="77777777" w:rsidTr="00403787">
        <w:trPr>
          <w:trHeight w:val="239"/>
        </w:trPr>
        <w:tc>
          <w:tcPr>
            <w:tcW w:w="567" w:type="dxa"/>
          </w:tcPr>
          <w:p w14:paraId="4971EA4C" w14:textId="77777777" w:rsidR="00590FE1" w:rsidRPr="001D5327" w:rsidRDefault="00590FE1" w:rsidP="00B36D58">
            <w:pPr>
              <w:pStyle w:val="TableText"/>
              <w:spacing w:before="30" w:after="30"/>
              <w:rPr>
                <w:rFonts w:cs="Calibri"/>
                <w:szCs w:val="16"/>
              </w:rPr>
            </w:pPr>
            <w:r w:rsidRPr="001D5327">
              <w:rPr>
                <w:rFonts w:cs="Calibri"/>
                <w:szCs w:val="16"/>
              </w:rPr>
              <w:t>2005</w:t>
            </w:r>
          </w:p>
        </w:tc>
        <w:tc>
          <w:tcPr>
            <w:tcW w:w="1560" w:type="dxa"/>
            <w:vAlign w:val="bottom"/>
          </w:tcPr>
          <w:p w14:paraId="32363961" w14:textId="77777777" w:rsidR="00590FE1" w:rsidRPr="001D5327" w:rsidRDefault="00590FE1" w:rsidP="00B36D58">
            <w:pPr>
              <w:pStyle w:val="TableText"/>
              <w:spacing w:before="30" w:after="30"/>
              <w:jc w:val="right"/>
            </w:pPr>
            <w:r w:rsidRPr="001D5327">
              <w:t>82.3</w:t>
            </w:r>
          </w:p>
        </w:tc>
        <w:tc>
          <w:tcPr>
            <w:tcW w:w="1559" w:type="dxa"/>
          </w:tcPr>
          <w:p w14:paraId="65441AEC" w14:textId="77777777" w:rsidR="00590FE1" w:rsidRPr="001D5327" w:rsidRDefault="00590FE1" w:rsidP="00B36D58">
            <w:pPr>
              <w:pStyle w:val="TableText"/>
              <w:spacing w:before="30" w:after="30"/>
              <w:jc w:val="right"/>
            </w:pPr>
            <w:r w:rsidRPr="001D5327">
              <w:t>86.6</w:t>
            </w:r>
          </w:p>
        </w:tc>
        <w:tc>
          <w:tcPr>
            <w:tcW w:w="1559" w:type="dxa"/>
          </w:tcPr>
          <w:p w14:paraId="00C9C407" w14:textId="77777777" w:rsidR="00590FE1" w:rsidRPr="001D5327" w:rsidRDefault="00590FE1" w:rsidP="00B36D58">
            <w:pPr>
              <w:pStyle w:val="TableText"/>
              <w:spacing w:before="30" w:after="30"/>
              <w:jc w:val="right"/>
            </w:pPr>
            <w:r w:rsidRPr="001D5327">
              <w:t>67.8</w:t>
            </w:r>
          </w:p>
        </w:tc>
        <w:tc>
          <w:tcPr>
            <w:tcW w:w="1559" w:type="dxa"/>
          </w:tcPr>
          <w:p w14:paraId="5771F06C" w14:textId="77777777" w:rsidR="00590FE1" w:rsidRPr="001D5327" w:rsidRDefault="00590FE1" w:rsidP="00B36D58">
            <w:pPr>
              <w:pStyle w:val="TableText"/>
              <w:spacing w:before="30" w:after="30"/>
              <w:jc w:val="right"/>
            </w:pPr>
            <w:r w:rsidRPr="001D5327">
              <w:t>11.9</w:t>
            </w:r>
          </w:p>
        </w:tc>
        <w:tc>
          <w:tcPr>
            <w:tcW w:w="1134" w:type="dxa"/>
          </w:tcPr>
          <w:p w14:paraId="49213BB2" w14:textId="77777777" w:rsidR="00590FE1" w:rsidRPr="001D5327" w:rsidRDefault="00590FE1" w:rsidP="00B36D58">
            <w:pPr>
              <w:pStyle w:val="TableText"/>
              <w:spacing w:before="30" w:after="30"/>
              <w:jc w:val="right"/>
            </w:pPr>
            <w:r w:rsidRPr="001D5327">
              <w:t>17.8</w:t>
            </w:r>
          </w:p>
        </w:tc>
      </w:tr>
      <w:tr w:rsidR="00590FE1" w:rsidRPr="001D5327" w14:paraId="7A715084" w14:textId="77777777" w:rsidTr="00403787">
        <w:trPr>
          <w:trHeight w:val="239"/>
        </w:trPr>
        <w:tc>
          <w:tcPr>
            <w:tcW w:w="567" w:type="dxa"/>
          </w:tcPr>
          <w:p w14:paraId="5192AA2D" w14:textId="77777777" w:rsidR="00590FE1" w:rsidRPr="001D5327" w:rsidRDefault="00590FE1" w:rsidP="00B36D58">
            <w:pPr>
              <w:pStyle w:val="TableText"/>
              <w:spacing w:before="30" w:after="30"/>
              <w:rPr>
                <w:rFonts w:cs="Calibri"/>
                <w:szCs w:val="16"/>
              </w:rPr>
            </w:pPr>
            <w:r w:rsidRPr="001D5327">
              <w:rPr>
                <w:rFonts w:cs="Calibri"/>
                <w:szCs w:val="16"/>
              </w:rPr>
              <w:t>2010</w:t>
            </w:r>
          </w:p>
        </w:tc>
        <w:tc>
          <w:tcPr>
            <w:tcW w:w="1560" w:type="dxa"/>
            <w:vAlign w:val="bottom"/>
          </w:tcPr>
          <w:p w14:paraId="02977158" w14:textId="77777777" w:rsidR="00590FE1" w:rsidRPr="001D5327" w:rsidRDefault="00590FE1" w:rsidP="00B36D58">
            <w:pPr>
              <w:pStyle w:val="TableText"/>
              <w:spacing w:before="30" w:after="30"/>
              <w:jc w:val="right"/>
            </w:pPr>
            <w:r w:rsidRPr="001D5327">
              <w:t>82.7</w:t>
            </w:r>
          </w:p>
        </w:tc>
        <w:tc>
          <w:tcPr>
            <w:tcW w:w="1559" w:type="dxa"/>
          </w:tcPr>
          <w:p w14:paraId="06E3ED27" w14:textId="77777777" w:rsidR="00590FE1" w:rsidRPr="001D5327" w:rsidRDefault="00590FE1" w:rsidP="00B36D58">
            <w:pPr>
              <w:pStyle w:val="TableText"/>
              <w:spacing w:before="30" w:after="30"/>
              <w:jc w:val="right"/>
            </w:pPr>
            <w:r w:rsidRPr="001D5327">
              <w:t>90.5</w:t>
            </w:r>
          </w:p>
        </w:tc>
        <w:tc>
          <w:tcPr>
            <w:tcW w:w="1559" w:type="dxa"/>
          </w:tcPr>
          <w:p w14:paraId="710D9CC7" w14:textId="77777777" w:rsidR="00590FE1" w:rsidRPr="001D5327" w:rsidRDefault="00590FE1" w:rsidP="00B36D58">
            <w:pPr>
              <w:pStyle w:val="TableText"/>
              <w:spacing w:before="30" w:after="30"/>
              <w:jc w:val="right"/>
            </w:pPr>
            <w:r w:rsidRPr="001D5327">
              <w:t>66.4</w:t>
            </w:r>
          </w:p>
        </w:tc>
        <w:tc>
          <w:tcPr>
            <w:tcW w:w="1559" w:type="dxa"/>
          </w:tcPr>
          <w:p w14:paraId="32446430" w14:textId="77777777" w:rsidR="00590FE1" w:rsidRPr="001D5327" w:rsidRDefault="00590FE1" w:rsidP="00B36D58">
            <w:pPr>
              <w:pStyle w:val="TableText"/>
              <w:spacing w:before="30" w:after="30"/>
              <w:jc w:val="right"/>
            </w:pPr>
            <w:r w:rsidRPr="001D5327">
              <w:t>11.7</w:t>
            </w:r>
          </w:p>
        </w:tc>
        <w:tc>
          <w:tcPr>
            <w:tcW w:w="1134" w:type="dxa"/>
          </w:tcPr>
          <w:p w14:paraId="04C45158" w14:textId="77777777" w:rsidR="00590FE1" w:rsidRPr="001D5327" w:rsidRDefault="00590FE1" w:rsidP="00B36D58">
            <w:pPr>
              <w:pStyle w:val="TableText"/>
              <w:spacing w:before="30" w:after="30"/>
              <w:jc w:val="right"/>
            </w:pPr>
            <w:r w:rsidRPr="001D5327">
              <w:t>18.2</w:t>
            </w:r>
          </w:p>
        </w:tc>
      </w:tr>
      <w:tr w:rsidR="00590FE1" w:rsidRPr="001D5327" w14:paraId="6B84E496" w14:textId="77777777" w:rsidTr="00403787">
        <w:trPr>
          <w:trHeight w:val="239"/>
        </w:trPr>
        <w:tc>
          <w:tcPr>
            <w:tcW w:w="567" w:type="dxa"/>
          </w:tcPr>
          <w:p w14:paraId="682AD6F4" w14:textId="77777777" w:rsidR="00590FE1" w:rsidRPr="001D5327" w:rsidRDefault="00590FE1" w:rsidP="00B36D58">
            <w:pPr>
              <w:pStyle w:val="TableText"/>
              <w:spacing w:before="30" w:after="30"/>
              <w:rPr>
                <w:rFonts w:cs="Calibri"/>
                <w:szCs w:val="16"/>
              </w:rPr>
            </w:pPr>
            <w:r w:rsidRPr="001D5327">
              <w:rPr>
                <w:rFonts w:cs="Calibri"/>
                <w:szCs w:val="16"/>
              </w:rPr>
              <w:t>2015</w:t>
            </w:r>
          </w:p>
        </w:tc>
        <w:tc>
          <w:tcPr>
            <w:tcW w:w="1560" w:type="dxa"/>
            <w:vAlign w:val="bottom"/>
          </w:tcPr>
          <w:p w14:paraId="4E854A59" w14:textId="77777777" w:rsidR="00590FE1" w:rsidRPr="001D5327" w:rsidRDefault="00590FE1" w:rsidP="00B36D58">
            <w:pPr>
              <w:pStyle w:val="TableText"/>
              <w:spacing w:before="30" w:after="30"/>
              <w:jc w:val="right"/>
            </w:pPr>
            <w:r w:rsidRPr="001D5327">
              <w:t>89.8</w:t>
            </w:r>
          </w:p>
        </w:tc>
        <w:tc>
          <w:tcPr>
            <w:tcW w:w="1559" w:type="dxa"/>
          </w:tcPr>
          <w:p w14:paraId="6A820DE6" w14:textId="77777777" w:rsidR="00590FE1" w:rsidRPr="001D5327" w:rsidRDefault="00590FE1" w:rsidP="00B36D58">
            <w:pPr>
              <w:pStyle w:val="TableText"/>
              <w:spacing w:before="30" w:after="30"/>
              <w:jc w:val="right"/>
            </w:pPr>
            <w:r w:rsidRPr="001D5327">
              <w:t>95.9</w:t>
            </w:r>
          </w:p>
        </w:tc>
        <w:tc>
          <w:tcPr>
            <w:tcW w:w="1559" w:type="dxa"/>
          </w:tcPr>
          <w:p w14:paraId="1A5C1B08" w14:textId="77777777" w:rsidR="00590FE1" w:rsidRPr="001D5327" w:rsidRDefault="00590FE1" w:rsidP="00B36D58">
            <w:pPr>
              <w:pStyle w:val="TableText"/>
              <w:spacing w:before="30" w:after="30"/>
              <w:jc w:val="right"/>
            </w:pPr>
            <w:r w:rsidRPr="001D5327">
              <w:t>64.9</w:t>
            </w:r>
          </w:p>
        </w:tc>
        <w:tc>
          <w:tcPr>
            <w:tcW w:w="1559" w:type="dxa"/>
          </w:tcPr>
          <w:p w14:paraId="5A85B9A7" w14:textId="77777777" w:rsidR="00590FE1" w:rsidRPr="001D5327" w:rsidRDefault="00590FE1" w:rsidP="00B36D58">
            <w:pPr>
              <w:pStyle w:val="TableText"/>
              <w:spacing w:before="30" w:after="30"/>
              <w:jc w:val="right"/>
            </w:pPr>
            <w:r w:rsidRPr="001D5327">
              <w:t>12.2</w:t>
            </w:r>
          </w:p>
        </w:tc>
        <w:tc>
          <w:tcPr>
            <w:tcW w:w="1134" w:type="dxa"/>
          </w:tcPr>
          <w:p w14:paraId="57301AE7" w14:textId="77777777" w:rsidR="00590FE1" w:rsidRPr="001D5327" w:rsidRDefault="00590FE1" w:rsidP="00B36D58">
            <w:pPr>
              <w:pStyle w:val="TableText"/>
              <w:spacing w:before="30" w:after="30"/>
              <w:jc w:val="right"/>
            </w:pPr>
            <w:r w:rsidRPr="001D5327">
              <w:t>18.7</w:t>
            </w:r>
          </w:p>
        </w:tc>
      </w:tr>
      <w:tr w:rsidR="00590FE1" w:rsidRPr="001D5327" w14:paraId="3026DF89" w14:textId="77777777" w:rsidTr="00403787">
        <w:trPr>
          <w:trHeight w:val="239"/>
        </w:trPr>
        <w:tc>
          <w:tcPr>
            <w:tcW w:w="567" w:type="dxa"/>
          </w:tcPr>
          <w:p w14:paraId="64423212" w14:textId="77777777" w:rsidR="00590FE1" w:rsidRPr="001D5327" w:rsidRDefault="00590FE1" w:rsidP="00B36D58">
            <w:pPr>
              <w:pStyle w:val="TableText"/>
              <w:spacing w:before="30" w:after="30"/>
              <w:rPr>
                <w:rFonts w:cs="Calibri"/>
                <w:szCs w:val="16"/>
              </w:rPr>
            </w:pPr>
            <w:r w:rsidRPr="001D5327">
              <w:rPr>
                <w:rFonts w:cs="Calibri"/>
                <w:szCs w:val="16"/>
              </w:rPr>
              <w:t>2020</w:t>
            </w:r>
          </w:p>
        </w:tc>
        <w:tc>
          <w:tcPr>
            <w:tcW w:w="1560" w:type="dxa"/>
            <w:vAlign w:val="bottom"/>
          </w:tcPr>
          <w:p w14:paraId="5A87C5D0" w14:textId="77777777" w:rsidR="00590FE1" w:rsidRPr="001D5327" w:rsidRDefault="00590FE1" w:rsidP="00B36D58">
            <w:pPr>
              <w:pStyle w:val="TableText"/>
              <w:spacing w:before="30" w:after="30"/>
              <w:jc w:val="right"/>
            </w:pPr>
            <w:r w:rsidRPr="001D5327">
              <w:t>93.2</w:t>
            </w:r>
          </w:p>
        </w:tc>
        <w:tc>
          <w:tcPr>
            <w:tcW w:w="1559" w:type="dxa"/>
          </w:tcPr>
          <w:p w14:paraId="25BC9E45" w14:textId="77777777" w:rsidR="00590FE1" w:rsidRPr="001D5327" w:rsidRDefault="00590FE1" w:rsidP="00B36D58">
            <w:pPr>
              <w:pStyle w:val="TableText"/>
              <w:spacing w:before="30" w:after="30"/>
              <w:jc w:val="right"/>
            </w:pPr>
            <w:r w:rsidRPr="001D5327">
              <w:t>101.1</w:t>
            </w:r>
          </w:p>
        </w:tc>
        <w:tc>
          <w:tcPr>
            <w:tcW w:w="1559" w:type="dxa"/>
          </w:tcPr>
          <w:p w14:paraId="50109183" w14:textId="77777777" w:rsidR="00590FE1" w:rsidRPr="001D5327" w:rsidRDefault="00590FE1" w:rsidP="00B36D58">
            <w:pPr>
              <w:pStyle w:val="TableText"/>
              <w:spacing w:before="30" w:after="30"/>
              <w:jc w:val="right"/>
            </w:pPr>
            <w:r w:rsidRPr="001D5327">
              <w:t>66.1</w:t>
            </w:r>
          </w:p>
        </w:tc>
        <w:tc>
          <w:tcPr>
            <w:tcW w:w="1559" w:type="dxa"/>
          </w:tcPr>
          <w:p w14:paraId="26AB1D44" w14:textId="77777777" w:rsidR="00590FE1" w:rsidRPr="001D5327" w:rsidRDefault="00590FE1" w:rsidP="00B36D58">
            <w:pPr>
              <w:pStyle w:val="TableText"/>
              <w:spacing w:before="30" w:after="30"/>
              <w:jc w:val="right"/>
            </w:pPr>
            <w:r w:rsidRPr="001D5327">
              <w:t>12.6</w:t>
            </w:r>
          </w:p>
        </w:tc>
        <w:tc>
          <w:tcPr>
            <w:tcW w:w="1134" w:type="dxa"/>
          </w:tcPr>
          <w:p w14:paraId="0D8E88E8" w14:textId="77777777" w:rsidR="00590FE1" w:rsidRPr="001D5327" w:rsidRDefault="00590FE1" w:rsidP="00B36D58">
            <w:pPr>
              <w:pStyle w:val="TableText"/>
              <w:tabs>
                <w:tab w:val="left" w:pos="402"/>
                <w:tab w:val="center" w:pos="643"/>
              </w:tabs>
              <w:spacing w:before="30" w:after="30"/>
              <w:jc w:val="right"/>
            </w:pPr>
            <w:r w:rsidRPr="001D5327">
              <w:t>19.0</w:t>
            </w:r>
          </w:p>
        </w:tc>
      </w:tr>
      <w:tr w:rsidR="00590FE1" w:rsidRPr="001D5327" w14:paraId="5DFE5FB3" w14:textId="77777777" w:rsidTr="00403787">
        <w:trPr>
          <w:trHeight w:val="239"/>
        </w:trPr>
        <w:tc>
          <w:tcPr>
            <w:tcW w:w="567" w:type="dxa"/>
          </w:tcPr>
          <w:p w14:paraId="5E5A4789" w14:textId="77777777" w:rsidR="00590FE1" w:rsidRPr="001D5327" w:rsidRDefault="00590FE1" w:rsidP="00B36D58">
            <w:pPr>
              <w:pStyle w:val="TableText"/>
              <w:spacing w:before="30" w:after="30"/>
              <w:rPr>
                <w:rFonts w:cs="Calibri"/>
                <w:szCs w:val="16"/>
              </w:rPr>
            </w:pPr>
            <w:r w:rsidRPr="001D5327">
              <w:rPr>
                <w:rFonts w:cs="Calibri"/>
                <w:szCs w:val="16"/>
              </w:rPr>
              <w:t>2023</w:t>
            </w:r>
          </w:p>
        </w:tc>
        <w:tc>
          <w:tcPr>
            <w:tcW w:w="1560" w:type="dxa"/>
            <w:vAlign w:val="bottom"/>
          </w:tcPr>
          <w:p w14:paraId="48773886" w14:textId="77777777" w:rsidR="00590FE1" w:rsidRPr="001D5327" w:rsidRDefault="00590FE1" w:rsidP="00B36D58">
            <w:pPr>
              <w:pStyle w:val="TableText"/>
              <w:spacing w:before="30" w:after="30"/>
              <w:jc w:val="right"/>
            </w:pPr>
            <w:r w:rsidRPr="001D5327">
              <w:t>94.6</w:t>
            </w:r>
          </w:p>
        </w:tc>
        <w:tc>
          <w:tcPr>
            <w:tcW w:w="1559" w:type="dxa"/>
          </w:tcPr>
          <w:p w14:paraId="20C039C8" w14:textId="77777777" w:rsidR="00590FE1" w:rsidRPr="001D5327" w:rsidRDefault="00590FE1" w:rsidP="00B36D58">
            <w:pPr>
              <w:pStyle w:val="TableText"/>
              <w:spacing w:before="30" w:after="30"/>
              <w:jc w:val="right"/>
              <w:rPr>
                <w:rFonts w:cs="Calibri"/>
                <w:color w:val="000000"/>
                <w:szCs w:val="16"/>
              </w:rPr>
            </w:pPr>
            <w:r w:rsidRPr="001D5327">
              <w:t>103.0</w:t>
            </w:r>
          </w:p>
        </w:tc>
        <w:tc>
          <w:tcPr>
            <w:tcW w:w="1559" w:type="dxa"/>
          </w:tcPr>
          <w:p w14:paraId="097583FA" w14:textId="77777777" w:rsidR="00590FE1" w:rsidRPr="001D5327" w:rsidRDefault="00590FE1" w:rsidP="00B36D58">
            <w:pPr>
              <w:pStyle w:val="TableText"/>
              <w:spacing w:before="30" w:after="30"/>
              <w:jc w:val="right"/>
              <w:rPr>
                <w:rFonts w:cs="Calibri"/>
                <w:color w:val="000000"/>
                <w:szCs w:val="16"/>
              </w:rPr>
            </w:pPr>
            <w:r w:rsidRPr="001D5327">
              <w:t>69.6</w:t>
            </w:r>
          </w:p>
        </w:tc>
        <w:tc>
          <w:tcPr>
            <w:tcW w:w="1559" w:type="dxa"/>
          </w:tcPr>
          <w:p w14:paraId="7C54CAE2" w14:textId="77777777" w:rsidR="00590FE1" w:rsidRPr="001D5327" w:rsidRDefault="00590FE1" w:rsidP="00B36D58">
            <w:pPr>
              <w:pStyle w:val="TableText"/>
              <w:spacing w:before="30" w:after="30"/>
              <w:jc w:val="right"/>
              <w:rPr>
                <w:rFonts w:cs="Calibri"/>
                <w:color w:val="000000"/>
                <w:szCs w:val="16"/>
              </w:rPr>
            </w:pPr>
            <w:r w:rsidRPr="001D5327">
              <w:t>12.5</w:t>
            </w:r>
          </w:p>
        </w:tc>
        <w:tc>
          <w:tcPr>
            <w:tcW w:w="1134" w:type="dxa"/>
          </w:tcPr>
          <w:p w14:paraId="5BF841BA" w14:textId="77777777" w:rsidR="00590FE1" w:rsidRPr="001D5327" w:rsidRDefault="00590FE1" w:rsidP="00B36D58">
            <w:pPr>
              <w:pStyle w:val="TableText"/>
              <w:tabs>
                <w:tab w:val="left" w:pos="402"/>
                <w:tab w:val="center" w:pos="643"/>
              </w:tabs>
              <w:spacing w:before="30" w:after="30"/>
              <w:jc w:val="right"/>
              <w:rPr>
                <w:rFonts w:cs="Calibri"/>
                <w:color w:val="000000"/>
                <w:szCs w:val="16"/>
              </w:rPr>
            </w:pPr>
            <w:r w:rsidRPr="001D5327">
              <w:t>19.6</w:t>
            </w:r>
          </w:p>
        </w:tc>
      </w:tr>
    </w:tbl>
    <w:p w14:paraId="02AA3BC9" w14:textId="77777777" w:rsidR="00590FE1" w:rsidRPr="001D5327" w:rsidRDefault="00590FE1" w:rsidP="00590FE1">
      <w:pPr>
        <w:pStyle w:val="Heading4"/>
        <w:spacing w:before="360"/>
      </w:pPr>
      <w:r w:rsidRPr="001D5327">
        <w:t>Emissions from minor livestock categories</w:t>
      </w:r>
    </w:p>
    <w:p w14:paraId="57C434C2" w14:textId="77777777" w:rsidR="00590FE1" w:rsidRPr="001D5327" w:rsidRDefault="00590FE1" w:rsidP="00590FE1">
      <w:pPr>
        <w:pStyle w:val="BodyText"/>
        <w:spacing w:before="100" w:after="100"/>
      </w:pPr>
      <w:r w:rsidRPr="001D5327">
        <w:t xml:space="preserve">A Tier 1 approach is adopted for the minor livestock categories of </w:t>
      </w:r>
      <w:r w:rsidRPr="001D5327">
        <w:rPr>
          <w:i/>
          <w:iCs/>
        </w:rPr>
        <w:t>Goats</w:t>
      </w:r>
      <w:r w:rsidRPr="001D5327">
        <w:t xml:space="preserve">, </w:t>
      </w:r>
      <w:r w:rsidRPr="001D5327">
        <w:rPr>
          <w:i/>
          <w:iCs/>
        </w:rPr>
        <w:t>Horses</w:t>
      </w:r>
      <w:r w:rsidRPr="001D5327">
        <w:t xml:space="preserve">, </w:t>
      </w:r>
      <w:r w:rsidRPr="001D5327">
        <w:rPr>
          <w:i/>
          <w:iCs/>
        </w:rPr>
        <w:t>Swine</w:t>
      </w:r>
      <w:r w:rsidRPr="001D5327">
        <w:t xml:space="preserve">, </w:t>
      </w:r>
      <w:r w:rsidRPr="001D5327">
        <w:rPr>
          <w:i/>
          <w:iCs/>
        </w:rPr>
        <w:t>Llamas and alpacas</w:t>
      </w:r>
      <w:r w:rsidRPr="001D5327">
        <w:t xml:space="preserve">, and </w:t>
      </w:r>
      <w:r w:rsidRPr="001D5327">
        <w:rPr>
          <w:i/>
          <w:iCs/>
        </w:rPr>
        <w:t>Mules and asses</w:t>
      </w:r>
      <w:r w:rsidRPr="001D5327">
        <w:t xml:space="preserve">, using either IPCC (2006) default emission factors (horses, llamas and alpacas, and mules and asses) or </w:t>
      </w:r>
      <w:r w:rsidRPr="001D5327" w:rsidDel="00080AA9">
        <w:t>New</w:t>
      </w:r>
      <w:r w:rsidRPr="001D5327">
        <w:t xml:space="preserve"> Zealand country-specific emission </w:t>
      </w:r>
      <w:r w:rsidRPr="001D5327">
        <w:lastRenderedPageBreak/>
        <w:t xml:space="preserve">factors (goats and swine). These minor livestock species comprised 0.1 per cent of the total </w:t>
      </w:r>
      <w:r w:rsidRPr="001D5327">
        <w:rPr>
          <w:i/>
          <w:iCs/>
        </w:rPr>
        <w:t>Enteric fermentation</w:t>
      </w:r>
      <w:r w:rsidRPr="001D5327">
        <w:t xml:space="preserve"> emissions in 2023. The populations of goats, horses, swine, llamas and alpacas, and mules and asses are reported using the statistics and assumptions described in section 5.1.4.</w:t>
      </w:r>
    </w:p>
    <w:p w14:paraId="1D28CCCC" w14:textId="77777777" w:rsidR="00590FE1" w:rsidRPr="001D5327" w:rsidRDefault="00590FE1" w:rsidP="00590FE1">
      <w:pPr>
        <w:pStyle w:val="BodyText"/>
        <w:spacing w:before="100" w:after="100"/>
      </w:pPr>
      <w:r w:rsidRPr="001D5327">
        <w:rPr>
          <w:b/>
          <w:bCs/>
          <w:i/>
          <w:iCs/>
        </w:rPr>
        <w:t>Goats:</w:t>
      </w:r>
      <w:r w:rsidRPr="001D5327">
        <w:t xml:space="preserve"> New Zealand uses a Tier 1 approach with country-specific emission factors to determine enteric fermentation emissions from goats. From 1990 to 2023, the domesticated goat population declined from 1,062,900 to 78,055. This was largely driven by a decrease in demand for goat fibre and meat. New Zealand uses a country-specific emission factor for goats for enteric fermentation of 7.4 kg CH</w:t>
      </w:r>
      <w:r w:rsidRPr="001D5327">
        <w:rPr>
          <w:vertAlign w:val="subscript"/>
        </w:rPr>
        <w:t>4</w:t>
      </w:r>
      <w:r w:rsidRPr="001D5327">
        <w:t xml:space="preserve"> head</w:t>
      </w:r>
      <w:r w:rsidRPr="001D5327">
        <w:rPr>
          <w:vertAlign w:val="superscript"/>
        </w:rPr>
        <w:t>-1</w:t>
      </w:r>
      <w:r w:rsidRPr="001D5327">
        <w:t xml:space="preserve"> year</w:t>
      </w:r>
      <w:r w:rsidRPr="001D5327">
        <w:rPr>
          <w:vertAlign w:val="superscript"/>
        </w:rPr>
        <w:t>-1</w:t>
      </w:r>
      <w:r w:rsidRPr="001D5327">
        <w:t xml:space="preserve"> for 1990 and 8.5 kg CH</w:t>
      </w:r>
      <w:r w:rsidRPr="001D5327">
        <w:rPr>
          <w:vertAlign w:val="subscript"/>
        </w:rPr>
        <w:t>4</w:t>
      </w:r>
      <w:r w:rsidRPr="001D5327">
        <w:t xml:space="preserve"> head</w:t>
      </w:r>
      <w:r w:rsidRPr="001D5327">
        <w:rPr>
          <w:vertAlign w:val="superscript"/>
        </w:rPr>
        <w:t>-1</w:t>
      </w:r>
      <w:r w:rsidRPr="001D5327">
        <w:t xml:space="preserve"> year</w:t>
      </w:r>
      <w:r w:rsidRPr="001D5327">
        <w:rPr>
          <w:vertAlign w:val="superscript"/>
        </w:rPr>
        <w:t>-1</w:t>
      </w:r>
      <w:r w:rsidRPr="001D5327">
        <w:t xml:space="preserve"> for 2009 based on the differing population characteristics for those two years (Lassey, 2011). For the intermediate years between 1990 and 2009 and for 2010 to 2018, the emission factor is calculated based on the goat population, with the assumption that the dairy goat population has remained relatively consistent over time while the rest of the goat population has declined (Burggraaf et al., 2019). From 2019 onward, a constant value of 9.0 kg CH</w:t>
      </w:r>
      <w:r w:rsidRPr="001D5327">
        <w:rPr>
          <w:vertAlign w:val="subscript"/>
        </w:rPr>
        <w:t>4</w:t>
      </w:r>
      <w:r w:rsidRPr="001D5327">
        <w:t xml:space="preserve"> head</w:t>
      </w:r>
      <w:r w:rsidRPr="001D5327">
        <w:rPr>
          <w:vertAlign w:val="superscript"/>
        </w:rPr>
        <w:t>-1</w:t>
      </w:r>
      <w:r w:rsidRPr="001D5327">
        <w:t xml:space="preserve"> year</w:t>
      </w:r>
      <w:r w:rsidRPr="001D5327">
        <w:rPr>
          <w:vertAlign w:val="superscript"/>
        </w:rPr>
        <w:t xml:space="preserve">-1 </w:t>
      </w:r>
      <w:r w:rsidRPr="001D5327">
        <w:t>is used. This will be updated when the research is reviewed. This is higher than the IPCC (2006) default value for goats for developed countries, which is 5.0 kg CH</w:t>
      </w:r>
      <w:r w:rsidRPr="001D5327">
        <w:rPr>
          <w:vertAlign w:val="subscript"/>
        </w:rPr>
        <w:t>4</w:t>
      </w:r>
      <w:r w:rsidRPr="001D5327">
        <w:t xml:space="preserve"> head</w:t>
      </w:r>
      <w:r w:rsidRPr="001D5327">
        <w:rPr>
          <w:vertAlign w:val="superscript"/>
        </w:rPr>
        <w:t>-1</w:t>
      </w:r>
      <w:r w:rsidRPr="001D5327">
        <w:t xml:space="preserve"> year</w:t>
      </w:r>
      <w:r w:rsidRPr="001D5327">
        <w:rPr>
          <w:vertAlign w:val="superscript"/>
        </w:rPr>
        <w:t>-1</w:t>
      </w:r>
      <w:r w:rsidRPr="001D5327">
        <w:t xml:space="preserve">. </w:t>
      </w:r>
    </w:p>
    <w:p w14:paraId="4145822E" w14:textId="77777777" w:rsidR="00590FE1" w:rsidRPr="001D5327" w:rsidRDefault="00590FE1" w:rsidP="00590FE1">
      <w:pPr>
        <w:pStyle w:val="BodyText"/>
        <w:spacing w:before="100" w:after="100"/>
      </w:pPr>
      <w:r w:rsidRPr="001D5327">
        <w:rPr>
          <w:b/>
          <w:bCs/>
          <w:i/>
          <w:iCs/>
          <w:spacing w:val="-2"/>
        </w:rPr>
        <w:t>Swine:</w:t>
      </w:r>
      <w:r w:rsidRPr="001D5327">
        <w:rPr>
          <w:spacing w:val="-2"/>
        </w:rPr>
        <w:t xml:space="preserve"> </w:t>
      </w:r>
      <w:r w:rsidRPr="001D5327">
        <w:t>New Zealand</w:t>
      </w:r>
      <w:r w:rsidRPr="001D5327">
        <w:rPr>
          <w:spacing w:val="-2"/>
        </w:rPr>
        <w:t xml:space="preserve"> uses a Tier 1 approach with country-specific emission factors to determine</w:t>
      </w:r>
      <w:r w:rsidRPr="001D5327">
        <w:t xml:space="preserve"> enteric fermentation emissions from swine. Gross energy data from swine diets were used in the Tier 2 IPCC equation (equation 10.21, IPCC, 2006) to determine the country-specific enteric fermentation emission factors for breeding pigs and growing pigs (see table 5.2.4). Surveys of commercial pig diet were conducted in 2009 (Hill, 2012) and 2022 (Ritchie, 2024). For years between the surveys the emission factors</w:t>
      </w:r>
      <w:r w:rsidRPr="001D5327" w:rsidDel="00AB6104">
        <w:t xml:space="preserve"> </w:t>
      </w:r>
      <w:r w:rsidRPr="001D5327">
        <w:t>are interpolated. These factors are then multiplied by population data to obtain the total CH</w:t>
      </w:r>
      <w:r w:rsidRPr="001D5327">
        <w:rPr>
          <w:vertAlign w:val="subscript"/>
        </w:rPr>
        <w:t>4</w:t>
      </w:r>
      <w:r w:rsidRPr="001D5327">
        <w:t xml:space="preserve"> emissions produced by swine from enteric fermentation for a given inventory year. </w:t>
      </w:r>
    </w:p>
    <w:p w14:paraId="229FF0E9" w14:textId="2B268D0B" w:rsidR="00590FE1" w:rsidRPr="001D5327" w:rsidRDefault="00590FE1" w:rsidP="00590FE1">
      <w:pPr>
        <w:pStyle w:val="Table"/>
        <w:rPr>
          <w:rFonts w:cs="Calibri"/>
        </w:rPr>
      </w:pPr>
      <w:bookmarkStart w:id="801" w:name="_Toc194241704"/>
      <w:r w:rsidRPr="001D5327">
        <w:rPr>
          <w:rFonts w:cs="Calibri"/>
        </w:rPr>
        <w:t xml:space="preserve">Table 5.2.4 </w:t>
      </w:r>
      <w:r w:rsidR="007A1A55" w:rsidRPr="001D5327">
        <w:rPr>
          <w:rFonts w:cs="Calibri"/>
        </w:rPr>
        <w:tab/>
      </w:r>
      <w:r w:rsidRPr="001D5327">
        <w:rPr>
          <w:rFonts w:cs="Calibri"/>
        </w:rPr>
        <w:t>Enteric fermentation emissions factors (kg CH</w:t>
      </w:r>
      <w:r w:rsidRPr="001D5327">
        <w:rPr>
          <w:rFonts w:cs="Calibri"/>
          <w:vertAlign w:val="subscript"/>
        </w:rPr>
        <w:t>4</w:t>
      </w:r>
      <w:r w:rsidRPr="001D5327">
        <w:rPr>
          <w:rFonts w:cs="Calibri"/>
        </w:rPr>
        <w:t xml:space="preserve"> head</w:t>
      </w:r>
      <w:r w:rsidRPr="001D5327">
        <w:rPr>
          <w:rFonts w:cs="Calibri"/>
          <w:vertAlign w:val="superscript"/>
        </w:rPr>
        <w:t>-1</w:t>
      </w:r>
      <w:r w:rsidRPr="001D5327">
        <w:rPr>
          <w:rFonts w:cs="Calibri"/>
        </w:rPr>
        <w:t xml:space="preserve"> year</w:t>
      </w:r>
      <w:r w:rsidRPr="001D5327">
        <w:rPr>
          <w:rFonts w:cs="Calibri"/>
          <w:vertAlign w:val="superscript"/>
        </w:rPr>
        <w:t>-1</w:t>
      </w:r>
      <w:r w:rsidRPr="001D5327">
        <w:rPr>
          <w:rFonts w:cs="Calibri"/>
        </w:rPr>
        <w:t>) for pig classes</w:t>
      </w:r>
      <w:bookmarkEnd w:id="801"/>
    </w:p>
    <w:tbl>
      <w:tblPr>
        <w:tblW w:w="8505" w:type="dxa"/>
        <w:tblBorders>
          <w:top w:val="single" w:sz="2" w:space="0" w:color="1B556B" w:themeColor="text2"/>
          <w:bottom w:val="single" w:sz="2" w:space="0" w:color="1B556B" w:themeColor="text2"/>
          <w:insideH w:val="single" w:sz="2" w:space="0" w:color="1B556B" w:themeColor="text2"/>
        </w:tblBorders>
        <w:tblLayout w:type="fixed"/>
        <w:tblLook w:val="04A0" w:firstRow="1" w:lastRow="0" w:firstColumn="1" w:lastColumn="0" w:noHBand="0" w:noVBand="1"/>
      </w:tblPr>
      <w:tblGrid>
        <w:gridCol w:w="1353"/>
        <w:gridCol w:w="3480"/>
        <w:gridCol w:w="3672"/>
      </w:tblGrid>
      <w:tr w:rsidR="00590FE1" w:rsidRPr="001D5327" w14:paraId="2DFC050C" w14:textId="77777777" w:rsidTr="00403787">
        <w:tc>
          <w:tcPr>
            <w:tcW w:w="795" w:type="pct"/>
            <w:shd w:val="clear" w:color="000000" w:fill="1B556B" w:themeFill="text2"/>
            <w:hideMark/>
          </w:tcPr>
          <w:p w14:paraId="6CE9D815" w14:textId="77777777" w:rsidR="00590FE1" w:rsidRPr="001D5327" w:rsidRDefault="00590FE1" w:rsidP="00B36D58">
            <w:pPr>
              <w:pStyle w:val="TableText"/>
              <w:spacing w:before="30" w:after="30"/>
              <w:rPr>
                <w:b/>
                <w:bCs/>
                <w:color w:val="FFFFFF" w:themeColor="background1"/>
              </w:rPr>
            </w:pPr>
            <w:r w:rsidRPr="001D5327">
              <w:rPr>
                <w:b/>
                <w:bCs/>
                <w:color w:val="FFFFFF" w:themeColor="background1"/>
              </w:rPr>
              <w:t>Year</w:t>
            </w:r>
          </w:p>
        </w:tc>
        <w:tc>
          <w:tcPr>
            <w:tcW w:w="2046" w:type="pct"/>
            <w:shd w:val="clear" w:color="000000" w:fill="1B556B" w:themeFill="text2"/>
            <w:hideMark/>
          </w:tcPr>
          <w:p w14:paraId="62139BBB" w14:textId="77777777" w:rsidR="00590FE1" w:rsidRPr="001D5327" w:rsidRDefault="00590FE1" w:rsidP="00B36D58">
            <w:pPr>
              <w:pStyle w:val="TableText"/>
              <w:spacing w:before="30" w:after="30"/>
              <w:jc w:val="right"/>
              <w:rPr>
                <w:b/>
                <w:bCs/>
                <w:color w:val="FFFFFF" w:themeColor="background1"/>
              </w:rPr>
            </w:pPr>
            <w:r w:rsidRPr="001D5327">
              <w:rPr>
                <w:b/>
                <w:bCs/>
                <w:color w:val="FFFFFF" w:themeColor="background1"/>
              </w:rPr>
              <w:t>Breeding pigs (kg CH</w:t>
            </w:r>
            <w:r w:rsidRPr="001D5327">
              <w:rPr>
                <w:b/>
                <w:color w:val="FFFFFF" w:themeColor="background1"/>
                <w:vertAlign w:val="subscript"/>
              </w:rPr>
              <w:t>4</w:t>
            </w:r>
            <w:r w:rsidRPr="001D5327">
              <w:rPr>
                <w:b/>
                <w:bCs/>
                <w:color w:val="FFFFFF" w:themeColor="background1"/>
              </w:rPr>
              <w:t xml:space="preserve"> per animal per annum)</w:t>
            </w:r>
          </w:p>
        </w:tc>
        <w:tc>
          <w:tcPr>
            <w:tcW w:w="2159" w:type="pct"/>
            <w:shd w:val="clear" w:color="000000" w:fill="1B556B" w:themeFill="text2"/>
            <w:hideMark/>
          </w:tcPr>
          <w:p w14:paraId="254A49C0" w14:textId="77777777" w:rsidR="00590FE1" w:rsidRPr="001D5327" w:rsidRDefault="00590FE1" w:rsidP="00B36D58">
            <w:pPr>
              <w:pStyle w:val="TableText"/>
              <w:spacing w:before="30" w:after="30"/>
              <w:jc w:val="right"/>
              <w:rPr>
                <w:b/>
                <w:bCs/>
                <w:color w:val="FFFFFF" w:themeColor="background1"/>
              </w:rPr>
            </w:pPr>
            <w:r w:rsidRPr="001D5327">
              <w:rPr>
                <w:b/>
                <w:bCs/>
                <w:color w:val="FFFFFF" w:themeColor="background1"/>
              </w:rPr>
              <w:t>Growing pigs (kg CH</w:t>
            </w:r>
            <w:r w:rsidRPr="001D5327">
              <w:rPr>
                <w:b/>
                <w:color w:val="FFFFFF" w:themeColor="background1"/>
                <w:vertAlign w:val="subscript"/>
              </w:rPr>
              <w:t>4</w:t>
            </w:r>
            <w:r w:rsidRPr="001D5327">
              <w:rPr>
                <w:b/>
                <w:bCs/>
                <w:color w:val="FFFFFF" w:themeColor="background1"/>
              </w:rPr>
              <w:t xml:space="preserve"> per animal per annum)</w:t>
            </w:r>
          </w:p>
        </w:tc>
      </w:tr>
      <w:tr w:rsidR="00590FE1" w:rsidRPr="001D5327" w14:paraId="3DC4C0B4" w14:textId="77777777" w:rsidTr="00403787">
        <w:tc>
          <w:tcPr>
            <w:tcW w:w="795" w:type="pct"/>
            <w:shd w:val="clear" w:color="auto" w:fill="auto"/>
          </w:tcPr>
          <w:p w14:paraId="385A5CF9" w14:textId="77777777" w:rsidR="00590FE1" w:rsidRPr="001D5327" w:rsidRDefault="00590FE1" w:rsidP="00B36D58">
            <w:pPr>
              <w:pStyle w:val="TableText"/>
              <w:spacing w:before="30" w:after="30"/>
              <w:rPr>
                <w:color w:val="000000"/>
              </w:rPr>
            </w:pPr>
            <w:r w:rsidRPr="001D5327">
              <w:t>1990</w:t>
            </w:r>
          </w:p>
        </w:tc>
        <w:tc>
          <w:tcPr>
            <w:tcW w:w="2046" w:type="pct"/>
            <w:shd w:val="clear" w:color="auto" w:fill="auto"/>
          </w:tcPr>
          <w:p w14:paraId="7DAD9E76" w14:textId="77777777" w:rsidR="00590FE1" w:rsidRPr="001D5327" w:rsidRDefault="00590FE1" w:rsidP="00B36D58">
            <w:pPr>
              <w:pStyle w:val="TableText"/>
              <w:spacing w:before="30" w:after="30"/>
              <w:jc w:val="right"/>
              <w:rPr>
                <w:color w:val="000000"/>
              </w:rPr>
            </w:pPr>
            <w:r w:rsidRPr="001D5327">
              <w:t>2.21</w:t>
            </w:r>
          </w:p>
        </w:tc>
        <w:tc>
          <w:tcPr>
            <w:tcW w:w="2159" w:type="pct"/>
            <w:shd w:val="clear" w:color="auto" w:fill="auto"/>
          </w:tcPr>
          <w:p w14:paraId="08A50530" w14:textId="77777777" w:rsidR="00590FE1" w:rsidRPr="001D5327" w:rsidRDefault="00590FE1" w:rsidP="00B36D58">
            <w:pPr>
              <w:pStyle w:val="TableText"/>
              <w:spacing w:before="30" w:after="30"/>
              <w:jc w:val="right"/>
              <w:rPr>
                <w:color w:val="000000"/>
              </w:rPr>
            </w:pPr>
            <w:r w:rsidRPr="001D5327">
              <w:t>0.89</w:t>
            </w:r>
          </w:p>
        </w:tc>
      </w:tr>
      <w:tr w:rsidR="00590FE1" w:rsidRPr="001D5327" w14:paraId="0FD71DE0" w14:textId="77777777" w:rsidTr="00403787">
        <w:tc>
          <w:tcPr>
            <w:tcW w:w="795" w:type="pct"/>
            <w:shd w:val="clear" w:color="auto" w:fill="auto"/>
          </w:tcPr>
          <w:p w14:paraId="4021910F" w14:textId="77777777" w:rsidR="00590FE1" w:rsidRPr="001D5327" w:rsidRDefault="00590FE1" w:rsidP="00B36D58">
            <w:pPr>
              <w:pStyle w:val="TableText"/>
              <w:spacing w:before="30" w:after="30"/>
              <w:rPr>
                <w:color w:val="000000"/>
              </w:rPr>
            </w:pPr>
            <w:r w:rsidRPr="001D5327">
              <w:t>1995</w:t>
            </w:r>
          </w:p>
        </w:tc>
        <w:tc>
          <w:tcPr>
            <w:tcW w:w="2046" w:type="pct"/>
            <w:shd w:val="clear" w:color="auto" w:fill="auto"/>
          </w:tcPr>
          <w:p w14:paraId="62C6B3DB" w14:textId="77777777" w:rsidR="00590FE1" w:rsidRPr="001D5327" w:rsidRDefault="00590FE1" w:rsidP="00B36D58">
            <w:pPr>
              <w:pStyle w:val="TableText"/>
              <w:spacing w:before="30" w:after="30"/>
              <w:jc w:val="right"/>
              <w:rPr>
                <w:color w:val="000000"/>
              </w:rPr>
            </w:pPr>
            <w:r w:rsidRPr="001D5327">
              <w:t>2.21</w:t>
            </w:r>
          </w:p>
        </w:tc>
        <w:tc>
          <w:tcPr>
            <w:tcW w:w="2159" w:type="pct"/>
            <w:shd w:val="clear" w:color="auto" w:fill="auto"/>
          </w:tcPr>
          <w:p w14:paraId="7BEEB65E" w14:textId="77777777" w:rsidR="00590FE1" w:rsidRPr="001D5327" w:rsidRDefault="00590FE1" w:rsidP="00B36D58">
            <w:pPr>
              <w:pStyle w:val="TableText"/>
              <w:spacing w:before="30" w:after="30"/>
              <w:jc w:val="right"/>
              <w:rPr>
                <w:color w:val="000000"/>
              </w:rPr>
            </w:pPr>
            <w:r w:rsidRPr="001D5327">
              <w:t>0.89</w:t>
            </w:r>
          </w:p>
        </w:tc>
      </w:tr>
      <w:tr w:rsidR="00590FE1" w:rsidRPr="001D5327" w14:paraId="0C262FAF" w14:textId="77777777" w:rsidTr="00403787">
        <w:tc>
          <w:tcPr>
            <w:tcW w:w="795" w:type="pct"/>
            <w:shd w:val="clear" w:color="auto" w:fill="auto"/>
          </w:tcPr>
          <w:p w14:paraId="4AA1D93D" w14:textId="77777777" w:rsidR="00590FE1" w:rsidRPr="001D5327" w:rsidRDefault="00590FE1" w:rsidP="00B36D58">
            <w:pPr>
              <w:pStyle w:val="TableText"/>
              <w:spacing w:before="30" w:after="30"/>
              <w:rPr>
                <w:color w:val="000000"/>
              </w:rPr>
            </w:pPr>
            <w:r w:rsidRPr="001D5327">
              <w:t>2000</w:t>
            </w:r>
          </w:p>
        </w:tc>
        <w:tc>
          <w:tcPr>
            <w:tcW w:w="2046" w:type="pct"/>
            <w:shd w:val="clear" w:color="auto" w:fill="auto"/>
          </w:tcPr>
          <w:p w14:paraId="3E17E236" w14:textId="77777777" w:rsidR="00590FE1" w:rsidRPr="001D5327" w:rsidRDefault="00590FE1" w:rsidP="00B36D58">
            <w:pPr>
              <w:pStyle w:val="TableText"/>
              <w:spacing w:before="30" w:after="30"/>
              <w:jc w:val="right"/>
              <w:rPr>
                <w:color w:val="000000"/>
              </w:rPr>
            </w:pPr>
            <w:r w:rsidRPr="001D5327">
              <w:t>2.21</w:t>
            </w:r>
          </w:p>
        </w:tc>
        <w:tc>
          <w:tcPr>
            <w:tcW w:w="2159" w:type="pct"/>
            <w:shd w:val="clear" w:color="auto" w:fill="auto"/>
          </w:tcPr>
          <w:p w14:paraId="354DFE6B" w14:textId="77777777" w:rsidR="00590FE1" w:rsidRPr="001D5327" w:rsidRDefault="00590FE1" w:rsidP="00B36D58">
            <w:pPr>
              <w:pStyle w:val="TableText"/>
              <w:spacing w:before="30" w:after="30"/>
              <w:jc w:val="right"/>
              <w:rPr>
                <w:color w:val="000000"/>
              </w:rPr>
            </w:pPr>
            <w:r w:rsidRPr="001D5327">
              <w:t>0.89</w:t>
            </w:r>
          </w:p>
        </w:tc>
      </w:tr>
      <w:tr w:rsidR="00590FE1" w:rsidRPr="001D5327" w14:paraId="500B029A" w14:textId="77777777" w:rsidTr="00403787">
        <w:tc>
          <w:tcPr>
            <w:tcW w:w="795" w:type="pct"/>
            <w:shd w:val="clear" w:color="auto" w:fill="auto"/>
          </w:tcPr>
          <w:p w14:paraId="2FFFF3C3" w14:textId="77777777" w:rsidR="00590FE1" w:rsidRPr="001D5327" w:rsidRDefault="00590FE1" w:rsidP="00B36D58">
            <w:pPr>
              <w:pStyle w:val="TableText"/>
              <w:spacing w:before="30" w:after="30"/>
              <w:rPr>
                <w:color w:val="000000"/>
              </w:rPr>
            </w:pPr>
            <w:r w:rsidRPr="001D5327">
              <w:t>2005</w:t>
            </w:r>
          </w:p>
        </w:tc>
        <w:tc>
          <w:tcPr>
            <w:tcW w:w="2046" w:type="pct"/>
            <w:shd w:val="clear" w:color="auto" w:fill="auto"/>
          </w:tcPr>
          <w:p w14:paraId="0937599C" w14:textId="77777777" w:rsidR="00590FE1" w:rsidRPr="001D5327" w:rsidRDefault="00590FE1" w:rsidP="00B36D58">
            <w:pPr>
              <w:pStyle w:val="TableText"/>
              <w:spacing w:before="30" w:after="30"/>
              <w:jc w:val="right"/>
              <w:rPr>
                <w:color w:val="000000"/>
              </w:rPr>
            </w:pPr>
            <w:r w:rsidRPr="001D5327">
              <w:t>2.21</w:t>
            </w:r>
          </w:p>
        </w:tc>
        <w:tc>
          <w:tcPr>
            <w:tcW w:w="2159" w:type="pct"/>
            <w:shd w:val="clear" w:color="auto" w:fill="auto"/>
          </w:tcPr>
          <w:p w14:paraId="2B755A04" w14:textId="77777777" w:rsidR="00590FE1" w:rsidRPr="001D5327" w:rsidRDefault="00590FE1" w:rsidP="00B36D58">
            <w:pPr>
              <w:pStyle w:val="TableText"/>
              <w:spacing w:before="30" w:after="30"/>
              <w:jc w:val="right"/>
              <w:rPr>
                <w:color w:val="000000"/>
              </w:rPr>
            </w:pPr>
            <w:r w:rsidRPr="001D5327">
              <w:t>0.89</w:t>
            </w:r>
          </w:p>
        </w:tc>
      </w:tr>
      <w:tr w:rsidR="00590FE1" w:rsidRPr="001D5327" w14:paraId="4F696A15" w14:textId="77777777" w:rsidTr="00403787">
        <w:tc>
          <w:tcPr>
            <w:tcW w:w="795" w:type="pct"/>
            <w:shd w:val="clear" w:color="auto" w:fill="auto"/>
          </w:tcPr>
          <w:p w14:paraId="516F9BCC" w14:textId="77777777" w:rsidR="00590FE1" w:rsidRPr="001D5327" w:rsidRDefault="00590FE1" w:rsidP="00B36D58">
            <w:pPr>
              <w:pStyle w:val="TableText"/>
              <w:spacing w:before="30" w:after="30"/>
              <w:rPr>
                <w:color w:val="000000"/>
              </w:rPr>
            </w:pPr>
            <w:r w:rsidRPr="001D5327">
              <w:t>2010</w:t>
            </w:r>
          </w:p>
        </w:tc>
        <w:tc>
          <w:tcPr>
            <w:tcW w:w="2046" w:type="pct"/>
            <w:shd w:val="clear" w:color="auto" w:fill="auto"/>
          </w:tcPr>
          <w:p w14:paraId="41B8B062" w14:textId="77777777" w:rsidR="00590FE1" w:rsidRPr="001D5327" w:rsidRDefault="00590FE1" w:rsidP="00B36D58">
            <w:pPr>
              <w:pStyle w:val="TableText"/>
              <w:spacing w:before="30" w:after="30"/>
              <w:jc w:val="right"/>
              <w:rPr>
                <w:color w:val="000000"/>
              </w:rPr>
            </w:pPr>
            <w:r w:rsidRPr="001D5327">
              <w:t>2.19</w:t>
            </w:r>
          </w:p>
        </w:tc>
        <w:tc>
          <w:tcPr>
            <w:tcW w:w="2159" w:type="pct"/>
            <w:shd w:val="clear" w:color="auto" w:fill="auto"/>
          </w:tcPr>
          <w:p w14:paraId="6553802F" w14:textId="77777777" w:rsidR="00590FE1" w:rsidRPr="001D5327" w:rsidRDefault="00590FE1" w:rsidP="00B36D58">
            <w:pPr>
              <w:pStyle w:val="TableText"/>
              <w:spacing w:before="30" w:after="30"/>
              <w:jc w:val="right"/>
              <w:rPr>
                <w:color w:val="000000"/>
              </w:rPr>
            </w:pPr>
            <w:r w:rsidRPr="001D5327">
              <w:t>0.89</w:t>
            </w:r>
          </w:p>
        </w:tc>
      </w:tr>
      <w:tr w:rsidR="00590FE1" w:rsidRPr="001D5327" w14:paraId="2893E433" w14:textId="77777777" w:rsidTr="00403787">
        <w:tc>
          <w:tcPr>
            <w:tcW w:w="795" w:type="pct"/>
            <w:shd w:val="clear" w:color="auto" w:fill="auto"/>
          </w:tcPr>
          <w:p w14:paraId="1A178DC2" w14:textId="77777777" w:rsidR="00590FE1" w:rsidRPr="001D5327" w:rsidRDefault="00590FE1" w:rsidP="00B36D58">
            <w:pPr>
              <w:pStyle w:val="TableText"/>
              <w:spacing w:before="30" w:after="30"/>
              <w:rPr>
                <w:color w:val="000000"/>
              </w:rPr>
            </w:pPr>
            <w:r w:rsidRPr="001D5327">
              <w:t>2015</w:t>
            </w:r>
          </w:p>
        </w:tc>
        <w:tc>
          <w:tcPr>
            <w:tcW w:w="2046" w:type="pct"/>
            <w:shd w:val="clear" w:color="auto" w:fill="auto"/>
          </w:tcPr>
          <w:p w14:paraId="14A6150F" w14:textId="77777777" w:rsidR="00590FE1" w:rsidRPr="001D5327" w:rsidRDefault="00590FE1" w:rsidP="00B36D58">
            <w:pPr>
              <w:pStyle w:val="TableText"/>
              <w:spacing w:before="30" w:after="30"/>
              <w:jc w:val="right"/>
              <w:rPr>
                <w:color w:val="000000"/>
              </w:rPr>
            </w:pPr>
            <w:r w:rsidRPr="001D5327">
              <w:t>2.10</w:t>
            </w:r>
          </w:p>
        </w:tc>
        <w:tc>
          <w:tcPr>
            <w:tcW w:w="2159" w:type="pct"/>
            <w:shd w:val="clear" w:color="auto" w:fill="auto"/>
          </w:tcPr>
          <w:p w14:paraId="4282A229" w14:textId="77777777" w:rsidR="00590FE1" w:rsidRPr="001D5327" w:rsidRDefault="00590FE1" w:rsidP="00B36D58">
            <w:pPr>
              <w:pStyle w:val="TableText"/>
              <w:spacing w:before="30" w:after="30"/>
              <w:jc w:val="right"/>
              <w:rPr>
                <w:color w:val="000000"/>
              </w:rPr>
            </w:pPr>
            <w:r w:rsidRPr="001D5327">
              <w:t>0.85</w:t>
            </w:r>
          </w:p>
        </w:tc>
      </w:tr>
      <w:tr w:rsidR="00590FE1" w:rsidRPr="001D5327" w14:paraId="48DC9BA3" w14:textId="77777777" w:rsidTr="00403787">
        <w:tc>
          <w:tcPr>
            <w:tcW w:w="795" w:type="pct"/>
            <w:shd w:val="clear" w:color="auto" w:fill="auto"/>
          </w:tcPr>
          <w:p w14:paraId="4CA6422E" w14:textId="77777777" w:rsidR="00590FE1" w:rsidRPr="001D5327" w:rsidRDefault="00590FE1" w:rsidP="00B36D58">
            <w:pPr>
              <w:pStyle w:val="TableText"/>
              <w:spacing w:before="30" w:after="30"/>
              <w:rPr>
                <w:color w:val="000000"/>
              </w:rPr>
            </w:pPr>
            <w:r w:rsidRPr="001D5327">
              <w:t>2020</w:t>
            </w:r>
          </w:p>
        </w:tc>
        <w:tc>
          <w:tcPr>
            <w:tcW w:w="2046" w:type="pct"/>
            <w:shd w:val="clear" w:color="auto" w:fill="auto"/>
          </w:tcPr>
          <w:p w14:paraId="2145CDC2" w14:textId="77777777" w:rsidR="00590FE1" w:rsidRPr="001D5327" w:rsidRDefault="00590FE1" w:rsidP="00B36D58">
            <w:pPr>
              <w:pStyle w:val="TableText"/>
              <w:spacing w:before="30" w:after="30"/>
              <w:jc w:val="right"/>
              <w:rPr>
                <w:color w:val="000000"/>
              </w:rPr>
            </w:pPr>
            <w:r w:rsidRPr="001D5327">
              <w:t>2.01</w:t>
            </w:r>
          </w:p>
        </w:tc>
        <w:tc>
          <w:tcPr>
            <w:tcW w:w="2159" w:type="pct"/>
            <w:shd w:val="clear" w:color="auto" w:fill="auto"/>
          </w:tcPr>
          <w:p w14:paraId="0DF3464C" w14:textId="77777777" w:rsidR="00590FE1" w:rsidRPr="001D5327" w:rsidRDefault="00590FE1" w:rsidP="00B36D58">
            <w:pPr>
              <w:pStyle w:val="TableText"/>
              <w:spacing w:before="30" w:after="30"/>
              <w:jc w:val="right"/>
              <w:rPr>
                <w:color w:val="000000"/>
              </w:rPr>
            </w:pPr>
            <w:r w:rsidRPr="001D5327">
              <w:t>0.82</w:t>
            </w:r>
          </w:p>
        </w:tc>
      </w:tr>
      <w:tr w:rsidR="00590FE1" w:rsidRPr="001D5327" w14:paraId="5EC609BA" w14:textId="77777777" w:rsidTr="00403787">
        <w:tc>
          <w:tcPr>
            <w:tcW w:w="795" w:type="pct"/>
            <w:shd w:val="clear" w:color="auto" w:fill="auto"/>
          </w:tcPr>
          <w:p w14:paraId="524BA7BC" w14:textId="77777777" w:rsidR="00590FE1" w:rsidRPr="001D5327" w:rsidRDefault="00590FE1" w:rsidP="00B36D58">
            <w:pPr>
              <w:pStyle w:val="TableText"/>
              <w:spacing w:before="30" w:after="30"/>
              <w:rPr>
                <w:color w:val="000000"/>
              </w:rPr>
            </w:pPr>
            <w:r w:rsidRPr="001D5327">
              <w:t>2022</w:t>
            </w:r>
          </w:p>
        </w:tc>
        <w:tc>
          <w:tcPr>
            <w:tcW w:w="2046" w:type="pct"/>
            <w:shd w:val="clear" w:color="auto" w:fill="auto"/>
          </w:tcPr>
          <w:p w14:paraId="3B6ECA3D" w14:textId="77777777" w:rsidR="00590FE1" w:rsidRPr="001D5327" w:rsidRDefault="00590FE1" w:rsidP="00B36D58">
            <w:pPr>
              <w:pStyle w:val="TableText"/>
              <w:spacing w:before="30" w:after="30"/>
              <w:jc w:val="right"/>
              <w:rPr>
                <w:color w:val="000000"/>
              </w:rPr>
            </w:pPr>
            <w:r w:rsidRPr="001D5327">
              <w:t>1.97</w:t>
            </w:r>
          </w:p>
        </w:tc>
        <w:tc>
          <w:tcPr>
            <w:tcW w:w="2159" w:type="pct"/>
            <w:shd w:val="clear" w:color="auto" w:fill="auto"/>
          </w:tcPr>
          <w:p w14:paraId="24515211" w14:textId="77777777" w:rsidR="00590FE1" w:rsidRPr="001D5327" w:rsidRDefault="00590FE1" w:rsidP="00B36D58">
            <w:pPr>
              <w:pStyle w:val="TableText"/>
              <w:spacing w:before="30" w:after="30"/>
              <w:jc w:val="right"/>
              <w:rPr>
                <w:color w:val="000000"/>
              </w:rPr>
            </w:pPr>
            <w:r w:rsidRPr="001D5327">
              <w:t>0.81</w:t>
            </w:r>
          </w:p>
        </w:tc>
      </w:tr>
      <w:tr w:rsidR="00590FE1" w:rsidRPr="001D5327" w14:paraId="64EAF825" w14:textId="77777777" w:rsidTr="00403787">
        <w:tc>
          <w:tcPr>
            <w:tcW w:w="795" w:type="pct"/>
            <w:shd w:val="clear" w:color="auto" w:fill="auto"/>
          </w:tcPr>
          <w:p w14:paraId="6E6FFD35" w14:textId="77777777" w:rsidR="00590FE1" w:rsidRPr="001D5327" w:rsidRDefault="00590FE1" w:rsidP="00B36D58">
            <w:pPr>
              <w:pStyle w:val="TableText"/>
              <w:spacing w:before="30" w:after="30"/>
            </w:pPr>
            <w:r w:rsidRPr="001D5327">
              <w:t>2023</w:t>
            </w:r>
          </w:p>
        </w:tc>
        <w:tc>
          <w:tcPr>
            <w:tcW w:w="2046" w:type="pct"/>
            <w:shd w:val="clear" w:color="auto" w:fill="auto"/>
          </w:tcPr>
          <w:p w14:paraId="5951D5E2" w14:textId="77777777" w:rsidR="00590FE1" w:rsidRPr="001D5327" w:rsidRDefault="00590FE1" w:rsidP="00B36D58">
            <w:pPr>
              <w:pStyle w:val="TableText"/>
              <w:spacing w:before="30" w:after="30"/>
              <w:jc w:val="right"/>
            </w:pPr>
            <w:r w:rsidRPr="001D5327">
              <w:t>1.97</w:t>
            </w:r>
          </w:p>
        </w:tc>
        <w:tc>
          <w:tcPr>
            <w:tcW w:w="2159" w:type="pct"/>
            <w:shd w:val="clear" w:color="auto" w:fill="auto"/>
          </w:tcPr>
          <w:p w14:paraId="33873437" w14:textId="77777777" w:rsidR="00590FE1" w:rsidRPr="001D5327" w:rsidRDefault="00590FE1" w:rsidP="00B36D58">
            <w:pPr>
              <w:pStyle w:val="TableText"/>
              <w:spacing w:before="30" w:after="30"/>
              <w:jc w:val="right"/>
            </w:pPr>
            <w:r w:rsidRPr="001D5327">
              <w:t>0.81</w:t>
            </w:r>
          </w:p>
        </w:tc>
      </w:tr>
    </w:tbl>
    <w:p w14:paraId="253E9F4D" w14:textId="77777777" w:rsidR="00590FE1" w:rsidRPr="001D5327" w:rsidRDefault="00590FE1" w:rsidP="00590FE1">
      <w:pPr>
        <w:pStyle w:val="BodyText"/>
        <w:spacing w:before="240"/>
      </w:pPr>
      <w:r w:rsidRPr="001D5327">
        <w:t xml:space="preserve">The country-specific emission factors were developed from industry data on GEI (Hill, 2012; Ritchie, 2024) in which data on the composition of swine diets and industry practices in place to manage waste from production systems were obtained from representative surveys of swine farms in 2009 and 2022. </w:t>
      </w:r>
      <w:r w:rsidRPr="001D5327">
        <w:rPr>
          <w:spacing w:val="-2"/>
        </w:rPr>
        <w:t>Nutritional information was available for different swine age classes and categories. Additionally</w:t>
      </w:r>
      <w:r w:rsidRPr="001D5327">
        <w:t>, the average value of GEI was adjusted for population and further verified against national animal welfare standards.</w:t>
      </w:r>
    </w:p>
    <w:p w14:paraId="6E720A1D" w14:textId="77777777" w:rsidR="00590FE1" w:rsidRPr="001D5327" w:rsidRDefault="00590FE1" w:rsidP="00590FE1">
      <w:pPr>
        <w:pStyle w:val="BodyText"/>
        <w:spacing w:before="100" w:after="100"/>
      </w:pPr>
      <w:r w:rsidRPr="001D5327">
        <w:t>The New Zealand emission factors for swine are lower than the IPCC (2006) default for developed countries.</w:t>
      </w:r>
      <w:r w:rsidRPr="001D5327">
        <w:rPr>
          <w:rStyle w:val="FootnoteReference"/>
          <w:rFonts w:cs="Calibri"/>
        </w:rPr>
        <w:footnoteReference w:id="33"/>
      </w:r>
      <w:r w:rsidRPr="001D5327">
        <w:t xml:space="preserve"> The IPCC (2006) default value for swine is based on average values derived from 1980s Western German swine production and population statistics, and is not representative of </w:t>
      </w:r>
      <w:r w:rsidRPr="001D5327" w:rsidDel="00330450">
        <w:t xml:space="preserve">New </w:t>
      </w:r>
      <w:r w:rsidRPr="001D5327">
        <w:t xml:space="preserve">Zealand swine systems. In particular, the default value does not </w:t>
      </w:r>
      <w:r w:rsidRPr="001D5327">
        <w:lastRenderedPageBreak/>
        <w:t xml:space="preserve">reflect changes in production due to improvements in genetic selection, reproductive cycle performance, housing and feed, animal husbandry and herd management. Further information on these factors is provided in the report by Hill (2012) and Ritchie (2024). </w:t>
      </w:r>
    </w:p>
    <w:p w14:paraId="27FADCC5" w14:textId="77777777" w:rsidR="00590FE1" w:rsidRPr="001D5327" w:rsidRDefault="00590FE1" w:rsidP="00590FE1">
      <w:pPr>
        <w:pStyle w:val="BodyText"/>
        <w:spacing w:before="100" w:after="100"/>
      </w:pPr>
      <w:r w:rsidRPr="001D5327">
        <w:rPr>
          <w:b/>
          <w:bCs/>
          <w:i/>
          <w:iCs/>
        </w:rPr>
        <w:t>Horses:</w:t>
      </w:r>
      <w:r w:rsidRPr="001D5327">
        <w:t xml:space="preserve"> The IPCC (2006) default value (18 kg CH</w:t>
      </w:r>
      <w:r w:rsidRPr="001D5327">
        <w:rPr>
          <w:vertAlign w:val="subscript"/>
        </w:rPr>
        <w:t>4</w:t>
      </w:r>
      <w:r w:rsidRPr="001D5327">
        <w:t xml:space="preserve"> head</w:t>
      </w:r>
      <w:r w:rsidRPr="001D5327">
        <w:rPr>
          <w:vertAlign w:val="superscript"/>
        </w:rPr>
        <w:t>-1</w:t>
      </w:r>
      <w:r w:rsidRPr="001D5327">
        <w:t xml:space="preserve"> year</w:t>
      </w:r>
      <w:r w:rsidRPr="001D5327">
        <w:rPr>
          <w:vertAlign w:val="superscript"/>
        </w:rPr>
        <w:t>-1</w:t>
      </w:r>
      <w:r w:rsidRPr="001D5327">
        <w:t>) is used to estimate CH</w:t>
      </w:r>
      <w:r w:rsidRPr="001D5327">
        <w:rPr>
          <w:vertAlign w:val="subscript"/>
        </w:rPr>
        <w:t>4</w:t>
      </w:r>
      <w:r w:rsidRPr="001D5327">
        <w:t xml:space="preserve"> emissions from this livestock category.</w:t>
      </w:r>
    </w:p>
    <w:p w14:paraId="5DF42A23" w14:textId="77777777" w:rsidR="00590FE1" w:rsidRPr="001D5327" w:rsidRDefault="00590FE1" w:rsidP="00590FE1">
      <w:pPr>
        <w:pStyle w:val="BodyText"/>
        <w:spacing w:before="100" w:after="100"/>
      </w:pPr>
      <w:r w:rsidRPr="001D5327">
        <w:rPr>
          <w:b/>
          <w:bCs/>
          <w:i/>
          <w:iCs/>
        </w:rPr>
        <w:t>Llamas</w:t>
      </w:r>
      <w:r w:rsidRPr="001D5327">
        <w:rPr>
          <w:b/>
          <w:i/>
          <w:iCs/>
        </w:rPr>
        <w:t xml:space="preserve"> and alpacas</w:t>
      </w:r>
      <w:r w:rsidRPr="001D5327">
        <w:rPr>
          <w:b/>
          <w:bCs/>
          <w:i/>
          <w:iCs/>
        </w:rPr>
        <w:t>:</w:t>
      </w:r>
      <w:r w:rsidRPr="001D5327">
        <w:t xml:space="preserve"> The IPCC (2006) default value (8 kg CH</w:t>
      </w:r>
      <w:r w:rsidRPr="001D5327">
        <w:rPr>
          <w:vertAlign w:val="subscript"/>
        </w:rPr>
        <w:t>4</w:t>
      </w:r>
      <w:r w:rsidRPr="001D5327">
        <w:t xml:space="preserve"> head</w:t>
      </w:r>
      <w:r w:rsidRPr="001D5327">
        <w:rPr>
          <w:vertAlign w:val="superscript"/>
        </w:rPr>
        <w:t>-1</w:t>
      </w:r>
      <w:r w:rsidRPr="001D5327">
        <w:t xml:space="preserve"> year</w:t>
      </w:r>
      <w:r w:rsidRPr="001D5327">
        <w:rPr>
          <w:vertAlign w:val="superscript"/>
        </w:rPr>
        <w:t>-1</w:t>
      </w:r>
      <w:r w:rsidRPr="001D5327">
        <w:t>) is used to estimate CH</w:t>
      </w:r>
      <w:r w:rsidRPr="001D5327">
        <w:rPr>
          <w:vertAlign w:val="subscript"/>
        </w:rPr>
        <w:t>4</w:t>
      </w:r>
      <w:r w:rsidRPr="001D5327">
        <w:t xml:space="preserve"> emissions from this livestock category. </w:t>
      </w:r>
    </w:p>
    <w:p w14:paraId="7B015FDF" w14:textId="77777777" w:rsidR="00590FE1" w:rsidRPr="001D5327" w:rsidRDefault="00590FE1" w:rsidP="00590FE1">
      <w:pPr>
        <w:pStyle w:val="BodyText"/>
        <w:spacing w:before="100" w:after="100"/>
      </w:pPr>
      <w:r w:rsidRPr="001D5327">
        <w:rPr>
          <w:b/>
          <w:bCs/>
          <w:i/>
          <w:iCs/>
        </w:rPr>
        <w:t>Mules and asses:</w:t>
      </w:r>
      <w:r w:rsidRPr="001D5327">
        <w:t xml:space="preserve"> The IPCC (2006) default value is used (10 kg CH</w:t>
      </w:r>
      <w:r w:rsidRPr="001D5327">
        <w:rPr>
          <w:vertAlign w:val="subscript"/>
        </w:rPr>
        <w:t>4</w:t>
      </w:r>
      <w:r w:rsidRPr="001D5327">
        <w:t xml:space="preserve"> head</w:t>
      </w:r>
      <w:r w:rsidRPr="001D5327">
        <w:rPr>
          <w:vertAlign w:val="superscript"/>
        </w:rPr>
        <w:t>-1</w:t>
      </w:r>
      <w:r w:rsidRPr="001D5327">
        <w:t xml:space="preserve"> year</w:t>
      </w:r>
      <w:r w:rsidRPr="001D5327">
        <w:rPr>
          <w:vertAlign w:val="superscript"/>
        </w:rPr>
        <w:t>-1</w:t>
      </w:r>
      <w:r w:rsidRPr="001D5327">
        <w:t>) to estimate CH</w:t>
      </w:r>
      <w:r w:rsidRPr="001D5327">
        <w:rPr>
          <w:vertAlign w:val="subscript"/>
        </w:rPr>
        <w:t>4</w:t>
      </w:r>
      <w:r w:rsidRPr="001D5327">
        <w:t xml:space="preserve"> emissions from this livestock category.</w:t>
      </w:r>
    </w:p>
    <w:p w14:paraId="7EC7E212" w14:textId="77777777" w:rsidR="00590FE1" w:rsidRPr="001D5327" w:rsidRDefault="00590FE1" w:rsidP="00590FE1">
      <w:pPr>
        <w:pStyle w:val="Heading3"/>
      </w:pPr>
      <w:r w:rsidRPr="001D5327">
        <w:t>5.2.3</w:t>
      </w:r>
      <w:r w:rsidRPr="001D5327">
        <w:tab/>
      </w:r>
      <w:bookmarkStart w:id="802" w:name="_Toc139253919"/>
      <w:bookmarkStart w:id="803" w:name="_Toc32570653"/>
      <w:bookmarkStart w:id="804" w:name="_Hlk154135495"/>
      <w:r w:rsidRPr="001D5327">
        <w:t>Uncertainty assessment and time-series consistency</w:t>
      </w:r>
      <w:bookmarkEnd w:id="802"/>
      <w:bookmarkEnd w:id="803"/>
      <w:bookmarkEnd w:id="804"/>
    </w:p>
    <w:p w14:paraId="5538DAAD" w14:textId="77777777" w:rsidR="00590FE1" w:rsidRPr="001D5327" w:rsidRDefault="00590FE1" w:rsidP="00590FE1">
      <w:pPr>
        <w:pStyle w:val="BodyText"/>
        <w:spacing w:before="100" w:after="100"/>
      </w:pPr>
      <w:r w:rsidRPr="001D5327">
        <w:t>To ensure consistency across emission categories, a single enhanced livestock population characterisation and feed-intake estimate is produced by the Tier 2 model (see annex 5, table A5.1.2 for the full list of livestock categories). It is used in different parts of the calculations for the National Inventory Report to estimate: CH</w:t>
      </w:r>
      <w:r w:rsidRPr="001D5327">
        <w:rPr>
          <w:vertAlign w:val="subscript"/>
        </w:rPr>
        <w:t>4</w:t>
      </w:r>
      <w:r w:rsidRPr="001D5327">
        <w:t xml:space="preserve"> emissions for the </w:t>
      </w:r>
      <w:r w:rsidRPr="001D5327">
        <w:rPr>
          <w:i/>
          <w:iCs/>
        </w:rPr>
        <w:t>Enteric fermentation</w:t>
      </w:r>
      <w:r w:rsidRPr="001D5327">
        <w:t xml:space="preserve"> category, CH</w:t>
      </w:r>
      <w:r w:rsidRPr="001D5327">
        <w:rPr>
          <w:vertAlign w:val="subscript"/>
        </w:rPr>
        <w:t>4</w:t>
      </w:r>
      <w:r w:rsidRPr="001D5327">
        <w:t xml:space="preserve"> and N</w:t>
      </w:r>
      <w:r w:rsidRPr="001D5327">
        <w:rPr>
          <w:vertAlign w:val="subscript"/>
        </w:rPr>
        <w:t>2</w:t>
      </w:r>
      <w:r w:rsidRPr="001D5327">
        <w:t xml:space="preserve">O emissions for the </w:t>
      </w:r>
      <w:r w:rsidRPr="001D5327">
        <w:rPr>
          <w:i/>
          <w:iCs/>
        </w:rPr>
        <w:t>Manure management</w:t>
      </w:r>
      <w:r w:rsidRPr="001D5327">
        <w:t xml:space="preserve"> category and N</w:t>
      </w:r>
      <w:r w:rsidRPr="001D5327">
        <w:rPr>
          <w:vertAlign w:val="subscript"/>
        </w:rPr>
        <w:t>2</w:t>
      </w:r>
      <w:r w:rsidRPr="001D5327">
        <w:t xml:space="preserve">O emissions for the </w:t>
      </w:r>
      <w:r w:rsidRPr="001D5327">
        <w:rPr>
          <w:i/>
          <w:iCs/>
        </w:rPr>
        <w:t>Pasture, range and paddock manure</w:t>
      </w:r>
      <w:r w:rsidRPr="001D5327">
        <w:t xml:space="preserve"> category.</w:t>
      </w:r>
    </w:p>
    <w:p w14:paraId="012A0EB8" w14:textId="77777777" w:rsidR="00590FE1" w:rsidRPr="001D5327" w:rsidRDefault="00590FE1" w:rsidP="00590FE1">
      <w:pPr>
        <w:pStyle w:val="Heading4"/>
      </w:pPr>
      <w:r w:rsidRPr="001D5327">
        <w:t>Livestock numbers</w:t>
      </w:r>
    </w:p>
    <w:p w14:paraId="45836396" w14:textId="77777777" w:rsidR="00590FE1" w:rsidRPr="001D5327" w:rsidRDefault="00590FE1" w:rsidP="00590FE1">
      <w:pPr>
        <w:pStyle w:val="BodyText"/>
        <w:rPr>
          <w:rFonts w:cs="Calibri"/>
        </w:rPr>
      </w:pPr>
      <w:r w:rsidRPr="001D5327">
        <w:rPr>
          <w:rFonts w:cs="Calibri"/>
        </w:rPr>
        <w:t xml:space="preserve">The calculations for total enteric fermentation require livestock population data. Information on the uncertainties and time-series consistency for the livestock population data is included in section 5.1.4 and annex 5, section 5.1. </w:t>
      </w:r>
    </w:p>
    <w:p w14:paraId="5C905AEB" w14:textId="77777777" w:rsidR="00590FE1" w:rsidRPr="001D5327" w:rsidRDefault="00590FE1" w:rsidP="00590FE1">
      <w:pPr>
        <w:pStyle w:val="Heading4"/>
      </w:pPr>
      <w:r w:rsidRPr="001D5327">
        <w:t>Uncertainty of methane emissions from enteric fermentation in sheep and cattle</w:t>
      </w:r>
    </w:p>
    <w:p w14:paraId="28FCBE1E" w14:textId="77777777" w:rsidR="00590FE1" w:rsidRPr="001D5327" w:rsidRDefault="00590FE1" w:rsidP="00590FE1">
      <w:pPr>
        <w:pStyle w:val="BodyText"/>
      </w:pPr>
      <w:r w:rsidRPr="001D5327">
        <w:t>Kelliher et al. (2009) calculated the uncertainty of enteric fermentation CH</w:t>
      </w:r>
      <w:r w:rsidRPr="001D5327">
        <w:rPr>
          <w:vertAlign w:val="subscript"/>
        </w:rPr>
        <w:t>4</w:t>
      </w:r>
      <w:r w:rsidRPr="001D5327">
        <w:t xml:space="preserve"> emissions for </w:t>
      </w:r>
      <w:r w:rsidRPr="001D5327">
        <w:rPr>
          <w:spacing w:val="-2"/>
        </w:rPr>
        <w:t>sheep and cattle using a Monte Carlo approach. This superseded a previous analysis undertaken</w:t>
      </w:r>
      <w:r w:rsidRPr="001D5327">
        <w:t xml:space="preserve"> by Clark et al. (2003). Kelliher et al. (2009) calculated the uncertainty by expressing the coefficient of variation according to the standard deviation of the CH</w:t>
      </w:r>
      <w:r w:rsidRPr="001D5327">
        <w:rPr>
          <w:vertAlign w:val="subscript"/>
        </w:rPr>
        <w:t>4</w:t>
      </w:r>
      <w:r w:rsidRPr="001D5327">
        <w:t xml:space="preserve"> yield using a larger sample of measurements (relative to the previous analysis). The analysis was restricted to grass–legume pasture, the predominant diet of sheep and cattle in </w:t>
      </w:r>
      <w:r w:rsidRPr="001D5327" w:rsidDel="00F05AE5">
        <w:t xml:space="preserve">New </w:t>
      </w:r>
      <w:r w:rsidRPr="001D5327">
        <w:t>Zealand. The resulting overall uncertainty of the enteric CH</w:t>
      </w:r>
      <w:r w:rsidRPr="001D5327">
        <w:rPr>
          <w:vertAlign w:val="subscript"/>
        </w:rPr>
        <w:t>4</w:t>
      </w:r>
      <w:r w:rsidRPr="001D5327">
        <w:t xml:space="preserve"> emissions inventory, expressed as a 95 per cent confidence interval, was ±16 per cent (see table 5.2.5).</w:t>
      </w:r>
    </w:p>
    <w:p w14:paraId="03164916" w14:textId="77777777" w:rsidR="00590FE1" w:rsidRPr="001D5327" w:rsidRDefault="00590FE1" w:rsidP="00590FE1">
      <w:pPr>
        <w:pStyle w:val="Table"/>
        <w:rPr>
          <w:rFonts w:cs="Calibri"/>
        </w:rPr>
      </w:pPr>
      <w:bookmarkStart w:id="805" w:name="_Toc144607406"/>
      <w:bookmarkStart w:id="806" w:name="_Toc144607683"/>
      <w:bookmarkStart w:id="807" w:name="_Toc235955625"/>
      <w:bookmarkStart w:id="808" w:name="_Toc288316750"/>
      <w:bookmarkStart w:id="809" w:name="_Toc352504968"/>
      <w:bookmarkStart w:id="810" w:name="_Toc441830871"/>
      <w:bookmarkStart w:id="811" w:name="_Toc451176085"/>
      <w:bookmarkStart w:id="812" w:name="_Toc481751511"/>
      <w:bookmarkStart w:id="813" w:name="_Toc507158601"/>
      <w:bookmarkStart w:id="814" w:name="_Toc511116735"/>
      <w:bookmarkStart w:id="815" w:name="_Toc5269475"/>
      <w:bookmarkStart w:id="816" w:name="_Toc32570916"/>
      <w:bookmarkStart w:id="817" w:name="_Toc36224551"/>
      <w:bookmarkStart w:id="818" w:name="_Toc68786437"/>
      <w:bookmarkStart w:id="819" w:name="_Toc95574072"/>
      <w:bookmarkStart w:id="820" w:name="_Toc127458255"/>
      <w:bookmarkStart w:id="821" w:name="_Toc131591351"/>
      <w:bookmarkStart w:id="822" w:name="_Toc160114441"/>
      <w:bookmarkStart w:id="823" w:name="_Toc164153837"/>
      <w:bookmarkStart w:id="824" w:name="_Toc194241705"/>
      <w:r w:rsidRPr="001D5327">
        <w:rPr>
          <w:rFonts w:cs="Calibri"/>
        </w:rPr>
        <w:t>Table 5.2.5</w:t>
      </w:r>
      <w:r w:rsidRPr="001D5327">
        <w:rPr>
          <w:rFonts w:cs="Calibri"/>
        </w:rPr>
        <w:tab/>
      </w:r>
      <w:r w:rsidRPr="001D5327">
        <w:t>New Zealand’s</w:t>
      </w:r>
      <w:r w:rsidRPr="001D5327">
        <w:rPr>
          <w:rFonts w:cs="Calibri"/>
        </w:rPr>
        <w:t xml:space="preserve"> uncertainty in the annual estimate of enteric fermentation emissions for 1990 and 2023, estimated using </w:t>
      </w:r>
      <w:bookmarkEnd w:id="805"/>
      <w:bookmarkEnd w:id="806"/>
      <w:bookmarkEnd w:id="807"/>
      <w:r w:rsidRPr="001D5327">
        <w:rPr>
          <w:rFonts w:cs="Calibri"/>
        </w:rPr>
        <w:t>the 95 per cent confidence interval (±16 per cent</w:t>
      </w:r>
      <w:bookmarkEnd w:id="808"/>
      <w:bookmarkEnd w:id="809"/>
      <w:r w:rsidRPr="001D5327">
        <w:rPr>
          <w:rFonts w:cs="Calibri"/>
        </w:rPr>
        <w:t>)</w:t>
      </w:r>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p>
    <w:tbl>
      <w:tblPr>
        <w:tblW w:w="8505" w:type="dxa"/>
        <w:tblBorders>
          <w:top w:val="single" w:sz="4" w:space="0" w:color="1B556B" w:themeColor="text2"/>
          <w:bottom w:val="single" w:sz="4" w:space="0" w:color="1B556B" w:themeColor="text2"/>
          <w:insideH w:val="single" w:sz="4" w:space="0" w:color="1B556B" w:themeColor="text2"/>
        </w:tblBorders>
        <w:tblLook w:val="01E0" w:firstRow="1" w:lastRow="1" w:firstColumn="1" w:lastColumn="1" w:noHBand="0" w:noVBand="0"/>
      </w:tblPr>
      <w:tblGrid>
        <w:gridCol w:w="1701"/>
        <w:gridCol w:w="1701"/>
        <w:gridCol w:w="1701"/>
        <w:gridCol w:w="1701"/>
        <w:gridCol w:w="1701"/>
      </w:tblGrid>
      <w:tr w:rsidR="00590FE1" w:rsidRPr="001D5327" w14:paraId="39A35D87" w14:textId="77777777" w:rsidTr="00403787">
        <w:tc>
          <w:tcPr>
            <w:tcW w:w="1000" w:type="pct"/>
            <w:shd w:val="clear" w:color="auto" w:fill="1B556B"/>
            <w:vAlign w:val="bottom"/>
          </w:tcPr>
          <w:p w14:paraId="08FE8FB6" w14:textId="77777777" w:rsidR="00590FE1" w:rsidRPr="001D5327" w:rsidRDefault="00590FE1" w:rsidP="00403787">
            <w:pPr>
              <w:pStyle w:val="TableTextBold"/>
              <w:keepNext/>
              <w:spacing w:before="30" w:after="30"/>
              <w:rPr>
                <w:noProof w:val="0"/>
                <w:color w:val="FFFFFF" w:themeColor="background1"/>
              </w:rPr>
            </w:pPr>
            <w:r w:rsidRPr="001D5327">
              <w:rPr>
                <w:noProof w:val="0"/>
                <w:color w:val="FFFFFF" w:themeColor="background1"/>
              </w:rPr>
              <w:t>Year</w:t>
            </w:r>
          </w:p>
        </w:tc>
        <w:tc>
          <w:tcPr>
            <w:tcW w:w="1000" w:type="pct"/>
            <w:shd w:val="clear" w:color="auto" w:fill="1B556B"/>
            <w:vAlign w:val="bottom"/>
          </w:tcPr>
          <w:p w14:paraId="28DBEDDF" w14:textId="77777777" w:rsidR="00590FE1" w:rsidRPr="001D5327" w:rsidRDefault="00590FE1" w:rsidP="00403787">
            <w:pPr>
              <w:pStyle w:val="TableTextBold"/>
              <w:keepNext/>
              <w:spacing w:before="30" w:after="30"/>
              <w:jc w:val="right"/>
              <w:rPr>
                <w:noProof w:val="0"/>
                <w:color w:val="FFFFFF" w:themeColor="background1"/>
              </w:rPr>
            </w:pPr>
            <w:r w:rsidRPr="001D5327">
              <w:rPr>
                <w:noProof w:val="0"/>
                <w:color w:val="FFFFFF" w:themeColor="background1"/>
              </w:rPr>
              <w:t>Enteric CH</w:t>
            </w:r>
            <w:r w:rsidRPr="001D5327">
              <w:rPr>
                <w:noProof w:val="0"/>
                <w:color w:val="FFFFFF" w:themeColor="background1"/>
                <w:vertAlign w:val="subscript"/>
              </w:rPr>
              <w:t>4</w:t>
            </w:r>
            <w:r w:rsidRPr="001D5327">
              <w:rPr>
                <w:noProof w:val="0"/>
                <w:color w:val="FFFFFF" w:themeColor="background1"/>
              </w:rPr>
              <w:t xml:space="preserve"> emissions </w:t>
            </w:r>
            <w:r w:rsidRPr="001D5327">
              <w:rPr>
                <w:noProof w:val="0"/>
                <w:color w:val="FFFFFF" w:themeColor="background1"/>
                <w:szCs w:val="16"/>
              </w:rPr>
              <w:br/>
            </w:r>
            <w:r w:rsidRPr="001D5327">
              <w:rPr>
                <w:noProof w:val="0"/>
                <w:color w:val="FFFFFF" w:themeColor="background1"/>
              </w:rPr>
              <w:t>(kt CH</w:t>
            </w:r>
            <w:r w:rsidRPr="001D5327">
              <w:rPr>
                <w:noProof w:val="0"/>
                <w:color w:val="FFFFFF" w:themeColor="background1"/>
                <w:vertAlign w:val="subscript"/>
              </w:rPr>
              <w:t>4</w:t>
            </w:r>
            <w:r w:rsidRPr="001D5327">
              <w:rPr>
                <w:noProof w:val="0"/>
                <w:color w:val="FFFFFF" w:themeColor="background1"/>
              </w:rPr>
              <w:t>/annum)</w:t>
            </w:r>
          </w:p>
        </w:tc>
        <w:tc>
          <w:tcPr>
            <w:tcW w:w="1000" w:type="pct"/>
            <w:shd w:val="clear" w:color="auto" w:fill="1B556B"/>
            <w:vAlign w:val="bottom"/>
          </w:tcPr>
          <w:p w14:paraId="184149B0" w14:textId="77777777" w:rsidR="00590FE1" w:rsidRPr="001D5327" w:rsidRDefault="00590FE1" w:rsidP="00403787">
            <w:pPr>
              <w:pStyle w:val="TableTextBold"/>
              <w:keepNext/>
              <w:spacing w:before="30" w:after="30"/>
              <w:jc w:val="right"/>
              <w:rPr>
                <w:noProof w:val="0"/>
                <w:color w:val="FFFFFF" w:themeColor="background1"/>
              </w:rPr>
            </w:pPr>
            <w:r w:rsidRPr="001D5327">
              <w:rPr>
                <w:noProof w:val="0"/>
                <w:color w:val="FFFFFF" w:themeColor="background1"/>
              </w:rPr>
              <w:t>95% confidence interval minimum</w:t>
            </w:r>
            <w:r w:rsidRPr="001D5327">
              <w:rPr>
                <w:noProof w:val="0"/>
                <w:color w:val="FFFFFF" w:themeColor="background1"/>
                <w:szCs w:val="16"/>
              </w:rPr>
              <w:br/>
            </w:r>
            <w:r w:rsidRPr="001D5327">
              <w:rPr>
                <w:noProof w:val="0"/>
                <w:color w:val="FFFFFF" w:themeColor="background1"/>
              </w:rPr>
              <w:t xml:space="preserve"> (kt CH</w:t>
            </w:r>
            <w:r w:rsidRPr="001D5327">
              <w:rPr>
                <w:noProof w:val="0"/>
                <w:color w:val="FFFFFF" w:themeColor="background1"/>
                <w:vertAlign w:val="subscript"/>
              </w:rPr>
              <w:t>4</w:t>
            </w:r>
            <w:r w:rsidRPr="001D5327">
              <w:rPr>
                <w:noProof w:val="0"/>
                <w:color w:val="FFFFFF" w:themeColor="background1"/>
              </w:rPr>
              <w:t>/annum)</w:t>
            </w:r>
          </w:p>
        </w:tc>
        <w:tc>
          <w:tcPr>
            <w:tcW w:w="1000" w:type="pct"/>
            <w:shd w:val="clear" w:color="auto" w:fill="1B556B"/>
            <w:vAlign w:val="bottom"/>
          </w:tcPr>
          <w:p w14:paraId="1BB4ACAF" w14:textId="77777777" w:rsidR="00590FE1" w:rsidRPr="001D5327" w:rsidRDefault="00590FE1" w:rsidP="00403787">
            <w:pPr>
              <w:pStyle w:val="TableTextBold"/>
              <w:keepNext/>
              <w:spacing w:before="30" w:after="30"/>
              <w:jc w:val="right"/>
              <w:rPr>
                <w:noProof w:val="0"/>
                <w:color w:val="FFFFFF" w:themeColor="background1"/>
              </w:rPr>
            </w:pPr>
            <w:r w:rsidRPr="001D5327">
              <w:rPr>
                <w:noProof w:val="0"/>
                <w:color w:val="FFFFFF" w:themeColor="background1"/>
              </w:rPr>
              <w:t xml:space="preserve">95% confidence interval maximum </w:t>
            </w:r>
            <w:r w:rsidRPr="001D5327">
              <w:rPr>
                <w:noProof w:val="0"/>
                <w:color w:val="FFFFFF" w:themeColor="background1"/>
                <w:szCs w:val="16"/>
              </w:rPr>
              <w:br/>
            </w:r>
            <w:r w:rsidRPr="001D5327">
              <w:rPr>
                <w:noProof w:val="0"/>
                <w:color w:val="FFFFFF" w:themeColor="background1"/>
              </w:rPr>
              <w:t>(kt CH</w:t>
            </w:r>
            <w:r w:rsidRPr="001D5327">
              <w:rPr>
                <w:noProof w:val="0"/>
                <w:color w:val="FFFFFF" w:themeColor="background1"/>
                <w:vertAlign w:val="subscript"/>
              </w:rPr>
              <w:t>4</w:t>
            </w:r>
            <w:r w:rsidRPr="001D5327">
              <w:rPr>
                <w:noProof w:val="0"/>
                <w:color w:val="FFFFFF" w:themeColor="background1"/>
              </w:rPr>
              <w:t>/annum)</w:t>
            </w:r>
          </w:p>
        </w:tc>
        <w:tc>
          <w:tcPr>
            <w:tcW w:w="1000" w:type="pct"/>
            <w:shd w:val="clear" w:color="auto" w:fill="1B556B"/>
            <w:vAlign w:val="bottom"/>
          </w:tcPr>
          <w:p w14:paraId="7D517932" w14:textId="77777777" w:rsidR="00590FE1" w:rsidRPr="001D5327" w:rsidRDefault="00590FE1" w:rsidP="00403787">
            <w:pPr>
              <w:pStyle w:val="TableTextBold"/>
              <w:keepNext/>
              <w:spacing w:before="30" w:after="30"/>
              <w:jc w:val="right"/>
              <w:rPr>
                <w:noProof w:val="0"/>
                <w:color w:val="FFFFFF" w:themeColor="background1"/>
              </w:rPr>
            </w:pPr>
            <w:r w:rsidRPr="001D5327">
              <w:rPr>
                <w:noProof w:val="0"/>
                <w:color w:val="FFFFFF" w:themeColor="background1"/>
              </w:rPr>
              <w:t>Range of uncertainty (kt CH</w:t>
            </w:r>
            <w:r w:rsidRPr="001D5327">
              <w:rPr>
                <w:noProof w:val="0"/>
                <w:color w:val="FFFFFF" w:themeColor="background1"/>
                <w:vertAlign w:val="subscript"/>
              </w:rPr>
              <w:t>4</w:t>
            </w:r>
            <w:r w:rsidRPr="001D5327">
              <w:rPr>
                <w:noProof w:val="0"/>
                <w:color w:val="FFFFFF" w:themeColor="background1"/>
              </w:rPr>
              <w:t>/annum)</w:t>
            </w:r>
          </w:p>
        </w:tc>
      </w:tr>
      <w:tr w:rsidR="00590FE1" w:rsidRPr="001D5327" w14:paraId="706E00DA" w14:textId="77777777" w:rsidTr="00403787">
        <w:trPr>
          <w:trHeight w:val="247"/>
        </w:trPr>
        <w:tc>
          <w:tcPr>
            <w:tcW w:w="1000" w:type="pct"/>
            <w:vAlign w:val="bottom"/>
          </w:tcPr>
          <w:p w14:paraId="4B47C48E" w14:textId="77777777" w:rsidR="00590FE1" w:rsidRPr="001D5327" w:rsidRDefault="00590FE1" w:rsidP="00403787">
            <w:pPr>
              <w:pStyle w:val="TableText"/>
              <w:spacing w:before="30" w:after="30"/>
            </w:pPr>
            <w:r w:rsidRPr="001D5327">
              <w:t>1990</w:t>
            </w:r>
          </w:p>
        </w:tc>
        <w:tc>
          <w:tcPr>
            <w:tcW w:w="1000" w:type="pct"/>
          </w:tcPr>
          <w:p w14:paraId="1B4C647D" w14:textId="77777777" w:rsidR="00590FE1" w:rsidRPr="001D5327" w:rsidRDefault="00590FE1" w:rsidP="00403787">
            <w:pPr>
              <w:pStyle w:val="TableText"/>
              <w:spacing w:before="30" w:after="30"/>
              <w:jc w:val="right"/>
            </w:pPr>
            <w:r w:rsidRPr="001D5327">
              <w:t>1,108.4</w:t>
            </w:r>
          </w:p>
        </w:tc>
        <w:tc>
          <w:tcPr>
            <w:tcW w:w="1000" w:type="pct"/>
          </w:tcPr>
          <w:p w14:paraId="5CB7CE46" w14:textId="77777777" w:rsidR="00590FE1" w:rsidRPr="001D5327" w:rsidRDefault="00590FE1" w:rsidP="00403787">
            <w:pPr>
              <w:pStyle w:val="TableText"/>
              <w:spacing w:before="30" w:after="30"/>
              <w:jc w:val="right"/>
            </w:pPr>
            <w:r w:rsidRPr="001D5327">
              <w:t>931.0</w:t>
            </w:r>
          </w:p>
        </w:tc>
        <w:tc>
          <w:tcPr>
            <w:tcW w:w="1000" w:type="pct"/>
          </w:tcPr>
          <w:p w14:paraId="12713C7B" w14:textId="77777777" w:rsidR="00590FE1" w:rsidRPr="001D5327" w:rsidRDefault="00590FE1" w:rsidP="00403787">
            <w:pPr>
              <w:pStyle w:val="TableText"/>
              <w:spacing w:before="30" w:after="30"/>
              <w:jc w:val="right"/>
            </w:pPr>
            <w:r w:rsidRPr="001D5327">
              <w:t>1,285.7</w:t>
            </w:r>
          </w:p>
        </w:tc>
        <w:tc>
          <w:tcPr>
            <w:tcW w:w="1000" w:type="pct"/>
          </w:tcPr>
          <w:p w14:paraId="1D2A077D" w14:textId="77777777" w:rsidR="00590FE1" w:rsidRPr="001D5327" w:rsidRDefault="00590FE1" w:rsidP="00403787">
            <w:pPr>
              <w:pStyle w:val="TableText"/>
              <w:spacing w:before="30" w:after="30"/>
              <w:jc w:val="right"/>
            </w:pPr>
            <w:r w:rsidRPr="001D5327">
              <w:t>354.7</w:t>
            </w:r>
          </w:p>
        </w:tc>
      </w:tr>
      <w:tr w:rsidR="00590FE1" w:rsidRPr="001D5327" w14:paraId="75B28525" w14:textId="77777777" w:rsidTr="00403787">
        <w:trPr>
          <w:trHeight w:val="247"/>
        </w:trPr>
        <w:tc>
          <w:tcPr>
            <w:tcW w:w="1000" w:type="pct"/>
            <w:vAlign w:val="bottom"/>
          </w:tcPr>
          <w:p w14:paraId="47239F1C" w14:textId="77777777" w:rsidR="00590FE1" w:rsidRPr="001D5327" w:rsidRDefault="00590FE1" w:rsidP="00403787">
            <w:pPr>
              <w:pStyle w:val="TableText"/>
              <w:spacing w:before="30" w:after="30"/>
            </w:pPr>
            <w:r w:rsidRPr="001D5327">
              <w:t>2023</w:t>
            </w:r>
          </w:p>
        </w:tc>
        <w:tc>
          <w:tcPr>
            <w:tcW w:w="1000" w:type="pct"/>
          </w:tcPr>
          <w:p w14:paraId="3C9BCF03" w14:textId="77777777" w:rsidR="00590FE1" w:rsidRPr="001D5327" w:rsidRDefault="00590FE1" w:rsidP="00403787">
            <w:pPr>
              <w:pStyle w:val="TableText"/>
              <w:spacing w:before="30" w:after="30"/>
              <w:jc w:val="right"/>
            </w:pPr>
            <w:r w:rsidRPr="001D5327">
              <w:t>1,130.8</w:t>
            </w:r>
          </w:p>
        </w:tc>
        <w:tc>
          <w:tcPr>
            <w:tcW w:w="1000" w:type="pct"/>
          </w:tcPr>
          <w:p w14:paraId="406177C3" w14:textId="77777777" w:rsidR="00590FE1" w:rsidRPr="001D5327" w:rsidRDefault="00590FE1" w:rsidP="00403787">
            <w:pPr>
              <w:pStyle w:val="TableText"/>
              <w:spacing w:before="30" w:after="30"/>
              <w:jc w:val="right"/>
            </w:pPr>
            <w:r w:rsidRPr="001D5327">
              <w:t>949.9</w:t>
            </w:r>
          </w:p>
        </w:tc>
        <w:tc>
          <w:tcPr>
            <w:tcW w:w="1000" w:type="pct"/>
          </w:tcPr>
          <w:p w14:paraId="763C4D3A" w14:textId="77777777" w:rsidR="00590FE1" w:rsidRPr="001D5327" w:rsidRDefault="00590FE1" w:rsidP="00403787">
            <w:pPr>
              <w:pStyle w:val="TableText"/>
              <w:spacing w:before="30" w:after="30"/>
              <w:jc w:val="right"/>
            </w:pPr>
            <w:r w:rsidRPr="001D5327">
              <w:t>1,311.7</w:t>
            </w:r>
          </w:p>
        </w:tc>
        <w:tc>
          <w:tcPr>
            <w:tcW w:w="1000" w:type="pct"/>
          </w:tcPr>
          <w:p w14:paraId="026B9EAA" w14:textId="77777777" w:rsidR="00590FE1" w:rsidRPr="001D5327" w:rsidRDefault="00590FE1" w:rsidP="00403787">
            <w:pPr>
              <w:pStyle w:val="TableText"/>
              <w:spacing w:before="30" w:after="30"/>
              <w:jc w:val="right"/>
            </w:pPr>
            <w:r w:rsidRPr="001D5327">
              <w:t>361.8</w:t>
            </w:r>
          </w:p>
        </w:tc>
      </w:tr>
    </w:tbl>
    <w:p w14:paraId="5CAACEC8" w14:textId="77777777" w:rsidR="00590FE1" w:rsidRPr="001D5327" w:rsidRDefault="00590FE1" w:rsidP="00590FE1">
      <w:pPr>
        <w:pStyle w:val="Noteundertable"/>
        <w:spacing w:after="80"/>
        <w:rPr>
          <w:rFonts w:cs="Calibri"/>
        </w:rPr>
      </w:pPr>
      <w:r w:rsidRPr="001D5327">
        <w:rPr>
          <w:rFonts w:cs="Calibri"/>
          <w:b/>
          <w:bCs/>
        </w:rPr>
        <w:t xml:space="preserve">Note: </w:t>
      </w:r>
      <w:r w:rsidRPr="001D5327">
        <w:rPr>
          <w:rFonts w:cs="Calibri"/>
          <w:b/>
        </w:rPr>
        <w:tab/>
      </w:r>
      <w:r w:rsidRPr="001D5327">
        <w:rPr>
          <w:rFonts w:cs="Calibri"/>
        </w:rPr>
        <w:t>The methane (CH</w:t>
      </w:r>
      <w:r w:rsidRPr="001D5327">
        <w:rPr>
          <w:rFonts w:cs="Calibri"/>
          <w:vertAlign w:val="subscript"/>
        </w:rPr>
        <w:t>4</w:t>
      </w:r>
      <w:r w:rsidRPr="001D5327">
        <w:rPr>
          <w:rFonts w:cs="Calibri"/>
        </w:rPr>
        <w:t>) emissions used in the Monte Carlo analysis exclude those from swine, horses, goats, mules and asses, and llamas and alpacas, which represent a very small proportion of total CH</w:t>
      </w:r>
      <w:r w:rsidRPr="001D5327">
        <w:rPr>
          <w:rFonts w:cs="Calibri"/>
          <w:vertAlign w:val="subscript"/>
        </w:rPr>
        <w:t>4</w:t>
      </w:r>
      <w:r w:rsidRPr="001D5327">
        <w:rPr>
          <w:rFonts w:cs="Calibri"/>
        </w:rPr>
        <w:t> emissions.</w:t>
      </w:r>
    </w:p>
    <w:p w14:paraId="1FCBC69E" w14:textId="77777777" w:rsidR="00590FE1" w:rsidRPr="001D5327" w:rsidRDefault="00590FE1" w:rsidP="00590FE1">
      <w:pPr>
        <w:pStyle w:val="BodyText"/>
        <w:spacing w:before="100" w:after="100"/>
        <w:rPr>
          <w:rFonts w:cs="Calibri"/>
        </w:rPr>
      </w:pPr>
      <w:r w:rsidRPr="001D5327">
        <w:rPr>
          <w:rFonts w:cs="Calibri"/>
        </w:rPr>
        <w:t>Uncertainty in the annual CH</w:t>
      </w:r>
      <w:r w:rsidRPr="001D5327">
        <w:rPr>
          <w:rFonts w:cs="Calibri"/>
          <w:vertAlign w:val="subscript"/>
        </w:rPr>
        <w:t>4</w:t>
      </w:r>
      <w:r w:rsidRPr="001D5327">
        <w:rPr>
          <w:rFonts w:cs="Calibri"/>
        </w:rPr>
        <w:t xml:space="preserve"> estimate is dominated by variance in the measurements of the ‘CH</w:t>
      </w:r>
      <w:r w:rsidRPr="001D5327">
        <w:rPr>
          <w:rFonts w:cs="Calibri"/>
          <w:vertAlign w:val="subscript"/>
        </w:rPr>
        <w:t>4</w:t>
      </w:r>
      <w:r w:rsidRPr="001D5327">
        <w:rPr>
          <w:rFonts w:cs="Calibri"/>
        </w:rPr>
        <w:t xml:space="preserve"> per unit of intake’ factor. This uncertainty is predominantly due to natural variation from one animal to the next due to genetic, management and environmental factors. Uncertainties in the estimates of livestock energy requirements, forage quality and animal population data are much smaller (Clark et al., 2003).</w:t>
      </w:r>
    </w:p>
    <w:p w14:paraId="678F6DD1" w14:textId="77777777" w:rsidR="00590FE1" w:rsidRPr="001D5327" w:rsidRDefault="00590FE1" w:rsidP="00590FE1">
      <w:pPr>
        <w:pStyle w:val="Heading3"/>
        <w:spacing w:before="280"/>
      </w:pPr>
      <w:bookmarkStart w:id="825" w:name="_Toc139253920"/>
      <w:bookmarkStart w:id="826" w:name="_Toc32570654"/>
      <w:r w:rsidRPr="001D5327">
        <w:lastRenderedPageBreak/>
        <w:t>5.2.4</w:t>
      </w:r>
      <w:r w:rsidRPr="001D5327">
        <w:tab/>
      </w:r>
      <w:bookmarkStart w:id="827" w:name="_Hlk154135500"/>
      <w:r w:rsidRPr="001D5327">
        <w:t>Category-specific QA/QC</w:t>
      </w:r>
      <w:r w:rsidRPr="001D5327">
        <w:rPr>
          <w:lang w:eastAsia="en-GB"/>
        </w:rPr>
        <w:t xml:space="preserve"> </w:t>
      </w:r>
      <w:r w:rsidRPr="001D5327">
        <w:t>and verification</w:t>
      </w:r>
      <w:bookmarkEnd w:id="825"/>
      <w:bookmarkEnd w:id="826"/>
      <w:bookmarkEnd w:id="827"/>
    </w:p>
    <w:p w14:paraId="0474E3A4" w14:textId="77777777" w:rsidR="00590FE1" w:rsidRPr="001D5327" w:rsidRDefault="00590FE1" w:rsidP="00590FE1">
      <w:pPr>
        <w:pStyle w:val="BodyText"/>
        <w:spacing w:before="80" w:after="100"/>
        <w:rPr>
          <w:rFonts w:cs="Calibri"/>
        </w:rPr>
      </w:pPr>
      <w:r w:rsidRPr="001D5327">
        <w:rPr>
          <w:rFonts w:cs="Calibri"/>
        </w:rPr>
        <w:t xml:space="preserve">Methane from </w:t>
      </w:r>
      <w:r w:rsidRPr="001D5327">
        <w:rPr>
          <w:rFonts w:cs="Calibri"/>
          <w:i/>
        </w:rPr>
        <w:t>Enteric fermentation</w:t>
      </w:r>
      <w:r w:rsidRPr="001D5327">
        <w:rPr>
          <w:rFonts w:cs="Calibri"/>
        </w:rPr>
        <w:t xml:space="preserve"> from </w:t>
      </w:r>
      <w:r w:rsidRPr="001D5327">
        <w:rPr>
          <w:rFonts w:cs="Calibri"/>
          <w:i/>
        </w:rPr>
        <w:t>Dairy cattle</w:t>
      </w:r>
      <w:r w:rsidRPr="001D5327">
        <w:rPr>
          <w:rFonts w:cs="Calibri"/>
        </w:rPr>
        <w:t xml:space="preserve">, </w:t>
      </w:r>
      <w:r w:rsidRPr="001D5327">
        <w:rPr>
          <w:rFonts w:cs="Calibri"/>
          <w:i/>
        </w:rPr>
        <w:t>Non-dairy</w:t>
      </w:r>
      <w:r w:rsidRPr="001D5327">
        <w:rPr>
          <w:rFonts w:cs="Calibri"/>
        </w:rPr>
        <w:t xml:space="preserve"> </w:t>
      </w:r>
      <w:r w:rsidRPr="001D5327">
        <w:rPr>
          <w:rFonts w:cs="Calibri"/>
          <w:i/>
        </w:rPr>
        <w:t>cattle</w:t>
      </w:r>
      <w:r w:rsidRPr="001D5327">
        <w:rPr>
          <w:rFonts w:cs="Calibri"/>
        </w:rPr>
        <w:t xml:space="preserve">, </w:t>
      </w:r>
      <w:r w:rsidRPr="001D5327">
        <w:rPr>
          <w:rFonts w:cs="Calibri"/>
          <w:i/>
        </w:rPr>
        <w:t xml:space="preserve">Sheep </w:t>
      </w:r>
      <w:r w:rsidRPr="001D5327">
        <w:rPr>
          <w:rFonts w:cs="Calibri"/>
        </w:rPr>
        <w:t xml:space="preserve">and </w:t>
      </w:r>
      <w:r w:rsidRPr="001D5327">
        <w:rPr>
          <w:rFonts w:cs="Calibri"/>
          <w:i/>
        </w:rPr>
        <w:t xml:space="preserve">Deer </w:t>
      </w:r>
      <w:r w:rsidRPr="001D5327">
        <w:rPr>
          <w:rFonts w:cs="Calibri"/>
        </w:rPr>
        <w:t>was identified as a key category (level and trend assessment). In the preparation for this inventory, the data for this category underwent Tier 1 and Tier 2 quality checks.</w:t>
      </w:r>
    </w:p>
    <w:p w14:paraId="134DAF99" w14:textId="77777777" w:rsidR="00590FE1" w:rsidRPr="001D5327" w:rsidRDefault="00590FE1" w:rsidP="00590FE1">
      <w:pPr>
        <w:pStyle w:val="BodyText"/>
        <w:spacing w:before="100" w:after="100"/>
        <w:rPr>
          <w:rFonts w:cs="Calibri"/>
        </w:rPr>
      </w:pPr>
      <w:r w:rsidRPr="001D5327">
        <w:rPr>
          <w:rFonts w:cs="Calibri"/>
        </w:rPr>
        <w:t>Enteric CH</w:t>
      </w:r>
      <w:r w:rsidRPr="001D5327">
        <w:rPr>
          <w:rFonts w:cs="Calibri"/>
          <w:vertAlign w:val="subscript"/>
        </w:rPr>
        <w:t>4</w:t>
      </w:r>
      <w:r w:rsidRPr="001D5327">
        <w:rPr>
          <w:rFonts w:cs="Calibri"/>
        </w:rPr>
        <w:t xml:space="preserve"> emission rates per animal have been verified using micrometeorological techniques. Laubach and Kelliher (2004) used the integrated horizontal flux technique and the flux gradient technique to measure CH</w:t>
      </w:r>
      <w:r w:rsidRPr="001D5327">
        <w:rPr>
          <w:rFonts w:cs="Calibri"/>
          <w:vertAlign w:val="subscript"/>
        </w:rPr>
        <w:t>4</w:t>
      </w:r>
      <w:r w:rsidRPr="001D5327">
        <w:rPr>
          <w:rFonts w:cs="Calibri"/>
        </w:rPr>
        <w:t xml:space="preserve"> emission flux above a dairy herd. Both techniques are comparable, within estimated errors, to scaled-up dairy animal emissions. The emissions from the cows measured by integrated horizontal flux (averaged over three trials) were 329 (±153) g CH</w:t>
      </w:r>
      <w:r w:rsidRPr="001D5327">
        <w:rPr>
          <w:rFonts w:cs="Calibri"/>
          <w:vertAlign w:val="subscript"/>
        </w:rPr>
        <w:t>4</w:t>
      </w:r>
      <w:r w:rsidRPr="001D5327">
        <w:rPr>
          <w:rFonts w:cs="Calibri"/>
        </w:rPr>
        <w:t>/day/cow, compared with 365 (±61) g CH</w:t>
      </w:r>
      <w:r w:rsidRPr="001D5327">
        <w:rPr>
          <w:rFonts w:cs="Calibri"/>
          <w:vertAlign w:val="subscript"/>
        </w:rPr>
        <w:t>4</w:t>
      </w:r>
      <w:r w:rsidRPr="001D5327">
        <w:rPr>
          <w:rFonts w:cs="Calibri"/>
        </w:rPr>
        <w:t>/day/cow for the scaled-up measurements reported by Waghorn et al. (unpublished(a), unpublished(b)) using the SF</w:t>
      </w:r>
      <w:r w:rsidRPr="001D5327">
        <w:rPr>
          <w:rFonts w:cs="Calibri"/>
          <w:vertAlign w:val="subscript"/>
        </w:rPr>
        <w:t>6</w:t>
      </w:r>
      <w:r w:rsidRPr="001D5327">
        <w:rPr>
          <w:rFonts w:cs="Calibri"/>
        </w:rPr>
        <w:t> technique for CH</w:t>
      </w:r>
      <w:r w:rsidRPr="001D5327">
        <w:rPr>
          <w:rFonts w:cs="Calibri"/>
          <w:vertAlign w:val="subscript"/>
        </w:rPr>
        <w:t>4</w:t>
      </w:r>
      <w:r w:rsidRPr="001D5327">
        <w:rPr>
          <w:rFonts w:cs="Calibri"/>
        </w:rPr>
        <w:t xml:space="preserve"> measurement. </w:t>
      </w:r>
    </w:p>
    <w:p w14:paraId="265629B8" w14:textId="77777777" w:rsidR="00590FE1" w:rsidRPr="001D5327" w:rsidRDefault="00590FE1" w:rsidP="00590FE1">
      <w:pPr>
        <w:pStyle w:val="BodyText"/>
        <w:spacing w:before="100" w:after="100"/>
        <w:rPr>
          <w:rFonts w:cs="Calibri"/>
        </w:rPr>
      </w:pPr>
      <w:r w:rsidRPr="001D5327">
        <w:rPr>
          <w:rFonts w:cs="Calibri"/>
        </w:rPr>
        <w:t>Enteric CH</w:t>
      </w:r>
      <w:r w:rsidRPr="001D5327">
        <w:rPr>
          <w:rFonts w:cs="Calibri"/>
          <w:vertAlign w:val="subscript"/>
        </w:rPr>
        <w:t>4</w:t>
      </w:r>
      <w:r w:rsidRPr="001D5327">
        <w:rPr>
          <w:rFonts w:cs="Calibri"/>
        </w:rPr>
        <w:t xml:space="preserve"> emissions from lactating dairy cows have also been measured using the New Zealand SF</w:t>
      </w:r>
      <w:r w:rsidRPr="001D5327">
        <w:rPr>
          <w:rFonts w:cs="Calibri"/>
          <w:vertAlign w:val="subscript"/>
        </w:rPr>
        <w:t>6</w:t>
      </w:r>
      <w:r w:rsidRPr="001D5327">
        <w:rPr>
          <w:rFonts w:cs="Calibri"/>
        </w:rPr>
        <w:t xml:space="preserve"> tracer method compared with the respiration chamber techniques (Grainger et al., 2007). </w:t>
      </w:r>
      <w:r w:rsidRPr="001D5327">
        <w:rPr>
          <w:rFonts w:cs="Calibri"/>
          <w:snapToGrid w:val="0"/>
          <w:color w:val="000000"/>
        </w:rPr>
        <w:t xml:space="preserve">Total </w:t>
      </w:r>
      <w:r w:rsidRPr="001D5327">
        <w:rPr>
          <w:rFonts w:cs="Calibri"/>
        </w:rPr>
        <w:t>CH</w:t>
      </w:r>
      <w:r w:rsidRPr="001D5327">
        <w:rPr>
          <w:rFonts w:cs="Calibri"/>
          <w:vertAlign w:val="subscript"/>
        </w:rPr>
        <w:t xml:space="preserve">4 </w:t>
      </w:r>
      <w:r w:rsidRPr="001D5327">
        <w:rPr>
          <w:rFonts w:cs="Calibri"/>
        </w:rPr>
        <w:t>emissions were similar when measured using respiration chambers (322 g CH</w:t>
      </w:r>
      <w:r w:rsidRPr="001D5327">
        <w:rPr>
          <w:rFonts w:cs="Calibri"/>
          <w:vertAlign w:val="subscript"/>
        </w:rPr>
        <w:t>4</w:t>
      </w:r>
      <w:r w:rsidRPr="001D5327">
        <w:rPr>
          <w:rFonts w:cs="Calibri"/>
        </w:rPr>
        <w:t xml:space="preserve">/day/cow) or the </w:t>
      </w:r>
      <w:r w:rsidRPr="001D5327">
        <w:rPr>
          <w:rFonts w:cs="Calibri"/>
          <w:snapToGrid w:val="0"/>
          <w:color w:val="000000"/>
        </w:rPr>
        <w:t>SF</w:t>
      </w:r>
      <w:r w:rsidRPr="001D5327">
        <w:rPr>
          <w:rFonts w:cs="Calibri"/>
          <w:snapToGrid w:val="0"/>
          <w:color w:val="000000"/>
          <w:vertAlign w:val="subscript"/>
        </w:rPr>
        <w:t>6</w:t>
      </w:r>
      <w:r w:rsidRPr="001D5327">
        <w:rPr>
          <w:rFonts w:cs="Calibri"/>
          <w:snapToGrid w:val="0"/>
          <w:color w:val="000000"/>
        </w:rPr>
        <w:t xml:space="preserve"> tracer technique (</w:t>
      </w:r>
      <w:r w:rsidRPr="001D5327">
        <w:rPr>
          <w:rFonts w:cs="Calibri"/>
        </w:rPr>
        <w:t>331 g CH</w:t>
      </w:r>
      <w:r w:rsidRPr="001D5327">
        <w:rPr>
          <w:rFonts w:cs="Calibri"/>
          <w:vertAlign w:val="subscript"/>
        </w:rPr>
        <w:t>4</w:t>
      </w:r>
      <w:r w:rsidRPr="001D5327">
        <w:rPr>
          <w:rFonts w:cs="Calibri"/>
        </w:rPr>
        <w:t>/day/cow) but the uncertainty of the SF</w:t>
      </w:r>
      <w:r w:rsidRPr="001D5327">
        <w:rPr>
          <w:rFonts w:cs="Calibri"/>
          <w:vertAlign w:val="subscript"/>
        </w:rPr>
        <w:t>6</w:t>
      </w:r>
      <w:r w:rsidRPr="001D5327">
        <w:rPr>
          <w:rFonts w:cs="Calibri"/>
        </w:rPr>
        <w:t xml:space="preserve"> technique measurements was greater. </w:t>
      </w:r>
    </w:p>
    <w:p w14:paraId="528B46F8" w14:textId="77777777" w:rsidR="00590FE1" w:rsidRPr="001D5327" w:rsidRDefault="00590FE1" w:rsidP="00590FE1">
      <w:pPr>
        <w:pStyle w:val="BodyText"/>
        <w:spacing w:before="100" w:after="100"/>
      </w:pPr>
      <w:r w:rsidRPr="001D5327">
        <w:t xml:space="preserve">The calculations in </w:t>
      </w:r>
      <w:r w:rsidRPr="001D5327">
        <w:rPr>
          <w:rFonts w:cs="Calibri"/>
        </w:rPr>
        <w:t>New Zealand’s</w:t>
      </w:r>
      <w:r w:rsidRPr="001D5327">
        <w:t xml:space="preserve"> model for all cattle, sheep and deer are Tier 2 and are based on the 2006 IPCC Guidelines (IPCC, 2006). Table 5.2.6 shows a comparison of the </w:t>
      </w:r>
      <w:r w:rsidRPr="001D5327" w:rsidDel="006D1CCF">
        <w:rPr>
          <w:rFonts w:cs="Calibri"/>
        </w:rPr>
        <w:t xml:space="preserve">New </w:t>
      </w:r>
      <w:r w:rsidRPr="001D5327">
        <w:rPr>
          <w:rFonts w:cs="Calibri"/>
        </w:rPr>
        <w:t>Zealand</w:t>
      </w:r>
      <w:r w:rsidRPr="001D5327">
        <w:t xml:space="preserve">-specific 2023 IEFs for enteric fermentation with the IPCC Tier 1 Oceania default value, the IPCC Tier 2 net energy-based value and the Australian-specific 2022 IEF for dairy cattle, non-dairy cattle and sheep. </w:t>
      </w:r>
    </w:p>
    <w:p w14:paraId="442E6ABD" w14:textId="77777777" w:rsidR="00590FE1" w:rsidRPr="001D5327" w:rsidRDefault="00590FE1" w:rsidP="00590FE1">
      <w:pPr>
        <w:pStyle w:val="BodyText"/>
      </w:pPr>
      <w:r w:rsidRPr="001D5327">
        <w:t xml:space="preserve">The IPCC Tier 2 net energy-based values are determined from the net energy algorithms in the 2006 IPCC Guidelines (equation 10.16) for dairy cattle, non-dairy cattle and sheep (IPCC, 2006). </w:t>
      </w:r>
      <w:r w:rsidRPr="001D5327">
        <w:rPr>
          <w:rFonts w:cs="Calibri"/>
        </w:rPr>
        <w:t>New Zealand’s</w:t>
      </w:r>
      <w:r w:rsidRPr="001D5327">
        <w:t xml:space="preserve"> inventory model calculates emissions for sheep (one year of age and older) and lambs (less than one year old) separately. Therefore, to provide an appropriate comparison between the </w:t>
      </w:r>
      <w:r w:rsidRPr="001D5327" w:rsidDel="0073489B">
        <w:rPr>
          <w:rFonts w:cs="Calibri"/>
        </w:rPr>
        <w:t xml:space="preserve">New </w:t>
      </w:r>
      <w:r w:rsidRPr="001D5327">
        <w:rPr>
          <w:rFonts w:cs="Calibri"/>
        </w:rPr>
        <w:t>Zealand</w:t>
      </w:r>
      <w:r w:rsidRPr="001D5327">
        <w:t>-specific IEF and the IPCC Tier 2 net energy-based values for sheep, the gross energy values determined using the IPCC Tier 2 energy equations were obtained for both sheep and lambs.</w:t>
      </w:r>
    </w:p>
    <w:p w14:paraId="43C1BBE9" w14:textId="77777777" w:rsidR="00590FE1" w:rsidRPr="001D5327" w:rsidRDefault="00590FE1" w:rsidP="00590FE1">
      <w:pPr>
        <w:pStyle w:val="Table"/>
        <w:rPr>
          <w:rFonts w:cs="Calibri"/>
        </w:rPr>
      </w:pPr>
      <w:bookmarkStart w:id="828" w:name="_Toc288316751"/>
      <w:bookmarkStart w:id="829" w:name="_Toc352504969"/>
      <w:bookmarkStart w:id="830" w:name="_Toc441830872"/>
      <w:bookmarkStart w:id="831" w:name="_Toc451176086"/>
      <w:bookmarkStart w:id="832" w:name="_Toc481751512"/>
      <w:bookmarkStart w:id="833" w:name="_Toc507158602"/>
      <w:bookmarkStart w:id="834" w:name="_Toc511116736"/>
      <w:bookmarkStart w:id="835" w:name="_Toc5269476"/>
      <w:bookmarkStart w:id="836" w:name="_Toc32570917"/>
      <w:bookmarkStart w:id="837" w:name="_Toc36224552"/>
      <w:bookmarkStart w:id="838" w:name="_Toc68786438"/>
      <w:bookmarkStart w:id="839" w:name="_Toc95574073"/>
      <w:bookmarkStart w:id="840" w:name="_Toc127458256"/>
      <w:bookmarkStart w:id="841" w:name="_Toc131591352"/>
      <w:bookmarkStart w:id="842" w:name="_Toc160114442"/>
      <w:bookmarkStart w:id="843" w:name="_Toc164153838"/>
      <w:bookmarkStart w:id="844" w:name="_Toc194241706"/>
      <w:r w:rsidRPr="001D5327">
        <w:rPr>
          <w:rFonts w:cs="Calibri"/>
        </w:rPr>
        <w:t>Table 5.2.6</w:t>
      </w:r>
      <w:r w:rsidRPr="001D5327">
        <w:rPr>
          <w:rFonts w:cs="Calibri"/>
        </w:rPr>
        <w:tab/>
        <w:t>Comparison of the IPCC (2006) default emission factor and country-specific implied emission factors (IEFs) for methane (CH</w:t>
      </w:r>
      <w:r w:rsidRPr="001D5327">
        <w:rPr>
          <w:rFonts w:cs="Calibri"/>
          <w:vertAlign w:val="subscript"/>
        </w:rPr>
        <w:t>4</w:t>
      </w:r>
      <w:r w:rsidRPr="001D5327">
        <w:rPr>
          <w:rFonts w:cs="Calibri"/>
        </w:rPr>
        <w:t xml:space="preserve">) from </w:t>
      </w:r>
      <w:r w:rsidRPr="001D5327">
        <w:rPr>
          <w:rFonts w:cs="Calibri"/>
          <w:i/>
          <w:iCs/>
        </w:rPr>
        <w:t>Enteric fermentation</w:t>
      </w:r>
      <w:r w:rsidRPr="001D5327">
        <w:rPr>
          <w:rFonts w:cs="Calibri"/>
        </w:rPr>
        <w:t xml:space="preserve"> for </w:t>
      </w:r>
      <w:r w:rsidRPr="001D5327">
        <w:rPr>
          <w:rFonts w:cs="Calibri"/>
          <w:i/>
          <w:iCs/>
        </w:rPr>
        <w:t>Dairy cattle</w:t>
      </w:r>
      <w:r w:rsidRPr="001D5327">
        <w:rPr>
          <w:rFonts w:cs="Calibri"/>
        </w:rPr>
        <w:t>,</w:t>
      </w:r>
      <w:r w:rsidRPr="001D5327">
        <w:rPr>
          <w:rFonts w:cs="Calibri"/>
        </w:rPr>
        <w:br/>
      </w:r>
      <w:r w:rsidRPr="001D5327">
        <w:rPr>
          <w:rFonts w:cs="Calibri"/>
          <w:i/>
          <w:iCs/>
        </w:rPr>
        <w:t>Non</w:t>
      </w:r>
      <w:r w:rsidRPr="001D5327">
        <w:rPr>
          <w:rFonts w:cs="Calibri"/>
          <w:i/>
          <w:iCs/>
        </w:rPr>
        <w:noBreakHyphen/>
        <w:t>dairy</w:t>
      </w:r>
      <w:r w:rsidRPr="001D5327">
        <w:rPr>
          <w:rFonts w:cs="Calibri"/>
        </w:rPr>
        <w:t xml:space="preserve"> </w:t>
      </w:r>
      <w:r w:rsidRPr="001D5327">
        <w:rPr>
          <w:rFonts w:cs="Calibri"/>
          <w:i/>
          <w:iCs/>
        </w:rPr>
        <w:t>cattle</w:t>
      </w:r>
      <w:r w:rsidRPr="001D5327">
        <w:rPr>
          <w:rFonts w:cs="Calibri"/>
        </w:rPr>
        <w:t xml:space="preserve"> and </w:t>
      </w:r>
      <w:r w:rsidRPr="001D5327">
        <w:rPr>
          <w:rFonts w:cs="Calibri"/>
          <w:i/>
          <w:iCs/>
        </w:rPr>
        <w:t>Sheep</w:t>
      </w:r>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p>
    <w:tbl>
      <w:tblPr>
        <w:tblW w:w="8448"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57" w:type="dxa"/>
        </w:tblCellMar>
        <w:tblLook w:val="0000" w:firstRow="0" w:lastRow="0" w:firstColumn="0" w:lastColumn="0" w:noHBand="0" w:noVBand="0"/>
      </w:tblPr>
      <w:tblGrid>
        <w:gridCol w:w="3402"/>
        <w:gridCol w:w="2127"/>
        <w:gridCol w:w="1441"/>
        <w:gridCol w:w="1478"/>
      </w:tblGrid>
      <w:tr w:rsidR="00590FE1" w:rsidRPr="001D5327" w14:paraId="0E5149C3" w14:textId="77777777" w:rsidTr="00403787">
        <w:trPr>
          <w:trHeight w:val="406"/>
          <w:tblHeader/>
        </w:trPr>
        <w:tc>
          <w:tcPr>
            <w:tcW w:w="3402" w:type="dxa"/>
            <w:shd w:val="clear" w:color="auto" w:fill="1B556B"/>
          </w:tcPr>
          <w:p w14:paraId="7A52BF05" w14:textId="77777777" w:rsidR="00590FE1" w:rsidRPr="001D5327" w:rsidRDefault="00590FE1" w:rsidP="00403787">
            <w:pPr>
              <w:pStyle w:val="TableTextBold"/>
              <w:spacing w:before="40" w:after="40"/>
              <w:rPr>
                <w:noProof w:val="0"/>
                <w:color w:val="FFFFFF" w:themeColor="background1"/>
                <w:szCs w:val="16"/>
              </w:rPr>
            </w:pPr>
          </w:p>
        </w:tc>
        <w:tc>
          <w:tcPr>
            <w:tcW w:w="2127" w:type="dxa"/>
            <w:shd w:val="clear" w:color="auto" w:fill="1B556B"/>
            <w:vAlign w:val="bottom"/>
          </w:tcPr>
          <w:p w14:paraId="537719CD" w14:textId="77777777" w:rsidR="00590FE1" w:rsidRPr="001D5327" w:rsidRDefault="00590FE1" w:rsidP="00403787">
            <w:pPr>
              <w:pStyle w:val="TableTextBold"/>
              <w:spacing w:before="40" w:after="40"/>
              <w:jc w:val="right"/>
              <w:rPr>
                <w:noProof w:val="0"/>
                <w:color w:val="FFFFFF" w:themeColor="background1"/>
                <w:szCs w:val="16"/>
              </w:rPr>
            </w:pPr>
            <w:r w:rsidRPr="001D5327">
              <w:rPr>
                <w:noProof w:val="0"/>
                <w:color w:val="FFFFFF" w:themeColor="background1"/>
                <w:szCs w:val="16"/>
              </w:rPr>
              <w:t>Dairy cattle</w:t>
            </w:r>
            <w:r w:rsidRPr="001D5327">
              <w:rPr>
                <w:noProof w:val="0"/>
                <w:color w:val="FFFFFF" w:themeColor="background1"/>
                <w:szCs w:val="16"/>
              </w:rPr>
              <w:br/>
              <w:t>(kg CH</w:t>
            </w:r>
            <w:r w:rsidRPr="001D5327">
              <w:rPr>
                <w:noProof w:val="0"/>
                <w:color w:val="FFFFFF" w:themeColor="background1"/>
                <w:szCs w:val="16"/>
                <w:vertAlign w:val="subscript"/>
              </w:rPr>
              <w:t>4</w:t>
            </w:r>
            <w:r w:rsidRPr="001D5327">
              <w:rPr>
                <w:noProof w:val="0"/>
                <w:color w:val="FFFFFF" w:themeColor="background1"/>
                <w:szCs w:val="16"/>
              </w:rPr>
              <w:t>/head/year)</w:t>
            </w:r>
          </w:p>
        </w:tc>
        <w:tc>
          <w:tcPr>
            <w:tcW w:w="1441" w:type="dxa"/>
            <w:shd w:val="clear" w:color="auto" w:fill="1B556B"/>
            <w:vAlign w:val="bottom"/>
          </w:tcPr>
          <w:p w14:paraId="1B25B866" w14:textId="77777777" w:rsidR="00590FE1" w:rsidRPr="001D5327" w:rsidRDefault="00590FE1" w:rsidP="00403787">
            <w:pPr>
              <w:pStyle w:val="TableTextBold"/>
              <w:spacing w:before="40" w:after="40"/>
              <w:jc w:val="right"/>
              <w:rPr>
                <w:noProof w:val="0"/>
                <w:color w:val="FFFFFF" w:themeColor="background1"/>
                <w:szCs w:val="16"/>
              </w:rPr>
            </w:pPr>
            <w:r w:rsidRPr="001D5327">
              <w:rPr>
                <w:noProof w:val="0"/>
                <w:color w:val="FFFFFF" w:themeColor="background1"/>
                <w:szCs w:val="16"/>
              </w:rPr>
              <w:t>Non-dairy cattle</w:t>
            </w:r>
            <w:r w:rsidRPr="001D5327">
              <w:rPr>
                <w:noProof w:val="0"/>
                <w:color w:val="FFFFFF" w:themeColor="background1"/>
                <w:szCs w:val="16"/>
              </w:rPr>
              <w:br/>
              <w:t>(kg CH</w:t>
            </w:r>
            <w:r w:rsidRPr="001D5327">
              <w:rPr>
                <w:noProof w:val="0"/>
                <w:color w:val="FFFFFF" w:themeColor="background1"/>
                <w:szCs w:val="16"/>
                <w:vertAlign w:val="subscript"/>
              </w:rPr>
              <w:t>4</w:t>
            </w:r>
            <w:r w:rsidRPr="001D5327">
              <w:rPr>
                <w:noProof w:val="0"/>
                <w:color w:val="FFFFFF" w:themeColor="background1"/>
                <w:szCs w:val="16"/>
              </w:rPr>
              <w:t>/head/year)</w:t>
            </w:r>
          </w:p>
        </w:tc>
        <w:tc>
          <w:tcPr>
            <w:tcW w:w="1478" w:type="dxa"/>
            <w:shd w:val="clear" w:color="auto" w:fill="1B556B"/>
            <w:vAlign w:val="bottom"/>
          </w:tcPr>
          <w:p w14:paraId="111FDC40" w14:textId="77777777" w:rsidR="00590FE1" w:rsidRPr="001D5327" w:rsidRDefault="00590FE1" w:rsidP="00403787">
            <w:pPr>
              <w:pStyle w:val="TableTextBold"/>
              <w:spacing w:before="40" w:after="40"/>
              <w:jc w:val="right"/>
              <w:rPr>
                <w:noProof w:val="0"/>
                <w:color w:val="FFFFFF" w:themeColor="background1"/>
                <w:szCs w:val="16"/>
              </w:rPr>
            </w:pPr>
            <w:r w:rsidRPr="001D5327">
              <w:rPr>
                <w:noProof w:val="0"/>
                <w:color w:val="FFFFFF" w:themeColor="background1"/>
                <w:szCs w:val="16"/>
              </w:rPr>
              <w:t>Sheep</w:t>
            </w:r>
            <w:r w:rsidRPr="001D5327">
              <w:rPr>
                <w:noProof w:val="0"/>
                <w:color w:val="FFFFFF" w:themeColor="background1"/>
                <w:szCs w:val="16"/>
              </w:rPr>
              <w:br/>
              <w:t>(kg CH</w:t>
            </w:r>
            <w:r w:rsidRPr="001D5327">
              <w:rPr>
                <w:noProof w:val="0"/>
                <w:color w:val="FFFFFF" w:themeColor="background1"/>
                <w:szCs w:val="16"/>
                <w:vertAlign w:val="subscript"/>
              </w:rPr>
              <w:t>4</w:t>
            </w:r>
            <w:r w:rsidRPr="001D5327">
              <w:rPr>
                <w:noProof w:val="0"/>
                <w:color w:val="FFFFFF" w:themeColor="background1"/>
                <w:szCs w:val="16"/>
              </w:rPr>
              <w:t>/head/year)</w:t>
            </w:r>
          </w:p>
        </w:tc>
      </w:tr>
      <w:tr w:rsidR="00590FE1" w:rsidRPr="001D5327" w14:paraId="049E9971" w14:textId="77777777" w:rsidTr="00403787">
        <w:trPr>
          <w:trHeight w:val="248"/>
        </w:trPr>
        <w:tc>
          <w:tcPr>
            <w:tcW w:w="3402" w:type="dxa"/>
          </w:tcPr>
          <w:p w14:paraId="5F876E64" w14:textId="77777777" w:rsidR="00590FE1" w:rsidRPr="001D5327" w:rsidRDefault="00590FE1" w:rsidP="00403787">
            <w:pPr>
              <w:pStyle w:val="TableText"/>
              <w:spacing w:before="40" w:after="40"/>
              <w:rPr>
                <w:rFonts w:cs="Calibri"/>
                <w:szCs w:val="16"/>
              </w:rPr>
            </w:pPr>
            <w:r w:rsidRPr="001D5327">
              <w:rPr>
                <w:rFonts w:cs="Calibri"/>
                <w:szCs w:val="16"/>
              </w:rPr>
              <w:t>IPCC (2006) Tier 1 Oceania default value</w:t>
            </w:r>
          </w:p>
        </w:tc>
        <w:tc>
          <w:tcPr>
            <w:tcW w:w="2127" w:type="dxa"/>
          </w:tcPr>
          <w:p w14:paraId="69A2E724" w14:textId="77777777" w:rsidR="00590FE1" w:rsidRPr="001D5327" w:rsidRDefault="00590FE1" w:rsidP="00403787">
            <w:pPr>
              <w:pStyle w:val="TableText"/>
              <w:spacing w:before="40" w:after="40"/>
              <w:jc w:val="right"/>
              <w:rPr>
                <w:rFonts w:cs="Calibri"/>
                <w:szCs w:val="16"/>
              </w:rPr>
            </w:pPr>
            <w:r w:rsidRPr="001D5327">
              <w:rPr>
                <w:rFonts w:cs="Calibri"/>
                <w:szCs w:val="16"/>
              </w:rPr>
              <w:t>90.0</w:t>
            </w:r>
          </w:p>
        </w:tc>
        <w:tc>
          <w:tcPr>
            <w:tcW w:w="1441" w:type="dxa"/>
          </w:tcPr>
          <w:p w14:paraId="298A30BD" w14:textId="77777777" w:rsidR="00590FE1" w:rsidRPr="001D5327" w:rsidRDefault="00590FE1" w:rsidP="00403787">
            <w:pPr>
              <w:pStyle w:val="TableText"/>
              <w:spacing w:before="40" w:after="40"/>
              <w:jc w:val="right"/>
              <w:rPr>
                <w:rFonts w:cs="Calibri"/>
                <w:szCs w:val="16"/>
              </w:rPr>
            </w:pPr>
            <w:r w:rsidRPr="001D5327">
              <w:rPr>
                <w:rFonts w:cs="Calibri"/>
                <w:szCs w:val="16"/>
              </w:rPr>
              <w:t>60.0</w:t>
            </w:r>
          </w:p>
        </w:tc>
        <w:tc>
          <w:tcPr>
            <w:tcW w:w="1478" w:type="dxa"/>
          </w:tcPr>
          <w:p w14:paraId="357C8246" w14:textId="77777777" w:rsidR="00590FE1" w:rsidRPr="001D5327" w:rsidRDefault="00590FE1" w:rsidP="00403787">
            <w:pPr>
              <w:pStyle w:val="TableText"/>
              <w:spacing w:before="40" w:after="40"/>
              <w:jc w:val="right"/>
              <w:rPr>
                <w:rFonts w:cs="Calibri"/>
                <w:szCs w:val="16"/>
              </w:rPr>
            </w:pPr>
            <w:r w:rsidRPr="001D5327">
              <w:rPr>
                <w:rFonts w:cs="Calibri"/>
                <w:szCs w:val="16"/>
              </w:rPr>
              <w:t>8.0</w:t>
            </w:r>
          </w:p>
        </w:tc>
      </w:tr>
      <w:tr w:rsidR="00590FE1" w:rsidRPr="001D5327" w14:paraId="2C479AB0" w14:textId="77777777" w:rsidTr="00403787">
        <w:trPr>
          <w:trHeight w:val="248"/>
        </w:trPr>
        <w:tc>
          <w:tcPr>
            <w:tcW w:w="3402" w:type="dxa"/>
            <w:shd w:val="clear" w:color="auto" w:fill="auto"/>
          </w:tcPr>
          <w:p w14:paraId="537127A4" w14:textId="77777777" w:rsidR="00590FE1" w:rsidRPr="001D5327" w:rsidRDefault="00590FE1" w:rsidP="00403787">
            <w:pPr>
              <w:pStyle w:val="TableText"/>
              <w:spacing w:before="40" w:after="40"/>
              <w:rPr>
                <w:rFonts w:cs="Calibri"/>
                <w:szCs w:val="16"/>
              </w:rPr>
            </w:pPr>
            <w:r w:rsidRPr="001D5327">
              <w:rPr>
                <w:rFonts w:cs="Calibri"/>
                <w:szCs w:val="16"/>
              </w:rPr>
              <w:t>IPCC (2006) Tier 2 net energy-based value</w:t>
            </w:r>
          </w:p>
        </w:tc>
        <w:tc>
          <w:tcPr>
            <w:tcW w:w="2127" w:type="dxa"/>
            <w:shd w:val="clear" w:color="auto" w:fill="auto"/>
          </w:tcPr>
          <w:p w14:paraId="370AA322" w14:textId="77777777" w:rsidR="00590FE1" w:rsidRPr="001D5327" w:rsidRDefault="00590FE1" w:rsidP="00403787">
            <w:pPr>
              <w:pStyle w:val="TableText"/>
              <w:spacing w:before="40" w:after="40"/>
              <w:jc w:val="right"/>
              <w:rPr>
                <w:rFonts w:cs="Calibri"/>
                <w:szCs w:val="16"/>
              </w:rPr>
            </w:pPr>
            <w:r w:rsidRPr="001D5327">
              <w:rPr>
                <w:rFonts w:cs="Calibri"/>
                <w:szCs w:val="16"/>
              </w:rPr>
              <w:t>72.5</w:t>
            </w:r>
          </w:p>
        </w:tc>
        <w:tc>
          <w:tcPr>
            <w:tcW w:w="1441" w:type="dxa"/>
            <w:shd w:val="clear" w:color="auto" w:fill="auto"/>
          </w:tcPr>
          <w:p w14:paraId="2E21200D" w14:textId="77777777" w:rsidR="00590FE1" w:rsidRPr="001D5327" w:rsidRDefault="00590FE1" w:rsidP="00403787">
            <w:pPr>
              <w:pStyle w:val="TableText"/>
              <w:spacing w:before="40" w:after="40"/>
              <w:jc w:val="right"/>
              <w:rPr>
                <w:rFonts w:cs="Calibri"/>
                <w:szCs w:val="16"/>
              </w:rPr>
            </w:pPr>
            <w:r w:rsidRPr="001D5327">
              <w:rPr>
                <w:rFonts w:cs="Calibri"/>
                <w:szCs w:val="16"/>
              </w:rPr>
              <w:t>51.6</w:t>
            </w:r>
          </w:p>
        </w:tc>
        <w:tc>
          <w:tcPr>
            <w:tcW w:w="1478" w:type="dxa"/>
            <w:shd w:val="clear" w:color="auto" w:fill="auto"/>
          </w:tcPr>
          <w:p w14:paraId="47D75E40" w14:textId="77777777" w:rsidR="00590FE1" w:rsidRPr="001D5327" w:rsidRDefault="00590FE1" w:rsidP="00403787">
            <w:pPr>
              <w:pStyle w:val="TableText"/>
              <w:spacing w:before="40" w:after="40"/>
              <w:jc w:val="right"/>
              <w:rPr>
                <w:rFonts w:cs="Calibri"/>
                <w:szCs w:val="16"/>
              </w:rPr>
            </w:pPr>
            <w:r w:rsidRPr="001D5327">
              <w:rPr>
                <w:rFonts w:cs="Calibri"/>
                <w:szCs w:val="16"/>
              </w:rPr>
              <w:t>8.9</w:t>
            </w:r>
          </w:p>
        </w:tc>
      </w:tr>
      <w:tr w:rsidR="00590FE1" w:rsidRPr="001D5327" w14:paraId="106A80E9" w14:textId="77777777" w:rsidTr="00403787">
        <w:trPr>
          <w:trHeight w:val="455"/>
        </w:trPr>
        <w:tc>
          <w:tcPr>
            <w:tcW w:w="3402" w:type="dxa"/>
          </w:tcPr>
          <w:p w14:paraId="520618D2" w14:textId="77777777" w:rsidR="00590FE1" w:rsidRPr="001D5327" w:rsidRDefault="00590FE1" w:rsidP="00403787">
            <w:pPr>
              <w:pStyle w:val="TableText"/>
              <w:spacing w:before="40" w:after="40"/>
              <w:rPr>
                <w:rFonts w:cs="Calibri"/>
                <w:szCs w:val="16"/>
              </w:rPr>
            </w:pPr>
            <w:r w:rsidRPr="001D5327">
              <w:rPr>
                <w:rFonts w:cs="Calibri"/>
                <w:szCs w:val="16"/>
              </w:rPr>
              <w:t>Australian-specific IEF 2022 value</w:t>
            </w:r>
            <w:r w:rsidRPr="001D5327">
              <w:rPr>
                <w:rStyle w:val="FootnoteReference"/>
                <w:sz w:val="16"/>
              </w:rPr>
              <w:footnoteReference w:id="34"/>
            </w:r>
          </w:p>
        </w:tc>
        <w:tc>
          <w:tcPr>
            <w:tcW w:w="2127" w:type="dxa"/>
          </w:tcPr>
          <w:p w14:paraId="4EF303AF" w14:textId="77777777" w:rsidR="00590FE1" w:rsidRPr="001D5327" w:rsidRDefault="00590FE1" w:rsidP="00403787">
            <w:pPr>
              <w:pStyle w:val="TableText"/>
              <w:spacing w:before="40" w:after="40"/>
              <w:jc w:val="right"/>
              <w:rPr>
                <w:rFonts w:cs="Calibri"/>
                <w:szCs w:val="16"/>
              </w:rPr>
            </w:pPr>
            <w:r w:rsidRPr="001D5327">
              <w:rPr>
                <w:rFonts w:cs="Calibri"/>
                <w:szCs w:val="16"/>
              </w:rPr>
              <w:t>95.1</w:t>
            </w:r>
          </w:p>
        </w:tc>
        <w:tc>
          <w:tcPr>
            <w:tcW w:w="1441" w:type="dxa"/>
          </w:tcPr>
          <w:p w14:paraId="5BE130C8" w14:textId="77777777" w:rsidR="00590FE1" w:rsidRPr="001D5327" w:rsidRDefault="00590FE1" w:rsidP="00403787">
            <w:pPr>
              <w:pStyle w:val="TableText"/>
              <w:spacing w:before="40" w:after="0"/>
              <w:jc w:val="right"/>
              <w:rPr>
                <w:rFonts w:cs="Calibri"/>
                <w:szCs w:val="16"/>
              </w:rPr>
            </w:pPr>
            <w:r w:rsidRPr="001D5327">
              <w:rPr>
                <w:rFonts w:cs="Calibri"/>
                <w:szCs w:val="16"/>
              </w:rPr>
              <w:t>51.3 (pasture)</w:t>
            </w:r>
          </w:p>
          <w:p w14:paraId="69194B2F" w14:textId="77777777" w:rsidR="00590FE1" w:rsidRPr="001D5327" w:rsidRDefault="00590FE1" w:rsidP="00403787">
            <w:pPr>
              <w:pStyle w:val="TableText"/>
              <w:spacing w:before="40" w:after="40"/>
              <w:jc w:val="right"/>
              <w:rPr>
                <w:rFonts w:cs="Calibri"/>
                <w:szCs w:val="16"/>
              </w:rPr>
            </w:pPr>
            <w:r w:rsidRPr="001D5327">
              <w:rPr>
                <w:rFonts w:cs="Calibri"/>
                <w:szCs w:val="16"/>
              </w:rPr>
              <w:t>68.8 (feedlot)</w:t>
            </w:r>
          </w:p>
        </w:tc>
        <w:tc>
          <w:tcPr>
            <w:tcW w:w="1478" w:type="dxa"/>
          </w:tcPr>
          <w:p w14:paraId="0A6644CF" w14:textId="77777777" w:rsidR="00590FE1" w:rsidRPr="001D5327" w:rsidRDefault="00590FE1" w:rsidP="00403787">
            <w:pPr>
              <w:pStyle w:val="TableText"/>
              <w:spacing w:before="40" w:after="40"/>
              <w:jc w:val="right"/>
              <w:rPr>
                <w:rFonts w:cs="Calibri"/>
                <w:szCs w:val="16"/>
              </w:rPr>
            </w:pPr>
            <w:r w:rsidRPr="001D5327">
              <w:rPr>
                <w:rFonts w:cs="Calibri"/>
                <w:szCs w:val="16"/>
              </w:rPr>
              <w:t>6.7</w:t>
            </w:r>
          </w:p>
        </w:tc>
      </w:tr>
      <w:tr w:rsidR="00590FE1" w:rsidRPr="001D5327" w14:paraId="604ABECA" w14:textId="77777777" w:rsidTr="00403787">
        <w:trPr>
          <w:trHeight w:val="36"/>
        </w:trPr>
        <w:tc>
          <w:tcPr>
            <w:tcW w:w="3402" w:type="dxa"/>
            <w:shd w:val="clear" w:color="auto" w:fill="auto"/>
          </w:tcPr>
          <w:p w14:paraId="60E0179A" w14:textId="77777777" w:rsidR="00590FE1" w:rsidRPr="001D5327" w:rsidRDefault="00590FE1" w:rsidP="00403787">
            <w:pPr>
              <w:pStyle w:val="TableText"/>
              <w:spacing w:before="40" w:after="40"/>
              <w:rPr>
                <w:rFonts w:cs="Calibri"/>
                <w:szCs w:val="16"/>
              </w:rPr>
            </w:pPr>
            <w:r w:rsidRPr="001D5327">
              <w:rPr>
                <w:rFonts w:cs="Calibri"/>
                <w:szCs w:val="16"/>
              </w:rPr>
              <w:t>New Zealand-specific IEF 2023 value</w:t>
            </w:r>
          </w:p>
        </w:tc>
        <w:tc>
          <w:tcPr>
            <w:tcW w:w="2127" w:type="dxa"/>
          </w:tcPr>
          <w:p w14:paraId="0FF64830" w14:textId="77777777" w:rsidR="00590FE1" w:rsidRPr="001D5327" w:rsidRDefault="00590FE1" w:rsidP="00403787">
            <w:pPr>
              <w:pStyle w:val="TableText"/>
              <w:spacing w:before="40" w:after="0"/>
              <w:jc w:val="right"/>
              <w:rPr>
                <w:rFonts w:cs="Calibri"/>
                <w:szCs w:val="16"/>
              </w:rPr>
            </w:pPr>
            <w:r w:rsidRPr="001D5327">
              <w:rPr>
                <w:rFonts w:cs="Calibri"/>
                <w:szCs w:val="16"/>
              </w:rPr>
              <w:t xml:space="preserve">94.6 (all dairy cattle, </w:t>
            </w:r>
            <w:r w:rsidRPr="001D5327">
              <w:rPr>
                <w:rFonts w:cs="Calibri"/>
                <w:szCs w:val="16"/>
              </w:rPr>
              <w:br/>
              <w:t>including calves)</w:t>
            </w:r>
          </w:p>
          <w:p w14:paraId="763C19B9" w14:textId="77777777" w:rsidR="00590FE1" w:rsidRPr="001D5327" w:rsidRDefault="00590FE1" w:rsidP="00403787">
            <w:pPr>
              <w:pStyle w:val="TableText"/>
              <w:spacing w:before="40" w:after="40"/>
              <w:jc w:val="right"/>
              <w:rPr>
                <w:rFonts w:cs="Calibri"/>
                <w:szCs w:val="16"/>
              </w:rPr>
            </w:pPr>
            <w:r w:rsidRPr="001D5327">
              <w:rPr>
                <w:rFonts w:cs="Calibri"/>
                <w:szCs w:val="16"/>
              </w:rPr>
              <w:t xml:space="preserve">103.0 (mature milking </w:t>
            </w:r>
            <w:r w:rsidRPr="001D5327">
              <w:rPr>
                <w:rFonts w:cs="Calibri"/>
                <w:szCs w:val="16"/>
              </w:rPr>
              <w:br/>
              <w:t>cattle only)</w:t>
            </w:r>
          </w:p>
        </w:tc>
        <w:tc>
          <w:tcPr>
            <w:tcW w:w="1441" w:type="dxa"/>
          </w:tcPr>
          <w:p w14:paraId="7AB3C890" w14:textId="77777777" w:rsidR="00590FE1" w:rsidRPr="001D5327" w:rsidRDefault="00590FE1" w:rsidP="00403787">
            <w:pPr>
              <w:pStyle w:val="TableText"/>
              <w:spacing w:before="40" w:after="40"/>
              <w:jc w:val="right"/>
              <w:rPr>
                <w:rFonts w:cs="Calibri"/>
                <w:szCs w:val="16"/>
              </w:rPr>
            </w:pPr>
            <w:r w:rsidRPr="001D5327">
              <w:rPr>
                <w:rFonts w:cs="Calibri"/>
                <w:szCs w:val="16"/>
              </w:rPr>
              <w:t>69.7</w:t>
            </w:r>
          </w:p>
        </w:tc>
        <w:tc>
          <w:tcPr>
            <w:tcW w:w="1478" w:type="dxa"/>
          </w:tcPr>
          <w:p w14:paraId="5E222DFA" w14:textId="77777777" w:rsidR="00590FE1" w:rsidRPr="001D5327" w:rsidDel="00176609" w:rsidRDefault="00590FE1" w:rsidP="00403787">
            <w:pPr>
              <w:pStyle w:val="TableText"/>
              <w:spacing w:before="40" w:after="40"/>
              <w:jc w:val="right"/>
              <w:rPr>
                <w:rFonts w:cs="Calibri"/>
                <w:szCs w:val="16"/>
              </w:rPr>
            </w:pPr>
            <w:r w:rsidRPr="001D5327">
              <w:rPr>
                <w:rFonts w:cs="Calibri"/>
                <w:szCs w:val="16"/>
              </w:rPr>
              <w:t>12.5</w:t>
            </w:r>
          </w:p>
        </w:tc>
      </w:tr>
    </w:tbl>
    <w:p w14:paraId="2E862599" w14:textId="77777777" w:rsidR="00590FE1" w:rsidRPr="001D5327" w:rsidRDefault="00590FE1" w:rsidP="00590FE1">
      <w:pPr>
        <w:pStyle w:val="Noteundertable"/>
        <w:rPr>
          <w:rFonts w:cs="Calibri"/>
        </w:rPr>
      </w:pPr>
      <w:r w:rsidRPr="001D5327">
        <w:rPr>
          <w:rFonts w:cs="Calibri"/>
          <w:b/>
          <w:bCs/>
        </w:rPr>
        <w:t xml:space="preserve">Note: </w:t>
      </w:r>
      <w:r w:rsidRPr="001D5327">
        <w:rPr>
          <w:rFonts w:cs="Calibri"/>
          <w:b/>
        </w:rPr>
        <w:tab/>
      </w:r>
      <w:r w:rsidRPr="001D5327">
        <w:rPr>
          <w:rFonts w:cs="Calibri"/>
        </w:rPr>
        <w:t>The IPCC (2006) value for sheep is for developed countries.</w:t>
      </w:r>
    </w:p>
    <w:p w14:paraId="6B5D2CBB" w14:textId="77777777" w:rsidR="00590FE1" w:rsidRPr="001D5327" w:rsidRDefault="00590FE1" w:rsidP="00590FE1">
      <w:pPr>
        <w:pStyle w:val="BodyText"/>
        <w:rPr>
          <w:rFonts w:cs="Calibri"/>
        </w:rPr>
      </w:pPr>
      <w:r w:rsidRPr="001D5327">
        <w:rPr>
          <w:rFonts w:cs="Calibri"/>
          <w:b/>
          <w:bCs/>
          <w:i/>
          <w:iCs/>
        </w:rPr>
        <w:lastRenderedPageBreak/>
        <w:t>Dairy cattle:</w:t>
      </w:r>
      <w:r w:rsidRPr="001D5327">
        <w:rPr>
          <w:rFonts w:cs="Calibri"/>
        </w:rPr>
        <w:t xml:space="preserve"> New Zealand’s 2023 IEF for all dairy cattle, including calves, is higher than the IPCC Tier 1 Oceania default value and similar to the Australian-specific IEF. New Zealand’s 2023 IEF for mature milking cattle is higher than the IPCC Tier 1 Oceania default value and the 2022 Australian-specific IEF.</w:t>
      </w:r>
    </w:p>
    <w:p w14:paraId="7089ED14" w14:textId="77777777" w:rsidR="00590FE1" w:rsidRPr="001D5327" w:rsidRDefault="00590FE1" w:rsidP="00590FE1">
      <w:pPr>
        <w:pStyle w:val="BodyText"/>
        <w:rPr>
          <w:rFonts w:cs="Calibri"/>
        </w:rPr>
      </w:pPr>
      <w:r w:rsidRPr="001D5327">
        <w:rPr>
          <w:rFonts w:cs="Calibri"/>
        </w:rPr>
        <w:t xml:space="preserve">Although New Zealand’s predominantly outdoor pasture-based system is similar to Australian dairy cattle management, differences in IEF values could be explained by differences in proportions of different cattle breeds (with different liveweights). The 2022 Australian dairy herd comprised 73 per cent Holstein; other breeds include Jersey, Brown Swiss, Ayrshire, the Australian Red and the Illawarra (DataGene Limited, 2023). In 2023, 60.4 per cent of New Zealand’s cow population comprised a Holstein–Friesian/Jersey crossbreed, 23.9 per cent are Holstein–Friesian and 7.5 per cent are Jersey (LIC and DairyNZ, 2024). </w:t>
      </w:r>
    </w:p>
    <w:p w14:paraId="76590EE0" w14:textId="77777777" w:rsidR="00590FE1" w:rsidRPr="001D5327" w:rsidRDefault="00590FE1" w:rsidP="00590FE1">
      <w:pPr>
        <w:pStyle w:val="BodyText"/>
      </w:pPr>
      <w:r w:rsidRPr="001D5327">
        <w:t>In New Zealand’s Tier 2 inventory model, dairy cattle encompass all cattle that are required to support the milking dairy herd. This includes calves, young growing non</w:t>
      </w:r>
      <w:r w:rsidRPr="001D5327">
        <w:noBreakHyphen/>
        <w:t xml:space="preserve">lactating heifers, dry cows and bulls. Because the emissions from these animals are included in the IEF calculations, the IEF will be lower than if only mature milking cows had been considered. </w:t>
      </w:r>
    </w:p>
    <w:p w14:paraId="519C95E5" w14:textId="77777777" w:rsidR="00590FE1" w:rsidRPr="001D5327" w:rsidRDefault="00590FE1" w:rsidP="00590FE1">
      <w:pPr>
        <w:pStyle w:val="BodyText"/>
        <w:rPr>
          <w:rFonts w:cs="Calibri"/>
        </w:rPr>
      </w:pPr>
      <w:r w:rsidRPr="001D5327">
        <w:rPr>
          <w:rFonts w:cs="Calibri"/>
        </w:rPr>
        <w:t xml:space="preserve">New Zealand’s dairy 2023 IEF is higher than the IPCC Tier 2 net energy-based value. This could be because of the different energy intakes and requirements of housed animals compared with animals grazing on pasture, or differences in per-animal productivity in </w:t>
      </w:r>
      <w:r w:rsidRPr="001D5327" w:rsidDel="00160843">
        <w:rPr>
          <w:rFonts w:cs="Calibri"/>
        </w:rPr>
        <w:t xml:space="preserve">New </w:t>
      </w:r>
      <w:r w:rsidRPr="001D5327">
        <w:rPr>
          <w:rFonts w:cs="Calibri"/>
        </w:rPr>
        <w:t xml:space="preserve">Zealand compared with other countries. The feeding algorithms within New Zealand’s national inventory use </w:t>
      </w:r>
      <w:r w:rsidRPr="001D5327" w:rsidDel="00160843">
        <w:rPr>
          <w:rFonts w:cs="Calibri"/>
        </w:rPr>
        <w:t xml:space="preserve">New </w:t>
      </w:r>
      <w:r w:rsidRPr="001D5327">
        <w:rPr>
          <w:rFonts w:cs="Calibri"/>
        </w:rPr>
        <w:t xml:space="preserve">Zealand-specific activity data and methodology that better reflect the outdoor pastoral-based farming systems in </w:t>
      </w:r>
      <w:r w:rsidRPr="001D5327" w:rsidDel="00160843">
        <w:rPr>
          <w:rFonts w:cs="Calibri"/>
        </w:rPr>
        <w:t>New</w:t>
      </w:r>
      <w:r w:rsidRPr="001D5327">
        <w:rPr>
          <w:rFonts w:cs="Calibri"/>
        </w:rPr>
        <w:t xml:space="preserve"> Zealand.</w:t>
      </w:r>
    </w:p>
    <w:p w14:paraId="7F2F4908" w14:textId="77777777" w:rsidR="00590FE1" w:rsidRPr="001D5327" w:rsidRDefault="00590FE1" w:rsidP="00590FE1">
      <w:pPr>
        <w:pStyle w:val="BodyText"/>
        <w:rPr>
          <w:rFonts w:cs="Calibri"/>
        </w:rPr>
      </w:pPr>
      <w:r w:rsidRPr="001D5327">
        <w:rPr>
          <w:rFonts w:cs="Calibri"/>
          <w:b/>
          <w:bCs/>
          <w:i/>
          <w:iCs/>
        </w:rPr>
        <w:t>Non-dairy cattle:</w:t>
      </w:r>
      <w:r w:rsidRPr="001D5327">
        <w:rPr>
          <w:rFonts w:cs="Calibri"/>
        </w:rPr>
        <w:t xml:space="preserve"> The </w:t>
      </w:r>
      <w:r w:rsidRPr="001D5327" w:rsidDel="00160843">
        <w:rPr>
          <w:rFonts w:cs="Calibri"/>
        </w:rPr>
        <w:t xml:space="preserve">New </w:t>
      </w:r>
      <w:r w:rsidRPr="001D5327">
        <w:rPr>
          <w:rFonts w:cs="Calibri"/>
        </w:rPr>
        <w:t xml:space="preserve">Zealand-specific 2023 IEF for </w:t>
      </w:r>
      <w:r w:rsidRPr="001D5327">
        <w:rPr>
          <w:rFonts w:cs="Calibri"/>
          <w:i/>
        </w:rPr>
        <w:t>Non-dairy cattle</w:t>
      </w:r>
      <w:r w:rsidRPr="001D5327">
        <w:rPr>
          <w:rFonts w:cs="Calibri"/>
        </w:rPr>
        <w:t xml:space="preserve"> is greater than the IPCC Tier 1 Oceania default value, the IPCC Tier 2 net energy-based value and Australian-specific IEFs. Differences such as feed type and quality, breed and which animals are characterised as non</w:t>
      </w:r>
      <w:r w:rsidRPr="001D5327">
        <w:rPr>
          <w:rFonts w:cs="Calibri"/>
        </w:rPr>
        <w:noBreakHyphen/>
        <w:t xml:space="preserve">dairy will influence the IEFs. As explained for dairy cattle above, the main difference between the IPCC Tier 2 value and the </w:t>
      </w:r>
      <w:r w:rsidRPr="001D5327" w:rsidDel="00C8076E">
        <w:rPr>
          <w:rFonts w:cs="Calibri"/>
        </w:rPr>
        <w:t>New</w:t>
      </w:r>
      <w:r w:rsidRPr="001D5327">
        <w:rPr>
          <w:rFonts w:cs="Calibri"/>
        </w:rPr>
        <w:t xml:space="preserve"> Zealand-specific value (apart from the different energy equations determining them) is that the feeding algorithms within New Zealand’s national inventory use </w:t>
      </w:r>
      <w:r w:rsidRPr="001D5327" w:rsidDel="00B6374C">
        <w:rPr>
          <w:rFonts w:cs="Calibri"/>
        </w:rPr>
        <w:t xml:space="preserve">New </w:t>
      </w:r>
      <w:r w:rsidRPr="001D5327">
        <w:rPr>
          <w:rFonts w:cs="Calibri"/>
        </w:rPr>
        <w:t>Zealand-specific activity data and methodology that better reflect New Zealand’s outdoor pastoral-based farming systems.</w:t>
      </w:r>
    </w:p>
    <w:p w14:paraId="5411A5C0" w14:textId="77777777" w:rsidR="00590FE1" w:rsidRPr="001D5327" w:rsidRDefault="00590FE1" w:rsidP="00590FE1">
      <w:pPr>
        <w:pStyle w:val="BodyText"/>
        <w:rPr>
          <w:rFonts w:cs="Calibri"/>
        </w:rPr>
      </w:pPr>
      <w:r w:rsidRPr="001D5327">
        <w:rPr>
          <w:rFonts w:cs="Calibri"/>
          <w:b/>
          <w:bCs/>
          <w:i/>
          <w:iCs/>
        </w:rPr>
        <w:t>Sheep:</w:t>
      </w:r>
      <w:r w:rsidRPr="001D5327">
        <w:rPr>
          <w:rFonts w:cs="Calibri"/>
        </w:rPr>
        <w:t xml:space="preserve"> New Zealand’s 2023 IEF for sheep is greater than the IPCC Tier 1 default value, the Tier 2 net energy-based value and the 2022 Australian-specific IEF. This is in part because the annual sheep population figure used to calculate the IEF is based on the June population, in </w:t>
      </w:r>
      <w:r w:rsidRPr="001D5327" w:rsidDel="00492649">
        <w:rPr>
          <w:rFonts w:cs="Calibri"/>
        </w:rPr>
        <w:t>mid</w:t>
      </w:r>
      <w:r w:rsidRPr="001D5327">
        <w:rPr>
          <w:rFonts w:cs="Calibri"/>
        </w:rPr>
        <w:t>-winter. This count excludes most lambs, born in spring (August–September) and raised and slaughtered during summer and early autumn (February, March and April). New Zealand does take lambs into account when determining total annual enteric CH</w:t>
      </w:r>
      <w:r w:rsidRPr="001D5327">
        <w:rPr>
          <w:rFonts w:cs="Calibri"/>
          <w:vertAlign w:val="subscript"/>
        </w:rPr>
        <w:t>4</w:t>
      </w:r>
      <w:r w:rsidRPr="001D5327">
        <w:rPr>
          <w:rFonts w:cs="Calibri"/>
        </w:rPr>
        <w:t xml:space="preserve"> emissions because emissions are calculated monthly, but it does not include the lamb population slaughtered during summer and early autumn when estimating the IEF. The same rationale around the impact of feed type and quality, breed, and New Zealand’s outdoor pastoral-based farming systems as put forward for cattle is also a contributing factor to the difference between the </w:t>
      </w:r>
      <w:r w:rsidRPr="001D5327" w:rsidDel="00C36118">
        <w:rPr>
          <w:rFonts w:cs="Calibri"/>
        </w:rPr>
        <w:t xml:space="preserve">New </w:t>
      </w:r>
      <w:r w:rsidRPr="001D5327">
        <w:rPr>
          <w:rFonts w:cs="Calibri"/>
        </w:rPr>
        <w:t>Zealand IEF and IPCC values.</w:t>
      </w:r>
    </w:p>
    <w:p w14:paraId="44109BAE" w14:textId="77777777" w:rsidR="00590FE1" w:rsidRPr="001D5327" w:rsidRDefault="00590FE1" w:rsidP="00590FE1">
      <w:pPr>
        <w:pStyle w:val="Heading4"/>
      </w:pPr>
      <w:r w:rsidRPr="001D5327">
        <w:t>Verifying regional methane emissions using inverse modelling techniques</w:t>
      </w:r>
    </w:p>
    <w:p w14:paraId="4C312F63" w14:textId="77777777" w:rsidR="00590FE1" w:rsidRPr="001D5327" w:rsidRDefault="00590FE1" w:rsidP="00590FE1">
      <w:pPr>
        <w:pStyle w:val="BodyText"/>
      </w:pPr>
      <w:r w:rsidRPr="001D5327">
        <w:rPr>
          <w:rFonts w:cs="Calibri"/>
        </w:rPr>
        <w:t>New Zealand</w:t>
      </w:r>
      <w:r w:rsidRPr="001D5327">
        <w:t xml:space="preserve"> has invested in developing country-specific methods and emission factors to estimate CH</w:t>
      </w:r>
      <w:r w:rsidRPr="001D5327">
        <w:rPr>
          <w:vertAlign w:val="subscript"/>
        </w:rPr>
        <w:t>4</w:t>
      </w:r>
      <w:r w:rsidRPr="001D5327">
        <w:t xml:space="preserve"> emissions from ruminant animals, given their contribution to gross greenhouse gas emissions in the </w:t>
      </w:r>
      <w:r w:rsidRPr="001D5327" w:rsidDel="00C36118">
        <w:rPr>
          <w:rFonts w:cs="Calibri"/>
        </w:rPr>
        <w:t xml:space="preserve">New </w:t>
      </w:r>
      <w:r w:rsidRPr="001D5327">
        <w:rPr>
          <w:rFonts w:cs="Calibri"/>
        </w:rPr>
        <w:t>Zealand</w:t>
      </w:r>
      <w:r w:rsidRPr="001D5327">
        <w:t xml:space="preserve"> inventory. Methane emissions can be robustly calculated from estimates of animal populations, DMI and emission factors, but it is challenging to verify </w:t>
      </w:r>
      <w:r w:rsidRPr="001D5327">
        <w:lastRenderedPageBreak/>
        <w:t>the efficacy of mitigation technologies in the field. A possible solution is inverse modelling of emissions, based on atmospheric greenhouse gas measurements from a network of observing stations, combined with models that describe the pathway the air took before arriving at the station, to infer regional to national greenhouse gas emissions or uptake. The inversion is conducted by taking all existing data, the initial estimates of regional CH</w:t>
      </w:r>
      <w:r w:rsidRPr="001D5327">
        <w:rPr>
          <w:vertAlign w:val="subscript"/>
        </w:rPr>
        <w:t>4</w:t>
      </w:r>
      <w:r w:rsidRPr="001D5327">
        <w:t>, observations and back trajectory modelling, to infer what the regional emissions of CH</w:t>
      </w:r>
      <w:r w:rsidRPr="001D5327">
        <w:rPr>
          <w:vertAlign w:val="subscript"/>
        </w:rPr>
        <w:t>4</w:t>
      </w:r>
      <w:r w:rsidRPr="001D5327">
        <w:t xml:space="preserve"> were.</w:t>
      </w:r>
    </w:p>
    <w:p w14:paraId="15F3C641" w14:textId="77777777" w:rsidR="00590FE1" w:rsidRPr="001D5327" w:rsidRDefault="00590FE1" w:rsidP="00590FE1">
      <w:pPr>
        <w:pStyle w:val="BodyText"/>
      </w:pPr>
      <w:r w:rsidRPr="001D5327">
        <w:t>In Geddes et al. (2021), atmospheric inverse modelling was tested on regional and national emission estimates for 2011 to 2013 and 2018 using data collected from the National Institute of Water and Atmospheric Research observing stations at Lauder, Central Otago, and Baring Head, Wellington region. The emission estimates from this research are underpinned by several key resources: (i) an initial estimate of monthly CH</w:t>
      </w:r>
      <w:r w:rsidRPr="001D5327">
        <w:rPr>
          <w:vertAlign w:val="subscript"/>
        </w:rPr>
        <w:t>4</w:t>
      </w:r>
      <w:r w:rsidRPr="001D5327">
        <w:t xml:space="preserve"> emissions and distributions; (ii) atmospheric CH</w:t>
      </w:r>
      <w:r w:rsidRPr="001D5327">
        <w:rPr>
          <w:vertAlign w:val="subscript"/>
        </w:rPr>
        <w:t>4</w:t>
      </w:r>
      <w:r w:rsidRPr="001D5327">
        <w:t xml:space="preserve"> measurements at an inland and a background (baseline CH</w:t>
      </w:r>
      <w:r w:rsidRPr="001D5327">
        <w:rPr>
          <w:vertAlign w:val="subscript"/>
        </w:rPr>
        <w:t>4</w:t>
      </w:r>
      <w:r w:rsidRPr="001D5327">
        <w:t xml:space="preserve"> levels) site; (iii) an atmospheric transport model that describes the pathway air took before arriving at the observing sites; and (iv) an inverse method that estimates the best combination of emissions to match the available data. </w:t>
      </w:r>
    </w:p>
    <w:p w14:paraId="4409648F" w14:textId="77777777" w:rsidR="00590FE1" w:rsidRPr="001D5327" w:rsidRDefault="00590FE1" w:rsidP="00590FE1">
      <w:pPr>
        <w:pStyle w:val="BodyText"/>
      </w:pPr>
      <w:r w:rsidRPr="001D5327">
        <w:t>Due to the atmospheric observing network’s insensitivity to North Island CH</w:t>
      </w:r>
      <w:r w:rsidRPr="001D5327">
        <w:rPr>
          <w:vertAlign w:val="subscript"/>
        </w:rPr>
        <w:t>4</w:t>
      </w:r>
      <w:r w:rsidRPr="001D5327">
        <w:t xml:space="preserve"> emissions (partly due to the lack of stations north of Wellington), calculated emissions for the South Island using the inverse model were more robust than North Island estimates. For the South Island, estimated emissions using this technique were found to be comparable with those reported using inventory bottom-up methods and data. The analysis showed that the atmospheric observations are providing new information that can be used to validate and enhance the Agriculture inventory estimates. The inverse modelling approach has the potential to shed light on seasonal and inter-annual variability and detect emission changes. </w:t>
      </w:r>
    </w:p>
    <w:p w14:paraId="37639D96" w14:textId="77777777" w:rsidR="00590FE1" w:rsidRPr="001D5327" w:rsidRDefault="00590FE1" w:rsidP="00590FE1">
      <w:pPr>
        <w:pStyle w:val="BodyText"/>
        <w:spacing w:after="100"/>
      </w:pPr>
      <w:r w:rsidRPr="001D5327">
        <w:t xml:space="preserve">The accuracy of these estimates will be improved by the addition of more observations, the installation of additional sites, ground calibration, and further quality control. An expansion of </w:t>
      </w:r>
      <w:r w:rsidRPr="001D5327">
        <w:rPr>
          <w:rFonts w:cs="Calibri"/>
        </w:rPr>
        <w:t>New Zealand’s</w:t>
      </w:r>
      <w:r w:rsidRPr="001D5327">
        <w:t xml:space="preserve"> national CH</w:t>
      </w:r>
      <w:r w:rsidRPr="001D5327">
        <w:rPr>
          <w:vertAlign w:val="subscript"/>
        </w:rPr>
        <w:t>4</w:t>
      </w:r>
      <w:r w:rsidRPr="001D5327">
        <w:t xml:space="preserve"> observing network from two to eight sites is under way through the CarbonWatch NZ research programme (more information available at: </w:t>
      </w:r>
      <w:hyperlink r:id="rId113" w:history="1">
        <w:r w:rsidRPr="001D5327">
          <w:rPr>
            <w:rStyle w:val="Hyperlink"/>
          </w:rPr>
          <w:t>niwa.co.nz/atmosphere/carbonwatch-nz</w:t>
        </w:r>
      </w:hyperlink>
      <w:r w:rsidRPr="001D5327">
        <w:t xml:space="preserve">). </w:t>
      </w:r>
    </w:p>
    <w:p w14:paraId="03A162F4" w14:textId="77777777" w:rsidR="00590FE1" w:rsidRPr="001D5327" w:rsidRDefault="00590FE1" w:rsidP="00590FE1">
      <w:pPr>
        <w:pStyle w:val="BodyText"/>
        <w:spacing w:after="100"/>
      </w:pPr>
      <w:r w:rsidRPr="001D5327">
        <w:t>Satellites could also be a useful addition to allow further analysis of historical emissions and to assess emissions where ground-based measurements are challenging (Geddes et al., 2021).</w:t>
      </w:r>
      <w:bookmarkStart w:id="845" w:name="_Toc139253921"/>
      <w:bookmarkStart w:id="846" w:name="_Toc32570655"/>
      <w:r w:rsidRPr="001D5327">
        <w:t xml:space="preserve"> In </w:t>
      </w:r>
      <w:r w:rsidRPr="001D5327">
        <w:rPr>
          <w:spacing w:val="-2"/>
        </w:rPr>
        <w:t>2019, New Zealand’s Ministry of Business, Innovation and Employment signed on to collaborate</w:t>
      </w:r>
      <w:r w:rsidRPr="001D5327">
        <w:t xml:space="preserve"> on MethaneSAT, a state-of-the-art satellite designed to detect global CH</w:t>
      </w:r>
      <w:r w:rsidRPr="001D5327">
        <w:rPr>
          <w:vertAlign w:val="subscript"/>
        </w:rPr>
        <w:t>4</w:t>
      </w:r>
      <w:r w:rsidRPr="001D5327">
        <w:t xml:space="preserve"> emissions. MethaneSAT launched in March 2024 and is currently collecting data. MethaneSAT has the potential to provide a valuable tool alongside the atmospheric observing network.</w:t>
      </w:r>
    </w:p>
    <w:p w14:paraId="615DEDD9" w14:textId="77777777" w:rsidR="00590FE1" w:rsidRPr="001D5327" w:rsidRDefault="00590FE1" w:rsidP="00590FE1">
      <w:pPr>
        <w:pStyle w:val="BodyText"/>
        <w:spacing w:after="100"/>
        <w:rPr>
          <w:rFonts w:eastAsiaTheme="minorHAnsi" w:cs="Calibri"/>
          <w:color w:val="000000"/>
          <w:lang w:eastAsia="en-US"/>
        </w:rPr>
      </w:pPr>
      <w:r w:rsidRPr="001D5327">
        <w:t>A project is under way to investigate the feasibility of regular reporting of regional CH</w:t>
      </w:r>
      <w:r w:rsidRPr="001D5327">
        <w:rPr>
          <w:vertAlign w:val="subscript"/>
        </w:rPr>
        <w:t>4</w:t>
      </w:r>
      <w:r w:rsidRPr="001D5327">
        <w:t xml:space="preserve"> emissions using top-down approaches (see section 5.1.7, for more details) from both ground-based observations and satellites enabling quarterly estimates of regional </w:t>
      </w:r>
      <w:r w:rsidRPr="001D5327">
        <w:rPr>
          <w:rFonts w:cs="Calibri"/>
        </w:rPr>
        <w:t>CH</w:t>
      </w:r>
      <w:r w:rsidRPr="001D5327">
        <w:rPr>
          <w:rFonts w:cs="Calibri"/>
          <w:vertAlign w:val="subscript"/>
        </w:rPr>
        <w:t>4</w:t>
      </w:r>
      <w:r w:rsidRPr="001D5327">
        <w:rPr>
          <w:rFonts w:cs="Calibri"/>
        </w:rPr>
        <w:t xml:space="preserve"> </w:t>
      </w:r>
      <w:r w:rsidRPr="001D5327">
        <w:t>emissions across New Zealand.</w:t>
      </w:r>
      <w:r w:rsidRPr="001D5327">
        <w:rPr>
          <w:rFonts w:eastAsiaTheme="minorHAnsi" w:cs="Calibri"/>
          <w:color w:val="000000"/>
          <w:lang w:eastAsia="en-US"/>
        </w:rPr>
        <w:t xml:space="preserve"> Any relevant data can be incorporated into the reports, with the ground-based inversion adapted to provide relevant intercomparison. </w:t>
      </w:r>
    </w:p>
    <w:p w14:paraId="6B7A9B69" w14:textId="77777777" w:rsidR="00590FE1" w:rsidRPr="001D5327" w:rsidRDefault="00590FE1" w:rsidP="00590FE1">
      <w:pPr>
        <w:pStyle w:val="Heading3"/>
      </w:pPr>
      <w:r w:rsidRPr="001D5327">
        <w:t>5.2.5</w:t>
      </w:r>
      <w:r w:rsidRPr="001D5327">
        <w:tab/>
      </w:r>
      <w:bookmarkStart w:id="847" w:name="_Hlk154135505"/>
      <w:r w:rsidRPr="001D5327">
        <w:t>Category-specific recalculations</w:t>
      </w:r>
      <w:bookmarkEnd w:id="845"/>
      <w:bookmarkEnd w:id="846"/>
      <w:bookmarkEnd w:id="847"/>
    </w:p>
    <w:p w14:paraId="59A8F577" w14:textId="77777777" w:rsidR="00590FE1" w:rsidRPr="001D5327" w:rsidRDefault="00590FE1" w:rsidP="00590FE1">
      <w:pPr>
        <w:pStyle w:val="BodyText"/>
        <w:spacing w:after="100"/>
        <w:rPr>
          <w:rFonts w:cs="Calibri"/>
          <w:color w:val="000000"/>
          <w:shd w:val="clear" w:color="auto" w:fill="FFFFFF"/>
        </w:rPr>
      </w:pPr>
      <w:r w:rsidRPr="001D5327">
        <w:t xml:space="preserve">Emissions estimates in the </w:t>
      </w:r>
      <w:r w:rsidRPr="001D5327">
        <w:rPr>
          <w:i/>
          <w:iCs/>
        </w:rPr>
        <w:t>Enteric fermentation</w:t>
      </w:r>
      <w:r w:rsidRPr="001D5327">
        <w:t xml:space="preserve"> category reported in the 2025 submission have been affected by methodological improvements pertaining to:</w:t>
      </w:r>
      <w:r w:rsidRPr="001D5327">
        <w:rPr>
          <w:rFonts w:cs="Calibri"/>
          <w:color w:val="000000"/>
          <w:shd w:val="clear" w:color="auto" w:fill="FFFFFF"/>
        </w:rPr>
        <w:t xml:space="preserve"> </w:t>
      </w:r>
      <w:bookmarkStart w:id="848" w:name="_Hlk180589032"/>
      <w:r w:rsidRPr="001D5327">
        <w:rPr>
          <w:rFonts w:cs="Calibri"/>
          <w:color w:val="000000"/>
          <w:shd w:val="clear" w:color="auto" w:fill="FFFFFF"/>
        </w:rPr>
        <w:t>(i) minor species population changes; (ii)</w:t>
      </w:r>
      <w:r w:rsidRPr="001D5327">
        <w:t xml:space="preserve"> </w:t>
      </w:r>
      <w:r w:rsidRPr="001D5327">
        <w:rPr>
          <w:rFonts w:cs="Calibri"/>
          <w:color w:val="000000"/>
          <w:shd w:val="clear" w:color="auto" w:fill="FFFFFF"/>
        </w:rPr>
        <w:t>updating deer population and productivity statistics; (iii)</w:t>
      </w:r>
      <w:r w:rsidRPr="001D5327">
        <w:t xml:space="preserve"> </w:t>
      </w:r>
      <w:r w:rsidRPr="001D5327">
        <w:rPr>
          <w:rFonts w:cs="Calibri"/>
          <w:color w:val="000000"/>
          <w:shd w:val="clear" w:color="auto" w:fill="FFFFFF"/>
        </w:rPr>
        <w:t>updating emissions calculations for pigs; (iv)</w:t>
      </w:r>
      <w:r w:rsidRPr="001D5327">
        <w:t xml:space="preserve"> </w:t>
      </w:r>
      <w:r w:rsidRPr="001D5327">
        <w:rPr>
          <w:rFonts w:cs="Calibri"/>
          <w:color w:val="000000"/>
          <w:shd w:val="clear" w:color="auto" w:fill="FFFFFF"/>
        </w:rPr>
        <w:t>seasonality of wool growth; and (v) small error corrections to model code.</w:t>
      </w:r>
      <w:bookmarkEnd w:id="848"/>
    </w:p>
    <w:p w14:paraId="41DDCCD8" w14:textId="77777777" w:rsidR="00590FE1" w:rsidRPr="001D5327" w:rsidRDefault="00590FE1" w:rsidP="00590FE1">
      <w:pPr>
        <w:pStyle w:val="Heading5"/>
      </w:pPr>
      <w:bookmarkStart w:id="849" w:name="_Hlk180588690"/>
      <w:r w:rsidRPr="001D5327">
        <w:lastRenderedPageBreak/>
        <w:t>Minor species population value changes</w:t>
      </w:r>
    </w:p>
    <w:p w14:paraId="7508428C" w14:textId="77777777" w:rsidR="00590FE1" w:rsidRPr="001D5327" w:rsidRDefault="00590FE1" w:rsidP="00590FE1">
      <w:pPr>
        <w:pStyle w:val="BodyText"/>
      </w:pPr>
      <w:r w:rsidRPr="001D5327">
        <w:t>Emissions estimates in all categories relating to donkeys, poultry, llamas and alpacas have been improved by an update to the estimated populations.</w:t>
      </w:r>
    </w:p>
    <w:p w14:paraId="58EDEB05" w14:textId="77777777" w:rsidR="00590FE1" w:rsidRPr="001D5327" w:rsidRDefault="00590FE1" w:rsidP="00590FE1">
      <w:pPr>
        <w:pStyle w:val="BodyText"/>
      </w:pPr>
      <w:r w:rsidRPr="001D5327">
        <w:t>The New Zealand inventory calculates emissions from these minor species using country-specific methods and emission factors where possible. IPCC Tier 1 emission factors and methodology are also used.</w:t>
      </w:r>
    </w:p>
    <w:p w14:paraId="3A5E09E4" w14:textId="77777777" w:rsidR="00590FE1" w:rsidRPr="001D5327" w:rsidRDefault="00590FE1" w:rsidP="00590FE1">
      <w:pPr>
        <w:pStyle w:val="BodyText"/>
      </w:pPr>
      <w:r w:rsidRPr="001D5327">
        <w:t xml:space="preserve">Recent research carried out by AbacusBio (Sise, 2023) has used industry data, data from Stats NZ, other agricultural databases and additional information provided from industry stakeholders to improve the population assumptions for donkeys, poultry, llamas and alpacas. </w:t>
      </w:r>
    </w:p>
    <w:p w14:paraId="44AE38F5" w14:textId="77777777" w:rsidR="00590FE1" w:rsidRPr="001D5327" w:rsidRDefault="00590FE1" w:rsidP="00590FE1">
      <w:pPr>
        <w:pStyle w:val="BodyText"/>
      </w:pPr>
      <w:r w:rsidRPr="001D5327">
        <w:t>The following recommendations from Sise (2023) were implemented in the 2025 inventory submission.</w:t>
      </w:r>
    </w:p>
    <w:p w14:paraId="6ACBF3A1" w14:textId="77777777" w:rsidR="00590FE1" w:rsidRPr="001D5327" w:rsidRDefault="00590FE1" w:rsidP="00590FE1">
      <w:pPr>
        <w:pStyle w:val="Bullet"/>
      </w:pPr>
      <w:r w:rsidRPr="001D5327">
        <w:t>Update the donkey population to 1,500 (previously 141).</w:t>
      </w:r>
    </w:p>
    <w:p w14:paraId="2D4E6585" w14:textId="77777777" w:rsidR="00590FE1" w:rsidRPr="001D5327" w:rsidRDefault="00590FE1" w:rsidP="00590FE1">
      <w:pPr>
        <w:pStyle w:val="Bullet"/>
      </w:pPr>
      <w:r w:rsidRPr="001D5327">
        <w:t>Use disaggregated Stats NZ data to calculate the poultry population.</w:t>
      </w:r>
    </w:p>
    <w:p w14:paraId="339966E0" w14:textId="77777777" w:rsidR="00590FE1" w:rsidRPr="001D5327" w:rsidRDefault="00590FE1" w:rsidP="00590FE1">
      <w:pPr>
        <w:pStyle w:val="Bullet"/>
      </w:pPr>
      <w:r w:rsidRPr="001D5327">
        <w:t>Use the modelled alpaca population levels and the modelled llama population levels for 2009 to 2022, with information from both the alpaca and llama registries used to provide population estimates from 2023 onwards.</w:t>
      </w:r>
    </w:p>
    <w:p w14:paraId="1F0C64C3" w14:textId="77777777" w:rsidR="00590FE1" w:rsidRPr="001D5327" w:rsidRDefault="00590FE1" w:rsidP="00590FE1">
      <w:pPr>
        <w:pStyle w:val="BodyText"/>
      </w:pPr>
      <w:r w:rsidRPr="001D5327">
        <w:t xml:space="preserve">Implementing these changes caused emissions from the </w:t>
      </w:r>
      <w:r w:rsidRPr="001D5327">
        <w:rPr>
          <w:i/>
          <w:iCs/>
        </w:rPr>
        <w:t>Enteric fermentation</w:t>
      </w:r>
      <w:r w:rsidRPr="001D5327">
        <w:t xml:space="preserve"> category to increase by 0.4 kt CO</w:t>
      </w:r>
      <w:r w:rsidRPr="001D5327">
        <w:rPr>
          <w:vertAlign w:val="subscript"/>
        </w:rPr>
        <w:t>2</w:t>
      </w:r>
      <w:r w:rsidRPr="001D5327">
        <w:t>-e in 1990 and 2.1 kt CO</w:t>
      </w:r>
      <w:r w:rsidRPr="001D5327">
        <w:rPr>
          <w:vertAlign w:val="subscript"/>
        </w:rPr>
        <w:t>2</w:t>
      </w:r>
      <w:r w:rsidRPr="001D5327">
        <w:t>-e in 2022 (see table 5.2.7).</w:t>
      </w:r>
    </w:p>
    <w:p w14:paraId="398247F6" w14:textId="77777777" w:rsidR="00590FE1" w:rsidRPr="001D5327" w:rsidRDefault="00590FE1" w:rsidP="00590FE1">
      <w:pPr>
        <w:pStyle w:val="Table"/>
        <w:rPr>
          <w:rFonts w:cs="Calibri"/>
        </w:rPr>
      </w:pPr>
      <w:bookmarkStart w:id="850" w:name="_Toc127458257"/>
      <w:bookmarkStart w:id="851" w:name="_Toc131591353"/>
      <w:bookmarkStart w:id="852" w:name="_Toc160114443"/>
      <w:bookmarkStart w:id="853" w:name="_Toc164153839"/>
      <w:bookmarkStart w:id="854" w:name="_Toc194241707"/>
      <w:r w:rsidRPr="001D5327">
        <w:rPr>
          <w:rFonts w:cs="Calibri"/>
        </w:rPr>
        <w:t>Table 5.2.7</w:t>
      </w:r>
      <w:r w:rsidRPr="001D5327">
        <w:rPr>
          <w:rFonts w:cs="Calibri"/>
        </w:rPr>
        <w:tab/>
        <w:t xml:space="preserve">Comparison of the previous minor species populations and the updated minor species populations for emissions from </w:t>
      </w:r>
      <w:r w:rsidRPr="001D5327">
        <w:rPr>
          <w:rFonts w:cs="Calibri"/>
          <w:i/>
          <w:iCs/>
        </w:rPr>
        <w:t>Enteric fermentation</w:t>
      </w:r>
      <w:bookmarkEnd w:id="850"/>
      <w:bookmarkEnd w:id="851"/>
      <w:bookmarkEnd w:id="852"/>
      <w:bookmarkEnd w:id="853"/>
      <w:bookmarkEnd w:id="854"/>
      <w:r w:rsidRPr="001D5327">
        <w:rPr>
          <w:rFonts w:cs="Calibri"/>
          <w:i/>
          <w:iCs/>
        </w:rPr>
        <w:t xml:space="preserve"> </w:t>
      </w:r>
    </w:p>
    <w:tbl>
      <w:tblPr>
        <w:tblW w:w="8505" w:type="dxa"/>
        <w:tblBorders>
          <w:top w:val="single" w:sz="2" w:space="0" w:color="1B556B" w:themeColor="text2"/>
          <w:bottom w:val="single" w:sz="2" w:space="0" w:color="1B556B" w:themeColor="text2"/>
          <w:insideH w:val="single" w:sz="2" w:space="0" w:color="1B556B" w:themeColor="text2"/>
        </w:tblBorders>
        <w:tblCellMar>
          <w:left w:w="85" w:type="dxa"/>
          <w:right w:w="57" w:type="dxa"/>
        </w:tblCellMar>
        <w:tblLook w:val="04A0" w:firstRow="1" w:lastRow="0" w:firstColumn="1" w:lastColumn="0" w:noHBand="0" w:noVBand="1"/>
      </w:tblPr>
      <w:tblGrid>
        <w:gridCol w:w="1276"/>
        <w:gridCol w:w="1843"/>
        <w:gridCol w:w="850"/>
        <w:gridCol w:w="851"/>
        <w:gridCol w:w="1701"/>
        <w:gridCol w:w="1984"/>
      </w:tblGrid>
      <w:tr w:rsidR="00590FE1" w:rsidRPr="001D5327" w14:paraId="4D375935" w14:textId="77777777" w:rsidTr="00403787">
        <w:trPr>
          <w:tblHeader/>
        </w:trPr>
        <w:tc>
          <w:tcPr>
            <w:tcW w:w="1276" w:type="dxa"/>
            <w:shd w:val="clear" w:color="000000" w:fill="1B556B"/>
            <w:vAlign w:val="bottom"/>
          </w:tcPr>
          <w:p w14:paraId="560F67E8" w14:textId="77777777" w:rsidR="00590FE1" w:rsidRPr="001D5327" w:rsidRDefault="00590FE1" w:rsidP="00403787">
            <w:pPr>
              <w:pStyle w:val="TableText"/>
              <w:spacing w:before="40" w:after="40"/>
              <w:rPr>
                <w:b/>
                <w:bCs/>
                <w:color w:val="FFFFFF" w:themeColor="background1"/>
              </w:rPr>
            </w:pPr>
          </w:p>
        </w:tc>
        <w:tc>
          <w:tcPr>
            <w:tcW w:w="1843" w:type="dxa"/>
            <w:shd w:val="clear" w:color="auto" w:fill="1B556B" w:themeFill="text2"/>
            <w:vAlign w:val="bottom"/>
          </w:tcPr>
          <w:p w14:paraId="28120A52" w14:textId="77777777" w:rsidR="00590FE1" w:rsidRPr="001D5327" w:rsidRDefault="00590FE1" w:rsidP="00403787">
            <w:pPr>
              <w:pStyle w:val="TableText"/>
              <w:spacing w:before="40" w:after="40"/>
              <w:rPr>
                <w:b/>
                <w:bCs/>
                <w:color w:val="FFFFFF" w:themeColor="background1"/>
              </w:rPr>
            </w:pPr>
          </w:p>
        </w:tc>
        <w:tc>
          <w:tcPr>
            <w:tcW w:w="850" w:type="dxa"/>
            <w:shd w:val="clear" w:color="000000" w:fill="1B556B"/>
            <w:vAlign w:val="bottom"/>
          </w:tcPr>
          <w:p w14:paraId="5722B9DD"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51" w:type="dxa"/>
            <w:shd w:val="clear" w:color="000000" w:fill="1B556B"/>
            <w:vAlign w:val="bottom"/>
          </w:tcPr>
          <w:p w14:paraId="6A413776"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701" w:type="dxa"/>
            <w:shd w:val="clear" w:color="000000" w:fill="1B556B"/>
            <w:vAlign w:val="bottom"/>
          </w:tcPr>
          <w:p w14:paraId="62F9A473"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984" w:type="dxa"/>
            <w:shd w:val="clear" w:color="000000" w:fill="1B556B"/>
            <w:vAlign w:val="bottom"/>
          </w:tcPr>
          <w:p w14:paraId="1E26AFEA"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Percentage change in emission outputs between 1990 and 2022 (%)</w:t>
            </w:r>
          </w:p>
        </w:tc>
      </w:tr>
      <w:tr w:rsidR="00590FE1" w:rsidRPr="001D5327" w14:paraId="1F2E7817" w14:textId="77777777" w:rsidTr="00403787">
        <w:tc>
          <w:tcPr>
            <w:tcW w:w="1276" w:type="dxa"/>
            <w:vMerge w:val="restart"/>
            <w:shd w:val="clear" w:color="auto" w:fill="auto"/>
            <w:vAlign w:val="center"/>
          </w:tcPr>
          <w:p w14:paraId="5F661EBE" w14:textId="77777777" w:rsidR="00590FE1" w:rsidRPr="001D5327" w:rsidRDefault="00590FE1" w:rsidP="00403787">
            <w:pPr>
              <w:pStyle w:val="TableText"/>
              <w:spacing w:before="40" w:after="40"/>
              <w:rPr>
                <w:color w:val="000000"/>
              </w:rPr>
            </w:pPr>
            <w:r w:rsidRPr="001D5327">
              <w:rPr>
                <w:rFonts w:cs="Calibri"/>
                <w:color w:val="000000"/>
                <w:szCs w:val="16"/>
              </w:rPr>
              <w:t xml:space="preserve">Total emissions from </w:t>
            </w:r>
            <w:r w:rsidRPr="001D5327">
              <w:rPr>
                <w:rFonts w:cs="Calibri"/>
                <w:i/>
                <w:color w:val="000000"/>
                <w:szCs w:val="16"/>
              </w:rPr>
              <w:t>Enteric fermentation</w:t>
            </w:r>
          </w:p>
        </w:tc>
        <w:tc>
          <w:tcPr>
            <w:tcW w:w="1843" w:type="dxa"/>
            <w:shd w:val="clear" w:color="auto" w:fill="auto"/>
            <w:vAlign w:val="center"/>
          </w:tcPr>
          <w:p w14:paraId="6BB64CB7" w14:textId="77777777" w:rsidR="00590FE1" w:rsidRPr="001D5327" w:rsidRDefault="00590FE1" w:rsidP="00403787">
            <w:pPr>
              <w:pStyle w:val="TableText"/>
              <w:spacing w:before="40" w:after="40"/>
              <w:rPr>
                <w:color w:val="000000"/>
              </w:rPr>
            </w:pPr>
            <w:r w:rsidRPr="001D5327">
              <w:rPr>
                <w:rFonts w:cs="Calibri"/>
                <w:color w:val="000000"/>
                <w:szCs w:val="16"/>
              </w:rPr>
              <w:t>2024 (1990–2022) emissions estimate</w:t>
            </w:r>
          </w:p>
        </w:tc>
        <w:tc>
          <w:tcPr>
            <w:tcW w:w="850" w:type="dxa"/>
            <w:shd w:val="clear" w:color="auto" w:fill="auto"/>
            <w:vAlign w:val="bottom"/>
          </w:tcPr>
          <w:p w14:paraId="4BAA05AF" w14:textId="77777777" w:rsidR="00590FE1" w:rsidRPr="001D5327" w:rsidRDefault="00590FE1" w:rsidP="00403787">
            <w:pPr>
              <w:pStyle w:val="TableText"/>
              <w:spacing w:before="40" w:after="40"/>
              <w:jc w:val="right"/>
              <w:rPr>
                <w:color w:val="000000"/>
              </w:rPr>
            </w:pPr>
            <w:r w:rsidRPr="001D5327">
              <w:rPr>
                <w:rFonts w:cs="Calibri"/>
                <w:color w:val="000000"/>
                <w:szCs w:val="16"/>
              </w:rPr>
              <w:t>31,212.5</w:t>
            </w:r>
          </w:p>
        </w:tc>
        <w:tc>
          <w:tcPr>
            <w:tcW w:w="851" w:type="dxa"/>
            <w:shd w:val="clear" w:color="auto" w:fill="auto"/>
            <w:vAlign w:val="bottom"/>
          </w:tcPr>
          <w:p w14:paraId="54A8F87E" w14:textId="77777777" w:rsidR="00590FE1" w:rsidRPr="001D5327" w:rsidRDefault="00590FE1" w:rsidP="00403787">
            <w:pPr>
              <w:pStyle w:val="TableText"/>
              <w:spacing w:before="40" w:after="40"/>
              <w:jc w:val="right"/>
              <w:rPr>
                <w:color w:val="000000"/>
              </w:rPr>
            </w:pPr>
            <w:r w:rsidRPr="001D5327">
              <w:rPr>
                <w:rFonts w:cs="Calibri"/>
                <w:color w:val="000000"/>
                <w:szCs w:val="16"/>
              </w:rPr>
              <w:t>32,617.2</w:t>
            </w:r>
          </w:p>
        </w:tc>
        <w:tc>
          <w:tcPr>
            <w:tcW w:w="1701" w:type="dxa"/>
            <w:shd w:val="clear" w:color="auto" w:fill="auto"/>
            <w:vAlign w:val="bottom"/>
          </w:tcPr>
          <w:p w14:paraId="7151E585" w14:textId="77777777" w:rsidR="00590FE1" w:rsidRPr="001D5327" w:rsidRDefault="00590FE1" w:rsidP="00403787">
            <w:pPr>
              <w:pStyle w:val="TableText"/>
              <w:spacing w:before="40" w:after="40"/>
              <w:jc w:val="right"/>
              <w:rPr>
                <w:color w:val="000000"/>
              </w:rPr>
            </w:pPr>
            <w:r w:rsidRPr="001D5327">
              <w:rPr>
                <w:rFonts w:cs="Calibri"/>
                <w:color w:val="000000"/>
                <w:szCs w:val="16"/>
              </w:rPr>
              <w:t>1,404.7</w:t>
            </w:r>
          </w:p>
        </w:tc>
        <w:tc>
          <w:tcPr>
            <w:tcW w:w="1984" w:type="dxa"/>
            <w:shd w:val="clear" w:color="auto" w:fill="auto"/>
            <w:vAlign w:val="bottom"/>
          </w:tcPr>
          <w:p w14:paraId="6DDF00CC" w14:textId="77777777" w:rsidR="00590FE1" w:rsidRPr="001D5327" w:rsidRDefault="00590FE1" w:rsidP="00403787">
            <w:pPr>
              <w:pStyle w:val="TableText"/>
              <w:spacing w:before="40" w:after="40"/>
              <w:jc w:val="right"/>
              <w:rPr>
                <w:color w:val="000000"/>
              </w:rPr>
            </w:pPr>
            <w:r w:rsidRPr="001D5327">
              <w:rPr>
                <w:rFonts w:cs="Calibri"/>
                <w:color w:val="000000"/>
                <w:szCs w:val="16"/>
              </w:rPr>
              <w:t>4.5</w:t>
            </w:r>
          </w:p>
        </w:tc>
      </w:tr>
      <w:tr w:rsidR="00590FE1" w:rsidRPr="001D5327" w14:paraId="1B8F330A" w14:textId="77777777" w:rsidTr="00403787">
        <w:tc>
          <w:tcPr>
            <w:tcW w:w="1276" w:type="dxa"/>
            <w:vMerge/>
            <w:vAlign w:val="center"/>
          </w:tcPr>
          <w:p w14:paraId="54C1C613" w14:textId="77777777" w:rsidR="00590FE1" w:rsidRPr="001D5327" w:rsidRDefault="00590FE1" w:rsidP="00403787">
            <w:pPr>
              <w:pStyle w:val="TableText"/>
              <w:spacing w:before="40" w:after="40"/>
              <w:rPr>
                <w:color w:val="000000"/>
              </w:rPr>
            </w:pPr>
          </w:p>
        </w:tc>
        <w:tc>
          <w:tcPr>
            <w:tcW w:w="1843" w:type="dxa"/>
            <w:shd w:val="clear" w:color="auto" w:fill="auto"/>
            <w:vAlign w:val="center"/>
          </w:tcPr>
          <w:p w14:paraId="28D897D4" w14:textId="77777777" w:rsidR="00590FE1" w:rsidRPr="001D5327" w:rsidRDefault="00590FE1" w:rsidP="00403787">
            <w:pPr>
              <w:pStyle w:val="TableText"/>
              <w:spacing w:before="40" w:after="40"/>
              <w:rPr>
                <w:rFonts w:cs="Calibri"/>
                <w:i/>
                <w:iCs/>
                <w:color w:val="000000"/>
                <w:szCs w:val="16"/>
              </w:rPr>
            </w:pPr>
            <w:r w:rsidRPr="001D5327">
              <w:rPr>
                <w:rFonts w:cs="Calibri"/>
                <w:color w:val="000000"/>
                <w:szCs w:val="16"/>
              </w:rPr>
              <w:t xml:space="preserve">2024 (1990–2022) emissions estimate </w:t>
            </w:r>
            <w:r w:rsidRPr="001D5327">
              <w:rPr>
                <w:rFonts w:cs="Calibri"/>
                <w:i/>
                <w:iCs/>
                <w:color w:val="000000"/>
                <w:szCs w:val="16"/>
              </w:rPr>
              <w:t>with</w:t>
            </w:r>
            <w:r w:rsidRPr="001D5327">
              <w:rPr>
                <w:rFonts w:cs="Calibri"/>
                <w:color w:val="000000"/>
                <w:szCs w:val="16"/>
              </w:rPr>
              <w:t xml:space="preserve"> </w:t>
            </w:r>
            <w:r w:rsidRPr="001D5327">
              <w:rPr>
                <w:rFonts w:cs="Calibri"/>
                <w:i/>
                <w:iCs/>
                <w:color w:val="000000"/>
                <w:szCs w:val="16"/>
              </w:rPr>
              <w:t>improvement</w:t>
            </w:r>
          </w:p>
        </w:tc>
        <w:tc>
          <w:tcPr>
            <w:tcW w:w="850" w:type="dxa"/>
            <w:shd w:val="clear" w:color="auto" w:fill="auto"/>
            <w:vAlign w:val="bottom"/>
          </w:tcPr>
          <w:p w14:paraId="18455A16" w14:textId="77777777" w:rsidR="00590FE1" w:rsidRPr="001D5327" w:rsidRDefault="00590FE1" w:rsidP="00403787">
            <w:pPr>
              <w:pStyle w:val="TableText"/>
              <w:spacing w:before="40" w:after="40"/>
              <w:jc w:val="right"/>
              <w:rPr>
                <w:color w:val="000000"/>
              </w:rPr>
            </w:pPr>
            <w:r w:rsidRPr="001D5327">
              <w:rPr>
                <w:rFonts w:cs="Calibri"/>
                <w:color w:val="000000"/>
                <w:szCs w:val="16"/>
              </w:rPr>
              <w:t>31,212.9</w:t>
            </w:r>
          </w:p>
        </w:tc>
        <w:tc>
          <w:tcPr>
            <w:tcW w:w="851" w:type="dxa"/>
            <w:shd w:val="clear" w:color="auto" w:fill="auto"/>
            <w:vAlign w:val="bottom"/>
          </w:tcPr>
          <w:p w14:paraId="379DCF11" w14:textId="77777777" w:rsidR="00590FE1" w:rsidRPr="001D5327" w:rsidRDefault="00590FE1" w:rsidP="00403787">
            <w:pPr>
              <w:pStyle w:val="TableText"/>
              <w:spacing w:before="40" w:after="40"/>
              <w:jc w:val="right"/>
              <w:rPr>
                <w:color w:val="000000"/>
              </w:rPr>
            </w:pPr>
            <w:r w:rsidRPr="001D5327">
              <w:rPr>
                <w:rFonts w:cs="Calibri"/>
                <w:color w:val="000000"/>
                <w:szCs w:val="16"/>
              </w:rPr>
              <w:t>32,619.3</w:t>
            </w:r>
          </w:p>
        </w:tc>
        <w:tc>
          <w:tcPr>
            <w:tcW w:w="1701" w:type="dxa"/>
            <w:shd w:val="clear" w:color="auto" w:fill="auto"/>
            <w:vAlign w:val="bottom"/>
          </w:tcPr>
          <w:p w14:paraId="3C1D872F" w14:textId="77777777" w:rsidR="00590FE1" w:rsidRPr="001D5327" w:rsidRDefault="00590FE1" w:rsidP="00403787">
            <w:pPr>
              <w:pStyle w:val="TableText"/>
              <w:spacing w:before="40" w:after="40"/>
              <w:jc w:val="right"/>
              <w:rPr>
                <w:color w:val="000000"/>
              </w:rPr>
            </w:pPr>
            <w:r w:rsidRPr="001D5327">
              <w:rPr>
                <w:rFonts w:cs="Calibri"/>
                <w:color w:val="000000"/>
                <w:szCs w:val="16"/>
              </w:rPr>
              <w:t>1,406.4</w:t>
            </w:r>
          </w:p>
        </w:tc>
        <w:tc>
          <w:tcPr>
            <w:tcW w:w="1984" w:type="dxa"/>
            <w:shd w:val="clear" w:color="auto" w:fill="auto"/>
            <w:vAlign w:val="bottom"/>
          </w:tcPr>
          <w:p w14:paraId="53D7DEE7" w14:textId="77777777" w:rsidR="00590FE1" w:rsidRPr="001D5327" w:rsidRDefault="00590FE1" w:rsidP="00403787">
            <w:pPr>
              <w:pStyle w:val="TableText"/>
              <w:spacing w:before="40" w:after="40"/>
              <w:jc w:val="right"/>
              <w:rPr>
                <w:color w:val="000000"/>
              </w:rPr>
            </w:pPr>
            <w:r w:rsidRPr="001D5327">
              <w:rPr>
                <w:rFonts w:cs="Calibri"/>
                <w:color w:val="000000"/>
                <w:szCs w:val="16"/>
              </w:rPr>
              <w:t>4.5</w:t>
            </w:r>
          </w:p>
        </w:tc>
      </w:tr>
      <w:tr w:rsidR="00590FE1" w:rsidRPr="001D5327" w14:paraId="6D86BC5F" w14:textId="77777777" w:rsidTr="00403787">
        <w:tc>
          <w:tcPr>
            <w:tcW w:w="1276" w:type="dxa"/>
            <w:vMerge/>
            <w:vAlign w:val="center"/>
          </w:tcPr>
          <w:p w14:paraId="5FA5C86B" w14:textId="77777777" w:rsidR="00590FE1" w:rsidRPr="001D5327" w:rsidRDefault="00590FE1" w:rsidP="00403787">
            <w:pPr>
              <w:pStyle w:val="TableText"/>
              <w:spacing w:before="40" w:after="40"/>
              <w:rPr>
                <w:color w:val="000000"/>
              </w:rPr>
            </w:pPr>
          </w:p>
        </w:tc>
        <w:tc>
          <w:tcPr>
            <w:tcW w:w="1843" w:type="dxa"/>
            <w:shd w:val="clear" w:color="auto" w:fill="auto"/>
            <w:vAlign w:val="center"/>
          </w:tcPr>
          <w:p w14:paraId="76069D24" w14:textId="77777777" w:rsidR="00590FE1" w:rsidRPr="001D5327" w:rsidRDefault="00590FE1" w:rsidP="00403787">
            <w:pPr>
              <w:pStyle w:val="TableText"/>
              <w:spacing w:before="40" w:after="40"/>
              <w:rPr>
                <w:color w:val="000000"/>
              </w:rPr>
            </w:pPr>
            <w:r w:rsidRPr="001D5327">
              <w:rPr>
                <w:rFonts w:cs="Calibri"/>
                <w:color w:val="000000"/>
                <w:szCs w:val="16"/>
              </w:rPr>
              <w:t>Difference in emissions estimates</w:t>
            </w:r>
          </w:p>
        </w:tc>
        <w:tc>
          <w:tcPr>
            <w:tcW w:w="850" w:type="dxa"/>
            <w:shd w:val="clear" w:color="auto" w:fill="auto"/>
            <w:vAlign w:val="bottom"/>
          </w:tcPr>
          <w:p w14:paraId="76C759F9" w14:textId="77777777" w:rsidR="00590FE1" w:rsidRPr="001D5327" w:rsidRDefault="00590FE1" w:rsidP="00403787">
            <w:pPr>
              <w:pStyle w:val="TableText"/>
              <w:spacing w:before="40" w:after="40"/>
              <w:jc w:val="right"/>
              <w:rPr>
                <w:color w:val="000000"/>
              </w:rPr>
            </w:pPr>
            <w:r w:rsidRPr="001D5327">
              <w:rPr>
                <w:rFonts w:cs="Calibri"/>
                <w:color w:val="000000"/>
                <w:szCs w:val="16"/>
              </w:rPr>
              <w:t>0.4</w:t>
            </w:r>
          </w:p>
        </w:tc>
        <w:tc>
          <w:tcPr>
            <w:tcW w:w="851" w:type="dxa"/>
            <w:shd w:val="clear" w:color="auto" w:fill="auto"/>
            <w:vAlign w:val="bottom"/>
          </w:tcPr>
          <w:p w14:paraId="58D394E0" w14:textId="77777777" w:rsidR="00590FE1" w:rsidRPr="001D5327" w:rsidRDefault="00590FE1" w:rsidP="00403787">
            <w:pPr>
              <w:pStyle w:val="TableText"/>
              <w:spacing w:before="40" w:after="40"/>
              <w:jc w:val="right"/>
              <w:rPr>
                <w:color w:val="000000"/>
              </w:rPr>
            </w:pPr>
            <w:r w:rsidRPr="001D5327">
              <w:rPr>
                <w:rFonts w:cs="Calibri"/>
                <w:color w:val="000000"/>
                <w:szCs w:val="16"/>
              </w:rPr>
              <w:t>2.1</w:t>
            </w:r>
          </w:p>
        </w:tc>
        <w:tc>
          <w:tcPr>
            <w:tcW w:w="1701" w:type="dxa"/>
            <w:shd w:val="clear" w:color="auto" w:fill="auto"/>
            <w:vAlign w:val="bottom"/>
          </w:tcPr>
          <w:p w14:paraId="4803331C"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984" w:type="dxa"/>
            <w:shd w:val="clear" w:color="auto" w:fill="auto"/>
            <w:vAlign w:val="bottom"/>
          </w:tcPr>
          <w:p w14:paraId="3DCC9BEE"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r w:rsidR="00590FE1" w:rsidRPr="001D5327" w14:paraId="33F79341" w14:textId="77777777" w:rsidTr="00403787">
        <w:tc>
          <w:tcPr>
            <w:tcW w:w="1276" w:type="dxa"/>
            <w:vMerge/>
            <w:vAlign w:val="center"/>
          </w:tcPr>
          <w:p w14:paraId="64F56A37" w14:textId="77777777" w:rsidR="00590FE1" w:rsidRPr="001D5327" w:rsidRDefault="00590FE1" w:rsidP="00403787">
            <w:pPr>
              <w:pStyle w:val="TableText"/>
              <w:spacing w:before="40" w:after="40"/>
              <w:rPr>
                <w:color w:val="000000"/>
              </w:rPr>
            </w:pPr>
          </w:p>
        </w:tc>
        <w:tc>
          <w:tcPr>
            <w:tcW w:w="1843" w:type="dxa"/>
            <w:shd w:val="clear" w:color="auto" w:fill="auto"/>
            <w:vAlign w:val="center"/>
          </w:tcPr>
          <w:p w14:paraId="35F8BACA" w14:textId="77777777" w:rsidR="00590FE1" w:rsidRPr="001D5327" w:rsidRDefault="00590FE1" w:rsidP="00403787">
            <w:pPr>
              <w:pStyle w:val="TableText"/>
              <w:spacing w:before="40" w:after="40"/>
              <w:rPr>
                <w:color w:val="000000"/>
              </w:rPr>
            </w:pPr>
            <w:r w:rsidRPr="001D5327">
              <w:rPr>
                <w:rFonts w:cs="Calibri"/>
                <w:color w:val="000000"/>
                <w:szCs w:val="16"/>
              </w:rPr>
              <w:t>Percentage difference in emissions estimates (%)</w:t>
            </w:r>
          </w:p>
        </w:tc>
        <w:tc>
          <w:tcPr>
            <w:tcW w:w="850" w:type="dxa"/>
            <w:shd w:val="clear" w:color="auto" w:fill="auto"/>
            <w:vAlign w:val="bottom"/>
          </w:tcPr>
          <w:p w14:paraId="2222A60F" w14:textId="77777777" w:rsidR="00590FE1" w:rsidRPr="001D5327" w:rsidRDefault="00590FE1" w:rsidP="00403787">
            <w:pPr>
              <w:pStyle w:val="TableText"/>
              <w:spacing w:before="40" w:after="40"/>
              <w:jc w:val="right"/>
              <w:rPr>
                <w:color w:val="000000"/>
              </w:rPr>
            </w:pPr>
            <w:r w:rsidRPr="001D5327">
              <w:rPr>
                <w:rFonts w:cs="Calibri"/>
                <w:color w:val="000000"/>
                <w:szCs w:val="16"/>
              </w:rPr>
              <w:t>0.00</w:t>
            </w:r>
          </w:p>
        </w:tc>
        <w:tc>
          <w:tcPr>
            <w:tcW w:w="851" w:type="dxa"/>
            <w:shd w:val="clear" w:color="auto" w:fill="auto"/>
            <w:vAlign w:val="bottom"/>
          </w:tcPr>
          <w:p w14:paraId="26495CA6" w14:textId="77777777" w:rsidR="00590FE1" w:rsidRPr="001D5327" w:rsidRDefault="00590FE1" w:rsidP="00403787">
            <w:pPr>
              <w:pStyle w:val="TableText"/>
              <w:spacing w:before="40" w:after="40"/>
              <w:jc w:val="right"/>
              <w:rPr>
                <w:color w:val="000000"/>
              </w:rPr>
            </w:pPr>
            <w:r w:rsidRPr="001D5327">
              <w:rPr>
                <w:rFonts w:cs="Calibri"/>
                <w:color w:val="000000"/>
                <w:szCs w:val="16"/>
              </w:rPr>
              <w:t>0.01</w:t>
            </w:r>
          </w:p>
        </w:tc>
        <w:tc>
          <w:tcPr>
            <w:tcW w:w="1701" w:type="dxa"/>
            <w:shd w:val="clear" w:color="auto" w:fill="auto"/>
            <w:vAlign w:val="bottom"/>
          </w:tcPr>
          <w:p w14:paraId="677425EB"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984" w:type="dxa"/>
            <w:shd w:val="clear" w:color="auto" w:fill="auto"/>
            <w:vAlign w:val="bottom"/>
          </w:tcPr>
          <w:p w14:paraId="6DDF8B80"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bl>
    <w:p w14:paraId="3BD8F1DD" w14:textId="77777777" w:rsidR="00590FE1" w:rsidRPr="001D5327" w:rsidRDefault="00590FE1" w:rsidP="00590FE1">
      <w:pPr>
        <w:pStyle w:val="Noteundertable"/>
        <w:spacing w:after="80"/>
        <w:rPr>
          <w:rFonts w:cs="Calibri"/>
        </w:rPr>
      </w:pPr>
      <w:bookmarkStart w:id="855" w:name="_Toc127458258"/>
      <w:bookmarkStart w:id="856" w:name="_Toc131591354"/>
      <w:r w:rsidRPr="001D5327">
        <w:rPr>
          <w:rFonts w:cs="Calibri"/>
          <w:b/>
          <w:bCs/>
        </w:rPr>
        <w:t>Note:</w:t>
      </w:r>
      <w:r w:rsidRPr="001D5327">
        <w:rPr>
          <w:rFonts w:cs="Calibri"/>
        </w:rPr>
        <w:t xml:space="preserve"> </w:t>
      </w:r>
      <w:r w:rsidRPr="001D5327">
        <w:rPr>
          <w:rFonts w:cs="Calibri"/>
        </w:rPr>
        <w:tab/>
        <w:t>Columns may not sum due to rounding. Percentages presented are calculated from unrounded values.</w:t>
      </w:r>
    </w:p>
    <w:p w14:paraId="0CC38F8B" w14:textId="77777777" w:rsidR="00590FE1" w:rsidRPr="001D5327" w:rsidRDefault="00590FE1" w:rsidP="00590FE1">
      <w:pPr>
        <w:pStyle w:val="Heading5"/>
      </w:pPr>
      <w:r w:rsidRPr="001D5327">
        <w:t xml:space="preserve">Updating deer population and productivity statistics </w:t>
      </w:r>
    </w:p>
    <w:p w14:paraId="45667C52" w14:textId="77777777" w:rsidR="00590FE1" w:rsidRPr="001D5327" w:rsidRDefault="00590FE1" w:rsidP="00590FE1">
      <w:pPr>
        <w:pStyle w:val="BodyText"/>
      </w:pPr>
      <w:r w:rsidRPr="001D5327">
        <w:t>Emissions estimates in all categories relating to deer have been improved by an update to the estimated populations, mature hind liveweight, and velvet antler production.</w:t>
      </w:r>
    </w:p>
    <w:p w14:paraId="07BC31CE" w14:textId="77777777" w:rsidR="00590FE1" w:rsidRPr="001D5327" w:rsidRDefault="00590FE1" w:rsidP="00590FE1">
      <w:pPr>
        <w:pStyle w:val="BodyText"/>
      </w:pPr>
      <w:r w:rsidRPr="001D5327">
        <w:t xml:space="preserve">Recent research carried out by Crown research institute AgResearch, by Stevens and Ward (2023), has developed a method to assign deer reported in the Stats NZ Agriculture Production Survey data to venison or velvet production as well as to age and sex. The research also used industry data to improve estimates of the mature weight of hinds and stags, stag slaughter date, and suggest a more accurate source of velvet antler production. </w:t>
      </w:r>
    </w:p>
    <w:p w14:paraId="59CF6169" w14:textId="77777777" w:rsidR="00590FE1" w:rsidRPr="001D5327" w:rsidRDefault="00590FE1" w:rsidP="00590FE1">
      <w:pPr>
        <w:pStyle w:val="BodyText"/>
      </w:pPr>
      <w:r w:rsidRPr="001D5327">
        <w:t>The following recommendations from Stevens and Ward (2023) were implemented in the 2025 inventory submission.</w:t>
      </w:r>
    </w:p>
    <w:p w14:paraId="03D8CE1E" w14:textId="77777777" w:rsidR="00590FE1" w:rsidRPr="001D5327" w:rsidRDefault="00590FE1" w:rsidP="00590FE1">
      <w:pPr>
        <w:pStyle w:val="Bullet"/>
        <w:spacing w:after="100"/>
      </w:pPr>
      <w:r w:rsidRPr="001D5327">
        <w:lastRenderedPageBreak/>
        <w:t>Update the methodology to assign deer animals reported in the Stats NZ Agriculture Production Survey</w:t>
      </w:r>
      <w:r w:rsidRPr="001D5327" w:rsidDel="001D2E96">
        <w:t xml:space="preserve"> </w:t>
      </w:r>
      <w:r w:rsidRPr="001D5327">
        <w:t>data to class, including the adoption of separate classes for the venison and velvet value streams.</w:t>
      </w:r>
    </w:p>
    <w:p w14:paraId="2F6807A0" w14:textId="77777777" w:rsidR="00590FE1" w:rsidRPr="001D5327" w:rsidRDefault="00590FE1" w:rsidP="00590FE1">
      <w:pPr>
        <w:pStyle w:val="Bullet"/>
        <w:spacing w:after="100"/>
      </w:pPr>
      <w:r w:rsidRPr="001D5327">
        <w:t>Update the values used for hind liveweight to a maximum of 110 kilograms.</w:t>
      </w:r>
    </w:p>
    <w:p w14:paraId="44F95DD7" w14:textId="77777777" w:rsidR="00590FE1" w:rsidRPr="001D5327" w:rsidRDefault="00590FE1" w:rsidP="00590FE1">
      <w:pPr>
        <w:pStyle w:val="Bullet"/>
        <w:spacing w:after="100"/>
      </w:pPr>
      <w:r w:rsidRPr="001D5327">
        <w:t>Use the Deer Industry New Zealand record of velvet antler production.</w:t>
      </w:r>
    </w:p>
    <w:p w14:paraId="2D91DD58" w14:textId="77777777" w:rsidR="00590FE1" w:rsidRPr="001D5327" w:rsidRDefault="00590FE1" w:rsidP="00590FE1">
      <w:pPr>
        <w:pStyle w:val="Bullet"/>
        <w:spacing w:after="100"/>
      </w:pPr>
      <w:r w:rsidRPr="001D5327">
        <w:t>Add an additional slaughter for stag populations at 25 months.</w:t>
      </w:r>
    </w:p>
    <w:p w14:paraId="4FE54372" w14:textId="77777777" w:rsidR="00590FE1" w:rsidRPr="001D5327" w:rsidRDefault="00590FE1" w:rsidP="00590FE1">
      <w:pPr>
        <w:pStyle w:val="BodyText"/>
      </w:pPr>
      <w:r w:rsidRPr="001D5327">
        <w:t xml:space="preserve">Implementing these changes caused emissions from the </w:t>
      </w:r>
      <w:r w:rsidRPr="001D5327">
        <w:rPr>
          <w:i/>
          <w:iCs/>
        </w:rPr>
        <w:t>Enteric fermentation</w:t>
      </w:r>
      <w:r w:rsidRPr="001D5327">
        <w:t xml:space="preserve"> category to decrease by 15.0 kt CO</w:t>
      </w:r>
      <w:r w:rsidRPr="001D5327">
        <w:rPr>
          <w:vertAlign w:val="subscript"/>
        </w:rPr>
        <w:t>2</w:t>
      </w:r>
      <w:r w:rsidRPr="001D5327">
        <w:t>-e in 1990 and 66.6 kt CO</w:t>
      </w:r>
      <w:r w:rsidRPr="001D5327">
        <w:rPr>
          <w:vertAlign w:val="subscript"/>
        </w:rPr>
        <w:t>2</w:t>
      </w:r>
      <w:r w:rsidRPr="001D5327">
        <w:t>-e in 2022 (see table 5.2.8).</w:t>
      </w:r>
    </w:p>
    <w:p w14:paraId="29595B62" w14:textId="77777777" w:rsidR="00590FE1" w:rsidRPr="001D5327" w:rsidRDefault="00590FE1" w:rsidP="00590FE1">
      <w:pPr>
        <w:pStyle w:val="Table"/>
      </w:pPr>
      <w:bookmarkStart w:id="857" w:name="_Toc160114444"/>
      <w:bookmarkStart w:id="858" w:name="_Toc164153840"/>
      <w:bookmarkStart w:id="859" w:name="_Toc194241708"/>
      <w:r w:rsidRPr="001D5327">
        <w:rPr>
          <w:rFonts w:cs="Calibri"/>
        </w:rPr>
        <w:t>Table 5.2.8</w:t>
      </w:r>
      <w:r w:rsidRPr="001D5327">
        <w:rPr>
          <w:rFonts w:cs="Calibri"/>
        </w:rPr>
        <w:tab/>
        <w:t>Comparison emissions from </w:t>
      </w:r>
      <w:r w:rsidRPr="001D5327">
        <w:rPr>
          <w:rFonts w:cs="Calibri"/>
          <w:i/>
          <w:iCs/>
        </w:rPr>
        <w:t>Enteric fermentation</w:t>
      </w:r>
      <w:bookmarkEnd w:id="855"/>
      <w:bookmarkEnd w:id="856"/>
      <w:bookmarkEnd w:id="857"/>
      <w:bookmarkEnd w:id="858"/>
      <w:r w:rsidRPr="001D5327">
        <w:rPr>
          <w:rFonts w:cs="Calibri"/>
          <w:i/>
          <w:iCs/>
        </w:rPr>
        <w:t xml:space="preserve"> </w:t>
      </w:r>
      <w:r w:rsidRPr="001D5327">
        <w:rPr>
          <w:rFonts w:cs="Calibri"/>
        </w:rPr>
        <w:t>using the updated deer population and productivity statistics</w:t>
      </w:r>
      <w:bookmarkEnd w:id="859"/>
    </w:p>
    <w:tbl>
      <w:tblPr>
        <w:tblW w:w="8505" w:type="dxa"/>
        <w:tblBorders>
          <w:top w:val="single" w:sz="2" w:space="0" w:color="1B556B" w:themeColor="text2"/>
          <w:bottom w:val="single" w:sz="2" w:space="0" w:color="1B556B" w:themeColor="text2"/>
          <w:insideH w:val="single" w:sz="2" w:space="0" w:color="1B556B" w:themeColor="text2"/>
          <w:insideV w:val="single" w:sz="2" w:space="0" w:color="1B556B" w:themeColor="text2"/>
        </w:tblBorders>
        <w:tblCellMar>
          <w:left w:w="85" w:type="dxa"/>
          <w:right w:w="85" w:type="dxa"/>
        </w:tblCellMar>
        <w:tblLook w:val="04A0" w:firstRow="1" w:lastRow="0" w:firstColumn="1" w:lastColumn="0" w:noHBand="0" w:noVBand="1"/>
      </w:tblPr>
      <w:tblGrid>
        <w:gridCol w:w="1061"/>
        <w:gridCol w:w="1921"/>
        <w:gridCol w:w="849"/>
        <w:gridCol w:w="849"/>
        <w:gridCol w:w="1842"/>
        <w:gridCol w:w="1983"/>
      </w:tblGrid>
      <w:tr w:rsidR="00590FE1" w:rsidRPr="001D5327" w14:paraId="71FBE5F1" w14:textId="77777777" w:rsidTr="00403787">
        <w:tc>
          <w:tcPr>
            <w:tcW w:w="623" w:type="pct"/>
            <w:shd w:val="clear" w:color="000000" w:fill="1B556B"/>
            <w:vAlign w:val="bottom"/>
          </w:tcPr>
          <w:p w14:paraId="641398D0" w14:textId="77777777" w:rsidR="00590FE1" w:rsidRPr="001D5327" w:rsidRDefault="00590FE1" w:rsidP="00403787">
            <w:pPr>
              <w:pStyle w:val="TableText"/>
              <w:spacing w:before="40" w:after="40"/>
              <w:rPr>
                <w:b/>
                <w:bCs/>
                <w:color w:val="FFFFFF" w:themeColor="background1"/>
              </w:rPr>
            </w:pPr>
          </w:p>
        </w:tc>
        <w:tc>
          <w:tcPr>
            <w:tcW w:w="1129" w:type="pct"/>
            <w:tcBorders>
              <w:bottom w:val="single" w:sz="2" w:space="0" w:color="1B556B" w:themeColor="text2"/>
            </w:tcBorders>
            <w:shd w:val="clear" w:color="000000" w:fill="1B556B"/>
            <w:vAlign w:val="bottom"/>
          </w:tcPr>
          <w:p w14:paraId="5EDA5813" w14:textId="77777777" w:rsidR="00590FE1" w:rsidRPr="001D5327" w:rsidRDefault="00590FE1" w:rsidP="00403787">
            <w:pPr>
              <w:pStyle w:val="TableText"/>
              <w:spacing w:before="40" w:after="40"/>
              <w:rPr>
                <w:b/>
                <w:bCs/>
                <w:color w:val="FFFFFF" w:themeColor="background1"/>
              </w:rPr>
            </w:pPr>
            <w:r w:rsidRPr="001D5327">
              <w:rPr>
                <w:rFonts w:cs="Calibri"/>
                <w:color w:val="000000"/>
                <w:sz w:val="20"/>
                <w:szCs w:val="20"/>
              </w:rPr>
              <w:t> </w:t>
            </w:r>
          </w:p>
        </w:tc>
        <w:tc>
          <w:tcPr>
            <w:tcW w:w="499" w:type="pct"/>
            <w:tcBorders>
              <w:bottom w:val="single" w:sz="2" w:space="0" w:color="1B556B" w:themeColor="text2"/>
            </w:tcBorders>
            <w:shd w:val="clear" w:color="000000" w:fill="1B556B"/>
            <w:vAlign w:val="bottom"/>
          </w:tcPr>
          <w:p w14:paraId="7971BC0C"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499" w:type="pct"/>
            <w:tcBorders>
              <w:bottom w:val="single" w:sz="2" w:space="0" w:color="1B556B" w:themeColor="text2"/>
            </w:tcBorders>
            <w:shd w:val="clear" w:color="000000" w:fill="1B556B"/>
            <w:vAlign w:val="bottom"/>
          </w:tcPr>
          <w:p w14:paraId="1B480ED3"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083" w:type="pct"/>
            <w:tcBorders>
              <w:bottom w:val="single" w:sz="2" w:space="0" w:color="1B556B" w:themeColor="text2"/>
            </w:tcBorders>
            <w:shd w:val="clear" w:color="000000" w:fill="1B556B"/>
            <w:vAlign w:val="bottom"/>
          </w:tcPr>
          <w:p w14:paraId="366D6EDF"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166" w:type="pct"/>
            <w:shd w:val="clear" w:color="000000" w:fill="1B556B"/>
            <w:vAlign w:val="bottom"/>
          </w:tcPr>
          <w:p w14:paraId="1F434006"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Percentage change in emission outputs between 1990 and 2022 (%)</w:t>
            </w:r>
          </w:p>
        </w:tc>
      </w:tr>
      <w:tr w:rsidR="00590FE1" w:rsidRPr="001D5327" w14:paraId="4E9B2D63" w14:textId="77777777" w:rsidTr="00403787">
        <w:tc>
          <w:tcPr>
            <w:tcW w:w="623" w:type="pct"/>
            <w:vMerge w:val="restart"/>
            <w:tcBorders>
              <w:right w:val="nil"/>
            </w:tcBorders>
            <w:shd w:val="clear" w:color="auto" w:fill="auto"/>
            <w:vAlign w:val="center"/>
          </w:tcPr>
          <w:p w14:paraId="67B13E7E" w14:textId="77777777" w:rsidR="00590FE1" w:rsidRPr="001D5327" w:rsidRDefault="00590FE1" w:rsidP="00403787">
            <w:pPr>
              <w:pStyle w:val="TableText"/>
              <w:spacing w:before="40" w:after="40"/>
              <w:rPr>
                <w:color w:val="000000"/>
              </w:rPr>
            </w:pPr>
            <w:r w:rsidRPr="001D5327">
              <w:rPr>
                <w:rFonts w:cs="Calibri"/>
                <w:color w:val="000000"/>
                <w:szCs w:val="16"/>
              </w:rPr>
              <w:t xml:space="preserve">Total emissions from </w:t>
            </w:r>
            <w:r w:rsidRPr="001D5327">
              <w:rPr>
                <w:rFonts w:cs="Calibri"/>
                <w:i/>
                <w:color w:val="000000"/>
                <w:szCs w:val="16"/>
              </w:rPr>
              <w:t>Enteric fermentation</w:t>
            </w:r>
            <w:r w:rsidRPr="001D5327">
              <w:rPr>
                <w:rFonts w:cs="Calibri"/>
                <w:color w:val="000000"/>
                <w:szCs w:val="16"/>
              </w:rPr>
              <w:t xml:space="preserve"> </w:t>
            </w:r>
          </w:p>
        </w:tc>
        <w:tc>
          <w:tcPr>
            <w:tcW w:w="1129" w:type="pct"/>
            <w:tcBorders>
              <w:left w:val="nil"/>
              <w:right w:val="nil"/>
            </w:tcBorders>
            <w:shd w:val="clear" w:color="auto" w:fill="auto"/>
            <w:vAlign w:val="center"/>
          </w:tcPr>
          <w:p w14:paraId="15B75000" w14:textId="77777777" w:rsidR="00590FE1" w:rsidRPr="001D5327" w:rsidRDefault="00590FE1" w:rsidP="00403787">
            <w:pPr>
              <w:pStyle w:val="TableText"/>
              <w:spacing w:before="40" w:after="40"/>
              <w:rPr>
                <w:color w:val="000000"/>
              </w:rPr>
            </w:pPr>
            <w:r w:rsidRPr="001D5327">
              <w:rPr>
                <w:rFonts w:cs="Calibri"/>
                <w:color w:val="000000"/>
                <w:szCs w:val="16"/>
              </w:rPr>
              <w:t>2024 (1990–2022) emissions estimate</w:t>
            </w:r>
          </w:p>
        </w:tc>
        <w:tc>
          <w:tcPr>
            <w:tcW w:w="499" w:type="pct"/>
            <w:tcBorders>
              <w:left w:val="nil"/>
              <w:right w:val="nil"/>
            </w:tcBorders>
            <w:shd w:val="clear" w:color="auto" w:fill="auto"/>
            <w:vAlign w:val="bottom"/>
          </w:tcPr>
          <w:p w14:paraId="3484DCE1" w14:textId="77777777" w:rsidR="00590FE1" w:rsidRPr="001D5327" w:rsidRDefault="00590FE1" w:rsidP="00403787">
            <w:pPr>
              <w:pStyle w:val="TableText"/>
              <w:spacing w:before="40" w:after="40"/>
              <w:jc w:val="right"/>
              <w:rPr>
                <w:color w:val="000000"/>
              </w:rPr>
            </w:pPr>
            <w:r w:rsidRPr="001D5327">
              <w:rPr>
                <w:rFonts w:cs="Calibri"/>
                <w:color w:val="000000"/>
                <w:szCs w:val="16"/>
              </w:rPr>
              <w:t>31,212.5</w:t>
            </w:r>
          </w:p>
        </w:tc>
        <w:tc>
          <w:tcPr>
            <w:tcW w:w="499" w:type="pct"/>
            <w:tcBorders>
              <w:left w:val="nil"/>
              <w:right w:val="nil"/>
            </w:tcBorders>
            <w:shd w:val="clear" w:color="auto" w:fill="auto"/>
            <w:vAlign w:val="bottom"/>
          </w:tcPr>
          <w:p w14:paraId="681A6526" w14:textId="77777777" w:rsidR="00590FE1" w:rsidRPr="001D5327" w:rsidRDefault="00590FE1" w:rsidP="00403787">
            <w:pPr>
              <w:pStyle w:val="TableText"/>
              <w:spacing w:before="40" w:after="40"/>
              <w:jc w:val="right"/>
              <w:rPr>
                <w:color w:val="000000"/>
              </w:rPr>
            </w:pPr>
            <w:r w:rsidRPr="001D5327">
              <w:rPr>
                <w:rFonts w:cs="Calibri"/>
                <w:color w:val="000000"/>
                <w:szCs w:val="16"/>
              </w:rPr>
              <w:t>32,617.2</w:t>
            </w:r>
          </w:p>
        </w:tc>
        <w:tc>
          <w:tcPr>
            <w:tcW w:w="1083" w:type="pct"/>
            <w:tcBorders>
              <w:left w:val="nil"/>
              <w:right w:val="nil"/>
            </w:tcBorders>
            <w:shd w:val="clear" w:color="auto" w:fill="auto"/>
            <w:vAlign w:val="bottom"/>
          </w:tcPr>
          <w:p w14:paraId="57A75299" w14:textId="77777777" w:rsidR="00590FE1" w:rsidRPr="001D5327" w:rsidRDefault="00590FE1" w:rsidP="00403787">
            <w:pPr>
              <w:pStyle w:val="TableText"/>
              <w:spacing w:before="40" w:after="40"/>
              <w:jc w:val="right"/>
              <w:rPr>
                <w:color w:val="000000"/>
              </w:rPr>
            </w:pPr>
            <w:r w:rsidRPr="001D5327">
              <w:rPr>
                <w:rFonts w:cs="Calibri"/>
                <w:color w:val="000000"/>
                <w:szCs w:val="16"/>
              </w:rPr>
              <w:t>1,404.7</w:t>
            </w:r>
          </w:p>
        </w:tc>
        <w:tc>
          <w:tcPr>
            <w:tcW w:w="1166" w:type="pct"/>
            <w:tcBorders>
              <w:left w:val="nil"/>
            </w:tcBorders>
            <w:shd w:val="clear" w:color="auto" w:fill="auto"/>
            <w:vAlign w:val="bottom"/>
          </w:tcPr>
          <w:p w14:paraId="491891B8" w14:textId="77777777" w:rsidR="00590FE1" w:rsidRPr="001D5327" w:rsidRDefault="00590FE1" w:rsidP="00403787">
            <w:pPr>
              <w:pStyle w:val="TableText"/>
              <w:spacing w:before="40" w:after="40"/>
              <w:jc w:val="right"/>
              <w:rPr>
                <w:color w:val="000000"/>
              </w:rPr>
            </w:pPr>
            <w:r w:rsidRPr="001D5327">
              <w:rPr>
                <w:rFonts w:cs="Calibri"/>
                <w:color w:val="000000"/>
                <w:szCs w:val="16"/>
              </w:rPr>
              <w:t>4.5</w:t>
            </w:r>
          </w:p>
        </w:tc>
      </w:tr>
      <w:tr w:rsidR="00590FE1" w:rsidRPr="001D5327" w14:paraId="2883007C" w14:textId="77777777" w:rsidTr="00403787">
        <w:tc>
          <w:tcPr>
            <w:tcW w:w="623" w:type="pct"/>
            <w:vMerge/>
            <w:tcBorders>
              <w:right w:val="nil"/>
            </w:tcBorders>
            <w:vAlign w:val="center"/>
          </w:tcPr>
          <w:p w14:paraId="32291E3C" w14:textId="77777777" w:rsidR="00590FE1" w:rsidRPr="001D5327" w:rsidRDefault="00590FE1" w:rsidP="00403787">
            <w:pPr>
              <w:pStyle w:val="TableText"/>
              <w:spacing w:before="40" w:after="40"/>
              <w:rPr>
                <w:color w:val="000000"/>
              </w:rPr>
            </w:pPr>
          </w:p>
        </w:tc>
        <w:tc>
          <w:tcPr>
            <w:tcW w:w="1129" w:type="pct"/>
            <w:tcBorders>
              <w:left w:val="nil"/>
              <w:right w:val="nil"/>
            </w:tcBorders>
            <w:shd w:val="clear" w:color="auto" w:fill="auto"/>
            <w:vAlign w:val="center"/>
          </w:tcPr>
          <w:p w14:paraId="6E79B385" w14:textId="77777777" w:rsidR="00590FE1" w:rsidRPr="001D5327" w:rsidRDefault="00590FE1" w:rsidP="00403787">
            <w:pPr>
              <w:pStyle w:val="TableText"/>
              <w:spacing w:before="40" w:after="40"/>
              <w:rPr>
                <w:color w:val="000000"/>
              </w:rPr>
            </w:pPr>
            <w:r w:rsidRPr="001D5327">
              <w:rPr>
                <w:rFonts w:cs="Calibri"/>
                <w:color w:val="000000"/>
                <w:szCs w:val="16"/>
              </w:rPr>
              <w:t xml:space="preserve">2024 (1990–2022) emissions estimate </w:t>
            </w:r>
            <w:r w:rsidRPr="001D5327">
              <w:rPr>
                <w:rFonts w:cs="Calibri"/>
                <w:i/>
                <w:iCs/>
                <w:color w:val="000000"/>
                <w:szCs w:val="16"/>
              </w:rPr>
              <w:t>with</w:t>
            </w:r>
            <w:r w:rsidRPr="001D5327">
              <w:rPr>
                <w:rFonts w:cs="Calibri"/>
                <w:color w:val="000000"/>
                <w:szCs w:val="16"/>
              </w:rPr>
              <w:t xml:space="preserve"> </w:t>
            </w:r>
            <w:r w:rsidRPr="001D5327">
              <w:rPr>
                <w:rFonts w:cs="Calibri"/>
                <w:i/>
                <w:iCs/>
                <w:color w:val="000000"/>
                <w:szCs w:val="16"/>
              </w:rPr>
              <w:t>improvement</w:t>
            </w:r>
          </w:p>
        </w:tc>
        <w:tc>
          <w:tcPr>
            <w:tcW w:w="499" w:type="pct"/>
            <w:tcBorders>
              <w:left w:val="nil"/>
              <w:right w:val="nil"/>
            </w:tcBorders>
            <w:shd w:val="clear" w:color="auto" w:fill="auto"/>
            <w:vAlign w:val="bottom"/>
          </w:tcPr>
          <w:p w14:paraId="4DE8D958" w14:textId="77777777" w:rsidR="00590FE1" w:rsidRPr="001D5327" w:rsidRDefault="00590FE1" w:rsidP="00403787">
            <w:pPr>
              <w:pStyle w:val="TableText"/>
              <w:spacing w:before="40" w:after="40"/>
              <w:jc w:val="right"/>
              <w:rPr>
                <w:color w:val="000000"/>
              </w:rPr>
            </w:pPr>
            <w:r w:rsidRPr="001D5327">
              <w:rPr>
                <w:rFonts w:cs="Calibri"/>
                <w:color w:val="000000"/>
                <w:szCs w:val="16"/>
              </w:rPr>
              <w:t>31,197.5</w:t>
            </w:r>
          </w:p>
        </w:tc>
        <w:tc>
          <w:tcPr>
            <w:tcW w:w="499" w:type="pct"/>
            <w:tcBorders>
              <w:left w:val="nil"/>
              <w:right w:val="nil"/>
            </w:tcBorders>
            <w:shd w:val="clear" w:color="auto" w:fill="auto"/>
            <w:vAlign w:val="bottom"/>
          </w:tcPr>
          <w:p w14:paraId="78E6F1B0" w14:textId="77777777" w:rsidR="00590FE1" w:rsidRPr="001D5327" w:rsidRDefault="00590FE1" w:rsidP="00403787">
            <w:pPr>
              <w:pStyle w:val="TableText"/>
              <w:spacing w:before="40" w:after="40"/>
              <w:jc w:val="right"/>
              <w:rPr>
                <w:color w:val="000000"/>
              </w:rPr>
            </w:pPr>
            <w:r w:rsidRPr="001D5327">
              <w:rPr>
                <w:rFonts w:cs="Calibri"/>
                <w:color w:val="000000"/>
                <w:szCs w:val="16"/>
              </w:rPr>
              <w:t>32,550.6</w:t>
            </w:r>
          </w:p>
        </w:tc>
        <w:tc>
          <w:tcPr>
            <w:tcW w:w="1083" w:type="pct"/>
            <w:tcBorders>
              <w:left w:val="nil"/>
              <w:right w:val="nil"/>
            </w:tcBorders>
            <w:shd w:val="clear" w:color="auto" w:fill="auto"/>
            <w:vAlign w:val="bottom"/>
          </w:tcPr>
          <w:p w14:paraId="4ED2DC48" w14:textId="77777777" w:rsidR="00590FE1" w:rsidRPr="001D5327" w:rsidRDefault="00590FE1" w:rsidP="00403787">
            <w:pPr>
              <w:pStyle w:val="TableText"/>
              <w:spacing w:before="40" w:after="40"/>
              <w:jc w:val="right"/>
              <w:rPr>
                <w:color w:val="000000"/>
              </w:rPr>
            </w:pPr>
            <w:r w:rsidRPr="001D5327">
              <w:rPr>
                <w:rFonts w:cs="Calibri"/>
                <w:color w:val="000000"/>
                <w:szCs w:val="16"/>
              </w:rPr>
              <w:t>1,353.1</w:t>
            </w:r>
          </w:p>
        </w:tc>
        <w:tc>
          <w:tcPr>
            <w:tcW w:w="1166" w:type="pct"/>
            <w:tcBorders>
              <w:left w:val="nil"/>
            </w:tcBorders>
            <w:shd w:val="clear" w:color="auto" w:fill="auto"/>
            <w:vAlign w:val="bottom"/>
          </w:tcPr>
          <w:p w14:paraId="0A598D00" w14:textId="77777777" w:rsidR="00590FE1" w:rsidRPr="001D5327" w:rsidRDefault="00590FE1" w:rsidP="00403787">
            <w:pPr>
              <w:pStyle w:val="TableText"/>
              <w:spacing w:before="40" w:after="40"/>
              <w:jc w:val="right"/>
              <w:rPr>
                <w:color w:val="000000"/>
              </w:rPr>
            </w:pPr>
            <w:r w:rsidRPr="001D5327">
              <w:rPr>
                <w:rFonts w:cs="Calibri"/>
                <w:color w:val="000000"/>
                <w:szCs w:val="16"/>
              </w:rPr>
              <w:t>4.3</w:t>
            </w:r>
          </w:p>
        </w:tc>
      </w:tr>
      <w:tr w:rsidR="00590FE1" w:rsidRPr="001D5327" w14:paraId="008D67AB" w14:textId="77777777" w:rsidTr="00403787">
        <w:tc>
          <w:tcPr>
            <w:tcW w:w="623" w:type="pct"/>
            <w:vMerge/>
            <w:tcBorders>
              <w:right w:val="nil"/>
            </w:tcBorders>
            <w:vAlign w:val="center"/>
          </w:tcPr>
          <w:p w14:paraId="44B65376" w14:textId="77777777" w:rsidR="00590FE1" w:rsidRPr="001D5327" w:rsidRDefault="00590FE1" w:rsidP="00403787">
            <w:pPr>
              <w:pStyle w:val="TableText"/>
              <w:spacing w:before="40" w:after="40"/>
              <w:rPr>
                <w:color w:val="000000"/>
              </w:rPr>
            </w:pPr>
          </w:p>
        </w:tc>
        <w:tc>
          <w:tcPr>
            <w:tcW w:w="1129" w:type="pct"/>
            <w:tcBorders>
              <w:left w:val="nil"/>
              <w:bottom w:val="single" w:sz="2" w:space="0" w:color="1B556B" w:themeColor="text2"/>
              <w:right w:val="nil"/>
            </w:tcBorders>
            <w:shd w:val="clear" w:color="auto" w:fill="auto"/>
            <w:vAlign w:val="center"/>
          </w:tcPr>
          <w:p w14:paraId="21ACBB79" w14:textId="77777777" w:rsidR="00590FE1" w:rsidRPr="001D5327" w:rsidRDefault="00590FE1" w:rsidP="00403787">
            <w:pPr>
              <w:pStyle w:val="TableText"/>
              <w:spacing w:before="40" w:after="40"/>
              <w:rPr>
                <w:color w:val="000000"/>
              </w:rPr>
            </w:pPr>
            <w:r w:rsidRPr="001D5327">
              <w:rPr>
                <w:rFonts w:cs="Calibri"/>
                <w:color w:val="000000"/>
                <w:szCs w:val="16"/>
              </w:rPr>
              <w:t>Difference in emissions estimates</w:t>
            </w:r>
          </w:p>
        </w:tc>
        <w:tc>
          <w:tcPr>
            <w:tcW w:w="499" w:type="pct"/>
            <w:tcBorders>
              <w:left w:val="nil"/>
              <w:bottom w:val="single" w:sz="2" w:space="0" w:color="1B556B" w:themeColor="text2"/>
              <w:right w:val="nil"/>
            </w:tcBorders>
            <w:shd w:val="clear" w:color="auto" w:fill="auto"/>
            <w:vAlign w:val="bottom"/>
          </w:tcPr>
          <w:p w14:paraId="7AA0D01E" w14:textId="7FC5FE7B"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15.0</w:t>
            </w:r>
          </w:p>
        </w:tc>
        <w:tc>
          <w:tcPr>
            <w:tcW w:w="499" w:type="pct"/>
            <w:tcBorders>
              <w:left w:val="nil"/>
              <w:bottom w:val="single" w:sz="2" w:space="0" w:color="1B556B" w:themeColor="text2"/>
              <w:right w:val="nil"/>
            </w:tcBorders>
            <w:shd w:val="clear" w:color="auto" w:fill="auto"/>
            <w:vAlign w:val="bottom"/>
          </w:tcPr>
          <w:p w14:paraId="065D13D3" w14:textId="20C5BBC4"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66.6</w:t>
            </w:r>
          </w:p>
        </w:tc>
        <w:tc>
          <w:tcPr>
            <w:tcW w:w="1083" w:type="pct"/>
            <w:tcBorders>
              <w:left w:val="nil"/>
              <w:bottom w:val="single" w:sz="2" w:space="0" w:color="1B556B" w:themeColor="text2"/>
              <w:right w:val="nil"/>
            </w:tcBorders>
            <w:shd w:val="clear" w:color="auto" w:fill="auto"/>
            <w:vAlign w:val="bottom"/>
          </w:tcPr>
          <w:p w14:paraId="3BCE421F"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166" w:type="pct"/>
            <w:tcBorders>
              <w:left w:val="nil"/>
            </w:tcBorders>
            <w:shd w:val="clear" w:color="auto" w:fill="auto"/>
            <w:vAlign w:val="bottom"/>
          </w:tcPr>
          <w:p w14:paraId="72CB6923"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r w:rsidR="00590FE1" w:rsidRPr="001D5327" w14:paraId="3A242273" w14:textId="77777777" w:rsidTr="00403787">
        <w:tc>
          <w:tcPr>
            <w:tcW w:w="623" w:type="pct"/>
            <w:vMerge/>
            <w:tcBorders>
              <w:right w:val="nil"/>
            </w:tcBorders>
            <w:vAlign w:val="center"/>
          </w:tcPr>
          <w:p w14:paraId="4BCEB9A7" w14:textId="77777777" w:rsidR="00590FE1" w:rsidRPr="001D5327" w:rsidRDefault="00590FE1" w:rsidP="00403787">
            <w:pPr>
              <w:pStyle w:val="TableText"/>
              <w:spacing w:before="40" w:after="40"/>
              <w:rPr>
                <w:color w:val="000000"/>
              </w:rPr>
            </w:pPr>
          </w:p>
        </w:tc>
        <w:tc>
          <w:tcPr>
            <w:tcW w:w="1129" w:type="pct"/>
            <w:tcBorders>
              <w:left w:val="nil"/>
              <w:right w:val="nil"/>
            </w:tcBorders>
            <w:shd w:val="clear" w:color="auto" w:fill="auto"/>
            <w:vAlign w:val="center"/>
          </w:tcPr>
          <w:p w14:paraId="54B50DCA" w14:textId="77777777" w:rsidR="00590FE1" w:rsidRPr="001D5327" w:rsidRDefault="00590FE1" w:rsidP="00403787">
            <w:pPr>
              <w:pStyle w:val="TableText"/>
              <w:spacing w:before="40" w:after="40"/>
              <w:rPr>
                <w:color w:val="000000"/>
              </w:rPr>
            </w:pPr>
            <w:r w:rsidRPr="001D5327">
              <w:rPr>
                <w:rFonts w:cs="Calibri"/>
                <w:color w:val="000000"/>
                <w:szCs w:val="16"/>
              </w:rPr>
              <w:t>Percentage difference in emissions estimates (%)</w:t>
            </w:r>
          </w:p>
        </w:tc>
        <w:tc>
          <w:tcPr>
            <w:tcW w:w="499" w:type="pct"/>
            <w:tcBorders>
              <w:left w:val="nil"/>
              <w:right w:val="nil"/>
            </w:tcBorders>
            <w:shd w:val="clear" w:color="auto" w:fill="auto"/>
            <w:vAlign w:val="bottom"/>
          </w:tcPr>
          <w:p w14:paraId="40DEE6AF" w14:textId="760DC37D"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0.05</w:t>
            </w:r>
          </w:p>
        </w:tc>
        <w:tc>
          <w:tcPr>
            <w:tcW w:w="499" w:type="pct"/>
            <w:tcBorders>
              <w:left w:val="nil"/>
              <w:right w:val="nil"/>
            </w:tcBorders>
            <w:shd w:val="clear" w:color="auto" w:fill="auto"/>
            <w:vAlign w:val="bottom"/>
          </w:tcPr>
          <w:p w14:paraId="42449B6B" w14:textId="00B9D3A7"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0.20</w:t>
            </w:r>
          </w:p>
        </w:tc>
        <w:tc>
          <w:tcPr>
            <w:tcW w:w="1083" w:type="pct"/>
            <w:tcBorders>
              <w:left w:val="nil"/>
              <w:right w:val="nil"/>
            </w:tcBorders>
            <w:shd w:val="clear" w:color="auto" w:fill="auto"/>
            <w:vAlign w:val="bottom"/>
          </w:tcPr>
          <w:p w14:paraId="5D0B3B86"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166" w:type="pct"/>
            <w:tcBorders>
              <w:left w:val="nil"/>
            </w:tcBorders>
            <w:shd w:val="clear" w:color="auto" w:fill="auto"/>
            <w:vAlign w:val="bottom"/>
          </w:tcPr>
          <w:p w14:paraId="12F773DA"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bl>
    <w:p w14:paraId="174A6EB8" w14:textId="77777777" w:rsidR="00590FE1" w:rsidRPr="001D5327" w:rsidRDefault="00590FE1" w:rsidP="00590FE1">
      <w:pPr>
        <w:pStyle w:val="Noteundertable"/>
        <w:rPr>
          <w:rFonts w:cs="Calibri"/>
        </w:rPr>
      </w:pPr>
      <w:r w:rsidRPr="001D5327">
        <w:rPr>
          <w:rFonts w:cs="Calibri"/>
          <w:b/>
          <w:bCs/>
        </w:rPr>
        <w:t xml:space="preserve">Note: </w:t>
      </w:r>
      <w:r w:rsidRPr="001D5327">
        <w:rPr>
          <w:rFonts w:cs="Calibri"/>
          <w:b/>
          <w:bCs/>
        </w:rPr>
        <w:tab/>
      </w:r>
      <w:r w:rsidRPr="001D5327">
        <w:rPr>
          <w:rFonts w:cs="Calibri"/>
        </w:rPr>
        <w:t>Columns may not sum due to rounding. Percentages presented are calculated from unrounded values.</w:t>
      </w:r>
    </w:p>
    <w:p w14:paraId="1D8653A0" w14:textId="77777777" w:rsidR="00590FE1" w:rsidRPr="001D5327" w:rsidRDefault="00590FE1" w:rsidP="00590FE1">
      <w:pPr>
        <w:pStyle w:val="Heading5"/>
      </w:pPr>
      <w:r w:rsidRPr="001D5327">
        <w:t>Updating emissions calculations for pigs</w:t>
      </w:r>
    </w:p>
    <w:p w14:paraId="4542DF3E" w14:textId="77777777" w:rsidR="00590FE1" w:rsidRPr="001D5327" w:rsidRDefault="00590FE1" w:rsidP="00590FE1">
      <w:pPr>
        <w:pStyle w:val="BodyText"/>
      </w:pPr>
      <w:r w:rsidRPr="001D5327">
        <w:t>Emissions estimates in all categories relating to pigs have been improved by updates to the emissions calculations.</w:t>
      </w:r>
    </w:p>
    <w:p w14:paraId="317B1741" w14:textId="77777777" w:rsidR="00590FE1" w:rsidRPr="001D5327" w:rsidRDefault="00590FE1" w:rsidP="00590FE1">
      <w:pPr>
        <w:pStyle w:val="BodyText"/>
      </w:pPr>
      <w:r w:rsidRPr="001D5327">
        <w:t>The 2024 inventory submission used New Zealand-specific emission factors for pigs developed by Hill (2012), in conjunction with default data provided by the IPCC. The methodology was based on a 2009 survey of New Zealand pig farmers. Changes to the commercial New Zealand pork industry have occurred since then, such as improvements in genetic selection, animal housing, feed, husbandry and herd management.</w:t>
      </w:r>
    </w:p>
    <w:p w14:paraId="5A37E843" w14:textId="77777777" w:rsidR="00590FE1" w:rsidRPr="001D5327" w:rsidRDefault="00590FE1" w:rsidP="00590FE1">
      <w:pPr>
        <w:pStyle w:val="BodyText"/>
      </w:pPr>
      <w:r w:rsidRPr="001D5327">
        <w:t>Recent research carried out by NZ Pork (Ritchie, 2024) resurveyed commercial pig farmers in New Zealand to gather current data on relevant industry characteristics and practices. The survey was conducted in 2022. This has led to several recommendations for updates to emissions factors and other relevant data.</w:t>
      </w:r>
    </w:p>
    <w:p w14:paraId="2DD62F67" w14:textId="77777777" w:rsidR="00590FE1" w:rsidRPr="001D5327" w:rsidRDefault="00590FE1" w:rsidP="00590FE1">
      <w:pPr>
        <w:pStyle w:val="BodyText"/>
      </w:pPr>
      <w:r w:rsidRPr="001D5327">
        <w:t>The following recommendations from Ritchie (2024) were implemented in the 2025 inventory submission.</w:t>
      </w:r>
    </w:p>
    <w:p w14:paraId="0CE54CD3" w14:textId="77777777" w:rsidR="00590FE1" w:rsidRPr="001D5327" w:rsidRDefault="00590FE1" w:rsidP="00590FE1">
      <w:pPr>
        <w:pStyle w:val="Bullet"/>
      </w:pPr>
      <w:r w:rsidRPr="001D5327">
        <w:t>Enhanced Tier 1 methodology for pigs that differentiates between breeding and growing pigs in the calculation of CH</w:t>
      </w:r>
      <w:r w:rsidRPr="001D5327">
        <w:rPr>
          <w:vertAlign w:val="subscript"/>
        </w:rPr>
        <w:t>4</w:t>
      </w:r>
      <w:r w:rsidRPr="001D5327">
        <w:t xml:space="preserve"> emissions and nitrogen excretion.</w:t>
      </w:r>
    </w:p>
    <w:p w14:paraId="53C0FC4A" w14:textId="77777777" w:rsidR="00590FE1" w:rsidRPr="001D5327" w:rsidRDefault="00590FE1" w:rsidP="00590FE1">
      <w:pPr>
        <w:pStyle w:val="Bullet"/>
      </w:pPr>
      <w:r w:rsidRPr="001D5327">
        <w:rPr>
          <w:bCs/>
        </w:rPr>
        <w:t>Updated</w:t>
      </w:r>
      <w:r w:rsidRPr="001D5327">
        <w:t xml:space="preserve"> enteric fermentation emission factors for pigs.</w:t>
      </w:r>
    </w:p>
    <w:p w14:paraId="2D9B8138" w14:textId="77777777" w:rsidR="00590FE1" w:rsidRPr="001D5327" w:rsidRDefault="00590FE1" w:rsidP="00590FE1">
      <w:pPr>
        <w:pStyle w:val="Bullet"/>
      </w:pPr>
      <w:r w:rsidRPr="001D5327">
        <w:rPr>
          <w:bCs/>
        </w:rPr>
        <w:t>Updated</w:t>
      </w:r>
      <w:r w:rsidRPr="001D5327">
        <w:t xml:space="preserve"> emission factors and proportions of animal waste sent to different management systems for calculating CH</w:t>
      </w:r>
      <w:r w:rsidRPr="001D5327">
        <w:rPr>
          <w:vertAlign w:val="subscript"/>
        </w:rPr>
        <w:t>4</w:t>
      </w:r>
      <w:r w:rsidRPr="001D5327">
        <w:t xml:space="preserve"> emissions from manure management.</w:t>
      </w:r>
    </w:p>
    <w:p w14:paraId="41B90F1F" w14:textId="77777777" w:rsidR="00590FE1" w:rsidRPr="001D5327" w:rsidRDefault="00590FE1" w:rsidP="00590FE1">
      <w:pPr>
        <w:pStyle w:val="Bullet"/>
      </w:pPr>
      <w:r w:rsidRPr="001D5327">
        <w:t>Updated emission factors and proportions of nitrogen sent to different management systems used in the calculation of N</w:t>
      </w:r>
      <w:r w:rsidRPr="001D5327">
        <w:rPr>
          <w:vertAlign w:val="subscript"/>
        </w:rPr>
        <w:t>2</w:t>
      </w:r>
      <w:r w:rsidRPr="001D5327">
        <w:t>O emissions.</w:t>
      </w:r>
    </w:p>
    <w:p w14:paraId="7385E091" w14:textId="77777777" w:rsidR="00590FE1" w:rsidRPr="001D5327" w:rsidRDefault="00590FE1" w:rsidP="00590FE1">
      <w:pPr>
        <w:pStyle w:val="BodyText"/>
      </w:pPr>
      <w:r w:rsidRPr="001D5327">
        <w:lastRenderedPageBreak/>
        <w:t xml:space="preserve">The report used a two-part process to update the enteric </w:t>
      </w:r>
      <w:r w:rsidRPr="001D5327">
        <w:rPr>
          <w:rFonts w:cs="Arial"/>
        </w:rPr>
        <w:t>CH</w:t>
      </w:r>
      <w:r w:rsidRPr="001D5327">
        <w:rPr>
          <w:rFonts w:cs="Arial"/>
          <w:vertAlign w:val="subscript"/>
        </w:rPr>
        <w:t>4</w:t>
      </w:r>
      <w:r w:rsidRPr="001D5327">
        <w:rPr>
          <w:rFonts w:cs="Arial"/>
        </w:rPr>
        <w:t xml:space="preserve"> </w:t>
      </w:r>
      <w:r w:rsidRPr="001D5327">
        <w:t>emission factor used in the Tier 1 inventory calculations. First, calculating GEI from pig diets, and secondly using the Tier 2 IPCC equation (equation 10.21, IPCC, 2006) and the GEI value to recalculate the emissions factor for breeding pigs and growing pigs. The resulting emission factors are in table 5.2.4. The previous country-specific emission factor for enteric fermentation was developed using a similar approach. Hill (2012) also reported separate emission factors for breeding and growing pigs, but the weighted average for the whole population was used (1.06 kg CH</w:t>
      </w:r>
      <w:r w:rsidRPr="001D5327">
        <w:rPr>
          <w:vertAlign w:val="subscript"/>
        </w:rPr>
        <w:t>4</w:t>
      </w:r>
      <w:r w:rsidRPr="001D5327">
        <w:t xml:space="preserve"> head</w:t>
      </w:r>
      <w:r w:rsidRPr="001D5327">
        <w:rPr>
          <w:vertAlign w:val="superscript"/>
        </w:rPr>
        <w:t>-1</w:t>
      </w:r>
      <w:r w:rsidRPr="001D5327">
        <w:t xml:space="preserve"> year</w:t>
      </w:r>
      <w:r w:rsidRPr="001D5327">
        <w:rPr>
          <w:vertAlign w:val="superscript"/>
        </w:rPr>
        <w:t>-1</w:t>
      </w:r>
      <w:r w:rsidRPr="001D5327">
        <w:t xml:space="preserve">). </w:t>
      </w:r>
    </w:p>
    <w:p w14:paraId="7204FF60" w14:textId="77777777" w:rsidR="00590FE1" w:rsidRPr="001D5327" w:rsidRDefault="00590FE1" w:rsidP="00590FE1">
      <w:pPr>
        <w:pStyle w:val="BodyText"/>
      </w:pPr>
      <w:r w:rsidRPr="001D5327">
        <w:t>For years 2010 to 2021, the enteric fermentation emission factor values are linearly interpolated between those reported in Hill (2012) and Ritchie (2024), to reflect changing GEI (Ritchie, 2024).</w:t>
      </w:r>
    </w:p>
    <w:p w14:paraId="44C60ADF" w14:textId="77777777" w:rsidR="00590FE1" w:rsidRPr="001D5327" w:rsidRDefault="00590FE1" w:rsidP="00590FE1">
      <w:pPr>
        <w:pStyle w:val="BodyText"/>
      </w:pPr>
      <w:r w:rsidRPr="001D5327">
        <w:t xml:space="preserve">Implementing these changes caused emissions from the </w:t>
      </w:r>
      <w:r w:rsidRPr="001D5327">
        <w:rPr>
          <w:i/>
          <w:iCs/>
        </w:rPr>
        <w:t>Enteric fermentation</w:t>
      </w:r>
      <w:r w:rsidRPr="001D5327">
        <w:t xml:space="preserve"> category to decrease by 0.3 kt CO</w:t>
      </w:r>
      <w:r w:rsidRPr="001D5327">
        <w:rPr>
          <w:vertAlign w:val="subscript"/>
        </w:rPr>
        <w:t>2</w:t>
      </w:r>
      <w:r w:rsidRPr="001D5327">
        <w:t>-e in 1990 and 0.1 kt CO</w:t>
      </w:r>
      <w:r w:rsidRPr="001D5327">
        <w:rPr>
          <w:vertAlign w:val="subscript"/>
        </w:rPr>
        <w:t>2</w:t>
      </w:r>
      <w:r w:rsidRPr="001D5327">
        <w:t>-e in 2022 (see table 5.2.9).</w:t>
      </w:r>
    </w:p>
    <w:p w14:paraId="7C9BF6BB" w14:textId="77777777" w:rsidR="00590FE1" w:rsidRPr="001D5327" w:rsidRDefault="00590FE1" w:rsidP="00590FE1">
      <w:pPr>
        <w:pStyle w:val="Table"/>
        <w:rPr>
          <w:rFonts w:cs="Calibri"/>
          <w:i/>
        </w:rPr>
      </w:pPr>
      <w:bookmarkStart w:id="860" w:name="_Toc160114445"/>
      <w:bookmarkStart w:id="861" w:name="_Toc164153841"/>
      <w:bookmarkStart w:id="862" w:name="_Toc194241709"/>
      <w:r w:rsidRPr="001D5327">
        <w:rPr>
          <w:rFonts w:cs="Calibri"/>
        </w:rPr>
        <w:t>Table 5.2.9</w:t>
      </w:r>
      <w:r w:rsidRPr="001D5327">
        <w:rPr>
          <w:rFonts w:cs="Calibri"/>
        </w:rPr>
        <w:tab/>
      </w:r>
      <w:bookmarkEnd w:id="860"/>
      <w:bookmarkEnd w:id="861"/>
      <w:r w:rsidRPr="001D5327">
        <w:rPr>
          <w:rFonts w:cs="Calibri"/>
        </w:rPr>
        <w:t>Comparison emissions from </w:t>
      </w:r>
      <w:r w:rsidRPr="001D5327">
        <w:rPr>
          <w:rFonts w:cs="Calibri"/>
          <w:i/>
          <w:iCs/>
        </w:rPr>
        <w:t xml:space="preserve">Enteric fermentation </w:t>
      </w:r>
      <w:r w:rsidRPr="001D5327">
        <w:rPr>
          <w:rFonts w:cs="Calibri"/>
        </w:rPr>
        <w:t>using the updated pig calculations</w:t>
      </w:r>
      <w:bookmarkEnd w:id="862"/>
    </w:p>
    <w:tbl>
      <w:tblPr>
        <w:tblW w:w="8505" w:type="dxa"/>
        <w:tblBorders>
          <w:top w:val="single" w:sz="2" w:space="0" w:color="1B556B" w:themeColor="text2"/>
          <w:bottom w:val="single" w:sz="2" w:space="0" w:color="1B556B" w:themeColor="text2"/>
          <w:insideH w:val="single" w:sz="2" w:space="0" w:color="1B556B" w:themeColor="text2"/>
        </w:tblBorders>
        <w:tblCellMar>
          <w:left w:w="85" w:type="dxa"/>
          <w:right w:w="85" w:type="dxa"/>
        </w:tblCellMar>
        <w:tblLook w:val="04A0" w:firstRow="1" w:lastRow="0" w:firstColumn="1" w:lastColumn="0" w:noHBand="0" w:noVBand="1"/>
      </w:tblPr>
      <w:tblGrid>
        <w:gridCol w:w="1066"/>
        <w:gridCol w:w="1727"/>
        <w:gridCol w:w="973"/>
        <w:gridCol w:w="975"/>
        <w:gridCol w:w="1813"/>
        <w:gridCol w:w="1951"/>
      </w:tblGrid>
      <w:tr w:rsidR="00590FE1" w:rsidRPr="001D5327" w14:paraId="3FBF1CE0" w14:textId="77777777" w:rsidTr="00403787">
        <w:tc>
          <w:tcPr>
            <w:tcW w:w="627" w:type="pct"/>
            <w:shd w:val="clear" w:color="000000" w:fill="1B556B" w:themeFill="text2"/>
            <w:vAlign w:val="bottom"/>
          </w:tcPr>
          <w:p w14:paraId="06556F74" w14:textId="77777777" w:rsidR="00590FE1" w:rsidRPr="001D5327" w:rsidRDefault="00590FE1" w:rsidP="00403787">
            <w:pPr>
              <w:pStyle w:val="TableText"/>
              <w:spacing w:before="40" w:after="40"/>
              <w:rPr>
                <w:b/>
                <w:bCs/>
                <w:color w:val="FFFFFF" w:themeColor="background1"/>
              </w:rPr>
            </w:pPr>
          </w:p>
        </w:tc>
        <w:tc>
          <w:tcPr>
            <w:tcW w:w="1015" w:type="pct"/>
            <w:shd w:val="clear" w:color="auto" w:fill="1B556B"/>
            <w:vAlign w:val="bottom"/>
            <w:hideMark/>
          </w:tcPr>
          <w:p w14:paraId="16A17103" w14:textId="77777777" w:rsidR="00590FE1" w:rsidRPr="001D5327" w:rsidRDefault="00590FE1" w:rsidP="00403787">
            <w:pPr>
              <w:pStyle w:val="TableText"/>
              <w:spacing w:before="40" w:after="40"/>
              <w:rPr>
                <w:b/>
                <w:bCs/>
                <w:color w:val="FFFFFF" w:themeColor="background1"/>
              </w:rPr>
            </w:pPr>
            <w:r w:rsidRPr="001D5327">
              <w:rPr>
                <w:rFonts w:cs="Calibri"/>
                <w:color w:val="000000"/>
                <w:sz w:val="20"/>
                <w:szCs w:val="20"/>
              </w:rPr>
              <w:t> </w:t>
            </w:r>
          </w:p>
        </w:tc>
        <w:tc>
          <w:tcPr>
            <w:tcW w:w="572" w:type="pct"/>
            <w:shd w:val="clear" w:color="000000" w:fill="1B556B" w:themeFill="text2"/>
            <w:vAlign w:val="bottom"/>
            <w:hideMark/>
          </w:tcPr>
          <w:p w14:paraId="4A793896"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573" w:type="pct"/>
            <w:shd w:val="clear" w:color="000000" w:fill="1B556B" w:themeFill="text2"/>
            <w:vAlign w:val="bottom"/>
            <w:hideMark/>
          </w:tcPr>
          <w:p w14:paraId="277CAAAF"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066" w:type="pct"/>
            <w:shd w:val="clear" w:color="000000" w:fill="1B556B" w:themeFill="text2"/>
            <w:vAlign w:val="bottom"/>
            <w:hideMark/>
          </w:tcPr>
          <w:p w14:paraId="74ACCD65"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147" w:type="pct"/>
            <w:shd w:val="clear" w:color="000000" w:fill="1B556B" w:themeFill="text2"/>
            <w:vAlign w:val="bottom"/>
            <w:hideMark/>
          </w:tcPr>
          <w:p w14:paraId="24508305"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Percentage change in emission outputs between 1990 and 2022 (%)</w:t>
            </w:r>
          </w:p>
        </w:tc>
      </w:tr>
      <w:tr w:rsidR="00590FE1" w:rsidRPr="001D5327" w14:paraId="687E6F3A" w14:textId="77777777" w:rsidTr="00403787">
        <w:tc>
          <w:tcPr>
            <w:tcW w:w="627" w:type="pct"/>
            <w:vMerge w:val="restart"/>
            <w:shd w:val="clear" w:color="auto" w:fill="auto"/>
            <w:vAlign w:val="center"/>
            <w:hideMark/>
          </w:tcPr>
          <w:p w14:paraId="21C390D9" w14:textId="77777777" w:rsidR="00590FE1" w:rsidRPr="001D5327" w:rsidRDefault="00590FE1" w:rsidP="00403787">
            <w:pPr>
              <w:pStyle w:val="TableText"/>
              <w:spacing w:before="40" w:after="40"/>
              <w:rPr>
                <w:color w:val="000000"/>
              </w:rPr>
            </w:pPr>
            <w:r w:rsidRPr="001D5327">
              <w:rPr>
                <w:rFonts w:cs="Calibri"/>
                <w:color w:val="000000"/>
                <w:szCs w:val="16"/>
              </w:rPr>
              <w:t xml:space="preserve">Total emissions from </w:t>
            </w:r>
            <w:r w:rsidRPr="001D5327">
              <w:rPr>
                <w:rFonts w:cs="Calibri"/>
                <w:i/>
                <w:color w:val="000000"/>
                <w:szCs w:val="16"/>
              </w:rPr>
              <w:t>Enteric fermentation</w:t>
            </w:r>
          </w:p>
        </w:tc>
        <w:tc>
          <w:tcPr>
            <w:tcW w:w="1015" w:type="pct"/>
            <w:shd w:val="clear" w:color="auto" w:fill="auto"/>
            <w:vAlign w:val="center"/>
            <w:hideMark/>
          </w:tcPr>
          <w:p w14:paraId="669895A5" w14:textId="77777777" w:rsidR="00590FE1" w:rsidRPr="001D5327" w:rsidRDefault="00590FE1" w:rsidP="00403787">
            <w:pPr>
              <w:pStyle w:val="TableText"/>
              <w:spacing w:before="40" w:after="40"/>
              <w:rPr>
                <w:color w:val="000000"/>
              </w:rPr>
            </w:pPr>
            <w:r w:rsidRPr="001D5327">
              <w:rPr>
                <w:rFonts w:cs="Calibri"/>
                <w:color w:val="000000"/>
                <w:szCs w:val="16"/>
              </w:rPr>
              <w:t>2024 (1990–2022) emissions estimate</w:t>
            </w:r>
          </w:p>
        </w:tc>
        <w:tc>
          <w:tcPr>
            <w:tcW w:w="572" w:type="pct"/>
            <w:shd w:val="clear" w:color="auto" w:fill="auto"/>
            <w:vAlign w:val="bottom"/>
            <w:hideMark/>
          </w:tcPr>
          <w:p w14:paraId="06B1B95B" w14:textId="77777777" w:rsidR="00590FE1" w:rsidRPr="001D5327" w:rsidRDefault="00590FE1" w:rsidP="00403787">
            <w:pPr>
              <w:pStyle w:val="TableText"/>
              <w:spacing w:before="40" w:after="40"/>
              <w:jc w:val="right"/>
              <w:rPr>
                <w:color w:val="000000"/>
              </w:rPr>
            </w:pPr>
            <w:r w:rsidRPr="001D5327">
              <w:rPr>
                <w:rFonts w:cs="Calibri"/>
                <w:color w:val="000000"/>
                <w:szCs w:val="16"/>
              </w:rPr>
              <w:t>31,212.5</w:t>
            </w:r>
          </w:p>
        </w:tc>
        <w:tc>
          <w:tcPr>
            <w:tcW w:w="573" w:type="pct"/>
            <w:shd w:val="clear" w:color="auto" w:fill="auto"/>
            <w:vAlign w:val="bottom"/>
            <w:hideMark/>
          </w:tcPr>
          <w:p w14:paraId="6B208670" w14:textId="77777777" w:rsidR="00590FE1" w:rsidRPr="001D5327" w:rsidRDefault="00590FE1" w:rsidP="00403787">
            <w:pPr>
              <w:pStyle w:val="TableText"/>
              <w:spacing w:before="40" w:after="40"/>
              <w:jc w:val="right"/>
              <w:rPr>
                <w:color w:val="000000"/>
              </w:rPr>
            </w:pPr>
            <w:r w:rsidRPr="001D5327">
              <w:rPr>
                <w:rFonts w:cs="Calibri"/>
                <w:color w:val="000000"/>
                <w:szCs w:val="16"/>
              </w:rPr>
              <w:t>32,617.2</w:t>
            </w:r>
          </w:p>
        </w:tc>
        <w:tc>
          <w:tcPr>
            <w:tcW w:w="1066" w:type="pct"/>
            <w:shd w:val="clear" w:color="auto" w:fill="auto"/>
            <w:vAlign w:val="bottom"/>
            <w:hideMark/>
          </w:tcPr>
          <w:p w14:paraId="59D2613C" w14:textId="77777777" w:rsidR="00590FE1" w:rsidRPr="001D5327" w:rsidRDefault="00590FE1" w:rsidP="00403787">
            <w:pPr>
              <w:pStyle w:val="TableText"/>
              <w:spacing w:before="40" w:after="40"/>
              <w:jc w:val="right"/>
              <w:rPr>
                <w:color w:val="000000"/>
              </w:rPr>
            </w:pPr>
            <w:r w:rsidRPr="001D5327">
              <w:rPr>
                <w:rFonts w:cs="Calibri"/>
                <w:color w:val="000000"/>
                <w:szCs w:val="16"/>
              </w:rPr>
              <w:t>1,404.7</w:t>
            </w:r>
          </w:p>
        </w:tc>
        <w:tc>
          <w:tcPr>
            <w:tcW w:w="1147" w:type="pct"/>
            <w:shd w:val="clear" w:color="auto" w:fill="auto"/>
            <w:vAlign w:val="bottom"/>
            <w:hideMark/>
          </w:tcPr>
          <w:p w14:paraId="76E92006" w14:textId="77777777" w:rsidR="00590FE1" w:rsidRPr="001D5327" w:rsidRDefault="00590FE1" w:rsidP="00403787">
            <w:pPr>
              <w:pStyle w:val="TableText"/>
              <w:spacing w:before="40" w:after="40"/>
              <w:jc w:val="right"/>
              <w:rPr>
                <w:color w:val="000000"/>
              </w:rPr>
            </w:pPr>
            <w:r w:rsidRPr="001D5327">
              <w:rPr>
                <w:rFonts w:cs="Calibri"/>
                <w:color w:val="000000"/>
                <w:szCs w:val="16"/>
              </w:rPr>
              <w:t>4.5</w:t>
            </w:r>
          </w:p>
        </w:tc>
      </w:tr>
      <w:tr w:rsidR="00590FE1" w:rsidRPr="001D5327" w14:paraId="37073884" w14:textId="77777777" w:rsidTr="00403787">
        <w:tc>
          <w:tcPr>
            <w:tcW w:w="627" w:type="pct"/>
            <w:vMerge/>
            <w:vAlign w:val="center"/>
            <w:hideMark/>
          </w:tcPr>
          <w:p w14:paraId="557DF762" w14:textId="77777777" w:rsidR="00590FE1" w:rsidRPr="001D5327" w:rsidRDefault="00590FE1" w:rsidP="00403787">
            <w:pPr>
              <w:pStyle w:val="TableText"/>
              <w:spacing w:before="40" w:after="40"/>
              <w:rPr>
                <w:color w:val="000000"/>
              </w:rPr>
            </w:pPr>
          </w:p>
        </w:tc>
        <w:tc>
          <w:tcPr>
            <w:tcW w:w="1015" w:type="pct"/>
            <w:shd w:val="clear" w:color="auto" w:fill="auto"/>
            <w:vAlign w:val="center"/>
            <w:hideMark/>
          </w:tcPr>
          <w:p w14:paraId="5C885958" w14:textId="77777777" w:rsidR="00590FE1" w:rsidRPr="001D5327" w:rsidRDefault="00590FE1" w:rsidP="00403787">
            <w:pPr>
              <w:pStyle w:val="TableText"/>
              <w:spacing w:before="40" w:after="40"/>
              <w:rPr>
                <w:color w:val="000000"/>
              </w:rPr>
            </w:pPr>
            <w:r w:rsidRPr="001D5327">
              <w:rPr>
                <w:rFonts w:cs="Calibri"/>
                <w:color w:val="000000"/>
                <w:szCs w:val="16"/>
              </w:rPr>
              <w:t xml:space="preserve">2024 (1990–2022) emissions estimate </w:t>
            </w:r>
            <w:r w:rsidRPr="001D5327">
              <w:rPr>
                <w:rFonts w:cs="Calibri"/>
                <w:i/>
                <w:iCs/>
                <w:color w:val="000000"/>
                <w:szCs w:val="16"/>
              </w:rPr>
              <w:t>with</w:t>
            </w:r>
            <w:r w:rsidRPr="001D5327">
              <w:rPr>
                <w:rFonts w:cs="Calibri"/>
                <w:color w:val="000000"/>
                <w:szCs w:val="16"/>
              </w:rPr>
              <w:t xml:space="preserve"> </w:t>
            </w:r>
            <w:r w:rsidRPr="001D5327">
              <w:rPr>
                <w:rFonts w:cs="Calibri"/>
                <w:i/>
                <w:iCs/>
                <w:color w:val="000000"/>
                <w:szCs w:val="16"/>
              </w:rPr>
              <w:t>improvement</w:t>
            </w:r>
          </w:p>
        </w:tc>
        <w:tc>
          <w:tcPr>
            <w:tcW w:w="572" w:type="pct"/>
            <w:shd w:val="clear" w:color="auto" w:fill="auto"/>
            <w:vAlign w:val="bottom"/>
            <w:hideMark/>
          </w:tcPr>
          <w:p w14:paraId="75D870A3" w14:textId="77777777" w:rsidR="00590FE1" w:rsidRPr="001D5327" w:rsidRDefault="00590FE1" w:rsidP="00403787">
            <w:pPr>
              <w:pStyle w:val="TableText"/>
              <w:spacing w:before="40" w:after="40"/>
              <w:jc w:val="right"/>
              <w:rPr>
                <w:color w:val="000000"/>
              </w:rPr>
            </w:pPr>
            <w:r w:rsidRPr="001D5327">
              <w:rPr>
                <w:rFonts w:cs="Calibri"/>
                <w:color w:val="000000"/>
                <w:szCs w:val="16"/>
              </w:rPr>
              <w:t>31,212.2</w:t>
            </w:r>
          </w:p>
        </w:tc>
        <w:tc>
          <w:tcPr>
            <w:tcW w:w="573" w:type="pct"/>
            <w:shd w:val="clear" w:color="auto" w:fill="auto"/>
            <w:vAlign w:val="bottom"/>
            <w:hideMark/>
          </w:tcPr>
          <w:p w14:paraId="0B661E18" w14:textId="77777777" w:rsidR="00590FE1" w:rsidRPr="001D5327" w:rsidRDefault="00590FE1" w:rsidP="00403787">
            <w:pPr>
              <w:pStyle w:val="TableText"/>
              <w:spacing w:before="40" w:after="40"/>
              <w:jc w:val="right"/>
              <w:rPr>
                <w:color w:val="000000"/>
              </w:rPr>
            </w:pPr>
            <w:r w:rsidRPr="001D5327">
              <w:rPr>
                <w:rFonts w:cs="Calibri"/>
                <w:color w:val="000000"/>
                <w:szCs w:val="16"/>
              </w:rPr>
              <w:t>32,617.1</w:t>
            </w:r>
          </w:p>
        </w:tc>
        <w:tc>
          <w:tcPr>
            <w:tcW w:w="1066" w:type="pct"/>
            <w:shd w:val="clear" w:color="auto" w:fill="auto"/>
            <w:vAlign w:val="bottom"/>
            <w:hideMark/>
          </w:tcPr>
          <w:p w14:paraId="679D4260" w14:textId="77777777" w:rsidR="00590FE1" w:rsidRPr="001D5327" w:rsidRDefault="00590FE1" w:rsidP="00403787">
            <w:pPr>
              <w:pStyle w:val="TableText"/>
              <w:spacing w:before="40" w:after="40"/>
              <w:jc w:val="right"/>
              <w:rPr>
                <w:color w:val="000000"/>
              </w:rPr>
            </w:pPr>
            <w:r w:rsidRPr="001D5327">
              <w:rPr>
                <w:rFonts w:cs="Calibri"/>
                <w:color w:val="000000"/>
                <w:szCs w:val="16"/>
              </w:rPr>
              <w:t>1,404.8</w:t>
            </w:r>
          </w:p>
        </w:tc>
        <w:tc>
          <w:tcPr>
            <w:tcW w:w="1147" w:type="pct"/>
            <w:shd w:val="clear" w:color="auto" w:fill="auto"/>
            <w:vAlign w:val="bottom"/>
            <w:hideMark/>
          </w:tcPr>
          <w:p w14:paraId="17085DE8" w14:textId="77777777" w:rsidR="00590FE1" w:rsidRPr="001D5327" w:rsidRDefault="00590FE1" w:rsidP="00403787">
            <w:pPr>
              <w:pStyle w:val="TableText"/>
              <w:spacing w:before="40" w:after="40"/>
              <w:jc w:val="right"/>
              <w:rPr>
                <w:color w:val="000000"/>
              </w:rPr>
            </w:pPr>
            <w:r w:rsidRPr="001D5327">
              <w:rPr>
                <w:rFonts w:cs="Calibri"/>
                <w:color w:val="000000"/>
                <w:szCs w:val="16"/>
              </w:rPr>
              <w:t>4.5</w:t>
            </w:r>
          </w:p>
        </w:tc>
      </w:tr>
      <w:tr w:rsidR="00590FE1" w:rsidRPr="001D5327" w14:paraId="4CC80DC7" w14:textId="77777777" w:rsidTr="00403787">
        <w:tc>
          <w:tcPr>
            <w:tcW w:w="627" w:type="pct"/>
            <w:vMerge/>
            <w:vAlign w:val="center"/>
            <w:hideMark/>
          </w:tcPr>
          <w:p w14:paraId="2B0FF260" w14:textId="77777777" w:rsidR="00590FE1" w:rsidRPr="001D5327" w:rsidRDefault="00590FE1" w:rsidP="00403787">
            <w:pPr>
              <w:pStyle w:val="TableText"/>
              <w:spacing w:before="40" w:after="40"/>
              <w:rPr>
                <w:color w:val="000000"/>
              </w:rPr>
            </w:pPr>
          </w:p>
        </w:tc>
        <w:tc>
          <w:tcPr>
            <w:tcW w:w="1015" w:type="pct"/>
            <w:shd w:val="clear" w:color="auto" w:fill="auto"/>
            <w:vAlign w:val="center"/>
            <w:hideMark/>
          </w:tcPr>
          <w:p w14:paraId="1DD21F39" w14:textId="77777777" w:rsidR="00590FE1" w:rsidRPr="001D5327" w:rsidRDefault="00590FE1" w:rsidP="00403787">
            <w:pPr>
              <w:pStyle w:val="TableText"/>
              <w:spacing w:before="40" w:after="40"/>
              <w:rPr>
                <w:color w:val="000000"/>
              </w:rPr>
            </w:pPr>
            <w:r w:rsidRPr="001D5327">
              <w:rPr>
                <w:rFonts w:cs="Calibri"/>
                <w:color w:val="000000"/>
                <w:szCs w:val="16"/>
              </w:rPr>
              <w:t>Difference in emissions estimates</w:t>
            </w:r>
          </w:p>
        </w:tc>
        <w:tc>
          <w:tcPr>
            <w:tcW w:w="572" w:type="pct"/>
            <w:shd w:val="clear" w:color="auto" w:fill="auto"/>
            <w:vAlign w:val="bottom"/>
            <w:hideMark/>
          </w:tcPr>
          <w:p w14:paraId="21049916" w14:textId="4169B61B"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0.3</w:t>
            </w:r>
          </w:p>
        </w:tc>
        <w:tc>
          <w:tcPr>
            <w:tcW w:w="573" w:type="pct"/>
            <w:shd w:val="clear" w:color="auto" w:fill="auto"/>
            <w:vAlign w:val="bottom"/>
            <w:hideMark/>
          </w:tcPr>
          <w:p w14:paraId="4871B07E" w14:textId="236B4B91"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0.1</w:t>
            </w:r>
          </w:p>
        </w:tc>
        <w:tc>
          <w:tcPr>
            <w:tcW w:w="1066" w:type="pct"/>
            <w:shd w:val="clear" w:color="auto" w:fill="auto"/>
            <w:vAlign w:val="bottom"/>
            <w:hideMark/>
          </w:tcPr>
          <w:p w14:paraId="4C8CA0E6"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147" w:type="pct"/>
            <w:shd w:val="clear" w:color="auto" w:fill="auto"/>
            <w:vAlign w:val="bottom"/>
            <w:hideMark/>
          </w:tcPr>
          <w:p w14:paraId="4A056A33"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r w:rsidR="00590FE1" w:rsidRPr="001D5327" w14:paraId="1ABD304D" w14:textId="77777777" w:rsidTr="00403787">
        <w:tc>
          <w:tcPr>
            <w:tcW w:w="627" w:type="pct"/>
            <w:vMerge/>
            <w:vAlign w:val="center"/>
            <w:hideMark/>
          </w:tcPr>
          <w:p w14:paraId="31C570AC" w14:textId="77777777" w:rsidR="00590FE1" w:rsidRPr="001D5327" w:rsidRDefault="00590FE1" w:rsidP="00403787">
            <w:pPr>
              <w:pStyle w:val="TableText"/>
              <w:spacing w:before="40" w:after="40"/>
              <w:rPr>
                <w:color w:val="000000"/>
              </w:rPr>
            </w:pPr>
          </w:p>
        </w:tc>
        <w:tc>
          <w:tcPr>
            <w:tcW w:w="1015" w:type="pct"/>
            <w:shd w:val="clear" w:color="auto" w:fill="auto"/>
            <w:vAlign w:val="center"/>
            <w:hideMark/>
          </w:tcPr>
          <w:p w14:paraId="7E80471B" w14:textId="77777777" w:rsidR="00590FE1" w:rsidRPr="001D5327" w:rsidRDefault="00590FE1" w:rsidP="00403787">
            <w:pPr>
              <w:pStyle w:val="TableText"/>
              <w:spacing w:before="40" w:after="40"/>
              <w:rPr>
                <w:color w:val="000000"/>
              </w:rPr>
            </w:pPr>
            <w:r w:rsidRPr="001D5327">
              <w:rPr>
                <w:rFonts w:cs="Calibri"/>
                <w:color w:val="000000"/>
                <w:szCs w:val="16"/>
              </w:rPr>
              <w:t>Percentage difference in emissions estimates (%)</w:t>
            </w:r>
          </w:p>
        </w:tc>
        <w:tc>
          <w:tcPr>
            <w:tcW w:w="572" w:type="pct"/>
            <w:shd w:val="clear" w:color="auto" w:fill="auto"/>
            <w:vAlign w:val="bottom"/>
            <w:hideMark/>
          </w:tcPr>
          <w:p w14:paraId="1A34C1BC" w14:textId="77777777" w:rsidR="00590FE1" w:rsidRPr="001D5327" w:rsidRDefault="00590FE1" w:rsidP="00403787">
            <w:pPr>
              <w:pStyle w:val="TableText"/>
              <w:spacing w:before="40" w:after="40"/>
              <w:jc w:val="right"/>
              <w:rPr>
                <w:color w:val="000000"/>
              </w:rPr>
            </w:pPr>
            <w:r w:rsidRPr="001D5327">
              <w:rPr>
                <w:rFonts w:cs="Calibri"/>
                <w:color w:val="000000"/>
                <w:szCs w:val="16"/>
              </w:rPr>
              <w:t>0.00</w:t>
            </w:r>
          </w:p>
        </w:tc>
        <w:tc>
          <w:tcPr>
            <w:tcW w:w="573" w:type="pct"/>
            <w:shd w:val="clear" w:color="auto" w:fill="auto"/>
            <w:vAlign w:val="bottom"/>
            <w:hideMark/>
          </w:tcPr>
          <w:p w14:paraId="74F90490" w14:textId="77777777" w:rsidR="00590FE1" w:rsidRPr="001D5327" w:rsidRDefault="00590FE1" w:rsidP="00403787">
            <w:pPr>
              <w:pStyle w:val="TableText"/>
              <w:spacing w:before="40" w:after="40"/>
              <w:jc w:val="right"/>
              <w:rPr>
                <w:color w:val="000000"/>
              </w:rPr>
            </w:pPr>
            <w:r w:rsidRPr="001D5327">
              <w:rPr>
                <w:rFonts w:cs="Calibri"/>
                <w:color w:val="000000"/>
                <w:szCs w:val="16"/>
              </w:rPr>
              <w:t>0.00</w:t>
            </w:r>
          </w:p>
        </w:tc>
        <w:tc>
          <w:tcPr>
            <w:tcW w:w="1066" w:type="pct"/>
            <w:shd w:val="clear" w:color="auto" w:fill="auto"/>
            <w:vAlign w:val="bottom"/>
            <w:hideMark/>
          </w:tcPr>
          <w:p w14:paraId="1030FC28"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147" w:type="pct"/>
            <w:shd w:val="clear" w:color="auto" w:fill="auto"/>
            <w:vAlign w:val="bottom"/>
            <w:hideMark/>
          </w:tcPr>
          <w:p w14:paraId="4246371D"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bl>
    <w:p w14:paraId="66F2A880" w14:textId="77777777" w:rsidR="00590FE1" w:rsidRPr="001D5327" w:rsidRDefault="00590FE1" w:rsidP="00590FE1">
      <w:pPr>
        <w:pStyle w:val="Noteundertable"/>
        <w:rPr>
          <w:rFonts w:cs="Calibri"/>
        </w:rPr>
      </w:pPr>
      <w:r w:rsidRPr="001D5327">
        <w:rPr>
          <w:rFonts w:cs="Calibri"/>
          <w:b/>
          <w:bCs/>
        </w:rPr>
        <w:t>Note:</w:t>
      </w:r>
      <w:r w:rsidRPr="001D5327">
        <w:rPr>
          <w:rFonts w:cs="Calibri"/>
        </w:rPr>
        <w:t xml:space="preserve"> </w:t>
      </w:r>
      <w:r w:rsidRPr="001D5327">
        <w:rPr>
          <w:rFonts w:cs="Calibri"/>
        </w:rPr>
        <w:tab/>
        <w:t>Columns may not sum due to rounding. Percentages presented are calculated from unrounded values.</w:t>
      </w:r>
    </w:p>
    <w:p w14:paraId="06372EFD" w14:textId="77777777" w:rsidR="00590FE1" w:rsidRPr="001D5327" w:rsidRDefault="00590FE1" w:rsidP="00590FE1">
      <w:pPr>
        <w:pStyle w:val="Heading5"/>
      </w:pPr>
      <w:r w:rsidRPr="001D5327">
        <w:t>Seasonality of wool growth</w:t>
      </w:r>
    </w:p>
    <w:p w14:paraId="0E125663" w14:textId="77777777" w:rsidR="00590FE1" w:rsidRPr="001D5327" w:rsidRDefault="00590FE1" w:rsidP="00590FE1">
      <w:pPr>
        <w:pStyle w:val="BodyText"/>
      </w:pPr>
      <w:r w:rsidRPr="001D5327">
        <w:t>Emissions estimates in all categories relating to sheep have been improved by an update to monthly wool growth.</w:t>
      </w:r>
    </w:p>
    <w:p w14:paraId="7088C976" w14:textId="77777777" w:rsidR="00590FE1" w:rsidRPr="001D5327" w:rsidRDefault="00590FE1" w:rsidP="00590FE1">
      <w:pPr>
        <w:pStyle w:val="BodyText"/>
      </w:pPr>
      <w:r w:rsidRPr="001D5327">
        <w:t>In the 2024 inventory submission, wool growth was assumed to be constant through the year, and in the case of the calculation of the energy required for wool growth, constant for the entire time series.</w:t>
      </w:r>
    </w:p>
    <w:p w14:paraId="4AA5A83B" w14:textId="77777777" w:rsidR="00590FE1" w:rsidRPr="001D5327" w:rsidRDefault="00590FE1" w:rsidP="00590FE1">
      <w:pPr>
        <w:pStyle w:val="BodyText"/>
      </w:pPr>
      <w:r w:rsidRPr="001D5327">
        <w:t xml:space="preserve">Recent research carried out internally by MPI analysed data available in several published papers, to determine an appropriate seasonal adjustment to wool growth. The research fit a sinusoidal curve to published monthly wool growth data (Woods and Orwin, 1988) to develop a seasonal adjustment. </w:t>
      </w:r>
    </w:p>
    <w:p w14:paraId="5033BCB8" w14:textId="77777777" w:rsidR="00590FE1" w:rsidRPr="001D5327" w:rsidRDefault="00590FE1" w:rsidP="00590FE1">
      <w:pPr>
        <w:pStyle w:val="BodyText"/>
      </w:pPr>
      <w:r w:rsidRPr="001D5327">
        <w:t>Annual wool yield is now apportioned to class and month using a calculated seasonal adjustment and accounts for the slower wool growth in lambs. The same wool growth distribution is used for both the energy for wool growth and nitrogen retention calculations.</w:t>
      </w:r>
    </w:p>
    <w:p w14:paraId="6BDBBE26" w14:textId="77777777" w:rsidR="00590FE1" w:rsidRPr="001D5327" w:rsidRDefault="00590FE1" w:rsidP="00590FE1">
      <w:pPr>
        <w:pStyle w:val="BodyText"/>
      </w:pPr>
      <w:r w:rsidRPr="001D5327">
        <w:t xml:space="preserve">Implementing these changes caused emissions from the </w:t>
      </w:r>
      <w:r w:rsidRPr="001D5327">
        <w:rPr>
          <w:i/>
        </w:rPr>
        <w:t>Enteric fermentation</w:t>
      </w:r>
      <w:r w:rsidRPr="001D5327">
        <w:t xml:space="preserve"> category to decrease by 124.4 kt CO</w:t>
      </w:r>
      <w:r w:rsidRPr="001D5327">
        <w:rPr>
          <w:vertAlign w:val="subscript"/>
        </w:rPr>
        <w:t>2</w:t>
      </w:r>
      <w:r w:rsidRPr="001D5327">
        <w:t>-e in 1990 and 115.7 kt CO</w:t>
      </w:r>
      <w:r w:rsidRPr="001D5327">
        <w:rPr>
          <w:vertAlign w:val="subscript"/>
        </w:rPr>
        <w:t>2</w:t>
      </w:r>
      <w:r w:rsidRPr="001D5327">
        <w:t>-e in 2022 (see table 5.2.10).</w:t>
      </w:r>
    </w:p>
    <w:p w14:paraId="681AB9CE" w14:textId="77777777" w:rsidR="00590FE1" w:rsidRPr="001D5327" w:rsidRDefault="00590FE1" w:rsidP="00590FE1">
      <w:pPr>
        <w:pStyle w:val="Table"/>
        <w:rPr>
          <w:rFonts w:cs="Calibri"/>
          <w:i/>
        </w:rPr>
      </w:pPr>
      <w:bookmarkStart w:id="863" w:name="_Toc194241710"/>
      <w:r w:rsidRPr="001D5327">
        <w:rPr>
          <w:rFonts w:cs="Calibri"/>
        </w:rPr>
        <w:lastRenderedPageBreak/>
        <w:t>Table 5.2.10</w:t>
      </w:r>
      <w:r w:rsidRPr="001D5327">
        <w:rPr>
          <w:rFonts w:cs="Calibri"/>
        </w:rPr>
        <w:tab/>
        <w:t>Comparison emissions from </w:t>
      </w:r>
      <w:r w:rsidRPr="001D5327">
        <w:rPr>
          <w:rFonts w:cs="Calibri"/>
          <w:i/>
          <w:iCs/>
        </w:rPr>
        <w:t xml:space="preserve">Enteric fermentation </w:t>
      </w:r>
      <w:r w:rsidRPr="001D5327">
        <w:rPr>
          <w:rFonts w:cs="Calibri"/>
        </w:rPr>
        <w:t>using the updated monthly wool calculations</w:t>
      </w:r>
      <w:bookmarkEnd w:id="863"/>
    </w:p>
    <w:tbl>
      <w:tblPr>
        <w:tblW w:w="8505" w:type="dxa"/>
        <w:tblBorders>
          <w:top w:val="single" w:sz="2" w:space="0" w:color="1B556B" w:themeColor="text2"/>
          <w:bottom w:val="single" w:sz="2" w:space="0" w:color="1B556B" w:themeColor="text2"/>
          <w:insideH w:val="single" w:sz="2" w:space="0" w:color="1B556B" w:themeColor="text2"/>
        </w:tblBorders>
        <w:tblCellMar>
          <w:left w:w="85" w:type="dxa"/>
          <w:right w:w="57" w:type="dxa"/>
        </w:tblCellMar>
        <w:tblLook w:val="04A0" w:firstRow="1" w:lastRow="0" w:firstColumn="1" w:lastColumn="0" w:noHBand="0" w:noVBand="1"/>
      </w:tblPr>
      <w:tblGrid>
        <w:gridCol w:w="1063"/>
        <w:gridCol w:w="2046"/>
        <w:gridCol w:w="877"/>
        <w:gridCol w:w="877"/>
        <w:gridCol w:w="1694"/>
        <w:gridCol w:w="1948"/>
      </w:tblGrid>
      <w:tr w:rsidR="00590FE1" w:rsidRPr="001D5327" w14:paraId="7DC32A14" w14:textId="77777777" w:rsidTr="00403787">
        <w:tc>
          <w:tcPr>
            <w:tcW w:w="1031" w:type="dxa"/>
            <w:shd w:val="clear" w:color="000000" w:fill="1B556B" w:themeFill="text2"/>
            <w:vAlign w:val="center"/>
          </w:tcPr>
          <w:p w14:paraId="6456F35E" w14:textId="77777777" w:rsidR="00590FE1" w:rsidRPr="001D5327" w:rsidRDefault="00590FE1" w:rsidP="00403787">
            <w:pPr>
              <w:pStyle w:val="TableText"/>
              <w:spacing w:before="40" w:after="40"/>
              <w:rPr>
                <w:b/>
                <w:bCs/>
                <w:color w:val="FFFFFF" w:themeColor="background1"/>
              </w:rPr>
            </w:pPr>
          </w:p>
        </w:tc>
        <w:tc>
          <w:tcPr>
            <w:tcW w:w="1985" w:type="dxa"/>
            <w:shd w:val="clear" w:color="000000" w:fill="1B556B" w:themeFill="text2"/>
            <w:vAlign w:val="center"/>
            <w:hideMark/>
          </w:tcPr>
          <w:p w14:paraId="76C34DB0" w14:textId="77777777" w:rsidR="00590FE1" w:rsidRPr="001D5327" w:rsidRDefault="00590FE1" w:rsidP="00403787">
            <w:pPr>
              <w:pStyle w:val="TableText"/>
              <w:spacing w:before="40" w:after="40"/>
              <w:rPr>
                <w:b/>
                <w:bCs/>
                <w:color w:val="FFFFFF" w:themeColor="background1"/>
              </w:rPr>
            </w:pPr>
            <w:r w:rsidRPr="001D5327">
              <w:rPr>
                <w:rFonts w:cs="Calibri"/>
                <w:color w:val="000000"/>
                <w:sz w:val="20"/>
                <w:szCs w:val="20"/>
              </w:rPr>
              <w:t> </w:t>
            </w:r>
          </w:p>
        </w:tc>
        <w:tc>
          <w:tcPr>
            <w:tcW w:w="851" w:type="dxa"/>
            <w:shd w:val="clear" w:color="000000" w:fill="1B556B" w:themeFill="text2"/>
            <w:vAlign w:val="bottom"/>
            <w:hideMark/>
          </w:tcPr>
          <w:p w14:paraId="3D885266"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51" w:type="dxa"/>
            <w:shd w:val="clear" w:color="000000" w:fill="1B556B" w:themeFill="text2"/>
            <w:vAlign w:val="bottom"/>
            <w:hideMark/>
          </w:tcPr>
          <w:p w14:paraId="31CDD777"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644" w:type="dxa"/>
            <w:shd w:val="clear" w:color="000000" w:fill="1B556B" w:themeFill="text2"/>
            <w:vAlign w:val="bottom"/>
            <w:hideMark/>
          </w:tcPr>
          <w:p w14:paraId="40CFC3DA"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890" w:type="dxa"/>
            <w:shd w:val="clear" w:color="000000" w:fill="1B556B" w:themeFill="text2"/>
            <w:vAlign w:val="bottom"/>
            <w:hideMark/>
          </w:tcPr>
          <w:p w14:paraId="7D9950F1"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Percentage change in emission outputs between 1990 and 2022 (%)</w:t>
            </w:r>
          </w:p>
        </w:tc>
      </w:tr>
      <w:tr w:rsidR="00590FE1" w:rsidRPr="001D5327" w14:paraId="16B9C7B4" w14:textId="77777777" w:rsidTr="00403787">
        <w:tc>
          <w:tcPr>
            <w:tcW w:w="1031" w:type="dxa"/>
            <w:vMerge w:val="restart"/>
            <w:shd w:val="clear" w:color="auto" w:fill="auto"/>
            <w:vAlign w:val="center"/>
            <w:hideMark/>
          </w:tcPr>
          <w:p w14:paraId="43323D46" w14:textId="77777777" w:rsidR="00590FE1" w:rsidRPr="001D5327" w:rsidRDefault="00590FE1" w:rsidP="00403787">
            <w:pPr>
              <w:pStyle w:val="TableText"/>
              <w:spacing w:before="40" w:after="40"/>
              <w:rPr>
                <w:color w:val="000000"/>
              </w:rPr>
            </w:pPr>
            <w:r w:rsidRPr="001D5327">
              <w:rPr>
                <w:rFonts w:cs="Calibri"/>
                <w:color w:val="000000"/>
                <w:szCs w:val="16"/>
              </w:rPr>
              <w:t xml:space="preserve">Total emissions from </w:t>
            </w:r>
            <w:r w:rsidRPr="001D5327">
              <w:rPr>
                <w:rFonts w:cs="Calibri"/>
                <w:i/>
                <w:color w:val="000000"/>
                <w:szCs w:val="16"/>
              </w:rPr>
              <w:t>Enteric fermentation</w:t>
            </w:r>
            <w:r w:rsidRPr="001D5327">
              <w:rPr>
                <w:rFonts w:cs="Calibri"/>
                <w:color w:val="000000"/>
                <w:szCs w:val="16"/>
              </w:rPr>
              <w:t xml:space="preserve"> </w:t>
            </w:r>
          </w:p>
        </w:tc>
        <w:tc>
          <w:tcPr>
            <w:tcW w:w="1985" w:type="dxa"/>
            <w:shd w:val="clear" w:color="auto" w:fill="auto"/>
            <w:vAlign w:val="center"/>
            <w:hideMark/>
          </w:tcPr>
          <w:p w14:paraId="79657194" w14:textId="77777777" w:rsidR="00590FE1" w:rsidRPr="001D5327" w:rsidRDefault="00590FE1" w:rsidP="00403787">
            <w:pPr>
              <w:pStyle w:val="TableText"/>
              <w:spacing w:before="40" w:after="40"/>
              <w:rPr>
                <w:color w:val="000000"/>
              </w:rPr>
            </w:pPr>
            <w:r w:rsidRPr="001D5327">
              <w:rPr>
                <w:rFonts w:cs="Calibri"/>
                <w:color w:val="000000"/>
                <w:szCs w:val="16"/>
              </w:rPr>
              <w:t>2024 (1990–2022) emissions estimate</w:t>
            </w:r>
          </w:p>
        </w:tc>
        <w:tc>
          <w:tcPr>
            <w:tcW w:w="851" w:type="dxa"/>
            <w:shd w:val="clear" w:color="auto" w:fill="auto"/>
            <w:vAlign w:val="bottom"/>
            <w:hideMark/>
          </w:tcPr>
          <w:p w14:paraId="43C34216" w14:textId="77777777" w:rsidR="00590FE1" w:rsidRPr="001D5327" w:rsidRDefault="00590FE1" w:rsidP="00403787">
            <w:pPr>
              <w:pStyle w:val="TableText"/>
              <w:spacing w:before="40" w:after="40"/>
              <w:jc w:val="right"/>
              <w:rPr>
                <w:color w:val="000000"/>
              </w:rPr>
            </w:pPr>
            <w:r w:rsidRPr="001D5327">
              <w:rPr>
                <w:rFonts w:cs="Calibri"/>
                <w:color w:val="000000"/>
                <w:szCs w:val="16"/>
              </w:rPr>
              <w:t>31,212.5</w:t>
            </w:r>
          </w:p>
        </w:tc>
        <w:tc>
          <w:tcPr>
            <w:tcW w:w="851" w:type="dxa"/>
            <w:shd w:val="clear" w:color="auto" w:fill="auto"/>
            <w:vAlign w:val="bottom"/>
            <w:hideMark/>
          </w:tcPr>
          <w:p w14:paraId="34CB21A1" w14:textId="77777777" w:rsidR="00590FE1" w:rsidRPr="001D5327" w:rsidRDefault="00590FE1" w:rsidP="00403787">
            <w:pPr>
              <w:pStyle w:val="TableText"/>
              <w:spacing w:before="40" w:after="40"/>
              <w:jc w:val="right"/>
              <w:rPr>
                <w:color w:val="000000"/>
              </w:rPr>
            </w:pPr>
            <w:r w:rsidRPr="001D5327">
              <w:rPr>
                <w:rFonts w:cs="Calibri"/>
                <w:color w:val="000000"/>
                <w:szCs w:val="16"/>
              </w:rPr>
              <w:t>32,617.2</w:t>
            </w:r>
          </w:p>
        </w:tc>
        <w:tc>
          <w:tcPr>
            <w:tcW w:w="1644" w:type="dxa"/>
            <w:shd w:val="clear" w:color="auto" w:fill="auto"/>
            <w:vAlign w:val="bottom"/>
            <w:hideMark/>
          </w:tcPr>
          <w:p w14:paraId="6FD5FCF2" w14:textId="77777777" w:rsidR="00590FE1" w:rsidRPr="001D5327" w:rsidRDefault="00590FE1" w:rsidP="00403787">
            <w:pPr>
              <w:pStyle w:val="TableText"/>
              <w:spacing w:before="40" w:after="40"/>
              <w:jc w:val="right"/>
              <w:rPr>
                <w:color w:val="000000"/>
              </w:rPr>
            </w:pPr>
            <w:r w:rsidRPr="001D5327">
              <w:rPr>
                <w:rFonts w:cs="Calibri"/>
                <w:color w:val="000000"/>
                <w:szCs w:val="16"/>
              </w:rPr>
              <w:t>1,404.7</w:t>
            </w:r>
          </w:p>
        </w:tc>
        <w:tc>
          <w:tcPr>
            <w:tcW w:w="1890" w:type="dxa"/>
            <w:shd w:val="clear" w:color="auto" w:fill="auto"/>
            <w:vAlign w:val="bottom"/>
            <w:hideMark/>
          </w:tcPr>
          <w:p w14:paraId="7F55B97C" w14:textId="77777777" w:rsidR="00590FE1" w:rsidRPr="001D5327" w:rsidRDefault="00590FE1" w:rsidP="00403787">
            <w:pPr>
              <w:pStyle w:val="TableText"/>
              <w:spacing w:before="40" w:after="40"/>
              <w:jc w:val="right"/>
              <w:rPr>
                <w:color w:val="000000"/>
              </w:rPr>
            </w:pPr>
            <w:r w:rsidRPr="001D5327">
              <w:rPr>
                <w:rFonts w:cs="Calibri"/>
                <w:color w:val="000000"/>
                <w:szCs w:val="16"/>
              </w:rPr>
              <w:t>4.5</w:t>
            </w:r>
          </w:p>
        </w:tc>
      </w:tr>
      <w:tr w:rsidR="00590FE1" w:rsidRPr="001D5327" w14:paraId="6F9A2D5E" w14:textId="77777777" w:rsidTr="00403787">
        <w:tc>
          <w:tcPr>
            <w:tcW w:w="1031" w:type="dxa"/>
            <w:vMerge/>
            <w:vAlign w:val="center"/>
            <w:hideMark/>
          </w:tcPr>
          <w:p w14:paraId="702F0F64" w14:textId="77777777" w:rsidR="00590FE1" w:rsidRPr="001D5327" w:rsidRDefault="00590FE1" w:rsidP="00403787">
            <w:pPr>
              <w:pStyle w:val="TableText"/>
              <w:spacing w:before="40" w:after="40"/>
              <w:rPr>
                <w:color w:val="000000"/>
              </w:rPr>
            </w:pPr>
          </w:p>
        </w:tc>
        <w:tc>
          <w:tcPr>
            <w:tcW w:w="1985" w:type="dxa"/>
            <w:shd w:val="clear" w:color="auto" w:fill="auto"/>
            <w:vAlign w:val="center"/>
            <w:hideMark/>
          </w:tcPr>
          <w:p w14:paraId="586E68B6" w14:textId="77777777" w:rsidR="00590FE1" w:rsidRPr="001D5327" w:rsidRDefault="00590FE1" w:rsidP="00403787">
            <w:pPr>
              <w:pStyle w:val="TableText"/>
              <w:spacing w:before="40" w:after="40"/>
              <w:rPr>
                <w:color w:val="000000"/>
              </w:rPr>
            </w:pPr>
            <w:r w:rsidRPr="001D5327">
              <w:rPr>
                <w:rFonts w:cs="Calibri"/>
                <w:color w:val="000000"/>
                <w:szCs w:val="16"/>
              </w:rPr>
              <w:t xml:space="preserve">2024 (1990–2022) emissions estimate </w:t>
            </w:r>
            <w:r w:rsidRPr="001D5327">
              <w:rPr>
                <w:rFonts w:cs="Calibri"/>
                <w:i/>
                <w:iCs/>
                <w:color w:val="000000"/>
                <w:szCs w:val="16"/>
              </w:rPr>
              <w:t>with</w:t>
            </w:r>
            <w:r w:rsidRPr="001D5327">
              <w:rPr>
                <w:rFonts w:cs="Calibri"/>
                <w:color w:val="000000"/>
                <w:szCs w:val="16"/>
              </w:rPr>
              <w:t xml:space="preserve"> improvement</w:t>
            </w:r>
          </w:p>
        </w:tc>
        <w:tc>
          <w:tcPr>
            <w:tcW w:w="851" w:type="dxa"/>
            <w:shd w:val="clear" w:color="auto" w:fill="auto"/>
            <w:vAlign w:val="bottom"/>
            <w:hideMark/>
          </w:tcPr>
          <w:p w14:paraId="1EB3F1D9" w14:textId="77777777" w:rsidR="00590FE1" w:rsidRPr="001D5327" w:rsidRDefault="00590FE1" w:rsidP="00403787">
            <w:pPr>
              <w:pStyle w:val="TableText"/>
              <w:spacing w:before="40" w:after="40"/>
              <w:jc w:val="right"/>
              <w:rPr>
                <w:color w:val="000000"/>
              </w:rPr>
            </w:pPr>
            <w:r w:rsidRPr="001D5327">
              <w:rPr>
                <w:rFonts w:cs="Calibri"/>
                <w:color w:val="000000"/>
                <w:szCs w:val="16"/>
              </w:rPr>
              <w:t>31,088.1</w:t>
            </w:r>
          </w:p>
        </w:tc>
        <w:tc>
          <w:tcPr>
            <w:tcW w:w="851" w:type="dxa"/>
            <w:shd w:val="clear" w:color="auto" w:fill="auto"/>
            <w:vAlign w:val="bottom"/>
            <w:hideMark/>
          </w:tcPr>
          <w:p w14:paraId="7851E29A" w14:textId="77777777" w:rsidR="00590FE1" w:rsidRPr="001D5327" w:rsidRDefault="00590FE1" w:rsidP="00403787">
            <w:pPr>
              <w:pStyle w:val="TableText"/>
              <w:spacing w:before="40" w:after="40"/>
              <w:jc w:val="right"/>
              <w:rPr>
                <w:color w:val="000000"/>
              </w:rPr>
            </w:pPr>
            <w:r w:rsidRPr="001D5327">
              <w:rPr>
                <w:rFonts w:cs="Calibri"/>
                <w:color w:val="000000"/>
                <w:szCs w:val="16"/>
              </w:rPr>
              <w:t>32,501.5</w:t>
            </w:r>
          </w:p>
        </w:tc>
        <w:tc>
          <w:tcPr>
            <w:tcW w:w="1644" w:type="dxa"/>
            <w:shd w:val="clear" w:color="auto" w:fill="auto"/>
            <w:vAlign w:val="bottom"/>
            <w:hideMark/>
          </w:tcPr>
          <w:p w14:paraId="786F26CD" w14:textId="77777777" w:rsidR="00590FE1" w:rsidRPr="001D5327" w:rsidRDefault="00590FE1" w:rsidP="00403787">
            <w:pPr>
              <w:pStyle w:val="TableText"/>
              <w:spacing w:before="40" w:after="40"/>
              <w:jc w:val="right"/>
              <w:rPr>
                <w:color w:val="000000"/>
              </w:rPr>
            </w:pPr>
            <w:r w:rsidRPr="001D5327">
              <w:rPr>
                <w:rFonts w:cs="Calibri"/>
                <w:color w:val="000000"/>
                <w:szCs w:val="16"/>
              </w:rPr>
              <w:t>1,413.4</w:t>
            </w:r>
          </w:p>
        </w:tc>
        <w:tc>
          <w:tcPr>
            <w:tcW w:w="1890" w:type="dxa"/>
            <w:shd w:val="clear" w:color="auto" w:fill="auto"/>
            <w:vAlign w:val="bottom"/>
            <w:hideMark/>
          </w:tcPr>
          <w:p w14:paraId="5B308639" w14:textId="77777777" w:rsidR="00590FE1" w:rsidRPr="001D5327" w:rsidRDefault="00590FE1" w:rsidP="00403787">
            <w:pPr>
              <w:pStyle w:val="TableText"/>
              <w:spacing w:before="40" w:after="40"/>
              <w:jc w:val="right"/>
              <w:rPr>
                <w:color w:val="000000"/>
              </w:rPr>
            </w:pPr>
            <w:r w:rsidRPr="001D5327">
              <w:rPr>
                <w:rFonts w:cs="Calibri"/>
                <w:color w:val="000000"/>
                <w:szCs w:val="16"/>
              </w:rPr>
              <w:t>4.5</w:t>
            </w:r>
          </w:p>
        </w:tc>
      </w:tr>
      <w:tr w:rsidR="00590FE1" w:rsidRPr="001D5327" w14:paraId="3DD159C4" w14:textId="77777777" w:rsidTr="00403787">
        <w:tc>
          <w:tcPr>
            <w:tcW w:w="1031" w:type="dxa"/>
            <w:vMerge/>
            <w:vAlign w:val="center"/>
            <w:hideMark/>
          </w:tcPr>
          <w:p w14:paraId="08CB683C" w14:textId="77777777" w:rsidR="00590FE1" w:rsidRPr="001D5327" w:rsidRDefault="00590FE1" w:rsidP="00403787">
            <w:pPr>
              <w:pStyle w:val="TableText"/>
              <w:spacing w:before="40" w:after="40"/>
              <w:rPr>
                <w:color w:val="000000"/>
              </w:rPr>
            </w:pPr>
          </w:p>
        </w:tc>
        <w:tc>
          <w:tcPr>
            <w:tcW w:w="1985" w:type="dxa"/>
            <w:shd w:val="clear" w:color="auto" w:fill="auto"/>
            <w:vAlign w:val="center"/>
            <w:hideMark/>
          </w:tcPr>
          <w:p w14:paraId="7E6A8DA6" w14:textId="77777777" w:rsidR="00590FE1" w:rsidRPr="001D5327" w:rsidRDefault="00590FE1" w:rsidP="00403787">
            <w:pPr>
              <w:pStyle w:val="TableText"/>
              <w:spacing w:before="40" w:after="40"/>
              <w:rPr>
                <w:color w:val="000000"/>
              </w:rPr>
            </w:pPr>
            <w:r w:rsidRPr="001D5327">
              <w:rPr>
                <w:rFonts w:cs="Calibri"/>
                <w:color w:val="000000"/>
                <w:szCs w:val="16"/>
              </w:rPr>
              <w:t>Difference in emissions estimates</w:t>
            </w:r>
          </w:p>
        </w:tc>
        <w:tc>
          <w:tcPr>
            <w:tcW w:w="851" w:type="dxa"/>
            <w:shd w:val="clear" w:color="auto" w:fill="auto"/>
            <w:vAlign w:val="bottom"/>
            <w:hideMark/>
          </w:tcPr>
          <w:p w14:paraId="58C920EC" w14:textId="0E4EB9CA"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124.4</w:t>
            </w:r>
          </w:p>
        </w:tc>
        <w:tc>
          <w:tcPr>
            <w:tcW w:w="851" w:type="dxa"/>
            <w:shd w:val="clear" w:color="auto" w:fill="auto"/>
            <w:vAlign w:val="bottom"/>
            <w:hideMark/>
          </w:tcPr>
          <w:p w14:paraId="3700F53F" w14:textId="3EB0038E"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115.7</w:t>
            </w:r>
          </w:p>
        </w:tc>
        <w:tc>
          <w:tcPr>
            <w:tcW w:w="1644" w:type="dxa"/>
            <w:shd w:val="clear" w:color="auto" w:fill="auto"/>
            <w:vAlign w:val="bottom"/>
            <w:hideMark/>
          </w:tcPr>
          <w:p w14:paraId="3ACD40DD"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890" w:type="dxa"/>
            <w:shd w:val="clear" w:color="auto" w:fill="auto"/>
            <w:vAlign w:val="bottom"/>
            <w:hideMark/>
          </w:tcPr>
          <w:p w14:paraId="6F3E22FE"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r w:rsidR="00590FE1" w:rsidRPr="001D5327" w14:paraId="7051ED8F" w14:textId="77777777" w:rsidTr="00403787">
        <w:tc>
          <w:tcPr>
            <w:tcW w:w="1031" w:type="dxa"/>
            <w:vMerge/>
            <w:vAlign w:val="center"/>
            <w:hideMark/>
          </w:tcPr>
          <w:p w14:paraId="236D98D5" w14:textId="77777777" w:rsidR="00590FE1" w:rsidRPr="001D5327" w:rsidRDefault="00590FE1" w:rsidP="00403787">
            <w:pPr>
              <w:pStyle w:val="TableText"/>
              <w:spacing w:before="40" w:after="40"/>
              <w:rPr>
                <w:color w:val="000000"/>
              </w:rPr>
            </w:pPr>
          </w:p>
        </w:tc>
        <w:tc>
          <w:tcPr>
            <w:tcW w:w="1985" w:type="dxa"/>
            <w:shd w:val="clear" w:color="auto" w:fill="auto"/>
            <w:vAlign w:val="center"/>
            <w:hideMark/>
          </w:tcPr>
          <w:p w14:paraId="3E8CFB0C" w14:textId="77777777" w:rsidR="00590FE1" w:rsidRPr="001D5327" w:rsidRDefault="00590FE1" w:rsidP="00403787">
            <w:pPr>
              <w:pStyle w:val="TableText"/>
              <w:spacing w:before="40" w:after="40"/>
              <w:rPr>
                <w:color w:val="000000"/>
              </w:rPr>
            </w:pPr>
            <w:r w:rsidRPr="001D5327">
              <w:rPr>
                <w:rFonts w:cs="Calibri"/>
                <w:color w:val="000000"/>
                <w:szCs w:val="16"/>
              </w:rPr>
              <w:t>Percentage difference in emissions estimates (%)</w:t>
            </w:r>
          </w:p>
        </w:tc>
        <w:tc>
          <w:tcPr>
            <w:tcW w:w="851" w:type="dxa"/>
            <w:shd w:val="clear" w:color="auto" w:fill="auto"/>
            <w:vAlign w:val="bottom"/>
            <w:hideMark/>
          </w:tcPr>
          <w:p w14:paraId="4187C2C4" w14:textId="7008F14D"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0.4</w:t>
            </w:r>
          </w:p>
        </w:tc>
        <w:tc>
          <w:tcPr>
            <w:tcW w:w="851" w:type="dxa"/>
            <w:shd w:val="clear" w:color="auto" w:fill="auto"/>
            <w:vAlign w:val="bottom"/>
            <w:hideMark/>
          </w:tcPr>
          <w:p w14:paraId="1047B704" w14:textId="73E55F3D"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0.4</w:t>
            </w:r>
          </w:p>
        </w:tc>
        <w:tc>
          <w:tcPr>
            <w:tcW w:w="1644" w:type="dxa"/>
            <w:shd w:val="clear" w:color="auto" w:fill="auto"/>
            <w:vAlign w:val="bottom"/>
            <w:hideMark/>
          </w:tcPr>
          <w:p w14:paraId="2A44D7D1"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890" w:type="dxa"/>
            <w:shd w:val="clear" w:color="auto" w:fill="auto"/>
            <w:vAlign w:val="bottom"/>
            <w:hideMark/>
          </w:tcPr>
          <w:p w14:paraId="2E182BB8"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bl>
    <w:p w14:paraId="12137E3D" w14:textId="77777777" w:rsidR="00590FE1" w:rsidRPr="001D5327" w:rsidRDefault="00590FE1" w:rsidP="00590FE1">
      <w:pPr>
        <w:pStyle w:val="Noteundertable"/>
        <w:rPr>
          <w:rFonts w:cs="Calibri"/>
        </w:rPr>
      </w:pPr>
      <w:r w:rsidRPr="001D5327">
        <w:rPr>
          <w:rFonts w:cs="Calibri"/>
          <w:b/>
          <w:bCs/>
        </w:rPr>
        <w:t>Note:</w:t>
      </w:r>
      <w:r w:rsidRPr="001D5327">
        <w:rPr>
          <w:rFonts w:cs="Calibri"/>
        </w:rPr>
        <w:t xml:space="preserve"> </w:t>
      </w:r>
      <w:r w:rsidRPr="001D5327">
        <w:rPr>
          <w:rFonts w:cs="Calibri"/>
        </w:rPr>
        <w:tab/>
        <w:t>Columns may not sum due to rounding. Percentages presented are calculated from unrounded values.</w:t>
      </w:r>
    </w:p>
    <w:p w14:paraId="10DEA43C" w14:textId="77777777" w:rsidR="00590FE1" w:rsidRPr="001D5327" w:rsidRDefault="00590FE1" w:rsidP="00590FE1">
      <w:pPr>
        <w:pStyle w:val="Heading5"/>
        <w:spacing w:before="180"/>
      </w:pPr>
      <w:r w:rsidRPr="001D5327">
        <w:t>Corrections to inventory model</w:t>
      </w:r>
    </w:p>
    <w:p w14:paraId="484F3C81" w14:textId="77777777" w:rsidR="00590FE1" w:rsidRPr="001D5327" w:rsidRDefault="00590FE1" w:rsidP="00590FE1">
      <w:pPr>
        <w:pStyle w:val="BodyText"/>
        <w:spacing w:before="80" w:after="100"/>
      </w:pPr>
      <w:r w:rsidRPr="001D5327">
        <w:t>Each year, the MPI Inventory team identifies changes to improve alignment between the model code and the written methodology (Pickering et al., 2024). Improvements to the input data and methodology have also been implemented, in response to comments from international reviewers.</w:t>
      </w:r>
    </w:p>
    <w:p w14:paraId="22D10F3C" w14:textId="77777777" w:rsidR="00590FE1" w:rsidRPr="001D5327" w:rsidRDefault="00590FE1" w:rsidP="00590FE1">
      <w:pPr>
        <w:pStyle w:val="BodyText"/>
        <w:spacing w:before="100" w:after="100"/>
      </w:pPr>
      <w:r w:rsidRPr="001D5327">
        <w:t>Many of the issues corrected for the 2025 submission were discovered as a part of the development of an on-farm emissions calculation methodology by MPI. This process went through both the published methodology document and inventory model code to replicate many of the calculations in a way that would work for the requirements at a farm level.</w:t>
      </w:r>
    </w:p>
    <w:p w14:paraId="494239A0" w14:textId="77777777" w:rsidR="00590FE1" w:rsidRPr="001D5327" w:rsidRDefault="00590FE1" w:rsidP="00590FE1">
      <w:pPr>
        <w:pStyle w:val="BodyText"/>
        <w:spacing w:before="100" w:after="100"/>
        <w:rPr>
          <w:rFonts w:eastAsiaTheme="minorHAnsi" w:cs="Arial"/>
        </w:rPr>
      </w:pPr>
      <w:r w:rsidRPr="001D5327">
        <w:rPr>
          <w:rFonts w:eastAsiaTheme="minorHAnsi" w:cs="Arial"/>
        </w:rPr>
        <w:t xml:space="preserve">The main changes are related to milk consumed by young animals, energy requirements for gestation, sheep, beef and mature dairy cow liveweight estimates, and dairy cattle monthly milk production estimates. </w:t>
      </w:r>
    </w:p>
    <w:p w14:paraId="0CA99E3F" w14:textId="77777777" w:rsidR="00590FE1" w:rsidRPr="001D5327" w:rsidRDefault="00590FE1" w:rsidP="00590FE1">
      <w:pPr>
        <w:pStyle w:val="BodyText"/>
        <w:spacing w:before="100" w:after="100"/>
      </w:pPr>
      <w:r w:rsidRPr="001D5327">
        <w:t xml:space="preserve">Implementing these changes caused emissions from the </w:t>
      </w:r>
      <w:r w:rsidRPr="001D5327">
        <w:rPr>
          <w:i/>
        </w:rPr>
        <w:t>Enteric fermentation</w:t>
      </w:r>
      <w:r w:rsidRPr="001D5327">
        <w:t xml:space="preserve"> category to decrease by 34.3 kt CO</w:t>
      </w:r>
      <w:r w:rsidRPr="001D5327">
        <w:rPr>
          <w:vertAlign w:val="subscript"/>
        </w:rPr>
        <w:t>2</w:t>
      </w:r>
      <w:r w:rsidRPr="001D5327">
        <w:t>-e in 1990 and increase by 335.9 kt CO</w:t>
      </w:r>
      <w:r w:rsidRPr="001D5327">
        <w:rPr>
          <w:vertAlign w:val="subscript"/>
        </w:rPr>
        <w:t>2</w:t>
      </w:r>
      <w:r w:rsidRPr="001D5327">
        <w:t>-e in 2022 (see table 5.2.11).</w:t>
      </w:r>
    </w:p>
    <w:p w14:paraId="622898AC" w14:textId="77777777" w:rsidR="00590FE1" w:rsidRPr="001D5327" w:rsidRDefault="00590FE1" w:rsidP="00590FE1">
      <w:pPr>
        <w:pStyle w:val="Table"/>
      </w:pPr>
      <w:bookmarkStart w:id="864" w:name="_Toc160114446"/>
      <w:bookmarkStart w:id="865" w:name="_Toc164153842"/>
      <w:bookmarkStart w:id="866" w:name="_Toc194241711"/>
      <w:r w:rsidRPr="001D5327">
        <w:rPr>
          <w:rFonts w:cs="Calibri"/>
        </w:rPr>
        <w:t>Table 5.2.11</w:t>
      </w:r>
      <w:r w:rsidRPr="001D5327">
        <w:rPr>
          <w:rFonts w:cs="Calibri"/>
        </w:rPr>
        <w:tab/>
        <w:t>Comparison of model results with and without corrections for emissions from </w:t>
      </w:r>
      <w:r w:rsidRPr="001D5327">
        <w:rPr>
          <w:rFonts w:cs="Calibri"/>
          <w:i/>
          <w:iCs/>
        </w:rPr>
        <w:t>Enteric fermentation</w:t>
      </w:r>
      <w:bookmarkEnd w:id="864"/>
      <w:bookmarkEnd w:id="865"/>
      <w:bookmarkEnd w:id="866"/>
      <w:r w:rsidRPr="001D5327">
        <w:rPr>
          <w:rFonts w:cs="Calibri"/>
          <w:i/>
          <w:iCs/>
        </w:rPr>
        <w:t xml:space="preserve"> </w:t>
      </w:r>
    </w:p>
    <w:tbl>
      <w:tblPr>
        <w:tblW w:w="8505" w:type="dxa"/>
        <w:tblBorders>
          <w:top w:val="single" w:sz="2" w:space="0" w:color="1B556B" w:themeColor="text2"/>
          <w:bottom w:val="single" w:sz="2" w:space="0" w:color="1B556B" w:themeColor="text2"/>
          <w:insideH w:val="single" w:sz="2" w:space="0" w:color="1B556B" w:themeColor="text2"/>
          <w:insideV w:val="single" w:sz="2" w:space="0" w:color="1B556B" w:themeColor="text2"/>
        </w:tblBorders>
        <w:tblCellMar>
          <w:left w:w="85" w:type="dxa"/>
          <w:right w:w="85" w:type="dxa"/>
        </w:tblCellMar>
        <w:tblLook w:val="04A0" w:firstRow="1" w:lastRow="0" w:firstColumn="1" w:lastColumn="0" w:noHBand="0" w:noVBand="1"/>
      </w:tblPr>
      <w:tblGrid>
        <w:gridCol w:w="1069"/>
        <w:gridCol w:w="2003"/>
        <w:gridCol w:w="857"/>
        <w:gridCol w:w="857"/>
        <w:gridCol w:w="1716"/>
        <w:gridCol w:w="2003"/>
      </w:tblGrid>
      <w:tr w:rsidR="00590FE1" w:rsidRPr="001D5327" w14:paraId="7E283E58" w14:textId="77777777" w:rsidTr="00403787">
        <w:tc>
          <w:tcPr>
            <w:tcW w:w="1060" w:type="dxa"/>
            <w:shd w:val="clear" w:color="000000" w:fill="1B556B"/>
            <w:vAlign w:val="bottom"/>
          </w:tcPr>
          <w:p w14:paraId="4A75EAC1" w14:textId="77777777" w:rsidR="00590FE1" w:rsidRPr="001D5327" w:rsidRDefault="00590FE1" w:rsidP="00403787">
            <w:pPr>
              <w:pStyle w:val="TableText"/>
              <w:spacing w:before="40" w:after="40"/>
              <w:rPr>
                <w:b/>
                <w:bCs/>
                <w:color w:val="FFFFFF" w:themeColor="background1"/>
              </w:rPr>
            </w:pPr>
          </w:p>
        </w:tc>
        <w:tc>
          <w:tcPr>
            <w:tcW w:w="1985" w:type="dxa"/>
            <w:tcBorders>
              <w:bottom w:val="single" w:sz="2" w:space="0" w:color="1B556B" w:themeColor="text2"/>
            </w:tcBorders>
            <w:shd w:val="clear" w:color="000000" w:fill="1B556B"/>
            <w:vAlign w:val="bottom"/>
            <w:hideMark/>
          </w:tcPr>
          <w:p w14:paraId="28BBDA03" w14:textId="77777777" w:rsidR="00590FE1" w:rsidRPr="001D5327" w:rsidRDefault="00590FE1" w:rsidP="00403787">
            <w:pPr>
              <w:pStyle w:val="TableText"/>
              <w:spacing w:before="40" w:after="40"/>
              <w:rPr>
                <w:b/>
                <w:bCs/>
                <w:color w:val="FFFFFF" w:themeColor="background1"/>
              </w:rPr>
            </w:pPr>
            <w:r w:rsidRPr="001D5327">
              <w:rPr>
                <w:rFonts w:cs="Calibri"/>
                <w:color w:val="000000"/>
                <w:sz w:val="20"/>
                <w:szCs w:val="20"/>
              </w:rPr>
              <w:t> </w:t>
            </w:r>
          </w:p>
        </w:tc>
        <w:tc>
          <w:tcPr>
            <w:tcW w:w="849" w:type="dxa"/>
            <w:tcBorders>
              <w:bottom w:val="single" w:sz="2" w:space="0" w:color="1B556B" w:themeColor="text2"/>
            </w:tcBorders>
            <w:shd w:val="clear" w:color="000000" w:fill="1B556B"/>
            <w:vAlign w:val="bottom"/>
            <w:hideMark/>
          </w:tcPr>
          <w:p w14:paraId="49A76E25"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49" w:type="dxa"/>
            <w:tcBorders>
              <w:bottom w:val="single" w:sz="2" w:space="0" w:color="1B556B" w:themeColor="text2"/>
            </w:tcBorders>
            <w:shd w:val="clear" w:color="000000" w:fill="1B556B"/>
            <w:vAlign w:val="bottom"/>
            <w:hideMark/>
          </w:tcPr>
          <w:p w14:paraId="37395F1A"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701" w:type="dxa"/>
            <w:tcBorders>
              <w:bottom w:val="single" w:sz="2" w:space="0" w:color="1B556B" w:themeColor="text2"/>
            </w:tcBorders>
            <w:shd w:val="clear" w:color="000000" w:fill="1B556B"/>
            <w:vAlign w:val="bottom"/>
            <w:hideMark/>
          </w:tcPr>
          <w:p w14:paraId="2F02443C"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985" w:type="dxa"/>
            <w:shd w:val="clear" w:color="000000" w:fill="1B556B"/>
            <w:vAlign w:val="bottom"/>
            <w:hideMark/>
          </w:tcPr>
          <w:p w14:paraId="050078D5"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Percentage change in emission outputs between 1990 and 2022 (%)</w:t>
            </w:r>
          </w:p>
        </w:tc>
      </w:tr>
      <w:tr w:rsidR="00590FE1" w:rsidRPr="001D5327" w14:paraId="6DDCBE62" w14:textId="77777777" w:rsidTr="00403787">
        <w:tc>
          <w:tcPr>
            <w:tcW w:w="1060" w:type="dxa"/>
            <w:vMerge w:val="restart"/>
            <w:tcBorders>
              <w:right w:val="nil"/>
            </w:tcBorders>
            <w:shd w:val="clear" w:color="auto" w:fill="auto"/>
            <w:vAlign w:val="center"/>
            <w:hideMark/>
          </w:tcPr>
          <w:p w14:paraId="68ECB44C" w14:textId="77777777" w:rsidR="00590FE1" w:rsidRPr="001D5327" w:rsidRDefault="00590FE1" w:rsidP="00403787">
            <w:pPr>
              <w:pStyle w:val="TableText"/>
              <w:spacing w:before="40" w:after="40"/>
              <w:rPr>
                <w:color w:val="000000"/>
              </w:rPr>
            </w:pPr>
            <w:r w:rsidRPr="001D5327">
              <w:rPr>
                <w:rFonts w:cs="Calibri"/>
                <w:color w:val="000000"/>
                <w:szCs w:val="16"/>
              </w:rPr>
              <w:t xml:space="preserve">Total emissions from </w:t>
            </w:r>
            <w:r w:rsidRPr="001D5327">
              <w:rPr>
                <w:rFonts w:cs="Calibri"/>
                <w:i/>
                <w:color w:val="000000"/>
                <w:szCs w:val="16"/>
              </w:rPr>
              <w:t>Enteric fermentation</w:t>
            </w:r>
            <w:r w:rsidRPr="001D5327">
              <w:rPr>
                <w:rFonts w:cs="Calibri"/>
                <w:color w:val="000000"/>
                <w:szCs w:val="16"/>
              </w:rPr>
              <w:t xml:space="preserve"> </w:t>
            </w:r>
          </w:p>
        </w:tc>
        <w:tc>
          <w:tcPr>
            <w:tcW w:w="1985" w:type="dxa"/>
            <w:tcBorders>
              <w:left w:val="nil"/>
              <w:right w:val="nil"/>
            </w:tcBorders>
            <w:shd w:val="clear" w:color="auto" w:fill="auto"/>
            <w:vAlign w:val="center"/>
            <w:hideMark/>
          </w:tcPr>
          <w:p w14:paraId="5BCDAB0A" w14:textId="77777777" w:rsidR="00590FE1" w:rsidRPr="001D5327" w:rsidRDefault="00590FE1" w:rsidP="00403787">
            <w:pPr>
              <w:pStyle w:val="TableText"/>
              <w:spacing w:before="40" w:after="40"/>
              <w:rPr>
                <w:color w:val="000000"/>
              </w:rPr>
            </w:pPr>
            <w:r w:rsidRPr="001D5327">
              <w:rPr>
                <w:rFonts w:cs="Calibri"/>
                <w:color w:val="000000"/>
                <w:szCs w:val="16"/>
              </w:rPr>
              <w:t>2024 (1990–2022) emissions estimate</w:t>
            </w:r>
          </w:p>
        </w:tc>
        <w:tc>
          <w:tcPr>
            <w:tcW w:w="849" w:type="dxa"/>
            <w:tcBorders>
              <w:left w:val="nil"/>
              <w:right w:val="nil"/>
            </w:tcBorders>
            <w:shd w:val="clear" w:color="auto" w:fill="auto"/>
            <w:vAlign w:val="bottom"/>
            <w:hideMark/>
          </w:tcPr>
          <w:p w14:paraId="7C2779E4" w14:textId="77777777" w:rsidR="00590FE1" w:rsidRPr="001D5327" w:rsidRDefault="00590FE1" w:rsidP="00403787">
            <w:pPr>
              <w:pStyle w:val="TableText"/>
              <w:spacing w:before="40" w:after="40"/>
              <w:jc w:val="right"/>
              <w:rPr>
                <w:color w:val="000000"/>
              </w:rPr>
            </w:pPr>
            <w:r w:rsidRPr="001D5327">
              <w:rPr>
                <w:rFonts w:cs="Calibri"/>
                <w:color w:val="000000"/>
                <w:szCs w:val="16"/>
              </w:rPr>
              <w:t>31,212.5</w:t>
            </w:r>
          </w:p>
        </w:tc>
        <w:tc>
          <w:tcPr>
            <w:tcW w:w="849" w:type="dxa"/>
            <w:tcBorders>
              <w:left w:val="nil"/>
              <w:right w:val="nil"/>
            </w:tcBorders>
            <w:shd w:val="clear" w:color="auto" w:fill="auto"/>
            <w:vAlign w:val="bottom"/>
            <w:hideMark/>
          </w:tcPr>
          <w:p w14:paraId="117C292D" w14:textId="77777777" w:rsidR="00590FE1" w:rsidRPr="001D5327" w:rsidRDefault="00590FE1" w:rsidP="00403787">
            <w:pPr>
              <w:pStyle w:val="TableText"/>
              <w:spacing w:before="40" w:after="40"/>
              <w:jc w:val="right"/>
              <w:rPr>
                <w:color w:val="000000"/>
              </w:rPr>
            </w:pPr>
            <w:r w:rsidRPr="001D5327">
              <w:rPr>
                <w:rFonts w:cs="Calibri"/>
                <w:color w:val="000000"/>
                <w:szCs w:val="16"/>
              </w:rPr>
              <w:t>32,617.2</w:t>
            </w:r>
          </w:p>
        </w:tc>
        <w:tc>
          <w:tcPr>
            <w:tcW w:w="1701" w:type="dxa"/>
            <w:tcBorders>
              <w:left w:val="nil"/>
              <w:right w:val="nil"/>
            </w:tcBorders>
            <w:shd w:val="clear" w:color="auto" w:fill="auto"/>
            <w:vAlign w:val="bottom"/>
            <w:hideMark/>
          </w:tcPr>
          <w:p w14:paraId="634454E0" w14:textId="77777777" w:rsidR="00590FE1" w:rsidRPr="001D5327" w:rsidRDefault="00590FE1" w:rsidP="00403787">
            <w:pPr>
              <w:pStyle w:val="TableText"/>
              <w:spacing w:before="40" w:after="40"/>
              <w:jc w:val="right"/>
              <w:rPr>
                <w:color w:val="000000"/>
              </w:rPr>
            </w:pPr>
            <w:r w:rsidRPr="001D5327">
              <w:rPr>
                <w:rFonts w:cs="Calibri"/>
                <w:color w:val="000000"/>
                <w:szCs w:val="16"/>
              </w:rPr>
              <w:t>1,404.7</w:t>
            </w:r>
          </w:p>
        </w:tc>
        <w:tc>
          <w:tcPr>
            <w:tcW w:w="1985" w:type="dxa"/>
            <w:tcBorders>
              <w:left w:val="nil"/>
            </w:tcBorders>
            <w:shd w:val="clear" w:color="auto" w:fill="auto"/>
            <w:vAlign w:val="bottom"/>
            <w:hideMark/>
          </w:tcPr>
          <w:p w14:paraId="4F78F1B0" w14:textId="77777777" w:rsidR="00590FE1" w:rsidRPr="001D5327" w:rsidRDefault="00590FE1" w:rsidP="00403787">
            <w:pPr>
              <w:pStyle w:val="TableText"/>
              <w:spacing w:before="40" w:after="40"/>
              <w:jc w:val="right"/>
              <w:rPr>
                <w:color w:val="000000"/>
              </w:rPr>
            </w:pPr>
            <w:r w:rsidRPr="001D5327">
              <w:rPr>
                <w:rFonts w:cs="Calibri"/>
                <w:color w:val="000000"/>
                <w:szCs w:val="16"/>
              </w:rPr>
              <w:t>4.5</w:t>
            </w:r>
          </w:p>
        </w:tc>
      </w:tr>
      <w:tr w:rsidR="00590FE1" w:rsidRPr="001D5327" w14:paraId="7AD4D18A" w14:textId="77777777" w:rsidTr="00403787">
        <w:tc>
          <w:tcPr>
            <w:tcW w:w="1060" w:type="dxa"/>
            <w:vMerge/>
            <w:tcBorders>
              <w:right w:val="nil"/>
            </w:tcBorders>
            <w:vAlign w:val="center"/>
            <w:hideMark/>
          </w:tcPr>
          <w:p w14:paraId="4880A073" w14:textId="77777777" w:rsidR="00590FE1" w:rsidRPr="001D5327" w:rsidRDefault="00590FE1" w:rsidP="00403787">
            <w:pPr>
              <w:pStyle w:val="TableText"/>
              <w:spacing w:before="40" w:after="40"/>
              <w:rPr>
                <w:color w:val="000000"/>
              </w:rPr>
            </w:pPr>
          </w:p>
        </w:tc>
        <w:tc>
          <w:tcPr>
            <w:tcW w:w="1985" w:type="dxa"/>
            <w:tcBorders>
              <w:left w:val="nil"/>
              <w:right w:val="nil"/>
            </w:tcBorders>
            <w:shd w:val="clear" w:color="auto" w:fill="auto"/>
            <w:vAlign w:val="center"/>
            <w:hideMark/>
          </w:tcPr>
          <w:p w14:paraId="09983685" w14:textId="77777777" w:rsidR="00590FE1" w:rsidRPr="001D5327" w:rsidRDefault="00590FE1" w:rsidP="00403787">
            <w:pPr>
              <w:pStyle w:val="TableText"/>
              <w:spacing w:before="40" w:after="40"/>
              <w:rPr>
                <w:color w:val="000000"/>
              </w:rPr>
            </w:pPr>
            <w:r w:rsidRPr="001D5327">
              <w:rPr>
                <w:rFonts w:cs="Calibri"/>
                <w:color w:val="000000"/>
                <w:szCs w:val="16"/>
              </w:rPr>
              <w:t xml:space="preserve">2024 (1990–2022) emissions estimate </w:t>
            </w:r>
            <w:r w:rsidRPr="001D5327">
              <w:rPr>
                <w:rFonts w:cs="Calibri"/>
                <w:i/>
                <w:iCs/>
                <w:color w:val="000000"/>
                <w:szCs w:val="16"/>
              </w:rPr>
              <w:t>with corrections applied</w:t>
            </w:r>
          </w:p>
        </w:tc>
        <w:tc>
          <w:tcPr>
            <w:tcW w:w="849" w:type="dxa"/>
            <w:tcBorders>
              <w:left w:val="nil"/>
              <w:right w:val="nil"/>
            </w:tcBorders>
            <w:shd w:val="clear" w:color="auto" w:fill="auto"/>
            <w:vAlign w:val="bottom"/>
            <w:hideMark/>
          </w:tcPr>
          <w:p w14:paraId="2F703E85" w14:textId="77777777" w:rsidR="00590FE1" w:rsidRPr="001D5327" w:rsidRDefault="00590FE1" w:rsidP="00403787">
            <w:pPr>
              <w:pStyle w:val="TableText"/>
              <w:spacing w:before="40" w:after="40"/>
              <w:jc w:val="right"/>
              <w:rPr>
                <w:color w:val="000000"/>
              </w:rPr>
            </w:pPr>
            <w:r w:rsidRPr="001D5327">
              <w:rPr>
                <w:rFonts w:cs="Calibri"/>
                <w:color w:val="000000"/>
                <w:szCs w:val="16"/>
              </w:rPr>
              <w:t>31,178.2</w:t>
            </w:r>
          </w:p>
        </w:tc>
        <w:tc>
          <w:tcPr>
            <w:tcW w:w="849" w:type="dxa"/>
            <w:tcBorders>
              <w:left w:val="nil"/>
              <w:right w:val="nil"/>
            </w:tcBorders>
            <w:shd w:val="clear" w:color="auto" w:fill="auto"/>
            <w:vAlign w:val="bottom"/>
            <w:hideMark/>
          </w:tcPr>
          <w:p w14:paraId="001B429F" w14:textId="77777777" w:rsidR="00590FE1" w:rsidRPr="001D5327" w:rsidRDefault="00590FE1" w:rsidP="00403787">
            <w:pPr>
              <w:pStyle w:val="TableText"/>
              <w:spacing w:before="40" w:after="40"/>
              <w:jc w:val="right"/>
              <w:rPr>
                <w:color w:val="000000"/>
              </w:rPr>
            </w:pPr>
            <w:r w:rsidRPr="001D5327">
              <w:rPr>
                <w:rFonts w:cs="Calibri"/>
                <w:color w:val="000000"/>
                <w:szCs w:val="16"/>
              </w:rPr>
              <w:t>32,953.1</w:t>
            </w:r>
          </w:p>
        </w:tc>
        <w:tc>
          <w:tcPr>
            <w:tcW w:w="1701" w:type="dxa"/>
            <w:tcBorders>
              <w:left w:val="nil"/>
              <w:right w:val="nil"/>
            </w:tcBorders>
            <w:shd w:val="clear" w:color="auto" w:fill="auto"/>
            <w:vAlign w:val="bottom"/>
            <w:hideMark/>
          </w:tcPr>
          <w:p w14:paraId="30D77A1F" w14:textId="77777777" w:rsidR="00590FE1" w:rsidRPr="001D5327" w:rsidRDefault="00590FE1" w:rsidP="00403787">
            <w:pPr>
              <w:pStyle w:val="TableText"/>
              <w:spacing w:before="40" w:after="40"/>
              <w:jc w:val="right"/>
              <w:rPr>
                <w:color w:val="000000"/>
              </w:rPr>
            </w:pPr>
            <w:r w:rsidRPr="001D5327">
              <w:rPr>
                <w:rFonts w:cs="Calibri"/>
                <w:color w:val="000000"/>
                <w:szCs w:val="16"/>
              </w:rPr>
              <w:t>1,774.9</w:t>
            </w:r>
          </w:p>
        </w:tc>
        <w:tc>
          <w:tcPr>
            <w:tcW w:w="1985" w:type="dxa"/>
            <w:tcBorders>
              <w:left w:val="nil"/>
            </w:tcBorders>
            <w:shd w:val="clear" w:color="auto" w:fill="auto"/>
            <w:vAlign w:val="bottom"/>
            <w:hideMark/>
          </w:tcPr>
          <w:p w14:paraId="5574BF1E" w14:textId="77777777" w:rsidR="00590FE1" w:rsidRPr="001D5327" w:rsidRDefault="00590FE1" w:rsidP="00403787">
            <w:pPr>
              <w:pStyle w:val="TableText"/>
              <w:spacing w:before="40" w:after="40"/>
              <w:jc w:val="right"/>
              <w:rPr>
                <w:color w:val="000000"/>
              </w:rPr>
            </w:pPr>
            <w:r w:rsidRPr="001D5327">
              <w:rPr>
                <w:rFonts w:cs="Calibri"/>
                <w:color w:val="000000"/>
                <w:szCs w:val="16"/>
              </w:rPr>
              <w:t>5.7</w:t>
            </w:r>
          </w:p>
        </w:tc>
      </w:tr>
      <w:tr w:rsidR="00590FE1" w:rsidRPr="001D5327" w14:paraId="520ABA70" w14:textId="77777777" w:rsidTr="00403787">
        <w:tc>
          <w:tcPr>
            <w:tcW w:w="1060" w:type="dxa"/>
            <w:vMerge/>
            <w:tcBorders>
              <w:right w:val="nil"/>
            </w:tcBorders>
            <w:vAlign w:val="center"/>
            <w:hideMark/>
          </w:tcPr>
          <w:p w14:paraId="51778DB3" w14:textId="77777777" w:rsidR="00590FE1" w:rsidRPr="001D5327" w:rsidRDefault="00590FE1" w:rsidP="00403787">
            <w:pPr>
              <w:pStyle w:val="TableText"/>
              <w:spacing w:before="40" w:after="40"/>
              <w:rPr>
                <w:color w:val="000000"/>
              </w:rPr>
            </w:pPr>
          </w:p>
        </w:tc>
        <w:tc>
          <w:tcPr>
            <w:tcW w:w="1985" w:type="dxa"/>
            <w:tcBorders>
              <w:left w:val="nil"/>
              <w:right w:val="nil"/>
            </w:tcBorders>
            <w:shd w:val="clear" w:color="auto" w:fill="auto"/>
            <w:vAlign w:val="center"/>
            <w:hideMark/>
          </w:tcPr>
          <w:p w14:paraId="7283DB86" w14:textId="77777777" w:rsidR="00590FE1" w:rsidRPr="001D5327" w:rsidRDefault="00590FE1" w:rsidP="00403787">
            <w:pPr>
              <w:pStyle w:val="TableText"/>
              <w:spacing w:before="40" w:after="40"/>
              <w:rPr>
                <w:color w:val="000000"/>
              </w:rPr>
            </w:pPr>
            <w:r w:rsidRPr="001D5327">
              <w:rPr>
                <w:rFonts w:cs="Calibri"/>
                <w:color w:val="000000"/>
                <w:szCs w:val="16"/>
              </w:rPr>
              <w:t>Difference in emissions estimates</w:t>
            </w:r>
          </w:p>
        </w:tc>
        <w:tc>
          <w:tcPr>
            <w:tcW w:w="849" w:type="dxa"/>
            <w:tcBorders>
              <w:left w:val="nil"/>
              <w:right w:val="nil"/>
            </w:tcBorders>
            <w:shd w:val="clear" w:color="auto" w:fill="auto"/>
            <w:vAlign w:val="bottom"/>
            <w:hideMark/>
          </w:tcPr>
          <w:p w14:paraId="4789992B" w14:textId="71FD9503"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34.3</w:t>
            </w:r>
          </w:p>
        </w:tc>
        <w:tc>
          <w:tcPr>
            <w:tcW w:w="849" w:type="dxa"/>
            <w:tcBorders>
              <w:left w:val="nil"/>
              <w:right w:val="nil"/>
            </w:tcBorders>
            <w:shd w:val="clear" w:color="auto" w:fill="auto"/>
            <w:vAlign w:val="bottom"/>
            <w:hideMark/>
          </w:tcPr>
          <w:p w14:paraId="04C5D945" w14:textId="77777777" w:rsidR="00590FE1" w:rsidRPr="001D5327" w:rsidRDefault="00590FE1" w:rsidP="00403787">
            <w:pPr>
              <w:pStyle w:val="TableText"/>
              <w:spacing w:before="40" w:after="40"/>
              <w:jc w:val="right"/>
              <w:rPr>
                <w:color w:val="000000"/>
              </w:rPr>
            </w:pPr>
            <w:r w:rsidRPr="001D5327">
              <w:rPr>
                <w:rFonts w:cs="Calibri"/>
                <w:color w:val="000000"/>
                <w:szCs w:val="16"/>
              </w:rPr>
              <w:t>335.9</w:t>
            </w:r>
          </w:p>
        </w:tc>
        <w:tc>
          <w:tcPr>
            <w:tcW w:w="1701" w:type="dxa"/>
            <w:tcBorders>
              <w:left w:val="nil"/>
              <w:right w:val="nil"/>
            </w:tcBorders>
            <w:shd w:val="clear" w:color="auto" w:fill="auto"/>
            <w:vAlign w:val="bottom"/>
            <w:hideMark/>
          </w:tcPr>
          <w:p w14:paraId="352CECF5"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985" w:type="dxa"/>
            <w:tcBorders>
              <w:left w:val="nil"/>
            </w:tcBorders>
            <w:shd w:val="clear" w:color="auto" w:fill="auto"/>
            <w:vAlign w:val="bottom"/>
            <w:hideMark/>
          </w:tcPr>
          <w:p w14:paraId="178B3205"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r w:rsidR="00590FE1" w:rsidRPr="001D5327" w14:paraId="11DF8C14" w14:textId="77777777" w:rsidTr="00403787">
        <w:tc>
          <w:tcPr>
            <w:tcW w:w="1060" w:type="dxa"/>
            <w:vMerge/>
            <w:tcBorders>
              <w:right w:val="nil"/>
            </w:tcBorders>
            <w:vAlign w:val="center"/>
            <w:hideMark/>
          </w:tcPr>
          <w:p w14:paraId="009F459D" w14:textId="77777777" w:rsidR="00590FE1" w:rsidRPr="001D5327" w:rsidRDefault="00590FE1" w:rsidP="00403787">
            <w:pPr>
              <w:pStyle w:val="TableText"/>
              <w:spacing w:before="40" w:after="40"/>
              <w:rPr>
                <w:color w:val="000000"/>
              </w:rPr>
            </w:pPr>
          </w:p>
        </w:tc>
        <w:tc>
          <w:tcPr>
            <w:tcW w:w="1985" w:type="dxa"/>
            <w:tcBorders>
              <w:left w:val="nil"/>
              <w:right w:val="nil"/>
            </w:tcBorders>
            <w:shd w:val="clear" w:color="auto" w:fill="auto"/>
            <w:vAlign w:val="center"/>
            <w:hideMark/>
          </w:tcPr>
          <w:p w14:paraId="793E533A" w14:textId="77777777" w:rsidR="00590FE1" w:rsidRPr="001D5327" w:rsidRDefault="00590FE1" w:rsidP="00403787">
            <w:pPr>
              <w:pStyle w:val="TableText"/>
              <w:spacing w:before="40" w:after="40"/>
              <w:rPr>
                <w:color w:val="000000"/>
              </w:rPr>
            </w:pPr>
            <w:r w:rsidRPr="001D5327">
              <w:rPr>
                <w:rFonts w:cs="Calibri"/>
                <w:color w:val="000000"/>
                <w:szCs w:val="16"/>
              </w:rPr>
              <w:t>Percentage difference in emissions estimates (%)</w:t>
            </w:r>
          </w:p>
        </w:tc>
        <w:tc>
          <w:tcPr>
            <w:tcW w:w="849" w:type="dxa"/>
            <w:tcBorders>
              <w:left w:val="nil"/>
              <w:right w:val="nil"/>
            </w:tcBorders>
            <w:shd w:val="clear" w:color="auto" w:fill="auto"/>
            <w:vAlign w:val="bottom"/>
            <w:hideMark/>
          </w:tcPr>
          <w:p w14:paraId="670BC4F1" w14:textId="4C539F2B"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0.1</w:t>
            </w:r>
          </w:p>
        </w:tc>
        <w:tc>
          <w:tcPr>
            <w:tcW w:w="849" w:type="dxa"/>
            <w:tcBorders>
              <w:left w:val="nil"/>
              <w:right w:val="nil"/>
            </w:tcBorders>
            <w:shd w:val="clear" w:color="auto" w:fill="auto"/>
            <w:vAlign w:val="bottom"/>
            <w:hideMark/>
          </w:tcPr>
          <w:p w14:paraId="498F3415" w14:textId="77777777" w:rsidR="00590FE1" w:rsidRPr="001D5327" w:rsidRDefault="00590FE1" w:rsidP="00403787">
            <w:pPr>
              <w:pStyle w:val="TableText"/>
              <w:spacing w:before="40" w:after="40"/>
              <w:jc w:val="right"/>
              <w:rPr>
                <w:color w:val="000000"/>
              </w:rPr>
            </w:pPr>
            <w:r w:rsidRPr="001D5327">
              <w:rPr>
                <w:rFonts w:cs="Calibri"/>
                <w:color w:val="000000"/>
                <w:szCs w:val="16"/>
              </w:rPr>
              <w:t>1.0</w:t>
            </w:r>
          </w:p>
        </w:tc>
        <w:tc>
          <w:tcPr>
            <w:tcW w:w="1701" w:type="dxa"/>
            <w:tcBorders>
              <w:left w:val="nil"/>
              <w:right w:val="nil"/>
            </w:tcBorders>
            <w:shd w:val="clear" w:color="auto" w:fill="auto"/>
            <w:vAlign w:val="bottom"/>
            <w:hideMark/>
          </w:tcPr>
          <w:p w14:paraId="15CDDE00"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985" w:type="dxa"/>
            <w:tcBorders>
              <w:left w:val="nil"/>
            </w:tcBorders>
            <w:shd w:val="clear" w:color="auto" w:fill="auto"/>
            <w:vAlign w:val="bottom"/>
            <w:hideMark/>
          </w:tcPr>
          <w:p w14:paraId="15CA6DB6"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bl>
    <w:p w14:paraId="480D8E24" w14:textId="77777777" w:rsidR="00590FE1" w:rsidRPr="001D5327" w:rsidRDefault="00590FE1" w:rsidP="00590FE1">
      <w:pPr>
        <w:pStyle w:val="Heading3"/>
        <w:spacing w:before="400"/>
      </w:pPr>
      <w:bookmarkStart w:id="867" w:name="_Toc32570656"/>
      <w:bookmarkStart w:id="868" w:name="_Toc69611740"/>
      <w:bookmarkStart w:id="869" w:name="_Toc69612696"/>
      <w:bookmarkStart w:id="870" w:name="_Toc69612895"/>
      <w:bookmarkStart w:id="871" w:name="_Toc69613155"/>
      <w:bookmarkStart w:id="872" w:name="_Toc69633319"/>
      <w:bookmarkStart w:id="873" w:name="_Toc69717484"/>
      <w:bookmarkStart w:id="874" w:name="_Toc69802966"/>
      <w:bookmarkStart w:id="875" w:name="_Toc69815103"/>
      <w:bookmarkStart w:id="876" w:name="_Toc70492396"/>
      <w:bookmarkStart w:id="877" w:name="_Toc101310603"/>
      <w:bookmarkStart w:id="878" w:name="_Toc101318463"/>
      <w:bookmarkStart w:id="879" w:name="_Toc101318568"/>
      <w:bookmarkStart w:id="880" w:name="_Toc101318752"/>
      <w:bookmarkStart w:id="881" w:name="_Toc101334028"/>
      <w:bookmarkStart w:id="882" w:name="_Toc134847205"/>
      <w:bookmarkStart w:id="883" w:name="_Toc139253923"/>
      <w:bookmarkStart w:id="884" w:name="_Toc144710414"/>
      <w:bookmarkStart w:id="885" w:name="_Toc165890368"/>
      <w:bookmarkStart w:id="886" w:name="_Toc195322662"/>
      <w:bookmarkStart w:id="887" w:name="_Toc235955528"/>
      <w:bookmarkStart w:id="888" w:name="_Toc288316641"/>
      <w:bookmarkStart w:id="889" w:name="_Toc352504861"/>
      <w:bookmarkStart w:id="890" w:name="_Toc448321524"/>
      <w:bookmarkStart w:id="891" w:name="_Toc481751386"/>
      <w:bookmarkStart w:id="892" w:name="_Toc511116601"/>
      <w:bookmarkStart w:id="893" w:name="_Toc5269363"/>
      <w:bookmarkEnd w:id="849"/>
      <w:r w:rsidRPr="001D5327">
        <w:t>5.2.6</w:t>
      </w:r>
      <w:r w:rsidRPr="001D5327">
        <w:tab/>
      </w:r>
      <w:bookmarkStart w:id="894" w:name="_Hlk154135510"/>
      <w:r w:rsidRPr="001D5327">
        <w:t>Category-specific planned improvements</w:t>
      </w:r>
      <w:bookmarkEnd w:id="867"/>
      <w:r w:rsidRPr="001D5327">
        <w:t xml:space="preserve"> </w:t>
      </w:r>
      <w:bookmarkEnd w:id="894"/>
    </w:p>
    <w:p w14:paraId="4B12E1BB" w14:textId="77777777" w:rsidR="00590FE1" w:rsidRPr="001D5327" w:rsidRDefault="00590FE1" w:rsidP="00590FE1">
      <w:pPr>
        <w:pStyle w:val="BodyText"/>
        <w:spacing w:before="80" w:after="100"/>
        <w:rPr>
          <w:rFonts w:cs="Calibri"/>
        </w:rPr>
      </w:pPr>
      <w:r w:rsidRPr="001D5327">
        <w:rPr>
          <w:rFonts w:cs="Calibri"/>
        </w:rPr>
        <w:t>New Zealand is carrying out ongoing research to improve estimates of CH</w:t>
      </w:r>
      <w:r w:rsidRPr="001D5327">
        <w:rPr>
          <w:rFonts w:cs="Calibri"/>
          <w:vertAlign w:val="subscript"/>
        </w:rPr>
        <w:t>4</w:t>
      </w:r>
      <w:r w:rsidRPr="001D5327">
        <w:rPr>
          <w:rFonts w:cs="Calibri"/>
        </w:rPr>
        <w:t xml:space="preserve"> emissions from </w:t>
      </w:r>
      <w:r w:rsidRPr="001D5327">
        <w:rPr>
          <w:rFonts w:cs="Calibri"/>
          <w:i/>
          <w:iCs/>
        </w:rPr>
        <w:t>Enteric fermentation</w:t>
      </w:r>
      <w:r w:rsidRPr="001D5327">
        <w:rPr>
          <w:rFonts w:cs="Calibri"/>
        </w:rPr>
        <w:t>. The projects described below outline research focused specifically on the </w:t>
      </w:r>
      <w:r w:rsidRPr="001D5327">
        <w:rPr>
          <w:rFonts w:cs="Calibri"/>
          <w:i/>
          <w:iCs/>
        </w:rPr>
        <w:t>Enteric fermentation</w:t>
      </w:r>
      <w:r w:rsidRPr="001D5327">
        <w:rPr>
          <w:rFonts w:cs="Calibri"/>
        </w:rPr>
        <w:t xml:space="preserve"> reporting category of the Agriculture inventory sector, although several cross-cutting, broader projects that will improve the accuracy of emissions estimates in multiple categories (including </w:t>
      </w:r>
      <w:r w:rsidRPr="001D5327">
        <w:rPr>
          <w:rFonts w:cs="Calibri"/>
          <w:i/>
        </w:rPr>
        <w:t>Enteric fermentation</w:t>
      </w:r>
      <w:r w:rsidRPr="001D5327">
        <w:rPr>
          <w:rFonts w:cs="Calibri"/>
        </w:rPr>
        <w:t xml:space="preserve">, </w:t>
      </w:r>
      <w:r w:rsidRPr="001D5327">
        <w:rPr>
          <w:rFonts w:cs="Calibri"/>
          <w:i/>
        </w:rPr>
        <w:t>Manure management</w:t>
      </w:r>
      <w:r w:rsidRPr="001D5327">
        <w:rPr>
          <w:rFonts w:cs="Calibri"/>
        </w:rPr>
        <w:t xml:space="preserve"> and </w:t>
      </w:r>
      <w:r w:rsidRPr="001D5327">
        <w:rPr>
          <w:rFonts w:cs="Calibri"/>
          <w:i/>
          <w:iCs/>
        </w:rPr>
        <w:t>Agricultural soils</w:t>
      </w:r>
      <w:r w:rsidRPr="001D5327">
        <w:rPr>
          <w:rFonts w:cs="Calibri"/>
        </w:rPr>
        <w:t>) are described in section 5.1.7.</w:t>
      </w:r>
    </w:p>
    <w:p w14:paraId="2E6A96EE" w14:textId="77777777" w:rsidR="00590FE1" w:rsidRPr="001D5327" w:rsidRDefault="00590FE1" w:rsidP="00590FE1">
      <w:pPr>
        <w:pStyle w:val="Heading5"/>
      </w:pPr>
      <w:r w:rsidRPr="001D5327">
        <w:lastRenderedPageBreak/>
        <w:t>Development of a gene flow sub-model for sheep to account for increasing use of low</w:t>
      </w:r>
      <w:r w:rsidRPr="001D5327">
        <w:noBreakHyphen/>
        <w:t xml:space="preserve">methane rams across the sheep sector </w:t>
      </w:r>
    </w:p>
    <w:p w14:paraId="4A2CF3B0" w14:textId="77777777" w:rsidR="00590FE1" w:rsidRPr="001D5327" w:rsidRDefault="00590FE1" w:rsidP="00590FE1">
      <w:pPr>
        <w:pStyle w:val="BodyText"/>
        <w:spacing w:before="100" w:after="100"/>
      </w:pPr>
      <w:r w:rsidRPr="001D5327">
        <w:t xml:space="preserve">Research in </w:t>
      </w:r>
      <w:r w:rsidRPr="001D5327" w:rsidDel="00883D4F">
        <w:rPr>
          <w:rFonts w:cs="Calibri"/>
        </w:rPr>
        <w:t xml:space="preserve">New </w:t>
      </w:r>
      <w:r w:rsidRPr="001D5327">
        <w:rPr>
          <w:rFonts w:cs="Calibri"/>
        </w:rPr>
        <w:t>Zealand</w:t>
      </w:r>
      <w:r w:rsidRPr="001D5327">
        <w:t xml:space="preserve"> during the past two decades has proven that breeding sheep with lower </w:t>
      </w:r>
      <w:r w:rsidRPr="001D5327">
        <w:rPr>
          <w:rFonts w:cs="Calibri"/>
        </w:rPr>
        <w:t>CH</w:t>
      </w:r>
      <w:r w:rsidRPr="001D5327">
        <w:rPr>
          <w:rFonts w:cs="Calibri"/>
          <w:vertAlign w:val="subscript"/>
        </w:rPr>
        <w:t>4</w:t>
      </w:r>
      <w:r w:rsidRPr="001D5327">
        <w:rPr>
          <w:rFonts w:cs="Calibri"/>
        </w:rPr>
        <w:t xml:space="preserve"> </w:t>
      </w:r>
      <w:r w:rsidRPr="001D5327">
        <w:t xml:space="preserve">emissions per unit of DMI is feasible. A deterministic gene flow model has been developed to account for the emissions reduction due to the use of this mitigation in the </w:t>
      </w:r>
      <w:r w:rsidRPr="001D5327" w:rsidDel="00076797">
        <w:rPr>
          <w:rFonts w:cs="Calibri"/>
        </w:rPr>
        <w:t>New</w:t>
      </w:r>
      <w:r w:rsidRPr="001D5327">
        <w:rPr>
          <w:rFonts w:cs="Calibri"/>
        </w:rPr>
        <w:t> Zealand</w:t>
      </w:r>
      <w:r w:rsidRPr="001D5327">
        <w:t xml:space="preserve"> sheep industry. The core functionality of the model is to track the impact of the use of low-methane rams in the national sheep flock. This involves tracking the number of ‘expressions’ of genetic merit observed in both the rams, and descendants of each of the ram teams used, and then calculating the impact on emissions according to changes in ram merit over time and the introduction of their genes into the general sheep population. </w:t>
      </w:r>
    </w:p>
    <w:p w14:paraId="398D8EDD" w14:textId="77777777" w:rsidR="00590FE1" w:rsidRPr="001D5327" w:rsidRDefault="00590FE1" w:rsidP="00590FE1">
      <w:pPr>
        <w:pStyle w:val="Heading5"/>
      </w:pPr>
      <w:r w:rsidRPr="001D5327">
        <w:t>Development of a national repository of relative genetic merit of New Zealand sheep</w:t>
      </w:r>
    </w:p>
    <w:p w14:paraId="06AE8BA8" w14:textId="77777777" w:rsidR="00590FE1" w:rsidRPr="001D5327" w:rsidRDefault="00590FE1" w:rsidP="00590FE1">
      <w:pPr>
        <w:pStyle w:val="BodyText"/>
        <w:spacing w:before="100" w:after="100"/>
        <w:rPr>
          <w:rFonts w:eastAsiaTheme="minorHAnsi"/>
          <w:lang w:eastAsia="en-US"/>
        </w:rPr>
      </w:pPr>
      <w:r w:rsidRPr="001D5327">
        <w:rPr>
          <w:rFonts w:eastAsiaTheme="minorHAnsi"/>
          <w:lang w:eastAsia="en-US"/>
        </w:rPr>
        <w:t xml:space="preserve">The successful implementation of a gene flow model requires genetic activity data. This research </w:t>
      </w:r>
      <w:r w:rsidRPr="001D5327">
        <w:t>described a value that could be ascribed to an individual animal that defined the amount of CH</w:t>
      </w:r>
      <w:r w:rsidRPr="001D5327">
        <w:rPr>
          <w:vertAlign w:val="subscript"/>
        </w:rPr>
        <w:t>4</w:t>
      </w:r>
      <w:r w:rsidRPr="001D5327">
        <w:t xml:space="preserve"> emissions expected for a given amount of feed for the animal and its future offspring. The final breeding value defined has been adopted by Beef + Lamb New Zealand for a national breeding scheme and will be implemented over the next one-to-two years. </w:t>
      </w:r>
    </w:p>
    <w:p w14:paraId="71305790" w14:textId="77777777" w:rsidR="00590FE1" w:rsidRPr="001D5327" w:rsidRDefault="00590FE1" w:rsidP="00590FE1">
      <w:pPr>
        <w:pStyle w:val="Heading5"/>
        <w:spacing w:before="200"/>
      </w:pPr>
      <w:r w:rsidRPr="001D5327">
        <w:t>Methane emissions from supplemented dairy cows</w:t>
      </w:r>
    </w:p>
    <w:p w14:paraId="669C1D9B" w14:textId="77777777" w:rsidR="00590FE1" w:rsidRPr="001D5327" w:rsidRDefault="00590FE1" w:rsidP="00590FE1">
      <w:pPr>
        <w:pStyle w:val="BodyText"/>
        <w:spacing w:before="100" w:after="100"/>
      </w:pPr>
      <w:r w:rsidRPr="001D5327">
        <w:t xml:space="preserve">This project will determine </w:t>
      </w:r>
      <w:r w:rsidRPr="001D5327">
        <w:rPr>
          <w:rFonts w:cs="Calibri"/>
        </w:rPr>
        <w:t>CH</w:t>
      </w:r>
      <w:r w:rsidRPr="001D5327">
        <w:rPr>
          <w:rFonts w:cs="Calibri"/>
          <w:vertAlign w:val="subscript"/>
        </w:rPr>
        <w:t>4</w:t>
      </w:r>
      <w:r w:rsidRPr="001D5327">
        <w:rPr>
          <w:rFonts w:cs="Calibri"/>
        </w:rPr>
        <w:t xml:space="preserve"> </w:t>
      </w:r>
      <w:r w:rsidRPr="001D5327">
        <w:t xml:space="preserve">emissions, using several measurement techniques, from early to mid-lactation dairy cows grazing ryegrass-based pasture and feed graded levels of concentrates (two contrasting types, for example, starch-rich and fibre-rich). These new data will be combined with relevant existing data from New Zealand and international databases on </w:t>
      </w:r>
      <w:r w:rsidRPr="001D5327">
        <w:rPr>
          <w:rFonts w:cs="Calibri"/>
        </w:rPr>
        <w:t>CH</w:t>
      </w:r>
      <w:r w:rsidRPr="001D5327">
        <w:rPr>
          <w:rFonts w:cs="Calibri"/>
          <w:vertAlign w:val="subscript"/>
        </w:rPr>
        <w:t>4</w:t>
      </w:r>
      <w:r w:rsidRPr="001D5327">
        <w:rPr>
          <w:rFonts w:cs="Calibri"/>
        </w:rPr>
        <w:t xml:space="preserve"> </w:t>
      </w:r>
      <w:r w:rsidRPr="001D5327">
        <w:t>emissions from dairy cattle fed pasture plus supplements. This will be used to determine if CH</w:t>
      </w:r>
      <w:r w:rsidRPr="001D5327">
        <w:rPr>
          <w:vertAlign w:val="subscript"/>
        </w:rPr>
        <w:t>4</w:t>
      </w:r>
      <w:r w:rsidRPr="001D5327">
        <w:t xml:space="preserve"> emissions differ between dairy cattle fed (i) pasture alone or (ii) pasture with concentrate supplementation, including if there are any differences in CH</w:t>
      </w:r>
      <w:r w:rsidRPr="001D5327">
        <w:rPr>
          <w:vertAlign w:val="subscript"/>
        </w:rPr>
        <w:t>4</w:t>
      </w:r>
      <w:r w:rsidRPr="001D5327">
        <w:t xml:space="preserve"> emissions per unit of DMI.</w:t>
      </w:r>
    </w:p>
    <w:p w14:paraId="0E28AB8A" w14:textId="77777777" w:rsidR="00590FE1" w:rsidRPr="001D5327" w:rsidRDefault="00590FE1" w:rsidP="00590FE1">
      <w:pPr>
        <w:pStyle w:val="Heading5"/>
        <w:spacing w:before="200"/>
      </w:pPr>
      <w:r w:rsidRPr="001D5327">
        <w:t>Integrative greenhouse gas evaluation of forages</w:t>
      </w:r>
    </w:p>
    <w:p w14:paraId="494973A5" w14:textId="77777777" w:rsidR="00590FE1" w:rsidRPr="001D5327" w:rsidRDefault="00590FE1" w:rsidP="00590FE1">
      <w:pPr>
        <w:pStyle w:val="BodyText"/>
        <w:spacing w:before="100" w:after="100"/>
      </w:pPr>
      <w:r w:rsidRPr="001D5327">
        <w:t>Forage rape (</w:t>
      </w:r>
      <w:r w:rsidRPr="001D5327">
        <w:rPr>
          <w:i/>
          <w:iCs/>
        </w:rPr>
        <w:t>Brassica napus</w:t>
      </w:r>
      <w:r w:rsidRPr="001D5327">
        <w:t>) and plantain (</w:t>
      </w:r>
      <w:r w:rsidRPr="001D5327">
        <w:rPr>
          <w:i/>
          <w:iCs/>
        </w:rPr>
        <w:t>Plantago lanceolata</w:t>
      </w:r>
      <w:r w:rsidRPr="001D5327">
        <w:t xml:space="preserve">) have been identified as forages with the potential to reduce </w:t>
      </w:r>
      <w:r w:rsidRPr="001D5327">
        <w:rPr>
          <w:rFonts w:cs="Calibri"/>
        </w:rPr>
        <w:t>CH</w:t>
      </w:r>
      <w:r w:rsidRPr="001D5327">
        <w:rPr>
          <w:rFonts w:cs="Calibri"/>
          <w:vertAlign w:val="subscript"/>
        </w:rPr>
        <w:t>4</w:t>
      </w:r>
      <w:r w:rsidRPr="001D5327">
        <w:rPr>
          <w:rFonts w:cs="Calibri"/>
        </w:rPr>
        <w:t xml:space="preserve"> </w:t>
      </w:r>
      <w:r w:rsidRPr="001D5327">
        <w:t>emissions per unit of dry matter eaten, as well as reducing the direct and indirect N</w:t>
      </w:r>
      <w:r w:rsidRPr="001D5327">
        <w:rPr>
          <w:vertAlign w:val="subscript"/>
        </w:rPr>
        <w:t>2</w:t>
      </w:r>
      <w:r w:rsidRPr="001D5327">
        <w:t xml:space="preserve">O emissions from urine patches. The effect of growing and grazing these forages on soil carbon stocks is largely unknown. While previous studies have identified some emissions reduction potential from their use, these findings need to be integrated across all greenhouse gases and whole-year operations, to quantify their overall emissions reduction potential, including implications for soil carbon. These forages are used differently in farming practice: forage rape is a crop grown in cultivated ground and used over short periods as supplementary feed. In contrast, plantain is commonly used in pasture mixes with grasses and legumes throughout the year. </w:t>
      </w:r>
    </w:p>
    <w:p w14:paraId="21E668B8" w14:textId="77777777" w:rsidR="00590FE1" w:rsidRPr="001D5327" w:rsidRDefault="00590FE1" w:rsidP="00590FE1">
      <w:pPr>
        <w:pStyle w:val="Heading2"/>
        <w:spacing w:before="280"/>
      </w:pPr>
      <w:bookmarkStart w:id="895" w:name="_Toc32570657"/>
      <w:bookmarkStart w:id="896" w:name="_Toc36224403"/>
      <w:bookmarkStart w:id="897" w:name="_Toc68786323"/>
      <w:bookmarkStart w:id="898" w:name="_Toc131591238"/>
      <w:bookmarkStart w:id="899" w:name="_Toc164154192"/>
      <w:bookmarkStart w:id="900" w:name="_Toc194312017"/>
      <w:r w:rsidRPr="001D5327">
        <w:t>5.3</w:t>
      </w:r>
      <w:bookmarkStart w:id="901" w:name="Manure_Management"/>
      <w:r w:rsidRPr="001D5327">
        <w:tab/>
        <w:t xml:space="preserve">Manure management </w:t>
      </w:r>
      <w:bookmarkEnd w:id="901"/>
      <w:r w:rsidRPr="001D5327">
        <w:t>(3.B)</w:t>
      </w:r>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5"/>
      <w:bookmarkEnd w:id="896"/>
      <w:bookmarkEnd w:id="897"/>
      <w:bookmarkEnd w:id="898"/>
      <w:bookmarkEnd w:id="899"/>
      <w:bookmarkEnd w:id="900"/>
    </w:p>
    <w:p w14:paraId="1F4C2447" w14:textId="77777777" w:rsidR="00590FE1" w:rsidRPr="001D5327" w:rsidRDefault="00590FE1" w:rsidP="00590FE1">
      <w:pPr>
        <w:pStyle w:val="Heading3"/>
        <w:spacing w:before="240"/>
      </w:pPr>
      <w:bookmarkStart w:id="902" w:name="_Toc32570658"/>
      <w:bookmarkStart w:id="903" w:name="_Toc139253925"/>
      <w:r w:rsidRPr="001D5327">
        <w:t>5.3.1</w:t>
      </w:r>
      <w:r w:rsidRPr="001D5327">
        <w:tab/>
        <w:t>Category description</w:t>
      </w:r>
      <w:bookmarkEnd w:id="902"/>
      <w:r w:rsidRPr="001D5327">
        <w:t xml:space="preserve"> </w:t>
      </w:r>
    </w:p>
    <w:p w14:paraId="47186B91" w14:textId="77777777" w:rsidR="00590FE1" w:rsidRPr="001D5327" w:rsidRDefault="00590FE1" w:rsidP="00590FE1">
      <w:pPr>
        <w:pStyle w:val="BodyText"/>
        <w:spacing w:before="80" w:after="100"/>
      </w:pPr>
      <w:r w:rsidRPr="001D5327">
        <w:t xml:space="preserve">Most emissions from the </w:t>
      </w:r>
      <w:r w:rsidRPr="001D5327">
        <w:rPr>
          <w:i/>
          <w:iCs/>
        </w:rPr>
        <w:t>Manure management</w:t>
      </w:r>
      <w:r w:rsidRPr="001D5327">
        <w:t xml:space="preserve"> category are from </w:t>
      </w:r>
      <w:r w:rsidRPr="001D5327">
        <w:rPr>
          <w:rFonts w:cs="Calibri"/>
        </w:rPr>
        <w:t>CH</w:t>
      </w:r>
      <w:r w:rsidRPr="001D5327">
        <w:rPr>
          <w:rFonts w:cs="Calibri"/>
          <w:vertAlign w:val="subscript"/>
        </w:rPr>
        <w:t>4</w:t>
      </w:r>
      <w:r w:rsidRPr="001D5327">
        <w:rPr>
          <w:rFonts w:cs="Calibri"/>
        </w:rPr>
        <w:t xml:space="preserve"> </w:t>
      </w:r>
      <w:r w:rsidRPr="001D5327">
        <w:t>produced during the storage and treatment of manure, and from manure deposited on pasture. The category also includes N</w:t>
      </w:r>
      <w:r w:rsidRPr="001D5327">
        <w:rPr>
          <w:vertAlign w:val="subscript"/>
        </w:rPr>
        <w:t>2</w:t>
      </w:r>
      <w:r w:rsidRPr="001D5327">
        <w:t>O emissions produced during the storage and treatment of manure. It does not include N</w:t>
      </w:r>
      <w:r w:rsidRPr="001D5327">
        <w:rPr>
          <w:vertAlign w:val="subscript"/>
        </w:rPr>
        <w:t>2</w:t>
      </w:r>
      <w:r w:rsidRPr="001D5327">
        <w:t xml:space="preserve">O emissions from the spreading of animal manure and from manure deposited directly onto pasture by grazing livestock. Instead, emissions from these sources are included in the </w:t>
      </w:r>
      <w:r w:rsidRPr="001D5327">
        <w:rPr>
          <w:i/>
          <w:iCs/>
        </w:rPr>
        <w:t>Agricultural soils</w:t>
      </w:r>
      <w:r w:rsidRPr="001D5327">
        <w:t xml:space="preserve"> category (under </w:t>
      </w:r>
      <w:r w:rsidRPr="001D5327">
        <w:rPr>
          <w:i/>
          <w:iCs/>
        </w:rPr>
        <w:t>Organic nitrogen fertilisers</w:t>
      </w:r>
      <w:r w:rsidRPr="001D5327">
        <w:t xml:space="preserve"> and </w:t>
      </w:r>
      <w:r w:rsidRPr="001D5327">
        <w:rPr>
          <w:i/>
          <w:iCs/>
        </w:rPr>
        <w:t>Urine and dung deposited by grazing animals</w:t>
      </w:r>
      <w:r w:rsidRPr="001D5327">
        <w:t xml:space="preserve"> respectively).</w:t>
      </w:r>
    </w:p>
    <w:p w14:paraId="0EE38739" w14:textId="77777777" w:rsidR="00590FE1" w:rsidRPr="001D5327" w:rsidRDefault="00590FE1" w:rsidP="00590FE1">
      <w:pPr>
        <w:pStyle w:val="BodyText"/>
        <w:spacing w:before="100" w:after="100"/>
      </w:pPr>
      <w:r w:rsidRPr="001D5327">
        <w:lastRenderedPageBreak/>
        <w:t xml:space="preserve">Methane is produced when manure decomposes in the absence of oxygen (anaerobic conditions). When manure is stored or treated as a liquid (e.g., in lagoons or ponds), it decomposes anaerobically and can produce </w:t>
      </w:r>
      <w:r w:rsidRPr="001D5327">
        <w:rPr>
          <w:rFonts w:cs="Calibri"/>
        </w:rPr>
        <w:t>CH</w:t>
      </w:r>
      <w:r w:rsidRPr="001D5327">
        <w:rPr>
          <w:rFonts w:cs="Calibri"/>
          <w:vertAlign w:val="subscript"/>
        </w:rPr>
        <w:t>4</w:t>
      </w:r>
      <w:r w:rsidRPr="001D5327">
        <w:t xml:space="preserve">. The temperature and the length of time spent in storage also affect the cumulative amount of </w:t>
      </w:r>
      <w:r w:rsidRPr="001D5327">
        <w:rPr>
          <w:rFonts w:cs="Calibri"/>
        </w:rPr>
        <w:t>CH</w:t>
      </w:r>
      <w:r w:rsidRPr="001D5327">
        <w:rPr>
          <w:rFonts w:cs="Calibri"/>
          <w:vertAlign w:val="subscript"/>
        </w:rPr>
        <w:t>4</w:t>
      </w:r>
      <w:r w:rsidRPr="001D5327">
        <w:rPr>
          <w:rFonts w:cs="Calibri"/>
        </w:rPr>
        <w:t xml:space="preserve"> </w:t>
      </w:r>
      <w:r w:rsidRPr="001D5327">
        <w:t xml:space="preserve">produced over the inventory year. When manure is handled as a solid or deposited directly on pastures, it tends to decompose under aerobic conditions (in the presence of oxygen) and less </w:t>
      </w:r>
      <w:r w:rsidRPr="001D5327">
        <w:rPr>
          <w:rFonts w:cs="Calibri"/>
        </w:rPr>
        <w:t>CH</w:t>
      </w:r>
      <w:r w:rsidRPr="001D5327">
        <w:rPr>
          <w:rFonts w:cs="Calibri"/>
          <w:vertAlign w:val="subscript"/>
        </w:rPr>
        <w:t>4</w:t>
      </w:r>
      <w:r w:rsidRPr="001D5327">
        <w:rPr>
          <w:rFonts w:cs="Calibri"/>
        </w:rPr>
        <w:t> </w:t>
      </w:r>
      <w:r w:rsidRPr="001D5327">
        <w:t xml:space="preserve">is produced overall. </w:t>
      </w:r>
    </w:p>
    <w:p w14:paraId="49C75E9D" w14:textId="77777777" w:rsidR="00590FE1" w:rsidRPr="001D5327" w:rsidRDefault="00590FE1" w:rsidP="00590FE1">
      <w:pPr>
        <w:pStyle w:val="BodyText"/>
        <w:spacing w:before="100" w:after="100"/>
      </w:pPr>
      <w:r w:rsidRPr="001D5327">
        <w:t xml:space="preserve">The main factors affecting total reported </w:t>
      </w:r>
      <w:r w:rsidRPr="001D5327">
        <w:rPr>
          <w:rFonts w:cs="Calibri"/>
        </w:rPr>
        <w:t>CH</w:t>
      </w:r>
      <w:r w:rsidRPr="001D5327">
        <w:rPr>
          <w:rFonts w:cs="Calibri"/>
          <w:vertAlign w:val="subscript"/>
        </w:rPr>
        <w:t>4</w:t>
      </w:r>
      <w:r w:rsidRPr="001D5327">
        <w:rPr>
          <w:rFonts w:cs="Calibri"/>
        </w:rPr>
        <w:t xml:space="preserve"> </w:t>
      </w:r>
      <w:r w:rsidRPr="001D5327">
        <w:t xml:space="preserve">emissions from </w:t>
      </w:r>
      <w:r w:rsidRPr="001D5327">
        <w:rPr>
          <w:i/>
          <w:iCs/>
        </w:rPr>
        <w:t>Manure management</w:t>
      </w:r>
      <w:r w:rsidRPr="001D5327">
        <w:t xml:space="preserve"> are the </w:t>
      </w:r>
      <w:r w:rsidRPr="001D5327">
        <w:rPr>
          <w:spacing w:val="-2"/>
        </w:rPr>
        <w:t>amount of manure produced and the proportion of the manure that decomposes anaerobically.</w:t>
      </w:r>
      <w:r w:rsidRPr="001D5327">
        <w:t xml:space="preserve"> If more manure is produced, more manure decomposes and produces a greater quantity of CH</w:t>
      </w:r>
      <w:r w:rsidRPr="001D5327">
        <w:rPr>
          <w:vertAlign w:val="subscript"/>
        </w:rPr>
        <w:t>4</w:t>
      </w:r>
      <w:r w:rsidRPr="001D5327">
        <w:t>.</w:t>
      </w:r>
      <w:r w:rsidRPr="001D5327">
        <w:rPr>
          <w:vertAlign w:val="subscript"/>
        </w:rPr>
        <w:t xml:space="preserve"> </w:t>
      </w:r>
      <w:r w:rsidRPr="001D5327">
        <w:t>If a larger proportion of manure decomposes anaerobically, more CH</w:t>
      </w:r>
      <w:r w:rsidRPr="001D5327">
        <w:rPr>
          <w:vertAlign w:val="subscript"/>
        </w:rPr>
        <w:t>4</w:t>
      </w:r>
      <w:r w:rsidRPr="001D5327">
        <w:t xml:space="preserve"> will be produced. </w:t>
      </w:r>
    </w:p>
    <w:p w14:paraId="00857CC3" w14:textId="77777777" w:rsidR="00590FE1" w:rsidRPr="001D5327" w:rsidRDefault="00590FE1" w:rsidP="00590FE1">
      <w:pPr>
        <w:pStyle w:val="BodyText"/>
        <w:spacing w:after="100"/>
      </w:pPr>
      <w:r w:rsidRPr="001D5327">
        <w:t>Nitrous oxide emissions from managed manure occur directly through the processes of nitrification and denitrification of the nitrogen contained in the manure. Nitrous oxide is also emitted indirectly through diffusion of oxides of nitrogen (NO</w:t>
      </w:r>
      <w:r w:rsidRPr="001D5327">
        <w:rPr>
          <w:vertAlign w:val="subscript"/>
        </w:rPr>
        <w:t>x</w:t>
      </w:r>
      <w:r w:rsidRPr="001D5327">
        <w:t xml:space="preserve">) into the surrounding air (volatilisation) or via leaching and runoff. As with </w:t>
      </w:r>
      <w:r w:rsidRPr="001D5327">
        <w:rPr>
          <w:rFonts w:cs="Calibri"/>
        </w:rPr>
        <w:t>CH</w:t>
      </w:r>
      <w:r w:rsidRPr="001D5327">
        <w:rPr>
          <w:rFonts w:cs="Calibri"/>
          <w:vertAlign w:val="subscript"/>
        </w:rPr>
        <w:t>4</w:t>
      </w:r>
      <w:r w:rsidRPr="001D5327">
        <w:t>, the amount of manure N</w:t>
      </w:r>
      <w:r w:rsidRPr="001D5327">
        <w:rPr>
          <w:vertAlign w:val="subscript"/>
        </w:rPr>
        <w:t>2</w:t>
      </w:r>
      <w:r w:rsidRPr="001D5327">
        <w:t xml:space="preserve">O emissions produced depends on the system of waste management and the duration of storage. In New Zealand, most manure is deposited directly on pasture by grazing animals, with only a small proportion going into manure management systems. </w:t>
      </w:r>
    </w:p>
    <w:p w14:paraId="1C100282" w14:textId="77777777" w:rsidR="00590FE1" w:rsidRPr="001D5327" w:rsidRDefault="00590FE1" w:rsidP="00590FE1">
      <w:pPr>
        <w:pStyle w:val="BodyText"/>
        <w:spacing w:after="100"/>
      </w:pPr>
      <w:r w:rsidRPr="001D5327">
        <w:t xml:space="preserve">Methane from </w:t>
      </w:r>
      <w:r w:rsidRPr="001D5327">
        <w:rPr>
          <w:i/>
          <w:iCs/>
        </w:rPr>
        <w:t>Manure management</w:t>
      </w:r>
      <w:r w:rsidRPr="001D5327">
        <w:t xml:space="preserve"> from </w:t>
      </w:r>
      <w:r w:rsidRPr="001D5327">
        <w:rPr>
          <w:i/>
          <w:iCs/>
        </w:rPr>
        <w:t>Dairy</w:t>
      </w:r>
      <w:r w:rsidRPr="001D5327">
        <w:rPr>
          <w:i/>
        </w:rPr>
        <w:t xml:space="preserve"> cattle</w:t>
      </w:r>
      <w:r w:rsidRPr="001D5327">
        <w:t xml:space="preserve"> (level and trend assessment) and </w:t>
      </w:r>
      <w:r w:rsidRPr="001D5327">
        <w:rPr>
          <w:i/>
          <w:iCs/>
        </w:rPr>
        <w:t>Sheep </w:t>
      </w:r>
      <w:r w:rsidRPr="001D5327">
        <w:t xml:space="preserve">(trend assessment) were identified as key categories for </w:t>
      </w:r>
      <w:r w:rsidRPr="001D5327" w:rsidDel="00642536">
        <w:t>New</w:t>
      </w:r>
      <w:r w:rsidRPr="001D5327">
        <w:t xml:space="preserve"> Zealand in 2023.</w:t>
      </w:r>
    </w:p>
    <w:p w14:paraId="2D3CFB83" w14:textId="77777777" w:rsidR="00590FE1" w:rsidRPr="001D5327" w:rsidRDefault="00590FE1" w:rsidP="00590FE1">
      <w:pPr>
        <w:pStyle w:val="BodyText"/>
        <w:spacing w:after="100"/>
      </w:pPr>
      <w:r w:rsidRPr="001D5327">
        <w:rPr>
          <w:i/>
          <w:iCs/>
        </w:rPr>
        <w:t>Manure management</w:t>
      </w:r>
      <w:r w:rsidRPr="001D5327">
        <w:t xml:space="preserve"> contributed an estimated </w:t>
      </w:r>
      <w:r w:rsidRPr="001D5327">
        <w:rPr>
          <w:color w:val="000000"/>
        </w:rPr>
        <w:t>1,861.5 kt CO</w:t>
      </w:r>
      <w:r w:rsidRPr="001D5327">
        <w:rPr>
          <w:color w:val="000000"/>
          <w:vertAlign w:val="subscript"/>
        </w:rPr>
        <w:t>2</w:t>
      </w:r>
      <w:r w:rsidRPr="001D5327">
        <w:t>-e, representing 4.6 per cent of Agriculture</w:t>
      </w:r>
      <w:r w:rsidRPr="001D5327">
        <w:rPr>
          <w:i/>
          <w:iCs/>
        </w:rPr>
        <w:t xml:space="preserve"> </w:t>
      </w:r>
      <w:r w:rsidRPr="001D5327">
        <w:t>emissions in 2023. Estimated emissions from this category consist of:</w:t>
      </w:r>
    </w:p>
    <w:p w14:paraId="17899E1B" w14:textId="77777777" w:rsidR="00590FE1" w:rsidRPr="001D5327" w:rsidRDefault="00590FE1" w:rsidP="00590FE1">
      <w:pPr>
        <w:pStyle w:val="Bullet"/>
        <w:spacing w:after="100"/>
      </w:pPr>
      <w:r w:rsidRPr="001D5327">
        <w:rPr>
          <w:rFonts w:cs="Calibri"/>
        </w:rPr>
        <w:t>CH</w:t>
      </w:r>
      <w:r w:rsidRPr="001D5327">
        <w:rPr>
          <w:rFonts w:cs="Calibri"/>
          <w:vertAlign w:val="subscript"/>
        </w:rPr>
        <w:t>4</w:t>
      </w:r>
      <w:r w:rsidRPr="001D5327">
        <w:t xml:space="preserve"> emissions (95.2 per cent of </w:t>
      </w:r>
      <w:r w:rsidRPr="001D5327">
        <w:rPr>
          <w:i/>
          <w:iCs/>
        </w:rPr>
        <w:t>Manure management</w:t>
      </w:r>
      <w:r w:rsidRPr="001D5327">
        <w:t xml:space="preserve"> emissions)</w:t>
      </w:r>
    </w:p>
    <w:p w14:paraId="158334E9" w14:textId="77777777" w:rsidR="00590FE1" w:rsidRPr="001D5327" w:rsidRDefault="00590FE1">
      <w:pPr>
        <w:pStyle w:val="Bullet"/>
        <w:numPr>
          <w:ilvl w:val="0"/>
          <w:numId w:val="27"/>
        </w:numPr>
        <w:spacing w:after="100"/>
      </w:pPr>
      <w:r w:rsidRPr="001D5327">
        <w:rPr>
          <w:rFonts w:eastAsia="Calibri" w:cs="Calibri"/>
          <w:bCs/>
        </w:rPr>
        <w:t>N</w:t>
      </w:r>
      <w:r w:rsidRPr="001D5327">
        <w:rPr>
          <w:rFonts w:eastAsia="Calibri" w:cs="Calibri"/>
          <w:bCs/>
          <w:vertAlign w:val="subscript"/>
        </w:rPr>
        <w:t>2</w:t>
      </w:r>
      <w:r w:rsidRPr="001D5327">
        <w:rPr>
          <w:rFonts w:eastAsia="Calibri" w:cs="Calibri"/>
          <w:bCs/>
        </w:rPr>
        <w:t>O</w:t>
      </w:r>
      <w:r w:rsidRPr="001D5327">
        <w:t xml:space="preserve"> emissions (4.8 per cent of </w:t>
      </w:r>
      <w:r w:rsidRPr="001D5327">
        <w:rPr>
          <w:i/>
          <w:iCs/>
        </w:rPr>
        <w:t xml:space="preserve">Manure management </w:t>
      </w:r>
      <w:r w:rsidRPr="001D5327">
        <w:t>emissions).</w:t>
      </w:r>
    </w:p>
    <w:p w14:paraId="6591883A" w14:textId="77777777" w:rsidR="00590FE1" w:rsidRPr="001D5327" w:rsidRDefault="00590FE1" w:rsidP="00590FE1">
      <w:pPr>
        <w:pStyle w:val="BodyText"/>
        <w:spacing w:after="100"/>
      </w:pPr>
      <w:r w:rsidRPr="001D5327">
        <w:t>In 2023, N</w:t>
      </w:r>
      <w:r w:rsidRPr="001D5327">
        <w:rPr>
          <w:vertAlign w:val="subscript"/>
        </w:rPr>
        <w:t>2</w:t>
      </w:r>
      <w:r w:rsidRPr="001D5327">
        <w:t xml:space="preserve">O emissions from </w:t>
      </w:r>
      <w:r w:rsidRPr="001D5327">
        <w:rPr>
          <w:i/>
          <w:iCs/>
        </w:rPr>
        <w:t>Manure management</w:t>
      </w:r>
      <w:r w:rsidRPr="001D5327">
        <w:t xml:space="preserve"> totalled 88.8 kt CO</w:t>
      </w:r>
      <w:r w:rsidRPr="001D5327">
        <w:rPr>
          <w:vertAlign w:val="subscript"/>
        </w:rPr>
        <w:t>2</w:t>
      </w:r>
      <w:r w:rsidRPr="001D5327">
        <w:t>-e (0.2 per cent of gross emissions from the Agriculture sector) (see table 5.3.1). In comparison, the combined direct and indirect N</w:t>
      </w:r>
      <w:r w:rsidRPr="001D5327">
        <w:rPr>
          <w:vertAlign w:val="subscript"/>
        </w:rPr>
        <w:t>2</w:t>
      </w:r>
      <w:r w:rsidRPr="001D5327">
        <w:t xml:space="preserve">O emissions from spreading animal manure as fertiliser and manure deposited directly by grazing livestock reported in the </w:t>
      </w:r>
      <w:r w:rsidRPr="001D5327">
        <w:rPr>
          <w:i/>
          <w:iCs/>
        </w:rPr>
        <w:t>Agricultural soils</w:t>
      </w:r>
      <w:r w:rsidRPr="001D5327">
        <w:t xml:space="preserve"> category totalled 4,186.0 kt CO</w:t>
      </w:r>
      <w:r w:rsidRPr="001D5327">
        <w:rPr>
          <w:vertAlign w:val="subscript"/>
        </w:rPr>
        <w:t>2</w:t>
      </w:r>
      <w:r w:rsidRPr="001D5327">
        <w:t>-e in 2023 (10.3 per cent of emissions from the Agriculture sector).</w:t>
      </w:r>
    </w:p>
    <w:p w14:paraId="1B23F665" w14:textId="77777777" w:rsidR="00590FE1" w:rsidRPr="001D5327" w:rsidRDefault="00590FE1" w:rsidP="00590FE1">
      <w:pPr>
        <w:pStyle w:val="Table"/>
        <w:rPr>
          <w:rFonts w:cs="Calibri"/>
        </w:rPr>
      </w:pPr>
      <w:bookmarkStart w:id="904" w:name="_Toc32570920"/>
      <w:bookmarkStart w:id="905" w:name="_Toc36224555"/>
      <w:bookmarkStart w:id="906" w:name="_Toc68786440"/>
      <w:bookmarkStart w:id="907" w:name="_Toc95574074"/>
      <w:bookmarkStart w:id="908" w:name="_Toc127458259"/>
      <w:bookmarkStart w:id="909" w:name="_Toc131591355"/>
      <w:bookmarkStart w:id="910" w:name="_Toc160114447"/>
      <w:bookmarkStart w:id="911" w:name="_Toc164153843"/>
      <w:bookmarkStart w:id="912" w:name="_Toc194241712"/>
      <w:r w:rsidRPr="001D5327">
        <w:rPr>
          <w:rFonts w:cs="Calibri"/>
        </w:rPr>
        <w:t>Table 5.3.1</w:t>
      </w:r>
      <w:r w:rsidRPr="001D5327">
        <w:rPr>
          <w:rFonts w:cs="Calibri"/>
        </w:rPr>
        <w:tab/>
        <w:t xml:space="preserve">Trends and relative contribution of methane and nitrous oxide emissions in the </w:t>
      </w:r>
      <w:r w:rsidRPr="001D5327">
        <w:rPr>
          <w:rFonts w:cs="Calibri"/>
          <w:i/>
          <w:iCs/>
        </w:rPr>
        <w:t>Manure management</w:t>
      </w:r>
      <w:r w:rsidRPr="001D5327">
        <w:rPr>
          <w:rFonts w:cs="Calibri"/>
        </w:rPr>
        <w:t xml:space="preserve"> category between 1990 and </w:t>
      </w:r>
      <w:bookmarkEnd w:id="904"/>
      <w:bookmarkEnd w:id="905"/>
      <w:bookmarkEnd w:id="906"/>
      <w:bookmarkEnd w:id="907"/>
      <w:r w:rsidRPr="001D5327">
        <w:rPr>
          <w:rFonts w:cs="Calibri"/>
        </w:rPr>
        <w:t>202</w:t>
      </w:r>
      <w:bookmarkEnd w:id="908"/>
      <w:bookmarkEnd w:id="909"/>
      <w:bookmarkEnd w:id="910"/>
      <w:bookmarkEnd w:id="911"/>
      <w:r w:rsidRPr="001D5327">
        <w:rPr>
          <w:rFonts w:cs="Calibri"/>
        </w:rPr>
        <w:t>3</w:t>
      </w:r>
      <w:bookmarkEnd w:id="912"/>
    </w:p>
    <w:tbl>
      <w:tblPr>
        <w:tblW w:w="8505" w:type="dxa"/>
        <w:tblBorders>
          <w:top w:val="single" w:sz="4" w:space="0" w:color="1B556B" w:themeColor="text2"/>
          <w:bottom w:val="single" w:sz="4" w:space="0" w:color="1B556B" w:themeColor="text2"/>
          <w:insideH w:val="single" w:sz="4" w:space="0" w:color="1B556B" w:themeColor="text2"/>
        </w:tblBorders>
        <w:tblLayout w:type="fixed"/>
        <w:tblLook w:val="04A0" w:firstRow="1" w:lastRow="0" w:firstColumn="1" w:lastColumn="0" w:noHBand="0" w:noVBand="1"/>
      </w:tblPr>
      <w:tblGrid>
        <w:gridCol w:w="1948"/>
        <w:gridCol w:w="837"/>
        <w:gridCol w:w="838"/>
        <w:gridCol w:w="772"/>
        <w:gridCol w:w="1039"/>
        <w:gridCol w:w="837"/>
        <w:gridCol w:w="774"/>
        <w:gridCol w:w="733"/>
        <w:gridCol w:w="727"/>
      </w:tblGrid>
      <w:tr w:rsidR="00590FE1" w:rsidRPr="001D5327" w14:paraId="1FE59ECE" w14:textId="77777777" w:rsidTr="00403787">
        <w:tc>
          <w:tcPr>
            <w:tcW w:w="1948" w:type="dxa"/>
            <w:vMerge w:val="restart"/>
            <w:tcBorders>
              <w:bottom w:val="nil"/>
            </w:tcBorders>
            <w:shd w:val="clear" w:color="auto" w:fill="1B556B"/>
            <w:vAlign w:val="bottom"/>
          </w:tcPr>
          <w:p w14:paraId="4DB05044" w14:textId="77777777" w:rsidR="00590FE1" w:rsidRPr="001D5327" w:rsidRDefault="00590FE1" w:rsidP="00403787">
            <w:pPr>
              <w:pStyle w:val="TableTextBold"/>
              <w:keepNext/>
              <w:spacing w:before="40" w:after="40"/>
              <w:rPr>
                <w:noProof w:val="0"/>
                <w:color w:val="FFFFFF" w:themeColor="background1"/>
                <w:szCs w:val="16"/>
              </w:rPr>
            </w:pPr>
            <w:r w:rsidRPr="001D5327">
              <w:rPr>
                <w:noProof w:val="0"/>
                <w:color w:val="FFFFFF" w:themeColor="background1"/>
                <w:szCs w:val="16"/>
              </w:rPr>
              <w:t>Manure management category</w:t>
            </w:r>
          </w:p>
        </w:tc>
        <w:tc>
          <w:tcPr>
            <w:tcW w:w="1675" w:type="dxa"/>
            <w:gridSpan w:val="2"/>
            <w:tcBorders>
              <w:bottom w:val="nil"/>
            </w:tcBorders>
            <w:shd w:val="clear" w:color="auto" w:fill="1B556B"/>
            <w:vAlign w:val="bottom"/>
          </w:tcPr>
          <w:p w14:paraId="000416CD" w14:textId="77777777" w:rsidR="00590FE1" w:rsidRPr="001D5327" w:rsidRDefault="00590FE1" w:rsidP="00403787">
            <w:pPr>
              <w:pStyle w:val="TableTextBold"/>
              <w:keepNext/>
              <w:spacing w:before="40" w:after="0"/>
              <w:jc w:val="center"/>
              <w:rPr>
                <w:noProof w:val="0"/>
                <w:color w:val="FFFFFF" w:themeColor="background1"/>
                <w:szCs w:val="16"/>
              </w:rPr>
            </w:pPr>
            <w:r w:rsidRPr="001D5327">
              <w:rPr>
                <w:noProof w:val="0"/>
                <w:color w:val="FFFFFF" w:themeColor="background1"/>
                <w:szCs w:val="16"/>
              </w:rPr>
              <w:t xml:space="preserve">Emissions </w:t>
            </w:r>
            <w:r w:rsidRPr="001D5327">
              <w:rPr>
                <w:noProof w:val="0"/>
                <w:color w:val="FFFFFF" w:themeColor="background1"/>
                <w:szCs w:val="16"/>
              </w:rPr>
              <w:br/>
              <w:t>(kt CO</w:t>
            </w:r>
            <w:r w:rsidRPr="001D5327">
              <w:rPr>
                <w:noProof w:val="0"/>
                <w:color w:val="FFFFFF" w:themeColor="background1"/>
                <w:szCs w:val="16"/>
                <w:vertAlign w:val="subscript"/>
              </w:rPr>
              <w:t>2</w:t>
            </w:r>
            <w:r w:rsidRPr="001D5327">
              <w:rPr>
                <w:noProof w:val="0"/>
                <w:color w:val="FFFFFF" w:themeColor="background1"/>
                <w:szCs w:val="16"/>
              </w:rPr>
              <w:t>-e)</w:t>
            </w:r>
          </w:p>
        </w:tc>
        <w:tc>
          <w:tcPr>
            <w:tcW w:w="1811" w:type="dxa"/>
            <w:gridSpan w:val="2"/>
            <w:tcBorders>
              <w:bottom w:val="nil"/>
            </w:tcBorders>
            <w:shd w:val="clear" w:color="auto" w:fill="1B556B"/>
            <w:vAlign w:val="bottom"/>
          </w:tcPr>
          <w:p w14:paraId="37EB5EA3" w14:textId="77777777" w:rsidR="00590FE1" w:rsidRPr="001D5327" w:rsidRDefault="00590FE1" w:rsidP="00403787">
            <w:pPr>
              <w:pStyle w:val="TableTextBold"/>
              <w:keepNext/>
              <w:spacing w:before="40" w:after="0"/>
              <w:jc w:val="center"/>
              <w:rPr>
                <w:noProof w:val="0"/>
                <w:color w:val="FFFFFF" w:themeColor="background1"/>
                <w:szCs w:val="16"/>
              </w:rPr>
            </w:pPr>
            <w:r w:rsidRPr="001D5327">
              <w:rPr>
                <w:noProof w:val="0"/>
                <w:color w:val="FFFFFF" w:themeColor="background1"/>
                <w:szCs w:val="16"/>
              </w:rPr>
              <w:t>Change from 1990</w:t>
            </w:r>
          </w:p>
        </w:tc>
        <w:tc>
          <w:tcPr>
            <w:tcW w:w="1611" w:type="dxa"/>
            <w:gridSpan w:val="2"/>
            <w:tcBorders>
              <w:bottom w:val="nil"/>
            </w:tcBorders>
            <w:shd w:val="clear" w:color="auto" w:fill="1B556B"/>
            <w:vAlign w:val="bottom"/>
          </w:tcPr>
          <w:p w14:paraId="5B9A547A" w14:textId="77777777" w:rsidR="00590FE1" w:rsidRPr="001D5327" w:rsidRDefault="00590FE1" w:rsidP="00403787">
            <w:pPr>
              <w:pStyle w:val="TableTextBold"/>
              <w:keepNext/>
              <w:spacing w:before="40" w:after="0"/>
              <w:jc w:val="center"/>
              <w:rPr>
                <w:noProof w:val="0"/>
                <w:color w:val="FFFFFF" w:themeColor="background1"/>
                <w:szCs w:val="16"/>
              </w:rPr>
            </w:pPr>
            <w:r w:rsidRPr="001D5327">
              <w:rPr>
                <w:noProof w:val="0"/>
                <w:color w:val="FFFFFF" w:themeColor="background1"/>
                <w:szCs w:val="16"/>
              </w:rPr>
              <w:t xml:space="preserve">Share of </w:t>
            </w:r>
            <w:r w:rsidRPr="001D5327">
              <w:rPr>
                <w:i/>
                <w:noProof w:val="0"/>
                <w:color w:val="FFFFFF" w:themeColor="background1"/>
                <w:szCs w:val="16"/>
              </w:rPr>
              <w:t>Manure management</w:t>
            </w:r>
            <w:r w:rsidRPr="001D5327">
              <w:rPr>
                <w:noProof w:val="0"/>
                <w:color w:val="FFFFFF" w:themeColor="background1"/>
                <w:szCs w:val="16"/>
              </w:rPr>
              <w:t xml:space="preserve"> category (%)</w:t>
            </w:r>
          </w:p>
        </w:tc>
        <w:tc>
          <w:tcPr>
            <w:tcW w:w="1460" w:type="dxa"/>
            <w:gridSpan w:val="2"/>
            <w:tcBorders>
              <w:bottom w:val="nil"/>
            </w:tcBorders>
            <w:shd w:val="clear" w:color="auto" w:fill="1B556B"/>
            <w:vAlign w:val="bottom"/>
          </w:tcPr>
          <w:p w14:paraId="4AA7BC0A" w14:textId="77777777" w:rsidR="00590FE1" w:rsidRPr="001D5327" w:rsidRDefault="00590FE1" w:rsidP="00403787">
            <w:pPr>
              <w:pStyle w:val="TableTextBold"/>
              <w:keepNext/>
              <w:spacing w:before="40" w:after="0"/>
              <w:jc w:val="center"/>
              <w:rPr>
                <w:noProof w:val="0"/>
                <w:color w:val="FFFFFF" w:themeColor="background1"/>
                <w:szCs w:val="16"/>
              </w:rPr>
            </w:pPr>
            <w:r w:rsidRPr="001D5327">
              <w:rPr>
                <w:noProof w:val="0"/>
                <w:color w:val="FFFFFF" w:themeColor="background1"/>
                <w:szCs w:val="16"/>
              </w:rPr>
              <w:t>Share of total Agriculture sector (%)</w:t>
            </w:r>
          </w:p>
        </w:tc>
      </w:tr>
      <w:tr w:rsidR="00590FE1" w:rsidRPr="001D5327" w14:paraId="7A2A7CF5" w14:textId="77777777" w:rsidTr="00403787">
        <w:tc>
          <w:tcPr>
            <w:tcW w:w="1948" w:type="dxa"/>
            <w:vMerge/>
            <w:tcBorders>
              <w:top w:val="nil"/>
              <w:bottom w:val="nil"/>
            </w:tcBorders>
            <w:shd w:val="clear" w:color="auto" w:fill="1B556B"/>
            <w:vAlign w:val="bottom"/>
          </w:tcPr>
          <w:p w14:paraId="470A1024" w14:textId="77777777" w:rsidR="00590FE1" w:rsidRPr="001D5327" w:rsidRDefault="00590FE1" w:rsidP="00403787">
            <w:pPr>
              <w:keepNext/>
              <w:spacing w:before="40" w:after="40"/>
              <w:rPr>
                <w:rFonts w:cs="Calibri"/>
                <w:b/>
                <w:color w:val="FFFFFF" w:themeColor="background1"/>
                <w:sz w:val="16"/>
                <w:szCs w:val="16"/>
              </w:rPr>
            </w:pPr>
          </w:p>
        </w:tc>
        <w:tc>
          <w:tcPr>
            <w:tcW w:w="837" w:type="dxa"/>
            <w:tcBorders>
              <w:top w:val="nil"/>
              <w:bottom w:val="nil"/>
            </w:tcBorders>
            <w:shd w:val="clear" w:color="auto" w:fill="1B556B"/>
            <w:vAlign w:val="bottom"/>
          </w:tcPr>
          <w:p w14:paraId="6819FD9B"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1990</w:t>
            </w:r>
          </w:p>
        </w:tc>
        <w:tc>
          <w:tcPr>
            <w:tcW w:w="838" w:type="dxa"/>
            <w:tcBorders>
              <w:top w:val="nil"/>
              <w:bottom w:val="nil"/>
            </w:tcBorders>
            <w:shd w:val="clear" w:color="auto" w:fill="1B556B"/>
            <w:vAlign w:val="bottom"/>
          </w:tcPr>
          <w:p w14:paraId="48231CEB"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2023</w:t>
            </w:r>
          </w:p>
        </w:tc>
        <w:tc>
          <w:tcPr>
            <w:tcW w:w="772" w:type="dxa"/>
            <w:tcBorders>
              <w:top w:val="nil"/>
              <w:bottom w:val="nil"/>
            </w:tcBorders>
            <w:shd w:val="clear" w:color="auto" w:fill="1B556B"/>
            <w:vAlign w:val="bottom"/>
          </w:tcPr>
          <w:p w14:paraId="061935A5"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w:t>
            </w:r>
          </w:p>
        </w:tc>
        <w:tc>
          <w:tcPr>
            <w:tcW w:w="1039" w:type="dxa"/>
            <w:tcBorders>
              <w:top w:val="nil"/>
              <w:bottom w:val="nil"/>
            </w:tcBorders>
            <w:shd w:val="clear" w:color="auto" w:fill="1B556B"/>
            <w:vAlign w:val="bottom"/>
          </w:tcPr>
          <w:p w14:paraId="102BBF5B"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Difference</w:t>
            </w:r>
            <w:r w:rsidRPr="001D5327">
              <w:rPr>
                <w:noProof w:val="0"/>
                <w:color w:val="FFFFFF" w:themeColor="background1"/>
                <w:szCs w:val="16"/>
              </w:rPr>
              <w:br/>
              <w:t>(kt CO</w:t>
            </w:r>
            <w:r w:rsidRPr="001D5327">
              <w:rPr>
                <w:noProof w:val="0"/>
                <w:color w:val="FFFFFF" w:themeColor="background1"/>
                <w:szCs w:val="16"/>
                <w:vertAlign w:val="subscript"/>
              </w:rPr>
              <w:t>2</w:t>
            </w:r>
            <w:r w:rsidRPr="001D5327">
              <w:rPr>
                <w:noProof w:val="0"/>
                <w:color w:val="FFFFFF" w:themeColor="background1"/>
                <w:szCs w:val="16"/>
              </w:rPr>
              <w:t>-e)</w:t>
            </w:r>
          </w:p>
        </w:tc>
        <w:tc>
          <w:tcPr>
            <w:tcW w:w="837" w:type="dxa"/>
            <w:tcBorders>
              <w:top w:val="nil"/>
              <w:bottom w:val="nil"/>
            </w:tcBorders>
            <w:shd w:val="clear" w:color="auto" w:fill="1B556B"/>
            <w:vAlign w:val="bottom"/>
          </w:tcPr>
          <w:p w14:paraId="7958B350"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1990</w:t>
            </w:r>
          </w:p>
        </w:tc>
        <w:tc>
          <w:tcPr>
            <w:tcW w:w="774" w:type="dxa"/>
            <w:tcBorders>
              <w:top w:val="nil"/>
              <w:bottom w:val="nil"/>
            </w:tcBorders>
            <w:shd w:val="clear" w:color="auto" w:fill="1B556B"/>
            <w:vAlign w:val="bottom"/>
          </w:tcPr>
          <w:p w14:paraId="5AE3F92D"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2023</w:t>
            </w:r>
          </w:p>
        </w:tc>
        <w:tc>
          <w:tcPr>
            <w:tcW w:w="733" w:type="dxa"/>
            <w:tcBorders>
              <w:top w:val="nil"/>
              <w:bottom w:val="nil"/>
            </w:tcBorders>
            <w:shd w:val="clear" w:color="auto" w:fill="1B556B"/>
            <w:vAlign w:val="bottom"/>
          </w:tcPr>
          <w:p w14:paraId="76DB0996"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1990</w:t>
            </w:r>
          </w:p>
        </w:tc>
        <w:tc>
          <w:tcPr>
            <w:tcW w:w="727" w:type="dxa"/>
            <w:tcBorders>
              <w:top w:val="nil"/>
              <w:bottom w:val="nil"/>
            </w:tcBorders>
            <w:shd w:val="clear" w:color="auto" w:fill="1B556B"/>
            <w:vAlign w:val="bottom"/>
          </w:tcPr>
          <w:p w14:paraId="4C0BC251"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2023</w:t>
            </w:r>
          </w:p>
        </w:tc>
      </w:tr>
      <w:tr w:rsidR="00590FE1" w:rsidRPr="001D5327" w14:paraId="0AE84A12" w14:textId="77777777" w:rsidTr="00403787">
        <w:tc>
          <w:tcPr>
            <w:tcW w:w="1948" w:type="dxa"/>
            <w:tcBorders>
              <w:top w:val="nil"/>
            </w:tcBorders>
            <w:shd w:val="clear" w:color="auto" w:fill="auto"/>
          </w:tcPr>
          <w:p w14:paraId="4B08B38C" w14:textId="77777777" w:rsidR="00590FE1" w:rsidRPr="001D5327" w:rsidRDefault="00590FE1" w:rsidP="00403787">
            <w:pPr>
              <w:pStyle w:val="TableText"/>
              <w:keepNext/>
              <w:spacing w:before="40" w:after="40"/>
              <w:rPr>
                <w:rFonts w:cs="Calibri"/>
                <w:szCs w:val="16"/>
              </w:rPr>
            </w:pPr>
            <w:r w:rsidRPr="001D5327">
              <w:rPr>
                <w:rFonts w:cs="Calibri"/>
                <w:szCs w:val="16"/>
              </w:rPr>
              <w:t>Methane (3.B.(a))</w:t>
            </w:r>
          </w:p>
        </w:tc>
        <w:tc>
          <w:tcPr>
            <w:tcW w:w="837" w:type="dxa"/>
            <w:tcBorders>
              <w:top w:val="nil"/>
            </w:tcBorders>
            <w:shd w:val="clear" w:color="auto" w:fill="auto"/>
            <w:vAlign w:val="bottom"/>
          </w:tcPr>
          <w:p w14:paraId="27DCD51B" w14:textId="77777777" w:rsidR="00590FE1" w:rsidRPr="001D5327" w:rsidRDefault="00590FE1" w:rsidP="00403787">
            <w:pPr>
              <w:pStyle w:val="TableText"/>
              <w:keepNext/>
              <w:spacing w:before="40" w:after="40"/>
              <w:jc w:val="right"/>
              <w:rPr>
                <w:rFonts w:cs="Calibri"/>
                <w:szCs w:val="16"/>
              </w:rPr>
            </w:pPr>
            <w:r w:rsidRPr="001D5327">
              <w:rPr>
                <w:rFonts w:cs="Calibri"/>
                <w:color w:val="000000"/>
                <w:szCs w:val="16"/>
              </w:rPr>
              <w:t>824.8</w:t>
            </w:r>
          </w:p>
        </w:tc>
        <w:tc>
          <w:tcPr>
            <w:tcW w:w="838" w:type="dxa"/>
            <w:tcBorders>
              <w:top w:val="nil"/>
            </w:tcBorders>
            <w:shd w:val="clear" w:color="auto" w:fill="auto"/>
            <w:vAlign w:val="bottom"/>
          </w:tcPr>
          <w:p w14:paraId="5DE83F14" w14:textId="77777777" w:rsidR="00590FE1" w:rsidRPr="001D5327" w:rsidRDefault="00590FE1" w:rsidP="00403787">
            <w:pPr>
              <w:pStyle w:val="TableText"/>
              <w:keepNext/>
              <w:spacing w:before="40" w:after="40"/>
              <w:jc w:val="right"/>
              <w:rPr>
                <w:rFonts w:cs="Calibri"/>
                <w:szCs w:val="16"/>
              </w:rPr>
            </w:pPr>
            <w:r w:rsidRPr="001D5327">
              <w:rPr>
                <w:rFonts w:cs="Calibri"/>
                <w:color w:val="000000"/>
                <w:szCs w:val="16"/>
              </w:rPr>
              <w:t>1,772.6</w:t>
            </w:r>
          </w:p>
        </w:tc>
        <w:tc>
          <w:tcPr>
            <w:tcW w:w="772" w:type="dxa"/>
            <w:tcBorders>
              <w:top w:val="nil"/>
            </w:tcBorders>
            <w:shd w:val="clear" w:color="auto" w:fill="auto"/>
            <w:vAlign w:val="bottom"/>
          </w:tcPr>
          <w:p w14:paraId="31C8CD0A" w14:textId="77777777" w:rsidR="00590FE1" w:rsidRPr="001D5327" w:rsidRDefault="00590FE1" w:rsidP="00403787">
            <w:pPr>
              <w:pStyle w:val="TableText"/>
              <w:keepNext/>
              <w:spacing w:before="40" w:after="40"/>
              <w:jc w:val="right"/>
              <w:rPr>
                <w:rFonts w:cs="Calibri"/>
                <w:szCs w:val="16"/>
              </w:rPr>
            </w:pPr>
            <w:r w:rsidRPr="001D5327">
              <w:rPr>
                <w:rFonts w:cs="Calibri"/>
                <w:color w:val="000000"/>
                <w:szCs w:val="16"/>
              </w:rPr>
              <w:t>114.9</w:t>
            </w:r>
          </w:p>
        </w:tc>
        <w:tc>
          <w:tcPr>
            <w:tcW w:w="1039" w:type="dxa"/>
            <w:tcBorders>
              <w:top w:val="nil"/>
            </w:tcBorders>
            <w:shd w:val="clear" w:color="auto" w:fill="auto"/>
            <w:vAlign w:val="bottom"/>
          </w:tcPr>
          <w:p w14:paraId="7F6ECC40" w14:textId="77777777" w:rsidR="00590FE1" w:rsidRPr="001D5327" w:rsidRDefault="00590FE1" w:rsidP="00403787">
            <w:pPr>
              <w:pStyle w:val="TableText"/>
              <w:keepNext/>
              <w:spacing w:before="40" w:after="40"/>
              <w:jc w:val="right"/>
              <w:rPr>
                <w:rFonts w:cs="Calibri"/>
                <w:szCs w:val="16"/>
              </w:rPr>
            </w:pPr>
            <w:r w:rsidRPr="001D5327">
              <w:rPr>
                <w:rFonts w:cs="Calibri"/>
                <w:color w:val="000000"/>
                <w:szCs w:val="16"/>
              </w:rPr>
              <w:t>947.8</w:t>
            </w:r>
          </w:p>
        </w:tc>
        <w:tc>
          <w:tcPr>
            <w:tcW w:w="837" w:type="dxa"/>
            <w:tcBorders>
              <w:top w:val="nil"/>
            </w:tcBorders>
            <w:shd w:val="clear" w:color="auto" w:fill="auto"/>
            <w:vAlign w:val="bottom"/>
          </w:tcPr>
          <w:p w14:paraId="589EA85D" w14:textId="77777777" w:rsidR="00590FE1" w:rsidRPr="001D5327" w:rsidRDefault="00590FE1" w:rsidP="00403787">
            <w:pPr>
              <w:pStyle w:val="TableText"/>
              <w:keepNext/>
              <w:spacing w:before="40" w:after="40"/>
              <w:jc w:val="right"/>
              <w:rPr>
                <w:rFonts w:cs="Calibri"/>
                <w:szCs w:val="16"/>
              </w:rPr>
            </w:pPr>
            <w:r w:rsidRPr="001D5327">
              <w:rPr>
                <w:rFonts w:cs="Calibri"/>
                <w:color w:val="000000"/>
                <w:szCs w:val="16"/>
              </w:rPr>
              <w:t>95.9</w:t>
            </w:r>
          </w:p>
        </w:tc>
        <w:tc>
          <w:tcPr>
            <w:tcW w:w="774" w:type="dxa"/>
            <w:tcBorders>
              <w:top w:val="nil"/>
            </w:tcBorders>
            <w:shd w:val="clear" w:color="auto" w:fill="auto"/>
            <w:vAlign w:val="bottom"/>
          </w:tcPr>
          <w:p w14:paraId="59ADCE07" w14:textId="77777777" w:rsidR="00590FE1" w:rsidRPr="001D5327" w:rsidRDefault="00590FE1" w:rsidP="00403787">
            <w:pPr>
              <w:pStyle w:val="TableText"/>
              <w:keepNext/>
              <w:spacing w:before="40" w:after="40"/>
              <w:jc w:val="right"/>
              <w:rPr>
                <w:rFonts w:cs="Calibri"/>
                <w:szCs w:val="16"/>
              </w:rPr>
            </w:pPr>
            <w:r w:rsidRPr="001D5327">
              <w:rPr>
                <w:rFonts w:cs="Calibri"/>
                <w:color w:val="000000"/>
                <w:szCs w:val="16"/>
              </w:rPr>
              <w:t>95.2</w:t>
            </w:r>
          </w:p>
        </w:tc>
        <w:tc>
          <w:tcPr>
            <w:tcW w:w="733" w:type="dxa"/>
            <w:tcBorders>
              <w:top w:val="nil"/>
            </w:tcBorders>
            <w:shd w:val="clear" w:color="auto" w:fill="auto"/>
            <w:vAlign w:val="bottom"/>
          </w:tcPr>
          <w:p w14:paraId="7BC5BF00" w14:textId="77777777" w:rsidR="00590FE1" w:rsidRPr="001D5327" w:rsidRDefault="00590FE1" w:rsidP="00403787">
            <w:pPr>
              <w:pStyle w:val="TableText"/>
              <w:keepNext/>
              <w:spacing w:before="40" w:after="40"/>
              <w:jc w:val="right"/>
              <w:rPr>
                <w:rFonts w:cs="Calibri"/>
                <w:szCs w:val="16"/>
              </w:rPr>
            </w:pPr>
            <w:r w:rsidRPr="001D5327">
              <w:rPr>
                <w:rFonts w:cs="Calibri"/>
                <w:color w:val="000000"/>
                <w:szCs w:val="16"/>
              </w:rPr>
              <w:t>2.2</w:t>
            </w:r>
          </w:p>
        </w:tc>
        <w:tc>
          <w:tcPr>
            <w:tcW w:w="727" w:type="dxa"/>
            <w:tcBorders>
              <w:top w:val="nil"/>
            </w:tcBorders>
            <w:shd w:val="clear" w:color="auto" w:fill="auto"/>
            <w:vAlign w:val="bottom"/>
          </w:tcPr>
          <w:p w14:paraId="6C3D68BF" w14:textId="77777777" w:rsidR="00590FE1" w:rsidRPr="001D5327" w:rsidRDefault="00590FE1" w:rsidP="00403787">
            <w:pPr>
              <w:pStyle w:val="TableText"/>
              <w:keepNext/>
              <w:spacing w:before="40" w:after="40"/>
              <w:jc w:val="right"/>
              <w:rPr>
                <w:rFonts w:cs="Calibri"/>
                <w:szCs w:val="16"/>
              </w:rPr>
            </w:pPr>
            <w:r w:rsidRPr="001D5327">
              <w:rPr>
                <w:rFonts w:cs="Calibri"/>
                <w:color w:val="000000"/>
                <w:szCs w:val="16"/>
              </w:rPr>
              <w:t>4.4</w:t>
            </w:r>
          </w:p>
        </w:tc>
      </w:tr>
      <w:tr w:rsidR="00590FE1" w:rsidRPr="001D5327" w14:paraId="6A20FA2E" w14:textId="77777777" w:rsidTr="00403787">
        <w:tc>
          <w:tcPr>
            <w:tcW w:w="1948" w:type="dxa"/>
            <w:shd w:val="clear" w:color="auto" w:fill="auto"/>
          </w:tcPr>
          <w:p w14:paraId="0C6E508F" w14:textId="77777777" w:rsidR="00590FE1" w:rsidRPr="001D5327" w:rsidRDefault="00590FE1" w:rsidP="00403787">
            <w:pPr>
              <w:pStyle w:val="TableText"/>
              <w:spacing w:before="40" w:after="40"/>
              <w:rPr>
                <w:rFonts w:cs="Calibri"/>
                <w:szCs w:val="16"/>
              </w:rPr>
            </w:pPr>
            <w:r w:rsidRPr="001D5327">
              <w:rPr>
                <w:rFonts w:cs="Calibri"/>
                <w:szCs w:val="16"/>
              </w:rPr>
              <w:t>Nitrous oxide (</w:t>
            </w:r>
            <w:r w:rsidRPr="001D5327">
              <w:rPr>
                <w:rFonts w:cs="Calibri"/>
                <w:spacing w:val="-2"/>
                <w:szCs w:val="16"/>
              </w:rPr>
              <w:t>3.B.(b))</w:t>
            </w:r>
          </w:p>
        </w:tc>
        <w:tc>
          <w:tcPr>
            <w:tcW w:w="837" w:type="dxa"/>
            <w:shd w:val="clear" w:color="auto" w:fill="auto"/>
            <w:vAlign w:val="bottom"/>
          </w:tcPr>
          <w:p w14:paraId="7F154461"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35.0</w:t>
            </w:r>
          </w:p>
        </w:tc>
        <w:tc>
          <w:tcPr>
            <w:tcW w:w="838" w:type="dxa"/>
            <w:shd w:val="clear" w:color="auto" w:fill="auto"/>
            <w:vAlign w:val="bottom"/>
          </w:tcPr>
          <w:p w14:paraId="6DED338C"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88.8</w:t>
            </w:r>
          </w:p>
        </w:tc>
        <w:tc>
          <w:tcPr>
            <w:tcW w:w="772" w:type="dxa"/>
            <w:shd w:val="clear" w:color="auto" w:fill="auto"/>
            <w:vAlign w:val="bottom"/>
          </w:tcPr>
          <w:p w14:paraId="3FDF7ADE"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153.8</w:t>
            </w:r>
          </w:p>
        </w:tc>
        <w:tc>
          <w:tcPr>
            <w:tcW w:w="1039" w:type="dxa"/>
            <w:shd w:val="clear" w:color="auto" w:fill="auto"/>
            <w:vAlign w:val="bottom"/>
          </w:tcPr>
          <w:p w14:paraId="7B797DF9"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53.8</w:t>
            </w:r>
          </w:p>
        </w:tc>
        <w:tc>
          <w:tcPr>
            <w:tcW w:w="837" w:type="dxa"/>
            <w:shd w:val="clear" w:color="auto" w:fill="auto"/>
            <w:vAlign w:val="bottom"/>
          </w:tcPr>
          <w:p w14:paraId="7EE2A5CD"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4.1</w:t>
            </w:r>
          </w:p>
        </w:tc>
        <w:tc>
          <w:tcPr>
            <w:tcW w:w="774" w:type="dxa"/>
            <w:shd w:val="clear" w:color="auto" w:fill="auto"/>
            <w:vAlign w:val="bottom"/>
          </w:tcPr>
          <w:p w14:paraId="57FF9C7D"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4.8</w:t>
            </w:r>
          </w:p>
        </w:tc>
        <w:tc>
          <w:tcPr>
            <w:tcW w:w="733" w:type="dxa"/>
            <w:shd w:val="clear" w:color="auto" w:fill="auto"/>
            <w:vAlign w:val="bottom"/>
          </w:tcPr>
          <w:p w14:paraId="04233A5C"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0.1</w:t>
            </w:r>
          </w:p>
        </w:tc>
        <w:tc>
          <w:tcPr>
            <w:tcW w:w="727" w:type="dxa"/>
            <w:shd w:val="clear" w:color="auto" w:fill="auto"/>
            <w:vAlign w:val="bottom"/>
          </w:tcPr>
          <w:p w14:paraId="568291D2"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0.2</w:t>
            </w:r>
          </w:p>
        </w:tc>
      </w:tr>
    </w:tbl>
    <w:p w14:paraId="0E2AAF33" w14:textId="77777777" w:rsidR="00590FE1" w:rsidRPr="001D5327" w:rsidRDefault="00590FE1" w:rsidP="00590FE1">
      <w:pPr>
        <w:pStyle w:val="BodyText"/>
        <w:spacing w:before="240" w:after="100"/>
      </w:pPr>
      <w:r w:rsidRPr="001D5327">
        <w:t xml:space="preserve">Table 5.3.2 shows the distribution of livestock waste across animal waste management systems in </w:t>
      </w:r>
      <w:r w:rsidRPr="001D5327" w:rsidDel="00875419">
        <w:t>New</w:t>
      </w:r>
      <w:r w:rsidRPr="001D5327">
        <w:t xml:space="preserve"> Zealand. The New Zealand inventory assumes all non-dairy cattle, sheep and deer manure is deposited directly onto pasture (there are minor instances where this does not occur). </w:t>
      </w:r>
    </w:p>
    <w:p w14:paraId="168FEE01" w14:textId="0BF36EA9" w:rsidR="00590FE1" w:rsidRPr="001D5327" w:rsidRDefault="00590FE1" w:rsidP="00590FE1">
      <w:pPr>
        <w:pStyle w:val="BodyText"/>
        <w:spacing w:before="100" w:after="100"/>
      </w:pPr>
      <w:r w:rsidRPr="001D5327">
        <w:t>A small amount of excreta from dairy cattle (7.2 per cent) is stored in anaerobic lagoon waste systems (Rollo et al., 2017). This is based on the proportion of time dairy cattle spend on pasture compared with the time they spend in the milking shed, surrounding yards and off</w:t>
      </w:r>
      <w:r w:rsidR="00041936" w:rsidRPr="001D5327">
        <w:noBreakHyphen/>
      </w:r>
      <w:r w:rsidRPr="001D5327">
        <w:t xml:space="preserve">paddock structures that transfer animal excreta to anaerobic lagoons. </w:t>
      </w:r>
    </w:p>
    <w:p w14:paraId="2AAA51DD" w14:textId="77777777" w:rsidR="00590FE1" w:rsidRPr="001D5327" w:rsidRDefault="00590FE1" w:rsidP="00590FE1">
      <w:pPr>
        <w:pStyle w:val="BodyText"/>
        <w:spacing w:before="100" w:after="100"/>
        <w:rPr>
          <w:rFonts w:cs="Calibri"/>
        </w:rPr>
      </w:pPr>
      <w:r w:rsidRPr="001D5327">
        <w:rPr>
          <w:rFonts w:cs="Calibri"/>
        </w:rPr>
        <w:lastRenderedPageBreak/>
        <w:t xml:space="preserve">The minor livestock categories of </w:t>
      </w:r>
      <w:r w:rsidRPr="001D5327">
        <w:rPr>
          <w:rFonts w:cs="Calibri"/>
          <w:i/>
          <w:iCs/>
        </w:rPr>
        <w:t>Goats</w:t>
      </w:r>
      <w:r w:rsidRPr="001D5327">
        <w:rPr>
          <w:rFonts w:cs="Calibri"/>
        </w:rPr>
        <w:t xml:space="preserve">, </w:t>
      </w:r>
      <w:r w:rsidRPr="001D5327">
        <w:rPr>
          <w:rFonts w:cs="Calibri"/>
          <w:i/>
          <w:iCs/>
        </w:rPr>
        <w:t>Horses</w:t>
      </w:r>
      <w:r w:rsidRPr="001D5327">
        <w:rPr>
          <w:rFonts w:cs="Calibri"/>
        </w:rPr>
        <w:t xml:space="preserve">, </w:t>
      </w:r>
      <w:r w:rsidRPr="001D5327">
        <w:rPr>
          <w:rFonts w:cs="Calibri"/>
          <w:i/>
          <w:iCs/>
        </w:rPr>
        <w:t>Mules and asses</w:t>
      </w:r>
      <w:r w:rsidRPr="001D5327">
        <w:rPr>
          <w:rFonts w:cs="Calibri"/>
        </w:rPr>
        <w:t xml:space="preserve">, and </w:t>
      </w:r>
      <w:r w:rsidRPr="001D5327">
        <w:rPr>
          <w:rFonts w:cs="Calibri"/>
          <w:i/>
          <w:iCs/>
        </w:rPr>
        <w:t>Llamas and alpacas</w:t>
      </w:r>
      <w:r w:rsidRPr="001D5327">
        <w:rPr>
          <w:rFonts w:cs="Calibri"/>
        </w:rPr>
        <w:t xml:space="preserve"> are assumed to graze outdoors all year and deposit all their manure directly onto pastures. Estimates of the proportions of different waste management systems for swine and poultry in the manure management systems in </w:t>
      </w:r>
      <w:r w:rsidRPr="001D5327" w:rsidDel="0097234F">
        <w:t xml:space="preserve">New </w:t>
      </w:r>
      <w:r w:rsidRPr="001D5327">
        <w:t>Zealand</w:t>
      </w:r>
      <w:r w:rsidRPr="001D5327">
        <w:rPr>
          <w:rFonts w:cs="Calibri"/>
        </w:rPr>
        <w:t xml:space="preserve"> have been provided by Hill (2012) (swine), Ritchie (2024) (swine) and Fick et al. (2011) (poultry).</w:t>
      </w:r>
    </w:p>
    <w:p w14:paraId="63135949" w14:textId="77777777" w:rsidR="00590FE1" w:rsidRPr="001D5327" w:rsidRDefault="00590FE1" w:rsidP="00590FE1">
      <w:pPr>
        <w:pStyle w:val="Table"/>
        <w:rPr>
          <w:rFonts w:cs="Calibri"/>
        </w:rPr>
      </w:pPr>
      <w:bookmarkStart w:id="913" w:name="_Toc32570921"/>
      <w:bookmarkStart w:id="914" w:name="_Toc36224556"/>
      <w:bookmarkStart w:id="915" w:name="_Toc68786441"/>
      <w:bookmarkStart w:id="916" w:name="_Toc95574075"/>
      <w:bookmarkStart w:id="917" w:name="_Toc127458260"/>
      <w:bookmarkStart w:id="918" w:name="_Toc131591356"/>
      <w:bookmarkStart w:id="919" w:name="_Toc160114448"/>
      <w:bookmarkStart w:id="920" w:name="_Toc164153844"/>
      <w:bookmarkStart w:id="921" w:name="_Toc194241713"/>
      <w:r w:rsidRPr="001D5327">
        <w:rPr>
          <w:rFonts w:cs="Calibri"/>
        </w:rPr>
        <w:t>Table 5.3.2</w:t>
      </w:r>
      <w:r w:rsidRPr="001D5327">
        <w:rPr>
          <w:rFonts w:cs="Calibri"/>
        </w:rPr>
        <w:tab/>
        <w:t>Distribution of livestock waste across animal waste management systems in</w:t>
      </w:r>
      <w:r w:rsidRPr="001D5327">
        <w:t> </w:t>
      </w:r>
      <w:r w:rsidRPr="001D5327">
        <w:rPr>
          <w:rFonts w:cs="Calibri"/>
        </w:rPr>
        <w:t>New Zealand</w:t>
      </w:r>
      <w:bookmarkEnd w:id="913"/>
      <w:bookmarkEnd w:id="914"/>
      <w:bookmarkEnd w:id="915"/>
      <w:bookmarkEnd w:id="916"/>
      <w:bookmarkEnd w:id="917"/>
      <w:bookmarkEnd w:id="918"/>
      <w:bookmarkEnd w:id="919"/>
      <w:bookmarkEnd w:id="920"/>
      <w:r w:rsidRPr="001D5327">
        <w:rPr>
          <w:rFonts w:cs="Calibri"/>
        </w:rPr>
        <w:t> in 2023</w:t>
      </w:r>
      <w:bookmarkEnd w:id="921"/>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57" w:type="dxa"/>
        </w:tblCellMar>
        <w:tblLook w:val="01E0" w:firstRow="1" w:lastRow="1" w:firstColumn="1" w:lastColumn="1" w:noHBand="0" w:noVBand="0"/>
      </w:tblPr>
      <w:tblGrid>
        <w:gridCol w:w="1935"/>
        <w:gridCol w:w="820"/>
        <w:gridCol w:w="696"/>
        <w:gridCol w:w="640"/>
        <w:gridCol w:w="682"/>
        <w:gridCol w:w="1184"/>
        <w:gridCol w:w="954"/>
        <w:gridCol w:w="760"/>
        <w:gridCol w:w="834"/>
      </w:tblGrid>
      <w:tr w:rsidR="00590FE1" w:rsidRPr="001D5327" w14:paraId="7896A202" w14:textId="77777777" w:rsidTr="00403787">
        <w:trPr>
          <w:cantSplit/>
          <w:tblHeader/>
        </w:trPr>
        <w:tc>
          <w:tcPr>
            <w:tcW w:w="1154" w:type="pct"/>
            <w:shd w:val="clear" w:color="auto" w:fill="1B556B" w:themeFill="text2"/>
            <w:vAlign w:val="bottom"/>
          </w:tcPr>
          <w:p w14:paraId="785522BA" w14:textId="77777777" w:rsidR="00590FE1" w:rsidRPr="001D5327" w:rsidRDefault="00590FE1" w:rsidP="00403787">
            <w:pPr>
              <w:pStyle w:val="TableTextBold"/>
              <w:keepNext/>
              <w:spacing w:before="40" w:after="40"/>
              <w:rPr>
                <w:rFonts w:cs="Calibri"/>
                <w:noProof w:val="0"/>
                <w:color w:val="FFFFFF" w:themeColor="background1"/>
                <w:szCs w:val="16"/>
              </w:rPr>
            </w:pPr>
            <w:r w:rsidRPr="001D5327">
              <w:rPr>
                <w:rFonts w:cs="Calibri"/>
                <w:noProof w:val="0"/>
                <w:color w:val="FFFFFF" w:themeColor="background1"/>
                <w:szCs w:val="16"/>
              </w:rPr>
              <w:t>Livestock category</w:t>
            </w:r>
          </w:p>
        </w:tc>
        <w:tc>
          <w:tcPr>
            <w:tcW w:w="369" w:type="pct"/>
            <w:shd w:val="clear" w:color="auto" w:fill="1B556B" w:themeFill="text2"/>
            <w:vAlign w:val="bottom"/>
          </w:tcPr>
          <w:p w14:paraId="75223845" w14:textId="77777777" w:rsidR="00590FE1" w:rsidRPr="001D5327" w:rsidRDefault="00590FE1" w:rsidP="00403787">
            <w:pPr>
              <w:pStyle w:val="TableTextBold"/>
              <w:keepNext/>
              <w:spacing w:before="40" w:after="40"/>
              <w:jc w:val="right"/>
              <w:rPr>
                <w:rFonts w:cs="Calibri"/>
                <w:noProof w:val="0"/>
                <w:color w:val="FFFFFF" w:themeColor="background1"/>
                <w:szCs w:val="16"/>
              </w:rPr>
            </w:pPr>
            <w:r w:rsidRPr="001D5327">
              <w:rPr>
                <w:rFonts w:cs="Calibri"/>
                <w:noProof w:val="0"/>
                <w:color w:val="FFFFFF" w:themeColor="background1"/>
                <w:szCs w:val="16"/>
              </w:rPr>
              <w:t>Anaerobic lagoon (%)</w:t>
            </w:r>
          </w:p>
        </w:tc>
        <w:tc>
          <w:tcPr>
            <w:tcW w:w="414" w:type="pct"/>
            <w:shd w:val="clear" w:color="auto" w:fill="1B556B" w:themeFill="text2"/>
            <w:vAlign w:val="bottom"/>
          </w:tcPr>
          <w:p w14:paraId="3CD5B543" w14:textId="77777777" w:rsidR="00590FE1" w:rsidRPr="001D5327" w:rsidRDefault="00590FE1" w:rsidP="00403787">
            <w:pPr>
              <w:pStyle w:val="TableTextBold"/>
              <w:keepNext/>
              <w:spacing w:before="40" w:after="40"/>
              <w:jc w:val="right"/>
              <w:rPr>
                <w:rFonts w:cs="Calibri"/>
                <w:noProof w:val="0"/>
                <w:color w:val="FFFFFF" w:themeColor="background1"/>
                <w:szCs w:val="16"/>
              </w:rPr>
            </w:pPr>
            <w:r w:rsidRPr="001D5327">
              <w:rPr>
                <w:rFonts w:cs="Calibri"/>
                <w:noProof w:val="0"/>
                <w:color w:val="FFFFFF" w:themeColor="background1"/>
                <w:szCs w:val="16"/>
              </w:rPr>
              <w:t>Daily spread</w:t>
            </w:r>
            <w:r w:rsidRPr="001D5327">
              <w:rPr>
                <w:rStyle w:val="FootnoteReference"/>
                <w:rFonts w:cs="Calibri"/>
                <w:noProof w:val="0"/>
                <w:color w:val="FFFFFF" w:themeColor="background1"/>
                <w:sz w:val="16"/>
                <w:szCs w:val="16"/>
              </w:rPr>
              <w:footnoteReference w:id="35"/>
            </w:r>
            <w:r w:rsidRPr="001D5327">
              <w:rPr>
                <w:rFonts w:cs="Calibri"/>
                <w:noProof w:val="0"/>
                <w:color w:val="FFFFFF" w:themeColor="background1"/>
                <w:szCs w:val="16"/>
              </w:rPr>
              <w:t xml:space="preserve"> (%)</w:t>
            </w:r>
          </w:p>
        </w:tc>
        <w:tc>
          <w:tcPr>
            <w:tcW w:w="376" w:type="pct"/>
            <w:shd w:val="clear" w:color="auto" w:fill="1B556B" w:themeFill="text2"/>
            <w:vAlign w:val="bottom"/>
          </w:tcPr>
          <w:p w14:paraId="6D97B177" w14:textId="77777777" w:rsidR="00590FE1" w:rsidRPr="001D5327" w:rsidRDefault="00590FE1" w:rsidP="00403787">
            <w:pPr>
              <w:pStyle w:val="TableTextBold"/>
              <w:keepNext/>
              <w:spacing w:before="40" w:after="40"/>
              <w:jc w:val="right"/>
              <w:rPr>
                <w:rFonts w:cs="Calibri"/>
                <w:noProof w:val="0"/>
                <w:color w:val="FFFFFF" w:themeColor="background1"/>
                <w:szCs w:val="16"/>
              </w:rPr>
            </w:pPr>
            <w:r w:rsidRPr="001D5327">
              <w:rPr>
                <w:rFonts w:cs="Calibri"/>
                <w:noProof w:val="0"/>
                <w:color w:val="FFFFFF" w:themeColor="background1"/>
                <w:szCs w:val="16"/>
              </w:rPr>
              <w:t>Pit storage (%)</w:t>
            </w:r>
          </w:p>
        </w:tc>
        <w:tc>
          <w:tcPr>
            <w:tcW w:w="404" w:type="pct"/>
            <w:shd w:val="clear" w:color="auto" w:fill="1B556B" w:themeFill="text2"/>
            <w:vAlign w:val="bottom"/>
          </w:tcPr>
          <w:p w14:paraId="6F80122C" w14:textId="77777777" w:rsidR="00590FE1" w:rsidRPr="001D5327" w:rsidRDefault="00590FE1" w:rsidP="00403787">
            <w:pPr>
              <w:pStyle w:val="TableTextBold"/>
              <w:keepNext/>
              <w:spacing w:before="40" w:after="40"/>
              <w:jc w:val="right"/>
              <w:rPr>
                <w:rFonts w:cs="Calibri"/>
                <w:noProof w:val="0"/>
                <w:color w:val="FFFFFF" w:themeColor="background1"/>
                <w:szCs w:val="16"/>
              </w:rPr>
            </w:pPr>
            <w:r w:rsidRPr="001D5327">
              <w:rPr>
                <w:rFonts w:cs="Calibri"/>
                <w:noProof w:val="0"/>
                <w:color w:val="FFFFFF" w:themeColor="background1"/>
                <w:szCs w:val="16"/>
              </w:rPr>
              <w:t>Deep bedding (%)</w:t>
            </w:r>
          </w:p>
        </w:tc>
        <w:tc>
          <w:tcPr>
            <w:tcW w:w="737" w:type="pct"/>
            <w:shd w:val="clear" w:color="auto" w:fill="1B556B" w:themeFill="text2"/>
            <w:vAlign w:val="bottom"/>
          </w:tcPr>
          <w:p w14:paraId="1F460A36" w14:textId="77777777" w:rsidR="00590FE1" w:rsidRPr="001D5327" w:rsidRDefault="00590FE1" w:rsidP="00403787">
            <w:pPr>
              <w:pStyle w:val="TableTextBold"/>
              <w:keepNext/>
              <w:spacing w:before="40" w:after="40"/>
              <w:jc w:val="right"/>
              <w:rPr>
                <w:rFonts w:cs="Calibri"/>
                <w:noProof w:val="0"/>
                <w:color w:val="FFFFFF" w:themeColor="background1"/>
                <w:szCs w:val="16"/>
              </w:rPr>
            </w:pPr>
            <w:r w:rsidRPr="001D5327">
              <w:rPr>
                <w:rFonts w:cs="Calibri"/>
                <w:noProof w:val="0"/>
                <w:color w:val="FFFFFF" w:themeColor="background1"/>
                <w:szCs w:val="16"/>
              </w:rPr>
              <w:t>Pasture, range and paddock</w:t>
            </w:r>
            <w:r w:rsidRPr="001D5327">
              <w:rPr>
                <w:rStyle w:val="FootnoteReference"/>
                <w:rFonts w:cs="Calibri"/>
                <w:noProof w:val="0"/>
                <w:color w:val="FFFFFF" w:themeColor="background1"/>
                <w:sz w:val="16"/>
                <w:szCs w:val="16"/>
              </w:rPr>
              <w:footnoteReference w:id="36"/>
            </w:r>
            <w:r w:rsidRPr="001D5327">
              <w:rPr>
                <w:rFonts w:cs="Calibri"/>
                <w:noProof w:val="0"/>
                <w:color w:val="FFFFFF" w:themeColor="background1"/>
                <w:szCs w:val="16"/>
              </w:rPr>
              <w:t xml:space="preserve"> (%)</w:t>
            </w:r>
          </w:p>
        </w:tc>
        <w:tc>
          <w:tcPr>
            <w:tcW w:w="577" w:type="pct"/>
            <w:shd w:val="clear" w:color="auto" w:fill="1B556B" w:themeFill="text2"/>
            <w:vAlign w:val="bottom"/>
          </w:tcPr>
          <w:p w14:paraId="5D028691" w14:textId="77777777" w:rsidR="00590FE1" w:rsidRPr="001D5327" w:rsidRDefault="00590FE1" w:rsidP="00403787">
            <w:pPr>
              <w:pStyle w:val="TableTextBold"/>
              <w:keepNext/>
              <w:spacing w:before="40" w:after="40"/>
              <w:jc w:val="right"/>
              <w:rPr>
                <w:rFonts w:cs="Calibri"/>
                <w:noProof w:val="0"/>
                <w:color w:val="FFFFFF" w:themeColor="background1"/>
                <w:szCs w:val="16"/>
              </w:rPr>
            </w:pPr>
            <w:r w:rsidRPr="001D5327">
              <w:rPr>
                <w:rFonts w:cs="Calibri"/>
                <w:noProof w:val="0"/>
                <w:color w:val="FFFFFF" w:themeColor="background1"/>
                <w:szCs w:val="16"/>
              </w:rPr>
              <w:t>Composting (%)</w:t>
            </w:r>
          </w:p>
        </w:tc>
        <w:tc>
          <w:tcPr>
            <w:tcW w:w="457" w:type="pct"/>
            <w:shd w:val="clear" w:color="auto" w:fill="1B556B" w:themeFill="text2"/>
            <w:vAlign w:val="bottom"/>
          </w:tcPr>
          <w:p w14:paraId="44F1576B" w14:textId="77777777" w:rsidR="00590FE1" w:rsidRPr="001D5327" w:rsidRDefault="00590FE1" w:rsidP="00403787">
            <w:pPr>
              <w:pStyle w:val="TableTextBold"/>
              <w:keepNext/>
              <w:spacing w:before="40" w:after="40"/>
              <w:jc w:val="right"/>
              <w:rPr>
                <w:rFonts w:cs="Calibri"/>
                <w:noProof w:val="0"/>
                <w:color w:val="FFFFFF" w:themeColor="background1"/>
                <w:szCs w:val="16"/>
              </w:rPr>
            </w:pPr>
            <w:r w:rsidRPr="001D5327">
              <w:rPr>
                <w:rFonts w:cs="Calibri"/>
                <w:noProof w:val="0"/>
                <w:color w:val="FFFFFF" w:themeColor="background1"/>
                <w:szCs w:val="16"/>
              </w:rPr>
              <w:t>Digesters (%)</w:t>
            </w:r>
          </w:p>
        </w:tc>
        <w:tc>
          <w:tcPr>
            <w:tcW w:w="512" w:type="pct"/>
            <w:shd w:val="clear" w:color="auto" w:fill="1B556B" w:themeFill="text2"/>
            <w:vAlign w:val="bottom"/>
          </w:tcPr>
          <w:p w14:paraId="79B38F8A" w14:textId="77777777" w:rsidR="00590FE1" w:rsidRPr="001D5327" w:rsidRDefault="00590FE1" w:rsidP="00403787">
            <w:pPr>
              <w:pStyle w:val="TableTextBold"/>
              <w:keepNext/>
              <w:spacing w:before="40" w:after="40"/>
              <w:jc w:val="right"/>
              <w:rPr>
                <w:rFonts w:cs="Calibri"/>
                <w:noProof w:val="0"/>
                <w:color w:val="FFFFFF" w:themeColor="background1"/>
                <w:szCs w:val="16"/>
              </w:rPr>
            </w:pPr>
            <w:r w:rsidRPr="001D5327">
              <w:rPr>
                <w:rFonts w:cs="Calibri"/>
                <w:noProof w:val="0"/>
                <w:color w:val="FFFFFF" w:themeColor="background1"/>
                <w:szCs w:val="16"/>
              </w:rPr>
              <w:t>Other (%)</w:t>
            </w:r>
          </w:p>
        </w:tc>
      </w:tr>
      <w:tr w:rsidR="00590FE1" w:rsidRPr="001D5327" w14:paraId="543162DE" w14:textId="77777777" w:rsidTr="00403787">
        <w:trPr>
          <w:cantSplit/>
        </w:trPr>
        <w:tc>
          <w:tcPr>
            <w:tcW w:w="1154" w:type="pct"/>
            <w:vAlign w:val="bottom"/>
          </w:tcPr>
          <w:p w14:paraId="45D210C0" w14:textId="77777777" w:rsidR="00590FE1" w:rsidRPr="001D5327" w:rsidRDefault="00590FE1" w:rsidP="00403787">
            <w:pPr>
              <w:pStyle w:val="TableText"/>
              <w:spacing w:before="40" w:after="40"/>
              <w:rPr>
                <w:rFonts w:cs="Calibri"/>
                <w:szCs w:val="16"/>
              </w:rPr>
            </w:pPr>
            <w:r w:rsidRPr="001D5327">
              <w:rPr>
                <w:rFonts w:cs="Calibri"/>
                <w:szCs w:val="16"/>
              </w:rPr>
              <w:t>Dairy cattle</w:t>
            </w:r>
            <w:r w:rsidRPr="001D5327">
              <w:rPr>
                <w:rStyle w:val="FootnoteReference"/>
                <w:rFonts w:cs="Calibri"/>
                <w:sz w:val="16"/>
                <w:szCs w:val="16"/>
              </w:rPr>
              <w:footnoteReference w:id="37"/>
            </w:r>
          </w:p>
        </w:tc>
        <w:tc>
          <w:tcPr>
            <w:tcW w:w="369" w:type="pct"/>
            <w:vAlign w:val="bottom"/>
          </w:tcPr>
          <w:p w14:paraId="26D9707D"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7.2</w:t>
            </w:r>
          </w:p>
        </w:tc>
        <w:tc>
          <w:tcPr>
            <w:tcW w:w="414" w:type="pct"/>
            <w:vAlign w:val="bottom"/>
          </w:tcPr>
          <w:p w14:paraId="7EBD43F9"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376" w:type="pct"/>
            <w:vAlign w:val="bottom"/>
          </w:tcPr>
          <w:p w14:paraId="3DE59C1F"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04" w:type="pct"/>
            <w:vAlign w:val="bottom"/>
          </w:tcPr>
          <w:p w14:paraId="2CA3240F"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737" w:type="pct"/>
            <w:vAlign w:val="bottom"/>
          </w:tcPr>
          <w:p w14:paraId="09AB2247"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92.8</w:t>
            </w:r>
          </w:p>
        </w:tc>
        <w:tc>
          <w:tcPr>
            <w:tcW w:w="577" w:type="pct"/>
            <w:vAlign w:val="bottom"/>
          </w:tcPr>
          <w:p w14:paraId="054EB492"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57" w:type="pct"/>
            <w:vAlign w:val="bottom"/>
          </w:tcPr>
          <w:p w14:paraId="3771F00C"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512" w:type="pct"/>
            <w:vAlign w:val="bottom"/>
          </w:tcPr>
          <w:p w14:paraId="2912E03E"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r>
      <w:tr w:rsidR="00590FE1" w:rsidRPr="001D5327" w14:paraId="0526723D" w14:textId="77777777" w:rsidTr="00403787">
        <w:trPr>
          <w:cantSplit/>
        </w:trPr>
        <w:tc>
          <w:tcPr>
            <w:tcW w:w="1154" w:type="pct"/>
            <w:vAlign w:val="bottom"/>
          </w:tcPr>
          <w:p w14:paraId="05AACF45" w14:textId="77777777" w:rsidR="00590FE1" w:rsidRPr="001D5327" w:rsidRDefault="00590FE1" w:rsidP="00403787">
            <w:pPr>
              <w:pStyle w:val="TableText"/>
              <w:spacing w:before="40" w:after="40"/>
              <w:rPr>
                <w:rFonts w:cs="Calibri"/>
                <w:szCs w:val="16"/>
              </w:rPr>
            </w:pPr>
            <w:r w:rsidRPr="001D5327">
              <w:rPr>
                <w:rFonts w:cs="Calibri"/>
                <w:szCs w:val="16"/>
              </w:rPr>
              <w:t>Non-dairy cattle</w:t>
            </w:r>
          </w:p>
        </w:tc>
        <w:tc>
          <w:tcPr>
            <w:tcW w:w="369" w:type="pct"/>
            <w:vAlign w:val="bottom"/>
          </w:tcPr>
          <w:p w14:paraId="04DE3DC5"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14" w:type="pct"/>
            <w:vAlign w:val="bottom"/>
          </w:tcPr>
          <w:p w14:paraId="5CF46EC7"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376" w:type="pct"/>
            <w:vAlign w:val="bottom"/>
          </w:tcPr>
          <w:p w14:paraId="284ABBAF"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04" w:type="pct"/>
            <w:vAlign w:val="bottom"/>
          </w:tcPr>
          <w:p w14:paraId="560EF7EC"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737" w:type="pct"/>
            <w:vAlign w:val="bottom"/>
          </w:tcPr>
          <w:p w14:paraId="174A004A"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100</w:t>
            </w:r>
          </w:p>
        </w:tc>
        <w:tc>
          <w:tcPr>
            <w:tcW w:w="577" w:type="pct"/>
            <w:vAlign w:val="bottom"/>
          </w:tcPr>
          <w:p w14:paraId="0CF9CB69"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57" w:type="pct"/>
            <w:vAlign w:val="bottom"/>
          </w:tcPr>
          <w:p w14:paraId="65FD3B48"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512" w:type="pct"/>
            <w:vAlign w:val="bottom"/>
          </w:tcPr>
          <w:p w14:paraId="3ED82594"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r>
      <w:tr w:rsidR="00590FE1" w:rsidRPr="001D5327" w14:paraId="62E155E3" w14:textId="77777777" w:rsidTr="00403787">
        <w:trPr>
          <w:cantSplit/>
        </w:trPr>
        <w:tc>
          <w:tcPr>
            <w:tcW w:w="1154" w:type="pct"/>
            <w:vAlign w:val="bottom"/>
          </w:tcPr>
          <w:p w14:paraId="2EF94EF9" w14:textId="77777777" w:rsidR="00590FE1" w:rsidRPr="001D5327" w:rsidRDefault="00590FE1" w:rsidP="00403787">
            <w:pPr>
              <w:pStyle w:val="TableText"/>
              <w:spacing w:before="40" w:after="40"/>
              <w:rPr>
                <w:rFonts w:cs="Calibri"/>
                <w:szCs w:val="16"/>
              </w:rPr>
            </w:pPr>
            <w:r w:rsidRPr="001D5327">
              <w:rPr>
                <w:rFonts w:cs="Calibri"/>
                <w:szCs w:val="16"/>
              </w:rPr>
              <w:t>Sheep</w:t>
            </w:r>
          </w:p>
        </w:tc>
        <w:tc>
          <w:tcPr>
            <w:tcW w:w="369" w:type="pct"/>
            <w:vAlign w:val="bottom"/>
          </w:tcPr>
          <w:p w14:paraId="2D5784DE"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14" w:type="pct"/>
            <w:vAlign w:val="bottom"/>
          </w:tcPr>
          <w:p w14:paraId="11910D65"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376" w:type="pct"/>
            <w:vAlign w:val="bottom"/>
          </w:tcPr>
          <w:p w14:paraId="04BB9FE1"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04" w:type="pct"/>
            <w:vAlign w:val="bottom"/>
          </w:tcPr>
          <w:p w14:paraId="2CF13974"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737" w:type="pct"/>
            <w:vAlign w:val="bottom"/>
          </w:tcPr>
          <w:p w14:paraId="3D35F241"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100</w:t>
            </w:r>
          </w:p>
        </w:tc>
        <w:tc>
          <w:tcPr>
            <w:tcW w:w="577" w:type="pct"/>
            <w:vAlign w:val="bottom"/>
          </w:tcPr>
          <w:p w14:paraId="599B7CA8"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57" w:type="pct"/>
            <w:vAlign w:val="bottom"/>
          </w:tcPr>
          <w:p w14:paraId="3D0A1917"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512" w:type="pct"/>
            <w:vAlign w:val="bottom"/>
          </w:tcPr>
          <w:p w14:paraId="47715BF3"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r>
      <w:tr w:rsidR="00590FE1" w:rsidRPr="001D5327" w14:paraId="594F1337" w14:textId="77777777" w:rsidTr="00403787">
        <w:trPr>
          <w:cantSplit/>
        </w:trPr>
        <w:tc>
          <w:tcPr>
            <w:tcW w:w="1154" w:type="pct"/>
            <w:vAlign w:val="bottom"/>
          </w:tcPr>
          <w:p w14:paraId="79A8D2C8" w14:textId="77777777" w:rsidR="00590FE1" w:rsidRPr="001D5327" w:rsidRDefault="00590FE1" w:rsidP="00403787">
            <w:pPr>
              <w:pStyle w:val="TableText"/>
              <w:spacing w:before="40" w:after="40"/>
              <w:rPr>
                <w:rFonts w:cs="Calibri"/>
                <w:szCs w:val="16"/>
              </w:rPr>
            </w:pPr>
            <w:r w:rsidRPr="001D5327">
              <w:rPr>
                <w:rFonts w:cs="Calibri"/>
                <w:szCs w:val="16"/>
              </w:rPr>
              <w:t>Deer</w:t>
            </w:r>
          </w:p>
        </w:tc>
        <w:tc>
          <w:tcPr>
            <w:tcW w:w="369" w:type="pct"/>
            <w:vAlign w:val="bottom"/>
          </w:tcPr>
          <w:p w14:paraId="5CAB4362"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14" w:type="pct"/>
            <w:vAlign w:val="bottom"/>
          </w:tcPr>
          <w:p w14:paraId="3144E2D7"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376" w:type="pct"/>
            <w:vAlign w:val="bottom"/>
          </w:tcPr>
          <w:p w14:paraId="3ABF1C96"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04" w:type="pct"/>
            <w:vAlign w:val="bottom"/>
          </w:tcPr>
          <w:p w14:paraId="50B86F19"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737" w:type="pct"/>
            <w:vAlign w:val="bottom"/>
          </w:tcPr>
          <w:p w14:paraId="4E8AEC4C"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100</w:t>
            </w:r>
          </w:p>
        </w:tc>
        <w:tc>
          <w:tcPr>
            <w:tcW w:w="577" w:type="pct"/>
            <w:vAlign w:val="bottom"/>
          </w:tcPr>
          <w:p w14:paraId="4297EDC2"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57" w:type="pct"/>
            <w:vAlign w:val="bottom"/>
          </w:tcPr>
          <w:p w14:paraId="5989169F"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512" w:type="pct"/>
            <w:vAlign w:val="bottom"/>
          </w:tcPr>
          <w:p w14:paraId="7B35C838"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r>
      <w:tr w:rsidR="00590FE1" w:rsidRPr="001D5327" w14:paraId="1D38AFB3" w14:textId="77777777" w:rsidTr="00403787">
        <w:trPr>
          <w:cantSplit/>
        </w:trPr>
        <w:tc>
          <w:tcPr>
            <w:tcW w:w="1154" w:type="pct"/>
            <w:vAlign w:val="bottom"/>
          </w:tcPr>
          <w:p w14:paraId="49A0FD05" w14:textId="77777777" w:rsidR="00590FE1" w:rsidRPr="001D5327" w:rsidRDefault="00590FE1" w:rsidP="00403787">
            <w:pPr>
              <w:pStyle w:val="TableText"/>
              <w:spacing w:before="40" w:after="40"/>
              <w:rPr>
                <w:rFonts w:cs="Calibri"/>
                <w:szCs w:val="16"/>
              </w:rPr>
            </w:pPr>
            <w:r w:rsidRPr="001D5327">
              <w:rPr>
                <w:rFonts w:cs="Calibri"/>
                <w:szCs w:val="16"/>
              </w:rPr>
              <w:t>Goats</w:t>
            </w:r>
          </w:p>
        </w:tc>
        <w:tc>
          <w:tcPr>
            <w:tcW w:w="369" w:type="pct"/>
            <w:vAlign w:val="bottom"/>
          </w:tcPr>
          <w:p w14:paraId="40179311"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14" w:type="pct"/>
            <w:vAlign w:val="bottom"/>
          </w:tcPr>
          <w:p w14:paraId="6371BC61"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376" w:type="pct"/>
            <w:vAlign w:val="bottom"/>
          </w:tcPr>
          <w:p w14:paraId="1D54C0D6"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04" w:type="pct"/>
            <w:vAlign w:val="bottom"/>
          </w:tcPr>
          <w:p w14:paraId="5776A549"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737" w:type="pct"/>
            <w:vAlign w:val="bottom"/>
          </w:tcPr>
          <w:p w14:paraId="7DAFCFA9"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100</w:t>
            </w:r>
          </w:p>
        </w:tc>
        <w:tc>
          <w:tcPr>
            <w:tcW w:w="577" w:type="pct"/>
            <w:vAlign w:val="bottom"/>
          </w:tcPr>
          <w:p w14:paraId="5CBE870C"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57" w:type="pct"/>
            <w:vAlign w:val="bottom"/>
          </w:tcPr>
          <w:p w14:paraId="144FAC8E"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512" w:type="pct"/>
            <w:vAlign w:val="bottom"/>
          </w:tcPr>
          <w:p w14:paraId="4F9B8B37"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r>
      <w:tr w:rsidR="00590FE1" w:rsidRPr="001D5327" w14:paraId="1149EB03" w14:textId="77777777" w:rsidTr="00403787">
        <w:trPr>
          <w:cantSplit/>
        </w:trPr>
        <w:tc>
          <w:tcPr>
            <w:tcW w:w="1154" w:type="pct"/>
            <w:vAlign w:val="bottom"/>
          </w:tcPr>
          <w:p w14:paraId="22B91D07" w14:textId="77777777" w:rsidR="00590FE1" w:rsidRPr="001D5327" w:rsidRDefault="00590FE1" w:rsidP="00403787">
            <w:pPr>
              <w:pStyle w:val="TableText"/>
              <w:spacing w:before="40" w:after="40"/>
              <w:rPr>
                <w:rFonts w:cs="Calibri"/>
                <w:szCs w:val="16"/>
              </w:rPr>
            </w:pPr>
            <w:r w:rsidRPr="001D5327">
              <w:rPr>
                <w:rFonts w:cs="Calibri"/>
                <w:szCs w:val="16"/>
              </w:rPr>
              <w:t>Horses</w:t>
            </w:r>
          </w:p>
        </w:tc>
        <w:tc>
          <w:tcPr>
            <w:tcW w:w="369" w:type="pct"/>
            <w:vAlign w:val="bottom"/>
          </w:tcPr>
          <w:p w14:paraId="329B5575"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14" w:type="pct"/>
            <w:vAlign w:val="bottom"/>
          </w:tcPr>
          <w:p w14:paraId="0C2A4106"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376" w:type="pct"/>
            <w:vAlign w:val="bottom"/>
          </w:tcPr>
          <w:p w14:paraId="4C0D3CA6"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04" w:type="pct"/>
            <w:vAlign w:val="bottom"/>
          </w:tcPr>
          <w:p w14:paraId="32DC925C"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737" w:type="pct"/>
            <w:vAlign w:val="bottom"/>
          </w:tcPr>
          <w:p w14:paraId="52E79608"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100</w:t>
            </w:r>
          </w:p>
        </w:tc>
        <w:tc>
          <w:tcPr>
            <w:tcW w:w="577" w:type="pct"/>
            <w:vAlign w:val="bottom"/>
          </w:tcPr>
          <w:p w14:paraId="19739D1B"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57" w:type="pct"/>
            <w:vAlign w:val="bottom"/>
          </w:tcPr>
          <w:p w14:paraId="035ED361"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512" w:type="pct"/>
            <w:vAlign w:val="bottom"/>
          </w:tcPr>
          <w:p w14:paraId="67DFD70D"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r>
      <w:tr w:rsidR="00590FE1" w:rsidRPr="001D5327" w14:paraId="137AF32F" w14:textId="77777777" w:rsidTr="00403787">
        <w:trPr>
          <w:cantSplit/>
        </w:trPr>
        <w:tc>
          <w:tcPr>
            <w:tcW w:w="1154" w:type="pct"/>
            <w:vAlign w:val="bottom"/>
          </w:tcPr>
          <w:p w14:paraId="5BC98B09" w14:textId="77777777" w:rsidR="00590FE1" w:rsidRPr="001D5327" w:rsidRDefault="00590FE1" w:rsidP="00403787">
            <w:pPr>
              <w:pStyle w:val="TableText"/>
              <w:spacing w:before="40" w:after="40"/>
              <w:rPr>
                <w:rFonts w:cs="Calibri"/>
                <w:szCs w:val="16"/>
              </w:rPr>
            </w:pPr>
            <w:r w:rsidRPr="001D5327">
              <w:rPr>
                <w:rFonts w:cs="Calibri"/>
                <w:szCs w:val="16"/>
              </w:rPr>
              <w:t>Swine</w:t>
            </w:r>
            <w:r w:rsidRPr="001D5327">
              <w:rPr>
                <w:rStyle w:val="FootnoteReference"/>
                <w:rFonts w:cs="Calibri"/>
                <w:sz w:val="16"/>
                <w:szCs w:val="16"/>
              </w:rPr>
              <w:footnoteReference w:id="38"/>
            </w:r>
          </w:p>
        </w:tc>
        <w:tc>
          <w:tcPr>
            <w:tcW w:w="369" w:type="pct"/>
            <w:vAlign w:val="bottom"/>
          </w:tcPr>
          <w:p w14:paraId="5DE7B3E8"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16.0</w:t>
            </w:r>
          </w:p>
        </w:tc>
        <w:tc>
          <w:tcPr>
            <w:tcW w:w="414" w:type="pct"/>
            <w:vAlign w:val="bottom"/>
          </w:tcPr>
          <w:p w14:paraId="1CEDAABE"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7.6</w:t>
            </w:r>
          </w:p>
        </w:tc>
        <w:tc>
          <w:tcPr>
            <w:tcW w:w="376" w:type="pct"/>
            <w:vAlign w:val="bottom"/>
          </w:tcPr>
          <w:p w14:paraId="64BBFE3B"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18.0</w:t>
            </w:r>
          </w:p>
        </w:tc>
        <w:tc>
          <w:tcPr>
            <w:tcW w:w="404" w:type="pct"/>
            <w:vAlign w:val="bottom"/>
          </w:tcPr>
          <w:p w14:paraId="1B151B04"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32.7</w:t>
            </w:r>
          </w:p>
        </w:tc>
        <w:tc>
          <w:tcPr>
            <w:tcW w:w="737" w:type="pct"/>
            <w:vAlign w:val="bottom"/>
          </w:tcPr>
          <w:p w14:paraId="13BA2C6B"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14.5</w:t>
            </w:r>
          </w:p>
        </w:tc>
        <w:tc>
          <w:tcPr>
            <w:tcW w:w="577" w:type="pct"/>
            <w:vAlign w:val="bottom"/>
          </w:tcPr>
          <w:p w14:paraId="6846AEAE"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1.9</w:t>
            </w:r>
          </w:p>
        </w:tc>
        <w:tc>
          <w:tcPr>
            <w:tcW w:w="457" w:type="pct"/>
            <w:vAlign w:val="bottom"/>
          </w:tcPr>
          <w:p w14:paraId="7AA830AF"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9.4</w:t>
            </w:r>
          </w:p>
        </w:tc>
        <w:tc>
          <w:tcPr>
            <w:tcW w:w="512" w:type="pct"/>
            <w:vAlign w:val="bottom"/>
          </w:tcPr>
          <w:p w14:paraId="2160A3DC"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r>
      <w:tr w:rsidR="00590FE1" w:rsidRPr="001D5327" w14:paraId="6D7E86F8" w14:textId="77777777" w:rsidTr="00403787">
        <w:trPr>
          <w:cantSplit/>
        </w:trPr>
        <w:tc>
          <w:tcPr>
            <w:tcW w:w="1154" w:type="pct"/>
            <w:vAlign w:val="bottom"/>
          </w:tcPr>
          <w:p w14:paraId="6ED017C1" w14:textId="77777777" w:rsidR="00590FE1" w:rsidRPr="001D5327" w:rsidRDefault="00590FE1" w:rsidP="00403787">
            <w:pPr>
              <w:pStyle w:val="TableText"/>
              <w:spacing w:before="40" w:after="40"/>
              <w:rPr>
                <w:rFonts w:cs="Calibri"/>
                <w:szCs w:val="16"/>
              </w:rPr>
            </w:pPr>
            <w:r w:rsidRPr="001D5327">
              <w:rPr>
                <w:rFonts w:cs="Calibri"/>
                <w:szCs w:val="16"/>
              </w:rPr>
              <w:t>Poultry – broilers</w:t>
            </w:r>
            <w:r w:rsidRPr="001D5327">
              <w:rPr>
                <w:rStyle w:val="FootnoteReference"/>
                <w:rFonts w:cs="Calibri"/>
                <w:sz w:val="16"/>
                <w:szCs w:val="16"/>
              </w:rPr>
              <w:footnoteReference w:id="39"/>
            </w:r>
          </w:p>
        </w:tc>
        <w:tc>
          <w:tcPr>
            <w:tcW w:w="369" w:type="pct"/>
            <w:vAlign w:val="bottom"/>
          </w:tcPr>
          <w:p w14:paraId="402C4478"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14" w:type="pct"/>
            <w:vAlign w:val="bottom"/>
          </w:tcPr>
          <w:p w14:paraId="7D4B8515"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376" w:type="pct"/>
            <w:vAlign w:val="bottom"/>
          </w:tcPr>
          <w:p w14:paraId="553D807F"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04" w:type="pct"/>
            <w:vAlign w:val="bottom"/>
          </w:tcPr>
          <w:p w14:paraId="33776A5E"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737" w:type="pct"/>
            <w:vAlign w:val="bottom"/>
          </w:tcPr>
          <w:p w14:paraId="07387703"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4.9</w:t>
            </w:r>
          </w:p>
        </w:tc>
        <w:tc>
          <w:tcPr>
            <w:tcW w:w="577" w:type="pct"/>
            <w:vAlign w:val="bottom"/>
          </w:tcPr>
          <w:p w14:paraId="1C3A5FEB"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57" w:type="pct"/>
            <w:vAlign w:val="bottom"/>
          </w:tcPr>
          <w:p w14:paraId="067E8C32"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512" w:type="pct"/>
            <w:vAlign w:val="bottom"/>
          </w:tcPr>
          <w:p w14:paraId="3FD51B21"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95.1</w:t>
            </w:r>
          </w:p>
        </w:tc>
      </w:tr>
      <w:tr w:rsidR="00590FE1" w:rsidRPr="001D5327" w14:paraId="709DCAF5" w14:textId="77777777" w:rsidTr="00403787">
        <w:trPr>
          <w:cantSplit/>
        </w:trPr>
        <w:tc>
          <w:tcPr>
            <w:tcW w:w="1154" w:type="pct"/>
            <w:vAlign w:val="bottom"/>
          </w:tcPr>
          <w:p w14:paraId="2A0CCAF6" w14:textId="77777777" w:rsidR="00590FE1" w:rsidRPr="001D5327" w:rsidRDefault="00590FE1" w:rsidP="00403787">
            <w:pPr>
              <w:pStyle w:val="TableText"/>
              <w:spacing w:before="40" w:after="40"/>
              <w:rPr>
                <w:rFonts w:cs="Calibri"/>
                <w:szCs w:val="16"/>
                <w:vertAlign w:val="superscript"/>
              </w:rPr>
            </w:pPr>
            <w:r w:rsidRPr="001D5327">
              <w:rPr>
                <w:rFonts w:cs="Calibri"/>
                <w:szCs w:val="16"/>
              </w:rPr>
              <w:t>Poultry – layers</w:t>
            </w:r>
            <w:r w:rsidRPr="001D5327">
              <w:rPr>
                <w:rStyle w:val="FootnoteReference"/>
                <w:rFonts w:cs="Calibri"/>
                <w:sz w:val="16"/>
                <w:szCs w:val="16"/>
              </w:rPr>
              <w:footnoteReference w:id="40"/>
            </w:r>
          </w:p>
        </w:tc>
        <w:tc>
          <w:tcPr>
            <w:tcW w:w="369" w:type="pct"/>
            <w:vAlign w:val="bottom"/>
          </w:tcPr>
          <w:p w14:paraId="47D30460"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14" w:type="pct"/>
            <w:vAlign w:val="bottom"/>
          </w:tcPr>
          <w:p w14:paraId="055BBBE2" w14:textId="77777777" w:rsidR="00590FE1" w:rsidRPr="001D5327" w:rsidDel="00063FE1" w:rsidRDefault="00590FE1" w:rsidP="00403787">
            <w:pPr>
              <w:pStyle w:val="TableText"/>
              <w:spacing w:before="40" w:after="40"/>
              <w:jc w:val="right"/>
              <w:rPr>
                <w:rFonts w:cs="Calibri"/>
                <w:szCs w:val="16"/>
              </w:rPr>
            </w:pPr>
            <w:r w:rsidRPr="001D5327">
              <w:rPr>
                <w:rFonts w:cs="Calibri"/>
                <w:color w:val="000000"/>
                <w:szCs w:val="16"/>
              </w:rPr>
              <w:t>0</w:t>
            </w:r>
          </w:p>
        </w:tc>
        <w:tc>
          <w:tcPr>
            <w:tcW w:w="376" w:type="pct"/>
            <w:vAlign w:val="bottom"/>
          </w:tcPr>
          <w:p w14:paraId="2B437AE2"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04" w:type="pct"/>
            <w:vAlign w:val="bottom"/>
          </w:tcPr>
          <w:p w14:paraId="56CE0944"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737" w:type="pct"/>
            <w:vAlign w:val="bottom"/>
          </w:tcPr>
          <w:p w14:paraId="39465563"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5.8</w:t>
            </w:r>
          </w:p>
        </w:tc>
        <w:tc>
          <w:tcPr>
            <w:tcW w:w="577" w:type="pct"/>
            <w:vAlign w:val="bottom"/>
          </w:tcPr>
          <w:p w14:paraId="5A468F14"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57" w:type="pct"/>
            <w:vAlign w:val="bottom"/>
          </w:tcPr>
          <w:p w14:paraId="5FEBE37B"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512" w:type="pct"/>
            <w:vAlign w:val="bottom"/>
          </w:tcPr>
          <w:p w14:paraId="7782D121"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94.2</w:t>
            </w:r>
          </w:p>
        </w:tc>
      </w:tr>
      <w:tr w:rsidR="00590FE1" w:rsidRPr="001D5327" w14:paraId="1E8C98A1" w14:textId="77777777" w:rsidTr="00403787">
        <w:trPr>
          <w:cantSplit/>
        </w:trPr>
        <w:tc>
          <w:tcPr>
            <w:tcW w:w="1154" w:type="pct"/>
            <w:vAlign w:val="bottom"/>
          </w:tcPr>
          <w:p w14:paraId="70800F77" w14:textId="77777777" w:rsidR="00590FE1" w:rsidRPr="001D5327" w:rsidRDefault="00590FE1" w:rsidP="00403787">
            <w:pPr>
              <w:pStyle w:val="TableText"/>
              <w:spacing w:before="40" w:after="40"/>
              <w:rPr>
                <w:rFonts w:cs="Calibri"/>
                <w:szCs w:val="16"/>
              </w:rPr>
            </w:pPr>
            <w:r w:rsidRPr="001D5327">
              <w:rPr>
                <w:rFonts w:cs="Calibri"/>
                <w:szCs w:val="16"/>
              </w:rPr>
              <w:t>Poultry – other</w:t>
            </w:r>
            <w:r w:rsidRPr="001D5327">
              <w:rPr>
                <w:rStyle w:val="FootnoteReference"/>
                <w:rFonts w:cs="Calibri"/>
                <w:sz w:val="16"/>
                <w:szCs w:val="16"/>
              </w:rPr>
              <w:footnoteReference w:id="41"/>
            </w:r>
          </w:p>
        </w:tc>
        <w:tc>
          <w:tcPr>
            <w:tcW w:w="369" w:type="pct"/>
            <w:vAlign w:val="bottom"/>
          </w:tcPr>
          <w:p w14:paraId="7BDE28CF"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14" w:type="pct"/>
            <w:vAlign w:val="bottom"/>
          </w:tcPr>
          <w:p w14:paraId="14D092A6" w14:textId="77777777" w:rsidR="00590FE1" w:rsidRPr="001D5327" w:rsidDel="00063FE1" w:rsidRDefault="00590FE1" w:rsidP="00403787">
            <w:pPr>
              <w:pStyle w:val="TableText"/>
              <w:spacing w:before="40" w:after="40"/>
              <w:jc w:val="right"/>
              <w:rPr>
                <w:rFonts w:cs="Calibri"/>
                <w:szCs w:val="16"/>
              </w:rPr>
            </w:pPr>
            <w:r w:rsidRPr="001D5327">
              <w:rPr>
                <w:rFonts w:cs="Calibri"/>
                <w:color w:val="000000"/>
                <w:szCs w:val="16"/>
              </w:rPr>
              <w:t>0</w:t>
            </w:r>
          </w:p>
        </w:tc>
        <w:tc>
          <w:tcPr>
            <w:tcW w:w="376" w:type="pct"/>
            <w:vAlign w:val="bottom"/>
          </w:tcPr>
          <w:p w14:paraId="2096B11D"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04" w:type="pct"/>
            <w:vAlign w:val="bottom"/>
          </w:tcPr>
          <w:p w14:paraId="501571F6"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737" w:type="pct"/>
            <w:vAlign w:val="bottom"/>
          </w:tcPr>
          <w:p w14:paraId="61C1CEB2"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3.0</w:t>
            </w:r>
          </w:p>
        </w:tc>
        <w:tc>
          <w:tcPr>
            <w:tcW w:w="577" w:type="pct"/>
            <w:vAlign w:val="bottom"/>
          </w:tcPr>
          <w:p w14:paraId="632364D1"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57" w:type="pct"/>
            <w:vAlign w:val="bottom"/>
          </w:tcPr>
          <w:p w14:paraId="5FDFA42E"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512" w:type="pct"/>
            <w:vAlign w:val="bottom"/>
          </w:tcPr>
          <w:p w14:paraId="21AA5506" w14:textId="77777777" w:rsidR="00590FE1" w:rsidRPr="001D5327" w:rsidRDefault="00590FE1" w:rsidP="00403787">
            <w:pPr>
              <w:pStyle w:val="TableText"/>
              <w:spacing w:before="40" w:after="40"/>
              <w:jc w:val="right"/>
              <w:rPr>
                <w:rFonts w:cs="Calibri"/>
                <w:szCs w:val="16"/>
              </w:rPr>
            </w:pPr>
            <w:r w:rsidRPr="001D5327">
              <w:rPr>
                <w:rFonts w:cs="Calibri"/>
                <w:szCs w:val="16"/>
              </w:rPr>
              <w:t>97.0</w:t>
            </w:r>
          </w:p>
        </w:tc>
      </w:tr>
      <w:tr w:rsidR="00590FE1" w:rsidRPr="001D5327" w14:paraId="6BF67466" w14:textId="77777777" w:rsidTr="00403787">
        <w:trPr>
          <w:cantSplit/>
        </w:trPr>
        <w:tc>
          <w:tcPr>
            <w:tcW w:w="1154" w:type="pct"/>
            <w:vAlign w:val="bottom"/>
          </w:tcPr>
          <w:p w14:paraId="12C81CFA" w14:textId="77777777" w:rsidR="00590FE1" w:rsidRPr="001D5327" w:rsidRDefault="00590FE1" w:rsidP="00403787">
            <w:pPr>
              <w:pStyle w:val="TableText"/>
              <w:spacing w:before="40" w:after="40"/>
              <w:rPr>
                <w:rFonts w:cs="Calibri"/>
                <w:szCs w:val="16"/>
              </w:rPr>
            </w:pPr>
            <w:r w:rsidRPr="001D5327">
              <w:rPr>
                <w:rFonts w:cs="Calibri"/>
                <w:szCs w:val="16"/>
              </w:rPr>
              <w:t>Llamas and alpacas</w:t>
            </w:r>
          </w:p>
        </w:tc>
        <w:tc>
          <w:tcPr>
            <w:tcW w:w="369" w:type="pct"/>
            <w:vAlign w:val="bottom"/>
          </w:tcPr>
          <w:p w14:paraId="220C570C"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14" w:type="pct"/>
            <w:vAlign w:val="bottom"/>
          </w:tcPr>
          <w:p w14:paraId="4E7431FD" w14:textId="77777777" w:rsidR="00590FE1" w:rsidRPr="001D5327" w:rsidDel="00063FE1" w:rsidRDefault="00590FE1" w:rsidP="00403787">
            <w:pPr>
              <w:pStyle w:val="TableText"/>
              <w:spacing w:before="40" w:after="40"/>
              <w:jc w:val="right"/>
              <w:rPr>
                <w:rFonts w:cs="Calibri"/>
                <w:szCs w:val="16"/>
              </w:rPr>
            </w:pPr>
            <w:r w:rsidRPr="001D5327">
              <w:rPr>
                <w:rFonts w:cs="Calibri"/>
                <w:color w:val="000000"/>
                <w:szCs w:val="16"/>
              </w:rPr>
              <w:t>0</w:t>
            </w:r>
          </w:p>
        </w:tc>
        <w:tc>
          <w:tcPr>
            <w:tcW w:w="376" w:type="pct"/>
            <w:vAlign w:val="bottom"/>
          </w:tcPr>
          <w:p w14:paraId="5AAE8D73"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04" w:type="pct"/>
            <w:vAlign w:val="bottom"/>
          </w:tcPr>
          <w:p w14:paraId="75756D1C"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737" w:type="pct"/>
            <w:vAlign w:val="bottom"/>
          </w:tcPr>
          <w:p w14:paraId="34E7C070"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100</w:t>
            </w:r>
          </w:p>
        </w:tc>
        <w:tc>
          <w:tcPr>
            <w:tcW w:w="577" w:type="pct"/>
            <w:vAlign w:val="bottom"/>
          </w:tcPr>
          <w:p w14:paraId="39CE4681"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57" w:type="pct"/>
            <w:vAlign w:val="bottom"/>
          </w:tcPr>
          <w:p w14:paraId="39739715"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512" w:type="pct"/>
            <w:vAlign w:val="bottom"/>
          </w:tcPr>
          <w:p w14:paraId="2277E0C4"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r>
      <w:tr w:rsidR="00590FE1" w:rsidRPr="001D5327" w14:paraId="7D368D5C" w14:textId="77777777" w:rsidTr="00403787">
        <w:trPr>
          <w:cantSplit/>
        </w:trPr>
        <w:tc>
          <w:tcPr>
            <w:tcW w:w="1154" w:type="pct"/>
            <w:vAlign w:val="bottom"/>
          </w:tcPr>
          <w:p w14:paraId="68DC6BE8" w14:textId="77777777" w:rsidR="00590FE1" w:rsidRPr="001D5327" w:rsidRDefault="00590FE1" w:rsidP="00403787">
            <w:pPr>
              <w:pStyle w:val="TableText"/>
              <w:spacing w:before="40" w:after="40"/>
              <w:rPr>
                <w:rFonts w:cs="Calibri"/>
                <w:szCs w:val="16"/>
              </w:rPr>
            </w:pPr>
            <w:r w:rsidRPr="001D5327">
              <w:rPr>
                <w:rFonts w:cs="Calibri"/>
                <w:szCs w:val="16"/>
              </w:rPr>
              <w:t>Mules and asses</w:t>
            </w:r>
          </w:p>
        </w:tc>
        <w:tc>
          <w:tcPr>
            <w:tcW w:w="369" w:type="pct"/>
            <w:vAlign w:val="bottom"/>
          </w:tcPr>
          <w:p w14:paraId="6B24910D"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14" w:type="pct"/>
            <w:vAlign w:val="bottom"/>
          </w:tcPr>
          <w:p w14:paraId="74DD7D88" w14:textId="77777777" w:rsidR="00590FE1" w:rsidRPr="001D5327" w:rsidDel="00063FE1" w:rsidRDefault="00590FE1" w:rsidP="00403787">
            <w:pPr>
              <w:pStyle w:val="TableText"/>
              <w:spacing w:before="40" w:after="40"/>
              <w:jc w:val="right"/>
              <w:rPr>
                <w:rFonts w:cs="Calibri"/>
                <w:szCs w:val="16"/>
              </w:rPr>
            </w:pPr>
            <w:r w:rsidRPr="001D5327">
              <w:rPr>
                <w:rFonts w:cs="Calibri"/>
                <w:color w:val="000000"/>
                <w:szCs w:val="16"/>
              </w:rPr>
              <w:t>0</w:t>
            </w:r>
          </w:p>
        </w:tc>
        <w:tc>
          <w:tcPr>
            <w:tcW w:w="376" w:type="pct"/>
            <w:vAlign w:val="bottom"/>
          </w:tcPr>
          <w:p w14:paraId="7025B421"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04" w:type="pct"/>
            <w:vAlign w:val="bottom"/>
          </w:tcPr>
          <w:p w14:paraId="717C3B37"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737" w:type="pct"/>
            <w:vAlign w:val="bottom"/>
          </w:tcPr>
          <w:p w14:paraId="45F8961B"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100</w:t>
            </w:r>
          </w:p>
        </w:tc>
        <w:tc>
          <w:tcPr>
            <w:tcW w:w="577" w:type="pct"/>
            <w:vAlign w:val="bottom"/>
          </w:tcPr>
          <w:p w14:paraId="6CA35DA7"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457" w:type="pct"/>
            <w:vAlign w:val="bottom"/>
          </w:tcPr>
          <w:p w14:paraId="524CB352"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c>
          <w:tcPr>
            <w:tcW w:w="512" w:type="pct"/>
            <w:vAlign w:val="bottom"/>
          </w:tcPr>
          <w:p w14:paraId="6388411B"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w:t>
            </w:r>
          </w:p>
        </w:tc>
      </w:tr>
    </w:tbl>
    <w:p w14:paraId="30D9F97C" w14:textId="77777777" w:rsidR="00590FE1" w:rsidRPr="001D5327" w:rsidRDefault="00590FE1" w:rsidP="00590FE1">
      <w:pPr>
        <w:pStyle w:val="Heading3"/>
        <w:spacing w:before="400"/>
      </w:pPr>
      <w:bookmarkStart w:id="922" w:name="_Toc32570659"/>
      <w:r w:rsidRPr="001D5327">
        <w:t>5.3.2</w:t>
      </w:r>
      <w:r w:rsidRPr="001D5327">
        <w:tab/>
        <w:t>Methodological issues</w:t>
      </w:r>
      <w:bookmarkEnd w:id="903"/>
      <w:bookmarkEnd w:id="922"/>
    </w:p>
    <w:p w14:paraId="3544D5A7" w14:textId="77777777" w:rsidR="00590FE1" w:rsidRPr="001D5327" w:rsidRDefault="00590FE1" w:rsidP="00590FE1">
      <w:pPr>
        <w:pStyle w:val="Heading4"/>
        <w:spacing w:before="180"/>
      </w:pPr>
      <w:r w:rsidRPr="001D5327">
        <w:t xml:space="preserve">Methane from manure management systems (3.B.(a)) </w:t>
      </w:r>
    </w:p>
    <w:p w14:paraId="2CC525B6" w14:textId="77777777" w:rsidR="00590FE1" w:rsidRPr="001D5327" w:rsidRDefault="00590FE1" w:rsidP="00590FE1">
      <w:pPr>
        <w:pStyle w:val="BodyText"/>
        <w:spacing w:before="100" w:after="100"/>
      </w:pPr>
      <w:r w:rsidRPr="001D5327">
        <w:t xml:space="preserve">New Zealand uses a Tier 2 approach to calculate </w:t>
      </w:r>
      <w:r w:rsidRPr="001D5327">
        <w:rPr>
          <w:rFonts w:cs="Calibri"/>
        </w:rPr>
        <w:t>CH</w:t>
      </w:r>
      <w:r w:rsidRPr="001D5327">
        <w:rPr>
          <w:rFonts w:cs="Calibri"/>
          <w:vertAlign w:val="subscript"/>
        </w:rPr>
        <w:t>4</w:t>
      </w:r>
      <w:r w:rsidRPr="001D5327">
        <w:t xml:space="preserve"> emissions from ruminant animal wastes from the major livestock categories in </w:t>
      </w:r>
      <w:r w:rsidRPr="001D5327" w:rsidDel="00E04595">
        <w:t xml:space="preserve">New </w:t>
      </w:r>
      <w:r w:rsidRPr="001D5327">
        <w:t>Zealand (</w:t>
      </w:r>
      <w:r w:rsidRPr="001D5327">
        <w:rPr>
          <w:i/>
          <w:iCs/>
        </w:rPr>
        <w:t>Dairy cattle</w:t>
      </w:r>
      <w:r w:rsidRPr="001D5327">
        <w:t xml:space="preserve">, </w:t>
      </w:r>
      <w:r w:rsidRPr="001D5327">
        <w:rPr>
          <w:i/>
          <w:iCs/>
        </w:rPr>
        <w:t>Non-dairy cattle</w:t>
      </w:r>
      <w:r w:rsidRPr="001D5327">
        <w:t xml:space="preserve">, </w:t>
      </w:r>
      <w:r w:rsidRPr="001D5327">
        <w:rPr>
          <w:i/>
          <w:iCs/>
        </w:rPr>
        <w:t>Sheep</w:t>
      </w:r>
      <w:r w:rsidRPr="001D5327">
        <w:t xml:space="preserve"> and </w:t>
      </w:r>
      <w:r w:rsidRPr="001D5327">
        <w:rPr>
          <w:i/>
          <w:iCs/>
        </w:rPr>
        <w:t>Deer</w:t>
      </w:r>
      <w:r w:rsidRPr="001D5327">
        <w:t>). This approach is based on the methods recommended by Saggar et al</w:t>
      </w:r>
      <w:r w:rsidRPr="001D5327">
        <w:rPr>
          <w:spacing w:val="-2"/>
        </w:rPr>
        <w:t xml:space="preserve">. </w:t>
      </w:r>
      <w:r w:rsidRPr="001D5327">
        <w:t>(unpublished) and is consistent with the 2006 IPCC Guidelines (IPCC, 2006).</w:t>
      </w:r>
    </w:p>
    <w:p w14:paraId="224479E1" w14:textId="77777777" w:rsidR="00590FE1" w:rsidRPr="001D5327" w:rsidRDefault="00590FE1" w:rsidP="00590FE1">
      <w:pPr>
        <w:pStyle w:val="BodyText"/>
        <w:spacing w:before="100" w:after="100"/>
        <w:ind w:right="-57"/>
        <w:rPr>
          <w:rFonts w:cs="Calibri"/>
        </w:rPr>
      </w:pPr>
      <w:r w:rsidRPr="001D5327">
        <w:rPr>
          <w:rFonts w:cs="Calibri"/>
        </w:rPr>
        <w:t xml:space="preserve">Because </w:t>
      </w:r>
      <w:r w:rsidRPr="001D5327" w:rsidDel="009F642B">
        <w:t xml:space="preserve">New </w:t>
      </w:r>
      <w:r w:rsidRPr="001D5327">
        <w:t>Zealand</w:t>
      </w:r>
      <w:r w:rsidRPr="001D5327">
        <w:rPr>
          <w:rFonts w:cs="Calibri"/>
        </w:rPr>
        <w:t xml:space="preserve"> has detailed information on the dairy cattle population and its characteristics (such as feed intake), the IPCC (2006) Tier 2 methodology for dairy anaerobic lagoons is used. </w:t>
      </w:r>
      <w:r w:rsidRPr="001D5327" w:rsidDel="009F642B">
        <w:t xml:space="preserve">New </w:t>
      </w:r>
      <w:r w:rsidRPr="001D5327">
        <w:t>Zealand</w:t>
      </w:r>
      <w:r w:rsidRPr="001D5327">
        <w:rPr>
          <w:rFonts w:cs="Calibri"/>
        </w:rPr>
        <w:t xml:space="preserve"> uses a Tier 1 methodology with country-specific and IPCC (2006) default emission factors for estimating emissions from the various manure management systems for minor livestock categories.</w:t>
      </w:r>
    </w:p>
    <w:p w14:paraId="38048082" w14:textId="77777777" w:rsidR="00590FE1" w:rsidRPr="001D5327" w:rsidRDefault="00590FE1" w:rsidP="00590FE1">
      <w:pPr>
        <w:pStyle w:val="Heading5"/>
      </w:pPr>
      <w:bookmarkStart w:id="923" w:name="_Toc139264110"/>
      <w:r w:rsidRPr="001D5327">
        <w:lastRenderedPageBreak/>
        <w:t xml:space="preserve">Manure methane </w:t>
      </w:r>
      <w:bookmarkEnd w:id="923"/>
      <w:r w:rsidRPr="001D5327">
        <w:t xml:space="preserve">from the major livestock categories </w:t>
      </w:r>
    </w:p>
    <w:p w14:paraId="1FC2D7EA" w14:textId="77777777" w:rsidR="00590FE1" w:rsidRPr="001D5327" w:rsidRDefault="00590FE1" w:rsidP="00590FE1">
      <w:pPr>
        <w:pStyle w:val="BodyText"/>
        <w:keepNext/>
        <w:spacing w:before="80" w:after="100"/>
        <w:rPr>
          <w:rFonts w:cs="Calibri"/>
        </w:rPr>
      </w:pPr>
      <w:r w:rsidRPr="001D5327">
        <w:rPr>
          <w:rFonts w:cs="Calibri"/>
        </w:rPr>
        <w:t>The approach for calculating manure CH</w:t>
      </w:r>
      <w:r w:rsidRPr="001D5327">
        <w:rPr>
          <w:rFonts w:cs="Calibri"/>
          <w:vertAlign w:val="subscript"/>
        </w:rPr>
        <w:t>4</w:t>
      </w:r>
      <w:r w:rsidRPr="001D5327">
        <w:rPr>
          <w:rFonts w:cs="Calibri"/>
        </w:rPr>
        <w:t xml:space="preserve"> emissions from the major livestock categories relies on: </w:t>
      </w:r>
    </w:p>
    <w:p w14:paraId="10E1F9F0" w14:textId="77777777" w:rsidR="00590FE1" w:rsidRPr="001D5327" w:rsidRDefault="00590FE1" w:rsidP="00590FE1">
      <w:pPr>
        <w:pStyle w:val="BodyText"/>
        <w:spacing w:before="0" w:after="100"/>
        <w:ind w:left="567" w:hanging="567"/>
        <w:rPr>
          <w:rFonts w:cs="Calibri"/>
        </w:rPr>
      </w:pPr>
      <w:r w:rsidRPr="001D5327">
        <w:rPr>
          <w:rFonts w:cs="Calibri"/>
        </w:rPr>
        <w:t xml:space="preserve">(1) </w:t>
      </w:r>
      <w:r w:rsidRPr="001D5327">
        <w:rPr>
          <w:rFonts w:cs="Calibri"/>
        </w:rPr>
        <w:tab/>
        <w:t>an estimation of the total quantity of faecal material produced, split into dung and urine</w:t>
      </w:r>
    </w:p>
    <w:p w14:paraId="483E1C11" w14:textId="77777777" w:rsidR="00590FE1" w:rsidRPr="001D5327" w:rsidRDefault="00590FE1" w:rsidP="00590FE1">
      <w:pPr>
        <w:pStyle w:val="BodyText"/>
        <w:spacing w:before="0" w:after="100"/>
        <w:ind w:left="567" w:hanging="567"/>
        <w:rPr>
          <w:rFonts w:cs="Calibri"/>
        </w:rPr>
      </w:pPr>
      <w:r w:rsidRPr="001D5327">
        <w:rPr>
          <w:rFonts w:cs="Calibri"/>
        </w:rPr>
        <w:t xml:space="preserve">(2) </w:t>
      </w:r>
      <w:r w:rsidRPr="001D5327">
        <w:rPr>
          <w:rFonts w:cs="Calibri"/>
        </w:rPr>
        <w:tab/>
        <w:t xml:space="preserve">allocating the faecal material to the appropriate manure management system, either onto pastures or anaerobic lagoons (based on the distributions in table 5.3.2) </w:t>
      </w:r>
    </w:p>
    <w:p w14:paraId="11C794A4" w14:textId="77777777" w:rsidR="00590FE1" w:rsidRPr="001D5327" w:rsidRDefault="00590FE1" w:rsidP="00590FE1">
      <w:pPr>
        <w:pStyle w:val="BodyText"/>
        <w:spacing w:before="0"/>
        <w:ind w:left="567" w:hanging="567"/>
        <w:rPr>
          <w:rFonts w:cs="Calibri"/>
        </w:rPr>
      </w:pPr>
      <w:r w:rsidRPr="001D5327">
        <w:rPr>
          <w:rFonts w:cs="Calibri"/>
        </w:rPr>
        <w:t xml:space="preserve">(3) </w:t>
      </w:r>
      <w:r w:rsidRPr="001D5327">
        <w:rPr>
          <w:rFonts w:cs="Calibri"/>
        </w:rPr>
        <w:tab/>
      </w:r>
      <w:r w:rsidRPr="001D5327" w:rsidDel="00D8678E">
        <w:t xml:space="preserve">New </w:t>
      </w:r>
      <w:r w:rsidRPr="001D5327">
        <w:t>Zealand</w:t>
      </w:r>
      <w:r w:rsidRPr="001D5327">
        <w:rPr>
          <w:rFonts w:cs="Calibri"/>
        </w:rPr>
        <w:t>-specific emission factors for the quantity of CH</w:t>
      </w:r>
      <w:r w:rsidRPr="001D5327">
        <w:rPr>
          <w:rFonts w:cs="Calibri"/>
          <w:vertAlign w:val="subscript"/>
        </w:rPr>
        <w:t>4</w:t>
      </w:r>
      <w:r w:rsidRPr="001D5327">
        <w:rPr>
          <w:rFonts w:cs="Calibri"/>
        </w:rPr>
        <w:t xml:space="preserve"> produced per unit of faecal dry-matter (FDM) output.</w:t>
      </w:r>
    </w:p>
    <w:p w14:paraId="309E109A" w14:textId="77777777" w:rsidR="00590FE1" w:rsidRPr="001D5327" w:rsidRDefault="00590FE1" w:rsidP="00590FE1">
      <w:pPr>
        <w:pStyle w:val="BodyText"/>
        <w:keepNext/>
        <w:spacing w:before="100" w:after="100"/>
        <w:rPr>
          <w:rFonts w:cs="Calibri"/>
        </w:rPr>
      </w:pPr>
      <w:r w:rsidRPr="001D5327">
        <w:rPr>
          <w:rFonts w:cs="Calibri"/>
        </w:rPr>
        <w:t>The following equation is used to determine the monthly FDM output for each livestock category (</w:t>
      </w:r>
      <w:r w:rsidRPr="001D5327">
        <w:rPr>
          <w:rFonts w:cs="Calibri"/>
          <w:i/>
          <w:iCs/>
        </w:rPr>
        <w:t>Dairy cattle</w:t>
      </w:r>
      <w:r w:rsidRPr="001D5327">
        <w:rPr>
          <w:rFonts w:cs="Calibri"/>
        </w:rPr>
        <w:t xml:space="preserve">, </w:t>
      </w:r>
      <w:r w:rsidRPr="001D5327">
        <w:rPr>
          <w:rFonts w:cs="Calibri"/>
          <w:i/>
          <w:iCs/>
        </w:rPr>
        <w:t>Non-dairy cattle</w:t>
      </w:r>
      <w:r w:rsidRPr="001D5327">
        <w:rPr>
          <w:rFonts w:cs="Calibri"/>
        </w:rPr>
        <w:t xml:space="preserve">, </w:t>
      </w:r>
      <w:r w:rsidRPr="001D5327">
        <w:rPr>
          <w:rFonts w:cs="Calibri"/>
          <w:i/>
          <w:iCs/>
        </w:rPr>
        <w:t>Sheep</w:t>
      </w:r>
      <w:r w:rsidRPr="001D5327">
        <w:rPr>
          <w:rFonts w:cs="Calibri"/>
        </w:rPr>
        <w:t xml:space="preserve"> and </w:t>
      </w:r>
      <w:r w:rsidRPr="001D5327">
        <w:rPr>
          <w:rFonts w:cs="Calibri"/>
          <w:i/>
          <w:iCs/>
        </w:rPr>
        <w:t>Deer</w:t>
      </w:r>
      <w:r w:rsidRPr="001D5327">
        <w:rPr>
          <w:rFonts w:cs="Calibri"/>
        </w:rPr>
        <w:t>):</w:t>
      </w:r>
    </w:p>
    <w:p w14:paraId="3AEFA030" w14:textId="77777777" w:rsidR="00590FE1" w:rsidRPr="001D5327" w:rsidRDefault="00590FE1" w:rsidP="00590FE1">
      <w:pPr>
        <w:spacing w:before="80" w:after="120"/>
        <w:jc w:val="center"/>
        <w:rPr>
          <w:rFonts w:ascii="Cambria Math" w:hAnsi="Cambria Math"/>
          <w:i/>
          <w:sz w:val="24"/>
        </w:rPr>
      </w:pPr>
      <w:r w:rsidRPr="001D5327">
        <w:rPr>
          <w:rFonts w:ascii="Cambria Math" w:hAnsi="Cambria Math"/>
          <w:i/>
          <w:sz w:val="24"/>
        </w:rPr>
        <w:t>FDM = DMI × (1 – DMD)</w:t>
      </w:r>
    </w:p>
    <w:p w14:paraId="15E12CC7" w14:textId="77777777" w:rsidR="00590FE1" w:rsidRPr="001D5327" w:rsidRDefault="00590FE1" w:rsidP="00590FE1">
      <w:pPr>
        <w:pStyle w:val="BodyText"/>
        <w:spacing w:before="60" w:after="40"/>
        <w:ind w:left="964" w:hanging="964"/>
      </w:pPr>
      <w:r w:rsidRPr="001D5327">
        <w:t xml:space="preserve">Where: </w:t>
      </w:r>
      <w:r w:rsidRPr="001D5327">
        <w:tab/>
        <w:t>FDM is faecal dry matter (kg head</w:t>
      </w:r>
      <w:r w:rsidRPr="001D5327">
        <w:rPr>
          <w:vertAlign w:val="superscript"/>
        </w:rPr>
        <w:t xml:space="preserve">-1 </w:t>
      </w:r>
      <w:r w:rsidRPr="001D5327">
        <w:t>month</w:t>
      </w:r>
      <w:r w:rsidRPr="001D5327">
        <w:rPr>
          <w:vertAlign w:val="superscript"/>
        </w:rPr>
        <w:t>-1</w:t>
      </w:r>
      <w:r w:rsidRPr="001D5327">
        <w:t>)</w:t>
      </w:r>
    </w:p>
    <w:p w14:paraId="7A7F91E0" w14:textId="77777777" w:rsidR="00590FE1" w:rsidRPr="001D5327" w:rsidRDefault="00590FE1" w:rsidP="00590FE1">
      <w:pPr>
        <w:pStyle w:val="BodyText"/>
        <w:spacing w:before="20" w:after="40"/>
        <w:ind w:left="964" w:hanging="964"/>
      </w:pPr>
      <w:r w:rsidRPr="001D5327">
        <w:tab/>
        <w:t>DMI is dry-matter intake (kg head</w:t>
      </w:r>
      <w:r w:rsidRPr="001D5327">
        <w:rPr>
          <w:vertAlign w:val="superscript"/>
        </w:rPr>
        <w:t>-1</w:t>
      </w:r>
      <w:r w:rsidRPr="001D5327">
        <w:t xml:space="preserve"> month</w:t>
      </w:r>
      <w:r w:rsidRPr="001D5327">
        <w:rPr>
          <w:vertAlign w:val="superscript"/>
        </w:rPr>
        <w:t>-1</w:t>
      </w:r>
      <w:r w:rsidRPr="001D5327">
        <w:t>), and</w:t>
      </w:r>
    </w:p>
    <w:p w14:paraId="0B0C3870" w14:textId="77777777" w:rsidR="00590FE1" w:rsidRPr="001D5327" w:rsidRDefault="00590FE1" w:rsidP="00590FE1">
      <w:pPr>
        <w:pStyle w:val="BodyText"/>
        <w:spacing w:before="20"/>
        <w:ind w:left="964" w:hanging="964"/>
      </w:pPr>
      <w:r w:rsidRPr="001D5327">
        <w:tab/>
        <w:t>DMD is dry-matter digestibility (decimal proportion).</w:t>
      </w:r>
    </w:p>
    <w:p w14:paraId="6EDDD01D" w14:textId="77777777" w:rsidR="00590FE1" w:rsidRPr="001D5327" w:rsidRDefault="00590FE1" w:rsidP="00590FE1">
      <w:pPr>
        <w:pStyle w:val="BodyText"/>
        <w:spacing w:before="80"/>
        <w:rPr>
          <w:rFonts w:cs="Calibri"/>
        </w:rPr>
      </w:pPr>
      <w:r w:rsidRPr="001D5327">
        <w:rPr>
          <w:rFonts w:cs="Calibri"/>
        </w:rPr>
        <w:t>The DMI and dry-matter digestibility estimates in this calculation are the same as those used to calculate CH</w:t>
      </w:r>
      <w:r w:rsidRPr="001D5327">
        <w:rPr>
          <w:rFonts w:cs="Calibri"/>
          <w:vertAlign w:val="subscript"/>
        </w:rPr>
        <w:t>4</w:t>
      </w:r>
      <w:r w:rsidRPr="001D5327">
        <w:rPr>
          <w:rFonts w:cs="Calibri"/>
        </w:rPr>
        <w:t xml:space="preserve"> from </w:t>
      </w:r>
      <w:r w:rsidRPr="001D5327">
        <w:rPr>
          <w:rFonts w:cs="Calibri"/>
          <w:i/>
          <w:iCs/>
        </w:rPr>
        <w:t>Enteric</w:t>
      </w:r>
      <w:r w:rsidRPr="001D5327">
        <w:rPr>
          <w:i/>
        </w:rPr>
        <w:t xml:space="preserve"> fermentation</w:t>
      </w:r>
      <w:r w:rsidRPr="001D5327">
        <w:rPr>
          <w:rFonts w:cs="Calibri"/>
        </w:rPr>
        <w:t xml:space="preserve"> </w:t>
      </w:r>
      <w:r w:rsidRPr="001D5327">
        <w:rPr>
          <w:rFonts w:cs="Calibri"/>
          <w:spacing w:val="-2"/>
        </w:rPr>
        <w:t xml:space="preserve">and </w:t>
      </w:r>
      <w:r w:rsidRPr="001D5327">
        <w:rPr>
          <w:rFonts w:cs="Calibri"/>
        </w:rPr>
        <w:t>nitrogen</w:t>
      </w:r>
      <w:r w:rsidRPr="001D5327">
        <w:rPr>
          <w:rFonts w:cs="Calibri"/>
          <w:spacing w:val="-2"/>
        </w:rPr>
        <w:t xml:space="preserve"> in excreta.</w:t>
      </w:r>
      <w:r w:rsidRPr="001D5327">
        <w:rPr>
          <w:rFonts w:cs="Calibri"/>
        </w:rPr>
        <w:t xml:space="preserve"> These Tier 2 model calculations are based on livestock performance statistics (see section 5.1.4). </w:t>
      </w:r>
    </w:p>
    <w:p w14:paraId="4E85E7EA" w14:textId="77777777" w:rsidR="00590FE1" w:rsidRPr="001D5327" w:rsidRDefault="00590FE1" w:rsidP="00590FE1">
      <w:pPr>
        <w:pStyle w:val="Heading5"/>
      </w:pPr>
      <w:r w:rsidRPr="001D5327">
        <w:t xml:space="preserve">Methane from dairy effluent anaerobic lagoons </w:t>
      </w:r>
    </w:p>
    <w:p w14:paraId="021ECDC2" w14:textId="77777777" w:rsidR="00590FE1" w:rsidRPr="001D5327" w:rsidRDefault="00590FE1" w:rsidP="00590FE1">
      <w:pPr>
        <w:pStyle w:val="BodyText"/>
        <w:spacing w:before="80" w:after="60"/>
        <w:rPr>
          <w:rFonts w:cs="Calibri"/>
        </w:rPr>
      </w:pPr>
      <w:r w:rsidRPr="001D5327">
        <w:rPr>
          <w:rFonts w:cs="Calibri"/>
        </w:rPr>
        <w:t>Each year, a proportion of manure from dairy cows is stored in anaerobic lagoons (Rollo et al., 2017). A Tier 2 methodology derived from the 2006 IPCC Guidelines (equations 10.23 and 10.24, IPCC, 2006) linking volatile solids to FDM is used for calculating CH</w:t>
      </w:r>
      <w:r w:rsidRPr="001D5327">
        <w:rPr>
          <w:rFonts w:cs="Calibri"/>
          <w:vertAlign w:val="subscript"/>
        </w:rPr>
        <w:t>4</w:t>
      </w:r>
      <w:r w:rsidRPr="001D5327">
        <w:rPr>
          <w:rFonts w:cs="Calibri"/>
        </w:rPr>
        <w:t xml:space="preserve"> emissions from this activity.</w:t>
      </w:r>
    </w:p>
    <w:p w14:paraId="72C84578" w14:textId="77777777" w:rsidR="00590FE1" w:rsidRPr="001D5327" w:rsidRDefault="00590FE1" w:rsidP="00590FE1">
      <w:pPr>
        <w:pStyle w:val="BodyText"/>
        <w:rPr>
          <w:rFonts w:cs="Calibri"/>
        </w:rPr>
      </w:pPr>
      <w:r w:rsidRPr="001D5327">
        <w:rPr>
          <w:rFonts w:cs="Calibri"/>
        </w:rPr>
        <w:t>The following equation is used to determine CH</w:t>
      </w:r>
      <w:r w:rsidRPr="001D5327">
        <w:rPr>
          <w:rFonts w:cs="Calibri"/>
          <w:vertAlign w:val="subscript"/>
        </w:rPr>
        <w:t>4</w:t>
      </w:r>
      <w:r w:rsidRPr="001D5327">
        <w:rPr>
          <w:rFonts w:cs="Calibri"/>
        </w:rPr>
        <w:t xml:space="preserve"> emissions (CH</w:t>
      </w:r>
      <w:r w:rsidRPr="001D5327">
        <w:rPr>
          <w:rFonts w:cs="Calibri"/>
          <w:vertAlign w:val="subscript"/>
        </w:rPr>
        <w:t>4-MM</w:t>
      </w:r>
      <w:r w:rsidRPr="001D5327">
        <w:rPr>
          <w:rFonts w:cs="Calibri"/>
        </w:rPr>
        <w:t>) from dairy cattle manure in anaerobic lagoons:</w:t>
      </w:r>
    </w:p>
    <w:p w14:paraId="081DFD11" w14:textId="77777777" w:rsidR="00590FE1" w:rsidRPr="001D5327" w:rsidRDefault="00000000" w:rsidP="00590FE1">
      <w:pPr>
        <w:pStyle w:val="BodyText"/>
        <w:spacing w:before="80"/>
        <w:rPr>
          <w:sz w:val="24"/>
          <w:szCs w:val="24"/>
        </w:rPr>
      </w:pPr>
      <m:oMathPara>
        <m:oMathParaPr>
          <m:jc m:val="center"/>
        </m:oMathParaPr>
        <m:oMath>
          <m:sSub>
            <m:sSubPr>
              <m:ctrlPr>
                <w:rPr>
                  <w:rFonts w:ascii="Cambria Math" w:hAnsi="Cambria Math"/>
                  <w:sz w:val="24"/>
                  <w:szCs w:val="24"/>
                </w:rPr>
              </m:ctrlPr>
            </m:sSubPr>
            <m:e>
              <m:r>
                <w:rPr>
                  <w:rFonts w:ascii="Cambria Math" w:hAnsi="Cambria Math"/>
                  <w:sz w:val="24"/>
                  <w:szCs w:val="24"/>
                </w:rPr>
                <m:t>CH</m:t>
              </m:r>
            </m:e>
            <m:sub>
              <m:r>
                <m:rPr>
                  <m:sty m:val="p"/>
                </m:rPr>
                <w:rPr>
                  <w:rFonts w:ascii="Cambria Math" w:hAnsi="Cambria Math"/>
                  <w:sz w:val="24"/>
                  <w:szCs w:val="24"/>
                </w:rPr>
                <m:t>4</m:t>
              </m:r>
              <m:r>
                <w:rPr>
                  <w:rFonts w:ascii="Cambria Math" w:hAnsi="Cambria Math"/>
                  <w:sz w:val="24"/>
                  <w:szCs w:val="24"/>
                </w:rPr>
                <m:t>AL</m:t>
              </m:r>
              <m:r>
                <m:rPr>
                  <m:sty m:val="p"/>
                </m:rPr>
                <w:rPr>
                  <w:rFonts w:ascii="Cambria Math" w:hAnsi="Cambria Math"/>
                  <w:sz w:val="24"/>
                  <w:szCs w:val="24"/>
                </w:rPr>
                <m:t>-</m:t>
              </m:r>
              <m:r>
                <w:rPr>
                  <w:rFonts w:ascii="Cambria Math" w:hAnsi="Cambria Math"/>
                  <w:sz w:val="24"/>
                  <w:szCs w:val="24"/>
                </w:rPr>
                <m:t>dairy</m:t>
              </m:r>
            </m:sub>
          </m:sSub>
          <m:r>
            <m:rPr>
              <m:sty m:val="p"/>
            </m:rPr>
            <w:rPr>
              <w:rFonts w:ascii="Cambria Math" w:hAnsi="Cambria Math"/>
              <w:sz w:val="24"/>
              <w:szCs w:val="24"/>
            </w:rPr>
            <m:t xml:space="preserve">= </m:t>
          </m:r>
          <m:r>
            <w:rPr>
              <w:rFonts w:ascii="Cambria Math" w:hAnsi="Cambria Math"/>
              <w:sz w:val="24"/>
              <w:szCs w:val="24"/>
            </w:rPr>
            <m:t>FDM</m:t>
          </m:r>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1-</m:t>
              </m:r>
              <m:r>
                <w:rPr>
                  <w:rFonts w:ascii="Cambria Math" w:hAnsi="Cambria Math"/>
                  <w:sz w:val="24"/>
                  <w:szCs w:val="24"/>
                </w:rPr>
                <m:t>ASH</m:t>
              </m:r>
            </m:e>
          </m:d>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B</m:t>
              </m:r>
            </m:e>
            <m:sub>
              <m:r>
                <m:rPr>
                  <m:sty m:val="p"/>
                </m:rPr>
                <w:rPr>
                  <w:rFonts w:ascii="Cambria Math" w:hAnsi="Cambria Math"/>
                  <w:sz w:val="24"/>
                  <w:szCs w:val="24"/>
                </w:rPr>
                <m:t>0</m:t>
              </m:r>
            </m:sub>
          </m:sSub>
          <m:r>
            <m:rPr>
              <m:sty m:val="p"/>
            </m:rPr>
            <w:rPr>
              <w:rFonts w:ascii="Cambria Math" w:hAnsi="Cambria Math"/>
              <w:sz w:val="24"/>
              <w:szCs w:val="24"/>
            </w:rPr>
            <m:t>×0.67×</m:t>
          </m:r>
          <m:r>
            <w:rPr>
              <w:rFonts w:ascii="Cambria Math" w:hAnsi="Cambria Math"/>
              <w:sz w:val="24"/>
              <w:szCs w:val="24"/>
            </w:rPr>
            <m:t>MCF</m:t>
          </m:r>
          <m:r>
            <m:rPr>
              <m:sty m:val="p"/>
            </m:rPr>
            <w:rPr>
              <w:rFonts w:ascii="Cambria Math" w:hAnsi="Cambria Math"/>
              <w:sz w:val="24"/>
              <w:szCs w:val="24"/>
            </w:rPr>
            <m:t>×</m:t>
          </m:r>
          <m:r>
            <w:rPr>
              <w:rFonts w:ascii="Cambria Math" w:hAnsi="Cambria Math"/>
              <w:sz w:val="24"/>
              <w:szCs w:val="24"/>
            </w:rPr>
            <m:t>MS</m:t>
          </m:r>
        </m:oMath>
      </m:oMathPara>
    </w:p>
    <w:p w14:paraId="018231F2" w14:textId="77777777" w:rsidR="00590FE1" w:rsidRPr="001D5327" w:rsidRDefault="00590FE1" w:rsidP="00590FE1">
      <w:pPr>
        <w:pStyle w:val="BodyText"/>
        <w:spacing w:before="60" w:after="40"/>
        <w:ind w:left="964" w:hanging="964"/>
      </w:pPr>
      <w:r w:rsidRPr="001D5327">
        <w:t xml:space="preserve">Where: </w:t>
      </w:r>
      <w:r w:rsidRPr="001D5327">
        <w:tab/>
        <w:t>FDM is the faecal dry matter excreted by dairy cows (on pasture and stored in anaerobic lagoons) (kg head</w:t>
      </w:r>
      <w:r w:rsidRPr="001D5327">
        <w:rPr>
          <w:vertAlign w:val="superscript"/>
        </w:rPr>
        <w:t>-1</w:t>
      </w:r>
      <w:r w:rsidRPr="001D5327">
        <w:t xml:space="preserve"> month</w:t>
      </w:r>
      <w:r w:rsidRPr="001D5327">
        <w:rPr>
          <w:vertAlign w:val="superscript"/>
        </w:rPr>
        <w:t>-1</w:t>
      </w:r>
      <w:r w:rsidRPr="001D5327">
        <w:t>)</w:t>
      </w:r>
    </w:p>
    <w:p w14:paraId="7AC2D04D" w14:textId="77777777" w:rsidR="00590FE1" w:rsidRPr="001D5327" w:rsidRDefault="00590FE1" w:rsidP="00590FE1">
      <w:pPr>
        <w:pStyle w:val="BodyText"/>
        <w:spacing w:before="20" w:after="40"/>
        <w:ind w:left="964" w:hanging="964"/>
      </w:pPr>
      <w:r w:rsidRPr="001D5327">
        <w:tab/>
        <w:t>ASH is the ash content of manure, 0.08 (IPCC, 2006, default value)</w:t>
      </w:r>
    </w:p>
    <w:p w14:paraId="1EBE0D71" w14:textId="77777777" w:rsidR="00590FE1" w:rsidRPr="001D5327" w:rsidRDefault="00590FE1" w:rsidP="00590FE1">
      <w:pPr>
        <w:pStyle w:val="BodyText"/>
        <w:spacing w:before="20" w:after="40"/>
        <w:ind w:left="964" w:hanging="964"/>
      </w:pPr>
      <w:r w:rsidRPr="001D5327">
        <w:tab/>
        <w:t>B</w:t>
      </w:r>
      <w:r w:rsidRPr="001D5327">
        <w:rPr>
          <w:vertAlign w:val="subscript"/>
        </w:rPr>
        <w:t>0</w:t>
      </w:r>
      <w:r w:rsidRPr="001D5327">
        <w:t xml:space="preserve"> is the maximum CH</w:t>
      </w:r>
      <w:r w:rsidRPr="001D5327">
        <w:rPr>
          <w:vertAlign w:val="subscript"/>
        </w:rPr>
        <w:t>4</w:t>
      </w:r>
      <w:r w:rsidRPr="001D5327">
        <w:t>-producing capacity of manure variable by species and diet, 0.24 (IPCC, 2006; Oceania default value, verified by Pratt et al., 2012)</w:t>
      </w:r>
    </w:p>
    <w:p w14:paraId="7C16639E" w14:textId="77777777" w:rsidR="00590FE1" w:rsidRPr="001D5327" w:rsidRDefault="00590FE1" w:rsidP="00590FE1">
      <w:pPr>
        <w:pStyle w:val="BodyText"/>
        <w:spacing w:before="20" w:after="40"/>
        <w:ind w:left="964" w:hanging="964"/>
      </w:pPr>
      <w:r w:rsidRPr="001D5327">
        <w:tab/>
        <w:t>0.67 is the conversion factor for converting CH</w:t>
      </w:r>
      <w:r w:rsidRPr="001D5327">
        <w:rPr>
          <w:vertAlign w:val="subscript"/>
        </w:rPr>
        <w:t>4</w:t>
      </w:r>
      <w:r w:rsidRPr="001D5327">
        <w:t xml:space="preserve"> from cubic metres to kilograms (IPCC, 2006)</w:t>
      </w:r>
    </w:p>
    <w:p w14:paraId="01F88DC0" w14:textId="77777777" w:rsidR="00590FE1" w:rsidRPr="001D5327" w:rsidRDefault="00590FE1" w:rsidP="00590FE1">
      <w:pPr>
        <w:pStyle w:val="BodyText"/>
        <w:spacing w:before="20" w:after="40"/>
        <w:ind w:left="964" w:hanging="964"/>
      </w:pPr>
      <w:r w:rsidRPr="001D5327">
        <w:tab/>
        <w:t>MCF is the CH</w:t>
      </w:r>
      <w:r w:rsidRPr="001D5327">
        <w:rPr>
          <w:vertAlign w:val="subscript"/>
        </w:rPr>
        <w:t>4</w:t>
      </w:r>
      <w:r w:rsidRPr="001D5327">
        <w:t xml:space="preserve"> conversion factor, 0.74 (IPCC, 2006, table 10.17, default for uncovered anaerobic lagoons, average annual temperature 15 degrees Celsius, verified by Pratt et al., 2012) </w:t>
      </w:r>
    </w:p>
    <w:p w14:paraId="3762C136" w14:textId="77777777" w:rsidR="00590FE1" w:rsidRPr="001D5327" w:rsidRDefault="00590FE1" w:rsidP="00590FE1">
      <w:pPr>
        <w:pStyle w:val="BodyText"/>
        <w:spacing w:before="20" w:after="40"/>
        <w:ind w:left="964" w:hanging="964"/>
      </w:pPr>
      <w:r w:rsidRPr="001D5327">
        <w:tab/>
        <w:t>MS is the fraction of total dairy manure excreted that ends up in anaerobic lagoons.</w:t>
      </w:r>
    </w:p>
    <w:p w14:paraId="629B12E1" w14:textId="77777777" w:rsidR="00590FE1" w:rsidRPr="001D5327" w:rsidRDefault="00590FE1" w:rsidP="00590FE1">
      <w:pPr>
        <w:pStyle w:val="Heading5"/>
      </w:pPr>
      <w:r w:rsidRPr="001D5327">
        <w:t>Methane emissions from the major livestock categories</w:t>
      </w:r>
    </w:p>
    <w:p w14:paraId="72301F8C" w14:textId="77777777" w:rsidR="00590FE1" w:rsidRPr="001D5327" w:rsidRDefault="00590FE1" w:rsidP="00590FE1">
      <w:pPr>
        <w:pStyle w:val="BodyText"/>
        <w:spacing w:before="80"/>
      </w:pPr>
      <w:r w:rsidRPr="001D5327">
        <w:t xml:space="preserve">The following equation is used to determine </w:t>
      </w:r>
      <w:r w:rsidRPr="001D5327">
        <w:rPr>
          <w:rFonts w:cs="Calibri"/>
        </w:rPr>
        <w:t>CH</w:t>
      </w:r>
      <w:r w:rsidRPr="001D5327">
        <w:rPr>
          <w:rFonts w:cs="Calibri"/>
          <w:vertAlign w:val="subscript"/>
        </w:rPr>
        <w:t>4</w:t>
      </w:r>
      <w:r w:rsidRPr="001D5327">
        <w:rPr>
          <w:rFonts w:cs="Calibri"/>
        </w:rPr>
        <w:t xml:space="preserve"> </w:t>
      </w:r>
      <w:r w:rsidRPr="001D5327">
        <w:t>emissions (CH</w:t>
      </w:r>
      <w:r w:rsidRPr="001D5327">
        <w:rPr>
          <w:vertAlign w:val="subscript"/>
        </w:rPr>
        <w:t>4-PRP</w:t>
      </w:r>
      <w:r w:rsidRPr="001D5327">
        <w:t>) from non-dairy cattle, sheep and deer manure deposited onto pasture:</w:t>
      </w:r>
    </w:p>
    <w:p w14:paraId="3B372795" w14:textId="77777777" w:rsidR="00590FE1" w:rsidRPr="001D5327" w:rsidRDefault="00000000" w:rsidP="00590FE1">
      <w:pPr>
        <w:pStyle w:val="BodyText"/>
        <w:spacing w:before="80" w:after="0"/>
        <w:jc w:val="center"/>
        <w:rPr>
          <w:rFonts w:cs="Calibri"/>
          <w:sz w:val="24"/>
          <w:szCs w:val="24"/>
        </w:rPr>
      </w:pPr>
      <m:oMathPara>
        <m:oMath>
          <m:sSub>
            <m:sSubPr>
              <m:ctrlPr>
                <w:rPr>
                  <w:rFonts w:ascii="Cambria Math" w:hAnsi="Cambria Math"/>
                  <w:i/>
                  <w:sz w:val="24"/>
                  <w:szCs w:val="24"/>
                </w:rPr>
              </m:ctrlPr>
            </m:sSubPr>
            <m:e>
              <m:r>
                <w:rPr>
                  <w:rFonts w:ascii="Cambria Math" w:hAnsi="Cambria Math"/>
                  <w:sz w:val="24"/>
                  <w:szCs w:val="24"/>
                </w:rPr>
                <m:t>CH</m:t>
              </m:r>
            </m:e>
            <m:sub>
              <m:r>
                <w:rPr>
                  <w:rFonts w:ascii="Cambria Math" w:hAnsi="Cambria Math"/>
                  <w:sz w:val="24"/>
                  <w:szCs w:val="24"/>
                </w:rPr>
                <m:t>4PRP-dairy</m:t>
              </m:r>
            </m:sub>
          </m:sSub>
          <m:r>
            <w:rPr>
              <w:rFonts w:ascii="Cambria Math" w:hAnsi="Cambria Math"/>
              <w:sz w:val="24"/>
              <w:szCs w:val="24"/>
            </w:rPr>
            <m:t>= FDM×</m:t>
          </m:r>
          <m:sSub>
            <m:sSubPr>
              <m:ctrlPr>
                <w:rPr>
                  <w:rFonts w:ascii="Cambria Math" w:hAnsi="Cambria Math"/>
                  <w:i/>
                  <w:sz w:val="24"/>
                  <w:szCs w:val="24"/>
                </w:rPr>
              </m:ctrlPr>
            </m:sSubPr>
            <m:e>
              <m:r>
                <w:rPr>
                  <w:rFonts w:ascii="Cambria Math" w:hAnsi="Cambria Math"/>
                  <w:sz w:val="24"/>
                  <w:szCs w:val="24"/>
                </w:rPr>
                <m:t>MS</m:t>
              </m:r>
            </m:e>
            <m:sub>
              <m:r>
                <w:rPr>
                  <w:rFonts w:ascii="Cambria Math" w:hAnsi="Cambria Math"/>
                  <w:sz w:val="24"/>
                  <w:szCs w:val="24"/>
                </w:rPr>
                <m:t>PRP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m</m:t>
              </m:r>
            </m:sub>
          </m:sSub>
        </m:oMath>
      </m:oMathPara>
    </w:p>
    <w:p w14:paraId="4DF6645B" w14:textId="77777777" w:rsidR="00590FE1" w:rsidRPr="001D5327" w:rsidRDefault="00590FE1" w:rsidP="00590FE1">
      <w:pPr>
        <w:pStyle w:val="BodyText"/>
        <w:spacing w:after="20"/>
        <w:ind w:left="964" w:hanging="964"/>
      </w:pPr>
      <w:r w:rsidRPr="001D5327">
        <w:lastRenderedPageBreak/>
        <w:t xml:space="preserve">Where: </w:t>
      </w:r>
      <w:r w:rsidRPr="001D5327">
        <w:tab/>
        <w:t>FDM is the faecal dry matter (kg/head/month)</w:t>
      </w:r>
    </w:p>
    <w:p w14:paraId="0074E01D" w14:textId="77777777" w:rsidR="00590FE1" w:rsidRPr="001D5327" w:rsidRDefault="00590FE1" w:rsidP="00590FE1">
      <w:pPr>
        <w:pStyle w:val="BodyText"/>
        <w:spacing w:before="40" w:after="20"/>
        <w:ind w:left="964" w:hanging="964"/>
      </w:pPr>
      <w:r w:rsidRPr="001D5327">
        <w:tab/>
        <w:t>MS</w:t>
      </w:r>
      <w:r w:rsidRPr="001D5327">
        <w:rPr>
          <w:vertAlign w:val="subscript"/>
        </w:rPr>
        <w:t>PRP</w:t>
      </w:r>
      <w:r w:rsidRPr="001D5327">
        <w:t xml:space="preserve"> is the proportion of manure excreted on pasture</w:t>
      </w:r>
    </w:p>
    <w:p w14:paraId="1EC65EFA" w14:textId="77777777" w:rsidR="00590FE1" w:rsidRPr="001D5327" w:rsidRDefault="00590FE1" w:rsidP="00590FE1">
      <w:pPr>
        <w:pStyle w:val="BodyText"/>
        <w:spacing w:before="40" w:after="40"/>
        <w:ind w:left="964" w:hanging="964"/>
      </w:pPr>
      <w:r w:rsidRPr="001D5327">
        <w:tab/>
        <w:t>Y</w:t>
      </w:r>
      <w:r w:rsidRPr="001D5327">
        <w:rPr>
          <w:vertAlign w:val="subscript"/>
        </w:rPr>
        <w:t>m</w:t>
      </w:r>
      <w:r w:rsidRPr="001D5327">
        <w:t xml:space="preserve"> is the CH</w:t>
      </w:r>
      <w:r w:rsidRPr="001D5327">
        <w:rPr>
          <w:vertAlign w:val="subscript"/>
        </w:rPr>
        <w:t>4</w:t>
      </w:r>
      <w:r w:rsidRPr="001D5327">
        <w:t xml:space="preserve"> yield value (kg CH</w:t>
      </w:r>
      <w:r w:rsidRPr="001D5327">
        <w:rPr>
          <w:vertAlign w:val="subscript"/>
        </w:rPr>
        <w:t>4</w:t>
      </w:r>
      <w:r w:rsidRPr="001D5327">
        <w:t>/kg FDM).</w:t>
      </w:r>
    </w:p>
    <w:p w14:paraId="3B365744" w14:textId="49C3C27A" w:rsidR="00590FE1" w:rsidRPr="001D5327" w:rsidRDefault="00590FE1" w:rsidP="00590FE1">
      <w:pPr>
        <w:pStyle w:val="BodyText"/>
      </w:pPr>
      <w:r w:rsidRPr="001D5327">
        <w:t xml:space="preserve">Country-specific </w:t>
      </w:r>
      <w:r w:rsidRPr="001D5327">
        <w:rPr>
          <w:rFonts w:cs="Calibri"/>
        </w:rPr>
        <w:t>CH</w:t>
      </w:r>
      <w:r w:rsidRPr="001D5327">
        <w:rPr>
          <w:rFonts w:cs="Calibri"/>
          <w:vertAlign w:val="subscript"/>
        </w:rPr>
        <w:t>4</w:t>
      </w:r>
      <w:r w:rsidRPr="001D5327">
        <w:rPr>
          <w:rFonts w:cs="Calibri"/>
        </w:rPr>
        <w:t xml:space="preserve"> </w:t>
      </w:r>
      <w:r w:rsidRPr="001D5327">
        <w:t>yield values have been developed from New Zealand studies. Details on</w:t>
      </w:r>
      <w:r w:rsidR="00041936" w:rsidRPr="001D5327">
        <w:t xml:space="preserve"> </w:t>
      </w:r>
      <w:r w:rsidRPr="001D5327">
        <w:t>the values used for each of the major livestock categories are provided below.</w:t>
      </w:r>
    </w:p>
    <w:p w14:paraId="2EBEA4C2" w14:textId="77777777" w:rsidR="00590FE1" w:rsidRPr="001D5327" w:rsidRDefault="00590FE1" w:rsidP="00590FE1">
      <w:pPr>
        <w:pStyle w:val="BodyText"/>
      </w:pPr>
      <w:r w:rsidRPr="001D5327">
        <w:rPr>
          <w:b/>
          <w:bCs/>
          <w:i/>
          <w:iCs/>
        </w:rPr>
        <w:t>Dairy cattle:</w:t>
      </w:r>
      <w:r w:rsidRPr="001D5327">
        <w:t xml:space="preserve"> The quantity of CH</w:t>
      </w:r>
      <w:r w:rsidRPr="001D5327">
        <w:rPr>
          <w:vertAlign w:val="subscript"/>
        </w:rPr>
        <w:t>4</w:t>
      </w:r>
      <w:r w:rsidRPr="001D5327">
        <w:t xml:space="preserve"> produced per kilogram of FDM is 0.98 g CH</w:t>
      </w:r>
      <w:r w:rsidRPr="001D5327">
        <w:rPr>
          <w:vertAlign w:val="subscript"/>
        </w:rPr>
        <w:t>4</w:t>
      </w:r>
      <w:r w:rsidRPr="001D5327">
        <w:t xml:space="preserve">/kg for manure deposited on pasture. This value is obtained from </w:t>
      </w:r>
      <w:r w:rsidRPr="001D5327" w:rsidDel="00C95FDB">
        <w:t xml:space="preserve">New </w:t>
      </w:r>
      <w:r w:rsidRPr="001D5327">
        <w:t>Zealand studies on dairy cows and varies from around 0.92 g CH</w:t>
      </w:r>
      <w:r w:rsidRPr="001D5327">
        <w:rPr>
          <w:vertAlign w:val="subscript"/>
        </w:rPr>
        <w:t>4</w:t>
      </w:r>
      <w:r w:rsidRPr="001D5327">
        <w:t>/kg to 1.04 g CH</w:t>
      </w:r>
      <w:r w:rsidRPr="001D5327">
        <w:rPr>
          <w:vertAlign w:val="subscript"/>
        </w:rPr>
        <w:t>4</w:t>
      </w:r>
      <w:r w:rsidRPr="001D5327">
        <w:t>/kg (Saggar et al., unpublished; Sherlock et al., unpublished).</w:t>
      </w:r>
    </w:p>
    <w:p w14:paraId="62C36890" w14:textId="77777777" w:rsidR="00590FE1" w:rsidRPr="001D5327" w:rsidRDefault="00590FE1" w:rsidP="00590FE1">
      <w:pPr>
        <w:pStyle w:val="BodyText"/>
      </w:pPr>
      <w:r w:rsidRPr="001D5327">
        <w:rPr>
          <w:b/>
          <w:bCs/>
          <w:i/>
          <w:iCs/>
        </w:rPr>
        <w:t>Non-dairy cattle:</w:t>
      </w:r>
      <w:r w:rsidRPr="001D5327">
        <w:t xml:space="preserve"> The value of 0.98 g CH</w:t>
      </w:r>
      <w:r w:rsidRPr="001D5327">
        <w:rPr>
          <w:vertAlign w:val="subscript"/>
        </w:rPr>
        <w:t>4</w:t>
      </w:r>
      <w:r w:rsidRPr="001D5327">
        <w:t xml:space="preserve">/kg per unit of FDM is based on New Zealand studies on dairy cattle manure (Saggar et al., </w:t>
      </w:r>
      <w:r w:rsidRPr="001D5327">
        <w:rPr>
          <w:rFonts w:cs="Calibri"/>
        </w:rPr>
        <w:t>unpublished</w:t>
      </w:r>
      <w:r w:rsidRPr="001D5327">
        <w:t xml:space="preserve">; Sherlock et al., </w:t>
      </w:r>
      <w:r w:rsidRPr="001D5327">
        <w:rPr>
          <w:rFonts w:cs="Calibri"/>
        </w:rPr>
        <w:t>unpublished</w:t>
      </w:r>
      <w:r w:rsidRPr="001D5327">
        <w:t xml:space="preserve">). No specific studies have been conducted in </w:t>
      </w:r>
      <w:r w:rsidRPr="001D5327" w:rsidDel="00967AF7">
        <w:t xml:space="preserve">New </w:t>
      </w:r>
      <w:r w:rsidRPr="001D5327">
        <w:t xml:space="preserve">Zealand on </w:t>
      </w:r>
      <w:r w:rsidRPr="001D5327">
        <w:rPr>
          <w:rFonts w:cs="Calibri"/>
        </w:rPr>
        <w:t>CH</w:t>
      </w:r>
      <w:r w:rsidRPr="001D5327">
        <w:rPr>
          <w:rFonts w:cs="Calibri"/>
          <w:vertAlign w:val="subscript"/>
        </w:rPr>
        <w:t>4</w:t>
      </w:r>
      <w:r w:rsidRPr="001D5327">
        <w:rPr>
          <w:rFonts w:cs="Calibri"/>
        </w:rPr>
        <w:t xml:space="preserve"> </w:t>
      </w:r>
      <w:r w:rsidRPr="001D5327">
        <w:t>emissions from non-dairy cattle manure.</w:t>
      </w:r>
    </w:p>
    <w:p w14:paraId="7D8F3E17" w14:textId="77777777" w:rsidR="00590FE1" w:rsidRPr="001D5327" w:rsidRDefault="00590FE1" w:rsidP="00590FE1">
      <w:pPr>
        <w:pStyle w:val="BodyText"/>
      </w:pPr>
      <w:r w:rsidRPr="001D5327">
        <w:rPr>
          <w:b/>
          <w:bCs/>
          <w:i/>
          <w:iCs/>
        </w:rPr>
        <w:t>Sheep:</w:t>
      </w:r>
      <w:r w:rsidRPr="001D5327">
        <w:rPr>
          <w:i/>
          <w:iCs/>
        </w:rPr>
        <w:t xml:space="preserve"> </w:t>
      </w:r>
      <w:r w:rsidRPr="001D5327">
        <w:t xml:space="preserve">The quantity of </w:t>
      </w:r>
      <w:r w:rsidRPr="001D5327">
        <w:rPr>
          <w:rFonts w:cs="Calibri"/>
        </w:rPr>
        <w:t>CH</w:t>
      </w:r>
      <w:r w:rsidRPr="001D5327">
        <w:rPr>
          <w:rFonts w:cs="Calibri"/>
          <w:vertAlign w:val="subscript"/>
        </w:rPr>
        <w:t>4</w:t>
      </w:r>
      <w:r w:rsidRPr="001D5327">
        <w:rPr>
          <w:rFonts w:cs="Calibri"/>
        </w:rPr>
        <w:t xml:space="preserve"> </w:t>
      </w:r>
      <w:r w:rsidRPr="001D5327">
        <w:t>produced per unit of sheep FDM is 0.69 g CH</w:t>
      </w:r>
      <w:r w:rsidRPr="001D5327">
        <w:rPr>
          <w:vertAlign w:val="subscript"/>
        </w:rPr>
        <w:t>4</w:t>
      </w:r>
      <w:r w:rsidRPr="001D5327">
        <w:t>/kg. This value</w:t>
      </w:r>
      <w:r w:rsidRPr="001D5327" w:rsidDel="00337DA2">
        <w:t xml:space="preserve"> </w:t>
      </w:r>
      <w:r w:rsidRPr="001D5327">
        <w:t>was obtained from a New Zealand study on sheep in which values ranged from 0.340 g CH</w:t>
      </w:r>
      <w:r w:rsidRPr="001D5327">
        <w:rPr>
          <w:vertAlign w:val="subscript"/>
        </w:rPr>
        <w:t>4</w:t>
      </w:r>
      <w:r w:rsidRPr="001D5327">
        <w:t>/kg to 1.288 g CH</w:t>
      </w:r>
      <w:r w:rsidRPr="001D5327">
        <w:rPr>
          <w:vertAlign w:val="subscript"/>
        </w:rPr>
        <w:t>4</w:t>
      </w:r>
      <w:r w:rsidRPr="001D5327">
        <w:t>/kg over six sampling periods (Carran et al., 2003).</w:t>
      </w:r>
    </w:p>
    <w:p w14:paraId="7B4DFA21" w14:textId="77777777" w:rsidR="00590FE1" w:rsidRPr="001D5327" w:rsidRDefault="00590FE1" w:rsidP="00590FE1">
      <w:pPr>
        <w:pStyle w:val="BodyText"/>
      </w:pPr>
      <w:r w:rsidRPr="001D5327">
        <w:rPr>
          <w:b/>
          <w:bCs/>
          <w:i/>
          <w:iCs/>
        </w:rPr>
        <w:t>Deer:</w:t>
      </w:r>
      <w:r w:rsidRPr="001D5327">
        <w:t xml:space="preserve"> The quantity of </w:t>
      </w:r>
      <w:r w:rsidRPr="001D5327">
        <w:rPr>
          <w:rFonts w:cs="Calibri"/>
        </w:rPr>
        <w:t>CH</w:t>
      </w:r>
      <w:r w:rsidRPr="001D5327">
        <w:rPr>
          <w:rFonts w:cs="Calibri"/>
          <w:vertAlign w:val="subscript"/>
        </w:rPr>
        <w:t>4</w:t>
      </w:r>
      <w:r w:rsidRPr="001D5327">
        <w:rPr>
          <w:rFonts w:cs="Calibri"/>
        </w:rPr>
        <w:t xml:space="preserve"> </w:t>
      </w:r>
      <w:r w:rsidRPr="001D5327">
        <w:t>produced per unit of FDM is assumed to be 0.91 g CH</w:t>
      </w:r>
      <w:r w:rsidRPr="001D5327">
        <w:rPr>
          <w:vertAlign w:val="subscript"/>
        </w:rPr>
        <w:t>4</w:t>
      </w:r>
      <w:r w:rsidRPr="001D5327">
        <w:t xml:space="preserve">/kg. Deer are not housed in </w:t>
      </w:r>
      <w:r w:rsidRPr="001D5327" w:rsidDel="0067407A">
        <w:t xml:space="preserve">New </w:t>
      </w:r>
      <w:r w:rsidRPr="001D5327">
        <w:t xml:space="preserve">Zealand, and all faecal material is deposited directly onto pasture. This value is derived from </w:t>
      </w:r>
      <w:r w:rsidRPr="001D5327" w:rsidDel="00676218">
        <w:t xml:space="preserve">New </w:t>
      </w:r>
      <w:r w:rsidRPr="001D5327">
        <w:t>Zealand studies on sheep (Carran et al.,</w:t>
      </w:r>
      <w:r w:rsidRPr="001D5327">
        <w:rPr>
          <w:i/>
        </w:rPr>
        <w:t xml:space="preserve"> </w:t>
      </w:r>
      <w:r w:rsidRPr="001D5327">
        <w:rPr>
          <w:rFonts w:cs="Calibri"/>
        </w:rPr>
        <w:t>2003</w:t>
      </w:r>
      <w:r w:rsidRPr="001D5327">
        <w:t xml:space="preserve">) and dairy cattle (Saggar et al., </w:t>
      </w:r>
      <w:r w:rsidRPr="001D5327">
        <w:rPr>
          <w:rFonts w:cs="Calibri"/>
        </w:rPr>
        <w:t>unpublished</w:t>
      </w:r>
      <w:r w:rsidRPr="001D5327">
        <w:t xml:space="preserve">; Sherlock et al., </w:t>
      </w:r>
      <w:r w:rsidRPr="001D5327">
        <w:rPr>
          <w:rFonts w:cs="Calibri"/>
        </w:rPr>
        <w:t>unpublished</w:t>
      </w:r>
      <w:r w:rsidRPr="001D5327">
        <w:t xml:space="preserve">). No New Zealand studies have been completed on </w:t>
      </w:r>
      <w:r w:rsidRPr="001D5327">
        <w:rPr>
          <w:rFonts w:cs="Calibri"/>
        </w:rPr>
        <w:t>CH</w:t>
      </w:r>
      <w:r w:rsidRPr="001D5327">
        <w:rPr>
          <w:rFonts w:cs="Calibri"/>
          <w:vertAlign w:val="subscript"/>
        </w:rPr>
        <w:t>4</w:t>
      </w:r>
      <w:r w:rsidRPr="001D5327">
        <w:rPr>
          <w:rFonts w:cs="Calibri"/>
        </w:rPr>
        <w:t xml:space="preserve"> </w:t>
      </w:r>
      <w:r w:rsidRPr="001D5327">
        <w:t>emissions from deer manure. Further information on the calculation of the manure CH</w:t>
      </w:r>
      <w:r w:rsidRPr="001D5327">
        <w:rPr>
          <w:vertAlign w:val="subscript"/>
        </w:rPr>
        <w:t>4</w:t>
      </w:r>
      <w:r w:rsidRPr="001D5327">
        <w:t xml:space="preserve"> emission factor for deer is contained in section 7.1.4 of the Agriculture inventory methodology (</w:t>
      </w:r>
      <w:bookmarkStart w:id="924" w:name="_Hlk187665078"/>
      <w:r w:rsidRPr="001D5327">
        <w:t>Pickering et al., 2024</w:t>
      </w:r>
      <w:bookmarkEnd w:id="924"/>
      <w:r w:rsidRPr="001D5327">
        <w:t>).</w:t>
      </w:r>
    </w:p>
    <w:p w14:paraId="7981B4E7" w14:textId="77777777" w:rsidR="00590FE1" w:rsidRPr="001D5327" w:rsidRDefault="00590FE1" w:rsidP="00590FE1">
      <w:pPr>
        <w:pStyle w:val="Heading5"/>
      </w:pPr>
      <w:r w:rsidRPr="001D5327">
        <w:t xml:space="preserve">Methane emissions from minor livestock categories </w:t>
      </w:r>
    </w:p>
    <w:p w14:paraId="0005F7EF" w14:textId="77777777" w:rsidR="00590FE1" w:rsidRPr="001D5327" w:rsidRDefault="00590FE1" w:rsidP="00590FE1">
      <w:pPr>
        <w:pStyle w:val="BodyText"/>
      </w:pPr>
      <w:r w:rsidRPr="001D5327">
        <w:t>Manure CH</w:t>
      </w:r>
      <w:r w:rsidRPr="001D5327">
        <w:rPr>
          <w:vertAlign w:val="subscript"/>
        </w:rPr>
        <w:t>4</w:t>
      </w:r>
      <w:r w:rsidRPr="001D5327">
        <w:t xml:space="preserve"> emissions from the minor livestock categories are calculated per head</w:t>
      </w:r>
      <w:r w:rsidRPr="001D5327">
        <w:rPr>
          <w:vertAlign w:val="superscript"/>
        </w:rPr>
        <w:t>-1</w:t>
      </w:r>
      <w:r w:rsidRPr="001D5327">
        <w:t>, using a combination of country-specific and IPCC default emission factors.</w:t>
      </w:r>
    </w:p>
    <w:p w14:paraId="0005429A" w14:textId="77777777" w:rsidR="00590FE1" w:rsidRPr="001D5327" w:rsidRDefault="00590FE1" w:rsidP="00590FE1">
      <w:pPr>
        <w:pStyle w:val="BodyText"/>
      </w:pPr>
      <w:r w:rsidRPr="001D5327">
        <w:rPr>
          <w:rFonts w:cs="Calibri"/>
          <w:b/>
          <w:bCs/>
          <w:i/>
          <w:iCs/>
        </w:rPr>
        <w:t>Swine:</w:t>
      </w:r>
      <w:r w:rsidRPr="001D5327">
        <w:rPr>
          <w:rFonts w:cs="Calibri"/>
          <w:b/>
          <w:bCs/>
        </w:rPr>
        <w:t xml:space="preserve"> </w:t>
      </w:r>
      <w:r w:rsidRPr="001D5327" w:rsidDel="00242B96">
        <w:t xml:space="preserve">New </w:t>
      </w:r>
      <w:r w:rsidRPr="001D5327">
        <w:t>Zealand</w:t>
      </w:r>
      <w:r w:rsidRPr="001D5327">
        <w:rPr>
          <w:rFonts w:cs="Calibri"/>
        </w:rPr>
        <w:t xml:space="preserve"> uses country-specific emission factors (Ritchie, 2024) for estimating CH</w:t>
      </w:r>
      <w:r w:rsidRPr="001D5327">
        <w:rPr>
          <w:rFonts w:cs="Calibri"/>
          <w:vertAlign w:val="subscript"/>
        </w:rPr>
        <w:t>4</w:t>
      </w:r>
      <w:r w:rsidRPr="001D5327">
        <w:rPr>
          <w:rFonts w:cs="Calibri"/>
        </w:rPr>
        <w:t xml:space="preserve"> </w:t>
      </w:r>
      <w:r w:rsidRPr="001D5327">
        <w:t xml:space="preserve">emissions from swine manure management. Industry data on swine diets (to determine digestible energy of the swine feed and volatile solid excretion levels) and the use of waste management systems used by </w:t>
      </w:r>
      <w:r w:rsidRPr="001D5327" w:rsidDel="00DA447A">
        <w:t xml:space="preserve">New </w:t>
      </w:r>
      <w:r w:rsidRPr="001D5327">
        <w:t>Zealand swine producers were used to determine a country-specific manure management emission factor for growing pigs and breeding pigs. The manure management CH</w:t>
      </w:r>
      <w:r w:rsidRPr="001D5327">
        <w:rPr>
          <w:vertAlign w:val="subscript"/>
        </w:rPr>
        <w:t>4</w:t>
      </w:r>
      <w:r w:rsidRPr="001D5327">
        <w:t xml:space="preserve"> emission factors were calculated using the CH</w:t>
      </w:r>
      <w:r w:rsidRPr="001D5327">
        <w:rPr>
          <w:vertAlign w:val="subscript"/>
        </w:rPr>
        <w:t>4</w:t>
      </w:r>
      <w:r w:rsidRPr="001D5327">
        <w:t xml:space="preserve"> conversion factors for each manure management system provided by the 2019 IPCC Refinement (IPCC, 2019). Further information on this is provided by Ritchie (2024). For consistency, CH</w:t>
      </w:r>
      <w:r w:rsidRPr="001D5327">
        <w:rPr>
          <w:vertAlign w:val="subscript"/>
        </w:rPr>
        <w:t>4</w:t>
      </w:r>
      <w:r w:rsidRPr="001D5327">
        <w:t xml:space="preserve"> emission factors from manure management systems prior to 2010 are calculated using data from Hill (2012) using the CH</w:t>
      </w:r>
      <w:r w:rsidRPr="001D5327">
        <w:rPr>
          <w:vertAlign w:val="subscript"/>
        </w:rPr>
        <w:t>4</w:t>
      </w:r>
      <w:r w:rsidRPr="001D5327">
        <w:t xml:space="preserve"> conversion factors recommended in the 2019 Refinement (IPCC, 2019). For the years 2010 to 2021 the values are linearly interpolated (see table 5.3.3).</w:t>
      </w:r>
    </w:p>
    <w:p w14:paraId="64D8B8F4" w14:textId="77777777" w:rsidR="00590FE1" w:rsidRPr="001D5327" w:rsidRDefault="00590FE1" w:rsidP="00590FE1">
      <w:pPr>
        <w:pStyle w:val="Table"/>
        <w:ind w:left="993" w:hanging="993"/>
        <w:rPr>
          <w:rFonts w:cs="Calibri"/>
        </w:rPr>
      </w:pPr>
      <w:bookmarkStart w:id="925" w:name="_Toc194241714"/>
      <w:r w:rsidRPr="001D5327">
        <w:rPr>
          <w:rFonts w:cs="Calibri"/>
        </w:rPr>
        <w:lastRenderedPageBreak/>
        <w:t xml:space="preserve">Table 5.3.3 </w:t>
      </w:r>
      <w:r w:rsidRPr="001D5327">
        <w:rPr>
          <w:rFonts w:cs="Calibri"/>
        </w:rPr>
        <w:tab/>
        <w:t>Average annual methane emissions factors from manure management systems</w:t>
      </w:r>
      <w:r w:rsidRPr="001D5327">
        <w:rPr>
          <w:rFonts w:cs="Calibri"/>
        </w:rPr>
        <w:br/>
        <w:t>(kg CH</w:t>
      </w:r>
      <w:r w:rsidRPr="001D5327">
        <w:rPr>
          <w:rFonts w:cs="Calibri"/>
          <w:vertAlign w:val="subscript"/>
        </w:rPr>
        <w:t>4</w:t>
      </w:r>
      <w:r w:rsidRPr="001D5327">
        <w:rPr>
          <w:rFonts w:cs="Calibri"/>
        </w:rPr>
        <w:t> head</w:t>
      </w:r>
      <w:r w:rsidRPr="001D5327">
        <w:rPr>
          <w:rFonts w:cs="Calibri"/>
          <w:vertAlign w:val="superscript"/>
        </w:rPr>
        <w:t>-1</w:t>
      </w:r>
      <w:r w:rsidRPr="001D5327">
        <w:rPr>
          <w:rFonts w:cs="Calibri"/>
        </w:rPr>
        <w:t> yr</w:t>
      </w:r>
      <w:r w:rsidRPr="001D5327">
        <w:rPr>
          <w:rFonts w:cs="Calibri"/>
          <w:vertAlign w:val="superscript"/>
        </w:rPr>
        <w:t>-1</w:t>
      </w:r>
      <w:r w:rsidRPr="001D5327">
        <w:rPr>
          <w:rFonts w:cs="Calibri"/>
        </w:rPr>
        <w:t>) for pigs</w:t>
      </w:r>
      <w:bookmarkEnd w:id="925"/>
    </w:p>
    <w:tbl>
      <w:tblPr>
        <w:tblW w:w="8505" w:type="dxa"/>
        <w:tblBorders>
          <w:top w:val="single" w:sz="4" w:space="0" w:color="1B556B" w:themeColor="text2"/>
          <w:bottom w:val="single" w:sz="4" w:space="0" w:color="1B556B" w:themeColor="text2"/>
          <w:insideH w:val="single" w:sz="4" w:space="0" w:color="1B556B" w:themeColor="text2"/>
        </w:tblBorders>
        <w:tblLook w:val="0000" w:firstRow="0" w:lastRow="0" w:firstColumn="0" w:lastColumn="0" w:noHBand="0" w:noVBand="0"/>
      </w:tblPr>
      <w:tblGrid>
        <w:gridCol w:w="1636"/>
        <w:gridCol w:w="3272"/>
        <w:gridCol w:w="3597"/>
      </w:tblGrid>
      <w:tr w:rsidR="00590FE1" w:rsidRPr="001D5327" w14:paraId="6DFF59AA" w14:textId="77777777" w:rsidTr="00403787">
        <w:trPr>
          <w:tblHeader/>
        </w:trPr>
        <w:tc>
          <w:tcPr>
            <w:tcW w:w="709" w:type="dxa"/>
            <w:tcBorders>
              <w:bottom w:val="single" w:sz="4" w:space="0" w:color="1B556B" w:themeColor="text2"/>
            </w:tcBorders>
            <w:shd w:val="clear" w:color="auto" w:fill="1B556B"/>
            <w:noWrap/>
          </w:tcPr>
          <w:p w14:paraId="693C5A2C" w14:textId="77777777" w:rsidR="00590FE1" w:rsidRPr="001D5327" w:rsidRDefault="00590FE1" w:rsidP="00403787">
            <w:pPr>
              <w:pStyle w:val="TableTextBold"/>
              <w:keepNext/>
              <w:spacing w:before="40" w:after="40"/>
              <w:rPr>
                <w:noProof w:val="0"/>
                <w:color w:val="FFFFFF" w:themeColor="background1"/>
                <w:szCs w:val="16"/>
              </w:rPr>
            </w:pPr>
            <w:r w:rsidRPr="001D5327">
              <w:rPr>
                <w:noProof w:val="0"/>
                <w:color w:val="FFFFFF" w:themeColor="background1"/>
              </w:rPr>
              <w:t>Year</w:t>
            </w:r>
          </w:p>
        </w:tc>
        <w:tc>
          <w:tcPr>
            <w:tcW w:w="1418" w:type="dxa"/>
            <w:shd w:val="clear" w:color="auto" w:fill="1B556B"/>
            <w:noWrap/>
          </w:tcPr>
          <w:p w14:paraId="4B5C4551"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rPr>
              <w:t>Breeding pigs</w:t>
            </w:r>
          </w:p>
        </w:tc>
        <w:tc>
          <w:tcPr>
            <w:tcW w:w="1559" w:type="dxa"/>
            <w:shd w:val="clear" w:color="auto" w:fill="1B556B"/>
            <w:noWrap/>
          </w:tcPr>
          <w:p w14:paraId="2DDC0D84"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rPr>
              <w:t>Growing pigs</w:t>
            </w:r>
          </w:p>
        </w:tc>
      </w:tr>
      <w:tr w:rsidR="00590FE1" w:rsidRPr="001D5327" w14:paraId="7D11C6BA" w14:textId="77777777" w:rsidTr="00403787">
        <w:tc>
          <w:tcPr>
            <w:tcW w:w="709" w:type="dxa"/>
            <w:tcBorders>
              <w:left w:val="nil"/>
            </w:tcBorders>
            <w:noWrap/>
          </w:tcPr>
          <w:p w14:paraId="781FD15B" w14:textId="77777777" w:rsidR="00590FE1" w:rsidRPr="001D5327" w:rsidRDefault="00590FE1" w:rsidP="00403787">
            <w:pPr>
              <w:pStyle w:val="TableText"/>
              <w:keepNext/>
              <w:spacing w:before="40" w:after="40"/>
              <w:rPr>
                <w:rFonts w:cs="Calibri"/>
                <w:szCs w:val="16"/>
              </w:rPr>
            </w:pPr>
            <w:r w:rsidRPr="001D5327">
              <w:t>1990</w:t>
            </w:r>
          </w:p>
        </w:tc>
        <w:tc>
          <w:tcPr>
            <w:tcW w:w="1418" w:type="dxa"/>
            <w:shd w:val="clear" w:color="auto" w:fill="auto"/>
            <w:noWrap/>
          </w:tcPr>
          <w:p w14:paraId="77AF80F9"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t>11.3</w:t>
            </w:r>
          </w:p>
        </w:tc>
        <w:tc>
          <w:tcPr>
            <w:tcW w:w="1559" w:type="dxa"/>
            <w:shd w:val="clear" w:color="auto" w:fill="auto"/>
            <w:noWrap/>
          </w:tcPr>
          <w:p w14:paraId="22F3C679" w14:textId="77777777" w:rsidR="00590FE1" w:rsidRPr="001D5327" w:rsidRDefault="00590FE1" w:rsidP="00403787">
            <w:pPr>
              <w:pStyle w:val="TableText"/>
              <w:spacing w:before="40" w:after="40"/>
              <w:jc w:val="right"/>
              <w:rPr>
                <w:rFonts w:asciiTheme="minorHAnsi" w:hAnsiTheme="minorHAnsi" w:cstheme="minorHAnsi"/>
                <w:szCs w:val="16"/>
              </w:rPr>
            </w:pPr>
            <w:r w:rsidRPr="001D5327">
              <w:t>5.4</w:t>
            </w:r>
          </w:p>
        </w:tc>
      </w:tr>
      <w:tr w:rsidR="00590FE1" w:rsidRPr="001D5327" w14:paraId="6F085D55" w14:textId="77777777" w:rsidTr="00403787">
        <w:tc>
          <w:tcPr>
            <w:tcW w:w="709" w:type="dxa"/>
            <w:tcBorders>
              <w:left w:val="nil"/>
            </w:tcBorders>
            <w:noWrap/>
          </w:tcPr>
          <w:p w14:paraId="2E01C54F" w14:textId="77777777" w:rsidR="00590FE1" w:rsidRPr="001D5327" w:rsidRDefault="00590FE1" w:rsidP="00403787">
            <w:pPr>
              <w:pStyle w:val="TableText"/>
              <w:keepNext/>
              <w:spacing w:before="40" w:after="40"/>
              <w:rPr>
                <w:rFonts w:cs="Calibri"/>
                <w:szCs w:val="16"/>
              </w:rPr>
            </w:pPr>
            <w:r w:rsidRPr="001D5327">
              <w:t>1995</w:t>
            </w:r>
          </w:p>
        </w:tc>
        <w:tc>
          <w:tcPr>
            <w:tcW w:w="1418" w:type="dxa"/>
            <w:shd w:val="clear" w:color="auto" w:fill="auto"/>
            <w:noWrap/>
          </w:tcPr>
          <w:p w14:paraId="14FB255E"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t>11.3</w:t>
            </w:r>
          </w:p>
        </w:tc>
        <w:tc>
          <w:tcPr>
            <w:tcW w:w="1559" w:type="dxa"/>
            <w:shd w:val="clear" w:color="auto" w:fill="auto"/>
            <w:noWrap/>
          </w:tcPr>
          <w:p w14:paraId="01D54D6F" w14:textId="77777777" w:rsidR="00590FE1" w:rsidRPr="001D5327" w:rsidRDefault="00590FE1" w:rsidP="00403787">
            <w:pPr>
              <w:pStyle w:val="TableText"/>
              <w:spacing w:before="40" w:after="40"/>
              <w:jc w:val="right"/>
              <w:rPr>
                <w:rFonts w:asciiTheme="minorHAnsi" w:hAnsiTheme="minorHAnsi" w:cstheme="minorHAnsi"/>
                <w:szCs w:val="16"/>
              </w:rPr>
            </w:pPr>
            <w:r w:rsidRPr="001D5327">
              <w:t>5.4</w:t>
            </w:r>
          </w:p>
        </w:tc>
      </w:tr>
      <w:tr w:rsidR="00590FE1" w:rsidRPr="001D5327" w14:paraId="488BBAF9" w14:textId="77777777" w:rsidTr="00403787">
        <w:tc>
          <w:tcPr>
            <w:tcW w:w="709" w:type="dxa"/>
            <w:tcBorders>
              <w:left w:val="nil"/>
            </w:tcBorders>
            <w:noWrap/>
          </w:tcPr>
          <w:p w14:paraId="2EF1870F" w14:textId="77777777" w:rsidR="00590FE1" w:rsidRPr="001D5327" w:rsidRDefault="00590FE1" w:rsidP="00403787">
            <w:pPr>
              <w:pStyle w:val="TableText"/>
              <w:keepNext/>
              <w:spacing w:before="40" w:after="40"/>
              <w:rPr>
                <w:rFonts w:cs="Calibri"/>
                <w:szCs w:val="16"/>
              </w:rPr>
            </w:pPr>
            <w:r w:rsidRPr="001D5327">
              <w:t>2000</w:t>
            </w:r>
          </w:p>
        </w:tc>
        <w:tc>
          <w:tcPr>
            <w:tcW w:w="1418" w:type="dxa"/>
            <w:shd w:val="clear" w:color="auto" w:fill="auto"/>
            <w:noWrap/>
          </w:tcPr>
          <w:p w14:paraId="02D71AB4" w14:textId="77777777" w:rsidR="00590FE1" w:rsidRPr="001D5327" w:rsidRDefault="00590FE1" w:rsidP="00403787">
            <w:pPr>
              <w:pStyle w:val="TableText"/>
              <w:keepNext/>
              <w:spacing w:before="40" w:after="40"/>
              <w:jc w:val="right"/>
              <w:rPr>
                <w:rFonts w:asciiTheme="minorHAnsi" w:hAnsiTheme="minorHAnsi" w:cstheme="minorHAnsi"/>
                <w:color w:val="000000"/>
                <w:szCs w:val="16"/>
              </w:rPr>
            </w:pPr>
            <w:r w:rsidRPr="001D5327">
              <w:t>11.3</w:t>
            </w:r>
          </w:p>
        </w:tc>
        <w:tc>
          <w:tcPr>
            <w:tcW w:w="1559" w:type="dxa"/>
            <w:shd w:val="clear" w:color="auto" w:fill="auto"/>
            <w:noWrap/>
          </w:tcPr>
          <w:p w14:paraId="11280D1D"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5.4</w:t>
            </w:r>
          </w:p>
        </w:tc>
      </w:tr>
      <w:tr w:rsidR="00590FE1" w:rsidRPr="001D5327" w14:paraId="7CE7CDF3" w14:textId="77777777" w:rsidTr="00403787">
        <w:tc>
          <w:tcPr>
            <w:tcW w:w="709" w:type="dxa"/>
            <w:tcBorders>
              <w:left w:val="nil"/>
            </w:tcBorders>
            <w:noWrap/>
          </w:tcPr>
          <w:p w14:paraId="3390BE18" w14:textId="77777777" w:rsidR="00590FE1" w:rsidRPr="001D5327" w:rsidRDefault="00590FE1" w:rsidP="00403787">
            <w:pPr>
              <w:pStyle w:val="TableText"/>
              <w:keepNext/>
              <w:spacing w:before="40" w:after="40"/>
              <w:rPr>
                <w:rFonts w:cs="Calibri"/>
                <w:szCs w:val="16"/>
              </w:rPr>
            </w:pPr>
            <w:r w:rsidRPr="001D5327">
              <w:t>2005</w:t>
            </w:r>
          </w:p>
        </w:tc>
        <w:tc>
          <w:tcPr>
            <w:tcW w:w="1418" w:type="dxa"/>
            <w:shd w:val="clear" w:color="auto" w:fill="auto"/>
            <w:noWrap/>
          </w:tcPr>
          <w:p w14:paraId="52D97E2D" w14:textId="77777777" w:rsidR="00590FE1" w:rsidRPr="001D5327" w:rsidRDefault="00590FE1" w:rsidP="00403787">
            <w:pPr>
              <w:pStyle w:val="TableText"/>
              <w:keepNext/>
              <w:spacing w:before="40" w:after="40"/>
              <w:jc w:val="right"/>
              <w:rPr>
                <w:rFonts w:asciiTheme="minorHAnsi" w:hAnsiTheme="minorHAnsi" w:cstheme="minorHAnsi"/>
                <w:color w:val="000000"/>
                <w:szCs w:val="16"/>
              </w:rPr>
            </w:pPr>
            <w:r w:rsidRPr="001D5327">
              <w:t>11.3</w:t>
            </w:r>
          </w:p>
        </w:tc>
        <w:tc>
          <w:tcPr>
            <w:tcW w:w="1559" w:type="dxa"/>
            <w:shd w:val="clear" w:color="auto" w:fill="auto"/>
            <w:noWrap/>
          </w:tcPr>
          <w:p w14:paraId="7CCA6DEB"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5.4</w:t>
            </w:r>
          </w:p>
        </w:tc>
      </w:tr>
      <w:tr w:rsidR="00590FE1" w:rsidRPr="001D5327" w14:paraId="08A9B3D7" w14:textId="77777777" w:rsidTr="00403787">
        <w:tc>
          <w:tcPr>
            <w:tcW w:w="709" w:type="dxa"/>
            <w:tcBorders>
              <w:left w:val="nil"/>
            </w:tcBorders>
            <w:noWrap/>
          </w:tcPr>
          <w:p w14:paraId="63D4CD99" w14:textId="77777777" w:rsidR="00590FE1" w:rsidRPr="001D5327" w:rsidRDefault="00590FE1" w:rsidP="00403787">
            <w:pPr>
              <w:pStyle w:val="TableText"/>
              <w:spacing w:before="40" w:after="40"/>
              <w:rPr>
                <w:rFonts w:cs="Calibri"/>
                <w:szCs w:val="16"/>
              </w:rPr>
            </w:pPr>
            <w:r w:rsidRPr="001D5327">
              <w:t>2010</w:t>
            </w:r>
          </w:p>
        </w:tc>
        <w:tc>
          <w:tcPr>
            <w:tcW w:w="1418" w:type="dxa"/>
            <w:shd w:val="clear" w:color="auto" w:fill="auto"/>
            <w:noWrap/>
          </w:tcPr>
          <w:p w14:paraId="75E05D31"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t>11.2</w:t>
            </w:r>
          </w:p>
        </w:tc>
        <w:tc>
          <w:tcPr>
            <w:tcW w:w="1559" w:type="dxa"/>
            <w:shd w:val="clear" w:color="auto" w:fill="auto"/>
            <w:noWrap/>
          </w:tcPr>
          <w:p w14:paraId="3B640F3F" w14:textId="77777777" w:rsidR="00590FE1" w:rsidRPr="001D5327" w:rsidRDefault="00590FE1" w:rsidP="00403787">
            <w:pPr>
              <w:pStyle w:val="TableText"/>
              <w:spacing w:before="40" w:after="40"/>
              <w:jc w:val="right"/>
              <w:rPr>
                <w:rFonts w:asciiTheme="minorHAnsi" w:hAnsiTheme="minorHAnsi" w:cstheme="minorHAnsi"/>
                <w:szCs w:val="16"/>
              </w:rPr>
            </w:pPr>
            <w:r w:rsidRPr="001D5327">
              <w:t>5.4</w:t>
            </w:r>
          </w:p>
        </w:tc>
      </w:tr>
      <w:tr w:rsidR="00590FE1" w:rsidRPr="001D5327" w14:paraId="1791DCB7" w14:textId="77777777" w:rsidTr="00403787">
        <w:tc>
          <w:tcPr>
            <w:tcW w:w="709" w:type="dxa"/>
            <w:tcBorders>
              <w:left w:val="nil"/>
            </w:tcBorders>
            <w:noWrap/>
          </w:tcPr>
          <w:p w14:paraId="7164EB4F" w14:textId="77777777" w:rsidR="00590FE1" w:rsidRPr="001D5327" w:rsidRDefault="00590FE1" w:rsidP="00403787">
            <w:pPr>
              <w:pStyle w:val="TableText"/>
              <w:spacing w:before="40" w:after="40"/>
              <w:rPr>
                <w:rFonts w:cs="Calibri"/>
                <w:szCs w:val="16"/>
              </w:rPr>
            </w:pPr>
            <w:r w:rsidRPr="001D5327">
              <w:t>2015</w:t>
            </w:r>
          </w:p>
        </w:tc>
        <w:tc>
          <w:tcPr>
            <w:tcW w:w="1418" w:type="dxa"/>
            <w:shd w:val="clear" w:color="auto" w:fill="auto"/>
            <w:noWrap/>
          </w:tcPr>
          <w:p w14:paraId="47A43C58"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t>10.9</w:t>
            </w:r>
          </w:p>
        </w:tc>
        <w:tc>
          <w:tcPr>
            <w:tcW w:w="1559" w:type="dxa"/>
            <w:shd w:val="clear" w:color="auto" w:fill="auto"/>
            <w:noWrap/>
          </w:tcPr>
          <w:p w14:paraId="02ABE58C" w14:textId="77777777" w:rsidR="00590FE1" w:rsidRPr="001D5327" w:rsidRDefault="00590FE1" w:rsidP="00403787">
            <w:pPr>
              <w:pStyle w:val="TableText"/>
              <w:spacing w:before="40" w:after="40"/>
              <w:jc w:val="right"/>
              <w:rPr>
                <w:rFonts w:asciiTheme="minorHAnsi" w:hAnsiTheme="minorHAnsi" w:cstheme="minorHAnsi"/>
                <w:szCs w:val="16"/>
              </w:rPr>
            </w:pPr>
            <w:r w:rsidRPr="001D5327">
              <w:t>5.4</w:t>
            </w:r>
          </w:p>
        </w:tc>
      </w:tr>
      <w:tr w:rsidR="00590FE1" w:rsidRPr="001D5327" w14:paraId="0B7AC86E" w14:textId="77777777" w:rsidTr="00403787">
        <w:tc>
          <w:tcPr>
            <w:tcW w:w="709" w:type="dxa"/>
            <w:tcBorders>
              <w:left w:val="nil"/>
            </w:tcBorders>
            <w:noWrap/>
          </w:tcPr>
          <w:p w14:paraId="51CD1C71" w14:textId="77777777" w:rsidR="00590FE1" w:rsidRPr="001D5327" w:rsidRDefault="00590FE1" w:rsidP="00403787">
            <w:pPr>
              <w:pStyle w:val="TableText"/>
              <w:spacing w:before="40" w:after="40"/>
              <w:rPr>
                <w:rFonts w:cs="Calibri"/>
                <w:szCs w:val="16"/>
              </w:rPr>
            </w:pPr>
            <w:r w:rsidRPr="001D5327">
              <w:t>2020</w:t>
            </w:r>
          </w:p>
        </w:tc>
        <w:tc>
          <w:tcPr>
            <w:tcW w:w="1418" w:type="dxa"/>
            <w:shd w:val="clear" w:color="auto" w:fill="auto"/>
            <w:noWrap/>
          </w:tcPr>
          <w:p w14:paraId="44C9023A"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t>10.6</w:t>
            </w:r>
          </w:p>
        </w:tc>
        <w:tc>
          <w:tcPr>
            <w:tcW w:w="1559" w:type="dxa"/>
            <w:shd w:val="clear" w:color="auto" w:fill="auto"/>
            <w:noWrap/>
          </w:tcPr>
          <w:p w14:paraId="6E67497A" w14:textId="77777777" w:rsidR="00590FE1" w:rsidRPr="001D5327" w:rsidRDefault="00590FE1" w:rsidP="00403787">
            <w:pPr>
              <w:pStyle w:val="TableText"/>
              <w:spacing w:before="40" w:after="40"/>
              <w:jc w:val="right"/>
              <w:rPr>
                <w:rFonts w:asciiTheme="minorHAnsi" w:hAnsiTheme="minorHAnsi" w:cstheme="minorHAnsi"/>
                <w:szCs w:val="16"/>
              </w:rPr>
            </w:pPr>
            <w:r w:rsidRPr="001D5327">
              <w:t>5.4</w:t>
            </w:r>
          </w:p>
        </w:tc>
      </w:tr>
      <w:tr w:rsidR="00590FE1" w:rsidRPr="001D5327" w14:paraId="2C9A2C98" w14:textId="77777777" w:rsidTr="00403787">
        <w:tc>
          <w:tcPr>
            <w:tcW w:w="709" w:type="dxa"/>
            <w:tcBorders>
              <w:left w:val="nil"/>
            </w:tcBorders>
            <w:noWrap/>
          </w:tcPr>
          <w:p w14:paraId="0067E83A" w14:textId="77777777" w:rsidR="00590FE1" w:rsidRPr="001D5327" w:rsidRDefault="00590FE1" w:rsidP="00403787">
            <w:pPr>
              <w:pStyle w:val="TableText"/>
              <w:spacing w:before="40" w:after="40"/>
              <w:rPr>
                <w:rFonts w:cs="Calibri"/>
                <w:szCs w:val="16"/>
              </w:rPr>
            </w:pPr>
            <w:r w:rsidRPr="001D5327">
              <w:t>2022</w:t>
            </w:r>
          </w:p>
        </w:tc>
        <w:tc>
          <w:tcPr>
            <w:tcW w:w="1418" w:type="dxa"/>
            <w:noWrap/>
          </w:tcPr>
          <w:p w14:paraId="2D449864"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t>10.6</w:t>
            </w:r>
          </w:p>
        </w:tc>
        <w:tc>
          <w:tcPr>
            <w:tcW w:w="1559" w:type="dxa"/>
            <w:noWrap/>
          </w:tcPr>
          <w:p w14:paraId="3B970B52" w14:textId="77777777" w:rsidR="00590FE1" w:rsidRPr="001D5327" w:rsidRDefault="00590FE1" w:rsidP="00403787">
            <w:pPr>
              <w:pStyle w:val="TableText"/>
              <w:spacing w:before="40" w:after="40"/>
              <w:jc w:val="right"/>
              <w:rPr>
                <w:rFonts w:asciiTheme="minorHAnsi" w:hAnsiTheme="minorHAnsi" w:cstheme="minorHAnsi"/>
                <w:szCs w:val="16"/>
              </w:rPr>
            </w:pPr>
            <w:r w:rsidRPr="001D5327">
              <w:t>5.4</w:t>
            </w:r>
          </w:p>
        </w:tc>
      </w:tr>
      <w:tr w:rsidR="00590FE1" w:rsidRPr="001D5327" w14:paraId="3C493F4B" w14:textId="77777777" w:rsidTr="00403787">
        <w:tc>
          <w:tcPr>
            <w:tcW w:w="709" w:type="dxa"/>
            <w:tcBorders>
              <w:left w:val="nil"/>
            </w:tcBorders>
            <w:noWrap/>
          </w:tcPr>
          <w:p w14:paraId="31AD9AF6" w14:textId="77777777" w:rsidR="00590FE1" w:rsidRPr="001D5327" w:rsidRDefault="00590FE1" w:rsidP="00403787">
            <w:pPr>
              <w:pStyle w:val="TableText"/>
              <w:spacing w:before="40" w:after="40"/>
            </w:pPr>
            <w:r w:rsidRPr="001D5327">
              <w:t>2023</w:t>
            </w:r>
          </w:p>
        </w:tc>
        <w:tc>
          <w:tcPr>
            <w:tcW w:w="1418" w:type="dxa"/>
            <w:noWrap/>
          </w:tcPr>
          <w:p w14:paraId="6C1E9DBD" w14:textId="77777777" w:rsidR="00590FE1" w:rsidRPr="001D5327" w:rsidRDefault="00590FE1" w:rsidP="00403787">
            <w:pPr>
              <w:pStyle w:val="TableText"/>
              <w:spacing w:before="40" w:after="40"/>
              <w:jc w:val="right"/>
            </w:pPr>
            <w:r w:rsidRPr="001D5327">
              <w:t>10.6</w:t>
            </w:r>
          </w:p>
        </w:tc>
        <w:tc>
          <w:tcPr>
            <w:tcW w:w="1559" w:type="dxa"/>
            <w:noWrap/>
          </w:tcPr>
          <w:p w14:paraId="6D965BB6" w14:textId="77777777" w:rsidR="00590FE1" w:rsidRPr="001D5327" w:rsidRDefault="00590FE1" w:rsidP="00403787">
            <w:pPr>
              <w:pStyle w:val="TableText"/>
              <w:spacing w:before="40" w:after="40"/>
              <w:jc w:val="right"/>
            </w:pPr>
            <w:r w:rsidRPr="001D5327">
              <w:t>5.4</w:t>
            </w:r>
          </w:p>
        </w:tc>
      </w:tr>
    </w:tbl>
    <w:p w14:paraId="610DE28E" w14:textId="77777777" w:rsidR="00590FE1" w:rsidRPr="001D5327" w:rsidRDefault="00590FE1" w:rsidP="00590FE1">
      <w:pPr>
        <w:pStyle w:val="BodyText"/>
        <w:spacing w:before="240" w:after="100"/>
      </w:pPr>
      <w:r w:rsidRPr="001D5327">
        <w:rPr>
          <w:b/>
          <w:bCs/>
          <w:i/>
          <w:iCs/>
        </w:rPr>
        <w:t>Poultry:</w:t>
      </w:r>
      <w:r w:rsidRPr="001D5327">
        <w:rPr>
          <w:i/>
          <w:iCs/>
        </w:rPr>
        <w:t xml:space="preserve"> </w:t>
      </w:r>
      <w:r w:rsidRPr="001D5327">
        <w:t xml:space="preserve">Methane emissions from poultry manure management use </w:t>
      </w:r>
      <w:r w:rsidRPr="001D5327" w:rsidDel="009C416F">
        <w:t xml:space="preserve">New </w:t>
      </w:r>
      <w:r w:rsidRPr="001D5327">
        <w:t xml:space="preserve">Zealand-specific emission factor values derived from Fick et al. (2011). These are based on New Zealand-specific volatile solids and proportions of poultry faeces in each manure management system for each production category. The poultry population has been disaggregated into three different categories, and the manure management emission factor values for each category are: </w:t>
      </w:r>
      <w:r w:rsidRPr="001D5327">
        <w:rPr>
          <w:i/>
          <w:iCs/>
        </w:rPr>
        <w:t>Broiler birds</w:t>
      </w:r>
      <w:r w:rsidRPr="001D5327">
        <w:t xml:space="preserve"> 0.022 kg CH</w:t>
      </w:r>
      <w:r w:rsidRPr="001D5327">
        <w:rPr>
          <w:vertAlign w:val="subscript"/>
        </w:rPr>
        <w:t>4</w:t>
      </w:r>
      <w:r w:rsidRPr="001D5327">
        <w:t xml:space="preserve"> head</w:t>
      </w:r>
      <w:r w:rsidRPr="001D5327">
        <w:rPr>
          <w:vertAlign w:val="superscript"/>
        </w:rPr>
        <w:t>-1</w:t>
      </w:r>
      <w:r w:rsidRPr="001D5327">
        <w:t xml:space="preserve"> year</w:t>
      </w:r>
      <w:r w:rsidRPr="001D5327">
        <w:rPr>
          <w:vertAlign w:val="superscript"/>
        </w:rPr>
        <w:t>-1</w:t>
      </w:r>
      <w:r w:rsidRPr="001D5327">
        <w:t xml:space="preserve">; </w:t>
      </w:r>
      <w:r w:rsidRPr="001D5327">
        <w:rPr>
          <w:i/>
          <w:iCs/>
        </w:rPr>
        <w:t>Layer hens</w:t>
      </w:r>
      <w:r w:rsidRPr="001D5327">
        <w:t xml:space="preserve"> 0.016 kg CH</w:t>
      </w:r>
      <w:r w:rsidRPr="001D5327">
        <w:rPr>
          <w:vertAlign w:val="subscript"/>
        </w:rPr>
        <w:t>4</w:t>
      </w:r>
      <w:r w:rsidRPr="001D5327">
        <w:t xml:space="preserve"> head</w:t>
      </w:r>
      <w:r w:rsidRPr="001D5327">
        <w:rPr>
          <w:vertAlign w:val="superscript"/>
        </w:rPr>
        <w:t>-1</w:t>
      </w:r>
      <w:r w:rsidRPr="001D5327">
        <w:t xml:space="preserve"> year</w:t>
      </w:r>
      <w:r w:rsidRPr="001D5327">
        <w:rPr>
          <w:vertAlign w:val="superscript"/>
        </w:rPr>
        <w:t>-1</w:t>
      </w:r>
      <w:r w:rsidRPr="001D5327">
        <w:t xml:space="preserve">; and </w:t>
      </w:r>
      <w:r w:rsidRPr="001D5327">
        <w:rPr>
          <w:i/>
          <w:iCs/>
        </w:rPr>
        <w:t>Other</w:t>
      </w:r>
      <w:r w:rsidRPr="001D5327">
        <w:rPr>
          <w:rStyle w:val="FootnoteReference"/>
          <w:rFonts w:cs="Calibri"/>
          <w:spacing w:val="-2"/>
        </w:rPr>
        <w:footnoteReference w:id="42"/>
      </w:r>
      <w:r w:rsidRPr="001D5327">
        <w:t xml:space="preserve"> 0.117 kg CH</w:t>
      </w:r>
      <w:r w:rsidRPr="001D5327">
        <w:rPr>
          <w:vertAlign w:val="subscript"/>
        </w:rPr>
        <w:t>4</w:t>
      </w:r>
      <w:r w:rsidRPr="001D5327">
        <w:t xml:space="preserve"> head</w:t>
      </w:r>
      <w:r w:rsidRPr="001D5327">
        <w:rPr>
          <w:vertAlign w:val="superscript"/>
        </w:rPr>
        <w:t>-1</w:t>
      </w:r>
      <w:r w:rsidRPr="001D5327">
        <w:t xml:space="preserve"> year</w:t>
      </w:r>
      <w:r w:rsidRPr="001D5327">
        <w:rPr>
          <w:vertAlign w:val="superscript"/>
        </w:rPr>
        <w:t>-1</w:t>
      </w:r>
      <w:r w:rsidRPr="001D5327">
        <w:t>. The overall IEF for poultry is affected by the change over time in the population proportions of these different poultry categories.</w:t>
      </w:r>
    </w:p>
    <w:p w14:paraId="6CB95845" w14:textId="77777777" w:rsidR="00590FE1" w:rsidRPr="001D5327" w:rsidRDefault="00590FE1" w:rsidP="00590FE1">
      <w:pPr>
        <w:pStyle w:val="BodyText"/>
        <w:spacing w:after="100"/>
      </w:pPr>
      <w:r w:rsidRPr="001D5327">
        <w:rPr>
          <w:b/>
          <w:bCs/>
          <w:i/>
          <w:iCs/>
        </w:rPr>
        <w:t>Goats</w:t>
      </w:r>
      <w:r w:rsidRPr="001D5327">
        <w:rPr>
          <w:b/>
          <w:bCs/>
        </w:rPr>
        <w:t xml:space="preserve">, </w:t>
      </w:r>
      <w:r w:rsidRPr="001D5327">
        <w:rPr>
          <w:b/>
          <w:bCs/>
          <w:i/>
          <w:iCs/>
        </w:rPr>
        <w:t>Horses</w:t>
      </w:r>
      <w:r w:rsidRPr="001D5327">
        <w:rPr>
          <w:b/>
          <w:bCs/>
        </w:rPr>
        <w:t xml:space="preserve">, and </w:t>
      </w:r>
      <w:r w:rsidRPr="001D5327">
        <w:rPr>
          <w:b/>
          <w:bCs/>
          <w:i/>
          <w:iCs/>
        </w:rPr>
        <w:t>Mules and asses:</w:t>
      </w:r>
      <w:r w:rsidRPr="001D5327">
        <w:rPr>
          <w:b/>
          <w:bCs/>
        </w:rPr>
        <w:t xml:space="preserve"> </w:t>
      </w:r>
      <w:r w:rsidRPr="001D5327" w:rsidDel="000D5675">
        <w:t xml:space="preserve">New </w:t>
      </w:r>
      <w:r w:rsidRPr="001D5327">
        <w:t>Zealand uses IPCC (2006) default emission factors for CH</w:t>
      </w:r>
      <w:r w:rsidRPr="001D5327">
        <w:rPr>
          <w:vertAlign w:val="subscript"/>
        </w:rPr>
        <w:t>4</w:t>
      </w:r>
      <w:r w:rsidRPr="001D5327">
        <w:t xml:space="preserve"> emissions from manure management for </w:t>
      </w:r>
      <w:r w:rsidRPr="001D5327">
        <w:rPr>
          <w:i/>
          <w:iCs/>
        </w:rPr>
        <w:t>Goats</w:t>
      </w:r>
      <w:r w:rsidRPr="001D5327">
        <w:t xml:space="preserve">, </w:t>
      </w:r>
      <w:r w:rsidRPr="001D5327">
        <w:rPr>
          <w:i/>
          <w:iCs/>
        </w:rPr>
        <w:t>Horses</w:t>
      </w:r>
      <w:r w:rsidRPr="001D5327">
        <w:t xml:space="preserve">, </w:t>
      </w:r>
      <w:r w:rsidRPr="001D5327">
        <w:rPr>
          <w:i/>
          <w:iCs/>
        </w:rPr>
        <w:t>Mules</w:t>
      </w:r>
      <w:r w:rsidRPr="001D5327">
        <w:rPr>
          <w:i/>
        </w:rPr>
        <w:t xml:space="preserve"> and asses</w:t>
      </w:r>
      <w:r w:rsidRPr="001D5327">
        <w:t xml:space="preserve"> (table 10.15 of the 2006 IPCC Guidelines (IPCC, 2006)). The emission factors are 0.20 kg CH</w:t>
      </w:r>
      <w:r w:rsidRPr="001D5327">
        <w:rPr>
          <w:vertAlign w:val="subscript"/>
        </w:rPr>
        <w:t>4</w:t>
      </w:r>
      <w:r w:rsidRPr="001D5327">
        <w:t xml:space="preserve"> head</w:t>
      </w:r>
      <w:r w:rsidRPr="001D5327">
        <w:rPr>
          <w:vertAlign w:val="superscript"/>
        </w:rPr>
        <w:t>-1</w:t>
      </w:r>
      <w:r w:rsidRPr="001D5327">
        <w:t xml:space="preserve"> year</w:t>
      </w:r>
      <w:r w:rsidRPr="001D5327">
        <w:rPr>
          <w:vertAlign w:val="superscript"/>
        </w:rPr>
        <w:t>-1</w:t>
      </w:r>
      <w:r w:rsidRPr="001D5327">
        <w:t xml:space="preserve"> for </w:t>
      </w:r>
      <w:r w:rsidRPr="001D5327">
        <w:rPr>
          <w:i/>
          <w:iCs/>
        </w:rPr>
        <w:t>Goats</w:t>
      </w:r>
      <w:r w:rsidRPr="001D5327">
        <w:t>, 2.34 kg CH</w:t>
      </w:r>
      <w:r w:rsidRPr="001D5327">
        <w:rPr>
          <w:vertAlign w:val="subscript"/>
        </w:rPr>
        <w:t>4</w:t>
      </w:r>
      <w:r w:rsidRPr="001D5327">
        <w:t xml:space="preserve"> head</w:t>
      </w:r>
      <w:r w:rsidRPr="001D5327">
        <w:rPr>
          <w:vertAlign w:val="superscript"/>
        </w:rPr>
        <w:t>-1</w:t>
      </w:r>
      <w:r w:rsidRPr="001D5327">
        <w:t xml:space="preserve"> year</w:t>
      </w:r>
      <w:r w:rsidRPr="001D5327">
        <w:rPr>
          <w:vertAlign w:val="superscript"/>
        </w:rPr>
        <w:t>-1</w:t>
      </w:r>
      <w:r w:rsidRPr="001D5327">
        <w:t xml:space="preserve"> for </w:t>
      </w:r>
      <w:r w:rsidRPr="001D5327">
        <w:rPr>
          <w:i/>
          <w:iCs/>
        </w:rPr>
        <w:t>Horses</w:t>
      </w:r>
      <w:r w:rsidRPr="001D5327">
        <w:t xml:space="preserve"> and 1.10 kg CH</w:t>
      </w:r>
      <w:r w:rsidRPr="001D5327">
        <w:rPr>
          <w:vertAlign w:val="subscript"/>
        </w:rPr>
        <w:t>4</w:t>
      </w:r>
      <w:r w:rsidRPr="001D5327">
        <w:t xml:space="preserve"> head</w:t>
      </w:r>
      <w:r w:rsidRPr="001D5327">
        <w:rPr>
          <w:vertAlign w:val="superscript"/>
        </w:rPr>
        <w:t>-1</w:t>
      </w:r>
      <w:r w:rsidRPr="001D5327">
        <w:t xml:space="preserve"> year</w:t>
      </w:r>
      <w:r w:rsidRPr="001D5327">
        <w:rPr>
          <w:vertAlign w:val="superscript"/>
        </w:rPr>
        <w:t>-1</w:t>
      </w:r>
      <w:r w:rsidRPr="001D5327">
        <w:t xml:space="preserve"> for </w:t>
      </w:r>
      <w:r w:rsidRPr="001D5327">
        <w:rPr>
          <w:i/>
          <w:iCs/>
        </w:rPr>
        <w:t>Mules and asses</w:t>
      </w:r>
      <w:r w:rsidRPr="001D5327">
        <w:t xml:space="preserve">. These are the IPCC values for temperate developed countries. </w:t>
      </w:r>
    </w:p>
    <w:p w14:paraId="1D7C447B" w14:textId="77777777" w:rsidR="00590FE1" w:rsidRPr="001D5327" w:rsidRDefault="00590FE1" w:rsidP="00590FE1">
      <w:pPr>
        <w:pStyle w:val="BodyText"/>
        <w:spacing w:before="100" w:after="100"/>
      </w:pPr>
      <w:r w:rsidRPr="001D5327">
        <w:rPr>
          <w:b/>
          <w:bCs/>
          <w:i/>
          <w:iCs/>
        </w:rPr>
        <w:t>Llamas and alpacas:</w:t>
      </w:r>
      <w:r w:rsidRPr="001D5327">
        <w:t xml:space="preserve"> No IPCC default value is available for CH</w:t>
      </w:r>
      <w:r w:rsidRPr="001D5327">
        <w:rPr>
          <w:vertAlign w:val="subscript"/>
        </w:rPr>
        <w:t>4</w:t>
      </w:r>
      <w:r w:rsidRPr="001D5327">
        <w:t xml:space="preserve"> emissions from manure management for </w:t>
      </w:r>
      <w:r w:rsidRPr="001D5327">
        <w:rPr>
          <w:i/>
          <w:iCs/>
        </w:rPr>
        <w:t>Llamas and alpacas</w:t>
      </w:r>
      <w:r w:rsidRPr="001D5327">
        <w:t>. The emissions are calculated by assuming that the CH</w:t>
      </w:r>
      <w:r w:rsidRPr="001D5327">
        <w:rPr>
          <w:vertAlign w:val="subscript"/>
        </w:rPr>
        <w:t>4</w:t>
      </w:r>
      <w:r w:rsidRPr="001D5327">
        <w:t xml:space="preserve"> emission factor from manure management for </w:t>
      </w:r>
      <w:r w:rsidRPr="001D5327">
        <w:rPr>
          <w:i/>
          <w:iCs/>
        </w:rPr>
        <w:t>Llamas and alpacas</w:t>
      </w:r>
      <w:r w:rsidRPr="001D5327">
        <w:t xml:space="preserve"> for all years is equal to the CH</w:t>
      </w:r>
      <w:r w:rsidRPr="001D5327">
        <w:rPr>
          <w:vertAlign w:val="subscript"/>
        </w:rPr>
        <w:t>4</w:t>
      </w:r>
      <w:r w:rsidRPr="001D5327">
        <w:t xml:space="preserve"> manure management IEF for </w:t>
      </w:r>
      <w:r w:rsidRPr="001D5327">
        <w:rPr>
          <w:i/>
          <w:iCs/>
        </w:rPr>
        <w:t>Sheep</w:t>
      </w:r>
      <w:r w:rsidRPr="001D5327">
        <w:t xml:space="preserve"> in 1990. The </w:t>
      </w:r>
      <w:r w:rsidRPr="001D5327">
        <w:rPr>
          <w:i/>
          <w:iCs/>
        </w:rPr>
        <w:t>Llamas and alpacas</w:t>
      </w:r>
      <w:r w:rsidRPr="001D5327">
        <w:t xml:space="preserve"> emission factor (0.10 kg CH</w:t>
      </w:r>
      <w:r w:rsidRPr="001D5327">
        <w:rPr>
          <w:vertAlign w:val="subscript"/>
        </w:rPr>
        <w:t>4</w:t>
      </w:r>
      <w:r w:rsidRPr="001D5327">
        <w:t xml:space="preserve"> head</w:t>
      </w:r>
      <w:r w:rsidRPr="001D5327">
        <w:rPr>
          <w:vertAlign w:val="superscript"/>
        </w:rPr>
        <w:t>-1</w:t>
      </w:r>
      <w:r w:rsidRPr="001D5327">
        <w:t xml:space="preserve"> year</w:t>
      </w:r>
      <w:r w:rsidRPr="001D5327">
        <w:rPr>
          <w:vertAlign w:val="superscript"/>
        </w:rPr>
        <w:t>-1</w:t>
      </w:r>
      <w:r w:rsidRPr="001D5327">
        <w:t>) is not indexed to sheep over time because there are no data indicating that alpacas or llamas have had the productivity increases over time seen in sheep.</w:t>
      </w:r>
    </w:p>
    <w:p w14:paraId="435BEE70" w14:textId="77777777" w:rsidR="00590FE1" w:rsidRPr="001D5327" w:rsidRDefault="00590FE1" w:rsidP="00590FE1">
      <w:pPr>
        <w:pStyle w:val="Heading4"/>
      </w:pPr>
      <w:r w:rsidRPr="001D5327">
        <w:t xml:space="preserve">Nitrous oxide from manure management systems (3.B.(b)) </w:t>
      </w:r>
    </w:p>
    <w:p w14:paraId="38D70AAA" w14:textId="77777777" w:rsidR="00590FE1" w:rsidRPr="001D5327" w:rsidRDefault="00590FE1" w:rsidP="00590FE1">
      <w:pPr>
        <w:pStyle w:val="BodyText"/>
        <w:spacing w:before="100" w:after="100"/>
      </w:pPr>
      <w:r w:rsidRPr="001D5327">
        <w:rPr>
          <w:spacing w:val="-2"/>
        </w:rPr>
        <w:t>Nitrous oxide emissions from manure management can be classified as either direct or indirec</w:t>
      </w:r>
      <w:r w:rsidRPr="001D5327">
        <w:t>t. Direct N</w:t>
      </w:r>
      <w:r w:rsidRPr="001D5327">
        <w:rPr>
          <w:vertAlign w:val="subscript"/>
        </w:rPr>
        <w:t>2</w:t>
      </w:r>
      <w:r w:rsidRPr="001D5327">
        <w:t>O emissions occur from nitrification and denitrification of nitrogen contained in the manure. Indirect N</w:t>
      </w:r>
      <w:r w:rsidRPr="001D5327">
        <w:rPr>
          <w:vertAlign w:val="subscript"/>
        </w:rPr>
        <w:t>2</w:t>
      </w:r>
      <w:r w:rsidRPr="001D5327">
        <w:t>O emissions result from volatile nitrogen losses in the forms of ammonia (NH</w:t>
      </w:r>
      <w:r w:rsidRPr="001D5327">
        <w:rPr>
          <w:vertAlign w:val="subscript"/>
        </w:rPr>
        <w:t>3</w:t>
      </w:r>
      <w:r w:rsidRPr="001D5327">
        <w:t>) and NO</w:t>
      </w:r>
      <w:r w:rsidRPr="001D5327">
        <w:rPr>
          <w:vertAlign w:val="subscript"/>
        </w:rPr>
        <w:t>x</w:t>
      </w:r>
      <w:r w:rsidRPr="001D5327">
        <w:t xml:space="preserve"> that are emitted via diffusion into the surrounding air (volatilisation) or via leaching and runoff. </w:t>
      </w:r>
    </w:p>
    <w:p w14:paraId="2CC0FCA4" w14:textId="77777777" w:rsidR="00590FE1" w:rsidRPr="001D5327" w:rsidRDefault="00590FE1" w:rsidP="00590FE1">
      <w:pPr>
        <w:pStyle w:val="BodyText"/>
        <w:spacing w:before="100" w:after="100"/>
        <w:rPr>
          <w:rFonts w:cs="Calibri"/>
        </w:rPr>
      </w:pPr>
      <w:r w:rsidRPr="001D5327">
        <w:rPr>
          <w:rFonts w:cs="Calibri"/>
        </w:rPr>
        <w:t>Nitrous oxide emissions from manure are calculated for each livestock category based on:</w:t>
      </w:r>
    </w:p>
    <w:p w14:paraId="02A8F41A" w14:textId="77777777" w:rsidR="00590FE1" w:rsidRPr="001D5327" w:rsidRDefault="00590FE1" w:rsidP="00590FE1">
      <w:pPr>
        <w:spacing w:after="120"/>
        <w:ind w:left="397" w:hanging="397"/>
        <w:rPr>
          <w:rFonts w:cs="Calibri"/>
        </w:rPr>
      </w:pPr>
      <w:r w:rsidRPr="001D5327">
        <w:rPr>
          <w:rFonts w:cs="Calibri"/>
        </w:rPr>
        <w:t xml:space="preserve">(1) </w:t>
      </w:r>
      <w:r w:rsidRPr="001D5327">
        <w:rPr>
          <w:rFonts w:cs="Calibri"/>
        </w:rPr>
        <w:tab/>
        <w:t xml:space="preserve">livestock population characterisation data (consistent with section 5.1.3) </w:t>
      </w:r>
    </w:p>
    <w:p w14:paraId="26A938BA" w14:textId="77777777" w:rsidR="00590FE1" w:rsidRPr="001D5327" w:rsidRDefault="00590FE1" w:rsidP="00590FE1">
      <w:pPr>
        <w:spacing w:after="120"/>
        <w:ind w:left="397" w:hanging="397"/>
        <w:rPr>
          <w:rFonts w:cs="Calibri"/>
        </w:rPr>
      </w:pPr>
      <w:r w:rsidRPr="001D5327">
        <w:rPr>
          <w:rFonts w:cs="Calibri"/>
        </w:rPr>
        <w:t xml:space="preserve">(2) </w:t>
      </w:r>
      <w:r w:rsidRPr="001D5327">
        <w:rPr>
          <w:rFonts w:cs="Calibri"/>
        </w:rPr>
        <w:tab/>
        <w:t>the average nitrogen excretion rate (kg) per head</w:t>
      </w:r>
      <w:r w:rsidRPr="001D5327">
        <w:rPr>
          <w:rFonts w:cs="Calibri"/>
          <w:vertAlign w:val="superscript"/>
        </w:rPr>
        <w:t>-1</w:t>
      </w:r>
      <w:r w:rsidRPr="001D5327">
        <w:rPr>
          <w:rFonts w:cs="Calibri"/>
        </w:rPr>
        <w:t xml:space="preserve"> year</w:t>
      </w:r>
      <w:r w:rsidRPr="001D5327">
        <w:rPr>
          <w:rFonts w:cs="Calibri"/>
          <w:vertAlign w:val="superscript"/>
        </w:rPr>
        <w:t>-1</w:t>
      </w:r>
    </w:p>
    <w:p w14:paraId="44F202A7" w14:textId="77777777" w:rsidR="00590FE1" w:rsidRPr="001D5327" w:rsidRDefault="00590FE1" w:rsidP="00590FE1">
      <w:pPr>
        <w:spacing w:after="120"/>
        <w:ind w:left="397" w:hanging="397"/>
        <w:rPr>
          <w:rFonts w:cs="Calibri"/>
        </w:rPr>
      </w:pPr>
      <w:r w:rsidRPr="001D5327">
        <w:rPr>
          <w:rFonts w:cs="Calibri"/>
        </w:rPr>
        <w:lastRenderedPageBreak/>
        <w:t xml:space="preserve">(3) </w:t>
      </w:r>
      <w:r w:rsidRPr="001D5327">
        <w:rPr>
          <w:rFonts w:cs="Calibri"/>
        </w:rPr>
        <w:tab/>
        <w:t>an estimation of the total quantity of faecal material produced (consistent with the calculations in the previous section for CH</w:t>
      </w:r>
      <w:r w:rsidRPr="001D5327">
        <w:rPr>
          <w:rFonts w:cs="Calibri"/>
          <w:vertAlign w:val="subscript"/>
        </w:rPr>
        <w:t>4</w:t>
      </w:r>
      <w:r w:rsidRPr="001D5327">
        <w:rPr>
          <w:rFonts w:cs="Calibri"/>
        </w:rPr>
        <w:t xml:space="preserve"> from manure management) split into dung and urine</w:t>
      </w:r>
    </w:p>
    <w:p w14:paraId="135C8B4D" w14:textId="77777777" w:rsidR="00590FE1" w:rsidRPr="001D5327" w:rsidRDefault="00590FE1" w:rsidP="00590FE1">
      <w:pPr>
        <w:spacing w:after="120"/>
        <w:ind w:left="397" w:hanging="397"/>
        <w:rPr>
          <w:rFonts w:cs="Calibri"/>
        </w:rPr>
      </w:pPr>
      <w:r w:rsidRPr="001D5327">
        <w:rPr>
          <w:rFonts w:cs="Calibri"/>
        </w:rPr>
        <w:t xml:space="preserve">(4) </w:t>
      </w:r>
      <w:r w:rsidRPr="001D5327">
        <w:rPr>
          <w:rFonts w:cs="Calibri"/>
        </w:rPr>
        <w:tab/>
        <w:t>the partitioning of this faecal material between manure management systems (based on the manure distributions in table 5.3.2)</w:t>
      </w:r>
    </w:p>
    <w:p w14:paraId="6058B926" w14:textId="77777777" w:rsidR="00590FE1" w:rsidRPr="001D5327" w:rsidRDefault="00590FE1" w:rsidP="00590FE1">
      <w:pPr>
        <w:spacing w:after="120"/>
        <w:ind w:left="397" w:hanging="397"/>
        <w:rPr>
          <w:rFonts w:cs="Calibri"/>
        </w:rPr>
      </w:pPr>
      <w:r w:rsidRPr="001D5327">
        <w:rPr>
          <w:rFonts w:cs="Calibri"/>
        </w:rPr>
        <w:t xml:space="preserve">(5) </w:t>
      </w:r>
      <w:r w:rsidRPr="001D5327">
        <w:rPr>
          <w:rFonts w:cs="Calibri"/>
        </w:rPr>
        <w:tab/>
        <w:t xml:space="preserve">the total amount of nitrogen managed in each system multiplied by an emission factor (IPCC, 2006). </w:t>
      </w:r>
    </w:p>
    <w:p w14:paraId="46C3DF24" w14:textId="77777777" w:rsidR="00590FE1" w:rsidRPr="001D5327" w:rsidRDefault="00590FE1" w:rsidP="00590FE1">
      <w:pPr>
        <w:pStyle w:val="Heading5"/>
      </w:pPr>
      <w:r w:rsidRPr="001D5327">
        <w:t>Nitrogen excretion rates for the major livestock categories</w:t>
      </w:r>
    </w:p>
    <w:p w14:paraId="635436FA" w14:textId="77777777" w:rsidR="00590FE1" w:rsidRPr="001D5327" w:rsidRDefault="00590FE1" w:rsidP="00590FE1">
      <w:pPr>
        <w:pStyle w:val="BodyText"/>
        <w:spacing w:before="80"/>
      </w:pPr>
      <w:r w:rsidRPr="001D5327">
        <w:t>The nitrogen excretion (N</w:t>
      </w:r>
      <w:r w:rsidRPr="001D5327">
        <w:rPr>
          <w:vertAlign w:val="subscript"/>
        </w:rPr>
        <w:t>ex</w:t>
      </w:r>
      <w:r w:rsidRPr="001D5327">
        <w:t xml:space="preserve">) rates for the main livestock categories in </w:t>
      </w:r>
      <w:r w:rsidRPr="001D5327" w:rsidDel="00F25B41">
        <w:t xml:space="preserve">New </w:t>
      </w:r>
      <w:r w:rsidRPr="001D5327">
        <w:t>Zealand are calculated from the nitrogen intake less the nitrogen retained through digestion and contained within animal products, such as liveweight gain, milk, wool and velvet. Nitrogen intake is determined from the dry-matter feed intake and the nitrogen content of the feed eaten. Feed intake and animal productivity values are the same as those used in the Tier</w:t>
      </w:r>
      <w:r w:rsidRPr="001D5327" w:rsidDel="004462D9">
        <w:t xml:space="preserve"> </w:t>
      </w:r>
      <w:r w:rsidRPr="001D5327">
        <w:t>2 model for determining DMI (Clark et al., 2003; and see section 5.1.3). Monthly values for the nitrogen content of feed are provided by Giltrap and McNeill (2020) for dairy cattle and sheep and beef cattle separately.</w:t>
      </w:r>
    </w:p>
    <w:p w14:paraId="30CDF8ED" w14:textId="77777777" w:rsidR="00590FE1" w:rsidRPr="001D5327" w:rsidRDefault="00590FE1" w:rsidP="00590FE1">
      <w:pPr>
        <w:pStyle w:val="BodyText"/>
        <w:spacing w:before="100" w:after="100"/>
        <w:rPr>
          <w:rFonts w:cs="Calibri"/>
        </w:rPr>
      </w:pPr>
      <w:r w:rsidRPr="001D5327">
        <w:rPr>
          <w:rFonts w:cs="Calibri"/>
        </w:rPr>
        <w:t>The nitrogen content of animal products is derived from industry data. For lactating dairy cows, the nitrogen content of milk is derived from the protein content of milk, which is published annually by LIC. The nitrogen content of sheep meat, milk and wool, as well as non</w:t>
      </w:r>
      <w:r w:rsidRPr="001D5327">
        <w:rPr>
          <w:rFonts w:cs="Calibri"/>
        </w:rPr>
        <w:noBreakHyphen/>
        <w:t>dairy (</w:t>
      </w:r>
      <w:r w:rsidRPr="001D5327">
        <w:rPr>
          <w:rFonts w:cs="Calibri"/>
          <w:i/>
          <w:iCs/>
        </w:rPr>
        <w:t>beef</w:t>
      </w:r>
      <w:r w:rsidRPr="001D5327">
        <w:rPr>
          <w:rFonts w:cs="Calibri"/>
        </w:rPr>
        <w:t xml:space="preserve">) meat, and the nitrogen retained in deer velvet, is taken from </w:t>
      </w:r>
      <w:r w:rsidRPr="001D5327" w:rsidDel="00C019AB">
        <w:t xml:space="preserve">New </w:t>
      </w:r>
      <w:r w:rsidRPr="001D5327">
        <w:t>Zealand</w:t>
      </w:r>
      <w:r w:rsidRPr="001D5327">
        <w:rPr>
          <w:rFonts w:cs="Calibri"/>
        </w:rPr>
        <w:t xml:space="preserve"> research (Bown et al., 2013). </w:t>
      </w:r>
    </w:p>
    <w:p w14:paraId="68D36959" w14:textId="77777777" w:rsidR="00590FE1" w:rsidRPr="001D5327" w:rsidRDefault="00590FE1" w:rsidP="00590FE1">
      <w:pPr>
        <w:pStyle w:val="BodyText"/>
        <w:spacing w:before="100" w:after="100"/>
        <w:rPr>
          <w:rFonts w:cs="Calibri"/>
        </w:rPr>
      </w:pPr>
      <w:r w:rsidRPr="001D5327">
        <w:rPr>
          <w:rFonts w:cs="Calibri"/>
        </w:rPr>
        <w:t>Table 5.3.4 shows the N</w:t>
      </w:r>
      <w:r w:rsidRPr="001D5327">
        <w:rPr>
          <w:rFonts w:cs="Calibri"/>
          <w:vertAlign w:val="subscript"/>
        </w:rPr>
        <w:t>ex</w:t>
      </w:r>
      <w:r w:rsidRPr="001D5327">
        <w:rPr>
          <w:rFonts w:cs="Calibri"/>
        </w:rPr>
        <w:t xml:space="preserve"> rates for the major livestock categories. These rates have increased over time, reflecting the increases in animal productivity and animal DMI in </w:t>
      </w:r>
      <w:r w:rsidRPr="001D5327" w:rsidDel="00861058">
        <w:t xml:space="preserve">New </w:t>
      </w:r>
      <w:r w:rsidRPr="001D5327">
        <w:t>Zealand</w:t>
      </w:r>
      <w:r w:rsidRPr="001D5327">
        <w:rPr>
          <w:rFonts w:cs="Calibri"/>
        </w:rPr>
        <w:t xml:space="preserve"> since 1990. Nitrogen excretion</w:t>
      </w:r>
      <w:r w:rsidRPr="001D5327" w:rsidDel="00317E26">
        <w:rPr>
          <w:rFonts w:cs="Calibri"/>
        </w:rPr>
        <w:t xml:space="preserve"> </w:t>
      </w:r>
      <w:r w:rsidRPr="001D5327">
        <w:rPr>
          <w:rFonts w:cs="Calibri"/>
        </w:rPr>
        <w:t>rates are also affected by adverse weather events, which affect the amount of DMI and can cause changes in productivity and N</w:t>
      </w:r>
      <w:r w:rsidRPr="001D5327">
        <w:rPr>
          <w:rFonts w:cs="Calibri"/>
          <w:vertAlign w:val="subscript"/>
        </w:rPr>
        <w:t>ex</w:t>
      </w:r>
      <w:r w:rsidRPr="001D5327">
        <w:rPr>
          <w:rFonts w:cs="Calibri"/>
        </w:rPr>
        <w:t xml:space="preserve"> rates in subsequent years (see section 5.1.1).</w:t>
      </w:r>
      <w:r w:rsidRPr="001D5327">
        <w:rPr>
          <w:rStyle w:val="FootnoteReference"/>
          <w:rFonts w:cs="Calibri"/>
        </w:rPr>
        <w:footnoteReference w:id="43"/>
      </w:r>
      <w:r w:rsidRPr="001D5327">
        <w:rPr>
          <w:rFonts w:cs="Calibri"/>
        </w:rPr>
        <w:t xml:space="preserve"> </w:t>
      </w:r>
    </w:p>
    <w:p w14:paraId="117D5F97" w14:textId="77777777" w:rsidR="00590FE1" w:rsidRPr="001D5327" w:rsidRDefault="00590FE1" w:rsidP="00590FE1">
      <w:pPr>
        <w:pStyle w:val="Table"/>
        <w:rPr>
          <w:rFonts w:cs="Calibri"/>
        </w:rPr>
      </w:pPr>
      <w:bookmarkStart w:id="926" w:name="_Toc288316754"/>
      <w:bookmarkStart w:id="927" w:name="_Toc235955628"/>
      <w:bookmarkStart w:id="928" w:name="_Toc352504972"/>
      <w:bookmarkStart w:id="929" w:name="_Toc441830875"/>
      <w:bookmarkStart w:id="930" w:name="_Toc451176089"/>
      <w:bookmarkStart w:id="931" w:name="_Toc481751517"/>
      <w:bookmarkStart w:id="932" w:name="_Toc507158605"/>
      <w:bookmarkStart w:id="933" w:name="_Toc511116739"/>
      <w:bookmarkStart w:id="934" w:name="_Toc5269479"/>
      <w:bookmarkStart w:id="935" w:name="_Toc32570922"/>
      <w:bookmarkStart w:id="936" w:name="_Toc36224557"/>
      <w:bookmarkStart w:id="937" w:name="_Toc68786442"/>
      <w:bookmarkStart w:id="938" w:name="_Toc95574076"/>
      <w:bookmarkStart w:id="939" w:name="_Toc127458261"/>
      <w:bookmarkStart w:id="940" w:name="_Toc131591357"/>
      <w:bookmarkStart w:id="941" w:name="_Toc164153845"/>
      <w:bookmarkStart w:id="942" w:name="_Toc194241715"/>
      <w:bookmarkStart w:id="943" w:name="_Toc160114449"/>
      <w:r w:rsidRPr="001D5327">
        <w:rPr>
          <w:rFonts w:cs="Calibri"/>
        </w:rPr>
        <w:t>Table 5.3.4</w:t>
      </w:r>
      <w:r w:rsidRPr="001D5327">
        <w:rPr>
          <w:rFonts w:cs="Calibri"/>
        </w:rPr>
        <w:tab/>
        <w:t>Nitrogen excretion rates (N</w:t>
      </w:r>
      <w:r w:rsidRPr="001D5327">
        <w:rPr>
          <w:rFonts w:cs="Calibri"/>
          <w:vertAlign w:val="subscript"/>
        </w:rPr>
        <w:t>ex</w:t>
      </w:r>
      <w:r w:rsidRPr="001D5327">
        <w:rPr>
          <w:rFonts w:cs="Calibri"/>
        </w:rPr>
        <w:t xml:space="preserve">) for </w:t>
      </w:r>
      <w:r w:rsidRPr="001D5327">
        <w:t>New Zealand’s</w:t>
      </w:r>
      <w:r w:rsidRPr="001D5327">
        <w:rPr>
          <w:rFonts w:cs="Calibri"/>
        </w:rPr>
        <w:t xml:space="preserve"> major livestock categories, from 1990 to </w:t>
      </w:r>
      <w:bookmarkEnd w:id="926"/>
      <w:bookmarkEnd w:id="927"/>
      <w:bookmarkEnd w:id="928"/>
      <w:bookmarkEnd w:id="929"/>
      <w:bookmarkEnd w:id="930"/>
      <w:bookmarkEnd w:id="931"/>
      <w:bookmarkEnd w:id="932"/>
      <w:bookmarkEnd w:id="933"/>
      <w:bookmarkEnd w:id="934"/>
      <w:bookmarkEnd w:id="935"/>
      <w:bookmarkEnd w:id="936"/>
      <w:bookmarkEnd w:id="937"/>
      <w:bookmarkEnd w:id="938"/>
      <w:r w:rsidRPr="001D5327">
        <w:rPr>
          <w:rFonts w:cs="Calibri"/>
        </w:rPr>
        <w:t>202</w:t>
      </w:r>
      <w:bookmarkEnd w:id="939"/>
      <w:bookmarkEnd w:id="940"/>
      <w:bookmarkEnd w:id="941"/>
      <w:r w:rsidRPr="001D5327">
        <w:rPr>
          <w:rFonts w:cs="Calibri"/>
        </w:rPr>
        <w:t>3</w:t>
      </w:r>
      <w:bookmarkEnd w:id="942"/>
      <w:r w:rsidRPr="001D5327">
        <w:rPr>
          <w:rFonts w:cs="Calibri"/>
        </w:rPr>
        <w:t xml:space="preserve"> </w:t>
      </w:r>
      <w:bookmarkEnd w:id="943"/>
    </w:p>
    <w:tbl>
      <w:tblPr>
        <w:tblW w:w="8505" w:type="dxa"/>
        <w:tblBorders>
          <w:top w:val="single" w:sz="4" w:space="0" w:color="1B556B" w:themeColor="text2"/>
          <w:bottom w:val="single" w:sz="4" w:space="0" w:color="1B556B" w:themeColor="text2"/>
          <w:insideH w:val="single" w:sz="4" w:space="0" w:color="1B556B" w:themeColor="text2"/>
        </w:tblBorders>
        <w:tblLook w:val="0000" w:firstRow="0" w:lastRow="0" w:firstColumn="0" w:lastColumn="0" w:noHBand="0" w:noVBand="0"/>
      </w:tblPr>
      <w:tblGrid>
        <w:gridCol w:w="1378"/>
        <w:gridCol w:w="1826"/>
        <w:gridCol w:w="1826"/>
        <w:gridCol w:w="1842"/>
        <w:gridCol w:w="1633"/>
      </w:tblGrid>
      <w:tr w:rsidR="00590FE1" w:rsidRPr="001D5327" w14:paraId="5A646F03" w14:textId="77777777" w:rsidTr="00403787">
        <w:trPr>
          <w:tblHeader/>
        </w:trPr>
        <w:tc>
          <w:tcPr>
            <w:tcW w:w="1378" w:type="dxa"/>
            <w:tcBorders>
              <w:bottom w:val="single" w:sz="4" w:space="0" w:color="1B556B" w:themeColor="text2"/>
            </w:tcBorders>
            <w:shd w:val="clear" w:color="auto" w:fill="1B556B"/>
            <w:noWrap/>
            <w:vAlign w:val="bottom"/>
          </w:tcPr>
          <w:p w14:paraId="11C8D8AF" w14:textId="77777777" w:rsidR="00590FE1" w:rsidRPr="001D5327" w:rsidRDefault="00590FE1" w:rsidP="00403787">
            <w:pPr>
              <w:pStyle w:val="TableTextBold"/>
              <w:keepNext/>
              <w:spacing w:before="30" w:after="30"/>
              <w:rPr>
                <w:noProof w:val="0"/>
                <w:color w:val="FFFFFF" w:themeColor="background1"/>
                <w:szCs w:val="16"/>
              </w:rPr>
            </w:pPr>
            <w:r w:rsidRPr="001D5327">
              <w:rPr>
                <w:noProof w:val="0"/>
                <w:color w:val="FFFFFF" w:themeColor="background1"/>
                <w:szCs w:val="16"/>
              </w:rPr>
              <w:t>Year</w:t>
            </w:r>
          </w:p>
        </w:tc>
        <w:tc>
          <w:tcPr>
            <w:tcW w:w="1826" w:type="dxa"/>
            <w:shd w:val="clear" w:color="auto" w:fill="1B556B"/>
            <w:noWrap/>
            <w:vAlign w:val="bottom"/>
          </w:tcPr>
          <w:p w14:paraId="612D6739" w14:textId="77777777" w:rsidR="00590FE1" w:rsidRPr="001D5327" w:rsidRDefault="00590FE1" w:rsidP="00403787">
            <w:pPr>
              <w:pStyle w:val="TableTextBold"/>
              <w:keepNext/>
              <w:spacing w:before="30" w:after="30"/>
              <w:jc w:val="right"/>
              <w:rPr>
                <w:noProof w:val="0"/>
                <w:color w:val="FFFFFF" w:themeColor="background1"/>
                <w:szCs w:val="16"/>
              </w:rPr>
            </w:pPr>
            <w:r w:rsidRPr="001D5327">
              <w:rPr>
                <w:noProof w:val="0"/>
                <w:color w:val="FFFFFF" w:themeColor="background1"/>
                <w:szCs w:val="16"/>
              </w:rPr>
              <w:t>Dairy cattle N</w:t>
            </w:r>
            <w:r w:rsidRPr="001D5327">
              <w:rPr>
                <w:noProof w:val="0"/>
                <w:color w:val="FFFFFF" w:themeColor="background1"/>
                <w:szCs w:val="16"/>
                <w:vertAlign w:val="subscript"/>
              </w:rPr>
              <w:t>ex</w:t>
            </w:r>
            <w:r w:rsidRPr="001D5327">
              <w:rPr>
                <w:noProof w:val="0"/>
                <w:color w:val="FFFFFF" w:themeColor="background1"/>
                <w:szCs w:val="16"/>
              </w:rPr>
              <w:t xml:space="preserve"> (kg/head/year)</w:t>
            </w:r>
          </w:p>
        </w:tc>
        <w:tc>
          <w:tcPr>
            <w:tcW w:w="1826" w:type="dxa"/>
            <w:shd w:val="clear" w:color="auto" w:fill="1B556B"/>
            <w:noWrap/>
            <w:vAlign w:val="bottom"/>
          </w:tcPr>
          <w:p w14:paraId="25DDD1A5" w14:textId="77777777" w:rsidR="00590FE1" w:rsidRPr="001D5327" w:rsidRDefault="00590FE1" w:rsidP="00403787">
            <w:pPr>
              <w:pStyle w:val="TableTextBold"/>
              <w:keepNext/>
              <w:spacing w:before="30" w:after="30"/>
              <w:jc w:val="right"/>
              <w:rPr>
                <w:noProof w:val="0"/>
                <w:color w:val="FFFFFF" w:themeColor="background1"/>
                <w:szCs w:val="16"/>
              </w:rPr>
            </w:pPr>
            <w:r w:rsidRPr="001D5327">
              <w:rPr>
                <w:noProof w:val="0"/>
                <w:color w:val="FFFFFF" w:themeColor="background1"/>
                <w:szCs w:val="16"/>
              </w:rPr>
              <w:t>Non-dairy cattle N</w:t>
            </w:r>
            <w:r w:rsidRPr="001D5327">
              <w:rPr>
                <w:noProof w:val="0"/>
                <w:color w:val="FFFFFF" w:themeColor="background1"/>
                <w:szCs w:val="16"/>
                <w:vertAlign w:val="subscript"/>
              </w:rPr>
              <w:t>ex</w:t>
            </w:r>
            <w:r w:rsidRPr="001D5327">
              <w:rPr>
                <w:noProof w:val="0"/>
                <w:color w:val="FFFFFF" w:themeColor="background1"/>
                <w:szCs w:val="16"/>
              </w:rPr>
              <w:t xml:space="preserve"> (kg/head/year)</w:t>
            </w:r>
          </w:p>
        </w:tc>
        <w:tc>
          <w:tcPr>
            <w:tcW w:w="1842" w:type="dxa"/>
            <w:tcBorders>
              <w:bottom w:val="single" w:sz="4" w:space="0" w:color="auto"/>
            </w:tcBorders>
            <w:shd w:val="clear" w:color="auto" w:fill="1B556B"/>
            <w:noWrap/>
            <w:vAlign w:val="bottom"/>
          </w:tcPr>
          <w:p w14:paraId="49C07BE9" w14:textId="77777777" w:rsidR="00590FE1" w:rsidRPr="001D5327" w:rsidRDefault="00590FE1" w:rsidP="00403787">
            <w:pPr>
              <w:pStyle w:val="TableTextBold"/>
              <w:keepNext/>
              <w:spacing w:before="30" w:after="30"/>
              <w:jc w:val="right"/>
              <w:rPr>
                <w:noProof w:val="0"/>
                <w:color w:val="FFFFFF" w:themeColor="background1"/>
                <w:szCs w:val="16"/>
              </w:rPr>
            </w:pPr>
            <w:r w:rsidRPr="001D5327">
              <w:rPr>
                <w:noProof w:val="0"/>
                <w:color w:val="FFFFFF" w:themeColor="background1"/>
                <w:szCs w:val="16"/>
              </w:rPr>
              <w:t>Sheep N</w:t>
            </w:r>
            <w:r w:rsidRPr="001D5327">
              <w:rPr>
                <w:noProof w:val="0"/>
                <w:color w:val="FFFFFF" w:themeColor="background1"/>
                <w:szCs w:val="16"/>
                <w:vertAlign w:val="subscript"/>
              </w:rPr>
              <w:t>ex</w:t>
            </w:r>
            <w:r w:rsidRPr="001D5327">
              <w:rPr>
                <w:noProof w:val="0"/>
                <w:color w:val="FFFFFF" w:themeColor="background1"/>
                <w:szCs w:val="16"/>
              </w:rPr>
              <w:t xml:space="preserve"> (kg/head/year)</w:t>
            </w:r>
          </w:p>
        </w:tc>
        <w:tc>
          <w:tcPr>
            <w:tcW w:w="1633" w:type="dxa"/>
            <w:tcBorders>
              <w:bottom w:val="single" w:sz="4" w:space="0" w:color="auto"/>
            </w:tcBorders>
            <w:shd w:val="clear" w:color="auto" w:fill="1B556B"/>
            <w:noWrap/>
            <w:vAlign w:val="bottom"/>
          </w:tcPr>
          <w:p w14:paraId="785E72BB" w14:textId="77777777" w:rsidR="00590FE1" w:rsidRPr="001D5327" w:rsidRDefault="00590FE1" w:rsidP="00403787">
            <w:pPr>
              <w:pStyle w:val="TableTextBold"/>
              <w:keepNext/>
              <w:spacing w:before="30" w:after="30"/>
              <w:jc w:val="right"/>
              <w:rPr>
                <w:noProof w:val="0"/>
                <w:color w:val="FFFFFF" w:themeColor="background1"/>
                <w:szCs w:val="16"/>
              </w:rPr>
            </w:pPr>
            <w:r w:rsidRPr="001D5327">
              <w:rPr>
                <w:noProof w:val="0"/>
                <w:color w:val="FFFFFF" w:themeColor="background1"/>
                <w:szCs w:val="16"/>
              </w:rPr>
              <w:t>Deer N</w:t>
            </w:r>
            <w:r w:rsidRPr="001D5327">
              <w:rPr>
                <w:noProof w:val="0"/>
                <w:color w:val="FFFFFF" w:themeColor="background1"/>
                <w:szCs w:val="16"/>
                <w:vertAlign w:val="subscript"/>
              </w:rPr>
              <w:t>ex</w:t>
            </w:r>
            <w:r w:rsidRPr="001D5327">
              <w:rPr>
                <w:noProof w:val="0"/>
                <w:color w:val="FFFFFF" w:themeColor="background1"/>
                <w:szCs w:val="16"/>
              </w:rPr>
              <w:t xml:space="preserve"> (kg/head/year)</w:t>
            </w:r>
          </w:p>
        </w:tc>
      </w:tr>
      <w:tr w:rsidR="00590FE1" w:rsidRPr="001D5327" w14:paraId="0AB6295A" w14:textId="77777777" w:rsidTr="00403787">
        <w:tc>
          <w:tcPr>
            <w:tcW w:w="1378" w:type="dxa"/>
            <w:tcBorders>
              <w:left w:val="nil"/>
            </w:tcBorders>
            <w:noWrap/>
          </w:tcPr>
          <w:p w14:paraId="5A03A253" w14:textId="77777777" w:rsidR="00590FE1" w:rsidRPr="001D5327" w:rsidRDefault="00590FE1" w:rsidP="00403787">
            <w:pPr>
              <w:pStyle w:val="TableText"/>
              <w:keepNext/>
              <w:spacing w:before="40" w:after="30"/>
              <w:rPr>
                <w:rFonts w:cs="Calibri"/>
                <w:szCs w:val="16"/>
              </w:rPr>
            </w:pPr>
            <w:r w:rsidRPr="001D5327">
              <w:rPr>
                <w:rFonts w:cs="Calibri"/>
                <w:szCs w:val="16"/>
              </w:rPr>
              <w:t>1990</w:t>
            </w:r>
          </w:p>
        </w:tc>
        <w:tc>
          <w:tcPr>
            <w:tcW w:w="1826" w:type="dxa"/>
            <w:shd w:val="clear" w:color="auto" w:fill="auto"/>
            <w:noWrap/>
          </w:tcPr>
          <w:p w14:paraId="58773AFE" w14:textId="77777777" w:rsidR="00590FE1" w:rsidRPr="001D5327" w:rsidRDefault="00590FE1" w:rsidP="00403787">
            <w:pPr>
              <w:pStyle w:val="TableText"/>
              <w:spacing w:before="40" w:after="30"/>
              <w:jc w:val="right"/>
              <w:rPr>
                <w:rFonts w:asciiTheme="minorHAnsi" w:hAnsiTheme="minorHAnsi" w:cstheme="minorHAnsi"/>
                <w:color w:val="000000"/>
                <w:szCs w:val="16"/>
              </w:rPr>
            </w:pPr>
            <w:r w:rsidRPr="001D5327">
              <w:t>100.1</w:t>
            </w:r>
          </w:p>
        </w:tc>
        <w:tc>
          <w:tcPr>
            <w:tcW w:w="1826" w:type="dxa"/>
            <w:shd w:val="clear" w:color="auto" w:fill="auto"/>
            <w:noWrap/>
            <w:vAlign w:val="bottom"/>
          </w:tcPr>
          <w:p w14:paraId="711F113D"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76.0</w:t>
            </w:r>
          </w:p>
        </w:tc>
        <w:tc>
          <w:tcPr>
            <w:tcW w:w="1842" w:type="dxa"/>
            <w:tcBorders>
              <w:top w:val="single" w:sz="4" w:space="0" w:color="auto"/>
              <w:left w:val="nil"/>
              <w:bottom w:val="single" w:sz="4" w:space="0" w:color="auto"/>
              <w:right w:val="nil"/>
            </w:tcBorders>
            <w:shd w:val="clear" w:color="auto" w:fill="auto"/>
            <w:noWrap/>
            <w:vAlign w:val="bottom"/>
          </w:tcPr>
          <w:p w14:paraId="4FE551BD"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12.7</w:t>
            </w:r>
          </w:p>
        </w:tc>
        <w:tc>
          <w:tcPr>
            <w:tcW w:w="1633" w:type="dxa"/>
            <w:tcBorders>
              <w:top w:val="single" w:sz="4" w:space="0" w:color="auto"/>
              <w:left w:val="nil"/>
              <w:bottom w:val="single" w:sz="4" w:space="0" w:color="auto"/>
              <w:right w:val="nil"/>
            </w:tcBorders>
            <w:shd w:val="clear" w:color="auto" w:fill="auto"/>
            <w:noWrap/>
            <w:vAlign w:val="bottom"/>
          </w:tcPr>
          <w:p w14:paraId="2B7D8DD0"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24.5</w:t>
            </w:r>
          </w:p>
        </w:tc>
      </w:tr>
      <w:tr w:rsidR="00590FE1" w:rsidRPr="001D5327" w14:paraId="300EE4E7" w14:textId="77777777" w:rsidTr="00403787">
        <w:tc>
          <w:tcPr>
            <w:tcW w:w="1378" w:type="dxa"/>
            <w:tcBorders>
              <w:left w:val="nil"/>
            </w:tcBorders>
            <w:noWrap/>
          </w:tcPr>
          <w:p w14:paraId="095D0B6F" w14:textId="77777777" w:rsidR="00590FE1" w:rsidRPr="001D5327" w:rsidRDefault="00590FE1" w:rsidP="00403787">
            <w:pPr>
              <w:pStyle w:val="TableText"/>
              <w:spacing w:before="40" w:after="30"/>
              <w:rPr>
                <w:rFonts w:cs="Calibri"/>
                <w:szCs w:val="16"/>
              </w:rPr>
            </w:pPr>
            <w:r w:rsidRPr="001D5327">
              <w:rPr>
                <w:rFonts w:cs="Calibri"/>
                <w:szCs w:val="16"/>
              </w:rPr>
              <w:t>1995</w:t>
            </w:r>
          </w:p>
        </w:tc>
        <w:tc>
          <w:tcPr>
            <w:tcW w:w="1826" w:type="dxa"/>
            <w:shd w:val="clear" w:color="auto" w:fill="auto"/>
            <w:noWrap/>
          </w:tcPr>
          <w:p w14:paraId="518C5B78" w14:textId="77777777" w:rsidR="00590FE1" w:rsidRPr="001D5327" w:rsidRDefault="00590FE1" w:rsidP="00403787">
            <w:pPr>
              <w:pStyle w:val="TableText"/>
              <w:spacing w:before="40" w:after="30"/>
              <w:jc w:val="right"/>
              <w:rPr>
                <w:rFonts w:asciiTheme="minorHAnsi" w:hAnsiTheme="minorHAnsi" w:cstheme="minorHAnsi"/>
                <w:color w:val="000000"/>
                <w:szCs w:val="16"/>
              </w:rPr>
            </w:pPr>
            <w:r w:rsidRPr="001D5327">
              <w:t>103.6</w:t>
            </w:r>
          </w:p>
        </w:tc>
        <w:tc>
          <w:tcPr>
            <w:tcW w:w="1826" w:type="dxa"/>
            <w:shd w:val="clear" w:color="auto" w:fill="auto"/>
            <w:noWrap/>
            <w:vAlign w:val="bottom"/>
          </w:tcPr>
          <w:p w14:paraId="109DE2A3"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79.9</w:t>
            </w:r>
          </w:p>
        </w:tc>
        <w:tc>
          <w:tcPr>
            <w:tcW w:w="1842" w:type="dxa"/>
            <w:tcBorders>
              <w:top w:val="single" w:sz="4" w:space="0" w:color="auto"/>
              <w:left w:val="nil"/>
              <w:bottom w:val="single" w:sz="4" w:space="0" w:color="auto"/>
              <w:right w:val="nil"/>
            </w:tcBorders>
            <w:shd w:val="clear" w:color="auto" w:fill="auto"/>
            <w:noWrap/>
            <w:vAlign w:val="bottom"/>
          </w:tcPr>
          <w:p w14:paraId="140C4B1A"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13.6</w:t>
            </w:r>
          </w:p>
        </w:tc>
        <w:tc>
          <w:tcPr>
            <w:tcW w:w="1633" w:type="dxa"/>
            <w:tcBorders>
              <w:top w:val="single" w:sz="4" w:space="0" w:color="auto"/>
              <w:left w:val="nil"/>
              <w:bottom w:val="single" w:sz="4" w:space="0" w:color="auto"/>
              <w:right w:val="nil"/>
            </w:tcBorders>
            <w:shd w:val="clear" w:color="auto" w:fill="auto"/>
            <w:noWrap/>
            <w:vAlign w:val="bottom"/>
          </w:tcPr>
          <w:p w14:paraId="36A9EDA7"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26.7</w:t>
            </w:r>
          </w:p>
        </w:tc>
      </w:tr>
      <w:tr w:rsidR="00590FE1" w:rsidRPr="001D5327" w14:paraId="09429B78" w14:textId="77777777" w:rsidTr="00403787">
        <w:tc>
          <w:tcPr>
            <w:tcW w:w="1378" w:type="dxa"/>
            <w:tcBorders>
              <w:left w:val="nil"/>
            </w:tcBorders>
            <w:noWrap/>
          </w:tcPr>
          <w:p w14:paraId="46704577" w14:textId="77777777" w:rsidR="00590FE1" w:rsidRPr="001D5327" w:rsidRDefault="00590FE1" w:rsidP="00403787">
            <w:pPr>
              <w:pStyle w:val="TableText"/>
              <w:spacing w:before="40" w:after="30"/>
              <w:rPr>
                <w:rFonts w:cs="Calibri"/>
                <w:szCs w:val="16"/>
              </w:rPr>
            </w:pPr>
            <w:r w:rsidRPr="001D5327">
              <w:rPr>
                <w:rFonts w:cs="Calibri"/>
                <w:szCs w:val="16"/>
              </w:rPr>
              <w:t>2000</w:t>
            </w:r>
          </w:p>
        </w:tc>
        <w:tc>
          <w:tcPr>
            <w:tcW w:w="1826" w:type="dxa"/>
            <w:noWrap/>
          </w:tcPr>
          <w:p w14:paraId="5C25AE03" w14:textId="77777777" w:rsidR="00590FE1" w:rsidRPr="001D5327" w:rsidRDefault="00590FE1" w:rsidP="00403787">
            <w:pPr>
              <w:pStyle w:val="TableText"/>
              <w:spacing w:before="40" w:after="30"/>
              <w:jc w:val="right"/>
              <w:rPr>
                <w:rFonts w:asciiTheme="minorHAnsi" w:hAnsiTheme="minorHAnsi" w:cstheme="minorHAnsi"/>
                <w:color w:val="000000"/>
                <w:szCs w:val="16"/>
              </w:rPr>
            </w:pPr>
            <w:r w:rsidRPr="001D5327">
              <w:t>107.3</w:t>
            </w:r>
          </w:p>
        </w:tc>
        <w:tc>
          <w:tcPr>
            <w:tcW w:w="1826" w:type="dxa"/>
            <w:noWrap/>
            <w:vAlign w:val="bottom"/>
          </w:tcPr>
          <w:p w14:paraId="2C918361"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84.6</w:t>
            </w:r>
          </w:p>
        </w:tc>
        <w:tc>
          <w:tcPr>
            <w:tcW w:w="1842" w:type="dxa"/>
            <w:tcBorders>
              <w:top w:val="single" w:sz="4" w:space="0" w:color="auto"/>
              <w:left w:val="nil"/>
              <w:bottom w:val="single" w:sz="4" w:space="0" w:color="auto"/>
              <w:right w:val="nil"/>
            </w:tcBorders>
            <w:shd w:val="clear" w:color="auto" w:fill="auto"/>
            <w:noWrap/>
            <w:vAlign w:val="bottom"/>
          </w:tcPr>
          <w:p w14:paraId="6569F55B"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15.6</w:t>
            </w:r>
          </w:p>
        </w:tc>
        <w:tc>
          <w:tcPr>
            <w:tcW w:w="1633" w:type="dxa"/>
            <w:tcBorders>
              <w:top w:val="single" w:sz="4" w:space="0" w:color="auto"/>
              <w:left w:val="nil"/>
              <w:bottom w:val="single" w:sz="4" w:space="0" w:color="auto"/>
              <w:right w:val="nil"/>
            </w:tcBorders>
            <w:shd w:val="clear" w:color="auto" w:fill="auto"/>
            <w:noWrap/>
            <w:vAlign w:val="bottom"/>
          </w:tcPr>
          <w:p w14:paraId="2CF68B16"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26.6</w:t>
            </w:r>
          </w:p>
        </w:tc>
      </w:tr>
      <w:tr w:rsidR="00590FE1" w:rsidRPr="001D5327" w14:paraId="7EC95DBC" w14:textId="77777777" w:rsidTr="00403787">
        <w:tc>
          <w:tcPr>
            <w:tcW w:w="1378" w:type="dxa"/>
            <w:tcBorders>
              <w:left w:val="nil"/>
            </w:tcBorders>
            <w:noWrap/>
          </w:tcPr>
          <w:p w14:paraId="5B530137" w14:textId="77777777" w:rsidR="00590FE1" w:rsidRPr="001D5327" w:rsidRDefault="00590FE1" w:rsidP="00403787">
            <w:pPr>
              <w:pStyle w:val="TableText"/>
              <w:spacing w:before="40" w:after="30"/>
              <w:rPr>
                <w:rFonts w:cs="Calibri"/>
                <w:szCs w:val="16"/>
              </w:rPr>
            </w:pPr>
            <w:r w:rsidRPr="001D5327">
              <w:rPr>
                <w:rFonts w:cs="Calibri"/>
                <w:szCs w:val="16"/>
              </w:rPr>
              <w:t>2005</w:t>
            </w:r>
          </w:p>
        </w:tc>
        <w:tc>
          <w:tcPr>
            <w:tcW w:w="1826" w:type="dxa"/>
            <w:noWrap/>
          </w:tcPr>
          <w:p w14:paraId="1A6284C8" w14:textId="77777777" w:rsidR="00590FE1" w:rsidRPr="001D5327" w:rsidRDefault="00590FE1" w:rsidP="00403787">
            <w:pPr>
              <w:pStyle w:val="TableText"/>
              <w:spacing w:before="40" w:after="30"/>
              <w:jc w:val="right"/>
              <w:rPr>
                <w:rFonts w:asciiTheme="minorHAnsi" w:hAnsiTheme="minorHAnsi" w:cstheme="minorHAnsi"/>
                <w:color w:val="000000"/>
                <w:szCs w:val="16"/>
              </w:rPr>
            </w:pPr>
            <w:r w:rsidRPr="001D5327">
              <w:t>108.8</w:t>
            </w:r>
          </w:p>
        </w:tc>
        <w:tc>
          <w:tcPr>
            <w:tcW w:w="1826" w:type="dxa"/>
            <w:noWrap/>
            <w:vAlign w:val="bottom"/>
          </w:tcPr>
          <w:p w14:paraId="508CB26A"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89.3</w:t>
            </w:r>
          </w:p>
        </w:tc>
        <w:tc>
          <w:tcPr>
            <w:tcW w:w="1842" w:type="dxa"/>
            <w:tcBorders>
              <w:top w:val="single" w:sz="4" w:space="0" w:color="auto"/>
              <w:left w:val="nil"/>
              <w:bottom w:val="single" w:sz="4" w:space="0" w:color="auto"/>
              <w:right w:val="nil"/>
            </w:tcBorders>
            <w:shd w:val="clear" w:color="auto" w:fill="auto"/>
            <w:noWrap/>
            <w:vAlign w:val="bottom"/>
          </w:tcPr>
          <w:p w14:paraId="40A56A78"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16.2</w:t>
            </w:r>
          </w:p>
        </w:tc>
        <w:tc>
          <w:tcPr>
            <w:tcW w:w="1633" w:type="dxa"/>
            <w:tcBorders>
              <w:top w:val="single" w:sz="4" w:space="0" w:color="auto"/>
              <w:left w:val="nil"/>
              <w:bottom w:val="single" w:sz="4" w:space="0" w:color="auto"/>
              <w:right w:val="nil"/>
            </w:tcBorders>
            <w:shd w:val="clear" w:color="auto" w:fill="auto"/>
            <w:noWrap/>
            <w:vAlign w:val="bottom"/>
          </w:tcPr>
          <w:p w14:paraId="24F24EE5"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26.2</w:t>
            </w:r>
          </w:p>
        </w:tc>
      </w:tr>
      <w:tr w:rsidR="00590FE1" w:rsidRPr="001D5327" w14:paraId="42F270A6" w14:textId="77777777" w:rsidTr="00403787">
        <w:tc>
          <w:tcPr>
            <w:tcW w:w="1378" w:type="dxa"/>
            <w:tcBorders>
              <w:left w:val="nil"/>
            </w:tcBorders>
            <w:noWrap/>
          </w:tcPr>
          <w:p w14:paraId="0E1DFE7E" w14:textId="77777777" w:rsidR="00590FE1" w:rsidRPr="001D5327" w:rsidRDefault="00590FE1" w:rsidP="00403787">
            <w:pPr>
              <w:pStyle w:val="TableText"/>
              <w:spacing w:before="40" w:after="30"/>
              <w:rPr>
                <w:rFonts w:cs="Calibri"/>
                <w:szCs w:val="16"/>
              </w:rPr>
            </w:pPr>
            <w:r w:rsidRPr="001D5327">
              <w:rPr>
                <w:rFonts w:cs="Calibri"/>
                <w:szCs w:val="16"/>
              </w:rPr>
              <w:t>2010</w:t>
            </w:r>
          </w:p>
        </w:tc>
        <w:tc>
          <w:tcPr>
            <w:tcW w:w="1826" w:type="dxa"/>
            <w:noWrap/>
          </w:tcPr>
          <w:p w14:paraId="2FB8F1BB" w14:textId="77777777" w:rsidR="00590FE1" w:rsidRPr="001D5327" w:rsidRDefault="00590FE1" w:rsidP="00403787">
            <w:pPr>
              <w:pStyle w:val="TableText"/>
              <w:spacing w:before="40" w:after="30"/>
              <w:jc w:val="right"/>
              <w:rPr>
                <w:rFonts w:asciiTheme="minorHAnsi" w:hAnsiTheme="minorHAnsi" w:cstheme="minorHAnsi"/>
                <w:color w:val="000000"/>
                <w:szCs w:val="16"/>
              </w:rPr>
            </w:pPr>
            <w:r w:rsidRPr="001D5327">
              <w:t>106.8</w:t>
            </w:r>
          </w:p>
        </w:tc>
        <w:tc>
          <w:tcPr>
            <w:tcW w:w="1826" w:type="dxa"/>
            <w:noWrap/>
            <w:vAlign w:val="bottom"/>
          </w:tcPr>
          <w:p w14:paraId="651E511F"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87.3</w:t>
            </w:r>
          </w:p>
        </w:tc>
        <w:tc>
          <w:tcPr>
            <w:tcW w:w="1842" w:type="dxa"/>
            <w:tcBorders>
              <w:top w:val="single" w:sz="4" w:space="0" w:color="auto"/>
              <w:left w:val="nil"/>
              <w:bottom w:val="single" w:sz="4" w:space="0" w:color="auto"/>
              <w:right w:val="nil"/>
            </w:tcBorders>
            <w:shd w:val="clear" w:color="auto" w:fill="auto"/>
            <w:noWrap/>
            <w:vAlign w:val="bottom"/>
          </w:tcPr>
          <w:p w14:paraId="571B0952"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15.9</w:t>
            </w:r>
          </w:p>
        </w:tc>
        <w:tc>
          <w:tcPr>
            <w:tcW w:w="1633" w:type="dxa"/>
            <w:tcBorders>
              <w:top w:val="single" w:sz="4" w:space="0" w:color="auto"/>
              <w:left w:val="nil"/>
              <w:bottom w:val="single" w:sz="4" w:space="0" w:color="auto"/>
              <w:right w:val="nil"/>
            </w:tcBorders>
            <w:shd w:val="clear" w:color="auto" w:fill="auto"/>
            <w:noWrap/>
            <w:vAlign w:val="bottom"/>
          </w:tcPr>
          <w:p w14:paraId="434180AE"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25.9</w:t>
            </w:r>
          </w:p>
        </w:tc>
      </w:tr>
      <w:tr w:rsidR="00590FE1" w:rsidRPr="001D5327" w14:paraId="45BF4614" w14:textId="77777777" w:rsidTr="00403787">
        <w:tc>
          <w:tcPr>
            <w:tcW w:w="1378" w:type="dxa"/>
            <w:tcBorders>
              <w:left w:val="nil"/>
            </w:tcBorders>
            <w:noWrap/>
          </w:tcPr>
          <w:p w14:paraId="69D8572F" w14:textId="77777777" w:rsidR="00590FE1" w:rsidRPr="001D5327" w:rsidRDefault="00590FE1" w:rsidP="00403787">
            <w:pPr>
              <w:pStyle w:val="TableText"/>
              <w:spacing w:before="40" w:after="30"/>
              <w:rPr>
                <w:rFonts w:cs="Calibri"/>
                <w:szCs w:val="16"/>
              </w:rPr>
            </w:pPr>
            <w:r w:rsidRPr="001D5327">
              <w:rPr>
                <w:rFonts w:cs="Calibri"/>
                <w:szCs w:val="16"/>
              </w:rPr>
              <w:t>2015</w:t>
            </w:r>
          </w:p>
        </w:tc>
        <w:tc>
          <w:tcPr>
            <w:tcW w:w="1826" w:type="dxa"/>
            <w:noWrap/>
          </w:tcPr>
          <w:p w14:paraId="2B959FD6" w14:textId="77777777" w:rsidR="00590FE1" w:rsidRPr="001D5327" w:rsidRDefault="00590FE1" w:rsidP="00403787">
            <w:pPr>
              <w:pStyle w:val="TableText"/>
              <w:spacing w:before="40" w:after="30"/>
              <w:jc w:val="right"/>
              <w:rPr>
                <w:rFonts w:asciiTheme="minorHAnsi" w:hAnsiTheme="minorHAnsi" w:cstheme="minorHAnsi"/>
                <w:color w:val="000000"/>
                <w:szCs w:val="16"/>
              </w:rPr>
            </w:pPr>
            <w:r w:rsidRPr="001D5327">
              <w:t>112.6</w:t>
            </w:r>
          </w:p>
        </w:tc>
        <w:tc>
          <w:tcPr>
            <w:tcW w:w="1826" w:type="dxa"/>
            <w:noWrap/>
            <w:vAlign w:val="bottom"/>
          </w:tcPr>
          <w:p w14:paraId="26218E97"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85.1</w:t>
            </w:r>
          </w:p>
        </w:tc>
        <w:tc>
          <w:tcPr>
            <w:tcW w:w="1842" w:type="dxa"/>
            <w:tcBorders>
              <w:top w:val="single" w:sz="4" w:space="0" w:color="auto"/>
              <w:left w:val="nil"/>
              <w:bottom w:val="single" w:sz="4" w:space="0" w:color="auto"/>
              <w:right w:val="nil"/>
            </w:tcBorders>
            <w:shd w:val="clear" w:color="auto" w:fill="auto"/>
            <w:noWrap/>
            <w:vAlign w:val="bottom"/>
          </w:tcPr>
          <w:p w14:paraId="7067F305"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16.6</w:t>
            </w:r>
          </w:p>
        </w:tc>
        <w:tc>
          <w:tcPr>
            <w:tcW w:w="1633" w:type="dxa"/>
            <w:tcBorders>
              <w:top w:val="single" w:sz="4" w:space="0" w:color="auto"/>
              <w:left w:val="nil"/>
              <w:bottom w:val="single" w:sz="4" w:space="0" w:color="auto"/>
              <w:right w:val="nil"/>
            </w:tcBorders>
            <w:shd w:val="clear" w:color="auto" w:fill="auto"/>
            <w:noWrap/>
            <w:vAlign w:val="bottom"/>
          </w:tcPr>
          <w:p w14:paraId="5EE3018C"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26.6</w:t>
            </w:r>
          </w:p>
        </w:tc>
      </w:tr>
      <w:tr w:rsidR="00590FE1" w:rsidRPr="001D5327" w14:paraId="0FEE5C9D" w14:textId="77777777" w:rsidTr="00403787">
        <w:tc>
          <w:tcPr>
            <w:tcW w:w="1378" w:type="dxa"/>
            <w:tcBorders>
              <w:left w:val="nil"/>
            </w:tcBorders>
            <w:shd w:val="clear" w:color="auto" w:fill="auto"/>
            <w:noWrap/>
          </w:tcPr>
          <w:p w14:paraId="55F04E86" w14:textId="77777777" w:rsidR="00590FE1" w:rsidRPr="001D5327" w:rsidRDefault="00590FE1" w:rsidP="00403787">
            <w:pPr>
              <w:pStyle w:val="TableText"/>
              <w:spacing w:before="40" w:after="30"/>
              <w:rPr>
                <w:rFonts w:cs="Calibri"/>
                <w:szCs w:val="16"/>
              </w:rPr>
            </w:pPr>
            <w:r w:rsidRPr="001D5327">
              <w:rPr>
                <w:rFonts w:cs="Calibri"/>
                <w:szCs w:val="16"/>
              </w:rPr>
              <w:t>2020</w:t>
            </w:r>
          </w:p>
        </w:tc>
        <w:tc>
          <w:tcPr>
            <w:tcW w:w="1826" w:type="dxa"/>
            <w:shd w:val="clear" w:color="auto" w:fill="auto"/>
            <w:noWrap/>
          </w:tcPr>
          <w:p w14:paraId="7F013BAC" w14:textId="77777777" w:rsidR="00590FE1" w:rsidRPr="001D5327" w:rsidRDefault="00590FE1" w:rsidP="00403787">
            <w:pPr>
              <w:pStyle w:val="TableText"/>
              <w:spacing w:before="40" w:after="30"/>
              <w:jc w:val="right"/>
              <w:rPr>
                <w:rFonts w:asciiTheme="minorHAnsi" w:hAnsiTheme="minorHAnsi" w:cstheme="minorHAnsi"/>
                <w:color w:val="000000"/>
                <w:szCs w:val="16"/>
              </w:rPr>
            </w:pPr>
            <w:r w:rsidRPr="001D5327">
              <w:t>116.8</w:t>
            </w:r>
          </w:p>
        </w:tc>
        <w:tc>
          <w:tcPr>
            <w:tcW w:w="1826" w:type="dxa"/>
            <w:shd w:val="clear" w:color="auto" w:fill="auto"/>
            <w:noWrap/>
            <w:vAlign w:val="bottom"/>
          </w:tcPr>
          <w:p w14:paraId="6D5B433F"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86.5</w:t>
            </w:r>
          </w:p>
        </w:tc>
        <w:tc>
          <w:tcPr>
            <w:tcW w:w="1842" w:type="dxa"/>
            <w:tcBorders>
              <w:top w:val="single" w:sz="4" w:space="0" w:color="auto"/>
              <w:left w:val="nil"/>
              <w:bottom w:val="single" w:sz="4" w:space="0" w:color="auto"/>
              <w:right w:val="nil"/>
            </w:tcBorders>
            <w:shd w:val="clear" w:color="auto" w:fill="auto"/>
            <w:noWrap/>
            <w:vAlign w:val="bottom"/>
          </w:tcPr>
          <w:p w14:paraId="612FBB33"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17.4</w:t>
            </w:r>
          </w:p>
        </w:tc>
        <w:tc>
          <w:tcPr>
            <w:tcW w:w="1633" w:type="dxa"/>
            <w:tcBorders>
              <w:top w:val="single" w:sz="4" w:space="0" w:color="auto"/>
              <w:left w:val="nil"/>
              <w:bottom w:val="single" w:sz="4" w:space="0" w:color="auto"/>
              <w:right w:val="nil"/>
            </w:tcBorders>
            <w:shd w:val="clear" w:color="auto" w:fill="auto"/>
            <w:noWrap/>
            <w:vAlign w:val="bottom"/>
          </w:tcPr>
          <w:p w14:paraId="7F2D8258"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27.0</w:t>
            </w:r>
          </w:p>
        </w:tc>
      </w:tr>
      <w:tr w:rsidR="00590FE1" w:rsidRPr="001D5327" w14:paraId="22A2514B" w14:textId="77777777" w:rsidTr="00403787">
        <w:tc>
          <w:tcPr>
            <w:tcW w:w="1378" w:type="dxa"/>
            <w:tcBorders>
              <w:left w:val="nil"/>
            </w:tcBorders>
            <w:shd w:val="clear" w:color="auto" w:fill="auto"/>
            <w:noWrap/>
          </w:tcPr>
          <w:p w14:paraId="4663A337" w14:textId="77777777" w:rsidR="00590FE1" w:rsidRPr="001D5327" w:rsidRDefault="00590FE1" w:rsidP="00403787">
            <w:pPr>
              <w:pStyle w:val="TableText"/>
              <w:spacing w:before="40" w:after="30"/>
              <w:rPr>
                <w:rFonts w:cs="Calibri"/>
                <w:szCs w:val="16"/>
              </w:rPr>
            </w:pPr>
            <w:r w:rsidRPr="001D5327">
              <w:rPr>
                <w:rFonts w:cs="Calibri"/>
                <w:szCs w:val="16"/>
              </w:rPr>
              <w:t>2022</w:t>
            </w:r>
          </w:p>
        </w:tc>
        <w:tc>
          <w:tcPr>
            <w:tcW w:w="1826" w:type="dxa"/>
            <w:shd w:val="clear" w:color="auto" w:fill="auto"/>
            <w:noWrap/>
          </w:tcPr>
          <w:p w14:paraId="777946F3" w14:textId="77777777" w:rsidR="00590FE1" w:rsidRPr="001D5327" w:rsidRDefault="00590FE1" w:rsidP="00403787">
            <w:pPr>
              <w:pStyle w:val="TableText"/>
              <w:spacing w:before="40" w:after="30"/>
              <w:jc w:val="right"/>
              <w:rPr>
                <w:rFonts w:asciiTheme="minorHAnsi" w:hAnsiTheme="minorHAnsi" w:cstheme="minorHAnsi"/>
                <w:color w:val="000000"/>
                <w:szCs w:val="16"/>
              </w:rPr>
            </w:pPr>
            <w:r w:rsidRPr="001D5327">
              <w:t>119.6</w:t>
            </w:r>
          </w:p>
        </w:tc>
        <w:tc>
          <w:tcPr>
            <w:tcW w:w="1826" w:type="dxa"/>
            <w:shd w:val="clear" w:color="auto" w:fill="auto"/>
            <w:noWrap/>
            <w:vAlign w:val="bottom"/>
          </w:tcPr>
          <w:p w14:paraId="02A3CD8B"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88.5</w:t>
            </w:r>
          </w:p>
        </w:tc>
        <w:tc>
          <w:tcPr>
            <w:tcW w:w="1842" w:type="dxa"/>
            <w:tcBorders>
              <w:top w:val="single" w:sz="4" w:space="0" w:color="auto"/>
              <w:left w:val="nil"/>
              <w:bottom w:val="single" w:sz="4" w:space="0" w:color="auto"/>
              <w:right w:val="nil"/>
            </w:tcBorders>
            <w:shd w:val="clear" w:color="auto" w:fill="auto"/>
            <w:noWrap/>
            <w:vAlign w:val="bottom"/>
          </w:tcPr>
          <w:p w14:paraId="61110B4F"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17.2</w:t>
            </w:r>
          </w:p>
        </w:tc>
        <w:tc>
          <w:tcPr>
            <w:tcW w:w="1633" w:type="dxa"/>
            <w:tcBorders>
              <w:top w:val="single" w:sz="4" w:space="0" w:color="auto"/>
              <w:left w:val="nil"/>
              <w:bottom w:val="single" w:sz="4" w:space="0" w:color="auto"/>
              <w:right w:val="nil"/>
            </w:tcBorders>
            <w:shd w:val="clear" w:color="auto" w:fill="auto"/>
            <w:noWrap/>
            <w:vAlign w:val="bottom"/>
          </w:tcPr>
          <w:p w14:paraId="65EBD048" w14:textId="77777777" w:rsidR="00590FE1" w:rsidRPr="001D5327" w:rsidRDefault="00590FE1" w:rsidP="00403787">
            <w:pPr>
              <w:pStyle w:val="TableText"/>
              <w:spacing w:before="40" w:after="30"/>
              <w:jc w:val="right"/>
              <w:rPr>
                <w:rFonts w:asciiTheme="minorHAnsi" w:hAnsiTheme="minorHAnsi" w:cstheme="minorHAnsi"/>
                <w:szCs w:val="16"/>
              </w:rPr>
            </w:pPr>
            <w:r w:rsidRPr="001D5327">
              <w:rPr>
                <w:rFonts w:asciiTheme="minorHAnsi" w:hAnsiTheme="minorHAnsi" w:cstheme="minorHAnsi"/>
                <w:color w:val="000000"/>
                <w:szCs w:val="16"/>
              </w:rPr>
              <w:t>27.5</w:t>
            </w:r>
          </w:p>
        </w:tc>
      </w:tr>
      <w:tr w:rsidR="00590FE1" w:rsidRPr="001D5327" w14:paraId="7A5C326E" w14:textId="77777777" w:rsidTr="00403787">
        <w:tc>
          <w:tcPr>
            <w:tcW w:w="1378" w:type="dxa"/>
            <w:tcBorders>
              <w:left w:val="nil"/>
            </w:tcBorders>
            <w:shd w:val="clear" w:color="auto" w:fill="auto"/>
            <w:noWrap/>
          </w:tcPr>
          <w:p w14:paraId="48157CBE" w14:textId="77777777" w:rsidR="00590FE1" w:rsidRPr="001D5327" w:rsidRDefault="00590FE1" w:rsidP="00403787">
            <w:pPr>
              <w:pStyle w:val="TableText"/>
              <w:spacing w:before="40" w:after="30"/>
              <w:rPr>
                <w:rFonts w:cs="Calibri"/>
                <w:szCs w:val="16"/>
              </w:rPr>
            </w:pPr>
            <w:r w:rsidRPr="001D5327">
              <w:rPr>
                <w:rFonts w:cs="Calibri"/>
                <w:szCs w:val="16"/>
              </w:rPr>
              <w:t>2023</w:t>
            </w:r>
          </w:p>
        </w:tc>
        <w:tc>
          <w:tcPr>
            <w:tcW w:w="1826" w:type="dxa"/>
            <w:shd w:val="clear" w:color="auto" w:fill="auto"/>
            <w:noWrap/>
          </w:tcPr>
          <w:p w14:paraId="7B5F5E56" w14:textId="77777777" w:rsidR="00590FE1" w:rsidRPr="001D5327" w:rsidRDefault="00590FE1" w:rsidP="00403787">
            <w:pPr>
              <w:pStyle w:val="TableText"/>
              <w:spacing w:before="40" w:after="30"/>
              <w:jc w:val="right"/>
              <w:rPr>
                <w:rFonts w:asciiTheme="minorHAnsi" w:hAnsiTheme="minorHAnsi" w:cstheme="minorHAnsi"/>
                <w:color w:val="000000"/>
                <w:szCs w:val="16"/>
              </w:rPr>
            </w:pPr>
            <w:r w:rsidRPr="001D5327">
              <w:t>118.3</w:t>
            </w:r>
          </w:p>
        </w:tc>
        <w:tc>
          <w:tcPr>
            <w:tcW w:w="1826" w:type="dxa"/>
            <w:shd w:val="clear" w:color="auto" w:fill="auto"/>
            <w:noWrap/>
            <w:vAlign w:val="bottom"/>
          </w:tcPr>
          <w:p w14:paraId="14B2F6DE" w14:textId="77777777" w:rsidR="00590FE1" w:rsidRPr="001D5327" w:rsidRDefault="00590FE1" w:rsidP="00403787">
            <w:pPr>
              <w:pStyle w:val="TableText"/>
              <w:spacing w:before="40" w:after="30"/>
              <w:jc w:val="right"/>
              <w:rPr>
                <w:rFonts w:asciiTheme="minorHAnsi" w:hAnsiTheme="minorHAnsi" w:cstheme="minorHAnsi"/>
                <w:color w:val="000000"/>
                <w:szCs w:val="16"/>
              </w:rPr>
            </w:pPr>
            <w:r w:rsidRPr="001D5327">
              <w:rPr>
                <w:rFonts w:asciiTheme="minorHAnsi" w:hAnsiTheme="minorHAnsi" w:cstheme="minorHAnsi"/>
                <w:color w:val="000000"/>
                <w:szCs w:val="16"/>
              </w:rPr>
              <w:t>91.1</w:t>
            </w:r>
          </w:p>
        </w:tc>
        <w:tc>
          <w:tcPr>
            <w:tcW w:w="1842" w:type="dxa"/>
            <w:tcBorders>
              <w:top w:val="single" w:sz="4" w:space="0" w:color="auto"/>
              <w:left w:val="nil"/>
              <w:bottom w:val="single" w:sz="4" w:space="0" w:color="auto"/>
              <w:right w:val="nil"/>
            </w:tcBorders>
            <w:shd w:val="clear" w:color="auto" w:fill="auto"/>
            <w:noWrap/>
            <w:vAlign w:val="bottom"/>
          </w:tcPr>
          <w:p w14:paraId="30B54C3C" w14:textId="77777777" w:rsidR="00590FE1" w:rsidRPr="001D5327" w:rsidRDefault="00590FE1" w:rsidP="00403787">
            <w:pPr>
              <w:pStyle w:val="TableText"/>
              <w:spacing w:before="40" w:after="30"/>
              <w:jc w:val="right"/>
              <w:rPr>
                <w:rFonts w:asciiTheme="minorHAnsi" w:hAnsiTheme="minorHAnsi" w:cstheme="minorHAnsi"/>
                <w:color w:val="000000"/>
                <w:szCs w:val="16"/>
              </w:rPr>
            </w:pPr>
            <w:r w:rsidRPr="001D5327">
              <w:rPr>
                <w:rFonts w:asciiTheme="minorHAnsi" w:hAnsiTheme="minorHAnsi" w:cstheme="minorHAnsi"/>
                <w:color w:val="000000"/>
                <w:szCs w:val="16"/>
              </w:rPr>
              <w:t>17.2</w:t>
            </w:r>
          </w:p>
        </w:tc>
        <w:tc>
          <w:tcPr>
            <w:tcW w:w="1633" w:type="dxa"/>
            <w:tcBorders>
              <w:top w:val="single" w:sz="4" w:space="0" w:color="auto"/>
              <w:left w:val="nil"/>
              <w:bottom w:val="single" w:sz="4" w:space="0" w:color="auto"/>
              <w:right w:val="nil"/>
            </w:tcBorders>
            <w:shd w:val="clear" w:color="auto" w:fill="auto"/>
            <w:noWrap/>
            <w:vAlign w:val="bottom"/>
          </w:tcPr>
          <w:p w14:paraId="363A6C5E" w14:textId="77777777" w:rsidR="00590FE1" w:rsidRPr="001D5327" w:rsidRDefault="00590FE1" w:rsidP="00403787">
            <w:pPr>
              <w:pStyle w:val="TableText"/>
              <w:spacing w:before="40" w:after="30"/>
              <w:jc w:val="right"/>
              <w:rPr>
                <w:rFonts w:asciiTheme="minorHAnsi" w:hAnsiTheme="minorHAnsi" w:cstheme="minorHAnsi"/>
                <w:color w:val="000000"/>
                <w:szCs w:val="16"/>
              </w:rPr>
            </w:pPr>
            <w:r w:rsidRPr="001D5327">
              <w:rPr>
                <w:rFonts w:asciiTheme="minorHAnsi" w:hAnsiTheme="minorHAnsi" w:cstheme="minorHAnsi"/>
                <w:color w:val="000000"/>
                <w:szCs w:val="16"/>
              </w:rPr>
              <w:t>27.8</w:t>
            </w:r>
          </w:p>
        </w:tc>
      </w:tr>
    </w:tbl>
    <w:p w14:paraId="3E078F76" w14:textId="77777777" w:rsidR="00590FE1" w:rsidRPr="001D5327" w:rsidRDefault="00590FE1" w:rsidP="00590FE1">
      <w:pPr>
        <w:pStyle w:val="Heading5"/>
        <w:spacing w:before="280"/>
      </w:pPr>
      <w:r w:rsidRPr="001D5327">
        <w:lastRenderedPageBreak/>
        <w:t xml:space="preserve">Nitrogen excretion rates for the minor livestock categories </w:t>
      </w:r>
    </w:p>
    <w:p w14:paraId="4317721E" w14:textId="77777777" w:rsidR="00590FE1" w:rsidRPr="001D5327" w:rsidRDefault="00590FE1" w:rsidP="00590FE1">
      <w:pPr>
        <w:pStyle w:val="BodyText"/>
        <w:keepLines/>
        <w:spacing w:before="100" w:after="100"/>
      </w:pPr>
      <w:r w:rsidRPr="001D5327">
        <w:rPr>
          <w:b/>
          <w:bCs/>
          <w:i/>
          <w:iCs/>
        </w:rPr>
        <w:t>Swine:</w:t>
      </w:r>
      <w:r w:rsidRPr="001D5327">
        <w:rPr>
          <w:i/>
          <w:iCs/>
        </w:rPr>
        <w:t xml:space="preserve"> </w:t>
      </w:r>
      <w:r w:rsidRPr="001D5327">
        <w:t>A New Zealand-specific N</w:t>
      </w:r>
      <w:r w:rsidRPr="001D5327">
        <w:rPr>
          <w:vertAlign w:val="subscript"/>
        </w:rPr>
        <w:t>ex</w:t>
      </w:r>
      <w:r w:rsidRPr="001D5327">
        <w:t xml:space="preserve"> rate for breeding pigs and growing pigs is calculated for each year (see table 5.3.5) based on the 2022 value of 24.25 kg nitrogen (N) head</w:t>
      </w:r>
      <w:r w:rsidRPr="001D5327">
        <w:rPr>
          <w:vertAlign w:val="superscript"/>
        </w:rPr>
        <w:t>-1</w:t>
      </w:r>
      <w:r w:rsidRPr="001D5327">
        <w:t xml:space="preserve"> year</w:t>
      </w:r>
      <w:r w:rsidRPr="001D5327">
        <w:rPr>
          <w:vertAlign w:val="superscript"/>
        </w:rPr>
        <w:t>-1</w:t>
      </w:r>
      <w:r w:rsidRPr="001D5327">
        <w:t xml:space="preserve"> for breeding pigs and 5.89 kg N head</w:t>
      </w:r>
      <w:r w:rsidRPr="001D5327">
        <w:rPr>
          <w:vertAlign w:val="superscript"/>
        </w:rPr>
        <w:t>-1</w:t>
      </w:r>
      <w:r w:rsidRPr="001D5327">
        <w:t xml:space="preserve"> year</w:t>
      </w:r>
      <w:r w:rsidRPr="001D5327">
        <w:rPr>
          <w:vertAlign w:val="superscript"/>
        </w:rPr>
        <w:t>-1</w:t>
      </w:r>
      <w:r w:rsidRPr="001D5327">
        <w:t xml:space="preserve"> for growing pigs (Ritchie, 2024). The 2022 values are based on the weighted average of the distribution of animal liveweights by swine category. Estimates of N</w:t>
      </w:r>
      <w:r w:rsidRPr="001D5327">
        <w:rPr>
          <w:vertAlign w:val="subscript"/>
        </w:rPr>
        <w:t>ex</w:t>
      </w:r>
      <w:r w:rsidRPr="001D5327">
        <w:t xml:space="preserve"> rates for all other years are indexed relative to 2022 for the average pig carcass weights for each year. </w:t>
      </w:r>
    </w:p>
    <w:p w14:paraId="7581B0FA" w14:textId="77777777" w:rsidR="00590FE1" w:rsidRPr="001D5327" w:rsidRDefault="00590FE1" w:rsidP="00590FE1">
      <w:pPr>
        <w:pStyle w:val="BodyText"/>
        <w:keepLines/>
        <w:spacing w:before="100" w:after="100"/>
      </w:pPr>
      <w:r w:rsidRPr="001D5327">
        <w:t>Average pig weights have increased since 1990 due to improvements in productivity. Data on pig</w:t>
      </w:r>
      <w:r w:rsidRPr="001D5327" w:rsidDel="00344D5D">
        <w:t xml:space="preserve"> </w:t>
      </w:r>
      <w:r w:rsidRPr="001D5327">
        <w:t>carcass weights are collected by MPI from meat processors.</w:t>
      </w:r>
    </w:p>
    <w:p w14:paraId="0B6F5CFC" w14:textId="77777777" w:rsidR="00590FE1" w:rsidRPr="001D5327" w:rsidRDefault="00590FE1" w:rsidP="00590FE1">
      <w:pPr>
        <w:pStyle w:val="BodyText"/>
        <w:spacing w:before="100" w:after="100"/>
      </w:pPr>
      <w:r w:rsidRPr="001D5327">
        <w:rPr>
          <w:b/>
          <w:bCs/>
          <w:i/>
          <w:iCs/>
        </w:rPr>
        <w:t>Goats:</w:t>
      </w:r>
      <w:r w:rsidRPr="001D5327">
        <w:t xml:space="preserve"> New Zealand uses country-specific N</w:t>
      </w:r>
      <w:r w:rsidRPr="001D5327">
        <w:rPr>
          <w:vertAlign w:val="subscript"/>
        </w:rPr>
        <w:t>ex</w:t>
      </w:r>
      <w:r w:rsidRPr="001D5327">
        <w:t xml:space="preserve"> rates for goats of 10.6 kg N head</w:t>
      </w:r>
      <w:r w:rsidRPr="001D5327">
        <w:rPr>
          <w:vertAlign w:val="superscript"/>
        </w:rPr>
        <w:t>-1</w:t>
      </w:r>
      <w:r w:rsidRPr="001D5327">
        <w:t xml:space="preserve"> year</w:t>
      </w:r>
      <w:r w:rsidRPr="001D5327">
        <w:rPr>
          <w:vertAlign w:val="superscript"/>
        </w:rPr>
        <w:t>-1</w:t>
      </w:r>
      <w:r w:rsidRPr="001D5327">
        <w:t xml:space="preserve"> for 1990 and 12.1 kg N head</w:t>
      </w:r>
      <w:r w:rsidRPr="001D5327">
        <w:rPr>
          <w:vertAlign w:val="superscript"/>
        </w:rPr>
        <w:t>-1</w:t>
      </w:r>
      <w:r w:rsidRPr="001D5327">
        <w:t xml:space="preserve"> year</w:t>
      </w:r>
      <w:r w:rsidRPr="001D5327">
        <w:rPr>
          <w:vertAlign w:val="superscript"/>
        </w:rPr>
        <w:t>-1</w:t>
      </w:r>
      <w:r w:rsidRPr="001D5327">
        <w:t xml:space="preserve"> for 2009 based on the differing population characteristics for those two years (Lassey, 2011). As explained in section 5.2.2 for </w:t>
      </w:r>
      <w:r w:rsidRPr="001D5327">
        <w:rPr>
          <w:i/>
          <w:iCs/>
        </w:rPr>
        <w:t>Enteric fermentation</w:t>
      </w:r>
      <w:r w:rsidRPr="001D5327">
        <w:t xml:space="preserve">, for the intermediate years between 1990 and 2009 and for later years, the excretion rate was interpolated based on assumptions that the dairy goat population has remained in a near constant state over time while the rest of the goat population has declined (see table 5.3.5). </w:t>
      </w:r>
    </w:p>
    <w:p w14:paraId="4A4EF441" w14:textId="77777777" w:rsidR="00590FE1" w:rsidRPr="001D5327" w:rsidRDefault="00590FE1" w:rsidP="00590FE1">
      <w:pPr>
        <w:pStyle w:val="BodyText"/>
        <w:spacing w:before="100" w:after="100"/>
      </w:pPr>
      <w:r w:rsidRPr="001D5327">
        <w:rPr>
          <w:b/>
          <w:bCs/>
          <w:i/>
          <w:iCs/>
        </w:rPr>
        <w:t>Poultry:</w:t>
      </w:r>
      <w:r w:rsidRPr="001D5327">
        <w:t xml:space="preserve"> New Zealand-specific and IPCC default N</w:t>
      </w:r>
      <w:r w:rsidRPr="001D5327">
        <w:rPr>
          <w:vertAlign w:val="subscript"/>
        </w:rPr>
        <w:t>ex</w:t>
      </w:r>
      <w:r w:rsidRPr="001D5327">
        <w:t xml:space="preserve"> rates are used for poultry (Fick et al., 2011). These are the country-specific values of 0.39 kg N head</w:t>
      </w:r>
      <w:r w:rsidRPr="001D5327">
        <w:rPr>
          <w:vertAlign w:val="superscript"/>
        </w:rPr>
        <w:t>-1</w:t>
      </w:r>
      <w:r w:rsidRPr="001D5327">
        <w:t xml:space="preserve"> year</w:t>
      </w:r>
      <w:r w:rsidRPr="001D5327">
        <w:rPr>
          <w:vertAlign w:val="superscript"/>
        </w:rPr>
        <w:t>-1</w:t>
      </w:r>
      <w:r w:rsidRPr="001D5327">
        <w:t xml:space="preserve"> for broiler birds and 0.42 kg N head</w:t>
      </w:r>
      <w:r w:rsidRPr="001D5327">
        <w:rPr>
          <w:vertAlign w:val="superscript"/>
        </w:rPr>
        <w:t>-1</w:t>
      </w:r>
      <w:r w:rsidRPr="001D5327">
        <w:t xml:space="preserve"> year</w:t>
      </w:r>
      <w:r w:rsidRPr="001D5327">
        <w:rPr>
          <w:vertAlign w:val="superscript"/>
        </w:rPr>
        <w:t>-1</w:t>
      </w:r>
      <w:r w:rsidRPr="001D5327">
        <w:t xml:space="preserve"> for layer hens. Ducks, turkeys and other poultry types, such as ostriches, make up around 1 per cent of New Zealand’s poultry population, and flock sizes are uncertain because they are reported by Stats NZ under ‘other poultry’. Therefore, the value of 0.60 kg N head</w:t>
      </w:r>
      <w:r w:rsidRPr="001D5327">
        <w:rPr>
          <w:vertAlign w:val="superscript"/>
        </w:rPr>
        <w:t>-1</w:t>
      </w:r>
      <w:r w:rsidRPr="001D5327">
        <w:t xml:space="preserve"> year</w:t>
      </w:r>
      <w:r w:rsidRPr="001D5327">
        <w:rPr>
          <w:vertAlign w:val="superscript"/>
        </w:rPr>
        <w:t>-1</w:t>
      </w:r>
      <w:r w:rsidRPr="001D5327">
        <w:t xml:space="preserve"> for ducks and turkeys recommended by Fick et al. (2011) is retained. These values are used for all years from 1990. The overall N</w:t>
      </w:r>
      <w:r w:rsidRPr="001D5327">
        <w:rPr>
          <w:vertAlign w:val="subscript"/>
        </w:rPr>
        <w:t>ex</w:t>
      </w:r>
      <w:r w:rsidRPr="001D5327">
        <w:t xml:space="preserve"> rate for poultry is affected by the change over time in the population proportions of these different poultry categories.</w:t>
      </w:r>
    </w:p>
    <w:p w14:paraId="51FD511B" w14:textId="77777777" w:rsidR="00590FE1" w:rsidRPr="001D5327" w:rsidRDefault="00590FE1" w:rsidP="00590FE1">
      <w:pPr>
        <w:pStyle w:val="BodyText"/>
        <w:spacing w:before="100" w:after="100"/>
        <w:rPr>
          <w:rFonts w:cs="Calibri"/>
        </w:rPr>
      </w:pPr>
      <w:r w:rsidRPr="001D5327">
        <w:rPr>
          <w:rFonts w:cs="Calibri"/>
          <w:b/>
          <w:bCs/>
          <w:i/>
          <w:iCs/>
        </w:rPr>
        <w:t>Horses</w:t>
      </w:r>
      <w:r w:rsidRPr="001D5327">
        <w:rPr>
          <w:rFonts w:cs="Calibri"/>
          <w:b/>
          <w:bCs/>
        </w:rPr>
        <w:t xml:space="preserve">, and </w:t>
      </w:r>
      <w:r w:rsidRPr="001D5327">
        <w:rPr>
          <w:rFonts w:cs="Calibri"/>
          <w:b/>
          <w:bCs/>
          <w:i/>
          <w:iCs/>
        </w:rPr>
        <w:t>Mules and asses:</w:t>
      </w:r>
      <w:r w:rsidRPr="001D5327">
        <w:rPr>
          <w:rFonts w:cs="Calibri"/>
        </w:rPr>
        <w:t xml:space="preserve"> </w:t>
      </w:r>
      <w:r w:rsidRPr="001D5327" w:rsidDel="007F459B">
        <w:t xml:space="preserve">New </w:t>
      </w:r>
      <w:r w:rsidRPr="001D5327">
        <w:t>Zealand</w:t>
      </w:r>
      <w:r w:rsidRPr="001D5327">
        <w:rPr>
          <w:rFonts w:cs="Calibri"/>
        </w:rPr>
        <w:t>-specific N</w:t>
      </w:r>
      <w:r w:rsidRPr="001D5327">
        <w:rPr>
          <w:rFonts w:cs="Calibri"/>
          <w:vertAlign w:val="subscript"/>
        </w:rPr>
        <w:t>ex</w:t>
      </w:r>
      <w:r w:rsidRPr="001D5327">
        <w:rPr>
          <w:rFonts w:cs="Calibri"/>
        </w:rPr>
        <w:t xml:space="preserve"> rates are not available for horses or mules and asses, and the default N</w:t>
      </w:r>
      <w:r w:rsidRPr="001D5327">
        <w:rPr>
          <w:rFonts w:cs="Calibri"/>
          <w:vertAlign w:val="subscript"/>
        </w:rPr>
        <w:t>ex</w:t>
      </w:r>
      <w:r w:rsidRPr="001D5327">
        <w:rPr>
          <w:rFonts w:cs="Calibri"/>
        </w:rPr>
        <w:t xml:space="preserve"> rate for Oceania of 0.3 kg N per 1,000 kg of animal mass per day is used (IPCC, 2006, table 10.19).</w:t>
      </w:r>
    </w:p>
    <w:p w14:paraId="7E1D5D6F" w14:textId="77777777" w:rsidR="00590FE1" w:rsidRPr="001D5327" w:rsidRDefault="00590FE1" w:rsidP="00590FE1">
      <w:pPr>
        <w:pStyle w:val="BodyText"/>
        <w:spacing w:before="100" w:after="100"/>
        <w:rPr>
          <w:rFonts w:cs="Calibri"/>
          <w:spacing w:val="-2"/>
        </w:rPr>
      </w:pPr>
      <w:r w:rsidRPr="001D5327">
        <w:rPr>
          <w:rFonts w:cs="Calibri"/>
          <w:b/>
          <w:bCs/>
          <w:i/>
          <w:iCs/>
          <w:spacing w:val="-2"/>
        </w:rPr>
        <w:t>Llamas</w:t>
      </w:r>
      <w:r w:rsidRPr="001D5327">
        <w:rPr>
          <w:b/>
          <w:spacing w:val="-2"/>
        </w:rPr>
        <w:t xml:space="preserve"> </w:t>
      </w:r>
      <w:r w:rsidRPr="001D5327">
        <w:rPr>
          <w:b/>
          <w:i/>
          <w:iCs/>
          <w:spacing w:val="-2"/>
        </w:rPr>
        <w:t>and</w:t>
      </w:r>
      <w:r w:rsidRPr="001D5327">
        <w:rPr>
          <w:b/>
          <w:spacing w:val="-2"/>
        </w:rPr>
        <w:t xml:space="preserve"> </w:t>
      </w:r>
      <w:r w:rsidRPr="001D5327">
        <w:rPr>
          <w:rFonts w:cs="Calibri"/>
          <w:b/>
          <w:bCs/>
          <w:i/>
          <w:iCs/>
          <w:spacing w:val="-2"/>
        </w:rPr>
        <w:t>alpacas</w:t>
      </w:r>
      <w:r w:rsidRPr="001D5327">
        <w:rPr>
          <w:b/>
          <w:spacing w:val="-2"/>
        </w:rPr>
        <w:t>:</w:t>
      </w:r>
      <w:r w:rsidRPr="001D5327">
        <w:rPr>
          <w:rFonts w:cs="Calibri"/>
          <w:i/>
          <w:iCs/>
          <w:spacing w:val="-2"/>
        </w:rPr>
        <w:t xml:space="preserve"> </w:t>
      </w:r>
      <w:r w:rsidRPr="001D5327">
        <w:rPr>
          <w:rFonts w:cs="Calibri"/>
          <w:spacing w:val="-2"/>
        </w:rPr>
        <w:t>Because there is no IPCC default N</w:t>
      </w:r>
      <w:r w:rsidRPr="001D5327">
        <w:rPr>
          <w:rFonts w:cs="Calibri"/>
          <w:spacing w:val="-2"/>
          <w:vertAlign w:val="subscript"/>
        </w:rPr>
        <w:t>ex</w:t>
      </w:r>
      <w:r w:rsidRPr="001D5327">
        <w:rPr>
          <w:rFonts w:cs="Calibri"/>
          <w:spacing w:val="-2"/>
        </w:rPr>
        <w:t xml:space="preserve"> rate for </w:t>
      </w:r>
      <w:r w:rsidRPr="001D5327">
        <w:rPr>
          <w:rFonts w:cs="Calibri"/>
          <w:i/>
          <w:iCs/>
          <w:spacing w:val="-2"/>
        </w:rPr>
        <w:t>Llamas and</w:t>
      </w:r>
      <w:r w:rsidRPr="001D5327">
        <w:rPr>
          <w:rFonts w:cs="Calibri"/>
          <w:spacing w:val="-2"/>
        </w:rPr>
        <w:t xml:space="preserve"> </w:t>
      </w:r>
      <w:r w:rsidRPr="001D5327">
        <w:rPr>
          <w:rFonts w:cs="Calibri"/>
          <w:i/>
          <w:iCs/>
          <w:spacing w:val="-2"/>
        </w:rPr>
        <w:t>alpacas</w:t>
      </w:r>
      <w:r w:rsidRPr="001D5327">
        <w:rPr>
          <w:rFonts w:cs="Calibri"/>
          <w:spacing w:val="-2"/>
        </w:rPr>
        <w:t>, this was calculated by assuming a default N</w:t>
      </w:r>
      <w:r w:rsidRPr="001D5327">
        <w:rPr>
          <w:rFonts w:cs="Calibri"/>
          <w:spacing w:val="-2"/>
          <w:vertAlign w:val="subscript"/>
        </w:rPr>
        <w:t>ex</w:t>
      </w:r>
      <w:r w:rsidRPr="001D5327">
        <w:rPr>
          <w:rFonts w:cs="Calibri"/>
          <w:spacing w:val="-2"/>
        </w:rPr>
        <w:t xml:space="preserve"> rate for llamas and alpacas for all years that is equal to the per-head value of the average sheep in 1990 (i.e., 12.7 kg head</w:t>
      </w:r>
      <w:r w:rsidRPr="001D5327">
        <w:rPr>
          <w:rFonts w:cs="Calibri"/>
          <w:spacing w:val="-2"/>
          <w:vertAlign w:val="superscript"/>
        </w:rPr>
        <w:t>-1</w:t>
      </w:r>
      <w:r w:rsidRPr="001D5327">
        <w:rPr>
          <w:rFonts w:cs="Calibri"/>
          <w:spacing w:val="-2"/>
        </w:rPr>
        <w:t xml:space="preserve"> year</w:t>
      </w:r>
      <w:r w:rsidRPr="001D5327">
        <w:rPr>
          <w:rFonts w:cs="Calibri"/>
          <w:spacing w:val="-2"/>
          <w:vertAlign w:val="superscript"/>
        </w:rPr>
        <w:t>-1</w:t>
      </w:r>
      <w:r w:rsidRPr="001D5327">
        <w:rPr>
          <w:rFonts w:cs="Calibri"/>
          <w:spacing w:val="-2"/>
        </w:rPr>
        <w:t xml:space="preserve">). The llama and alpaca emission factor is not indexed to sheep over time because </w:t>
      </w:r>
      <w:r w:rsidRPr="001D5327">
        <w:rPr>
          <w:rFonts w:cs="Calibri"/>
        </w:rPr>
        <w:t xml:space="preserve">there are </w:t>
      </w:r>
      <w:r w:rsidRPr="001D5327">
        <w:t>no data</w:t>
      </w:r>
      <w:r w:rsidRPr="001D5327">
        <w:rPr>
          <w:rFonts w:cs="Calibri"/>
        </w:rPr>
        <w:t> indicating that alpacas or llamas have had</w:t>
      </w:r>
      <w:r w:rsidRPr="001D5327">
        <w:t xml:space="preserve"> the productivity increases </w:t>
      </w:r>
      <w:r w:rsidRPr="001D5327">
        <w:rPr>
          <w:rFonts w:cs="Calibri"/>
        </w:rPr>
        <w:t>over time</w:t>
      </w:r>
      <w:r w:rsidRPr="001D5327">
        <w:t xml:space="preserve"> seen in sheep</w:t>
      </w:r>
      <w:r w:rsidRPr="001D5327">
        <w:rPr>
          <w:rFonts w:cs="Calibri"/>
          <w:spacing w:val="-2"/>
        </w:rPr>
        <w:t>. Sheep were used, rather than the IPCC default value for ‘other animals’, because the literature indicates that alpacas have a nitrogen intake close to that of sheep and no significant difference in the partitioning of nitrogen (Pinares-Patino et al., 2003).</w:t>
      </w:r>
    </w:p>
    <w:p w14:paraId="4796695A" w14:textId="77777777" w:rsidR="00590FE1" w:rsidRPr="001D5327" w:rsidRDefault="00590FE1" w:rsidP="00590FE1">
      <w:pPr>
        <w:pStyle w:val="Table"/>
        <w:rPr>
          <w:rFonts w:cs="Calibri"/>
        </w:rPr>
      </w:pPr>
      <w:bookmarkStart w:id="944" w:name="_Toc441830876"/>
      <w:bookmarkStart w:id="945" w:name="_Toc451176090"/>
      <w:bookmarkStart w:id="946" w:name="_Toc481751518"/>
      <w:bookmarkStart w:id="947" w:name="_Toc507158606"/>
      <w:bookmarkStart w:id="948" w:name="_Toc511116740"/>
      <w:bookmarkStart w:id="949" w:name="_Toc5269480"/>
      <w:bookmarkStart w:id="950" w:name="_Toc32570923"/>
      <w:bookmarkStart w:id="951" w:name="_Toc36224558"/>
      <w:bookmarkStart w:id="952" w:name="_Toc68786443"/>
      <w:bookmarkStart w:id="953" w:name="_Toc95574077"/>
      <w:bookmarkStart w:id="954" w:name="_Toc127458262"/>
      <w:bookmarkStart w:id="955" w:name="_Toc131591358"/>
      <w:bookmarkStart w:id="956" w:name="_Toc160114450"/>
      <w:bookmarkStart w:id="957" w:name="_Toc164153846"/>
      <w:bookmarkStart w:id="958" w:name="_Toc194241716"/>
      <w:r w:rsidRPr="001D5327">
        <w:rPr>
          <w:rFonts w:cs="Calibri"/>
        </w:rPr>
        <w:t>Table 5.3.5</w:t>
      </w:r>
      <w:r w:rsidRPr="001D5327">
        <w:rPr>
          <w:rFonts w:cs="Calibri"/>
        </w:rPr>
        <w:tab/>
        <w:t>Nitrogen excretion (N</w:t>
      </w:r>
      <w:r w:rsidRPr="001D5327">
        <w:rPr>
          <w:rFonts w:cs="Calibri"/>
          <w:vertAlign w:val="subscript"/>
        </w:rPr>
        <w:t>ex</w:t>
      </w:r>
      <w:r w:rsidRPr="001D5327">
        <w:rPr>
          <w:rFonts w:cs="Calibri"/>
        </w:rPr>
        <w:t xml:space="preserve">) rates for </w:t>
      </w:r>
      <w:r w:rsidRPr="001D5327">
        <w:t>New Zealand’s</w:t>
      </w:r>
      <w:r w:rsidRPr="001D5327">
        <w:rPr>
          <w:rFonts w:cs="Calibri"/>
        </w:rPr>
        <w:t xml:space="preserve"> swine and goats, from 1990 to </w:t>
      </w:r>
      <w:bookmarkEnd w:id="944"/>
      <w:bookmarkEnd w:id="945"/>
      <w:bookmarkEnd w:id="946"/>
      <w:bookmarkEnd w:id="947"/>
      <w:bookmarkEnd w:id="948"/>
      <w:bookmarkEnd w:id="949"/>
      <w:bookmarkEnd w:id="950"/>
      <w:bookmarkEnd w:id="951"/>
      <w:bookmarkEnd w:id="952"/>
      <w:bookmarkEnd w:id="953"/>
      <w:r w:rsidRPr="001D5327">
        <w:rPr>
          <w:rFonts w:cs="Calibri"/>
        </w:rPr>
        <w:t>202</w:t>
      </w:r>
      <w:bookmarkEnd w:id="954"/>
      <w:bookmarkEnd w:id="955"/>
      <w:bookmarkEnd w:id="956"/>
      <w:bookmarkEnd w:id="957"/>
      <w:r w:rsidRPr="001D5327">
        <w:rPr>
          <w:rFonts w:cs="Calibri"/>
        </w:rPr>
        <w:t>3</w:t>
      </w:r>
      <w:bookmarkEnd w:id="958"/>
    </w:p>
    <w:tbl>
      <w:tblPr>
        <w:tblW w:w="8505" w:type="dxa"/>
        <w:tblBorders>
          <w:top w:val="single" w:sz="4" w:space="0" w:color="1B556B" w:themeColor="text2"/>
          <w:bottom w:val="single" w:sz="4" w:space="0" w:color="1B556B" w:themeColor="text2"/>
          <w:insideH w:val="single" w:sz="4" w:space="0" w:color="1B556B" w:themeColor="text2"/>
        </w:tblBorders>
        <w:tblLook w:val="0000" w:firstRow="0" w:lastRow="0" w:firstColumn="0" w:lastColumn="0" w:noHBand="0" w:noVBand="0"/>
      </w:tblPr>
      <w:tblGrid>
        <w:gridCol w:w="1075"/>
        <w:gridCol w:w="2432"/>
        <w:gridCol w:w="2448"/>
        <w:gridCol w:w="2550"/>
      </w:tblGrid>
      <w:tr w:rsidR="00590FE1" w:rsidRPr="001D5327" w14:paraId="2D927317" w14:textId="77777777" w:rsidTr="00403787">
        <w:trPr>
          <w:tblHeader/>
        </w:trPr>
        <w:tc>
          <w:tcPr>
            <w:tcW w:w="632" w:type="pct"/>
            <w:tcBorders>
              <w:bottom w:val="single" w:sz="4" w:space="0" w:color="1B556B" w:themeColor="text2"/>
              <w:right w:val="nil"/>
            </w:tcBorders>
            <w:shd w:val="clear" w:color="auto" w:fill="1B556B"/>
            <w:noWrap/>
            <w:vAlign w:val="bottom"/>
          </w:tcPr>
          <w:p w14:paraId="70548F9D" w14:textId="77777777" w:rsidR="00590FE1" w:rsidRPr="001D5327" w:rsidRDefault="00590FE1" w:rsidP="00403787">
            <w:pPr>
              <w:pStyle w:val="TableTextBold"/>
              <w:keepNext/>
              <w:spacing w:before="40" w:after="40"/>
              <w:rPr>
                <w:noProof w:val="0"/>
                <w:color w:val="FFFFFF" w:themeColor="background1"/>
              </w:rPr>
            </w:pPr>
            <w:r w:rsidRPr="001D5327">
              <w:rPr>
                <w:noProof w:val="0"/>
                <w:color w:val="FFFFFF" w:themeColor="background1"/>
              </w:rPr>
              <w:t>Year</w:t>
            </w:r>
          </w:p>
        </w:tc>
        <w:tc>
          <w:tcPr>
            <w:tcW w:w="1430" w:type="pct"/>
            <w:tcBorders>
              <w:left w:val="nil"/>
              <w:right w:val="nil"/>
            </w:tcBorders>
            <w:shd w:val="clear" w:color="auto" w:fill="1B556B"/>
            <w:noWrap/>
            <w:vAlign w:val="bottom"/>
          </w:tcPr>
          <w:p w14:paraId="771665C7" w14:textId="77777777" w:rsidR="00590FE1" w:rsidRPr="001D5327" w:rsidRDefault="00590FE1" w:rsidP="00403787">
            <w:pPr>
              <w:pStyle w:val="TableTextBold"/>
              <w:keepNext/>
              <w:spacing w:before="40" w:after="40"/>
              <w:jc w:val="right"/>
              <w:rPr>
                <w:noProof w:val="0"/>
                <w:color w:val="FFFFFF" w:themeColor="background1"/>
              </w:rPr>
            </w:pPr>
            <w:r w:rsidRPr="001D5327">
              <w:rPr>
                <w:noProof w:val="0"/>
                <w:color w:val="FFFFFF" w:themeColor="background1"/>
              </w:rPr>
              <w:t>Goat N</w:t>
            </w:r>
            <w:r w:rsidRPr="001D5327">
              <w:rPr>
                <w:noProof w:val="0"/>
                <w:color w:val="FFFFFF" w:themeColor="background1"/>
                <w:vertAlign w:val="subscript"/>
              </w:rPr>
              <w:t xml:space="preserve">ex </w:t>
            </w:r>
            <w:r w:rsidRPr="001D5327">
              <w:rPr>
                <w:noProof w:val="0"/>
                <w:color w:val="FFFFFF" w:themeColor="background1"/>
              </w:rPr>
              <w:t>(kg/head/year)</w:t>
            </w:r>
          </w:p>
        </w:tc>
        <w:tc>
          <w:tcPr>
            <w:tcW w:w="1439" w:type="pct"/>
            <w:tcBorders>
              <w:left w:val="nil"/>
              <w:right w:val="nil"/>
            </w:tcBorders>
            <w:shd w:val="clear" w:color="auto" w:fill="1B556B"/>
            <w:vAlign w:val="bottom"/>
          </w:tcPr>
          <w:p w14:paraId="314B8B4A" w14:textId="77777777" w:rsidR="00590FE1" w:rsidRPr="001D5327" w:rsidRDefault="00590FE1" w:rsidP="00403787">
            <w:pPr>
              <w:pStyle w:val="TableTextBold"/>
              <w:keepNext/>
              <w:spacing w:before="40" w:after="40"/>
              <w:jc w:val="right"/>
              <w:rPr>
                <w:noProof w:val="0"/>
                <w:color w:val="FFFFFF" w:themeColor="background1"/>
              </w:rPr>
            </w:pPr>
            <w:r w:rsidRPr="001D5327">
              <w:rPr>
                <w:noProof w:val="0"/>
                <w:color w:val="FFFFFF" w:themeColor="background1"/>
              </w:rPr>
              <w:t>Growing pigs N</w:t>
            </w:r>
            <w:r w:rsidRPr="001D5327">
              <w:rPr>
                <w:noProof w:val="0"/>
                <w:color w:val="FFFFFF" w:themeColor="background1"/>
                <w:vertAlign w:val="subscript"/>
              </w:rPr>
              <w:t>ex</w:t>
            </w:r>
            <w:r w:rsidRPr="001D5327">
              <w:rPr>
                <w:noProof w:val="0"/>
                <w:color w:val="FFFFFF" w:themeColor="background1"/>
              </w:rPr>
              <w:t xml:space="preserve"> (kg/head/year)</w:t>
            </w:r>
          </w:p>
        </w:tc>
        <w:tc>
          <w:tcPr>
            <w:tcW w:w="1500" w:type="pct"/>
            <w:tcBorders>
              <w:left w:val="nil"/>
              <w:right w:val="nil"/>
            </w:tcBorders>
            <w:shd w:val="clear" w:color="auto" w:fill="1B556B"/>
            <w:noWrap/>
            <w:vAlign w:val="bottom"/>
          </w:tcPr>
          <w:p w14:paraId="3A2B636F" w14:textId="77777777" w:rsidR="00590FE1" w:rsidRPr="001D5327" w:rsidRDefault="00590FE1" w:rsidP="00403787">
            <w:pPr>
              <w:pStyle w:val="TableTextBold"/>
              <w:keepNext/>
              <w:spacing w:before="40" w:after="40"/>
              <w:jc w:val="right"/>
              <w:rPr>
                <w:noProof w:val="0"/>
                <w:color w:val="FFFFFF" w:themeColor="background1"/>
              </w:rPr>
            </w:pPr>
            <w:r w:rsidRPr="001D5327">
              <w:rPr>
                <w:noProof w:val="0"/>
                <w:color w:val="FFFFFF" w:themeColor="background1"/>
              </w:rPr>
              <w:t>Breeding pigs N</w:t>
            </w:r>
            <w:r w:rsidRPr="001D5327">
              <w:rPr>
                <w:noProof w:val="0"/>
                <w:color w:val="FFFFFF" w:themeColor="background1"/>
                <w:vertAlign w:val="subscript"/>
              </w:rPr>
              <w:t>ex</w:t>
            </w:r>
            <w:r w:rsidRPr="001D5327">
              <w:rPr>
                <w:noProof w:val="0"/>
                <w:color w:val="FFFFFF" w:themeColor="background1"/>
              </w:rPr>
              <w:t xml:space="preserve"> (kg/head/year)</w:t>
            </w:r>
          </w:p>
        </w:tc>
      </w:tr>
      <w:tr w:rsidR="00590FE1" w:rsidRPr="001D5327" w14:paraId="42A927FB" w14:textId="77777777" w:rsidTr="00403787">
        <w:tc>
          <w:tcPr>
            <w:tcW w:w="632" w:type="pct"/>
            <w:tcBorders>
              <w:left w:val="nil"/>
            </w:tcBorders>
            <w:shd w:val="clear" w:color="auto" w:fill="auto"/>
            <w:noWrap/>
          </w:tcPr>
          <w:p w14:paraId="6656040F" w14:textId="77777777" w:rsidR="00590FE1" w:rsidRPr="001D5327" w:rsidRDefault="00590FE1" w:rsidP="00403787">
            <w:pPr>
              <w:pStyle w:val="TableText"/>
              <w:keepNext/>
              <w:spacing w:before="40" w:after="40"/>
            </w:pPr>
            <w:r w:rsidRPr="001D5327">
              <w:t>1990</w:t>
            </w:r>
          </w:p>
        </w:tc>
        <w:tc>
          <w:tcPr>
            <w:tcW w:w="1430" w:type="pct"/>
            <w:shd w:val="clear" w:color="auto" w:fill="auto"/>
            <w:noWrap/>
            <w:vAlign w:val="bottom"/>
          </w:tcPr>
          <w:p w14:paraId="0CE690F7"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rPr>
                <w:rFonts w:asciiTheme="minorHAnsi" w:hAnsiTheme="minorHAnsi" w:cstheme="minorHAnsi"/>
                <w:color w:val="000000"/>
                <w:szCs w:val="16"/>
              </w:rPr>
              <w:t>10.6</w:t>
            </w:r>
          </w:p>
        </w:tc>
        <w:tc>
          <w:tcPr>
            <w:tcW w:w="1439" w:type="pct"/>
            <w:vAlign w:val="bottom"/>
          </w:tcPr>
          <w:p w14:paraId="0453FB39"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rPr>
                <w:rFonts w:asciiTheme="minorHAnsi" w:hAnsiTheme="minorHAnsi" w:cstheme="minorHAnsi"/>
                <w:color w:val="000000"/>
                <w:szCs w:val="16"/>
              </w:rPr>
              <w:t>4.6</w:t>
            </w:r>
          </w:p>
        </w:tc>
        <w:tc>
          <w:tcPr>
            <w:tcW w:w="1500" w:type="pct"/>
            <w:tcBorders>
              <w:right w:val="single" w:sz="4" w:space="0" w:color="1B556B" w:themeColor="text2"/>
            </w:tcBorders>
            <w:shd w:val="clear" w:color="auto" w:fill="auto"/>
            <w:noWrap/>
            <w:vAlign w:val="bottom"/>
          </w:tcPr>
          <w:p w14:paraId="24D9629F"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rPr>
                <w:rFonts w:asciiTheme="minorHAnsi" w:hAnsiTheme="minorHAnsi" w:cstheme="minorHAnsi"/>
                <w:color w:val="000000"/>
                <w:szCs w:val="16"/>
              </w:rPr>
              <w:t>23.9</w:t>
            </w:r>
          </w:p>
        </w:tc>
      </w:tr>
      <w:tr w:rsidR="00590FE1" w:rsidRPr="001D5327" w14:paraId="3F0875F3" w14:textId="77777777" w:rsidTr="00403787">
        <w:tc>
          <w:tcPr>
            <w:tcW w:w="632" w:type="pct"/>
            <w:tcBorders>
              <w:left w:val="nil"/>
            </w:tcBorders>
            <w:shd w:val="clear" w:color="auto" w:fill="auto"/>
            <w:noWrap/>
          </w:tcPr>
          <w:p w14:paraId="6E6FA731" w14:textId="77777777" w:rsidR="00590FE1" w:rsidRPr="001D5327" w:rsidRDefault="00590FE1" w:rsidP="00403787">
            <w:pPr>
              <w:pStyle w:val="TableText"/>
              <w:spacing w:before="40" w:after="40"/>
              <w:rPr>
                <w:rFonts w:cs="Calibri"/>
              </w:rPr>
            </w:pPr>
            <w:r w:rsidRPr="001D5327">
              <w:rPr>
                <w:rFonts w:cs="Calibri"/>
              </w:rPr>
              <w:t>1995</w:t>
            </w:r>
          </w:p>
        </w:tc>
        <w:tc>
          <w:tcPr>
            <w:tcW w:w="1430" w:type="pct"/>
            <w:shd w:val="clear" w:color="auto" w:fill="auto"/>
            <w:noWrap/>
            <w:vAlign w:val="bottom"/>
          </w:tcPr>
          <w:p w14:paraId="4C6DE8ED" w14:textId="77777777" w:rsidR="00590FE1" w:rsidRPr="001D5327" w:rsidRDefault="00590FE1" w:rsidP="00403787">
            <w:pPr>
              <w:pStyle w:val="TableText"/>
              <w:spacing w:before="40" w:after="40"/>
              <w:jc w:val="right"/>
              <w:rPr>
                <w:rFonts w:asciiTheme="minorHAnsi" w:hAnsiTheme="minorHAnsi" w:cstheme="minorHAnsi"/>
                <w:szCs w:val="16"/>
              </w:rPr>
            </w:pPr>
            <w:r w:rsidRPr="001D5327">
              <w:rPr>
                <w:rFonts w:asciiTheme="minorHAnsi" w:hAnsiTheme="minorHAnsi" w:cstheme="minorHAnsi"/>
                <w:color w:val="000000"/>
                <w:szCs w:val="16"/>
              </w:rPr>
              <w:t>11.0</w:t>
            </w:r>
          </w:p>
        </w:tc>
        <w:tc>
          <w:tcPr>
            <w:tcW w:w="1439" w:type="pct"/>
            <w:vAlign w:val="bottom"/>
          </w:tcPr>
          <w:p w14:paraId="2F8DBC1E" w14:textId="77777777" w:rsidR="00590FE1" w:rsidRPr="001D5327" w:rsidRDefault="00590FE1" w:rsidP="00403787">
            <w:pPr>
              <w:pStyle w:val="TableText"/>
              <w:spacing w:before="40" w:after="40"/>
              <w:jc w:val="right"/>
              <w:rPr>
                <w:rFonts w:asciiTheme="minorHAnsi" w:hAnsiTheme="minorHAnsi" w:cstheme="minorHAnsi"/>
                <w:szCs w:val="16"/>
              </w:rPr>
            </w:pPr>
            <w:r w:rsidRPr="001D5327">
              <w:rPr>
                <w:rFonts w:asciiTheme="minorHAnsi" w:hAnsiTheme="minorHAnsi" w:cstheme="minorHAnsi"/>
                <w:color w:val="000000"/>
                <w:szCs w:val="16"/>
              </w:rPr>
              <w:t>5.0</w:t>
            </w:r>
          </w:p>
        </w:tc>
        <w:tc>
          <w:tcPr>
            <w:tcW w:w="1500" w:type="pct"/>
            <w:tcBorders>
              <w:right w:val="single" w:sz="4" w:space="0" w:color="1B556B" w:themeColor="text2"/>
            </w:tcBorders>
            <w:shd w:val="clear" w:color="auto" w:fill="auto"/>
            <w:noWrap/>
            <w:vAlign w:val="bottom"/>
          </w:tcPr>
          <w:p w14:paraId="6B769394" w14:textId="77777777" w:rsidR="00590FE1" w:rsidRPr="001D5327" w:rsidRDefault="00590FE1" w:rsidP="00403787">
            <w:pPr>
              <w:pStyle w:val="TableText"/>
              <w:spacing w:before="40" w:after="40"/>
              <w:jc w:val="right"/>
              <w:rPr>
                <w:rFonts w:asciiTheme="minorHAnsi" w:hAnsiTheme="minorHAnsi" w:cstheme="minorHAnsi"/>
                <w:szCs w:val="16"/>
              </w:rPr>
            </w:pPr>
            <w:r w:rsidRPr="001D5327">
              <w:rPr>
                <w:rFonts w:asciiTheme="minorHAnsi" w:hAnsiTheme="minorHAnsi" w:cstheme="minorHAnsi"/>
                <w:color w:val="000000"/>
                <w:szCs w:val="16"/>
              </w:rPr>
              <w:t>22.8</w:t>
            </w:r>
          </w:p>
        </w:tc>
      </w:tr>
      <w:tr w:rsidR="00590FE1" w:rsidRPr="001D5327" w14:paraId="2F84A2B4" w14:textId="77777777" w:rsidTr="00403787">
        <w:tc>
          <w:tcPr>
            <w:tcW w:w="632" w:type="pct"/>
            <w:tcBorders>
              <w:left w:val="nil"/>
            </w:tcBorders>
            <w:shd w:val="clear" w:color="auto" w:fill="auto"/>
            <w:noWrap/>
          </w:tcPr>
          <w:p w14:paraId="42A1B562" w14:textId="77777777" w:rsidR="00590FE1" w:rsidRPr="001D5327" w:rsidRDefault="00590FE1" w:rsidP="00403787">
            <w:pPr>
              <w:pStyle w:val="TableText"/>
              <w:spacing w:before="40" w:after="40"/>
              <w:rPr>
                <w:rFonts w:cs="Calibri"/>
              </w:rPr>
            </w:pPr>
            <w:r w:rsidRPr="001D5327">
              <w:rPr>
                <w:rFonts w:cs="Calibri"/>
              </w:rPr>
              <w:t>2000</w:t>
            </w:r>
          </w:p>
        </w:tc>
        <w:tc>
          <w:tcPr>
            <w:tcW w:w="1430" w:type="pct"/>
            <w:shd w:val="clear" w:color="auto" w:fill="auto"/>
            <w:noWrap/>
            <w:vAlign w:val="bottom"/>
          </w:tcPr>
          <w:p w14:paraId="50B83CBA" w14:textId="77777777" w:rsidR="00590FE1" w:rsidRPr="001D5327" w:rsidRDefault="00590FE1" w:rsidP="00403787">
            <w:pPr>
              <w:pStyle w:val="TableText"/>
              <w:spacing w:before="40" w:after="40"/>
              <w:jc w:val="right"/>
              <w:rPr>
                <w:rFonts w:asciiTheme="minorHAnsi" w:hAnsiTheme="minorHAnsi" w:cstheme="minorHAnsi"/>
                <w:szCs w:val="16"/>
              </w:rPr>
            </w:pPr>
            <w:r w:rsidRPr="001D5327">
              <w:rPr>
                <w:rFonts w:asciiTheme="minorHAnsi" w:hAnsiTheme="minorHAnsi" w:cstheme="minorHAnsi"/>
                <w:color w:val="000000"/>
                <w:szCs w:val="16"/>
              </w:rPr>
              <w:t>11.4</w:t>
            </w:r>
          </w:p>
        </w:tc>
        <w:tc>
          <w:tcPr>
            <w:tcW w:w="1439" w:type="pct"/>
            <w:vAlign w:val="bottom"/>
          </w:tcPr>
          <w:p w14:paraId="46FE9A64" w14:textId="77777777" w:rsidR="00590FE1" w:rsidRPr="001D5327" w:rsidRDefault="00590FE1" w:rsidP="00403787">
            <w:pPr>
              <w:pStyle w:val="TableText"/>
              <w:spacing w:before="40" w:after="40"/>
              <w:jc w:val="right"/>
              <w:rPr>
                <w:rFonts w:asciiTheme="minorHAnsi" w:hAnsiTheme="minorHAnsi" w:cstheme="minorHAnsi"/>
                <w:szCs w:val="16"/>
              </w:rPr>
            </w:pPr>
            <w:r w:rsidRPr="001D5327">
              <w:rPr>
                <w:rFonts w:asciiTheme="minorHAnsi" w:hAnsiTheme="minorHAnsi" w:cstheme="minorHAnsi"/>
                <w:color w:val="000000"/>
                <w:szCs w:val="16"/>
              </w:rPr>
              <w:t>5.3</w:t>
            </w:r>
          </w:p>
        </w:tc>
        <w:tc>
          <w:tcPr>
            <w:tcW w:w="1500" w:type="pct"/>
            <w:tcBorders>
              <w:right w:val="single" w:sz="4" w:space="0" w:color="1B556B" w:themeColor="text2"/>
            </w:tcBorders>
            <w:shd w:val="clear" w:color="auto" w:fill="auto"/>
            <w:noWrap/>
            <w:vAlign w:val="bottom"/>
          </w:tcPr>
          <w:p w14:paraId="3075BA9B" w14:textId="77777777" w:rsidR="00590FE1" w:rsidRPr="001D5327" w:rsidRDefault="00590FE1" w:rsidP="00403787">
            <w:pPr>
              <w:pStyle w:val="TableText"/>
              <w:spacing w:before="40" w:after="40"/>
              <w:jc w:val="right"/>
              <w:rPr>
                <w:rFonts w:asciiTheme="minorHAnsi" w:hAnsiTheme="minorHAnsi" w:cstheme="minorHAnsi"/>
                <w:szCs w:val="16"/>
              </w:rPr>
            </w:pPr>
            <w:r w:rsidRPr="001D5327">
              <w:rPr>
                <w:rFonts w:asciiTheme="minorHAnsi" w:hAnsiTheme="minorHAnsi" w:cstheme="minorHAnsi"/>
                <w:color w:val="000000"/>
                <w:szCs w:val="16"/>
              </w:rPr>
              <w:t>23.5</w:t>
            </w:r>
          </w:p>
        </w:tc>
      </w:tr>
      <w:tr w:rsidR="00590FE1" w:rsidRPr="001D5327" w14:paraId="56A7683A" w14:textId="77777777" w:rsidTr="00403787">
        <w:tc>
          <w:tcPr>
            <w:tcW w:w="632" w:type="pct"/>
            <w:tcBorders>
              <w:left w:val="nil"/>
            </w:tcBorders>
            <w:shd w:val="clear" w:color="auto" w:fill="auto"/>
            <w:noWrap/>
          </w:tcPr>
          <w:p w14:paraId="0E62976E" w14:textId="77777777" w:rsidR="00590FE1" w:rsidRPr="001D5327" w:rsidRDefault="00590FE1" w:rsidP="00403787">
            <w:pPr>
              <w:pStyle w:val="TableText"/>
              <w:spacing w:before="40" w:after="40"/>
              <w:rPr>
                <w:rFonts w:cs="Calibri"/>
              </w:rPr>
            </w:pPr>
            <w:r w:rsidRPr="001D5327">
              <w:t>2005</w:t>
            </w:r>
          </w:p>
        </w:tc>
        <w:tc>
          <w:tcPr>
            <w:tcW w:w="1430" w:type="pct"/>
            <w:shd w:val="clear" w:color="auto" w:fill="auto"/>
            <w:noWrap/>
            <w:vAlign w:val="bottom"/>
          </w:tcPr>
          <w:p w14:paraId="775807BC" w14:textId="77777777" w:rsidR="00590FE1" w:rsidRPr="001D5327" w:rsidRDefault="00590FE1" w:rsidP="00403787">
            <w:pPr>
              <w:pStyle w:val="TableText"/>
              <w:spacing w:before="40" w:after="40"/>
              <w:jc w:val="right"/>
              <w:rPr>
                <w:rFonts w:asciiTheme="minorHAnsi" w:hAnsiTheme="minorHAnsi" w:cstheme="minorHAnsi"/>
                <w:szCs w:val="16"/>
              </w:rPr>
            </w:pPr>
            <w:r w:rsidRPr="001D5327">
              <w:rPr>
                <w:rFonts w:asciiTheme="minorHAnsi" w:hAnsiTheme="minorHAnsi" w:cstheme="minorHAnsi"/>
                <w:color w:val="000000"/>
                <w:szCs w:val="16"/>
              </w:rPr>
              <w:t>11.8</w:t>
            </w:r>
          </w:p>
        </w:tc>
        <w:tc>
          <w:tcPr>
            <w:tcW w:w="1439" w:type="pct"/>
            <w:vAlign w:val="bottom"/>
          </w:tcPr>
          <w:p w14:paraId="072DC105" w14:textId="77777777" w:rsidR="00590FE1" w:rsidRPr="001D5327" w:rsidRDefault="00590FE1" w:rsidP="00403787">
            <w:pPr>
              <w:pStyle w:val="TableText"/>
              <w:spacing w:before="40" w:after="40"/>
              <w:jc w:val="right"/>
              <w:rPr>
                <w:rFonts w:asciiTheme="minorHAnsi" w:hAnsiTheme="minorHAnsi" w:cstheme="minorHAnsi"/>
                <w:szCs w:val="16"/>
              </w:rPr>
            </w:pPr>
            <w:r w:rsidRPr="001D5327">
              <w:rPr>
                <w:rFonts w:asciiTheme="minorHAnsi" w:hAnsiTheme="minorHAnsi" w:cstheme="minorHAnsi"/>
                <w:color w:val="000000"/>
                <w:szCs w:val="16"/>
              </w:rPr>
              <w:t>5.5</w:t>
            </w:r>
          </w:p>
        </w:tc>
        <w:tc>
          <w:tcPr>
            <w:tcW w:w="1500" w:type="pct"/>
            <w:tcBorders>
              <w:right w:val="single" w:sz="4" w:space="0" w:color="1B556B" w:themeColor="text2"/>
            </w:tcBorders>
            <w:shd w:val="clear" w:color="auto" w:fill="auto"/>
            <w:noWrap/>
            <w:vAlign w:val="bottom"/>
          </w:tcPr>
          <w:p w14:paraId="01528AE7" w14:textId="77777777" w:rsidR="00590FE1" w:rsidRPr="001D5327" w:rsidRDefault="00590FE1" w:rsidP="00403787">
            <w:pPr>
              <w:pStyle w:val="TableText"/>
              <w:spacing w:before="40" w:after="40"/>
              <w:jc w:val="right"/>
              <w:rPr>
                <w:rFonts w:asciiTheme="minorHAnsi" w:hAnsiTheme="minorHAnsi" w:cstheme="minorHAnsi"/>
                <w:szCs w:val="16"/>
              </w:rPr>
            </w:pPr>
            <w:r w:rsidRPr="001D5327">
              <w:rPr>
                <w:rFonts w:asciiTheme="minorHAnsi" w:hAnsiTheme="minorHAnsi" w:cstheme="minorHAnsi"/>
                <w:color w:val="000000"/>
                <w:szCs w:val="16"/>
              </w:rPr>
              <w:t>25.5</w:t>
            </w:r>
          </w:p>
        </w:tc>
      </w:tr>
      <w:tr w:rsidR="00590FE1" w:rsidRPr="001D5327" w14:paraId="66235D5C" w14:textId="77777777" w:rsidTr="00403787">
        <w:tc>
          <w:tcPr>
            <w:tcW w:w="632" w:type="pct"/>
            <w:tcBorders>
              <w:left w:val="nil"/>
            </w:tcBorders>
            <w:shd w:val="clear" w:color="auto" w:fill="auto"/>
            <w:noWrap/>
            <w:vAlign w:val="bottom"/>
          </w:tcPr>
          <w:p w14:paraId="6F566EA2" w14:textId="77777777" w:rsidR="00590FE1" w:rsidRPr="001D5327" w:rsidRDefault="00590FE1" w:rsidP="00403787">
            <w:pPr>
              <w:pStyle w:val="TableText"/>
              <w:spacing w:before="40" w:after="40"/>
              <w:rPr>
                <w:szCs w:val="16"/>
              </w:rPr>
            </w:pPr>
            <w:r w:rsidRPr="001D5327">
              <w:rPr>
                <w:rFonts w:cs="Calibri"/>
                <w:color w:val="000000"/>
                <w:szCs w:val="16"/>
              </w:rPr>
              <w:t>2010</w:t>
            </w:r>
          </w:p>
        </w:tc>
        <w:tc>
          <w:tcPr>
            <w:tcW w:w="1430" w:type="pct"/>
            <w:shd w:val="clear" w:color="auto" w:fill="auto"/>
            <w:noWrap/>
            <w:vAlign w:val="bottom"/>
          </w:tcPr>
          <w:p w14:paraId="61DF21EE"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rPr>
                <w:rFonts w:asciiTheme="minorHAnsi" w:hAnsiTheme="minorHAnsi" w:cstheme="minorHAnsi"/>
                <w:color w:val="000000"/>
                <w:szCs w:val="16"/>
              </w:rPr>
              <w:t>12.2</w:t>
            </w:r>
          </w:p>
        </w:tc>
        <w:tc>
          <w:tcPr>
            <w:tcW w:w="1439" w:type="pct"/>
            <w:vAlign w:val="bottom"/>
          </w:tcPr>
          <w:p w14:paraId="482582A6"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rPr>
                <w:rFonts w:asciiTheme="minorHAnsi" w:hAnsiTheme="minorHAnsi" w:cstheme="minorHAnsi"/>
                <w:color w:val="000000"/>
                <w:szCs w:val="16"/>
              </w:rPr>
              <w:t>5.6</w:t>
            </w:r>
          </w:p>
        </w:tc>
        <w:tc>
          <w:tcPr>
            <w:tcW w:w="1500" w:type="pct"/>
            <w:tcBorders>
              <w:right w:val="single" w:sz="4" w:space="0" w:color="1B556B" w:themeColor="text2"/>
            </w:tcBorders>
            <w:shd w:val="clear" w:color="auto" w:fill="auto"/>
            <w:noWrap/>
            <w:vAlign w:val="bottom"/>
          </w:tcPr>
          <w:p w14:paraId="6211F651"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rPr>
                <w:rFonts w:asciiTheme="minorHAnsi" w:hAnsiTheme="minorHAnsi" w:cstheme="minorHAnsi"/>
                <w:color w:val="000000"/>
                <w:szCs w:val="16"/>
              </w:rPr>
              <w:t>28.4</w:t>
            </w:r>
          </w:p>
        </w:tc>
      </w:tr>
      <w:tr w:rsidR="00590FE1" w:rsidRPr="001D5327" w14:paraId="08CB1E3C" w14:textId="77777777" w:rsidTr="00403787">
        <w:tc>
          <w:tcPr>
            <w:tcW w:w="632" w:type="pct"/>
            <w:tcBorders>
              <w:left w:val="nil"/>
            </w:tcBorders>
            <w:shd w:val="clear" w:color="auto" w:fill="auto"/>
            <w:noWrap/>
            <w:vAlign w:val="bottom"/>
          </w:tcPr>
          <w:p w14:paraId="75C18DC0" w14:textId="77777777" w:rsidR="00590FE1" w:rsidRPr="001D5327" w:rsidRDefault="00590FE1" w:rsidP="00403787">
            <w:pPr>
              <w:pStyle w:val="TableText"/>
              <w:spacing w:before="40" w:after="40"/>
              <w:rPr>
                <w:szCs w:val="16"/>
              </w:rPr>
            </w:pPr>
            <w:r w:rsidRPr="001D5327">
              <w:rPr>
                <w:rFonts w:cs="Calibri"/>
                <w:color w:val="000000"/>
                <w:szCs w:val="16"/>
              </w:rPr>
              <w:t>2015</w:t>
            </w:r>
          </w:p>
        </w:tc>
        <w:tc>
          <w:tcPr>
            <w:tcW w:w="1430" w:type="pct"/>
            <w:shd w:val="clear" w:color="auto" w:fill="auto"/>
            <w:noWrap/>
            <w:vAlign w:val="bottom"/>
          </w:tcPr>
          <w:p w14:paraId="1D67FE35"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rPr>
                <w:rFonts w:asciiTheme="minorHAnsi" w:hAnsiTheme="minorHAnsi" w:cstheme="minorHAnsi"/>
                <w:color w:val="000000"/>
                <w:szCs w:val="16"/>
              </w:rPr>
              <w:t>12.6</w:t>
            </w:r>
          </w:p>
        </w:tc>
        <w:tc>
          <w:tcPr>
            <w:tcW w:w="1439" w:type="pct"/>
            <w:vAlign w:val="bottom"/>
          </w:tcPr>
          <w:p w14:paraId="398FE9AE"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rPr>
                <w:rFonts w:asciiTheme="minorHAnsi" w:hAnsiTheme="minorHAnsi" w:cstheme="minorHAnsi"/>
                <w:color w:val="000000"/>
                <w:szCs w:val="16"/>
              </w:rPr>
              <w:t>5.9</w:t>
            </w:r>
          </w:p>
        </w:tc>
        <w:tc>
          <w:tcPr>
            <w:tcW w:w="1500" w:type="pct"/>
            <w:tcBorders>
              <w:right w:val="single" w:sz="4" w:space="0" w:color="1B556B" w:themeColor="text2"/>
            </w:tcBorders>
            <w:shd w:val="clear" w:color="auto" w:fill="auto"/>
            <w:noWrap/>
            <w:vAlign w:val="bottom"/>
          </w:tcPr>
          <w:p w14:paraId="61049B6A"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rPr>
                <w:rFonts w:asciiTheme="minorHAnsi" w:hAnsiTheme="minorHAnsi" w:cstheme="minorHAnsi"/>
                <w:color w:val="000000"/>
                <w:szCs w:val="16"/>
              </w:rPr>
              <w:t>28.5</w:t>
            </w:r>
          </w:p>
        </w:tc>
      </w:tr>
      <w:tr w:rsidR="00590FE1" w:rsidRPr="001D5327" w14:paraId="201918B7" w14:textId="77777777" w:rsidTr="00403787">
        <w:tc>
          <w:tcPr>
            <w:tcW w:w="632" w:type="pct"/>
            <w:tcBorders>
              <w:left w:val="nil"/>
            </w:tcBorders>
            <w:shd w:val="clear" w:color="auto" w:fill="auto"/>
            <w:noWrap/>
            <w:vAlign w:val="bottom"/>
          </w:tcPr>
          <w:p w14:paraId="73538669" w14:textId="77777777" w:rsidR="00590FE1" w:rsidRPr="001D5327" w:rsidRDefault="00590FE1" w:rsidP="00403787">
            <w:pPr>
              <w:pStyle w:val="TableText"/>
              <w:spacing w:before="40" w:after="40"/>
              <w:rPr>
                <w:szCs w:val="16"/>
              </w:rPr>
            </w:pPr>
            <w:r w:rsidRPr="001D5327">
              <w:rPr>
                <w:rFonts w:cs="Calibri"/>
                <w:color w:val="000000"/>
                <w:szCs w:val="16"/>
              </w:rPr>
              <w:t>2020</w:t>
            </w:r>
          </w:p>
        </w:tc>
        <w:tc>
          <w:tcPr>
            <w:tcW w:w="1430" w:type="pct"/>
            <w:shd w:val="clear" w:color="auto" w:fill="auto"/>
            <w:noWrap/>
            <w:vAlign w:val="bottom"/>
          </w:tcPr>
          <w:p w14:paraId="66586733"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rPr>
                <w:rFonts w:asciiTheme="minorHAnsi" w:hAnsiTheme="minorHAnsi" w:cstheme="minorHAnsi"/>
                <w:color w:val="000000"/>
                <w:szCs w:val="16"/>
              </w:rPr>
              <w:t>12.7</w:t>
            </w:r>
          </w:p>
        </w:tc>
        <w:tc>
          <w:tcPr>
            <w:tcW w:w="1439" w:type="pct"/>
            <w:vAlign w:val="bottom"/>
          </w:tcPr>
          <w:p w14:paraId="687BEF82"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rPr>
                <w:rFonts w:asciiTheme="minorHAnsi" w:hAnsiTheme="minorHAnsi" w:cstheme="minorHAnsi"/>
                <w:color w:val="000000"/>
                <w:szCs w:val="16"/>
              </w:rPr>
              <w:t>5.9</w:t>
            </w:r>
          </w:p>
        </w:tc>
        <w:tc>
          <w:tcPr>
            <w:tcW w:w="1500" w:type="pct"/>
            <w:tcBorders>
              <w:right w:val="single" w:sz="4" w:space="0" w:color="1B556B" w:themeColor="text2"/>
            </w:tcBorders>
            <w:shd w:val="clear" w:color="auto" w:fill="auto"/>
            <w:noWrap/>
            <w:vAlign w:val="bottom"/>
          </w:tcPr>
          <w:p w14:paraId="75A04236"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rPr>
                <w:rFonts w:asciiTheme="minorHAnsi" w:hAnsiTheme="minorHAnsi" w:cstheme="minorHAnsi"/>
                <w:color w:val="000000"/>
                <w:szCs w:val="16"/>
              </w:rPr>
              <w:t>26.2</w:t>
            </w:r>
          </w:p>
        </w:tc>
      </w:tr>
      <w:tr w:rsidR="00590FE1" w:rsidRPr="001D5327" w14:paraId="545162F6" w14:textId="77777777" w:rsidTr="00403787">
        <w:tc>
          <w:tcPr>
            <w:tcW w:w="632" w:type="pct"/>
            <w:tcBorders>
              <w:left w:val="nil"/>
            </w:tcBorders>
            <w:shd w:val="clear" w:color="auto" w:fill="auto"/>
            <w:noWrap/>
            <w:vAlign w:val="bottom"/>
          </w:tcPr>
          <w:p w14:paraId="7DD5EB22" w14:textId="77777777" w:rsidR="00590FE1" w:rsidRPr="001D5327" w:rsidRDefault="00590FE1" w:rsidP="00403787">
            <w:pPr>
              <w:pStyle w:val="TableText"/>
              <w:spacing w:before="40" w:after="40"/>
              <w:rPr>
                <w:szCs w:val="16"/>
              </w:rPr>
            </w:pPr>
            <w:r w:rsidRPr="001D5327">
              <w:rPr>
                <w:rFonts w:cs="Calibri"/>
                <w:color w:val="000000"/>
                <w:szCs w:val="16"/>
              </w:rPr>
              <w:t>2022</w:t>
            </w:r>
          </w:p>
        </w:tc>
        <w:tc>
          <w:tcPr>
            <w:tcW w:w="1430" w:type="pct"/>
            <w:shd w:val="clear" w:color="auto" w:fill="auto"/>
            <w:noWrap/>
            <w:vAlign w:val="bottom"/>
          </w:tcPr>
          <w:p w14:paraId="12AA8292"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rPr>
                <w:rFonts w:asciiTheme="minorHAnsi" w:hAnsiTheme="minorHAnsi" w:cstheme="minorHAnsi"/>
                <w:color w:val="000000"/>
                <w:szCs w:val="16"/>
              </w:rPr>
              <w:t>12.7</w:t>
            </w:r>
          </w:p>
        </w:tc>
        <w:tc>
          <w:tcPr>
            <w:tcW w:w="1439" w:type="pct"/>
            <w:vAlign w:val="bottom"/>
          </w:tcPr>
          <w:p w14:paraId="325FE166"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rPr>
                <w:rFonts w:asciiTheme="minorHAnsi" w:hAnsiTheme="minorHAnsi" w:cstheme="minorHAnsi"/>
                <w:color w:val="000000"/>
                <w:szCs w:val="16"/>
              </w:rPr>
              <w:t>5.9</w:t>
            </w:r>
          </w:p>
        </w:tc>
        <w:tc>
          <w:tcPr>
            <w:tcW w:w="1500" w:type="pct"/>
            <w:tcBorders>
              <w:right w:val="single" w:sz="4" w:space="0" w:color="1B556B" w:themeColor="text2"/>
            </w:tcBorders>
            <w:shd w:val="clear" w:color="auto" w:fill="auto"/>
            <w:noWrap/>
            <w:vAlign w:val="bottom"/>
          </w:tcPr>
          <w:p w14:paraId="2356CF09"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rPr>
                <w:rFonts w:asciiTheme="minorHAnsi" w:hAnsiTheme="minorHAnsi" w:cstheme="minorHAnsi"/>
                <w:color w:val="000000"/>
                <w:szCs w:val="16"/>
              </w:rPr>
              <w:t>24.3</w:t>
            </w:r>
          </w:p>
        </w:tc>
      </w:tr>
      <w:tr w:rsidR="00590FE1" w:rsidRPr="001D5327" w14:paraId="55F512DB" w14:textId="77777777" w:rsidTr="00403787">
        <w:tc>
          <w:tcPr>
            <w:tcW w:w="632" w:type="pct"/>
            <w:tcBorders>
              <w:left w:val="nil"/>
            </w:tcBorders>
            <w:shd w:val="clear" w:color="auto" w:fill="auto"/>
            <w:noWrap/>
            <w:vAlign w:val="bottom"/>
          </w:tcPr>
          <w:p w14:paraId="514E5746" w14:textId="77777777" w:rsidR="00590FE1" w:rsidRPr="001D5327" w:rsidRDefault="00590FE1" w:rsidP="00403787">
            <w:pPr>
              <w:pStyle w:val="TableText"/>
              <w:spacing w:before="40" w:after="40"/>
              <w:rPr>
                <w:szCs w:val="16"/>
              </w:rPr>
            </w:pPr>
            <w:r w:rsidRPr="001D5327">
              <w:rPr>
                <w:rFonts w:cs="Calibri"/>
                <w:color w:val="000000"/>
                <w:szCs w:val="16"/>
              </w:rPr>
              <w:t>2023</w:t>
            </w:r>
          </w:p>
        </w:tc>
        <w:tc>
          <w:tcPr>
            <w:tcW w:w="1430" w:type="pct"/>
            <w:shd w:val="clear" w:color="auto" w:fill="auto"/>
            <w:noWrap/>
            <w:vAlign w:val="bottom"/>
          </w:tcPr>
          <w:p w14:paraId="45770573"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rPr>
                <w:rFonts w:asciiTheme="minorHAnsi" w:hAnsiTheme="minorHAnsi" w:cstheme="minorHAnsi"/>
                <w:color w:val="000000"/>
                <w:szCs w:val="16"/>
              </w:rPr>
              <w:t>12.7</w:t>
            </w:r>
          </w:p>
        </w:tc>
        <w:tc>
          <w:tcPr>
            <w:tcW w:w="1439" w:type="pct"/>
            <w:vAlign w:val="bottom"/>
          </w:tcPr>
          <w:p w14:paraId="0218F1A3"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rPr>
                <w:rFonts w:asciiTheme="minorHAnsi" w:hAnsiTheme="minorHAnsi" w:cstheme="minorHAnsi"/>
                <w:color w:val="000000"/>
                <w:szCs w:val="16"/>
              </w:rPr>
              <w:t>5.9</w:t>
            </w:r>
          </w:p>
        </w:tc>
        <w:tc>
          <w:tcPr>
            <w:tcW w:w="1500" w:type="pct"/>
            <w:tcBorders>
              <w:right w:val="single" w:sz="4" w:space="0" w:color="1B556B" w:themeColor="text2"/>
            </w:tcBorders>
            <w:shd w:val="clear" w:color="auto" w:fill="auto"/>
            <w:noWrap/>
            <w:vAlign w:val="bottom"/>
          </w:tcPr>
          <w:p w14:paraId="11FA9A10" w14:textId="77777777" w:rsidR="00590FE1" w:rsidRPr="001D5327" w:rsidRDefault="00590FE1" w:rsidP="00403787">
            <w:pPr>
              <w:pStyle w:val="TableText"/>
              <w:spacing w:before="40" w:after="40"/>
              <w:jc w:val="right"/>
              <w:rPr>
                <w:rFonts w:asciiTheme="minorHAnsi" w:hAnsiTheme="minorHAnsi" w:cstheme="minorHAnsi"/>
                <w:color w:val="000000"/>
                <w:szCs w:val="16"/>
              </w:rPr>
            </w:pPr>
            <w:r w:rsidRPr="001D5327">
              <w:rPr>
                <w:rFonts w:asciiTheme="minorHAnsi" w:hAnsiTheme="minorHAnsi" w:cstheme="minorHAnsi"/>
                <w:color w:val="000000"/>
                <w:szCs w:val="16"/>
              </w:rPr>
              <w:t>26.1</w:t>
            </w:r>
          </w:p>
        </w:tc>
      </w:tr>
    </w:tbl>
    <w:p w14:paraId="35E1517F" w14:textId="77777777" w:rsidR="00590FE1" w:rsidRPr="001D5327" w:rsidRDefault="00590FE1" w:rsidP="00590FE1">
      <w:pPr>
        <w:pStyle w:val="Heading5"/>
      </w:pPr>
      <w:r w:rsidRPr="001D5327">
        <w:lastRenderedPageBreak/>
        <w:t xml:space="preserve">Direct nitrous oxide emissions from manure management </w:t>
      </w:r>
    </w:p>
    <w:p w14:paraId="20004B3B" w14:textId="272C13A6" w:rsidR="00590FE1" w:rsidRPr="001D5327" w:rsidRDefault="00590FE1" w:rsidP="00590FE1">
      <w:pPr>
        <w:pStyle w:val="BodyText"/>
        <w:spacing w:before="80"/>
      </w:pPr>
      <w:r w:rsidRPr="001D5327">
        <w:rPr>
          <w:b/>
          <w:bCs/>
        </w:rPr>
        <w:t>Major livestock categories:</w:t>
      </w:r>
      <w:r w:rsidRPr="001D5327">
        <w:t xml:space="preserve"> For the major livestock categories (</w:t>
      </w:r>
      <w:r w:rsidRPr="001D5327">
        <w:rPr>
          <w:i/>
          <w:iCs/>
        </w:rPr>
        <w:t>Dairy cattle</w:t>
      </w:r>
      <w:r w:rsidRPr="001D5327">
        <w:t xml:space="preserve">, </w:t>
      </w:r>
      <w:r w:rsidRPr="001D5327">
        <w:rPr>
          <w:i/>
          <w:iCs/>
        </w:rPr>
        <w:t>Non-dairy cattle</w:t>
      </w:r>
      <w:r w:rsidRPr="001D5327">
        <w:t xml:space="preserve">, </w:t>
      </w:r>
      <w:r w:rsidRPr="001D5327">
        <w:rPr>
          <w:i/>
          <w:iCs/>
        </w:rPr>
        <w:t>Sheep</w:t>
      </w:r>
      <w:r w:rsidRPr="001D5327">
        <w:t xml:space="preserve"> and </w:t>
      </w:r>
      <w:r w:rsidRPr="001D5327">
        <w:rPr>
          <w:i/>
          <w:iCs/>
        </w:rPr>
        <w:t>Deer</w:t>
      </w:r>
      <w:r w:rsidRPr="001D5327">
        <w:t>), most manure is deposited directly onto pasture by grazing animals (see table</w:t>
      </w:r>
      <w:r w:rsidR="00A175FB" w:rsidRPr="001D5327">
        <w:t> </w:t>
      </w:r>
      <w:r w:rsidRPr="001D5327">
        <w:t>5.3.2). Direct and indirect N</w:t>
      </w:r>
      <w:r w:rsidRPr="001D5327">
        <w:rPr>
          <w:vertAlign w:val="subscript"/>
        </w:rPr>
        <w:t>2</w:t>
      </w:r>
      <w:r w:rsidRPr="001D5327">
        <w:t xml:space="preserve">O emissions from the manure deposited by grazing animals are reported in the </w:t>
      </w:r>
      <w:r w:rsidRPr="001D5327">
        <w:rPr>
          <w:i/>
          <w:iCs/>
        </w:rPr>
        <w:t>Agricultural soils</w:t>
      </w:r>
      <w:r w:rsidRPr="001D5327">
        <w:t xml:space="preserve"> category (</w:t>
      </w:r>
      <w:r w:rsidRPr="001D5327">
        <w:rPr>
          <w:i/>
          <w:iCs/>
        </w:rPr>
        <w:t xml:space="preserve">Urine and dung deposited by grazing animals </w:t>
      </w:r>
      <w:r w:rsidRPr="001D5327">
        <w:t xml:space="preserve">(3.D.1.3)). </w:t>
      </w:r>
    </w:p>
    <w:p w14:paraId="4652E4F5" w14:textId="77777777" w:rsidR="00590FE1" w:rsidRPr="001D5327" w:rsidRDefault="00590FE1" w:rsidP="00590FE1">
      <w:pPr>
        <w:pStyle w:val="BodyText"/>
      </w:pPr>
      <w:r w:rsidRPr="001D5327">
        <w:t>The remainder of dairy manure is managed in anaerobic lagoons. The 2006 IPCC Guidelines note that the production of emissions of direct N</w:t>
      </w:r>
      <w:r w:rsidRPr="001D5327">
        <w:rPr>
          <w:vertAlign w:val="subscript"/>
        </w:rPr>
        <w:t>2</w:t>
      </w:r>
      <w:r w:rsidRPr="001D5327">
        <w:t>O from managed manure requires aerobic conditions for the formation of oxidised forms of nitrogen but assumes that negligible direct N</w:t>
      </w:r>
      <w:r w:rsidRPr="001D5327">
        <w:rPr>
          <w:vertAlign w:val="subscript"/>
        </w:rPr>
        <w:t>2</w:t>
      </w:r>
      <w:r w:rsidRPr="001D5327">
        <w:t>O emissions occur during storage in anaerobic lagoons (IPCC, 2006, table 10.21). Direct N</w:t>
      </w:r>
      <w:r w:rsidRPr="001D5327">
        <w:rPr>
          <w:vertAlign w:val="subscript"/>
        </w:rPr>
        <w:t>2</w:t>
      </w:r>
      <w:r w:rsidRPr="001D5327">
        <w:t xml:space="preserve">O emissions from dairy effluent anaerobic lagoons are reported in the </w:t>
      </w:r>
      <w:r w:rsidRPr="001D5327">
        <w:rPr>
          <w:i/>
          <w:iCs/>
        </w:rPr>
        <w:t>Agricultural soils</w:t>
      </w:r>
      <w:r w:rsidRPr="001D5327">
        <w:t xml:space="preserve"> category (</w:t>
      </w:r>
      <w:r w:rsidRPr="001D5327">
        <w:rPr>
          <w:i/>
          <w:iCs/>
        </w:rPr>
        <w:t xml:space="preserve">Organic nitrogen fertilisers </w:t>
      </w:r>
      <w:r w:rsidRPr="001D5327">
        <w:t>(3.D.1.2)) when the stored effluent is spread onto agricultural land.</w:t>
      </w:r>
    </w:p>
    <w:p w14:paraId="752672A0" w14:textId="64805EF6" w:rsidR="00590FE1" w:rsidRPr="001D5327" w:rsidRDefault="00590FE1" w:rsidP="00590FE1">
      <w:pPr>
        <w:pStyle w:val="BodyText"/>
      </w:pPr>
      <w:r w:rsidRPr="001D5327">
        <w:t>A report by Rollo et al. (2017) found that only 8 per cent of dairy farms use land application of</w:t>
      </w:r>
      <w:r w:rsidR="00041936" w:rsidRPr="001D5327">
        <w:t> </w:t>
      </w:r>
      <w:r w:rsidRPr="001D5327">
        <w:t>manure. Manure is applied by direct pumping from a sump. In all cases, manure that was collected was stored for at least one or two days before spreading to pasture via irrigation. Therefore, it does not meet the IPCC definition of daily spread and the notation key ‘NO’ (not</w:t>
      </w:r>
      <w:r w:rsidR="00041936" w:rsidRPr="001D5327">
        <w:t> </w:t>
      </w:r>
      <w:r w:rsidRPr="001D5327">
        <w:t>occurring) is reported in 3.B(b) of the CRT.</w:t>
      </w:r>
    </w:p>
    <w:p w14:paraId="5F086C58" w14:textId="77777777" w:rsidR="00590FE1" w:rsidRPr="001D5327" w:rsidRDefault="00590FE1" w:rsidP="00590FE1">
      <w:pPr>
        <w:pStyle w:val="BodyText"/>
      </w:pPr>
      <w:r w:rsidRPr="001D5327">
        <w:rPr>
          <w:b/>
          <w:bCs/>
          <w:i/>
          <w:iCs/>
        </w:rPr>
        <w:t>Swine:</w:t>
      </w:r>
      <w:r w:rsidRPr="001D5327">
        <w:t xml:space="preserve"> Swine manure is managed under various types of waste management systems (see table 5.3.2). The 2006 IPCC Guidelines (table 10.21, IPCC, 2006) assume that negligible direct N</w:t>
      </w:r>
      <w:r w:rsidRPr="001D5327">
        <w:rPr>
          <w:vertAlign w:val="subscript"/>
        </w:rPr>
        <w:t>2</w:t>
      </w:r>
      <w:r w:rsidRPr="001D5327">
        <w:t xml:space="preserve">O emissions occur in anaerobic lagoons and daily spread. Nitrous oxide emissions from manure from these systems occur once the stored effluent is spread onto agricultural land and are reported in the </w:t>
      </w:r>
      <w:r w:rsidRPr="001D5327">
        <w:rPr>
          <w:i/>
          <w:iCs/>
        </w:rPr>
        <w:t>Agricultural soils</w:t>
      </w:r>
      <w:r w:rsidRPr="001D5327">
        <w:t xml:space="preserve"> category (</w:t>
      </w:r>
      <w:r w:rsidRPr="001D5327">
        <w:rPr>
          <w:i/>
          <w:iCs/>
        </w:rPr>
        <w:t xml:space="preserve">Organic nitrogen fertilisers </w:t>
      </w:r>
      <w:r w:rsidRPr="001D5327">
        <w:t>(3.D.1.2)). Nitrous oxide emissions from the manure management of swine are estimated using the IPCC (2019) default emission factors for direct N</w:t>
      </w:r>
      <w:r w:rsidRPr="001D5327">
        <w:rPr>
          <w:vertAlign w:val="subscript"/>
        </w:rPr>
        <w:t>2</w:t>
      </w:r>
      <w:r w:rsidRPr="001D5327">
        <w:t>O emission</w:t>
      </w:r>
      <w:r w:rsidRPr="001D5327">
        <w:rPr>
          <w:spacing w:val="-2"/>
        </w:rPr>
        <w:t>s from manure management (EF</w:t>
      </w:r>
      <w:r w:rsidRPr="001D5327">
        <w:rPr>
          <w:spacing w:val="-2"/>
          <w:vertAlign w:val="subscript"/>
        </w:rPr>
        <w:t>3</w:t>
      </w:r>
      <w:r w:rsidRPr="001D5327">
        <w:rPr>
          <w:spacing w:val="-2"/>
        </w:rPr>
        <w:t xml:space="preserve">) for each manure management system. </w:t>
      </w:r>
    </w:p>
    <w:p w14:paraId="61314E7F" w14:textId="77777777" w:rsidR="00590FE1" w:rsidRPr="001D5327" w:rsidRDefault="00590FE1" w:rsidP="00590FE1">
      <w:pPr>
        <w:pStyle w:val="BodyText"/>
      </w:pPr>
      <w:r w:rsidRPr="001D5327">
        <w:rPr>
          <w:b/>
          <w:bCs/>
          <w:i/>
          <w:iCs/>
        </w:rPr>
        <w:t>Poultry</w:t>
      </w:r>
      <w:r w:rsidRPr="001D5327">
        <w:rPr>
          <w:i/>
          <w:iCs/>
        </w:rPr>
        <w:t>:</w:t>
      </w:r>
      <w:r w:rsidRPr="001D5327">
        <w:t xml:space="preserve"> Direct N</w:t>
      </w:r>
      <w:r w:rsidRPr="001D5327">
        <w:rPr>
          <w:vertAlign w:val="subscript"/>
        </w:rPr>
        <w:t>2</w:t>
      </w:r>
      <w:r w:rsidRPr="001D5327">
        <w:t xml:space="preserve">O emissions from poultry manure deposited directly on pasture are reported in the </w:t>
      </w:r>
      <w:r w:rsidRPr="001D5327">
        <w:rPr>
          <w:i/>
          <w:iCs/>
        </w:rPr>
        <w:t>Agricultural soils</w:t>
      </w:r>
      <w:r w:rsidRPr="001D5327">
        <w:t xml:space="preserve"> category (</w:t>
      </w:r>
      <w:r w:rsidRPr="001D5327">
        <w:rPr>
          <w:i/>
          <w:iCs/>
        </w:rPr>
        <w:t>Urine and dung deposited by grazing animals</w:t>
      </w:r>
      <w:r w:rsidRPr="001D5327">
        <w:t xml:space="preserve"> (3.D.1.3)). For other manure management systems, the IPCC (2006, table 10.21) default emission factor for EF</w:t>
      </w:r>
      <w:r w:rsidRPr="001D5327">
        <w:rPr>
          <w:vertAlign w:val="subscript"/>
        </w:rPr>
        <w:t>3</w:t>
      </w:r>
      <w:r w:rsidRPr="001D5327">
        <w:t xml:space="preserve"> of 0.001 kg N</w:t>
      </w:r>
      <w:r w:rsidRPr="001D5327">
        <w:rPr>
          <w:vertAlign w:val="subscript"/>
        </w:rPr>
        <w:t>2</w:t>
      </w:r>
      <w:r w:rsidRPr="001D5327">
        <w:t>O-N/kg N for poultry manure with and without litter is assumed.</w:t>
      </w:r>
    </w:p>
    <w:p w14:paraId="3B9D58DF" w14:textId="77777777" w:rsidR="00590FE1" w:rsidRPr="001D5327" w:rsidRDefault="00590FE1" w:rsidP="00590FE1">
      <w:pPr>
        <w:pStyle w:val="BodyText"/>
      </w:pPr>
      <w:r w:rsidRPr="001D5327">
        <w:rPr>
          <w:b/>
          <w:bCs/>
          <w:i/>
          <w:iCs/>
        </w:rPr>
        <w:t>Goats</w:t>
      </w:r>
      <w:r w:rsidRPr="001D5327">
        <w:rPr>
          <w:b/>
          <w:bCs/>
        </w:rPr>
        <w:t xml:space="preserve">, </w:t>
      </w:r>
      <w:r w:rsidRPr="001D5327">
        <w:rPr>
          <w:b/>
          <w:bCs/>
          <w:i/>
          <w:iCs/>
        </w:rPr>
        <w:t>Horses</w:t>
      </w:r>
      <w:r w:rsidRPr="001D5327">
        <w:rPr>
          <w:b/>
        </w:rPr>
        <w:t xml:space="preserve">, </w:t>
      </w:r>
      <w:r w:rsidRPr="001D5327">
        <w:rPr>
          <w:b/>
          <w:i/>
        </w:rPr>
        <w:t>Llamas and</w:t>
      </w:r>
      <w:r w:rsidRPr="001D5327">
        <w:rPr>
          <w:b/>
          <w:bCs/>
          <w:i/>
        </w:rPr>
        <w:t xml:space="preserve"> a</w:t>
      </w:r>
      <w:r w:rsidRPr="001D5327">
        <w:rPr>
          <w:b/>
          <w:i/>
        </w:rPr>
        <w:t>lpacas</w:t>
      </w:r>
      <w:r w:rsidRPr="001D5327">
        <w:rPr>
          <w:b/>
          <w:bCs/>
          <w:iCs/>
        </w:rPr>
        <w:t xml:space="preserve">, </w:t>
      </w:r>
      <w:r w:rsidRPr="001D5327">
        <w:rPr>
          <w:b/>
          <w:bCs/>
        </w:rPr>
        <w:t xml:space="preserve">and </w:t>
      </w:r>
      <w:r w:rsidRPr="001D5327">
        <w:rPr>
          <w:b/>
          <w:i/>
        </w:rPr>
        <w:t>Mules and asses</w:t>
      </w:r>
      <w:r w:rsidRPr="001D5327">
        <w:rPr>
          <w:b/>
        </w:rPr>
        <w:t xml:space="preserve">: </w:t>
      </w:r>
      <w:r w:rsidRPr="001D5327">
        <w:t>All faecal material from these livestock is deposited directly onto pasture, and direct N</w:t>
      </w:r>
      <w:r w:rsidRPr="001D5327">
        <w:rPr>
          <w:vertAlign w:val="subscript"/>
        </w:rPr>
        <w:t>2</w:t>
      </w:r>
      <w:r w:rsidRPr="001D5327">
        <w:t xml:space="preserve">O emissions from grazing animals are reported in the </w:t>
      </w:r>
      <w:r w:rsidRPr="001D5327">
        <w:rPr>
          <w:i/>
          <w:iCs/>
        </w:rPr>
        <w:t>Agricultural soils</w:t>
      </w:r>
      <w:r w:rsidRPr="001D5327">
        <w:t xml:space="preserve"> category (</w:t>
      </w:r>
      <w:r w:rsidRPr="001D5327">
        <w:rPr>
          <w:i/>
          <w:iCs/>
        </w:rPr>
        <w:t>Urine and dung deposited by grazing animals</w:t>
      </w:r>
      <w:r w:rsidRPr="001D5327">
        <w:t xml:space="preserve"> (3.D.1.3)). </w:t>
      </w:r>
    </w:p>
    <w:p w14:paraId="1E672AB8" w14:textId="77777777" w:rsidR="00590FE1" w:rsidRPr="001D5327" w:rsidRDefault="00590FE1" w:rsidP="00590FE1">
      <w:pPr>
        <w:pStyle w:val="Heading5"/>
      </w:pPr>
      <w:r w:rsidRPr="001D5327">
        <w:t>Indirect nitrous oxide emissions from manure management</w:t>
      </w:r>
    </w:p>
    <w:p w14:paraId="76DEA829" w14:textId="77777777" w:rsidR="00590FE1" w:rsidRPr="001D5327" w:rsidRDefault="00590FE1" w:rsidP="00590FE1">
      <w:pPr>
        <w:pStyle w:val="BodyText"/>
      </w:pPr>
      <w:r w:rsidRPr="001D5327">
        <w:t>Indirect N</w:t>
      </w:r>
      <w:r w:rsidRPr="001D5327">
        <w:rPr>
          <w:vertAlign w:val="subscript"/>
        </w:rPr>
        <w:t>2</w:t>
      </w:r>
      <w:r w:rsidRPr="001D5327">
        <w:t xml:space="preserve">O emissions from manure management result from diffusion into the surrounding </w:t>
      </w:r>
      <w:r w:rsidRPr="001D5327">
        <w:rPr>
          <w:spacing w:val="-2"/>
        </w:rPr>
        <w:t xml:space="preserve">air (volatilisation) and from leaching and runoff. All indirect </w:t>
      </w:r>
      <w:r w:rsidRPr="001D5327">
        <w:t>N</w:t>
      </w:r>
      <w:r w:rsidRPr="001D5327">
        <w:rPr>
          <w:vertAlign w:val="subscript"/>
        </w:rPr>
        <w:t>2</w:t>
      </w:r>
      <w:r w:rsidRPr="001D5327">
        <w:t>O</w:t>
      </w:r>
      <w:r w:rsidRPr="001D5327">
        <w:rPr>
          <w:spacing w:val="-2"/>
        </w:rPr>
        <w:t xml:space="preserve"> emissions for the pasture, range</w:t>
      </w:r>
      <w:r w:rsidRPr="001D5327">
        <w:t xml:space="preserve"> and paddock manure management systems (MMS) are reported in the </w:t>
      </w:r>
      <w:r w:rsidRPr="001D5327">
        <w:rPr>
          <w:i/>
          <w:iCs/>
        </w:rPr>
        <w:t>Agricultural soils</w:t>
      </w:r>
      <w:r w:rsidRPr="001D5327">
        <w:t xml:space="preserve"> category. </w:t>
      </w:r>
    </w:p>
    <w:p w14:paraId="56E62C7F" w14:textId="77777777" w:rsidR="00590FE1" w:rsidRPr="001D5327" w:rsidRDefault="00590FE1" w:rsidP="00590FE1">
      <w:pPr>
        <w:pStyle w:val="BodyText"/>
      </w:pPr>
      <w:r w:rsidRPr="001D5327">
        <w:t>The IPCC (2006) Tier 1 methodology is used for calculating N</w:t>
      </w:r>
      <w:r w:rsidRPr="001D5327">
        <w:rPr>
          <w:vertAlign w:val="subscript"/>
        </w:rPr>
        <w:t>2</w:t>
      </w:r>
      <w:r w:rsidRPr="001D5327">
        <w:t>O emissions resulting from volatilisation:</w:t>
      </w:r>
    </w:p>
    <w:bookmarkStart w:id="959" w:name="_1543985758"/>
    <w:bookmarkStart w:id="960" w:name="_1670051240"/>
    <w:bookmarkStart w:id="961" w:name="_1767788579"/>
    <w:bookmarkEnd w:id="959"/>
    <w:bookmarkEnd w:id="960"/>
    <w:bookmarkEnd w:id="961"/>
    <w:p w14:paraId="5745EADD" w14:textId="77777777" w:rsidR="00590FE1" w:rsidRPr="001D5327" w:rsidRDefault="00000000" w:rsidP="00590FE1">
      <w:pPr>
        <w:pStyle w:val="BodyText"/>
        <w:spacing w:before="0" w:after="0"/>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MM-volatilisation</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volatilisation-MMS</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4</m:t>
                  </m:r>
                </m:sub>
              </m:sSub>
            </m:e>
          </m:d>
          <m:r>
            <w:rPr>
              <w:rFonts w:ascii="Cambria Math" w:hAnsi="Cambria Math"/>
              <w:sz w:val="24"/>
              <w:szCs w:val="24"/>
            </w:rPr>
            <m:t xml:space="preserve"> </m:t>
          </m:r>
        </m:oMath>
      </m:oMathPara>
    </w:p>
    <w:p w14:paraId="304FFB40" w14:textId="77777777" w:rsidR="00590FE1" w:rsidRPr="001D5327" w:rsidRDefault="00590FE1" w:rsidP="00590FE1">
      <w:pPr>
        <w:pStyle w:val="BodyText"/>
        <w:spacing w:after="0"/>
        <w:rPr>
          <w:rFonts w:cs="Calibri"/>
        </w:rPr>
      </w:pPr>
      <w:r w:rsidRPr="001D5327">
        <w:rPr>
          <w:rFonts w:cs="Calibri"/>
        </w:rPr>
        <w:lastRenderedPageBreak/>
        <w:t>And:</w:t>
      </w:r>
    </w:p>
    <w:bookmarkStart w:id="962" w:name="_1545464011"/>
    <w:bookmarkEnd w:id="962"/>
    <w:p w14:paraId="07668D5C" w14:textId="77777777" w:rsidR="00590FE1" w:rsidRPr="001D5327" w:rsidRDefault="00000000" w:rsidP="00590FE1">
      <w:pPr>
        <w:pStyle w:val="BodyText"/>
        <w:spacing w:before="0" w:after="80"/>
        <w:jc w:val="center"/>
        <w:rPr>
          <w:rFonts w:cs="Calibri"/>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vol-MMS</m:t>
              </m:r>
            </m:sub>
          </m:sSub>
          <m:r>
            <w:rPr>
              <w:rFonts w:ascii="Cambria Math" w:hAnsi="Cambria Math"/>
              <w:sz w:val="24"/>
              <w:szCs w:val="24"/>
            </w:rPr>
            <m:t>=</m:t>
          </m:r>
          <m:nary>
            <m:naryPr>
              <m:chr m:val="∑"/>
              <m:limLoc m:val="undOvr"/>
              <m:supHide m:val="1"/>
              <m:ctrlPr>
                <w:rPr>
                  <w:rFonts w:ascii="Cambria Math" w:hAnsi="Cambria Math"/>
                  <w:i/>
                  <w:sz w:val="24"/>
                  <w:szCs w:val="24"/>
                </w:rPr>
              </m:ctrlPr>
            </m:naryPr>
            <m:sub>
              <m:r>
                <w:rPr>
                  <w:rFonts w:ascii="Cambria Math" w:hAnsi="Cambria Math"/>
                  <w:sz w:val="24"/>
                  <w:szCs w:val="24"/>
                </w:rPr>
                <m:t>S</m:t>
              </m:r>
            </m:sub>
            <m:sup/>
            <m:e>
              <m:d>
                <m:dPr>
                  <m:begChr m:val="["/>
                  <m:endChr m:val="]"/>
                  <m:ctrlPr>
                    <w:rPr>
                      <w:rFonts w:ascii="Cambria Math" w:hAnsi="Cambria Math"/>
                      <w:i/>
                      <w:sz w:val="24"/>
                      <w:szCs w:val="24"/>
                    </w:rPr>
                  </m:ctrlPr>
                </m:dPr>
                <m:e>
                  <m:nary>
                    <m:naryPr>
                      <m:chr m:val="∑"/>
                      <m:limLoc m:val="undOvr"/>
                      <m:supHide m:val="1"/>
                      <m:ctrlPr>
                        <w:rPr>
                          <w:rFonts w:ascii="Cambria Math" w:hAnsi="Cambria Math"/>
                          <w:i/>
                          <w:sz w:val="24"/>
                          <w:szCs w:val="24"/>
                        </w:rPr>
                      </m:ctrlPr>
                    </m:naryPr>
                    <m:sub>
                      <m:r>
                        <w:rPr>
                          <w:rFonts w:ascii="Cambria Math" w:hAnsi="Cambria Math"/>
                          <w:sz w:val="24"/>
                          <w:szCs w:val="24"/>
                        </w:rPr>
                        <m:t>T</m:t>
                      </m:r>
                    </m:sub>
                    <m:sup/>
                    <m:e>
                      <m:d>
                        <m:dPr>
                          <m:begChr m:val="["/>
                          <m:endChr m:val="]"/>
                          <m:ctrlPr>
                            <w:rPr>
                              <w:rFonts w:ascii="Cambria Math" w:hAnsi="Cambria Math"/>
                              <w:i/>
                              <w:sz w:val="24"/>
                              <w:szCs w:val="24"/>
                            </w:rPr>
                          </m:ctrlPr>
                        </m:d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Nex</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MS</m:t>
                                  </m:r>
                                </m:e>
                                <m:sub>
                                  <m:r>
                                    <w:rPr>
                                      <w:rFonts w:ascii="Cambria Math" w:hAnsi="Cambria Math"/>
                                      <w:sz w:val="24"/>
                                      <w:szCs w:val="24"/>
                                    </w:rPr>
                                    <m:t>T,S</m:t>
                                  </m:r>
                                </m:sub>
                              </m:sSub>
                            </m:e>
                          </m:d>
                          <m:r>
                            <w:rPr>
                              <w:rFonts w:ascii="Cambria Math" w:hAnsi="Cambria Math"/>
                              <w:sz w:val="24"/>
                              <w:szCs w:val="24"/>
                            </w:rPr>
                            <m:t>∙</m:t>
                          </m:r>
                          <m:sSub>
                            <m:sSubPr>
                              <m:ctrlPr>
                                <w:rPr>
                                  <w:rFonts w:ascii="Cambria Math" w:hAnsi="Cambria Math"/>
                                  <w:i/>
                                  <w:sz w:val="24"/>
                                  <w:szCs w:val="24"/>
                                </w:rPr>
                              </m:ctrlPr>
                            </m:sSubPr>
                            <m:e>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GasMS</m:t>
                                          </m:r>
                                        </m:sub>
                                      </m:sSub>
                                    </m:num>
                                    <m:den>
                                      <m:r>
                                        <w:rPr>
                                          <w:rFonts w:ascii="Cambria Math" w:hAnsi="Cambria Math"/>
                                          <w:sz w:val="24"/>
                                          <w:szCs w:val="24"/>
                                        </w:rPr>
                                        <m:t>100</m:t>
                                      </m:r>
                                    </m:den>
                                  </m:f>
                                </m:e>
                              </m:d>
                            </m:e>
                            <m:sub>
                              <m:r>
                                <w:rPr>
                                  <w:rFonts w:ascii="Cambria Math" w:hAnsi="Cambria Math"/>
                                  <w:sz w:val="24"/>
                                  <w:szCs w:val="24"/>
                                </w:rPr>
                                <m:t>T,S</m:t>
                              </m:r>
                            </m:sub>
                          </m:sSub>
                        </m:e>
                      </m:d>
                    </m:e>
                  </m:nary>
                </m:e>
              </m:d>
            </m:e>
          </m:nary>
          <m:r>
            <w:rPr>
              <w:rFonts w:ascii="Cambria Math" w:hAnsi="Cambria Math" w:cs="Calibri"/>
              <w:sz w:val="24"/>
              <w:szCs w:val="24"/>
            </w:rPr>
            <m:t xml:space="preserve"> </m:t>
          </m:r>
        </m:oMath>
      </m:oMathPara>
    </w:p>
    <w:p w14:paraId="0449C45D" w14:textId="77777777" w:rsidR="00590FE1" w:rsidRPr="001D5327" w:rsidRDefault="00590FE1" w:rsidP="00590FE1">
      <w:pPr>
        <w:pStyle w:val="BodyText"/>
        <w:spacing w:after="60"/>
        <w:ind w:left="964" w:hanging="964"/>
      </w:pPr>
      <w:r w:rsidRPr="001D5327">
        <w:t>Where:</w:t>
      </w:r>
      <w:r w:rsidRPr="001D5327">
        <w:tab/>
        <w:t>N</w:t>
      </w:r>
      <w:r w:rsidRPr="001D5327">
        <w:rPr>
          <w:vertAlign w:val="subscript"/>
        </w:rPr>
        <w:t>vol – MMS</w:t>
      </w:r>
      <w:r w:rsidRPr="001D5327">
        <w:t xml:space="preserve"> is the amount of manure nitrogen that is lost due to volatilisation (kg/year)</w:t>
      </w:r>
    </w:p>
    <w:p w14:paraId="1CFED145" w14:textId="77777777" w:rsidR="00590FE1" w:rsidRPr="001D5327" w:rsidRDefault="00590FE1" w:rsidP="00590FE1">
      <w:pPr>
        <w:pStyle w:val="BodyText"/>
        <w:spacing w:before="40" w:after="40"/>
        <w:ind w:left="964"/>
      </w:pPr>
      <w:r w:rsidRPr="001D5327">
        <w:t>EF</w:t>
      </w:r>
      <w:r w:rsidRPr="001D5327">
        <w:rPr>
          <w:vertAlign w:val="subscript"/>
        </w:rPr>
        <w:t>4</w:t>
      </w:r>
      <w:r w:rsidRPr="001D5327">
        <w:t xml:space="preserve"> is the emission factor for N</w:t>
      </w:r>
      <w:r w:rsidRPr="001D5327">
        <w:rPr>
          <w:vertAlign w:val="subscript"/>
        </w:rPr>
        <w:t>2</w:t>
      </w:r>
      <w:r w:rsidRPr="001D5327">
        <w:t>O emissions from volatilisation; the IPCC (2006) default value of 0.01 kg N</w:t>
      </w:r>
      <w:r w:rsidRPr="001D5327">
        <w:rPr>
          <w:vertAlign w:val="subscript"/>
        </w:rPr>
        <w:t>2</w:t>
      </w:r>
      <w:r w:rsidRPr="001D5327">
        <w:t>O-N/(kg NH</w:t>
      </w:r>
      <w:r w:rsidRPr="001D5327">
        <w:rPr>
          <w:vertAlign w:val="subscript"/>
        </w:rPr>
        <w:t>3</w:t>
      </w:r>
      <w:r w:rsidRPr="001D5327">
        <w:t>-N + NO</w:t>
      </w:r>
      <w:r w:rsidRPr="001D5327">
        <w:rPr>
          <w:vertAlign w:val="subscript"/>
        </w:rPr>
        <w:t>x</w:t>
      </w:r>
      <w:r w:rsidRPr="001D5327">
        <w:t>-N volatilised) is used</w:t>
      </w:r>
    </w:p>
    <w:p w14:paraId="76AF015B" w14:textId="77777777" w:rsidR="00590FE1" w:rsidRPr="001D5327" w:rsidRDefault="00590FE1" w:rsidP="00590FE1">
      <w:pPr>
        <w:pStyle w:val="BodyText"/>
        <w:spacing w:before="40" w:after="40"/>
        <w:ind w:left="964"/>
      </w:pPr>
      <w:r w:rsidRPr="001D5327">
        <w:t>N</w:t>
      </w:r>
      <w:r w:rsidRPr="001D5327">
        <w:rPr>
          <w:vertAlign w:val="subscript"/>
        </w:rPr>
        <w:t>T</w:t>
      </w:r>
      <w:r w:rsidRPr="001D5327">
        <w:t xml:space="preserve"> is the number of livestock per category (head), detailed in section 5.1.4</w:t>
      </w:r>
    </w:p>
    <w:p w14:paraId="32D3F03A" w14:textId="77777777" w:rsidR="00590FE1" w:rsidRPr="001D5327" w:rsidRDefault="00590FE1" w:rsidP="00590FE1">
      <w:pPr>
        <w:pStyle w:val="BodyText"/>
        <w:spacing w:before="40" w:after="40"/>
        <w:ind w:left="964"/>
      </w:pPr>
      <w:r w:rsidRPr="001D5327">
        <w:t>Nex</w:t>
      </w:r>
      <w:r w:rsidRPr="001D5327">
        <w:rPr>
          <w:vertAlign w:val="subscript"/>
        </w:rPr>
        <w:t>T</w:t>
      </w:r>
      <w:r w:rsidRPr="001D5327">
        <w:t xml:space="preserve"> is the average nitrogen excretion for each livestock category, T, detailed above</w:t>
      </w:r>
    </w:p>
    <w:p w14:paraId="07B3B7C4" w14:textId="77777777" w:rsidR="00590FE1" w:rsidRPr="001D5327" w:rsidRDefault="00590FE1" w:rsidP="00590FE1">
      <w:pPr>
        <w:pStyle w:val="BodyText"/>
        <w:spacing w:before="40" w:after="40"/>
        <w:ind w:left="964"/>
      </w:pPr>
      <w:r w:rsidRPr="001D5327">
        <w:t>MS</w:t>
      </w:r>
      <w:r w:rsidRPr="001D5327">
        <w:rPr>
          <w:vertAlign w:val="subscript"/>
        </w:rPr>
        <w:t>T,S</w:t>
      </w:r>
      <w:r w:rsidRPr="001D5327">
        <w:t xml:space="preserve"> is the fraction of total nitrogen excretion per livestock category, T, per manure management system, S, derived from table 5.3.2, and</w:t>
      </w:r>
    </w:p>
    <w:p w14:paraId="149D93C0" w14:textId="77777777" w:rsidR="00590FE1" w:rsidRPr="001D5327" w:rsidRDefault="00590FE1" w:rsidP="00590FE1">
      <w:pPr>
        <w:pStyle w:val="BodyText"/>
        <w:spacing w:before="40"/>
        <w:ind w:left="964"/>
      </w:pPr>
      <w:r w:rsidRPr="001D5327">
        <w:t>Frac</w:t>
      </w:r>
      <w:r w:rsidRPr="001D5327">
        <w:rPr>
          <w:vertAlign w:val="subscript"/>
        </w:rPr>
        <w:t>GasMS</w:t>
      </w:r>
      <w:r w:rsidRPr="001D5327">
        <w:t xml:space="preserve"> is the per cent of managed manure nitrogen for each livestock category, T, which volatilises as NH</w:t>
      </w:r>
      <w:r w:rsidRPr="001D5327">
        <w:rPr>
          <w:vertAlign w:val="subscript"/>
        </w:rPr>
        <w:t>3</w:t>
      </w:r>
      <w:r w:rsidRPr="001D5327">
        <w:t xml:space="preserve"> and NO</w:t>
      </w:r>
      <w:r w:rsidRPr="001D5327">
        <w:rPr>
          <w:vertAlign w:val="subscript"/>
        </w:rPr>
        <w:t>x</w:t>
      </w:r>
      <w:r w:rsidRPr="001D5327">
        <w:t xml:space="preserve"> per manure management system, S. New Zealand uses default values for Frac</w:t>
      </w:r>
      <w:r w:rsidRPr="001D5327">
        <w:rPr>
          <w:vertAlign w:val="subscript"/>
        </w:rPr>
        <w:t>GasMS</w:t>
      </w:r>
      <w:r w:rsidRPr="001D5327">
        <w:t xml:space="preserve"> detailed in table 5.3.6.</w:t>
      </w:r>
    </w:p>
    <w:p w14:paraId="7C39F367" w14:textId="77777777" w:rsidR="00590FE1" w:rsidRPr="001D5327" w:rsidRDefault="00590FE1" w:rsidP="00590FE1">
      <w:pPr>
        <w:pStyle w:val="BodyText"/>
        <w:spacing w:before="100" w:after="100"/>
      </w:pPr>
      <w:r w:rsidRPr="001D5327">
        <w:t>The IPCC (2006) Tier 1 guidelines do not provide a methodology for determining indirect N</w:t>
      </w:r>
      <w:r w:rsidRPr="001D5327">
        <w:rPr>
          <w:vertAlign w:val="subscript"/>
        </w:rPr>
        <w:t>2</w:t>
      </w:r>
      <w:r w:rsidRPr="001D5327">
        <w:t xml:space="preserve">O emissions from leaching and runoff. There have been no country-specific emission factors derived for leaching and runoff from manure management systems in </w:t>
      </w:r>
      <w:r w:rsidRPr="001D5327" w:rsidDel="00461B66">
        <w:t xml:space="preserve">New </w:t>
      </w:r>
      <w:r w:rsidRPr="001D5327">
        <w:t xml:space="preserve">Zealand (e.g., Hill, 2012), and available data are extremely limited (IPCC, 2006). Leaching and runoff from dairy anaerobic lagoons is likely to be an insignificant activity in </w:t>
      </w:r>
      <w:r w:rsidRPr="001D5327" w:rsidDel="00461B66">
        <w:t xml:space="preserve">New </w:t>
      </w:r>
      <w:r w:rsidRPr="001D5327">
        <w:t>Zealand (T Wilson, pers. comm., 2014). All indirect N</w:t>
      </w:r>
      <w:r w:rsidRPr="001D5327">
        <w:rPr>
          <w:vertAlign w:val="subscript"/>
        </w:rPr>
        <w:t>2</w:t>
      </w:r>
      <w:r w:rsidRPr="001D5327">
        <w:t xml:space="preserve">O emissions from leaching and runoff are reported in the </w:t>
      </w:r>
      <w:r w:rsidRPr="001D5327">
        <w:rPr>
          <w:i/>
          <w:iCs/>
        </w:rPr>
        <w:t>Agricultural soils</w:t>
      </w:r>
      <w:r w:rsidRPr="001D5327">
        <w:t> category.</w:t>
      </w:r>
    </w:p>
    <w:p w14:paraId="563BC1A2" w14:textId="77777777" w:rsidR="00590FE1" w:rsidRPr="001D5327" w:rsidRDefault="00590FE1" w:rsidP="00590FE1">
      <w:pPr>
        <w:pStyle w:val="Table"/>
        <w:rPr>
          <w:rFonts w:cs="Calibri"/>
        </w:rPr>
      </w:pPr>
      <w:bookmarkStart w:id="963" w:name="_Toc441830877"/>
      <w:bookmarkStart w:id="964" w:name="_Toc451176091"/>
      <w:bookmarkStart w:id="965" w:name="_Toc481751519"/>
      <w:bookmarkStart w:id="966" w:name="_Toc507158607"/>
      <w:bookmarkStart w:id="967" w:name="_Toc511116741"/>
      <w:bookmarkStart w:id="968" w:name="_Toc5269481"/>
      <w:bookmarkStart w:id="969" w:name="_Toc32570924"/>
      <w:bookmarkStart w:id="970" w:name="_Toc36224559"/>
      <w:bookmarkStart w:id="971" w:name="_Toc68786444"/>
      <w:bookmarkStart w:id="972" w:name="_Toc95574078"/>
      <w:bookmarkStart w:id="973" w:name="_Toc127458263"/>
      <w:bookmarkStart w:id="974" w:name="_Toc131591359"/>
      <w:bookmarkStart w:id="975" w:name="_Toc160114451"/>
      <w:bookmarkStart w:id="976" w:name="_Toc164153847"/>
      <w:bookmarkStart w:id="977" w:name="_Toc194241717"/>
      <w:r w:rsidRPr="001D5327">
        <w:rPr>
          <w:rFonts w:cs="Calibri"/>
        </w:rPr>
        <w:t>Table 5.3.6</w:t>
      </w:r>
      <w:r w:rsidRPr="001D5327">
        <w:rPr>
          <w:rFonts w:cs="Calibri"/>
        </w:rPr>
        <w:tab/>
        <w:t>IPCC default values for the fraction of managed manure nitrogen that volatilises as ammonia and oxides of nitrogen (Frac</w:t>
      </w:r>
      <w:r w:rsidRPr="001D5327">
        <w:rPr>
          <w:rFonts w:cs="Calibri"/>
          <w:vertAlign w:val="subscript"/>
        </w:rPr>
        <w:t>GasMS</w:t>
      </w:r>
      <w:r w:rsidRPr="001D5327">
        <w:rPr>
          <w:rFonts w:cs="Calibri"/>
        </w:rPr>
        <w:t>/100) for livestock categories per manure management system in New Zealand</w:t>
      </w:r>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p>
    <w:tbl>
      <w:tblPr>
        <w:tblW w:w="850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782"/>
        <w:gridCol w:w="2364"/>
        <w:gridCol w:w="1359"/>
      </w:tblGrid>
      <w:tr w:rsidR="00590FE1" w:rsidRPr="001D5327" w14:paraId="6DE2AB27" w14:textId="77777777" w:rsidTr="00E716C5">
        <w:trPr>
          <w:tblHeader/>
        </w:trPr>
        <w:tc>
          <w:tcPr>
            <w:tcW w:w="2941" w:type="dxa"/>
            <w:tcBorders>
              <w:top w:val="single" w:sz="4" w:space="0" w:color="1B556B" w:themeColor="text2"/>
              <w:left w:val="nil"/>
              <w:bottom w:val="single" w:sz="4" w:space="0" w:color="1B556B" w:themeColor="text2"/>
              <w:right w:val="nil"/>
            </w:tcBorders>
            <w:shd w:val="clear" w:color="auto" w:fill="1B556B"/>
            <w:vAlign w:val="bottom"/>
          </w:tcPr>
          <w:p w14:paraId="4D805092" w14:textId="77777777" w:rsidR="00590FE1" w:rsidRPr="001D5327" w:rsidRDefault="00590FE1" w:rsidP="00403787">
            <w:pPr>
              <w:pStyle w:val="TableTextBold"/>
              <w:keepNext/>
              <w:spacing w:before="40" w:after="40"/>
              <w:rPr>
                <w:noProof w:val="0"/>
                <w:color w:val="FFFFFF" w:themeColor="background1"/>
              </w:rPr>
            </w:pPr>
            <w:r w:rsidRPr="001D5327">
              <w:rPr>
                <w:noProof w:val="0"/>
                <w:color w:val="FFFFFF" w:themeColor="background1"/>
              </w:rPr>
              <w:t>Manure management system</w:t>
            </w:r>
          </w:p>
        </w:tc>
        <w:tc>
          <w:tcPr>
            <w:tcW w:w="1454" w:type="dxa"/>
            <w:tcBorders>
              <w:top w:val="single" w:sz="4" w:space="0" w:color="1B556B" w:themeColor="text2"/>
              <w:left w:val="nil"/>
              <w:bottom w:val="single" w:sz="4" w:space="0" w:color="1B556B" w:themeColor="text2"/>
              <w:right w:val="nil"/>
            </w:tcBorders>
            <w:shd w:val="clear" w:color="auto" w:fill="1B556B"/>
            <w:vAlign w:val="bottom"/>
          </w:tcPr>
          <w:p w14:paraId="4E9FE062" w14:textId="77777777" w:rsidR="00590FE1" w:rsidRPr="001D5327" w:rsidRDefault="00590FE1" w:rsidP="00403787">
            <w:pPr>
              <w:pStyle w:val="TableTextBold"/>
              <w:keepNext/>
              <w:spacing w:before="40" w:after="40"/>
              <w:rPr>
                <w:noProof w:val="0"/>
                <w:color w:val="FFFFFF" w:themeColor="background1"/>
              </w:rPr>
            </w:pPr>
            <w:r w:rsidRPr="001D5327">
              <w:rPr>
                <w:noProof w:val="0"/>
                <w:color w:val="FFFFFF" w:themeColor="background1"/>
              </w:rPr>
              <w:t>Livestock category</w:t>
            </w:r>
          </w:p>
        </w:tc>
        <w:tc>
          <w:tcPr>
            <w:tcW w:w="642" w:type="dxa"/>
            <w:tcBorders>
              <w:top w:val="single" w:sz="4" w:space="0" w:color="1B556B" w:themeColor="text2"/>
              <w:left w:val="nil"/>
              <w:bottom w:val="single" w:sz="4" w:space="0" w:color="1B556B" w:themeColor="text2"/>
              <w:right w:val="nil"/>
            </w:tcBorders>
            <w:shd w:val="clear" w:color="auto" w:fill="1B556B"/>
          </w:tcPr>
          <w:p w14:paraId="666FE64B" w14:textId="77777777" w:rsidR="00590FE1" w:rsidRPr="001D5327" w:rsidRDefault="00590FE1" w:rsidP="00403787">
            <w:pPr>
              <w:pStyle w:val="TableTextBold"/>
              <w:keepNext/>
              <w:spacing w:before="40" w:after="40"/>
              <w:jc w:val="right"/>
              <w:rPr>
                <w:noProof w:val="0"/>
                <w:color w:val="FFFFFF" w:themeColor="background1"/>
              </w:rPr>
            </w:pPr>
            <w:r w:rsidRPr="001D5327">
              <w:rPr>
                <w:noProof w:val="0"/>
                <w:color w:val="FFFFFF" w:themeColor="background1"/>
              </w:rPr>
              <w:t>Value (fraction)</w:t>
            </w:r>
          </w:p>
        </w:tc>
      </w:tr>
      <w:tr w:rsidR="00590FE1" w:rsidRPr="001D5327" w14:paraId="4BB37E96" w14:textId="77777777" w:rsidTr="00E716C5">
        <w:tc>
          <w:tcPr>
            <w:tcW w:w="2941" w:type="dxa"/>
            <w:vMerge w:val="restart"/>
            <w:tcBorders>
              <w:top w:val="single" w:sz="4" w:space="0" w:color="1B556B" w:themeColor="text2"/>
              <w:left w:val="nil"/>
              <w:bottom w:val="single" w:sz="4" w:space="0" w:color="1B556B" w:themeColor="text2"/>
              <w:right w:val="nil"/>
            </w:tcBorders>
            <w:vAlign w:val="center"/>
          </w:tcPr>
          <w:p w14:paraId="2BCCE431" w14:textId="77777777" w:rsidR="00590FE1" w:rsidRPr="001D5327" w:rsidRDefault="00590FE1" w:rsidP="00403787">
            <w:pPr>
              <w:pStyle w:val="TableText"/>
              <w:keepNext/>
              <w:spacing w:before="40" w:after="40"/>
              <w:rPr>
                <w:rFonts w:cs="Calibri"/>
              </w:rPr>
            </w:pPr>
            <w:r w:rsidRPr="001D5327">
              <w:rPr>
                <w:rFonts w:cs="Calibri"/>
              </w:rPr>
              <w:t>Anaerobic lagoons</w:t>
            </w:r>
          </w:p>
        </w:tc>
        <w:tc>
          <w:tcPr>
            <w:tcW w:w="1454" w:type="dxa"/>
            <w:tcBorders>
              <w:top w:val="single" w:sz="4" w:space="0" w:color="1B556B" w:themeColor="text2"/>
              <w:left w:val="nil"/>
              <w:bottom w:val="single" w:sz="4" w:space="0" w:color="1B556B" w:themeColor="text2"/>
              <w:right w:val="nil"/>
            </w:tcBorders>
          </w:tcPr>
          <w:p w14:paraId="6E5AEA5D" w14:textId="77777777" w:rsidR="00590FE1" w:rsidRPr="001D5327" w:rsidRDefault="00590FE1" w:rsidP="00403787">
            <w:pPr>
              <w:pStyle w:val="TableText"/>
              <w:keepNext/>
              <w:spacing w:before="40" w:after="40"/>
              <w:rPr>
                <w:rFonts w:cs="Calibri"/>
              </w:rPr>
            </w:pPr>
            <w:r w:rsidRPr="001D5327">
              <w:rPr>
                <w:rFonts w:cs="Calibri"/>
              </w:rPr>
              <w:t>Dairy</w:t>
            </w:r>
          </w:p>
        </w:tc>
        <w:tc>
          <w:tcPr>
            <w:tcW w:w="642" w:type="dxa"/>
            <w:tcBorders>
              <w:top w:val="single" w:sz="4" w:space="0" w:color="1B556B" w:themeColor="text2"/>
              <w:left w:val="nil"/>
              <w:bottom w:val="single" w:sz="4" w:space="0" w:color="1B556B" w:themeColor="text2"/>
              <w:right w:val="nil"/>
            </w:tcBorders>
          </w:tcPr>
          <w:p w14:paraId="30DDE553" w14:textId="77777777" w:rsidR="00590FE1" w:rsidRPr="001D5327" w:rsidRDefault="00590FE1" w:rsidP="00403787">
            <w:pPr>
              <w:pStyle w:val="TableText"/>
              <w:keepNext/>
              <w:spacing w:before="40" w:after="40"/>
              <w:jc w:val="right"/>
              <w:rPr>
                <w:rFonts w:cs="Calibri"/>
              </w:rPr>
            </w:pPr>
            <w:r w:rsidRPr="001D5327">
              <w:rPr>
                <w:rFonts w:cs="Calibri"/>
              </w:rPr>
              <w:t>0.35</w:t>
            </w:r>
          </w:p>
        </w:tc>
      </w:tr>
      <w:tr w:rsidR="00590FE1" w:rsidRPr="001D5327" w14:paraId="11404BC8" w14:textId="77777777" w:rsidTr="00E716C5">
        <w:tc>
          <w:tcPr>
            <w:tcW w:w="2941" w:type="dxa"/>
            <w:vMerge/>
            <w:tcBorders>
              <w:top w:val="single" w:sz="4" w:space="0" w:color="1B556B" w:themeColor="text2"/>
              <w:left w:val="nil"/>
              <w:bottom w:val="single" w:sz="4" w:space="0" w:color="1B556B" w:themeColor="text2"/>
              <w:right w:val="nil"/>
            </w:tcBorders>
          </w:tcPr>
          <w:p w14:paraId="400C2DBD" w14:textId="77777777" w:rsidR="00590FE1" w:rsidRPr="001D5327" w:rsidRDefault="00590FE1" w:rsidP="00403787">
            <w:pPr>
              <w:pStyle w:val="TableText"/>
              <w:keepNext/>
              <w:spacing w:before="40" w:after="40"/>
              <w:rPr>
                <w:rFonts w:cs="Calibri"/>
              </w:rPr>
            </w:pPr>
          </w:p>
        </w:tc>
        <w:tc>
          <w:tcPr>
            <w:tcW w:w="1454" w:type="dxa"/>
            <w:tcBorders>
              <w:top w:val="single" w:sz="4" w:space="0" w:color="1B556B" w:themeColor="text2"/>
              <w:left w:val="nil"/>
              <w:bottom w:val="single" w:sz="4" w:space="0" w:color="1B556B" w:themeColor="text2"/>
              <w:right w:val="nil"/>
            </w:tcBorders>
          </w:tcPr>
          <w:p w14:paraId="2E437F0F" w14:textId="77777777" w:rsidR="00590FE1" w:rsidRPr="001D5327" w:rsidRDefault="00590FE1" w:rsidP="00403787">
            <w:pPr>
              <w:pStyle w:val="TableText"/>
              <w:keepNext/>
              <w:spacing w:before="40" w:after="40"/>
              <w:rPr>
                <w:rFonts w:cs="Calibri"/>
              </w:rPr>
            </w:pPr>
            <w:r w:rsidRPr="001D5327">
              <w:rPr>
                <w:rFonts w:cs="Calibri"/>
              </w:rPr>
              <w:t>Swine</w:t>
            </w:r>
          </w:p>
        </w:tc>
        <w:tc>
          <w:tcPr>
            <w:tcW w:w="642" w:type="dxa"/>
            <w:tcBorders>
              <w:top w:val="single" w:sz="4" w:space="0" w:color="1B556B" w:themeColor="text2"/>
              <w:left w:val="nil"/>
              <w:bottom w:val="single" w:sz="4" w:space="0" w:color="1B556B" w:themeColor="text2"/>
              <w:right w:val="nil"/>
            </w:tcBorders>
          </w:tcPr>
          <w:p w14:paraId="6E6E1C4B" w14:textId="77777777" w:rsidR="00590FE1" w:rsidRPr="001D5327" w:rsidRDefault="00590FE1" w:rsidP="00403787">
            <w:pPr>
              <w:pStyle w:val="TableText"/>
              <w:keepNext/>
              <w:spacing w:before="40" w:after="40"/>
              <w:jc w:val="right"/>
              <w:rPr>
                <w:rFonts w:cs="Calibri"/>
              </w:rPr>
            </w:pPr>
            <w:r w:rsidRPr="001D5327">
              <w:rPr>
                <w:rFonts w:cs="Calibri"/>
              </w:rPr>
              <w:t>0.40</w:t>
            </w:r>
          </w:p>
        </w:tc>
      </w:tr>
      <w:tr w:rsidR="00590FE1" w:rsidRPr="001D5327" w14:paraId="12B6D4AB" w14:textId="77777777" w:rsidTr="00E716C5">
        <w:tc>
          <w:tcPr>
            <w:tcW w:w="2941" w:type="dxa"/>
            <w:tcBorders>
              <w:top w:val="single" w:sz="4" w:space="0" w:color="1B556B" w:themeColor="text2"/>
              <w:left w:val="nil"/>
              <w:bottom w:val="single" w:sz="4" w:space="0" w:color="1B556B" w:themeColor="text2"/>
              <w:right w:val="nil"/>
            </w:tcBorders>
          </w:tcPr>
          <w:p w14:paraId="6AA7E5BC" w14:textId="77777777" w:rsidR="00590FE1" w:rsidRPr="001D5327" w:rsidRDefault="00590FE1" w:rsidP="00403787">
            <w:pPr>
              <w:pStyle w:val="TableText"/>
              <w:spacing w:before="40" w:after="40"/>
              <w:rPr>
                <w:rFonts w:cs="Calibri"/>
              </w:rPr>
            </w:pPr>
            <w:r w:rsidRPr="001D5327">
              <w:rPr>
                <w:rFonts w:cs="Calibri"/>
              </w:rPr>
              <w:t>Daily spread</w:t>
            </w:r>
          </w:p>
        </w:tc>
        <w:tc>
          <w:tcPr>
            <w:tcW w:w="1454" w:type="dxa"/>
            <w:tcBorders>
              <w:top w:val="single" w:sz="4" w:space="0" w:color="1B556B" w:themeColor="text2"/>
              <w:left w:val="nil"/>
              <w:bottom w:val="single" w:sz="4" w:space="0" w:color="1B556B" w:themeColor="text2"/>
              <w:right w:val="nil"/>
            </w:tcBorders>
          </w:tcPr>
          <w:p w14:paraId="46255256" w14:textId="77777777" w:rsidR="00590FE1" w:rsidRPr="001D5327" w:rsidRDefault="00590FE1" w:rsidP="00403787">
            <w:pPr>
              <w:pStyle w:val="TableText"/>
              <w:spacing w:before="40" w:after="40"/>
              <w:rPr>
                <w:rFonts w:cs="Calibri"/>
              </w:rPr>
            </w:pPr>
            <w:r w:rsidRPr="001D5327">
              <w:rPr>
                <w:rFonts w:cs="Calibri"/>
              </w:rPr>
              <w:t xml:space="preserve">Swine </w:t>
            </w:r>
          </w:p>
        </w:tc>
        <w:tc>
          <w:tcPr>
            <w:tcW w:w="642" w:type="dxa"/>
            <w:tcBorders>
              <w:top w:val="single" w:sz="4" w:space="0" w:color="1B556B" w:themeColor="text2"/>
              <w:left w:val="nil"/>
              <w:bottom w:val="single" w:sz="4" w:space="0" w:color="1B556B" w:themeColor="text2"/>
              <w:right w:val="nil"/>
            </w:tcBorders>
          </w:tcPr>
          <w:p w14:paraId="20D47C72" w14:textId="77777777" w:rsidR="00590FE1" w:rsidRPr="001D5327" w:rsidRDefault="00590FE1" w:rsidP="00403787">
            <w:pPr>
              <w:pStyle w:val="TableText"/>
              <w:spacing w:before="40" w:after="40"/>
              <w:jc w:val="right"/>
              <w:rPr>
                <w:rFonts w:cs="Calibri"/>
              </w:rPr>
            </w:pPr>
            <w:r w:rsidRPr="001D5327">
              <w:rPr>
                <w:rFonts w:cs="Calibri"/>
              </w:rPr>
              <w:t>0.07</w:t>
            </w:r>
          </w:p>
        </w:tc>
      </w:tr>
      <w:tr w:rsidR="00590FE1" w:rsidRPr="001D5327" w14:paraId="51DD52BC" w14:textId="77777777" w:rsidTr="00E716C5">
        <w:tc>
          <w:tcPr>
            <w:tcW w:w="2941" w:type="dxa"/>
            <w:tcBorders>
              <w:top w:val="single" w:sz="4" w:space="0" w:color="1B556B" w:themeColor="text2"/>
              <w:left w:val="nil"/>
              <w:bottom w:val="single" w:sz="4" w:space="0" w:color="1B556B" w:themeColor="text2"/>
              <w:right w:val="nil"/>
            </w:tcBorders>
          </w:tcPr>
          <w:p w14:paraId="0B0960E4" w14:textId="77777777" w:rsidR="00590FE1" w:rsidRPr="001D5327" w:rsidRDefault="00590FE1" w:rsidP="00403787">
            <w:pPr>
              <w:pStyle w:val="TableText"/>
              <w:spacing w:before="40" w:after="40"/>
              <w:rPr>
                <w:rFonts w:cs="Calibri"/>
              </w:rPr>
            </w:pPr>
            <w:r w:rsidRPr="001D5327">
              <w:rPr>
                <w:rFonts w:cs="Calibri"/>
              </w:rPr>
              <w:t>Anaerobic digester</w:t>
            </w:r>
          </w:p>
        </w:tc>
        <w:tc>
          <w:tcPr>
            <w:tcW w:w="1454" w:type="dxa"/>
            <w:tcBorders>
              <w:top w:val="single" w:sz="4" w:space="0" w:color="1B556B" w:themeColor="text2"/>
              <w:left w:val="nil"/>
              <w:bottom w:val="single" w:sz="4" w:space="0" w:color="1B556B" w:themeColor="text2"/>
              <w:right w:val="nil"/>
            </w:tcBorders>
          </w:tcPr>
          <w:p w14:paraId="01D6CA39" w14:textId="77777777" w:rsidR="00590FE1" w:rsidRPr="001D5327" w:rsidRDefault="00590FE1" w:rsidP="00403787">
            <w:pPr>
              <w:pStyle w:val="TableText"/>
              <w:spacing w:before="40" w:after="40"/>
              <w:rPr>
                <w:rFonts w:cs="Calibri"/>
              </w:rPr>
            </w:pPr>
            <w:r w:rsidRPr="001D5327">
              <w:rPr>
                <w:rFonts w:cs="Calibri"/>
              </w:rPr>
              <w:t>Swine</w:t>
            </w:r>
          </w:p>
        </w:tc>
        <w:tc>
          <w:tcPr>
            <w:tcW w:w="642" w:type="dxa"/>
            <w:tcBorders>
              <w:top w:val="single" w:sz="4" w:space="0" w:color="1B556B" w:themeColor="text2"/>
              <w:left w:val="nil"/>
              <w:bottom w:val="single" w:sz="4" w:space="0" w:color="1B556B" w:themeColor="text2"/>
              <w:right w:val="nil"/>
            </w:tcBorders>
          </w:tcPr>
          <w:p w14:paraId="28189372" w14:textId="77777777" w:rsidR="00590FE1" w:rsidRPr="001D5327" w:rsidRDefault="00590FE1" w:rsidP="00403787">
            <w:pPr>
              <w:pStyle w:val="TableText"/>
              <w:spacing w:before="40" w:after="40"/>
              <w:jc w:val="right"/>
              <w:rPr>
                <w:rFonts w:cs="Calibri"/>
              </w:rPr>
            </w:pPr>
            <w:r w:rsidRPr="001D5327">
              <w:rPr>
                <w:rFonts w:cs="Calibri"/>
              </w:rPr>
              <w:t>0.25</w:t>
            </w:r>
            <w:r w:rsidRPr="001D5327">
              <w:rPr>
                <w:rStyle w:val="FootnoteReference"/>
                <w:rFonts w:cs="Calibri"/>
                <w:sz w:val="16"/>
                <w:szCs w:val="16"/>
              </w:rPr>
              <w:footnoteReference w:id="44"/>
            </w:r>
          </w:p>
        </w:tc>
      </w:tr>
      <w:tr w:rsidR="00590FE1" w:rsidRPr="001D5327" w14:paraId="415884AC" w14:textId="77777777" w:rsidTr="00E716C5">
        <w:tc>
          <w:tcPr>
            <w:tcW w:w="2941" w:type="dxa"/>
            <w:tcBorders>
              <w:top w:val="single" w:sz="4" w:space="0" w:color="1B556B" w:themeColor="text2"/>
              <w:left w:val="nil"/>
              <w:bottom w:val="single" w:sz="4" w:space="0" w:color="1B556B" w:themeColor="text2"/>
              <w:right w:val="nil"/>
            </w:tcBorders>
          </w:tcPr>
          <w:p w14:paraId="32BBCA5E" w14:textId="77777777" w:rsidR="00590FE1" w:rsidRPr="001D5327" w:rsidRDefault="00590FE1" w:rsidP="00403787">
            <w:pPr>
              <w:pStyle w:val="TableText"/>
              <w:spacing w:before="40" w:after="40"/>
              <w:rPr>
                <w:rFonts w:cs="Calibri"/>
              </w:rPr>
            </w:pPr>
            <w:r w:rsidRPr="001D5327">
              <w:rPr>
                <w:rFonts w:cs="Calibri"/>
              </w:rPr>
              <w:t>Deep bedding</w:t>
            </w:r>
          </w:p>
        </w:tc>
        <w:tc>
          <w:tcPr>
            <w:tcW w:w="1454" w:type="dxa"/>
            <w:tcBorders>
              <w:top w:val="single" w:sz="4" w:space="0" w:color="1B556B" w:themeColor="text2"/>
              <w:left w:val="nil"/>
              <w:bottom w:val="single" w:sz="4" w:space="0" w:color="1B556B" w:themeColor="text2"/>
              <w:right w:val="nil"/>
            </w:tcBorders>
          </w:tcPr>
          <w:p w14:paraId="694F4A58" w14:textId="77777777" w:rsidR="00590FE1" w:rsidRPr="001D5327" w:rsidRDefault="00590FE1" w:rsidP="00403787">
            <w:pPr>
              <w:pStyle w:val="TableText"/>
              <w:spacing w:before="40" w:after="40"/>
              <w:rPr>
                <w:rFonts w:cs="Calibri"/>
              </w:rPr>
            </w:pPr>
            <w:r w:rsidRPr="001D5327">
              <w:rPr>
                <w:rFonts w:cs="Calibri"/>
              </w:rPr>
              <w:t>Swine</w:t>
            </w:r>
          </w:p>
        </w:tc>
        <w:tc>
          <w:tcPr>
            <w:tcW w:w="642" w:type="dxa"/>
            <w:tcBorders>
              <w:top w:val="single" w:sz="4" w:space="0" w:color="1B556B" w:themeColor="text2"/>
              <w:left w:val="nil"/>
              <w:bottom w:val="single" w:sz="4" w:space="0" w:color="1B556B" w:themeColor="text2"/>
              <w:right w:val="nil"/>
            </w:tcBorders>
          </w:tcPr>
          <w:p w14:paraId="21E3F5C7" w14:textId="77777777" w:rsidR="00590FE1" w:rsidRPr="001D5327" w:rsidRDefault="00590FE1" w:rsidP="00403787">
            <w:pPr>
              <w:pStyle w:val="TableText"/>
              <w:spacing w:before="40" w:after="40"/>
              <w:jc w:val="right"/>
              <w:rPr>
                <w:rFonts w:cs="Calibri"/>
              </w:rPr>
            </w:pPr>
            <w:r w:rsidRPr="001D5327">
              <w:rPr>
                <w:rFonts w:cs="Calibri"/>
              </w:rPr>
              <w:t>0.4</w:t>
            </w:r>
          </w:p>
        </w:tc>
      </w:tr>
      <w:tr w:rsidR="00590FE1" w:rsidRPr="001D5327" w14:paraId="115EEA12" w14:textId="77777777" w:rsidTr="00E716C5">
        <w:tc>
          <w:tcPr>
            <w:tcW w:w="2941" w:type="dxa"/>
            <w:tcBorders>
              <w:top w:val="single" w:sz="4" w:space="0" w:color="1B556B" w:themeColor="text2"/>
              <w:left w:val="nil"/>
              <w:bottom w:val="single" w:sz="4" w:space="0" w:color="1B556B" w:themeColor="text2"/>
              <w:right w:val="nil"/>
            </w:tcBorders>
          </w:tcPr>
          <w:p w14:paraId="7BE688DB" w14:textId="77777777" w:rsidR="00590FE1" w:rsidRPr="001D5327" w:rsidRDefault="00590FE1" w:rsidP="00403787">
            <w:pPr>
              <w:pStyle w:val="TableText"/>
              <w:spacing w:before="40" w:after="40"/>
              <w:rPr>
                <w:rFonts w:cs="Calibri"/>
              </w:rPr>
            </w:pPr>
            <w:r w:rsidRPr="001D5327">
              <w:rPr>
                <w:rFonts w:cs="Calibri"/>
              </w:rPr>
              <w:t>Composting passive windrow</w:t>
            </w:r>
          </w:p>
        </w:tc>
        <w:tc>
          <w:tcPr>
            <w:tcW w:w="1454" w:type="dxa"/>
            <w:tcBorders>
              <w:top w:val="single" w:sz="4" w:space="0" w:color="1B556B" w:themeColor="text2"/>
              <w:left w:val="nil"/>
              <w:bottom w:val="single" w:sz="4" w:space="0" w:color="1B556B" w:themeColor="text2"/>
              <w:right w:val="nil"/>
            </w:tcBorders>
          </w:tcPr>
          <w:p w14:paraId="561D399C" w14:textId="77777777" w:rsidR="00590FE1" w:rsidRPr="001D5327" w:rsidRDefault="00590FE1" w:rsidP="00403787">
            <w:pPr>
              <w:pStyle w:val="TableText"/>
              <w:spacing w:before="40" w:after="40"/>
              <w:rPr>
                <w:rFonts w:cs="Calibri"/>
              </w:rPr>
            </w:pPr>
            <w:r w:rsidRPr="001D5327">
              <w:rPr>
                <w:rFonts w:cs="Calibri"/>
              </w:rPr>
              <w:t>Swine</w:t>
            </w:r>
          </w:p>
        </w:tc>
        <w:tc>
          <w:tcPr>
            <w:tcW w:w="642" w:type="dxa"/>
            <w:tcBorders>
              <w:top w:val="single" w:sz="4" w:space="0" w:color="1B556B" w:themeColor="text2"/>
              <w:left w:val="nil"/>
              <w:bottom w:val="single" w:sz="4" w:space="0" w:color="1B556B" w:themeColor="text2"/>
              <w:right w:val="nil"/>
            </w:tcBorders>
          </w:tcPr>
          <w:p w14:paraId="3A37FFD9" w14:textId="77777777" w:rsidR="00590FE1" w:rsidRPr="001D5327" w:rsidRDefault="00590FE1" w:rsidP="00403787">
            <w:pPr>
              <w:pStyle w:val="TableText"/>
              <w:spacing w:before="40" w:after="40"/>
              <w:jc w:val="right"/>
              <w:rPr>
                <w:rFonts w:cs="Calibri"/>
              </w:rPr>
            </w:pPr>
            <w:r w:rsidRPr="001D5327">
              <w:rPr>
                <w:rFonts w:cs="Calibri"/>
              </w:rPr>
              <w:t>0.6</w:t>
            </w:r>
          </w:p>
        </w:tc>
      </w:tr>
      <w:tr w:rsidR="00590FE1" w:rsidRPr="001D5327" w14:paraId="0C27EA64" w14:textId="77777777" w:rsidTr="00E716C5">
        <w:tc>
          <w:tcPr>
            <w:tcW w:w="2941" w:type="dxa"/>
            <w:tcBorders>
              <w:top w:val="single" w:sz="4" w:space="0" w:color="1B556B" w:themeColor="text2"/>
              <w:left w:val="nil"/>
              <w:bottom w:val="single" w:sz="4" w:space="0" w:color="1B556B" w:themeColor="text2"/>
              <w:right w:val="nil"/>
            </w:tcBorders>
          </w:tcPr>
          <w:p w14:paraId="01467DE6" w14:textId="77777777" w:rsidR="00590FE1" w:rsidRPr="001D5327" w:rsidRDefault="00590FE1" w:rsidP="00403787">
            <w:pPr>
              <w:pStyle w:val="TableText"/>
              <w:spacing w:before="40" w:after="40"/>
              <w:rPr>
                <w:rFonts w:cs="Calibri"/>
              </w:rPr>
            </w:pPr>
            <w:r w:rsidRPr="001D5327">
              <w:rPr>
                <w:rFonts w:cs="Calibri"/>
              </w:rPr>
              <w:t>Pit storage</w:t>
            </w:r>
          </w:p>
        </w:tc>
        <w:tc>
          <w:tcPr>
            <w:tcW w:w="1454" w:type="dxa"/>
            <w:tcBorders>
              <w:top w:val="single" w:sz="4" w:space="0" w:color="1B556B" w:themeColor="text2"/>
              <w:left w:val="nil"/>
              <w:bottom w:val="single" w:sz="4" w:space="0" w:color="1B556B" w:themeColor="text2"/>
              <w:right w:val="nil"/>
            </w:tcBorders>
          </w:tcPr>
          <w:p w14:paraId="08588D5E" w14:textId="77777777" w:rsidR="00590FE1" w:rsidRPr="001D5327" w:rsidRDefault="00590FE1" w:rsidP="00403787">
            <w:pPr>
              <w:pStyle w:val="TableText"/>
              <w:spacing w:before="40" w:after="40"/>
              <w:rPr>
                <w:rFonts w:cs="Calibri"/>
              </w:rPr>
            </w:pPr>
            <w:r w:rsidRPr="001D5327">
              <w:rPr>
                <w:rFonts w:cs="Calibri"/>
              </w:rPr>
              <w:t>Swine</w:t>
            </w:r>
          </w:p>
        </w:tc>
        <w:tc>
          <w:tcPr>
            <w:tcW w:w="642" w:type="dxa"/>
            <w:tcBorders>
              <w:top w:val="single" w:sz="4" w:space="0" w:color="1B556B" w:themeColor="text2"/>
              <w:left w:val="nil"/>
              <w:bottom w:val="single" w:sz="4" w:space="0" w:color="1B556B" w:themeColor="text2"/>
              <w:right w:val="nil"/>
            </w:tcBorders>
          </w:tcPr>
          <w:p w14:paraId="4833F417" w14:textId="77777777" w:rsidR="00590FE1" w:rsidRPr="001D5327" w:rsidRDefault="00590FE1" w:rsidP="00403787">
            <w:pPr>
              <w:pStyle w:val="TableText"/>
              <w:spacing w:before="40" w:after="40"/>
              <w:jc w:val="right"/>
              <w:rPr>
                <w:rFonts w:cs="Calibri"/>
              </w:rPr>
            </w:pPr>
            <w:r w:rsidRPr="001D5327">
              <w:rPr>
                <w:rFonts w:cs="Calibri"/>
              </w:rPr>
              <w:t>0.25</w:t>
            </w:r>
          </w:p>
        </w:tc>
      </w:tr>
      <w:tr w:rsidR="00590FE1" w:rsidRPr="001D5327" w14:paraId="2A7F0A31" w14:textId="77777777" w:rsidTr="00E716C5">
        <w:tc>
          <w:tcPr>
            <w:tcW w:w="2941" w:type="dxa"/>
            <w:vMerge w:val="restart"/>
            <w:tcBorders>
              <w:top w:val="single" w:sz="4" w:space="0" w:color="1B556B" w:themeColor="text2"/>
              <w:left w:val="nil"/>
              <w:bottom w:val="single" w:sz="4" w:space="0" w:color="1B556B" w:themeColor="text2"/>
              <w:right w:val="nil"/>
            </w:tcBorders>
            <w:vAlign w:val="center"/>
          </w:tcPr>
          <w:p w14:paraId="7257B9D2" w14:textId="77777777" w:rsidR="00590FE1" w:rsidRPr="001D5327" w:rsidRDefault="00590FE1" w:rsidP="00403787">
            <w:pPr>
              <w:pStyle w:val="TableText"/>
              <w:spacing w:before="40" w:after="40"/>
              <w:rPr>
                <w:rFonts w:cs="Calibri"/>
              </w:rPr>
            </w:pPr>
            <w:r w:rsidRPr="001D5327">
              <w:rPr>
                <w:rFonts w:cs="Calibri"/>
              </w:rPr>
              <w:t>Other</w:t>
            </w:r>
          </w:p>
        </w:tc>
        <w:tc>
          <w:tcPr>
            <w:tcW w:w="1454" w:type="dxa"/>
            <w:tcBorders>
              <w:top w:val="single" w:sz="4" w:space="0" w:color="1B556B" w:themeColor="text2"/>
              <w:left w:val="nil"/>
              <w:bottom w:val="single" w:sz="4" w:space="0" w:color="1B556B" w:themeColor="text2"/>
              <w:right w:val="nil"/>
            </w:tcBorders>
          </w:tcPr>
          <w:p w14:paraId="2A808FAC" w14:textId="77777777" w:rsidR="00590FE1" w:rsidRPr="001D5327" w:rsidRDefault="00590FE1" w:rsidP="00403787">
            <w:pPr>
              <w:pStyle w:val="TableText"/>
              <w:spacing w:before="40" w:after="40"/>
              <w:rPr>
                <w:rFonts w:cs="Calibri"/>
              </w:rPr>
            </w:pPr>
            <w:r w:rsidRPr="001D5327">
              <w:rPr>
                <w:rFonts w:cs="Calibri"/>
              </w:rPr>
              <w:t>Swine</w:t>
            </w:r>
          </w:p>
        </w:tc>
        <w:tc>
          <w:tcPr>
            <w:tcW w:w="642" w:type="dxa"/>
            <w:tcBorders>
              <w:top w:val="single" w:sz="4" w:space="0" w:color="1B556B" w:themeColor="text2"/>
              <w:left w:val="nil"/>
              <w:bottom w:val="single" w:sz="4" w:space="0" w:color="1B556B" w:themeColor="text2"/>
              <w:right w:val="nil"/>
            </w:tcBorders>
          </w:tcPr>
          <w:p w14:paraId="21147FFE" w14:textId="77777777" w:rsidR="00590FE1" w:rsidRPr="001D5327" w:rsidRDefault="00590FE1" w:rsidP="00403787">
            <w:pPr>
              <w:pStyle w:val="TableText"/>
              <w:spacing w:before="40" w:after="40"/>
              <w:jc w:val="right"/>
              <w:rPr>
                <w:rFonts w:cs="Calibri"/>
              </w:rPr>
            </w:pPr>
            <w:r w:rsidRPr="001D5327">
              <w:rPr>
                <w:rFonts w:cs="Calibri"/>
              </w:rPr>
              <w:t>0.25</w:t>
            </w:r>
          </w:p>
        </w:tc>
      </w:tr>
      <w:tr w:rsidR="00590FE1" w:rsidRPr="001D5327" w14:paraId="57F3DEFB" w14:textId="77777777" w:rsidTr="00E716C5">
        <w:tc>
          <w:tcPr>
            <w:tcW w:w="2941" w:type="dxa"/>
            <w:vMerge/>
            <w:tcBorders>
              <w:top w:val="single" w:sz="4" w:space="0" w:color="1B556B" w:themeColor="text2"/>
              <w:left w:val="nil"/>
              <w:bottom w:val="single" w:sz="4" w:space="0" w:color="1B556B" w:themeColor="text2"/>
              <w:right w:val="nil"/>
            </w:tcBorders>
          </w:tcPr>
          <w:p w14:paraId="66B6C840" w14:textId="77777777" w:rsidR="00590FE1" w:rsidRPr="001D5327" w:rsidRDefault="00590FE1" w:rsidP="00403787">
            <w:pPr>
              <w:pStyle w:val="TableText"/>
              <w:spacing w:before="40" w:after="40"/>
              <w:rPr>
                <w:rFonts w:cs="Calibri"/>
              </w:rPr>
            </w:pPr>
          </w:p>
        </w:tc>
        <w:tc>
          <w:tcPr>
            <w:tcW w:w="1454" w:type="dxa"/>
            <w:tcBorders>
              <w:top w:val="single" w:sz="4" w:space="0" w:color="1B556B" w:themeColor="text2"/>
              <w:left w:val="nil"/>
              <w:bottom w:val="single" w:sz="4" w:space="0" w:color="1B556B" w:themeColor="text2"/>
              <w:right w:val="nil"/>
            </w:tcBorders>
          </w:tcPr>
          <w:p w14:paraId="0D2D1FE9" w14:textId="77777777" w:rsidR="00590FE1" w:rsidRPr="001D5327" w:rsidRDefault="00590FE1" w:rsidP="00403787">
            <w:pPr>
              <w:pStyle w:val="TableText"/>
              <w:spacing w:before="40" w:after="40"/>
              <w:rPr>
                <w:rFonts w:cs="Calibri"/>
              </w:rPr>
            </w:pPr>
            <w:r w:rsidRPr="001D5327">
              <w:rPr>
                <w:rFonts w:cs="Calibri"/>
              </w:rPr>
              <w:t>Poultry – broilers</w:t>
            </w:r>
          </w:p>
        </w:tc>
        <w:tc>
          <w:tcPr>
            <w:tcW w:w="642" w:type="dxa"/>
            <w:tcBorders>
              <w:top w:val="single" w:sz="4" w:space="0" w:color="1B556B" w:themeColor="text2"/>
              <w:left w:val="nil"/>
              <w:bottom w:val="single" w:sz="4" w:space="0" w:color="1B556B" w:themeColor="text2"/>
              <w:right w:val="nil"/>
            </w:tcBorders>
          </w:tcPr>
          <w:p w14:paraId="172DED43" w14:textId="77777777" w:rsidR="00590FE1" w:rsidRPr="001D5327" w:rsidRDefault="00590FE1" w:rsidP="00403787">
            <w:pPr>
              <w:pStyle w:val="TableText"/>
              <w:spacing w:before="40" w:after="40"/>
              <w:jc w:val="right"/>
              <w:rPr>
                <w:rFonts w:cs="Calibri"/>
              </w:rPr>
            </w:pPr>
            <w:r w:rsidRPr="001D5327">
              <w:rPr>
                <w:rFonts w:cs="Calibri"/>
              </w:rPr>
              <w:t>0.25</w:t>
            </w:r>
          </w:p>
        </w:tc>
      </w:tr>
      <w:tr w:rsidR="00590FE1" w:rsidRPr="001D5327" w14:paraId="36F0798C" w14:textId="77777777" w:rsidTr="00E716C5">
        <w:tc>
          <w:tcPr>
            <w:tcW w:w="2941" w:type="dxa"/>
            <w:vMerge/>
            <w:tcBorders>
              <w:top w:val="single" w:sz="4" w:space="0" w:color="1B556B" w:themeColor="text2"/>
              <w:left w:val="nil"/>
              <w:bottom w:val="single" w:sz="4" w:space="0" w:color="1B556B" w:themeColor="text2"/>
              <w:right w:val="nil"/>
            </w:tcBorders>
          </w:tcPr>
          <w:p w14:paraId="41BE3380" w14:textId="77777777" w:rsidR="00590FE1" w:rsidRPr="001D5327" w:rsidRDefault="00590FE1" w:rsidP="00403787">
            <w:pPr>
              <w:pStyle w:val="TableText"/>
              <w:spacing w:before="40" w:after="40"/>
              <w:rPr>
                <w:rFonts w:cs="Calibri"/>
              </w:rPr>
            </w:pPr>
          </w:p>
        </w:tc>
        <w:tc>
          <w:tcPr>
            <w:tcW w:w="1454" w:type="dxa"/>
            <w:tcBorders>
              <w:top w:val="single" w:sz="4" w:space="0" w:color="1B556B" w:themeColor="text2"/>
              <w:left w:val="nil"/>
              <w:bottom w:val="single" w:sz="4" w:space="0" w:color="1B556B" w:themeColor="text2"/>
              <w:right w:val="nil"/>
            </w:tcBorders>
          </w:tcPr>
          <w:p w14:paraId="38CA9A0E" w14:textId="77777777" w:rsidR="00590FE1" w:rsidRPr="001D5327" w:rsidRDefault="00590FE1" w:rsidP="00403787">
            <w:pPr>
              <w:pStyle w:val="TableText"/>
              <w:spacing w:before="40" w:after="40"/>
              <w:rPr>
                <w:rFonts w:cs="Calibri"/>
              </w:rPr>
            </w:pPr>
            <w:r w:rsidRPr="001D5327">
              <w:rPr>
                <w:rFonts w:cs="Calibri"/>
              </w:rPr>
              <w:t xml:space="preserve">Poultry – layers </w:t>
            </w:r>
          </w:p>
        </w:tc>
        <w:tc>
          <w:tcPr>
            <w:tcW w:w="642" w:type="dxa"/>
            <w:tcBorders>
              <w:top w:val="single" w:sz="4" w:space="0" w:color="1B556B" w:themeColor="text2"/>
              <w:left w:val="nil"/>
              <w:bottom w:val="single" w:sz="4" w:space="0" w:color="1B556B" w:themeColor="text2"/>
              <w:right w:val="nil"/>
            </w:tcBorders>
          </w:tcPr>
          <w:p w14:paraId="4F84DBC8" w14:textId="77777777" w:rsidR="00590FE1" w:rsidRPr="001D5327" w:rsidRDefault="00590FE1" w:rsidP="00403787">
            <w:pPr>
              <w:pStyle w:val="TableText"/>
              <w:spacing w:before="40" w:after="40"/>
              <w:jc w:val="right"/>
              <w:rPr>
                <w:rFonts w:cs="Calibri"/>
              </w:rPr>
            </w:pPr>
            <w:r w:rsidRPr="001D5327">
              <w:rPr>
                <w:rFonts w:cs="Calibri"/>
              </w:rPr>
              <w:t>0.25</w:t>
            </w:r>
          </w:p>
        </w:tc>
      </w:tr>
      <w:tr w:rsidR="00590FE1" w:rsidRPr="001D5327" w14:paraId="58DC0DE7" w14:textId="77777777" w:rsidTr="00E716C5">
        <w:tc>
          <w:tcPr>
            <w:tcW w:w="2941" w:type="dxa"/>
            <w:vMerge/>
            <w:tcBorders>
              <w:top w:val="single" w:sz="4" w:space="0" w:color="1B556B" w:themeColor="text2"/>
              <w:left w:val="nil"/>
              <w:bottom w:val="single" w:sz="4" w:space="0" w:color="1B556B" w:themeColor="text2"/>
              <w:right w:val="nil"/>
            </w:tcBorders>
          </w:tcPr>
          <w:p w14:paraId="4273CD4C" w14:textId="77777777" w:rsidR="00590FE1" w:rsidRPr="001D5327" w:rsidRDefault="00590FE1" w:rsidP="00403787">
            <w:pPr>
              <w:pStyle w:val="TableText"/>
              <w:spacing w:before="40" w:after="40"/>
              <w:rPr>
                <w:rFonts w:cs="Calibri"/>
              </w:rPr>
            </w:pPr>
          </w:p>
        </w:tc>
        <w:tc>
          <w:tcPr>
            <w:tcW w:w="1454" w:type="dxa"/>
            <w:tcBorders>
              <w:top w:val="single" w:sz="4" w:space="0" w:color="1B556B" w:themeColor="text2"/>
              <w:left w:val="nil"/>
              <w:bottom w:val="single" w:sz="4" w:space="0" w:color="1B556B" w:themeColor="text2"/>
              <w:right w:val="nil"/>
            </w:tcBorders>
          </w:tcPr>
          <w:p w14:paraId="6F97A37D" w14:textId="77777777" w:rsidR="00590FE1" w:rsidRPr="001D5327" w:rsidRDefault="00590FE1" w:rsidP="00403787">
            <w:pPr>
              <w:pStyle w:val="TableText"/>
              <w:spacing w:before="40" w:after="40"/>
              <w:rPr>
                <w:rFonts w:cs="Calibri"/>
              </w:rPr>
            </w:pPr>
            <w:r w:rsidRPr="001D5327">
              <w:rPr>
                <w:rFonts w:cs="Calibri"/>
              </w:rPr>
              <w:t xml:space="preserve">Poultry – other </w:t>
            </w:r>
          </w:p>
        </w:tc>
        <w:tc>
          <w:tcPr>
            <w:tcW w:w="642" w:type="dxa"/>
            <w:tcBorders>
              <w:top w:val="single" w:sz="4" w:space="0" w:color="1B556B" w:themeColor="text2"/>
              <w:left w:val="nil"/>
              <w:bottom w:val="single" w:sz="4" w:space="0" w:color="1B556B" w:themeColor="text2"/>
              <w:right w:val="nil"/>
            </w:tcBorders>
          </w:tcPr>
          <w:p w14:paraId="2767EC2C" w14:textId="77777777" w:rsidR="00590FE1" w:rsidRPr="001D5327" w:rsidRDefault="00590FE1" w:rsidP="00403787">
            <w:pPr>
              <w:pStyle w:val="TableText"/>
              <w:spacing w:before="40" w:after="40"/>
              <w:jc w:val="right"/>
              <w:rPr>
                <w:rFonts w:cs="Calibri"/>
              </w:rPr>
            </w:pPr>
            <w:r w:rsidRPr="001D5327">
              <w:rPr>
                <w:rFonts w:cs="Calibri"/>
              </w:rPr>
              <w:t>0.25</w:t>
            </w:r>
          </w:p>
        </w:tc>
      </w:tr>
    </w:tbl>
    <w:p w14:paraId="0D0E406C" w14:textId="77777777" w:rsidR="00590FE1" w:rsidRPr="001D5327" w:rsidRDefault="00590FE1" w:rsidP="00590FE1">
      <w:pPr>
        <w:pStyle w:val="Source"/>
        <w:spacing w:after="120"/>
      </w:pPr>
      <w:r w:rsidRPr="001D5327">
        <w:t>Source:</w:t>
      </w:r>
      <w:r w:rsidRPr="001D5327">
        <w:rPr>
          <w:b/>
          <w:bCs/>
        </w:rPr>
        <w:t xml:space="preserve"> </w:t>
      </w:r>
      <w:r w:rsidRPr="001D5327">
        <w:rPr>
          <w:b/>
        </w:rPr>
        <w:tab/>
      </w:r>
      <w:r w:rsidRPr="001D5327">
        <w:t>IPCC (2019) table 10.22</w:t>
      </w:r>
    </w:p>
    <w:p w14:paraId="76CA191E" w14:textId="77777777" w:rsidR="00590FE1" w:rsidRPr="001D5327" w:rsidRDefault="00590FE1" w:rsidP="00590FE1">
      <w:pPr>
        <w:pStyle w:val="Heading3"/>
        <w:spacing w:before="240"/>
      </w:pPr>
      <w:r w:rsidRPr="001D5327">
        <w:t>5.3.3</w:t>
      </w:r>
      <w:r w:rsidRPr="001D5327">
        <w:tab/>
      </w:r>
      <w:bookmarkStart w:id="978" w:name="_Toc32570660"/>
      <w:r w:rsidRPr="001D5327">
        <w:t>Uncertainty assessment and time-series consistency</w:t>
      </w:r>
      <w:bookmarkEnd w:id="978"/>
    </w:p>
    <w:p w14:paraId="42328258" w14:textId="77777777" w:rsidR="00590FE1" w:rsidRPr="001D5327" w:rsidRDefault="00590FE1" w:rsidP="00590FE1">
      <w:pPr>
        <w:pStyle w:val="BodyText"/>
        <w:spacing w:before="80"/>
      </w:pPr>
      <w:r w:rsidRPr="001D5327">
        <w:t>To ensure consistency, a single enhanced livestock population characterisation and feed-intake estimate is produced by the Tier 2 model for the major livestock categories. It is used in different parts of the calculations to estimate CH</w:t>
      </w:r>
      <w:r w:rsidRPr="001D5327">
        <w:rPr>
          <w:vertAlign w:val="subscript"/>
        </w:rPr>
        <w:t>4</w:t>
      </w:r>
      <w:r w:rsidRPr="001D5327">
        <w:t xml:space="preserve"> emissions for the </w:t>
      </w:r>
      <w:r w:rsidRPr="001D5327">
        <w:rPr>
          <w:i/>
          <w:iCs/>
        </w:rPr>
        <w:t>Enteric fermentation</w:t>
      </w:r>
      <w:r w:rsidRPr="001D5327">
        <w:t xml:space="preserve"> category, CH</w:t>
      </w:r>
      <w:r w:rsidRPr="001D5327">
        <w:rPr>
          <w:vertAlign w:val="subscript"/>
        </w:rPr>
        <w:t>4</w:t>
      </w:r>
      <w:r w:rsidRPr="001D5327">
        <w:t xml:space="preserve"> and N</w:t>
      </w:r>
      <w:r w:rsidRPr="001D5327">
        <w:rPr>
          <w:vertAlign w:val="subscript"/>
        </w:rPr>
        <w:t>2</w:t>
      </w:r>
      <w:r w:rsidRPr="001D5327">
        <w:t xml:space="preserve">O emissions for the </w:t>
      </w:r>
      <w:r w:rsidRPr="001D5327">
        <w:rPr>
          <w:i/>
          <w:iCs/>
        </w:rPr>
        <w:t>Manure management</w:t>
      </w:r>
      <w:r w:rsidRPr="001D5327">
        <w:t xml:space="preserve"> category and N</w:t>
      </w:r>
      <w:r w:rsidRPr="001D5327">
        <w:rPr>
          <w:vertAlign w:val="subscript"/>
        </w:rPr>
        <w:t>2</w:t>
      </w:r>
      <w:r w:rsidRPr="001D5327">
        <w:t xml:space="preserve">O emissions for the </w:t>
      </w:r>
      <w:r w:rsidRPr="001D5327">
        <w:rPr>
          <w:i/>
          <w:iCs/>
        </w:rPr>
        <w:t>Agricultural soils</w:t>
      </w:r>
      <w:r w:rsidRPr="001D5327">
        <w:t xml:space="preserve"> category.</w:t>
      </w:r>
    </w:p>
    <w:p w14:paraId="26BF39EB" w14:textId="77777777" w:rsidR="00590FE1" w:rsidRPr="001D5327" w:rsidRDefault="00590FE1" w:rsidP="00590FE1">
      <w:pPr>
        <w:pStyle w:val="Heading4"/>
        <w:spacing w:before="200"/>
      </w:pPr>
      <w:r w:rsidRPr="001D5327">
        <w:lastRenderedPageBreak/>
        <w:t xml:space="preserve">Methane emissions </w:t>
      </w:r>
    </w:p>
    <w:p w14:paraId="111DBEF2" w14:textId="77777777" w:rsidR="00590FE1" w:rsidRPr="001D5327" w:rsidRDefault="00590FE1" w:rsidP="00590FE1">
      <w:pPr>
        <w:pStyle w:val="BodyText"/>
        <w:keepLines/>
        <w:spacing w:before="100" w:after="100"/>
        <w:rPr>
          <w:rFonts w:cs="Calibri"/>
        </w:rPr>
      </w:pPr>
      <w:r w:rsidRPr="001D5327">
        <w:rPr>
          <w:rFonts w:cs="Calibri"/>
        </w:rPr>
        <w:t>The major sources of uncertainty in CH</w:t>
      </w:r>
      <w:r w:rsidRPr="001D5327">
        <w:rPr>
          <w:rFonts w:cs="Calibri"/>
          <w:vertAlign w:val="subscript"/>
        </w:rPr>
        <w:t>4</w:t>
      </w:r>
      <w:r w:rsidRPr="001D5327">
        <w:rPr>
          <w:rFonts w:cs="Calibri"/>
        </w:rPr>
        <w:t xml:space="preserve"> emissions from </w:t>
      </w:r>
      <w:r w:rsidRPr="001D5327">
        <w:rPr>
          <w:rFonts w:cs="Calibri"/>
          <w:i/>
          <w:iCs/>
        </w:rPr>
        <w:t>Manure management</w:t>
      </w:r>
      <w:r w:rsidRPr="001D5327">
        <w:rPr>
          <w:rFonts w:cs="Calibri"/>
        </w:rPr>
        <w:t xml:space="preserve"> are the accuracy of emission factors for manure management system distribution, livestock population numbers, and the classification and use of the various manure management systems (IPCC, 2006). The ranges for measured emissions for the major livestock categories have been stated, where available. </w:t>
      </w:r>
    </w:p>
    <w:p w14:paraId="3D3303D6" w14:textId="77777777" w:rsidR="00590FE1" w:rsidRPr="001D5327" w:rsidRDefault="00590FE1" w:rsidP="00590FE1">
      <w:pPr>
        <w:pStyle w:val="BodyText"/>
        <w:spacing w:before="100" w:after="100"/>
        <w:rPr>
          <w:rFonts w:cs="Calibri"/>
        </w:rPr>
      </w:pPr>
      <w:r w:rsidRPr="001D5327">
        <w:rPr>
          <w:rFonts w:cs="Calibri"/>
          <w:spacing w:val="-2"/>
        </w:rPr>
        <w:t>The IPCC (2006) states that emission factor estimates are likely to have uncertainties of ±30 per cent</w:t>
      </w:r>
      <w:r w:rsidRPr="001D5327">
        <w:rPr>
          <w:rFonts w:cs="Calibri"/>
        </w:rPr>
        <w:t xml:space="preserve"> for Tier 1 methodologies and ±20 per cent for Tier 2 methodologies. </w:t>
      </w:r>
      <w:r w:rsidRPr="001D5327">
        <w:t>New Zealand</w:t>
      </w:r>
      <w:r w:rsidRPr="001D5327">
        <w:rPr>
          <w:rFonts w:cs="Calibri"/>
        </w:rPr>
        <w:t xml:space="preserve"> </w:t>
      </w:r>
      <w:r w:rsidRPr="001D5327">
        <w:rPr>
          <w:rFonts w:cs="Calibri"/>
          <w:spacing w:val="-2"/>
        </w:rPr>
        <w:t>does not currently have country-specific uncertainty values for CH</w:t>
      </w:r>
      <w:r w:rsidRPr="001D5327">
        <w:rPr>
          <w:rFonts w:cs="Calibri"/>
          <w:spacing w:val="-2"/>
          <w:vertAlign w:val="subscript"/>
        </w:rPr>
        <w:t>4</w:t>
      </w:r>
      <w:r w:rsidRPr="001D5327">
        <w:rPr>
          <w:rFonts w:cs="Calibri"/>
          <w:spacing w:val="-2"/>
        </w:rPr>
        <w:t xml:space="preserve"> from </w:t>
      </w:r>
      <w:r w:rsidRPr="001D5327">
        <w:rPr>
          <w:rFonts w:cs="Calibri"/>
          <w:i/>
          <w:iCs/>
          <w:spacing w:val="-2"/>
        </w:rPr>
        <w:t>Manure</w:t>
      </w:r>
      <w:r w:rsidRPr="001D5327">
        <w:rPr>
          <w:i/>
          <w:spacing w:val="-2"/>
        </w:rPr>
        <w:t xml:space="preserve"> management</w:t>
      </w:r>
      <w:r w:rsidRPr="001D5327">
        <w:rPr>
          <w:rFonts w:cs="Calibri"/>
          <w:spacing w:val="-2"/>
        </w:rPr>
        <w:t>.</w:t>
      </w:r>
      <w:r w:rsidRPr="001D5327">
        <w:rPr>
          <w:rFonts w:cs="Calibri"/>
        </w:rPr>
        <w:t xml:space="preserve"> Because around 95 per cent of CH</w:t>
      </w:r>
      <w:r w:rsidRPr="001D5327">
        <w:rPr>
          <w:rFonts w:cs="Calibri"/>
          <w:vertAlign w:val="subscript"/>
        </w:rPr>
        <w:t>4</w:t>
      </w:r>
      <w:r w:rsidRPr="001D5327">
        <w:rPr>
          <w:rFonts w:cs="Calibri"/>
        </w:rPr>
        <w:t xml:space="preserve"> from </w:t>
      </w:r>
      <w:r w:rsidRPr="001D5327">
        <w:rPr>
          <w:rFonts w:cs="Calibri"/>
          <w:i/>
          <w:iCs/>
        </w:rPr>
        <w:t>Manure management</w:t>
      </w:r>
      <w:r w:rsidRPr="001D5327">
        <w:rPr>
          <w:rFonts w:cs="Calibri"/>
        </w:rPr>
        <w:t xml:space="preserve"> is calculated using Tier 2 methodologies, an uncertainty value of ±20 per cent has been used instead for the Tier 1 </w:t>
      </w:r>
      <w:r w:rsidRPr="001D5327">
        <w:rPr>
          <w:rFonts w:cs="Calibri"/>
          <w:i/>
          <w:iCs/>
        </w:rPr>
        <w:t xml:space="preserve">Manure management </w:t>
      </w:r>
      <w:r w:rsidRPr="001D5327">
        <w:rPr>
          <w:rFonts w:cs="Calibri"/>
        </w:rPr>
        <w:t>CH</w:t>
      </w:r>
      <w:r w:rsidRPr="001D5327">
        <w:rPr>
          <w:rFonts w:cs="Calibri"/>
          <w:vertAlign w:val="subscript"/>
        </w:rPr>
        <w:t>4</w:t>
      </w:r>
      <w:r w:rsidRPr="001D5327">
        <w:rPr>
          <w:rFonts w:cs="Calibri"/>
        </w:rPr>
        <w:t xml:space="preserve"> emissions uncertainty value. </w:t>
      </w:r>
    </w:p>
    <w:p w14:paraId="6926EBE0" w14:textId="77777777" w:rsidR="00590FE1" w:rsidRPr="001D5327" w:rsidRDefault="00590FE1" w:rsidP="00590FE1">
      <w:pPr>
        <w:pStyle w:val="BodyText"/>
        <w:spacing w:before="100" w:after="100"/>
        <w:rPr>
          <w:rFonts w:cs="Calibri"/>
        </w:rPr>
      </w:pPr>
      <w:r w:rsidRPr="001D5327">
        <w:rPr>
          <w:rFonts w:cs="Calibri"/>
        </w:rPr>
        <w:t xml:space="preserve">Uncertainties for the livestock characterisation are also discussed in section 5.1.4 and annex 5, section A5.1.1. </w:t>
      </w:r>
    </w:p>
    <w:p w14:paraId="1533E6FD" w14:textId="77777777" w:rsidR="00590FE1" w:rsidRPr="001D5327" w:rsidRDefault="00590FE1" w:rsidP="00590FE1">
      <w:pPr>
        <w:pStyle w:val="Heading4"/>
        <w:spacing w:before="200"/>
      </w:pPr>
      <w:r w:rsidRPr="001D5327">
        <w:t>Nitrous oxide emissions</w:t>
      </w:r>
    </w:p>
    <w:p w14:paraId="03313FFF" w14:textId="77777777" w:rsidR="00590FE1" w:rsidRPr="001D5327" w:rsidRDefault="00590FE1" w:rsidP="00590FE1">
      <w:pPr>
        <w:pStyle w:val="BodyText"/>
        <w:spacing w:before="100" w:after="100"/>
        <w:rPr>
          <w:rFonts w:cs="Calibri"/>
        </w:rPr>
      </w:pPr>
      <w:r w:rsidRPr="001D5327">
        <w:rPr>
          <w:rFonts w:cs="Calibri"/>
        </w:rPr>
        <w:t xml:space="preserve">The main factors causing uncertainty in direct and indirect </w:t>
      </w:r>
      <w:r w:rsidRPr="001D5327">
        <w:t>N</w:t>
      </w:r>
      <w:r w:rsidRPr="001D5327">
        <w:rPr>
          <w:vertAlign w:val="subscript"/>
        </w:rPr>
        <w:t>2</w:t>
      </w:r>
      <w:r w:rsidRPr="001D5327">
        <w:t>O</w:t>
      </w:r>
      <w:r w:rsidRPr="001D5327">
        <w:rPr>
          <w:rFonts w:cs="Calibri"/>
        </w:rPr>
        <w:t xml:space="preserve"> emissions from manure management are the N</w:t>
      </w:r>
      <w:r w:rsidRPr="001D5327">
        <w:rPr>
          <w:rFonts w:cs="Calibri"/>
          <w:vertAlign w:val="subscript"/>
        </w:rPr>
        <w:t>ex</w:t>
      </w:r>
      <w:r w:rsidRPr="001D5327">
        <w:rPr>
          <w:rFonts w:cs="Calibri"/>
        </w:rPr>
        <w:t xml:space="preserve"> rates, the emission factors for manure and manure management systems, activity data on the livestock population, and the classification and use of the various manure management systems (IPCC, 2006). </w:t>
      </w:r>
    </w:p>
    <w:p w14:paraId="1370C313" w14:textId="1933B7B5" w:rsidR="00590FE1" w:rsidRPr="001D5327" w:rsidRDefault="00590FE1" w:rsidP="00590FE1">
      <w:pPr>
        <w:pStyle w:val="BodyText"/>
        <w:spacing w:before="100" w:after="100"/>
        <w:rPr>
          <w:rFonts w:cs="Calibri"/>
        </w:rPr>
      </w:pPr>
      <w:r w:rsidRPr="001D5327">
        <w:rPr>
          <w:rFonts w:cs="Calibri"/>
        </w:rPr>
        <w:t>Uncertainty ranges for the default N</w:t>
      </w:r>
      <w:r w:rsidRPr="001D5327">
        <w:rPr>
          <w:rFonts w:cs="Calibri"/>
          <w:vertAlign w:val="subscript"/>
        </w:rPr>
        <w:t>ex</w:t>
      </w:r>
      <w:r w:rsidRPr="001D5327">
        <w:rPr>
          <w:rFonts w:cs="Calibri"/>
        </w:rPr>
        <w:t xml:space="preserve"> values are estimated at about ±50 per cent (IPCC, 2006), and may be substantially smaller for the values for the livestock whose N</w:t>
      </w:r>
      <w:r w:rsidRPr="001D5327">
        <w:rPr>
          <w:rFonts w:cs="Calibri"/>
          <w:vertAlign w:val="subscript"/>
        </w:rPr>
        <w:t>ex</w:t>
      </w:r>
      <w:r w:rsidRPr="001D5327">
        <w:rPr>
          <w:rFonts w:cs="Calibri"/>
        </w:rPr>
        <w:t xml:space="preserve"> rates were derived from in-country statistics on productivity. </w:t>
      </w:r>
      <w:r w:rsidRPr="001D5327">
        <w:t>New Zealand</w:t>
      </w:r>
      <w:r w:rsidRPr="001D5327">
        <w:rPr>
          <w:rFonts w:cs="Calibri"/>
        </w:rPr>
        <w:t xml:space="preserve"> uses the default values for EF</w:t>
      </w:r>
      <w:r w:rsidRPr="001D5327">
        <w:rPr>
          <w:rFonts w:cs="Calibri"/>
          <w:vertAlign w:val="subscript"/>
        </w:rPr>
        <w:t>3</w:t>
      </w:r>
      <w:r w:rsidRPr="001D5327">
        <w:rPr>
          <w:rFonts w:cs="Calibri"/>
        </w:rPr>
        <w:t xml:space="preserve"> for direct </w:t>
      </w:r>
      <w:r w:rsidRPr="001D5327">
        <w:t>N</w:t>
      </w:r>
      <w:r w:rsidRPr="001D5327">
        <w:rPr>
          <w:vertAlign w:val="subscript"/>
        </w:rPr>
        <w:t>2</w:t>
      </w:r>
      <w:r w:rsidRPr="001D5327">
        <w:t>O</w:t>
      </w:r>
      <w:r w:rsidRPr="001D5327">
        <w:rPr>
          <w:rFonts w:cs="Calibri"/>
        </w:rPr>
        <w:t xml:space="preserve"> emissions from the manure management of swine and poultry, which have uncertainties ranging from </w:t>
      </w:r>
      <w:r w:rsidR="0070503C">
        <w:rPr>
          <w:rFonts w:cs="Calibri"/>
        </w:rPr>
        <w:t>-</w:t>
      </w:r>
      <w:r w:rsidRPr="001D5327">
        <w:rPr>
          <w:rFonts w:cs="Calibri"/>
        </w:rPr>
        <w:t xml:space="preserve">50 per cent to +100 per cent (IPCC, 2006, table 10.21). An uncertainty value range of ±100 per cent has been used for the </w:t>
      </w:r>
      <w:r w:rsidRPr="001D5327">
        <w:rPr>
          <w:rFonts w:cs="Calibri"/>
          <w:i/>
          <w:iCs/>
        </w:rPr>
        <w:t>Manure management</w:t>
      </w:r>
      <w:r w:rsidRPr="001D5327">
        <w:rPr>
          <w:rFonts w:cs="Calibri"/>
        </w:rPr>
        <w:t xml:space="preserve"> </w:t>
      </w:r>
      <w:r w:rsidRPr="001D5327">
        <w:t>N</w:t>
      </w:r>
      <w:r w:rsidRPr="001D5327">
        <w:rPr>
          <w:vertAlign w:val="subscript"/>
        </w:rPr>
        <w:t>2</w:t>
      </w:r>
      <w:r w:rsidRPr="001D5327">
        <w:t>O</w:t>
      </w:r>
      <w:r w:rsidRPr="001D5327">
        <w:rPr>
          <w:rFonts w:cs="Calibri"/>
        </w:rPr>
        <w:t xml:space="preserve"> emissions uncertainty (Giltrap et al., 2016).</w:t>
      </w:r>
    </w:p>
    <w:p w14:paraId="67F87489" w14:textId="77777777" w:rsidR="00590FE1" w:rsidRPr="001D5327" w:rsidRDefault="00590FE1" w:rsidP="00590FE1">
      <w:pPr>
        <w:pStyle w:val="BodyText"/>
      </w:pPr>
      <w:r w:rsidRPr="001D5327">
        <w:t xml:space="preserve">As above, uncertainties for the livestock characterisation are discussed in section 5.1.4 and annex 5, section A5.1.1. </w:t>
      </w:r>
    </w:p>
    <w:p w14:paraId="419BAB4C" w14:textId="77777777" w:rsidR="00590FE1" w:rsidRPr="001D5327" w:rsidRDefault="00590FE1" w:rsidP="00590FE1">
      <w:pPr>
        <w:pStyle w:val="Heading3"/>
      </w:pPr>
      <w:bookmarkStart w:id="979" w:name="_Toc139253927"/>
      <w:bookmarkStart w:id="980" w:name="_Toc32570661"/>
      <w:r w:rsidRPr="001D5327">
        <w:t>5.3.4</w:t>
      </w:r>
      <w:r w:rsidRPr="001D5327">
        <w:tab/>
        <w:t>Category-specific QA/QC and verification</w:t>
      </w:r>
      <w:bookmarkEnd w:id="979"/>
      <w:bookmarkEnd w:id="980"/>
    </w:p>
    <w:p w14:paraId="0C07624C" w14:textId="77777777" w:rsidR="00590FE1" w:rsidRPr="001D5327" w:rsidRDefault="00590FE1" w:rsidP="00590FE1">
      <w:pPr>
        <w:pStyle w:val="BodyText"/>
        <w:rPr>
          <w:i/>
        </w:rPr>
      </w:pPr>
      <w:r w:rsidRPr="001D5327">
        <w:t xml:space="preserve">Methane from </w:t>
      </w:r>
      <w:r w:rsidRPr="001D5327">
        <w:rPr>
          <w:i/>
          <w:iCs/>
        </w:rPr>
        <w:t>Manure management</w:t>
      </w:r>
      <w:r w:rsidRPr="001D5327">
        <w:t xml:space="preserve"> from </w:t>
      </w:r>
      <w:r w:rsidRPr="001D5327">
        <w:rPr>
          <w:i/>
          <w:iCs/>
        </w:rPr>
        <w:t>Dairy</w:t>
      </w:r>
      <w:r w:rsidRPr="001D5327">
        <w:rPr>
          <w:i/>
        </w:rPr>
        <w:t xml:space="preserve"> cattle</w:t>
      </w:r>
      <w:r w:rsidRPr="001D5327">
        <w:t xml:space="preserve"> was identified as a key category for </w:t>
      </w:r>
      <w:r w:rsidRPr="001D5327" w:rsidDel="00003643">
        <w:t>New</w:t>
      </w:r>
      <w:r w:rsidRPr="001D5327">
        <w:t xml:space="preserve"> Zealand in the 2023 level and trend assessment. Methane from </w:t>
      </w:r>
      <w:r w:rsidRPr="001D5327">
        <w:rPr>
          <w:i/>
          <w:iCs/>
        </w:rPr>
        <w:t>Manure management</w:t>
      </w:r>
      <w:r w:rsidRPr="001D5327">
        <w:t xml:space="preserve"> from </w:t>
      </w:r>
      <w:r w:rsidRPr="001D5327">
        <w:rPr>
          <w:i/>
          <w:iCs/>
        </w:rPr>
        <w:t>Sheep</w:t>
      </w:r>
      <w:r w:rsidRPr="001D5327">
        <w:t xml:space="preserve"> was identified as a key category for New Zealand in the 2022 trend assessment.</w:t>
      </w:r>
      <w:r w:rsidRPr="001D5327">
        <w:rPr>
          <w:i/>
          <w:iCs/>
        </w:rPr>
        <w:t xml:space="preserve"> </w:t>
      </w:r>
    </w:p>
    <w:p w14:paraId="1252AF5D" w14:textId="77777777" w:rsidR="00590FE1" w:rsidRPr="001D5327" w:rsidRDefault="00590FE1" w:rsidP="00590FE1">
      <w:pPr>
        <w:pStyle w:val="BodyText"/>
      </w:pPr>
      <w:r w:rsidRPr="001D5327">
        <w:t>In the preparation for this inventory submission, the data for this category underwent Tier 1 and Tier 2 quality checks.</w:t>
      </w:r>
    </w:p>
    <w:p w14:paraId="091E4DA4" w14:textId="77777777" w:rsidR="00590FE1" w:rsidRPr="001D5327" w:rsidRDefault="00590FE1" w:rsidP="00590FE1">
      <w:pPr>
        <w:pStyle w:val="BodyText"/>
      </w:pPr>
      <w:r w:rsidRPr="001D5327">
        <w:t xml:space="preserve">Table 5.3.7 shows a comparison of the </w:t>
      </w:r>
      <w:r w:rsidRPr="001D5327" w:rsidDel="00003643">
        <w:t xml:space="preserve">New </w:t>
      </w:r>
      <w:r w:rsidRPr="001D5327">
        <w:t>Zealand-specific 2023 IEF for CH</w:t>
      </w:r>
      <w:r w:rsidRPr="001D5327">
        <w:rPr>
          <w:vertAlign w:val="subscript"/>
        </w:rPr>
        <w:t>4</w:t>
      </w:r>
      <w:r w:rsidRPr="001D5327">
        <w:t xml:space="preserve"> from </w:t>
      </w:r>
      <w:r w:rsidRPr="001D5327">
        <w:rPr>
          <w:i/>
          <w:iCs/>
        </w:rPr>
        <w:t>Manure management</w:t>
      </w:r>
      <w:r w:rsidRPr="001D5327">
        <w:t xml:space="preserve"> with the IPCC (2006) Tier 1 Oceania default, the IPCC Tier 2 net energy-based value and the 2022 Australian-specific IEF for </w:t>
      </w:r>
      <w:r w:rsidRPr="001D5327">
        <w:rPr>
          <w:i/>
          <w:iCs/>
        </w:rPr>
        <w:t>Dairy cattle</w:t>
      </w:r>
      <w:r w:rsidRPr="001D5327">
        <w:t xml:space="preserve">, </w:t>
      </w:r>
      <w:r w:rsidRPr="001D5327">
        <w:rPr>
          <w:i/>
          <w:iCs/>
        </w:rPr>
        <w:t>Non-dairy cattle</w:t>
      </w:r>
      <w:r w:rsidRPr="001D5327">
        <w:t xml:space="preserve"> and </w:t>
      </w:r>
      <w:r w:rsidRPr="001D5327">
        <w:rPr>
          <w:i/>
          <w:iCs/>
        </w:rPr>
        <w:t xml:space="preserve">Sheep </w:t>
      </w:r>
      <w:r w:rsidRPr="001D5327">
        <w:t>(Australian Government, 2024). The IPCC Tier 2 value was determined from net energy equations to determine gross energy for each of New Zealand’s major livestock categories. This information is then used to determine volatile solid excretion and the annual CH</w:t>
      </w:r>
      <w:r w:rsidRPr="001D5327">
        <w:rPr>
          <w:vertAlign w:val="subscript"/>
        </w:rPr>
        <w:t>4</w:t>
      </w:r>
      <w:r w:rsidRPr="001D5327">
        <w:t xml:space="preserve"> emission factors for each livestock category as per the equations described in the 2006 IPCC Guidelines (i.e., equations 10.16, 10.23 and 10.24, IPCC, 2006).</w:t>
      </w:r>
    </w:p>
    <w:p w14:paraId="6A9551A9" w14:textId="77777777" w:rsidR="00590FE1" w:rsidRPr="001D5327" w:rsidRDefault="00590FE1" w:rsidP="00590FE1">
      <w:pPr>
        <w:pStyle w:val="BodyText"/>
      </w:pPr>
      <w:r w:rsidRPr="001D5327">
        <w:lastRenderedPageBreak/>
        <w:t>New Zealand has lower IEFs for CH</w:t>
      </w:r>
      <w:r w:rsidRPr="001D5327">
        <w:rPr>
          <w:vertAlign w:val="subscript"/>
        </w:rPr>
        <w:t>4</w:t>
      </w:r>
      <w:r w:rsidRPr="001D5327">
        <w:t xml:space="preserve"> from </w:t>
      </w:r>
      <w:r w:rsidRPr="001D5327">
        <w:rPr>
          <w:i/>
          <w:iCs/>
        </w:rPr>
        <w:t>Manure management</w:t>
      </w:r>
      <w:r w:rsidRPr="001D5327">
        <w:t xml:space="preserve"> for dairy cattle, non-dairy cattle and sheep than the IPCC Tier 1 Oceania default emission factors. New Zealand has higher IEFs for dairy and non-dairy cattle and a lower IEF for sheep than the IPCC Tier 2 net energy-based emission factors. Additionally, </w:t>
      </w:r>
      <w:r w:rsidRPr="001D5327" w:rsidDel="00A124AE">
        <w:t xml:space="preserve">New </w:t>
      </w:r>
      <w:r w:rsidRPr="001D5327">
        <w:t>Zealand has lower dairy and non-dairy IEFs for CH</w:t>
      </w:r>
      <w:r w:rsidRPr="001D5327">
        <w:rPr>
          <w:vertAlign w:val="subscript"/>
        </w:rPr>
        <w:t>4</w:t>
      </w:r>
      <w:r w:rsidRPr="001D5327">
        <w:t xml:space="preserve"> from </w:t>
      </w:r>
      <w:r w:rsidRPr="001D5327">
        <w:rPr>
          <w:i/>
          <w:iCs/>
        </w:rPr>
        <w:t>Manure management</w:t>
      </w:r>
      <w:r w:rsidRPr="001D5327">
        <w:t xml:space="preserve"> than the Australian-specific 2022 IEFs. Differences between New Zealand’s IEFs, the IPCC Tier 1 and Tier 2 and the Australian-specific IEFs are due to the reasons outlined under </w:t>
      </w:r>
      <w:r w:rsidRPr="001D5327">
        <w:rPr>
          <w:i/>
          <w:iCs/>
        </w:rPr>
        <w:t>Enteric fermentation</w:t>
      </w:r>
      <w:r w:rsidRPr="001D5327">
        <w:t xml:space="preserve"> (see section 5.2.4): that is, size and productivity of the animals, the age classes of livestock included in New Zealand’s modelling and the use of different algorithms to determine energy intake. The </w:t>
      </w:r>
      <w:r w:rsidRPr="001D5327" w:rsidDel="005C74CD">
        <w:t xml:space="preserve">New </w:t>
      </w:r>
      <w:r w:rsidRPr="001D5327">
        <w:t xml:space="preserve">Zealand-specific IEF from </w:t>
      </w:r>
      <w:r w:rsidRPr="001D5327">
        <w:rPr>
          <w:i/>
          <w:iCs/>
        </w:rPr>
        <w:t>Manure management</w:t>
      </w:r>
      <w:r w:rsidRPr="001D5327">
        <w:t xml:space="preserve"> for dairy cattle also reflects the activity data on the use of dairy effluent management systems in </w:t>
      </w:r>
      <w:r w:rsidRPr="001D5327" w:rsidDel="005C74CD">
        <w:t xml:space="preserve">New </w:t>
      </w:r>
      <w:r w:rsidRPr="001D5327">
        <w:t>Zealand (see section 5.3.2).</w:t>
      </w:r>
    </w:p>
    <w:p w14:paraId="7D6AAC5D" w14:textId="77777777" w:rsidR="00590FE1" w:rsidRPr="001D5327" w:rsidRDefault="00590FE1" w:rsidP="00590FE1">
      <w:pPr>
        <w:pStyle w:val="BodyText"/>
      </w:pPr>
      <w:r w:rsidRPr="001D5327">
        <w:t>The IEF for dairy cattle is much higher than the IEFs for non-dairy cattle and sheep. All manure for non-dairy cattle and sheep is deposited onto pasture. In contrast, 7.2 per cent of dairy cattle manure is captured by anaerobic lagoons (see t</w:t>
      </w:r>
      <w:r w:rsidRPr="001D5327">
        <w:rPr>
          <w:rFonts w:cs="Calibri"/>
        </w:rPr>
        <w:t xml:space="preserve">able 5.3.2). </w:t>
      </w:r>
      <w:r w:rsidRPr="001D5327">
        <w:t xml:space="preserve">When manure is stored in anaerobic lagoons, it decomposes anaerobically and can produce </w:t>
      </w:r>
      <w:r w:rsidRPr="001D5327">
        <w:rPr>
          <w:rFonts w:cs="Calibri"/>
        </w:rPr>
        <w:t>CH</w:t>
      </w:r>
      <w:r w:rsidRPr="001D5327">
        <w:rPr>
          <w:rFonts w:cs="Calibri"/>
          <w:vertAlign w:val="subscript"/>
        </w:rPr>
        <w:t>4</w:t>
      </w:r>
      <w:r w:rsidRPr="001D5327">
        <w:t xml:space="preserve">. When manure is deposited directly on pastures it tends to decompose under aerobic conditions and less </w:t>
      </w:r>
      <w:r w:rsidRPr="001D5327">
        <w:rPr>
          <w:rFonts w:cs="Calibri"/>
        </w:rPr>
        <w:t>CH</w:t>
      </w:r>
      <w:r w:rsidRPr="001D5327">
        <w:rPr>
          <w:rFonts w:cs="Calibri"/>
          <w:vertAlign w:val="subscript"/>
        </w:rPr>
        <w:t>4</w:t>
      </w:r>
      <w:r w:rsidRPr="001D5327">
        <w:rPr>
          <w:rFonts w:cs="Calibri"/>
        </w:rPr>
        <w:t> </w:t>
      </w:r>
      <w:r w:rsidRPr="001D5327">
        <w:t>is produced overall. Therefore, because some dairy cattle manure is captured by anaerobic lagoons, more CH</w:t>
      </w:r>
      <w:r w:rsidRPr="001D5327">
        <w:rPr>
          <w:vertAlign w:val="subscript"/>
        </w:rPr>
        <w:t>4</w:t>
      </w:r>
      <w:r w:rsidRPr="001D5327">
        <w:t xml:space="preserve"> is produced by dairy cattle manure management than non-dairy cattle or sheep manure management. Hence, the IEF is higher. </w:t>
      </w:r>
    </w:p>
    <w:p w14:paraId="0063622D" w14:textId="77777777" w:rsidR="00590FE1" w:rsidRPr="001D5327" w:rsidRDefault="00590FE1" w:rsidP="00590FE1">
      <w:pPr>
        <w:pStyle w:val="Table"/>
        <w:rPr>
          <w:rFonts w:cs="Calibri"/>
        </w:rPr>
      </w:pPr>
      <w:bookmarkStart w:id="981" w:name="_Toc441830878"/>
      <w:bookmarkStart w:id="982" w:name="_Toc451176092"/>
      <w:bookmarkStart w:id="983" w:name="_Toc481751520"/>
      <w:bookmarkStart w:id="984" w:name="_Toc507158608"/>
      <w:bookmarkStart w:id="985" w:name="_Toc511116742"/>
      <w:bookmarkStart w:id="986" w:name="_Toc5269482"/>
      <w:bookmarkStart w:id="987" w:name="_Toc32570925"/>
      <w:bookmarkStart w:id="988" w:name="_Toc36224560"/>
      <w:bookmarkStart w:id="989" w:name="_Toc68786445"/>
      <w:bookmarkStart w:id="990" w:name="_Toc95574079"/>
      <w:bookmarkStart w:id="991" w:name="_Toc127458264"/>
      <w:bookmarkStart w:id="992" w:name="_Toc131591360"/>
      <w:bookmarkStart w:id="993" w:name="_Toc164153848"/>
      <w:bookmarkStart w:id="994" w:name="_Toc194241718"/>
      <w:bookmarkStart w:id="995" w:name="_Toc288316755"/>
      <w:bookmarkStart w:id="996" w:name="_Toc352504973"/>
      <w:bookmarkStart w:id="997" w:name="_Toc160114452"/>
      <w:r w:rsidRPr="001D5327">
        <w:rPr>
          <w:rFonts w:cs="Calibri"/>
        </w:rPr>
        <w:t>Table 5.3.7</w:t>
      </w:r>
      <w:r w:rsidRPr="001D5327">
        <w:rPr>
          <w:rFonts w:cs="Calibri"/>
        </w:rPr>
        <w:tab/>
        <w:t>Comparison of IPCC (2006) table 10A-4 default emission factors and country-specific implied emission factors (IEFs) for methane from manure management</w:t>
      </w:r>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r w:rsidRPr="001D5327">
        <w:rPr>
          <w:rFonts w:cs="Calibri"/>
        </w:rPr>
        <w:t xml:space="preserve"> </w:t>
      </w:r>
      <w:bookmarkEnd w:id="995"/>
      <w:bookmarkEnd w:id="996"/>
      <w:bookmarkEnd w:id="997"/>
    </w:p>
    <w:tbl>
      <w:tblPr>
        <w:tblW w:w="8647" w:type="dxa"/>
        <w:tblBorders>
          <w:top w:val="single" w:sz="4" w:space="0" w:color="1B556B" w:themeColor="text2"/>
          <w:bottom w:val="single" w:sz="4" w:space="0" w:color="1B556B" w:themeColor="text2"/>
          <w:insideH w:val="single" w:sz="4" w:space="0" w:color="1B556B" w:themeColor="text2"/>
        </w:tblBorders>
        <w:tblLayout w:type="fixed"/>
        <w:tblCellMar>
          <w:left w:w="57" w:type="dxa"/>
          <w:right w:w="57" w:type="dxa"/>
        </w:tblCellMar>
        <w:tblLook w:val="0000" w:firstRow="0" w:lastRow="0" w:firstColumn="0" w:lastColumn="0" w:noHBand="0" w:noVBand="0"/>
      </w:tblPr>
      <w:tblGrid>
        <w:gridCol w:w="4111"/>
        <w:gridCol w:w="2552"/>
        <w:gridCol w:w="1275"/>
        <w:gridCol w:w="709"/>
      </w:tblGrid>
      <w:tr w:rsidR="00590FE1" w:rsidRPr="001D5327" w14:paraId="31F6035E" w14:textId="77777777" w:rsidTr="00886992">
        <w:trPr>
          <w:tblHeader/>
        </w:trPr>
        <w:tc>
          <w:tcPr>
            <w:tcW w:w="4111" w:type="dxa"/>
            <w:vMerge w:val="restart"/>
            <w:tcBorders>
              <w:bottom w:val="nil"/>
            </w:tcBorders>
            <w:shd w:val="clear" w:color="auto" w:fill="1B556B"/>
          </w:tcPr>
          <w:p w14:paraId="7FBA0B85" w14:textId="77777777" w:rsidR="00590FE1" w:rsidRPr="001D5327" w:rsidRDefault="00590FE1" w:rsidP="00403787">
            <w:pPr>
              <w:pStyle w:val="TableTextBold"/>
              <w:keepNext/>
              <w:spacing w:after="0"/>
              <w:rPr>
                <w:noProof w:val="0"/>
                <w:color w:val="FFFFFF" w:themeColor="background1"/>
              </w:rPr>
            </w:pPr>
          </w:p>
        </w:tc>
        <w:tc>
          <w:tcPr>
            <w:tcW w:w="4536" w:type="dxa"/>
            <w:gridSpan w:val="3"/>
            <w:tcBorders>
              <w:bottom w:val="nil"/>
            </w:tcBorders>
            <w:shd w:val="clear" w:color="auto" w:fill="1B556B"/>
          </w:tcPr>
          <w:p w14:paraId="1F58EFD8" w14:textId="77777777" w:rsidR="00590FE1" w:rsidRPr="001D5327" w:rsidRDefault="00590FE1" w:rsidP="00403787">
            <w:pPr>
              <w:pStyle w:val="TableTextBold"/>
              <w:spacing w:after="0"/>
              <w:ind w:left="2153"/>
              <w:rPr>
                <w:noProof w:val="0"/>
                <w:color w:val="FFFFFF" w:themeColor="background1"/>
              </w:rPr>
            </w:pPr>
            <w:r w:rsidRPr="001D5327">
              <w:rPr>
                <w:noProof w:val="0"/>
                <w:color w:val="FFFFFF" w:themeColor="background1"/>
              </w:rPr>
              <w:t>kg CH</w:t>
            </w:r>
            <w:r w:rsidRPr="001D5327">
              <w:rPr>
                <w:noProof w:val="0"/>
                <w:color w:val="FFFFFF" w:themeColor="background1"/>
                <w:vertAlign w:val="subscript"/>
              </w:rPr>
              <w:t>4</w:t>
            </w:r>
            <w:r w:rsidRPr="001D5327">
              <w:rPr>
                <w:noProof w:val="0"/>
                <w:color w:val="FFFFFF" w:themeColor="background1"/>
              </w:rPr>
              <w:t>/head/year</w:t>
            </w:r>
          </w:p>
        </w:tc>
      </w:tr>
      <w:tr w:rsidR="00590FE1" w:rsidRPr="001D5327" w14:paraId="12CCBD10" w14:textId="77777777" w:rsidTr="00886992">
        <w:trPr>
          <w:tblHeader/>
        </w:trPr>
        <w:tc>
          <w:tcPr>
            <w:tcW w:w="4111" w:type="dxa"/>
            <w:vMerge/>
            <w:tcBorders>
              <w:top w:val="nil"/>
            </w:tcBorders>
            <w:shd w:val="clear" w:color="auto" w:fill="1B556B"/>
          </w:tcPr>
          <w:p w14:paraId="45EBF514" w14:textId="77777777" w:rsidR="00590FE1" w:rsidRPr="001D5327" w:rsidRDefault="00590FE1" w:rsidP="00403787">
            <w:pPr>
              <w:pStyle w:val="TableTextBold"/>
              <w:keepNext/>
              <w:rPr>
                <w:noProof w:val="0"/>
                <w:color w:val="FFFFFF" w:themeColor="background1"/>
              </w:rPr>
            </w:pPr>
          </w:p>
        </w:tc>
        <w:tc>
          <w:tcPr>
            <w:tcW w:w="2552" w:type="dxa"/>
            <w:tcBorders>
              <w:top w:val="nil"/>
            </w:tcBorders>
            <w:shd w:val="clear" w:color="auto" w:fill="1B556B"/>
          </w:tcPr>
          <w:p w14:paraId="0825E87F" w14:textId="77777777" w:rsidR="00590FE1" w:rsidRPr="001D5327" w:rsidRDefault="00590FE1" w:rsidP="00403787">
            <w:pPr>
              <w:pStyle w:val="TableTextBold"/>
              <w:spacing w:before="0"/>
              <w:jc w:val="right"/>
              <w:rPr>
                <w:noProof w:val="0"/>
                <w:color w:val="FFFFFF" w:themeColor="background1"/>
              </w:rPr>
            </w:pPr>
            <w:r w:rsidRPr="001D5327">
              <w:rPr>
                <w:noProof w:val="0"/>
                <w:color w:val="FFFFFF" w:themeColor="background1"/>
              </w:rPr>
              <w:t>Dairy cattle</w:t>
            </w:r>
          </w:p>
        </w:tc>
        <w:tc>
          <w:tcPr>
            <w:tcW w:w="1275" w:type="dxa"/>
            <w:tcBorders>
              <w:top w:val="nil"/>
            </w:tcBorders>
            <w:shd w:val="clear" w:color="auto" w:fill="1B556B"/>
          </w:tcPr>
          <w:p w14:paraId="3154F6A7" w14:textId="77777777" w:rsidR="00590FE1" w:rsidRPr="001D5327" w:rsidRDefault="00590FE1" w:rsidP="00403787">
            <w:pPr>
              <w:pStyle w:val="TableTextBold"/>
              <w:spacing w:before="0"/>
              <w:jc w:val="right"/>
              <w:rPr>
                <w:noProof w:val="0"/>
                <w:color w:val="FFFFFF" w:themeColor="background1"/>
              </w:rPr>
            </w:pPr>
            <w:r w:rsidRPr="001D5327">
              <w:rPr>
                <w:noProof w:val="0"/>
                <w:color w:val="FFFFFF" w:themeColor="background1"/>
              </w:rPr>
              <w:t>Non-dairy cattle</w:t>
            </w:r>
          </w:p>
        </w:tc>
        <w:tc>
          <w:tcPr>
            <w:tcW w:w="709" w:type="dxa"/>
            <w:tcBorders>
              <w:top w:val="nil"/>
            </w:tcBorders>
            <w:shd w:val="clear" w:color="auto" w:fill="1B556B"/>
          </w:tcPr>
          <w:p w14:paraId="23872615" w14:textId="77777777" w:rsidR="00590FE1" w:rsidRPr="001D5327" w:rsidRDefault="00590FE1" w:rsidP="00403787">
            <w:pPr>
              <w:pStyle w:val="TableTextBold"/>
              <w:spacing w:before="0"/>
              <w:jc w:val="right"/>
              <w:rPr>
                <w:noProof w:val="0"/>
                <w:color w:val="FFFFFF" w:themeColor="background1"/>
              </w:rPr>
            </w:pPr>
            <w:r w:rsidRPr="001D5327">
              <w:rPr>
                <w:noProof w:val="0"/>
                <w:color w:val="FFFFFF" w:themeColor="background1"/>
              </w:rPr>
              <w:t xml:space="preserve">Sheep </w:t>
            </w:r>
          </w:p>
        </w:tc>
      </w:tr>
      <w:tr w:rsidR="00590FE1" w:rsidRPr="001D5327" w14:paraId="5BEF1096" w14:textId="77777777" w:rsidTr="00886992">
        <w:tc>
          <w:tcPr>
            <w:tcW w:w="4111" w:type="dxa"/>
          </w:tcPr>
          <w:p w14:paraId="537DC296" w14:textId="77777777" w:rsidR="00590FE1" w:rsidRPr="001D5327" w:rsidRDefault="00590FE1" w:rsidP="00403787">
            <w:pPr>
              <w:pStyle w:val="TableText"/>
              <w:keepNext/>
              <w:spacing w:before="50" w:after="50"/>
              <w:rPr>
                <w:rFonts w:cs="Calibri"/>
              </w:rPr>
            </w:pPr>
            <w:r w:rsidRPr="001D5327">
              <w:rPr>
                <w:rFonts w:cs="Calibri"/>
              </w:rPr>
              <w:t>IPCC Tier 1 Oceania default value (average temperature 15°C (cattle)/developed temperate default value (sheep))</w:t>
            </w:r>
          </w:p>
        </w:tc>
        <w:tc>
          <w:tcPr>
            <w:tcW w:w="2552" w:type="dxa"/>
          </w:tcPr>
          <w:p w14:paraId="1A9EE20A" w14:textId="77777777" w:rsidR="00590FE1" w:rsidRPr="001D5327" w:rsidRDefault="00590FE1" w:rsidP="00403787">
            <w:pPr>
              <w:pStyle w:val="TableText"/>
              <w:spacing w:before="50" w:after="50"/>
              <w:jc w:val="right"/>
              <w:rPr>
                <w:rFonts w:cs="Calibri"/>
              </w:rPr>
            </w:pPr>
            <w:r w:rsidRPr="001D5327">
              <w:rPr>
                <w:rFonts w:cs="Calibri"/>
              </w:rPr>
              <w:t>27.00</w:t>
            </w:r>
          </w:p>
        </w:tc>
        <w:tc>
          <w:tcPr>
            <w:tcW w:w="1275" w:type="dxa"/>
          </w:tcPr>
          <w:p w14:paraId="5C526289" w14:textId="77777777" w:rsidR="00590FE1" w:rsidRPr="001D5327" w:rsidRDefault="00590FE1" w:rsidP="00403787">
            <w:pPr>
              <w:pStyle w:val="TableText"/>
              <w:spacing w:before="50" w:after="50"/>
              <w:jc w:val="right"/>
              <w:rPr>
                <w:rFonts w:cs="Calibri"/>
              </w:rPr>
            </w:pPr>
            <w:r w:rsidRPr="001D5327">
              <w:rPr>
                <w:rFonts w:cs="Calibri"/>
              </w:rPr>
              <w:t>2.00</w:t>
            </w:r>
          </w:p>
        </w:tc>
        <w:tc>
          <w:tcPr>
            <w:tcW w:w="709" w:type="dxa"/>
          </w:tcPr>
          <w:p w14:paraId="5F9B17DB" w14:textId="77777777" w:rsidR="00590FE1" w:rsidRPr="001D5327" w:rsidRDefault="00590FE1" w:rsidP="00403787">
            <w:pPr>
              <w:pStyle w:val="TableText"/>
              <w:spacing w:before="50" w:after="50"/>
              <w:jc w:val="right"/>
              <w:rPr>
                <w:rFonts w:cs="Calibri"/>
              </w:rPr>
            </w:pPr>
            <w:r w:rsidRPr="001D5327">
              <w:rPr>
                <w:rFonts w:cs="Calibri"/>
              </w:rPr>
              <w:t>0.28</w:t>
            </w:r>
          </w:p>
        </w:tc>
      </w:tr>
      <w:tr w:rsidR="00590FE1" w:rsidRPr="001D5327" w14:paraId="2645BE9A" w14:textId="77777777" w:rsidTr="00886992">
        <w:tc>
          <w:tcPr>
            <w:tcW w:w="4111" w:type="dxa"/>
            <w:shd w:val="clear" w:color="auto" w:fill="auto"/>
          </w:tcPr>
          <w:p w14:paraId="7D5C3723" w14:textId="77777777" w:rsidR="00590FE1" w:rsidRPr="001D5327" w:rsidRDefault="00590FE1" w:rsidP="00403787">
            <w:pPr>
              <w:pStyle w:val="TableText"/>
              <w:keepNext/>
              <w:spacing w:before="50" w:after="50"/>
              <w:rPr>
                <w:rFonts w:cs="Calibri"/>
              </w:rPr>
            </w:pPr>
            <w:r w:rsidRPr="001D5327">
              <w:rPr>
                <w:rFonts w:cs="Calibri"/>
              </w:rPr>
              <w:t>IPCC Tier 2 net energy-based value</w:t>
            </w:r>
          </w:p>
        </w:tc>
        <w:tc>
          <w:tcPr>
            <w:tcW w:w="2552" w:type="dxa"/>
            <w:shd w:val="clear" w:color="auto" w:fill="auto"/>
          </w:tcPr>
          <w:p w14:paraId="55BC2217" w14:textId="77777777" w:rsidR="00590FE1" w:rsidRPr="001D5327" w:rsidRDefault="00590FE1" w:rsidP="00403787">
            <w:pPr>
              <w:pStyle w:val="TableText"/>
              <w:spacing w:before="50" w:after="50"/>
              <w:jc w:val="right"/>
              <w:rPr>
                <w:rFonts w:cs="Calibri"/>
              </w:rPr>
            </w:pPr>
            <w:r w:rsidRPr="001D5327">
              <w:rPr>
                <w:rFonts w:cs="Calibri"/>
              </w:rPr>
              <w:t>5.97</w:t>
            </w:r>
          </w:p>
        </w:tc>
        <w:tc>
          <w:tcPr>
            <w:tcW w:w="1275" w:type="dxa"/>
            <w:shd w:val="clear" w:color="auto" w:fill="auto"/>
          </w:tcPr>
          <w:p w14:paraId="2D74A73F" w14:textId="77777777" w:rsidR="00590FE1" w:rsidRPr="001D5327" w:rsidRDefault="00590FE1" w:rsidP="00403787">
            <w:pPr>
              <w:pStyle w:val="TableText"/>
              <w:spacing w:before="50" w:after="50"/>
              <w:jc w:val="right"/>
              <w:rPr>
                <w:rFonts w:cs="Calibri"/>
              </w:rPr>
            </w:pPr>
            <w:r w:rsidRPr="001D5327">
              <w:rPr>
                <w:rFonts w:cs="Calibri"/>
              </w:rPr>
              <w:t>0.82</w:t>
            </w:r>
          </w:p>
        </w:tc>
        <w:tc>
          <w:tcPr>
            <w:tcW w:w="709" w:type="dxa"/>
            <w:shd w:val="clear" w:color="auto" w:fill="auto"/>
          </w:tcPr>
          <w:p w14:paraId="6F40DC06" w14:textId="77777777" w:rsidR="00590FE1" w:rsidRPr="001D5327" w:rsidRDefault="00590FE1" w:rsidP="00403787">
            <w:pPr>
              <w:pStyle w:val="TableText"/>
              <w:spacing w:before="50" w:after="50"/>
              <w:jc w:val="right"/>
              <w:rPr>
                <w:rFonts w:cs="Calibri"/>
              </w:rPr>
            </w:pPr>
            <w:r w:rsidRPr="001D5327">
              <w:rPr>
                <w:rFonts w:cs="Calibri"/>
              </w:rPr>
              <w:t>0.18</w:t>
            </w:r>
          </w:p>
        </w:tc>
      </w:tr>
      <w:tr w:rsidR="00590FE1" w:rsidRPr="001D5327" w14:paraId="637E4DF2" w14:textId="77777777" w:rsidTr="00886992">
        <w:tc>
          <w:tcPr>
            <w:tcW w:w="4111" w:type="dxa"/>
          </w:tcPr>
          <w:p w14:paraId="5CADED7D" w14:textId="77777777" w:rsidR="00590FE1" w:rsidRPr="001D5327" w:rsidRDefault="00590FE1" w:rsidP="00403787">
            <w:pPr>
              <w:pStyle w:val="TableText"/>
              <w:spacing w:before="50" w:after="50"/>
              <w:rPr>
                <w:rFonts w:cs="Calibri"/>
                <w:szCs w:val="16"/>
              </w:rPr>
            </w:pPr>
            <w:r w:rsidRPr="001D5327">
              <w:rPr>
                <w:rFonts w:cs="Calibri"/>
                <w:szCs w:val="16"/>
              </w:rPr>
              <w:t>Australian-specific IEF 2022 value</w:t>
            </w:r>
            <w:r w:rsidRPr="001D5327">
              <w:rPr>
                <w:rStyle w:val="FootnoteReference"/>
                <w:rFonts w:cs="Calibri"/>
                <w:sz w:val="16"/>
                <w:szCs w:val="16"/>
              </w:rPr>
              <w:footnoteReference w:id="45"/>
            </w:r>
          </w:p>
        </w:tc>
        <w:tc>
          <w:tcPr>
            <w:tcW w:w="2552" w:type="dxa"/>
          </w:tcPr>
          <w:p w14:paraId="177CC28F" w14:textId="77777777" w:rsidR="00590FE1" w:rsidRPr="001D5327" w:rsidRDefault="00590FE1" w:rsidP="00403787">
            <w:pPr>
              <w:pStyle w:val="TableText"/>
              <w:spacing w:before="50" w:after="50"/>
              <w:jc w:val="right"/>
              <w:rPr>
                <w:rFonts w:cs="Calibri"/>
                <w:szCs w:val="16"/>
              </w:rPr>
            </w:pPr>
            <w:r w:rsidRPr="001D5327">
              <w:rPr>
                <w:rFonts w:cs="Calibri"/>
                <w:szCs w:val="16"/>
              </w:rPr>
              <w:t>13.98</w:t>
            </w:r>
          </w:p>
        </w:tc>
        <w:tc>
          <w:tcPr>
            <w:tcW w:w="1275" w:type="dxa"/>
          </w:tcPr>
          <w:p w14:paraId="28409BE0" w14:textId="77777777" w:rsidR="00590FE1" w:rsidRPr="001D5327" w:rsidRDefault="00590FE1" w:rsidP="00403787">
            <w:pPr>
              <w:pStyle w:val="TableText"/>
              <w:spacing w:before="50" w:after="0"/>
              <w:jc w:val="right"/>
              <w:rPr>
                <w:rFonts w:cs="Calibri"/>
                <w:color w:val="000000"/>
                <w:szCs w:val="16"/>
              </w:rPr>
            </w:pPr>
            <w:r w:rsidRPr="001D5327">
              <w:rPr>
                <w:rFonts w:cs="Calibri"/>
                <w:color w:val="000000"/>
                <w:szCs w:val="16"/>
              </w:rPr>
              <w:t>4.71 (pasture)</w:t>
            </w:r>
          </w:p>
          <w:p w14:paraId="51A8B57E" w14:textId="77777777" w:rsidR="00590FE1" w:rsidRPr="001D5327" w:rsidRDefault="00590FE1" w:rsidP="00403787">
            <w:pPr>
              <w:pStyle w:val="TableText"/>
              <w:spacing w:before="50" w:after="50"/>
              <w:jc w:val="right"/>
              <w:rPr>
                <w:rFonts w:cs="Calibri"/>
                <w:color w:val="000000"/>
                <w:szCs w:val="16"/>
              </w:rPr>
            </w:pPr>
            <w:r w:rsidRPr="001D5327">
              <w:rPr>
                <w:rFonts w:cs="Calibri"/>
                <w:szCs w:val="16"/>
              </w:rPr>
              <w:t>3.64 (feedlot)</w:t>
            </w:r>
          </w:p>
        </w:tc>
        <w:tc>
          <w:tcPr>
            <w:tcW w:w="709" w:type="dxa"/>
          </w:tcPr>
          <w:p w14:paraId="504789CD" w14:textId="77777777" w:rsidR="00590FE1" w:rsidRPr="001D5327" w:rsidRDefault="00590FE1" w:rsidP="00403787">
            <w:pPr>
              <w:pStyle w:val="TableText"/>
              <w:spacing w:before="50" w:after="50"/>
              <w:jc w:val="right"/>
              <w:rPr>
                <w:rFonts w:cs="Calibri"/>
                <w:szCs w:val="16"/>
              </w:rPr>
            </w:pPr>
            <w:r w:rsidRPr="001D5327">
              <w:rPr>
                <w:rFonts w:cs="Calibri"/>
                <w:color w:val="000000"/>
                <w:szCs w:val="16"/>
              </w:rPr>
              <w:t>0.34</w:t>
            </w:r>
          </w:p>
        </w:tc>
      </w:tr>
      <w:tr w:rsidR="00590FE1" w:rsidRPr="001D5327" w14:paraId="0D88BBC1" w14:textId="77777777" w:rsidTr="00886992">
        <w:tc>
          <w:tcPr>
            <w:tcW w:w="4111" w:type="dxa"/>
          </w:tcPr>
          <w:p w14:paraId="7F8119E6" w14:textId="77777777" w:rsidR="00590FE1" w:rsidRPr="001D5327" w:rsidRDefault="00590FE1" w:rsidP="00403787">
            <w:pPr>
              <w:pStyle w:val="TableText"/>
              <w:spacing w:before="50" w:after="50"/>
              <w:rPr>
                <w:rFonts w:cs="Calibri"/>
              </w:rPr>
            </w:pPr>
            <w:r w:rsidRPr="001D5327">
              <w:rPr>
                <w:rFonts w:cs="Calibri"/>
              </w:rPr>
              <w:t>New Zealand-specific IEF 2023 value</w:t>
            </w:r>
          </w:p>
        </w:tc>
        <w:tc>
          <w:tcPr>
            <w:tcW w:w="2552" w:type="dxa"/>
          </w:tcPr>
          <w:p w14:paraId="16CB765B" w14:textId="77777777" w:rsidR="00590FE1" w:rsidRPr="001D5327" w:rsidRDefault="00590FE1" w:rsidP="00403787">
            <w:pPr>
              <w:pStyle w:val="TableText"/>
              <w:spacing w:before="50" w:after="0"/>
              <w:jc w:val="right"/>
              <w:rPr>
                <w:rFonts w:cs="Calibri"/>
              </w:rPr>
            </w:pPr>
            <w:r w:rsidRPr="001D5327">
              <w:rPr>
                <w:rFonts w:cs="Calibri"/>
              </w:rPr>
              <w:t>9.22 (all dairy cattle, including calves)</w:t>
            </w:r>
          </w:p>
          <w:p w14:paraId="168846D2" w14:textId="77777777" w:rsidR="00590FE1" w:rsidRPr="001D5327" w:rsidRDefault="00590FE1" w:rsidP="00403787">
            <w:pPr>
              <w:pStyle w:val="TableText"/>
              <w:spacing w:before="50" w:after="50"/>
              <w:jc w:val="right"/>
              <w:rPr>
                <w:rFonts w:cs="Calibri"/>
              </w:rPr>
            </w:pPr>
            <w:r w:rsidRPr="001D5327">
              <w:rPr>
                <w:rFonts w:cs="Calibri"/>
              </w:rPr>
              <w:t>11.54 (mature milking cows only)</w:t>
            </w:r>
          </w:p>
        </w:tc>
        <w:tc>
          <w:tcPr>
            <w:tcW w:w="1275" w:type="dxa"/>
          </w:tcPr>
          <w:p w14:paraId="05119DE4" w14:textId="77777777" w:rsidR="00590FE1" w:rsidRPr="001D5327" w:rsidRDefault="00590FE1" w:rsidP="00403787">
            <w:pPr>
              <w:pStyle w:val="TableText"/>
              <w:spacing w:before="50" w:after="50"/>
              <w:jc w:val="right"/>
              <w:rPr>
                <w:rFonts w:cs="Calibri"/>
                <w:color w:val="000000"/>
                <w:szCs w:val="16"/>
              </w:rPr>
            </w:pPr>
            <w:r w:rsidRPr="001D5327">
              <w:t>0.96</w:t>
            </w:r>
          </w:p>
        </w:tc>
        <w:tc>
          <w:tcPr>
            <w:tcW w:w="709" w:type="dxa"/>
          </w:tcPr>
          <w:p w14:paraId="0FE2DEC4" w14:textId="77777777" w:rsidR="00590FE1" w:rsidRPr="001D5327" w:rsidRDefault="00590FE1" w:rsidP="00403787">
            <w:pPr>
              <w:pStyle w:val="TableText"/>
              <w:spacing w:before="50" w:after="50"/>
              <w:jc w:val="right"/>
              <w:rPr>
                <w:rFonts w:cs="Calibri"/>
                <w:color w:val="000000"/>
                <w:szCs w:val="16"/>
              </w:rPr>
            </w:pPr>
            <w:r w:rsidRPr="001D5327">
              <w:t>0.13</w:t>
            </w:r>
          </w:p>
        </w:tc>
      </w:tr>
    </w:tbl>
    <w:p w14:paraId="51979794" w14:textId="77777777" w:rsidR="00590FE1" w:rsidRPr="001D5327" w:rsidRDefault="00590FE1" w:rsidP="00590FE1">
      <w:pPr>
        <w:pStyle w:val="Heading3"/>
      </w:pPr>
      <w:bookmarkStart w:id="998" w:name="_Toc139253928"/>
      <w:bookmarkStart w:id="999" w:name="_Toc32570662"/>
      <w:r w:rsidRPr="001D5327">
        <w:t>5.3.5</w:t>
      </w:r>
      <w:r w:rsidRPr="001D5327">
        <w:tab/>
        <w:t>Category-specific recalculations</w:t>
      </w:r>
      <w:bookmarkEnd w:id="998"/>
      <w:bookmarkEnd w:id="999"/>
    </w:p>
    <w:p w14:paraId="3F9EF902" w14:textId="77777777" w:rsidR="00590FE1" w:rsidRPr="001D5327" w:rsidRDefault="00590FE1" w:rsidP="00590FE1">
      <w:pPr>
        <w:pStyle w:val="BodyText"/>
        <w:spacing w:before="100" w:after="100"/>
        <w:rPr>
          <w:rFonts w:cs="Calibri"/>
          <w:color w:val="000000"/>
          <w:shd w:val="clear" w:color="auto" w:fill="FFFFFF"/>
        </w:rPr>
      </w:pPr>
      <w:r w:rsidRPr="001D5327">
        <w:t xml:space="preserve">Emissions estimates in the </w:t>
      </w:r>
      <w:r w:rsidRPr="001D5327">
        <w:rPr>
          <w:i/>
        </w:rPr>
        <w:t>Manure management</w:t>
      </w:r>
      <w:r w:rsidRPr="001D5327">
        <w:t xml:space="preserve"> category reported in the 2025 submission have been affected by</w:t>
      </w:r>
      <w:r w:rsidRPr="001D5327">
        <w:rPr>
          <w:rFonts w:cs="Calibri"/>
          <w:color w:val="000000"/>
          <w:shd w:val="clear" w:color="auto" w:fill="FFFFFF"/>
        </w:rPr>
        <w:t xml:space="preserve"> </w:t>
      </w:r>
      <w:r w:rsidRPr="001D5327">
        <w:rPr>
          <w:color w:val="000000"/>
          <w:shd w:val="clear" w:color="auto" w:fill="FFFFFF"/>
        </w:rPr>
        <w:t xml:space="preserve">methodological </w:t>
      </w:r>
      <w:r w:rsidRPr="001D5327">
        <w:rPr>
          <w:rFonts w:cs="Calibri"/>
          <w:color w:val="000000"/>
          <w:shd w:val="clear" w:color="auto" w:fill="FFFFFF"/>
        </w:rPr>
        <w:t>improvements</w:t>
      </w:r>
      <w:r w:rsidRPr="001D5327">
        <w:rPr>
          <w:color w:val="000000"/>
          <w:shd w:val="clear" w:color="auto" w:fill="FFFFFF"/>
        </w:rPr>
        <w:t xml:space="preserve"> to:</w:t>
      </w:r>
      <w:r w:rsidRPr="001D5327">
        <w:rPr>
          <w:rFonts w:cs="Calibri"/>
          <w:color w:val="000000"/>
          <w:shd w:val="clear" w:color="auto" w:fill="FFFFFF"/>
        </w:rPr>
        <w:t xml:space="preserve"> (i) minor species population value changes; (ii) updating deer population and productivity statistics; (iii) updating emissions calculations for pigs; (iv) seasonality of wool growth; and (v) small error corrections to model code. </w:t>
      </w:r>
    </w:p>
    <w:p w14:paraId="50C39F50" w14:textId="77777777" w:rsidR="00590FE1" w:rsidRPr="001D5327" w:rsidRDefault="00590FE1" w:rsidP="00590FE1">
      <w:pPr>
        <w:pStyle w:val="Heading5"/>
        <w:rPr>
          <w:rFonts w:cs="Arial"/>
          <w:sz w:val="24"/>
        </w:rPr>
      </w:pPr>
      <w:r w:rsidRPr="001D5327">
        <w:rPr>
          <w:rFonts w:cs="Arial"/>
          <w:sz w:val="24"/>
        </w:rPr>
        <w:t>Minor species population value changes</w:t>
      </w:r>
    </w:p>
    <w:p w14:paraId="7BC394E1" w14:textId="77777777" w:rsidR="00590FE1" w:rsidRPr="001D5327" w:rsidRDefault="00590FE1" w:rsidP="00590FE1">
      <w:pPr>
        <w:pStyle w:val="BodyText"/>
        <w:spacing w:before="100" w:after="100"/>
        <w:rPr>
          <w:rFonts w:cs="Calibri"/>
          <w:color w:val="000000"/>
          <w:shd w:val="clear" w:color="auto" w:fill="FFFFFF"/>
        </w:rPr>
      </w:pPr>
      <w:r w:rsidRPr="001D5327">
        <w:rPr>
          <w:color w:val="000000"/>
          <w:shd w:val="clear" w:color="auto" w:fill="FFFFFF"/>
        </w:rPr>
        <w:t xml:space="preserve">For more </w:t>
      </w:r>
      <w:r w:rsidRPr="001D5327">
        <w:rPr>
          <w:rFonts w:cs="Calibri"/>
          <w:color w:val="000000"/>
          <w:shd w:val="clear" w:color="auto" w:fill="FFFFFF"/>
        </w:rPr>
        <w:t>detail on these changes,</w:t>
      </w:r>
      <w:r w:rsidRPr="001D5327">
        <w:rPr>
          <w:color w:val="000000"/>
          <w:shd w:val="clear" w:color="auto" w:fill="FFFFFF"/>
        </w:rPr>
        <w:t xml:space="preserve"> see section </w:t>
      </w:r>
      <w:r w:rsidRPr="001D5327">
        <w:rPr>
          <w:rFonts w:cs="Calibri"/>
          <w:color w:val="000000"/>
          <w:shd w:val="clear" w:color="auto" w:fill="FFFFFF"/>
        </w:rPr>
        <w:t xml:space="preserve">5.2.5. </w:t>
      </w:r>
    </w:p>
    <w:p w14:paraId="19336D42" w14:textId="77777777" w:rsidR="00590FE1" w:rsidRPr="001D5327" w:rsidRDefault="00590FE1" w:rsidP="00590FE1">
      <w:pPr>
        <w:pStyle w:val="Table"/>
        <w:rPr>
          <w:rFonts w:cs="Calibri"/>
        </w:rPr>
      </w:pPr>
      <w:bookmarkStart w:id="1000" w:name="_Toc127458265"/>
      <w:bookmarkStart w:id="1001" w:name="_Toc131591361"/>
      <w:bookmarkStart w:id="1002" w:name="_Toc160114453"/>
      <w:bookmarkStart w:id="1003" w:name="_Toc164153849"/>
      <w:bookmarkStart w:id="1004" w:name="_Toc194241719"/>
      <w:r w:rsidRPr="001D5327">
        <w:rPr>
          <w:rFonts w:cs="Calibri"/>
        </w:rPr>
        <w:lastRenderedPageBreak/>
        <w:t>Table 5.3.8</w:t>
      </w:r>
      <w:r w:rsidRPr="001D5327">
        <w:rPr>
          <w:rFonts w:cs="Calibri"/>
        </w:rPr>
        <w:tab/>
        <w:t xml:space="preserve">Comparison of the previous minor species populations and the updated minor species populations for emissions from </w:t>
      </w:r>
      <w:r w:rsidRPr="001D5327">
        <w:rPr>
          <w:rFonts w:cs="Calibri"/>
          <w:i/>
        </w:rPr>
        <w:t>Manure management</w:t>
      </w:r>
      <w:bookmarkEnd w:id="1000"/>
      <w:bookmarkEnd w:id="1001"/>
      <w:bookmarkEnd w:id="1002"/>
      <w:bookmarkEnd w:id="1003"/>
      <w:bookmarkEnd w:id="1004"/>
      <w:r w:rsidRPr="001D5327">
        <w:rPr>
          <w:rFonts w:cs="Calibri"/>
          <w:i/>
          <w:iCs/>
        </w:rPr>
        <w:t xml:space="preserve"> </w:t>
      </w:r>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4A0" w:firstRow="1" w:lastRow="0" w:firstColumn="1" w:lastColumn="0" w:noHBand="0" w:noVBand="1"/>
      </w:tblPr>
      <w:tblGrid>
        <w:gridCol w:w="1253"/>
        <w:gridCol w:w="1777"/>
        <w:gridCol w:w="856"/>
        <w:gridCol w:w="855"/>
        <w:gridCol w:w="1711"/>
        <w:gridCol w:w="2053"/>
      </w:tblGrid>
      <w:tr w:rsidR="00590FE1" w:rsidRPr="001D5327" w14:paraId="62FD1266" w14:textId="77777777" w:rsidTr="0038436F">
        <w:trPr>
          <w:tblHeader/>
        </w:trPr>
        <w:tc>
          <w:tcPr>
            <w:tcW w:w="1247" w:type="dxa"/>
            <w:shd w:val="clear" w:color="auto" w:fill="1B556B" w:themeFill="text2"/>
            <w:vAlign w:val="bottom"/>
          </w:tcPr>
          <w:p w14:paraId="64F337A5" w14:textId="77777777" w:rsidR="00590FE1" w:rsidRPr="001D5327" w:rsidRDefault="00590FE1" w:rsidP="00403787">
            <w:pPr>
              <w:pStyle w:val="TableText"/>
              <w:keepNext/>
              <w:spacing w:before="40" w:after="40"/>
              <w:rPr>
                <w:b/>
                <w:bCs/>
                <w:color w:val="FFFFFF" w:themeColor="background1"/>
              </w:rPr>
            </w:pPr>
          </w:p>
        </w:tc>
        <w:tc>
          <w:tcPr>
            <w:tcW w:w="1767" w:type="dxa"/>
            <w:shd w:val="clear" w:color="auto" w:fill="1B556B" w:themeFill="text2"/>
            <w:vAlign w:val="bottom"/>
          </w:tcPr>
          <w:p w14:paraId="61AA9765" w14:textId="77777777" w:rsidR="00590FE1" w:rsidRPr="001D5327" w:rsidRDefault="00590FE1" w:rsidP="00403787">
            <w:pPr>
              <w:pStyle w:val="TableText"/>
              <w:keepNext/>
              <w:spacing w:before="40" w:after="40"/>
              <w:rPr>
                <w:b/>
                <w:bCs/>
                <w:color w:val="FFFFFF" w:themeColor="background1"/>
              </w:rPr>
            </w:pPr>
            <w:r w:rsidRPr="001D5327">
              <w:rPr>
                <w:rFonts w:cs="Calibri"/>
                <w:color w:val="000000"/>
                <w:sz w:val="20"/>
                <w:szCs w:val="20"/>
              </w:rPr>
              <w:t> </w:t>
            </w:r>
          </w:p>
        </w:tc>
        <w:tc>
          <w:tcPr>
            <w:tcW w:w="851" w:type="dxa"/>
            <w:shd w:val="clear" w:color="auto" w:fill="1B556B" w:themeFill="text2"/>
            <w:vAlign w:val="bottom"/>
          </w:tcPr>
          <w:p w14:paraId="687EF174"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50" w:type="dxa"/>
            <w:shd w:val="clear" w:color="auto" w:fill="1B556B" w:themeFill="text2"/>
            <w:vAlign w:val="bottom"/>
          </w:tcPr>
          <w:p w14:paraId="6901E154"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701" w:type="dxa"/>
            <w:shd w:val="clear" w:color="auto" w:fill="1B556B" w:themeFill="text2"/>
            <w:vAlign w:val="bottom"/>
          </w:tcPr>
          <w:p w14:paraId="082E4CD4" w14:textId="77777777" w:rsidR="00590FE1" w:rsidRPr="001D5327" w:rsidRDefault="00590FE1" w:rsidP="00403787">
            <w:pPr>
              <w:pStyle w:val="TableText"/>
              <w:keepNext/>
              <w:spacing w:before="40" w:after="40"/>
              <w:jc w:val="right"/>
              <w:rPr>
                <w:b/>
                <w:bCs/>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2041" w:type="dxa"/>
            <w:shd w:val="clear" w:color="auto" w:fill="1B556B" w:themeFill="text2"/>
            <w:vAlign w:val="bottom"/>
          </w:tcPr>
          <w:p w14:paraId="73461769" w14:textId="77777777" w:rsidR="00590FE1" w:rsidRPr="001D5327" w:rsidRDefault="00590FE1" w:rsidP="00403787">
            <w:pPr>
              <w:pStyle w:val="TableText"/>
              <w:keepNext/>
              <w:spacing w:before="40" w:after="40"/>
              <w:jc w:val="right"/>
              <w:rPr>
                <w:b/>
                <w:bCs/>
                <w:color w:val="FFFFFF" w:themeColor="background1"/>
              </w:rPr>
            </w:pPr>
            <w:r w:rsidRPr="001D5327">
              <w:rPr>
                <w:rFonts w:cs="Calibri"/>
                <w:b/>
                <w:bCs/>
                <w:color w:val="FFFFFF"/>
                <w:szCs w:val="16"/>
              </w:rPr>
              <w:t>Percentage change in emission outputs between 1990 and 2022 (%)</w:t>
            </w:r>
          </w:p>
        </w:tc>
      </w:tr>
      <w:tr w:rsidR="00590FE1" w:rsidRPr="001D5327" w14:paraId="7DFEA4B8" w14:textId="77777777" w:rsidTr="0038436F">
        <w:tc>
          <w:tcPr>
            <w:tcW w:w="1247" w:type="dxa"/>
            <w:vMerge w:val="restart"/>
            <w:shd w:val="clear" w:color="auto" w:fill="auto"/>
            <w:vAlign w:val="center"/>
          </w:tcPr>
          <w:p w14:paraId="21B7CB9E" w14:textId="77777777" w:rsidR="00590FE1" w:rsidRPr="001D5327" w:rsidRDefault="00590FE1" w:rsidP="00403787">
            <w:pPr>
              <w:pStyle w:val="TableText"/>
              <w:keepNext/>
              <w:spacing w:before="40" w:after="40"/>
              <w:rPr>
                <w:color w:val="000000"/>
              </w:rPr>
            </w:pPr>
            <w:r w:rsidRPr="001D5327">
              <w:rPr>
                <w:rFonts w:cs="Calibri"/>
                <w:color w:val="000000"/>
                <w:szCs w:val="16"/>
              </w:rPr>
              <w:t xml:space="preserve">Total emissions from </w:t>
            </w:r>
            <w:r w:rsidRPr="001D5327">
              <w:rPr>
                <w:rFonts w:cs="Calibri"/>
                <w:i/>
                <w:color w:val="000000"/>
                <w:szCs w:val="16"/>
              </w:rPr>
              <w:t>Manure management</w:t>
            </w:r>
            <w:r w:rsidRPr="001D5327">
              <w:rPr>
                <w:rFonts w:cs="Calibri"/>
                <w:color w:val="000000"/>
                <w:szCs w:val="16"/>
              </w:rPr>
              <w:t xml:space="preserve"> </w:t>
            </w:r>
          </w:p>
        </w:tc>
        <w:tc>
          <w:tcPr>
            <w:tcW w:w="1767" w:type="dxa"/>
            <w:shd w:val="clear" w:color="auto" w:fill="auto"/>
            <w:vAlign w:val="center"/>
          </w:tcPr>
          <w:p w14:paraId="230B29D7" w14:textId="77777777" w:rsidR="00590FE1" w:rsidRPr="001D5327" w:rsidRDefault="00590FE1" w:rsidP="00403787">
            <w:pPr>
              <w:pStyle w:val="TableText"/>
              <w:keepNext/>
              <w:spacing w:before="40" w:after="40"/>
              <w:rPr>
                <w:color w:val="000000"/>
              </w:rPr>
            </w:pPr>
            <w:r w:rsidRPr="001D5327">
              <w:rPr>
                <w:rFonts w:cs="Calibri"/>
                <w:color w:val="000000"/>
                <w:szCs w:val="16"/>
              </w:rPr>
              <w:t>2024 (1990–2022) emissions estimate</w:t>
            </w:r>
          </w:p>
        </w:tc>
        <w:tc>
          <w:tcPr>
            <w:tcW w:w="851" w:type="dxa"/>
            <w:shd w:val="clear" w:color="auto" w:fill="auto"/>
            <w:vAlign w:val="bottom"/>
          </w:tcPr>
          <w:p w14:paraId="7E50F4D8"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874.8</w:t>
            </w:r>
          </w:p>
        </w:tc>
        <w:tc>
          <w:tcPr>
            <w:tcW w:w="850" w:type="dxa"/>
            <w:shd w:val="clear" w:color="auto" w:fill="auto"/>
            <w:vAlign w:val="bottom"/>
          </w:tcPr>
          <w:p w14:paraId="02CDF736" w14:textId="77777777" w:rsidR="00590FE1" w:rsidRPr="001D5327" w:rsidRDefault="00590FE1" w:rsidP="001023C6">
            <w:pPr>
              <w:pStyle w:val="TableText"/>
              <w:keepNext/>
              <w:spacing w:before="40" w:after="40"/>
              <w:jc w:val="right"/>
              <w:rPr>
                <w:color w:val="000000"/>
              </w:rPr>
            </w:pPr>
            <w:r w:rsidRPr="001D5327">
              <w:rPr>
                <w:rFonts w:cs="Calibri"/>
                <w:color w:val="000000"/>
                <w:szCs w:val="16"/>
              </w:rPr>
              <w:t>1,901.6</w:t>
            </w:r>
          </w:p>
        </w:tc>
        <w:tc>
          <w:tcPr>
            <w:tcW w:w="1701" w:type="dxa"/>
            <w:shd w:val="clear" w:color="auto" w:fill="auto"/>
            <w:vAlign w:val="bottom"/>
          </w:tcPr>
          <w:p w14:paraId="32918618"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1,026.8</w:t>
            </w:r>
          </w:p>
        </w:tc>
        <w:tc>
          <w:tcPr>
            <w:tcW w:w="2041" w:type="dxa"/>
            <w:shd w:val="clear" w:color="auto" w:fill="auto"/>
            <w:vAlign w:val="bottom"/>
          </w:tcPr>
          <w:p w14:paraId="13D21865"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117.4</w:t>
            </w:r>
          </w:p>
        </w:tc>
      </w:tr>
      <w:tr w:rsidR="00590FE1" w:rsidRPr="001D5327" w14:paraId="4005B0B2" w14:textId="77777777" w:rsidTr="0038436F">
        <w:tc>
          <w:tcPr>
            <w:tcW w:w="1247" w:type="dxa"/>
            <w:vMerge/>
            <w:vAlign w:val="center"/>
          </w:tcPr>
          <w:p w14:paraId="2D02125E" w14:textId="77777777" w:rsidR="00590FE1" w:rsidRPr="001D5327" w:rsidRDefault="00590FE1" w:rsidP="00403787">
            <w:pPr>
              <w:pStyle w:val="TableText"/>
              <w:spacing w:before="40" w:after="40"/>
              <w:rPr>
                <w:color w:val="000000"/>
              </w:rPr>
            </w:pPr>
          </w:p>
        </w:tc>
        <w:tc>
          <w:tcPr>
            <w:tcW w:w="1767" w:type="dxa"/>
            <w:shd w:val="clear" w:color="auto" w:fill="auto"/>
            <w:vAlign w:val="center"/>
          </w:tcPr>
          <w:p w14:paraId="43876CCD" w14:textId="77777777" w:rsidR="00590FE1" w:rsidRPr="001D5327" w:rsidRDefault="00590FE1" w:rsidP="00403787">
            <w:pPr>
              <w:pStyle w:val="TableText"/>
              <w:spacing w:before="40" w:after="40"/>
              <w:rPr>
                <w:color w:val="000000"/>
              </w:rPr>
            </w:pPr>
            <w:r w:rsidRPr="001D5327">
              <w:rPr>
                <w:rFonts w:cs="Calibri"/>
                <w:color w:val="000000"/>
                <w:szCs w:val="16"/>
              </w:rPr>
              <w:t xml:space="preserve">2024 (1990–2022) emissions estimate </w:t>
            </w:r>
            <w:r w:rsidRPr="001D5327">
              <w:rPr>
                <w:rFonts w:cs="Calibri"/>
                <w:i/>
                <w:iCs/>
                <w:color w:val="000000"/>
                <w:szCs w:val="16"/>
              </w:rPr>
              <w:t>with</w:t>
            </w:r>
            <w:r w:rsidRPr="001D5327">
              <w:rPr>
                <w:rFonts w:cs="Calibri"/>
                <w:color w:val="000000"/>
                <w:szCs w:val="16"/>
              </w:rPr>
              <w:t xml:space="preserve"> </w:t>
            </w:r>
            <w:r w:rsidRPr="001D5327">
              <w:rPr>
                <w:rFonts w:cs="Calibri"/>
                <w:i/>
                <w:iCs/>
                <w:color w:val="000000"/>
                <w:szCs w:val="16"/>
              </w:rPr>
              <w:t>improvement</w:t>
            </w:r>
          </w:p>
        </w:tc>
        <w:tc>
          <w:tcPr>
            <w:tcW w:w="851" w:type="dxa"/>
            <w:shd w:val="clear" w:color="auto" w:fill="auto"/>
            <w:vAlign w:val="bottom"/>
          </w:tcPr>
          <w:p w14:paraId="3D65C758" w14:textId="77777777" w:rsidR="00590FE1" w:rsidRPr="001D5327" w:rsidRDefault="00590FE1" w:rsidP="00403787">
            <w:pPr>
              <w:pStyle w:val="TableText"/>
              <w:spacing w:before="40" w:after="40"/>
              <w:jc w:val="right"/>
              <w:rPr>
                <w:color w:val="000000"/>
              </w:rPr>
            </w:pPr>
            <w:r w:rsidRPr="001D5327">
              <w:rPr>
                <w:rFonts w:cs="Calibri"/>
                <w:color w:val="000000"/>
                <w:szCs w:val="16"/>
              </w:rPr>
              <w:t>874.8</w:t>
            </w:r>
          </w:p>
        </w:tc>
        <w:tc>
          <w:tcPr>
            <w:tcW w:w="850" w:type="dxa"/>
            <w:shd w:val="clear" w:color="auto" w:fill="auto"/>
            <w:vAlign w:val="bottom"/>
          </w:tcPr>
          <w:p w14:paraId="049D50C4" w14:textId="77777777" w:rsidR="00590FE1" w:rsidRPr="001D5327" w:rsidRDefault="00590FE1" w:rsidP="001023C6">
            <w:pPr>
              <w:pStyle w:val="TableText"/>
              <w:spacing w:before="40" w:after="40"/>
              <w:jc w:val="right"/>
              <w:rPr>
                <w:color w:val="000000"/>
              </w:rPr>
            </w:pPr>
            <w:r w:rsidRPr="001D5327">
              <w:rPr>
                <w:rFonts w:cs="Calibri"/>
                <w:color w:val="000000"/>
                <w:szCs w:val="16"/>
              </w:rPr>
              <w:t>1,900.3</w:t>
            </w:r>
          </w:p>
        </w:tc>
        <w:tc>
          <w:tcPr>
            <w:tcW w:w="1701" w:type="dxa"/>
            <w:shd w:val="clear" w:color="auto" w:fill="auto"/>
            <w:vAlign w:val="bottom"/>
          </w:tcPr>
          <w:p w14:paraId="223021DB" w14:textId="77777777" w:rsidR="00590FE1" w:rsidRPr="001D5327" w:rsidRDefault="00590FE1" w:rsidP="00403787">
            <w:pPr>
              <w:pStyle w:val="TableText"/>
              <w:spacing w:before="40" w:after="40"/>
              <w:jc w:val="right"/>
              <w:rPr>
                <w:color w:val="000000"/>
              </w:rPr>
            </w:pPr>
            <w:r w:rsidRPr="001D5327">
              <w:rPr>
                <w:rFonts w:cs="Calibri"/>
                <w:color w:val="000000"/>
                <w:szCs w:val="16"/>
              </w:rPr>
              <w:t>1,025.5</w:t>
            </w:r>
          </w:p>
        </w:tc>
        <w:tc>
          <w:tcPr>
            <w:tcW w:w="2041" w:type="dxa"/>
            <w:shd w:val="clear" w:color="auto" w:fill="auto"/>
            <w:vAlign w:val="bottom"/>
          </w:tcPr>
          <w:p w14:paraId="2B8FA04F" w14:textId="77777777" w:rsidR="00590FE1" w:rsidRPr="001D5327" w:rsidRDefault="00590FE1" w:rsidP="00403787">
            <w:pPr>
              <w:pStyle w:val="TableText"/>
              <w:spacing w:before="40" w:after="40"/>
              <w:jc w:val="right"/>
              <w:rPr>
                <w:color w:val="000000"/>
              </w:rPr>
            </w:pPr>
            <w:r w:rsidRPr="001D5327">
              <w:rPr>
                <w:rFonts w:cs="Calibri"/>
                <w:color w:val="000000"/>
                <w:szCs w:val="16"/>
              </w:rPr>
              <w:t>117.2</w:t>
            </w:r>
          </w:p>
        </w:tc>
      </w:tr>
      <w:tr w:rsidR="00590FE1" w:rsidRPr="001D5327" w14:paraId="2977EFAB" w14:textId="77777777" w:rsidTr="0038436F">
        <w:tc>
          <w:tcPr>
            <w:tcW w:w="1247" w:type="dxa"/>
            <w:vMerge/>
            <w:vAlign w:val="center"/>
          </w:tcPr>
          <w:p w14:paraId="355866C5" w14:textId="77777777" w:rsidR="00590FE1" w:rsidRPr="001D5327" w:rsidRDefault="00590FE1" w:rsidP="00403787">
            <w:pPr>
              <w:pStyle w:val="TableText"/>
              <w:spacing w:before="40" w:after="40"/>
              <w:rPr>
                <w:color w:val="000000"/>
              </w:rPr>
            </w:pPr>
          </w:p>
        </w:tc>
        <w:tc>
          <w:tcPr>
            <w:tcW w:w="1767" w:type="dxa"/>
            <w:shd w:val="clear" w:color="auto" w:fill="auto"/>
            <w:vAlign w:val="center"/>
          </w:tcPr>
          <w:p w14:paraId="1B6B5FB2" w14:textId="77777777" w:rsidR="00590FE1" w:rsidRPr="001D5327" w:rsidRDefault="00590FE1" w:rsidP="00403787">
            <w:pPr>
              <w:pStyle w:val="TableText"/>
              <w:spacing w:before="40" w:after="40"/>
              <w:rPr>
                <w:color w:val="000000"/>
              </w:rPr>
            </w:pPr>
            <w:r w:rsidRPr="001D5327">
              <w:rPr>
                <w:rFonts w:cs="Calibri"/>
                <w:color w:val="000000"/>
                <w:szCs w:val="16"/>
              </w:rPr>
              <w:t>Difference in emissions estimates</w:t>
            </w:r>
          </w:p>
        </w:tc>
        <w:tc>
          <w:tcPr>
            <w:tcW w:w="851" w:type="dxa"/>
            <w:shd w:val="clear" w:color="auto" w:fill="auto"/>
            <w:vAlign w:val="bottom"/>
          </w:tcPr>
          <w:p w14:paraId="0142F820" w14:textId="77777777" w:rsidR="00590FE1" w:rsidRPr="001D5327" w:rsidRDefault="00590FE1" w:rsidP="00403787">
            <w:pPr>
              <w:pStyle w:val="TableText"/>
              <w:spacing w:before="40" w:after="40"/>
              <w:jc w:val="right"/>
              <w:rPr>
                <w:color w:val="000000"/>
              </w:rPr>
            </w:pPr>
            <w:r w:rsidRPr="001D5327">
              <w:rPr>
                <w:rFonts w:cs="Calibri"/>
                <w:color w:val="000000"/>
                <w:szCs w:val="16"/>
              </w:rPr>
              <w:t>0.04</w:t>
            </w:r>
          </w:p>
        </w:tc>
        <w:tc>
          <w:tcPr>
            <w:tcW w:w="850" w:type="dxa"/>
            <w:shd w:val="clear" w:color="auto" w:fill="auto"/>
            <w:vAlign w:val="bottom"/>
          </w:tcPr>
          <w:p w14:paraId="0135898B" w14:textId="6252E214" w:rsidR="00590FE1" w:rsidRPr="001D5327" w:rsidRDefault="0070503C" w:rsidP="001023C6">
            <w:pPr>
              <w:pStyle w:val="TableText"/>
              <w:spacing w:before="40" w:after="40"/>
              <w:jc w:val="right"/>
              <w:rPr>
                <w:color w:val="000000"/>
              </w:rPr>
            </w:pPr>
            <w:r>
              <w:rPr>
                <w:rFonts w:cs="Calibri"/>
                <w:color w:val="000000"/>
                <w:szCs w:val="16"/>
              </w:rPr>
              <w:t>-</w:t>
            </w:r>
            <w:r w:rsidR="00590FE1" w:rsidRPr="001D5327">
              <w:rPr>
                <w:rFonts w:cs="Calibri"/>
                <w:color w:val="000000"/>
                <w:szCs w:val="16"/>
              </w:rPr>
              <w:t>1.28</w:t>
            </w:r>
          </w:p>
        </w:tc>
        <w:tc>
          <w:tcPr>
            <w:tcW w:w="1701" w:type="dxa"/>
            <w:shd w:val="clear" w:color="auto" w:fill="auto"/>
            <w:vAlign w:val="bottom"/>
          </w:tcPr>
          <w:p w14:paraId="7DEA4986"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2041" w:type="dxa"/>
            <w:shd w:val="clear" w:color="auto" w:fill="auto"/>
            <w:vAlign w:val="bottom"/>
          </w:tcPr>
          <w:p w14:paraId="20138F94"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r w:rsidR="00590FE1" w:rsidRPr="001D5327" w14:paraId="1F4DC9B8" w14:textId="77777777" w:rsidTr="0038436F">
        <w:tc>
          <w:tcPr>
            <w:tcW w:w="1247" w:type="dxa"/>
            <w:vMerge/>
            <w:vAlign w:val="center"/>
          </w:tcPr>
          <w:p w14:paraId="793230DC" w14:textId="77777777" w:rsidR="00590FE1" w:rsidRPr="001D5327" w:rsidRDefault="00590FE1" w:rsidP="00403787">
            <w:pPr>
              <w:pStyle w:val="TableText"/>
              <w:spacing w:before="40" w:after="40"/>
              <w:rPr>
                <w:color w:val="000000"/>
              </w:rPr>
            </w:pPr>
          </w:p>
        </w:tc>
        <w:tc>
          <w:tcPr>
            <w:tcW w:w="1767" w:type="dxa"/>
            <w:shd w:val="clear" w:color="auto" w:fill="auto"/>
            <w:vAlign w:val="center"/>
          </w:tcPr>
          <w:p w14:paraId="15895B8A" w14:textId="77777777" w:rsidR="00590FE1" w:rsidRPr="001D5327" w:rsidRDefault="00590FE1" w:rsidP="00403787">
            <w:pPr>
              <w:pStyle w:val="TableText"/>
              <w:spacing w:before="40" w:after="40"/>
              <w:rPr>
                <w:color w:val="000000"/>
              </w:rPr>
            </w:pPr>
            <w:r w:rsidRPr="001D5327">
              <w:rPr>
                <w:rFonts w:cs="Calibri"/>
                <w:color w:val="000000"/>
                <w:szCs w:val="16"/>
              </w:rPr>
              <w:t>Percentage difference in emissions estimates (%)</w:t>
            </w:r>
          </w:p>
        </w:tc>
        <w:tc>
          <w:tcPr>
            <w:tcW w:w="851" w:type="dxa"/>
            <w:shd w:val="clear" w:color="auto" w:fill="auto"/>
            <w:vAlign w:val="bottom"/>
          </w:tcPr>
          <w:p w14:paraId="51897B19" w14:textId="77777777" w:rsidR="00590FE1" w:rsidRPr="001D5327" w:rsidRDefault="00590FE1" w:rsidP="00403787">
            <w:pPr>
              <w:pStyle w:val="TableText"/>
              <w:spacing w:before="40" w:after="40"/>
              <w:jc w:val="right"/>
              <w:rPr>
                <w:color w:val="000000"/>
              </w:rPr>
            </w:pPr>
            <w:r w:rsidRPr="001D5327">
              <w:rPr>
                <w:rFonts w:cs="Calibri"/>
                <w:color w:val="000000"/>
                <w:szCs w:val="16"/>
              </w:rPr>
              <w:t>0.00</w:t>
            </w:r>
          </w:p>
        </w:tc>
        <w:tc>
          <w:tcPr>
            <w:tcW w:w="850" w:type="dxa"/>
            <w:shd w:val="clear" w:color="auto" w:fill="auto"/>
            <w:vAlign w:val="bottom"/>
          </w:tcPr>
          <w:p w14:paraId="2244503D" w14:textId="4E9C85F5" w:rsidR="00590FE1" w:rsidRPr="001D5327" w:rsidRDefault="0070503C" w:rsidP="001023C6">
            <w:pPr>
              <w:pStyle w:val="TableText"/>
              <w:spacing w:before="40" w:after="40"/>
              <w:jc w:val="right"/>
              <w:rPr>
                <w:color w:val="000000"/>
              </w:rPr>
            </w:pPr>
            <w:r>
              <w:rPr>
                <w:rFonts w:cs="Calibri"/>
                <w:color w:val="000000" w:themeColor="text1"/>
              </w:rPr>
              <w:t>-</w:t>
            </w:r>
            <w:r w:rsidR="00590FE1" w:rsidRPr="001D5327">
              <w:rPr>
                <w:rFonts w:cs="Calibri"/>
                <w:color w:val="000000" w:themeColor="text1"/>
              </w:rPr>
              <w:t>0.07</w:t>
            </w:r>
          </w:p>
        </w:tc>
        <w:tc>
          <w:tcPr>
            <w:tcW w:w="1701" w:type="dxa"/>
            <w:shd w:val="clear" w:color="auto" w:fill="auto"/>
            <w:vAlign w:val="bottom"/>
          </w:tcPr>
          <w:p w14:paraId="31C70C0D"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2041" w:type="dxa"/>
            <w:shd w:val="clear" w:color="auto" w:fill="auto"/>
            <w:vAlign w:val="bottom"/>
          </w:tcPr>
          <w:p w14:paraId="3C262B09"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bl>
    <w:p w14:paraId="06405C55" w14:textId="77777777" w:rsidR="00590FE1" w:rsidRPr="001D5327" w:rsidRDefault="00590FE1" w:rsidP="00590FE1">
      <w:pPr>
        <w:pStyle w:val="Noteundertable"/>
        <w:rPr>
          <w:rFonts w:cs="Calibri"/>
        </w:rPr>
      </w:pPr>
      <w:bookmarkStart w:id="1005" w:name="_Toc127458266"/>
      <w:r w:rsidRPr="001D5327">
        <w:rPr>
          <w:rFonts w:cs="Calibri"/>
          <w:b/>
          <w:bCs/>
        </w:rPr>
        <w:t xml:space="preserve">Note: </w:t>
      </w:r>
      <w:r w:rsidRPr="001D5327">
        <w:rPr>
          <w:rFonts w:cs="Calibri"/>
          <w:b/>
          <w:bCs/>
        </w:rPr>
        <w:tab/>
      </w:r>
      <w:r w:rsidRPr="001D5327">
        <w:rPr>
          <w:rFonts w:cs="Calibri"/>
        </w:rPr>
        <w:t>Columns may not sum due to rounding. Percentages presented are calculated from unrounded values.</w:t>
      </w:r>
    </w:p>
    <w:p w14:paraId="6E22DD1A" w14:textId="77777777" w:rsidR="00590FE1" w:rsidRPr="001D5327" w:rsidRDefault="00590FE1" w:rsidP="00590FE1">
      <w:pPr>
        <w:pStyle w:val="Heading5"/>
      </w:pPr>
      <w:r w:rsidRPr="001D5327">
        <w:rPr>
          <w:rFonts w:cs="Arial"/>
          <w:sz w:val="24"/>
        </w:rPr>
        <w:t>Updating deer population and productivity statistics</w:t>
      </w:r>
      <w:r w:rsidRPr="001D5327">
        <w:t xml:space="preserve"> </w:t>
      </w:r>
    </w:p>
    <w:p w14:paraId="4A891F70" w14:textId="77777777" w:rsidR="00590FE1" w:rsidRPr="001D5327" w:rsidRDefault="00590FE1" w:rsidP="00590FE1">
      <w:pPr>
        <w:pStyle w:val="BodyText"/>
        <w:spacing w:before="100" w:after="100"/>
        <w:rPr>
          <w:rFonts w:cs="Calibri"/>
          <w:color w:val="000000"/>
          <w:shd w:val="clear" w:color="auto" w:fill="FFFFFF"/>
        </w:rPr>
      </w:pPr>
      <w:r w:rsidRPr="001D5327">
        <w:rPr>
          <w:color w:val="000000"/>
          <w:shd w:val="clear" w:color="auto" w:fill="FFFFFF"/>
        </w:rPr>
        <w:t xml:space="preserve">For more </w:t>
      </w:r>
      <w:r w:rsidRPr="001D5327">
        <w:rPr>
          <w:rFonts w:cs="Calibri"/>
          <w:color w:val="000000"/>
          <w:shd w:val="clear" w:color="auto" w:fill="FFFFFF"/>
        </w:rPr>
        <w:t>detail on these changes,</w:t>
      </w:r>
      <w:r w:rsidRPr="001D5327">
        <w:rPr>
          <w:color w:val="000000"/>
          <w:shd w:val="clear" w:color="auto" w:fill="FFFFFF"/>
        </w:rPr>
        <w:t xml:space="preserve"> see section </w:t>
      </w:r>
      <w:r w:rsidRPr="001D5327">
        <w:rPr>
          <w:rFonts w:cs="Calibri"/>
          <w:color w:val="000000"/>
          <w:shd w:val="clear" w:color="auto" w:fill="FFFFFF"/>
        </w:rPr>
        <w:t xml:space="preserve">5.2.5. </w:t>
      </w:r>
    </w:p>
    <w:p w14:paraId="0987E23C" w14:textId="77777777" w:rsidR="00590FE1" w:rsidRPr="001D5327" w:rsidRDefault="00590FE1" w:rsidP="00590FE1">
      <w:pPr>
        <w:pStyle w:val="Table"/>
      </w:pPr>
      <w:bookmarkStart w:id="1006" w:name="_Toc131591362"/>
      <w:bookmarkStart w:id="1007" w:name="_Toc160114454"/>
      <w:bookmarkStart w:id="1008" w:name="_Toc164153850"/>
      <w:bookmarkStart w:id="1009" w:name="_Toc194241720"/>
      <w:r w:rsidRPr="001D5327">
        <w:rPr>
          <w:rFonts w:cs="Calibri"/>
        </w:rPr>
        <w:t>Table 5.3.9</w:t>
      </w:r>
      <w:r w:rsidRPr="001D5327">
        <w:rPr>
          <w:rFonts w:cs="Calibri"/>
        </w:rPr>
        <w:tab/>
        <w:t>Comparison of emissions from </w:t>
      </w:r>
      <w:r w:rsidRPr="001D5327">
        <w:rPr>
          <w:rFonts w:cs="Calibri"/>
          <w:i/>
        </w:rPr>
        <w:t>Manure management</w:t>
      </w:r>
      <w:bookmarkEnd w:id="1005"/>
      <w:bookmarkEnd w:id="1006"/>
      <w:bookmarkEnd w:id="1007"/>
      <w:bookmarkEnd w:id="1008"/>
      <w:r w:rsidRPr="001D5327">
        <w:rPr>
          <w:rFonts w:cs="Calibri"/>
          <w:i/>
          <w:iCs/>
        </w:rPr>
        <w:t xml:space="preserve"> </w:t>
      </w:r>
      <w:r w:rsidRPr="001D5327">
        <w:rPr>
          <w:rFonts w:cs="Calibri"/>
        </w:rPr>
        <w:t>using the updated deer population and productivity statistics</w:t>
      </w:r>
      <w:bookmarkEnd w:id="1009"/>
    </w:p>
    <w:tbl>
      <w:tblPr>
        <w:tblW w:w="8505" w:type="dxa"/>
        <w:tblBorders>
          <w:top w:val="single" w:sz="4" w:space="0" w:color="1B556B" w:themeColor="text2"/>
          <w:bottom w:val="single" w:sz="4" w:space="0" w:color="1B556B" w:themeColor="text2"/>
          <w:insideH w:val="single" w:sz="4" w:space="0" w:color="1B556B" w:themeColor="text2"/>
        </w:tblBorders>
        <w:tblCellMar>
          <w:right w:w="85" w:type="dxa"/>
        </w:tblCellMar>
        <w:tblLook w:val="04A0" w:firstRow="1" w:lastRow="0" w:firstColumn="1" w:lastColumn="0" w:noHBand="0" w:noVBand="1"/>
      </w:tblPr>
      <w:tblGrid>
        <w:gridCol w:w="1154"/>
        <w:gridCol w:w="1874"/>
        <w:gridCol w:w="865"/>
        <w:gridCol w:w="864"/>
        <w:gridCol w:w="1730"/>
        <w:gridCol w:w="2018"/>
      </w:tblGrid>
      <w:tr w:rsidR="00590FE1" w:rsidRPr="001D5327" w14:paraId="0DB8F1DE" w14:textId="77777777" w:rsidTr="00403787">
        <w:tc>
          <w:tcPr>
            <w:tcW w:w="1154" w:type="dxa"/>
            <w:shd w:val="clear" w:color="000000" w:fill="1B556B"/>
            <w:vAlign w:val="center"/>
          </w:tcPr>
          <w:p w14:paraId="3CFEC368" w14:textId="77777777" w:rsidR="00590FE1" w:rsidRPr="001D5327" w:rsidRDefault="00590FE1" w:rsidP="00403787">
            <w:pPr>
              <w:pStyle w:val="TableText"/>
              <w:spacing w:before="40" w:after="40"/>
              <w:rPr>
                <w:b/>
                <w:bCs/>
                <w:color w:val="FFFFFF" w:themeColor="background1"/>
              </w:rPr>
            </w:pPr>
          </w:p>
        </w:tc>
        <w:tc>
          <w:tcPr>
            <w:tcW w:w="1874" w:type="dxa"/>
            <w:shd w:val="clear" w:color="000000" w:fill="1B556B"/>
            <w:vAlign w:val="center"/>
          </w:tcPr>
          <w:p w14:paraId="149B3BAF" w14:textId="77777777" w:rsidR="00590FE1" w:rsidRPr="001D5327" w:rsidRDefault="00590FE1" w:rsidP="00403787">
            <w:pPr>
              <w:pStyle w:val="TableText"/>
              <w:spacing w:before="40" w:after="40"/>
              <w:rPr>
                <w:b/>
                <w:bCs/>
                <w:color w:val="FFFFFF" w:themeColor="background1"/>
              </w:rPr>
            </w:pPr>
            <w:r w:rsidRPr="001D5327">
              <w:rPr>
                <w:rFonts w:cs="Calibri"/>
                <w:color w:val="000000"/>
                <w:sz w:val="20"/>
                <w:szCs w:val="20"/>
              </w:rPr>
              <w:t> </w:t>
            </w:r>
          </w:p>
        </w:tc>
        <w:tc>
          <w:tcPr>
            <w:tcW w:w="865" w:type="dxa"/>
            <w:shd w:val="clear" w:color="000000" w:fill="1B556B"/>
            <w:vAlign w:val="bottom"/>
          </w:tcPr>
          <w:p w14:paraId="224D6651"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64" w:type="dxa"/>
            <w:shd w:val="clear" w:color="000000" w:fill="1B556B"/>
            <w:vAlign w:val="bottom"/>
          </w:tcPr>
          <w:p w14:paraId="0E5AFEAE"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730" w:type="dxa"/>
            <w:shd w:val="clear" w:color="000000" w:fill="1B556B"/>
            <w:vAlign w:val="bottom"/>
          </w:tcPr>
          <w:p w14:paraId="53E9171A"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2018" w:type="dxa"/>
            <w:shd w:val="clear" w:color="000000" w:fill="1B556B"/>
            <w:vAlign w:val="bottom"/>
          </w:tcPr>
          <w:p w14:paraId="30281BA2"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Percentage change in emission outputs between 1990 and 2022 (%)</w:t>
            </w:r>
          </w:p>
        </w:tc>
      </w:tr>
      <w:tr w:rsidR="00590FE1" w:rsidRPr="001D5327" w14:paraId="41A65CF9" w14:textId="77777777" w:rsidTr="00403787">
        <w:tc>
          <w:tcPr>
            <w:tcW w:w="1154" w:type="dxa"/>
            <w:vMerge w:val="restart"/>
            <w:shd w:val="clear" w:color="auto" w:fill="auto"/>
            <w:vAlign w:val="center"/>
          </w:tcPr>
          <w:p w14:paraId="0B23873A" w14:textId="77777777" w:rsidR="00590FE1" w:rsidRPr="001D5327" w:rsidRDefault="00590FE1" w:rsidP="00403787">
            <w:pPr>
              <w:pStyle w:val="TableText"/>
              <w:spacing w:before="40" w:after="40"/>
              <w:rPr>
                <w:color w:val="000000"/>
              </w:rPr>
            </w:pPr>
            <w:r w:rsidRPr="001D5327">
              <w:rPr>
                <w:rFonts w:cs="Calibri"/>
                <w:color w:val="000000"/>
                <w:szCs w:val="16"/>
              </w:rPr>
              <w:t xml:space="preserve">Total emissions from </w:t>
            </w:r>
            <w:r w:rsidRPr="001D5327">
              <w:rPr>
                <w:rFonts w:cs="Calibri"/>
                <w:i/>
                <w:color w:val="000000"/>
                <w:szCs w:val="16"/>
              </w:rPr>
              <w:t>Manure management</w:t>
            </w:r>
            <w:r w:rsidRPr="001D5327">
              <w:rPr>
                <w:rFonts w:cs="Calibri"/>
                <w:color w:val="000000"/>
                <w:szCs w:val="16"/>
              </w:rPr>
              <w:t xml:space="preserve"> </w:t>
            </w:r>
          </w:p>
        </w:tc>
        <w:tc>
          <w:tcPr>
            <w:tcW w:w="1874" w:type="dxa"/>
            <w:shd w:val="clear" w:color="auto" w:fill="auto"/>
            <w:vAlign w:val="center"/>
          </w:tcPr>
          <w:p w14:paraId="6D076AAC" w14:textId="77777777" w:rsidR="00590FE1" w:rsidRPr="001D5327" w:rsidRDefault="00590FE1" w:rsidP="00403787">
            <w:pPr>
              <w:pStyle w:val="TableText"/>
              <w:spacing w:before="40" w:after="40"/>
              <w:rPr>
                <w:color w:val="000000"/>
              </w:rPr>
            </w:pPr>
            <w:r w:rsidRPr="001D5327">
              <w:rPr>
                <w:rFonts w:cs="Calibri"/>
                <w:color w:val="000000"/>
                <w:szCs w:val="16"/>
              </w:rPr>
              <w:t>2024 (1990–2022) emissions estimate</w:t>
            </w:r>
          </w:p>
        </w:tc>
        <w:tc>
          <w:tcPr>
            <w:tcW w:w="865" w:type="dxa"/>
            <w:shd w:val="clear" w:color="auto" w:fill="auto"/>
            <w:vAlign w:val="bottom"/>
          </w:tcPr>
          <w:p w14:paraId="509447F0" w14:textId="77777777" w:rsidR="00590FE1" w:rsidRPr="001D5327" w:rsidRDefault="00590FE1" w:rsidP="00403787">
            <w:pPr>
              <w:pStyle w:val="TableText"/>
              <w:spacing w:before="40" w:after="40"/>
              <w:jc w:val="right"/>
              <w:rPr>
                <w:color w:val="000000"/>
              </w:rPr>
            </w:pPr>
            <w:r w:rsidRPr="001D5327">
              <w:rPr>
                <w:rFonts w:cs="Calibri"/>
                <w:color w:val="000000"/>
                <w:szCs w:val="16"/>
              </w:rPr>
              <w:t>874.8</w:t>
            </w:r>
          </w:p>
        </w:tc>
        <w:tc>
          <w:tcPr>
            <w:tcW w:w="864" w:type="dxa"/>
            <w:shd w:val="clear" w:color="auto" w:fill="auto"/>
            <w:vAlign w:val="bottom"/>
          </w:tcPr>
          <w:p w14:paraId="63989AFA" w14:textId="77777777" w:rsidR="00590FE1" w:rsidRPr="001D5327" w:rsidRDefault="00590FE1" w:rsidP="00403787">
            <w:pPr>
              <w:pStyle w:val="TableText"/>
              <w:spacing w:before="40" w:after="40"/>
              <w:jc w:val="right"/>
              <w:rPr>
                <w:color w:val="000000"/>
              </w:rPr>
            </w:pPr>
            <w:r w:rsidRPr="001D5327">
              <w:rPr>
                <w:rFonts w:cs="Calibri"/>
                <w:color w:val="000000"/>
                <w:szCs w:val="16"/>
              </w:rPr>
              <w:t>1,901.6</w:t>
            </w:r>
          </w:p>
        </w:tc>
        <w:tc>
          <w:tcPr>
            <w:tcW w:w="1730" w:type="dxa"/>
            <w:shd w:val="clear" w:color="auto" w:fill="auto"/>
            <w:vAlign w:val="bottom"/>
          </w:tcPr>
          <w:p w14:paraId="707E4C06" w14:textId="77777777" w:rsidR="00590FE1" w:rsidRPr="001D5327" w:rsidRDefault="00590FE1" w:rsidP="00403787">
            <w:pPr>
              <w:pStyle w:val="TableText"/>
              <w:spacing w:before="40" w:after="40"/>
              <w:jc w:val="right"/>
              <w:rPr>
                <w:color w:val="000000"/>
              </w:rPr>
            </w:pPr>
            <w:r w:rsidRPr="001D5327">
              <w:rPr>
                <w:rFonts w:cs="Calibri"/>
                <w:color w:val="000000"/>
                <w:szCs w:val="16"/>
              </w:rPr>
              <w:t>1,026.8</w:t>
            </w:r>
          </w:p>
        </w:tc>
        <w:tc>
          <w:tcPr>
            <w:tcW w:w="2018" w:type="dxa"/>
            <w:shd w:val="clear" w:color="auto" w:fill="auto"/>
            <w:vAlign w:val="bottom"/>
          </w:tcPr>
          <w:p w14:paraId="38376EE7" w14:textId="77777777" w:rsidR="00590FE1" w:rsidRPr="001D5327" w:rsidRDefault="00590FE1" w:rsidP="00403787">
            <w:pPr>
              <w:pStyle w:val="TableText"/>
              <w:spacing w:before="40" w:after="40"/>
              <w:jc w:val="right"/>
              <w:rPr>
                <w:color w:val="000000"/>
              </w:rPr>
            </w:pPr>
            <w:r w:rsidRPr="001D5327">
              <w:rPr>
                <w:rFonts w:cs="Calibri"/>
                <w:color w:val="000000"/>
                <w:szCs w:val="16"/>
              </w:rPr>
              <w:t>117.4</w:t>
            </w:r>
          </w:p>
        </w:tc>
      </w:tr>
      <w:tr w:rsidR="00590FE1" w:rsidRPr="001D5327" w14:paraId="5DBEBD8B" w14:textId="77777777" w:rsidTr="00403787">
        <w:tc>
          <w:tcPr>
            <w:tcW w:w="1154" w:type="dxa"/>
            <w:vMerge/>
            <w:vAlign w:val="center"/>
          </w:tcPr>
          <w:p w14:paraId="26499A1F" w14:textId="77777777" w:rsidR="00590FE1" w:rsidRPr="001D5327" w:rsidRDefault="00590FE1" w:rsidP="00403787">
            <w:pPr>
              <w:pStyle w:val="TableText"/>
              <w:spacing w:before="40" w:after="40"/>
              <w:rPr>
                <w:color w:val="000000"/>
              </w:rPr>
            </w:pPr>
          </w:p>
        </w:tc>
        <w:tc>
          <w:tcPr>
            <w:tcW w:w="1874" w:type="dxa"/>
            <w:shd w:val="clear" w:color="auto" w:fill="auto"/>
            <w:vAlign w:val="center"/>
          </w:tcPr>
          <w:p w14:paraId="70AA4CAF" w14:textId="77777777" w:rsidR="00590FE1" w:rsidRPr="001D5327" w:rsidRDefault="00590FE1" w:rsidP="00403787">
            <w:pPr>
              <w:pStyle w:val="TableText"/>
              <w:spacing w:before="40" w:after="40"/>
              <w:rPr>
                <w:color w:val="000000"/>
              </w:rPr>
            </w:pPr>
            <w:r w:rsidRPr="001D5327">
              <w:rPr>
                <w:rFonts w:cs="Calibri"/>
                <w:color w:val="000000"/>
                <w:szCs w:val="16"/>
              </w:rPr>
              <w:t xml:space="preserve">2024 (1990–2022) emissions estimate </w:t>
            </w:r>
            <w:r w:rsidRPr="001D5327">
              <w:rPr>
                <w:rFonts w:cs="Calibri"/>
                <w:i/>
                <w:iCs/>
                <w:color w:val="000000"/>
                <w:szCs w:val="16"/>
              </w:rPr>
              <w:t>with</w:t>
            </w:r>
            <w:r w:rsidRPr="001D5327">
              <w:rPr>
                <w:rFonts w:cs="Calibri"/>
                <w:color w:val="000000"/>
                <w:szCs w:val="16"/>
              </w:rPr>
              <w:t xml:space="preserve"> </w:t>
            </w:r>
            <w:r w:rsidRPr="001D5327">
              <w:rPr>
                <w:rFonts w:cs="Calibri"/>
                <w:i/>
                <w:iCs/>
                <w:color w:val="000000"/>
                <w:szCs w:val="16"/>
              </w:rPr>
              <w:t>improvement</w:t>
            </w:r>
          </w:p>
        </w:tc>
        <w:tc>
          <w:tcPr>
            <w:tcW w:w="865" w:type="dxa"/>
            <w:shd w:val="clear" w:color="auto" w:fill="auto"/>
            <w:vAlign w:val="bottom"/>
          </w:tcPr>
          <w:p w14:paraId="504CC2F8" w14:textId="77777777" w:rsidR="00590FE1" w:rsidRPr="001D5327" w:rsidRDefault="00590FE1" w:rsidP="00403787">
            <w:pPr>
              <w:pStyle w:val="TableText"/>
              <w:spacing w:before="40" w:after="40"/>
              <w:jc w:val="right"/>
              <w:rPr>
                <w:color w:val="000000"/>
              </w:rPr>
            </w:pPr>
            <w:r w:rsidRPr="001D5327">
              <w:rPr>
                <w:rFonts w:cs="Calibri"/>
                <w:color w:val="000000"/>
                <w:szCs w:val="16"/>
              </w:rPr>
              <w:t>874.6</w:t>
            </w:r>
          </w:p>
        </w:tc>
        <w:tc>
          <w:tcPr>
            <w:tcW w:w="864" w:type="dxa"/>
            <w:shd w:val="clear" w:color="auto" w:fill="auto"/>
            <w:vAlign w:val="bottom"/>
          </w:tcPr>
          <w:p w14:paraId="2BE0856D" w14:textId="77777777" w:rsidR="00590FE1" w:rsidRPr="001D5327" w:rsidRDefault="00590FE1" w:rsidP="00403787">
            <w:pPr>
              <w:pStyle w:val="TableText"/>
              <w:spacing w:before="40" w:after="40"/>
              <w:jc w:val="right"/>
              <w:rPr>
                <w:color w:val="000000"/>
              </w:rPr>
            </w:pPr>
            <w:r w:rsidRPr="001D5327">
              <w:rPr>
                <w:rFonts w:cs="Calibri"/>
                <w:color w:val="000000"/>
                <w:szCs w:val="16"/>
              </w:rPr>
              <w:t>1,900.8</w:t>
            </w:r>
          </w:p>
        </w:tc>
        <w:tc>
          <w:tcPr>
            <w:tcW w:w="1730" w:type="dxa"/>
            <w:shd w:val="clear" w:color="auto" w:fill="auto"/>
            <w:vAlign w:val="bottom"/>
          </w:tcPr>
          <w:p w14:paraId="5F6B7E90" w14:textId="77777777" w:rsidR="00590FE1" w:rsidRPr="001D5327" w:rsidRDefault="00590FE1" w:rsidP="00403787">
            <w:pPr>
              <w:pStyle w:val="TableText"/>
              <w:spacing w:before="40" w:after="40"/>
              <w:jc w:val="right"/>
              <w:rPr>
                <w:color w:val="000000"/>
              </w:rPr>
            </w:pPr>
            <w:r w:rsidRPr="001D5327">
              <w:rPr>
                <w:rFonts w:cs="Calibri"/>
                <w:color w:val="000000"/>
                <w:szCs w:val="16"/>
              </w:rPr>
              <w:t>1,026.2</w:t>
            </w:r>
          </w:p>
        </w:tc>
        <w:tc>
          <w:tcPr>
            <w:tcW w:w="2018" w:type="dxa"/>
            <w:shd w:val="clear" w:color="auto" w:fill="auto"/>
            <w:vAlign w:val="bottom"/>
          </w:tcPr>
          <w:p w14:paraId="39E33D98" w14:textId="77777777" w:rsidR="00590FE1" w:rsidRPr="001D5327" w:rsidRDefault="00590FE1" w:rsidP="00403787">
            <w:pPr>
              <w:pStyle w:val="TableText"/>
              <w:spacing w:before="40" w:after="40"/>
              <w:jc w:val="right"/>
              <w:rPr>
                <w:color w:val="000000"/>
              </w:rPr>
            </w:pPr>
            <w:r w:rsidRPr="001D5327">
              <w:rPr>
                <w:rFonts w:cs="Calibri"/>
                <w:color w:val="000000"/>
                <w:szCs w:val="16"/>
              </w:rPr>
              <w:t>117.3</w:t>
            </w:r>
          </w:p>
        </w:tc>
      </w:tr>
      <w:tr w:rsidR="00590FE1" w:rsidRPr="001D5327" w14:paraId="6F794237" w14:textId="77777777" w:rsidTr="00403787">
        <w:tc>
          <w:tcPr>
            <w:tcW w:w="1154" w:type="dxa"/>
            <w:vMerge/>
            <w:vAlign w:val="center"/>
          </w:tcPr>
          <w:p w14:paraId="797A68B7" w14:textId="77777777" w:rsidR="00590FE1" w:rsidRPr="001D5327" w:rsidRDefault="00590FE1" w:rsidP="00403787">
            <w:pPr>
              <w:pStyle w:val="TableText"/>
              <w:spacing w:before="40" w:after="40"/>
              <w:rPr>
                <w:color w:val="000000"/>
              </w:rPr>
            </w:pPr>
          </w:p>
        </w:tc>
        <w:tc>
          <w:tcPr>
            <w:tcW w:w="1874" w:type="dxa"/>
            <w:shd w:val="clear" w:color="auto" w:fill="auto"/>
            <w:vAlign w:val="center"/>
          </w:tcPr>
          <w:p w14:paraId="681031E9" w14:textId="77777777" w:rsidR="00590FE1" w:rsidRPr="001D5327" w:rsidRDefault="00590FE1" w:rsidP="00403787">
            <w:pPr>
              <w:pStyle w:val="TableText"/>
              <w:spacing w:before="40" w:after="40"/>
              <w:rPr>
                <w:color w:val="000000"/>
              </w:rPr>
            </w:pPr>
            <w:r w:rsidRPr="001D5327">
              <w:rPr>
                <w:rFonts w:cs="Calibri"/>
                <w:color w:val="000000"/>
                <w:szCs w:val="16"/>
              </w:rPr>
              <w:t>Difference in emissions estimates</w:t>
            </w:r>
          </w:p>
        </w:tc>
        <w:tc>
          <w:tcPr>
            <w:tcW w:w="865" w:type="dxa"/>
            <w:shd w:val="clear" w:color="auto" w:fill="auto"/>
            <w:vAlign w:val="bottom"/>
          </w:tcPr>
          <w:p w14:paraId="5057942E" w14:textId="5D4D02FB"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0.18</w:t>
            </w:r>
          </w:p>
        </w:tc>
        <w:tc>
          <w:tcPr>
            <w:tcW w:w="864" w:type="dxa"/>
            <w:shd w:val="clear" w:color="auto" w:fill="auto"/>
            <w:vAlign w:val="bottom"/>
          </w:tcPr>
          <w:p w14:paraId="4ADC8F10" w14:textId="13CF86EC"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0.80</w:t>
            </w:r>
          </w:p>
        </w:tc>
        <w:tc>
          <w:tcPr>
            <w:tcW w:w="1730" w:type="dxa"/>
            <w:shd w:val="clear" w:color="auto" w:fill="auto"/>
            <w:vAlign w:val="bottom"/>
          </w:tcPr>
          <w:p w14:paraId="0A69374D"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2018" w:type="dxa"/>
            <w:shd w:val="clear" w:color="auto" w:fill="auto"/>
            <w:vAlign w:val="bottom"/>
          </w:tcPr>
          <w:p w14:paraId="017B3A53"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r w:rsidR="00590FE1" w:rsidRPr="001D5327" w14:paraId="4FBBFD49" w14:textId="77777777" w:rsidTr="00403787">
        <w:tc>
          <w:tcPr>
            <w:tcW w:w="1154" w:type="dxa"/>
            <w:vMerge/>
            <w:vAlign w:val="center"/>
          </w:tcPr>
          <w:p w14:paraId="19EE1D70" w14:textId="77777777" w:rsidR="00590FE1" w:rsidRPr="001D5327" w:rsidRDefault="00590FE1" w:rsidP="00403787">
            <w:pPr>
              <w:pStyle w:val="TableText"/>
              <w:spacing w:before="40" w:after="40"/>
              <w:rPr>
                <w:color w:val="000000"/>
              </w:rPr>
            </w:pPr>
          </w:p>
        </w:tc>
        <w:tc>
          <w:tcPr>
            <w:tcW w:w="1874" w:type="dxa"/>
            <w:shd w:val="clear" w:color="auto" w:fill="auto"/>
            <w:vAlign w:val="center"/>
          </w:tcPr>
          <w:p w14:paraId="5EEC0E74" w14:textId="77777777" w:rsidR="00590FE1" w:rsidRPr="001D5327" w:rsidRDefault="00590FE1" w:rsidP="00403787">
            <w:pPr>
              <w:pStyle w:val="TableText"/>
              <w:spacing w:before="40" w:after="40"/>
              <w:rPr>
                <w:color w:val="000000"/>
              </w:rPr>
            </w:pPr>
            <w:r w:rsidRPr="001D5327">
              <w:rPr>
                <w:rFonts w:cs="Calibri"/>
                <w:color w:val="000000"/>
                <w:szCs w:val="16"/>
              </w:rPr>
              <w:t>Percentage difference in emissions estimates (%)</w:t>
            </w:r>
          </w:p>
        </w:tc>
        <w:tc>
          <w:tcPr>
            <w:tcW w:w="865" w:type="dxa"/>
            <w:shd w:val="clear" w:color="auto" w:fill="auto"/>
            <w:vAlign w:val="bottom"/>
          </w:tcPr>
          <w:p w14:paraId="20F35DE5" w14:textId="60059D36"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0.02</w:t>
            </w:r>
          </w:p>
        </w:tc>
        <w:tc>
          <w:tcPr>
            <w:tcW w:w="864" w:type="dxa"/>
            <w:shd w:val="clear" w:color="auto" w:fill="auto"/>
            <w:vAlign w:val="bottom"/>
          </w:tcPr>
          <w:p w14:paraId="3365E74B" w14:textId="3EEA3176"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0.04</w:t>
            </w:r>
          </w:p>
        </w:tc>
        <w:tc>
          <w:tcPr>
            <w:tcW w:w="1730" w:type="dxa"/>
            <w:shd w:val="clear" w:color="auto" w:fill="auto"/>
            <w:vAlign w:val="bottom"/>
          </w:tcPr>
          <w:p w14:paraId="6766FE90"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2018" w:type="dxa"/>
            <w:shd w:val="clear" w:color="auto" w:fill="auto"/>
            <w:vAlign w:val="bottom"/>
          </w:tcPr>
          <w:p w14:paraId="7540BDBD"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bl>
    <w:p w14:paraId="79F0BCA5" w14:textId="77777777" w:rsidR="00590FE1" w:rsidRPr="001D5327" w:rsidRDefault="00590FE1" w:rsidP="00590FE1">
      <w:pPr>
        <w:pStyle w:val="Noteundertable"/>
        <w:rPr>
          <w:rFonts w:cs="Calibri"/>
        </w:rPr>
      </w:pPr>
      <w:r w:rsidRPr="001D5327">
        <w:rPr>
          <w:rFonts w:cs="Calibri"/>
          <w:b/>
          <w:bCs/>
        </w:rPr>
        <w:t xml:space="preserve">Note: </w:t>
      </w:r>
      <w:r w:rsidRPr="001D5327">
        <w:rPr>
          <w:rFonts w:cs="Calibri"/>
          <w:b/>
          <w:bCs/>
        </w:rPr>
        <w:tab/>
      </w:r>
      <w:r w:rsidRPr="001D5327">
        <w:rPr>
          <w:rFonts w:cs="Calibri"/>
        </w:rPr>
        <w:t>Columns may not sum due to rounding. Percentages presented are calculated from unrounded values.</w:t>
      </w:r>
    </w:p>
    <w:p w14:paraId="2382120F" w14:textId="77777777" w:rsidR="00590FE1" w:rsidRPr="001D5327" w:rsidRDefault="00590FE1" w:rsidP="00590FE1">
      <w:pPr>
        <w:pStyle w:val="Heading5"/>
      </w:pPr>
      <w:r w:rsidRPr="001D5327">
        <w:t>Updating emissions calculations for pigs</w:t>
      </w:r>
    </w:p>
    <w:p w14:paraId="4FFB96B3" w14:textId="77777777" w:rsidR="00590FE1" w:rsidRPr="001D5327" w:rsidRDefault="00590FE1" w:rsidP="00590FE1">
      <w:pPr>
        <w:pStyle w:val="BodyText"/>
      </w:pPr>
      <w:r w:rsidRPr="001D5327">
        <w:t>The 2024 inventory submission used New Zealand-specific emission factors for pigs developed by Hill (2012), in conjunction with default data provided by the IPCC. The methodology was based on a 2009 survey of New Zealand pig farmers. Changes to the commercial New Zealand pork industry have occurred since then, such as improvements in genetic selection, animal housing, feed, husbandry and herd management.</w:t>
      </w:r>
    </w:p>
    <w:p w14:paraId="01D13549" w14:textId="77777777" w:rsidR="00590FE1" w:rsidRPr="001D5327" w:rsidRDefault="00590FE1" w:rsidP="00590FE1">
      <w:pPr>
        <w:pStyle w:val="BodyText"/>
      </w:pPr>
      <w:r w:rsidRPr="001D5327">
        <w:t>Recent research carried out by NZ Pork (Ritchie, 2024) resurveyed commercial pig farmers in New Zealand to gather current data on relevant industry characteristics and practices. The survey was conducted in 2022. This has led to several recommendations for updates to emissions factors and other relevant data.</w:t>
      </w:r>
    </w:p>
    <w:p w14:paraId="51F5E658" w14:textId="77777777" w:rsidR="00590FE1" w:rsidRPr="001D5327" w:rsidRDefault="00590FE1" w:rsidP="00590FE1">
      <w:pPr>
        <w:pStyle w:val="BodyText"/>
      </w:pPr>
      <w:r w:rsidRPr="001D5327">
        <w:t>Ritchie (2024) used a three-step process to update the emission factor for CH</w:t>
      </w:r>
      <w:r w:rsidRPr="001D5327">
        <w:rPr>
          <w:vertAlign w:val="subscript"/>
        </w:rPr>
        <w:t>4</w:t>
      </w:r>
      <w:r w:rsidRPr="001D5327">
        <w:t xml:space="preserve"> from manure for pigs. The first step was to calculate the average volatile solids excretion rates based on farmer survey data. The second step was to calculate the proportion of manure entering each manure management system based on farm survey data. The manure management CH</w:t>
      </w:r>
      <w:r w:rsidRPr="001D5327">
        <w:rPr>
          <w:vertAlign w:val="subscript"/>
        </w:rPr>
        <w:t>4</w:t>
      </w:r>
      <w:r w:rsidRPr="001D5327">
        <w:t xml:space="preserve"> emission factor was then calculated using the CH</w:t>
      </w:r>
      <w:r w:rsidRPr="001D5327">
        <w:rPr>
          <w:vertAlign w:val="subscript"/>
        </w:rPr>
        <w:t>4</w:t>
      </w:r>
      <w:r w:rsidRPr="001D5327">
        <w:t xml:space="preserve"> conversion factors for each manure management system provided by the 2019 IPCC Refinement (IPCC, 2019).</w:t>
      </w:r>
    </w:p>
    <w:p w14:paraId="619299FB" w14:textId="77777777" w:rsidR="00590FE1" w:rsidRPr="001D5327" w:rsidRDefault="00590FE1" w:rsidP="00590FE1">
      <w:pPr>
        <w:pStyle w:val="BodyText"/>
      </w:pPr>
      <w:r w:rsidRPr="001D5327">
        <w:lastRenderedPageBreak/>
        <w:t>For consistency, CH</w:t>
      </w:r>
      <w:r w:rsidRPr="001D5327">
        <w:rPr>
          <w:vertAlign w:val="subscript"/>
        </w:rPr>
        <w:t>4</w:t>
      </w:r>
      <w:r w:rsidRPr="001D5327">
        <w:t xml:space="preserve"> emission factors from manure management systems prior to 2010 are calculated using data from Hill (2012) using the CH</w:t>
      </w:r>
      <w:r w:rsidRPr="001D5327">
        <w:rPr>
          <w:vertAlign w:val="subscript"/>
        </w:rPr>
        <w:t>4</w:t>
      </w:r>
      <w:r w:rsidRPr="001D5327">
        <w:t xml:space="preserve"> conversion factors recommended in the 2019 Refinement (IPCC, 2019). For the years 2010 to 2021 the values are linearly interpolated and the 2023 values are kept the same as the 2022 values.</w:t>
      </w:r>
    </w:p>
    <w:p w14:paraId="502A251F" w14:textId="77777777" w:rsidR="00590FE1" w:rsidRPr="001D5327" w:rsidRDefault="00590FE1" w:rsidP="00590FE1">
      <w:pPr>
        <w:pStyle w:val="BodyText"/>
      </w:pPr>
      <w:r w:rsidRPr="001D5327">
        <w:t>The nitrogen excretion value was also updated. Updating the N</w:t>
      </w:r>
      <w:r w:rsidRPr="001D5327">
        <w:rPr>
          <w:vertAlign w:val="subscript"/>
        </w:rPr>
        <w:t>ex</w:t>
      </w:r>
      <w:r w:rsidRPr="001D5327">
        <w:t xml:space="preserve"> value used a two-part process, first calculating the typical animal mass for pigs based on farmer survey data, then calculating the N</w:t>
      </w:r>
      <w:r w:rsidRPr="001D5327">
        <w:rPr>
          <w:vertAlign w:val="subscript"/>
        </w:rPr>
        <w:t>ex</w:t>
      </w:r>
      <w:r w:rsidRPr="001D5327">
        <w:t xml:space="preserve"> value based on typical animal mass data. For values, refer to table 5.3.5. </w:t>
      </w:r>
    </w:p>
    <w:p w14:paraId="7BDF0886" w14:textId="77777777" w:rsidR="00590FE1" w:rsidRPr="001D5327" w:rsidRDefault="00590FE1" w:rsidP="00590FE1">
      <w:pPr>
        <w:pStyle w:val="BodyText"/>
        <w:rPr>
          <w:spacing w:val="-2"/>
        </w:rPr>
      </w:pPr>
      <w:r w:rsidRPr="001D5327">
        <w:rPr>
          <w:spacing w:val="-2"/>
        </w:rPr>
        <w:t>Several changes have been made to the calculation of N</w:t>
      </w:r>
      <w:r w:rsidRPr="001D5327">
        <w:rPr>
          <w:spacing w:val="-2"/>
          <w:vertAlign w:val="subscript"/>
        </w:rPr>
        <w:t>2</w:t>
      </w:r>
      <w:r w:rsidRPr="001D5327">
        <w:rPr>
          <w:spacing w:val="-2"/>
        </w:rPr>
        <w:t>O emissions from manure management. This includes updates to the percentage of manure treated in each manure management system and moving to using the EF</w:t>
      </w:r>
      <w:r w:rsidRPr="001D5327">
        <w:rPr>
          <w:spacing w:val="-2"/>
          <w:vertAlign w:val="subscript"/>
        </w:rPr>
        <w:t>3</w:t>
      </w:r>
      <w:r w:rsidRPr="001D5327">
        <w:rPr>
          <w:spacing w:val="-2"/>
        </w:rPr>
        <w:t xml:space="preserve"> values specified in the IPCC 2019 Refinement (IPCC, 2019). </w:t>
      </w:r>
    </w:p>
    <w:p w14:paraId="3656FCF5" w14:textId="77777777" w:rsidR="00590FE1" w:rsidRPr="001D5327" w:rsidRDefault="00590FE1" w:rsidP="00590FE1">
      <w:pPr>
        <w:pStyle w:val="BodyText"/>
      </w:pPr>
      <w:r w:rsidRPr="001D5327">
        <w:t>The IPCC 2006 Guidelines note that the fraction of manure handled in each manure management system should be the same for calculations of both CH</w:t>
      </w:r>
      <w:r w:rsidRPr="001D5327">
        <w:rPr>
          <w:vertAlign w:val="subscript"/>
        </w:rPr>
        <w:t>4</w:t>
      </w:r>
      <w:r w:rsidRPr="001D5327">
        <w:t xml:space="preserve"> and N</w:t>
      </w:r>
      <w:r w:rsidRPr="001D5327">
        <w:rPr>
          <w:vertAlign w:val="subscript"/>
        </w:rPr>
        <w:t>2</w:t>
      </w:r>
      <w:r w:rsidRPr="001D5327">
        <w:t xml:space="preserve">O emissions (IPCC, 2006). However, the inclusion of solid separation techniques means the management system values need to be recalculated specifically for nitrogen because solid separation affects the loading rate of volatile solids and nitrogen differently. </w:t>
      </w:r>
    </w:p>
    <w:p w14:paraId="42331BA5" w14:textId="77777777" w:rsidR="00590FE1" w:rsidRPr="001D5327" w:rsidRDefault="00590FE1" w:rsidP="00590FE1">
      <w:pPr>
        <w:pStyle w:val="BodyText"/>
      </w:pPr>
      <w:r w:rsidRPr="001D5327">
        <w:t>The data show some changes have occurred to the apportionment of manure to manure management systems since the report prepared by Hill (2012). Most notably, changes have included a higher use of pasture, range and paddock and anaerobic digesters and less use of daily spread and uncovered anaerobic lagoons (see table 5.3.10). For the years 2010 to 2021 the values are linearly interpolated.</w:t>
      </w:r>
    </w:p>
    <w:p w14:paraId="3DB85E36" w14:textId="77777777" w:rsidR="00590FE1" w:rsidRPr="001D5327" w:rsidRDefault="00590FE1" w:rsidP="00590FE1">
      <w:pPr>
        <w:pStyle w:val="BodyText"/>
      </w:pPr>
      <w:r w:rsidRPr="001D5327">
        <w:t>Parameters for calculating indirect N</w:t>
      </w:r>
      <w:r w:rsidRPr="001D5327">
        <w:rPr>
          <w:vertAlign w:val="subscript"/>
        </w:rPr>
        <w:t>2</w:t>
      </w:r>
      <w:r w:rsidRPr="001D5327">
        <w:t>O emissions now use values from the 2019 Refinement (IPCC, 2019). These parameters were the proportion of managed manure that volatilises as NH</w:t>
      </w:r>
      <w:r w:rsidRPr="001D5327">
        <w:rPr>
          <w:vertAlign w:val="subscript"/>
        </w:rPr>
        <w:t>3</w:t>
      </w:r>
      <w:r w:rsidRPr="001D5327">
        <w:t xml:space="preserve"> and NO</w:t>
      </w:r>
      <w:r w:rsidRPr="001D5327">
        <w:rPr>
          <w:vertAlign w:val="subscript"/>
        </w:rPr>
        <w:t>x</w:t>
      </w:r>
      <w:r w:rsidRPr="001D5327">
        <w:t xml:space="preserve"> (</w:t>
      </w:r>
      <w:r w:rsidRPr="001D5327">
        <w:rPr>
          <w:rFonts w:cs="Arial"/>
        </w:rPr>
        <w:t>Frac</w:t>
      </w:r>
      <w:r w:rsidRPr="001D5327">
        <w:rPr>
          <w:rFonts w:cs="Arial"/>
          <w:vertAlign w:val="subscript"/>
        </w:rPr>
        <w:t>GasMS</w:t>
      </w:r>
      <w:r w:rsidRPr="001D5327">
        <w:rPr>
          <w:rFonts w:cs="Arial"/>
        </w:rPr>
        <w:t xml:space="preserve">), </w:t>
      </w:r>
      <w:r w:rsidRPr="001D5327">
        <w:t>fraction of leaching and runoff from nitrogen in managed manure (</w:t>
      </w:r>
      <w:r w:rsidRPr="001D5327">
        <w:rPr>
          <w:rFonts w:cs="Arial"/>
          <w:color w:val="000000"/>
        </w:rPr>
        <w:t>Frac</w:t>
      </w:r>
      <w:r w:rsidRPr="001D5327">
        <w:rPr>
          <w:rFonts w:cs="Arial"/>
          <w:color w:val="000000"/>
          <w:vertAlign w:val="subscript"/>
        </w:rPr>
        <w:t>LeachMS</w:t>
      </w:r>
      <w:r w:rsidRPr="001D5327">
        <w:rPr>
          <w:rFonts w:cs="Arial"/>
          <w:color w:val="000000"/>
        </w:rPr>
        <w:t xml:space="preserve">) and </w:t>
      </w:r>
      <w:r w:rsidRPr="001D5327">
        <w:t>fraction of leaching and runoff from organic nitrogen applied to soil (Frac</w:t>
      </w:r>
      <w:r w:rsidRPr="001D5327">
        <w:rPr>
          <w:vertAlign w:val="subscript"/>
        </w:rPr>
        <w:t>leach(ON)</w:t>
      </w:r>
      <w:r w:rsidRPr="001D5327">
        <w:t>).</w:t>
      </w:r>
    </w:p>
    <w:p w14:paraId="65030C37" w14:textId="77777777" w:rsidR="00590FE1" w:rsidRPr="001D5327" w:rsidRDefault="00590FE1" w:rsidP="00590FE1">
      <w:pPr>
        <w:pStyle w:val="BodyText"/>
      </w:pPr>
      <w:r w:rsidRPr="001D5327">
        <w:t xml:space="preserve">Implementing these changes caused emissions from the </w:t>
      </w:r>
      <w:r w:rsidRPr="001D5327">
        <w:rPr>
          <w:i/>
          <w:iCs/>
        </w:rPr>
        <w:t>Manure management</w:t>
      </w:r>
      <w:r w:rsidRPr="001D5327">
        <w:t xml:space="preserve"> category to decrease by 9.3 kt CO</w:t>
      </w:r>
      <w:r w:rsidRPr="001D5327">
        <w:rPr>
          <w:vertAlign w:val="subscript"/>
        </w:rPr>
        <w:t>2</w:t>
      </w:r>
      <w:r w:rsidRPr="001D5327">
        <w:t>-e in 1990 and 1.6 kt CO</w:t>
      </w:r>
      <w:r w:rsidRPr="001D5327">
        <w:rPr>
          <w:vertAlign w:val="subscript"/>
        </w:rPr>
        <w:t>2</w:t>
      </w:r>
      <w:r w:rsidRPr="001D5327">
        <w:t>-e in 2022 (see table 5.3.11).</w:t>
      </w:r>
    </w:p>
    <w:p w14:paraId="40F88893" w14:textId="4BAA7240" w:rsidR="00590FE1" w:rsidRPr="001D5327" w:rsidRDefault="00590FE1" w:rsidP="00590FE1">
      <w:pPr>
        <w:pStyle w:val="Table"/>
        <w:rPr>
          <w:rFonts w:cs="Calibri"/>
        </w:rPr>
      </w:pPr>
      <w:bookmarkStart w:id="1010" w:name="_Toc194241721"/>
      <w:r w:rsidRPr="001D5327">
        <w:rPr>
          <w:rFonts w:cs="Calibri"/>
        </w:rPr>
        <w:t xml:space="preserve">Table 5.3.10 </w:t>
      </w:r>
      <w:r w:rsidR="008E3514" w:rsidRPr="001D5327">
        <w:rPr>
          <w:rFonts w:cs="Calibri"/>
        </w:rPr>
        <w:tab/>
      </w:r>
      <w:r w:rsidRPr="001D5327">
        <w:rPr>
          <w:rFonts w:cs="Calibri"/>
        </w:rPr>
        <w:t>Proportion of pig manure treated in each manure management system in 2022</w:t>
      </w:r>
      <w:bookmarkEnd w:id="1010"/>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000" w:firstRow="0" w:lastRow="0" w:firstColumn="0" w:lastColumn="0" w:noHBand="0" w:noVBand="0"/>
      </w:tblPr>
      <w:tblGrid>
        <w:gridCol w:w="3368"/>
        <w:gridCol w:w="2454"/>
        <w:gridCol w:w="2683"/>
      </w:tblGrid>
      <w:tr w:rsidR="00590FE1" w:rsidRPr="001D5327" w14:paraId="610D645A" w14:textId="77777777" w:rsidTr="00403787">
        <w:trPr>
          <w:tblHeader/>
        </w:trPr>
        <w:tc>
          <w:tcPr>
            <w:tcW w:w="3345" w:type="dxa"/>
            <w:tcBorders>
              <w:top w:val="single" w:sz="4" w:space="0" w:color="1B556B" w:themeColor="text2"/>
            </w:tcBorders>
            <w:shd w:val="clear" w:color="auto" w:fill="1B556B" w:themeFill="text2"/>
          </w:tcPr>
          <w:p w14:paraId="199C4D24" w14:textId="77777777" w:rsidR="00590FE1" w:rsidRPr="001D5327" w:rsidRDefault="00590FE1" w:rsidP="00403787">
            <w:pPr>
              <w:pStyle w:val="TableTextBold"/>
              <w:spacing w:before="40" w:after="40"/>
              <w:rPr>
                <w:noProof w:val="0"/>
                <w:color w:val="FFFFFF" w:themeColor="background1"/>
              </w:rPr>
            </w:pPr>
            <w:r w:rsidRPr="001D5327">
              <w:rPr>
                <w:noProof w:val="0"/>
                <w:color w:val="FFFFFF" w:themeColor="background1"/>
              </w:rPr>
              <w:t>Animal waste management system</w:t>
            </w:r>
          </w:p>
        </w:tc>
        <w:tc>
          <w:tcPr>
            <w:tcW w:w="2438" w:type="dxa"/>
            <w:tcBorders>
              <w:top w:val="single" w:sz="4" w:space="0" w:color="1B556B" w:themeColor="text2"/>
            </w:tcBorders>
            <w:shd w:val="clear" w:color="auto" w:fill="1B556B" w:themeFill="text2"/>
          </w:tcPr>
          <w:p w14:paraId="1C481A79" w14:textId="77777777" w:rsidR="00590FE1" w:rsidRPr="001D5327" w:rsidRDefault="00590FE1" w:rsidP="00403787">
            <w:pPr>
              <w:pStyle w:val="TableTextBold"/>
              <w:spacing w:before="40" w:after="40"/>
              <w:jc w:val="right"/>
              <w:rPr>
                <w:noProof w:val="0"/>
                <w:color w:val="FFFFFF" w:themeColor="background1"/>
              </w:rPr>
            </w:pPr>
            <w:r w:rsidRPr="001D5327">
              <w:rPr>
                <w:noProof w:val="0"/>
                <w:color w:val="FFFFFF" w:themeColor="background1"/>
              </w:rPr>
              <w:t>Percentage of manure treated (%)</w:t>
            </w:r>
          </w:p>
        </w:tc>
        <w:tc>
          <w:tcPr>
            <w:tcW w:w="2665" w:type="dxa"/>
            <w:tcBorders>
              <w:top w:val="single" w:sz="4" w:space="0" w:color="1B556B" w:themeColor="text2"/>
            </w:tcBorders>
            <w:shd w:val="clear" w:color="auto" w:fill="1B556B" w:themeFill="text2"/>
          </w:tcPr>
          <w:p w14:paraId="152C56DF" w14:textId="77777777" w:rsidR="00590FE1" w:rsidRPr="001D5327" w:rsidRDefault="00590FE1" w:rsidP="00403787">
            <w:pPr>
              <w:pStyle w:val="TableTextBold"/>
              <w:spacing w:before="40" w:after="40"/>
              <w:jc w:val="right"/>
              <w:rPr>
                <w:noProof w:val="0"/>
                <w:color w:val="FFFFFF" w:themeColor="background1"/>
              </w:rPr>
            </w:pPr>
            <w:r w:rsidRPr="001D5327">
              <w:rPr>
                <w:noProof w:val="0"/>
                <w:color w:val="FFFFFF" w:themeColor="background1"/>
              </w:rPr>
              <w:t>Percentage of manure N treated (%)</w:t>
            </w:r>
          </w:p>
        </w:tc>
      </w:tr>
      <w:tr w:rsidR="00590FE1" w:rsidRPr="001D5327" w14:paraId="7A8B717D" w14:textId="77777777" w:rsidTr="00403787">
        <w:tc>
          <w:tcPr>
            <w:tcW w:w="3345" w:type="dxa"/>
          </w:tcPr>
          <w:p w14:paraId="59CFCB80" w14:textId="77777777" w:rsidR="00590FE1" w:rsidRPr="001D5327" w:rsidRDefault="00590FE1" w:rsidP="00403787">
            <w:pPr>
              <w:pStyle w:val="TableText"/>
              <w:spacing w:before="40" w:after="40"/>
            </w:pPr>
            <w:r w:rsidRPr="001D5327">
              <w:t>Pasture/range/paddock*</w:t>
            </w:r>
          </w:p>
        </w:tc>
        <w:tc>
          <w:tcPr>
            <w:tcW w:w="2438" w:type="dxa"/>
            <w:vAlign w:val="center"/>
          </w:tcPr>
          <w:p w14:paraId="13BEE28B" w14:textId="77777777" w:rsidR="00590FE1" w:rsidRPr="001D5327" w:rsidRDefault="00590FE1" w:rsidP="00403787">
            <w:pPr>
              <w:pStyle w:val="TableText"/>
              <w:spacing w:before="40" w:after="40"/>
              <w:jc w:val="right"/>
              <w:rPr>
                <w:rFonts w:cs="Calibri"/>
              </w:rPr>
            </w:pPr>
            <w:r w:rsidRPr="001D5327">
              <w:rPr>
                <w:rFonts w:cs="Calibri"/>
                <w:color w:val="000000"/>
                <w:szCs w:val="16"/>
              </w:rPr>
              <w:t>14.5</w:t>
            </w:r>
          </w:p>
        </w:tc>
        <w:tc>
          <w:tcPr>
            <w:tcW w:w="2665" w:type="dxa"/>
            <w:vAlign w:val="center"/>
          </w:tcPr>
          <w:p w14:paraId="1D059756" w14:textId="77777777" w:rsidR="00590FE1" w:rsidRPr="001D5327" w:rsidRDefault="00590FE1" w:rsidP="00403787">
            <w:pPr>
              <w:pStyle w:val="TableText"/>
              <w:spacing w:before="40" w:after="40"/>
              <w:jc w:val="right"/>
              <w:rPr>
                <w:rFonts w:cs="Calibri"/>
              </w:rPr>
            </w:pPr>
            <w:r w:rsidRPr="001D5327">
              <w:rPr>
                <w:rFonts w:cs="Calibri"/>
                <w:color w:val="000000"/>
                <w:szCs w:val="16"/>
              </w:rPr>
              <w:t>14.5</w:t>
            </w:r>
          </w:p>
        </w:tc>
      </w:tr>
      <w:tr w:rsidR="00590FE1" w:rsidRPr="001D5327" w14:paraId="745111B3" w14:textId="77777777" w:rsidTr="00403787">
        <w:tc>
          <w:tcPr>
            <w:tcW w:w="3345" w:type="dxa"/>
          </w:tcPr>
          <w:p w14:paraId="528DD1E7" w14:textId="77777777" w:rsidR="00590FE1" w:rsidRPr="001D5327" w:rsidRDefault="00590FE1" w:rsidP="00403787">
            <w:pPr>
              <w:pStyle w:val="TableText"/>
              <w:spacing w:before="40" w:after="40"/>
            </w:pPr>
            <w:r w:rsidRPr="001D5327">
              <w:t>Daily spread</w:t>
            </w:r>
          </w:p>
        </w:tc>
        <w:tc>
          <w:tcPr>
            <w:tcW w:w="2438" w:type="dxa"/>
            <w:shd w:val="clear" w:color="auto" w:fill="auto"/>
            <w:vAlign w:val="center"/>
          </w:tcPr>
          <w:p w14:paraId="25BA70BF" w14:textId="77777777" w:rsidR="00590FE1" w:rsidRPr="001D5327" w:rsidRDefault="00590FE1" w:rsidP="00403787">
            <w:pPr>
              <w:pStyle w:val="TableText"/>
              <w:spacing w:before="40" w:after="40"/>
              <w:jc w:val="right"/>
              <w:rPr>
                <w:rFonts w:cs="Calibri"/>
              </w:rPr>
            </w:pPr>
            <w:r w:rsidRPr="001D5327">
              <w:rPr>
                <w:rFonts w:cs="Calibri"/>
                <w:color w:val="000000"/>
                <w:szCs w:val="16"/>
              </w:rPr>
              <w:t>7.6</w:t>
            </w:r>
          </w:p>
        </w:tc>
        <w:tc>
          <w:tcPr>
            <w:tcW w:w="2665" w:type="dxa"/>
            <w:shd w:val="clear" w:color="auto" w:fill="auto"/>
            <w:vAlign w:val="center"/>
          </w:tcPr>
          <w:p w14:paraId="7C842374" w14:textId="77777777" w:rsidR="00590FE1" w:rsidRPr="001D5327" w:rsidRDefault="00590FE1" w:rsidP="00403787">
            <w:pPr>
              <w:pStyle w:val="TableText"/>
              <w:spacing w:before="40" w:after="40"/>
              <w:jc w:val="right"/>
              <w:rPr>
                <w:rFonts w:cs="Calibri"/>
              </w:rPr>
            </w:pPr>
            <w:r w:rsidRPr="001D5327">
              <w:rPr>
                <w:rFonts w:cs="Calibri"/>
                <w:color w:val="000000"/>
                <w:szCs w:val="16"/>
              </w:rPr>
              <w:t>7.6</w:t>
            </w:r>
          </w:p>
        </w:tc>
      </w:tr>
      <w:tr w:rsidR="00590FE1" w:rsidRPr="001D5327" w14:paraId="1C395200" w14:textId="77777777" w:rsidTr="00403787">
        <w:tc>
          <w:tcPr>
            <w:tcW w:w="3345" w:type="dxa"/>
          </w:tcPr>
          <w:p w14:paraId="6520E3E8" w14:textId="77777777" w:rsidR="00590FE1" w:rsidRPr="001D5327" w:rsidRDefault="00590FE1" w:rsidP="00403787">
            <w:pPr>
              <w:pStyle w:val="TableText"/>
              <w:spacing w:before="40" w:after="40"/>
            </w:pPr>
            <w:r w:rsidRPr="001D5327">
              <w:t>Uncovered anaerobic lagoon</w:t>
            </w:r>
          </w:p>
        </w:tc>
        <w:tc>
          <w:tcPr>
            <w:tcW w:w="2438" w:type="dxa"/>
            <w:vAlign w:val="center"/>
          </w:tcPr>
          <w:p w14:paraId="39D41A11"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14.7</w:t>
            </w:r>
          </w:p>
        </w:tc>
        <w:tc>
          <w:tcPr>
            <w:tcW w:w="2665" w:type="dxa"/>
            <w:vAlign w:val="center"/>
          </w:tcPr>
          <w:p w14:paraId="18F8CF67" w14:textId="77777777" w:rsidR="00590FE1" w:rsidRPr="001D5327" w:rsidRDefault="00590FE1" w:rsidP="00403787">
            <w:pPr>
              <w:pStyle w:val="TableText"/>
              <w:spacing w:before="40" w:after="40"/>
              <w:jc w:val="right"/>
              <w:rPr>
                <w:rFonts w:cs="Calibri"/>
                <w:color w:val="000000"/>
                <w:szCs w:val="16"/>
              </w:rPr>
            </w:pPr>
            <w:r w:rsidRPr="001D5327">
              <w:rPr>
                <w:rFonts w:cs="Calibri"/>
                <w:color w:val="000000"/>
                <w:szCs w:val="16"/>
              </w:rPr>
              <w:t>16.0</w:t>
            </w:r>
          </w:p>
        </w:tc>
      </w:tr>
      <w:tr w:rsidR="00590FE1" w:rsidRPr="001D5327" w14:paraId="0B26D278" w14:textId="77777777" w:rsidTr="00403787">
        <w:tc>
          <w:tcPr>
            <w:tcW w:w="3345" w:type="dxa"/>
          </w:tcPr>
          <w:p w14:paraId="5E0B8A96" w14:textId="77777777" w:rsidR="00590FE1" w:rsidRPr="001D5327" w:rsidRDefault="00590FE1" w:rsidP="00403787">
            <w:pPr>
              <w:pStyle w:val="TableText"/>
              <w:spacing w:before="40" w:after="40"/>
            </w:pPr>
            <w:r w:rsidRPr="001D5327">
              <w:t>Pit storage below animal confinement &lt; 30 days</w:t>
            </w:r>
          </w:p>
        </w:tc>
        <w:tc>
          <w:tcPr>
            <w:tcW w:w="2438" w:type="dxa"/>
            <w:vAlign w:val="center"/>
          </w:tcPr>
          <w:p w14:paraId="7BD08C5B" w14:textId="77777777" w:rsidR="00590FE1" w:rsidRPr="001D5327" w:rsidRDefault="00590FE1" w:rsidP="00403787">
            <w:pPr>
              <w:pStyle w:val="TableText"/>
              <w:spacing w:before="40" w:after="40"/>
              <w:jc w:val="right"/>
              <w:rPr>
                <w:rFonts w:cs="Calibri"/>
              </w:rPr>
            </w:pPr>
            <w:r w:rsidRPr="001D5327">
              <w:rPr>
                <w:rFonts w:cs="Calibri"/>
                <w:color w:val="000000"/>
                <w:szCs w:val="16"/>
              </w:rPr>
              <w:t>12.6</w:t>
            </w:r>
          </w:p>
        </w:tc>
        <w:tc>
          <w:tcPr>
            <w:tcW w:w="2665" w:type="dxa"/>
            <w:vAlign w:val="center"/>
          </w:tcPr>
          <w:p w14:paraId="0AA58688" w14:textId="77777777" w:rsidR="00590FE1" w:rsidRPr="001D5327" w:rsidRDefault="00590FE1" w:rsidP="00403787">
            <w:pPr>
              <w:pStyle w:val="TableText"/>
              <w:spacing w:before="40" w:after="40"/>
              <w:jc w:val="right"/>
              <w:rPr>
                <w:rFonts w:cs="Calibri"/>
                <w:color w:val="000000"/>
                <w:szCs w:val="16"/>
              </w:rPr>
            </w:pPr>
            <w:r w:rsidRPr="001D5327">
              <w:rPr>
                <w:rFonts w:cs="Calibri"/>
                <w:color w:val="000000"/>
                <w:szCs w:val="16"/>
              </w:rPr>
              <w:t>13.3</w:t>
            </w:r>
          </w:p>
        </w:tc>
      </w:tr>
      <w:tr w:rsidR="00590FE1" w:rsidRPr="001D5327" w14:paraId="335433D4" w14:textId="77777777" w:rsidTr="00403787">
        <w:tc>
          <w:tcPr>
            <w:tcW w:w="3345" w:type="dxa"/>
          </w:tcPr>
          <w:p w14:paraId="6B650EDF" w14:textId="77777777" w:rsidR="00590FE1" w:rsidRPr="001D5327" w:rsidRDefault="00590FE1" w:rsidP="00403787">
            <w:pPr>
              <w:pStyle w:val="TableText"/>
              <w:spacing w:before="40" w:after="40"/>
            </w:pPr>
            <w:r w:rsidRPr="001D5327">
              <w:t>Pit storage below animal confinement &gt; 30 days</w:t>
            </w:r>
          </w:p>
        </w:tc>
        <w:tc>
          <w:tcPr>
            <w:tcW w:w="2438" w:type="dxa"/>
            <w:vAlign w:val="center"/>
          </w:tcPr>
          <w:p w14:paraId="1EF87394" w14:textId="77777777" w:rsidR="00590FE1" w:rsidRPr="001D5327" w:rsidRDefault="00590FE1" w:rsidP="00403787">
            <w:pPr>
              <w:pStyle w:val="TableText"/>
              <w:spacing w:before="40" w:after="40"/>
              <w:jc w:val="right"/>
              <w:rPr>
                <w:rFonts w:cs="Calibri"/>
              </w:rPr>
            </w:pPr>
            <w:r w:rsidRPr="001D5327">
              <w:rPr>
                <w:rFonts w:cs="Calibri"/>
                <w:color w:val="000000"/>
                <w:szCs w:val="16"/>
              </w:rPr>
              <w:t>3.9</w:t>
            </w:r>
          </w:p>
        </w:tc>
        <w:tc>
          <w:tcPr>
            <w:tcW w:w="2665" w:type="dxa"/>
            <w:vAlign w:val="center"/>
          </w:tcPr>
          <w:p w14:paraId="3C76C444" w14:textId="77777777" w:rsidR="00590FE1" w:rsidRPr="001D5327" w:rsidRDefault="00590FE1" w:rsidP="00403787">
            <w:pPr>
              <w:pStyle w:val="TableText"/>
              <w:spacing w:before="40" w:after="40"/>
              <w:jc w:val="right"/>
              <w:rPr>
                <w:rFonts w:cs="Calibri"/>
                <w:color w:val="000000"/>
                <w:szCs w:val="16"/>
              </w:rPr>
            </w:pPr>
            <w:r w:rsidRPr="001D5327">
              <w:rPr>
                <w:rFonts w:cs="Calibri"/>
                <w:color w:val="000000"/>
                <w:szCs w:val="16"/>
              </w:rPr>
              <w:t>4.8</w:t>
            </w:r>
          </w:p>
        </w:tc>
      </w:tr>
      <w:tr w:rsidR="00590FE1" w:rsidRPr="001D5327" w14:paraId="584CFD69" w14:textId="77777777" w:rsidTr="00403787">
        <w:tc>
          <w:tcPr>
            <w:tcW w:w="3345" w:type="dxa"/>
          </w:tcPr>
          <w:p w14:paraId="40551EA9" w14:textId="77777777" w:rsidR="00590FE1" w:rsidRPr="001D5327" w:rsidRDefault="00590FE1" w:rsidP="00403787">
            <w:pPr>
              <w:pStyle w:val="TableText"/>
              <w:spacing w:before="40" w:after="40"/>
            </w:pPr>
            <w:r w:rsidRPr="001D5327">
              <w:t>Anaerobic digester</w:t>
            </w:r>
          </w:p>
        </w:tc>
        <w:tc>
          <w:tcPr>
            <w:tcW w:w="2438" w:type="dxa"/>
            <w:vAlign w:val="center"/>
          </w:tcPr>
          <w:p w14:paraId="1C8620A6" w14:textId="77777777" w:rsidR="00590FE1" w:rsidRPr="001D5327" w:rsidRDefault="00590FE1" w:rsidP="00403787">
            <w:pPr>
              <w:pStyle w:val="TableText"/>
              <w:spacing w:before="40" w:after="40"/>
              <w:jc w:val="right"/>
              <w:rPr>
                <w:rFonts w:cs="Calibri"/>
              </w:rPr>
            </w:pPr>
            <w:r w:rsidRPr="001D5327">
              <w:rPr>
                <w:rFonts w:cs="Calibri"/>
                <w:color w:val="000000"/>
                <w:szCs w:val="16"/>
              </w:rPr>
              <w:t>8.4</w:t>
            </w:r>
          </w:p>
        </w:tc>
        <w:tc>
          <w:tcPr>
            <w:tcW w:w="2665" w:type="dxa"/>
            <w:vAlign w:val="center"/>
          </w:tcPr>
          <w:p w14:paraId="609F3F51" w14:textId="77777777" w:rsidR="00590FE1" w:rsidRPr="001D5327" w:rsidRDefault="00590FE1" w:rsidP="00403787">
            <w:pPr>
              <w:pStyle w:val="TableText"/>
              <w:spacing w:before="40" w:after="40"/>
              <w:jc w:val="right"/>
              <w:rPr>
                <w:rFonts w:cs="Calibri"/>
                <w:color w:val="000000"/>
                <w:szCs w:val="16"/>
              </w:rPr>
            </w:pPr>
            <w:r w:rsidRPr="001D5327">
              <w:rPr>
                <w:rFonts w:cs="Calibri"/>
                <w:color w:val="000000"/>
                <w:szCs w:val="16"/>
              </w:rPr>
              <w:t>9.4</w:t>
            </w:r>
          </w:p>
        </w:tc>
      </w:tr>
      <w:tr w:rsidR="00590FE1" w:rsidRPr="001D5327" w14:paraId="423A04C1" w14:textId="77777777" w:rsidTr="00403787">
        <w:tc>
          <w:tcPr>
            <w:tcW w:w="3345" w:type="dxa"/>
          </w:tcPr>
          <w:p w14:paraId="1CA29012" w14:textId="77777777" w:rsidR="00590FE1" w:rsidRPr="001D5327" w:rsidRDefault="00590FE1" w:rsidP="00403787">
            <w:pPr>
              <w:pStyle w:val="TableText"/>
              <w:spacing w:before="40" w:after="40"/>
            </w:pPr>
            <w:r w:rsidRPr="001D5327">
              <w:t>Cattle and pigs deep bedding &lt; 60 days</w:t>
            </w:r>
          </w:p>
        </w:tc>
        <w:tc>
          <w:tcPr>
            <w:tcW w:w="2438" w:type="dxa"/>
            <w:vAlign w:val="center"/>
          </w:tcPr>
          <w:p w14:paraId="237DBDBC" w14:textId="77777777" w:rsidR="00590FE1" w:rsidRPr="001D5327" w:rsidRDefault="00590FE1" w:rsidP="00403787">
            <w:pPr>
              <w:pStyle w:val="TableText"/>
              <w:spacing w:before="40" w:after="40"/>
              <w:jc w:val="right"/>
              <w:rPr>
                <w:rFonts w:cs="Calibri"/>
              </w:rPr>
            </w:pPr>
            <w:r w:rsidRPr="001D5327">
              <w:rPr>
                <w:rFonts w:cs="Calibri"/>
                <w:color w:val="000000"/>
                <w:szCs w:val="16"/>
              </w:rPr>
              <w:t>22.0</w:t>
            </w:r>
          </w:p>
        </w:tc>
        <w:tc>
          <w:tcPr>
            <w:tcW w:w="2665" w:type="dxa"/>
            <w:vAlign w:val="center"/>
          </w:tcPr>
          <w:p w14:paraId="29E49BCE" w14:textId="77777777" w:rsidR="00590FE1" w:rsidRPr="001D5327" w:rsidRDefault="00590FE1" w:rsidP="00403787">
            <w:pPr>
              <w:pStyle w:val="TableText"/>
              <w:spacing w:before="40" w:after="40"/>
              <w:jc w:val="right"/>
              <w:rPr>
                <w:rFonts w:cs="Calibri"/>
                <w:color w:val="000000"/>
                <w:szCs w:val="16"/>
              </w:rPr>
            </w:pPr>
            <w:r w:rsidRPr="001D5327">
              <w:rPr>
                <w:rFonts w:cs="Calibri"/>
                <w:color w:val="000000"/>
                <w:szCs w:val="16"/>
              </w:rPr>
              <w:t>22.0</w:t>
            </w:r>
          </w:p>
        </w:tc>
      </w:tr>
      <w:tr w:rsidR="00590FE1" w:rsidRPr="001D5327" w14:paraId="0C6A5EA0" w14:textId="77777777" w:rsidTr="00403787">
        <w:tc>
          <w:tcPr>
            <w:tcW w:w="3345" w:type="dxa"/>
          </w:tcPr>
          <w:p w14:paraId="46D52E90" w14:textId="77777777" w:rsidR="00590FE1" w:rsidRPr="001D5327" w:rsidRDefault="00590FE1" w:rsidP="00403787">
            <w:pPr>
              <w:pStyle w:val="TableText"/>
              <w:spacing w:before="40" w:after="40"/>
            </w:pPr>
            <w:r w:rsidRPr="001D5327">
              <w:t>Cattle and pigs deep bedding &gt; 60 days</w:t>
            </w:r>
          </w:p>
        </w:tc>
        <w:tc>
          <w:tcPr>
            <w:tcW w:w="2438" w:type="dxa"/>
            <w:vAlign w:val="center"/>
          </w:tcPr>
          <w:p w14:paraId="7B682AF7" w14:textId="77777777" w:rsidR="00590FE1" w:rsidRPr="001D5327" w:rsidRDefault="00590FE1" w:rsidP="00403787">
            <w:pPr>
              <w:pStyle w:val="TableText"/>
              <w:spacing w:before="40" w:after="40"/>
              <w:jc w:val="right"/>
              <w:rPr>
                <w:rFonts w:cs="Calibri"/>
              </w:rPr>
            </w:pPr>
            <w:r w:rsidRPr="001D5327">
              <w:rPr>
                <w:rFonts w:cs="Calibri"/>
                <w:color w:val="000000"/>
                <w:szCs w:val="16"/>
              </w:rPr>
              <w:t>11.1</w:t>
            </w:r>
          </w:p>
        </w:tc>
        <w:tc>
          <w:tcPr>
            <w:tcW w:w="2665" w:type="dxa"/>
            <w:vAlign w:val="center"/>
          </w:tcPr>
          <w:p w14:paraId="66455212" w14:textId="77777777" w:rsidR="00590FE1" w:rsidRPr="001D5327" w:rsidRDefault="00590FE1" w:rsidP="00403787">
            <w:pPr>
              <w:pStyle w:val="TableText"/>
              <w:spacing w:before="40" w:after="40"/>
              <w:jc w:val="right"/>
              <w:rPr>
                <w:rFonts w:cs="Calibri"/>
                <w:color w:val="000000"/>
                <w:szCs w:val="16"/>
              </w:rPr>
            </w:pPr>
            <w:r w:rsidRPr="001D5327">
              <w:rPr>
                <w:rFonts w:cs="Calibri"/>
                <w:color w:val="000000"/>
                <w:szCs w:val="16"/>
              </w:rPr>
              <w:t>10.8</w:t>
            </w:r>
          </w:p>
        </w:tc>
      </w:tr>
      <w:tr w:rsidR="00590FE1" w:rsidRPr="001D5327" w14:paraId="79A2657A" w14:textId="77777777" w:rsidTr="00403787">
        <w:tc>
          <w:tcPr>
            <w:tcW w:w="3345" w:type="dxa"/>
          </w:tcPr>
          <w:p w14:paraId="67BCCAAF" w14:textId="77777777" w:rsidR="00590FE1" w:rsidRPr="001D5327" w:rsidRDefault="00590FE1" w:rsidP="00403787">
            <w:pPr>
              <w:pStyle w:val="TableText"/>
              <w:spacing w:before="40" w:after="40"/>
            </w:pPr>
            <w:r w:rsidRPr="001D5327">
              <w:t>Composting passive windrow</w:t>
            </w:r>
          </w:p>
        </w:tc>
        <w:tc>
          <w:tcPr>
            <w:tcW w:w="2438" w:type="dxa"/>
            <w:vAlign w:val="center"/>
          </w:tcPr>
          <w:p w14:paraId="50B87C02" w14:textId="77777777" w:rsidR="00590FE1" w:rsidRPr="001D5327" w:rsidRDefault="00590FE1" w:rsidP="00403787">
            <w:pPr>
              <w:pStyle w:val="TableText"/>
              <w:spacing w:before="40" w:after="40"/>
              <w:jc w:val="right"/>
              <w:rPr>
                <w:rFonts w:cs="Calibri"/>
                <w:color w:val="000000"/>
                <w:szCs w:val="16"/>
              </w:rPr>
            </w:pPr>
            <w:r w:rsidRPr="001D5327">
              <w:rPr>
                <w:rFonts w:cs="Calibri"/>
                <w:color w:val="000000"/>
                <w:szCs w:val="16"/>
              </w:rPr>
              <w:t>5.3</w:t>
            </w:r>
          </w:p>
        </w:tc>
        <w:tc>
          <w:tcPr>
            <w:tcW w:w="2665" w:type="dxa"/>
            <w:vAlign w:val="center"/>
          </w:tcPr>
          <w:p w14:paraId="507A29CC" w14:textId="77777777" w:rsidR="00590FE1" w:rsidRPr="001D5327" w:rsidRDefault="00590FE1" w:rsidP="00403787">
            <w:pPr>
              <w:pStyle w:val="TableText"/>
              <w:spacing w:before="40" w:after="40"/>
              <w:jc w:val="right"/>
              <w:rPr>
                <w:rFonts w:cs="Calibri"/>
                <w:color w:val="000000"/>
                <w:szCs w:val="16"/>
              </w:rPr>
            </w:pPr>
            <w:r w:rsidRPr="001D5327">
              <w:rPr>
                <w:rFonts w:cs="Calibri"/>
                <w:color w:val="000000"/>
                <w:szCs w:val="16"/>
              </w:rPr>
              <w:t>1.9</w:t>
            </w:r>
          </w:p>
        </w:tc>
      </w:tr>
    </w:tbl>
    <w:p w14:paraId="661BE883" w14:textId="510A7BD1" w:rsidR="00590FE1" w:rsidRPr="001D5327" w:rsidRDefault="007D0638" w:rsidP="00A5619B">
      <w:pPr>
        <w:pStyle w:val="Noteundertable"/>
      </w:pPr>
      <w:r w:rsidRPr="00E309AE">
        <w:rPr>
          <w:b/>
          <w:bCs/>
        </w:rPr>
        <w:t>Note</w:t>
      </w:r>
      <w:r w:rsidR="00E309AE">
        <w:rPr>
          <w:b/>
          <w:bCs/>
        </w:rPr>
        <w:t>:</w:t>
      </w:r>
      <w:r w:rsidRPr="001D5327">
        <w:rPr>
          <w:b/>
          <w:bCs/>
        </w:rPr>
        <w:tab/>
      </w:r>
      <w:r w:rsidR="00590FE1" w:rsidRPr="001D5327">
        <w:t>*N</w:t>
      </w:r>
      <w:r w:rsidR="00590FE1" w:rsidRPr="001D5327">
        <w:rPr>
          <w:vertAlign w:val="subscript"/>
        </w:rPr>
        <w:t>2</w:t>
      </w:r>
      <w:r w:rsidR="00590FE1" w:rsidRPr="001D5327">
        <w:t>O emissions reported under Agricultural soils, under Urine and dung deposited by grazing animals (3.D.1.3).</w:t>
      </w:r>
    </w:p>
    <w:p w14:paraId="57B3D8B5" w14:textId="77777777" w:rsidR="00590FE1" w:rsidRPr="001D5327" w:rsidRDefault="00590FE1" w:rsidP="00590FE1">
      <w:pPr>
        <w:pStyle w:val="Table"/>
        <w:rPr>
          <w:rFonts w:cs="Calibri"/>
        </w:rPr>
      </w:pPr>
      <w:bookmarkStart w:id="1011" w:name="_Toc160114455"/>
      <w:bookmarkStart w:id="1012" w:name="_Toc164153851"/>
      <w:bookmarkStart w:id="1013" w:name="_Toc194241722"/>
      <w:r w:rsidRPr="001D5327">
        <w:rPr>
          <w:rFonts w:cs="Calibri"/>
        </w:rPr>
        <w:lastRenderedPageBreak/>
        <w:t>Table 5.3.11</w:t>
      </w:r>
      <w:r w:rsidRPr="001D5327">
        <w:rPr>
          <w:rFonts w:cs="Calibri"/>
        </w:rPr>
        <w:tab/>
        <w:t xml:space="preserve">Comparison for emissions from </w:t>
      </w:r>
      <w:r w:rsidRPr="001D5327">
        <w:rPr>
          <w:rFonts w:cs="Calibri"/>
          <w:i/>
        </w:rPr>
        <w:t>Manure management</w:t>
      </w:r>
      <w:bookmarkEnd w:id="1011"/>
      <w:bookmarkEnd w:id="1012"/>
      <w:r w:rsidRPr="001D5327">
        <w:rPr>
          <w:rFonts w:cs="Calibri"/>
          <w:i/>
          <w:iCs/>
        </w:rPr>
        <w:t xml:space="preserve"> </w:t>
      </w:r>
      <w:r w:rsidRPr="001D5327">
        <w:rPr>
          <w:rFonts w:cs="Calibri"/>
        </w:rPr>
        <w:t>using the updated pig calculations</w:t>
      </w:r>
      <w:bookmarkEnd w:id="1013"/>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4A0" w:firstRow="1" w:lastRow="0" w:firstColumn="1" w:lastColumn="0" w:noHBand="0" w:noVBand="1"/>
      </w:tblPr>
      <w:tblGrid>
        <w:gridCol w:w="1174"/>
        <w:gridCol w:w="1876"/>
        <w:gridCol w:w="880"/>
        <w:gridCol w:w="880"/>
        <w:gridCol w:w="1701"/>
        <w:gridCol w:w="1994"/>
      </w:tblGrid>
      <w:tr w:rsidR="00590FE1" w:rsidRPr="001D5327" w14:paraId="1F61FD98" w14:textId="77777777" w:rsidTr="00403787">
        <w:tc>
          <w:tcPr>
            <w:tcW w:w="1134" w:type="dxa"/>
            <w:shd w:val="clear" w:color="000000" w:fill="1B556B"/>
            <w:vAlign w:val="bottom"/>
          </w:tcPr>
          <w:p w14:paraId="298D7FE8" w14:textId="77777777" w:rsidR="00590FE1" w:rsidRPr="001D5327" w:rsidRDefault="00590FE1" w:rsidP="00403787">
            <w:pPr>
              <w:pStyle w:val="TableText"/>
              <w:keepNext/>
              <w:spacing w:before="40" w:after="40"/>
              <w:rPr>
                <w:b/>
                <w:bCs/>
                <w:color w:val="FFFFFF" w:themeColor="background1"/>
              </w:rPr>
            </w:pPr>
          </w:p>
        </w:tc>
        <w:tc>
          <w:tcPr>
            <w:tcW w:w="1814" w:type="dxa"/>
            <w:shd w:val="clear" w:color="000000" w:fill="1B556B"/>
            <w:vAlign w:val="bottom"/>
          </w:tcPr>
          <w:p w14:paraId="3470AD31" w14:textId="77777777" w:rsidR="00590FE1" w:rsidRPr="001D5327" w:rsidRDefault="00590FE1" w:rsidP="00403787">
            <w:pPr>
              <w:pStyle w:val="TableText"/>
              <w:keepNext/>
              <w:spacing w:before="40" w:after="40"/>
              <w:rPr>
                <w:b/>
                <w:bCs/>
                <w:color w:val="FFFFFF" w:themeColor="background1"/>
              </w:rPr>
            </w:pPr>
            <w:r w:rsidRPr="001D5327">
              <w:rPr>
                <w:rFonts w:cs="Calibri"/>
                <w:color w:val="000000"/>
                <w:sz w:val="20"/>
                <w:szCs w:val="20"/>
              </w:rPr>
              <w:t> </w:t>
            </w:r>
          </w:p>
        </w:tc>
        <w:tc>
          <w:tcPr>
            <w:tcW w:w="851" w:type="dxa"/>
            <w:shd w:val="clear" w:color="000000" w:fill="1B556B"/>
            <w:vAlign w:val="bottom"/>
          </w:tcPr>
          <w:p w14:paraId="61B0F655" w14:textId="77777777" w:rsidR="00590FE1" w:rsidRPr="001D5327" w:rsidRDefault="00590FE1" w:rsidP="00403787">
            <w:pPr>
              <w:pStyle w:val="TableText"/>
              <w:keepNext/>
              <w:spacing w:before="40" w:after="40"/>
              <w:jc w:val="right"/>
              <w:rPr>
                <w:b/>
                <w:bCs/>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51" w:type="dxa"/>
            <w:shd w:val="clear" w:color="000000" w:fill="1B556B"/>
            <w:vAlign w:val="bottom"/>
          </w:tcPr>
          <w:p w14:paraId="5CE70A4C" w14:textId="77777777" w:rsidR="00590FE1" w:rsidRPr="001D5327" w:rsidRDefault="00590FE1" w:rsidP="00403787">
            <w:pPr>
              <w:pStyle w:val="TableText"/>
              <w:keepNext/>
              <w:spacing w:before="40" w:after="40"/>
              <w:jc w:val="right"/>
              <w:rPr>
                <w:b/>
                <w:bCs/>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644" w:type="dxa"/>
            <w:shd w:val="clear" w:color="000000" w:fill="1B556B"/>
            <w:vAlign w:val="bottom"/>
          </w:tcPr>
          <w:p w14:paraId="2682E346" w14:textId="77777777" w:rsidR="00590FE1" w:rsidRPr="001D5327" w:rsidRDefault="00590FE1" w:rsidP="00403787">
            <w:pPr>
              <w:pStyle w:val="TableText"/>
              <w:keepNext/>
              <w:spacing w:before="40" w:after="40"/>
              <w:jc w:val="right"/>
              <w:rPr>
                <w:b/>
                <w:bCs/>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928" w:type="dxa"/>
            <w:shd w:val="clear" w:color="000000" w:fill="1B556B"/>
            <w:vAlign w:val="bottom"/>
          </w:tcPr>
          <w:p w14:paraId="0655A9DB" w14:textId="77777777" w:rsidR="00590FE1" w:rsidRPr="001D5327" w:rsidRDefault="00590FE1" w:rsidP="00403787">
            <w:pPr>
              <w:pStyle w:val="TableText"/>
              <w:keepNext/>
              <w:spacing w:before="40" w:after="40"/>
              <w:jc w:val="right"/>
              <w:rPr>
                <w:b/>
                <w:bCs/>
                <w:color w:val="FFFFFF" w:themeColor="background1"/>
              </w:rPr>
            </w:pPr>
            <w:r w:rsidRPr="001D5327">
              <w:rPr>
                <w:rFonts w:cs="Calibri"/>
                <w:b/>
                <w:bCs/>
                <w:color w:val="FFFFFF"/>
                <w:szCs w:val="16"/>
              </w:rPr>
              <w:t>Percentage change in emission outputs between 1990 and 2022 (%)</w:t>
            </w:r>
          </w:p>
        </w:tc>
      </w:tr>
      <w:tr w:rsidR="00590FE1" w:rsidRPr="001D5327" w14:paraId="23F8C45B" w14:textId="77777777" w:rsidTr="00403787">
        <w:tc>
          <w:tcPr>
            <w:tcW w:w="1134" w:type="dxa"/>
            <w:vMerge w:val="restart"/>
            <w:shd w:val="clear" w:color="auto" w:fill="auto"/>
            <w:vAlign w:val="center"/>
          </w:tcPr>
          <w:p w14:paraId="0D4A6B31" w14:textId="77777777" w:rsidR="00590FE1" w:rsidRPr="001D5327" w:rsidRDefault="00590FE1" w:rsidP="00403787">
            <w:pPr>
              <w:pStyle w:val="TableText"/>
              <w:keepNext/>
              <w:spacing w:before="40" w:after="40"/>
              <w:rPr>
                <w:color w:val="000000"/>
              </w:rPr>
            </w:pPr>
            <w:r w:rsidRPr="001D5327">
              <w:rPr>
                <w:rFonts w:cs="Calibri"/>
                <w:color w:val="000000"/>
                <w:szCs w:val="16"/>
              </w:rPr>
              <w:t xml:space="preserve">Total emissions from </w:t>
            </w:r>
            <w:r w:rsidRPr="001D5327">
              <w:rPr>
                <w:rFonts w:cs="Calibri"/>
                <w:i/>
                <w:color w:val="000000"/>
                <w:szCs w:val="16"/>
              </w:rPr>
              <w:t>Manure management</w:t>
            </w:r>
            <w:r w:rsidRPr="001D5327">
              <w:rPr>
                <w:rFonts w:cs="Calibri"/>
                <w:color w:val="000000"/>
                <w:szCs w:val="16"/>
              </w:rPr>
              <w:t xml:space="preserve"> </w:t>
            </w:r>
          </w:p>
        </w:tc>
        <w:tc>
          <w:tcPr>
            <w:tcW w:w="1814" w:type="dxa"/>
            <w:shd w:val="clear" w:color="auto" w:fill="auto"/>
            <w:vAlign w:val="center"/>
          </w:tcPr>
          <w:p w14:paraId="7AFEE866" w14:textId="77777777" w:rsidR="00590FE1" w:rsidRPr="001D5327" w:rsidRDefault="00590FE1" w:rsidP="00403787">
            <w:pPr>
              <w:pStyle w:val="TableText"/>
              <w:keepNext/>
              <w:spacing w:before="40" w:after="40"/>
              <w:rPr>
                <w:color w:val="000000"/>
              </w:rPr>
            </w:pPr>
            <w:r w:rsidRPr="001D5327">
              <w:rPr>
                <w:rFonts w:cs="Calibri"/>
                <w:color w:val="000000"/>
                <w:szCs w:val="16"/>
              </w:rPr>
              <w:t>2024 (1990–2022) emissions estimate</w:t>
            </w:r>
          </w:p>
        </w:tc>
        <w:tc>
          <w:tcPr>
            <w:tcW w:w="851" w:type="dxa"/>
            <w:shd w:val="clear" w:color="auto" w:fill="auto"/>
            <w:vAlign w:val="bottom"/>
          </w:tcPr>
          <w:p w14:paraId="20269AB3"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874.8</w:t>
            </w:r>
          </w:p>
        </w:tc>
        <w:tc>
          <w:tcPr>
            <w:tcW w:w="851" w:type="dxa"/>
            <w:shd w:val="clear" w:color="auto" w:fill="auto"/>
            <w:vAlign w:val="bottom"/>
          </w:tcPr>
          <w:p w14:paraId="0409926F"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1,901.6</w:t>
            </w:r>
          </w:p>
        </w:tc>
        <w:tc>
          <w:tcPr>
            <w:tcW w:w="1644" w:type="dxa"/>
            <w:shd w:val="clear" w:color="auto" w:fill="auto"/>
            <w:vAlign w:val="bottom"/>
          </w:tcPr>
          <w:p w14:paraId="7E4351C9"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1,026.8</w:t>
            </w:r>
          </w:p>
        </w:tc>
        <w:tc>
          <w:tcPr>
            <w:tcW w:w="1928" w:type="dxa"/>
            <w:shd w:val="clear" w:color="auto" w:fill="auto"/>
            <w:vAlign w:val="bottom"/>
          </w:tcPr>
          <w:p w14:paraId="77A58553"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117.4</w:t>
            </w:r>
          </w:p>
        </w:tc>
      </w:tr>
      <w:tr w:rsidR="00590FE1" w:rsidRPr="001D5327" w14:paraId="789DA981" w14:textId="77777777" w:rsidTr="00403787">
        <w:tc>
          <w:tcPr>
            <w:tcW w:w="1134" w:type="dxa"/>
            <w:vMerge/>
            <w:vAlign w:val="center"/>
          </w:tcPr>
          <w:p w14:paraId="19918CA3" w14:textId="77777777" w:rsidR="00590FE1" w:rsidRPr="001D5327" w:rsidRDefault="00590FE1" w:rsidP="00403787">
            <w:pPr>
              <w:pStyle w:val="TableText"/>
              <w:keepNext/>
              <w:spacing w:before="40" w:after="40"/>
              <w:rPr>
                <w:color w:val="000000"/>
              </w:rPr>
            </w:pPr>
          </w:p>
        </w:tc>
        <w:tc>
          <w:tcPr>
            <w:tcW w:w="1814" w:type="dxa"/>
            <w:shd w:val="clear" w:color="auto" w:fill="auto"/>
            <w:vAlign w:val="center"/>
          </w:tcPr>
          <w:p w14:paraId="7FCCF7D1" w14:textId="77777777" w:rsidR="00590FE1" w:rsidRPr="001D5327" w:rsidRDefault="00590FE1" w:rsidP="00403787">
            <w:pPr>
              <w:pStyle w:val="TableText"/>
              <w:keepNext/>
              <w:spacing w:before="40" w:after="40"/>
              <w:rPr>
                <w:color w:val="000000"/>
              </w:rPr>
            </w:pPr>
            <w:r w:rsidRPr="001D5327">
              <w:rPr>
                <w:rFonts w:cs="Calibri"/>
                <w:color w:val="000000"/>
                <w:szCs w:val="16"/>
              </w:rPr>
              <w:t xml:space="preserve">2024 (1990–2022) emissions estimate </w:t>
            </w:r>
            <w:r w:rsidRPr="001D5327">
              <w:rPr>
                <w:rFonts w:cs="Calibri"/>
                <w:i/>
                <w:iCs/>
                <w:color w:val="000000"/>
                <w:szCs w:val="16"/>
              </w:rPr>
              <w:t>with</w:t>
            </w:r>
            <w:r w:rsidRPr="001D5327">
              <w:rPr>
                <w:rFonts w:cs="Calibri"/>
                <w:color w:val="000000"/>
                <w:szCs w:val="16"/>
              </w:rPr>
              <w:t xml:space="preserve"> </w:t>
            </w:r>
            <w:r w:rsidRPr="001D5327">
              <w:rPr>
                <w:rFonts w:cs="Calibri"/>
                <w:i/>
                <w:iCs/>
                <w:color w:val="000000"/>
                <w:szCs w:val="16"/>
              </w:rPr>
              <w:t>improvement</w:t>
            </w:r>
          </w:p>
        </w:tc>
        <w:tc>
          <w:tcPr>
            <w:tcW w:w="851" w:type="dxa"/>
            <w:shd w:val="clear" w:color="auto" w:fill="auto"/>
            <w:vAlign w:val="bottom"/>
          </w:tcPr>
          <w:p w14:paraId="754C0C60"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865.5</w:t>
            </w:r>
          </w:p>
        </w:tc>
        <w:tc>
          <w:tcPr>
            <w:tcW w:w="851" w:type="dxa"/>
            <w:shd w:val="clear" w:color="auto" w:fill="auto"/>
            <w:vAlign w:val="bottom"/>
          </w:tcPr>
          <w:p w14:paraId="0183BE08"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1,900.0</w:t>
            </w:r>
          </w:p>
        </w:tc>
        <w:tc>
          <w:tcPr>
            <w:tcW w:w="1644" w:type="dxa"/>
            <w:shd w:val="clear" w:color="auto" w:fill="auto"/>
            <w:vAlign w:val="bottom"/>
          </w:tcPr>
          <w:p w14:paraId="361DF5D3"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1,034.5</w:t>
            </w:r>
          </w:p>
        </w:tc>
        <w:tc>
          <w:tcPr>
            <w:tcW w:w="1928" w:type="dxa"/>
            <w:shd w:val="clear" w:color="auto" w:fill="auto"/>
            <w:vAlign w:val="bottom"/>
          </w:tcPr>
          <w:p w14:paraId="366C6CFB"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119.5</w:t>
            </w:r>
          </w:p>
        </w:tc>
      </w:tr>
      <w:tr w:rsidR="00590FE1" w:rsidRPr="001D5327" w14:paraId="7456D0F9" w14:textId="77777777" w:rsidTr="00403787">
        <w:tc>
          <w:tcPr>
            <w:tcW w:w="1134" w:type="dxa"/>
            <w:vMerge/>
            <w:vAlign w:val="center"/>
          </w:tcPr>
          <w:p w14:paraId="537CAF46" w14:textId="77777777" w:rsidR="00590FE1" w:rsidRPr="001D5327" w:rsidRDefault="00590FE1" w:rsidP="00403787">
            <w:pPr>
              <w:pStyle w:val="TableText"/>
              <w:spacing w:before="40" w:after="40"/>
              <w:rPr>
                <w:color w:val="000000"/>
              </w:rPr>
            </w:pPr>
          </w:p>
        </w:tc>
        <w:tc>
          <w:tcPr>
            <w:tcW w:w="1814" w:type="dxa"/>
            <w:shd w:val="clear" w:color="auto" w:fill="auto"/>
            <w:vAlign w:val="center"/>
          </w:tcPr>
          <w:p w14:paraId="715D028B" w14:textId="77777777" w:rsidR="00590FE1" w:rsidRPr="001D5327" w:rsidRDefault="00590FE1" w:rsidP="00403787">
            <w:pPr>
              <w:pStyle w:val="TableText"/>
              <w:spacing w:before="40" w:after="40"/>
              <w:rPr>
                <w:color w:val="000000"/>
              </w:rPr>
            </w:pPr>
            <w:r w:rsidRPr="001D5327">
              <w:rPr>
                <w:rFonts w:cs="Calibri"/>
                <w:color w:val="000000"/>
                <w:szCs w:val="16"/>
              </w:rPr>
              <w:t>Difference in emissions estimates</w:t>
            </w:r>
          </w:p>
        </w:tc>
        <w:tc>
          <w:tcPr>
            <w:tcW w:w="851" w:type="dxa"/>
            <w:shd w:val="clear" w:color="auto" w:fill="auto"/>
            <w:vAlign w:val="bottom"/>
          </w:tcPr>
          <w:p w14:paraId="183780D7" w14:textId="59BEC3F1"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9.3</w:t>
            </w:r>
          </w:p>
        </w:tc>
        <w:tc>
          <w:tcPr>
            <w:tcW w:w="851" w:type="dxa"/>
            <w:shd w:val="clear" w:color="auto" w:fill="auto"/>
            <w:vAlign w:val="bottom"/>
          </w:tcPr>
          <w:p w14:paraId="245672C7" w14:textId="0A0E66D9"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1.6</w:t>
            </w:r>
          </w:p>
        </w:tc>
        <w:tc>
          <w:tcPr>
            <w:tcW w:w="1644" w:type="dxa"/>
            <w:shd w:val="clear" w:color="auto" w:fill="auto"/>
            <w:vAlign w:val="bottom"/>
          </w:tcPr>
          <w:p w14:paraId="237DF863"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928" w:type="dxa"/>
            <w:shd w:val="clear" w:color="auto" w:fill="auto"/>
            <w:vAlign w:val="bottom"/>
          </w:tcPr>
          <w:p w14:paraId="32AEBB5E"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r w:rsidR="00590FE1" w:rsidRPr="001D5327" w14:paraId="2B537D73" w14:textId="77777777" w:rsidTr="00403787">
        <w:tc>
          <w:tcPr>
            <w:tcW w:w="1134" w:type="dxa"/>
            <w:vMerge/>
            <w:vAlign w:val="center"/>
          </w:tcPr>
          <w:p w14:paraId="419BD9C4" w14:textId="77777777" w:rsidR="00590FE1" w:rsidRPr="001D5327" w:rsidRDefault="00590FE1" w:rsidP="00403787">
            <w:pPr>
              <w:pStyle w:val="TableText"/>
              <w:spacing w:before="40" w:after="40"/>
              <w:rPr>
                <w:color w:val="000000"/>
              </w:rPr>
            </w:pPr>
          </w:p>
        </w:tc>
        <w:tc>
          <w:tcPr>
            <w:tcW w:w="1814" w:type="dxa"/>
            <w:shd w:val="clear" w:color="auto" w:fill="auto"/>
            <w:vAlign w:val="center"/>
          </w:tcPr>
          <w:p w14:paraId="12FE110B" w14:textId="77777777" w:rsidR="00590FE1" w:rsidRPr="001D5327" w:rsidRDefault="00590FE1" w:rsidP="00403787">
            <w:pPr>
              <w:pStyle w:val="TableText"/>
              <w:spacing w:before="40" w:after="40"/>
              <w:rPr>
                <w:color w:val="000000"/>
              </w:rPr>
            </w:pPr>
            <w:r w:rsidRPr="001D5327">
              <w:rPr>
                <w:rFonts w:cs="Calibri"/>
                <w:color w:val="000000"/>
                <w:szCs w:val="16"/>
              </w:rPr>
              <w:t>Percentage difference in emissions estimates (%)</w:t>
            </w:r>
          </w:p>
        </w:tc>
        <w:tc>
          <w:tcPr>
            <w:tcW w:w="851" w:type="dxa"/>
            <w:shd w:val="clear" w:color="auto" w:fill="auto"/>
            <w:vAlign w:val="bottom"/>
          </w:tcPr>
          <w:p w14:paraId="37E0887F" w14:textId="53777F17"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1.1</w:t>
            </w:r>
          </w:p>
        </w:tc>
        <w:tc>
          <w:tcPr>
            <w:tcW w:w="851" w:type="dxa"/>
            <w:shd w:val="clear" w:color="auto" w:fill="auto"/>
            <w:vAlign w:val="bottom"/>
          </w:tcPr>
          <w:p w14:paraId="3BE13E23" w14:textId="619DB7A4"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0.1</w:t>
            </w:r>
          </w:p>
        </w:tc>
        <w:tc>
          <w:tcPr>
            <w:tcW w:w="1644" w:type="dxa"/>
            <w:shd w:val="clear" w:color="auto" w:fill="auto"/>
            <w:vAlign w:val="bottom"/>
          </w:tcPr>
          <w:p w14:paraId="4B19A1ED"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928" w:type="dxa"/>
            <w:shd w:val="clear" w:color="auto" w:fill="auto"/>
            <w:vAlign w:val="bottom"/>
          </w:tcPr>
          <w:p w14:paraId="3165D970"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bl>
    <w:p w14:paraId="3D005D80" w14:textId="77777777" w:rsidR="00590FE1" w:rsidRPr="001D5327" w:rsidRDefault="00590FE1" w:rsidP="00590FE1">
      <w:pPr>
        <w:pStyle w:val="Noteundertable"/>
        <w:rPr>
          <w:rFonts w:cs="Calibri"/>
        </w:rPr>
      </w:pPr>
      <w:r w:rsidRPr="001D5327">
        <w:rPr>
          <w:rFonts w:cs="Calibri"/>
          <w:b/>
          <w:bCs/>
        </w:rPr>
        <w:t xml:space="preserve">Note: </w:t>
      </w:r>
      <w:r w:rsidRPr="001D5327">
        <w:rPr>
          <w:rFonts w:cs="Calibri"/>
          <w:b/>
          <w:bCs/>
        </w:rPr>
        <w:tab/>
      </w:r>
      <w:r w:rsidRPr="001D5327">
        <w:rPr>
          <w:rFonts w:cs="Calibri"/>
        </w:rPr>
        <w:t>Columns may not sum due to rounding. Percentages presented are calculated from unrounded values.</w:t>
      </w:r>
    </w:p>
    <w:p w14:paraId="520FBE3B" w14:textId="77777777" w:rsidR="00590FE1" w:rsidRPr="001D5327" w:rsidRDefault="00590FE1" w:rsidP="00590FE1">
      <w:pPr>
        <w:pStyle w:val="Heading5"/>
      </w:pPr>
      <w:r w:rsidRPr="001D5327">
        <w:t>Seasonality of wool growth</w:t>
      </w:r>
    </w:p>
    <w:p w14:paraId="4101C941" w14:textId="77777777" w:rsidR="00590FE1" w:rsidRPr="001D5327" w:rsidRDefault="00590FE1" w:rsidP="00590FE1">
      <w:pPr>
        <w:pStyle w:val="BodyText"/>
      </w:pPr>
      <w:r w:rsidRPr="001D5327">
        <w:rPr>
          <w:shd w:val="clear" w:color="auto" w:fill="FFFFFF"/>
        </w:rPr>
        <w:t>For more detail on these changes, see section 5.2.5.</w:t>
      </w:r>
    </w:p>
    <w:p w14:paraId="7C92AB0F" w14:textId="77777777" w:rsidR="00590FE1" w:rsidRPr="001D5327" w:rsidRDefault="00590FE1" w:rsidP="00590FE1">
      <w:pPr>
        <w:pStyle w:val="Table"/>
        <w:rPr>
          <w:rFonts w:cs="Calibri"/>
          <w:i/>
          <w:iCs/>
        </w:rPr>
      </w:pPr>
      <w:bookmarkStart w:id="1014" w:name="_Toc160114456"/>
      <w:bookmarkStart w:id="1015" w:name="_Toc164153852"/>
      <w:bookmarkStart w:id="1016" w:name="_Toc194241723"/>
      <w:r w:rsidRPr="001D5327">
        <w:rPr>
          <w:rFonts w:cs="Calibri"/>
        </w:rPr>
        <w:t>Table 5.3.12</w:t>
      </w:r>
      <w:r w:rsidRPr="001D5327">
        <w:rPr>
          <w:rFonts w:cs="Calibri"/>
        </w:rPr>
        <w:tab/>
        <w:t xml:space="preserve">Comparison of emissions from </w:t>
      </w:r>
      <w:r w:rsidRPr="001D5327">
        <w:rPr>
          <w:rFonts w:cs="Calibri"/>
          <w:i/>
        </w:rPr>
        <w:t>Manure management</w:t>
      </w:r>
      <w:bookmarkEnd w:id="1014"/>
      <w:bookmarkEnd w:id="1015"/>
      <w:r w:rsidRPr="001D5327">
        <w:rPr>
          <w:rFonts w:cs="Calibri"/>
          <w:i/>
          <w:iCs/>
        </w:rPr>
        <w:t xml:space="preserve"> </w:t>
      </w:r>
      <w:r w:rsidRPr="001D5327">
        <w:rPr>
          <w:rFonts w:cs="Calibri"/>
        </w:rPr>
        <w:t>using the updated monthly wool calculations</w:t>
      </w:r>
      <w:bookmarkEnd w:id="1016"/>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57" w:type="dxa"/>
        </w:tblCellMar>
        <w:tblLook w:val="04A0" w:firstRow="1" w:lastRow="0" w:firstColumn="1" w:lastColumn="0" w:noHBand="0" w:noVBand="1"/>
      </w:tblPr>
      <w:tblGrid>
        <w:gridCol w:w="1190"/>
        <w:gridCol w:w="1844"/>
        <w:gridCol w:w="892"/>
        <w:gridCol w:w="892"/>
        <w:gridCol w:w="1665"/>
        <w:gridCol w:w="2022"/>
      </w:tblGrid>
      <w:tr w:rsidR="00590FE1" w:rsidRPr="001D5327" w14:paraId="139B8994" w14:textId="77777777" w:rsidTr="007D0638">
        <w:trPr>
          <w:tblHeader/>
        </w:trPr>
        <w:tc>
          <w:tcPr>
            <w:tcW w:w="1134" w:type="dxa"/>
            <w:shd w:val="clear" w:color="000000" w:fill="1B556B"/>
            <w:vAlign w:val="bottom"/>
          </w:tcPr>
          <w:p w14:paraId="21B96699" w14:textId="77777777" w:rsidR="00590FE1" w:rsidRPr="001D5327" w:rsidRDefault="00590FE1" w:rsidP="00403787">
            <w:pPr>
              <w:pStyle w:val="TableText"/>
              <w:spacing w:before="40" w:after="40"/>
              <w:rPr>
                <w:b/>
                <w:bCs/>
                <w:color w:val="FFFFFF" w:themeColor="background1"/>
              </w:rPr>
            </w:pPr>
          </w:p>
        </w:tc>
        <w:tc>
          <w:tcPr>
            <w:tcW w:w="1758" w:type="dxa"/>
            <w:shd w:val="clear" w:color="000000" w:fill="1B556B"/>
            <w:vAlign w:val="bottom"/>
          </w:tcPr>
          <w:p w14:paraId="60A1B0B4" w14:textId="77777777" w:rsidR="00590FE1" w:rsidRPr="001D5327" w:rsidRDefault="00590FE1" w:rsidP="00403787">
            <w:pPr>
              <w:pStyle w:val="TableText"/>
              <w:spacing w:before="40" w:after="40"/>
              <w:rPr>
                <w:b/>
                <w:bCs/>
                <w:color w:val="FFFFFF" w:themeColor="background1"/>
              </w:rPr>
            </w:pPr>
            <w:r w:rsidRPr="001D5327">
              <w:rPr>
                <w:rFonts w:cs="Calibri"/>
                <w:color w:val="000000"/>
                <w:sz w:val="20"/>
                <w:szCs w:val="20"/>
              </w:rPr>
              <w:t> </w:t>
            </w:r>
          </w:p>
        </w:tc>
        <w:tc>
          <w:tcPr>
            <w:tcW w:w="851" w:type="dxa"/>
            <w:shd w:val="clear" w:color="000000" w:fill="1B556B"/>
            <w:vAlign w:val="bottom"/>
          </w:tcPr>
          <w:p w14:paraId="3604E147" w14:textId="77777777" w:rsidR="00590FE1" w:rsidRPr="001D5327" w:rsidRDefault="00590FE1" w:rsidP="00403787">
            <w:pPr>
              <w:pStyle w:val="TableText"/>
              <w:keepNext/>
              <w:spacing w:before="40" w:after="40"/>
              <w:jc w:val="right"/>
              <w:rPr>
                <w:b/>
                <w:bCs/>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51" w:type="dxa"/>
            <w:shd w:val="clear" w:color="000000" w:fill="1B556B"/>
            <w:vAlign w:val="bottom"/>
          </w:tcPr>
          <w:p w14:paraId="74432C3E" w14:textId="77777777" w:rsidR="00590FE1" w:rsidRPr="001D5327" w:rsidRDefault="00590FE1" w:rsidP="00403787">
            <w:pPr>
              <w:pStyle w:val="TableText"/>
              <w:keepNext/>
              <w:spacing w:before="40" w:after="40"/>
              <w:jc w:val="right"/>
              <w:rPr>
                <w:b/>
                <w:bCs/>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588" w:type="dxa"/>
            <w:shd w:val="clear" w:color="000000" w:fill="1B556B"/>
            <w:vAlign w:val="bottom"/>
          </w:tcPr>
          <w:p w14:paraId="5005435A"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928" w:type="dxa"/>
            <w:shd w:val="clear" w:color="000000" w:fill="1B556B"/>
            <w:vAlign w:val="bottom"/>
          </w:tcPr>
          <w:p w14:paraId="74F5C535"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Percentage change in emission outputs between 1990 and 2022 (%)</w:t>
            </w:r>
          </w:p>
        </w:tc>
      </w:tr>
      <w:tr w:rsidR="00590FE1" w:rsidRPr="001D5327" w14:paraId="3B6EA802" w14:textId="77777777" w:rsidTr="007D0638">
        <w:tc>
          <w:tcPr>
            <w:tcW w:w="1134" w:type="dxa"/>
            <w:vMerge w:val="restart"/>
            <w:shd w:val="clear" w:color="auto" w:fill="auto"/>
            <w:vAlign w:val="center"/>
          </w:tcPr>
          <w:p w14:paraId="50F9A80A" w14:textId="77777777" w:rsidR="00590FE1" w:rsidRPr="001D5327" w:rsidRDefault="00590FE1" w:rsidP="00403787">
            <w:pPr>
              <w:pStyle w:val="TableText"/>
              <w:spacing w:before="40" w:after="40"/>
              <w:rPr>
                <w:color w:val="000000"/>
              </w:rPr>
            </w:pPr>
            <w:r w:rsidRPr="001D5327">
              <w:rPr>
                <w:rFonts w:cs="Calibri"/>
                <w:color w:val="000000"/>
                <w:szCs w:val="16"/>
              </w:rPr>
              <w:t xml:space="preserve">Total emissions from </w:t>
            </w:r>
            <w:r w:rsidRPr="001D5327">
              <w:rPr>
                <w:rFonts w:cs="Calibri"/>
                <w:i/>
                <w:color w:val="000000"/>
                <w:szCs w:val="16"/>
              </w:rPr>
              <w:t>Manure management</w:t>
            </w:r>
            <w:r w:rsidRPr="001D5327">
              <w:rPr>
                <w:rFonts w:cs="Calibri"/>
                <w:color w:val="000000"/>
                <w:szCs w:val="16"/>
              </w:rPr>
              <w:t xml:space="preserve"> </w:t>
            </w:r>
          </w:p>
        </w:tc>
        <w:tc>
          <w:tcPr>
            <w:tcW w:w="1758" w:type="dxa"/>
            <w:shd w:val="clear" w:color="auto" w:fill="auto"/>
            <w:vAlign w:val="center"/>
          </w:tcPr>
          <w:p w14:paraId="14B06718" w14:textId="77777777" w:rsidR="00590FE1" w:rsidRPr="001D5327" w:rsidRDefault="00590FE1" w:rsidP="00403787">
            <w:pPr>
              <w:pStyle w:val="TableText"/>
              <w:spacing w:before="40" w:after="40"/>
              <w:rPr>
                <w:color w:val="000000"/>
              </w:rPr>
            </w:pPr>
            <w:r w:rsidRPr="001D5327">
              <w:rPr>
                <w:rFonts w:cs="Calibri"/>
                <w:color w:val="000000"/>
                <w:szCs w:val="16"/>
              </w:rPr>
              <w:t>2024 (1990–2022) emissions estimate</w:t>
            </w:r>
          </w:p>
        </w:tc>
        <w:tc>
          <w:tcPr>
            <w:tcW w:w="851" w:type="dxa"/>
            <w:shd w:val="clear" w:color="auto" w:fill="auto"/>
            <w:vAlign w:val="bottom"/>
          </w:tcPr>
          <w:p w14:paraId="4E6FC6EE" w14:textId="77777777" w:rsidR="00590FE1" w:rsidRPr="001D5327" w:rsidRDefault="00590FE1" w:rsidP="00403787">
            <w:pPr>
              <w:pStyle w:val="TableText"/>
              <w:spacing w:before="40" w:after="40"/>
              <w:jc w:val="right"/>
              <w:rPr>
                <w:color w:val="000000"/>
              </w:rPr>
            </w:pPr>
            <w:r w:rsidRPr="001D5327">
              <w:rPr>
                <w:rFonts w:cs="Calibri"/>
                <w:color w:val="000000"/>
                <w:szCs w:val="16"/>
              </w:rPr>
              <w:t>874.8</w:t>
            </w:r>
          </w:p>
        </w:tc>
        <w:tc>
          <w:tcPr>
            <w:tcW w:w="851" w:type="dxa"/>
            <w:shd w:val="clear" w:color="auto" w:fill="auto"/>
            <w:vAlign w:val="bottom"/>
          </w:tcPr>
          <w:p w14:paraId="312F6FAE" w14:textId="77777777" w:rsidR="00590FE1" w:rsidRPr="001D5327" w:rsidRDefault="00590FE1" w:rsidP="00403787">
            <w:pPr>
              <w:pStyle w:val="TableText"/>
              <w:spacing w:before="40" w:after="40"/>
              <w:jc w:val="right"/>
              <w:rPr>
                <w:color w:val="000000"/>
              </w:rPr>
            </w:pPr>
            <w:r w:rsidRPr="001D5327">
              <w:rPr>
                <w:rFonts w:cs="Calibri"/>
                <w:color w:val="000000"/>
                <w:szCs w:val="16"/>
              </w:rPr>
              <w:t>1,901.6</w:t>
            </w:r>
          </w:p>
        </w:tc>
        <w:tc>
          <w:tcPr>
            <w:tcW w:w="1588" w:type="dxa"/>
            <w:shd w:val="clear" w:color="auto" w:fill="auto"/>
            <w:vAlign w:val="bottom"/>
          </w:tcPr>
          <w:p w14:paraId="03DC2A2D" w14:textId="77777777" w:rsidR="00590FE1" w:rsidRPr="001D5327" w:rsidRDefault="00590FE1" w:rsidP="00403787">
            <w:pPr>
              <w:pStyle w:val="TableText"/>
              <w:spacing w:before="40" w:after="40"/>
              <w:jc w:val="right"/>
              <w:rPr>
                <w:color w:val="000000"/>
              </w:rPr>
            </w:pPr>
            <w:r w:rsidRPr="001D5327">
              <w:rPr>
                <w:rFonts w:cs="Calibri"/>
                <w:color w:val="000000"/>
                <w:szCs w:val="16"/>
              </w:rPr>
              <w:t>1,026.8</w:t>
            </w:r>
          </w:p>
        </w:tc>
        <w:tc>
          <w:tcPr>
            <w:tcW w:w="1928" w:type="dxa"/>
            <w:shd w:val="clear" w:color="auto" w:fill="auto"/>
            <w:vAlign w:val="bottom"/>
          </w:tcPr>
          <w:p w14:paraId="304AAA29" w14:textId="77777777" w:rsidR="00590FE1" w:rsidRPr="001D5327" w:rsidRDefault="00590FE1" w:rsidP="00403787">
            <w:pPr>
              <w:pStyle w:val="TableText"/>
              <w:spacing w:before="40" w:after="40"/>
              <w:jc w:val="right"/>
              <w:rPr>
                <w:color w:val="000000"/>
              </w:rPr>
            </w:pPr>
            <w:r w:rsidRPr="001D5327">
              <w:rPr>
                <w:rFonts w:cs="Calibri"/>
                <w:color w:val="000000"/>
                <w:szCs w:val="16"/>
              </w:rPr>
              <w:t>117.4</w:t>
            </w:r>
          </w:p>
        </w:tc>
      </w:tr>
      <w:tr w:rsidR="00590FE1" w:rsidRPr="001D5327" w14:paraId="0D918219" w14:textId="77777777" w:rsidTr="007D0638">
        <w:tc>
          <w:tcPr>
            <w:tcW w:w="1134" w:type="dxa"/>
            <w:vMerge/>
            <w:vAlign w:val="center"/>
          </w:tcPr>
          <w:p w14:paraId="1F3028A6" w14:textId="77777777" w:rsidR="00590FE1" w:rsidRPr="001D5327" w:rsidRDefault="00590FE1" w:rsidP="00403787">
            <w:pPr>
              <w:pStyle w:val="TableText"/>
              <w:spacing w:before="40" w:after="40"/>
              <w:rPr>
                <w:color w:val="000000"/>
              </w:rPr>
            </w:pPr>
          </w:p>
        </w:tc>
        <w:tc>
          <w:tcPr>
            <w:tcW w:w="1758" w:type="dxa"/>
            <w:shd w:val="clear" w:color="auto" w:fill="auto"/>
            <w:vAlign w:val="center"/>
          </w:tcPr>
          <w:p w14:paraId="15942C91" w14:textId="77777777" w:rsidR="00590FE1" w:rsidRPr="001D5327" w:rsidRDefault="00590FE1" w:rsidP="00403787">
            <w:pPr>
              <w:pStyle w:val="TableText"/>
              <w:spacing w:before="40" w:after="40"/>
              <w:rPr>
                <w:color w:val="000000"/>
              </w:rPr>
            </w:pPr>
            <w:r w:rsidRPr="001D5327">
              <w:rPr>
                <w:rFonts w:cs="Calibri"/>
                <w:color w:val="000000"/>
                <w:szCs w:val="16"/>
              </w:rPr>
              <w:t xml:space="preserve">2024 (1990–2022) emissions estimate </w:t>
            </w:r>
            <w:r w:rsidRPr="001D5327">
              <w:rPr>
                <w:rFonts w:cs="Calibri"/>
                <w:i/>
                <w:iCs/>
                <w:color w:val="000000"/>
                <w:szCs w:val="16"/>
              </w:rPr>
              <w:t>with</w:t>
            </w:r>
            <w:r w:rsidRPr="001D5327">
              <w:rPr>
                <w:rFonts w:cs="Calibri"/>
                <w:color w:val="000000"/>
                <w:szCs w:val="16"/>
              </w:rPr>
              <w:t xml:space="preserve"> </w:t>
            </w:r>
            <w:r w:rsidRPr="001D5327">
              <w:rPr>
                <w:rFonts w:cs="Calibri"/>
                <w:i/>
                <w:color w:val="000000"/>
                <w:szCs w:val="16"/>
              </w:rPr>
              <w:t>i</w:t>
            </w:r>
            <w:r w:rsidRPr="001D5327">
              <w:rPr>
                <w:rFonts w:cs="Calibri"/>
                <w:i/>
                <w:iCs/>
                <w:color w:val="000000"/>
                <w:szCs w:val="16"/>
              </w:rPr>
              <w:t>mprovement</w:t>
            </w:r>
          </w:p>
        </w:tc>
        <w:tc>
          <w:tcPr>
            <w:tcW w:w="851" w:type="dxa"/>
            <w:shd w:val="clear" w:color="auto" w:fill="auto"/>
            <w:vAlign w:val="bottom"/>
          </w:tcPr>
          <w:p w14:paraId="707E7C5B" w14:textId="77777777" w:rsidR="00590FE1" w:rsidRPr="001D5327" w:rsidRDefault="00590FE1" w:rsidP="00403787">
            <w:pPr>
              <w:pStyle w:val="TableText"/>
              <w:spacing w:before="40" w:after="40"/>
              <w:jc w:val="right"/>
              <w:rPr>
                <w:color w:val="000000"/>
              </w:rPr>
            </w:pPr>
            <w:r w:rsidRPr="001D5327">
              <w:rPr>
                <w:rFonts w:cs="Calibri"/>
                <w:color w:val="000000"/>
                <w:szCs w:val="16"/>
              </w:rPr>
              <w:t>873.4</w:t>
            </w:r>
          </w:p>
        </w:tc>
        <w:tc>
          <w:tcPr>
            <w:tcW w:w="851" w:type="dxa"/>
            <w:shd w:val="clear" w:color="auto" w:fill="auto"/>
            <w:vAlign w:val="bottom"/>
          </w:tcPr>
          <w:p w14:paraId="3F75AC6A" w14:textId="77777777" w:rsidR="00590FE1" w:rsidRPr="001D5327" w:rsidRDefault="00590FE1" w:rsidP="00403787">
            <w:pPr>
              <w:pStyle w:val="TableText"/>
              <w:spacing w:before="40" w:after="40"/>
              <w:jc w:val="right"/>
              <w:rPr>
                <w:color w:val="000000"/>
              </w:rPr>
            </w:pPr>
            <w:r w:rsidRPr="001D5327">
              <w:rPr>
                <w:rFonts w:cs="Calibri"/>
                <w:color w:val="000000"/>
                <w:szCs w:val="16"/>
              </w:rPr>
              <w:t>1,900.1</w:t>
            </w:r>
          </w:p>
        </w:tc>
        <w:tc>
          <w:tcPr>
            <w:tcW w:w="1588" w:type="dxa"/>
            <w:shd w:val="clear" w:color="auto" w:fill="auto"/>
            <w:vAlign w:val="bottom"/>
          </w:tcPr>
          <w:p w14:paraId="20643401" w14:textId="77777777" w:rsidR="00590FE1" w:rsidRPr="001D5327" w:rsidRDefault="00590FE1" w:rsidP="00403787">
            <w:pPr>
              <w:pStyle w:val="TableText"/>
              <w:spacing w:before="40" w:after="40"/>
              <w:jc w:val="right"/>
              <w:rPr>
                <w:color w:val="000000"/>
              </w:rPr>
            </w:pPr>
            <w:r w:rsidRPr="001D5327">
              <w:rPr>
                <w:rFonts w:cs="Calibri"/>
                <w:color w:val="000000"/>
                <w:szCs w:val="16"/>
              </w:rPr>
              <w:t>1,026.7</w:t>
            </w:r>
          </w:p>
        </w:tc>
        <w:tc>
          <w:tcPr>
            <w:tcW w:w="1928" w:type="dxa"/>
            <w:shd w:val="clear" w:color="auto" w:fill="auto"/>
            <w:vAlign w:val="bottom"/>
          </w:tcPr>
          <w:p w14:paraId="3F2BC781" w14:textId="77777777" w:rsidR="00590FE1" w:rsidRPr="001D5327" w:rsidRDefault="00590FE1" w:rsidP="00403787">
            <w:pPr>
              <w:pStyle w:val="TableText"/>
              <w:spacing w:before="40" w:after="40"/>
              <w:jc w:val="right"/>
              <w:rPr>
                <w:color w:val="000000"/>
              </w:rPr>
            </w:pPr>
            <w:r w:rsidRPr="001D5327">
              <w:rPr>
                <w:rFonts w:cs="Calibri"/>
                <w:color w:val="000000"/>
                <w:szCs w:val="16"/>
              </w:rPr>
              <w:t>117.6</w:t>
            </w:r>
          </w:p>
        </w:tc>
      </w:tr>
      <w:tr w:rsidR="00590FE1" w:rsidRPr="001D5327" w14:paraId="4E8FC673" w14:textId="77777777" w:rsidTr="007D0638">
        <w:tc>
          <w:tcPr>
            <w:tcW w:w="1134" w:type="dxa"/>
            <w:vMerge/>
            <w:vAlign w:val="center"/>
          </w:tcPr>
          <w:p w14:paraId="2238B195" w14:textId="77777777" w:rsidR="00590FE1" w:rsidRPr="001D5327" w:rsidRDefault="00590FE1" w:rsidP="00403787">
            <w:pPr>
              <w:pStyle w:val="TableText"/>
              <w:spacing w:before="40" w:after="40"/>
              <w:rPr>
                <w:color w:val="000000"/>
              </w:rPr>
            </w:pPr>
          </w:p>
        </w:tc>
        <w:tc>
          <w:tcPr>
            <w:tcW w:w="1758" w:type="dxa"/>
            <w:shd w:val="clear" w:color="auto" w:fill="auto"/>
            <w:vAlign w:val="center"/>
          </w:tcPr>
          <w:p w14:paraId="740152F4" w14:textId="77777777" w:rsidR="00590FE1" w:rsidRPr="001D5327" w:rsidRDefault="00590FE1" w:rsidP="00403787">
            <w:pPr>
              <w:pStyle w:val="TableText"/>
              <w:spacing w:before="40" w:after="40"/>
              <w:rPr>
                <w:color w:val="000000"/>
              </w:rPr>
            </w:pPr>
            <w:r w:rsidRPr="001D5327">
              <w:rPr>
                <w:rFonts w:cs="Calibri"/>
                <w:color w:val="000000"/>
                <w:szCs w:val="16"/>
              </w:rPr>
              <w:t>Difference in emissions estimates</w:t>
            </w:r>
          </w:p>
        </w:tc>
        <w:tc>
          <w:tcPr>
            <w:tcW w:w="851" w:type="dxa"/>
            <w:shd w:val="clear" w:color="auto" w:fill="auto"/>
            <w:vAlign w:val="bottom"/>
          </w:tcPr>
          <w:p w14:paraId="71D852D3" w14:textId="24741B4D"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1.4</w:t>
            </w:r>
          </w:p>
        </w:tc>
        <w:tc>
          <w:tcPr>
            <w:tcW w:w="851" w:type="dxa"/>
            <w:shd w:val="clear" w:color="auto" w:fill="auto"/>
            <w:vAlign w:val="bottom"/>
          </w:tcPr>
          <w:p w14:paraId="12EE4FFB" w14:textId="0DAFA8CA"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1.5</w:t>
            </w:r>
          </w:p>
        </w:tc>
        <w:tc>
          <w:tcPr>
            <w:tcW w:w="1588" w:type="dxa"/>
            <w:shd w:val="clear" w:color="auto" w:fill="auto"/>
            <w:vAlign w:val="bottom"/>
          </w:tcPr>
          <w:p w14:paraId="5B7F163D"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928" w:type="dxa"/>
            <w:shd w:val="clear" w:color="auto" w:fill="auto"/>
            <w:vAlign w:val="bottom"/>
          </w:tcPr>
          <w:p w14:paraId="35851BFF"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r w:rsidR="00590FE1" w:rsidRPr="001D5327" w14:paraId="142DB3AC" w14:textId="77777777" w:rsidTr="007D0638">
        <w:tc>
          <w:tcPr>
            <w:tcW w:w="1134" w:type="dxa"/>
            <w:vMerge/>
            <w:vAlign w:val="center"/>
          </w:tcPr>
          <w:p w14:paraId="7CBD082F" w14:textId="77777777" w:rsidR="00590FE1" w:rsidRPr="001D5327" w:rsidRDefault="00590FE1" w:rsidP="00403787">
            <w:pPr>
              <w:pStyle w:val="TableText"/>
              <w:spacing w:before="40" w:after="40"/>
              <w:rPr>
                <w:color w:val="000000"/>
              </w:rPr>
            </w:pPr>
          </w:p>
        </w:tc>
        <w:tc>
          <w:tcPr>
            <w:tcW w:w="1758" w:type="dxa"/>
            <w:shd w:val="clear" w:color="auto" w:fill="auto"/>
            <w:vAlign w:val="center"/>
          </w:tcPr>
          <w:p w14:paraId="7AEFEE2E" w14:textId="77777777" w:rsidR="00590FE1" w:rsidRPr="001D5327" w:rsidRDefault="00590FE1" w:rsidP="00403787">
            <w:pPr>
              <w:pStyle w:val="TableText"/>
              <w:spacing w:before="40" w:after="40"/>
              <w:rPr>
                <w:color w:val="000000"/>
              </w:rPr>
            </w:pPr>
            <w:r w:rsidRPr="001D5327">
              <w:rPr>
                <w:rFonts w:cs="Calibri"/>
                <w:color w:val="000000"/>
                <w:szCs w:val="16"/>
              </w:rPr>
              <w:t>Percentage difference in emissions estimates (%)</w:t>
            </w:r>
          </w:p>
        </w:tc>
        <w:tc>
          <w:tcPr>
            <w:tcW w:w="851" w:type="dxa"/>
            <w:shd w:val="clear" w:color="auto" w:fill="auto"/>
            <w:vAlign w:val="bottom"/>
          </w:tcPr>
          <w:p w14:paraId="61914555" w14:textId="2224F73B"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0.2</w:t>
            </w:r>
          </w:p>
        </w:tc>
        <w:tc>
          <w:tcPr>
            <w:tcW w:w="851" w:type="dxa"/>
            <w:shd w:val="clear" w:color="auto" w:fill="auto"/>
            <w:vAlign w:val="bottom"/>
          </w:tcPr>
          <w:p w14:paraId="1D1DBA01" w14:textId="0B189CB2"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0.1</w:t>
            </w:r>
          </w:p>
        </w:tc>
        <w:tc>
          <w:tcPr>
            <w:tcW w:w="1588" w:type="dxa"/>
            <w:shd w:val="clear" w:color="auto" w:fill="auto"/>
            <w:vAlign w:val="bottom"/>
          </w:tcPr>
          <w:p w14:paraId="18756FF6"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928" w:type="dxa"/>
            <w:shd w:val="clear" w:color="auto" w:fill="auto"/>
            <w:vAlign w:val="bottom"/>
          </w:tcPr>
          <w:p w14:paraId="6C5501A9"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bl>
    <w:p w14:paraId="385289F4" w14:textId="77777777" w:rsidR="00590FE1" w:rsidRPr="001D5327" w:rsidRDefault="00590FE1" w:rsidP="00590FE1">
      <w:pPr>
        <w:pStyle w:val="Noteundertable"/>
        <w:spacing w:after="80"/>
        <w:rPr>
          <w:rFonts w:cs="Calibri"/>
        </w:rPr>
      </w:pPr>
      <w:r w:rsidRPr="001D5327">
        <w:rPr>
          <w:rFonts w:cs="Calibri"/>
          <w:b/>
          <w:bCs/>
        </w:rPr>
        <w:t xml:space="preserve">Note: </w:t>
      </w:r>
      <w:r w:rsidRPr="001D5327">
        <w:rPr>
          <w:rFonts w:cs="Calibri"/>
          <w:b/>
          <w:bCs/>
        </w:rPr>
        <w:tab/>
      </w:r>
      <w:r w:rsidRPr="001D5327">
        <w:rPr>
          <w:rFonts w:cs="Calibri"/>
        </w:rPr>
        <w:t>Columns may not sum due to rounding. Percentages presented are calculated from unrounded values.</w:t>
      </w:r>
    </w:p>
    <w:p w14:paraId="51831F85" w14:textId="77777777" w:rsidR="00590FE1" w:rsidRPr="001D5327" w:rsidRDefault="00590FE1" w:rsidP="00590FE1">
      <w:pPr>
        <w:pStyle w:val="Heading5"/>
      </w:pPr>
      <w:r w:rsidRPr="001D5327">
        <w:t>Corrections to inventory model</w:t>
      </w:r>
    </w:p>
    <w:p w14:paraId="2E5D0EE7" w14:textId="77777777" w:rsidR="00590FE1" w:rsidRPr="001D5327" w:rsidRDefault="00590FE1" w:rsidP="00590FE1">
      <w:pPr>
        <w:pStyle w:val="BodyText"/>
      </w:pPr>
      <w:r w:rsidRPr="001D5327">
        <w:rPr>
          <w:shd w:val="clear" w:color="auto" w:fill="FFFFFF"/>
        </w:rPr>
        <w:t>For more detail on these changes, see section 5.2.5.</w:t>
      </w:r>
    </w:p>
    <w:p w14:paraId="431188BD" w14:textId="77777777" w:rsidR="00590FE1" w:rsidRPr="001D5327" w:rsidRDefault="00590FE1" w:rsidP="00590FE1">
      <w:pPr>
        <w:pStyle w:val="Table"/>
        <w:rPr>
          <w:rFonts w:cs="Calibri"/>
          <w:i/>
          <w:iCs/>
        </w:rPr>
      </w:pPr>
      <w:bookmarkStart w:id="1017" w:name="_Toc194241724"/>
      <w:r w:rsidRPr="001D5327">
        <w:rPr>
          <w:rFonts w:cs="Calibri"/>
        </w:rPr>
        <w:t>Table 5.3.13</w:t>
      </w:r>
      <w:r w:rsidRPr="001D5327">
        <w:rPr>
          <w:rFonts w:cs="Calibri"/>
        </w:rPr>
        <w:tab/>
        <w:t xml:space="preserve">Comparison of model results with and without corrections for emissions from </w:t>
      </w:r>
      <w:r w:rsidRPr="001D5327">
        <w:rPr>
          <w:rFonts w:cs="Calibri"/>
          <w:i/>
        </w:rPr>
        <w:t>Manure management</w:t>
      </w:r>
      <w:bookmarkEnd w:id="1017"/>
      <w:r w:rsidRPr="001D5327">
        <w:rPr>
          <w:rFonts w:cs="Calibri"/>
          <w:i/>
          <w:iCs/>
        </w:rPr>
        <w:t xml:space="preserve"> </w:t>
      </w:r>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4A0" w:firstRow="1" w:lastRow="0" w:firstColumn="1" w:lastColumn="0" w:noHBand="0" w:noVBand="1"/>
      </w:tblPr>
      <w:tblGrid>
        <w:gridCol w:w="1142"/>
        <w:gridCol w:w="1884"/>
        <w:gridCol w:w="913"/>
        <w:gridCol w:w="913"/>
        <w:gridCol w:w="1712"/>
        <w:gridCol w:w="1941"/>
      </w:tblGrid>
      <w:tr w:rsidR="00590FE1" w:rsidRPr="001D5327" w14:paraId="13084A59" w14:textId="77777777" w:rsidTr="00403787">
        <w:trPr>
          <w:tblHeader/>
        </w:trPr>
        <w:tc>
          <w:tcPr>
            <w:tcW w:w="1134" w:type="dxa"/>
            <w:shd w:val="clear" w:color="000000" w:fill="1B556B"/>
            <w:vAlign w:val="bottom"/>
          </w:tcPr>
          <w:p w14:paraId="12B785D1" w14:textId="77777777" w:rsidR="00590FE1" w:rsidRPr="001D5327" w:rsidRDefault="00590FE1" w:rsidP="00403787">
            <w:pPr>
              <w:pStyle w:val="TableText"/>
              <w:spacing w:before="40" w:after="40"/>
              <w:rPr>
                <w:b/>
                <w:bCs/>
                <w:color w:val="FFFFFF" w:themeColor="background1"/>
              </w:rPr>
            </w:pPr>
          </w:p>
        </w:tc>
        <w:tc>
          <w:tcPr>
            <w:tcW w:w="1871" w:type="dxa"/>
            <w:shd w:val="clear" w:color="000000" w:fill="1B556B"/>
            <w:vAlign w:val="bottom"/>
          </w:tcPr>
          <w:p w14:paraId="25955D86" w14:textId="77777777" w:rsidR="00590FE1" w:rsidRPr="001D5327" w:rsidRDefault="00590FE1" w:rsidP="00403787">
            <w:pPr>
              <w:pStyle w:val="TableText"/>
              <w:spacing w:before="40" w:after="40"/>
              <w:rPr>
                <w:b/>
                <w:bCs/>
                <w:color w:val="FFFFFF" w:themeColor="background1"/>
              </w:rPr>
            </w:pPr>
            <w:r w:rsidRPr="001D5327">
              <w:rPr>
                <w:rFonts w:cs="Calibri"/>
                <w:color w:val="000000"/>
                <w:sz w:val="20"/>
                <w:szCs w:val="20"/>
              </w:rPr>
              <w:t> </w:t>
            </w:r>
          </w:p>
        </w:tc>
        <w:tc>
          <w:tcPr>
            <w:tcW w:w="907" w:type="dxa"/>
            <w:shd w:val="clear" w:color="000000" w:fill="1B556B"/>
            <w:vAlign w:val="bottom"/>
          </w:tcPr>
          <w:p w14:paraId="6E3192CD" w14:textId="77777777" w:rsidR="00590FE1" w:rsidRPr="001D5327" w:rsidRDefault="00590FE1" w:rsidP="00403787">
            <w:pPr>
              <w:pStyle w:val="TableText"/>
              <w:keepNext/>
              <w:spacing w:before="40" w:after="40"/>
              <w:jc w:val="right"/>
              <w:rPr>
                <w:b/>
                <w:bCs/>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907" w:type="dxa"/>
            <w:shd w:val="clear" w:color="000000" w:fill="1B556B"/>
            <w:vAlign w:val="bottom"/>
          </w:tcPr>
          <w:p w14:paraId="7ED9BA5B" w14:textId="77777777" w:rsidR="00590FE1" w:rsidRPr="001D5327" w:rsidRDefault="00590FE1" w:rsidP="00403787">
            <w:pPr>
              <w:pStyle w:val="TableText"/>
              <w:keepNext/>
              <w:spacing w:before="40" w:after="40"/>
              <w:jc w:val="right"/>
              <w:rPr>
                <w:b/>
                <w:bCs/>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701" w:type="dxa"/>
            <w:shd w:val="clear" w:color="000000" w:fill="1B556B"/>
            <w:vAlign w:val="bottom"/>
          </w:tcPr>
          <w:p w14:paraId="01CF26E1"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928" w:type="dxa"/>
            <w:shd w:val="clear" w:color="000000" w:fill="1B556B"/>
            <w:vAlign w:val="bottom"/>
          </w:tcPr>
          <w:p w14:paraId="031335EC" w14:textId="77777777" w:rsidR="00590FE1" w:rsidRPr="001D5327" w:rsidRDefault="00590FE1" w:rsidP="00403787">
            <w:pPr>
              <w:pStyle w:val="TableText"/>
              <w:spacing w:before="40" w:after="40"/>
              <w:jc w:val="right"/>
              <w:rPr>
                <w:b/>
                <w:bCs/>
                <w:color w:val="FFFFFF" w:themeColor="background1"/>
              </w:rPr>
            </w:pPr>
            <w:r w:rsidRPr="001D5327">
              <w:rPr>
                <w:rFonts w:cs="Calibri"/>
                <w:b/>
                <w:bCs/>
                <w:color w:val="FFFFFF"/>
                <w:szCs w:val="16"/>
              </w:rPr>
              <w:t>Percentage change in emission outputs between 1990 and 2022 (%)</w:t>
            </w:r>
          </w:p>
        </w:tc>
      </w:tr>
      <w:tr w:rsidR="00590FE1" w:rsidRPr="001D5327" w14:paraId="779EFAA8" w14:textId="77777777" w:rsidTr="00403787">
        <w:tc>
          <w:tcPr>
            <w:tcW w:w="1134" w:type="dxa"/>
            <w:vMerge w:val="restart"/>
            <w:shd w:val="clear" w:color="auto" w:fill="auto"/>
            <w:vAlign w:val="center"/>
          </w:tcPr>
          <w:p w14:paraId="4018F7DE" w14:textId="77777777" w:rsidR="00590FE1" w:rsidRPr="001D5327" w:rsidRDefault="00590FE1" w:rsidP="00403787">
            <w:pPr>
              <w:pStyle w:val="TableText"/>
              <w:spacing w:before="40" w:after="40"/>
              <w:rPr>
                <w:color w:val="000000"/>
              </w:rPr>
            </w:pPr>
            <w:r w:rsidRPr="001D5327">
              <w:rPr>
                <w:rFonts w:cs="Calibri"/>
                <w:color w:val="000000"/>
                <w:szCs w:val="16"/>
              </w:rPr>
              <w:t xml:space="preserve">Total emissions from </w:t>
            </w:r>
            <w:r w:rsidRPr="001D5327">
              <w:rPr>
                <w:rFonts w:cs="Calibri"/>
                <w:i/>
                <w:color w:val="000000"/>
                <w:szCs w:val="16"/>
              </w:rPr>
              <w:t>Manure management</w:t>
            </w:r>
            <w:r w:rsidRPr="001D5327">
              <w:rPr>
                <w:rFonts w:cs="Calibri"/>
                <w:color w:val="000000"/>
                <w:szCs w:val="16"/>
              </w:rPr>
              <w:t xml:space="preserve"> </w:t>
            </w:r>
          </w:p>
        </w:tc>
        <w:tc>
          <w:tcPr>
            <w:tcW w:w="1871" w:type="dxa"/>
            <w:shd w:val="clear" w:color="auto" w:fill="auto"/>
            <w:vAlign w:val="center"/>
          </w:tcPr>
          <w:p w14:paraId="18E9D311" w14:textId="77777777" w:rsidR="00590FE1" w:rsidRPr="001D5327" w:rsidRDefault="00590FE1" w:rsidP="00403787">
            <w:pPr>
              <w:pStyle w:val="TableText"/>
              <w:spacing w:before="40" w:after="40"/>
              <w:rPr>
                <w:color w:val="000000"/>
              </w:rPr>
            </w:pPr>
            <w:r w:rsidRPr="001D5327">
              <w:rPr>
                <w:rFonts w:cs="Calibri"/>
                <w:color w:val="000000"/>
                <w:szCs w:val="16"/>
              </w:rPr>
              <w:t>2024 (1990–2022) emissions estimate</w:t>
            </w:r>
          </w:p>
        </w:tc>
        <w:tc>
          <w:tcPr>
            <w:tcW w:w="907" w:type="dxa"/>
            <w:shd w:val="clear" w:color="auto" w:fill="auto"/>
            <w:vAlign w:val="bottom"/>
          </w:tcPr>
          <w:p w14:paraId="5D52E527" w14:textId="77777777" w:rsidR="00590FE1" w:rsidRPr="001D5327" w:rsidRDefault="00590FE1" w:rsidP="00403787">
            <w:pPr>
              <w:pStyle w:val="TableText"/>
              <w:spacing w:before="40" w:after="40"/>
              <w:jc w:val="right"/>
              <w:rPr>
                <w:color w:val="000000"/>
              </w:rPr>
            </w:pPr>
            <w:r w:rsidRPr="001D5327">
              <w:rPr>
                <w:rFonts w:cs="Calibri"/>
                <w:color w:val="000000"/>
                <w:szCs w:val="16"/>
              </w:rPr>
              <w:t>874.8</w:t>
            </w:r>
          </w:p>
        </w:tc>
        <w:tc>
          <w:tcPr>
            <w:tcW w:w="907" w:type="dxa"/>
            <w:shd w:val="clear" w:color="auto" w:fill="auto"/>
            <w:vAlign w:val="bottom"/>
          </w:tcPr>
          <w:p w14:paraId="502DE8ED" w14:textId="77777777" w:rsidR="00590FE1" w:rsidRPr="001D5327" w:rsidRDefault="00590FE1" w:rsidP="00403787">
            <w:pPr>
              <w:pStyle w:val="TableText"/>
              <w:spacing w:before="40" w:after="40"/>
              <w:jc w:val="right"/>
              <w:rPr>
                <w:color w:val="000000"/>
              </w:rPr>
            </w:pPr>
            <w:r w:rsidRPr="001D5327">
              <w:rPr>
                <w:rFonts w:cs="Calibri"/>
                <w:color w:val="000000"/>
                <w:szCs w:val="16"/>
              </w:rPr>
              <w:t>1,901.6</w:t>
            </w:r>
          </w:p>
        </w:tc>
        <w:tc>
          <w:tcPr>
            <w:tcW w:w="1701" w:type="dxa"/>
            <w:shd w:val="clear" w:color="auto" w:fill="auto"/>
            <w:vAlign w:val="bottom"/>
          </w:tcPr>
          <w:p w14:paraId="0C4DAB2F" w14:textId="77777777" w:rsidR="00590FE1" w:rsidRPr="001D5327" w:rsidRDefault="00590FE1" w:rsidP="00403787">
            <w:pPr>
              <w:pStyle w:val="TableText"/>
              <w:spacing w:before="40" w:after="40"/>
              <w:jc w:val="right"/>
              <w:rPr>
                <w:color w:val="000000"/>
              </w:rPr>
            </w:pPr>
            <w:r w:rsidRPr="001D5327">
              <w:rPr>
                <w:rFonts w:cs="Calibri"/>
                <w:color w:val="000000"/>
                <w:szCs w:val="16"/>
              </w:rPr>
              <w:t>1,026.8</w:t>
            </w:r>
          </w:p>
        </w:tc>
        <w:tc>
          <w:tcPr>
            <w:tcW w:w="1928" w:type="dxa"/>
            <w:shd w:val="clear" w:color="auto" w:fill="auto"/>
            <w:vAlign w:val="bottom"/>
          </w:tcPr>
          <w:p w14:paraId="1AACF0CF" w14:textId="77777777" w:rsidR="00590FE1" w:rsidRPr="001D5327" w:rsidRDefault="00590FE1" w:rsidP="00403787">
            <w:pPr>
              <w:pStyle w:val="TableText"/>
              <w:spacing w:before="40" w:after="40"/>
              <w:jc w:val="right"/>
              <w:rPr>
                <w:color w:val="000000"/>
              </w:rPr>
            </w:pPr>
            <w:r w:rsidRPr="001D5327">
              <w:rPr>
                <w:rFonts w:cs="Calibri"/>
                <w:color w:val="000000"/>
                <w:szCs w:val="16"/>
              </w:rPr>
              <w:t>117.4</w:t>
            </w:r>
          </w:p>
        </w:tc>
      </w:tr>
      <w:tr w:rsidR="00590FE1" w:rsidRPr="001D5327" w14:paraId="3563AA1A" w14:textId="77777777" w:rsidTr="00403787">
        <w:tc>
          <w:tcPr>
            <w:tcW w:w="1134" w:type="dxa"/>
            <w:vMerge/>
            <w:vAlign w:val="center"/>
          </w:tcPr>
          <w:p w14:paraId="2902E77C" w14:textId="77777777" w:rsidR="00590FE1" w:rsidRPr="001D5327" w:rsidRDefault="00590FE1" w:rsidP="00403787">
            <w:pPr>
              <w:pStyle w:val="TableText"/>
              <w:spacing w:before="40" w:after="40"/>
              <w:rPr>
                <w:color w:val="000000"/>
              </w:rPr>
            </w:pPr>
          </w:p>
        </w:tc>
        <w:tc>
          <w:tcPr>
            <w:tcW w:w="1871" w:type="dxa"/>
            <w:shd w:val="clear" w:color="auto" w:fill="auto"/>
            <w:vAlign w:val="center"/>
          </w:tcPr>
          <w:p w14:paraId="6F773B9D" w14:textId="77777777" w:rsidR="00590FE1" w:rsidRPr="001D5327" w:rsidRDefault="00590FE1" w:rsidP="00403787">
            <w:pPr>
              <w:pStyle w:val="TableText"/>
              <w:spacing w:before="40" w:after="40"/>
              <w:rPr>
                <w:color w:val="000000"/>
              </w:rPr>
            </w:pPr>
            <w:r w:rsidRPr="001D5327">
              <w:rPr>
                <w:rFonts w:cs="Calibri"/>
                <w:color w:val="000000"/>
                <w:szCs w:val="16"/>
              </w:rPr>
              <w:t xml:space="preserve">2024 (1990–2022) emissions estimate </w:t>
            </w:r>
            <w:r w:rsidRPr="001D5327">
              <w:rPr>
                <w:rFonts w:cs="Calibri"/>
                <w:i/>
                <w:iCs/>
                <w:color w:val="000000"/>
                <w:szCs w:val="16"/>
              </w:rPr>
              <w:t>with corrections applied</w:t>
            </w:r>
          </w:p>
        </w:tc>
        <w:tc>
          <w:tcPr>
            <w:tcW w:w="907" w:type="dxa"/>
            <w:shd w:val="clear" w:color="auto" w:fill="auto"/>
            <w:vAlign w:val="bottom"/>
          </w:tcPr>
          <w:p w14:paraId="4C36DF62" w14:textId="77777777" w:rsidR="00590FE1" w:rsidRPr="001D5327" w:rsidRDefault="00590FE1" w:rsidP="00403787">
            <w:pPr>
              <w:pStyle w:val="TableText"/>
              <w:spacing w:before="40" w:after="40"/>
              <w:jc w:val="right"/>
              <w:rPr>
                <w:color w:val="000000"/>
              </w:rPr>
            </w:pPr>
            <w:r w:rsidRPr="001D5327">
              <w:rPr>
                <w:rFonts w:cs="Calibri"/>
                <w:color w:val="000000"/>
                <w:szCs w:val="16"/>
              </w:rPr>
              <w:t>870.6</w:t>
            </w:r>
          </w:p>
        </w:tc>
        <w:tc>
          <w:tcPr>
            <w:tcW w:w="907" w:type="dxa"/>
            <w:shd w:val="clear" w:color="auto" w:fill="auto"/>
            <w:vAlign w:val="bottom"/>
          </w:tcPr>
          <w:p w14:paraId="70249B6C" w14:textId="77777777" w:rsidR="00590FE1" w:rsidRPr="001D5327" w:rsidRDefault="00590FE1" w:rsidP="00403787">
            <w:pPr>
              <w:pStyle w:val="TableText"/>
              <w:spacing w:before="40" w:after="40"/>
              <w:jc w:val="right"/>
              <w:rPr>
                <w:color w:val="000000"/>
              </w:rPr>
            </w:pPr>
            <w:r w:rsidRPr="001D5327">
              <w:rPr>
                <w:rFonts w:cs="Calibri"/>
                <w:color w:val="000000"/>
                <w:szCs w:val="16"/>
              </w:rPr>
              <w:t>1,901.8</w:t>
            </w:r>
          </w:p>
        </w:tc>
        <w:tc>
          <w:tcPr>
            <w:tcW w:w="1701" w:type="dxa"/>
            <w:shd w:val="clear" w:color="auto" w:fill="auto"/>
            <w:vAlign w:val="bottom"/>
          </w:tcPr>
          <w:p w14:paraId="476B82DB" w14:textId="77777777" w:rsidR="00590FE1" w:rsidRPr="001D5327" w:rsidRDefault="00590FE1" w:rsidP="00403787">
            <w:pPr>
              <w:pStyle w:val="TableText"/>
              <w:spacing w:before="40" w:after="40"/>
              <w:jc w:val="right"/>
              <w:rPr>
                <w:color w:val="000000"/>
              </w:rPr>
            </w:pPr>
            <w:r w:rsidRPr="001D5327">
              <w:rPr>
                <w:rFonts w:cs="Calibri"/>
                <w:color w:val="000000"/>
                <w:szCs w:val="16"/>
              </w:rPr>
              <w:t>1,031.2</w:t>
            </w:r>
          </w:p>
        </w:tc>
        <w:tc>
          <w:tcPr>
            <w:tcW w:w="1928" w:type="dxa"/>
            <w:shd w:val="clear" w:color="auto" w:fill="auto"/>
            <w:vAlign w:val="bottom"/>
          </w:tcPr>
          <w:p w14:paraId="0287F8E2" w14:textId="77777777" w:rsidR="00590FE1" w:rsidRPr="001D5327" w:rsidRDefault="00590FE1" w:rsidP="00403787">
            <w:pPr>
              <w:pStyle w:val="TableText"/>
              <w:spacing w:before="40" w:after="40"/>
              <w:jc w:val="right"/>
              <w:rPr>
                <w:color w:val="000000"/>
              </w:rPr>
            </w:pPr>
            <w:r w:rsidRPr="001D5327">
              <w:rPr>
                <w:rFonts w:cs="Calibri"/>
                <w:color w:val="000000"/>
                <w:szCs w:val="16"/>
              </w:rPr>
              <w:t>118.4</w:t>
            </w:r>
          </w:p>
        </w:tc>
      </w:tr>
      <w:tr w:rsidR="00590FE1" w:rsidRPr="001D5327" w14:paraId="5A81B949" w14:textId="77777777" w:rsidTr="00403787">
        <w:tc>
          <w:tcPr>
            <w:tcW w:w="1134" w:type="dxa"/>
            <w:vMerge/>
            <w:vAlign w:val="center"/>
          </w:tcPr>
          <w:p w14:paraId="4B818389" w14:textId="77777777" w:rsidR="00590FE1" w:rsidRPr="001D5327" w:rsidRDefault="00590FE1" w:rsidP="00403787">
            <w:pPr>
              <w:pStyle w:val="TableText"/>
              <w:spacing w:before="40" w:after="40"/>
              <w:rPr>
                <w:color w:val="000000"/>
              </w:rPr>
            </w:pPr>
          </w:p>
        </w:tc>
        <w:tc>
          <w:tcPr>
            <w:tcW w:w="1871" w:type="dxa"/>
            <w:shd w:val="clear" w:color="auto" w:fill="auto"/>
            <w:vAlign w:val="center"/>
          </w:tcPr>
          <w:p w14:paraId="429FF251" w14:textId="77777777" w:rsidR="00590FE1" w:rsidRPr="001D5327" w:rsidRDefault="00590FE1" w:rsidP="00403787">
            <w:pPr>
              <w:pStyle w:val="TableText"/>
              <w:spacing w:before="40" w:after="40"/>
              <w:rPr>
                <w:color w:val="000000"/>
              </w:rPr>
            </w:pPr>
            <w:r w:rsidRPr="001D5327">
              <w:rPr>
                <w:rFonts w:cs="Calibri"/>
                <w:color w:val="000000"/>
                <w:szCs w:val="16"/>
              </w:rPr>
              <w:t>Difference in emissions estimates</w:t>
            </w:r>
          </w:p>
        </w:tc>
        <w:tc>
          <w:tcPr>
            <w:tcW w:w="907" w:type="dxa"/>
            <w:shd w:val="clear" w:color="auto" w:fill="auto"/>
            <w:vAlign w:val="bottom"/>
          </w:tcPr>
          <w:p w14:paraId="0D1FD536" w14:textId="13D42D23"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4.1</w:t>
            </w:r>
          </w:p>
        </w:tc>
        <w:tc>
          <w:tcPr>
            <w:tcW w:w="907" w:type="dxa"/>
            <w:shd w:val="clear" w:color="auto" w:fill="auto"/>
            <w:vAlign w:val="bottom"/>
          </w:tcPr>
          <w:p w14:paraId="19432C8C" w14:textId="77777777" w:rsidR="00590FE1" w:rsidRPr="001D5327" w:rsidRDefault="00590FE1" w:rsidP="00403787">
            <w:pPr>
              <w:pStyle w:val="TableText"/>
              <w:spacing w:before="40" w:after="40"/>
              <w:jc w:val="right"/>
              <w:rPr>
                <w:color w:val="000000"/>
              </w:rPr>
            </w:pPr>
            <w:r w:rsidRPr="001D5327">
              <w:rPr>
                <w:rFonts w:cs="Calibri"/>
                <w:color w:val="000000"/>
                <w:szCs w:val="16"/>
              </w:rPr>
              <w:t>0.2</w:t>
            </w:r>
          </w:p>
        </w:tc>
        <w:tc>
          <w:tcPr>
            <w:tcW w:w="1701" w:type="dxa"/>
            <w:shd w:val="clear" w:color="auto" w:fill="auto"/>
            <w:vAlign w:val="bottom"/>
          </w:tcPr>
          <w:p w14:paraId="4110A59D"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928" w:type="dxa"/>
            <w:shd w:val="clear" w:color="auto" w:fill="auto"/>
            <w:vAlign w:val="bottom"/>
          </w:tcPr>
          <w:p w14:paraId="36AE5F10"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r w:rsidR="00590FE1" w:rsidRPr="001D5327" w14:paraId="3D7F3EB8" w14:textId="77777777" w:rsidTr="00403787">
        <w:tc>
          <w:tcPr>
            <w:tcW w:w="1134" w:type="dxa"/>
            <w:vMerge/>
            <w:vAlign w:val="center"/>
          </w:tcPr>
          <w:p w14:paraId="3DAE0282" w14:textId="77777777" w:rsidR="00590FE1" w:rsidRPr="001D5327" w:rsidRDefault="00590FE1" w:rsidP="00403787">
            <w:pPr>
              <w:pStyle w:val="TableText"/>
              <w:spacing w:before="40" w:after="40"/>
              <w:rPr>
                <w:color w:val="000000"/>
              </w:rPr>
            </w:pPr>
          </w:p>
        </w:tc>
        <w:tc>
          <w:tcPr>
            <w:tcW w:w="1871" w:type="dxa"/>
            <w:shd w:val="clear" w:color="auto" w:fill="auto"/>
            <w:vAlign w:val="center"/>
          </w:tcPr>
          <w:p w14:paraId="57A2F8A9" w14:textId="77777777" w:rsidR="00590FE1" w:rsidRPr="001D5327" w:rsidRDefault="00590FE1" w:rsidP="00403787">
            <w:pPr>
              <w:pStyle w:val="TableText"/>
              <w:spacing w:before="40" w:after="40"/>
              <w:rPr>
                <w:color w:val="000000"/>
              </w:rPr>
            </w:pPr>
            <w:r w:rsidRPr="001D5327">
              <w:rPr>
                <w:rFonts w:cs="Calibri"/>
                <w:color w:val="000000"/>
                <w:szCs w:val="16"/>
              </w:rPr>
              <w:t>Percentage difference in emissions estimates (%)</w:t>
            </w:r>
          </w:p>
        </w:tc>
        <w:tc>
          <w:tcPr>
            <w:tcW w:w="907" w:type="dxa"/>
            <w:shd w:val="clear" w:color="auto" w:fill="auto"/>
            <w:vAlign w:val="bottom"/>
          </w:tcPr>
          <w:p w14:paraId="222A5785" w14:textId="63C5AEF0"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0.5</w:t>
            </w:r>
          </w:p>
        </w:tc>
        <w:tc>
          <w:tcPr>
            <w:tcW w:w="907" w:type="dxa"/>
            <w:shd w:val="clear" w:color="auto" w:fill="auto"/>
            <w:vAlign w:val="bottom"/>
          </w:tcPr>
          <w:p w14:paraId="4D6C40EA" w14:textId="77777777" w:rsidR="00590FE1" w:rsidRPr="001D5327" w:rsidRDefault="00590FE1" w:rsidP="00403787">
            <w:pPr>
              <w:pStyle w:val="TableText"/>
              <w:spacing w:before="40" w:after="40"/>
              <w:jc w:val="right"/>
              <w:rPr>
                <w:color w:val="000000"/>
              </w:rPr>
            </w:pPr>
            <w:r w:rsidRPr="001D5327">
              <w:rPr>
                <w:rFonts w:cs="Calibri"/>
                <w:color w:val="000000"/>
                <w:szCs w:val="16"/>
              </w:rPr>
              <w:t>0.0</w:t>
            </w:r>
          </w:p>
        </w:tc>
        <w:tc>
          <w:tcPr>
            <w:tcW w:w="1701" w:type="dxa"/>
            <w:shd w:val="clear" w:color="auto" w:fill="auto"/>
            <w:vAlign w:val="bottom"/>
          </w:tcPr>
          <w:p w14:paraId="4D03224E"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928" w:type="dxa"/>
            <w:shd w:val="clear" w:color="auto" w:fill="auto"/>
            <w:vAlign w:val="bottom"/>
          </w:tcPr>
          <w:p w14:paraId="0C47E740"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bl>
    <w:p w14:paraId="5595E2B9" w14:textId="77777777" w:rsidR="00590FE1" w:rsidRPr="001D5327" w:rsidRDefault="00590FE1" w:rsidP="00590FE1">
      <w:pPr>
        <w:pStyle w:val="Noteundertable"/>
        <w:spacing w:after="80"/>
        <w:rPr>
          <w:rFonts w:cs="Calibri"/>
        </w:rPr>
      </w:pPr>
      <w:r w:rsidRPr="001D5327">
        <w:rPr>
          <w:rFonts w:cs="Calibri"/>
          <w:b/>
          <w:bCs/>
        </w:rPr>
        <w:t xml:space="preserve">Note: </w:t>
      </w:r>
      <w:r w:rsidRPr="001D5327">
        <w:rPr>
          <w:rFonts w:cs="Calibri"/>
          <w:b/>
          <w:bCs/>
        </w:rPr>
        <w:tab/>
      </w:r>
      <w:r w:rsidRPr="001D5327">
        <w:rPr>
          <w:rFonts w:cs="Calibri"/>
        </w:rPr>
        <w:t>Columns may not sum due to rounding. Percentages presented are calculated from unrounded values.</w:t>
      </w:r>
    </w:p>
    <w:p w14:paraId="7227B0CA" w14:textId="77777777" w:rsidR="00590FE1" w:rsidRPr="001D5327" w:rsidRDefault="00590FE1" w:rsidP="00590FE1">
      <w:pPr>
        <w:pStyle w:val="Heading3"/>
      </w:pPr>
      <w:bookmarkStart w:id="1018" w:name="_Toc32570663"/>
      <w:bookmarkStart w:id="1019" w:name="_Toc134847206"/>
      <w:bookmarkStart w:id="1020" w:name="_Toc69611741"/>
      <w:bookmarkStart w:id="1021" w:name="_Toc69612697"/>
      <w:bookmarkStart w:id="1022" w:name="_Toc69612896"/>
      <w:bookmarkStart w:id="1023" w:name="_Toc69613156"/>
      <w:bookmarkStart w:id="1024" w:name="_Toc69633320"/>
      <w:bookmarkStart w:id="1025" w:name="_Toc69717485"/>
      <w:bookmarkStart w:id="1026" w:name="_Toc69802967"/>
      <w:bookmarkStart w:id="1027" w:name="_Toc69815104"/>
      <w:bookmarkStart w:id="1028" w:name="_Toc70492397"/>
      <w:bookmarkStart w:id="1029" w:name="_Toc101310604"/>
      <w:bookmarkStart w:id="1030" w:name="_Toc101318464"/>
      <w:bookmarkStart w:id="1031" w:name="_Toc101318569"/>
      <w:bookmarkStart w:id="1032" w:name="_Toc101318753"/>
      <w:bookmarkStart w:id="1033" w:name="_Toc101334029"/>
      <w:r w:rsidRPr="001D5327">
        <w:lastRenderedPageBreak/>
        <w:t>5.3.6</w:t>
      </w:r>
      <w:r w:rsidRPr="001D5327">
        <w:tab/>
        <w:t>Category-specific planned improvements</w:t>
      </w:r>
      <w:bookmarkEnd w:id="1018"/>
      <w:r w:rsidRPr="001D5327">
        <w:t xml:space="preserve"> </w:t>
      </w:r>
    </w:p>
    <w:bookmarkEnd w:id="1019"/>
    <w:p w14:paraId="77B63090" w14:textId="77777777" w:rsidR="00590FE1" w:rsidRPr="001D5327" w:rsidRDefault="00590FE1" w:rsidP="00590FE1">
      <w:pPr>
        <w:pStyle w:val="BodyText"/>
      </w:pPr>
      <w:r w:rsidRPr="001D5327">
        <w:t xml:space="preserve">The following section covers the planned improvements being undertaken for </w:t>
      </w:r>
      <w:r w:rsidRPr="001D5327">
        <w:rPr>
          <w:i/>
          <w:iCs/>
        </w:rPr>
        <w:t>Manure management</w:t>
      </w:r>
      <w:r w:rsidRPr="001D5327">
        <w:t xml:space="preserve">. These findings may be incorporated in future annual inventory submissions. </w:t>
      </w:r>
    </w:p>
    <w:p w14:paraId="2371F5D5" w14:textId="0871C706" w:rsidR="00590FE1" w:rsidRPr="001D5327" w:rsidRDefault="00590FE1" w:rsidP="00590FE1">
      <w:pPr>
        <w:pStyle w:val="Heading5"/>
        <w:rPr>
          <w:rFonts w:cs="Calibri"/>
        </w:rPr>
      </w:pPr>
      <w:r w:rsidRPr="001D5327">
        <w:rPr>
          <w:rFonts w:cs="Calibri"/>
        </w:rPr>
        <w:t>Updating</w:t>
      </w:r>
      <w:r w:rsidRPr="001D5327">
        <w:t xml:space="preserve"> data on the use of different manure and effluent management systems in</w:t>
      </w:r>
      <w:r w:rsidR="00217AD5" w:rsidRPr="001D5327">
        <w:t> </w:t>
      </w:r>
      <w:r w:rsidRPr="001D5327">
        <w:t>New Zealand dairy farms</w:t>
      </w:r>
    </w:p>
    <w:p w14:paraId="65F0A70C" w14:textId="77777777" w:rsidR="00590FE1" w:rsidRPr="001D5327" w:rsidRDefault="00590FE1" w:rsidP="00590FE1">
      <w:pPr>
        <w:pStyle w:val="BodyText"/>
        <w:rPr>
          <w:rFonts w:cs="Calibri"/>
        </w:rPr>
      </w:pPr>
      <w:r w:rsidRPr="001D5327">
        <w:rPr>
          <w:rFonts w:cs="Calibri"/>
        </w:rPr>
        <w:t xml:space="preserve">A nationwide farm survey of dairy manure and effluent management practices will be carried out to collect information on effluent storage duration, farm off-paddock structure and loafing pad use, effluent to soils separation and frequency of emptying effluent storage ponds. Earlier research to determine whether the methane conversion factor for </w:t>
      </w:r>
      <w:r w:rsidRPr="001D5327">
        <w:rPr>
          <w:rFonts w:cs="Calibri"/>
          <w:i/>
          <w:iCs/>
        </w:rPr>
        <w:t>Dairy cattle</w:t>
      </w:r>
      <w:r w:rsidRPr="001D5327">
        <w:rPr>
          <w:rFonts w:cs="Calibri"/>
        </w:rPr>
        <w:t xml:space="preserve"> needed to be </w:t>
      </w:r>
      <w:r w:rsidRPr="001D5327">
        <w:rPr>
          <w:rFonts w:cs="Calibri"/>
          <w:spacing w:val="-2"/>
        </w:rPr>
        <w:t>updated highlighted the importance of effluent storage and management in resulting emission</w:t>
      </w:r>
      <w:r w:rsidRPr="001D5327">
        <w:rPr>
          <w:rFonts w:cs="Calibri"/>
        </w:rPr>
        <w:t>s. This new information will be important in determining whether New Zealand can reliably update the methane conversion factor for dairy cattle.</w:t>
      </w:r>
    </w:p>
    <w:p w14:paraId="5C4559D0" w14:textId="77777777" w:rsidR="00590FE1" w:rsidRPr="001D5327" w:rsidRDefault="00590FE1" w:rsidP="00590FE1">
      <w:pPr>
        <w:pStyle w:val="BodyText"/>
        <w:rPr>
          <w:rFonts w:cs="Calibri"/>
        </w:rPr>
      </w:pPr>
      <w:r w:rsidRPr="001D5327">
        <w:rPr>
          <w:rFonts w:cs="Calibri"/>
        </w:rPr>
        <w:t xml:space="preserve">This change will be supported by previous research to determine a </w:t>
      </w:r>
      <w:r w:rsidRPr="001D5327" w:rsidDel="00FF1833">
        <w:rPr>
          <w:rFonts w:cs="Calibri"/>
        </w:rPr>
        <w:t xml:space="preserve">New </w:t>
      </w:r>
      <w:r w:rsidRPr="001D5327">
        <w:rPr>
          <w:rFonts w:cs="Calibri"/>
        </w:rPr>
        <w:t xml:space="preserve">Zealand-specific emission factor for anaerobic lagoons on dairy farms. The report </w:t>
      </w:r>
      <w:r w:rsidRPr="001D5327">
        <w:rPr>
          <w:i/>
          <w:iCs/>
        </w:rPr>
        <w:t xml:space="preserve">Refining New Zealand’s GHG Inventory Methodology: Manure Management </w:t>
      </w:r>
      <w:r w:rsidRPr="001D5327">
        <w:rPr>
          <w:rFonts w:cs="Calibri"/>
        </w:rPr>
        <w:t xml:space="preserve">(Luo et al., 2019b) develops a revised model framework that allows the management conditions of anaerobic lagoons to be accounted for when calculating emissions. </w:t>
      </w:r>
    </w:p>
    <w:p w14:paraId="6B937453" w14:textId="77777777" w:rsidR="00590FE1" w:rsidRPr="001D5327" w:rsidRDefault="00590FE1" w:rsidP="00590FE1">
      <w:pPr>
        <w:pStyle w:val="Heading2"/>
      </w:pPr>
      <w:bookmarkStart w:id="1034" w:name="_Toc134847207"/>
      <w:bookmarkStart w:id="1035" w:name="_Toc139253930"/>
      <w:bookmarkStart w:id="1036" w:name="_Toc144710415"/>
      <w:bookmarkStart w:id="1037" w:name="_Toc165890369"/>
      <w:bookmarkStart w:id="1038" w:name="_Toc195322663"/>
      <w:bookmarkStart w:id="1039" w:name="_Toc235955529"/>
      <w:bookmarkStart w:id="1040" w:name="_Toc288316642"/>
      <w:bookmarkStart w:id="1041" w:name="_Toc352504862"/>
      <w:bookmarkStart w:id="1042" w:name="_Toc448321525"/>
      <w:bookmarkStart w:id="1043" w:name="_Toc481751387"/>
      <w:bookmarkStart w:id="1044" w:name="_Toc511116602"/>
      <w:bookmarkStart w:id="1045" w:name="_Toc5269364"/>
      <w:bookmarkStart w:id="1046" w:name="_Toc32570664"/>
      <w:bookmarkStart w:id="1047" w:name="_Toc36224404"/>
      <w:bookmarkStart w:id="1048" w:name="_Toc68786324"/>
      <w:bookmarkStart w:id="1049" w:name="_Toc131591239"/>
      <w:bookmarkStart w:id="1050" w:name="_Toc164154193"/>
      <w:bookmarkStart w:id="1051" w:name="_Toc194312018"/>
      <w:r w:rsidRPr="001D5327">
        <w:t>5.4</w:t>
      </w:r>
      <w:r w:rsidRPr="001D5327">
        <w:tab/>
        <w:t>Rice cultivation (3.C)</w:t>
      </w:r>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p>
    <w:p w14:paraId="12E28659" w14:textId="77777777" w:rsidR="00590FE1" w:rsidRPr="001D5327" w:rsidRDefault="00590FE1" w:rsidP="00590FE1">
      <w:pPr>
        <w:pStyle w:val="Heading3"/>
        <w:spacing w:before="240"/>
      </w:pPr>
      <w:bookmarkStart w:id="1052" w:name="_Toc139253931"/>
      <w:bookmarkStart w:id="1053" w:name="_Toc32570665"/>
      <w:r w:rsidRPr="001D5327">
        <w:t>5.4.1</w:t>
      </w:r>
      <w:r w:rsidRPr="001D5327">
        <w:tab/>
        <w:t>Category description</w:t>
      </w:r>
      <w:bookmarkEnd w:id="1052"/>
      <w:bookmarkEnd w:id="1053"/>
    </w:p>
    <w:p w14:paraId="1748B0EB" w14:textId="77777777" w:rsidR="00590FE1" w:rsidRPr="001D5327" w:rsidRDefault="00590FE1" w:rsidP="00590FE1">
      <w:pPr>
        <w:pStyle w:val="BodyText"/>
        <w:rPr>
          <w:rFonts w:cs="Calibri"/>
        </w:rPr>
      </w:pPr>
      <w:r w:rsidRPr="001D5327">
        <w:rPr>
          <w:rFonts w:cs="Calibri"/>
        </w:rPr>
        <w:t xml:space="preserve">At present, there is no commercial rice cultivation in New Zealand. This has been confirmed with experts from Plant and Food Research, a New Zealand Crown research institute. The ‘NO’ (not occurring) notation is reported in the CRT. </w:t>
      </w:r>
    </w:p>
    <w:p w14:paraId="5AB7DDC5" w14:textId="77777777" w:rsidR="00590FE1" w:rsidRPr="001D5327" w:rsidRDefault="00590FE1" w:rsidP="00590FE1">
      <w:pPr>
        <w:pStyle w:val="Heading2"/>
      </w:pPr>
      <w:bookmarkStart w:id="1054" w:name="_Toc69611742"/>
      <w:bookmarkStart w:id="1055" w:name="_Toc69612698"/>
      <w:bookmarkStart w:id="1056" w:name="_Toc69612897"/>
      <w:bookmarkStart w:id="1057" w:name="_Toc69613157"/>
      <w:bookmarkStart w:id="1058" w:name="_Toc69633321"/>
      <w:bookmarkStart w:id="1059" w:name="_Toc69717486"/>
      <w:bookmarkStart w:id="1060" w:name="_Toc69802968"/>
      <w:bookmarkStart w:id="1061" w:name="_Toc69815105"/>
      <w:bookmarkStart w:id="1062" w:name="_Toc70492398"/>
      <w:bookmarkStart w:id="1063" w:name="_Toc101310605"/>
      <w:bookmarkStart w:id="1064" w:name="_Toc101318465"/>
      <w:bookmarkStart w:id="1065" w:name="_Toc101318570"/>
      <w:bookmarkStart w:id="1066" w:name="_Toc101318754"/>
      <w:bookmarkStart w:id="1067" w:name="_Toc101334030"/>
      <w:bookmarkStart w:id="1068" w:name="_Toc134847208"/>
      <w:bookmarkStart w:id="1069" w:name="_Toc139253932"/>
      <w:bookmarkStart w:id="1070" w:name="_Toc144710416"/>
      <w:bookmarkStart w:id="1071" w:name="_Toc165890370"/>
      <w:bookmarkStart w:id="1072" w:name="_Toc195322664"/>
      <w:bookmarkStart w:id="1073" w:name="_Toc235955530"/>
      <w:bookmarkStart w:id="1074" w:name="_Toc288316643"/>
      <w:bookmarkStart w:id="1075" w:name="_Toc352504863"/>
      <w:bookmarkStart w:id="1076" w:name="_Toc448321526"/>
      <w:bookmarkStart w:id="1077" w:name="_Toc481751388"/>
      <w:bookmarkStart w:id="1078" w:name="_Toc511116603"/>
      <w:bookmarkStart w:id="1079" w:name="_Toc5269365"/>
      <w:bookmarkStart w:id="1080" w:name="_Toc32570666"/>
      <w:bookmarkStart w:id="1081" w:name="_Toc36224405"/>
      <w:bookmarkStart w:id="1082" w:name="_Toc68786325"/>
      <w:bookmarkStart w:id="1083" w:name="_Toc131591240"/>
      <w:bookmarkStart w:id="1084" w:name="_Toc164154194"/>
      <w:bookmarkStart w:id="1085" w:name="_Toc194312019"/>
      <w:r w:rsidRPr="001D5327">
        <w:t>5.5</w:t>
      </w:r>
      <w:r w:rsidRPr="001D5327">
        <w:tab/>
        <w:t>Agricultural soils (3.D)</w:t>
      </w:r>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p>
    <w:p w14:paraId="5AC3A375" w14:textId="77777777" w:rsidR="00590FE1" w:rsidRPr="001D5327" w:rsidRDefault="00590FE1" w:rsidP="00590FE1">
      <w:pPr>
        <w:pStyle w:val="Heading3"/>
        <w:spacing w:before="240"/>
      </w:pPr>
      <w:bookmarkStart w:id="1086" w:name="_Toc139253933"/>
      <w:bookmarkStart w:id="1087" w:name="_Toc32570667"/>
      <w:r w:rsidRPr="001D5327">
        <w:t>5.5.1</w:t>
      </w:r>
      <w:r w:rsidRPr="001D5327">
        <w:tab/>
        <w:t>Category description</w:t>
      </w:r>
      <w:bookmarkEnd w:id="1086"/>
      <w:bookmarkEnd w:id="1087"/>
    </w:p>
    <w:p w14:paraId="1E62B7FE" w14:textId="77777777" w:rsidR="00590FE1" w:rsidRPr="001D5327" w:rsidRDefault="00590FE1" w:rsidP="00590FE1">
      <w:pPr>
        <w:pStyle w:val="BodyText"/>
      </w:pPr>
      <w:r w:rsidRPr="001D5327">
        <w:t>Several categories contribute to N</w:t>
      </w:r>
      <w:r w:rsidRPr="001D5327">
        <w:rPr>
          <w:vertAlign w:val="subscript"/>
        </w:rPr>
        <w:t>2</w:t>
      </w:r>
      <w:r w:rsidRPr="001D5327">
        <w:t xml:space="preserve">O emissions from </w:t>
      </w:r>
      <w:r w:rsidRPr="001D5327">
        <w:rPr>
          <w:i/>
          <w:iCs/>
        </w:rPr>
        <w:t>Agricultural soils</w:t>
      </w:r>
      <w:r w:rsidRPr="001D5327">
        <w:t xml:space="preserve"> through both direct and indirect pathways; these are summarised in figure 5.5.1. </w:t>
      </w:r>
    </w:p>
    <w:p w14:paraId="4C3941BF" w14:textId="77777777" w:rsidR="00590FE1" w:rsidRPr="001D5327" w:rsidRDefault="00590FE1" w:rsidP="00590FE1">
      <w:pPr>
        <w:pStyle w:val="Figure"/>
      </w:pPr>
      <w:bookmarkStart w:id="1088" w:name="_Toc481752014"/>
      <w:bookmarkStart w:id="1089" w:name="_Toc507158473"/>
      <w:bookmarkStart w:id="1090" w:name="_Toc511116964"/>
      <w:bookmarkStart w:id="1091" w:name="_Toc5269694"/>
      <w:bookmarkStart w:id="1092" w:name="_Toc32570965"/>
      <w:bookmarkStart w:id="1093" w:name="_Toc36292795"/>
      <w:bookmarkStart w:id="1094" w:name="_Toc68786660"/>
      <w:bookmarkStart w:id="1095" w:name="_Toc95574121"/>
      <w:bookmarkStart w:id="1096" w:name="_Toc127458560"/>
      <w:bookmarkStart w:id="1097" w:name="_Toc131591562"/>
      <w:bookmarkStart w:id="1098" w:name="_Toc164154030"/>
      <w:bookmarkStart w:id="1099" w:name="_Toc194674863"/>
      <w:r w:rsidRPr="001D5327">
        <w:lastRenderedPageBreak/>
        <w:t>Figure 5.5.1</w:t>
      </w:r>
      <w:r w:rsidRPr="001D5327">
        <w:tab/>
        <w:t xml:space="preserve">Sources of nitrous oxide emissions from </w:t>
      </w:r>
      <w:r w:rsidRPr="001D5327">
        <w:rPr>
          <w:i/>
          <w:iCs/>
        </w:rPr>
        <w:t>Agricultural soils</w:t>
      </w:r>
      <w:r w:rsidRPr="001D5327">
        <w:t>, showing the contribution of each source to emissions through both direct and indirect pathways</w:t>
      </w:r>
      <w:bookmarkEnd w:id="1088"/>
      <w:bookmarkEnd w:id="1089"/>
      <w:bookmarkEnd w:id="1090"/>
      <w:bookmarkEnd w:id="1091"/>
      <w:bookmarkEnd w:id="1092"/>
      <w:bookmarkEnd w:id="1093"/>
      <w:bookmarkEnd w:id="1094"/>
      <w:bookmarkEnd w:id="1095"/>
      <w:bookmarkEnd w:id="1096"/>
      <w:bookmarkEnd w:id="1097"/>
      <w:bookmarkEnd w:id="1098"/>
      <w:bookmarkEnd w:id="1099"/>
    </w:p>
    <w:p w14:paraId="4B9C1840" w14:textId="77777777" w:rsidR="00590FE1" w:rsidRPr="001D5327" w:rsidRDefault="00590FE1" w:rsidP="00590FE1">
      <w:pPr>
        <w:pStyle w:val="BodyText"/>
      </w:pPr>
      <w:r w:rsidRPr="001D5327">
        <w:object w:dxaOrig="10606" w:dyaOrig="11640" w14:anchorId="106C73F4">
          <v:shape id="_x0000_i1030" type="#_x0000_t75" style="width:425.55pt;height:467.45pt" o:ole="">
            <v:imagedata r:id="rId114" o:title=""/>
          </v:shape>
          <o:OLEObject Type="Embed" ProgID="Visio.Drawing.15" ShapeID="_x0000_i1030" DrawAspect="Content" ObjectID="_1806232877" r:id="rId115"/>
        </w:object>
      </w:r>
    </w:p>
    <w:p w14:paraId="3E5B1D40" w14:textId="77777777" w:rsidR="00590FE1" w:rsidRPr="001D5327" w:rsidRDefault="00590FE1" w:rsidP="00590FE1">
      <w:pPr>
        <w:pStyle w:val="BodyText"/>
      </w:pPr>
      <w:r w:rsidRPr="001D5327">
        <w:t>Direct N</w:t>
      </w:r>
      <w:r w:rsidRPr="001D5327">
        <w:rPr>
          <w:vertAlign w:val="subscript"/>
        </w:rPr>
        <w:t>2</w:t>
      </w:r>
      <w:r w:rsidRPr="001D5327">
        <w:t>O emissions come directly from soils that have had nitrogen applied in either organic (animal excreta and organic fertilisers) or inorganic (synthetic nitrogen fertiliser) form. Indirect emissions come from the volatilisation (evaporation or sublimation) of nitrogen from the land and water. A fraction of this volatilised nitrogen returns to the ground during rainfall and is then re-emitted as N</w:t>
      </w:r>
      <w:r w:rsidRPr="001D5327">
        <w:rPr>
          <w:vertAlign w:val="subscript"/>
        </w:rPr>
        <w:t>2</w:t>
      </w:r>
      <w:r w:rsidRPr="001D5327">
        <w:t>O. Indirect emissions also arise from nitrogen lost through leaching and runoff. This nitrogen enters the groundwater, riparian areas and wetlands, rivers, and eventually the ocean, where it enhances biogenic production of N</w:t>
      </w:r>
      <w:r w:rsidRPr="001D5327">
        <w:rPr>
          <w:vertAlign w:val="subscript"/>
        </w:rPr>
        <w:t>2</w:t>
      </w:r>
      <w:r w:rsidRPr="001D5327">
        <w:t>O (IPCC, 2006).</w:t>
      </w:r>
    </w:p>
    <w:p w14:paraId="487DFD76" w14:textId="77777777" w:rsidR="00590FE1" w:rsidRPr="001D5327" w:rsidRDefault="00590FE1" w:rsidP="00590FE1">
      <w:pPr>
        <w:pStyle w:val="BodyText"/>
      </w:pPr>
      <w:r w:rsidRPr="001D5327">
        <w:t>Indirect emissions from livestock waste management systems are reported in section 5.3 (</w:t>
      </w:r>
      <w:r w:rsidRPr="001D5327">
        <w:rPr>
          <w:i/>
          <w:iCs/>
        </w:rPr>
        <w:t>Manure management</w:t>
      </w:r>
      <w:r w:rsidRPr="001D5327">
        <w:t>). Carbon dioxide emissions from lime and dolomite fertilisers are reported in section 5.8 (</w:t>
      </w:r>
      <w:r w:rsidRPr="001D5327">
        <w:rPr>
          <w:i/>
          <w:iCs/>
        </w:rPr>
        <w:t>Liming</w:t>
      </w:r>
      <w:r w:rsidRPr="001D5327">
        <w:t>), and CO</w:t>
      </w:r>
      <w:r w:rsidRPr="001D5327">
        <w:rPr>
          <w:vertAlign w:val="subscript"/>
        </w:rPr>
        <w:t>2</w:t>
      </w:r>
      <w:r w:rsidRPr="001D5327">
        <w:t xml:space="preserve"> emissions from urea fertiliser are reported in section 5.9 (</w:t>
      </w:r>
      <w:r w:rsidRPr="001D5327">
        <w:rPr>
          <w:i/>
          <w:iCs/>
        </w:rPr>
        <w:t>Urea application</w:t>
      </w:r>
      <w:r w:rsidRPr="001D5327">
        <w:t>)</w:t>
      </w:r>
      <w:r w:rsidRPr="001D5327">
        <w:rPr>
          <w:i/>
          <w:iCs/>
        </w:rPr>
        <w:t>.</w:t>
      </w:r>
    </w:p>
    <w:p w14:paraId="24717036" w14:textId="77777777" w:rsidR="00590FE1" w:rsidRPr="001D5327" w:rsidRDefault="00590FE1" w:rsidP="00590FE1">
      <w:pPr>
        <w:pStyle w:val="BodyText"/>
        <w:spacing w:before="100" w:after="100"/>
        <w:rPr>
          <w:rFonts w:cs="Calibri"/>
        </w:rPr>
      </w:pPr>
      <w:r w:rsidRPr="001D5327">
        <w:rPr>
          <w:rFonts w:cs="Calibri"/>
          <w:i/>
          <w:iCs/>
        </w:rPr>
        <w:lastRenderedPageBreak/>
        <w:t>Agricultural soils</w:t>
      </w:r>
      <w:r w:rsidRPr="001D5327">
        <w:rPr>
          <w:rFonts w:cs="Calibri"/>
        </w:rPr>
        <w:t xml:space="preserve"> contributed an estimated 6,372.4 kt CO</w:t>
      </w:r>
      <w:r w:rsidRPr="001D5327">
        <w:rPr>
          <w:rFonts w:cs="Calibri"/>
          <w:vertAlign w:val="subscript"/>
        </w:rPr>
        <w:t>2</w:t>
      </w:r>
      <w:r w:rsidRPr="001D5327">
        <w:rPr>
          <w:rFonts w:cs="Calibri"/>
        </w:rPr>
        <w:t xml:space="preserve">-e, representing </w:t>
      </w:r>
      <w:r w:rsidRPr="001D5327">
        <w:t>8.3</w:t>
      </w:r>
      <w:r w:rsidRPr="001D5327">
        <w:rPr>
          <w:rFonts w:cs="Calibri"/>
        </w:rPr>
        <w:t xml:space="preserve"> per cent of New Zealand’s gross emissions and 15.7 per cent of Agriculture</w:t>
      </w:r>
      <w:r w:rsidRPr="001D5327">
        <w:rPr>
          <w:rFonts w:cs="Calibri"/>
          <w:i/>
          <w:iCs/>
        </w:rPr>
        <w:t xml:space="preserve"> </w:t>
      </w:r>
      <w:r w:rsidRPr="001D5327">
        <w:rPr>
          <w:rFonts w:cs="Calibri"/>
        </w:rPr>
        <w:t xml:space="preserve">emissions in 2023. The </w:t>
      </w:r>
      <w:r w:rsidRPr="001D5327">
        <w:rPr>
          <w:rFonts w:cs="Calibri"/>
          <w:i/>
          <w:iCs/>
        </w:rPr>
        <w:t>Agricultural soils</w:t>
      </w:r>
      <w:r w:rsidRPr="001D5327">
        <w:rPr>
          <w:rFonts w:cs="Calibri"/>
        </w:rPr>
        <w:t xml:space="preserve"> category was the source of </w:t>
      </w:r>
      <w:r w:rsidRPr="001D5327">
        <w:t>91.8</w:t>
      </w:r>
      <w:r w:rsidRPr="001D5327">
        <w:rPr>
          <w:rFonts w:cs="Calibri"/>
        </w:rPr>
        <w:t xml:space="preserve"> per cent of New Zealand’s total 2023 </w:t>
      </w:r>
      <w:r w:rsidRPr="001D5327">
        <w:rPr>
          <w:rFonts w:cs="Calibri"/>
          <w:spacing w:val="-2"/>
        </w:rPr>
        <w:t>N</w:t>
      </w:r>
      <w:r w:rsidRPr="001D5327">
        <w:rPr>
          <w:rFonts w:cs="Calibri"/>
          <w:spacing w:val="-2"/>
          <w:vertAlign w:val="subscript"/>
        </w:rPr>
        <w:t>2</w:t>
      </w:r>
      <w:r w:rsidRPr="001D5327">
        <w:rPr>
          <w:rFonts w:cs="Calibri"/>
          <w:spacing w:val="-2"/>
        </w:rPr>
        <w:t>O</w:t>
      </w:r>
      <w:r w:rsidRPr="001D5327">
        <w:rPr>
          <w:rFonts w:cs="Calibri"/>
        </w:rPr>
        <w:t> emissions.</w:t>
      </w:r>
    </w:p>
    <w:p w14:paraId="2EEA8103" w14:textId="77777777" w:rsidR="00590FE1" w:rsidRPr="001D5327" w:rsidRDefault="00590FE1" w:rsidP="00590FE1">
      <w:pPr>
        <w:pStyle w:val="BodyText"/>
        <w:spacing w:before="100" w:after="100"/>
        <w:rPr>
          <w:rFonts w:cs="Calibri"/>
        </w:rPr>
      </w:pPr>
      <w:r w:rsidRPr="001D5327">
        <w:rPr>
          <w:rFonts w:cs="Calibri"/>
        </w:rPr>
        <w:t xml:space="preserve">The categories that contribute the most to emissions from </w:t>
      </w:r>
      <w:r w:rsidRPr="001D5327">
        <w:rPr>
          <w:rFonts w:cs="Calibri"/>
          <w:i/>
          <w:iCs/>
        </w:rPr>
        <w:t>Agricultural soils</w:t>
      </w:r>
      <w:r w:rsidRPr="001D5327">
        <w:rPr>
          <w:rFonts w:cs="Calibri"/>
        </w:rPr>
        <w:t xml:space="preserve"> and that are identified as key categories are outlined below in order of significance:</w:t>
      </w:r>
    </w:p>
    <w:p w14:paraId="75642F2C" w14:textId="77777777" w:rsidR="00590FE1" w:rsidRPr="001D5327" w:rsidRDefault="00590FE1">
      <w:pPr>
        <w:pStyle w:val="Bullet"/>
        <w:numPr>
          <w:ilvl w:val="0"/>
          <w:numId w:val="27"/>
        </w:numPr>
        <w:rPr>
          <w:spacing w:val="-2"/>
        </w:rPr>
      </w:pPr>
      <w:r w:rsidRPr="001D5327">
        <w:t xml:space="preserve">urine and dung deposited by grazing animals (pasture, range and paddock manure) (level and trend assessment): 49.5 per cent of emissions from </w:t>
      </w:r>
      <w:r w:rsidRPr="001D5327">
        <w:rPr>
          <w:i/>
          <w:iCs/>
        </w:rPr>
        <w:t>Agricultural soils</w:t>
      </w:r>
    </w:p>
    <w:p w14:paraId="1F729815" w14:textId="77777777" w:rsidR="00590FE1" w:rsidRPr="001D5327" w:rsidRDefault="00590FE1">
      <w:pPr>
        <w:pStyle w:val="Bullet"/>
        <w:numPr>
          <w:ilvl w:val="0"/>
          <w:numId w:val="27"/>
        </w:numPr>
      </w:pPr>
      <w:r w:rsidRPr="001D5327">
        <w:rPr>
          <w:spacing w:val="-2"/>
        </w:rPr>
        <w:t xml:space="preserve">inorganic nitrogen fertiliser </w:t>
      </w:r>
      <w:r w:rsidRPr="001D5327">
        <w:t xml:space="preserve">(level and trend assessment): 17.4 per cent of </w:t>
      </w:r>
      <w:r w:rsidRPr="001D5327">
        <w:rPr>
          <w:iCs/>
        </w:rPr>
        <w:t xml:space="preserve">emissions </w:t>
      </w:r>
      <w:r w:rsidRPr="001D5327">
        <w:t xml:space="preserve">from </w:t>
      </w:r>
      <w:r w:rsidRPr="001D5327">
        <w:rPr>
          <w:i/>
          <w:iCs/>
        </w:rPr>
        <w:t>Agricultural soils</w:t>
      </w:r>
    </w:p>
    <w:p w14:paraId="0A412317" w14:textId="77777777" w:rsidR="00590FE1" w:rsidRPr="001D5327" w:rsidRDefault="00590FE1">
      <w:pPr>
        <w:pStyle w:val="Bullet"/>
        <w:numPr>
          <w:ilvl w:val="0"/>
          <w:numId w:val="27"/>
        </w:numPr>
      </w:pPr>
      <w:r w:rsidRPr="001D5327">
        <w:t>cultivation of organic soils (level and trend assessment): 11.6 per cent</w:t>
      </w:r>
      <w:r w:rsidRPr="001D5327" w:rsidDel="00C07FB2">
        <w:t xml:space="preserve"> </w:t>
      </w:r>
      <w:r w:rsidRPr="001D5327">
        <w:t xml:space="preserve">of emissions from </w:t>
      </w:r>
      <w:r w:rsidRPr="001D5327">
        <w:rPr>
          <w:i/>
          <w:iCs/>
        </w:rPr>
        <w:t>Agricultural soils</w:t>
      </w:r>
    </w:p>
    <w:p w14:paraId="7FEBEB70" w14:textId="77777777" w:rsidR="00590FE1" w:rsidRPr="001D5327" w:rsidRDefault="00590FE1">
      <w:pPr>
        <w:pStyle w:val="Bullet"/>
        <w:numPr>
          <w:ilvl w:val="0"/>
          <w:numId w:val="27"/>
        </w:numPr>
      </w:pPr>
      <w:r w:rsidRPr="001D5327">
        <w:t>atmospheric deposition (level assessment): 9.3 per cent</w:t>
      </w:r>
      <w:r w:rsidRPr="001D5327" w:rsidDel="00C07FB2">
        <w:t xml:space="preserve"> </w:t>
      </w:r>
      <w:r w:rsidRPr="001D5327">
        <w:t xml:space="preserve">of emissions from </w:t>
      </w:r>
      <w:r w:rsidRPr="001D5327">
        <w:rPr>
          <w:i/>
          <w:iCs/>
        </w:rPr>
        <w:t>Agricultural soils</w:t>
      </w:r>
    </w:p>
    <w:p w14:paraId="18B42FD6" w14:textId="77777777" w:rsidR="00590FE1" w:rsidRPr="001D5327" w:rsidRDefault="00590FE1">
      <w:pPr>
        <w:pStyle w:val="Bullet"/>
        <w:numPr>
          <w:ilvl w:val="0"/>
          <w:numId w:val="27"/>
        </w:numPr>
      </w:pPr>
      <w:r w:rsidRPr="001D5327">
        <w:t>nitrogen leaching and run-off (level assessment): 7.5 per cent</w:t>
      </w:r>
      <w:r w:rsidRPr="001D5327" w:rsidDel="00C07FB2">
        <w:t xml:space="preserve"> </w:t>
      </w:r>
      <w:r w:rsidRPr="001D5327">
        <w:t xml:space="preserve">of emissions from </w:t>
      </w:r>
      <w:r w:rsidRPr="001D5327">
        <w:rPr>
          <w:i/>
          <w:iCs/>
        </w:rPr>
        <w:t>Agricultural soils</w:t>
      </w:r>
      <w:r w:rsidRPr="001D5327">
        <w:t xml:space="preserve"> </w:t>
      </w:r>
    </w:p>
    <w:p w14:paraId="539BD9DE" w14:textId="77777777" w:rsidR="00590FE1" w:rsidRPr="001D5327" w:rsidRDefault="00590FE1">
      <w:pPr>
        <w:pStyle w:val="Bullet"/>
        <w:numPr>
          <w:ilvl w:val="0"/>
          <w:numId w:val="27"/>
        </w:numPr>
      </w:pPr>
      <w:r w:rsidRPr="001D5327">
        <w:t>crop residues (level assessment): 3.6 per cent</w:t>
      </w:r>
      <w:r w:rsidRPr="001D5327" w:rsidDel="00C07FB2">
        <w:t xml:space="preserve"> </w:t>
      </w:r>
      <w:r w:rsidRPr="001D5327">
        <w:t xml:space="preserve">of emissions from </w:t>
      </w:r>
      <w:r w:rsidRPr="001D5327">
        <w:rPr>
          <w:i/>
          <w:iCs/>
        </w:rPr>
        <w:t>Agricultural soils.</w:t>
      </w:r>
    </w:p>
    <w:p w14:paraId="1D01EB2C" w14:textId="77777777" w:rsidR="00590FE1" w:rsidRPr="001D5327" w:rsidRDefault="00590FE1" w:rsidP="00590FE1">
      <w:pPr>
        <w:pStyle w:val="Heading5"/>
      </w:pPr>
      <w:r w:rsidRPr="001D5327">
        <w:t>Trends</w:t>
      </w:r>
    </w:p>
    <w:p w14:paraId="6DA7C26F" w14:textId="77777777" w:rsidR="00590FE1" w:rsidRPr="001D5327" w:rsidRDefault="00590FE1" w:rsidP="00590FE1">
      <w:pPr>
        <w:pStyle w:val="BodyText"/>
      </w:pPr>
      <w:r w:rsidRPr="001D5327">
        <w:t xml:space="preserve">Emissions from </w:t>
      </w:r>
      <w:r w:rsidRPr="001D5327">
        <w:rPr>
          <w:i/>
          <w:iCs/>
        </w:rPr>
        <w:t xml:space="preserve">Agricultural soils </w:t>
      </w:r>
      <w:r w:rsidRPr="001D5327">
        <w:t>increased 36.9 per cent (1,717.3 kt CO</w:t>
      </w:r>
      <w:r w:rsidRPr="001D5327">
        <w:rPr>
          <w:vertAlign w:val="subscript"/>
        </w:rPr>
        <w:t>2</w:t>
      </w:r>
      <w:r w:rsidRPr="001D5327">
        <w:t xml:space="preserve">-e) between 1990 and 2023. Increases in the use of synthetic nitrogen fertiliser and in the dairy cattle population are the predominant drivers of increasing emissions from </w:t>
      </w:r>
      <w:r w:rsidRPr="001D5327">
        <w:rPr>
          <w:i/>
          <w:iCs/>
        </w:rPr>
        <w:t>Agricultural soils</w:t>
      </w:r>
      <w:r w:rsidRPr="001D5327">
        <w:t>, which have been partially offset by decreases in the sheep and non-dairy cattle populations.</w:t>
      </w:r>
    </w:p>
    <w:p w14:paraId="57DB1927" w14:textId="77777777" w:rsidR="00590FE1" w:rsidRPr="001D5327" w:rsidRDefault="00590FE1" w:rsidP="00590FE1">
      <w:pPr>
        <w:pStyle w:val="BodyText"/>
      </w:pPr>
      <w:r w:rsidRPr="001D5327">
        <w:t xml:space="preserve">Trends from 1990 and 2023 across the key categories in </w:t>
      </w:r>
      <w:r w:rsidRPr="001D5327">
        <w:rPr>
          <w:i/>
          <w:iCs/>
        </w:rPr>
        <w:t xml:space="preserve">Agricultural soils </w:t>
      </w:r>
      <w:r w:rsidRPr="001D5327">
        <w:t>are detailed below:</w:t>
      </w:r>
    </w:p>
    <w:p w14:paraId="0B60DEB0" w14:textId="77777777" w:rsidR="00590FE1" w:rsidRPr="001D5327" w:rsidRDefault="00590FE1">
      <w:pPr>
        <w:pStyle w:val="Bullet"/>
        <w:numPr>
          <w:ilvl w:val="0"/>
          <w:numId w:val="27"/>
        </w:numPr>
        <w:rPr>
          <w:spacing w:val="-2"/>
        </w:rPr>
      </w:pPr>
      <w:r w:rsidRPr="001D5327">
        <w:t>urine and dung deposited by grazing animals (pasture, range and paddock manure) (level and trend assessment): 18.9 per cent (501.5 kt CO</w:t>
      </w:r>
      <w:r w:rsidRPr="001D5327">
        <w:rPr>
          <w:vertAlign w:val="subscript"/>
        </w:rPr>
        <w:t>2</w:t>
      </w:r>
      <w:r w:rsidRPr="001D5327">
        <w:t>-e) increase</w:t>
      </w:r>
    </w:p>
    <w:p w14:paraId="1E4BC089" w14:textId="77777777" w:rsidR="00590FE1" w:rsidRPr="001D5327" w:rsidRDefault="00590FE1">
      <w:pPr>
        <w:pStyle w:val="Bullet"/>
        <w:numPr>
          <w:ilvl w:val="0"/>
          <w:numId w:val="27"/>
        </w:numPr>
        <w:rPr>
          <w:spacing w:val="-2"/>
        </w:rPr>
      </w:pPr>
      <w:r w:rsidRPr="001D5327">
        <w:t>direct emissions from synthetic nitrogen fertiliser (level and trend assessment): 441.9 per cent (905.1 kt CO</w:t>
      </w:r>
      <w:r w:rsidRPr="001D5327">
        <w:rPr>
          <w:vertAlign w:val="subscript"/>
        </w:rPr>
        <w:t>2</w:t>
      </w:r>
      <w:r w:rsidRPr="001D5327">
        <w:t>-e) increase</w:t>
      </w:r>
    </w:p>
    <w:p w14:paraId="5B25FCE4" w14:textId="77777777" w:rsidR="00590FE1" w:rsidRPr="001D5327" w:rsidRDefault="00590FE1">
      <w:pPr>
        <w:pStyle w:val="Bullet"/>
        <w:numPr>
          <w:ilvl w:val="0"/>
          <w:numId w:val="27"/>
        </w:numPr>
        <w:rPr>
          <w:spacing w:val="-2"/>
        </w:rPr>
      </w:pPr>
      <w:r w:rsidRPr="001D5327">
        <w:t>volatilisation (level assessment): 16.4 per cent (104.3 kt CO</w:t>
      </w:r>
      <w:r w:rsidRPr="001D5327">
        <w:rPr>
          <w:vertAlign w:val="subscript"/>
        </w:rPr>
        <w:t>2</w:t>
      </w:r>
      <w:r w:rsidRPr="001D5327">
        <w:t>-e) increase</w:t>
      </w:r>
    </w:p>
    <w:p w14:paraId="5B63AEB6" w14:textId="77777777" w:rsidR="00590FE1" w:rsidRPr="001D5327" w:rsidRDefault="00590FE1">
      <w:pPr>
        <w:pStyle w:val="Bullet"/>
        <w:numPr>
          <w:ilvl w:val="0"/>
          <w:numId w:val="27"/>
        </w:numPr>
        <w:rPr>
          <w:spacing w:val="-2"/>
        </w:rPr>
      </w:pPr>
      <w:r w:rsidRPr="001D5327">
        <w:t>management of organic soils (level and trend assessment): 1.2 per cent (6.9 kt CO</w:t>
      </w:r>
      <w:r w:rsidRPr="001D5327">
        <w:rPr>
          <w:vertAlign w:val="subscript"/>
        </w:rPr>
        <w:t>2</w:t>
      </w:r>
      <w:r w:rsidRPr="001D5327">
        <w:t>-e) increase</w:t>
      </w:r>
    </w:p>
    <w:p w14:paraId="1A326DF0" w14:textId="77777777" w:rsidR="00590FE1" w:rsidRPr="001D5327" w:rsidRDefault="00590FE1">
      <w:pPr>
        <w:pStyle w:val="Bullet"/>
        <w:numPr>
          <w:ilvl w:val="0"/>
          <w:numId w:val="27"/>
        </w:numPr>
        <w:rPr>
          <w:spacing w:val="-2"/>
        </w:rPr>
      </w:pPr>
      <w:r w:rsidRPr="001D5327">
        <w:t>leaching and runoff (level assessment): 21.3 per cent (83.5 kt CO</w:t>
      </w:r>
      <w:r w:rsidRPr="001D5327">
        <w:rPr>
          <w:vertAlign w:val="subscript"/>
        </w:rPr>
        <w:t>2</w:t>
      </w:r>
      <w:r w:rsidRPr="001D5327">
        <w:t>-e) increase</w:t>
      </w:r>
    </w:p>
    <w:p w14:paraId="1BB0404B" w14:textId="77777777" w:rsidR="00590FE1" w:rsidRPr="001D5327" w:rsidRDefault="00590FE1">
      <w:pPr>
        <w:pStyle w:val="Bullet"/>
        <w:numPr>
          <w:ilvl w:val="0"/>
          <w:numId w:val="27"/>
        </w:numPr>
        <w:rPr>
          <w:spacing w:val="-2"/>
        </w:rPr>
      </w:pPr>
      <w:r w:rsidRPr="001D5327">
        <w:t>crop residues (level assessment): 47.4 per cent (74.0 kt CO</w:t>
      </w:r>
      <w:r w:rsidRPr="001D5327">
        <w:rPr>
          <w:vertAlign w:val="subscript"/>
        </w:rPr>
        <w:t>2</w:t>
      </w:r>
      <w:r w:rsidRPr="001D5327">
        <w:t>-e) increase.</w:t>
      </w:r>
    </w:p>
    <w:p w14:paraId="539F4840" w14:textId="77777777" w:rsidR="00590FE1" w:rsidRPr="001D5327" w:rsidRDefault="00590FE1" w:rsidP="00590FE1">
      <w:pPr>
        <w:pStyle w:val="BodyText"/>
      </w:pPr>
      <w:r w:rsidRPr="001D5327">
        <w:t>Table 5.5.1 shows the trends and relative contribution of N</w:t>
      </w:r>
      <w:r w:rsidRPr="001D5327">
        <w:rPr>
          <w:vertAlign w:val="subscript"/>
        </w:rPr>
        <w:t>2</w:t>
      </w:r>
      <w:r w:rsidRPr="001D5327">
        <w:t>O emissions from these categories between 1990 and 2023.</w:t>
      </w:r>
    </w:p>
    <w:p w14:paraId="20A39246" w14:textId="77777777" w:rsidR="00590FE1" w:rsidRPr="001D5327" w:rsidRDefault="00590FE1" w:rsidP="00590FE1">
      <w:pPr>
        <w:pStyle w:val="Table"/>
        <w:rPr>
          <w:rFonts w:cs="Calibri"/>
        </w:rPr>
      </w:pPr>
      <w:bookmarkStart w:id="1100" w:name="_Toc481751521"/>
      <w:bookmarkStart w:id="1101" w:name="_Toc507158609"/>
      <w:bookmarkStart w:id="1102" w:name="_Toc511116743"/>
      <w:bookmarkStart w:id="1103" w:name="_Toc5269485"/>
      <w:bookmarkStart w:id="1104" w:name="_Toc32570927"/>
      <w:bookmarkStart w:id="1105" w:name="_Toc36224562"/>
      <w:bookmarkStart w:id="1106" w:name="_Toc68786447"/>
      <w:bookmarkStart w:id="1107" w:name="_Toc95574080"/>
      <w:bookmarkStart w:id="1108" w:name="_Toc127458267"/>
      <w:bookmarkStart w:id="1109" w:name="_Toc131591363"/>
      <w:bookmarkStart w:id="1110" w:name="_Toc160114457"/>
      <w:bookmarkStart w:id="1111" w:name="_Toc164153853"/>
      <w:bookmarkStart w:id="1112" w:name="_Toc194241725"/>
      <w:r w:rsidRPr="001D5327">
        <w:rPr>
          <w:rFonts w:cs="Calibri"/>
        </w:rPr>
        <w:lastRenderedPageBreak/>
        <w:t>Table 5.5.1</w:t>
      </w:r>
      <w:r w:rsidRPr="001D5327">
        <w:rPr>
          <w:rFonts w:cs="Calibri"/>
        </w:rPr>
        <w:tab/>
        <w:t xml:space="preserve">Trends and relative contribution of nitrous oxide emissions from </w:t>
      </w:r>
      <w:r w:rsidRPr="001D5327">
        <w:rPr>
          <w:rFonts w:cs="Calibri"/>
          <w:i/>
          <w:iCs/>
        </w:rPr>
        <w:t>Agricultural soils</w:t>
      </w:r>
      <w:r w:rsidRPr="001D5327">
        <w:rPr>
          <w:rFonts w:cs="Calibri"/>
        </w:rPr>
        <w:t xml:space="preserve"> categories between 1990 and </w:t>
      </w:r>
      <w:bookmarkEnd w:id="1100"/>
      <w:bookmarkEnd w:id="1101"/>
      <w:bookmarkEnd w:id="1102"/>
      <w:bookmarkEnd w:id="1103"/>
      <w:bookmarkEnd w:id="1104"/>
      <w:bookmarkEnd w:id="1105"/>
      <w:bookmarkEnd w:id="1106"/>
      <w:bookmarkEnd w:id="1107"/>
      <w:r w:rsidRPr="001D5327">
        <w:rPr>
          <w:rFonts w:cs="Calibri"/>
        </w:rPr>
        <w:t>202</w:t>
      </w:r>
      <w:bookmarkEnd w:id="1108"/>
      <w:bookmarkEnd w:id="1109"/>
      <w:bookmarkEnd w:id="1110"/>
      <w:bookmarkEnd w:id="1111"/>
      <w:r w:rsidRPr="001D5327">
        <w:rPr>
          <w:rFonts w:cs="Calibri"/>
        </w:rPr>
        <w:t>3</w:t>
      </w:r>
      <w:bookmarkEnd w:id="1112"/>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816"/>
        <w:gridCol w:w="2445"/>
        <w:gridCol w:w="708"/>
        <w:gridCol w:w="722"/>
        <w:gridCol w:w="854"/>
        <w:gridCol w:w="712"/>
        <w:gridCol w:w="1095"/>
        <w:gridCol w:w="1153"/>
      </w:tblGrid>
      <w:tr w:rsidR="00590FE1" w:rsidRPr="001D5327" w14:paraId="64C25D6F" w14:textId="77777777" w:rsidTr="00403787">
        <w:trPr>
          <w:tblHeader/>
        </w:trPr>
        <w:tc>
          <w:tcPr>
            <w:tcW w:w="3261" w:type="dxa"/>
            <w:gridSpan w:val="2"/>
            <w:tcBorders>
              <w:top w:val="single" w:sz="4" w:space="0" w:color="1B556B" w:themeColor="text2"/>
              <w:left w:val="nil"/>
              <w:bottom w:val="nil"/>
              <w:right w:val="nil"/>
            </w:tcBorders>
            <w:shd w:val="clear" w:color="auto" w:fill="1B556B"/>
            <w:vAlign w:val="bottom"/>
          </w:tcPr>
          <w:p w14:paraId="3E2F44CC" w14:textId="77777777" w:rsidR="00590FE1" w:rsidRPr="001D5327" w:rsidRDefault="00590FE1" w:rsidP="00403787">
            <w:pPr>
              <w:pStyle w:val="TableTextBold"/>
              <w:keepNext/>
              <w:spacing w:before="40" w:after="40"/>
              <w:rPr>
                <w:noProof w:val="0"/>
                <w:color w:val="FFFFFF" w:themeColor="background1"/>
                <w:szCs w:val="16"/>
              </w:rPr>
            </w:pPr>
          </w:p>
        </w:tc>
        <w:tc>
          <w:tcPr>
            <w:tcW w:w="1430" w:type="dxa"/>
            <w:gridSpan w:val="2"/>
            <w:tcBorders>
              <w:top w:val="single" w:sz="4" w:space="0" w:color="1B556B" w:themeColor="text2"/>
              <w:left w:val="nil"/>
              <w:bottom w:val="nil"/>
              <w:right w:val="nil"/>
            </w:tcBorders>
            <w:shd w:val="clear" w:color="auto" w:fill="1B556B"/>
            <w:vAlign w:val="bottom"/>
          </w:tcPr>
          <w:p w14:paraId="366F16E2" w14:textId="77777777" w:rsidR="00590FE1" w:rsidRPr="001D5327" w:rsidRDefault="00590FE1" w:rsidP="00217AD5">
            <w:pPr>
              <w:pStyle w:val="TableTextBold"/>
              <w:keepNext/>
              <w:spacing w:before="40" w:after="40"/>
              <w:jc w:val="center"/>
              <w:rPr>
                <w:noProof w:val="0"/>
                <w:color w:val="FFFFFF" w:themeColor="background1"/>
                <w:szCs w:val="16"/>
              </w:rPr>
            </w:pPr>
            <w:r w:rsidRPr="001D5327">
              <w:rPr>
                <w:noProof w:val="0"/>
                <w:color w:val="FFFFFF" w:themeColor="background1"/>
                <w:szCs w:val="16"/>
              </w:rPr>
              <w:t xml:space="preserve">Emissions </w:t>
            </w:r>
            <w:r w:rsidRPr="001D5327">
              <w:rPr>
                <w:noProof w:val="0"/>
                <w:color w:val="FFFFFF" w:themeColor="background1"/>
                <w:szCs w:val="16"/>
              </w:rPr>
              <w:br/>
              <w:t>(kt CO</w:t>
            </w:r>
            <w:r w:rsidRPr="001D5327">
              <w:rPr>
                <w:noProof w:val="0"/>
                <w:color w:val="FFFFFF" w:themeColor="background1"/>
                <w:szCs w:val="16"/>
                <w:vertAlign w:val="subscript"/>
              </w:rPr>
              <w:t>2</w:t>
            </w:r>
            <w:r w:rsidRPr="001D5327">
              <w:rPr>
                <w:noProof w:val="0"/>
                <w:color w:val="FFFFFF" w:themeColor="background1"/>
                <w:szCs w:val="16"/>
              </w:rPr>
              <w:t>-e)</w:t>
            </w:r>
          </w:p>
        </w:tc>
        <w:tc>
          <w:tcPr>
            <w:tcW w:w="1566" w:type="dxa"/>
            <w:gridSpan w:val="2"/>
            <w:tcBorders>
              <w:top w:val="single" w:sz="4" w:space="0" w:color="1B556B" w:themeColor="text2"/>
              <w:left w:val="nil"/>
              <w:bottom w:val="nil"/>
              <w:right w:val="nil"/>
            </w:tcBorders>
            <w:shd w:val="clear" w:color="auto" w:fill="1B556B"/>
            <w:vAlign w:val="bottom"/>
          </w:tcPr>
          <w:p w14:paraId="5ECDAE99" w14:textId="77777777" w:rsidR="00590FE1" w:rsidRPr="001D5327" w:rsidRDefault="00590FE1" w:rsidP="00217AD5">
            <w:pPr>
              <w:pStyle w:val="TableTextBold"/>
              <w:keepNext/>
              <w:spacing w:before="40" w:after="40"/>
              <w:jc w:val="center"/>
              <w:rPr>
                <w:noProof w:val="0"/>
                <w:color w:val="FFFFFF" w:themeColor="background1"/>
                <w:szCs w:val="16"/>
              </w:rPr>
            </w:pPr>
            <w:r w:rsidRPr="001D5327">
              <w:rPr>
                <w:noProof w:val="0"/>
                <w:color w:val="FFFFFF" w:themeColor="background1"/>
                <w:szCs w:val="16"/>
              </w:rPr>
              <w:t xml:space="preserve">Change from </w:t>
            </w:r>
            <w:r w:rsidRPr="001D5327">
              <w:rPr>
                <w:noProof w:val="0"/>
                <w:color w:val="FFFFFF" w:themeColor="background1"/>
                <w:szCs w:val="16"/>
              </w:rPr>
              <w:br/>
              <w:t>1990–2023</w:t>
            </w:r>
          </w:p>
        </w:tc>
        <w:tc>
          <w:tcPr>
            <w:tcW w:w="1095" w:type="dxa"/>
            <w:tcBorders>
              <w:top w:val="single" w:sz="4" w:space="0" w:color="1B556B" w:themeColor="text2"/>
              <w:left w:val="nil"/>
              <w:bottom w:val="nil"/>
              <w:right w:val="nil"/>
            </w:tcBorders>
            <w:shd w:val="clear" w:color="auto" w:fill="1B556B"/>
            <w:vAlign w:val="bottom"/>
          </w:tcPr>
          <w:p w14:paraId="13AFFCE6" w14:textId="77777777" w:rsidR="00590FE1" w:rsidRPr="001D5327" w:rsidRDefault="00590FE1" w:rsidP="00217AD5">
            <w:pPr>
              <w:pStyle w:val="TableTextBold"/>
              <w:keepNext/>
              <w:spacing w:before="40" w:after="40"/>
              <w:jc w:val="center"/>
              <w:rPr>
                <w:noProof w:val="0"/>
                <w:color w:val="FFFFFF" w:themeColor="background1"/>
                <w:szCs w:val="16"/>
              </w:rPr>
            </w:pPr>
            <w:r w:rsidRPr="001D5327">
              <w:rPr>
                <w:noProof w:val="0"/>
                <w:color w:val="FFFFFF" w:themeColor="background1"/>
                <w:szCs w:val="16"/>
              </w:rPr>
              <w:t xml:space="preserve">Share of </w:t>
            </w:r>
            <w:r w:rsidRPr="001D5327">
              <w:rPr>
                <w:noProof w:val="0"/>
                <w:color w:val="FFFFFF" w:themeColor="background1"/>
                <w:szCs w:val="16"/>
              </w:rPr>
              <w:br/>
              <w:t>Agricultural soils category</w:t>
            </w:r>
          </w:p>
        </w:tc>
        <w:tc>
          <w:tcPr>
            <w:tcW w:w="1153" w:type="dxa"/>
            <w:tcBorders>
              <w:top w:val="single" w:sz="4" w:space="0" w:color="1B556B" w:themeColor="text2"/>
              <w:left w:val="nil"/>
              <w:bottom w:val="nil"/>
              <w:right w:val="nil"/>
            </w:tcBorders>
            <w:shd w:val="clear" w:color="auto" w:fill="1B556B"/>
            <w:vAlign w:val="bottom"/>
          </w:tcPr>
          <w:p w14:paraId="6185CACF" w14:textId="0FECF5D1" w:rsidR="00590FE1" w:rsidRPr="001D5327" w:rsidRDefault="00590FE1" w:rsidP="00217AD5">
            <w:pPr>
              <w:pStyle w:val="TableTextBold"/>
              <w:keepNext/>
              <w:spacing w:before="40" w:after="40"/>
              <w:jc w:val="center"/>
              <w:rPr>
                <w:noProof w:val="0"/>
                <w:color w:val="FFFFFF" w:themeColor="background1"/>
                <w:szCs w:val="16"/>
              </w:rPr>
            </w:pPr>
            <w:r w:rsidRPr="001D5327">
              <w:rPr>
                <w:noProof w:val="0"/>
                <w:color w:val="FFFFFF" w:themeColor="background1"/>
                <w:szCs w:val="16"/>
              </w:rPr>
              <w:t xml:space="preserve">Share of total </w:t>
            </w:r>
            <w:r w:rsidRPr="001D5327">
              <w:rPr>
                <w:noProof w:val="0"/>
                <w:color w:val="FFFFFF" w:themeColor="background1"/>
                <w:szCs w:val="16"/>
              </w:rPr>
              <w:br/>
              <w:t>Agriculture sector</w:t>
            </w:r>
          </w:p>
        </w:tc>
      </w:tr>
      <w:tr w:rsidR="00590FE1" w:rsidRPr="001D5327" w14:paraId="055EBAFC" w14:textId="77777777" w:rsidTr="00403787">
        <w:trPr>
          <w:tblHeader/>
        </w:trPr>
        <w:tc>
          <w:tcPr>
            <w:tcW w:w="3261" w:type="dxa"/>
            <w:gridSpan w:val="2"/>
            <w:tcBorders>
              <w:top w:val="nil"/>
              <w:left w:val="nil"/>
              <w:bottom w:val="single" w:sz="4" w:space="0" w:color="1B556B" w:themeColor="text2"/>
              <w:right w:val="nil"/>
            </w:tcBorders>
            <w:shd w:val="clear" w:color="auto" w:fill="1B556B"/>
          </w:tcPr>
          <w:p w14:paraId="0F875D4B" w14:textId="77777777" w:rsidR="00590FE1" w:rsidRPr="001D5327" w:rsidRDefault="00590FE1" w:rsidP="00403787">
            <w:pPr>
              <w:pStyle w:val="TableTextBold"/>
              <w:keepNext/>
              <w:spacing w:before="40" w:after="40"/>
              <w:rPr>
                <w:noProof w:val="0"/>
                <w:color w:val="FFFFFF" w:themeColor="background1"/>
                <w:szCs w:val="16"/>
              </w:rPr>
            </w:pPr>
            <w:r w:rsidRPr="001D5327">
              <w:rPr>
                <w:noProof w:val="0"/>
                <w:color w:val="FFFFFF" w:themeColor="background1"/>
                <w:szCs w:val="16"/>
              </w:rPr>
              <w:t>Agricultural soils category</w:t>
            </w:r>
          </w:p>
        </w:tc>
        <w:tc>
          <w:tcPr>
            <w:tcW w:w="708" w:type="dxa"/>
            <w:tcBorders>
              <w:top w:val="nil"/>
              <w:left w:val="nil"/>
              <w:bottom w:val="single" w:sz="4" w:space="0" w:color="1B556B" w:themeColor="text2"/>
              <w:right w:val="nil"/>
            </w:tcBorders>
            <w:shd w:val="clear" w:color="auto" w:fill="1B556B"/>
            <w:vAlign w:val="bottom"/>
          </w:tcPr>
          <w:p w14:paraId="5712C449"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1990</w:t>
            </w:r>
          </w:p>
        </w:tc>
        <w:tc>
          <w:tcPr>
            <w:tcW w:w="722" w:type="dxa"/>
            <w:tcBorders>
              <w:top w:val="nil"/>
              <w:left w:val="nil"/>
              <w:bottom w:val="single" w:sz="4" w:space="0" w:color="1B556B" w:themeColor="text2"/>
              <w:right w:val="nil"/>
            </w:tcBorders>
            <w:shd w:val="clear" w:color="auto" w:fill="1B556B"/>
            <w:vAlign w:val="bottom"/>
          </w:tcPr>
          <w:p w14:paraId="06010DA6"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2023</w:t>
            </w:r>
          </w:p>
        </w:tc>
        <w:tc>
          <w:tcPr>
            <w:tcW w:w="854" w:type="dxa"/>
            <w:tcBorders>
              <w:top w:val="nil"/>
              <w:left w:val="nil"/>
              <w:bottom w:val="single" w:sz="4" w:space="0" w:color="1B556B" w:themeColor="text2"/>
              <w:right w:val="nil"/>
            </w:tcBorders>
            <w:shd w:val="clear" w:color="auto" w:fill="1B556B"/>
            <w:vAlign w:val="bottom"/>
          </w:tcPr>
          <w:p w14:paraId="717546B5"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kt CO</w:t>
            </w:r>
            <w:r w:rsidRPr="001D5327">
              <w:rPr>
                <w:noProof w:val="0"/>
                <w:color w:val="FFFFFF" w:themeColor="background1"/>
                <w:szCs w:val="16"/>
                <w:vertAlign w:val="subscript"/>
              </w:rPr>
              <w:t>2</w:t>
            </w:r>
            <w:r w:rsidRPr="001D5327">
              <w:rPr>
                <w:noProof w:val="0"/>
                <w:color w:val="FFFFFF" w:themeColor="background1"/>
                <w:szCs w:val="16"/>
              </w:rPr>
              <w:t>-e</w:t>
            </w:r>
          </w:p>
        </w:tc>
        <w:tc>
          <w:tcPr>
            <w:tcW w:w="712" w:type="dxa"/>
            <w:tcBorders>
              <w:top w:val="nil"/>
              <w:left w:val="nil"/>
              <w:bottom w:val="single" w:sz="4" w:space="0" w:color="1B556B" w:themeColor="text2"/>
              <w:right w:val="nil"/>
            </w:tcBorders>
            <w:shd w:val="clear" w:color="auto" w:fill="1B556B"/>
            <w:vAlign w:val="bottom"/>
          </w:tcPr>
          <w:p w14:paraId="3B2690CE"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w:t>
            </w:r>
          </w:p>
        </w:tc>
        <w:tc>
          <w:tcPr>
            <w:tcW w:w="1095" w:type="dxa"/>
            <w:tcBorders>
              <w:top w:val="nil"/>
              <w:left w:val="nil"/>
              <w:bottom w:val="single" w:sz="4" w:space="0" w:color="1B556B" w:themeColor="text2"/>
              <w:right w:val="nil"/>
            </w:tcBorders>
            <w:shd w:val="clear" w:color="auto" w:fill="1B556B"/>
            <w:vAlign w:val="bottom"/>
          </w:tcPr>
          <w:p w14:paraId="518DFCD6"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2023(%)</w:t>
            </w:r>
          </w:p>
        </w:tc>
        <w:tc>
          <w:tcPr>
            <w:tcW w:w="1153" w:type="dxa"/>
            <w:tcBorders>
              <w:top w:val="nil"/>
              <w:left w:val="nil"/>
              <w:bottom w:val="single" w:sz="4" w:space="0" w:color="1B556B" w:themeColor="text2"/>
              <w:right w:val="nil"/>
            </w:tcBorders>
            <w:shd w:val="clear" w:color="auto" w:fill="1B556B"/>
            <w:vAlign w:val="bottom"/>
          </w:tcPr>
          <w:p w14:paraId="4F297AF4"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2023 (%)</w:t>
            </w:r>
          </w:p>
        </w:tc>
      </w:tr>
      <w:tr w:rsidR="00590FE1" w:rsidRPr="001D5327" w14:paraId="1F44CB60" w14:textId="77777777" w:rsidTr="00403787">
        <w:tc>
          <w:tcPr>
            <w:tcW w:w="816" w:type="dxa"/>
            <w:vMerge w:val="restart"/>
            <w:tcBorders>
              <w:top w:val="single" w:sz="4" w:space="0" w:color="1B556B" w:themeColor="text2"/>
              <w:left w:val="nil"/>
              <w:right w:val="nil"/>
            </w:tcBorders>
            <w:shd w:val="clear" w:color="auto" w:fill="auto"/>
          </w:tcPr>
          <w:p w14:paraId="1E380EF2" w14:textId="77777777" w:rsidR="00590FE1" w:rsidRPr="001D5327" w:rsidRDefault="00590FE1" w:rsidP="00403787">
            <w:pPr>
              <w:pStyle w:val="TableText"/>
              <w:keepNext/>
              <w:spacing w:before="40" w:after="40"/>
              <w:rPr>
                <w:rFonts w:cs="Calibri"/>
                <w:szCs w:val="16"/>
              </w:rPr>
            </w:pPr>
            <w:r w:rsidRPr="001D5327">
              <w:rPr>
                <w:rFonts w:cs="Calibri"/>
                <w:szCs w:val="16"/>
              </w:rPr>
              <w:t>Direct</w:t>
            </w:r>
          </w:p>
        </w:tc>
        <w:tc>
          <w:tcPr>
            <w:tcW w:w="2445" w:type="dxa"/>
            <w:tcBorders>
              <w:top w:val="single" w:sz="4" w:space="0" w:color="1B556B" w:themeColor="text2"/>
              <w:left w:val="nil"/>
              <w:bottom w:val="single" w:sz="4" w:space="0" w:color="1B556B"/>
              <w:right w:val="nil"/>
            </w:tcBorders>
            <w:shd w:val="clear" w:color="auto" w:fill="auto"/>
            <w:vAlign w:val="bottom"/>
          </w:tcPr>
          <w:p w14:paraId="67A212A2" w14:textId="77777777" w:rsidR="00590FE1" w:rsidRPr="001D5327" w:rsidRDefault="00590FE1" w:rsidP="00403787">
            <w:pPr>
              <w:pStyle w:val="TableText"/>
              <w:keepNext/>
              <w:spacing w:before="40" w:after="40"/>
              <w:rPr>
                <w:rFonts w:cs="Calibri"/>
                <w:szCs w:val="16"/>
              </w:rPr>
            </w:pPr>
            <w:r w:rsidRPr="001D5327">
              <w:rPr>
                <w:rFonts w:cs="Calibri"/>
                <w:szCs w:val="16"/>
              </w:rPr>
              <w:t>Synthetic nitrogen fertilisers</w:t>
            </w:r>
          </w:p>
        </w:tc>
        <w:tc>
          <w:tcPr>
            <w:tcW w:w="708" w:type="dxa"/>
            <w:tcBorders>
              <w:top w:val="single" w:sz="4" w:space="0" w:color="1B556B" w:themeColor="text2"/>
              <w:left w:val="nil"/>
              <w:bottom w:val="single" w:sz="4" w:space="0" w:color="1B556B"/>
              <w:right w:val="nil"/>
            </w:tcBorders>
            <w:shd w:val="clear" w:color="auto" w:fill="auto"/>
          </w:tcPr>
          <w:p w14:paraId="4FB1BDF2" w14:textId="77777777" w:rsidR="00590FE1" w:rsidRPr="001D5327" w:rsidRDefault="00590FE1" w:rsidP="00403787">
            <w:pPr>
              <w:pStyle w:val="TableText"/>
              <w:keepNext/>
              <w:spacing w:before="40" w:after="40"/>
              <w:jc w:val="right"/>
              <w:rPr>
                <w:rFonts w:cs="Calibri"/>
                <w:szCs w:val="16"/>
              </w:rPr>
            </w:pPr>
            <w:r w:rsidRPr="001D5327">
              <w:t xml:space="preserve"> 204.8 </w:t>
            </w:r>
          </w:p>
        </w:tc>
        <w:tc>
          <w:tcPr>
            <w:tcW w:w="722" w:type="dxa"/>
            <w:tcBorders>
              <w:top w:val="single" w:sz="4" w:space="0" w:color="1B556B" w:themeColor="text2"/>
              <w:left w:val="nil"/>
              <w:bottom w:val="single" w:sz="4" w:space="0" w:color="1B556B"/>
              <w:right w:val="nil"/>
            </w:tcBorders>
            <w:shd w:val="clear" w:color="auto" w:fill="auto"/>
          </w:tcPr>
          <w:p w14:paraId="70D0D8BC" w14:textId="77777777" w:rsidR="00590FE1" w:rsidRPr="001D5327" w:rsidRDefault="00590FE1" w:rsidP="00403787">
            <w:pPr>
              <w:pStyle w:val="TableText"/>
              <w:keepNext/>
              <w:spacing w:before="40" w:after="40"/>
              <w:jc w:val="right"/>
              <w:rPr>
                <w:rFonts w:cs="Calibri"/>
                <w:szCs w:val="16"/>
              </w:rPr>
            </w:pPr>
            <w:bookmarkStart w:id="1113" w:name="_Hlk183433199"/>
            <w:r w:rsidRPr="001D5327">
              <w:t xml:space="preserve"> 1,109.9</w:t>
            </w:r>
            <w:bookmarkEnd w:id="1113"/>
            <w:r w:rsidRPr="001D5327">
              <w:t xml:space="preserve"> </w:t>
            </w:r>
          </w:p>
        </w:tc>
        <w:tc>
          <w:tcPr>
            <w:tcW w:w="854" w:type="dxa"/>
            <w:tcBorders>
              <w:top w:val="single" w:sz="4" w:space="0" w:color="1B556B" w:themeColor="text2"/>
              <w:left w:val="nil"/>
              <w:bottom w:val="single" w:sz="4" w:space="0" w:color="1B556B"/>
              <w:right w:val="nil"/>
            </w:tcBorders>
            <w:shd w:val="clear" w:color="auto" w:fill="auto"/>
          </w:tcPr>
          <w:p w14:paraId="17178CC0" w14:textId="77777777" w:rsidR="00590FE1" w:rsidRPr="001D5327" w:rsidRDefault="00590FE1" w:rsidP="00403787">
            <w:pPr>
              <w:pStyle w:val="TableText"/>
              <w:keepNext/>
              <w:spacing w:before="40" w:after="40"/>
              <w:jc w:val="right"/>
              <w:rPr>
                <w:rFonts w:cs="Calibri"/>
                <w:szCs w:val="16"/>
              </w:rPr>
            </w:pPr>
            <w:r w:rsidRPr="001D5327">
              <w:t xml:space="preserve"> 905.1 </w:t>
            </w:r>
          </w:p>
        </w:tc>
        <w:tc>
          <w:tcPr>
            <w:tcW w:w="712" w:type="dxa"/>
            <w:tcBorders>
              <w:top w:val="single" w:sz="4" w:space="0" w:color="1B556B" w:themeColor="text2"/>
              <w:left w:val="nil"/>
              <w:bottom w:val="single" w:sz="4" w:space="0" w:color="1B556B"/>
              <w:right w:val="nil"/>
            </w:tcBorders>
            <w:shd w:val="clear" w:color="auto" w:fill="auto"/>
          </w:tcPr>
          <w:p w14:paraId="7D7F5D51" w14:textId="77777777" w:rsidR="00590FE1" w:rsidRPr="001D5327" w:rsidRDefault="00590FE1" w:rsidP="00403787">
            <w:pPr>
              <w:pStyle w:val="TableText"/>
              <w:keepNext/>
              <w:spacing w:before="40" w:after="40"/>
              <w:jc w:val="right"/>
              <w:rPr>
                <w:rFonts w:cs="Calibri"/>
                <w:szCs w:val="16"/>
              </w:rPr>
            </w:pPr>
            <w:r w:rsidRPr="001D5327">
              <w:t xml:space="preserve"> 441.9 </w:t>
            </w:r>
          </w:p>
        </w:tc>
        <w:tc>
          <w:tcPr>
            <w:tcW w:w="1095" w:type="dxa"/>
            <w:tcBorders>
              <w:top w:val="single" w:sz="4" w:space="0" w:color="1B556B" w:themeColor="text2"/>
              <w:left w:val="nil"/>
              <w:bottom w:val="single" w:sz="4" w:space="0" w:color="1B556B"/>
              <w:right w:val="nil"/>
            </w:tcBorders>
            <w:shd w:val="clear" w:color="auto" w:fill="auto"/>
          </w:tcPr>
          <w:p w14:paraId="1A2BD5C7" w14:textId="77777777" w:rsidR="00590FE1" w:rsidRPr="001D5327" w:rsidRDefault="00590FE1" w:rsidP="00403787">
            <w:pPr>
              <w:pStyle w:val="TableText"/>
              <w:keepNext/>
              <w:spacing w:before="40" w:after="40"/>
              <w:jc w:val="right"/>
              <w:rPr>
                <w:rFonts w:cs="Calibri"/>
                <w:szCs w:val="16"/>
              </w:rPr>
            </w:pPr>
            <w:r w:rsidRPr="001D5327">
              <w:t xml:space="preserve"> 17.4 </w:t>
            </w:r>
          </w:p>
        </w:tc>
        <w:tc>
          <w:tcPr>
            <w:tcW w:w="1153" w:type="dxa"/>
            <w:tcBorders>
              <w:top w:val="single" w:sz="4" w:space="0" w:color="1B556B" w:themeColor="text2"/>
              <w:left w:val="nil"/>
              <w:bottom w:val="single" w:sz="4" w:space="0" w:color="1B556B"/>
              <w:right w:val="nil"/>
            </w:tcBorders>
            <w:shd w:val="clear" w:color="auto" w:fill="auto"/>
          </w:tcPr>
          <w:p w14:paraId="1EB4F5C2" w14:textId="77777777" w:rsidR="00590FE1" w:rsidRPr="001D5327" w:rsidRDefault="00590FE1" w:rsidP="00403787">
            <w:pPr>
              <w:pStyle w:val="TableText"/>
              <w:keepNext/>
              <w:spacing w:before="40" w:after="40"/>
              <w:jc w:val="right"/>
              <w:rPr>
                <w:rFonts w:cs="Calibri"/>
                <w:szCs w:val="16"/>
              </w:rPr>
            </w:pPr>
            <w:r w:rsidRPr="001D5327">
              <w:t xml:space="preserve"> 2.7 </w:t>
            </w:r>
          </w:p>
        </w:tc>
      </w:tr>
      <w:tr w:rsidR="00590FE1" w:rsidRPr="001D5327" w14:paraId="23F87A04" w14:textId="77777777" w:rsidTr="00403787">
        <w:tc>
          <w:tcPr>
            <w:tcW w:w="816" w:type="dxa"/>
            <w:vMerge/>
            <w:tcBorders>
              <w:left w:val="nil"/>
              <w:right w:val="nil"/>
            </w:tcBorders>
            <w:shd w:val="clear" w:color="auto" w:fill="auto"/>
          </w:tcPr>
          <w:p w14:paraId="2D3AE8AF" w14:textId="77777777" w:rsidR="00590FE1" w:rsidRPr="001D5327" w:rsidRDefault="00590FE1" w:rsidP="00403787">
            <w:pPr>
              <w:pStyle w:val="TableText"/>
              <w:spacing w:before="40" w:after="4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47FD4E00" w14:textId="77777777" w:rsidR="00590FE1" w:rsidRPr="001D5327" w:rsidRDefault="00590FE1" w:rsidP="00403787">
            <w:pPr>
              <w:pStyle w:val="TableText"/>
              <w:spacing w:before="40" w:after="40"/>
              <w:rPr>
                <w:rFonts w:cs="Calibri"/>
                <w:szCs w:val="16"/>
              </w:rPr>
            </w:pPr>
            <w:r w:rsidRPr="001D5327">
              <w:rPr>
                <w:rFonts w:cs="Calibri"/>
                <w:szCs w:val="16"/>
              </w:rPr>
              <w:t>Organic fertilisers</w:t>
            </w:r>
          </w:p>
        </w:tc>
        <w:tc>
          <w:tcPr>
            <w:tcW w:w="708" w:type="dxa"/>
            <w:tcBorders>
              <w:top w:val="single" w:sz="4" w:space="0" w:color="1B556B"/>
              <w:left w:val="nil"/>
              <w:bottom w:val="single" w:sz="4" w:space="0" w:color="1B556B"/>
              <w:right w:val="nil"/>
            </w:tcBorders>
            <w:shd w:val="clear" w:color="auto" w:fill="auto"/>
          </w:tcPr>
          <w:p w14:paraId="5BA63A54" w14:textId="77777777" w:rsidR="00590FE1" w:rsidRPr="001D5327" w:rsidRDefault="00590FE1" w:rsidP="00403787">
            <w:pPr>
              <w:pStyle w:val="TableText"/>
              <w:spacing w:before="40" w:after="40"/>
              <w:jc w:val="right"/>
              <w:rPr>
                <w:rFonts w:cs="Calibri"/>
                <w:szCs w:val="16"/>
              </w:rPr>
            </w:pPr>
            <w:r w:rsidRPr="001D5327">
              <w:t xml:space="preserve"> 31.4 </w:t>
            </w:r>
          </w:p>
        </w:tc>
        <w:tc>
          <w:tcPr>
            <w:tcW w:w="722" w:type="dxa"/>
            <w:tcBorders>
              <w:top w:val="single" w:sz="4" w:space="0" w:color="1B556B"/>
              <w:left w:val="nil"/>
              <w:bottom w:val="single" w:sz="4" w:space="0" w:color="1B556B"/>
              <w:right w:val="nil"/>
            </w:tcBorders>
            <w:shd w:val="clear" w:color="auto" w:fill="auto"/>
          </w:tcPr>
          <w:p w14:paraId="13188AAD" w14:textId="77777777" w:rsidR="00590FE1" w:rsidRPr="001D5327" w:rsidRDefault="00590FE1" w:rsidP="00403787">
            <w:pPr>
              <w:pStyle w:val="TableText"/>
              <w:spacing w:before="40" w:after="40"/>
              <w:jc w:val="right"/>
              <w:rPr>
                <w:rFonts w:cs="Calibri"/>
                <w:szCs w:val="16"/>
              </w:rPr>
            </w:pPr>
            <w:r w:rsidRPr="001D5327">
              <w:t xml:space="preserve"> 73.3 </w:t>
            </w:r>
          </w:p>
        </w:tc>
        <w:tc>
          <w:tcPr>
            <w:tcW w:w="854" w:type="dxa"/>
            <w:tcBorders>
              <w:top w:val="single" w:sz="4" w:space="0" w:color="1B556B"/>
              <w:left w:val="nil"/>
              <w:bottom w:val="single" w:sz="4" w:space="0" w:color="1B556B"/>
              <w:right w:val="nil"/>
            </w:tcBorders>
            <w:shd w:val="clear" w:color="auto" w:fill="auto"/>
          </w:tcPr>
          <w:p w14:paraId="2F8CC060" w14:textId="77777777" w:rsidR="00590FE1" w:rsidRPr="001D5327" w:rsidRDefault="00590FE1" w:rsidP="00403787">
            <w:pPr>
              <w:pStyle w:val="TableText"/>
              <w:spacing w:before="40" w:after="40"/>
              <w:jc w:val="right"/>
              <w:rPr>
                <w:rFonts w:cs="Calibri"/>
                <w:szCs w:val="16"/>
              </w:rPr>
            </w:pPr>
            <w:r w:rsidRPr="001D5327">
              <w:t xml:space="preserve"> 41.9 </w:t>
            </w:r>
          </w:p>
        </w:tc>
        <w:tc>
          <w:tcPr>
            <w:tcW w:w="712" w:type="dxa"/>
            <w:tcBorders>
              <w:top w:val="single" w:sz="4" w:space="0" w:color="1B556B"/>
              <w:left w:val="nil"/>
              <w:bottom w:val="single" w:sz="4" w:space="0" w:color="1B556B"/>
              <w:right w:val="nil"/>
            </w:tcBorders>
            <w:shd w:val="clear" w:color="auto" w:fill="auto"/>
          </w:tcPr>
          <w:p w14:paraId="45BCFF30" w14:textId="77777777" w:rsidR="00590FE1" w:rsidRPr="001D5327" w:rsidRDefault="00590FE1" w:rsidP="00403787">
            <w:pPr>
              <w:pStyle w:val="TableText"/>
              <w:spacing w:before="40" w:after="40"/>
              <w:jc w:val="right"/>
              <w:rPr>
                <w:rFonts w:cs="Calibri"/>
                <w:szCs w:val="16"/>
              </w:rPr>
            </w:pPr>
            <w:r w:rsidRPr="001D5327">
              <w:t xml:space="preserve"> 133.4 </w:t>
            </w:r>
          </w:p>
        </w:tc>
        <w:tc>
          <w:tcPr>
            <w:tcW w:w="1095" w:type="dxa"/>
            <w:tcBorders>
              <w:top w:val="single" w:sz="4" w:space="0" w:color="1B556B"/>
              <w:left w:val="nil"/>
              <w:bottom w:val="single" w:sz="4" w:space="0" w:color="1B556B"/>
              <w:right w:val="nil"/>
            </w:tcBorders>
            <w:shd w:val="clear" w:color="auto" w:fill="auto"/>
          </w:tcPr>
          <w:p w14:paraId="7E96A5E2" w14:textId="77777777" w:rsidR="00590FE1" w:rsidRPr="001D5327" w:rsidRDefault="00590FE1" w:rsidP="00403787">
            <w:pPr>
              <w:pStyle w:val="TableText"/>
              <w:spacing w:before="40" w:after="40"/>
              <w:jc w:val="right"/>
              <w:rPr>
                <w:rFonts w:cs="Calibri"/>
                <w:szCs w:val="16"/>
              </w:rPr>
            </w:pPr>
            <w:r w:rsidRPr="001D5327">
              <w:t xml:space="preserve"> 1.1 </w:t>
            </w:r>
          </w:p>
        </w:tc>
        <w:tc>
          <w:tcPr>
            <w:tcW w:w="1153" w:type="dxa"/>
            <w:tcBorders>
              <w:top w:val="single" w:sz="4" w:space="0" w:color="1B556B"/>
              <w:left w:val="nil"/>
              <w:bottom w:val="single" w:sz="4" w:space="0" w:color="1B556B"/>
              <w:right w:val="nil"/>
            </w:tcBorders>
            <w:shd w:val="clear" w:color="auto" w:fill="auto"/>
          </w:tcPr>
          <w:p w14:paraId="7466B9F2" w14:textId="77777777" w:rsidR="00590FE1" w:rsidRPr="001D5327" w:rsidRDefault="00590FE1" w:rsidP="00403787">
            <w:pPr>
              <w:pStyle w:val="TableText"/>
              <w:spacing w:before="40" w:after="40"/>
              <w:jc w:val="right"/>
              <w:rPr>
                <w:rFonts w:cs="Calibri"/>
                <w:szCs w:val="16"/>
              </w:rPr>
            </w:pPr>
            <w:r w:rsidRPr="001D5327">
              <w:t xml:space="preserve"> 0.2 </w:t>
            </w:r>
          </w:p>
        </w:tc>
      </w:tr>
      <w:tr w:rsidR="00590FE1" w:rsidRPr="001D5327" w14:paraId="225F777B" w14:textId="77777777" w:rsidTr="00403787">
        <w:tc>
          <w:tcPr>
            <w:tcW w:w="816" w:type="dxa"/>
            <w:vMerge/>
            <w:tcBorders>
              <w:left w:val="nil"/>
              <w:right w:val="nil"/>
            </w:tcBorders>
            <w:shd w:val="clear" w:color="auto" w:fill="auto"/>
          </w:tcPr>
          <w:p w14:paraId="0E6DC419" w14:textId="77777777" w:rsidR="00590FE1" w:rsidRPr="001D5327" w:rsidRDefault="00590FE1" w:rsidP="00403787">
            <w:pPr>
              <w:pStyle w:val="TableText"/>
              <w:spacing w:before="40" w:after="4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2408A1FD" w14:textId="77777777" w:rsidR="00590FE1" w:rsidRPr="001D5327" w:rsidRDefault="00590FE1" w:rsidP="00403787">
            <w:pPr>
              <w:pStyle w:val="TableText"/>
              <w:spacing w:before="40" w:after="40"/>
              <w:rPr>
                <w:rFonts w:cs="Calibri"/>
                <w:szCs w:val="16"/>
              </w:rPr>
            </w:pPr>
            <w:r w:rsidRPr="001D5327">
              <w:rPr>
                <w:rFonts w:cs="Calibri"/>
                <w:szCs w:val="16"/>
              </w:rPr>
              <w:t>Pasture, range and paddock manure</w:t>
            </w:r>
          </w:p>
        </w:tc>
        <w:tc>
          <w:tcPr>
            <w:tcW w:w="708" w:type="dxa"/>
            <w:tcBorders>
              <w:top w:val="single" w:sz="4" w:space="0" w:color="1B556B"/>
              <w:left w:val="nil"/>
              <w:bottom w:val="single" w:sz="4" w:space="0" w:color="1B556B"/>
              <w:right w:val="nil"/>
            </w:tcBorders>
            <w:shd w:val="clear" w:color="auto" w:fill="auto"/>
          </w:tcPr>
          <w:p w14:paraId="7A3B3582" w14:textId="77777777" w:rsidR="00590FE1" w:rsidRPr="001D5327" w:rsidRDefault="00590FE1" w:rsidP="00403787">
            <w:pPr>
              <w:pStyle w:val="TableText"/>
              <w:spacing w:before="40" w:after="40"/>
              <w:jc w:val="right"/>
              <w:rPr>
                <w:rFonts w:cs="Calibri"/>
                <w:szCs w:val="16"/>
              </w:rPr>
            </w:pPr>
            <w:r w:rsidRPr="001D5327">
              <w:t xml:space="preserve"> 2,650.3 </w:t>
            </w:r>
          </w:p>
        </w:tc>
        <w:tc>
          <w:tcPr>
            <w:tcW w:w="722" w:type="dxa"/>
            <w:tcBorders>
              <w:top w:val="single" w:sz="4" w:space="0" w:color="1B556B"/>
              <w:left w:val="nil"/>
              <w:bottom w:val="single" w:sz="4" w:space="0" w:color="1B556B"/>
              <w:right w:val="nil"/>
            </w:tcBorders>
            <w:shd w:val="clear" w:color="auto" w:fill="auto"/>
          </w:tcPr>
          <w:p w14:paraId="4C80AAD2" w14:textId="77777777" w:rsidR="00590FE1" w:rsidRPr="001D5327" w:rsidRDefault="00590FE1" w:rsidP="00403787">
            <w:pPr>
              <w:pStyle w:val="TableText"/>
              <w:spacing w:before="40" w:after="40"/>
              <w:jc w:val="right"/>
              <w:rPr>
                <w:rFonts w:cs="Calibri"/>
                <w:szCs w:val="16"/>
              </w:rPr>
            </w:pPr>
            <w:r w:rsidRPr="001D5327">
              <w:t xml:space="preserve"> 3,151.8 </w:t>
            </w:r>
          </w:p>
        </w:tc>
        <w:tc>
          <w:tcPr>
            <w:tcW w:w="854" w:type="dxa"/>
            <w:tcBorders>
              <w:top w:val="single" w:sz="4" w:space="0" w:color="1B556B"/>
              <w:left w:val="nil"/>
              <w:bottom w:val="single" w:sz="4" w:space="0" w:color="1B556B"/>
              <w:right w:val="nil"/>
            </w:tcBorders>
            <w:shd w:val="clear" w:color="auto" w:fill="auto"/>
          </w:tcPr>
          <w:p w14:paraId="7F261805" w14:textId="77777777" w:rsidR="00590FE1" w:rsidRPr="001D5327" w:rsidRDefault="00590FE1" w:rsidP="00403787">
            <w:pPr>
              <w:pStyle w:val="TableText"/>
              <w:spacing w:before="40" w:after="40"/>
              <w:jc w:val="right"/>
              <w:rPr>
                <w:rFonts w:cs="Calibri"/>
                <w:szCs w:val="16"/>
              </w:rPr>
            </w:pPr>
            <w:r w:rsidRPr="001D5327">
              <w:t xml:space="preserve"> 501.5 </w:t>
            </w:r>
          </w:p>
        </w:tc>
        <w:tc>
          <w:tcPr>
            <w:tcW w:w="712" w:type="dxa"/>
            <w:tcBorders>
              <w:top w:val="single" w:sz="4" w:space="0" w:color="1B556B"/>
              <w:left w:val="nil"/>
              <w:bottom w:val="single" w:sz="4" w:space="0" w:color="1B556B"/>
              <w:right w:val="nil"/>
            </w:tcBorders>
            <w:shd w:val="clear" w:color="auto" w:fill="auto"/>
          </w:tcPr>
          <w:p w14:paraId="737480EF" w14:textId="77777777" w:rsidR="00590FE1" w:rsidRPr="001D5327" w:rsidRDefault="00590FE1" w:rsidP="00403787">
            <w:pPr>
              <w:pStyle w:val="TableText"/>
              <w:spacing w:before="40" w:after="40"/>
              <w:jc w:val="right"/>
              <w:rPr>
                <w:rFonts w:cs="Calibri"/>
                <w:szCs w:val="16"/>
              </w:rPr>
            </w:pPr>
            <w:r w:rsidRPr="001D5327">
              <w:t xml:space="preserve"> 18.9 </w:t>
            </w:r>
          </w:p>
        </w:tc>
        <w:tc>
          <w:tcPr>
            <w:tcW w:w="1095" w:type="dxa"/>
            <w:tcBorders>
              <w:top w:val="single" w:sz="4" w:space="0" w:color="1B556B"/>
              <w:left w:val="nil"/>
              <w:bottom w:val="single" w:sz="4" w:space="0" w:color="1B556B"/>
              <w:right w:val="nil"/>
            </w:tcBorders>
            <w:shd w:val="clear" w:color="auto" w:fill="auto"/>
          </w:tcPr>
          <w:p w14:paraId="57833A3F" w14:textId="77777777" w:rsidR="00590FE1" w:rsidRPr="001D5327" w:rsidRDefault="00590FE1" w:rsidP="00403787">
            <w:pPr>
              <w:pStyle w:val="TableText"/>
              <w:spacing w:before="40" w:after="40"/>
              <w:jc w:val="right"/>
              <w:rPr>
                <w:rFonts w:cs="Calibri"/>
                <w:szCs w:val="16"/>
              </w:rPr>
            </w:pPr>
            <w:r w:rsidRPr="001D5327">
              <w:t xml:space="preserve"> 49.5 </w:t>
            </w:r>
          </w:p>
        </w:tc>
        <w:tc>
          <w:tcPr>
            <w:tcW w:w="1153" w:type="dxa"/>
            <w:tcBorders>
              <w:top w:val="single" w:sz="4" w:space="0" w:color="1B556B"/>
              <w:left w:val="nil"/>
              <w:bottom w:val="single" w:sz="4" w:space="0" w:color="1B556B"/>
              <w:right w:val="nil"/>
            </w:tcBorders>
            <w:shd w:val="clear" w:color="auto" w:fill="auto"/>
          </w:tcPr>
          <w:p w14:paraId="605E729A" w14:textId="77777777" w:rsidR="00590FE1" w:rsidRPr="001D5327" w:rsidRDefault="00590FE1" w:rsidP="00403787">
            <w:pPr>
              <w:pStyle w:val="TableText"/>
              <w:spacing w:before="40" w:after="40"/>
              <w:jc w:val="right"/>
              <w:rPr>
                <w:rFonts w:cs="Calibri"/>
                <w:szCs w:val="16"/>
              </w:rPr>
            </w:pPr>
            <w:r w:rsidRPr="001D5327">
              <w:t xml:space="preserve"> 7.8 </w:t>
            </w:r>
          </w:p>
        </w:tc>
      </w:tr>
      <w:tr w:rsidR="00590FE1" w:rsidRPr="001D5327" w14:paraId="305D66EC" w14:textId="77777777" w:rsidTr="00403787">
        <w:tc>
          <w:tcPr>
            <w:tcW w:w="816" w:type="dxa"/>
            <w:vMerge/>
            <w:tcBorders>
              <w:left w:val="nil"/>
              <w:right w:val="nil"/>
            </w:tcBorders>
            <w:shd w:val="clear" w:color="auto" w:fill="auto"/>
          </w:tcPr>
          <w:p w14:paraId="437774FD" w14:textId="77777777" w:rsidR="00590FE1" w:rsidRPr="001D5327" w:rsidRDefault="00590FE1" w:rsidP="00403787">
            <w:pPr>
              <w:pStyle w:val="TableText"/>
              <w:spacing w:before="40" w:after="4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58CFD671" w14:textId="77777777" w:rsidR="00590FE1" w:rsidRPr="001D5327" w:rsidRDefault="00590FE1" w:rsidP="00403787">
            <w:pPr>
              <w:pStyle w:val="TableText"/>
              <w:spacing w:before="40" w:after="40"/>
              <w:rPr>
                <w:rFonts w:cs="Calibri"/>
                <w:szCs w:val="16"/>
              </w:rPr>
            </w:pPr>
            <w:r w:rsidRPr="001D5327">
              <w:rPr>
                <w:rFonts w:cs="Calibri"/>
                <w:szCs w:val="16"/>
              </w:rPr>
              <w:t xml:space="preserve">Crop residue </w:t>
            </w:r>
          </w:p>
        </w:tc>
        <w:tc>
          <w:tcPr>
            <w:tcW w:w="708" w:type="dxa"/>
            <w:tcBorders>
              <w:top w:val="single" w:sz="4" w:space="0" w:color="1B556B"/>
              <w:left w:val="nil"/>
              <w:bottom w:val="single" w:sz="4" w:space="0" w:color="1B556B"/>
              <w:right w:val="nil"/>
            </w:tcBorders>
            <w:shd w:val="clear" w:color="auto" w:fill="auto"/>
          </w:tcPr>
          <w:p w14:paraId="3862804C" w14:textId="77777777" w:rsidR="00590FE1" w:rsidRPr="001D5327" w:rsidRDefault="00590FE1" w:rsidP="00403787">
            <w:pPr>
              <w:pStyle w:val="TableText"/>
              <w:spacing w:before="40" w:after="40"/>
              <w:jc w:val="right"/>
              <w:rPr>
                <w:rFonts w:cs="Calibri"/>
                <w:szCs w:val="16"/>
              </w:rPr>
            </w:pPr>
            <w:r w:rsidRPr="001D5327">
              <w:t xml:space="preserve"> 156.0 </w:t>
            </w:r>
          </w:p>
        </w:tc>
        <w:tc>
          <w:tcPr>
            <w:tcW w:w="722" w:type="dxa"/>
            <w:tcBorders>
              <w:top w:val="single" w:sz="4" w:space="0" w:color="1B556B"/>
              <w:left w:val="nil"/>
              <w:bottom w:val="single" w:sz="4" w:space="0" w:color="1B556B"/>
              <w:right w:val="nil"/>
            </w:tcBorders>
            <w:shd w:val="clear" w:color="auto" w:fill="auto"/>
          </w:tcPr>
          <w:p w14:paraId="35E0B5E2" w14:textId="77777777" w:rsidR="00590FE1" w:rsidRPr="001D5327" w:rsidRDefault="00590FE1" w:rsidP="00403787">
            <w:pPr>
              <w:pStyle w:val="TableText"/>
              <w:spacing w:before="40" w:after="40"/>
              <w:jc w:val="right"/>
              <w:rPr>
                <w:rFonts w:cs="Calibri"/>
                <w:szCs w:val="16"/>
              </w:rPr>
            </w:pPr>
            <w:r w:rsidRPr="001D5327">
              <w:t xml:space="preserve"> 230.0 </w:t>
            </w:r>
          </w:p>
        </w:tc>
        <w:tc>
          <w:tcPr>
            <w:tcW w:w="854" w:type="dxa"/>
            <w:tcBorders>
              <w:top w:val="single" w:sz="4" w:space="0" w:color="1B556B"/>
              <w:left w:val="nil"/>
              <w:bottom w:val="single" w:sz="4" w:space="0" w:color="1B556B"/>
              <w:right w:val="nil"/>
            </w:tcBorders>
            <w:shd w:val="clear" w:color="auto" w:fill="auto"/>
          </w:tcPr>
          <w:p w14:paraId="08AE6384" w14:textId="77777777" w:rsidR="00590FE1" w:rsidRPr="001D5327" w:rsidRDefault="00590FE1" w:rsidP="00403787">
            <w:pPr>
              <w:pStyle w:val="TableText"/>
              <w:spacing w:before="40" w:after="40"/>
              <w:jc w:val="right"/>
              <w:rPr>
                <w:rFonts w:cs="Calibri"/>
                <w:szCs w:val="16"/>
              </w:rPr>
            </w:pPr>
            <w:r w:rsidRPr="001D5327">
              <w:t xml:space="preserve"> 74.0 </w:t>
            </w:r>
          </w:p>
        </w:tc>
        <w:tc>
          <w:tcPr>
            <w:tcW w:w="712" w:type="dxa"/>
            <w:tcBorders>
              <w:top w:val="single" w:sz="4" w:space="0" w:color="1B556B"/>
              <w:left w:val="nil"/>
              <w:bottom w:val="single" w:sz="4" w:space="0" w:color="1B556B"/>
              <w:right w:val="nil"/>
            </w:tcBorders>
            <w:shd w:val="clear" w:color="auto" w:fill="auto"/>
          </w:tcPr>
          <w:p w14:paraId="252C6C36" w14:textId="77777777" w:rsidR="00590FE1" w:rsidRPr="001D5327" w:rsidRDefault="00590FE1" w:rsidP="00403787">
            <w:pPr>
              <w:pStyle w:val="TableText"/>
              <w:spacing w:before="40" w:after="40"/>
              <w:jc w:val="right"/>
              <w:rPr>
                <w:rFonts w:cs="Calibri"/>
                <w:szCs w:val="16"/>
              </w:rPr>
            </w:pPr>
            <w:r w:rsidRPr="001D5327">
              <w:t xml:space="preserve"> 47.4 </w:t>
            </w:r>
          </w:p>
        </w:tc>
        <w:tc>
          <w:tcPr>
            <w:tcW w:w="1095" w:type="dxa"/>
            <w:tcBorders>
              <w:top w:val="single" w:sz="4" w:space="0" w:color="1B556B"/>
              <w:left w:val="nil"/>
              <w:bottom w:val="single" w:sz="4" w:space="0" w:color="1B556B"/>
              <w:right w:val="nil"/>
            </w:tcBorders>
            <w:shd w:val="clear" w:color="auto" w:fill="auto"/>
          </w:tcPr>
          <w:p w14:paraId="3440225E" w14:textId="77777777" w:rsidR="00590FE1" w:rsidRPr="001D5327" w:rsidRDefault="00590FE1" w:rsidP="00403787">
            <w:pPr>
              <w:pStyle w:val="TableText"/>
              <w:spacing w:before="40" w:after="40"/>
              <w:jc w:val="right"/>
              <w:rPr>
                <w:rFonts w:cs="Calibri"/>
                <w:szCs w:val="16"/>
              </w:rPr>
            </w:pPr>
            <w:r w:rsidRPr="001D5327">
              <w:t xml:space="preserve"> 3.6 </w:t>
            </w:r>
          </w:p>
        </w:tc>
        <w:tc>
          <w:tcPr>
            <w:tcW w:w="1153" w:type="dxa"/>
            <w:tcBorders>
              <w:top w:val="single" w:sz="4" w:space="0" w:color="1B556B"/>
              <w:left w:val="nil"/>
              <w:bottom w:val="single" w:sz="4" w:space="0" w:color="1B556B"/>
              <w:right w:val="nil"/>
            </w:tcBorders>
            <w:shd w:val="clear" w:color="auto" w:fill="auto"/>
          </w:tcPr>
          <w:p w14:paraId="1B734652" w14:textId="77777777" w:rsidR="00590FE1" w:rsidRPr="001D5327" w:rsidRDefault="00590FE1" w:rsidP="00403787">
            <w:pPr>
              <w:pStyle w:val="TableText"/>
              <w:spacing w:before="40" w:after="40"/>
              <w:jc w:val="right"/>
              <w:rPr>
                <w:rFonts w:cs="Calibri"/>
                <w:szCs w:val="16"/>
              </w:rPr>
            </w:pPr>
            <w:r w:rsidRPr="001D5327">
              <w:t xml:space="preserve"> 0.6 </w:t>
            </w:r>
          </w:p>
        </w:tc>
      </w:tr>
      <w:tr w:rsidR="00590FE1" w:rsidRPr="001D5327" w14:paraId="568BC14E" w14:textId="77777777" w:rsidTr="00403787">
        <w:tc>
          <w:tcPr>
            <w:tcW w:w="816" w:type="dxa"/>
            <w:vMerge/>
            <w:tcBorders>
              <w:left w:val="nil"/>
              <w:right w:val="nil"/>
            </w:tcBorders>
            <w:shd w:val="clear" w:color="auto" w:fill="auto"/>
          </w:tcPr>
          <w:p w14:paraId="0A4228E1" w14:textId="77777777" w:rsidR="00590FE1" w:rsidRPr="001D5327" w:rsidRDefault="00590FE1" w:rsidP="00403787">
            <w:pPr>
              <w:pStyle w:val="TableText"/>
              <w:spacing w:before="40" w:after="4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2726FB9C" w14:textId="77777777" w:rsidR="00590FE1" w:rsidRPr="001D5327" w:rsidRDefault="00590FE1" w:rsidP="00403787">
            <w:pPr>
              <w:pStyle w:val="TableText"/>
              <w:spacing w:before="40" w:after="40"/>
              <w:rPr>
                <w:rFonts w:cs="Calibri"/>
                <w:szCs w:val="16"/>
              </w:rPr>
            </w:pPr>
            <w:r w:rsidRPr="001D5327">
              <w:rPr>
                <w:rFonts w:cs="Calibri"/>
                <w:szCs w:val="16"/>
              </w:rPr>
              <w:t>Cropland nitrogen mineralisation from soil organic matter loss</w:t>
            </w:r>
          </w:p>
        </w:tc>
        <w:tc>
          <w:tcPr>
            <w:tcW w:w="708" w:type="dxa"/>
            <w:tcBorders>
              <w:top w:val="single" w:sz="4" w:space="0" w:color="1B556B"/>
              <w:left w:val="nil"/>
              <w:bottom w:val="single" w:sz="4" w:space="0" w:color="1B556B"/>
              <w:right w:val="nil"/>
            </w:tcBorders>
            <w:shd w:val="clear" w:color="auto" w:fill="auto"/>
          </w:tcPr>
          <w:p w14:paraId="1D8F482C" w14:textId="77777777" w:rsidR="00590FE1" w:rsidRPr="001D5327" w:rsidRDefault="00590FE1" w:rsidP="00403787">
            <w:pPr>
              <w:pStyle w:val="TableText"/>
              <w:spacing w:before="40" w:after="40"/>
              <w:jc w:val="right"/>
              <w:rPr>
                <w:rFonts w:cs="Calibri"/>
                <w:szCs w:val="16"/>
              </w:rPr>
            </w:pPr>
            <w:r w:rsidRPr="001D5327">
              <w:t xml:space="preserve"> 0.0 </w:t>
            </w:r>
          </w:p>
        </w:tc>
        <w:tc>
          <w:tcPr>
            <w:tcW w:w="722" w:type="dxa"/>
            <w:tcBorders>
              <w:top w:val="single" w:sz="4" w:space="0" w:color="1B556B"/>
              <w:left w:val="nil"/>
              <w:bottom w:val="single" w:sz="4" w:space="0" w:color="1B556B"/>
              <w:right w:val="nil"/>
            </w:tcBorders>
            <w:shd w:val="clear" w:color="auto" w:fill="auto"/>
          </w:tcPr>
          <w:p w14:paraId="1CD071D0" w14:textId="77777777" w:rsidR="00590FE1" w:rsidRPr="001D5327" w:rsidRDefault="00590FE1" w:rsidP="00403787">
            <w:pPr>
              <w:pStyle w:val="TableText"/>
              <w:spacing w:before="40" w:after="40"/>
              <w:jc w:val="right"/>
              <w:rPr>
                <w:rFonts w:cs="Calibri"/>
                <w:szCs w:val="16"/>
              </w:rPr>
            </w:pPr>
            <w:r w:rsidRPr="001D5327">
              <w:t xml:space="preserve"> 0.2 </w:t>
            </w:r>
          </w:p>
        </w:tc>
        <w:tc>
          <w:tcPr>
            <w:tcW w:w="854" w:type="dxa"/>
            <w:tcBorders>
              <w:top w:val="single" w:sz="4" w:space="0" w:color="1B556B"/>
              <w:left w:val="nil"/>
              <w:bottom w:val="single" w:sz="4" w:space="0" w:color="1B556B"/>
              <w:right w:val="nil"/>
            </w:tcBorders>
            <w:shd w:val="clear" w:color="auto" w:fill="auto"/>
          </w:tcPr>
          <w:p w14:paraId="03AB0A63" w14:textId="77777777" w:rsidR="00590FE1" w:rsidRPr="001D5327" w:rsidRDefault="00590FE1" w:rsidP="00403787">
            <w:pPr>
              <w:pStyle w:val="TableText"/>
              <w:spacing w:before="40" w:after="40"/>
              <w:jc w:val="right"/>
              <w:rPr>
                <w:rFonts w:cs="Calibri"/>
                <w:szCs w:val="16"/>
              </w:rPr>
            </w:pPr>
            <w:r w:rsidRPr="001D5327">
              <w:t xml:space="preserve"> 0.1 </w:t>
            </w:r>
          </w:p>
        </w:tc>
        <w:tc>
          <w:tcPr>
            <w:tcW w:w="712" w:type="dxa"/>
            <w:tcBorders>
              <w:top w:val="single" w:sz="4" w:space="0" w:color="1B556B"/>
              <w:left w:val="nil"/>
              <w:bottom w:val="single" w:sz="4" w:space="0" w:color="1B556B"/>
              <w:right w:val="nil"/>
            </w:tcBorders>
            <w:shd w:val="clear" w:color="auto" w:fill="auto"/>
          </w:tcPr>
          <w:p w14:paraId="53BA38ED" w14:textId="77777777" w:rsidR="00590FE1" w:rsidRPr="001D5327" w:rsidRDefault="00590FE1" w:rsidP="00403787">
            <w:pPr>
              <w:pStyle w:val="TableText"/>
              <w:spacing w:before="40" w:after="40"/>
              <w:jc w:val="right"/>
              <w:rPr>
                <w:rFonts w:cs="Calibri"/>
                <w:szCs w:val="16"/>
              </w:rPr>
            </w:pPr>
            <w:r w:rsidRPr="001D5327">
              <w:t xml:space="preserve"> 528.5 </w:t>
            </w:r>
          </w:p>
        </w:tc>
        <w:tc>
          <w:tcPr>
            <w:tcW w:w="1095" w:type="dxa"/>
            <w:tcBorders>
              <w:top w:val="single" w:sz="4" w:space="0" w:color="1B556B"/>
              <w:left w:val="nil"/>
              <w:bottom w:val="single" w:sz="4" w:space="0" w:color="1B556B"/>
              <w:right w:val="nil"/>
            </w:tcBorders>
            <w:shd w:val="clear" w:color="auto" w:fill="auto"/>
          </w:tcPr>
          <w:p w14:paraId="2A26C872" w14:textId="77777777" w:rsidR="00590FE1" w:rsidRPr="001D5327" w:rsidRDefault="00590FE1" w:rsidP="00403787">
            <w:pPr>
              <w:pStyle w:val="TableText"/>
              <w:spacing w:before="40" w:after="40"/>
              <w:jc w:val="right"/>
              <w:rPr>
                <w:rFonts w:cs="Calibri"/>
                <w:szCs w:val="16"/>
              </w:rPr>
            </w:pPr>
            <w:r w:rsidRPr="001D5327">
              <w:t xml:space="preserve"> 0.0 </w:t>
            </w:r>
          </w:p>
        </w:tc>
        <w:tc>
          <w:tcPr>
            <w:tcW w:w="1153" w:type="dxa"/>
            <w:tcBorders>
              <w:top w:val="single" w:sz="4" w:space="0" w:color="1B556B"/>
              <w:left w:val="nil"/>
              <w:bottom w:val="single" w:sz="4" w:space="0" w:color="1B556B"/>
              <w:right w:val="nil"/>
            </w:tcBorders>
            <w:shd w:val="clear" w:color="auto" w:fill="auto"/>
          </w:tcPr>
          <w:p w14:paraId="2CE489EB" w14:textId="77777777" w:rsidR="00590FE1" w:rsidRPr="001D5327" w:rsidRDefault="00590FE1" w:rsidP="00403787">
            <w:pPr>
              <w:pStyle w:val="TableText"/>
              <w:spacing w:before="40" w:after="40"/>
              <w:jc w:val="right"/>
              <w:rPr>
                <w:rFonts w:cs="Calibri"/>
                <w:szCs w:val="16"/>
              </w:rPr>
            </w:pPr>
            <w:r w:rsidRPr="001D5327">
              <w:t xml:space="preserve"> 0.0 </w:t>
            </w:r>
          </w:p>
        </w:tc>
      </w:tr>
      <w:tr w:rsidR="00590FE1" w:rsidRPr="001D5327" w14:paraId="45DF0446" w14:textId="77777777" w:rsidTr="00403787">
        <w:tc>
          <w:tcPr>
            <w:tcW w:w="816" w:type="dxa"/>
            <w:vMerge/>
            <w:tcBorders>
              <w:left w:val="nil"/>
              <w:bottom w:val="single" w:sz="4" w:space="0" w:color="365F91"/>
              <w:right w:val="nil"/>
            </w:tcBorders>
            <w:shd w:val="clear" w:color="auto" w:fill="auto"/>
          </w:tcPr>
          <w:p w14:paraId="4A83AB5F" w14:textId="77777777" w:rsidR="00590FE1" w:rsidRPr="001D5327" w:rsidRDefault="00590FE1" w:rsidP="00403787">
            <w:pPr>
              <w:pStyle w:val="TableText"/>
              <w:spacing w:before="40" w:after="4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385233C7" w14:textId="77777777" w:rsidR="00590FE1" w:rsidRPr="001D5327" w:rsidRDefault="00590FE1" w:rsidP="00403787">
            <w:pPr>
              <w:pStyle w:val="TableText"/>
              <w:spacing w:before="40" w:after="40"/>
              <w:rPr>
                <w:rFonts w:cs="Calibri"/>
                <w:szCs w:val="16"/>
              </w:rPr>
            </w:pPr>
            <w:r w:rsidRPr="001D5327">
              <w:rPr>
                <w:rFonts w:cs="Calibri"/>
                <w:szCs w:val="16"/>
              </w:rPr>
              <w:t>Management of organic soils</w:t>
            </w:r>
          </w:p>
        </w:tc>
        <w:tc>
          <w:tcPr>
            <w:tcW w:w="708" w:type="dxa"/>
            <w:tcBorders>
              <w:top w:val="single" w:sz="4" w:space="0" w:color="1B556B"/>
              <w:left w:val="nil"/>
              <w:bottom w:val="single" w:sz="4" w:space="0" w:color="1B556B"/>
              <w:right w:val="nil"/>
            </w:tcBorders>
            <w:shd w:val="clear" w:color="auto" w:fill="auto"/>
          </w:tcPr>
          <w:p w14:paraId="44993215" w14:textId="77777777" w:rsidR="00590FE1" w:rsidRPr="001D5327" w:rsidRDefault="00590FE1" w:rsidP="00403787">
            <w:pPr>
              <w:pStyle w:val="TableText"/>
              <w:spacing w:before="40" w:after="40"/>
              <w:jc w:val="right"/>
              <w:rPr>
                <w:rFonts w:cs="Calibri"/>
                <w:szCs w:val="16"/>
              </w:rPr>
            </w:pPr>
            <w:r w:rsidRPr="001D5327">
              <w:t xml:space="preserve"> 583.1 </w:t>
            </w:r>
          </w:p>
        </w:tc>
        <w:tc>
          <w:tcPr>
            <w:tcW w:w="722" w:type="dxa"/>
            <w:tcBorders>
              <w:top w:val="single" w:sz="4" w:space="0" w:color="1B556B"/>
              <w:left w:val="nil"/>
              <w:bottom w:val="single" w:sz="4" w:space="0" w:color="1B556B"/>
              <w:right w:val="nil"/>
            </w:tcBorders>
            <w:shd w:val="clear" w:color="auto" w:fill="auto"/>
          </w:tcPr>
          <w:p w14:paraId="442332D6" w14:textId="77777777" w:rsidR="00590FE1" w:rsidRPr="001D5327" w:rsidRDefault="00590FE1" w:rsidP="00403787">
            <w:pPr>
              <w:pStyle w:val="TableText"/>
              <w:spacing w:before="40" w:after="40"/>
              <w:jc w:val="right"/>
              <w:rPr>
                <w:rFonts w:cs="Calibri"/>
                <w:szCs w:val="16"/>
              </w:rPr>
            </w:pPr>
            <w:r w:rsidRPr="001D5327">
              <w:t xml:space="preserve"> 590.0 </w:t>
            </w:r>
          </w:p>
        </w:tc>
        <w:tc>
          <w:tcPr>
            <w:tcW w:w="854" w:type="dxa"/>
            <w:tcBorders>
              <w:top w:val="single" w:sz="4" w:space="0" w:color="1B556B"/>
              <w:left w:val="nil"/>
              <w:bottom w:val="single" w:sz="4" w:space="0" w:color="1B556B"/>
              <w:right w:val="nil"/>
            </w:tcBorders>
            <w:shd w:val="clear" w:color="auto" w:fill="auto"/>
          </w:tcPr>
          <w:p w14:paraId="1562021A" w14:textId="77777777" w:rsidR="00590FE1" w:rsidRPr="001D5327" w:rsidRDefault="00590FE1" w:rsidP="00403787">
            <w:pPr>
              <w:pStyle w:val="TableText"/>
              <w:spacing w:before="40" w:after="40"/>
              <w:jc w:val="right"/>
              <w:rPr>
                <w:rFonts w:cs="Calibri"/>
                <w:szCs w:val="16"/>
              </w:rPr>
            </w:pPr>
            <w:r w:rsidRPr="001D5327">
              <w:t xml:space="preserve"> 6.9 </w:t>
            </w:r>
          </w:p>
        </w:tc>
        <w:tc>
          <w:tcPr>
            <w:tcW w:w="712" w:type="dxa"/>
            <w:tcBorders>
              <w:top w:val="single" w:sz="4" w:space="0" w:color="1B556B"/>
              <w:left w:val="nil"/>
              <w:bottom w:val="single" w:sz="4" w:space="0" w:color="1B556B"/>
              <w:right w:val="nil"/>
            </w:tcBorders>
            <w:shd w:val="clear" w:color="auto" w:fill="auto"/>
          </w:tcPr>
          <w:p w14:paraId="6BF7686C" w14:textId="77777777" w:rsidR="00590FE1" w:rsidRPr="001D5327" w:rsidRDefault="00590FE1" w:rsidP="00403787">
            <w:pPr>
              <w:pStyle w:val="TableText"/>
              <w:spacing w:before="40" w:after="40"/>
              <w:jc w:val="right"/>
              <w:rPr>
                <w:rFonts w:cs="Calibri"/>
                <w:szCs w:val="16"/>
              </w:rPr>
            </w:pPr>
            <w:r w:rsidRPr="001D5327">
              <w:t xml:space="preserve"> 1.2 </w:t>
            </w:r>
          </w:p>
        </w:tc>
        <w:tc>
          <w:tcPr>
            <w:tcW w:w="1095" w:type="dxa"/>
            <w:tcBorders>
              <w:top w:val="single" w:sz="4" w:space="0" w:color="1B556B"/>
              <w:left w:val="nil"/>
              <w:bottom w:val="single" w:sz="4" w:space="0" w:color="1B556B"/>
              <w:right w:val="nil"/>
            </w:tcBorders>
            <w:shd w:val="clear" w:color="auto" w:fill="auto"/>
          </w:tcPr>
          <w:p w14:paraId="0D6DF44B" w14:textId="77777777" w:rsidR="00590FE1" w:rsidRPr="001D5327" w:rsidRDefault="00590FE1" w:rsidP="00403787">
            <w:pPr>
              <w:pStyle w:val="TableText"/>
              <w:spacing w:before="40" w:after="40"/>
              <w:jc w:val="right"/>
              <w:rPr>
                <w:rFonts w:cs="Calibri"/>
                <w:szCs w:val="16"/>
              </w:rPr>
            </w:pPr>
            <w:r w:rsidRPr="001D5327">
              <w:t xml:space="preserve"> 9.3 </w:t>
            </w:r>
          </w:p>
        </w:tc>
        <w:tc>
          <w:tcPr>
            <w:tcW w:w="1153" w:type="dxa"/>
            <w:tcBorders>
              <w:top w:val="single" w:sz="4" w:space="0" w:color="1B556B"/>
              <w:left w:val="nil"/>
              <w:bottom w:val="single" w:sz="4" w:space="0" w:color="1B556B"/>
              <w:right w:val="nil"/>
            </w:tcBorders>
            <w:shd w:val="clear" w:color="auto" w:fill="auto"/>
          </w:tcPr>
          <w:p w14:paraId="4E419ADE" w14:textId="77777777" w:rsidR="00590FE1" w:rsidRPr="001D5327" w:rsidRDefault="00590FE1" w:rsidP="00403787">
            <w:pPr>
              <w:pStyle w:val="TableText"/>
              <w:spacing w:before="40" w:after="40"/>
              <w:jc w:val="right"/>
              <w:rPr>
                <w:rFonts w:cs="Calibri"/>
                <w:szCs w:val="16"/>
              </w:rPr>
            </w:pPr>
            <w:r w:rsidRPr="001D5327">
              <w:t xml:space="preserve"> 1.5 </w:t>
            </w:r>
          </w:p>
        </w:tc>
      </w:tr>
      <w:tr w:rsidR="00590FE1" w:rsidRPr="001D5327" w14:paraId="50FF6838" w14:textId="77777777" w:rsidTr="00403787">
        <w:tc>
          <w:tcPr>
            <w:tcW w:w="816" w:type="dxa"/>
            <w:vMerge w:val="restart"/>
            <w:tcBorders>
              <w:top w:val="single" w:sz="4" w:space="0" w:color="365F91"/>
              <w:left w:val="nil"/>
              <w:bottom w:val="nil"/>
              <w:right w:val="nil"/>
            </w:tcBorders>
            <w:shd w:val="clear" w:color="auto" w:fill="auto"/>
          </w:tcPr>
          <w:p w14:paraId="17B3D22A" w14:textId="77777777" w:rsidR="00590FE1" w:rsidRPr="001D5327" w:rsidRDefault="00590FE1" w:rsidP="00403787">
            <w:pPr>
              <w:pStyle w:val="TableText"/>
              <w:spacing w:before="40" w:after="40"/>
              <w:rPr>
                <w:rFonts w:cs="Calibri"/>
                <w:szCs w:val="16"/>
              </w:rPr>
            </w:pPr>
            <w:r w:rsidRPr="001D5327">
              <w:rPr>
                <w:rFonts w:cs="Calibri"/>
                <w:szCs w:val="16"/>
              </w:rPr>
              <w:t>Indirect</w:t>
            </w:r>
          </w:p>
        </w:tc>
        <w:tc>
          <w:tcPr>
            <w:tcW w:w="2445" w:type="dxa"/>
            <w:tcBorders>
              <w:top w:val="single" w:sz="4" w:space="0" w:color="1B556B"/>
              <w:left w:val="nil"/>
              <w:bottom w:val="single" w:sz="4" w:space="0" w:color="1B556B"/>
              <w:right w:val="nil"/>
            </w:tcBorders>
            <w:shd w:val="clear" w:color="auto" w:fill="auto"/>
          </w:tcPr>
          <w:p w14:paraId="68925BD7" w14:textId="77777777" w:rsidR="00590FE1" w:rsidRPr="001D5327" w:rsidRDefault="00590FE1" w:rsidP="00403787">
            <w:pPr>
              <w:pStyle w:val="TableText"/>
              <w:spacing w:before="40" w:after="40"/>
              <w:rPr>
                <w:rFonts w:cs="Calibri"/>
                <w:szCs w:val="16"/>
              </w:rPr>
            </w:pPr>
            <w:r w:rsidRPr="001D5327">
              <w:rPr>
                <w:rFonts w:cs="Calibri"/>
                <w:szCs w:val="16"/>
              </w:rPr>
              <w:t>Volatilisation</w:t>
            </w:r>
          </w:p>
        </w:tc>
        <w:tc>
          <w:tcPr>
            <w:tcW w:w="708" w:type="dxa"/>
            <w:tcBorders>
              <w:top w:val="single" w:sz="4" w:space="0" w:color="1B556B"/>
              <w:left w:val="nil"/>
              <w:bottom w:val="single" w:sz="4" w:space="0" w:color="1B556B"/>
              <w:right w:val="nil"/>
            </w:tcBorders>
            <w:shd w:val="clear" w:color="auto" w:fill="auto"/>
          </w:tcPr>
          <w:p w14:paraId="51DA24FD" w14:textId="77777777" w:rsidR="00590FE1" w:rsidRPr="001D5327" w:rsidRDefault="00590FE1" w:rsidP="00403787">
            <w:pPr>
              <w:pStyle w:val="TableText"/>
              <w:spacing w:before="40" w:after="40"/>
              <w:jc w:val="right"/>
              <w:rPr>
                <w:rFonts w:cs="Calibri"/>
                <w:szCs w:val="16"/>
              </w:rPr>
            </w:pPr>
            <w:r w:rsidRPr="001D5327">
              <w:t xml:space="preserve"> 636.8 </w:t>
            </w:r>
          </w:p>
        </w:tc>
        <w:tc>
          <w:tcPr>
            <w:tcW w:w="722" w:type="dxa"/>
            <w:tcBorders>
              <w:top w:val="single" w:sz="4" w:space="0" w:color="1B556B"/>
              <w:left w:val="nil"/>
              <w:bottom w:val="single" w:sz="4" w:space="0" w:color="1B556B"/>
              <w:right w:val="nil"/>
            </w:tcBorders>
            <w:shd w:val="clear" w:color="auto" w:fill="auto"/>
          </w:tcPr>
          <w:p w14:paraId="38C9EE9A" w14:textId="77777777" w:rsidR="00590FE1" w:rsidRPr="001D5327" w:rsidRDefault="00590FE1" w:rsidP="00403787">
            <w:pPr>
              <w:pStyle w:val="TableText"/>
              <w:spacing w:before="40" w:after="40"/>
              <w:jc w:val="right"/>
              <w:rPr>
                <w:rFonts w:cs="Calibri"/>
                <w:szCs w:val="16"/>
              </w:rPr>
            </w:pPr>
            <w:r w:rsidRPr="001D5327">
              <w:t xml:space="preserve"> 741.1 </w:t>
            </w:r>
          </w:p>
        </w:tc>
        <w:tc>
          <w:tcPr>
            <w:tcW w:w="854" w:type="dxa"/>
            <w:tcBorders>
              <w:top w:val="single" w:sz="4" w:space="0" w:color="1B556B"/>
              <w:left w:val="nil"/>
              <w:bottom w:val="single" w:sz="4" w:space="0" w:color="1B556B"/>
              <w:right w:val="nil"/>
            </w:tcBorders>
            <w:shd w:val="clear" w:color="auto" w:fill="auto"/>
          </w:tcPr>
          <w:p w14:paraId="35D36AFA" w14:textId="77777777" w:rsidR="00590FE1" w:rsidRPr="001D5327" w:rsidRDefault="00590FE1" w:rsidP="00403787">
            <w:pPr>
              <w:pStyle w:val="TableText"/>
              <w:spacing w:before="40" w:after="40"/>
              <w:jc w:val="right"/>
              <w:rPr>
                <w:rFonts w:cs="Calibri"/>
                <w:szCs w:val="16"/>
              </w:rPr>
            </w:pPr>
            <w:r w:rsidRPr="001D5327">
              <w:t xml:space="preserve"> 104.3 </w:t>
            </w:r>
          </w:p>
        </w:tc>
        <w:tc>
          <w:tcPr>
            <w:tcW w:w="712" w:type="dxa"/>
            <w:tcBorders>
              <w:top w:val="single" w:sz="4" w:space="0" w:color="1B556B"/>
              <w:left w:val="nil"/>
              <w:bottom w:val="single" w:sz="4" w:space="0" w:color="1B556B"/>
              <w:right w:val="nil"/>
            </w:tcBorders>
            <w:shd w:val="clear" w:color="auto" w:fill="auto"/>
          </w:tcPr>
          <w:p w14:paraId="0ABBDB48" w14:textId="77777777" w:rsidR="00590FE1" w:rsidRPr="001D5327" w:rsidRDefault="00590FE1" w:rsidP="00403787">
            <w:pPr>
              <w:pStyle w:val="TableText"/>
              <w:spacing w:before="40" w:after="40"/>
              <w:jc w:val="right"/>
              <w:rPr>
                <w:rFonts w:cs="Calibri"/>
                <w:szCs w:val="16"/>
              </w:rPr>
            </w:pPr>
            <w:r w:rsidRPr="001D5327">
              <w:t xml:space="preserve"> 16.4 </w:t>
            </w:r>
          </w:p>
        </w:tc>
        <w:tc>
          <w:tcPr>
            <w:tcW w:w="1095" w:type="dxa"/>
            <w:tcBorders>
              <w:top w:val="single" w:sz="4" w:space="0" w:color="1B556B"/>
              <w:left w:val="nil"/>
              <w:bottom w:val="single" w:sz="4" w:space="0" w:color="1B556B"/>
              <w:right w:val="nil"/>
            </w:tcBorders>
            <w:shd w:val="clear" w:color="auto" w:fill="auto"/>
          </w:tcPr>
          <w:p w14:paraId="63D80031" w14:textId="77777777" w:rsidR="00590FE1" w:rsidRPr="001D5327" w:rsidRDefault="00590FE1" w:rsidP="00403787">
            <w:pPr>
              <w:pStyle w:val="TableText"/>
              <w:spacing w:before="40" w:after="40"/>
              <w:jc w:val="right"/>
              <w:rPr>
                <w:rFonts w:cs="Calibri"/>
                <w:szCs w:val="16"/>
              </w:rPr>
            </w:pPr>
            <w:r w:rsidRPr="001D5327">
              <w:t xml:space="preserve"> 11.6 </w:t>
            </w:r>
          </w:p>
        </w:tc>
        <w:tc>
          <w:tcPr>
            <w:tcW w:w="1153" w:type="dxa"/>
            <w:tcBorders>
              <w:top w:val="single" w:sz="4" w:space="0" w:color="1B556B"/>
              <w:left w:val="nil"/>
              <w:bottom w:val="single" w:sz="4" w:space="0" w:color="1B556B"/>
              <w:right w:val="nil"/>
            </w:tcBorders>
            <w:shd w:val="clear" w:color="auto" w:fill="auto"/>
          </w:tcPr>
          <w:p w14:paraId="708C49FD" w14:textId="77777777" w:rsidR="00590FE1" w:rsidRPr="001D5327" w:rsidRDefault="00590FE1" w:rsidP="00403787">
            <w:pPr>
              <w:pStyle w:val="TableText"/>
              <w:spacing w:before="40" w:after="40"/>
              <w:jc w:val="right"/>
              <w:rPr>
                <w:rFonts w:cs="Calibri"/>
                <w:szCs w:val="16"/>
              </w:rPr>
            </w:pPr>
            <w:r w:rsidRPr="001D5327">
              <w:t xml:space="preserve"> 1.8 </w:t>
            </w:r>
          </w:p>
        </w:tc>
      </w:tr>
      <w:tr w:rsidR="00590FE1" w:rsidRPr="001D5327" w14:paraId="2158B835" w14:textId="77777777" w:rsidTr="00403787">
        <w:tc>
          <w:tcPr>
            <w:tcW w:w="816" w:type="dxa"/>
            <w:vMerge/>
            <w:tcBorders>
              <w:top w:val="nil"/>
              <w:left w:val="nil"/>
              <w:bottom w:val="nil"/>
              <w:right w:val="nil"/>
            </w:tcBorders>
            <w:shd w:val="clear" w:color="auto" w:fill="auto"/>
          </w:tcPr>
          <w:p w14:paraId="714E092D" w14:textId="77777777" w:rsidR="00590FE1" w:rsidRPr="001D5327" w:rsidRDefault="00590FE1" w:rsidP="00403787">
            <w:pPr>
              <w:pStyle w:val="TableText"/>
              <w:spacing w:before="40" w:after="40"/>
              <w:rPr>
                <w:rFonts w:cs="Calibri"/>
                <w:szCs w:val="16"/>
              </w:rPr>
            </w:pPr>
          </w:p>
        </w:tc>
        <w:tc>
          <w:tcPr>
            <w:tcW w:w="2445" w:type="dxa"/>
            <w:tcBorders>
              <w:top w:val="single" w:sz="4" w:space="0" w:color="1B556B"/>
              <w:left w:val="nil"/>
              <w:bottom w:val="single" w:sz="4" w:space="0" w:color="1B556B"/>
              <w:right w:val="nil"/>
            </w:tcBorders>
            <w:shd w:val="clear" w:color="auto" w:fill="auto"/>
          </w:tcPr>
          <w:p w14:paraId="59C30592" w14:textId="77777777" w:rsidR="00590FE1" w:rsidRPr="001D5327" w:rsidRDefault="00590FE1" w:rsidP="00403787">
            <w:pPr>
              <w:pStyle w:val="TableText"/>
              <w:spacing w:before="40" w:after="40"/>
              <w:rPr>
                <w:rFonts w:cs="Calibri"/>
                <w:szCs w:val="16"/>
              </w:rPr>
            </w:pPr>
            <w:r w:rsidRPr="001D5327">
              <w:rPr>
                <w:rFonts w:cs="Calibri"/>
                <w:szCs w:val="16"/>
              </w:rPr>
              <w:t>Leaching and runoff</w:t>
            </w:r>
          </w:p>
        </w:tc>
        <w:tc>
          <w:tcPr>
            <w:tcW w:w="708" w:type="dxa"/>
            <w:tcBorders>
              <w:top w:val="single" w:sz="4" w:space="0" w:color="1B556B"/>
              <w:left w:val="nil"/>
              <w:bottom w:val="single" w:sz="4" w:space="0" w:color="1B556B"/>
              <w:right w:val="nil"/>
            </w:tcBorders>
            <w:shd w:val="clear" w:color="auto" w:fill="auto"/>
          </w:tcPr>
          <w:p w14:paraId="29B9A68E" w14:textId="77777777" w:rsidR="00590FE1" w:rsidRPr="001D5327" w:rsidRDefault="00590FE1" w:rsidP="00403787">
            <w:pPr>
              <w:pStyle w:val="TableText"/>
              <w:spacing w:before="40" w:after="40"/>
              <w:jc w:val="right"/>
              <w:rPr>
                <w:rFonts w:cs="Calibri"/>
                <w:szCs w:val="16"/>
              </w:rPr>
            </w:pPr>
            <w:r w:rsidRPr="001D5327">
              <w:t xml:space="preserve"> 392.6 </w:t>
            </w:r>
          </w:p>
        </w:tc>
        <w:tc>
          <w:tcPr>
            <w:tcW w:w="722" w:type="dxa"/>
            <w:tcBorders>
              <w:top w:val="single" w:sz="4" w:space="0" w:color="1B556B"/>
              <w:left w:val="nil"/>
              <w:bottom w:val="single" w:sz="4" w:space="0" w:color="1B556B"/>
              <w:right w:val="nil"/>
            </w:tcBorders>
            <w:shd w:val="clear" w:color="auto" w:fill="auto"/>
          </w:tcPr>
          <w:p w14:paraId="52375A5F" w14:textId="77777777" w:rsidR="00590FE1" w:rsidRPr="001D5327" w:rsidRDefault="00590FE1" w:rsidP="00403787">
            <w:pPr>
              <w:pStyle w:val="TableText"/>
              <w:spacing w:before="40" w:after="40"/>
              <w:jc w:val="right"/>
              <w:rPr>
                <w:rFonts w:cs="Calibri"/>
                <w:szCs w:val="16"/>
              </w:rPr>
            </w:pPr>
            <w:r w:rsidRPr="001D5327">
              <w:t xml:space="preserve"> 476.1 </w:t>
            </w:r>
          </w:p>
        </w:tc>
        <w:tc>
          <w:tcPr>
            <w:tcW w:w="854" w:type="dxa"/>
            <w:tcBorders>
              <w:top w:val="single" w:sz="4" w:space="0" w:color="1B556B"/>
              <w:left w:val="nil"/>
              <w:bottom w:val="single" w:sz="4" w:space="0" w:color="1B556B"/>
              <w:right w:val="nil"/>
            </w:tcBorders>
            <w:shd w:val="clear" w:color="auto" w:fill="auto"/>
          </w:tcPr>
          <w:p w14:paraId="3092BE9D" w14:textId="77777777" w:rsidR="00590FE1" w:rsidRPr="001D5327" w:rsidRDefault="00590FE1" w:rsidP="00403787">
            <w:pPr>
              <w:pStyle w:val="TableText"/>
              <w:tabs>
                <w:tab w:val="center" w:pos="400"/>
                <w:tab w:val="right" w:pos="801"/>
              </w:tabs>
              <w:spacing w:before="40" w:after="40"/>
              <w:jc w:val="right"/>
              <w:rPr>
                <w:rFonts w:cs="Calibri"/>
                <w:szCs w:val="16"/>
              </w:rPr>
            </w:pPr>
            <w:r w:rsidRPr="001D5327">
              <w:t xml:space="preserve"> 83.5 </w:t>
            </w:r>
          </w:p>
        </w:tc>
        <w:tc>
          <w:tcPr>
            <w:tcW w:w="712" w:type="dxa"/>
            <w:tcBorders>
              <w:top w:val="single" w:sz="4" w:space="0" w:color="1B556B"/>
              <w:left w:val="nil"/>
              <w:bottom w:val="single" w:sz="4" w:space="0" w:color="1B556B"/>
              <w:right w:val="nil"/>
            </w:tcBorders>
            <w:shd w:val="clear" w:color="auto" w:fill="auto"/>
          </w:tcPr>
          <w:p w14:paraId="08A7472F" w14:textId="77777777" w:rsidR="00590FE1" w:rsidRPr="001D5327" w:rsidRDefault="00590FE1" w:rsidP="00403787">
            <w:pPr>
              <w:pStyle w:val="TableText"/>
              <w:spacing w:before="40" w:after="40"/>
              <w:jc w:val="right"/>
              <w:rPr>
                <w:rFonts w:cs="Calibri"/>
                <w:szCs w:val="16"/>
              </w:rPr>
            </w:pPr>
            <w:r w:rsidRPr="001D5327">
              <w:t xml:space="preserve"> 21.3 </w:t>
            </w:r>
          </w:p>
        </w:tc>
        <w:tc>
          <w:tcPr>
            <w:tcW w:w="1095" w:type="dxa"/>
            <w:tcBorders>
              <w:top w:val="single" w:sz="4" w:space="0" w:color="1B556B"/>
              <w:left w:val="nil"/>
              <w:bottom w:val="single" w:sz="4" w:space="0" w:color="1B556B"/>
              <w:right w:val="nil"/>
            </w:tcBorders>
            <w:shd w:val="clear" w:color="auto" w:fill="auto"/>
          </w:tcPr>
          <w:p w14:paraId="146287C1" w14:textId="77777777" w:rsidR="00590FE1" w:rsidRPr="001D5327" w:rsidRDefault="00590FE1" w:rsidP="00403787">
            <w:pPr>
              <w:pStyle w:val="TableText"/>
              <w:spacing w:before="40" w:after="40"/>
              <w:jc w:val="right"/>
              <w:rPr>
                <w:rFonts w:cs="Calibri"/>
                <w:szCs w:val="16"/>
              </w:rPr>
            </w:pPr>
            <w:r w:rsidRPr="001D5327">
              <w:t xml:space="preserve"> 7.5 </w:t>
            </w:r>
          </w:p>
        </w:tc>
        <w:tc>
          <w:tcPr>
            <w:tcW w:w="1153" w:type="dxa"/>
            <w:tcBorders>
              <w:top w:val="single" w:sz="4" w:space="0" w:color="1B556B"/>
              <w:left w:val="nil"/>
              <w:bottom w:val="single" w:sz="4" w:space="0" w:color="1B556B"/>
              <w:right w:val="nil"/>
            </w:tcBorders>
            <w:shd w:val="clear" w:color="auto" w:fill="auto"/>
          </w:tcPr>
          <w:p w14:paraId="22FEBB00" w14:textId="77777777" w:rsidR="00590FE1" w:rsidRPr="001D5327" w:rsidRDefault="00590FE1" w:rsidP="00403787">
            <w:pPr>
              <w:pStyle w:val="TableText"/>
              <w:spacing w:before="40" w:after="40"/>
              <w:jc w:val="right"/>
              <w:rPr>
                <w:rFonts w:cs="Calibri"/>
                <w:szCs w:val="16"/>
              </w:rPr>
            </w:pPr>
            <w:r w:rsidRPr="001D5327">
              <w:t xml:space="preserve"> 1.2 </w:t>
            </w:r>
          </w:p>
        </w:tc>
      </w:tr>
      <w:tr w:rsidR="00590FE1" w:rsidRPr="001D5327" w14:paraId="1A7FAF7A" w14:textId="77777777" w:rsidTr="00403787">
        <w:tc>
          <w:tcPr>
            <w:tcW w:w="3261" w:type="dxa"/>
            <w:gridSpan w:val="2"/>
            <w:tcBorders>
              <w:top w:val="nil"/>
              <w:left w:val="nil"/>
              <w:bottom w:val="single" w:sz="4" w:space="0" w:color="1B556B"/>
              <w:right w:val="nil"/>
            </w:tcBorders>
            <w:shd w:val="clear" w:color="auto" w:fill="auto"/>
          </w:tcPr>
          <w:p w14:paraId="639F8E7C" w14:textId="77777777" w:rsidR="00590FE1" w:rsidRPr="001D5327" w:rsidRDefault="00590FE1" w:rsidP="00403787">
            <w:pPr>
              <w:pStyle w:val="TableText"/>
              <w:spacing w:before="40" w:after="40"/>
              <w:rPr>
                <w:rFonts w:cs="Calibri"/>
                <w:b/>
                <w:bCs/>
                <w:color w:val="1B556B"/>
                <w:szCs w:val="16"/>
              </w:rPr>
            </w:pPr>
            <w:r w:rsidRPr="001D5327">
              <w:rPr>
                <w:rFonts w:cs="Calibri"/>
                <w:b/>
                <w:bCs/>
                <w:color w:val="1B556B"/>
                <w:szCs w:val="16"/>
              </w:rPr>
              <w:t>Total Agricultural soils</w:t>
            </w:r>
          </w:p>
        </w:tc>
        <w:tc>
          <w:tcPr>
            <w:tcW w:w="708" w:type="dxa"/>
            <w:tcBorders>
              <w:top w:val="nil"/>
              <w:left w:val="nil"/>
              <w:bottom w:val="single" w:sz="4" w:space="0" w:color="1B556B"/>
              <w:right w:val="nil"/>
            </w:tcBorders>
            <w:shd w:val="clear" w:color="auto" w:fill="auto"/>
          </w:tcPr>
          <w:p w14:paraId="7B2A24F4" w14:textId="77777777" w:rsidR="00590FE1" w:rsidRPr="001D5327" w:rsidRDefault="00590FE1" w:rsidP="00403787">
            <w:pPr>
              <w:pStyle w:val="TableText"/>
              <w:spacing w:before="40" w:after="40"/>
              <w:jc w:val="right"/>
              <w:rPr>
                <w:rFonts w:cs="Calibri"/>
                <w:b/>
                <w:color w:val="1B556B"/>
                <w:szCs w:val="16"/>
              </w:rPr>
            </w:pPr>
            <w:r w:rsidRPr="001D5327">
              <w:t xml:space="preserve"> 4,655.1 </w:t>
            </w:r>
          </w:p>
        </w:tc>
        <w:tc>
          <w:tcPr>
            <w:tcW w:w="722" w:type="dxa"/>
            <w:tcBorders>
              <w:top w:val="nil"/>
              <w:left w:val="nil"/>
              <w:bottom w:val="single" w:sz="4" w:space="0" w:color="1B556B"/>
              <w:right w:val="nil"/>
            </w:tcBorders>
            <w:shd w:val="clear" w:color="auto" w:fill="auto"/>
          </w:tcPr>
          <w:p w14:paraId="1AD892CA" w14:textId="77777777" w:rsidR="00590FE1" w:rsidRPr="001D5327" w:rsidRDefault="00590FE1" w:rsidP="00403787">
            <w:pPr>
              <w:pStyle w:val="TableText"/>
              <w:spacing w:before="40" w:after="40"/>
              <w:jc w:val="right"/>
              <w:rPr>
                <w:rFonts w:cs="Calibri"/>
                <w:b/>
                <w:color w:val="1B556B"/>
                <w:szCs w:val="16"/>
              </w:rPr>
            </w:pPr>
            <w:r w:rsidRPr="001D5327">
              <w:t xml:space="preserve"> 6,372.4 </w:t>
            </w:r>
          </w:p>
        </w:tc>
        <w:tc>
          <w:tcPr>
            <w:tcW w:w="854" w:type="dxa"/>
            <w:tcBorders>
              <w:top w:val="nil"/>
              <w:left w:val="nil"/>
              <w:bottom w:val="single" w:sz="4" w:space="0" w:color="1B556B"/>
              <w:right w:val="nil"/>
            </w:tcBorders>
            <w:shd w:val="clear" w:color="auto" w:fill="auto"/>
          </w:tcPr>
          <w:p w14:paraId="01840376" w14:textId="77777777" w:rsidR="00590FE1" w:rsidRPr="001D5327" w:rsidRDefault="00590FE1" w:rsidP="00403787">
            <w:pPr>
              <w:pStyle w:val="TableText"/>
              <w:tabs>
                <w:tab w:val="center" w:pos="400"/>
                <w:tab w:val="right" w:pos="801"/>
              </w:tabs>
              <w:spacing w:before="40" w:after="40"/>
              <w:jc w:val="right"/>
              <w:rPr>
                <w:rFonts w:cs="Calibri"/>
                <w:b/>
                <w:color w:val="1B556B"/>
                <w:szCs w:val="16"/>
              </w:rPr>
            </w:pPr>
            <w:r w:rsidRPr="001D5327">
              <w:t xml:space="preserve"> 1,717.3 </w:t>
            </w:r>
          </w:p>
        </w:tc>
        <w:tc>
          <w:tcPr>
            <w:tcW w:w="712" w:type="dxa"/>
            <w:tcBorders>
              <w:top w:val="nil"/>
              <w:left w:val="nil"/>
              <w:bottom w:val="single" w:sz="4" w:space="0" w:color="1B556B"/>
              <w:right w:val="nil"/>
            </w:tcBorders>
            <w:shd w:val="clear" w:color="auto" w:fill="auto"/>
          </w:tcPr>
          <w:p w14:paraId="4085828F" w14:textId="77777777" w:rsidR="00590FE1" w:rsidRPr="001D5327" w:rsidRDefault="00590FE1" w:rsidP="00403787">
            <w:pPr>
              <w:pStyle w:val="TableText"/>
              <w:spacing w:before="40" w:after="40"/>
              <w:jc w:val="right"/>
              <w:rPr>
                <w:rFonts w:cs="Calibri"/>
                <w:b/>
                <w:color w:val="1B556B"/>
                <w:szCs w:val="16"/>
              </w:rPr>
            </w:pPr>
            <w:r w:rsidRPr="001D5327">
              <w:t xml:space="preserve"> 36.9 </w:t>
            </w:r>
          </w:p>
        </w:tc>
        <w:tc>
          <w:tcPr>
            <w:tcW w:w="1095" w:type="dxa"/>
            <w:tcBorders>
              <w:top w:val="nil"/>
              <w:left w:val="nil"/>
              <w:bottom w:val="single" w:sz="4" w:space="0" w:color="1B556B"/>
              <w:right w:val="nil"/>
            </w:tcBorders>
            <w:shd w:val="clear" w:color="auto" w:fill="auto"/>
          </w:tcPr>
          <w:p w14:paraId="5CEE86BC" w14:textId="77777777" w:rsidR="00590FE1" w:rsidRPr="001D5327" w:rsidRDefault="00590FE1" w:rsidP="00403787">
            <w:pPr>
              <w:pStyle w:val="TableText"/>
              <w:spacing w:before="40" w:after="40"/>
              <w:jc w:val="right"/>
              <w:rPr>
                <w:rFonts w:cs="Calibri"/>
                <w:b/>
                <w:color w:val="1B556B"/>
                <w:szCs w:val="16"/>
              </w:rPr>
            </w:pPr>
            <w:r w:rsidRPr="001D5327">
              <w:t xml:space="preserve"> 100.0 </w:t>
            </w:r>
          </w:p>
        </w:tc>
        <w:tc>
          <w:tcPr>
            <w:tcW w:w="1153" w:type="dxa"/>
            <w:tcBorders>
              <w:top w:val="nil"/>
              <w:left w:val="nil"/>
              <w:bottom w:val="single" w:sz="4" w:space="0" w:color="1B556B"/>
              <w:right w:val="nil"/>
            </w:tcBorders>
            <w:shd w:val="clear" w:color="auto" w:fill="auto"/>
          </w:tcPr>
          <w:p w14:paraId="45B3B6FC" w14:textId="77777777" w:rsidR="00590FE1" w:rsidRPr="001D5327" w:rsidRDefault="00590FE1" w:rsidP="00403787">
            <w:pPr>
              <w:pStyle w:val="TableText"/>
              <w:spacing w:before="40" w:after="40"/>
              <w:jc w:val="right"/>
              <w:rPr>
                <w:rFonts w:cs="Calibri"/>
                <w:b/>
                <w:color w:val="1B556B"/>
                <w:szCs w:val="16"/>
              </w:rPr>
            </w:pPr>
            <w:r w:rsidRPr="001D5327">
              <w:t xml:space="preserve"> 15.7 </w:t>
            </w:r>
          </w:p>
        </w:tc>
      </w:tr>
    </w:tbl>
    <w:p w14:paraId="2F7B8B33" w14:textId="77777777" w:rsidR="00590FE1" w:rsidRPr="001D5327" w:rsidRDefault="00590FE1" w:rsidP="00590FE1">
      <w:pPr>
        <w:pStyle w:val="Noteundertable"/>
        <w:rPr>
          <w:rFonts w:cs="Calibri"/>
        </w:rPr>
      </w:pPr>
      <w:r w:rsidRPr="001D5327">
        <w:rPr>
          <w:rFonts w:cs="Calibri"/>
          <w:b/>
          <w:bCs/>
        </w:rPr>
        <w:t>Note:</w:t>
      </w:r>
      <w:r w:rsidRPr="001D5327">
        <w:rPr>
          <w:rFonts w:cs="Calibri"/>
        </w:rPr>
        <w:tab/>
        <w:t>Columns may not add due to rounding. Percentages presented are calculated from unrounded values.</w:t>
      </w:r>
    </w:p>
    <w:p w14:paraId="3197FFFD" w14:textId="77777777" w:rsidR="00590FE1" w:rsidRPr="001D5327" w:rsidRDefault="00590FE1" w:rsidP="00590FE1">
      <w:pPr>
        <w:pStyle w:val="Heading3"/>
      </w:pPr>
      <w:bookmarkStart w:id="1114" w:name="_Toc139253934"/>
      <w:bookmarkStart w:id="1115" w:name="_Toc32570668"/>
      <w:r w:rsidRPr="001D5327">
        <w:t>5.5.2</w:t>
      </w:r>
      <w:r w:rsidRPr="001D5327">
        <w:tab/>
        <w:t>Methodological issues</w:t>
      </w:r>
      <w:bookmarkEnd w:id="1114"/>
      <w:bookmarkEnd w:id="1115"/>
      <w:r w:rsidRPr="001D5327">
        <w:t xml:space="preserve"> </w:t>
      </w:r>
    </w:p>
    <w:p w14:paraId="2F446C4C" w14:textId="77777777" w:rsidR="00590FE1" w:rsidRPr="001D5327" w:rsidRDefault="00590FE1" w:rsidP="00590FE1">
      <w:pPr>
        <w:pStyle w:val="BodyText"/>
        <w:spacing w:before="100" w:after="100"/>
      </w:pPr>
      <w:r w:rsidRPr="001D5327">
        <w:rPr>
          <w:rFonts w:cs="Calibri"/>
        </w:rPr>
        <w:t>New Zealand</w:t>
      </w:r>
      <w:r w:rsidRPr="001D5327">
        <w:t xml:space="preserve"> uses methodologies based on the 2006 IPCC Guidelines (IPCC, 2006), outputs of the Tier 2 livestock population characterisation, modelling of the livestock nutrition and energy requirements, and some country-specific equations to calculate N</w:t>
      </w:r>
      <w:r w:rsidRPr="001D5327">
        <w:rPr>
          <w:vertAlign w:val="subscript"/>
        </w:rPr>
        <w:t>2</w:t>
      </w:r>
      <w:r w:rsidRPr="001D5327">
        <w:t>O emissions from </w:t>
      </w:r>
      <w:r w:rsidRPr="001D5327">
        <w:rPr>
          <w:i/>
          <w:iCs/>
        </w:rPr>
        <w:t>Agricultural soils</w:t>
      </w:r>
      <w:r w:rsidRPr="001D5327">
        <w:t>. A combination of default and country-specific emission factors and parameters is also used to calculate emissions from this category. Details on these emission factors and parameters are listed in tables 5.5.2 and 5.5.3; annex 5, tables A5.1.6, A5.1.7, A5.1.8 and A5.1.9; and in table 5.5.5 for mitigation technologies.</w:t>
      </w:r>
    </w:p>
    <w:p w14:paraId="6EFB5BD9" w14:textId="77777777" w:rsidR="00590FE1" w:rsidRPr="001D5327" w:rsidRDefault="00590FE1" w:rsidP="00590FE1">
      <w:pPr>
        <w:pStyle w:val="BodyText"/>
        <w:spacing w:before="100" w:after="100"/>
      </w:pPr>
      <w:r w:rsidRPr="001D5327">
        <w:t xml:space="preserve">The largest inputs of nitrogen to agricultural soils are manure (urine and dung) from grazing livestock and synthetic nitrogen fertilisers, which together contribute just over two thirds of emissions from the </w:t>
      </w:r>
      <w:r w:rsidRPr="001D5327">
        <w:rPr>
          <w:i/>
          <w:iCs/>
        </w:rPr>
        <w:t>Agricultural soils</w:t>
      </w:r>
      <w:r w:rsidRPr="001D5327">
        <w:t xml:space="preserve"> category. The following paragraphs provide an overview of the ongoing country-specific improvements made to the </w:t>
      </w:r>
      <w:r w:rsidRPr="001D5327">
        <w:rPr>
          <w:i/>
          <w:iCs/>
        </w:rPr>
        <w:t>Agricultural soils</w:t>
      </w:r>
      <w:r w:rsidRPr="001D5327">
        <w:t xml:space="preserve"> category.</w:t>
      </w:r>
    </w:p>
    <w:p w14:paraId="3BFF9589" w14:textId="77777777" w:rsidR="00590FE1" w:rsidRPr="001D5327" w:rsidRDefault="00590FE1" w:rsidP="00590FE1">
      <w:pPr>
        <w:pStyle w:val="Heading4"/>
      </w:pPr>
      <w:r w:rsidRPr="001D5327">
        <w:t>Overview of research and improvements in the Agricultural soils category</w:t>
      </w:r>
    </w:p>
    <w:p w14:paraId="57186C6E" w14:textId="77777777" w:rsidR="00590FE1" w:rsidRPr="001D5327" w:rsidRDefault="00590FE1" w:rsidP="00590FE1">
      <w:pPr>
        <w:pStyle w:val="BodyText"/>
        <w:spacing w:before="100" w:after="100"/>
      </w:pPr>
      <w:r w:rsidRPr="001D5327">
        <w:t xml:space="preserve">Considerable research effort has gone into establishing </w:t>
      </w:r>
      <w:r w:rsidRPr="001D5327" w:rsidDel="00F57B85">
        <w:rPr>
          <w:rFonts w:cs="Calibri"/>
        </w:rPr>
        <w:t xml:space="preserve">New </w:t>
      </w:r>
      <w:r w:rsidRPr="001D5327">
        <w:rPr>
          <w:rFonts w:cs="Calibri"/>
        </w:rPr>
        <w:t>Zealand</w:t>
      </w:r>
      <w:r w:rsidRPr="001D5327">
        <w:t>-specific emission factors for emissions from synthetic fertiliser application (EF</w:t>
      </w:r>
      <w:r w:rsidRPr="001D5327">
        <w:rPr>
          <w:vertAlign w:val="subscript"/>
        </w:rPr>
        <w:t>1</w:t>
      </w:r>
      <w:r w:rsidRPr="001D5327">
        <w:t>) and emissions from manure deposition onto pasture by grazing livestock (EF</w:t>
      </w:r>
      <w:r w:rsidRPr="001D5327">
        <w:rPr>
          <w:vertAlign w:val="subscript"/>
        </w:rPr>
        <w:t>3,PRP</w:t>
      </w:r>
      <w:r w:rsidRPr="001D5327">
        <w:t xml:space="preserve">). In </w:t>
      </w:r>
      <w:r w:rsidRPr="001D5327">
        <w:rPr>
          <w:rFonts w:cs="Calibri"/>
        </w:rPr>
        <w:t>New Zealand</w:t>
      </w:r>
      <w:r w:rsidRPr="001D5327">
        <w:t xml:space="preserve">, most livestock waste is excreted directly onto pasture during grazing (see table 5.3.2). </w:t>
      </w:r>
    </w:p>
    <w:p w14:paraId="5F04929F" w14:textId="77777777" w:rsidR="00590FE1" w:rsidRPr="001D5327" w:rsidRDefault="00590FE1" w:rsidP="00590FE1">
      <w:pPr>
        <w:pStyle w:val="BodyText"/>
        <w:spacing w:before="100" w:after="100"/>
      </w:pPr>
      <w:r w:rsidRPr="001D5327">
        <w:t>Direct N</w:t>
      </w:r>
      <w:r w:rsidRPr="001D5327">
        <w:rPr>
          <w:vertAlign w:val="subscript"/>
        </w:rPr>
        <w:t>2</w:t>
      </w:r>
      <w:r w:rsidRPr="001D5327">
        <w:t xml:space="preserve">O emission factors for dung and urine are separated based on livestock type (for </w:t>
      </w:r>
      <w:r w:rsidRPr="001D5327">
        <w:rPr>
          <w:i/>
          <w:iCs/>
        </w:rPr>
        <w:t>Dairy cattle</w:t>
      </w:r>
      <w:r w:rsidRPr="001D5327">
        <w:t xml:space="preserve">, </w:t>
      </w:r>
      <w:r w:rsidRPr="001D5327">
        <w:rPr>
          <w:i/>
          <w:iCs/>
        </w:rPr>
        <w:t>Non-dairy</w:t>
      </w:r>
      <w:r w:rsidRPr="001D5327">
        <w:t xml:space="preserve"> (beef) </w:t>
      </w:r>
      <w:r w:rsidRPr="001D5327">
        <w:rPr>
          <w:i/>
          <w:iCs/>
        </w:rPr>
        <w:t>cattle</w:t>
      </w:r>
      <w:r w:rsidRPr="001D5327">
        <w:t xml:space="preserve">, </w:t>
      </w:r>
      <w:r w:rsidRPr="001D5327">
        <w:rPr>
          <w:i/>
          <w:iCs/>
        </w:rPr>
        <w:t>Sheep</w:t>
      </w:r>
      <w:r w:rsidRPr="001D5327">
        <w:t xml:space="preserve"> and </w:t>
      </w:r>
      <w:r w:rsidRPr="001D5327">
        <w:rPr>
          <w:i/>
          <w:iCs/>
        </w:rPr>
        <w:t>Deer</w:t>
      </w:r>
      <w:r w:rsidRPr="001D5327">
        <w:t>) and hill slope category based on research by Saggar et al. (2015) and van der Weerden et al. (2019, 2020) (see table 5.5.3). A ‘nutrient transfer model’ developed by Saggar et al. (2015) is used to calculate the amount of dung and urine deposited on different hill slope categories. Around 79 per cent of sloped land on sheep, non-dairy and deer farms is classed as medium (12–24 degrees) or steep (greater than 24 degrees) sloped land (see annex 5, figure A5.1.3).</w:t>
      </w:r>
    </w:p>
    <w:p w14:paraId="4D79D5B9" w14:textId="77777777" w:rsidR="00590FE1" w:rsidRPr="001D5327" w:rsidRDefault="00590FE1" w:rsidP="00590FE1">
      <w:pPr>
        <w:pStyle w:val="BodyText"/>
      </w:pPr>
      <w:r w:rsidRPr="001D5327">
        <w:t xml:space="preserve">For minor livestock categories, such as </w:t>
      </w:r>
      <w:r w:rsidRPr="001D5327">
        <w:rPr>
          <w:i/>
          <w:iCs/>
        </w:rPr>
        <w:t>Horses</w:t>
      </w:r>
      <w:r w:rsidRPr="001D5327">
        <w:t xml:space="preserve">, </w:t>
      </w:r>
      <w:r w:rsidRPr="001D5327">
        <w:rPr>
          <w:i/>
          <w:iCs/>
        </w:rPr>
        <w:t>Llamas and</w:t>
      </w:r>
      <w:r w:rsidRPr="001D5327">
        <w:t xml:space="preserve"> </w:t>
      </w:r>
      <w:r w:rsidRPr="001D5327">
        <w:rPr>
          <w:i/>
          <w:iCs/>
        </w:rPr>
        <w:t>alpacas</w:t>
      </w:r>
      <w:r w:rsidRPr="001D5327">
        <w:t>,</w:t>
      </w:r>
      <w:r w:rsidRPr="001D5327">
        <w:rPr>
          <w:i/>
          <w:iCs/>
        </w:rPr>
        <w:t xml:space="preserve"> Poultry</w:t>
      </w:r>
      <w:r w:rsidRPr="001D5327">
        <w:t>,</w:t>
      </w:r>
      <w:r w:rsidRPr="001D5327">
        <w:rPr>
          <w:i/>
          <w:iCs/>
        </w:rPr>
        <w:t xml:space="preserve"> Swine</w:t>
      </w:r>
      <w:r w:rsidRPr="001D5327">
        <w:t>,</w:t>
      </w:r>
      <w:r w:rsidRPr="001D5327">
        <w:rPr>
          <w:i/>
          <w:iCs/>
        </w:rPr>
        <w:t xml:space="preserve"> Goats</w:t>
      </w:r>
      <w:r w:rsidRPr="001D5327">
        <w:t>, and</w:t>
      </w:r>
      <w:r w:rsidRPr="001D5327">
        <w:rPr>
          <w:i/>
          <w:iCs/>
        </w:rPr>
        <w:t xml:space="preserve"> Mules and asses</w:t>
      </w:r>
      <w:r w:rsidRPr="001D5327">
        <w:t xml:space="preserve">, </w:t>
      </w:r>
      <w:r w:rsidRPr="001D5327" w:rsidDel="003C4BB2">
        <w:rPr>
          <w:rFonts w:cs="Calibri"/>
        </w:rPr>
        <w:t xml:space="preserve">New </w:t>
      </w:r>
      <w:r w:rsidRPr="001D5327">
        <w:rPr>
          <w:rFonts w:cs="Calibri"/>
        </w:rPr>
        <w:t>Zealand</w:t>
      </w:r>
      <w:r w:rsidRPr="001D5327">
        <w:t xml:space="preserve"> uses IPCC default emission factors and methodology. Research conducted in </w:t>
      </w:r>
      <w:r w:rsidRPr="001D5327" w:rsidDel="00271F52">
        <w:rPr>
          <w:rFonts w:cs="Calibri"/>
        </w:rPr>
        <w:t xml:space="preserve">New </w:t>
      </w:r>
      <w:r w:rsidRPr="001D5327">
        <w:rPr>
          <w:rFonts w:cs="Calibri"/>
        </w:rPr>
        <w:t>Zealand</w:t>
      </w:r>
      <w:r w:rsidRPr="001D5327">
        <w:t xml:space="preserve"> confirmed that the IPCC default emission factors and methodology </w:t>
      </w:r>
      <w:r w:rsidRPr="001D5327">
        <w:lastRenderedPageBreak/>
        <w:t>for direct N</w:t>
      </w:r>
      <w:r w:rsidRPr="001D5327">
        <w:rPr>
          <w:vertAlign w:val="subscript"/>
        </w:rPr>
        <w:t>2</w:t>
      </w:r>
      <w:r w:rsidRPr="001D5327">
        <w:t>O emissions from manure deposited on soil (EF</w:t>
      </w:r>
      <w:r w:rsidRPr="001D5327">
        <w:rPr>
          <w:vertAlign w:val="subscript"/>
        </w:rPr>
        <w:t>3,PRP-MINOR</w:t>
      </w:r>
      <w:r w:rsidRPr="001D5327">
        <w:t xml:space="preserve">) are appropriate for </w:t>
      </w:r>
      <w:r w:rsidRPr="001D5327" w:rsidDel="00271F52">
        <w:rPr>
          <w:rFonts w:cs="Calibri"/>
        </w:rPr>
        <w:t>New</w:t>
      </w:r>
      <w:r w:rsidRPr="001D5327">
        <w:rPr>
          <w:rFonts w:cs="Calibri"/>
        </w:rPr>
        <w:t> Zealand</w:t>
      </w:r>
      <w:r w:rsidRPr="001D5327">
        <w:t xml:space="preserve"> conditions (Carran et al., 1995; de Klein et al., 2003; Muller et al., 1995).</w:t>
      </w:r>
    </w:p>
    <w:p w14:paraId="5608ECA1" w14:textId="77777777" w:rsidR="00590FE1" w:rsidRPr="001D5327" w:rsidRDefault="00590FE1" w:rsidP="00590FE1">
      <w:pPr>
        <w:pStyle w:val="BodyText"/>
      </w:pPr>
      <w:r w:rsidRPr="001D5327">
        <w:rPr>
          <w:rFonts w:cs="Calibri"/>
        </w:rPr>
        <w:t>New Zealand</w:t>
      </w:r>
      <w:r w:rsidRPr="001D5327">
        <w:t xml:space="preserve"> uses country-specific emission factors for urea fertiliser (0.0059) and dairy cattle effluent manure (0.0025) applied to soils (van der Weerden et al., 2016a and 2016b). The IPCC default value of 0.01 is used for other nitrogen inputs including synthetic nitrogen fertiliser (excluding urea), animal manure from minor livestock species applied to soils, and crop residues. This emission factor of 0.01 has been verified as suitable for </w:t>
      </w:r>
      <w:r w:rsidRPr="001D5327" w:rsidDel="0050321B">
        <w:rPr>
          <w:rFonts w:cs="Calibri"/>
        </w:rPr>
        <w:t xml:space="preserve">New </w:t>
      </w:r>
      <w:r w:rsidRPr="001D5327">
        <w:rPr>
          <w:rFonts w:cs="Calibri"/>
        </w:rPr>
        <w:t>Zealand</w:t>
      </w:r>
      <w:r w:rsidRPr="001D5327">
        <w:t xml:space="preserve"> conditions by Kelliher and de Klein (2006). </w:t>
      </w:r>
    </w:p>
    <w:p w14:paraId="2F6AAED6" w14:textId="77777777" w:rsidR="00590FE1" w:rsidRPr="001D5327" w:rsidRDefault="00590FE1" w:rsidP="00590FE1">
      <w:pPr>
        <w:pStyle w:val="BodyText"/>
      </w:pPr>
      <w:r w:rsidRPr="001D5327">
        <w:t>The emission factor for indirect N</w:t>
      </w:r>
      <w:r w:rsidRPr="001D5327">
        <w:rPr>
          <w:vertAlign w:val="subscript"/>
        </w:rPr>
        <w:t>2</w:t>
      </w:r>
      <w:r w:rsidRPr="001D5327">
        <w:t>O emissions from leaching and runoff (EF</w:t>
      </w:r>
      <w:r w:rsidRPr="001D5327">
        <w:rPr>
          <w:vertAlign w:val="subscript"/>
        </w:rPr>
        <w:t>5</w:t>
      </w:r>
      <w:r w:rsidRPr="001D5327">
        <w:t xml:space="preserve">) for rivers, lakes and estuaries has also been reviewed (Clough and Kelliher, 2014). The review concluded that further research is required to develop a country-specific value, and that the IPCC (2006) default emission factor (0.0075) is appropriate for </w:t>
      </w:r>
      <w:r w:rsidRPr="001D5327" w:rsidDel="00FA77EB">
        <w:rPr>
          <w:rFonts w:cs="Calibri"/>
        </w:rPr>
        <w:t xml:space="preserve">New </w:t>
      </w:r>
      <w:r w:rsidRPr="001D5327">
        <w:rPr>
          <w:rFonts w:cs="Calibri"/>
        </w:rPr>
        <w:t>Zealand</w:t>
      </w:r>
      <w:r w:rsidRPr="001D5327">
        <w:t xml:space="preserve"> in the meantime. </w:t>
      </w:r>
    </w:p>
    <w:p w14:paraId="2AC2131F" w14:textId="77777777" w:rsidR="00590FE1" w:rsidRPr="001D5327" w:rsidRDefault="00590FE1" w:rsidP="00590FE1">
      <w:pPr>
        <w:pStyle w:val="BodyText"/>
      </w:pPr>
      <w:r w:rsidRPr="001D5327">
        <w:t>In addition to these coun</w:t>
      </w:r>
      <w:r w:rsidRPr="001D5327">
        <w:rPr>
          <w:spacing w:val="-2"/>
        </w:rPr>
        <w:t xml:space="preserve">try-specific emission factors, </w:t>
      </w:r>
      <w:r w:rsidRPr="001D5327" w:rsidDel="00FA77EB">
        <w:rPr>
          <w:rFonts w:cs="Calibri"/>
        </w:rPr>
        <w:t xml:space="preserve">New </w:t>
      </w:r>
      <w:r w:rsidRPr="001D5327">
        <w:rPr>
          <w:rFonts w:cs="Calibri"/>
        </w:rPr>
        <w:t>Zealand</w:t>
      </w:r>
      <w:r w:rsidRPr="001D5327">
        <w:rPr>
          <w:spacing w:val="-2"/>
        </w:rPr>
        <w:t xml:space="preserve"> has developed country-specific parameters for volatilisation, leaching and nitrogen input from crop residue burning and pasture renewal (see table 5.5.4). </w:t>
      </w:r>
      <w:r w:rsidRPr="001D5327">
        <w:rPr>
          <w:rFonts w:cs="Calibri"/>
        </w:rPr>
        <w:t>New Zealand</w:t>
      </w:r>
      <w:r w:rsidRPr="001D5327">
        <w:rPr>
          <w:spacing w:val="-2"/>
        </w:rPr>
        <w:t xml:space="preserve"> has also incorporated country-specific emission factors and country-specific parameters </w:t>
      </w:r>
      <w:r w:rsidRPr="001D5327">
        <w:t xml:space="preserve">for calculating emissions from the use of the following mitigation technologies </w:t>
      </w:r>
      <w:r w:rsidRPr="001D5327">
        <w:rPr>
          <w:spacing w:val="-2"/>
        </w:rPr>
        <w:t>(see table 5.5.5)</w:t>
      </w:r>
      <w:r w:rsidRPr="001D5327">
        <w:t>:</w:t>
      </w:r>
    </w:p>
    <w:p w14:paraId="72645BC2" w14:textId="77777777" w:rsidR="00590FE1" w:rsidRPr="001D5327" w:rsidRDefault="00590FE1">
      <w:pPr>
        <w:pStyle w:val="Bullet"/>
        <w:numPr>
          <w:ilvl w:val="0"/>
          <w:numId w:val="27"/>
        </w:numPr>
      </w:pPr>
      <w:r w:rsidRPr="001D5327">
        <w:t xml:space="preserve">urease inhibitors such as N-butyl thiophosphoric triamide </w:t>
      </w:r>
    </w:p>
    <w:p w14:paraId="0F2116F8" w14:textId="77777777" w:rsidR="00590FE1" w:rsidRPr="001D5327" w:rsidRDefault="00590FE1">
      <w:pPr>
        <w:pStyle w:val="Bullet"/>
        <w:numPr>
          <w:ilvl w:val="0"/>
          <w:numId w:val="27"/>
        </w:numPr>
        <w:rPr>
          <w:spacing w:val="-2"/>
        </w:rPr>
      </w:pPr>
      <w:r w:rsidRPr="001D5327">
        <w:t xml:space="preserve">dicyandiamide (DCD), a nitrification inhibitor. </w:t>
      </w:r>
    </w:p>
    <w:p w14:paraId="037AD461" w14:textId="77777777" w:rsidR="00590FE1" w:rsidRPr="001D5327" w:rsidRDefault="00590FE1" w:rsidP="00590FE1">
      <w:pPr>
        <w:pStyle w:val="Table"/>
        <w:rPr>
          <w:rFonts w:cs="Calibri"/>
        </w:rPr>
      </w:pPr>
      <w:bookmarkStart w:id="1116" w:name="_Toc441830880"/>
      <w:bookmarkStart w:id="1117" w:name="_Toc451176094"/>
      <w:bookmarkStart w:id="1118" w:name="_Toc481751522"/>
      <w:bookmarkStart w:id="1119" w:name="_Toc507158610"/>
      <w:bookmarkStart w:id="1120" w:name="_Toc511116744"/>
      <w:bookmarkStart w:id="1121" w:name="_Toc5269486"/>
      <w:bookmarkStart w:id="1122" w:name="_Toc32570928"/>
      <w:bookmarkStart w:id="1123" w:name="_Toc36224563"/>
      <w:bookmarkStart w:id="1124" w:name="_Toc68786448"/>
      <w:bookmarkStart w:id="1125" w:name="_Toc95574081"/>
      <w:bookmarkStart w:id="1126" w:name="_Toc127458268"/>
      <w:bookmarkStart w:id="1127" w:name="_Toc131591364"/>
      <w:bookmarkStart w:id="1128" w:name="_Toc160114458"/>
      <w:bookmarkStart w:id="1129" w:name="_Toc164153854"/>
      <w:bookmarkStart w:id="1130" w:name="_Toc194241726"/>
      <w:r w:rsidRPr="001D5327">
        <w:rPr>
          <w:rFonts w:cs="Calibri"/>
        </w:rPr>
        <w:t>Table 5.5.2</w:t>
      </w:r>
      <w:r w:rsidRPr="001D5327">
        <w:rPr>
          <w:rFonts w:cs="Calibri"/>
        </w:rPr>
        <w:tab/>
        <w:t>Nitrous oxide (N</w:t>
      </w:r>
      <w:r w:rsidRPr="001D5327">
        <w:rPr>
          <w:rFonts w:cs="Calibri"/>
          <w:vertAlign w:val="subscript"/>
        </w:rPr>
        <w:t>2</w:t>
      </w:r>
      <w:r w:rsidRPr="001D5327">
        <w:rPr>
          <w:rFonts w:cs="Calibri"/>
        </w:rPr>
        <w:t xml:space="preserve">O) emission factors for </w:t>
      </w:r>
      <w:r w:rsidRPr="001D5327">
        <w:rPr>
          <w:rFonts w:cs="Calibri"/>
          <w:i/>
          <w:iCs/>
        </w:rPr>
        <w:t>Agricultural soils</w:t>
      </w:r>
      <w:r w:rsidRPr="001D5327">
        <w:rPr>
          <w:rFonts w:cs="Calibri"/>
        </w:rPr>
        <w:t xml:space="preserve"> in New Zealand</w:t>
      </w:r>
      <w:bookmarkEnd w:id="1116"/>
      <w:bookmarkEnd w:id="1117"/>
      <w:bookmarkEnd w:id="1118"/>
      <w:bookmarkEnd w:id="1119"/>
      <w:bookmarkEnd w:id="1120"/>
      <w:bookmarkEnd w:id="1121"/>
      <w:r w:rsidRPr="001D5327">
        <w:rPr>
          <w:rFonts w:cs="Calibri"/>
        </w:rPr>
        <w:t>,</w:t>
      </w:r>
      <w:r w:rsidRPr="001D5327">
        <w:rPr>
          <w:rFonts w:cs="Calibri"/>
        </w:rPr>
        <w:br/>
        <w:t>excluding EF</w:t>
      </w:r>
      <w:r w:rsidRPr="001D5327">
        <w:rPr>
          <w:rFonts w:cs="Calibri"/>
          <w:vertAlign w:val="subscript"/>
        </w:rPr>
        <w:t>3,PRP</w:t>
      </w:r>
      <w:r w:rsidRPr="001D5327">
        <w:rPr>
          <w:rFonts w:cs="Calibri"/>
          <w:vertAlign w:val="subscript"/>
        </w:rPr>
        <w:noBreakHyphen/>
        <w:t xml:space="preserve"> URINE</w:t>
      </w:r>
      <w:r w:rsidRPr="001D5327">
        <w:rPr>
          <w:rFonts w:cs="Calibri"/>
        </w:rPr>
        <w:t xml:space="preserve"> for cattle, sheep and deer</w:t>
      </w:r>
      <w:bookmarkEnd w:id="1122"/>
      <w:bookmarkEnd w:id="1123"/>
      <w:bookmarkEnd w:id="1124"/>
      <w:bookmarkEnd w:id="1125"/>
      <w:bookmarkEnd w:id="1126"/>
      <w:bookmarkEnd w:id="1127"/>
      <w:bookmarkEnd w:id="1128"/>
      <w:bookmarkEnd w:id="1129"/>
      <w:bookmarkEnd w:id="1130"/>
    </w:p>
    <w:tbl>
      <w:tblPr>
        <w:tblW w:w="8505" w:type="dxa"/>
        <w:tblBorders>
          <w:top w:val="single" w:sz="4" w:space="0" w:color="365F91"/>
          <w:bottom w:val="single" w:sz="4" w:space="0" w:color="365F91"/>
          <w:insideH w:val="single" w:sz="4" w:space="0" w:color="365F91"/>
        </w:tblBorders>
        <w:tblCellMar>
          <w:left w:w="85" w:type="dxa"/>
          <w:right w:w="85" w:type="dxa"/>
        </w:tblCellMar>
        <w:tblLook w:val="01E0" w:firstRow="1" w:lastRow="1" w:firstColumn="1" w:lastColumn="1" w:noHBand="0" w:noVBand="0"/>
      </w:tblPr>
      <w:tblGrid>
        <w:gridCol w:w="3235"/>
        <w:gridCol w:w="987"/>
        <w:gridCol w:w="708"/>
        <w:gridCol w:w="1408"/>
        <w:gridCol w:w="2167"/>
      </w:tblGrid>
      <w:tr w:rsidR="00590FE1" w:rsidRPr="001D5327" w14:paraId="54E88B78" w14:textId="77777777" w:rsidTr="00403787">
        <w:trPr>
          <w:tblHeader/>
        </w:trPr>
        <w:tc>
          <w:tcPr>
            <w:tcW w:w="3261" w:type="dxa"/>
            <w:tcBorders>
              <w:top w:val="single" w:sz="4" w:space="0" w:color="1B556B" w:themeColor="text2"/>
              <w:bottom w:val="single" w:sz="4" w:space="0" w:color="1B556B" w:themeColor="text2"/>
            </w:tcBorders>
            <w:shd w:val="clear" w:color="auto" w:fill="1B556B"/>
            <w:vAlign w:val="bottom"/>
          </w:tcPr>
          <w:p w14:paraId="1A324E21" w14:textId="77777777" w:rsidR="00590FE1" w:rsidRPr="001D5327" w:rsidRDefault="00590FE1" w:rsidP="00403787">
            <w:pPr>
              <w:pStyle w:val="TableTextBold"/>
              <w:keepNext/>
              <w:rPr>
                <w:noProof w:val="0"/>
                <w:color w:val="FFFFFF" w:themeColor="background1"/>
                <w:szCs w:val="16"/>
              </w:rPr>
            </w:pPr>
            <w:r w:rsidRPr="001D5327">
              <w:rPr>
                <w:noProof w:val="0"/>
                <w:color w:val="FFFFFF" w:themeColor="background1"/>
                <w:szCs w:val="16"/>
              </w:rPr>
              <w:t>Category</w:t>
            </w:r>
          </w:p>
        </w:tc>
        <w:tc>
          <w:tcPr>
            <w:tcW w:w="3118" w:type="dxa"/>
            <w:gridSpan w:val="3"/>
            <w:tcBorders>
              <w:top w:val="single" w:sz="4" w:space="0" w:color="1B556B" w:themeColor="text2"/>
              <w:bottom w:val="single" w:sz="4" w:space="0" w:color="1B556B" w:themeColor="text2"/>
            </w:tcBorders>
            <w:shd w:val="clear" w:color="auto" w:fill="1B556B"/>
            <w:vAlign w:val="bottom"/>
          </w:tcPr>
          <w:p w14:paraId="16EC0701" w14:textId="77777777" w:rsidR="00590FE1" w:rsidRPr="001D5327" w:rsidRDefault="00590FE1" w:rsidP="00403787">
            <w:pPr>
              <w:pStyle w:val="TableTextBold"/>
              <w:keepNext/>
              <w:jc w:val="center"/>
              <w:rPr>
                <w:noProof w:val="0"/>
                <w:color w:val="FFFFFF" w:themeColor="background1"/>
                <w:szCs w:val="16"/>
              </w:rPr>
            </w:pPr>
            <w:r w:rsidRPr="001D5327">
              <w:rPr>
                <w:noProof w:val="0"/>
                <w:color w:val="FFFFFF" w:themeColor="background1"/>
                <w:szCs w:val="16"/>
              </w:rPr>
              <w:t>Emission factor</w:t>
            </w:r>
          </w:p>
        </w:tc>
        <w:tc>
          <w:tcPr>
            <w:tcW w:w="2183" w:type="dxa"/>
            <w:tcBorders>
              <w:top w:val="single" w:sz="4" w:space="0" w:color="1B556B" w:themeColor="text2"/>
              <w:bottom w:val="single" w:sz="4" w:space="0" w:color="1B556B" w:themeColor="text2"/>
            </w:tcBorders>
            <w:shd w:val="clear" w:color="auto" w:fill="1B556B"/>
            <w:vAlign w:val="bottom"/>
          </w:tcPr>
          <w:p w14:paraId="77D581FC" w14:textId="77777777" w:rsidR="00590FE1" w:rsidRPr="001D5327" w:rsidRDefault="00590FE1" w:rsidP="00403787">
            <w:pPr>
              <w:pStyle w:val="TableTextBold"/>
              <w:keepNext/>
              <w:jc w:val="center"/>
              <w:rPr>
                <w:noProof w:val="0"/>
                <w:color w:val="FFFFFF" w:themeColor="background1"/>
                <w:szCs w:val="16"/>
              </w:rPr>
            </w:pPr>
            <w:r w:rsidRPr="001D5327">
              <w:rPr>
                <w:noProof w:val="0"/>
                <w:color w:val="FFFFFF" w:themeColor="background1"/>
                <w:szCs w:val="16"/>
              </w:rPr>
              <w:t>Source</w:t>
            </w:r>
          </w:p>
        </w:tc>
      </w:tr>
      <w:tr w:rsidR="00590FE1" w:rsidRPr="001D5327" w14:paraId="184DEA8D" w14:textId="77777777" w:rsidTr="00403787">
        <w:tc>
          <w:tcPr>
            <w:tcW w:w="0" w:type="auto"/>
            <w:gridSpan w:val="5"/>
            <w:tcBorders>
              <w:top w:val="single" w:sz="4" w:space="0" w:color="1B556B" w:themeColor="text2"/>
              <w:bottom w:val="single" w:sz="4" w:space="0" w:color="1B556B" w:themeColor="text2"/>
            </w:tcBorders>
          </w:tcPr>
          <w:p w14:paraId="783B5C39" w14:textId="77777777" w:rsidR="00590FE1" w:rsidRPr="001D5327" w:rsidRDefault="00590FE1" w:rsidP="00403787">
            <w:pPr>
              <w:pStyle w:val="TableText"/>
              <w:keepNext/>
              <w:spacing w:before="50" w:after="50"/>
              <w:rPr>
                <w:rFonts w:cs="Calibri"/>
                <w:b/>
                <w:bCs/>
                <w:szCs w:val="16"/>
              </w:rPr>
            </w:pPr>
            <w:r w:rsidRPr="001D5327">
              <w:rPr>
                <w:rFonts w:cs="Calibri"/>
                <w:b/>
                <w:bCs/>
                <w:szCs w:val="16"/>
              </w:rPr>
              <w:t>3.D.1 Direct N</w:t>
            </w:r>
            <w:r w:rsidRPr="001D5327">
              <w:rPr>
                <w:rFonts w:cs="Calibri"/>
                <w:b/>
                <w:bCs/>
                <w:szCs w:val="16"/>
                <w:vertAlign w:val="subscript"/>
              </w:rPr>
              <w:t>2</w:t>
            </w:r>
            <w:r w:rsidRPr="001D5327">
              <w:rPr>
                <w:rFonts w:cs="Calibri"/>
                <w:b/>
                <w:bCs/>
                <w:szCs w:val="16"/>
              </w:rPr>
              <w:t>O emissions</w:t>
            </w:r>
          </w:p>
        </w:tc>
      </w:tr>
      <w:tr w:rsidR="00590FE1" w:rsidRPr="001D5327" w14:paraId="48568C56" w14:textId="77777777" w:rsidTr="00403787">
        <w:tc>
          <w:tcPr>
            <w:tcW w:w="3261" w:type="dxa"/>
            <w:tcBorders>
              <w:top w:val="single" w:sz="4" w:space="0" w:color="1B556B" w:themeColor="text2"/>
              <w:bottom w:val="single" w:sz="4" w:space="0" w:color="1B556B" w:themeColor="text2"/>
            </w:tcBorders>
          </w:tcPr>
          <w:p w14:paraId="002BCFCF" w14:textId="77777777" w:rsidR="00590FE1" w:rsidRPr="001D5327" w:rsidRDefault="00590FE1" w:rsidP="00403787">
            <w:pPr>
              <w:pStyle w:val="TableText"/>
              <w:spacing w:before="50" w:after="50"/>
              <w:rPr>
                <w:rFonts w:cs="Calibri"/>
                <w:szCs w:val="16"/>
              </w:rPr>
            </w:pPr>
            <w:r w:rsidRPr="001D5327">
              <w:rPr>
                <w:rFonts w:cs="Calibri"/>
                <w:szCs w:val="16"/>
              </w:rPr>
              <w:t>Synthetic nitrogen fertiliser (urea)</w:t>
            </w:r>
          </w:p>
        </w:tc>
        <w:tc>
          <w:tcPr>
            <w:tcW w:w="992" w:type="dxa"/>
            <w:tcBorders>
              <w:top w:val="single" w:sz="4" w:space="0" w:color="1B556B" w:themeColor="text2"/>
              <w:bottom w:val="single" w:sz="4" w:space="0" w:color="1B556B" w:themeColor="text2"/>
            </w:tcBorders>
          </w:tcPr>
          <w:p w14:paraId="2BCFEE99" w14:textId="77777777" w:rsidR="00590FE1" w:rsidRPr="001D5327" w:rsidRDefault="00590FE1" w:rsidP="00403787">
            <w:pPr>
              <w:pStyle w:val="TableText"/>
              <w:keepNext/>
              <w:spacing w:before="50" w:after="50"/>
              <w:rPr>
                <w:rFonts w:cs="Calibri"/>
                <w:szCs w:val="16"/>
              </w:rPr>
            </w:pPr>
            <w:r w:rsidRPr="001D5327">
              <w:rPr>
                <w:rFonts w:cs="Calibri"/>
                <w:szCs w:val="16"/>
              </w:rPr>
              <w:t>EF</w:t>
            </w:r>
            <w:r w:rsidRPr="001D5327">
              <w:rPr>
                <w:rFonts w:cs="Calibri"/>
                <w:szCs w:val="16"/>
                <w:vertAlign w:val="subscript"/>
              </w:rPr>
              <w:t>1-UREA</w:t>
            </w:r>
          </w:p>
        </w:tc>
        <w:tc>
          <w:tcPr>
            <w:tcW w:w="709" w:type="dxa"/>
            <w:tcBorders>
              <w:top w:val="single" w:sz="4" w:space="0" w:color="1B556B" w:themeColor="text2"/>
              <w:bottom w:val="single" w:sz="4" w:space="0" w:color="1B556B" w:themeColor="text2"/>
            </w:tcBorders>
          </w:tcPr>
          <w:p w14:paraId="6301387A" w14:textId="77777777" w:rsidR="00590FE1" w:rsidRPr="001D5327" w:rsidRDefault="00590FE1" w:rsidP="00403787">
            <w:pPr>
              <w:pStyle w:val="TableText"/>
              <w:keepNext/>
              <w:spacing w:before="50" w:after="50"/>
              <w:jc w:val="right"/>
              <w:rPr>
                <w:rFonts w:cs="Calibri"/>
                <w:szCs w:val="16"/>
              </w:rPr>
            </w:pPr>
            <w:r w:rsidRPr="001D5327">
              <w:rPr>
                <w:rFonts w:cs="Calibri"/>
                <w:szCs w:val="16"/>
              </w:rPr>
              <w:t>0.0059</w:t>
            </w:r>
          </w:p>
        </w:tc>
        <w:tc>
          <w:tcPr>
            <w:tcW w:w="1417" w:type="dxa"/>
            <w:tcBorders>
              <w:top w:val="single" w:sz="4" w:space="0" w:color="1B556B" w:themeColor="text2"/>
              <w:bottom w:val="single" w:sz="4" w:space="0" w:color="1B556B" w:themeColor="text2"/>
            </w:tcBorders>
            <w:tcMar>
              <w:right w:w="28" w:type="dxa"/>
            </w:tcMar>
          </w:tcPr>
          <w:p w14:paraId="40E080D4" w14:textId="77777777" w:rsidR="00590FE1" w:rsidRPr="001D5327" w:rsidRDefault="00590FE1" w:rsidP="00403787">
            <w:pPr>
              <w:pStyle w:val="TableText"/>
              <w:keepNext/>
              <w:spacing w:before="50" w:after="50"/>
              <w:rPr>
                <w:rFonts w:cs="Calibri"/>
                <w:szCs w:val="16"/>
              </w:rPr>
            </w:pPr>
            <w:r w:rsidRPr="001D5327">
              <w:rPr>
                <w:rFonts w:cs="Calibri"/>
                <w:szCs w:val="16"/>
              </w:rPr>
              <w:t>kg N</w:t>
            </w:r>
            <w:r w:rsidRPr="001D5327">
              <w:rPr>
                <w:rFonts w:cs="Calibri"/>
                <w:szCs w:val="16"/>
                <w:vertAlign w:val="subscript"/>
              </w:rPr>
              <w:t>2</w:t>
            </w:r>
            <w:r w:rsidRPr="001D5327">
              <w:rPr>
                <w:rFonts w:cs="Calibri"/>
                <w:szCs w:val="16"/>
              </w:rPr>
              <w:t>O-N/kg N</w:t>
            </w:r>
          </w:p>
        </w:tc>
        <w:tc>
          <w:tcPr>
            <w:tcW w:w="2183" w:type="dxa"/>
            <w:tcBorders>
              <w:top w:val="single" w:sz="4" w:space="0" w:color="1B556B" w:themeColor="text2"/>
              <w:bottom w:val="single" w:sz="4" w:space="0" w:color="1B556B" w:themeColor="text2"/>
            </w:tcBorders>
          </w:tcPr>
          <w:p w14:paraId="7FBB1D0E" w14:textId="77777777" w:rsidR="00590FE1" w:rsidRPr="001D5327" w:rsidRDefault="00590FE1" w:rsidP="00403787">
            <w:pPr>
              <w:pStyle w:val="TableText"/>
              <w:keepNext/>
              <w:spacing w:before="50" w:after="50"/>
              <w:rPr>
                <w:rFonts w:cs="Calibri"/>
                <w:szCs w:val="16"/>
              </w:rPr>
            </w:pPr>
            <w:r w:rsidRPr="001D5327">
              <w:rPr>
                <w:rFonts w:cs="Calibri"/>
                <w:szCs w:val="16"/>
              </w:rPr>
              <w:t>van der Weerden et al. (2016a, 2016b)</w:t>
            </w:r>
          </w:p>
        </w:tc>
      </w:tr>
      <w:tr w:rsidR="00590FE1" w:rsidRPr="001D5327" w14:paraId="1AA39A08" w14:textId="77777777" w:rsidTr="00403787">
        <w:tc>
          <w:tcPr>
            <w:tcW w:w="3261" w:type="dxa"/>
            <w:tcBorders>
              <w:top w:val="single" w:sz="4" w:space="0" w:color="1B556B" w:themeColor="text2"/>
              <w:bottom w:val="single" w:sz="4" w:space="0" w:color="1B556B" w:themeColor="text2"/>
            </w:tcBorders>
          </w:tcPr>
          <w:p w14:paraId="3B528899" w14:textId="77777777" w:rsidR="00590FE1" w:rsidRPr="001D5327" w:rsidRDefault="00590FE1" w:rsidP="00403787">
            <w:pPr>
              <w:pStyle w:val="TableText"/>
              <w:spacing w:before="50" w:after="50"/>
              <w:rPr>
                <w:rFonts w:cs="Calibri"/>
                <w:szCs w:val="16"/>
              </w:rPr>
            </w:pPr>
            <w:r w:rsidRPr="001D5327">
              <w:rPr>
                <w:rFonts w:cs="Calibri"/>
                <w:szCs w:val="16"/>
              </w:rPr>
              <w:t>Organic fertiliser (dairy cattle manure)</w:t>
            </w:r>
          </w:p>
        </w:tc>
        <w:tc>
          <w:tcPr>
            <w:tcW w:w="992" w:type="dxa"/>
            <w:tcBorders>
              <w:top w:val="single" w:sz="4" w:space="0" w:color="1B556B" w:themeColor="text2"/>
              <w:bottom w:val="single" w:sz="4" w:space="0" w:color="1B556B" w:themeColor="text2"/>
            </w:tcBorders>
          </w:tcPr>
          <w:p w14:paraId="684F28C0" w14:textId="77777777" w:rsidR="00590FE1" w:rsidRPr="001D5327" w:rsidRDefault="00590FE1" w:rsidP="00403787">
            <w:pPr>
              <w:pStyle w:val="TableText"/>
              <w:keepNext/>
              <w:spacing w:before="50" w:after="50"/>
              <w:rPr>
                <w:rFonts w:cs="Calibri"/>
                <w:szCs w:val="16"/>
              </w:rPr>
            </w:pPr>
            <w:r w:rsidRPr="001D5327">
              <w:rPr>
                <w:rFonts w:cs="Calibri"/>
                <w:szCs w:val="16"/>
              </w:rPr>
              <w:t>EF</w:t>
            </w:r>
            <w:r w:rsidRPr="001D5327">
              <w:rPr>
                <w:rFonts w:cs="Calibri"/>
                <w:szCs w:val="16"/>
                <w:vertAlign w:val="subscript"/>
              </w:rPr>
              <w:t>1-DAIRY</w:t>
            </w:r>
          </w:p>
        </w:tc>
        <w:tc>
          <w:tcPr>
            <w:tcW w:w="709" w:type="dxa"/>
            <w:tcBorders>
              <w:top w:val="single" w:sz="4" w:space="0" w:color="1B556B" w:themeColor="text2"/>
              <w:bottom w:val="single" w:sz="4" w:space="0" w:color="1B556B" w:themeColor="text2"/>
            </w:tcBorders>
          </w:tcPr>
          <w:p w14:paraId="3FDB3F6B" w14:textId="77777777" w:rsidR="00590FE1" w:rsidRPr="001D5327" w:rsidRDefault="00590FE1" w:rsidP="00403787">
            <w:pPr>
              <w:pStyle w:val="TableText"/>
              <w:keepNext/>
              <w:spacing w:before="50" w:after="50"/>
              <w:jc w:val="right"/>
              <w:rPr>
                <w:rFonts w:cs="Calibri"/>
                <w:szCs w:val="16"/>
              </w:rPr>
            </w:pPr>
            <w:r w:rsidRPr="001D5327">
              <w:rPr>
                <w:rFonts w:cs="Calibri"/>
                <w:szCs w:val="16"/>
              </w:rPr>
              <w:t>0.0025</w:t>
            </w:r>
          </w:p>
        </w:tc>
        <w:tc>
          <w:tcPr>
            <w:tcW w:w="1417" w:type="dxa"/>
            <w:tcBorders>
              <w:top w:val="single" w:sz="4" w:space="0" w:color="1B556B" w:themeColor="text2"/>
              <w:bottom w:val="single" w:sz="4" w:space="0" w:color="1B556B" w:themeColor="text2"/>
            </w:tcBorders>
            <w:tcMar>
              <w:right w:w="28" w:type="dxa"/>
            </w:tcMar>
          </w:tcPr>
          <w:p w14:paraId="591CB467" w14:textId="77777777" w:rsidR="00590FE1" w:rsidRPr="001D5327" w:rsidRDefault="00590FE1" w:rsidP="00403787">
            <w:pPr>
              <w:pStyle w:val="TableText"/>
              <w:keepNext/>
              <w:spacing w:before="50" w:after="50"/>
              <w:rPr>
                <w:rFonts w:cs="Calibri"/>
                <w:szCs w:val="16"/>
              </w:rPr>
            </w:pPr>
            <w:r w:rsidRPr="001D5327">
              <w:rPr>
                <w:rFonts w:cs="Calibri"/>
                <w:szCs w:val="16"/>
              </w:rPr>
              <w:t>kg N</w:t>
            </w:r>
            <w:r w:rsidRPr="001D5327">
              <w:rPr>
                <w:rFonts w:cs="Calibri"/>
                <w:szCs w:val="16"/>
                <w:vertAlign w:val="subscript"/>
              </w:rPr>
              <w:t>2</w:t>
            </w:r>
            <w:r w:rsidRPr="001D5327">
              <w:rPr>
                <w:rFonts w:cs="Calibri"/>
                <w:szCs w:val="16"/>
              </w:rPr>
              <w:t>O-N/kg N</w:t>
            </w:r>
          </w:p>
        </w:tc>
        <w:tc>
          <w:tcPr>
            <w:tcW w:w="2183" w:type="dxa"/>
            <w:tcBorders>
              <w:top w:val="single" w:sz="4" w:space="0" w:color="1B556B" w:themeColor="text2"/>
              <w:bottom w:val="single" w:sz="4" w:space="0" w:color="1B556B" w:themeColor="text2"/>
            </w:tcBorders>
          </w:tcPr>
          <w:p w14:paraId="3D41A6AA" w14:textId="77777777" w:rsidR="00590FE1" w:rsidRPr="001D5327" w:rsidRDefault="00590FE1" w:rsidP="00403787">
            <w:pPr>
              <w:pStyle w:val="TableText"/>
              <w:keepNext/>
              <w:spacing w:before="50" w:after="50"/>
              <w:rPr>
                <w:rFonts w:cs="Calibri"/>
                <w:szCs w:val="16"/>
              </w:rPr>
            </w:pPr>
            <w:r w:rsidRPr="001D5327">
              <w:rPr>
                <w:rFonts w:cs="Calibri"/>
                <w:szCs w:val="16"/>
              </w:rPr>
              <w:t>van der Weerden et al. (2016a, 2016b)</w:t>
            </w:r>
          </w:p>
        </w:tc>
      </w:tr>
      <w:tr w:rsidR="00590FE1" w:rsidRPr="001D5327" w14:paraId="0A6750AA" w14:textId="77777777" w:rsidTr="00403787">
        <w:tc>
          <w:tcPr>
            <w:tcW w:w="3261" w:type="dxa"/>
            <w:tcBorders>
              <w:top w:val="single" w:sz="4" w:space="0" w:color="1B556B" w:themeColor="text2"/>
              <w:bottom w:val="single" w:sz="4" w:space="0" w:color="1B556B" w:themeColor="text2"/>
            </w:tcBorders>
          </w:tcPr>
          <w:p w14:paraId="1158E952" w14:textId="77777777" w:rsidR="00590FE1" w:rsidRPr="001D5327" w:rsidRDefault="00590FE1" w:rsidP="00403787">
            <w:pPr>
              <w:pStyle w:val="TableText"/>
              <w:spacing w:before="50" w:after="50"/>
              <w:rPr>
                <w:rFonts w:cs="Calibri"/>
                <w:szCs w:val="16"/>
              </w:rPr>
            </w:pPr>
            <w:r w:rsidRPr="001D5327">
              <w:rPr>
                <w:rFonts w:cs="Calibri"/>
                <w:szCs w:val="16"/>
              </w:rPr>
              <w:t>Organic fertiliser (non-manure)</w:t>
            </w:r>
          </w:p>
        </w:tc>
        <w:tc>
          <w:tcPr>
            <w:tcW w:w="992" w:type="dxa"/>
            <w:tcBorders>
              <w:top w:val="single" w:sz="4" w:space="0" w:color="1B556B" w:themeColor="text2"/>
              <w:bottom w:val="single" w:sz="4" w:space="0" w:color="1B556B" w:themeColor="text2"/>
            </w:tcBorders>
          </w:tcPr>
          <w:p w14:paraId="1AFB9C0C" w14:textId="77777777" w:rsidR="00590FE1" w:rsidRPr="001D5327" w:rsidRDefault="00590FE1" w:rsidP="00403787">
            <w:pPr>
              <w:pStyle w:val="TableText"/>
              <w:keepNext/>
              <w:spacing w:before="50" w:after="50"/>
              <w:rPr>
                <w:rFonts w:cs="Calibri"/>
                <w:szCs w:val="16"/>
              </w:rPr>
            </w:pPr>
            <w:r w:rsidRPr="001D5327">
              <w:rPr>
                <w:rFonts w:cs="Calibri"/>
                <w:szCs w:val="16"/>
              </w:rPr>
              <w:t>EF</w:t>
            </w:r>
            <w:r w:rsidRPr="001D5327">
              <w:rPr>
                <w:rFonts w:cs="Calibri"/>
                <w:szCs w:val="16"/>
                <w:vertAlign w:val="subscript"/>
              </w:rPr>
              <w:t>1-ORGANIC</w:t>
            </w:r>
          </w:p>
        </w:tc>
        <w:tc>
          <w:tcPr>
            <w:tcW w:w="709" w:type="dxa"/>
            <w:tcBorders>
              <w:top w:val="single" w:sz="4" w:space="0" w:color="1B556B" w:themeColor="text2"/>
              <w:bottom w:val="single" w:sz="4" w:space="0" w:color="1B556B" w:themeColor="text2"/>
            </w:tcBorders>
          </w:tcPr>
          <w:p w14:paraId="419E471C" w14:textId="77777777" w:rsidR="00590FE1" w:rsidRPr="001D5327" w:rsidRDefault="00590FE1" w:rsidP="00403787">
            <w:pPr>
              <w:pStyle w:val="TableText"/>
              <w:keepNext/>
              <w:spacing w:before="50" w:after="50"/>
              <w:jc w:val="right"/>
              <w:rPr>
                <w:rFonts w:cs="Calibri"/>
                <w:szCs w:val="16"/>
              </w:rPr>
            </w:pPr>
            <w:r w:rsidRPr="001D5327">
              <w:rPr>
                <w:rFonts w:cs="Calibri"/>
                <w:szCs w:val="16"/>
              </w:rPr>
              <w:t>0.006</w:t>
            </w:r>
          </w:p>
        </w:tc>
        <w:tc>
          <w:tcPr>
            <w:tcW w:w="1417" w:type="dxa"/>
            <w:tcBorders>
              <w:top w:val="single" w:sz="4" w:space="0" w:color="1B556B" w:themeColor="text2"/>
              <w:bottom w:val="single" w:sz="4" w:space="0" w:color="1B556B" w:themeColor="text2"/>
            </w:tcBorders>
            <w:tcMar>
              <w:right w:w="28" w:type="dxa"/>
            </w:tcMar>
          </w:tcPr>
          <w:p w14:paraId="701AD356" w14:textId="77777777" w:rsidR="00590FE1" w:rsidRPr="001D5327" w:rsidRDefault="00590FE1" w:rsidP="00403787">
            <w:pPr>
              <w:pStyle w:val="TableText"/>
              <w:keepNext/>
              <w:spacing w:before="50" w:after="50"/>
              <w:rPr>
                <w:rFonts w:cs="Calibri"/>
                <w:szCs w:val="16"/>
              </w:rPr>
            </w:pPr>
            <w:r w:rsidRPr="001D5327">
              <w:rPr>
                <w:rFonts w:cs="Calibri"/>
                <w:szCs w:val="16"/>
              </w:rPr>
              <w:t>kg N</w:t>
            </w:r>
            <w:r w:rsidRPr="001D5327">
              <w:rPr>
                <w:rFonts w:cs="Calibri"/>
                <w:szCs w:val="16"/>
                <w:vertAlign w:val="subscript"/>
              </w:rPr>
              <w:t>2</w:t>
            </w:r>
            <w:r w:rsidRPr="001D5327">
              <w:rPr>
                <w:rFonts w:cs="Calibri"/>
                <w:szCs w:val="16"/>
              </w:rPr>
              <w:t>O-N/kg N</w:t>
            </w:r>
          </w:p>
        </w:tc>
        <w:tc>
          <w:tcPr>
            <w:tcW w:w="2183" w:type="dxa"/>
            <w:tcBorders>
              <w:top w:val="single" w:sz="4" w:space="0" w:color="1B556B" w:themeColor="text2"/>
              <w:bottom w:val="single" w:sz="4" w:space="0" w:color="1B556B" w:themeColor="text2"/>
            </w:tcBorders>
          </w:tcPr>
          <w:p w14:paraId="502A8619" w14:textId="77777777" w:rsidR="00590FE1" w:rsidRPr="001D5327" w:rsidRDefault="00590FE1" w:rsidP="00403787">
            <w:pPr>
              <w:pStyle w:val="TableText"/>
              <w:keepNext/>
              <w:spacing w:before="50" w:after="50"/>
              <w:rPr>
                <w:rFonts w:cs="Calibri"/>
                <w:szCs w:val="16"/>
              </w:rPr>
            </w:pPr>
            <w:r w:rsidRPr="001D5327">
              <w:rPr>
                <w:rFonts w:cs="Calibri"/>
                <w:szCs w:val="16"/>
              </w:rPr>
              <w:t>IPCC (2019, table 11.1)</w:t>
            </w:r>
          </w:p>
        </w:tc>
      </w:tr>
      <w:tr w:rsidR="00590FE1" w:rsidRPr="001D5327" w14:paraId="02B12952" w14:textId="77777777" w:rsidTr="00403787">
        <w:tc>
          <w:tcPr>
            <w:tcW w:w="3261" w:type="dxa"/>
            <w:tcBorders>
              <w:top w:val="single" w:sz="4" w:space="0" w:color="1B556B" w:themeColor="text2"/>
              <w:bottom w:val="single" w:sz="4" w:space="0" w:color="1B556B" w:themeColor="text2"/>
            </w:tcBorders>
          </w:tcPr>
          <w:p w14:paraId="388E4C98" w14:textId="77777777" w:rsidR="00590FE1" w:rsidRPr="001D5327" w:rsidRDefault="00590FE1" w:rsidP="00403787">
            <w:pPr>
              <w:pStyle w:val="TableText"/>
              <w:spacing w:before="50" w:after="50"/>
              <w:rPr>
                <w:rFonts w:cs="Calibri"/>
                <w:szCs w:val="16"/>
              </w:rPr>
            </w:pPr>
            <w:r w:rsidRPr="001D5327">
              <w:rPr>
                <w:rFonts w:cs="Calibri"/>
                <w:szCs w:val="16"/>
              </w:rPr>
              <w:t xml:space="preserve">Synthetic nitrogen fertiliser (other), organic fertiliser (swine and poultry manure) crop residue, nitrogen loss due to soil organic matter mineralisation, organic soil mineralisation due to cultivation </w:t>
            </w:r>
          </w:p>
        </w:tc>
        <w:tc>
          <w:tcPr>
            <w:tcW w:w="992" w:type="dxa"/>
            <w:tcBorders>
              <w:top w:val="single" w:sz="4" w:space="0" w:color="1B556B" w:themeColor="text2"/>
              <w:bottom w:val="single" w:sz="4" w:space="0" w:color="1B556B" w:themeColor="text2"/>
            </w:tcBorders>
          </w:tcPr>
          <w:p w14:paraId="461D3DF5" w14:textId="77777777" w:rsidR="00590FE1" w:rsidRPr="001D5327" w:rsidRDefault="00590FE1" w:rsidP="00403787">
            <w:pPr>
              <w:pStyle w:val="TableText"/>
              <w:keepNext/>
              <w:spacing w:before="50" w:after="50"/>
              <w:rPr>
                <w:rFonts w:cs="Calibri"/>
                <w:szCs w:val="16"/>
              </w:rPr>
            </w:pPr>
            <w:r w:rsidRPr="001D5327">
              <w:rPr>
                <w:rFonts w:cs="Calibri"/>
                <w:szCs w:val="16"/>
              </w:rPr>
              <w:t>EF</w:t>
            </w:r>
            <w:r w:rsidRPr="001D5327">
              <w:rPr>
                <w:rFonts w:cs="Calibri"/>
                <w:szCs w:val="16"/>
                <w:vertAlign w:val="subscript"/>
              </w:rPr>
              <w:t>1</w:t>
            </w:r>
          </w:p>
        </w:tc>
        <w:tc>
          <w:tcPr>
            <w:tcW w:w="709" w:type="dxa"/>
            <w:tcBorders>
              <w:top w:val="single" w:sz="4" w:space="0" w:color="1B556B" w:themeColor="text2"/>
              <w:bottom w:val="single" w:sz="4" w:space="0" w:color="1B556B" w:themeColor="text2"/>
            </w:tcBorders>
          </w:tcPr>
          <w:p w14:paraId="6ADEB891" w14:textId="77777777" w:rsidR="00590FE1" w:rsidRPr="001D5327" w:rsidRDefault="00590FE1" w:rsidP="00403787">
            <w:pPr>
              <w:pStyle w:val="TableText"/>
              <w:keepNext/>
              <w:spacing w:before="50" w:after="50"/>
              <w:jc w:val="right"/>
              <w:rPr>
                <w:rFonts w:cs="Calibri"/>
                <w:szCs w:val="16"/>
              </w:rPr>
            </w:pPr>
            <w:r w:rsidRPr="001D5327">
              <w:rPr>
                <w:rFonts w:cs="Calibri"/>
                <w:szCs w:val="16"/>
              </w:rPr>
              <w:t xml:space="preserve">0.01 </w:t>
            </w:r>
          </w:p>
        </w:tc>
        <w:tc>
          <w:tcPr>
            <w:tcW w:w="1417" w:type="dxa"/>
            <w:tcBorders>
              <w:top w:val="single" w:sz="4" w:space="0" w:color="1B556B" w:themeColor="text2"/>
              <w:bottom w:val="single" w:sz="4" w:space="0" w:color="1B556B" w:themeColor="text2"/>
            </w:tcBorders>
            <w:tcMar>
              <w:right w:w="28" w:type="dxa"/>
            </w:tcMar>
          </w:tcPr>
          <w:p w14:paraId="7D5B8756" w14:textId="77777777" w:rsidR="00590FE1" w:rsidRPr="001D5327" w:rsidRDefault="00590FE1" w:rsidP="00403787">
            <w:pPr>
              <w:pStyle w:val="TableText"/>
              <w:keepNext/>
              <w:spacing w:before="50" w:after="50"/>
              <w:rPr>
                <w:rFonts w:cs="Calibri"/>
                <w:szCs w:val="16"/>
              </w:rPr>
            </w:pPr>
            <w:r w:rsidRPr="001D5327">
              <w:rPr>
                <w:rFonts w:cs="Calibri"/>
                <w:szCs w:val="16"/>
              </w:rPr>
              <w:t>kg N</w:t>
            </w:r>
            <w:r w:rsidRPr="001D5327">
              <w:rPr>
                <w:rFonts w:cs="Calibri"/>
                <w:szCs w:val="16"/>
                <w:vertAlign w:val="subscript"/>
              </w:rPr>
              <w:t>2</w:t>
            </w:r>
            <w:r w:rsidRPr="001D5327">
              <w:rPr>
                <w:rFonts w:cs="Calibri"/>
                <w:szCs w:val="16"/>
              </w:rPr>
              <w:t>O-N/kg N</w:t>
            </w:r>
          </w:p>
        </w:tc>
        <w:tc>
          <w:tcPr>
            <w:tcW w:w="2183" w:type="dxa"/>
            <w:tcBorders>
              <w:top w:val="single" w:sz="4" w:space="0" w:color="1B556B" w:themeColor="text2"/>
              <w:bottom w:val="single" w:sz="4" w:space="0" w:color="1B556B" w:themeColor="text2"/>
            </w:tcBorders>
          </w:tcPr>
          <w:p w14:paraId="3B63E767" w14:textId="77777777" w:rsidR="00590FE1" w:rsidRPr="001D5327" w:rsidRDefault="00590FE1" w:rsidP="00403787">
            <w:pPr>
              <w:pStyle w:val="TableText"/>
              <w:keepNext/>
              <w:spacing w:before="50" w:after="50"/>
              <w:rPr>
                <w:rFonts w:cs="Calibri"/>
                <w:szCs w:val="16"/>
              </w:rPr>
            </w:pPr>
            <w:r w:rsidRPr="001D5327">
              <w:rPr>
                <w:rFonts w:cs="Calibri"/>
                <w:szCs w:val="16"/>
              </w:rPr>
              <w:t xml:space="preserve">IPCC (2006, table 11.1); Kelliher and de Klein (2006) </w:t>
            </w:r>
          </w:p>
        </w:tc>
      </w:tr>
      <w:tr w:rsidR="00590FE1" w:rsidRPr="001D5327" w14:paraId="6A8F5A63" w14:textId="77777777" w:rsidTr="00403787">
        <w:tc>
          <w:tcPr>
            <w:tcW w:w="3261" w:type="dxa"/>
            <w:tcBorders>
              <w:top w:val="single" w:sz="4" w:space="0" w:color="1B556B" w:themeColor="text2"/>
              <w:bottom w:val="single" w:sz="4" w:space="0" w:color="1B556B" w:themeColor="text2"/>
            </w:tcBorders>
          </w:tcPr>
          <w:p w14:paraId="618AEC87" w14:textId="77777777" w:rsidR="00590FE1" w:rsidRPr="001D5327" w:rsidRDefault="00590FE1" w:rsidP="00403787">
            <w:pPr>
              <w:pStyle w:val="TableText"/>
              <w:spacing w:before="50" w:after="50"/>
              <w:rPr>
                <w:rFonts w:cs="Calibri"/>
                <w:szCs w:val="16"/>
              </w:rPr>
            </w:pPr>
            <w:r w:rsidRPr="001D5327">
              <w:rPr>
                <w:rFonts w:cs="Calibri"/>
                <w:szCs w:val="16"/>
              </w:rPr>
              <w:t>Cultivation of organic soils</w:t>
            </w:r>
          </w:p>
        </w:tc>
        <w:tc>
          <w:tcPr>
            <w:tcW w:w="992" w:type="dxa"/>
            <w:tcBorders>
              <w:top w:val="single" w:sz="4" w:space="0" w:color="1B556B" w:themeColor="text2"/>
              <w:bottom w:val="single" w:sz="4" w:space="0" w:color="1B556B" w:themeColor="text2"/>
            </w:tcBorders>
          </w:tcPr>
          <w:p w14:paraId="29A0EAA9" w14:textId="77777777" w:rsidR="00590FE1" w:rsidRPr="001D5327" w:rsidRDefault="00590FE1" w:rsidP="00403787">
            <w:pPr>
              <w:pStyle w:val="TableText"/>
              <w:spacing w:before="50" w:after="50"/>
              <w:rPr>
                <w:rFonts w:cs="Calibri"/>
                <w:szCs w:val="16"/>
              </w:rPr>
            </w:pPr>
            <w:r w:rsidRPr="001D5327">
              <w:rPr>
                <w:rFonts w:cs="Calibri"/>
                <w:szCs w:val="16"/>
              </w:rPr>
              <w:t>EF</w:t>
            </w:r>
            <w:r w:rsidRPr="001D5327">
              <w:rPr>
                <w:rFonts w:cs="Calibri"/>
                <w:szCs w:val="16"/>
                <w:vertAlign w:val="subscript"/>
              </w:rPr>
              <w:t>2</w:t>
            </w:r>
          </w:p>
        </w:tc>
        <w:tc>
          <w:tcPr>
            <w:tcW w:w="709" w:type="dxa"/>
            <w:tcBorders>
              <w:top w:val="single" w:sz="4" w:space="0" w:color="1B556B" w:themeColor="text2"/>
              <w:bottom w:val="single" w:sz="4" w:space="0" w:color="1B556B" w:themeColor="text2"/>
            </w:tcBorders>
          </w:tcPr>
          <w:p w14:paraId="1D572A4A" w14:textId="77777777" w:rsidR="00590FE1" w:rsidRPr="001D5327" w:rsidRDefault="00590FE1" w:rsidP="00403787">
            <w:pPr>
              <w:pStyle w:val="TableText"/>
              <w:spacing w:before="50" w:after="50"/>
              <w:jc w:val="right"/>
              <w:rPr>
                <w:rFonts w:cs="Calibri"/>
                <w:szCs w:val="16"/>
              </w:rPr>
            </w:pPr>
            <w:r w:rsidRPr="001D5327">
              <w:rPr>
                <w:rFonts w:cs="Calibri"/>
                <w:szCs w:val="16"/>
              </w:rPr>
              <w:t xml:space="preserve">8.0 </w:t>
            </w:r>
          </w:p>
        </w:tc>
        <w:tc>
          <w:tcPr>
            <w:tcW w:w="1417" w:type="dxa"/>
            <w:tcBorders>
              <w:top w:val="single" w:sz="4" w:space="0" w:color="1B556B" w:themeColor="text2"/>
              <w:bottom w:val="single" w:sz="4" w:space="0" w:color="1B556B" w:themeColor="text2"/>
            </w:tcBorders>
            <w:tcMar>
              <w:right w:w="28" w:type="dxa"/>
            </w:tcMar>
          </w:tcPr>
          <w:p w14:paraId="33FE2B01" w14:textId="77777777" w:rsidR="00590FE1" w:rsidRPr="001D5327" w:rsidRDefault="00590FE1" w:rsidP="00403787">
            <w:pPr>
              <w:pStyle w:val="TableText"/>
              <w:spacing w:before="50" w:after="50"/>
              <w:rPr>
                <w:rFonts w:cs="Calibri"/>
                <w:szCs w:val="16"/>
              </w:rPr>
            </w:pPr>
            <w:r w:rsidRPr="001D5327">
              <w:rPr>
                <w:rFonts w:cs="Calibri"/>
                <w:szCs w:val="16"/>
              </w:rPr>
              <w:t>kg N</w:t>
            </w:r>
            <w:r w:rsidRPr="001D5327">
              <w:rPr>
                <w:rFonts w:cs="Calibri"/>
                <w:szCs w:val="16"/>
                <w:vertAlign w:val="subscript"/>
              </w:rPr>
              <w:t>2</w:t>
            </w:r>
            <w:r w:rsidRPr="001D5327">
              <w:rPr>
                <w:rFonts w:cs="Calibri"/>
                <w:szCs w:val="16"/>
              </w:rPr>
              <w:t>O-N/ha/kg N</w:t>
            </w:r>
          </w:p>
        </w:tc>
        <w:tc>
          <w:tcPr>
            <w:tcW w:w="2183" w:type="dxa"/>
            <w:tcBorders>
              <w:top w:val="single" w:sz="4" w:space="0" w:color="1B556B" w:themeColor="text2"/>
              <w:bottom w:val="single" w:sz="4" w:space="0" w:color="1B556B" w:themeColor="text2"/>
            </w:tcBorders>
          </w:tcPr>
          <w:p w14:paraId="38C4A233" w14:textId="77777777" w:rsidR="00590FE1" w:rsidRPr="001D5327" w:rsidRDefault="00590FE1" w:rsidP="00403787">
            <w:pPr>
              <w:pStyle w:val="TableText"/>
              <w:spacing w:before="50" w:after="50"/>
              <w:rPr>
                <w:rFonts w:cs="Calibri"/>
                <w:szCs w:val="16"/>
              </w:rPr>
            </w:pPr>
            <w:r w:rsidRPr="001D5327">
              <w:rPr>
                <w:rFonts w:cs="Calibri"/>
                <w:szCs w:val="16"/>
              </w:rPr>
              <w:t>IPCC (2006, table 11.1)</w:t>
            </w:r>
          </w:p>
        </w:tc>
      </w:tr>
      <w:tr w:rsidR="00590FE1" w:rsidRPr="001D5327" w14:paraId="57AB0D56" w14:textId="77777777" w:rsidTr="00403787">
        <w:trPr>
          <w:trHeight w:val="605"/>
        </w:trPr>
        <w:tc>
          <w:tcPr>
            <w:tcW w:w="3261" w:type="dxa"/>
            <w:tcBorders>
              <w:top w:val="single" w:sz="4" w:space="0" w:color="1B556B" w:themeColor="text2"/>
              <w:bottom w:val="single" w:sz="4" w:space="0" w:color="1B556B" w:themeColor="text2"/>
            </w:tcBorders>
          </w:tcPr>
          <w:p w14:paraId="188B7C55" w14:textId="77777777" w:rsidR="00590FE1" w:rsidRPr="001D5327" w:rsidRDefault="00590FE1" w:rsidP="00403787">
            <w:pPr>
              <w:pStyle w:val="TableText"/>
              <w:spacing w:before="50" w:after="50"/>
              <w:rPr>
                <w:rFonts w:cs="Calibri"/>
                <w:szCs w:val="16"/>
              </w:rPr>
            </w:pPr>
            <w:r w:rsidRPr="001D5327">
              <w:rPr>
                <w:rFonts w:cs="Calibri"/>
                <w:szCs w:val="16"/>
              </w:rPr>
              <w:t xml:space="preserve">Manure (dung and urine) from minor grazing animals (i.e., </w:t>
            </w:r>
            <w:r w:rsidRPr="001D5327">
              <w:rPr>
                <w:rFonts w:cs="Calibri"/>
                <w:i/>
                <w:szCs w:val="16"/>
              </w:rPr>
              <w:t>excluding</w:t>
            </w:r>
            <w:r w:rsidRPr="001D5327">
              <w:rPr>
                <w:rFonts w:cs="Calibri"/>
                <w:szCs w:val="16"/>
              </w:rPr>
              <w:t xml:space="preserve"> cattle, sheep and deer) in pasture, range and paddock systems</w:t>
            </w:r>
          </w:p>
        </w:tc>
        <w:tc>
          <w:tcPr>
            <w:tcW w:w="992" w:type="dxa"/>
            <w:tcBorders>
              <w:top w:val="single" w:sz="4" w:space="0" w:color="1B556B" w:themeColor="text2"/>
              <w:bottom w:val="single" w:sz="4" w:space="0" w:color="1B556B" w:themeColor="text2"/>
            </w:tcBorders>
          </w:tcPr>
          <w:p w14:paraId="3A2D7FBA" w14:textId="77777777" w:rsidR="00590FE1" w:rsidRPr="001D5327" w:rsidRDefault="00590FE1" w:rsidP="00403787">
            <w:pPr>
              <w:pStyle w:val="TableText"/>
              <w:spacing w:before="50" w:after="50"/>
              <w:rPr>
                <w:rFonts w:cs="Calibri"/>
                <w:szCs w:val="16"/>
              </w:rPr>
            </w:pPr>
            <w:r w:rsidRPr="001D5327">
              <w:rPr>
                <w:rFonts w:cs="Calibri"/>
                <w:szCs w:val="16"/>
              </w:rPr>
              <w:t>EF</w:t>
            </w:r>
            <w:r w:rsidRPr="001D5327">
              <w:rPr>
                <w:rFonts w:cs="Calibri"/>
                <w:szCs w:val="16"/>
                <w:vertAlign w:val="subscript"/>
              </w:rPr>
              <w:t>3,PRP-MINOR</w:t>
            </w:r>
          </w:p>
        </w:tc>
        <w:tc>
          <w:tcPr>
            <w:tcW w:w="709" w:type="dxa"/>
            <w:tcBorders>
              <w:top w:val="single" w:sz="4" w:space="0" w:color="1B556B" w:themeColor="text2"/>
              <w:bottom w:val="single" w:sz="4" w:space="0" w:color="1B556B" w:themeColor="text2"/>
            </w:tcBorders>
          </w:tcPr>
          <w:p w14:paraId="7E89DAE8" w14:textId="77777777" w:rsidR="00590FE1" w:rsidRPr="001D5327" w:rsidRDefault="00590FE1" w:rsidP="00403787">
            <w:pPr>
              <w:pStyle w:val="TableText"/>
              <w:spacing w:before="50" w:after="50"/>
              <w:jc w:val="right"/>
              <w:rPr>
                <w:rFonts w:cs="Calibri"/>
                <w:szCs w:val="16"/>
              </w:rPr>
            </w:pPr>
            <w:r w:rsidRPr="001D5327">
              <w:rPr>
                <w:rFonts w:cs="Calibri"/>
                <w:szCs w:val="16"/>
              </w:rPr>
              <w:t>0.01</w:t>
            </w:r>
          </w:p>
        </w:tc>
        <w:tc>
          <w:tcPr>
            <w:tcW w:w="1417" w:type="dxa"/>
            <w:tcBorders>
              <w:top w:val="single" w:sz="4" w:space="0" w:color="1B556B" w:themeColor="text2"/>
              <w:bottom w:val="single" w:sz="4" w:space="0" w:color="1B556B" w:themeColor="text2"/>
            </w:tcBorders>
            <w:tcMar>
              <w:right w:w="28" w:type="dxa"/>
            </w:tcMar>
          </w:tcPr>
          <w:p w14:paraId="099FFC68" w14:textId="77777777" w:rsidR="00590FE1" w:rsidRPr="001D5327" w:rsidRDefault="00590FE1" w:rsidP="00403787">
            <w:pPr>
              <w:pStyle w:val="TableText"/>
              <w:spacing w:before="50" w:after="50"/>
              <w:rPr>
                <w:rFonts w:cs="Calibri"/>
                <w:szCs w:val="16"/>
              </w:rPr>
            </w:pPr>
            <w:r w:rsidRPr="001D5327">
              <w:rPr>
                <w:rFonts w:cs="Calibri"/>
                <w:szCs w:val="16"/>
              </w:rPr>
              <w:t>kg N</w:t>
            </w:r>
            <w:r w:rsidRPr="001D5327">
              <w:rPr>
                <w:rFonts w:cs="Calibri"/>
                <w:szCs w:val="16"/>
                <w:vertAlign w:val="subscript"/>
              </w:rPr>
              <w:t>2</w:t>
            </w:r>
            <w:r w:rsidRPr="001D5327">
              <w:rPr>
                <w:rFonts w:cs="Calibri"/>
                <w:szCs w:val="16"/>
              </w:rPr>
              <w:t>O-N/kg N</w:t>
            </w:r>
          </w:p>
        </w:tc>
        <w:tc>
          <w:tcPr>
            <w:tcW w:w="2183" w:type="dxa"/>
            <w:tcBorders>
              <w:top w:val="single" w:sz="4" w:space="0" w:color="1B556B" w:themeColor="text2"/>
              <w:bottom w:val="single" w:sz="4" w:space="0" w:color="1B556B" w:themeColor="text2"/>
            </w:tcBorders>
          </w:tcPr>
          <w:p w14:paraId="59A2DAA7" w14:textId="77777777" w:rsidR="00590FE1" w:rsidRPr="001D5327" w:rsidRDefault="00590FE1" w:rsidP="00403787">
            <w:pPr>
              <w:pStyle w:val="TableText"/>
              <w:spacing w:before="50" w:after="50"/>
            </w:pPr>
            <w:r w:rsidRPr="001D5327">
              <w:t xml:space="preserve">Carran et al. (1995); de Klein et al. (2003); </w:t>
            </w:r>
            <w:r w:rsidRPr="001D5327">
              <w:rPr>
                <w:rFonts w:cs="Calibri"/>
                <w:szCs w:val="16"/>
              </w:rPr>
              <w:t>IPCC (2006, table 11.1);</w:t>
            </w:r>
            <w:r w:rsidRPr="001D5327">
              <w:t xml:space="preserve"> Muller et al. (1995)</w:t>
            </w:r>
          </w:p>
        </w:tc>
      </w:tr>
      <w:tr w:rsidR="00590FE1" w:rsidRPr="001D5327" w14:paraId="4383AC5C" w14:textId="77777777" w:rsidTr="00403787">
        <w:tc>
          <w:tcPr>
            <w:tcW w:w="3261" w:type="dxa"/>
            <w:tcBorders>
              <w:top w:val="single" w:sz="4" w:space="0" w:color="1B556B" w:themeColor="text2"/>
              <w:bottom w:val="single" w:sz="4" w:space="0" w:color="1B556B" w:themeColor="text2"/>
            </w:tcBorders>
          </w:tcPr>
          <w:p w14:paraId="582B7FD2" w14:textId="77777777" w:rsidR="00590FE1" w:rsidRPr="001D5327" w:rsidRDefault="00590FE1" w:rsidP="00403787">
            <w:pPr>
              <w:pStyle w:val="TableText"/>
              <w:spacing w:before="50" w:after="50"/>
              <w:rPr>
                <w:rFonts w:cs="Calibri"/>
                <w:szCs w:val="16"/>
              </w:rPr>
            </w:pPr>
            <w:r w:rsidRPr="001D5327">
              <w:rPr>
                <w:rFonts w:cs="Calibri"/>
                <w:szCs w:val="16"/>
              </w:rPr>
              <w:t xml:space="preserve">Dung from grazing cattle, sheep and deer in pasture, range and paddock systems </w:t>
            </w:r>
          </w:p>
        </w:tc>
        <w:tc>
          <w:tcPr>
            <w:tcW w:w="992" w:type="dxa"/>
            <w:tcBorders>
              <w:top w:val="single" w:sz="4" w:space="0" w:color="1B556B" w:themeColor="text2"/>
              <w:bottom w:val="single" w:sz="4" w:space="0" w:color="1B556B" w:themeColor="text2"/>
            </w:tcBorders>
          </w:tcPr>
          <w:p w14:paraId="17D3847E" w14:textId="77777777" w:rsidR="00590FE1" w:rsidRPr="001D5327" w:rsidRDefault="00590FE1" w:rsidP="00403787">
            <w:pPr>
              <w:pStyle w:val="TableText"/>
              <w:spacing w:before="50" w:after="50"/>
              <w:rPr>
                <w:rFonts w:cs="Calibri"/>
                <w:szCs w:val="16"/>
              </w:rPr>
            </w:pPr>
            <w:r w:rsidRPr="001D5327">
              <w:rPr>
                <w:rFonts w:cs="Calibri"/>
                <w:szCs w:val="16"/>
              </w:rPr>
              <w:t>EF</w:t>
            </w:r>
            <w:r w:rsidRPr="001D5327">
              <w:rPr>
                <w:rFonts w:cs="Calibri"/>
                <w:szCs w:val="16"/>
                <w:vertAlign w:val="subscript"/>
              </w:rPr>
              <w:t>3,PRP-DUNG</w:t>
            </w:r>
          </w:p>
        </w:tc>
        <w:tc>
          <w:tcPr>
            <w:tcW w:w="709" w:type="dxa"/>
            <w:tcBorders>
              <w:top w:val="single" w:sz="4" w:space="0" w:color="1B556B" w:themeColor="text2"/>
              <w:bottom w:val="single" w:sz="4" w:space="0" w:color="1B556B" w:themeColor="text2"/>
            </w:tcBorders>
          </w:tcPr>
          <w:p w14:paraId="288E8A26" w14:textId="77777777" w:rsidR="00590FE1" w:rsidRPr="001D5327" w:rsidRDefault="00590FE1" w:rsidP="00403787">
            <w:pPr>
              <w:pStyle w:val="TableText"/>
              <w:spacing w:before="50" w:after="50"/>
              <w:jc w:val="right"/>
              <w:rPr>
                <w:rFonts w:cs="Calibri"/>
                <w:szCs w:val="16"/>
              </w:rPr>
            </w:pPr>
            <w:r w:rsidRPr="001D5327">
              <w:rPr>
                <w:rFonts w:cs="Calibri"/>
                <w:szCs w:val="16"/>
              </w:rPr>
              <w:t>0.0012</w:t>
            </w:r>
          </w:p>
        </w:tc>
        <w:tc>
          <w:tcPr>
            <w:tcW w:w="1417" w:type="dxa"/>
            <w:tcBorders>
              <w:top w:val="single" w:sz="4" w:space="0" w:color="1B556B" w:themeColor="text2"/>
              <w:bottom w:val="single" w:sz="4" w:space="0" w:color="1B556B" w:themeColor="text2"/>
            </w:tcBorders>
            <w:tcMar>
              <w:right w:w="28" w:type="dxa"/>
            </w:tcMar>
          </w:tcPr>
          <w:p w14:paraId="7F56AC5E" w14:textId="77777777" w:rsidR="00590FE1" w:rsidRPr="001D5327" w:rsidRDefault="00590FE1" w:rsidP="00403787">
            <w:pPr>
              <w:pStyle w:val="TableText"/>
              <w:spacing w:before="50" w:after="50"/>
              <w:rPr>
                <w:rFonts w:cs="Calibri"/>
                <w:szCs w:val="16"/>
              </w:rPr>
            </w:pPr>
            <w:r w:rsidRPr="001D5327">
              <w:rPr>
                <w:rFonts w:cs="Calibri"/>
                <w:szCs w:val="16"/>
              </w:rPr>
              <w:t>kg N</w:t>
            </w:r>
            <w:r w:rsidRPr="001D5327">
              <w:rPr>
                <w:rFonts w:cs="Calibri"/>
                <w:szCs w:val="16"/>
                <w:vertAlign w:val="subscript"/>
              </w:rPr>
              <w:t>2</w:t>
            </w:r>
            <w:r w:rsidRPr="001D5327">
              <w:rPr>
                <w:rFonts w:cs="Calibri"/>
                <w:szCs w:val="16"/>
              </w:rPr>
              <w:t>O-N/kg N</w:t>
            </w:r>
          </w:p>
        </w:tc>
        <w:tc>
          <w:tcPr>
            <w:tcW w:w="2183" w:type="dxa"/>
            <w:tcBorders>
              <w:top w:val="single" w:sz="4" w:space="0" w:color="1B556B" w:themeColor="text2"/>
              <w:bottom w:val="single" w:sz="4" w:space="0" w:color="1B556B" w:themeColor="text2"/>
            </w:tcBorders>
          </w:tcPr>
          <w:p w14:paraId="3B1F86D0" w14:textId="77777777" w:rsidR="00590FE1" w:rsidRPr="001D5327" w:rsidRDefault="00590FE1" w:rsidP="00403787">
            <w:pPr>
              <w:pStyle w:val="TableText"/>
              <w:spacing w:before="50" w:after="50"/>
              <w:rPr>
                <w:rFonts w:cs="Calibri"/>
                <w:szCs w:val="16"/>
              </w:rPr>
            </w:pPr>
            <w:r w:rsidRPr="001D5327">
              <w:rPr>
                <w:rFonts w:cs="Calibri"/>
                <w:szCs w:val="16"/>
              </w:rPr>
              <w:t>van der Weerden et al. (2019, 2020)</w:t>
            </w:r>
          </w:p>
        </w:tc>
      </w:tr>
      <w:tr w:rsidR="00590FE1" w:rsidRPr="001D5327" w14:paraId="72AD9205" w14:textId="77777777" w:rsidTr="00403787">
        <w:tc>
          <w:tcPr>
            <w:tcW w:w="0" w:type="auto"/>
            <w:gridSpan w:val="5"/>
            <w:tcBorders>
              <w:top w:val="single" w:sz="4" w:space="0" w:color="1B556B" w:themeColor="text2"/>
              <w:bottom w:val="single" w:sz="4" w:space="0" w:color="1B556B" w:themeColor="text2"/>
            </w:tcBorders>
            <w:tcMar>
              <w:right w:w="28" w:type="dxa"/>
            </w:tcMar>
          </w:tcPr>
          <w:p w14:paraId="2D78143F" w14:textId="77777777" w:rsidR="00590FE1" w:rsidRPr="001D5327" w:rsidRDefault="00590FE1" w:rsidP="00403787">
            <w:pPr>
              <w:pStyle w:val="TableText"/>
              <w:spacing w:before="50" w:after="50"/>
              <w:rPr>
                <w:rFonts w:cs="Calibri"/>
                <w:b/>
                <w:szCs w:val="16"/>
              </w:rPr>
            </w:pPr>
            <w:r w:rsidRPr="001D5327">
              <w:rPr>
                <w:rFonts w:cs="Calibri"/>
                <w:b/>
                <w:bCs/>
                <w:szCs w:val="16"/>
              </w:rPr>
              <w:t>3.D.2 Indirect N</w:t>
            </w:r>
            <w:r w:rsidRPr="001D5327">
              <w:rPr>
                <w:rFonts w:cs="Calibri"/>
                <w:b/>
                <w:bCs/>
                <w:szCs w:val="16"/>
                <w:vertAlign w:val="subscript"/>
              </w:rPr>
              <w:t>2</w:t>
            </w:r>
            <w:r w:rsidRPr="001D5327">
              <w:rPr>
                <w:rFonts w:cs="Calibri"/>
                <w:b/>
                <w:bCs/>
                <w:szCs w:val="16"/>
              </w:rPr>
              <w:t>O emissions</w:t>
            </w:r>
          </w:p>
        </w:tc>
      </w:tr>
      <w:tr w:rsidR="00590FE1" w:rsidRPr="001D5327" w14:paraId="7631CDF1" w14:textId="77777777" w:rsidTr="00403787">
        <w:tc>
          <w:tcPr>
            <w:tcW w:w="3261" w:type="dxa"/>
            <w:tcBorders>
              <w:top w:val="single" w:sz="4" w:space="0" w:color="1B556B" w:themeColor="text2"/>
              <w:bottom w:val="single" w:sz="4" w:space="0" w:color="1B556B" w:themeColor="text2"/>
            </w:tcBorders>
          </w:tcPr>
          <w:p w14:paraId="07C7C18E" w14:textId="77777777" w:rsidR="00590FE1" w:rsidRPr="001D5327" w:rsidRDefault="00590FE1" w:rsidP="00403787">
            <w:pPr>
              <w:pStyle w:val="TableText"/>
              <w:spacing w:before="50" w:after="50"/>
              <w:rPr>
                <w:rFonts w:cs="Calibri"/>
                <w:szCs w:val="16"/>
              </w:rPr>
            </w:pPr>
            <w:r w:rsidRPr="001D5327">
              <w:rPr>
                <w:rFonts w:cs="Calibri"/>
                <w:szCs w:val="16"/>
              </w:rPr>
              <w:t>Volatilisation</w:t>
            </w:r>
          </w:p>
        </w:tc>
        <w:tc>
          <w:tcPr>
            <w:tcW w:w="992" w:type="dxa"/>
            <w:tcBorders>
              <w:top w:val="single" w:sz="4" w:space="0" w:color="1B556B" w:themeColor="text2"/>
              <w:bottom w:val="single" w:sz="4" w:space="0" w:color="1B556B" w:themeColor="text2"/>
            </w:tcBorders>
          </w:tcPr>
          <w:p w14:paraId="15592241" w14:textId="77777777" w:rsidR="00590FE1" w:rsidRPr="001D5327" w:rsidRDefault="00590FE1" w:rsidP="00403787">
            <w:pPr>
              <w:pStyle w:val="TableText"/>
              <w:spacing w:before="50" w:after="50"/>
              <w:rPr>
                <w:rFonts w:cs="Calibri"/>
                <w:szCs w:val="16"/>
              </w:rPr>
            </w:pPr>
            <w:r w:rsidRPr="001D5327">
              <w:rPr>
                <w:rFonts w:cs="Calibri"/>
                <w:szCs w:val="16"/>
              </w:rPr>
              <w:t>EF</w:t>
            </w:r>
            <w:r w:rsidRPr="001D5327">
              <w:rPr>
                <w:rFonts w:cs="Calibri"/>
                <w:szCs w:val="16"/>
                <w:vertAlign w:val="subscript"/>
              </w:rPr>
              <w:t>4</w:t>
            </w:r>
          </w:p>
        </w:tc>
        <w:tc>
          <w:tcPr>
            <w:tcW w:w="709" w:type="dxa"/>
            <w:tcBorders>
              <w:top w:val="single" w:sz="4" w:space="0" w:color="1B556B" w:themeColor="text2"/>
              <w:bottom w:val="single" w:sz="4" w:space="0" w:color="1B556B" w:themeColor="text2"/>
            </w:tcBorders>
          </w:tcPr>
          <w:p w14:paraId="1783DDE6" w14:textId="77777777" w:rsidR="00590FE1" w:rsidRPr="001D5327" w:rsidRDefault="00590FE1" w:rsidP="00403787">
            <w:pPr>
              <w:pStyle w:val="TableText"/>
              <w:spacing w:before="50" w:after="50"/>
              <w:jc w:val="right"/>
              <w:rPr>
                <w:rFonts w:cs="Calibri"/>
                <w:szCs w:val="16"/>
              </w:rPr>
            </w:pPr>
            <w:r w:rsidRPr="001D5327">
              <w:rPr>
                <w:rFonts w:cs="Calibri"/>
                <w:szCs w:val="16"/>
              </w:rPr>
              <w:t xml:space="preserve">0.010 </w:t>
            </w:r>
          </w:p>
        </w:tc>
        <w:tc>
          <w:tcPr>
            <w:tcW w:w="1417" w:type="dxa"/>
            <w:tcBorders>
              <w:top w:val="single" w:sz="4" w:space="0" w:color="1B556B" w:themeColor="text2"/>
              <w:bottom w:val="single" w:sz="4" w:space="0" w:color="1B556B" w:themeColor="text2"/>
            </w:tcBorders>
            <w:tcMar>
              <w:right w:w="28" w:type="dxa"/>
            </w:tcMar>
          </w:tcPr>
          <w:p w14:paraId="38E48291" w14:textId="77777777" w:rsidR="00590FE1" w:rsidRPr="001D5327" w:rsidRDefault="00590FE1" w:rsidP="00403787">
            <w:pPr>
              <w:pStyle w:val="TableText"/>
              <w:spacing w:before="50" w:after="50"/>
              <w:rPr>
                <w:rFonts w:cs="Calibri"/>
                <w:szCs w:val="16"/>
              </w:rPr>
            </w:pPr>
            <w:r w:rsidRPr="001D5327">
              <w:rPr>
                <w:rFonts w:cs="Calibri"/>
                <w:szCs w:val="16"/>
              </w:rPr>
              <w:t>kg N</w:t>
            </w:r>
            <w:r w:rsidRPr="001D5327">
              <w:rPr>
                <w:rFonts w:cs="Calibri"/>
                <w:szCs w:val="16"/>
                <w:vertAlign w:val="subscript"/>
              </w:rPr>
              <w:t>2</w:t>
            </w:r>
            <w:r w:rsidRPr="001D5327">
              <w:rPr>
                <w:rFonts w:cs="Calibri"/>
                <w:szCs w:val="16"/>
              </w:rPr>
              <w:t>O-N/kg N</w:t>
            </w:r>
          </w:p>
        </w:tc>
        <w:tc>
          <w:tcPr>
            <w:tcW w:w="2183" w:type="dxa"/>
            <w:tcBorders>
              <w:top w:val="single" w:sz="4" w:space="0" w:color="1B556B" w:themeColor="text2"/>
              <w:bottom w:val="single" w:sz="4" w:space="0" w:color="1B556B" w:themeColor="text2"/>
            </w:tcBorders>
          </w:tcPr>
          <w:p w14:paraId="3171CF7D" w14:textId="77777777" w:rsidR="00590FE1" w:rsidRPr="001D5327" w:rsidRDefault="00590FE1" w:rsidP="00403787">
            <w:pPr>
              <w:pStyle w:val="TableText"/>
              <w:spacing w:before="50" w:after="50"/>
              <w:rPr>
                <w:rFonts w:cs="Calibri"/>
                <w:szCs w:val="16"/>
              </w:rPr>
            </w:pPr>
            <w:r w:rsidRPr="001D5327">
              <w:rPr>
                <w:rFonts w:cs="Calibri"/>
                <w:szCs w:val="16"/>
              </w:rPr>
              <w:t>IPCC (2006, table 11.3)</w:t>
            </w:r>
          </w:p>
        </w:tc>
      </w:tr>
      <w:tr w:rsidR="00590FE1" w:rsidRPr="001D5327" w14:paraId="4D5AA12D" w14:textId="77777777" w:rsidTr="00403787">
        <w:tc>
          <w:tcPr>
            <w:tcW w:w="3261" w:type="dxa"/>
            <w:tcBorders>
              <w:top w:val="single" w:sz="4" w:space="0" w:color="1B556B" w:themeColor="text2"/>
              <w:bottom w:val="single" w:sz="4" w:space="0" w:color="1B556B" w:themeColor="text2"/>
            </w:tcBorders>
          </w:tcPr>
          <w:p w14:paraId="6FB68717" w14:textId="77777777" w:rsidR="00590FE1" w:rsidRPr="001D5327" w:rsidRDefault="00590FE1" w:rsidP="00403787">
            <w:pPr>
              <w:pStyle w:val="TableText"/>
              <w:spacing w:before="50" w:after="50"/>
              <w:rPr>
                <w:rFonts w:cs="Calibri"/>
                <w:szCs w:val="16"/>
              </w:rPr>
            </w:pPr>
            <w:r w:rsidRPr="001D5327">
              <w:rPr>
                <w:rFonts w:cs="Calibri"/>
                <w:szCs w:val="16"/>
              </w:rPr>
              <w:t>Leaching and runoff</w:t>
            </w:r>
          </w:p>
        </w:tc>
        <w:tc>
          <w:tcPr>
            <w:tcW w:w="992" w:type="dxa"/>
            <w:tcBorders>
              <w:top w:val="single" w:sz="4" w:space="0" w:color="1B556B" w:themeColor="text2"/>
              <w:bottom w:val="single" w:sz="4" w:space="0" w:color="1B556B" w:themeColor="text2"/>
            </w:tcBorders>
          </w:tcPr>
          <w:p w14:paraId="486976F7" w14:textId="77777777" w:rsidR="00590FE1" w:rsidRPr="001D5327" w:rsidRDefault="00590FE1" w:rsidP="00403787">
            <w:pPr>
              <w:pStyle w:val="TableText"/>
              <w:spacing w:before="50" w:after="50"/>
              <w:rPr>
                <w:rFonts w:cs="Calibri"/>
                <w:szCs w:val="16"/>
              </w:rPr>
            </w:pPr>
            <w:r w:rsidRPr="001D5327">
              <w:rPr>
                <w:rFonts w:cs="Calibri"/>
                <w:szCs w:val="16"/>
              </w:rPr>
              <w:t>EF</w:t>
            </w:r>
            <w:r w:rsidRPr="001D5327">
              <w:rPr>
                <w:rFonts w:cs="Calibri"/>
                <w:szCs w:val="16"/>
                <w:vertAlign w:val="subscript"/>
              </w:rPr>
              <w:t>5</w:t>
            </w:r>
          </w:p>
        </w:tc>
        <w:tc>
          <w:tcPr>
            <w:tcW w:w="709" w:type="dxa"/>
            <w:tcBorders>
              <w:top w:val="single" w:sz="4" w:space="0" w:color="1B556B" w:themeColor="text2"/>
              <w:bottom w:val="single" w:sz="4" w:space="0" w:color="1B556B" w:themeColor="text2"/>
            </w:tcBorders>
          </w:tcPr>
          <w:p w14:paraId="1105B414" w14:textId="77777777" w:rsidR="00590FE1" w:rsidRPr="001D5327" w:rsidRDefault="00590FE1" w:rsidP="00403787">
            <w:pPr>
              <w:pStyle w:val="TableText"/>
              <w:spacing w:before="50" w:after="50"/>
              <w:jc w:val="right"/>
              <w:rPr>
                <w:rFonts w:cs="Calibri"/>
                <w:szCs w:val="16"/>
              </w:rPr>
            </w:pPr>
            <w:r w:rsidRPr="001D5327">
              <w:rPr>
                <w:rFonts w:cs="Calibri"/>
                <w:szCs w:val="16"/>
              </w:rPr>
              <w:t>0.0075</w:t>
            </w:r>
          </w:p>
        </w:tc>
        <w:tc>
          <w:tcPr>
            <w:tcW w:w="1417" w:type="dxa"/>
            <w:tcBorders>
              <w:top w:val="single" w:sz="4" w:space="0" w:color="1B556B" w:themeColor="text2"/>
              <w:bottom w:val="single" w:sz="4" w:space="0" w:color="1B556B" w:themeColor="text2"/>
            </w:tcBorders>
            <w:tcMar>
              <w:right w:w="28" w:type="dxa"/>
            </w:tcMar>
          </w:tcPr>
          <w:p w14:paraId="22DA2EA5" w14:textId="77777777" w:rsidR="00590FE1" w:rsidRPr="001D5327" w:rsidRDefault="00590FE1" w:rsidP="00403787">
            <w:pPr>
              <w:pStyle w:val="TableText"/>
              <w:spacing w:before="50" w:after="50"/>
              <w:rPr>
                <w:rFonts w:cs="Calibri"/>
                <w:szCs w:val="16"/>
              </w:rPr>
            </w:pPr>
            <w:r w:rsidRPr="001D5327">
              <w:rPr>
                <w:rFonts w:cs="Calibri"/>
                <w:szCs w:val="16"/>
              </w:rPr>
              <w:t>kg N</w:t>
            </w:r>
            <w:r w:rsidRPr="001D5327">
              <w:rPr>
                <w:rFonts w:cs="Calibri"/>
                <w:szCs w:val="16"/>
                <w:vertAlign w:val="subscript"/>
              </w:rPr>
              <w:t>2</w:t>
            </w:r>
            <w:r w:rsidRPr="001D5327">
              <w:rPr>
                <w:rFonts w:cs="Calibri"/>
                <w:szCs w:val="16"/>
              </w:rPr>
              <w:t>O-N/kg N</w:t>
            </w:r>
          </w:p>
        </w:tc>
        <w:tc>
          <w:tcPr>
            <w:tcW w:w="2183" w:type="dxa"/>
            <w:tcBorders>
              <w:top w:val="single" w:sz="4" w:space="0" w:color="1B556B" w:themeColor="text2"/>
              <w:bottom w:val="single" w:sz="4" w:space="0" w:color="1B556B" w:themeColor="text2"/>
            </w:tcBorders>
          </w:tcPr>
          <w:p w14:paraId="273C3F71" w14:textId="77777777" w:rsidR="00590FE1" w:rsidRPr="001D5327" w:rsidRDefault="00590FE1" w:rsidP="00403787">
            <w:pPr>
              <w:pStyle w:val="TableText"/>
              <w:spacing w:before="50" w:after="50"/>
              <w:rPr>
                <w:rFonts w:cs="Calibri"/>
                <w:szCs w:val="16"/>
              </w:rPr>
            </w:pPr>
            <w:r w:rsidRPr="001D5327">
              <w:rPr>
                <w:rFonts w:cs="Calibri"/>
                <w:szCs w:val="16"/>
              </w:rPr>
              <w:t>IPCC (2006, table 11.3), confirmed by Clough and Kelliher (2014)</w:t>
            </w:r>
          </w:p>
        </w:tc>
      </w:tr>
    </w:tbl>
    <w:p w14:paraId="28E60DFF" w14:textId="77777777" w:rsidR="00590FE1" w:rsidRPr="001D5327" w:rsidRDefault="00590FE1" w:rsidP="00590FE1">
      <w:pPr>
        <w:pStyle w:val="Table"/>
        <w:spacing w:before="240"/>
        <w:rPr>
          <w:rFonts w:cs="Calibri"/>
        </w:rPr>
      </w:pPr>
      <w:bookmarkStart w:id="1131" w:name="_Toc32570929"/>
      <w:bookmarkStart w:id="1132" w:name="_Toc36224564"/>
      <w:bookmarkStart w:id="1133" w:name="_Toc68786449"/>
      <w:bookmarkStart w:id="1134" w:name="_Toc95574082"/>
      <w:bookmarkStart w:id="1135" w:name="_Toc127458269"/>
      <w:bookmarkStart w:id="1136" w:name="_Toc131591365"/>
      <w:bookmarkStart w:id="1137" w:name="_Toc160114459"/>
      <w:bookmarkStart w:id="1138" w:name="_Toc164153855"/>
      <w:bookmarkStart w:id="1139" w:name="_Toc194241727"/>
      <w:bookmarkStart w:id="1140" w:name="_Toc441830881"/>
      <w:bookmarkStart w:id="1141" w:name="_Toc451176095"/>
      <w:bookmarkStart w:id="1142" w:name="_Toc481751523"/>
      <w:bookmarkStart w:id="1143" w:name="_Toc507158611"/>
      <w:bookmarkStart w:id="1144" w:name="_Toc511116745"/>
      <w:bookmarkStart w:id="1145" w:name="_Toc5269487"/>
      <w:r w:rsidRPr="001D5327">
        <w:rPr>
          <w:rFonts w:cs="Calibri"/>
        </w:rPr>
        <w:lastRenderedPageBreak/>
        <w:t>Table 5.5.3</w:t>
      </w:r>
      <w:r w:rsidRPr="001D5327">
        <w:rPr>
          <w:rFonts w:cs="Calibri"/>
        </w:rPr>
        <w:tab/>
        <w:t>Direct nitrous oxide emission factors for urine deposited by cattle, sheep and deer, by livestock type and slope, using values calculated by van der Weerden et al. (2019, 2020)</w:t>
      </w:r>
      <w:bookmarkEnd w:id="1131"/>
      <w:bookmarkEnd w:id="1132"/>
      <w:bookmarkEnd w:id="1133"/>
      <w:bookmarkEnd w:id="1134"/>
      <w:bookmarkEnd w:id="1135"/>
      <w:bookmarkEnd w:id="1136"/>
      <w:bookmarkEnd w:id="1137"/>
      <w:bookmarkEnd w:id="1138"/>
      <w:bookmarkEnd w:id="1139"/>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1E0" w:firstRow="1" w:lastRow="1" w:firstColumn="1" w:lastColumn="1" w:noHBand="0" w:noVBand="0"/>
      </w:tblPr>
      <w:tblGrid>
        <w:gridCol w:w="3193"/>
        <w:gridCol w:w="2581"/>
        <w:gridCol w:w="2731"/>
      </w:tblGrid>
      <w:tr w:rsidR="00590FE1" w:rsidRPr="001D5327" w14:paraId="5D2B1212" w14:textId="77777777" w:rsidTr="00403787">
        <w:trPr>
          <w:tblHeader/>
        </w:trPr>
        <w:tc>
          <w:tcPr>
            <w:tcW w:w="3153" w:type="dxa"/>
            <w:tcBorders>
              <w:bottom w:val="nil"/>
            </w:tcBorders>
            <w:shd w:val="clear" w:color="auto" w:fill="1B556B"/>
            <w:vAlign w:val="bottom"/>
          </w:tcPr>
          <w:p w14:paraId="1CB3B087" w14:textId="77777777" w:rsidR="00590FE1" w:rsidRPr="001D5327" w:rsidRDefault="00590FE1" w:rsidP="00403787">
            <w:pPr>
              <w:pStyle w:val="TableTextBold"/>
              <w:keepNext/>
              <w:spacing w:after="0"/>
              <w:rPr>
                <w:noProof w:val="0"/>
                <w:color w:val="FFFFFF" w:themeColor="background1"/>
              </w:rPr>
            </w:pPr>
          </w:p>
        </w:tc>
        <w:tc>
          <w:tcPr>
            <w:tcW w:w="5244" w:type="dxa"/>
            <w:gridSpan w:val="2"/>
            <w:tcBorders>
              <w:bottom w:val="nil"/>
            </w:tcBorders>
            <w:shd w:val="clear" w:color="auto" w:fill="1B556B"/>
          </w:tcPr>
          <w:p w14:paraId="3487EA0F" w14:textId="77777777" w:rsidR="00590FE1" w:rsidRPr="001D5327" w:rsidRDefault="00590FE1" w:rsidP="00403787">
            <w:pPr>
              <w:pStyle w:val="TableTextBold"/>
              <w:keepNext/>
              <w:spacing w:after="40"/>
              <w:jc w:val="center"/>
              <w:rPr>
                <w:noProof w:val="0"/>
                <w:color w:val="FFFFFF" w:themeColor="background1"/>
              </w:rPr>
            </w:pPr>
            <w:r w:rsidRPr="001D5327">
              <w:rPr>
                <w:noProof w:val="0"/>
                <w:color w:val="FFFFFF" w:themeColor="background1"/>
              </w:rPr>
              <w:t>Emission factors by slope</w:t>
            </w:r>
          </w:p>
        </w:tc>
      </w:tr>
      <w:tr w:rsidR="00590FE1" w:rsidRPr="001D5327" w14:paraId="4DAE7F79" w14:textId="77777777" w:rsidTr="00403787">
        <w:trPr>
          <w:tblHeader/>
        </w:trPr>
        <w:tc>
          <w:tcPr>
            <w:tcW w:w="3153" w:type="dxa"/>
            <w:tcBorders>
              <w:top w:val="nil"/>
            </w:tcBorders>
            <w:shd w:val="clear" w:color="auto" w:fill="1B556B"/>
            <w:vAlign w:val="bottom"/>
          </w:tcPr>
          <w:p w14:paraId="58612776" w14:textId="77777777" w:rsidR="00590FE1" w:rsidRPr="001D5327" w:rsidRDefault="00590FE1" w:rsidP="00403787">
            <w:pPr>
              <w:pStyle w:val="TableTextBold"/>
              <w:keepNext/>
              <w:spacing w:before="40" w:after="40"/>
              <w:rPr>
                <w:noProof w:val="0"/>
                <w:color w:val="FFFFFF" w:themeColor="background1"/>
              </w:rPr>
            </w:pPr>
            <w:r w:rsidRPr="001D5327">
              <w:rPr>
                <w:noProof w:val="0"/>
                <w:color w:val="FFFFFF" w:themeColor="background1"/>
              </w:rPr>
              <w:t>Livestock type</w:t>
            </w:r>
          </w:p>
        </w:tc>
        <w:tc>
          <w:tcPr>
            <w:tcW w:w="2548" w:type="dxa"/>
            <w:tcBorders>
              <w:top w:val="nil"/>
            </w:tcBorders>
            <w:shd w:val="clear" w:color="auto" w:fill="1B556B"/>
            <w:vAlign w:val="center"/>
          </w:tcPr>
          <w:p w14:paraId="35AA0B1B" w14:textId="7D879212" w:rsidR="00590FE1" w:rsidRPr="001D5327" w:rsidRDefault="00590FE1" w:rsidP="000A45C9">
            <w:pPr>
              <w:pStyle w:val="TableTextBold"/>
              <w:keepNext/>
              <w:spacing w:before="0" w:after="0"/>
              <w:jc w:val="right"/>
              <w:rPr>
                <w:noProof w:val="0"/>
                <w:color w:val="FFFFFF" w:themeColor="background1"/>
              </w:rPr>
            </w:pPr>
            <w:r w:rsidRPr="001D5327">
              <w:rPr>
                <w:noProof w:val="0"/>
                <w:color w:val="FFFFFF" w:themeColor="background1"/>
              </w:rPr>
              <w:t xml:space="preserve">Flat and low sloped land </w:t>
            </w:r>
            <w:r w:rsidRPr="001D5327">
              <w:rPr>
                <w:noProof w:val="0"/>
                <w:color w:val="FFFFFF" w:themeColor="background1"/>
              </w:rPr>
              <w:br/>
              <w:t>(less than 12</w:t>
            </w:r>
            <w:r w:rsidRPr="001D5327">
              <w:rPr>
                <w:noProof w:val="0"/>
                <w:color w:val="FFFFFF" w:themeColor="background1"/>
                <w:szCs w:val="21"/>
              </w:rPr>
              <w:t>° gradient)</w:t>
            </w:r>
            <w:r w:rsidR="000A45C9" w:rsidRPr="001D5327">
              <w:rPr>
                <w:noProof w:val="0"/>
                <w:color w:val="FFFFFF" w:themeColor="background1"/>
                <w:szCs w:val="21"/>
              </w:rPr>
              <w:t xml:space="preserve"> </w:t>
            </w:r>
            <w:r w:rsidRPr="001D5327">
              <w:rPr>
                <w:noProof w:val="0"/>
                <w:color w:val="FFFFFF" w:themeColor="background1"/>
              </w:rPr>
              <w:t>EF</w:t>
            </w:r>
            <w:r w:rsidRPr="001D5327">
              <w:rPr>
                <w:noProof w:val="0"/>
                <w:color w:val="FFFFFF" w:themeColor="background1"/>
                <w:vertAlign w:val="subscript"/>
              </w:rPr>
              <w:t>3,PRP-FLAT</w:t>
            </w:r>
          </w:p>
        </w:tc>
        <w:tc>
          <w:tcPr>
            <w:tcW w:w="2696" w:type="dxa"/>
            <w:tcBorders>
              <w:top w:val="nil"/>
            </w:tcBorders>
            <w:shd w:val="clear" w:color="auto" w:fill="1B556B"/>
            <w:vAlign w:val="center"/>
          </w:tcPr>
          <w:p w14:paraId="53786B05" w14:textId="3E83F0E3" w:rsidR="00590FE1" w:rsidRPr="001D5327" w:rsidRDefault="00590FE1" w:rsidP="000A45C9">
            <w:pPr>
              <w:pStyle w:val="TableTextBold"/>
              <w:keepNext/>
              <w:spacing w:before="0" w:after="0"/>
              <w:jc w:val="right"/>
              <w:rPr>
                <w:noProof w:val="0"/>
                <w:color w:val="FFFFFF" w:themeColor="background1"/>
              </w:rPr>
            </w:pPr>
            <w:r w:rsidRPr="001D5327">
              <w:rPr>
                <w:noProof w:val="0"/>
                <w:color w:val="FFFFFF" w:themeColor="background1"/>
              </w:rPr>
              <w:t>Medium and steep sloped land (greater than 12</w:t>
            </w:r>
            <w:r w:rsidRPr="001D5327">
              <w:rPr>
                <w:noProof w:val="0"/>
                <w:color w:val="FFFFFF" w:themeColor="background1"/>
                <w:szCs w:val="21"/>
              </w:rPr>
              <w:t>° gradient)</w:t>
            </w:r>
            <w:r w:rsidR="000A45C9" w:rsidRPr="001D5327">
              <w:rPr>
                <w:noProof w:val="0"/>
                <w:color w:val="FFFFFF" w:themeColor="background1"/>
                <w:szCs w:val="21"/>
              </w:rPr>
              <w:t xml:space="preserve"> </w:t>
            </w:r>
            <w:r w:rsidRPr="001D5327">
              <w:rPr>
                <w:noProof w:val="0"/>
                <w:color w:val="FFFFFF" w:themeColor="background1"/>
              </w:rPr>
              <w:t>EF</w:t>
            </w:r>
            <w:r w:rsidRPr="001D5327">
              <w:rPr>
                <w:noProof w:val="0"/>
                <w:color w:val="FFFFFF" w:themeColor="background1"/>
                <w:vertAlign w:val="subscript"/>
              </w:rPr>
              <w:t>3,PRP-STEEP</w:t>
            </w:r>
          </w:p>
        </w:tc>
      </w:tr>
      <w:tr w:rsidR="00590FE1" w:rsidRPr="001D5327" w14:paraId="427CF66F" w14:textId="77777777" w:rsidTr="00403787">
        <w:tc>
          <w:tcPr>
            <w:tcW w:w="3153" w:type="dxa"/>
          </w:tcPr>
          <w:p w14:paraId="3A5D2AEF" w14:textId="77777777" w:rsidR="00590FE1" w:rsidRPr="001D5327" w:rsidRDefault="00590FE1" w:rsidP="00403787">
            <w:pPr>
              <w:pStyle w:val="TableText"/>
              <w:spacing w:before="40" w:after="40"/>
              <w:rPr>
                <w:rFonts w:cs="Calibri"/>
              </w:rPr>
            </w:pPr>
            <w:r w:rsidRPr="001D5327">
              <w:rPr>
                <w:rFonts w:cs="Calibri"/>
              </w:rPr>
              <w:t>All cattle (includes dairy and non-dairy)</w:t>
            </w:r>
          </w:p>
        </w:tc>
        <w:tc>
          <w:tcPr>
            <w:tcW w:w="2548" w:type="dxa"/>
            <w:vAlign w:val="center"/>
          </w:tcPr>
          <w:p w14:paraId="2344F4D5" w14:textId="77777777" w:rsidR="00590FE1" w:rsidRPr="001D5327" w:rsidRDefault="00590FE1" w:rsidP="00403787">
            <w:pPr>
              <w:pStyle w:val="TableText"/>
              <w:spacing w:before="40" w:after="40"/>
              <w:jc w:val="right"/>
              <w:rPr>
                <w:rFonts w:cs="Calibri"/>
              </w:rPr>
            </w:pPr>
            <w:r w:rsidRPr="001D5327">
              <w:rPr>
                <w:rFonts w:cs="Calibri"/>
              </w:rPr>
              <w:t>0.0098</w:t>
            </w:r>
          </w:p>
        </w:tc>
        <w:tc>
          <w:tcPr>
            <w:tcW w:w="2696" w:type="dxa"/>
            <w:vAlign w:val="center"/>
          </w:tcPr>
          <w:p w14:paraId="27715956" w14:textId="77777777" w:rsidR="00590FE1" w:rsidRPr="001D5327" w:rsidRDefault="00590FE1" w:rsidP="00403787">
            <w:pPr>
              <w:pStyle w:val="TableText"/>
              <w:spacing w:before="40" w:after="40"/>
              <w:jc w:val="right"/>
              <w:rPr>
                <w:rFonts w:cs="Calibri"/>
              </w:rPr>
            </w:pPr>
            <w:r w:rsidRPr="001D5327">
              <w:rPr>
                <w:rFonts w:cs="Calibri"/>
              </w:rPr>
              <w:t>0.0033</w:t>
            </w:r>
          </w:p>
        </w:tc>
      </w:tr>
      <w:tr w:rsidR="00590FE1" w:rsidRPr="001D5327" w14:paraId="720015AE" w14:textId="77777777" w:rsidTr="00403787">
        <w:tc>
          <w:tcPr>
            <w:tcW w:w="3153" w:type="dxa"/>
          </w:tcPr>
          <w:p w14:paraId="4F06D105" w14:textId="77777777" w:rsidR="00590FE1" w:rsidRPr="001D5327" w:rsidRDefault="00590FE1" w:rsidP="00403787">
            <w:pPr>
              <w:pStyle w:val="TableText"/>
              <w:spacing w:before="40" w:after="40"/>
              <w:rPr>
                <w:rFonts w:cs="Calibri"/>
              </w:rPr>
            </w:pPr>
            <w:r w:rsidRPr="001D5327">
              <w:rPr>
                <w:rFonts w:cs="Calibri"/>
              </w:rPr>
              <w:t>Deer</w:t>
            </w:r>
          </w:p>
        </w:tc>
        <w:tc>
          <w:tcPr>
            <w:tcW w:w="2548" w:type="dxa"/>
            <w:vAlign w:val="center"/>
          </w:tcPr>
          <w:p w14:paraId="538D9EB5" w14:textId="77777777" w:rsidR="00590FE1" w:rsidRPr="001D5327" w:rsidRDefault="00590FE1" w:rsidP="00403787">
            <w:pPr>
              <w:pStyle w:val="TableText"/>
              <w:spacing w:before="40" w:after="40"/>
              <w:jc w:val="right"/>
              <w:rPr>
                <w:rFonts w:cs="Calibri"/>
              </w:rPr>
            </w:pPr>
            <w:r w:rsidRPr="001D5327">
              <w:rPr>
                <w:rFonts w:cs="Calibri"/>
              </w:rPr>
              <w:t>0.0074</w:t>
            </w:r>
          </w:p>
        </w:tc>
        <w:tc>
          <w:tcPr>
            <w:tcW w:w="2696" w:type="dxa"/>
            <w:vAlign w:val="center"/>
          </w:tcPr>
          <w:p w14:paraId="7B0E6330" w14:textId="77777777" w:rsidR="00590FE1" w:rsidRPr="001D5327" w:rsidRDefault="00590FE1" w:rsidP="00403787">
            <w:pPr>
              <w:pStyle w:val="TableText"/>
              <w:spacing w:before="40" w:after="40"/>
              <w:jc w:val="right"/>
              <w:rPr>
                <w:rFonts w:cs="Calibri"/>
              </w:rPr>
            </w:pPr>
            <w:r w:rsidRPr="001D5327">
              <w:rPr>
                <w:rFonts w:cs="Calibri"/>
              </w:rPr>
              <w:t>0.0020</w:t>
            </w:r>
          </w:p>
        </w:tc>
      </w:tr>
      <w:tr w:rsidR="00590FE1" w:rsidRPr="001D5327" w14:paraId="7139AA87" w14:textId="77777777" w:rsidTr="00403787">
        <w:tc>
          <w:tcPr>
            <w:tcW w:w="3153" w:type="dxa"/>
          </w:tcPr>
          <w:p w14:paraId="084CAE1F" w14:textId="77777777" w:rsidR="00590FE1" w:rsidRPr="001D5327" w:rsidRDefault="00590FE1" w:rsidP="00403787">
            <w:pPr>
              <w:pStyle w:val="TableText"/>
              <w:spacing w:before="40" w:after="40"/>
              <w:rPr>
                <w:rFonts w:cs="Calibri"/>
              </w:rPr>
            </w:pPr>
            <w:r w:rsidRPr="001D5327">
              <w:rPr>
                <w:rFonts w:cs="Calibri"/>
              </w:rPr>
              <w:t xml:space="preserve">Sheep </w:t>
            </w:r>
          </w:p>
        </w:tc>
        <w:tc>
          <w:tcPr>
            <w:tcW w:w="2548" w:type="dxa"/>
            <w:vAlign w:val="center"/>
          </w:tcPr>
          <w:p w14:paraId="00C0A31F" w14:textId="77777777" w:rsidR="00590FE1" w:rsidRPr="001D5327" w:rsidRDefault="00590FE1" w:rsidP="00403787">
            <w:pPr>
              <w:pStyle w:val="TableText"/>
              <w:spacing w:before="40" w:after="40"/>
              <w:jc w:val="right"/>
              <w:rPr>
                <w:rFonts w:cs="Calibri"/>
              </w:rPr>
            </w:pPr>
            <w:r w:rsidRPr="001D5327">
              <w:rPr>
                <w:rFonts w:cs="Calibri"/>
              </w:rPr>
              <w:t>0.0050</w:t>
            </w:r>
          </w:p>
        </w:tc>
        <w:tc>
          <w:tcPr>
            <w:tcW w:w="2696" w:type="dxa"/>
            <w:vAlign w:val="center"/>
          </w:tcPr>
          <w:p w14:paraId="793E9727" w14:textId="77777777" w:rsidR="00590FE1" w:rsidRPr="001D5327" w:rsidRDefault="00590FE1" w:rsidP="00403787">
            <w:pPr>
              <w:pStyle w:val="TableText"/>
              <w:spacing w:before="40" w:after="40"/>
              <w:jc w:val="right"/>
              <w:rPr>
                <w:rFonts w:cs="Calibri"/>
              </w:rPr>
            </w:pPr>
            <w:r w:rsidRPr="001D5327">
              <w:rPr>
                <w:rFonts w:cs="Calibri"/>
              </w:rPr>
              <w:t>0.0008</w:t>
            </w:r>
          </w:p>
        </w:tc>
      </w:tr>
    </w:tbl>
    <w:p w14:paraId="4C4FF00F" w14:textId="77777777" w:rsidR="00590FE1" w:rsidRPr="001D5327" w:rsidRDefault="00590FE1" w:rsidP="00590FE1">
      <w:pPr>
        <w:pStyle w:val="Table"/>
        <w:spacing w:before="240"/>
        <w:rPr>
          <w:rFonts w:cs="Calibri"/>
        </w:rPr>
      </w:pPr>
      <w:bookmarkStart w:id="1146" w:name="_Toc32570930"/>
      <w:bookmarkStart w:id="1147" w:name="_Toc36224565"/>
      <w:bookmarkStart w:id="1148" w:name="_Toc68786450"/>
      <w:bookmarkStart w:id="1149" w:name="_Toc95574083"/>
      <w:bookmarkStart w:id="1150" w:name="_Toc127458270"/>
      <w:bookmarkStart w:id="1151" w:name="_Toc131591366"/>
      <w:bookmarkStart w:id="1152" w:name="_Toc160114460"/>
      <w:bookmarkStart w:id="1153" w:name="_Toc164153856"/>
      <w:bookmarkStart w:id="1154" w:name="_Toc194241728"/>
      <w:r w:rsidRPr="001D5327">
        <w:rPr>
          <w:rFonts w:cs="Calibri"/>
        </w:rPr>
        <w:t>Table 5.5.4</w:t>
      </w:r>
      <w:r w:rsidRPr="001D5327">
        <w:rPr>
          <w:rFonts w:cs="Calibri"/>
        </w:rPr>
        <w:tab/>
        <w:t>Parameters for indirect nitrous oxide (N</w:t>
      </w:r>
      <w:r w:rsidRPr="001D5327">
        <w:rPr>
          <w:rFonts w:cs="Calibri"/>
          <w:vertAlign w:val="subscript"/>
        </w:rPr>
        <w:t>2</w:t>
      </w:r>
      <w:r w:rsidRPr="001D5327">
        <w:rPr>
          <w:rFonts w:cs="Calibri"/>
        </w:rPr>
        <w:t xml:space="preserve">O) emissions from </w:t>
      </w:r>
      <w:r w:rsidRPr="001D5327">
        <w:rPr>
          <w:rFonts w:cs="Calibri"/>
          <w:i/>
          <w:iCs/>
        </w:rPr>
        <w:t>Agricultural soils</w:t>
      </w:r>
      <w:r w:rsidRPr="001D5327">
        <w:rPr>
          <w:rFonts w:cs="Calibri"/>
        </w:rPr>
        <w:t xml:space="preserve"> in New Zealand</w:t>
      </w:r>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p>
    <w:tbl>
      <w:tblPr>
        <w:tblW w:w="8505" w:type="dxa"/>
        <w:tblBorders>
          <w:top w:val="single" w:sz="4" w:space="0" w:color="365F91"/>
          <w:bottom w:val="single" w:sz="4" w:space="0" w:color="365F91"/>
          <w:insideH w:val="single" w:sz="4" w:space="0" w:color="365F91"/>
        </w:tblBorders>
        <w:tblLayout w:type="fixed"/>
        <w:tblCellMar>
          <w:left w:w="85" w:type="dxa"/>
          <w:right w:w="85" w:type="dxa"/>
        </w:tblCellMar>
        <w:tblLook w:val="01E0" w:firstRow="1" w:lastRow="1" w:firstColumn="1" w:lastColumn="1" w:noHBand="0" w:noVBand="0"/>
      </w:tblPr>
      <w:tblGrid>
        <w:gridCol w:w="2127"/>
        <w:gridCol w:w="992"/>
        <w:gridCol w:w="1559"/>
        <w:gridCol w:w="1701"/>
        <w:gridCol w:w="2126"/>
      </w:tblGrid>
      <w:tr w:rsidR="00590FE1" w:rsidRPr="001D5327" w14:paraId="409EA764" w14:textId="77777777" w:rsidTr="00403787">
        <w:trPr>
          <w:tblHeader/>
        </w:trPr>
        <w:tc>
          <w:tcPr>
            <w:tcW w:w="2127" w:type="dxa"/>
            <w:tcBorders>
              <w:top w:val="single" w:sz="4" w:space="0" w:color="1B556B" w:themeColor="text2"/>
              <w:bottom w:val="single" w:sz="4" w:space="0" w:color="1B556B" w:themeColor="text2"/>
              <w:right w:val="nil"/>
            </w:tcBorders>
            <w:shd w:val="clear" w:color="auto" w:fill="1B556B"/>
            <w:vAlign w:val="bottom"/>
          </w:tcPr>
          <w:p w14:paraId="31B94265" w14:textId="77777777" w:rsidR="00590FE1" w:rsidRPr="001D5327" w:rsidRDefault="00590FE1" w:rsidP="00403787">
            <w:pPr>
              <w:pStyle w:val="TableTextBold"/>
              <w:keepNext/>
              <w:spacing w:before="40" w:after="40"/>
              <w:rPr>
                <w:noProof w:val="0"/>
                <w:color w:val="FFFFFF" w:themeColor="background1"/>
              </w:rPr>
            </w:pPr>
            <w:r w:rsidRPr="001D5327">
              <w:rPr>
                <w:noProof w:val="0"/>
                <w:color w:val="FFFFFF" w:themeColor="background1"/>
              </w:rPr>
              <w:t>Category</w:t>
            </w:r>
          </w:p>
        </w:tc>
        <w:tc>
          <w:tcPr>
            <w:tcW w:w="4252" w:type="dxa"/>
            <w:gridSpan w:val="3"/>
            <w:tcBorders>
              <w:top w:val="single" w:sz="4" w:space="0" w:color="1B556B" w:themeColor="text2"/>
              <w:left w:val="nil"/>
              <w:bottom w:val="single" w:sz="4" w:space="0" w:color="1B556B" w:themeColor="text2"/>
              <w:right w:val="nil"/>
            </w:tcBorders>
            <w:shd w:val="clear" w:color="auto" w:fill="1B556B"/>
            <w:vAlign w:val="bottom"/>
          </w:tcPr>
          <w:p w14:paraId="2B34F974" w14:textId="77777777" w:rsidR="00590FE1" w:rsidRPr="001D5327" w:rsidRDefault="00590FE1" w:rsidP="00403787">
            <w:pPr>
              <w:pStyle w:val="TableTextBold"/>
              <w:keepNext/>
              <w:spacing w:before="40" w:after="40"/>
              <w:jc w:val="center"/>
              <w:rPr>
                <w:noProof w:val="0"/>
                <w:color w:val="FFFFFF" w:themeColor="background1"/>
              </w:rPr>
            </w:pPr>
            <w:r w:rsidRPr="001D5327">
              <w:rPr>
                <w:noProof w:val="0"/>
                <w:color w:val="FFFFFF" w:themeColor="background1"/>
              </w:rPr>
              <w:t>Parameter</w:t>
            </w:r>
          </w:p>
        </w:tc>
        <w:tc>
          <w:tcPr>
            <w:tcW w:w="2126" w:type="dxa"/>
            <w:tcBorders>
              <w:top w:val="single" w:sz="4" w:space="0" w:color="1B556B" w:themeColor="text2"/>
              <w:left w:val="nil"/>
              <w:bottom w:val="single" w:sz="4" w:space="0" w:color="1B556B" w:themeColor="text2"/>
            </w:tcBorders>
            <w:shd w:val="clear" w:color="auto" w:fill="1B556B"/>
            <w:vAlign w:val="bottom"/>
          </w:tcPr>
          <w:p w14:paraId="2A52AC09" w14:textId="77777777" w:rsidR="00590FE1" w:rsidRPr="001D5327" w:rsidRDefault="00590FE1" w:rsidP="00403787">
            <w:pPr>
              <w:pStyle w:val="TableTextBold"/>
              <w:keepNext/>
              <w:spacing w:before="40" w:after="40"/>
              <w:rPr>
                <w:noProof w:val="0"/>
                <w:color w:val="FFFFFF" w:themeColor="background1"/>
              </w:rPr>
            </w:pPr>
            <w:r w:rsidRPr="001D5327">
              <w:rPr>
                <w:noProof w:val="0"/>
                <w:color w:val="FFFFFF" w:themeColor="background1"/>
              </w:rPr>
              <w:t>Source</w:t>
            </w:r>
          </w:p>
        </w:tc>
      </w:tr>
      <w:tr w:rsidR="00590FE1" w:rsidRPr="001D5327" w14:paraId="0D431B20" w14:textId="77777777" w:rsidTr="00403787">
        <w:tc>
          <w:tcPr>
            <w:tcW w:w="8505" w:type="dxa"/>
            <w:gridSpan w:val="5"/>
            <w:tcBorders>
              <w:top w:val="single" w:sz="4" w:space="0" w:color="1B556B" w:themeColor="text2"/>
            </w:tcBorders>
          </w:tcPr>
          <w:p w14:paraId="2188842B" w14:textId="77777777" w:rsidR="00590FE1" w:rsidRPr="001D5327" w:rsidRDefault="00590FE1" w:rsidP="00403787">
            <w:pPr>
              <w:pStyle w:val="TableText"/>
              <w:spacing w:before="40" w:after="40"/>
              <w:rPr>
                <w:rFonts w:cs="Calibri"/>
                <w:b/>
                <w:bCs/>
              </w:rPr>
            </w:pPr>
            <w:r w:rsidRPr="001D5327">
              <w:rPr>
                <w:rFonts w:cs="Calibri"/>
                <w:b/>
                <w:bCs/>
              </w:rPr>
              <w:t>3.D.2 Indirect N</w:t>
            </w:r>
            <w:r w:rsidRPr="001D5327">
              <w:rPr>
                <w:rFonts w:cs="Calibri"/>
                <w:b/>
                <w:bCs/>
                <w:vertAlign w:val="subscript"/>
              </w:rPr>
              <w:t>2</w:t>
            </w:r>
            <w:r w:rsidRPr="001D5327">
              <w:rPr>
                <w:rFonts w:cs="Calibri"/>
                <w:b/>
                <w:bCs/>
              </w:rPr>
              <w:t>O emissions</w:t>
            </w:r>
          </w:p>
        </w:tc>
      </w:tr>
      <w:tr w:rsidR="00590FE1" w:rsidRPr="001D5327" w14:paraId="6CF20FDB" w14:textId="77777777" w:rsidTr="00A65606">
        <w:tc>
          <w:tcPr>
            <w:tcW w:w="2127" w:type="dxa"/>
          </w:tcPr>
          <w:p w14:paraId="62744243" w14:textId="77777777" w:rsidR="00590FE1" w:rsidRPr="001D5327" w:rsidRDefault="00590FE1" w:rsidP="00403787">
            <w:pPr>
              <w:pStyle w:val="TableText"/>
              <w:spacing w:before="40" w:after="40"/>
              <w:rPr>
                <w:rFonts w:cs="Calibri"/>
              </w:rPr>
            </w:pPr>
            <w:r w:rsidRPr="001D5327">
              <w:rPr>
                <w:rFonts w:cs="Calibri"/>
              </w:rPr>
              <w:t>Fraction of volatilisation from synthetic fertiliser</w:t>
            </w:r>
          </w:p>
        </w:tc>
        <w:tc>
          <w:tcPr>
            <w:tcW w:w="992" w:type="dxa"/>
          </w:tcPr>
          <w:p w14:paraId="211EE18E" w14:textId="77777777" w:rsidR="00590FE1" w:rsidRPr="001D5327" w:rsidRDefault="00590FE1" w:rsidP="00403787">
            <w:pPr>
              <w:pStyle w:val="TableText"/>
              <w:spacing w:before="40" w:after="40"/>
              <w:rPr>
                <w:rFonts w:cs="Calibri"/>
              </w:rPr>
            </w:pPr>
            <w:r w:rsidRPr="001D5327">
              <w:rPr>
                <w:rFonts w:cs="Calibri"/>
              </w:rPr>
              <w:t>Frac</w:t>
            </w:r>
            <w:r w:rsidRPr="001D5327">
              <w:rPr>
                <w:rFonts w:cs="Calibri"/>
                <w:vertAlign w:val="subscript"/>
              </w:rPr>
              <w:t>GASF</w:t>
            </w:r>
          </w:p>
        </w:tc>
        <w:tc>
          <w:tcPr>
            <w:tcW w:w="1559" w:type="dxa"/>
          </w:tcPr>
          <w:p w14:paraId="38BFB690" w14:textId="77777777" w:rsidR="00590FE1" w:rsidRPr="001D5327" w:rsidRDefault="00590FE1" w:rsidP="00403787">
            <w:pPr>
              <w:pStyle w:val="TableText"/>
              <w:spacing w:before="40" w:after="40"/>
              <w:jc w:val="right"/>
              <w:rPr>
                <w:rFonts w:cs="Calibri"/>
              </w:rPr>
            </w:pPr>
            <w:r w:rsidRPr="001D5327">
              <w:rPr>
                <w:rFonts w:cs="Calibri"/>
              </w:rPr>
              <w:t xml:space="preserve">0.1 </w:t>
            </w:r>
          </w:p>
        </w:tc>
        <w:tc>
          <w:tcPr>
            <w:tcW w:w="1701" w:type="dxa"/>
          </w:tcPr>
          <w:p w14:paraId="2DCB9213" w14:textId="77777777" w:rsidR="00590FE1" w:rsidRPr="001D5327" w:rsidRDefault="00590FE1" w:rsidP="00403787">
            <w:pPr>
              <w:pStyle w:val="TableText"/>
              <w:spacing w:before="40" w:after="40"/>
              <w:rPr>
                <w:rFonts w:cs="Calibri"/>
              </w:rPr>
            </w:pPr>
            <w:r w:rsidRPr="001D5327">
              <w:rPr>
                <w:rFonts w:cs="Calibri"/>
              </w:rPr>
              <w:t>kg NH</w:t>
            </w:r>
            <w:r w:rsidRPr="001D5327">
              <w:rPr>
                <w:rFonts w:cs="Calibri"/>
                <w:vertAlign w:val="subscript"/>
              </w:rPr>
              <w:t>3</w:t>
            </w:r>
            <w:r w:rsidRPr="001D5327">
              <w:rPr>
                <w:rFonts w:cs="Calibri"/>
              </w:rPr>
              <w:t>-N + NO</w:t>
            </w:r>
            <w:r w:rsidRPr="001D5327">
              <w:rPr>
                <w:rFonts w:cs="Calibri"/>
                <w:vertAlign w:val="subscript"/>
              </w:rPr>
              <w:t>x</w:t>
            </w:r>
            <w:r w:rsidRPr="001D5327">
              <w:rPr>
                <w:rFonts w:cs="Calibri"/>
              </w:rPr>
              <w:t>-N/kg N</w:t>
            </w:r>
          </w:p>
        </w:tc>
        <w:tc>
          <w:tcPr>
            <w:tcW w:w="2126" w:type="dxa"/>
          </w:tcPr>
          <w:p w14:paraId="75AF9B9F" w14:textId="77777777" w:rsidR="00590FE1" w:rsidRPr="001D5327" w:rsidRDefault="00590FE1" w:rsidP="00403787">
            <w:pPr>
              <w:pStyle w:val="TableText"/>
              <w:spacing w:before="40" w:after="40"/>
              <w:rPr>
                <w:rFonts w:cs="Calibri"/>
              </w:rPr>
            </w:pPr>
            <w:r w:rsidRPr="001D5327">
              <w:rPr>
                <w:rFonts w:cs="Calibri"/>
              </w:rPr>
              <w:t>IPCC (2006), verified by Sherlock et al. (2008)</w:t>
            </w:r>
          </w:p>
        </w:tc>
      </w:tr>
      <w:tr w:rsidR="00590FE1" w:rsidRPr="001D5327" w14:paraId="77299259" w14:textId="77777777" w:rsidTr="00A65606">
        <w:tc>
          <w:tcPr>
            <w:tcW w:w="2127" w:type="dxa"/>
          </w:tcPr>
          <w:p w14:paraId="1D573062" w14:textId="77777777" w:rsidR="00590FE1" w:rsidRPr="001D5327" w:rsidRDefault="00590FE1" w:rsidP="00403787">
            <w:pPr>
              <w:pStyle w:val="TableText"/>
              <w:spacing w:before="40" w:after="40"/>
              <w:rPr>
                <w:rFonts w:cs="Calibri"/>
              </w:rPr>
            </w:pPr>
            <w:r w:rsidRPr="001D5327">
              <w:rPr>
                <w:rFonts w:cs="Calibri"/>
              </w:rPr>
              <w:t xml:space="preserve">Fraction of volatilisation from organic nitrogen additions including pasture manure </w:t>
            </w:r>
          </w:p>
        </w:tc>
        <w:tc>
          <w:tcPr>
            <w:tcW w:w="992" w:type="dxa"/>
            <w:tcBorders>
              <w:bottom w:val="single" w:sz="4" w:space="0" w:color="365F91"/>
            </w:tcBorders>
          </w:tcPr>
          <w:p w14:paraId="34E7E1C4" w14:textId="77777777" w:rsidR="00590FE1" w:rsidRPr="001D5327" w:rsidRDefault="00590FE1" w:rsidP="00403787">
            <w:pPr>
              <w:pStyle w:val="TableText"/>
              <w:spacing w:before="40" w:after="40"/>
              <w:rPr>
                <w:rFonts w:cs="Calibri"/>
              </w:rPr>
            </w:pPr>
            <w:r w:rsidRPr="001D5327">
              <w:rPr>
                <w:rFonts w:cs="Calibri"/>
              </w:rPr>
              <w:t>Frac</w:t>
            </w:r>
            <w:r w:rsidRPr="001D5327">
              <w:rPr>
                <w:rFonts w:cs="Calibri"/>
                <w:vertAlign w:val="subscript"/>
              </w:rPr>
              <w:t>GASM</w:t>
            </w:r>
          </w:p>
        </w:tc>
        <w:tc>
          <w:tcPr>
            <w:tcW w:w="1559" w:type="dxa"/>
            <w:tcBorders>
              <w:bottom w:val="single" w:sz="4" w:space="0" w:color="365F91"/>
            </w:tcBorders>
          </w:tcPr>
          <w:p w14:paraId="3ECCDE97" w14:textId="77777777" w:rsidR="00590FE1" w:rsidRPr="001D5327" w:rsidRDefault="00590FE1" w:rsidP="00403787">
            <w:pPr>
              <w:pStyle w:val="TableText"/>
              <w:spacing w:before="40" w:after="40"/>
              <w:jc w:val="right"/>
              <w:rPr>
                <w:rFonts w:cs="Calibri"/>
              </w:rPr>
            </w:pPr>
            <w:r w:rsidRPr="001D5327">
              <w:rPr>
                <w:rFonts w:cs="Calibri"/>
              </w:rPr>
              <w:t>0.1</w:t>
            </w:r>
          </w:p>
        </w:tc>
        <w:tc>
          <w:tcPr>
            <w:tcW w:w="1701" w:type="dxa"/>
            <w:tcBorders>
              <w:bottom w:val="single" w:sz="4" w:space="0" w:color="365F91"/>
            </w:tcBorders>
          </w:tcPr>
          <w:p w14:paraId="54841E25" w14:textId="77777777" w:rsidR="00590FE1" w:rsidRPr="001D5327" w:rsidRDefault="00590FE1" w:rsidP="00403787">
            <w:pPr>
              <w:pStyle w:val="TableText"/>
              <w:spacing w:before="40" w:after="40"/>
              <w:rPr>
                <w:rFonts w:cs="Calibri"/>
              </w:rPr>
            </w:pPr>
            <w:r w:rsidRPr="001D5327">
              <w:rPr>
                <w:rFonts w:cs="Calibri"/>
              </w:rPr>
              <w:t>kg NH</w:t>
            </w:r>
            <w:r w:rsidRPr="001D5327">
              <w:rPr>
                <w:rFonts w:cs="Calibri"/>
                <w:vertAlign w:val="subscript"/>
              </w:rPr>
              <w:t>3</w:t>
            </w:r>
            <w:r w:rsidRPr="001D5327">
              <w:rPr>
                <w:rFonts w:cs="Calibri"/>
              </w:rPr>
              <w:t>-N + NO</w:t>
            </w:r>
            <w:r w:rsidRPr="001D5327">
              <w:rPr>
                <w:rFonts w:cs="Calibri"/>
                <w:vertAlign w:val="subscript"/>
              </w:rPr>
              <w:t>x</w:t>
            </w:r>
            <w:r w:rsidRPr="001D5327">
              <w:rPr>
                <w:rFonts w:cs="Calibri"/>
              </w:rPr>
              <w:t>-N/kg N</w:t>
            </w:r>
          </w:p>
        </w:tc>
        <w:tc>
          <w:tcPr>
            <w:tcW w:w="2126" w:type="dxa"/>
            <w:tcBorders>
              <w:bottom w:val="single" w:sz="4" w:space="0" w:color="365F91"/>
            </w:tcBorders>
          </w:tcPr>
          <w:p w14:paraId="6B8562BB" w14:textId="77777777" w:rsidR="00590FE1" w:rsidRPr="001D5327" w:rsidRDefault="00590FE1" w:rsidP="00403787">
            <w:pPr>
              <w:pStyle w:val="TableText"/>
              <w:spacing w:before="40" w:after="40"/>
              <w:rPr>
                <w:rFonts w:cs="Calibri"/>
              </w:rPr>
            </w:pPr>
            <w:r w:rsidRPr="001D5327">
              <w:rPr>
                <w:rFonts w:cs="Calibri"/>
              </w:rPr>
              <w:t>Sherlock et al. (2008)</w:t>
            </w:r>
          </w:p>
        </w:tc>
      </w:tr>
      <w:tr w:rsidR="00590FE1" w:rsidRPr="001D5327" w14:paraId="0F4C1986" w14:textId="77777777" w:rsidTr="00A65606">
        <w:tc>
          <w:tcPr>
            <w:tcW w:w="2127" w:type="dxa"/>
            <w:vMerge w:val="restart"/>
          </w:tcPr>
          <w:p w14:paraId="10E04843" w14:textId="77777777" w:rsidR="00590FE1" w:rsidRPr="001D5327" w:rsidRDefault="00590FE1" w:rsidP="00403787">
            <w:pPr>
              <w:pStyle w:val="TableText"/>
              <w:spacing w:before="40" w:after="40"/>
              <w:rPr>
                <w:rFonts w:cs="Calibri"/>
              </w:rPr>
            </w:pPr>
            <w:r w:rsidRPr="001D5327">
              <w:rPr>
                <w:rFonts w:cs="Calibri"/>
              </w:rPr>
              <w:t>Fraction of leaching and runoff from all nitrogen applied to soil</w:t>
            </w:r>
          </w:p>
        </w:tc>
        <w:tc>
          <w:tcPr>
            <w:tcW w:w="992" w:type="dxa"/>
            <w:tcBorders>
              <w:top w:val="single" w:sz="4" w:space="0" w:color="365F91"/>
              <w:left w:val="nil"/>
              <w:bottom w:val="single" w:sz="4" w:space="0" w:color="365F91"/>
              <w:right w:val="nil"/>
            </w:tcBorders>
            <w:shd w:val="clear" w:color="auto" w:fill="auto"/>
            <w:vAlign w:val="center"/>
          </w:tcPr>
          <w:p w14:paraId="0740E36C" w14:textId="77777777" w:rsidR="00590FE1" w:rsidRPr="001D5327" w:rsidRDefault="00590FE1" w:rsidP="00403787">
            <w:pPr>
              <w:pStyle w:val="TableText"/>
              <w:spacing w:before="40" w:after="40"/>
              <w:rPr>
                <w:rFonts w:asciiTheme="minorHAnsi" w:hAnsiTheme="minorHAnsi" w:cstheme="minorHAnsi"/>
                <w:szCs w:val="16"/>
              </w:rPr>
            </w:pPr>
            <w:r w:rsidRPr="001D5327">
              <w:rPr>
                <w:rFonts w:asciiTheme="minorHAnsi" w:hAnsiTheme="minorHAnsi" w:cstheme="minorHAnsi"/>
                <w:szCs w:val="16"/>
              </w:rPr>
              <w:t>Cropland Frac</w:t>
            </w:r>
            <w:r w:rsidRPr="001D5327">
              <w:rPr>
                <w:rFonts w:asciiTheme="minorHAnsi" w:hAnsiTheme="minorHAnsi" w:cstheme="minorHAnsi"/>
                <w:szCs w:val="16"/>
                <w:vertAlign w:val="subscript"/>
              </w:rPr>
              <w:t>LEACH – (H)</w:t>
            </w:r>
          </w:p>
        </w:tc>
        <w:tc>
          <w:tcPr>
            <w:tcW w:w="1559" w:type="dxa"/>
            <w:tcBorders>
              <w:top w:val="single" w:sz="4" w:space="0" w:color="365F91"/>
              <w:left w:val="nil"/>
              <w:bottom w:val="single" w:sz="4" w:space="0" w:color="365F91"/>
              <w:right w:val="nil"/>
            </w:tcBorders>
            <w:shd w:val="clear" w:color="auto" w:fill="auto"/>
            <w:vAlign w:val="center"/>
          </w:tcPr>
          <w:p w14:paraId="5F6158BC" w14:textId="77777777" w:rsidR="00590FE1" w:rsidRPr="001D5327" w:rsidRDefault="00590FE1" w:rsidP="00403787">
            <w:pPr>
              <w:pStyle w:val="TableText"/>
              <w:spacing w:before="40" w:after="40"/>
              <w:jc w:val="right"/>
              <w:rPr>
                <w:rFonts w:asciiTheme="minorHAnsi" w:hAnsiTheme="minorHAnsi" w:cstheme="minorHAnsi"/>
                <w:szCs w:val="16"/>
              </w:rPr>
            </w:pPr>
            <w:r w:rsidRPr="001D5327">
              <w:rPr>
                <w:rFonts w:asciiTheme="minorHAnsi" w:hAnsiTheme="minorHAnsi" w:cstheme="minorHAnsi"/>
                <w:szCs w:val="16"/>
              </w:rPr>
              <w:t>0.1</w:t>
            </w:r>
          </w:p>
        </w:tc>
        <w:tc>
          <w:tcPr>
            <w:tcW w:w="1701" w:type="dxa"/>
            <w:tcBorders>
              <w:top w:val="single" w:sz="4" w:space="0" w:color="365F91"/>
              <w:left w:val="nil"/>
              <w:bottom w:val="single" w:sz="4" w:space="0" w:color="365F91"/>
              <w:right w:val="nil"/>
            </w:tcBorders>
            <w:shd w:val="clear" w:color="auto" w:fill="auto"/>
            <w:vAlign w:val="center"/>
          </w:tcPr>
          <w:p w14:paraId="34960E79" w14:textId="77777777" w:rsidR="00590FE1" w:rsidRPr="001D5327" w:rsidRDefault="00590FE1" w:rsidP="00403787">
            <w:pPr>
              <w:pStyle w:val="TableText"/>
              <w:spacing w:before="40" w:after="40"/>
              <w:rPr>
                <w:rFonts w:asciiTheme="minorHAnsi" w:hAnsiTheme="minorHAnsi" w:cstheme="minorHAnsi"/>
                <w:szCs w:val="16"/>
              </w:rPr>
            </w:pPr>
            <w:r w:rsidRPr="001D5327">
              <w:rPr>
                <w:rFonts w:asciiTheme="minorHAnsi" w:hAnsiTheme="minorHAnsi" w:cstheme="minorHAnsi"/>
                <w:szCs w:val="16"/>
              </w:rPr>
              <w:t>kg N/kg N</w:t>
            </w:r>
          </w:p>
        </w:tc>
        <w:tc>
          <w:tcPr>
            <w:tcW w:w="2126" w:type="dxa"/>
            <w:tcBorders>
              <w:top w:val="single" w:sz="4" w:space="0" w:color="365F91"/>
              <w:left w:val="nil"/>
              <w:bottom w:val="single" w:sz="4" w:space="0" w:color="365F91"/>
              <w:right w:val="nil"/>
            </w:tcBorders>
            <w:shd w:val="clear" w:color="auto" w:fill="auto"/>
            <w:vAlign w:val="center"/>
          </w:tcPr>
          <w:p w14:paraId="7BB5FA31" w14:textId="77777777" w:rsidR="00590FE1" w:rsidRPr="001D5327" w:rsidRDefault="00590FE1" w:rsidP="00403787">
            <w:pPr>
              <w:pStyle w:val="TableText"/>
              <w:spacing w:before="40" w:after="40"/>
              <w:rPr>
                <w:rFonts w:asciiTheme="minorHAnsi" w:hAnsiTheme="minorHAnsi" w:cstheme="minorHAnsi"/>
                <w:szCs w:val="16"/>
              </w:rPr>
            </w:pPr>
            <w:r w:rsidRPr="001D5327">
              <w:rPr>
                <w:rFonts w:asciiTheme="minorHAnsi" w:hAnsiTheme="minorHAnsi" w:cstheme="minorHAnsi"/>
                <w:szCs w:val="16"/>
              </w:rPr>
              <w:t>Welten et al. (2021)</w:t>
            </w:r>
          </w:p>
        </w:tc>
      </w:tr>
      <w:tr w:rsidR="00590FE1" w:rsidRPr="001D5327" w14:paraId="3412B3C0" w14:textId="77777777" w:rsidTr="00A65606">
        <w:tc>
          <w:tcPr>
            <w:tcW w:w="2127" w:type="dxa"/>
            <w:vMerge/>
          </w:tcPr>
          <w:p w14:paraId="757BD68F" w14:textId="77777777" w:rsidR="00590FE1" w:rsidRPr="001D5327" w:rsidRDefault="00590FE1" w:rsidP="00403787">
            <w:pPr>
              <w:pStyle w:val="TableText"/>
              <w:spacing w:before="40" w:after="40"/>
              <w:rPr>
                <w:rFonts w:cs="Calibri"/>
              </w:rPr>
            </w:pPr>
          </w:p>
        </w:tc>
        <w:tc>
          <w:tcPr>
            <w:tcW w:w="992" w:type="dxa"/>
            <w:tcBorders>
              <w:top w:val="single" w:sz="4" w:space="0" w:color="365F91"/>
              <w:left w:val="nil"/>
              <w:bottom w:val="single" w:sz="4" w:space="0" w:color="365F91"/>
              <w:right w:val="nil"/>
            </w:tcBorders>
            <w:shd w:val="clear" w:color="auto" w:fill="auto"/>
            <w:vAlign w:val="center"/>
          </w:tcPr>
          <w:p w14:paraId="2AE32496" w14:textId="77777777" w:rsidR="00590FE1" w:rsidRPr="001D5327" w:rsidRDefault="00590FE1" w:rsidP="00403787">
            <w:pPr>
              <w:pStyle w:val="TableText"/>
              <w:spacing w:before="40" w:after="40"/>
              <w:rPr>
                <w:rFonts w:asciiTheme="minorHAnsi" w:hAnsiTheme="minorHAnsi" w:cstheme="minorHAnsi"/>
                <w:szCs w:val="16"/>
              </w:rPr>
            </w:pPr>
            <w:r w:rsidRPr="001D5327">
              <w:rPr>
                <w:rFonts w:asciiTheme="minorHAnsi" w:hAnsiTheme="minorHAnsi" w:cstheme="minorHAnsi"/>
                <w:szCs w:val="16"/>
              </w:rPr>
              <w:t>Grassland Frac</w:t>
            </w:r>
            <w:r w:rsidRPr="001D5327">
              <w:rPr>
                <w:rFonts w:asciiTheme="minorHAnsi" w:hAnsiTheme="minorHAnsi" w:cstheme="minorHAnsi"/>
                <w:szCs w:val="16"/>
                <w:vertAlign w:val="subscript"/>
              </w:rPr>
              <w:t>LEACH – (H)</w:t>
            </w:r>
          </w:p>
        </w:tc>
        <w:tc>
          <w:tcPr>
            <w:tcW w:w="1559" w:type="dxa"/>
            <w:tcBorders>
              <w:top w:val="single" w:sz="4" w:space="0" w:color="365F91"/>
              <w:left w:val="nil"/>
              <w:bottom w:val="single" w:sz="4" w:space="0" w:color="365F91"/>
              <w:right w:val="nil"/>
            </w:tcBorders>
            <w:shd w:val="clear" w:color="auto" w:fill="auto"/>
            <w:vAlign w:val="center"/>
          </w:tcPr>
          <w:p w14:paraId="66FF530D" w14:textId="77777777" w:rsidR="00590FE1" w:rsidRPr="001D5327" w:rsidRDefault="00590FE1" w:rsidP="00403787">
            <w:pPr>
              <w:pStyle w:val="TableText"/>
              <w:spacing w:before="40" w:after="40"/>
              <w:jc w:val="right"/>
              <w:rPr>
                <w:rFonts w:asciiTheme="minorHAnsi" w:hAnsiTheme="minorHAnsi" w:cstheme="minorHAnsi"/>
                <w:szCs w:val="16"/>
              </w:rPr>
            </w:pPr>
            <w:r w:rsidRPr="001D5327">
              <w:rPr>
                <w:rFonts w:asciiTheme="minorHAnsi" w:hAnsiTheme="minorHAnsi" w:cstheme="minorHAnsi"/>
                <w:szCs w:val="16"/>
              </w:rPr>
              <w:t>0.08</w:t>
            </w:r>
          </w:p>
        </w:tc>
        <w:tc>
          <w:tcPr>
            <w:tcW w:w="1701" w:type="dxa"/>
            <w:tcBorders>
              <w:top w:val="single" w:sz="4" w:space="0" w:color="365F91"/>
              <w:left w:val="nil"/>
              <w:bottom w:val="single" w:sz="4" w:space="0" w:color="365F91"/>
              <w:right w:val="nil"/>
            </w:tcBorders>
            <w:shd w:val="clear" w:color="auto" w:fill="auto"/>
            <w:vAlign w:val="center"/>
          </w:tcPr>
          <w:p w14:paraId="6C21FB47" w14:textId="77777777" w:rsidR="00590FE1" w:rsidRPr="001D5327" w:rsidRDefault="00590FE1" w:rsidP="00403787">
            <w:pPr>
              <w:pStyle w:val="TableText"/>
              <w:spacing w:before="40" w:after="40"/>
              <w:rPr>
                <w:rFonts w:asciiTheme="minorHAnsi" w:hAnsiTheme="minorHAnsi" w:cstheme="minorHAnsi"/>
                <w:szCs w:val="16"/>
              </w:rPr>
            </w:pPr>
            <w:r w:rsidRPr="001D5327">
              <w:rPr>
                <w:rFonts w:asciiTheme="minorHAnsi" w:hAnsiTheme="minorHAnsi" w:cstheme="minorHAnsi"/>
                <w:szCs w:val="16"/>
              </w:rPr>
              <w:t>kg N/kg N</w:t>
            </w:r>
          </w:p>
        </w:tc>
        <w:tc>
          <w:tcPr>
            <w:tcW w:w="2126" w:type="dxa"/>
            <w:tcBorders>
              <w:top w:val="single" w:sz="4" w:space="0" w:color="365F91"/>
              <w:left w:val="nil"/>
              <w:bottom w:val="single" w:sz="4" w:space="0" w:color="365F91"/>
              <w:right w:val="nil"/>
            </w:tcBorders>
            <w:shd w:val="clear" w:color="auto" w:fill="auto"/>
            <w:vAlign w:val="center"/>
          </w:tcPr>
          <w:p w14:paraId="6EB1BFA9" w14:textId="77777777" w:rsidR="00590FE1" w:rsidRPr="001D5327" w:rsidRDefault="00590FE1" w:rsidP="00403787">
            <w:pPr>
              <w:pStyle w:val="TableText"/>
              <w:spacing w:before="40" w:after="40"/>
              <w:rPr>
                <w:rFonts w:asciiTheme="minorHAnsi" w:hAnsiTheme="minorHAnsi" w:cstheme="minorHAnsi"/>
                <w:szCs w:val="16"/>
              </w:rPr>
            </w:pPr>
            <w:r w:rsidRPr="001D5327">
              <w:rPr>
                <w:rFonts w:asciiTheme="minorHAnsi" w:hAnsiTheme="minorHAnsi" w:cstheme="minorHAnsi"/>
                <w:szCs w:val="16"/>
              </w:rPr>
              <w:t>Welten et al. (2021)</w:t>
            </w:r>
          </w:p>
        </w:tc>
      </w:tr>
      <w:tr w:rsidR="00590FE1" w:rsidRPr="001D5327" w14:paraId="42D1EA39" w14:textId="77777777" w:rsidTr="00A65606">
        <w:tc>
          <w:tcPr>
            <w:tcW w:w="2127" w:type="dxa"/>
            <w:vMerge/>
          </w:tcPr>
          <w:p w14:paraId="4C86A23E" w14:textId="77777777" w:rsidR="00590FE1" w:rsidRPr="001D5327" w:rsidRDefault="00590FE1" w:rsidP="00403787">
            <w:pPr>
              <w:pStyle w:val="TableText"/>
              <w:spacing w:before="40" w:after="40"/>
              <w:rPr>
                <w:rFonts w:cs="Calibri"/>
              </w:rPr>
            </w:pPr>
          </w:p>
        </w:tc>
        <w:tc>
          <w:tcPr>
            <w:tcW w:w="992" w:type="dxa"/>
            <w:tcBorders>
              <w:top w:val="single" w:sz="4" w:space="0" w:color="365F91"/>
              <w:left w:val="nil"/>
              <w:bottom w:val="single" w:sz="4" w:space="0" w:color="365F91"/>
              <w:right w:val="nil"/>
            </w:tcBorders>
            <w:shd w:val="clear" w:color="auto" w:fill="auto"/>
            <w:vAlign w:val="center"/>
          </w:tcPr>
          <w:p w14:paraId="640B0807" w14:textId="77777777" w:rsidR="00590FE1" w:rsidRPr="001D5327" w:rsidRDefault="00590FE1" w:rsidP="00403787">
            <w:pPr>
              <w:pStyle w:val="TableText"/>
              <w:spacing w:before="40" w:after="40"/>
              <w:rPr>
                <w:rFonts w:asciiTheme="minorHAnsi" w:hAnsiTheme="minorHAnsi" w:cstheme="minorHAnsi"/>
                <w:szCs w:val="16"/>
              </w:rPr>
            </w:pPr>
            <w:r w:rsidRPr="001D5327">
              <w:rPr>
                <w:rFonts w:asciiTheme="minorHAnsi" w:hAnsiTheme="minorHAnsi" w:cstheme="minorHAnsi"/>
                <w:szCs w:val="16"/>
              </w:rPr>
              <w:t>Synthetic N fertiliser Frac</w:t>
            </w:r>
            <w:r w:rsidRPr="001D5327">
              <w:rPr>
                <w:rFonts w:asciiTheme="minorHAnsi" w:hAnsiTheme="minorHAnsi" w:cstheme="minorHAnsi"/>
                <w:szCs w:val="16"/>
                <w:vertAlign w:val="subscript"/>
              </w:rPr>
              <w:t>LEACH-(H)</w:t>
            </w:r>
          </w:p>
        </w:tc>
        <w:tc>
          <w:tcPr>
            <w:tcW w:w="1559" w:type="dxa"/>
            <w:tcBorders>
              <w:top w:val="single" w:sz="4" w:space="0" w:color="365F91"/>
              <w:left w:val="nil"/>
              <w:bottom w:val="single" w:sz="4" w:space="0" w:color="365F91"/>
              <w:right w:val="nil"/>
            </w:tcBorders>
            <w:shd w:val="clear" w:color="auto" w:fill="auto"/>
            <w:vAlign w:val="center"/>
          </w:tcPr>
          <w:p w14:paraId="163FD6C7" w14:textId="77777777" w:rsidR="00590FE1" w:rsidRPr="001D5327" w:rsidRDefault="00590FE1" w:rsidP="00403787">
            <w:pPr>
              <w:pStyle w:val="TableText"/>
              <w:spacing w:before="40" w:after="40"/>
              <w:jc w:val="right"/>
              <w:rPr>
                <w:rFonts w:asciiTheme="minorHAnsi" w:hAnsiTheme="minorHAnsi" w:cstheme="minorHAnsi"/>
                <w:szCs w:val="16"/>
              </w:rPr>
            </w:pPr>
            <w:r w:rsidRPr="001D5327">
              <w:rPr>
                <w:rFonts w:asciiTheme="minorHAnsi" w:hAnsiTheme="minorHAnsi" w:cstheme="minorHAnsi"/>
                <w:szCs w:val="16"/>
              </w:rPr>
              <w:t>0.082</w:t>
            </w:r>
          </w:p>
        </w:tc>
        <w:tc>
          <w:tcPr>
            <w:tcW w:w="1701" w:type="dxa"/>
            <w:tcBorders>
              <w:top w:val="single" w:sz="4" w:space="0" w:color="365F91"/>
              <w:left w:val="nil"/>
              <w:bottom w:val="single" w:sz="4" w:space="0" w:color="365F91"/>
              <w:right w:val="nil"/>
            </w:tcBorders>
            <w:shd w:val="clear" w:color="auto" w:fill="auto"/>
            <w:vAlign w:val="center"/>
          </w:tcPr>
          <w:p w14:paraId="2A1F48CA" w14:textId="77777777" w:rsidR="00590FE1" w:rsidRPr="001D5327" w:rsidRDefault="00590FE1" w:rsidP="00403787">
            <w:pPr>
              <w:pStyle w:val="TableText"/>
              <w:spacing w:before="40" w:after="40"/>
              <w:rPr>
                <w:rFonts w:asciiTheme="minorHAnsi" w:hAnsiTheme="minorHAnsi" w:cstheme="minorHAnsi"/>
                <w:szCs w:val="16"/>
              </w:rPr>
            </w:pPr>
            <w:r w:rsidRPr="001D5327">
              <w:rPr>
                <w:rFonts w:asciiTheme="minorHAnsi" w:hAnsiTheme="minorHAnsi" w:cstheme="minorHAnsi"/>
                <w:szCs w:val="16"/>
              </w:rPr>
              <w:t>kg N/kg N</w:t>
            </w:r>
          </w:p>
        </w:tc>
        <w:tc>
          <w:tcPr>
            <w:tcW w:w="2126" w:type="dxa"/>
            <w:tcBorders>
              <w:top w:val="single" w:sz="4" w:space="0" w:color="365F91"/>
              <w:left w:val="nil"/>
              <w:bottom w:val="single" w:sz="4" w:space="0" w:color="365F91"/>
              <w:right w:val="nil"/>
            </w:tcBorders>
            <w:shd w:val="clear" w:color="auto" w:fill="auto"/>
            <w:vAlign w:val="center"/>
          </w:tcPr>
          <w:p w14:paraId="0D384594" w14:textId="77777777" w:rsidR="00590FE1" w:rsidRPr="001D5327" w:rsidRDefault="00590FE1" w:rsidP="00403787">
            <w:pPr>
              <w:pStyle w:val="TableText"/>
              <w:spacing w:before="40" w:after="40"/>
              <w:rPr>
                <w:rFonts w:asciiTheme="minorHAnsi" w:hAnsiTheme="minorHAnsi" w:cstheme="minorHAnsi"/>
                <w:szCs w:val="16"/>
              </w:rPr>
            </w:pPr>
            <w:r w:rsidRPr="001D5327">
              <w:rPr>
                <w:rFonts w:asciiTheme="minorHAnsi" w:hAnsiTheme="minorHAnsi" w:cstheme="minorHAnsi"/>
                <w:szCs w:val="16"/>
              </w:rPr>
              <w:t>Calculated based off of Welten et al. (2021)</w:t>
            </w:r>
          </w:p>
        </w:tc>
      </w:tr>
      <w:tr w:rsidR="00590FE1" w:rsidRPr="001D5327" w14:paraId="17AFBFC7" w14:textId="77777777" w:rsidTr="00A65606">
        <w:tc>
          <w:tcPr>
            <w:tcW w:w="2127" w:type="dxa"/>
          </w:tcPr>
          <w:p w14:paraId="0A137409" w14:textId="77777777" w:rsidR="00590FE1" w:rsidRPr="001D5327" w:rsidRDefault="00590FE1" w:rsidP="00403787">
            <w:pPr>
              <w:pStyle w:val="TableText"/>
              <w:spacing w:before="40" w:after="40"/>
              <w:rPr>
                <w:rFonts w:cs="Calibri"/>
              </w:rPr>
            </w:pPr>
            <w:r w:rsidRPr="001D5327">
              <w:rPr>
                <w:rFonts w:cs="Calibri"/>
              </w:rPr>
              <w:t xml:space="preserve">Fraction of crop residue burned in the field </w:t>
            </w:r>
          </w:p>
        </w:tc>
        <w:tc>
          <w:tcPr>
            <w:tcW w:w="992" w:type="dxa"/>
            <w:tcBorders>
              <w:top w:val="single" w:sz="4" w:space="0" w:color="365F91"/>
            </w:tcBorders>
          </w:tcPr>
          <w:p w14:paraId="27574341" w14:textId="77777777" w:rsidR="00590FE1" w:rsidRPr="001D5327" w:rsidRDefault="00590FE1" w:rsidP="00403787">
            <w:pPr>
              <w:pStyle w:val="TableText"/>
              <w:spacing w:before="40" w:after="40"/>
              <w:rPr>
                <w:rFonts w:cs="Calibri"/>
              </w:rPr>
            </w:pPr>
            <w:r w:rsidRPr="001D5327">
              <w:rPr>
                <w:rFonts w:cs="Calibri"/>
              </w:rPr>
              <w:t>Frac</w:t>
            </w:r>
            <w:r w:rsidRPr="001D5327">
              <w:rPr>
                <w:rFonts w:cs="Calibri"/>
                <w:vertAlign w:val="subscript"/>
              </w:rPr>
              <w:t>BURN</w:t>
            </w:r>
          </w:p>
        </w:tc>
        <w:tc>
          <w:tcPr>
            <w:tcW w:w="1559" w:type="dxa"/>
            <w:tcBorders>
              <w:top w:val="single" w:sz="4" w:space="0" w:color="365F91"/>
            </w:tcBorders>
          </w:tcPr>
          <w:p w14:paraId="59BBE11D" w14:textId="77777777" w:rsidR="00590FE1" w:rsidRPr="001D5327" w:rsidRDefault="00590FE1" w:rsidP="00403787">
            <w:pPr>
              <w:pStyle w:val="TableText"/>
              <w:spacing w:before="40" w:after="40"/>
              <w:jc w:val="right"/>
              <w:rPr>
                <w:rFonts w:cs="Calibri"/>
              </w:rPr>
            </w:pPr>
            <w:r w:rsidRPr="001D5327">
              <w:rPr>
                <w:rFonts w:cs="Calibri"/>
              </w:rPr>
              <w:t>Crop-specific</w:t>
            </w:r>
          </w:p>
        </w:tc>
        <w:tc>
          <w:tcPr>
            <w:tcW w:w="1701" w:type="dxa"/>
            <w:tcBorders>
              <w:top w:val="single" w:sz="4" w:space="0" w:color="365F91"/>
            </w:tcBorders>
          </w:tcPr>
          <w:p w14:paraId="17B800D6" w14:textId="77777777" w:rsidR="00590FE1" w:rsidRPr="001D5327" w:rsidRDefault="00590FE1" w:rsidP="00403787">
            <w:pPr>
              <w:pStyle w:val="TableText"/>
              <w:spacing w:before="40" w:after="40"/>
              <w:rPr>
                <w:rFonts w:cs="Calibri"/>
              </w:rPr>
            </w:pPr>
            <w:r w:rsidRPr="001D5327">
              <w:rPr>
                <w:rFonts w:cs="Calibri"/>
              </w:rPr>
              <w:t>kg N/kg crop-N</w:t>
            </w:r>
          </w:p>
        </w:tc>
        <w:tc>
          <w:tcPr>
            <w:tcW w:w="2126" w:type="dxa"/>
            <w:tcBorders>
              <w:top w:val="single" w:sz="4" w:space="0" w:color="365F91"/>
            </w:tcBorders>
          </w:tcPr>
          <w:p w14:paraId="0904C96B" w14:textId="77777777" w:rsidR="00590FE1" w:rsidRPr="001D5327" w:rsidRDefault="00590FE1" w:rsidP="00403787">
            <w:pPr>
              <w:pStyle w:val="TableText"/>
              <w:spacing w:before="40" w:after="40"/>
              <w:rPr>
                <w:rFonts w:cs="Calibri"/>
              </w:rPr>
            </w:pPr>
            <w:r w:rsidRPr="001D5327">
              <w:rPr>
                <w:rFonts w:cs="Calibri"/>
              </w:rPr>
              <w:t>Thomas et al. (2008, table 14)</w:t>
            </w:r>
          </w:p>
        </w:tc>
      </w:tr>
      <w:tr w:rsidR="00590FE1" w:rsidRPr="001D5327" w14:paraId="0F9E76B2" w14:textId="77777777" w:rsidTr="00A65606">
        <w:tc>
          <w:tcPr>
            <w:tcW w:w="2127" w:type="dxa"/>
          </w:tcPr>
          <w:p w14:paraId="4C5CE7B8" w14:textId="77777777" w:rsidR="00590FE1" w:rsidRPr="001D5327" w:rsidRDefault="00590FE1" w:rsidP="00403787">
            <w:pPr>
              <w:pStyle w:val="TableText"/>
              <w:keepNext/>
              <w:spacing w:before="40" w:after="40"/>
              <w:rPr>
                <w:rFonts w:cs="Calibri"/>
              </w:rPr>
            </w:pPr>
            <w:r w:rsidRPr="001D5327">
              <w:rPr>
                <w:rFonts w:cs="Calibri"/>
              </w:rPr>
              <w:t>Fraction of legume crop residue burning in the field</w:t>
            </w:r>
          </w:p>
        </w:tc>
        <w:tc>
          <w:tcPr>
            <w:tcW w:w="992" w:type="dxa"/>
          </w:tcPr>
          <w:p w14:paraId="2332610D" w14:textId="77777777" w:rsidR="00590FE1" w:rsidRPr="001D5327" w:rsidRDefault="00590FE1" w:rsidP="00403787">
            <w:pPr>
              <w:pStyle w:val="TableText"/>
              <w:keepNext/>
              <w:spacing w:before="40" w:after="40"/>
              <w:rPr>
                <w:rFonts w:cs="Calibri"/>
              </w:rPr>
            </w:pPr>
            <w:r w:rsidRPr="001D5327">
              <w:rPr>
                <w:rFonts w:cs="Calibri"/>
              </w:rPr>
              <w:t>Frac</w:t>
            </w:r>
            <w:r w:rsidRPr="001D5327">
              <w:rPr>
                <w:rFonts w:cs="Calibri"/>
                <w:vertAlign w:val="subscript"/>
              </w:rPr>
              <w:t>BURNL</w:t>
            </w:r>
          </w:p>
        </w:tc>
        <w:tc>
          <w:tcPr>
            <w:tcW w:w="1559" w:type="dxa"/>
          </w:tcPr>
          <w:p w14:paraId="5EC1F614" w14:textId="77777777" w:rsidR="00590FE1" w:rsidRPr="001D5327" w:rsidRDefault="00590FE1" w:rsidP="00403787">
            <w:pPr>
              <w:pStyle w:val="TableText"/>
              <w:keepNext/>
              <w:spacing w:before="40" w:after="40"/>
              <w:jc w:val="right"/>
              <w:rPr>
                <w:rFonts w:cs="Calibri"/>
              </w:rPr>
            </w:pPr>
            <w:r w:rsidRPr="001D5327">
              <w:rPr>
                <w:rFonts w:cs="Calibri"/>
              </w:rPr>
              <w:t>0 (not burned in NZ)</w:t>
            </w:r>
          </w:p>
        </w:tc>
        <w:tc>
          <w:tcPr>
            <w:tcW w:w="1701" w:type="dxa"/>
          </w:tcPr>
          <w:p w14:paraId="520A4C9C" w14:textId="77777777" w:rsidR="00590FE1" w:rsidRPr="001D5327" w:rsidRDefault="00590FE1" w:rsidP="00403787">
            <w:pPr>
              <w:pStyle w:val="TableText"/>
              <w:keepNext/>
              <w:spacing w:before="40" w:after="40"/>
              <w:rPr>
                <w:rFonts w:cs="Calibri"/>
              </w:rPr>
            </w:pPr>
            <w:r w:rsidRPr="001D5327">
              <w:rPr>
                <w:rFonts w:cs="Calibri"/>
              </w:rPr>
              <w:t>kg N/kg crop-N</w:t>
            </w:r>
          </w:p>
        </w:tc>
        <w:tc>
          <w:tcPr>
            <w:tcW w:w="2126" w:type="dxa"/>
          </w:tcPr>
          <w:p w14:paraId="7029D35C" w14:textId="77777777" w:rsidR="00590FE1" w:rsidRPr="001D5327" w:rsidRDefault="00590FE1" w:rsidP="00403787">
            <w:pPr>
              <w:pStyle w:val="TableText"/>
              <w:keepNext/>
              <w:spacing w:before="40" w:after="40"/>
              <w:rPr>
                <w:rFonts w:cs="Calibri"/>
              </w:rPr>
            </w:pPr>
            <w:r w:rsidRPr="001D5327">
              <w:rPr>
                <w:rFonts w:cs="Calibri"/>
              </w:rPr>
              <w:t xml:space="preserve">Thomas et al. (2008) </w:t>
            </w:r>
          </w:p>
        </w:tc>
      </w:tr>
      <w:tr w:rsidR="00590FE1" w:rsidRPr="001D5327" w14:paraId="627ED461" w14:textId="77777777" w:rsidTr="00A65606">
        <w:tc>
          <w:tcPr>
            <w:tcW w:w="2127" w:type="dxa"/>
          </w:tcPr>
          <w:p w14:paraId="4D3C5152" w14:textId="77777777" w:rsidR="00590FE1" w:rsidRPr="001D5327" w:rsidRDefault="00590FE1" w:rsidP="00403787">
            <w:pPr>
              <w:pStyle w:val="TableText"/>
              <w:spacing w:before="40" w:after="40"/>
              <w:rPr>
                <w:rFonts w:cs="Calibri"/>
              </w:rPr>
            </w:pPr>
            <w:r w:rsidRPr="001D5327">
              <w:rPr>
                <w:rFonts w:cs="Calibri"/>
              </w:rPr>
              <w:t>Fraction of land undergoing pasture renewal</w:t>
            </w:r>
          </w:p>
        </w:tc>
        <w:tc>
          <w:tcPr>
            <w:tcW w:w="992" w:type="dxa"/>
          </w:tcPr>
          <w:p w14:paraId="1E089BA5" w14:textId="77777777" w:rsidR="00590FE1" w:rsidRPr="001D5327" w:rsidRDefault="00590FE1" w:rsidP="00403787">
            <w:pPr>
              <w:pStyle w:val="TableText"/>
              <w:spacing w:before="40" w:after="40"/>
              <w:rPr>
                <w:rFonts w:cs="Calibri"/>
              </w:rPr>
            </w:pPr>
            <w:r w:rsidRPr="001D5327">
              <w:rPr>
                <w:rFonts w:cs="Calibri"/>
              </w:rPr>
              <w:t>Frac</w:t>
            </w:r>
            <w:r w:rsidRPr="001D5327">
              <w:rPr>
                <w:rFonts w:cs="Calibri"/>
                <w:vertAlign w:val="subscript"/>
              </w:rPr>
              <w:t>RENEW</w:t>
            </w:r>
          </w:p>
        </w:tc>
        <w:tc>
          <w:tcPr>
            <w:tcW w:w="1559" w:type="dxa"/>
          </w:tcPr>
          <w:p w14:paraId="4B47CF26" w14:textId="77777777" w:rsidR="00590FE1" w:rsidRPr="001D5327" w:rsidRDefault="00590FE1" w:rsidP="00403787">
            <w:pPr>
              <w:pStyle w:val="TableText"/>
              <w:spacing w:before="40" w:after="40"/>
              <w:jc w:val="right"/>
              <w:rPr>
                <w:rStyle w:val="CommentReference"/>
                <w:rFonts w:cs="Calibri"/>
              </w:rPr>
            </w:pPr>
            <w:r w:rsidRPr="001D5327">
              <w:rPr>
                <w:rStyle w:val="CommentReference"/>
                <w:rFonts w:cs="Calibri"/>
              </w:rPr>
              <w:t>Year-specific</w:t>
            </w:r>
          </w:p>
        </w:tc>
        <w:tc>
          <w:tcPr>
            <w:tcW w:w="1701" w:type="dxa"/>
          </w:tcPr>
          <w:p w14:paraId="1CE2C637" w14:textId="77777777" w:rsidR="00590FE1" w:rsidRPr="001D5327" w:rsidRDefault="00590FE1" w:rsidP="00403787">
            <w:pPr>
              <w:pStyle w:val="TableText"/>
              <w:spacing w:before="40" w:after="40"/>
              <w:rPr>
                <w:rFonts w:cs="Calibri"/>
              </w:rPr>
            </w:pPr>
          </w:p>
        </w:tc>
        <w:tc>
          <w:tcPr>
            <w:tcW w:w="2126" w:type="dxa"/>
          </w:tcPr>
          <w:p w14:paraId="42DAE48D" w14:textId="77777777" w:rsidR="00590FE1" w:rsidRPr="001D5327" w:rsidRDefault="00590FE1" w:rsidP="00403787">
            <w:pPr>
              <w:pStyle w:val="TableText"/>
              <w:spacing w:before="40" w:after="40"/>
              <w:rPr>
                <w:rFonts w:cs="Calibri"/>
              </w:rPr>
            </w:pPr>
            <w:r w:rsidRPr="001D5327">
              <w:rPr>
                <w:rFonts w:cs="Calibri"/>
              </w:rPr>
              <w:t>Beare et al. (2012); Thomas et al. (2014)</w:t>
            </w:r>
          </w:p>
        </w:tc>
      </w:tr>
      <w:tr w:rsidR="00590FE1" w:rsidRPr="001D5327" w14:paraId="48838BC6" w14:textId="77777777" w:rsidTr="00A65606">
        <w:tc>
          <w:tcPr>
            <w:tcW w:w="2127" w:type="dxa"/>
          </w:tcPr>
          <w:p w14:paraId="36A6814E" w14:textId="77777777" w:rsidR="00590FE1" w:rsidRPr="001D5327" w:rsidRDefault="00590FE1" w:rsidP="00403787">
            <w:pPr>
              <w:pStyle w:val="TableText"/>
              <w:spacing w:before="40" w:after="40"/>
              <w:rPr>
                <w:rFonts w:cs="Calibri"/>
              </w:rPr>
            </w:pPr>
            <w:r w:rsidRPr="001D5327">
              <w:rPr>
                <w:rFonts w:cs="Calibri"/>
              </w:rPr>
              <w:t>Fraction of nitrogen in above-ground residues removed for bedding, feed or construction</w:t>
            </w:r>
          </w:p>
        </w:tc>
        <w:tc>
          <w:tcPr>
            <w:tcW w:w="992" w:type="dxa"/>
          </w:tcPr>
          <w:p w14:paraId="2CBB4EAD" w14:textId="77777777" w:rsidR="00590FE1" w:rsidRPr="001D5327" w:rsidRDefault="00590FE1" w:rsidP="00403787">
            <w:pPr>
              <w:pStyle w:val="TableText"/>
              <w:spacing w:before="40" w:after="40"/>
              <w:rPr>
                <w:rFonts w:cs="Calibri"/>
              </w:rPr>
            </w:pPr>
            <w:r w:rsidRPr="001D5327">
              <w:rPr>
                <w:rFonts w:cs="Calibri"/>
              </w:rPr>
              <w:t>Frac</w:t>
            </w:r>
            <w:r w:rsidRPr="001D5327">
              <w:rPr>
                <w:rFonts w:cs="Calibri"/>
                <w:vertAlign w:val="subscript"/>
              </w:rPr>
              <w:t>REMOVE</w:t>
            </w:r>
          </w:p>
        </w:tc>
        <w:tc>
          <w:tcPr>
            <w:tcW w:w="1559" w:type="dxa"/>
          </w:tcPr>
          <w:p w14:paraId="28C60550" w14:textId="77777777" w:rsidR="00590FE1" w:rsidRPr="001D5327" w:rsidRDefault="00590FE1" w:rsidP="00403787">
            <w:pPr>
              <w:pStyle w:val="TableText"/>
              <w:spacing w:before="40" w:after="40"/>
              <w:jc w:val="right"/>
              <w:rPr>
                <w:rFonts w:cs="Calibri"/>
              </w:rPr>
            </w:pPr>
            <w:r w:rsidRPr="001D5327">
              <w:rPr>
                <w:rFonts w:cs="Calibri"/>
              </w:rPr>
              <w:t>0</w:t>
            </w:r>
          </w:p>
        </w:tc>
        <w:tc>
          <w:tcPr>
            <w:tcW w:w="1701" w:type="dxa"/>
          </w:tcPr>
          <w:p w14:paraId="4FC685F5" w14:textId="77777777" w:rsidR="00590FE1" w:rsidRPr="001D5327" w:rsidRDefault="00590FE1" w:rsidP="00403787">
            <w:pPr>
              <w:pStyle w:val="TableText"/>
              <w:spacing w:before="40" w:after="40"/>
              <w:rPr>
                <w:rFonts w:cs="Calibri"/>
              </w:rPr>
            </w:pPr>
            <w:r w:rsidRPr="001D5327">
              <w:rPr>
                <w:rFonts w:cs="Calibri"/>
              </w:rPr>
              <w:t>kg N/kg crop-N</w:t>
            </w:r>
          </w:p>
        </w:tc>
        <w:tc>
          <w:tcPr>
            <w:tcW w:w="2126" w:type="dxa"/>
          </w:tcPr>
          <w:p w14:paraId="0E0DF52E" w14:textId="77777777" w:rsidR="00590FE1" w:rsidRPr="001D5327" w:rsidRDefault="00590FE1" w:rsidP="00403787">
            <w:pPr>
              <w:pStyle w:val="TableText"/>
              <w:spacing w:before="40" w:after="40"/>
              <w:rPr>
                <w:rFonts w:cs="Calibri"/>
              </w:rPr>
            </w:pPr>
            <w:r w:rsidRPr="001D5327">
              <w:rPr>
                <w:rFonts w:cs="Calibri"/>
              </w:rPr>
              <w:t>Thomas et al. (2014)</w:t>
            </w:r>
          </w:p>
        </w:tc>
      </w:tr>
    </w:tbl>
    <w:p w14:paraId="79960F41" w14:textId="77777777" w:rsidR="00590FE1" w:rsidRPr="001D5327" w:rsidRDefault="00590FE1" w:rsidP="00590FE1">
      <w:pPr>
        <w:pStyle w:val="Table"/>
        <w:spacing w:before="240"/>
        <w:rPr>
          <w:rFonts w:cs="Calibri"/>
        </w:rPr>
      </w:pPr>
      <w:bookmarkStart w:id="1155" w:name="_Toc441830882"/>
      <w:bookmarkStart w:id="1156" w:name="_Toc451176096"/>
      <w:bookmarkStart w:id="1157" w:name="_Toc481751524"/>
      <w:bookmarkStart w:id="1158" w:name="_Toc507158612"/>
      <w:bookmarkStart w:id="1159" w:name="_Toc511116746"/>
      <w:bookmarkStart w:id="1160" w:name="_Toc5269488"/>
      <w:bookmarkStart w:id="1161" w:name="_Toc32570931"/>
      <w:bookmarkStart w:id="1162" w:name="_Toc36224566"/>
      <w:bookmarkStart w:id="1163" w:name="_Toc68786451"/>
      <w:bookmarkStart w:id="1164" w:name="_Toc95574084"/>
      <w:bookmarkStart w:id="1165" w:name="_Toc127458271"/>
      <w:bookmarkStart w:id="1166" w:name="_Toc131591367"/>
      <w:bookmarkStart w:id="1167" w:name="_Toc160114461"/>
      <w:bookmarkStart w:id="1168" w:name="_Toc164153857"/>
      <w:bookmarkStart w:id="1169" w:name="_Toc194241729"/>
      <w:r w:rsidRPr="001D5327">
        <w:rPr>
          <w:rFonts w:cs="Calibri"/>
        </w:rPr>
        <w:t>Table 5.5.5</w:t>
      </w:r>
      <w:r w:rsidRPr="001D5327">
        <w:rPr>
          <w:rFonts w:cs="Calibri"/>
        </w:rPr>
        <w:tab/>
        <w:t>Emission factors and parameter values for use of mitigation technologies</w:t>
      </w:r>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p>
    <w:tbl>
      <w:tblPr>
        <w:tblW w:w="8505" w:type="dxa"/>
        <w:tblBorders>
          <w:top w:val="single" w:sz="4" w:space="0" w:color="365F91"/>
          <w:bottom w:val="single" w:sz="4" w:space="0" w:color="365F91"/>
          <w:insideH w:val="single" w:sz="4" w:space="0" w:color="365F91"/>
        </w:tblBorders>
        <w:tblLayout w:type="fixed"/>
        <w:tblLook w:val="01E0" w:firstRow="1" w:lastRow="1" w:firstColumn="1" w:lastColumn="1" w:noHBand="0" w:noVBand="0"/>
      </w:tblPr>
      <w:tblGrid>
        <w:gridCol w:w="4786"/>
        <w:gridCol w:w="1268"/>
        <w:gridCol w:w="845"/>
        <w:gridCol w:w="1606"/>
      </w:tblGrid>
      <w:tr w:rsidR="00590FE1" w:rsidRPr="001D5327" w14:paraId="2F5C11F9" w14:textId="77777777" w:rsidTr="00403787">
        <w:trPr>
          <w:tblHeader/>
        </w:trPr>
        <w:tc>
          <w:tcPr>
            <w:tcW w:w="4820" w:type="dxa"/>
            <w:tcBorders>
              <w:top w:val="single" w:sz="4" w:space="0" w:color="1B556B" w:themeColor="text2"/>
              <w:bottom w:val="single" w:sz="4" w:space="0" w:color="1B556B" w:themeColor="text2"/>
            </w:tcBorders>
            <w:shd w:val="clear" w:color="auto" w:fill="1B556B"/>
            <w:vAlign w:val="bottom"/>
          </w:tcPr>
          <w:p w14:paraId="0CD43923" w14:textId="77777777" w:rsidR="00590FE1" w:rsidRPr="001D5327" w:rsidRDefault="00590FE1" w:rsidP="00403787">
            <w:pPr>
              <w:pStyle w:val="TableTextBold"/>
              <w:keepNext/>
              <w:spacing w:before="40" w:after="40"/>
              <w:rPr>
                <w:noProof w:val="0"/>
                <w:color w:val="FFFFFF" w:themeColor="background1"/>
              </w:rPr>
            </w:pPr>
            <w:r w:rsidRPr="001D5327">
              <w:rPr>
                <w:noProof w:val="0"/>
                <w:color w:val="FFFFFF" w:themeColor="background1"/>
              </w:rPr>
              <w:t>Category</w:t>
            </w:r>
          </w:p>
        </w:tc>
        <w:tc>
          <w:tcPr>
            <w:tcW w:w="2126" w:type="dxa"/>
            <w:gridSpan w:val="2"/>
            <w:tcBorders>
              <w:top w:val="single" w:sz="4" w:space="0" w:color="1B556B" w:themeColor="text2"/>
              <w:bottom w:val="single" w:sz="4" w:space="0" w:color="1B556B" w:themeColor="text2"/>
            </w:tcBorders>
            <w:shd w:val="clear" w:color="auto" w:fill="1B556B"/>
            <w:vAlign w:val="bottom"/>
          </w:tcPr>
          <w:p w14:paraId="44A0A564" w14:textId="77777777" w:rsidR="00590FE1" w:rsidRPr="001D5327" w:rsidRDefault="00590FE1" w:rsidP="00403787">
            <w:pPr>
              <w:pStyle w:val="TableTextBold"/>
              <w:keepNext/>
              <w:spacing w:before="40" w:after="40"/>
              <w:jc w:val="center"/>
              <w:rPr>
                <w:noProof w:val="0"/>
                <w:color w:val="FFFFFF" w:themeColor="background1"/>
              </w:rPr>
            </w:pPr>
            <w:r w:rsidRPr="001D5327">
              <w:rPr>
                <w:noProof w:val="0"/>
                <w:color w:val="FFFFFF" w:themeColor="background1"/>
              </w:rPr>
              <w:t>Parameter and value (%)</w:t>
            </w:r>
          </w:p>
        </w:tc>
        <w:tc>
          <w:tcPr>
            <w:tcW w:w="1616" w:type="dxa"/>
            <w:tcBorders>
              <w:top w:val="single" w:sz="4" w:space="0" w:color="1B556B" w:themeColor="text2"/>
              <w:bottom w:val="single" w:sz="4" w:space="0" w:color="1B556B" w:themeColor="text2"/>
            </w:tcBorders>
            <w:shd w:val="clear" w:color="auto" w:fill="1B556B"/>
            <w:vAlign w:val="bottom"/>
          </w:tcPr>
          <w:p w14:paraId="61F5D793" w14:textId="77777777" w:rsidR="00590FE1" w:rsidRPr="001D5327" w:rsidRDefault="00590FE1" w:rsidP="00403787">
            <w:pPr>
              <w:pStyle w:val="TableTextBold"/>
              <w:keepNext/>
              <w:spacing w:before="40" w:after="40"/>
              <w:jc w:val="center"/>
              <w:rPr>
                <w:noProof w:val="0"/>
                <w:color w:val="FFFFFF" w:themeColor="background1"/>
              </w:rPr>
            </w:pPr>
            <w:r w:rsidRPr="001D5327">
              <w:rPr>
                <w:noProof w:val="0"/>
                <w:color w:val="FFFFFF" w:themeColor="background1"/>
              </w:rPr>
              <w:t>Source</w:t>
            </w:r>
          </w:p>
        </w:tc>
      </w:tr>
      <w:tr w:rsidR="00590FE1" w:rsidRPr="001D5327" w14:paraId="65043729" w14:textId="77777777" w:rsidTr="00403787">
        <w:tc>
          <w:tcPr>
            <w:tcW w:w="4820" w:type="dxa"/>
            <w:tcBorders>
              <w:top w:val="single" w:sz="4" w:space="0" w:color="1B556B" w:themeColor="text2"/>
            </w:tcBorders>
          </w:tcPr>
          <w:p w14:paraId="7A2A42B0" w14:textId="77777777" w:rsidR="00590FE1" w:rsidRPr="001D5327" w:rsidRDefault="00590FE1" w:rsidP="00403787">
            <w:pPr>
              <w:pStyle w:val="TableText"/>
              <w:spacing w:before="40" w:after="40"/>
              <w:rPr>
                <w:rFonts w:cs="Calibri"/>
              </w:rPr>
            </w:pPr>
            <w:r w:rsidRPr="001D5327">
              <w:rPr>
                <w:rFonts w:cs="Calibri"/>
              </w:rPr>
              <w:t>Urine from grazing dairy cattle in pasture, range and paddock systems with application of dicyandiamide (DCD)</w:t>
            </w:r>
          </w:p>
        </w:tc>
        <w:tc>
          <w:tcPr>
            <w:tcW w:w="1276" w:type="dxa"/>
            <w:tcBorders>
              <w:top w:val="single" w:sz="4" w:space="0" w:color="1B556B" w:themeColor="text2"/>
            </w:tcBorders>
          </w:tcPr>
          <w:p w14:paraId="424D53D9" w14:textId="77777777" w:rsidR="00590FE1" w:rsidRPr="001D5327" w:rsidRDefault="00590FE1" w:rsidP="00403787">
            <w:pPr>
              <w:pStyle w:val="TableText"/>
              <w:spacing w:before="40" w:after="40"/>
              <w:rPr>
                <w:rFonts w:cs="Calibri"/>
              </w:rPr>
            </w:pPr>
            <w:r w:rsidRPr="001D5327">
              <w:rPr>
                <w:rFonts w:cs="Calibri"/>
              </w:rPr>
              <w:t>EF</w:t>
            </w:r>
            <w:r w:rsidRPr="001D5327">
              <w:rPr>
                <w:rFonts w:cs="Calibri"/>
                <w:vertAlign w:val="subscript"/>
              </w:rPr>
              <w:t>3(PRP-DCD)</w:t>
            </w:r>
          </w:p>
        </w:tc>
        <w:tc>
          <w:tcPr>
            <w:tcW w:w="850" w:type="dxa"/>
            <w:tcBorders>
              <w:top w:val="single" w:sz="4" w:space="0" w:color="1B556B" w:themeColor="text2"/>
            </w:tcBorders>
          </w:tcPr>
          <w:p w14:paraId="2B9673B1" w14:textId="77777777" w:rsidR="00590FE1" w:rsidRPr="001D5327" w:rsidRDefault="00590FE1" w:rsidP="00403787">
            <w:pPr>
              <w:pStyle w:val="TableText"/>
              <w:spacing w:before="40" w:after="40"/>
              <w:jc w:val="right"/>
              <w:rPr>
                <w:rFonts w:cs="Calibri"/>
              </w:rPr>
            </w:pPr>
            <w:r w:rsidRPr="001D5327">
              <w:rPr>
                <w:rFonts w:cs="Calibri"/>
              </w:rPr>
              <w:t>0.67</w:t>
            </w:r>
          </w:p>
        </w:tc>
        <w:tc>
          <w:tcPr>
            <w:tcW w:w="1616" w:type="dxa"/>
            <w:tcBorders>
              <w:top w:val="single" w:sz="4" w:space="0" w:color="1B556B" w:themeColor="text2"/>
            </w:tcBorders>
          </w:tcPr>
          <w:p w14:paraId="45E10832" w14:textId="77777777" w:rsidR="00590FE1" w:rsidRPr="001D5327" w:rsidRDefault="00590FE1" w:rsidP="00403787">
            <w:pPr>
              <w:pStyle w:val="TableText"/>
              <w:spacing w:before="40" w:after="40"/>
              <w:rPr>
                <w:rFonts w:cs="Calibri"/>
              </w:rPr>
            </w:pPr>
            <w:r w:rsidRPr="001D5327">
              <w:rPr>
                <w:rFonts w:cs="Calibri"/>
              </w:rPr>
              <w:t>Clough et al. (2008)</w:t>
            </w:r>
          </w:p>
        </w:tc>
      </w:tr>
      <w:tr w:rsidR="00590FE1" w:rsidRPr="001D5327" w14:paraId="521D84DC" w14:textId="77777777" w:rsidTr="00403787">
        <w:tc>
          <w:tcPr>
            <w:tcW w:w="4820" w:type="dxa"/>
          </w:tcPr>
          <w:p w14:paraId="6DC5074B" w14:textId="77777777" w:rsidR="00590FE1" w:rsidRPr="001D5327" w:rsidRDefault="00590FE1" w:rsidP="00403787">
            <w:pPr>
              <w:pStyle w:val="TableText"/>
              <w:spacing w:before="40" w:after="40"/>
              <w:rPr>
                <w:rFonts w:cs="Calibri"/>
              </w:rPr>
            </w:pPr>
            <w:r w:rsidRPr="001D5327">
              <w:rPr>
                <w:rFonts w:cs="Calibri"/>
              </w:rPr>
              <w:t>Fraction of nitrogen from leaching and runoff with application of DCD</w:t>
            </w:r>
          </w:p>
        </w:tc>
        <w:tc>
          <w:tcPr>
            <w:tcW w:w="1276" w:type="dxa"/>
          </w:tcPr>
          <w:p w14:paraId="3AB5BB90" w14:textId="77777777" w:rsidR="00590FE1" w:rsidRPr="001D5327" w:rsidRDefault="00590FE1" w:rsidP="00403787">
            <w:pPr>
              <w:pStyle w:val="TableText"/>
              <w:spacing w:before="40" w:after="40"/>
              <w:rPr>
                <w:rFonts w:cs="Calibri"/>
              </w:rPr>
            </w:pPr>
            <w:r w:rsidRPr="001D5327">
              <w:rPr>
                <w:rFonts w:cs="Calibri"/>
              </w:rPr>
              <w:t>Frac</w:t>
            </w:r>
            <w:r w:rsidRPr="001D5327">
              <w:rPr>
                <w:rFonts w:cs="Calibri"/>
                <w:vertAlign w:val="subscript"/>
              </w:rPr>
              <w:t>LEACH – (H)-DCD</w:t>
            </w:r>
          </w:p>
        </w:tc>
        <w:tc>
          <w:tcPr>
            <w:tcW w:w="850" w:type="dxa"/>
          </w:tcPr>
          <w:p w14:paraId="68E94BC4" w14:textId="77777777" w:rsidR="00590FE1" w:rsidRPr="001D5327" w:rsidRDefault="00590FE1" w:rsidP="00403787">
            <w:pPr>
              <w:pStyle w:val="TableText"/>
              <w:spacing w:before="40" w:after="40"/>
              <w:jc w:val="right"/>
              <w:rPr>
                <w:rFonts w:cs="Calibri"/>
              </w:rPr>
            </w:pPr>
            <w:r w:rsidRPr="001D5327">
              <w:rPr>
                <w:rFonts w:cs="Calibri"/>
              </w:rPr>
              <w:t>0.53</w:t>
            </w:r>
          </w:p>
        </w:tc>
        <w:tc>
          <w:tcPr>
            <w:tcW w:w="1616" w:type="dxa"/>
          </w:tcPr>
          <w:p w14:paraId="590C90D8" w14:textId="77777777" w:rsidR="00590FE1" w:rsidRPr="001D5327" w:rsidRDefault="00590FE1" w:rsidP="00403787">
            <w:pPr>
              <w:pStyle w:val="TableText"/>
              <w:spacing w:before="40" w:after="40"/>
              <w:rPr>
                <w:rFonts w:cs="Calibri"/>
              </w:rPr>
            </w:pPr>
            <w:r w:rsidRPr="001D5327">
              <w:rPr>
                <w:rFonts w:cs="Calibri"/>
              </w:rPr>
              <w:t>Clough et al. (2008)</w:t>
            </w:r>
          </w:p>
        </w:tc>
      </w:tr>
      <w:tr w:rsidR="00590FE1" w:rsidRPr="001D5327" w14:paraId="451F2485" w14:textId="77777777" w:rsidTr="00403787">
        <w:tc>
          <w:tcPr>
            <w:tcW w:w="4820" w:type="dxa"/>
          </w:tcPr>
          <w:p w14:paraId="517ED652" w14:textId="77777777" w:rsidR="00590FE1" w:rsidRPr="001D5327" w:rsidRDefault="00590FE1" w:rsidP="00403787">
            <w:pPr>
              <w:pStyle w:val="TableText"/>
              <w:spacing w:before="40" w:after="40"/>
              <w:rPr>
                <w:rFonts w:cs="Calibri"/>
              </w:rPr>
            </w:pPr>
            <w:r w:rsidRPr="001D5327">
              <w:rPr>
                <w:rFonts w:cs="Calibri"/>
              </w:rPr>
              <w:t>Volatilisation from synthetic nitrogen fertiliser (urea only) coated with urease inhibitor (nBTPT)</w:t>
            </w:r>
          </w:p>
        </w:tc>
        <w:tc>
          <w:tcPr>
            <w:tcW w:w="1276" w:type="dxa"/>
          </w:tcPr>
          <w:p w14:paraId="09F0DEEF" w14:textId="77777777" w:rsidR="00590FE1" w:rsidRPr="001D5327" w:rsidRDefault="00590FE1" w:rsidP="00403787">
            <w:pPr>
              <w:pStyle w:val="TableText"/>
              <w:spacing w:before="40" w:after="40"/>
              <w:rPr>
                <w:rFonts w:cs="Calibri"/>
              </w:rPr>
            </w:pPr>
            <w:r w:rsidRPr="001D5327">
              <w:rPr>
                <w:rFonts w:cs="Calibri"/>
              </w:rPr>
              <w:t>Frac</w:t>
            </w:r>
            <w:r w:rsidRPr="001D5327">
              <w:rPr>
                <w:rFonts w:cs="Calibri"/>
                <w:vertAlign w:val="subscript"/>
              </w:rPr>
              <w:t>GASF-UI</w:t>
            </w:r>
          </w:p>
        </w:tc>
        <w:tc>
          <w:tcPr>
            <w:tcW w:w="850" w:type="dxa"/>
          </w:tcPr>
          <w:p w14:paraId="78A533D0" w14:textId="77777777" w:rsidR="00590FE1" w:rsidRPr="001D5327" w:rsidRDefault="00590FE1" w:rsidP="00403787">
            <w:pPr>
              <w:pStyle w:val="TableText"/>
              <w:spacing w:before="40" w:after="40"/>
              <w:jc w:val="right"/>
              <w:rPr>
                <w:rFonts w:cs="Calibri"/>
              </w:rPr>
            </w:pPr>
            <w:r w:rsidRPr="001D5327">
              <w:rPr>
                <w:rFonts w:cs="Calibri"/>
              </w:rPr>
              <w:t>0.055</w:t>
            </w:r>
          </w:p>
        </w:tc>
        <w:tc>
          <w:tcPr>
            <w:tcW w:w="1616" w:type="dxa"/>
          </w:tcPr>
          <w:p w14:paraId="74C1AD38" w14:textId="77777777" w:rsidR="00590FE1" w:rsidRPr="001D5327" w:rsidRDefault="00590FE1" w:rsidP="00403787">
            <w:pPr>
              <w:pStyle w:val="TableText"/>
              <w:spacing w:before="40" w:after="40"/>
              <w:rPr>
                <w:rFonts w:cs="Calibri"/>
              </w:rPr>
            </w:pPr>
            <w:r w:rsidRPr="001D5327">
              <w:rPr>
                <w:rFonts w:cs="Calibri"/>
              </w:rPr>
              <w:t>Saggar et al. (2013)</w:t>
            </w:r>
          </w:p>
        </w:tc>
      </w:tr>
    </w:tbl>
    <w:p w14:paraId="56C8E0CD" w14:textId="77777777" w:rsidR="00590FE1" w:rsidRPr="001D5327" w:rsidRDefault="00590FE1" w:rsidP="00590FE1">
      <w:pPr>
        <w:pStyle w:val="Heading4"/>
        <w:spacing w:before="360"/>
      </w:pPr>
      <w:r w:rsidRPr="001D5327">
        <w:t>Direct nitrous oxide emissions from managed soils (3.D.1)</w:t>
      </w:r>
    </w:p>
    <w:p w14:paraId="7364F42F" w14:textId="77777777" w:rsidR="00590FE1" w:rsidRPr="001D5327" w:rsidRDefault="00590FE1" w:rsidP="00590FE1">
      <w:pPr>
        <w:pStyle w:val="BodyText"/>
        <w:spacing w:after="100"/>
        <w:rPr>
          <w:rFonts w:cs="Calibri"/>
        </w:rPr>
      </w:pPr>
      <w:r w:rsidRPr="001D5327">
        <w:rPr>
          <w:rFonts w:cs="Calibri"/>
        </w:rPr>
        <w:t xml:space="preserve">Emissions from the </w:t>
      </w:r>
      <w:r w:rsidRPr="001D5327">
        <w:rPr>
          <w:rFonts w:cs="Calibri"/>
          <w:i/>
          <w:iCs/>
        </w:rPr>
        <w:t>Direct N</w:t>
      </w:r>
      <w:r w:rsidRPr="001D5327">
        <w:rPr>
          <w:rFonts w:cs="Calibri"/>
          <w:i/>
          <w:iCs/>
          <w:vertAlign w:val="subscript"/>
        </w:rPr>
        <w:t>2</w:t>
      </w:r>
      <w:r w:rsidRPr="001D5327">
        <w:rPr>
          <w:rFonts w:cs="Calibri"/>
          <w:i/>
          <w:iCs/>
        </w:rPr>
        <w:t xml:space="preserve">O emissions from managed soils </w:t>
      </w:r>
      <w:r w:rsidRPr="001D5327">
        <w:rPr>
          <w:rFonts w:cs="Calibri"/>
        </w:rPr>
        <w:t xml:space="preserve">category arise from: </w:t>
      </w:r>
    </w:p>
    <w:p w14:paraId="02F89581" w14:textId="77777777" w:rsidR="00590FE1" w:rsidRPr="001D5327" w:rsidRDefault="00590FE1">
      <w:pPr>
        <w:pStyle w:val="Bullet"/>
        <w:numPr>
          <w:ilvl w:val="0"/>
          <w:numId w:val="27"/>
        </w:numPr>
        <w:spacing w:after="100"/>
      </w:pPr>
      <w:r w:rsidRPr="001D5327">
        <w:t>synthetic nitrogen fertiliser use (F</w:t>
      </w:r>
      <w:r w:rsidRPr="001D5327">
        <w:rPr>
          <w:vertAlign w:val="subscript"/>
        </w:rPr>
        <w:t>SN</w:t>
      </w:r>
      <w:r w:rsidRPr="001D5327">
        <w:t>)</w:t>
      </w:r>
    </w:p>
    <w:p w14:paraId="158C3508" w14:textId="77777777" w:rsidR="00590FE1" w:rsidRPr="001D5327" w:rsidRDefault="00590FE1">
      <w:pPr>
        <w:pStyle w:val="Bullet"/>
        <w:numPr>
          <w:ilvl w:val="0"/>
          <w:numId w:val="27"/>
        </w:numPr>
        <w:spacing w:after="100"/>
      </w:pPr>
      <w:r w:rsidRPr="001D5327">
        <w:t xml:space="preserve">organic fertilisers (which in </w:t>
      </w:r>
      <w:r w:rsidRPr="001D5327" w:rsidDel="0033406C">
        <w:rPr>
          <w:rFonts w:cs="Calibri"/>
        </w:rPr>
        <w:t xml:space="preserve">New </w:t>
      </w:r>
      <w:r w:rsidRPr="001D5327">
        <w:rPr>
          <w:rFonts w:cs="Calibri"/>
        </w:rPr>
        <w:t>Zealand</w:t>
      </w:r>
      <w:r w:rsidRPr="001D5327">
        <w:t xml:space="preserve"> are solely the spreading of animal manure, F</w:t>
      </w:r>
      <w:r w:rsidRPr="001D5327">
        <w:rPr>
          <w:vertAlign w:val="subscript"/>
        </w:rPr>
        <w:t>AM</w:t>
      </w:r>
      <w:r w:rsidRPr="001D5327">
        <w:t>)</w:t>
      </w:r>
    </w:p>
    <w:p w14:paraId="3EDB2C1B" w14:textId="77777777" w:rsidR="00590FE1" w:rsidRPr="001D5327" w:rsidRDefault="00590FE1">
      <w:pPr>
        <w:pStyle w:val="Bullet"/>
        <w:numPr>
          <w:ilvl w:val="0"/>
          <w:numId w:val="27"/>
        </w:numPr>
        <w:spacing w:after="100"/>
      </w:pPr>
      <w:r w:rsidRPr="001D5327">
        <w:t>manure deposited by grazing livestock in pasture, range and paddock (F</w:t>
      </w:r>
      <w:r w:rsidRPr="001D5327">
        <w:rPr>
          <w:vertAlign w:val="subscript"/>
        </w:rPr>
        <w:t>PRP</w:t>
      </w:r>
      <w:r w:rsidRPr="001D5327">
        <w:t>)</w:t>
      </w:r>
    </w:p>
    <w:p w14:paraId="7937DB20" w14:textId="77777777" w:rsidR="00590FE1" w:rsidRPr="001D5327" w:rsidRDefault="00590FE1">
      <w:pPr>
        <w:pStyle w:val="Bullet"/>
        <w:numPr>
          <w:ilvl w:val="0"/>
          <w:numId w:val="27"/>
        </w:numPr>
        <w:spacing w:after="100"/>
      </w:pPr>
      <w:r w:rsidRPr="001D5327">
        <w:t>decomposition of crop residues left on fields (F</w:t>
      </w:r>
      <w:r w:rsidRPr="001D5327">
        <w:rPr>
          <w:vertAlign w:val="subscript"/>
        </w:rPr>
        <w:t>CR</w:t>
      </w:r>
      <w:r w:rsidRPr="001D5327">
        <w:t>)</w:t>
      </w:r>
    </w:p>
    <w:p w14:paraId="6EDE5A3A" w14:textId="77777777" w:rsidR="00590FE1" w:rsidRPr="001D5327" w:rsidRDefault="00590FE1">
      <w:pPr>
        <w:pStyle w:val="Bullet"/>
        <w:numPr>
          <w:ilvl w:val="0"/>
          <w:numId w:val="27"/>
        </w:numPr>
        <w:spacing w:after="100"/>
      </w:pPr>
      <w:r w:rsidRPr="001D5327">
        <w:t>nitrogen mineralisation associated with loss of soil organic matter (F</w:t>
      </w:r>
      <w:r w:rsidRPr="001D5327">
        <w:rPr>
          <w:vertAlign w:val="subscript"/>
        </w:rPr>
        <w:t>SOM</w:t>
      </w:r>
      <w:r w:rsidRPr="001D5327">
        <w:t>)</w:t>
      </w:r>
    </w:p>
    <w:p w14:paraId="633849CC" w14:textId="77777777" w:rsidR="00590FE1" w:rsidRPr="001D5327" w:rsidRDefault="00590FE1">
      <w:pPr>
        <w:pStyle w:val="Bullet"/>
        <w:numPr>
          <w:ilvl w:val="0"/>
          <w:numId w:val="27"/>
        </w:numPr>
      </w:pPr>
      <w:r w:rsidRPr="001D5327">
        <w:t>management of organic soils.</w:t>
      </w:r>
    </w:p>
    <w:p w14:paraId="0173F227" w14:textId="77777777" w:rsidR="00590FE1" w:rsidRPr="001D5327" w:rsidRDefault="00590FE1" w:rsidP="00C4164D">
      <w:pPr>
        <w:pStyle w:val="BodyText"/>
      </w:pPr>
      <w:r w:rsidRPr="001D5327">
        <w:lastRenderedPageBreak/>
        <w:t>Many of these sources of emissions</w:t>
      </w:r>
      <w:r w:rsidRPr="001D5327" w:rsidDel="00A44CC2">
        <w:t xml:space="preserve"> </w:t>
      </w:r>
      <w:r w:rsidRPr="001D5327">
        <w:t>have N</w:t>
      </w:r>
      <w:r w:rsidRPr="001D5327">
        <w:rPr>
          <w:vertAlign w:val="subscript"/>
        </w:rPr>
        <w:t>2</w:t>
      </w:r>
      <w:r w:rsidRPr="001D5327">
        <w:t>O emissions from indirect pathways as well, and these calculations are described in detail in the section on indirect N</w:t>
      </w:r>
      <w:r w:rsidRPr="001D5327">
        <w:rPr>
          <w:vertAlign w:val="subscript"/>
        </w:rPr>
        <w:t>2</w:t>
      </w:r>
      <w:r w:rsidRPr="001D5327">
        <w:t xml:space="preserve">O emissions from managed soils. </w:t>
      </w:r>
    </w:p>
    <w:p w14:paraId="22BCD70F" w14:textId="77777777" w:rsidR="00590FE1" w:rsidRPr="001D5327" w:rsidRDefault="00590FE1" w:rsidP="00C4164D">
      <w:pPr>
        <w:pStyle w:val="BodyText"/>
      </w:pPr>
      <w:r w:rsidRPr="001D5327">
        <w:t>New Zealand’s methodology for determining the values for nitrogen inputs to soils for F</w:t>
      </w:r>
      <w:r w:rsidRPr="001D5327">
        <w:rPr>
          <w:vertAlign w:val="subscript"/>
        </w:rPr>
        <w:t>AM</w:t>
      </w:r>
      <w:r w:rsidRPr="001D5327">
        <w:t xml:space="preserve"> and F</w:t>
      </w:r>
      <w:r w:rsidRPr="001D5327">
        <w:rPr>
          <w:vertAlign w:val="subscript"/>
        </w:rPr>
        <w:t>PRP</w:t>
      </w:r>
      <w:r w:rsidRPr="001D5327">
        <w:t xml:space="preserve"> is consistent with other parts of the Agriculture inventory sector. The underlying values for N</w:t>
      </w:r>
      <w:r w:rsidRPr="001D5327">
        <w:rPr>
          <w:vertAlign w:val="subscript"/>
        </w:rPr>
        <w:t>ex</w:t>
      </w:r>
      <w:r w:rsidRPr="001D5327">
        <w:t xml:space="preserve"> and for the allocation of excreta to animal waste management systems are the same as in the </w:t>
      </w:r>
      <w:r w:rsidRPr="001D5327">
        <w:rPr>
          <w:i/>
          <w:iCs/>
        </w:rPr>
        <w:t>Manure management</w:t>
      </w:r>
      <w:r w:rsidRPr="001D5327">
        <w:t xml:space="preserve"> </w:t>
      </w:r>
      <w:r w:rsidRPr="00C4164D">
        <w:t>category</w:t>
      </w:r>
      <w:r w:rsidRPr="001D5327">
        <w:t>. These N</w:t>
      </w:r>
      <w:r w:rsidRPr="001D5327">
        <w:rPr>
          <w:vertAlign w:val="subscript"/>
        </w:rPr>
        <w:t>ex</w:t>
      </w:r>
      <w:r w:rsidRPr="001D5327">
        <w:t xml:space="preserve"> values have been calculated based on the same animal intake and animal productivity values used for calculating CH</w:t>
      </w:r>
      <w:r w:rsidRPr="001D5327">
        <w:rPr>
          <w:vertAlign w:val="subscript"/>
        </w:rPr>
        <w:t>4</w:t>
      </w:r>
      <w:r w:rsidRPr="001D5327">
        <w:t xml:space="preserve"> emissions for the different animal categories and species in the Tier 2 model (see section 5.1.3). This ensures the same base DMI values are used for both the CH</w:t>
      </w:r>
      <w:r w:rsidRPr="001D5327">
        <w:rPr>
          <w:vertAlign w:val="subscript"/>
        </w:rPr>
        <w:t>4</w:t>
      </w:r>
      <w:r w:rsidRPr="001D5327">
        <w:t xml:space="preserve"> and N</w:t>
      </w:r>
      <w:r w:rsidRPr="001D5327">
        <w:rPr>
          <w:vertAlign w:val="subscript"/>
        </w:rPr>
        <w:t>2</w:t>
      </w:r>
      <w:r w:rsidRPr="001D5327">
        <w:t>O emission calculations. Further details can be found in the Agriculture inventory model methodology document on the MPI website (</w:t>
      </w:r>
      <w:hyperlink r:id="rId116" w:history="1">
        <w:r w:rsidRPr="001D5327">
          <w:rPr>
            <w:rStyle w:val="Hyperlink"/>
          </w:rPr>
          <w:t>www.mpi.govt.nz/dmsdocument/13906-detailed-methodologies-for-agricultural-greenhouse-gas-emission-calculation</w:t>
        </w:r>
      </w:hyperlink>
      <w:r w:rsidRPr="001D5327">
        <w:t>).</w:t>
      </w:r>
    </w:p>
    <w:p w14:paraId="41930C47" w14:textId="77777777" w:rsidR="00590FE1" w:rsidRPr="001D5327" w:rsidRDefault="00590FE1" w:rsidP="00590FE1">
      <w:pPr>
        <w:pStyle w:val="Heading5"/>
      </w:pPr>
      <w:r w:rsidRPr="001D5327">
        <w:t>Synthetic nitrogen fertiliser (3.D.1.1)</w:t>
      </w:r>
    </w:p>
    <w:p w14:paraId="414AD19D" w14:textId="77777777" w:rsidR="00590FE1" w:rsidRPr="001D5327" w:rsidRDefault="00590FE1" w:rsidP="00C4164D">
      <w:pPr>
        <w:pStyle w:val="BodyText"/>
      </w:pPr>
      <w:r w:rsidRPr="001D5327">
        <w:t>Anthropogenic N</w:t>
      </w:r>
      <w:r w:rsidRPr="001D5327">
        <w:rPr>
          <w:vertAlign w:val="subscript"/>
        </w:rPr>
        <w:t>2</w:t>
      </w:r>
      <w:r w:rsidRPr="001D5327">
        <w:t xml:space="preserve">O emissions from </w:t>
      </w:r>
      <w:r w:rsidRPr="00C4164D">
        <w:t>synthetic</w:t>
      </w:r>
      <w:r w:rsidRPr="001D5327">
        <w:t xml:space="preserve"> nitrogen fertiliser are a relatively small proportion of total N</w:t>
      </w:r>
      <w:r w:rsidRPr="001D5327">
        <w:rPr>
          <w:vertAlign w:val="subscript"/>
        </w:rPr>
        <w:t>2</w:t>
      </w:r>
      <w:r w:rsidRPr="001D5327">
        <w:t xml:space="preserve">O emissions, but have grown since 1990. Most synthetic nitrogen fertiliser used in </w:t>
      </w:r>
      <w:r w:rsidRPr="001D5327" w:rsidDel="00463745">
        <w:t xml:space="preserve">New </w:t>
      </w:r>
      <w:r w:rsidRPr="001D5327">
        <w:t xml:space="preserve">Zealand is urea fertiliser applied to dairy pastures to increase pasture growth during spring (September to November) and autumn (March to May). </w:t>
      </w:r>
    </w:p>
    <w:p w14:paraId="6E585B5C" w14:textId="77777777" w:rsidR="00590FE1" w:rsidRPr="001D5327" w:rsidRDefault="00590FE1" w:rsidP="00C4164D">
      <w:pPr>
        <w:pStyle w:val="BodyText"/>
      </w:pPr>
      <w:r w:rsidRPr="001D5327">
        <w:t>In accordance with IPCC Guidelines (IPCC, 2006), the following equation is used to determine direct N</w:t>
      </w:r>
      <w:r w:rsidRPr="001D5327">
        <w:rPr>
          <w:vertAlign w:val="subscript"/>
        </w:rPr>
        <w:t>2</w:t>
      </w:r>
      <w:r w:rsidRPr="001D5327">
        <w:t xml:space="preserve">O emissions from the application of nitrogen-based fertiliser: </w:t>
      </w:r>
    </w:p>
    <w:p w14:paraId="4EB5C4C5" w14:textId="77777777" w:rsidR="00590FE1" w:rsidRPr="001D5327" w:rsidRDefault="00000000" w:rsidP="00590FE1">
      <w:pPr>
        <w:pStyle w:val="BodyText"/>
        <w:spacing w:after="80"/>
        <w:jc w:val="center"/>
        <w:rPr>
          <w:rFonts w:cs="Calibri"/>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r>
            <w:rPr>
              <w:rFonts w:ascii="Cambria Math" w:hAnsi="Cambria Math"/>
              <w:sz w:val="24"/>
              <w:szCs w:val="24"/>
            </w:rPr>
            <m:t xml:space="preserve">Odirect= </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SN</m:t>
                  </m:r>
                  <m:d>
                    <m:dPr>
                      <m:ctrlPr>
                        <w:rPr>
                          <w:rFonts w:ascii="Cambria Math" w:hAnsi="Cambria Math"/>
                          <w:i/>
                          <w:sz w:val="24"/>
                          <w:szCs w:val="24"/>
                        </w:rPr>
                      </m:ctrlPr>
                    </m:dPr>
                    <m:e>
                      <m:r>
                        <w:rPr>
                          <w:rFonts w:ascii="Cambria Math" w:hAnsi="Cambria Math"/>
                          <w:sz w:val="24"/>
                          <w:szCs w:val="24"/>
                        </w:rPr>
                        <m:t>UREA</m:t>
                      </m:r>
                    </m:e>
                  </m:d>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1</m:t>
                  </m:r>
                  <m:d>
                    <m:dPr>
                      <m:ctrlPr>
                        <w:rPr>
                          <w:rFonts w:ascii="Cambria Math" w:hAnsi="Cambria Math"/>
                          <w:i/>
                          <w:sz w:val="24"/>
                          <w:szCs w:val="24"/>
                        </w:rPr>
                      </m:ctrlPr>
                    </m:dPr>
                    <m:e>
                      <m:r>
                        <w:rPr>
                          <w:rFonts w:ascii="Cambria Math" w:hAnsi="Cambria Math"/>
                          <w:sz w:val="24"/>
                          <w:szCs w:val="24"/>
                        </w:rPr>
                        <m:t>UREA</m:t>
                      </m:r>
                    </m:e>
                  </m:d>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SN</m:t>
                  </m:r>
                  <m:d>
                    <m:dPr>
                      <m:ctrlPr>
                        <w:rPr>
                          <w:rFonts w:ascii="Cambria Math" w:hAnsi="Cambria Math"/>
                          <w:i/>
                          <w:sz w:val="24"/>
                          <w:szCs w:val="24"/>
                        </w:rPr>
                      </m:ctrlPr>
                    </m:dPr>
                    <m:e>
                      <m:r>
                        <w:rPr>
                          <w:rFonts w:ascii="Cambria Math" w:hAnsi="Cambria Math"/>
                          <w:sz w:val="24"/>
                          <w:szCs w:val="24"/>
                        </w:rPr>
                        <m:t>OTHER</m:t>
                      </m:r>
                    </m:e>
                  </m:d>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1</m:t>
                  </m:r>
                </m:sub>
              </m:sSub>
              <m:r>
                <w:rPr>
                  <w:rFonts w:ascii="Cambria Math" w:hAnsi="Cambria Math"/>
                  <w:sz w:val="24"/>
                  <w:szCs w:val="24"/>
                </w:rPr>
                <m:t>)</m:t>
              </m:r>
            </m:e>
          </m:d>
        </m:oMath>
      </m:oMathPara>
    </w:p>
    <w:p w14:paraId="7C0BE536" w14:textId="77777777" w:rsidR="00590FE1" w:rsidRPr="001D5327" w:rsidRDefault="00590FE1" w:rsidP="00C4164D">
      <w:pPr>
        <w:pStyle w:val="BodyText"/>
        <w:spacing w:before="80" w:after="40"/>
        <w:ind w:left="964" w:hanging="964"/>
      </w:pPr>
      <w:r w:rsidRPr="001D5327">
        <w:t>Where:</w:t>
      </w:r>
      <w:r w:rsidRPr="001D5327">
        <w:tab/>
        <w:t>44/28 is the molecular conversion factor used to convert nitrogen to N</w:t>
      </w:r>
      <w:r w:rsidRPr="001D5327">
        <w:rPr>
          <w:vertAlign w:val="subscript"/>
        </w:rPr>
        <w:t>2</w:t>
      </w:r>
      <w:r w:rsidRPr="001D5327">
        <w:t>O</w:t>
      </w:r>
    </w:p>
    <w:p w14:paraId="6F6544C5" w14:textId="77777777" w:rsidR="00590FE1" w:rsidRPr="001D5327" w:rsidRDefault="00590FE1" w:rsidP="00C4164D">
      <w:pPr>
        <w:pStyle w:val="BodyText"/>
        <w:spacing w:before="40" w:after="40"/>
        <w:ind w:left="964"/>
      </w:pPr>
      <w:r w:rsidRPr="001D5327">
        <w:t>F</w:t>
      </w:r>
      <w:r w:rsidRPr="001D5327">
        <w:rPr>
          <w:vertAlign w:val="subscript"/>
        </w:rPr>
        <w:t>SN</w:t>
      </w:r>
      <w:r w:rsidRPr="001D5327">
        <w:t xml:space="preserve"> is the total annual amount of synthetic nitrogen fertiliser applied to soils (urea</w:t>
      </w:r>
      <w:r w:rsidRPr="001D5327">
        <w:noBreakHyphen/>
        <w:t>based and other fertilisers)</w:t>
      </w:r>
    </w:p>
    <w:p w14:paraId="1B0C3906" w14:textId="77777777" w:rsidR="00590FE1" w:rsidRPr="001D5327" w:rsidRDefault="00590FE1" w:rsidP="00C4164D">
      <w:pPr>
        <w:pStyle w:val="BodyText"/>
        <w:spacing w:before="40" w:after="40"/>
        <w:ind w:left="964" w:hanging="964"/>
      </w:pPr>
      <w:r w:rsidRPr="001D5327">
        <w:tab/>
        <w:t>EF</w:t>
      </w:r>
      <w:r w:rsidRPr="001D5327">
        <w:rPr>
          <w:vertAlign w:val="subscript"/>
        </w:rPr>
        <w:t>1(UREA)</w:t>
      </w:r>
      <w:r w:rsidRPr="001D5327">
        <w:t xml:space="preserve"> is the proportion of direct N</w:t>
      </w:r>
      <w:r w:rsidRPr="001D5327">
        <w:rPr>
          <w:vertAlign w:val="subscript"/>
        </w:rPr>
        <w:t>2</w:t>
      </w:r>
      <w:r w:rsidRPr="001D5327">
        <w:t>O emissions from nitrogen input to the soil for urea fertilisers (0.0059; table 5.5.2), and</w:t>
      </w:r>
    </w:p>
    <w:p w14:paraId="3EF44D9B" w14:textId="77777777" w:rsidR="00590FE1" w:rsidRPr="001D5327" w:rsidRDefault="00590FE1" w:rsidP="00590FE1">
      <w:pPr>
        <w:pStyle w:val="BodyText"/>
        <w:spacing w:before="40" w:after="40"/>
        <w:ind w:left="964" w:hanging="964"/>
      </w:pPr>
      <w:r w:rsidRPr="001D5327">
        <w:tab/>
        <w:t>EF</w:t>
      </w:r>
      <w:r w:rsidRPr="001D5327">
        <w:rPr>
          <w:vertAlign w:val="subscript"/>
        </w:rPr>
        <w:t>1</w:t>
      </w:r>
      <w:r w:rsidRPr="001D5327">
        <w:t xml:space="preserve"> is the proportion of direct N</w:t>
      </w:r>
      <w:r w:rsidRPr="001D5327">
        <w:rPr>
          <w:vertAlign w:val="subscript"/>
        </w:rPr>
        <w:t>2</w:t>
      </w:r>
      <w:r w:rsidRPr="001D5327">
        <w:t>O emissions from nitrogen input to the soil (0.01; table 5.5.2).</w:t>
      </w:r>
    </w:p>
    <w:p w14:paraId="3D521684" w14:textId="77777777" w:rsidR="00590FE1" w:rsidRPr="001D5327" w:rsidRDefault="00590FE1" w:rsidP="00C4164D">
      <w:pPr>
        <w:pStyle w:val="BodyText"/>
      </w:pPr>
      <w:r w:rsidRPr="001D5327">
        <w:t>Data on synthetic fertiliser use are provided by the Fertiliser Association of New Zealand. S</w:t>
      </w:r>
      <w:r w:rsidRPr="001D5327">
        <w:rPr>
          <w:spacing w:val="-2"/>
        </w:rPr>
        <w:t>ales records from the two major fertiliser companies for 1990 to 2023 comprise approximately</w:t>
      </w:r>
      <w:r w:rsidRPr="001D5327">
        <w:t xml:space="preserve"> 98 per cent of the total tonnage used, with fertiliser use estimates from smaller companies added.</w:t>
      </w:r>
    </w:p>
    <w:p w14:paraId="11368C50" w14:textId="77777777" w:rsidR="00590FE1" w:rsidRPr="001D5327" w:rsidRDefault="00590FE1" w:rsidP="00C4164D">
      <w:pPr>
        <w:pStyle w:val="BodyText"/>
        <w:keepLines/>
      </w:pPr>
      <w:r w:rsidRPr="001D5327">
        <w:t>The EF</w:t>
      </w:r>
      <w:r w:rsidRPr="001D5327">
        <w:rPr>
          <w:vertAlign w:val="subscript"/>
        </w:rPr>
        <w:t>1(UREA)</w:t>
      </w:r>
      <w:r w:rsidRPr="001D5327">
        <w:t xml:space="preserve"> value was changed to 0.0059 in 2017, following a recommendation from the Agriculture Inventory Advisory Panel in 2016. The Panel agreed that the value of 0.0059, based on research by van der Weerden et al. (2016a), was more representative of New Zealand farming practices and conditions, where only small (30–50 kg N/ha/application) urea dressings are applied but on several occasions during a year. The lower value of EF</w:t>
      </w:r>
      <w:r w:rsidRPr="001D5327">
        <w:rPr>
          <w:vertAlign w:val="subscript"/>
        </w:rPr>
        <w:t>1(UREA)</w:t>
      </w:r>
      <w:r w:rsidRPr="001D5327">
        <w:t>, compared with the IPCC default of 1 per cent, is comparable with studies conducted in Australia (Chen et al., 2010; Galbally et al., 2005) and The Netherlands (Kuikman et al., 2006), which have found EF</w:t>
      </w:r>
      <w:r w:rsidRPr="001D5327">
        <w:rPr>
          <w:vertAlign w:val="subscript"/>
        </w:rPr>
        <w:t>1</w:t>
      </w:r>
      <w:r w:rsidRPr="001D5327">
        <w:t xml:space="preserve"> urea fertiliser values of around 0.5 per cent. </w:t>
      </w:r>
    </w:p>
    <w:p w14:paraId="74B1A20A" w14:textId="77777777" w:rsidR="00590FE1" w:rsidRPr="001D5327" w:rsidRDefault="00590FE1" w:rsidP="00C4164D">
      <w:pPr>
        <w:pStyle w:val="BodyText"/>
      </w:pPr>
      <w:r w:rsidRPr="001D5327">
        <w:t>Since 1990, a large increase in nitrogen</w:t>
      </w:r>
      <w:r w:rsidRPr="001D5327" w:rsidDel="00384723">
        <w:t xml:space="preserve"> </w:t>
      </w:r>
      <w:r w:rsidRPr="001D5327">
        <w:t>applied through synthetic fertiliser has occurred, from 59,265 tonnes in 1990, increasing to 376,000 tonnes in 2023 (see figure 5.5.2). The proportion o</w:t>
      </w:r>
      <w:r w:rsidRPr="00C4164D">
        <w:rPr>
          <w:spacing w:val="-2"/>
        </w:rPr>
        <w:t>f urea fertiliser applied increased from just over 41.5 per cent in 1990 to 91.7 per cent in 2007</w:t>
      </w:r>
      <w:r w:rsidRPr="001D5327">
        <w:t xml:space="preserve">. </w:t>
      </w:r>
      <w:r w:rsidRPr="001D5327">
        <w:lastRenderedPageBreak/>
        <w:t xml:space="preserve">In 2023, the applied tonnage of urea was 71.0 per cent of all synthetic nitrogen fertiliser applied (see figure 5.5.3). </w:t>
      </w:r>
    </w:p>
    <w:p w14:paraId="5DA256B0" w14:textId="77777777" w:rsidR="00590FE1" w:rsidRPr="001D5327" w:rsidRDefault="00590FE1" w:rsidP="00590FE1">
      <w:pPr>
        <w:pStyle w:val="BodyText"/>
      </w:pPr>
      <w:r w:rsidRPr="001D5327">
        <w:t xml:space="preserve">The nitrogen fertiliser applied has decreased significantly (14.7 per cent) in the past two years in part due to higher fertiliser prices. </w:t>
      </w:r>
    </w:p>
    <w:p w14:paraId="37E47DEC" w14:textId="77777777" w:rsidR="00590FE1" w:rsidRPr="001D5327" w:rsidRDefault="00590FE1" w:rsidP="00590FE1">
      <w:pPr>
        <w:pStyle w:val="Figure"/>
      </w:pPr>
      <w:bookmarkStart w:id="1170" w:name="_Toc447275696"/>
      <w:bookmarkStart w:id="1171" w:name="_Toc481752015"/>
      <w:bookmarkStart w:id="1172" w:name="_Toc507158474"/>
      <w:bookmarkStart w:id="1173" w:name="_Toc511116965"/>
      <w:bookmarkStart w:id="1174" w:name="_Toc5269695"/>
      <w:bookmarkStart w:id="1175" w:name="_Toc32570966"/>
      <w:bookmarkStart w:id="1176" w:name="_Toc36292796"/>
      <w:bookmarkStart w:id="1177" w:name="_Toc68786661"/>
      <w:bookmarkStart w:id="1178" w:name="_Toc95574122"/>
      <w:bookmarkStart w:id="1179" w:name="_Toc127458561"/>
      <w:bookmarkStart w:id="1180" w:name="_Toc131591563"/>
      <w:bookmarkStart w:id="1181" w:name="_Toc164154031"/>
      <w:bookmarkStart w:id="1182" w:name="_Toc194674864"/>
      <w:r w:rsidRPr="001D5327">
        <w:t>Figure 5.5.2</w:t>
      </w:r>
      <w:r w:rsidRPr="001D5327">
        <w:tab/>
        <w:t>Synthetic nitrogen fertiliser use in New Zealand, from 1990 to </w:t>
      </w:r>
      <w:bookmarkEnd w:id="1170"/>
      <w:bookmarkEnd w:id="1171"/>
      <w:bookmarkEnd w:id="1172"/>
      <w:bookmarkEnd w:id="1173"/>
      <w:bookmarkEnd w:id="1174"/>
      <w:bookmarkEnd w:id="1175"/>
      <w:bookmarkEnd w:id="1176"/>
      <w:bookmarkEnd w:id="1177"/>
      <w:bookmarkEnd w:id="1178"/>
      <w:bookmarkEnd w:id="1179"/>
      <w:bookmarkEnd w:id="1180"/>
      <w:bookmarkEnd w:id="1181"/>
      <w:r w:rsidRPr="001D5327">
        <w:rPr>
          <w:color w:val="000000" w:themeColor="text1"/>
        </w:rPr>
        <w:t>2023</w:t>
      </w:r>
      <w:bookmarkEnd w:id="1182"/>
    </w:p>
    <w:p w14:paraId="53BF945C" w14:textId="77777777" w:rsidR="00590FE1" w:rsidRPr="001D5327" w:rsidRDefault="00590FE1" w:rsidP="00590FE1">
      <w:pPr>
        <w:pStyle w:val="BodyText"/>
      </w:pPr>
      <w:r w:rsidRPr="001D5327">
        <w:rPr>
          <w:noProof/>
        </w:rPr>
        <w:drawing>
          <wp:inline distT="0" distB="0" distL="0" distR="0" wp14:anchorId="6C270647" wp14:editId="3028CFD3">
            <wp:extent cx="5332456" cy="2978150"/>
            <wp:effectExtent l="0" t="0" r="1905" b="0"/>
            <wp:docPr id="1966035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rotWithShape="1">
                    <a:blip r:embed="rId117" cstate="print">
                      <a:extLst>
                        <a:ext uri="{28A0092B-C50C-407E-A947-70E740481C1C}">
                          <a14:useLocalDpi xmlns:a14="http://schemas.microsoft.com/office/drawing/2010/main" val="0"/>
                        </a:ext>
                      </a:extLst>
                    </a:blip>
                    <a:srcRect t="1429" b="1592"/>
                    <a:stretch/>
                  </pic:blipFill>
                  <pic:spPr bwMode="auto">
                    <a:xfrm>
                      <a:off x="0" y="0"/>
                      <a:ext cx="5368573" cy="2998321"/>
                    </a:xfrm>
                    <a:prstGeom prst="rect">
                      <a:avLst/>
                    </a:prstGeom>
                    <a:ln>
                      <a:noFill/>
                    </a:ln>
                    <a:extLst>
                      <a:ext uri="{53640926-AAD7-44D8-BBD7-CCE9431645EC}">
                        <a14:shadowObscured xmlns:a14="http://schemas.microsoft.com/office/drawing/2010/main"/>
                      </a:ext>
                    </a:extLst>
                  </pic:spPr>
                </pic:pic>
              </a:graphicData>
            </a:graphic>
          </wp:inline>
        </w:drawing>
      </w:r>
    </w:p>
    <w:p w14:paraId="77AB6E27" w14:textId="77777777" w:rsidR="00590FE1" w:rsidRPr="001D5327" w:rsidRDefault="00590FE1" w:rsidP="00590FE1">
      <w:pPr>
        <w:pStyle w:val="Source"/>
        <w:spacing w:before="0" w:after="120"/>
        <w:rPr>
          <w:rFonts w:cs="Calibri"/>
        </w:rPr>
      </w:pPr>
      <w:r w:rsidRPr="001D5327">
        <w:rPr>
          <w:rFonts w:cs="Calibri"/>
        </w:rPr>
        <w:t>Source:</w:t>
      </w:r>
      <w:r w:rsidRPr="001D5327">
        <w:tab/>
      </w:r>
      <w:r w:rsidRPr="001D5327">
        <w:rPr>
          <w:rFonts w:cs="Calibri"/>
        </w:rPr>
        <w:t>Fertiliser Association of New Zealand</w:t>
      </w:r>
    </w:p>
    <w:p w14:paraId="06ADBB1E" w14:textId="77777777" w:rsidR="00590FE1" w:rsidRPr="001D5327" w:rsidRDefault="00590FE1" w:rsidP="00590FE1">
      <w:pPr>
        <w:pStyle w:val="Figure"/>
        <w:spacing w:after="60"/>
      </w:pPr>
      <w:bookmarkStart w:id="1183" w:name="_Toc447275697"/>
      <w:bookmarkStart w:id="1184" w:name="_Toc481752016"/>
      <w:bookmarkStart w:id="1185" w:name="_Toc507158475"/>
      <w:bookmarkStart w:id="1186" w:name="_Toc511116966"/>
      <w:bookmarkStart w:id="1187" w:name="_Toc5269696"/>
      <w:bookmarkStart w:id="1188" w:name="_Toc32570967"/>
      <w:bookmarkStart w:id="1189" w:name="_Toc36292797"/>
      <w:bookmarkStart w:id="1190" w:name="_Toc68786662"/>
      <w:bookmarkStart w:id="1191" w:name="_Toc95574123"/>
      <w:bookmarkStart w:id="1192" w:name="_Toc127458562"/>
      <w:bookmarkStart w:id="1193" w:name="_Toc131591564"/>
      <w:bookmarkStart w:id="1194" w:name="_Toc164154032"/>
      <w:bookmarkStart w:id="1195" w:name="_Toc194674865"/>
      <w:r w:rsidRPr="001D5327">
        <w:t>Figure 5.5.3</w:t>
      </w:r>
      <w:r w:rsidRPr="001D5327">
        <w:tab/>
        <w:t>Percentage of total synthetic nitrogen fertiliser derived from urea, from 1990 to</w:t>
      </w:r>
      <w:bookmarkEnd w:id="1183"/>
      <w:bookmarkEnd w:id="1184"/>
      <w:r w:rsidRPr="001D5327">
        <w:t> </w:t>
      </w:r>
      <w:bookmarkEnd w:id="1185"/>
      <w:bookmarkEnd w:id="1186"/>
      <w:bookmarkEnd w:id="1187"/>
      <w:bookmarkEnd w:id="1188"/>
      <w:bookmarkEnd w:id="1189"/>
      <w:bookmarkEnd w:id="1190"/>
      <w:bookmarkEnd w:id="1191"/>
      <w:bookmarkEnd w:id="1192"/>
      <w:bookmarkEnd w:id="1193"/>
      <w:bookmarkEnd w:id="1194"/>
      <w:r w:rsidRPr="001D5327">
        <w:t>2023</w:t>
      </w:r>
      <w:bookmarkEnd w:id="1195"/>
    </w:p>
    <w:p w14:paraId="51F02592" w14:textId="77777777" w:rsidR="00590FE1" w:rsidRPr="001D5327" w:rsidRDefault="00590FE1" w:rsidP="00590FE1">
      <w:pPr>
        <w:spacing w:before="100" w:beforeAutospacing="1" w:after="100" w:afterAutospacing="1"/>
        <w:rPr>
          <w:rFonts w:ascii="Times New Roman" w:hAnsi="Times New Roman"/>
          <w:sz w:val="24"/>
          <w:szCs w:val="24"/>
        </w:rPr>
      </w:pPr>
      <w:r w:rsidRPr="001D5327">
        <w:rPr>
          <w:noProof/>
        </w:rPr>
        <w:drawing>
          <wp:inline distT="0" distB="0" distL="0" distR="0" wp14:anchorId="28B99936" wp14:editId="733771FF">
            <wp:extent cx="5295900" cy="3007547"/>
            <wp:effectExtent l="0" t="0" r="0" b="2540"/>
            <wp:docPr id="21440649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rotWithShape="1">
                    <a:blip r:embed="rId118" cstate="print">
                      <a:extLst>
                        <a:ext uri="{28A0092B-C50C-407E-A947-70E740481C1C}">
                          <a14:useLocalDpi xmlns:a14="http://schemas.microsoft.com/office/drawing/2010/main" val="0"/>
                        </a:ext>
                      </a:extLst>
                    </a:blip>
                    <a:srcRect t="1429"/>
                    <a:stretch/>
                  </pic:blipFill>
                  <pic:spPr bwMode="auto">
                    <a:xfrm>
                      <a:off x="0" y="0"/>
                      <a:ext cx="5328582" cy="3026107"/>
                    </a:xfrm>
                    <a:prstGeom prst="rect">
                      <a:avLst/>
                    </a:prstGeom>
                    <a:ln>
                      <a:noFill/>
                    </a:ln>
                    <a:extLst>
                      <a:ext uri="{53640926-AAD7-44D8-BBD7-CCE9431645EC}">
                        <a14:shadowObscured xmlns:a14="http://schemas.microsoft.com/office/drawing/2010/main"/>
                      </a:ext>
                    </a:extLst>
                  </pic:spPr>
                </pic:pic>
              </a:graphicData>
            </a:graphic>
          </wp:inline>
        </w:drawing>
      </w:r>
    </w:p>
    <w:p w14:paraId="04DE2A4F" w14:textId="77777777" w:rsidR="00590FE1" w:rsidRPr="001D5327" w:rsidRDefault="00590FE1" w:rsidP="00590FE1">
      <w:pPr>
        <w:pStyle w:val="Source"/>
        <w:spacing w:before="60" w:after="120"/>
      </w:pPr>
      <w:r w:rsidRPr="001D5327">
        <w:t>Source:</w:t>
      </w:r>
      <w:r w:rsidRPr="001D5327">
        <w:tab/>
        <w:t>Fertiliser Association of New Zealand</w:t>
      </w:r>
    </w:p>
    <w:p w14:paraId="5A09CB20" w14:textId="77777777" w:rsidR="00590FE1" w:rsidRPr="001D5327" w:rsidRDefault="00590FE1" w:rsidP="00590FE1">
      <w:pPr>
        <w:pStyle w:val="BodyText"/>
      </w:pPr>
      <w:r w:rsidRPr="001D5327">
        <w:t xml:space="preserve">The increase in synthetic nitrogen fertiliser use since 1990 has resulted in an increase in emissions from this category, from </w:t>
      </w:r>
      <w:r w:rsidRPr="001D5327">
        <w:rPr>
          <w:rFonts w:cs="Calibri"/>
          <w:color w:val="000000"/>
        </w:rPr>
        <w:t>204.8</w:t>
      </w:r>
      <w:r w:rsidRPr="001D5327">
        <w:rPr>
          <w:color w:val="000000"/>
        </w:rPr>
        <w:t xml:space="preserve"> </w:t>
      </w:r>
      <w:r w:rsidRPr="001D5327">
        <w:t>kt CO</w:t>
      </w:r>
      <w:r w:rsidRPr="001D5327">
        <w:rPr>
          <w:vertAlign w:val="subscript"/>
        </w:rPr>
        <w:t>2</w:t>
      </w:r>
      <w:r w:rsidRPr="001D5327">
        <w:t>-e in 1990 (0.6 per cent of total Agriculture emissions) to 1,109.9 kt CO</w:t>
      </w:r>
      <w:r w:rsidRPr="001D5327">
        <w:rPr>
          <w:vertAlign w:val="subscript"/>
        </w:rPr>
        <w:t>2</w:t>
      </w:r>
      <w:r w:rsidRPr="001D5327">
        <w:noBreakHyphen/>
        <w:t>e in 2023 (2.7 per cent of Agriculture emissions).</w:t>
      </w:r>
    </w:p>
    <w:p w14:paraId="44C26DD5" w14:textId="77777777" w:rsidR="00590FE1" w:rsidRPr="001D5327" w:rsidRDefault="00590FE1" w:rsidP="00590FE1">
      <w:pPr>
        <w:pStyle w:val="Heading5"/>
      </w:pPr>
      <w:r w:rsidRPr="001D5327">
        <w:lastRenderedPageBreak/>
        <w:t>Organic nitrogen fertilisers (3.D.1.2)</w:t>
      </w:r>
    </w:p>
    <w:p w14:paraId="71FC4ABC" w14:textId="0EB4DC03" w:rsidR="00590FE1" w:rsidRPr="001D5327" w:rsidRDefault="00590FE1" w:rsidP="00590FE1">
      <w:pPr>
        <w:pStyle w:val="BodyText"/>
        <w:spacing w:before="100"/>
      </w:pPr>
      <w:r w:rsidRPr="001D5327">
        <w:t>In New Zealand, emissions from organic nitrogen fertilisers are mainly from animal manure that is spread onto pasture after collection in manure management systems. While most animal manure in New Zealand is excreted directly onto pasture, some manure from dairy farms is collected in manure management systems and applied to soils as an organic fertiliser (see table 5.3.2). A report by Rollo et al. (2017) found that only 8 per cent of dairy farms use</w:t>
      </w:r>
      <w:r w:rsidR="00217AD5" w:rsidRPr="001D5327">
        <w:t xml:space="preserve"> </w:t>
      </w:r>
      <w:r w:rsidRPr="001D5327">
        <w:rPr>
          <w:spacing w:val="-2"/>
        </w:rPr>
        <w:t>land application of manure, through the use of direct pumping from a sump. In all cases, manure</w:t>
      </w:r>
      <w:r w:rsidR="00DF6F57" w:rsidRPr="001D5327">
        <w:rPr>
          <w:spacing w:val="-2"/>
        </w:rPr>
        <w:t xml:space="preserve"> </w:t>
      </w:r>
      <w:r w:rsidRPr="001D5327">
        <w:rPr>
          <w:spacing w:val="-2"/>
        </w:rPr>
        <w:t>that was collected was stored for at least one or two days before spreading to pasture largely via</w:t>
      </w:r>
      <w:r w:rsidR="00911DF4" w:rsidRPr="001D5327">
        <w:rPr>
          <w:spacing w:val="-2"/>
        </w:rPr>
        <w:t> </w:t>
      </w:r>
      <w:r w:rsidRPr="001D5327">
        <w:rPr>
          <w:spacing w:val="-2"/>
        </w:rPr>
        <w:t xml:space="preserve">irrigation. Therefore, it does not meet the definition of </w:t>
      </w:r>
      <w:r w:rsidRPr="001D5327">
        <w:rPr>
          <w:i/>
          <w:iCs/>
          <w:spacing w:val="-2"/>
        </w:rPr>
        <w:t>daily spread</w:t>
      </w:r>
      <w:r w:rsidRPr="001D5327">
        <w:rPr>
          <w:spacing w:val="-2"/>
        </w:rPr>
        <w:t xml:space="preserve"> and the notation key ‘NO’</w:t>
      </w:r>
      <w:r w:rsidR="00911DF4" w:rsidRPr="001D5327">
        <w:rPr>
          <w:spacing w:val="-2"/>
        </w:rPr>
        <w:t> </w:t>
      </w:r>
      <w:r w:rsidRPr="001D5327">
        <w:rPr>
          <w:spacing w:val="-2"/>
        </w:rPr>
        <w:t>is reported in 3.B(b) of the CRT. The emissions calculation in this category</w:t>
      </w:r>
      <w:r w:rsidRPr="001D5327">
        <w:t xml:space="preserve"> (</w:t>
      </w:r>
      <w:r w:rsidRPr="001D5327">
        <w:rPr>
          <w:i/>
          <w:iCs/>
        </w:rPr>
        <w:t>O</w:t>
      </w:r>
      <w:r w:rsidRPr="001D5327">
        <w:rPr>
          <w:i/>
        </w:rPr>
        <w:t>rganic nitrogen fertilisers</w:t>
      </w:r>
      <w:r w:rsidRPr="001D5327">
        <w:t>) excludes manure deposited directly on pasture by grazing livestock, which is covered in the next section (</w:t>
      </w:r>
      <w:r w:rsidRPr="001D5327">
        <w:rPr>
          <w:i/>
          <w:iCs/>
        </w:rPr>
        <w:t>Urine and dung deposited by grazing animals</w:t>
      </w:r>
      <w:r w:rsidRPr="001D5327">
        <w:t xml:space="preserve"> (3.D.1.3)). Animal manure is not used for fuel or construction in </w:t>
      </w:r>
      <w:r w:rsidRPr="001D5327" w:rsidDel="00F4081C">
        <w:t xml:space="preserve">New </w:t>
      </w:r>
      <w:r w:rsidRPr="001D5327">
        <w:t>Zealand.</w:t>
      </w:r>
    </w:p>
    <w:p w14:paraId="76CBFDA3" w14:textId="77777777" w:rsidR="00590FE1" w:rsidRPr="001D5327" w:rsidRDefault="00590FE1" w:rsidP="00590FE1">
      <w:pPr>
        <w:pStyle w:val="BodyText"/>
      </w:pPr>
      <w:r w:rsidRPr="001D5327">
        <w:t xml:space="preserve">New Zealand has developed a country-specific emission factor for </w:t>
      </w:r>
      <w:r w:rsidRPr="001D5327">
        <w:rPr>
          <w:rFonts w:eastAsia="Calibri" w:cs="Calibri"/>
          <w:bCs/>
        </w:rPr>
        <w:t>N</w:t>
      </w:r>
      <w:r w:rsidRPr="001D5327">
        <w:rPr>
          <w:rFonts w:eastAsia="Calibri" w:cs="Calibri"/>
          <w:bCs/>
          <w:vertAlign w:val="subscript"/>
        </w:rPr>
        <w:t>2</w:t>
      </w:r>
      <w:r w:rsidRPr="001D5327">
        <w:rPr>
          <w:rFonts w:eastAsia="Calibri" w:cs="Calibri"/>
          <w:bCs/>
        </w:rPr>
        <w:t>O</w:t>
      </w:r>
      <w:r w:rsidRPr="001D5327">
        <w:t xml:space="preserve"> from dairy cattle manure applied to soils of 0.0025 (van der Weerden et al., 2016a, 2016b). This value was based on a meta-analysis of field trials carried out in </w:t>
      </w:r>
      <w:r w:rsidRPr="001D5327" w:rsidDel="0016234F">
        <w:t xml:space="preserve">New </w:t>
      </w:r>
      <w:r w:rsidRPr="001D5327">
        <w:t xml:space="preserve">Zealand that measured emissions from dairy cattle manure on soil. This emission factor was changed to 0.0025 in 2017, following a recommendation from the Agriculture Inventory Advisory Panel in 2016. The Panel agreed that the new value was more representative of </w:t>
      </w:r>
      <w:r w:rsidRPr="001D5327" w:rsidDel="0016234F">
        <w:t xml:space="preserve">New </w:t>
      </w:r>
      <w:r w:rsidRPr="001D5327">
        <w:t>Zealand farming practices and conditions. Given that dairy cattle manure is a mixture of urine and dung (combined with water), the value of 0.0025 is consistent with the EF</w:t>
      </w:r>
      <w:r w:rsidRPr="001D5327">
        <w:rPr>
          <w:vertAlign w:val="subscript"/>
        </w:rPr>
        <w:t>3</w:t>
      </w:r>
      <w:r w:rsidRPr="001D5327">
        <w:t xml:space="preserve"> emission factor values for </w:t>
      </w:r>
      <w:r w:rsidRPr="001D5327">
        <w:rPr>
          <w:rFonts w:eastAsia="Calibri" w:cs="Calibri"/>
          <w:bCs/>
        </w:rPr>
        <w:t>N</w:t>
      </w:r>
      <w:r w:rsidRPr="001D5327">
        <w:rPr>
          <w:rFonts w:eastAsia="Calibri" w:cs="Calibri"/>
          <w:bCs/>
          <w:vertAlign w:val="subscript"/>
        </w:rPr>
        <w:t>2</w:t>
      </w:r>
      <w:r w:rsidRPr="001D5327">
        <w:rPr>
          <w:rFonts w:eastAsia="Calibri" w:cs="Calibri"/>
          <w:bCs/>
        </w:rPr>
        <w:t>O</w:t>
      </w:r>
      <w:r w:rsidRPr="001D5327">
        <w:t xml:space="preserve"> used in </w:t>
      </w:r>
      <w:r w:rsidRPr="001D5327" w:rsidDel="00154256">
        <w:t xml:space="preserve">New </w:t>
      </w:r>
      <w:r w:rsidRPr="001D5327">
        <w:t>Zealand for dairy cattle urine (0.0098 and 0.0033 for flat and medium to steep sloped land respectively) and dung (0.0012) (van der Weerden et al., 2016a). Direct N</w:t>
      </w:r>
      <w:r w:rsidRPr="001D5327">
        <w:rPr>
          <w:vertAlign w:val="subscript"/>
        </w:rPr>
        <w:t>2</w:t>
      </w:r>
      <w:r w:rsidRPr="001D5327">
        <w:t>O emissions from dairy cattle manure applied as organic fertiliser in 2023 (using the emission factor of 0.0025) were 0.128 kt N</w:t>
      </w:r>
      <w:r w:rsidRPr="001D5327">
        <w:rPr>
          <w:vertAlign w:val="subscript"/>
        </w:rPr>
        <w:t>2</w:t>
      </w:r>
      <w:r w:rsidRPr="001D5327">
        <w:t>O.</w:t>
      </w:r>
    </w:p>
    <w:p w14:paraId="0ACE536C" w14:textId="77777777" w:rsidR="00590FE1" w:rsidRPr="001D5327" w:rsidRDefault="00590FE1" w:rsidP="00590FE1">
      <w:pPr>
        <w:pStyle w:val="BodyText"/>
      </w:pPr>
      <w:r w:rsidRPr="001D5327">
        <w:t>Manure from poultry and swine spread onto soil has an emission factor of 0.01, which is consistent with the IPCC default.</w:t>
      </w:r>
    </w:p>
    <w:p w14:paraId="28631DCB" w14:textId="77777777" w:rsidR="00590FE1" w:rsidRPr="001D5327" w:rsidRDefault="00590FE1" w:rsidP="00590FE1">
      <w:pPr>
        <w:pStyle w:val="BodyText"/>
        <w:spacing w:before="100" w:after="60"/>
      </w:pPr>
      <w:r w:rsidRPr="001D5327">
        <w:t>The following equation is used to determine direct N</w:t>
      </w:r>
      <w:r w:rsidRPr="001D5327">
        <w:rPr>
          <w:vertAlign w:val="subscript"/>
        </w:rPr>
        <w:t>2</w:t>
      </w:r>
      <w:r w:rsidRPr="001D5327">
        <w:t>O emissions from the application of animal manure to soil:</w:t>
      </w:r>
    </w:p>
    <w:p w14:paraId="7D7ABA20" w14:textId="77777777" w:rsidR="00590FE1" w:rsidRPr="001D5327" w:rsidRDefault="00000000" w:rsidP="00590FE1">
      <w:pPr>
        <w:pStyle w:val="BodyText"/>
        <w:spacing w:before="0"/>
        <w:jc w:val="center"/>
        <w:rPr>
          <w:rFonts w:cs="Calibri"/>
          <w:i/>
        </w:rPr>
      </w:pPr>
      <m:oMathPara>
        <m:oMath>
          <m:sSub>
            <m:sSubPr>
              <m:ctrlPr>
                <w:rPr>
                  <w:rFonts w:ascii="Cambria Math" w:hAnsi="Cambria Math" w:cs="Calibri"/>
                  <w:i/>
                  <w:sz w:val="24"/>
                  <w:szCs w:val="24"/>
                </w:rPr>
              </m:ctrlPr>
            </m:sSubPr>
            <m:e>
              <m:r>
                <w:rPr>
                  <w:rFonts w:ascii="Cambria Math" w:hAnsi="Cambria Math" w:cs="Calibri"/>
                  <w:sz w:val="24"/>
                  <w:szCs w:val="24"/>
                </w:rPr>
                <m:t>N</m:t>
              </m:r>
            </m:e>
            <m:sub>
              <m:r>
                <w:rPr>
                  <w:rFonts w:ascii="Cambria Math" w:hAnsi="Cambria Math" w:cs="Calibri"/>
                  <w:sz w:val="24"/>
                  <w:szCs w:val="24"/>
                </w:rPr>
                <m:t>2</m:t>
              </m:r>
            </m:sub>
          </m:sSub>
          <m:r>
            <w:rPr>
              <w:rFonts w:ascii="Cambria Math" w:hAnsi="Cambria Math" w:cs="Calibri"/>
              <w:sz w:val="24"/>
              <w:szCs w:val="24"/>
            </w:rPr>
            <m:t xml:space="preserve">O emissions= </m:t>
          </m:r>
          <m:f>
            <m:fPr>
              <m:ctrlPr>
                <w:rPr>
                  <w:rFonts w:ascii="Cambria Math" w:hAnsi="Cambria Math" w:cs="Calibri"/>
                  <w:i/>
                  <w:sz w:val="24"/>
                  <w:szCs w:val="24"/>
                </w:rPr>
              </m:ctrlPr>
            </m:fPr>
            <m:num>
              <m:r>
                <w:rPr>
                  <w:rFonts w:ascii="Cambria Math" w:hAnsi="Cambria Math" w:cs="Calibri"/>
                  <w:sz w:val="24"/>
                  <w:szCs w:val="24"/>
                </w:rPr>
                <m:t>44</m:t>
              </m:r>
            </m:num>
            <m:den>
              <m:r>
                <w:rPr>
                  <w:rFonts w:ascii="Cambria Math" w:hAnsi="Cambria Math" w:cs="Calibri"/>
                  <w:sz w:val="24"/>
                  <w:szCs w:val="24"/>
                </w:rPr>
                <m:t>28</m:t>
              </m:r>
            </m:den>
          </m:f>
          <m:r>
            <w:rPr>
              <w:rFonts w:ascii="Cambria Math" w:hAnsi="Cambria Math" w:cs="Calibri"/>
              <w:sz w:val="24"/>
              <w:szCs w:val="24"/>
            </w:rPr>
            <m:t xml:space="preserve"> × </m:t>
          </m:r>
          <m:d>
            <m:dPr>
              <m:ctrlPr>
                <w:rPr>
                  <w:rFonts w:ascii="Cambria Math" w:hAnsi="Cambria Math" w:cs="Calibri"/>
                  <w:i/>
                  <w:sz w:val="24"/>
                  <w:szCs w:val="24"/>
                </w:rPr>
              </m:ctrlPr>
            </m:dPr>
            <m:e>
              <m:d>
                <m:dPr>
                  <m:ctrlPr>
                    <w:rPr>
                      <w:rFonts w:ascii="Cambria Math" w:hAnsi="Cambria Math" w:cs="Calibri"/>
                      <w:i/>
                      <w:sz w:val="24"/>
                      <w:szCs w:val="24"/>
                    </w:rPr>
                  </m:ctrlPr>
                </m:dPr>
                <m:e>
                  <m:sSub>
                    <m:sSubPr>
                      <m:ctrlPr>
                        <w:rPr>
                          <w:rFonts w:ascii="Cambria Math" w:hAnsi="Cambria Math" w:cs="Calibri"/>
                          <w:i/>
                          <w:sz w:val="24"/>
                          <w:szCs w:val="24"/>
                        </w:rPr>
                      </m:ctrlPr>
                    </m:sSubPr>
                    <m:e>
                      <m:r>
                        <w:rPr>
                          <w:rFonts w:ascii="Cambria Math" w:hAnsi="Cambria Math" w:cs="Calibri"/>
                          <w:sz w:val="24"/>
                          <w:szCs w:val="24"/>
                        </w:rPr>
                        <m:t>F</m:t>
                      </m:r>
                    </m:e>
                    <m:sub>
                      <m:r>
                        <w:rPr>
                          <w:rFonts w:ascii="Cambria Math" w:hAnsi="Cambria Math" w:cs="Calibri"/>
                          <w:sz w:val="24"/>
                          <w:szCs w:val="24"/>
                        </w:rPr>
                        <m:t xml:space="preserve">AM </m:t>
                      </m:r>
                    </m:sub>
                  </m:sSub>
                  <m:r>
                    <w:rPr>
                      <w:rFonts w:ascii="Cambria Math" w:hAnsi="Cambria Math" w:cs="Calibri"/>
                      <w:sz w:val="24"/>
                      <w:szCs w:val="24"/>
                    </w:rPr>
                    <m:t>×</m:t>
                  </m:r>
                  <m:sSub>
                    <m:sSubPr>
                      <m:ctrlPr>
                        <w:rPr>
                          <w:rFonts w:ascii="Cambria Math" w:hAnsi="Cambria Math" w:cs="Calibri"/>
                          <w:i/>
                          <w:sz w:val="24"/>
                          <w:szCs w:val="24"/>
                        </w:rPr>
                      </m:ctrlPr>
                    </m:sSubPr>
                    <m:e>
                      <m:r>
                        <w:rPr>
                          <w:rFonts w:ascii="Cambria Math" w:hAnsi="Cambria Math" w:cs="Calibri"/>
                          <w:sz w:val="24"/>
                          <w:szCs w:val="24"/>
                        </w:rPr>
                        <m:t>EF</m:t>
                      </m:r>
                    </m:e>
                    <m:sub>
                      <m:r>
                        <w:rPr>
                          <w:rFonts w:ascii="Cambria Math" w:hAnsi="Cambria Math" w:cs="Calibri"/>
                          <w:sz w:val="24"/>
                          <w:szCs w:val="24"/>
                        </w:rPr>
                        <m:t>1</m:t>
                      </m:r>
                    </m:sub>
                  </m:sSub>
                </m:e>
              </m:d>
              <m:r>
                <w:rPr>
                  <w:rFonts w:ascii="Cambria Math" w:hAnsi="Cambria Math" w:cs="Calibri"/>
                  <w:sz w:val="24"/>
                  <w:szCs w:val="24"/>
                </w:rPr>
                <m:t>+(</m:t>
              </m:r>
              <m:sSub>
                <m:sSubPr>
                  <m:ctrlPr>
                    <w:rPr>
                      <w:rFonts w:ascii="Cambria Math" w:hAnsi="Cambria Math" w:cs="Calibri"/>
                      <w:i/>
                      <w:sz w:val="24"/>
                      <w:szCs w:val="24"/>
                    </w:rPr>
                  </m:ctrlPr>
                </m:sSubPr>
                <m:e>
                  <m:r>
                    <w:rPr>
                      <w:rFonts w:ascii="Cambria Math" w:hAnsi="Cambria Math" w:cs="Calibri"/>
                      <w:sz w:val="24"/>
                      <w:szCs w:val="24"/>
                    </w:rPr>
                    <m:t>F</m:t>
                  </m:r>
                </m:e>
                <m:sub>
                  <m:r>
                    <w:rPr>
                      <w:rFonts w:ascii="Cambria Math" w:hAnsi="Cambria Math" w:cs="Calibri"/>
                      <w:sz w:val="24"/>
                      <w:szCs w:val="24"/>
                    </w:rPr>
                    <m:t>AM(Dairy)</m:t>
                  </m:r>
                </m:sub>
              </m:sSub>
              <m:r>
                <w:rPr>
                  <w:rFonts w:ascii="Cambria Math" w:hAnsi="Cambria Math" w:cs="Calibri"/>
                  <w:sz w:val="24"/>
                  <w:szCs w:val="24"/>
                </w:rPr>
                <m:t>×</m:t>
              </m:r>
              <m:sSub>
                <m:sSubPr>
                  <m:ctrlPr>
                    <w:rPr>
                      <w:rFonts w:ascii="Cambria Math" w:hAnsi="Cambria Math" w:cs="Calibri"/>
                      <w:i/>
                      <w:sz w:val="24"/>
                      <w:szCs w:val="24"/>
                    </w:rPr>
                  </m:ctrlPr>
                </m:sSubPr>
                <m:e>
                  <m:r>
                    <w:rPr>
                      <w:rFonts w:ascii="Cambria Math" w:hAnsi="Cambria Math" w:cs="Calibri"/>
                      <w:sz w:val="24"/>
                      <w:szCs w:val="24"/>
                    </w:rPr>
                    <m:t>EF</m:t>
                  </m:r>
                </m:e>
                <m:sub>
                  <m:r>
                    <w:rPr>
                      <w:rFonts w:ascii="Cambria Math" w:hAnsi="Cambria Math" w:cs="Calibri"/>
                      <w:sz w:val="24"/>
                      <w:szCs w:val="24"/>
                    </w:rPr>
                    <m:t>1(Dairy)</m:t>
                  </m:r>
                </m:sub>
              </m:sSub>
            </m:e>
          </m:d>
        </m:oMath>
      </m:oMathPara>
    </w:p>
    <w:p w14:paraId="68436578" w14:textId="77777777" w:rsidR="00590FE1" w:rsidRPr="001D5327" w:rsidRDefault="00590FE1" w:rsidP="00590FE1">
      <w:pPr>
        <w:pStyle w:val="BodyText"/>
        <w:spacing w:before="40" w:after="60"/>
        <w:ind w:left="964" w:hanging="964"/>
      </w:pPr>
      <w:r w:rsidRPr="001D5327">
        <w:t>Where:</w:t>
      </w:r>
      <w:r w:rsidRPr="001D5327">
        <w:tab/>
        <w:t>F</w:t>
      </w:r>
      <w:r w:rsidRPr="001D5327">
        <w:rPr>
          <w:vertAlign w:val="subscript"/>
        </w:rPr>
        <w:t>AM</w:t>
      </w:r>
      <w:r w:rsidRPr="001D5327">
        <w:t xml:space="preserve"> is the total amount of animal manure nitrogen (swine and poultry) applied to soils from manure management systems (other than pasture, range and paddock), which is derived as a fraction of the nitrogen excretion rates, N</w:t>
      </w:r>
      <w:r w:rsidRPr="001D5327">
        <w:rPr>
          <w:vertAlign w:val="subscript"/>
        </w:rPr>
        <w:t>ex</w:t>
      </w:r>
      <w:r w:rsidRPr="001D5327">
        <w:t xml:space="preserve">, described in section 5.3.2 </w:t>
      </w:r>
    </w:p>
    <w:p w14:paraId="7C989291" w14:textId="77777777" w:rsidR="00590FE1" w:rsidRPr="001D5327" w:rsidRDefault="00590FE1" w:rsidP="00590FE1">
      <w:pPr>
        <w:pStyle w:val="BodyText"/>
        <w:spacing w:before="20" w:after="60"/>
        <w:ind w:left="964" w:hanging="964"/>
      </w:pPr>
      <w:r w:rsidRPr="001D5327">
        <w:tab/>
        <w:t>44/28 is the molecular conversion factor used to convert nitrogen to N</w:t>
      </w:r>
      <w:r w:rsidRPr="001D5327">
        <w:rPr>
          <w:vertAlign w:val="subscript"/>
        </w:rPr>
        <w:t>2</w:t>
      </w:r>
      <w:r w:rsidRPr="001D5327">
        <w:t>O</w:t>
      </w:r>
    </w:p>
    <w:p w14:paraId="043BCD0D" w14:textId="77777777" w:rsidR="00590FE1" w:rsidRPr="001D5327" w:rsidRDefault="00590FE1" w:rsidP="00590FE1">
      <w:pPr>
        <w:pStyle w:val="BodyText"/>
        <w:spacing w:before="20" w:after="60"/>
        <w:ind w:left="964" w:hanging="964"/>
      </w:pPr>
      <w:r w:rsidRPr="001D5327">
        <w:tab/>
        <w:t>EF</w:t>
      </w:r>
      <w:r w:rsidRPr="001D5327">
        <w:rPr>
          <w:vertAlign w:val="subscript"/>
        </w:rPr>
        <w:t>1</w:t>
      </w:r>
      <w:r w:rsidRPr="001D5327">
        <w:t xml:space="preserve"> is the proportion of direct N</w:t>
      </w:r>
      <w:r w:rsidRPr="001D5327">
        <w:rPr>
          <w:vertAlign w:val="subscript"/>
        </w:rPr>
        <w:t>2</w:t>
      </w:r>
      <w:r w:rsidRPr="001D5327">
        <w:t>O emissions from animal manure (swine and poultry) applied to soils (0.01; table 5.5.2)</w:t>
      </w:r>
    </w:p>
    <w:p w14:paraId="05360F51" w14:textId="77777777" w:rsidR="00590FE1" w:rsidRPr="001D5327" w:rsidRDefault="00590FE1" w:rsidP="00590FE1">
      <w:pPr>
        <w:pStyle w:val="BodyText"/>
        <w:spacing w:before="20" w:after="60"/>
        <w:ind w:left="964" w:hanging="964"/>
      </w:pPr>
      <w:r w:rsidRPr="001D5327">
        <w:tab/>
        <w:t>F</w:t>
      </w:r>
      <w:r w:rsidRPr="001D5327">
        <w:rPr>
          <w:vertAlign w:val="subscript"/>
        </w:rPr>
        <w:t>AM(DAIRY)</w:t>
      </w:r>
      <w:r w:rsidRPr="001D5327">
        <w:t xml:space="preserve"> is the total amount of animal manure nitrogen (dairy) applied to soils from manure management systems (other than pasture, range and paddock), which is derived as a fraction of the nitrogen excretion rates, N</w:t>
      </w:r>
      <w:r w:rsidRPr="001D5327">
        <w:rPr>
          <w:vertAlign w:val="subscript"/>
        </w:rPr>
        <w:t>ex</w:t>
      </w:r>
      <w:r w:rsidRPr="001D5327">
        <w:t>, described in section 5.3.2, and</w:t>
      </w:r>
    </w:p>
    <w:p w14:paraId="05F6549F" w14:textId="77777777" w:rsidR="00590FE1" w:rsidRPr="001D5327" w:rsidRDefault="00590FE1" w:rsidP="00590FE1">
      <w:pPr>
        <w:pStyle w:val="BodyText"/>
        <w:spacing w:before="20"/>
        <w:ind w:left="964" w:hanging="964"/>
      </w:pPr>
      <w:r w:rsidRPr="001D5327">
        <w:tab/>
        <w:t>EF</w:t>
      </w:r>
      <w:r w:rsidRPr="001D5327">
        <w:rPr>
          <w:vertAlign w:val="subscript"/>
        </w:rPr>
        <w:t>1(DAIRY)</w:t>
      </w:r>
      <w:r w:rsidRPr="001D5327">
        <w:t xml:space="preserve"> is the proportion of direct N</w:t>
      </w:r>
      <w:r w:rsidRPr="001D5327">
        <w:rPr>
          <w:vertAlign w:val="subscript"/>
        </w:rPr>
        <w:t>2</w:t>
      </w:r>
      <w:r w:rsidRPr="001D5327">
        <w:t>O emissions from animal manure (dairy cattle) applied to soils (0.0025; table 5.5.2)</w:t>
      </w:r>
      <w:r w:rsidRPr="001D5327" w:rsidDel="00380393">
        <w:t xml:space="preserve">. </w:t>
      </w:r>
    </w:p>
    <w:p w14:paraId="56190218" w14:textId="77777777" w:rsidR="00590FE1" w:rsidRPr="001D5327" w:rsidRDefault="00590FE1" w:rsidP="00C4164D">
      <w:pPr>
        <w:pStyle w:val="BodyText"/>
        <w:keepLines/>
      </w:pPr>
      <w:r w:rsidRPr="001D5327">
        <w:lastRenderedPageBreak/>
        <w:t xml:space="preserve">New Zealand also accounts for emissions from non-manure organic fertilisers. Sources include dairy processing wastewater, compost sold to the rural sector, meat processing wastewater, grape marc, vegetable processing wastewater and sewage sludge applied to land. The amount of nitrogen from these sources between 1990 and 2022 has been estimated (van der Weerden and Rutherford, 2024). For years after 2022 the latest available value is used, with a review intended in 2027. </w:t>
      </w:r>
    </w:p>
    <w:p w14:paraId="1872449D" w14:textId="77777777" w:rsidR="00590FE1" w:rsidRPr="001D5327" w:rsidRDefault="00590FE1" w:rsidP="00590FE1">
      <w:pPr>
        <w:pStyle w:val="BodyText"/>
        <w:spacing w:before="0"/>
      </w:pPr>
      <w:r w:rsidRPr="001D5327">
        <w:t>The 2019 refinement of the 2006 IPCC guidelines (IPCC, 2019) retained the default value of 1 per cent for nitrogen additions to agricultural soils. However, the refinement also provides additional emission factor values disaggregated by nitrogen type and climate, where climate is disaggregated into wet and dry. New Zealand falls into this ‘wet climate’ category according to the IPCC definition. Therefore, New Zealand uses the 2019 IPCC disaggregated EF</w:t>
      </w:r>
      <w:r w:rsidRPr="001D5327">
        <w:rPr>
          <w:vertAlign w:val="subscript"/>
        </w:rPr>
        <w:t>1</w:t>
      </w:r>
      <w:r w:rsidRPr="001D5327">
        <w:t xml:space="preserve"> of 0.6 per cent, to ensure calculations are employing the latest scientific knowledge. This provides a more appropriate value for organic nitrogen amendments to soils in wet climates rather than remaining with the aggregated value of 1 per cent that is applied to all nitrogen inputs, across all climatic zones. </w:t>
      </w:r>
    </w:p>
    <w:p w14:paraId="72BEF21B" w14:textId="77777777" w:rsidR="00590FE1" w:rsidRPr="001D5327" w:rsidRDefault="00590FE1" w:rsidP="00590FE1">
      <w:pPr>
        <w:pStyle w:val="Heading5"/>
      </w:pPr>
      <w:r w:rsidRPr="001D5327">
        <w:t>Urine and dung deposited by grazing animals (3.D.1.3)</w:t>
      </w:r>
    </w:p>
    <w:p w14:paraId="225AE30E" w14:textId="77777777" w:rsidR="00590FE1" w:rsidRPr="001D5327" w:rsidRDefault="00590FE1" w:rsidP="00590FE1">
      <w:pPr>
        <w:pStyle w:val="BodyText"/>
        <w:spacing w:before="100"/>
      </w:pPr>
      <w:r w:rsidRPr="001D5327">
        <w:t xml:space="preserve">Most livestock in </w:t>
      </w:r>
      <w:r w:rsidRPr="001D5327" w:rsidDel="003E22F4">
        <w:t xml:space="preserve">New </w:t>
      </w:r>
      <w:r w:rsidRPr="001D5327">
        <w:t>Zealand are grazed outdoors on pasture, with around 92.8 per cent of dairy cattle excreta and 100 per cent of non-dairy cattle, sheep, deer and other livestock excreta deposited on pasture (see table 5.3.2). In New Zealand, dairy cattle are kept close to the milking shed and dairy farming tends to be on flatland. Sheep, non-dairy and deer farming predominantly occur on hill country and less frequently on flatland.</w:t>
      </w:r>
    </w:p>
    <w:p w14:paraId="13C563A2" w14:textId="77777777" w:rsidR="00590FE1" w:rsidRPr="001D5327" w:rsidRDefault="00590FE1" w:rsidP="00590FE1">
      <w:pPr>
        <w:pStyle w:val="BodyText"/>
        <w:spacing w:before="100"/>
      </w:pPr>
      <w:r w:rsidRPr="001D5327">
        <w:t>The following equations are used to determine direct N</w:t>
      </w:r>
      <w:r w:rsidRPr="001D5327">
        <w:rPr>
          <w:vertAlign w:val="subscript"/>
        </w:rPr>
        <w:t>2</w:t>
      </w:r>
      <w:r w:rsidRPr="001D5327">
        <w:t>O emissions from grazing livestock manure.</w:t>
      </w:r>
    </w:p>
    <w:p w14:paraId="168C05A3" w14:textId="77777777" w:rsidR="00590FE1" w:rsidRPr="001D5327" w:rsidRDefault="00590FE1" w:rsidP="00590FE1">
      <w:pPr>
        <w:pStyle w:val="BodyText"/>
        <w:keepNext/>
        <w:spacing w:before="100"/>
      </w:pPr>
      <w:r w:rsidRPr="001D5327">
        <w:t xml:space="preserve">For urine deposited on flatland and low slopes by sheep, cattle and deer only: </w:t>
      </w:r>
    </w:p>
    <w:p w14:paraId="14C0F225" w14:textId="77777777" w:rsidR="00590FE1" w:rsidRPr="001D5327" w:rsidRDefault="00000000" w:rsidP="00590FE1">
      <w:pPr>
        <w:pStyle w:val="BodyText"/>
        <w:spacing w:before="80" w:after="80"/>
        <w:jc w:val="center"/>
      </w:pPr>
      <m:oMathPara>
        <m:oMath>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 xml:space="preserve">O emissions= </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O-N</m:t>
              </m:r>
            </m:e>
          </m:d>
          <m:r>
            <w:rPr>
              <w:rFonts w:ascii="Cambria Math" w:hAnsi="Cambria Math"/>
              <w:color w:val="0D0D0D" w:themeColor="text1" w:themeTint="F2"/>
              <w:sz w:val="24"/>
              <w:szCs w:val="24"/>
            </w:rPr>
            <m:t>=</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nary>
                <m:naryPr>
                  <m:chr m:val="∑"/>
                  <m:limLoc m:val="undOvr"/>
                  <m:supHide m:val="1"/>
                  <m:ctrlPr>
                    <w:rPr>
                      <w:rFonts w:ascii="Cambria Math" w:hAnsi="Cambria Math"/>
                      <w:i/>
                      <w:color w:val="0D0D0D" w:themeColor="text1" w:themeTint="F2"/>
                      <w:sz w:val="24"/>
                      <w:szCs w:val="24"/>
                    </w:rPr>
                  </m:ctrlPr>
                </m:naryPr>
                <m:sub>
                  <m:r>
                    <w:rPr>
                      <w:rFonts w:ascii="Cambria Math" w:hAnsi="Cambria Math"/>
                      <w:color w:val="0D0D0D" w:themeColor="text1" w:themeTint="F2"/>
                      <w:sz w:val="24"/>
                      <w:szCs w:val="24"/>
                    </w:rPr>
                    <m:t>T</m:t>
                  </m:r>
                </m:sub>
                <m:sup/>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T</m:t>
                      </m:r>
                    </m:sub>
                  </m:sSub>
                  <m:r>
                    <w:rPr>
                      <w:rFonts w:ascii="Cambria Math" w:hAnsi="Cambria Math"/>
                      <w:color w:val="0D0D0D" w:themeColor="text1" w:themeTint="F2"/>
                      <w:sz w:val="24"/>
                      <w:szCs w:val="24"/>
                    </w:rPr>
                    <m:t>∙</m:t>
                  </m:r>
                  <m:d>
                    <m:dPr>
                      <m:ctrlPr>
                        <w:rPr>
                          <w:rFonts w:ascii="Cambria Math" w:hAnsi="Cambria Math"/>
                          <w:i/>
                          <w:color w:val="0D0D0D" w:themeColor="text1" w:themeTint="F2"/>
                          <w:sz w:val="24"/>
                          <w:szCs w:val="24"/>
                        </w:rPr>
                      </m:ctrlPr>
                    </m:dPr>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Nex</m:t>
                          </m:r>
                        </m:e>
                        <m:sub>
                          <m:r>
                            <w:rPr>
                              <w:rFonts w:ascii="Cambria Math" w:hAnsi="Cambria Math"/>
                              <w:color w:val="0D0D0D" w:themeColor="text1" w:themeTint="F2"/>
                              <w:sz w:val="24"/>
                              <w:szCs w:val="24"/>
                            </w:rPr>
                            <m:t>URINE,FLAT</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Nex</m:t>
                          </m:r>
                        </m:e>
                        <m:sub>
                          <m:r>
                            <w:rPr>
                              <w:rFonts w:ascii="Cambria Math" w:hAnsi="Cambria Math"/>
                              <w:color w:val="0D0D0D" w:themeColor="text1" w:themeTint="F2"/>
                              <w:sz w:val="24"/>
                              <w:szCs w:val="24"/>
                            </w:rPr>
                            <m:t>URINE,LOW</m:t>
                          </m:r>
                        </m:sub>
                      </m:sSub>
                    </m:e>
                  </m:d>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MS</m:t>
                      </m:r>
                    </m:e>
                    <m:sub>
                      <m:r>
                        <w:rPr>
                          <w:rFonts w:ascii="Cambria Math" w:hAnsi="Cambria Math"/>
                          <w:color w:val="0D0D0D" w:themeColor="text1" w:themeTint="F2"/>
                          <w:sz w:val="24"/>
                          <w:szCs w:val="24"/>
                        </w:rPr>
                        <m:t>T</m:t>
                      </m:r>
                    </m:sub>
                  </m:sSub>
                </m:e>
              </m:nary>
            </m:e>
          </m:d>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EF</m:t>
              </m:r>
            </m:e>
            <m:sub>
              <m:r>
                <w:rPr>
                  <w:rFonts w:ascii="Cambria Math" w:hAnsi="Cambria Math"/>
                  <w:color w:val="0D0D0D" w:themeColor="text1" w:themeTint="F2"/>
                  <w:sz w:val="24"/>
                  <w:szCs w:val="24"/>
                </w:rPr>
                <m:t>3(PRP-FLAT)</m:t>
              </m:r>
            </m:sub>
          </m:sSub>
        </m:oMath>
      </m:oMathPara>
    </w:p>
    <w:p w14:paraId="49162432" w14:textId="77777777" w:rsidR="00590FE1" w:rsidRPr="001D5327" w:rsidRDefault="00590FE1" w:rsidP="00590FE1">
      <w:pPr>
        <w:pStyle w:val="BodyText"/>
        <w:keepNext/>
        <w:rPr>
          <w:rFonts w:cs="Calibri"/>
        </w:rPr>
      </w:pPr>
      <w:r w:rsidRPr="001D5327">
        <w:rPr>
          <w:rFonts w:cs="Calibri"/>
        </w:rPr>
        <w:t xml:space="preserve">For urine deposited on medium and steep slopes by sheep, cattle and deer only: </w:t>
      </w:r>
    </w:p>
    <w:p w14:paraId="71777930" w14:textId="77777777" w:rsidR="00590FE1" w:rsidRPr="001D5327" w:rsidRDefault="00000000" w:rsidP="00590FE1">
      <w:pPr>
        <w:pStyle w:val="BodyText"/>
        <w:keepNext/>
        <w:spacing w:before="80" w:after="80"/>
        <w:jc w:val="center"/>
        <w:rPr>
          <w:rFonts w:cs="Calibri"/>
          <w:sz w:val="24"/>
          <w:szCs w:val="24"/>
        </w:rPr>
      </w:pPr>
      <m:oMathPara>
        <m:oMath>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 xml:space="preserve">O emissions= </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O-N</m:t>
              </m:r>
            </m:e>
          </m:d>
          <m:r>
            <w:rPr>
              <w:rFonts w:ascii="Cambria Math" w:hAnsi="Cambria Math"/>
              <w:color w:val="0D0D0D" w:themeColor="text1" w:themeTint="F2"/>
              <w:sz w:val="24"/>
              <w:szCs w:val="24"/>
            </w:rPr>
            <m:t>=</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nary>
                <m:naryPr>
                  <m:chr m:val="∑"/>
                  <m:limLoc m:val="undOvr"/>
                  <m:supHide m:val="1"/>
                  <m:ctrlPr>
                    <w:rPr>
                      <w:rFonts w:ascii="Cambria Math" w:hAnsi="Cambria Math"/>
                      <w:i/>
                      <w:color w:val="0D0D0D" w:themeColor="text1" w:themeTint="F2"/>
                      <w:sz w:val="24"/>
                      <w:szCs w:val="24"/>
                    </w:rPr>
                  </m:ctrlPr>
                </m:naryPr>
                <m:sub>
                  <m:r>
                    <w:rPr>
                      <w:rFonts w:ascii="Cambria Math" w:hAnsi="Cambria Math"/>
                      <w:color w:val="0D0D0D" w:themeColor="text1" w:themeTint="F2"/>
                      <w:sz w:val="24"/>
                      <w:szCs w:val="24"/>
                    </w:rPr>
                    <m:t>T</m:t>
                  </m:r>
                </m:sub>
                <m:sup/>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T</m:t>
                      </m:r>
                    </m:sub>
                  </m:sSub>
                  <m:r>
                    <w:rPr>
                      <w:rFonts w:ascii="Cambria Math" w:hAnsi="Cambria Math"/>
                      <w:color w:val="0D0D0D" w:themeColor="text1" w:themeTint="F2"/>
                      <w:sz w:val="24"/>
                      <w:szCs w:val="24"/>
                    </w:rPr>
                    <m:t>∙</m:t>
                  </m:r>
                  <m:d>
                    <m:dPr>
                      <m:ctrlPr>
                        <w:rPr>
                          <w:rFonts w:ascii="Cambria Math" w:hAnsi="Cambria Math"/>
                          <w:i/>
                          <w:color w:val="0D0D0D" w:themeColor="text1" w:themeTint="F2"/>
                          <w:sz w:val="24"/>
                          <w:szCs w:val="24"/>
                        </w:rPr>
                      </m:ctrlPr>
                    </m:dPr>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Nex</m:t>
                          </m:r>
                        </m:e>
                        <m:sub>
                          <m:r>
                            <w:rPr>
                              <w:rFonts w:ascii="Cambria Math" w:hAnsi="Cambria Math"/>
                              <w:color w:val="0D0D0D" w:themeColor="text1" w:themeTint="F2"/>
                              <w:sz w:val="24"/>
                              <w:szCs w:val="24"/>
                            </w:rPr>
                            <m:t>URINE,MED</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Nex</m:t>
                          </m:r>
                        </m:e>
                        <m:sub>
                          <m:r>
                            <w:rPr>
                              <w:rFonts w:ascii="Cambria Math" w:hAnsi="Cambria Math"/>
                              <w:color w:val="0D0D0D" w:themeColor="text1" w:themeTint="F2"/>
                              <w:sz w:val="24"/>
                              <w:szCs w:val="24"/>
                            </w:rPr>
                            <m:t>URINE,STEEP</m:t>
                          </m:r>
                        </m:sub>
                      </m:sSub>
                    </m:e>
                  </m:d>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MS</m:t>
                      </m:r>
                    </m:e>
                    <m:sub>
                      <m:r>
                        <w:rPr>
                          <w:rFonts w:ascii="Cambria Math" w:hAnsi="Cambria Math"/>
                          <w:color w:val="0D0D0D" w:themeColor="text1" w:themeTint="F2"/>
                          <w:sz w:val="24"/>
                          <w:szCs w:val="24"/>
                        </w:rPr>
                        <m:t>T</m:t>
                      </m:r>
                    </m:sub>
                  </m:sSub>
                </m:e>
              </m:nary>
            </m:e>
          </m:d>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EF</m:t>
              </m:r>
            </m:e>
            <m:sub>
              <m:r>
                <w:rPr>
                  <w:rFonts w:ascii="Cambria Math" w:hAnsi="Cambria Math"/>
                  <w:color w:val="0D0D0D" w:themeColor="text1" w:themeTint="F2"/>
                  <w:sz w:val="24"/>
                  <w:szCs w:val="24"/>
                </w:rPr>
                <m:t>3(PRP-STEEP)</m:t>
              </m:r>
            </m:sub>
          </m:sSub>
        </m:oMath>
      </m:oMathPara>
    </w:p>
    <w:p w14:paraId="0F711D47" w14:textId="77777777" w:rsidR="00590FE1" w:rsidRPr="001D5327" w:rsidRDefault="00590FE1" w:rsidP="00590FE1">
      <w:pPr>
        <w:pStyle w:val="BodyText"/>
        <w:rPr>
          <w:rFonts w:cs="Calibri"/>
        </w:rPr>
      </w:pPr>
      <w:r w:rsidRPr="001D5327">
        <w:rPr>
          <w:rFonts w:cs="Calibri"/>
        </w:rPr>
        <w:t>For all dung from sheep, cattle and deer:</w:t>
      </w:r>
    </w:p>
    <w:p w14:paraId="017CE392" w14:textId="77777777" w:rsidR="00590FE1" w:rsidRPr="001D5327" w:rsidRDefault="00000000" w:rsidP="00590FE1">
      <w:pPr>
        <w:pStyle w:val="BodyText"/>
        <w:spacing w:before="80" w:after="80"/>
        <w:jc w:val="center"/>
        <w:rPr>
          <w:rFonts w:ascii="Cambria Math" w:hAnsi="Cambria Math" w:cs="Calibri"/>
          <w:sz w:val="24"/>
          <w:szCs w:val="24"/>
        </w:rPr>
      </w:pPr>
      <m:oMathPara>
        <m:oMath>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 xml:space="preserve">O emissions= </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O-N</m:t>
              </m:r>
            </m:e>
          </m:d>
          <m:r>
            <w:rPr>
              <w:rFonts w:ascii="Cambria Math" w:hAnsi="Cambria Math"/>
              <w:color w:val="0D0D0D" w:themeColor="text1" w:themeTint="F2"/>
              <w:sz w:val="24"/>
              <w:szCs w:val="24"/>
            </w:rPr>
            <m:t>=</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nary>
                <m:naryPr>
                  <m:chr m:val="∑"/>
                  <m:limLoc m:val="undOvr"/>
                  <m:supHide m:val="1"/>
                  <m:ctrlPr>
                    <w:rPr>
                      <w:rFonts w:ascii="Cambria Math" w:hAnsi="Cambria Math"/>
                      <w:i/>
                      <w:color w:val="0D0D0D" w:themeColor="text1" w:themeTint="F2"/>
                      <w:sz w:val="24"/>
                      <w:szCs w:val="24"/>
                    </w:rPr>
                  </m:ctrlPr>
                </m:naryPr>
                <m:sub>
                  <m:r>
                    <w:rPr>
                      <w:rFonts w:ascii="Cambria Math" w:hAnsi="Cambria Math"/>
                      <w:color w:val="0D0D0D" w:themeColor="text1" w:themeTint="F2"/>
                      <w:sz w:val="24"/>
                      <w:szCs w:val="24"/>
                    </w:rPr>
                    <m:t>T</m:t>
                  </m:r>
                </m:sub>
                <m:sup/>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T</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Nex</m:t>
                      </m:r>
                    </m:e>
                    <m:sub>
                      <m:r>
                        <w:rPr>
                          <w:rFonts w:ascii="Cambria Math" w:hAnsi="Cambria Math"/>
                          <w:color w:val="0D0D0D" w:themeColor="text1" w:themeTint="F2"/>
                          <w:sz w:val="24"/>
                          <w:szCs w:val="24"/>
                        </w:rPr>
                        <m:t>DUNG,T</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MS</m:t>
                      </m:r>
                    </m:e>
                    <m:sub>
                      <m:r>
                        <w:rPr>
                          <w:rFonts w:ascii="Cambria Math" w:hAnsi="Cambria Math"/>
                          <w:color w:val="0D0D0D" w:themeColor="text1" w:themeTint="F2"/>
                          <w:sz w:val="24"/>
                          <w:szCs w:val="24"/>
                        </w:rPr>
                        <m:t>T</m:t>
                      </m:r>
                    </m:sub>
                  </m:sSub>
                </m:e>
              </m:nary>
            </m:e>
          </m:d>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EF</m:t>
              </m:r>
            </m:e>
            <m:sub>
              <m:r>
                <w:rPr>
                  <w:rFonts w:ascii="Cambria Math" w:hAnsi="Cambria Math"/>
                  <w:color w:val="0D0D0D" w:themeColor="text1" w:themeTint="F2"/>
                  <w:sz w:val="24"/>
                  <w:szCs w:val="24"/>
                </w:rPr>
                <m:t>3(PRP-DUNG)</m:t>
              </m:r>
            </m:sub>
          </m:sSub>
        </m:oMath>
      </m:oMathPara>
    </w:p>
    <w:p w14:paraId="2F33030D" w14:textId="77777777" w:rsidR="00590FE1" w:rsidRPr="001D5327" w:rsidRDefault="00590FE1" w:rsidP="00590FE1">
      <w:pPr>
        <w:pStyle w:val="BodyText"/>
        <w:keepNext/>
        <w:rPr>
          <w:rFonts w:cs="Calibri"/>
        </w:rPr>
      </w:pPr>
      <w:r w:rsidRPr="001D5327">
        <w:rPr>
          <w:rFonts w:cs="Calibri"/>
        </w:rPr>
        <w:lastRenderedPageBreak/>
        <w:t xml:space="preserve">For urine and dung from other livestock categories (swine, goats, horses, llamas and alpacas, mules, asses and poultry): </w:t>
      </w:r>
    </w:p>
    <w:p w14:paraId="5308C73D" w14:textId="77777777" w:rsidR="00590FE1" w:rsidRPr="001D5327" w:rsidRDefault="00000000" w:rsidP="00590FE1">
      <w:pPr>
        <w:pStyle w:val="BodyText"/>
        <w:spacing w:before="80" w:after="80"/>
        <w:jc w:val="center"/>
      </w:pPr>
      <m:oMathPara>
        <m:oMath>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 xml:space="preserve">O emissions= </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2</m:t>
                  </m:r>
                </m:sub>
              </m:sSub>
              <m:r>
                <w:rPr>
                  <w:rFonts w:ascii="Cambria Math" w:hAnsi="Cambria Math"/>
                  <w:color w:val="0D0D0D" w:themeColor="text1" w:themeTint="F2"/>
                  <w:sz w:val="24"/>
                  <w:szCs w:val="24"/>
                </w:rPr>
                <m:t>O-N</m:t>
              </m:r>
            </m:e>
          </m:d>
          <m:r>
            <w:rPr>
              <w:rFonts w:ascii="Cambria Math" w:hAnsi="Cambria Math"/>
              <w:color w:val="0D0D0D" w:themeColor="text1" w:themeTint="F2"/>
              <w:sz w:val="24"/>
              <w:szCs w:val="24"/>
            </w:rPr>
            <m:t>=</m:t>
          </m:r>
          <m:f>
            <m:fPr>
              <m:ctrlPr>
                <w:rPr>
                  <w:rFonts w:ascii="Cambria Math" w:hAnsi="Cambria Math"/>
                  <w:i/>
                  <w:color w:val="0D0D0D" w:themeColor="text1" w:themeTint="F2"/>
                  <w:sz w:val="24"/>
                  <w:szCs w:val="24"/>
                </w:rPr>
              </m:ctrlPr>
            </m:fPr>
            <m:num>
              <m:r>
                <w:rPr>
                  <w:rFonts w:ascii="Cambria Math" w:hAnsi="Cambria Math"/>
                  <w:color w:val="0D0D0D" w:themeColor="text1" w:themeTint="F2"/>
                  <w:sz w:val="24"/>
                  <w:szCs w:val="24"/>
                </w:rPr>
                <m:t>44</m:t>
              </m:r>
            </m:num>
            <m:den>
              <m:r>
                <w:rPr>
                  <w:rFonts w:ascii="Cambria Math" w:hAnsi="Cambria Math"/>
                  <w:color w:val="0D0D0D" w:themeColor="text1" w:themeTint="F2"/>
                  <w:sz w:val="24"/>
                  <w:szCs w:val="24"/>
                </w:rPr>
                <m:t>28</m:t>
              </m:r>
            </m:den>
          </m:f>
          <m:d>
            <m:dPr>
              <m:ctrlPr>
                <w:rPr>
                  <w:rFonts w:ascii="Cambria Math" w:hAnsi="Cambria Math"/>
                  <w:i/>
                  <w:color w:val="0D0D0D" w:themeColor="text1" w:themeTint="F2"/>
                  <w:sz w:val="24"/>
                  <w:szCs w:val="24"/>
                </w:rPr>
              </m:ctrlPr>
            </m:dPr>
            <m:e>
              <m:nary>
                <m:naryPr>
                  <m:chr m:val="∑"/>
                  <m:limLoc m:val="undOvr"/>
                  <m:supHide m:val="1"/>
                  <m:ctrlPr>
                    <w:rPr>
                      <w:rFonts w:ascii="Cambria Math" w:hAnsi="Cambria Math"/>
                      <w:i/>
                      <w:color w:val="0D0D0D" w:themeColor="text1" w:themeTint="F2"/>
                      <w:sz w:val="24"/>
                      <w:szCs w:val="24"/>
                    </w:rPr>
                  </m:ctrlPr>
                </m:naryPr>
                <m:sub>
                  <m:r>
                    <w:rPr>
                      <w:rFonts w:ascii="Cambria Math" w:hAnsi="Cambria Math"/>
                      <w:color w:val="0D0D0D" w:themeColor="text1" w:themeTint="F2"/>
                      <w:sz w:val="24"/>
                      <w:szCs w:val="24"/>
                    </w:rPr>
                    <m:t>T</m:t>
                  </m:r>
                </m:sub>
                <m:sup/>
                <m:e>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m:t>
                      </m:r>
                    </m:e>
                    <m:sub>
                      <m:r>
                        <w:rPr>
                          <w:rFonts w:ascii="Cambria Math" w:hAnsi="Cambria Math"/>
                          <w:color w:val="0D0D0D" w:themeColor="text1" w:themeTint="F2"/>
                          <w:sz w:val="24"/>
                          <w:szCs w:val="24"/>
                        </w:rPr>
                        <m:t>T</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Nex</m:t>
                      </m:r>
                    </m:e>
                    <m:sub>
                      <m:r>
                        <w:rPr>
                          <w:rFonts w:ascii="Cambria Math" w:hAnsi="Cambria Math"/>
                          <w:color w:val="0D0D0D" w:themeColor="text1" w:themeTint="F2"/>
                          <w:sz w:val="24"/>
                          <w:szCs w:val="24"/>
                        </w:rPr>
                        <m:t>T</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MS</m:t>
                      </m:r>
                    </m:e>
                    <m:sub>
                      <m:r>
                        <w:rPr>
                          <w:rFonts w:ascii="Cambria Math" w:hAnsi="Cambria Math"/>
                          <w:color w:val="0D0D0D" w:themeColor="text1" w:themeTint="F2"/>
                          <w:sz w:val="24"/>
                          <w:szCs w:val="24"/>
                        </w:rPr>
                        <m:t>T</m:t>
                      </m:r>
                    </m:sub>
                  </m:sSub>
                </m:e>
              </m:nary>
            </m:e>
          </m:d>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rPr>
              </m:ctrlPr>
            </m:sSubPr>
            <m:e>
              <m:r>
                <w:rPr>
                  <w:rFonts w:ascii="Cambria Math" w:hAnsi="Cambria Math"/>
                  <w:color w:val="0D0D0D" w:themeColor="text1" w:themeTint="F2"/>
                  <w:sz w:val="24"/>
                  <w:szCs w:val="24"/>
                </w:rPr>
                <m:t>EF</m:t>
              </m:r>
            </m:e>
            <m:sub>
              <m:r>
                <w:rPr>
                  <w:rFonts w:ascii="Cambria Math" w:hAnsi="Cambria Math"/>
                  <w:color w:val="0D0D0D" w:themeColor="text1" w:themeTint="F2"/>
                  <w:sz w:val="24"/>
                  <w:szCs w:val="24"/>
                </w:rPr>
                <m:t>3(PRP-MINOR)</m:t>
              </m:r>
            </m:sub>
          </m:sSub>
        </m:oMath>
      </m:oMathPara>
    </w:p>
    <w:p w14:paraId="12D05960" w14:textId="77777777" w:rsidR="00590FE1" w:rsidRPr="001D5327" w:rsidRDefault="00590FE1" w:rsidP="0068513A">
      <w:pPr>
        <w:pStyle w:val="BodyText"/>
        <w:keepNext/>
        <w:spacing w:before="60" w:after="40"/>
        <w:ind w:left="851" w:hanging="851"/>
      </w:pPr>
      <w:r w:rsidRPr="001D5327">
        <w:t xml:space="preserve">Where: </w:t>
      </w:r>
      <w:r w:rsidRPr="001D5327">
        <w:tab/>
        <w:t>N</w:t>
      </w:r>
      <w:r w:rsidRPr="001D5327">
        <w:rPr>
          <w:vertAlign w:val="subscript"/>
        </w:rPr>
        <w:t xml:space="preserve">T </w:t>
      </w:r>
      <w:r w:rsidRPr="001D5327">
        <w:t>is the population of the livestock category (sheep, cattle, deer or other)</w:t>
      </w:r>
    </w:p>
    <w:p w14:paraId="5E016A60" w14:textId="77777777" w:rsidR="00590FE1" w:rsidRPr="001D5327" w:rsidRDefault="00590FE1" w:rsidP="0068513A">
      <w:pPr>
        <w:pStyle w:val="BodyText"/>
        <w:keepNext/>
        <w:spacing w:before="20" w:after="40"/>
        <w:ind w:left="851"/>
      </w:pPr>
      <w:r w:rsidRPr="001D5327">
        <w:t>T is the population as calculated in section 5.1.3</w:t>
      </w:r>
    </w:p>
    <w:p w14:paraId="775ACF0C" w14:textId="77777777" w:rsidR="00590FE1" w:rsidRPr="001D5327" w:rsidRDefault="00590FE1" w:rsidP="0068513A">
      <w:pPr>
        <w:pStyle w:val="BodyText"/>
        <w:spacing w:before="20" w:after="40"/>
        <w:ind w:left="851" w:hanging="964"/>
      </w:pPr>
      <w:r w:rsidRPr="001D5327">
        <w:tab/>
        <w:t>Nex</w:t>
      </w:r>
      <w:r w:rsidRPr="001D5327">
        <w:rPr>
          <w:vertAlign w:val="subscript"/>
        </w:rPr>
        <w:t>URINE,FLAT</w:t>
      </w:r>
      <w:r w:rsidRPr="001D5327">
        <w:t xml:space="preserve"> is the annual urinary nitrogen excretion per head deposited on flatland</w:t>
      </w:r>
      <w:r w:rsidRPr="001D5327">
        <w:rPr>
          <w:rStyle w:val="FootnoteReference"/>
          <w:rFonts w:cs="Calibri"/>
        </w:rPr>
        <w:footnoteReference w:id="46"/>
      </w:r>
      <w:r w:rsidRPr="001D5327">
        <w:t xml:space="preserve"> (kg N/head/year) </w:t>
      </w:r>
    </w:p>
    <w:p w14:paraId="71C5E7F5" w14:textId="77777777" w:rsidR="00590FE1" w:rsidRPr="001D5327" w:rsidRDefault="00590FE1" w:rsidP="0068513A">
      <w:pPr>
        <w:pStyle w:val="BodyText"/>
        <w:spacing w:before="20" w:after="40"/>
        <w:ind w:left="851" w:hanging="964"/>
      </w:pPr>
      <w:r w:rsidRPr="001D5327">
        <w:tab/>
        <w:t>Nex</w:t>
      </w:r>
      <w:r w:rsidRPr="001D5327">
        <w:rPr>
          <w:vertAlign w:val="subscript"/>
        </w:rPr>
        <w:t>URINE,LOW</w:t>
      </w:r>
      <w:r w:rsidRPr="001D5327">
        <w:t xml:space="preserve"> is the annual urinary nitrogen excretion per head deposited on low slopes</w:t>
      </w:r>
      <w:r w:rsidRPr="001D5327">
        <w:rPr>
          <w:rStyle w:val="FootnoteReference"/>
          <w:rFonts w:cs="Calibri"/>
        </w:rPr>
        <w:footnoteReference w:id="47"/>
      </w:r>
      <w:r w:rsidRPr="001D5327">
        <w:t xml:space="preserve"> (kg N/head/year) </w:t>
      </w:r>
    </w:p>
    <w:p w14:paraId="506091B9" w14:textId="77777777" w:rsidR="00590FE1" w:rsidRPr="001D5327" w:rsidRDefault="00590FE1" w:rsidP="0068513A">
      <w:pPr>
        <w:pStyle w:val="BodyText"/>
        <w:spacing w:before="20" w:after="40"/>
        <w:ind w:left="851" w:hanging="964"/>
      </w:pPr>
      <w:r w:rsidRPr="001D5327">
        <w:tab/>
        <w:t>Nex</w:t>
      </w:r>
      <w:r w:rsidRPr="001D5327">
        <w:rPr>
          <w:vertAlign w:val="subscript"/>
        </w:rPr>
        <w:t>URINE,MED</w:t>
      </w:r>
      <w:r w:rsidRPr="001D5327">
        <w:t xml:space="preserve"> is the annual urinary nitrogen excretion per head deposited on medium slopes</w:t>
      </w:r>
      <w:r w:rsidRPr="001D5327">
        <w:rPr>
          <w:rStyle w:val="FootnoteReference"/>
          <w:rFonts w:cs="Calibri"/>
        </w:rPr>
        <w:footnoteReference w:id="48"/>
      </w:r>
      <w:r w:rsidRPr="001D5327">
        <w:t xml:space="preserve"> (kg N/head/year) </w:t>
      </w:r>
    </w:p>
    <w:p w14:paraId="23C33974" w14:textId="77777777" w:rsidR="00590FE1" w:rsidRPr="001D5327" w:rsidRDefault="00590FE1" w:rsidP="0068513A">
      <w:pPr>
        <w:pStyle w:val="BodyText"/>
        <w:spacing w:before="20" w:after="40"/>
        <w:ind w:left="851" w:hanging="964"/>
      </w:pPr>
      <w:r w:rsidRPr="001D5327">
        <w:tab/>
        <w:t>Nex</w:t>
      </w:r>
      <w:r w:rsidRPr="001D5327">
        <w:rPr>
          <w:vertAlign w:val="subscript"/>
        </w:rPr>
        <w:t>URINE,STEEP</w:t>
      </w:r>
      <w:r w:rsidRPr="001D5327">
        <w:t xml:space="preserve"> is the annual urinary nitrogen excretion per head deposited on steep slopes</w:t>
      </w:r>
      <w:r w:rsidRPr="001D5327">
        <w:rPr>
          <w:rStyle w:val="FootnoteReference"/>
          <w:rFonts w:cs="Calibri"/>
        </w:rPr>
        <w:footnoteReference w:id="49"/>
      </w:r>
      <w:r w:rsidRPr="001D5327">
        <w:t xml:space="preserve"> (kg N/head/year) </w:t>
      </w:r>
    </w:p>
    <w:p w14:paraId="137FE96A" w14:textId="77777777" w:rsidR="00590FE1" w:rsidRPr="001D5327" w:rsidRDefault="00590FE1" w:rsidP="0068513A">
      <w:pPr>
        <w:pStyle w:val="BodyText"/>
        <w:spacing w:before="20" w:after="40"/>
        <w:ind w:left="851" w:hanging="964"/>
      </w:pPr>
      <w:r w:rsidRPr="001D5327">
        <w:tab/>
        <w:t>Nex</w:t>
      </w:r>
      <w:r w:rsidRPr="001D5327">
        <w:rPr>
          <w:vertAlign w:val="subscript"/>
        </w:rPr>
        <w:t>DUNG,T</w:t>
      </w:r>
      <w:r w:rsidRPr="001D5327">
        <w:t xml:space="preserve"> is the annual average excretion per head (kg N/head/year) </w:t>
      </w:r>
    </w:p>
    <w:p w14:paraId="2D2A4BEB" w14:textId="79A63F52" w:rsidR="00590FE1" w:rsidRPr="001D5327" w:rsidRDefault="00590FE1" w:rsidP="0068513A">
      <w:pPr>
        <w:pStyle w:val="BodyText"/>
        <w:spacing w:before="40" w:after="40"/>
        <w:ind w:left="851" w:hanging="964"/>
      </w:pPr>
      <w:r w:rsidRPr="001D5327">
        <w:tab/>
        <w:t>Nex</w:t>
      </w:r>
      <w:r w:rsidRPr="001D5327">
        <w:rPr>
          <w:vertAlign w:val="subscript"/>
        </w:rPr>
        <w:t>T</w:t>
      </w:r>
      <w:r w:rsidRPr="001D5327">
        <w:t xml:space="preserve"> is the annual average nitrogen excretion per head (kg N/head/year) (see</w:t>
      </w:r>
      <w:r w:rsidR="0068513A" w:rsidRPr="001D5327">
        <w:t> </w:t>
      </w:r>
      <w:r w:rsidRPr="001D5327">
        <w:t>section</w:t>
      </w:r>
      <w:r w:rsidR="0068513A" w:rsidRPr="001D5327">
        <w:t> </w:t>
      </w:r>
      <w:r w:rsidRPr="001D5327">
        <w:t xml:space="preserve">5.3) </w:t>
      </w:r>
    </w:p>
    <w:p w14:paraId="4AAF49FE" w14:textId="77777777" w:rsidR="00590FE1" w:rsidRPr="001D5327" w:rsidRDefault="00590FE1" w:rsidP="0068513A">
      <w:pPr>
        <w:pStyle w:val="BodyText"/>
        <w:spacing w:before="20" w:after="40"/>
        <w:ind w:left="851" w:hanging="851"/>
      </w:pPr>
      <w:r w:rsidRPr="001D5327">
        <w:tab/>
        <w:t>MS</w:t>
      </w:r>
      <w:r w:rsidRPr="001D5327">
        <w:rPr>
          <w:vertAlign w:val="subscript"/>
        </w:rPr>
        <w:t>T</w:t>
      </w:r>
      <w:r w:rsidRPr="001D5327">
        <w:t xml:space="preserve"> is the proportion of manure excreted directly onto pasture, range and paddock (see table 5.3.2)</w:t>
      </w:r>
    </w:p>
    <w:p w14:paraId="41B66406" w14:textId="77777777" w:rsidR="00590FE1" w:rsidRPr="001D5327" w:rsidRDefault="00590FE1" w:rsidP="0068513A">
      <w:pPr>
        <w:pStyle w:val="BodyText"/>
        <w:spacing w:before="20" w:after="40"/>
        <w:ind w:left="851" w:hanging="851"/>
      </w:pPr>
      <w:r w:rsidRPr="001D5327">
        <w:tab/>
        <w:t>EF</w:t>
      </w:r>
      <w:r w:rsidRPr="001D5327">
        <w:rPr>
          <w:vertAlign w:val="subscript"/>
        </w:rPr>
        <w:t>3(PRP-FLAT)</w:t>
      </w:r>
      <w:r w:rsidRPr="001D5327">
        <w:t xml:space="preserve"> is the emission factor for urinary nitrogen deposited on flatland and low slopes by sheep, deer and cattle (note that emission factors vary by animal category, see table 5.5.2)</w:t>
      </w:r>
    </w:p>
    <w:p w14:paraId="0D28105A" w14:textId="77777777" w:rsidR="00590FE1" w:rsidRPr="001D5327" w:rsidRDefault="00590FE1" w:rsidP="0068513A">
      <w:pPr>
        <w:pStyle w:val="BodyText"/>
        <w:spacing w:before="20" w:after="40"/>
        <w:ind w:left="851" w:hanging="851"/>
      </w:pPr>
      <w:r w:rsidRPr="001D5327">
        <w:tab/>
        <w:t>EF</w:t>
      </w:r>
      <w:r w:rsidRPr="001D5327">
        <w:rPr>
          <w:vertAlign w:val="subscript"/>
        </w:rPr>
        <w:t>3(PRP-STEEP)</w:t>
      </w:r>
      <w:r w:rsidRPr="001D5327">
        <w:t xml:space="preserve"> is the emission factor for urinary nitrogen deposited on medium and steep slopes, for sheep, deer and cattle (note emission factors vary by animal category, see table 5.5.2)</w:t>
      </w:r>
    </w:p>
    <w:p w14:paraId="5507FBD3" w14:textId="77777777" w:rsidR="00590FE1" w:rsidRPr="001D5327" w:rsidRDefault="00590FE1" w:rsidP="0068513A">
      <w:pPr>
        <w:pStyle w:val="BodyText"/>
        <w:spacing w:before="20" w:after="40"/>
        <w:ind w:left="851" w:hanging="851"/>
      </w:pPr>
      <w:r w:rsidRPr="001D5327">
        <w:tab/>
        <w:t>EF</w:t>
      </w:r>
      <w:r w:rsidRPr="001D5327">
        <w:rPr>
          <w:vertAlign w:val="subscript"/>
        </w:rPr>
        <w:t>3(PRP-DUNG)</w:t>
      </w:r>
      <w:r w:rsidRPr="001D5327">
        <w:t xml:space="preserve"> is the emission factor for dung nitrogen excreta deposited by sheep, deer and cattle on pasture, range and paddock (0.0012, see table 5.5.2)</w:t>
      </w:r>
    </w:p>
    <w:p w14:paraId="2E54B129" w14:textId="77777777" w:rsidR="00590FE1" w:rsidRPr="001D5327" w:rsidRDefault="00590FE1" w:rsidP="0068513A">
      <w:pPr>
        <w:pStyle w:val="BodyText"/>
        <w:spacing w:before="20"/>
        <w:ind w:left="851" w:hanging="851"/>
      </w:pPr>
      <w:r w:rsidRPr="001D5327">
        <w:tab/>
        <w:t>EF</w:t>
      </w:r>
      <w:r w:rsidRPr="001D5327">
        <w:rPr>
          <w:vertAlign w:val="subscript"/>
        </w:rPr>
        <w:t>3(PRP-MINOR)</w:t>
      </w:r>
      <w:r w:rsidRPr="001D5327">
        <w:t xml:space="preserve"> is the emission factor for dung from minor animal categories deposited on pasture, range and paddock (see table 5.5.2).</w:t>
      </w:r>
    </w:p>
    <w:p w14:paraId="021D2DC4" w14:textId="77777777" w:rsidR="00590FE1" w:rsidRPr="001D5327" w:rsidRDefault="00590FE1" w:rsidP="00590FE1">
      <w:pPr>
        <w:pStyle w:val="BodyText"/>
        <w:spacing w:before="100" w:after="100"/>
      </w:pPr>
      <w:r w:rsidRPr="001D5327">
        <w:t>For cattle, sheep and deer, the estimated N</w:t>
      </w:r>
      <w:r w:rsidRPr="001D5327">
        <w:rPr>
          <w:vertAlign w:val="subscript"/>
        </w:rPr>
        <w:t>ex</w:t>
      </w:r>
      <w:r w:rsidRPr="001D5327">
        <w:t xml:space="preserve"> values are separated into urine and dung components using the methodology outlined by Pacheco et al. (2018). </w:t>
      </w:r>
    </w:p>
    <w:p w14:paraId="347170B3" w14:textId="77777777" w:rsidR="00590FE1" w:rsidRPr="001D5327" w:rsidRDefault="00590FE1" w:rsidP="00590FE1">
      <w:pPr>
        <w:pStyle w:val="BodyText"/>
        <w:spacing w:before="100" w:after="100"/>
      </w:pPr>
      <w:r w:rsidRPr="001D5327">
        <w:t xml:space="preserve">The Agriculture inventory model assumes that all dairy cattle graze on flatland, due to </w:t>
      </w:r>
      <w:r w:rsidRPr="001D5327" w:rsidDel="001543F3">
        <w:t xml:space="preserve">New </w:t>
      </w:r>
      <w:r w:rsidRPr="001D5327">
        <w:t>Zealand farming practices, therefore,</w:t>
      </w:r>
      <w:r w:rsidRPr="001D5327" w:rsidDel="00FF398C">
        <w:t xml:space="preserve"> </w:t>
      </w:r>
      <w:r w:rsidRPr="001D5327">
        <w:t>all dairy urinary nitrogen is allocated to Nex</w:t>
      </w:r>
      <w:r w:rsidRPr="001D5327">
        <w:rPr>
          <w:vertAlign w:val="subscript"/>
        </w:rPr>
        <w:t>URINE,FLAT</w:t>
      </w:r>
      <w:r w:rsidRPr="001D5327">
        <w:t xml:space="preserve">. </w:t>
      </w:r>
    </w:p>
    <w:p w14:paraId="7EFD5B37" w14:textId="77777777" w:rsidR="00590FE1" w:rsidRPr="001D5327" w:rsidRDefault="00590FE1" w:rsidP="00590FE1">
      <w:pPr>
        <w:pStyle w:val="BodyText"/>
        <w:spacing w:before="100" w:after="100"/>
      </w:pPr>
      <w:r w:rsidRPr="001D5327">
        <w:t>Urinary nitrogen from non-dairy cattle, sheep and deer is allocated to the different slope types; Nex</w:t>
      </w:r>
      <w:r w:rsidRPr="001D5327">
        <w:rPr>
          <w:vertAlign w:val="subscript"/>
        </w:rPr>
        <w:t>URINE,LOW</w:t>
      </w:r>
      <w:r w:rsidRPr="001D5327">
        <w:t>, Nex</w:t>
      </w:r>
      <w:r w:rsidRPr="001D5327">
        <w:rPr>
          <w:vertAlign w:val="subscript"/>
        </w:rPr>
        <w:t>URINE,MED</w:t>
      </w:r>
      <w:r w:rsidRPr="001D5327">
        <w:t xml:space="preserve"> and Nex</w:t>
      </w:r>
      <w:r w:rsidRPr="001D5327">
        <w:rPr>
          <w:vertAlign w:val="subscript"/>
        </w:rPr>
        <w:t>URINE,STEEP</w:t>
      </w:r>
      <w:r w:rsidRPr="001D5327">
        <w:t>. However, there is zero land allocated to flatland (Nex</w:t>
      </w:r>
      <w:r w:rsidRPr="001D5327">
        <w:rPr>
          <w:vertAlign w:val="subscript"/>
        </w:rPr>
        <w:t>URINE,FLAT</w:t>
      </w:r>
      <w:r w:rsidRPr="001D5327">
        <w:t>), which is generally used for grazing dairy cattle.</w:t>
      </w:r>
    </w:p>
    <w:p w14:paraId="58A15C2B" w14:textId="77777777" w:rsidR="00590FE1" w:rsidRPr="001D5327" w:rsidRDefault="00590FE1" w:rsidP="00590FE1">
      <w:pPr>
        <w:pStyle w:val="Heading5"/>
      </w:pPr>
      <w:r w:rsidRPr="001D5327">
        <w:lastRenderedPageBreak/>
        <w:t>EF</w:t>
      </w:r>
      <w:r w:rsidRPr="001D5327">
        <w:rPr>
          <w:vertAlign w:val="subscript"/>
        </w:rPr>
        <w:t>3</w:t>
      </w:r>
      <w:r w:rsidRPr="001D5327">
        <w:t xml:space="preserve"> emission factors for excreta deposited by cattle, sheep and deer on sloped land</w:t>
      </w:r>
    </w:p>
    <w:p w14:paraId="4159BBF5" w14:textId="77777777" w:rsidR="00590FE1" w:rsidRPr="001D5327" w:rsidRDefault="00590FE1" w:rsidP="00590FE1">
      <w:pPr>
        <w:pStyle w:val="BodyText"/>
      </w:pPr>
      <w:r w:rsidRPr="001D5327">
        <w:t>New EF</w:t>
      </w:r>
      <w:r w:rsidRPr="001D5327">
        <w:rPr>
          <w:vertAlign w:val="subscript"/>
        </w:rPr>
        <w:t xml:space="preserve">3 </w:t>
      </w:r>
      <w:r w:rsidRPr="001D5327">
        <w:t>emission factors were incorporated in the 2020 inventory and are detailed in table 5.5.2 (EF</w:t>
      </w:r>
      <w:r w:rsidRPr="001D5327">
        <w:rPr>
          <w:vertAlign w:val="subscript"/>
        </w:rPr>
        <w:t>3(PRP-DUNG)</w:t>
      </w:r>
      <w:r w:rsidRPr="001D5327">
        <w:t>) and table 5.5.3. These EF</w:t>
      </w:r>
      <w:r w:rsidRPr="001D5327">
        <w:rPr>
          <w:vertAlign w:val="subscript"/>
        </w:rPr>
        <w:t>3</w:t>
      </w:r>
      <w:r w:rsidRPr="001D5327">
        <w:t xml:space="preserve"> emission factors used to calculate N</w:t>
      </w:r>
      <w:r w:rsidRPr="001D5327">
        <w:rPr>
          <w:vertAlign w:val="subscript"/>
        </w:rPr>
        <w:t>2</w:t>
      </w:r>
      <w:r w:rsidRPr="001D5327">
        <w:t xml:space="preserve">O emissions </w:t>
      </w:r>
      <w:r w:rsidRPr="001D5327">
        <w:rPr>
          <w:spacing w:val="-2"/>
        </w:rPr>
        <w:t>from cattle (dairy and non-dairy cattle), sheep and deer are based on a meta-analysis undertaken</w:t>
      </w:r>
      <w:r w:rsidRPr="001D5327">
        <w:t xml:space="preserve"> by van der Weerden et al. (2019, 2020) based on field studies carried out in the past decade (de Klein et al., 2014; Hoogendoorn et al., 2013; Luo et al., 2013, 2016, 2019a; Saggar et al., 2015). The research collectively shows (see table 5.5.6):</w:t>
      </w:r>
    </w:p>
    <w:p w14:paraId="2A8C73C8" w14:textId="77777777" w:rsidR="00590FE1" w:rsidRPr="001D5327" w:rsidRDefault="00590FE1" w:rsidP="00590FE1">
      <w:pPr>
        <w:pStyle w:val="Bullet"/>
      </w:pPr>
      <w:r w:rsidRPr="001D5327">
        <w:t>a statistically significant difference in urine emission factors between cattle and sheep</w:t>
      </w:r>
    </w:p>
    <w:p w14:paraId="694287F6" w14:textId="77777777" w:rsidR="00590FE1" w:rsidRPr="001D5327" w:rsidRDefault="00590FE1" w:rsidP="00590FE1">
      <w:pPr>
        <w:pStyle w:val="Bullet"/>
      </w:pPr>
      <w:r w:rsidRPr="001D5327">
        <w:t>that emissions from sheep, non-dairy cattle and dairy cattle excreta deposited on medium (between 12 degrees and 24 degrees) and steep (greater than 24 degrees) sloped land are significantly lower than corresponding emissions on land that is flat or of a low gradient (between 0 degrees and 12 degrees).</w:t>
      </w:r>
    </w:p>
    <w:p w14:paraId="3866CD12" w14:textId="77777777" w:rsidR="00590FE1" w:rsidRPr="001D5327" w:rsidRDefault="00590FE1" w:rsidP="00590FE1">
      <w:pPr>
        <w:pStyle w:val="Heading5"/>
      </w:pPr>
      <w:r w:rsidRPr="001D5327">
        <w:t>Evidence and meta-analysis for EF</w:t>
      </w:r>
      <w:r w:rsidRPr="001D5327">
        <w:rPr>
          <w:vertAlign w:val="subscript"/>
        </w:rPr>
        <w:t>3</w:t>
      </w:r>
      <w:r w:rsidRPr="001D5327">
        <w:t xml:space="preserve"> emission factors for excreta deposited on sloped land</w:t>
      </w:r>
    </w:p>
    <w:p w14:paraId="5AD60A2C" w14:textId="77777777" w:rsidR="00590FE1" w:rsidRPr="001D5327" w:rsidRDefault="00590FE1" w:rsidP="00590FE1">
      <w:pPr>
        <w:pStyle w:val="BodyText"/>
        <w:rPr>
          <w:rFonts w:cs="Calibri"/>
        </w:rPr>
      </w:pPr>
      <w:r w:rsidRPr="001D5327">
        <w:rPr>
          <w:rFonts w:cs="Calibri"/>
        </w:rPr>
        <w:t>The meta-analysis (van der Weerden et al., 2020), built on a previous study by Kelliher et al. (2014), calculated new emission factors based on animal type, season and slope. This was based on an expanded data set of 1,217 replicate-level emission factors from 236 field experiments conducted over the past decade, largely measured using the same standardised experimental methods for N</w:t>
      </w:r>
      <w:r w:rsidRPr="001D5327">
        <w:rPr>
          <w:rFonts w:cs="Calibri"/>
          <w:vertAlign w:val="subscript"/>
        </w:rPr>
        <w:t>2</w:t>
      </w:r>
      <w:r w:rsidRPr="001D5327">
        <w:rPr>
          <w:rFonts w:cs="Calibri"/>
        </w:rPr>
        <w:t>O (see table 5.5.7).</w:t>
      </w:r>
    </w:p>
    <w:p w14:paraId="605123A2" w14:textId="77777777" w:rsidR="00590FE1" w:rsidRPr="001D5327" w:rsidRDefault="00590FE1" w:rsidP="00590FE1">
      <w:pPr>
        <w:pStyle w:val="BodyText"/>
        <w:rPr>
          <w:rFonts w:cs="Calibri"/>
        </w:rPr>
      </w:pPr>
      <w:r w:rsidRPr="001D5327">
        <w:rPr>
          <w:rFonts w:cs="Calibri"/>
        </w:rPr>
        <w:t>The meta-analysis included results of studies from dung and urine deposited onto flatland and steep sloped land both published in scientific journals (Hoogendoorn et al., 2008; Ledgard et al., 2014; Luo et al., 2013; van der Weerden et al., 2011) and reported to MPI’s inventory reporting team (Hoogendoorn et al., 2013; Luo et al., 2016, 2019a). These data were compiled to contribute to existing data on emissions from dung and urine deposited on low and medium sloped land from the Kelliher et al. (2014) study.</w:t>
      </w:r>
      <w:r w:rsidRPr="001D5327" w:rsidDel="00866057">
        <w:rPr>
          <w:rFonts w:cs="Calibri"/>
        </w:rPr>
        <w:t xml:space="preserve"> </w:t>
      </w:r>
    </w:p>
    <w:p w14:paraId="23D0DC0A" w14:textId="77777777" w:rsidR="00590FE1" w:rsidRPr="001D5327" w:rsidRDefault="00590FE1" w:rsidP="00590FE1">
      <w:pPr>
        <w:pStyle w:val="BodyText"/>
        <w:rPr>
          <w:rFonts w:cs="Calibri"/>
        </w:rPr>
      </w:pPr>
      <w:r w:rsidRPr="001D5327">
        <w:rPr>
          <w:rFonts w:cs="Calibri"/>
        </w:rPr>
        <w:t>Additional evidence conducted overseas supporting the use of emission factors that vary by land slope has been provided in a study in the United Kingdom by Marsden et al. (2018), who found that sheep EF</w:t>
      </w:r>
      <w:r w:rsidRPr="001D5327">
        <w:rPr>
          <w:rFonts w:cs="Calibri"/>
          <w:vertAlign w:val="subscript"/>
        </w:rPr>
        <w:t>3</w:t>
      </w:r>
      <w:r w:rsidRPr="001D5327">
        <w:rPr>
          <w:rFonts w:cs="Calibri"/>
        </w:rPr>
        <w:t xml:space="preserve"> values are lower on upland and hill areas compared with intensively managed lowlands.</w:t>
      </w:r>
    </w:p>
    <w:p w14:paraId="1E962B79" w14:textId="77777777" w:rsidR="00590FE1" w:rsidRPr="001D5327" w:rsidRDefault="00590FE1" w:rsidP="00590FE1">
      <w:pPr>
        <w:pStyle w:val="Table"/>
        <w:rPr>
          <w:rFonts w:cs="Calibri"/>
        </w:rPr>
      </w:pPr>
      <w:bookmarkStart w:id="1196" w:name="_Toc32570932"/>
      <w:bookmarkStart w:id="1197" w:name="_Toc36224567"/>
      <w:bookmarkStart w:id="1198" w:name="_Toc68786452"/>
      <w:bookmarkStart w:id="1199" w:name="_Toc95574085"/>
      <w:bookmarkStart w:id="1200" w:name="_Toc127458272"/>
      <w:bookmarkStart w:id="1201" w:name="_Toc131591368"/>
      <w:bookmarkStart w:id="1202" w:name="_Toc160114462"/>
      <w:bookmarkStart w:id="1203" w:name="_Toc164153858"/>
      <w:bookmarkStart w:id="1204" w:name="_Toc194241730"/>
      <w:r w:rsidRPr="001D5327">
        <w:rPr>
          <w:rFonts w:cs="Calibri"/>
        </w:rPr>
        <w:t>Table 5.5.6</w:t>
      </w:r>
      <w:r w:rsidRPr="001D5327">
        <w:rPr>
          <w:rFonts w:cs="Calibri"/>
        </w:rPr>
        <w:tab/>
        <w:t>Number of replicate-level EF</w:t>
      </w:r>
      <w:r w:rsidRPr="001D5327">
        <w:rPr>
          <w:rFonts w:cs="Calibri"/>
          <w:vertAlign w:val="subscript"/>
        </w:rPr>
        <w:t>3</w:t>
      </w:r>
      <w:r w:rsidRPr="001D5327">
        <w:rPr>
          <w:rFonts w:cs="Calibri"/>
        </w:rPr>
        <w:t xml:space="preserve"> values collated by the van der Weerden et al. (2019, 2020) analysis, for each nitrogen source and topography (number of individual trials shown in brackets)</w:t>
      </w:r>
      <w:bookmarkEnd w:id="1196"/>
      <w:bookmarkEnd w:id="1197"/>
      <w:bookmarkEnd w:id="1198"/>
      <w:bookmarkEnd w:id="1199"/>
      <w:bookmarkEnd w:id="1200"/>
      <w:bookmarkEnd w:id="1201"/>
      <w:bookmarkEnd w:id="1202"/>
      <w:bookmarkEnd w:id="1203"/>
      <w:bookmarkEnd w:id="1204"/>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6"/>
        <w:gridCol w:w="1249"/>
        <w:gridCol w:w="1249"/>
        <w:gridCol w:w="1303"/>
        <w:gridCol w:w="1249"/>
        <w:gridCol w:w="1249"/>
      </w:tblGrid>
      <w:tr w:rsidR="00590FE1" w:rsidRPr="001D5327" w14:paraId="15B50F88" w14:textId="77777777" w:rsidTr="00403787">
        <w:trPr>
          <w:tblHeader/>
        </w:trPr>
        <w:tc>
          <w:tcPr>
            <w:tcW w:w="2206" w:type="dxa"/>
            <w:tcBorders>
              <w:top w:val="single" w:sz="4" w:space="0" w:color="1B556B" w:themeColor="text2"/>
              <w:left w:val="nil"/>
              <w:bottom w:val="single" w:sz="4" w:space="0" w:color="1B556B" w:themeColor="text2"/>
              <w:right w:val="nil"/>
            </w:tcBorders>
            <w:shd w:val="clear" w:color="auto" w:fill="1B556B"/>
            <w:vAlign w:val="bottom"/>
          </w:tcPr>
          <w:p w14:paraId="020E9182" w14:textId="77777777" w:rsidR="00590FE1" w:rsidRPr="001D5327" w:rsidRDefault="00590FE1" w:rsidP="00403787">
            <w:pPr>
              <w:pStyle w:val="TableTextBold"/>
              <w:keepNext/>
              <w:spacing w:before="40" w:after="40"/>
              <w:rPr>
                <w:noProof w:val="0"/>
                <w:color w:val="FFFFFF" w:themeColor="background1"/>
              </w:rPr>
            </w:pPr>
            <w:r w:rsidRPr="001D5327">
              <w:rPr>
                <w:noProof w:val="0"/>
                <w:color w:val="FFFFFF" w:themeColor="background1"/>
              </w:rPr>
              <w:t>Nitrogen source</w:t>
            </w:r>
          </w:p>
        </w:tc>
        <w:tc>
          <w:tcPr>
            <w:tcW w:w="1249" w:type="dxa"/>
            <w:tcBorders>
              <w:top w:val="single" w:sz="4" w:space="0" w:color="1B556B" w:themeColor="text2"/>
              <w:left w:val="nil"/>
              <w:bottom w:val="single" w:sz="4" w:space="0" w:color="1B556B" w:themeColor="text2"/>
              <w:right w:val="nil"/>
            </w:tcBorders>
            <w:shd w:val="clear" w:color="auto" w:fill="1B556B"/>
            <w:vAlign w:val="bottom"/>
          </w:tcPr>
          <w:p w14:paraId="03F0E5D2" w14:textId="77777777" w:rsidR="00590FE1" w:rsidRPr="001D5327" w:rsidRDefault="00590FE1" w:rsidP="00403787">
            <w:pPr>
              <w:pStyle w:val="TableTextBold"/>
              <w:keepNext/>
              <w:spacing w:before="40" w:after="40"/>
              <w:jc w:val="right"/>
              <w:rPr>
                <w:noProof w:val="0"/>
                <w:color w:val="FFFFFF" w:themeColor="background1"/>
              </w:rPr>
            </w:pPr>
            <w:r w:rsidRPr="001D5327">
              <w:rPr>
                <w:noProof w:val="0"/>
                <w:color w:val="FFFFFF" w:themeColor="background1"/>
              </w:rPr>
              <w:t xml:space="preserve">Flatland </w:t>
            </w:r>
            <w:r w:rsidRPr="001D5327">
              <w:rPr>
                <w:noProof w:val="0"/>
                <w:color w:val="FFFFFF" w:themeColor="background1"/>
              </w:rPr>
              <w:br/>
              <w:t>(0–12</w:t>
            </w:r>
            <w:r w:rsidRPr="001D5327">
              <w:rPr>
                <w:noProof w:val="0"/>
                <w:color w:val="FFFFFF" w:themeColor="background1"/>
                <w:vertAlign w:val="superscript"/>
              </w:rPr>
              <w:t>o</w:t>
            </w:r>
            <w:r w:rsidRPr="001D5327">
              <w:rPr>
                <w:noProof w:val="0"/>
                <w:color w:val="FFFFFF" w:themeColor="background1"/>
              </w:rPr>
              <w:t>)</w:t>
            </w:r>
          </w:p>
        </w:tc>
        <w:tc>
          <w:tcPr>
            <w:tcW w:w="1249" w:type="dxa"/>
            <w:tcBorders>
              <w:top w:val="single" w:sz="4" w:space="0" w:color="1B556B" w:themeColor="text2"/>
              <w:left w:val="nil"/>
              <w:bottom w:val="single" w:sz="4" w:space="0" w:color="1B556B" w:themeColor="text2"/>
              <w:right w:val="nil"/>
            </w:tcBorders>
            <w:shd w:val="clear" w:color="auto" w:fill="1B556B"/>
            <w:vAlign w:val="bottom"/>
          </w:tcPr>
          <w:p w14:paraId="4BAD689B" w14:textId="77777777" w:rsidR="00590FE1" w:rsidRPr="001D5327" w:rsidRDefault="00590FE1" w:rsidP="00403787">
            <w:pPr>
              <w:pStyle w:val="TableTextBold"/>
              <w:keepNext/>
              <w:spacing w:before="40" w:after="40"/>
              <w:jc w:val="right"/>
              <w:rPr>
                <w:noProof w:val="0"/>
                <w:color w:val="FFFFFF" w:themeColor="background1"/>
              </w:rPr>
            </w:pPr>
            <w:r w:rsidRPr="001D5327">
              <w:rPr>
                <w:noProof w:val="0"/>
                <w:color w:val="FFFFFF" w:themeColor="background1"/>
              </w:rPr>
              <w:t>Low sloped land (0–12</w:t>
            </w:r>
            <w:r w:rsidRPr="001D5327">
              <w:rPr>
                <w:noProof w:val="0"/>
                <w:color w:val="FFFFFF" w:themeColor="background1"/>
                <w:vertAlign w:val="superscript"/>
              </w:rPr>
              <w:t>o</w:t>
            </w:r>
            <w:r w:rsidRPr="001D5327">
              <w:rPr>
                <w:noProof w:val="0"/>
                <w:color w:val="FFFFFF" w:themeColor="background1"/>
              </w:rPr>
              <w:t>)</w:t>
            </w:r>
          </w:p>
        </w:tc>
        <w:tc>
          <w:tcPr>
            <w:tcW w:w="1303" w:type="dxa"/>
            <w:tcBorders>
              <w:top w:val="single" w:sz="4" w:space="0" w:color="1B556B" w:themeColor="text2"/>
              <w:left w:val="nil"/>
              <w:bottom w:val="single" w:sz="4" w:space="0" w:color="1B556B" w:themeColor="text2"/>
              <w:right w:val="nil"/>
            </w:tcBorders>
            <w:shd w:val="clear" w:color="auto" w:fill="1B556B"/>
            <w:vAlign w:val="bottom"/>
          </w:tcPr>
          <w:p w14:paraId="5692DF6F" w14:textId="77777777" w:rsidR="00590FE1" w:rsidRPr="001D5327" w:rsidRDefault="00590FE1" w:rsidP="00403787">
            <w:pPr>
              <w:pStyle w:val="TableTextBold"/>
              <w:keepNext/>
              <w:spacing w:before="40" w:after="40"/>
              <w:jc w:val="right"/>
              <w:rPr>
                <w:noProof w:val="0"/>
                <w:color w:val="FFFFFF" w:themeColor="background1"/>
              </w:rPr>
            </w:pPr>
            <w:r w:rsidRPr="001D5327">
              <w:rPr>
                <w:noProof w:val="0"/>
                <w:color w:val="FFFFFF" w:themeColor="background1"/>
              </w:rPr>
              <w:t>Medium sloped land (12–24</w:t>
            </w:r>
            <w:r w:rsidRPr="001D5327">
              <w:rPr>
                <w:noProof w:val="0"/>
                <w:color w:val="FFFFFF" w:themeColor="background1"/>
                <w:vertAlign w:val="superscript"/>
              </w:rPr>
              <w:t>o</w:t>
            </w:r>
            <w:r w:rsidRPr="001D5327">
              <w:rPr>
                <w:noProof w:val="0"/>
                <w:color w:val="FFFFFF" w:themeColor="background1"/>
              </w:rPr>
              <w:t>)</w:t>
            </w:r>
          </w:p>
        </w:tc>
        <w:tc>
          <w:tcPr>
            <w:tcW w:w="1249" w:type="dxa"/>
            <w:tcBorders>
              <w:top w:val="single" w:sz="4" w:space="0" w:color="1B556B" w:themeColor="text2"/>
              <w:left w:val="nil"/>
              <w:bottom w:val="single" w:sz="4" w:space="0" w:color="1B556B" w:themeColor="text2"/>
              <w:right w:val="nil"/>
            </w:tcBorders>
            <w:shd w:val="clear" w:color="auto" w:fill="1B556B"/>
            <w:vAlign w:val="bottom"/>
          </w:tcPr>
          <w:p w14:paraId="5B928DC6" w14:textId="77777777" w:rsidR="00590FE1" w:rsidRPr="001D5327" w:rsidRDefault="00590FE1" w:rsidP="00403787">
            <w:pPr>
              <w:pStyle w:val="TableTextBold"/>
              <w:keepNext/>
              <w:spacing w:before="40" w:after="40"/>
              <w:jc w:val="right"/>
              <w:rPr>
                <w:noProof w:val="0"/>
                <w:color w:val="FFFFFF" w:themeColor="background1"/>
              </w:rPr>
            </w:pPr>
            <w:r w:rsidRPr="001D5327">
              <w:rPr>
                <w:noProof w:val="0"/>
                <w:color w:val="FFFFFF" w:themeColor="background1"/>
              </w:rPr>
              <w:t>Steep sloped land (&gt;24</w:t>
            </w:r>
            <w:r w:rsidRPr="001D5327">
              <w:rPr>
                <w:noProof w:val="0"/>
                <w:color w:val="FFFFFF" w:themeColor="background1"/>
                <w:vertAlign w:val="superscript"/>
              </w:rPr>
              <w:t>o</w:t>
            </w:r>
            <w:r w:rsidRPr="001D5327">
              <w:rPr>
                <w:noProof w:val="0"/>
                <w:color w:val="FFFFFF" w:themeColor="background1"/>
              </w:rPr>
              <w:t>)</w:t>
            </w:r>
          </w:p>
        </w:tc>
        <w:tc>
          <w:tcPr>
            <w:tcW w:w="1249" w:type="dxa"/>
            <w:tcBorders>
              <w:top w:val="single" w:sz="4" w:space="0" w:color="1B556B" w:themeColor="text2"/>
              <w:left w:val="nil"/>
              <w:bottom w:val="single" w:sz="4" w:space="0" w:color="1B556B" w:themeColor="text2"/>
              <w:right w:val="nil"/>
            </w:tcBorders>
            <w:shd w:val="clear" w:color="auto" w:fill="1B556B"/>
            <w:vAlign w:val="bottom"/>
          </w:tcPr>
          <w:p w14:paraId="2055C6B7" w14:textId="77777777" w:rsidR="00590FE1" w:rsidRPr="001D5327" w:rsidRDefault="00590FE1" w:rsidP="00403787">
            <w:pPr>
              <w:pStyle w:val="TableTextBold"/>
              <w:keepNext/>
              <w:spacing w:before="40" w:after="40"/>
              <w:jc w:val="right"/>
              <w:rPr>
                <w:noProof w:val="0"/>
                <w:color w:val="FFFFFF" w:themeColor="background1"/>
              </w:rPr>
            </w:pPr>
            <w:r w:rsidRPr="001D5327">
              <w:rPr>
                <w:noProof w:val="0"/>
                <w:color w:val="FFFFFF" w:themeColor="background1"/>
              </w:rPr>
              <w:t>Total</w:t>
            </w:r>
          </w:p>
        </w:tc>
      </w:tr>
      <w:tr w:rsidR="00590FE1" w:rsidRPr="001D5327" w14:paraId="60E4FCC2" w14:textId="77777777" w:rsidTr="00403787">
        <w:tc>
          <w:tcPr>
            <w:tcW w:w="2206" w:type="dxa"/>
            <w:tcBorders>
              <w:top w:val="single" w:sz="4" w:space="0" w:color="1B556B" w:themeColor="text2"/>
              <w:left w:val="nil"/>
              <w:bottom w:val="single" w:sz="4" w:space="0" w:color="1B556B" w:themeColor="text2"/>
              <w:right w:val="nil"/>
            </w:tcBorders>
            <w:shd w:val="clear" w:color="auto" w:fill="auto"/>
          </w:tcPr>
          <w:p w14:paraId="5E219EF5" w14:textId="77777777" w:rsidR="00590FE1" w:rsidRPr="001D5327" w:rsidRDefault="00590FE1" w:rsidP="00403787">
            <w:pPr>
              <w:pStyle w:val="TableText"/>
              <w:spacing w:before="40" w:after="40"/>
              <w:rPr>
                <w:rFonts w:cs="Calibri"/>
              </w:rPr>
            </w:pPr>
            <w:r w:rsidRPr="001D5327">
              <w:rPr>
                <w:rFonts w:cs="Calibri"/>
              </w:rPr>
              <w:t>Dairy cattle urine</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4ADC12F1"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341 (57)</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77CF7DA4"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108 (22)</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6E13F177"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0E2349DC" w14:textId="77777777" w:rsidR="00590FE1" w:rsidRPr="001D5327" w:rsidRDefault="00590FE1" w:rsidP="00403787">
            <w:pPr>
              <w:pStyle w:val="TableText"/>
              <w:spacing w:before="40" w:after="40"/>
              <w:jc w:val="right"/>
              <w:rPr>
                <w:rFonts w:asciiTheme="minorHAnsi" w:hAnsiTheme="minorHAnsi" w:cstheme="minorHAnsi"/>
              </w:rPr>
            </w:pP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7AD5387D"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469 (83)</w:t>
            </w:r>
          </w:p>
        </w:tc>
      </w:tr>
      <w:tr w:rsidR="00590FE1" w:rsidRPr="001D5327" w14:paraId="79C4C282" w14:textId="77777777" w:rsidTr="00403787">
        <w:tc>
          <w:tcPr>
            <w:tcW w:w="2206" w:type="dxa"/>
            <w:tcBorders>
              <w:top w:val="single" w:sz="4" w:space="0" w:color="1B556B" w:themeColor="text2"/>
              <w:left w:val="nil"/>
              <w:bottom w:val="single" w:sz="4" w:space="0" w:color="1B556B" w:themeColor="text2"/>
              <w:right w:val="nil"/>
            </w:tcBorders>
            <w:shd w:val="clear" w:color="auto" w:fill="auto"/>
          </w:tcPr>
          <w:p w14:paraId="4BC1874D" w14:textId="77777777" w:rsidR="00590FE1" w:rsidRPr="001D5327" w:rsidRDefault="00590FE1" w:rsidP="00403787">
            <w:pPr>
              <w:pStyle w:val="TableText"/>
              <w:spacing w:before="40" w:after="40"/>
              <w:rPr>
                <w:rFonts w:cs="Calibri"/>
              </w:rPr>
            </w:pPr>
            <w:r w:rsidRPr="001D5327">
              <w:rPr>
                <w:rFonts w:cs="Calibri"/>
              </w:rPr>
              <w:t>Dairy cattle dung</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5A70733B"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84 (19)</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27018B9B"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46 (9)</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015585BD"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48F861A0" w14:textId="77777777" w:rsidR="00590FE1" w:rsidRPr="001D5327" w:rsidRDefault="00590FE1" w:rsidP="00403787">
            <w:pPr>
              <w:pStyle w:val="TableText"/>
              <w:spacing w:before="40" w:after="40"/>
              <w:jc w:val="right"/>
              <w:rPr>
                <w:rFonts w:asciiTheme="minorHAnsi" w:hAnsiTheme="minorHAnsi" w:cstheme="minorHAnsi"/>
              </w:rPr>
            </w:pP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7BC61947"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150 (32)</w:t>
            </w:r>
          </w:p>
        </w:tc>
      </w:tr>
      <w:tr w:rsidR="00590FE1" w:rsidRPr="001D5327" w14:paraId="5E0097C6" w14:textId="77777777" w:rsidTr="00403787">
        <w:tc>
          <w:tcPr>
            <w:tcW w:w="2206" w:type="dxa"/>
            <w:tcBorders>
              <w:top w:val="single" w:sz="4" w:space="0" w:color="1B556B" w:themeColor="text2"/>
              <w:left w:val="nil"/>
              <w:bottom w:val="single" w:sz="4" w:space="0" w:color="1B556B" w:themeColor="text2"/>
              <w:right w:val="nil"/>
            </w:tcBorders>
            <w:shd w:val="clear" w:color="auto" w:fill="auto"/>
          </w:tcPr>
          <w:p w14:paraId="0C66F00A" w14:textId="77777777" w:rsidR="00590FE1" w:rsidRPr="001D5327" w:rsidRDefault="00590FE1" w:rsidP="00403787">
            <w:pPr>
              <w:pStyle w:val="TableText"/>
              <w:spacing w:before="40" w:after="40"/>
              <w:rPr>
                <w:rFonts w:cs="Calibri"/>
              </w:rPr>
            </w:pPr>
            <w:r w:rsidRPr="001D5327">
              <w:rPr>
                <w:rFonts w:cs="Calibri"/>
              </w:rPr>
              <w:t>Non-dairy cattle urine</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64135804"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8 (1)</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55248DFC"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40 (8)</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7667D209"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60 (12)</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07F1AD24"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5D8BF9F2"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128 (25)</w:t>
            </w:r>
          </w:p>
        </w:tc>
      </w:tr>
      <w:tr w:rsidR="00590FE1" w:rsidRPr="001D5327" w14:paraId="086CDBE0" w14:textId="77777777" w:rsidTr="00403787">
        <w:tc>
          <w:tcPr>
            <w:tcW w:w="2206" w:type="dxa"/>
            <w:tcBorders>
              <w:top w:val="single" w:sz="4" w:space="0" w:color="1B556B" w:themeColor="text2"/>
              <w:left w:val="nil"/>
              <w:bottom w:val="single" w:sz="4" w:space="0" w:color="1B556B" w:themeColor="text2"/>
              <w:right w:val="nil"/>
            </w:tcBorders>
            <w:shd w:val="clear" w:color="auto" w:fill="auto"/>
          </w:tcPr>
          <w:p w14:paraId="57CB5F1F" w14:textId="77777777" w:rsidR="00590FE1" w:rsidRPr="001D5327" w:rsidRDefault="00590FE1" w:rsidP="00403787">
            <w:pPr>
              <w:pStyle w:val="TableText"/>
              <w:spacing w:before="40" w:after="40"/>
              <w:rPr>
                <w:rFonts w:cs="Calibri"/>
              </w:rPr>
            </w:pPr>
            <w:r w:rsidRPr="001D5327">
              <w:rPr>
                <w:rFonts w:cs="Calibri"/>
              </w:rPr>
              <w:t>Non-dairy cattle dung</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300CFA16" w14:textId="77777777" w:rsidR="00590FE1" w:rsidRPr="001D5327" w:rsidRDefault="00590FE1" w:rsidP="00403787">
            <w:pPr>
              <w:pStyle w:val="TableText"/>
              <w:spacing w:before="40" w:after="40"/>
              <w:jc w:val="right"/>
              <w:rPr>
                <w:rFonts w:asciiTheme="minorHAnsi" w:hAnsiTheme="minorHAnsi" w:cstheme="minorHAnsi"/>
              </w:rPr>
            </w:pP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7CE2DEF4"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76 (16)</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269022FD"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60 (12)</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029B1091"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11D73730"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156 (32)</w:t>
            </w:r>
          </w:p>
        </w:tc>
      </w:tr>
      <w:tr w:rsidR="00590FE1" w:rsidRPr="001D5327" w14:paraId="578BB72C" w14:textId="77777777" w:rsidTr="00403787">
        <w:tc>
          <w:tcPr>
            <w:tcW w:w="2206" w:type="dxa"/>
            <w:tcBorders>
              <w:top w:val="single" w:sz="4" w:space="0" w:color="1B556B" w:themeColor="text2"/>
              <w:left w:val="nil"/>
              <w:bottom w:val="single" w:sz="4" w:space="0" w:color="1B556B" w:themeColor="text2"/>
              <w:right w:val="nil"/>
            </w:tcBorders>
            <w:shd w:val="clear" w:color="auto" w:fill="auto"/>
          </w:tcPr>
          <w:p w14:paraId="533BC3AA" w14:textId="77777777" w:rsidR="00590FE1" w:rsidRPr="001D5327" w:rsidRDefault="00590FE1" w:rsidP="00403787">
            <w:pPr>
              <w:pStyle w:val="TableText"/>
              <w:spacing w:before="40" w:after="40"/>
              <w:rPr>
                <w:rFonts w:cs="Calibri"/>
              </w:rPr>
            </w:pPr>
            <w:r w:rsidRPr="001D5327">
              <w:rPr>
                <w:rFonts w:cs="Calibri"/>
              </w:rPr>
              <w:t>Sheep urine</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36CE3FCD"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40 (7)</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21727CA8"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64 (12)</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40250310"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60 (12)</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66F341F8"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1D36BA09"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184 (35)</w:t>
            </w:r>
          </w:p>
        </w:tc>
      </w:tr>
      <w:tr w:rsidR="00590FE1" w:rsidRPr="001D5327" w14:paraId="2AD75902" w14:textId="77777777" w:rsidTr="00403787">
        <w:tc>
          <w:tcPr>
            <w:tcW w:w="2206" w:type="dxa"/>
            <w:tcBorders>
              <w:top w:val="single" w:sz="4" w:space="0" w:color="1B556B" w:themeColor="text2"/>
              <w:left w:val="nil"/>
              <w:bottom w:val="single" w:sz="4" w:space="0" w:color="1B556B" w:themeColor="text2"/>
              <w:right w:val="nil"/>
            </w:tcBorders>
            <w:shd w:val="clear" w:color="auto" w:fill="auto"/>
          </w:tcPr>
          <w:p w14:paraId="25FEECE6" w14:textId="77777777" w:rsidR="00590FE1" w:rsidRPr="001D5327" w:rsidRDefault="00590FE1" w:rsidP="00403787">
            <w:pPr>
              <w:pStyle w:val="TableText"/>
              <w:spacing w:before="40" w:after="40"/>
              <w:rPr>
                <w:rFonts w:cs="Calibri"/>
              </w:rPr>
            </w:pPr>
            <w:r w:rsidRPr="001D5327">
              <w:rPr>
                <w:rFonts w:cs="Calibri"/>
              </w:rPr>
              <w:t>Sheep dung</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3FD30C32"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54 (13)</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1E87AF6F"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36 (8)</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566203EC"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093D6355"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20 (4)</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13186B41" w14:textId="77777777" w:rsidR="00590FE1" w:rsidRPr="001D5327" w:rsidRDefault="00590FE1" w:rsidP="00403787">
            <w:pPr>
              <w:pStyle w:val="TableText"/>
              <w:spacing w:before="40" w:after="40"/>
              <w:jc w:val="right"/>
              <w:rPr>
                <w:rFonts w:asciiTheme="minorHAnsi" w:hAnsiTheme="minorHAnsi" w:cstheme="minorHAnsi"/>
              </w:rPr>
            </w:pPr>
            <w:r w:rsidRPr="001D5327">
              <w:rPr>
                <w:rFonts w:asciiTheme="minorHAnsi" w:hAnsiTheme="minorHAnsi" w:cstheme="minorHAnsi"/>
                <w:szCs w:val="16"/>
              </w:rPr>
              <w:t>130 (29)</w:t>
            </w:r>
          </w:p>
        </w:tc>
      </w:tr>
      <w:tr w:rsidR="00590FE1" w:rsidRPr="001D5327" w14:paraId="718C5676" w14:textId="77777777" w:rsidTr="00403787">
        <w:tc>
          <w:tcPr>
            <w:tcW w:w="2206" w:type="dxa"/>
            <w:tcBorders>
              <w:top w:val="single" w:sz="4" w:space="0" w:color="1B556B" w:themeColor="text2"/>
              <w:left w:val="nil"/>
              <w:bottom w:val="single" w:sz="4" w:space="0" w:color="1B556B" w:themeColor="text2"/>
              <w:right w:val="nil"/>
            </w:tcBorders>
            <w:shd w:val="clear" w:color="auto" w:fill="auto"/>
          </w:tcPr>
          <w:p w14:paraId="227E64A4" w14:textId="77777777" w:rsidR="00590FE1" w:rsidRPr="001D5327" w:rsidRDefault="00590FE1" w:rsidP="00403787">
            <w:pPr>
              <w:pStyle w:val="Tableboldblue"/>
              <w:spacing w:before="40" w:after="40"/>
              <w:rPr>
                <w:rFonts w:cs="Calibri"/>
                <w:color w:val="1B556B"/>
              </w:rPr>
            </w:pPr>
            <w:r w:rsidRPr="001D5327">
              <w:rPr>
                <w:rFonts w:cs="Calibri"/>
                <w:color w:val="1B556B"/>
              </w:rPr>
              <w:t>Total urine</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65E7A2EB" w14:textId="77777777" w:rsidR="00590FE1" w:rsidRPr="001D5327" w:rsidRDefault="00590FE1" w:rsidP="00403787">
            <w:pPr>
              <w:pStyle w:val="Tableboldblue"/>
              <w:spacing w:before="40" w:after="40"/>
              <w:jc w:val="right"/>
              <w:rPr>
                <w:rFonts w:cs="Calibri"/>
                <w:color w:val="1B556B"/>
              </w:rPr>
            </w:pPr>
            <w:r w:rsidRPr="001D5327">
              <w:rPr>
                <w:rFonts w:cs="Calibri"/>
                <w:color w:val="1B556B"/>
              </w:rPr>
              <w:t>389 (65)</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02620C2F" w14:textId="77777777" w:rsidR="00590FE1" w:rsidRPr="001D5327" w:rsidRDefault="00590FE1" w:rsidP="00403787">
            <w:pPr>
              <w:pStyle w:val="Tableboldblue"/>
              <w:spacing w:before="40" w:after="40"/>
              <w:jc w:val="right"/>
              <w:rPr>
                <w:rFonts w:cs="Calibri"/>
                <w:color w:val="1B556B"/>
              </w:rPr>
            </w:pPr>
            <w:r w:rsidRPr="001D5327">
              <w:rPr>
                <w:rFonts w:cs="Calibri"/>
                <w:color w:val="1B556B"/>
              </w:rPr>
              <w:t>212 (42)</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067A0F64" w14:textId="77777777" w:rsidR="00590FE1" w:rsidRPr="001D5327" w:rsidRDefault="00590FE1" w:rsidP="00403787">
            <w:pPr>
              <w:pStyle w:val="Tableboldblue"/>
              <w:spacing w:before="40" w:after="40"/>
              <w:jc w:val="right"/>
              <w:rPr>
                <w:rFonts w:cs="Calibri"/>
                <w:color w:val="1B556B"/>
              </w:rPr>
            </w:pPr>
            <w:r w:rsidRPr="001D5327">
              <w:rPr>
                <w:rFonts w:cs="Calibri"/>
                <w:color w:val="1B556B"/>
              </w:rPr>
              <w:t>140 (28)</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13AD182B" w14:textId="77777777" w:rsidR="00590FE1" w:rsidRPr="001D5327" w:rsidRDefault="00590FE1" w:rsidP="00403787">
            <w:pPr>
              <w:pStyle w:val="Tableboldblue"/>
              <w:spacing w:before="40" w:after="40"/>
              <w:jc w:val="right"/>
              <w:rPr>
                <w:rFonts w:cs="Calibri"/>
                <w:color w:val="1B556B"/>
              </w:rPr>
            </w:pPr>
            <w:r w:rsidRPr="001D5327">
              <w:rPr>
                <w:rFonts w:cs="Calibri"/>
                <w:color w:val="1B556B"/>
              </w:rPr>
              <w:t>40 (8)</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7284F3DD" w14:textId="77777777" w:rsidR="00590FE1" w:rsidRPr="001D5327" w:rsidRDefault="00590FE1" w:rsidP="00403787">
            <w:pPr>
              <w:pStyle w:val="Tableboldblue"/>
              <w:spacing w:before="40" w:after="40"/>
              <w:jc w:val="right"/>
              <w:rPr>
                <w:rFonts w:cs="Calibri"/>
                <w:color w:val="1B556B"/>
              </w:rPr>
            </w:pPr>
            <w:r w:rsidRPr="001D5327">
              <w:rPr>
                <w:rFonts w:cs="Calibri"/>
                <w:color w:val="1B556B"/>
              </w:rPr>
              <w:t>781 (143)</w:t>
            </w:r>
          </w:p>
        </w:tc>
      </w:tr>
      <w:tr w:rsidR="00590FE1" w:rsidRPr="001D5327" w14:paraId="388A4775" w14:textId="77777777" w:rsidTr="00403787">
        <w:tc>
          <w:tcPr>
            <w:tcW w:w="2206" w:type="dxa"/>
            <w:tcBorders>
              <w:top w:val="single" w:sz="4" w:space="0" w:color="1B556B" w:themeColor="text2"/>
              <w:left w:val="nil"/>
              <w:bottom w:val="single" w:sz="4" w:space="0" w:color="1B556B" w:themeColor="text2"/>
              <w:right w:val="nil"/>
            </w:tcBorders>
            <w:shd w:val="clear" w:color="auto" w:fill="auto"/>
          </w:tcPr>
          <w:p w14:paraId="2FDDE820" w14:textId="77777777" w:rsidR="00590FE1" w:rsidRPr="001D5327" w:rsidRDefault="00590FE1" w:rsidP="00403787">
            <w:pPr>
              <w:pStyle w:val="Tableboldblue"/>
              <w:spacing w:before="40" w:after="40"/>
              <w:rPr>
                <w:rFonts w:cs="Calibri"/>
                <w:color w:val="1B556B"/>
              </w:rPr>
            </w:pPr>
            <w:r w:rsidRPr="001D5327">
              <w:rPr>
                <w:rFonts w:cs="Calibri"/>
                <w:color w:val="1B556B"/>
              </w:rPr>
              <w:t>Total dung</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6F1EE5D2" w14:textId="77777777" w:rsidR="00590FE1" w:rsidRPr="001D5327" w:rsidRDefault="00590FE1" w:rsidP="00403787">
            <w:pPr>
              <w:pStyle w:val="Tableboldblue"/>
              <w:spacing w:before="40" w:after="40"/>
              <w:jc w:val="right"/>
              <w:rPr>
                <w:rFonts w:cs="Calibri"/>
                <w:color w:val="1B556B"/>
              </w:rPr>
            </w:pPr>
            <w:r w:rsidRPr="001D5327">
              <w:rPr>
                <w:rFonts w:cs="Calibri"/>
                <w:color w:val="1B556B"/>
              </w:rPr>
              <w:t>138 (32)</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0F638D19" w14:textId="77777777" w:rsidR="00590FE1" w:rsidRPr="001D5327" w:rsidRDefault="00590FE1" w:rsidP="00403787">
            <w:pPr>
              <w:pStyle w:val="Tableboldblue"/>
              <w:spacing w:before="40" w:after="40"/>
              <w:jc w:val="right"/>
              <w:rPr>
                <w:rFonts w:cs="Calibri"/>
                <w:color w:val="1B556B"/>
              </w:rPr>
            </w:pPr>
            <w:r w:rsidRPr="001D5327">
              <w:rPr>
                <w:rFonts w:cs="Calibri"/>
                <w:color w:val="1B556B"/>
              </w:rPr>
              <w:t>158 (33)</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7928A975" w14:textId="77777777" w:rsidR="00590FE1" w:rsidRPr="001D5327" w:rsidRDefault="00590FE1" w:rsidP="00403787">
            <w:pPr>
              <w:pStyle w:val="Tableboldblue"/>
              <w:spacing w:before="40" w:after="40"/>
              <w:jc w:val="right"/>
              <w:rPr>
                <w:rFonts w:cs="Calibri"/>
                <w:color w:val="1B556B"/>
              </w:rPr>
            </w:pPr>
            <w:r w:rsidRPr="001D5327">
              <w:rPr>
                <w:rFonts w:cs="Calibri"/>
                <w:color w:val="1B556B"/>
              </w:rPr>
              <w:t>100 (20)</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27F9E23E" w14:textId="77777777" w:rsidR="00590FE1" w:rsidRPr="001D5327" w:rsidRDefault="00590FE1" w:rsidP="00403787">
            <w:pPr>
              <w:pStyle w:val="Tableboldblue"/>
              <w:spacing w:before="40" w:after="40"/>
              <w:jc w:val="right"/>
              <w:rPr>
                <w:rFonts w:cs="Calibri"/>
                <w:color w:val="1B556B"/>
              </w:rPr>
            </w:pPr>
            <w:r w:rsidRPr="001D5327">
              <w:rPr>
                <w:rFonts w:cs="Calibri"/>
                <w:color w:val="1B556B"/>
              </w:rPr>
              <w:t>40 (8)</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38693E5D" w14:textId="77777777" w:rsidR="00590FE1" w:rsidRPr="001D5327" w:rsidRDefault="00590FE1" w:rsidP="00403787">
            <w:pPr>
              <w:pStyle w:val="Tableboldblue"/>
              <w:spacing w:before="40" w:after="40"/>
              <w:jc w:val="right"/>
              <w:rPr>
                <w:rFonts w:cs="Calibri"/>
                <w:color w:val="1B556B"/>
              </w:rPr>
            </w:pPr>
            <w:r w:rsidRPr="001D5327">
              <w:rPr>
                <w:rFonts w:cs="Calibri"/>
                <w:color w:val="1B556B"/>
              </w:rPr>
              <w:t>436 (93)</w:t>
            </w:r>
          </w:p>
        </w:tc>
      </w:tr>
      <w:tr w:rsidR="00590FE1" w:rsidRPr="001D5327" w14:paraId="297AC51E" w14:textId="77777777" w:rsidTr="00403787">
        <w:tc>
          <w:tcPr>
            <w:tcW w:w="2206" w:type="dxa"/>
            <w:tcBorders>
              <w:top w:val="single" w:sz="4" w:space="0" w:color="1B556B" w:themeColor="text2"/>
              <w:left w:val="nil"/>
              <w:bottom w:val="single" w:sz="4" w:space="0" w:color="1B556B" w:themeColor="text2"/>
              <w:right w:val="nil"/>
            </w:tcBorders>
            <w:shd w:val="clear" w:color="auto" w:fill="auto"/>
          </w:tcPr>
          <w:p w14:paraId="2BE42CE5" w14:textId="77777777" w:rsidR="00590FE1" w:rsidRPr="001D5327" w:rsidRDefault="00590FE1" w:rsidP="00403787">
            <w:pPr>
              <w:pStyle w:val="Tableboldblue"/>
              <w:spacing w:before="40" w:after="40"/>
              <w:rPr>
                <w:rFonts w:cs="Calibri"/>
                <w:color w:val="1B556B"/>
              </w:rPr>
            </w:pPr>
            <w:r w:rsidRPr="001D5327">
              <w:rPr>
                <w:rFonts w:cs="Calibri"/>
                <w:color w:val="1B556B"/>
              </w:rPr>
              <w:t>Total excreta</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6B9B1B6A" w14:textId="77777777" w:rsidR="00590FE1" w:rsidRPr="001D5327" w:rsidRDefault="00590FE1" w:rsidP="00403787">
            <w:pPr>
              <w:pStyle w:val="Tableboldblue"/>
              <w:spacing w:before="40" w:after="40"/>
              <w:jc w:val="right"/>
              <w:rPr>
                <w:rFonts w:cs="Calibri"/>
                <w:color w:val="1B556B"/>
              </w:rPr>
            </w:pPr>
            <w:r w:rsidRPr="001D5327">
              <w:rPr>
                <w:rFonts w:cs="Calibri"/>
                <w:color w:val="1B556B"/>
              </w:rPr>
              <w:t>527 (97)</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3877A3A0" w14:textId="77777777" w:rsidR="00590FE1" w:rsidRPr="001D5327" w:rsidRDefault="00590FE1" w:rsidP="00403787">
            <w:pPr>
              <w:pStyle w:val="Tableboldblue"/>
              <w:spacing w:before="40" w:after="40"/>
              <w:jc w:val="right"/>
              <w:rPr>
                <w:rFonts w:cs="Calibri"/>
                <w:color w:val="1B556B"/>
              </w:rPr>
            </w:pPr>
            <w:r w:rsidRPr="001D5327">
              <w:rPr>
                <w:rFonts w:cs="Calibri"/>
                <w:color w:val="1B556B"/>
              </w:rPr>
              <w:t>370 (75)</w:t>
            </w:r>
          </w:p>
        </w:tc>
        <w:tc>
          <w:tcPr>
            <w:tcW w:w="1303" w:type="dxa"/>
            <w:tcBorders>
              <w:top w:val="single" w:sz="4" w:space="0" w:color="1B556B" w:themeColor="text2"/>
              <w:left w:val="nil"/>
              <w:bottom w:val="single" w:sz="4" w:space="0" w:color="1B556B" w:themeColor="text2"/>
              <w:right w:val="nil"/>
            </w:tcBorders>
            <w:shd w:val="clear" w:color="auto" w:fill="auto"/>
            <w:vAlign w:val="center"/>
          </w:tcPr>
          <w:p w14:paraId="60CCFD2D" w14:textId="77777777" w:rsidR="00590FE1" w:rsidRPr="001D5327" w:rsidRDefault="00590FE1" w:rsidP="00403787">
            <w:pPr>
              <w:pStyle w:val="Tableboldblue"/>
              <w:spacing w:before="40" w:after="40"/>
              <w:jc w:val="right"/>
              <w:rPr>
                <w:rFonts w:cs="Calibri"/>
                <w:color w:val="1B556B"/>
              </w:rPr>
            </w:pPr>
            <w:r w:rsidRPr="001D5327">
              <w:rPr>
                <w:rFonts w:cs="Calibri"/>
                <w:color w:val="1B556B"/>
              </w:rPr>
              <w:t>240 (48)</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33198F33" w14:textId="77777777" w:rsidR="00590FE1" w:rsidRPr="001D5327" w:rsidRDefault="00590FE1" w:rsidP="00403787">
            <w:pPr>
              <w:pStyle w:val="Tableboldblue"/>
              <w:spacing w:before="40" w:after="40"/>
              <w:jc w:val="right"/>
              <w:rPr>
                <w:rFonts w:cs="Calibri"/>
                <w:color w:val="1B556B"/>
              </w:rPr>
            </w:pPr>
            <w:r w:rsidRPr="001D5327">
              <w:rPr>
                <w:rFonts w:cs="Calibri"/>
                <w:color w:val="1B556B"/>
              </w:rPr>
              <w:t>80 (16)</w:t>
            </w:r>
          </w:p>
        </w:tc>
        <w:tc>
          <w:tcPr>
            <w:tcW w:w="1249" w:type="dxa"/>
            <w:tcBorders>
              <w:top w:val="single" w:sz="4" w:space="0" w:color="1B556B" w:themeColor="text2"/>
              <w:left w:val="nil"/>
              <w:bottom w:val="single" w:sz="4" w:space="0" w:color="1B556B" w:themeColor="text2"/>
              <w:right w:val="nil"/>
            </w:tcBorders>
            <w:shd w:val="clear" w:color="auto" w:fill="auto"/>
            <w:vAlign w:val="center"/>
          </w:tcPr>
          <w:p w14:paraId="769767EC" w14:textId="77777777" w:rsidR="00590FE1" w:rsidRPr="001D5327" w:rsidRDefault="00590FE1" w:rsidP="00403787">
            <w:pPr>
              <w:pStyle w:val="Tableboldblue"/>
              <w:spacing w:before="40" w:after="40"/>
              <w:jc w:val="right"/>
              <w:rPr>
                <w:rFonts w:cs="Calibri"/>
                <w:color w:val="1B556B"/>
              </w:rPr>
            </w:pPr>
            <w:r w:rsidRPr="001D5327">
              <w:rPr>
                <w:rFonts w:cs="Calibri"/>
                <w:color w:val="1B556B"/>
              </w:rPr>
              <w:t>1,217 (236)</w:t>
            </w:r>
          </w:p>
        </w:tc>
      </w:tr>
    </w:tbl>
    <w:p w14:paraId="65E8D774" w14:textId="77777777" w:rsidR="00590FE1" w:rsidRPr="001D5327" w:rsidRDefault="00590FE1" w:rsidP="00590FE1">
      <w:pPr>
        <w:pStyle w:val="Table"/>
        <w:spacing w:before="240"/>
        <w:rPr>
          <w:rFonts w:cs="Calibri"/>
        </w:rPr>
      </w:pPr>
      <w:bookmarkStart w:id="1205" w:name="_Toc32570933"/>
      <w:bookmarkStart w:id="1206" w:name="_Toc36224568"/>
      <w:bookmarkStart w:id="1207" w:name="_Toc68786453"/>
      <w:bookmarkStart w:id="1208" w:name="_Toc95574086"/>
      <w:bookmarkStart w:id="1209" w:name="_Toc127458273"/>
      <w:bookmarkStart w:id="1210" w:name="_Toc131591369"/>
      <w:bookmarkStart w:id="1211" w:name="_Toc160114463"/>
      <w:bookmarkStart w:id="1212" w:name="_Toc164153859"/>
      <w:bookmarkStart w:id="1213" w:name="_Toc194241731"/>
      <w:r w:rsidRPr="001D5327">
        <w:rPr>
          <w:rFonts w:cs="Calibri"/>
        </w:rPr>
        <w:lastRenderedPageBreak/>
        <w:t>Table 5.5.7</w:t>
      </w:r>
      <w:r w:rsidRPr="001D5327">
        <w:rPr>
          <w:rFonts w:cs="Calibri"/>
        </w:rPr>
        <w:tab/>
        <w:t>Number of replicate-level EF</w:t>
      </w:r>
      <w:r w:rsidRPr="001D5327">
        <w:rPr>
          <w:rFonts w:cs="Calibri"/>
          <w:vertAlign w:val="subscript"/>
        </w:rPr>
        <w:t>3</w:t>
      </w:r>
      <w:r w:rsidRPr="001D5327">
        <w:rPr>
          <w:rFonts w:cs="Calibri"/>
        </w:rPr>
        <w:t xml:space="preserve"> values collated by the van der Weerden et al. (2019, 2020) analysis, for each nitrogen source, season that trial was undertaken and topography</w:t>
      </w:r>
      <w:bookmarkEnd w:id="1205"/>
      <w:bookmarkEnd w:id="1206"/>
      <w:bookmarkEnd w:id="1207"/>
      <w:bookmarkEnd w:id="1208"/>
      <w:bookmarkEnd w:id="1209"/>
      <w:bookmarkEnd w:id="1210"/>
      <w:bookmarkEnd w:id="1211"/>
      <w:bookmarkEnd w:id="1212"/>
      <w:bookmarkEnd w:id="1213"/>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6"/>
        <w:gridCol w:w="1889"/>
        <w:gridCol w:w="886"/>
        <w:gridCol w:w="886"/>
        <w:gridCol w:w="886"/>
        <w:gridCol w:w="886"/>
        <w:gridCol w:w="886"/>
      </w:tblGrid>
      <w:tr w:rsidR="00590FE1" w:rsidRPr="001D5327" w14:paraId="77E7359D" w14:textId="77777777" w:rsidTr="00403787">
        <w:trPr>
          <w:tblHeader/>
        </w:trPr>
        <w:tc>
          <w:tcPr>
            <w:tcW w:w="2098" w:type="dxa"/>
            <w:tcBorders>
              <w:top w:val="single" w:sz="4" w:space="0" w:color="1B556B" w:themeColor="text2"/>
              <w:left w:val="nil"/>
              <w:bottom w:val="single" w:sz="4" w:space="0" w:color="1B556B" w:themeColor="text2"/>
              <w:right w:val="nil"/>
            </w:tcBorders>
            <w:shd w:val="clear" w:color="auto" w:fill="1B556B"/>
            <w:vAlign w:val="bottom"/>
          </w:tcPr>
          <w:p w14:paraId="309E68E4" w14:textId="77777777" w:rsidR="00590FE1" w:rsidRPr="001D5327" w:rsidRDefault="00590FE1" w:rsidP="00403787">
            <w:pPr>
              <w:pStyle w:val="TableTextBold"/>
              <w:keepNext/>
              <w:spacing w:before="40" w:after="40"/>
              <w:rPr>
                <w:noProof w:val="0"/>
                <w:color w:val="FFFFFF" w:themeColor="background1"/>
                <w:szCs w:val="16"/>
              </w:rPr>
            </w:pPr>
            <w:r w:rsidRPr="001D5327">
              <w:rPr>
                <w:noProof w:val="0"/>
                <w:color w:val="FFFFFF" w:themeColor="background1"/>
                <w:szCs w:val="16"/>
              </w:rPr>
              <w:t>Nitrogen source</w:t>
            </w:r>
          </w:p>
        </w:tc>
        <w:tc>
          <w:tcPr>
            <w:tcW w:w="1814" w:type="dxa"/>
            <w:tcBorders>
              <w:top w:val="single" w:sz="4" w:space="0" w:color="1B556B" w:themeColor="text2"/>
              <w:left w:val="nil"/>
              <w:bottom w:val="single" w:sz="4" w:space="0" w:color="1B556B" w:themeColor="text2"/>
              <w:right w:val="nil"/>
            </w:tcBorders>
            <w:shd w:val="clear" w:color="auto" w:fill="1B556B"/>
            <w:vAlign w:val="bottom"/>
          </w:tcPr>
          <w:p w14:paraId="482AADF2" w14:textId="77777777" w:rsidR="00590FE1" w:rsidRPr="001D5327" w:rsidRDefault="00590FE1" w:rsidP="00403787">
            <w:pPr>
              <w:pStyle w:val="TableTextBold"/>
              <w:keepNext/>
              <w:spacing w:before="40" w:after="40"/>
              <w:rPr>
                <w:noProof w:val="0"/>
                <w:color w:val="FFFFFF" w:themeColor="background1"/>
                <w:szCs w:val="16"/>
              </w:rPr>
            </w:pPr>
            <w:r w:rsidRPr="001D5327">
              <w:rPr>
                <w:noProof w:val="0"/>
                <w:color w:val="FFFFFF" w:themeColor="background1"/>
                <w:szCs w:val="16"/>
              </w:rPr>
              <w:t>Topography class</w:t>
            </w:r>
          </w:p>
        </w:tc>
        <w:tc>
          <w:tcPr>
            <w:tcW w:w="851" w:type="dxa"/>
            <w:tcBorders>
              <w:top w:val="single" w:sz="4" w:space="0" w:color="1B556B" w:themeColor="text2"/>
              <w:left w:val="nil"/>
              <w:bottom w:val="single" w:sz="4" w:space="0" w:color="1B556B" w:themeColor="text2"/>
              <w:right w:val="nil"/>
            </w:tcBorders>
            <w:shd w:val="clear" w:color="auto" w:fill="1B556B"/>
          </w:tcPr>
          <w:p w14:paraId="286002D1"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Autumn</w:t>
            </w:r>
          </w:p>
        </w:tc>
        <w:tc>
          <w:tcPr>
            <w:tcW w:w="851" w:type="dxa"/>
            <w:tcBorders>
              <w:top w:val="single" w:sz="4" w:space="0" w:color="1B556B" w:themeColor="text2"/>
              <w:left w:val="nil"/>
              <w:bottom w:val="single" w:sz="4" w:space="0" w:color="1B556B" w:themeColor="text2"/>
              <w:right w:val="nil"/>
            </w:tcBorders>
            <w:shd w:val="clear" w:color="auto" w:fill="1B556B"/>
          </w:tcPr>
          <w:p w14:paraId="0658E6F8"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Winter</w:t>
            </w:r>
          </w:p>
        </w:tc>
        <w:tc>
          <w:tcPr>
            <w:tcW w:w="851" w:type="dxa"/>
            <w:tcBorders>
              <w:top w:val="single" w:sz="4" w:space="0" w:color="1B556B" w:themeColor="text2"/>
              <w:left w:val="nil"/>
              <w:bottom w:val="single" w:sz="4" w:space="0" w:color="1B556B" w:themeColor="text2"/>
              <w:right w:val="nil"/>
            </w:tcBorders>
            <w:shd w:val="clear" w:color="auto" w:fill="1B556B"/>
          </w:tcPr>
          <w:p w14:paraId="1BA15FCF"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Spring</w:t>
            </w:r>
          </w:p>
        </w:tc>
        <w:tc>
          <w:tcPr>
            <w:tcW w:w="851" w:type="dxa"/>
            <w:tcBorders>
              <w:top w:val="single" w:sz="4" w:space="0" w:color="1B556B" w:themeColor="text2"/>
              <w:left w:val="nil"/>
              <w:bottom w:val="single" w:sz="4" w:space="0" w:color="1B556B" w:themeColor="text2"/>
              <w:right w:val="nil"/>
            </w:tcBorders>
            <w:shd w:val="clear" w:color="auto" w:fill="1B556B"/>
          </w:tcPr>
          <w:p w14:paraId="18E54605"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Summer</w:t>
            </w:r>
          </w:p>
        </w:tc>
        <w:tc>
          <w:tcPr>
            <w:tcW w:w="851" w:type="dxa"/>
            <w:tcBorders>
              <w:top w:val="single" w:sz="4" w:space="0" w:color="1B556B" w:themeColor="text2"/>
              <w:left w:val="nil"/>
              <w:bottom w:val="single" w:sz="4" w:space="0" w:color="1B556B" w:themeColor="text2"/>
              <w:right w:val="nil"/>
            </w:tcBorders>
            <w:shd w:val="clear" w:color="auto" w:fill="1B556B"/>
          </w:tcPr>
          <w:p w14:paraId="2EBBDBAD"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Total</w:t>
            </w:r>
          </w:p>
        </w:tc>
      </w:tr>
      <w:tr w:rsidR="00590FE1" w:rsidRPr="001D5327" w14:paraId="128A23C0"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7C00C9F5" w14:textId="77777777" w:rsidR="00590FE1" w:rsidRPr="001D5327" w:rsidRDefault="00590FE1" w:rsidP="00403787">
            <w:pPr>
              <w:pStyle w:val="TableText"/>
              <w:keepNext/>
              <w:spacing w:before="40" w:after="40"/>
              <w:rPr>
                <w:rFonts w:cs="Calibri"/>
                <w:szCs w:val="16"/>
              </w:rPr>
            </w:pPr>
            <w:r w:rsidRPr="001D5327">
              <w:rPr>
                <w:rFonts w:cs="Calibri"/>
                <w:szCs w:val="16"/>
              </w:rPr>
              <w:t>Dairy cattle urine</w:t>
            </w:r>
          </w:p>
        </w:tc>
        <w:tc>
          <w:tcPr>
            <w:tcW w:w="1814" w:type="dxa"/>
            <w:tcBorders>
              <w:top w:val="single" w:sz="4" w:space="0" w:color="1B556B" w:themeColor="text2"/>
              <w:left w:val="nil"/>
              <w:bottom w:val="single" w:sz="4" w:space="0" w:color="1B556B" w:themeColor="text2"/>
              <w:right w:val="nil"/>
            </w:tcBorders>
          </w:tcPr>
          <w:p w14:paraId="4550BB02" w14:textId="77777777" w:rsidR="00590FE1" w:rsidRPr="001D5327" w:rsidRDefault="00590FE1" w:rsidP="00403787">
            <w:pPr>
              <w:pStyle w:val="TableText"/>
              <w:keepNext/>
              <w:spacing w:before="40" w:after="40"/>
              <w:rPr>
                <w:rFonts w:cs="Calibri"/>
                <w:szCs w:val="16"/>
              </w:rPr>
            </w:pPr>
            <w:r w:rsidRPr="001D5327">
              <w:rPr>
                <w:rFonts w:cs="Calibri"/>
                <w:szCs w:val="16"/>
              </w:rPr>
              <w:t>Flatland (0</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45231112" w14:textId="77777777" w:rsidR="00590FE1" w:rsidRPr="001D5327" w:rsidRDefault="00590FE1" w:rsidP="00403787">
            <w:pPr>
              <w:pStyle w:val="TableText"/>
              <w:keepNext/>
              <w:spacing w:before="40" w:after="40"/>
              <w:jc w:val="right"/>
              <w:rPr>
                <w:rFonts w:cs="Calibri"/>
                <w:szCs w:val="16"/>
              </w:rPr>
            </w:pPr>
            <w:r w:rsidRPr="001D5327">
              <w:rPr>
                <w:rFonts w:cs="Calibri"/>
                <w:szCs w:val="16"/>
              </w:rPr>
              <w:t>128</w:t>
            </w:r>
          </w:p>
        </w:tc>
        <w:tc>
          <w:tcPr>
            <w:tcW w:w="851" w:type="dxa"/>
            <w:tcBorders>
              <w:top w:val="single" w:sz="4" w:space="0" w:color="1B556B" w:themeColor="text2"/>
              <w:left w:val="nil"/>
              <w:bottom w:val="single" w:sz="4" w:space="0" w:color="1B556B" w:themeColor="text2"/>
              <w:right w:val="nil"/>
            </w:tcBorders>
            <w:shd w:val="clear" w:color="auto" w:fill="auto"/>
          </w:tcPr>
          <w:p w14:paraId="6D52B51B" w14:textId="77777777" w:rsidR="00590FE1" w:rsidRPr="001D5327" w:rsidRDefault="00590FE1" w:rsidP="00403787">
            <w:pPr>
              <w:pStyle w:val="TableText"/>
              <w:keepNext/>
              <w:spacing w:before="40" w:after="40"/>
              <w:jc w:val="right"/>
              <w:rPr>
                <w:rFonts w:cs="Calibri"/>
                <w:szCs w:val="16"/>
              </w:rPr>
            </w:pPr>
            <w:r w:rsidRPr="001D5327">
              <w:rPr>
                <w:rFonts w:cs="Calibri"/>
                <w:szCs w:val="16"/>
              </w:rPr>
              <w:t>105</w:t>
            </w:r>
          </w:p>
        </w:tc>
        <w:tc>
          <w:tcPr>
            <w:tcW w:w="851" w:type="dxa"/>
            <w:tcBorders>
              <w:top w:val="single" w:sz="4" w:space="0" w:color="1B556B" w:themeColor="text2"/>
              <w:left w:val="nil"/>
              <w:bottom w:val="single" w:sz="4" w:space="0" w:color="1B556B" w:themeColor="text2"/>
              <w:right w:val="nil"/>
            </w:tcBorders>
            <w:shd w:val="clear" w:color="auto" w:fill="auto"/>
          </w:tcPr>
          <w:p w14:paraId="18FAB749" w14:textId="77777777" w:rsidR="00590FE1" w:rsidRPr="001D5327" w:rsidRDefault="00590FE1" w:rsidP="00403787">
            <w:pPr>
              <w:pStyle w:val="TableText"/>
              <w:keepNext/>
              <w:spacing w:before="40" w:after="40"/>
              <w:jc w:val="right"/>
              <w:rPr>
                <w:rFonts w:cs="Calibri"/>
                <w:szCs w:val="16"/>
              </w:rPr>
            </w:pPr>
            <w:r w:rsidRPr="001D5327">
              <w:rPr>
                <w:rFonts w:cs="Calibri"/>
                <w:szCs w:val="16"/>
              </w:rPr>
              <w:t>88</w:t>
            </w:r>
          </w:p>
        </w:tc>
        <w:tc>
          <w:tcPr>
            <w:tcW w:w="851" w:type="dxa"/>
            <w:tcBorders>
              <w:top w:val="single" w:sz="4" w:space="0" w:color="1B556B" w:themeColor="text2"/>
              <w:left w:val="nil"/>
              <w:bottom w:val="single" w:sz="4" w:space="0" w:color="1B556B" w:themeColor="text2"/>
              <w:right w:val="nil"/>
            </w:tcBorders>
            <w:shd w:val="clear" w:color="auto" w:fill="auto"/>
          </w:tcPr>
          <w:p w14:paraId="65562357" w14:textId="77777777" w:rsidR="00590FE1" w:rsidRPr="001D5327" w:rsidRDefault="00590FE1" w:rsidP="00403787">
            <w:pPr>
              <w:pStyle w:val="TableText"/>
              <w:keepNext/>
              <w:spacing w:before="40" w:after="40"/>
              <w:jc w:val="right"/>
              <w:rPr>
                <w:rFonts w:cs="Calibri"/>
                <w:szCs w:val="16"/>
              </w:rPr>
            </w:pPr>
            <w:r w:rsidRPr="001D5327">
              <w:rPr>
                <w:rFonts w:cs="Calibri"/>
                <w:szCs w:val="16"/>
              </w:rPr>
              <w:t>12</w:t>
            </w:r>
          </w:p>
        </w:tc>
        <w:tc>
          <w:tcPr>
            <w:tcW w:w="851" w:type="dxa"/>
            <w:tcBorders>
              <w:top w:val="single" w:sz="4" w:space="0" w:color="1B556B" w:themeColor="text2"/>
              <w:left w:val="nil"/>
              <w:bottom w:val="single" w:sz="4" w:space="0" w:color="1B556B" w:themeColor="text2"/>
              <w:right w:val="nil"/>
            </w:tcBorders>
            <w:shd w:val="clear" w:color="auto" w:fill="auto"/>
          </w:tcPr>
          <w:p w14:paraId="3496A6CF" w14:textId="77777777" w:rsidR="00590FE1" w:rsidRPr="001D5327" w:rsidRDefault="00590FE1" w:rsidP="00403787">
            <w:pPr>
              <w:pStyle w:val="TableText"/>
              <w:keepNext/>
              <w:spacing w:before="40" w:after="40"/>
              <w:jc w:val="right"/>
              <w:rPr>
                <w:rFonts w:cs="Calibri"/>
                <w:szCs w:val="16"/>
              </w:rPr>
            </w:pPr>
            <w:r w:rsidRPr="001D5327">
              <w:rPr>
                <w:rFonts w:cs="Calibri"/>
                <w:szCs w:val="16"/>
              </w:rPr>
              <w:t>333</w:t>
            </w:r>
          </w:p>
        </w:tc>
      </w:tr>
      <w:tr w:rsidR="00590FE1" w:rsidRPr="001D5327" w14:paraId="3E6C38C9"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588A3A57" w14:textId="77777777" w:rsidR="00590FE1" w:rsidRPr="001D5327" w:rsidRDefault="00590FE1" w:rsidP="00403787">
            <w:pPr>
              <w:pStyle w:val="TableText"/>
              <w:keepN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49ED0148" w14:textId="77777777" w:rsidR="00590FE1" w:rsidRPr="001D5327" w:rsidRDefault="00590FE1" w:rsidP="00403787">
            <w:pPr>
              <w:pStyle w:val="TableText"/>
              <w:keepNext/>
              <w:spacing w:before="40" w:after="40"/>
              <w:rPr>
                <w:rFonts w:cs="Calibri"/>
                <w:szCs w:val="16"/>
              </w:rPr>
            </w:pPr>
            <w:r w:rsidRPr="001D5327">
              <w:rPr>
                <w:rFonts w:cs="Calibri"/>
                <w:szCs w:val="16"/>
              </w:rPr>
              <w:t>Low slope (0–12</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245713A8" w14:textId="77777777" w:rsidR="00590FE1" w:rsidRPr="001D5327" w:rsidRDefault="00590FE1" w:rsidP="00403787">
            <w:pPr>
              <w:pStyle w:val="TableText"/>
              <w:keepNext/>
              <w:spacing w:before="40" w:after="40"/>
              <w:jc w:val="right"/>
              <w:rPr>
                <w:rFonts w:cs="Calibri"/>
                <w:szCs w:val="16"/>
              </w:rPr>
            </w:pPr>
            <w:r w:rsidRPr="001D5327">
              <w:rPr>
                <w:rFonts w:cs="Calibri"/>
                <w:szCs w:val="16"/>
              </w:rPr>
              <w:t>34</w:t>
            </w:r>
          </w:p>
        </w:tc>
        <w:tc>
          <w:tcPr>
            <w:tcW w:w="851" w:type="dxa"/>
            <w:tcBorders>
              <w:top w:val="single" w:sz="4" w:space="0" w:color="1B556B" w:themeColor="text2"/>
              <w:left w:val="nil"/>
              <w:bottom w:val="single" w:sz="4" w:space="0" w:color="1B556B" w:themeColor="text2"/>
              <w:right w:val="nil"/>
            </w:tcBorders>
            <w:shd w:val="clear" w:color="auto" w:fill="auto"/>
          </w:tcPr>
          <w:p w14:paraId="3B99C81B" w14:textId="77777777" w:rsidR="00590FE1" w:rsidRPr="001D5327" w:rsidRDefault="00590FE1" w:rsidP="00403787">
            <w:pPr>
              <w:pStyle w:val="TableText"/>
              <w:keepNext/>
              <w:spacing w:before="40" w:after="40"/>
              <w:jc w:val="right"/>
              <w:rPr>
                <w:rFonts w:cs="Calibri"/>
                <w:szCs w:val="16"/>
              </w:rPr>
            </w:pPr>
            <w:r w:rsidRPr="001D5327">
              <w:rPr>
                <w:rFonts w:cs="Calibri"/>
                <w:szCs w:val="16"/>
              </w:rPr>
              <w:t>34</w:t>
            </w:r>
          </w:p>
        </w:tc>
        <w:tc>
          <w:tcPr>
            <w:tcW w:w="851" w:type="dxa"/>
            <w:tcBorders>
              <w:top w:val="single" w:sz="4" w:space="0" w:color="1B556B" w:themeColor="text2"/>
              <w:left w:val="nil"/>
              <w:bottom w:val="single" w:sz="4" w:space="0" w:color="1B556B" w:themeColor="text2"/>
              <w:right w:val="nil"/>
            </w:tcBorders>
            <w:shd w:val="clear" w:color="auto" w:fill="auto"/>
          </w:tcPr>
          <w:p w14:paraId="159E96DE" w14:textId="77777777" w:rsidR="00590FE1" w:rsidRPr="001D5327" w:rsidRDefault="00590FE1" w:rsidP="00403787">
            <w:pPr>
              <w:pStyle w:val="TableText"/>
              <w:keepNext/>
              <w:spacing w:before="40" w:after="40"/>
              <w:jc w:val="right"/>
              <w:rPr>
                <w:rFonts w:cs="Calibri"/>
                <w:szCs w:val="16"/>
              </w:rPr>
            </w:pPr>
            <w:r w:rsidRPr="001D5327">
              <w:rPr>
                <w:rFonts w:cs="Calibri"/>
                <w:szCs w:val="16"/>
              </w:rPr>
              <w:t>28</w:t>
            </w:r>
          </w:p>
        </w:tc>
        <w:tc>
          <w:tcPr>
            <w:tcW w:w="851" w:type="dxa"/>
            <w:tcBorders>
              <w:top w:val="single" w:sz="4" w:space="0" w:color="1B556B" w:themeColor="text2"/>
              <w:left w:val="nil"/>
              <w:bottom w:val="single" w:sz="4" w:space="0" w:color="1B556B" w:themeColor="text2"/>
              <w:right w:val="nil"/>
            </w:tcBorders>
            <w:shd w:val="clear" w:color="auto" w:fill="auto"/>
          </w:tcPr>
          <w:p w14:paraId="000E7B13" w14:textId="77777777" w:rsidR="00590FE1" w:rsidRPr="001D5327" w:rsidRDefault="00590FE1" w:rsidP="00403787">
            <w:pPr>
              <w:pStyle w:val="TableText"/>
              <w:keepNext/>
              <w:spacing w:before="40" w:after="40"/>
              <w:jc w:val="right"/>
              <w:rPr>
                <w:rFonts w:cs="Calibri"/>
                <w:szCs w:val="16"/>
              </w:rPr>
            </w:pPr>
            <w:r w:rsidRPr="001D5327">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469432C3" w14:textId="77777777" w:rsidR="00590FE1" w:rsidRPr="001D5327" w:rsidRDefault="00590FE1" w:rsidP="00403787">
            <w:pPr>
              <w:pStyle w:val="TableText"/>
              <w:keepNext/>
              <w:spacing w:before="40" w:after="40"/>
              <w:jc w:val="right"/>
              <w:rPr>
                <w:rFonts w:cs="Calibri"/>
                <w:szCs w:val="16"/>
              </w:rPr>
            </w:pPr>
            <w:r w:rsidRPr="001D5327">
              <w:rPr>
                <w:rFonts w:cs="Calibri"/>
                <w:szCs w:val="16"/>
              </w:rPr>
              <w:t>116</w:t>
            </w:r>
          </w:p>
        </w:tc>
      </w:tr>
      <w:tr w:rsidR="00590FE1" w:rsidRPr="001D5327" w14:paraId="18140060"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58CB453E" w14:textId="77777777" w:rsidR="00590FE1" w:rsidRPr="001D5327" w:rsidRDefault="00590FE1" w:rsidP="00403787">
            <w:pPr>
              <w:pStyle w:val="TableText"/>
              <w:keepN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092C4DA5" w14:textId="77777777" w:rsidR="00590FE1" w:rsidRPr="001D5327" w:rsidRDefault="00590FE1" w:rsidP="00403787">
            <w:pPr>
              <w:pStyle w:val="TableText"/>
              <w:keepNext/>
              <w:spacing w:before="40" w:after="40"/>
              <w:rPr>
                <w:rFonts w:cs="Calibri"/>
                <w:szCs w:val="16"/>
              </w:rPr>
            </w:pPr>
            <w:r w:rsidRPr="001D5327">
              <w:rPr>
                <w:rFonts w:cs="Calibri"/>
                <w:szCs w:val="16"/>
              </w:rPr>
              <w:t>Medium slope (12–24</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03AB588F" w14:textId="77777777" w:rsidR="00590FE1" w:rsidRPr="001D5327" w:rsidRDefault="00590FE1" w:rsidP="00403787">
            <w:pPr>
              <w:pStyle w:val="TableText"/>
              <w:keepN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F712077" w14:textId="77777777" w:rsidR="00590FE1" w:rsidRPr="001D5327" w:rsidRDefault="00590FE1" w:rsidP="00403787">
            <w:pPr>
              <w:pStyle w:val="TableText"/>
              <w:keepNext/>
              <w:spacing w:before="40" w:after="40"/>
              <w:jc w:val="right"/>
              <w:rPr>
                <w:rFonts w:cs="Calibri"/>
                <w:szCs w:val="16"/>
              </w:rPr>
            </w:pPr>
            <w:r w:rsidRPr="001D5327">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11F7701E" w14:textId="77777777" w:rsidR="00590FE1" w:rsidRPr="001D5327" w:rsidRDefault="00590FE1" w:rsidP="00403787">
            <w:pPr>
              <w:pStyle w:val="TableText"/>
              <w:keepN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C94DE2D" w14:textId="77777777" w:rsidR="00590FE1" w:rsidRPr="001D5327" w:rsidRDefault="00590FE1" w:rsidP="00403787">
            <w:pPr>
              <w:pStyle w:val="TableText"/>
              <w:keepN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61C55CA" w14:textId="77777777" w:rsidR="00590FE1" w:rsidRPr="001D5327" w:rsidRDefault="00590FE1" w:rsidP="00403787">
            <w:pPr>
              <w:pStyle w:val="TableText"/>
              <w:keepNext/>
              <w:spacing w:before="40" w:after="40"/>
              <w:jc w:val="right"/>
              <w:rPr>
                <w:rFonts w:cs="Calibri"/>
                <w:szCs w:val="16"/>
              </w:rPr>
            </w:pPr>
            <w:r w:rsidRPr="001D5327">
              <w:rPr>
                <w:rFonts w:cs="Calibri"/>
                <w:szCs w:val="16"/>
              </w:rPr>
              <w:t>20</w:t>
            </w:r>
          </w:p>
        </w:tc>
      </w:tr>
      <w:tr w:rsidR="00590FE1" w:rsidRPr="001D5327" w14:paraId="1E59CBDF"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525F1C1F" w14:textId="77777777" w:rsidR="00590FE1" w:rsidRPr="001D5327" w:rsidRDefault="00590FE1" w:rsidP="00403787">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25C6A269" w14:textId="77777777" w:rsidR="00590FE1" w:rsidRPr="001D5327" w:rsidRDefault="00590FE1" w:rsidP="00403787">
            <w:pPr>
              <w:pStyle w:val="TableText"/>
              <w:spacing w:before="40" w:after="40"/>
              <w:rPr>
                <w:rFonts w:cs="Calibri"/>
                <w:szCs w:val="16"/>
              </w:rPr>
            </w:pPr>
            <w:r w:rsidRPr="001D5327">
              <w:rPr>
                <w:rFonts w:cs="Calibri"/>
                <w:szCs w:val="16"/>
              </w:rPr>
              <w:t>Steep slope (&gt;24</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5051651E"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DA11AF8"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8948B97"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5BBDE1F"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34522ED" w14:textId="77777777" w:rsidR="00590FE1" w:rsidRPr="001D5327" w:rsidRDefault="00590FE1" w:rsidP="00403787">
            <w:pPr>
              <w:pStyle w:val="TableText"/>
              <w:spacing w:before="40" w:after="40"/>
              <w:jc w:val="right"/>
              <w:rPr>
                <w:rFonts w:cs="Calibri"/>
                <w:szCs w:val="16"/>
              </w:rPr>
            </w:pPr>
          </w:p>
        </w:tc>
      </w:tr>
      <w:tr w:rsidR="00590FE1" w:rsidRPr="001D5327" w14:paraId="5306FB7D"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75EEE175" w14:textId="77777777" w:rsidR="00590FE1" w:rsidRPr="001D5327" w:rsidRDefault="00590FE1" w:rsidP="00403787">
            <w:pPr>
              <w:pStyle w:val="TableText"/>
              <w:spacing w:before="40" w:after="40"/>
              <w:rPr>
                <w:rFonts w:cs="Calibri"/>
                <w:szCs w:val="16"/>
              </w:rPr>
            </w:pPr>
            <w:r w:rsidRPr="001D5327">
              <w:rPr>
                <w:rFonts w:cs="Calibri"/>
                <w:szCs w:val="16"/>
              </w:rPr>
              <w:t>Dairy cattle dung</w:t>
            </w:r>
          </w:p>
        </w:tc>
        <w:tc>
          <w:tcPr>
            <w:tcW w:w="1814" w:type="dxa"/>
            <w:tcBorders>
              <w:top w:val="single" w:sz="4" w:space="0" w:color="1B556B" w:themeColor="text2"/>
              <w:left w:val="nil"/>
              <w:bottom w:val="single" w:sz="4" w:space="0" w:color="1B556B" w:themeColor="text2"/>
              <w:right w:val="nil"/>
            </w:tcBorders>
          </w:tcPr>
          <w:p w14:paraId="684C2F3A" w14:textId="77777777" w:rsidR="00590FE1" w:rsidRPr="001D5327" w:rsidRDefault="00590FE1" w:rsidP="00403787">
            <w:pPr>
              <w:pStyle w:val="TableText"/>
              <w:spacing w:before="40" w:after="40"/>
              <w:rPr>
                <w:rFonts w:cs="Calibri"/>
                <w:szCs w:val="16"/>
              </w:rPr>
            </w:pPr>
            <w:r w:rsidRPr="001D5327">
              <w:rPr>
                <w:rFonts w:cs="Calibri"/>
                <w:szCs w:val="16"/>
              </w:rPr>
              <w:t>Flatland (0</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4DBCA94C" w14:textId="77777777" w:rsidR="00590FE1" w:rsidRPr="001D5327" w:rsidRDefault="00590FE1" w:rsidP="00403787">
            <w:pPr>
              <w:pStyle w:val="TableText"/>
              <w:spacing w:before="40" w:after="40"/>
              <w:jc w:val="right"/>
              <w:rPr>
                <w:rFonts w:cs="Calibri"/>
                <w:szCs w:val="16"/>
              </w:rPr>
            </w:pPr>
            <w:r w:rsidRPr="001D5327">
              <w:rPr>
                <w:rFonts w:cs="Calibri"/>
                <w:szCs w:val="16"/>
              </w:rPr>
              <w:t>14</w:t>
            </w:r>
          </w:p>
        </w:tc>
        <w:tc>
          <w:tcPr>
            <w:tcW w:w="851" w:type="dxa"/>
            <w:tcBorders>
              <w:top w:val="single" w:sz="4" w:space="0" w:color="1B556B" w:themeColor="text2"/>
              <w:left w:val="nil"/>
              <w:bottom w:val="single" w:sz="4" w:space="0" w:color="1B556B" w:themeColor="text2"/>
              <w:right w:val="nil"/>
            </w:tcBorders>
            <w:shd w:val="clear" w:color="auto" w:fill="auto"/>
          </w:tcPr>
          <w:p w14:paraId="59B7B1A8" w14:textId="77777777" w:rsidR="00590FE1" w:rsidRPr="001D5327" w:rsidRDefault="00590FE1" w:rsidP="00403787">
            <w:pPr>
              <w:pStyle w:val="TableText"/>
              <w:spacing w:before="40" w:after="40"/>
              <w:jc w:val="right"/>
              <w:rPr>
                <w:rFonts w:cs="Calibri"/>
                <w:szCs w:val="16"/>
              </w:rPr>
            </w:pPr>
            <w:r w:rsidRPr="001D5327">
              <w:rPr>
                <w:rFonts w:cs="Calibri"/>
                <w:szCs w:val="16"/>
              </w:rPr>
              <w:t>34</w:t>
            </w:r>
          </w:p>
        </w:tc>
        <w:tc>
          <w:tcPr>
            <w:tcW w:w="851" w:type="dxa"/>
            <w:tcBorders>
              <w:top w:val="single" w:sz="4" w:space="0" w:color="1B556B" w:themeColor="text2"/>
              <w:left w:val="nil"/>
              <w:bottom w:val="single" w:sz="4" w:space="0" w:color="1B556B" w:themeColor="text2"/>
              <w:right w:val="nil"/>
            </w:tcBorders>
            <w:shd w:val="clear" w:color="auto" w:fill="auto"/>
          </w:tcPr>
          <w:p w14:paraId="77276D31" w14:textId="77777777" w:rsidR="00590FE1" w:rsidRPr="001D5327" w:rsidRDefault="00590FE1" w:rsidP="00403787">
            <w:pPr>
              <w:pStyle w:val="TableText"/>
              <w:spacing w:before="40" w:after="40"/>
              <w:jc w:val="right"/>
              <w:rPr>
                <w:rFonts w:cs="Calibri"/>
                <w:szCs w:val="16"/>
              </w:rPr>
            </w:pPr>
            <w:r w:rsidRPr="001D5327">
              <w:rPr>
                <w:rFonts w:cs="Calibri"/>
                <w:szCs w:val="16"/>
              </w:rPr>
              <w:t>36</w:t>
            </w:r>
          </w:p>
        </w:tc>
        <w:tc>
          <w:tcPr>
            <w:tcW w:w="851" w:type="dxa"/>
            <w:tcBorders>
              <w:top w:val="single" w:sz="4" w:space="0" w:color="1B556B" w:themeColor="text2"/>
              <w:left w:val="nil"/>
              <w:bottom w:val="single" w:sz="4" w:space="0" w:color="1B556B" w:themeColor="text2"/>
              <w:right w:val="nil"/>
            </w:tcBorders>
            <w:shd w:val="clear" w:color="auto" w:fill="auto"/>
          </w:tcPr>
          <w:p w14:paraId="3E94F7F9"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73F9D901" w14:textId="77777777" w:rsidR="00590FE1" w:rsidRPr="001D5327" w:rsidRDefault="00590FE1" w:rsidP="00403787">
            <w:pPr>
              <w:pStyle w:val="TableText"/>
              <w:spacing w:before="40" w:after="40"/>
              <w:jc w:val="right"/>
              <w:rPr>
                <w:rFonts w:cs="Calibri"/>
                <w:szCs w:val="16"/>
              </w:rPr>
            </w:pPr>
            <w:r w:rsidRPr="001D5327">
              <w:rPr>
                <w:rFonts w:cs="Calibri"/>
                <w:szCs w:val="16"/>
              </w:rPr>
              <w:t>84</w:t>
            </w:r>
          </w:p>
        </w:tc>
      </w:tr>
      <w:tr w:rsidR="00590FE1" w:rsidRPr="001D5327" w14:paraId="0BE28669"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4DEADBA0" w14:textId="77777777" w:rsidR="00590FE1" w:rsidRPr="001D5327" w:rsidRDefault="00590FE1" w:rsidP="00403787">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45F87492" w14:textId="77777777" w:rsidR="00590FE1" w:rsidRPr="001D5327" w:rsidRDefault="00590FE1" w:rsidP="00403787">
            <w:pPr>
              <w:pStyle w:val="TableText"/>
              <w:spacing w:before="40" w:after="40"/>
              <w:rPr>
                <w:rFonts w:cs="Calibri"/>
                <w:szCs w:val="16"/>
              </w:rPr>
            </w:pPr>
            <w:r w:rsidRPr="001D5327">
              <w:rPr>
                <w:rFonts w:cs="Calibri"/>
                <w:szCs w:val="16"/>
              </w:rPr>
              <w:t>Low slope (0–12</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679CF102"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AD6D01E" w14:textId="77777777" w:rsidR="00590FE1" w:rsidRPr="001D5327" w:rsidRDefault="00590FE1" w:rsidP="00403787">
            <w:pPr>
              <w:pStyle w:val="TableText"/>
              <w:spacing w:before="40" w:after="40"/>
              <w:jc w:val="right"/>
              <w:rPr>
                <w:rFonts w:cs="Calibri"/>
                <w:szCs w:val="16"/>
              </w:rPr>
            </w:pPr>
            <w:r w:rsidRPr="001D5327">
              <w:rPr>
                <w:rFonts w:cs="Calibri"/>
                <w:szCs w:val="16"/>
              </w:rPr>
              <w:t>26</w:t>
            </w:r>
          </w:p>
        </w:tc>
        <w:tc>
          <w:tcPr>
            <w:tcW w:w="851" w:type="dxa"/>
            <w:tcBorders>
              <w:top w:val="single" w:sz="4" w:space="0" w:color="1B556B" w:themeColor="text2"/>
              <w:left w:val="nil"/>
              <w:bottom w:val="single" w:sz="4" w:space="0" w:color="1B556B" w:themeColor="text2"/>
              <w:right w:val="nil"/>
            </w:tcBorders>
            <w:shd w:val="clear" w:color="auto" w:fill="auto"/>
          </w:tcPr>
          <w:p w14:paraId="6DFAC212"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7F42F10" w14:textId="77777777" w:rsidR="00590FE1" w:rsidRPr="001D5327" w:rsidRDefault="00590FE1" w:rsidP="00403787">
            <w:pPr>
              <w:pStyle w:val="TableText"/>
              <w:spacing w:before="40" w:after="40"/>
              <w:jc w:val="right"/>
              <w:rPr>
                <w:rFonts w:cs="Calibri"/>
                <w:szCs w:val="16"/>
              </w:rPr>
            </w:pPr>
            <w:r w:rsidRPr="001D5327">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7DBE62D5" w14:textId="77777777" w:rsidR="00590FE1" w:rsidRPr="001D5327" w:rsidRDefault="00590FE1" w:rsidP="00403787">
            <w:pPr>
              <w:pStyle w:val="TableText"/>
              <w:spacing w:before="40" w:after="40"/>
              <w:jc w:val="right"/>
              <w:rPr>
                <w:rFonts w:cs="Calibri"/>
                <w:szCs w:val="16"/>
              </w:rPr>
            </w:pPr>
            <w:r w:rsidRPr="001D5327">
              <w:rPr>
                <w:rFonts w:cs="Calibri"/>
                <w:szCs w:val="16"/>
              </w:rPr>
              <w:t>46</w:t>
            </w:r>
          </w:p>
        </w:tc>
      </w:tr>
      <w:tr w:rsidR="00590FE1" w:rsidRPr="001D5327" w14:paraId="2620CFC2"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0C4B1588" w14:textId="77777777" w:rsidR="00590FE1" w:rsidRPr="001D5327" w:rsidRDefault="00590FE1" w:rsidP="00403787">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3785BC67" w14:textId="77777777" w:rsidR="00590FE1" w:rsidRPr="001D5327" w:rsidRDefault="00590FE1" w:rsidP="00403787">
            <w:pPr>
              <w:pStyle w:val="TableText"/>
              <w:spacing w:before="40" w:after="40"/>
              <w:rPr>
                <w:rFonts w:cs="Calibri"/>
                <w:szCs w:val="16"/>
              </w:rPr>
            </w:pPr>
            <w:r w:rsidRPr="001D5327">
              <w:rPr>
                <w:rFonts w:cs="Calibri"/>
                <w:szCs w:val="16"/>
              </w:rPr>
              <w:t>Medium slope (12–24</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20998586"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3CA431CF" w14:textId="77777777" w:rsidR="00590FE1" w:rsidRPr="001D5327" w:rsidRDefault="00590FE1" w:rsidP="00403787">
            <w:pPr>
              <w:pStyle w:val="TableText"/>
              <w:spacing w:before="40" w:after="40"/>
              <w:jc w:val="right"/>
              <w:rPr>
                <w:rFonts w:cs="Calibri"/>
                <w:szCs w:val="16"/>
              </w:rPr>
            </w:pPr>
            <w:r w:rsidRPr="001D5327">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02179AA9"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E94EB4F"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12140C19" w14:textId="77777777" w:rsidR="00590FE1" w:rsidRPr="001D5327" w:rsidRDefault="00590FE1" w:rsidP="00403787">
            <w:pPr>
              <w:pStyle w:val="TableText"/>
              <w:spacing w:before="40" w:after="40"/>
              <w:jc w:val="right"/>
              <w:rPr>
                <w:rFonts w:cs="Calibri"/>
                <w:szCs w:val="16"/>
              </w:rPr>
            </w:pPr>
            <w:r w:rsidRPr="001D5327">
              <w:rPr>
                <w:rFonts w:cs="Calibri"/>
                <w:szCs w:val="16"/>
              </w:rPr>
              <w:t>20</w:t>
            </w:r>
          </w:p>
        </w:tc>
      </w:tr>
      <w:tr w:rsidR="00590FE1" w:rsidRPr="001D5327" w14:paraId="3D7D90FF"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53CF138D" w14:textId="77777777" w:rsidR="00590FE1" w:rsidRPr="001D5327" w:rsidRDefault="00590FE1" w:rsidP="00403787">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4A2DEC67" w14:textId="77777777" w:rsidR="00590FE1" w:rsidRPr="001D5327" w:rsidRDefault="00590FE1" w:rsidP="00403787">
            <w:pPr>
              <w:pStyle w:val="TableText"/>
              <w:spacing w:before="40" w:after="40"/>
              <w:rPr>
                <w:rFonts w:cs="Calibri"/>
                <w:szCs w:val="16"/>
              </w:rPr>
            </w:pPr>
            <w:r w:rsidRPr="001D5327">
              <w:rPr>
                <w:rFonts w:cs="Calibri"/>
                <w:szCs w:val="16"/>
              </w:rPr>
              <w:t>Steep slope (&gt;24</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5ED2FFA3"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FA5F059"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7C0261E4"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27266B0"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79DA0EFA" w14:textId="77777777" w:rsidR="00590FE1" w:rsidRPr="001D5327" w:rsidRDefault="00590FE1" w:rsidP="00403787">
            <w:pPr>
              <w:pStyle w:val="TableText"/>
              <w:spacing w:before="40" w:after="40"/>
              <w:jc w:val="right"/>
              <w:rPr>
                <w:rFonts w:cs="Calibri"/>
                <w:szCs w:val="16"/>
              </w:rPr>
            </w:pPr>
          </w:p>
        </w:tc>
      </w:tr>
      <w:tr w:rsidR="00590FE1" w:rsidRPr="001D5327" w14:paraId="2E184C5F"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15306114" w14:textId="77777777" w:rsidR="00590FE1" w:rsidRPr="001D5327" w:rsidRDefault="00590FE1" w:rsidP="00403787">
            <w:pPr>
              <w:pStyle w:val="TableText"/>
              <w:spacing w:before="40" w:after="40"/>
              <w:rPr>
                <w:rFonts w:cs="Calibri"/>
                <w:szCs w:val="16"/>
              </w:rPr>
            </w:pPr>
            <w:r w:rsidRPr="001D5327">
              <w:rPr>
                <w:rFonts w:cs="Calibri"/>
                <w:szCs w:val="16"/>
              </w:rPr>
              <w:t>Non-dairy cattle urine</w:t>
            </w:r>
          </w:p>
        </w:tc>
        <w:tc>
          <w:tcPr>
            <w:tcW w:w="1814" w:type="dxa"/>
            <w:tcBorders>
              <w:top w:val="single" w:sz="4" w:space="0" w:color="1B556B" w:themeColor="text2"/>
              <w:left w:val="nil"/>
              <w:bottom w:val="single" w:sz="4" w:space="0" w:color="1B556B" w:themeColor="text2"/>
              <w:right w:val="nil"/>
            </w:tcBorders>
          </w:tcPr>
          <w:p w14:paraId="7C08F8F4" w14:textId="77777777" w:rsidR="00590FE1" w:rsidRPr="001D5327" w:rsidRDefault="00590FE1" w:rsidP="00403787">
            <w:pPr>
              <w:pStyle w:val="TableText"/>
              <w:spacing w:before="40" w:after="40"/>
              <w:rPr>
                <w:rFonts w:cs="Calibri"/>
                <w:szCs w:val="16"/>
              </w:rPr>
            </w:pPr>
            <w:r w:rsidRPr="001D5327">
              <w:rPr>
                <w:rFonts w:cs="Calibri"/>
                <w:szCs w:val="16"/>
              </w:rPr>
              <w:t>Flatland (0</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7F43ADC9"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26EEFAE" w14:textId="77777777" w:rsidR="00590FE1" w:rsidRPr="001D5327" w:rsidRDefault="00590FE1" w:rsidP="00403787">
            <w:pPr>
              <w:pStyle w:val="TableText"/>
              <w:spacing w:before="40" w:after="40"/>
              <w:jc w:val="right"/>
              <w:rPr>
                <w:rFonts w:cs="Calibri"/>
                <w:szCs w:val="16"/>
              </w:rPr>
            </w:pPr>
            <w:r w:rsidRPr="001D5327">
              <w:rPr>
                <w:rFonts w:cs="Calibri"/>
                <w:szCs w:val="16"/>
              </w:rPr>
              <w:t>8</w:t>
            </w:r>
          </w:p>
        </w:tc>
        <w:tc>
          <w:tcPr>
            <w:tcW w:w="851" w:type="dxa"/>
            <w:tcBorders>
              <w:top w:val="single" w:sz="4" w:space="0" w:color="1B556B" w:themeColor="text2"/>
              <w:left w:val="nil"/>
              <w:bottom w:val="single" w:sz="4" w:space="0" w:color="1B556B" w:themeColor="text2"/>
              <w:right w:val="nil"/>
            </w:tcBorders>
            <w:shd w:val="clear" w:color="auto" w:fill="auto"/>
          </w:tcPr>
          <w:p w14:paraId="54EDC332"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0663EF7"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2D8A4F7D" w14:textId="77777777" w:rsidR="00590FE1" w:rsidRPr="001D5327" w:rsidRDefault="00590FE1" w:rsidP="00403787">
            <w:pPr>
              <w:pStyle w:val="TableText"/>
              <w:spacing w:before="40" w:after="40"/>
              <w:jc w:val="right"/>
              <w:rPr>
                <w:rFonts w:cs="Calibri"/>
                <w:szCs w:val="16"/>
              </w:rPr>
            </w:pPr>
            <w:r w:rsidRPr="001D5327">
              <w:rPr>
                <w:rFonts w:cs="Calibri"/>
                <w:szCs w:val="16"/>
              </w:rPr>
              <w:t>8</w:t>
            </w:r>
          </w:p>
        </w:tc>
      </w:tr>
      <w:tr w:rsidR="00590FE1" w:rsidRPr="001D5327" w14:paraId="091433F7"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7536A9CE" w14:textId="77777777" w:rsidR="00590FE1" w:rsidRPr="001D5327" w:rsidRDefault="00590FE1" w:rsidP="00403787">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4D1D471C" w14:textId="77777777" w:rsidR="00590FE1" w:rsidRPr="001D5327" w:rsidRDefault="00590FE1" w:rsidP="00403787">
            <w:pPr>
              <w:pStyle w:val="TableText"/>
              <w:spacing w:before="40" w:after="40"/>
              <w:rPr>
                <w:rFonts w:cs="Calibri"/>
                <w:szCs w:val="16"/>
              </w:rPr>
            </w:pPr>
            <w:r w:rsidRPr="001D5327">
              <w:rPr>
                <w:rFonts w:cs="Calibri"/>
                <w:szCs w:val="16"/>
              </w:rPr>
              <w:t>Low slope (0–12</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773DE000"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1BC7503F" w14:textId="77777777" w:rsidR="00590FE1" w:rsidRPr="001D5327" w:rsidRDefault="00590FE1" w:rsidP="00403787">
            <w:pPr>
              <w:pStyle w:val="TableText"/>
              <w:spacing w:before="40" w:after="40"/>
              <w:jc w:val="right"/>
              <w:rPr>
                <w:rFonts w:cs="Calibri"/>
                <w:szCs w:val="16"/>
              </w:rPr>
            </w:pPr>
            <w:r w:rsidRPr="001D5327">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485E3842"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1A11EBB" w14:textId="77777777" w:rsidR="00590FE1" w:rsidRPr="001D5327" w:rsidRDefault="00590FE1" w:rsidP="00403787">
            <w:pPr>
              <w:pStyle w:val="TableText"/>
              <w:spacing w:before="40" w:after="40"/>
              <w:jc w:val="right"/>
              <w:rPr>
                <w:rFonts w:cs="Calibri"/>
                <w:szCs w:val="16"/>
              </w:rPr>
            </w:pPr>
            <w:r w:rsidRPr="001D5327">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7D24D534" w14:textId="77777777" w:rsidR="00590FE1" w:rsidRPr="001D5327" w:rsidRDefault="00590FE1" w:rsidP="00403787">
            <w:pPr>
              <w:pStyle w:val="TableText"/>
              <w:spacing w:before="40" w:after="40"/>
              <w:jc w:val="right"/>
              <w:rPr>
                <w:rFonts w:cs="Calibri"/>
                <w:szCs w:val="16"/>
              </w:rPr>
            </w:pPr>
            <w:r w:rsidRPr="001D5327">
              <w:rPr>
                <w:rFonts w:cs="Calibri"/>
                <w:szCs w:val="16"/>
              </w:rPr>
              <w:t>40</w:t>
            </w:r>
          </w:p>
        </w:tc>
      </w:tr>
      <w:tr w:rsidR="00590FE1" w:rsidRPr="001D5327" w14:paraId="6A01D7A8"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671A38CF" w14:textId="77777777" w:rsidR="00590FE1" w:rsidRPr="001D5327" w:rsidRDefault="00590FE1" w:rsidP="00403787">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7402523C" w14:textId="77777777" w:rsidR="00590FE1" w:rsidRPr="001D5327" w:rsidRDefault="00590FE1" w:rsidP="00403787">
            <w:pPr>
              <w:pStyle w:val="TableText"/>
              <w:spacing w:before="40" w:after="40"/>
              <w:rPr>
                <w:rFonts w:cs="Calibri"/>
                <w:szCs w:val="16"/>
              </w:rPr>
            </w:pPr>
            <w:r w:rsidRPr="001D5327">
              <w:rPr>
                <w:rFonts w:cs="Calibri"/>
                <w:szCs w:val="16"/>
              </w:rPr>
              <w:t>Medium slope (12–24</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1819BD5D" w14:textId="77777777" w:rsidR="00590FE1" w:rsidRPr="001D5327" w:rsidRDefault="00590FE1" w:rsidP="00403787">
            <w:pPr>
              <w:pStyle w:val="TableText"/>
              <w:spacing w:before="40" w:after="40"/>
              <w:jc w:val="right"/>
              <w:rPr>
                <w:rFonts w:cs="Calibri"/>
                <w:szCs w:val="16"/>
              </w:rPr>
            </w:pPr>
            <w:r w:rsidRPr="001D5327">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2E824C1D" w14:textId="77777777" w:rsidR="00590FE1" w:rsidRPr="001D5327" w:rsidRDefault="00590FE1" w:rsidP="00403787">
            <w:pPr>
              <w:pStyle w:val="TableText"/>
              <w:spacing w:before="40" w:after="40"/>
              <w:jc w:val="right"/>
              <w:rPr>
                <w:rFonts w:cs="Calibri"/>
                <w:szCs w:val="16"/>
              </w:rPr>
            </w:pPr>
            <w:r w:rsidRPr="001D5327">
              <w:rPr>
                <w:rFonts w:cs="Calibri"/>
                <w:szCs w:val="16"/>
              </w:rPr>
              <w:t>30</w:t>
            </w:r>
          </w:p>
        </w:tc>
        <w:tc>
          <w:tcPr>
            <w:tcW w:w="851" w:type="dxa"/>
            <w:tcBorders>
              <w:top w:val="single" w:sz="4" w:space="0" w:color="1B556B" w:themeColor="text2"/>
              <w:left w:val="nil"/>
              <w:bottom w:val="single" w:sz="4" w:space="0" w:color="1B556B" w:themeColor="text2"/>
              <w:right w:val="nil"/>
            </w:tcBorders>
            <w:shd w:val="clear" w:color="auto" w:fill="auto"/>
          </w:tcPr>
          <w:p w14:paraId="57AEB845"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4E010B2" w14:textId="77777777" w:rsidR="00590FE1" w:rsidRPr="001D5327" w:rsidRDefault="00590FE1" w:rsidP="00403787">
            <w:pPr>
              <w:pStyle w:val="TableText"/>
              <w:spacing w:before="40" w:after="40"/>
              <w:jc w:val="right"/>
              <w:rPr>
                <w:rFonts w:cs="Calibri"/>
                <w:szCs w:val="16"/>
              </w:rPr>
            </w:pPr>
            <w:r w:rsidRPr="001D5327">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02ED7082" w14:textId="77777777" w:rsidR="00590FE1" w:rsidRPr="001D5327" w:rsidRDefault="00590FE1" w:rsidP="00403787">
            <w:pPr>
              <w:pStyle w:val="TableText"/>
              <w:spacing w:before="40" w:after="40"/>
              <w:jc w:val="right"/>
              <w:rPr>
                <w:rFonts w:cs="Calibri"/>
                <w:szCs w:val="16"/>
              </w:rPr>
            </w:pPr>
            <w:r w:rsidRPr="001D5327">
              <w:rPr>
                <w:rFonts w:cs="Calibri"/>
                <w:szCs w:val="16"/>
              </w:rPr>
              <w:t>60</w:t>
            </w:r>
          </w:p>
        </w:tc>
      </w:tr>
      <w:tr w:rsidR="00590FE1" w:rsidRPr="001D5327" w14:paraId="0D79C221"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63BB3D38" w14:textId="77777777" w:rsidR="00590FE1" w:rsidRPr="001D5327" w:rsidRDefault="00590FE1" w:rsidP="00403787">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2128817C" w14:textId="77777777" w:rsidR="00590FE1" w:rsidRPr="001D5327" w:rsidRDefault="00590FE1" w:rsidP="00403787">
            <w:pPr>
              <w:pStyle w:val="TableText"/>
              <w:spacing w:before="40" w:after="40"/>
              <w:rPr>
                <w:rFonts w:cs="Calibri"/>
                <w:szCs w:val="16"/>
              </w:rPr>
            </w:pPr>
            <w:r w:rsidRPr="001D5327">
              <w:rPr>
                <w:rFonts w:cs="Calibri"/>
                <w:szCs w:val="16"/>
              </w:rPr>
              <w:t>Steep slope (&gt;24</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29FC3A5B" w14:textId="77777777" w:rsidR="00590FE1" w:rsidRPr="001D5327" w:rsidRDefault="00590FE1" w:rsidP="00403787">
            <w:pPr>
              <w:pStyle w:val="TableText"/>
              <w:spacing w:before="40" w:after="40"/>
              <w:jc w:val="right"/>
              <w:rPr>
                <w:rFonts w:cs="Calibri"/>
                <w:szCs w:val="16"/>
              </w:rPr>
            </w:pPr>
            <w:r w:rsidRPr="001D5327">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4C577366" w14:textId="77777777" w:rsidR="00590FE1" w:rsidRPr="001D5327" w:rsidRDefault="00590FE1" w:rsidP="00403787">
            <w:pPr>
              <w:pStyle w:val="TableText"/>
              <w:spacing w:before="40" w:after="40"/>
              <w:jc w:val="right"/>
              <w:rPr>
                <w:rFonts w:cs="Calibri"/>
                <w:szCs w:val="16"/>
              </w:rPr>
            </w:pPr>
            <w:r w:rsidRPr="001D5327">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51F2EEB0"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FBBBF95"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10B1BBAE" w14:textId="77777777" w:rsidR="00590FE1" w:rsidRPr="001D5327" w:rsidRDefault="00590FE1" w:rsidP="00403787">
            <w:pPr>
              <w:pStyle w:val="TableText"/>
              <w:spacing w:before="40" w:after="40"/>
              <w:jc w:val="right"/>
              <w:rPr>
                <w:rFonts w:cs="Calibri"/>
                <w:szCs w:val="16"/>
              </w:rPr>
            </w:pPr>
            <w:r w:rsidRPr="001D5327">
              <w:rPr>
                <w:rFonts w:cs="Calibri"/>
                <w:szCs w:val="16"/>
              </w:rPr>
              <w:t>20</w:t>
            </w:r>
          </w:p>
        </w:tc>
      </w:tr>
      <w:tr w:rsidR="00590FE1" w:rsidRPr="001D5327" w14:paraId="5F4F8A8D"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13191D25" w14:textId="77777777" w:rsidR="00590FE1" w:rsidRPr="001D5327" w:rsidRDefault="00590FE1" w:rsidP="00403787">
            <w:pPr>
              <w:pStyle w:val="TableText"/>
              <w:spacing w:before="40" w:after="40"/>
              <w:rPr>
                <w:rFonts w:cs="Calibri"/>
                <w:szCs w:val="16"/>
              </w:rPr>
            </w:pPr>
            <w:r w:rsidRPr="001D5327">
              <w:rPr>
                <w:rFonts w:cs="Calibri"/>
                <w:szCs w:val="16"/>
              </w:rPr>
              <w:t>Non-dairy cattle dung</w:t>
            </w:r>
          </w:p>
        </w:tc>
        <w:tc>
          <w:tcPr>
            <w:tcW w:w="1814" w:type="dxa"/>
            <w:tcBorders>
              <w:top w:val="single" w:sz="4" w:space="0" w:color="1B556B" w:themeColor="text2"/>
              <w:left w:val="nil"/>
              <w:bottom w:val="single" w:sz="4" w:space="0" w:color="1B556B" w:themeColor="text2"/>
              <w:right w:val="nil"/>
            </w:tcBorders>
          </w:tcPr>
          <w:p w14:paraId="457FCDE9" w14:textId="77777777" w:rsidR="00590FE1" w:rsidRPr="001D5327" w:rsidRDefault="00590FE1" w:rsidP="00403787">
            <w:pPr>
              <w:pStyle w:val="TableText"/>
              <w:spacing w:before="40" w:after="40"/>
              <w:rPr>
                <w:rFonts w:cs="Calibri"/>
                <w:szCs w:val="16"/>
              </w:rPr>
            </w:pPr>
            <w:r w:rsidRPr="001D5327">
              <w:rPr>
                <w:rFonts w:cs="Calibri"/>
                <w:szCs w:val="16"/>
              </w:rPr>
              <w:t>Flatland (0</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530B49B2"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73171AA3"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865CB69"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4396012"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38278614" w14:textId="77777777" w:rsidR="00590FE1" w:rsidRPr="001D5327" w:rsidRDefault="00590FE1" w:rsidP="00403787">
            <w:pPr>
              <w:pStyle w:val="TableText"/>
              <w:spacing w:before="40" w:after="40"/>
              <w:jc w:val="right"/>
              <w:rPr>
                <w:rFonts w:cs="Calibri"/>
                <w:szCs w:val="16"/>
              </w:rPr>
            </w:pPr>
          </w:p>
        </w:tc>
      </w:tr>
      <w:tr w:rsidR="00590FE1" w:rsidRPr="001D5327" w14:paraId="1721CF42"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09832289" w14:textId="77777777" w:rsidR="00590FE1" w:rsidRPr="001D5327" w:rsidRDefault="00590FE1" w:rsidP="00403787">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06D0970C" w14:textId="77777777" w:rsidR="00590FE1" w:rsidRPr="001D5327" w:rsidRDefault="00590FE1" w:rsidP="00403787">
            <w:pPr>
              <w:pStyle w:val="TableText"/>
              <w:spacing w:before="40" w:after="40"/>
              <w:rPr>
                <w:rFonts w:cs="Calibri"/>
                <w:szCs w:val="16"/>
              </w:rPr>
            </w:pPr>
            <w:r w:rsidRPr="001D5327">
              <w:rPr>
                <w:rFonts w:cs="Calibri"/>
                <w:szCs w:val="16"/>
              </w:rPr>
              <w:t>Low slope (0–12</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0B3F6075" w14:textId="77777777" w:rsidR="00590FE1" w:rsidRPr="001D5327" w:rsidRDefault="00590FE1" w:rsidP="00403787">
            <w:pPr>
              <w:pStyle w:val="TableText"/>
              <w:spacing w:before="40" w:after="40"/>
              <w:jc w:val="right"/>
              <w:rPr>
                <w:rFonts w:cs="Calibri"/>
                <w:szCs w:val="16"/>
              </w:rPr>
            </w:pPr>
            <w:r w:rsidRPr="001D5327">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19642BB8" w14:textId="77777777" w:rsidR="00590FE1" w:rsidRPr="001D5327" w:rsidRDefault="00590FE1" w:rsidP="00403787">
            <w:pPr>
              <w:pStyle w:val="TableText"/>
              <w:spacing w:before="40" w:after="40"/>
              <w:jc w:val="right"/>
              <w:rPr>
                <w:rFonts w:cs="Calibri"/>
                <w:szCs w:val="16"/>
              </w:rPr>
            </w:pPr>
            <w:r w:rsidRPr="001D5327">
              <w:rPr>
                <w:rFonts w:cs="Calibri"/>
                <w:szCs w:val="16"/>
              </w:rPr>
              <w:t>28</w:t>
            </w:r>
          </w:p>
        </w:tc>
        <w:tc>
          <w:tcPr>
            <w:tcW w:w="851" w:type="dxa"/>
            <w:tcBorders>
              <w:top w:val="single" w:sz="4" w:space="0" w:color="1B556B" w:themeColor="text2"/>
              <w:left w:val="nil"/>
              <w:bottom w:val="single" w:sz="4" w:space="0" w:color="1B556B" w:themeColor="text2"/>
              <w:right w:val="nil"/>
            </w:tcBorders>
            <w:shd w:val="clear" w:color="auto" w:fill="auto"/>
          </w:tcPr>
          <w:p w14:paraId="32EDE2B3" w14:textId="77777777" w:rsidR="00590FE1" w:rsidRPr="001D5327" w:rsidRDefault="00590FE1" w:rsidP="00403787">
            <w:pPr>
              <w:pStyle w:val="TableText"/>
              <w:spacing w:before="40" w:after="40"/>
              <w:jc w:val="right"/>
              <w:rPr>
                <w:rFonts w:cs="Calibri"/>
                <w:szCs w:val="16"/>
              </w:rPr>
            </w:pPr>
            <w:r w:rsidRPr="001D5327">
              <w:rPr>
                <w:rFonts w:cs="Calibri"/>
                <w:szCs w:val="16"/>
              </w:rPr>
              <w:t>8</w:t>
            </w:r>
          </w:p>
        </w:tc>
        <w:tc>
          <w:tcPr>
            <w:tcW w:w="851" w:type="dxa"/>
            <w:tcBorders>
              <w:top w:val="single" w:sz="4" w:space="0" w:color="1B556B" w:themeColor="text2"/>
              <w:left w:val="nil"/>
              <w:bottom w:val="single" w:sz="4" w:space="0" w:color="1B556B" w:themeColor="text2"/>
              <w:right w:val="nil"/>
            </w:tcBorders>
            <w:shd w:val="clear" w:color="auto" w:fill="auto"/>
          </w:tcPr>
          <w:p w14:paraId="6B1EB0FC" w14:textId="77777777" w:rsidR="00590FE1" w:rsidRPr="001D5327" w:rsidRDefault="00590FE1" w:rsidP="00403787">
            <w:pPr>
              <w:pStyle w:val="TableText"/>
              <w:spacing w:before="40" w:after="40"/>
              <w:jc w:val="right"/>
              <w:rPr>
                <w:rFonts w:cs="Calibri"/>
                <w:szCs w:val="16"/>
              </w:rPr>
            </w:pPr>
            <w:r w:rsidRPr="001D5327">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1378AA16" w14:textId="77777777" w:rsidR="00590FE1" w:rsidRPr="001D5327" w:rsidRDefault="00590FE1" w:rsidP="00403787">
            <w:pPr>
              <w:pStyle w:val="TableText"/>
              <w:spacing w:before="40" w:after="40"/>
              <w:jc w:val="right"/>
              <w:rPr>
                <w:rFonts w:cs="Calibri"/>
                <w:szCs w:val="16"/>
              </w:rPr>
            </w:pPr>
            <w:r w:rsidRPr="001D5327">
              <w:rPr>
                <w:rFonts w:cs="Calibri"/>
                <w:szCs w:val="16"/>
              </w:rPr>
              <w:t>76</w:t>
            </w:r>
          </w:p>
        </w:tc>
      </w:tr>
      <w:tr w:rsidR="00590FE1" w:rsidRPr="001D5327" w14:paraId="42FFDBB2"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0718D279" w14:textId="77777777" w:rsidR="00590FE1" w:rsidRPr="001D5327" w:rsidRDefault="00590FE1" w:rsidP="00403787">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5E4F27F9" w14:textId="77777777" w:rsidR="00590FE1" w:rsidRPr="001D5327" w:rsidRDefault="00590FE1" w:rsidP="00403787">
            <w:pPr>
              <w:pStyle w:val="TableText"/>
              <w:spacing w:before="40" w:after="40"/>
              <w:rPr>
                <w:rFonts w:cs="Calibri"/>
                <w:szCs w:val="16"/>
              </w:rPr>
            </w:pPr>
            <w:r w:rsidRPr="001D5327">
              <w:rPr>
                <w:rFonts w:cs="Calibri"/>
                <w:szCs w:val="16"/>
              </w:rPr>
              <w:t>Medium slope (12–24</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1DBD6841" w14:textId="77777777" w:rsidR="00590FE1" w:rsidRPr="001D5327" w:rsidRDefault="00590FE1" w:rsidP="00403787">
            <w:pPr>
              <w:pStyle w:val="TableText"/>
              <w:spacing w:before="40" w:after="40"/>
              <w:jc w:val="right"/>
              <w:rPr>
                <w:rFonts w:cs="Calibri"/>
                <w:szCs w:val="16"/>
              </w:rPr>
            </w:pPr>
            <w:r w:rsidRPr="001D5327">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06555591" w14:textId="77777777" w:rsidR="00590FE1" w:rsidRPr="001D5327" w:rsidRDefault="00590FE1" w:rsidP="00403787">
            <w:pPr>
              <w:pStyle w:val="TableText"/>
              <w:spacing w:before="40" w:after="40"/>
              <w:jc w:val="right"/>
              <w:rPr>
                <w:rFonts w:cs="Calibri"/>
                <w:szCs w:val="16"/>
              </w:rPr>
            </w:pPr>
            <w:r w:rsidRPr="001D5327">
              <w:rPr>
                <w:rFonts w:cs="Calibri"/>
                <w:szCs w:val="16"/>
              </w:rPr>
              <w:t>30</w:t>
            </w:r>
          </w:p>
        </w:tc>
        <w:tc>
          <w:tcPr>
            <w:tcW w:w="851" w:type="dxa"/>
            <w:tcBorders>
              <w:top w:val="single" w:sz="4" w:space="0" w:color="1B556B" w:themeColor="text2"/>
              <w:left w:val="nil"/>
              <w:bottom w:val="single" w:sz="4" w:space="0" w:color="1B556B" w:themeColor="text2"/>
              <w:right w:val="nil"/>
            </w:tcBorders>
            <w:shd w:val="clear" w:color="auto" w:fill="auto"/>
          </w:tcPr>
          <w:p w14:paraId="12C047E3"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75928962" w14:textId="77777777" w:rsidR="00590FE1" w:rsidRPr="001D5327" w:rsidRDefault="00590FE1" w:rsidP="00403787">
            <w:pPr>
              <w:pStyle w:val="TableText"/>
              <w:spacing w:before="40" w:after="40"/>
              <w:jc w:val="right"/>
              <w:rPr>
                <w:rFonts w:cs="Calibri"/>
                <w:szCs w:val="16"/>
              </w:rPr>
            </w:pPr>
            <w:r w:rsidRPr="001D5327">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11AD5E1B" w14:textId="77777777" w:rsidR="00590FE1" w:rsidRPr="001D5327" w:rsidRDefault="00590FE1" w:rsidP="00403787">
            <w:pPr>
              <w:pStyle w:val="TableText"/>
              <w:spacing w:before="40" w:after="40"/>
              <w:jc w:val="right"/>
              <w:rPr>
                <w:rFonts w:cs="Calibri"/>
                <w:szCs w:val="16"/>
              </w:rPr>
            </w:pPr>
            <w:r w:rsidRPr="001D5327">
              <w:rPr>
                <w:rFonts w:cs="Calibri"/>
                <w:szCs w:val="16"/>
              </w:rPr>
              <w:t>60</w:t>
            </w:r>
          </w:p>
        </w:tc>
      </w:tr>
      <w:tr w:rsidR="00590FE1" w:rsidRPr="001D5327" w14:paraId="21C9ABDD"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6C9C03BE" w14:textId="77777777" w:rsidR="00590FE1" w:rsidRPr="001D5327" w:rsidRDefault="00590FE1" w:rsidP="00403787">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38488630" w14:textId="77777777" w:rsidR="00590FE1" w:rsidRPr="001D5327" w:rsidRDefault="00590FE1" w:rsidP="00403787">
            <w:pPr>
              <w:pStyle w:val="TableText"/>
              <w:spacing w:before="40" w:after="40"/>
              <w:rPr>
                <w:rFonts w:cs="Calibri"/>
                <w:szCs w:val="16"/>
              </w:rPr>
            </w:pPr>
            <w:r w:rsidRPr="001D5327">
              <w:rPr>
                <w:rFonts w:cs="Calibri"/>
                <w:szCs w:val="16"/>
              </w:rPr>
              <w:t>Steep slope (&gt;24</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5150A425" w14:textId="77777777" w:rsidR="00590FE1" w:rsidRPr="001D5327" w:rsidRDefault="00590FE1" w:rsidP="00403787">
            <w:pPr>
              <w:pStyle w:val="TableText"/>
              <w:spacing w:before="40" w:after="40"/>
              <w:jc w:val="right"/>
              <w:rPr>
                <w:rFonts w:cs="Calibri"/>
                <w:szCs w:val="16"/>
              </w:rPr>
            </w:pPr>
            <w:r w:rsidRPr="001D5327">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1DB60EF0" w14:textId="77777777" w:rsidR="00590FE1" w:rsidRPr="001D5327" w:rsidRDefault="00590FE1" w:rsidP="00403787">
            <w:pPr>
              <w:pStyle w:val="TableText"/>
              <w:spacing w:before="40" w:after="40"/>
              <w:jc w:val="right"/>
              <w:rPr>
                <w:rFonts w:cs="Calibri"/>
                <w:szCs w:val="16"/>
              </w:rPr>
            </w:pPr>
            <w:r w:rsidRPr="001D5327">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6C67CB73"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4F4F8CE"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24F9E4C2" w14:textId="77777777" w:rsidR="00590FE1" w:rsidRPr="001D5327" w:rsidRDefault="00590FE1" w:rsidP="00403787">
            <w:pPr>
              <w:pStyle w:val="TableText"/>
              <w:spacing w:before="40" w:after="40"/>
              <w:jc w:val="right"/>
              <w:rPr>
                <w:rFonts w:cs="Calibri"/>
                <w:szCs w:val="16"/>
              </w:rPr>
            </w:pPr>
            <w:r w:rsidRPr="001D5327">
              <w:rPr>
                <w:rFonts w:cs="Calibri"/>
                <w:szCs w:val="16"/>
              </w:rPr>
              <w:t>20</w:t>
            </w:r>
          </w:p>
        </w:tc>
      </w:tr>
      <w:tr w:rsidR="00590FE1" w:rsidRPr="001D5327" w14:paraId="18490090"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50D2F867" w14:textId="77777777" w:rsidR="00590FE1" w:rsidRPr="001D5327" w:rsidRDefault="00590FE1" w:rsidP="00403787">
            <w:pPr>
              <w:pStyle w:val="TableText"/>
              <w:spacing w:before="40" w:after="40"/>
              <w:rPr>
                <w:rFonts w:cs="Calibri"/>
                <w:szCs w:val="16"/>
              </w:rPr>
            </w:pPr>
            <w:r w:rsidRPr="001D5327">
              <w:rPr>
                <w:rFonts w:cs="Calibri"/>
                <w:szCs w:val="16"/>
              </w:rPr>
              <w:t>Sheep urine</w:t>
            </w:r>
          </w:p>
        </w:tc>
        <w:tc>
          <w:tcPr>
            <w:tcW w:w="1814" w:type="dxa"/>
            <w:tcBorders>
              <w:top w:val="single" w:sz="4" w:space="0" w:color="1B556B" w:themeColor="text2"/>
              <w:left w:val="nil"/>
              <w:bottom w:val="single" w:sz="4" w:space="0" w:color="1B556B" w:themeColor="text2"/>
              <w:right w:val="nil"/>
            </w:tcBorders>
          </w:tcPr>
          <w:p w14:paraId="48906D52" w14:textId="77777777" w:rsidR="00590FE1" w:rsidRPr="001D5327" w:rsidRDefault="00590FE1" w:rsidP="00403787">
            <w:pPr>
              <w:pStyle w:val="TableText"/>
              <w:spacing w:before="40" w:after="40"/>
              <w:rPr>
                <w:rFonts w:cs="Calibri"/>
                <w:szCs w:val="16"/>
              </w:rPr>
            </w:pPr>
            <w:r w:rsidRPr="001D5327">
              <w:rPr>
                <w:rFonts w:cs="Calibri"/>
                <w:szCs w:val="16"/>
              </w:rPr>
              <w:t>Flatland (0</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67BEBDD3" w14:textId="77777777" w:rsidR="00590FE1" w:rsidRPr="001D5327" w:rsidRDefault="00590FE1" w:rsidP="00403787">
            <w:pPr>
              <w:pStyle w:val="TableText"/>
              <w:spacing w:before="40" w:after="40"/>
              <w:jc w:val="right"/>
              <w:rPr>
                <w:rFonts w:cs="Calibri"/>
                <w:szCs w:val="16"/>
              </w:rPr>
            </w:pPr>
            <w:r w:rsidRPr="001D5327">
              <w:rPr>
                <w:rFonts w:cs="Calibri"/>
                <w:szCs w:val="16"/>
              </w:rPr>
              <w:t>8</w:t>
            </w:r>
          </w:p>
        </w:tc>
        <w:tc>
          <w:tcPr>
            <w:tcW w:w="851" w:type="dxa"/>
            <w:tcBorders>
              <w:top w:val="single" w:sz="4" w:space="0" w:color="1B556B" w:themeColor="text2"/>
              <w:left w:val="nil"/>
              <w:bottom w:val="single" w:sz="4" w:space="0" w:color="1B556B" w:themeColor="text2"/>
              <w:right w:val="nil"/>
            </w:tcBorders>
            <w:shd w:val="clear" w:color="auto" w:fill="auto"/>
          </w:tcPr>
          <w:p w14:paraId="1B853C18" w14:textId="77777777" w:rsidR="00590FE1" w:rsidRPr="001D5327" w:rsidRDefault="00590FE1" w:rsidP="00403787">
            <w:pPr>
              <w:pStyle w:val="TableText"/>
              <w:spacing w:before="40" w:after="40"/>
              <w:jc w:val="right"/>
              <w:rPr>
                <w:rFonts w:cs="Calibri"/>
                <w:szCs w:val="16"/>
              </w:rPr>
            </w:pPr>
            <w:r w:rsidRPr="001D5327">
              <w:rPr>
                <w:rFonts w:cs="Calibri"/>
                <w:szCs w:val="16"/>
              </w:rPr>
              <w:t>8</w:t>
            </w:r>
          </w:p>
        </w:tc>
        <w:tc>
          <w:tcPr>
            <w:tcW w:w="851" w:type="dxa"/>
            <w:tcBorders>
              <w:top w:val="single" w:sz="4" w:space="0" w:color="1B556B" w:themeColor="text2"/>
              <w:left w:val="nil"/>
              <w:bottom w:val="single" w:sz="4" w:space="0" w:color="1B556B" w:themeColor="text2"/>
              <w:right w:val="nil"/>
            </w:tcBorders>
            <w:shd w:val="clear" w:color="auto" w:fill="auto"/>
          </w:tcPr>
          <w:p w14:paraId="615F2288" w14:textId="77777777" w:rsidR="00590FE1" w:rsidRPr="001D5327" w:rsidRDefault="00590FE1" w:rsidP="00403787">
            <w:pPr>
              <w:pStyle w:val="TableText"/>
              <w:spacing w:before="40" w:after="40"/>
              <w:jc w:val="right"/>
              <w:rPr>
                <w:rFonts w:cs="Calibri"/>
                <w:szCs w:val="16"/>
              </w:rPr>
            </w:pPr>
            <w:r w:rsidRPr="001D5327">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19BCB5FE"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779E8B0A" w14:textId="77777777" w:rsidR="00590FE1" w:rsidRPr="001D5327" w:rsidRDefault="00590FE1" w:rsidP="00403787">
            <w:pPr>
              <w:pStyle w:val="TableText"/>
              <w:spacing w:before="40" w:after="40"/>
              <w:jc w:val="right"/>
              <w:rPr>
                <w:rFonts w:cs="Calibri"/>
                <w:szCs w:val="16"/>
              </w:rPr>
            </w:pPr>
            <w:r w:rsidRPr="001D5327">
              <w:rPr>
                <w:rFonts w:cs="Calibri"/>
                <w:szCs w:val="16"/>
              </w:rPr>
              <w:t>36</w:t>
            </w:r>
          </w:p>
        </w:tc>
      </w:tr>
      <w:tr w:rsidR="00590FE1" w:rsidRPr="001D5327" w14:paraId="0859C676"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43A74697" w14:textId="77777777" w:rsidR="00590FE1" w:rsidRPr="001D5327" w:rsidRDefault="00590FE1" w:rsidP="00403787">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034BE421" w14:textId="77777777" w:rsidR="00590FE1" w:rsidRPr="001D5327" w:rsidRDefault="00590FE1" w:rsidP="00403787">
            <w:pPr>
              <w:pStyle w:val="TableText"/>
              <w:spacing w:before="40" w:after="40"/>
              <w:rPr>
                <w:rFonts w:cs="Calibri"/>
                <w:szCs w:val="16"/>
              </w:rPr>
            </w:pPr>
            <w:r w:rsidRPr="001D5327">
              <w:rPr>
                <w:rFonts w:cs="Calibri"/>
                <w:szCs w:val="16"/>
              </w:rPr>
              <w:t>Low slope (0–12</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117B6E3A" w14:textId="77777777" w:rsidR="00590FE1" w:rsidRPr="001D5327" w:rsidRDefault="00590FE1" w:rsidP="00403787">
            <w:pPr>
              <w:pStyle w:val="TableText"/>
              <w:spacing w:before="40" w:after="40"/>
              <w:jc w:val="right"/>
              <w:rPr>
                <w:rFonts w:cs="Calibri"/>
                <w:szCs w:val="16"/>
              </w:rPr>
            </w:pPr>
            <w:r w:rsidRPr="001D5327">
              <w:rPr>
                <w:rFonts w:cs="Calibri"/>
                <w:szCs w:val="16"/>
              </w:rPr>
              <w:t>24</w:t>
            </w:r>
          </w:p>
        </w:tc>
        <w:tc>
          <w:tcPr>
            <w:tcW w:w="851" w:type="dxa"/>
            <w:tcBorders>
              <w:top w:val="single" w:sz="4" w:space="0" w:color="1B556B" w:themeColor="text2"/>
              <w:left w:val="nil"/>
              <w:bottom w:val="single" w:sz="4" w:space="0" w:color="1B556B" w:themeColor="text2"/>
              <w:right w:val="nil"/>
            </w:tcBorders>
            <w:shd w:val="clear" w:color="auto" w:fill="auto"/>
          </w:tcPr>
          <w:p w14:paraId="47406F4E"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DFAD1B7" w14:textId="77777777" w:rsidR="00590FE1" w:rsidRPr="001D5327" w:rsidRDefault="00590FE1" w:rsidP="00403787">
            <w:pPr>
              <w:pStyle w:val="TableText"/>
              <w:spacing w:before="40" w:after="40"/>
              <w:jc w:val="right"/>
              <w:rPr>
                <w:rFonts w:cs="Calibri"/>
                <w:szCs w:val="16"/>
              </w:rPr>
            </w:pPr>
            <w:r w:rsidRPr="001D5327">
              <w:rPr>
                <w:rFonts w:cs="Calibri"/>
                <w:szCs w:val="16"/>
              </w:rPr>
              <w:t>44</w:t>
            </w:r>
          </w:p>
        </w:tc>
        <w:tc>
          <w:tcPr>
            <w:tcW w:w="851" w:type="dxa"/>
            <w:tcBorders>
              <w:top w:val="single" w:sz="4" w:space="0" w:color="1B556B" w:themeColor="text2"/>
              <w:left w:val="nil"/>
              <w:bottom w:val="single" w:sz="4" w:space="0" w:color="1B556B" w:themeColor="text2"/>
              <w:right w:val="nil"/>
            </w:tcBorders>
            <w:shd w:val="clear" w:color="auto" w:fill="auto"/>
          </w:tcPr>
          <w:p w14:paraId="6A4C0CCE"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29424F0" w14:textId="77777777" w:rsidR="00590FE1" w:rsidRPr="001D5327" w:rsidRDefault="00590FE1" w:rsidP="00403787">
            <w:pPr>
              <w:pStyle w:val="TableText"/>
              <w:spacing w:before="40" w:after="40"/>
              <w:jc w:val="right"/>
              <w:rPr>
                <w:rFonts w:cs="Calibri"/>
                <w:szCs w:val="16"/>
              </w:rPr>
            </w:pPr>
            <w:r w:rsidRPr="001D5327">
              <w:rPr>
                <w:rFonts w:cs="Calibri"/>
                <w:szCs w:val="16"/>
              </w:rPr>
              <w:t>68</w:t>
            </w:r>
          </w:p>
        </w:tc>
      </w:tr>
      <w:tr w:rsidR="00590FE1" w:rsidRPr="001D5327" w14:paraId="0C589371"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771F43FB" w14:textId="77777777" w:rsidR="00590FE1" w:rsidRPr="001D5327" w:rsidRDefault="00590FE1" w:rsidP="00403787">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057FDDFA" w14:textId="77777777" w:rsidR="00590FE1" w:rsidRPr="001D5327" w:rsidRDefault="00590FE1" w:rsidP="00403787">
            <w:pPr>
              <w:pStyle w:val="TableText"/>
              <w:spacing w:before="40" w:after="40"/>
              <w:rPr>
                <w:rFonts w:cs="Calibri"/>
                <w:szCs w:val="16"/>
              </w:rPr>
            </w:pPr>
            <w:r w:rsidRPr="001D5327">
              <w:rPr>
                <w:rFonts w:cs="Calibri"/>
                <w:szCs w:val="16"/>
              </w:rPr>
              <w:t>Medium slope (12–24</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15737672" w14:textId="77777777" w:rsidR="00590FE1" w:rsidRPr="001D5327" w:rsidRDefault="00590FE1" w:rsidP="00403787">
            <w:pPr>
              <w:pStyle w:val="TableText"/>
              <w:spacing w:before="40" w:after="40"/>
              <w:jc w:val="right"/>
              <w:rPr>
                <w:rFonts w:cs="Calibri"/>
                <w:szCs w:val="16"/>
              </w:rPr>
            </w:pPr>
            <w:r w:rsidRPr="001D5327">
              <w:rPr>
                <w:rFonts w:cs="Calibri"/>
                <w:szCs w:val="16"/>
              </w:rPr>
              <w:t>30</w:t>
            </w:r>
          </w:p>
        </w:tc>
        <w:tc>
          <w:tcPr>
            <w:tcW w:w="851" w:type="dxa"/>
            <w:tcBorders>
              <w:top w:val="single" w:sz="4" w:space="0" w:color="1B556B" w:themeColor="text2"/>
              <w:left w:val="nil"/>
              <w:bottom w:val="single" w:sz="4" w:space="0" w:color="1B556B" w:themeColor="text2"/>
              <w:right w:val="nil"/>
            </w:tcBorders>
            <w:shd w:val="clear" w:color="auto" w:fill="auto"/>
          </w:tcPr>
          <w:p w14:paraId="0993B6DA" w14:textId="77777777" w:rsidR="00590FE1" w:rsidRPr="001D5327" w:rsidRDefault="00590FE1" w:rsidP="00403787">
            <w:pPr>
              <w:pStyle w:val="TableText"/>
              <w:spacing w:before="40" w:after="40"/>
              <w:jc w:val="right"/>
              <w:rPr>
                <w:rFonts w:cs="Calibri"/>
                <w:szCs w:val="16"/>
              </w:rPr>
            </w:pPr>
            <w:r w:rsidRPr="001D5327">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02DA8EF5" w14:textId="77777777" w:rsidR="00590FE1" w:rsidRPr="001D5327" w:rsidRDefault="00590FE1" w:rsidP="00403787">
            <w:pPr>
              <w:pStyle w:val="TableText"/>
              <w:spacing w:before="40" w:after="40"/>
              <w:jc w:val="right"/>
              <w:rPr>
                <w:rFonts w:cs="Calibri"/>
                <w:szCs w:val="16"/>
              </w:rPr>
            </w:pPr>
            <w:r w:rsidRPr="001D5327">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15AB049B"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5CDC593E" w14:textId="77777777" w:rsidR="00590FE1" w:rsidRPr="001D5327" w:rsidRDefault="00590FE1" w:rsidP="00403787">
            <w:pPr>
              <w:pStyle w:val="TableText"/>
              <w:spacing w:before="40" w:after="40"/>
              <w:jc w:val="right"/>
              <w:rPr>
                <w:rFonts w:cs="Calibri"/>
                <w:szCs w:val="16"/>
              </w:rPr>
            </w:pPr>
            <w:r w:rsidRPr="001D5327">
              <w:rPr>
                <w:rFonts w:cs="Calibri"/>
                <w:szCs w:val="16"/>
              </w:rPr>
              <w:t>60</w:t>
            </w:r>
          </w:p>
        </w:tc>
      </w:tr>
      <w:tr w:rsidR="00590FE1" w:rsidRPr="001D5327" w14:paraId="6AB2F18E"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3D1D0974" w14:textId="77777777" w:rsidR="00590FE1" w:rsidRPr="001D5327" w:rsidRDefault="00590FE1" w:rsidP="00403787">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1E0071D9" w14:textId="77777777" w:rsidR="00590FE1" w:rsidRPr="001D5327" w:rsidRDefault="00590FE1" w:rsidP="00403787">
            <w:pPr>
              <w:pStyle w:val="TableText"/>
              <w:spacing w:before="40" w:after="40"/>
              <w:rPr>
                <w:rFonts w:cs="Calibri"/>
                <w:szCs w:val="16"/>
              </w:rPr>
            </w:pPr>
            <w:r w:rsidRPr="001D5327">
              <w:rPr>
                <w:rFonts w:cs="Calibri"/>
                <w:szCs w:val="16"/>
              </w:rPr>
              <w:t>Steep slope (&gt;24</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121C48FB" w14:textId="77777777" w:rsidR="00590FE1" w:rsidRPr="001D5327" w:rsidRDefault="00590FE1" w:rsidP="00403787">
            <w:pPr>
              <w:pStyle w:val="TableText"/>
              <w:spacing w:before="40" w:after="40"/>
              <w:jc w:val="right"/>
              <w:rPr>
                <w:rFonts w:cs="Calibri"/>
                <w:szCs w:val="16"/>
              </w:rPr>
            </w:pPr>
            <w:r w:rsidRPr="001D5327">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62289308" w14:textId="77777777" w:rsidR="00590FE1" w:rsidRPr="001D5327" w:rsidRDefault="00590FE1" w:rsidP="00403787">
            <w:pPr>
              <w:pStyle w:val="TableText"/>
              <w:spacing w:before="40" w:after="40"/>
              <w:jc w:val="right"/>
              <w:rPr>
                <w:rFonts w:cs="Calibri"/>
                <w:szCs w:val="16"/>
              </w:rPr>
            </w:pPr>
            <w:r w:rsidRPr="001D5327">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499D8F8B"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3C98A814"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774E646" w14:textId="77777777" w:rsidR="00590FE1" w:rsidRPr="001D5327" w:rsidRDefault="00590FE1" w:rsidP="00403787">
            <w:pPr>
              <w:pStyle w:val="TableText"/>
              <w:spacing w:before="40" w:after="40"/>
              <w:jc w:val="right"/>
              <w:rPr>
                <w:rFonts w:cs="Calibri"/>
                <w:szCs w:val="16"/>
              </w:rPr>
            </w:pPr>
            <w:r w:rsidRPr="001D5327">
              <w:rPr>
                <w:rFonts w:cs="Calibri"/>
                <w:szCs w:val="16"/>
              </w:rPr>
              <w:t>20</w:t>
            </w:r>
          </w:p>
        </w:tc>
      </w:tr>
      <w:tr w:rsidR="00590FE1" w:rsidRPr="001D5327" w14:paraId="6DE5A691"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6DE9C487" w14:textId="77777777" w:rsidR="00590FE1" w:rsidRPr="001D5327" w:rsidRDefault="00590FE1" w:rsidP="00403787">
            <w:pPr>
              <w:pStyle w:val="TableText"/>
              <w:spacing w:before="40" w:after="40"/>
              <w:rPr>
                <w:rFonts w:cs="Calibri"/>
                <w:szCs w:val="16"/>
              </w:rPr>
            </w:pPr>
            <w:r w:rsidRPr="001D5327">
              <w:rPr>
                <w:rFonts w:cs="Calibri"/>
                <w:szCs w:val="16"/>
              </w:rPr>
              <w:t>Sheep dung</w:t>
            </w:r>
          </w:p>
        </w:tc>
        <w:tc>
          <w:tcPr>
            <w:tcW w:w="1814" w:type="dxa"/>
            <w:tcBorders>
              <w:top w:val="single" w:sz="4" w:space="0" w:color="1B556B" w:themeColor="text2"/>
              <w:left w:val="nil"/>
              <w:bottom w:val="single" w:sz="4" w:space="0" w:color="1B556B" w:themeColor="text2"/>
              <w:right w:val="nil"/>
            </w:tcBorders>
          </w:tcPr>
          <w:p w14:paraId="3C25571E" w14:textId="77777777" w:rsidR="00590FE1" w:rsidRPr="001D5327" w:rsidRDefault="00590FE1" w:rsidP="00403787">
            <w:pPr>
              <w:pStyle w:val="TableText"/>
              <w:spacing w:before="40" w:after="40"/>
              <w:rPr>
                <w:rFonts w:cs="Calibri"/>
                <w:szCs w:val="16"/>
              </w:rPr>
            </w:pPr>
            <w:r w:rsidRPr="001D5327">
              <w:rPr>
                <w:rFonts w:cs="Calibri"/>
                <w:szCs w:val="16"/>
              </w:rPr>
              <w:t>Flatland (0</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7F8BFF46" w14:textId="77777777" w:rsidR="00590FE1" w:rsidRPr="001D5327" w:rsidRDefault="00590FE1" w:rsidP="00403787">
            <w:pPr>
              <w:pStyle w:val="TableText"/>
              <w:spacing w:before="40" w:after="40"/>
              <w:jc w:val="right"/>
              <w:rPr>
                <w:rFonts w:cs="Calibri"/>
                <w:szCs w:val="16"/>
              </w:rPr>
            </w:pPr>
            <w:r w:rsidRPr="001D5327">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38CD176B" w14:textId="77777777" w:rsidR="00590FE1" w:rsidRPr="001D5327" w:rsidRDefault="00590FE1" w:rsidP="00403787">
            <w:pPr>
              <w:pStyle w:val="TableText"/>
              <w:spacing w:before="40" w:after="40"/>
              <w:jc w:val="right"/>
              <w:rPr>
                <w:rFonts w:cs="Calibri"/>
                <w:szCs w:val="16"/>
              </w:rPr>
            </w:pPr>
            <w:r w:rsidRPr="001D5327">
              <w:rPr>
                <w:rFonts w:cs="Calibri"/>
                <w:szCs w:val="16"/>
              </w:rPr>
              <w:t>16</w:t>
            </w:r>
          </w:p>
        </w:tc>
        <w:tc>
          <w:tcPr>
            <w:tcW w:w="851" w:type="dxa"/>
            <w:tcBorders>
              <w:top w:val="single" w:sz="4" w:space="0" w:color="1B556B" w:themeColor="text2"/>
              <w:left w:val="nil"/>
              <w:bottom w:val="single" w:sz="4" w:space="0" w:color="1B556B" w:themeColor="text2"/>
              <w:right w:val="nil"/>
            </w:tcBorders>
            <w:shd w:val="clear" w:color="auto" w:fill="auto"/>
          </w:tcPr>
          <w:p w14:paraId="2F08286F" w14:textId="77777777" w:rsidR="00590FE1" w:rsidRPr="001D5327" w:rsidRDefault="00590FE1" w:rsidP="00403787">
            <w:pPr>
              <w:pStyle w:val="TableText"/>
              <w:spacing w:before="40" w:after="40"/>
              <w:jc w:val="right"/>
              <w:rPr>
                <w:rFonts w:cs="Calibri"/>
                <w:szCs w:val="16"/>
              </w:rPr>
            </w:pPr>
            <w:r w:rsidRPr="001D5327">
              <w:rPr>
                <w:rFonts w:cs="Calibri"/>
                <w:szCs w:val="16"/>
              </w:rPr>
              <w:t>28</w:t>
            </w:r>
          </w:p>
        </w:tc>
        <w:tc>
          <w:tcPr>
            <w:tcW w:w="851" w:type="dxa"/>
            <w:tcBorders>
              <w:top w:val="single" w:sz="4" w:space="0" w:color="1B556B" w:themeColor="text2"/>
              <w:left w:val="nil"/>
              <w:bottom w:val="single" w:sz="4" w:space="0" w:color="1B556B" w:themeColor="text2"/>
              <w:right w:val="nil"/>
            </w:tcBorders>
            <w:shd w:val="clear" w:color="auto" w:fill="auto"/>
          </w:tcPr>
          <w:p w14:paraId="6703E584"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1B88E5D4" w14:textId="77777777" w:rsidR="00590FE1" w:rsidRPr="001D5327" w:rsidRDefault="00590FE1" w:rsidP="00403787">
            <w:pPr>
              <w:pStyle w:val="TableText"/>
              <w:spacing w:before="40" w:after="40"/>
              <w:jc w:val="right"/>
              <w:rPr>
                <w:rFonts w:cs="Calibri"/>
                <w:szCs w:val="16"/>
              </w:rPr>
            </w:pPr>
            <w:r w:rsidRPr="001D5327">
              <w:rPr>
                <w:rFonts w:cs="Calibri"/>
                <w:szCs w:val="16"/>
              </w:rPr>
              <w:t>54</w:t>
            </w:r>
          </w:p>
        </w:tc>
      </w:tr>
      <w:tr w:rsidR="00590FE1" w:rsidRPr="001D5327" w14:paraId="04AF26E2"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1E33FD7E" w14:textId="77777777" w:rsidR="00590FE1" w:rsidRPr="001D5327" w:rsidRDefault="00590FE1" w:rsidP="00403787">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4B908524" w14:textId="77777777" w:rsidR="00590FE1" w:rsidRPr="001D5327" w:rsidRDefault="00590FE1" w:rsidP="00403787">
            <w:pPr>
              <w:pStyle w:val="TableText"/>
              <w:spacing w:before="40" w:after="40"/>
              <w:rPr>
                <w:rFonts w:cs="Calibri"/>
                <w:szCs w:val="16"/>
              </w:rPr>
            </w:pPr>
            <w:r w:rsidRPr="001D5327">
              <w:rPr>
                <w:rFonts w:cs="Calibri"/>
                <w:szCs w:val="16"/>
              </w:rPr>
              <w:t>Low slope (0–12</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0250A307" w14:textId="77777777" w:rsidR="00590FE1" w:rsidRPr="001D5327" w:rsidRDefault="00590FE1" w:rsidP="00403787">
            <w:pPr>
              <w:pStyle w:val="TableText"/>
              <w:spacing w:before="40" w:after="40"/>
              <w:jc w:val="right"/>
              <w:rPr>
                <w:rFonts w:cs="Calibri"/>
                <w:szCs w:val="16"/>
              </w:rPr>
            </w:pPr>
            <w:r w:rsidRPr="001D5327">
              <w:rPr>
                <w:rFonts w:cs="Calibri"/>
                <w:szCs w:val="16"/>
              </w:rPr>
              <w:t>20</w:t>
            </w:r>
          </w:p>
        </w:tc>
        <w:tc>
          <w:tcPr>
            <w:tcW w:w="851" w:type="dxa"/>
            <w:tcBorders>
              <w:top w:val="single" w:sz="4" w:space="0" w:color="1B556B" w:themeColor="text2"/>
              <w:left w:val="nil"/>
              <w:bottom w:val="single" w:sz="4" w:space="0" w:color="1B556B" w:themeColor="text2"/>
              <w:right w:val="nil"/>
            </w:tcBorders>
            <w:shd w:val="clear" w:color="auto" w:fill="auto"/>
          </w:tcPr>
          <w:p w14:paraId="6A8AFB10" w14:textId="77777777" w:rsidR="00590FE1" w:rsidRPr="001D5327" w:rsidRDefault="00590FE1" w:rsidP="00403787">
            <w:pPr>
              <w:pStyle w:val="TableText"/>
              <w:spacing w:before="40" w:after="40"/>
              <w:jc w:val="right"/>
              <w:rPr>
                <w:rFonts w:cs="Calibri"/>
                <w:szCs w:val="16"/>
              </w:rPr>
            </w:pPr>
            <w:r w:rsidRPr="001D5327">
              <w:rPr>
                <w:rFonts w:cs="Calibri"/>
                <w:szCs w:val="16"/>
              </w:rPr>
              <w:t>8</w:t>
            </w:r>
          </w:p>
        </w:tc>
        <w:tc>
          <w:tcPr>
            <w:tcW w:w="851" w:type="dxa"/>
            <w:tcBorders>
              <w:top w:val="single" w:sz="4" w:space="0" w:color="1B556B" w:themeColor="text2"/>
              <w:left w:val="nil"/>
              <w:bottom w:val="single" w:sz="4" w:space="0" w:color="1B556B" w:themeColor="text2"/>
              <w:right w:val="nil"/>
            </w:tcBorders>
            <w:shd w:val="clear" w:color="auto" w:fill="auto"/>
          </w:tcPr>
          <w:p w14:paraId="70CE8581" w14:textId="77777777" w:rsidR="00590FE1" w:rsidRPr="001D5327" w:rsidRDefault="00590FE1" w:rsidP="00403787">
            <w:pPr>
              <w:pStyle w:val="TableText"/>
              <w:spacing w:before="40" w:after="40"/>
              <w:jc w:val="right"/>
              <w:rPr>
                <w:rFonts w:cs="Calibri"/>
                <w:szCs w:val="16"/>
              </w:rPr>
            </w:pPr>
            <w:r w:rsidRPr="001D5327">
              <w:rPr>
                <w:rFonts w:cs="Calibri"/>
                <w:szCs w:val="16"/>
              </w:rPr>
              <w:t>8</w:t>
            </w:r>
          </w:p>
        </w:tc>
        <w:tc>
          <w:tcPr>
            <w:tcW w:w="851" w:type="dxa"/>
            <w:tcBorders>
              <w:top w:val="single" w:sz="4" w:space="0" w:color="1B556B" w:themeColor="text2"/>
              <w:left w:val="nil"/>
              <w:bottom w:val="single" w:sz="4" w:space="0" w:color="1B556B" w:themeColor="text2"/>
              <w:right w:val="nil"/>
            </w:tcBorders>
            <w:shd w:val="clear" w:color="auto" w:fill="auto"/>
          </w:tcPr>
          <w:p w14:paraId="3DE49DE6"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68A5A19" w14:textId="77777777" w:rsidR="00590FE1" w:rsidRPr="001D5327" w:rsidRDefault="00590FE1" w:rsidP="00403787">
            <w:pPr>
              <w:pStyle w:val="TableText"/>
              <w:spacing w:before="40" w:after="40"/>
              <w:jc w:val="right"/>
              <w:rPr>
                <w:rFonts w:cs="Calibri"/>
                <w:szCs w:val="16"/>
              </w:rPr>
            </w:pPr>
            <w:r w:rsidRPr="001D5327">
              <w:rPr>
                <w:rFonts w:cs="Calibri"/>
                <w:szCs w:val="16"/>
              </w:rPr>
              <w:t>36</w:t>
            </w:r>
          </w:p>
        </w:tc>
      </w:tr>
      <w:tr w:rsidR="00590FE1" w:rsidRPr="001D5327" w14:paraId="15DF4864"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4E736F9D" w14:textId="77777777" w:rsidR="00590FE1" w:rsidRPr="001D5327" w:rsidRDefault="00590FE1" w:rsidP="00403787">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3D8DA6C3" w14:textId="77777777" w:rsidR="00590FE1" w:rsidRPr="001D5327" w:rsidRDefault="00590FE1" w:rsidP="00403787">
            <w:pPr>
              <w:pStyle w:val="TableText"/>
              <w:spacing w:before="40" w:after="40"/>
              <w:rPr>
                <w:rFonts w:cs="Calibri"/>
                <w:szCs w:val="16"/>
              </w:rPr>
            </w:pPr>
            <w:r w:rsidRPr="001D5327">
              <w:rPr>
                <w:rFonts w:cs="Calibri"/>
                <w:szCs w:val="16"/>
              </w:rPr>
              <w:t>Medium slope (12–24</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7E4360AD" w14:textId="77777777" w:rsidR="00590FE1" w:rsidRPr="001D5327" w:rsidRDefault="00590FE1" w:rsidP="00403787">
            <w:pPr>
              <w:pStyle w:val="TableText"/>
              <w:spacing w:before="40" w:after="40"/>
              <w:jc w:val="right"/>
              <w:rPr>
                <w:rFonts w:cs="Calibri"/>
                <w:szCs w:val="16"/>
              </w:rPr>
            </w:pPr>
            <w:r w:rsidRPr="001D5327">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79E0C4E1" w14:textId="77777777" w:rsidR="00590FE1" w:rsidRPr="001D5327" w:rsidRDefault="00590FE1" w:rsidP="00403787">
            <w:pPr>
              <w:pStyle w:val="TableText"/>
              <w:spacing w:before="40" w:after="40"/>
              <w:jc w:val="right"/>
              <w:rPr>
                <w:rFonts w:cs="Calibri"/>
                <w:szCs w:val="16"/>
              </w:rPr>
            </w:pPr>
            <w:r w:rsidRPr="001D5327">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3EEDEBA4"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4875CED1"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A8BF267" w14:textId="77777777" w:rsidR="00590FE1" w:rsidRPr="001D5327" w:rsidRDefault="00590FE1" w:rsidP="00403787">
            <w:pPr>
              <w:pStyle w:val="TableText"/>
              <w:spacing w:before="40" w:after="40"/>
              <w:jc w:val="right"/>
              <w:rPr>
                <w:rFonts w:cs="Calibri"/>
                <w:szCs w:val="16"/>
              </w:rPr>
            </w:pPr>
            <w:r w:rsidRPr="001D5327">
              <w:rPr>
                <w:rFonts w:cs="Calibri"/>
                <w:szCs w:val="16"/>
              </w:rPr>
              <w:t>20</w:t>
            </w:r>
          </w:p>
        </w:tc>
      </w:tr>
      <w:tr w:rsidR="00590FE1" w:rsidRPr="001D5327" w14:paraId="28F0D412"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31E8D82E" w14:textId="77777777" w:rsidR="00590FE1" w:rsidRPr="001D5327" w:rsidRDefault="00590FE1" w:rsidP="00403787">
            <w:pPr>
              <w:pStyle w:val="TableText"/>
              <w:spacing w:before="40" w:after="40"/>
              <w:jc w:val="right"/>
              <w:rPr>
                <w:rFonts w:cs="Calibri"/>
                <w:szCs w:val="16"/>
              </w:rPr>
            </w:pPr>
          </w:p>
        </w:tc>
        <w:tc>
          <w:tcPr>
            <w:tcW w:w="1814" w:type="dxa"/>
            <w:tcBorders>
              <w:top w:val="single" w:sz="4" w:space="0" w:color="1B556B" w:themeColor="text2"/>
              <w:left w:val="nil"/>
              <w:bottom w:val="single" w:sz="4" w:space="0" w:color="1B556B" w:themeColor="text2"/>
              <w:right w:val="nil"/>
            </w:tcBorders>
          </w:tcPr>
          <w:p w14:paraId="4CBA2ADC" w14:textId="77777777" w:rsidR="00590FE1" w:rsidRPr="001D5327" w:rsidRDefault="00590FE1" w:rsidP="00403787">
            <w:pPr>
              <w:pStyle w:val="TableText"/>
              <w:spacing w:before="40" w:after="40"/>
              <w:rPr>
                <w:rFonts w:cs="Calibri"/>
                <w:szCs w:val="16"/>
              </w:rPr>
            </w:pPr>
            <w:r w:rsidRPr="001D5327">
              <w:rPr>
                <w:rFonts w:cs="Calibri"/>
                <w:szCs w:val="16"/>
              </w:rPr>
              <w:t>Steep slope (&gt;24</w:t>
            </w:r>
            <w:r w:rsidRPr="001D5327">
              <w:rPr>
                <w:rFonts w:cs="Calibri"/>
                <w:szCs w:val="16"/>
                <w:vertAlign w:val="superscript"/>
              </w:rPr>
              <w:t>o</w:t>
            </w:r>
            <w:r w:rsidRPr="001D5327">
              <w:rPr>
                <w:rFonts w:cs="Calibri"/>
                <w:szCs w:val="16"/>
              </w:rPr>
              <w:t>)</w:t>
            </w:r>
          </w:p>
        </w:tc>
        <w:tc>
          <w:tcPr>
            <w:tcW w:w="851" w:type="dxa"/>
            <w:tcBorders>
              <w:top w:val="single" w:sz="4" w:space="0" w:color="1B556B" w:themeColor="text2"/>
              <w:left w:val="nil"/>
              <w:bottom w:val="single" w:sz="4" w:space="0" w:color="1B556B" w:themeColor="text2"/>
              <w:right w:val="nil"/>
            </w:tcBorders>
            <w:shd w:val="clear" w:color="auto" w:fill="auto"/>
          </w:tcPr>
          <w:p w14:paraId="1D0B2512" w14:textId="77777777" w:rsidR="00590FE1" w:rsidRPr="001D5327" w:rsidRDefault="00590FE1" w:rsidP="00403787">
            <w:pPr>
              <w:pStyle w:val="TableText"/>
              <w:spacing w:before="40" w:after="40"/>
              <w:jc w:val="right"/>
              <w:rPr>
                <w:rFonts w:cs="Calibri"/>
                <w:szCs w:val="16"/>
              </w:rPr>
            </w:pPr>
            <w:r w:rsidRPr="001D5327">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4F99F3A3" w14:textId="77777777" w:rsidR="00590FE1" w:rsidRPr="001D5327" w:rsidRDefault="00590FE1" w:rsidP="00403787">
            <w:pPr>
              <w:pStyle w:val="TableText"/>
              <w:spacing w:before="40" w:after="40"/>
              <w:jc w:val="right"/>
              <w:rPr>
                <w:rFonts w:cs="Calibri"/>
                <w:szCs w:val="16"/>
              </w:rPr>
            </w:pPr>
            <w:r w:rsidRPr="001D5327">
              <w:rPr>
                <w:rFonts w:cs="Calibri"/>
                <w:szCs w:val="16"/>
              </w:rPr>
              <w:t>10</w:t>
            </w:r>
          </w:p>
        </w:tc>
        <w:tc>
          <w:tcPr>
            <w:tcW w:w="851" w:type="dxa"/>
            <w:tcBorders>
              <w:top w:val="single" w:sz="4" w:space="0" w:color="1B556B" w:themeColor="text2"/>
              <w:left w:val="nil"/>
              <w:bottom w:val="single" w:sz="4" w:space="0" w:color="1B556B" w:themeColor="text2"/>
              <w:right w:val="nil"/>
            </w:tcBorders>
            <w:shd w:val="clear" w:color="auto" w:fill="auto"/>
          </w:tcPr>
          <w:p w14:paraId="602494B9"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766A553F" w14:textId="77777777" w:rsidR="00590FE1" w:rsidRPr="001D5327" w:rsidRDefault="00590FE1" w:rsidP="00403787">
            <w:pPr>
              <w:pStyle w:val="TableText"/>
              <w:spacing w:before="40" w:after="40"/>
              <w:jc w:val="right"/>
              <w:rPr>
                <w:rFonts w:cs="Calibri"/>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68553C22" w14:textId="77777777" w:rsidR="00590FE1" w:rsidRPr="001D5327" w:rsidRDefault="00590FE1" w:rsidP="00403787">
            <w:pPr>
              <w:pStyle w:val="TableText"/>
              <w:spacing w:before="40" w:after="40"/>
              <w:jc w:val="right"/>
              <w:rPr>
                <w:rFonts w:cs="Calibri"/>
                <w:szCs w:val="16"/>
              </w:rPr>
            </w:pPr>
            <w:r w:rsidRPr="001D5327">
              <w:rPr>
                <w:rFonts w:cs="Calibri"/>
                <w:szCs w:val="16"/>
              </w:rPr>
              <w:t>20</w:t>
            </w:r>
          </w:p>
        </w:tc>
      </w:tr>
      <w:tr w:rsidR="00590FE1" w:rsidRPr="001D5327" w14:paraId="0277A9FE"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3A0489B6" w14:textId="77777777" w:rsidR="00590FE1" w:rsidRPr="001D5327" w:rsidRDefault="00590FE1" w:rsidP="00403787">
            <w:pPr>
              <w:pStyle w:val="Tableboldblue"/>
              <w:spacing w:before="40" w:after="40"/>
              <w:rPr>
                <w:rFonts w:cs="Calibri"/>
                <w:color w:val="1B556B"/>
                <w:szCs w:val="16"/>
              </w:rPr>
            </w:pPr>
            <w:r w:rsidRPr="001D5327">
              <w:rPr>
                <w:rFonts w:cs="Calibri"/>
                <w:color w:val="1B556B"/>
                <w:szCs w:val="16"/>
              </w:rPr>
              <w:t>Total urine</w:t>
            </w:r>
          </w:p>
        </w:tc>
        <w:tc>
          <w:tcPr>
            <w:tcW w:w="1814" w:type="dxa"/>
            <w:tcBorders>
              <w:top w:val="single" w:sz="4" w:space="0" w:color="1B556B" w:themeColor="text2"/>
              <w:left w:val="nil"/>
              <w:bottom w:val="single" w:sz="4" w:space="0" w:color="1B556B" w:themeColor="text2"/>
              <w:right w:val="nil"/>
            </w:tcBorders>
          </w:tcPr>
          <w:p w14:paraId="5B23D66B" w14:textId="77777777" w:rsidR="00590FE1" w:rsidRPr="001D5327" w:rsidRDefault="00590FE1" w:rsidP="00403787">
            <w:pPr>
              <w:pStyle w:val="Tableboldblue"/>
              <w:spacing w:before="40" w:after="40"/>
              <w:rPr>
                <w:rFonts w:cs="Calibri"/>
                <w:color w:val="1B556B"/>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08E5B5C5" w14:textId="77777777" w:rsidR="00590FE1" w:rsidRPr="001D5327" w:rsidRDefault="00590FE1" w:rsidP="00403787">
            <w:pPr>
              <w:pStyle w:val="Tableboldblue"/>
              <w:spacing w:before="40" w:after="40"/>
              <w:jc w:val="right"/>
              <w:rPr>
                <w:rFonts w:cs="Calibri"/>
                <w:color w:val="1B556B"/>
                <w:szCs w:val="16"/>
              </w:rPr>
            </w:pPr>
            <w:r w:rsidRPr="001D5327">
              <w:rPr>
                <w:rFonts w:cs="Calibri"/>
                <w:color w:val="1B556B"/>
                <w:szCs w:val="16"/>
              </w:rPr>
              <w:t>254</w:t>
            </w:r>
          </w:p>
        </w:tc>
        <w:tc>
          <w:tcPr>
            <w:tcW w:w="851" w:type="dxa"/>
            <w:tcBorders>
              <w:top w:val="single" w:sz="4" w:space="0" w:color="1B556B" w:themeColor="text2"/>
              <w:left w:val="nil"/>
              <w:bottom w:val="single" w:sz="4" w:space="0" w:color="1B556B" w:themeColor="text2"/>
              <w:right w:val="nil"/>
            </w:tcBorders>
            <w:shd w:val="clear" w:color="auto" w:fill="auto"/>
          </w:tcPr>
          <w:p w14:paraId="6F7AF372" w14:textId="77777777" w:rsidR="00590FE1" w:rsidRPr="001D5327" w:rsidRDefault="00590FE1" w:rsidP="00403787">
            <w:pPr>
              <w:pStyle w:val="Tableboldblue"/>
              <w:spacing w:before="40" w:after="40"/>
              <w:jc w:val="right"/>
              <w:rPr>
                <w:rFonts w:cs="Calibri"/>
                <w:color w:val="1B556B"/>
                <w:szCs w:val="16"/>
              </w:rPr>
            </w:pPr>
            <w:r w:rsidRPr="001D5327">
              <w:rPr>
                <w:rFonts w:cs="Calibri"/>
                <w:color w:val="1B556B"/>
                <w:szCs w:val="16"/>
              </w:rPr>
              <w:t>255</w:t>
            </w:r>
          </w:p>
        </w:tc>
        <w:tc>
          <w:tcPr>
            <w:tcW w:w="851" w:type="dxa"/>
            <w:tcBorders>
              <w:top w:val="single" w:sz="4" w:space="0" w:color="1B556B" w:themeColor="text2"/>
              <w:left w:val="nil"/>
              <w:bottom w:val="single" w:sz="4" w:space="0" w:color="1B556B" w:themeColor="text2"/>
              <w:right w:val="nil"/>
            </w:tcBorders>
            <w:shd w:val="clear" w:color="auto" w:fill="auto"/>
          </w:tcPr>
          <w:p w14:paraId="5ADA550C" w14:textId="77777777" w:rsidR="00590FE1" w:rsidRPr="001D5327" w:rsidRDefault="00590FE1" w:rsidP="00403787">
            <w:pPr>
              <w:pStyle w:val="Tableboldblue"/>
              <w:spacing w:before="40" w:after="40"/>
              <w:jc w:val="right"/>
              <w:rPr>
                <w:rFonts w:cs="Calibri"/>
                <w:color w:val="1B556B"/>
                <w:szCs w:val="16"/>
              </w:rPr>
            </w:pPr>
            <w:r w:rsidRPr="001D5327">
              <w:rPr>
                <w:rFonts w:cs="Calibri"/>
                <w:color w:val="1B556B"/>
                <w:szCs w:val="16"/>
              </w:rPr>
              <w:t>200</w:t>
            </w:r>
          </w:p>
        </w:tc>
        <w:tc>
          <w:tcPr>
            <w:tcW w:w="851" w:type="dxa"/>
            <w:tcBorders>
              <w:top w:val="single" w:sz="4" w:space="0" w:color="1B556B" w:themeColor="text2"/>
              <w:left w:val="nil"/>
              <w:bottom w:val="single" w:sz="4" w:space="0" w:color="1B556B" w:themeColor="text2"/>
              <w:right w:val="nil"/>
            </w:tcBorders>
            <w:shd w:val="clear" w:color="auto" w:fill="auto"/>
          </w:tcPr>
          <w:p w14:paraId="04FD9849" w14:textId="77777777" w:rsidR="00590FE1" w:rsidRPr="001D5327" w:rsidRDefault="00590FE1" w:rsidP="00403787">
            <w:pPr>
              <w:pStyle w:val="Tableboldblue"/>
              <w:spacing w:before="40" w:after="40"/>
              <w:jc w:val="right"/>
              <w:rPr>
                <w:rFonts w:cs="Calibri"/>
                <w:color w:val="1B556B"/>
                <w:szCs w:val="16"/>
              </w:rPr>
            </w:pPr>
            <w:r w:rsidRPr="001D5327">
              <w:rPr>
                <w:rFonts w:cs="Calibri"/>
                <w:color w:val="1B556B"/>
                <w:szCs w:val="16"/>
              </w:rPr>
              <w:t>72</w:t>
            </w:r>
          </w:p>
        </w:tc>
        <w:tc>
          <w:tcPr>
            <w:tcW w:w="851" w:type="dxa"/>
            <w:tcBorders>
              <w:top w:val="single" w:sz="4" w:space="0" w:color="1B556B" w:themeColor="text2"/>
              <w:left w:val="nil"/>
              <w:bottom w:val="single" w:sz="4" w:space="0" w:color="1B556B" w:themeColor="text2"/>
              <w:right w:val="nil"/>
            </w:tcBorders>
            <w:shd w:val="clear" w:color="auto" w:fill="auto"/>
          </w:tcPr>
          <w:p w14:paraId="0FC7E3B7" w14:textId="77777777" w:rsidR="00590FE1" w:rsidRPr="001D5327" w:rsidRDefault="00590FE1" w:rsidP="00403787">
            <w:pPr>
              <w:pStyle w:val="Tableboldblue"/>
              <w:spacing w:before="40" w:after="40"/>
              <w:jc w:val="right"/>
              <w:rPr>
                <w:rFonts w:cs="Calibri"/>
                <w:color w:val="1B556B"/>
                <w:szCs w:val="16"/>
              </w:rPr>
            </w:pPr>
            <w:r w:rsidRPr="001D5327">
              <w:rPr>
                <w:rFonts w:cs="Calibri"/>
                <w:color w:val="1B556B"/>
                <w:szCs w:val="16"/>
              </w:rPr>
              <w:t>781</w:t>
            </w:r>
          </w:p>
        </w:tc>
      </w:tr>
      <w:tr w:rsidR="00590FE1" w:rsidRPr="001D5327" w14:paraId="079AA970"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43C125D4" w14:textId="77777777" w:rsidR="00590FE1" w:rsidRPr="001D5327" w:rsidRDefault="00590FE1" w:rsidP="00403787">
            <w:pPr>
              <w:pStyle w:val="Tableboldblue"/>
              <w:spacing w:before="40" w:after="40"/>
              <w:rPr>
                <w:rFonts w:cs="Calibri"/>
                <w:color w:val="1B556B"/>
                <w:szCs w:val="16"/>
              </w:rPr>
            </w:pPr>
            <w:r w:rsidRPr="001D5327">
              <w:rPr>
                <w:rFonts w:cs="Calibri"/>
                <w:color w:val="1B556B"/>
                <w:szCs w:val="16"/>
              </w:rPr>
              <w:t>Total dung</w:t>
            </w:r>
          </w:p>
        </w:tc>
        <w:tc>
          <w:tcPr>
            <w:tcW w:w="1814" w:type="dxa"/>
            <w:tcBorders>
              <w:top w:val="single" w:sz="4" w:space="0" w:color="1B556B" w:themeColor="text2"/>
              <w:left w:val="nil"/>
              <w:bottom w:val="single" w:sz="4" w:space="0" w:color="1B556B" w:themeColor="text2"/>
              <w:right w:val="nil"/>
            </w:tcBorders>
          </w:tcPr>
          <w:p w14:paraId="63D50477" w14:textId="77777777" w:rsidR="00590FE1" w:rsidRPr="001D5327" w:rsidRDefault="00590FE1" w:rsidP="00403787">
            <w:pPr>
              <w:pStyle w:val="Tableboldblue"/>
              <w:spacing w:before="40" w:after="40"/>
              <w:rPr>
                <w:rFonts w:cs="Calibri"/>
                <w:color w:val="1B556B"/>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7E1940E3" w14:textId="77777777" w:rsidR="00590FE1" w:rsidRPr="001D5327" w:rsidRDefault="00590FE1" w:rsidP="00403787">
            <w:pPr>
              <w:pStyle w:val="Tableboldblue"/>
              <w:spacing w:before="40" w:after="40"/>
              <w:jc w:val="right"/>
              <w:rPr>
                <w:rFonts w:cs="Calibri"/>
                <w:color w:val="1B556B"/>
                <w:szCs w:val="16"/>
              </w:rPr>
            </w:pPr>
            <w:r w:rsidRPr="001D5327">
              <w:rPr>
                <w:rFonts w:cs="Calibri"/>
                <w:color w:val="1B556B"/>
                <w:szCs w:val="16"/>
              </w:rPr>
              <w:t>104</w:t>
            </w:r>
          </w:p>
        </w:tc>
        <w:tc>
          <w:tcPr>
            <w:tcW w:w="851" w:type="dxa"/>
            <w:tcBorders>
              <w:top w:val="single" w:sz="4" w:space="0" w:color="1B556B" w:themeColor="text2"/>
              <w:left w:val="nil"/>
              <w:bottom w:val="single" w:sz="4" w:space="0" w:color="1B556B" w:themeColor="text2"/>
              <w:right w:val="nil"/>
            </w:tcBorders>
            <w:shd w:val="clear" w:color="auto" w:fill="auto"/>
          </w:tcPr>
          <w:p w14:paraId="29DB47BE" w14:textId="77777777" w:rsidR="00590FE1" w:rsidRPr="001D5327" w:rsidRDefault="00590FE1" w:rsidP="00403787">
            <w:pPr>
              <w:pStyle w:val="Tableboldblue"/>
              <w:spacing w:before="40" w:after="40"/>
              <w:jc w:val="right"/>
              <w:rPr>
                <w:rFonts w:cs="Calibri"/>
                <w:color w:val="1B556B"/>
                <w:szCs w:val="16"/>
              </w:rPr>
            </w:pPr>
            <w:r w:rsidRPr="001D5327">
              <w:rPr>
                <w:rFonts w:cs="Calibri"/>
                <w:color w:val="1B556B"/>
                <w:szCs w:val="16"/>
              </w:rPr>
              <w:t>192</w:t>
            </w:r>
          </w:p>
        </w:tc>
        <w:tc>
          <w:tcPr>
            <w:tcW w:w="851" w:type="dxa"/>
            <w:tcBorders>
              <w:top w:val="single" w:sz="4" w:space="0" w:color="1B556B" w:themeColor="text2"/>
              <w:left w:val="nil"/>
              <w:bottom w:val="single" w:sz="4" w:space="0" w:color="1B556B" w:themeColor="text2"/>
              <w:right w:val="nil"/>
            </w:tcBorders>
            <w:shd w:val="clear" w:color="auto" w:fill="auto"/>
          </w:tcPr>
          <w:p w14:paraId="5C5C007D" w14:textId="77777777" w:rsidR="00590FE1" w:rsidRPr="001D5327" w:rsidRDefault="00590FE1" w:rsidP="00403787">
            <w:pPr>
              <w:pStyle w:val="Tableboldblue"/>
              <w:spacing w:before="40" w:after="40"/>
              <w:jc w:val="right"/>
              <w:rPr>
                <w:rFonts w:cs="Calibri"/>
                <w:color w:val="1B556B"/>
                <w:szCs w:val="16"/>
              </w:rPr>
            </w:pPr>
            <w:r w:rsidRPr="001D5327">
              <w:rPr>
                <w:rFonts w:cs="Calibri"/>
                <w:color w:val="1B556B"/>
                <w:szCs w:val="16"/>
              </w:rPr>
              <w:t>80</w:t>
            </w:r>
          </w:p>
        </w:tc>
        <w:tc>
          <w:tcPr>
            <w:tcW w:w="851" w:type="dxa"/>
            <w:tcBorders>
              <w:top w:val="single" w:sz="4" w:space="0" w:color="1B556B" w:themeColor="text2"/>
              <w:left w:val="nil"/>
              <w:bottom w:val="single" w:sz="4" w:space="0" w:color="1B556B" w:themeColor="text2"/>
              <w:right w:val="nil"/>
            </w:tcBorders>
            <w:shd w:val="clear" w:color="auto" w:fill="auto"/>
          </w:tcPr>
          <w:p w14:paraId="508BABA7" w14:textId="77777777" w:rsidR="00590FE1" w:rsidRPr="001D5327" w:rsidRDefault="00590FE1" w:rsidP="00403787">
            <w:pPr>
              <w:pStyle w:val="Tableboldblue"/>
              <w:spacing w:before="40" w:after="40"/>
              <w:jc w:val="right"/>
              <w:rPr>
                <w:rFonts w:cs="Calibri"/>
                <w:color w:val="1B556B"/>
                <w:szCs w:val="16"/>
              </w:rPr>
            </w:pPr>
            <w:r w:rsidRPr="001D5327">
              <w:rPr>
                <w:rFonts w:cs="Calibri"/>
                <w:color w:val="1B556B"/>
                <w:szCs w:val="16"/>
              </w:rPr>
              <w:t>60</w:t>
            </w:r>
          </w:p>
        </w:tc>
        <w:tc>
          <w:tcPr>
            <w:tcW w:w="851" w:type="dxa"/>
            <w:tcBorders>
              <w:top w:val="single" w:sz="4" w:space="0" w:color="1B556B" w:themeColor="text2"/>
              <w:left w:val="nil"/>
              <w:bottom w:val="single" w:sz="4" w:space="0" w:color="1B556B" w:themeColor="text2"/>
              <w:right w:val="nil"/>
            </w:tcBorders>
            <w:shd w:val="clear" w:color="auto" w:fill="auto"/>
          </w:tcPr>
          <w:p w14:paraId="19450342" w14:textId="77777777" w:rsidR="00590FE1" w:rsidRPr="001D5327" w:rsidRDefault="00590FE1" w:rsidP="00403787">
            <w:pPr>
              <w:pStyle w:val="Tableboldblue"/>
              <w:spacing w:before="40" w:after="40"/>
              <w:jc w:val="right"/>
              <w:rPr>
                <w:rFonts w:cs="Calibri"/>
                <w:color w:val="1B556B"/>
                <w:szCs w:val="16"/>
              </w:rPr>
            </w:pPr>
            <w:r w:rsidRPr="001D5327">
              <w:rPr>
                <w:rFonts w:cs="Calibri"/>
                <w:color w:val="1B556B"/>
                <w:szCs w:val="16"/>
              </w:rPr>
              <w:t>436</w:t>
            </w:r>
          </w:p>
        </w:tc>
      </w:tr>
      <w:tr w:rsidR="00590FE1" w:rsidRPr="001D5327" w14:paraId="0B883700" w14:textId="77777777" w:rsidTr="00403787">
        <w:tc>
          <w:tcPr>
            <w:tcW w:w="2098" w:type="dxa"/>
            <w:tcBorders>
              <w:top w:val="single" w:sz="4" w:space="0" w:color="1B556B" w:themeColor="text2"/>
              <w:left w:val="nil"/>
              <w:bottom w:val="single" w:sz="4" w:space="0" w:color="1B556B" w:themeColor="text2"/>
              <w:right w:val="nil"/>
            </w:tcBorders>
            <w:shd w:val="clear" w:color="auto" w:fill="auto"/>
          </w:tcPr>
          <w:p w14:paraId="5362D27A" w14:textId="77777777" w:rsidR="00590FE1" w:rsidRPr="001D5327" w:rsidRDefault="00590FE1" w:rsidP="00403787">
            <w:pPr>
              <w:pStyle w:val="Tableboldblue"/>
              <w:spacing w:before="40" w:after="40"/>
              <w:rPr>
                <w:rFonts w:cs="Calibri"/>
                <w:color w:val="1B556B"/>
                <w:szCs w:val="16"/>
              </w:rPr>
            </w:pPr>
            <w:r w:rsidRPr="001D5327">
              <w:rPr>
                <w:rFonts w:cs="Calibri"/>
                <w:color w:val="1B556B"/>
                <w:szCs w:val="16"/>
              </w:rPr>
              <w:t>Total excreta</w:t>
            </w:r>
          </w:p>
        </w:tc>
        <w:tc>
          <w:tcPr>
            <w:tcW w:w="1814" w:type="dxa"/>
            <w:tcBorders>
              <w:top w:val="single" w:sz="4" w:space="0" w:color="1B556B" w:themeColor="text2"/>
              <w:left w:val="nil"/>
              <w:bottom w:val="single" w:sz="4" w:space="0" w:color="1B556B" w:themeColor="text2"/>
              <w:right w:val="nil"/>
            </w:tcBorders>
          </w:tcPr>
          <w:p w14:paraId="11317348" w14:textId="77777777" w:rsidR="00590FE1" w:rsidRPr="001D5327" w:rsidRDefault="00590FE1" w:rsidP="00403787">
            <w:pPr>
              <w:pStyle w:val="Tableboldblue"/>
              <w:spacing w:before="40" w:after="40"/>
              <w:rPr>
                <w:rFonts w:cs="Calibri"/>
                <w:color w:val="1B556B"/>
                <w:szCs w:val="16"/>
              </w:rPr>
            </w:pPr>
          </w:p>
        </w:tc>
        <w:tc>
          <w:tcPr>
            <w:tcW w:w="851" w:type="dxa"/>
            <w:tcBorders>
              <w:top w:val="single" w:sz="4" w:space="0" w:color="1B556B" w:themeColor="text2"/>
              <w:left w:val="nil"/>
              <w:bottom w:val="single" w:sz="4" w:space="0" w:color="1B556B" w:themeColor="text2"/>
              <w:right w:val="nil"/>
            </w:tcBorders>
            <w:shd w:val="clear" w:color="auto" w:fill="auto"/>
          </w:tcPr>
          <w:p w14:paraId="31204648" w14:textId="77777777" w:rsidR="00590FE1" w:rsidRPr="001D5327" w:rsidRDefault="00590FE1" w:rsidP="00403787">
            <w:pPr>
              <w:pStyle w:val="Tableboldblue"/>
              <w:spacing w:before="40" w:after="40"/>
              <w:jc w:val="right"/>
              <w:rPr>
                <w:rFonts w:cs="Calibri"/>
                <w:color w:val="1B556B"/>
                <w:szCs w:val="16"/>
              </w:rPr>
            </w:pPr>
            <w:r w:rsidRPr="001D5327">
              <w:rPr>
                <w:rFonts w:cs="Calibri"/>
                <w:color w:val="1B556B"/>
                <w:szCs w:val="16"/>
              </w:rPr>
              <w:t>358</w:t>
            </w:r>
          </w:p>
        </w:tc>
        <w:tc>
          <w:tcPr>
            <w:tcW w:w="851" w:type="dxa"/>
            <w:tcBorders>
              <w:top w:val="single" w:sz="4" w:space="0" w:color="1B556B" w:themeColor="text2"/>
              <w:left w:val="nil"/>
              <w:bottom w:val="single" w:sz="4" w:space="0" w:color="1B556B" w:themeColor="text2"/>
              <w:right w:val="nil"/>
            </w:tcBorders>
            <w:shd w:val="clear" w:color="auto" w:fill="auto"/>
          </w:tcPr>
          <w:p w14:paraId="3E3509AE" w14:textId="77777777" w:rsidR="00590FE1" w:rsidRPr="001D5327" w:rsidRDefault="00590FE1" w:rsidP="00403787">
            <w:pPr>
              <w:pStyle w:val="Tableboldblue"/>
              <w:spacing w:before="40" w:after="40"/>
              <w:jc w:val="right"/>
              <w:rPr>
                <w:rFonts w:cs="Calibri"/>
                <w:color w:val="1B556B"/>
                <w:szCs w:val="16"/>
              </w:rPr>
            </w:pPr>
            <w:r w:rsidRPr="001D5327">
              <w:rPr>
                <w:rFonts w:cs="Calibri"/>
                <w:color w:val="1B556B"/>
                <w:szCs w:val="16"/>
              </w:rPr>
              <w:t>447</w:t>
            </w:r>
          </w:p>
        </w:tc>
        <w:tc>
          <w:tcPr>
            <w:tcW w:w="851" w:type="dxa"/>
            <w:tcBorders>
              <w:top w:val="single" w:sz="4" w:space="0" w:color="1B556B" w:themeColor="text2"/>
              <w:left w:val="nil"/>
              <w:bottom w:val="single" w:sz="4" w:space="0" w:color="1B556B" w:themeColor="text2"/>
              <w:right w:val="nil"/>
            </w:tcBorders>
            <w:shd w:val="clear" w:color="auto" w:fill="auto"/>
          </w:tcPr>
          <w:p w14:paraId="13C123AB" w14:textId="77777777" w:rsidR="00590FE1" w:rsidRPr="001D5327" w:rsidRDefault="00590FE1" w:rsidP="00403787">
            <w:pPr>
              <w:pStyle w:val="Tableboldblue"/>
              <w:spacing w:before="40" w:after="40"/>
              <w:jc w:val="right"/>
              <w:rPr>
                <w:rFonts w:cs="Calibri"/>
                <w:color w:val="1B556B"/>
                <w:szCs w:val="16"/>
              </w:rPr>
            </w:pPr>
            <w:r w:rsidRPr="001D5327">
              <w:rPr>
                <w:rFonts w:cs="Calibri"/>
                <w:color w:val="1B556B"/>
                <w:szCs w:val="16"/>
              </w:rPr>
              <w:t>280</w:t>
            </w:r>
          </w:p>
        </w:tc>
        <w:tc>
          <w:tcPr>
            <w:tcW w:w="851" w:type="dxa"/>
            <w:tcBorders>
              <w:top w:val="single" w:sz="4" w:space="0" w:color="1B556B" w:themeColor="text2"/>
              <w:left w:val="nil"/>
              <w:bottom w:val="single" w:sz="4" w:space="0" w:color="1B556B" w:themeColor="text2"/>
              <w:right w:val="nil"/>
            </w:tcBorders>
            <w:shd w:val="clear" w:color="auto" w:fill="auto"/>
          </w:tcPr>
          <w:p w14:paraId="73820739" w14:textId="77777777" w:rsidR="00590FE1" w:rsidRPr="001D5327" w:rsidRDefault="00590FE1" w:rsidP="00403787">
            <w:pPr>
              <w:pStyle w:val="Tableboldblue"/>
              <w:spacing w:before="40" w:after="40"/>
              <w:jc w:val="right"/>
              <w:rPr>
                <w:rFonts w:cs="Calibri"/>
                <w:color w:val="1B556B"/>
                <w:szCs w:val="16"/>
              </w:rPr>
            </w:pPr>
            <w:r w:rsidRPr="001D5327">
              <w:rPr>
                <w:rFonts w:cs="Calibri"/>
                <w:color w:val="1B556B"/>
                <w:szCs w:val="16"/>
              </w:rPr>
              <w:t>132</w:t>
            </w:r>
          </w:p>
        </w:tc>
        <w:tc>
          <w:tcPr>
            <w:tcW w:w="851" w:type="dxa"/>
            <w:tcBorders>
              <w:top w:val="single" w:sz="4" w:space="0" w:color="1B556B" w:themeColor="text2"/>
              <w:left w:val="nil"/>
              <w:bottom w:val="single" w:sz="4" w:space="0" w:color="1B556B" w:themeColor="text2"/>
              <w:right w:val="nil"/>
            </w:tcBorders>
            <w:shd w:val="clear" w:color="auto" w:fill="auto"/>
          </w:tcPr>
          <w:p w14:paraId="5E5C0712" w14:textId="77777777" w:rsidR="00590FE1" w:rsidRPr="001D5327" w:rsidRDefault="00590FE1" w:rsidP="00403787">
            <w:pPr>
              <w:pStyle w:val="Tableboldblue"/>
              <w:spacing w:before="40" w:after="40"/>
              <w:jc w:val="right"/>
              <w:rPr>
                <w:rFonts w:cs="Calibri"/>
                <w:color w:val="1B556B"/>
                <w:szCs w:val="16"/>
              </w:rPr>
            </w:pPr>
            <w:r w:rsidRPr="001D5327">
              <w:rPr>
                <w:rFonts w:cs="Calibri"/>
                <w:color w:val="1B556B"/>
                <w:szCs w:val="16"/>
              </w:rPr>
              <w:t>1,217</w:t>
            </w:r>
          </w:p>
        </w:tc>
      </w:tr>
    </w:tbl>
    <w:p w14:paraId="03B2BF57" w14:textId="77777777" w:rsidR="00590FE1" w:rsidRPr="001D5327" w:rsidRDefault="00590FE1" w:rsidP="00590FE1">
      <w:pPr>
        <w:pStyle w:val="BodyText"/>
      </w:pPr>
      <w:r w:rsidRPr="001D5327">
        <w:t>The meta-analysis used arithmetic means to calculate new average EF</w:t>
      </w:r>
      <w:r w:rsidRPr="001D5327">
        <w:rPr>
          <w:vertAlign w:val="subscript"/>
        </w:rPr>
        <w:t>3</w:t>
      </w:r>
      <w:r w:rsidRPr="001D5327">
        <w:t xml:space="preserve"> values (categorised by animal, slope and excreta type). Because the differences between some of these values were not statistically significant, some of the arithmetic means were pooled. This resulted in the dung EF</w:t>
      </w:r>
      <w:r w:rsidRPr="001D5327">
        <w:rPr>
          <w:vertAlign w:val="subscript"/>
        </w:rPr>
        <w:t>3</w:t>
      </w:r>
      <w:r w:rsidRPr="001D5327">
        <w:t xml:space="preserve"> averages being combined into a single value (0.0012). The urine EF</w:t>
      </w:r>
      <w:r w:rsidRPr="001D5327">
        <w:rPr>
          <w:vertAlign w:val="subscript"/>
        </w:rPr>
        <w:t>3</w:t>
      </w:r>
      <w:r w:rsidRPr="001D5327">
        <w:t xml:space="preserve"> values were pooled into four categories:</w:t>
      </w:r>
    </w:p>
    <w:p w14:paraId="7B6312E4" w14:textId="77777777" w:rsidR="00590FE1" w:rsidRPr="001D5327" w:rsidRDefault="00590FE1" w:rsidP="00590FE1">
      <w:pPr>
        <w:pStyle w:val="Bullet"/>
      </w:pPr>
      <w:r w:rsidRPr="001D5327">
        <w:t>cattle urine on flatland/low slopes (0.0098)</w:t>
      </w:r>
    </w:p>
    <w:p w14:paraId="22D8AE10" w14:textId="77777777" w:rsidR="00590FE1" w:rsidRPr="001D5327" w:rsidRDefault="00590FE1" w:rsidP="00590FE1">
      <w:pPr>
        <w:pStyle w:val="Bullet"/>
      </w:pPr>
      <w:r w:rsidRPr="001D5327">
        <w:t>cattle urine on medium/steep slopes (0.0033)</w:t>
      </w:r>
    </w:p>
    <w:p w14:paraId="6D9A71C1" w14:textId="77777777" w:rsidR="00590FE1" w:rsidRPr="001D5327" w:rsidRDefault="00590FE1" w:rsidP="00590FE1">
      <w:pPr>
        <w:pStyle w:val="Bullet"/>
      </w:pPr>
      <w:r w:rsidRPr="001D5327">
        <w:t xml:space="preserve">sheep urine on flatland/low slopes (0.005) </w:t>
      </w:r>
    </w:p>
    <w:p w14:paraId="590AE010" w14:textId="77777777" w:rsidR="00590FE1" w:rsidRPr="001D5327" w:rsidRDefault="00590FE1" w:rsidP="00590FE1">
      <w:pPr>
        <w:pStyle w:val="Bullet"/>
      </w:pPr>
      <w:r w:rsidRPr="001D5327">
        <w:t>sheep urine on medium/steep slopes (0.0008).</w:t>
      </w:r>
    </w:p>
    <w:p w14:paraId="1142B5D5" w14:textId="77777777" w:rsidR="00590FE1" w:rsidRPr="001D5327" w:rsidRDefault="00590FE1" w:rsidP="00590FE1">
      <w:pPr>
        <w:pStyle w:val="BodyText"/>
      </w:pPr>
      <w:r w:rsidRPr="001D5327">
        <w:t>The lower emission factors observed for urine on steeper slopes are thought to be due to these soils having lower soil fertility, nitrogen status and moisture content compared with less steep slopes (Luo et al., 2013).</w:t>
      </w:r>
    </w:p>
    <w:p w14:paraId="4746750F" w14:textId="77777777" w:rsidR="00590FE1" w:rsidRPr="001D5327" w:rsidRDefault="00590FE1" w:rsidP="00590FE1">
      <w:pPr>
        <w:pStyle w:val="BodyText"/>
      </w:pPr>
      <w:r w:rsidRPr="001D5327">
        <w:rPr>
          <w:spacing w:val="-2"/>
        </w:rPr>
        <w:t>The new urine emission factor values for each livestock type by slope are lower than the current</w:t>
      </w:r>
      <w:r w:rsidRPr="001D5327">
        <w:t xml:space="preserve"> IPCC default EF</w:t>
      </w:r>
      <w:r w:rsidRPr="001D5327">
        <w:rPr>
          <w:vertAlign w:val="subscript"/>
        </w:rPr>
        <w:t>3</w:t>
      </w:r>
      <w:r w:rsidRPr="001D5327">
        <w:t xml:space="preserve"> value. The default value is based on common international farming systems where, on average, livestock farmed land is on less sloped terrain than much of the farmland in New Zealand. In addition to the large proportion of farmed hill country, New Zealand’s climate </w:t>
      </w:r>
      <w:r w:rsidRPr="001D5327">
        <w:rPr>
          <w:spacing w:val="-2"/>
        </w:rPr>
        <w:lastRenderedPageBreak/>
        <w:t>and soil characteristics contribute to differences between international default emission factors and New Zealand’s country-specific emission factors. When using these emission factors, the IEF for direct N</w:t>
      </w:r>
      <w:r w:rsidRPr="001D5327">
        <w:rPr>
          <w:spacing w:val="-2"/>
          <w:vertAlign w:val="subscript"/>
        </w:rPr>
        <w:t>2</w:t>
      </w:r>
      <w:r w:rsidRPr="001D5327">
        <w:rPr>
          <w:spacing w:val="-2"/>
        </w:rPr>
        <w:t>O from dung and urine was 0.0054 in 2020. This value is comparable</w:t>
      </w:r>
      <w:r w:rsidRPr="001D5327">
        <w:t xml:space="preserve"> with that calculated for the United Kingdom (0.0037) and Australia (0.0040) in their respective inventory submissions for 2021.</w:t>
      </w:r>
    </w:p>
    <w:p w14:paraId="7505A1A1" w14:textId="77777777" w:rsidR="00590FE1" w:rsidRPr="001D5327" w:rsidRDefault="00590FE1" w:rsidP="00590FE1">
      <w:pPr>
        <w:pStyle w:val="BodyText"/>
      </w:pPr>
      <w:r w:rsidRPr="001D5327">
        <w:t>Nitrous oxide</w:t>
      </w:r>
      <w:r w:rsidRPr="001D5327" w:rsidDel="00271764">
        <w:t xml:space="preserve"> </w:t>
      </w:r>
      <w:r w:rsidRPr="001D5327">
        <w:t>emissions</w:t>
      </w:r>
      <w:r w:rsidRPr="001D5327" w:rsidDel="00271764">
        <w:t xml:space="preserve"> </w:t>
      </w:r>
      <w:r w:rsidRPr="001D5327">
        <w:t>have not been measured for deer excreta, therefore, deer EF</w:t>
      </w:r>
      <w:r w:rsidRPr="001D5327">
        <w:rPr>
          <w:vertAlign w:val="subscript"/>
        </w:rPr>
        <w:t>3</w:t>
      </w:r>
      <w:r w:rsidRPr="001D5327">
        <w:t xml:space="preserve"> values were calculated using average EF</w:t>
      </w:r>
      <w:r w:rsidRPr="001D5327">
        <w:rPr>
          <w:vertAlign w:val="subscript"/>
        </w:rPr>
        <w:t>3</w:t>
      </w:r>
      <w:r w:rsidRPr="001D5327">
        <w:t xml:space="preserve"> values from cattle and sheep. Based on animal liveweight, deer excreta characteristics (in terms of total deposition volume and weight) are assumed to be between the excreta characteristics of cattle and sheep (van der Weerden et al., 2019, 2020). </w:t>
      </w:r>
    </w:p>
    <w:p w14:paraId="74168DE1" w14:textId="31148E8A" w:rsidR="00590FE1" w:rsidRPr="001D5327" w:rsidRDefault="00590FE1" w:rsidP="00590FE1">
      <w:pPr>
        <w:pStyle w:val="BodyText"/>
      </w:pPr>
      <w:r w:rsidRPr="001D5327">
        <w:t>To apply these emission factors, estimates of the amount of urine and dung deposited onto different slope categories are needed. A nutrient transfer model developed by Saggar et al. (2015) is used to allocate total excreta (N</w:t>
      </w:r>
      <w:r w:rsidRPr="001D5327">
        <w:rPr>
          <w:vertAlign w:val="subscript"/>
        </w:rPr>
        <w:t>ex</w:t>
      </w:r>
      <w:r w:rsidRPr="001D5327">
        <w:t>,</w:t>
      </w:r>
      <w:r w:rsidRPr="001D5327">
        <w:rPr>
          <w:vertAlign w:val="subscript"/>
        </w:rPr>
        <w:t xml:space="preserve"> </w:t>
      </w:r>
      <w:r w:rsidRPr="001D5327">
        <w:t xml:space="preserve">calculated using the methods described in section </w:t>
      </w:r>
      <w:r w:rsidRPr="001D5327">
        <w:rPr>
          <w:spacing w:val="-2"/>
        </w:rPr>
        <w:t>5.3) by livestock type to the different slope categories. The nutrient transfer model uses data</w:t>
      </w:r>
      <w:r w:rsidR="001F16B8" w:rsidRPr="001D5327">
        <w:rPr>
          <w:spacing w:val="-2"/>
        </w:rPr>
        <w:t xml:space="preserve"> </w:t>
      </w:r>
      <w:r w:rsidRPr="001D5327">
        <w:rPr>
          <w:spacing w:val="-2"/>
        </w:rPr>
        <w:t>on the national area of farmland for each slope category, and accounts for animal behaviour where livestock spend relatively more time on lower slopes, and so deposit more excreta on these lower slopes and flatland. For more information on this model, see annex 5, section 5.1</w:t>
      </w:r>
      <w:r w:rsidRPr="001D5327">
        <w:t>.3.</w:t>
      </w:r>
    </w:p>
    <w:p w14:paraId="204DDC43" w14:textId="77777777" w:rsidR="00590FE1" w:rsidRPr="001D5327" w:rsidRDefault="00590FE1" w:rsidP="00590FE1">
      <w:pPr>
        <w:pStyle w:val="BodyText"/>
      </w:pPr>
      <w:r w:rsidRPr="001D5327">
        <w:t>The use of these revised EF</w:t>
      </w:r>
      <w:r w:rsidRPr="001D5327">
        <w:rPr>
          <w:vertAlign w:val="subscript"/>
        </w:rPr>
        <w:t>3</w:t>
      </w:r>
      <w:r w:rsidRPr="001D5327">
        <w:t xml:space="preserve"> emission factors and the nutrient transfer model was recommended by the Agriculture Inventory Advisory Panel in 2019.</w:t>
      </w:r>
    </w:p>
    <w:p w14:paraId="6607C2FD" w14:textId="77777777" w:rsidR="00590FE1" w:rsidRPr="001D5327" w:rsidRDefault="00590FE1" w:rsidP="00590FE1">
      <w:pPr>
        <w:pStyle w:val="Heading5"/>
      </w:pPr>
      <w:r w:rsidRPr="001D5327">
        <w:t>Direct nitrous oxide emission factors for minor livestock types</w:t>
      </w:r>
    </w:p>
    <w:p w14:paraId="52D05D25" w14:textId="77777777" w:rsidR="00590FE1" w:rsidRPr="001D5327" w:rsidRDefault="00590FE1" w:rsidP="00590FE1">
      <w:pPr>
        <w:pStyle w:val="BodyText"/>
      </w:pPr>
      <w:r w:rsidRPr="001D5327">
        <w:t xml:space="preserve">Minor livestock types, including </w:t>
      </w:r>
      <w:r w:rsidRPr="001D5327">
        <w:rPr>
          <w:i/>
          <w:iCs/>
        </w:rPr>
        <w:t>Swine, Goats, Horses, Llamas</w:t>
      </w:r>
      <w:r w:rsidRPr="001D5327">
        <w:t xml:space="preserve"> </w:t>
      </w:r>
      <w:r w:rsidRPr="001D5327">
        <w:rPr>
          <w:i/>
          <w:iCs/>
        </w:rPr>
        <w:t>and alpacas, Mules and</w:t>
      </w:r>
      <w:r w:rsidRPr="001D5327">
        <w:rPr>
          <w:i/>
        </w:rPr>
        <w:t xml:space="preserve"> asses,</w:t>
      </w:r>
      <w:r w:rsidRPr="001D5327">
        <w:t xml:space="preserve"> and </w:t>
      </w:r>
      <w:r w:rsidRPr="001D5327">
        <w:rPr>
          <w:i/>
          <w:iCs/>
        </w:rPr>
        <w:t>Poultry</w:t>
      </w:r>
      <w:r w:rsidRPr="001D5327">
        <w:t>, make up a small proportion of total agricultural emissions. New Zealand will therefore continue to use the previous emission factor for minor livestock types (EF</w:t>
      </w:r>
      <w:r w:rsidRPr="001D5327">
        <w:rPr>
          <w:vertAlign w:val="subscript"/>
        </w:rPr>
        <w:t>3(PRP-MINOR)</w:t>
      </w:r>
      <w:r w:rsidRPr="001D5327">
        <w:t xml:space="preserve">) of 0.01, which is the IPCC default. Research conducted in </w:t>
      </w:r>
      <w:r w:rsidRPr="001D5327" w:rsidDel="00751037">
        <w:t xml:space="preserve">New </w:t>
      </w:r>
      <w:r w:rsidRPr="001D5327">
        <w:t>Zealand has confirmed this value is appropriate for New Zealand’s conditions (Carran et al., 1995; de Klein et al., 2003; Muller et al., 1995).</w:t>
      </w:r>
    </w:p>
    <w:p w14:paraId="1E922A3D" w14:textId="77777777" w:rsidR="00590FE1" w:rsidRPr="001D5327" w:rsidRDefault="00590FE1" w:rsidP="00590FE1">
      <w:pPr>
        <w:pStyle w:val="BodyText"/>
        <w:rPr>
          <w:rFonts w:cs="Calibri"/>
        </w:rPr>
      </w:pPr>
      <w:r w:rsidRPr="001D5327">
        <w:rPr>
          <w:rFonts w:cs="Calibri"/>
        </w:rPr>
        <w:t xml:space="preserve">In 2023, direct </w:t>
      </w:r>
      <w:r w:rsidRPr="001D5327">
        <w:rPr>
          <w:rFonts w:cs="Calibri"/>
          <w:spacing w:val="-2"/>
        </w:rPr>
        <w:t>N</w:t>
      </w:r>
      <w:r w:rsidRPr="001D5327">
        <w:rPr>
          <w:rFonts w:cs="Calibri"/>
          <w:spacing w:val="-2"/>
          <w:vertAlign w:val="subscript"/>
        </w:rPr>
        <w:t>2</w:t>
      </w:r>
      <w:r w:rsidRPr="001D5327">
        <w:rPr>
          <w:rFonts w:cs="Calibri"/>
          <w:spacing w:val="-2"/>
        </w:rPr>
        <w:t>O</w:t>
      </w:r>
      <w:r w:rsidRPr="001D5327">
        <w:rPr>
          <w:rFonts w:cs="Calibri"/>
        </w:rPr>
        <w:t xml:space="preserve"> emissions from </w:t>
      </w:r>
      <w:r w:rsidRPr="001D5327">
        <w:rPr>
          <w:rFonts w:cs="Calibri"/>
          <w:i/>
          <w:iCs/>
        </w:rPr>
        <w:t>Urine and dung deposited by grazing animals</w:t>
      </w:r>
      <w:r w:rsidRPr="001D5327">
        <w:rPr>
          <w:rFonts w:cs="Calibri"/>
        </w:rPr>
        <w:t xml:space="preserve"> (pasture, range and paddock manure from all livestock categories) contributed 49.5 per cent (3,151.8 kt CO</w:t>
      </w:r>
      <w:r w:rsidRPr="001D5327">
        <w:rPr>
          <w:rFonts w:cs="Calibri"/>
          <w:vertAlign w:val="subscript"/>
        </w:rPr>
        <w:t>2</w:t>
      </w:r>
      <w:r w:rsidRPr="001D5327">
        <w:rPr>
          <w:rFonts w:cs="Calibri"/>
        </w:rPr>
        <w:t>-e) of</w:t>
      </w:r>
      <w:r w:rsidRPr="001D5327">
        <w:rPr>
          <w:rFonts w:cs="Calibri"/>
          <w:spacing w:val="-2"/>
        </w:rPr>
        <w:t xml:space="preserve"> emissions from </w:t>
      </w:r>
      <w:r w:rsidRPr="001D5327">
        <w:rPr>
          <w:rFonts w:cs="Calibri"/>
          <w:i/>
          <w:spacing w:val="-2"/>
        </w:rPr>
        <w:t>Agricultural soils</w:t>
      </w:r>
      <w:r w:rsidRPr="001D5327">
        <w:rPr>
          <w:rFonts w:cs="Calibri"/>
          <w:spacing w:val="-2"/>
        </w:rPr>
        <w:t xml:space="preserve">, or 7.8 per cent of total agricultural emissions. Emissions from this category have increased by 18.9 per cent since 1990. </w:t>
      </w:r>
      <w:r w:rsidRPr="001D5327">
        <w:rPr>
          <w:rFonts w:cs="Calibri"/>
        </w:rPr>
        <w:t xml:space="preserve">Emissions for each livestock category are given in table 5.5.8. Emissions from </w:t>
      </w:r>
      <w:r w:rsidRPr="001D5327">
        <w:rPr>
          <w:rFonts w:cs="Calibri"/>
          <w:i/>
          <w:iCs/>
        </w:rPr>
        <w:t>Urine and dung deposited by grazing animals</w:t>
      </w:r>
      <w:r w:rsidRPr="001D5327">
        <w:rPr>
          <w:rFonts w:cs="Calibri"/>
        </w:rPr>
        <w:t xml:space="preserve"> were identified as a key category (level and trend assessment).</w:t>
      </w:r>
    </w:p>
    <w:p w14:paraId="686B18CF" w14:textId="77777777" w:rsidR="00590FE1" w:rsidRPr="001D5327" w:rsidRDefault="00590FE1" w:rsidP="00590FE1">
      <w:pPr>
        <w:pStyle w:val="Table"/>
        <w:rPr>
          <w:rFonts w:cs="Calibri"/>
        </w:rPr>
      </w:pPr>
      <w:bookmarkStart w:id="1214" w:name="_Toc441830883"/>
      <w:bookmarkStart w:id="1215" w:name="_Toc451176097"/>
      <w:bookmarkStart w:id="1216" w:name="_Toc481751525"/>
      <w:bookmarkStart w:id="1217" w:name="_Toc507158613"/>
      <w:bookmarkStart w:id="1218" w:name="_Toc511116747"/>
      <w:bookmarkStart w:id="1219" w:name="_Toc5269489"/>
      <w:bookmarkStart w:id="1220" w:name="_Toc32570934"/>
      <w:bookmarkStart w:id="1221" w:name="_Toc36224569"/>
      <w:bookmarkStart w:id="1222" w:name="_Toc68786454"/>
      <w:bookmarkStart w:id="1223" w:name="_Toc95574087"/>
      <w:bookmarkStart w:id="1224" w:name="_Toc127458274"/>
      <w:bookmarkStart w:id="1225" w:name="_Toc131591370"/>
      <w:bookmarkStart w:id="1226" w:name="_Toc160114464"/>
      <w:bookmarkStart w:id="1227" w:name="_Toc164153860"/>
      <w:bookmarkStart w:id="1228" w:name="_Toc194241732"/>
      <w:r w:rsidRPr="001D5327">
        <w:rPr>
          <w:rFonts w:cs="Calibri"/>
        </w:rPr>
        <w:t>Table 5.5.8</w:t>
      </w:r>
      <w:r w:rsidRPr="001D5327">
        <w:rPr>
          <w:rFonts w:cs="Calibri"/>
        </w:rPr>
        <w:tab/>
        <w:t xml:space="preserve">Trends and relative contribution of direct nitrous oxide emissions from urine and dung deposited by grazing animals per livestock category between 1990 and </w:t>
      </w:r>
      <w:bookmarkEnd w:id="1214"/>
      <w:bookmarkEnd w:id="1215"/>
      <w:bookmarkEnd w:id="1216"/>
      <w:bookmarkEnd w:id="1217"/>
      <w:bookmarkEnd w:id="1218"/>
      <w:bookmarkEnd w:id="1219"/>
      <w:bookmarkEnd w:id="1220"/>
      <w:bookmarkEnd w:id="1221"/>
      <w:bookmarkEnd w:id="1222"/>
      <w:bookmarkEnd w:id="1223"/>
      <w:r w:rsidRPr="001D5327">
        <w:rPr>
          <w:rFonts w:cs="Calibri"/>
        </w:rPr>
        <w:t>202</w:t>
      </w:r>
      <w:bookmarkEnd w:id="1224"/>
      <w:bookmarkEnd w:id="1225"/>
      <w:r w:rsidRPr="001D5327">
        <w:rPr>
          <w:rFonts w:cs="Calibri"/>
        </w:rPr>
        <w:t>2</w:t>
      </w:r>
      <w:bookmarkEnd w:id="1226"/>
      <w:bookmarkEnd w:id="1227"/>
      <w:bookmarkEnd w:id="1228"/>
    </w:p>
    <w:tbl>
      <w:tblPr>
        <w:tblW w:w="8505" w:type="dxa"/>
        <w:tblBorders>
          <w:top w:val="single" w:sz="4" w:space="0" w:color="365F91"/>
          <w:left w:val="single" w:sz="4" w:space="0" w:color="365F91"/>
          <w:bottom w:val="single" w:sz="4" w:space="0" w:color="365F91"/>
          <w:right w:val="single" w:sz="4" w:space="0" w:color="365F91"/>
          <w:insideH w:val="single" w:sz="4" w:space="0" w:color="365F91"/>
        </w:tblBorders>
        <w:tblLayout w:type="fixed"/>
        <w:tblLook w:val="04A0" w:firstRow="1" w:lastRow="0" w:firstColumn="1" w:lastColumn="0" w:noHBand="0" w:noVBand="1"/>
      </w:tblPr>
      <w:tblGrid>
        <w:gridCol w:w="1746"/>
        <w:gridCol w:w="856"/>
        <w:gridCol w:w="856"/>
        <w:gridCol w:w="857"/>
        <w:gridCol w:w="784"/>
        <w:gridCol w:w="852"/>
        <w:gridCol w:w="851"/>
        <w:gridCol w:w="852"/>
        <w:gridCol w:w="851"/>
      </w:tblGrid>
      <w:tr w:rsidR="00590FE1" w:rsidRPr="001D5327" w14:paraId="43C6C1E9" w14:textId="77777777" w:rsidTr="00403787">
        <w:trPr>
          <w:tblHeader/>
        </w:trPr>
        <w:tc>
          <w:tcPr>
            <w:tcW w:w="1746" w:type="dxa"/>
            <w:vMerge w:val="restart"/>
            <w:tcBorders>
              <w:top w:val="single" w:sz="4" w:space="0" w:color="1B556B" w:themeColor="text2"/>
              <w:left w:val="nil"/>
              <w:bottom w:val="nil"/>
            </w:tcBorders>
            <w:shd w:val="clear" w:color="auto" w:fill="1B556B"/>
            <w:vAlign w:val="bottom"/>
          </w:tcPr>
          <w:p w14:paraId="6FA3B54F" w14:textId="77777777" w:rsidR="00590FE1" w:rsidRPr="001D5327" w:rsidRDefault="00590FE1" w:rsidP="00403787">
            <w:pPr>
              <w:pStyle w:val="TableTextBold"/>
              <w:keepNext/>
              <w:spacing w:before="40" w:after="40"/>
              <w:rPr>
                <w:i/>
                <w:iCs/>
                <w:noProof w:val="0"/>
                <w:color w:val="FFFFFF" w:themeColor="background1"/>
                <w:szCs w:val="16"/>
              </w:rPr>
            </w:pPr>
            <w:bookmarkStart w:id="1229" w:name="OLE_LINK1"/>
            <w:r w:rsidRPr="001D5327">
              <w:rPr>
                <w:noProof w:val="0"/>
                <w:color w:val="FFFFFF" w:themeColor="background1"/>
                <w:szCs w:val="16"/>
              </w:rPr>
              <w:t>Livestock category</w:t>
            </w:r>
          </w:p>
        </w:tc>
        <w:tc>
          <w:tcPr>
            <w:tcW w:w="1712" w:type="dxa"/>
            <w:gridSpan w:val="2"/>
            <w:tcBorders>
              <w:top w:val="single" w:sz="4" w:space="0" w:color="1B556B" w:themeColor="text2"/>
              <w:bottom w:val="nil"/>
            </w:tcBorders>
            <w:shd w:val="clear" w:color="auto" w:fill="1B556B"/>
            <w:vAlign w:val="bottom"/>
          </w:tcPr>
          <w:p w14:paraId="766F780E" w14:textId="77777777" w:rsidR="00590FE1" w:rsidRPr="001D5327" w:rsidRDefault="00590FE1" w:rsidP="00403787">
            <w:pPr>
              <w:pStyle w:val="TableTextBold"/>
              <w:keepNext/>
              <w:spacing w:before="40" w:after="40"/>
              <w:jc w:val="center"/>
              <w:rPr>
                <w:i/>
                <w:iCs/>
                <w:noProof w:val="0"/>
                <w:color w:val="FFFFFF" w:themeColor="background1"/>
                <w:szCs w:val="16"/>
              </w:rPr>
            </w:pPr>
            <w:r w:rsidRPr="001D5327">
              <w:rPr>
                <w:noProof w:val="0"/>
                <w:color w:val="FFFFFF" w:themeColor="background1"/>
                <w:szCs w:val="16"/>
              </w:rPr>
              <w:t xml:space="preserve">Emissions </w:t>
            </w:r>
            <w:r w:rsidRPr="001D5327">
              <w:rPr>
                <w:noProof w:val="0"/>
                <w:color w:val="FFFFFF" w:themeColor="background1"/>
                <w:szCs w:val="16"/>
              </w:rPr>
              <w:br/>
              <w:t>(kt CO</w:t>
            </w:r>
            <w:r w:rsidRPr="001D5327">
              <w:rPr>
                <w:noProof w:val="0"/>
                <w:color w:val="FFFFFF" w:themeColor="background1"/>
                <w:szCs w:val="16"/>
                <w:vertAlign w:val="subscript"/>
              </w:rPr>
              <w:t>2</w:t>
            </w:r>
            <w:r w:rsidRPr="001D5327">
              <w:rPr>
                <w:noProof w:val="0"/>
                <w:color w:val="FFFFFF" w:themeColor="background1"/>
                <w:szCs w:val="16"/>
              </w:rPr>
              <w:t>-e)</w:t>
            </w:r>
          </w:p>
        </w:tc>
        <w:tc>
          <w:tcPr>
            <w:tcW w:w="1641" w:type="dxa"/>
            <w:gridSpan w:val="2"/>
            <w:tcBorders>
              <w:top w:val="single" w:sz="4" w:space="0" w:color="1B556B" w:themeColor="text2"/>
              <w:bottom w:val="nil"/>
            </w:tcBorders>
            <w:shd w:val="clear" w:color="auto" w:fill="1B556B"/>
            <w:vAlign w:val="bottom"/>
          </w:tcPr>
          <w:p w14:paraId="2D5DA1B4" w14:textId="77777777" w:rsidR="00590FE1" w:rsidRPr="001D5327" w:rsidRDefault="00590FE1" w:rsidP="00403787">
            <w:pPr>
              <w:pStyle w:val="TableTextBold"/>
              <w:keepNext/>
              <w:spacing w:before="40" w:after="40"/>
              <w:jc w:val="center"/>
              <w:rPr>
                <w:i/>
                <w:iCs/>
                <w:noProof w:val="0"/>
                <w:color w:val="FFFFFF" w:themeColor="background1"/>
                <w:szCs w:val="16"/>
              </w:rPr>
            </w:pPr>
            <w:r w:rsidRPr="001D5327">
              <w:rPr>
                <w:noProof w:val="0"/>
                <w:color w:val="FFFFFF" w:themeColor="background1"/>
                <w:szCs w:val="16"/>
              </w:rPr>
              <w:t xml:space="preserve">Change from </w:t>
            </w:r>
            <w:r w:rsidRPr="001D5327">
              <w:rPr>
                <w:noProof w:val="0"/>
                <w:color w:val="FFFFFF" w:themeColor="background1"/>
                <w:szCs w:val="16"/>
              </w:rPr>
              <w:br/>
              <w:t>1990–2021</w:t>
            </w:r>
          </w:p>
        </w:tc>
        <w:tc>
          <w:tcPr>
            <w:tcW w:w="1703" w:type="dxa"/>
            <w:gridSpan w:val="2"/>
            <w:tcBorders>
              <w:top w:val="single" w:sz="4" w:space="0" w:color="1B556B" w:themeColor="text2"/>
              <w:bottom w:val="nil"/>
            </w:tcBorders>
            <w:shd w:val="clear" w:color="auto" w:fill="1B556B"/>
            <w:vAlign w:val="bottom"/>
          </w:tcPr>
          <w:p w14:paraId="7C115087" w14:textId="77777777" w:rsidR="00590FE1" w:rsidRPr="001D5327" w:rsidRDefault="00590FE1" w:rsidP="00403787">
            <w:pPr>
              <w:pStyle w:val="TableTextBold"/>
              <w:keepNext/>
              <w:spacing w:before="40" w:after="40"/>
              <w:jc w:val="center"/>
              <w:rPr>
                <w:i/>
                <w:iCs/>
                <w:noProof w:val="0"/>
                <w:color w:val="FFFFFF" w:themeColor="background1"/>
                <w:szCs w:val="16"/>
              </w:rPr>
            </w:pPr>
            <w:r w:rsidRPr="001D5327">
              <w:rPr>
                <w:noProof w:val="0"/>
                <w:color w:val="FFFFFF" w:themeColor="background1"/>
                <w:szCs w:val="16"/>
              </w:rPr>
              <w:t>Share of Agricultural soils category (%)</w:t>
            </w:r>
          </w:p>
        </w:tc>
        <w:tc>
          <w:tcPr>
            <w:tcW w:w="1703" w:type="dxa"/>
            <w:gridSpan w:val="2"/>
            <w:tcBorders>
              <w:top w:val="single" w:sz="4" w:space="0" w:color="1B556B" w:themeColor="text2"/>
              <w:bottom w:val="nil"/>
              <w:right w:val="nil"/>
            </w:tcBorders>
            <w:shd w:val="clear" w:color="auto" w:fill="1B556B"/>
            <w:vAlign w:val="bottom"/>
          </w:tcPr>
          <w:p w14:paraId="3F4B3897" w14:textId="77777777" w:rsidR="00590FE1" w:rsidRPr="001D5327" w:rsidRDefault="00590FE1" w:rsidP="00403787">
            <w:pPr>
              <w:pStyle w:val="TableTextBold"/>
              <w:keepNext/>
              <w:spacing w:before="40" w:after="40"/>
              <w:jc w:val="center"/>
              <w:rPr>
                <w:i/>
                <w:iCs/>
                <w:noProof w:val="0"/>
                <w:color w:val="FFFFFF" w:themeColor="background1"/>
                <w:szCs w:val="16"/>
              </w:rPr>
            </w:pPr>
            <w:r w:rsidRPr="001D5327">
              <w:rPr>
                <w:noProof w:val="0"/>
                <w:color w:val="FFFFFF" w:themeColor="background1"/>
                <w:szCs w:val="16"/>
              </w:rPr>
              <w:t>Share of total Agriculture sector (%)</w:t>
            </w:r>
          </w:p>
        </w:tc>
      </w:tr>
      <w:tr w:rsidR="00590FE1" w:rsidRPr="001D5327" w14:paraId="6DF3AA56" w14:textId="77777777" w:rsidTr="00403787">
        <w:trPr>
          <w:tblHeader/>
        </w:trPr>
        <w:tc>
          <w:tcPr>
            <w:tcW w:w="1746" w:type="dxa"/>
            <w:vMerge/>
            <w:tcBorders>
              <w:top w:val="nil"/>
              <w:left w:val="nil"/>
              <w:bottom w:val="single" w:sz="4" w:space="0" w:color="1B556B" w:themeColor="text2"/>
            </w:tcBorders>
            <w:shd w:val="clear" w:color="auto" w:fill="1B556B"/>
            <w:vAlign w:val="bottom"/>
          </w:tcPr>
          <w:p w14:paraId="3B09E54E" w14:textId="77777777" w:rsidR="00590FE1" w:rsidRPr="001D5327" w:rsidRDefault="00590FE1" w:rsidP="00403787">
            <w:pPr>
              <w:pStyle w:val="TableTextBold"/>
              <w:keepNext/>
              <w:spacing w:before="40" w:after="40"/>
              <w:rPr>
                <w:i/>
                <w:noProof w:val="0"/>
                <w:color w:val="FFFFFF" w:themeColor="background1"/>
                <w:szCs w:val="16"/>
              </w:rPr>
            </w:pPr>
          </w:p>
        </w:tc>
        <w:tc>
          <w:tcPr>
            <w:tcW w:w="856" w:type="dxa"/>
            <w:tcBorders>
              <w:top w:val="nil"/>
              <w:bottom w:val="single" w:sz="4" w:space="0" w:color="1B556B" w:themeColor="text2"/>
            </w:tcBorders>
            <w:shd w:val="clear" w:color="auto" w:fill="1B556B"/>
            <w:vAlign w:val="bottom"/>
          </w:tcPr>
          <w:p w14:paraId="05AEBD21" w14:textId="77777777" w:rsidR="00590FE1" w:rsidRPr="001D5327" w:rsidRDefault="00590FE1" w:rsidP="00403787">
            <w:pPr>
              <w:pStyle w:val="TableTextBold"/>
              <w:keepNext/>
              <w:spacing w:before="40" w:after="40"/>
              <w:jc w:val="right"/>
              <w:rPr>
                <w:i/>
                <w:iCs/>
                <w:noProof w:val="0"/>
                <w:color w:val="FFFFFF" w:themeColor="background1"/>
                <w:szCs w:val="16"/>
              </w:rPr>
            </w:pPr>
            <w:r w:rsidRPr="001D5327">
              <w:rPr>
                <w:noProof w:val="0"/>
                <w:color w:val="FFFFFF" w:themeColor="background1"/>
                <w:szCs w:val="16"/>
              </w:rPr>
              <w:t>1990</w:t>
            </w:r>
          </w:p>
        </w:tc>
        <w:tc>
          <w:tcPr>
            <w:tcW w:w="856" w:type="dxa"/>
            <w:tcBorders>
              <w:top w:val="nil"/>
              <w:bottom w:val="single" w:sz="4" w:space="0" w:color="1B556B" w:themeColor="text2"/>
            </w:tcBorders>
            <w:shd w:val="clear" w:color="auto" w:fill="1B556B"/>
            <w:vAlign w:val="bottom"/>
          </w:tcPr>
          <w:p w14:paraId="1B9A3BA9" w14:textId="77777777" w:rsidR="00590FE1" w:rsidRPr="001D5327" w:rsidRDefault="00590FE1" w:rsidP="00403787">
            <w:pPr>
              <w:pStyle w:val="TableTextBold"/>
              <w:keepNext/>
              <w:spacing w:before="40" w:after="40"/>
              <w:jc w:val="right"/>
              <w:rPr>
                <w:i/>
                <w:iCs/>
                <w:noProof w:val="0"/>
                <w:color w:val="FFFFFF" w:themeColor="background1"/>
                <w:szCs w:val="16"/>
              </w:rPr>
            </w:pPr>
            <w:r w:rsidRPr="001D5327">
              <w:rPr>
                <w:noProof w:val="0"/>
                <w:color w:val="FFFFFF" w:themeColor="background1"/>
                <w:szCs w:val="16"/>
              </w:rPr>
              <w:t>2023</w:t>
            </w:r>
          </w:p>
        </w:tc>
        <w:tc>
          <w:tcPr>
            <w:tcW w:w="857" w:type="dxa"/>
            <w:tcBorders>
              <w:top w:val="nil"/>
              <w:bottom w:val="single" w:sz="4" w:space="0" w:color="1B556B" w:themeColor="text2"/>
            </w:tcBorders>
            <w:shd w:val="clear" w:color="auto" w:fill="1B556B"/>
            <w:vAlign w:val="bottom"/>
          </w:tcPr>
          <w:p w14:paraId="06EF7D5E" w14:textId="77777777" w:rsidR="00590FE1" w:rsidRPr="001D5327" w:rsidRDefault="00590FE1" w:rsidP="00403787">
            <w:pPr>
              <w:pStyle w:val="TableTextBold"/>
              <w:keepNext/>
              <w:spacing w:before="40" w:after="40"/>
              <w:jc w:val="right"/>
              <w:rPr>
                <w:i/>
                <w:iCs/>
                <w:noProof w:val="0"/>
                <w:color w:val="FFFFFF" w:themeColor="background1"/>
                <w:szCs w:val="16"/>
              </w:rPr>
            </w:pPr>
            <w:r w:rsidRPr="001D5327">
              <w:rPr>
                <w:noProof w:val="0"/>
                <w:color w:val="FFFFFF" w:themeColor="background1"/>
                <w:szCs w:val="16"/>
              </w:rPr>
              <w:t>kt CO</w:t>
            </w:r>
            <w:r w:rsidRPr="001D5327">
              <w:rPr>
                <w:noProof w:val="0"/>
                <w:color w:val="FFFFFF" w:themeColor="background1"/>
                <w:szCs w:val="16"/>
                <w:vertAlign w:val="subscript"/>
              </w:rPr>
              <w:t>2</w:t>
            </w:r>
            <w:r w:rsidRPr="001D5327">
              <w:rPr>
                <w:noProof w:val="0"/>
                <w:color w:val="FFFFFF" w:themeColor="background1"/>
                <w:szCs w:val="16"/>
              </w:rPr>
              <w:t>-e</w:t>
            </w:r>
          </w:p>
        </w:tc>
        <w:tc>
          <w:tcPr>
            <w:tcW w:w="784" w:type="dxa"/>
            <w:tcBorders>
              <w:top w:val="nil"/>
              <w:bottom w:val="single" w:sz="4" w:space="0" w:color="1B556B" w:themeColor="text2"/>
            </w:tcBorders>
            <w:shd w:val="clear" w:color="auto" w:fill="1B556B"/>
            <w:vAlign w:val="bottom"/>
          </w:tcPr>
          <w:p w14:paraId="2CA930C1" w14:textId="77777777" w:rsidR="00590FE1" w:rsidRPr="001D5327" w:rsidRDefault="00590FE1" w:rsidP="00403787">
            <w:pPr>
              <w:pStyle w:val="TableTextBold"/>
              <w:keepNext/>
              <w:spacing w:before="40" w:after="40"/>
              <w:jc w:val="right"/>
              <w:rPr>
                <w:i/>
                <w:iCs/>
                <w:noProof w:val="0"/>
                <w:color w:val="FFFFFF" w:themeColor="background1"/>
                <w:szCs w:val="16"/>
              </w:rPr>
            </w:pPr>
            <w:r w:rsidRPr="001D5327">
              <w:rPr>
                <w:noProof w:val="0"/>
                <w:color w:val="FFFFFF" w:themeColor="background1"/>
                <w:szCs w:val="16"/>
              </w:rPr>
              <w:t>%</w:t>
            </w:r>
          </w:p>
        </w:tc>
        <w:tc>
          <w:tcPr>
            <w:tcW w:w="852" w:type="dxa"/>
            <w:tcBorders>
              <w:top w:val="nil"/>
              <w:bottom w:val="single" w:sz="4" w:space="0" w:color="1B556B" w:themeColor="text2"/>
            </w:tcBorders>
            <w:shd w:val="clear" w:color="auto" w:fill="1B556B"/>
            <w:vAlign w:val="bottom"/>
          </w:tcPr>
          <w:p w14:paraId="71C01907" w14:textId="77777777" w:rsidR="00590FE1" w:rsidRPr="001D5327" w:rsidRDefault="00590FE1" w:rsidP="00403787">
            <w:pPr>
              <w:pStyle w:val="TableTextBold"/>
              <w:keepNext/>
              <w:spacing w:before="40" w:after="40"/>
              <w:jc w:val="right"/>
              <w:rPr>
                <w:i/>
                <w:iCs/>
                <w:noProof w:val="0"/>
                <w:color w:val="FFFFFF" w:themeColor="background1"/>
                <w:szCs w:val="16"/>
              </w:rPr>
            </w:pPr>
            <w:r w:rsidRPr="001D5327">
              <w:rPr>
                <w:noProof w:val="0"/>
                <w:color w:val="FFFFFF" w:themeColor="background1"/>
                <w:szCs w:val="16"/>
              </w:rPr>
              <w:t>1990</w:t>
            </w:r>
          </w:p>
        </w:tc>
        <w:tc>
          <w:tcPr>
            <w:tcW w:w="851" w:type="dxa"/>
            <w:tcBorders>
              <w:top w:val="nil"/>
              <w:bottom w:val="single" w:sz="4" w:space="0" w:color="1B556B" w:themeColor="text2"/>
            </w:tcBorders>
            <w:shd w:val="clear" w:color="auto" w:fill="1B556B"/>
            <w:vAlign w:val="bottom"/>
          </w:tcPr>
          <w:p w14:paraId="718D153B" w14:textId="77777777" w:rsidR="00590FE1" w:rsidRPr="001D5327" w:rsidRDefault="00590FE1" w:rsidP="00403787">
            <w:pPr>
              <w:pStyle w:val="TableTextBold"/>
              <w:keepNext/>
              <w:spacing w:before="40" w:after="40"/>
              <w:jc w:val="right"/>
              <w:rPr>
                <w:i/>
                <w:iCs/>
                <w:noProof w:val="0"/>
                <w:color w:val="FFFFFF" w:themeColor="background1"/>
                <w:szCs w:val="16"/>
              </w:rPr>
            </w:pPr>
            <w:r w:rsidRPr="001D5327">
              <w:rPr>
                <w:noProof w:val="0"/>
                <w:color w:val="FFFFFF" w:themeColor="background1"/>
                <w:szCs w:val="16"/>
              </w:rPr>
              <w:t>2023</w:t>
            </w:r>
          </w:p>
        </w:tc>
        <w:tc>
          <w:tcPr>
            <w:tcW w:w="852" w:type="dxa"/>
            <w:tcBorders>
              <w:top w:val="nil"/>
              <w:bottom w:val="single" w:sz="4" w:space="0" w:color="1B556B" w:themeColor="text2"/>
            </w:tcBorders>
            <w:shd w:val="clear" w:color="auto" w:fill="1B556B"/>
            <w:vAlign w:val="bottom"/>
          </w:tcPr>
          <w:p w14:paraId="4C7463A8" w14:textId="77777777" w:rsidR="00590FE1" w:rsidRPr="001D5327" w:rsidRDefault="00590FE1" w:rsidP="00403787">
            <w:pPr>
              <w:pStyle w:val="TableTextBold"/>
              <w:keepNext/>
              <w:spacing w:before="40" w:after="40"/>
              <w:jc w:val="right"/>
              <w:rPr>
                <w:i/>
                <w:iCs/>
                <w:noProof w:val="0"/>
                <w:color w:val="FFFFFF" w:themeColor="background1"/>
                <w:szCs w:val="16"/>
              </w:rPr>
            </w:pPr>
            <w:r w:rsidRPr="001D5327">
              <w:rPr>
                <w:noProof w:val="0"/>
                <w:color w:val="FFFFFF" w:themeColor="background1"/>
                <w:szCs w:val="16"/>
              </w:rPr>
              <w:t>1990</w:t>
            </w:r>
          </w:p>
        </w:tc>
        <w:tc>
          <w:tcPr>
            <w:tcW w:w="851" w:type="dxa"/>
            <w:tcBorders>
              <w:top w:val="nil"/>
              <w:bottom w:val="single" w:sz="4" w:space="0" w:color="1B556B" w:themeColor="text2"/>
              <w:right w:val="nil"/>
            </w:tcBorders>
            <w:shd w:val="clear" w:color="auto" w:fill="1B556B"/>
            <w:vAlign w:val="bottom"/>
          </w:tcPr>
          <w:p w14:paraId="281FFB2D" w14:textId="77777777" w:rsidR="00590FE1" w:rsidRPr="001D5327" w:rsidRDefault="00590FE1" w:rsidP="00403787">
            <w:pPr>
              <w:pStyle w:val="TableTextBold"/>
              <w:keepNext/>
              <w:spacing w:before="40" w:after="40"/>
              <w:jc w:val="right"/>
              <w:rPr>
                <w:i/>
                <w:iCs/>
                <w:noProof w:val="0"/>
                <w:color w:val="FFFFFF" w:themeColor="background1"/>
                <w:szCs w:val="16"/>
              </w:rPr>
            </w:pPr>
            <w:r w:rsidRPr="001D5327">
              <w:rPr>
                <w:noProof w:val="0"/>
                <w:color w:val="FFFFFF" w:themeColor="background1"/>
                <w:szCs w:val="16"/>
              </w:rPr>
              <w:t>2023</w:t>
            </w:r>
          </w:p>
        </w:tc>
      </w:tr>
      <w:tr w:rsidR="00590FE1" w:rsidRPr="001D5327" w14:paraId="219846B3" w14:textId="77777777" w:rsidTr="00403787">
        <w:tc>
          <w:tcPr>
            <w:tcW w:w="1746" w:type="dxa"/>
            <w:tcBorders>
              <w:top w:val="single" w:sz="4" w:space="0" w:color="1B556B" w:themeColor="text2"/>
              <w:left w:val="nil"/>
              <w:bottom w:val="nil"/>
            </w:tcBorders>
            <w:shd w:val="clear" w:color="auto" w:fill="auto"/>
          </w:tcPr>
          <w:p w14:paraId="37DA9FE7" w14:textId="77777777" w:rsidR="00590FE1" w:rsidRPr="001D5327" w:rsidRDefault="00590FE1" w:rsidP="00403787">
            <w:pPr>
              <w:pStyle w:val="TableText"/>
              <w:keepNext/>
              <w:spacing w:before="40" w:after="40"/>
            </w:pPr>
            <w:r w:rsidRPr="001D5327">
              <w:t>Dairy cattle</w:t>
            </w:r>
          </w:p>
        </w:tc>
        <w:tc>
          <w:tcPr>
            <w:tcW w:w="856" w:type="dxa"/>
            <w:tcBorders>
              <w:top w:val="single" w:sz="4" w:space="0" w:color="1B556B" w:themeColor="text2"/>
              <w:left w:val="nil"/>
              <w:bottom w:val="single" w:sz="4" w:space="0" w:color="1B556B" w:themeColor="text2"/>
              <w:right w:val="nil"/>
            </w:tcBorders>
            <w:shd w:val="clear" w:color="auto" w:fill="auto"/>
          </w:tcPr>
          <w:p w14:paraId="593521BB"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1,020.0</w:t>
            </w:r>
          </w:p>
        </w:tc>
        <w:tc>
          <w:tcPr>
            <w:tcW w:w="856" w:type="dxa"/>
            <w:tcBorders>
              <w:top w:val="single" w:sz="4" w:space="0" w:color="1B556B" w:themeColor="text2"/>
              <w:left w:val="nil"/>
              <w:bottom w:val="single" w:sz="4" w:space="0" w:color="1B556B" w:themeColor="text2"/>
              <w:right w:val="nil"/>
            </w:tcBorders>
            <w:shd w:val="clear" w:color="auto" w:fill="auto"/>
          </w:tcPr>
          <w:p w14:paraId="665BE157"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1,945.5 </w:t>
            </w:r>
          </w:p>
        </w:tc>
        <w:tc>
          <w:tcPr>
            <w:tcW w:w="857" w:type="dxa"/>
            <w:tcBorders>
              <w:top w:val="single" w:sz="4" w:space="0" w:color="1B556B" w:themeColor="text2"/>
              <w:left w:val="nil"/>
              <w:bottom w:val="single" w:sz="4" w:space="0" w:color="1B556B" w:themeColor="text2"/>
              <w:right w:val="nil"/>
            </w:tcBorders>
            <w:shd w:val="clear" w:color="auto" w:fill="auto"/>
          </w:tcPr>
          <w:p w14:paraId="6DE0C1B6"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925.5 </w:t>
            </w:r>
          </w:p>
        </w:tc>
        <w:tc>
          <w:tcPr>
            <w:tcW w:w="784" w:type="dxa"/>
            <w:tcBorders>
              <w:top w:val="single" w:sz="4" w:space="0" w:color="1B556B" w:themeColor="text2"/>
              <w:left w:val="nil"/>
              <w:bottom w:val="single" w:sz="4" w:space="0" w:color="1B556B" w:themeColor="text2"/>
              <w:right w:val="nil"/>
            </w:tcBorders>
            <w:shd w:val="clear" w:color="auto" w:fill="auto"/>
          </w:tcPr>
          <w:p w14:paraId="62744DAA"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90.7 </w:t>
            </w:r>
          </w:p>
        </w:tc>
        <w:tc>
          <w:tcPr>
            <w:tcW w:w="852" w:type="dxa"/>
            <w:tcBorders>
              <w:top w:val="single" w:sz="4" w:space="0" w:color="1B556B" w:themeColor="text2"/>
              <w:left w:val="nil"/>
              <w:bottom w:val="single" w:sz="4" w:space="0" w:color="1B556B" w:themeColor="text2"/>
              <w:right w:val="nil"/>
            </w:tcBorders>
            <w:shd w:val="clear" w:color="auto" w:fill="auto"/>
          </w:tcPr>
          <w:p w14:paraId="22D457FD" w14:textId="77777777" w:rsidR="00590FE1" w:rsidRPr="001D5327" w:rsidRDefault="00590FE1" w:rsidP="00403787">
            <w:pPr>
              <w:pStyle w:val="TableText"/>
              <w:keepNext/>
              <w:spacing w:before="40" w:after="40"/>
              <w:jc w:val="right"/>
              <w:rPr>
                <w:color w:val="000000"/>
              </w:rPr>
            </w:pPr>
            <w:r w:rsidRPr="001D5327">
              <w:t xml:space="preserve"> 21.9 </w:t>
            </w:r>
          </w:p>
        </w:tc>
        <w:tc>
          <w:tcPr>
            <w:tcW w:w="851" w:type="dxa"/>
            <w:tcBorders>
              <w:top w:val="single" w:sz="4" w:space="0" w:color="1B556B" w:themeColor="text2"/>
              <w:left w:val="nil"/>
              <w:bottom w:val="single" w:sz="4" w:space="0" w:color="1B556B" w:themeColor="text2"/>
              <w:right w:val="nil"/>
            </w:tcBorders>
            <w:shd w:val="clear" w:color="auto" w:fill="auto"/>
          </w:tcPr>
          <w:p w14:paraId="47404799"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30.5 </w:t>
            </w:r>
          </w:p>
        </w:tc>
        <w:tc>
          <w:tcPr>
            <w:tcW w:w="852" w:type="dxa"/>
            <w:tcBorders>
              <w:top w:val="single" w:sz="4" w:space="0" w:color="1B556B" w:themeColor="text2"/>
              <w:left w:val="nil"/>
              <w:bottom w:val="single" w:sz="4" w:space="0" w:color="1B556B" w:themeColor="text2"/>
              <w:right w:val="nil"/>
            </w:tcBorders>
            <w:shd w:val="clear" w:color="auto" w:fill="auto"/>
          </w:tcPr>
          <w:p w14:paraId="08078563"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2.8 </w:t>
            </w:r>
          </w:p>
        </w:tc>
        <w:tc>
          <w:tcPr>
            <w:tcW w:w="851" w:type="dxa"/>
            <w:tcBorders>
              <w:top w:val="single" w:sz="4" w:space="0" w:color="1B556B" w:themeColor="text2"/>
              <w:left w:val="nil"/>
              <w:bottom w:val="single" w:sz="4" w:space="0" w:color="1B556B" w:themeColor="text2"/>
              <w:right w:val="nil"/>
            </w:tcBorders>
            <w:shd w:val="clear" w:color="auto" w:fill="auto"/>
          </w:tcPr>
          <w:p w14:paraId="2394E169"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4.8 </w:t>
            </w:r>
          </w:p>
        </w:tc>
      </w:tr>
      <w:tr w:rsidR="00590FE1" w:rsidRPr="001D5327" w14:paraId="079D8331" w14:textId="77777777" w:rsidTr="00403787">
        <w:tc>
          <w:tcPr>
            <w:tcW w:w="1746" w:type="dxa"/>
            <w:tcBorders>
              <w:top w:val="nil"/>
              <w:left w:val="nil"/>
              <w:bottom w:val="nil"/>
            </w:tcBorders>
            <w:shd w:val="clear" w:color="auto" w:fill="auto"/>
          </w:tcPr>
          <w:p w14:paraId="69DCF46D" w14:textId="77777777" w:rsidR="00590FE1" w:rsidRPr="001D5327" w:rsidRDefault="00590FE1" w:rsidP="00403787">
            <w:pPr>
              <w:pStyle w:val="TableText"/>
              <w:keepNext/>
              <w:spacing w:before="40" w:after="40"/>
            </w:pPr>
            <w:r w:rsidRPr="001D5327">
              <w:t>Non-dairy cattle</w:t>
            </w:r>
          </w:p>
        </w:tc>
        <w:tc>
          <w:tcPr>
            <w:tcW w:w="856" w:type="dxa"/>
            <w:tcBorders>
              <w:top w:val="single" w:sz="4" w:space="0" w:color="1B556B" w:themeColor="text2"/>
              <w:left w:val="nil"/>
              <w:bottom w:val="single" w:sz="4" w:space="0" w:color="1B556B" w:themeColor="text2"/>
              <w:right w:val="nil"/>
            </w:tcBorders>
            <w:shd w:val="clear" w:color="auto" w:fill="auto"/>
          </w:tcPr>
          <w:p w14:paraId="5C99EAAA"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753.2 </w:t>
            </w:r>
          </w:p>
        </w:tc>
        <w:tc>
          <w:tcPr>
            <w:tcW w:w="856" w:type="dxa"/>
            <w:tcBorders>
              <w:top w:val="single" w:sz="4" w:space="0" w:color="1B556B" w:themeColor="text2"/>
              <w:left w:val="nil"/>
              <w:bottom w:val="single" w:sz="4" w:space="0" w:color="1B556B" w:themeColor="text2"/>
              <w:right w:val="nil"/>
            </w:tcBorders>
            <w:shd w:val="clear" w:color="auto" w:fill="auto"/>
          </w:tcPr>
          <w:p w14:paraId="17CC5945"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730.0</w:t>
            </w:r>
          </w:p>
        </w:tc>
        <w:tc>
          <w:tcPr>
            <w:tcW w:w="857" w:type="dxa"/>
            <w:tcBorders>
              <w:top w:val="single" w:sz="4" w:space="0" w:color="1B556B" w:themeColor="text2"/>
              <w:left w:val="nil"/>
              <w:bottom w:val="single" w:sz="4" w:space="0" w:color="1B556B" w:themeColor="text2"/>
              <w:right w:val="nil"/>
            </w:tcBorders>
            <w:shd w:val="clear" w:color="auto" w:fill="auto"/>
          </w:tcPr>
          <w:p w14:paraId="158979EB" w14:textId="568C516B" w:rsidR="00590FE1" w:rsidRPr="001D5327" w:rsidRDefault="0070503C" w:rsidP="00403787">
            <w:pPr>
              <w:pStyle w:val="TableText"/>
              <w:keepNext/>
              <w:spacing w:before="40" w:after="40"/>
              <w:jc w:val="right"/>
              <w:rPr>
                <w:rFonts w:asciiTheme="minorHAnsi" w:hAnsiTheme="minorHAnsi" w:cstheme="minorHAnsi"/>
                <w:szCs w:val="16"/>
              </w:rPr>
            </w:pPr>
            <w:r>
              <w:t>-</w:t>
            </w:r>
            <w:r w:rsidR="00590FE1" w:rsidRPr="001D5327">
              <w:t xml:space="preserve">23.3 </w:t>
            </w:r>
          </w:p>
        </w:tc>
        <w:tc>
          <w:tcPr>
            <w:tcW w:w="784" w:type="dxa"/>
            <w:tcBorders>
              <w:top w:val="single" w:sz="4" w:space="0" w:color="1B556B" w:themeColor="text2"/>
              <w:left w:val="nil"/>
              <w:bottom w:val="single" w:sz="4" w:space="0" w:color="1B556B" w:themeColor="text2"/>
              <w:right w:val="nil"/>
            </w:tcBorders>
            <w:shd w:val="clear" w:color="auto" w:fill="auto"/>
          </w:tcPr>
          <w:p w14:paraId="5616FBA5" w14:textId="3A727C0C" w:rsidR="00590FE1" w:rsidRPr="001D5327" w:rsidRDefault="0070503C" w:rsidP="00403787">
            <w:pPr>
              <w:pStyle w:val="TableText"/>
              <w:keepNext/>
              <w:spacing w:before="40" w:after="40"/>
              <w:jc w:val="right"/>
              <w:rPr>
                <w:rFonts w:asciiTheme="minorHAnsi" w:hAnsiTheme="minorHAnsi" w:cstheme="minorHAnsi"/>
                <w:szCs w:val="16"/>
              </w:rPr>
            </w:pPr>
            <w:r>
              <w:t>-</w:t>
            </w:r>
            <w:r w:rsidR="00590FE1" w:rsidRPr="001D5327">
              <w:t xml:space="preserve">3.1 </w:t>
            </w:r>
          </w:p>
        </w:tc>
        <w:tc>
          <w:tcPr>
            <w:tcW w:w="852" w:type="dxa"/>
            <w:tcBorders>
              <w:top w:val="single" w:sz="4" w:space="0" w:color="1B556B" w:themeColor="text2"/>
              <w:left w:val="nil"/>
              <w:bottom w:val="single" w:sz="4" w:space="0" w:color="1B556B" w:themeColor="text2"/>
              <w:right w:val="nil"/>
            </w:tcBorders>
            <w:shd w:val="clear" w:color="auto" w:fill="auto"/>
          </w:tcPr>
          <w:p w14:paraId="4AC0C986"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16.2 </w:t>
            </w:r>
          </w:p>
        </w:tc>
        <w:tc>
          <w:tcPr>
            <w:tcW w:w="851" w:type="dxa"/>
            <w:tcBorders>
              <w:top w:val="single" w:sz="4" w:space="0" w:color="1B556B" w:themeColor="text2"/>
              <w:left w:val="nil"/>
              <w:bottom w:val="single" w:sz="4" w:space="0" w:color="1B556B" w:themeColor="text2"/>
              <w:right w:val="nil"/>
            </w:tcBorders>
            <w:shd w:val="clear" w:color="auto" w:fill="auto"/>
          </w:tcPr>
          <w:p w14:paraId="60FFF8B0"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11.5 </w:t>
            </w:r>
          </w:p>
        </w:tc>
        <w:tc>
          <w:tcPr>
            <w:tcW w:w="852" w:type="dxa"/>
            <w:tcBorders>
              <w:top w:val="single" w:sz="4" w:space="0" w:color="1B556B" w:themeColor="text2"/>
              <w:left w:val="nil"/>
              <w:bottom w:val="single" w:sz="4" w:space="0" w:color="1B556B" w:themeColor="text2"/>
              <w:right w:val="nil"/>
            </w:tcBorders>
            <w:shd w:val="clear" w:color="auto" w:fill="auto"/>
          </w:tcPr>
          <w:p w14:paraId="56F45E10"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2.0 </w:t>
            </w:r>
          </w:p>
        </w:tc>
        <w:tc>
          <w:tcPr>
            <w:tcW w:w="851" w:type="dxa"/>
            <w:tcBorders>
              <w:top w:val="single" w:sz="4" w:space="0" w:color="1B556B" w:themeColor="text2"/>
              <w:left w:val="nil"/>
              <w:bottom w:val="single" w:sz="4" w:space="0" w:color="1B556B" w:themeColor="text2"/>
              <w:right w:val="nil"/>
            </w:tcBorders>
            <w:shd w:val="clear" w:color="auto" w:fill="auto"/>
          </w:tcPr>
          <w:p w14:paraId="77C97BC1"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1.8 </w:t>
            </w:r>
          </w:p>
        </w:tc>
      </w:tr>
      <w:tr w:rsidR="00590FE1" w:rsidRPr="001D5327" w14:paraId="06287AB7" w14:textId="77777777" w:rsidTr="00403787">
        <w:tc>
          <w:tcPr>
            <w:tcW w:w="1746" w:type="dxa"/>
            <w:tcBorders>
              <w:top w:val="nil"/>
              <w:left w:val="nil"/>
              <w:bottom w:val="nil"/>
            </w:tcBorders>
            <w:shd w:val="clear" w:color="auto" w:fill="auto"/>
          </w:tcPr>
          <w:p w14:paraId="40BEADD1" w14:textId="77777777" w:rsidR="00590FE1" w:rsidRPr="001D5327" w:rsidRDefault="00590FE1" w:rsidP="00403787">
            <w:pPr>
              <w:pStyle w:val="TableText"/>
              <w:keepNext/>
              <w:spacing w:before="40" w:after="40"/>
            </w:pPr>
            <w:r w:rsidRPr="001D5327">
              <w:t>Sheep</w:t>
            </w:r>
          </w:p>
        </w:tc>
        <w:tc>
          <w:tcPr>
            <w:tcW w:w="856" w:type="dxa"/>
            <w:tcBorders>
              <w:top w:val="single" w:sz="4" w:space="0" w:color="1B556B" w:themeColor="text2"/>
              <w:left w:val="nil"/>
              <w:bottom w:val="single" w:sz="4" w:space="0" w:color="1B556B" w:themeColor="text2"/>
              <w:right w:val="nil"/>
            </w:tcBorders>
            <w:shd w:val="clear" w:color="auto" w:fill="auto"/>
          </w:tcPr>
          <w:p w14:paraId="6E1EFB8C"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765.7 </w:t>
            </w:r>
          </w:p>
        </w:tc>
        <w:tc>
          <w:tcPr>
            <w:tcW w:w="856" w:type="dxa"/>
            <w:tcBorders>
              <w:top w:val="single" w:sz="4" w:space="0" w:color="1B556B" w:themeColor="text2"/>
              <w:left w:val="nil"/>
              <w:bottom w:val="single" w:sz="4" w:space="0" w:color="1B556B" w:themeColor="text2"/>
              <w:right w:val="nil"/>
            </w:tcBorders>
            <w:shd w:val="clear" w:color="auto" w:fill="auto"/>
          </w:tcPr>
          <w:p w14:paraId="35A514C8"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427.5 </w:t>
            </w:r>
          </w:p>
        </w:tc>
        <w:tc>
          <w:tcPr>
            <w:tcW w:w="857" w:type="dxa"/>
            <w:tcBorders>
              <w:top w:val="single" w:sz="4" w:space="0" w:color="1B556B" w:themeColor="text2"/>
              <w:left w:val="nil"/>
              <w:bottom w:val="single" w:sz="4" w:space="0" w:color="1B556B" w:themeColor="text2"/>
              <w:right w:val="nil"/>
            </w:tcBorders>
            <w:shd w:val="clear" w:color="auto" w:fill="auto"/>
          </w:tcPr>
          <w:p w14:paraId="191B1E4A" w14:textId="07FEB146" w:rsidR="00590FE1" w:rsidRPr="001D5327" w:rsidRDefault="0070503C" w:rsidP="00403787">
            <w:pPr>
              <w:pStyle w:val="TableText"/>
              <w:keepNext/>
              <w:spacing w:before="40" w:after="40"/>
              <w:jc w:val="right"/>
              <w:rPr>
                <w:rFonts w:asciiTheme="minorHAnsi" w:hAnsiTheme="minorHAnsi" w:cstheme="minorHAnsi"/>
                <w:szCs w:val="16"/>
              </w:rPr>
            </w:pPr>
            <w:r>
              <w:t>-</w:t>
            </w:r>
            <w:r w:rsidR="00590FE1" w:rsidRPr="001D5327">
              <w:t xml:space="preserve">338.3 </w:t>
            </w:r>
          </w:p>
        </w:tc>
        <w:tc>
          <w:tcPr>
            <w:tcW w:w="784" w:type="dxa"/>
            <w:tcBorders>
              <w:top w:val="single" w:sz="4" w:space="0" w:color="1B556B" w:themeColor="text2"/>
              <w:left w:val="nil"/>
              <w:bottom w:val="single" w:sz="4" w:space="0" w:color="1B556B" w:themeColor="text2"/>
              <w:right w:val="nil"/>
            </w:tcBorders>
            <w:shd w:val="clear" w:color="auto" w:fill="auto"/>
          </w:tcPr>
          <w:p w14:paraId="4065CA5C" w14:textId="435933D5" w:rsidR="00590FE1" w:rsidRPr="001D5327" w:rsidRDefault="0070503C" w:rsidP="00403787">
            <w:pPr>
              <w:pStyle w:val="TableText"/>
              <w:keepNext/>
              <w:spacing w:before="40" w:after="40"/>
              <w:jc w:val="right"/>
              <w:rPr>
                <w:rFonts w:asciiTheme="minorHAnsi" w:hAnsiTheme="minorHAnsi" w:cstheme="minorHAnsi"/>
                <w:szCs w:val="16"/>
              </w:rPr>
            </w:pPr>
            <w:r>
              <w:t>-</w:t>
            </w:r>
            <w:r w:rsidR="00590FE1" w:rsidRPr="001D5327">
              <w:t xml:space="preserve">44.2 </w:t>
            </w:r>
          </w:p>
        </w:tc>
        <w:tc>
          <w:tcPr>
            <w:tcW w:w="852" w:type="dxa"/>
            <w:tcBorders>
              <w:top w:val="single" w:sz="4" w:space="0" w:color="1B556B" w:themeColor="text2"/>
              <w:left w:val="nil"/>
              <w:bottom w:val="single" w:sz="4" w:space="0" w:color="1B556B" w:themeColor="text2"/>
              <w:right w:val="nil"/>
            </w:tcBorders>
            <w:shd w:val="clear" w:color="auto" w:fill="auto"/>
          </w:tcPr>
          <w:p w14:paraId="1C10FE38"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16.5 </w:t>
            </w:r>
          </w:p>
        </w:tc>
        <w:tc>
          <w:tcPr>
            <w:tcW w:w="851" w:type="dxa"/>
            <w:tcBorders>
              <w:top w:val="single" w:sz="4" w:space="0" w:color="1B556B" w:themeColor="text2"/>
              <w:left w:val="nil"/>
              <w:bottom w:val="single" w:sz="4" w:space="0" w:color="1B556B" w:themeColor="text2"/>
              <w:right w:val="nil"/>
            </w:tcBorders>
            <w:shd w:val="clear" w:color="auto" w:fill="auto"/>
          </w:tcPr>
          <w:p w14:paraId="52F5792B"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6.7 </w:t>
            </w:r>
          </w:p>
        </w:tc>
        <w:tc>
          <w:tcPr>
            <w:tcW w:w="852" w:type="dxa"/>
            <w:tcBorders>
              <w:top w:val="single" w:sz="4" w:space="0" w:color="1B556B" w:themeColor="text2"/>
              <w:left w:val="nil"/>
              <w:bottom w:val="single" w:sz="4" w:space="0" w:color="1B556B" w:themeColor="text2"/>
              <w:right w:val="nil"/>
            </w:tcBorders>
            <w:shd w:val="clear" w:color="auto" w:fill="auto"/>
          </w:tcPr>
          <w:p w14:paraId="2E3643C2"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2.1 </w:t>
            </w:r>
          </w:p>
        </w:tc>
        <w:tc>
          <w:tcPr>
            <w:tcW w:w="851" w:type="dxa"/>
            <w:tcBorders>
              <w:top w:val="single" w:sz="4" w:space="0" w:color="1B556B" w:themeColor="text2"/>
              <w:left w:val="nil"/>
              <w:bottom w:val="single" w:sz="4" w:space="0" w:color="1B556B" w:themeColor="text2"/>
              <w:right w:val="nil"/>
            </w:tcBorders>
            <w:shd w:val="clear" w:color="auto" w:fill="auto"/>
          </w:tcPr>
          <w:p w14:paraId="72D23AD9" w14:textId="77777777" w:rsidR="00590FE1" w:rsidRPr="001D5327" w:rsidRDefault="00590FE1" w:rsidP="00403787">
            <w:pPr>
              <w:pStyle w:val="TableText"/>
              <w:keepNext/>
              <w:spacing w:before="40" w:after="40"/>
              <w:jc w:val="right"/>
              <w:rPr>
                <w:rFonts w:asciiTheme="minorHAnsi" w:hAnsiTheme="minorHAnsi" w:cstheme="minorHAnsi"/>
                <w:szCs w:val="16"/>
              </w:rPr>
            </w:pPr>
            <w:r w:rsidRPr="001D5327">
              <w:t xml:space="preserve"> 1.1 </w:t>
            </w:r>
          </w:p>
        </w:tc>
      </w:tr>
      <w:tr w:rsidR="00590FE1" w:rsidRPr="001D5327" w14:paraId="413F9A04" w14:textId="77777777" w:rsidTr="00403787">
        <w:tc>
          <w:tcPr>
            <w:tcW w:w="1746" w:type="dxa"/>
            <w:tcBorders>
              <w:top w:val="nil"/>
              <w:left w:val="nil"/>
              <w:bottom w:val="nil"/>
            </w:tcBorders>
            <w:shd w:val="clear" w:color="auto" w:fill="auto"/>
          </w:tcPr>
          <w:p w14:paraId="59F876E6" w14:textId="77777777" w:rsidR="00590FE1" w:rsidRPr="001D5327" w:rsidRDefault="00590FE1" w:rsidP="00403787">
            <w:pPr>
              <w:pStyle w:val="TableText"/>
              <w:spacing w:before="40" w:after="40"/>
            </w:pPr>
            <w:r w:rsidRPr="001D5327">
              <w:t>Deer</w:t>
            </w:r>
          </w:p>
        </w:tc>
        <w:tc>
          <w:tcPr>
            <w:tcW w:w="856" w:type="dxa"/>
            <w:tcBorders>
              <w:top w:val="single" w:sz="4" w:space="0" w:color="1B556B" w:themeColor="text2"/>
              <w:left w:val="nil"/>
              <w:bottom w:val="single" w:sz="4" w:space="0" w:color="1B556B" w:themeColor="text2"/>
              <w:right w:val="nil"/>
            </w:tcBorders>
            <w:shd w:val="clear" w:color="auto" w:fill="auto"/>
          </w:tcPr>
          <w:p w14:paraId="2BF64D24" w14:textId="77777777" w:rsidR="00590FE1" w:rsidRPr="001D5327" w:rsidRDefault="00590FE1" w:rsidP="00403787">
            <w:pPr>
              <w:pStyle w:val="TableText"/>
              <w:spacing w:before="40" w:after="40"/>
              <w:jc w:val="right"/>
              <w:rPr>
                <w:rFonts w:asciiTheme="minorHAnsi" w:hAnsiTheme="minorHAnsi" w:cstheme="minorHAnsi"/>
                <w:szCs w:val="16"/>
              </w:rPr>
            </w:pPr>
            <w:r w:rsidRPr="001D5327">
              <w:t xml:space="preserve"> 39.6 </w:t>
            </w:r>
          </w:p>
        </w:tc>
        <w:tc>
          <w:tcPr>
            <w:tcW w:w="856" w:type="dxa"/>
            <w:tcBorders>
              <w:top w:val="single" w:sz="4" w:space="0" w:color="1B556B" w:themeColor="text2"/>
              <w:left w:val="nil"/>
              <w:bottom w:val="single" w:sz="4" w:space="0" w:color="1B556B" w:themeColor="text2"/>
              <w:right w:val="nil"/>
            </w:tcBorders>
            <w:shd w:val="clear" w:color="auto" w:fill="auto"/>
          </w:tcPr>
          <w:p w14:paraId="22FA3406" w14:textId="77777777" w:rsidR="00590FE1" w:rsidRPr="001D5327" w:rsidRDefault="00590FE1" w:rsidP="00403787">
            <w:pPr>
              <w:pStyle w:val="TableText"/>
              <w:spacing w:before="40" w:after="40"/>
              <w:jc w:val="right"/>
              <w:rPr>
                <w:rFonts w:asciiTheme="minorHAnsi" w:hAnsiTheme="minorHAnsi" w:cstheme="minorHAnsi"/>
                <w:szCs w:val="16"/>
              </w:rPr>
            </w:pPr>
            <w:r w:rsidRPr="001D5327">
              <w:t xml:space="preserve"> 33.3 </w:t>
            </w:r>
          </w:p>
        </w:tc>
        <w:tc>
          <w:tcPr>
            <w:tcW w:w="857" w:type="dxa"/>
            <w:tcBorders>
              <w:top w:val="single" w:sz="4" w:space="0" w:color="1B556B" w:themeColor="text2"/>
              <w:left w:val="nil"/>
              <w:bottom w:val="single" w:sz="4" w:space="0" w:color="1B556B" w:themeColor="text2"/>
              <w:right w:val="nil"/>
            </w:tcBorders>
            <w:shd w:val="clear" w:color="auto" w:fill="auto"/>
          </w:tcPr>
          <w:p w14:paraId="73AA8AC4" w14:textId="66D6E291" w:rsidR="00590FE1" w:rsidRPr="001D5327" w:rsidRDefault="0070503C" w:rsidP="00403787">
            <w:pPr>
              <w:pStyle w:val="TableText"/>
              <w:spacing w:before="40" w:after="40"/>
              <w:jc w:val="right"/>
              <w:rPr>
                <w:rFonts w:asciiTheme="minorHAnsi" w:hAnsiTheme="minorHAnsi" w:cstheme="minorHAnsi"/>
                <w:szCs w:val="16"/>
              </w:rPr>
            </w:pPr>
            <w:r>
              <w:t>-</w:t>
            </w:r>
            <w:r w:rsidR="00590FE1" w:rsidRPr="001D5327">
              <w:t xml:space="preserve">6.4 </w:t>
            </w:r>
          </w:p>
        </w:tc>
        <w:tc>
          <w:tcPr>
            <w:tcW w:w="784" w:type="dxa"/>
            <w:tcBorders>
              <w:top w:val="single" w:sz="4" w:space="0" w:color="1B556B" w:themeColor="text2"/>
              <w:left w:val="nil"/>
              <w:bottom w:val="single" w:sz="4" w:space="0" w:color="1B556B" w:themeColor="text2"/>
              <w:right w:val="nil"/>
            </w:tcBorders>
            <w:shd w:val="clear" w:color="auto" w:fill="auto"/>
          </w:tcPr>
          <w:p w14:paraId="709A7112" w14:textId="1E785EBE" w:rsidR="00590FE1" w:rsidRPr="001D5327" w:rsidRDefault="0070503C" w:rsidP="00403787">
            <w:pPr>
              <w:pStyle w:val="TableText"/>
              <w:spacing w:before="40" w:after="40"/>
              <w:jc w:val="right"/>
              <w:rPr>
                <w:rFonts w:asciiTheme="minorHAnsi" w:hAnsiTheme="minorHAnsi" w:cstheme="minorHAnsi"/>
                <w:szCs w:val="16"/>
              </w:rPr>
            </w:pPr>
            <w:r>
              <w:t>-</w:t>
            </w:r>
            <w:r w:rsidR="00590FE1" w:rsidRPr="001D5327">
              <w:t xml:space="preserve">16.0 </w:t>
            </w:r>
          </w:p>
        </w:tc>
        <w:tc>
          <w:tcPr>
            <w:tcW w:w="852" w:type="dxa"/>
            <w:tcBorders>
              <w:top w:val="single" w:sz="4" w:space="0" w:color="1B556B" w:themeColor="text2"/>
              <w:left w:val="nil"/>
              <w:bottom w:val="single" w:sz="4" w:space="0" w:color="1B556B" w:themeColor="text2"/>
              <w:right w:val="nil"/>
            </w:tcBorders>
            <w:shd w:val="clear" w:color="auto" w:fill="auto"/>
          </w:tcPr>
          <w:p w14:paraId="6FF0A0B8" w14:textId="77777777" w:rsidR="00590FE1" w:rsidRPr="001D5327" w:rsidRDefault="00590FE1" w:rsidP="00403787">
            <w:pPr>
              <w:pStyle w:val="TableText"/>
              <w:spacing w:before="40" w:after="40"/>
              <w:jc w:val="right"/>
              <w:rPr>
                <w:rFonts w:asciiTheme="minorHAnsi" w:hAnsiTheme="minorHAnsi" w:cstheme="minorHAnsi"/>
                <w:szCs w:val="16"/>
              </w:rPr>
            </w:pPr>
            <w:r w:rsidRPr="001D5327">
              <w:t xml:space="preserve"> 0.9 </w:t>
            </w:r>
          </w:p>
        </w:tc>
        <w:tc>
          <w:tcPr>
            <w:tcW w:w="851" w:type="dxa"/>
            <w:tcBorders>
              <w:top w:val="single" w:sz="4" w:space="0" w:color="1B556B" w:themeColor="text2"/>
              <w:left w:val="nil"/>
              <w:bottom w:val="single" w:sz="4" w:space="0" w:color="1B556B" w:themeColor="text2"/>
              <w:right w:val="nil"/>
            </w:tcBorders>
            <w:shd w:val="clear" w:color="auto" w:fill="auto"/>
          </w:tcPr>
          <w:p w14:paraId="7D52A34F" w14:textId="77777777" w:rsidR="00590FE1" w:rsidRPr="001D5327" w:rsidRDefault="00590FE1" w:rsidP="00403787">
            <w:pPr>
              <w:pStyle w:val="TableText"/>
              <w:spacing w:before="40" w:after="40"/>
              <w:jc w:val="right"/>
              <w:rPr>
                <w:rFonts w:asciiTheme="minorHAnsi" w:hAnsiTheme="minorHAnsi" w:cstheme="minorHAnsi"/>
                <w:szCs w:val="16"/>
              </w:rPr>
            </w:pPr>
            <w:r w:rsidRPr="001D5327">
              <w:t xml:space="preserve"> 0.5 </w:t>
            </w:r>
          </w:p>
        </w:tc>
        <w:tc>
          <w:tcPr>
            <w:tcW w:w="852" w:type="dxa"/>
            <w:tcBorders>
              <w:top w:val="single" w:sz="4" w:space="0" w:color="1B556B" w:themeColor="text2"/>
              <w:left w:val="nil"/>
              <w:bottom w:val="single" w:sz="4" w:space="0" w:color="1B556B" w:themeColor="text2"/>
              <w:right w:val="nil"/>
            </w:tcBorders>
            <w:shd w:val="clear" w:color="auto" w:fill="auto"/>
          </w:tcPr>
          <w:p w14:paraId="66500043" w14:textId="77777777" w:rsidR="00590FE1" w:rsidRPr="001D5327" w:rsidRDefault="00590FE1" w:rsidP="00403787">
            <w:pPr>
              <w:pStyle w:val="TableText"/>
              <w:spacing w:before="40" w:after="40"/>
              <w:jc w:val="right"/>
              <w:rPr>
                <w:rFonts w:asciiTheme="minorHAnsi" w:hAnsiTheme="minorHAnsi" w:cstheme="minorHAnsi"/>
                <w:szCs w:val="16"/>
              </w:rPr>
            </w:pPr>
            <w:r w:rsidRPr="001D5327">
              <w:t xml:space="preserve"> 0.1 </w:t>
            </w:r>
          </w:p>
        </w:tc>
        <w:tc>
          <w:tcPr>
            <w:tcW w:w="851" w:type="dxa"/>
            <w:tcBorders>
              <w:top w:val="single" w:sz="4" w:space="0" w:color="1B556B" w:themeColor="text2"/>
              <w:left w:val="nil"/>
              <w:bottom w:val="single" w:sz="4" w:space="0" w:color="1B556B" w:themeColor="text2"/>
              <w:right w:val="nil"/>
            </w:tcBorders>
            <w:shd w:val="clear" w:color="auto" w:fill="auto"/>
          </w:tcPr>
          <w:p w14:paraId="26270034" w14:textId="77777777" w:rsidR="00590FE1" w:rsidRPr="001D5327" w:rsidRDefault="00590FE1" w:rsidP="00403787">
            <w:pPr>
              <w:pStyle w:val="TableText"/>
              <w:spacing w:before="40" w:after="40"/>
              <w:jc w:val="right"/>
              <w:rPr>
                <w:rFonts w:asciiTheme="minorHAnsi" w:hAnsiTheme="minorHAnsi" w:cstheme="minorHAnsi"/>
                <w:szCs w:val="16"/>
              </w:rPr>
            </w:pPr>
            <w:r w:rsidRPr="001D5327">
              <w:t xml:space="preserve"> 0.1 </w:t>
            </w:r>
          </w:p>
        </w:tc>
      </w:tr>
      <w:tr w:rsidR="00590FE1" w:rsidRPr="001D5327" w14:paraId="6504840E" w14:textId="77777777" w:rsidTr="00403787">
        <w:tc>
          <w:tcPr>
            <w:tcW w:w="1746" w:type="dxa"/>
            <w:tcBorders>
              <w:top w:val="nil"/>
              <w:left w:val="nil"/>
              <w:bottom w:val="single" w:sz="4" w:space="0" w:color="1B556B" w:themeColor="text2"/>
            </w:tcBorders>
            <w:shd w:val="clear" w:color="auto" w:fill="auto"/>
          </w:tcPr>
          <w:p w14:paraId="40045E19" w14:textId="77777777" w:rsidR="00590FE1" w:rsidRPr="001D5327" w:rsidRDefault="00590FE1" w:rsidP="00403787">
            <w:pPr>
              <w:pStyle w:val="TableText"/>
              <w:spacing w:before="40" w:after="40"/>
              <w:rPr>
                <w:rFonts w:cs="Calibri"/>
                <w:i/>
                <w:iCs/>
                <w:szCs w:val="16"/>
              </w:rPr>
            </w:pPr>
            <w:r w:rsidRPr="001D5327">
              <w:rPr>
                <w:rFonts w:cs="Calibri"/>
                <w:szCs w:val="16"/>
              </w:rPr>
              <w:t>Minor livestock</w:t>
            </w:r>
          </w:p>
        </w:tc>
        <w:tc>
          <w:tcPr>
            <w:tcW w:w="856" w:type="dxa"/>
            <w:tcBorders>
              <w:top w:val="single" w:sz="4" w:space="0" w:color="1B556B" w:themeColor="text2"/>
              <w:left w:val="nil"/>
              <w:bottom w:val="single" w:sz="4" w:space="0" w:color="1B556B" w:themeColor="text2"/>
              <w:right w:val="nil"/>
            </w:tcBorders>
            <w:shd w:val="clear" w:color="auto" w:fill="auto"/>
          </w:tcPr>
          <w:p w14:paraId="029ACC56" w14:textId="77777777" w:rsidR="00590FE1" w:rsidRPr="001D5327" w:rsidRDefault="00590FE1" w:rsidP="00403787">
            <w:pPr>
              <w:pStyle w:val="TableText"/>
              <w:spacing w:before="40" w:after="40"/>
              <w:jc w:val="right"/>
              <w:rPr>
                <w:rFonts w:asciiTheme="minorHAnsi" w:hAnsiTheme="minorHAnsi" w:cstheme="minorHAnsi"/>
                <w:szCs w:val="16"/>
              </w:rPr>
            </w:pPr>
            <w:r w:rsidRPr="001D5327">
              <w:t xml:space="preserve"> 71.7 </w:t>
            </w:r>
          </w:p>
        </w:tc>
        <w:tc>
          <w:tcPr>
            <w:tcW w:w="856" w:type="dxa"/>
            <w:tcBorders>
              <w:top w:val="single" w:sz="4" w:space="0" w:color="1B556B" w:themeColor="text2"/>
              <w:left w:val="nil"/>
              <w:bottom w:val="single" w:sz="4" w:space="0" w:color="1B556B" w:themeColor="text2"/>
              <w:right w:val="nil"/>
            </w:tcBorders>
            <w:shd w:val="clear" w:color="auto" w:fill="auto"/>
          </w:tcPr>
          <w:p w14:paraId="079DBE43" w14:textId="77777777" w:rsidR="00590FE1" w:rsidRPr="001D5327" w:rsidRDefault="00590FE1" w:rsidP="00403787">
            <w:pPr>
              <w:pStyle w:val="TableText"/>
              <w:spacing w:before="40" w:after="40"/>
              <w:jc w:val="right"/>
              <w:rPr>
                <w:rFonts w:asciiTheme="minorHAnsi" w:hAnsiTheme="minorHAnsi" w:cstheme="minorHAnsi"/>
                <w:szCs w:val="16"/>
              </w:rPr>
            </w:pPr>
            <w:r w:rsidRPr="001D5327">
              <w:t xml:space="preserve"> 15.6 </w:t>
            </w:r>
          </w:p>
        </w:tc>
        <w:tc>
          <w:tcPr>
            <w:tcW w:w="857" w:type="dxa"/>
            <w:tcBorders>
              <w:top w:val="single" w:sz="4" w:space="0" w:color="1B556B" w:themeColor="text2"/>
              <w:left w:val="nil"/>
              <w:bottom w:val="single" w:sz="4" w:space="0" w:color="1B556B" w:themeColor="text2"/>
              <w:right w:val="nil"/>
            </w:tcBorders>
            <w:shd w:val="clear" w:color="auto" w:fill="auto"/>
          </w:tcPr>
          <w:p w14:paraId="4998BA9A" w14:textId="03B830D4" w:rsidR="00590FE1" w:rsidRPr="001D5327" w:rsidRDefault="0070503C" w:rsidP="00403787">
            <w:pPr>
              <w:pStyle w:val="TableText"/>
              <w:spacing w:before="40" w:after="40"/>
              <w:jc w:val="right"/>
              <w:rPr>
                <w:rFonts w:asciiTheme="minorHAnsi" w:hAnsiTheme="minorHAnsi" w:cstheme="minorHAnsi"/>
                <w:szCs w:val="16"/>
              </w:rPr>
            </w:pPr>
            <w:r>
              <w:t>-</w:t>
            </w:r>
            <w:r w:rsidR="00590FE1" w:rsidRPr="001D5327">
              <w:t xml:space="preserve">56.1 </w:t>
            </w:r>
          </w:p>
        </w:tc>
        <w:tc>
          <w:tcPr>
            <w:tcW w:w="784" w:type="dxa"/>
            <w:tcBorders>
              <w:top w:val="single" w:sz="4" w:space="0" w:color="1B556B" w:themeColor="text2"/>
              <w:left w:val="nil"/>
              <w:bottom w:val="single" w:sz="4" w:space="0" w:color="1B556B" w:themeColor="text2"/>
              <w:right w:val="nil"/>
            </w:tcBorders>
            <w:shd w:val="clear" w:color="auto" w:fill="auto"/>
          </w:tcPr>
          <w:p w14:paraId="033B8181" w14:textId="4AC33FD8" w:rsidR="00590FE1" w:rsidRPr="001D5327" w:rsidRDefault="0070503C" w:rsidP="00403787">
            <w:pPr>
              <w:pStyle w:val="TableText"/>
              <w:spacing w:before="40" w:after="40"/>
              <w:jc w:val="right"/>
              <w:rPr>
                <w:rFonts w:asciiTheme="minorHAnsi" w:hAnsiTheme="minorHAnsi" w:cstheme="minorHAnsi"/>
                <w:szCs w:val="16"/>
              </w:rPr>
            </w:pPr>
            <w:r>
              <w:t>-</w:t>
            </w:r>
            <w:r w:rsidR="00590FE1" w:rsidRPr="001D5327">
              <w:t xml:space="preserve">78.2 </w:t>
            </w:r>
          </w:p>
        </w:tc>
        <w:tc>
          <w:tcPr>
            <w:tcW w:w="852" w:type="dxa"/>
            <w:tcBorders>
              <w:top w:val="single" w:sz="4" w:space="0" w:color="1B556B" w:themeColor="text2"/>
              <w:left w:val="nil"/>
              <w:bottom w:val="single" w:sz="4" w:space="0" w:color="1B556B" w:themeColor="text2"/>
              <w:right w:val="nil"/>
            </w:tcBorders>
            <w:shd w:val="clear" w:color="auto" w:fill="auto"/>
          </w:tcPr>
          <w:p w14:paraId="1CE3D4B5" w14:textId="77777777" w:rsidR="00590FE1" w:rsidRPr="001D5327" w:rsidRDefault="00590FE1" w:rsidP="00403787">
            <w:pPr>
              <w:pStyle w:val="TableText"/>
              <w:spacing w:before="40" w:after="40"/>
              <w:jc w:val="right"/>
              <w:rPr>
                <w:rFonts w:asciiTheme="minorHAnsi" w:hAnsiTheme="minorHAnsi" w:cstheme="minorHAnsi"/>
                <w:szCs w:val="16"/>
              </w:rPr>
            </w:pPr>
            <w:r w:rsidRPr="001D5327">
              <w:t xml:space="preserve"> 1.5 </w:t>
            </w:r>
          </w:p>
        </w:tc>
        <w:tc>
          <w:tcPr>
            <w:tcW w:w="851" w:type="dxa"/>
            <w:tcBorders>
              <w:top w:val="single" w:sz="4" w:space="0" w:color="1B556B" w:themeColor="text2"/>
              <w:left w:val="nil"/>
              <w:bottom w:val="single" w:sz="4" w:space="0" w:color="1B556B" w:themeColor="text2"/>
              <w:right w:val="nil"/>
            </w:tcBorders>
            <w:shd w:val="clear" w:color="auto" w:fill="auto"/>
          </w:tcPr>
          <w:p w14:paraId="6B63E8FD" w14:textId="77777777" w:rsidR="00590FE1" w:rsidRPr="001D5327" w:rsidRDefault="00590FE1" w:rsidP="00403787">
            <w:pPr>
              <w:pStyle w:val="TableText"/>
              <w:spacing w:before="40" w:after="40"/>
              <w:jc w:val="right"/>
              <w:rPr>
                <w:rFonts w:asciiTheme="minorHAnsi" w:hAnsiTheme="minorHAnsi" w:cstheme="minorHAnsi"/>
                <w:szCs w:val="16"/>
              </w:rPr>
            </w:pPr>
            <w:r w:rsidRPr="001D5327">
              <w:t xml:space="preserve"> 0.3 </w:t>
            </w:r>
          </w:p>
        </w:tc>
        <w:tc>
          <w:tcPr>
            <w:tcW w:w="852" w:type="dxa"/>
            <w:tcBorders>
              <w:top w:val="single" w:sz="4" w:space="0" w:color="1B556B" w:themeColor="text2"/>
              <w:left w:val="nil"/>
              <w:bottom w:val="single" w:sz="4" w:space="0" w:color="1B556B" w:themeColor="text2"/>
              <w:right w:val="nil"/>
            </w:tcBorders>
            <w:shd w:val="clear" w:color="auto" w:fill="auto"/>
          </w:tcPr>
          <w:p w14:paraId="72EE1C75" w14:textId="77777777" w:rsidR="00590FE1" w:rsidRPr="001D5327" w:rsidRDefault="00590FE1" w:rsidP="00403787">
            <w:pPr>
              <w:pStyle w:val="TableText"/>
              <w:spacing w:before="40" w:after="40"/>
              <w:jc w:val="right"/>
              <w:rPr>
                <w:rFonts w:asciiTheme="minorHAnsi" w:hAnsiTheme="minorHAnsi" w:cstheme="minorHAnsi"/>
                <w:szCs w:val="16"/>
              </w:rPr>
            </w:pPr>
            <w:r w:rsidRPr="001D5327">
              <w:t xml:space="preserve"> 0.2 </w:t>
            </w:r>
          </w:p>
        </w:tc>
        <w:tc>
          <w:tcPr>
            <w:tcW w:w="851" w:type="dxa"/>
            <w:tcBorders>
              <w:top w:val="single" w:sz="4" w:space="0" w:color="1B556B" w:themeColor="text2"/>
              <w:left w:val="nil"/>
              <w:bottom w:val="single" w:sz="4" w:space="0" w:color="1B556B" w:themeColor="text2"/>
              <w:right w:val="nil"/>
            </w:tcBorders>
            <w:shd w:val="clear" w:color="auto" w:fill="auto"/>
          </w:tcPr>
          <w:p w14:paraId="33C699BC" w14:textId="77777777" w:rsidR="00590FE1" w:rsidRPr="001D5327" w:rsidRDefault="00590FE1" w:rsidP="00403787">
            <w:pPr>
              <w:pStyle w:val="TableText"/>
              <w:spacing w:before="40" w:after="40"/>
              <w:jc w:val="right"/>
              <w:rPr>
                <w:rFonts w:asciiTheme="minorHAnsi" w:hAnsiTheme="minorHAnsi" w:cstheme="minorHAnsi"/>
                <w:szCs w:val="16"/>
              </w:rPr>
            </w:pPr>
            <w:r w:rsidRPr="001D5327">
              <w:t xml:space="preserve"> 0.0 </w:t>
            </w:r>
          </w:p>
        </w:tc>
      </w:tr>
    </w:tbl>
    <w:p w14:paraId="794B0737" w14:textId="77777777" w:rsidR="00590FE1" w:rsidRPr="001D5327" w:rsidRDefault="00590FE1" w:rsidP="00590FE1">
      <w:pPr>
        <w:pStyle w:val="Noteundertable"/>
        <w:spacing w:before="160"/>
        <w:rPr>
          <w:rFonts w:cs="Calibri"/>
        </w:rPr>
      </w:pPr>
      <w:bookmarkStart w:id="1230" w:name="_Toc274046122"/>
      <w:bookmarkEnd w:id="1229"/>
      <w:r w:rsidRPr="001D5327">
        <w:rPr>
          <w:rFonts w:cs="Calibri"/>
          <w:b/>
          <w:bCs/>
        </w:rPr>
        <w:t>Note:</w:t>
      </w:r>
      <w:r w:rsidRPr="001D5327">
        <w:rPr>
          <w:rFonts w:cs="Calibri"/>
        </w:rPr>
        <w:tab/>
        <w:t>Percentages presented are calculated from unrounded values.</w:t>
      </w:r>
    </w:p>
    <w:p w14:paraId="4E60CC08" w14:textId="77777777" w:rsidR="00590FE1" w:rsidRPr="001D5327" w:rsidRDefault="00590FE1" w:rsidP="00590FE1">
      <w:pPr>
        <w:pStyle w:val="Heading5"/>
      </w:pPr>
      <w:r w:rsidRPr="001D5327">
        <w:lastRenderedPageBreak/>
        <w:t>Nitrous oxide from crop residue returned to soil</w:t>
      </w:r>
      <w:bookmarkEnd w:id="1230"/>
      <w:r w:rsidRPr="001D5327">
        <w:t xml:space="preserve"> (3.D.1.4)</w:t>
      </w:r>
    </w:p>
    <w:p w14:paraId="72801CE7" w14:textId="4E77793E" w:rsidR="00590FE1" w:rsidRPr="001D5327" w:rsidDel="005621A7" w:rsidRDefault="00590FE1" w:rsidP="00590FE1">
      <w:pPr>
        <w:pStyle w:val="BodyText"/>
        <w:rPr>
          <w:rFonts w:cs="Calibri"/>
        </w:rPr>
      </w:pPr>
      <w:r w:rsidRPr="001D5327">
        <w:rPr>
          <w:rFonts w:cs="Calibri"/>
        </w:rPr>
        <w:t>This emissions category includes emissions from nitrogen added to soils by above-ground and below-ground crop residue (including residue left behind by crop burning), and the nitrogen added as a result of mineralisation of forages during pasture renewal. It includes both nitrogen-fixing and non-nitrogen-fixing crop species. Crop residues are materials left in</w:t>
      </w:r>
      <w:r w:rsidR="001F16B8" w:rsidRPr="001D5327">
        <w:rPr>
          <w:rFonts w:cs="Calibri"/>
        </w:rPr>
        <w:t> </w:t>
      </w:r>
      <w:r w:rsidRPr="001D5327">
        <w:rPr>
          <w:rFonts w:cs="Calibri"/>
        </w:rPr>
        <w:t>an agricultural field after the crop has been harvested. Pasture renewal is the destruction of</w:t>
      </w:r>
      <w:r w:rsidR="001F16B8" w:rsidRPr="001D5327">
        <w:rPr>
          <w:rFonts w:cs="Calibri"/>
        </w:rPr>
        <w:t> </w:t>
      </w:r>
      <w:r w:rsidRPr="001D5327">
        <w:rPr>
          <w:rFonts w:cs="Calibri"/>
        </w:rPr>
        <w:t>low</w:t>
      </w:r>
      <w:r w:rsidRPr="001D5327">
        <w:rPr>
          <w:rFonts w:cs="Calibri"/>
        </w:rPr>
        <w:noBreakHyphen/>
        <w:t xml:space="preserve">quality pasture followed by the sowing of improved pasture species and varieties to increase farm productivity. The direct emissions from agricultural residue burning are reported in section 5.7. </w:t>
      </w:r>
    </w:p>
    <w:p w14:paraId="37E1CD7E" w14:textId="77777777" w:rsidR="00590FE1" w:rsidRPr="001D5327" w:rsidRDefault="00590FE1" w:rsidP="00590FE1">
      <w:pPr>
        <w:pStyle w:val="BodyText"/>
        <w:spacing w:before="100"/>
        <w:rPr>
          <w:rFonts w:cs="Calibri"/>
        </w:rPr>
      </w:pPr>
      <w:r w:rsidRPr="001D5327">
        <w:rPr>
          <w:rFonts w:cs="Calibri"/>
        </w:rPr>
        <w:t>New Zealand does not include an adjustment for crop residue removed for feed and bedding, which is estimated to be minor by Thomas et al. (2008).</w:t>
      </w:r>
    </w:p>
    <w:p w14:paraId="6C95331D" w14:textId="77777777" w:rsidR="00590FE1" w:rsidRPr="001D5327" w:rsidRDefault="00590FE1" w:rsidP="00590FE1">
      <w:pPr>
        <w:pStyle w:val="BodyText"/>
        <w:spacing w:before="100"/>
        <w:rPr>
          <w:rFonts w:cs="Calibri"/>
        </w:rPr>
      </w:pPr>
      <w:r w:rsidRPr="001D5327">
        <w:rPr>
          <w:rFonts w:cs="Calibri"/>
          <w:b/>
          <w:bCs/>
        </w:rPr>
        <w:t xml:space="preserve">Nitrogen from crop residue: </w:t>
      </w:r>
      <w:r w:rsidRPr="001D5327">
        <w:rPr>
          <w:rFonts w:cs="Calibri"/>
        </w:rPr>
        <w:t xml:space="preserve">The major non-nitrogen-fixing crops grown in </w:t>
      </w:r>
      <w:r w:rsidRPr="001D5327" w:rsidDel="00122D71">
        <w:rPr>
          <w:rFonts w:cs="Calibri"/>
        </w:rPr>
        <w:t xml:space="preserve">New </w:t>
      </w:r>
      <w:r w:rsidRPr="001D5327">
        <w:rPr>
          <w:rFonts w:cs="Calibri"/>
        </w:rPr>
        <w:t xml:space="preserve">Zealand are barley, </w:t>
      </w:r>
      <w:r w:rsidRPr="001D5327">
        <w:rPr>
          <w:rFonts w:cs="Calibri"/>
          <w:spacing w:val="-2"/>
        </w:rPr>
        <w:t>wheat, oats, potatoes, maize for seed, and other seed crops. From the 2012 submission onwards,</w:t>
      </w:r>
      <w:r w:rsidRPr="001D5327">
        <w:rPr>
          <w:rFonts w:cs="Calibri"/>
        </w:rPr>
        <w:t xml:space="preserve"> </w:t>
      </w:r>
      <w:r w:rsidRPr="001D5327" w:rsidDel="009E37FF">
        <w:rPr>
          <w:rFonts w:cs="Calibri"/>
        </w:rPr>
        <w:t xml:space="preserve">New </w:t>
      </w:r>
      <w:r w:rsidRPr="001D5327">
        <w:rPr>
          <w:rFonts w:cs="Calibri"/>
        </w:rPr>
        <w:t xml:space="preserve">Zealand has reported emissions from additional cropping activity not previously </w:t>
      </w:r>
      <w:r w:rsidRPr="001D5327">
        <w:rPr>
          <w:rFonts w:cs="Calibri"/>
          <w:spacing w:val="-2"/>
        </w:rPr>
        <w:t xml:space="preserve">estimated, such as onions, squash and sweetcorn (Thomas et al., 2011). The nitrogen-fixing crops grown in </w:t>
      </w:r>
      <w:r w:rsidRPr="001D5327" w:rsidDel="007E7529">
        <w:rPr>
          <w:rFonts w:cs="Calibri"/>
          <w:spacing w:val="-2"/>
        </w:rPr>
        <w:t xml:space="preserve">New </w:t>
      </w:r>
      <w:r w:rsidRPr="001D5327">
        <w:rPr>
          <w:rFonts w:cs="Calibri"/>
          <w:spacing w:val="-2"/>
        </w:rPr>
        <w:t>Zealand include peas grown for both processing and seed markets as well as lentil production, and forage legume seeds (</w:t>
      </w:r>
      <w:r w:rsidRPr="001D5327">
        <w:rPr>
          <w:rFonts w:cs="Calibri"/>
          <w:i/>
          <w:iCs/>
          <w:spacing w:val="-2"/>
        </w:rPr>
        <w:t>Trifolium repens</w:t>
      </w:r>
      <w:r w:rsidRPr="001D5327">
        <w:rPr>
          <w:rFonts w:cs="Calibri"/>
          <w:spacing w:val="-2"/>
        </w:rPr>
        <w:t>) grown for pasture production</w:t>
      </w:r>
      <w:r w:rsidRPr="001D5327">
        <w:rPr>
          <w:rFonts w:cs="Calibri"/>
        </w:rPr>
        <w:t>.</w:t>
      </w:r>
    </w:p>
    <w:p w14:paraId="32D6BF4B" w14:textId="77777777" w:rsidR="00590FE1" w:rsidRPr="001D5327" w:rsidRDefault="00590FE1" w:rsidP="00590FE1">
      <w:pPr>
        <w:pStyle w:val="BodyText"/>
        <w:spacing w:after="80"/>
      </w:pPr>
      <w:r w:rsidRPr="001D5327">
        <w:t>A country-specific methodology is used to calculate emissions from crop residue (Thomas et al., 2008):</w:t>
      </w:r>
    </w:p>
    <w:bookmarkStart w:id="1231" w:name="_1640173609"/>
    <w:bookmarkStart w:id="1232" w:name="_1767785931"/>
    <w:bookmarkStart w:id="1233" w:name="_1767788841"/>
    <w:bookmarkEnd w:id="1231"/>
    <w:bookmarkEnd w:id="1232"/>
    <w:bookmarkEnd w:id="1233"/>
    <w:p w14:paraId="73757F7A" w14:textId="77777777" w:rsidR="00590FE1" w:rsidRPr="001D5327" w:rsidRDefault="00000000" w:rsidP="00590FE1">
      <w:pPr>
        <w:pStyle w:val="BodyText"/>
        <w:spacing w:before="0" w:after="60"/>
        <w:jc w:val="center"/>
        <w:rPr>
          <w:rFonts w:ascii="Cambria Math" w:hAnsi="Cambria Math" w:cs="Calibri"/>
          <w:sz w:val="24"/>
          <w:szCs w:val="24"/>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FCR</m:t>
              </m:r>
            </m:sub>
          </m:sSub>
          <m:r>
            <w:rPr>
              <w:rFonts w:ascii="Cambria Math" w:hAnsi="Cambria Math"/>
              <w:sz w:val="24"/>
              <w:szCs w:val="24"/>
            </w:rPr>
            <m:t xml:space="preserve"> emissions=</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sSub>
            <m:sSubPr>
              <m:ctrlPr>
                <w:rPr>
                  <w:rFonts w:ascii="Cambria Math" w:hAnsi="Cambria Math"/>
                  <w:i/>
                  <w:sz w:val="24"/>
                  <w:szCs w:val="24"/>
                </w:rPr>
              </m:ctrlPr>
            </m:sSub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r>
                    <w:rPr>
                      <w:rFonts w:ascii="Cambria Math" w:hAnsi="Cambria Math"/>
                      <w:sz w:val="24"/>
                      <w:szCs w:val="24"/>
                    </w:rPr>
                    <m:t>O-N</m:t>
                  </m:r>
                </m:e>
              </m:d>
            </m:e>
            <m:sub>
              <m:r>
                <w:rPr>
                  <w:rFonts w:ascii="Cambria Math" w:hAnsi="Cambria Math"/>
                  <w:sz w:val="24"/>
                  <w:szCs w:val="24"/>
                </w:rPr>
                <m:t>FCR</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BG</m:t>
                  </m:r>
                </m:e>
                <m:sub>
                  <m:r>
                    <w:rPr>
                      <w:rFonts w:ascii="Cambria Math" w:hAnsi="Cambria Math"/>
                      <w:sz w:val="24"/>
                      <w:szCs w:val="24"/>
                    </w:rPr>
                    <m:t>N</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1</m:t>
              </m:r>
            </m:sub>
          </m:sSub>
          <m:r>
            <w:rPr>
              <w:rFonts w:ascii="Cambria Math" w:hAnsi="Cambria Math" w:cs="Calibri"/>
              <w:sz w:val="24"/>
              <w:szCs w:val="24"/>
            </w:rPr>
            <m:t xml:space="preserve"> </m:t>
          </m:r>
        </m:oMath>
      </m:oMathPara>
    </w:p>
    <w:p w14:paraId="7DA86659" w14:textId="77777777" w:rsidR="00590FE1" w:rsidRPr="001D5327" w:rsidRDefault="00590FE1" w:rsidP="00182C15">
      <w:pPr>
        <w:pStyle w:val="BodyText"/>
        <w:spacing w:before="80" w:after="80"/>
        <w:ind w:left="851" w:hanging="851"/>
      </w:pPr>
      <w:r w:rsidRPr="001D5327">
        <w:t>Where:</w:t>
      </w:r>
      <w:r w:rsidRPr="001D5327">
        <w:tab/>
        <w:t>AG</w:t>
      </w:r>
      <w:r w:rsidRPr="001D5327">
        <w:rPr>
          <w:vertAlign w:val="subscript"/>
        </w:rPr>
        <w:t>N</w:t>
      </w:r>
      <w:r w:rsidRPr="001D5327">
        <w:t xml:space="preserve"> and BG</w:t>
      </w:r>
      <w:r w:rsidRPr="001D5327">
        <w:rPr>
          <w:vertAlign w:val="subscript"/>
        </w:rPr>
        <w:t>N</w:t>
      </w:r>
      <w:r w:rsidRPr="001D5327">
        <w:t xml:space="preserve"> are the annual nitrogen residue returned to soils from above- and below-ground crop residue, and crop-specific values are given in annex 5, table A5.1.9, and the country-specific value of EF</w:t>
      </w:r>
      <w:r w:rsidRPr="001D5327">
        <w:rPr>
          <w:vertAlign w:val="subscript"/>
        </w:rPr>
        <w:t>1</w:t>
      </w:r>
      <w:r w:rsidRPr="001D5327">
        <w:t xml:space="preserve"> of 0.01 is used (see table 5.5.2).</w:t>
      </w:r>
    </w:p>
    <w:bookmarkStart w:id="1234" w:name="_Hlk32497300"/>
    <w:p w14:paraId="406B6E6D" w14:textId="77777777" w:rsidR="00590FE1" w:rsidRPr="001D5327" w:rsidRDefault="00000000" w:rsidP="00182C15">
      <w:pPr>
        <w:pStyle w:val="BodyText"/>
        <w:jc w:val="center"/>
        <w:rPr>
          <w:rFonts w:ascii="Cambria Math" w:hAnsi="Cambria Math" w:cs="Calibri"/>
          <w:sz w:val="24"/>
          <w:szCs w:val="24"/>
        </w:rPr>
      </w:pPr>
      <m:oMathPara>
        <m:oMath>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AG</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BG</m:t>
              </m:r>
            </m:e>
            <m:sub>
              <m:r>
                <w:rPr>
                  <w:rFonts w:ascii="Cambria Math" w:hAnsi="Cambria Math"/>
                  <w:sz w:val="24"/>
                  <w:szCs w:val="24"/>
                </w:rPr>
                <m:t>N</m:t>
              </m:r>
            </m:sub>
          </m:sSub>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Crop</m:t>
                  </m:r>
                </m:e>
                <m:sub>
                  <m:r>
                    <w:rPr>
                      <w:rFonts w:ascii="Cambria Math" w:hAnsi="Cambria Math"/>
                      <w:sz w:val="24"/>
                      <w:szCs w:val="24"/>
                    </w:rPr>
                    <m:t>T</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BG</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BG</m:t>
              </m:r>
            </m:sub>
          </m:sSub>
          <w:bookmarkEnd w:id="1234"/>
          <m:r>
            <w:rPr>
              <w:rFonts w:ascii="Cambria Math" w:hAnsi="Cambria Math" w:cs="Calibri"/>
              <w:sz w:val="24"/>
              <w:szCs w:val="24"/>
            </w:rPr>
            <m:t xml:space="preserve"> </m:t>
          </m:r>
        </m:oMath>
      </m:oMathPara>
    </w:p>
    <w:p w14:paraId="74781C71" w14:textId="77777777" w:rsidR="00590FE1" w:rsidRPr="001D5327" w:rsidRDefault="00590FE1" w:rsidP="00182C15">
      <w:pPr>
        <w:pStyle w:val="BodyText"/>
        <w:spacing w:before="60" w:after="40"/>
        <w:ind w:left="851" w:hanging="851"/>
      </w:pPr>
      <w:r w:rsidRPr="001D5327">
        <w:t>Where:</w:t>
      </w:r>
      <w:r w:rsidRPr="001D5327">
        <w:tab/>
        <w:t>AG</w:t>
      </w:r>
      <w:r w:rsidRPr="001D5327">
        <w:rPr>
          <w:vertAlign w:val="subscript"/>
        </w:rPr>
        <w:t>DM</w:t>
      </w:r>
      <w:r w:rsidRPr="001D5327">
        <w:t xml:space="preserve"> is the mass of the above-ground residue dry matter (explained in the equation below)</w:t>
      </w:r>
    </w:p>
    <w:p w14:paraId="3EE81AE1" w14:textId="77777777" w:rsidR="00590FE1" w:rsidRPr="001D5327" w:rsidRDefault="00590FE1" w:rsidP="00182C15">
      <w:pPr>
        <w:pStyle w:val="BodyText"/>
        <w:spacing w:before="40" w:after="40"/>
        <w:ind w:left="851" w:hanging="851"/>
      </w:pPr>
      <w:r w:rsidRPr="001D5327">
        <w:tab/>
        <w:t>Crop</w:t>
      </w:r>
      <w:r w:rsidRPr="001D5327">
        <w:rPr>
          <w:vertAlign w:val="subscript"/>
        </w:rPr>
        <w:t>T</w:t>
      </w:r>
      <w:r w:rsidRPr="001D5327">
        <w:t xml:space="preserve"> is the crop yield, or mass, removed during harvest</w:t>
      </w:r>
    </w:p>
    <w:p w14:paraId="695BFF14" w14:textId="77777777" w:rsidR="00590FE1" w:rsidRPr="001D5327" w:rsidRDefault="00590FE1" w:rsidP="00182C15">
      <w:pPr>
        <w:pStyle w:val="BodyText"/>
        <w:spacing w:before="40" w:after="40"/>
        <w:ind w:left="851" w:hanging="851"/>
      </w:pPr>
      <w:r w:rsidRPr="001D5327">
        <w:tab/>
        <w:t>N</w:t>
      </w:r>
      <w:r w:rsidRPr="001D5327">
        <w:rPr>
          <w:vertAlign w:val="subscript"/>
        </w:rPr>
        <w:t>AG</w:t>
      </w:r>
      <w:r w:rsidRPr="001D5327">
        <w:t xml:space="preserve"> and N</w:t>
      </w:r>
      <w:r w:rsidRPr="001D5327">
        <w:rPr>
          <w:vertAlign w:val="subscript"/>
        </w:rPr>
        <w:t>BG</w:t>
      </w:r>
      <w:r w:rsidRPr="001D5327">
        <w:t xml:space="preserve"> are the above- and below-ground crop-specific nitrogen concentration factors, and</w:t>
      </w:r>
    </w:p>
    <w:p w14:paraId="09559E33" w14:textId="77777777" w:rsidR="00590FE1" w:rsidRPr="001D5327" w:rsidRDefault="00590FE1" w:rsidP="00182C15">
      <w:pPr>
        <w:pStyle w:val="BodyText"/>
        <w:spacing w:before="40"/>
        <w:ind w:left="851" w:hanging="851"/>
      </w:pPr>
      <w:r w:rsidRPr="001D5327">
        <w:tab/>
        <w:t>R</w:t>
      </w:r>
      <w:r w:rsidRPr="001D5327">
        <w:rPr>
          <w:vertAlign w:val="subscript"/>
        </w:rPr>
        <w:t>BG</w:t>
      </w:r>
      <w:r w:rsidRPr="001D5327">
        <w:t xml:space="preserve"> is the crop-specific root:shoot ratio of below-ground dry matter against the total above-ground crop biomass (crop gathered, Crop</w:t>
      </w:r>
      <w:r w:rsidRPr="001D5327">
        <w:rPr>
          <w:vertAlign w:val="subscript"/>
        </w:rPr>
        <w:t>T</w:t>
      </w:r>
      <w:r w:rsidRPr="001D5327">
        <w:t>, plus above-ground residue dry matter, AG</w:t>
      </w:r>
      <w:r w:rsidRPr="001D5327">
        <w:rPr>
          <w:vertAlign w:val="subscript"/>
        </w:rPr>
        <w:t>DM</w:t>
      </w:r>
      <w:r w:rsidRPr="001D5327">
        <w:t>), 0.1 (see annex 5, table A5.1.9).</w:t>
      </w:r>
    </w:p>
    <w:p w14:paraId="34A2CEA3" w14:textId="77777777" w:rsidR="00590FE1" w:rsidRPr="001D5327" w:rsidRDefault="00000000" w:rsidP="00590FE1">
      <w:pPr>
        <w:pStyle w:val="BodyText"/>
        <w:spacing w:before="60"/>
        <w:jc w:val="center"/>
        <w:rPr>
          <w:rFonts w:ascii="Cambria Math" w:hAnsi="Cambria Math" w:cs="Calibri"/>
          <w:sz w:val="24"/>
          <w:szCs w:val="24"/>
        </w:rPr>
      </w:pPr>
      <m:oMathPara>
        <m:oMath>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Crop</m:t>
                      </m:r>
                    </m:e>
                    <m:sub>
                      <m:r>
                        <w:rPr>
                          <w:rFonts w:ascii="Cambria Math" w:hAnsi="Cambria Math"/>
                          <w:sz w:val="24"/>
                          <w:szCs w:val="24"/>
                        </w:rPr>
                        <m:t>T</m:t>
                      </m:r>
                    </m:sub>
                  </m:sSub>
                </m:num>
                <m:den>
                  <m:r>
                    <w:rPr>
                      <w:rFonts w:ascii="Cambria Math" w:hAnsi="Cambria Math"/>
                      <w:sz w:val="24"/>
                      <w:szCs w:val="24"/>
                    </w:rPr>
                    <m:t>HI</m:t>
                  </m:r>
                </m:den>
              </m:f>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Crop</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BURN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f</m:t>
              </m:r>
            </m:sub>
          </m:sSub>
          <m:r>
            <w:rPr>
              <w:rFonts w:ascii="Cambria Math" w:hAnsi="Cambria Math" w:cs="Calibri"/>
              <w:sz w:val="24"/>
              <w:szCs w:val="24"/>
            </w:rPr>
            <m:t xml:space="preserve"> </m:t>
          </m:r>
        </m:oMath>
      </m:oMathPara>
    </w:p>
    <w:p w14:paraId="64DE2153" w14:textId="77777777" w:rsidR="00590FE1" w:rsidRPr="001D5327" w:rsidRDefault="00590FE1" w:rsidP="00182C15">
      <w:pPr>
        <w:pStyle w:val="BodyText"/>
        <w:spacing w:after="40"/>
        <w:ind w:left="851" w:hanging="851"/>
      </w:pPr>
      <w:r w:rsidRPr="001D5327">
        <w:t>Where:</w:t>
      </w:r>
      <w:r w:rsidRPr="001D5327">
        <w:tab/>
        <w:t>HI is the crop-specific harvest index or fraction of the crop that is harvested (see annex 5, table A5.1.9)</w:t>
      </w:r>
    </w:p>
    <w:p w14:paraId="38B14C63" w14:textId="77777777" w:rsidR="00590FE1" w:rsidRPr="001D5327" w:rsidRDefault="00590FE1" w:rsidP="00182C15">
      <w:pPr>
        <w:pStyle w:val="BodyText"/>
        <w:spacing w:before="40" w:after="40"/>
        <w:ind w:left="851" w:hanging="851"/>
      </w:pPr>
      <w:r w:rsidRPr="001D5327">
        <w:tab/>
        <w:t>Frac</w:t>
      </w:r>
      <w:r w:rsidRPr="001D5327">
        <w:rPr>
          <w:vertAlign w:val="subscript"/>
        </w:rPr>
        <w:t>BURN</w:t>
      </w:r>
      <w:r w:rsidRPr="001D5327">
        <w:t xml:space="preserve"> is the fraction of residue burned in the field (see table 5.5.4), and</w:t>
      </w:r>
    </w:p>
    <w:p w14:paraId="04CC46A3" w14:textId="77777777" w:rsidR="00590FE1" w:rsidRPr="001D5327" w:rsidRDefault="00590FE1" w:rsidP="00182C15">
      <w:pPr>
        <w:pStyle w:val="BodyText"/>
        <w:spacing w:before="40" w:after="60"/>
        <w:ind w:left="851" w:hanging="851"/>
      </w:pPr>
      <w:r w:rsidRPr="001D5327">
        <w:tab/>
        <w:t>C</w:t>
      </w:r>
      <w:r w:rsidRPr="001D5327">
        <w:rPr>
          <w:vertAlign w:val="subscript"/>
        </w:rPr>
        <w:t>f</w:t>
      </w:r>
      <w:r w:rsidRPr="001D5327">
        <w:t xml:space="preserve"> is the combustion factor; a value of 0.7 is recommended (Thomas et al., 2008).</w:t>
      </w:r>
    </w:p>
    <w:p w14:paraId="2BBE986F" w14:textId="77777777" w:rsidR="00590FE1" w:rsidRPr="001D5327" w:rsidRDefault="00590FE1" w:rsidP="00590FE1">
      <w:pPr>
        <w:pStyle w:val="BodyText"/>
        <w:spacing w:after="100"/>
      </w:pPr>
      <w:r w:rsidRPr="001D5327">
        <w:t>The country-specific value for Frac</w:t>
      </w:r>
      <w:r w:rsidRPr="001D5327">
        <w:rPr>
          <w:vertAlign w:val="subscript"/>
        </w:rPr>
        <w:t>BURN</w:t>
      </w:r>
      <w:r w:rsidRPr="001D5327">
        <w:t xml:space="preserve">, the fraction of residue burned in the field, was derived from Stats NZ data and farmer surveys (Thomas et al., 2011). The parameters used to estimate the nitrogen added by above-ground and below-ground crop residues were compiled from published and unpublished reports for </w:t>
      </w:r>
      <w:r w:rsidRPr="001D5327" w:rsidDel="007E2BBB">
        <w:rPr>
          <w:rFonts w:cs="Calibri"/>
        </w:rPr>
        <w:t xml:space="preserve">New </w:t>
      </w:r>
      <w:r w:rsidRPr="001D5327">
        <w:rPr>
          <w:rFonts w:cs="Calibri"/>
        </w:rPr>
        <w:t>Zealand</w:t>
      </w:r>
      <w:r w:rsidRPr="001D5327">
        <w:t xml:space="preserve">-grown crops (Cichota et al., 2010) and </w:t>
      </w:r>
      <w:r w:rsidRPr="001D5327">
        <w:lastRenderedPageBreak/>
        <w:t xml:space="preserve">‘typical’ values derived for use in the OverseerFM nutrient budget model for </w:t>
      </w:r>
      <w:r w:rsidRPr="001D5327" w:rsidDel="005C6E2F">
        <w:rPr>
          <w:rFonts w:cs="Calibri"/>
        </w:rPr>
        <w:t>New</w:t>
      </w:r>
      <w:r w:rsidRPr="001D5327">
        <w:rPr>
          <w:rFonts w:cs="Calibri"/>
        </w:rPr>
        <w:t xml:space="preserve"> Zealand</w:t>
      </w:r>
      <w:r w:rsidRPr="001D5327">
        <w:t>. The OverseerFM</w:t>
      </w:r>
      <w:r w:rsidRPr="001D5327" w:rsidDel="00172E39">
        <w:t xml:space="preserve"> </w:t>
      </w:r>
      <w:r w:rsidRPr="001D5327">
        <w:t>model provides average estimates of the fate of nitrogen for a range of pastoral, arable and horticultural systems (</w:t>
      </w:r>
      <w:hyperlink r:id="rId119" w:history="1">
        <w:r w:rsidRPr="001D5327">
          <w:rPr>
            <w:rStyle w:val="Hyperlink"/>
          </w:rPr>
          <w:t>www.overseer.org.nz</w:t>
        </w:r>
      </w:hyperlink>
      <w:r w:rsidRPr="001D5327">
        <w:t xml:space="preserve">). </w:t>
      </w:r>
    </w:p>
    <w:p w14:paraId="49EA9D29" w14:textId="77777777" w:rsidR="00590FE1" w:rsidRPr="001D5327" w:rsidRDefault="00590FE1" w:rsidP="00590FE1">
      <w:pPr>
        <w:pStyle w:val="BodyText"/>
        <w:spacing w:after="100"/>
      </w:pPr>
      <w:r w:rsidRPr="001D5327">
        <w:t xml:space="preserve">The per-year harvested tonnage of most non-nitrogen-fixing crops in </w:t>
      </w:r>
      <w:r w:rsidRPr="001D5327" w:rsidDel="004C6248">
        <w:rPr>
          <w:rFonts w:cs="Calibri"/>
        </w:rPr>
        <w:t xml:space="preserve">New </w:t>
      </w:r>
      <w:r w:rsidRPr="001D5327">
        <w:rPr>
          <w:rFonts w:cs="Calibri"/>
        </w:rPr>
        <w:t>Zealand</w:t>
      </w:r>
      <w:r w:rsidRPr="001D5327">
        <w:t xml:space="preserve"> is supplied by Stats NZ from its Agricultural Production Census and Agricultural Production Survey. Additional information on potatoes is provided by Potatoes New Zealand, and updated information on seed crops is provided by AsureQuality, which provides verification and certification services for the seed industry (Thomas, unpublished; S Thomas, pers. comm., 2014). The tonnage of nitrogen-fixing crops is supplied by Stats NZ from its Agricultural Production Census and Agricultural Production Survey (lentils and legumes) and Horticulture New Zealand (peas) (S Thomas, pers. comm., 2014). </w:t>
      </w:r>
    </w:p>
    <w:p w14:paraId="489C08A2" w14:textId="77777777" w:rsidR="00590FE1" w:rsidRPr="001D5327" w:rsidRDefault="00590FE1" w:rsidP="00590FE1">
      <w:pPr>
        <w:pStyle w:val="BodyText"/>
        <w:spacing w:after="100"/>
        <w:rPr>
          <w:rFonts w:cs="Calibri"/>
          <w:spacing w:val="-2"/>
        </w:rPr>
      </w:pPr>
      <w:r w:rsidRPr="001D5327">
        <w:rPr>
          <w:rFonts w:cs="Calibri"/>
          <w:b/>
          <w:bCs/>
          <w:spacing w:val="-2"/>
        </w:rPr>
        <w:t xml:space="preserve">Nitrogen from pasture renewal: </w:t>
      </w:r>
      <w:r w:rsidRPr="001D5327">
        <w:rPr>
          <w:rFonts w:cs="Calibri"/>
          <w:spacing w:val="-2"/>
        </w:rPr>
        <w:t xml:space="preserve">Of the four categories of perennial forage that the IPCC (2006) lists for pasture renewal, only two categories are appropriate for </w:t>
      </w:r>
      <w:r w:rsidRPr="001D5327" w:rsidDel="007662C3">
        <w:rPr>
          <w:rFonts w:cs="Calibri"/>
        </w:rPr>
        <w:t xml:space="preserve">New </w:t>
      </w:r>
      <w:r w:rsidRPr="001D5327">
        <w:rPr>
          <w:rFonts w:cs="Calibri"/>
        </w:rPr>
        <w:t>Zealand</w:t>
      </w:r>
      <w:r w:rsidRPr="001D5327">
        <w:rPr>
          <w:rFonts w:cs="Calibri"/>
          <w:spacing w:val="-2"/>
        </w:rPr>
        <w:t xml:space="preserve"> (Thomas et al., 2014): these are grass–clover pastures and lucerne, a nitrogen-fixing perennial forage. </w:t>
      </w:r>
      <w:r w:rsidRPr="001D5327" w:rsidDel="006A3A7A">
        <w:rPr>
          <w:rFonts w:cs="Calibri"/>
        </w:rPr>
        <w:t xml:space="preserve">New </w:t>
      </w:r>
      <w:r w:rsidRPr="001D5327">
        <w:rPr>
          <w:rFonts w:cs="Calibri"/>
        </w:rPr>
        <w:t>Zealand</w:t>
      </w:r>
      <w:r w:rsidRPr="001D5327">
        <w:rPr>
          <w:rFonts w:cs="Calibri"/>
          <w:spacing w:val="-2"/>
        </w:rPr>
        <w:t xml:space="preserve"> has calculated emissions from pasture renewal per plant species type, T, separately:</w:t>
      </w:r>
    </w:p>
    <w:p w14:paraId="2504076B" w14:textId="77777777" w:rsidR="00590FE1" w:rsidRPr="001D5327" w:rsidRDefault="00000000" w:rsidP="00590FE1">
      <w:pPr>
        <w:pStyle w:val="BodyText"/>
        <w:spacing w:before="60"/>
        <w:jc w:val="center"/>
      </w:pPr>
      <m:oMathPara>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CR-RENEW</m:t>
              </m:r>
            </m:sub>
          </m:sSub>
          <m:r>
            <w:rPr>
              <w:rFonts w:ascii="Cambria Math" w:hAnsi="Cambria Math"/>
              <w:sz w:val="24"/>
              <w:szCs w:val="24"/>
            </w:rPr>
            <m:t xml:space="preserve">= </m:t>
          </m:r>
          <m:nary>
            <m:naryPr>
              <m:chr m:val="∑"/>
              <m:limLoc m:val="undOvr"/>
              <m:supHide m:val="1"/>
              <m:ctrlPr>
                <w:rPr>
                  <w:rFonts w:ascii="Cambria Math" w:hAnsi="Cambria Math"/>
                  <w:i/>
                  <w:sz w:val="24"/>
                  <w:szCs w:val="24"/>
                </w:rPr>
              </m:ctrlPr>
            </m:naryPr>
            <m:sub>
              <m:r>
                <w:rPr>
                  <w:rFonts w:ascii="Cambria Math" w:hAnsi="Cambria Math"/>
                  <w:sz w:val="24"/>
                  <w:szCs w:val="24"/>
                </w:rPr>
                <m:t>T</m:t>
              </m:r>
            </m:sub>
            <m:sup/>
            <m:e>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Crop</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Area</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RENEW(T)</m:t>
                      </m:r>
                    </m:sub>
                  </m:sSub>
                  <m:r>
                    <w:rPr>
                      <w:rFonts w:ascii="Cambria Math" w:hAnsi="Cambria Math"/>
                      <w:sz w:val="24"/>
                      <w:szCs w:val="24"/>
                    </w:rPr>
                    <m:t>×</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AG(T)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AG(T)</m:t>
                          </m:r>
                        </m:sub>
                      </m:sSub>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1-</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REMOVE</m:t>
                              </m:r>
                              <m:d>
                                <m:dPr>
                                  <m:ctrlPr>
                                    <w:rPr>
                                      <w:rFonts w:ascii="Cambria Math" w:hAnsi="Cambria Math"/>
                                      <w:i/>
                                      <w:sz w:val="24"/>
                                      <w:szCs w:val="24"/>
                                    </w:rPr>
                                  </m:ctrlPr>
                                </m:dPr>
                                <m:e>
                                  <m:r>
                                    <w:rPr>
                                      <w:rFonts w:ascii="Cambria Math" w:hAnsi="Cambria Math"/>
                                      <w:sz w:val="24"/>
                                      <w:szCs w:val="24"/>
                                    </w:rPr>
                                    <m:t>T</m:t>
                                  </m:r>
                                </m:e>
                              </m:d>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BG(T)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BG(T)</m:t>
                          </m:r>
                        </m:sub>
                      </m:sSub>
                    </m:e>
                  </m:d>
                </m:e>
              </m:d>
            </m:e>
          </m:nary>
        </m:oMath>
      </m:oMathPara>
    </w:p>
    <w:p w14:paraId="269D622C" w14:textId="77777777" w:rsidR="00590FE1" w:rsidRPr="001D5327" w:rsidRDefault="00590FE1" w:rsidP="00182C15">
      <w:pPr>
        <w:pStyle w:val="BodyText"/>
        <w:spacing w:after="40"/>
        <w:ind w:left="851" w:hanging="851"/>
      </w:pPr>
      <w:r w:rsidRPr="001D5327">
        <w:t>Where:</w:t>
      </w:r>
      <w:r w:rsidRPr="001D5327">
        <w:tab/>
        <w:t>Area</w:t>
      </w:r>
      <w:r w:rsidRPr="001D5327">
        <w:rPr>
          <w:vertAlign w:val="subscript"/>
        </w:rPr>
        <w:t>T</w:t>
      </w:r>
      <w:r w:rsidRPr="001D5327">
        <w:t xml:space="preserve"> is the total annual area harvested (hectares per year). No burning is used for pasture renewal in </w:t>
      </w:r>
      <w:r w:rsidRPr="001D5327" w:rsidDel="007A1B1D">
        <w:rPr>
          <w:rFonts w:cs="Calibri"/>
        </w:rPr>
        <w:t xml:space="preserve">New </w:t>
      </w:r>
      <w:r w:rsidRPr="001D5327">
        <w:rPr>
          <w:rFonts w:cs="Calibri"/>
        </w:rPr>
        <w:t>Zealand</w:t>
      </w:r>
    </w:p>
    <w:p w14:paraId="7ECC04B4" w14:textId="77777777" w:rsidR="00590FE1" w:rsidRPr="001D5327" w:rsidRDefault="00590FE1" w:rsidP="00182C15">
      <w:pPr>
        <w:pStyle w:val="BodyText"/>
        <w:spacing w:before="40" w:after="40"/>
        <w:ind w:left="851" w:hanging="851"/>
      </w:pPr>
      <w:r w:rsidRPr="001D5327">
        <w:tab/>
        <w:t>Frac</w:t>
      </w:r>
      <w:r w:rsidRPr="001D5327">
        <w:rPr>
          <w:vertAlign w:val="subscript"/>
        </w:rPr>
        <w:t>RENEW(T)</w:t>
      </w:r>
      <w:r w:rsidRPr="001D5327">
        <w:t xml:space="preserve"> is the fraction of the area under each crop that is renewed</w:t>
      </w:r>
    </w:p>
    <w:p w14:paraId="73DD5B9B" w14:textId="77777777" w:rsidR="00590FE1" w:rsidRPr="001D5327" w:rsidRDefault="00590FE1" w:rsidP="00182C15">
      <w:pPr>
        <w:pStyle w:val="BodyText"/>
        <w:spacing w:before="40" w:after="40"/>
        <w:ind w:left="851" w:hanging="851"/>
      </w:pPr>
      <w:r w:rsidRPr="001D5327">
        <w:tab/>
        <w:t>R</w:t>
      </w:r>
      <w:r w:rsidRPr="001D5327">
        <w:rPr>
          <w:vertAlign w:val="subscript"/>
        </w:rPr>
        <w:t>AG(T)</w:t>
      </w:r>
      <w:r w:rsidRPr="001D5327">
        <w:t xml:space="preserve"> is the ratio of above-ground residue dry matter (DM) to harvested yield (kg N/kg DM)</w:t>
      </w:r>
    </w:p>
    <w:p w14:paraId="0E105102" w14:textId="77777777" w:rsidR="00590FE1" w:rsidRPr="001D5327" w:rsidRDefault="00590FE1" w:rsidP="00182C15">
      <w:pPr>
        <w:pStyle w:val="BodyText"/>
        <w:spacing w:before="40" w:after="40"/>
        <w:ind w:left="851" w:hanging="851"/>
      </w:pPr>
      <w:r w:rsidRPr="001D5327">
        <w:tab/>
        <w:t>N</w:t>
      </w:r>
      <w:r w:rsidRPr="001D5327">
        <w:rPr>
          <w:vertAlign w:val="subscript"/>
        </w:rPr>
        <w:t>AG(T)</w:t>
      </w:r>
      <w:r w:rsidRPr="001D5327">
        <w:t xml:space="preserve"> is the nitrogen content of above-ground residue (kg N/kg DM)</w:t>
      </w:r>
    </w:p>
    <w:p w14:paraId="23006B68" w14:textId="77777777" w:rsidR="00590FE1" w:rsidRPr="001D5327" w:rsidRDefault="00590FE1" w:rsidP="00182C15">
      <w:pPr>
        <w:pStyle w:val="BodyText"/>
        <w:spacing w:before="40" w:after="40"/>
        <w:ind w:left="851" w:hanging="851"/>
      </w:pPr>
      <w:r w:rsidRPr="001D5327">
        <w:tab/>
        <w:t>Frac</w:t>
      </w:r>
      <w:r w:rsidRPr="001D5327">
        <w:rPr>
          <w:vertAlign w:val="subscript"/>
        </w:rPr>
        <w:t>REMOVE (T)</w:t>
      </w:r>
      <w:r w:rsidRPr="001D5327">
        <w:t xml:space="preserve"> is the fraction of above-ground residue removed annually for feed, assumed zero for </w:t>
      </w:r>
      <w:r w:rsidRPr="001D5327" w:rsidDel="00E30E60">
        <w:rPr>
          <w:rFonts w:cs="Calibri"/>
        </w:rPr>
        <w:t xml:space="preserve">New </w:t>
      </w:r>
      <w:r w:rsidRPr="001D5327">
        <w:rPr>
          <w:rFonts w:cs="Calibri"/>
        </w:rPr>
        <w:t>Zealand</w:t>
      </w:r>
    </w:p>
    <w:p w14:paraId="622538AA" w14:textId="77777777" w:rsidR="00590FE1" w:rsidRPr="001D5327" w:rsidRDefault="00590FE1" w:rsidP="00182C15">
      <w:pPr>
        <w:pStyle w:val="BodyText"/>
        <w:spacing w:before="40" w:after="40"/>
        <w:ind w:left="851" w:hanging="851"/>
      </w:pPr>
      <w:r w:rsidRPr="001D5327">
        <w:tab/>
        <w:t>R</w:t>
      </w:r>
      <w:r w:rsidRPr="001D5327">
        <w:rPr>
          <w:vertAlign w:val="subscript"/>
        </w:rPr>
        <w:t>BG(T)</w:t>
      </w:r>
      <w:r w:rsidRPr="001D5327">
        <w:t xml:space="preserve"> is the ratio of below-ground residue DM to harvest yield (kg N/kg DM), and</w:t>
      </w:r>
    </w:p>
    <w:p w14:paraId="48FBC153" w14:textId="77777777" w:rsidR="00590FE1" w:rsidRPr="001D5327" w:rsidRDefault="00590FE1" w:rsidP="00182C15">
      <w:pPr>
        <w:pStyle w:val="BodyText"/>
        <w:spacing w:before="40"/>
        <w:ind w:left="851" w:hanging="851"/>
      </w:pPr>
      <w:r w:rsidRPr="001D5327">
        <w:tab/>
        <w:t>N</w:t>
      </w:r>
      <w:r w:rsidRPr="001D5327">
        <w:rPr>
          <w:vertAlign w:val="subscript"/>
        </w:rPr>
        <w:t>BG(T)</w:t>
      </w:r>
      <w:r w:rsidRPr="001D5327">
        <w:t xml:space="preserve"> is the nitrogen content of below-ground residue (kg N/kg DM).</w:t>
      </w:r>
    </w:p>
    <w:p w14:paraId="7D3478BF" w14:textId="77777777" w:rsidR="00590FE1" w:rsidRPr="001D5327" w:rsidRDefault="00590FE1" w:rsidP="00590FE1">
      <w:pPr>
        <w:pStyle w:val="BodyText"/>
        <w:spacing w:before="100" w:after="100"/>
        <w:rPr>
          <w:rFonts w:cs="Calibri"/>
        </w:rPr>
      </w:pPr>
      <w:r w:rsidRPr="001D5327">
        <w:rPr>
          <w:rFonts w:cs="Calibri"/>
        </w:rPr>
        <w:t>The areas for each perennial forage crop were obtained from the Stats NZ Agricultural Production Census a</w:t>
      </w:r>
      <w:r w:rsidRPr="001D5327">
        <w:rPr>
          <w:rStyle w:val="BodyTextChar"/>
          <w:rFonts w:cs="Calibri"/>
        </w:rPr>
        <w:t>n</w:t>
      </w:r>
      <w:r w:rsidRPr="001D5327">
        <w:rPr>
          <w:rFonts w:cs="Calibri"/>
        </w:rPr>
        <w:t xml:space="preserve">d </w:t>
      </w:r>
      <w:r w:rsidRPr="001D5327">
        <w:t>Agricultural Production</w:t>
      </w:r>
      <w:r w:rsidRPr="001D5327">
        <w:rPr>
          <w:rFonts w:cs="Calibri"/>
        </w:rPr>
        <w:t xml:space="preserve"> Survey, which include the area of grassland and annual crops from 1990 to 2023. The disaggregation of grass–clover systems has been considered, but there is insufficient activity data for pastures of different compositions in </w:t>
      </w:r>
      <w:r w:rsidRPr="001D5327" w:rsidDel="00E30E60">
        <w:rPr>
          <w:rFonts w:cs="Calibri"/>
        </w:rPr>
        <w:t>New</w:t>
      </w:r>
      <w:r w:rsidRPr="001D5327">
        <w:rPr>
          <w:rFonts w:cs="Calibri"/>
        </w:rPr>
        <w:t> Zealand because the proportion of clover varies widely due to the variability of nitrogen inputs to various farming systems, climate soil, fertility and management variables. This means that disaggregated data on the nitrogen content are not currently available.</w:t>
      </w:r>
    </w:p>
    <w:p w14:paraId="6109314B" w14:textId="77777777" w:rsidR="00590FE1" w:rsidRPr="001D5327" w:rsidRDefault="00590FE1" w:rsidP="00590FE1">
      <w:pPr>
        <w:pStyle w:val="BodyText"/>
        <w:spacing w:before="100" w:after="100"/>
        <w:rPr>
          <w:rFonts w:cs="Calibri"/>
        </w:rPr>
      </w:pPr>
      <w:r w:rsidRPr="001D5327">
        <w:rPr>
          <w:rFonts w:cs="Calibri"/>
        </w:rPr>
        <w:t>The contribution of crop residues and pasture renewal to overall agricultural emissions is small, with 156.0 kt CO</w:t>
      </w:r>
      <w:r w:rsidRPr="001D5327">
        <w:rPr>
          <w:rFonts w:cs="Calibri"/>
          <w:vertAlign w:val="subscript"/>
        </w:rPr>
        <w:t>2</w:t>
      </w:r>
      <w:r w:rsidRPr="001D5327">
        <w:rPr>
          <w:rFonts w:cs="Calibri"/>
        </w:rPr>
        <w:t>-e (0.4 per cent of total agricultural emissions) in 1990 and 230 kt CO</w:t>
      </w:r>
      <w:r w:rsidRPr="001D5327">
        <w:rPr>
          <w:rFonts w:cs="Calibri"/>
          <w:vertAlign w:val="subscript"/>
        </w:rPr>
        <w:t>2</w:t>
      </w:r>
      <w:r w:rsidRPr="001D5327">
        <w:rPr>
          <w:rFonts w:cs="Calibri"/>
        </w:rPr>
        <w:noBreakHyphen/>
        <w:t>e (0.6 per cent of total agricultural emissions) in 2023.</w:t>
      </w:r>
    </w:p>
    <w:p w14:paraId="38B4F877" w14:textId="77777777" w:rsidR="00590FE1" w:rsidRPr="001D5327" w:rsidRDefault="00590FE1" w:rsidP="00590FE1">
      <w:pPr>
        <w:pStyle w:val="Heading5"/>
      </w:pPr>
      <w:r w:rsidRPr="001D5327">
        <w:t>Nitrogen mineralisation from loss of soil organic matter in mineral soils (3.D.1.5)</w:t>
      </w:r>
    </w:p>
    <w:p w14:paraId="11ACCE7E" w14:textId="77777777" w:rsidR="00590FE1" w:rsidRPr="001D5327" w:rsidRDefault="00590FE1" w:rsidP="00590FE1">
      <w:pPr>
        <w:pStyle w:val="BodyText"/>
        <w:spacing w:before="100" w:after="100"/>
        <w:rPr>
          <w:rFonts w:cs="Calibri"/>
        </w:rPr>
      </w:pPr>
      <w:r w:rsidRPr="001D5327">
        <w:rPr>
          <w:rFonts w:cs="Calibri"/>
          <w:spacing w:val="-2"/>
        </w:rPr>
        <w:t>Nitrogen mineralisation is the process by which organic nitrogen is converted to plant-available inorganic forms. Nitrogen mineralisation occurs when soil carbon is lost due to land</w:t>
      </w:r>
      <w:r w:rsidRPr="001D5327">
        <w:rPr>
          <w:rFonts w:cs="Calibri"/>
          <w:spacing w:val="-2"/>
        </w:rPr>
        <w:noBreakHyphen/>
        <w:t>use</w:t>
      </w:r>
      <w:r w:rsidRPr="001D5327">
        <w:rPr>
          <w:rFonts w:cs="Calibri"/>
        </w:rPr>
        <w:t xml:space="preserve"> or management change. Most of New Zealand’s emissions from nitrogen mineralised during the loss of soil organic matter are covered under the Land Use, Land-Use Change and Forestry </w:t>
      </w:r>
      <w:r w:rsidRPr="001D5327">
        <w:rPr>
          <w:rFonts w:cs="Calibri"/>
        </w:rPr>
        <w:lastRenderedPageBreak/>
        <w:t xml:space="preserve">(LULUCF) sector. The exception is for activities in the </w:t>
      </w:r>
      <w:r w:rsidRPr="001D5327">
        <w:rPr>
          <w:rFonts w:cs="Calibri"/>
          <w:i/>
          <w:iCs/>
        </w:rPr>
        <w:t>Cropland remaining cropland</w:t>
      </w:r>
      <w:r w:rsidRPr="001D5327">
        <w:rPr>
          <w:rFonts w:cs="Calibri"/>
        </w:rPr>
        <w:t xml:space="preserve"> land use category, which are reported under the Agriculture sector (IPCC, 2006). </w:t>
      </w:r>
    </w:p>
    <w:p w14:paraId="2D7A6269" w14:textId="77777777" w:rsidR="00590FE1" w:rsidRPr="001D5327" w:rsidRDefault="00590FE1" w:rsidP="00590FE1">
      <w:pPr>
        <w:pStyle w:val="BodyText"/>
        <w:spacing w:before="100" w:after="60"/>
        <w:rPr>
          <w:rFonts w:cs="Calibri"/>
        </w:rPr>
      </w:pPr>
      <w:r w:rsidRPr="001D5327">
        <w:rPr>
          <w:rFonts w:cs="Calibri"/>
        </w:rPr>
        <w:t>The following equations are used to determine emissions from this activity:</w:t>
      </w:r>
    </w:p>
    <w:bookmarkStart w:id="1235" w:name="_1767786284"/>
    <w:bookmarkStart w:id="1236" w:name="_1767789063"/>
    <w:bookmarkEnd w:id="1235"/>
    <w:bookmarkEnd w:id="1236"/>
    <w:p w14:paraId="4B1E172F" w14:textId="77777777" w:rsidR="00590FE1" w:rsidRPr="001D5327" w:rsidRDefault="00000000" w:rsidP="00590FE1">
      <w:pPr>
        <w:pStyle w:val="BodyText"/>
        <w:spacing w:before="20" w:after="20"/>
        <w:jc w:val="center"/>
        <w:rPr>
          <w:rFonts w:ascii="Cambria Math" w:hAnsi="Cambria Math" w:cs="Calibri"/>
          <w:i/>
          <w:sz w:val="24"/>
          <w:szCs w:val="24"/>
        </w:rPr>
      </w:pPr>
      <m:oMathPara>
        <m:oMath>
          <m:sSub>
            <m:sSubPr>
              <m:ctrlPr>
                <w:rPr>
                  <w:rFonts w:ascii="Cambria Math" w:hAnsi="Cambria Math"/>
                  <w:i/>
                  <w:iCs/>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iCs/>
                  <w:sz w:val="24"/>
                  <w:szCs w:val="24"/>
                </w:rPr>
              </m:ctrlPr>
            </m:sSubPr>
            <m:e>
              <m:r>
                <w:rPr>
                  <w:rFonts w:ascii="Cambria Math" w:hAnsi="Cambria Math"/>
                  <w:sz w:val="24"/>
                  <w:szCs w:val="24"/>
                </w:rPr>
                <m:t>O</m:t>
              </m:r>
            </m:e>
            <m:sub>
              <m:r>
                <w:rPr>
                  <w:rFonts w:ascii="Cambria Math" w:hAnsi="Cambria Math"/>
                  <w:sz w:val="24"/>
                  <w:szCs w:val="24"/>
                </w:rPr>
                <m:t>FSOM</m:t>
              </m:r>
            </m:sub>
          </m:sSub>
          <m:r>
            <w:rPr>
              <w:rFonts w:ascii="Cambria Math" w:hAnsi="Cambria Math"/>
              <w:sz w:val="24"/>
              <w:szCs w:val="24"/>
            </w:rPr>
            <m:t>=</m:t>
          </m:r>
          <m:f>
            <m:fPr>
              <m:ctrlPr>
                <w:rPr>
                  <w:rFonts w:ascii="Cambria Math" w:hAnsi="Cambria Math"/>
                  <w:i/>
                  <w:iCs/>
                  <w:sz w:val="24"/>
                  <w:szCs w:val="24"/>
                </w:rPr>
              </m:ctrlPr>
            </m:fPr>
            <m:num>
              <m:r>
                <w:rPr>
                  <w:rFonts w:ascii="Cambria Math" w:hAnsi="Cambria Math"/>
                  <w:sz w:val="24"/>
                  <w:szCs w:val="24"/>
                </w:rPr>
                <m:t>44</m:t>
              </m:r>
            </m:num>
            <m:den>
              <m:r>
                <w:rPr>
                  <w:rFonts w:ascii="Cambria Math" w:hAnsi="Cambria Math"/>
                  <w:sz w:val="24"/>
                  <w:szCs w:val="24"/>
                </w:rPr>
                <m:t>28</m:t>
              </m:r>
            </m:den>
          </m:f>
          <m:d>
            <m:dPr>
              <m:ctrlPr>
                <w:rPr>
                  <w:rFonts w:ascii="Cambria Math" w:hAnsi="Cambria Math"/>
                  <w:i/>
                  <w:iCs/>
                  <w:sz w:val="24"/>
                  <w:szCs w:val="24"/>
                </w:rPr>
              </m:ctrlPr>
            </m:dPr>
            <m:e>
              <m:sSub>
                <m:sSubPr>
                  <m:ctrlPr>
                    <w:rPr>
                      <w:rFonts w:ascii="Cambria Math" w:hAnsi="Cambria Math"/>
                      <w:i/>
                      <w:iCs/>
                      <w:sz w:val="24"/>
                      <w:szCs w:val="24"/>
                    </w:rPr>
                  </m:ctrlPr>
                </m:sSubPr>
                <m:e>
                  <m:r>
                    <w:rPr>
                      <w:rFonts w:ascii="Cambria Math" w:hAnsi="Cambria Math"/>
                      <w:sz w:val="24"/>
                      <w:szCs w:val="24"/>
                    </w:rPr>
                    <m:t>F</m:t>
                  </m:r>
                </m:e>
                <m:sub>
                  <m:r>
                    <w:rPr>
                      <w:rFonts w:ascii="Cambria Math" w:hAnsi="Cambria Math"/>
                      <w:sz w:val="24"/>
                      <w:szCs w:val="24"/>
                    </w:rPr>
                    <m:t>SOM</m:t>
                  </m:r>
                </m:sub>
              </m:sSub>
              <m:r>
                <w:rPr>
                  <w:rFonts w:ascii="Cambria Math" w:hAnsi="Cambria Math"/>
                  <w:sz w:val="24"/>
                  <w:szCs w:val="24"/>
                </w:rPr>
                <m:t>∙</m:t>
              </m:r>
              <m:sSub>
                <m:sSubPr>
                  <m:ctrlPr>
                    <w:rPr>
                      <w:rFonts w:ascii="Cambria Math" w:hAnsi="Cambria Math"/>
                      <w:i/>
                      <w:iCs/>
                      <w:sz w:val="24"/>
                      <w:szCs w:val="24"/>
                    </w:rPr>
                  </m:ctrlPr>
                </m:sSubPr>
                <m:e>
                  <m:r>
                    <w:rPr>
                      <w:rFonts w:ascii="Cambria Math" w:hAnsi="Cambria Math"/>
                      <w:sz w:val="24"/>
                      <w:szCs w:val="24"/>
                    </w:rPr>
                    <m:t>EF</m:t>
                  </m:r>
                </m:e>
                <m:sub>
                  <m:r>
                    <w:rPr>
                      <w:rFonts w:ascii="Cambria Math" w:hAnsi="Cambria Math"/>
                      <w:sz w:val="24"/>
                      <w:szCs w:val="24"/>
                    </w:rPr>
                    <m:t>1</m:t>
                  </m:r>
                </m:sub>
              </m:sSub>
            </m:e>
          </m:d>
          <m:r>
            <w:rPr>
              <w:rFonts w:ascii="Cambria Math" w:hAnsi="Cambria Math"/>
              <w:sz w:val="24"/>
              <w:szCs w:val="24"/>
            </w:rPr>
            <m:t>∙</m:t>
          </m:r>
          <m:sSup>
            <m:sSupPr>
              <m:ctrlPr>
                <w:rPr>
                  <w:rFonts w:ascii="Cambria Math" w:hAnsi="Cambria Math"/>
                  <w:i/>
                  <w:iCs/>
                  <w:sz w:val="24"/>
                  <w:szCs w:val="24"/>
                </w:rPr>
              </m:ctrlPr>
            </m:sSupPr>
            <m:e>
              <m:r>
                <w:rPr>
                  <w:rFonts w:ascii="Cambria Math" w:hAnsi="Cambria Math"/>
                  <w:sz w:val="24"/>
                  <w:szCs w:val="24"/>
                </w:rPr>
                <m:t>10</m:t>
              </m:r>
            </m:e>
            <m:sup>
              <m:r>
                <w:rPr>
                  <w:rFonts w:ascii="Cambria Math" w:hAnsi="Cambria Math"/>
                  <w:sz w:val="24"/>
                  <w:szCs w:val="24"/>
                </w:rPr>
                <m:t>-6</m:t>
              </m:r>
            </m:sup>
          </m:sSup>
          <m:r>
            <w:rPr>
              <w:rFonts w:ascii="Cambria Math" w:hAnsi="Cambria Math" w:cs="Calibri"/>
              <w:sz w:val="24"/>
              <w:szCs w:val="24"/>
            </w:rPr>
            <m:t xml:space="preserve"> </m:t>
          </m:r>
        </m:oMath>
      </m:oMathPara>
    </w:p>
    <w:p w14:paraId="5C6C3306" w14:textId="77777777" w:rsidR="00590FE1" w:rsidRPr="001D5327" w:rsidRDefault="00590FE1" w:rsidP="001A04D0">
      <w:pPr>
        <w:pStyle w:val="BodyText"/>
        <w:spacing w:after="40"/>
        <w:ind w:left="851" w:hanging="851"/>
        <w:rPr>
          <w:rFonts w:cs="Calibri"/>
        </w:rPr>
      </w:pPr>
      <w:r w:rsidRPr="001D5327">
        <w:rPr>
          <w:rFonts w:cs="Calibri"/>
        </w:rPr>
        <w:t>Where:</w:t>
      </w:r>
      <w:r w:rsidRPr="001D5327">
        <w:rPr>
          <w:rFonts w:cs="Calibri"/>
        </w:rPr>
        <w:tab/>
        <w:t>N</w:t>
      </w:r>
      <w:r w:rsidRPr="001D5327">
        <w:rPr>
          <w:rFonts w:cs="Calibri"/>
          <w:vertAlign w:val="subscript"/>
        </w:rPr>
        <w:t>2</w:t>
      </w:r>
      <w:r w:rsidRPr="001D5327">
        <w:rPr>
          <w:rFonts w:cs="Calibri"/>
        </w:rPr>
        <w:t>O</w:t>
      </w:r>
      <w:r w:rsidRPr="001D5327">
        <w:rPr>
          <w:rFonts w:cs="Calibri"/>
          <w:vertAlign w:val="subscript"/>
        </w:rPr>
        <w:t>FSOM</w:t>
      </w:r>
      <w:r w:rsidRPr="001D5327">
        <w:rPr>
          <w:rFonts w:cs="Calibri"/>
        </w:rPr>
        <w:t xml:space="preserve"> is the N</w:t>
      </w:r>
      <w:r w:rsidRPr="001D5327">
        <w:rPr>
          <w:rFonts w:cs="Calibri"/>
          <w:vertAlign w:val="subscript"/>
        </w:rPr>
        <w:t>2</w:t>
      </w:r>
      <w:r w:rsidRPr="001D5327">
        <w:rPr>
          <w:rFonts w:cs="Calibri"/>
        </w:rPr>
        <w:t>O emitted as a result of nitrogen mineralisation from loss of soil organic matter in mineral soils (kt), and</w:t>
      </w:r>
    </w:p>
    <w:p w14:paraId="3DEE5BED" w14:textId="77777777" w:rsidR="00590FE1" w:rsidRPr="001D5327" w:rsidRDefault="00590FE1" w:rsidP="001A04D0">
      <w:pPr>
        <w:pStyle w:val="BodyText"/>
        <w:spacing w:before="60" w:after="40"/>
        <w:ind w:left="851" w:hanging="851"/>
        <w:rPr>
          <w:rFonts w:cs="Calibri"/>
        </w:rPr>
      </w:pPr>
      <w:r w:rsidRPr="001D5327">
        <w:rPr>
          <w:rFonts w:cs="Calibri"/>
        </w:rPr>
        <w:tab/>
        <w:t>F</w:t>
      </w:r>
      <w:r w:rsidRPr="001D5327">
        <w:rPr>
          <w:rFonts w:cs="Calibri"/>
          <w:vertAlign w:val="subscript"/>
        </w:rPr>
        <w:t>SOM</w:t>
      </w:r>
      <w:r w:rsidRPr="001D5327">
        <w:rPr>
          <w:rFonts w:cs="Calibri"/>
        </w:rPr>
        <w:t xml:space="preserve"> is the nitrogen mineralisation from loss of soil organic matter in mineral soils through land management for </w:t>
      </w:r>
      <w:r w:rsidRPr="001D5327">
        <w:rPr>
          <w:rFonts w:cs="Calibri"/>
          <w:i/>
          <w:iCs/>
        </w:rPr>
        <w:t>Cropland remaining cropland</w:t>
      </w:r>
      <w:r w:rsidRPr="001D5327">
        <w:rPr>
          <w:rFonts w:cs="Calibri"/>
        </w:rPr>
        <w:t xml:space="preserve"> (kg)</w:t>
      </w:r>
    </w:p>
    <w:p w14:paraId="7C495867" w14:textId="77777777" w:rsidR="00590FE1" w:rsidRPr="001D5327" w:rsidRDefault="00590FE1" w:rsidP="001A04D0">
      <w:pPr>
        <w:pStyle w:val="BodyText"/>
        <w:spacing w:before="60"/>
        <w:ind w:left="851" w:hanging="851"/>
        <w:rPr>
          <w:rFonts w:cs="Calibri"/>
        </w:rPr>
      </w:pPr>
      <w:r w:rsidRPr="001D5327">
        <w:rPr>
          <w:rFonts w:cs="Calibri"/>
        </w:rPr>
        <w:tab/>
        <w:t>The emission factor EF</w:t>
      </w:r>
      <w:r w:rsidRPr="001D5327">
        <w:rPr>
          <w:rFonts w:cs="Calibri"/>
          <w:vertAlign w:val="subscript"/>
        </w:rPr>
        <w:t>1</w:t>
      </w:r>
      <w:r w:rsidRPr="001D5327">
        <w:rPr>
          <w:rFonts w:cs="Calibri"/>
        </w:rPr>
        <w:t xml:space="preserve"> is 0.01 (Kelliher and de Klein, 2006).</w:t>
      </w:r>
    </w:p>
    <w:p w14:paraId="24D1684C" w14:textId="77777777" w:rsidR="00590FE1" w:rsidRPr="001D5327" w:rsidRDefault="00590FE1" w:rsidP="00590FE1">
      <w:pPr>
        <w:pStyle w:val="BodyText"/>
        <w:keepNext/>
        <w:spacing w:after="60"/>
        <w:rPr>
          <w:rFonts w:cs="Calibri"/>
        </w:rPr>
      </w:pPr>
      <w:r w:rsidRPr="001D5327">
        <w:rPr>
          <w:rFonts w:cs="Calibri"/>
        </w:rPr>
        <w:t>And:</w:t>
      </w:r>
    </w:p>
    <w:bookmarkStart w:id="1237" w:name="_1767786299"/>
    <w:bookmarkStart w:id="1238" w:name="_1767789137"/>
    <w:bookmarkEnd w:id="1237"/>
    <w:bookmarkEnd w:id="1238"/>
    <w:p w14:paraId="109AEF46" w14:textId="77777777" w:rsidR="00590FE1" w:rsidRPr="001D5327" w:rsidRDefault="00000000" w:rsidP="00590FE1">
      <w:pPr>
        <w:pStyle w:val="BodyText"/>
        <w:spacing w:before="0"/>
        <w:jc w:val="center"/>
        <w:rPr>
          <w:rFonts w:ascii="Cambria Math" w:hAnsi="Cambria Math" w:cs="Calibri"/>
          <w:i/>
          <w:sz w:val="24"/>
          <w:szCs w:val="24"/>
        </w:rPr>
      </w:pPr>
      <m:oMathPara>
        <m:oMath>
          <m:sSub>
            <m:sSubPr>
              <m:ctrlPr>
                <w:rPr>
                  <w:rFonts w:ascii="Cambria Math" w:hAnsi="Cambria Math"/>
                  <w:i/>
                  <w:iCs/>
                  <w:sz w:val="24"/>
                  <w:szCs w:val="24"/>
                </w:rPr>
              </m:ctrlPr>
            </m:sSubPr>
            <m:e>
              <m:r>
                <w:rPr>
                  <w:rFonts w:ascii="Cambria Math" w:hAnsi="Cambria Math"/>
                  <w:sz w:val="24"/>
                  <w:szCs w:val="24"/>
                </w:rPr>
                <m:t>F</m:t>
              </m:r>
            </m:e>
            <m:sub>
              <m:r>
                <w:rPr>
                  <w:rFonts w:ascii="Cambria Math" w:hAnsi="Cambria Math"/>
                  <w:sz w:val="24"/>
                  <w:szCs w:val="24"/>
                </w:rPr>
                <m:t>SOM</m:t>
              </m:r>
            </m:sub>
          </m:sSub>
          <m:r>
            <w:rPr>
              <w:rFonts w:ascii="Cambria Math" w:hAnsi="Cambria Math"/>
              <w:sz w:val="24"/>
              <w:szCs w:val="24"/>
            </w:rPr>
            <m:t>=</m:t>
          </m:r>
          <m:f>
            <m:fPr>
              <m:ctrlPr>
                <w:rPr>
                  <w:rFonts w:ascii="Cambria Math" w:hAnsi="Cambria Math"/>
                  <w:i/>
                  <w:iCs/>
                  <w:sz w:val="24"/>
                  <w:szCs w:val="24"/>
                </w:rPr>
              </m:ctrlPr>
            </m:fPr>
            <m:num>
              <m:r>
                <w:rPr>
                  <w:rFonts w:ascii="Cambria Math" w:hAnsi="Cambria Math"/>
                  <w:sz w:val="24"/>
                  <w:szCs w:val="24"/>
                </w:rPr>
                <m:t>∆</m:t>
              </m:r>
              <m:sSub>
                <m:sSubPr>
                  <m:ctrlPr>
                    <w:rPr>
                      <w:rFonts w:ascii="Cambria Math" w:hAnsi="Cambria Math"/>
                      <w:i/>
                      <w:iCs/>
                      <w:sz w:val="24"/>
                      <w:szCs w:val="24"/>
                    </w:rPr>
                  </m:ctrlPr>
                </m:sSubPr>
                <m:e>
                  <m:r>
                    <w:rPr>
                      <w:rFonts w:ascii="Cambria Math" w:hAnsi="Cambria Math"/>
                      <w:sz w:val="24"/>
                      <w:szCs w:val="24"/>
                    </w:rPr>
                    <m:t>C</m:t>
                  </m:r>
                </m:e>
                <m:sub>
                  <m:r>
                    <w:rPr>
                      <w:rFonts w:ascii="Cambria Math" w:hAnsi="Cambria Math"/>
                      <w:sz w:val="24"/>
                      <w:szCs w:val="24"/>
                    </w:rPr>
                    <m:t>Mineral,CrC</m:t>
                  </m:r>
                </m:sub>
              </m:sSub>
            </m:num>
            <m:den>
              <m:r>
                <w:rPr>
                  <w:rFonts w:ascii="Cambria Math" w:hAnsi="Cambria Math"/>
                  <w:sz w:val="24"/>
                  <w:szCs w:val="24"/>
                </w:rPr>
                <m:t>R</m:t>
              </m:r>
            </m:den>
          </m:f>
          <m:r>
            <w:rPr>
              <w:rFonts w:ascii="Cambria Math" w:hAnsi="Cambria Math"/>
              <w:sz w:val="24"/>
              <w:szCs w:val="24"/>
            </w:rPr>
            <m:t>∙</m:t>
          </m:r>
          <m:sSup>
            <m:sSupPr>
              <m:ctrlPr>
                <w:rPr>
                  <w:rFonts w:ascii="Cambria Math" w:hAnsi="Cambria Math"/>
                  <w:i/>
                  <w:iCs/>
                  <w:sz w:val="24"/>
                  <w:szCs w:val="24"/>
                </w:rPr>
              </m:ctrlPr>
            </m:sSupPr>
            <m:e>
              <m:r>
                <w:rPr>
                  <w:rFonts w:ascii="Cambria Math" w:hAnsi="Cambria Math"/>
                  <w:sz w:val="24"/>
                  <w:szCs w:val="24"/>
                </w:rPr>
                <m:t>10</m:t>
              </m:r>
            </m:e>
            <m:sup>
              <m:r>
                <w:rPr>
                  <w:rFonts w:ascii="Cambria Math" w:hAnsi="Cambria Math"/>
                  <w:sz w:val="24"/>
                  <w:szCs w:val="24"/>
                </w:rPr>
                <m:t>3</m:t>
              </m:r>
            </m:sup>
          </m:sSup>
          <m:r>
            <w:rPr>
              <w:rFonts w:ascii="Cambria Math" w:hAnsi="Cambria Math" w:cs="Calibri"/>
              <w:sz w:val="24"/>
              <w:szCs w:val="24"/>
            </w:rPr>
            <m:t xml:space="preserve"> </m:t>
          </m:r>
        </m:oMath>
      </m:oMathPara>
    </w:p>
    <w:p w14:paraId="22DA04BB" w14:textId="77777777" w:rsidR="00590FE1" w:rsidRPr="001D5327" w:rsidRDefault="00590FE1" w:rsidP="001A04D0">
      <w:pPr>
        <w:pStyle w:val="BodyText"/>
        <w:spacing w:after="40"/>
        <w:ind w:left="851" w:hanging="851"/>
        <w:rPr>
          <w:rFonts w:cs="Calibri"/>
        </w:rPr>
      </w:pPr>
      <w:r w:rsidRPr="001D5327">
        <w:rPr>
          <w:rFonts w:cs="Calibri"/>
        </w:rPr>
        <w:t>Where:</w:t>
      </w:r>
      <w:r w:rsidRPr="001D5327">
        <w:rPr>
          <w:rFonts w:cs="Calibri"/>
        </w:rPr>
        <w:tab/>
        <w:t>∆C</w:t>
      </w:r>
      <w:r w:rsidRPr="001D5327">
        <w:rPr>
          <w:rFonts w:cs="Calibri"/>
          <w:vertAlign w:val="subscript"/>
        </w:rPr>
        <w:t>Mineral,CrC</w:t>
      </w:r>
      <w:r w:rsidRPr="001D5327">
        <w:rPr>
          <w:rFonts w:cs="Calibri"/>
        </w:rPr>
        <w:t xml:space="preserve"> is the loss of soil carbon (C) in mineral soil during management of cropland (kt), and</w:t>
      </w:r>
    </w:p>
    <w:p w14:paraId="20F44B88" w14:textId="77777777" w:rsidR="00590FE1" w:rsidRPr="001D5327" w:rsidRDefault="00590FE1" w:rsidP="001A04D0">
      <w:pPr>
        <w:pStyle w:val="BodyText"/>
        <w:spacing w:before="40"/>
        <w:ind w:left="851" w:hanging="851"/>
        <w:rPr>
          <w:rFonts w:cs="Calibri"/>
        </w:rPr>
      </w:pPr>
      <w:r w:rsidRPr="001D5327">
        <w:rPr>
          <w:rFonts w:cs="Calibri"/>
        </w:rPr>
        <w:tab/>
        <w:t>R is the C:N ratio. The IPCC (2006) default value of 10 is used.</w:t>
      </w:r>
    </w:p>
    <w:p w14:paraId="570272D4" w14:textId="77777777" w:rsidR="00590FE1" w:rsidRPr="001D5327" w:rsidRDefault="00590FE1" w:rsidP="00590FE1">
      <w:pPr>
        <w:pStyle w:val="BodyText"/>
        <w:spacing w:before="100" w:after="100"/>
      </w:pPr>
      <w:r w:rsidRPr="001D5327">
        <w:t>Activity data on the soil carbon loss that is associated with cropland since 1990 were provided using calculations under the LULUCF sector (see chapter 6, section 6.5).</w:t>
      </w:r>
    </w:p>
    <w:p w14:paraId="13FC015D" w14:textId="77777777" w:rsidR="00590FE1" w:rsidRPr="001D5327" w:rsidRDefault="00590FE1" w:rsidP="00590FE1">
      <w:pPr>
        <w:pStyle w:val="BodyText"/>
        <w:spacing w:before="100" w:after="100"/>
      </w:pPr>
      <w:r w:rsidRPr="001D5327">
        <w:t>The contribution of nitrogen mineralisation from loss of soil organic matter to overall agricultural emissions is small, with 0.03 kt CO</w:t>
      </w:r>
      <w:r w:rsidRPr="001D5327">
        <w:rPr>
          <w:vertAlign w:val="subscript"/>
        </w:rPr>
        <w:t>2</w:t>
      </w:r>
      <w:r w:rsidRPr="001D5327">
        <w:t>-e in 1990 and 0.16 kt CO</w:t>
      </w:r>
      <w:r w:rsidRPr="001D5327">
        <w:rPr>
          <w:vertAlign w:val="subscript"/>
        </w:rPr>
        <w:t>2</w:t>
      </w:r>
      <w:r w:rsidRPr="001D5327">
        <w:t>-e in 2023.</w:t>
      </w:r>
    </w:p>
    <w:p w14:paraId="45CD182A" w14:textId="77777777" w:rsidR="00590FE1" w:rsidRPr="001D5327" w:rsidRDefault="00590FE1" w:rsidP="00590FE1">
      <w:pPr>
        <w:pStyle w:val="Heading5"/>
      </w:pPr>
      <w:bookmarkStart w:id="1239" w:name="_Hlk58833796"/>
      <w:r w:rsidRPr="001D5327">
        <w:t xml:space="preserve">Cultivation (management) of organic soils </w:t>
      </w:r>
      <w:bookmarkEnd w:id="1239"/>
      <w:r w:rsidRPr="001D5327">
        <w:t>(3.D.1.6)</w:t>
      </w:r>
    </w:p>
    <w:p w14:paraId="6824D2C1" w14:textId="77777777" w:rsidR="00590FE1" w:rsidRPr="001D5327" w:rsidRDefault="00590FE1" w:rsidP="00590FE1">
      <w:pPr>
        <w:pStyle w:val="BodyText"/>
      </w:pPr>
      <w:r w:rsidRPr="001D5327">
        <w:t>The management of organic soils is a source of N</w:t>
      </w:r>
      <w:r w:rsidRPr="001D5327">
        <w:rPr>
          <w:vertAlign w:val="subscript"/>
        </w:rPr>
        <w:t>2</w:t>
      </w:r>
      <w:r w:rsidRPr="001D5327">
        <w:t xml:space="preserve">O emissions. The area of managed organic soils (histosols) in </w:t>
      </w:r>
      <w:r w:rsidRPr="001D5327" w:rsidDel="00FB12F4">
        <w:rPr>
          <w:rFonts w:cs="Calibri"/>
        </w:rPr>
        <w:t xml:space="preserve">New </w:t>
      </w:r>
      <w:r w:rsidRPr="001D5327">
        <w:rPr>
          <w:rFonts w:cs="Calibri"/>
        </w:rPr>
        <w:t>Zealand</w:t>
      </w:r>
      <w:r w:rsidRPr="001D5327">
        <w:t xml:space="preserve"> includes both the area of managed organic soils (as reported under the LULUCF sector) and the area of mineral agricultural soils with a peaty layer that is cultivated (Dresser et al., 2011). Mineral soils with a peaty layer are included in the definition of organic soils because these soils have similar emissions behaviour to that of organic soils (Dresser et al., 2011). The full definition used in the Agriculture sector for organic soils (plus mineral soils with a peaty layer) is: </w:t>
      </w:r>
    </w:p>
    <w:p w14:paraId="67B62B99" w14:textId="77777777" w:rsidR="00590FE1" w:rsidRPr="001D5327" w:rsidRDefault="00590FE1">
      <w:pPr>
        <w:pStyle w:val="Bullet"/>
        <w:numPr>
          <w:ilvl w:val="0"/>
          <w:numId w:val="27"/>
        </w:numPr>
        <w:spacing w:after="100"/>
      </w:pPr>
      <w:r w:rsidRPr="001D5327">
        <w:t>at least 17 per cent organic matter content (includes slightly peaty, peaty and peat soils)</w:t>
      </w:r>
    </w:p>
    <w:p w14:paraId="52B38597" w14:textId="77777777" w:rsidR="00590FE1" w:rsidRPr="001D5327" w:rsidRDefault="00590FE1">
      <w:pPr>
        <w:pStyle w:val="Bullet"/>
        <w:numPr>
          <w:ilvl w:val="0"/>
          <w:numId w:val="27"/>
        </w:numPr>
        <w:spacing w:after="100"/>
      </w:pPr>
      <w:r w:rsidRPr="001D5327">
        <w:t>0.1 metres of this depth occurring within 0.3 metres of the surface.</w:t>
      </w:r>
    </w:p>
    <w:p w14:paraId="4C18D91B" w14:textId="77777777" w:rsidR="00590FE1" w:rsidRPr="001D5327" w:rsidRDefault="00590FE1" w:rsidP="00590FE1">
      <w:pPr>
        <w:pStyle w:val="BodyText"/>
      </w:pPr>
      <w:r w:rsidRPr="001D5327">
        <w:t xml:space="preserve">The total area of managed organic soils in </w:t>
      </w:r>
      <w:r w:rsidRPr="001D5327" w:rsidDel="00ED3BC1">
        <w:rPr>
          <w:rFonts w:cs="Calibri"/>
        </w:rPr>
        <w:t xml:space="preserve">New </w:t>
      </w:r>
      <w:r w:rsidRPr="001D5327">
        <w:rPr>
          <w:rFonts w:cs="Calibri"/>
        </w:rPr>
        <w:t>Zealand</w:t>
      </w:r>
      <w:r w:rsidRPr="001D5327">
        <w:t xml:space="preserve"> in 2023 was 177,098 hectares, with about 95 per cent of this area on grassland and 5 per cent on cropland (Pronger et al., 2022). It is assumed that all of this area meets the definition of ‘managed’ for the purpose of estimating emissions. The estimate of managed organic soils on cropland and grassland is consistent with data and methodology used for the LULUCF sector. The total area of managed organic soils has increased slightly by 1.2 per cent (2,058 hectares) since 1990.</w:t>
      </w:r>
    </w:p>
    <w:p w14:paraId="704DC62F" w14:textId="77777777" w:rsidR="00590FE1" w:rsidRPr="001D5327" w:rsidRDefault="00590FE1" w:rsidP="00590FE1">
      <w:pPr>
        <w:pStyle w:val="BodyText"/>
        <w:spacing w:before="100"/>
      </w:pPr>
      <w:r w:rsidRPr="001D5327">
        <w:t>Emissions from organic soils are calculated using the Tier 1 methodology for all years of the time series by multiplying the area of managed organic soils by the default value of emission factor EF</w:t>
      </w:r>
      <w:r w:rsidRPr="001D5327">
        <w:rPr>
          <w:vertAlign w:val="subscript"/>
        </w:rPr>
        <w:t>2</w:t>
      </w:r>
      <w:r w:rsidRPr="001D5327">
        <w:t xml:space="preserve"> of 8 kg N</w:t>
      </w:r>
      <w:r w:rsidRPr="001D5327">
        <w:rPr>
          <w:vertAlign w:val="subscript"/>
        </w:rPr>
        <w:t>2</w:t>
      </w:r>
      <w:r w:rsidRPr="001D5327">
        <w:t>O</w:t>
      </w:r>
      <w:r w:rsidRPr="001D5327">
        <w:noBreakHyphen/>
        <w:t xml:space="preserve">N/ha (IPCC, 2006). </w:t>
      </w:r>
    </w:p>
    <w:p w14:paraId="72B8F00F" w14:textId="77777777" w:rsidR="00590FE1" w:rsidRPr="001D5327" w:rsidRDefault="00590FE1" w:rsidP="00590FE1">
      <w:pPr>
        <w:pStyle w:val="BodyText"/>
      </w:pPr>
      <w:r w:rsidRPr="001D5327">
        <w:lastRenderedPageBreak/>
        <w:t>In 2023, direct N</w:t>
      </w:r>
      <w:r w:rsidRPr="001D5327">
        <w:rPr>
          <w:vertAlign w:val="subscript"/>
        </w:rPr>
        <w:t>2</w:t>
      </w:r>
      <w:r w:rsidRPr="001D5327">
        <w:t>O emissions from the management of organic soils contributed 9.3 per cent (590.0 kt CO</w:t>
      </w:r>
      <w:r w:rsidRPr="001D5327">
        <w:rPr>
          <w:vertAlign w:val="subscript"/>
        </w:rPr>
        <w:t>2</w:t>
      </w:r>
      <w:r w:rsidRPr="001D5327">
        <w:t xml:space="preserve">-e) of emissions from </w:t>
      </w:r>
      <w:r w:rsidRPr="001D5327">
        <w:rPr>
          <w:i/>
          <w:iCs/>
        </w:rPr>
        <w:t>Agricultural soils</w:t>
      </w:r>
      <w:r w:rsidRPr="001D5327">
        <w:t xml:space="preserve">, or 1.5 per cent of total agricultural emissions). This is an increase of 1.2 per cent since 1990. Emissions from </w:t>
      </w:r>
      <w:r w:rsidRPr="001D5327">
        <w:rPr>
          <w:i/>
          <w:iCs/>
        </w:rPr>
        <w:t>Cultivation of organic soils</w:t>
      </w:r>
      <w:r w:rsidRPr="001D5327">
        <w:t xml:space="preserve"> were identified as a key category (level and trend assessment).</w:t>
      </w:r>
    </w:p>
    <w:p w14:paraId="3BDE5A5F" w14:textId="77777777" w:rsidR="00590FE1" w:rsidRPr="001D5327" w:rsidRDefault="00590FE1" w:rsidP="00590FE1">
      <w:pPr>
        <w:pStyle w:val="Heading4"/>
      </w:pPr>
      <w:r w:rsidRPr="001D5327">
        <w:t xml:space="preserve">Indirect </w:t>
      </w:r>
      <w:r w:rsidRPr="001D5327">
        <w:rPr>
          <w:spacing w:val="-2"/>
        </w:rPr>
        <w:t>nitrous oxide</w:t>
      </w:r>
      <w:r w:rsidRPr="001D5327">
        <w:t xml:space="preserve"> emissions from managed soils (3.D.2) </w:t>
      </w:r>
    </w:p>
    <w:p w14:paraId="5C3DD024" w14:textId="77777777" w:rsidR="00590FE1" w:rsidRPr="001D5327" w:rsidRDefault="00590FE1" w:rsidP="00590FE1">
      <w:pPr>
        <w:pStyle w:val="BodyText"/>
        <w:spacing w:before="100"/>
        <w:rPr>
          <w:rFonts w:cs="Calibri"/>
        </w:rPr>
      </w:pPr>
      <w:r w:rsidRPr="001D5327">
        <w:rPr>
          <w:rFonts w:cs="Calibri"/>
        </w:rPr>
        <w:t>In addition to direct N</w:t>
      </w:r>
      <w:r w:rsidRPr="001D5327">
        <w:rPr>
          <w:rFonts w:cs="Calibri"/>
          <w:vertAlign w:val="subscript"/>
        </w:rPr>
        <w:t>2</w:t>
      </w:r>
      <w:r w:rsidRPr="001D5327">
        <w:rPr>
          <w:rFonts w:cs="Calibri"/>
        </w:rPr>
        <w:t>O emissions from managed soils, emissions of N</w:t>
      </w:r>
      <w:r w:rsidRPr="001D5327">
        <w:rPr>
          <w:rFonts w:cs="Calibri"/>
          <w:vertAlign w:val="subscript"/>
        </w:rPr>
        <w:t>2</w:t>
      </w:r>
      <w:r w:rsidRPr="001D5327">
        <w:rPr>
          <w:rFonts w:cs="Calibri"/>
        </w:rPr>
        <w:t>O also occur through two indirect pathways: volatilisation, and leaching and runoff.</w:t>
      </w:r>
    </w:p>
    <w:p w14:paraId="4A66E8EB" w14:textId="77777777" w:rsidR="00590FE1" w:rsidRPr="001D5327" w:rsidRDefault="00590FE1" w:rsidP="00590FE1">
      <w:pPr>
        <w:pStyle w:val="Heading5"/>
      </w:pPr>
      <w:r w:rsidRPr="001D5327">
        <w:t>Volatilisation (3.D.2.1)</w:t>
      </w:r>
    </w:p>
    <w:p w14:paraId="6902522A" w14:textId="77777777" w:rsidR="00590FE1" w:rsidRPr="001D5327" w:rsidRDefault="00590FE1" w:rsidP="00590FE1">
      <w:pPr>
        <w:pStyle w:val="BodyText"/>
        <w:spacing w:before="100" w:after="100"/>
        <w:rPr>
          <w:rFonts w:cs="Calibri"/>
        </w:rPr>
      </w:pPr>
      <w:r w:rsidRPr="001D5327">
        <w:rPr>
          <w:rFonts w:cs="Calibri"/>
        </w:rPr>
        <w:t>Some of the nitrogen deposited or spread on agricultural land is emitted into the atmosphere through volatilisation in the form of NH</w:t>
      </w:r>
      <w:r w:rsidRPr="001D5327">
        <w:rPr>
          <w:rFonts w:cs="Calibri"/>
          <w:vertAlign w:val="subscript"/>
        </w:rPr>
        <w:t>3</w:t>
      </w:r>
      <w:r w:rsidRPr="001D5327">
        <w:rPr>
          <w:rFonts w:cs="Calibri"/>
        </w:rPr>
        <w:t xml:space="preserve"> and NO</w:t>
      </w:r>
      <w:r w:rsidRPr="001D5327">
        <w:rPr>
          <w:rFonts w:cs="Calibri"/>
          <w:vertAlign w:val="subscript"/>
        </w:rPr>
        <w:t>x</w:t>
      </w:r>
      <w:r w:rsidRPr="001D5327">
        <w:rPr>
          <w:rFonts w:cs="Calibri"/>
        </w:rPr>
        <w:t xml:space="preserve">. A fraction of this volatilised nitrogen returns to the ground during rainfall and is then re-emitted as </w:t>
      </w:r>
      <w:r w:rsidRPr="001D5327">
        <w:rPr>
          <w:rFonts w:cs="Calibri"/>
          <w:spacing w:val="-2"/>
        </w:rPr>
        <w:t>N</w:t>
      </w:r>
      <w:r w:rsidRPr="001D5327">
        <w:rPr>
          <w:rFonts w:cs="Calibri"/>
          <w:spacing w:val="-2"/>
          <w:vertAlign w:val="subscript"/>
        </w:rPr>
        <w:t>2</w:t>
      </w:r>
      <w:r w:rsidRPr="001D5327">
        <w:rPr>
          <w:rFonts w:cs="Calibri"/>
          <w:spacing w:val="-2"/>
        </w:rPr>
        <w:t>O</w:t>
      </w:r>
      <w:r w:rsidRPr="001D5327">
        <w:rPr>
          <w:rFonts w:cs="Calibri"/>
        </w:rPr>
        <w:t>. The fraction of nitrogen that becomes N</w:t>
      </w:r>
      <w:r w:rsidRPr="001D5327">
        <w:rPr>
          <w:rFonts w:cs="Calibri"/>
          <w:vertAlign w:val="subscript"/>
        </w:rPr>
        <w:t>2</w:t>
      </w:r>
      <w:r w:rsidRPr="001D5327">
        <w:rPr>
          <w:rFonts w:cs="Calibri"/>
        </w:rPr>
        <w:t>O during this process is calculated using the parameters Frac</w:t>
      </w:r>
      <w:r w:rsidRPr="001D5327">
        <w:rPr>
          <w:rFonts w:cs="Calibri"/>
          <w:vertAlign w:val="subscript"/>
        </w:rPr>
        <w:t>GASF</w:t>
      </w:r>
      <w:r w:rsidRPr="001D5327">
        <w:rPr>
          <w:rFonts w:cs="Calibri"/>
        </w:rPr>
        <w:t xml:space="preserve"> for synthetic nitrogen fertiliser and Frac</w:t>
      </w:r>
      <w:r w:rsidRPr="001D5327">
        <w:rPr>
          <w:rFonts w:cs="Calibri"/>
          <w:vertAlign w:val="subscript"/>
        </w:rPr>
        <w:t>GASM</w:t>
      </w:r>
      <w:r w:rsidRPr="001D5327">
        <w:rPr>
          <w:rFonts w:cs="Calibri"/>
        </w:rPr>
        <w:t xml:space="preserve"> for organic inputs from animal excreta. New Zealand uses country-specific values for both of these parameters.</w:t>
      </w:r>
    </w:p>
    <w:p w14:paraId="19170A73" w14:textId="77777777" w:rsidR="00590FE1" w:rsidRPr="001D5327" w:rsidRDefault="00590FE1" w:rsidP="00590FE1">
      <w:pPr>
        <w:pStyle w:val="BodyText"/>
        <w:spacing w:before="100" w:after="100"/>
        <w:rPr>
          <w:rFonts w:cs="Calibri"/>
        </w:rPr>
      </w:pPr>
      <w:r w:rsidRPr="001D5327">
        <w:rPr>
          <w:rFonts w:cs="Calibri"/>
        </w:rPr>
        <w:t>In New Zealand, nitrogen added to agricultural soils from synthetic nitrogen fertiliser (F</w:t>
      </w:r>
      <w:r w:rsidRPr="001D5327">
        <w:rPr>
          <w:rFonts w:cs="Calibri"/>
          <w:vertAlign w:val="subscript"/>
        </w:rPr>
        <w:t>SN</w:t>
      </w:r>
      <w:r w:rsidRPr="001D5327">
        <w:rPr>
          <w:rFonts w:cs="Calibri"/>
        </w:rPr>
        <w:t>), organic nitrogen fertiliser from the spreading of managed manure (F</w:t>
      </w:r>
      <w:r w:rsidRPr="001D5327">
        <w:rPr>
          <w:rFonts w:cs="Calibri"/>
          <w:vertAlign w:val="subscript"/>
        </w:rPr>
        <w:t>ON</w:t>
      </w:r>
      <w:r w:rsidRPr="001D5327">
        <w:rPr>
          <w:rFonts w:cs="Calibri"/>
        </w:rPr>
        <w:t>), and excreta from grazing livestock on pasture (F</w:t>
      </w:r>
      <w:r w:rsidRPr="001D5327">
        <w:rPr>
          <w:rFonts w:cs="Calibri"/>
          <w:vertAlign w:val="subscript"/>
        </w:rPr>
        <w:t>PRP</w:t>
      </w:r>
      <w:r w:rsidRPr="001D5327">
        <w:rPr>
          <w:rFonts w:cs="Calibri"/>
        </w:rPr>
        <w:t>) all contribute to N</w:t>
      </w:r>
      <w:r w:rsidRPr="001D5327">
        <w:rPr>
          <w:rFonts w:cs="Calibri"/>
          <w:vertAlign w:val="subscript"/>
        </w:rPr>
        <w:t>2</w:t>
      </w:r>
      <w:r w:rsidRPr="001D5327">
        <w:rPr>
          <w:rFonts w:cs="Calibri"/>
        </w:rPr>
        <w:t>O emissions from volatilisation. The collection of activity data for F</w:t>
      </w:r>
      <w:r w:rsidRPr="001D5327">
        <w:rPr>
          <w:rFonts w:cs="Calibri"/>
          <w:vertAlign w:val="subscript"/>
        </w:rPr>
        <w:t>SN</w:t>
      </w:r>
      <w:r w:rsidRPr="001D5327">
        <w:rPr>
          <w:rFonts w:cs="Calibri"/>
        </w:rPr>
        <w:t>, F</w:t>
      </w:r>
      <w:r w:rsidRPr="001D5327">
        <w:rPr>
          <w:rFonts w:cs="Calibri"/>
          <w:vertAlign w:val="subscript"/>
        </w:rPr>
        <w:t>ON</w:t>
      </w:r>
      <w:r w:rsidRPr="001D5327">
        <w:rPr>
          <w:rFonts w:cs="Calibri"/>
        </w:rPr>
        <w:t xml:space="preserve"> and F</w:t>
      </w:r>
      <w:r w:rsidRPr="001D5327">
        <w:rPr>
          <w:rFonts w:cs="Calibri"/>
          <w:vertAlign w:val="subscript"/>
        </w:rPr>
        <w:t xml:space="preserve">PRP </w:t>
      </w:r>
      <w:r w:rsidRPr="001D5327">
        <w:rPr>
          <w:rFonts w:cs="Calibri"/>
        </w:rPr>
        <w:t xml:space="preserve">is described above (see </w:t>
      </w:r>
      <w:r w:rsidRPr="001D5327">
        <w:rPr>
          <w:rFonts w:cs="Calibri"/>
          <w:i/>
          <w:iCs/>
        </w:rPr>
        <w:t>Direct N</w:t>
      </w:r>
      <w:r w:rsidRPr="001D5327">
        <w:rPr>
          <w:rFonts w:cs="Calibri"/>
          <w:i/>
          <w:iCs/>
          <w:vertAlign w:val="subscript"/>
        </w:rPr>
        <w:t>2</w:t>
      </w:r>
      <w:r w:rsidRPr="001D5327">
        <w:rPr>
          <w:rFonts w:cs="Calibri"/>
          <w:i/>
          <w:iCs/>
        </w:rPr>
        <w:t>O emissions from managed soils</w:t>
      </w:r>
      <w:r w:rsidRPr="001D5327">
        <w:rPr>
          <w:rFonts w:cs="Calibri"/>
        </w:rPr>
        <w:t xml:space="preserve"> (3.D.1)). Volatilisation from manure stored in manure management systems (before application to land) is reported in the </w:t>
      </w:r>
      <w:r w:rsidRPr="001D5327">
        <w:rPr>
          <w:rFonts w:cs="Calibri"/>
          <w:i/>
          <w:iCs/>
        </w:rPr>
        <w:t>Manure management</w:t>
      </w:r>
      <w:r w:rsidRPr="001D5327">
        <w:rPr>
          <w:rFonts w:cs="Calibri"/>
        </w:rPr>
        <w:t xml:space="preserve"> category (see section 5.3.2). </w:t>
      </w:r>
    </w:p>
    <w:p w14:paraId="23F8948D" w14:textId="77777777" w:rsidR="00590FE1" w:rsidRPr="001D5327" w:rsidRDefault="00590FE1" w:rsidP="00590FE1">
      <w:pPr>
        <w:pStyle w:val="BodyText"/>
        <w:spacing w:before="100"/>
        <w:rPr>
          <w:rFonts w:cs="Calibri"/>
        </w:rPr>
      </w:pPr>
      <w:r w:rsidRPr="001D5327">
        <w:rPr>
          <w:rFonts w:cs="Calibri"/>
        </w:rPr>
        <w:t>New Zealand uses a Tier 1 methodology with country-specific emission factors for Frac</w:t>
      </w:r>
      <w:r w:rsidRPr="001D5327">
        <w:rPr>
          <w:rFonts w:cs="Calibri"/>
          <w:vertAlign w:val="subscript"/>
        </w:rPr>
        <w:t>GASF</w:t>
      </w:r>
      <w:r w:rsidRPr="001D5327">
        <w:rPr>
          <w:rFonts w:cs="Calibri"/>
        </w:rPr>
        <w:t xml:space="preserve"> and Frac</w:t>
      </w:r>
      <w:r w:rsidRPr="001D5327">
        <w:rPr>
          <w:rFonts w:cs="Calibri"/>
          <w:vertAlign w:val="subscript"/>
        </w:rPr>
        <w:t>GASM</w:t>
      </w:r>
      <w:r w:rsidRPr="001D5327">
        <w:rPr>
          <w:rFonts w:cs="Calibri"/>
        </w:rPr>
        <w:t xml:space="preserve"> and a default value for the EF</w:t>
      </w:r>
      <w:r w:rsidRPr="001D5327">
        <w:rPr>
          <w:rFonts w:cs="Calibri"/>
          <w:vertAlign w:val="subscript"/>
        </w:rPr>
        <w:t>4</w:t>
      </w:r>
      <w:r w:rsidRPr="001D5327">
        <w:rPr>
          <w:rFonts w:cs="Calibri"/>
        </w:rPr>
        <w:t xml:space="preserve"> emission factor to calculate emissions from volatilisation: </w:t>
      </w:r>
    </w:p>
    <w:p w14:paraId="1267B699" w14:textId="77777777" w:rsidR="00590FE1" w:rsidRPr="001D5327" w:rsidRDefault="00000000" w:rsidP="00590FE1">
      <w:pPr>
        <w:pStyle w:val="BodyText"/>
        <w:spacing w:before="0"/>
        <w:jc w:val="center"/>
        <w:rPr>
          <w:rFonts w:cs="Calibri"/>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ATD</m:t>
              </m:r>
            </m:sub>
          </m:sSub>
          <m:r>
            <w:rPr>
              <w:rFonts w:ascii="Cambria Math" w:hAnsi="Cambria Math"/>
              <w:sz w:val="24"/>
              <w:szCs w:val="24"/>
            </w:rPr>
            <m:t xml:space="preserve"> emissions=</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ATD</m:t>
                  </m:r>
                </m:sub>
              </m:sSub>
              <m:r>
                <w:rPr>
                  <w:rFonts w:ascii="Cambria Math" w:hAnsi="Cambria Math"/>
                  <w:sz w:val="24"/>
                  <w:szCs w:val="24"/>
                </w:rPr>
                <m:t>-N</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d>
            <m:dPr>
              <m:begChr m:val="["/>
              <m:endChr m:val="]"/>
              <m:ctrlPr>
                <w:rPr>
                  <w:rFonts w:ascii="Cambria Math" w:hAnsi="Cambria Math"/>
                  <w:i/>
                  <w:sz w:val="24"/>
                  <w:szCs w:val="24"/>
                </w:rPr>
              </m:ctrlPr>
            </m:d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GASF</m:t>
                      </m:r>
                    </m:sub>
                  </m:sSub>
                </m:e>
              </m:d>
              <m:r>
                <w:rPr>
                  <w:rFonts w:ascii="Cambria Math" w:hAnsi="Cambria Math"/>
                  <w:sz w:val="24"/>
                  <w:szCs w:val="24"/>
                </w:rPr>
                <m:t>+</m:t>
              </m:r>
              <m:d>
                <m:dPr>
                  <m:ctrlPr>
                    <w:rPr>
                      <w:rFonts w:ascii="Cambria Math" w:hAnsi="Cambria Math"/>
                      <w:i/>
                      <w:sz w:val="24"/>
                      <w:szCs w:val="24"/>
                    </w:rPr>
                  </m:ctrlPr>
                </m:d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ON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PRP</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GASM</m:t>
                      </m:r>
                    </m:sub>
                  </m:sSub>
                </m:e>
              </m:d>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4</m:t>
              </m:r>
            </m:sub>
          </m:sSub>
          <m:r>
            <w:rPr>
              <w:rFonts w:ascii="Cambria Math" w:hAnsi="Cambria Math" w:cs="Calibri"/>
              <w:sz w:val="20"/>
              <w:szCs w:val="20"/>
            </w:rPr>
            <m:t xml:space="preserve"> </m:t>
          </m:r>
        </m:oMath>
      </m:oMathPara>
    </w:p>
    <w:p w14:paraId="2FD4C919" w14:textId="77777777" w:rsidR="00590FE1" w:rsidRPr="001D5327" w:rsidRDefault="00590FE1" w:rsidP="00256132">
      <w:pPr>
        <w:pStyle w:val="BodyText"/>
        <w:spacing w:after="20"/>
        <w:ind w:left="851" w:hanging="851"/>
      </w:pPr>
      <w:r w:rsidRPr="001D5327">
        <w:t>Where:</w:t>
      </w:r>
      <w:r w:rsidRPr="001D5327">
        <w:tab/>
        <w:t>N</w:t>
      </w:r>
      <w:r w:rsidRPr="001D5327">
        <w:rPr>
          <w:vertAlign w:val="subscript"/>
        </w:rPr>
        <w:t>2</w:t>
      </w:r>
      <w:r w:rsidRPr="001D5327">
        <w:t>O</w:t>
      </w:r>
      <w:r w:rsidRPr="001D5327">
        <w:rPr>
          <w:vertAlign w:val="subscript"/>
        </w:rPr>
        <w:t>ATD</w:t>
      </w:r>
      <w:r w:rsidRPr="001D5327">
        <w:t>–N is the annual amount of N</w:t>
      </w:r>
      <w:r w:rsidRPr="001D5327">
        <w:rPr>
          <w:vertAlign w:val="subscript"/>
        </w:rPr>
        <w:t>2</w:t>
      </w:r>
      <w:r w:rsidRPr="001D5327">
        <w:t>O-N produced by atmospheric deposition of volatilised nitrogen from agricultural soils (kg N</w:t>
      </w:r>
      <w:r w:rsidRPr="001D5327">
        <w:rPr>
          <w:vertAlign w:val="subscript"/>
        </w:rPr>
        <w:t>2</w:t>
      </w:r>
      <w:r w:rsidRPr="001D5327">
        <w:t>O-N/year)</w:t>
      </w:r>
    </w:p>
    <w:p w14:paraId="1133A2CB" w14:textId="77777777" w:rsidR="00590FE1" w:rsidRPr="001D5327" w:rsidRDefault="00590FE1" w:rsidP="00256132">
      <w:pPr>
        <w:pStyle w:val="BodyText"/>
        <w:spacing w:before="40" w:after="20"/>
        <w:ind w:left="851" w:hanging="851"/>
      </w:pPr>
      <w:r w:rsidRPr="001D5327">
        <w:tab/>
        <w:t>F</w:t>
      </w:r>
      <w:r w:rsidRPr="001D5327">
        <w:rPr>
          <w:vertAlign w:val="subscript"/>
        </w:rPr>
        <w:t>SN</w:t>
      </w:r>
      <w:r w:rsidRPr="001D5327">
        <w:t>, F</w:t>
      </w:r>
      <w:r w:rsidRPr="001D5327">
        <w:rPr>
          <w:vertAlign w:val="subscript"/>
        </w:rPr>
        <w:t>ON</w:t>
      </w:r>
      <w:r w:rsidRPr="001D5327">
        <w:t xml:space="preserve"> and F</w:t>
      </w:r>
      <w:r w:rsidRPr="001D5327">
        <w:rPr>
          <w:vertAlign w:val="subscript"/>
        </w:rPr>
        <w:t>PRP</w:t>
      </w:r>
      <w:r w:rsidRPr="001D5327">
        <w:t xml:space="preserve"> are defined above (kg N/year)</w:t>
      </w:r>
    </w:p>
    <w:p w14:paraId="04F91001" w14:textId="77777777" w:rsidR="00590FE1" w:rsidRPr="001D5327" w:rsidRDefault="00590FE1" w:rsidP="00256132">
      <w:pPr>
        <w:pStyle w:val="BodyText"/>
        <w:spacing w:before="40" w:after="20"/>
        <w:ind w:left="851" w:hanging="851"/>
      </w:pPr>
      <w:r w:rsidRPr="001D5327">
        <w:tab/>
        <w:t>Frac</w:t>
      </w:r>
      <w:r w:rsidRPr="001D5327">
        <w:rPr>
          <w:vertAlign w:val="subscript"/>
        </w:rPr>
        <w:t>GASF</w:t>
      </w:r>
      <w:r w:rsidRPr="001D5327">
        <w:t xml:space="preserve"> is the fraction of nitrogen from synthetic fertiliser that volatilises as NH</w:t>
      </w:r>
      <w:r w:rsidRPr="001D5327">
        <w:rPr>
          <w:vertAlign w:val="subscript"/>
        </w:rPr>
        <w:t>3</w:t>
      </w:r>
      <w:r w:rsidRPr="001D5327">
        <w:t xml:space="preserve"> and NO</w:t>
      </w:r>
      <w:r w:rsidRPr="001D5327">
        <w:rPr>
          <w:vertAlign w:val="subscript"/>
        </w:rPr>
        <w:t>x</w:t>
      </w:r>
      <w:r w:rsidRPr="001D5327">
        <w:t xml:space="preserve"> (see table 5.5.4)</w:t>
      </w:r>
    </w:p>
    <w:p w14:paraId="61E7AA10" w14:textId="77777777" w:rsidR="00590FE1" w:rsidRPr="001D5327" w:rsidRDefault="00590FE1" w:rsidP="00256132">
      <w:pPr>
        <w:pStyle w:val="BodyText"/>
        <w:spacing w:before="40" w:after="20"/>
        <w:ind w:left="851" w:hanging="851"/>
      </w:pPr>
      <w:r w:rsidRPr="001D5327">
        <w:tab/>
        <w:t>Frac</w:t>
      </w:r>
      <w:r w:rsidRPr="001D5327">
        <w:rPr>
          <w:vertAlign w:val="subscript"/>
        </w:rPr>
        <w:t>GASM</w:t>
      </w:r>
      <w:r w:rsidRPr="001D5327">
        <w:t xml:space="preserve"> is the fraction of nitrogen</w:t>
      </w:r>
      <w:r w:rsidRPr="001D5327" w:rsidDel="009B1CDF">
        <w:t xml:space="preserve"> </w:t>
      </w:r>
      <w:r w:rsidRPr="001D5327">
        <w:t>from manure spreading and pasture, range and paddock manure that volatilises as NH</w:t>
      </w:r>
      <w:r w:rsidRPr="001D5327">
        <w:rPr>
          <w:vertAlign w:val="subscript"/>
        </w:rPr>
        <w:t>3</w:t>
      </w:r>
      <w:r w:rsidRPr="001D5327">
        <w:t xml:space="preserve"> and NO</w:t>
      </w:r>
      <w:r w:rsidRPr="001D5327">
        <w:rPr>
          <w:vertAlign w:val="subscript"/>
        </w:rPr>
        <w:t>x</w:t>
      </w:r>
      <w:r w:rsidRPr="001D5327">
        <w:t xml:space="preserve"> (see table 5.5.4), and</w:t>
      </w:r>
    </w:p>
    <w:p w14:paraId="0F740E65" w14:textId="77777777" w:rsidR="00590FE1" w:rsidRPr="001D5327" w:rsidRDefault="00590FE1" w:rsidP="00256132">
      <w:pPr>
        <w:pStyle w:val="BodyText"/>
        <w:spacing w:before="40"/>
        <w:ind w:left="851" w:hanging="851"/>
      </w:pPr>
      <w:r w:rsidRPr="001D5327">
        <w:tab/>
        <w:t>EF</w:t>
      </w:r>
      <w:r w:rsidRPr="001D5327">
        <w:rPr>
          <w:vertAlign w:val="subscript"/>
        </w:rPr>
        <w:t>4</w:t>
      </w:r>
      <w:r w:rsidRPr="001D5327">
        <w:t xml:space="preserve"> is the emission factor for N</w:t>
      </w:r>
      <w:r w:rsidRPr="001D5327">
        <w:rPr>
          <w:vertAlign w:val="subscript"/>
        </w:rPr>
        <w:t>2</w:t>
      </w:r>
      <w:r w:rsidRPr="001D5327">
        <w:t>O emissions from atmospheric deposition of nitrogen on soils and water (kg N</w:t>
      </w:r>
      <w:r w:rsidRPr="001D5327">
        <w:rPr>
          <w:vertAlign w:val="subscript"/>
        </w:rPr>
        <w:t>2</w:t>
      </w:r>
      <w:r w:rsidRPr="001D5327">
        <w:t>O-N/kg N).</w:t>
      </w:r>
    </w:p>
    <w:p w14:paraId="7258DF5A" w14:textId="77777777" w:rsidR="00590FE1" w:rsidRPr="001D5327" w:rsidRDefault="00590FE1" w:rsidP="00590FE1">
      <w:pPr>
        <w:pStyle w:val="BodyText"/>
      </w:pPr>
      <w:r w:rsidRPr="001D5327">
        <w:rPr>
          <w:rFonts w:cs="Calibri"/>
        </w:rPr>
        <w:t>New Zealand</w:t>
      </w:r>
      <w:r w:rsidRPr="001D5327">
        <w:t xml:space="preserve"> has a country-specific value of 0.1 for Frac</w:t>
      </w:r>
      <w:r w:rsidRPr="001D5327">
        <w:rPr>
          <w:vertAlign w:val="subscript"/>
        </w:rPr>
        <w:t>GASF</w:t>
      </w:r>
      <w:r w:rsidRPr="001D5327">
        <w:t xml:space="preserve">, the fraction of volatilised nitrogen from synthetic nitrogen fertiliser. This value is based on a review by Sherlock et al. (2008) of relevant </w:t>
      </w:r>
      <w:r w:rsidRPr="001D5327" w:rsidDel="0045011C">
        <w:rPr>
          <w:rFonts w:cs="Calibri"/>
        </w:rPr>
        <w:t xml:space="preserve">New </w:t>
      </w:r>
      <w:r w:rsidRPr="001D5327">
        <w:rPr>
          <w:rFonts w:cs="Calibri"/>
        </w:rPr>
        <w:t>Zealand</w:t>
      </w:r>
      <w:r w:rsidRPr="001D5327">
        <w:t xml:space="preserve"> and international research. The review determined that a value of 0.096 for Frac</w:t>
      </w:r>
      <w:r w:rsidRPr="001D5327">
        <w:rPr>
          <w:vertAlign w:val="subscript"/>
        </w:rPr>
        <w:t>GASF</w:t>
      </w:r>
      <w:r w:rsidRPr="001D5327">
        <w:t xml:space="preserve"> was suitable for </w:t>
      </w:r>
      <w:r w:rsidRPr="001D5327" w:rsidDel="00146C1E">
        <w:rPr>
          <w:rFonts w:cs="Calibri"/>
        </w:rPr>
        <w:t xml:space="preserve">New </w:t>
      </w:r>
      <w:r w:rsidRPr="001D5327">
        <w:rPr>
          <w:rFonts w:cs="Calibri"/>
        </w:rPr>
        <w:t>Zealand</w:t>
      </w:r>
      <w:r w:rsidRPr="001D5327">
        <w:t xml:space="preserve"> conditions. Because this value of 0.096 is almost identical to the IPCC default value of 0.1, the value of 0.1 was adopted by </w:t>
      </w:r>
      <w:r w:rsidRPr="001D5327" w:rsidDel="00146C1E">
        <w:rPr>
          <w:rFonts w:cs="Calibri"/>
        </w:rPr>
        <w:t xml:space="preserve">New </w:t>
      </w:r>
      <w:r w:rsidRPr="001D5327">
        <w:rPr>
          <w:rFonts w:cs="Calibri"/>
        </w:rPr>
        <w:t>Zealand</w:t>
      </w:r>
      <w:r w:rsidRPr="001D5327">
        <w:t xml:space="preserve"> as a country-specific value for Frac</w:t>
      </w:r>
      <w:r w:rsidRPr="001D5327">
        <w:rPr>
          <w:vertAlign w:val="subscript"/>
        </w:rPr>
        <w:t>GASF</w:t>
      </w:r>
      <w:r w:rsidRPr="001D5327">
        <w:t xml:space="preserve">. </w:t>
      </w:r>
    </w:p>
    <w:p w14:paraId="567D7568" w14:textId="77777777" w:rsidR="00590FE1" w:rsidRPr="001D5327" w:rsidRDefault="00590FE1" w:rsidP="00590FE1">
      <w:pPr>
        <w:pStyle w:val="BodyText"/>
      </w:pPr>
      <w:r w:rsidRPr="001D5327">
        <w:lastRenderedPageBreak/>
        <w:t>The review by Sherlock et al. (2008) also recommended that New Zealand adopt a country-specific value of 0.1 for Frac</w:t>
      </w:r>
      <w:r w:rsidRPr="001D5327">
        <w:rPr>
          <w:vertAlign w:val="subscript"/>
        </w:rPr>
        <w:t>GASM</w:t>
      </w:r>
      <w:r w:rsidRPr="001D5327">
        <w:t>, the fraction of volatilised nitrogen from manure spreading and pasture, range and paddock manure. The review showed that the default value of 0.2 for Frac</w:t>
      </w:r>
      <w:r w:rsidRPr="001D5327">
        <w:rPr>
          <w:vertAlign w:val="subscript"/>
        </w:rPr>
        <w:t>GASM</w:t>
      </w:r>
      <w:r w:rsidRPr="001D5327">
        <w:t xml:space="preserve"> (IPCC, 2006) was too high for </w:t>
      </w:r>
      <w:r w:rsidRPr="001D5327" w:rsidDel="00146C1E">
        <w:rPr>
          <w:rFonts w:cs="Calibri"/>
        </w:rPr>
        <w:t xml:space="preserve">New </w:t>
      </w:r>
      <w:r w:rsidRPr="001D5327">
        <w:rPr>
          <w:rFonts w:cs="Calibri"/>
        </w:rPr>
        <w:t>Zealand</w:t>
      </w:r>
      <w:r w:rsidRPr="001D5327">
        <w:t xml:space="preserve"> circumstances and that 0.1 was more appropriate. This value was also confirmed by subsequent field experiments (Laubach et al., 2012). </w:t>
      </w:r>
    </w:p>
    <w:p w14:paraId="260DFE69" w14:textId="77777777" w:rsidR="00590FE1" w:rsidRPr="001D5327" w:rsidRDefault="00590FE1" w:rsidP="00590FE1">
      <w:pPr>
        <w:pStyle w:val="BodyText"/>
      </w:pPr>
      <w:r w:rsidRPr="001D5327">
        <w:t xml:space="preserve">In 2023, </w:t>
      </w:r>
      <w:r w:rsidRPr="001D5327">
        <w:rPr>
          <w:spacing w:val="-2"/>
        </w:rPr>
        <w:t>N</w:t>
      </w:r>
      <w:r w:rsidRPr="001D5327">
        <w:rPr>
          <w:spacing w:val="-2"/>
          <w:vertAlign w:val="subscript"/>
        </w:rPr>
        <w:t>2</w:t>
      </w:r>
      <w:r w:rsidRPr="001D5327">
        <w:rPr>
          <w:spacing w:val="-2"/>
        </w:rPr>
        <w:t>O</w:t>
      </w:r>
      <w:r w:rsidRPr="001D5327">
        <w:t xml:space="preserve"> emissions from volatilisation contributed 1.8 per cent (741.1 kt CO</w:t>
      </w:r>
      <w:r w:rsidRPr="001D5327">
        <w:rPr>
          <w:vertAlign w:val="subscript"/>
        </w:rPr>
        <w:t>2</w:t>
      </w:r>
      <w:r w:rsidRPr="001D5327">
        <w:t>-e) to total Agriculture emissions, an increase of 16.4 per cent from the 1990 value of 636.8 kt CO</w:t>
      </w:r>
      <w:r w:rsidRPr="001D5327">
        <w:rPr>
          <w:vertAlign w:val="subscript"/>
        </w:rPr>
        <w:t>2</w:t>
      </w:r>
      <w:r w:rsidRPr="001D5327">
        <w:t>-e.</w:t>
      </w:r>
    </w:p>
    <w:p w14:paraId="01E5BDA4" w14:textId="77777777" w:rsidR="00590FE1" w:rsidRPr="001D5327" w:rsidRDefault="00590FE1" w:rsidP="00590FE1">
      <w:pPr>
        <w:pStyle w:val="Heading5"/>
      </w:pPr>
      <w:r w:rsidRPr="001D5327">
        <w:t>Leaching and runoff (3.D.2.2)</w:t>
      </w:r>
    </w:p>
    <w:p w14:paraId="65A8F898" w14:textId="77777777" w:rsidR="00590FE1" w:rsidRPr="001D5327" w:rsidRDefault="00590FE1" w:rsidP="00590FE1">
      <w:pPr>
        <w:pStyle w:val="BodyText"/>
      </w:pPr>
      <w:r w:rsidRPr="001D5327">
        <w:rPr>
          <w:spacing w:val="-2"/>
        </w:rPr>
        <w:t xml:space="preserve">Nitrous oxide </w:t>
      </w:r>
      <w:r w:rsidRPr="001D5327">
        <w:t xml:space="preserve">emissions from leaching and runoff originate from the following sources: </w:t>
      </w:r>
    </w:p>
    <w:p w14:paraId="1E55CC05" w14:textId="77777777" w:rsidR="00590FE1" w:rsidRPr="001D5327" w:rsidRDefault="00590FE1" w:rsidP="00590FE1">
      <w:pPr>
        <w:pStyle w:val="Bullet"/>
      </w:pPr>
      <w:r w:rsidRPr="001D5327">
        <w:t>synthetic nitrogen fertiliser (F</w:t>
      </w:r>
      <w:r w:rsidRPr="001D5327">
        <w:rPr>
          <w:vertAlign w:val="subscript"/>
        </w:rPr>
        <w:t>SN</w:t>
      </w:r>
      <w:r w:rsidRPr="001D5327">
        <w:t xml:space="preserve">) </w:t>
      </w:r>
    </w:p>
    <w:p w14:paraId="5C809C67" w14:textId="2A67285B" w:rsidR="00590FE1" w:rsidRPr="001D5327" w:rsidRDefault="00590FE1" w:rsidP="00590FE1">
      <w:pPr>
        <w:pStyle w:val="Bullet"/>
      </w:pPr>
      <w:r w:rsidRPr="001D5327">
        <w:t>organic nitrogen additions from the spreading of animal manure (F</w:t>
      </w:r>
      <w:r w:rsidRPr="001D5327">
        <w:rPr>
          <w:vertAlign w:val="subscript"/>
        </w:rPr>
        <w:t>ON</w:t>
      </w:r>
      <w:r w:rsidRPr="001D5327">
        <w:t>), above- and below</w:t>
      </w:r>
      <w:r w:rsidR="00256132" w:rsidRPr="001D5327">
        <w:noBreakHyphen/>
      </w:r>
      <w:r w:rsidRPr="001D5327">
        <w:t>ground crop residues (F</w:t>
      </w:r>
      <w:r w:rsidRPr="001D5327">
        <w:rPr>
          <w:vertAlign w:val="subscript"/>
        </w:rPr>
        <w:t>CR</w:t>
      </w:r>
      <w:r w:rsidRPr="001D5327">
        <w:t xml:space="preserve">) </w:t>
      </w:r>
    </w:p>
    <w:p w14:paraId="4CFD0B49" w14:textId="77777777" w:rsidR="00590FE1" w:rsidRPr="001D5327" w:rsidRDefault="00590FE1" w:rsidP="00590FE1">
      <w:pPr>
        <w:pStyle w:val="Bullet"/>
      </w:pPr>
      <w:r w:rsidRPr="001D5327">
        <w:t>nitrogen mineralisation associated with loss of soil organic matter from cropland land management (F</w:t>
      </w:r>
      <w:r w:rsidRPr="001D5327">
        <w:rPr>
          <w:vertAlign w:val="subscript"/>
        </w:rPr>
        <w:t>SOM</w:t>
      </w:r>
      <w:r w:rsidRPr="001D5327">
        <w:t>)</w:t>
      </w:r>
    </w:p>
    <w:p w14:paraId="22A6D0A1" w14:textId="77777777" w:rsidR="00590FE1" w:rsidRPr="001D5327" w:rsidRDefault="00590FE1" w:rsidP="00590FE1">
      <w:pPr>
        <w:pStyle w:val="Bullet"/>
      </w:pPr>
      <w:r w:rsidRPr="001D5327">
        <w:t>excreta from grazing livestock on pasture, range and paddock (F</w:t>
      </w:r>
      <w:r w:rsidRPr="001D5327">
        <w:rPr>
          <w:vertAlign w:val="subscript"/>
        </w:rPr>
        <w:t>PRP</w:t>
      </w:r>
      <w:r w:rsidRPr="001D5327">
        <w:t xml:space="preserve">) (IPCC, 2006). </w:t>
      </w:r>
    </w:p>
    <w:p w14:paraId="749E738C" w14:textId="77777777" w:rsidR="00590FE1" w:rsidRPr="001D5327" w:rsidRDefault="00590FE1" w:rsidP="00590FE1">
      <w:pPr>
        <w:pStyle w:val="BodyText"/>
      </w:pPr>
      <w:r w:rsidRPr="001D5327">
        <w:t>The collection of activity data for F</w:t>
      </w:r>
      <w:r w:rsidRPr="001D5327">
        <w:rPr>
          <w:vertAlign w:val="subscript"/>
        </w:rPr>
        <w:t>SN</w:t>
      </w:r>
      <w:r w:rsidRPr="001D5327">
        <w:t>, F</w:t>
      </w:r>
      <w:r w:rsidRPr="001D5327">
        <w:rPr>
          <w:vertAlign w:val="subscript"/>
        </w:rPr>
        <w:t>ON</w:t>
      </w:r>
      <w:r w:rsidRPr="001D5327">
        <w:t>, F</w:t>
      </w:r>
      <w:r w:rsidRPr="001D5327">
        <w:rPr>
          <w:vertAlign w:val="subscript"/>
        </w:rPr>
        <w:t>CR</w:t>
      </w:r>
      <w:r w:rsidRPr="001D5327">
        <w:t>, F</w:t>
      </w:r>
      <w:r w:rsidRPr="001D5327">
        <w:rPr>
          <w:vertAlign w:val="subscript"/>
        </w:rPr>
        <w:t xml:space="preserve">PRP </w:t>
      </w:r>
      <w:r w:rsidRPr="001D5327">
        <w:t>and F</w:t>
      </w:r>
      <w:r w:rsidRPr="001D5327">
        <w:rPr>
          <w:vertAlign w:val="subscript"/>
        </w:rPr>
        <w:t>SOM</w:t>
      </w:r>
      <w:r w:rsidRPr="001D5327">
        <w:t xml:space="preserve"> is described above (see </w:t>
      </w:r>
      <w:r w:rsidRPr="001D5327">
        <w:rPr>
          <w:i/>
          <w:iCs/>
        </w:rPr>
        <w:t>Direct N</w:t>
      </w:r>
      <w:r w:rsidRPr="001D5327">
        <w:rPr>
          <w:i/>
          <w:iCs/>
          <w:vertAlign w:val="subscript"/>
        </w:rPr>
        <w:t>2</w:t>
      </w:r>
      <w:r w:rsidRPr="001D5327">
        <w:rPr>
          <w:i/>
          <w:iCs/>
        </w:rPr>
        <w:t>O emissions from managed soils</w:t>
      </w:r>
      <w:r w:rsidRPr="001D5327">
        <w:t xml:space="preserve"> (3.D.1)). </w:t>
      </w:r>
    </w:p>
    <w:p w14:paraId="7DC3B180" w14:textId="352BD8C3" w:rsidR="00590FE1" w:rsidRPr="001D5327" w:rsidRDefault="00590FE1" w:rsidP="00590FE1">
      <w:pPr>
        <w:pStyle w:val="BodyText"/>
      </w:pPr>
      <w:r w:rsidRPr="001715C1" w:rsidDel="00926A97">
        <w:rPr>
          <w:rFonts w:cs="Calibri"/>
          <w:spacing w:val="-2"/>
        </w:rPr>
        <w:t xml:space="preserve">New </w:t>
      </w:r>
      <w:r w:rsidRPr="001715C1">
        <w:rPr>
          <w:rFonts w:cs="Calibri"/>
          <w:spacing w:val="-2"/>
        </w:rPr>
        <w:t>Zealand</w:t>
      </w:r>
      <w:r w:rsidRPr="001715C1">
        <w:rPr>
          <w:spacing w:val="-2"/>
        </w:rPr>
        <w:t xml:space="preserve"> reports all emissions from leaching in the </w:t>
      </w:r>
      <w:r w:rsidRPr="001715C1">
        <w:rPr>
          <w:i/>
          <w:iCs/>
          <w:spacing w:val="-2"/>
        </w:rPr>
        <w:t>Agricultural soils</w:t>
      </w:r>
      <w:r w:rsidRPr="001715C1">
        <w:rPr>
          <w:spacing w:val="-2"/>
        </w:rPr>
        <w:t xml:space="preserve"> category. As discussed under</w:t>
      </w:r>
      <w:r w:rsidRPr="001715C1">
        <w:rPr>
          <w:i/>
          <w:iCs/>
          <w:spacing w:val="-2"/>
        </w:rPr>
        <w:t xml:space="preserve"> Manure management </w:t>
      </w:r>
      <w:r w:rsidRPr="001715C1">
        <w:rPr>
          <w:spacing w:val="-2"/>
        </w:rPr>
        <w:t xml:space="preserve">(see section 5.3.1), </w:t>
      </w:r>
      <w:r w:rsidRPr="001715C1" w:rsidDel="00AD4731">
        <w:rPr>
          <w:rFonts w:cs="Calibri"/>
          <w:spacing w:val="-2"/>
        </w:rPr>
        <w:t xml:space="preserve">New </w:t>
      </w:r>
      <w:r w:rsidRPr="001715C1">
        <w:rPr>
          <w:rFonts w:cs="Calibri"/>
          <w:spacing w:val="-2"/>
        </w:rPr>
        <w:t>Zealand</w:t>
      </w:r>
      <w:r w:rsidRPr="001715C1">
        <w:rPr>
          <w:spacing w:val="-2"/>
        </w:rPr>
        <w:t xml:space="preserve"> livestock are predominantly grazed outdoors (see table 5.3.2). New Zealand uses a Tier 1 methodology with country-specific default parameters to calculate indirect N</w:t>
      </w:r>
      <w:r w:rsidRPr="001715C1">
        <w:rPr>
          <w:spacing w:val="-2"/>
          <w:vertAlign w:val="subscript"/>
        </w:rPr>
        <w:t>2</w:t>
      </w:r>
      <w:r w:rsidRPr="001715C1">
        <w:rPr>
          <w:spacing w:val="-2"/>
        </w:rPr>
        <w:t>O emissions from nitrogen leaching. The</w:t>
      </w:r>
      <w:r w:rsidR="001715C1" w:rsidRPr="001715C1">
        <w:rPr>
          <w:spacing w:val="-2"/>
        </w:rPr>
        <w:t xml:space="preserve"> </w:t>
      </w:r>
      <w:r w:rsidRPr="001715C1">
        <w:rPr>
          <w:spacing w:val="-2"/>
        </w:rPr>
        <w:t>general equation is</w:t>
      </w:r>
      <w:r w:rsidRPr="001D5327">
        <w:t>:</w:t>
      </w:r>
    </w:p>
    <w:bookmarkStart w:id="1240" w:name="_1701239732"/>
    <w:bookmarkStart w:id="1241" w:name="_1767786633"/>
    <w:bookmarkStart w:id="1242" w:name="_1767789278"/>
    <w:bookmarkEnd w:id="1240"/>
    <w:bookmarkEnd w:id="1241"/>
    <w:bookmarkEnd w:id="1242"/>
    <w:p w14:paraId="577D6E37" w14:textId="77777777" w:rsidR="00590FE1" w:rsidRPr="001D5327" w:rsidRDefault="00000000" w:rsidP="00590FE1">
      <w:pPr>
        <w:pStyle w:val="BodyText"/>
        <w:spacing w:before="0"/>
        <w:jc w:val="center"/>
        <w:rPr>
          <w:rFonts w:ascii="Cambria Math" w:hAnsi="Cambria Math" w:cs="Calibri"/>
          <w:i/>
          <w:sz w:val="24"/>
          <w:szCs w:val="24"/>
        </w:rPr>
      </w:pPr>
      <m:oMathPara>
        <m:oMath>
          <m:sSub>
            <m:sSubPr>
              <m:ctrlPr>
                <w:rPr>
                  <w:rFonts w:ascii="Cambria Math" w:hAnsi="Cambria Math"/>
                  <w:i/>
                  <w:iCs/>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iCs/>
                  <w:sz w:val="24"/>
                  <w:szCs w:val="24"/>
                </w:rPr>
              </m:ctrlPr>
            </m:sSubPr>
            <m:e>
              <m:r>
                <w:rPr>
                  <w:rFonts w:ascii="Cambria Math" w:hAnsi="Cambria Math"/>
                  <w:sz w:val="24"/>
                  <w:szCs w:val="24"/>
                </w:rPr>
                <m:t>O</m:t>
              </m:r>
            </m:e>
            <m:sub>
              <m:r>
                <w:rPr>
                  <w:rFonts w:ascii="Cambria Math" w:hAnsi="Cambria Math"/>
                  <w:sz w:val="24"/>
                  <w:szCs w:val="24"/>
                </w:rPr>
                <m:t>L</m:t>
              </m:r>
            </m:sub>
          </m:sSub>
          <m:r>
            <w:rPr>
              <w:rFonts w:ascii="Cambria Math" w:hAnsi="Cambria Math"/>
              <w:sz w:val="24"/>
              <w:szCs w:val="24"/>
            </w:rPr>
            <m:t xml:space="preserve"> emissions=</m:t>
          </m:r>
          <m:f>
            <m:fPr>
              <m:ctrlPr>
                <w:rPr>
                  <w:rFonts w:ascii="Cambria Math" w:hAnsi="Cambria Math"/>
                  <w:i/>
                  <w:iCs/>
                  <w:sz w:val="24"/>
                  <w:szCs w:val="24"/>
                </w:rPr>
              </m:ctrlPr>
            </m:fPr>
            <m:num>
              <m:r>
                <w:rPr>
                  <w:rFonts w:ascii="Cambria Math" w:hAnsi="Cambria Math"/>
                  <w:sz w:val="24"/>
                  <w:szCs w:val="24"/>
                </w:rPr>
                <m:t>44</m:t>
              </m:r>
            </m:num>
            <m:den>
              <m:r>
                <w:rPr>
                  <w:rFonts w:ascii="Cambria Math" w:hAnsi="Cambria Math"/>
                  <w:sz w:val="24"/>
                  <w:szCs w:val="24"/>
                </w:rPr>
                <m:t>28</m:t>
              </m:r>
            </m:den>
          </m:f>
          <m:d>
            <m:dPr>
              <m:ctrlPr>
                <w:rPr>
                  <w:rFonts w:ascii="Cambria Math" w:hAnsi="Cambria Math"/>
                  <w:i/>
                  <w:iCs/>
                  <w:sz w:val="24"/>
                  <w:szCs w:val="24"/>
                </w:rPr>
              </m:ctrlPr>
            </m:dPr>
            <m:e>
              <m:sSub>
                <m:sSubPr>
                  <m:ctrlPr>
                    <w:rPr>
                      <w:rFonts w:ascii="Cambria Math" w:hAnsi="Cambria Math"/>
                      <w:i/>
                      <w:iCs/>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iCs/>
                      <w:sz w:val="24"/>
                      <w:szCs w:val="24"/>
                    </w:rPr>
                  </m:ctrlPr>
                </m:sSubPr>
                <m:e>
                  <m:r>
                    <w:rPr>
                      <w:rFonts w:ascii="Cambria Math" w:hAnsi="Cambria Math"/>
                      <w:sz w:val="24"/>
                      <w:szCs w:val="24"/>
                    </w:rPr>
                    <m:t>O</m:t>
                  </m:r>
                </m:e>
                <m:sub>
                  <m:r>
                    <w:rPr>
                      <w:rFonts w:ascii="Cambria Math" w:hAnsi="Cambria Math"/>
                      <w:sz w:val="24"/>
                      <w:szCs w:val="24"/>
                    </w:rPr>
                    <m:t>L</m:t>
                  </m:r>
                </m:sub>
              </m:sSub>
              <m:r>
                <w:rPr>
                  <w:rFonts w:ascii="Cambria Math" w:hAnsi="Cambria Math"/>
                  <w:sz w:val="24"/>
                  <w:szCs w:val="24"/>
                </w:rPr>
                <m:t>-N</m:t>
              </m:r>
            </m:e>
          </m:d>
        </m:oMath>
      </m:oMathPara>
    </w:p>
    <w:p w14:paraId="01FA116C" w14:textId="77777777" w:rsidR="00590FE1" w:rsidRPr="001D5327" w:rsidRDefault="00590FE1" w:rsidP="00590FE1">
      <w:pPr>
        <w:pStyle w:val="BodyText"/>
        <w:spacing w:before="60"/>
        <w:rPr>
          <w:rFonts w:cs="Calibri"/>
        </w:rPr>
      </w:pPr>
      <w:r w:rsidRPr="001D5327">
        <w:rPr>
          <w:rFonts w:cs="Calibri"/>
        </w:rPr>
        <w:t xml:space="preserve">The following are specific equations used to calculate </w:t>
      </w:r>
      <w:r w:rsidRPr="001D5327">
        <w:t>indirect N</w:t>
      </w:r>
      <w:r w:rsidRPr="001D5327">
        <w:rPr>
          <w:vertAlign w:val="subscript"/>
        </w:rPr>
        <w:t>2</w:t>
      </w:r>
      <w:r w:rsidRPr="001D5327">
        <w:t>O emissions from nitrogen leaching for cropping systems, grassland and synthetic nitrogen fertilisers:</w:t>
      </w:r>
    </w:p>
    <w:p w14:paraId="717AFCC0" w14:textId="77777777" w:rsidR="00590FE1" w:rsidRPr="001D5327" w:rsidRDefault="00000000" w:rsidP="00590FE1">
      <w:pPr>
        <w:pStyle w:val="BodyText"/>
        <w:spacing w:before="60"/>
        <w:jc w:val="center"/>
        <w:rPr>
          <w:rFonts w:cs="Calibri"/>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L</m:t>
              </m:r>
            </m:sub>
          </m:sSub>
          <m:r>
            <w:rPr>
              <w:rFonts w:ascii="Cambria Math" w:hAnsi="Cambria Math"/>
              <w:sz w:val="24"/>
              <w:szCs w:val="24"/>
            </w:rPr>
            <m:t xml:space="preserve"> emissions (cropping systems)=</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CR</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SOM</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LEACH-H(CROPPING)</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5</m:t>
              </m:r>
            </m:sub>
          </m:sSub>
        </m:oMath>
      </m:oMathPara>
    </w:p>
    <w:p w14:paraId="163F4B84" w14:textId="77777777" w:rsidR="00590FE1" w:rsidRPr="001D5327" w:rsidRDefault="00000000" w:rsidP="00590FE1">
      <w:pPr>
        <w:pStyle w:val="BodyText"/>
        <w:jc w:val="center"/>
        <w:rPr>
          <w:rFonts w:cs="Calibri"/>
          <w:sz w:val="24"/>
          <w:szCs w:val="24"/>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L</m:t>
              </m:r>
            </m:sub>
          </m:sSub>
          <m:r>
            <w:rPr>
              <w:rFonts w:ascii="Cambria Math" w:hAnsi="Cambria Math"/>
              <w:sz w:val="24"/>
              <w:szCs w:val="24"/>
            </w:rPr>
            <m:t xml:space="preserve"> emissions (grassland)=</m:t>
          </m:r>
          <m:f>
            <m:fPr>
              <m:ctrlPr>
                <w:rPr>
                  <w:rFonts w:ascii="Cambria Math" w:hAnsi="Cambria Math"/>
                  <w:i/>
                  <w:sz w:val="24"/>
                  <w:szCs w:val="24"/>
                </w:rPr>
              </m:ctrlPr>
            </m:fPr>
            <m:num>
              <m:r>
                <w:rPr>
                  <w:rFonts w:ascii="Cambria Math" w:hAnsi="Cambria Math"/>
                  <w:sz w:val="24"/>
                  <w:szCs w:val="24"/>
                </w:rPr>
                <m:t>44</m:t>
              </m:r>
            </m:num>
            <m:den>
              <m:r>
                <w:rPr>
                  <w:rFonts w:ascii="Cambria Math" w:hAnsi="Cambria Math"/>
                  <w:sz w:val="24"/>
                  <w:szCs w:val="24"/>
                </w:rPr>
                <m:t>28</m:t>
              </m:r>
            </m:den>
          </m:f>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CR</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ON</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PRP</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LEACH-H(GRASSLAND)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EF</m:t>
              </m:r>
            </m:e>
            <m:sub>
              <m:r>
                <w:rPr>
                  <w:rFonts w:ascii="Cambria Math" w:hAnsi="Cambria Math"/>
                  <w:sz w:val="24"/>
                  <w:szCs w:val="24"/>
                </w:rPr>
                <m:t>5</m:t>
              </m:r>
            </m:sub>
          </m:sSub>
        </m:oMath>
      </m:oMathPara>
    </w:p>
    <w:p w14:paraId="1540B171" w14:textId="77777777" w:rsidR="00590FE1" w:rsidRPr="001D5327" w:rsidRDefault="00000000" w:rsidP="00590FE1">
      <w:pPr>
        <w:spacing w:after="120"/>
        <w:rPr>
          <w:rFonts w:asciiTheme="minorHAnsi" w:eastAsiaTheme="minorEastAsia" w:hAnsiTheme="minorHAnsi"/>
          <w:sz w:val="24"/>
        </w:rPr>
      </w:pPr>
      <m:oMathPara>
        <m:oMathParaPr>
          <m:jc m:val="center"/>
        </m:oMathParaPr>
        <m:oMath>
          <m:sSub>
            <m:sSubPr>
              <m:ctrlPr>
                <w:rPr>
                  <w:rFonts w:ascii="Cambria Math" w:hAnsi="Cambria Math"/>
                  <w:i/>
                  <w:sz w:val="24"/>
                </w:rPr>
              </m:ctrlPr>
            </m:sSubPr>
            <m:e>
              <m:r>
                <w:rPr>
                  <w:rFonts w:ascii="Cambria Math" w:hAnsi="Cambria Math"/>
                  <w:sz w:val="24"/>
                </w:rPr>
                <m:t>N</m:t>
              </m:r>
            </m:e>
            <m:sub>
              <m:r>
                <w:rPr>
                  <w:rFonts w:ascii="Cambria Math" w:hAnsi="Cambria Math"/>
                  <w:sz w:val="24"/>
                </w:rPr>
                <m:t>2</m:t>
              </m:r>
            </m:sub>
          </m:sSub>
          <m:sSub>
            <m:sSubPr>
              <m:ctrlPr>
                <w:rPr>
                  <w:rFonts w:ascii="Cambria Math" w:hAnsi="Cambria Math"/>
                  <w:i/>
                  <w:sz w:val="24"/>
                </w:rPr>
              </m:ctrlPr>
            </m:sSubPr>
            <m:e>
              <m:r>
                <w:rPr>
                  <w:rFonts w:ascii="Cambria Math" w:hAnsi="Cambria Math"/>
                  <w:sz w:val="24"/>
                </w:rPr>
                <m:t>O</m:t>
              </m:r>
            </m:e>
            <m:sub>
              <m:r>
                <w:rPr>
                  <w:rFonts w:ascii="Cambria Math" w:hAnsi="Cambria Math"/>
                  <w:sz w:val="24"/>
                </w:rPr>
                <m:t>L</m:t>
              </m:r>
            </m:sub>
          </m:sSub>
          <m:r>
            <w:rPr>
              <w:rFonts w:ascii="Cambria Math" w:hAnsi="Cambria Math"/>
              <w:sz w:val="24"/>
            </w:rPr>
            <m:t xml:space="preserve"> emissions (synthetic N fertiliser)=</m:t>
          </m:r>
          <m:f>
            <m:fPr>
              <m:ctrlPr>
                <w:rPr>
                  <w:rFonts w:ascii="Cambria Math" w:hAnsi="Cambria Math"/>
                  <w:i/>
                  <w:sz w:val="24"/>
                </w:rPr>
              </m:ctrlPr>
            </m:fPr>
            <m:num>
              <m:r>
                <w:rPr>
                  <w:rFonts w:ascii="Cambria Math" w:hAnsi="Cambria Math"/>
                  <w:sz w:val="24"/>
                </w:rPr>
                <m:t>44</m:t>
              </m:r>
            </m:num>
            <m:den>
              <m:r>
                <w:rPr>
                  <w:rFonts w:ascii="Cambria Math" w:hAnsi="Cambria Math"/>
                  <w:sz w:val="24"/>
                </w:rPr>
                <m:t>28</m:t>
              </m:r>
            </m:den>
          </m:f>
          <m:r>
            <w:rPr>
              <w:rFonts w:ascii="Cambria Math" w:hAnsi="Cambria Math"/>
              <w:sz w:val="24"/>
            </w:rPr>
            <m:t>∙</m:t>
          </m:r>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F</m:t>
                  </m:r>
                </m:e>
                <m:sub>
                  <m:r>
                    <w:rPr>
                      <w:rFonts w:ascii="Cambria Math" w:hAnsi="Cambria Math"/>
                      <w:sz w:val="24"/>
                    </w:rPr>
                    <m:t>SN</m:t>
                  </m:r>
                </m:sub>
              </m:sSub>
            </m:e>
          </m:d>
          <m:r>
            <w:rPr>
              <w:rFonts w:ascii="Cambria Math" w:hAnsi="Cambria Math"/>
              <w:sz w:val="24"/>
            </w:rPr>
            <m:t>∙</m:t>
          </m:r>
          <m:sSub>
            <m:sSubPr>
              <m:ctrlPr>
                <w:rPr>
                  <w:rFonts w:ascii="Cambria Math" w:hAnsi="Cambria Math"/>
                  <w:i/>
                  <w:sz w:val="24"/>
                </w:rPr>
              </m:ctrlPr>
            </m:sSubPr>
            <m:e>
              <m:r>
                <w:rPr>
                  <w:rFonts w:ascii="Cambria Math" w:hAnsi="Cambria Math"/>
                  <w:sz w:val="24"/>
                </w:rPr>
                <m:t>Frac</m:t>
              </m:r>
            </m:e>
            <m:sub>
              <m:r>
                <w:rPr>
                  <w:rFonts w:ascii="Cambria Math" w:hAnsi="Cambria Math"/>
                  <w:sz w:val="24"/>
                </w:rPr>
                <m:t>LEACH-H(FERTILISER)</m:t>
              </m:r>
            </m:sub>
          </m:sSub>
          <m:r>
            <w:rPr>
              <w:rFonts w:ascii="Cambria Math" w:hAnsi="Cambria Math"/>
              <w:sz w:val="24"/>
            </w:rPr>
            <m:t>∙</m:t>
          </m:r>
          <m:sSub>
            <m:sSubPr>
              <m:ctrlPr>
                <w:rPr>
                  <w:rFonts w:ascii="Cambria Math" w:hAnsi="Cambria Math"/>
                  <w:i/>
                  <w:sz w:val="24"/>
                </w:rPr>
              </m:ctrlPr>
            </m:sSubPr>
            <m:e>
              <m:r>
                <w:rPr>
                  <w:rFonts w:ascii="Cambria Math" w:hAnsi="Cambria Math"/>
                  <w:sz w:val="24"/>
                </w:rPr>
                <m:t>EF</m:t>
              </m:r>
            </m:e>
            <m:sub>
              <m:r>
                <w:rPr>
                  <w:rFonts w:ascii="Cambria Math" w:hAnsi="Cambria Math"/>
                  <w:sz w:val="24"/>
                </w:rPr>
                <m:t>5</m:t>
              </m:r>
            </m:sub>
          </m:sSub>
        </m:oMath>
      </m:oMathPara>
    </w:p>
    <w:p w14:paraId="6DE3EF26" w14:textId="77777777" w:rsidR="00590FE1" w:rsidRPr="001D5327" w:rsidRDefault="00590FE1" w:rsidP="005D134A">
      <w:pPr>
        <w:pStyle w:val="BodyText"/>
        <w:spacing w:after="20"/>
        <w:ind w:left="851" w:hanging="851"/>
        <w:rPr>
          <w:rFonts w:cs="Calibri"/>
        </w:rPr>
      </w:pPr>
      <w:r w:rsidRPr="001D5327">
        <w:rPr>
          <w:rFonts w:cs="Calibri"/>
        </w:rPr>
        <w:t>Where:</w:t>
      </w:r>
      <w:r w:rsidRPr="001D5327">
        <w:rPr>
          <w:rFonts w:cs="Calibri"/>
        </w:rPr>
        <w:tab/>
        <w:t>N</w:t>
      </w:r>
      <w:r w:rsidRPr="001D5327">
        <w:rPr>
          <w:rFonts w:cs="Calibri"/>
          <w:vertAlign w:val="subscript"/>
        </w:rPr>
        <w:t>2</w:t>
      </w:r>
      <w:r w:rsidRPr="001D5327">
        <w:rPr>
          <w:rFonts w:cs="Calibri"/>
        </w:rPr>
        <w:t>O</w:t>
      </w:r>
      <w:r w:rsidRPr="001D5327">
        <w:rPr>
          <w:rFonts w:cs="Calibri"/>
          <w:vertAlign w:val="subscript"/>
        </w:rPr>
        <w:t>L</w:t>
      </w:r>
      <w:r w:rsidRPr="001D5327">
        <w:rPr>
          <w:rFonts w:cs="Calibri"/>
        </w:rPr>
        <w:t>–N is the annual amount of N</w:t>
      </w:r>
      <w:r w:rsidRPr="001D5327">
        <w:rPr>
          <w:rFonts w:cs="Calibri"/>
          <w:vertAlign w:val="subscript"/>
        </w:rPr>
        <w:t>2</w:t>
      </w:r>
      <w:r w:rsidRPr="001D5327">
        <w:rPr>
          <w:rFonts w:cs="Calibri"/>
        </w:rPr>
        <w:t>O-N from runoff and leaching from agricultural soils (kg N</w:t>
      </w:r>
      <w:r w:rsidRPr="001D5327">
        <w:rPr>
          <w:rFonts w:cs="Calibri"/>
          <w:vertAlign w:val="subscript"/>
        </w:rPr>
        <w:t>2</w:t>
      </w:r>
      <w:r w:rsidRPr="001D5327">
        <w:rPr>
          <w:rFonts w:cs="Calibri"/>
        </w:rPr>
        <w:t>O-N/year)</w:t>
      </w:r>
    </w:p>
    <w:p w14:paraId="5C5A805C" w14:textId="77777777" w:rsidR="00590FE1" w:rsidRPr="001D5327" w:rsidRDefault="00590FE1" w:rsidP="005D134A">
      <w:pPr>
        <w:pStyle w:val="BodyText"/>
        <w:spacing w:before="20" w:after="20"/>
        <w:ind w:left="851"/>
      </w:pPr>
      <w:r w:rsidRPr="001D5327">
        <w:t>F</w:t>
      </w:r>
      <w:r w:rsidRPr="001D5327">
        <w:rPr>
          <w:vertAlign w:val="subscript"/>
        </w:rPr>
        <w:t>SN</w:t>
      </w:r>
      <w:r w:rsidRPr="001D5327">
        <w:t>, F</w:t>
      </w:r>
      <w:r w:rsidRPr="001D5327">
        <w:rPr>
          <w:vertAlign w:val="subscript"/>
        </w:rPr>
        <w:t>ON</w:t>
      </w:r>
      <w:r w:rsidRPr="001D5327">
        <w:t>, F</w:t>
      </w:r>
      <w:r w:rsidRPr="001D5327">
        <w:rPr>
          <w:vertAlign w:val="subscript"/>
        </w:rPr>
        <w:t>PRP</w:t>
      </w:r>
      <w:r w:rsidRPr="001D5327">
        <w:t>, F</w:t>
      </w:r>
      <w:r w:rsidRPr="001D5327">
        <w:rPr>
          <w:vertAlign w:val="subscript"/>
        </w:rPr>
        <w:t>CR</w:t>
      </w:r>
      <w:r w:rsidRPr="001D5327">
        <w:t xml:space="preserve"> and F</w:t>
      </w:r>
      <w:r w:rsidRPr="001D5327">
        <w:rPr>
          <w:vertAlign w:val="subscript"/>
        </w:rPr>
        <w:t>SOM</w:t>
      </w:r>
      <w:r w:rsidRPr="001D5327">
        <w:t xml:space="preserve"> are defined above (kg N/year)</w:t>
      </w:r>
    </w:p>
    <w:p w14:paraId="16FB377F" w14:textId="77777777" w:rsidR="00590FE1" w:rsidRPr="001D5327" w:rsidRDefault="00590FE1" w:rsidP="005D134A">
      <w:pPr>
        <w:pStyle w:val="BodyText"/>
        <w:spacing w:before="20" w:after="20"/>
        <w:ind w:left="851"/>
      </w:pPr>
      <w:r w:rsidRPr="001D5327">
        <w:t>Frac</w:t>
      </w:r>
      <w:r w:rsidRPr="001D5327">
        <w:rPr>
          <w:vertAlign w:val="subscript"/>
        </w:rPr>
        <w:t>LEACH-H(CROPPING)</w:t>
      </w:r>
      <w:r w:rsidRPr="001D5327">
        <w:t xml:space="preserve"> is the fraction of nitrogen added to, or mineralised from, cropping systems that is lost from soil through leaching and runoff (see table 5.5.4)</w:t>
      </w:r>
    </w:p>
    <w:p w14:paraId="3E8CB018" w14:textId="77777777" w:rsidR="00590FE1" w:rsidRPr="001D5327" w:rsidRDefault="00590FE1" w:rsidP="005D134A">
      <w:pPr>
        <w:pStyle w:val="BodyText"/>
        <w:spacing w:before="20" w:after="20"/>
        <w:ind w:left="851"/>
      </w:pPr>
      <w:r w:rsidRPr="001D5327">
        <w:lastRenderedPageBreak/>
        <w:t>Frac</w:t>
      </w:r>
      <w:r w:rsidRPr="001D5327">
        <w:rPr>
          <w:vertAlign w:val="subscript"/>
        </w:rPr>
        <w:t>LEACH-H(GRASSLAND)</w:t>
      </w:r>
      <w:r w:rsidRPr="001D5327">
        <w:t xml:space="preserve"> is the fraction of nitrogen added to, or mineralised from, grassland that is lost from soil through leaching and runoff (see table 5.5.4)</w:t>
      </w:r>
    </w:p>
    <w:p w14:paraId="364C61F6" w14:textId="77777777" w:rsidR="00590FE1" w:rsidRPr="001D5327" w:rsidRDefault="00590FE1" w:rsidP="005D134A">
      <w:pPr>
        <w:pStyle w:val="BodyText"/>
        <w:spacing w:before="20" w:after="20"/>
        <w:ind w:left="851"/>
      </w:pPr>
      <w:r w:rsidRPr="001D5327">
        <w:t>Frac</w:t>
      </w:r>
      <w:r w:rsidRPr="001D5327">
        <w:rPr>
          <w:vertAlign w:val="subscript"/>
        </w:rPr>
        <w:t>LEACH-H(FERTILISER)</w:t>
      </w:r>
      <w:r w:rsidRPr="001D5327">
        <w:t xml:space="preserve"> is the fraction of nitrogen added to, or mineralised from, synthetic nitrogen fertiliser that is lost from soil through leaching and runoff, and</w:t>
      </w:r>
    </w:p>
    <w:p w14:paraId="2B56DAA8" w14:textId="77777777" w:rsidR="00590FE1" w:rsidRPr="001D5327" w:rsidRDefault="00590FE1" w:rsidP="005D134A">
      <w:pPr>
        <w:pStyle w:val="BodyText"/>
        <w:spacing w:before="20"/>
        <w:ind w:left="851"/>
      </w:pPr>
      <w:r w:rsidRPr="001D5327">
        <w:t>EF</w:t>
      </w:r>
      <w:r w:rsidRPr="001D5327">
        <w:rPr>
          <w:vertAlign w:val="subscript"/>
        </w:rPr>
        <w:t>5</w:t>
      </w:r>
      <w:r w:rsidRPr="001D5327">
        <w:t xml:space="preserve"> is the IPCC (2006) default factor for N</w:t>
      </w:r>
      <w:r w:rsidRPr="001D5327">
        <w:rPr>
          <w:vertAlign w:val="subscript"/>
        </w:rPr>
        <w:t>2</w:t>
      </w:r>
      <w:r w:rsidRPr="001D5327">
        <w:t xml:space="preserve">O emissions from leaching and runoff. </w:t>
      </w:r>
    </w:p>
    <w:p w14:paraId="3E0F3307" w14:textId="77777777" w:rsidR="00590FE1" w:rsidRPr="001D5327" w:rsidRDefault="00590FE1" w:rsidP="00590FE1">
      <w:pPr>
        <w:pStyle w:val="BodyText"/>
        <w:spacing w:before="100" w:after="100"/>
      </w:pPr>
      <w:r w:rsidRPr="001D5327">
        <w:rPr>
          <w:rFonts w:cs="Calibri"/>
        </w:rPr>
        <w:t>New Zealand uses differing Frac</w:t>
      </w:r>
      <w:r w:rsidRPr="001D5327">
        <w:rPr>
          <w:rFonts w:cs="Calibri"/>
          <w:vertAlign w:val="subscript"/>
        </w:rPr>
        <w:t>LEACH</w:t>
      </w:r>
      <w:r w:rsidRPr="001D5327">
        <w:rPr>
          <w:rFonts w:cs="Calibri"/>
        </w:rPr>
        <w:t xml:space="preserve"> parameters that are dependent on the type of agricultural system the nitrogen has been applied to. These values were derived using measured values, as well as modelled values from </w:t>
      </w:r>
      <w:r w:rsidRPr="001D5327">
        <w:t xml:space="preserve">OverseerFM, a </w:t>
      </w:r>
      <w:r w:rsidRPr="001D5327" w:rsidDel="00F646F3">
        <w:rPr>
          <w:rFonts w:cs="Calibri"/>
        </w:rPr>
        <w:t xml:space="preserve">New </w:t>
      </w:r>
      <w:r w:rsidRPr="001D5327">
        <w:rPr>
          <w:rFonts w:cs="Calibri"/>
        </w:rPr>
        <w:t>Zealand</w:t>
      </w:r>
      <w:r w:rsidRPr="001D5327">
        <w:t xml:space="preserve">-specific nutrient budgeting model. </w:t>
      </w:r>
      <w:r w:rsidRPr="001D5327">
        <w:rPr>
          <w:spacing w:val="-2"/>
        </w:rPr>
        <w:t>The Frac</w:t>
      </w:r>
      <w:r w:rsidRPr="001D5327">
        <w:rPr>
          <w:spacing w:val="-2"/>
          <w:vertAlign w:val="subscript"/>
        </w:rPr>
        <w:t>LEACH</w:t>
      </w:r>
      <w:r w:rsidRPr="001D5327">
        <w:rPr>
          <w:spacing w:val="-2"/>
        </w:rPr>
        <w:t xml:space="preserve"> value is 0.10 for nitrogen applied to cropland and 0.08 for grassland (Welten et al., 2021</w:t>
      </w:r>
      <w:r w:rsidRPr="001D5327">
        <w:t>). The Frac</w:t>
      </w:r>
      <w:r w:rsidRPr="001D5327">
        <w:rPr>
          <w:vertAlign w:val="subscript"/>
        </w:rPr>
        <w:t>LEACH</w:t>
      </w:r>
      <w:r w:rsidRPr="001D5327">
        <w:t xml:space="preserve"> value for synthetic nitrogen fertiliser applied to grassland and cropland is 0.082. This is a weighted average of nitrogen applied to cropland and grassland based on data from Stats NZ (2021) indicating that this is applied at a 90:10 ratio to grassland and cropland. Data back to 1990 show minimal fluctuations in this ratio, so it has been assumed that this nitrogen application remains static for the current inventory submission. Future inventory submissions may modify this Frac</w:t>
      </w:r>
      <w:r w:rsidRPr="001D5327">
        <w:rPr>
          <w:vertAlign w:val="subscript"/>
        </w:rPr>
        <w:t>LEACH</w:t>
      </w:r>
      <w:r w:rsidRPr="001D5327">
        <w:t xml:space="preserve"> value if there is evidence the 90:10 ratio has changed.</w:t>
      </w:r>
    </w:p>
    <w:p w14:paraId="68255EC5" w14:textId="77777777" w:rsidR="00590FE1" w:rsidRPr="001D5327" w:rsidRDefault="00590FE1" w:rsidP="00590FE1">
      <w:pPr>
        <w:pStyle w:val="BodyText"/>
        <w:spacing w:before="100" w:after="100"/>
      </w:pPr>
      <w:r w:rsidRPr="001D5327">
        <w:t>The OverseerFM model provides average estimates of the leaching and runoff of nitrogen for a range of pastoral, arable and horticultural systems. In pastoral systems, OverseerFM derived nitrate (NO</w:t>
      </w:r>
      <w:r w:rsidRPr="001D5327">
        <w:rPr>
          <w:vertAlign w:val="subscript"/>
        </w:rPr>
        <w:t>3</w:t>
      </w:r>
      <w:r w:rsidRPr="001D5327">
        <w:t>–) leaching is determined by rainfall, soil type and the amount of nitrogen entering the farm system (from nitrogen-based fertilisers, dung and urine applied as farm dairy effluent or directly excreted by grazing animals). Dung and urine output from animals is calculated from the difference between nitrogen intake by grazing animals and nitrogen retained in animal products, such as milk, meat, wool and velvet. This is based on user inputs of stocking rates and production using an internal database with information on the nitrogen content of pasture and animal products. Resulting values are calibrated against empirical field measurements. In cropping systems, two years (previous and reporting) of monthly crop and management data are required for modelling NO</w:t>
      </w:r>
      <w:r w:rsidRPr="001D5327">
        <w:rPr>
          <w:vertAlign w:val="subscript"/>
        </w:rPr>
        <w:t xml:space="preserve">3 </w:t>
      </w:r>
      <w:r w:rsidRPr="001D5327">
        <w:t xml:space="preserve">leaching in OverseerFM. This data includes nitrogen applied as fertiliser and effluent, as well as factors influencing or indicating the water content of soil, such as temperature, irrigation, rainfall, drainage and field capacity. </w:t>
      </w:r>
    </w:p>
    <w:p w14:paraId="7CB1937D" w14:textId="77777777" w:rsidR="00590FE1" w:rsidRPr="001D5327" w:rsidRDefault="00590FE1" w:rsidP="00590FE1">
      <w:pPr>
        <w:pStyle w:val="BodyText"/>
        <w:spacing w:before="100" w:after="100"/>
      </w:pPr>
      <w:r w:rsidRPr="001D5327">
        <w:t xml:space="preserve">In 2023, </w:t>
      </w:r>
      <w:r w:rsidRPr="001D5327">
        <w:rPr>
          <w:spacing w:val="-2"/>
        </w:rPr>
        <w:t>N</w:t>
      </w:r>
      <w:r w:rsidRPr="001D5327">
        <w:rPr>
          <w:spacing w:val="-2"/>
          <w:vertAlign w:val="subscript"/>
        </w:rPr>
        <w:t>2</w:t>
      </w:r>
      <w:r w:rsidRPr="001D5327">
        <w:rPr>
          <w:spacing w:val="-2"/>
        </w:rPr>
        <w:t>O</w:t>
      </w:r>
      <w:r w:rsidRPr="001D5327">
        <w:t xml:space="preserve"> emissions from leaching and runoff made up 1.2 per cent (476.1 kt CO</w:t>
      </w:r>
      <w:r w:rsidRPr="001D5327">
        <w:rPr>
          <w:vertAlign w:val="subscript"/>
        </w:rPr>
        <w:t>2</w:t>
      </w:r>
      <w:r w:rsidRPr="001D5327">
        <w:t>-e) of total agricultural emissions, an increase of 21.3 per cent from the 1990 value of 392.6 kt CO</w:t>
      </w:r>
      <w:r w:rsidRPr="001D5327">
        <w:rPr>
          <w:vertAlign w:val="subscript"/>
        </w:rPr>
        <w:t>2</w:t>
      </w:r>
      <w:r w:rsidRPr="001D5327">
        <w:t>-e.</w:t>
      </w:r>
    </w:p>
    <w:p w14:paraId="43742024" w14:textId="77777777" w:rsidR="00590FE1" w:rsidRPr="001D5327" w:rsidRDefault="00590FE1" w:rsidP="00590FE1">
      <w:pPr>
        <w:pStyle w:val="Heading4"/>
      </w:pPr>
      <w:r w:rsidRPr="001D5327">
        <w:t>Incorporation of nitrous oxide mitigation technologies into the Agriculture inventory model</w:t>
      </w:r>
    </w:p>
    <w:p w14:paraId="5901D720" w14:textId="77777777" w:rsidR="00590FE1" w:rsidRPr="001D5327" w:rsidRDefault="00590FE1" w:rsidP="00590FE1">
      <w:pPr>
        <w:pStyle w:val="Heading5"/>
        <w:spacing w:before="180"/>
      </w:pPr>
      <w:r w:rsidRPr="001D5327">
        <w:t xml:space="preserve">Urease inhibitors </w:t>
      </w:r>
    </w:p>
    <w:p w14:paraId="36A6BC7E" w14:textId="77777777" w:rsidR="00590FE1" w:rsidRPr="001D5327" w:rsidRDefault="00590FE1" w:rsidP="00590FE1">
      <w:pPr>
        <w:pStyle w:val="BodyText"/>
        <w:spacing w:before="100" w:after="100"/>
        <w:rPr>
          <w:spacing w:val="-2"/>
        </w:rPr>
      </w:pPr>
      <w:r w:rsidRPr="001D5327">
        <w:rPr>
          <w:spacing w:val="-2"/>
        </w:rPr>
        <w:t>The N</w:t>
      </w:r>
      <w:r w:rsidRPr="001D5327">
        <w:rPr>
          <w:spacing w:val="-2"/>
          <w:vertAlign w:val="subscript"/>
        </w:rPr>
        <w:t>2</w:t>
      </w:r>
      <w:r w:rsidRPr="001D5327">
        <w:rPr>
          <w:spacing w:val="-2"/>
        </w:rPr>
        <w:t xml:space="preserve">O emissions reported in the </w:t>
      </w:r>
      <w:r w:rsidRPr="001D5327">
        <w:rPr>
          <w:i/>
          <w:iCs/>
          <w:spacing w:val="-2"/>
        </w:rPr>
        <w:t>Agricultural soils</w:t>
      </w:r>
      <w:r w:rsidRPr="001D5327">
        <w:rPr>
          <w:spacing w:val="-2"/>
        </w:rPr>
        <w:t xml:space="preserve"> category take into account the use of urease inhibitors, a greenhouse gas mitigation technology. Urea is the main type of synthetic nitrogen fertiliser applied to pastures. Urease inhibitors restrict the action of the urease enzyme. Urease is a catalyst for the volatilisation of the nitrogen contained in urea fertiliser and urine into NH</w:t>
      </w:r>
      <w:r w:rsidRPr="001D5327">
        <w:rPr>
          <w:spacing w:val="-2"/>
          <w:vertAlign w:val="subscript"/>
        </w:rPr>
        <w:t>3</w:t>
      </w:r>
      <w:r w:rsidRPr="001D5327">
        <w:rPr>
          <w:spacing w:val="-2"/>
        </w:rPr>
        <w:t xml:space="preserve"> gas. </w:t>
      </w:r>
    </w:p>
    <w:p w14:paraId="359A0DC2" w14:textId="77777777" w:rsidR="00590FE1" w:rsidRPr="001D5327" w:rsidRDefault="00590FE1" w:rsidP="00590FE1">
      <w:pPr>
        <w:pStyle w:val="BodyText"/>
        <w:spacing w:before="100" w:after="100"/>
        <w:rPr>
          <w:spacing w:val="-2"/>
        </w:rPr>
      </w:pPr>
      <w:r w:rsidRPr="001D5327">
        <w:rPr>
          <w:spacing w:val="-2"/>
        </w:rPr>
        <w:t>Urease inhibitor mitigation is included in New Zealand’s Agriculture inventory model by adjusting the value of the existing country-specific N</w:t>
      </w:r>
      <w:r w:rsidRPr="001D5327">
        <w:rPr>
          <w:spacing w:val="-2"/>
          <w:vertAlign w:val="subscript"/>
        </w:rPr>
        <w:t>2</w:t>
      </w:r>
      <w:r w:rsidRPr="001D5327">
        <w:rPr>
          <w:spacing w:val="-2"/>
        </w:rPr>
        <w:t>O parameter: Frac</w:t>
      </w:r>
      <w:r w:rsidRPr="001D5327">
        <w:rPr>
          <w:spacing w:val="-2"/>
          <w:vertAlign w:val="subscript"/>
        </w:rPr>
        <w:t>GASF</w:t>
      </w:r>
      <w:r w:rsidRPr="001D5327">
        <w:rPr>
          <w:spacing w:val="-2"/>
        </w:rPr>
        <w:t>. Saggar et al. (2013) assessed the mitigating effect of the urease inhibitor nBTPT (sold as ‘Agrotain’), the most widely used urease inhibitor. Saggar et al. (2013) showed that the presently recommended country-specific value of Frac</w:t>
      </w:r>
      <w:r w:rsidRPr="001D5327">
        <w:rPr>
          <w:spacing w:val="-2"/>
          <w:vertAlign w:val="subscript"/>
        </w:rPr>
        <w:t>GASF</w:t>
      </w:r>
      <w:r w:rsidRPr="001D5327">
        <w:rPr>
          <w:spacing w:val="-2"/>
        </w:rPr>
        <w:t xml:space="preserve"> of 0.1 should be reduced to 0.055 for urease-treated urea fertiliser. This finding was based on field and laboratory studies conducted both in </w:t>
      </w:r>
      <w:r w:rsidRPr="001D5327" w:rsidDel="004238AD">
        <w:rPr>
          <w:spacing w:val="-2"/>
        </w:rPr>
        <w:t>New</w:t>
      </w:r>
      <w:r w:rsidRPr="001D5327">
        <w:rPr>
          <w:spacing w:val="-2"/>
        </w:rPr>
        <w:t> Zealand and worldwide.</w:t>
      </w:r>
    </w:p>
    <w:p w14:paraId="720E9919" w14:textId="77777777" w:rsidR="00590FE1" w:rsidRPr="001D5327" w:rsidRDefault="00590FE1" w:rsidP="001240F8">
      <w:pPr>
        <w:pStyle w:val="BodyText"/>
        <w:spacing w:before="100" w:after="80"/>
      </w:pPr>
      <w:r w:rsidRPr="001D5327">
        <w:t>Indirect N</w:t>
      </w:r>
      <w:r w:rsidRPr="001D5327">
        <w:rPr>
          <w:vertAlign w:val="subscript"/>
        </w:rPr>
        <w:t>2</w:t>
      </w:r>
      <w:r w:rsidRPr="001D5327">
        <w:t>O emissions from volatilisation from all synthetic nitrogen fertilisers (including urea and other nitrogen fertilisers, with and without urease inhibitors applied to the urea component) are calculated as shown below:</w:t>
      </w:r>
    </w:p>
    <w:bookmarkStart w:id="1243" w:name="_1767787235"/>
    <w:bookmarkStart w:id="1244" w:name="_1767789425"/>
    <w:bookmarkEnd w:id="1243"/>
    <w:bookmarkEnd w:id="1244"/>
    <w:p w14:paraId="35145B2E" w14:textId="77777777" w:rsidR="00590FE1" w:rsidRPr="001D5327" w:rsidRDefault="00000000" w:rsidP="00590FE1">
      <w:pPr>
        <w:pStyle w:val="BodyText"/>
        <w:spacing w:before="60" w:after="80"/>
        <w:jc w:val="center"/>
      </w:pPr>
      <m:oMathPara>
        <m:oMath>
          <m:sSub>
            <m:sSubPr>
              <m:ctrlPr>
                <w:rPr>
                  <w:rFonts w:ascii="Cambria Math" w:hAnsi="Cambria Math"/>
                  <w:i/>
                  <w:sz w:val="24"/>
                </w:rPr>
              </m:ctrlPr>
            </m:sSubPr>
            <m:e>
              <m:r>
                <w:rPr>
                  <w:rFonts w:ascii="Cambria Math" w:hAnsi="Cambria Math"/>
                  <w:sz w:val="24"/>
                </w:rPr>
                <m:t>N</m:t>
              </m:r>
            </m:e>
            <m:sub>
              <m:r>
                <w:rPr>
                  <w:rFonts w:ascii="Cambria Math" w:hAnsi="Cambria Math"/>
                  <w:sz w:val="24"/>
                </w:rPr>
                <m:t>2</m:t>
              </m:r>
            </m:sub>
          </m:sSub>
          <m:sSub>
            <m:sSubPr>
              <m:ctrlPr>
                <w:rPr>
                  <w:rFonts w:ascii="Cambria Math" w:hAnsi="Cambria Math"/>
                  <w:i/>
                  <w:sz w:val="24"/>
                </w:rPr>
              </m:ctrlPr>
            </m:sSubPr>
            <m:e>
              <m:r>
                <w:rPr>
                  <w:rFonts w:ascii="Cambria Math" w:hAnsi="Cambria Math"/>
                  <w:sz w:val="24"/>
                </w:rPr>
                <m:t>O</m:t>
              </m:r>
            </m:e>
            <m:sub>
              <m:r>
                <w:rPr>
                  <w:rFonts w:ascii="Cambria Math" w:hAnsi="Cambria Math"/>
                  <w:sz w:val="24"/>
                </w:rPr>
                <m:t>ATD-FSN</m:t>
              </m:r>
            </m:sub>
          </m:sSub>
          <m:r>
            <w:rPr>
              <w:rFonts w:ascii="Cambria Math" w:hAnsi="Cambria Math"/>
              <w:sz w:val="24"/>
            </w:rPr>
            <m:t xml:space="preserve"> emissions=</m:t>
          </m:r>
          <m:f>
            <m:fPr>
              <m:ctrlPr>
                <w:rPr>
                  <w:rFonts w:ascii="Cambria Math" w:hAnsi="Cambria Math"/>
                  <w:i/>
                  <w:sz w:val="24"/>
                </w:rPr>
              </m:ctrlPr>
            </m:fPr>
            <m:num>
              <m:r>
                <w:rPr>
                  <w:rFonts w:ascii="Cambria Math" w:hAnsi="Cambria Math"/>
                  <w:sz w:val="24"/>
                </w:rPr>
                <m:t>44</m:t>
              </m:r>
            </m:num>
            <m:den>
              <m:r>
                <w:rPr>
                  <w:rFonts w:ascii="Cambria Math" w:hAnsi="Cambria Math"/>
                  <w:sz w:val="24"/>
                </w:rPr>
                <m:t>28</m:t>
              </m:r>
            </m:den>
          </m:f>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N</m:t>
                  </m:r>
                </m:e>
                <m:sub>
                  <m:r>
                    <w:rPr>
                      <w:rFonts w:ascii="Cambria Math" w:hAnsi="Cambria Math"/>
                      <w:sz w:val="24"/>
                    </w:rPr>
                    <m:t>2</m:t>
                  </m:r>
                </m:sub>
              </m:sSub>
              <m:sSub>
                <m:sSubPr>
                  <m:ctrlPr>
                    <w:rPr>
                      <w:rFonts w:ascii="Cambria Math" w:hAnsi="Cambria Math"/>
                      <w:i/>
                      <w:sz w:val="24"/>
                    </w:rPr>
                  </m:ctrlPr>
                </m:sSubPr>
                <m:e>
                  <m:r>
                    <w:rPr>
                      <w:rFonts w:ascii="Cambria Math" w:hAnsi="Cambria Math"/>
                      <w:sz w:val="24"/>
                    </w:rPr>
                    <m:t>O</m:t>
                  </m:r>
                </m:e>
                <m:sub>
                  <m:r>
                    <w:rPr>
                      <w:rFonts w:ascii="Cambria Math" w:hAnsi="Cambria Math"/>
                      <w:sz w:val="24"/>
                    </w:rPr>
                    <m:t>ATD-FSN</m:t>
                  </m:r>
                </m:sub>
              </m:sSub>
              <m:r>
                <w:rPr>
                  <w:rFonts w:ascii="Cambria Math" w:hAnsi="Cambria Math"/>
                  <w:sz w:val="24"/>
                </w:rPr>
                <m:t>-N</m:t>
              </m:r>
            </m:e>
          </m:d>
          <m:r>
            <w:rPr>
              <w:rFonts w:ascii="Cambria Math" w:hAnsi="Cambria Math"/>
              <w:sz w:val="24"/>
            </w:rPr>
            <m:t>=</m:t>
          </m:r>
          <m:f>
            <m:fPr>
              <m:ctrlPr>
                <w:rPr>
                  <w:rFonts w:ascii="Cambria Math" w:hAnsi="Cambria Math"/>
                  <w:i/>
                  <w:sz w:val="24"/>
                </w:rPr>
              </m:ctrlPr>
            </m:fPr>
            <m:num>
              <m:r>
                <w:rPr>
                  <w:rFonts w:ascii="Cambria Math" w:hAnsi="Cambria Math"/>
                  <w:sz w:val="24"/>
                </w:rPr>
                <m:t>44</m:t>
              </m:r>
            </m:num>
            <m:den>
              <m:r>
                <w:rPr>
                  <w:rFonts w:ascii="Cambria Math" w:hAnsi="Cambria Math"/>
                  <w:sz w:val="24"/>
                </w:rPr>
                <m:t>28</m:t>
              </m:r>
            </m:den>
          </m:f>
          <m:nary>
            <m:naryPr>
              <m:chr m:val="∑"/>
              <m:limLoc m:val="undOvr"/>
              <m:supHide m:val="1"/>
              <m:ctrlPr>
                <w:rPr>
                  <w:rFonts w:ascii="Cambria Math" w:hAnsi="Cambria Math"/>
                  <w:i/>
                  <w:sz w:val="24"/>
                </w:rPr>
              </m:ctrlPr>
            </m:naryPr>
            <m:sub>
              <m:r>
                <w:rPr>
                  <w:rFonts w:ascii="Cambria Math" w:hAnsi="Cambria Math"/>
                  <w:sz w:val="24"/>
                </w:rPr>
                <m:t>S</m:t>
              </m:r>
            </m:sub>
            <m:sup/>
            <m:e>
              <m:d>
                <m:dPr>
                  <m:begChr m:val="["/>
                  <m:endChr m:val="]"/>
                  <m:ctrlPr>
                    <w:rPr>
                      <w:rFonts w:ascii="Cambria Math" w:hAnsi="Cambria Math"/>
                      <w:i/>
                      <w:sz w:val="24"/>
                    </w:rPr>
                  </m:ctrlPr>
                </m:dPr>
                <m:e>
                  <m:sSub>
                    <m:sSubPr>
                      <m:ctrlPr>
                        <w:rPr>
                          <w:rFonts w:ascii="Cambria Math" w:hAnsi="Cambria Math"/>
                          <w:i/>
                          <w:sz w:val="24"/>
                        </w:rPr>
                      </m:ctrlPr>
                    </m:sSubPr>
                    <m:e>
                      <m:r>
                        <w:rPr>
                          <w:rFonts w:ascii="Cambria Math" w:hAnsi="Cambria Math"/>
                          <w:sz w:val="24"/>
                        </w:rPr>
                        <m:t>F</m:t>
                      </m:r>
                    </m:e>
                    <m:sub>
                      <m:r>
                        <w:rPr>
                          <w:rFonts w:ascii="Cambria Math" w:hAnsi="Cambria Math"/>
                          <w:sz w:val="24"/>
                        </w:rPr>
                        <m:t>SN</m:t>
                      </m:r>
                    </m:sub>
                  </m:sSub>
                  <m:r>
                    <w:rPr>
                      <w:rFonts w:ascii="Cambria Math" w:hAnsi="Cambria Math"/>
                      <w:sz w:val="24"/>
                    </w:rPr>
                    <m:t>∙</m:t>
                  </m:r>
                  <m:sSub>
                    <m:sSubPr>
                      <m:ctrlPr>
                        <w:rPr>
                          <w:rFonts w:ascii="Cambria Math" w:hAnsi="Cambria Math"/>
                          <w:i/>
                          <w:sz w:val="24"/>
                        </w:rPr>
                      </m:ctrlPr>
                    </m:sSubPr>
                    <m:e>
                      <m:r>
                        <w:rPr>
                          <w:rFonts w:ascii="Cambria Math" w:hAnsi="Cambria Math"/>
                          <w:sz w:val="24"/>
                        </w:rPr>
                        <m:t>Frac</m:t>
                      </m:r>
                    </m:e>
                    <m:sub>
                      <m:r>
                        <w:rPr>
                          <w:rFonts w:ascii="Cambria Math" w:hAnsi="Cambria Math"/>
                          <w:sz w:val="24"/>
                        </w:rPr>
                        <m:t>GASF</m:t>
                      </m:r>
                    </m:sub>
                  </m:sSub>
                </m:e>
              </m:d>
            </m:e>
          </m:nary>
          <m:r>
            <w:rPr>
              <w:rFonts w:ascii="Cambria Math" w:hAnsi="Cambria Math"/>
              <w:sz w:val="24"/>
            </w:rPr>
            <m:t>∙</m:t>
          </m:r>
          <m:sSub>
            <m:sSubPr>
              <m:ctrlPr>
                <w:rPr>
                  <w:rFonts w:ascii="Cambria Math" w:hAnsi="Cambria Math"/>
                  <w:i/>
                  <w:sz w:val="24"/>
                </w:rPr>
              </m:ctrlPr>
            </m:sSubPr>
            <m:e>
              <m:r>
                <w:rPr>
                  <w:rFonts w:ascii="Cambria Math" w:hAnsi="Cambria Math"/>
                  <w:sz w:val="24"/>
                </w:rPr>
                <m:t>EF</m:t>
              </m:r>
            </m:e>
            <m:sub>
              <m:r>
                <w:rPr>
                  <w:rFonts w:ascii="Cambria Math" w:hAnsi="Cambria Math"/>
                  <w:sz w:val="24"/>
                </w:rPr>
                <m:t>4</m:t>
              </m:r>
            </m:sub>
          </m:sSub>
        </m:oMath>
      </m:oMathPara>
    </w:p>
    <w:p w14:paraId="68FABA5E" w14:textId="77777777" w:rsidR="00590FE1" w:rsidRPr="001D5327" w:rsidRDefault="00590FE1" w:rsidP="005D134A">
      <w:pPr>
        <w:pStyle w:val="BodyText"/>
        <w:spacing w:after="40"/>
        <w:ind w:left="851" w:hanging="851"/>
      </w:pPr>
      <w:r w:rsidRPr="001D5327">
        <w:t>Where:</w:t>
      </w:r>
      <w:r w:rsidRPr="001D5327">
        <w:tab/>
        <w:t>N</w:t>
      </w:r>
      <w:r w:rsidRPr="001D5327">
        <w:rPr>
          <w:vertAlign w:val="subscript"/>
        </w:rPr>
        <w:t>2</w:t>
      </w:r>
      <w:r w:rsidRPr="001D5327">
        <w:t>O</w:t>
      </w:r>
      <w:r w:rsidRPr="001D5327">
        <w:rPr>
          <w:vertAlign w:val="subscript"/>
        </w:rPr>
        <w:t>ATD-FSN</w:t>
      </w:r>
      <w:r w:rsidRPr="001D5327">
        <w:t xml:space="preserve"> is the annual amount of N</w:t>
      </w:r>
      <w:r w:rsidRPr="001D5327">
        <w:rPr>
          <w:vertAlign w:val="subscript"/>
        </w:rPr>
        <w:t>2</w:t>
      </w:r>
      <w:r w:rsidRPr="001D5327">
        <w:t>O-N produced by atmospheric deposition of volatilised nitrogen from all synthetic nitrogen fertiliser applied to agricultural soils (kg N</w:t>
      </w:r>
      <w:r w:rsidRPr="001D5327">
        <w:rPr>
          <w:vertAlign w:val="subscript"/>
        </w:rPr>
        <w:t>2</w:t>
      </w:r>
      <w:r w:rsidRPr="001D5327">
        <w:t>O-N/year)</w:t>
      </w:r>
    </w:p>
    <w:p w14:paraId="75CC8D00" w14:textId="77777777" w:rsidR="00590FE1" w:rsidRPr="001D5327" w:rsidRDefault="00590FE1" w:rsidP="005D134A">
      <w:pPr>
        <w:pStyle w:val="BodyText"/>
        <w:spacing w:before="40" w:after="40"/>
        <w:ind w:left="851"/>
      </w:pPr>
      <w:r w:rsidRPr="001D5327">
        <w:t xml:space="preserve">S is urea fertiliser (untreated), urea fertiliser (treated) or non-urea nitrogen fertiliser </w:t>
      </w:r>
    </w:p>
    <w:p w14:paraId="434A2592" w14:textId="77777777" w:rsidR="00590FE1" w:rsidRPr="001D5327" w:rsidRDefault="00590FE1" w:rsidP="005D134A">
      <w:pPr>
        <w:pStyle w:val="BodyText"/>
        <w:spacing w:before="40" w:after="40"/>
        <w:ind w:left="851"/>
      </w:pPr>
      <w:r w:rsidRPr="001D5327">
        <w:t>F</w:t>
      </w:r>
      <w:r w:rsidRPr="001D5327">
        <w:rPr>
          <w:vertAlign w:val="subscript"/>
        </w:rPr>
        <w:t>SN</w:t>
      </w:r>
      <w:r w:rsidRPr="001D5327">
        <w:t xml:space="preserve"> is the total annual amount of synthetic nitrogen fertiliser applied (kg N/year) per fertiliser type, S</w:t>
      </w:r>
    </w:p>
    <w:p w14:paraId="0E903386" w14:textId="77777777" w:rsidR="00590FE1" w:rsidRPr="001D5327" w:rsidRDefault="00590FE1" w:rsidP="005D134A">
      <w:pPr>
        <w:pStyle w:val="BodyText"/>
        <w:spacing w:before="40" w:after="40"/>
        <w:ind w:left="851"/>
      </w:pPr>
      <w:r w:rsidRPr="001D5327">
        <w:t>Frac</w:t>
      </w:r>
      <w:r w:rsidRPr="001D5327">
        <w:rPr>
          <w:vertAlign w:val="subscript"/>
        </w:rPr>
        <w:t>GASF</w:t>
      </w:r>
      <w:r w:rsidRPr="001D5327">
        <w:t xml:space="preserve"> is the fraction of nitrogen from synthetic nitrogen fertiliser that volatilises as NH</w:t>
      </w:r>
      <w:r w:rsidRPr="001D5327">
        <w:rPr>
          <w:vertAlign w:val="subscript"/>
        </w:rPr>
        <w:t>3</w:t>
      </w:r>
      <w:r w:rsidRPr="001D5327">
        <w:t xml:space="preserve"> and NO</w:t>
      </w:r>
      <w:r w:rsidRPr="001D5327">
        <w:rPr>
          <w:vertAlign w:val="subscript"/>
        </w:rPr>
        <w:t>x</w:t>
      </w:r>
      <w:r w:rsidRPr="001D5327">
        <w:t>; 0.055 for treated urea fertiliser and 0.1 for untreated urea and other nitrogen fertiliser, and</w:t>
      </w:r>
    </w:p>
    <w:p w14:paraId="4D155B38" w14:textId="77777777" w:rsidR="00590FE1" w:rsidRPr="001D5327" w:rsidRDefault="00590FE1" w:rsidP="005D134A">
      <w:pPr>
        <w:pStyle w:val="BodyText"/>
        <w:spacing w:before="40"/>
        <w:ind w:left="851"/>
      </w:pPr>
      <w:r w:rsidRPr="001D5327">
        <w:t>EF</w:t>
      </w:r>
      <w:r w:rsidRPr="001D5327">
        <w:rPr>
          <w:vertAlign w:val="subscript"/>
        </w:rPr>
        <w:t>4</w:t>
      </w:r>
      <w:r w:rsidRPr="001D5327">
        <w:t xml:space="preserve"> is the emission factor for N</w:t>
      </w:r>
      <w:r w:rsidRPr="001D5327">
        <w:rPr>
          <w:vertAlign w:val="subscript"/>
        </w:rPr>
        <w:t>2</w:t>
      </w:r>
      <w:r w:rsidRPr="001D5327">
        <w:t>O emissions from atmospheric deposition of nitrogen on soils and water; 0.01 (kg N–N</w:t>
      </w:r>
      <w:r w:rsidRPr="001D5327">
        <w:rPr>
          <w:vertAlign w:val="subscript"/>
        </w:rPr>
        <w:t>2</w:t>
      </w:r>
      <w:r w:rsidRPr="001D5327">
        <w:t>O (kg NH</w:t>
      </w:r>
      <w:r w:rsidRPr="001D5327">
        <w:rPr>
          <w:vertAlign w:val="subscript"/>
        </w:rPr>
        <w:t>3</w:t>
      </w:r>
      <w:r w:rsidRPr="001D5327">
        <w:t>–N + NO</w:t>
      </w:r>
      <w:r w:rsidRPr="001D5327">
        <w:rPr>
          <w:vertAlign w:val="subscript"/>
        </w:rPr>
        <w:t>x</w:t>
      </w:r>
      <w:r w:rsidRPr="001D5327">
        <w:t>–N volatilised)</w:t>
      </w:r>
      <w:r w:rsidRPr="001D5327">
        <w:rPr>
          <w:vertAlign w:val="superscript"/>
        </w:rPr>
        <w:t>-1</w:t>
      </w:r>
      <w:r w:rsidRPr="001D5327">
        <w:t xml:space="preserve">). </w:t>
      </w:r>
    </w:p>
    <w:p w14:paraId="47594E62" w14:textId="77777777" w:rsidR="00590FE1" w:rsidRPr="001D5327" w:rsidRDefault="00590FE1" w:rsidP="00590FE1">
      <w:pPr>
        <w:pStyle w:val="BodyText"/>
        <w:spacing w:before="100" w:after="100"/>
      </w:pPr>
      <w:r w:rsidRPr="001D5327">
        <w:t>All other emission factors and parameters relating to animal excreta and synthetic nitrogen fertiliser use (Frac</w:t>
      </w:r>
      <w:r w:rsidRPr="001D5327">
        <w:rPr>
          <w:vertAlign w:val="subscript"/>
        </w:rPr>
        <w:t>GASM</w:t>
      </w:r>
      <w:r w:rsidRPr="001D5327">
        <w:t>, Frac</w:t>
      </w:r>
      <w:r w:rsidRPr="001D5327">
        <w:rPr>
          <w:vertAlign w:val="subscript"/>
        </w:rPr>
        <w:t>LEACH</w:t>
      </w:r>
      <w:r w:rsidRPr="001D5327">
        <w:t xml:space="preserve"> and EF</w:t>
      </w:r>
      <w:r w:rsidRPr="001D5327">
        <w:rPr>
          <w:vertAlign w:val="subscript"/>
        </w:rPr>
        <w:t>1</w:t>
      </w:r>
      <w:r w:rsidRPr="001D5327">
        <w:t>) do not change as a result of including urease inhibitors in the calculations. An adjustment for Frac</w:t>
      </w:r>
      <w:r w:rsidRPr="001D5327">
        <w:rPr>
          <w:vertAlign w:val="subscript"/>
        </w:rPr>
        <w:t>GASM</w:t>
      </w:r>
      <w:r w:rsidRPr="001D5327">
        <w:t xml:space="preserve"> was not recommended because the effect of urease inhibitors on reducing NH</w:t>
      </w:r>
      <w:r w:rsidRPr="001D5327">
        <w:rPr>
          <w:vertAlign w:val="subscript"/>
        </w:rPr>
        <w:t>3</w:t>
      </w:r>
      <w:r w:rsidRPr="001D5327">
        <w:t xml:space="preserve"> volatilisation from animal excreta could not be accurately assessed (Saggar et al., 2013).</w:t>
      </w:r>
    </w:p>
    <w:p w14:paraId="4820D3AD" w14:textId="77777777" w:rsidR="00590FE1" w:rsidRPr="001D5327" w:rsidRDefault="00590FE1" w:rsidP="00590FE1">
      <w:pPr>
        <w:pStyle w:val="BodyText"/>
        <w:spacing w:before="100" w:after="100"/>
      </w:pPr>
      <w:r w:rsidRPr="001D5327">
        <w:t xml:space="preserve">Urea fertiliser coated with urease inhibitors was first used commercially in </w:t>
      </w:r>
      <w:r w:rsidRPr="001D5327" w:rsidDel="00881DC3">
        <w:t xml:space="preserve">New </w:t>
      </w:r>
      <w:r w:rsidRPr="001D5327">
        <w:t>Zealand in 2001. Activity data on urease inhibitor usage are provided by the Fertiliser Association of New Zealand from sales records.</w:t>
      </w:r>
      <w:r w:rsidRPr="001D5327">
        <w:rPr>
          <w:rStyle w:val="FootnoteReference"/>
          <w:rFonts w:cs="Calibri"/>
        </w:rPr>
        <w:footnoteReference w:id="50"/>
      </w:r>
      <w:r w:rsidRPr="001D5327">
        <w:t xml:space="preserve"> These activity data record the total amount of nitrogen in urea fertiliser that has been treated with a urease inhibitor. Some urea fertiliser coated with urease inhibitors is also blended into other non-nitrogen fertiliser products. We do not have data on the amount used in this manner.</w:t>
      </w:r>
    </w:p>
    <w:p w14:paraId="2E657807" w14:textId="77777777" w:rsidR="00590FE1" w:rsidRPr="001D5327" w:rsidRDefault="00590FE1" w:rsidP="00590FE1">
      <w:pPr>
        <w:pStyle w:val="BodyText"/>
      </w:pPr>
      <w:r w:rsidRPr="001D5327">
        <w:t>Estimates of the mitigation impact of urease inhibitors on N</w:t>
      </w:r>
      <w:r w:rsidRPr="001D5327">
        <w:rPr>
          <w:vertAlign w:val="subscript"/>
        </w:rPr>
        <w:t>2</w:t>
      </w:r>
      <w:r w:rsidRPr="001D5327">
        <w:t>O emissions from volatilisation for the calendar years 2001 to 2023 are shown in table 5.5.9. In 2014, 2016 and 2019, large increases occurred in the use of urease inhibitors. The percentage of urea fertiliser applied with urease inhibitor passed 50 per cent in 2021 and was 47.6 per cent in 2023.</w:t>
      </w:r>
    </w:p>
    <w:p w14:paraId="05BA78C4" w14:textId="77777777" w:rsidR="00590FE1" w:rsidRPr="001D5327" w:rsidRDefault="00590FE1" w:rsidP="00590FE1">
      <w:pPr>
        <w:pStyle w:val="Table"/>
        <w:rPr>
          <w:rFonts w:cs="Calibri"/>
        </w:rPr>
      </w:pPr>
      <w:bookmarkStart w:id="1245" w:name="_Toc441830884"/>
      <w:bookmarkStart w:id="1246" w:name="_Toc451176098"/>
      <w:bookmarkStart w:id="1247" w:name="_Toc481751526"/>
      <w:bookmarkStart w:id="1248" w:name="_Toc507158614"/>
      <w:bookmarkStart w:id="1249" w:name="_Toc511116748"/>
      <w:bookmarkStart w:id="1250" w:name="_Toc5269490"/>
      <w:bookmarkStart w:id="1251" w:name="_Toc32570935"/>
      <w:bookmarkStart w:id="1252" w:name="_Toc36224570"/>
      <w:bookmarkStart w:id="1253" w:name="_Toc68786455"/>
      <w:bookmarkStart w:id="1254" w:name="_Toc95574088"/>
      <w:bookmarkStart w:id="1255" w:name="_Toc127458275"/>
      <w:bookmarkStart w:id="1256" w:name="_Toc131591371"/>
      <w:bookmarkStart w:id="1257" w:name="_Toc160114465"/>
      <w:bookmarkStart w:id="1258" w:name="_Toc164153861"/>
      <w:bookmarkStart w:id="1259" w:name="_Toc194241733"/>
      <w:r w:rsidRPr="001D5327">
        <w:rPr>
          <w:rFonts w:cs="Calibri"/>
        </w:rPr>
        <w:t>Table 5.5.9</w:t>
      </w:r>
      <w:r w:rsidRPr="001D5327">
        <w:rPr>
          <w:rFonts w:cs="Calibri"/>
        </w:rPr>
        <w:tab/>
        <w:t>Mitigation impact of urease inhibitors on nitrous oxide emissions from volatilisation,</w:t>
      </w:r>
      <w:r w:rsidRPr="001D5327">
        <w:rPr>
          <w:rFonts w:cs="Calibri"/>
        </w:rPr>
        <w:br/>
        <w:t xml:space="preserve">from 2001 to </w:t>
      </w:r>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r w:rsidRPr="001D5327">
        <w:rPr>
          <w:rFonts w:cs="Calibri"/>
        </w:rPr>
        <w:t>2023</w:t>
      </w:r>
      <w:bookmarkEnd w:id="1259"/>
      <w:r w:rsidRPr="001D5327">
        <w:rPr>
          <w:rFonts w:cs="Calibri"/>
        </w:rPr>
        <w:t xml:space="preserve"> </w:t>
      </w:r>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0A0" w:firstRow="1" w:lastRow="0" w:firstColumn="1" w:lastColumn="0" w:noHBand="0" w:noVBand="0"/>
      </w:tblPr>
      <w:tblGrid>
        <w:gridCol w:w="1134"/>
        <w:gridCol w:w="3828"/>
        <w:gridCol w:w="3543"/>
      </w:tblGrid>
      <w:tr w:rsidR="00590FE1" w:rsidRPr="00E65A90" w14:paraId="128FD21C" w14:textId="77777777" w:rsidTr="00403787">
        <w:trPr>
          <w:tblHeader/>
        </w:trPr>
        <w:tc>
          <w:tcPr>
            <w:tcW w:w="1134" w:type="dxa"/>
            <w:shd w:val="clear" w:color="auto" w:fill="1B556B"/>
            <w:vAlign w:val="bottom"/>
          </w:tcPr>
          <w:p w14:paraId="5DB7B0F9" w14:textId="77777777" w:rsidR="00590FE1" w:rsidRPr="00E65A90" w:rsidRDefault="00590FE1" w:rsidP="00403787">
            <w:pPr>
              <w:pStyle w:val="TableTextBold"/>
              <w:spacing w:before="40" w:after="40"/>
              <w:rPr>
                <w:noProof w:val="0"/>
                <w:color w:val="FFFFFF" w:themeColor="background1"/>
                <w:szCs w:val="16"/>
              </w:rPr>
            </w:pPr>
            <w:r w:rsidRPr="00E65A90">
              <w:rPr>
                <w:noProof w:val="0"/>
                <w:color w:val="FFFFFF" w:themeColor="background1"/>
                <w:szCs w:val="16"/>
              </w:rPr>
              <w:t>Year</w:t>
            </w:r>
          </w:p>
        </w:tc>
        <w:tc>
          <w:tcPr>
            <w:tcW w:w="3828" w:type="dxa"/>
            <w:shd w:val="clear" w:color="auto" w:fill="1B556B"/>
          </w:tcPr>
          <w:p w14:paraId="6B0D1C04" w14:textId="77777777" w:rsidR="00590FE1" w:rsidRPr="00E65A90" w:rsidRDefault="00590FE1" w:rsidP="00403787">
            <w:pPr>
              <w:pStyle w:val="TableTextBold"/>
              <w:spacing w:before="40" w:after="40"/>
              <w:jc w:val="right"/>
              <w:rPr>
                <w:i/>
                <w:iCs/>
                <w:noProof w:val="0"/>
                <w:color w:val="FFFFFF" w:themeColor="background1"/>
                <w:szCs w:val="16"/>
              </w:rPr>
            </w:pPr>
            <w:r w:rsidRPr="00E65A90">
              <w:rPr>
                <w:noProof w:val="0"/>
                <w:color w:val="FFFFFF" w:themeColor="background1"/>
                <w:szCs w:val="16"/>
              </w:rPr>
              <w:t>Percentage of urea fertiliser applied that included urease inhibitor (urea treated/total urea)</w:t>
            </w:r>
          </w:p>
        </w:tc>
        <w:tc>
          <w:tcPr>
            <w:tcW w:w="3543" w:type="dxa"/>
            <w:shd w:val="clear" w:color="auto" w:fill="1B556B"/>
          </w:tcPr>
          <w:p w14:paraId="70F8C44E" w14:textId="77777777" w:rsidR="00590FE1" w:rsidRPr="00E65A90" w:rsidRDefault="00590FE1" w:rsidP="00403787">
            <w:pPr>
              <w:pStyle w:val="TableTextBold"/>
              <w:spacing w:before="40" w:after="40"/>
              <w:jc w:val="right"/>
              <w:rPr>
                <w:i/>
                <w:iCs/>
                <w:noProof w:val="0"/>
                <w:color w:val="FFFFFF" w:themeColor="background1"/>
                <w:szCs w:val="16"/>
              </w:rPr>
            </w:pPr>
            <w:r w:rsidRPr="00E65A90">
              <w:rPr>
                <w:noProof w:val="0"/>
                <w:color w:val="FFFFFF" w:themeColor="background1"/>
                <w:szCs w:val="16"/>
              </w:rPr>
              <w:t>Estimated greenhouse gas mitigation from using urease inhibitor (kt CO</w:t>
            </w:r>
            <w:r w:rsidRPr="00E65A90">
              <w:rPr>
                <w:noProof w:val="0"/>
                <w:color w:val="FFFFFF" w:themeColor="background1"/>
                <w:szCs w:val="16"/>
                <w:vertAlign w:val="subscript"/>
              </w:rPr>
              <w:t>2</w:t>
            </w:r>
            <w:r w:rsidRPr="00E65A90">
              <w:rPr>
                <w:noProof w:val="0"/>
                <w:color w:val="FFFFFF" w:themeColor="background1"/>
                <w:szCs w:val="16"/>
              </w:rPr>
              <w:t>-e)</w:t>
            </w:r>
          </w:p>
        </w:tc>
      </w:tr>
      <w:tr w:rsidR="00590FE1" w:rsidRPr="00E65A90" w14:paraId="17BEC4CB" w14:textId="77777777" w:rsidTr="00403787">
        <w:tc>
          <w:tcPr>
            <w:tcW w:w="1134" w:type="dxa"/>
            <w:shd w:val="clear" w:color="auto" w:fill="auto"/>
          </w:tcPr>
          <w:p w14:paraId="327C33B2" w14:textId="77777777" w:rsidR="00590FE1" w:rsidRPr="00E65A90" w:rsidRDefault="00590FE1" w:rsidP="00403787">
            <w:pPr>
              <w:pStyle w:val="TableText"/>
              <w:spacing w:before="40" w:after="40"/>
              <w:rPr>
                <w:rFonts w:cs="Calibri"/>
                <w:szCs w:val="16"/>
              </w:rPr>
            </w:pPr>
            <w:r w:rsidRPr="00E65A90">
              <w:rPr>
                <w:rFonts w:cs="Calibri"/>
                <w:szCs w:val="16"/>
              </w:rPr>
              <w:t>2001</w:t>
            </w:r>
          </w:p>
        </w:tc>
        <w:tc>
          <w:tcPr>
            <w:tcW w:w="3828" w:type="dxa"/>
            <w:shd w:val="clear" w:color="auto" w:fill="auto"/>
          </w:tcPr>
          <w:p w14:paraId="61D7FDFE" w14:textId="77777777" w:rsidR="00590FE1" w:rsidRPr="00E65A90" w:rsidRDefault="00590FE1" w:rsidP="00403787">
            <w:pPr>
              <w:pStyle w:val="TableText"/>
              <w:spacing w:before="40" w:after="40"/>
              <w:jc w:val="right"/>
              <w:rPr>
                <w:rFonts w:cs="Calibri"/>
                <w:szCs w:val="16"/>
              </w:rPr>
            </w:pPr>
            <w:r w:rsidRPr="00E65A90">
              <w:rPr>
                <w:szCs w:val="16"/>
              </w:rPr>
              <w:t>5.6</w:t>
            </w:r>
          </w:p>
        </w:tc>
        <w:tc>
          <w:tcPr>
            <w:tcW w:w="3543" w:type="dxa"/>
            <w:shd w:val="clear" w:color="auto" w:fill="auto"/>
          </w:tcPr>
          <w:p w14:paraId="3637DA4E" w14:textId="77777777" w:rsidR="00590FE1" w:rsidRPr="00E65A90" w:rsidRDefault="00590FE1" w:rsidP="00403787">
            <w:pPr>
              <w:pStyle w:val="TableText"/>
              <w:spacing w:before="40" w:after="40"/>
              <w:jc w:val="right"/>
              <w:rPr>
                <w:rFonts w:cs="Calibri"/>
                <w:szCs w:val="16"/>
              </w:rPr>
            </w:pPr>
            <w:r w:rsidRPr="00E65A90">
              <w:rPr>
                <w:szCs w:val="16"/>
              </w:rPr>
              <w:t>2.0</w:t>
            </w:r>
          </w:p>
        </w:tc>
      </w:tr>
      <w:tr w:rsidR="00590FE1" w:rsidRPr="00E65A90" w14:paraId="0F22C9E0" w14:textId="77777777" w:rsidTr="00403787">
        <w:tc>
          <w:tcPr>
            <w:tcW w:w="1134" w:type="dxa"/>
            <w:shd w:val="clear" w:color="auto" w:fill="auto"/>
          </w:tcPr>
          <w:p w14:paraId="0C906D27" w14:textId="77777777" w:rsidR="00590FE1" w:rsidRPr="00E65A90" w:rsidRDefault="00590FE1" w:rsidP="00403787">
            <w:pPr>
              <w:pStyle w:val="TableText"/>
              <w:spacing w:before="40" w:after="40"/>
              <w:rPr>
                <w:rFonts w:cs="Calibri"/>
                <w:szCs w:val="16"/>
              </w:rPr>
            </w:pPr>
            <w:r w:rsidRPr="00E65A90">
              <w:rPr>
                <w:rFonts w:cs="Calibri"/>
                <w:szCs w:val="16"/>
              </w:rPr>
              <w:t>2002</w:t>
            </w:r>
          </w:p>
        </w:tc>
        <w:tc>
          <w:tcPr>
            <w:tcW w:w="3828" w:type="dxa"/>
            <w:shd w:val="clear" w:color="auto" w:fill="auto"/>
          </w:tcPr>
          <w:p w14:paraId="1BB816A2" w14:textId="77777777" w:rsidR="00590FE1" w:rsidRPr="00E65A90" w:rsidRDefault="00590FE1" w:rsidP="00403787">
            <w:pPr>
              <w:pStyle w:val="TableText"/>
              <w:spacing w:before="40" w:after="40"/>
              <w:jc w:val="right"/>
              <w:rPr>
                <w:rFonts w:cs="Calibri"/>
                <w:szCs w:val="16"/>
              </w:rPr>
            </w:pPr>
            <w:r w:rsidRPr="00E65A90">
              <w:rPr>
                <w:szCs w:val="16"/>
              </w:rPr>
              <w:t>3.8</w:t>
            </w:r>
          </w:p>
        </w:tc>
        <w:tc>
          <w:tcPr>
            <w:tcW w:w="3543" w:type="dxa"/>
            <w:shd w:val="clear" w:color="auto" w:fill="auto"/>
          </w:tcPr>
          <w:p w14:paraId="004917CD" w14:textId="77777777" w:rsidR="00590FE1" w:rsidRPr="00E65A90" w:rsidRDefault="00590FE1" w:rsidP="00403787">
            <w:pPr>
              <w:pStyle w:val="TableText"/>
              <w:spacing w:before="40" w:after="40"/>
              <w:jc w:val="right"/>
              <w:rPr>
                <w:rFonts w:cs="Calibri"/>
                <w:szCs w:val="16"/>
              </w:rPr>
            </w:pPr>
            <w:r w:rsidRPr="00E65A90">
              <w:rPr>
                <w:szCs w:val="16"/>
              </w:rPr>
              <w:t>1.7</w:t>
            </w:r>
          </w:p>
        </w:tc>
      </w:tr>
      <w:tr w:rsidR="00590FE1" w:rsidRPr="00E65A90" w14:paraId="3563D7FB" w14:textId="77777777" w:rsidTr="00403787">
        <w:tc>
          <w:tcPr>
            <w:tcW w:w="1134" w:type="dxa"/>
            <w:shd w:val="clear" w:color="auto" w:fill="auto"/>
          </w:tcPr>
          <w:p w14:paraId="44A744E8" w14:textId="77777777" w:rsidR="00590FE1" w:rsidRPr="00E65A90" w:rsidDel="00E408EA" w:rsidRDefault="00590FE1" w:rsidP="00403787">
            <w:pPr>
              <w:pStyle w:val="TableText"/>
              <w:spacing w:before="40" w:after="40"/>
              <w:rPr>
                <w:rFonts w:cs="Calibri"/>
                <w:szCs w:val="16"/>
              </w:rPr>
            </w:pPr>
            <w:r w:rsidRPr="00E65A90">
              <w:rPr>
                <w:rFonts w:cs="Calibri"/>
                <w:szCs w:val="16"/>
              </w:rPr>
              <w:t>2003</w:t>
            </w:r>
          </w:p>
        </w:tc>
        <w:tc>
          <w:tcPr>
            <w:tcW w:w="3828" w:type="dxa"/>
            <w:shd w:val="clear" w:color="auto" w:fill="auto"/>
          </w:tcPr>
          <w:p w14:paraId="600B58C5" w14:textId="77777777" w:rsidR="00590FE1" w:rsidRPr="00E65A90" w:rsidRDefault="00590FE1" w:rsidP="00403787">
            <w:pPr>
              <w:pStyle w:val="TableText"/>
              <w:spacing w:before="40" w:after="40"/>
              <w:jc w:val="right"/>
              <w:rPr>
                <w:rFonts w:cs="Calibri"/>
                <w:color w:val="000000"/>
                <w:szCs w:val="16"/>
              </w:rPr>
            </w:pPr>
            <w:r w:rsidRPr="00E65A90">
              <w:rPr>
                <w:szCs w:val="16"/>
              </w:rPr>
              <w:t>4.6</w:t>
            </w:r>
          </w:p>
        </w:tc>
        <w:tc>
          <w:tcPr>
            <w:tcW w:w="3543" w:type="dxa"/>
            <w:shd w:val="clear" w:color="auto" w:fill="auto"/>
          </w:tcPr>
          <w:p w14:paraId="2E595D7A" w14:textId="77777777" w:rsidR="00590FE1" w:rsidRPr="00E65A90" w:rsidRDefault="00590FE1" w:rsidP="00403787">
            <w:pPr>
              <w:pStyle w:val="TableText"/>
              <w:spacing w:before="40" w:after="40"/>
              <w:jc w:val="right"/>
              <w:rPr>
                <w:rFonts w:cs="Calibri"/>
                <w:color w:val="000000"/>
                <w:szCs w:val="16"/>
              </w:rPr>
            </w:pPr>
            <w:r w:rsidRPr="00E65A90">
              <w:rPr>
                <w:szCs w:val="16"/>
              </w:rPr>
              <w:t>2.3</w:t>
            </w:r>
          </w:p>
        </w:tc>
      </w:tr>
      <w:tr w:rsidR="00590FE1" w:rsidRPr="00E65A90" w14:paraId="1B4D6BB6" w14:textId="77777777" w:rsidTr="00403787">
        <w:tc>
          <w:tcPr>
            <w:tcW w:w="1134" w:type="dxa"/>
            <w:shd w:val="clear" w:color="auto" w:fill="auto"/>
          </w:tcPr>
          <w:p w14:paraId="526176AC" w14:textId="77777777" w:rsidR="00590FE1" w:rsidRPr="00E65A90" w:rsidDel="00E408EA" w:rsidRDefault="00590FE1" w:rsidP="00403787">
            <w:pPr>
              <w:pStyle w:val="TableText"/>
              <w:spacing w:before="40" w:after="40"/>
              <w:rPr>
                <w:rFonts w:cs="Calibri"/>
                <w:szCs w:val="16"/>
              </w:rPr>
            </w:pPr>
            <w:r w:rsidRPr="00E65A90">
              <w:rPr>
                <w:rFonts w:cs="Calibri"/>
                <w:szCs w:val="16"/>
              </w:rPr>
              <w:t>2004</w:t>
            </w:r>
          </w:p>
        </w:tc>
        <w:tc>
          <w:tcPr>
            <w:tcW w:w="3828" w:type="dxa"/>
            <w:shd w:val="clear" w:color="auto" w:fill="auto"/>
          </w:tcPr>
          <w:p w14:paraId="0012910F" w14:textId="77777777" w:rsidR="00590FE1" w:rsidRPr="00E65A90" w:rsidRDefault="00590FE1" w:rsidP="00403787">
            <w:pPr>
              <w:pStyle w:val="TableText"/>
              <w:spacing w:before="40" w:after="40"/>
              <w:jc w:val="right"/>
              <w:rPr>
                <w:rFonts w:cs="Calibri"/>
                <w:color w:val="000000"/>
                <w:szCs w:val="16"/>
              </w:rPr>
            </w:pPr>
            <w:r w:rsidRPr="00E65A90">
              <w:rPr>
                <w:szCs w:val="16"/>
              </w:rPr>
              <w:t>8.1</w:t>
            </w:r>
          </w:p>
        </w:tc>
        <w:tc>
          <w:tcPr>
            <w:tcW w:w="3543" w:type="dxa"/>
            <w:shd w:val="clear" w:color="auto" w:fill="auto"/>
          </w:tcPr>
          <w:p w14:paraId="6353A77E" w14:textId="77777777" w:rsidR="00590FE1" w:rsidRPr="00E65A90" w:rsidRDefault="00590FE1" w:rsidP="00403787">
            <w:pPr>
              <w:pStyle w:val="TableText"/>
              <w:spacing w:before="40" w:after="40"/>
              <w:jc w:val="right"/>
              <w:rPr>
                <w:rFonts w:cs="Calibri"/>
                <w:color w:val="000000"/>
                <w:szCs w:val="16"/>
              </w:rPr>
            </w:pPr>
            <w:r w:rsidRPr="00E65A90">
              <w:rPr>
                <w:szCs w:val="16"/>
              </w:rPr>
              <w:t>4.3</w:t>
            </w:r>
          </w:p>
        </w:tc>
      </w:tr>
      <w:tr w:rsidR="00590FE1" w:rsidRPr="00E65A90" w14:paraId="03E879DF" w14:textId="77777777" w:rsidTr="00403787">
        <w:tc>
          <w:tcPr>
            <w:tcW w:w="1134" w:type="dxa"/>
            <w:shd w:val="clear" w:color="auto" w:fill="auto"/>
          </w:tcPr>
          <w:p w14:paraId="0429EB8E" w14:textId="77777777" w:rsidR="00590FE1" w:rsidRPr="00E65A90" w:rsidRDefault="00590FE1" w:rsidP="00403787">
            <w:pPr>
              <w:pStyle w:val="TableText"/>
              <w:spacing w:before="40" w:after="40"/>
              <w:rPr>
                <w:rFonts w:cs="Calibri"/>
                <w:szCs w:val="16"/>
              </w:rPr>
            </w:pPr>
            <w:r w:rsidRPr="00E65A90">
              <w:rPr>
                <w:rFonts w:cs="Calibri"/>
                <w:szCs w:val="16"/>
              </w:rPr>
              <w:t>2005</w:t>
            </w:r>
          </w:p>
        </w:tc>
        <w:tc>
          <w:tcPr>
            <w:tcW w:w="3828" w:type="dxa"/>
            <w:shd w:val="clear" w:color="auto" w:fill="auto"/>
          </w:tcPr>
          <w:p w14:paraId="573E502C" w14:textId="77777777" w:rsidR="00590FE1" w:rsidRPr="00E65A90" w:rsidRDefault="00590FE1" w:rsidP="00403787">
            <w:pPr>
              <w:pStyle w:val="TableText"/>
              <w:spacing w:before="40" w:after="40"/>
              <w:jc w:val="right"/>
              <w:rPr>
                <w:rFonts w:cs="Calibri"/>
                <w:color w:val="000000"/>
                <w:szCs w:val="16"/>
              </w:rPr>
            </w:pPr>
            <w:r w:rsidRPr="00E65A90">
              <w:rPr>
                <w:szCs w:val="16"/>
              </w:rPr>
              <w:t>1.6</w:t>
            </w:r>
          </w:p>
        </w:tc>
        <w:tc>
          <w:tcPr>
            <w:tcW w:w="3543" w:type="dxa"/>
            <w:shd w:val="clear" w:color="auto" w:fill="auto"/>
          </w:tcPr>
          <w:p w14:paraId="0C967A8F" w14:textId="77777777" w:rsidR="00590FE1" w:rsidRPr="00E65A90" w:rsidRDefault="00590FE1" w:rsidP="00403787">
            <w:pPr>
              <w:pStyle w:val="TableText"/>
              <w:spacing w:before="40" w:after="40"/>
              <w:jc w:val="right"/>
              <w:rPr>
                <w:rFonts w:cs="Calibri"/>
                <w:color w:val="000000"/>
                <w:szCs w:val="16"/>
              </w:rPr>
            </w:pPr>
            <w:r w:rsidRPr="00E65A90">
              <w:rPr>
                <w:szCs w:val="16"/>
              </w:rPr>
              <w:t>0.9</w:t>
            </w:r>
          </w:p>
        </w:tc>
      </w:tr>
      <w:tr w:rsidR="00590FE1" w:rsidRPr="00E65A90" w14:paraId="6DB3BF6B" w14:textId="77777777" w:rsidTr="00403787">
        <w:tc>
          <w:tcPr>
            <w:tcW w:w="1134" w:type="dxa"/>
            <w:shd w:val="clear" w:color="auto" w:fill="auto"/>
          </w:tcPr>
          <w:p w14:paraId="08982327" w14:textId="77777777" w:rsidR="00590FE1" w:rsidRPr="00E65A90" w:rsidRDefault="00590FE1" w:rsidP="00403787">
            <w:pPr>
              <w:pStyle w:val="TableText"/>
              <w:spacing w:before="40" w:after="40"/>
              <w:rPr>
                <w:rFonts w:cs="Calibri"/>
                <w:szCs w:val="16"/>
              </w:rPr>
            </w:pPr>
            <w:r w:rsidRPr="00E65A90">
              <w:rPr>
                <w:rFonts w:cs="Calibri"/>
                <w:szCs w:val="16"/>
              </w:rPr>
              <w:t>2006</w:t>
            </w:r>
          </w:p>
        </w:tc>
        <w:tc>
          <w:tcPr>
            <w:tcW w:w="3828" w:type="dxa"/>
            <w:shd w:val="clear" w:color="auto" w:fill="auto"/>
          </w:tcPr>
          <w:p w14:paraId="4F89390D" w14:textId="77777777" w:rsidR="00590FE1" w:rsidRPr="00E65A90" w:rsidRDefault="00590FE1" w:rsidP="00403787">
            <w:pPr>
              <w:pStyle w:val="TableText"/>
              <w:spacing w:before="40" w:after="40"/>
              <w:jc w:val="right"/>
              <w:rPr>
                <w:rFonts w:cs="Calibri"/>
                <w:color w:val="000000"/>
                <w:szCs w:val="16"/>
              </w:rPr>
            </w:pPr>
            <w:r w:rsidRPr="00E65A90">
              <w:rPr>
                <w:szCs w:val="16"/>
              </w:rPr>
              <w:t>8.4</w:t>
            </w:r>
          </w:p>
        </w:tc>
        <w:tc>
          <w:tcPr>
            <w:tcW w:w="3543" w:type="dxa"/>
            <w:shd w:val="clear" w:color="auto" w:fill="auto"/>
          </w:tcPr>
          <w:p w14:paraId="5E5E962A" w14:textId="77777777" w:rsidR="00590FE1" w:rsidRPr="00E65A90" w:rsidRDefault="00590FE1" w:rsidP="00403787">
            <w:pPr>
              <w:pStyle w:val="TableText"/>
              <w:spacing w:before="40" w:after="40"/>
              <w:jc w:val="right"/>
              <w:rPr>
                <w:rFonts w:cs="Calibri"/>
                <w:color w:val="000000"/>
                <w:szCs w:val="16"/>
              </w:rPr>
            </w:pPr>
            <w:r w:rsidRPr="00E65A90">
              <w:rPr>
                <w:szCs w:val="16"/>
              </w:rPr>
              <w:t>4.2</w:t>
            </w:r>
          </w:p>
        </w:tc>
      </w:tr>
      <w:tr w:rsidR="00590FE1" w:rsidRPr="00E65A90" w14:paraId="07B98698" w14:textId="77777777" w:rsidTr="00403787">
        <w:tc>
          <w:tcPr>
            <w:tcW w:w="1134" w:type="dxa"/>
            <w:shd w:val="clear" w:color="auto" w:fill="auto"/>
          </w:tcPr>
          <w:p w14:paraId="23C356DF" w14:textId="77777777" w:rsidR="00590FE1" w:rsidRPr="00E65A90" w:rsidRDefault="00590FE1" w:rsidP="00403787">
            <w:pPr>
              <w:pStyle w:val="TableText"/>
              <w:spacing w:before="40" w:after="40"/>
              <w:rPr>
                <w:rFonts w:cs="Calibri"/>
                <w:szCs w:val="16"/>
              </w:rPr>
            </w:pPr>
            <w:r w:rsidRPr="00E65A90">
              <w:rPr>
                <w:rFonts w:cs="Calibri"/>
                <w:szCs w:val="16"/>
              </w:rPr>
              <w:t>2007</w:t>
            </w:r>
          </w:p>
        </w:tc>
        <w:tc>
          <w:tcPr>
            <w:tcW w:w="3828" w:type="dxa"/>
            <w:shd w:val="clear" w:color="auto" w:fill="auto"/>
          </w:tcPr>
          <w:p w14:paraId="17E86B2D" w14:textId="77777777" w:rsidR="00590FE1" w:rsidRPr="00E65A90" w:rsidRDefault="00590FE1" w:rsidP="00403787">
            <w:pPr>
              <w:pStyle w:val="TableText"/>
              <w:spacing w:before="40" w:after="40"/>
              <w:jc w:val="right"/>
              <w:rPr>
                <w:rFonts w:cs="Calibri"/>
                <w:color w:val="000000"/>
                <w:szCs w:val="16"/>
              </w:rPr>
            </w:pPr>
            <w:r w:rsidRPr="00E65A90">
              <w:rPr>
                <w:szCs w:val="16"/>
              </w:rPr>
              <w:t>5.0</w:t>
            </w:r>
          </w:p>
        </w:tc>
        <w:tc>
          <w:tcPr>
            <w:tcW w:w="3543" w:type="dxa"/>
            <w:shd w:val="clear" w:color="auto" w:fill="auto"/>
          </w:tcPr>
          <w:p w14:paraId="4A645FBC" w14:textId="77777777" w:rsidR="00590FE1" w:rsidRPr="00E65A90" w:rsidRDefault="00590FE1" w:rsidP="00403787">
            <w:pPr>
              <w:pStyle w:val="TableText"/>
              <w:spacing w:before="40" w:after="40"/>
              <w:jc w:val="right"/>
              <w:rPr>
                <w:rFonts w:cs="Calibri"/>
                <w:color w:val="000000"/>
                <w:szCs w:val="16"/>
              </w:rPr>
            </w:pPr>
            <w:r w:rsidRPr="00E65A90">
              <w:rPr>
                <w:szCs w:val="16"/>
              </w:rPr>
              <w:t>2.7</w:t>
            </w:r>
          </w:p>
        </w:tc>
      </w:tr>
      <w:tr w:rsidR="00590FE1" w:rsidRPr="00E65A90" w14:paraId="31809E99" w14:textId="77777777" w:rsidTr="00403787">
        <w:tc>
          <w:tcPr>
            <w:tcW w:w="1134" w:type="dxa"/>
            <w:shd w:val="clear" w:color="auto" w:fill="auto"/>
          </w:tcPr>
          <w:p w14:paraId="736D19C8" w14:textId="77777777" w:rsidR="00590FE1" w:rsidRPr="00E65A90" w:rsidRDefault="00590FE1" w:rsidP="00403787">
            <w:pPr>
              <w:pStyle w:val="TableText"/>
              <w:spacing w:before="40" w:after="40"/>
              <w:rPr>
                <w:rFonts w:cs="Calibri"/>
                <w:szCs w:val="16"/>
              </w:rPr>
            </w:pPr>
            <w:r w:rsidRPr="00E65A90">
              <w:rPr>
                <w:rFonts w:cs="Calibri"/>
                <w:szCs w:val="16"/>
              </w:rPr>
              <w:t>2008</w:t>
            </w:r>
          </w:p>
        </w:tc>
        <w:tc>
          <w:tcPr>
            <w:tcW w:w="3828" w:type="dxa"/>
            <w:shd w:val="clear" w:color="auto" w:fill="auto"/>
          </w:tcPr>
          <w:p w14:paraId="3B830013" w14:textId="77777777" w:rsidR="00590FE1" w:rsidRPr="00E65A90" w:rsidRDefault="00590FE1" w:rsidP="00403787">
            <w:pPr>
              <w:pStyle w:val="TableText"/>
              <w:spacing w:before="40" w:after="40"/>
              <w:jc w:val="right"/>
              <w:rPr>
                <w:rFonts w:cs="Calibri"/>
                <w:color w:val="000000"/>
                <w:szCs w:val="16"/>
              </w:rPr>
            </w:pPr>
            <w:r w:rsidRPr="00E65A90">
              <w:rPr>
                <w:szCs w:val="16"/>
              </w:rPr>
              <w:t>5.2</w:t>
            </w:r>
          </w:p>
        </w:tc>
        <w:tc>
          <w:tcPr>
            <w:tcW w:w="3543" w:type="dxa"/>
            <w:shd w:val="clear" w:color="auto" w:fill="auto"/>
          </w:tcPr>
          <w:p w14:paraId="2BA69A77" w14:textId="77777777" w:rsidR="00590FE1" w:rsidRPr="00E65A90" w:rsidRDefault="00590FE1" w:rsidP="00403787">
            <w:pPr>
              <w:pStyle w:val="TableText"/>
              <w:spacing w:before="40" w:after="40"/>
              <w:jc w:val="right"/>
              <w:rPr>
                <w:rFonts w:cs="Calibri"/>
                <w:color w:val="000000"/>
                <w:szCs w:val="16"/>
              </w:rPr>
            </w:pPr>
            <w:r w:rsidRPr="00E65A90">
              <w:rPr>
                <w:szCs w:val="16"/>
              </w:rPr>
              <w:t>2.7</w:t>
            </w:r>
          </w:p>
        </w:tc>
      </w:tr>
      <w:tr w:rsidR="00590FE1" w:rsidRPr="00E65A90" w14:paraId="4BAA494A" w14:textId="77777777" w:rsidTr="00403787">
        <w:tc>
          <w:tcPr>
            <w:tcW w:w="1134" w:type="dxa"/>
            <w:shd w:val="clear" w:color="auto" w:fill="auto"/>
          </w:tcPr>
          <w:p w14:paraId="2E51257B" w14:textId="77777777" w:rsidR="00590FE1" w:rsidRPr="00E65A90" w:rsidRDefault="00590FE1" w:rsidP="00403787">
            <w:pPr>
              <w:pStyle w:val="TableText"/>
              <w:spacing w:before="40" w:after="40"/>
              <w:rPr>
                <w:rFonts w:cs="Calibri"/>
                <w:szCs w:val="16"/>
              </w:rPr>
            </w:pPr>
            <w:r w:rsidRPr="00E65A90">
              <w:rPr>
                <w:rFonts w:cs="Calibri"/>
                <w:szCs w:val="16"/>
              </w:rPr>
              <w:t>2009</w:t>
            </w:r>
          </w:p>
        </w:tc>
        <w:tc>
          <w:tcPr>
            <w:tcW w:w="3828" w:type="dxa"/>
            <w:shd w:val="clear" w:color="auto" w:fill="auto"/>
          </w:tcPr>
          <w:p w14:paraId="7A17A79D" w14:textId="77777777" w:rsidR="00590FE1" w:rsidRPr="00E65A90" w:rsidRDefault="00590FE1" w:rsidP="00403787">
            <w:pPr>
              <w:pStyle w:val="TableText"/>
              <w:spacing w:before="40" w:after="40"/>
              <w:jc w:val="right"/>
              <w:rPr>
                <w:rFonts w:cs="Calibri"/>
                <w:color w:val="000000"/>
                <w:szCs w:val="16"/>
              </w:rPr>
            </w:pPr>
            <w:r w:rsidRPr="00E65A90">
              <w:rPr>
                <w:szCs w:val="16"/>
              </w:rPr>
              <w:t>9.4</w:t>
            </w:r>
          </w:p>
        </w:tc>
        <w:tc>
          <w:tcPr>
            <w:tcW w:w="3543" w:type="dxa"/>
            <w:shd w:val="clear" w:color="auto" w:fill="auto"/>
          </w:tcPr>
          <w:p w14:paraId="78861A42" w14:textId="77777777" w:rsidR="00590FE1" w:rsidRPr="00E65A90" w:rsidRDefault="00590FE1" w:rsidP="00403787">
            <w:pPr>
              <w:pStyle w:val="TableText"/>
              <w:spacing w:before="40" w:after="40"/>
              <w:jc w:val="right"/>
              <w:rPr>
                <w:rFonts w:cs="Calibri"/>
                <w:color w:val="000000"/>
                <w:szCs w:val="16"/>
              </w:rPr>
            </w:pPr>
            <w:r w:rsidRPr="00E65A90">
              <w:rPr>
                <w:szCs w:val="16"/>
              </w:rPr>
              <w:t>4.2</w:t>
            </w:r>
          </w:p>
        </w:tc>
      </w:tr>
      <w:tr w:rsidR="00590FE1" w:rsidRPr="00E65A90" w14:paraId="2B0CC8FD" w14:textId="77777777" w:rsidTr="00403787">
        <w:tc>
          <w:tcPr>
            <w:tcW w:w="1134" w:type="dxa"/>
            <w:shd w:val="clear" w:color="auto" w:fill="auto"/>
          </w:tcPr>
          <w:p w14:paraId="5ECA8AB3" w14:textId="77777777" w:rsidR="00590FE1" w:rsidRPr="00E65A90" w:rsidRDefault="00590FE1" w:rsidP="00403787">
            <w:pPr>
              <w:pStyle w:val="TableText"/>
              <w:spacing w:before="40" w:after="40"/>
              <w:rPr>
                <w:rFonts w:cs="Calibri"/>
                <w:szCs w:val="16"/>
              </w:rPr>
            </w:pPr>
            <w:r w:rsidRPr="00E65A90">
              <w:rPr>
                <w:rFonts w:cs="Calibri"/>
                <w:szCs w:val="16"/>
              </w:rPr>
              <w:t>2010</w:t>
            </w:r>
          </w:p>
        </w:tc>
        <w:tc>
          <w:tcPr>
            <w:tcW w:w="3828" w:type="dxa"/>
            <w:shd w:val="clear" w:color="auto" w:fill="auto"/>
          </w:tcPr>
          <w:p w14:paraId="1B37E7AC" w14:textId="77777777" w:rsidR="00590FE1" w:rsidRPr="00E65A90" w:rsidRDefault="00590FE1" w:rsidP="00403787">
            <w:pPr>
              <w:pStyle w:val="TableText"/>
              <w:spacing w:before="40" w:after="40"/>
              <w:jc w:val="right"/>
              <w:rPr>
                <w:rFonts w:cs="Calibri"/>
                <w:color w:val="000000"/>
                <w:szCs w:val="16"/>
              </w:rPr>
            </w:pPr>
            <w:r w:rsidRPr="00E65A90">
              <w:rPr>
                <w:szCs w:val="16"/>
              </w:rPr>
              <w:t>6.9</w:t>
            </w:r>
          </w:p>
        </w:tc>
        <w:tc>
          <w:tcPr>
            <w:tcW w:w="3543" w:type="dxa"/>
            <w:shd w:val="clear" w:color="auto" w:fill="auto"/>
          </w:tcPr>
          <w:p w14:paraId="4ABF6183" w14:textId="77777777" w:rsidR="00590FE1" w:rsidRPr="00E65A90" w:rsidRDefault="00590FE1" w:rsidP="00403787">
            <w:pPr>
              <w:pStyle w:val="TableText"/>
              <w:spacing w:before="40" w:after="40"/>
              <w:jc w:val="right"/>
              <w:rPr>
                <w:rFonts w:cs="Calibri"/>
                <w:color w:val="000000"/>
                <w:szCs w:val="16"/>
              </w:rPr>
            </w:pPr>
            <w:r w:rsidRPr="00E65A90">
              <w:rPr>
                <w:szCs w:val="16"/>
              </w:rPr>
              <w:t>3.6</w:t>
            </w:r>
          </w:p>
        </w:tc>
      </w:tr>
      <w:tr w:rsidR="00590FE1" w:rsidRPr="00E65A90" w14:paraId="31850F20" w14:textId="77777777" w:rsidTr="00403787">
        <w:tc>
          <w:tcPr>
            <w:tcW w:w="1134" w:type="dxa"/>
            <w:shd w:val="clear" w:color="auto" w:fill="auto"/>
          </w:tcPr>
          <w:p w14:paraId="2487690E" w14:textId="77777777" w:rsidR="00590FE1" w:rsidRPr="00E65A90" w:rsidRDefault="00590FE1" w:rsidP="00403787">
            <w:pPr>
              <w:pStyle w:val="TableText"/>
              <w:spacing w:before="40" w:after="40"/>
              <w:rPr>
                <w:rFonts w:cs="Calibri"/>
                <w:szCs w:val="16"/>
              </w:rPr>
            </w:pPr>
            <w:r w:rsidRPr="00E65A90">
              <w:rPr>
                <w:rFonts w:cs="Calibri"/>
                <w:szCs w:val="16"/>
              </w:rPr>
              <w:t>2011</w:t>
            </w:r>
          </w:p>
        </w:tc>
        <w:tc>
          <w:tcPr>
            <w:tcW w:w="3828" w:type="dxa"/>
            <w:shd w:val="clear" w:color="auto" w:fill="auto"/>
          </w:tcPr>
          <w:p w14:paraId="79D5FB13" w14:textId="77777777" w:rsidR="00590FE1" w:rsidRPr="00E65A90" w:rsidRDefault="00590FE1" w:rsidP="00403787">
            <w:pPr>
              <w:pStyle w:val="TableText"/>
              <w:spacing w:before="40" w:after="40"/>
              <w:jc w:val="right"/>
              <w:rPr>
                <w:rFonts w:cs="Calibri"/>
                <w:color w:val="000000"/>
                <w:szCs w:val="16"/>
              </w:rPr>
            </w:pPr>
            <w:r w:rsidRPr="00E65A90">
              <w:rPr>
                <w:szCs w:val="16"/>
              </w:rPr>
              <w:t>5.3</w:t>
            </w:r>
          </w:p>
        </w:tc>
        <w:tc>
          <w:tcPr>
            <w:tcW w:w="3543" w:type="dxa"/>
            <w:shd w:val="clear" w:color="auto" w:fill="auto"/>
          </w:tcPr>
          <w:p w14:paraId="210E0290" w14:textId="77777777" w:rsidR="00590FE1" w:rsidRPr="00E65A90" w:rsidRDefault="00590FE1" w:rsidP="00403787">
            <w:pPr>
              <w:pStyle w:val="TableText"/>
              <w:spacing w:before="40" w:after="40"/>
              <w:jc w:val="right"/>
              <w:rPr>
                <w:rFonts w:cs="Calibri"/>
                <w:color w:val="000000"/>
                <w:szCs w:val="16"/>
              </w:rPr>
            </w:pPr>
            <w:r w:rsidRPr="00E65A90">
              <w:rPr>
                <w:szCs w:val="16"/>
              </w:rPr>
              <w:t>3.1</w:t>
            </w:r>
          </w:p>
        </w:tc>
      </w:tr>
      <w:tr w:rsidR="00590FE1" w:rsidRPr="00E65A90" w14:paraId="3BB8CA4B" w14:textId="77777777" w:rsidTr="00403787">
        <w:tc>
          <w:tcPr>
            <w:tcW w:w="1134" w:type="dxa"/>
            <w:shd w:val="clear" w:color="auto" w:fill="auto"/>
          </w:tcPr>
          <w:p w14:paraId="58A21D09" w14:textId="77777777" w:rsidR="00590FE1" w:rsidRPr="00E65A90" w:rsidRDefault="00590FE1" w:rsidP="00403787">
            <w:pPr>
              <w:pStyle w:val="TableText"/>
              <w:spacing w:before="40" w:after="40"/>
              <w:rPr>
                <w:rFonts w:cs="Calibri"/>
                <w:szCs w:val="16"/>
              </w:rPr>
            </w:pPr>
            <w:r w:rsidRPr="00E65A90">
              <w:rPr>
                <w:rFonts w:cs="Calibri"/>
                <w:szCs w:val="16"/>
              </w:rPr>
              <w:lastRenderedPageBreak/>
              <w:t>2012</w:t>
            </w:r>
          </w:p>
        </w:tc>
        <w:tc>
          <w:tcPr>
            <w:tcW w:w="3828" w:type="dxa"/>
            <w:shd w:val="clear" w:color="auto" w:fill="auto"/>
          </w:tcPr>
          <w:p w14:paraId="5E40B703" w14:textId="77777777" w:rsidR="00590FE1" w:rsidRPr="00E65A90" w:rsidRDefault="00590FE1" w:rsidP="00403787">
            <w:pPr>
              <w:pStyle w:val="TableText"/>
              <w:spacing w:before="40" w:after="40"/>
              <w:jc w:val="right"/>
              <w:rPr>
                <w:rFonts w:cs="Calibri"/>
                <w:color w:val="000000"/>
                <w:szCs w:val="16"/>
              </w:rPr>
            </w:pPr>
            <w:r w:rsidRPr="00E65A90">
              <w:rPr>
                <w:szCs w:val="16"/>
              </w:rPr>
              <w:t>7.0</w:t>
            </w:r>
          </w:p>
        </w:tc>
        <w:tc>
          <w:tcPr>
            <w:tcW w:w="3543" w:type="dxa"/>
            <w:shd w:val="clear" w:color="auto" w:fill="auto"/>
          </w:tcPr>
          <w:p w14:paraId="73B9D8A3" w14:textId="77777777" w:rsidR="00590FE1" w:rsidRPr="00E65A90" w:rsidRDefault="00590FE1" w:rsidP="00403787">
            <w:pPr>
              <w:pStyle w:val="TableText"/>
              <w:spacing w:before="40" w:after="40"/>
              <w:jc w:val="right"/>
              <w:rPr>
                <w:rFonts w:cs="Calibri"/>
                <w:color w:val="000000"/>
                <w:szCs w:val="16"/>
              </w:rPr>
            </w:pPr>
            <w:r w:rsidRPr="00E65A90">
              <w:rPr>
                <w:szCs w:val="16"/>
              </w:rPr>
              <w:t>4.0</w:t>
            </w:r>
          </w:p>
        </w:tc>
      </w:tr>
      <w:tr w:rsidR="00590FE1" w:rsidRPr="00E65A90" w14:paraId="55516CAE" w14:textId="77777777" w:rsidTr="00403787">
        <w:tc>
          <w:tcPr>
            <w:tcW w:w="1134" w:type="dxa"/>
            <w:shd w:val="clear" w:color="auto" w:fill="auto"/>
          </w:tcPr>
          <w:p w14:paraId="3B357A6F" w14:textId="77777777" w:rsidR="00590FE1" w:rsidRPr="00E65A90" w:rsidRDefault="00590FE1" w:rsidP="00403787">
            <w:pPr>
              <w:pStyle w:val="TableText"/>
              <w:spacing w:before="40" w:after="40"/>
              <w:rPr>
                <w:rFonts w:cs="Calibri"/>
                <w:szCs w:val="16"/>
              </w:rPr>
            </w:pPr>
            <w:r w:rsidRPr="00E65A90">
              <w:rPr>
                <w:rFonts w:cs="Calibri"/>
                <w:szCs w:val="16"/>
              </w:rPr>
              <w:t>2013</w:t>
            </w:r>
          </w:p>
        </w:tc>
        <w:tc>
          <w:tcPr>
            <w:tcW w:w="3828" w:type="dxa"/>
            <w:shd w:val="clear" w:color="auto" w:fill="auto"/>
          </w:tcPr>
          <w:p w14:paraId="0DA6D057" w14:textId="77777777" w:rsidR="00590FE1" w:rsidRPr="00E65A90" w:rsidRDefault="00590FE1" w:rsidP="00403787">
            <w:pPr>
              <w:pStyle w:val="TableText"/>
              <w:spacing w:before="40" w:after="40"/>
              <w:jc w:val="right"/>
              <w:rPr>
                <w:rFonts w:cs="Calibri"/>
                <w:color w:val="000000"/>
                <w:szCs w:val="16"/>
              </w:rPr>
            </w:pPr>
            <w:r w:rsidRPr="00E65A90">
              <w:rPr>
                <w:szCs w:val="16"/>
              </w:rPr>
              <w:t>8.6</w:t>
            </w:r>
          </w:p>
        </w:tc>
        <w:tc>
          <w:tcPr>
            <w:tcW w:w="3543" w:type="dxa"/>
            <w:shd w:val="clear" w:color="auto" w:fill="auto"/>
          </w:tcPr>
          <w:p w14:paraId="53934F2E" w14:textId="77777777" w:rsidR="00590FE1" w:rsidRPr="00E65A90" w:rsidRDefault="00590FE1" w:rsidP="00403787">
            <w:pPr>
              <w:pStyle w:val="TableText"/>
              <w:spacing w:before="40" w:after="40"/>
              <w:jc w:val="right"/>
              <w:rPr>
                <w:rFonts w:cs="Calibri"/>
                <w:color w:val="000000"/>
                <w:szCs w:val="16"/>
              </w:rPr>
            </w:pPr>
            <w:r w:rsidRPr="00E65A90">
              <w:rPr>
                <w:szCs w:val="16"/>
              </w:rPr>
              <w:t>5.3</w:t>
            </w:r>
          </w:p>
        </w:tc>
      </w:tr>
      <w:tr w:rsidR="00590FE1" w:rsidRPr="00E65A90" w14:paraId="0DCB0EE8" w14:textId="77777777" w:rsidTr="00403787">
        <w:tc>
          <w:tcPr>
            <w:tcW w:w="1134" w:type="dxa"/>
            <w:shd w:val="clear" w:color="auto" w:fill="auto"/>
          </w:tcPr>
          <w:p w14:paraId="2FC3284D" w14:textId="77777777" w:rsidR="00590FE1" w:rsidRPr="00E65A90" w:rsidRDefault="00590FE1" w:rsidP="00403787">
            <w:pPr>
              <w:pStyle w:val="TableText"/>
              <w:spacing w:before="40" w:after="40"/>
              <w:rPr>
                <w:rFonts w:cs="Calibri"/>
                <w:szCs w:val="16"/>
              </w:rPr>
            </w:pPr>
            <w:r w:rsidRPr="00E65A90">
              <w:rPr>
                <w:rFonts w:cs="Calibri"/>
                <w:szCs w:val="16"/>
              </w:rPr>
              <w:t>2014</w:t>
            </w:r>
          </w:p>
        </w:tc>
        <w:tc>
          <w:tcPr>
            <w:tcW w:w="3828" w:type="dxa"/>
            <w:shd w:val="clear" w:color="auto" w:fill="auto"/>
          </w:tcPr>
          <w:p w14:paraId="6CEDEAAF" w14:textId="77777777" w:rsidR="00590FE1" w:rsidRPr="00E65A90" w:rsidRDefault="00590FE1" w:rsidP="00403787">
            <w:pPr>
              <w:pStyle w:val="TableText"/>
              <w:spacing w:before="40" w:after="40"/>
              <w:jc w:val="right"/>
              <w:rPr>
                <w:rFonts w:cs="Calibri"/>
                <w:color w:val="000000"/>
                <w:szCs w:val="16"/>
              </w:rPr>
            </w:pPr>
            <w:r w:rsidRPr="00E65A90">
              <w:rPr>
                <w:szCs w:val="16"/>
              </w:rPr>
              <w:t>20.2</w:t>
            </w:r>
          </w:p>
        </w:tc>
        <w:tc>
          <w:tcPr>
            <w:tcW w:w="3543" w:type="dxa"/>
            <w:shd w:val="clear" w:color="auto" w:fill="auto"/>
          </w:tcPr>
          <w:p w14:paraId="7E513E2C" w14:textId="77777777" w:rsidR="00590FE1" w:rsidRPr="00E65A90" w:rsidRDefault="00590FE1" w:rsidP="00403787">
            <w:pPr>
              <w:pStyle w:val="TableText"/>
              <w:spacing w:before="40" w:after="40"/>
              <w:jc w:val="right"/>
              <w:rPr>
                <w:rFonts w:cs="Calibri"/>
                <w:color w:val="000000"/>
                <w:szCs w:val="16"/>
              </w:rPr>
            </w:pPr>
            <w:r w:rsidRPr="00E65A90">
              <w:rPr>
                <w:szCs w:val="16"/>
              </w:rPr>
              <w:t>12.1</w:t>
            </w:r>
          </w:p>
        </w:tc>
      </w:tr>
      <w:tr w:rsidR="00590FE1" w:rsidRPr="00E65A90" w14:paraId="356DF4D0" w14:textId="77777777" w:rsidTr="00403787">
        <w:tc>
          <w:tcPr>
            <w:tcW w:w="1134" w:type="dxa"/>
            <w:shd w:val="clear" w:color="auto" w:fill="auto"/>
          </w:tcPr>
          <w:p w14:paraId="42078391" w14:textId="77777777" w:rsidR="00590FE1" w:rsidRPr="00E65A90" w:rsidRDefault="00590FE1" w:rsidP="00403787">
            <w:pPr>
              <w:pStyle w:val="TableText"/>
              <w:spacing w:before="40" w:after="40"/>
              <w:rPr>
                <w:rFonts w:cs="Calibri"/>
                <w:szCs w:val="16"/>
              </w:rPr>
            </w:pPr>
            <w:r w:rsidRPr="00E65A90">
              <w:rPr>
                <w:rFonts w:cs="Calibri"/>
                <w:szCs w:val="16"/>
              </w:rPr>
              <w:t>2015</w:t>
            </w:r>
          </w:p>
        </w:tc>
        <w:tc>
          <w:tcPr>
            <w:tcW w:w="3828" w:type="dxa"/>
            <w:shd w:val="clear" w:color="auto" w:fill="auto"/>
          </w:tcPr>
          <w:p w14:paraId="354F2EBD" w14:textId="77777777" w:rsidR="00590FE1" w:rsidRPr="00E65A90" w:rsidRDefault="00590FE1" w:rsidP="00403787">
            <w:pPr>
              <w:pStyle w:val="TableText"/>
              <w:spacing w:before="40" w:after="40"/>
              <w:jc w:val="right"/>
              <w:rPr>
                <w:rFonts w:cs="Calibri"/>
                <w:color w:val="000000"/>
                <w:szCs w:val="16"/>
              </w:rPr>
            </w:pPr>
            <w:r w:rsidRPr="00E65A90">
              <w:rPr>
                <w:szCs w:val="16"/>
              </w:rPr>
              <w:t>16.2</w:t>
            </w:r>
          </w:p>
        </w:tc>
        <w:tc>
          <w:tcPr>
            <w:tcW w:w="3543" w:type="dxa"/>
            <w:shd w:val="clear" w:color="auto" w:fill="auto"/>
          </w:tcPr>
          <w:p w14:paraId="39C0D311" w14:textId="77777777" w:rsidR="00590FE1" w:rsidRPr="00E65A90" w:rsidRDefault="00590FE1" w:rsidP="00403787">
            <w:pPr>
              <w:pStyle w:val="TableText"/>
              <w:spacing w:before="40" w:after="40"/>
              <w:jc w:val="right"/>
              <w:rPr>
                <w:rFonts w:cs="Calibri"/>
                <w:color w:val="000000"/>
                <w:szCs w:val="16"/>
              </w:rPr>
            </w:pPr>
            <w:r w:rsidRPr="00E65A90">
              <w:rPr>
                <w:szCs w:val="16"/>
              </w:rPr>
              <w:t>11.6</w:t>
            </w:r>
          </w:p>
        </w:tc>
      </w:tr>
      <w:tr w:rsidR="00590FE1" w:rsidRPr="00E65A90" w14:paraId="2BF9CEC8" w14:textId="77777777" w:rsidTr="00403787">
        <w:tc>
          <w:tcPr>
            <w:tcW w:w="1134" w:type="dxa"/>
            <w:shd w:val="clear" w:color="auto" w:fill="auto"/>
          </w:tcPr>
          <w:p w14:paraId="5655ADE5" w14:textId="77777777" w:rsidR="00590FE1" w:rsidRPr="00E65A90" w:rsidRDefault="00590FE1" w:rsidP="00403787">
            <w:pPr>
              <w:pStyle w:val="TableText"/>
              <w:spacing w:before="40" w:after="40"/>
              <w:rPr>
                <w:rFonts w:cs="Calibri"/>
                <w:szCs w:val="16"/>
              </w:rPr>
            </w:pPr>
            <w:r w:rsidRPr="00E65A90">
              <w:rPr>
                <w:rFonts w:cs="Calibri"/>
                <w:szCs w:val="16"/>
              </w:rPr>
              <w:t>2016</w:t>
            </w:r>
          </w:p>
        </w:tc>
        <w:tc>
          <w:tcPr>
            <w:tcW w:w="3828" w:type="dxa"/>
            <w:shd w:val="clear" w:color="auto" w:fill="auto"/>
          </w:tcPr>
          <w:p w14:paraId="2FFD1E55" w14:textId="77777777" w:rsidR="00590FE1" w:rsidRPr="00E65A90" w:rsidRDefault="00590FE1" w:rsidP="00403787">
            <w:pPr>
              <w:pStyle w:val="TableText"/>
              <w:spacing w:before="40" w:after="40"/>
              <w:jc w:val="right"/>
              <w:rPr>
                <w:rFonts w:cs="Calibri"/>
                <w:color w:val="000000"/>
                <w:szCs w:val="16"/>
              </w:rPr>
            </w:pPr>
            <w:r w:rsidRPr="00E65A90">
              <w:rPr>
                <w:szCs w:val="16"/>
              </w:rPr>
              <w:t>26.5</w:t>
            </w:r>
          </w:p>
        </w:tc>
        <w:tc>
          <w:tcPr>
            <w:tcW w:w="3543" w:type="dxa"/>
            <w:shd w:val="clear" w:color="auto" w:fill="auto"/>
          </w:tcPr>
          <w:p w14:paraId="1C816B30" w14:textId="77777777" w:rsidR="00590FE1" w:rsidRPr="00E65A90" w:rsidRDefault="00590FE1" w:rsidP="00403787">
            <w:pPr>
              <w:pStyle w:val="TableText"/>
              <w:spacing w:before="40" w:after="40"/>
              <w:jc w:val="right"/>
              <w:rPr>
                <w:rFonts w:cs="Calibri"/>
                <w:color w:val="000000"/>
                <w:szCs w:val="16"/>
              </w:rPr>
            </w:pPr>
            <w:r w:rsidRPr="00E65A90">
              <w:rPr>
                <w:szCs w:val="16"/>
              </w:rPr>
              <w:t>17.9</w:t>
            </w:r>
          </w:p>
        </w:tc>
      </w:tr>
      <w:tr w:rsidR="00590FE1" w:rsidRPr="00E65A90" w14:paraId="286A6351" w14:textId="77777777" w:rsidTr="00403787">
        <w:tc>
          <w:tcPr>
            <w:tcW w:w="1134" w:type="dxa"/>
            <w:shd w:val="clear" w:color="auto" w:fill="auto"/>
          </w:tcPr>
          <w:p w14:paraId="297E86EE" w14:textId="77777777" w:rsidR="00590FE1" w:rsidRPr="00E65A90" w:rsidRDefault="00590FE1" w:rsidP="00403787">
            <w:pPr>
              <w:pStyle w:val="TableText"/>
              <w:spacing w:before="40" w:after="40"/>
              <w:rPr>
                <w:rFonts w:cs="Calibri"/>
                <w:szCs w:val="16"/>
              </w:rPr>
            </w:pPr>
            <w:r w:rsidRPr="00E65A90">
              <w:rPr>
                <w:rFonts w:cs="Calibri"/>
                <w:szCs w:val="16"/>
              </w:rPr>
              <w:t>2017</w:t>
            </w:r>
          </w:p>
        </w:tc>
        <w:tc>
          <w:tcPr>
            <w:tcW w:w="3828" w:type="dxa"/>
            <w:shd w:val="clear" w:color="auto" w:fill="auto"/>
          </w:tcPr>
          <w:p w14:paraId="760B1BBE" w14:textId="77777777" w:rsidR="00590FE1" w:rsidRPr="00E65A90" w:rsidRDefault="00590FE1" w:rsidP="00403787">
            <w:pPr>
              <w:pStyle w:val="TableText"/>
              <w:spacing w:before="40" w:after="40"/>
              <w:jc w:val="right"/>
              <w:rPr>
                <w:rFonts w:cs="Calibri"/>
                <w:szCs w:val="16"/>
              </w:rPr>
            </w:pPr>
            <w:r w:rsidRPr="00E65A90">
              <w:rPr>
                <w:szCs w:val="16"/>
              </w:rPr>
              <w:t>27.8</w:t>
            </w:r>
          </w:p>
        </w:tc>
        <w:tc>
          <w:tcPr>
            <w:tcW w:w="3543" w:type="dxa"/>
            <w:shd w:val="clear" w:color="auto" w:fill="auto"/>
          </w:tcPr>
          <w:p w14:paraId="23344C93" w14:textId="77777777" w:rsidR="00590FE1" w:rsidRPr="00E65A90" w:rsidRDefault="00590FE1" w:rsidP="00403787">
            <w:pPr>
              <w:pStyle w:val="TableText"/>
              <w:spacing w:before="40" w:after="40"/>
              <w:jc w:val="right"/>
              <w:rPr>
                <w:rFonts w:cs="Calibri"/>
                <w:szCs w:val="16"/>
              </w:rPr>
            </w:pPr>
            <w:r w:rsidRPr="00E65A90">
              <w:rPr>
                <w:szCs w:val="16"/>
              </w:rPr>
              <w:t>19.2</w:t>
            </w:r>
          </w:p>
        </w:tc>
      </w:tr>
      <w:tr w:rsidR="00590FE1" w:rsidRPr="00E65A90" w14:paraId="19056AA5" w14:textId="77777777" w:rsidTr="00403787">
        <w:tc>
          <w:tcPr>
            <w:tcW w:w="1134" w:type="dxa"/>
            <w:shd w:val="clear" w:color="auto" w:fill="auto"/>
          </w:tcPr>
          <w:p w14:paraId="1470F1F2" w14:textId="77777777" w:rsidR="00590FE1" w:rsidRPr="00E65A90" w:rsidRDefault="00590FE1" w:rsidP="00403787">
            <w:pPr>
              <w:pStyle w:val="TableText"/>
              <w:spacing w:before="40" w:after="40"/>
              <w:rPr>
                <w:rFonts w:cs="Calibri"/>
                <w:szCs w:val="16"/>
              </w:rPr>
            </w:pPr>
            <w:r w:rsidRPr="00E65A90">
              <w:rPr>
                <w:rFonts w:cs="Calibri"/>
                <w:szCs w:val="16"/>
              </w:rPr>
              <w:t>2018</w:t>
            </w:r>
          </w:p>
        </w:tc>
        <w:tc>
          <w:tcPr>
            <w:tcW w:w="3828" w:type="dxa"/>
            <w:shd w:val="clear" w:color="auto" w:fill="auto"/>
          </w:tcPr>
          <w:p w14:paraId="4BFE8A62" w14:textId="77777777" w:rsidR="00590FE1" w:rsidRPr="00E65A90" w:rsidRDefault="00590FE1" w:rsidP="00403787">
            <w:pPr>
              <w:pStyle w:val="TableText"/>
              <w:spacing w:before="40" w:after="40"/>
              <w:jc w:val="right"/>
              <w:rPr>
                <w:rFonts w:cs="Calibri"/>
                <w:szCs w:val="16"/>
              </w:rPr>
            </w:pPr>
            <w:r w:rsidRPr="00E65A90">
              <w:rPr>
                <w:szCs w:val="16"/>
              </w:rPr>
              <w:t>29.9</w:t>
            </w:r>
          </w:p>
        </w:tc>
        <w:tc>
          <w:tcPr>
            <w:tcW w:w="3543" w:type="dxa"/>
            <w:shd w:val="clear" w:color="auto" w:fill="auto"/>
          </w:tcPr>
          <w:p w14:paraId="7F0FB7A6" w14:textId="77777777" w:rsidR="00590FE1" w:rsidRPr="00E65A90" w:rsidRDefault="00590FE1" w:rsidP="00403787">
            <w:pPr>
              <w:pStyle w:val="TableText"/>
              <w:spacing w:before="40" w:after="40"/>
              <w:jc w:val="right"/>
              <w:rPr>
                <w:rFonts w:cs="Calibri"/>
                <w:szCs w:val="16"/>
              </w:rPr>
            </w:pPr>
            <w:r w:rsidRPr="00E65A90">
              <w:rPr>
                <w:szCs w:val="16"/>
              </w:rPr>
              <w:t>21.3</w:t>
            </w:r>
          </w:p>
        </w:tc>
      </w:tr>
      <w:tr w:rsidR="00590FE1" w:rsidRPr="00E65A90" w14:paraId="54FB9292" w14:textId="77777777" w:rsidTr="00403787">
        <w:tc>
          <w:tcPr>
            <w:tcW w:w="1134" w:type="dxa"/>
            <w:shd w:val="clear" w:color="auto" w:fill="auto"/>
          </w:tcPr>
          <w:p w14:paraId="7FD901D9" w14:textId="77777777" w:rsidR="00590FE1" w:rsidRPr="00E65A90" w:rsidRDefault="00590FE1" w:rsidP="00403787">
            <w:pPr>
              <w:pStyle w:val="TableText"/>
              <w:spacing w:before="40" w:after="40"/>
              <w:rPr>
                <w:rFonts w:cs="Calibri"/>
                <w:szCs w:val="16"/>
              </w:rPr>
            </w:pPr>
            <w:r w:rsidRPr="00E65A90">
              <w:rPr>
                <w:rFonts w:cs="Calibri"/>
                <w:szCs w:val="16"/>
              </w:rPr>
              <w:t>2019</w:t>
            </w:r>
          </w:p>
        </w:tc>
        <w:tc>
          <w:tcPr>
            <w:tcW w:w="3828" w:type="dxa"/>
            <w:shd w:val="clear" w:color="auto" w:fill="auto"/>
          </w:tcPr>
          <w:p w14:paraId="4328CDBB" w14:textId="77777777" w:rsidR="00590FE1" w:rsidRPr="00E65A90" w:rsidRDefault="00590FE1" w:rsidP="00403787">
            <w:pPr>
              <w:pStyle w:val="TableText"/>
              <w:spacing w:before="40" w:after="40"/>
              <w:jc w:val="right"/>
              <w:rPr>
                <w:rFonts w:cs="Calibri"/>
                <w:szCs w:val="16"/>
              </w:rPr>
            </w:pPr>
            <w:r w:rsidRPr="00E65A90">
              <w:rPr>
                <w:szCs w:val="16"/>
              </w:rPr>
              <w:t>35.5</w:t>
            </w:r>
          </w:p>
        </w:tc>
        <w:tc>
          <w:tcPr>
            <w:tcW w:w="3543" w:type="dxa"/>
            <w:shd w:val="clear" w:color="auto" w:fill="auto"/>
          </w:tcPr>
          <w:p w14:paraId="0F6947FE" w14:textId="77777777" w:rsidR="00590FE1" w:rsidRPr="00E65A90" w:rsidRDefault="00590FE1" w:rsidP="00403787">
            <w:pPr>
              <w:pStyle w:val="TableText"/>
              <w:spacing w:before="40" w:after="40"/>
              <w:jc w:val="right"/>
              <w:rPr>
                <w:rFonts w:cs="Calibri"/>
                <w:szCs w:val="16"/>
              </w:rPr>
            </w:pPr>
            <w:r w:rsidRPr="00E65A90">
              <w:rPr>
                <w:szCs w:val="16"/>
              </w:rPr>
              <w:t>23.8</w:t>
            </w:r>
          </w:p>
        </w:tc>
      </w:tr>
      <w:tr w:rsidR="00590FE1" w:rsidRPr="00E65A90" w14:paraId="422E0145" w14:textId="77777777" w:rsidTr="00403787">
        <w:tc>
          <w:tcPr>
            <w:tcW w:w="1134" w:type="dxa"/>
            <w:shd w:val="clear" w:color="auto" w:fill="auto"/>
          </w:tcPr>
          <w:p w14:paraId="5232C6D3" w14:textId="77777777" w:rsidR="00590FE1" w:rsidRPr="00E65A90" w:rsidRDefault="00590FE1" w:rsidP="00403787">
            <w:pPr>
              <w:pStyle w:val="TableText"/>
              <w:spacing w:before="40" w:after="40"/>
              <w:rPr>
                <w:rFonts w:cs="Calibri"/>
                <w:szCs w:val="16"/>
              </w:rPr>
            </w:pPr>
            <w:r w:rsidRPr="00E65A90">
              <w:rPr>
                <w:rFonts w:cs="Calibri"/>
                <w:szCs w:val="16"/>
              </w:rPr>
              <w:t>2020</w:t>
            </w:r>
          </w:p>
        </w:tc>
        <w:tc>
          <w:tcPr>
            <w:tcW w:w="3828" w:type="dxa"/>
            <w:shd w:val="clear" w:color="auto" w:fill="auto"/>
          </w:tcPr>
          <w:p w14:paraId="01027A0D" w14:textId="77777777" w:rsidR="00590FE1" w:rsidRPr="00E65A90" w:rsidRDefault="00590FE1" w:rsidP="00403787">
            <w:pPr>
              <w:pStyle w:val="TableText"/>
              <w:spacing w:before="40" w:after="40"/>
              <w:jc w:val="right"/>
              <w:rPr>
                <w:szCs w:val="16"/>
              </w:rPr>
            </w:pPr>
            <w:r w:rsidRPr="00E65A90">
              <w:rPr>
                <w:szCs w:val="16"/>
              </w:rPr>
              <w:t>41.8</w:t>
            </w:r>
          </w:p>
        </w:tc>
        <w:tc>
          <w:tcPr>
            <w:tcW w:w="3543" w:type="dxa"/>
            <w:shd w:val="clear" w:color="auto" w:fill="auto"/>
          </w:tcPr>
          <w:p w14:paraId="5710FFB1" w14:textId="77777777" w:rsidR="00590FE1" w:rsidRPr="00E65A90" w:rsidRDefault="00590FE1" w:rsidP="00403787">
            <w:pPr>
              <w:pStyle w:val="TableText"/>
              <w:spacing w:before="40" w:after="40"/>
              <w:jc w:val="right"/>
              <w:rPr>
                <w:szCs w:val="16"/>
              </w:rPr>
            </w:pPr>
            <w:r w:rsidRPr="00E65A90">
              <w:rPr>
                <w:szCs w:val="16"/>
              </w:rPr>
              <w:t>26.6</w:t>
            </w:r>
          </w:p>
        </w:tc>
      </w:tr>
      <w:tr w:rsidR="00590FE1" w:rsidRPr="00E65A90" w14:paraId="549221C2" w14:textId="77777777" w:rsidTr="00403787">
        <w:tc>
          <w:tcPr>
            <w:tcW w:w="1134" w:type="dxa"/>
            <w:shd w:val="clear" w:color="auto" w:fill="auto"/>
          </w:tcPr>
          <w:p w14:paraId="79F37C72" w14:textId="77777777" w:rsidR="00590FE1" w:rsidRPr="00E65A90" w:rsidRDefault="00590FE1" w:rsidP="00403787">
            <w:pPr>
              <w:pStyle w:val="TableText"/>
              <w:spacing w:before="40" w:after="40"/>
              <w:rPr>
                <w:rFonts w:cs="Calibri"/>
                <w:szCs w:val="16"/>
              </w:rPr>
            </w:pPr>
            <w:r w:rsidRPr="00E65A90">
              <w:rPr>
                <w:rFonts w:cs="Calibri"/>
                <w:szCs w:val="16"/>
              </w:rPr>
              <w:t>2021</w:t>
            </w:r>
          </w:p>
        </w:tc>
        <w:tc>
          <w:tcPr>
            <w:tcW w:w="3828" w:type="dxa"/>
            <w:shd w:val="clear" w:color="auto" w:fill="auto"/>
          </w:tcPr>
          <w:p w14:paraId="0CFA0D17" w14:textId="77777777" w:rsidR="00590FE1" w:rsidRPr="00E65A90" w:rsidRDefault="00590FE1" w:rsidP="00403787">
            <w:pPr>
              <w:pStyle w:val="TableText"/>
              <w:spacing w:before="40" w:after="40"/>
              <w:jc w:val="right"/>
              <w:rPr>
                <w:rFonts w:cs="Calibri"/>
                <w:szCs w:val="16"/>
              </w:rPr>
            </w:pPr>
            <w:r w:rsidRPr="00E65A90">
              <w:rPr>
                <w:szCs w:val="16"/>
              </w:rPr>
              <w:t>50.1</w:t>
            </w:r>
          </w:p>
        </w:tc>
        <w:tc>
          <w:tcPr>
            <w:tcW w:w="3543" w:type="dxa"/>
            <w:shd w:val="clear" w:color="auto" w:fill="auto"/>
          </w:tcPr>
          <w:p w14:paraId="6FD4DF94" w14:textId="77777777" w:rsidR="00590FE1" w:rsidRPr="00E65A90" w:rsidRDefault="00590FE1" w:rsidP="00403787">
            <w:pPr>
              <w:pStyle w:val="TableText"/>
              <w:spacing w:before="40" w:after="40"/>
              <w:jc w:val="right"/>
              <w:rPr>
                <w:rFonts w:cs="Calibri"/>
                <w:szCs w:val="16"/>
              </w:rPr>
            </w:pPr>
            <w:r w:rsidRPr="00E65A90">
              <w:rPr>
                <w:szCs w:val="16"/>
              </w:rPr>
              <w:t>32.6</w:t>
            </w:r>
          </w:p>
        </w:tc>
      </w:tr>
      <w:tr w:rsidR="00590FE1" w:rsidRPr="00E65A90" w14:paraId="16D74943" w14:textId="77777777" w:rsidTr="00403787">
        <w:tc>
          <w:tcPr>
            <w:tcW w:w="1134" w:type="dxa"/>
            <w:shd w:val="clear" w:color="auto" w:fill="auto"/>
          </w:tcPr>
          <w:p w14:paraId="0525E606" w14:textId="77777777" w:rsidR="00590FE1" w:rsidRPr="00E65A90" w:rsidRDefault="00590FE1" w:rsidP="00403787">
            <w:pPr>
              <w:pStyle w:val="TableText"/>
              <w:spacing w:before="40" w:after="40"/>
              <w:rPr>
                <w:rFonts w:cs="Calibri"/>
                <w:szCs w:val="16"/>
              </w:rPr>
            </w:pPr>
            <w:r w:rsidRPr="00E65A90">
              <w:rPr>
                <w:rFonts w:cs="Calibri"/>
                <w:szCs w:val="16"/>
              </w:rPr>
              <w:t>2022</w:t>
            </w:r>
          </w:p>
        </w:tc>
        <w:tc>
          <w:tcPr>
            <w:tcW w:w="3828" w:type="dxa"/>
            <w:shd w:val="clear" w:color="auto" w:fill="auto"/>
          </w:tcPr>
          <w:p w14:paraId="19F61FCA" w14:textId="77777777" w:rsidR="00590FE1" w:rsidRPr="00E65A90" w:rsidRDefault="00590FE1" w:rsidP="00403787">
            <w:pPr>
              <w:pStyle w:val="TableText"/>
              <w:spacing w:before="40" w:after="40"/>
              <w:jc w:val="right"/>
              <w:rPr>
                <w:rFonts w:cs="Calibri"/>
                <w:szCs w:val="16"/>
              </w:rPr>
            </w:pPr>
            <w:r w:rsidRPr="00E65A90">
              <w:rPr>
                <w:szCs w:val="16"/>
              </w:rPr>
              <w:t>59.8</w:t>
            </w:r>
          </w:p>
        </w:tc>
        <w:tc>
          <w:tcPr>
            <w:tcW w:w="3543" w:type="dxa"/>
            <w:shd w:val="clear" w:color="auto" w:fill="auto"/>
          </w:tcPr>
          <w:p w14:paraId="122E5749" w14:textId="77777777" w:rsidR="00590FE1" w:rsidRPr="00E65A90" w:rsidRDefault="00590FE1" w:rsidP="00403787">
            <w:pPr>
              <w:pStyle w:val="TableText"/>
              <w:spacing w:before="40" w:after="40"/>
              <w:jc w:val="right"/>
              <w:rPr>
                <w:rFonts w:cs="Calibri"/>
                <w:szCs w:val="16"/>
              </w:rPr>
            </w:pPr>
            <w:r w:rsidRPr="00E65A90">
              <w:rPr>
                <w:szCs w:val="16"/>
              </w:rPr>
              <w:t>27.0</w:t>
            </w:r>
          </w:p>
        </w:tc>
      </w:tr>
      <w:tr w:rsidR="00590FE1" w:rsidRPr="00E65A90" w14:paraId="33DA976F" w14:textId="77777777" w:rsidTr="00403787">
        <w:tc>
          <w:tcPr>
            <w:tcW w:w="1134" w:type="dxa"/>
            <w:shd w:val="clear" w:color="auto" w:fill="auto"/>
          </w:tcPr>
          <w:p w14:paraId="5C225C97" w14:textId="77777777" w:rsidR="00590FE1" w:rsidRPr="00E65A90" w:rsidRDefault="00590FE1" w:rsidP="00403787">
            <w:pPr>
              <w:pStyle w:val="TableText"/>
              <w:spacing w:before="40" w:after="40"/>
              <w:rPr>
                <w:rFonts w:cs="Calibri"/>
                <w:szCs w:val="16"/>
              </w:rPr>
            </w:pPr>
            <w:r w:rsidRPr="00E65A90">
              <w:rPr>
                <w:rFonts w:cs="Calibri"/>
                <w:szCs w:val="16"/>
              </w:rPr>
              <w:t>2023</w:t>
            </w:r>
          </w:p>
        </w:tc>
        <w:tc>
          <w:tcPr>
            <w:tcW w:w="3828" w:type="dxa"/>
            <w:shd w:val="clear" w:color="auto" w:fill="auto"/>
          </w:tcPr>
          <w:p w14:paraId="2D46F11C" w14:textId="77777777" w:rsidR="00590FE1" w:rsidRPr="00E65A90" w:rsidRDefault="00590FE1" w:rsidP="00403787">
            <w:pPr>
              <w:pStyle w:val="TableText"/>
              <w:spacing w:before="40" w:after="40"/>
              <w:jc w:val="right"/>
              <w:rPr>
                <w:szCs w:val="16"/>
              </w:rPr>
            </w:pPr>
            <w:r w:rsidRPr="00E65A90">
              <w:rPr>
                <w:szCs w:val="16"/>
              </w:rPr>
              <w:t>47.6</w:t>
            </w:r>
          </w:p>
        </w:tc>
        <w:tc>
          <w:tcPr>
            <w:tcW w:w="3543" w:type="dxa"/>
            <w:shd w:val="clear" w:color="auto" w:fill="auto"/>
          </w:tcPr>
          <w:p w14:paraId="159C9A5D" w14:textId="77777777" w:rsidR="00590FE1" w:rsidRPr="00E65A90" w:rsidRDefault="00590FE1" w:rsidP="00403787">
            <w:pPr>
              <w:pStyle w:val="TableText"/>
              <w:spacing w:before="40" w:after="40"/>
              <w:jc w:val="right"/>
              <w:rPr>
                <w:szCs w:val="16"/>
              </w:rPr>
            </w:pPr>
            <w:r w:rsidRPr="00E65A90">
              <w:rPr>
                <w:szCs w:val="16"/>
              </w:rPr>
              <w:t>23.8</w:t>
            </w:r>
          </w:p>
        </w:tc>
      </w:tr>
    </w:tbl>
    <w:p w14:paraId="63F05942" w14:textId="77777777" w:rsidR="00590FE1" w:rsidRPr="001D5327" w:rsidRDefault="00590FE1" w:rsidP="00590FE1">
      <w:pPr>
        <w:pStyle w:val="Source"/>
        <w:spacing w:after="120"/>
        <w:rPr>
          <w:rFonts w:cs="Calibri"/>
          <w:szCs w:val="24"/>
        </w:rPr>
      </w:pPr>
      <w:r w:rsidRPr="001D5327">
        <w:rPr>
          <w:rFonts w:cs="Calibri"/>
          <w:szCs w:val="24"/>
        </w:rPr>
        <w:t>Source:</w:t>
      </w:r>
      <w:r w:rsidRPr="001D5327">
        <w:rPr>
          <w:rFonts w:cs="Calibri"/>
          <w:szCs w:val="24"/>
        </w:rPr>
        <w:tab/>
        <w:t>Fertiliser Association of New Zealand and Ballance Agri-Nutrients Limited</w:t>
      </w:r>
    </w:p>
    <w:p w14:paraId="169D3450" w14:textId="77777777" w:rsidR="00590FE1" w:rsidRPr="001D5327" w:rsidRDefault="00590FE1" w:rsidP="00590FE1">
      <w:pPr>
        <w:pStyle w:val="Heading5"/>
      </w:pPr>
      <w:r w:rsidRPr="001D5327">
        <w:t xml:space="preserve">Nitrification inhibitor dicyandiamide </w:t>
      </w:r>
    </w:p>
    <w:p w14:paraId="27EC93CA" w14:textId="77777777" w:rsidR="00590FE1" w:rsidRPr="001D5327" w:rsidRDefault="00590FE1" w:rsidP="00590FE1">
      <w:pPr>
        <w:pStyle w:val="BodyText"/>
      </w:pPr>
      <w:r w:rsidRPr="001D5327">
        <w:t xml:space="preserve">The </w:t>
      </w:r>
      <w:r w:rsidRPr="001D5327">
        <w:rPr>
          <w:spacing w:val="-2"/>
        </w:rPr>
        <w:t>N</w:t>
      </w:r>
      <w:r w:rsidRPr="001D5327">
        <w:rPr>
          <w:spacing w:val="-2"/>
          <w:vertAlign w:val="subscript"/>
        </w:rPr>
        <w:t>2</w:t>
      </w:r>
      <w:r w:rsidRPr="001D5327">
        <w:rPr>
          <w:spacing w:val="-2"/>
        </w:rPr>
        <w:t>O</w:t>
      </w:r>
      <w:r w:rsidRPr="001D5327">
        <w:t xml:space="preserve"> emissions reported in the </w:t>
      </w:r>
      <w:r w:rsidRPr="001D5327">
        <w:rPr>
          <w:i/>
          <w:iCs/>
        </w:rPr>
        <w:t>Agricultural soils</w:t>
      </w:r>
      <w:r w:rsidRPr="001D5327">
        <w:t> category take into account the use of nitrification inhibitors on dairy farms using the methodology described in Clough et al. (2008). Greenhouse gas mitigation estimates from DCD are reported in the Agriculture inventory sector only up until 2012, because sales were suspended that year due to the detection of low levels of DCD residues in milk.</w:t>
      </w:r>
    </w:p>
    <w:p w14:paraId="39EE8519" w14:textId="77777777" w:rsidR="00590FE1" w:rsidRPr="001D5327" w:rsidRDefault="00590FE1" w:rsidP="00590FE1">
      <w:pPr>
        <w:pStyle w:val="BodyText"/>
      </w:pPr>
      <w:r w:rsidRPr="001D5327">
        <w:t xml:space="preserve">Research has shown that DCD reduces </w:t>
      </w:r>
      <w:r w:rsidRPr="001D5327">
        <w:rPr>
          <w:spacing w:val="-2"/>
        </w:rPr>
        <w:t>N</w:t>
      </w:r>
      <w:r w:rsidRPr="001D5327">
        <w:rPr>
          <w:spacing w:val="-2"/>
          <w:vertAlign w:val="subscript"/>
        </w:rPr>
        <w:t>2</w:t>
      </w:r>
      <w:r w:rsidRPr="001D5327">
        <w:rPr>
          <w:spacing w:val="-2"/>
        </w:rPr>
        <w:t>O</w:t>
      </w:r>
      <w:r w:rsidRPr="001D5327">
        <w:t xml:space="preserve"> emissions and nitrate (NO</w:t>
      </w:r>
      <w:r w:rsidRPr="001D5327">
        <w:rPr>
          <w:vertAlign w:val="subscript"/>
        </w:rPr>
        <w:t>3</w:t>
      </w:r>
      <w:r w:rsidRPr="001D5327">
        <w:t>–) leaching in pastoral grassland systems grazed by ruminant animals. The Agriculture inventory model methodology incorporates DCD use by modifying the emission factors EF</w:t>
      </w:r>
      <w:r w:rsidRPr="001D5327">
        <w:rPr>
          <w:vertAlign w:val="subscript"/>
        </w:rPr>
        <w:t>3(PRP)</w:t>
      </w:r>
      <w:r w:rsidRPr="001D5327">
        <w:t xml:space="preserve"> and the parameter Frac</w:t>
      </w:r>
      <w:r w:rsidRPr="001D5327">
        <w:rPr>
          <w:vertAlign w:val="subscript"/>
        </w:rPr>
        <w:t>LEACH</w:t>
      </w:r>
      <w:r w:rsidRPr="001D5327">
        <w:t xml:space="preserve"> (see table 5.5.5). These were modified based on comprehensive field-based research that showed significant reductions in direct and indirect </w:t>
      </w:r>
      <w:r w:rsidRPr="001D5327">
        <w:rPr>
          <w:spacing w:val="-2"/>
        </w:rPr>
        <w:t>N</w:t>
      </w:r>
      <w:r w:rsidRPr="001D5327">
        <w:rPr>
          <w:spacing w:val="-2"/>
          <w:vertAlign w:val="subscript"/>
        </w:rPr>
        <w:t>2</w:t>
      </w:r>
      <w:r w:rsidRPr="001D5327">
        <w:rPr>
          <w:spacing w:val="-2"/>
        </w:rPr>
        <w:t>O</w:t>
      </w:r>
      <w:r w:rsidRPr="001D5327">
        <w:t xml:space="preserve"> emissions and NO</w:t>
      </w:r>
      <w:r w:rsidRPr="001D5327">
        <w:rPr>
          <w:vertAlign w:val="subscript"/>
        </w:rPr>
        <w:t>3</w:t>
      </w:r>
      <w:r w:rsidRPr="001D5327">
        <w:t>– leaching where the DCD was applied. It was determined that, on a national basis, reductions in EF</w:t>
      </w:r>
      <w:r w:rsidRPr="001D5327">
        <w:rPr>
          <w:vertAlign w:val="subscript"/>
        </w:rPr>
        <w:t>3(PRP)</w:t>
      </w:r>
      <w:r w:rsidRPr="001D5327">
        <w:t xml:space="preserve"> and Frac</w:t>
      </w:r>
      <w:r w:rsidRPr="001D5327">
        <w:rPr>
          <w:vertAlign w:val="subscript"/>
        </w:rPr>
        <w:t>LEACH</w:t>
      </w:r>
      <w:r w:rsidRPr="001D5327">
        <w:t xml:space="preserve"> of 67 per cent and 53 per cent respectively could be made (Clough et al., 2008). </w:t>
      </w:r>
    </w:p>
    <w:p w14:paraId="0E74EC52" w14:textId="77777777" w:rsidR="00590FE1" w:rsidRPr="001D5327" w:rsidRDefault="00590FE1" w:rsidP="00590FE1">
      <w:pPr>
        <w:pStyle w:val="BodyText"/>
      </w:pPr>
      <w:r w:rsidRPr="001D5327">
        <w:t>Limited research has been conducted</w:t>
      </w:r>
      <w:r w:rsidRPr="001D5327" w:rsidDel="00F66615">
        <w:t xml:space="preserve"> </w:t>
      </w:r>
      <w:r w:rsidRPr="001D5327">
        <w:t>concerning the effect of DCD on dung (EF</w:t>
      </w:r>
      <w:r w:rsidRPr="001D5327">
        <w:rPr>
          <w:vertAlign w:val="subscript"/>
        </w:rPr>
        <w:t>3(PRP-DUNG)</w:t>
      </w:r>
      <w:r w:rsidRPr="001D5327">
        <w:t>); however, this research was inconclusive and further work needs to be carried out before incorporating the impact of dung emissions into the Agriculture inventory model. Application of this inhibitor was found to have no effect on NH</w:t>
      </w:r>
      <w:r w:rsidRPr="001D5327">
        <w:rPr>
          <w:vertAlign w:val="subscript"/>
        </w:rPr>
        <w:t>3</w:t>
      </w:r>
      <w:r w:rsidRPr="001D5327">
        <w:t xml:space="preserve"> volatilisation, which is supported by the results of field studies (Clough et al., 2008; Sherlock et al., 2008). Therefore, the parameter for volatilisation remains unchanged.</w:t>
      </w:r>
    </w:p>
    <w:p w14:paraId="369AD045" w14:textId="77777777" w:rsidR="00590FE1" w:rsidRPr="001D5327" w:rsidRDefault="00590FE1" w:rsidP="00590FE1">
      <w:pPr>
        <w:pStyle w:val="BodyText"/>
        <w:rPr>
          <w:rFonts w:cs="Calibri"/>
        </w:rPr>
      </w:pPr>
      <w:r w:rsidRPr="001D5327">
        <w:rPr>
          <w:rFonts w:cs="Calibri"/>
        </w:rPr>
        <w:t>The DCD weighting factors are calculated based on reductions in emission factors and parameters, and the fraction of dairy land treated with the inhibitor, as follows:</w:t>
      </w:r>
    </w:p>
    <w:p w14:paraId="6C34AFAB" w14:textId="77777777" w:rsidR="00590FE1" w:rsidRPr="001D5327" w:rsidRDefault="00590FE1" w:rsidP="00590FE1">
      <w:pPr>
        <w:pStyle w:val="BodyText"/>
        <w:jc w:val="center"/>
      </w:pPr>
      <w:bookmarkStart w:id="1260" w:name="_1767787262"/>
      <w:bookmarkEnd w:id="1260"/>
      <w:r w:rsidRPr="001D5327">
        <w:rPr>
          <w:rFonts w:ascii="Cambria Math" w:hAnsi="Cambria Math"/>
          <w:i/>
          <w:sz w:val="24"/>
          <w:szCs w:val="24"/>
        </w:rPr>
        <w:t xml:space="preserve"> </w:t>
      </w:r>
      <m:oMath>
        <m:r>
          <w:rPr>
            <w:rFonts w:ascii="Cambria Math" w:hAnsi="Cambria Math"/>
            <w:sz w:val="24"/>
            <w:szCs w:val="24"/>
          </w:rPr>
          <m:t>DCD weighting factor=</m:t>
        </m:r>
        <m:d>
          <m:dPr>
            <m:ctrlPr>
              <w:rPr>
                <w:rFonts w:ascii="Cambria Math" w:hAnsi="Cambria Math"/>
                <w:i/>
                <w:sz w:val="24"/>
                <w:szCs w:val="24"/>
              </w:rPr>
            </m:ctrlPr>
          </m:dPr>
          <m:e>
            <m:r>
              <w:rPr>
                <w:rFonts w:ascii="Cambria Math" w:hAnsi="Cambria Math"/>
                <w:sz w:val="24"/>
                <w:szCs w:val="24"/>
              </w:rPr>
              <m:t>1-</m:t>
            </m:r>
            <m:f>
              <m:fPr>
                <m:ctrlPr>
                  <w:rPr>
                    <w:rFonts w:ascii="Cambria Math" w:hAnsi="Cambria Math"/>
                    <w:i/>
                    <w:sz w:val="24"/>
                    <w:szCs w:val="24"/>
                  </w:rPr>
                </m:ctrlPr>
              </m:fPr>
              <m:num>
                <m:r>
                  <w:rPr>
                    <w:rFonts w:ascii="Cambria Math" w:hAnsi="Cambria Math"/>
                    <w:sz w:val="24"/>
                    <w:szCs w:val="24"/>
                  </w:rPr>
                  <m:t>% reduction in E</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x</m:t>
                    </m:r>
                  </m:sub>
                </m:sSub>
              </m:num>
              <m:den>
                <m:r>
                  <w:rPr>
                    <w:rFonts w:ascii="Cambria Math" w:hAnsi="Cambria Math"/>
                    <w:sz w:val="24"/>
                    <w:szCs w:val="24"/>
                  </w:rPr>
                  <m:t>100</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DCD area treated</m:t>
                </m:r>
              </m:num>
              <m:den>
                <m:r>
                  <w:rPr>
                    <w:rFonts w:ascii="Cambria Math" w:hAnsi="Cambria Math"/>
                    <w:sz w:val="24"/>
                    <w:szCs w:val="24"/>
                  </w:rPr>
                  <m:t>Total area of dairy land</m:t>
                </m:r>
              </m:den>
            </m:f>
          </m:e>
        </m:d>
      </m:oMath>
    </w:p>
    <w:p w14:paraId="3C4433B3" w14:textId="77777777" w:rsidR="00590FE1" w:rsidRPr="001D5327" w:rsidRDefault="00590FE1" w:rsidP="00590FE1">
      <w:pPr>
        <w:pStyle w:val="BodyText"/>
      </w:pPr>
      <w:r w:rsidRPr="001D5327">
        <w:rPr>
          <w:rFonts w:cs="Calibri"/>
          <w:spacing w:val="-2"/>
        </w:rPr>
        <w:t>The appropriate weighting factor is then used as an additional multiplier in the current methodology for calculating indirect and direct emissions of N</w:t>
      </w:r>
      <w:r w:rsidRPr="001D5327">
        <w:rPr>
          <w:rFonts w:cs="Calibri"/>
          <w:spacing w:val="-2"/>
          <w:vertAlign w:val="subscript"/>
        </w:rPr>
        <w:t>2</w:t>
      </w:r>
      <w:r w:rsidRPr="001D5327">
        <w:rPr>
          <w:rFonts w:cs="Calibri"/>
          <w:spacing w:val="-2"/>
        </w:rPr>
        <w:t>O from grazed pastures, in effect creating a modified EF</w:t>
      </w:r>
      <w:r w:rsidRPr="001D5327">
        <w:rPr>
          <w:rFonts w:cs="Calibri"/>
          <w:spacing w:val="-2"/>
          <w:vertAlign w:val="subscript"/>
        </w:rPr>
        <w:t xml:space="preserve">3(PRP) </w:t>
      </w:r>
      <w:r w:rsidRPr="001D5327">
        <w:rPr>
          <w:rFonts w:cs="Calibri"/>
          <w:spacing w:val="-2"/>
        </w:rPr>
        <w:t>and Frac</w:t>
      </w:r>
      <w:r w:rsidRPr="001D5327">
        <w:rPr>
          <w:rFonts w:cs="Calibri"/>
          <w:spacing w:val="-2"/>
          <w:vertAlign w:val="subscript"/>
        </w:rPr>
        <w:t xml:space="preserve">LEACH </w:t>
      </w:r>
      <w:r w:rsidRPr="001D5327">
        <w:rPr>
          <w:rFonts w:cs="Calibri"/>
          <w:spacing w:val="-2"/>
        </w:rPr>
        <w:t xml:space="preserve">for the dairy grazing area in the months that the inhibitor is applied and is effective (May to September). The modified emission factors (see table 5.5.10) are based on information from the Stats NZ Agricultural Production Survey that 2.9 per cent of the effective dairy land area in New Zealand received DCD in 2012. The inhibitor was applied to </w:t>
      </w:r>
      <w:r w:rsidRPr="001D5327">
        <w:rPr>
          <w:rFonts w:cs="Calibri"/>
          <w:spacing w:val="-2"/>
        </w:rPr>
        <w:lastRenderedPageBreak/>
        <w:t>pastures as either a slurry or DCD-coated granule to maximise N</w:t>
      </w:r>
      <w:r w:rsidRPr="001D5327">
        <w:rPr>
          <w:rFonts w:cs="Calibri"/>
          <w:spacing w:val="-2"/>
          <w:vertAlign w:val="subscript"/>
        </w:rPr>
        <w:t>2</w:t>
      </w:r>
      <w:r w:rsidRPr="001D5327">
        <w:rPr>
          <w:rFonts w:cs="Calibri"/>
          <w:spacing w:val="-2"/>
        </w:rPr>
        <w:t xml:space="preserve">O emission reductions. </w:t>
      </w:r>
      <w:r w:rsidRPr="001D5327">
        <w:rPr>
          <w:rFonts w:cs="Calibri"/>
        </w:rPr>
        <w:t xml:space="preserve">Mitigation estimates for the calendar years 2007 to 2012 are shown in table 5.5.10. </w:t>
      </w:r>
    </w:p>
    <w:p w14:paraId="1F80282E" w14:textId="77777777" w:rsidR="00590FE1" w:rsidRPr="001D5327" w:rsidRDefault="00590FE1" w:rsidP="00590FE1">
      <w:pPr>
        <w:pStyle w:val="Table"/>
        <w:rPr>
          <w:rFonts w:cs="Calibri"/>
        </w:rPr>
      </w:pPr>
      <w:bookmarkStart w:id="1261" w:name="_Toc441830885"/>
      <w:bookmarkStart w:id="1262" w:name="_Toc451176099"/>
      <w:bookmarkStart w:id="1263" w:name="_Toc481751527"/>
      <w:bookmarkStart w:id="1264" w:name="_Toc507158615"/>
      <w:bookmarkStart w:id="1265" w:name="_Toc511116749"/>
      <w:bookmarkStart w:id="1266" w:name="_Toc5269491"/>
      <w:bookmarkStart w:id="1267" w:name="_Toc32570936"/>
      <w:bookmarkStart w:id="1268" w:name="_Toc36224571"/>
      <w:bookmarkStart w:id="1269" w:name="_Toc68786456"/>
      <w:bookmarkStart w:id="1270" w:name="_Toc95574089"/>
      <w:bookmarkStart w:id="1271" w:name="_Toc127458276"/>
      <w:bookmarkStart w:id="1272" w:name="_Toc131591372"/>
      <w:bookmarkStart w:id="1273" w:name="_Toc160114466"/>
      <w:bookmarkStart w:id="1274" w:name="_Toc164153862"/>
      <w:bookmarkStart w:id="1275" w:name="_Toc194241734"/>
      <w:r w:rsidRPr="001D5327">
        <w:rPr>
          <w:rFonts w:cs="Calibri"/>
        </w:rPr>
        <w:t>Table 5.5.10</w:t>
      </w:r>
      <w:r w:rsidRPr="001D5327">
        <w:rPr>
          <w:rFonts w:cs="Calibri"/>
        </w:rPr>
        <w:tab/>
        <w:t xml:space="preserve">Emission factors, parameters and mitigation for </w:t>
      </w:r>
      <w:r w:rsidRPr="001D5327">
        <w:rPr>
          <w:rFonts w:cs="Calibri"/>
          <w:spacing w:val="-2"/>
        </w:rPr>
        <w:t>New Zealand’s</w:t>
      </w:r>
      <w:r w:rsidRPr="001D5327">
        <w:rPr>
          <w:rFonts w:cs="Calibri"/>
        </w:rPr>
        <w:t xml:space="preserve"> dicyandiamide inhibitor calculations</w:t>
      </w:r>
      <w:bookmarkEnd w:id="1261"/>
      <w:r w:rsidRPr="001D5327">
        <w:rPr>
          <w:rFonts w:cs="Calibri"/>
        </w:rPr>
        <w:t>, from 2007 to 2012</w:t>
      </w:r>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p>
    <w:tbl>
      <w:tblPr>
        <w:tblW w:w="8505" w:type="dxa"/>
        <w:tblBorders>
          <w:top w:val="single" w:sz="4" w:space="0" w:color="1B556B" w:themeColor="text2"/>
          <w:bottom w:val="single" w:sz="4" w:space="0" w:color="1B556B" w:themeColor="text2"/>
          <w:insideH w:val="single" w:sz="4" w:space="0" w:color="1B556B" w:themeColor="text2"/>
        </w:tblBorders>
        <w:tblLayout w:type="fixed"/>
        <w:tblCellMar>
          <w:left w:w="85" w:type="dxa"/>
          <w:right w:w="85" w:type="dxa"/>
        </w:tblCellMar>
        <w:tblLook w:val="00A0" w:firstRow="1" w:lastRow="0" w:firstColumn="1" w:lastColumn="0" w:noHBand="0" w:noVBand="0"/>
      </w:tblPr>
      <w:tblGrid>
        <w:gridCol w:w="3635"/>
        <w:gridCol w:w="728"/>
        <w:gridCol w:w="845"/>
        <w:gridCol w:w="846"/>
        <w:gridCol w:w="845"/>
        <w:gridCol w:w="846"/>
        <w:gridCol w:w="760"/>
      </w:tblGrid>
      <w:tr w:rsidR="00590FE1" w:rsidRPr="001D5327" w14:paraId="7B00AA94" w14:textId="77777777" w:rsidTr="00403787">
        <w:trPr>
          <w:tblHeader/>
        </w:trPr>
        <w:tc>
          <w:tcPr>
            <w:tcW w:w="3635" w:type="dxa"/>
            <w:shd w:val="clear" w:color="auto" w:fill="1B556B"/>
          </w:tcPr>
          <w:p w14:paraId="12923180" w14:textId="77777777" w:rsidR="00590FE1" w:rsidRPr="001D5327" w:rsidRDefault="00590FE1" w:rsidP="00403787">
            <w:pPr>
              <w:pStyle w:val="TableTextBold"/>
              <w:keepNext/>
              <w:spacing w:before="50" w:after="50"/>
              <w:jc w:val="center"/>
              <w:rPr>
                <w:noProof w:val="0"/>
                <w:color w:val="FFFFFF" w:themeColor="background1"/>
              </w:rPr>
            </w:pPr>
          </w:p>
        </w:tc>
        <w:tc>
          <w:tcPr>
            <w:tcW w:w="728" w:type="dxa"/>
            <w:shd w:val="clear" w:color="auto" w:fill="1B556B"/>
          </w:tcPr>
          <w:p w14:paraId="0D81A53D" w14:textId="77777777" w:rsidR="00590FE1" w:rsidRPr="001D5327" w:rsidRDefault="00590FE1" w:rsidP="00403787">
            <w:pPr>
              <w:pStyle w:val="TableTextBold"/>
              <w:spacing w:before="50" w:after="50"/>
              <w:jc w:val="right"/>
              <w:rPr>
                <w:i/>
                <w:iCs/>
                <w:noProof w:val="0"/>
                <w:color w:val="FFFFFF" w:themeColor="background1"/>
              </w:rPr>
            </w:pPr>
            <w:r w:rsidRPr="001D5327">
              <w:rPr>
                <w:noProof w:val="0"/>
                <w:color w:val="FFFFFF" w:themeColor="background1"/>
              </w:rPr>
              <w:t>2007</w:t>
            </w:r>
          </w:p>
        </w:tc>
        <w:tc>
          <w:tcPr>
            <w:tcW w:w="845" w:type="dxa"/>
            <w:shd w:val="clear" w:color="auto" w:fill="1B556B"/>
          </w:tcPr>
          <w:p w14:paraId="41ACCF4E" w14:textId="77777777" w:rsidR="00590FE1" w:rsidRPr="001D5327" w:rsidRDefault="00590FE1" w:rsidP="00403787">
            <w:pPr>
              <w:pStyle w:val="TableTextBold"/>
              <w:spacing w:before="50" w:after="50"/>
              <w:jc w:val="right"/>
              <w:rPr>
                <w:i/>
                <w:iCs/>
                <w:noProof w:val="0"/>
                <w:color w:val="FFFFFF" w:themeColor="background1"/>
              </w:rPr>
            </w:pPr>
            <w:r w:rsidRPr="001D5327">
              <w:rPr>
                <w:noProof w:val="0"/>
                <w:color w:val="FFFFFF" w:themeColor="background1"/>
              </w:rPr>
              <w:t>2008</w:t>
            </w:r>
          </w:p>
        </w:tc>
        <w:tc>
          <w:tcPr>
            <w:tcW w:w="846" w:type="dxa"/>
            <w:shd w:val="clear" w:color="auto" w:fill="1B556B"/>
          </w:tcPr>
          <w:p w14:paraId="1D99BB61" w14:textId="77777777" w:rsidR="00590FE1" w:rsidRPr="001D5327" w:rsidRDefault="00590FE1" w:rsidP="00403787">
            <w:pPr>
              <w:pStyle w:val="TableTextBold"/>
              <w:spacing w:before="50" w:after="50"/>
              <w:jc w:val="right"/>
              <w:rPr>
                <w:i/>
                <w:iCs/>
                <w:noProof w:val="0"/>
                <w:color w:val="FFFFFF" w:themeColor="background1"/>
              </w:rPr>
            </w:pPr>
            <w:r w:rsidRPr="001D5327">
              <w:rPr>
                <w:noProof w:val="0"/>
                <w:color w:val="FFFFFF" w:themeColor="background1"/>
              </w:rPr>
              <w:t>2009</w:t>
            </w:r>
          </w:p>
        </w:tc>
        <w:tc>
          <w:tcPr>
            <w:tcW w:w="845" w:type="dxa"/>
            <w:shd w:val="clear" w:color="auto" w:fill="1B556B"/>
          </w:tcPr>
          <w:p w14:paraId="2DB63C20" w14:textId="77777777" w:rsidR="00590FE1" w:rsidRPr="001D5327" w:rsidRDefault="00590FE1" w:rsidP="00403787">
            <w:pPr>
              <w:pStyle w:val="TableTextBold"/>
              <w:spacing w:before="50" w:after="50"/>
              <w:jc w:val="right"/>
              <w:rPr>
                <w:i/>
                <w:iCs/>
                <w:noProof w:val="0"/>
                <w:color w:val="FFFFFF" w:themeColor="background1"/>
              </w:rPr>
            </w:pPr>
            <w:r w:rsidRPr="001D5327">
              <w:rPr>
                <w:noProof w:val="0"/>
                <w:color w:val="FFFFFF" w:themeColor="background1"/>
              </w:rPr>
              <w:t>2010</w:t>
            </w:r>
          </w:p>
        </w:tc>
        <w:tc>
          <w:tcPr>
            <w:tcW w:w="846" w:type="dxa"/>
            <w:shd w:val="clear" w:color="auto" w:fill="1B556B"/>
          </w:tcPr>
          <w:p w14:paraId="432D60D4" w14:textId="77777777" w:rsidR="00590FE1" w:rsidRPr="001D5327" w:rsidRDefault="00590FE1" w:rsidP="00403787">
            <w:pPr>
              <w:pStyle w:val="TableTextBold"/>
              <w:spacing w:before="50" w:after="50"/>
              <w:jc w:val="right"/>
              <w:rPr>
                <w:i/>
                <w:iCs/>
                <w:noProof w:val="0"/>
                <w:color w:val="FFFFFF" w:themeColor="background1"/>
              </w:rPr>
            </w:pPr>
            <w:r w:rsidRPr="001D5327">
              <w:rPr>
                <w:noProof w:val="0"/>
                <w:color w:val="FFFFFF" w:themeColor="background1"/>
              </w:rPr>
              <w:t>2011</w:t>
            </w:r>
          </w:p>
        </w:tc>
        <w:tc>
          <w:tcPr>
            <w:tcW w:w="760" w:type="dxa"/>
            <w:shd w:val="clear" w:color="auto" w:fill="1B556B"/>
          </w:tcPr>
          <w:p w14:paraId="3EE8909D" w14:textId="77777777" w:rsidR="00590FE1" w:rsidRPr="001D5327" w:rsidRDefault="00590FE1" w:rsidP="00403787">
            <w:pPr>
              <w:pStyle w:val="TableTextBold"/>
              <w:spacing w:before="50" w:after="50"/>
              <w:jc w:val="right"/>
              <w:rPr>
                <w:i/>
                <w:iCs/>
                <w:noProof w:val="0"/>
                <w:color w:val="FFFFFF" w:themeColor="background1"/>
              </w:rPr>
            </w:pPr>
            <w:r w:rsidRPr="001D5327">
              <w:rPr>
                <w:noProof w:val="0"/>
                <w:color w:val="FFFFFF" w:themeColor="background1"/>
              </w:rPr>
              <w:t>2012</w:t>
            </w:r>
          </w:p>
        </w:tc>
      </w:tr>
      <w:tr w:rsidR="00590FE1" w:rsidRPr="001D5327" w14:paraId="77916ACA" w14:textId="77777777" w:rsidTr="00403787">
        <w:tc>
          <w:tcPr>
            <w:tcW w:w="3635" w:type="dxa"/>
            <w:shd w:val="clear" w:color="auto" w:fill="auto"/>
          </w:tcPr>
          <w:p w14:paraId="639CDDE9" w14:textId="77777777" w:rsidR="00590FE1" w:rsidRPr="001D5327" w:rsidRDefault="00590FE1" w:rsidP="00403787">
            <w:pPr>
              <w:pStyle w:val="TableText"/>
              <w:keepNext/>
              <w:spacing w:before="50" w:after="50"/>
              <w:rPr>
                <w:rFonts w:cs="Calibri"/>
              </w:rPr>
            </w:pPr>
            <w:r w:rsidRPr="001D5327">
              <w:rPr>
                <w:rFonts w:cs="Calibri"/>
              </w:rPr>
              <w:t>Percentage of dairy area applied with inhibitor</w:t>
            </w:r>
          </w:p>
        </w:tc>
        <w:tc>
          <w:tcPr>
            <w:tcW w:w="728" w:type="dxa"/>
          </w:tcPr>
          <w:p w14:paraId="13FA0E16" w14:textId="77777777" w:rsidR="00590FE1" w:rsidRPr="001D5327" w:rsidRDefault="00590FE1" w:rsidP="00403787">
            <w:pPr>
              <w:pStyle w:val="TableText"/>
              <w:spacing w:before="50" w:after="50"/>
              <w:jc w:val="right"/>
              <w:rPr>
                <w:rFonts w:cs="Calibri"/>
              </w:rPr>
            </w:pPr>
            <w:r w:rsidRPr="001D5327">
              <w:rPr>
                <w:rFonts w:cs="Calibri"/>
              </w:rPr>
              <w:t>3.5</w:t>
            </w:r>
          </w:p>
        </w:tc>
        <w:tc>
          <w:tcPr>
            <w:tcW w:w="845" w:type="dxa"/>
          </w:tcPr>
          <w:p w14:paraId="7AFB1EAE" w14:textId="77777777" w:rsidR="00590FE1" w:rsidRPr="001D5327" w:rsidRDefault="00590FE1" w:rsidP="00403787">
            <w:pPr>
              <w:pStyle w:val="TableText"/>
              <w:spacing w:before="50" w:after="50"/>
              <w:jc w:val="right"/>
              <w:rPr>
                <w:rFonts w:cs="Calibri"/>
              </w:rPr>
            </w:pPr>
            <w:r w:rsidRPr="001D5327">
              <w:rPr>
                <w:rFonts w:cs="Calibri"/>
              </w:rPr>
              <w:t>4.5</w:t>
            </w:r>
          </w:p>
        </w:tc>
        <w:tc>
          <w:tcPr>
            <w:tcW w:w="846" w:type="dxa"/>
          </w:tcPr>
          <w:p w14:paraId="0ED4FE5D" w14:textId="77777777" w:rsidR="00590FE1" w:rsidRPr="001D5327" w:rsidRDefault="00590FE1" w:rsidP="00403787">
            <w:pPr>
              <w:pStyle w:val="TableText"/>
              <w:spacing w:before="50" w:after="50"/>
              <w:jc w:val="right"/>
              <w:rPr>
                <w:rFonts w:cs="Calibri"/>
              </w:rPr>
            </w:pPr>
            <w:r w:rsidRPr="001D5327">
              <w:rPr>
                <w:rFonts w:cs="Calibri"/>
              </w:rPr>
              <w:t>3.1</w:t>
            </w:r>
          </w:p>
        </w:tc>
        <w:tc>
          <w:tcPr>
            <w:tcW w:w="845" w:type="dxa"/>
          </w:tcPr>
          <w:p w14:paraId="1C2EE0B9" w14:textId="77777777" w:rsidR="00590FE1" w:rsidRPr="001D5327" w:rsidRDefault="00590FE1" w:rsidP="00403787">
            <w:pPr>
              <w:pStyle w:val="TableText"/>
              <w:spacing w:before="50" w:after="50"/>
              <w:jc w:val="right"/>
              <w:rPr>
                <w:rFonts w:cs="Calibri"/>
              </w:rPr>
            </w:pPr>
            <w:r w:rsidRPr="001D5327">
              <w:rPr>
                <w:rFonts w:cs="Calibri"/>
              </w:rPr>
              <w:t>2.2</w:t>
            </w:r>
          </w:p>
        </w:tc>
        <w:tc>
          <w:tcPr>
            <w:tcW w:w="846" w:type="dxa"/>
          </w:tcPr>
          <w:p w14:paraId="4D6FCFC1" w14:textId="77777777" w:rsidR="00590FE1" w:rsidRPr="001D5327" w:rsidRDefault="00590FE1" w:rsidP="00403787">
            <w:pPr>
              <w:pStyle w:val="TableText"/>
              <w:spacing w:before="50" w:after="50"/>
              <w:jc w:val="right"/>
              <w:rPr>
                <w:rFonts w:cs="Calibri"/>
              </w:rPr>
            </w:pPr>
            <w:r w:rsidRPr="001D5327">
              <w:rPr>
                <w:rFonts w:cs="Calibri"/>
              </w:rPr>
              <w:t>3.0</w:t>
            </w:r>
          </w:p>
        </w:tc>
        <w:tc>
          <w:tcPr>
            <w:tcW w:w="760" w:type="dxa"/>
          </w:tcPr>
          <w:p w14:paraId="558201F1" w14:textId="77777777" w:rsidR="00590FE1" w:rsidRPr="001D5327" w:rsidRDefault="00590FE1" w:rsidP="00403787">
            <w:pPr>
              <w:pStyle w:val="TableText"/>
              <w:spacing w:before="50" w:after="50"/>
              <w:jc w:val="right"/>
              <w:rPr>
                <w:rFonts w:cs="Calibri"/>
              </w:rPr>
            </w:pPr>
            <w:r w:rsidRPr="001D5327">
              <w:rPr>
                <w:rFonts w:cs="Calibri"/>
              </w:rPr>
              <w:t>2.9</w:t>
            </w:r>
          </w:p>
        </w:tc>
      </w:tr>
      <w:tr w:rsidR="00590FE1" w:rsidRPr="001D5327" w14:paraId="23B79922" w14:textId="77777777" w:rsidTr="00403787">
        <w:tc>
          <w:tcPr>
            <w:tcW w:w="3635" w:type="dxa"/>
            <w:shd w:val="clear" w:color="auto" w:fill="auto"/>
          </w:tcPr>
          <w:p w14:paraId="20BACB55" w14:textId="77777777" w:rsidR="00590FE1" w:rsidRPr="001D5327" w:rsidRDefault="00590FE1" w:rsidP="00403787">
            <w:pPr>
              <w:pStyle w:val="TableText"/>
              <w:keepNext/>
              <w:spacing w:before="50" w:after="50"/>
              <w:rPr>
                <w:rFonts w:cs="Calibri"/>
              </w:rPr>
            </w:pPr>
            <w:r w:rsidRPr="001D5327">
              <w:rPr>
                <w:rFonts w:cs="Calibri"/>
              </w:rPr>
              <w:t>Final modified emission factor or parameter for dairy cattle, EF</w:t>
            </w:r>
            <w:r w:rsidRPr="001D5327">
              <w:rPr>
                <w:rFonts w:cs="Calibri"/>
                <w:vertAlign w:val="subscript"/>
              </w:rPr>
              <w:t>3(PRP)</w:t>
            </w:r>
            <w:r w:rsidRPr="001D5327">
              <w:rPr>
                <w:rFonts w:cs="Calibri"/>
              </w:rPr>
              <w:t xml:space="preserve"> (kg N</w:t>
            </w:r>
            <w:r w:rsidRPr="001D5327">
              <w:rPr>
                <w:rFonts w:cs="Calibri"/>
                <w:vertAlign w:val="subscript"/>
              </w:rPr>
              <w:t>2</w:t>
            </w:r>
            <w:r w:rsidRPr="001D5327">
              <w:rPr>
                <w:rFonts w:cs="Calibri"/>
              </w:rPr>
              <w:t>O-N/kg N)</w:t>
            </w:r>
          </w:p>
        </w:tc>
        <w:tc>
          <w:tcPr>
            <w:tcW w:w="728" w:type="dxa"/>
            <w:shd w:val="clear" w:color="auto" w:fill="auto"/>
          </w:tcPr>
          <w:p w14:paraId="391750C6" w14:textId="77777777" w:rsidR="00590FE1" w:rsidRPr="001D5327" w:rsidRDefault="00590FE1" w:rsidP="00403787">
            <w:pPr>
              <w:pStyle w:val="TableText"/>
              <w:spacing w:before="50" w:after="50"/>
              <w:jc w:val="right"/>
              <w:rPr>
                <w:rFonts w:asciiTheme="minorHAnsi" w:hAnsiTheme="minorHAnsi" w:cstheme="minorHAnsi"/>
                <w:szCs w:val="16"/>
              </w:rPr>
            </w:pPr>
            <w:r w:rsidRPr="001D5327">
              <w:rPr>
                <w:rFonts w:asciiTheme="minorHAnsi" w:hAnsiTheme="minorHAnsi" w:cstheme="minorHAnsi"/>
                <w:szCs w:val="16"/>
              </w:rPr>
              <w:t>0.00970</w:t>
            </w:r>
          </w:p>
        </w:tc>
        <w:tc>
          <w:tcPr>
            <w:tcW w:w="845" w:type="dxa"/>
            <w:shd w:val="clear" w:color="auto" w:fill="auto"/>
          </w:tcPr>
          <w:p w14:paraId="4E828E0D" w14:textId="77777777" w:rsidR="00590FE1" w:rsidRPr="001D5327" w:rsidRDefault="00590FE1" w:rsidP="00403787">
            <w:pPr>
              <w:pStyle w:val="TableText"/>
              <w:spacing w:before="50" w:after="50"/>
              <w:jc w:val="right"/>
              <w:rPr>
                <w:rFonts w:asciiTheme="minorHAnsi" w:hAnsiTheme="minorHAnsi" w:cstheme="minorHAnsi"/>
                <w:szCs w:val="16"/>
              </w:rPr>
            </w:pPr>
            <w:r w:rsidRPr="001D5327">
              <w:rPr>
                <w:rFonts w:asciiTheme="minorHAnsi" w:hAnsiTheme="minorHAnsi" w:cstheme="minorHAnsi"/>
                <w:szCs w:val="16"/>
              </w:rPr>
              <w:t>0.00968</w:t>
            </w:r>
          </w:p>
        </w:tc>
        <w:tc>
          <w:tcPr>
            <w:tcW w:w="846" w:type="dxa"/>
            <w:shd w:val="clear" w:color="auto" w:fill="auto"/>
          </w:tcPr>
          <w:p w14:paraId="01906590" w14:textId="77777777" w:rsidR="00590FE1" w:rsidRPr="001D5327" w:rsidRDefault="00590FE1" w:rsidP="00403787">
            <w:pPr>
              <w:pStyle w:val="TableText"/>
              <w:spacing w:before="50" w:after="50"/>
              <w:jc w:val="right"/>
              <w:rPr>
                <w:rFonts w:asciiTheme="minorHAnsi" w:hAnsiTheme="minorHAnsi" w:cstheme="minorHAnsi"/>
                <w:szCs w:val="16"/>
              </w:rPr>
            </w:pPr>
            <w:r w:rsidRPr="001D5327">
              <w:rPr>
                <w:rFonts w:asciiTheme="minorHAnsi" w:hAnsiTheme="minorHAnsi" w:cstheme="minorHAnsi"/>
                <w:szCs w:val="16"/>
              </w:rPr>
              <w:t>0.00972</w:t>
            </w:r>
          </w:p>
        </w:tc>
        <w:tc>
          <w:tcPr>
            <w:tcW w:w="845" w:type="dxa"/>
            <w:shd w:val="clear" w:color="auto" w:fill="auto"/>
          </w:tcPr>
          <w:p w14:paraId="1B94FAD0" w14:textId="77777777" w:rsidR="00590FE1" w:rsidRPr="001D5327" w:rsidRDefault="00590FE1" w:rsidP="00403787">
            <w:pPr>
              <w:pStyle w:val="TableText"/>
              <w:spacing w:before="50" w:after="50"/>
              <w:jc w:val="right"/>
              <w:rPr>
                <w:rFonts w:asciiTheme="minorHAnsi" w:hAnsiTheme="minorHAnsi" w:cstheme="minorHAnsi"/>
                <w:szCs w:val="16"/>
              </w:rPr>
            </w:pPr>
            <w:r w:rsidRPr="001D5327">
              <w:rPr>
                <w:rFonts w:asciiTheme="minorHAnsi" w:hAnsiTheme="minorHAnsi" w:cstheme="minorHAnsi"/>
                <w:szCs w:val="16"/>
              </w:rPr>
              <w:t>0.00974</w:t>
            </w:r>
          </w:p>
        </w:tc>
        <w:tc>
          <w:tcPr>
            <w:tcW w:w="846" w:type="dxa"/>
            <w:shd w:val="clear" w:color="auto" w:fill="auto"/>
          </w:tcPr>
          <w:p w14:paraId="3D66CB91" w14:textId="77777777" w:rsidR="00590FE1" w:rsidRPr="001D5327" w:rsidRDefault="00590FE1" w:rsidP="00403787">
            <w:pPr>
              <w:pStyle w:val="TableText"/>
              <w:spacing w:before="50" w:after="50"/>
              <w:jc w:val="right"/>
              <w:rPr>
                <w:rFonts w:asciiTheme="minorHAnsi" w:hAnsiTheme="minorHAnsi" w:cstheme="minorHAnsi"/>
                <w:szCs w:val="16"/>
              </w:rPr>
            </w:pPr>
            <w:r w:rsidRPr="001D5327">
              <w:rPr>
                <w:rFonts w:asciiTheme="minorHAnsi" w:hAnsiTheme="minorHAnsi" w:cstheme="minorHAnsi"/>
                <w:szCs w:val="16"/>
              </w:rPr>
              <w:t>0.00972</w:t>
            </w:r>
          </w:p>
        </w:tc>
        <w:tc>
          <w:tcPr>
            <w:tcW w:w="760" w:type="dxa"/>
            <w:shd w:val="clear" w:color="auto" w:fill="auto"/>
          </w:tcPr>
          <w:p w14:paraId="2B9C3C07" w14:textId="77777777" w:rsidR="00590FE1" w:rsidRPr="001D5327" w:rsidRDefault="00590FE1" w:rsidP="00403787">
            <w:pPr>
              <w:pStyle w:val="TableText"/>
              <w:spacing w:before="50" w:after="50"/>
              <w:jc w:val="right"/>
              <w:rPr>
                <w:rFonts w:asciiTheme="minorHAnsi" w:hAnsiTheme="minorHAnsi" w:cstheme="minorHAnsi"/>
                <w:szCs w:val="16"/>
              </w:rPr>
            </w:pPr>
            <w:r w:rsidRPr="001D5327">
              <w:rPr>
                <w:rFonts w:asciiTheme="minorHAnsi" w:hAnsiTheme="minorHAnsi" w:cstheme="minorHAnsi"/>
                <w:szCs w:val="16"/>
              </w:rPr>
              <w:t>0.00972</w:t>
            </w:r>
          </w:p>
        </w:tc>
      </w:tr>
      <w:tr w:rsidR="00590FE1" w:rsidRPr="001D5327" w14:paraId="32DC2231" w14:textId="77777777" w:rsidTr="00403787">
        <w:tc>
          <w:tcPr>
            <w:tcW w:w="3635" w:type="dxa"/>
            <w:shd w:val="clear" w:color="auto" w:fill="auto"/>
          </w:tcPr>
          <w:p w14:paraId="557A76DB" w14:textId="77777777" w:rsidR="00590FE1" w:rsidRPr="001D5327" w:rsidRDefault="00590FE1" w:rsidP="00403787">
            <w:pPr>
              <w:pStyle w:val="TableText"/>
              <w:keepNext/>
              <w:spacing w:before="50" w:after="50"/>
              <w:rPr>
                <w:rFonts w:cs="Calibri"/>
              </w:rPr>
            </w:pPr>
            <w:r w:rsidRPr="001D5327">
              <w:rPr>
                <w:rFonts w:cs="Calibri"/>
              </w:rPr>
              <w:t>Final modified emission factor or parameter for dairy cattle, Frac</w:t>
            </w:r>
            <w:r w:rsidRPr="001D5327">
              <w:rPr>
                <w:rFonts w:cs="Calibri"/>
                <w:vertAlign w:val="subscript"/>
              </w:rPr>
              <w:t xml:space="preserve">LEACH </w:t>
            </w:r>
            <w:r w:rsidRPr="001D5327">
              <w:rPr>
                <w:rFonts w:cs="Calibri"/>
              </w:rPr>
              <w:t>(kg N</w:t>
            </w:r>
            <w:r w:rsidRPr="001D5327">
              <w:rPr>
                <w:rFonts w:cs="Calibri"/>
                <w:vertAlign w:val="subscript"/>
              </w:rPr>
              <w:t>2</w:t>
            </w:r>
            <w:r w:rsidRPr="001D5327">
              <w:rPr>
                <w:rFonts w:cs="Calibri"/>
              </w:rPr>
              <w:t>O-N/kg N)</w:t>
            </w:r>
          </w:p>
        </w:tc>
        <w:tc>
          <w:tcPr>
            <w:tcW w:w="728" w:type="dxa"/>
            <w:shd w:val="clear" w:color="auto" w:fill="auto"/>
          </w:tcPr>
          <w:p w14:paraId="562E90AA" w14:textId="77777777" w:rsidR="00590FE1" w:rsidRPr="001D5327" w:rsidRDefault="00590FE1" w:rsidP="00403787">
            <w:pPr>
              <w:pStyle w:val="TableText"/>
              <w:spacing w:before="50" w:after="50"/>
              <w:jc w:val="right"/>
              <w:rPr>
                <w:rFonts w:asciiTheme="minorHAnsi" w:hAnsiTheme="minorHAnsi" w:cstheme="minorHAnsi"/>
                <w:szCs w:val="16"/>
              </w:rPr>
            </w:pPr>
            <w:r w:rsidRPr="001D5327">
              <w:rPr>
                <w:rFonts w:asciiTheme="minorHAnsi" w:hAnsiTheme="minorHAnsi" w:cstheme="minorHAnsi"/>
                <w:szCs w:val="16"/>
              </w:rPr>
              <w:t>0.0794</w:t>
            </w:r>
          </w:p>
        </w:tc>
        <w:tc>
          <w:tcPr>
            <w:tcW w:w="845" w:type="dxa"/>
            <w:shd w:val="clear" w:color="auto" w:fill="auto"/>
          </w:tcPr>
          <w:p w14:paraId="5370B32E" w14:textId="77777777" w:rsidR="00590FE1" w:rsidRPr="001D5327" w:rsidRDefault="00590FE1" w:rsidP="00403787">
            <w:pPr>
              <w:pStyle w:val="TableText"/>
              <w:spacing w:before="50" w:after="50"/>
              <w:jc w:val="right"/>
              <w:rPr>
                <w:rFonts w:asciiTheme="minorHAnsi" w:hAnsiTheme="minorHAnsi" w:cstheme="minorHAnsi"/>
                <w:szCs w:val="16"/>
              </w:rPr>
            </w:pPr>
            <w:r w:rsidRPr="001D5327">
              <w:rPr>
                <w:rFonts w:asciiTheme="minorHAnsi" w:hAnsiTheme="minorHAnsi" w:cstheme="minorHAnsi"/>
                <w:szCs w:val="16"/>
              </w:rPr>
              <w:t>0.0792</w:t>
            </w:r>
          </w:p>
        </w:tc>
        <w:tc>
          <w:tcPr>
            <w:tcW w:w="846" w:type="dxa"/>
            <w:shd w:val="clear" w:color="auto" w:fill="auto"/>
          </w:tcPr>
          <w:p w14:paraId="2596DB5B" w14:textId="77777777" w:rsidR="00590FE1" w:rsidRPr="001D5327" w:rsidRDefault="00590FE1" w:rsidP="00403787">
            <w:pPr>
              <w:pStyle w:val="TableText"/>
              <w:spacing w:before="50" w:after="50"/>
              <w:jc w:val="right"/>
              <w:rPr>
                <w:rFonts w:asciiTheme="minorHAnsi" w:hAnsiTheme="minorHAnsi" w:cstheme="minorHAnsi"/>
                <w:szCs w:val="16"/>
              </w:rPr>
            </w:pPr>
            <w:r w:rsidRPr="001D5327">
              <w:rPr>
                <w:rFonts w:asciiTheme="minorHAnsi" w:hAnsiTheme="minorHAnsi" w:cstheme="minorHAnsi"/>
                <w:szCs w:val="16"/>
              </w:rPr>
              <w:t>0.0795</w:t>
            </w:r>
          </w:p>
        </w:tc>
        <w:tc>
          <w:tcPr>
            <w:tcW w:w="845" w:type="dxa"/>
            <w:shd w:val="clear" w:color="auto" w:fill="auto"/>
          </w:tcPr>
          <w:p w14:paraId="2769FE43" w14:textId="77777777" w:rsidR="00590FE1" w:rsidRPr="001D5327" w:rsidRDefault="00590FE1" w:rsidP="00403787">
            <w:pPr>
              <w:pStyle w:val="TableText"/>
              <w:spacing w:before="50" w:after="50"/>
              <w:jc w:val="right"/>
              <w:rPr>
                <w:rFonts w:asciiTheme="minorHAnsi" w:hAnsiTheme="minorHAnsi" w:cstheme="minorHAnsi"/>
                <w:szCs w:val="16"/>
              </w:rPr>
            </w:pPr>
            <w:r w:rsidRPr="001D5327">
              <w:rPr>
                <w:rFonts w:asciiTheme="minorHAnsi" w:hAnsiTheme="minorHAnsi" w:cstheme="minorHAnsi"/>
                <w:szCs w:val="16"/>
              </w:rPr>
              <w:t>0.0796</w:t>
            </w:r>
          </w:p>
        </w:tc>
        <w:tc>
          <w:tcPr>
            <w:tcW w:w="846" w:type="dxa"/>
            <w:shd w:val="clear" w:color="auto" w:fill="auto"/>
          </w:tcPr>
          <w:p w14:paraId="284C1FC4" w14:textId="77777777" w:rsidR="00590FE1" w:rsidRPr="001D5327" w:rsidRDefault="00590FE1" w:rsidP="00403787">
            <w:pPr>
              <w:pStyle w:val="TableText"/>
              <w:spacing w:before="50" w:after="50"/>
              <w:jc w:val="right"/>
              <w:rPr>
                <w:rFonts w:asciiTheme="minorHAnsi" w:hAnsiTheme="minorHAnsi" w:cstheme="minorHAnsi"/>
                <w:szCs w:val="16"/>
              </w:rPr>
            </w:pPr>
            <w:r w:rsidRPr="001D5327">
              <w:rPr>
                <w:rFonts w:asciiTheme="minorHAnsi" w:hAnsiTheme="minorHAnsi" w:cstheme="minorHAnsi"/>
                <w:szCs w:val="16"/>
              </w:rPr>
              <w:t>0.0795</w:t>
            </w:r>
          </w:p>
        </w:tc>
        <w:tc>
          <w:tcPr>
            <w:tcW w:w="760" w:type="dxa"/>
            <w:shd w:val="clear" w:color="auto" w:fill="auto"/>
          </w:tcPr>
          <w:p w14:paraId="0B6B6A5D" w14:textId="77777777" w:rsidR="00590FE1" w:rsidRPr="001D5327" w:rsidRDefault="00590FE1" w:rsidP="00403787">
            <w:pPr>
              <w:pStyle w:val="TableText"/>
              <w:spacing w:before="50" w:after="50"/>
              <w:jc w:val="right"/>
              <w:rPr>
                <w:rFonts w:asciiTheme="minorHAnsi" w:hAnsiTheme="minorHAnsi" w:cstheme="minorHAnsi"/>
                <w:szCs w:val="16"/>
              </w:rPr>
            </w:pPr>
            <w:r w:rsidRPr="001D5327">
              <w:rPr>
                <w:rFonts w:asciiTheme="minorHAnsi" w:hAnsiTheme="minorHAnsi" w:cstheme="minorHAnsi"/>
                <w:szCs w:val="16"/>
              </w:rPr>
              <w:t>0.0795</w:t>
            </w:r>
          </w:p>
        </w:tc>
      </w:tr>
      <w:tr w:rsidR="00590FE1" w:rsidRPr="001D5327" w14:paraId="5458EDD9" w14:textId="77777777" w:rsidTr="00403787">
        <w:tc>
          <w:tcPr>
            <w:tcW w:w="3635" w:type="dxa"/>
            <w:shd w:val="clear" w:color="auto" w:fill="auto"/>
            <w:vAlign w:val="bottom"/>
          </w:tcPr>
          <w:p w14:paraId="42187250" w14:textId="77777777" w:rsidR="00590FE1" w:rsidRPr="001D5327" w:rsidRDefault="00590FE1" w:rsidP="00403787">
            <w:pPr>
              <w:pStyle w:val="TableText"/>
              <w:spacing w:before="50" w:after="50"/>
              <w:rPr>
                <w:rFonts w:cs="Calibri"/>
              </w:rPr>
            </w:pPr>
            <w:r w:rsidRPr="001D5327">
              <w:rPr>
                <w:rFonts w:cs="Calibri"/>
              </w:rPr>
              <w:t>Mitigation (kt CO</w:t>
            </w:r>
            <w:r w:rsidRPr="001D5327">
              <w:rPr>
                <w:rFonts w:cs="Calibri"/>
                <w:vertAlign w:val="subscript"/>
              </w:rPr>
              <w:t>2</w:t>
            </w:r>
            <w:r w:rsidRPr="001D5327">
              <w:rPr>
                <w:rFonts w:cs="Calibri"/>
              </w:rPr>
              <w:t>-e)</w:t>
            </w:r>
          </w:p>
        </w:tc>
        <w:tc>
          <w:tcPr>
            <w:tcW w:w="728" w:type="dxa"/>
            <w:shd w:val="clear" w:color="auto" w:fill="auto"/>
          </w:tcPr>
          <w:p w14:paraId="3EE64FF6" w14:textId="77777777" w:rsidR="00590FE1" w:rsidRPr="001D5327" w:rsidRDefault="00590FE1" w:rsidP="00403787">
            <w:pPr>
              <w:pStyle w:val="TableText"/>
              <w:spacing w:before="50" w:after="50"/>
              <w:jc w:val="right"/>
              <w:rPr>
                <w:rFonts w:asciiTheme="minorHAnsi" w:hAnsiTheme="minorHAnsi" w:cstheme="minorHAnsi"/>
                <w:szCs w:val="16"/>
              </w:rPr>
            </w:pPr>
            <w:r w:rsidRPr="001D5327">
              <w:rPr>
                <w:rFonts w:cs="Calibri"/>
                <w:color w:val="000000"/>
                <w:szCs w:val="16"/>
              </w:rPr>
              <w:t>15.8</w:t>
            </w:r>
          </w:p>
        </w:tc>
        <w:tc>
          <w:tcPr>
            <w:tcW w:w="845" w:type="dxa"/>
            <w:shd w:val="clear" w:color="auto" w:fill="auto"/>
          </w:tcPr>
          <w:p w14:paraId="24967599" w14:textId="77777777" w:rsidR="00590FE1" w:rsidRPr="001D5327" w:rsidRDefault="00590FE1" w:rsidP="00403787">
            <w:pPr>
              <w:pStyle w:val="TableText"/>
              <w:spacing w:before="50" w:after="50"/>
              <w:jc w:val="right"/>
              <w:rPr>
                <w:rFonts w:asciiTheme="minorHAnsi" w:hAnsiTheme="minorHAnsi" w:cstheme="minorHAnsi"/>
                <w:szCs w:val="16"/>
              </w:rPr>
            </w:pPr>
            <w:r w:rsidRPr="001D5327">
              <w:rPr>
                <w:rFonts w:cs="Calibri"/>
                <w:color w:val="000000"/>
                <w:szCs w:val="16"/>
              </w:rPr>
              <w:t>21.4</w:t>
            </w:r>
          </w:p>
        </w:tc>
        <w:tc>
          <w:tcPr>
            <w:tcW w:w="846" w:type="dxa"/>
            <w:shd w:val="clear" w:color="auto" w:fill="auto"/>
          </w:tcPr>
          <w:p w14:paraId="3B2A3145" w14:textId="77777777" w:rsidR="00590FE1" w:rsidRPr="001D5327" w:rsidRDefault="00590FE1" w:rsidP="00403787">
            <w:pPr>
              <w:pStyle w:val="TableText"/>
              <w:spacing w:before="50" w:after="50"/>
              <w:jc w:val="right"/>
              <w:rPr>
                <w:rFonts w:asciiTheme="minorHAnsi" w:hAnsiTheme="minorHAnsi" w:cstheme="minorHAnsi"/>
                <w:szCs w:val="16"/>
              </w:rPr>
            </w:pPr>
            <w:r w:rsidRPr="001D5327">
              <w:rPr>
                <w:rFonts w:cs="Calibri"/>
                <w:color w:val="000000"/>
                <w:szCs w:val="16"/>
              </w:rPr>
              <w:t>15.3</w:t>
            </w:r>
          </w:p>
        </w:tc>
        <w:tc>
          <w:tcPr>
            <w:tcW w:w="845" w:type="dxa"/>
            <w:shd w:val="clear" w:color="auto" w:fill="auto"/>
          </w:tcPr>
          <w:p w14:paraId="5CB0F0DE" w14:textId="77777777" w:rsidR="00590FE1" w:rsidRPr="001D5327" w:rsidRDefault="00590FE1" w:rsidP="00403787">
            <w:pPr>
              <w:pStyle w:val="TableText"/>
              <w:spacing w:before="50" w:after="50"/>
              <w:jc w:val="right"/>
              <w:rPr>
                <w:rFonts w:asciiTheme="minorHAnsi" w:hAnsiTheme="minorHAnsi" w:cstheme="minorHAnsi"/>
                <w:szCs w:val="16"/>
              </w:rPr>
            </w:pPr>
            <w:r w:rsidRPr="001D5327">
              <w:rPr>
                <w:rFonts w:cs="Calibri"/>
                <w:color w:val="000000"/>
                <w:szCs w:val="16"/>
              </w:rPr>
              <w:t>11.6</w:t>
            </w:r>
          </w:p>
        </w:tc>
        <w:tc>
          <w:tcPr>
            <w:tcW w:w="846" w:type="dxa"/>
            <w:shd w:val="clear" w:color="auto" w:fill="auto"/>
          </w:tcPr>
          <w:p w14:paraId="0B155576" w14:textId="77777777" w:rsidR="00590FE1" w:rsidRPr="001D5327" w:rsidRDefault="00590FE1" w:rsidP="00403787">
            <w:pPr>
              <w:pStyle w:val="TableText"/>
              <w:spacing w:before="50" w:after="50"/>
              <w:jc w:val="right"/>
              <w:rPr>
                <w:rFonts w:asciiTheme="minorHAnsi" w:hAnsiTheme="minorHAnsi" w:cstheme="minorHAnsi"/>
                <w:szCs w:val="16"/>
              </w:rPr>
            </w:pPr>
            <w:r w:rsidRPr="001D5327">
              <w:rPr>
                <w:rFonts w:cs="Calibri"/>
                <w:color w:val="000000"/>
                <w:szCs w:val="16"/>
              </w:rPr>
              <w:t>16.3</w:t>
            </w:r>
          </w:p>
        </w:tc>
        <w:tc>
          <w:tcPr>
            <w:tcW w:w="760" w:type="dxa"/>
            <w:shd w:val="clear" w:color="auto" w:fill="auto"/>
          </w:tcPr>
          <w:p w14:paraId="4C7C370E" w14:textId="77777777" w:rsidR="00590FE1" w:rsidRPr="001D5327" w:rsidRDefault="00590FE1" w:rsidP="00403787">
            <w:pPr>
              <w:pStyle w:val="TableText"/>
              <w:spacing w:before="50" w:after="50"/>
              <w:jc w:val="right"/>
              <w:rPr>
                <w:rFonts w:asciiTheme="minorHAnsi" w:hAnsiTheme="minorHAnsi" w:cstheme="minorHAnsi"/>
                <w:szCs w:val="16"/>
              </w:rPr>
            </w:pPr>
            <w:r w:rsidRPr="001D5327">
              <w:rPr>
                <w:rFonts w:cs="Calibri"/>
                <w:color w:val="000000"/>
                <w:szCs w:val="16"/>
              </w:rPr>
              <w:t>16.4</w:t>
            </w:r>
          </w:p>
        </w:tc>
      </w:tr>
    </w:tbl>
    <w:p w14:paraId="72A98EE5" w14:textId="77777777" w:rsidR="00590FE1" w:rsidRPr="001D5327" w:rsidRDefault="00590FE1" w:rsidP="00590FE1">
      <w:pPr>
        <w:pStyle w:val="Noteundertable"/>
        <w:spacing w:after="80"/>
        <w:rPr>
          <w:rFonts w:cs="Calibri"/>
        </w:rPr>
      </w:pPr>
      <w:r w:rsidRPr="001D5327">
        <w:rPr>
          <w:rFonts w:cs="Calibri"/>
          <w:b/>
          <w:bCs/>
        </w:rPr>
        <w:t>Note:</w:t>
      </w:r>
      <w:r w:rsidRPr="001D5327">
        <w:rPr>
          <w:rFonts w:cs="Calibri"/>
        </w:rPr>
        <w:t xml:space="preserve"> </w:t>
      </w:r>
      <w:r w:rsidRPr="001D5327">
        <w:rPr>
          <w:rFonts w:cs="Calibri"/>
        </w:rPr>
        <w:tab/>
        <w:t>EF</w:t>
      </w:r>
      <w:r w:rsidRPr="001D5327">
        <w:rPr>
          <w:rFonts w:cs="Calibri"/>
          <w:vertAlign w:val="subscript"/>
        </w:rPr>
        <w:t>3(PRP)</w:t>
      </w:r>
      <w:r w:rsidRPr="001D5327">
        <w:rPr>
          <w:rFonts w:cs="Calibri"/>
        </w:rPr>
        <w:t xml:space="preserve"> = 0.0098 and Frac</w:t>
      </w:r>
      <w:r w:rsidRPr="001D5327">
        <w:rPr>
          <w:rFonts w:cs="Calibri"/>
          <w:vertAlign w:val="subscript"/>
        </w:rPr>
        <w:t>LEACH</w:t>
      </w:r>
      <w:r w:rsidRPr="001D5327">
        <w:rPr>
          <w:rFonts w:cs="Calibri"/>
        </w:rPr>
        <w:t xml:space="preserve"> = 0.10 for cropland and 0.08 for grassland when inhibitor is not applied. All other emission factors and parameters relating to animal excreta and fertiliser use (Frac</w:t>
      </w:r>
      <w:r w:rsidRPr="001D5327">
        <w:rPr>
          <w:rFonts w:cs="Calibri"/>
          <w:vertAlign w:val="subscript"/>
        </w:rPr>
        <w:t>GASM</w:t>
      </w:r>
      <w:r w:rsidRPr="001D5327">
        <w:rPr>
          <w:rFonts w:cs="Calibri"/>
        </w:rPr>
        <w:t>, Frac</w:t>
      </w:r>
      <w:r w:rsidRPr="001D5327">
        <w:rPr>
          <w:rFonts w:cs="Calibri"/>
          <w:vertAlign w:val="subscript"/>
        </w:rPr>
        <w:t>GASF</w:t>
      </w:r>
      <w:r w:rsidRPr="001D5327">
        <w:rPr>
          <w:rFonts w:cs="Calibri"/>
        </w:rPr>
        <w:t>, EF</w:t>
      </w:r>
      <w:r w:rsidRPr="001D5327">
        <w:rPr>
          <w:rFonts w:cs="Calibri"/>
          <w:vertAlign w:val="subscript"/>
        </w:rPr>
        <w:t>4</w:t>
      </w:r>
      <w:r w:rsidRPr="001D5327">
        <w:rPr>
          <w:rFonts w:cs="Calibri"/>
        </w:rPr>
        <w:t xml:space="preserve"> and EF</w:t>
      </w:r>
      <w:r w:rsidRPr="001D5327">
        <w:rPr>
          <w:rFonts w:cs="Calibri"/>
          <w:vertAlign w:val="subscript"/>
        </w:rPr>
        <w:t>5</w:t>
      </w:r>
      <w:r w:rsidRPr="001D5327">
        <w:rPr>
          <w:rFonts w:cs="Calibri"/>
        </w:rPr>
        <w:t xml:space="preserve">) remain unchanged when the inhibitor is used as a </w:t>
      </w:r>
      <w:r w:rsidRPr="001D5327">
        <w:rPr>
          <w:rFonts w:cs="Calibri"/>
          <w:spacing w:val="-2"/>
        </w:rPr>
        <w:t>nitrous oxide</w:t>
      </w:r>
      <w:r w:rsidRPr="001D5327">
        <w:rPr>
          <w:rFonts w:cs="Calibri"/>
        </w:rPr>
        <w:t xml:space="preserve"> mitigation technology. </w:t>
      </w:r>
    </w:p>
    <w:p w14:paraId="6DDBEB10" w14:textId="77777777" w:rsidR="00590FE1" w:rsidRPr="001D5327" w:rsidRDefault="00590FE1" w:rsidP="00590FE1">
      <w:pPr>
        <w:pStyle w:val="Heading3"/>
      </w:pPr>
      <w:bookmarkStart w:id="1276" w:name="_Toc139253935"/>
      <w:bookmarkStart w:id="1277" w:name="_Toc32570669"/>
      <w:r w:rsidRPr="001D5327">
        <w:t>5.5.3</w:t>
      </w:r>
      <w:r w:rsidRPr="001D5327">
        <w:tab/>
        <w:t>Uncertainty assessment and time-series consistency</w:t>
      </w:r>
      <w:bookmarkEnd w:id="1276"/>
      <w:bookmarkEnd w:id="1277"/>
    </w:p>
    <w:p w14:paraId="28D5B907" w14:textId="77777777" w:rsidR="00590FE1" w:rsidRPr="001D5327" w:rsidRDefault="00590FE1" w:rsidP="00590FE1">
      <w:pPr>
        <w:pStyle w:val="BodyText"/>
        <w:rPr>
          <w:rFonts w:cs="Calibri"/>
        </w:rPr>
      </w:pPr>
      <w:r w:rsidRPr="001D5327">
        <w:rPr>
          <w:rFonts w:cs="Calibri"/>
        </w:rPr>
        <w:t>To ensure consistency in the calculations involving animal manure, a single enhanced livestock population characterisation and feed-intake estimate is produced by the Tier 2 model for each of the major livestock categories. This is used in different parts of the calculations to estimate: CH</w:t>
      </w:r>
      <w:r w:rsidRPr="001D5327">
        <w:rPr>
          <w:rFonts w:cs="Calibri"/>
          <w:vertAlign w:val="subscript"/>
        </w:rPr>
        <w:t>4</w:t>
      </w:r>
      <w:r w:rsidRPr="001D5327">
        <w:rPr>
          <w:rFonts w:cs="Calibri"/>
        </w:rPr>
        <w:t xml:space="preserve"> emissions for the </w:t>
      </w:r>
      <w:r w:rsidRPr="001D5327">
        <w:rPr>
          <w:rFonts w:cs="Calibri"/>
          <w:i/>
          <w:iCs/>
        </w:rPr>
        <w:t>Enteric fermentation</w:t>
      </w:r>
      <w:r w:rsidRPr="001D5327">
        <w:rPr>
          <w:rFonts w:cs="Calibri"/>
        </w:rPr>
        <w:t xml:space="preserve"> category, CH</w:t>
      </w:r>
      <w:r w:rsidRPr="001D5327">
        <w:rPr>
          <w:rFonts w:cs="Calibri"/>
          <w:vertAlign w:val="subscript"/>
        </w:rPr>
        <w:t>4</w:t>
      </w:r>
      <w:r w:rsidRPr="001D5327">
        <w:rPr>
          <w:rFonts w:cs="Calibri"/>
        </w:rPr>
        <w:t xml:space="preserve"> and N</w:t>
      </w:r>
      <w:r w:rsidRPr="001D5327">
        <w:rPr>
          <w:rFonts w:cs="Calibri"/>
          <w:vertAlign w:val="subscript"/>
        </w:rPr>
        <w:t>2</w:t>
      </w:r>
      <w:r w:rsidRPr="001D5327">
        <w:rPr>
          <w:rFonts w:cs="Calibri"/>
        </w:rPr>
        <w:t xml:space="preserve">O emissions for the </w:t>
      </w:r>
      <w:r w:rsidRPr="001D5327">
        <w:rPr>
          <w:rFonts w:cs="Calibri"/>
          <w:i/>
          <w:iCs/>
        </w:rPr>
        <w:t>Manure management</w:t>
      </w:r>
      <w:r w:rsidRPr="001D5327">
        <w:rPr>
          <w:rFonts w:cs="Calibri"/>
        </w:rPr>
        <w:t xml:space="preserve"> category and N</w:t>
      </w:r>
      <w:r w:rsidRPr="001D5327">
        <w:rPr>
          <w:rFonts w:cs="Calibri"/>
          <w:vertAlign w:val="subscript"/>
        </w:rPr>
        <w:t>2</w:t>
      </w:r>
      <w:r w:rsidRPr="001D5327">
        <w:rPr>
          <w:rFonts w:cs="Calibri"/>
        </w:rPr>
        <w:t xml:space="preserve">O emissions for the </w:t>
      </w:r>
      <w:r w:rsidRPr="001D5327">
        <w:rPr>
          <w:rFonts w:cs="Calibri"/>
          <w:i/>
          <w:iCs/>
        </w:rPr>
        <w:t>Urine and dung deposited by grazing animals</w:t>
      </w:r>
      <w:r w:rsidRPr="001D5327">
        <w:rPr>
          <w:rFonts w:cs="Calibri"/>
        </w:rPr>
        <w:t xml:space="preserve"> </w:t>
      </w:r>
      <w:r w:rsidRPr="001D5327">
        <w:rPr>
          <w:rFonts w:cs="Calibri"/>
          <w:i/>
          <w:iCs/>
        </w:rPr>
        <w:t>(pasture, range and paddock manure)</w:t>
      </w:r>
      <w:r w:rsidRPr="001D5327">
        <w:rPr>
          <w:rFonts w:cs="Calibri"/>
        </w:rPr>
        <w:t xml:space="preserve"> category.</w:t>
      </w:r>
    </w:p>
    <w:p w14:paraId="2A2810E5" w14:textId="77777777" w:rsidR="00590FE1" w:rsidRPr="001D5327" w:rsidRDefault="00590FE1" w:rsidP="00590FE1">
      <w:pPr>
        <w:pStyle w:val="BodyText"/>
        <w:rPr>
          <w:rFonts w:cs="Calibri"/>
        </w:rPr>
      </w:pPr>
      <w:r w:rsidRPr="001D5327">
        <w:rPr>
          <w:rFonts w:cs="Calibri"/>
        </w:rPr>
        <w:t xml:space="preserve">Uncertainties in </w:t>
      </w:r>
      <w:r w:rsidRPr="001D5327">
        <w:rPr>
          <w:rFonts w:cs="Calibri"/>
          <w:spacing w:val="-2"/>
        </w:rPr>
        <w:t>N</w:t>
      </w:r>
      <w:r w:rsidRPr="001D5327">
        <w:rPr>
          <w:rFonts w:cs="Calibri"/>
          <w:spacing w:val="-2"/>
          <w:vertAlign w:val="subscript"/>
        </w:rPr>
        <w:t>2</w:t>
      </w:r>
      <w:r w:rsidRPr="001D5327">
        <w:rPr>
          <w:rFonts w:cs="Calibri"/>
          <w:spacing w:val="-2"/>
        </w:rPr>
        <w:t>O</w:t>
      </w:r>
      <w:r w:rsidRPr="001D5327">
        <w:rPr>
          <w:rFonts w:cs="Calibri"/>
        </w:rPr>
        <w:t xml:space="preserve"> emissions from </w:t>
      </w:r>
      <w:r w:rsidRPr="001D5327">
        <w:rPr>
          <w:rFonts w:cs="Calibri"/>
          <w:i/>
          <w:iCs/>
        </w:rPr>
        <w:t>Agricultural soils</w:t>
      </w:r>
      <w:r w:rsidRPr="001D5327">
        <w:rPr>
          <w:rFonts w:cs="Calibri"/>
        </w:rPr>
        <w:t xml:space="preserve"> are calculated using an analytical method developed by Kelliher et al. (2017). This method estimated the uncertainty of the </w:t>
      </w:r>
      <w:r w:rsidRPr="001D5327">
        <w:rPr>
          <w:rFonts w:cs="Calibri"/>
          <w:i/>
          <w:iCs/>
        </w:rPr>
        <w:t>Agricultural soils</w:t>
      </w:r>
      <w:r w:rsidRPr="001D5327">
        <w:rPr>
          <w:rFonts w:cs="Calibri"/>
        </w:rPr>
        <w:t xml:space="preserve"> category to be ±55.9 per cent for 2023.</w:t>
      </w:r>
    </w:p>
    <w:p w14:paraId="5E1CE261" w14:textId="77777777" w:rsidR="00590FE1" w:rsidRPr="001D5327" w:rsidRDefault="00590FE1" w:rsidP="00590FE1">
      <w:pPr>
        <w:pStyle w:val="BodyText"/>
        <w:rPr>
          <w:rFonts w:cs="Calibri"/>
        </w:rPr>
      </w:pPr>
      <w:r w:rsidRPr="001D5327">
        <w:rPr>
          <w:rFonts w:cs="Calibri"/>
        </w:rPr>
        <w:t>The benefit of using the analytical method is that it can be updated annually by the MPI inventory team. Kelliher et al. (2017) also compared the analytical method with the Monte Carlo method used for previous years and found that both produced similar results.</w:t>
      </w:r>
    </w:p>
    <w:p w14:paraId="15257E21" w14:textId="77777777" w:rsidR="00590FE1" w:rsidRPr="001D5327" w:rsidRDefault="00590FE1" w:rsidP="00590FE1">
      <w:pPr>
        <w:pStyle w:val="BodyText"/>
        <w:rPr>
          <w:rFonts w:cs="Calibri"/>
        </w:rPr>
      </w:pPr>
      <w:r w:rsidRPr="001D5327">
        <w:rPr>
          <w:rFonts w:cs="Calibri"/>
        </w:rPr>
        <w:t xml:space="preserve">Uncertainties were assessed for the 1990, 2002 and 2012 inventories using the Monte Carlo method. For the 1990 and 2002 inventories, the uncertainties were assessed using a Monte Carlo simulation of 5,000 scenarios with the @RISK software (Kelliher et al., 2017). </w:t>
      </w:r>
    </w:p>
    <w:p w14:paraId="5A647820" w14:textId="77777777" w:rsidR="00590FE1" w:rsidRPr="001D5327" w:rsidRDefault="00590FE1" w:rsidP="00590FE1">
      <w:pPr>
        <w:pStyle w:val="BodyText"/>
        <w:rPr>
          <w:rFonts w:cs="Calibri"/>
        </w:rPr>
      </w:pPr>
      <w:r w:rsidRPr="001D5327">
        <w:rPr>
          <w:rFonts w:cs="Calibri"/>
          <w:spacing w:val="-2"/>
        </w:rPr>
        <w:t>The overall inventory uncertainty analysis shown in annex 2 demonstrates that the uncertainty</w:t>
      </w:r>
      <w:r w:rsidRPr="001D5327">
        <w:rPr>
          <w:rFonts w:cs="Calibri"/>
        </w:rPr>
        <w:t xml:space="preserve"> in annual emissions from </w:t>
      </w:r>
      <w:r w:rsidRPr="001D5327">
        <w:rPr>
          <w:rFonts w:cs="Calibri"/>
          <w:i/>
          <w:iCs/>
        </w:rPr>
        <w:t>Agricultural soils</w:t>
      </w:r>
      <w:r w:rsidRPr="001D5327">
        <w:rPr>
          <w:rFonts w:cs="Calibri"/>
        </w:rPr>
        <w:t xml:space="preserve"> is a major contributor to uncertainty in </w:t>
      </w:r>
      <w:r w:rsidRPr="001D5327">
        <w:rPr>
          <w:rFonts w:cs="Calibri"/>
          <w:spacing w:val="-2"/>
        </w:rPr>
        <w:t>New Zealand’s</w:t>
      </w:r>
      <w:r w:rsidRPr="001D5327">
        <w:rPr>
          <w:rFonts w:cs="Calibri"/>
        </w:rPr>
        <w:t xml:space="preserve"> total greenhouse gas emissions. The uncertainty between years is assumed to be correlated, and therefore the uncertainty is mostly associated with the emission factors. The uncertainty associated with the trend in emissions from </w:t>
      </w:r>
      <w:r w:rsidRPr="001D5327">
        <w:rPr>
          <w:rFonts w:cs="Calibri"/>
          <w:i/>
          <w:iCs/>
        </w:rPr>
        <w:t>Agricultural soils</w:t>
      </w:r>
      <w:r w:rsidRPr="001D5327">
        <w:rPr>
          <w:rFonts w:cs="Calibri"/>
        </w:rPr>
        <w:t xml:space="preserve"> is much lower than the uncertainty for an annual estimate. </w:t>
      </w:r>
    </w:p>
    <w:p w14:paraId="5B61500B" w14:textId="77777777" w:rsidR="00590FE1" w:rsidRPr="001D5327" w:rsidRDefault="00590FE1" w:rsidP="00590FE1">
      <w:pPr>
        <w:pStyle w:val="BodyText"/>
        <w:rPr>
          <w:rFonts w:cs="Calibri"/>
        </w:rPr>
      </w:pPr>
      <w:r w:rsidRPr="001D5327">
        <w:rPr>
          <w:rFonts w:cs="Calibri"/>
        </w:rPr>
        <w:t xml:space="preserve">The uncertainty in emissions from </w:t>
      </w:r>
      <w:r w:rsidRPr="001D5327">
        <w:rPr>
          <w:rFonts w:cs="Calibri"/>
          <w:i/>
          <w:iCs/>
        </w:rPr>
        <w:t>Agricultural soils</w:t>
      </w:r>
      <w:r w:rsidRPr="001D5327">
        <w:rPr>
          <w:rFonts w:cs="Calibri"/>
        </w:rPr>
        <w:t xml:space="preserve"> is largely due to the parameter EF</w:t>
      </w:r>
      <w:r w:rsidRPr="001D5327">
        <w:rPr>
          <w:rFonts w:cs="Calibri"/>
          <w:vertAlign w:val="subscript"/>
        </w:rPr>
        <w:t>3(PRP)</w:t>
      </w:r>
      <w:r w:rsidRPr="001D5327">
        <w:rPr>
          <w:rFonts w:cs="Calibri"/>
        </w:rPr>
        <w:t xml:space="preserve"> and emissions from urine and dung deposited by grazing animals. This uncertainty reflects natural variance in EF</w:t>
      </w:r>
      <w:r w:rsidRPr="001D5327">
        <w:rPr>
          <w:rFonts w:cs="Calibri"/>
          <w:vertAlign w:val="subscript"/>
        </w:rPr>
        <w:t xml:space="preserve">3 </w:t>
      </w:r>
      <w:r w:rsidRPr="001D5327">
        <w:rPr>
          <w:rFonts w:cs="Calibri"/>
        </w:rPr>
        <w:t>due to weather, climate and soil type (Kelliher et al., 2017).</w:t>
      </w:r>
    </w:p>
    <w:p w14:paraId="3F48AFD4" w14:textId="77777777" w:rsidR="00590FE1" w:rsidRPr="001D5327" w:rsidRDefault="00590FE1" w:rsidP="00590FE1">
      <w:pPr>
        <w:pStyle w:val="Heading3"/>
      </w:pPr>
      <w:bookmarkStart w:id="1278" w:name="_Toc139253936"/>
      <w:bookmarkStart w:id="1279" w:name="_Toc32570670"/>
      <w:r w:rsidRPr="001D5327">
        <w:t>5.5.4</w:t>
      </w:r>
      <w:r w:rsidRPr="001D5327">
        <w:tab/>
        <w:t>Category-specific QA/QC and verification</w:t>
      </w:r>
      <w:bookmarkEnd w:id="1278"/>
      <w:bookmarkEnd w:id="1279"/>
    </w:p>
    <w:p w14:paraId="628E3F31" w14:textId="77777777" w:rsidR="00590FE1" w:rsidRPr="001D5327" w:rsidRDefault="00590FE1" w:rsidP="00590FE1">
      <w:pPr>
        <w:pStyle w:val="BodyText"/>
        <w:rPr>
          <w:rFonts w:cs="Calibri"/>
        </w:rPr>
      </w:pPr>
      <w:r w:rsidRPr="001D5327">
        <w:rPr>
          <w:rFonts w:cs="Calibri"/>
        </w:rPr>
        <w:t>In preparation for this inventory submission, the data underwent Tier 1 and Tier 2 quality checks.</w:t>
      </w:r>
    </w:p>
    <w:p w14:paraId="061B1937" w14:textId="77777777" w:rsidR="00590FE1" w:rsidRPr="001D5327" w:rsidRDefault="00590FE1" w:rsidP="00590FE1">
      <w:pPr>
        <w:pStyle w:val="Heading5"/>
      </w:pPr>
      <w:r w:rsidRPr="001D5327">
        <w:lastRenderedPageBreak/>
        <w:t>Verification of activity data</w:t>
      </w:r>
    </w:p>
    <w:p w14:paraId="58A3015C" w14:textId="77777777" w:rsidR="00590FE1" w:rsidRPr="001D5327" w:rsidRDefault="00590FE1" w:rsidP="00590FE1">
      <w:pPr>
        <w:pStyle w:val="BodyText"/>
        <w:rPr>
          <w:rFonts w:cs="Calibri"/>
        </w:rPr>
      </w:pPr>
      <w:r w:rsidRPr="001D5327">
        <w:rPr>
          <w:rFonts w:cs="Calibri"/>
        </w:rPr>
        <w:t xml:space="preserve">Research has been carried out to verify the activity data for crops. In 2008 and 2011, MPI </w:t>
      </w:r>
      <w:r w:rsidRPr="001D5327">
        <w:rPr>
          <w:rFonts w:cs="Calibri"/>
          <w:spacing w:val="-2"/>
        </w:rPr>
        <w:t>commissioned reports investigating N</w:t>
      </w:r>
      <w:r w:rsidRPr="001D5327">
        <w:rPr>
          <w:rFonts w:cs="Calibri"/>
          <w:spacing w:val="-2"/>
          <w:vertAlign w:val="subscript"/>
        </w:rPr>
        <w:t>2</w:t>
      </w:r>
      <w:r w:rsidRPr="001D5327">
        <w:rPr>
          <w:rFonts w:cs="Calibri"/>
          <w:spacing w:val="-2"/>
        </w:rPr>
        <w:t>O emission factors and activity data for crops (Thomas et al.</w:t>
      </w:r>
      <w:r w:rsidRPr="001D5327">
        <w:rPr>
          <w:rFonts w:cs="Calibri"/>
        </w:rPr>
        <w:t>, 2008, 2011). The reports compared activity data from the Stats NZ Agricultural Production Survey with the Foundation for Arable Research production database. Data for wheat and maize between the two data sources were very similar, although differences were evident for some of the other crops.</w:t>
      </w:r>
    </w:p>
    <w:p w14:paraId="007810F9" w14:textId="77777777" w:rsidR="00590FE1" w:rsidRPr="001D5327" w:rsidRDefault="00590FE1" w:rsidP="00590FE1">
      <w:pPr>
        <w:pStyle w:val="BodyText"/>
        <w:rPr>
          <w:rFonts w:cs="Calibri"/>
        </w:rPr>
      </w:pPr>
      <w:r w:rsidRPr="001D5327">
        <w:rPr>
          <w:rFonts w:cs="Calibri"/>
        </w:rPr>
        <w:t xml:space="preserve">The accuracy of synthetic nitrogen fertiliser data has also been assessed by comparing fertiliser sales data received from the Fertiliser Association of New Zealand with data collected from the Agricultural Production Survey. </w:t>
      </w:r>
    </w:p>
    <w:p w14:paraId="192FDF2D" w14:textId="77777777" w:rsidR="00590FE1" w:rsidRPr="001D5327" w:rsidRDefault="00590FE1" w:rsidP="00590FE1">
      <w:pPr>
        <w:pStyle w:val="BodyText"/>
        <w:spacing w:after="100"/>
        <w:rPr>
          <w:rFonts w:cs="Calibri"/>
        </w:rPr>
      </w:pPr>
      <w:r w:rsidRPr="001D5327">
        <w:rPr>
          <w:rFonts w:cs="Calibri"/>
        </w:rPr>
        <w:t xml:space="preserve">The Fertiliser Association sales data are used rather than the Stats NZ Agricultural Production Survey data because the sales data are considered to be more comprehensive and accurate. Nearly 98 per cent of </w:t>
      </w:r>
      <w:r w:rsidRPr="001D5327">
        <w:rPr>
          <w:rFonts w:cs="Calibri"/>
          <w:spacing w:val="-2"/>
        </w:rPr>
        <w:t>New Zealand</w:t>
      </w:r>
      <w:r w:rsidRPr="001D5327">
        <w:rPr>
          <w:rFonts w:cs="Calibri"/>
        </w:rPr>
        <w:t xml:space="preserve"> synthetic nitrogen fertiliser is sold by two large companies that provide sales data to the Fertiliser Association (Fertiliser Association of New Zealand, 2024). The Fertiliser Association provides an estimate of the additional synthetic nitrogen fertiliser sold by other companies (around 2 per cent). In contrast, the Agricultural Production Survey data are collected from a sampling frame of around 49,300 individual farms. Some farmers use contract fertiliser spreading companies (including aerial spreading) and may not have an accurate estimate of the tonnes of fertiliser applied or are unsure on how to fill in the questionnaire accurately, given the number of different fertilisers used and their varying names. The Agricultural Production Census and Agricultural Production Survey data verified the long-term trend of the increasing use of synthetic nitrogen fertiliser. </w:t>
      </w:r>
    </w:p>
    <w:p w14:paraId="5C917619" w14:textId="77777777" w:rsidR="00590FE1" w:rsidRPr="001D5327" w:rsidRDefault="00590FE1" w:rsidP="00590FE1">
      <w:pPr>
        <w:pStyle w:val="Heading5"/>
        <w:spacing w:before="180"/>
      </w:pPr>
      <w:r w:rsidRPr="001D5327">
        <w:t>Comparison of New Zealand emission factors and parameters with IPCC default values</w:t>
      </w:r>
    </w:p>
    <w:p w14:paraId="536C7DA0" w14:textId="77777777" w:rsidR="00590FE1" w:rsidRPr="001D5327" w:rsidRDefault="00590FE1" w:rsidP="00590FE1">
      <w:pPr>
        <w:pStyle w:val="BodyText"/>
      </w:pPr>
      <w:r w:rsidRPr="001D5327">
        <w:t xml:space="preserve">Table 5.5.11 compares </w:t>
      </w:r>
      <w:r w:rsidRPr="001D5327">
        <w:rPr>
          <w:rFonts w:cs="Calibri"/>
          <w:spacing w:val="-2"/>
        </w:rPr>
        <w:t>New Zealand’s</w:t>
      </w:r>
      <w:r w:rsidRPr="001D5327">
        <w:t xml:space="preserve"> IEFs for EF</w:t>
      </w:r>
      <w:r w:rsidRPr="001D5327">
        <w:rPr>
          <w:vertAlign w:val="subscript"/>
        </w:rPr>
        <w:t>1</w:t>
      </w:r>
      <w:r w:rsidRPr="001D5327">
        <w:t xml:space="preserve"> (synthetic nitrogen fertiliser) and EF</w:t>
      </w:r>
      <w:r w:rsidRPr="001D5327">
        <w:rPr>
          <w:vertAlign w:val="subscript"/>
        </w:rPr>
        <w:t>3(PRP)</w:t>
      </w:r>
      <w:r w:rsidRPr="001D5327">
        <w:t xml:space="preserve"> (urine and dung deposited by grazing animals) with the 2006 IPCC default values and emission factors used by Australia. The </w:t>
      </w:r>
      <w:r w:rsidRPr="001D5327">
        <w:rPr>
          <w:rFonts w:cs="Calibri"/>
          <w:spacing w:val="-2"/>
        </w:rPr>
        <w:t>New Zealand</w:t>
      </w:r>
      <w:r w:rsidRPr="001D5327">
        <w:t xml:space="preserve"> EF</w:t>
      </w:r>
      <w:r w:rsidRPr="001D5327">
        <w:rPr>
          <w:vertAlign w:val="subscript"/>
        </w:rPr>
        <w:t>1</w:t>
      </w:r>
      <w:r w:rsidRPr="001D5327">
        <w:t xml:space="preserve"> value is lower than the IPCC default due to the use of a country-specific emission factor for urea fertiliser and incorporation of the effect of urease inhibitors. For EF</w:t>
      </w:r>
      <w:r w:rsidRPr="001D5327">
        <w:rPr>
          <w:vertAlign w:val="subscript"/>
        </w:rPr>
        <w:t>3</w:t>
      </w:r>
      <w:r w:rsidRPr="001D5327">
        <w:t>,</w:t>
      </w:r>
      <w:r w:rsidRPr="001D5327">
        <w:rPr>
          <w:vertAlign w:val="subscript"/>
        </w:rPr>
        <w:t xml:space="preserve"> </w:t>
      </w:r>
      <w:r w:rsidRPr="001D5327">
        <w:t xml:space="preserve">the </w:t>
      </w:r>
      <w:r w:rsidRPr="001D5327" w:rsidDel="00BB3219">
        <w:rPr>
          <w:rFonts w:cs="Calibri"/>
          <w:spacing w:val="-2"/>
        </w:rPr>
        <w:t xml:space="preserve">New </w:t>
      </w:r>
      <w:r w:rsidRPr="001D5327">
        <w:rPr>
          <w:rFonts w:cs="Calibri"/>
          <w:spacing w:val="-2"/>
        </w:rPr>
        <w:t>Zealand</w:t>
      </w:r>
      <w:r w:rsidRPr="001D5327">
        <w:t xml:space="preserve"> value is also lower than the IPCC default. This reflects research that has allowed for the development of country-specific emission factors for dung and urine from trials summarised by van der Weerden et al. (2019) (see section 5.5.2). </w:t>
      </w:r>
    </w:p>
    <w:p w14:paraId="041C51DF" w14:textId="77777777" w:rsidR="00590FE1" w:rsidRPr="001D5327" w:rsidRDefault="00590FE1" w:rsidP="00590FE1">
      <w:pPr>
        <w:pStyle w:val="Table"/>
        <w:rPr>
          <w:rFonts w:cs="Calibri"/>
        </w:rPr>
      </w:pPr>
      <w:bookmarkStart w:id="1280" w:name="_Toc441830888"/>
      <w:bookmarkStart w:id="1281" w:name="_Toc451176102"/>
      <w:bookmarkStart w:id="1282" w:name="_Toc481751529"/>
      <w:bookmarkStart w:id="1283" w:name="_Toc507158617"/>
      <w:bookmarkStart w:id="1284" w:name="_Toc511116751"/>
      <w:bookmarkStart w:id="1285" w:name="_Toc5269493"/>
      <w:bookmarkStart w:id="1286" w:name="_Toc32570938"/>
      <w:bookmarkStart w:id="1287" w:name="_Toc36224573"/>
      <w:bookmarkStart w:id="1288" w:name="_Toc68786458"/>
      <w:bookmarkStart w:id="1289" w:name="_Toc95574091"/>
      <w:bookmarkStart w:id="1290" w:name="_Toc127458278"/>
      <w:bookmarkStart w:id="1291" w:name="_Toc131591374"/>
      <w:bookmarkStart w:id="1292" w:name="_Toc160114468"/>
      <w:bookmarkStart w:id="1293" w:name="_Toc164153864"/>
      <w:bookmarkStart w:id="1294" w:name="_Toc194241735"/>
      <w:bookmarkStart w:id="1295" w:name="_Toc288316759"/>
      <w:bookmarkStart w:id="1296" w:name="_Toc352504977"/>
      <w:r w:rsidRPr="001D5327">
        <w:rPr>
          <w:rFonts w:cs="Calibri"/>
        </w:rPr>
        <w:t>Table 5.5.11</w:t>
      </w:r>
      <w:r w:rsidRPr="001D5327">
        <w:rPr>
          <w:rFonts w:cs="Calibri"/>
        </w:rPr>
        <w:tab/>
        <w:t xml:space="preserve">Comparison of </w:t>
      </w:r>
      <w:r w:rsidRPr="001D5327">
        <w:rPr>
          <w:rFonts w:cs="Calibri"/>
          <w:spacing w:val="-2"/>
        </w:rPr>
        <w:t>New Zealand’s</w:t>
      </w:r>
      <w:r w:rsidRPr="001D5327">
        <w:rPr>
          <w:rFonts w:cs="Calibri"/>
        </w:rPr>
        <w:t xml:space="preserve"> implied emission factors (IEFs) for EF</w:t>
      </w:r>
      <w:r w:rsidRPr="001D5327">
        <w:rPr>
          <w:rFonts w:cs="Calibri"/>
          <w:vertAlign w:val="subscript"/>
        </w:rPr>
        <w:t>1</w:t>
      </w:r>
      <w:r w:rsidRPr="001D5327">
        <w:rPr>
          <w:rFonts w:cs="Calibri"/>
        </w:rPr>
        <w:t xml:space="preserve"> (synthetic nitrogen fertiliser) and EF</w:t>
      </w:r>
      <w:r w:rsidRPr="001D5327">
        <w:rPr>
          <w:rFonts w:cs="Calibri"/>
          <w:vertAlign w:val="subscript"/>
        </w:rPr>
        <w:t>3(PRP)</w:t>
      </w:r>
      <w:r w:rsidRPr="001D5327">
        <w:rPr>
          <w:rFonts w:cs="Calibri"/>
        </w:rPr>
        <w:t xml:space="preserve"> (pasture, range and paddock manure) with the IPCC default and the Australia</w:t>
      </w:r>
      <w:bookmarkEnd w:id="1280"/>
      <w:r w:rsidRPr="001D5327">
        <w:rPr>
          <w:rFonts w:cs="Calibri"/>
        </w:rPr>
        <w:t>n-specific value</w:t>
      </w:r>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r w:rsidRPr="001D5327">
        <w:rPr>
          <w:rFonts w:cs="Calibri"/>
        </w:rPr>
        <w:t xml:space="preserve"> </w:t>
      </w:r>
      <w:bookmarkEnd w:id="1295"/>
      <w:bookmarkEnd w:id="1296"/>
    </w:p>
    <w:tbl>
      <w:tblPr>
        <w:tblW w:w="8505" w:type="dxa"/>
        <w:tblBorders>
          <w:top w:val="single" w:sz="4" w:space="0" w:color="365F91"/>
          <w:bottom w:val="single" w:sz="4" w:space="0" w:color="365F91"/>
          <w:insideH w:val="single" w:sz="4" w:space="0" w:color="365F91"/>
        </w:tblBorders>
        <w:tblLook w:val="01E0" w:firstRow="1" w:lastRow="1" w:firstColumn="1" w:lastColumn="1" w:noHBand="0" w:noVBand="0"/>
      </w:tblPr>
      <w:tblGrid>
        <w:gridCol w:w="3261"/>
        <w:gridCol w:w="2553"/>
        <w:gridCol w:w="2691"/>
      </w:tblGrid>
      <w:tr w:rsidR="00590FE1" w:rsidRPr="001D5327" w14:paraId="53942D4D" w14:textId="77777777" w:rsidTr="00403787">
        <w:tc>
          <w:tcPr>
            <w:tcW w:w="1917" w:type="pct"/>
            <w:shd w:val="clear" w:color="auto" w:fill="1B556B"/>
            <w:vAlign w:val="bottom"/>
          </w:tcPr>
          <w:p w14:paraId="4D7D9D52" w14:textId="77777777" w:rsidR="00590FE1" w:rsidRPr="001D5327" w:rsidRDefault="00590FE1" w:rsidP="00403787">
            <w:pPr>
              <w:pStyle w:val="TableTextBold"/>
              <w:keepNext/>
              <w:spacing w:before="40" w:after="40"/>
              <w:rPr>
                <w:noProof w:val="0"/>
                <w:color w:val="FFFFFF" w:themeColor="background1"/>
                <w:szCs w:val="16"/>
              </w:rPr>
            </w:pPr>
          </w:p>
        </w:tc>
        <w:tc>
          <w:tcPr>
            <w:tcW w:w="1501" w:type="pct"/>
            <w:shd w:val="clear" w:color="auto" w:fill="1B556B"/>
            <w:vAlign w:val="bottom"/>
          </w:tcPr>
          <w:p w14:paraId="67092D4D"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EF</w:t>
            </w:r>
            <w:r w:rsidRPr="001D5327">
              <w:rPr>
                <w:noProof w:val="0"/>
                <w:color w:val="FFFFFF" w:themeColor="background1"/>
                <w:szCs w:val="16"/>
                <w:vertAlign w:val="subscript"/>
              </w:rPr>
              <w:t>1</w:t>
            </w:r>
            <w:r w:rsidRPr="001D5327">
              <w:rPr>
                <w:noProof w:val="0"/>
                <w:color w:val="FFFFFF" w:themeColor="background1"/>
                <w:szCs w:val="16"/>
              </w:rPr>
              <w:t xml:space="preserve"> (kg N</w:t>
            </w:r>
            <w:r w:rsidRPr="001D5327">
              <w:rPr>
                <w:noProof w:val="0"/>
                <w:color w:val="FFFFFF" w:themeColor="background1"/>
                <w:szCs w:val="16"/>
                <w:vertAlign w:val="subscript"/>
              </w:rPr>
              <w:t>2</w:t>
            </w:r>
            <w:r w:rsidRPr="001D5327">
              <w:rPr>
                <w:noProof w:val="0"/>
                <w:color w:val="FFFFFF" w:themeColor="background1"/>
                <w:szCs w:val="16"/>
              </w:rPr>
              <w:t>O-N/kg N)</w:t>
            </w:r>
          </w:p>
        </w:tc>
        <w:tc>
          <w:tcPr>
            <w:tcW w:w="1582" w:type="pct"/>
            <w:shd w:val="clear" w:color="auto" w:fill="1B556B"/>
            <w:vAlign w:val="bottom"/>
          </w:tcPr>
          <w:p w14:paraId="661BCCFF" w14:textId="77777777" w:rsidR="00590FE1" w:rsidRPr="001D5327" w:rsidRDefault="00590FE1" w:rsidP="00403787">
            <w:pPr>
              <w:pStyle w:val="TableTextBold"/>
              <w:keepNext/>
              <w:spacing w:before="40" w:after="40"/>
              <w:jc w:val="right"/>
              <w:rPr>
                <w:noProof w:val="0"/>
                <w:color w:val="FFFFFF" w:themeColor="background1"/>
                <w:szCs w:val="16"/>
              </w:rPr>
            </w:pPr>
            <w:r w:rsidRPr="001D5327">
              <w:rPr>
                <w:noProof w:val="0"/>
                <w:color w:val="FFFFFF" w:themeColor="background1"/>
                <w:szCs w:val="16"/>
              </w:rPr>
              <w:t>EF</w:t>
            </w:r>
            <w:r w:rsidRPr="001D5327">
              <w:rPr>
                <w:noProof w:val="0"/>
                <w:color w:val="FFFFFF" w:themeColor="background1"/>
                <w:szCs w:val="16"/>
                <w:vertAlign w:val="subscript"/>
              </w:rPr>
              <w:t>3</w:t>
            </w:r>
            <w:r w:rsidRPr="001D5327">
              <w:rPr>
                <w:noProof w:val="0"/>
                <w:color w:val="FFFFFF" w:themeColor="background1"/>
                <w:szCs w:val="16"/>
              </w:rPr>
              <w:t xml:space="preserve"> (kg N</w:t>
            </w:r>
            <w:r w:rsidRPr="001D5327">
              <w:rPr>
                <w:noProof w:val="0"/>
                <w:color w:val="FFFFFF" w:themeColor="background1"/>
                <w:szCs w:val="16"/>
                <w:vertAlign w:val="subscript"/>
              </w:rPr>
              <w:t>2</w:t>
            </w:r>
            <w:r w:rsidRPr="001D5327">
              <w:rPr>
                <w:noProof w:val="0"/>
                <w:color w:val="FFFFFF" w:themeColor="background1"/>
                <w:szCs w:val="16"/>
              </w:rPr>
              <w:t>O-N/kg N excreted)</w:t>
            </w:r>
          </w:p>
        </w:tc>
      </w:tr>
      <w:tr w:rsidR="00590FE1" w:rsidRPr="001D5327" w14:paraId="5F8399EB" w14:textId="77777777" w:rsidTr="00403787">
        <w:tc>
          <w:tcPr>
            <w:tcW w:w="1917" w:type="pct"/>
          </w:tcPr>
          <w:p w14:paraId="769AB491" w14:textId="77777777" w:rsidR="00590FE1" w:rsidRPr="001D5327" w:rsidRDefault="00590FE1" w:rsidP="00403787">
            <w:pPr>
              <w:pStyle w:val="TableText"/>
              <w:keepNext/>
              <w:spacing w:before="40" w:after="40"/>
              <w:rPr>
                <w:rFonts w:cs="Calibri"/>
                <w:szCs w:val="16"/>
              </w:rPr>
            </w:pPr>
            <w:r w:rsidRPr="001D5327">
              <w:rPr>
                <w:rFonts w:cs="Calibri"/>
                <w:szCs w:val="16"/>
              </w:rPr>
              <w:t>IPCC (2006) developed temperate climate/Oceania default value</w:t>
            </w:r>
          </w:p>
        </w:tc>
        <w:tc>
          <w:tcPr>
            <w:tcW w:w="1501" w:type="pct"/>
          </w:tcPr>
          <w:p w14:paraId="280E1776" w14:textId="77777777" w:rsidR="00590FE1" w:rsidRPr="001D5327" w:rsidRDefault="00590FE1" w:rsidP="00403787">
            <w:pPr>
              <w:pStyle w:val="TableText"/>
              <w:keepNext/>
              <w:spacing w:before="40" w:after="40"/>
              <w:jc w:val="right"/>
              <w:rPr>
                <w:rFonts w:cs="Calibri"/>
                <w:szCs w:val="16"/>
              </w:rPr>
            </w:pPr>
            <w:r w:rsidRPr="001D5327">
              <w:rPr>
                <w:rFonts w:cs="Calibri"/>
                <w:szCs w:val="16"/>
              </w:rPr>
              <w:t>0.01</w:t>
            </w:r>
          </w:p>
        </w:tc>
        <w:tc>
          <w:tcPr>
            <w:tcW w:w="1582" w:type="pct"/>
          </w:tcPr>
          <w:p w14:paraId="3FA6DC37" w14:textId="77777777" w:rsidR="00590FE1" w:rsidRPr="001D5327" w:rsidRDefault="00590FE1" w:rsidP="00403787">
            <w:pPr>
              <w:pStyle w:val="TableText"/>
              <w:keepNext/>
              <w:spacing w:before="40" w:after="0"/>
              <w:jc w:val="right"/>
              <w:rPr>
                <w:rFonts w:cs="Calibri"/>
                <w:szCs w:val="16"/>
              </w:rPr>
            </w:pPr>
            <w:r w:rsidRPr="001D5327">
              <w:rPr>
                <w:rFonts w:cs="Calibri"/>
                <w:szCs w:val="16"/>
              </w:rPr>
              <w:t>0.02 (cattle, poultry and pigs)</w:t>
            </w:r>
          </w:p>
          <w:p w14:paraId="7F5AF55B" w14:textId="77777777" w:rsidR="00590FE1" w:rsidRPr="001D5327" w:rsidRDefault="00590FE1" w:rsidP="00403787">
            <w:pPr>
              <w:pStyle w:val="TableText"/>
              <w:keepNext/>
              <w:spacing w:before="40" w:after="40"/>
              <w:jc w:val="right"/>
              <w:rPr>
                <w:rFonts w:cs="Calibri"/>
                <w:szCs w:val="16"/>
              </w:rPr>
            </w:pPr>
            <w:r w:rsidRPr="001D5327">
              <w:rPr>
                <w:rFonts w:cs="Calibri"/>
                <w:szCs w:val="16"/>
              </w:rPr>
              <w:t>0.01 (sheep and other animals)</w:t>
            </w:r>
          </w:p>
        </w:tc>
      </w:tr>
      <w:tr w:rsidR="00590FE1" w:rsidRPr="001D5327" w14:paraId="745C95C0" w14:textId="77777777" w:rsidTr="00403787">
        <w:tc>
          <w:tcPr>
            <w:tcW w:w="1917" w:type="pct"/>
          </w:tcPr>
          <w:p w14:paraId="56B4C1EF" w14:textId="77777777" w:rsidR="00590FE1" w:rsidRPr="001D5327" w:rsidRDefault="00590FE1" w:rsidP="00403787">
            <w:pPr>
              <w:pStyle w:val="TableText"/>
              <w:keepNext/>
              <w:spacing w:before="40" w:after="40"/>
              <w:rPr>
                <w:rFonts w:cs="Calibri"/>
                <w:szCs w:val="16"/>
              </w:rPr>
            </w:pPr>
            <w:r w:rsidRPr="001D5327">
              <w:rPr>
                <w:rFonts w:cs="Calibri"/>
                <w:szCs w:val="16"/>
              </w:rPr>
              <w:t>Australian-specific IEF 2022 value</w:t>
            </w:r>
          </w:p>
        </w:tc>
        <w:tc>
          <w:tcPr>
            <w:tcW w:w="1501" w:type="pct"/>
          </w:tcPr>
          <w:p w14:paraId="6F80C770" w14:textId="77777777" w:rsidR="00590FE1" w:rsidRPr="001D5327" w:rsidRDefault="00590FE1" w:rsidP="00403787">
            <w:pPr>
              <w:pStyle w:val="TableText"/>
              <w:keepNext/>
              <w:spacing w:before="40" w:after="40"/>
              <w:jc w:val="right"/>
              <w:rPr>
                <w:vertAlign w:val="superscript"/>
              </w:rPr>
            </w:pPr>
            <w:r w:rsidRPr="001D5327">
              <w:rPr>
                <w:rFonts w:cs="Calibri"/>
                <w:szCs w:val="16"/>
              </w:rPr>
              <w:t>0.0059/0.0018</w:t>
            </w:r>
            <w:r w:rsidRPr="001D5327">
              <w:rPr>
                <w:rFonts w:cs="Calibri"/>
                <w:szCs w:val="16"/>
                <w:vertAlign w:val="superscript"/>
              </w:rPr>
              <w:t>1</w:t>
            </w:r>
          </w:p>
        </w:tc>
        <w:tc>
          <w:tcPr>
            <w:tcW w:w="1582" w:type="pct"/>
          </w:tcPr>
          <w:p w14:paraId="3A6FF6D1" w14:textId="77777777" w:rsidR="00590FE1" w:rsidRPr="001D5327" w:rsidRDefault="00590FE1" w:rsidP="00403787">
            <w:pPr>
              <w:pStyle w:val="TableText"/>
              <w:keepNext/>
              <w:spacing w:before="40" w:after="40"/>
              <w:jc w:val="right"/>
              <w:rPr>
                <w:rFonts w:cs="Calibri"/>
                <w:szCs w:val="16"/>
              </w:rPr>
            </w:pPr>
            <w:r w:rsidRPr="001D5327">
              <w:rPr>
                <w:rFonts w:cs="Calibri"/>
                <w:szCs w:val="16"/>
              </w:rPr>
              <w:t>0.0040</w:t>
            </w:r>
          </w:p>
        </w:tc>
      </w:tr>
      <w:tr w:rsidR="00590FE1" w:rsidRPr="001D5327" w14:paraId="56E21288" w14:textId="77777777" w:rsidTr="00403787">
        <w:tc>
          <w:tcPr>
            <w:tcW w:w="1917" w:type="pct"/>
          </w:tcPr>
          <w:p w14:paraId="1EE9E12F" w14:textId="77777777" w:rsidR="00590FE1" w:rsidRPr="001D5327" w:rsidRDefault="00590FE1" w:rsidP="00403787">
            <w:pPr>
              <w:pStyle w:val="TableText"/>
              <w:spacing w:before="40" w:after="40"/>
              <w:rPr>
                <w:rFonts w:cs="Calibri"/>
                <w:szCs w:val="16"/>
              </w:rPr>
            </w:pPr>
            <w:r w:rsidRPr="001D5327">
              <w:rPr>
                <w:rFonts w:cs="Calibri"/>
                <w:szCs w:val="16"/>
              </w:rPr>
              <w:t>New Zealand-specific IEF 2023 value</w:t>
            </w:r>
          </w:p>
        </w:tc>
        <w:tc>
          <w:tcPr>
            <w:tcW w:w="1501" w:type="pct"/>
            <w:vAlign w:val="bottom"/>
          </w:tcPr>
          <w:p w14:paraId="0D709A6C"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0.0071</w:t>
            </w:r>
          </w:p>
        </w:tc>
        <w:tc>
          <w:tcPr>
            <w:tcW w:w="1582" w:type="pct"/>
            <w:vAlign w:val="bottom"/>
          </w:tcPr>
          <w:p w14:paraId="33E0EC9D" w14:textId="77777777" w:rsidR="00590FE1" w:rsidRPr="001D5327" w:rsidRDefault="00590FE1" w:rsidP="00403787">
            <w:pPr>
              <w:pStyle w:val="TableText"/>
              <w:spacing w:before="40" w:after="40"/>
              <w:jc w:val="right"/>
              <w:rPr>
                <w:rFonts w:cs="Calibri"/>
                <w:szCs w:val="16"/>
              </w:rPr>
            </w:pPr>
            <w:r w:rsidRPr="001D5327">
              <w:rPr>
                <w:rFonts w:cs="Calibri"/>
                <w:color w:val="000000"/>
                <w:szCs w:val="16"/>
              </w:rPr>
              <w:t>0.0053</w:t>
            </w:r>
          </w:p>
        </w:tc>
      </w:tr>
    </w:tbl>
    <w:p w14:paraId="39EDE0E5" w14:textId="77777777" w:rsidR="00590FE1" w:rsidRPr="001D5327" w:rsidRDefault="00590FE1" w:rsidP="00590FE1">
      <w:pPr>
        <w:pStyle w:val="Source"/>
        <w:spacing w:after="60"/>
        <w:rPr>
          <w:szCs w:val="18"/>
        </w:rPr>
      </w:pPr>
      <w:r w:rsidRPr="001D5327">
        <w:rPr>
          <w:szCs w:val="18"/>
        </w:rPr>
        <w:t xml:space="preserve">Source: </w:t>
      </w:r>
      <w:r w:rsidRPr="001D5327">
        <w:rPr>
          <w:szCs w:val="18"/>
        </w:rPr>
        <w:tab/>
        <w:t>UNFCCC (https://unfccc.int/documents/637882)</w:t>
      </w:r>
      <w:r w:rsidRPr="001D5327" w:rsidDel="00D478FB">
        <w:rPr>
          <w:szCs w:val="18"/>
        </w:rPr>
        <w:t xml:space="preserve"> </w:t>
      </w:r>
    </w:p>
    <w:p w14:paraId="75D983D6" w14:textId="77777777" w:rsidR="00590FE1" w:rsidRPr="001D5327" w:rsidRDefault="00590FE1" w:rsidP="00590FE1">
      <w:pPr>
        <w:pStyle w:val="Noteundertable"/>
        <w:spacing w:before="80"/>
      </w:pPr>
      <w:r w:rsidRPr="001D5327">
        <w:rPr>
          <w:b/>
          <w:bCs/>
        </w:rPr>
        <w:t>Note:</w:t>
      </w:r>
      <w:r w:rsidRPr="001D5327">
        <w:rPr>
          <w:b/>
          <w:bCs/>
        </w:rPr>
        <w:tab/>
      </w:r>
      <w:r w:rsidRPr="001D5327">
        <w:rPr>
          <w:vertAlign w:val="superscript"/>
        </w:rPr>
        <w:t>1</w:t>
      </w:r>
      <w:r w:rsidRPr="001D5327">
        <w:t xml:space="preserve"> Irrigated and non-irrigated pasture respectively. </w:t>
      </w:r>
    </w:p>
    <w:p w14:paraId="34A38FFF" w14:textId="77777777" w:rsidR="00590FE1" w:rsidRPr="001D5327" w:rsidRDefault="00590FE1" w:rsidP="00590FE1">
      <w:pPr>
        <w:pStyle w:val="BodyText"/>
      </w:pPr>
      <w:r w:rsidRPr="001D5327">
        <w:t>Table 5.5.12 compares the New Zealand-specific values Frac</w:t>
      </w:r>
      <w:r w:rsidRPr="001D5327">
        <w:rPr>
          <w:vertAlign w:val="subscript"/>
        </w:rPr>
        <w:t>GASF</w:t>
      </w:r>
      <w:r w:rsidRPr="001D5327">
        <w:t>, Frac</w:t>
      </w:r>
      <w:r w:rsidRPr="001D5327">
        <w:rPr>
          <w:vertAlign w:val="subscript"/>
        </w:rPr>
        <w:t>GASM</w:t>
      </w:r>
      <w:r w:rsidRPr="001D5327">
        <w:t xml:space="preserve"> and Frac</w:t>
      </w:r>
      <w:r w:rsidRPr="001D5327">
        <w:rPr>
          <w:vertAlign w:val="subscript"/>
        </w:rPr>
        <w:t>LEACH-H</w:t>
      </w:r>
      <w:r w:rsidRPr="001D5327">
        <w:t xml:space="preserve"> with </w:t>
      </w:r>
      <w:r w:rsidRPr="001D5327">
        <w:rPr>
          <w:spacing w:val="-2"/>
        </w:rPr>
        <w:t xml:space="preserve">the 2006 IPCC default and </w:t>
      </w:r>
      <w:r w:rsidRPr="001D5327">
        <w:t>fractions</w:t>
      </w:r>
      <w:r w:rsidRPr="001D5327">
        <w:rPr>
          <w:spacing w:val="-2"/>
        </w:rPr>
        <w:t xml:space="preserve"> used by Australia. </w:t>
      </w:r>
      <w:r w:rsidRPr="001D5327">
        <w:t>New Zealand</w:t>
      </w:r>
      <w:r w:rsidRPr="001D5327">
        <w:rPr>
          <w:spacing w:val="-2"/>
        </w:rPr>
        <w:t xml:space="preserve"> has taken a country</w:t>
      </w:r>
      <w:r w:rsidRPr="001D5327">
        <w:rPr>
          <w:spacing w:val="-2"/>
        </w:rPr>
        <w:noBreakHyphen/>
        <w:t>specific</w:t>
      </w:r>
      <w:r w:rsidRPr="001D5327">
        <w:t xml:space="preserve"> value for Frac</w:t>
      </w:r>
      <w:r w:rsidRPr="001D5327">
        <w:rPr>
          <w:vertAlign w:val="subscript"/>
        </w:rPr>
        <w:t>GASF</w:t>
      </w:r>
      <w:r w:rsidRPr="001D5327">
        <w:t xml:space="preserve"> of 0.1, and it is the same as the 2006 IPCC default and almost identical to that of Australia (0.11). Research showed that the 0.1 value was appropriate for </w:t>
      </w:r>
      <w:r w:rsidRPr="001D5327" w:rsidDel="008B12D6">
        <w:t xml:space="preserve">New </w:t>
      </w:r>
      <w:r w:rsidRPr="001D5327">
        <w:t xml:space="preserve">Zealand conditions (Sherlock et al., 2008). </w:t>
      </w:r>
    </w:p>
    <w:p w14:paraId="01D7E8CE" w14:textId="77777777" w:rsidR="00590FE1" w:rsidRPr="001D5327" w:rsidRDefault="00590FE1" w:rsidP="00590FE1">
      <w:pPr>
        <w:pStyle w:val="BodyText"/>
        <w:rPr>
          <w:lang w:eastAsia="en-GB"/>
        </w:rPr>
      </w:pPr>
      <w:r w:rsidRPr="001D5327">
        <w:lastRenderedPageBreak/>
        <w:t>This research also showed that the previously used 2006 IPCC default value of 0.2 for Frac</w:t>
      </w:r>
      <w:r w:rsidRPr="001D5327">
        <w:rPr>
          <w:vertAlign w:val="subscript"/>
        </w:rPr>
        <w:t>GASM</w:t>
      </w:r>
      <w:r w:rsidRPr="001D5327">
        <w:t xml:space="preserve"> was too high and a lower value of 0.1 was adopted after an extensive review of scientific literature (Sherlock et al., 2008), which was also confirmed by subsequent field experiments (Laubach et al., 2012). The reduction in Frac</w:t>
      </w:r>
      <w:r w:rsidRPr="001D5327">
        <w:rPr>
          <w:vertAlign w:val="subscript"/>
        </w:rPr>
        <w:t>GASM</w:t>
      </w:r>
      <w:r w:rsidRPr="001D5327">
        <w:t xml:space="preserve"> is due to the proportion of the different sources that make up this value. In </w:t>
      </w:r>
      <w:r w:rsidRPr="001D5327">
        <w:rPr>
          <w:rFonts w:cs="Calibri"/>
          <w:spacing w:val="-2"/>
        </w:rPr>
        <w:t>New Zealand</w:t>
      </w:r>
      <w:r w:rsidRPr="001D5327">
        <w:t>, over 95 per cent of animal excreta is deposited onto pasture and only a small proportion is managed in waste management systems. In contrast, the 2006 IPCC default value was calculated based on systems where a much higher percentage of manure management and storage is normal. Manure management and storage results in a much higher proportion of nitrogen being volatilised and, hence, the higher Frac</w:t>
      </w:r>
      <w:r w:rsidRPr="001D5327">
        <w:rPr>
          <w:vertAlign w:val="subscript"/>
        </w:rPr>
        <w:t>GASM</w:t>
      </w:r>
      <w:r w:rsidRPr="001D5327">
        <w:t xml:space="preserve"> for the default value compared with the country-specific </w:t>
      </w:r>
      <w:r w:rsidRPr="001D5327" w:rsidDel="00CB78AE">
        <w:rPr>
          <w:rFonts w:cs="Calibri"/>
          <w:spacing w:val="-2"/>
        </w:rPr>
        <w:t xml:space="preserve">New </w:t>
      </w:r>
      <w:r w:rsidRPr="001D5327">
        <w:rPr>
          <w:rFonts w:cs="Calibri"/>
          <w:spacing w:val="-2"/>
        </w:rPr>
        <w:t>Zealand</w:t>
      </w:r>
      <w:r w:rsidRPr="001D5327">
        <w:t xml:space="preserve"> value. </w:t>
      </w:r>
    </w:p>
    <w:p w14:paraId="530ADF08" w14:textId="77777777" w:rsidR="00590FE1" w:rsidRPr="001D5327" w:rsidRDefault="00590FE1" w:rsidP="00590FE1">
      <w:pPr>
        <w:pStyle w:val="BodyText"/>
      </w:pPr>
      <w:r w:rsidRPr="001D5327" w:rsidDel="00CB78AE">
        <w:rPr>
          <w:rFonts w:cs="Calibri"/>
          <w:spacing w:val="-2"/>
        </w:rPr>
        <w:t xml:space="preserve">New </w:t>
      </w:r>
      <w:r w:rsidRPr="001D5327">
        <w:rPr>
          <w:rFonts w:cs="Calibri"/>
          <w:spacing w:val="-2"/>
        </w:rPr>
        <w:t>Zealand</w:t>
      </w:r>
      <w:r w:rsidRPr="001D5327">
        <w:t xml:space="preserve"> also has much lower values of Frac</w:t>
      </w:r>
      <w:r w:rsidRPr="001D5327">
        <w:rPr>
          <w:vertAlign w:val="subscript"/>
        </w:rPr>
        <w:t>LEACH</w:t>
      </w:r>
      <w:r w:rsidRPr="001D5327" w:rsidDel="009C0F97">
        <w:rPr>
          <w:vertAlign w:val="subscript"/>
        </w:rPr>
        <w:t>-H</w:t>
      </w:r>
      <w:r w:rsidRPr="001D5327" w:rsidDel="009C0F97">
        <w:t>.</w:t>
      </w:r>
      <w:r w:rsidRPr="001D5327">
        <w:t xml:space="preserve"> Research suggests that </w:t>
      </w:r>
      <w:r w:rsidRPr="001D5327">
        <w:rPr>
          <w:rFonts w:cs="Calibri"/>
          <w:spacing w:val="-2"/>
        </w:rPr>
        <w:t>New Zealand</w:t>
      </w:r>
      <w:r w:rsidRPr="001D5327">
        <w:t xml:space="preserve"> applies a much lower rate of nitrogen fertiliser at each application than was assumed when the IPCC default value was developed (Thomas et al., 2005). When the OverseerFM nutrient budget model (Wheeler et al., 2003) took this lower rate into account, the extent of leaching was much lower than when compared with farms with</w:t>
      </w:r>
      <w:r w:rsidRPr="001D5327" w:rsidDel="00EB6389">
        <w:t xml:space="preserve"> </w:t>
      </w:r>
      <w:r w:rsidRPr="001D5327">
        <w:t xml:space="preserve">greater nitrogen fertiliser rates, which can be typical in other developed countries. </w:t>
      </w:r>
    </w:p>
    <w:p w14:paraId="631B1896" w14:textId="77777777" w:rsidR="00590FE1" w:rsidRPr="001D5327" w:rsidRDefault="00590FE1" w:rsidP="00590FE1">
      <w:pPr>
        <w:pStyle w:val="Table"/>
        <w:rPr>
          <w:rFonts w:cs="Calibri"/>
        </w:rPr>
      </w:pPr>
      <w:bookmarkStart w:id="1297" w:name="_Toc441830889"/>
      <w:bookmarkStart w:id="1298" w:name="_Toc288316760"/>
      <w:bookmarkStart w:id="1299" w:name="_Toc352504978"/>
      <w:bookmarkStart w:id="1300" w:name="_Toc451176103"/>
      <w:bookmarkStart w:id="1301" w:name="_Toc481751530"/>
      <w:bookmarkStart w:id="1302" w:name="_Toc507158618"/>
      <w:bookmarkStart w:id="1303" w:name="_Toc511116752"/>
      <w:bookmarkStart w:id="1304" w:name="_Toc5269494"/>
      <w:bookmarkStart w:id="1305" w:name="_Toc32570939"/>
      <w:bookmarkStart w:id="1306" w:name="_Toc36224574"/>
      <w:bookmarkStart w:id="1307" w:name="_Toc68786459"/>
      <w:bookmarkStart w:id="1308" w:name="_Toc95574092"/>
      <w:bookmarkStart w:id="1309" w:name="_Toc127458279"/>
      <w:bookmarkStart w:id="1310" w:name="_Toc131591375"/>
      <w:bookmarkStart w:id="1311" w:name="_Toc160114469"/>
      <w:bookmarkStart w:id="1312" w:name="_Toc164153865"/>
      <w:bookmarkStart w:id="1313" w:name="_Toc194241736"/>
      <w:r w:rsidRPr="001D5327">
        <w:rPr>
          <w:rFonts w:cs="Calibri"/>
        </w:rPr>
        <w:t>Table 5.5.12</w:t>
      </w:r>
      <w:r w:rsidRPr="001D5327">
        <w:rPr>
          <w:rFonts w:cs="Calibri"/>
        </w:rPr>
        <w:tab/>
        <w:t xml:space="preserve">Comparison of </w:t>
      </w:r>
      <w:r w:rsidRPr="001D5327">
        <w:rPr>
          <w:rFonts w:cs="Calibri"/>
          <w:spacing w:val="-2"/>
        </w:rPr>
        <w:t>New Zealand’s</w:t>
      </w:r>
      <w:r w:rsidRPr="001D5327">
        <w:rPr>
          <w:rFonts w:cs="Calibri"/>
        </w:rPr>
        <w:t xml:space="preserve"> country-specific factors for volatilisation (Frac</w:t>
      </w:r>
      <w:r w:rsidRPr="001D5327">
        <w:rPr>
          <w:rFonts w:cs="Calibri"/>
          <w:vertAlign w:val="subscript"/>
        </w:rPr>
        <w:t>GASF</w:t>
      </w:r>
      <w:r w:rsidRPr="001D5327">
        <w:rPr>
          <w:rFonts w:cs="Calibri"/>
        </w:rPr>
        <w:t>, Frac</w:t>
      </w:r>
      <w:r w:rsidRPr="001D5327">
        <w:rPr>
          <w:rFonts w:cs="Calibri"/>
          <w:vertAlign w:val="subscript"/>
        </w:rPr>
        <w:t>GASM</w:t>
      </w:r>
      <w:r w:rsidRPr="001D5327">
        <w:rPr>
          <w:rFonts w:cs="Calibri"/>
        </w:rPr>
        <w:t>) and leaching and runoff (Frac</w:t>
      </w:r>
      <w:r w:rsidRPr="001D5327">
        <w:rPr>
          <w:rFonts w:cs="Calibri"/>
          <w:vertAlign w:val="subscript"/>
        </w:rPr>
        <w:t>LEACH-(H)</w:t>
      </w:r>
      <w:r w:rsidRPr="001D5327">
        <w:rPr>
          <w:rFonts w:cs="Calibri"/>
        </w:rPr>
        <w:t>) with the IPCC default value and the Australia</w:t>
      </w:r>
      <w:bookmarkEnd w:id="1297"/>
      <w:r w:rsidRPr="001D5327">
        <w:rPr>
          <w:rFonts w:cs="Calibri"/>
        </w:rPr>
        <w:t>n implied emission factor (IEF</w:t>
      </w:r>
      <w:bookmarkEnd w:id="1298"/>
      <w:bookmarkEnd w:id="1299"/>
      <w:bookmarkEnd w:id="1300"/>
      <w:bookmarkEnd w:id="1301"/>
      <w:r w:rsidRPr="001D5327">
        <w:rPr>
          <w:rFonts w:cs="Calibri"/>
        </w:rPr>
        <w:t>)</w:t>
      </w:r>
      <w:bookmarkEnd w:id="1302"/>
      <w:bookmarkEnd w:id="1303"/>
      <w:bookmarkEnd w:id="1304"/>
      <w:bookmarkEnd w:id="1305"/>
      <w:bookmarkEnd w:id="1306"/>
      <w:bookmarkEnd w:id="1307"/>
      <w:bookmarkEnd w:id="1308"/>
      <w:bookmarkEnd w:id="1309"/>
      <w:bookmarkEnd w:id="1310"/>
      <w:bookmarkEnd w:id="1311"/>
      <w:bookmarkEnd w:id="1312"/>
      <w:bookmarkEnd w:id="1313"/>
    </w:p>
    <w:tbl>
      <w:tblPr>
        <w:tblW w:w="4947" w:type="pct"/>
        <w:tblBorders>
          <w:top w:val="single" w:sz="4" w:space="0" w:color="1B556B" w:themeColor="text2"/>
          <w:bottom w:val="single" w:sz="4" w:space="0" w:color="1B556B" w:themeColor="text2"/>
          <w:insideH w:val="single" w:sz="4" w:space="0" w:color="1B556B" w:themeColor="text2"/>
        </w:tblBorders>
        <w:tblLook w:val="01E0" w:firstRow="1" w:lastRow="1" w:firstColumn="1" w:lastColumn="1" w:noHBand="0" w:noVBand="0"/>
      </w:tblPr>
      <w:tblGrid>
        <w:gridCol w:w="2977"/>
        <w:gridCol w:w="1845"/>
        <w:gridCol w:w="1846"/>
        <w:gridCol w:w="1739"/>
        <w:gridCol w:w="8"/>
      </w:tblGrid>
      <w:tr w:rsidR="00590FE1" w:rsidRPr="001D5327" w14:paraId="01D3C9F2" w14:textId="77777777" w:rsidTr="00403787">
        <w:trPr>
          <w:gridAfter w:val="1"/>
          <w:wAfter w:w="5" w:type="pct"/>
          <w:trHeight w:val="287"/>
        </w:trPr>
        <w:tc>
          <w:tcPr>
            <w:tcW w:w="1769" w:type="pct"/>
            <w:shd w:val="clear" w:color="auto" w:fill="1B556B"/>
            <w:vAlign w:val="bottom"/>
          </w:tcPr>
          <w:p w14:paraId="218B2BCE" w14:textId="77777777" w:rsidR="00590FE1" w:rsidRPr="001D5327" w:rsidRDefault="00590FE1" w:rsidP="00403787">
            <w:pPr>
              <w:pStyle w:val="TableTextBold"/>
              <w:keepNext/>
              <w:spacing w:before="40" w:after="40"/>
              <w:rPr>
                <w:noProof w:val="0"/>
                <w:color w:val="FFFFFF" w:themeColor="background1"/>
              </w:rPr>
            </w:pPr>
          </w:p>
        </w:tc>
        <w:tc>
          <w:tcPr>
            <w:tcW w:w="1096" w:type="pct"/>
            <w:shd w:val="clear" w:color="auto" w:fill="1B556B"/>
            <w:vAlign w:val="bottom"/>
          </w:tcPr>
          <w:p w14:paraId="731C343B" w14:textId="77777777" w:rsidR="00590FE1" w:rsidRPr="001D5327" w:rsidRDefault="00590FE1" w:rsidP="00403787">
            <w:pPr>
              <w:pStyle w:val="TableTextBold"/>
              <w:keepNext/>
              <w:spacing w:before="40" w:after="40"/>
              <w:jc w:val="right"/>
              <w:rPr>
                <w:noProof w:val="0"/>
                <w:color w:val="FFFFFF" w:themeColor="background1"/>
              </w:rPr>
            </w:pPr>
            <w:r w:rsidRPr="001D5327">
              <w:rPr>
                <w:noProof w:val="0"/>
                <w:color w:val="FFFFFF" w:themeColor="background1"/>
              </w:rPr>
              <w:t>Frac</w:t>
            </w:r>
            <w:r w:rsidRPr="001D5327">
              <w:rPr>
                <w:noProof w:val="0"/>
                <w:color w:val="FFFFFF" w:themeColor="background1"/>
                <w:vertAlign w:val="subscript"/>
              </w:rPr>
              <w:t xml:space="preserve">GASF </w:t>
            </w:r>
            <w:r w:rsidRPr="001D5327">
              <w:rPr>
                <w:noProof w:val="0"/>
                <w:color w:val="FFFFFF" w:themeColor="background1"/>
              </w:rPr>
              <w:t>(kg NH</w:t>
            </w:r>
            <w:r w:rsidRPr="001D5327">
              <w:rPr>
                <w:noProof w:val="0"/>
                <w:color w:val="FFFFFF" w:themeColor="background1"/>
                <w:vertAlign w:val="subscript"/>
              </w:rPr>
              <w:t>3</w:t>
            </w:r>
            <w:r w:rsidRPr="001D5327">
              <w:rPr>
                <w:noProof w:val="0"/>
                <w:color w:val="FFFFFF" w:themeColor="background1"/>
              </w:rPr>
              <w:t>-N and NO</w:t>
            </w:r>
            <w:r w:rsidRPr="001D5327">
              <w:rPr>
                <w:noProof w:val="0"/>
                <w:color w:val="FFFFFF" w:themeColor="background1"/>
                <w:vertAlign w:val="subscript"/>
              </w:rPr>
              <w:t>x</w:t>
            </w:r>
            <w:r w:rsidRPr="001D5327">
              <w:rPr>
                <w:noProof w:val="0"/>
                <w:color w:val="FFFFFF" w:themeColor="background1"/>
              </w:rPr>
              <w:t>-N/kg of N input)</w:t>
            </w:r>
          </w:p>
        </w:tc>
        <w:tc>
          <w:tcPr>
            <w:tcW w:w="1097" w:type="pct"/>
            <w:shd w:val="clear" w:color="auto" w:fill="1B556B"/>
            <w:vAlign w:val="bottom"/>
          </w:tcPr>
          <w:p w14:paraId="1C0CB6B1" w14:textId="77777777" w:rsidR="00590FE1" w:rsidRPr="001D5327" w:rsidRDefault="00590FE1" w:rsidP="00403787">
            <w:pPr>
              <w:pStyle w:val="TableTextBold"/>
              <w:keepNext/>
              <w:spacing w:before="40" w:after="40"/>
              <w:jc w:val="right"/>
              <w:rPr>
                <w:noProof w:val="0"/>
                <w:color w:val="FFFFFF" w:themeColor="background1"/>
              </w:rPr>
            </w:pPr>
            <w:r w:rsidRPr="001D5327">
              <w:rPr>
                <w:noProof w:val="0"/>
                <w:color w:val="FFFFFF" w:themeColor="background1"/>
              </w:rPr>
              <w:t>Frac</w:t>
            </w:r>
            <w:r w:rsidRPr="001D5327">
              <w:rPr>
                <w:noProof w:val="0"/>
                <w:color w:val="FFFFFF" w:themeColor="background1"/>
                <w:vertAlign w:val="subscript"/>
              </w:rPr>
              <w:t xml:space="preserve">GASM </w:t>
            </w:r>
            <w:r w:rsidRPr="001D5327">
              <w:rPr>
                <w:noProof w:val="0"/>
                <w:color w:val="FFFFFF" w:themeColor="background1"/>
              </w:rPr>
              <w:t>(kg NH</w:t>
            </w:r>
            <w:r w:rsidRPr="001D5327">
              <w:rPr>
                <w:noProof w:val="0"/>
                <w:color w:val="FFFFFF" w:themeColor="background1"/>
                <w:vertAlign w:val="subscript"/>
              </w:rPr>
              <w:t>3</w:t>
            </w:r>
            <w:r w:rsidRPr="001D5327">
              <w:rPr>
                <w:noProof w:val="0"/>
                <w:color w:val="FFFFFF" w:themeColor="background1"/>
              </w:rPr>
              <w:t>-N and NO</w:t>
            </w:r>
            <w:r w:rsidRPr="001D5327">
              <w:rPr>
                <w:noProof w:val="0"/>
                <w:color w:val="FFFFFF" w:themeColor="background1"/>
                <w:vertAlign w:val="subscript"/>
              </w:rPr>
              <w:t>x</w:t>
            </w:r>
            <w:r w:rsidRPr="001D5327">
              <w:rPr>
                <w:noProof w:val="0"/>
                <w:color w:val="FFFFFF" w:themeColor="background1"/>
              </w:rPr>
              <w:t>-N/kg of N excreted)</w:t>
            </w:r>
          </w:p>
        </w:tc>
        <w:tc>
          <w:tcPr>
            <w:tcW w:w="1033" w:type="pct"/>
            <w:shd w:val="clear" w:color="auto" w:fill="1B556B"/>
            <w:vAlign w:val="bottom"/>
          </w:tcPr>
          <w:p w14:paraId="2EC97680" w14:textId="77777777" w:rsidR="00590FE1" w:rsidRPr="001D5327" w:rsidRDefault="00590FE1" w:rsidP="00403787">
            <w:pPr>
              <w:pStyle w:val="TableTextBold"/>
              <w:keepNext/>
              <w:spacing w:before="40" w:after="40"/>
              <w:jc w:val="right"/>
              <w:rPr>
                <w:noProof w:val="0"/>
                <w:color w:val="FFFFFF" w:themeColor="background1"/>
              </w:rPr>
            </w:pPr>
            <w:r w:rsidRPr="001D5327">
              <w:rPr>
                <w:noProof w:val="0"/>
                <w:color w:val="FFFFFF" w:themeColor="background1"/>
              </w:rPr>
              <w:t>Frac</w:t>
            </w:r>
            <w:r w:rsidRPr="001D5327">
              <w:rPr>
                <w:noProof w:val="0"/>
                <w:color w:val="FFFFFF" w:themeColor="background1"/>
                <w:vertAlign w:val="subscript"/>
              </w:rPr>
              <w:t xml:space="preserve">LEACH-(H) </w:t>
            </w:r>
            <w:r w:rsidRPr="001D5327">
              <w:rPr>
                <w:noProof w:val="0"/>
                <w:color w:val="FFFFFF" w:themeColor="background1"/>
              </w:rPr>
              <w:t>(kg N/kg fertiliser or manure N)</w:t>
            </w:r>
          </w:p>
        </w:tc>
      </w:tr>
      <w:tr w:rsidR="00590FE1" w:rsidRPr="001D5327" w14:paraId="60DE1D71" w14:textId="77777777" w:rsidTr="00403787">
        <w:tc>
          <w:tcPr>
            <w:tcW w:w="1769" w:type="pct"/>
            <w:shd w:val="clear" w:color="auto" w:fill="auto"/>
          </w:tcPr>
          <w:p w14:paraId="34F6FA4B" w14:textId="77777777" w:rsidR="00590FE1" w:rsidRPr="001D5327" w:rsidRDefault="00590FE1" w:rsidP="00403787">
            <w:pPr>
              <w:pStyle w:val="TableText"/>
              <w:keepNext/>
              <w:spacing w:before="40" w:after="40"/>
              <w:rPr>
                <w:rFonts w:cs="Calibri"/>
              </w:rPr>
            </w:pPr>
            <w:r w:rsidRPr="001D5327">
              <w:rPr>
                <w:rFonts w:cs="Calibri"/>
              </w:rPr>
              <w:t>IPCC (2006) default value</w:t>
            </w:r>
          </w:p>
        </w:tc>
        <w:tc>
          <w:tcPr>
            <w:tcW w:w="1096" w:type="pct"/>
            <w:shd w:val="clear" w:color="auto" w:fill="auto"/>
          </w:tcPr>
          <w:p w14:paraId="01ECDDA1" w14:textId="77777777" w:rsidR="00590FE1" w:rsidRPr="001D5327" w:rsidRDefault="00590FE1" w:rsidP="00403787">
            <w:pPr>
              <w:pStyle w:val="TableText"/>
              <w:keepNext/>
              <w:spacing w:before="40" w:after="40"/>
              <w:jc w:val="right"/>
              <w:rPr>
                <w:rFonts w:cs="Calibri"/>
              </w:rPr>
            </w:pPr>
            <w:r w:rsidRPr="001D5327">
              <w:rPr>
                <w:rFonts w:cs="Calibri"/>
              </w:rPr>
              <w:t>0.1</w:t>
            </w:r>
          </w:p>
        </w:tc>
        <w:tc>
          <w:tcPr>
            <w:tcW w:w="1097" w:type="pct"/>
            <w:shd w:val="clear" w:color="auto" w:fill="auto"/>
          </w:tcPr>
          <w:p w14:paraId="76FF0D73" w14:textId="77777777" w:rsidR="00590FE1" w:rsidRPr="001D5327" w:rsidRDefault="00590FE1" w:rsidP="00403787">
            <w:pPr>
              <w:pStyle w:val="TableText"/>
              <w:keepNext/>
              <w:spacing w:before="40" w:after="40"/>
              <w:jc w:val="right"/>
              <w:rPr>
                <w:rFonts w:cs="Calibri"/>
              </w:rPr>
            </w:pPr>
            <w:r w:rsidRPr="001D5327">
              <w:rPr>
                <w:rFonts w:cs="Calibri"/>
              </w:rPr>
              <w:t>0.2</w:t>
            </w:r>
          </w:p>
        </w:tc>
        <w:tc>
          <w:tcPr>
            <w:tcW w:w="1038" w:type="pct"/>
            <w:gridSpan w:val="2"/>
            <w:shd w:val="clear" w:color="auto" w:fill="auto"/>
          </w:tcPr>
          <w:p w14:paraId="31B3FC2D" w14:textId="77777777" w:rsidR="00590FE1" w:rsidRPr="001D5327" w:rsidRDefault="00590FE1" w:rsidP="00403787">
            <w:pPr>
              <w:pStyle w:val="TableText"/>
              <w:keepNext/>
              <w:spacing w:before="40" w:after="40"/>
              <w:jc w:val="right"/>
              <w:rPr>
                <w:rFonts w:cs="Calibri"/>
              </w:rPr>
            </w:pPr>
            <w:r w:rsidRPr="001D5327">
              <w:rPr>
                <w:rFonts w:cs="Calibri"/>
              </w:rPr>
              <w:t>0.3</w:t>
            </w:r>
          </w:p>
        </w:tc>
      </w:tr>
      <w:tr w:rsidR="00590FE1" w:rsidRPr="001D5327" w14:paraId="02432FDE" w14:textId="77777777" w:rsidTr="00403787">
        <w:tc>
          <w:tcPr>
            <w:tcW w:w="1769" w:type="pct"/>
          </w:tcPr>
          <w:p w14:paraId="441C62C0" w14:textId="77777777" w:rsidR="00590FE1" w:rsidRPr="001D5327" w:rsidRDefault="00590FE1" w:rsidP="00403787">
            <w:pPr>
              <w:pStyle w:val="TableText"/>
              <w:keepNext/>
              <w:spacing w:before="40" w:after="40"/>
              <w:rPr>
                <w:rFonts w:cs="Calibri"/>
              </w:rPr>
            </w:pPr>
            <w:r w:rsidRPr="001D5327">
              <w:rPr>
                <w:rFonts w:cs="Calibri"/>
              </w:rPr>
              <w:t>Australian-specific 2022 value</w:t>
            </w:r>
          </w:p>
        </w:tc>
        <w:tc>
          <w:tcPr>
            <w:tcW w:w="1096" w:type="pct"/>
          </w:tcPr>
          <w:p w14:paraId="10052C68" w14:textId="77777777" w:rsidR="00590FE1" w:rsidRPr="001D5327" w:rsidRDefault="00590FE1" w:rsidP="00403787">
            <w:pPr>
              <w:pStyle w:val="TableText"/>
              <w:keepNext/>
              <w:spacing w:before="40" w:after="40"/>
              <w:jc w:val="right"/>
              <w:rPr>
                <w:rFonts w:cs="Calibri"/>
              </w:rPr>
            </w:pPr>
            <w:r w:rsidRPr="001D5327">
              <w:rPr>
                <w:rFonts w:cs="Calibri"/>
              </w:rPr>
              <w:t>0.11</w:t>
            </w:r>
          </w:p>
        </w:tc>
        <w:tc>
          <w:tcPr>
            <w:tcW w:w="1097" w:type="pct"/>
          </w:tcPr>
          <w:p w14:paraId="31853E4A" w14:textId="77777777" w:rsidR="00590FE1" w:rsidRPr="001D5327" w:rsidRDefault="00590FE1" w:rsidP="00403787">
            <w:pPr>
              <w:pStyle w:val="TableText"/>
              <w:keepNext/>
              <w:spacing w:before="40" w:after="40"/>
              <w:jc w:val="right"/>
              <w:rPr>
                <w:rFonts w:cs="Calibri"/>
              </w:rPr>
            </w:pPr>
            <w:r w:rsidRPr="001D5327">
              <w:rPr>
                <w:rFonts w:cs="Calibri"/>
              </w:rPr>
              <w:t>0.21</w:t>
            </w:r>
          </w:p>
        </w:tc>
        <w:tc>
          <w:tcPr>
            <w:tcW w:w="1038" w:type="pct"/>
            <w:gridSpan w:val="2"/>
          </w:tcPr>
          <w:p w14:paraId="5FB372AD" w14:textId="77777777" w:rsidR="00590FE1" w:rsidRPr="001D5327" w:rsidRDefault="00590FE1" w:rsidP="00403787">
            <w:pPr>
              <w:pStyle w:val="TableText"/>
              <w:keepNext/>
              <w:spacing w:before="40" w:after="40"/>
              <w:jc w:val="right"/>
              <w:rPr>
                <w:rFonts w:cs="Calibri"/>
              </w:rPr>
            </w:pPr>
            <w:r w:rsidRPr="001D5327">
              <w:rPr>
                <w:rFonts w:cs="Calibri"/>
              </w:rPr>
              <w:t>0.24</w:t>
            </w:r>
          </w:p>
        </w:tc>
      </w:tr>
      <w:tr w:rsidR="00590FE1" w:rsidRPr="001D5327" w14:paraId="06AF53FA" w14:textId="77777777" w:rsidTr="00403787">
        <w:tc>
          <w:tcPr>
            <w:tcW w:w="1769" w:type="pct"/>
          </w:tcPr>
          <w:p w14:paraId="66900308" w14:textId="77777777" w:rsidR="00590FE1" w:rsidRPr="001D5327" w:rsidRDefault="00590FE1" w:rsidP="00403787">
            <w:pPr>
              <w:pStyle w:val="TableText"/>
              <w:spacing w:before="50" w:after="50"/>
              <w:rPr>
                <w:rFonts w:cs="Calibri"/>
              </w:rPr>
            </w:pPr>
            <w:r w:rsidRPr="001D5327">
              <w:rPr>
                <w:rFonts w:cs="Calibri"/>
              </w:rPr>
              <w:t>New Zealand-specific IEF 2023 value</w:t>
            </w:r>
          </w:p>
        </w:tc>
        <w:tc>
          <w:tcPr>
            <w:tcW w:w="1096" w:type="pct"/>
          </w:tcPr>
          <w:p w14:paraId="3DD12A44" w14:textId="77777777" w:rsidR="00590FE1" w:rsidRPr="001D5327" w:rsidRDefault="00590FE1" w:rsidP="00403787">
            <w:pPr>
              <w:pStyle w:val="TableText"/>
              <w:spacing w:before="50" w:after="50"/>
              <w:jc w:val="right"/>
              <w:rPr>
                <w:rFonts w:cs="Calibri"/>
              </w:rPr>
            </w:pPr>
            <w:r w:rsidRPr="001D5327">
              <w:rPr>
                <w:rFonts w:cs="Calibri"/>
              </w:rPr>
              <w:t>0.1</w:t>
            </w:r>
          </w:p>
        </w:tc>
        <w:tc>
          <w:tcPr>
            <w:tcW w:w="1097" w:type="pct"/>
          </w:tcPr>
          <w:p w14:paraId="1C4F53D0" w14:textId="77777777" w:rsidR="00590FE1" w:rsidRPr="001D5327" w:rsidRDefault="00590FE1" w:rsidP="00403787">
            <w:pPr>
              <w:pStyle w:val="TableText"/>
              <w:spacing w:before="50" w:after="50"/>
              <w:jc w:val="right"/>
              <w:rPr>
                <w:rFonts w:cs="Calibri"/>
              </w:rPr>
            </w:pPr>
            <w:r w:rsidRPr="001D5327">
              <w:rPr>
                <w:rFonts w:cs="Calibri"/>
              </w:rPr>
              <w:t>0.1</w:t>
            </w:r>
          </w:p>
        </w:tc>
        <w:tc>
          <w:tcPr>
            <w:tcW w:w="1038" w:type="pct"/>
            <w:gridSpan w:val="2"/>
          </w:tcPr>
          <w:p w14:paraId="2A4F15A0" w14:textId="77777777" w:rsidR="00590FE1" w:rsidRPr="001D5327" w:rsidRDefault="00590FE1" w:rsidP="00403787">
            <w:pPr>
              <w:pStyle w:val="TableText"/>
              <w:spacing w:before="50" w:after="0"/>
              <w:jc w:val="right"/>
              <w:rPr>
                <w:rFonts w:cs="Calibri"/>
              </w:rPr>
            </w:pPr>
            <w:r w:rsidRPr="001D5327">
              <w:rPr>
                <w:rFonts w:cs="Calibri"/>
              </w:rPr>
              <w:t>0.10 (Cropland)</w:t>
            </w:r>
          </w:p>
          <w:p w14:paraId="36FD6468" w14:textId="77777777" w:rsidR="00590FE1" w:rsidRPr="001D5327" w:rsidRDefault="00590FE1" w:rsidP="00403787">
            <w:pPr>
              <w:pStyle w:val="TableText"/>
              <w:spacing w:before="50" w:after="0"/>
              <w:jc w:val="right"/>
              <w:rPr>
                <w:rFonts w:cs="Calibri"/>
              </w:rPr>
            </w:pPr>
            <w:r w:rsidRPr="001D5327">
              <w:rPr>
                <w:rFonts w:cs="Calibri"/>
              </w:rPr>
              <w:t>0.08 (Grassland)</w:t>
            </w:r>
          </w:p>
          <w:p w14:paraId="3201B5FC" w14:textId="77777777" w:rsidR="00590FE1" w:rsidRPr="001D5327" w:rsidRDefault="00590FE1" w:rsidP="00403787">
            <w:pPr>
              <w:pStyle w:val="TableText"/>
              <w:spacing w:before="50" w:after="40"/>
              <w:jc w:val="right"/>
              <w:rPr>
                <w:rFonts w:cs="Calibri"/>
              </w:rPr>
            </w:pPr>
            <w:r w:rsidRPr="001D5327">
              <w:rPr>
                <w:rFonts w:cs="Calibri"/>
              </w:rPr>
              <w:t>0.082 (N Fert)</w:t>
            </w:r>
          </w:p>
        </w:tc>
      </w:tr>
    </w:tbl>
    <w:p w14:paraId="0F353F9E" w14:textId="77777777" w:rsidR="00590FE1" w:rsidRPr="001D5327" w:rsidRDefault="00590FE1" w:rsidP="00590FE1">
      <w:pPr>
        <w:pStyle w:val="Source"/>
      </w:pPr>
      <w:r w:rsidRPr="001D5327">
        <w:t xml:space="preserve">Source: </w:t>
      </w:r>
      <w:r w:rsidRPr="001D5327">
        <w:tab/>
      </w:r>
      <w:r w:rsidRPr="001D5327">
        <w:rPr>
          <w:szCs w:val="18"/>
        </w:rPr>
        <w:t>UNFCCC (https://unfccc.int/documents/637882)</w:t>
      </w:r>
    </w:p>
    <w:p w14:paraId="08D640CE" w14:textId="77777777" w:rsidR="00590FE1" w:rsidRPr="001D5327" w:rsidRDefault="00590FE1" w:rsidP="00590FE1">
      <w:pPr>
        <w:pStyle w:val="Heading3"/>
      </w:pPr>
      <w:bookmarkStart w:id="1314" w:name="_Toc139253937"/>
      <w:bookmarkStart w:id="1315" w:name="_Toc32570671"/>
      <w:r w:rsidRPr="001D5327">
        <w:t>5.5.5</w:t>
      </w:r>
      <w:r w:rsidRPr="001D5327">
        <w:tab/>
        <w:t>Category-specific recalculations</w:t>
      </w:r>
      <w:bookmarkEnd w:id="1314"/>
      <w:bookmarkEnd w:id="1315"/>
    </w:p>
    <w:p w14:paraId="1E80DF5A" w14:textId="77777777" w:rsidR="00590FE1" w:rsidRPr="001D5327" w:rsidRDefault="00590FE1" w:rsidP="00590FE1">
      <w:pPr>
        <w:pStyle w:val="BodyText"/>
        <w:rPr>
          <w:rFonts w:cs="Calibri"/>
          <w:color w:val="000000"/>
          <w:shd w:val="clear" w:color="auto" w:fill="FFFFFF"/>
        </w:rPr>
      </w:pPr>
      <w:r w:rsidRPr="001D5327">
        <w:t xml:space="preserve">Emissions estimates in the </w:t>
      </w:r>
      <w:r w:rsidRPr="001D5327">
        <w:rPr>
          <w:i/>
        </w:rPr>
        <w:t xml:space="preserve">Agricultural </w:t>
      </w:r>
      <w:r w:rsidRPr="001D5327">
        <w:rPr>
          <w:i/>
          <w:iCs/>
        </w:rPr>
        <w:t>soils</w:t>
      </w:r>
      <w:r w:rsidRPr="001D5327">
        <w:t xml:space="preserve"> category reported in the 2025 submission have been affected by</w:t>
      </w:r>
      <w:r w:rsidRPr="001D5327">
        <w:rPr>
          <w:rFonts w:cs="Calibri"/>
          <w:color w:val="000000"/>
          <w:shd w:val="clear" w:color="auto" w:fill="FFFFFF"/>
        </w:rPr>
        <w:t xml:space="preserve"> </w:t>
      </w:r>
      <w:r w:rsidRPr="001D5327">
        <w:rPr>
          <w:color w:val="000000"/>
          <w:shd w:val="clear" w:color="auto" w:fill="FFFFFF"/>
        </w:rPr>
        <w:t xml:space="preserve">methodological </w:t>
      </w:r>
      <w:bookmarkStart w:id="1316" w:name="_Hlk91059730"/>
      <w:r w:rsidRPr="001D5327">
        <w:rPr>
          <w:color w:val="000000"/>
          <w:shd w:val="clear" w:color="auto" w:fill="FFFFFF"/>
        </w:rPr>
        <w:t>improvements</w:t>
      </w:r>
      <w:r w:rsidRPr="001D5327">
        <w:rPr>
          <w:rFonts w:cs="Calibri"/>
          <w:color w:val="000000"/>
          <w:shd w:val="clear" w:color="auto" w:fill="FFFFFF"/>
        </w:rPr>
        <w:t xml:space="preserve"> to: (i) inclusion of emissions from non-manure organic soil amendments; (ii) minor species population value changes; (iii) updating deer population and productivity statistics; (iv) updating emissions calculations for pigs; (v) seasonality of wool growth; and (vi) small error corrections to model code. The effects of these changes on emission estimates in the Agricultural soils category are set out below.</w:t>
      </w:r>
    </w:p>
    <w:p w14:paraId="5105423B" w14:textId="77777777" w:rsidR="00590FE1" w:rsidRPr="001D5327" w:rsidRDefault="00590FE1" w:rsidP="00590FE1">
      <w:pPr>
        <w:pStyle w:val="Heading5"/>
        <w:spacing w:before="180"/>
      </w:pPr>
      <w:r w:rsidRPr="001D5327">
        <w:t>Emissions from non-manure organic amendments to soils</w:t>
      </w:r>
    </w:p>
    <w:p w14:paraId="51CAB6A9" w14:textId="77777777" w:rsidR="00590FE1" w:rsidRPr="001D5327" w:rsidRDefault="00590FE1" w:rsidP="00590FE1">
      <w:pPr>
        <w:pStyle w:val="BodyText"/>
      </w:pPr>
      <w:r w:rsidRPr="001D5327">
        <w:t>Emissions estimates in Agricultural soils have been improved by the inclusion of emissions from non-manure organic amendments to soil.</w:t>
      </w:r>
    </w:p>
    <w:p w14:paraId="68CE5A71" w14:textId="77777777" w:rsidR="00590FE1" w:rsidRPr="001D5327" w:rsidRDefault="00590FE1" w:rsidP="00590FE1">
      <w:pPr>
        <w:pStyle w:val="BodyText"/>
      </w:pPr>
      <w:r w:rsidRPr="001D5327">
        <w:t>In 2014, research into non-manure organic fertiliser inputs estimated emissions from this source for 2013 were 0.07 kt N</w:t>
      </w:r>
      <w:r w:rsidRPr="001D5327">
        <w:rPr>
          <w:vertAlign w:val="subscript"/>
        </w:rPr>
        <w:t>2</w:t>
      </w:r>
      <w:r w:rsidRPr="001D5327">
        <w:t>O, or 20.0 kt CO</w:t>
      </w:r>
      <w:r w:rsidRPr="001D5327">
        <w:rPr>
          <w:vertAlign w:val="subscript"/>
        </w:rPr>
        <w:t>2</w:t>
      </w:r>
      <w:r w:rsidRPr="001D5327">
        <w:t>-e. This represented 0.052 per cent of New Zealand’s total agricultural greenhouse gas emissions, or 0.024 per cent of national total greenhouse gas emissions in 2012 (van der Weerden et al., 2014). This is lower than the threshold of 0.05 per cent of national total greenhouse gas emissions (excluding LULUCF) and, as such, is considered an ‘insignificant source’ by the United Nations Framework Convention on Climate Change for reporting greenhouse gas emissions. New Zealand did not previously include activity data for these non-manure organic sources in national inventory reporting and reported these as ‘NE’ or ‘not estimated’.</w:t>
      </w:r>
    </w:p>
    <w:p w14:paraId="4F709437" w14:textId="77777777" w:rsidR="00590FE1" w:rsidRPr="001D5327" w:rsidRDefault="00590FE1" w:rsidP="00590FE1">
      <w:pPr>
        <w:pStyle w:val="BodyText"/>
        <w:rPr>
          <w:spacing w:val="-2"/>
        </w:rPr>
      </w:pPr>
      <w:r w:rsidRPr="001D5327">
        <w:rPr>
          <w:spacing w:val="-2"/>
        </w:rPr>
        <w:lastRenderedPageBreak/>
        <w:t xml:space="preserve">Recent research carried out by AgResearch </w:t>
      </w:r>
      <w:sdt>
        <w:sdtPr>
          <w:rPr>
            <w:spacing w:val="-2"/>
          </w:rPr>
          <w:id w:val="-343712801"/>
          <w:citation/>
        </w:sdtPr>
        <w:sdtContent>
          <w:r w:rsidRPr="001D5327">
            <w:rPr>
              <w:spacing w:val="-2"/>
            </w:rPr>
            <w:fldChar w:fldCharType="begin"/>
          </w:r>
          <w:r w:rsidRPr="001D5327">
            <w:rPr>
              <w:spacing w:val="-2"/>
            </w:rPr>
            <w:instrText xml:space="preserve"> CITATION van24 \l 5129 </w:instrText>
          </w:r>
          <w:r w:rsidRPr="001D5327">
            <w:rPr>
              <w:spacing w:val="-2"/>
            </w:rPr>
            <w:fldChar w:fldCharType="separate"/>
          </w:r>
          <w:r w:rsidRPr="001D5327">
            <w:rPr>
              <w:spacing w:val="-2"/>
            </w:rPr>
            <w:t>(van der Weerden &amp; Rutherford, 2024)</w:t>
          </w:r>
          <w:r w:rsidRPr="001D5327">
            <w:rPr>
              <w:spacing w:val="-2"/>
            </w:rPr>
            <w:fldChar w:fldCharType="end"/>
          </w:r>
        </w:sdtContent>
      </w:sdt>
      <w:r w:rsidRPr="001D5327">
        <w:rPr>
          <w:spacing w:val="-2"/>
        </w:rPr>
        <w:t xml:space="preserve"> has used industry data to estimate the quantities of organic nitrogen amendments applied to agricultural land. Industry data was sourced from sheep, cattle meat and dairy processing companies, commercial compost producers and retailers, commercial blood and bone producers and retailers, vegetable processing companies, wine producers and brewery companies.</w:t>
      </w:r>
    </w:p>
    <w:p w14:paraId="2CF2E2CA" w14:textId="77777777" w:rsidR="00590FE1" w:rsidRPr="001D5327" w:rsidRDefault="00590FE1" w:rsidP="00590FE1">
      <w:pPr>
        <w:pStyle w:val="BodyText"/>
      </w:pPr>
      <w:r w:rsidRPr="001D5327">
        <w:t>The 2019 refinement of the 2006 IPCC guidelines (IPCC, 2019) retained the default value of 1 per cent for nitrogen additions to agricultural soils. However, the refinement also provides additional emission factor values disaggregated by nitrogen type and climate, where climate is disaggregated into wet and dry. New Zealand falls into this ‘wet climate’ category, according to the IPCC definition (IPCC, 2019, table 11.1 and figure 3A.5.1).</w:t>
      </w:r>
    </w:p>
    <w:p w14:paraId="7CF32CEE" w14:textId="77777777" w:rsidR="00590FE1" w:rsidRPr="001D5327" w:rsidRDefault="00590FE1" w:rsidP="00590FE1">
      <w:pPr>
        <w:pStyle w:val="BodyText"/>
      </w:pPr>
      <w:r w:rsidRPr="001D5327">
        <w:t>The emissions from non-manure organic amendments to soil are calculated using the 2019 IPCC disaggregated EF</w:t>
      </w:r>
      <w:r w:rsidRPr="001D5327">
        <w:rPr>
          <w:vertAlign w:val="subscript"/>
        </w:rPr>
        <w:t>1</w:t>
      </w:r>
      <w:r w:rsidRPr="001D5327">
        <w:t xml:space="preserve"> of 0.006, to ensure calculations are employing the latest scientific knowledge. This provides a more appropriate value for organic nitrogen amendments to soils in wet climates rather than remaining with the aggregated value of 1 per cent that is applied to all nitrogen inputs, from synthetic fertiliser to compost, across all climatic zones.</w:t>
      </w:r>
    </w:p>
    <w:p w14:paraId="180FA697" w14:textId="77777777" w:rsidR="00590FE1" w:rsidRPr="001D5327" w:rsidRDefault="00590FE1" w:rsidP="00590FE1">
      <w:pPr>
        <w:pStyle w:val="BodyText"/>
      </w:pPr>
      <w:r w:rsidRPr="001D5327">
        <w:t>Implementing these changes caused emissions from the Agricultural soils category to increase by 2.1 kt CO</w:t>
      </w:r>
      <w:r w:rsidRPr="001D5327">
        <w:rPr>
          <w:vertAlign w:val="subscript"/>
        </w:rPr>
        <w:t>2</w:t>
      </w:r>
      <w:r w:rsidRPr="001D5327">
        <w:t>-e in 1990 and 12.4 kt CO</w:t>
      </w:r>
      <w:r w:rsidRPr="001D5327">
        <w:rPr>
          <w:vertAlign w:val="subscript"/>
        </w:rPr>
        <w:t>2</w:t>
      </w:r>
      <w:r w:rsidRPr="001D5327">
        <w:t>-e in 2022 (see table 5.5.13).</w:t>
      </w:r>
    </w:p>
    <w:p w14:paraId="2B76B9B6" w14:textId="77777777" w:rsidR="00590FE1" w:rsidRPr="001D5327" w:rsidRDefault="00590FE1" w:rsidP="00590FE1">
      <w:pPr>
        <w:pStyle w:val="Table"/>
        <w:rPr>
          <w:rFonts w:cs="Calibri"/>
        </w:rPr>
      </w:pPr>
      <w:bookmarkStart w:id="1317" w:name="_Toc194241737"/>
      <w:r w:rsidRPr="001D5327">
        <w:rPr>
          <w:rFonts w:cs="Calibri"/>
        </w:rPr>
        <w:t>Table 5.5.13</w:t>
      </w:r>
      <w:r w:rsidRPr="001D5327">
        <w:rPr>
          <w:rFonts w:cs="Calibri"/>
        </w:rPr>
        <w:tab/>
        <w:t>Comparison of emissions from </w:t>
      </w:r>
      <w:r w:rsidRPr="001D5327">
        <w:rPr>
          <w:rFonts w:cs="Calibri"/>
          <w:i/>
          <w:iCs/>
        </w:rPr>
        <w:t>Agricultural soils</w:t>
      </w:r>
      <w:r w:rsidRPr="001D5327">
        <w:rPr>
          <w:rFonts w:cs="Calibri"/>
        </w:rPr>
        <w:t xml:space="preserve"> before and after the inclusion of emissions from </w:t>
      </w:r>
      <w:r w:rsidRPr="001D5327">
        <w:t>non-manure organic amendments to soil</w:t>
      </w:r>
      <w:bookmarkEnd w:id="1317"/>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4A0" w:firstRow="1" w:lastRow="0" w:firstColumn="1" w:lastColumn="0" w:noHBand="0" w:noVBand="1"/>
      </w:tblPr>
      <w:tblGrid>
        <w:gridCol w:w="993"/>
        <w:gridCol w:w="2126"/>
        <w:gridCol w:w="850"/>
        <w:gridCol w:w="851"/>
        <w:gridCol w:w="1701"/>
        <w:gridCol w:w="1984"/>
      </w:tblGrid>
      <w:tr w:rsidR="00590FE1" w:rsidRPr="001D5327" w14:paraId="495E7963" w14:textId="77777777" w:rsidTr="00403787">
        <w:trPr>
          <w:tblHeader/>
        </w:trPr>
        <w:tc>
          <w:tcPr>
            <w:tcW w:w="993" w:type="dxa"/>
            <w:shd w:val="clear" w:color="000000" w:fill="1B556B"/>
            <w:vAlign w:val="bottom"/>
          </w:tcPr>
          <w:p w14:paraId="04BF4034" w14:textId="77777777" w:rsidR="00590FE1" w:rsidRPr="001D5327" w:rsidRDefault="00590FE1" w:rsidP="00403787">
            <w:pPr>
              <w:pStyle w:val="TableText"/>
              <w:keepNext/>
              <w:spacing w:before="40" w:after="30"/>
              <w:rPr>
                <w:color w:val="FFFFFF" w:themeColor="background1"/>
              </w:rPr>
            </w:pPr>
          </w:p>
        </w:tc>
        <w:tc>
          <w:tcPr>
            <w:tcW w:w="2126" w:type="dxa"/>
            <w:shd w:val="clear" w:color="000000" w:fill="1B556B"/>
            <w:vAlign w:val="bottom"/>
          </w:tcPr>
          <w:p w14:paraId="380ED080" w14:textId="77777777" w:rsidR="00590FE1" w:rsidRPr="001D5327" w:rsidRDefault="00590FE1" w:rsidP="00403787">
            <w:pPr>
              <w:pStyle w:val="TableText"/>
              <w:keepNext/>
              <w:spacing w:before="40" w:after="30"/>
              <w:rPr>
                <w:color w:val="FFFFFF" w:themeColor="background1"/>
              </w:rPr>
            </w:pPr>
          </w:p>
        </w:tc>
        <w:tc>
          <w:tcPr>
            <w:tcW w:w="850" w:type="dxa"/>
            <w:shd w:val="clear" w:color="000000" w:fill="1B556B"/>
            <w:vAlign w:val="bottom"/>
            <w:hideMark/>
          </w:tcPr>
          <w:p w14:paraId="2B618E86" w14:textId="77777777" w:rsidR="00590FE1" w:rsidRPr="001D5327" w:rsidRDefault="00590FE1" w:rsidP="00403787">
            <w:pPr>
              <w:pStyle w:val="TableText"/>
              <w:keepNext/>
              <w:spacing w:before="40" w:after="30"/>
              <w:jc w:val="right"/>
              <w:rPr>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51" w:type="dxa"/>
            <w:shd w:val="clear" w:color="000000" w:fill="1B556B"/>
            <w:vAlign w:val="bottom"/>
            <w:hideMark/>
          </w:tcPr>
          <w:p w14:paraId="58A58438" w14:textId="77777777" w:rsidR="00590FE1" w:rsidRPr="001D5327" w:rsidRDefault="00590FE1" w:rsidP="00403787">
            <w:pPr>
              <w:pStyle w:val="TableText"/>
              <w:keepNext/>
              <w:spacing w:before="40" w:after="30"/>
              <w:jc w:val="right"/>
              <w:rPr>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701" w:type="dxa"/>
            <w:shd w:val="clear" w:color="000000" w:fill="1B556B"/>
            <w:vAlign w:val="bottom"/>
            <w:hideMark/>
          </w:tcPr>
          <w:p w14:paraId="60CE3481" w14:textId="77777777" w:rsidR="00590FE1" w:rsidRPr="001D5327" w:rsidRDefault="00590FE1" w:rsidP="00403787">
            <w:pPr>
              <w:pStyle w:val="TableText"/>
              <w:keepNext/>
              <w:spacing w:before="40" w:after="30"/>
              <w:jc w:val="right"/>
              <w:rPr>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984" w:type="dxa"/>
            <w:shd w:val="clear" w:color="000000" w:fill="1B556B"/>
            <w:vAlign w:val="bottom"/>
            <w:hideMark/>
          </w:tcPr>
          <w:p w14:paraId="61C122BC" w14:textId="77777777" w:rsidR="00590FE1" w:rsidRPr="001D5327" w:rsidRDefault="00590FE1" w:rsidP="00403787">
            <w:pPr>
              <w:pStyle w:val="TableText"/>
              <w:keepNext/>
              <w:spacing w:before="40" w:after="30"/>
              <w:jc w:val="right"/>
              <w:rPr>
                <w:color w:val="FFFFFF" w:themeColor="background1"/>
              </w:rPr>
            </w:pPr>
            <w:r w:rsidRPr="001D5327">
              <w:rPr>
                <w:rFonts w:cs="Calibri"/>
                <w:b/>
                <w:bCs/>
                <w:color w:val="FFFFFF"/>
                <w:szCs w:val="16"/>
              </w:rPr>
              <w:t>Percentage change in emission outputs between 1990 and 2022 (%)</w:t>
            </w:r>
          </w:p>
        </w:tc>
      </w:tr>
      <w:tr w:rsidR="00590FE1" w:rsidRPr="001D5327" w14:paraId="7A7B805C" w14:textId="77777777" w:rsidTr="00403787">
        <w:tc>
          <w:tcPr>
            <w:tcW w:w="993" w:type="dxa"/>
            <w:vMerge w:val="restart"/>
            <w:shd w:val="clear" w:color="auto" w:fill="auto"/>
            <w:vAlign w:val="center"/>
            <w:hideMark/>
          </w:tcPr>
          <w:p w14:paraId="4863A4CE" w14:textId="77777777" w:rsidR="00590FE1" w:rsidRPr="001D5327" w:rsidRDefault="00590FE1" w:rsidP="00403787">
            <w:pPr>
              <w:pStyle w:val="TableText"/>
              <w:keepNext/>
              <w:spacing w:before="40" w:after="30"/>
              <w:rPr>
                <w:color w:val="000000"/>
              </w:rPr>
            </w:pPr>
            <w:r w:rsidRPr="001D5327">
              <w:rPr>
                <w:color w:val="000000"/>
              </w:rPr>
              <w:t xml:space="preserve">Total emissions from </w:t>
            </w:r>
            <w:r w:rsidRPr="001D5327">
              <w:rPr>
                <w:i/>
                <w:color w:val="000000"/>
              </w:rPr>
              <w:t>Agricultural soils</w:t>
            </w:r>
            <w:r w:rsidRPr="001D5327">
              <w:rPr>
                <w:color w:val="000000"/>
              </w:rPr>
              <w:t xml:space="preserve"> </w:t>
            </w:r>
          </w:p>
        </w:tc>
        <w:tc>
          <w:tcPr>
            <w:tcW w:w="2126" w:type="dxa"/>
            <w:shd w:val="clear" w:color="auto" w:fill="auto"/>
            <w:vAlign w:val="center"/>
            <w:hideMark/>
          </w:tcPr>
          <w:p w14:paraId="31B64482" w14:textId="77777777" w:rsidR="00590FE1" w:rsidRPr="001D5327" w:rsidRDefault="00590FE1" w:rsidP="00403787">
            <w:pPr>
              <w:pStyle w:val="TableText"/>
              <w:keepNext/>
              <w:spacing w:before="40" w:after="30"/>
              <w:rPr>
                <w:color w:val="000000"/>
              </w:rPr>
            </w:pPr>
            <w:r w:rsidRPr="001D5327">
              <w:rPr>
                <w:rFonts w:cs="Calibri"/>
                <w:color w:val="000000"/>
                <w:szCs w:val="16"/>
              </w:rPr>
              <w:t>2024 (1990–2022) emissions estimate</w:t>
            </w:r>
          </w:p>
        </w:tc>
        <w:tc>
          <w:tcPr>
            <w:tcW w:w="850" w:type="dxa"/>
            <w:shd w:val="clear" w:color="auto" w:fill="auto"/>
            <w:vAlign w:val="bottom"/>
            <w:hideMark/>
          </w:tcPr>
          <w:p w14:paraId="386F089E" w14:textId="77777777" w:rsidR="00590FE1" w:rsidRPr="001D5327" w:rsidRDefault="00590FE1" w:rsidP="00403787">
            <w:pPr>
              <w:pStyle w:val="TableText"/>
              <w:keepNext/>
              <w:spacing w:before="40" w:after="30"/>
              <w:jc w:val="right"/>
              <w:rPr>
                <w:color w:val="000000"/>
              </w:rPr>
            </w:pPr>
            <w:r w:rsidRPr="001D5327">
              <w:rPr>
                <w:rFonts w:cs="Calibri"/>
                <w:color w:val="000000"/>
                <w:szCs w:val="16"/>
              </w:rPr>
              <w:t>4,669.0</w:t>
            </w:r>
          </w:p>
        </w:tc>
        <w:tc>
          <w:tcPr>
            <w:tcW w:w="851" w:type="dxa"/>
            <w:shd w:val="clear" w:color="auto" w:fill="auto"/>
            <w:vAlign w:val="bottom"/>
            <w:hideMark/>
          </w:tcPr>
          <w:p w14:paraId="16AA63A0" w14:textId="77777777" w:rsidR="00590FE1" w:rsidRPr="001D5327" w:rsidRDefault="00590FE1" w:rsidP="00403787">
            <w:pPr>
              <w:pStyle w:val="TableText"/>
              <w:keepNext/>
              <w:spacing w:before="40" w:after="30"/>
              <w:jc w:val="right"/>
              <w:rPr>
                <w:color w:val="000000"/>
              </w:rPr>
            </w:pPr>
            <w:r w:rsidRPr="001D5327">
              <w:rPr>
                <w:rFonts w:cs="Calibri"/>
                <w:color w:val="000000"/>
                <w:szCs w:val="16"/>
              </w:rPr>
              <w:t>6,322.5</w:t>
            </w:r>
          </w:p>
        </w:tc>
        <w:tc>
          <w:tcPr>
            <w:tcW w:w="1701" w:type="dxa"/>
            <w:shd w:val="clear" w:color="auto" w:fill="auto"/>
            <w:vAlign w:val="bottom"/>
            <w:hideMark/>
          </w:tcPr>
          <w:p w14:paraId="21BCBCE1" w14:textId="77777777" w:rsidR="00590FE1" w:rsidRPr="001D5327" w:rsidRDefault="00590FE1" w:rsidP="00403787">
            <w:pPr>
              <w:pStyle w:val="TableText"/>
              <w:keepNext/>
              <w:spacing w:before="40" w:after="30"/>
              <w:jc w:val="right"/>
              <w:rPr>
                <w:color w:val="000000"/>
              </w:rPr>
            </w:pPr>
            <w:r w:rsidRPr="001D5327">
              <w:rPr>
                <w:rFonts w:cs="Calibri"/>
                <w:color w:val="000000"/>
                <w:szCs w:val="16"/>
              </w:rPr>
              <w:t>1,653.5</w:t>
            </w:r>
          </w:p>
        </w:tc>
        <w:tc>
          <w:tcPr>
            <w:tcW w:w="1984" w:type="dxa"/>
            <w:shd w:val="clear" w:color="auto" w:fill="auto"/>
            <w:vAlign w:val="bottom"/>
            <w:hideMark/>
          </w:tcPr>
          <w:p w14:paraId="60A6CFB7" w14:textId="77777777" w:rsidR="00590FE1" w:rsidRPr="001D5327" w:rsidRDefault="00590FE1" w:rsidP="00403787">
            <w:pPr>
              <w:pStyle w:val="TableText"/>
              <w:keepNext/>
              <w:spacing w:before="40" w:after="30"/>
              <w:jc w:val="right"/>
              <w:rPr>
                <w:color w:val="000000"/>
              </w:rPr>
            </w:pPr>
            <w:r w:rsidRPr="001D5327">
              <w:rPr>
                <w:rFonts w:cs="Calibri"/>
                <w:color w:val="000000"/>
                <w:szCs w:val="16"/>
              </w:rPr>
              <w:t>35.4</w:t>
            </w:r>
          </w:p>
        </w:tc>
      </w:tr>
      <w:tr w:rsidR="00590FE1" w:rsidRPr="001D5327" w14:paraId="61E3C545" w14:textId="77777777" w:rsidTr="00403787">
        <w:tc>
          <w:tcPr>
            <w:tcW w:w="993" w:type="dxa"/>
            <w:vMerge/>
            <w:vAlign w:val="center"/>
            <w:hideMark/>
          </w:tcPr>
          <w:p w14:paraId="6EF8444D" w14:textId="77777777" w:rsidR="00590FE1" w:rsidRPr="001D5327" w:rsidRDefault="00590FE1" w:rsidP="00403787">
            <w:pPr>
              <w:pStyle w:val="TableText"/>
              <w:keepNext/>
              <w:spacing w:before="40" w:after="30"/>
              <w:rPr>
                <w:color w:val="000000"/>
              </w:rPr>
            </w:pPr>
          </w:p>
        </w:tc>
        <w:tc>
          <w:tcPr>
            <w:tcW w:w="2126" w:type="dxa"/>
            <w:shd w:val="clear" w:color="auto" w:fill="auto"/>
            <w:vAlign w:val="center"/>
            <w:hideMark/>
          </w:tcPr>
          <w:p w14:paraId="456139FB" w14:textId="172DC840" w:rsidR="00590FE1" w:rsidRPr="001D5327" w:rsidRDefault="007C4307" w:rsidP="00403787">
            <w:pPr>
              <w:pStyle w:val="TableText"/>
              <w:keepNext/>
              <w:spacing w:before="40" w:after="30"/>
              <w:rPr>
                <w:color w:val="000000"/>
              </w:rPr>
            </w:pPr>
            <w:r w:rsidRPr="007C4307">
              <w:rPr>
                <w:rFonts w:cs="Calibri"/>
                <w:color w:val="000000"/>
                <w:szCs w:val="16"/>
              </w:rPr>
              <w:t>2024 (1990</w:t>
            </w:r>
            <w:r>
              <w:rPr>
                <w:rFonts w:cs="Calibri"/>
                <w:color w:val="000000"/>
                <w:szCs w:val="16"/>
              </w:rPr>
              <w:t>–</w:t>
            </w:r>
            <w:r w:rsidRPr="007C4307">
              <w:rPr>
                <w:rFonts w:cs="Calibri"/>
                <w:color w:val="000000"/>
                <w:szCs w:val="16"/>
              </w:rPr>
              <w:t>2022)</w:t>
            </w:r>
            <w:r w:rsidR="00590FE1" w:rsidRPr="001D5327">
              <w:rPr>
                <w:rFonts w:cs="Calibri"/>
                <w:color w:val="000000"/>
                <w:szCs w:val="16"/>
              </w:rPr>
              <w:t xml:space="preserve"> emissions estimate </w:t>
            </w:r>
            <w:r w:rsidR="00590FE1" w:rsidRPr="001D5327">
              <w:rPr>
                <w:rFonts w:cs="Calibri"/>
                <w:i/>
                <w:iCs/>
                <w:color w:val="000000"/>
                <w:szCs w:val="16"/>
              </w:rPr>
              <w:t>with</w:t>
            </w:r>
            <w:r w:rsidR="00590FE1" w:rsidRPr="001D5327">
              <w:rPr>
                <w:rFonts w:cs="Calibri"/>
                <w:color w:val="000000"/>
                <w:szCs w:val="16"/>
              </w:rPr>
              <w:t xml:space="preserve"> </w:t>
            </w:r>
            <w:r w:rsidR="00590FE1" w:rsidRPr="001D5327">
              <w:rPr>
                <w:rFonts w:cs="Calibri"/>
                <w:i/>
                <w:iCs/>
                <w:color w:val="000000"/>
                <w:szCs w:val="16"/>
              </w:rPr>
              <w:t>improvement</w:t>
            </w:r>
          </w:p>
        </w:tc>
        <w:tc>
          <w:tcPr>
            <w:tcW w:w="850" w:type="dxa"/>
            <w:shd w:val="clear" w:color="auto" w:fill="auto"/>
            <w:vAlign w:val="bottom"/>
            <w:hideMark/>
          </w:tcPr>
          <w:p w14:paraId="3DFA1D56" w14:textId="77777777" w:rsidR="00590FE1" w:rsidRPr="001D5327" w:rsidRDefault="00590FE1" w:rsidP="00403787">
            <w:pPr>
              <w:pStyle w:val="TableText"/>
              <w:keepNext/>
              <w:spacing w:before="40" w:after="30"/>
              <w:jc w:val="right"/>
              <w:rPr>
                <w:color w:val="000000"/>
              </w:rPr>
            </w:pPr>
            <w:r w:rsidRPr="001D5327">
              <w:rPr>
                <w:rFonts w:cs="Calibri"/>
                <w:color w:val="000000"/>
                <w:szCs w:val="16"/>
              </w:rPr>
              <w:t>4,671.1</w:t>
            </w:r>
          </w:p>
        </w:tc>
        <w:tc>
          <w:tcPr>
            <w:tcW w:w="851" w:type="dxa"/>
            <w:shd w:val="clear" w:color="auto" w:fill="auto"/>
            <w:vAlign w:val="bottom"/>
            <w:hideMark/>
          </w:tcPr>
          <w:p w14:paraId="3F444D33" w14:textId="77777777" w:rsidR="00590FE1" w:rsidRPr="001D5327" w:rsidRDefault="00590FE1" w:rsidP="00403787">
            <w:pPr>
              <w:pStyle w:val="TableText"/>
              <w:keepNext/>
              <w:spacing w:before="40" w:after="30"/>
              <w:jc w:val="right"/>
              <w:rPr>
                <w:color w:val="000000"/>
              </w:rPr>
            </w:pPr>
            <w:r w:rsidRPr="001D5327">
              <w:rPr>
                <w:rFonts w:cs="Calibri"/>
                <w:color w:val="000000"/>
                <w:szCs w:val="16"/>
              </w:rPr>
              <w:t>6,334.9</w:t>
            </w:r>
          </w:p>
        </w:tc>
        <w:tc>
          <w:tcPr>
            <w:tcW w:w="1701" w:type="dxa"/>
            <w:shd w:val="clear" w:color="auto" w:fill="auto"/>
            <w:vAlign w:val="bottom"/>
            <w:hideMark/>
          </w:tcPr>
          <w:p w14:paraId="3A527904" w14:textId="77777777" w:rsidR="00590FE1" w:rsidRPr="001D5327" w:rsidRDefault="00590FE1" w:rsidP="00403787">
            <w:pPr>
              <w:pStyle w:val="TableText"/>
              <w:keepNext/>
              <w:spacing w:before="40" w:after="30"/>
              <w:jc w:val="right"/>
              <w:rPr>
                <w:color w:val="000000"/>
              </w:rPr>
            </w:pPr>
            <w:r w:rsidRPr="001D5327">
              <w:rPr>
                <w:rFonts w:cs="Calibri"/>
                <w:color w:val="000000"/>
                <w:szCs w:val="16"/>
              </w:rPr>
              <w:t>1,663.8</w:t>
            </w:r>
          </w:p>
        </w:tc>
        <w:tc>
          <w:tcPr>
            <w:tcW w:w="1984" w:type="dxa"/>
            <w:shd w:val="clear" w:color="auto" w:fill="auto"/>
            <w:vAlign w:val="bottom"/>
            <w:hideMark/>
          </w:tcPr>
          <w:p w14:paraId="08F95FFB" w14:textId="77777777" w:rsidR="00590FE1" w:rsidRPr="001D5327" w:rsidRDefault="00590FE1" w:rsidP="00403787">
            <w:pPr>
              <w:pStyle w:val="TableText"/>
              <w:keepNext/>
              <w:spacing w:before="40" w:after="30"/>
              <w:jc w:val="right"/>
              <w:rPr>
                <w:color w:val="000000"/>
              </w:rPr>
            </w:pPr>
            <w:r w:rsidRPr="001D5327">
              <w:rPr>
                <w:rFonts w:cs="Calibri"/>
                <w:color w:val="000000"/>
                <w:szCs w:val="16"/>
              </w:rPr>
              <w:t>35.6</w:t>
            </w:r>
          </w:p>
        </w:tc>
      </w:tr>
      <w:tr w:rsidR="00590FE1" w:rsidRPr="001D5327" w14:paraId="5050D767" w14:textId="77777777" w:rsidTr="00403787">
        <w:tc>
          <w:tcPr>
            <w:tcW w:w="993" w:type="dxa"/>
            <w:vMerge/>
            <w:vAlign w:val="center"/>
            <w:hideMark/>
          </w:tcPr>
          <w:p w14:paraId="7A13E4E5" w14:textId="77777777" w:rsidR="00590FE1" w:rsidRPr="001D5327" w:rsidRDefault="00590FE1" w:rsidP="00403787">
            <w:pPr>
              <w:pStyle w:val="TableText"/>
              <w:spacing w:before="40" w:after="30"/>
              <w:rPr>
                <w:color w:val="000000"/>
              </w:rPr>
            </w:pPr>
          </w:p>
        </w:tc>
        <w:tc>
          <w:tcPr>
            <w:tcW w:w="2126" w:type="dxa"/>
            <w:shd w:val="clear" w:color="auto" w:fill="auto"/>
            <w:vAlign w:val="center"/>
            <w:hideMark/>
          </w:tcPr>
          <w:p w14:paraId="6841168E" w14:textId="77777777" w:rsidR="00590FE1" w:rsidRPr="001D5327" w:rsidRDefault="00590FE1" w:rsidP="00403787">
            <w:pPr>
              <w:pStyle w:val="TableText"/>
              <w:spacing w:before="40" w:after="30"/>
              <w:rPr>
                <w:color w:val="000000"/>
              </w:rPr>
            </w:pPr>
            <w:r w:rsidRPr="001D5327">
              <w:rPr>
                <w:rFonts w:cs="Calibri"/>
                <w:color w:val="000000"/>
                <w:szCs w:val="16"/>
              </w:rPr>
              <w:t>Difference in emissions estimates</w:t>
            </w:r>
          </w:p>
        </w:tc>
        <w:tc>
          <w:tcPr>
            <w:tcW w:w="850" w:type="dxa"/>
            <w:shd w:val="clear" w:color="auto" w:fill="auto"/>
            <w:vAlign w:val="bottom"/>
            <w:hideMark/>
          </w:tcPr>
          <w:p w14:paraId="240B3F0C" w14:textId="77777777" w:rsidR="00590FE1" w:rsidRPr="001D5327" w:rsidRDefault="00590FE1" w:rsidP="00403787">
            <w:pPr>
              <w:pStyle w:val="TableText"/>
              <w:spacing w:before="40" w:after="30"/>
              <w:jc w:val="right"/>
              <w:rPr>
                <w:color w:val="000000"/>
              </w:rPr>
            </w:pPr>
            <w:r w:rsidRPr="001D5327">
              <w:rPr>
                <w:rFonts w:cs="Calibri"/>
                <w:color w:val="000000"/>
                <w:szCs w:val="16"/>
              </w:rPr>
              <w:t>2.1</w:t>
            </w:r>
          </w:p>
        </w:tc>
        <w:tc>
          <w:tcPr>
            <w:tcW w:w="851" w:type="dxa"/>
            <w:shd w:val="clear" w:color="auto" w:fill="auto"/>
            <w:vAlign w:val="bottom"/>
            <w:hideMark/>
          </w:tcPr>
          <w:p w14:paraId="5E7E73B1" w14:textId="77777777" w:rsidR="00590FE1" w:rsidRPr="001D5327" w:rsidRDefault="00590FE1" w:rsidP="00403787">
            <w:pPr>
              <w:pStyle w:val="TableText"/>
              <w:spacing w:before="40" w:after="30"/>
              <w:jc w:val="right"/>
              <w:rPr>
                <w:color w:val="000000"/>
              </w:rPr>
            </w:pPr>
            <w:r w:rsidRPr="001D5327">
              <w:rPr>
                <w:rFonts w:cs="Calibri"/>
                <w:color w:val="000000"/>
                <w:szCs w:val="16"/>
              </w:rPr>
              <w:t>12.4</w:t>
            </w:r>
          </w:p>
        </w:tc>
        <w:tc>
          <w:tcPr>
            <w:tcW w:w="1701" w:type="dxa"/>
            <w:shd w:val="clear" w:color="auto" w:fill="auto"/>
            <w:vAlign w:val="bottom"/>
            <w:hideMark/>
          </w:tcPr>
          <w:p w14:paraId="34294051" w14:textId="77777777" w:rsidR="00590FE1" w:rsidRPr="001D5327" w:rsidRDefault="00590FE1" w:rsidP="00403787">
            <w:pPr>
              <w:pStyle w:val="TableText"/>
              <w:spacing w:before="40" w:after="30"/>
              <w:jc w:val="right"/>
              <w:rPr>
                <w:color w:val="000000"/>
              </w:rPr>
            </w:pPr>
            <w:r w:rsidRPr="001D5327">
              <w:rPr>
                <w:rFonts w:cs="Calibri"/>
                <w:color w:val="000000"/>
                <w:szCs w:val="16"/>
              </w:rPr>
              <w:t> </w:t>
            </w:r>
          </w:p>
        </w:tc>
        <w:tc>
          <w:tcPr>
            <w:tcW w:w="1984" w:type="dxa"/>
            <w:shd w:val="clear" w:color="auto" w:fill="auto"/>
            <w:vAlign w:val="bottom"/>
            <w:hideMark/>
          </w:tcPr>
          <w:p w14:paraId="2D95364C" w14:textId="77777777" w:rsidR="00590FE1" w:rsidRPr="001D5327" w:rsidRDefault="00590FE1" w:rsidP="00403787">
            <w:pPr>
              <w:pStyle w:val="TableText"/>
              <w:spacing w:before="40" w:after="30"/>
              <w:jc w:val="right"/>
              <w:rPr>
                <w:color w:val="000000"/>
              </w:rPr>
            </w:pPr>
            <w:r w:rsidRPr="001D5327">
              <w:rPr>
                <w:rFonts w:cs="Calibri"/>
                <w:color w:val="000000"/>
                <w:szCs w:val="16"/>
              </w:rPr>
              <w:t> </w:t>
            </w:r>
          </w:p>
        </w:tc>
      </w:tr>
      <w:tr w:rsidR="00590FE1" w:rsidRPr="001D5327" w14:paraId="337C30FE" w14:textId="77777777" w:rsidTr="00403787">
        <w:tc>
          <w:tcPr>
            <w:tcW w:w="993" w:type="dxa"/>
            <w:vMerge/>
            <w:vAlign w:val="center"/>
            <w:hideMark/>
          </w:tcPr>
          <w:p w14:paraId="4864636F" w14:textId="77777777" w:rsidR="00590FE1" w:rsidRPr="001D5327" w:rsidRDefault="00590FE1" w:rsidP="00403787">
            <w:pPr>
              <w:pStyle w:val="TableText"/>
              <w:spacing w:before="40" w:after="30"/>
              <w:rPr>
                <w:color w:val="000000"/>
              </w:rPr>
            </w:pPr>
          </w:p>
        </w:tc>
        <w:tc>
          <w:tcPr>
            <w:tcW w:w="2126" w:type="dxa"/>
            <w:shd w:val="clear" w:color="auto" w:fill="auto"/>
            <w:vAlign w:val="center"/>
            <w:hideMark/>
          </w:tcPr>
          <w:p w14:paraId="4E476B12" w14:textId="77777777" w:rsidR="00590FE1" w:rsidRPr="001D5327" w:rsidRDefault="00590FE1" w:rsidP="00403787">
            <w:pPr>
              <w:pStyle w:val="TableText"/>
              <w:spacing w:before="40" w:after="30"/>
              <w:rPr>
                <w:color w:val="000000"/>
              </w:rPr>
            </w:pPr>
            <w:r w:rsidRPr="001D5327">
              <w:rPr>
                <w:rFonts w:cs="Calibri"/>
                <w:color w:val="000000"/>
                <w:szCs w:val="16"/>
              </w:rPr>
              <w:t>Percentage difference in emissions estimates (%)</w:t>
            </w:r>
          </w:p>
        </w:tc>
        <w:tc>
          <w:tcPr>
            <w:tcW w:w="850" w:type="dxa"/>
            <w:shd w:val="clear" w:color="auto" w:fill="auto"/>
            <w:vAlign w:val="bottom"/>
            <w:hideMark/>
          </w:tcPr>
          <w:p w14:paraId="24E371E6" w14:textId="77777777" w:rsidR="00590FE1" w:rsidRPr="001D5327" w:rsidRDefault="00590FE1" w:rsidP="00403787">
            <w:pPr>
              <w:pStyle w:val="TableText"/>
              <w:spacing w:before="40" w:after="30"/>
              <w:jc w:val="right"/>
              <w:rPr>
                <w:color w:val="000000"/>
              </w:rPr>
            </w:pPr>
            <w:r w:rsidRPr="001D5327">
              <w:rPr>
                <w:rFonts w:cs="Calibri"/>
                <w:color w:val="000000"/>
                <w:szCs w:val="16"/>
              </w:rPr>
              <w:t>0.0</w:t>
            </w:r>
          </w:p>
        </w:tc>
        <w:tc>
          <w:tcPr>
            <w:tcW w:w="851" w:type="dxa"/>
            <w:shd w:val="clear" w:color="auto" w:fill="auto"/>
            <w:vAlign w:val="bottom"/>
            <w:hideMark/>
          </w:tcPr>
          <w:p w14:paraId="44954EA9" w14:textId="77777777" w:rsidR="00590FE1" w:rsidRPr="001D5327" w:rsidRDefault="00590FE1" w:rsidP="00403787">
            <w:pPr>
              <w:pStyle w:val="TableText"/>
              <w:spacing w:before="40" w:after="30"/>
              <w:jc w:val="right"/>
              <w:rPr>
                <w:color w:val="000000"/>
              </w:rPr>
            </w:pPr>
            <w:r w:rsidRPr="001D5327">
              <w:rPr>
                <w:rFonts w:cs="Calibri"/>
                <w:color w:val="000000"/>
                <w:szCs w:val="16"/>
              </w:rPr>
              <w:t>0.2</w:t>
            </w:r>
          </w:p>
        </w:tc>
        <w:tc>
          <w:tcPr>
            <w:tcW w:w="1701" w:type="dxa"/>
            <w:shd w:val="clear" w:color="auto" w:fill="auto"/>
            <w:vAlign w:val="bottom"/>
            <w:hideMark/>
          </w:tcPr>
          <w:p w14:paraId="2EF77586" w14:textId="77777777" w:rsidR="00590FE1" w:rsidRPr="001D5327" w:rsidRDefault="00590FE1" w:rsidP="00403787">
            <w:pPr>
              <w:pStyle w:val="TableText"/>
              <w:spacing w:before="40" w:after="30"/>
              <w:jc w:val="right"/>
              <w:rPr>
                <w:color w:val="000000"/>
              </w:rPr>
            </w:pPr>
            <w:r w:rsidRPr="001D5327">
              <w:rPr>
                <w:rFonts w:cs="Calibri"/>
                <w:color w:val="000000"/>
                <w:szCs w:val="16"/>
              </w:rPr>
              <w:t> </w:t>
            </w:r>
          </w:p>
        </w:tc>
        <w:tc>
          <w:tcPr>
            <w:tcW w:w="1984" w:type="dxa"/>
            <w:shd w:val="clear" w:color="auto" w:fill="auto"/>
            <w:vAlign w:val="bottom"/>
            <w:hideMark/>
          </w:tcPr>
          <w:p w14:paraId="66645E22" w14:textId="77777777" w:rsidR="00590FE1" w:rsidRPr="001D5327" w:rsidRDefault="00590FE1" w:rsidP="00403787">
            <w:pPr>
              <w:pStyle w:val="TableText"/>
              <w:spacing w:before="40" w:after="30"/>
              <w:jc w:val="right"/>
              <w:rPr>
                <w:color w:val="000000"/>
              </w:rPr>
            </w:pPr>
            <w:r w:rsidRPr="001D5327">
              <w:rPr>
                <w:rFonts w:cs="Calibri"/>
                <w:color w:val="000000"/>
                <w:szCs w:val="16"/>
              </w:rPr>
              <w:t> </w:t>
            </w:r>
          </w:p>
        </w:tc>
      </w:tr>
    </w:tbl>
    <w:p w14:paraId="3E7056AB" w14:textId="77777777" w:rsidR="00590FE1" w:rsidRPr="001D5327" w:rsidRDefault="00590FE1" w:rsidP="00590FE1">
      <w:pPr>
        <w:pStyle w:val="Noteundertable"/>
        <w:rPr>
          <w:rFonts w:cs="Calibri"/>
        </w:rPr>
      </w:pPr>
      <w:r w:rsidRPr="001D5327">
        <w:rPr>
          <w:rFonts w:cs="Calibri"/>
          <w:b/>
          <w:bCs/>
        </w:rPr>
        <w:t>Note:</w:t>
      </w:r>
      <w:r w:rsidRPr="001D5327">
        <w:rPr>
          <w:rFonts w:cs="Calibri"/>
          <w:b/>
          <w:bCs/>
        </w:rPr>
        <w:tab/>
      </w:r>
      <w:r w:rsidRPr="001D5327">
        <w:rPr>
          <w:rFonts w:cs="Calibri"/>
        </w:rPr>
        <w:t>Columns may not sum due to rounding. Percentages presented are calculated from unrounded values.</w:t>
      </w:r>
    </w:p>
    <w:p w14:paraId="76B9A227" w14:textId="77777777" w:rsidR="00590FE1" w:rsidRPr="001D5327" w:rsidRDefault="00590FE1" w:rsidP="00590FE1">
      <w:pPr>
        <w:pStyle w:val="Heading5"/>
      </w:pPr>
      <w:r w:rsidRPr="001D5327">
        <w:t>Minor species population value changes</w:t>
      </w:r>
    </w:p>
    <w:p w14:paraId="4A8EAFAC" w14:textId="77777777" w:rsidR="00590FE1" w:rsidRPr="001D5327" w:rsidRDefault="00590FE1" w:rsidP="00590FE1">
      <w:pPr>
        <w:pStyle w:val="BodyText"/>
        <w:spacing w:before="100" w:after="100"/>
        <w:rPr>
          <w:rFonts w:cs="Calibri"/>
          <w:color w:val="000000"/>
          <w:shd w:val="clear" w:color="auto" w:fill="FFFFFF"/>
        </w:rPr>
      </w:pPr>
      <w:r w:rsidRPr="001D5327">
        <w:t>The changes to minor species values caused emissions from the Agricultural soils category to increase by 0.2 kt CO</w:t>
      </w:r>
      <w:r w:rsidRPr="001D5327">
        <w:rPr>
          <w:vertAlign w:val="subscript"/>
        </w:rPr>
        <w:t>2</w:t>
      </w:r>
      <w:r w:rsidRPr="001D5327">
        <w:t>-e in 1990 and 0.1 kt CO</w:t>
      </w:r>
      <w:r w:rsidRPr="001D5327">
        <w:rPr>
          <w:vertAlign w:val="subscript"/>
        </w:rPr>
        <w:t>2</w:t>
      </w:r>
      <w:r w:rsidRPr="001D5327">
        <w:t xml:space="preserve">-e in 2022 (see table 5.5.14). </w:t>
      </w:r>
      <w:r w:rsidRPr="001D5327">
        <w:rPr>
          <w:color w:val="000000"/>
          <w:shd w:val="clear" w:color="auto" w:fill="FFFFFF"/>
        </w:rPr>
        <w:t xml:space="preserve">For more </w:t>
      </w:r>
      <w:r w:rsidRPr="001D5327">
        <w:rPr>
          <w:rFonts w:cs="Calibri"/>
          <w:color w:val="000000"/>
          <w:shd w:val="clear" w:color="auto" w:fill="FFFFFF"/>
        </w:rPr>
        <w:t>detail</w:t>
      </w:r>
      <w:r w:rsidRPr="001D5327">
        <w:rPr>
          <w:color w:val="000000"/>
          <w:shd w:val="clear" w:color="auto" w:fill="FFFFFF"/>
        </w:rPr>
        <w:t xml:space="preserve"> on </w:t>
      </w:r>
      <w:r w:rsidRPr="001D5327">
        <w:rPr>
          <w:rFonts w:cs="Calibri"/>
          <w:color w:val="000000"/>
          <w:shd w:val="clear" w:color="auto" w:fill="FFFFFF"/>
        </w:rPr>
        <w:t>these changes,</w:t>
      </w:r>
      <w:r w:rsidRPr="001D5327">
        <w:rPr>
          <w:color w:val="000000"/>
          <w:shd w:val="clear" w:color="auto" w:fill="FFFFFF"/>
        </w:rPr>
        <w:t xml:space="preserve"> see section </w:t>
      </w:r>
      <w:r w:rsidRPr="001D5327">
        <w:rPr>
          <w:rFonts w:cs="Calibri"/>
          <w:color w:val="000000"/>
          <w:shd w:val="clear" w:color="auto" w:fill="FFFFFF"/>
        </w:rPr>
        <w:t xml:space="preserve">5.2.5. </w:t>
      </w:r>
    </w:p>
    <w:p w14:paraId="5EF63CEA" w14:textId="77777777" w:rsidR="00590FE1" w:rsidRPr="001D5327" w:rsidRDefault="00590FE1" w:rsidP="00590FE1">
      <w:pPr>
        <w:pStyle w:val="Table"/>
        <w:rPr>
          <w:rFonts w:cs="Calibri"/>
          <w:i/>
          <w:iCs/>
        </w:rPr>
      </w:pPr>
      <w:bookmarkStart w:id="1318" w:name="_Toc95574093"/>
      <w:bookmarkStart w:id="1319" w:name="_Toc127458281"/>
      <w:bookmarkStart w:id="1320" w:name="_Toc131591377"/>
      <w:bookmarkStart w:id="1321" w:name="_Toc127458280"/>
      <w:bookmarkStart w:id="1322" w:name="_Toc131591376"/>
      <w:bookmarkStart w:id="1323" w:name="_Toc160114470"/>
      <w:bookmarkStart w:id="1324" w:name="_Toc164153866"/>
      <w:bookmarkStart w:id="1325" w:name="_Toc194241738"/>
      <w:bookmarkStart w:id="1326" w:name="_Toc32570672"/>
      <w:bookmarkEnd w:id="1316"/>
      <w:r w:rsidRPr="001D5327">
        <w:rPr>
          <w:rFonts w:cs="Calibri"/>
        </w:rPr>
        <w:t>Table 5.5.14</w:t>
      </w:r>
      <w:r w:rsidRPr="001D5327">
        <w:rPr>
          <w:rFonts w:cs="Calibri"/>
        </w:rPr>
        <w:tab/>
      </w:r>
      <w:bookmarkEnd w:id="1318"/>
      <w:r w:rsidRPr="001D5327">
        <w:rPr>
          <w:rFonts w:cs="Calibri"/>
        </w:rPr>
        <w:t>Comparison of the previous minor species populations and the updated minor species populations for emissions from</w:t>
      </w:r>
      <w:r w:rsidRPr="001D5327">
        <w:rPr>
          <w:rFonts w:cs="Calibri"/>
          <w:i/>
          <w:iCs/>
        </w:rPr>
        <w:t xml:space="preserve"> Agricultural soils</w:t>
      </w:r>
      <w:bookmarkEnd w:id="1319"/>
      <w:bookmarkEnd w:id="1320"/>
      <w:bookmarkEnd w:id="1321"/>
      <w:bookmarkEnd w:id="1322"/>
      <w:bookmarkEnd w:id="1323"/>
      <w:bookmarkEnd w:id="1324"/>
      <w:bookmarkEnd w:id="1325"/>
      <w:r w:rsidRPr="001D5327">
        <w:rPr>
          <w:rFonts w:cs="Calibri"/>
          <w:i/>
          <w:iCs/>
        </w:rPr>
        <w:t xml:space="preserve"> </w:t>
      </w:r>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4A0" w:firstRow="1" w:lastRow="0" w:firstColumn="1" w:lastColumn="0" w:noHBand="0" w:noVBand="1"/>
      </w:tblPr>
      <w:tblGrid>
        <w:gridCol w:w="993"/>
        <w:gridCol w:w="2126"/>
        <w:gridCol w:w="850"/>
        <w:gridCol w:w="851"/>
        <w:gridCol w:w="1701"/>
        <w:gridCol w:w="1984"/>
      </w:tblGrid>
      <w:tr w:rsidR="00590FE1" w:rsidRPr="001D5327" w14:paraId="1A4F7660" w14:textId="77777777" w:rsidTr="00403787">
        <w:trPr>
          <w:tblHeader/>
        </w:trPr>
        <w:tc>
          <w:tcPr>
            <w:tcW w:w="993" w:type="dxa"/>
            <w:shd w:val="clear" w:color="000000" w:fill="1B556B"/>
            <w:vAlign w:val="bottom"/>
          </w:tcPr>
          <w:p w14:paraId="278BB846" w14:textId="77777777" w:rsidR="00590FE1" w:rsidRPr="001D5327" w:rsidRDefault="00590FE1" w:rsidP="00403787">
            <w:pPr>
              <w:pStyle w:val="TableText"/>
              <w:spacing w:before="40" w:after="30"/>
              <w:rPr>
                <w:color w:val="FFFFFF" w:themeColor="background1"/>
              </w:rPr>
            </w:pPr>
          </w:p>
        </w:tc>
        <w:tc>
          <w:tcPr>
            <w:tcW w:w="2126" w:type="dxa"/>
            <w:shd w:val="clear" w:color="000000" w:fill="1B556B"/>
            <w:vAlign w:val="bottom"/>
          </w:tcPr>
          <w:p w14:paraId="3629120C" w14:textId="77777777" w:rsidR="00590FE1" w:rsidRPr="001D5327" w:rsidRDefault="00590FE1" w:rsidP="00403787">
            <w:pPr>
              <w:pStyle w:val="TableText"/>
              <w:spacing w:before="40" w:after="30"/>
              <w:rPr>
                <w:color w:val="FFFFFF" w:themeColor="background1"/>
              </w:rPr>
            </w:pPr>
          </w:p>
        </w:tc>
        <w:tc>
          <w:tcPr>
            <w:tcW w:w="850" w:type="dxa"/>
            <w:shd w:val="clear" w:color="000000" w:fill="1B556B"/>
            <w:vAlign w:val="bottom"/>
            <w:hideMark/>
          </w:tcPr>
          <w:p w14:paraId="60A62E2C" w14:textId="77777777" w:rsidR="00590FE1" w:rsidRPr="001D5327" w:rsidRDefault="00590FE1" w:rsidP="00403787">
            <w:pPr>
              <w:pStyle w:val="TableText"/>
              <w:spacing w:before="40" w:after="30"/>
              <w:jc w:val="right"/>
              <w:rPr>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51" w:type="dxa"/>
            <w:shd w:val="clear" w:color="000000" w:fill="1B556B"/>
            <w:vAlign w:val="bottom"/>
            <w:hideMark/>
          </w:tcPr>
          <w:p w14:paraId="624649B0" w14:textId="77777777" w:rsidR="00590FE1" w:rsidRPr="001D5327" w:rsidRDefault="00590FE1" w:rsidP="00403787">
            <w:pPr>
              <w:pStyle w:val="TableText"/>
              <w:spacing w:before="40" w:after="30"/>
              <w:jc w:val="right"/>
              <w:rPr>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701" w:type="dxa"/>
            <w:shd w:val="clear" w:color="000000" w:fill="1B556B"/>
            <w:vAlign w:val="bottom"/>
            <w:hideMark/>
          </w:tcPr>
          <w:p w14:paraId="3D85E0DF" w14:textId="77777777" w:rsidR="00590FE1" w:rsidRPr="001D5327" w:rsidRDefault="00590FE1" w:rsidP="00403787">
            <w:pPr>
              <w:pStyle w:val="TableText"/>
              <w:spacing w:before="40" w:after="30"/>
              <w:jc w:val="right"/>
              <w:rPr>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984" w:type="dxa"/>
            <w:shd w:val="clear" w:color="000000" w:fill="1B556B"/>
            <w:vAlign w:val="bottom"/>
            <w:hideMark/>
          </w:tcPr>
          <w:p w14:paraId="54108F1F" w14:textId="77777777" w:rsidR="00590FE1" w:rsidRPr="001D5327" w:rsidRDefault="00590FE1" w:rsidP="00403787">
            <w:pPr>
              <w:pStyle w:val="TableText"/>
              <w:spacing w:before="40" w:after="30"/>
              <w:jc w:val="right"/>
              <w:rPr>
                <w:color w:val="FFFFFF" w:themeColor="background1"/>
              </w:rPr>
            </w:pPr>
            <w:r w:rsidRPr="001D5327">
              <w:rPr>
                <w:rFonts w:cs="Calibri"/>
                <w:b/>
                <w:bCs/>
                <w:color w:val="FFFFFF"/>
                <w:szCs w:val="16"/>
              </w:rPr>
              <w:t>Percentage change in emission outputs between 1990 and 2022 (%)</w:t>
            </w:r>
          </w:p>
        </w:tc>
      </w:tr>
      <w:tr w:rsidR="00590FE1" w:rsidRPr="001D5327" w14:paraId="0169BEE6" w14:textId="77777777" w:rsidTr="00403787">
        <w:tc>
          <w:tcPr>
            <w:tcW w:w="993" w:type="dxa"/>
            <w:vMerge w:val="restart"/>
            <w:shd w:val="clear" w:color="auto" w:fill="auto"/>
            <w:vAlign w:val="center"/>
            <w:hideMark/>
          </w:tcPr>
          <w:p w14:paraId="757CF9BE" w14:textId="77777777" w:rsidR="00590FE1" w:rsidRPr="001D5327" w:rsidRDefault="00590FE1" w:rsidP="00403787">
            <w:pPr>
              <w:pStyle w:val="TableText"/>
              <w:spacing w:before="40" w:after="30"/>
              <w:rPr>
                <w:color w:val="000000"/>
              </w:rPr>
            </w:pPr>
            <w:r w:rsidRPr="001D5327">
              <w:rPr>
                <w:color w:val="000000"/>
              </w:rPr>
              <w:t xml:space="preserve">Total emissions from </w:t>
            </w:r>
            <w:r w:rsidRPr="001D5327">
              <w:rPr>
                <w:i/>
                <w:color w:val="000000"/>
              </w:rPr>
              <w:t>Agricultural soils</w:t>
            </w:r>
            <w:r w:rsidRPr="001D5327">
              <w:rPr>
                <w:color w:val="000000"/>
              </w:rPr>
              <w:t xml:space="preserve"> </w:t>
            </w:r>
          </w:p>
        </w:tc>
        <w:tc>
          <w:tcPr>
            <w:tcW w:w="2126" w:type="dxa"/>
            <w:shd w:val="clear" w:color="auto" w:fill="auto"/>
            <w:vAlign w:val="center"/>
            <w:hideMark/>
          </w:tcPr>
          <w:p w14:paraId="5685E90E" w14:textId="77777777" w:rsidR="00590FE1" w:rsidRPr="001D5327" w:rsidRDefault="00590FE1" w:rsidP="00403787">
            <w:pPr>
              <w:pStyle w:val="TableText"/>
              <w:spacing w:before="40" w:after="30"/>
              <w:rPr>
                <w:color w:val="000000"/>
              </w:rPr>
            </w:pPr>
            <w:r w:rsidRPr="001D5327">
              <w:rPr>
                <w:rFonts w:cs="Calibri"/>
                <w:color w:val="000000"/>
                <w:szCs w:val="16"/>
              </w:rPr>
              <w:t>2024 (1990–2022) emissions estimate</w:t>
            </w:r>
          </w:p>
        </w:tc>
        <w:tc>
          <w:tcPr>
            <w:tcW w:w="850" w:type="dxa"/>
            <w:shd w:val="clear" w:color="auto" w:fill="auto"/>
            <w:vAlign w:val="bottom"/>
            <w:hideMark/>
          </w:tcPr>
          <w:p w14:paraId="6A4AA1D0" w14:textId="77777777" w:rsidR="00590FE1" w:rsidRPr="001D5327" w:rsidRDefault="00590FE1" w:rsidP="00403787">
            <w:pPr>
              <w:pStyle w:val="TableText"/>
              <w:spacing w:before="40" w:after="30"/>
              <w:jc w:val="right"/>
              <w:rPr>
                <w:color w:val="000000"/>
              </w:rPr>
            </w:pPr>
            <w:r w:rsidRPr="001D5327">
              <w:rPr>
                <w:rFonts w:cs="Calibri"/>
                <w:color w:val="000000"/>
                <w:szCs w:val="16"/>
              </w:rPr>
              <w:t>4,669.0</w:t>
            </w:r>
          </w:p>
        </w:tc>
        <w:tc>
          <w:tcPr>
            <w:tcW w:w="851" w:type="dxa"/>
            <w:shd w:val="clear" w:color="auto" w:fill="auto"/>
            <w:vAlign w:val="bottom"/>
            <w:hideMark/>
          </w:tcPr>
          <w:p w14:paraId="4C2E9FB3" w14:textId="77777777" w:rsidR="00590FE1" w:rsidRPr="001D5327" w:rsidRDefault="00590FE1" w:rsidP="00403787">
            <w:pPr>
              <w:pStyle w:val="TableText"/>
              <w:spacing w:before="40" w:after="30"/>
              <w:jc w:val="right"/>
              <w:rPr>
                <w:color w:val="000000"/>
              </w:rPr>
            </w:pPr>
            <w:r w:rsidRPr="001D5327">
              <w:rPr>
                <w:rFonts w:cs="Calibri"/>
                <w:color w:val="000000"/>
                <w:szCs w:val="16"/>
              </w:rPr>
              <w:t>6,322.5</w:t>
            </w:r>
          </w:p>
        </w:tc>
        <w:tc>
          <w:tcPr>
            <w:tcW w:w="1701" w:type="dxa"/>
            <w:shd w:val="clear" w:color="auto" w:fill="auto"/>
            <w:vAlign w:val="bottom"/>
            <w:hideMark/>
          </w:tcPr>
          <w:p w14:paraId="33B16886" w14:textId="77777777" w:rsidR="00590FE1" w:rsidRPr="001D5327" w:rsidRDefault="00590FE1" w:rsidP="00403787">
            <w:pPr>
              <w:pStyle w:val="TableText"/>
              <w:spacing w:before="40" w:after="30"/>
              <w:jc w:val="right"/>
              <w:rPr>
                <w:color w:val="000000"/>
              </w:rPr>
            </w:pPr>
            <w:r w:rsidRPr="001D5327">
              <w:rPr>
                <w:rFonts w:cs="Calibri"/>
                <w:color w:val="000000"/>
                <w:szCs w:val="16"/>
              </w:rPr>
              <w:t>1,653.5</w:t>
            </w:r>
          </w:p>
        </w:tc>
        <w:tc>
          <w:tcPr>
            <w:tcW w:w="1984" w:type="dxa"/>
            <w:shd w:val="clear" w:color="auto" w:fill="auto"/>
            <w:vAlign w:val="bottom"/>
            <w:hideMark/>
          </w:tcPr>
          <w:p w14:paraId="3803B5FF" w14:textId="77777777" w:rsidR="00590FE1" w:rsidRPr="001D5327" w:rsidRDefault="00590FE1" w:rsidP="00403787">
            <w:pPr>
              <w:pStyle w:val="TableText"/>
              <w:spacing w:before="40" w:after="30"/>
              <w:jc w:val="right"/>
              <w:rPr>
                <w:color w:val="000000"/>
              </w:rPr>
            </w:pPr>
            <w:r w:rsidRPr="001D5327">
              <w:rPr>
                <w:rFonts w:cs="Calibri"/>
                <w:color w:val="000000"/>
                <w:szCs w:val="16"/>
              </w:rPr>
              <w:t>35.4</w:t>
            </w:r>
          </w:p>
        </w:tc>
      </w:tr>
      <w:tr w:rsidR="00590FE1" w:rsidRPr="001D5327" w14:paraId="253434F2" w14:textId="77777777" w:rsidTr="00403787">
        <w:tc>
          <w:tcPr>
            <w:tcW w:w="993" w:type="dxa"/>
            <w:vMerge/>
            <w:vAlign w:val="center"/>
            <w:hideMark/>
          </w:tcPr>
          <w:p w14:paraId="50CD2710" w14:textId="77777777" w:rsidR="00590FE1" w:rsidRPr="001D5327" w:rsidRDefault="00590FE1" w:rsidP="00403787">
            <w:pPr>
              <w:pStyle w:val="TableText"/>
              <w:spacing w:before="40" w:after="30"/>
              <w:rPr>
                <w:color w:val="000000"/>
              </w:rPr>
            </w:pPr>
          </w:p>
        </w:tc>
        <w:tc>
          <w:tcPr>
            <w:tcW w:w="2126" w:type="dxa"/>
            <w:shd w:val="clear" w:color="auto" w:fill="auto"/>
            <w:vAlign w:val="center"/>
            <w:hideMark/>
          </w:tcPr>
          <w:p w14:paraId="696082C7" w14:textId="70E51B10" w:rsidR="00590FE1" w:rsidRPr="001D5327" w:rsidRDefault="00025F58" w:rsidP="00403787">
            <w:pPr>
              <w:pStyle w:val="TableText"/>
              <w:spacing w:before="40" w:after="30"/>
              <w:rPr>
                <w:color w:val="000000"/>
              </w:rPr>
            </w:pPr>
            <w:r w:rsidRPr="007C4307">
              <w:rPr>
                <w:rFonts w:cs="Calibri"/>
                <w:color w:val="000000"/>
                <w:szCs w:val="16"/>
              </w:rPr>
              <w:t>2024 (1990</w:t>
            </w:r>
            <w:r>
              <w:rPr>
                <w:rFonts w:cs="Calibri"/>
                <w:color w:val="000000"/>
                <w:szCs w:val="16"/>
              </w:rPr>
              <w:t>–</w:t>
            </w:r>
            <w:r w:rsidRPr="007C4307">
              <w:rPr>
                <w:rFonts w:cs="Calibri"/>
                <w:color w:val="000000"/>
                <w:szCs w:val="16"/>
              </w:rPr>
              <w:t>2022)</w:t>
            </w:r>
            <w:r w:rsidR="00590FE1" w:rsidRPr="001D5327">
              <w:rPr>
                <w:rFonts w:cs="Calibri"/>
                <w:color w:val="000000"/>
                <w:szCs w:val="16"/>
              </w:rPr>
              <w:t xml:space="preserve"> emissions estimate </w:t>
            </w:r>
            <w:r w:rsidR="00590FE1" w:rsidRPr="001D5327">
              <w:rPr>
                <w:rFonts w:cs="Calibri"/>
                <w:i/>
                <w:iCs/>
                <w:color w:val="000000"/>
                <w:szCs w:val="16"/>
              </w:rPr>
              <w:t>with</w:t>
            </w:r>
            <w:r w:rsidR="00590FE1" w:rsidRPr="001D5327">
              <w:rPr>
                <w:rFonts w:cs="Calibri"/>
                <w:color w:val="000000"/>
                <w:szCs w:val="16"/>
              </w:rPr>
              <w:t xml:space="preserve"> </w:t>
            </w:r>
            <w:r w:rsidR="00590FE1" w:rsidRPr="001D5327">
              <w:rPr>
                <w:rFonts w:cs="Calibri"/>
                <w:i/>
                <w:iCs/>
                <w:color w:val="000000"/>
                <w:szCs w:val="16"/>
              </w:rPr>
              <w:t>improvement</w:t>
            </w:r>
          </w:p>
        </w:tc>
        <w:tc>
          <w:tcPr>
            <w:tcW w:w="850" w:type="dxa"/>
            <w:shd w:val="clear" w:color="auto" w:fill="auto"/>
            <w:vAlign w:val="bottom"/>
            <w:hideMark/>
          </w:tcPr>
          <w:p w14:paraId="3685FC29" w14:textId="77777777" w:rsidR="00590FE1" w:rsidRPr="001D5327" w:rsidRDefault="00590FE1" w:rsidP="00403787">
            <w:pPr>
              <w:pStyle w:val="TableText"/>
              <w:spacing w:before="40" w:after="30"/>
              <w:jc w:val="right"/>
              <w:rPr>
                <w:color w:val="000000"/>
              </w:rPr>
            </w:pPr>
            <w:r w:rsidRPr="001D5327">
              <w:rPr>
                <w:rFonts w:cs="Calibri"/>
                <w:color w:val="000000"/>
                <w:szCs w:val="16"/>
              </w:rPr>
              <w:t>4,669.2</w:t>
            </w:r>
          </w:p>
        </w:tc>
        <w:tc>
          <w:tcPr>
            <w:tcW w:w="851" w:type="dxa"/>
            <w:shd w:val="clear" w:color="auto" w:fill="auto"/>
            <w:vAlign w:val="bottom"/>
            <w:hideMark/>
          </w:tcPr>
          <w:p w14:paraId="4D279200" w14:textId="77777777" w:rsidR="00590FE1" w:rsidRPr="001D5327" w:rsidRDefault="00590FE1" w:rsidP="00403787">
            <w:pPr>
              <w:pStyle w:val="TableText"/>
              <w:spacing w:before="40" w:after="30"/>
              <w:jc w:val="right"/>
              <w:rPr>
                <w:color w:val="000000"/>
              </w:rPr>
            </w:pPr>
            <w:r w:rsidRPr="001D5327">
              <w:rPr>
                <w:rFonts w:cs="Calibri"/>
                <w:color w:val="000000"/>
                <w:szCs w:val="16"/>
              </w:rPr>
              <w:t>6,322.6</w:t>
            </w:r>
          </w:p>
        </w:tc>
        <w:tc>
          <w:tcPr>
            <w:tcW w:w="1701" w:type="dxa"/>
            <w:shd w:val="clear" w:color="auto" w:fill="auto"/>
            <w:vAlign w:val="bottom"/>
            <w:hideMark/>
          </w:tcPr>
          <w:p w14:paraId="0218F36E" w14:textId="77777777" w:rsidR="00590FE1" w:rsidRPr="001D5327" w:rsidRDefault="00590FE1" w:rsidP="00403787">
            <w:pPr>
              <w:pStyle w:val="TableText"/>
              <w:spacing w:before="40" w:after="30"/>
              <w:jc w:val="right"/>
              <w:rPr>
                <w:color w:val="000000"/>
              </w:rPr>
            </w:pPr>
            <w:r w:rsidRPr="001D5327">
              <w:rPr>
                <w:rFonts w:cs="Calibri"/>
                <w:color w:val="000000"/>
                <w:szCs w:val="16"/>
              </w:rPr>
              <w:t>1,653.4</w:t>
            </w:r>
          </w:p>
        </w:tc>
        <w:tc>
          <w:tcPr>
            <w:tcW w:w="1984" w:type="dxa"/>
            <w:shd w:val="clear" w:color="auto" w:fill="auto"/>
            <w:vAlign w:val="bottom"/>
            <w:hideMark/>
          </w:tcPr>
          <w:p w14:paraId="123F65E1" w14:textId="77777777" w:rsidR="00590FE1" w:rsidRPr="001D5327" w:rsidRDefault="00590FE1" w:rsidP="00403787">
            <w:pPr>
              <w:pStyle w:val="TableText"/>
              <w:spacing w:before="40" w:after="30"/>
              <w:jc w:val="right"/>
              <w:rPr>
                <w:color w:val="000000"/>
              </w:rPr>
            </w:pPr>
            <w:r w:rsidRPr="001D5327">
              <w:rPr>
                <w:rFonts w:cs="Calibri"/>
                <w:color w:val="000000"/>
                <w:szCs w:val="16"/>
              </w:rPr>
              <w:t>35.4</w:t>
            </w:r>
          </w:p>
        </w:tc>
      </w:tr>
      <w:tr w:rsidR="00590FE1" w:rsidRPr="001D5327" w14:paraId="4282CF1C" w14:textId="77777777" w:rsidTr="00403787">
        <w:tc>
          <w:tcPr>
            <w:tcW w:w="993" w:type="dxa"/>
            <w:vMerge/>
            <w:vAlign w:val="center"/>
            <w:hideMark/>
          </w:tcPr>
          <w:p w14:paraId="5EDFE7FA" w14:textId="77777777" w:rsidR="00590FE1" w:rsidRPr="001D5327" w:rsidRDefault="00590FE1" w:rsidP="00403787">
            <w:pPr>
              <w:pStyle w:val="TableText"/>
              <w:spacing w:before="40" w:after="30"/>
              <w:rPr>
                <w:color w:val="000000"/>
              </w:rPr>
            </w:pPr>
          </w:p>
        </w:tc>
        <w:tc>
          <w:tcPr>
            <w:tcW w:w="2126" w:type="dxa"/>
            <w:shd w:val="clear" w:color="auto" w:fill="auto"/>
            <w:vAlign w:val="center"/>
            <w:hideMark/>
          </w:tcPr>
          <w:p w14:paraId="4ED34746" w14:textId="77777777" w:rsidR="00590FE1" w:rsidRPr="001D5327" w:rsidRDefault="00590FE1" w:rsidP="00403787">
            <w:pPr>
              <w:pStyle w:val="TableText"/>
              <w:spacing w:before="40" w:after="30"/>
              <w:rPr>
                <w:color w:val="000000"/>
              </w:rPr>
            </w:pPr>
            <w:r w:rsidRPr="001D5327">
              <w:rPr>
                <w:rFonts w:cs="Calibri"/>
                <w:color w:val="000000"/>
                <w:szCs w:val="16"/>
              </w:rPr>
              <w:t>Difference in emissions estimates</w:t>
            </w:r>
          </w:p>
        </w:tc>
        <w:tc>
          <w:tcPr>
            <w:tcW w:w="850" w:type="dxa"/>
            <w:shd w:val="clear" w:color="auto" w:fill="auto"/>
            <w:vAlign w:val="bottom"/>
            <w:hideMark/>
          </w:tcPr>
          <w:p w14:paraId="1A622006" w14:textId="77777777" w:rsidR="00590FE1" w:rsidRPr="001D5327" w:rsidRDefault="00590FE1" w:rsidP="00403787">
            <w:pPr>
              <w:pStyle w:val="TableText"/>
              <w:spacing w:before="40" w:after="30"/>
              <w:jc w:val="right"/>
              <w:rPr>
                <w:color w:val="000000"/>
              </w:rPr>
            </w:pPr>
            <w:r w:rsidRPr="001D5327">
              <w:rPr>
                <w:rFonts w:cs="Calibri"/>
                <w:color w:val="000000"/>
                <w:szCs w:val="16"/>
              </w:rPr>
              <w:t>0.2</w:t>
            </w:r>
          </w:p>
        </w:tc>
        <w:tc>
          <w:tcPr>
            <w:tcW w:w="851" w:type="dxa"/>
            <w:shd w:val="clear" w:color="auto" w:fill="auto"/>
            <w:vAlign w:val="bottom"/>
            <w:hideMark/>
          </w:tcPr>
          <w:p w14:paraId="4173469E" w14:textId="77777777" w:rsidR="00590FE1" w:rsidRPr="001D5327" w:rsidRDefault="00590FE1" w:rsidP="00403787">
            <w:pPr>
              <w:pStyle w:val="TableText"/>
              <w:spacing w:before="40" w:after="30"/>
              <w:jc w:val="right"/>
              <w:rPr>
                <w:color w:val="000000"/>
              </w:rPr>
            </w:pPr>
            <w:r w:rsidRPr="001D5327">
              <w:rPr>
                <w:rFonts w:cs="Calibri"/>
                <w:color w:val="000000"/>
                <w:szCs w:val="16"/>
              </w:rPr>
              <w:t>0.1</w:t>
            </w:r>
          </w:p>
        </w:tc>
        <w:tc>
          <w:tcPr>
            <w:tcW w:w="1701" w:type="dxa"/>
            <w:shd w:val="clear" w:color="auto" w:fill="auto"/>
            <w:vAlign w:val="bottom"/>
            <w:hideMark/>
          </w:tcPr>
          <w:p w14:paraId="7E68FD54" w14:textId="77777777" w:rsidR="00590FE1" w:rsidRPr="001D5327" w:rsidRDefault="00590FE1" w:rsidP="00403787">
            <w:pPr>
              <w:pStyle w:val="TableText"/>
              <w:spacing w:before="40" w:after="30"/>
              <w:jc w:val="right"/>
              <w:rPr>
                <w:color w:val="000000"/>
              </w:rPr>
            </w:pPr>
            <w:r w:rsidRPr="001D5327">
              <w:rPr>
                <w:rFonts w:cs="Calibri"/>
                <w:color w:val="000000"/>
                <w:szCs w:val="16"/>
              </w:rPr>
              <w:t> </w:t>
            </w:r>
          </w:p>
        </w:tc>
        <w:tc>
          <w:tcPr>
            <w:tcW w:w="1984" w:type="dxa"/>
            <w:shd w:val="clear" w:color="auto" w:fill="auto"/>
            <w:vAlign w:val="bottom"/>
            <w:hideMark/>
          </w:tcPr>
          <w:p w14:paraId="1CCB68DE" w14:textId="77777777" w:rsidR="00590FE1" w:rsidRPr="001D5327" w:rsidRDefault="00590FE1" w:rsidP="00403787">
            <w:pPr>
              <w:pStyle w:val="TableText"/>
              <w:spacing w:before="40" w:after="30"/>
              <w:jc w:val="right"/>
              <w:rPr>
                <w:color w:val="000000"/>
              </w:rPr>
            </w:pPr>
            <w:r w:rsidRPr="001D5327">
              <w:rPr>
                <w:rFonts w:cs="Calibri"/>
                <w:color w:val="000000"/>
                <w:szCs w:val="16"/>
              </w:rPr>
              <w:t> </w:t>
            </w:r>
          </w:p>
        </w:tc>
      </w:tr>
      <w:tr w:rsidR="00590FE1" w:rsidRPr="001D5327" w14:paraId="7C32E8A6" w14:textId="77777777" w:rsidTr="00403787">
        <w:tc>
          <w:tcPr>
            <w:tcW w:w="993" w:type="dxa"/>
            <w:vMerge/>
            <w:vAlign w:val="center"/>
            <w:hideMark/>
          </w:tcPr>
          <w:p w14:paraId="2F50436F" w14:textId="77777777" w:rsidR="00590FE1" w:rsidRPr="001D5327" w:rsidRDefault="00590FE1" w:rsidP="00403787">
            <w:pPr>
              <w:pStyle w:val="TableText"/>
              <w:spacing w:before="40" w:after="30"/>
              <w:rPr>
                <w:color w:val="000000"/>
              </w:rPr>
            </w:pPr>
          </w:p>
        </w:tc>
        <w:tc>
          <w:tcPr>
            <w:tcW w:w="2126" w:type="dxa"/>
            <w:shd w:val="clear" w:color="auto" w:fill="auto"/>
            <w:vAlign w:val="center"/>
            <w:hideMark/>
          </w:tcPr>
          <w:p w14:paraId="3537C022" w14:textId="77777777" w:rsidR="00590FE1" w:rsidRPr="001D5327" w:rsidRDefault="00590FE1" w:rsidP="00403787">
            <w:pPr>
              <w:pStyle w:val="TableText"/>
              <w:spacing w:before="40" w:after="30"/>
              <w:rPr>
                <w:color w:val="000000"/>
              </w:rPr>
            </w:pPr>
            <w:r w:rsidRPr="001D5327">
              <w:rPr>
                <w:rFonts w:cs="Calibri"/>
                <w:color w:val="000000"/>
                <w:szCs w:val="16"/>
              </w:rPr>
              <w:t>Percentage difference in emissions estimates (%)</w:t>
            </w:r>
          </w:p>
        </w:tc>
        <w:tc>
          <w:tcPr>
            <w:tcW w:w="850" w:type="dxa"/>
            <w:shd w:val="clear" w:color="auto" w:fill="auto"/>
            <w:vAlign w:val="bottom"/>
            <w:hideMark/>
          </w:tcPr>
          <w:p w14:paraId="36D2A4C8" w14:textId="77777777" w:rsidR="00590FE1" w:rsidRPr="001D5327" w:rsidRDefault="00590FE1" w:rsidP="00403787">
            <w:pPr>
              <w:pStyle w:val="TableText"/>
              <w:spacing w:before="40" w:after="30"/>
              <w:jc w:val="right"/>
              <w:rPr>
                <w:color w:val="000000"/>
              </w:rPr>
            </w:pPr>
            <w:r w:rsidRPr="001D5327">
              <w:rPr>
                <w:rFonts w:cs="Calibri"/>
                <w:color w:val="000000"/>
                <w:szCs w:val="16"/>
              </w:rPr>
              <w:t>0.0</w:t>
            </w:r>
          </w:p>
        </w:tc>
        <w:tc>
          <w:tcPr>
            <w:tcW w:w="851" w:type="dxa"/>
            <w:shd w:val="clear" w:color="auto" w:fill="auto"/>
            <w:vAlign w:val="bottom"/>
            <w:hideMark/>
          </w:tcPr>
          <w:p w14:paraId="4A084A9F" w14:textId="77777777" w:rsidR="00590FE1" w:rsidRPr="001D5327" w:rsidRDefault="00590FE1" w:rsidP="00403787">
            <w:pPr>
              <w:pStyle w:val="TableText"/>
              <w:spacing w:before="40" w:after="30"/>
              <w:jc w:val="right"/>
              <w:rPr>
                <w:color w:val="000000"/>
              </w:rPr>
            </w:pPr>
            <w:r w:rsidRPr="001D5327">
              <w:rPr>
                <w:rFonts w:cs="Calibri"/>
                <w:color w:val="000000"/>
                <w:szCs w:val="16"/>
              </w:rPr>
              <w:t>0.0</w:t>
            </w:r>
          </w:p>
        </w:tc>
        <w:tc>
          <w:tcPr>
            <w:tcW w:w="1701" w:type="dxa"/>
            <w:shd w:val="clear" w:color="auto" w:fill="auto"/>
            <w:vAlign w:val="bottom"/>
            <w:hideMark/>
          </w:tcPr>
          <w:p w14:paraId="3B2397EB" w14:textId="77777777" w:rsidR="00590FE1" w:rsidRPr="001D5327" w:rsidRDefault="00590FE1" w:rsidP="00403787">
            <w:pPr>
              <w:pStyle w:val="TableText"/>
              <w:spacing w:before="40" w:after="30"/>
              <w:jc w:val="right"/>
              <w:rPr>
                <w:color w:val="000000"/>
              </w:rPr>
            </w:pPr>
            <w:r w:rsidRPr="001D5327">
              <w:rPr>
                <w:rFonts w:cs="Calibri"/>
                <w:color w:val="000000"/>
                <w:szCs w:val="16"/>
              </w:rPr>
              <w:t> </w:t>
            </w:r>
          </w:p>
        </w:tc>
        <w:tc>
          <w:tcPr>
            <w:tcW w:w="1984" w:type="dxa"/>
            <w:shd w:val="clear" w:color="auto" w:fill="auto"/>
            <w:vAlign w:val="bottom"/>
            <w:hideMark/>
          </w:tcPr>
          <w:p w14:paraId="5F87EA43" w14:textId="77777777" w:rsidR="00590FE1" w:rsidRPr="001D5327" w:rsidRDefault="00590FE1" w:rsidP="00403787">
            <w:pPr>
              <w:pStyle w:val="TableText"/>
              <w:spacing w:before="40" w:after="30"/>
              <w:jc w:val="right"/>
              <w:rPr>
                <w:color w:val="000000"/>
              </w:rPr>
            </w:pPr>
            <w:r w:rsidRPr="001D5327">
              <w:rPr>
                <w:rFonts w:cs="Calibri"/>
                <w:color w:val="000000"/>
                <w:szCs w:val="16"/>
              </w:rPr>
              <w:t> </w:t>
            </w:r>
          </w:p>
        </w:tc>
      </w:tr>
    </w:tbl>
    <w:p w14:paraId="4814201D" w14:textId="77777777" w:rsidR="00590FE1" w:rsidRPr="001D5327" w:rsidRDefault="00590FE1" w:rsidP="00590FE1">
      <w:pPr>
        <w:pStyle w:val="Noteundertable"/>
        <w:rPr>
          <w:rFonts w:cs="Calibri"/>
        </w:rPr>
      </w:pPr>
      <w:r w:rsidRPr="001D5327">
        <w:rPr>
          <w:rFonts w:cs="Calibri"/>
          <w:b/>
          <w:bCs/>
        </w:rPr>
        <w:lastRenderedPageBreak/>
        <w:t>Note:</w:t>
      </w:r>
      <w:r w:rsidRPr="001D5327">
        <w:rPr>
          <w:rFonts w:cs="Calibri"/>
          <w:b/>
          <w:bCs/>
        </w:rPr>
        <w:tab/>
      </w:r>
      <w:r w:rsidRPr="001D5327">
        <w:rPr>
          <w:rFonts w:cs="Calibri"/>
        </w:rPr>
        <w:t>Columns may not sum due to rounding. Percentages presented are calculated from unrounded values.</w:t>
      </w:r>
    </w:p>
    <w:p w14:paraId="4720E375" w14:textId="77777777" w:rsidR="00590FE1" w:rsidRPr="001D5327" w:rsidRDefault="00590FE1" w:rsidP="00590FE1">
      <w:pPr>
        <w:pStyle w:val="Heading5"/>
      </w:pPr>
      <w:r w:rsidRPr="001D5327">
        <w:t xml:space="preserve">Updating deer population and productivity statistics </w:t>
      </w:r>
    </w:p>
    <w:p w14:paraId="53C2E10F" w14:textId="77777777" w:rsidR="00590FE1" w:rsidRPr="001D5327" w:rsidRDefault="00590FE1" w:rsidP="00590FE1">
      <w:pPr>
        <w:pStyle w:val="BodyText"/>
        <w:spacing w:before="100" w:after="100"/>
        <w:rPr>
          <w:rFonts w:cs="Calibri"/>
          <w:color w:val="000000"/>
          <w:shd w:val="clear" w:color="auto" w:fill="FFFFFF"/>
        </w:rPr>
      </w:pPr>
      <w:r w:rsidRPr="001D5327">
        <w:t>The updates to deer population and productivity statistics caused emissions from the Agricultural soils category to decrease by 1.2 kt CO</w:t>
      </w:r>
      <w:r w:rsidRPr="001D5327">
        <w:rPr>
          <w:vertAlign w:val="subscript"/>
        </w:rPr>
        <w:t>2</w:t>
      </w:r>
      <w:r w:rsidRPr="001D5327">
        <w:t>-e in 1990 and 5.2 kt CO</w:t>
      </w:r>
      <w:r w:rsidRPr="001D5327">
        <w:rPr>
          <w:vertAlign w:val="subscript"/>
        </w:rPr>
        <w:t>2</w:t>
      </w:r>
      <w:r w:rsidRPr="001D5327">
        <w:t xml:space="preserve">-e in 2022 (see table 5.5.15). </w:t>
      </w:r>
      <w:r w:rsidRPr="001D5327">
        <w:rPr>
          <w:color w:val="000000"/>
          <w:shd w:val="clear" w:color="auto" w:fill="FFFFFF"/>
        </w:rPr>
        <w:t xml:space="preserve">For more </w:t>
      </w:r>
      <w:r w:rsidRPr="001D5327">
        <w:rPr>
          <w:rFonts w:cs="Calibri"/>
          <w:color w:val="000000"/>
          <w:shd w:val="clear" w:color="auto" w:fill="FFFFFF"/>
        </w:rPr>
        <w:t>detail</w:t>
      </w:r>
      <w:r w:rsidRPr="001D5327">
        <w:rPr>
          <w:color w:val="000000"/>
          <w:shd w:val="clear" w:color="auto" w:fill="FFFFFF"/>
        </w:rPr>
        <w:t xml:space="preserve"> on </w:t>
      </w:r>
      <w:r w:rsidRPr="001D5327">
        <w:rPr>
          <w:rFonts w:cs="Calibri"/>
          <w:color w:val="000000"/>
          <w:shd w:val="clear" w:color="auto" w:fill="FFFFFF"/>
        </w:rPr>
        <w:t>these changes,</w:t>
      </w:r>
      <w:r w:rsidRPr="001D5327">
        <w:rPr>
          <w:color w:val="000000"/>
          <w:shd w:val="clear" w:color="auto" w:fill="FFFFFF"/>
        </w:rPr>
        <w:t xml:space="preserve"> see section </w:t>
      </w:r>
      <w:r w:rsidRPr="001D5327">
        <w:rPr>
          <w:rFonts w:cs="Calibri"/>
          <w:color w:val="000000"/>
          <w:shd w:val="clear" w:color="auto" w:fill="FFFFFF"/>
        </w:rPr>
        <w:t xml:space="preserve">5.2.5. </w:t>
      </w:r>
    </w:p>
    <w:p w14:paraId="7640E951" w14:textId="77777777" w:rsidR="00590FE1" w:rsidRPr="001D5327" w:rsidRDefault="00590FE1" w:rsidP="00590FE1">
      <w:pPr>
        <w:pStyle w:val="Table"/>
        <w:spacing w:before="240"/>
        <w:rPr>
          <w:rFonts w:cs="Calibri"/>
        </w:rPr>
      </w:pPr>
      <w:bookmarkStart w:id="1327" w:name="_Toc127458282"/>
      <w:bookmarkStart w:id="1328" w:name="_Toc131591378"/>
      <w:bookmarkStart w:id="1329" w:name="_Toc160114471"/>
      <w:bookmarkStart w:id="1330" w:name="_Toc164153867"/>
      <w:bookmarkStart w:id="1331" w:name="_Toc194241739"/>
      <w:r w:rsidRPr="001D5327">
        <w:rPr>
          <w:rFonts w:cs="Calibri"/>
        </w:rPr>
        <w:t>Table 5.5.15</w:t>
      </w:r>
      <w:r w:rsidRPr="001D5327">
        <w:rPr>
          <w:rFonts w:cs="Calibri"/>
        </w:rPr>
        <w:tab/>
        <w:t>Comparison of emissions from </w:t>
      </w:r>
      <w:r w:rsidRPr="001D5327">
        <w:rPr>
          <w:rFonts w:cs="Calibri"/>
          <w:i/>
        </w:rPr>
        <w:t>Agricultural soils</w:t>
      </w:r>
      <w:bookmarkEnd w:id="1327"/>
      <w:bookmarkEnd w:id="1328"/>
      <w:bookmarkEnd w:id="1329"/>
      <w:bookmarkEnd w:id="1330"/>
      <w:r w:rsidRPr="001D5327">
        <w:rPr>
          <w:rFonts w:cs="Calibri"/>
          <w:i/>
          <w:iCs/>
        </w:rPr>
        <w:t xml:space="preserve"> </w:t>
      </w:r>
      <w:r w:rsidRPr="001D5327">
        <w:rPr>
          <w:rFonts w:cs="Calibri"/>
        </w:rPr>
        <w:t>using the updated deer population and productivity statistics</w:t>
      </w:r>
      <w:bookmarkEnd w:id="1331"/>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4A0" w:firstRow="1" w:lastRow="0" w:firstColumn="1" w:lastColumn="0" w:noHBand="0" w:noVBand="1"/>
      </w:tblPr>
      <w:tblGrid>
        <w:gridCol w:w="993"/>
        <w:gridCol w:w="2126"/>
        <w:gridCol w:w="850"/>
        <w:gridCol w:w="851"/>
        <w:gridCol w:w="1701"/>
        <w:gridCol w:w="1984"/>
      </w:tblGrid>
      <w:tr w:rsidR="00590FE1" w:rsidRPr="001D5327" w14:paraId="07F029F3" w14:textId="77777777" w:rsidTr="00403787">
        <w:trPr>
          <w:tblHeader/>
        </w:trPr>
        <w:tc>
          <w:tcPr>
            <w:tcW w:w="993" w:type="dxa"/>
            <w:shd w:val="clear" w:color="000000" w:fill="1B556B"/>
            <w:vAlign w:val="bottom"/>
          </w:tcPr>
          <w:p w14:paraId="3343C5B5" w14:textId="77777777" w:rsidR="00590FE1" w:rsidRPr="001D5327" w:rsidRDefault="00590FE1" w:rsidP="00403787">
            <w:pPr>
              <w:pStyle w:val="TableText"/>
              <w:keepNext/>
              <w:spacing w:before="40" w:after="30"/>
              <w:rPr>
                <w:color w:val="FFFFFF" w:themeColor="background1"/>
              </w:rPr>
            </w:pPr>
          </w:p>
        </w:tc>
        <w:tc>
          <w:tcPr>
            <w:tcW w:w="2126" w:type="dxa"/>
            <w:shd w:val="clear" w:color="000000" w:fill="1B556B"/>
            <w:vAlign w:val="bottom"/>
          </w:tcPr>
          <w:p w14:paraId="4A047F34" w14:textId="77777777" w:rsidR="00590FE1" w:rsidRPr="001D5327" w:rsidRDefault="00590FE1" w:rsidP="00403787">
            <w:pPr>
              <w:pStyle w:val="TableText"/>
              <w:keepNext/>
              <w:spacing w:before="40" w:after="30"/>
              <w:rPr>
                <w:color w:val="FFFFFF" w:themeColor="background1"/>
              </w:rPr>
            </w:pPr>
          </w:p>
        </w:tc>
        <w:tc>
          <w:tcPr>
            <w:tcW w:w="850" w:type="dxa"/>
            <w:shd w:val="clear" w:color="000000" w:fill="1B556B"/>
            <w:vAlign w:val="bottom"/>
            <w:hideMark/>
          </w:tcPr>
          <w:p w14:paraId="2990CE8D" w14:textId="77777777" w:rsidR="00590FE1" w:rsidRPr="001D5327" w:rsidRDefault="00590FE1" w:rsidP="00403787">
            <w:pPr>
              <w:pStyle w:val="TableText"/>
              <w:keepNext/>
              <w:spacing w:before="40" w:after="30"/>
              <w:jc w:val="right"/>
              <w:rPr>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51" w:type="dxa"/>
            <w:shd w:val="clear" w:color="000000" w:fill="1B556B"/>
            <w:vAlign w:val="bottom"/>
            <w:hideMark/>
          </w:tcPr>
          <w:p w14:paraId="3350B6D6" w14:textId="77777777" w:rsidR="00590FE1" w:rsidRPr="001D5327" w:rsidRDefault="00590FE1" w:rsidP="00403787">
            <w:pPr>
              <w:pStyle w:val="TableText"/>
              <w:keepNext/>
              <w:spacing w:before="40" w:after="30"/>
              <w:jc w:val="right"/>
              <w:rPr>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701" w:type="dxa"/>
            <w:shd w:val="clear" w:color="000000" w:fill="1B556B"/>
            <w:vAlign w:val="bottom"/>
            <w:hideMark/>
          </w:tcPr>
          <w:p w14:paraId="3A8311C0" w14:textId="77777777" w:rsidR="00590FE1" w:rsidRPr="001D5327" w:rsidRDefault="00590FE1" w:rsidP="00403787">
            <w:pPr>
              <w:pStyle w:val="TableText"/>
              <w:keepNext/>
              <w:spacing w:before="40" w:after="30"/>
              <w:jc w:val="right"/>
              <w:rPr>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984" w:type="dxa"/>
            <w:shd w:val="clear" w:color="000000" w:fill="1B556B"/>
            <w:vAlign w:val="bottom"/>
            <w:hideMark/>
          </w:tcPr>
          <w:p w14:paraId="514CBCB4" w14:textId="77777777" w:rsidR="00590FE1" w:rsidRPr="001D5327" w:rsidRDefault="00590FE1" w:rsidP="00403787">
            <w:pPr>
              <w:pStyle w:val="TableText"/>
              <w:keepNext/>
              <w:spacing w:before="40" w:after="30"/>
              <w:jc w:val="right"/>
              <w:rPr>
                <w:color w:val="FFFFFF" w:themeColor="background1"/>
              </w:rPr>
            </w:pPr>
            <w:r w:rsidRPr="001D5327">
              <w:rPr>
                <w:rFonts w:cs="Calibri"/>
                <w:b/>
                <w:bCs/>
                <w:color w:val="FFFFFF"/>
                <w:szCs w:val="16"/>
              </w:rPr>
              <w:t>Percentage change in emission outputs between 1990 and 2022 (%)</w:t>
            </w:r>
          </w:p>
        </w:tc>
      </w:tr>
      <w:tr w:rsidR="00590FE1" w:rsidRPr="001D5327" w14:paraId="75173DE6" w14:textId="77777777" w:rsidTr="00403787">
        <w:tc>
          <w:tcPr>
            <w:tcW w:w="993" w:type="dxa"/>
            <w:vMerge w:val="restart"/>
            <w:shd w:val="clear" w:color="auto" w:fill="auto"/>
            <w:vAlign w:val="center"/>
            <w:hideMark/>
          </w:tcPr>
          <w:p w14:paraId="2385F99D" w14:textId="77777777" w:rsidR="00590FE1" w:rsidRPr="001D5327" w:rsidRDefault="00590FE1" w:rsidP="00403787">
            <w:pPr>
              <w:pStyle w:val="TableText"/>
              <w:keepNext/>
              <w:spacing w:before="40" w:after="30"/>
              <w:rPr>
                <w:color w:val="000000"/>
              </w:rPr>
            </w:pPr>
            <w:r w:rsidRPr="001D5327">
              <w:rPr>
                <w:color w:val="000000"/>
              </w:rPr>
              <w:t xml:space="preserve">Total emissions from </w:t>
            </w:r>
            <w:r w:rsidRPr="001D5327">
              <w:rPr>
                <w:i/>
                <w:color w:val="000000"/>
              </w:rPr>
              <w:t>Agricultural soils</w:t>
            </w:r>
            <w:r w:rsidRPr="001D5327">
              <w:rPr>
                <w:color w:val="000000"/>
              </w:rPr>
              <w:t xml:space="preserve"> </w:t>
            </w:r>
          </w:p>
        </w:tc>
        <w:tc>
          <w:tcPr>
            <w:tcW w:w="2126" w:type="dxa"/>
            <w:shd w:val="clear" w:color="auto" w:fill="auto"/>
            <w:vAlign w:val="center"/>
            <w:hideMark/>
          </w:tcPr>
          <w:p w14:paraId="65C5C790" w14:textId="77777777" w:rsidR="00590FE1" w:rsidRPr="001D5327" w:rsidRDefault="00590FE1" w:rsidP="00403787">
            <w:pPr>
              <w:pStyle w:val="TableText"/>
              <w:keepNext/>
              <w:spacing w:before="40" w:after="30"/>
              <w:rPr>
                <w:color w:val="000000"/>
              </w:rPr>
            </w:pPr>
            <w:r w:rsidRPr="001D5327">
              <w:rPr>
                <w:rFonts w:cs="Calibri"/>
                <w:color w:val="000000"/>
                <w:szCs w:val="16"/>
              </w:rPr>
              <w:t>2024 (1990–2022) emissions estimate</w:t>
            </w:r>
          </w:p>
        </w:tc>
        <w:tc>
          <w:tcPr>
            <w:tcW w:w="850" w:type="dxa"/>
            <w:shd w:val="clear" w:color="auto" w:fill="auto"/>
            <w:vAlign w:val="bottom"/>
            <w:hideMark/>
          </w:tcPr>
          <w:p w14:paraId="6F85BCBF" w14:textId="77777777" w:rsidR="00590FE1" w:rsidRPr="001D5327" w:rsidRDefault="00590FE1" w:rsidP="00403787">
            <w:pPr>
              <w:pStyle w:val="TableText"/>
              <w:keepNext/>
              <w:spacing w:before="40" w:after="30"/>
              <w:jc w:val="right"/>
              <w:rPr>
                <w:color w:val="000000"/>
              </w:rPr>
            </w:pPr>
            <w:r w:rsidRPr="001D5327">
              <w:rPr>
                <w:rFonts w:cs="Calibri"/>
                <w:color w:val="000000"/>
                <w:szCs w:val="16"/>
              </w:rPr>
              <w:t>4,669.0</w:t>
            </w:r>
          </w:p>
        </w:tc>
        <w:tc>
          <w:tcPr>
            <w:tcW w:w="851" w:type="dxa"/>
            <w:shd w:val="clear" w:color="auto" w:fill="auto"/>
            <w:vAlign w:val="bottom"/>
            <w:hideMark/>
          </w:tcPr>
          <w:p w14:paraId="78A6D8A1" w14:textId="77777777" w:rsidR="00590FE1" w:rsidRPr="001D5327" w:rsidRDefault="00590FE1" w:rsidP="00403787">
            <w:pPr>
              <w:pStyle w:val="TableText"/>
              <w:keepNext/>
              <w:spacing w:before="40" w:after="30"/>
              <w:jc w:val="right"/>
              <w:rPr>
                <w:color w:val="000000"/>
              </w:rPr>
            </w:pPr>
            <w:r w:rsidRPr="001D5327">
              <w:rPr>
                <w:rFonts w:cs="Calibri"/>
                <w:color w:val="000000"/>
                <w:szCs w:val="16"/>
              </w:rPr>
              <w:t>6,322.5</w:t>
            </w:r>
          </w:p>
        </w:tc>
        <w:tc>
          <w:tcPr>
            <w:tcW w:w="1701" w:type="dxa"/>
            <w:shd w:val="clear" w:color="auto" w:fill="auto"/>
            <w:vAlign w:val="bottom"/>
            <w:hideMark/>
          </w:tcPr>
          <w:p w14:paraId="33D19266" w14:textId="77777777" w:rsidR="00590FE1" w:rsidRPr="001D5327" w:rsidRDefault="00590FE1" w:rsidP="00403787">
            <w:pPr>
              <w:pStyle w:val="TableText"/>
              <w:keepNext/>
              <w:spacing w:before="40" w:after="30"/>
              <w:jc w:val="right"/>
              <w:rPr>
                <w:color w:val="000000"/>
              </w:rPr>
            </w:pPr>
            <w:r w:rsidRPr="001D5327">
              <w:rPr>
                <w:rFonts w:cs="Calibri"/>
                <w:color w:val="000000"/>
                <w:szCs w:val="16"/>
              </w:rPr>
              <w:t>1,653.5</w:t>
            </w:r>
          </w:p>
        </w:tc>
        <w:tc>
          <w:tcPr>
            <w:tcW w:w="1984" w:type="dxa"/>
            <w:shd w:val="clear" w:color="auto" w:fill="auto"/>
            <w:vAlign w:val="bottom"/>
            <w:hideMark/>
          </w:tcPr>
          <w:p w14:paraId="09EA1AEA" w14:textId="77777777" w:rsidR="00590FE1" w:rsidRPr="001D5327" w:rsidRDefault="00590FE1" w:rsidP="00403787">
            <w:pPr>
              <w:pStyle w:val="TableText"/>
              <w:keepNext/>
              <w:spacing w:before="40" w:after="30"/>
              <w:jc w:val="right"/>
              <w:rPr>
                <w:color w:val="000000"/>
              </w:rPr>
            </w:pPr>
            <w:r w:rsidRPr="001D5327">
              <w:rPr>
                <w:rFonts w:cs="Calibri"/>
                <w:color w:val="000000"/>
                <w:szCs w:val="16"/>
              </w:rPr>
              <w:t>35.4</w:t>
            </w:r>
          </w:p>
        </w:tc>
      </w:tr>
      <w:tr w:rsidR="00590FE1" w:rsidRPr="001D5327" w14:paraId="081E0BE0" w14:textId="77777777" w:rsidTr="00403787">
        <w:tc>
          <w:tcPr>
            <w:tcW w:w="993" w:type="dxa"/>
            <w:vMerge/>
            <w:vAlign w:val="center"/>
            <w:hideMark/>
          </w:tcPr>
          <w:p w14:paraId="17AE97EB" w14:textId="77777777" w:rsidR="00590FE1" w:rsidRPr="001D5327" w:rsidRDefault="00590FE1" w:rsidP="00403787">
            <w:pPr>
              <w:pStyle w:val="TableText"/>
              <w:keepNext/>
              <w:spacing w:before="40" w:after="30"/>
              <w:rPr>
                <w:color w:val="000000"/>
              </w:rPr>
            </w:pPr>
          </w:p>
        </w:tc>
        <w:tc>
          <w:tcPr>
            <w:tcW w:w="2126" w:type="dxa"/>
            <w:shd w:val="clear" w:color="auto" w:fill="auto"/>
            <w:vAlign w:val="center"/>
            <w:hideMark/>
          </w:tcPr>
          <w:p w14:paraId="2006D37C" w14:textId="40E9CF9D" w:rsidR="00590FE1" w:rsidRPr="001D5327" w:rsidRDefault="00937A8B" w:rsidP="00403787">
            <w:pPr>
              <w:pStyle w:val="TableText"/>
              <w:keepNext/>
              <w:spacing w:before="40" w:after="30"/>
              <w:rPr>
                <w:color w:val="000000"/>
              </w:rPr>
            </w:pPr>
            <w:r w:rsidRPr="007C4307">
              <w:rPr>
                <w:rFonts w:cs="Calibri"/>
                <w:color w:val="000000"/>
                <w:szCs w:val="16"/>
              </w:rPr>
              <w:t>2024 (1990</w:t>
            </w:r>
            <w:r>
              <w:rPr>
                <w:rFonts w:cs="Calibri"/>
                <w:color w:val="000000"/>
                <w:szCs w:val="16"/>
              </w:rPr>
              <w:t>–</w:t>
            </w:r>
            <w:r w:rsidRPr="007C4307">
              <w:rPr>
                <w:rFonts w:cs="Calibri"/>
                <w:color w:val="000000"/>
                <w:szCs w:val="16"/>
              </w:rPr>
              <w:t>2022)</w:t>
            </w:r>
            <w:r w:rsidR="00590FE1" w:rsidRPr="001D5327">
              <w:rPr>
                <w:rFonts w:cs="Calibri"/>
                <w:color w:val="000000"/>
                <w:szCs w:val="16"/>
              </w:rPr>
              <w:t xml:space="preserve"> emissions estimate </w:t>
            </w:r>
            <w:r w:rsidR="00590FE1" w:rsidRPr="001D5327">
              <w:rPr>
                <w:rFonts w:cs="Calibri"/>
                <w:i/>
                <w:iCs/>
                <w:color w:val="000000"/>
                <w:szCs w:val="16"/>
              </w:rPr>
              <w:t>with</w:t>
            </w:r>
            <w:r w:rsidR="00590FE1" w:rsidRPr="001D5327">
              <w:rPr>
                <w:rFonts w:cs="Calibri"/>
                <w:color w:val="000000"/>
                <w:szCs w:val="16"/>
              </w:rPr>
              <w:t xml:space="preserve"> </w:t>
            </w:r>
            <w:r w:rsidR="00590FE1" w:rsidRPr="001D5327">
              <w:rPr>
                <w:rFonts w:cs="Calibri"/>
                <w:i/>
                <w:iCs/>
                <w:color w:val="000000"/>
                <w:szCs w:val="16"/>
              </w:rPr>
              <w:t>improvement</w:t>
            </w:r>
          </w:p>
        </w:tc>
        <w:tc>
          <w:tcPr>
            <w:tcW w:w="850" w:type="dxa"/>
            <w:shd w:val="clear" w:color="auto" w:fill="auto"/>
            <w:vAlign w:val="bottom"/>
            <w:hideMark/>
          </w:tcPr>
          <w:p w14:paraId="40EC0FF8" w14:textId="77777777" w:rsidR="00590FE1" w:rsidRPr="001D5327" w:rsidRDefault="00590FE1" w:rsidP="00403787">
            <w:pPr>
              <w:pStyle w:val="TableText"/>
              <w:keepNext/>
              <w:spacing w:before="40" w:after="30"/>
              <w:jc w:val="right"/>
              <w:rPr>
                <w:color w:val="000000"/>
              </w:rPr>
            </w:pPr>
            <w:r w:rsidRPr="001D5327">
              <w:rPr>
                <w:rFonts w:cs="Calibri"/>
                <w:color w:val="000000"/>
                <w:szCs w:val="16"/>
              </w:rPr>
              <w:t>4,667.8</w:t>
            </w:r>
          </w:p>
        </w:tc>
        <w:tc>
          <w:tcPr>
            <w:tcW w:w="851" w:type="dxa"/>
            <w:shd w:val="clear" w:color="auto" w:fill="auto"/>
            <w:vAlign w:val="bottom"/>
            <w:hideMark/>
          </w:tcPr>
          <w:p w14:paraId="3B2D615B" w14:textId="77777777" w:rsidR="00590FE1" w:rsidRPr="001D5327" w:rsidRDefault="00590FE1" w:rsidP="00403787">
            <w:pPr>
              <w:pStyle w:val="TableText"/>
              <w:keepNext/>
              <w:spacing w:before="40" w:after="30"/>
              <w:jc w:val="right"/>
              <w:rPr>
                <w:color w:val="000000"/>
              </w:rPr>
            </w:pPr>
            <w:r w:rsidRPr="001D5327">
              <w:rPr>
                <w:rFonts w:cs="Calibri"/>
                <w:color w:val="000000"/>
                <w:szCs w:val="16"/>
              </w:rPr>
              <w:t>6,317.3</w:t>
            </w:r>
          </w:p>
        </w:tc>
        <w:tc>
          <w:tcPr>
            <w:tcW w:w="1701" w:type="dxa"/>
            <w:shd w:val="clear" w:color="auto" w:fill="auto"/>
            <w:vAlign w:val="bottom"/>
            <w:hideMark/>
          </w:tcPr>
          <w:p w14:paraId="56FCA5BE" w14:textId="77777777" w:rsidR="00590FE1" w:rsidRPr="001D5327" w:rsidRDefault="00590FE1" w:rsidP="00403787">
            <w:pPr>
              <w:pStyle w:val="TableText"/>
              <w:keepNext/>
              <w:spacing w:before="40" w:after="30"/>
              <w:jc w:val="right"/>
              <w:rPr>
                <w:color w:val="000000"/>
              </w:rPr>
            </w:pPr>
            <w:r w:rsidRPr="001D5327">
              <w:rPr>
                <w:rFonts w:cs="Calibri"/>
                <w:color w:val="000000"/>
                <w:szCs w:val="16"/>
              </w:rPr>
              <w:t>1,649.5</w:t>
            </w:r>
          </w:p>
        </w:tc>
        <w:tc>
          <w:tcPr>
            <w:tcW w:w="1984" w:type="dxa"/>
            <w:shd w:val="clear" w:color="auto" w:fill="auto"/>
            <w:vAlign w:val="bottom"/>
            <w:hideMark/>
          </w:tcPr>
          <w:p w14:paraId="356F4104" w14:textId="77777777" w:rsidR="00590FE1" w:rsidRPr="001D5327" w:rsidRDefault="00590FE1" w:rsidP="00403787">
            <w:pPr>
              <w:pStyle w:val="TableText"/>
              <w:keepNext/>
              <w:spacing w:before="40" w:after="30"/>
              <w:jc w:val="right"/>
              <w:rPr>
                <w:color w:val="000000"/>
              </w:rPr>
            </w:pPr>
            <w:r w:rsidRPr="001D5327">
              <w:rPr>
                <w:rFonts w:cs="Calibri"/>
                <w:color w:val="000000"/>
                <w:szCs w:val="16"/>
              </w:rPr>
              <w:t>35.3</w:t>
            </w:r>
          </w:p>
        </w:tc>
      </w:tr>
      <w:tr w:rsidR="00590FE1" w:rsidRPr="001D5327" w14:paraId="2751CE19" w14:textId="77777777" w:rsidTr="00403787">
        <w:tc>
          <w:tcPr>
            <w:tcW w:w="993" w:type="dxa"/>
            <w:vMerge/>
            <w:vAlign w:val="center"/>
            <w:hideMark/>
          </w:tcPr>
          <w:p w14:paraId="03BA468D" w14:textId="77777777" w:rsidR="00590FE1" w:rsidRPr="001D5327" w:rsidRDefault="00590FE1" w:rsidP="00403787">
            <w:pPr>
              <w:pStyle w:val="TableText"/>
              <w:spacing w:before="40" w:after="30"/>
              <w:rPr>
                <w:color w:val="000000"/>
              </w:rPr>
            </w:pPr>
          </w:p>
        </w:tc>
        <w:tc>
          <w:tcPr>
            <w:tcW w:w="2126" w:type="dxa"/>
            <w:shd w:val="clear" w:color="auto" w:fill="auto"/>
            <w:vAlign w:val="center"/>
            <w:hideMark/>
          </w:tcPr>
          <w:p w14:paraId="1C314F37" w14:textId="77777777" w:rsidR="00590FE1" w:rsidRPr="001D5327" w:rsidRDefault="00590FE1" w:rsidP="00403787">
            <w:pPr>
              <w:pStyle w:val="TableText"/>
              <w:spacing w:before="40" w:after="30"/>
              <w:rPr>
                <w:color w:val="000000"/>
              </w:rPr>
            </w:pPr>
            <w:r w:rsidRPr="001D5327">
              <w:rPr>
                <w:rFonts w:cs="Calibri"/>
                <w:color w:val="000000"/>
                <w:szCs w:val="16"/>
              </w:rPr>
              <w:t>Difference in emissions estimates</w:t>
            </w:r>
          </w:p>
        </w:tc>
        <w:tc>
          <w:tcPr>
            <w:tcW w:w="850" w:type="dxa"/>
            <w:shd w:val="clear" w:color="auto" w:fill="auto"/>
            <w:vAlign w:val="bottom"/>
            <w:hideMark/>
          </w:tcPr>
          <w:p w14:paraId="2AB8A91A" w14:textId="08948F2C" w:rsidR="00590FE1" w:rsidRPr="001D5327" w:rsidRDefault="0070503C" w:rsidP="00403787">
            <w:pPr>
              <w:pStyle w:val="TableText"/>
              <w:spacing w:before="40" w:after="30"/>
              <w:jc w:val="right"/>
              <w:rPr>
                <w:color w:val="000000"/>
              </w:rPr>
            </w:pPr>
            <w:r>
              <w:rPr>
                <w:rFonts w:cs="Calibri"/>
                <w:color w:val="000000"/>
                <w:szCs w:val="16"/>
              </w:rPr>
              <w:t>-</w:t>
            </w:r>
            <w:r w:rsidR="00590FE1" w:rsidRPr="001D5327">
              <w:rPr>
                <w:rFonts w:cs="Calibri"/>
                <w:color w:val="000000"/>
                <w:szCs w:val="16"/>
              </w:rPr>
              <w:t>1.2</w:t>
            </w:r>
          </w:p>
        </w:tc>
        <w:tc>
          <w:tcPr>
            <w:tcW w:w="851" w:type="dxa"/>
            <w:shd w:val="clear" w:color="auto" w:fill="auto"/>
            <w:vAlign w:val="bottom"/>
            <w:hideMark/>
          </w:tcPr>
          <w:p w14:paraId="093C2629" w14:textId="680FD6D5" w:rsidR="00590FE1" w:rsidRPr="001D5327" w:rsidRDefault="0070503C" w:rsidP="00403787">
            <w:pPr>
              <w:pStyle w:val="TableText"/>
              <w:spacing w:before="40" w:after="30"/>
              <w:jc w:val="right"/>
              <w:rPr>
                <w:color w:val="000000"/>
              </w:rPr>
            </w:pPr>
            <w:r>
              <w:rPr>
                <w:rFonts w:cs="Calibri"/>
                <w:color w:val="000000"/>
                <w:szCs w:val="16"/>
              </w:rPr>
              <w:t>-</w:t>
            </w:r>
            <w:r w:rsidR="00590FE1" w:rsidRPr="001D5327">
              <w:rPr>
                <w:rFonts w:cs="Calibri"/>
                <w:color w:val="000000"/>
                <w:szCs w:val="16"/>
              </w:rPr>
              <w:t>5.2</w:t>
            </w:r>
          </w:p>
        </w:tc>
        <w:tc>
          <w:tcPr>
            <w:tcW w:w="1701" w:type="dxa"/>
            <w:shd w:val="clear" w:color="auto" w:fill="auto"/>
            <w:vAlign w:val="bottom"/>
            <w:hideMark/>
          </w:tcPr>
          <w:p w14:paraId="6390B2F5" w14:textId="77777777" w:rsidR="00590FE1" w:rsidRPr="001D5327" w:rsidRDefault="00590FE1" w:rsidP="00403787">
            <w:pPr>
              <w:pStyle w:val="TableText"/>
              <w:spacing w:before="40" w:after="30"/>
              <w:jc w:val="right"/>
              <w:rPr>
                <w:color w:val="000000"/>
              </w:rPr>
            </w:pPr>
            <w:r w:rsidRPr="001D5327">
              <w:rPr>
                <w:rFonts w:cs="Calibri"/>
                <w:color w:val="000000"/>
                <w:szCs w:val="16"/>
              </w:rPr>
              <w:t> </w:t>
            </w:r>
          </w:p>
        </w:tc>
        <w:tc>
          <w:tcPr>
            <w:tcW w:w="1984" w:type="dxa"/>
            <w:shd w:val="clear" w:color="auto" w:fill="auto"/>
            <w:vAlign w:val="bottom"/>
            <w:hideMark/>
          </w:tcPr>
          <w:p w14:paraId="412E4675" w14:textId="77777777" w:rsidR="00590FE1" w:rsidRPr="001D5327" w:rsidRDefault="00590FE1" w:rsidP="00403787">
            <w:pPr>
              <w:pStyle w:val="TableText"/>
              <w:spacing w:before="40" w:after="30"/>
              <w:jc w:val="right"/>
              <w:rPr>
                <w:color w:val="000000"/>
              </w:rPr>
            </w:pPr>
            <w:r w:rsidRPr="001D5327">
              <w:rPr>
                <w:rFonts w:cs="Calibri"/>
                <w:color w:val="000000"/>
                <w:szCs w:val="16"/>
              </w:rPr>
              <w:t> </w:t>
            </w:r>
          </w:p>
        </w:tc>
      </w:tr>
      <w:tr w:rsidR="00590FE1" w:rsidRPr="001D5327" w14:paraId="396192D3" w14:textId="77777777" w:rsidTr="00403787">
        <w:tc>
          <w:tcPr>
            <w:tcW w:w="993" w:type="dxa"/>
            <w:vMerge/>
            <w:vAlign w:val="center"/>
            <w:hideMark/>
          </w:tcPr>
          <w:p w14:paraId="085C5586" w14:textId="77777777" w:rsidR="00590FE1" w:rsidRPr="001D5327" w:rsidRDefault="00590FE1" w:rsidP="00403787">
            <w:pPr>
              <w:pStyle w:val="TableText"/>
              <w:spacing w:before="40" w:after="30"/>
              <w:rPr>
                <w:color w:val="000000"/>
              </w:rPr>
            </w:pPr>
          </w:p>
        </w:tc>
        <w:tc>
          <w:tcPr>
            <w:tcW w:w="2126" w:type="dxa"/>
            <w:shd w:val="clear" w:color="auto" w:fill="auto"/>
            <w:vAlign w:val="center"/>
            <w:hideMark/>
          </w:tcPr>
          <w:p w14:paraId="5949B13F" w14:textId="77777777" w:rsidR="00590FE1" w:rsidRPr="001D5327" w:rsidRDefault="00590FE1" w:rsidP="00403787">
            <w:pPr>
              <w:pStyle w:val="TableText"/>
              <w:spacing w:before="40" w:after="30"/>
              <w:rPr>
                <w:color w:val="000000"/>
              </w:rPr>
            </w:pPr>
            <w:r w:rsidRPr="001D5327">
              <w:rPr>
                <w:rFonts w:cs="Calibri"/>
                <w:color w:val="000000"/>
                <w:szCs w:val="16"/>
              </w:rPr>
              <w:t>Percentage difference in emissions estimates (%)</w:t>
            </w:r>
          </w:p>
        </w:tc>
        <w:tc>
          <w:tcPr>
            <w:tcW w:w="850" w:type="dxa"/>
            <w:shd w:val="clear" w:color="auto" w:fill="auto"/>
            <w:vAlign w:val="bottom"/>
            <w:hideMark/>
          </w:tcPr>
          <w:p w14:paraId="7B21A73C" w14:textId="32062A5C" w:rsidR="00590FE1" w:rsidRPr="001D5327" w:rsidRDefault="0070503C" w:rsidP="00403787">
            <w:pPr>
              <w:pStyle w:val="TableText"/>
              <w:spacing w:before="40" w:after="30"/>
              <w:jc w:val="right"/>
              <w:rPr>
                <w:color w:val="000000"/>
              </w:rPr>
            </w:pPr>
            <w:r>
              <w:rPr>
                <w:rFonts w:cs="Calibri"/>
                <w:color w:val="000000"/>
                <w:szCs w:val="16"/>
              </w:rPr>
              <w:t>-</w:t>
            </w:r>
            <w:r w:rsidR="00590FE1" w:rsidRPr="001D5327">
              <w:rPr>
                <w:rFonts w:cs="Calibri"/>
                <w:color w:val="000000"/>
                <w:szCs w:val="16"/>
              </w:rPr>
              <w:t>0.0</w:t>
            </w:r>
          </w:p>
        </w:tc>
        <w:tc>
          <w:tcPr>
            <w:tcW w:w="851" w:type="dxa"/>
            <w:shd w:val="clear" w:color="auto" w:fill="auto"/>
            <w:vAlign w:val="bottom"/>
            <w:hideMark/>
          </w:tcPr>
          <w:p w14:paraId="55199179" w14:textId="0D34820A" w:rsidR="00590FE1" w:rsidRPr="001D5327" w:rsidRDefault="0070503C" w:rsidP="00403787">
            <w:pPr>
              <w:pStyle w:val="TableText"/>
              <w:spacing w:before="40" w:after="30"/>
              <w:jc w:val="right"/>
              <w:rPr>
                <w:color w:val="000000"/>
              </w:rPr>
            </w:pPr>
            <w:r>
              <w:rPr>
                <w:rFonts w:cs="Calibri"/>
                <w:color w:val="000000"/>
                <w:szCs w:val="16"/>
              </w:rPr>
              <w:t>-</w:t>
            </w:r>
            <w:r w:rsidR="00590FE1" w:rsidRPr="001D5327">
              <w:rPr>
                <w:rFonts w:cs="Calibri"/>
                <w:color w:val="000000"/>
                <w:szCs w:val="16"/>
              </w:rPr>
              <w:t>0.1</w:t>
            </w:r>
          </w:p>
        </w:tc>
        <w:tc>
          <w:tcPr>
            <w:tcW w:w="1701" w:type="dxa"/>
            <w:shd w:val="clear" w:color="auto" w:fill="auto"/>
            <w:vAlign w:val="bottom"/>
            <w:hideMark/>
          </w:tcPr>
          <w:p w14:paraId="50EE9F5B" w14:textId="77777777" w:rsidR="00590FE1" w:rsidRPr="001D5327" w:rsidRDefault="00590FE1" w:rsidP="00403787">
            <w:pPr>
              <w:pStyle w:val="TableText"/>
              <w:spacing w:before="40" w:after="30"/>
              <w:jc w:val="right"/>
              <w:rPr>
                <w:color w:val="000000"/>
              </w:rPr>
            </w:pPr>
            <w:r w:rsidRPr="001D5327">
              <w:rPr>
                <w:rFonts w:cs="Calibri"/>
                <w:color w:val="000000"/>
                <w:szCs w:val="16"/>
              </w:rPr>
              <w:t> </w:t>
            </w:r>
          </w:p>
        </w:tc>
        <w:tc>
          <w:tcPr>
            <w:tcW w:w="1984" w:type="dxa"/>
            <w:shd w:val="clear" w:color="auto" w:fill="auto"/>
            <w:vAlign w:val="bottom"/>
            <w:hideMark/>
          </w:tcPr>
          <w:p w14:paraId="6D643C13" w14:textId="77777777" w:rsidR="00590FE1" w:rsidRPr="001D5327" w:rsidRDefault="00590FE1" w:rsidP="00403787">
            <w:pPr>
              <w:pStyle w:val="TableText"/>
              <w:spacing w:before="40" w:after="30"/>
              <w:jc w:val="right"/>
              <w:rPr>
                <w:color w:val="000000"/>
              </w:rPr>
            </w:pPr>
            <w:r w:rsidRPr="001D5327">
              <w:rPr>
                <w:rFonts w:cs="Calibri"/>
                <w:color w:val="000000"/>
                <w:szCs w:val="16"/>
              </w:rPr>
              <w:t> </w:t>
            </w:r>
          </w:p>
        </w:tc>
      </w:tr>
    </w:tbl>
    <w:p w14:paraId="6F4A6E1C" w14:textId="77777777" w:rsidR="00590FE1" w:rsidRPr="001D5327" w:rsidRDefault="00590FE1" w:rsidP="00590FE1">
      <w:pPr>
        <w:pStyle w:val="Noteundertable"/>
        <w:rPr>
          <w:rFonts w:cs="Calibri"/>
        </w:rPr>
      </w:pPr>
      <w:r w:rsidRPr="001D5327">
        <w:rPr>
          <w:rFonts w:cs="Calibri"/>
          <w:b/>
          <w:bCs/>
        </w:rPr>
        <w:t>Note:</w:t>
      </w:r>
      <w:r w:rsidRPr="001D5327">
        <w:rPr>
          <w:rFonts w:cs="Calibri"/>
        </w:rPr>
        <w:tab/>
        <w:t>Columns may not sum due to rounding. Percentages presented are calculated from unrounded values.</w:t>
      </w:r>
    </w:p>
    <w:p w14:paraId="156F10A0" w14:textId="77777777" w:rsidR="00590FE1" w:rsidRPr="001D5327" w:rsidRDefault="00590FE1" w:rsidP="00590FE1">
      <w:pPr>
        <w:pStyle w:val="Heading5"/>
      </w:pPr>
      <w:r w:rsidRPr="001D5327">
        <w:t>Updating emissions calculations for pigs</w:t>
      </w:r>
    </w:p>
    <w:p w14:paraId="60DD85B1" w14:textId="77777777" w:rsidR="00590FE1" w:rsidRPr="001D5327" w:rsidRDefault="00590FE1" w:rsidP="00590FE1">
      <w:pPr>
        <w:pStyle w:val="BodyText"/>
        <w:spacing w:before="100" w:after="100"/>
        <w:rPr>
          <w:rFonts w:cs="Calibri"/>
          <w:color w:val="000000"/>
          <w:shd w:val="clear" w:color="auto" w:fill="FFFFFF"/>
        </w:rPr>
      </w:pPr>
      <w:r w:rsidRPr="001D5327">
        <w:t>The updates to emissions calculations for pigs caused emissions from the Agricultural soils category to decrease by 3.6 kt CO</w:t>
      </w:r>
      <w:r w:rsidRPr="001D5327">
        <w:rPr>
          <w:vertAlign w:val="subscript"/>
        </w:rPr>
        <w:t>2</w:t>
      </w:r>
      <w:r w:rsidRPr="001D5327">
        <w:t>-e in 1990 and 3.0 kt CO</w:t>
      </w:r>
      <w:r w:rsidRPr="001D5327">
        <w:rPr>
          <w:vertAlign w:val="subscript"/>
        </w:rPr>
        <w:t>2</w:t>
      </w:r>
      <w:r w:rsidRPr="001D5327">
        <w:t xml:space="preserve">-e in 2022 (see table 5.5.16). </w:t>
      </w:r>
      <w:r w:rsidRPr="001D5327">
        <w:rPr>
          <w:color w:val="000000"/>
          <w:shd w:val="clear" w:color="auto" w:fill="FFFFFF"/>
        </w:rPr>
        <w:t xml:space="preserve">For more </w:t>
      </w:r>
      <w:r w:rsidRPr="001D5327">
        <w:rPr>
          <w:rFonts w:cs="Calibri"/>
          <w:color w:val="000000"/>
          <w:shd w:val="clear" w:color="auto" w:fill="FFFFFF"/>
        </w:rPr>
        <w:t>detail</w:t>
      </w:r>
      <w:r w:rsidRPr="001D5327">
        <w:rPr>
          <w:color w:val="000000"/>
          <w:shd w:val="clear" w:color="auto" w:fill="FFFFFF"/>
        </w:rPr>
        <w:t xml:space="preserve"> on </w:t>
      </w:r>
      <w:r w:rsidRPr="001D5327">
        <w:rPr>
          <w:rFonts w:cs="Calibri"/>
          <w:color w:val="000000"/>
          <w:shd w:val="clear" w:color="auto" w:fill="FFFFFF"/>
        </w:rPr>
        <w:t>these changes,</w:t>
      </w:r>
      <w:r w:rsidRPr="001D5327">
        <w:rPr>
          <w:color w:val="000000"/>
          <w:shd w:val="clear" w:color="auto" w:fill="FFFFFF"/>
        </w:rPr>
        <w:t xml:space="preserve"> see section </w:t>
      </w:r>
      <w:r w:rsidRPr="001D5327">
        <w:rPr>
          <w:rFonts w:cs="Calibri"/>
          <w:color w:val="000000"/>
          <w:shd w:val="clear" w:color="auto" w:fill="FFFFFF"/>
        </w:rPr>
        <w:t xml:space="preserve">5.2.5 and section 5.3.5. </w:t>
      </w:r>
    </w:p>
    <w:p w14:paraId="2D5EC0A7" w14:textId="77777777" w:rsidR="00590FE1" w:rsidRPr="001D5327" w:rsidRDefault="00590FE1" w:rsidP="00590FE1">
      <w:pPr>
        <w:pStyle w:val="Table"/>
        <w:spacing w:before="240"/>
        <w:rPr>
          <w:rFonts w:cs="Calibri"/>
        </w:rPr>
      </w:pPr>
      <w:bookmarkStart w:id="1332" w:name="_Toc160114472"/>
      <w:bookmarkStart w:id="1333" w:name="_Toc164153868"/>
      <w:bookmarkStart w:id="1334" w:name="_Toc194241740"/>
      <w:r w:rsidRPr="001D5327">
        <w:rPr>
          <w:rFonts w:cs="Calibri"/>
        </w:rPr>
        <w:t>Table 5.5.16</w:t>
      </w:r>
      <w:r w:rsidRPr="001D5327">
        <w:rPr>
          <w:rFonts w:cs="Calibri"/>
        </w:rPr>
        <w:tab/>
        <w:t>Comparison of emissions from </w:t>
      </w:r>
      <w:r w:rsidRPr="001D5327">
        <w:rPr>
          <w:rFonts w:cs="Calibri"/>
          <w:i/>
        </w:rPr>
        <w:t>Agricultural soils</w:t>
      </w:r>
      <w:bookmarkEnd w:id="1332"/>
      <w:bookmarkEnd w:id="1333"/>
      <w:r w:rsidRPr="001D5327">
        <w:rPr>
          <w:rFonts w:cs="Calibri"/>
          <w:i/>
          <w:iCs/>
        </w:rPr>
        <w:t xml:space="preserve"> </w:t>
      </w:r>
      <w:r w:rsidRPr="001D5327">
        <w:rPr>
          <w:rFonts w:cs="Calibri"/>
        </w:rPr>
        <w:t>using the updated pig calculations</w:t>
      </w:r>
      <w:bookmarkEnd w:id="1334"/>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4A0" w:firstRow="1" w:lastRow="0" w:firstColumn="1" w:lastColumn="0" w:noHBand="0" w:noVBand="1"/>
      </w:tblPr>
      <w:tblGrid>
        <w:gridCol w:w="993"/>
        <w:gridCol w:w="2126"/>
        <w:gridCol w:w="850"/>
        <w:gridCol w:w="851"/>
        <w:gridCol w:w="1701"/>
        <w:gridCol w:w="1984"/>
      </w:tblGrid>
      <w:tr w:rsidR="00590FE1" w:rsidRPr="001D5327" w14:paraId="530BA471" w14:textId="77777777" w:rsidTr="00403787">
        <w:trPr>
          <w:tblHeader/>
        </w:trPr>
        <w:tc>
          <w:tcPr>
            <w:tcW w:w="993" w:type="dxa"/>
            <w:shd w:val="clear" w:color="000000" w:fill="1B556B"/>
            <w:vAlign w:val="bottom"/>
          </w:tcPr>
          <w:p w14:paraId="271188FB" w14:textId="77777777" w:rsidR="00590FE1" w:rsidRPr="001D5327" w:rsidRDefault="00590FE1" w:rsidP="00403787">
            <w:pPr>
              <w:pStyle w:val="TableText"/>
              <w:spacing w:before="40" w:after="40"/>
              <w:rPr>
                <w:color w:val="FFFFFF" w:themeColor="background1"/>
              </w:rPr>
            </w:pPr>
          </w:p>
        </w:tc>
        <w:tc>
          <w:tcPr>
            <w:tcW w:w="2126" w:type="dxa"/>
            <w:shd w:val="clear" w:color="000000" w:fill="1B556B"/>
            <w:vAlign w:val="bottom"/>
          </w:tcPr>
          <w:p w14:paraId="66C0D581" w14:textId="77777777" w:rsidR="00590FE1" w:rsidRPr="001D5327" w:rsidRDefault="00590FE1" w:rsidP="00403787">
            <w:pPr>
              <w:pStyle w:val="TableText"/>
              <w:spacing w:before="40" w:after="40"/>
              <w:rPr>
                <w:color w:val="FFFFFF" w:themeColor="background1"/>
              </w:rPr>
            </w:pPr>
          </w:p>
        </w:tc>
        <w:tc>
          <w:tcPr>
            <w:tcW w:w="850" w:type="dxa"/>
            <w:shd w:val="clear" w:color="000000" w:fill="1B556B"/>
            <w:vAlign w:val="bottom"/>
            <w:hideMark/>
          </w:tcPr>
          <w:p w14:paraId="0ECBAB47" w14:textId="77777777" w:rsidR="00590FE1" w:rsidRPr="001D5327" w:rsidRDefault="00590FE1" w:rsidP="00403787">
            <w:pPr>
              <w:pStyle w:val="TableText"/>
              <w:spacing w:before="40" w:after="40"/>
              <w:jc w:val="right"/>
              <w:rPr>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51" w:type="dxa"/>
            <w:shd w:val="clear" w:color="000000" w:fill="1B556B"/>
            <w:vAlign w:val="bottom"/>
            <w:hideMark/>
          </w:tcPr>
          <w:p w14:paraId="36768E79" w14:textId="77777777" w:rsidR="00590FE1" w:rsidRPr="001D5327" w:rsidRDefault="00590FE1" w:rsidP="00403787">
            <w:pPr>
              <w:pStyle w:val="TableText"/>
              <w:spacing w:before="40" w:after="40"/>
              <w:jc w:val="right"/>
              <w:rPr>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701" w:type="dxa"/>
            <w:shd w:val="clear" w:color="000000" w:fill="1B556B"/>
            <w:vAlign w:val="bottom"/>
            <w:hideMark/>
          </w:tcPr>
          <w:p w14:paraId="7D447CF6" w14:textId="77777777" w:rsidR="00590FE1" w:rsidRPr="001D5327" w:rsidRDefault="00590FE1" w:rsidP="00403787">
            <w:pPr>
              <w:pStyle w:val="TableText"/>
              <w:spacing w:before="40" w:after="40"/>
              <w:jc w:val="right"/>
              <w:rPr>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984" w:type="dxa"/>
            <w:shd w:val="clear" w:color="000000" w:fill="1B556B"/>
            <w:vAlign w:val="bottom"/>
            <w:hideMark/>
          </w:tcPr>
          <w:p w14:paraId="477AF4BC" w14:textId="77777777" w:rsidR="00590FE1" w:rsidRPr="001D5327" w:rsidRDefault="00590FE1" w:rsidP="00403787">
            <w:pPr>
              <w:pStyle w:val="TableText"/>
              <w:spacing w:before="40" w:after="40"/>
              <w:jc w:val="right"/>
              <w:rPr>
                <w:color w:val="FFFFFF" w:themeColor="background1"/>
              </w:rPr>
            </w:pPr>
            <w:r w:rsidRPr="001D5327">
              <w:rPr>
                <w:rFonts w:cs="Calibri"/>
                <w:b/>
                <w:bCs/>
                <w:color w:val="FFFFFF"/>
                <w:szCs w:val="16"/>
              </w:rPr>
              <w:t>Percentage change in emission outputs between 1990 and 2022 (%)</w:t>
            </w:r>
          </w:p>
        </w:tc>
      </w:tr>
      <w:tr w:rsidR="00590FE1" w:rsidRPr="001D5327" w14:paraId="06EA4F16" w14:textId="77777777" w:rsidTr="00403787">
        <w:tc>
          <w:tcPr>
            <w:tcW w:w="993" w:type="dxa"/>
            <w:vMerge w:val="restart"/>
            <w:shd w:val="clear" w:color="auto" w:fill="auto"/>
            <w:vAlign w:val="center"/>
            <w:hideMark/>
          </w:tcPr>
          <w:p w14:paraId="00B05C38" w14:textId="77777777" w:rsidR="00590FE1" w:rsidRPr="001D5327" w:rsidRDefault="00590FE1" w:rsidP="00403787">
            <w:pPr>
              <w:pStyle w:val="TableText"/>
              <w:spacing w:before="40" w:after="40"/>
              <w:rPr>
                <w:color w:val="000000"/>
              </w:rPr>
            </w:pPr>
            <w:r w:rsidRPr="001D5327">
              <w:rPr>
                <w:color w:val="000000"/>
              </w:rPr>
              <w:t xml:space="preserve">Total emissions from </w:t>
            </w:r>
            <w:r w:rsidRPr="001D5327">
              <w:rPr>
                <w:i/>
                <w:color w:val="000000"/>
              </w:rPr>
              <w:t>Agricultural soils</w:t>
            </w:r>
            <w:r w:rsidRPr="001D5327">
              <w:rPr>
                <w:color w:val="000000"/>
              </w:rPr>
              <w:t xml:space="preserve"> </w:t>
            </w:r>
          </w:p>
        </w:tc>
        <w:tc>
          <w:tcPr>
            <w:tcW w:w="2126" w:type="dxa"/>
            <w:shd w:val="clear" w:color="auto" w:fill="auto"/>
            <w:vAlign w:val="center"/>
            <w:hideMark/>
          </w:tcPr>
          <w:p w14:paraId="08CE89AB" w14:textId="77777777" w:rsidR="00590FE1" w:rsidRPr="001D5327" w:rsidRDefault="00590FE1" w:rsidP="00403787">
            <w:pPr>
              <w:pStyle w:val="TableText"/>
              <w:spacing w:before="40" w:after="40"/>
              <w:rPr>
                <w:color w:val="000000"/>
              </w:rPr>
            </w:pPr>
            <w:r w:rsidRPr="001D5327">
              <w:rPr>
                <w:rFonts w:cs="Calibri"/>
                <w:color w:val="000000"/>
                <w:szCs w:val="16"/>
              </w:rPr>
              <w:t>2024 (1990–2022) emissions estimate</w:t>
            </w:r>
          </w:p>
        </w:tc>
        <w:tc>
          <w:tcPr>
            <w:tcW w:w="850" w:type="dxa"/>
            <w:shd w:val="clear" w:color="auto" w:fill="auto"/>
            <w:vAlign w:val="bottom"/>
            <w:hideMark/>
          </w:tcPr>
          <w:p w14:paraId="768416DF" w14:textId="77777777" w:rsidR="00590FE1" w:rsidRPr="001D5327" w:rsidRDefault="00590FE1" w:rsidP="00403787">
            <w:pPr>
              <w:pStyle w:val="TableText"/>
              <w:spacing w:before="40" w:after="40"/>
              <w:jc w:val="right"/>
              <w:rPr>
                <w:color w:val="000000"/>
              </w:rPr>
            </w:pPr>
            <w:r w:rsidRPr="001D5327">
              <w:rPr>
                <w:rFonts w:cs="Calibri"/>
                <w:color w:val="000000"/>
                <w:szCs w:val="16"/>
              </w:rPr>
              <w:t>4,669.0</w:t>
            </w:r>
          </w:p>
        </w:tc>
        <w:tc>
          <w:tcPr>
            <w:tcW w:w="851" w:type="dxa"/>
            <w:shd w:val="clear" w:color="auto" w:fill="auto"/>
            <w:vAlign w:val="bottom"/>
            <w:hideMark/>
          </w:tcPr>
          <w:p w14:paraId="446E65BB" w14:textId="77777777" w:rsidR="00590FE1" w:rsidRPr="001D5327" w:rsidRDefault="00590FE1" w:rsidP="00403787">
            <w:pPr>
              <w:pStyle w:val="TableText"/>
              <w:spacing w:before="40" w:after="40"/>
              <w:jc w:val="right"/>
              <w:rPr>
                <w:color w:val="000000"/>
              </w:rPr>
            </w:pPr>
            <w:r w:rsidRPr="001D5327">
              <w:rPr>
                <w:rFonts w:cs="Calibri"/>
                <w:color w:val="000000"/>
                <w:szCs w:val="16"/>
              </w:rPr>
              <w:t>6,322.5</w:t>
            </w:r>
          </w:p>
        </w:tc>
        <w:tc>
          <w:tcPr>
            <w:tcW w:w="1701" w:type="dxa"/>
            <w:shd w:val="clear" w:color="auto" w:fill="auto"/>
            <w:vAlign w:val="bottom"/>
            <w:hideMark/>
          </w:tcPr>
          <w:p w14:paraId="5A418AC7" w14:textId="77777777" w:rsidR="00590FE1" w:rsidRPr="001D5327" w:rsidRDefault="00590FE1" w:rsidP="00403787">
            <w:pPr>
              <w:pStyle w:val="TableText"/>
              <w:spacing w:before="40" w:after="40"/>
              <w:jc w:val="right"/>
              <w:rPr>
                <w:color w:val="000000"/>
              </w:rPr>
            </w:pPr>
            <w:r w:rsidRPr="001D5327">
              <w:rPr>
                <w:rFonts w:cs="Calibri"/>
                <w:color w:val="000000"/>
                <w:szCs w:val="16"/>
              </w:rPr>
              <w:t>1,653.5</w:t>
            </w:r>
          </w:p>
        </w:tc>
        <w:tc>
          <w:tcPr>
            <w:tcW w:w="1984" w:type="dxa"/>
            <w:shd w:val="clear" w:color="auto" w:fill="auto"/>
            <w:vAlign w:val="bottom"/>
            <w:hideMark/>
          </w:tcPr>
          <w:p w14:paraId="1F75D7F3" w14:textId="77777777" w:rsidR="00590FE1" w:rsidRPr="001D5327" w:rsidRDefault="00590FE1" w:rsidP="00403787">
            <w:pPr>
              <w:pStyle w:val="TableText"/>
              <w:spacing w:before="40" w:after="40"/>
              <w:jc w:val="right"/>
              <w:rPr>
                <w:color w:val="000000"/>
              </w:rPr>
            </w:pPr>
            <w:r w:rsidRPr="001D5327">
              <w:rPr>
                <w:rFonts w:cs="Calibri"/>
                <w:color w:val="000000"/>
                <w:szCs w:val="16"/>
              </w:rPr>
              <w:t>35.4</w:t>
            </w:r>
          </w:p>
        </w:tc>
      </w:tr>
      <w:tr w:rsidR="00590FE1" w:rsidRPr="001D5327" w14:paraId="5C69AF52" w14:textId="77777777" w:rsidTr="00403787">
        <w:tc>
          <w:tcPr>
            <w:tcW w:w="993" w:type="dxa"/>
            <w:vMerge/>
            <w:vAlign w:val="center"/>
            <w:hideMark/>
          </w:tcPr>
          <w:p w14:paraId="65E8AF3E" w14:textId="77777777" w:rsidR="00590FE1" w:rsidRPr="001D5327" w:rsidRDefault="00590FE1" w:rsidP="00403787">
            <w:pPr>
              <w:pStyle w:val="TableText"/>
              <w:spacing w:before="40" w:after="40"/>
              <w:rPr>
                <w:color w:val="000000"/>
              </w:rPr>
            </w:pPr>
          </w:p>
        </w:tc>
        <w:tc>
          <w:tcPr>
            <w:tcW w:w="2126" w:type="dxa"/>
            <w:shd w:val="clear" w:color="auto" w:fill="auto"/>
            <w:vAlign w:val="center"/>
            <w:hideMark/>
          </w:tcPr>
          <w:p w14:paraId="2A97DCD4" w14:textId="14CDF41A" w:rsidR="00590FE1" w:rsidRPr="001D5327" w:rsidRDefault="005F14E1" w:rsidP="00403787">
            <w:pPr>
              <w:pStyle w:val="TableText"/>
              <w:spacing w:before="40" w:after="40"/>
              <w:rPr>
                <w:color w:val="000000"/>
              </w:rPr>
            </w:pPr>
            <w:r w:rsidRPr="007C4307">
              <w:rPr>
                <w:rFonts w:cs="Calibri"/>
                <w:color w:val="000000"/>
                <w:szCs w:val="16"/>
              </w:rPr>
              <w:t>2024 (1990</w:t>
            </w:r>
            <w:r>
              <w:rPr>
                <w:rFonts w:cs="Calibri"/>
                <w:color w:val="000000"/>
                <w:szCs w:val="16"/>
              </w:rPr>
              <w:t>–</w:t>
            </w:r>
            <w:r w:rsidRPr="007C4307">
              <w:rPr>
                <w:rFonts w:cs="Calibri"/>
                <w:color w:val="000000"/>
                <w:szCs w:val="16"/>
              </w:rPr>
              <w:t>2022)</w:t>
            </w:r>
            <w:r w:rsidR="00590FE1" w:rsidRPr="001D5327">
              <w:rPr>
                <w:rFonts w:cs="Calibri"/>
                <w:color w:val="000000"/>
                <w:szCs w:val="16"/>
              </w:rPr>
              <w:t xml:space="preserve"> emissions estimate </w:t>
            </w:r>
            <w:r w:rsidR="00590FE1" w:rsidRPr="001D5327">
              <w:rPr>
                <w:rFonts w:cs="Calibri"/>
                <w:i/>
                <w:iCs/>
                <w:color w:val="000000"/>
                <w:szCs w:val="16"/>
              </w:rPr>
              <w:t>with</w:t>
            </w:r>
            <w:r w:rsidR="00590FE1" w:rsidRPr="001D5327">
              <w:rPr>
                <w:rFonts w:cs="Calibri"/>
                <w:color w:val="000000"/>
                <w:szCs w:val="16"/>
              </w:rPr>
              <w:t xml:space="preserve"> </w:t>
            </w:r>
            <w:r w:rsidR="00590FE1" w:rsidRPr="001D5327">
              <w:rPr>
                <w:rFonts w:cs="Calibri"/>
                <w:i/>
                <w:iCs/>
                <w:color w:val="000000"/>
                <w:szCs w:val="16"/>
              </w:rPr>
              <w:t>improvement</w:t>
            </w:r>
          </w:p>
        </w:tc>
        <w:tc>
          <w:tcPr>
            <w:tcW w:w="850" w:type="dxa"/>
            <w:shd w:val="clear" w:color="auto" w:fill="auto"/>
            <w:vAlign w:val="bottom"/>
            <w:hideMark/>
          </w:tcPr>
          <w:p w14:paraId="1EFF7BCC" w14:textId="77777777" w:rsidR="00590FE1" w:rsidRPr="001D5327" w:rsidRDefault="00590FE1" w:rsidP="00403787">
            <w:pPr>
              <w:pStyle w:val="TableText"/>
              <w:spacing w:before="40" w:after="40"/>
              <w:jc w:val="right"/>
              <w:rPr>
                <w:color w:val="000000"/>
              </w:rPr>
            </w:pPr>
            <w:r w:rsidRPr="001D5327">
              <w:rPr>
                <w:rFonts w:cs="Calibri"/>
                <w:color w:val="000000"/>
                <w:szCs w:val="16"/>
              </w:rPr>
              <w:t>4,665.4</w:t>
            </w:r>
          </w:p>
        </w:tc>
        <w:tc>
          <w:tcPr>
            <w:tcW w:w="851" w:type="dxa"/>
            <w:shd w:val="clear" w:color="auto" w:fill="auto"/>
            <w:vAlign w:val="bottom"/>
            <w:hideMark/>
          </w:tcPr>
          <w:p w14:paraId="4A3CFF3A" w14:textId="77777777" w:rsidR="00590FE1" w:rsidRPr="001D5327" w:rsidRDefault="00590FE1" w:rsidP="00403787">
            <w:pPr>
              <w:pStyle w:val="TableText"/>
              <w:spacing w:before="40" w:after="40"/>
              <w:jc w:val="right"/>
              <w:rPr>
                <w:color w:val="000000"/>
              </w:rPr>
            </w:pPr>
            <w:r w:rsidRPr="001D5327">
              <w:rPr>
                <w:rFonts w:cs="Calibri"/>
                <w:color w:val="000000"/>
                <w:szCs w:val="16"/>
              </w:rPr>
              <w:t>6,319.5</w:t>
            </w:r>
          </w:p>
        </w:tc>
        <w:tc>
          <w:tcPr>
            <w:tcW w:w="1701" w:type="dxa"/>
            <w:shd w:val="clear" w:color="auto" w:fill="auto"/>
            <w:vAlign w:val="bottom"/>
            <w:hideMark/>
          </w:tcPr>
          <w:p w14:paraId="21181DCD" w14:textId="77777777" w:rsidR="00590FE1" w:rsidRPr="001D5327" w:rsidRDefault="00590FE1" w:rsidP="00403787">
            <w:pPr>
              <w:pStyle w:val="TableText"/>
              <w:spacing w:before="40" w:after="40"/>
              <w:jc w:val="right"/>
              <w:rPr>
                <w:color w:val="000000"/>
              </w:rPr>
            </w:pPr>
            <w:r w:rsidRPr="001D5327">
              <w:rPr>
                <w:rFonts w:cs="Calibri"/>
                <w:color w:val="000000"/>
                <w:szCs w:val="16"/>
              </w:rPr>
              <w:t>1,654.2</w:t>
            </w:r>
          </w:p>
        </w:tc>
        <w:tc>
          <w:tcPr>
            <w:tcW w:w="1984" w:type="dxa"/>
            <w:shd w:val="clear" w:color="auto" w:fill="auto"/>
            <w:vAlign w:val="bottom"/>
            <w:hideMark/>
          </w:tcPr>
          <w:p w14:paraId="353C111F" w14:textId="77777777" w:rsidR="00590FE1" w:rsidRPr="001D5327" w:rsidRDefault="00590FE1" w:rsidP="00403787">
            <w:pPr>
              <w:pStyle w:val="TableText"/>
              <w:spacing w:before="40" w:after="40"/>
              <w:jc w:val="right"/>
              <w:rPr>
                <w:color w:val="000000"/>
              </w:rPr>
            </w:pPr>
            <w:r w:rsidRPr="001D5327">
              <w:rPr>
                <w:rFonts w:cs="Calibri"/>
                <w:color w:val="000000"/>
                <w:szCs w:val="16"/>
              </w:rPr>
              <w:t>35.5</w:t>
            </w:r>
          </w:p>
        </w:tc>
      </w:tr>
      <w:tr w:rsidR="00590FE1" w:rsidRPr="001D5327" w14:paraId="5D595D3B" w14:textId="77777777" w:rsidTr="00403787">
        <w:tc>
          <w:tcPr>
            <w:tcW w:w="993" w:type="dxa"/>
            <w:vMerge/>
            <w:vAlign w:val="center"/>
            <w:hideMark/>
          </w:tcPr>
          <w:p w14:paraId="5D77CD8E" w14:textId="77777777" w:rsidR="00590FE1" w:rsidRPr="001D5327" w:rsidRDefault="00590FE1" w:rsidP="00403787">
            <w:pPr>
              <w:pStyle w:val="TableText"/>
              <w:spacing w:before="40" w:after="40"/>
              <w:rPr>
                <w:color w:val="000000"/>
              </w:rPr>
            </w:pPr>
          </w:p>
        </w:tc>
        <w:tc>
          <w:tcPr>
            <w:tcW w:w="2126" w:type="dxa"/>
            <w:shd w:val="clear" w:color="auto" w:fill="auto"/>
            <w:vAlign w:val="center"/>
            <w:hideMark/>
          </w:tcPr>
          <w:p w14:paraId="5815A896" w14:textId="77777777" w:rsidR="00590FE1" w:rsidRPr="001D5327" w:rsidRDefault="00590FE1" w:rsidP="00403787">
            <w:pPr>
              <w:pStyle w:val="TableText"/>
              <w:spacing w:before="40" w:after="40"/>
              <w:rPr>
                <w:color w:val="000000"/>
              </w:rPr>
            </w:pPr>
            <w:r w:rsidRPr="001D5327">
              <w:rPr>
                <w:rFonts w:cs="Calibri"/>
                <w:color w:val="000000"/>
                <w:szCs w:val="16"/>
              </w:rPr>
              <w:t>Difference in emissions estimates</w:t>
            </w:r>
          </w:p>
        </w:tc>
        <w:tc>
          <w:tcPr>
            <w:tcW w:w="850" w:type="dxa"/>
            <w:shd w:val="clear" w:color="auto" w:fill="auto"/>
            <w:vAlign w:val="bottom"/>
            <w:hideMark/>
          </w:tcPr>
          <w:p w14:paraId="51F160D3" w14:textId="2B2D9AC7"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3.6</w:t>
            </w:r>
          </w:p>
        </w:tc>
        <w:tc>
          <w:tcPr>
            <w:tcW w:w="851" w:type="dxa"/>
            <w:shd w:val="clear" w:color="auto" w:fill="auto"/>
            <w:vAlign w:val="bottom"/>
            <w:hideMark/>
          </w:tcPr>
          <w:p w14:paraId="341C72CB" w14:textId="42674064"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3.0</w:t>
            </w:r>
          </w:p>
        </w:tc>
        <w:tc>
          <w:tcPr>
            <w:tcW w:w="1701" w:type="dxa"/>
            <w:shd w:val="clear" w:color="auto" w:fill="auto"/>
            <w:vAlign w:val="bottom"/>
            <w:hideMark/>
          </w:tcPr>
          <w:p w14:paraId="426C9E0D"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984" w:type="dxa"/>
            <w:shd w:val="clear" w:color="auto" w:fill="auto"/>
            <w:vAlign w:val="bottom"/>
            <w:hideMark/>
          </w:tcPr>
          <w:p w14:paraId="5BF83D6D"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r w:rsidR="00590FE1" w:rsidRPr="001D5327" w14:paraId="6EC0A38F" w14:textId="77777777" w:rsidTr="00403787">
        <w:tc>
          <w:tcPr>
            <w:tcW w:w="993" w:type="dxa"/>
            <w:vMerge/>
            <w:vAlign w:val="center"/>
            <w:hideMark/>
          </w:tcPr>
          <w:p w14:paraId="485A8A15" w14:textId="77777777" w:rsidR="00590FE1" w:rsidRPr="001D5327" w:rsidRDefault="00590FE1" w:rsidP="00403787">
            <w:pPr>
              <w:pStyle w:val="TableText"/>
              <w:spacing w:before="40" w:after="40"/>
              <w:rPr>
                <w:color w:val="000000"/>
              </w:rPr>
            </w:pPr>
          </w:p>
        </w:tc>
        <w:tc>
          <w:tcPr>
            <w:tcW w:w="2126" w:type="dxa"/>
            <w:shd w:val="clear" w:color="auto" w:fill="auto"/>
            <w:vAlign w:val="center"/>
            <w:hideMark/>
          </w:tcPr>
          <w:p w14:paraId="547025D0" w14:textId="77777777" w:rsidR="00590FE1" w:rsidRPr="001D5327" w:rsidRDefault="00590FE1" w:rsidP="00403787">
            <w:pPr>
              <w:pStyle w:val="TableText"/>
              <w:spacing w:before="40" w:after="40"/>
              <w:rPr>
                <w:color w:val="000000"/>
              </w:rPr>
            </w:pPr>
            <w:r w:rsidRPr="001D5327">
              <w:rPr>
                <w:rFonts w:cs="Calibri"/>
                <w:color w:val="000000"/>
                <w:szCs w:val="16"/>
              </w:rPr>
              <w:t>Percentage difference in emissions estimates (%)</w:t>
            </w:r>
          </w:p>
        </w:tc>
        <w:tc>
          <w:tcPr>
            <w:tcW w:w="850" w:type="dxa"/>
            <w:shd w:val="clear" w:color="auto" w:fill="auto"/>
            <w:vAlign w:val="bottom"/>
            <w:hideMark/>
          </w:tcPr>
          <w:p w14:paraId="6D6782C3" w14:textId="3436B66E"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0.1</w:t>
            </w:r>
          </w:p>
        </w:tc>
        <w:tc>
          <w:tcPr>
            <w:tcW w:w="851" w:type="dxa"/>
            <w:shd w:val="clear" w:color="auto" w:fill="auto"/>
            <w:vAlign w:val="bottom"/>
            <w:hideMark/>
          </w:tcPr>
          <w:p w14:paraId="371069C0" w14:textId="7C909378"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0.1</w:t>
            </w:r>
          </w:p>
        </w:tc>
        <w:tc>
          <w:tcPr>
            <w:tcW w:w="1701" w:type="dxa"/>
            <w:shd w:val="clear" w:color="auto" w:fill="auto"/>
            <w:vAlign w:val="bottom"/>
            <w:hideMark/>
          </w:tcPr>
          <w:p w14:paraId="0BB5CEC8"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984" w:type="dxa"/>
            <w:shd w:val="clear" w:color="auto" w:fill="auto"/>
            <w:vAlign w:val="bottom"/>
            <w:hideMark/>
          </w:tcPr>
          <w:p w14:paraId="58CA94F0"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bl>
    <w:p w14:paraId="6F4FA61F" w14:textId="77777777" w:rsidR="00590FE1" w:rsidRPr="001D5327" w:rsidRDefault="00590FE1" w:rsidP="00590FE1">
      <w:pPr>
        <w:pStyle w:val="Noteundertable"/>
        <w:rPr>
          <w:rFonts w:cs="Calibri"/>
        </w:rPr>
      </w:pPr>
      <w:r w:rsidRPr="001D5327">
        <w:rPr>
          <w:rFonts w:cs="Calibri"/>
          <w:b/>
          <w:bCs/>
        </w:rPr>
        <w:t>Note:</w:t>
      </w:r>
      <w:r w:rsidRPr="001D5327">
        <w:rPr>
          <w:rFonts w:cs="Calibri"/>
        </w:rPr>
        <w:tab/>
        <w:t>Columns may not sum due to rounding. Percentages presented are calculated from unrounded values.</w:t>
      </w:r>
    </w:p>
    <w:p w14:paraId="5DA4F928" w14:textId="77777777" w:rsidR="00590FE1" w:rsidRPr="001D5327" w:rsidRDefault="00590FE1" w:rsidP="00590FE1">
      <w:pPr>
        <w:pStyle w:val="Heading5"/>
      </w:pPr>
      <w:r w:rsidRPr="001D5327">
        <w:t>Seasonality of wool growth</w:t>
      </w:r>
    </w:p>
    <w:p w14:paraId="1CF76427" w14:textId="77777777" w:rsidR="00590FE1" w:rsidRPr="001D5327" w:rsidRDefault="00590FE1" w:rsidP="00590FE1">
      <w:pPr>
        <w:pStyle w:val="BodyText"/>
        <w:spacing w:before="100" w:after="100"/>
        <w:rPr>
          <w:rFonts w:cs="Calibri"/>
          <w:color w:val="000000"/>
          <w:shd w:val="clear" w:color="auto" w:fill="FFFFFF"/>
        </w:rPr>
      </w:pPr>
      <w:r w:rsidRPr="001D5327">
        <w:t>The updates to monthly wool calculations caused emissions from the Agricultural soils category to decrease by 17.8 kt CO</w:t>
      </w:r>
      <w:r w:rsidRPr="001D5327">
        <w:rPr>
          <w:vertAlign w:val="subscript"/>
        </w:rPr>
        <w:t>2</w:t>
      </w:r>
      <w:r w:rsidRPr="001D5327">
        <w:t>-e in 1990 and 15.5 kt CO</w:t>
      </w:r>
      <w:r w:rsidRPr="001D5327">
        <w:rPr>
          <w:vertAlign w:val="subscript"/>
        </w:rPr>
        <w:t>2</w:t>
      </w:r>
      <w:r w:rsidRPr="001D5327">
        <w:t xml:space="preserve">-e in 2022 (see table 5.5.17). </w:t>
      </w:r>
      <w:r w:rsidRPr="001D5327">
        <w:rPr>
          <w:color w:val="000000"/>
          <w:shd w:val="clear" w:color="auto" w:fill="FFFFFF"/>
        </w:rPr>
        <w:t xml:space="preserve">For more </w:t>
      </w:r>
      <w:r w:rsidRPr="001D5327">
        <w:rPr>
          <w:rFonts w:cs="Calibri"/>
          <w:color w:val="000000"/>
          <w:shd w:val="clear" w:color="auto" w:fill="FFFFFF"/>
        </w:rPr>
        <w:t>detail</w:t>
      </w:r>
      <w:r w:rsidRPr="001D5327">
        <w:rPr>
          <w:color w:val="000000"/>
          <w:shd w:val="clear" w:color="auto" w:fill="FFFFFF"/>
        </w:rPr>
        <w:t xml:space="preserve"> on </w:t>
      </w:r>
      <w:r w:rsidRPr="001D5327">
        <w:rPr>
          <w:rFonts w:cs="Calibri"/>
          <w:color w:val="000000"/>
          <w:shd w:val="clear" w:color="auto" w:fill="FFFFFF"/>
        </w:rPr>
        <w:t>these changes,</w:t>
      </w:r>
      <w:r w:rsidRPr="001D5327">
        <w:rPr>
          <w:color w:val="000000"/>
          <w:shd w:val="clear" w:color="auto" w:fill="FFFFFF"/>
        </w:rPr>
        <w:t xml:space="preserve"> see section </w:t>
      </w:r>
      <w:r w:rsidRPr="001D5327">
        <w:rPr>
          <w:rFonts w:cs="Calibri"/>
          <w:color w:val="000000"/>
          <w:shd w:val="clear" w:color="auto" w:fill="FFFFFF"/>
        </w:rPr>
        <w:t xml:space="preserve">5.2.5. </w:t>
      </w:r>
    </w:p>
    <w:p w14:paraId="59C9DFDE" w14:textId="77777777" w:rsidR="00590FE1" w:rsidRPr="001D5327" w:rsidRDefault="00590FE1" w:rsidP="00590FE1">
      <w:pPr>
        <w:pStyle w:val="Table"/>
        <w:rPr>
          <w:rFonts w:cs="Calibri"/>
        </w:rPr>
      </w:pPr>
      <w:bookmarkStart w:id="1335" w:name="_Toc160114473"/>
      <w:bookmarkStart w:id="1336" w:name="_Toc164153869"/>
      <w:bookmarkStart w:id="1337" w:name="_Toc194241741"/>
      <w:r w:rsidRPr="001D5327">
        <w:rPr>
          <w:rFonts w:cs="Calibri"/>
        </w:rPr>
        <w:lastRenderedPageBreak/>
        <w:t>Table 5.5.17</w:t>
      </w:r>
      <w:r w:rsidRPr="001D5327">
        <w:rPr>
          <w:rFonts w:cs="Calibri"/>
        </w:rPr>
        <w:tab/>
        <w:t>Comparison of emissions from </w:t>
      </w:r>
      <w:r w:rsidRPr="001D5327">
        <w:rPr>
          <w:rFonts w:cs="Calibri"/>
          <w:i/>
        </w:rPr>
        <w:t>Agricultural soils</w:t>
      </w:r>
      <w:bookmarkEnd w:id="1335"/>
      <w:bookmarkEnd w:id="1336"/>
      <w:r w:rsidRPr="001D5327">
        <w:rPr>
          <w:rFonts w:cs="Calibri"/>
          <w:i/>
          <w:iCs/>
        </w:rPr>
        <w:t xml:space="preserve"> </w:t>
      </w:r>
      <w:r w:rsidRPr="001D5327">
        <w:rPr>
          <w:rFonts w:cs="Calibri"/>
        </w:rPr>
        <w:t>using the updated monthly wool calculations</w:t>
      </w:r>
      <w:bookmarkEnd w:id="1337"/>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4A0" w:firstRow="1" w:lastRow="0" w:firstColumn="1" w:lastColumn="0" w:noHBand="0" w:noVBand="1"/>
      </w:tblPr>
      <w:tblGrid>
        <w:gridCol w:w="993"/>
        <w:gridCol w:w="2126"/>
        <w:gridCol w:w="850"/>
        <w:gridCol w:w="851"/>
        <w:gridCol w:w="1701"/>
        <w:gridCol w:w="1984"/>
      </w:tblGrid>
      <w:tr w:rsidR="00590FE1" w:rsidRPr="001D5327" w14:paraId="243557A8" w14:textId="77777777" w:rsidTr="00403787">
        <w:trPr>
          <w:tblHeader/>
        </w:trPr>
        <w:tc>
          <w:tcPr>
            <w:tcW w:w="993" w:type="dxa"/>
            <w:shd w:val="clear" w:color="000000" w:fill="1B556B"/>
            <w:vAlign w:val="bottom"/>
          </w:tcPr>
          <w:p w14:paraId="309E2E3A" w14:textId="77777777" w:rsidR="00590FE1" w:rsidRPr="001D5327" w:rsidRDefault="00590FE1" w:rsidP="00B61835">
            <w:pPr>
              <w:pStyle w:val="TableText"/>
              <w:keepNext/>
              <w:spacing w:before="40" w:after="40"/>
              <w:rPr>
                <w:color w:val="FFFFFF" w:themeColor="background1"/>
              </w:rPr>
            </w:pPr>
          </w:p>
        </w:tc>
        <w:tc>
          <w:tcPr>
            <w:tcW w:w="2126" w:type="dxa"/>
            <w:shd w:val="clear" w:color="000000" w:fill="1B556B"/>
            <w:vAlign w:val="bottom"/>
          </w:tcPr>
          <w:p w14:paraId="3F603419" w14:textId="77777777" w:rsidR="00590FE1" w:rsidRPr="001D5327" w:rsidRDefault="00590FE1" w:rsidP="00B61835">
            <w:pPr>
              <w:pStyle w:val="TableText"/>
              <w:keepNext/>
              <w:spacing w:before="40" w:after="40"/>
              <w:rPr>
                <w:color w:val="FFFFFF" w:themeColor="background1"/>
              </w:rPr>
            </w:pPr>
          </w:p>
        </w:tc>
        <w:tc>
          <w:tcPr>
            <w:tcW w:w="850" w:type="dxa"/>
            <w:shd w:val="clear" w:color="000000" w:fill="1B556B"/>
            <w:vAlign w:val="bottom"/>
            <w:hideMark/>
          </w:tcPr>
          <w:p w14:paraId="68BB726E" w14:textId="77777777" w:rsidR="00590FE1" w:rsidRPr="001D5327" w:rsidRDefault="00590FE1" w:rsidP="00B61835">
            <w:pPr>
              <w:pStyle w:val="TableText"/>
              <w:keepNext/>
              <w:spacing w:before="40" w:after="40"/>
              <w:jc w:val="right"/>
              <w:rPr>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51" w:type="dxa"/>
            <w:shd w:val="clear" w:color="000000" w:fill="1B556B"/>
            <w:vAlign w:val="bottom"/>
            <w:hideMark/>
          </w:tcPr>
          <w:p w14:paraId="7A21CD82" w14:textId="77777777" w:rsidR="00590FE1" w:rsidRPr="001D5327" w:rsidRDefault="00590FE1" w:rsidP="00B61835">
            <w:pPr>
              <w:pStyle w:val="TableText"/>
              <w:keepNext/>
              <w:spacing w:before="40" w:after="40"/>
              <w:jc w:val="right"/>
              <w:rPr>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701" w:type="dxa"/>
            <w:shd w:val="clear" w:color="000000" w:fill="1B556B"/>
            <w:vAlign w:val="bottom"/>
            <w:hideMark/>
          </w:tcPr>
          <w:p w14:paraId="7DD5F579" w14:textId="77777777" w:rsidR="00590FE1" w:rsidRPr="001D5327" w:rsidRDefault="00590FE1" w:rsidP="00B61835">
            <w:pPr>
              <w:pStyle w:val="TableText"/>
              <w:keepNext/>
              <w:spacing w:before="40" w:after="40"/>
              <w:jc w:val="right"/>
              <w:rPr>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984" w:type="dxa"/>
            <w:shd w:val="clear" w:color="000000" w:fill="1B556B"/>
            <w:vAlign w:val="bottom"/>
            <w:hideMark/>
          </w:tcPr>
          <w:p w14:paraId="14372FE6" w14:textId="77777777" w:rsidR="00590FE1" w:rsidRPr="001D5327" w:rsidRDefault="00590FE1" w:rsidP="00B61835">
            <w:pPr>
              <w:pStyle w:val="TableText"/>
              <w:keepNext/>
              <w:spacing w:before="40" w:after="40"/>
              <w:jc w:val="right"/>
              <w:rPr>
                <w:color w:val="FFFFFF" w:themeColor="background1"/>
              </w:rPr>
            </w:pPr>
            <w:r w:rsidRPr="001D5327">
              <w:rPr>
                <w:rFonts w:cs="Calibri"/>
                <w:b/>
                <w:bCs/>
                <w:color w:val="FFFFFF"/>
                <w:szCs w:val="16"/>
              </w:rPr>
              <w:t>Percentage change in emission outputs between 1990 and 2022 (%)</w:t>
            </w:r>
          </w:p>
        </w:tc>
      </w:tr>
      <w:tr w:rsidR="00590FE1" w:rsidRPr="001D5327" w14:paraId="5363BFC3" w14:textId="77777777" w:rsidTr="00403787">
        <w:tc>
          <w:tcPr>
            <w:tcW w:w="993" w:type="dxa"/>
            <w:vMerge w:val="restart"/>
            <w:shd w:val="clear" w:color="auto" w:fill="auto"/>
            <w:vAlign w:val="center"/>
            <w:hideMark/>
          </w:tcPr>
          <w:p w14:paraId="2D709E5A" w14:textId="77777777" w:rsidR="00590FE1" w:rsidRPr="001D5327" w:rsidRDefault="00590FE1" w:rsidP="00B61835">
            <w:pPr>
              <w:pStyle w:val="TableText"/>
              <w:keepNext/>
              <w:spacing w:before="40" w:after="40"/>
              <w:rPr>
                <w:color w:val="000000"/>
              </w:rPr>
            </w:pPr>
            <w:r w:rsidRPr="001D5327">
              <w:rPr>
                <w:color w:val="000000"/>
              </w:rPr>
              <w:t xml:space="preserve">Total emissions from </w:t>
            </w:r>
            <w:r w:rsidRPr="001D5327">
              <w:rPr>
                <w:i/>
                <w:color w:val="000000"/>
              </w:rPr>
              <w:t>Agricultural soils</w:t>
            </w:r>
            <w:r w:rsidRPr="001D5327">
              <w:rPr>
                <w:color w:val="000000"/>
              </w:rPr>
              <w:t xml:space="preserve"> </w:t>
            </w:r>
          </w:p>
        </w:tc>
        <w:tc>
          <w:tcPr>
            <w:tcW w:w="2126" w:type="dxa"/>
            <w:shd w:val="clear" w:color="auto" w:fill="auto"/>
            <w:vAlign w:val="center"/>
            <w:hideMark/>
          </w:tcPr>
          <w:p w14:paraId="54779FC3" w14:textId="77777777" w:rsidR="00590FE1" w:rsidRPr="001D5327" w:rsidRDefault="00590FE1" w:rsidP="00B61835">
            <w:pPr>
              <w:pStyle w:val="TableText"/>
              <w:keepNext/>
              <w:spacing w:before="40" w:after="40"/>
              <w:rPr>
                <w:color w:val="000000"/>
              </w:rPr>
            </w:pPr>
            <w:r w:rsidRPr="001D5327">
              <w:rPr>
                <w:rFonts w:cs="Calibri"/>
                <w:color w:val="000000"/>
                <w:szCs w:val="16"/>
              </w:rPr>
              <w:t>2024 (1990–2022) emissions estimate</w:t>
            </w:r>
          </w:p>
        </w:tc>
        <w:tc>
          <w:tcPr>
            <w:tcW w:w="850" w:type="dxa"/>
            <w:shd w:val="clear" w:color="auto" w:fill="auto"/>
            <w:vAlign w:val="bottom"/>
            <w:hideMark/>
          </w:tcPr>
          <w:p w14:paraId="0C38D71B" w14:textId="77777777" w:rsidR="00590FE1" w:rsidRPr="001D5327" w:rsidRDefault="00590FE1" w:rsidP="00B61835">
            <w:pPr>
              <w:pStyle w:val="TableText"/>
              <w:keepNext/>
              <w:spacing w:before="40" w:after="40"/>
              <w:jc w:val="right"/>
              <w:rPr>
                <w:color w:val="000000"/>
              </w:rPr>
            </w:pPr>
            <w:r w:rsidRPr="001D5327">
              <w:rPr>
                <w:rFonts w:cs="Calibri"/>
                <w:color w:val="000000"/>
                <w:szCs w:val="16"/>
              </w:rPr>
              <w:t>4,669.0</w:t>
            </w:r>
          </w:p>
        </w:tc>
        <w:tc>
          <w:tcPr>
            <w:tcW w:w="851" w:type="dxa"/>
            <w:shd w:val="clear" w:color="auto" w:fill="auto"/>
            <w:vAlign w:val="bottom"/>
            <w:hideMark/>
          </w:tcPr>
          <w:p w14:paraId="7BA0E36C" w14:textId="77777777" w:rsidR="00590FE1" w:rsidRPr="001D5327" w:rsidRDefault="00590FE1" w:rsidP="00B61835">
            <w:pPr>
              <w:pStyle w:val="TableText"/>
              <w:keepNext/>
              <w:spacing w:before="40" w:after="40"/>
              <w:jc w:val="right"/>
              <w:rPr>
                <w:color w:val="000000"/>
              </w:rPr>
            </w:pPr>
            <w:r w:rsidRPr="001D5327">
              <w:rPr>
                <w:rFonts w:cs="Calibri"/>
                <w:color w:val="000000"/>
                <w:szCs w:val="16"/>
              </w:rPr>
              <w:t>6,322.5</w:t>
            </w:r>
          </w:p>
        </w:tc>
        <w:tc>
          <w:tcPr>
            <w:tcW w:w="1701" w:type="dxa"/>
            <w:shd w:val="clear" w:color="auto" w:fill="auto"/>
            <w:vAlign w:val="bottom"/>
            <w:hideMark/>
          </w:tcPr>
          <w:p w14:paraId="6641A469" w14:textId="77777777" w:rsidR="00590FE1" w:rsidRPr="001D5327" w:rsidRDefault="00590FE1" w:rsidP="00B61835">
            <w:pPr>
              <w:pStyle w:val="TableText"/>
              <w:keepNext/>
              <w:spacing w:before="40" w:after="40"/>
              <w:jc w:val="right"/>
              <w:rPr>
                <w:color w:val="000000"/>
              </w:rPr>
            </w:pPr>
            <w:r w:rsidRPr="001D5327">
              <w:rPr>
                <w:rFonts w:cs="Calibri"/>
                <w:color w:val="000000"/>
                <w:szCs w:val="16"/>
              </w:rPr>
              <w:t>1,653.5</w:t>
            </w:r>
          </w:p>
        </w:tc>
        <w:tc>
          <w:tcPr>
            <w:tcW w:w="1984" w:type="dxa"/>
            <w:shd w:val="clear" w:color="auto" w:fill="auto"/>
            <w:vAlign w:val="bottom"/>
            <w:hideMark/>
          </w:tcPr>
          <w:p w14:paraId="7F4D4BD9" w14:textId="77777777" w:rsidR="00590FE1" w:rsidRPr="001D5327" w:rsidRDefault="00590FE1" w:rsidP="00B61835">
            <w:pPr>
              <w:pStyle w:val="TableText"/>
              <w:keepNext/>
              <w:spacing w:before="40" w:after="40"/>
              <w:jc w:val="right"/>
              <w:rPr>
                <w:color w:val="000000"/>
              </w:rPr>
            </w:pPr>
            <w:r w:rsidRPr="001D5327">
              <w:rPr>
                <w:rFonts w:cs="Calibri"/>
                <w:color w:val="000000"/>
                <w:szCs w:val="16"/>
              </w:rPr>
              <w:t>35.4</w:t>
            </w:r>
          </w:p>
        </w:tc>
      </w:tr>
      <w:tr w:rsidR="00590FE1" w:rsidRPr="001D5327" w14:paraId="2FCA08D6" w14:textId="77777777" w:rsidTr="00403787">
        <w:tc>
          <w:tcPr>
            <w:tcW w:w="993" w:type="dxa"/>
            <w:vMerge/>
            <w:vAlign w:val="center"/>
            <w:hideMark/>
          </w:tcPr>
          <w:p w14:paraId="34C08677" w14:textId="77777777" w:rsidR="00590FE1" w:rsidRPr="001D5327" w:rsidRDefault="00590FE1" w:rsidP="00403787">
            <w:pPr>
              <w:pStyle w:val="TableText"/>
              <w:spacing w:before="40" w:after="40"/>
              <w:rPr>
                <w:color w:val="000000"/>
              </w:rPr>
            </w:pPr>
          </w:p>
        </w:tc>
        <w:tc>
          <w:tcPr>
            <w:tcW w:w="2126" w:type="dxa"/>
            <w:shd w:val="clear" w:color="auto" w:fill="auto"/>
            <w:vAlign w:val="center"/>
            <w:hideMark/>
          </w:tcPr>
          <w:p w14:paraId="58F348EA" w14:textId="5707633B" w:rsidR="00590FE1" w:rsidRPr="001D5327" w:rsidRDefault="00F847FC" w:rsidP="00403787">
            <w:pPr>
              <w:pStyle w:val="TableText"/>
              <w:spacing w:before="40" w:after="40"/>
              <w:rPr>
                <w:color w:val="000000"/>
              </w:rPr>
            </w:pPr>
            <w:r w:rsidRPr="007C4307">
              <w:rPr>
                <w:rFonts w:cs="Calibri"/>
                <w:color w:val="000000"/>
                <w:szCs w:val="16"/>
              </w:rPr>
              <w:t>2024 (1990</w:t>
            </w:r>
            <w:r>
              <w:rPr>
                <w:rFonts w:cs="Calibri"/>
                <w:color w:val="000000"/>
                <w:szCs w:val="16"/>
              </w:rPr>
              <w:t>–</w:t>
            </w:r>
            <w:r w:rsidRPr="007C4307">
              <w:rPr>
                <w:rFonts w:cs="Calibri"/>
                <w:color w:val="000000"/>
                <w:szCs w:val="16"/>
              </w:rPr>
              <w:t>2022)</w:t>
            </w:r>
            <w:r w:rsidR="00590FE1" w:rsidRPr="001D5327">
              <w:rPr>
                <w:rFonts w:cs="Calibri"/>
                <w:color w:val="000000"/>
                <w:szCs w:val="16"/>
              </w:rPr>
              <w:t xml:space="preserve"> emissions estimate </w:t>
            </w:r>
            <w:r w:rsidR="00590FE1" w:rsidRPr="001D5327">
              <w:rPr>
                <w:rFonts w:cs="Calibri"/>
                <w:i/>
                <w:iCs/>
                <w:color w:val="000000"/>
                <w:szCs w:val="16"/>
              </w:rPr>
              <w:t>with</w:t>
            </w:r>
            <w:r w:rsidR="00590FE1" w:rsidRPr="001D5327">
              <w:rPr>
                <w:rFonts w:cs="Calibri"/>
                <w:color w:val="000000"/>
                <w:szCs w:val="16"/>
              </w:rPr>
              <w:t xml:space="preserve"> </w:t>
            </w:r>
            <w:r w:rsidR="00590FE1" w:rsidRPr="001D5327">
              <w:rPr>
                <w:rFonts w:cs="Calibri"/>
                <w:i/>
                <w:iCs/>
                <w:color w:val="000000"/>
                <w:szCs w:val="16"/>
              </w:rPr>
              <w:t>improvement</w:t>
            </w:r>
          </w:p>
        </w:tc>
        <w:tc>
          <w:tcPr>
            <w:tcW w:w="850" w:type="dxa"/>
            <w:shd w:val="clear" w:color="auto" w:fill="auto"/>
            <w:vAlign w:val="bottom"/>
            <w:hideMark/>
          </w:tcPr>
          <w:p w14:paraId="08411001" w14:textId="77777777" w:rsidR="00590FE1" w:rsidRPr="001D5327" w:rsidRDefault="00590FE1" w:rsidP="00403787">
            <w:pPr>
              <w:pStyle w:val="TableText"/>
              <w:spacing w:before="40" w:after="40"/>
              <w:jc w:val="right"/>
              <w:rPr>
                <w:color w:val="000000"/>
              </w:rPr>
            </w:pPr>
            <w:r w:rsidRPr="001D5327">
              <w:rPr>
                <w:rFonts w:cs="Calibri"/>
                <w:color w:val="000000"/>
                <w:szCs w:val="16"/>
              </w:rPr>
              <w:t>4,651.2</w:t>
            </w:r>
          </w:p>
        </w:tc>
        <w:tc>
          <w:tcPr>
            <w:tcW w:w="851" w:type="dxa"/>
            <w:shd w:val="clear" w:color="auto" w:fill="auto"/>
            <w:vAlign w:val="bottom"/>
            <w:hideMark/>
          </w:tcPr>
          <w:p w14:paraId="430FA56B" w14:textId="77777777" w:rsidR="00590FE1" w:rsidRPr="001D5327" w:rsidRDefault="00590FE1" w:rsidP="00403787">
            <w:pPr>
              <w:pStyle w:val="TableText"/>
              <w:spacing w:before="40" w:after="40"/>
              <w:jc w:val="right"/>
              <w:rPr>
                <w:color w:val="000000"/>
              </w:rPr>
            </w:pPr>
            <w:r w:rsidRPr="001D5327">
              <w:rPr>
                <w:rFonts w:cs="Calibri"/>
                <w:color w:val="000000"/>
                <w:szCs w:val="16"/>
              </w:rPr>
              <w:t>6,307.0</w:t>
            </w:r>
          </w:p>
        </w:tc>
        <w:tc>
          <w:tcPr>
            <w:tcW w:w="1701" w:type="dxa"/>
            <w:shd w:val="clear" w:color="auto" w:fill="auto"/>
            <w:vAlign w:val="bottom"/>
            <w:hideMark/>
          </w:tcPr>
          <w:p w14:paraId="4A49D668" w14:textId="77777777" w:rsidR="00590FE1" w:rsidRPr="001D5327" w:rsidRDefault="00590FE1" w:rsidP="00403787">
            <w:pPr>
              <w:pStyle w:val="TableText"/>
              <w:spacing w:before="40" w:after="40"/>
              <w:jc w:val="right"/>
              <w:rPr>
                <w:color w:val="000000"/>
              </w:rPr>
            </w:pPr>
            <w:r w:rsidRPr="001D5327">
              <w:rPr>
                <w:rFonts w:cs="Calibri"/>
                <w:color w:val="000000"/>
                <w:szCs w:val="16"/>
              </w:rPr>
              <w:t>1,655.8</w:t>
            </w:r>
          </w:p>
        </w:tc>
        <w:tc>
          <w:tcPr>
            <w:tcW w:w="1984" w:type="dxa"/>
            <w:shd w:val="clear" w:color="auto" w:fill="auto"/>
            <w:vAlign w:val="bottom"/>
            <w:hideMark/>
          </w:tcPr>
          <w:p w14:paraId="0DB33A23" w14:textId="77777777" w:rsidR="00590FE1" w:rsidRPr="001D5327" w:rsidRDefault="00590FE1" w:rsidP="00403787">
            <w:pPr>
              <w:pStyle w:val="TableText"/>
              <w:spacing w:before="40" w:after="40"/>
              <w:jc w:val="right"/>
              <w:rPr>
                <w:color w:val="000000"/>
              </w:rPr>
            </w:pPr>
            <w:r w:rsidRPr="001D5327">
              <w:rPr>
                <w:rFonts w:cs="Calibri"/>
                <w:color w:val="000000"/>
                <w:szCs w:val="16"/>
              </w:rPr>
              <w:t>35.6</w:t>
            </w:r>
          </w:p>
        </w:tc>
      </w:tr>
      <w:tr w:rsidR="00590FE1" w:rsidRPr="001D5327" w14:paraId="42BA5D07" w14:textId="77777777" w:rsidTr="00403787">
        <w:tc>
          <w:tcPr>
            <w:tcW w:w="993" w:type="dxa"/>
            <w:vMerge/>
            <w:vAlign w:val="center"/>
            <w:hideMark/>
          </w:tcPr>
          <w:p w14:paraId="74C1D574" w14:textId="77777777" w:rsidR="00590FE1" w:rsidRPr="001D5327" w:rsidRDefault="00590FE1" w:rsidP="00403787">
            <w:pPr>
              <w:pStyle w:val="TableText"/>
              <w:spacing w:before="40" w:after="40"/>
              <w:rPr>
                <w:color w:val="000000"/>
              </w:rPr>
            </w:pPr>
          </w:p>
        </w:tc>
        <w:tc>
          <w:tcPr>
            <w:tcW w:w="2126" w:type="dxa"/>
            <w:shd w:val="clear" w:color="auto" w:fill="auto"/>
            <w:vAlign w:val="center"/>
            <w:hideMark/>
          </w:tcPr>
          <w:p w14:paraId="4B26A991" w14:textId="77777777" w:rsidR="00590FE1" w:rsidRPr="001D5327" w:rsidRDefault="00590FE1" w:rsidP="00403787">
            <w:pPr>
              <w:pStyle w:val="TableText"/>
              <w:spacing w:before="40" w:after="40"/>
              <w:rPr>
                <w:color w:val="000000"/>
              </w:rPr>
            </w:pPr>
            <w:r w:rsidRPr="001D5327">
              <w:rPr>
                <w:rFonts w:cs="Calibri"/>
                <w:color w:val="000000"/>
                <w:szCs w:val="16"/>
              </w:rPr>
              <w:t>Difference in emissions estimates</w:t>
            </w:r>
          </w:p>
        </w:tc>
        <w:tc>
          <w:tcPr>
            <w:tcW w:w="850" w:type="dxa"/>
            <w:shd w:val="clear" w:color="auto" w:fill="auto"/>
            <w:vAlign w:val="bottom"/>
            <w:hideMark/>
          </w:tcPr>
          <w:p w14:paraId="25440535" w14:textId="45460307"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17.8</w:t>
            </w:r>
          </w:p>
        </w:tc>
        <w:tc>
          <w:tcPr>
            <w:tcW w:w="851" w:type="dxa"/>
            <w:shd w:val="clear" w:color="auto" w:fill="auto"/>
            <w:vAlign w:val="bottom"/>
            <w:hideMark/>
          </w:tcPr>
          <w:p w14:paraId="3D887A73" w14:textId="532A6B5D"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15.5</w:t>
            </w:r>
          </w:p>
        </w:tc>
        <w:tc>
          <w:tcPr>
            <w:tcW w:w="1701" w:type="dxa"/>
            <w:shd w:val="clear" w:color="auto" w:fill="auto"/>
            <w:vAlign w:val="bottom"/>
            <w:hideMark/>
          </w:tcPr>
          <w:p w14:paraId="37CE7075"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984" w:type="dxa"/>
            <w:shd w:val="clear" w:color="auto" w:fill="auto"/>
            <w:vAlign w:val="bottom"/>
            <w:hideMark/>
          </w:tcPr>
          <w:p w14:paraId="05BD1AD0"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r w:rsidR="00590FE1" w:rsidRPr="001D5327" w14:paraId="4F8B2B2C" w14:textId="77777777" w:rsidTr="00403787">
        <w:tc>
          <w:tcPr>
            <w:tcW w:w="993" w:type="dxa"/>
            <w:vMerge/>
            <w:vAlign w:val="center"/>
            <w:hideMark/>
          </w:tcPr>
          <w:p w14:paraId="028FA99E" w14:textId="77777777" w:rsidR="00590FE1" w:rsidRPr="001D5327" w:rsidRDefault="00590FE1" w:rsidP="00403787">
            <w:pPr>
              <w:pStyle w:val="TableText"/>
              <w:spacing w:before="40" w:after="40"/>
              <w:rPr>
                <w:color w:val="000000"/>
              </w:rPr>
            </w:pPr>
          </w:p>
        </w:tc>
        <w:tc>
          <w:tcPr>
            <w:tcW w:w="2126" w:type="dxa"/>
            <w:shd w:val="clear" w:color="auto" w:fill="auto"/>
            <w:vAlign w:val="center"/>
            <w:hideMark/>
          </w:tcPr>
          <w:p w14:paraId="5C6ABE3B" w14:textId="77777777" w:rsidR="00590FE1" w:rsidRPr="001D5327" w:rsidRDefault="00590FE1" w:rsidP="00403787">
            <w:pPr>
              <w:pStyle w:val="TableText"/>
              <w:spacing w:before="40" w:after="40"/>
              <w:rPr>
                <w:color w:val="000000"/>
              </w:rPr>
            </w:pPr>
            <w:r w:rsidRPr="001D5327">
              <w:rPr>
                <w:rFonts w:cs="Calibri"/>
                <w:color w:val="000000"/>
                <w:szCs w:val="16"/>
              </w:rPr>
              <w:t>Percentage difference in emissions estimates (%)</w:t>
            </w:r>
          </w:p>
        </w:tc>
        <w:tc>
          <w:tcPr>
            <w:tcW w:w="850" w:type="dxa"/>
            <w:shd w:val="clear" w:color="auto" w:fill="auto"/>
            <w:vAlign w:val="bottom"/>
            <w:hideMark/>
          </w:tcPr>
          <w:p w14:paraId="0610C13F" w14:textId="61D19EF9"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0.4</w:t>
            </w:r>
          </w:p>
        </w:tc>
        <w:tc>
          <w:tcPr>
            <w:tcW w:w="851" w:type="dxa"/>
            <w:shd w:val="clear" w:color="auto" w:fill="auto"/>
            <w:vAlign w:val="bottom"/>
            <w:hideMark/>
          </w:tcPr>
          <w:p w14:paraId="4BD22FE7" w14:textId="63C4F75E" w:rsidR="00590FE1" w:rsidRPr="001D5327" w:rsidRDefault="0070503C" w:rsidP="00403787">
            <w:pPr>
              <w:pStyle w:val="TableText"/>
              <w:spacing w:before="40" w:after="40"/>
              <w:jc w:val="right"/>
              <w:rPr>
                <w:color w:val="000000"/>
              </w:rPr>
            </w:pPr>
            <w:r>
              <w:rPr>
                <w:rFonts w:cs="Calibri"/>
                <w:color w:val="000000"/>
                <w:szCs w:val="16"/>
              </w:rPr>
              <w:t>-</w:t>
            </w:r>
            <w:r w:rsidR="00590FE1" w:rsidRPr="001D5327">
              <w:rPr>
                <w:rFonts w:cs="Calibri"/>
                <w:color w:val="000000"/>
                <w:szCs w:val="16"/>
              </w:rPr>
              <w:t>0.3</w:t>
            </w:r>
          </w:p>
        </w:tc>
        <w:tc>
          <w:tcPr>
            <w:tcW w:w="1701" w:type="dxa"/>
            <w:shd w:val="clear" w:color="auto" w:fill="auto"/>
            <w:vAlign w:val="bottom"/>
            <w:hideMark/>
          </w:tcPr>
          <w:p w14:paraId="59849C97"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984" w:type="dxa"/>
            <w:shd w:val="clear" w:color="auto" w:fill="auto"/>
            <w:vAlign w:val="bottom"/>
            <w:hideMark/>
          </w:tcPr>
          <w:p w14:paraId="4F78275E"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bl>
    <w:p w14:paraId="290411A6" w14:textId="77777777" w:rsidR="00590FE1" w:rsidRPr="001D5327" w:rsidRDefault="00590FE1" w:rsidP="00590FE1">
      <w:pPr>
        <w:pStyle w:val="Noteundertable"/>
        <w:spacing w:after="80"/>
        <w:rPr>
          <w:rFonts w:cs="Calibri"/>
        </w:rPr>
      </w:pPr>
      <w:r w:rsidRPr="001D5327">
        <w:rPr>
          <w:rFonts w:cs="Calibri"/>
          <w:b/>
          <w:bCs/>
        </w:rPr>
        <w:t>Note:</w:t>
      </w:r>
      <w:r w:rsidRPr="001D5327">
        <w:rPr>
          <w:rFonts w:cs="Calibri"/>
        </w:rPr>
        <w:tab/>
        <w:t>Columns may not sum due to rounding. Percentages presented are calculated from unrounded values.</w:t>
      </w:r>
    </w:p>
    <w:p w14:paraId="1C25DEE7" w14:textId="77777777" w:rsidR="00590FE1" w:rsidRPr="001D5327" w:rsidRDefault="00590FE1" w:rsidP="00590FE1">
      <w:pPr>
        <w:pStyle w:val="Heading5"/>
      </w:pPr>
      <w:r w:rsidRPr="001D5327">
        <w:t>Corrections to inventory model</w:t>
      </w:r>
    </w:p>
    <w:p w14:paraId="73E51656" w14:textId="77777777" w:rsidR="00590FE1" w:rsidRPr="001D5327" w:rsidRDefault="00590FE1" w:rsidP="00590FE1">
      <w:pPr>
        <w:pStyle w:val="BodyText"/>
        <w:spacing w:before="100" w:after="100"/>
        <w:rPr>
          <w:rFonts w:cs="Calibri"/>
          <w:color w:val="000000"/>
          <w:shd w:val="clear" w:color="auto" w:fill="FFFFFF"/>
        </w:rPr>
      </w:pPr>
      <w:r w:rsidRPr="001D5327">
        <w:t>The corrections to the inventory model caused emissions from the Agricultural soils category to increase by 6.6 kt CO</w:t>
      </w:r>
      <w:r w:rsidRPr="001D5327">
        <w:rPr>
          <w:vertAlign w:val="subscript"/>
        </w:rPr>
        <w:t>2</w:t>
      </w:r>
      <w:r w:rsidRPr="001D5327">
        <w:t>-e in 1990 and 32.1 kt CO</w:t>
      </w:r>
      <w:r w:rsidRPr="001D5327">
        <w:rPr>
          <w:vertAlign w:val="subscript"/>
        </w:rPr>
        <w:t>2</w:t>
      </w:r>
      <w:r w:rsidRPr="001D5327">
        <w:t xml:space="preserve">-e in 2022 (see table 5.5.18). </w:t>
      </w:r>
      <w:r w:rsidRPr="001D5327">
        <w:rPr>
          <w:color w:val="000000"/>
          <w:shd w:val="clear" w:color="auto" w:fill="FFFFFF"/>
        </w:rPr>
        <w:t xml:space="preserve">For more </w:t>
      </w:r>
      <w:r w:rsidRPr="001D5327">
        <w:rPr>
          <w:rFonts w:cs="Calibri"/>
          <w:color w:val="000000"/>
          <w:shd w:val="clear" w:color="auto" w:fill="FFFFFF"/>
        </w:rPr>
        <w:t>detail</w:t>
      </w:r>
      <w:r w:rsidRPr="001D5327">
        <w:rPr>
          <w:color w:val="000000"/>
          <w:shd w:val="clear" w:color="auto" w:fill="FFFFFF"/>
        </w:rPr>
        <w:t xml:space="preserve"> on </w:t>
      </w:r>
      <w:r w:rsidRPr="001D5327">
        <w:rPr>
          <w:rFonts w:cs="Calibri"/>
          <w:color w:val="000000"/>
          <w:shd w:val="clear" w:color="auto" w:fill="FFFFFF"/>
        </w:rPr>
        <w:t>these changes,</w:t>
      </w:r>
      <w:r w:rsidRPr="001D5327">
        <w:rPr>
          <w:color w:val="000000"/>
          <w:shd w:val="clear" w:color="auto" w:fill="FFFFFF"/>
        </w:rPr>
        <w:t xml:space="preserve"> see section </w:t>
      </w:r>
      <w:r w:rsidRPr="001D5327">
        <w:rPr>
          <w:rFonts w:cs="Calibri"/>
          <w:color w:val="000000"/>
          <w:shd w:val="clear" w:color="auto" w:fill="FFFFFF"/>
        </w:rPr>
        <w:t xml:space="preserve">5.2.5. </w:t>
      </w:r>
    </w:p>
    <w:p w14:paraId="3696D9F4" w14:textId="77777777" w:rsidR="00590FE1" w:rsidRPr="001D5327" w:rsidRDefault="00590FE1" w:rsidP="00590FE1">
      <w:pPr>
        <w:pStyle w:val="Table"/>
        <w:rPr>
          <w:rFonts w:cs="Calibri"/>
        </w:rPr>
      </w:pPr>
      <w:bookmarkStart w:id="1338" w:name="_Toc194241742"/>
      <w:r w:rsidRPr="001D5327">
        <w:rPr>
          <w:rFonts w:cs="Calibri"/>
        </w:rPr>
        <w:t>Table 5.5.18</w:t>
      </w:r>
      <w:r w:rsidRPr="001D5327">
        <w:tab/>
      </w:r>
      <w:r w:rsidRPr="001D5327">
        <w:rPr>
          <w:rFonts w:eastAsia="Calibri" w:cs="Calibri"/>
        </w:rPr>
        <w:t>Comparison of model results with and without corrections for emissions from</w:t>
      </w:r>
      <w:r w:rsidRPr="001D5327">
        <w:rPr>
          <w:rFonts w:cs="Calibri"/>
        </w:rPr>
        <w:t> </w:t>
      </w:r>
      <w:r w:rsidRPr="001D5327">
        <w:rPr>
          <w:rFonts w:cs="Calibri"/>
          <w:i/>
        </w:rPr>
        <w:t>Agricultural soils</w:t>
      </w:r>
      <w:bookmarkEnd w:id="1338"/>
      <w:r w:rsidRPr="001D5327">
        <w:rPr>
          <w:rFonts w:cs="Calibri"/>
          <w:i/>
          <w:iCs/>
        </w:rPr>
        <w:t xml:space="preserve"> </w:t>
      </w:r>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4A0" w:firstRow="1" w:lastRow="0" w:firstColumn="1" w:lastColumn="0" w:noHBand="0" w:noVBand="1"/>
      </w:tblPr>
      <w:tblGrid>
        <w:gridCol w:w="1027"/>
        <w:gridCol w:w="2112"/>
        <w:gridCol w:w="856"/>
        <w:gridCol w:w="857"/>
        <w:gridCol w:w="1712"/>
        <w:gridCol w:w="1941"/>
      </w:tblGrid>
      <w:tr w:rsidR="00590FE1" w:rsidRPr="001D5327" w14:paraId="0B245DCF" w14:textId="77777777" w:rsidTr="00371BAD">
        <w:trPr>
          <w:tblHeader/>
        </w:trPr>
        <w:tc>
          <w:tcPr>
            <w:tcW w:w="1021" w:type="dxa"/>
            <w:shd w:val="clear" w:color="000000" w:fill="1B556B"/>
            <w:vAlign w:val="bottom"/>
          </w:tcPr>
          <w:p w14:paraId="54343118" w14:textId="77777777" w:rsidR="00590FE1" w:rsidRPr="001D5327" w:rsidRDefault="00590FE1" w:rsidP="00403787">
            <w:pPr>
              <w:pStyle w:val="TableText"/>
              <w:keepNext/>
              <w:spacing w:before="40" w:after="40"/>
              <w:rPr>
                <w:color w:val="FFFFFF" w:themeColor="background1"/>
              </w:rPr>
            </w:pPr>
          </w:p>
        </w:tc>
        <w:tc>
          <w:tcPr>
            <w:tcW w:w="2098" w:type="dxa"/>
            <w:shd w:val="clear" w:color="000000" w:fill="1B556B"/>
            <w:vAlign w:val="bottom"/>
          </w:tcPr>
          <w:p w14:paraId="714C3C2F" w14:textId="77777777" w:rsidR="00590FE1" w:rsidRPr="001D5327" w:rsidRDefault="00590FE1" w:rsidP="00403787">
            <w:pPr>
              <w:pStyle w:val="TableText"/>
              <w:keepNext/>
              <w:spacing w:before="40" w:after="40"/>
              <w:rPr>
                <w:color w:val="FFFFFF" w:themeColor="background1"/>
              </w:rPr>
            </w:pPr>
          </w:p>
        </w:tc>
        <w:tc>
          <w:tcPr>
            <w:tcW w:w="850" w:type="dxa"/>
            <w:shd w:val="clear" w:color="000000" w:fill="1B556B"/>
            <w:vAlign w:val="bottom"/>
            <w:hideMark/>
          </w:tcPr>
          <w:p w14:paraId="14ADC872" w14:textId="77777777" w:rsidR="00590FE1" w:rsidRPr="001D5327" w:rsidRDefault="00590FE1" w:rsidP="00403787">
            <w:pPr>
              <w:pStyle w:val="TableText"/>
              <w:keepNext/>
              <w:spacing w:before="40" w:after="40"/>
              <w:jc w:val="right"/>
              <w:rPr>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51" w:type="dxa"/>
            <w:shd w:val="clear" w:color="000000" w:fill="1B556B"/>
            <w:vAlign w:val="bottom"/>
            <w:hideMark/>
          </w:tcPr>
          <w:p w14:paraId="69EF6A25" w14:textId="77777777" w:rsidR="00590FE1" w:rsidRPr="001D5327" w:rsidRDefault="00590FE1" w:rsidP="00403787">
            <w:pPr>
              <w:pStyle w:val="TableText"/>
              <w:keepNext/>
              <w:spacing w:before="40" w:after="40"/>
              <w:jc w:val="right"/>
              <w:rPr>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701" w:type="dxa"/>
            <w:shd w:val="clear" w:color="000000" w:fill="1B556B"/>
            <w:vAlign w:val="bottom"/>
            <w:hideMark/>
          </w:tcPr>
          <w:p w14:paraId="20C7F824" w14:textId="77777777" w:rsidR="00590FE1" w:rsidRPr="001D5327" w:rsidRDefault="00590FE1" w:rsidP="00403787">
            <w:pPr>
              <w:pStyle w:val="TableText"/>
              <w:keepNext/>
              <w:spacing w:before="40" w:after="40"/>
              <w:jc w:val="right"/>
              <w:rPr>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928" w:type="dxa"/>
            <w:shd w:val="clear" w:color="000000" w:fill="1B556B"/>
            <w:vAlign w:val="bottom"/>
            <w:hideMark/>
          </w:tcPr>
          <w:p w14:paraId="328749BB" w14:textId="77777777" w:rsidR="00590FE1" w:rsidRPr="001D5327" w:rsidRDefault="00590FE1" w:rsidP="00403787">
            <w:pPr>
              <w:pStyle w:val="TableText"/>
              <w:keepNext/>
              <w:spacing w:before="40" w:after="40"/>
              <w:jc w:val="right"/>
              <w:rPr>
                <w:color w:val="FFFFFF" w:themeColor="background1"/>
              </w:rPr>
            </w:pPr>
            <w:r w:rsidRPr="001D5327">
              <w:rPr>
                <w:rFonts w:cs="Calibri"/>
                <w:b/>
                <w:bCs/>
                <w:color w:val="FFFFFF"/>
                <w:szCs w:val="16"/>
              </w:rPr>
              <w:t>Percentage change in emission outputs between 1990 and 2022 (%)</w:t>
            </w:r>
          </w:p>
        </w:tc>
      </w:tr>
      <w:tr w:rsidR="00590FE1" w:rsidRPr="001D5327" w14:paraId="56A01577" w14:textId="77777777" w:rsidTr="00371BAD">
        <w:tc>
          <w:tcPr>
            <w:tcW w:w="1021" w:type="dxa"/>
            <w:vMerge w:val="restart"/>
            <w:shd w:val="clear" w:color="auto" w:fill="auto"/>
            <w:vAlign w:val="center"/>
            <w:hideMark/>
          </w:tcPr>
          <w:p w14:paraId="0D2F7DA2" w14:textId="77777777" w:rsidR="00590FE1" w:rsidRPr="001D5327" w:rsidRDefault="00590FE1" w:rsidP="00403787">
            <w:pPr>
              <w:pStyle w:val="TableText"/>
              <w:keepNext/>
              <w:spacing w:before="40" w:after="40"/>
              <w:rPr>
                <w:color w:val="000000"/>
              </w:rPr>
            </w:pPr>
            <w:r w:rsidRPr="001D5327">
              <w:rPr>
                <w:color w:val="000000"/>
              </w:rPr>
              <w:t xml:space="preserve">Total emissions from </w:t>
            </w:r>
            <w:r w:rsidRPr="001D5327">
              <w:rPr>
                <w:i/>
                <w:color w:val="000000"/>
              </w:rPr>
              <w:t>Agricultural soils</w:t>
            </w:r>
            <w:r w:rsidRPr="001D5327">
              <w:rPr>
                <w:color w:val="000000"/>
              </w:rPr>
              <w:t xml:space="preserve"> </w:t>
            </w:r>
          </w:p>
        </w:tc>
        <w:tc>
          <w:tcPr>
            <w:tcW w:w="2098" w:type="dxa"/>
            <w:shd w:val="clear" w:color="auto" w:fill="auto"/>
            <w:vAlign w:val="center"/>
            <w:hideMark/>
          </w:tcPr>
          <w:p w14:paraId="71F36280" w14:textId="77777777" w:rsidR="00590FE1" w:rsidRPr="001D5327" w:rsidRDefault="00590FE1" w:rsidP="00403787">
            <w:pPr>
              <w:pStyle w:val="TableText"/>
              <w:keepNext/>
              <w:spacing w:before="40" w:after="40"/>
              <w:rPr>
                <w:color w:val="000000"/>
              </w:rPr>
            </w:pPr>
            <w:r w:rsidRPr="001D5327">
              <w:rPr>
                <w:rFonts w:cs="Calibri"/>
                <w:color w:val="000000"/>
                <w:szCs w:val="16"/>
              </w:rPr>
              <w:t>2024 (1990–2022) emissions estimate</w:t>
            </w:r>
          </w:p>
        </w:tc>
        <w:tc>
          <w:tcPr>
            <w:tcW w:w="850" w:type="dxa"/>
            <w:shd w:val="clear" w:color="auto" w:fill="auto"/>
            <w:vAlign w:val="bottom"/>
            <w:hideMark/>
          </w:tcPr>
          <w:p w14:paraId="2116C09D"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4,669.0</w:t>
            </w:r>
          </w:p>
        </w:tc>
        <w:tc>
          <w:tcPr>
            <w:tcW w:w="851" w:type="dxa"/>
            <w:shd w:val="clear" w:color="auto" w:fill="auto"/>
            <w:vAlign w:val="bottom"/>
            <w:hideMark/>
          </w:tcPr>
          <w:p w14:paraId="00E8011C"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6,322.5</w:t>
            </w:r>
          </w:p>
        </w:tc>
        <w:tc>
          <w:tcPr>
            <w:tcW w:w="1701" w:type="dxa"/>
            <w:shd w:val="clear" w:color="auto" w:fill="auto"/>
            <w:vAlign w:val="bottom"/>
            <w:hideMark/>
          </w:tcPr>
          <w:p w14:paraId="5F7F39E1"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1,653.5</w:t>
            </w:r>
          </w:p>
        </w:tc>
        <w:tc>
          <w:tcPr>
            <w:tcW w:w="1928" w:type="dxa"/>
            <w:shd w:val="clear" w:color="auto" w:fill="auto"/>
            <w:vAlign w:val="bottom"/>
            <w:hideMark/>
          </w:tcPr>
          <w:p w14:paraId="2EDC5B1C"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35.4</w:t>
            </w:r>
          </w:p>
        </w:tc>
      </w:tr>
      <w:tr w:rsidR="00590FE1" w:rsidRPr="001D5327" w14:paraId="27606C59" w14:textId="77777777" w:rsidTr="00371BAD">
        <w:tc>
          <w:tcPr>
            <w:tcW w:w="1021" w:type="dxa"/>
            <w:vMerge/>
            <w:vAlign w:val="center"/>
            <w:hideMark/>
          </w:tcPr>
          <w:p w14:paraId="56645D55" w14:textId="77777777" w:rsidR="00590FE1" w:rsidRPr="001D5327" w:rsidRDefault="00590FE1" w:rsidP="00403787">
            <w:pPr>
              <w:pStyle w:val="TableText"/>
              <w:keepNext/>
              <w:spacing w:before="40" w:after="40"/>
              <w:rPr>
                <w:color w:val="000000"/>
              </w:rPr>
            </w:pPr>
          </w:p>
        </w:tc>
        <w:tc>
          <w:tcPr>
            <w:tcW w:w="2098" w:type="dxa"/>
            <w:shd w:val="clear" w:color="auto" w:fill="auto"/>
            <w:vAlign w:val="center"/>
            <w:hideMark/>
          </w:tcPr>
          <w:p w14:paraId="635D5D52" w14:textId="44C62C69" w:rsidR="00590FE1" w:rsidRPr="001D5327" w:rsidRDefault="005138A1" w:rsidP="00403787">
            <w:pPr>
              <w:pStyle w:val="TableText"/>
              <w:keepNext/>
              <w:spacing w:before="40" w:after="40"/>
              <w:rPr>
                <w:color w:val="000000"/>
              </w:rPr>
            </w:pPr>
            <w:r w:rsidRPr="007C4307">
              <w:rPr>
                <w:rFonts w:cs="Calibri"/>
                <w:color w:val="000000"/>
                <w:szCs w:val="16"/>
              </w:rPr>
              <w:t>2024 (1990</w:t>
            </w:r>
            <w:r>
              <w:rPr>
                <w:rFonts w:cs="Calibri"/>
                <w:color w:val="000000"/>
                <w:szCs w:val="16"/>
              </w:rPr>
              <w:t>–</w:t>
            </w:r>
            <w:r w:rsidRPr="007C4307">
              <w:rPr>
                <w:rFonts w:cs="Calibri"/>
                <w:color w:val="000000"/>
                <w:szCs w:val="16"/>
              </w:rPr>
              <w:t>2022)</w:t>
            </w:r>
            <w:r w:rsidR="00590FE1" w:rsidRPr="001D5327">
              <w:rPr>
                <w:rFonts w:cs="Calibri"/>
                <w:color w:val="000000"/>
                <w:szCs w:val="16"/>
              </w:rPr>
              <w:t xml:space="preserve"> emissions estimate </w:t>
            </w:r>
            <w:r w:rsidR="00590FE1" w:rsidRPr="001D5327">
              <w:rPr>
                <w:rFonts w:cs="Calibri"/>
                <w:i/>
                <w:iCs/>
                <w:color w:val="000000"/>
                <w:szCs w:val="16"/>
              </w:rPr>
              <w:t>with</w:t>
            </w:r>
            <w:r w:rsidR="00590FE1" w:rsidRPr="001D5327">
              <w:rPr>
                <w:rFonts w:cs="Calibri"/>
                <w:color w:val="000000"/>
                <w:szCs w:val="16"/>
              </w:rPr>
              <w:t xml:space="preserve"> </w:t>
            </w:r>
            <w:r w:rsidR="00590FE1" w:rsidRPr="001D5327">
              <w:rPr>
                <w:rFonts w:cs="Calibri"/>
                <w:i/>
                <w:iCs/>
                <w:color w:val="000000"/>
                <w:szCs w:val="16"/>
              </w:rPr>
              <w:t>improvement</w:t>
            </w:r>
          </w:p>
        </w:tc>
        <w:tc>
          <w:tcPr>
            <w:tcW w:w="850" w:type="dxa"/>
            <w:shd w:val="clear" w:color="auto" w:fill="auto"/>
            <w:vAlign w:val="bottom"/>
            <w:hideMark/>
          </w:tcPr>
          <w:p w14:paraId="0FD1EBA8"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4,675.6</w:t>
            </w:r>
          </w:p>
        </w:tc>
        <w:tc>
          <w:tcPr>
            <w:tcW w:w="851" w:type="dxa"/>
            <w:shd w:val="clear" w:color="auto" w:fill="auto"/>
            <w:vAlign w:val="bottom"/>
            <w:hideMark/>
          </w:tcPr>
          <w:p w14:paraId="034A4FD8"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6,354.6</w:t>
            </w:r>
          </w:p>
        </w:tc>
        <w:tc>
          <w:tcPr>
            <w:tcW w:w="1701" w:type="dxa"/>
            <w:shd w:val="clear" w:color="auto" w:fill="auto"/>
            <w:vAlign w:val="bottom"/>
            <w:hideMark/>
          </w:tcPr>
          <w:p w14:paraId="54E5D3B4"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1,679.0</w:t>
            </w:r>
          </w:p>
        </w:tc>
        <w:tc>
          <w:tcPr>
            <w:tcW w:w="1928" w:type="dxa"/>
            <w:shd w:val="clear" w:color="auto" w:fill="auto"/>
            <w:vAlign w:val="bottom"/>
            <w:hideMark/>
          </w:tcPr>
          <w:p w14:paraId="0FF7901D" w14:textId="77777777" w:rsidR="00590FE1" w:rsidRPr="001D5327" w:rsidRDefault="00590FE1" w:rsidP="00403787">
            <w:pPr>
              <w:pStyle w:val="TableText"/>
              <w:keepNext/>
              <w:spacing w:before="40" w:after="40"/>
              <w:jc w:val="right"/>
              <w:rPr>
                <w:color w:val="000000"/>
              </w:rPr>
            </w:pPr>
            <w:r w:rsidRPr="001D5327">
              <w:rPr>
                <w:rFonts w:cs="Calibri"/>
                <w:color w:val="000000"/>
                <w:szCs w:val="16"/>
              </w:rPr>
              <w:t>35.9</w:t>
            </w:r>
          </w:p>
        </w:tc>
      </w:tr>
      <w:tr w:rsidR="00590FE1" w:rsidRPr="001D5327" w14:paraId="584FD60A" w14:textId="77777777" w:rsidTr="00371BAD">
        <w:tc>
          <w:tcPr>
            <w:tcW w:w="1021" w:type="dxa"/>
            <w:vMerge/>
            <w:vAlign w:val="center"/>
            <w:hideMark/>
          </w:tcPr>
          <w:p w14:paraId="39295492" w14:textId="77777777" w:rsidR="00590FE1" w:rsidRPr="001D5327" w:rsidRDefault="00590FE1" w:rsidP="00403787">
            <w:pPr>
              <w:pStyle w:val="TableText"/>
              <w:spacing w:before="40" w:after="40"/>
              <w:rPr>
                <w:color w:val="000000"/>
              </w:rPr>
            </w:pPr>
          </w:p>
        </w:tc>
        <w:tc>
          <w:tcPr>
            <w:tcW w:w="2098" w:type="dxa"/>
            <w:shd w:val="clear" w:color="auto" w:fill="auto"/>
            <w:vAlign w:val="center"/>
            <w:hideMark/>
          </w:tcPr>
          <w:p w14:paraId="019E2E66" w14:textId="77777777" w:rsidR="00590FE1" w:rsidRPr="001D5327" w:rsidRDefault="00590FE1" w:rsidP="00403787">
            <w:pPr>
              <w:pStyle w:val="TableText"/>
              <w:spacing w:before="40" w:after="40"/>
              <w:rPr>
                <w:color w:val="000000"/>
              </w:rPr>
            </w:pPr>
            <w:r w:rsidRPr="001D5327">
              <w:rPr>
                <w:rFonts w:cs="Calibri"/>
                <w:color w:val="000000"/>
                <w:szCs w:val="16"/>
              </w:rPr>
              <w:t>Difference in emissions estimates</w:t>
            </w:r>
          </w:p>
        </w:tc>
        <w:tc>
          <w:tcPr>
            <w:tcW w:w="850" w:type="dxa"/>
            <w:shd w:val="clear" w:color="auto" w:fill="auto"/>
            <w:vAlign w:val="bottom"/>
            <w:hideMark/>
          </w:tcPr>
          <w:p w14:paraId="2C66ABDD" w14:textId="77777777" w:rsidR="00590FE1" w:rsidRPr="001D5327" w:rsidRDefault="00590FE1" w:rsidP="00403787">
            <w:pPr>
              <w:pStyle w:val="TableText"/>
              <w:spacing w:before="40" w:after="40"/>
              <w:jc w:val="right"/>
              <w:rPr>
                <w:color w:val="000000"/>
              </w:rPr>
            </w:pPr>
            <w:r w:rsidRPr="001D5327">
              <w:rPr>
                <w:rFonts w:cs="Calibri"/>
                <w:color w:val="000000"/>
                <w:szCs w:val="16"/>
              </w:rPr>
              <w:t>6.6</w:t>
            </w:r>
          </w:p>
        </w:tc>
        <w:tc>
          <w:tcPr>
            <w:tcW w:w="851" w:type="dxa"/>
            <w:shd w:val="clear" w:color="auto" w:fill="auto"/>
            <w:vAlign w:val="bottom"/>
            <w:hideMark/>
          </w:tcPr>
          <w:p w14:paraId="79DC0896" w14:textId="77777777" w:rsidR="00590FE1" w:rsidRPr="001D5327" w:rsidRDefault="00590FE1" w:rsidP="00403787">
            <w:pPr>
              <w:pStyle w:val="TableText"/>
              <w:spacing w:before="40" w:after="40"/>
              <w:jc w:val="right"/>
              <w:rPr>
                <w:color w:val="000000"/>
              </w:rPr>
            </w:pPr>
            <w:r w:rsidRPr="001D5327">
              <w:rPr>
                <w:rFonts w:cs="Calibri"/>
                <w:color w:val="000000"/>
                <w:szCs w:val="16"/>
              </w:rPr>
              <w:t>32.1</w:t>
            </w:r>
          </w:p>
        </w:tc>
        <w:tc>
          <w:tcPr>
            <w:tcW w:w="1701" w:type="dxa"/>
            <w:shd w:val="clear" w:color="auto" w:fill="auto"/>
            <w:vAlign w:val="bottom"/>
            <w:hideMark/>
          </w:tcPr>
          <w:p w14:paraId="09425CE4"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928" w:type="dxa"/>
            <w:shd w:val="clear" w:color="auto" w:fill="auto"/>
            <w:vAlign w:val="bottom"/>
            <w:hideMark/>
          </w:tcPr>
          <w:p w14:paraId="51F25265"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r w:rsidR="00590FE1" w:rsidRPr="001D5327" w14:paraId="746C41A4" w14:textId="77777777" w:rsidTr="00371BAD">
        <w:tc>
          <w:tcPr>
            <w:tcW w:w="1021" w:type="dxa"/>
            <w:vMerge/>
            <w:vAlign w:val="center"/>
            <w:hideMark/>
          </w:tcPr>
          <w:p w14:paraId="09D32650" w14:textId="77777777" w:rsidR="00590FE1" w:rsidRPr="001D5327" w:rsidRDefault="00590FE1" w:rsidP="00403787">
            <w:pPr>
              <w:pStyle w:val="TableText"/>
              <w:spacing w:before="40" w:after="40"/>
              <w:rPr>
                <w:color w:val="000000"/>
              </w:rPr>
            </w:pPr>
          </w:p>
        </w:tc>
        <w:tc>
          <w:tcPr>
            <w:tcW w:w="2098" w:type="dxa"/>
            <w:shd w:val="clear" w:color="auto" w:fill="auto"/>
            <w:vAlign w:val="center"/>
            <w:hideMark/>
          </w:tcPr>
          <w:p w14:paraId="04717507" w14:textId="77777777" w:rsidR="00590FE1" w:rsidRPr="001D5327" w:rsidRDefault="00590FE1" w:rsidP="00403787">
            <w:pPr>
              <w:pStyle w:val="TableText"/>
              <w:spacing w:before="40" w:after="40"/>
              <w:rPr>
                <w:color w:val="000000"/>
              </w:rPr>
            </w:pPr>
            <w:r w:rsidRPr="001D5327">
              <w:rPr>
                <w:rFonts w:cs="Calibri"/>
                <w:color w:val="000000"/>
                <w:szCs w:val="16"/>
              </w:rPr>
              <w:t>Percentage difference in emissions estimates (%)</w:t>
            </w:r>
          </w:p>
        </w:tc>
        <w:tc>
          <w:tcPr>
            <w:tcW w:w="850" w:type="dxa"/>
            <w:shd w:val="clear" w:color="auto" w:fill="auto"/>
            <w:vAlign w:val="bottom"/>
            <w:hideMark/>
          </w:tcPr>
          <w:p w14:paraId="0FA3363B" w14:textId="77777777" w:rsidR="00590FE1" w:rsidRPr="001D5327" w:rsidRDefault="00590FE1" w:rsidP="00403787">
            <w:pPr>
              <w:pStyle w:val="TableText"/>
              <w:spacing w:before="40" w:after="40"/>
              <w:jc w:val="right"/>
              <w:rPr>
                <w:color w:val="000000"/>
              </w:rPr>
            </w:pPr>
            <w:r w:rsidRPr="001D5327">
              <w:rPr>
                <w:rFonts w:cs="Calibri"/>
                <w:color w:val="000000"/>
                <w:szCs w:val="16"/>
              </w:rPr>
              <w:t>0.1</w:t>
            </w:r>
          </w:p>
        </w:tc>
        <w:tc>
          <w:tcPr>
            <w:tcW w:w="851" w:type="dxa"/>
            <w:shd w:val="clear" w:color="auto" w:fill="auto"/>
            <w:vAlign w:val="bottom"/>
            <w:hideMark/>
          </w:tcPr>
          <w:p w14:paraId="0364411D" w14:textId="77777777" w:rsidR="00590FE1" w:rsidRPr="001D5327" w:rsidRDefault="00590FE1" w:rsidP="00403787">
            <w:pPr>
              <w:pStyle w:val="TableText"/>
              <w:spacing w:before="40" w:after="40"/>
              <w:jc w:val="right"/>
              <w:rPr>
                <w:color w:val="000000"/>
              </w:rPr>
            </w:pPr>
            <w:r w:rsidRPr="001D5327">
              <w:rPr>
                <w:rFonts w:cs="Calibri"/>
                <w:color w:val="000000"/>
                <w:szCs w:val="16"/>
              </w:rPr>
              <w:t>0.5</w:t>
            </w:r>
          </w:p>
        </w:tc>
        <w:tc>
          <w:tcPr>
            <w:tcW w:w="1701" w:type="dxa"/>
            <w:shd w:val="clear" w:color="auto" w:fill="auto"/>
            <w:vAlign w:val="bottom"/>
            <w:hideMark/>
          </w:tcPr>
          <w:p w14:paraId="3822BA8B"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c>
          <w:tcPr>
            <w:tcW w:w="1928" w:type="dxa"/>
            <w:shd w:val="clear" w:color="auto" w:fill="auto"/>
            <w:vAlign w:val="bottom"/>
            <w:hideMark/>
          </w:tcPr>
          <w:p w14:paraId="275B4B80" w14:textId="77777777" w:rsidR="00590FE1" w:rsidRPr="001D5327" w:rsidRDefault="00590FE1" w:rsidP="00403787">
            <w:pPr>
              <w:pStyle w:val="TableText"/>
              <w:spacing w:before="40" w:after="40"/>
              <w:jc w:val="right"/>
              <w:rPr>
                <w:color w:val="000000"/>
              </w:rPr>
            </w:pPr>
            <w:r w:rsidRPr="001D5327">
              <w:rPr>
                <w:rFonts w:cs="Calibri"/>
                <w:color w:val="000000"/>
                <w:szCs w:val="16"/>
              </w:rPr>
              <w:t> </w:t>
            </w:r>
          </w:p>
        </w:tc>
      </w:tr>
    </w:tbl>
    <w:p w14:paraId="781F301A" w14:textId="77777777" w:rsidR="00590FE1" w:rsidRPr="001D5327" w:rsidRDefault="00590FE1" w:rsidP="00590FE1">
      <w:pPr>
        <w:pStyle w:val="Noteundertable"/>
        <w:spacing w:after="80"/>
        <w:rPr>
          <w:rFonts w:cs="Calibri"/>
        </w:rPr>
      </w:pPr>
      <w:r w:rsidRPr="001D5327">
        <w:rPr>
          <w:rFonts w:cs="Calibri"/>
          <w:b/>
          <w:bCs/>
        </w:rPr>
        <w:t>Note:</w:t>
      </w:r>
      <w:r w:rsidRPr="001D5327">
        <w:rPr>
          <w:rFonts w:cs="Calibri"/>
        </w:rPr>
        <w:tab/>
        <w:t>Columns may not sum due to rounding. Percentages presented are calculated from unrounded values.</w:t>
      </w:r>
    </w:p>
    <w:p w14:paraId="5F855BA4" w14:textId="77777777" w:rsidR="00590FE1" w:rsidRPr="001D5327" w:rsidRDefault="00590FE1" w:rsidP="00590FE1">
      <w:pPr>
        <w:pStyle w:val="Heading3"/>
      </w:pPr>
      <w:r w:rsidRPr="001D5327">
        <w:t>5.5.6</w:t>
      </w:r>
      <w:r w:rsidRPr="001D5327">
        <w:tab/>
        <w:t>Category-specific planned improvements</w:t>
      </w:r>
      <w:bookmarkEnd w:id="1326"/>
      <w:r w:rsidRPr="001D5327">
        <w:t xml:space="preserve"> </w:t>
      </w:r>
    </w:p>
    <w:p w14:paraId="1A1988B5" w14:textId="77777777" w:rsidR="00590FE1" w:rsidRPr="001D5327" w:rsidRDefault="00590FE1" w:rsidP="00590FE1">
      <w:pPr>
        <w:pStyle w:val="BodyText"/>
        <w:keepLines/>
        <w:spacing w:before="80" w:after="100"/>
        <w:rPr>
          <w:rFonts w:cs="Calibri"/>
        </w:rPr>
      </w:pPr>
      <w:r w:rsidRPr="001D5327">
        <w:rPr>
          <w:rFonts w:cs="Calibri"/>
          <w:spacing w:val="-2"/>
        </w:rPr>
        <w:t>New Zealand</w:t>
      </w:r>
      <w:r w:rsidRPr="001D5327">
        <w:rPr>
          <w:rFonts w:cs="Calibri"/>
        </w:rPr>
        <w:t xml:space="preserve"> is carrying out ongoing research to improve estimates of N</w:t>
      </w:r>
      <w:r w:rsidRPr="001D5327">
        <w:rPr>
          <w:rFonts w:cs="Calibri"/>
          <w:vertAlign w:val="subscript"/>
        </w:rPr>
        <w:t>2</w:t>
      </w:r>
      <w:r w:rsidRPr="001D5327">
        <w:rPr>
          <w:rFonts w:cs="Calibri"/>
        </w:rPr>
        <w:t>O emissions from the </w:t>
      </w:r>
      <w:r w:rsidRPr="001D5327">
        <w:rPr>
          <w:rFonts w:cs="Calibri"/>
          <w:i/>
          <w:iCs/>
        </w:rPr>
        <w:t>Agricultural soils</w:t>
      </w:r>
      <w:r w:rsidRPr="001D5327">
        <w:rPr>
          <w:rFonts w:cs="Calibri"/>
        </w:rPr>
        <w:t xml:space="preserve"> category. </w:t>
      </w:r>
      <w:bookmarkStart w:id="1339" w:name="_Hlk61527169"/>
      <w:r w:rsidRPr="001D5327">
        <w:rPr>
          <w:rFonts w:cs="Calibri"/>
        </w:rPr>
        <w:t xml:space="preserve">The projects described below outline research focused specifically on the </w:t>
      </w:r>
      <w:r w:rsidRPr="001D5327">
        <w:rPr>
          <w:rFonts w:cs="Calibri"/>
          <w:i/>
          <w:iCs/>
        </w:rPr>
        <w:t>Agricultural soils</w:t>
      </w:r>
      <w:r w:rsidRPr="001D5327">
        <w:rPr>
          <w:rFonts w:cs="Calibri"/>
        </w:rPr>
        <w:t xml:space="preserve"> component of the Agriculture inventory sector. Several cross-cutting, broader projects that will improve the accuracy of emissions in multiple categories (including </w:t>
      </w:r>
      <w:r w:rsidRPr="001D5327">
        <w:rPr>
          <w:rFonts w:cs="Calibri"/>
          <w:i/>
        </w:rPr>
        <w:t>Enteric fermentation</w:t>
      </w:r>
      <w:r w:rsidRPr="001D5327">
        <w:rPr>
          <w:rFonts w:cs="Calibri"/>
        </w:rPr>
        <w:t xml:space="preserve">, </w:t>
      </w:r>
      <w:r w:rsidRPr="001D5327">
        <w:rPr>
          <w:rFonts w:cs="Calibri"/>
          <w:i/>
        </w:rPr>
        <w:t>Manure management</w:t>
      </w:r>
      <w:r w:rsidRPr="001D5327">
        <w:rPr>
          <w:rFonts w:cs="Calibri"/>
        </w:rPr>
        <w:t xml:space="preserve"> and </w:t>
      </w:r>
      <w:r w:rsidRPr="001D5327">
        <w:rPr>
          <w:rFonts w:cs="Calibri"/>
          <w:i/>
          <w:iCs/>
        </w:rPr>
        <w:t>Agricultural soils</w:t>
      </w:r>
      <w:r w:rsidRPr="001D5327">
        <w:rPr>
          <w:rFonts w:cs="Calibri"/>
        </w:rPr>
        <w:t>) are described in section 5.1.7.</w:t>
      </w:r>
      <w:bookmarkEnd w:id="1339"/>
    </w:p>
    <w:p w14:paraId="609E5155" w14:textId="77777777" w:rsidR="00590FE1" w:rsidRPr="001D5327" w:rsidRDefault="00590FE1" w:rsidP="00590FE1">
      <w:pPr>
        <w:pStyle w:val="Heading5"/>
        <w:spacing w:before="220"/>
      </w:pPr>
      <w:r w:rsidRPr="001D5327">
        <w:t>Nitrous oxide</w:t>
      </w:r>
      <w:r w:rsidRPr="001D5327" w:rsidDel="00637A3F">
        <w:t xml:space="preserve"> </w:t>
      </w:r>
      <w:r w:rsidRPr="001D5327">
        <w:t>emissions from nitrogen fertilisers</w:t>
      </w:r>
    </w:p>
    <w:p w14:paraId="34A311F5" w14:textId="77777777" w:rsidR="00590FE1" w:rsidRPr="001D5327" w:rsidRDefault="00590FE1" w:rsidP="00590FE1">
      <w:pPr>
        <w:pStyle w:val="BodyText"/>
        <w:spacing w:before="80" w:after="100"/>
      </w:pPr>
      <w:r w:rsidRPr="001D5327">
        <w:t xml:space="preserve">This research project will investigate whether more disaggregated emission factors for different types of </w:t>
      </w:r>
      <w:r w:rsidRPr="001D5327">
        <w:rPr>
          <w:spacing w:val="-2"/>
        </w:rPr>
        <w:t>nitrogen fertilisers are needed. The Agriculture inventory model estimates direct N</w:t>
      </w:r>
      <w:r w:rsidRPr="001D5327">
        <w:rPr>
          <w:spacing w:val="-2"/>
          <w:vertAlign w:val="subscript"/>
        </w:rPr>
        <w:t>2</w:t>
      </w:r>
      <w:r w:rsidRPr="001D5327">
        <w:rPr>
          <w:spacing w:val="-2"/>
        </w:rPr>
        <w:t>O emission</w:t>
      </w:r>
      <w:r w:rsidRPr="001D5327">
        <w:t>s from the application of synthetic nitrogen fertiliser, and currently has separate emission factor (EF</w:t>
      </w:r>
      <w:r w:rsidRPr="001D5327">
        <w:rPr>
          <w:vertAlign w:val="subscript"/>
        </w:rPr>
        <w:t>1</w:t>
      </w:r>
      <w:r w:rsidRPr="001D5327">
        <w:t xml:space="preserve">) values for urea and non-urea fertiliser. The field trials were completed in 2024, with the results to be added to a wider meta-analysis (including Irish research partners) before any recommendations are made. </w:t>
      </w:r>
    </w:p>
    <w:p w14:paraId="6EF4A2F1" w14:textId="77777777" w:rsidR="00590FE1" w:rsidRPr="001D5327" w:rsidRDefault="00590FE1" w:rsidP="00590FE1">
      <w:pPr>
        <w:pStyle w:val="Heading5"/>
        <w:spacing w:before="220"/>
      </w:pPr>
      <w:r w:rsidRPr="001D5327">
        <w:lastRenderedPageBreak/>
        <w:t>Measurements of nitrous oxide emissions in spring and summer to develop EF</w:t>
      </w:r>
      <w:r w:rsidRPr="001D5327">
        <w:rPr>
          <w:vertAlign w:val="subscript"/>
        </w:rPr>
        <w:t>3</w:t>
      </w:r>
      <w:r w:rsidRPr="001D5327">
        <w:t xml:space="preserve"> values that vary by season</w:t>
      </w:r>
    </w:p>
    <w:p w14:paraId="3A1BE792" w14:textId="77777777" w:rsidR="00590FE1" w:rsidRPr="001D5327" w:rsidRDefault="00590FE1" w:rsidP="00590FE1">
      <w:pPr>
        <w:pStyle w:val="BodyText"/>
        <w:spacing w:before="80" w:after="100"/>
        <w:rPr>
          <w:spacing w:val="-2"/>
        </w:rPr>
      </w:pPr>
      <w:r w:rsidRPr="001D5327">
        <w:t>The database used to produce country-specific N</w:t>
      </w:r>
      <w:r w:rsidRPr="001D5327">
        <w:rPr>
          <w:vertAlign w:val="subscript"/>
        </w:rPr>
        <w:t>2</w:t>
      </w:r>
      <w:r w:rsidRPr="001D5327">
        <w:t>O EF</w:t>
      </w:r>
      <w:r w:rsidRPr="001D5327">
        <w:rPr>
          <w:vertAlign w:val="subscript"/>
        </w:rPr>
        <w:t>3</w:t>
      </w:r>
      <w:r w:rsidRPr="001D5327">
        <w:t xml:space="preserve"> values is currently unbalanced by season, with summer data representing only 11 per cent of the dataset and spring data also being partially under-represented. A series of summer and spring-based N</w:t>
      </w:r>
      <w:r w:rsidRPr="001D5327">
        <w:rPr>
          <w:vertAlign w:val="subscript"/>
        </w:rPr>
        <w:t>2</w:t>
      </w:r>
      <w:r w:rsidRPr="001D5327">
        <w:t>O EF</w:t>
      </w:r>
      <w:r w:rsidRPr="001D5327">
        <w:rPr>
          <w:vertAlign w:val="subscript"/>
        </w:rPr>
        <w:t>3</w:t>
      </w:r>
      <w:r w:rsidRPr="001D5327">
        <w:t xml:space="preserve"> field studies across </w:t>
      </w:r>
      <w:r w:rsidRPr="001D5327" w:rsidDel="006E4AE7">
        <w:rPr>
          <w:rFonts w:cs="Calibri"/>
          <w:spacing w:val="-2"/>
        </w:rPr>
        <w:t xml:space="preserve">New </w:t>
      </w:r>
      <w:r w:rsidRPr="001D5327">
        <w:rPr>
          <w:rFonts w:cs="Calibri"/>
          <w:spacing w:val="-2"/>
        </w:rPr>
        <w:t>Zealand</w:t>
      </w:r>
      <w:r w:rsidRPr="001D5327">
        <w:t xml:space="preserve"> will be conducted, with key soil and climate data also being reported on. </w:t>
      </w:r>
      <w:r w:rsidRPr="001D5327">
        <w:rPr>
          <w:spacing w:val="-2"/>
        </w:rPr>
        <w:t>This research will expand on the collection of the existing set of soil and climate data, to provide for future development of Tier 3 emission factors via process-based modelling of the dataset.</w:t>
      </w:r>
    </w:p>
    <w:p w14:paraId="5B8F94CB" w14:textId="77777777" w:rsidR="00590FE1" w:rsidRPr="001D5327" w:rsidRDefault="00590FE1" w:rsidP="00590FE1">
      <w:pPr>
        <w:pStyle w:val="Heading5"/>
        <w:spacing w:before="220"/>
      </w:pPr>
      <w:r w:rsidRPr="001D5327">
        <w:t>Improving organic soil activity data</w:t>
      </w:r>
    </w:p>
    <w:p w14:paraId="2E4C17E6" w14:textId="77777777" w:rsidR="00590FE1" w:rsidRPr="001D5327" w:rsidRDefault="00590FE1" w:rsidP="00590FE1">
      <w:pPr>
        <w:pStyle w:val="BodyText"/>
        <w:spacing w:before="100" w:after="100"/>
      </w:pPr>
      <w:r w:rsidRPr="001D5327">
        <w:t xml:space="preserve">This project will build on recently completed work assessing what is required for </w:t>
      </w:r>
      <w:r w:rsidRPr="001D5327" w:rsidDel="00864E75">
        <w:rPr>
          <w:rFonts w:cs="Calibri"/>
          <w:spacing w:val="-2"/>
        </w:rPr>
        <w:t xml:space="preserve">New </w:t>
      </w:r>
      <w:r w:rsidRPr="001D5327">
        <w:rPr>
          <w:rFonts w:cs="Calibri"/>
          <w:spacing w:val="-2"/>
        </w:rPr>
        <w:t>Zealand</w:t>
      </w:r>
      <w:r w:rsidRPr="001D5327">
        <w:t xml:space="preserve"> to implement the 2013 IPCC Wetland Supplement into the inventory (IPCC, 2014). The 2006 IPCC Guidelines (IPCC, 2006) are still used to estimate greenhouse gas emissions from managed organic soils, however, improved activity data and national emission factors are required to improve the accuracy of emissions accounting and reduce associated uncertainties.</w:t>
      </w:r>
    </w:p>
    <w:p w14:paraId="383D9877" w14:textId="77777777" w:rsidR="00590FE1" w:rsidRPr="001D5327" w:rsidRDefault="00590FE1" w:rsidP="00590FE1">
      <w:pPr>
        <w:pStyle w:val="Heading5"/>
      </w:pPr>
      <w:r w:rsidRPr="001D5327">
        <w:t>Developing a process-based nitrous oxide emissions model</w:t>
      </w:r>
    </w:p>
    <w:p w14:paraId="2E0ED2C4" w14:textId="77777777" w:rsidR="00590FE1" w:rsidRPr="001D5327" w:rsidRDefault="00590FE1" w:rsidP="00CF4EB8">
      <w:pPr>
        <w:pStyle w:val="BodyText"/>
        <w:keepLines/>
      </w:pPr>
      <w:r w:rsidRPr="001D5327">
        <w:t>This research will investigate the potential of a process-based N</w:t>
      </w:r>
      <w:r w:rsidRPr="001D5327">
        <w:rPr>
          <w:vertAlign w:val="subscript"/>
        </w:rPr>
        <w:t>2</w:t>
      </w:r>
      <w:r w:rsidRPr="001D5327">
        <w:t xml:space="preserve">O emissions model suitable for inventory compilation. Process-based models require more inputs (e.g., weather, soil) than the existing Tier 2 methods. Such models are also likely to have a differing sensitivity to activity data than Tier 2 methods. This project will undertake a systematic and comprehensive analysis of the needs for any process-based model, and the implications (benefits and challenges, quantitatively where possible) for implementing a process-based model. </w:t>
      </w:r>
    </w:p>
    <w:p w14:paraId="09B87243" w14:textId="77777777" w:rsidR="00590FE1" w:rsidRPr="001D5327" w:rsidRDefault="00590FE1" w:rsidP="00590FE1">
      <w:pPr>
        <w:pStyle w:val="Heading2"/>
      </w:pPr>
      <w:bookmarkStart w:id="1340" w:name="_Toc69611743"/>
      <w:bookmarkStart w:id="1341" w:name="_Toc69612699"/>
      <w:bookmarkStart w:id="1342" w:name="_Toc69612898"/>
      <w:bookmarkStart w:id="1343" w:name="_Toc69613158"/>
      <w:bookmarkStart w:id="1344" w:name="_Toc69633322"/>
      <w:bookmarkStart w:id="1345" w:name="_Toc69717487"/>
      <w:bookmarkStart w:id="1346" w:name="_Toc69802969"/>
      <w:bookmarkStart w:id="1347" w:name="_Toc69815106"/>
      <w:bookmarkStart w:id="1348" w:name="_Toc70492399"/>
      <w:bookmarkStart w:id="1349" w:name="_Toc101310606"/>
      <w:bookmarkStart w:id="1350" w:name="_Toc101318466"/>
      <w:bookmarkStart w:id="1351" w:name="_Toc101318571"/>
      <w:bookmarkStart w:id="1352" w:name="_Toc101318755"/>
      <w:bookmarkStart w:id="1353" w:name="_Toc101334031"/>
      <w:bookmarkStart w:id="1354" w:name="_Toc134847209"/>
      <w:bookmarkStart w:id="1355" w:name="_Toc139253939"/>
      <w:bookmarkStart w:id="1356" w:name="_Toc144710417"/>
      <w:bookmarkStart w:id="1357" w:name="_Toc165890371"/>
      <w:bookmarkStart w:id="1358" w:name="_Toc195322665"/>
      <w:bookmarkStart w:id="1359" w:name="_Toc235955531"/>
      <w:bookmarkStart w:id="1360" w:name="_Toc288316644"/>
      <w:bookmarkStart w:id="1361" w:name="_Toc352504864"/>
      <w:bookmarkStart w:id="1362" w:name="_Toc448321527"/>
      <w:bookmarkStart w:id="1363" w:name="_Toc481751389"/>
      <w:bookmarkStart w:id="1364" w:name="_Toc511116604"/>
      <w:bookmarkStart w:id="1365" w:name="_Toc5269366"/>
      <w:bookmarkStart w:id="1366" w:name="_Toc32570673"/>
      <w:bookmarkStart w:id="1367" w:name="_Toc36224406"/>
      <w:bookmarkStart w:id="1368" w:name="_Toc68786326"/>
      <w:bookmarkStart w:id="1369" w:name="_Toc131591241"/>
      <w:bookmarkStart w:id="1370" w:name="_Toc164154195"/>
      <w:bookmarkStart w:id="1371" w:name="_Toc194312020"/>
      <w:r w:rsidRPr="001D5327">
        <w:rPr>
          <w:bCs/>
        </w:rPr>
        <w:t>5.6</w:t>
      </w:r>
      <w:r w:rsidRPr="001D5327">
        <w:tab/>
        <w:t>Prescribed burning of savanna (3.E)</w:t>
      </w:r>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p>
    <w:p w14:paraId="04042BA4" w14:textId="77777777" w:rsidR="00590FE1" w:rsidRPr="001D5327" w:rsidRDefault="00590FE1" w:rsidP="00590FE1">
      <w:pPr>
        <w:pStyle w:val="Heading3"/>
        <w:spacing w:before="240"/>
      </w:pPr>
      <w:bookmarkStart w:id="1372" w:name="_Toc32570674"/>
      <w:bookmarkStart w:id="1373" w:name="_Toc139253940"/>
      <w:r w:rsidRPr="001D5327">
        <w:t>5.6.1</w:t>
      </w:r>
      <w:r w:rsidRPr="001D5327">
        <w:tab/>
        <w:t>Category description</w:t>
      </w:r>
      <w:bookmarkEnd w:id="1372"/>
    </w:p>
    <w:p w14:paraId="2F0AE801" w14:textId="77777777" w:rsidR="00590FE1" w:rsidRPr="001D5327" w:rsidRDefault="00590FE1" w:rsidP="00590FE1">
      <w:pPr>
        <w:pStyle w:val="BodyText"/>
        <w:rPr>
          <w:rFonts w:cs="Calibri"/>
        </w:rPr>
      </w:pPr>
      <w:r w:rsidRPr="001D5327">
        <w:rPr>
          <w:rFonts w:cs="Calibri"/>
        </w:rPr>
        <w:t>Prescribed burning of savanna is reported under the LULUCF sector from the 2016 submission onwards.</w:t>
      </w:r>
    </w:p>
    <w:p w14:paraId="50733565" w14:textId="77777777" w:rsidR="00590FE1" w:rsidRPr="001D5327" w:rsidRDefault="00590FE1" w:rsidP="00590FE1">
      <w:pPr>
        <w:pStyle w:val="Heading2"/>
        <w:spacing w:before="320"/>
      </w:pPr>
      <w:bookmarkStart w:id="1374" w:name="_Toc69611744"/>
      <w:bookmarkStart w:id="1375" w:name="_Toc69612700"/>
      <w:bookmarkStart w:id="1376" w:name="_Toc69612899"/>
      <w:bookmarkStart w:id="1377" w:name="_Toc69613159"/>
      <w:bookmarkStart w:id="1378" w:name="_Toc69633323"/>
      <w:bookmarkStart w:id="1379" w:name="_Toc69717488"/>
      <w:bookmarkStart w:id="1380" w:name="_Toc69802970"/>
      <w:bookmarkStart w:id="1381" w:name="_Toc69815107"/>
      <w:bookmarkStart w:id="1382" w:name="_Toc70492400"/>
      <w:bookmarkStart w:id="1383" w:name="_Toc101310607"/>
      <w:bookmarkStart w:id="1384" w:name="_Toc101318467"/>
      <w:bookmarkStart w:id="1385" w:name="_Toc101318572"/>
      <w:bookmarkStart w:id="1386" w:name="_Toc101318756"/>
      <w:bookmarkStart w:id="1387" w:name="_Toc101334032"/>
      <w:bookmarkStart w:id="1388" w:name="_Toc134847210"/>
      <w:bookmarkStart w:id="1389" w:name="_Toc139253945"/>
      <w:bookmarkStart w:id="1390" w:name="_Toc144710418"/>
      <w:bookmarkStart w:id="1391" w:name="_Toc165890372"/>
      <w:bookmarkStart w:id="1392" w:name="_Toc195322666"/>
      <w:bookmarkStart w:id="1393" w:name="_Toc235955532"/>
      <w:bookmarkStart w:id="1394" w:name="_Toc288316645"/>
      <w:bookmarkStart w:id="1395" w:name="_Toc352504865"/>
      <w:bookmarkStart w:id="1396" w:name="_Toc448321528"/>
      <w:bookmarkStart w:id="1397" w:name="_Toc481751390"/>
      <w:bookmarkStart w:id="1398" w:name="_Toc511116605"/>
      <w:bookmarkStart w:id="1399" w:name="_Toc5269367"/>
      <w:bookmarkStart w:id="1400" w:name="_Toc32570675"/>
      <w:bookmarkStart w:id="1401" w:name="_Toc36224407"/>
      <w:bookmarkStart w:id="1402" w:name="_Toc68786327"/>
      <w:bookmarkStart w:id="1403" w:name="_Toc131591242"/>
      <w:bookmarkStart w:id="1404" w:name="_Toc164154196"/>
      <w:bookmarkStart w:id="1405" w:name="_Toc194312021"/>
      <w:bookmarkEnd w:id="1373"/>
      <w:r w:rsidRPr="001D5327">
        <w:t>5.7</w:t>
      </w:r>
      <w:r w:rsidRPr="001D5327">
        <w:tab/>
        <w:t>Field burning of agricultural residues (3.F)</w:t>
      </w:r>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p>
    <w:p w14:paraId="6ED44505" w14:textId="77777777" w:rsidR="00590FE1" w:rsidRPr="001D5327" w:rsidRDefault="00590FE1" w:rsidP="00590FE1">
      <w:pPr>
        <w:pStyle w:val="Heading3"/>
        <w:spacing w:before="240"/>
      </w:pPr>
      <w:bookmarkStart w:id="1406" w:name="_Toc139253946"/>
      <w:bookmarkStart w:id="1407" w:name="_Toc32570676"/>
      <w:r w:rsidRPr="001D5327">
        <w:t>5.7.1</w:t>
      </w:r>
      <w:r w:rsidRPr="001D5327">
        <w:tab/>
        <w:t>Category description</w:t>
      </w:r>
      <w:bookmarkEnd w:id="1406"/>
      <w:bookmarkEnd w:id="1407"/>
    </w:p>
    <w:p w14:paraId="6068CF25" w14:textId="77777777" w:rsidR="00590FE1" w:rsidRPr="001D5327" w:rsidRDefault="00590FE1" w:rsidP="00590FE1">
      <w:pPr>
        <w:pStyle w:val="BodyText"/>
        <w:spacing w:after="100"/>
        <w:rPr>
          <w:rFonts w:cs="Calibri"/>
        </w:rPr>
      </w:pPr>
      <w:r w:rsidRPr="001D5327">
        <w:rPr>
          <w:rFonts w:cs="Calibri"/>
          <w:i/>
          <w:iCs/>
        </w:rPr>
        <w:t>Field burning of agricultural residues</w:t>
      </w:r>
      <w:r w:rsidRPr="001D5327">
        <w:rPr>
          <w:rFonts w:cs="Calibri"/>
        </w:rPr>
        <w:t xml:space="preserve"> contributed an estimated 17.9 kt CO</w:t>
      </w:r>
      <w:r w:rsidRPr="001D5327">
        <w:rPr>
          <w:rFonts w:cs="Calibri"/>
          <w:vertAlign w:val="subscript"/>
        </w:rPr>
        <w:t>2</w:t>
      </w:r>
      <w:r w:rsidRPr="001D5327">
        <w:rPr>
          <w:rFonts w:cs="Calibri"/>
        </w:rPr>
        <w:t>-e in 2023, which accounted for 0.04 per cent of Agriculture sector</w:t>
      </w:r>
      <w:r w:rsidRPr="001D5327">
        <w:rPr>
          <w:rFonts w:cs="Calibri"/>
          <w:i/>
        </w:rPr>
        <w:t xml:space="preserve"> </w:t>
      </w:r>
      <w:r w:rsidRPr="001D5327">
        <w:rPr>
          <w:rFonts w:cs="Calibri"/>
        </w:rPr>
        <w:t xml:space="preserve">emissions. Emissions from </w:t>
      </w:r>
      <w:r w:rsidRPr="001D5327">
        <w:rPr>
          <w:rFonts w:cs="Calibri"/>
          <w:i/>
        </w:rPr>
        <w:t>Field burning of agricultural residues</w:t>
      </w:r>
      <w:r w:rsidRPr="001D5327">
        <w:rPr>
          <w:rFonts w:cs="Calibri"/>
        </w:rPr>
        <w:t xml:space="preserve"> decreased 39.3 per cent (11.6 kt CO</w:t>
      </w:r>
      <w:r w:rsidRPr="001D5327">
        <w:rPr>
          <w:rFonts w:cs="Calibri"/>
          <w:vertAlign w:val="subscript"/>
        </w:rPr>
        <w:t>2</w:t>
      </w:r>
      <w:r w:rsidRPr="001D5327">
        <w:rPr>
          <w:rFonts w:cs="Calibri"/>
        </w:rPr>
        <w:t xml:space="preserve">-e) between 1990 and 2023. </w:t>
      </w:r>
    </w:p>
    <w:p w14:paraId="2FDFA1DF" w14:textId="77777777" w:rsidR="00590FE1" w:rsidRPr="001D5327" w:rsidRDefault="00590FE1" w:rsidP="00590FE1">
      <w:pPr>
        <w:pStyle w:val="BodyText"/>
        <w:spacing w:after="100"/>
        <w:rPr>
          <w:rFonts w:cs="Calibri"/>
        </w:rPr>
      </w:pPr>
      <w:r w:rsidRPr="001D5327" w:rsidDel="00471472">
        <w:rPr>
          <w:rFonts w:cs="Calibri"/>
          <w:spacing w:val="-2"/>
        </w:rPr>
        <w:t xml:space="preserve">New </w:t>
      </w:r>
      <w:r w:rsidRPr="001D5327">
        <w:rPr>
          <w:rFonts w:cs="Calibri"/>
          <w:spacing w:val="-2"/>
        </w:rPr>
        <w:t>Zealand</w:t>
      </w:r>
      <w:r w:rsidRPr="001D5327">
        <w:rPr>
          <w:rFonts w:cs="Calibri"/>
        </w:rPr>
        <w:t xml:space="preserve"> reports emissions from burning barley, wheat and oats residue in this category. Maize, legume and other crop residues are not routinely burned in </w:t>
      </w:r>
      <w:r w:rsidRPr="001D5327" w:rsidDel="00471472">
        <w:rPr>
          <w:rFonts w:cs="Calibri"/>
          <w:spacing w:val="-2"/>
        </w:rPr>
        <w:t xml:space="preserve">New </w:t>
      </w:r>
      <w:r w:rsidRPr="001D5327">
        <w:rPr>
          <w:rFonts w:cs="Calibri"/>
          <w:spacing w:val="-2"/>
        </w:rPr>
        <w:t>Zealand</w:t>
      </w:r>
      <w:r w:rsidRPr="001D5327">
        <w:rPr>
          <w:rFonts w:cs="Calibri"/>
        </w:rPr>
        <w:t xml:space="preserve">. </w:t>
      </w:r>
    </w:p>
    <w:p w14:paraId="3151C347" w14:textId="77777777" w:rsidR="00590FE1" w:rsidRPr="001D5327" w:rsidRDefault="00590FE1" w:rsidP="00590FE1">
      <w:pPr>
        <w:pStyle w:val="BodyText"/>
        <w:spacing w:after="100"/>
        <w:rPr>
          <w:rFonts w:cs="Calibri"/>
        </w:rPr>
      </w:pPr>
      <w:r w:rsidRPr="001D5327">
        <w:rPr>
          <w:rFonts w:cs="Calibri"/>
        </w:rPr>
        <w:t>The area of burning of residues varies between years due to climatic conditions, fire risk restrictions and the amount of residue removed before burning straw (Thomas et al., 2011). Burning of crop residues is not considered to be a net source of CO</w:t>
      </w:r>
      <w:r w:rsidRPr="001D5327">
        <w:rPr>
          <w:rFonts w:cs="Calibri"/>
          <w:vertAlign w:val="subscript"/>
        </w:rPr>
        <w:t>2</w:t>
      </w:r>
      <w:r w:rsidRPr="001D5327">
        <w:rPr>
          <w:rFonts w:cs="Calibri"/>
        </w:rPr>
        <w:t>, because the CO</w:t>
      </w:r>
      <w:r w:rsidRPr="001D5327">
        <w:rPr>
          <w:rFonts w:cs="Calibri"/>
          <w:vertAlign w:val="subscript"/>
        </w:rPr>
        <w:t>2</w:t>
      </w:r>
      <w:r w:rsidRPr="001D5327">
        <w:rPr>
          <w:rFonts w:cs="Calibri"/>
        </w:rPr>
        <w:t xml:space="preserve"> released into the atmosphere was absorbed by those crops earlier in the year. However, burning is a source of emissions of CH</w:t>
      </w:r>
      <w:r w:rsidRPr="001D5327">
        <w:rPr>
          <w:rFonts w:cs="Calibri"/>
          <w:vertAlign w:val="subscript"/>
        </w:rPr>
        <w:t>4</w:t>
      </w:r>
      <w:r w:rsidRPr="001D5327">
        <w:rPr>
          <w:rFonts w:cs="Calibri"/>
        </w:rPr>
        <w:t>, carbon monoxide (CO), N</w:t>
      </w:r>
      <w:r w:rsidRPr="001D5327">
        <w:rPr>
          <w:rFonts w:cs="Calibri"/>
          <w:vertAlign w:val="subscript"/>
        </w:rPr>
        <w:t>2</w:t>
      </w:r>
      <w:r w:rsidRPr="001D5327">
        <w:rPr>
          <w:rFonts w:cs="Calibri"/>
        </w:rPr>
        <w:t>O and NO</w:t>
      </w:r>
      <w:r w:rsidRPr="001D5327">
        <w:rPr>
          <w:rFonts w:cs="Calibri"/>
          <w:vertAlign w:val="subscript"/>
        </w:rPr>
        <w:t>x</w:t>
      </w:r>
      <w:r w:rsidRPr="001D5327">
        <w:rPr>
          <w:rFonts w:cs="Calibri"/>
        </w:rPr>
        <w:t xml:space="preserve"> (IPCC, 2006).</w:t>
      </w:r>
    </w:p>
    <w:p w14:paraId="28BD3769" w14:textId="1FCCA224" w:rsidR="00590FE1" w:rsidRPr="001D5327" w:rsidRDefault="006B2997" w:rsidP="00590FE1">
      <w:pPr>
        <w:pStyle w:val="BodyText"/>
        <w:spacing w:after="100"/>
        <w:rPr>
          <w:rFonts w:cs="Calibri"/>
        </w:rPr>
      </w:pPr>
      <w:r>
        <w:rPr>
          <w:rFonts w:cs="Calibri"/>
          <w:i/>
        </w:rPr>
        <w:t>Field b</w:t>
      </w:r>
      <w:r w:rsidR="00590FE1" w:rsidRPr="001D5327">
        <w:rPr>
          <w:rFonts w:cs="Calibri"/>
          <w:i/>
        </w:rPr>
        <w:t>urning of agricultural residues</w:t>
      </w:r>
      <w:r w:rsidR="00590FE1" w:rsidRPr="001D5327">
        <w:rPr>
          <w:rFonts w:cs="Calibri"/>
        </w:rPr>
        <w:t xml:space="preserve"> was not identified as a key category in 2023. </w:t>
      </w:r>
    </w:p>
    <w:p w14:paraId="7E038EF5" w14:textId="77777777" w:rsidR="00590FE1" w:rsidRPr="001D5327" w:rsidRDefault="00590FE1" w:rsidP="00590FE1">
      <w:pPr>
        <w:pStyle w:val="Heading3"/>
        <w:spacing w:before="320"/>
      </w:pPr>
      <w:bookmarkStart w:id="1408" w:name="_Toc32570677"/>
      <w:r w:rsidRPr="001D5327">
        <w:lastRenderedPageBreak/>
        <w:t>5.7.2</w:t>
      </w:r>
      <w:r w:rsidRPr="001D5327">
        <w:tab/>
        <w:t>Methodological issues</w:t>
      </w:r>
      <w:bookmarkEnd w:id="1408"/>
      <w:r w:rsidRPr="001D5327">
        <w:t xml:space="preserve"> </w:t>
      </w:r>
    </w:p>
    <w:p w14:paraId="699048B5" w14:textId="77777777" w:rsidR="00590FE1" w:rsidRPr="001D5327" w:rsidRDefault="00590FE1" w:rsidP="00590FE1">
      <w:pPr>
        <w:pStyle w:val="BodyText"/>
        <w:rPr>
          <w:rFonts w:cs="Calibri"/>
        </w:rPr>
      </w:pPr>
      <w:r w:rsidRPr="001D5327">
        <w:rPr>
          <w:rFonts w:cs="Calibri"/>
        </w:rPr>
        <w:t xml:space="preserve">The emissions from burning agricultural residues are estimated using country-specific methodology and parameters (Thomas et al., 2008, 2011). A modification of the IPCC (1996) methodology considers differences in the available crop activity data from 1990 to 2004 compared with 2005 to 2023. </w:t>
      </w:r>
    </w:p>
    <w:p w14:paraId="5F4243C2" w14:textId="77777777" w:rsidR="00590FE1" w:rsidRPr="001D5327" w:rsidRDefault="00590FE1" w:rsidP="00590FE1">
      <w:pPr>
        <w:pStyle w:val="BodyText"/>
        <w:spacing w:before="100" w:after="100"/>
      </w:pPr>
      <w:r w:rsidRPr="001D5327">
        <w:t>The parameters used in both estimates of emissions from crop residues and crop burning take the same country-specific values in both parts of the model. This provides consistency between the two emissions estimates for crop residue and crop burning.</w:t>
      </w:r>
    </w:p>
    <w:p w14:paraId="0C2E5AEC" w14:textId="77777777" w:rsidR="00590FE1" w:rsidRPr="001D5327" w:rsidRDefault="00590FE1" w:rsidP="00590FE1">
      <w:pPr>
        <w:pStyle w:val="BodyText"/>
      </w:pPr>
      <w:r w:rsidRPr="001D5327">
        <w:t>Following the IPCC (1996) methodology, CH</w:t>
      </w:r>
      <w:r w:rsidRPr="001D5327">
        <w:rPr>
          <w:vertAlign w:val="subscript"/>
        </w:rPr>
        <w:t>4</w:t>
      </w:r>
      <w:r w:rsidRPr="001D5327">
        <w:t>, CO, N</w:t>
      </w:r>
      <w:r w:rsidRPr="001D5327">
        <w:rPr>
          <w:vertAlign w:val="subscript"/>
        </w:rPr>
        <w:t>2</w:t>
      </w:r>
      <w:r w:rsidRPr="001D5327">
        <w:t>O and NO</w:t>
      </w:r>
      <w:r w:rsidRPr="001D5327">
        <w:rPr>
          <w:vertAlign w:val="subscript"/>
        </w:rPr>
        <w:t xml:space="preserve">x </w:t>
      </w:r>
      <w:r w:rsidRPr="001D5327">
        <w:t>emissions are calculated from the carbon and nitrogen released from the burned live and dead biomass residue using the ratios in table 5.7.1. The nitrogen released is derived from the carbon released using a carbon to-nitrogen ratio. The Agriculture inventory model also assumes that farmers generally aim to have as close to complete combustion as possible.</w:t>
      </w:r>
    </w:p>
    <w:p w14:paraId="6962C35C" w14:textId="77777777" w:rsidR="00590FE1" w:rsidRPr="001D5327" w:rsidRDefault="00590FE1" w:rsidP="00590FE1">
      <w:pPr>
        <w:pStyle w:val="Table"/>
        <w:rPr>
          <w:rFonts w:cs="Calibri"/>
        </w:rPr>
      </w:pPr>
      <w:bookmarkStart w:id="1409" w:name="_Toc352504981"/>
      <w:bookmarkStart w:id="1410" w:name="_Toc441830890"/>
      <w:bookmarkStart w:id="1411" w:name="_Toc451176104"/>
      <w:bookmarkStart w:id="1412" w:name="_Toc481751534"/>
      <w:bookmarkStart w:id="1413" w:name="_Toc507158620"/>
      <w:bookmarkStart w:id="1414" w:name="_Toc511116754"/>
      <w:bookmarkStart w:id="1415" w:name="_Toc5269496"/>
      <w:bookmarkStart w:id="1416" w:name="_Toc32570943"/>
      <w:bookmarkStart w:id="1417" w:name="_Toc36224578"/>
      <w:bookmarkStart w:id="1418" w:name="_Toc68786463"/>
      <w:bookmarkStart w:id="1419" w:name="_Toc95574094"/>
      <w:bookmarkStart w:id="1420" w:name="_Toc127458283"/>
      <w:bookmarkStart w:id="1421" w:name="_Toc131591379"/>
      <w:bookmarkStart w:id="1422" w:name="_Toc160114474"/>
      <w:bookmarkStart w:id="1423" w:name="_Toc164153870"/>
      <w:bookmarkStart w:id="1424" w:name="_Toc194241743"/>
      <w:r w:rsidRPr="001D5327">
        <w:rPr>
          <w:rFonts w:cs="Calibri"/>
        </w:rPr>
        <w:t>Table 5.7.1</w:t>
      </w:r>
      <w:r w:rsidRPr="001D5327">
        <w:rPr>
          <w:rFonts w:cs="Calibri"/>
        </w:rPr>
        <w:tab/>
        <w:t>Emission ratios for agricultural residue burning</w:t>
      </w:r>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p>
    <w:tbl>
      <w:tblPr>
        <w:tblW w:w="8505" w:type="dxa"/>
        <w:tblBorders>
          <w:top w:val="single" w:sz="4" w:space="0" w:color="1B556B" w:themeColor="text2"/>
          <w:bottom w:val="single" w:sz="4" w:space="0" w:color="1B556B" w:themeColor="text2"/>
          <w:insideH w:val="single" w:sz="4" w:space="0" w:color="1B556B" w:themeColor="text2"/>
        </w:tblBorders>
        <w:tblLook w:val="01E0" w:firstRow="1" w:lastRow="1" w:firstColumn="1" w:lastColumn="1" w:noHBand="0" w:noVBand="0"/>
      </w:tblPr>
      <w:tblGrid>
        <w:gridCol w:w="1013"/>
        <w:gridCol w:w="3523"/>
        <w:gridCol w:w="3969"/>
      </w:tblGrid>
      <w:tr w:rsidR="00590FE1" w:rsidRPr="001D5327" w14:paraId="05821687" w14:textId="77777777" w:rsidTr="00403787">
        <w:tc>
          <w:tcPr>
            <w:tcW w:w="1013" w:type="dxa"/>
            <w:shd w:val="clear" w:color="auto" w:fill="1B556B"/>
            <w:vAlign w:val="bottom"/>
          </w:tcPr>
          <w:p w14:paraId="0CED8009" w14:textId="77777777" w:rsidR="00590FE1" w:rsidRPr="001D5327" w:rsidRDefault="00590FE1" w:rsidP="00403787">
            <w:pPr>
              <w:pStyle w:val="TableTextBold"/>
              <w:keepNext/>
              <w:spacing w:before="50" w:after="50"/>
              <w:rPr>
                <w:noProof w:val="0"/>
                <w:color w:val="FFFFFF" w:themeColor="background1"/>
              </w:rPr>
            </w:pPr>
            <w:r w:rsidRPr="001D5327">
              <w:rPr>
                <w:noProof w:val="0"/>
                <w:color w:val="FFFFFF" w:themeColor="background1"/>
              </w:rPr>
              <w:t>Gas</w:t>
            </w:r>
          </w:p>
        </w:tc>
        <w:tc>
          <w:tcPr>
            <w:tcW w:w="3523" w:type="dxa"/>
            <w:shd w:val="clear" w:color="auto" w:fill="1B556B"/>
            <w:vAlign w:val="bottom"/>
          </w:tcPr>
          <w:p w14:paraId="0E55840F" w14:textId="77777777" w:rsidR="00590FE1" w:rsidRPr="001D5327" w:rsidRDefault="00590FE1" w:rsidP="00403787">
            <w:pPr>
              <w:pStyle w:val="TableTextBold"/>
              <w:keepNext/>
              <w:spacing w:before="50" w:after="50"/>
              <w:jc w:val="right"/>
              <w:rPr>
                <w:noProof w:val="0"/>
                <w:color w:val="FFFFFF" w:themeColor="background1"/>
              </w:rPr>
            </w:pPr>
            <w:r w:rsidRPr="001D5327">
              <w:rPr>
                <w:noProof w:val="0"/>
                <w:color w:val="FFFFFF" w:themeColor="background1"/>
              </w:rPr>
              <w:t xml:space="preserve">Emission ratio </w:t>
            </w:r>
            <w:r w:rsidRPr="001D5327">
              <w:rPr>
                <w:bCs/>
                <w:noProof w:val="0"/>
                <w:color w:val="FFFFFF" w:themeColor="background1"/>
              </w:rPr>
              <w:t>(Revised</w:t>
            </w:r>
            <w:r w:rsidRPr="001D5327">
              <w:rPr>
                <w:b w:val="0"/>
                <w:noProof w:val="0"/>
                <w:color w:val="FFFFFF" w:themeColor="background1"/>
              </w:rPr>
              <w:t xml:space="preserve"> </w:t>
            </w:r>
            <w:r w:rsidRPr="001D5327">
              <w:rPr>
                <w:noProof w:val="0"/>
                <w:color w:val="FFFFFF" w:themeColor="background1"/>
              </w:rPr>
              <w:t>IPCC 1996 Guidelines)</w:t>
            </w:r>
          </w:p>
        </w:tc>
        <w:tc>
          <w:tcPr>
            <w:tcW w:w="3969" w:type="dxa"/>
            <w:shd w:val="clear" w:color="auto" w:fill="1B556B"/>
          </w:tcPr>
          <w:p w14:paraId="01B7DC11" w14:textId="77777777" w:rsidR="00590FE1" w:rsidRPr="001D5327" w:rsidRDefault="00590FE1" w:rsidP="00403787">
            <w:pPr>
              <w:pStyle w:val="TableTextBold"/>
              <w:keepNext/>
              <w:spacing w:before="50" w:after="50"/>
              <w:jc w:val="right"/>
              <w:rPr>
                <w:noProof w:val="0"/>
                <w:color w:val="FFFFFF" w:themeColor="background1"/>
              </w:rPr>
            </w:pPr>
            <w:r w:rsidRPr="001D5327">
              <w:rPr>
                <w:noProof w:val="0"/>
                <w:color w:val="FFFFFF" w:themeColor="background1"/>
              </w:rPr>
              <w:t>Conversion ratio from carbon or nitrogen to specified greenhouse gas (Revised IPCC 1996 Guidelines)</w:t>
            </w:r>
          </w:p>
        </w:tc>
      </w:tr>
      <w:tr w:rsidR="00590FE1" w:rsidRPr="001D5327" w14:paraId="5304003A" w14:textId="77777777" w:rsidTr="00403787">
        <w:tc>
          <w:tcPr>
            <w:tcW w:w="1013" w:type="dxa"/>
          </w:tcPr>
          <w:p w14:paraId="6AA6DBCF" w14:textId="77777777" w:rsidR="00590FE1" w:rsidRPr="001D5327" w:rsidRDefault="00590FE1" w:rsidP="00403787">
            <w:pPr>
              <w:pStyle w:val="TableText"/>
              <w:keepNext/>
              <w:spacing w:before="40" w:after="40"/>
              <w:rPr>
                <w:rFonts w:cs="Calibri"/>
              </w:rPr>
            </w:pPr>
            <w:r w:rsidRPr="001D5327">
              <w:rPr>
                <w:rFonts w:cs="Calibri"/>
              </w:rPr>
              <w:t>CH</w:t>
            </w:r>
            <w:r w:rsidRPr="001D5327">
              <w:rPr>
                <w:rFonts w:cs="Calibri"/>
                <w:vertAlign w:val="subscript"/>
              </w:rPr>
              <w:t>4</w:t>
            </w:r>
          </w:p>
        </w:tc>
        <w:tc>
          <w:tcPr>
            <w:tcW w:w="3523" w:type="dxa"/>
          </w:tcPr>
          <w:p w14:paraId="1E4B8FD3" w14:textId="77777777" w:rsidR="00590FE1" w:rsidRPr="001D5327" w:rsidRDefault="00590FE1" w:rsidP="00403787">
            <w:pPr>
              <w:pStyle w:val="TableText"/>
              <w:keepNext/>
              <w:spacing w:before="40" w:after="40"/>
              <w:jc w:val="right"/>
              <w:rPr>
                <w:rFonts w:cs="Calibri"/>
              </w:rPr>
            </w:pPr>
            <w:r w:rsidRPr="001D5327">
              <w:rPr>
                <w:rFonts w:cs="Calibri"/>
              </w:rPr>
              <w:t>0.005</w:t>
            </w:r>
          </w:p>
        </w:tc>
        <w:tc>
          <w:tcPr>
            <w:tcW w:w="3969" w:type="dxa"/>
          </w:tcPr>
          <w:p w14:paraId="53D950F7" w14:textId="77777777" w:rsidR="00590FE1" w:rsidRPr="001D5327" w:rsidRDefault="00590FE1" w:rsidP="00403787">
            <w:pPr>
              <w:pStyle w:val="TableText"/>
              <w:keepNext/>
              <w:spacing w:before="40" w:after="40"/>
              <w:jc w:val="right"/>
              <w:rPr>
                <w:rFonts w:cs="Calibri"/>
              </w:rPr>
            </w:pPr>
            <w:r w:rsidRPr="001D5327">
              <w:rPr>
                <w:rFonts w:cs="Calibri"/>
              </w:rPr>
              <w:t>16/12</w:t>
            </w:r>
          </w:p>
        </w:tc>
      </w:tr>
      <w:tr w:rsidR="00590FE1" w:rsidRPr="001D5327" w14:paraId="18D07BC7" w14:textId="77777777" w:rsidTr="00403787">
        <w:tc>
          <w:tcPr>
            <w:tcW w:w="1013" w:type="dxa"/>
          </w:tcPr>
          <w:p w14:paraId="5B898B82" w14:textId="77777777" w:rsidR="00590FE1" w:rsidRPr="001D5327" w:rsidRDefault="00590FE1" w:rsidP="00403787">
            <w:pPr>
              <w:pStyle w:val="TableText"/>
              <w:spacing w:before="40" w:after="40"/>
              <w:rPr>
                <w:rFonts w:cs="Calibri"/>
              </w:rPr>
            </w:pPr>
            <w:r w:rsidRPr="001D5327">
              <w:rPr>
                <w:rFonts w:cs="Calibri"/>
              </w:rPr>
              <w:t>CO</w:t>
            </w:r>
          </w:p>
        </w:tc>
        <w:tc>
          <w:tcPr>
            <w:tcW w:w="3523" w:type="dxa"/>
          </w:tcPr>
          <w:p w14:paraId="46B9DD48" w14:textId="77777777" w:rsidR="00590FE1" w:rsidRPr="001D5327" w:rsidRDefault="00590FE1" w:rsidP="00403787">
            <w:pPr>
              <w:pStyle w:val="TableText"/>
              <w:spacing w:before="40" w:after="40"/>
              <w:jc w:val="right"/>
              <w:rPr>
                <w:rFonts w:cs="Calibri"/>
              </w:rPr>
            </w:pPr>
            <w:r w:rsidRPr="001D5327">
              <w:rPr>
                <w:rFonts w:cs="Calibri"/>
              </w:rPr>
              <w:t>0.06</w:t>
            </w:r>
          </w:p>
        </w:tc>
        <w:tc>
          <w:tcPr>
            <w:tcW w:w="3969" w:type="dxa"/>
          </w:tcPr>
          <w:p w14:paraId="636AF1F0" w14:textId="77777777" w:rsidR="00590FE1" w:rsidRPr="001D5327" w:rsidRDefault="00590FE1" w:rsidP="00403787">
            <w:pPr>
              <w:pStyle w:val="TableText"/>
              <w:spacing w:before="40" w:after="40"/>
              <w:jc w:val="right"/>
              <w:rPr>
                <w:rFonts w:cs="Calibri"/>
              </w:rPr>
            </w:pPr>
            <w:r w:rsidRPr="001D5327">
              <w:rPr>
                <w:rFonts w:cs="Calibri"/>
              </w:rPr>
              <w:t>28/12</w:t>
            </w:r>
          </w:p>
        </w:tc>
      </w:tr>
      <w:tr w:rsidR="00590FE1" w:rsidRPr="001D5327" w14:paraId="6C13E0FA" w14:textId="77777777" w:rsidTr="00403787">
        <w:tc>
          <w:tcPr>
            <w:tcW w:w="1013" w:type="dxa"/>
          </w:tcPr>
          <w:p w14:paraId="112930E0" w14:textId="77777777" w:rsidR="00590FE1" w:rsidRPr="001D5327" w:rsidRDefault="00590FE1" w:rsidP="00403787">
            <w:pPr>
              <w:pStyle w:val="TableText"/>
              <w:spacing w:before="40" w:after="40"/>
              <w:rPr>
                <w:rFonts w:cs="Calibri"/>
              </w:rPr>
            </w:pPr>
            <w:r w:rsidRPr="001D5327">
              <w:rPr>
                <w:rFonts w:cs="Calibri"/>
              </w:rPr>
              <w:t>N</w:t>
            </w:r>
            <w:r w:rsidRPr="001D5327">
              <w:rPr>
                <w:rFonts w:cs="Calibri"/>
                <w:vertAlign w:val="subscript"/>
              </w:rPr>
              <w:t>2</w:t>
            </w:r>
            <w:r w:rsidRPr="001D5327">
              <w:rPr>
                <w:rFonts w:cs="Calibri"/>
              </w:rPr>
              <w:t>O</w:t>
            </w:r>
          </w:p>
        </w:tc>
        <w:tc>
          <w:tcPr>
            <w:tcW w:w="3523" w:type="dxa"/>
          </w:tcPr>
          <w:p w14:paraId="7444C1F6" w14:textId="77777777" w:rsidR="00590FE1" w:rsidRPr="001D5327" w:rsidRDefault="00590FE1" w:rsidP="00403787">
            <w:pPr>
              <w:pStyle w:val="TableText"/>
              <w:spacing w:before="40" w:after="40"/>
              <w:jc w:val="right"/>
              <w:rPr>
                <w:rFonts w:cs="Calibri"/>
              </w:rPr>
            </w:pPr>
            <w:r w:rsidRPr="001D5327">
              <w:rPr>
                <w:rFonts w:cs="Calibri"/>
              </w:rPr>
              <w:t>0.007</w:t>
            </w:r>
          </w:p>
        </w:tc>
        <w:tc>
          <w:tcPr>
            <w:tcW w:w="3969" w:type="dxa"/>
          </w:tcPr>
          <w:p w14:paraId="0CD1EA3D" w14:textId="77777777" w:rsidR="00590FE1" w:rsidRPr="001D5327" w:rsidRDefault="00590FE1" w:rsidP="00403787">
            <w:pPr>
              <w:pStyle w:val="TableText"/>
              <w:spacing w:before="40" w:after="40"/>
              <w:jc w:val="right"/>
              <w:rPr>
                <w:rFonts w:cs="Calibri"/>
              </w:rPr>
            </w:pPr>
            <w:r w:rsidRPr="001D5327">
              <w:rPr>
                <w:rFonts w:cs="Calibri"/>
              </w:rPr>
              <w:t>44/28</w:t>
            </w:r>
          </w:p>
        </w:tc>
      </w:tr>
      <w:tr w:rsidR="00590FE1" w:rsidRPr="001D5327" w14:paraId="308C03EF" w14:textId="77777777" w:rsidTr="00403787">
        <w:tc>
          <w:tcPr>
            <w:tcW w:w="1013" w:type="dxa"/>
          </w:tcPr>
          <w:p w14:paraId="51AAC736" w14:textId="77777777" w:rsidR="00590FE1" w:rsidRPr="001D5327" w:rsidRDefault="00590FE1" w:rsidP="00403787">
            <w:pPr>
              <w:pStyle w:val="TableText"/>
              <w:spacing w:before="40" w:after="40"/>
              <w:rPr>
                <w:rFonts w:cs="Calibri"/>
              </w:rPr>
            </w:pPr>
            <w:r w:rsidRPr="001D5327">
              <w:rPr>
                <w:rFonts w:cs="Calibri"/>
              </w:rPr>
              <w:t>NO</w:t>
            </w:r>
            <w:r w:rsidRPr="001D5327">
              <w:rPr>
                <w:rFonts w:cs="Calibri"/>
                <w:vertAlign w:val="subscript"/>
              </w:rPr>
              <w:t>x</w:t>
            </w:r>
          </w:p>
        </w:tc>
        <w:tc>
          <w:tcPr>
            <w:tcW w:w="3523" w:type="dxa"/>
          </w:tcPr>
          <w:p w14:paraId="1FA94E24" w14:textId="77777777" w:rsidR="00590FE1" w:rsidRPr="001D5327" w:rsidRDefault="00590FE1" w:rsidP="00403787">
            <w:pPr>
              <w:pStyle w:val="TableText"/>
              <w:spacing w:before="40" w:after="40"/>
              <w:jc w:val="right"/>
              <w:rPr>
                <w:rFonts w:cs="Calibri"/>
              </w:rPr>
            </w:pPr>
            <w:r w:rsidRPr="001D5327">
              <w:rPr>
                <w:rFonts w:cs="Calibri"/>
              </w:rPr>
              <w:t>0.121</w:t>
            </w:r>
          </w:p>
        </w:tc>
        <w:tc>
          <w:tcPr>
            <w:tcW w:w="3969" w:type="dxa"/>
          </w:tcPr>
          <w:p w14:paraId="3D2787A8" w14:textId="77777777" w:rsidR="00590FE1" w:rsidRPr="001D5327" w:rsidRDefault="00590FE1" w:rsidP="00403787">
            <w:pPr>
              <w:pStyle w:val="TableText"/>
              <w:spacing w:before="40" w:after="40"/>
              <w:jc w:val="right"/>
              <w:rPr>
                <w:rFonts w:cs="Calibri"/>
              </w:rPr>
            </w:pPr>
            <w:r w:rsidRPr="001D5327">
              <w:rPr>
                <w:rFonts w:cs="Calibri"/>
              </w:rPr>
              <w:t>46/14</w:t>
            </w:r>
          </w:p>
        </w:tc>
      </w:tr>
    </w:tbl>
    <w:p w14:paraId="067FC1BE" w14:textId="77777777" w:rsidR="00590FE1" w:rsidRPr="001D5327" w:rsidRDefault="00590FE1" w:rsidP="00590FE1">
      <w:pPr>
        <w:pStyle w:val="BodyText"/>
        <w:keepNext/>
        <w:spacing w:before="240"/>
        <w:rPr>
          <w:rFonts w:cs="Calibri"/>
        </w:rPr>
      </w:pPr>
      <w:r w:rsidRPr="001D5327">
        <w:rPr>
          <w:rFonts w:cs="Calibri"/>
        </w:rPr>
        <w:t>The total emissions (CH</w:t>
      </w:r>
      <w:r w:rsidRPr="001D5327">
        <w:rPr>
          <w:rFonts w:cs="Calibri"/>
          <w:vertAlign w:val="subscript"/>
        </w:rPr>
        <w:t>4</w:t>
      </w:r>
      <w:r w:rsidRPr="001D5327">
        <w:rPr>
          <w:rFonts w:cs="Calibri"/>
        </w:rPr>
        <w:t>, CO, N</w:t>
      </w:r>
      <w:r w:rsidRPr="001D5327">
        <w:rPr>
          <w:rFonts w:cs="Calibri"/>
          <w:vertAlign w:val="subscript"/>
        </w:rPr>
        <w:t>2</w:t>
      </w:r>
      <w:r w:rsidRPr="001D5327">
        <w:rPr>
          <w:rFonts w:cs="Calibri"/>
        </w:rPr>
        <w:t>O and NO</w:t>
      </w:r>
      <w:r w:rsidRPr="001D5327">
        <w:rPr>
          <w:rFonts w:cs="Calibri"/>
          <w:vertAlign w:val="subscript"/>
        </w:rPr>
        <w:t>x</w:t>
      </w:r>
      <w:r w:rsidRPr="001D5327">
        <w:rPr>
          <w:rFonts w:cs="Calibri"/>
        </w:rPr>
        <w:t>) are calculated as shown below:</w:t>
      </w:r>
    </w:p>
    <w:p w14:paraId="6E38484C" w14:textId="77777777" w:rsidR="00590FE1" w:rsidRPr="001D5327" w:rsidRDefault="00000000" w:rsidP="00590FE1">
      <w:pPr>
        <w:pStyle w:val="BodyText"/>
        <w:keepNext/>
        <w:spacing w:before="60"/>
        <w:jc w:val="center"/>
      </w:pPr>
      <m:oMathPara>
        <m:oMath>
          <m:sSub>
            <m:sSubPr>
              <m:ctrlPr>
                <w:rPr>
                  <w:rFonts w:ascii="Cambria Math" w:hAnsi="Cambria Math"/>
                  <w:i/>
                  <w:sz w:val="24"/>
                  <w:szCs w:val="24"/>
                </w:rPr>
              </m:ctrlPr>
            </m:sSubPr>
            <m:e>
              <m:r>
                <w:rPr>
                  <w:rFonts w:ascii="Cambria Math" w:hAnsi="Cambria Math"/>
                  <w:sz w:val="24"/>
                  <w:szCs w:val="24"/>
                </w:rPr>
                <m:t>Emissions</m:t>
              </m:r>
            </m:e>
            <m:sub>
              <m:r>
                <w:rPr>
                  <w:rFonts w:ascii="Cambria Math" w:hAnsi="Cambria Math"/>
                  <w:sz w:val="24"/>
                  <w:szCs w:val="24"/>
                </w:rPr>
                <m:t>BURN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BURN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OX</m:t>
              </m:r>
            </m:sub>
          </m:sSub>
          <m:r>
            <w:rPr>
              <w:rFonts w:ascii="Cambria Math" w:hAnsi="Cambria Math"/>
              <w:sz w:val="24"/>
              <w:szCs w:val="24"/>
            </w:rPr>
            <m:t xml:space="preserve">∙ER∙GCR </m:t>
          </m:r>
        </m:oMath>
      </m:oMathPara>
    </w:p>
    <w:p w14:paraId="003A873F" w14:textId="77777777" w:rsidR="00590FE1" w:rsidRPr="001D5327" w:rsidRDefault="00590FE1" w:rsidP="00590FE1">
      <w:pPr>
        <w:pStyle w:val="BodyText"/>
        <w:spacing w:after="20"/>
        <w:ind w:left="964" w:hanging="964"/>
      </w:pPr>
      <w:r w:rsidRPr="001D5327">
        <w:t>Where:</w:t>
      </w:r>
      <w:r w:rsidRPr="001D5327">
        <w:tab/>
        <w:t>AG</w:t>
      </w:r>
      <w:r w:rsidRPr="001D5327">
        <w:rPr>
          <w:vertAlign w:val="subscript"/>
        </w:rPr>
        <w:t>BURN</w:t>
      </w:r>
      <w:r w:rsidRPr="001D5327">
        <w:t xml:space="preserve"> is the above-ground biomass burned (kt)</w:t>
      </w:r>
    </w:p>
    <w:p w14:paraId="60632445" w14:textId="77777777" w:rsidR="00590FE1" w:rsidRPr="001D5327" w:rsidRDefault="00590FE1" w:rsidP="00590FE1">
      <w:pPr>
        <w:pStyle w:val="BodyText"/>
        <w:spacing w:before="60" w:after="20"/>
        <w:ind w:left="964"/>
      </w:pPr>
      <w:r w:rsidRPr="001D5327">
        <w:t>Frac</w:t>
      </w:r>
      <w:r w:rsidRPr="001D5327">
        <w:rPr>
          <w:vertAlign w:val="subscript"/>
        </w:rPr>
        <w:t>OX</w:t>
      </w:r>
      <w:r w:rsidRPr="001D5327">
        <w:t xml:space="preserve"> is the fraction oxidised (see table 5.7.2) </w:t>
      </w:r>
    </w:p>
    <w:p w14:paraId="56736799" w14:textId="77777777" w:rsidR="00590FE1" w:rsidRPr="001D5327" w:rsidRDefault="00590FE1" w:rsidP="00590FE1">
      <w:pPr>
        <w:pStyle w:val="BodyText"/>
        <w:spacing w:before="60" w:after="20"/>
        <w:ind w:left="964"/>
      </w:pPr>
      <w:r w:rsidRPr="001D5327">
        <w:t xml:space="preserve">ER is the gas-specific emission ratio, and </w:t>
      </w:r>
    </w:p>
    <w:p w14:paraId="245A3C77" w14:textId="77777777" w:rsidR="00590FE1" w:rsidRPr="001D5327" w:rsidRDefault="00590FE1" w:rsidP="00590FE1">
      <w:pPr>
        <w:pStyle w:val="BodyText"/>
        <w:spacing w:before="60" w:after="80"/>
        <w:ind w:left="964"/>
      </w:pPr>
      <w:r w:rsidRPr="001D5327">
        <w:t xml:space="preserve">GCR is the gas-conversion ratio (see table 5.7.1). </w:t>
      </w:r>
    </w:p>
    <w:p w14:paraId="34CE5994" w14:textId="77777777" w:rsidR="00590FE1" w:rsidRPr="001D5327" w:rsidRDefault="00590FE1" w:rsidP="00590FE1">
      <w:pPr>
        <w:pStyle w:val="BodyText"/>
        <w:spacing w:after="60"/>
        <w:rPr>
          <w:rFonts w:cs="Calibri"/>
        </w:rPr>
      </w:pPr>
      <w:r w:rsidRPr="001D5327">
        <w:rPr>
          <w:rFonts w:cs="Calibri"/>
        </w:rPr>
        <w:t>The calculation for AG</w:t>
      </w:r>
      <w:r w:rsidRPr="001D5327">
        <w:rPr>
          <w:rFonts w:cs="Calibri"/>
          <w:vertAlign w:val="subscript"/>
        </w:rPr>
        <w:t xml:space="preserve">BURN </w:t>
      </w:r>
      <w:r w:rsidRPr="001D5327">
        <w:rPr>
          <w:rFonts w:cs="Calibri"/>
        </w:rPr>
        <w:t>is different for 1990 to 2004 and 2005 to 2023, to account for changes in the availability of activity data over these periods. Stats NZ did not collect data on crop residue burning before 2005. Therefore, from 1990 to 2004, calculation of the amount of biomass residue burned (AG</w:t>
      </w:r>
      <w:r w:rsidRPr="001D5327">
        <w:rPr>
          <w:rFonts w:cs="Calibri"/>
          <w:vertAlign w:val="subscript"/>
        </w:rPr>
        <w:t>BURN</w:t>
      </w:r>
      <w:r w:rsidRPr="001D5327">
        <w:rPr>
          <w:rFonts w:cs="Calibri"/>
        </w:rPr>
        <w:t>) was based on the total mass of crop production (from the Stats NZ Agricultural Production Census and Agricultural Production Survey) and assumed fractions burned for each crop, where:</w:t>
      </w:r>
    </w:p>
    <w:bookmarkStart w:id="1425" w:name="_1764398050"/>
    <w:bookmarkStart w:id="1426" w:name="_1767789155"/>
    <w:bookmarkEnd w:id="1425"/>
    <w:bookmarkEnd w:id="1426"/>
    <w:p w14:paraId="6B4F4D04" w14:textId="77777777" w:rsidR="00590FE1" w:rsidRPr="001D5327" w:rsidRDefault="00000000" w:rsidP="00590FE1">
      <w:pPr>
        <w:pStyle w:val="BodyText"/>
        <w:spacing w:before="60"/>
        <w:jc w:val="center"/>
        <w:rPr>
          <w:rFonts w:cs="Calibri"/>
          <w:sz w:val="24"/>
          <w:szCs w:val="24"/>
        </w:rPr>
      </w:pPr>
      <m:oMathPara>
        <m:oMath>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BURN</m:t>
                  </m:r>
                </m:sub>
              </m:sSub>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AREA-BURN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RESIDUE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BURN</m:t>
              </m:r>
            </m:sub>
          </m:sSub>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r>
            <w:rPr>
              <w:rFonts w:ascii="Cambria Math" w:hAnsi="Cambria Math" w:cs="Calibri"/>
              <w:sz w:val="24"/>
              <w:szCs w:val="24"/>
            </w:rPr>
            <m:t xml:space="preserve"> </m:t>
          </m:r>
        </m:oMath>
      </m:oMathPara>
    </w:p>
    <w:p w14:paraId="5C4A92E1" w14:textId="77777777" w:rsidR="00590FE1" w:rsidRPr="001D5327" w:rsidRDefault="00590FE1" w:rsidP="00590FE1">
      <w:pPr>
        <w:pStyle w:val="BodyText"/>
        <w:spacing w:after="0"/>
        <w:ind w:left="964" w:hanging="964"/>
        <w:rPr>
          <w:rFonts w:cs="Calibri"/>
        </w:rPr>
      </w:pPr>
      <w:r w:rsidRPr="001D5327">
        <w:rPr>
          <w:rFonts w:cs="Calibri"/>
        </w:rPr>
        <w:t>Where:</w:t>
      </w:r>
      <w:r w:rsidRPr="001D5327">
        <w:rPr>
          <w:rFonts w:cs="Calibri"/>
        </w:rPr>
        <w:tab/>
        <w:t>AG</w:t>
      </w:r>
      <w:r w:rsidRPr="001D5327">
        <w:rPr>
          <w:rFonts w:cs="Calibri"/>
          <w:vertAlign w:val="subscript"/>
        </w:rPr>
        <w:t>DM</w:t>
      </w:r>
      <w:r w:rsidRPr="001D5327">
        <w:rPr>
          <w:rFonts w:cs="Calibri"/>
        </w:rPr>
        <w:t xml:space="preserve"> is the above-ground residue (defined below)</w:t>
      </w:r>
    </w:p>
    <w:p w14:paraId="33F1A877" w14:textId="77777777" w:rsidR="00590FE1" w:rsidRPr="001D5327" w:rsidRDefault="00590FE1" w:rsidP="00590FE1">
      <w:pPr>
        <w:pStyle w:val="BodyText"/>
        <w:spacing w:before="60" w:after="0"/>
        <w:ind w:left="964"/>
      </w:pPr>
      <w:r w:rsidRPr="001D5327">
        <w:rPr>
          <w:rFonts w:cs="Calibri"/>
        </w:rPr>
        <w:t>Frac</w:t>
      </w:r>
      <w:r w:rsidRPr="001D5327">
        <w:rPr>
          <w:rFonts w:cs="Calibri"/>
          <w:vertAlign w:val="subscript"/>
        </w:rPr>
        <w:t xml:space="preserve">AREA–BURN </w:t>
      </w:r>
      <w:r w:rsidRPr="001D5327">
        <w:rPr>
          <w:rFonts w:cs="Calibri"/>
        </w:rPr>
        <w:t>is the proportion of crop area burned of the total production area (discussed further below)</w:t>
      </w:r>
    </w:p>
    <w:p w14:paraId="58D8B831" w14:textId="77777777" w:rsidR="00590FE1" w:rsidRPr="001D5327" w:rsidRDefault="00590FE1" w:rsidP="00590FE1">
      <w:pPr>
        <w:pStyle w:val="BodyText"/>
        <w:spacing w:before="60" w:after="0"/>
        <w:ind w:left="964"/>
        <w:rPr>
          <w:rFonts w:cs="Calibri"/>
        </w:rPr>
      </w:pPr>
      <w:r w:rsidRPr="001D5327">
        <w:rPr>
          <w:rFonts w:cs="Calibri"/>
        </w:rPr>
        <w:t>Frac</w:t>
      </w:r>
      <w:r w:rsidRPr="001D5327">
        <w:rPr>
          <w:rFonts w:cs="Calibri"/>
          <w:vertAlign w:val="subscript"/>
        </w:rPr>
        <w:t>RESIDUE</w:t>
      </w:r>
      <w:r w:rsidRPr="001D5327">
        <w:rPr>
          <w:rFonts w:cs="Calibri"/>
        </w:rPr>
        <w:t xml:space="preserve"> is the proportion of residue remaining after harvest (see table 5.7.2), and</w:t>
      </w:r>
    </w:p>
    <w:p w14:paraId="0D1F1D46" w14:textId="77777777" w:rsidR="00590FE1" w:rsidRPr="001D5327" w:rsidRDefault="00590FE1" w:rsidP="00590FE1">
      <w:pPr>
        <w:pStyle w:val="BodyText"/>
        <w:spacing w:before="60"/>
        <w:ind w:left="964"/>
        <w:rPr>
          <w:rFonts w:cs="Calibri"/>
        </w:rPr>
      </w:pPr>
      <w:r w:rsidRPr="001D5327">
        <w:rPr>
          <w:rFonts w:cs="Calibri"/>
        </w:rPr>
        <w:t>Frac</w:t>
      </w:r>
      <w:r w:rsidRPr="001D5327">
        <w:rPr>
          <w:rFonts w:cs="Calibri"/>
          <w:vertAlign w:val="subscript"/>
        </w:rPr>
        <w:t>BURN</w:t>
      </w:r>
      <w:r w:rsidRPr="001D5327">
        <w:rPr>
          <w:rFonts w:cs="Calibri"/>
        </w:rPr>
        <w:t xml:space="preserve"> is the proportion of remaining residue burned (see table 5.7.2).</w:t>
      </w:r>
    </w:p>
    <w:p w14:paraId="7DB2C85D" w14:textId="77777777" w:rsidR="00590FE1" w:rsidRPr="001D5327" w:rsidRDefault="00590FE1" w:rsidP="00B61835">
      <w:pPr>
        <w:pStyle w:val="BodyText"/>
        <w:keepNext/>
        <w:spacing w:after="60"/>
      </w:pPr>
      <w:r w:rsidRPr="001D5327">
        <w:lastRenderedPageBreak/>
        <w:t>The above-ground residue, AG</w:t>
      </w:r>
      <w:r w:rsidRPr="001D5327">
        <w:rPr>
          <w:vertAlign w:val="subscript"/>
        </w:rPr>
        <w:t>DM</w:t>
      </w:r>
      <w:r w:rsidRPr="001D5327">
        <w:t xml:space="preserve"> (tonnes), is:</w:t>
      </w:r>
    </w:p>
    <w:bookmarkStart w:id="1427" w:name="_1767789289"/>
    <w:bookmarkEnd w:id="1427"/>
    <w:p w14:paraId="4EBD91FE" w14:textId="77777777" w:rsidR="00590FE1" w:rsidRPr="001D5327" w:rsidRDefault="00000000" w:rsidP="00590FE1">
      <w:pPr>
        <w:pStyle w:val="BodyText"/>
        <w:spacing w:before="80" w:after="60"/>
        <w:jc w:val="center"/>
        <w:rPr>
          <w:rFonts w:cs="Calibri"/>
        </w:rPr>
      </w:pPr>
      <m:oMathPara>
        <m:oMath>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Prod</m:t>
                  </m:r>
                </m:e>
                <m:sub>
                  <m:r>
                    <w:rPr>
                      <w:rFonts w:ascii="Cambria Math" w:hAnsi="Cambria Math"/>
                      <w:sz w:val="24"/>
                      <w:szCs w:val="24"/>
                    </w:rPr>
                    <m:t>DM</m:t>
                  </m:r>
                </m:sub>
              </m:sSub>
            </m:num>
            <m:den>
              <m:r>
                <w:rPr>
                  <w:rFonts w:ascii="Cambria Math" w:hAnsi="Cambria Math"/>
                  <w:sz w:val="24"/>
                  <w:szCs w:val="24"/>
                </w:rPr>
                <m:t>HI</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Prod</m:t>
              </m:r>
            </m:e>
            <m:sub>
              <m:r>
                <w:rPr>
                  <w:rFonts w:ascii="Cambria Math" w:hAnsi="Cambria Math"/>
                  <w:sz w:val="24"/>
                  <w:szCs w:val="24"/>
                </w:rPr>
                <m:t>DM</m:t>
              </m:r>
            </m:sub>
          </m:sSub>
        </m:oMath>
      </m:oMathPara>
    </w:p>
    <w:p w14:paraId="5996A100" w14:textId="77777777" w:rsidR="00590FE1" w:rsidRPr="001D5327" w:rsidRDefault="00590FE1" w:rsidP="00590FE1">
      <w:pPr>
        <w:pStyle w:val="BodyText"/>
        <w:spacing w:after="60"/>
        <w:ind w:left="964" w:hanging="964"/>
        <w:rPr>
          <w:rFonts w:cs="Calibri"/>
        </w:rPr>
      </w:pPr>
      <w:r w:rsidRPr="001D5327">
        <w:rPr>
          <w:rFonts w:cs="Calibri"/>
        </w:rPr>
        <w:t>Where:</w:t>
      </w:r>
      <w:r w:rsidRPr="001D5327">
        <w:rPr>
          <w:rFonts w:cs="Calibri"/>
        </w:rPr>
        <w:tab/>
        <w:t>HI is the harvest index (crop-specific, table 5.7.2), that is, the mass harvested over the total mass of above-ground biomass.</w:t>
      </w:r>
    </w:p>
    <w:p w14:paraId="02AB7424" w14:textId="77777777" w:rsidR="00590FE1" w:rsidRPr="001D5327" w:rsidRDefault="00590FE1" w:rsidP="00590FE1">
      <w:pPr>
        <w:pStyle w:val="BodyText"/>
        <w:keepNext/>
        <w:spacing w:before="80"/>
        <w:rPr>
          <w:rFonts w:cs="Calibri"/>
        </w:rPr>
      </w:pPr>
      <w:r w:rsidRPr="001D5327">
        <w:rPr>
          <w:rFonts w:cs="Calibri"/>
        </w:rPr>
        <w:t>The dry matter, Prod</w:t>
      </w:r>
      <w:r w:rsidRPr="001D5327">
        <w:rPr>
          <w:rFonts w:cs="Calibri"/>
          <w:vertAlign w:val="subscript"/>
        </w:rPr>
        <w:t>DM</w:t>
      </w:r>
      <w:r w:rsidRPr="001D5327">
        <w:rPr>
          <w:rFonts w:cs="Calibri"/>
        </w:rPr>
        <w:t xml:space="preserve"> (tonnes), available to be burned is:</w:t>
      </w:r>
    </w:p>
    <w:bookmarkStart w:id="1428" w:name="_1767789319"/>
    <w:bookmarkEnd w:id="1428"/>
    <w:p w14:paraId="06933537" w14:textId="77777777" w:rsidR="00590FE1" w:rsidRPr="001D5327" w:rsidRDefault="00000000" w:rsidP="00590FE1">
      <w:pPr>
        <w:pStyle w:val="BodyText"/>
        <w:spacing w:before="0"/>
        <w:jc w:val="center"/>
        <w:rPr>
          <w:rFonts w:cs="Calibri"/>
          <w:sz w:val="24"/>
          <w:szCs w:val="24"/>
        </w:rPr>
      </w:pPr>
      <m:oMathPara>
        <m:oMath>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Prod</m:t>
                  </m:r>
                </m:e>
                <m:sub>
                  <m:r>
                    <w:rPr>
                      <w:rFonts w:ascii="Cambria Math" w:hAnsi="Cambria Math"/>
                      <w:sz w:val="24"/>
                      <w:szCs w:val="24"/>
                    </w:rPr>
                    <m:t>DM</m:t>
                  </m:r>
                </m:sub>
              </m:sSub>
              <m:r>
                <w:rPr>
                  <w:rFonts w:ascii="Cambria Math" w:hAnsi="Cambria Math"/>
                  <w:sz w:val="24"/>
                  <w:szCs w:val="24"/>
                </w:rPr>
                <m:t>=Crop</m:t>
              </m:r>
            </m:e>
            <m:sub>
              <m:r>
                <w:rPr>
                  <w:rFonts w:ascii="Cambria Math" w:hAnsi="Cambria Math"/>
                  <w:sz w:val="24"/>
                  <w:szCs w:val="24"/>
                </w:rPr>
                <m:t>PROD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DM</m:t>
              </m:r>
            </m:sub>
          </m:sSub>
        </m:oMath>
      </m:oMathPara>
    </w:p>
    <w:p w14:paraId="586D31EF" w14:textId="77777777" w:rsidR="00590FE1" w:rsidRPr="001D5327" w:rsidRDefault="00590FE1" w:rsidP="00590FE1">
      <w:pPr>
        <w:pStyle w:val="BodyText"/>
        <w:spacing w:before="60" w:after="0"/>
        <w:ind w:left="964" w:hanging="964"/>
        <w:rPr>
          <w:rFonts w:cs="Calibri"/>
        </w:rPr>
      </w:pPr>
      <w:r w:rsidRPr="001D5327">
        <w:rPr>
          <w:rFonts w:cs="Calibri"/>
        </w:rPr>
        <w:t>Where:</w:t>
      </w:r>
      <w:r w:rsidRPr="001D5327">
        <w:rPr>
          <w:rFonts w:cs="Calibri"/>
        </w:rPr>
        <w:tab/>
        <w:t>Crop</w:t>
      </w:r>
      <w:r w:rsidRPr="001D5327">
        <w:rPr>
          <w:rFonts w:cs="Calibri"/>
          <w:vertAlign w:val="subscript"/>
        </w:rPr>
        <w:t>PROD</w:t>
      </w:r>
      <w:r w:rsidRPr="001D5327">
        <w:rPr>
          <w:rFonts w:cs="Calibri"/>
        </w:rPr>
        <w:t xml:space="preserve"> is the annual crop production (tonnes) (Stats NZ Agricultural Production Census and Agricultural Production Survey), and</w:t>
      </w:r>
    </w:p>
    <w:p w14:paraId="70217C12" w14:textId="77777777" w:rsidR="00590FE1" w:rsidRPr="001D5327" w:rsidRDefault="00590FE1" w:rsidP="00590FE1">
      <w:pPr>
        <w:pStyle w:val="BodyText"/>
        <w:spacing w:before="60"/>
        <w:ind w:left="964"/>
        <w:rPr>
          <w:rFonts w:cs="Calibri"/>
        </w:rPr>
      </w:pPr>
      <w:r w:rsidRPr="001D5327">
        <w:rPr>
          <w:rFonts w:cs="Calibri"/>
        </w:rPr>
        <w:t>Frac</w:t>
      </w:r>
      <w:r w:rsidRPr="001D5327">
        <w:rPr>
          <w:rFonts w:cs="Calibri"/>
          <w:vertAlign w:val="subscript"/>
        </w:rPr>
        <w:t>DM</w:t>
      </w:r>
      <w:r w:rsidRPr="001D5327">
        <w:rPr>
          <w:rFonts w:cs="Calibri"/>
        </w:rPr>
        <w:t xml:space="preserve"> is the fraction of crop that is dry matter (crop specific, table 5.7.2).</w:t>
      </w:r>
    </w:p>
    <w:p w14:paraId="4FA1C2C9" w14:textId="77777777" w:rsidR="00590FE1" w:rsidRPr="001D5327" w:rsidRDefault="00590FE1" w:rsidP="00590FE1">
      <w:pPr>
        <w:pStyle w:val="Table"/>
        <w:rPr>
          <w:rFonts w:cs="Calibri"/>
        </w:rPr>
      </w:pPr>
      <w:bookmarkStart w:id="1429" w:name="_Toc352504980"/>
      <w:bookmarkStart w:id="1430" w:name="_Toc441830891"/>
      <w:bookmarkStart w:id="1431" w:name="_Toc451176105"/>
      <w:bookmarkStart w:id="1432" w:name="_Toc481751535"/>
      <w:bookmarkStart w:id="1433" w:name="_Toc507158621"/>
      <w:bookmarkStart w:id="1434" w:name="_Toc511116755"/>
      <w:bookmarkStart w:id="1435" w:name="_Toc5269497"/>
      <w:bookmarkStart w:id="1436" w:name="_Toc32570944"/>
      <w:bookmarkStart w:id="1437" w:name="_Toc36224579"/>
      <w:bookmarkStart w:id="1438" w:name="_Toc68786464"/>
      <w:bookmarkStart w:id="1439" w:name="_Toc95574095"/>
      <w:bookmarkStart w:id="1440" w:name="_Toc127458284"/>
      <w:bookmarkStart w:id="1441" w:name="_Toc131591380"/>
      <w:bookmarkStart w:id="1442" w:name="_Toc160114475"/>
      <w:bookmarkStart w:id="1443" w:name="_Toc164153871"/>
      <w:bookmarkStart w:id="1444" w:name="_Toc194241744"/>
      <w:r w:rsidRPr="001D5327">
        <w:rPr>
          <w:rFonts w:cs="Calibri"/>
        </w:rPr>
        <w:t xml:space="preserve">Table 5.7.2 </w:t>
      </w:r>
      <w:r w:rsidRPr="001D5327">
        <w:rPr>
          <w:rFonts w:cs="Calibri"/>
        </w:rPr>
        <w:tab/>
        <w:t>Values used to calculate New Zealand emissions from burning of agricultural residues</w:t>
      </w:r>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p>
    <w:tbl>
      <w:tblPr>
        <w:tblW w:w="8505" w:type="dxa"/>
        <w:tblBorders>
          <w:top w:val="single" w:sz="4" w:space="0" w:color="1B556B" w:themeColor="text2"/>
          <w:bottom w:val="single" w:sz="4" w:space="0" w:color="1B556B" w:themeColor="text2"/>
          <w:insideH w:val="single" w:sz="4" w:space="0" w:color="1B556B" w:themeColor="text2"/>
        </w:tblBorders>
        <w:tblLook w:val="0000" w:firstRow="0" w:lastRow="0" w:firstColumn="0" w:lastColumn="0" w:noHBand="0" w:noVBand="0"/>
      </w:tblPr>
      <w:tblGrid>
        <w:gridCol w:w="4695"/>
        <w:gridCol w:w="1270"/>
        <w:gridCol w:w="1270"/>
        <w:gridCol w:w="1270"/>
      </w:tblGrid>
      <w:tr w:rsidR="00590FE1" w:rsidRPr="001D5327" w14:paraId="0D84073A" w14:textId="77777777" w:rsidTr="00403787">
        <w:trPr>
          <w:tblHeader/>
        </w:trPr>
        <w:tc>
          <w:tcPr>
            <w:tcW w:w="4480" w:type="dxa"/>
            <w:shd w:val="clear" w:color="auto" w:fill="1B556B"/>
            <w:noWrap/>
            <w:vAlign w:val="bottom"/>
          </w:tcPr>
          <w:p w14:paraId="0BBA89CA" w14:textId="77777777" w:rsidR="00590FE1" w:rsidRPr="001D5327" w:rsidRDefault="00590FE1" w:rsidP="00403787">
            <w:pPr>
              <w:pStyle w:val="TableTextBold"/>
              <w:keepNext/>
              <w:spacing w:before="40" w:after="30"/>
              <w:rPr>
                <w:noProof w:val="0"/>
                <w:color w:val="FFFFFF" w:themeColor="background1"/>
                <w:szCs w:val="16"/>
              </w:rPr>
            </w:pPr>
          </w:p>
        </w:tc>
        <w:tc>
          <w:tcPr>
            <w:tcW w:w="1211" w:type="dxa"/>
            <w:shd w:val="clear" w:color="auto" w:fill="1B556B"/>
            <w:noWrap/>
            <w:vAlign w:val="bottom"/>
          </w:tcPr>
          <w:p w14:paraId="0E44CC06" w14:textId="77777777" w:rsidR="00590FE1" w:rsidRPr="001D5327" w:rsidRDefault="00590FE1" w:rsidP="00403787">
            <w:pPr>
              <w:pStyle w:val="TableTextBold"/>
              <w:keepNext/>
              <w:spacing w:before="40" w:after="30"/>
              <w:jc w:val="right"/>
              <w:rPr>
                <w:noProof w:val="0"/>
                <w:color w:val="FFFFFF" w:themeColor="background1"/>
                <w:szCs w:val="16"/>
              </w:rPr>
            </w:pPr>
            <w:r w:rsidRPr="001D5327">
              <w:rPr>
                <w:noProof w:val="0"/>
                <w:color w:val="FFFFFF" w:themeColor="background1"/>
                <w:szCs w:val="16"/>
              </w:rPr>
              <w:t>Barley</w:t>
            </w:r>
          </w:p>
        </w:tc>
        <w:tc>
          <w:tcPr>
            <w:tcW w:w="1211" w:type="dxa"/>
            <w:shd w:val="clear" w:color="auto" w:fill="1B556B"/>
            <w:noWrap/>
            <w:vAlign w:val="bottom"/>
          </w:tcPr>
          <w:p w14:paraId="0053BA28" w14:textId="77777777" w:rsidR="00590FE1" w:rsidRPr="001D5327" w:rsidRDefault="00590FE1" w:rsidP="00403787">
            <w:pPr>
              <w:pStyle w:val="TableTextBold"/>
              <w:keepNext/>
              <w:spacing w:before="40" w:after="30"/>
              <w:jc w:val="right"/>
              <w:rPr>
                <w:noProof w:val="0"/>
                <w:color w:val="FFFFFF" w:themeColor="background1"/>
                <w:szCs w:val="16"/>
              </w:rPr>
            </w:pPr>
            <w:r w:rsidRPr="001D5327">
              <w:rPr>
                <w:noProof w:val="0"/>
                <w:color w:val="FFFFFF" w:themeColor="background1"/>
                <w:szCs w:val="16"/>
              </w:rPr>
              <w:t>Wheat</w:t>
            </w:r>
          </w:p>
        </w:tc>
        <w:tc>
          <w:tcPr>
            <w:tcW w:w="1211" w:type="dxa"/>
            <w:shd w:val="clear" w:color="auto" w:fill="1B556B"/>
            <w:noWrap/>
            <w:vAlign w:val="bottom"/>
          </w:tcPr>
          <w:p w14:paraId="271937F2" w14:textId="77777777" w:rsidR="00590FE1" w:rsidRPr="001D5327" w:rsidRDefault="00590FE1" w:rsidP="00403787">
            <w:pPr>
              <w:pStyle w:val="TableTextBold"/>
              <w:keepNext/>
              <w:spacing w:before="40" w:after="30"/>
              <w:jc w:val="right"/>
              <w:rPr>
                <w:noProof w:val="0"/>
                <w:color w:val="FFFFFF" w:themeColor="background1"/>
                <w:szCs w:val="16"/>
              </w:rPr>
            </w:pPr>
            <w:r w:rsidRPr="001D5327">
              <w:rPr>
                <w:noProof w:val="0"/>
                <w:color w:val="FFFFFF" w:themeColor="background1"/>
                <w:szCs w:val="16"/>
              </w:rPr>
              <w:t>Oats</w:t>
            </w:r>
          </w:p>
        </w:tc>
      </w:tr>
      <w:tr w:rsidR="00590FE1" w:rsidRPr="001D5327" w14:paraId="0230BA3E" w14:textId="77777777" w:rsidTr="00403787">
        <w:tc>
          <w:tcPr>
            <w:tcW w:w="4480" w:type="dxa"/>
            <w:noWrap/>
            <w:vAlign w:val="bottom"/>
          </w:tcPr>
          <w:p w14:paraId="1D15E270" w14:textId="77777777" w:rsidR="00590FE1" w:rsidRPr="001D5327" w:rsidRDefault="00590FE1" w:rsidP="00403787">
            <w:pPr>
              <w:pStyle w:val="TableText"/>
              <w:keepNext/>
              <w:spacing w:before="40" w:after="30"/>
              <w:rPr>
                <w:rFonts w:cs="Calibri"/>
                <w:szCs w:val="16"/>
              </w:rPr>
            </w:pPr>
            <w:r w:rsidRPr="001D5327">
              <w:rPr>
                <w:rFonts w:cs="Calibri"/>
                <w:szCs w:val="16"/>
              </w:rPr>
              <w:t>Fraction oxidised</w:t>
            </w:r>
          </w:p>
        </w:tc>
        <w:tc>
          <w:tcPr>
            <w:tcW w:w="1211" w:type="dxa"/>
            <w:noWrap/>
            <w:vAlign w:val="bottom"/>
          </w:tcPr>
          <w:p w14:paraId="6B9C9629" w14:textId="77777777" w:rsidR="00590FE1" w:rsidRPr="001D5327" w:rsidRDefault="00590FE1" w:rsidP="00403787">
            <w:pPr>
              <w:pStyle w:val="TableText"/>
              <w:keepNext/>
              <w:spacing w:before="40" w:after="30"/>
              <w:jc w:val="right"/>
              <w:rPr>
                <w:rFonts w:cs="Calibri"/>
                <w:szCs w:val="16"/>
              </w:rPr>
            </w:pPr>
            <w:r w:rsidRPr="001D5327">
              <w:rPr>
                <w:rFonts w:cs="Calibri"/>
                <w:szCs w:val="16"/>
              </w:rPr>
              <w:t>0.9</w:t>
            </w:r>
          </w:p>
        </w:tc>
        <w:tc>
          <w:tcPr>
            <w:tcW w:w="1211" w:type="dxa"/>
            <w:noWrap/>
            <w:vAlign w:val="bottom"/>
          </w:tcPr>
          <w:p w14:paraId="71399AED" w14:textId="77777777" w:rsidR="00590FE1" w:rsidRPr="001D5327" w:rsidRDefault="00590FE1" w:rsidP="00403787">
            <w:pPr>
              <w:pStyle w:val="TableText"/>
              <w:keepNext/>
              <w:spacing w:before="40" w:after="30"/>
              <w:jc w:val="right"/>
              <w:rPr>
                <w:rFonts w:cs="Calibri"/>
                <w:szCs w:val="16"/>
              </w:rPr>
            </w:pPr>
            <w:r w:rsidRPr="001D5327">
              <w:rPr>
                <w:rFonts w:cs="Calibri"/>
                <w:szCs w:val="16"/>
              </w:rPr>
              <w:t>0.9</w:t>
            </w:r>
          </w:p>
        </w:tc>
        <w:tc>
          <w:tcPr>
            <w:tcW w:w="1211" w:type="dxa"/>
            <w:noWrap/>
            <w:vAlign w:val="bottom"/>
          </w:tcPr>
          <w:p w14:paraId="49F97600" w14:textId="77777777" w:rsidR="00590FE1" w:rsidRPr="001D5327" w:rsidRDefault="00590FE1" w:rsidP="00403787">
            <w:pPr>
              <w:pStyle w:val="TableText"/>
              <w:keepNext/>
              <w:spacing w:before="40" w:after="30"/>
              <w:jc w:val="right"/>
              <w:rPr>
                <w:rFonts w:cs="Calibri"/>
                <w:szCs w:val="16"/>
              </w:rPr>
            </w:pPr>
            <w:r w:rsidRPr="001D5327">
              <w:rPr>
                <w:rFonts w:cs="Calibri"/>
                <w:szCs w:val="16"/>
              </w:rPr>
              <w:t>0.9</w:t>
            </w:r>
          </w:p>
        </w:tc>
      </w:tr>
      <w:tr w:rsidR="00590FE1" w:rsidRPr="001D5327" w14:paraId="01D364A4" w14:textId="77777777" w:rsidTr="00403787">
        <w:tc>
          <w:tcPr>
            <w:tcW w:w="4480" w:type="dxa"/>
            <w:noWrap/>
            <w:vAlign w:val="bottom"/>
          </w:tcPr>
          <w:p w14:paraId="226580A4" w14:textId="77777777" w:rsidR="00590FE1" w:rsidRPr="001D5327" w:rsidRDefault="00590FE1" w:rsidP="00403787">
            <w:pPr>
              <w:pStyle w:val="TableText"/>
              <w:keepNext/>
              <w:spacing w:before="40" w:after="30"/>
              <w:rPr>
                <w:rFonts w:cs="Calibri"/>
                <w:szCs w:val="16"/>
              </w:rPr>
            </w:pPr>
            <w:r w:rsidRPr="001D5327">
              <w:rPr>
                <w:rFonts w:cs="Calibri"/>
                <w:szCs w:val="16"/>
              </w:rPr>
              <w:t>Residue remaining in field</w:t>
            </w:r>
          </w:p>
        </w:tc>
        <w:tc>
          <w:tcPr>
            <w:tcW w:w="1211" w:type="dxa"/>
            <w:noWrap/>
            <w:vAlign w:val="bottom"/>
          </w:tcPr>
          <w:p w14:paraId="2B04DC30" w14:textId="77777777" w:rsidR="00590FE1" w:rsidRPr="001D5327" w:rsidRDefault="00590FE1" w:rsidP="00403787">
            <w:pPr>
              <w:pStyle w:val="TableText"/>
              <w:keepNext/>
              <w:spacing w:before="40" w:after="30"/>
              <w:jc w:val="right"/>
              <w:rPr>
                <w:rFonts w:cs="Calibri"/>
                <w:szCs w:val="16"/>
              </w:rPr>
            </w:pPr>
            <w:r w:rsidRPr="001D5327">
              <w:rPr>
                <w:rFonts w:cs="Calibri"/>
                <w:szCs w:val="16"/>
              </w:rPr>
              <w:t>1</w:t>
            </w:r>
          </w:p>
        </w:tc>
        <w:tc>
          <w:tcPr>
            <w:tcW w:w="1211" w:type="dxa"/>
            <w:noWrap/>
            <w:vAlign w:val="bottom"/>
          </w:tcPr>
          <w:p w14:paraId="747FE84A" w14:textId="77777777" w:rsidR="00590FE1" w:rsidRPr="001D5327" w:rsidRDefault="00590FE1" w:rsidP="00403787">
            <w:pPr>
              <w:pStyle w:val="TableText"/>
              <w:keepNext/>
              <w:spacing w:before="40" w:after="30"/>
              <w:jc w:val="right"/>
              <w:rPr>
                <w:rFonts w:cs="Calibri"/>
                <w:szCs w:val="16"/>
              </w:rPr>
            </w:pPr>
            <w:r w:rsidRPr="001D5327">
              <w:rPr>
                <w:rFonts w:cs="Calibri"/>
                <w:szCs w:val="16"/>
              </w:rPr>
              <w:t>1</w:t>
            </w:r>
          </w:p>
        </w:tc>
        <w:tc>
          <w:tcPr>
            <w:tcW w:w="1211" w:type="dxa"/>
            <w:noWrap/>
            <w:vAlign w:val="bottom"/>
          </w:tcPr>
          <w:p w14:paraId="69FF4A54" w14:textId="77777777" w:rsidR="00590FE1" w:rsidRPr="001D5327" w:rsidRDefault="00590FE1" w:rsidP="00403787">
            <w:pPr>
              <w:pStyle w:val="TableText"/>
              <w:keepNext/>
              <w:spacing w:before="40" w:after="30"/>
              <w:jc w:val="right"/>
              <w:rPr>
                <w:rFonts w:cs="Calibri"/>
                <w:szCs w:val="16"/>
              </w:rPr>
            </w:pPr>
            <w:r w:rsidRPr="001D5327">
              <w:rPr>
                <w:rFonts w:cs="Calibri"/>
                <w:szCs w:val="16"/>
              </w:rPr>
              <w:t>1</w:t>
            </w:r>
          </w:p>
        </w:tc>
      </w:tr>
      <w:tr w:rsidR="00590FE1" w:rsidRPr="001D5327" w14:paraId="133CC8DC" w14:textId="77777777" w:rsidTr="00403787">
        <w:tc>
          <w:tcPr>
            <w:tcW w:w="4480" w:type="dxa"/>
            <w:noWrap/>
            <w:vAlign w:val="bottom"/>
          </w:tcPr>
          <w:p w14:paraId="25C89F2D" w14:textId="77777777" w:rsidR="00590FE1" w:rsidRPr="001D5327" w:rsidRDefault="00590FE1" w:rsidP="00403787">
            <w:pPr>
              <w:pStyle w:val="TableText"/>
              <w:keepNext/>
              <w:spacing w:before="40" w:after="30"/>
              <w:rPr>
                <w:rFonts w:cs="Calibri"/>
                <w:szCs w:val="16"/>
              </w:rPr>
            </w:pPr>
            <w:r w:rsidRPr="001D5327">
              <w:rPr>
                <w:rFonts w:cs="Calibri"/>
                <w:szCs w:val="16"/>
              </w:rPr>
              <w:t>Fraction of residue actually burned</w:t>
            </w:r>
          </w:p>
        </w:tc>
        <w:tc>
          <w:tcPr>
            <w:tcW w:w="1211" w:type="dxa"/>
            <w:noWrap/>
            <w:vAlign w:val="bottom"/>
          </w:tcPr>
          <w:p w14:paraId="1C8F52A6" w14:textId="77777777" w:rsidR="00590FE1" w:rsidRPr="001D5327" w:rsidRDefault="00590FE1" w:rsidP="00403787">
            <w:pPr>
              <w:pStyle w:val="TableText"/>
              <w:keepNext/>
              <w:spacing w:before="40" w:after="30"/>
              <w:jc w:val="right"/>
              <w:rPr>
                <w:rFonts w:cs="Calibri"/>
                <w:szCs w:val="16"/>
              </w:rPr>
            </w:pPr>
            <w:r w:rsidRPr="001D5327">
              <w:rPr>
                <w:rFonts w:cs="Calibri"/>
                <w:szCs w:val="16"/>
              </w:rPr>
              <w:t>0.7</w:t>
            </w:r>
          </w:p>
        </w:tc>
        <w:tc>
          <w:tcPr>
            <w:tcW w:w="1211" w:type="dxa"/>
            <w:noWrap/>
            <w:vAlign w:val="bottom"/>
          </w:tcPr>
          <w:p w14:paraId="416277DB" w14:textId="77777777" w:rsidR="00590FE1" w:rsidRPr="001D5327" w:rsidRDefault="00590FE1" w:rsidP="00403787">
            <w:pPr>
              <w:pStyle w:val="TableText"/>
              <w:keepNext/>
              <w:spacing w:before="40" w:after="30"/>
              <w:jc w:val="right"/>
              <w:rPr>
                <w:rFonts w:cs="Calibri"/>
                <w:szCs w:val="16"/>
              </w:rPr>
            </w:pPr>
            <w:r w:rsidRPr="001D5327">
              <w:rPr>
                <w:rFonts w:cs="Calibri"/>
                <w:szCs w:val="16"/>
              </w:rPr>
              <w:t>0.7</w:t>
            </w:r>
          </w:p>
        </w:tc>
        <w:tc>
          <w:tcPr>
            <w:tcW w:w="1211" w:type="dxa"/>
            <w:noWrap/>
            <w:vAlign w:val="bottom"/>
          </w:tcPr>
          <w:p w14:paraId="799CE652" w14:textId="77777777" w:rsidR="00590FE1" w:rsidRPr="001D5327" w:rsidRDefault="00590FE1" w:rsidP="00403787">
            <w:pPr>
              <w:pStyle w:val="TableText"/>
              <w:keepNext/>
              <w:spacing w:before="40" w:after="30"/>
              <w:jc w:val="right"/>
              <w:rPr>
                <w:rFonts w:cs="Calibri"/>
                <w:szCs w:val="16"/>
              </w:rPr>
            </w:pPr>
            <w:r w:rsidRPr="001D5327">
              <w:rPr>
                <w:rFonts w:cs="Calibri"/>
                <w:szCs w:val="16"/>
              </w:rPr>
              <w:t>0.7</w:t>
            </w:r>
          </w:p>
        </w:tc>
      </w:tr>
      <w:tr w:rsidR="00590FE1" w:rsidRPr="001D5327" w14:paraId="0DE55F4C" w14:textId="77777777" w:rsidTr="00403787">
        <w:tc>
          <w:tcPr>
            <w:tcW w:w="4480" w:type="dxa"/>
            <w:noWrap/>
            <w:vAlign w:val="bottom"/>
          </w:tcPr>
          <w:p w14:paraId="1DF25725" w14:textId="77777777" w:rsidR="00590FE1" w:rsidRPr="001D5327" w:rsidRDefault="00590FE1" w:rsidP="00403787">
            <w:pPr>
              <w:pStyle w:val="TableText"/>
              <w:spacing w:before="40" w:after="30"/>
              <w:rPr>
                <w:rFonts w:cs="Calibri"/>
                <w:szCs w:val="16"/>
              </w:rPr>
            </w:pPr>
            <w:r w:rsidRPr="001D5327">
              <w:rPr>
                <w:rFonts w:cs="Calibri"/>
                <w:szCs w:val="16"/>
              </w:rPr>
              <w:t>Harvest index</w:t>
            </w:r>
          </w:p>
        </w:tc>
        <w:tc>
          <w:tcPr>
            <w:tcW w:w="1211" w:type="dxa"/>
            <w:noWrap/>
            <w:vAlign w:val="bottom"/>
          </w:tcPr>
          <w:p w14:paraId="7505FB42" w14:textId="77777777" w:rsidR="00590FE1" w:rsidRPr="001D5327" w:rsidRDefault="00590FE1" w:rsidP="00403787">
            <w:pPr>
              <w:pStyle w:val="TableText"/>
              <w:spacing w:before="40" w:after="30"/>
              <w:jc w:val="right"/>
              <w:rPr>
                <w:rFonts w:cs="Calibri"/>
                <w:szCs w:val="16"/>
              </w:rPr>
            </w:pPr>
            <w:r w:rsidRPr="001D5327">
              <w:rPr>
                <w:rFonts w:cs="Calibri"/>
                <w:szCs w:val="16"/>
              </w:rPr>
              <w:t>0.46</w:t>
            </w:r>
          </w:p>
        </w:tc>
        <w:tc>
          <w:tcPr>
            <w:tcW w:w="1211" w:type="dxa"/>
            <w:noWrap/>
            <w:vAlign w:val="bottom"/>
          </w:tcPr>
          <w:p w14:paraId="0185047F" w14:textId="77777777" w:rsidR="00590FE1" w:rsidRPr="001D5327" w:rsidRDefault="00590FE1" w:rsidP="00403787">
            <w:pPr>
              <w:pStyle w:val="TableText"/>
              <w:spacing w:before="40" w:after="30"/>
              <w:jc w:val="right"/>
              <w:rPr>
                <w:rFonts w:cs="Calibri"/>
                <w:szCs w:val="16"/>
              </w:rPr>
            </w:pPr>
            <w:r w:rsidRPr="001D5327">
              <w:rPr>
                <w:rFonts w:cs="Calibri"/>
                <w:szCs w:val="16"/>
              </w:rPr>
              <w:t>0.41</w:t>
            </w:r>
          </w:p>
        </w:tc>
        <w:tc>
          <w:tcPr>
            <w:tcW w:w="1211" w:type="dxa"/>
            <w:noWrap/>
            <w:vAlign w:val="bottom"/>
          </w:tcPr>
          <w:p w14:paraId="670A36CE" w14:textId="77777777" w:rsidR="00590FE1" w:rsidRPr="001D5327" w:rsidRDefault="00590FE1" w:rsidP="00403787">
            <w:pPr>
              <w:pStyle w:val="TableText"/>
              <w:spacing w:before="40" w:after="30"/>
              <w:jc w:val="right"/>
              <w:rPr>
                <w:rFonts w:cs="Calibri"/>
                <w:szCs w:val="16"/>
              </w:rPr>
            </w:pPr>
            <w:r w:rsidRPr="001D5327">
              <w:rPr>
                <w:rFonts w:cs="Calibri"/>
                <w:szCs w:val="16"/>
              </w:rPr>
              <w:t>0.30</w:t>
            </w:r>
          </w:p>
        </w:tc>
      </w:tr>
      <w:tr w:rsidR="00590FE1" w:rsidRPr="001D5327" w14:paraId="78FB04DC" w14:textId="77777777" w:rsidTr="00403787">
        <w:trPr>
          <w:trHeight w:val="165"/>
        </w:trPr>
        <w:tc>
          <w:tcPr>
            <w:tcW w:w="4480" w:type="dxa"/>
            <w:noWrap/>
            <w:vAlign w:val="bottom"/>
          </w:tcPr>
          <w:p w14:paraId="3385991D" w14:textId="77777777" w:rsidR="00590FE1" w:rsidRPr="001D5327" w:rsidRDefault="00590FE1" w:rsidP="00403787">
            <w:pPr>
              <w:pStyle w:val="TableText"/>
              <w:spacing w:before="40" w:after="30"/>
              <w:rPr>
                <w:rFonts w:cs="Calibri"/>
                <w:szCs w:val="16"/>
              </w:rPr>
            </w:pPr>
            <w:r w:rsidRPr="001D5327">
              <w:rPr>
                <w:rFonts w:cs="Calibri"/>
                <w:szCs w:val="16"/>
              </w:rPr>
              <w:t>Dry-matter fraction</w:t>
            </w:r>
          </w:p>
        </w:tc>
        <w:tc>
          <w:tcPr>
            <w:tcW w:w="1211" w:type="dxa"/>
            <w:noWrap/>
            <w:vAlign w:val="bottom"/>
          </w:tcPr>
          <w:p w14:paraId="274FB159" w14:textId="77777777" w:rsidR="00590FE1" w:rsidRPr="001D5327" w:rsidRDefault="00590FE1" w:rsidP="00403787">
            <w:pPr>
              <w:pStyle w:val="TableText"/>
              <w:spacing w:before="40" w:after="30"/>
              <w:jc w:val="right"/>
              <w:rPr>
                <w:rFonts w:cs="Calibri"/>
                <w:szCs w:val="16"/>
              </w:rPr>
            </w:pPr>
            <w:r w:rsidRPr="001D5327">
              <w:rPr>
                <w:rFonts w:cs="Calibri"/>
                <w:szCs w:val="16"/>
              </w:rPr>
              <w:t>0.86</w:t>
            </w:r>
          </w:p>
        </w:tc>
        <w:tc>
          <w:tcPr>
            <w:tcW w:w="1211" w:type="dxa"/>
            <w:noWrap/>
            <w:vAlign w:val="bottom"/>
          </w:tcPr>
          <w:p w14:paraId="37536592" w14:textId="77777777" w:rsidR="00590FE1" w:rsidRPr="001D5327" w:rsidRDefault="00590FE1" w:rsidP="00403787">
            <w:pPr>
              <w:pStyle w:val="TableText"/>
              <w:spacing w:before="40" w:after="30"/>
              <w:jc w:val="right"/>
              <w:rPr>
                <w:rFonts w:cs="Calibri"/>
                <w:szCs w:val="16"/>
              </w:rPr>
            </w:pPr>
            <w:r w:rsidRPr="001D5327">
              <w:rPr>
                <w:rFonts w:cs="Calibri"/>
                <w:szCs w:val="16"/>
              </w:rPr>
              <w:t>0.86</w:t>
            </w:r>
          </w:p>
        </w:tc>
        <w:tc>
          <w:tcPr>
            <w:tcW w:w="1211" w:type="dxa"/>
            <w:noWrap/>
            <w:vAlign w:val="bottom"/>
          </w:tcPr>
          <w:p w14:paraId="156C5B66" w14:textId="77777777" w:rsidR="00590FE1" w:rsidRPr="001D5327" w:rsidRDefault="00590FE1" w:rsidP="00403787">
            <w:pPr>
              <w:pStyle w:val="TableText"/>
              <w:spacing w:before="40" w:after="30"/>
              <w:jc w:val="right"/>
              <w:rPr>
                <w:rFonts w:cs="Calibri"/>
                <w:szCs w:val="16"/>
              </w:rPr>
            </w:pPr>
            <w:r w:rsidRPr="001D5327">
              <w:rPr>
                <w:rFonts w:cs="Calibri"/>
                <w:szCs w:val="16"/>
              </w:rPr>
              <w:t>0.86</w:t>
            </w:r>
          </w:p>
        </w:tc>
      </w:tr>
      <w:tr w:rsidR="00590FE1" w:rsidRPr="001D5327" w14:paraId="706C8F70" w14:textId="77777777" w:rsidTr="00403787">
        <w:tc>
          <w:tcPr>
            <w:tcW w:w="4480" w:type="dxa"/>
            <w:noWrap/>
            <w:vAlign w:val="bottom"/>
          </w:tcPr>
          <w:p w14:paraId="50F65D96" w14:textId="77777777" w:rsidR="00590FE1" w:rsidRPr="001D5327" w:rsidRDefault="00590FE1" w:rsidP="00403787">
            <w:pPr>
              <w:pStyle w:val="TableText"/>
              <w:spacing w:before="40" w:after="30"/>
              <w:rPr>
                <w:rFonts w:cs="Calibri"/>
                <w:szCs w:val="16"/>
              </w:rPr>
            </w:pPr>
            <w:r w:rsidRPr="001D5327">
              <w:rPr>
                <w:rFonts w:cs="Calibri"/>
                <w:szCs w:val="16"/>
              </w:rPr>
              <w:t>Fraction of nitrogen in biomass</w:t>
            </w:r>
          </w:p>
        </w:tc>
        <w:tc>
          <w:tcPr>
            <w:tcW w:w="1211" w:type="dxa"/>
            <w:noWrap/>
            <w:vAlign w:val="bottom"/>
          </w:tcPr>
          <w:p w14:paraId="16713277" w14:textId="77777777" w:rsidR="00590FE1" w:rsidRPr="001D5327" w:rsidRDefault="00590FE1" w:rsidP="00403787">
            <w:pPr>
              <w:pStyle w:val="TableText"/>
              <w:spacing w:before="40" w:after="30"/>
              <w:jc w:val="right"/>
              <w:rPr>
                <w:rFonts w:cs="Calibri"/>
                <w:szCs w:val="16"/>
              </w:rPr>
            </w:pPr>
            <w:r w:rsidRPr="001D5327">
              <w:rPr>
                <w:rFonts w:cs="Calibri"/>
                <w:szCs w:val="16"/>
              </w:rPr>
              <w:t>0.005</w:t>
            </w:r>
          </w:p>
        </w:tc>
        <w:tc>
          <w:tcPr>
            <w:tcW w:w="1211" w:type="dxa"/>
            <w:noWrap/>
            <w:vAlign w:val="bottom"/>
          </w:tcPr>
          <w:p w14:paraId="0FA9B316" w14:textId="77777777" w:rsidR="00590FE1" w:rsidRPr="001D5327" w:rsidRDefault="00590FE1" w:rsidP="00403787">
            <w:pPr>
              <w:pStyle w:val="TableText"/>
              <w:spacing w:before="40" w:after="30"/>
              <w:jc w:val="right"/>
              <w:rPr>
                <w:rFonts w:cs="Calibri"/>
                <w:szCs w:val="16"/>
              </w:rPr>
            </w:pPr>
            <w:r w:rsidRPr="001D5327">
              <w:rPr>
                <w:rFonts w:cs="Calibri"/>
                <w:szCs w:val="16"/>
              </w:rPr>
              <w:t>0.005</w:t>
            </w:r>
          </w:p>
        </w:tc>
        <w:tc>
          <w:tcPr>
            <w:tcW w:w="1211" w:type="dxa"/>
            <w:noWrap/>
            <w:vAlign w:val="bottom"/>
          </w:tcPr>
          <w:p w14:paraId="7C47FAC7" w14:textId="77777777" w:rsidR="00590FE1" w:rsidRPr="001D5327" w:rsidRDefault="00590FE1" w:rsidP="00403787">
            <w:pPr>
              <w:pStyle w:val="TableText"/>
              <w:spacing w:before="40" w:after="30"/>
              <w:jc w:val="right"/>
              <w:rPr>
                <w:rFonts w:cs="Calibri"/>
                <w:szCs w:val="16"/>
              </w:rPr>
            </w:pPr>
            <w:r w:rsidRPr="001D5327">
              <w:rPr>
                <w:rFonts w:cs="Calibri"/>
                <w:szCs w:val="16"/>
              </w:rPr>
              <w:t>0.005</w:t>
            </w:r>
          </w:p>
        </w:tc>
      </w:tr>
      <w:tr w:rsidR="00590FE1" w:rsidRPr="001D5327" w14:paraId="6063D08D" w14:textId="77777777" w:rsidTr="00403787">
        <w:tc>
          <w:tcPr>
            <w:tcW w:w="4480" w:type="dxa"/>
            <w:noWrap/>
            <w:vAlign w:val="bottom"/>
          </w:tcPr>
          <w:p w14:paraId="0FC7B24D" w14:textId="77777777" w:rsidR="00590FE1" w:rsidRPr="001D5327" w:rsidRDefault="00590FE1" w:rsidP="00403787">
            <w:pPr>
              <w:pStyle w:val="TableText"/>
              <w:spacing w:before="40" w:after="30"/>
              <w:rPr>
                <w:rFonts w:cs="Calibri"/>
                <w:szCs w:val="16"/>
              </w:rPr>
            </w:pPr>
            <w:r w:rsidRPr="001D5327">
              <w:rPr>
                <w:rFonts w:cs="Calibri"/>
                <w:szCs w:val="16"/>
              </w:rPr>
              <w:t>Fraction of carbon in biomass</w:t>
            </w:r>
          </w:p>
        </w:tc>
        <w:tc>
          <w:tcPr>
            <w:tcW w:w="1211" w:type="dxa"/>
            <w:noWrap/>
            <w:vAlign w:val="bottom"/>
          </w:tcPr>
          <w:p w14:paraId="7B0FFC20" w14:textId="77777777" w:rsidR="00590FE1" w:rsidRPr="001D5327" w:rsidRDefault="00590FE1" w:rsidP="00403787">
            <w:pPr>
              <w:pStyle w:val="TableText"/>
              <w:spacing w:before="40" w:after="30"/>
              <w:jc w:val="right"/>
              <w:rPr>
                <w:rFonts w:cs="Calibri"/>
                <w:szCs w:val="16"/>
              </w:rPr>
            </w:pPr>
            <w:r w:rsidRPr="001D5327">
              <w:rPr>
                <w:rFonts w:cs="Calibri"/>
                <w:szCs w:val="16"/>
              </w:rPr>
              <w:t>0.4567</w:t>
            </w:r>
          </w:p>
        </w:tc>
        <w:tc>
          <w:tcPr>
            <w:tcW w:w="1211" w:type="dxa"/>
            <w:noWrap/>
            <w:vAlign w:val="bottom"/>
          </w:tcPr>
          <w:p w14:paraId="2F4854C2" w14:textId="77777777" w:rsidR="00590FE1" w:rsidRPr="001D5327" w:rsidRDefault="00590FE1" w:rsidP="00403787">
            <w:pPr>
              <w:pStyle w:val="TableText"/>
              <w:spacing w:before="40" w:after="30"/>
              <w:jc w:val="right"/>
              <w:rPr>
                <w:rFonts w:cs="Calibri"/>
                <w:szCs w:val="16"/>
              </w:rPr>
            </w:pPr>
            <w:r w:rsidRPr="001D5327">
              <w:rPr>
                <w:rFonts w:cs="Calibri"/>
                <w:szCs w:val="16"/>
              </w:rPr>
              <w:t>0.4853</w:t>
            </w:r>
          </w:p>
        </w:tc>
        <w:tc>
          <w:tcPr>
            <w:tcW w:w="1211" w:type="dxa"/>
            <w:noWrap/>
            <w:vAlign w:val="bottom"/>
          </w:tcPr>
          <w:p w14:paraId="04E85725" w14:textId="77777777" w:rsidR="00590FE1" w:rsidRPr="001D5327" w:rsidRDefault="00590FE1" w:rsidP="00403787">
            <w:pPr>
              <w:pStyle w:val="TableText"/>
              <w:spacing w:before="40" w:after="30"/>
              <w:jc w:val="right"/>
              <w:rPr>
                <w:rFonts w:cs="Calibri"/>
                <w:szCs w:val="16"/>
              </w:rPr>
            </w:pPr>
            <w:r w:rsidRPr="001D5327">
              <w:rPr>
                <w:rFonts w:cs="Calibri"/>
                <w:szCs w:val="16"/>
              </w:rPr>
              <w:t>0.4567</w:t>
            </w:r>
          </w:p>
        </w:tc>
      </w:tr>
    </w:tbl>
    <w:p w14:paraId="70448E35" w14:textId="77777777" w:rsidR="00590FE1" w:rsidRPr="001D5327" w:rsidRDefault="00590FE1" w:rsidP="00590FE1">
      <w:pPr>
        <w:pStyle w:val="Source"/>
        <w:spacing w:after="120"/>
        <w:rPr>
          <w:rFonts w:cs="Calibri"/>
          <w:szCs w:val="24"/>
        </w:rPr>
      </w:pPr>
      <w:r w:rsidRPr="001D5327">
        <w:rPr>
          <w:rFonts w:cs="Calibri"/>
          <w:bCs/>
          <w:szCs w:val="24"/>
        </w:rPr>
        <w:t>Source:</w:t>
      </w:r>
      <w:r w:rsidRPr="001D5327">
        <w:rPr>
          <w:rFonts w:cs="Calibri"/>
          <w:b/>
          <w:szCs w:val="24"/>
        </w:rPr>
        <w:tab/>
      </w:r>
      <w:r w:rsidRPr="001D5327">
        <w:rPr>
          <w:rFonts w:cs="Calibri"/>
          <w:szCs w:val="24"/>
        </w:rPr>
        <w:t xml:space="preserve"> Thomas et al. (2011)</w:t>
      </w:r>
    </w:p>
    <w:p w14:paraId="1110710E" w14:textId="77777777" w:rsidR="00590FE1" w:rsidRPr="001D5327" w:rsidRDefault="00590FE1" w:rsidP="00590FE1">
      <w:pPr>
        <w:pStyle w:val="BodyText"/>
        <w:spacing w:after="100"/>
      </w:pPr>
      <w:r w:rsidRPr="001D5327">
        <w:t xml:space="preserve">From 2005 to 2023, calculation of the amount of biomass residue burned was based on information about the area of crop residue burning from the Stats NZ Agricultural Production Census and </w:t>
      </w:r>
      <w:r w:rsidRPr="001D5327">
        <w:rPr>
          <w:rFonts w:cs="Calibri"/>
        </w:rPr>
        <w:t xml:space="preserve">Agricultural Production </w:t>
      </w:r>
      <w:r w:rsidRPr="001D5327">
        <w:t xml:space="preserve">Surveys. </w:t>
      </w:r>
    </w:p>
    <w:p w14:paraId="3ECDEBD8" w14:textId="77777777" w:rsidR="00590FE1" w:rsidRPr="001D5327" w:rsidRDefault="00590FE1" w:rsidP="00590FE1">
      <w:pPr>
        <w:pStyle w:val="BodyText"/>
      </w:pPr>
      <w:r w:rsidRPr="001D5327">
        <w:t>Biomass burned from 2005, AG</w:t>
      </w:r>
      <w:r w:rsidRPr="001D5327">
        <w:rPr>
          <w:vertAlign w:val="subscript"/>
        </w:rPr>
        <w:t xml:space="preserve">BURN </w:t>
      </w:r>
      <w:r w:rsidRPr="001D5327">
        <w:t>(as previously defined), is:</w:t>
      </w:r>
    </w:p>
    <w:bookmarkStart w:id="1445" w:name="_1767789419"/>
    <w:bookmarkEnd w:id="1445"/>
    <w:p w14:paraId="7CDD9B6D" w14:textId="77777777" w:rsidR="00590FE1" w:rsidRPr="001D5327" w:rsidRDefault="00000000" w:rsidP="00590FE1">
      <w:pPr>
        <w:pStyle w:val="BodyText"/>
        <w:spacing w:before="80" w:after="80"/>
        <w:jc w:val="center"/>
        <w:rPr>
          <w:rFonts w:cs="Calibri"/>
        </w:rPr>
      </w:pPr>
      <m:oMathPara>
        <m:oMath>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BURN</m:t>
                  </m:r>
                </m:sub>
              </m:sSub>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RESIDUE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Frac</m:t>
              </m:r>
            </m:e>
            <m:sub>
              <m:r>
                <w:rPr>
                  <w:rFonts w:ascii="Cambria Math" w:hAnsi="Cambria Math"/>
                  <w:sz w:val="24"/>
                  <w:szCs w:val="24"/>
                </w:rPr>
                <m:t>BURN</m:t>
              </m:r>
            </m:sub>
          </m:sSub>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r>
            <w:rPr>
              <w:rFonts w:ascii="Cambria Math" w:hAnsi="Cambria Math" w:cs="Calibri"/>
              <w:sz w:val="24"/>
              <w:szCs w:val="24"/>
            </w:rPr>
            <m:t xml:space="preserve"> </m:t>
          </m:r>
        </m:oMath>
      </m:oMathPara>
    </w:p>
    <w:p w14:paraId="5CA09C42" w14:textId="77777777" w:rsidR="00590FE1" w:rsidRPr="001D5327" w:rsidRDefault="00590FE1" w:rsidP="00B61835">
      <w:pPr>
        <w:pStyle w:val="BodyText"/>
        <w:keepNext/>
        <w:spacing w:after="20"/>
        <w:ind w:left="964" w:hanging="964"/>
        <w:rPr>
          <w:rFonts w:cs="Calibri"/>
        </w:rPr>
      </w:pPr>
      <w:r w:rsidRPr="001D5327">
        <w:rPr>
          <w:rFonts w:cs="Calibri"/>
        </w:rPr>
        <w:t>Where:</w:t>
      </w:r>
      <w:r w:rsidRPr="001D5327">
        <w:rPr>
          <w:rFonts w:cs="Calibri"/>
        </w:rPr>
        <w:tab/>
        <w:t>AG</w:t>
      </w:r>
      <w:r w:rsidRPr="001D5327">
        <w:rPr>
          <w:rFonts w:cs="Calibri"/>
          <w:vertAlign w:val="subscript"/>
        </w:rPr>
        <w:t>DM</w:t>
      </w:r>
      <w:r w:rsidRPr="001D5327">
        <w:rPr>
          <w:rFonts w:cs="Calibri"/>
        </w:rPr>
        <w:t xml:space="preserve"> is the amount of above-ground residue (tonnes)</w:t>
      </w:r>
    </w:p>
    <w:p w14:paraId="18976CF7" w14:textId="77777777" w:rsidR="00590FE1" w:rsidRPr="001D5327" w:rsidRDefault="00590FE1" w:rsidP="00B61835">
      <w:pPr>
        <w:pStyle w:val="BodyText"/>
        <w:spacing w:before="20" w:after="20"/>
        <w:ind w:left="964"/>
        <w:rPr>
          <w:rFonts w:cs="Calibri"/>
        </w:rPr>
      </w:pPr>
      <w:r w:rsidRPr="001D5327">
        <w:rPr>
          <w:rFonts w:cs="Calibri"/>
        </w:rPr>
        <w:t>Frac</w:t>
      </w:r>
      <w:r w:rsidRPr="001D5327">
        <w:rPr>
          <w:rFonts w:cs="Calibri"/>
          <w:vertAlign w:val="subscript"/>
        </w:rPr>
        <w:t>RESIDUE</w:t>
      </w:r>
      <w:r w:rsidRPr="001D5327">
        <w:rPr>
          <w:rFonts w:cs="Calibri"/>
        </w:rPr>
        <w:t xml:space="preserve"> is the proportion of residue remaining after harvest (see table 5.7.2), and</w:t>
      </w:r>
    </w:p>
    <w:p w14:paraId="043C032B" w14:textId="77777777" w:rsidR="00590FE1" w:rsidRPr="001D5327" w:rsidRDefault="00590FE1" w:rsidP="00B61835">
      <w:pPr>
        <w:pStyle w:val="BodyText"/>
        <w:spacing w:before="20"/>
        <w:ind w:left="964"/>
        <w:rPr>
          <w:rFonts w:cs="Calibri"/>
        </w:rPr>
      </w:pPr>
      <w:r w:rsidRPr="001D5327">
        <w:rPr>
          <w:rFonts w:cs="Calibri"/>
        </w:rPr>
        <w:t>Frac</w:t>
      </w:r>
      <w:r w:rsidRPr="001D5327">
        <w:rPr>
          <w:rFonts w:cs="Calibri"/>
          <w:vertAlign w:val="subscript"/>
        </w:rPr>
        <w:t>BURN</w:t>
      </w:r>
      <w:r w:rsidRPr="001D5327">
        <w:rPr>
          <w:rFonts w:cs="Calibri"/>
        </w:rPr>
        <w:t xml:space="preserve"> is the proportion of remaining residue burned.</w:t>
      </w:r>
    </w:p>
    <w:p w14:paraId="0D524E62" w14:textId="77777777" w:rsidR="00590FE1" w:rsidRPr="001D5327" w:rsidRDefault="00590FE1" w:rsidP="00590FE1">
      <w:pPr>
        <w:pStyle w:val="BodyText"/>
      </w:pPr>
      <w:r w:rsidRPr="001D5327">
        <w:t>The above-ground residue, AG</w:t>
      </w:r>
      <w:r w:rsidRPr="001D5327">
        <w:rPr>
          <w:vertAlign w:val="subscript"/>
        </w:rPr>
        <w:t xml:space="preserve">DM </w:t>
      </w:r>
      <w:r w:rsidRPr="001D5327">
        <w:t>(tonnes), is:</w:t>
      </w:r>
    </w:p>
    <w:bookmarkStart w:id="1446" w:name="_1767789507"/>
    <w:bookmarkEnd w:id="1446"/>
    <w:p w14:paraId="2995BD33" w14:textId="77777777" w:rsidR="00590FE1" w:rsidRPr="001D5327" w:rsidRDefault="00000000" w:rsidP="00590FE1">
      <w:pPr>
        <w:pStyle w:val="BodyText"/>
        <w:spacing w:before="80" w:after="80"/>
        <w:jc w:val="center"/>
      </w:pPr>
      <m:oMathPara>
        <m:oMath>
          <m:sSub>
            <m:sSubPr>
              <m:ctrlPr>
                <w:rPr>
                  <w:rFonts w:ascii="Cambria Math" w:hAnsi="Cambria Math"/>
                  <w:i/>
                  <w:sz w:val="24"/>
                  <w:szCs w:val="24"/>
                </w:rPr>
              </m:ctrlPr>
            </m:sSubPr>
            <m:e>
              <m:r>
                <w:rPr>
                  <w:rFonts w:ascii="Cambria Math" w:hAnsi="Cambria Math"/>
                  <w:sz w:val="24"/>
                  <w:szCs w:val="24"/>
                </w:rPr>
                <m:t>AG</m:t>
              </m:r>
            </m:e>
            <m:sub>
              <m:r>
                <w:rPr>
                  <w:rFonts w:ascii="Cambria Math" w:hAnsi="Cambria Math"/>
                  <w:sz w:val="24"/>
                  <w:szCs w:val="24"/>
                </w:rPr>
                <m:t>DM</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Prod</m:t>
                  </m:r>
                </m:e>
                <m:sub>
                  <m:r>
                    <w:rPr>
                      <w:rFonts w:ascii="Cambria Math" w:hAnsi="Cambria Math"/>
                      <w:sz w:val="24"/>
                      <w:szCs w:val="24"/>
                    </w:rPr>
                    <m:t>DM</m:t>
                  </m:r>
                </m:sub>
              </m:sSub>
            </m:num>
            <m:den>
              <m:r>
                <w:rPr>
                  <w:rFonts w:ascii="Cambria Math" w:hAnsi="Cambria Math"/>
                  <w:sz w:val="24"/>
                  <w:szCs w:val="24"/>
                </w:rPr>
                <m:t>HI</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Prod</m:t>
              </m:r>
            </m:e>
            <m:sub>
              <m:r>
                <w:rPr>
                  <w:rFonts w:ascii="Cambria Math" w:hAnsi="Cambria Math"/>
                  <w:sz w:val="24"/>
                  <w:szCs w:val="24"/>
                </w:rPr>
                <m:t>DM</m:t>
              </m:r>
            </m:sub>
          </m:sSub>
          <m:r>
            <w:rPr>
              <w:rFonts w:ascii="Cambria Math" w:hAnsi="Cambria Math"/>
              <w:sz w:val="24"/>
              <w:szCs w:val="24"/>
            </w:rPr>
            <m:t xml:space="preserve"> </m:t>
          </m:r>
        </m:oMath>
      </m:oMathPara>
    </w:p>
    <w:p w14:paraId="70881ED2" w14:textId="77777777" w:rsidR="00590FE1" w:rsidRPr="001D5327" w:rsidRDefault="00590FE1" w:rsidP="00590FE1">
      <w:pPr>
        <w:pStyle w:val="BodyText"/>
        <w:spacing w:after="0"/>
        <w:ind w:left="964" w:hanging="964"/>
        <w:rPr>
          <w:rFonts w:cs="Calibri"/>
        </w:rPr>
      </w:pPr>
      <w:r w:rsidRPr="001D5327">
        <w:rPr>
          <w:rFonts w:cs="Calibri"/>
        </w:rPr>
        <w:t>Where:</w:t>
      </w:r>
      <w:r w:rsidRPr="001D5327">
        <w:rPr>
          <w:rFonts w:cs="Calibri"/>
        </w:rPr>
        <w:tab/>
        <w:t>HI is the harvest index (crop specific, table 5.7.2); that is, the mass harvested over the total mass of above-ground biomass, and</w:t>
      </w:r>
    </w:p>
    <w:p w14:paraId="31136191" w14:textId="77777777" w:rsidR="00590FE1" w:rsidRPr="001D5327" w:rsidRDefault="00590FE1" w:rsidP="00590FE1">
      <w:pPr>
        <w:pStyle w:val="BodyText"/>
        <w:spacing w:before="60"/>
        <w:ind w:left="964"/>
        <w:rPr>
          <w:rFonts w:cs="Calibri"/>
        </w:rPr>
      </w:pPr>
      <w:r w:rsidRPr="001D5327">
        <w:rPr>
          <w:rFonts w:cs="Calibri"/>
        </w:rPr>
        <w:t>Prod</w:t>
      </w:r>
      <w:r w:rsidRPr="001D5327">
        <w:rPr>
          <w:rFonts w:cs="Calibri"/>
          <w:vertAlign w:val="subscript"/>
        </w:rPr>
        <w:t>DM</w:t>
      </w:r>
      <w:r w:rsidRPr="001D5327">
        <w:rPr>
          <w:rFonts w:cs="Calibri"/>
        </w:rPr>
        <w:t xml:space="preserve"> (measured in tonnes) is the dry matter production of the area burned and is determined as follows:</w:t>
      </w:r>
    </w:p>
    <w:p w14:paraId="4F92B424" w14:textId="77777777" w:rsidR="00590FE1" w:rsidRPr="001D5327" w:rsidRDefault="00590FE1" w:rsidP="00590FE1">
      <w:pPr>
        <w:pStyle w:val="BodyText"/>
        <w:spacing w:before="60" w:after="80"/>
        <w:jc w:val="center"/>
        <w:rPr>
          <w:rFonts w:cs="Calibri"/>
        </w:rPr>
      </w:pPr>
      <w:bookmarkStart w:id="1447" w:name="_MON_1548661704"/>
      <w:bookmarkEnd w:id="1447"/>
      <w:r w:rsidRPr="001D5327">
        <w:rPr>
          <w:rFonts w:cs="Calibri"/>
          <w:noProof/>
        </w:rPr>
        <w:drawing>
          <wp:inline distT="0" distB="0" distL="0" distR="0" wp14:anchorId="311D4B7C" wp14:editId="4BE593A9">
            <wp:extent cx="4975120" cy="20471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02055" cy="205825"/>
                    </a:xfrm>
                    <a:prstGeom prst="rect">
                      <a:avLst/>
                    </a:prstGeom>
                    <a:noFill/>
                    <a:ln>
                      <a:noFill/>
                    </a:ln>
                  </pic:spPr>
                </pic:pic>
              </a:graphicData>
            </a:graphic>
          </wp:inline>
        </w:drawing>
      </w:r>
    </w:p>
    <w:p w14:paraId="4A15B952" w14:textId="77777777" w:rsidR="00590FE1" w:rsidRPr="001D5327" w:rsidRDefault="00590FE1" w:rsidP="00590FE1">
      <w:pPr>
        <w:pStyle w:val="BodyText"/>
        <w:spacing w:after="40"/>
        <w:ind w:left="964" w:hanging="964"/>
        <w:rPr>
          <w:rFonts w:cs="Calibri"/>
        </w:rPr>
      </w:pPr>
      <w:r w:rsidRPr="001D5327">
        <w:rPr>
          <w:rFonts w:cs="Calibri"/>
        </w:rPr>
        <w:t>Where:</w:t>
      </w:r>
      <w:r w:rsidRPr="001D5327">
        <w:rPr>
          <w:rFonts w:cs="Calibri"/>
        </w:rPr>
        <w:tab/>
        <w:t>Area</w:t>
      </w:r>
      <w:r w:rsidRPr="001D5327">
        <w:rPr>
          <w:rFonts w:cs="Calibri"/>
          <w:vertAlign w:val="subscript"/>
        </w:rPr>
        <w:t>BURN</w:t>
      </w:r>
      <w:r w:rsidRPr="001D5327">
        <w:rPr>
          <w:rFonts w:cs="Calibri"/>
        </w:rPr>
        <w:t xml:space="preserve"> is the annual area burned (hectare)</w:t>
      </w:r>
    </w:p>
    <w:p w14:paraId="3E735C60" w14:textId="77777777" w:rsidR="00590FE1" w:rsidRPr="001D5327" w:rsidRDefault="00590FE1" w:rsidP="00B61835">
      <w:pPr>
        <w:pStyle w:val="BodyText"/>
        <w:spacing w:before="20" w:after="40"/>
        <w:ind w:left="964"/>
        <w:rPr>
          <w:rFonts w:cs="Calibri"/>
        </w:rPr>
      </w:pPr>
      <w:r w:rsidRPr="001D5327">
        <w:rPr>
          <w:rFonts w:cs="Calibri"/>
        </w:rPr>
        <w:t xml:space="preserve">Y is the average crop yield (tonnes per hectare), and </w:t>
      </w:r>
    </w:p>
    <w:p w14:paraId="6AABA3B1" w14:textId="77777777" w:rsidR="00590FE1" w:rsidRPr="001D5327" w:rsidRDefault="00590FE1" w:rsidP="00B61835">
      <w:pPr>
        <w:pStyle w:val="BodyText"/>
        <w:spacing w:before="20"/>
        <w:ind w:left="964"/>
        <w:rPr>
          <w:rFonts w:cs="Calibri"/>
        </w:rPr>
      </w:pPr>
      <w:r w:rsidRPr="001D5327">
        <w:rPr>
          <w:rFonts w:cs="Calibri"/>
        </w:rPr>
        <w:t>Frac</w:t>
      </w:r>
      <w:r w:rsidRPr="001D5327">
        <w:rPr>
          <w:rFonts w:cs="Calibri"/>
          <w:vertAlign w:val="subscript"/>
        </w:rPr>
        <w:t>DM</w:t>
      </w:r>
      <w:r w:rsidRPr="001D5327">
        <w:rPr>
          <w:rFonts w:cs="Calibri"/>
        </w:rPr>
        <w:t xml:space="preserve"> is the fraction of crop that is dry matter (crop specific, table 5.7.2).</w:t>
      </w:r>
    </w:p>
    <w:p w14:paraId="55B3AED1" w14:textId="77777777" w:rsidR="00590FE1" w:rsidRPr="001D5327" w:rsidRDefault="00590FE1" w:rsidP="00590FE1">
      <w:pPr>
        <w:pStyle w:val="BodyText"/>
        <w:spacing w:before="100" w:after="100"/>
      </w:pPr>
      <w:r w:rsidRPr="001D5327">
        <w:lastRenderedPageBreak/>
        <w:t>The country-specific parameters for the proportion of residue burned, harvest indices, dry-matter fractions, the fraction oxidised and the carbon and nitrogen fractions of the residue (see table 5.7.2) are derived from the OverseerFM nutrient budget model for </w:t>
      </w:r>
      <w:r w:rsidRPr="001D5327" w:rsidDel="00BE3CB1">
        <w:rPr>
          <w:rFonts w:cs="Calibri"/>
          <w:spacing w:val="-2"/>
        </w:rPr>
        <w:t xml:space="preserve">New </w:t>
      </w:r>
      <w:r w:rsidRPr="001D5327">
        <w:rPr>
          <w:rFonts w:cs="Calibri"/>
          <w:spacing w:val="-2"/>
        </w:rPr>
        <w:t>Zealand</w:t>
      </w:r>
      <w:r w:rsidRPr="001D5327">
        <w:t xml:space="preserve"> </w:t>
      </w:r>
      <w:r w:rsidRPr="001D5327">
        <w:rPr>
          <w:spacing w:val="-2"/>
        </w:rPr>
        <w:t>(Wheeler et al., 2003). These parameters are the same as those used for estimates of emissions from crop residues (see section 5.5.2). Further detail is provided in Thomas et al. (2011).</w:t>
      </w:r>
    </w:p>
    <w:p w14:paraId="694668E1" w14:textId="77777777" w:rsidR="00590FE1" w:rsidRPr="001D5327" w:rsidRDefault="00590FE1" w:rsidP="00590FE1">
      <w:pPr>
        <w:pStyle w:val="BodyText"/>
        <w:spacing w:before="100" w:after="100"/>
      </w:pPr>
      <w:r w:rsidRPr="001D5327">
        <w:t xml:space="preserve">The recommended proportion of crop area burned for 1990 to 2004 was determined by a farmer survey and assumed to be 70 per cent of wheat, 50 per cent of barley and 50 per cent of oat crops (Thomas et al., 2011). These values are in alignment with Stats NZ data for 2005 to 2007 (2005 being the first year Stats NZ gathered these data) and are, therefore, applied to the years 1990 to 2004. From 2005, data on the total area of crop residues burned in </w:t>
      </w:r>
      <w:r w:rsidRPr="001D5327" w:rsidDel="006C2A13">
        <w:rPr>
          <w:rFonts w:cs="Calibri"/>
          <w:spacing w:val="-2"/>
        </w:rPr>
        <w:t xml:space="preserve">New </w:t>
      </w:r>
      <w:r w:rsidRPr="001D5327">
        <w:rPr>
          <w:rFonts w:cs="Calibri"/>
          <w:spacing w:val="-2"/>
        </w:rPr>
        <w:t>Zealand</w:t>
      </w:r>
      <w:r w:rsidRPr="001D5327">
        <w:t xml:space="preserve"> were collected but, while the data show total residue burned at a regional and national level, they do not differentiate between cereal crop types. </w:t>
      </w:r>
    </w:p>
    <w:p w14:paraId="4D328197" w14:textId="44C76684" w:rsidR="00590FE1" w:rsidRPr="001D5327" w:rsidRDefault="00590FE1" w:rsidP="00590FE1">
      <w:pPr>
        <w:pStyle w:val="BodyText"/>
      </w:pPr>
      <w:r w:rsidRPr="001D5327">
        <w:t>For 2005 onwards, the same proportions of crop area burned for wheat (70 per cent), barley</w:t>
      </w:r>
      <w:r w:rsidR="00CF4EB8" w:rsidRPr="001D5327">
        <w:t xml:space="preserve"> </w:t>
      </w:r>
      <w:r w:rsidRPr="001D5327">
        <w:t xml:space="preserve">(50 per cent) and oats (50 per cent) were used. However, these areas were then multiplied by a constant factor </w:t>
      </w:r>
      <w:r w:rsidRPr="001D5327">
        <w:rPr>
          <w:i/>
        </w:rPr>
        <w:t>K</w:t>
      </w:r>
      <w:r w:rsidRPr="001D5327">
        <w:t xml:space="preserve"> such that the total area burned is consistent with the Stats NZ Agricultural Production Survey. This captures year-to-year variability, such as reduced burning</w:t>
      </w:r>
      <w:r w:rsidR="00CF4EB8" w:rsidRPr="001D5327">
        <w:t> </w:t>
      </w:r>
      <w:r w:rsidRPr="001D5327">
        <w:t>during very dry and very wet years.</w:t>
      </w:r>
    </w:p>
    <w:p w14:paraId="25A24F61" w14:textId="77777777" w:rsidR="00590FE1" w:rsidRPr="001D5327" w:rsidRDefault="00590FE1" w:rsidP="00590FE1">
      <w:pPr>
        <w:pStyle w:val="BodyText"/>
        <w:spacing w:before="80"/>
        <w:rPr>
          <w:i/>
          <w:sz w:val="24"/>
        </w:rPr>
      </w:pPr>
      <m:oMathPara>
        <m:oMathParaPr>
          <m:jc m:val="center"/>
        </m:oMathParaPr>
        <m:oMath>
          <m:r>
            <w:rPr>
              <w:rFonts w:ascii="Cambria Math" w:hAnsi="Cambria Math"/>
              <w:sz w:val="24"/>
            </w:rPr>
            <m:t xml:space="preserve">K= </m:t>
          </m:r>
          <m:f>
            <m:fPr>
              <m:ctrlPr>
                <w:rPr>
                  <w:rFonts w:ascii="Cambria Math" w:hAnsi="Cambria Math"/>
                  <w:i/>
                  <w:sz w:val="24"/>
                </w:rPr>
              </m:ctrlPr>
            </m:fPr>
            <m:num>
              <m:r>
                <w:rPr>
                  <w:rFonts w:ascii="Cambria Math" w:hAnsi="Cambria Math"/>
                  <w:sz w:val="24"/>
                </w:rPr>
                <m:t>Total Area Burnt</m:t>
              </m:r>
            </m:num>
            <m:den>
              <m:sSub>
                <m:sSubPr>
                  <m:ctrlPr>
                    <w:rPr>
                      <w:rFonts w:ascii="Cambria Math" w:hAnsi="Cambria Math"/>
                      <w:i/>
                      <w:sz w:val="24"/>
                    </w:rPr>
                  </m:ctrlPr>
                </m:sSubPr>
                <m:e>
                  <m:r>
                    <w:rPr>
                      <w:rFonts w:ascii="Cambria Math" w:hAnsi="Cambria Math"/>
                      <w:sz w:val="24"/>
                    </w:rPr>
                    <m:t>0.7×Area Burnt</m:t>
                  </m:r>
                </m:e>
                <m:sub>
                  <m:r>
                    <w:rPr>
                      <w:rFonts w:ascii="Cambria Math" w:hAnsi="Cambria Math"/>
                      <w:sz w:val="24"/>
                    </w:rPr>
                    <m:t>Wheat</m:t>
                  </m:r>
                </m:sub>
              </m:sSub>
              <m:r>
                <w:rPr>
                  <w:rFonts w:ascii="Cambria Math" w:hAnsi="Cambria Math"/>
                  <w:sz w:val="24"/>
                </w:rPr>
                <m:t>+</m:t>
              </m:r>
              <m:sSub>
                <m:sSubPr>
                  <m:ctrlPr>
                    <w:rPr>
                      <w:rFonts w:ascii="Cambria Math" w:hAnsi="Cambria Math"/>
                      <w:i/>
                      <w:sz w:val="24"/>
                    </w:rPr>
                  </m:ctrlPr>
                </m:sSubPr>
                <m:e>
                  <m:r>
                    <w:rPr>
                      <w:rFonts w:ascii="Cambria Math" w:hAnsi="Cambria Math"/>
                      <w:sz w:val="24"/>
                    </w:rPr>
                    <m:t>0.5×Area Burnt</m:t>
                  </m:r>
                </m:e>
                <m:sub>
                  <m:r>
                    <w:rPr>
                      <w:rFonts w:ascii="Cambria Math" w:hAnsi="Cambria Math"/>
                      <w:sz w:val="24"/>
                    </w:rPr>
                    <m:t>Barley</m:t>
                  </m:r>
                </m:sub>
              </m:sSub>
              <m:r>
                <w:rPr>
                  <w:rFonts w:ascii="Cambria Math" w:hAnsi="Cambria Math"/>
                  <w:sz w:val="24"/>
                </w:rPr>
                <m:t>+</m:t>
              </m:r>
              <m:sSub>
                <m:sSubPr>
                  <m:ctrlPr>
                    <w:rPr>
                      <w:rFonts w:ascii="Cambria Math" w:hAnsi="Cambria Math"/>
                      <w:i/>
                      <w:sz w:val="24"/>
                    </w:rPr>
                  </m:ctrlPr>
                </m:sSubPr>
                <m:e>
                  <m:r>
                    <w:rPr>
                      <w:rFonts w:ascii="Cambria Math" w:hAnsi="Cambria Math"/>
                      <w:sz w:val="24"/>
                    </w:rPr>
                    <m:t>0.5×Area Burnt</m:t>
                  </m:r>
                </m:e>
                <m:sub>
                  <m:r>
                    <w:rPr>
                      <w:rFonts w:ascii="Cambria Math" w:hAnsi="Cambria Math"/>
                      <w:sz w:val="24"/>
                    </w:rPr>
                    <m:t>Oats</m:t>
                  </m:r>
                </m:sub>
              </m:sSub>
            </m:den>
          </m:f>
        </m:oMath>
      </m:oMathPara>
    </w:p>
    <w:p w14:paraId="5ECC07B1" w14:textId="77777777" w:rsidR="00590FE1" w:rsidRPr="001D5327" w:rsidRDefault="00590FE1" w:rsidP="00590FE1">
      <w:pPr>
        <w:pStyle w:val="BodyText"/>
      </w:pPr>
      <w:r w:rsidRPr="001D5327">
        <w:t>Thomas et al. (2011) sought expert opinion that suggested if crop residue is to be burned, there is generally no prior removal for feed and bedding. Therefore, 100 per cent of residue is left for burning after the harvested proportion has been removed (i.e., Frac</w:t>
      </w:r>
      <w:r w:rsidRPr="001D5327">
        <w:rPr>
          <w:vertAlign w:val="subscript"/>
        </w:rPr>
        <w:t>REMOVE</w:t>
      </w:r>
      <w:r w:rsidRPr="001D5327">
        <w:t xml:space="preserve"> is assumed to be zero; Thomas et al., 2011). This is consistent with section 5.5.2. </w:t>
      </w:r>
    </w:p>
    <w:p w14:paraId="544FE7C4" w14:textId="77777777" w:rsidR="00590FE1" w:rsidRPr="001D5327" w:rsidRDefault="00590FE1" w:rsidP="00590FE1">
      <w:pPr>
        <w:pStyle w:val="Heading3"/>
        <w:spacing w:before="280"/>
      </w:pPr>
      <w:bookmarkStart w:id="1448" w:name="_Toc32570678"/>
      <w:r w:rsidRPr="001D5327">
        <w:t>5.7.3</w:t>
      </w:r>
      <w:r w:rsidRPr="001D5327">
        <w:tab/>
        <w:t>Uncertainty assessment and time-series consistency</w:t>
      </w:r>
      <w:bookmarkEnd w:id="1448"/>
    </w:p>
    <w:p w14:paraId="187B3B93" w14:textId="77777777" w:rsidR="00590FE1" w:rsidRPr="001D5327" w:rsidRDefault="00590FE1" w:rsidP="00590FE1">
      <w:pPr>
        <w:pStyle w:val="BodyText"/>
        <w:spacing w:before="100" w:after="100"/>
      </w:pPr>
      <w:bookmarkStart w:id="1449" w:name="_Hlk187845710"/>
      <w:r w:rsidRPr="001D5327">
        <w:t xml:space="preserve">The largest contributor to uncertainty in the estimated emissions is the fraction of agricultural residue burned in the field. Expert opinion for the fraction of crops burned in fields between 1990 and 2004 was taken from farmer surveys in the Canterbury area, where 80 per cent of cereal production occurs. Between 2005 and 2009, an average of 86 per cent of total residue burning occurred in Canterbury. Estimates of crop burning for 2020 were 40.6 per cent (calculated as a percentage of total crop area) and have ranged from a high in 2006 of </w:t>
      </w:r>
      <w:r w:rsidRPr="001D5327">
        <w:rPr>
          <w:spacing w:val="-2"/>
        </w:rPr>
        <w:t>61.5 per cent to a low in 2015 of 29.3 per cent, reflecting variations in annual weather patterns</w:t>
      </w:r>
      <w:r w:rsidRPr="001D5327">
        <w:t xml:space="preserve">. </w:t>
      </w:r>
    </w:p>
    <w:p w14:paraId="4AA9230F" w14:textId="77777777" w:rsidR="00590FE1" w:rsidRPr="001D5327" w:rsidRDefault="00590FE1" w:rsidP="00590FE1">
      <w:pPr>
        <w:pStyle w:val="BodyText"/>
        <w:spacing w:before="100" w:after="100"/>
      </w:pPr>
      <w:r w:rsidRPr="001D5327">
        <w:t>Although country-specific parameters have been developed, a conservative approach to uncertainty is taken, using the IPCC (2000) value of ±20 per cent for the emission factor uncertainty. Given that emissions from field burning are low, compared with emissions from the rest of Agriculture inventory sector, the uncertainties from field burning have little impact on total emission uncertainties.</w:t>
      </w:r>
    </w:p>
    <w:p w14:paraId="55B2DA2E" w14:textId="77777777" w:rsidR="00590FE1" w:rsidRPr="001D5327" w:rsidRDefault="00590FE1" w:rsidP="00590FE1">
      <w:pPr>
        <w:pStyle w:val="Heading3"/>
        <w:spacing w:before="260"/>
      </w:pPr>
      <w:bookmarkStart w:id="1450" w:name="_Toc32570679"/>
      <w:bookmarkEnd w:id="1449"/>
      <w:r w:rsidRPr="001D5327">
        <w:t>5.7.4</w:t>
      </w:r>
      <w:r w:rsidRPr="001D5327">
        <w:tab/>
        <w:t>Category-specific QA/QC and verification</w:t>
      </w:r>
      <w:bookmarkEnd w:id="1450"/>
    </w:p>
    <w:p w14:paraId="4968E77C" w14:textId="77777777" w:rsidR="00590FE1" w:rsidRPr="001D5327" w:rsidRDefault="00590FE1" w:rsidP="00590FE1">
      <w:pPr>
        <w:pStyle w:val="BodyText"/>
        <w:rPr>
          <w:rFonts w:cs="Calibri"/>
        </w:rPr>
      </w:pPr>
      <w:r w:rsidRPr="001D5327">
        <w:rPr>
          <w:rFonts w:cs="Calibri"/>
        </w:rPr>
        <w:t xml:space="preserve">Plant and Food Research reviewed the implementation of the methodology to estimate emissions of </w:t>
      </w:r>
      <w:r w:rsidRPr="001D5327">
        <w:rPr>
          <w:rFonts w:cs="Calibri"/>
          <w:spacing w:val="-2"/>
        </w:rPr>
        <w:t>N</w:t>
      </w:r>
      <w:r w:rsidRPr="001D5327">
        <w:rPr>
          <w:rFonts w:cs="Calibri"/>
          <w:spacing w:val="-2"/>
          <w:vertAlign w:val="subscript"/>
        </w:rPr>
        <w:t>2</w:t>
      </w:r>
      <w:r w:rsidRPr="001D5327">
        <w:rPr>
          <w:rFonts w:cs="Calibri"/>
          <w:spacing w:val="-2"/>
        </w:rPr>
        <w:t>O</w:t>
      </w:r>
      <w:r w:rsidRPr="001D5327">
        <w:rPr>
          <w:rFonts w:cs="Calibri"/>
        </w:rPr>
        <w:t xml:space="preserve"> from crop residues, nitrogen-fixing crops and </w:t>
      </w:r>
      <w:r w:rsidRPr="001D5327">
        <w:rPr>
          <w:rFonts w:cs="Calibri"/>
          <w:i/>
          <w:iCs/>
        </w:rPr>
        <w:t>Field</w:t>
      </w:r>
      <w:r w:rsidRPr="001D5327">
        <w:rPr>
          <w:i/>
        </w:rPr>
        <w:t xml:space="preserve"> burning of agricultural residues</w:t>
      </w:r>
      <w:r w:rsidRPr="001D5327">
        <w:rPr>
          <w:rFonts w:cs="Calibri"/>
        </w:rPr>
        <w:t xml:space="preserve"> (Thomas et al., 2008, 2011).</w:t>
      </w:r>
    </w:p>
    <w:p w14:paraId="5885528B" w14:textId="77777777" w:rsidR="00590FE1" w:rsidRPr="001D5327" w:rsidRDefault="00590FE1" w:rsidP="00590FE1">
      <w:pPr>
        <w:pStyle w:val="Heading3"/>
        <w:spacing w:before="280"/>
      </w:pPr>
      <w:bookmarkStart w:id="1451" w:name="_Toc32570680"/>
      <w:r w:rsidRPr="001D5327">
        <w:lastRenderedPageBreak/>
        <w:t>5.7.5</w:t>
      </w:r>
      <w:r w:rsidRPr="001D5327">
        <w:tab/>
        <w:t>Category-specific recalculations</w:t>
      </w:r>
      <w:bookmarkEnd w:id="1451"/>
    </w:p>
    <w:p w14:paraId="0DBC77D0" w14:textId="77777777" w:rsidR="00590FE1" w:rsidRPr="001D5327" w:rsidRDefault="00590FE1" w:rsidP="00590FE1">
      <w:pPr>
        <w:pStyle w:val="BodyText"/>
        <w:rPr>
          <w:rFonts w:cs="Calibri"/>
        </w:rPr>
      </w:pPr>
      <w:r w:rsidRPr="001D5327">
        <w:rPr>
          <w:rFonts w:cs="Calibri"/>
        </w:rPr>
        <w:t>All activity data were updated with the latest available Stats NZ data.</w:t>
      </w:r>
    </w:p>
    <w:p w14:paraId="124D2DD3" w14:textId="77777777" w:rsidR="00590FE1" w:rsidRPr="001D5327" w:rsidRDefault="00590FE1" w:rsidP="00590FE1">
      <w:pPr>
        <w:pStyle w:val="Heading3"/>
        <w:spacing w:before="280"/>
      </w:pPr>
      <w:bookmarkStart w:id="1452" w:name="_Toc32570681"/>
      <w:r w:rsidRPr="001D5327">
        <w:t>5.7.6</w:t>
      </w:r>
      <w:r w:rsidRPr="001D5327">
        <w:tab/>
        <w:t>Category-specific planned improvements</w:t>
      </w:r>
      <w:bookmarkEnd w:id="1452"/>
      <w:r w:rsidRPr="001D5327">
        <w:t xml:space="preserve"> </w:t>
      </w:r>
    </w:p>
    <w:p w14:paraId="35E3A12A" w14:textId="77777777" w:rsidR="00590FE1" w:rsidRPr="001D5327" w:rsidRDefault="00590FE1" w:rsidP="00590FE1">
      <w:pPr>
        <w:pStyle w:val="BodyText"/>
        <w:rPr>
          <w:rFonts w:cs="Calibri"/>
        </w:rPr>
      </w:pPr>
      <w:r w:rsidRPr="001D5327">
        <w:rPr>
          <w:rFonts w:cs="Calibri"/>
        </w:rPr>
        <w:t xml:space="preserve">No improvements are currently planned. </w:t>
      </w:r>
    </w:p>
    <w:p w14:paraId="78AA93DB" w14:textId="77777777" w:rsidR="00590FE1" w:rsidRPr="001D5327" w:rsidRDefault="00590FE1" w:rsidP="00590FE1">
      <w:pPr>
        <w:pStyle w:val="Heading2"/>
      </w:pPr>
      <w:bookmarkStart w:id="1453" w:name="_Toc448321529"/>
      <w:bookmarkStart w:id="1454" w:name="_Toc481751391"/>
      <w:bookmarkStart w:id="1455" w:name="_Toc511116606"/>
      <w:bookmarkStart w:id="1456" w:name="_Toc5269368"/>
      <w:bookmarkStart w:id="1457" w:name="_Toc32570682"/>
      <w:bookmarkStart w:id="1458" w:name="_Toc36224408"/>
      <w:bookmarkStart w:id="1459" w:name="_Toc68786328"/>
      <w:bookmarkStart w:id="1460" w:name="_Toc131591243"/>
      <w:bookmarkStart w:id="1461" w:name="_Toc164154197"/>
      <w:bookmarkStart w:id="1462" w:name="_Toc194312022"/>
      <w:r w:rsidRPr="001D5327">
        <w:t>5.8</w:t>
      </w:r>
      <w:r w:rsidRPr="001D5327">
        <w:tab/>
        <w:t>Liming (3.G)</w:t>
      </w:r>
      <w:bookmarkEnd w:id="1453"/>
      <w:bookmarkEnd w:id="1454"/>
      <w:bookmarkEnd w:id="1455"/>
      <w:bookmarkEnd w:id="1456"/>
      <w:bookmarkEnd w:id="1457"/>
      <w:bookmarkEnd w:id="1458"/>
      <w:bookmarkEnd w:id="1459"/>
      <w:bookmarkEnd w:id="1460"/>
      <w:bookmarkEnd w:id="1461"/>
      <w:bookmarkEnd w:id="1462"/>
      <w:r w:rsidRPr="001D5327">
        <w:t xml:space="preserve"> </w:t>
      </w:r>
    </w:p>
    <w:p w14:paraId="42F74353" w14:textId="77777777" w:rsidR="00590FE1" w:rsidRPr="001D5327" w:rsidRDefault="00590FE1" w:rsidP="00590FE1">
      <w:pPr>
        <w:pStyle w:val="Heading3"/>
        <w:spacing w:before="240"/>
      </w:pPr>
      <w:bookmarkStart w:id="1463" w:name="_Toc32570683"/>
      <w:r w:rsidRPr="001D5327">
        <w:t>5.8.1</w:t>
      </w:r>
      <w:r w:rsidRPr="001D5327">
        <w:tab/>
        <w:t>Category description</w:t>
      </w:r>
      <w:bookmarkEnd w:id="1463"/>
    </w:p>
    <w:p w14:paraId="22DEB047" w14:textId="77777777" w:rsidR="00590FE1" w:rsidRPr="001D5327" w:rsidRDefault="00590FE1" w:rsidP="00590FE1">
      <w:pPr>
        <w:pStyle w:val="BodyText"/>
        <w:rPr>
          <w:rFonts w:cs="Calibri"/>
        </w:rPr>
      </w:pPr>
      <w:r w:rsidRPr="001D5327">
        <w:rPr>
          <w:rFonts w:cs="Calibri"/>
        </w:rPr>
        <w:t xml:space="preserve">Emissions from </w:t>
      </w:r>
      <w:r w:rsidRPr="001D5327">
        <w:rPr>
          <w:rFonts w:cs="Calibri"/>
          <w:i/>
          <w:iCs/>
        </w:rPr>
        <w:t xml:space="preserve">Liming </w:t>
      </w:r>
      <w:r w:rsidRPr="001D5327">
        <w:rPr>
          <w:rFonts w:cs="Calibri"/>
        </w:rPr>
        <w:t>(the application of limestone and dolomite) contributed an estimated 273.8 kt CO</w:t>
      </w:r>
      <w:r w:rsidRPr="001D5327">
        <w:rPr>
          <w:rFonts w:cs="Calibri"/>
          <w:vertAlign w:val="subscript"/>
        </w:rPr>
        <w:t>2</w:t>
      </w:r>
      <w:r w:rsidRPr="001D5327">
        <w:rPr>
          <w:rFonts w:cs="Calibri"/>
        </w:rPr>
        <w:t xml:space="preserve">, representing </w:t>
      </w:r>
      <w:r w:rsidRPr="001D5327">
        <w:t xml:space="preserve">0.4 per cent of </w:t>
      </w:r>
      <w:r w:rsidRPr="001D5327">
        <w:rPr>
          <w:rFonts w:cs="Calibri"/>
          <w:spacing w:val="-2"/>
        </w:rPr>
        <w:t>New Zealand’s</w:t>
      </w:r>
      <w:r w:rsidRPr="001D5327">
        <w:t xml:space="preserve"> gross emissions </w:t>
      </w:r>
      <w:r w:rsidRPr="001D5327">
        <w:rPr>
          <w:rFonts w:cs="Calibri"/>
        </w:rPr>
        <w:t>and 0.7 per cent of Agriculture</w:t>
      </w:r>
      <w:r w:rsidRPr="001D5327">
        <w:rPr>
          <w:rFonts w:cs="Calibri"/>
          <w:i/>
        </w:rPr>
        <w:t xml:space="preserve"> </w:t>
      </w:r>
      <w:r w:rsidRPr="001D5327">
        <w:rPr>
          <w:rFonts w:cs="Calibri"/>
        </w:rPr>
        <w:t xml:space="preserve">emissions in 2023. </w:t>
      </w:r>
    </w:p>
    <w:p w14:paraId="541D6790" w14:textId="77777777" w:rsidR="00590FE1" w:rsidRPr="001D5327" w:rsidRDefault="00590FE1" w:rsidP="00590FE1">
      <w:pPr>
        <w:pStyle w:val="BodyText"/>
        <w:spacing w:before="100" w:after="100"/>
      </w:pPr>
      <w:r w:rsidRPr="001D5327">
        <w:t xml:space="preserve">In </w:t>
      </w:r>
      <w:r w:rsidRPr="001D5327">
        <w:rPr>
          <w:spacing w:val="-2"/>
        </w:rPr>
        <w:t>New Zealand</w:t>
      </w:r>
      <w:r w:rsidRPr="001D5327">
        <w:t>, lime and dolomite fertilisers are mainly applied to acidic grassland and cropland soils, to reduce soil acidity and maintain or increase production of pasture and crops. Before the 2015 submission, emissions from lime and dolomite fertilisers were reported under chapter 6, LULUCF.</w:t>
      </w:r>
    </w:p>
    <w:p w14:paraId="071ADC01" w14:textId="77777777" w:rsidR="00590FE1" w:rsidRPr="001D5327" w:rsidRDefault="00590FE1" w:rsidP="00590FE1">
      <w:pPr>
        <w:pStyle w:val="BodyText"/>
        <w:spacing w:before="100" w:after="100"/>
      </w:pPr>
      <w:r w:rsidRPr="001D5327">
        <w:rPr>
          <w:i/>
        </w:rPr>
        <w:t>Liming</w:t>
      </w:r>
      <w:r w:rsidRPr="001D5327">
        <w:t xml:space="preserve"> was identified as a key category for the Agriculture sector in 2023 (level assessment).</w:t>
      </w:r>
    </w:p>
    <w:p w14:paraId="2C76B9ED" w14:textId="77777777" w:rsidR="00590FE1" w:rsidRPr="001D5327" w:rsidRDefault="00590FE1" w:rsidP="00590FE1">
      <w:pPr>
        <w:pStyle w:val="BodyText"/>
        <w:spacing w:before="100" w:after="100"/>
      </w:pPr>
      <w:r w:rsidRPr="001D5327">
        <w:t xml:space="preserve">Emissions from </w:t>
      </w:r>
      <w:r w:rsidRPr="001D5327">
        <w:rPr>
          <w:i/>
        </w:rPr>
        <w:t xml:space="preserve">Liming </w:t>
      </w:r>
      <w:r w:rsidRPr="001D5327">
        <w:t>decreased 7.7 per cent (22.7 kt CO</w:t>
      </w:r>
      <w:r w:rsidRPr="001D5327">
        <w:rPr>
          <w:vertAlign w:val="subscript"/>
        </w:rPr>
        <w:t>2</w:t>
      </w:r>
      <w:r w:rsidRPr="001D5327">
        <w:t>) between 1990 and 2023.</w:t>
      </w:r>
    </w:p>
    <w:p w14:paraId="61C78F57" w14:textId="77777777" w:rsidR="00590FE1" w:rsidRPr="001D5327" w:rsidRDefault="00590FE1" w:rsidP="00590FE1">
      <w:pPr>
        <w:pStyle w:val="Heading3"/>
        <w:spacing w:before="280"/>
      </w:pPr>
      <w:bookmarkStart w:id="1464" w:name="_Toc32570684"/>
      <w:r w:rsidRPr="001D5327">
        <w:t>5.8.2</w:t>
      </w:r>
      <w:r w:rsidRPr="001D5327">
        <w:tab/>
        <w:t>Methodological issues</w:t>
      </w:r>
      <w:bookmarkEnd w:id="1464"/>
    </w:p>
    <w:p w14:paraId="3FD2D911" w14:textId="77777777" w:rsidR="00590FE1" w:rsidRPr="001D5327" w:rsidRDefault="00590FE1" w:rsidP="00590FE1">
      <w:pPr>
        <w:pStyle w:val="BodyText"/>
        <w:spacing w:before="100" w:after="100"/>
      </w:pPr>
      <w:r w:rsidRPr="001D5327">
        <w:t xml:space="preserve">Data on the tonnage of agricultural lime (limestone and dolomite) application are collected by Stats NZ, as a part of its five-yearly Agricultural Production Census and annual Agricultural Production Survey in the intervening years. Analysis of the data indicates that, each year, around 90 per cent of agricultural lime used in </w:t>
      </w:r>
      <w:r w:rsidRPr="001D5327" w:rsidDel="00B1255C">
        <w:t xml:space="preserve">New </w:t>
      </w:r>
      <w:r w:rsidRPr="001D5327">
        <w:t>Zealand is applied to grassland, with the remaining 10 per cent applied to cropland.</w:t>
      </w:r>
    </w:p>
    <w:p w14:paraId="16DE4090" w14:textId="77777777" w:rsidR="00590FE1" w:rsidRPr="001D5327" w:rsidRDefault="00590FE1" w:rsidP="00590FE1">
      <w:pPr>
        <w:pStyle w:val="BodyText"/>
        <w:spacing w:before="100" w:after="100"/>
      </w:pPr>
      <w:r w:rsidRPr="001D5327">
        <w:t>New Zealand has not yet developed a country-specific methodology for calculating CO</w:t>
      </w:r>
      <w:r w:rsidRPr="001D5327">
        <w:rPr>
          <w:vertAlign w:val="subscript"/>
        </w:rPr>
        <w:t>2</w:t>
      </w:r>
      <w:r w:rsidRPr="001D5327">
        <w:t xml:space="preserve"> emissions from the application of limestone and dolomite. Emissions from </w:t>
      </w:r>
      <w:r w:rsidRPr="001D5327">
        <w:rPr>
          <w:i/>
          <w:iCs/>
        </w:rPr>
        <w:t>Liming</w:t>
      </w:r>
      <w:r w:rsidRPr="001D5327">
        <w:t xml:space="preserve"> are currently estimated by following the Tier 1 methodology (equation 11.12; IPCC, 2006), using default </w:t>
      </w:r>
      <w:r w:rsidRPr="001D5327">
        <w:rPr>
          <w:spacing w:val="-2"/>
        </w:rPr>
        <w:t>emission factors for carbon conversion of 0.12 and 0.13 for limestone and dolomite respectively.</w:t>
      </w:r>
      <w:r w:rsidRPr="001D5327">
        <w:t xml:space="preserve"> </w:t>
      </w:r>
    </w:p>
    <w:p w14:paraId="675F908E" w14:textId="77777777" w:rsidR="00590FE1" w:rsidRPr="001D5327" w:rsidRDefault="00590FE1" w:rsidP="00590FE1">
      <w:pPr>
        <w:pStyle w:val="Heading3"/>
        <w:spacing w:before="240"/>
      </w:pPr>
      <w:bookmarkStart w:id="1465" w:name="_Toc32570685"/>
      <w:r w:rsidRPr="001D5327">
        <w:t>5.8.3</w:t>
      </w:r>
      <w:r w:rsidRPr="001D5327">
        <w:tab/>
        <w:t>Activity data</w:t>
      </w:r>
      <w:bookmarkEnd w:id="1465"/>
    </w:p>
    <w:p w14:paraId="583972EC" w14:textId="77777777" w:rsidR="00590FE1" w:rsidRPr="001D5327" w:rsidRDefault="00590FE1" w:rsidP="00590FE1">
      <w:pPr>
        <w:pStyle w:val="BodyText"/>
        <w:spacing w:before="100" w:after="100"/>
      </w:pPr>
      <w:r w:rsidRPr="001D5327">
        <w:t xml:space="preserve">Limestone is more commonly applied than dolomite in </w:t>
      </w:r>
      <w:r w:rsidRPr="001D5327" w:rsidDel="002D1DDD">
        <w:rPr>
          <w:rFonts w:cs="Calibri"/>
          <w:spacing w:val="-2"/>
        </w:rPr>
        <w:t xml:space="preserve">New </w:t>
      </w:r>
      <w:r w:rsidRPr="001D5327">
        <w:rPr>
          <w:rFonts w:cs="Calibri"/>
          <w:spacing w:val="-2"/>
        </w:rPr>
        <w:t>Zealand</w:t>
      </w:r>
      <w:r w:rsidRPr="001D5327">
        <w:t xml:space="preserve">. Limestone is extracted widely in </w:t>
      </w:r>
      <w:r w:rsidRPr="001D5327">
        <w:rPr>
          <w:rFonts w:cs="Calibri"/>
          <w:spacing w:val="-2"/>
        </w:rPr>
        <w:t>New Zealand</w:t>
      </w:r>
      <w:r w:rsidRPr="001D5327">
        <w:t xml:space="preserve"> whereas dolomite is only available from a small, localised source. Activity data sourced from the Stats NZ Agricultural Production Census show that limestone application has declined since 2002, while dolomite use peaked in 2010 and has since fallen. The quantity of lime applied as limestone and dolomite varies each year and is influenced by several factors, including farm profitability (see figure 5.8.1 and figure 5.8.2). A correction factor of 0.82 is applied to the gross weight (tonnes) of lime use reported by Stats NZ. This correction factor is specified using research from Thomson et al. (2021) and accounts for impurities in the agricultural lime applied, as well the moisture content, so that emissions are based on the dry weight of calcium carbonate applied. </w:t>
      </w:r>
    </w:p>
    <w:p w14:paraId="2EFAB1AF" w14:textId="77777777" w:rsidR="00590FE1" w:rsidRPr="001D5327" w:rsidRDefault="00590FE1" w:rsidP="00590FE1">
      <w:pPr>
        <w:pStyle w:val="Figure"/>
        <w:spacing w:after="80"/>
      </w:pPr>
      <w:bookmarkStart w:id="1466" w:name="_Toc447275698"/>
      <w:bookmarkStart w:id="1467" w:name="_Toc481752017"/>
      <w:bookmarkStart w:id="1468" w:name="_Toc507158476"/>
      <w:bookmarkStart w:id="1469" w:name="_Toc511116967"/>
      <w:bookmarkStart w:id="1470" w:name="_Toc5269697"/>
      <w:bookmarkStart w:id="1471" w:name="_Toc32570968"/>
      <w:bookmarkStart w:id="1472" w:name="_Toc36292798"/>
      <w:bookmarkStart w:id="1473" w:name="_Toc68786663"/>
      <w:bookmarkStart w:id="1474" w:name="_Toc95574124"/>
      <w:bookmarkStart w:id="1475" w:name="_Toc127458563"/>
      <w:bookmarkStart w:id="1476" w:name="_Toc131591565"/>
      <w:bookmarkStart w:id="1477" w:name="_Toc164154033"/>
      <w:bookmarkStart w:id="1478" w:name="_Toc194674866"/>
      <w:r w:rsidRPr="001D5327">
        <w:lastRenderedPageBreak/>
        <w:t>Figure 5.8.1</w:t>
      </w:r>
      <w:r w:rsidRPr="001D5327">
        <w:tab/>
        <w:t>Limestone usage on agricultural land in New Zealand, from 1990 to </w:t>
      </w:r>
      <w:bookmarkEnd w:id="1466"/>
      <w:bookmarkEnd w:id="1467"/>
      <w:bookmarkEnd w:id="1468"/>
      <w:bookmarkEnd w:id="1469"/>
      <w:bookmarkEnd w:id="1470"/>
      <w:bookmarkEnd w:id="1471"/>
      <w:bookmarkEnd w:id="1472"/>
      <w:bookmarkEnd w:id="1473"/>
      <w:bookmarkEnd w:id="1474"/>
      <w:bookmarkEnd w:id="1475"/>
      <w:bookmarkEnd w:id="1476"/>
      <w:bookmarkEnd w:id="1477"/>
      <w:r w:rsidRPr="001D5327">
        <w:t>2023</w:t>
      </w:r>
      <w:bookmarkEnd w:id="1478"/>
    </w:p>
    <w:p w14:paraId="627F5A44" w14:textId="77777777" w:rsidR="00590FE1" w:rsidRPr="001D5327" w:rsidRDefault="00590FE1" w:rsidP="00590FE1">
      <w:pPr>
        <w:pStyle w:val="BodyText"/>
      </w:pPr>
      <w:r w:rsidRPr="001D5327">
        <w:rPr>
          <w:noProof/>
        </w:rPr>
        <w:drawing>
          <wp:inline distT="0" distB="0" distL="0" distR="0" wp14:anchorId="415E9C67" wp14:editId="65A2E55F">
            <wp:extent cx="4651455" cy="2724150"/>
            <wp:effectExtent l="0" t="0" r="0" b="0"/>
            <wp:docPr id="15840007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679933" cy="2740829"/>
                    </a:xfrm>
                    <a:prstGeom prst="rect">
                      <a:avLst/>
                    </a:prstGeom>
                  </pic:spPr>
                </pic:pic>
              </a:graphicData>
            </a:graphic>
          </wp:inline>
        </w:drawing>
      </w:r>
    </w:p>
    <w:p w14:paraId="4AB6DEC9" w14:textId="77777777" w:rsidR="00590FE1" w:rsidRPr="001D5327" w:rsidRDefault="00590FE1" w:rsidP="00590FE1">
      <w:pPr>
        <w:pStyle w:val="Figure"/>
        <w:spacing w:before="160"/>
      </w:pPr>
      <w:bookmarkStart w:id="1479" w:name="_Toc131591566"/>
      <w:bookmarkStart w:id="1480" w:name="_Toc164154034"/>
      <w:bookmarkStart w:id="1481" w:name="_Toc194674867"/>
      <w:r w:rsidRPr="001D5327">
        <w:t>Figure 5.8.2</w:t>
      </w:r>
      <w:r w:rsidRPr="001D5327">
        <w:tab/>
        <w:t>Dolomite usage on agricultural land in New Zealand, from 1990 to </w:t>
      </w:r>
      <w:bookmarkEnd w:id="1479"/>
      <w:bookmarkEnd w:id="1480"/>
      <w:r w:rsidRPr="001D5327">
        <w:rPr>
          <w:szCs w:val="18"/>
        </w:rPr>
        <w:t>2023</w:t>
      </w:r>
      <w:bookmarkEnd w:id="1481"/>
    </w:p>
    <w:p w14:paraId="648D9710" w14:textId="77777777" w:rsidR="00590FE1" w:rsidRPr="001D5327" w:rsidRDefault="00590FE1" w:rsidP="00B61835">
      <w:pPr>
        <w:rPr>
          <w:rFonts w:ascii="Times New Roman" w:hAnsi="Times New Roman"/>
          <w:sz w:val="24"/>
          <w:szCs w:val="24"/>
        </w:rPr>
      </w:pPr>
      <w:bookmarkStart w:id="1482" w:name="_Toc32570686"/>
      <w:r w:rsidRPr="001D5327">
        <w:rPr>
          <w:noProof/>
        </w:rPr>
        <w:drawing>
          <wp:inline distT="0" distB="0" distL="0" distR="0" wp14:anchorId="35465211" wp14:editId="65C726DF">
            <wp:extent cx="4984750" cy="2919346"/>
            <wp:effectExtent l="0" t="0" r="6350" b="0"/>
            <wp:docPr id="4131112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000153" cy="2928367"/>
                    </a:xfrm>
                    <a:prstGeom prst="rect">
                      <a:avLst/>
                    </a:prstGeom>
                  </pic:spPr>
                </pic:pic>
              </a:graphicData>
            </a:graphic>
          </wp:inline>
        </w:drawing>
      </w:r>
    </w:p>
    <w:p w14:paraId="26E93D0C" w14:textId="77777777" w:rsidR="00590FE1" w:rsidRPr="001D5327" w:rsidRDefault="00590FE1" w:rsidP="00590FE1">
      <w:pPr>
        <w:pStyle w:val="Heading3"/>
      </w:pPr>
      <w:r w:rsidRPr="001D5327">
        <w:t>5.8.4</w:t>
      </w:r>
      <w:r w:rsidRPr="001D5327">
        <w:tab/>
        <w:t>Uncertainty assessment and time-series consistency</w:t>
      </w:r>
      <w:bookmarkEnd w:id="1482"/>
    </w:p>
    <w:p w14:paraId="5CD7AEFA" w14:textId="678C717C" w:rsidR="00590FE1" w:rsidRPr="001D5327" w:rsidRDefault="00590FE1" w:rsidP="00590FE1">
      <w:pPr>
        <w:pStyle w:val="BodyText"/>
        <w:spacing w:before="100" w:after="100"/>
        <w:rPr>
          <w:rFonts w:cs="Calibri"/>
        </w:rPr>
      </w:pPr>
      <w:r w:rsidRPr="001D5327">
        <w:rPr>
          <w:rFonts w:cs="Calibri"/>
        </w:rPr>
        <w:t>Using the IPCC (2006) Tier 1 methodology, default emission factors are used, which are based on the chemical formula of lime and assume all carbon in lime is emitted as CO</w:t>
      </w:r>
      <w:r w:rsidRPr="001D5327">
        <w:rPr>
          <w:rFonts w:cs="Calibri"/>
          <w:vertAlign w:val="subscript"/>
        </w:rPr>
        <w:t>2</w:t>
      </w:r>
      <w:r w:rsidRPr="001D5327">
        <w:rPr>
          <w:rFonts w:cs="Calibri"/>
        </w:rPr>
        <w:t xml:space="preserve"> into the atmosphere. However, the 2006 IPCC Guidelines state that the maximum available carbon is not necessarily lost and that the emissions could be up to 50 per cent lower than estimated (IPCC, 2006). The uncertainty applied is the IPCC default </w:t>
      </w:r>
      <w:r w:rsidR="0070503C">
        <w:rPr>
          <w:rFonts w:cs="Calibri"/>
        </w:rPr>
        <w:t>-</w:t>
      </w:r>
      <w:r w:rsidRPr="001D5327">
        <w:rPr>
          <w:rFonts w:cs="Calibri"/>
        </w:rPr>
        <w:t>50 per cent (IPCC, 2006). The uncertainty cannot exceed the emission factors because these value represent the absolute maximum emissions associated with liming.</w:t>
      </w:r>
    </w:p>
    <w:p w14:paraId="5960A0CF" w14:textId="77777777" w:rsidR="00590FE1" w:rsidRPr="001D5327" w:rsidRDefault="00590FE1" w:rsidP="00590FE1">
      <w:pPr>
        <w:pStyle w:val="BodyText"/>
        <w:spacing w:before="100" w:after="100"/>
        <w:rPr>
          <w:rFonts w:cs="Calibri"/>
        </w:rPr>
      </w:pPr>
      <w:r w:rsidRPr="001D5327">
        <w:rPr>
          <w:rFonts w:cs="Calibri"/>
        </w:rPr>
        <w:t xml:space="preserve">The Agricultural Production Census and Agricultural Production Survey data used in the </w:t>
      </w:r>
      <w:r w:rsidRPr="001D5327">
        <w:t>Agriculture</w:t>
      </w:r>
      <w:r w:rsidRPr="001D5327">
        <w:rPr>
          <w:rFonts w:cs="Calibri"/>
        </w:rPr>
        <w:t xml:space="preserve"> inventory model have gaps in the time series: no data are available for 1991 or between 1997 and 2001. In the absence of other supporting data, linear interpolation has been used to estimate the data for these years.</w:t>
      </w:r>
    </w:p>
    <w:p w14:paraId="6B0605EE" w14:textId="77777777" w:rsidR="00590FE1" w:rsidRPr="001D5327" w:rsidRDefault="00590FE1" w:rsidP="00590FE1">
      <w:pPr>
        <w:pStyle w:val="Heading3"/>
        <w:spacing w:before="280"/>
      </w:pPr>
      <w:bookmarkStart w:id="1483" w:name="_Toc32570687"/>
      <w:r w:rsidRPr="001D5327">
        <w:lastRenderedPageBreak/>
        <w:t>5.8.5</w:t>
      </w:r>
      <w:r w:rsidRPr="001D5327">
        <w:tab/>
        <w:t>Category-specific QA/QC and verification</w:t>
      </w:r>
      <w:bookmarkEnd w:id="1483"/>
    </w:p>
    <w:p w14:paraId="611E6868" w14:textId="77777777" w:rsidR="00590FE1" w:rsidRPr="001D5327" w:rsidRDefault="00590FE1" w:rsidP="00590FE1">
      <w:pPr>
        <w:pStyle w:val="BodyText"/>
        <w:spacing w:before="100" w:after="100"/>
        <w:rPr>
          <w:rFonts w:cs="Calibri"/>
        </w:rPr>
      </w:pPr>
      <w:r w:rsidRPr="001D5327">
        <w:rPr>
          <w:rFonts w:cs="Calibri"/>
        </w:rPr>
        <w:t xml:space="preserve">In the preparation of this inventory, the data for </w:t>
      </w:r>
      <w:r w:rsidRPr="001D5327">
        <w:rPr>
          <w:rFonts w:cs="Calibri"/>
          <w:i/>
        </w:rPr>
        <w:t>Liming</w:t>
      </w:r>
      <w:r w:rsidRPr="001D5327">
        <w:rPr>
          <w:rFonts w:cs="Calibri"/>
        </w:rPr>
        <w:t xml:space="preserve"> underwent Tier 1 quality checks. Stats NZ, the agency that collects the activity data for </w:t>
      </w:r>
      <w:r w:rsidRPr="001D5327">
        <w:rPr>
          <w:rFonts w:cs="Calibri"/>
          <w:i/>
        </w:rPr>
        <w:t>Liming</w:t>
      </w:r>
      <w:r w:rsidRPr="001D5327">
        <w:rPr>
          <w:rFonts w:cs="Calibri"/>
        </w:rPr>
        <w:t>, also carries out a series of quality-assurance and quality-control procedures as part of the data collection carried out each year.</w:t>
      </w:r>
    </w:p>
    <w:p w14:paraId="66983BD0" w14:textId="77777777" w:rsidR="00590FE1" w:rsidRPr="001D5327" w:rsidRDefault="00590FE1" w:rsidP="00590FE1">
      <w:pPr>
        <w:pStyle w:val="Heading3"/>
        <w:spacing w:before="280"/>
      </w:pPr>
      <w:bookmarkStart w:id="1484" w:name="_Toc32570688"/>
      <w:r w:rsidRPr="001D5327">
        <w:t>5.8.6</w:t>
      </w:r>
      <w:r w:rsidRPr="001D5327">
        <w:tab/>
        <w:t>Category-specific recalculations</w:t>
      </w:r>
      <w:bookmarkEnd w:id="1484"/>
    </w:p>
    <w:p w14:paraId="793B9930" w14:textId="77777777" w:rsidR="00590FE1" w:rsidRPr="001D5327" w:rsidRDefault="00590FE1" w:rsidP="00590FE1">
      <w:pPr>
        <w:pStyle w:val="BodyText"/>
        <w:spacing w:before="100" w:after="100"/>
        <w:rPr>
          <w:rFonts w:cs="Calibri"/>
        </w:rPr>
      </w:pPr>
      <w:bookmarkStart w:id="1485" w:name="_Hlk91060203"/>
      <w:bookmarkStart w:id="1486" w:name="_Toc32570689"/>
      <w:r w:rsidRPr="001D5327">
        <w:rPr>
          <w:rFonts w:cs="Calibri"/>
        </w:rPr>
        <w:t>No recalculations have been performed for CO</w:t>
      </w:r>
      <w:r w:rsidRPr="001D5327">
        <w:rPr>
          <w:rFonts w:cs="Calibri"/>
          <w:vertAlign w:val="subscript"/>
        </w:rPr>
        <w:t>2</w:t>
      </w:r>
      <w:r w:rsidRPr="001D5327">
        <w:rPr>
          <w:rFonts w:cs="Calibri"/>
        </w:rPr>
        <w:t xml:space="preserve"> emissions from </w:t>
      </w:r>
      <w:r w:rsidRPr="001D5327">
        <w:rPr>
          <w:rFonts w:cs="Calibri"/>
          <w:i/>
          <w:iCs/>
        </w:rPr>
        <w:t>Liming</w:t>
      </w:r>
      <w:bookmarkEnd w:id="1485"/>
      <w:r w:rsidRPr="001D5327">
        <w:rPr>
          <w:rFonts w:cs="Calibri"/>
        </w:rPr>
        <w:t xml:space="preserve"> in the 2025 (1990 to 2023) submission.</w:t>
      </w:r>
    </w:p>
    <w:p w14:paraId="7E70C596" w14:textId="77777777" w:rsidR="00590FE1" w:rsidRPr="001D5327" w:rsidRDefault="00590FE1" w:rsidP="00590FE1">
      <w:pPr>
        <w:pStyle w:val="Heading3"/>
        <w:spacing w:before="280"/>
      </w:pPr>
      <w:r w:rsidRPr="001D5327">
        <w:t>5.8.7</w:t>
      </w:r>
      <w:r w:rsidRPr="001D5327">
        <w:tab/>
        <w:t>Category-specific planned improvements</w:t>
      </w:r>
      <w:bookmarkEnd w:id="1486"/>
    </w:p>
    <w:p w14:paraId="47591523" w14:textId="77777777" w:rsidR="00590FE1" w:rsidRPr="001D5327" w:rsidRDefault="00590FE1" w:rsidP="00590FE1">
      <w:pPr>
        <w:pStyle w:val="BodyText"/>
        <w:spacing w:before="100" w:after="100"/>
        <w:rPr>
          <w:rFonts w:cs="Calibri"/>
        </w:rPr>
      </w:pPr>
      <w:r w:rsidRPr="001D5327">
        <w:rPr>
          <w:rFonts w:cs="Calibri"/>
        </w:rPr>
        <w:t xml:space="preserve">In the 2024 round of the Greenhouse Gas Inventory Research Fund research into developing a New Zealand specific Tier 2 emission factor for emissions arising from liming was set as a new research priority (see the </w:t>
      </w:r>
      <w:hyperlink r:id="rId123" w:history="1">
        <w:r w:rsidRPr="001D5327">
          <w:rPr>
            <w:rStyle w:val="Hyperlink"/>
            <w:rFonts w:cs="Calibri"/>
          </w:rPr>
          <w:t>Greenhouse Gas Inventory Research Fund 2024 /25 Priorities</w:t>
        </w:r>
      </w:hyperlink>
      <w:r w:rsidRPr="001D5327">
        <w:rPr>
          <w:rFonts w:cs="Calibri"/>
        </w:rPr>
        <w:t>).</w:t>
      </w:r>
    </w:p>
    <w:p w14:paraId="3F8CAD1E" w14:textId="77777777" w:rsidR="00590FE1" w:rsidRPr="001D5327" w:rsidRDefault="00590FE1" w:rsidP="00590FE1">
      <w:pPr>
        <w:pStyle w:val="Heading2"/>
        <w:spacing w:before="280"/>
      </w:pPr>
      <w:bookmarkStart w:id="1487" w:name="_Toc448321530"/>
      <w:bookmarkStart w:id="1488" w:name="_Toc481751392"/>
      <w:bookmarkStart w:id="1489" w:name="_Toc511116607"/>
      <w:bookmarkStart w:id="1490" w:name="_Toc5269369"/>
      <w:bookmarkStart w:id="1491" w:name="_Toc32570690"/>
      <w:bookmarkStart w:id="1492" w:name="_Toc36224409"/>
      <w:bookmarkStart w:id="1493" w:name="_Toc68786329"/>
      <w:bookmarkStart w:id="1494" w:name="_Toc131591244"/>
      <w:bookmarkStart w:id="1495" w:name="_Toc164154198"/>
      <w:bookmarkStart w:id="1496" w:name="_Toc194312023"/>
      <w:r w:rsidRPr="001D5327">
        <w:t>5.9</w:t>
      </w:r>
      <w:r w:rsidRPr="001D5327">
        <w:tab/>
        <w:t>Urea application (3.H)</w:t>
      </w:r>
      <w:bookmarkEnd w:id="1487"/>
      <w:bookmarkEnd w:id="1488"/>
      <w:bookmarkEnd w:id="1489"/>
      <w:bookmarkEnd w:id="1490"/>
      <w:bookmarkEnd w:id="1491"/>
      <w:bookmarkEnd w:id="1492"/>
      <w:bookmarkEnd w:id="1493"/>
      <w:bookmarkEnd w:id="1494"/>
      <w:bookmarkEnd w:id="1495"/>
      <w:bookmarkEnd w:id="1496"/>
    </w:p>
    <w:p w14:paraId="12DA23BB" w14:textId="77777777" w:rsidR="00590FE1" w:rsidRPr="001D5327" w:rsidRDefault="00590FE1" w:rsidP="00590FE1">
      <w:pPr>
        <w:pStyle w:val="Heading3"/>
        <w:spacing w:before="180"/>
      </w:pPr>
      <w:bookmarkStart w:id="1497" w:name="_Toc32570691"/>
      <w:r w:rsidRPr="001D5327">
        <w:t>5.9.1</w:t>
      </w:r>
      <w:r w:rsidRPr="001D5327">
        <w:tab/>
        <w:t>Category description</w:t>
      </w:r>
      <w:bookmarkEnd w:id="1497"/>
    </w:p>
    <w:p w14:paraId="55996984" w14:textId="77777777" w:rsidR="00590FE1" w:rsidRPr="001D5327" w:rsidRDefault="00590FE1" w:rsidP="00590FE1">
      <w:pPr>
        <w:pStyle w:val="BodyText"/>
        <w:spacing w:before="100" w:after="100"/>
      </w:pPr>
      <w:r w:rsidRPr="001D5327">
        <w:t xml:space="preserve">Urea fertiliser accounts for the majority of synthetic nitrogen fertiliser used in </w:t>
      </w:r>
      <w:r w:rsidRPr="001D5327" w:rsidDel="00961C4F">
        <w:t xml:space="preserve">New </w:t>
      </w:r>
      <w:r w:rsidRPr="001D5327">
        <w:t xml:space="preserve">Zealand. It is mainly applied to dairy pastureland to boost pasture growth during the autumn and spring months (see figure 5.5.3). </w:t>
      </w:r>
    </w:p>
    <w:p w14:paraId="7971C9B6" w14:textId="77777777" w:rsidR="00590FE1" w:rsidRPr="001D5327" w:rsidRDefault="00590FE1" w:rsidP="00590FE1">
      <w:pPr>
        <w:pStyle w:val="BodyText"/>
        <w:spacing w:before="100" w:after="100"/>
      </w:pPr>
      <w:r w:rsidRPr="001D5327">
        <w:rPr>
          <w:i/>
        </w:rPr>
        <w:t>Urea application</w:t>
      </w:r>
      <w:r w:rsidRPr="001D5327">
        <w:t xml:space="preserve"> was identified as a key category for the Agriculture sector in 2023 (level and trend assessment).</w:t>
      </w:r>
    </w:p>
    <w:p w14:paraId="1D544660" w14:textId="77777777" w:rsidR="00590FE1" w:rsidRPr="001D5327" w:rsidRDefault="00590FE1" w:rsidP="00590FE1">
      <w:pPr>
        <w:pStyle w:val="BodyText"/>
        <w:spacing w:before="100" w:after="100"/>
      </w:pPr>
      <w:r w:rsidRPr="001D5327">
        <w:rPr>
          <w:i/>
        </w:rPr>
        <w:t>Urea application</w:t>
      </w:r>
      <w:r w:rsidRPr="001D5327">
        <w:t xml:space="preserve"> contributed an estimated 425.7 kt CO</w:t>
      </w:r>
      <w:r w:rsidRPr="001D5327">
        <w:rPr>
          <w:vertAlign w:val="subscript"/>
        </w:rPr>
        <w:t>2</w:t>
      </w:r>
      <w:r w:rsidRPr="001D5327">
        <w:t>,</w:t>
      </w:r>
      <w:r w:rsidRPr="001D5327">
        <w:rPr>
          <w:vertAlign w:val="subscript"/>
        </w:rPr>
        <w:t xml:space="preserve"> </w:t>
      </w:r>
      <w:r w:rsidRPr="001D5327">
        <w:t xml:space="preserve">representing 0.6 per cent of </w:t>
      </w:r>
      <w:r w:rsidRPr="001D5327">
        <w:rPr>
          <w:rFonts w:cs="Calibri"/>
          <w:spacing w:val="-2"/>
        </w:rPr>
        <w:t>New Zealand’s</w:t>
      </w:r>
      <w:r w:rsidRPr="001D5327">
        <w:t xml:space="preserve"> gross emissions and 1.0 per cent of </w:t>
      </w:r>
      <w:r w:rsidRPr="001D5327">
        <w:rPr>
          <w:iCs/>
        </w:rPr>
        <w:t xml:space="preserve">Agriculture </w:t>
      </w:r>
      <w:r w:rsidRPr="001D5327">
        <w:t>emissions in 2023. Compared with the average emissions for 2017 to 2021, this is a decrease of nearly 25.6 per cent in 2023, due to lower urea application because of higher nitrogen fertiliser prices and lower farming profitability</w:t>
      </w:r>
      <w:r w:rsidRPr="001D5327" w:rsidDel="00CD2446">
        <w:t>.</w:t>
      </w:r>
    </w:p>
    <w:p w14:paraId="451CA312" w14:textId="77777777" w:rsidR="00590FE1" w:rsidRPr="001D5327" w:rsidRDefault="00590FE1" w:rsidP="00590FE1">
      <w:pPr>
        <w:pStyle w:val="BodyText"/>
        <w:spacing w:before="100" w:after="100"/>
      </w:pPr>
      <w:r w:rsidRPr="001D5327">
        <w:t xml:space="preserve">Emissions from </w:t>
      </w:r>
      <w:r w:rsidRPr="001D5327">
        <w:rPr>
          <w:i/>
        </w:rPr>
        <w:t>Urea application</w:t>
      </w:r>
      <w:r w:rsidRPr="001D5327">
        <w:t xml:space="preserve"> increased 986.0 per cent between 1990 and 2023. Since 1990, the proportion of urea fertiliser applied (relative to total synthetic nitrogen fertiliser use) increased from around 41.5 per cent in 1990 to a high of 91.7 per cent in 2007. In 2023 urea was 71.0 per cent of all synthetic nitrogen fertiliser applied (see figure 5.5.3).</w:t>
      </w:r>
    </w:p>
    <w:p w14:paraId="76A8CD57" w14:textId="77777777" w:rsidR="00590FE1" w:rsidRPr="001D5327" w:rsidRDefault="00590FE1" w:rsidP="00590FE1">
      <w:pPr>
        <w:pStyle w:val="Heading3"/>
        <w:spacing w:before="280"/>
      </w:pPr>
      <w:bookmarkStart w:id="1498" w:name="_Toc32570692"/>
      <w:r w:rsidRPr="001D5327">
        <w:t>5.9.2</w:t>
      </w:r>
      <w:r w:rsidRPr="001D5327">
        <w:tab/>
        <w:t>Methodological issues</w:t>
      </w:r>
      <w:bookmarkEnd w:id="1498"/>
    </w:p>
    <w:p w14:paraId="44DA80B6" w14:textId="77777777" w:rsidR="00590FE1" w:rsidRPr="001D5327" w:rsidRDefault="00590FE1" w:rsidP="00590FE1">
      <w:pPr>
        <w:pStyle w:val="BodyText"/>
      </w:pPr>
      <w:r w:rsidRPr="001D5327">
        <w:t>There is no country-specific methodology on CO</w:t>
      </w:r>
      <w:r w:rsidRPr="001D5327">
        <w:rPr>
          <w:vertAlign w:val="subscript"/>
        </w:rPr>
        <w:t>2</w:t>
      </w:r>
      <w:r w:rsidRPr="001D5327">
        <w:t xml:space="preserve"> emissions from </w:t>
      </w:r>
      <w:r w:rsidRPr="001D5327">
        <w:rPr>
          <w:i/>
        </w:rPr>
        <w:t>Urea application</w:t>
      </w:r>
      <w:r w:rsidRPr="001D5327">
        <w:t xml:space="preserve"> for </w:t>
      </w:r>
      <w:r w:rsidRPr="001D5327" w:rsidDel="009F0596">
        <w:rPr>
          <w:rFonts w:cs="Calibri"/>
          <w:spacing w:val="-2"/>
        </w:rPr>
        <w:t>New</w:t>
      </w:r>
      <w:r w:rsidRPr="001D5327">
        <w:rPr>
          <w:rFonts w:cs="Calibri"/>
          <w:spacing w:val="-2"/>
        </w:rPr>
        <w:t> Zealand</w:t>
      </w:r>
      <w:r w:rsidRPr="001D5327">
        <w:t xml:space="preserve">. Emissions associated with the application of urea are estimated using a Tier 1 methodology (equation 11.13; IPCC, 2006), using the default emission factor for carbon conversion of 0.20. </w:t>
      </w:r>
    </w:p>
    <w:p w14:paraId="0D889492" w14:textId="77777777" w:rsidR="00590FE1" w:rsidRPr="001D5327" w:rsidRDefault="00590FE1" w:rsidP="00590FE1">
      <w:pPr>
        <w:pStyle w:val="BodyText"/>
      </w:pPr>
      <w:r w:rsidRPr="001D5327">
        <w:t>Research into urease inhibitors (see section 5.5.2) has demonstrated they are effective in slowing down the activity of the urease enzyme that hydrolyses urea to ammonium (as reported in section 5.5.2), but urease inhibitors do not reduce the release of CO</w:t>
      </w:r>
      <w:r w:rsidRPr="001D5327">
        <w:rPr>
          <w:vertAlign w:val="subscript"/>
        </w:rPr>
        <w:t>2</w:t>
      </w:r>
      <w:r w:rsidRPr="001D5327">
        <w:t xml:space="preserve"> (S Saggar, pers. comm., 2014).</w:t>
      </w:r>
    </w:p>
    <w:p w14:paraId="4BB85F55" w14:textId="77777777" w:rsidR="00590FE1" w:rsidRPr="001D5327" w:rsidRDefault="00590FE1" w:rsidP="00590FE1">
      <w:pPr>
        <w:pStyle w:val="Heading3"/>
        <w:spacing w:before="280"/>
      </w:pPr>
      <w:bookmarkStart w:id="1499" w:name="_Toc32570693"/>
      <w:r w:rsidRPr="001D5327">
        <w:lastRenderedPageBreak/>
        <w:t>5.9.3</w:t>
      </w:r>
      <w:r w:rsidRPr="001D5327">
        <w:tab/>
        <w:t>Activity data</w:t>
      </w:r>
      <w:bookmarkEnd w:id="1499"/>
    </w:p>
    <w:p w14:paraId="7B2E25DA" w14:textId="77777777" w:rsidR="00590FE1" w:rsidRPr="001D5327" w:rsidRDefault="00590FE1" w:rsidP="00B61835">
      <w:pPr>
        <w:pStyle w:val="BodyText"/>
        <w:spacing w:before="100"/>
        <w:rPr>
          <w:rFonts w:cs="Calibri"/>
        </w:rPr>
      </w:pPr>
      <w:r w:rsidRPr="001D5327">
        <w:rPr>
          <w:rFonts w:cs="Calibri"/>
        </w:rPr>
        <w:t xml:space="preserve">Data on the volume of synthetic nitrogen fertiliser used are provided by the Fertiliser Association of New Zealand from fertiliser company sales records from 1990 to 2023. From 1990 to 2013, data on the percentage of synthetic nitrogen fertiliser derived from urea were sourced from the International Fertilizer Industry Association online database and were used to calculate the amount of applied urea fertiliser. Since 2014, data for total nitrogen from synthetic nitrogen fertiliser derived from urea have been provided by the Fertiliser Association of New Zealand. </w:t>
      </w:r>
    </w:p>
    <w:p w14:paraId="346F2491" w14:textId="77777777" w:rsidR="00590FE1" w:rsidRPr="001D5327" w:rsidRDefault="00590FE1" w:rsidP="00B61835">
      <w:pPr>
        <w:pStyle w:val="BodyText"/>
        <w:spacing w:before="100"/>
        <w:rPr>
          <w:rFonts w:cs="Calibri"/>
        </w:rPr>
      </w:pPr>
      <w:r w:rsidRPr="001D5327">
        <w:rPr>
          <w:rFonts w:cs="Calibri"/>
        </w:rPr>
        <w:t xml:space="preserve">A large increase has occurred in nitrogen applied to agricultural land as urea fertiliser, from 24,586 tonnes nitrogen in 1990 to 267,000 tonnes in 2023. This is a larger increase than the increase in the total amount of synthetic nitrogen fertiliser applied, which is 6.3 times the amount used in 1990. In more recent years, urea fertiliser use has generally trended downwards, having peaked at 381,527 tonnes of nitrogen in 2015 (see reporting on the </w:t>
      </w:r>
      <w:r w:rsidRPr="001D5327">
        <w:rPr>
          <w:rFonts w:cs="Calibri"/>
          <w:i/>
          <w:iCs/>
        </w:rPr>
        <w:t>Agricultural soils</w:t>
      </w:r>
      <w:r w:rsidRPr="001D5327">
        <w:rPr>
          <w:rFonts w:cs="Calibri"/>
        </w:rPr>
        <w:t xml:space="preserve"> category, and figure 5.5.2 and figure 5.5.3). </w:t>
      </w:r>
    </w:p>
    <w:p w14:paraId="26DA98A2" w14:textId="77777777" w:rsidR="00590FE1" w:rsidRPr="001D5327" w:rsidRDefault="00590FE1" w:rsidP="00590FE1">
      <w:pPr>
        <w:pStyle w:val="Heading3"/>
      </w:pPr>
      <w:bookmarkStart w:id="1500" w:name="_Toc32570694"/>
      <w:r w:rsidRPr="001D5327">
        <w:t>5.9.4</w:t>
      </w:r>
      <w:r w:rsidRPr="001D5327">
        <w:tab/>
        <w:t>Uncertainty assessment and time-series consistency</w:t>
      </w:r>
      <w:bookmarkEnd w:id="1500"/>
    </w:p>
    <w:p w14:paraId="2B1E3D0B" w14:textId="14BF7E65" w:rsidR="00590FE1" w:rsidRPr="001D5327" w:rsidRDefault="00590FE1" w:rsidP="00590FE1">
      <w:pPr>
        <w:pStyle w:val="BodyText"/>
        <w:rPr>
          <w:rFonts w:cs="Calibri"/>
        </w:rPr>
      </w:pPr>
      <w:r w:rsidRPr="001D5327">
        <w:rPr>
          <w:rFonts w:cs="Calibri"/>
        </w:rPr>
        <w:t>Under the IPCC (2006) Tier 1 methodology, default emission factors are used, which are based on the chemical formula of urea and assume all carbon in urea is emitted as CO</w:t>
      </w:r>
      <w:r w:rsidRPr="001D5327">
        <w:rPr>
          <w:rFonts w:cs="Calibri"/>
          <w:vertAlign w:val="subscript"/>
        </w:rPr>
        <w:t>2</w:t>
      </w:r>
      <w:r w:rsidRPr="001D5327">
        <w:rPr>
          <w:rFonts w:cs="Calibri"/>
        </w:rPr>
        <w:t xml:space="preserve"> into the</w:t>
      </w:r>
      <w:r w:rsidR="00B61835">
        <w:rPr>
          <w:rFonts w:cs="Calibri"/>
        </w:rPr>
        <w:t> </w:t>
      </w:r>
      <w:r w:rsidRPr="001D5327">
        <w:rPr>
          <w:rFonts w:cs="Calibri"/>
        </w:rPr>
        <w:t xml:space="preserve">atmosphere. However, the 2006 IPCC Guidelines state that the maximum available carbon is not necessarily lost and that the emissions could be up to 50 per cent lower (IPCC, 2006). This gives a lower uncertainty estimate of </w:t>
      </w:r>
      <w:r w:rsidR="0070503C">
        <w:rPr>
          <w:rFonts w:cs="Calibri"/>
        </w:rPr>
        <w:t>-</w:t>
      </w:r>
      <w:r w:rsidRPr="001D5327">
        <w:rPr>
          <w:rFonts w:cs="Calibri"/>
        </w:rPr>
        <w:t>50 per cent and an upper uncertainty estimate of 0 per cent.</w:t>
      </w:r>
      <w:r w:rsidRPr="001D5327" w:rsidDel="00D42FD1">
        <w:rPr>
          <w:rFonts w:cs="Calibri"/>
        </w:rPr>
        <w:t xml:space="preserve"> </w:t>
      </w:r>
    </w:p>
    <w:p w14:paraId="42189FB2" w14:textId="77777777" w:rsidR="00590FE1" w:rsidRPr="001D5327" w:rsidRDefault="00590FE1" w:rsidP="00590FE1">
      <w:pPr>
        <w:pStyle w:val="BodyText"/>
        <w:rPr>
          <w:rFonts w:cs="Calibri"/>
        </w:rPr>
      </w:pPr>
      <w:r w:rsidRPr="001D5327">
        <w:rPr>
          <w:rFonts w:cs="Calibri"/>
        </w:rPr>
        <w:t xml:space="preserve">Sales data for synthetic nitrogen fertiliser have been supplied for all years by the Fertiliser Association of New Zealand, but the uncertainties in this data are not known. </w:t>
      </w:r>
    </w:p>
    <w:p w14:paraId="45B33B31" w14:textId="77777777" w:rsidR="00590FE1" w:rsidRPr="001D5327" w:rsidRDefault="00590FE1" w:rsidP="00590FE1">
      <w:pPr>
        <w:pStyle w:val="Heading3"/>
      </w:pPr>
      <w:bookmarkStart w:id="1501" w:name="_Toc32570695"/>
      <w:r w:rsidRPr="001D5327">
        <w:t>5.9.5</w:t>
      </w:r>
      <w:r w:rsidRPr="001D5327">
        <w:tab/>
        <w:t>Category-specific QA/QC and verification</w:t>
      </w:r>
      <w:bookmarkEnd w:id="1501"/>
    </w:p>
    <w:p w14:paraId="07F2A43D" w14:textId="77777777" w:rsidR="00590FE1" w:rsidRPr="001D5327" w:rsidRDefault="00590FE1" w:rsidP="00590FE1">
      <w:pPr>
        <w:pStyle w:val="BodyText"/>
        <w:rPr>
          <w:rFonts w:cs="Calibri"/>
        </w:rPr>
      </w:pPr>
      <w:r w:rsidRPr="001D5327">
        <w:rPr>
          <w:rFonts w:cs="Calibri"/>
        </w:rPr>
        <w:t>In the preparation of this inventory, the data for urea fertiliser underwent Tier 1 quality checks. The Fertiliser Association of New Zealand, the organisation that collects the sales activity information for synthetic nitrogen fertiliser, also carries out a series of quality</w:t>
      </w:r>
      <w:r w:rsidRPr="001D5327">
        <w:rPr>
          <w:rFonts w:cs="Calibri"/>
        </w:rPr>
        <w:noBreakHyphen/>
        <w:t>assurance and quality-control procedures as a part of the data collection carried out each year and provides this data to the International Fertilizer Industry Association.</w:t>
      </w:r>
    </w:p>
    <w:p w14:paraId="02937F0C" w14:textId="77777777" w:rsidR="00590FE1" w:rsidRPr="001D5327" w:rsidRDefault="00590FE1" w:rsidP="00590FE1">
      <w:pPr>
        <w:pStyle w:val="Heading3"/>
      </w:pPr>
      <w:bookmarkStart w:id="1502" w:name="_Toc32570696"/>
      <w:r w:rsidRPr="001D5327">
        <w:t>5.9.6</w:t>
      </w:r>
      <w:r w:rsidRPr="001D5327">
        <w:tab/>
        <w:t>Category-specific recalculations</w:t>
      </w:r>
      <w:bookmarkEnd w:id="1502"/>
    </w:p>
    <w:p w14:paraId="6F7D9C64" w14:textId="77777777" w:rsidR="00590FE1" w:rsidRPr="001D5327" w:rsidRDefault="00590FE1" w:rsidP="00590FE1">
      <w:pPr>
        <w:pStyle w:val="BodyText"/>
        <w:rPr>
          <w:rFonts w:cs="Calibri"/>
        </w:rPr>
      </w:pPr>
      <w:r w:rsidRPr="001D5327">
        <w:rPr>
          <w:rFonts w:cs="Calibri"/>
        </w:rPr>
        <w:t>No recalculations have been performed for CO</w:t>
      </w:r>
      <w:r w:rsidRPr="001D5327">
        <w:rPr>
          <w:rFonts w:cs="Calibri"/>
          <w:vertAlign w:val="subscript"/>
        </w:rPr>
        <w:t>2</w:t>
      </w:r>
      <w:r w:rsidRPr="001D5327">
        <w:rPr>
          <w:rFonts w:cs="Calibri"/>
        </w:rPr>
        <w:t xml:space="preserve"> emissions from urea in the 2025 (1990 to 2023) submission.</w:t>
      </w:r>
    </w:p>
    <w:p w14:paraId="40E5888A" w14:textId="77777777" w:rsidR="00590FE1" w:rsidRPr="001D5327" w:rsidRDefault="00590FE1" w:rsidP="00590FE1">
      <w:pPr>
        <w:pStyle w:val="Heading3"/>
      </w:pPr>
      <w:bookmarkStart w:id="1503" w:name="_Toc32570697"/>
      <w:r w:rsidRPr="001D5327">
        <w:t>5.9.7</w:t>
      </w:r>
      <w:r w:rsidRPr="001D5327">
        <w:tab/>
        <w:t>Category-specific planned improvements</w:t>
      </w:r>
      <w:bookmarkEnd w:id="1503"/>
    </w:p>
    <w:p w14:paraId="40B3E961" w14:textId="77777777" w:rsidR="00590FE1" w:rsidRPr="001D5327" w:rsidRDefault="00590FE1" w:rsidP="00590FE1">
      <w:pPr>
        <w:pStyle w:val="BodyText"/>
        <w:rPr>
          <w:rFonts w:cs="Calibri"/>
        </w:rPr>
      </w:pPr>
      <w:r w:rsidRPr="001D5327">
        <w:rPr>
          <w:rFonts w:cs="Calibri"/>
          <w:spacing w:val="-2"/>
        </w:rPr>
        <w:t>New Zealand</w:t>
      </w:r>
      <w:r w:rsidRPr="001D5327">
        <w:rPr>
          <w:rFonts w:cs="Calibri"/>
        </w:rPr>
        <w:t xml:space="preserve"> will continue to update activity data on urea as the data become available from the Fertiliser Association of New Zealand and that are able to be cross referenced with data collected in the annual Stats NZ Agricultural Production Survey.</w:t>
      </w:r>
    </w:p>
    <w:p w14:paraId="510D0082" w14:textId="77777777" w:rsidR="00590FE1" w:rsidRPr="001D5327" w:rsidRDefault="00590FE1" w:rsidP="00590FE1">
      <w:pPr>
        <w:pStyle w:val="Heading2"/>
      </w:pPr>
      <w:bookmarkStart w:id="1504" w:name="_Toc448321531"/>
      <w:bookmarkStart w:id="1505" w:name="_Toc481751393"/>
      <w:bookmarkStart w:id="1506" w:name="_Toc511116608"/>
      <w:bookmarkStart w:id="1507" w:name="_Toc5269370"/>
      <w:bookmarkStart w:id="1508" w:name="_Toc32570698"/>
      <w:bookmarkStart w:id="1509" w:name="_Toc36224410"/>
      <w:bookmarkStart w:id="1510" w:name="_Toc68786330"/>
      <w:bookmarkStart w:id="1511" w:name="_Toc131591245"/>
      <w:bookmarkStart w:id="1512" w:name="_Toc164154199"/>
      <w:bookmarkStart w:id="1513" w:name="_Toc194312024"/>
      <w:r w:rsidRPr="001D5327">
        <w:lastRenderedPageBreak/>
        <w:t xml:space="preserve">5.10 </w:t>
      </w:r>
      <w:r w:rsidRPr="001D5327">
        <w:tab/>
        <w:t>Other carbon-containing fertilisers (3.I)</w:t>
      </w:r>
      <w:bookmarkEnd w:id="1504"/>
      <w:bookmarkEnd w:id="1505"/>
      <w:bookmarkEnd w:id="1506"/>
      <w:bookmarkEnd w:id="1507"/>
      <w:bookmarkEnd w:id="1508"/>
      <w:bookmarkEnd w:id="1509"/>
      <w:bookmarkEnd w:id="1510"/>
      <w:bookmarkEnd w:id="1511"/>
      <w:bookmarkEnd w:id="1512"/>
      <w:bookmarkEnd w:id="1513"/>
    </w:p>
    <w:p w14:paraId="7AD965FF" w14:textId="77777777" w:rsidR="00590FE1" w:rsidRPr="001D5327" w:rsidRDefault="00590FE1" w:rsidP="00590FE1">
      <w:pPr>
        <w:pStyle w:val="Heading3"/>
        <w:spacing w:before="240"/>
      </w:pPr>
      <w:bookmarkStart w:id="1514" w:name="_Toc32570699"/>
      <w:r w:rsidRPr="001D5327">
        <w:t>5.10.1</w:t>
      </w:r>
      <w:r w:rsidRPr="001D5327">
        <w:tab/>
        <w:t>Category description</w:t>
      </w:r>
      <w:bookmarkEnd w:id="1514"/>
    </w:p>
    <w:p w14:paraId="012AE1A0" w14:textId="77777777" w:rsidR="00590FE1" w:rsidRPr="001D5327" w:rsidRDefault="00590FE1" w:rsidP="00590FE1">
      <w:pPr>
        <w:pStyle w:val="BodyText"/>
      </w:pPr>
      <w:r w:rsidRPr="001D5327">
        <w:t xml:space="preserve">Other carbon-containing synthetic fertilisers besides limestone, dolomite and urea (see sections 5.8 and 5.9) are not applied to agricultural land in </w:t>
      </w:r>
      <w:r w:rsidRPr="001D5327" w:rsidDel="003838DD">
        <w:rPr>
          <w:rFonts w:cs="Calibri"/>
          <w:spacing w:val="-2"/>
        </w:rPr>
        <w:t xml:space="preserve">New </w:t>
      </w:r>
      <w:r w:rsidRPr="001D5327">
        <w:rPr>
          <w:rFonts w:cs="Calibri"/>
          <w:spacing w:val="-2"/>
        </w:rPr>
        <w:t>Zealand</w:t>
      </w:r>
      <w:r w:rsidRPr="001D5327">
        <w:t xml:space="preserve"> (T van der Weerden and C de Klein, pers. comm., 2015). </w:t>
      </w:r>
    </w:p>
    <w:p w14:paraId="651E5F82" w14:textId="77777777" w:rsidR="00590FE1" w:rsidRPr="001D5327" w:rsidRDefault="00590FE1" w:rsidP="00590FE1">
      <w:r w:rsidRPr="001D5327">
        <w:br w:type="page"/>
      </w:r>
    </w:p>
    <w:p w14:paraId="5942FAC2" w14:textId="77777777" w:rsidR="00590FE1" w:rsidRPr="001D5327" w:rsidRDefault="00590FE1" w:rsidP="00590FE1">
      <w:pPr>
        <w:pStyle w:val="Heading2"/>
        <w:spacing w:after="360"/>
      </w:pPr>
      <w:bookmarkStart w:id="1515" w:name="_Toc352504866"/>
      <w:bookmarkStart w:id="1516" w:name="_Toc448321532"/>
      <w:bookmarkStart w:id="1517" w:name="_Toc481751394"/>
      <w:bookmarkStart w:id="1518" w:name="_Toc511116609"/>
      <w:bookmarkStart w:id="1519" w:name="_Toc5269371"/>
      <w:bookmarkStart w:id="1520" w:name="_Toc32570700"/>
      <w:bookmarkStart w:id="1521" w:name="_Toc36224411"/>
      <w:bookmarkStart w:id="1522" w:name="_Toc68786331"/>
      <w:bookmarkStart w:id="1523" w:name="_Toc131591246"/>
      <w:bookmarkStart w:id="1524" w:name="_Toc164154200"/>
      <w:bookmarkStart w:id="1525" w:name="_Toc194312025"/>
      <w:r w:rsidRPr="001D5327">
        <w:lastRenderedPageBreak/>
        <w:t>Chapter 5: References</w:t>
      </w:r>
      <w:bookmarkEnd w:id="1515"/>
      <w:bookmarkEnd w:id="1516"/>
      <w:bookmarkEnd w:id="1517"/>
      <w:bookmarkEnd w:id="1518"/>
      <w:bookmarkEnd w:id="1519"/>
      <w:bookmarkEnd w:id="1520"/>
      <w:bookmarkEnd w:id="1521"/>
      <w:bookmarkEnd w:id="1522"/>
      <w:bookmarkEnd w:id="1523"/>
      <w:bookmarkEnd w:id="1524"/>
      <w:bookmarkEnd w:id="1525"/>
    </w:p>
    <w:p w14:paraId="799AC56E" w14:textId="45ECC080" w:rsidR="00590FE1" w:rsidRPr="001D5327" w:rsidRDefault="00590FE1" w:rsidP="00590FE1">
      <w:pPr>
        <w:pStyle w:val="BodyText"/>
        <w:rPr>
          <w:rFonts w:cs="Calibri"/>
        </w:rPr>
      </w:pPr>
      <w:r w:rsidRPr="001D5327">
        <w:rPr>
          <w:rFonts w:cs="Calibri"/>
        </w:rPr>
        <w:t xml:space="preserve">Some references may be downloaded </w:t>
      </w:r>
      <w:r w:rsidRPr="001D5327">
        <w:t xml:space="preserve">directly from: </w:t>
      </w:r>
      <w:hyperlink r:id="rId124" w:history="1">
        <w:r w:rsidR="00ED62C4" w:rsidRPr="001D5327">
          <w:rPr>
            <w:rStyle w:val="Hyperlink"/>
          </w:rPr>
          <w:t>mpi.govt.nz/news-and-resources/statistics -and-forecasting/greenhouse-gas-reporting/agriculture-greenhouse-gas-inventory-reports</w:t>
        </w:r>
      </w:hyperlink>
      <w:r w:rsidRPr="001D5327">
        <w:rPr>
          <w:rFonts w:cs="Calibri"/>
        </w:rPr>
        <w:t>.</w:t>
      </w:r>
    </w:p>
    <w:p w14:paraId="41950ED0" w14:textId="77777777" w:rsidR="00590FE1" w:rsidRPr="001D5327" w:rsidRDefault="00590FE1" w:rsidP="00590FE1">
      <w:pPr>
        <w:pStyle w:val="BodyText"/>
        <w:spacing w:after="240"/>
        <w:rPr>
          <w:rFonts w:cs="Calibri"/>
        </w:rPr>
      </w:pPr>
      <w:r w:rsidRPr="001D5327">
        <w:rPr>
          <w:rFonts w:cs="Calibri"/>
        </w:rPr>
        <w:t xml:space="preserve">MPI is progressively making reports used for compiling the </w:t>
      </w:r>
      <w:r w:rsidRPr="001D5327">
        <w:t>Agriculture</w:t>
      </w:r>
      <w:r w:rsidRPr="001D5327">
        <w:rPr>
          <w:rFonts w:cs="Calibri"/>
        </w:rPr>
        <w:t xml:space="preserve"> inventory sector available on this page, where copyright permits. </w:t>
      </w:r>
    </w:p>
    <w:p w14:paraId="0E66132A" w14:textId="77777777" w:rsidR="00590FE1" w:rsidRPr="001D5327" w:rsidRDefault="00590FE1" w:rsidP="00590FE1">
      <w:pPr>
        <w:pStyle w:val="References"/>
        <w:rPr>
          <w:rFonts w:asciiTheme="minorHAnsi" w:hAnsiTheme="minorHAnsi" w:cstheme="minorHAnsi"/>
          <w:szCs w:val="20"/>
        </w:rPr>
      </w:pPr>
      <w:bookmarkStart w:id="1526" w:name="_Hlk187670537"/>
      <w:r w:rsidRPr="001D5327">
        <w:rPr>
          <w:rFonts w:asciiTheme="minorHAnsi" w:hAnsiTheme="minorHAnsi" w:cstheme="minorHAnsi"/>
          <w:szCs w:val="20"/>
        </w:rPr>
        <w:t xml:space="preserve">Australian Government. Unpublished. Mutual Review of Components of National Inventory Systems: A Review between Australia and New Zealand. Provided by the Australian Government in 2014. </w:t>
      </w:r>
    </w:p>
    <w:bookmarkEnd w:id="1526"/>
    <w:p w14:paraId="7CF9DE50"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Australian Government. 2024. </w:t>
      </w:r>
      <w:hyperlink r:id="rId125" w:history="1">
        <w:r w:rsidRPr="001D5327">
          <w:rPr>
            <w:rStyle w:val="Hyperlink"/>
            <w:rFonts w:asciiTheme="minorHAnsi" w:hAnsiTheme="minorHAnsi" w:cstheme="minorHAnsi"/>
            <w:i/>
            <w:szCs w:val="20"/>
          </w:rPr>
          <w:t>2024 Common Reporting Table (CRT)</w:t>
        </w:r>
      </w:hyperlink>
      <w:r w:rsidRPr="001D5327">
        <w:rPr>
          <w:rFonts w:asciiTheme="minorHAnsi" w:hAnsiTheme="minorHAnsi" w:cstheme="minorHAnsi"/>
          <w:szCs w:val="20"/>
        </w:rPr>
        <w:t>. Retrieved 4 November 2024.</w:t>
      </w:r>
    </w:p>
    <w:p w14:paraId="18D29BC6" w14:textId="77777777" w:rsidR="00590FE1" w:rsidRPr="001D5327" w:rsidRDefault="00590FE1" w:rsidP="00590FE1">
      <w:pPr>
        <w:pStyle w:val="References"/>
        <w:rPr>
          <w:rFonts w:asciiTheme="minorHAnsi" w:hAnsiTheme="minorHAnsi" w:cstheme="minorHAnsi"/>
          <w:szCs w:val="20"/>
        </w:rPr>
      </w:pPr>
      <w:bookmarkStart w:id="1527" w:name="_Hlk187670542"/>
      <w:r w:rsidRPr="001D5327">
        <w:rPr>
          <w:rFonts w:asciiTheme="minorHAnsi" w:hAnsiTheme="minorHAnsi" w:cstheme="minorHAnsi"/>
          <w:szCs w:val="20"/>
        </w:rPr>
        <w:t xml:space="preserve">Beare M, Thomas S, Clemens G, Hernandez-Ramirez G. 2012. </w:t>
      </w:r>
      <w:hyperlink r:id="rId126" w:history="1">
        <w:r w:rsidRPr="001D5327">
          <w:rPr>
            <w:rStyle w:val="Hyperlink"/>
            <w:rFonts w:asciiTheme="minorHAnsi" w:hAnsiTheme="minorHAnsi" w:cstheme="minorHAnsi"/>
            <w:i/>
            <w:iCs/>
            <w:szCs w:val="20"/>
          </w:rPr>
          <w:t>Contributions of Pasture Renewal and N Mineralisation to N</w:t>
        </w:r>
        <w:r w:rsidRPr="001D5327">
          <w:rPr>
            <w:rStyle w:val="Hyperlink"/>
            <w:rFonts w:asciiTheme="minorHAnsi" w:hAnsiTheme="minorHAnsi" w:cstheme="minorHAnsi"/>
            <w:i/>
            <w:iCs/>
            <w:szCs w:val="20"/>
            <w:vertAlign w:val="subscript"/>
          </w:rPr>
          <w:t>2</w:t>
        </w:r>
        <w:r w:rsidRPr="001D5327">
          <w:rPr>
            <w:rStyle w:val="Hyperlink"/>
            <w:rFonts w:asciiTheme="minorHAnsi" w:hAnsiTheme="minorHAnsi" w:cstheme="minorHAnsi"/>
            <w:i/>
            <w:iCs/>
            <w:szCs w:val="20"/>
          </w:rPr>
          <w:t>O Emissions from Pastoral Farming Systems</w:t>
        </w:r>
      </w:hyperlink>
      <w:r w:rsidRPr="001D5327">
        <w:rPr>
          <w:rFonts w:asciiTheme="minorHAnsi" w:hAnsiTheme="minorHAnsi" w:cstheme="minorHAnsi"/>
          <w:szCs w:val="20"/>
        </w:rPr>
        <w:t>. Report prepared for the Ministry for Primary Industries by Plant and Food Research. Wellington: Ministry for Primary Industries.</w:t>
      </w:r>
    </w:p>
    <w:bookmarkEnd w:id="1527"/>
    <w:p w14:paraId="62AEC661"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Beef + Lamb New Zealand Ltd. 2024a. </w:t>
      </w:r>
      <w:hyperlink r:id="rId127" w:history="1">
        <w:r w:rsidRPr="001D5327">
          <w:rPr>
            <w:rStyle w:val="Hyperlink"/>
            <w:rFonts w:asciiTheme="minorHAnsi" w:hAnsiTheme="minorHAnsi" w:cstheme="minorHAnsi"/>
            <w:i/>
            <w:szCs w:val="20"/>
          </w:rPr>
          <w:t>Annual Report 2023</w:t>
        </w:r>
      </w:hyperlink>
      <w:r w:rsidRPr="001D5327">
        <w:rPr>
          <w:rFonts w:asciiTheme="minorHAnsi" w:hAnsiTheme="minorHAnsi" w:cstheme="minorHAnsi"/>
          <w:szCs w:val="20"/>
        </w:rPr>
        <w:t>. Wellington: Beef + Lamb New Zealand Ltd.</w:t>
      </w:r>
    </w:p>
    <w:p w14:paraId="65FD7411" w14:textId="449323B3"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Beef + Lamb New Zealand Ltd. 2024b. </w:t>
      </w:r>
      <w:hyperlink r:id="rId128" w:history="1">
        <w:r w:rsidRPr="001D5327">
          <w:rPr>
            <w:rStyle w:val="Hyperlink"/>
            <w:rFonts w:asciiTheme="minorHAnsi" w:hAnsiTheme="minorHAnsi" w:cstheme="minorHAnsi"/>
            <w:i/>
            <w:szCs w:val="20"/>
          </w:rPr>
          <w:t>New Season Outlook 2024–25</w:t>
        </w:r>
      </w:hyperlink>
      <w:r w:rsidRPr="001D5327">
        <w:rPr>
          <w:rFonts w:asciiTheme="minorHAnsi" w:hAnsiTheme="minorHAnsi" w:cstheme="minorHAnsi"/>
          <w:szCs w:val="20"/>
        </w:rPr>
        <w:t>. Wellington: Beef + Lamb New</w:t>
      </w:r>
      <w:r w:rsidR="00A43853" w:rsidRPr="001D5327">
        <w:rPr>
          <w:rFonts w:asciiTheme="minorHAnsi" w:hAnsiTheme="minorHAnsi" w:cstheme="minorHAnsi"/>
          <w:szCs w:val="20"/>
        </w:rPr>
        <w:t> </w:t>
      </w:r>
      <w:r w:rsidRPr="001D5327">
        <w:rPr>
          <w:rFonts w:asciiTheme="minorHAnsi" w:hAnsiTheme="minorHAnsi" w:cstheme="minorHAnsi"/>
          <w:szCs w:val="20"/>
        </w:rPr>
        <w:t>Zealand Ltd.</w:t>
      </w:r>
    </w:p>
    <w:p w14:paraId="475AA18B"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Bown MD, Thomson BC, Muir PD. 2013. </w:t>
      </w:r>
      <w:hyperlink r:id="rId129" w:history="1">
        <w:r w:rsidRPr="001D5327">
          <w:rPr>
            <w:rStyle w:val="Hyperlink"/>
            <w:rFonts w:asciiTheme="minorHAnsi" w:hAnsiTheme="minorHAnsi" w:cstheme="minorHAnsi"/>
            <w:i/>
            <w:szCs w:val="20"/>
          </w:rPr>
          <w:t>Evaluation of the Values for Pasture ME and N Content used in the National Greenhouse Gas Inventory</w:t>
        </w:r>
      </w:hyperlink>
      <w:r w:rsidRPr="001D5327">
        <w:rPr>
          <w:rFonts w:asciiTheme="minorHAnsi" w:hAnsiTheme="minorHAnsi" w:cstheme="minorHAnsi"/>
          <w:szCs w:val="20"/>
        </w:rPr>
        <w:t>. Report prepared for the Ministry for Primary Industries by On-Farm Research. Wellington: Ministry for Primary Industries.</w:t>
      </w:r>
    </w:p>
    <w:p w14:paraId="7AF42483"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Burggraaf V, Benson C, Rollo M. 2022. </w:t>
      </w:r>
      <w:hyperlink r:id="rId130" w:history="1">
        <w:r w:rsidRPr="001D5327">
          <w:rPr>
            <w:rStyle w:val="Hyperlink"/>
            <w:rFonts w:asciiTheme="minorHAnsi" w:hAnsiTheme="minorHAnsi" w:cstheme="minorHAnsi"/>
            <w:i/>
            <w:szCs w:val="20"/>
          </w:rPr>
          <w:t>Dairy cattle population model: Improving estimates of within-year population changes used in the inventory</w:t>
        </w:r>
      </w:hyperlink>
      <w:r w:rsidRPr="001D5327">
        <w:rPr>
          <w:rFonts w:asciiTheme="minorHAnsi" w:hAnsiTheme="minorHAnsi" w:cstheme="minorHAnsi"/>
          <w:i/>
          <w:szCs w:val="20"/>
        </w:rPr>
        <w:t>.</w:t>
      </w:r>
      <w:r w:rsidRPr="001D5327">
        <w:rPr>
          <w:rFonts w:asciiTheme="minorHAnsi" w:hAnsiTheme="minorHAnsi" w:cstheme="minorHAnsi"/>
          <w:szCs w:val="20"/>
        </w:rPr>
        <w:t xml:space="preserve"> Report prepared for the Ministry for Primary Industries. Wellington: Ministry for Primary Industries.</w:t>
      </w:r>
    </w:p>
    <w:p w14:paraId="0329BFB0" w14:textId="77777777" w:rsidR="00590FE1" w:rsidRPr="001D5327" w:rsidRDefault="00590FE1" w:rsidP="00590FE1">
      <w:pPr>
        <w:pStyle w:val="References"/>
        <w:rPr>
          <w:rFonts w:asciiTheme="minorHAnsi" w:hAnsiTheme="minorHAnsi" w:cstheme="minorHAnsi"/>
          <w:szCs w:val="20"/>
        </w:rPr>
      </w:pPr>
      <w:bookmarkStart w:id="1528" w:name="_Hlk187670823"/>
      <w:r w:rsidRPr="001D5327">
        <w:rPr>
          <w:rFonts w:asciiTheme="minorHAnsi" w:hAnsiTheme="minorHAnsi" w:cstheme="minorHAnsi"/>
          <w:szCs w:val="20"/>
        </w:rPr>
        <w:t xml:space="preserve">Burggraaf V, Rollo M, de Klein CAM, Lio, J. 2019. </w:t>
      </w:r>
      <w:hyperlink r:id="rId131" w:history="1">
        <w:r w:rsidRPr="001D5327">
          <w:rPr>
            <w:rStyle w:val="Hyperlink"/>
            <w:rFonts w:asciiTheme="minorHAnsi" w:hAnsiTheme="minorHAnsi" w:cstheme="minorHAnsi"/>
            <w:i/>
            <w:iCs/>
            <w:szCs w:val="20"/>
          </w:rPr>
          <w:t>A review of greenhouse gas emissions inventory methodology for farmed goats in New Zealand</w:t>
        </w:r>
      </w:hyperlink>
      <w:r w:rsidRPr="001D5327">
        <w:rPr>
          <w:rFonts w:asciiTheme="minorHAnsi" w:hAnsiTheme="minorHAnsi" w:cstheme="minorHAnsi"/>
          <w:i/>
          <w:iCs/>
          <w:szCs w:val="20"/>
        </w:rPr>
        <w:t>.</w:t>
      </w:r>
      <w:r w:rsidRPr="001D5327">
        <w:rPr>
          <w:rFonts w:asciiTheme="minorHAnsi" w:hAnsiTheme="minorHAnsi" w:cstheme="minorHAnsi"/>
          <w:szCs w:val="20"/>
        </w:rPr>
        <w:t xml:space="preserve"> Report prepared for the Ministry for Primary Industries by AgResearch. Wellington: Ministry for Primary Industries.</w:t>
      </w:r>
    </w:p>
    <w:p w14:paraId="73AB6D6B"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Carran RA, Dewar D, Theobald PW. 2003. </w:t>
      </w:r>
      <w:hyperlink r:id="rId132" w:history="1">
        <w:r w:rsidRPr="001D5327">
          <w:rPr>
            <w:rStyle w:val="Hyperlink"/>
            <w:rFonts w:asciiTheme="minorHAnsi" w:hAnsiTheme="minorHAnsi" w:cstheme="minorHAnsi"/>
            <w:i/>
            <w:iCs/>
            <w:szCs w:val="20"/>
          </w:rPr>
          <w:t>Methane and nitrous oxide emissions from sheep dung</w:t>
        </w:r>
      </w:hyperlink>
      <w:r w:rsidRPr="001D5327">
        <w:rPr>
          <w:rFonts w:asciiTheme="minorHAnsi" w:hAnsiTheme="minorHAnsi" w:cstheme="minorHAnsi"/>
          <w:szCs w:val="20"/>
        </w:rPr>
        <w:t>. Report prepared for the Ministry of Agriculture and Forestry by the New Zealand Pastoral Agricultural Research Institute. Wellington: Ministry for Primary Industries.</w:t>
      </w:r>
    </w:p>
    <w:bookmarkEnd w:id="1528"/>
    <w:p w14:paraId="1291A1B4"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Carran RA, Theobald PW, Evans JP. 1995</w:t>
      </w:r>
      <w:r w:rsidRPr="001D5327">
        <w:rPr>
          <w:rFonts w:asciiTheme="minorHAnsi" w:hAnsiTheme="minorHAnsi" w:cstheme="minorHAnsi"/>
          <w:i/>
          <w:szCs w:val="20"/>
        </w:rPr>
        <w:t xml:space="preserve">. </w:t>
      </w:r>
      <w:r w:rsidRPr="001D5327">
        <w:rPr>
          <w:rFonts w:asciiTheme="minorHAnsi" w:hAnsiTheme="minorHAnsi" w:cstheme="minorHAnsi"/>
          <w:szCs w:val="20"/>
        </w:rPr>
        <w:t>Emissions of nitrous oxide from some grazed pasture soils in New Zealand</w:t>
      </w:r>
      <w:r w:rsidRPr="001D5327">
        <w:rPr>
          <w:rFonts w:asciiTheme="minorHAnsi" w:hAnsiTheme="minorHAnsi" w:cstheme="minorHAnsi"/>
          <w:i/>
          <w:szCs w:val="20"/>
        </w:rPr>
        <w:t>.</w:t>
      </w:r>
      <w:r w:rsidRPr="001D5327">
        <w:rPr>
          <w:rFonts w:asciiTheme="minorHAnsi" w:hAnsiTheme="minorHAnsi" w:cstheme="minorHAnsi"/>
          <w:szCs w:val="20"/>
        </w:rPr>
        <w:t xml:space="preserve"> </w:t>
      </w:r>
      <w:r w:rsidRPr="001D5327">
        <w:rPr>
          <w:rFonts w:asciiTheme="minorHAnsi" w:hAnsiTheme="minorHAnsi" w:cstheme="minorHAnsi"/>
          <w:i/>
          <w:szCs w:val="20"/>
        </w:rPr>
        <w:t>Australian Journal of Soil Research</w:t>
      </w:r>
      <w:r w:rsidRPr="001D5327">
        <w:rPr>
          <w:rFonts w:asciiTheme="minorHAnsi" w:hAnsiTheme="minorHAnsi" w:cstheme="minorHAnsi"/>
          <w:szCs w:val="20"/>
        </w:rPr>
        <w:t xml:space="preserve"> 33: 341–352.</w:t>
      </w:r>
    </w:p>
    <w:p w14:paraId="77F53C4C"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Chen D, Li Y, Kelly K, Eckard R. 2010. </w:t>
      </w:r>
      <w:r w:rsidRPr="001D5327">
        <w:rPr>
          <w:rFonts w:asciiTheme="minorHAnsi" w:hAnsiTheme="minorHAnsi" w:cstheme="minorHAnsi"/>
          <w:i/>
          <w:szCs w:val="20"/>
        </w:rPr>
        <w:t>Simulation of N</w:t>
      </w:r>
      <w:r w:rsidRPr="001D5327">
        <w:rPr>
          <w:rFonts w:asciiTheme="minorHAnsi" w:hAnsiTheme="minorHAnsi" w:cstheme="minorHAnsi"/>
          <w:i/>
          <w:szCs w:val="20"/>
          <w:vertAlign w:val="subscript"/>
        </w:rPr>
        <w:t>2</w:t>
      </w:r>
      <w:r w:rsidRPr="001D5327">
        <w:rPr>
          <w:rFonts w:asciiTheme="minorHAnsi" w:hAnsiTheme="minorHAnsi" w:cstheme="minorHAnsi"/>
          <w:i/>
          <w:szCs w:val="20"/>
        </w:rPr>
        <w:t>O emissions from an irrigated dairy pasture treated with urea and urine in Southeastern Australia</w:t>
      </w:r>
      <w:r w:rsidRPr="001D5327">
        <w:rPr>
          <w:rFonts w:asciiTheme="minorHAnsi" w:hAnsiTheme="minorHAnsi" w:cstheme="minorHAnsi"/>
          <w:szCs w:val="20"/>
        </w:rPr>
        <w:t xml:space="preserve">. Agriculture, Ecosystems &amp; Environment </w:t>
      </w:r>
      <w:r w:rsidRPr="001D5327">
        <w:rPr>
          <w:rFonts w:asciiTheme="minorHAnsi" w:hAnsiTheme="minorHAnsi" w:cstheme="minorHAnsi"/>
          <w:szCs w:val="20"/>
        </w:rPr>
        <w:br/>
        <w:t>136(3–4): 333–342.</w:t>
      </w:r>
    </w:p>
    <w:p w14:paraId="16171B82"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Cichota R, Brown H, Snow VO, Wheeler DM, Hedderley D, Zyskowski R, Thomas S. 2010. A nitrogen balance model for environmental accountability in cropping systems</w:t>
      </w:r>
      <w:r w:rsidRPr="001D5327">
        <w:rPr>
          <w:rFonts w:asciiTheme="minorHAnsi" w:hAnsiTheme="minorHAnsi" w:cstheme="minorHAnsi"/>
          <w:i/>
          <w:szCs w:val="20"/>
        </w:rPr>
        <w:t>.</w:t>
      </w:r>
      <w:r w:rsidRPr="001D5327">
        <w:rPr>
          <w:rFonts w:asciiTheme="minorHAnsi" w:hAnsiTheme="minorHAnsi" w:cstheme="minorHAnsi"/>
          <w:szCs w:val="20"/>
        </w:rPr>
        <w:t xml:space="preserve"> </w:t>
      </w:r>
      <w:r w:rsidRPr="001D5327">
        <w:rPr>
          <w:rFonts w:asciiTheme="minorHAnsi" w:hAnsiTheme="minorHAnsi" w:cstheme="minorHAnsi"/>
          <w:i/>
          <w:szCs w:val="20"/>
        </w:rPr>
        <w:t>New Zealand Journal of Crop and Horticultural Science</w:t>
      </w:r>
      <w:r w:rsidRPr="001D5327">
        <w:rPr>
          <w:rFonts w:asciiTheme="minorHAnsi" w:hAnsiTheme="minorHAnsi" w:cstheme="minorHAnsi"/>
          <w:szCs w:val="20"/>
        </w:rPr>
        <w:t xml:space="preserve"> 38: 189–207. </w:t>
      </w:r>
    </w:p>
    <w:p w14:paraId="0F871349" w14:textId="5BCD65E3" w:rsidR="00590FE1" w:rsidRPr="001D5327" w:rsidRDefault="00590FE1" w:rsidP="00590FE1">
      <w:pPr>
        <w:pStyle w:val="References"/>
        <w:rPr>
          <w:rFonts w:asciiTheme="minorHAnsi" w:hAnsiTheme="minorHAnsi" w:cstheme="minorHAnsi"/>
          <w:szCs w:val="20"/>
        </w:rPr>
      </w:pPr>
      <w:bookmarkStart w:id="1529" w:name="_Hlk187834822"/>
      <w:r w:rsidRPr="001D5327">
        <w:rPr>
          <w:rFonts w:asciiTheme="minorHAnsi" w:hAnsiTheme="minorHAnsi" w:cstheme="minorHAnsi"/>
          <w:szCs w:val="20"/>
        </w:rPr>
        <w:t xml:space="preserve">Clark H, Brookes I, Walcroft A. 2003. </w:t>
      </w:r>
      <w:r w:rsidRPr="001D5327">
        <w:rPr>
          <w:rFonts w:asciiTheme="minorHAnsi" w:hAnsiTheme="minorHAnsi" w:cstheme="minorHAnsi"/>
          <w:i/>
          <w:szCs w:val="20"/>
        </w:rPr>
        <w:t xml:space="preserve">Enteric Methane Emissions from New Zealand Ruminants </w:t>
      </w:r>
      <w:r w:rsidR="00A43853" w:rsidRPr="001D5327">
        <w:rPr>
          <w:rFonts w:asciiTheme="minorHAnsi" w:hAnsiTheme="minorHAnsi" w:cstheme="minorHAnsi"/>
          <w:i/>
          <w:szCs w:val="20"/>
        </w:rPr>
        <w:br/>
      </w:r>
      <w:r w:rsidRPr="001D5327">
        <w:rPr>
          <w:rFonts w:asciiTheme="minorHAnsi" w:hAnsiTheme="minorHAnsi" w:cstheme="minorHAnsi"/>
          <w:i/>
          <w:szCs w:val="20"/>
        </w:rPr>
        <w:t>1990–2001 Calculated Using an IPCC Tier 2 Approach</w:t>
      </w:r>
      <w:r w:rsidRPr="001D5327">
        <w:rPr>
          <w:rFonts w:asciiTheme="minorHAnsi" w:hAnsiTheme="minorHAnsi" w:cstheme="minorHAnsi"/>
          <w:szCs w:val="20"/>
        </w:rPr>
        <w:t>. Report prepared for the Ministry of Agriculture and Forestry by AgResearch and Massey University. Wellington: Ministry of Agriculture and Forestry.</w:t>
      </w:r>
    </w:p>
    <w:bookmarkEnd w:id="1529"/>
    <w:p w14:paraId="4BFB8ED1"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Clark H. 2008a. </w:t>
      </w:r>
      <w:hyperlink r:id="rId133" w:history="1">
        <w:r w:rsidRPr="001D5327">
          <w:rPr>
            <w:rStyle w:val="Hyperlink"/>
            <w:rFonts w:asciiTheme="minorHAnsi" w:hAnsiTheme="minorHAnsi" w:cstheme="minorHAnsi"/>
            <w:i/>
            <w:szCs w:val="20"/>
          </w:rPr>
          <w:t>A Comparison of Greenhouse Gas Emissions from the New Zealand Dairy Sector Calculated Using either a National or a Regional Approach</w:t>
        </w:r>
      </w:hyperlink>
      <w:r w:rsidRPr="001D5327">
        <w:rPr>
          <w:rFonts w:asciiTheme="minorHAnsi" w:hAnsiTheme="minorHAnsi" w:cstheme="minorHAnsi"/>
          <w:szCs w:val="20"/>
        </w:rPr>
        <w:t>. Report prepared for the Ministry of Agriculture and Forestry by AgResearch. Wellington: Ministry of Agriculture and Forestry.</w:t>
      </w:r>
    </w:p>
    <w:p w14:paraId="0CA2C3B7"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Clark H. 2008b. </w:t>
      </w:r>
      <w:hyperlink r:id="rId134" w:history="1">
        <w:r w:rsidRPr="001D5327">
          <w:rPr>
            <w:rStyle w:val="Hyperlink"/>
            <w:rFonts w:asciiTheme="minorHAnsi" w:hAnsiTheme="minorHAnsi" w:cstheme="minorHAnsi"/>
            <w:i/>
            <w:szCs w:val="20"/>
          </w:rPr>
          <w:t>Guidelines to Accompany Computerised Inventory</w:t>
        </w:r>
      </w:hyperlink>
      <w:r w:rsidRPr="001D5327">
        <w:rPr>
          <w:rFonts w:asciiTheme="minorHAnsi" w:hAnsiTheme="minorHAnsi" w:cstheme="minorHAnsi"/>
          <w:szCs w:val="20"/>
        </w:rPr>
        <w:t>. Report prepared for the Ministry of Agriculture and Forestry by AgResearch. Wellington: Ministry of Agriculture and Forestry.</w:t>
      </w:r>
    </w:p>
    <w:p w14:paraId="5B3B0A83"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Clough TJ, Kelliher FM, Clark H, van der Weerden TJ. 2008. </w:t>
      </w:r>
      <w:hyperlink r:id="rId135" w:history="1">
        <w:r w:rsidRPr="001D5327">
          <w:rPr>
            <w:rStyle w:val="Hyperlink"/>
            <w:rFonts w:asciiTheme="minorHAnsi" w:hAnsiTheme="minorHAnsi" w:cstheme="minorHAnsi"/>
            <w:i/>
            <w:szCs w:val="20"/>
          </w:rPr>
          <w:t>Incorporation of the Nitrification Inhibitor DCD into New Zealand’s 2009 National Inventory</w:t>
        </w:r>
      </w:hyperlink>
      <w:r w:rsidRPr="001D5327">
        <w:rPr>
          <w:rFonts w:asciiTheme="minorHAnsi" w:hAnsiTheme="minorHAnsi" w:cstheme="minorHAnsi"/>
          <w:szCs w:val="20"/>
        </w:rPr>
        <w:t>. Report prepared for the Ministry of Agriculture and Forestry by Lincoln University and AgResearch. Wellington: Ministry of Agriculture and Forestry.</w:t>
      </w:r>
    </w:p>
    <w:p w14:paraId="030F24ED" w14:textId="77777777" w:rsidR="00590FE1" w:rsidRPr="001D5327" w:rsidRDefault="00590FE1" w:rsidP="00590FE1">
      <w:pPr>
        <w:pStyle w:val="References"/>
        <w:rPr>
          <w:rFonts w:asciiTheme="minorHAnsi" w:hAnsiTheme="minorHAnsi" w:cstheme="minorHAnsi"/>
          <w:szCs w:val="20"/>
        </w:rPr>
      </w:pPr>
      <w:bookmarkStart w:id="1530" w:name="_Hlk187670832"/>
      <w:bookmarkStart w:id="1531" w:name="_Hlk187834743"/>
      <w:r w:rsidRPr="001D5327">
        <w:rPr>
          <w:rFonts w:asciiTheme="minorHAnsi" w:hAnsiTheme="minorHAnsi" w:cstheme="minorHAnsi"/>
          <w:szCs w:val="20"/>
        </w:rPr>
        <w:lastRenderedPageBreak/>
        <w:t xml:space="preserve">Clough TJ, Kelliher FM. 2014. </w:t>
      </w:r>
      <w:hyperlink r:id="rId136" w:history="1">
        <w:r w:rsidRPr="001D5327">
          <w:rPr>
            <w:rStyle w:val="Hyperlink"/>
            <w:rFonts w:asciiTheme="minorHAnsi" w:hAnsiTheme="minorHAnsi" w:cstheme="minorHAnsi"/>
            <w:i/>
            <w:iCs/>
            <w:szCs w:val="20"/>
          </w:rPr>
          <w:t>Literature Review of EF5</w:t>
        </w:r>
      </w:hyperlink>
      <w:r w:rsidRPr="001D5327">
        <w:rPr>
          <w:rFonts w:asciiTheme="minorHAnsi" w:hAnsiTheme="minorHAnsi" w:cstheme="minorHAnsi"/>
          <w:i/>
          <w:szCs w:val="20"/>
        </w:rPr>
        <w:t>.</w:t>
      </w:r>
      <w:r w:rsidRPr="001D5327">
        <w:rPr>
          <w:rFonts w:asciiTheme="minorHAnsi" w:hAnsiTheme="minorHAnsi" w:cstheme="minorHAnsi"/>
          <w:szCs w:val="20"/>
        </w:rPr>
        <w:t xml:space="preserve"> Report prepared for the Ministry for Primary Industries by Lincoln University. Wellington: Ministry for Primary Industries.</w:t>
      </w:r>
    </w:p>
    <w:p w14:paraId="770849B2" w14:textId="06E2073B" w:rsidR="00590FE1" w:rsidRPr="001D5327" w:rsidRDefault="00590FE1" w:rsidP="00590FE1">
      <w:pPr>
        <w:pStyle w:val="References"/>
        <w:rPr>
          <w:rFonts w:asciiTheme="minorHAnsi" w:hAnsiTheme="minorHAnsi" w:cstheme="minorHAnsi"/>
          <w:szCs w:val="20"/>
        </w:rPr>
      </w:pPr>
      <w:bookmarkStart w:id="1532" w:name="_Hlk187670836"/>
      <w:bookmarkEnd w:id="1530"/>
      <w:r w:rsidRPr="00A61F72">
        <w:rPr>
          <w:rFonts w:asciiTheme="minorHAnsi" w:hAnsiTheme="minorHAnsi" w:cstheme="minorHAnsi"/>
          <w:szCs w:val="20"/>
        </w:rPr>
        <w:t>Clough T, Cameron K, Hong D. Unpublished. The Case for Including EcoPond Generation#2 in the New</w:t>
      </w:r>
      <w:r w:rsidR="00A43853" w:rsidRPr="00A61F72">
        <w:rPr>
          <w:rFonts w:asciiTheme="minorHAnsi" w:hAnsiTheme="minorHAnsi" w:cstheme="minorHAnsi"/>
          <w:szCs w:val="20"/>
        </w:rPr>
        <w:t> </w:t>
      </w:r>
      <w:r w:rsidRPr="00A61F72">
        <w:rPr>
          <w:rFonts w:asciiTheme="minorHAnsi" w:hAnsiTheme="minorHAnsi" w:cstheme="minorHAnsi"/>
          <w:szCs w:val="20"/>
        </w:rPr>
        <w:t>Zealand Greenhouse Gas Inventory as a Methane Mitigation Tool for Dairy Cattle Manure Management</w:t>
      </w:r>
      <w:r w:rsidRPr="00A61F72">
        <w:rPr>
          <w:rFonts w:asciiTheme="minorHAnsi" w:hAnsiTheme="minorHAnsi" w:cstheme="minorHAnsi"/>
          <w:i/>
          <w:szCs w:val="20"/>
        </w:rPr>
        <w:t xml:space="preserve">. </w:t>
      </w:r>
      <w:r w:rsidRPr="00A61F72">
        <w:rPr>
          <w:rFonts w:asciiTheme="minorHAnsi" w:hAnsiTheme="minorHAnsi" w:cstheme="minorHAnsi"/>
          <w:szCs w:val="20"/>
        </w:rPr>
        <w:t>Report prepared for the Ministry for Primary Industries by Lincoln University in 2024.</w:t>
      </w:r>
      <w:r w:rsidRPr="001D5327">
        <w:rPr>
          <w:rFonts w:asciiTheme="minorHAnsi" w:hAnsiTheme="minorHAnsi" w:cstheme="minorHAnsi"/>
          <w:szCs w:val="20"/>
        </w:rPr>
        <w:t xml:space="preserve"> </w:t>
      </w:r>
    </w:p>
    <w:bookmarkEnd w:id="1531"/>
    <w:bookmarkEnd w:id="1532"/>
    <w:p w14:paraId="14003B50"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CSIRO. 1990. </w:t>
      </w:r>
      <w:r w:rsidRPr="001D5327">
        <w:rPr>
          <w:rFonts w:asciiTheme="minorHAnsi" w:hAnsiTheme="minorHAnsi" w:cstheme="minorHAnsi"/>
          <w:i/>
          <w:szCs w:val="20"/>
        </w:rPr>
        <w:t>Ruminants: Feeding Standards for Australian Livestock</w:t>
      </w:r>
      <w:r w:rsidRPr="001D5327">
        <w:rPr>
          <w:rFonts w:asciiTheme="minorHAnsi" w:hAnsiTheme="minorHAnsi" w:cstheme="minorHAnsi"/>
          <w:szCs w:val="20"/>
        </w:rPr>
        <w:t>. Victoria, Australia: Commonwealth Scientific and Industrial Research Organisation.</w:t>
      </w:r>
    </w:p>
    <w:p w14:paraId="67F02A07"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CSIRO. 2007. </w:t>
      </w:r>
      <w:r w:rsidRPr="001D5327">
        <w:rPr>
          <w:rFonts w:asciiTheme="minorHAnsi" w:hAnsiTheme="minorHAnsi" w:cstheme="minorHAnsi"/>
          <w:i/>
          <w:szCs w:val="20"/>
        </w:rPr>
        <w:t>Nutrient Requirements of Domesticated Ruminants</w:t>
      </w:r>
      <w:r w:rsidRPr="001D5327">
        <w:rPr>
          <w:rFonts w:asciiTheme="minorHAnsi" w:hAnsiTheme="minorHAnsi" w:cstheme="minorHAnsi"/>
          <w:szCs w:val="20"/>
        </w:rPr>
        <w:t>. Victoria, Australia: Australian Agricultural Council, Ruminants Sub Committee</w:t>
      </w:r>
    </w:p>
    <w:p w14:paraId="038930B4"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Dairy Companies Association of New Zealand. 2024. </w:t>
      </w:r>
      <w:r w:rsidRPr="001D5327">
        <w:rPr>
          <w:rFonts w:asciiTheme="minorHAnsi" w:hAnsiTheme="minorHAnsi" w:cstheme="minorHAnsi"/>
          <w:i/>
          <w:szCs w:val="20"/>
        </w:rPr>
        <w:t>Latest New Zealand Milk Production Data Report</w:t>
      </w:r>
      <w:r w:rsidRPr="001D5327">
        <w:rPr>
          <w:rFonts w:asciiTheme="minorHAnsi" w:hAnsiTheme="minorHAnsi" w:cstheme="minorHAnsi"/>
          <w:szCs w:val="20"/>
        </w:rPr>
        <w:t xml:space="preserve">. Retrieved from </w:t>
      </w:r>
      <w:hyperlink r:id="rId137" w:history="1">
        <w:r w:rsidRPr="001D5327">
          <w:rPr>
            <w:rStyle w:val="Hyperlink"/>
            <w:rFonts w:asciiTheme="minorHAnsi" w:hAnsiTheme="minorHAnsi" w:cstheme="minorHAnsi"/>
            <w:szCs w:val="20"/>
          </w:rPr>
          <w:t>dcanz.com</w:t>
        </w:r>
      </w:hyperlink>
      <w:r w:rsidRPr="001D5327">
        <w:rPr>
          <w:rFonts w:asciiTheme="minorHAnsi" w:hAnsiTheme="minorHAnsi" w:cstheme="minorHAnsi"/>
          <w:szCs w:val="20"/>
        </w:rPr>
        <w:t xml:space="preserve"> (13 December 2024).</w:t>
      </w:r>
    </w:p>
    <w:p w14:paraId="411E1AEB"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DataGene Limited. 2023. </w:t>
      </w:r>
      <w:hyperlink r:id="rId138" w:history="1">
        <w:r w:rsidRPr="001D5327">
          <w:rPr>
            <w:rStyle w:val="Hyperlink"/>
            <w:rFonts w:asciiTheme="minorHAnsi" w:hAnsiTheme="minorHAnsi" w:cstheme="minorHAnsi"/>
            <w:i/>
            <w:szCs w:val="20"/>
          </w:rPr>
          <w:t>Australian Dairy Herd Improvement Report 2023</w:t>
        </w:r>
      </w:hyperlink>
      <w:r w:rsidRPr="001D5327">
        <w:rPr>
          <w:rFonts w:asciiTheme="minorHAnsi" w:hAnsiTheme="minorHAnsi" w:cstheme="minorHAnsi"/>
          <w:szCs w:val="20"/>
        </w:rPr>
        <w:t xml:space="preserve">. Melbourne: DataGene Limited. </w:t>
      </w:r>
    </w:p>
    <w:p w14:paraId="3AFB85AF"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de Klein CAM, Barton L, Sherlock RR, Li Z, Littlejohn RP. 2003. Estimating a nitrous oxide emission factor for animal urine from some New Zealand pastoral soils. </w:t>
      </w:r>
      <w:r w:rsidRPr="001D5327">
        <w:rPr>
          <w:rFonts w:asciiTheme="minorHAnsi" w:hAnsiTheme="minorHAnsi" w:cstheme="minorHAnsi"/>
          <w:i/>
          <w:szCs w:val="20"/>
        </w:rPr>
        <w:t>Australian Journal of Soil Research</w:t>
      </w:r>
      <w:r w:rsidRPr="001D5327">
        <w:rPr>
          <w:rFonts w:asciiTheme="minorHAnsi" w:hAnsiTheme="minorHAnsi" w:cstheme="minorHAnsi"/>
          <w:szCs w:val="20"/>
        </w:rPr>
        <w:t xml:space="preserve"> 41: 381–399.</w:t>
      </w:r>
    </w:p>
    <w:p w14:paraId="5E445C05"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de Klein CAM, Luo J, Woodward KB, Styles T, Wise B, Lindsey S, Cox N. 2014. The effect of nitrogen concentration in synthetic cattle urine on nitrous oxide emissions</w:t>
      </w:r>
      <w:r w:rsidRPr="001D5327">
        <w:rPr>
          <w:rFonts w:asciiTheme="minorHAnsi" w:hAnsiTheme="minorHAnsi" w:cstheme="minorHAnsi"/>
          <w:i/>
          <w:szCs w:val="20"/>
        </w:rPr>
        <w:t>.</w:t>
      </w:r>
      <w:r w:rsidRPr="001D5327">
        <w:rPr>
          <w:rFonts w:asciiTheme="minorHAnsi" w:hAnsiTheme="minorHAnsi" w:cstheme="minorHAnsi"/>
          <w:szCs w:val="20"/>
        </w:rPr>
        <w:t xml:space="preserve"> </w:t>
      </w:r>
      <w:r w:rsidRPr="001D5327">
        <w:rPr>
          <w:rFonts w:asciiTheme="minorHAnsi" w:hAnsiTheme="minorHAnsi" w:cstheme="minorHAnsi"/>
          <w:i/>
          <w:szCs w:val="20"/>
        </w:rPr>
        <w:t>Agriculture Ecosystems &amp; Environment</w:t>
      </w:r>
      <w:r w:rsidRPr="001D5327">
        <w:rPr>
          <w:rFonts w:asciiTheme="minorHAnsi" w:hAnsiTheme="minorHAnsi" w:cstheme="minorHAnsi"/>
          <w:szCs w:val="20"/>
        </w:rPr>
        <w:t xml:space="preserve"> 188: 8–92.</w:t>
      </w:r>
    </w:p>
    <w:p w14:paraId="7F8B16A9"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Dresser M, Hewitt A, Willoughby J, Bellis S. 2011. </w:t>
      </w:r>
      <w:hyperlink r:id="rId139" w:history="1">
        <w:r w:rsidRPr="001D5327">
          <w:rPr>
            <w:rStyle w:val="Hyperlink"/>
            <w:rFonts w:asciiTheme="minorHAnsi" w:hAnsiTheme="minorHAnsi" w:cstheme="minorHAnsi"/>
            <w:i/>
            <w:szCs w:val="20"/>
          </w:rPr>
          <w:t>Area of Organic Soils</w:t>
        </w:r>
      </w:hyperlink>
      <w:r w:rsidRPr="001D5327">
        <w:rPr>
          <w:rFonts w:asciiTheme="minorHAnsi" w:hAnsiTheme="minorHAnsi" w:cstheme="minorHAnsi"/>
          <w:szCs w:val="20"/>
        </w:rPr>
        <w:t>. Report prepared for the Ministry of Agriculture and Forestry by Landcare Research. Wellington: Ministry of Agriculture and Forestry.</w:t>
      </w:r>
    </w:p>
    <w:p w14:paraId="15F15259"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Fertiliser Association of New Zealand. 2024. </w:t>
      </w:r>
      <w:hyperlink r:id="rId140" w:history="1">
        <w:r w:rsidRPr="001D5327">
          <w:rPr>
            <w:rStyle w:val="Hyperlink"/>
            <w:rFonts w:asciiTheme="minorHAnsi" w:hAnsiTheme="minorHAnsi" w:cstheme="minorHAnsi"/>
            <w:i/>
            <w:szCs w:val="20"/>
          </w:rPr>
          <w:t>About</w:t>
        </w:r>
      </w:hyperlink>
      <w:r w:rsidRPr="001D5327">
        <w:rPr>
          <w:rFonts w:asciiTheme="minorHAnsi" w:hAnsiTheme="minorHAnsi" w:cstheme="minorHAnsi"/>
          <w:szCs w:val="20"/>
        </w:rPr>
        <w:t>. Retrieved 1 February 2024.</w:t>
      </w:r>
    </w:p>
    <w:p w14:paraId="65F0EB09"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Fick J. 2010. </w:t>
      </w:r>
      <w:hyperlink r:id="rId141" w:history="1">
        <w:r w:rsidRPr="001D5327">
          <w:rPr>
            <w:rStyle w:val="Hyperlink"/>
            <w:rFonts w:asciiTheme="minorHAnsi" w:hAnsiTheme="minorHAnsi" w:cstheme="minorHAnsi"/>
            <w:i/>
            <w:szCs w:val="20"/>
          </w:rPr>
          <w:t>Emission Estimations for the Commercial Chicken, Non-chicken and Layer Industries within New Zealand</w:t>
        </w:r>
      </w:hyperlink>
      <w:r w:rsidRPr="001D5327">
        <w:rPr>
          <w:rFonts w:asciiTheme="minorHAnsi" w:hAnsiTheme="minorHAnsi" w:cstheme="minorHAnsi"/>
          <w:szCs w:val="20"/>
        </w:rPr>
        <w:t>. Report prepared for the Ministry of Agriculture and Forestry by the Poultry Industry Association and Egg Producers Federation of New Zealand. Wellington: Ministry of Agriculture and Forestry.</w:t>
      </w:r>
    </w:p>
    <w:p w14:paraId="667595C7"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Fick J, Saggar S, Hill J, Giltrap D. 2011. </w:t>
      </w:r>
      <w:hyperlink r:id="rId142" w:history="1">
        <w:r w:rsidRPr="001D5327">
          <w:rPr>
            <w:rStyle w:val="Hyperlink"/>
            <w:rFonts w:asciiTheme="minorHAnsi" w:hAnsiTheme="minorHAnsi" w:cstheme="minorHAnsi"/>
            <w:i/>
            <w:szCs w:val="20"/>
          </w:rPr>
          <w:t>Poultry Management in New Zealand: Production, Manure Management and Emissions Estimations for the Commercial Chicken, Turkey, Duck and Layer Industries within New Zealand</w:t>
        </w:r>
      </w:hyperlink>
      <w:r w:rsidRPr="001D5327">
        <w:rPr>
          <w:rFonts w:asciiTheme="minorHAnsi" w:hAnsiTheme="minorHAnsi" w:cstheme="minorHAnsi"/>
          <w:szCs w:val="20"/>
        </w:rPr>
        <w:t xml:space="preserve">. Report prepared for the Ministry of Agriculture and Forestry by Poultry Industry Association, Egg Producers Association, Landcare Research and Massey University. Wellington: Ministry of Agriculture and Forestry. </w:t>
      </w:r>
    </w:p>
    <w:p w14:paraId="47FFE782"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Galbally I, Meyer C, Bentley S, Weeks I, Leuning R, Kelly K, Phillips F, Barker-Reid F, Gates W, Baigent R, Eckard R, Grace P. 2005. </w:t>
      </w:r>
      <w:hyperlink r:id="rId143" w:anchor="abstract" w:history="1">
        <w:r w:rsidRPr="001D5327">
          <w:rPr>
            <w:rStyle w:val="Hyperlink"/>
            <w:rFonts w:asciiTheme="minorHAnsi" w:hAnsiTheme="minorHAnsi" w:cstheme="minorHAnsi"/>
            <w:szCs w:val="20"/>
          </w:rPr>
          <w:t>A study of environmental and management drivers of non-CO</w:t>
        </w:r>
        <w:r w:rsidRPr="001D5327">
          <w:rPr>
            <w:rStyle w:val="Hyperlink"/>
            <w:rFonts w:asciiTheme="minorHAnsi" w:hAnsiTheme="minorHAnsi" w:cstheme="minorHAnsi"/>
            <w:szCs w:val="20"/>
            <w:vertAlign w:val="subscript"/>
          </w:rPr>
          <w:t>2</w:t>
        </w:r>
        <w:r w:rsidRPr="001D5327">
          <w:rPr>
            <w:rStyle w:val="Hyperlink"/>
            <w:rFonts w:asciiTheme="minorHAnsi" w:hAnsiTheme="minorHAnsi" w:cstheme="minorHAnsi"/>
            <w:szCs w:val="20"/>
          </w:rPr>
          <w:t xml:space="preserve"> greenhouse gas emissions in Australian agroecosystems</w:t>
        </w:r>
      </w:hyperlink>
      <w:r w:rsidRPr="001D5327">
        <w:rPr>
          <w:rFonts w:asciiTheme="minorHAnsi" w:hAnsiTheme="minorHAnsi" w:cstheme="minorHAnsi"/>
          <w:szCs w:val="20"/>
        </w:rPr>
        <w:t xml:space="preserve">. </w:t>
      </w:r>
      <w:r w:rsidRPr="001D5327">
        <w:rPr>
          <w:rFonts w:asciiTheme="minorHAnsi" w:hAnsiTheme="minorHAnsi" w:cstheme="minorHAnsi"/>
          <w:i/>
          <w:szCs w:val="20"/>
        </w:rPr>
        <w:t>Environmental Sciences</w:t>
      </w:r>
      <w:r w:rsidRPr="001D5327">
        <w:rPr>
          <w:rFonts w:asciiTheme="minorHAnsi" w:hAnsiTheme="minorHAnsi" w:cstheme="minorHAnsi"/>
          <w:szCs w:val="20"/>
        </w:rPr>
        <w:t xml:space="preserve"> 2(2­3): 133–142.</w:t>
      </w:r>
    </w:p>
    <w:p w14:paraId="3F613580"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Geddes A, Mikaloff-Fletcher S, Schaefer H, Smale D, Brailsford G, Law R, Ausseil A. 2021. </w:t>
      </w:r>
      <w:hyperlink r:id="rId144" w:history="1">
        <w:r w:rsidRPr="001D5327">
          <w:rPr>
            <w:rStyle w:val="Hyperlink"/>
            <w:rFonts w:asciiTheme="minorHAnsi" w:hAnsiTheme="minorHAnsi" w:cstheme="minorHAnsi"/>
            <w:i/>
            <w:szCs w:val="20"/>
          </w:rPr>
          <w:t>Atmospheric Methane Modelling: Evaluating Regional Methane Emission Using Inverse Modelling</w:t>
        </w:r>
      </w:hyperlink>
      <w:r w:rsidRPr="001D5327">
        <w:rPr>
          <w:rFonts w:asciiTheme="minorHAnsi" w:hAnsiTheme="minorHAnsi" w:cstheme="minorHAnsi"/>
          <w:szCs w:val="20"/>
        </w:rPr>
        <w:t>. MPI Technical Paper No: 2021/02. Report prepared for the Ministry for Primary Industries by NIWA and Landcare Research. Wellington: Ministry for Primary Industries.</w:t>
      </w:r>
    </w:p>
    <w:p w14:paraId="0F4E5016" w14:textId="77777777" w:rsidR="00590FE1" w:rsidRPr="001D5327" w:rsidRDefault="00590FE1" w:rsidP="00590FE1">
      <w:pPr>
        <w:pStyle w:val="References"/>
        <w:rPr>
          <w:rFonts w:asciiTheme="minorHAnsi" w:hAnsiTheme="minorHAnsi" w:cstheme="minorHAnsi"/>
          <w:szCs w:val="20"/>
        </w:rPr>
      </w:pPr>
      <w:bookmarkStart w:id="1533" w:name="_Hlk187670843"/>
      <w:r w:rsidRPr="001D5327">
        <w:rPr>
          <w:rFonts w:asciiTheme="minorHAnsi" w:hAnsiTheme="minorHAnsi" w:cstheme="minorHAnsi"/>
          <w:szCs w:val="20"/>
        </w:rPr>
        <w:t xml:space="preserve">Giltrap D, McNeill S, Vickers S. 2016. </w:t>
      </w:r>
      <w:hyperlink r:id="rId145" w:history="1">
        <w:r w:rsidRPr="001D5327">
          <w:rPr>
            <w:rStyle w:val="Hyperlink"/>
            <w:rFonts w:asciiTheme="minorHAnsi" w:hAnsiTheme="minorHAnsi" w:cstheme="minorHAnsi"/>
            <w:i/>
            <w:iCs/>
            <w:szCs w:val="20"/>
          </w:rPr>
          <w:t>Development of Infrastructure to Calculate Agricultural Greenhouse Gas Inventory Emissions Uncertainty In-house</w:t>
        </w:r>
      </w:hyperlink>
      <w:r w:rsidRPr="001D5327">
        <w:rPr>
          <w:rFonts w:asciiTheme="minorHAnsi" w:hAnsiTheme="minorHAnsi" w:cstheme="minorHAnsi"/>
          <w:szCs w:val="20"/>
        </w:rPr>
        <w:t>. Report prepared for the Ministry for Primary Industries by Landcare Research and RSV Consulting Ltd. Wellington: Ministry for Primary Industries.</w:t>
      </w:r>
    </w:p>
    <w:bookmarkEnd w:id="1533"/>
    <w:p w14:paraId="4A6314A3"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Giltrap D, McNeill S. 2020. </w:t>
      </w:r>
      <w:hyperlink r:id="rId146" w:history="1">
        <w:r w:rsidRPr="001D5327">
          <w:rPr>
            <w:rStyle w:val="Hyperlink"/>
            <w:rFonts w:asciiTheme="minorHAnsi" w:hAnsiTheme="minorHAnsi" w:cstheme="minorHAnsi"/>
            <w:i/>
            <w:szCs w:val="20"/>
          </w:rPr>
          <w:t>Revised Pasture Quality Analysis in the Agricultural Greenhouse Gas Inventory</w:t>
        </w:r>
      </w:hyperlink>
      <w:r w:rsidRPr="001D5327">
        <w:rPr>
          <w:rFonts w:asciiTheme="minorHAnsi" w:hAnsiTheme="minorHAnsi" w:cstheme="minorHAnsi"/>
          <w:szCs w:val="20"/>
        </w:rPr>
        <w:t xml:space="preserve">. Report prepared for the Ministry for Primary Industries by Manaaki Whenua – Landcare Research. Wellington: Ministry for Primary Industries. </w:t>
      </w:r>
    </w:p>
    <w:p w14:paraId="561B9757"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Grainger C, Clarke T, McGinn SM, Auldist MJ, Beauchemin KA, Hannah MC, Waghorn GC, Clark H, Eckard RJ. 2007. </w:t>
      </w:r>
      <w:hyperlink r:id="rId147" w:history="1">
        <w:r w:rsidRPr="001D5327">
          <w:rPr>
            <w:rStyle w:val="Hyperlink"/>
            <w:rFonts w:asciiTheme="minorHAnsi" w:hAnsiTheme="minorHAnsi" w:cstheme="minorHAnsi"/>
            <w:szCs w:val="20"/>
          </w:rPr>
          <w:t>Methane emissions from dairy cows measured with sulphur hexafluoride (SF</w:t>
        </w:r>
        <w:r w:rsidRPr="001D5327">
          <w:rPr>
            <w:rStyle w:val="Hyperlink"/>
            <w:rFonts w:asciiTheme="minorHAnsi" w:hAnsiTheme="minorHAnsi" w:cstheme="minorHAnsi"/>
            <w:szCs w:val="20"/>
            <w:vertAlign w:val="subscript"/>
          </w:rPr>
          <w:t>6</w:t>
        </w:r>
        <w:r w:rsidRPr="001D5327">
          <w:rPr>
            <w:rStyle w:val="Hyperlink"/>
            <w:rFonts w:asciiTheme="minorHAnsi" w:hAnsiTheme="minorHAnsi" w:cstheme="minorHAnsi"/>
            <w:szCs w:val="20"/>
          </w:rPr>
          <w:t>) tracer and chamber techniques</w:t>
        </w:r>
        <w:r w:rsidRPr="001D5327">
          <w:rPr>
            <w:rStyle w:val="Hyperlink"/>
            <w:rFonts w:asciiTheme="minorHAnsi" w:hAnsiTheme="minorHAnsi" w:cstheme="minorHAnsi"/>
            <w:i/>
            <w:szCs w:val="20"/>
          </w:rPr>
          <w:t>.</w:t>
        </w:r>
      </w:hyperlink>
      <w:r w:rsidRPr="001D5327">
        <w:rPr>
          <w:rFonts w:asciiTheme="minorHAnsi" w:hAnsiTheme="minorHAnsi" w:cstheme="minorHAnsi"/>
          <w:i/>
          <w:szCs w:val="20"/>
        </w:rPr>
        <w:t xml:space="preserve"> Journal of Dairy Science</w:t>
      </w:r>
      <w:r w:rsidRPr="001D5327">
        <w:rPr>
          <w:rFonts w:asciiTheme="minorHAnsi" w:hAnsiTheme="minorHAnsi" w:cstheme="minorHAnsi"/>
          <w:szCs w:val="20"/>
        </w:rPr>
        <w:t xml:space="preserve"> 90(6): 2755–2766.</w:t>
      </w:r>
    </w:p>
    <w:p w14:paraId="7B89D48C" w14:textId="77777777" w:rsidR="00590FE1" w:rsidRPr="001D5327" w:rsidRDefault="00590FE1" w:rsidP="00590FE1">
      <w:pPr>
        <w:pStyle w:val="References"/>
        <w:rPr>
          <w:rFonts w:asciiTheme="minorHAnsi" w:hAnsiTheme="minorHAnsi" w:cstheme="minorHAnsi"/>
          <w:szCs w:val="20"/>
        </w:rPr>
      </w:pPr>
      <w:bookmarkStart w:id="1534" w:name="_Hlk187670849"/>
      <w:r w:rsidRPr="001D5327">
        <w:rPr>
          <w:rFonts w:asciiTheme="minorHAnsi" w:hAnsiTheme="minorHAnsi" w:cstheme="minorHAnsi"/>
          <w:szCs w:val="20"/>
        </w:rPr>
        <w:t>Henderson H, Cameron C. 2010</w:t>
      </w:r>
      <w:r w:rsidRPr="001D5327">
        <w:rPr>
          <w:rFonts w:asciiTheme="minorHAnsi" w:hAnsiTheme="minorHAnsi" w:cstheme="minorHAnsi"/>
          <w:i/>
          <w:iCs/>
          <w:szCs w:val="20"/>
        </w:rPr>
        <w:t xml:space="preserve">. </w:t>
      </w:r>
      <w:hyperlink r:id="rId148" w:history="1">
        <w:r w:rsidRPr="001D5327">
          <w:rPr>
            <w:rStyle w:val="Hyperlink"/>
            <w:rFonts w:asciiTheme="minorHAnsi" w:hAnsiTheme="minorHAnsi" w:cstheme="minorHAnsi"/>
            <w:i/>
            <w:iCs/>
            <w:szCs w:val="20"/>
          </w:rPr>
          <w:t>Review of the Methodology for Alpaca Population Estimations Used in the National Greenhouse Gas Inventory</w:t>
        </w:r>
      </w:hyperlink>
      <w:r w:rsidRPr="001D5327">
        <w:rPr>
          <w:rFonts w:asciiTheme="minorHAnsi" w:hAnsiTheme="minorHAnsi" w:cstheme="minorHAnsi"/>
          <w:szCs w:val="20"/>
        </w:rPr>
        <w:t>. Report prepared for the Ministry for Primary Industries. Wellington: Ministry for Primary Industries.</w:t>
      </w:r>
    </w:p>
    <w:bookmarkEnd w:id="1534"/>
    <w:p w14:paraId="71ABE6EF"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lastRenderedPageBreak/>
        <w:t xml:space="preserve">Hill J. 2012. </w:t>
      </w:r>
      <w:hyperlink r:id="rId149" w:history="1">
        <w:r w:rsidRPr="001D5327">
          <w:rPr>
            <w:rStyle w:val="Hyperlink"/>
            <w:rFonts w:asciiTheme="minorHAnsi" w:hAnsiTheme="minorHAnsi" w:cstheme="minorHAnsi"/>
            <w:i/>
            <w:szCs w:val="20"/>
          </w:rPr>
          <w:t>Recalculate Pork Industry Emissions Inventory</w:t>
        </w:r>
      </w:hyperlink>
      <w:r w:rsidRPr="001D5327">
        <w:rPr>
          <w:rFonts w:asciiTheme="minorHAnsi" w:hAnsiTheme="minorHAnsi" w:cstheme="minorHAnsi"/>
          <w:szCs w:val="20"/>
        </w:rPr>
        <w:t>. Report prepared for the Ministry of Agriculture and Forestry by Massey University and the New Zealand Pork Industry Board. Wellington: Ministry of Agriculture and Forestry.</w:t>
      </w:r>
    </w:p>
    <w:p w14:paraId="6AC74433"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Hoogendoorn CJ, de Klein CAM, Rutherford AJ, Letica S, Devantier BP. 2008. The effect of increasing rates of nitrogen fertiliser and a nitrification inhibitor on the nitrous oxide emissions from urine patches on sheep grazed hill country pasture. </w:t>
      </w:r>
      <w:r w:rsidRPr="001D5327">
        <w:rPr>
          <w:rFonts w:asciiTheme="minorHAnsi" w:hAnsiTheme="minorHAnsi" w:cstheme="minorHAnsi"/>
          <w:i/>
          <w:szCs w:val="20"/>
        </w:rPr>
        <w:t>Australian Journal of Experimental Agriculture</w:t>
      </w:r>
      <w:r w:rsidRPr="001D5327">
        <w:rPr>
          <w:rFonts w:asciiTheme="minorHAnsi" w:hAnsiTheme="minorHAnsi" w:cstheme="minorHAnsi"/>
          <w:szCs w:val="20"/>
        </w:rPr>
        <w:t xml:space="preserve"> 48(2): 147–151.</w:t>
      </w:r>
    </w:p>
    <w:p w14:paraId="79904F96" w14:textId="77777777" w:rsidR="00590FE1" w:rsidRPr="001D5327" w:rsidRDefault="00590FE1" w:rsidP="00590FE1">
      <w:pPr>
        <w:pStyle w:val="References"/>
        <w:rPr>
          <w:rFonts w:asciiTheme="minorHAnsi" w:hAnsiTheme="minorHAnsi" w:cstheme="minorHAnsi"/>
          <w:szCs w:val="20"/>
        </w:rPr>
      </w:pPr>
      <w:bookmarkStart w:id="1535" w:name="_Hlk187834857"/>
      <w:r w:rsidRPr="001D5327">
        <w:rPr>
          <w:rFonts w:asciiTheme="minorHAnsi" w:hAnsiTheme="minorHAnsi" w:cstheme="minorHAnsi"/>
          <w:szCs w:val="20"/>
        </w:rPr>
        <w:t xml:space="preserve">Hoogendoorn CJ, Luo J, van der Weerden T, Saggar S, Wise B, Lloyd-West C, Judge A. 2013. </w:t>
      </w:r>
      <w:r w:rsidRPr="001D5327">
        <w:rPr>
          <w:rFonts w:asciiTheme="minorHAnsi" w:hAnsiTheme="minorHAnsi" w:cstheme="minorHAnsi"/>
          <w:i/>
          <w:szCs w:val="20"/>
        </w:rPr>
        <w:t>Evaluation of beef cattle excreta nitrous oxide emission factors</w:t>
      </w:r>
      <w:r w:rsidRPr="001D5327">
        <w:rPr>
          <w:rFonts w:asciiTheme="minorHAnsi" w:hAnsiTheme="minorHAnsi" w:cstheme="minorHAnsi"/>
          <w:szCs w:val="20"/>
        </w:rPr>
        <w:t>. Report prepared for the Ministry for Primary Industries by AgResearch in 2013. Wellington: Ministry for Primary Industries.</w:t>
      </w:r>
    </w:p>
    <w:bookmarkEnd w:id="1535"/>
    <w:p w14:paraId="304A1F76"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IPCC. 1996. Houghton JT, Meira Filho LG, Lim B, Treanton K, Mamaty I, Bonduki Y, Griggs DJ, Callender BA (eds). </w:t>
      </w:r>
      <w:r w:rsidRPr="001D5327">
        <w:rPr>
          <w:rFonts w:asciiTheme="minorHAnsi" w:hAnsiTheme="minorHAnsi" w:cstheme="minorHAnsi"/>
          <w:i/>
          <w:szCs w:val="20"/>
        </w:rPr>
        <w:t>IPCC/OECD/IEA. Revised 1996 IPCC Guidelines for National Greenhouse Gas Inventories</w:t>
      </w:r>
      <w:r w:rsidRPr="001D5327">
        <w:rPr>
          <w:rFonts w:asciiTheme="minorHAnsi" w:hAnsiTheme="minorHAnsi" w:cstheme="minorHAnsi"/>
          <w:szCs w:val="20"/>
        </w:rPr>
        <w:t>. Bracknell: United Kingdom Meteorological Office.</w:t>
      </w:r>
    </w:p>
    <w:p w14:paraId="26A5AFFC"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IPCC. 2000. Penman J, Kruger D, Galbally I, Hiraishi T, Nyenzi B, Emmanuel S, Buendia L, Hoppaus R, Martinsen T, Meijer J, Miwa K, Tanabe K (eds). </w:t>
      </w:r>
      <w:r w:rsidRPr="001D5327">
        <w:rPr>
          <w:rFonts w:asciiTheme="minorHAnsi" w:hAnsiTheme="minorHAnsi" w:cstheme="minorHAnsi"/>
          <w:i/>
          <w:szCs w:val="20"/>
        </w:rPr>
        <w:t>Good Practice Guidance and Uncertainty Management in National Greenhouse Gas Inventories</w:t>
      </w:r>
      <w:r w:rsidRPr="001D5327">
        <w:rPr>
          <w:rFonts w:asciiTheme="minorHAnsi" w:hAnsiTheme="minorHAnsi" w:cstheme="minorHAnsi"/>
          <w:szCs w:val="20"/>
        </w:rPr>
        <w:t>. IPCC National Greenhouse Gas Inventories Programme. Published for the IPCC by the Institute for Global Environmental Strategies: Japan.</w:t>
      </w:r>
    </w:p>
    <w:p w14:paraId="3D5D2047"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IPCC. 2006. Eggleston HS, Buendia L, Miwa K, Ngara T, Tanabe K (eds). </w:t>
      </w:r>
      <w:r w:rsidRPr="001D5327">
        <w:rPr>
          <w:rFonts w:asciiTheme="minorHAnsi" w:hAnsiTheme="minorHAnsi" w:cstheme="minorHAnsi"/>
          <w:i/>
          <w:szCs w:val="20"/>
        </w:rPr>
        <w:t>2006 IPCC Guidelines for National Greenhouse Gas Inventories. Volume 4. Agriculture, Forestry and Other Land Use</w:t>
      </w:r>
      <w:r w:rsidRPr="001D5327">
        <w:rPr>
          <w:rFonts w:asciiTheme="minorHAnsi" w:hAnsiTheme="minorHAnsi" w:cstheme="minorHAnsi"/>
          <w:szCs w:val="20"/>
        </w:rPr>
        <w:t>. IPCC National Greenhouse Gas Inventories Programme. Published for the IPCC by the Institute for Global Environmental Strategies: Japan.</w:t>
      </w:r>
    </w:p>
    <w:p w14:paraId="38AC1371"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IPCC. 2013. Stocker TF, Qin D, Plattner G-K, Tignor M, Allen SK, Boschung J, Nauels A, Xia Y, Bex V, Midgley PM (eds). </w:t>
      </w:r>
      <w:r w:rsidRPr="001D5327">
        <w:rPr>
          <w:rFonts w:asciiTheme="minorHAnsi" w:hAnsiTheme="minorHAnsi" w:cstheme="minorHAnsi"/>
          <w:i/>
          <w:szCs w:val="20"/>
        </w:rPr>
        <w:t>Climate Change 2013:</w:t>
      </w:r>
      <w:r w:rsidRPr="001D5327">
        <w:rPr>
          <w:rFonts w:asciiTheme="minorHAnsi" w:hAnsiTheme="minorHAnsi" w:cstheme="minorHAnsi"/>
          <w:szCs w:val="20"/>
        </w:rPr>
        <w:t xml:space="preserve"> </w:t>
      </w:r>
      <w:r w:rsidRPr="001D5327">
        <w:rPr>
          <w:rFonts w:asciiTheme="minorHAnsi" w:hAnsiTheme="minorHAnsi" w:cstheme="minorHAnsi"/>
          <w:i/>
          <w:szCs w:val="20"/>
        </w:rPr>
        <w:t>The Physical Science Basis. Contribution of Working Group I to the Fifth Assessment Report of the Intergovernmental Panel on Climate Change</w:t>
      </w:r>
      <w:r w:rsidRPr="001D5327">
        <w:rPr>
          <w:rFonts w:asciiTheme="minorHAnsi" w:hAnsiTheme="minorHAnsi" w:cstheme="minorHAnsi"/>
          <w:szCs w:val="20"/>
        </w:rPr>
        <w:t xml:space="preserve">. Cambridge: Cambridge University Press. </w:t>
      </w:r>
    </w:p>
    <w:p w14:paraId="3C72B31D"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IPCC. 2014. Hiraishi T, Krug T, Tanabe K, Srivastava N, Baasansuren J, Fukuda M, Troxler TG (eds). </w:t>
      </w:r>
      <w:r w:rsidRPr="001D5327">
        <w:rPr>
          <w:rFonts w:asciiTheme="minorHAnsi" w:hAnsiTheme="minorHAnsi" w:cstheme="minorHAnsi"/>
          <w:i/>
          <w:szCs w:val="20"/>
        </w:rPr>
        <w:t>2013 Supplement to the 2006 IPCC Guidelines for National Greenhouse Gas Inventories: Wetlands</w:t>
      </w:r>
      <w:r w:rsidRPr="001D5327">
        <w:rPr>
          <w:rFonts w:asciiTheme="minorHAnsi" w:hAnsiTheme="minorHAnsi" w:cstheme="minorHAnsi"/>
          <w:szCs w:val="20"/>
        </w:rPr>
        <w:t>. Switzerland: IPCC.</w:t>
      </w:r>
    </w:p>
    <w:p w14:paraId="174E29F1"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IPCC. 2019. Calvo Buendia E, Tanabe K, Kranjc A, Baasansuren J, Fukuda M, Ngarize S, Osako A, Pyrozhenko Y, Shermanau P, Federici S (eds). </w:t>
      </w:r>
      <w:r w:rsidRPr="001D5327">
        <w:rPr>
          <w:rFonts w:asciiTheme="minorHAnsi" w:hAnsiTheme="minorHAnsi" w:cstheme="minorHAnsi"/>
          <w:i/>
          <w:szCs w:val="20"/>
        </w:rPr>
        <w:t>2019 Refinement to the 2006 IPCC Guidelines for National Greenhouse Gas Inventories</w:t>
      </w:r>
      <w:r w:rsidRPr="001D5327">
        <w:rPr>
          <w:rFonts w:asciiTheme="minorHAnsi" w:hAnsiTheme="minorHAnsi" w:cstheme="minorHAnsi"/>
          <w:szCs w:val="20"/>
        </w:rPr>
        <w:t>. Switzerland: IPCC.</w:t>
      </w:r>
    </w:p>
    <w:p w14:paraId="2CABC431"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Kelliher FM, Clark H, Smith MH, Lassey KR, Sedcole R. 2009. </w:t>
      </w:r>
      <w:hyperlink r:id="rId150" w:history="1">
        <w:r w:rsidRPr="001D5327">
          <w:rPr>
            <w:rStyle w:val="Hyperlink"/>
            <w:rFonts w:asciiTheme="minorHAnsi" w:hAnsiTheme="minorHAnsi" w:cstheme="minorHAnsi"/>
            <w:i/>
            <w:szCs w:val="20"/>
          </w:rPr>
          <w:t>Reducing Uncertainty of the Enteric Methane Emissions Inventory</w:t>
        </w:r>
      </w:hyperlink>
      <w:r w:rsidRPr="001D5327">
        <w:rPr>
          <w:rFonts w:asciiTheme="minorHAnsi" w:hAnsiTheme="minorHAnsi" w:cstheme="minorHAnsi"/>
          <w:szCs w:val="20"/>
        </w:rPr>
        <w:t>. Report prepared for the Ministry of Agriculture and Forestry by Lincoln University, National Institute of Water and Atmospheric Research and AgResearch. Wellington: Ministry of Agriculture and Forestry.</w:t>
      </w:r>
    </w:p>
    <w:p w14:paraId="549243C5"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Kelliher FM, Cox N, van der Weerden TJ, de Klein CAM, Luo J, Cameron KC, Di HJ, Giltrap D, Rys G. 2014. </w:t>
      </w:r>
      <w:hyperlink r:id="rId151" w:history="1">
        <w:r w:rsidRPr="001D5327">
          <w:rPr>
            <w:rStyle w:val="Hyperlink"/>
            <w:rFonts w:asciiTheme="minorHAnsi" w:hAnsiTheme="minorHAnsi" w:cstheme="minorHAnsi"/>
            <w:szCs w:val="20"/>
          </w:rPr>
          <w:t>Statistical analysis of nitrous oxide emission factors from pastoral agriculture field trials conducted in New Zealand.</w:t>
        </w:r>
      </w:hyperlink>
      <w:r w:rsidRPr="001D5327">
        <w:rPr>
          <w:rFonts w:asciiTheme="minorHAnsi" w:hAnsiTheme="minorHAnsi" w:cstheme="minorHAnsi"/>
          <w:szCs w:val="20"/>
        </w:rPr>
        <w:t xml:space="preserve"> </w:t>
      </w:r>
      <w:r w:rsidRPr="001D5327">
        <w:rPr>
          <w:rFonts w:asciiTheme="minorHAnsi" w:hAnsiTheme="minorHAnsi" w:cstheme="minorHAnsi"/>
          <w:i/>
          <w:szCs w:val="20"/>
        </w:rPr>
        <w:t>Environmental Pollution</w:t>
      </w:r>
      <w:r w:rsidRPr="001D5327">
        <w:rPr>
          <w:rFonts w:asciiTheme="minorHAnsi" w:hAnsiTheme="minorHAnsi" w:cstheme="minorHAnsi"/>
          <w:szCs w:val="20"/>
        </w:rPr>
        <w:t xml:space="preserve"> 186: 63–66.</w:t>
      </w:r>
    </w:p>
    <w:p w14:paraId="0A3ED0B5" w14:textId="77777777" w:rsidR="00590FE1" w:rsidRPr="001D5327" w:rsidRDefault="00590FE1" w:rsidP="00590FE1">
      <w:pPr>
        <w:pStyle w:val="References"/>
        <w:rPr>
          <w:rFonts w:asciiTheme="minorHAnsi" w:hAnsiTheme="minorHAnsi" w:cstheme="minorHAnsi"/>
          <w:szCs w:val="20"/>
        </w:rPr>
      </w:pPr>
      <w:bookmarkStart w:id="1536" w:name="_Hlk187670855"/>
      <w:r w:rsidRPr="001D5327">
        <w:rPr>
          <w:rFonts w:asciiTheme="minorHAnsi" w:hAnsiTheme="minorHAnsi" w:cstheme="minorHAnsi"/>
          <w:szCs w:val="20"/>
        </w:rPr>
        <w:t xml:space="preserve">Kelliher FM, de Klein CAM. 2006. </w:t>
      </w:r>
      <w:hyperlink r:id="rId152" w:history="1">
        <w:r w:rsidRPr="001D5327">
          <w:rPr>
            <w:rStyle w:val="Hyperlink"/>
            <w:rFonts w:asciiTheme="minorHAnsi" w:hAnsiTheme="minorHAnsi" w:cstheme="minorHAnsi"/>
            <w:i/>
            <w:iCs/>
            <w:szCs w:val="20"/>
          </w:rPr>
          <w:t>Review of New Zealand’s Fertiliser Nitrous Oxide Emission Factor (EF1) Data</w:t>
        </w:r>
      </w:hyperlink>
      <w:r w:rsidRPr="001D5327">
        <w:rPr>
          <w:rFonts w:asciiTheme="minorHAnsi" w:hAnsiTheme="minorHAnsi" w:cstheme="minorHAnsi"/>
          <w:szCs w:val="20"/>
        </w:rPr>
        <w:t>. Report prepared for the Ministry for the Environment by Landcare Research and AgResearch. Wellington: Ministry for Primary Industries.</w:t>
      </w:r>
    </w:p>
    <w:bookmarkEnd w:id="1536"/>
    <w:p w14:paraId="26D97810"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Kelliher FM, Henderson H and Cox N. 2017. </w:t>
      </w:r>
      <w:hyperlink r:id="rId153" w:history="1">
        <w:r w:rsidRPr="001D5327">
          <w:rPr>
            <w:rStyle w:val="Hyperlink"/>
            <w:rFonts w:asciiTheme="minorHAnsi" w:hAnsiTheme="minorHAnsi" w:cstheme="minorHAnsi"/>
            <w:szCs w:val="20"/>
          </w:rPr>
          <w:t>The uncertainty of nitrous oxide emissions from grazed grasslands: A New Zealand case study</w:t>
        </w:r>
      </w:hyperlink>
      <w:r w:rsidRPr="001D5327">
        <w:rPr>
          <w:rFonts w:asciiTheme="minorHAnsi" w:hAnsiTheme="minorHAnsi" w:cstheme="minorHAnsi"/>
          <w:szCs w:val="20"/>
        </w:rPr>
        <w:t xml:space="preserve">. </w:t>
      </w:r>
      <w:r w:rsidRPr="001D5327">
        <w:rPr>
          <w:rFonts w:asciiTheme="minorHAnsi" w:hAnsiTheme="minorHAnsi" w:cstheme="minorHAnsi"/>
          <w:i/>
          <w:szCs w:val="20"/>
        </w:rPr>
        <w:t>Atmospheric Environment</w:t>
      </w:r>
      <w:r w:rsidRPr="001D5327">
        <w:rPr>
          <w:rFonts w:asciiTheme="minorHAnsi" w:hAnsiTheme="minorHAnsi" w:cstheme="minorHAnsi"/>
          <w:szCs w:val="20"/>
        </w:rPr>
        <w:t xml:space="preserve"> 148: 329–336.</w:t>
      </w:r>
    </w:p>
    <w:p w14:paraId="7FDFBC26"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Kuikman PJ, van der Hoek KW, Smit A, Zwart K. 2006. </w:t>
      </w:r>
      <w:hyperlink r:id="rId154" w:history="1">
        <w:r w:rsidRPr="001D5327">
          <w:rPr>
            <w:rStyle w:val="Hyperlink"/>
            <w:rFonts w:asciiTheme="minorHAnsi" w:hAnsiTheme="minorHAnsi" w:cstheme="minorHAnsi"/>
            <w:szCs w:val="20"/>
          </w:rPr>
          <w:t>Update of emission factors for nitrous oxide from agricultural soils on the basis of measurements in the Netherlands.</w:t>
        </w:r>
      </w:hyperlink>
      <w:r w:rsidRPr="001D5327">
        <w:rPr>
          <w:rFonts w:asciiTheme="minorHAnsi" w:hAnsiTheme="minorHAnsi" w:cstheme="minorHAnsi"/>
          <w:szCs w:val="20"/>
        </w:rPr>
        <w:t xml:space="preserve"> </w:t>
      </w:r>
      <w:r w:rsidRPr="001D5327">
        <w:rPr>
          <w:rFonts w:asciiTheme="minorHAnsi" w:hAnsiTheme="minorHAnsi" w:cstheme="minorHAnsi"/>
          <w:i/>
          <w:szCs w:val="20"/>
        </w:rPr>
        <w:t>Alterra Report 1217</w:t>
      </w:r>
      <w:r w:rsidRPr="001D5327">
        <w:rPr>
          <w:rFonts w:asciiTheme="minorHAnsi" w:hAnsiTheme="minorHAnsi" w:cstheme="minorHAnsi"/>
          <w:szCs w:val="20"/>
        </w:rPr>
        <w:t>. Wageningen, The Netherlands: Alterra.</w:t>
      </w:r>
    </w:p>
    <w:p w14:paraId="454202CD"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Lassey K. 2011. </w:t>
      </w:r>
      <w:hyperlink r:id="rId155" w:history="1">
        <w:r w:rsidRPr="001D5327">
          <w:rPr>
            <w:rStyle w:val="Hyperlink"/>
            <w:rFonts w:asciiTheme="minorHAnsi" w:hAnsiTheme="minorHAnsi" w:cstheme="minorHAnsi"/>
            <w:i/>
            <w:szCs w:val="20"/>
          </w:rPr>
          <w:t>Methane Emissions and Nitrogen Excretion Rates for New Zealand Goats</w:t>
        </w:r>
      </w:hyperlink>
      <w:r w:rsidRPr="001D5327">
        <w:rPr>
          <w:rFonts w:asciiTheme="minorHAnsi" w:hAnsiTheme="minorHAnsi" w:cstheme="minorHAnsi"/>
          <w:szCs w:val="20"/>
        </w:rPr>
        <w:t xml:space="preserve">. Report for the Ministry of Agriculture and Forestry, National Institute of Water and Atmospheric Research. Wellington: National Institute of Water and Atmospheric Research. </w:t>
      </w:r>
    </w:p>
    <w:p w14:paraId="10725C33"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lastRenderedPageBreak/>
        <w:t xml:space="preserve">Lassey KR, Ulyatt MJ, Martin RJ, Walker CF, Shelton ID. 1997. Methane emissions measured directly from grazing livestock in New Zealand. </w:t>
      </w:r>
      <w:r w:rsidRPr="001D5327">
        <w:rPr>
          <w:rFonts w:asciiTheme="minorHAnsi" w:hAnsiTheme="minorHAnsi" w:cstheme="minorHAnsi"/>
          <w:i/>
          <w:szCs w:val="20"/>
        </w:rPr>
        <w:t>Atmospheric Environment</w:t>
      </w:r>
      <w:r w:rsidRPr="001D5327">
        <w:rPr>
          <w:rFonts w:asciiTheme="minorHAnsi" w:hAnsiTheme="minorHAnsi" w:cstheme="minorHAnsi"/>
          <w:szCs w:val="20"/>
        </w:rPr>
        <w:t xml:space="preserve"> 31: 2905–2914.</w:t>
      </w:r>
    </w:p>
    <w:p w14:paraId="0E47CF52"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Laubach J, Grover SPP, Taghizadeh-Toosi A, Sherlock RR, Gibbs J, Kelliher FM. 2012. </w:t>
      </w:r>
      <w:hyperlink r:id="rId156" w:history="1">
        <w:r w:rsidRPr="001D5327">
          <w:rPr>
            <w:rStyle w:val="Hyperlink"/>
            <w:rFonts w:asciiTheme="minorHAnsi" w:hAnsiTheme="minorHAnsi" w:cstheme="minorHAnsi"/>
            <w:i/>
            <w:szCs w:val="20"/>
          </w:rPr>
          <w:t>Ammonia from Animal Excreta</w:t>
        </w:r>
      </w:hyperlink>
      <w:r w:rsidRPr="001D5327">
        <w:rPr>
          <w:rFonts w:asciiTheme="minorHAnsi" w:hAnsiTheme="minorHAnsi" w:cstheme="minorHAnsi"/>
          <w:szCs w:val="20"/>
        </w:rPr>
        <w:t>. Report prepared for the Ministry for Primary Industries by Landcare Research. Wellington: Ministry for Primary Industries.</w:t>
      </w:r>
    </w:p>
    <w:p w14:paraId="73E93881"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Laubach J, Kelliher FM. 2004. Measuring methane emission rates of a dairy cow herd by two micrometeorological techniques. </w:t>
      </w:r>
      <w:r w:rsidRPr="001D5327">
        <w:rPr>
          <w:rFonts w:asciiTheme="minorHAnsi" w:hAnsiTheme="minorHAnsi" w:cstheme="minorHAnsi"/>
          <w:i/>
          <w:szCs w:val="20"/>
        </w:rPr>
        <w:t>Agricultural and Forest Meteorology</w:t>
      </w:r>
      <w:r w:rsidRPr="001D5327">
        <w:rPr>
          <w:rFonts w:asciiTheme="minorHAnsi" w:hAnsiTheme="minorHAnsi" w:cstheme="minorHAnsi"/>
          <w:szCs w:val="20"/>
        </w:rPr>
        <w:t xml:space="preserve"> 125: 279–303.</w:t>
      </w:r>
    </w:p>
    <w:p w14:paraId="5529A426"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Ledgard SF, Luo J, Sprosen MS, Wyatt J, Balvert S, Lindsey S. 2014. Effects of the nitrification inhibitor dicyandiamide (DCD) on pasture production, nitrous oxide emissions and nitrate leaching in Waikato, New Zealand. </w:t>
      </w:r>
      <w:r w:rsidRPr="001D5327">
        <w:rPr>
          <w:rFonts w:asciiTheme="minorHAnsi" w:hAnsiTheme="minorHAnsi" w:cstheme="minorHAnsi"/>
          <w:i/>
          <w:szCs w:val="20"/>
        </w:rPr>
        <w:t>New Zealand Journal of Agricultural Research</w:t>
      </w:r>
      <w:r w:rsidRPr="001D5327">
        <w:rPr>
          <w:rFonts w:asciiTheme="minorHAnsi" w:hAnsiTheme="minorHAnsi" w:cstheme="minorHAnsi"/>
          <w:szCs w:val="20"/>
        </w:rPr>
        <w:t xml:space="preserve"> 57(4): 294–315.</w:t>
      </w:r>
    </w:p>
    <w:p w14:paraId="398B263D"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LIC (Livestock Improvement Corporation Limited) and DairyNZ. 2024. </w:t>
      </w:r>
      <w:hyperlink r:id="rId157" w:history="1">
        <w:r w:rsidRPr="001D5327">
          <w:rPr>
            <w:rStyle w:val="Hyperlink"/>
            <w:rFonts w:asciiTheme="minorHAnsi" w:hAnsiTheme="minorHAnsi" w:cstheme="minorHAnsi"/>
            <w:i/>
            <w:szCs w:val="20"/>
          </w:rPr>
          <w:t xml:space="preserve">New Zealand Dairy Statistics </w:t>
        </w:r>
        <w:r w:rsidRPr="001D5327">
          <w:rPr>
            <w:rStyle w:val="Hyperlink"/>
            <w:rFonts w:asciiTheme="minorHAnsi" w:hAnsiTheme="minorHAnsi" w:cstheme="minorHAnsi"/>
            <w:i/>
            <w:szCs w:val="20"/>
          </w:rPr>
          <w:br/>
          <w:t>2023–2024</w:t>
        </w:r>
      </w:hyperlink>
      <w:r w:rsidRPr="001D5327">
        <w:rPr>
          <w:rFonts w:asciiTheme="minorHAnsi" w:hAnsiTheme="minorHAnsi" w:cstheme="minorHAnsi"/>
          <w:szCs w:val="20"/>
        </w:rPr>
        <w:t xml:space="preserve">. Hamilton: DairyNZ. </w:t>
      </w:r>
    </w:p>
    <w:p w14:paraId="2A46C33C"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LIC. 2009. </w:t>
      </w:r>
      <w:hyperlink r:id="rId158" w:history="1">
        <w:r w:rsidRPr="001D5327">
          <w:rPr>
            <w:rStyle w:val="Hyperlink"/>
            <w:rFonts w:asciiTheme="minorHAnsi" w:hAnsiTheme="minorHAnsi" w:cstheme="minorHAnsi"/>
            <w:i/>
            <w:szCs w:val="20"/>
          </w:rPr>
          <w:t>100 Years of Herd Testing</w:t>
        </w:r>
      </w:hyperlink>
      <w:r w:rsidRPr="001D5327">
        <w:rPr>
          <w:rFonts w:asciiTheme="minorHAnsi" w:hAnsiTheme="minorHAnsi" w:cstheme="minorHAnsi"/>
          <w:szCs w:val="20"/>
        </w:rPr>
        <w:t>. Hamilton: Livestock Improvement Corporation Limited.</w:t>
      </w:r>
    </w:p>
    <w:p w14:paraId="77BC9CCD" w14:textId="77777777" w:rsidR="00590FE1" w:rsidRPr="001D5327" w:rsidRDefault="00590FE1" w:rsidP="00590FE1">
      <w:pPr>
        <w:pStyle w:val="References"/>
        <w:rPr>
          <w:rFonts w:asciiTheme="minorHAnsi" w:hAnsiTheme="minorHAnsi" w:cstheme="minorHAnsi"/>
          <w:szCs w:val="20"/>
        </w:rPr>
      </w:pPr>
      <w:bookmarkStart w:id="1537" w:name="_Hlk187834888"/>
      <w:r w:rsidRPr="001D5327">
        <w:rPr>
          <w:rFonts w:asciiTheme="minorHAnsi" w:hAnsiTheme="minorHAnsi" w:cstheme="minorHAnsi"/>
          <w:szCs w:val="20"/>
        </w:rPr>
        <w:t xml:space="preserve">Luo J, Hoogendoorn C, van der Weerden T, Saggar S, de Klein C, Giltrap D. 2016. </w:t>
      </w:r>
      <w:r w:rsidRPr="001D5327">
        <w:rPr>
          <w:rFonts w:asciiTheme="minorHAnsi" w:hAnsiTheme="minorHAnsi" w:cstheme="minorHAnsi"/>
          <w:i/>
          <w:szCs w:val="20"/>
        </w:rPr>
        <w:t>Nitrous oxide emission factors for animal excreta deposited on hill country steep slopes</w:t>
      </w:r>
      <w:r w:rsidRPr="001D5327">
        <w:rPr>
          <w:rFonts w:asciiTheme="minorHAnsi" w:hAnsiTheme="minorHAnsi" w:cstheme="minorHAnsi"/>
          <w:szCs w:val="20"/>
        </w:rPr>
        <w:t>. Report prepared for the Ministry for Primary Industries by AgResearch Ltd. Wellington: Ministry for Primary Industries.</w:t>
      </w:r>
    </w:p>
    <w:bookmarkEnd w:id="1537"/>
    <w:p w14:paraId="19D853AB"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Luo J, Hoogendoorn C, van der Weerden TJ, Saggar S, de Klein CAM, Giltrap D, Rollo M, Rys G. 2013. Nitrous oxide emissions from grazed hill land in New Zealand. </w:t>
      </w:r>
      <w:r w:rsidRPr="001D5327">
        <w:rPr>
          <w:rFonts w:asciiTheme="minorHAnsi" w:hAnsiTheme="minorHAnsi" w:cstheme="minorHAnsi"/>
          <w:i/>
          <w:szCs w:val="20"/>
        </w:rPr>
        <w:t>Agriculture Ecosystems &amp; Environment</w:t>
      </w:r>
      <w:r w:rsidRPr="001D5327">
        <w:rPr>
          <w:rFonts w:asciiTheme="minorHAnsi" w:hAnsiTheme="minorHAnsi" w:cstheme="minorHAnsi"/>
          <w:szCs w:val="20"/>
        </w:rPr>
        <w:t xml:space="preserve"> 181: 58–68.</w:t>
      </w:r>
    </w:p>
    <w:p w14:paraId="1B0E8FE1"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Luo J, Saggar S, van der Weerden T, de Klein C. 2019a. </w:t>
      </w:r>
      <w:hyperlink r:id="rId159" w:history="1">
        <w:r w:rsidRPr="001D5327">
          <w:rPr>
            <w:rStyle w:val="Hyperlink"/>
            <w:rFonts w:asciiTheme="minorHAnsi" w:hAnsiTheme="minorHAnsi" w:cstheme="minorHAnsi"/>
            <w:szCs w:val="20"/>
          </w:rPr>
          <w:t>Quantification of nitrous oxide emissions and emission factors from beef and dairy cattle excreta deposited on grazed pastoral hill lands</w:t>
        </w:r>
      </w:hyperlink>
      <w:r w:rsidRPr="001D5327">
        <w:rPr>
          <w:rFonts w:asciiTheme="minorHAnsi" w:hAnsiTheme="minorHAnsi" w:cstheme="minorHAnsi"/>
          <w:szCs w:val="20"/>
        </w:rPr>
        <w:t xml:space="preserve">. </w:t>
      </w:r>
      <w:r w:rsidRPr="001D5327">
        <w:rPr>
          <w:rFonts w:asciiTheme="minorHAnsi" w:hAnsiTheme="minorHAnsi" w:cstheme="minorHAnsi"/>
          <w:i/>
          <w:szCs w:val="20"/>
        </w:rPr>
        <w:t>Agriculture, Ecosystems &amp; Environment</w:t>
      </w:r>
      <w:r w:rsidRPr="001D5327">
        <w:rPr>
          <w:rFonts w:asciiTheme="minorHAnsi" w:hAnsiTheme="minorHAnsi" w:cstheme="minorHAnsi"/>
          <w:szCs w:val="20"/>
        </w:rPr>
        <w:t xml:space="preserve"> 270–271: 103–113.</w:t>
      </w:r>
    </w:p>
    <w:p w14:paraId="18B26C87" w14:textId="77777777" w:rsidR="00590FE1" w:rsidRPr="001D5327" w:rsidRDefault="00590FE1" w:rsidP="00590FE1">
      <w:pPr>
        <w:pStyle w:val="References"/>
        <w:rPr>
          <w:rFonts w:asciiTheme="minorHAnsi" w:hAnsiTheme="minorHAnsi" w:cstheme="minorHAnsi"/>
          <w:szCs w:val="20"/>
          <w:highlight w:val="yellow"/>
        </w:rPr>
      </w:pPr>
      <w:bookmarkStart w:id="1538" w:name="_Hlk187834898"/>
      <w:r w:rsidRPr="001D5327">
        <w:rPr>
          <w:rFonts w:asciiTheme="minorHAnsi" w:hAnsiTheme="minorHAnsi" w:cstheme="minorHAnsi"/>
          <w:szCs w:val="20"/>
        </w:rPr>
        <w:t xml:space="preserve">Luo J, van der Weerden T, Saggar S, de Klein C, Rollo M, Longhurst B. 2019b. </w:t>
      </w:r>
      <w:hyperlink r:id="rId160" w:history="1">
        <w:r w:rsidRPr="001D5327">
          <w:rPr>
            <w:rStyle w:val="Hyperlink"/>
            <w:rFonts w:asciiTheme="minorHAnsi" w:hAnsiTheme="minorHAnsi" w:cstheme="minorHAnsi"/>
            <w:i/>
            <w:szCs w:val="20"/>
          </w:rPr>
          <w:t>Refining New Zealand’s GHG Inventory Methodology: Manure Management</w:t>
        </w:r>
      </w:hyperlink>
      <w:r w:rsidRPr="001D5327">
        <w:rPr>
          <w:rFonts w:asciiTheme="minorHAnsi" w:hAnsiTheme="minorHAnsi" w:cstheme="minorHAnsi"/>
          <w:szCs w:val="20"/>
        </w:rPr>
        <w:t>. Prepared for the Ministry for Primary Industries by AgResearch Ltd. Wellington: Ministry for Primary Industries.</w:t>
      </w:r>
    </w:p>
    <w:bookmarkEnd w:id="1538"/>
    <w:p w14:paraId="0FFA3CF4"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Marsden KA, Holmberg JA, Jones DL, Chadwick DR. 2018. </w:t>
      </w:r>
      <w:hyperlink r:id="rId161" w:history="1">
        <w:r w:rsidRPr="001D5327">
          <w:rPr>
            <w:rStyle w:val="Hyperlink"/>
            <w:rFonts w:asciiTheme="minorHAnsi" w:hAnsiTheme="minorHAnsi" w:cstheme="minorHAnsi"/>
            <w:szCs w:val="20"/>
          </w:rPr>
          <w:t>Sheep urine patch N</w:t>
        </w:r>
        <w:r w:rsidRPr="001D5327">
          <w:rPr>
            <w:rStyle w:val="Hyperlink"/>
            <w:rFonts w:asciiTheme="minorHAnsi" w:hAnsiTheme="minorHAnsi" w:cstheme="minorHAnsi"/>
            <w:szCs w:val="20"/>
            <w:vertAlign w:val="subscript"/>
          </w:rPr>
          <w:t>2</w:t>
        </w:r>
        <w:r w:rsidRPr="001D5327">
          <w:rPr>
            <w:rStyle w:val="Hyperlink"/>
            <w:rFonts w:asciiTheme="minorHAnsi" w:hAnsiTheme="minorHAnsi" w:cstheme="minorHAnsi"/>
            <w:szCs w:val="20"/>
          </w:rPr>
          <w:t>O emissions are lower from extensively-managed than intensively-managed grasslands</w:t>
        </w:r>
      </w:hyperlink>
      <w:r w:rsidRPr="001D5327">
        <w:rPr>
          <w:rFonts w:asciiTheme="minorHAnsi" w:hAnsiTheme="minorHAnsi" w:cstheme="minorHAnsi"/>
          <w:szCs w:val="20"/>
        </w:rPr>
        <w:t xml:space="preserve">. </w:t>
      </w:r>
      <w:r w:rsidRPr="001D5327">
        <w:rPr>
          <w:rFonts w:asciiTheme="minorHAnsi" w:hAnsiTheme="minorHAnsi" w:cstheme="minorHAnsi"/>
          <w:i/>
          <w:szCs w:val="20"/>
        </w:rPr>
        <w:t>Agriculture Ecosystems &amp; Environment</w:t>
      </w:r>
      <w:r w:rsidRPr="001D5327">
        <w:rPr>
          <w:rFonts w:asciiTheme="minorHAnsi" w:hAnsiTheme="minorHAnsi" w:cstheme="minorHAnsi"/>
          <w:szCs w:val="20"/>
        </w:rPr>
        <w:t xml:space="preserve"> 265: 264–274.</w:t>
      </w:r>
    </w:p>
    <w:p w14:paraId="0E01222D"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MfE (Ministry for the Environment). 2024. </w:t>
      </w:r>
      <w:hyperlink r:id="rId162" w:history="1">
        <w:r w:rsidRPr="001D5327">
          <w:rPr>
            <w:rStyle w:val="Hyperlink"/>
            <w:rFonts w:asciiTheme="minorHAnsi" w:hAnsiTheme="minorHAnsi" w:cstheme="minorHAnsi"/>
            <w:i/>
            <w:szCs w:val="20"/>
          </w:rPr>
          <w:t>New Zealand’s first Biennial Transparency Report under the Paris Agreement</w:t>
        </w:r>
      </w:hyperlink>
      <w:r w:rsidRPr="001D5327">
        <w:rPr>
          <w:rFonts w:asciiTheme="minorHAnsi" w:hAnsiTheme="minorHAnsi" w:cstheme="minorHAnsi"/>
          <w:szCs w:val="20"/>
        </w:rPr>
        <w:t xml:space="preserve">. Wellington: Ministry for the Environment. </w:t>
      </w:r>
    </w:p>
    <w:p w14:paraId="5C88E167"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MPI (Ministry for Primary Industries). 2024. </w:t>
      </w:r>
      <w:hyperlink r:id="rId163" w:history="1">
        <w:r w:rsidRPr="001D5327">
          <w:rPr>
            <w:rStyle w:val="Hyperlink"/>
            <w:rFonts w:asciiTheme="minorHAnsi" w:hAnsiTheme="minorHAnsi" w:cstheme="minorHAnsi"/>
            <w:i/>
            <w:szCs w:val="20"/>
          </w:rPr>
          <w:t>Situation and Outlook for Primary Industries</w:t>
        </w:r>
      </w:hyperlink>
      <w:r w:rsidRPr="001D5327">
        <w:rPr>
          <w:rStyle w:val="Hyperlink"/>
          <w:rFonts w:asciiTheme="minorHAnsi" w:hAnsiTheme="minorHAnsi" w:cstheme="minorHAnsi"/>
          <w:i/>
          <w:szCs w:val="20"/>
        </w:rPr>
        <w:t xml:space="preserve"> June 2024</w:t>
      </w:r>
      <w:r w:rsidRPr="001D5327">
        <w:rPr>
          <w:rFonts w:asciiTheme="minorHAnsi" w:hAnsiTheme="minorHAnsi" w:cstheme="minorHAnsi"/>
          <w:i/>
          <w:szCs w:val="20"/>
        </w:rPr>
        <w:t xml:space="preserve">. </w:t>
      </w:r>
      <w:r w:rsidRPr="001D5327">
        <w:rPr>
          <w:rFonts w:asciiTheme="minorHAnsi" w:hAnsiTheme="minorHAnsi" w:cstheme="minorHAnsi"/>
          <w:iCs/>
          <w:szCs w:val="20"/>
        </w:rPr>
        <w:t>Wellington: Ministry for Primary Industries</w:t>
      </w:r>
      <w:r w:rsidRPr="001D5327">
        <w:rPr>
          <w:rFonts w:asciiTheme="minorHAnsi" w:hAnsiTheme="minorHAnsi" w:cstheme="minorHAnsi"/>
          <w:szCs w:val="20"/>
        </w:rPr>
        <w:t>.</w:t>
      </w:r>
    </w:p>
    <w:p w14:paraId="0A3C0A15"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Muir PD, Thomson BC, Askin DC. 2008. </w:t>
      </w:r>
      <w:hyperlink r:id="rId164" w:history="1">
        <w:r w:rsidRPr="001D5327">
          <w:rPr>
            <w:rStyle w:val="Hyperlink"/>
            <w:rFonts w:asciiTheme="minorHAnsi" w:hAnsiTheme="minorHAnsi" w:cstheme="minorHAnsi"/>
            <w:i/>
            <w:szCs w:val="20"/>
          </w:rPr>
          <w:t>A Review of Dressing Out Percentage in New Zealand Livestock</w:t>
        </w:r>
      </w:hyperlink>
      <w:r w:rsidRPr="001D5327">
        <w:rPr>
          <w:rFonts w:asciiTheme="minorHAnsi" w:hAnsiTheme="minorHAnsi" w:cstheme="minorHAnsi"/>
          <w:szCs w:val="20"/>
        </w:rPr>
        <w:t>. Report prepared for the Ministry of Agriculture and Forestry by On-Farm Research and Kilu Consulting. Wellington: Ministry of Agriculture and Forestry.</w:t>
      </w:r>
    </w:p>
    <w:p w14:paraId="3C5B7D0E"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Muir PD, Thomson BC. 2010. </w:t>
      </w:r>
      <w:hyperlink r:id="rId165" w:history="1">
        <w:r w:rsidRPr="001D5327">
          <w:rPr>
            <w:rStyle w:val="Hyperlink"/>
            <w:rFonts w:asciiTheme="minorHAnsi" w:hAnsiTheme="minorHAnsi" w:cstheme="minorHAnsi"/>
            <w:i/>
            <w:szCs w:val="20"/>
          </w:rPr>
          <w:t>Better Estimation of National Ewe and Beef Cow Liveweights</w:t>
        </w:r>
      </w:hyperlink>
      <w:r w:rsidRPr="001D5327">
        <w:rPr>
          <w:rFonts w:asciiTheme="minorHAnsi" w:hAnsiTheme="minorHAnsi" w:cstheme="minorHAnsi"/>
          <w:szCs w:val="20"/>
        </w:rPr>
        <w:t>. Report prepared for the Ministry of Agriculture and Forestry by On-Farm Research. Wellington: Ministry of Agriculture and Forestry.</w:t>
      </w:r>
    </w:p>
    <w:p w14:paraId="1CD9491F"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Muller C, Sherlock RR, Williams PH. 1995. Direct field measurements of nitrous oxide emissions from urine-affected and urine-unaffected pasture in Canterbury. In: </w:t>
      </w:r>
      <w:r w:rsidRPr="001D5327">
        <w:rPr>
          <w:rFonts w:asciiTheme="minorHAnsi" w:hAnsiTheme="minorHAnsi" w:cstheme="minorHAnsi"/>
          <w:i/>
          <w:szCs w:val="20"/>
        </w:rPr>
        <w:t>Proceedings of the Workshop on Fertilizer Requirements of Grazed Pasture and Field Crops: Macro and Micronutrients</w:t>
      </w:r>
      <w:r w:rsidRPr="001D5327">
        <w:rPr>
          <w:rFonts w:asciiTheme="minorHAnsi" w:hAnsiTheme="minorHAnsi" w:cstheme="minorHAnsi"/>
          <w:szCs w:val="20"/>
        </w:rPr>
        <w:t>. Currie LD, Loganathan P (eds). Occasional Report No. 8. Palmerston North: Massey University. pp 243–34.</w:t>
      </w:r>
    </w:p>
    <w:p w14:paraId="56D6E53B"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Pacheco D, Waghorn G, Rollo M. 2018. </w:t>
      </w:r>
      <w:hyperlink r:id="rId166" w:history="1">
        <w:r w:rsidRPr="001D5327">
          <w:rPr>
            <w:rStyle w:val="Hyperlink"/>
            <w:rFonts w:asciiTheme="minorHAnsi" w:hAnsiTheme="minorHAnsi" w:cstheme="minorHAnsi"/>
            <w:i/>
            <w:szCs w:val="20"/>
          </w:rPr>
          <w:t>Methodology for Splitting Nitrogen between Livestock Dung and Urine</w:t>
        </w:r>
      </w:hyperlink>
      <w:r w:rsidRPr="001D5327">
        <w:rPr>
          <w:rFonts w:asciiTheme="minorHAnsi" w:hAnsiTheme="minorHAnsi" w:cstheme="minorHAnsi"/>
          <w:szCs w:val="20"/>
        </w:rPr>
        <w:t>. Report prepared for the Ministry for Primary Industries by AgResearch. Wellington: Ministry for Primary Industries.</w:t>
      </w:r>
    </w:p>
    <w:p w14:paraId="0D24E067" w14:textId="77777777" w:rsidR="00590FE1" w:rsidRPr="001D5327" w:rsidRDefault="00590FE1" w:rsidP="00590FE1">
      <w:pPr>
        <w:pStyle w:val="References"/>
        <w:rPr>
          <w:rFonts w:asciiTheme="minorHAnsi" w:hAnsiTheme="minorHAnsi" w:cstheme="minorHAnsi"/>
          <w:szCs w:val="20"/>
        </w:rPr>
      </w:pPr>
      <w:bookmarkStart w:id="1539" w:name="_Hlk187664973"/>
      <w:r w:rsidRPr="001D5327">
        <w:rPr>
          <w:rFonts w:asciiTheme="minorHAnsi" w:hAnsiTheme="minorHAnsi" w:cstheme="minorHAnsi"/>
          <w:szCs w:val="20"/>
        </w:rPr>
        <w:t xml:space="preserve">Pickering A, Gibbs J, Wear S, Fick J, Tomlin H. 2024. </w:t>
      </w:r>
      <w:hyperlink r:id="rId167" w:history="1">
        <w:r w:rsidRPr="001D5327">
          <w:rPr>
            <w:rStyle w:val="Hyperlink"/>
            <w:rFonts w:asciiTheme="minorHAnsi" w:hAnsiTheme="minorHAnsi" w:cstheme="minorHAnsi"/>
            <w:i/>
            <w:szCs w:val="20"/>
          </w:rPr>
          <w:t>Methodology for Calculation of New Zealand’s Agricultural Greenhouse Gas Emissions</w:t>
        </w:r>
      </w:hyperlink>
      <w:r w:rsidRPr="001D5327">
        <w:rPr>
          <w:rFonts w:asciiTheme="minorHAnsi" w:hAnsiTheme="minorHAnsi" w:cstheme="minorHAnsi"/>
          <w:szCs w:val="20"/>
        </w:rPr>
        <w:t xml:space="preserve">. Version 10. Wellington: Ministry for Primary Industries. </w:t>
      </w:r>
    </w:p>
    <w:p w14:paraId="5AC18C55"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lastRenderedPageBreak/>
        <w:t xml:space="preserve">Pinares-Patino CS, Ulyatt MJ, Waghorn GC, Lassey KR, Barry TN, Holmes CW, Johnson DE. 2003. Methane emission by alpaca and sheep fed on lucerne hay or grazed on pastures of perennial ryegrass/white clover or birdsfoot trefoil. </w:t>
      </w:r>
      <w:r w:rsidRPr="001D5327">
        <w:rPr>
          <w:rFonts w:asciiTheme="minorHAnsi" w:hAnsiTheme="minorHAnsi" w:cstheme="minorHAnsi"/>
          <w:i/>
          <w:szCs w:val="20"/>
        </w:rPr>
        <w:t>Journal of Agricultural Science</w:t>
      </w:r>
      <w:r w:rsidRPr="001D5327">
        <w:rPr>
          <w:rFonts w:asciiTheme="minorHAnsi" w:hAnsiTheme="minorHAnsi" w:cstheme="minorHAnsi"/>
          <w:szCs w:val="20"/>
        </w:rPr>
        <w:t xml:space="preserve"> 140: 215–226.</w:t>
      </w:r>
    </w:p>
    <w:p w14:paraId="4E318C91"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Pratt C, Walcroft A, Shilton A, Guieysse B, Chung M, Craggs R, Heubeck S. 2012. </w:t>
      </w:r>
      <w:hyperlink r:id="rId168" w:history="1">
        <w:r w:rsidRPr="001D5327">
          <w:rPr>
            <w:rStyle w:val="Hyperlink"/>
            <w:rFonts w:asciiTheme="minorHAnsi" w:hAnsiTheme="minorHAnsi" w:cstheme="minorHAnsi"/>
            <w:i/>
            <w:szCs w:val="20"/>
          </w:rPr>
          <w:t>Revised Methane Emission Factors and Parameters for Dairy Effluent Ponds</w:t>
        </w:r>
      </w:hyperlink>
      <w:r w:rsidRPr="001D5327">
        <w:rPr>
          <w:rFonts w:asciiTheme="minorHAnsi" w:hAnsiTheme="minorHAnsi" w:cstheme="minorHAnsi"/>
          <w:szCs w:val="20"/>
        </w:rPr>
        <w:t>. Report prepared for the Ministry for Primary Industries by Landcare Research, Massey University and the National Institute of Water and Atmospheric Research. Wellington: Ministry for Primary Industries.</w:t>
      </w:r>
    </w:p>
    <w:p w14:paraId="5DEA81E6" w14:textId="205CED7F"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Pronger J, Glover-Clark G, Price R, Campbell D, Schipper L. 2022. </w:t>
      </w:r>
      <w:hyperlink r:id="rId169" w:history="1">
        <w:r w:rsidRPr="001D5327">
          <w:rPr>
            <w:rStyle w:val="Hyperlink"/>
            <w:rFonts w:asciiTheme="minorHAnsi" w:hAnsiTheme="minorHAnsi" w:cstheme="minorHAnsi"/>
            <w:i/>
            <w:szCs w:val="20"/>
          </w:rPr>
          <w:t>Improving Accounting of Emissions from</w:t>
        </w:r>
        <w:r w:rsidR="00A7626A" w:rsidRPr="001D5327">
          <w:rPr>
            <w:rStyle w:val="Hyperlink"/>
            <w:rFonts w:asciiTheme="minorHAnsi" w:hAnsiTheme="minorHAnsi" w:cstheme="minorHAnsi"/>
            <w:i/>
            <w:szCs w:val="20"/>
          </w:rPr>
          <w:t> </w:t>
        </w:r>
        <w:r w:rsidRPr="001D5327">
          <w:rPr>
            <w:rStyle w:val="Hyperlink"/>
            <w:rFonts w:asciiTheme="minorHAnsi" w:hAnsiTheme="minorHAnsi" w:cstheme="minorHAnsi"/>
            <w:i/>
            <w:szCs w:val="20"/>
          </w:rPr>
          <w:t>Drained Organic Soils</w:t>
        </w:r>
      </w:hyperlink>
      <w:r w:rsidRPr="001D5327">
        <w:rPr>
          <w:rStyle w:val="Hyperlink"/>
          <w:rFonts w:asciiTheme="minorHAnsi" w:hAnsiTheme="minorHAnsi" w:cstheme="minorHAnsi"/>
          <w:i/>
          <w:szCs w:val="20"/>
        </w:rPr>
        <w:t>.</w:t>
      </w:r>
      <w:r w:rsidRPr="001D5327">
        <w:rPr>
          <w:rFonts w:asciiTheme="minorHAnsi" w:hAnsiTheme="minorHAnsi" w:cstheme="minorHAnsi"/>
          <w:szCs w:val="20"/>
        </w:rPr>
        <w:t xml:space="preserve"> Report prepared for the Ministry for Primary Industries by Manaaki Whenua – Landcare Research. Wellington: Ministry for Primary Industries.</w:t>
      </w:r>
    </w:p>
    <w:p w14:paraId="08862BA0" w14:textId="5AC5D7AF" w:rsidR="00590FE1" w:rsidRPr="001D5327" w:rsidRDefault="00590FE1" w:rsidP="00590FE1">
      <w:pPr>
        <w:pStyle w:val="References"/>
        <w:rPr>
          <w:rFonts w:asciiTheme="minorHAnsi" w:hAnsiTheme="minorHAnsi" w:cstheme="minorHAnsi"/>
          <w:szCs w:val="20"/>
        </w:rPr>
      </w:pPr>
      <w:bookmarkStart w:id="1540" w:name="_Hlk187665123"/>
      <w:r w:rsidRPr="00786156">
        <w:rPr>
          <w:rFonts w:asciiTheme="minorHAnsi" w:hAnsiTheme="minorHAnsi" w:cstheme="minorHAnsi"/>
          <w:szCs w:val="20"/>
        </w:rPr>
        <w:t xml:space="preserve">Ritchie H. 2024. </w:t>
      </w:r>
      <w:hyperlink r:id="rId170" w:history="1">
        <w:r w:rsidRPr="00201985">
          <w:rPr>
            <w:rStyle w:val="Hyperlink"/>
            <w:rFonts w:asciiTheme="minorHAnsi" w:hAnsiTheme="minorHAnsi" w:cstheme="minorHAnsi"/>
            <w:i/>
            <w:szCs w:val="20"/>
          </w:rPr>
          <w:t>Updating Emissions Calculations for Pigs in the New Zealand Greenhouse Gas Inventory Report</w:t>
        </w:r>
      </w:hyperlink>
      <w:r w:rsidRPr="00786156">
        <w:rPr>
          <w:rFonts w:asciiTheme="minorHAnsi" w:hAnsiTheme="minorHAnsi" w:cstheme="minorHAnsi"/>
          <w:szCs w:val="20"/>
        </w:rPr>
        <w:t>. Report prepared for the Ministry for Primary Industries by NZ Pork. Wellington: Ministry for Primary Industries.</w:t>
      </w:r>
      <w:r w:rsidRPr="001D5327">
        <w:rPr>
          <w:rFonts w:asciiTheme="minorHAnsi" w:hAnsiTheme="minorHAnsi" w:cstheme="minorHAnsi"/>
          <w:szCs w:val="20"/>
        </w:rPr>
        <w:t xml:space="preserve"> </w:t>
      </w:r>
    </w:p>
    <w:bookmarkEnd w:id="1540"/>
    <w:p w14:paraId="1E444F27"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Rollo M, Ledgard S, Longhurst B. 2017. </w:t>
      </w:r>
      <w:hyperlink r:id="rId171" w:history="1">
        <w:r w:rsidRPr="001D5327">
          <w:rPr>
            <w:rStyle w:val="Hyperlink"/>
            <w:rFonts w:asciiTheme="minorHAnsi" w:hAnsiTheme="minorHAnsi" w:cstheme="minorHAnsi"/>
            <w:i/>
            <w:szCs w:val="20"/>
          </w:rPr>
          <w:t>Final Report: Trends in Dairy Effluent Management</w:t>
        </w:r>
      </w:hyperlink>
      <w:r w:rsidRPr="001D5327">
        <w:rPr>
          <w:rFonts w:asciiTheme="minorHAnsi" w:hAnsiTheme="minorHAnsi" w:cstheme="minorHAnsi"/>
          <w:szCs w:val="20"/>
        </w:rPr>
        <w:t>. Report prepared for the Ministry for Primary Industries by AgResearch. Wellington: Ministry for Primary Industries.</w:t>
      </w:r>
    </w:p>
    <w:p w14:paraId="3D9D3D38" w14:textId="77777777" w:rsidR="00590FE1" w:rsidRPr="001D5327" w:rsidRDefault="00590FE1" w:rsidP="00590FE1">
      <w:pPr>
        <w:pStyle w:val="References"/>
        <w:rPr>
          <w:rFonts w:asciiTheme="minorHAnsi" w:hAnsiTheme="minorHAnsi" w:cstheme="minorHAnsi"/>
          <w:szCs w:val="20"/>
        </w:rPr>
      </w:pPr>
      <w:bookmarkStart w:id="1541" w:name="_Hlk187670861"/>
      <w:r w:rsidRPr="001D5327">
        <w:rPr>
          <w:rFonts w:asciiTheme="minorHAnsi" w:hAnsiTheme="minorHAnsi" w:cstheme="minorHAnsi"/>
          <w:szCs w:val="20"/>
        </w:rPr>
        <w:t>Saggar S, Clark H, Hedley C, Tate K, Carran A, Cosgrove G. Unpublished. Methane Emissions from Animal Dung and Waste Management Systems, and its Contribution to National Methane Budget. Landcare Research Contract Report: LC0301/02. Prepared for the Ministry of Agriculture and Forestry by Landcare Research in 2003.</w:t>
      </w:r>
    </w:p>
    <w:bookmarkEnd w:id="1541"/>
    <w:p w14:paraId="54427412" w14:textId="3EBC4519" w:rsidR="00590FE1" w:rsidRPr="001D5327" w:rsidRDefault="00590FE1" w:rsidP="00590FE1">
      <w:pPr>
        <w:spacing w:after="120"/>
        <w:rPr>
          <w:rFonts w:asciiTheme="minorHAnsi" w:hAnsiTheme="minorHAnsi" w:cstheme="minorHAnsi"/>
          <w:sz w:val="20"/>
          <w:szCs w:val="20"/>
        </w:rPr>
      </w:pPr>
      <w:r w:rsidRPr="001D5327">
        <w:rPr>
          <w:rFonts w:asciiTheme="minorHAnsi" w:hAnsiTheme="minorHAnsi" w:cstheme="minorHAnsi"/>
          <w:sz w:val="20"/>
          <w:szCs w:val="20"/>
        </w:rPr>
        <w:t xml:space="preserve">Saggar S, Giltrap DL, Davison R, Gibson R, de Klein C, Rollo M, Ettema P, Rys G. 2015. </w:t>
      </w:r>
      <w:hyperlink r:id="rId172" w:history="1">
        <w:r w:rsidRPr="001D5327">
          <w:rPr>
            <w:rStyle w:val="Hyperlink"/>
            <w:rFonts w:asciiTheme="minorHAnsi" w:hAnsiTheme="minorHAnsi" w:cstheme="minorHAnsi"/>
            <w:sz w:val="20"/>
            <w:szCs w:val="20"/>
          </w:rPr>
          <w:t>Estimating direct N</w:t>
        </w:r>
        <w:r w:rsidRPr="001D5327">
          <w:rPr>
            <w:rStyle w:val="Hyperlink"/>
            <w:rFonts w:asciiTheme="minorHAnsi" w:hAnsiTheme="minorHAnsi" w:cstheme="minorHAnsi"/>
            <w:sz w:val="20"/>
            <w:szCs w:val="20"/>
            <w:vertAlign w:val="subscript"/>
          </w:rPr>
          <w:t>2</w:t>
        </w:r>
        <w:r w:rsidRPr="001D5327">
          <w:rPr>
            <w:rStyle w:val="Hyperlink"/>
            <w:rFonts w:asciiTheme="minorHAnsi" w:hAnsiTheme="minorHAnsi" w:cstheme="minorHAnsi"/>
            <w:sz w:val="20"/>
            <w:szCs w:val="20"/>
          </w:rPr>
          <w:t>O emissions from sheep, beef, and deer grazed pastures in New Zealand hill country: Accounting for</w:t>
        </w:r>
        <w:r w:rsidR="00A7626A" w:rsidRPr="001D5327">
          <w:rPr>
            <w:rStyle w:val="Hyperlink"/>
            <w:rFonts w:asciiTheme="minorHAnsi" w:hAnsiTheme="minorHAnsi" w:cstheme="minorHAnsi"/>
            <w:sz w:val="20"/>
            <w:szCs w:val="20"/>
          </w:rPr>
          <w:t> </w:t>
        </w:r>
        <w:r w:rsidRPr="001D5327">
          <w:rPr>
            <w:rStyle w:val="Hyperlink"/>
            <w:rFonts w:asciiTheme="minorHAnsi" w:hAnsiTheme="minorHAnsi" w:cstheme="minorHAnsi"/>
            <w:sz w:val="20"/>
            <w:szCs w:val="20"/>
          </w:rPr>
          <w:t>the effect of land slope on the N</w:t>
        </w:r>
        <w:r w:rsidRPr="001D5327">
          <w:rPr>
            <w:rStyle w:val="Hyperlink"/>
            <w:rFonts w:asciiTheme="minorHAnsi" w:hAnsiTheme="minorHAnsi" w:cstheme="minorHAnsi"/>
            <w:sz w:val="20"/>
            <w:szCs w:val="20"/>
            <w:vertAlign w:val="subscript"/>
          </w:rPr>
          <w:t>2</w:t>
        </w:r>
        <w:r w:rsidRPr="001D5327">
          <w:rPr>
            <w:rStyle w:val="Hyperlink"/>
            <w:rFonts w:asciiTheme="minorHAnsi" w:hAnsiTheme="minorHAnsi" w:cstheme="minorHAnsi"/>
            <w:sz w:val="20"/>
            <w:szCs w:val="20"/>
          </w:rPr>
          <w:t>O emission factors from urine and dung</w:t>
        </w:r>
      </w:hyperlink>
      <w:r w:rsidRPr="001D5327">
        <w:rPr>
          <w:rFonts w:asciiTheme="minorHAnsi" w:hAnsiTheme="minorHAnsi" w:cstheme="minorHAnsi"/>
          <w:sz w:val="20"/>
          <w:szCs w:val="20"/>
        </w:rPr>
        <w:t xml:space="preserve">. </w:t>
      </w:r>
      <w:r w:rsidRPr="001D5327">
        <w:rPr>
          <w:rFonts w:asciiTheme="minorHAnsi" w:hAnsiTheme="minorHAnsi" w:cstheme="minorHAnsi"/>
          <w:i/>
          <w:sz w:val="20"/>
          <w:szCs w:val="20"/>
        </w:rPr>
        <w:t>Agriculture Ecosystems &amp;</w:t>
      </w:r>
      <w:r w:rsidR="00A7626A" w:rsidRPr="001D5327">
        <w:rPr>
          <w:rFonts w:asciiTheme="minorHAnsi" w:hAnsiTheme="minorHAnsi" w:cstheme="minorHAnsi"/>
          <w:i/>
          <w:sz w:val="20"/>
          <w:szCs w:val="20"/>
        </w:rPr>
        <w:t> </w:t>
      </w:r>
      <w:r w:rsidRPr="001D5327">
        <w:rPr>
          <w:rFonts w:asciiTheme="minorHAnsi" w:hAnsiTheme="minorHAnsi" w:cstheme="minorHAnsi"/>
          <w:i/>
          <w:sz w:val="20"/>
          <w:szCs w:val="20"/>
        </w:rPr>
        <w:t>Environment</w:t>
      </w:r>
      <w:r w:rsidRPr="001D5327">
        <w:rPr>
          <w:rFonts w:asciiTheme="minorHAnsi" w:hAnsiTheme="minorHAnsi" w:cstheme="minorHAnsi"/>
          <w:sz w:val="20"/>
          <w:szCs w:val="20"/>
        </w:rPr>
        <w:t xml:space="preserve"> 205: 70–78.</w:t>
      </w:r>
    </w:p>
    <w:p w14:paraId="146BB181"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Saggar S, Singh J, Giltrap DL, Zaman M, Luo J, Rollo M, Kim D-G, Rys G, van der Weerden TJ. 2013. Quantification of reductions in ammonia emissions from fertiliser urea and animal urine in grazed pastures with urease inhibitors for Agriculture inventory: New Zealand as a case study. </w:t>
      </w:r>
      <w:r w:rsidRPr="001D5327">
        <w:rPr>
          <w:rFonts w:asciiTheme="minorHAnsi" w:hAnsiTheme="minorHAnsi" w:cstheme="minorHAnsi"/>
          <w:i/>
          <w:szCs w:val="20"/>
        </w:rPr>
        <w:t>Science of the Total Environment</w:t>
      </w:r>
      <w:r w:rsidRPr="001D5327">
        <w:rPr>
          <w:rFonts w:asciiTheme="minorHAnsi" w:hAnsiTheme="minorHAnsi" w:cstheme="minorHAnsi"/>
          <w:szCs w:val="20"/>
        </w:rPr>
        <w:t xml:space="preserve"> 465: 136–146.</w:t>
      </w:r>
    </w:p>
    <w:p w14:paraId="028568F9" w14:textId="3F65EAD7" w:rsidR="00590FE1" w:rsidRPr="001D5327" w:rsidRDefault="00590FE1" w:rsidP="00590FE1">
      <w:pPr>
        <w:pStyle w:val="References"/>
        <w:rPr>
          <w:rFonts w:asciiTheme="minorHAnsi" w:hAnsiTheme="minorHAnsi" w:cstheme="minorHAnsi"/>
          <w:szCs w:val="20"/>
        </w:rPr>
      </w:pPr>
      <w:r w:rsidRPr="00682136">
        <w:rPr>
          <w:rFonts w:asciiTheme="minorHAnsi" w:hAnsiTheme="minorHAnsi" w:cstheme="minorHAnsi"/>
          <w:szCs w:val="20"/>
        </w:rPr>
        <w:t>Sangster C. 202</w:t>
      </w:r>
      <w:r w:rsidR="005975EA">
        <w:rPr>
          <w:rFonts w:asciiTheme="minorHAnsi" w:hAnsiTheme="minorHAnsi" w:cstheme="minorHAnsi"/>
          <w:szCs w:val="20"/>
        </w:rPr>
        <w:t>3</w:t>
      </w:r>
      <w:r w:rsidRPr="00682136">
        <w:rPr>
          <w:rFonts w:asciiTheme="minorHAnsi" w:hAnsiTheme="minorHAnsi" w:cstheme="minorHAnsi"/>
          <w:szCs w:val="20"/>
        </w:rPr>
        <w:t xml:space="preserve">. </w:t>
      </w:r>
      <w:hyperlink r:id="rId173" w:history="1">
        <w:r w:rsidRPr="00682136">
          <w:rPr>
            <w:rStyle w:val="Hyperlink"/>
            <w:rFonts w:asciiTheme="minorHAnsi" w:hAnsiTheme="minorHAnsi" w:cstheme="minorHAnsi"/>
            <w:i/>
            <w:iCs/>
            <w:szCs w:val="20"/>
          </w:rPr>
          <w:t>Seasonality of Wool Growth in AIM</w:t>
        </w:r>
      </w:hyperlink>
      <w:r w:rsidRPr="00682136">
        <w:rPr>
          <w:rFonts w:asciiTheme="minorHAnsi" w:hAnsiTheme="minorHAnsi" w:cstheme="minorHAnsi"/>
          <w:szCs w:val="20"/>
        </w:rPr>
        <w:t>. MPI Technical Report. Wellington: Ministry for Primary Industries.</w:t>
      </w:r>
      <w:r w:rsidRPr="001D5327">
        <w:rPr>
          <w:rFonts w:asciiTheme="minorHAnsi" w:hAnsiTheme="minorHAnsi" w:cstheme="minorHAnsi"/>
          <w:szCs w:val="20"/>
        </w:rPr>
        <w:t xml:space="preserve"> </w:t>
      </w:r>
    </w:p>
    <w:p w14:paraId="5318DA65" w14:textId="77777777" w:rsidR="00590FE1" w:rsidRPr="001D5327" w:rsidRDefault="00590FE1" w:rsidP="00590FE1">
      <w:pPr>
        <w:pStyle w:val="References"/>
        <w:rPr>
          <w:rFonts w:asciiTheme="minorHAnsi" w:hAnsiTheme="minorHAnsi" w:cstheme="minorHAnsi"/>
          <w:szCs w:val="20"/>
        </w:rPr>
      </w:pPr>
      <w:bookmarkStart w:id="1542" w:name="_Hlk187670865"/>
      <w:r w:rsidRPr="001D5327">
        <w:rPr>
          <w:rFonts w:asciiTheme="minorHAnsi" w:hAnsiTheme="minorHAnsi" w:cstheme="minorHAnsi"/>
          <w:szCs w:val="20"/>
        </w:rPr>
        <w:t>Sherlock RR, de Klein C, Li Z. Unpublished. Determination of N</w:t>
      </w:r>
      <w:r w:rsidRPr="001D5327">
        <w:rPr>
          <w:rFonts w:asciiTheme="minorHAnsi" w:hAnsiTheme="minorHAnsi" w:cstheme="minorHAnsi"/>
          <w:szCs w:val="20"/>
          <w:vertAlign w:val="subscript"/>
        </w:rPr>
        <w:t>2</w:t>
      </w:r>
      <w:r w:rsidRPr="001D5327">
        <w:rPr>
          <w:rFonts w:asciiTheme="minorHAnsi" w:hAnsiTheme="minorHAnsi" w:cstheme="minorHAnsi"/>
          <w:szCs w:val="20"/>
        </w:rPr>
        <w:t>O and CH</w:t>
      </w:r>
      <w:r w:rsidRPr="001D5327">
        <w:rPr>
          <w:rFonts w:asciiTheme="minorHAnsi" w:hAnsiTheme="minorHAnsi" w:cstheme="minorHAnsi"/>
          <w:szCs w:val="20"/>
          <w:vertAlign w:val="subscript"/>
        </w:rPr>
        <w:t>4</w:t>
      </w:r>
      <w:r w:rsidRPr="001D5327">
        <w:rPr>
          <w:rFonts w:asciiTheme="minorHAnsi" w:hAnsiTheme="minorHAnsi" w:cstheme="minorHAnsi"/>
          <w:szCs w:val="20"/>
        </w:rPr>
        <w:t xml:space="preserve"> Emission Factors from Animal Excreta, following a Summer Application in Three Regions of New Zealand. A final report of an NzOnet study prepared for the Ministry of Agriculture and Forestry by Landcare Research, AgResearch and Lincoln University in 2003.</w:t>
      </w:r>
    </w:p>
    <w:bookmarkEnd w:id="1542"/>
    <w:p w14:paraId="7B7F2889"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pacing w:val="-2"/>
          <w:szCs w:val="20"/>
        </w:rPr>
        <w:t xml:space="preserve">Sherlock RR, Jewell P, Clough T. 2008. </w:t>
      </w:r>
      <w:hyperlink r:id="rId174" w:history="1">
        <w:r w:rsidRPr="001D5327">
          <w:rPr>
            <w:rStyle w:val="Hyperlink"/>
            <w:rFonts w:asciiTheme="minorHAnsi" w:hAnsiTheme="minorHAnsi" w:cstheme="minorHAnsi"/>
            <w:i/>
            <w:spacing w:val="-2"/>
            <w:szCs w:val="20"/>
          </w:rPr>
          <w:t>Review of New Zealand Specific Frac</w:t>
        </w:r>
        <w:r w:rsidRPr="001D5327">
          <w:rPr>
            <w:rStyle w:val="Hyperlink"/>
            <w:rFonts w:asciiTheme="minorHAnsi" w:hAnsiTheme="minorHAnsi" w:cstheme="minorHAnsi"/>
            <w:i/>
            <w:spacing w:val="-2"/>
            <w:szCs w:val="20"/>
            <w:vertAlign w:val="subscript"/>
          </w:rPr>
          <w:t>GASM</w:t>
        </w:r>
        <w:r w:rsidRPr="001D5327">
          <w:rPr>
            <w:rStyle w:val="Hyperlink"/>
            <w:rFonts w:asciiTheme="minorHAnsi" w:hAnsiTheme="minorHAnsi" w:cstheme="minorHAnsi"/>
            <w:i/>
            <w:spacing w:val="-2"/>
            <w:szCs w:val="20"/>
          </w:rPr>
          <w:t xml:space="preserve"> and Frac</w:t>
        </w:r>
        <w:r w:rsidRPr="001D5327">
          <w:rPr>
            <w:rStyle w:val="Hyperlink"/>
            <w:rFonts w:asciiTheme="minorHAnsi" w:hAnsiTheme="minorHAnsi" w:cstheme="minorHAnsi"/>
            <w:i/>
            <w:spacing w:val="-2"/>
            <w:szCs w:val="20"/>
            <w:vertAlign w:val="subscript"/>
          </w:rPr>
          <w:t>GASF</w:t>
        </w:r>
        <w:r w:rsidRPr="001D5327">
          <w:rPr>
            <w:rStyle w:val="Hyperlink"/>
            <w:rFonts w:asciiTheme="minorHAnsi" w:hAnsiTheme="minorHAnsi" w:cstheme="minorHAnsi"/>
            <w:i/>
            <w:spacing w:val="-2"/>
            <w:szCs w:val="20"/>
          </w:rPr>
          <w:t xml:space="preserve"> Emissions</w:t>
        </w:r>
        <w:r w:rsidRPr="001D5327">
          <w:rPr>
            <w:rStyle w:val="Hyperlink"/>
            <w:rFonts w:asciiTheme="minorHAnsi" w:hAnsiTheme="minorHAnsi" w:cstheme="minorHAnsi"/>
            <w:i/>
            <w:szCs w:val="20"/>
          </w:rPr>
          <w:t xml:space="preserve"> Factors</w:t>
        </w:r>
      </w:hyperlink>
      <w:r w:rsidRPr="001D5327">
        <w:rPr>
          <w:rFonts w:asciiTheme="minorHAnsi" w:hAnsiTheme="minorHAnsi" w:cstheme="minorHAnsi"/>
          <w:szCs w:val="20"/>
        </w:rPr>
        <w:t>. Report prepared for the Ministry of Agriculture and Forestry by Landcare Research and AgResearch. Wellington: Ministry of Agriculture and Forestry.</w:t>
      </w:r>
    </w:p>
    <w:p w14:paraId="58430A6D" w14:textId="559EE455" w:rsidR="00590FE1" w:rsidRPr="001D5327" w:rsidRDefault="00590FE1" w:rsidP="00590FE1">
      <w:pPr>
        <w:pStyle w:val="References"/>
        <w:rPr>
          <w:rFonts w:asciiTheme="minorHAnsi" w:hAnsiTheme="minorHAnsi" w:cstheme="minorHAnsi"/>
          <w:szCs w:val="20"/>
        </w:rPr>
      </w:pPr>
      <w:r w:rsidRPr="00851374">
        <w:rPr>
          <w:rFonts w:asciiTheme="minorHAnsi" w:hAnsiTheme="minorHAnsi" w:cstheme="minorHAnsi"/>
          <w:szCs w:val="20"/>
        </w:rPr>
        <w:t xml:space="preserve">Sise J. 2023. </w:t>
      </w:r>
      <w:hyperlink r:id="rId175" w:history="1">
        <w:r w:rsidRPr="00851374">
          <w:rPr>
            <w:rStyle w:val="Hyperlink"/>
            <w:rFonts w:asciiTheme="minorHAnsi" w:hAnsiTheme="minorHAnsi" w:cstheme="minorHAnsi"/>
            <w:i/>
            <w:iCs/>
            <w:szCs w:val="20"/>
          </w:rPr>
          <w:t>Minor animal categories</w:t>
        </w:r>
      </w:hyperlink>
      <w:r w:rsidRPr="00851374">
        <w:rPr>
          <w:rFonts w:asciiTheme="minorHAnsi" w:hAnsiTheme="minorHAnsi" w:cstheme="minorHAnsi"/>
          <w:i/>
          <w:iCs/>
          <w:szCs w:val="20"/>
        </w:rPr>
        <w:t>.</w:t>
      </w:r>
      <w:r w:rsidRPr="00851374">
        <w:rPr>
          <w:rFonts w:asciiTheme="minorHAnsi" w:hAnsiTheme="minorHAnsi" w:cstheme="minorHAnsi"/>
          <w:szCs w:val="20"/>
        </w:rPr>
        <w:t xml:space="preserve"> Report prepared for the Ministry for Primary Industries by AbacusBio. Wellington: Ministry for Primary Industries.</w:t>
      </w:r>
    </w:p>
    <w:p w14:paraId="1EF3DEC7"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pacing w:val="-2"/>
          <w:szCs w:val="20"/>
        </w:rPr>
        <w:t xml:space="preserve">Stats NZ. 2021. </w:t>
      </w:r>
      <w:hyperlink r:id="rId176" w:history="1">
        <w:r w:rsidRPr="001D5327">
          <w:rPr>
            <w:rStyle w:val="Hyperlink"/>
            <w:rFonts w:asciiTheme="minorHAnsi" w:hAnsiTheme="minorHAnsi" w:cstheme="minorHAnsi"/>
            <w:i/>
            <w:spacing w:val="-2"/>
            <w:szCs w:val="20"/>
          </w:rPr>
          <w:t>Fertilisers – nitrogen and phosphorus</w:t>
        </w:r>
      </w:hyperlink>
      <w:r w:rsidRPr="001D5327">
        <w:rPr>
          <w:rFonts w:asciiTheme="minorHAnsi" w:hAnsiTheme="minorHAnsi" w:cstheme="minorHAnsi"/>
          <w:spacing w:val="-2"/>
          <w:szCs w:val="20"/>
        </w:rPr>
        <w:t>. Retrieved 12 January 2024</w:t>
      </w:r>
      <w:r w:rsidRPr="001D5327">
        <w:rPr>
          <w:rFonts w:asciiTheme="minorHAnsi" w:hAnsiTheme="minorHAnsi" w:cstheme="minorHAnsi"/>
          <w:szCs w:val="20"/>
        </w:rPr>
        <w:t>.</w:t>
      </w:r>
    </w:p>
    <w:p w14:paraId="0CB63058"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Stats NZ. 2024. </w:t>
      </w:r>
      <w:hyperlink r:id="rId177" w:history="1">
        <w:r w:rsidRPr="001D5327">
          <w:rPr>
            <w:rStyle w:val="Hyperlink"/>
            <w:rFonts w:asciiTheme="minorHAnsi" w:hAnsiTheme="minorHAnsi" w:cstheme="minorHAnsi"/>
            <w:i/>
            <w:szCs w:val="20"/>
          </w:rPr>
          <w:t>Agricultural production statistics: Year to June 2023 (final)</w:t>
        </w:r>
      </w:hyperlink>
      <w:r w:rsidRPr="001D5327">
        <w:rPr>
          <w:rFonts w:asciiTheme="minorHAnsi" w:hAnsiTheme="minorHAnsi" w:cstheme="minorHAnsi"/>
          <w:szCs w:val="20"/>
        </w:rPr>
        <w:t>. Retrieved 2 December 2024.</w:t>
      </w:r>
    </w:p>
    <w:p w14:paraId="44694E59"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Stevens D, Rollo M, Vibart R, Chrystal J, Speirs B, Davison R, Burtt A. 2022. </w:t>
      </w:r>
      <w:hyperlink r:id="rId178" w:history="1">
        <w:r w:rsidRPr="001D5327">
          <w:rPr>
            <w:rStyle w:val="Hyperlink"/>
            <w:rFonts w:asciiTheme="minorHAnsi" w:hAnsiTheme="minorHAnsi" w:cstheme="minorHAnsi"/>
            <w:i/>
            <w:szCs w:val="20"/>
          </w:rPr>
          <w:t>Sheep and Cattle Birth and Slaughter Dates</w:t>
        </w:r>
      </w:hyperlink>
      <w:r w:rsidRPr="001D5327">
        <w:rPr>
          <w:rFonts w:asciiTheme="minorHAnsi" w:hAnsiTheme="minorHAnsi" w:cstheme="minorHAnsi"/>
          <w:szCs w:val="20"/>
        </w:rPr>
        <w:t xml:space="preserve">. Final report prepared for the Ministry for Primary Industries. Wellington: Ministry for Primary Industries. </w:t>
      </w:r>
    </w:p>
    <w:p w14:paraId="16EF96E2" w14:textId="2EE83D7C" w:rsidR="00590FE1" w:rsidRPr="001D5327" w:rsidRDefault="00590FE1" w:rsidP="00590FE1">
      <w:pPr>
        <w:pStyle w:val="References"/>
        <w:rPr>
          <w:rFonts w:asciiTheme="minorHAnsi" w:hAnsiTheme="minorHAnsi" w:cstheme="minorHAnsi"/>
          <w:szCs w:val="20"/>
        </w:rPr>
      </w:pPr>
      <w:r w:rsidRPr="0062281F">
        <w:rPr>
          <w:rFonts w:asciiTheme="minorHAnsi" w:hAnsiTheme="minorHAnsi" w:cstheme="minorHAnsi"/>
          <w:szCs w:val="20"/>
        </w:rPr>
        <w:t xml:space="preserve">Stevens D, Ward J. 2023. </w:t>
      </w:r>
      <w:hyperlink r:id="rId179" w:history="1">
        <w:r w:rsidRPr="0062281F">
          <w:rPr>
            <w:rStyle w:val="Hyperlink"/>
            <w:rFonts w:asciiTheme="minorHAnsi" w:hAnsiTheme="minorHAnsi" w:cstheme="minorHAnsi"/>
            <w:i/>
            <w:iCs/>
            <w:szCs w:val="20"/>
          </w:rPr>
          <w:t>Splitting Emissions Intensity Values between Venison and Velvet Antler in the Deer Industry</w:t>
        </w:r>
      </w:hyperlink>
      <w:r w:rsidRPr="0062281F">
        <w:rPr>
          <w:rFonts w:asciiTheme="minorHAnsi" w:hAnsiTheme="minorHAnsi" w:cstheme="minorHAnsi"/>
          <w:szCs w:val="20"/>
        </w:rPr>
        <w:t>. Report prepared for the Ministry for Primary Industries by AgResearch. Wellington: Ministry for Primary Industries.</w:t>
      </w:r>
    </w:p>
    <w:p w14:paraId="007C1AD2"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Suttie J. 2012. </w:t>
      </w:r>
      <w:hyperlink r:id="rId180" w:history="1">
        <w:r w:rsidRPr="001D5327">
          <w:rPr>
            <w:rStyle w:val="Hyperlink"/>
            <w:rFonts w:asciiTheme="minorHAnsi" w:hAnsiTheme="minorHAnsi" w:cstheme="minorHAnsi"/>
            <w:i/>
            <w:szCs w:val="20"/>
          </w:rPr>
          <w:t>Report to the Deer Industry New Zealand: Estimation of Deer Population and Productivity Data 1990 to 2012</w:t>
        </w:r>
      </w:hyperlink>
      <w:r w:rsidRPr="001D5327">
        <w:rPr>
          <w:rFonts w:asciiTheme="minorHAnsi" w:hAnsiTheme="minorHAnsi" w:cstheme="minorHAnsi"/>
          <w:szCs w:val="20"/>
        </w:rPr>
        <w:t xml:space="preserve">. Dunedin: Suttie Consulting Limited. </w:t>
      </w:r>
    </w:p>
    <w:p w14:paraId="341D9F0A"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lastRenderedPageBreak/>
        <w:t xml:space="preserve">Swainson N, Muetzel S, Clark H. 2016. </w:t>
      </w:r>
      <w:hyperlink r:id="rId181" w:history="1">
        <w:r w:rsidRPr="001D5327">
          <w:rPr>
            <w:rStyle w:val="Hyperlink"/>
            <w:rFonts w:asciiTheme="minorHAnsi" w:hAnsiTheme="minorHAnsi" w:cstheme="minorHAnsi"/>
            <w:szCs w:val="20"/>
          </w:rPr>
          <w:t>Updated predictions of enteric methane emissions from sheep suitable for use in the New Zealand national greenhouse gas inventory</w:t>
        </w:r>
      </w:hyperlink>
      <w:r w:rsidRPr="001D5327">
        <w:rPr>
          <w:rFonts w:asciiTheme="minorHAnsi" w:hAnsiTheme="minorHAnsi" w:cstheme="minorHAnsi"/>
          <w:szCs w:val="20"/>
        </w:rPr>
        <w:t xml:space="preserve">. </w:t>
      </w:r>
      <w:r w:rsidRPr="001D5327">
        <w:rPr>
          <w:rFonts w:asciiTheme="minorHAnsi" w:hAnsiTheme="minorHAnsi" w:cstheme="minorHAnsi"/>
          <w:i/>
          <w:szCs w:val="20"/>
        </w:rPr>
        <w:t>Animal Production Science</w:t>
      </w:r>
      <w:r w:rsidRPr="001D5327">
        <w:rPr>
          <w:rFonts w:asciiTheme="minorHAnsi" w:hAnsiTheme="minorHAnsi" w:cstheme="minorHAnsi"/>
          <w:szCs w:val="20"/>
        </w:rPr>
        <w:t xml:space="preserve"> 58: 973–979. </w:t>
      </w:r>
    </w:p>
    <w:p w14:paraId="6F6B17AD"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Thomas S, Hume E, Fraser T Curtin D. 2011. </w:t>
      </w:r>
      <w:hyperlink r:id="rId182" w:history="1">
        <w:r w:rsidRPr="001D5327">
          <w:rPr>
            <w:rStyle w:val="Hyperlink"/>
            <w:rFonts w:asciiTheme="minorHAnsi" w:hAnsiTheme="minorHAnsi" w:cstheme="minorHAnsi"/>
            <w:i/>
            <w:szCs w:val="20"/>
          </w:rPr>
          <w:t>Factors and Activity Data to Estimate Nitrous Oxide Emissions from Cropping Systems, and Stubble and Tussock Burning</w:t>
        </w:r>
      </w:hyperlink>
      <w:r w:rsidRPr="001D5327">
        <w:rPr>
          <w:rFonts w:asciiTheme="minorHAnsi" w:hAnsiTheme="minorHAnsi" w:cstheme="minorHAnsi"/>
          <w:szCs w:val="20"/>
        </w:rPr>
        <w:t xml:space="preserve">. Report prepared for the Ministry of Agriculture and Forestry by Plant and Food Research (formerly Crop and Food Research). Wellington: Ministry of Agriculture and Forestry. </w:t>
      </w:r>
    </w:p>
    <w:p w14:paraId="7A783367"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Thomas S, Wallace D, Beare M. 2014. </w:t>
      </w:r>
      <w:hyperlink r:id="rId183" w:history="1">
        <w:r w:rsidRPr="001D5327">
          <w:rPr>
            <w:rStyle w:val="Hyperlink"/>
            <w:rFonts w:asciiTheme="minorHAnsi" w:hAnsiTheme="minorHAnsi" w:cstheme="minorHAnsi"/>
            <w:i/>
            <w:szCs w:val="20"/>
          </w:rPr>
          <w:t>Pasture Renewal Activity Data and Factors for New Zealand</w:t>
        </w:r>
      </w:hyperlink>
      <w:r w:rsidRPr="001D5327">
        <w:rPr>
          <w:rFonts w:asciiTheme="minorHAnsi" w:hAnsiTheme="minorHAnsi" w:cstheme="minorHAnsi"/>
          <w:szCs w:val="20"/>
        </w:rPr>
        <w:t>. Report prepared for the Ministry for Primary Industries by Plant and Food Research. Wellington: Ministry for Primary Industries.</w:t>
      </w:r>
    </w:p>
    <w:p w14:paraId="7059000F"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Thomas SM, Fraser T, Curtin D, Brown H, Lawrence E. 2008. </w:t>
      </w:r>
      <w:hyperlink r:id="rId184" w:history="1">
        <w:r w:rsidRPr="001D5327">
          <w:rPr>
            <w:rStyle w:val="Hyperlink"/>
            <w:rFonts w:asciiTheme="minorHAnsi" w:hAnsiTheme="minorHAnsi" w:cstheme="minorHAnsi"/>
            <w:i/>
            <w:szCs w:val="20"/>
          </w:rPr>
          <w:t>Review of Nitrous Oxide Emission Factors and Activity Data for Crops</w:t>
        </w:r>
      </w:hyperlink>
      <w:r w:rsidRPr="001D5327">
        <w:rPr>
          <w:rFonts w:asciiTheme="minorHAnsi" w:hAnsiTheme="minorHAnsi" w:cstheme="minorHAnsi"/>
          <w:szCs w:val="20"/>
        </w:rPr>
        <w:t>. Report prepared for the Ministry of Agriculture and Forestry by Plant and Food Research. Wellington: Ministry of Agriculture and Forestry.</w:t>
      </w:r>
    </w:p>
    <w:p w14:paraId="21643337"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Thomas SM, Ledgard SF, Francis GS. 2005. </w:t>
      </w:r>
      <w:hyperlink r:id="rId185" w:history="1">
        <w:r w:rsidRPr="001D5327">
          <w:rPr>
            <w:rStyle w:val="Hyperlink"/>
            <w:rFonts w:asciiTheme="minorHAnsi" w:hAnsiTheme="minorHAnsi" w:cstheme="minorHAnsi"/>
            <w:szCs w:val="20"/>
          </w:rPr>
          <w:t>Improving estimates of nitrate leaching for quantifying New Zealand’s indirect nitrous oxide emissions.</w:t>
        </w:r>
      </w:hyperlink>
      <w:r w:rsidRPr="001D5327">
        <w:rPr>
          <w:rFonts w:asciiTheme="minorHAnsi" w:hAnsiTheme="minorHAnsi" w:cstheme="minorHAnsi"/>
          <w:szCs w:val="20"/>
        </w:rPr>
        <w:t xml:space="preserve"> </w:t>
      </w:r>
      <w:r w:rsidRPr="001D5327">
        <w:rPr>
          <w:rFonts w:asciiTheme="minorHAnsi" w:hAnsiTheme="minorHAnsi" w:cstheme="minorHAnsi"/>
          <w:i/>
          <w:szCs w:val="20"/>
        </w:rPr>
        <w:t>Nutrient Cycling in Agroecosystems</w:t>
      </w:r>
      <w:r w:rsidRPr="001D5327">
        <w:rPr>
          <w:rFonts w:asciiTheme="minorHAnsi" w:hAnsiTheme="minorHAnsi" w:cstheme="minorHAnsi"/>
          <w:szCs w:val="20"/>
        </w:rPr>
        <w:t xml:space="preserve"> 73: 213–226.</w:t>
      </w:r>
    </w:p>
    <w:p w14:paraId="1C0D90E3" w14:textId="77777777" w:rsidR="00590FE1" w:rsidRPr="001D5327" w:rsidRDefault="00590FE1" w:rsidP="00590FE1">
      <w:pPr>
        <w:pStyle w:val="References"/>
        <w:rPr>
          <w:rFonts w:asciiTheme="minorHAnsi" w:hAnsiTheme="minorHAnsi" w:cstheme="minorHAnsi"/>
          <w:szCs w:val="20"/>
        </w:rPr>
      </w:pPr>
      <w:bookmarkStart w:id="1543" w:name="_Hlk187670872"/>
      <w:r w:rsidRPr="001D5327">
        <w:rPr>
          <w:rFonts w:asciiTheme="minorHAnsi" w:hAnsiTheme="minorHAnsi" w:cstheme="minorHAnsi"/>
          <w:szCs w:val="20"/>
        </w:rPr>
        <w:t>Thomas T. Unpublished. Assessment of the Methodology of Potato Area and Yield Activity Estimations used in the NZ National GHG Inventory. Report prepared for the Ministry of Agriculture and Forestry by Plant and Food Research in 2010.</w:t>
      </w:r>
    </w:p>
    <w:bookmarkEnd w:id="1543"/>
    <w:p w14:paraId="4F7C0804"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Thomson BC, Muir PD, Davison R, Clark H. 2010. </w:t>
      </w:r>
      <w:hyperlink r:id="rId186" w:history="1">
        <w:r w:rsidRPr="001D5327">
          <w:rPr>
            <w:rStyle w:val="Hyperlink"/>
            <w:rFonts w:asciiTheme="minorHAnsi" w:hAnsiTheme="minorHAnsi" w:cstheme="minorHAnsi"/>
            <w:i/>
            <w:szCs w:val="20"/>
          </w:rPr>
          <w:t>Review of Population Models within the National Methane Inventory (2010)</w:t>
        </w:r>
      </w:hyperlink>
      <w:r w:rsidRPr="001D5327">
        <w:rPr>
          <w:rFonts w:asciiTheme="minorHAnsi" w:hAnsiTheme="minorHAnsi" w:cstheme="minorHAnsi"/>
          <w:szCs w:val="20"/>
        </w:rPr>
        <w:t>. Technical paper prepared for the Ministry of Agriculture and Forestry by On</w:t>
      </w:r>
      <w:r w:rsidRPr="001D5327">
        <w:rPr>
          <w:rFonts w:ascii="Cambria Math" w:hAnsi="Cambria Math" w:cs="Cambria Math"/>
          <w:szCs w:val="20"/>
        </w:rPr>
        <w:t>‑</w:t>
      </w:r>
      <w:r w:rsidRPr="001D5327">
        <w:rPr>
          <w:rFonts w:asciiTheme="minorHAnsi" w:hAnsiTheme="minorHAnsi" w:cstheme="minorHAnsi"/>
          <w:szCs w:val="20"/>
        </w:rPr>
        <w:t>Farm Research (with cooperation by Meat and Wool New Zealand and AgResearch Ltd). Wellington: Ministry of Agriculture and Forestry.</w:t>
      </w:r>
    </w:p>
    <w:p w14:paraId="644C5A17"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Thomson BC, Ward KR, Muir PD. 2021. </w:t>
      </w:r>
      <w:hyperlink r:id="rId187" w:history="1">
        <w:r w:rsidRPr="001D5327">
          <w:rPr>
            <w:rStyle w:val="Hyperlink"/>
            <w:rFonts w:asciiTheme="minorHAnsi" w:hAnsiTheme="minorHAnsi" w:cstheme="minorHAnsi"/>
            <w:i/>
            <w:szCs w:val="20"/>
          </w:rPr>
          <w:t>Purity of Agricultural Lime and Dolomite Used in New Zealand</w:t>
        </w:r>
      </w:hyperlink>
      <w:r w:rsidRPr="001D5327">
        <w:rPr>
          <w:rFonts w:asciiTheme="minorHAnsi" w:hAnsiTheme="minorHAnsi" w:cstheme="minorHAnsi"/>
          <w:szCs w:val="20"/>
        </w:rPr>
        <w:t>. Final report prepared for the Ministry for Primary Industries. Wellington: Ministry for Primary Industries.</w:t>
      </w:r>
    </w:p>
    <w:p w14:paraId="60291FFC"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Ulyatt MJ, Baker SK, McCrabb GJ, Lassey KR. 1999. Accuracy of the SF</w:t>
      </w:r>
      <w:r w:rsidRPr="001D5327">
        <w:rPr>
          <w:rFonts w:asciiTheme="minorHAnsi" w:hAnsiTheme="minorHAnsi" w:cstheme="minorHAnsi"/>
          <w:szCs w:val="20"/>
          <w:vertAlign w:val="subscript"/>
        </w:rPr>
        <w:t>6</w:t>
      </w:r>
      <w:r w:rsidRPr="001D5327">
        <w:rPr>
          <w:rFonts w:asciiTheme="minorHAnsi" w:hAnsiTheme="minorHAnsi" w:cstheme="minorHAnsi"/>
          <w:szCs w:val="20"/>
        </w:rPr>
        <w:t xml:space="preserve"> tracer technology and alternatives for field measurements. </w:t>
      </w:r>
      <w:r w:rsidRPr="001D5327">
        <w:rPr>
          <w:rFonts w:asciiTheme="minorHAnsi" w:hAnsiTheme="minorHAnsi" w:cstheme="minorHAnsi"/>
          <w:i/>
          <w:szCs w:val="20"/>
        </w:rPr>
        <w:t>Australian Journal of Agricultural Research</w:t>
      </w:r>
      <w:r w:rsidRPr="001D5327">
        <w:rPr>
          <w:rFonts w:asciiTheme="minorHAnsi" w:hAnsiTheme="minorHAnsi" w:cstheme="minorHAnsi"/>
          <w:szCs w:val="20"/>
        </w:rPr>
        <w:t xml:space="preserve"> 50: 1329–1334.</w:t>
      </w:r>
    </w:p>
    <w:p w14:paraId="24BCFB83" w14:textId="77777777" w:rsidR="00590FE1" w:rsidRPr="001D5327" w:rsidRDefault="00590FE1" w:rsidP="00590FE1">
      <w:pPr>
        <w:pStyle w:val="References"/>
        <w:rPr>
          <w:rFonts w:asciiTheme="minorHAnsi" w:hAnsiTheme="minorHAnsi" w:cstheme="minorHAnsi"/>
          <w:szCs w:val="20"/>
        </w:rPr>
      </w:pPr>
      <w:bookmarkStart w:id="1544" w:name="_Hlk187834945"/>
      <w:r w:rsidRPr="001D5327">
        <w:rPr>
          <w:rFonts w:asciiTheme="minorHAnsi" w:hAnsiTheme="minorHAnsi" w:cstheme="minorHAnsi"/>
          <w:szCs w:val="20"/>
        </w:rPr>
        <w:t xml:space="preserve">van der Weerden A, de Klein C, Kelliher F, Rollo M. 2014. </w:t>
      </w:r>
      <w:r w:rsidRPr="001D5327">
        <w:rPr>
          <w:rFonts w:asciiTheme="minorHAnsi" w:hAnsiTheme="minorHAnsi" w:cstheme="minorHAnsi"/>
          <w:i/>
          <w:szCs w:val="20"/>
        </w:rPr>
        <w:t>Reporting to 2006 IPCC Guidelines for N</w:t>
      </w:r>
      <w:r w:rsidRPr="001D5327">
        <w:rPr>
          <w:rFonts w:asciiTheme="minorHAnsi" w:hAnsiTheme="minorHAnsi" w:cstheme="minorHAnsi"/>
          <w:i/>
          <w:szCs w:val="20"/>
          <w:vertAlign w:val="subscript"/>
        </w:rPr>
        <w:t>2</w:t>
      </w:r>
      <w:r w:rsidRPr="001D5327">
        <w:rPr>
          <w:rFonts w:asciiTheme="minorHAnsi" w:hAnsiTheme="minorHAnsi" w:cstheme="minorHAnsi"/>
          <w:i/>
          <w:szCs w:val="20"/>
        </w:rPr>
        <w:t>O Emissions from Additional Sources of Organic N: Final Report</w:t>
      </w:r>
      <w:r w:rsidRPr="001D5327">
        <w:rPr>
          <w:rFonts w:asciiTheme="minorHAnsi" w:hAnsiTheme="minorHAnsi" w:cstheme="minorHAnsi"/>
          <w:szCs w:val="20"/>
        </w:rPr>
        <w:t>. MPI Technical Report. Wellington: Ministry for Primary Industries.</w:t>
      </w:r>
    </w:p>
    <w:bookmarkEnd w:id="1544"/>
    <w:p w14:paraId="010998D3"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van der Weerden T, Cox N, Luo J, Di HJ, Podolyan A, Phillips RL, Saggar S, de Klein CAM, Ettema P, Rys G. 2016a. Refining the New Zealand nitrous oxide emission factor for urea fertiliser and farm dairy effluent. </w:t>
      </w:r>
      <w:r w:rsidRPr="001D5327">
        <w:rPr>
          <w:rFonts w:asciiTheme="minorHAnsi" w:hAnsiTheme="minorHAnsi" w:cstheme="minorHAnsi"/>
          <w:i/>
          <w:szCs w:val="20"/>
        </w:rPr>
        <w:t>Agriculture Ecosystems &amp; Environment</w:t>
      </w:r>
      <w:r w:rsidRPr="001D5327">
        <w:rPr>
          <w:rFonts w:asciiTheme="minorHAnsi" w:hAnsiTheme="minorHAnsi" w:cstheme="minorHAnsi"/>
          <w:szCs w:val="20"/>
        </w:rPr>
        <w:t xml:space="preserve"> 222: 133–137.</w:t>
      </w:r>
    </w:p>
    <w:p w14:paraId="68388E06"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van der Weerden T, Luo J, Cox N, Di HJ, Podolyan A, Phillips RL, Saggar S, de Klein CA, Ettema P, Rys G. 2016b. Nitrous oxide emissions from urea fertiliser and effluent with and without inhibitors applied to pasture. </w:t>
      </w:r>
      <w:r w:rsidRPr="001D5327">
        <w:rPr>
          <w:rFonts w:asciiTheme="minorHAnsi" w:hAnsiTheme="minorHAnsi" w:cstheme="minorHAnsi"/>
          <w:i/>
          <w:szCs w:val="20"/>
        </w:rPr>
        <w:t>Agriculture Ecosystems &amp; Environment</w:t>
      </w:r>
      <w:r w:rsidRPr="001D5327">
        <w:rPr>
          <w:rFonts w:asciiTheme="minorHAnsi" w:hAnsiTheme="minorHAnsi" w:cstheme="minorHAnsi"/>
          <w:szCs w:val="20"/>
        </w:rPr>
        <w:t xml:space="preserve"> 219: 58–70.</w:t>
      </w:r>
    </w:p>
    <w:p w14:paraId="5CAD5EEF"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van der Weerden T, Noble A, Giltrap D, Luo S, Saggar S. 2019. </w:t>
      </w:r>
      <w:hyperlink r:id="rId188" w:history="1">
        <w:r w:rsidRPr="001D5327">
          <w:rPr>
            <w:rStyle w:val="Hyperlink"/>
            <w:rFonts w:asciiTheme="minorHAnsi" w:hAnsiTheme="minorHAnsi" w:cstheme="minorHAnsi"/>
            <w:i/>
            <w:szCs w:val="20"/>
          </w:rPr>
          <w:t>Meta-analysis of nitrous oxide emission factors for excreta deposited onto pasture: Final report</w:t>
        </w:r>
      </w:hyperlink>
      <w:r w:rsidRPr="001D5327">
        <w:rPr>
          <w:rFonts w:asciiTheme="minorHAnsi" w:hAnsiTheme="minorHAnsi" w:cstheme="minorHAnsi"/>
          <w:szCs w:val="20"/>
        </w:rPr>
        <w:t>. Report prepared for the Ministry for Primary Industries by AgResearch in 2019. Wellington: Ministry for Primary Industries.</w:t>
      </w:r>
    </w:p>
    <w:p w14:paraId="021FEB91"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van der Weerden TJ, Luo J, de Klein CA, Hoogendoorn CJ, Littlejohn RP, Rys GJ. 2011. </w:t>
      </w:r>
      <w:hyperlink r:id="rId189" w:history="1">
        <w:r w:rsidRPr="001D5327">
          <w:rPr>
            <w:rStyle w:val="Hyperlink"/>
            <w:rFonts w:asciiTheme="minorHAnsi" w:hAnsiTheme="minorHAnsi" w:cstheme="minorHAnsi"/>
            <w:szCs w:val="20"/>
          </w:rPr>
          <w:t>Disaggregating nitrous oxide emission factors for ruminant urine and dung deposited onto pastoral soils</w:t>
        </w:r>
      </w:hyperlink>
      <w:r w:rsidRPr="001D5327">
        <w:rPr>
          <w:rFonts w:asciiTheme="minorHAnsi" w:hAnsiTheme="minorHAnsi" w:cstheme="minorHAnsi"/>
          <w:szCs w:val="20"/>
        </w:rPr>
        <w:t xml:space="preserve">. </w:t>
      </w:r>
      <w:r w:rsidRPr="001D5327">
        <w:rPr>
          <w:rFonts w:asciiTheme="minorHAnsi" w:hAnsiTheme="minorHAnsi" w:cstheme="minorHAnsi"/>
          <w:i/>
          <w:szCs w:val="20"/>
        </w:rPr>
        <w:t>Agriculture Ecosystems &amp; Environment</w:t>
      </w:r>
      <w:r w:rsidRPr="001D5327">
        <w:rPr>
          <w:rFonts w:asciiTheme="minorHAnsi" w:hAnsiTheme="minorHAnsi" w:cstheme="minorHAnsi"/>
          <w:szCs w:val="20"/>
        </w:rPr>
        <w:t xml:space="preserve"> 141(3–4): 426–436.</w:t>
      </w:r>
    </w:p>
    <w:p w14:paraId="1D9CCD01"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van der Weerden TJ, Noble AN, Luo J, de Klein CAM, Saggar S, Giltrap D, Gibbs J, Rys G. 2020. </w:t>
      </w:r>
      <w:hyperlink r:id="rId190" w:history="1">
        <w:r w:rsidRPr="001D5327">
          <w:rPr>
            <w:rStyle w:val="Hyperlink"/>
            <w:rFonts w:asciiTheme="minorHAnsi" w:hAnsiTheme="minorHAnsi" w:cstheme="minorHAnsi"/>
            <w:szCs w:val="20"/>
          </w:rPr>
          <w:t>Meta-analysis of New Zealand’s nitrous oxide emission factors for ruminant excreta supports disaggregation based on excreta form, livestock type and slope class.</w:t>
        </w:r>
      </w:hyperlink>
      <w:r w:rsidRPr="001D5327">
        <w:rPr>
          <w:rFonts w:asciiTheme="minorHAnsi" w:hAnsiTheme="minorHAnsi" w:cstheme="minorHAnsi"/>
          <w:szCs w:val="20"/>
        </w:rPr>
        <w:t xml:space="preserve"> </w:t>
      </w:r>
      <w:r w:rsidRPr="001D5327">
        <w:rPr>
          <w:rFonts w:asciiTheme="minorHAnsi" w:hAnsiTheme="minorHAnsi" w:cstheme="minorHAnsi"/>
          <w:i/>
          <w:szCs w:val="20"/>
        </w:rPr>
        <w:t>Science of The Total Environment</w:t>
      </w:r>
      <w:r w:rsidRPr="001D5327">
        <w:rPr>
          <w:rFonts w:asciiTheme="minorHAnsi" w:hAnsiTheme="minorHAnsi" w:cstheme="minorHAnsi"/>
          <w:szCs w:val="20"/>
        </w:rPr>
        <w:t xml:space="preserve"> 732. </w:t>
      </w:r>
    </w:p>
    <w:p w14:paraId="2371631A" w14:textId="7A45C580" w:rsidR="00590FE1" w:rsidRPr="0006044E" w:rsidRDefault="00590FE1" w:rsidP="00590FE1">
      <w:pPr>
        <w:pStyle w:val="References"/>
        <w:rPr>
          <w:szCs w:val="20"/>
        </w:rPr>
      </w:pPr>
      <w:r w:rsidRPr="0006044E">
        <w:rPr>
          <w:szCs w:val="20"/>
        </w:rPr>
        <w:t xml:space="preserve">van der Weerden T, Rutherford A. 2024. </w:t>
      </w:r>
      <w:hyperlink r:id="rId191" w:history="1">
        <w:r w:rsidRPr="0006044E">
          <w:rPr>
            <w:rStyle w:val="Hyperlink"/>
            <w:i/>
            <w:iCs/>
            <w:szCs w:val="20"/>
          </w:rPr>
          <w:t>Nitrous oxide emissions from non-manure organic amendments to soils</w:t>
        </w:r>
      </w:hyperlink>
      <w:r w:rsidRPr="0006044E">
        <w:rPr>
          <w:szCs w:val="20"/>
        </w:rPr>
        <w:t xml:space="preserve">. Report prepared for the Ministry for Primary Industries by AgResearch. Wellington: Ministry for Primary Industries. </w:t>
      </w:r>
    </w:p>
    <w:p w14:paraId="4FF3AEB7" w14:textId="77777777" w:rsidR="00590FE1" w:rsidRPr="001D5327" w:rsidRDefault="00590FE1" w:rsidP="00590FE1">
      <w:pPr>
        <w:pStyle w:val="References"/>
        <w:rPr>
          <w:rFonts w:asciiTheme="minorHAnsi" w:hAnsiTheme="minorHAnsi" w:cstheme="minorHAnsi"/>
          <w:szCs w:val="20"/>
        </w:rPr>
      </w:pPr>
      <w:bookmarkStart w:id="1545" w:name="_Hlk187670883"/>
      <w:r w:rsidRPr="001D5327">
        <w:rPr>
          <w:rFonts w:asciiTheme="minorHAnsi" w:hAnsiTheme="minorHAnsi" w:cstheme="minorHAnsi"/>
          <w:szCs w:val="20"/>
        </w:rPr>
        <w:lastRenderedPageBreak/>
        <w:t>Waghorn G, Molano G, Cavanagh A. Unpublished(a). An Estimate of Whole Herd Methane Production from Cows at the Lincoln University Dairy Farm in October 2003. Final report prepared for Landcare Research NZ Ltd in 2003.</w:t>
      </w:r>
    </w:p>
    <w:p w14:paraId="52828D41"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Waghorn G, Molano G, Lassey K. Unpublished(b). Estimates of Whole Herd Methane Production from Cows at the Lincoln University Dairy Farm in January and March 2002. A preliminary report prepared for Landcare Research NZ Ltd in 2002.</w:t>
      </w:r>
    </w:p>
    <w:bookmarkEnd w:id="1545"/>
    <w:p w14:paraId="7571CA3B" w14:textId="77777777" w:rsidR="00590FE1" w:rsidRPr="001D5327" w:rsidRDefault="00590FE1" w:rsidP="00590FE1">
      <w:pPr>
        <w:pStyle w:val="References"/>
        <w:rPr>
          <w:rFonts w:asciiTheme="minorHAnsi" w:hAnsiTheme="minorHAnsi" w:cstheme="minorHAnsi"/>
          <w:szCs w:val="20"/>
        </w:rPr>
      </w:pPr>
      <w:r w:rsidRPr="001D5327">
        <w:rPr>
          <w:rFonts w:asciiTheme="minorHAnsi" w:hAnsiTheme="minorHAnsi" w:cstheme="minorHAnsi"/>
          <w:szCs w:val="20"/>
        </w:rPr>
        <w:t xml:space="preserve">Welten B, Mercer G, Smith C, Sprosen M, Ledgard S. 2021. </w:t>
      </w:r>
      <w:hyperlink r:id="rId192" w:history="1">
        <w:r w:rsidRPr="001D5327">
          <w:rPr>
            <w:rStyle w:val="Hyperlink"/>
            <w:rFonts w:asciiTheme="minorHAnsi" w:hAnsiTheme="minorHAnsi" w:cstheme="minorHAnsi"/>
            <w:i/>
            <w:szCs w:val="20"/>
          </w:rPr>
          <w:t>Refining estimates of nitrogen leaching for the New Zealand agricultural greenhouse gas inventory</w:t>
        </w:r>
      </w:hyperlink>
      <w:r w:rsidRPr="001D5327">
        <w:rPr>
          <w:rFonts w:asciiTheme="minorHAnsi" w:hAnsiTheme="minorHAnsi" w:cstheme="minorHAnsi"/>
          <w:szCs w:val="20"/>
        </w:rPr>
        <w:t xml:space="preserve">. Report prepared for the Ministry for Primary Industries. </w:t>
      </w:r>
    </w:p>
    <w:p w14:paraId="29682E8C" w14:textId="77777777" w:rsidR="00590FE1" w:rsidRPr="001D5327" w:rsidRDefault="00590FE1" w:rsidP="00590FE1">
      <w:pPr>
        <w:pStyle w:val="References"/>
        <w:rPr>
          <w:szCs w:val="20"/>
        </w:rPr>
      </w:pPr>
      <w:r w:rsidRPr="001D5327">
        <w:rPr>
          <w:rFonts w:asciiTheme="minorHAnsi" w:hAnsiTheme="minorHAnsi" w:cstheme="minorHAnsi"/>
          <w:szCs w:val="20"/>
        </w:rPr>
        <w:t xml:space="preserve">Wheeler DM, Ledgard SF, de Klein CAM, Monaghan PL, Carey PL, McDowell RW, Johns KL. 2003. OVERSEER® Nutrient budgets – moving towards on-farm resource accounting. In: </w:t>
      </w:r>
      <w:r w:rsidRPr="001D5327">
        <w:rPr>
          <w:rFonts w:asciiTheme="minorHAnsi" w:hAnsiTheme="minorHAnsi" w:cstheme="minorHAnsi"/>
          <w:i/>
          <w:szCs w:val="20"/>
        </w:rPr>
        <w:t>Proceedings of the New Zealand Grassland Association</w:t>
      </w:r>
      <w:r w:rsidRPr="001D5327">
        <w:rPr>
          <w:i/>
          <w:szCs w:val="20"/>
        </w:rPr>
        <w:t xml:space="preserve"> 2003</w:t>
      </w:r>
      <w:r w:rsidRPr="001D5327">
        <w:rPr>
          <w:szCs w:val="20"/>
        </w:rPr>
        <w:t>. Palmerston North: New Zealand Grassland Association Inc.</w:t>
      </w:r>
    </w:p>
    <w:p w14:paraId="1CCE871B" w14:textId="77777777" w:rsidR="00590FE1" w:rsidRPr="001D5327" w:rsidRDefault="00590FE1" w:rsidP="00590FE1">
      <w:pPr>
        <w:pStyle w:val="References"/>
        <w:rPr>
          <w:szCs w:val="20"/>
        </w:rPr>
      </w:pPr>
      <w:r w:rsidRPr="001D5327">
        <w:rPr>
          <w:rFonts w:cstheme="minorHAnsi"/>
          <w:szCs w:val="20"/>
        </w:rPr>
        <w:t xml:space="preserve">Woods J, Orwin DF. 1988. </w:t>
      </w:r>
      <w:hyperlink r:id="rId193" w:history="1">
        <w:r w:rsidRPr="001D5327">
          <w:rPr>
            <w:rStyle w:val="Hyperlink"/>
            <w:rFonts w:cstheme="minorHAnsi"/>
            <w:szCs w:val="20"/>
          </w:rPr>
          <w:t>Seasonal variations in the dimensions of individual Romney wool fibres determined by a rapid autoradiographic technique.</w:t>
        </w:r>
      </w:hyperlink>
      <w:r w:rsidRPr="001D5327">
        <w:rPr>
          <w:rFonts w:cstheme="minorHAnsi"/>
          <w:szCs w:val="20"/>
        </w:rPr>
        <w:t xml:space="preserve"> </w:t>
      </w:r>
      <w:r w:rsidRPr="001D5327">
        <w:rPr>
          <w:rFonts w:cstheme="minorHAnsi"/>
          <w:i/>
          <w:iCs/>
          <w:szCs w:val="20"/>
        </w:rPr>
        <w:t xml:space="preserve">New Zealand Journal of Agricultural </w:t>
      </w:r>
      <w:r w:rsidRPr="001D5327">
        <w:rPr>
          <w:rFonts w:cstheme="minorHAnsi"/>
          <w:szCs w:val="20"/>
        </w:rPr>
        <w:t>Research 31(3): 311–323.</w:t>
      </w:r>
    </w:p>
    <w:bookmarkEnd w:id="1539"/>
    <w:p w14:paraId="3A21CCE8" w14:textId="77777777" w:rsidR="00590FE1" w:rsidRPr="001D5327" w:rsidRDefault="00590FE1" w:rsidP="00590FE1">
      <w:pPr>
        <w:pStyle w:val="References"/>
        <w:rPr>
          <w:rFonts w:asciiTheme="minorHAnsi" w:hAnsiTheme="minorHAnsi" w:cstheme="minorHAnsi"/>
          <w:szCs w:val="20"/>
        </w:rPr>
      </w:pPr>
    </w:p>
    <w:p w14:paraId="3DBEBFAA" w14:textId="77777777" w:rsidR="00590FE1" w:rsidRPr="001D5327" w:rsidRDefault="00590FE1" w:rsidP="00590FE1">
      <w:pPr>
        <w:pStyle w:val="References"/>
        <w:rPr>
          <w:rFonts w:asciiTheme="minorHAnsi" w:hAnsiTheme="minorHAnsi" w:cstheme="minorHAnsi"/>
          <w:szCs w:val="20"/>
        </w:rPr>
      </w:pPr>
    </w:p>
    <w:p w14:paraId="282F7CFB" w14:textId="77777777" w:rsidR="008447D4" w:rsidRPr="001D5327" w:rsidRDefault="008447D4" w:rsidP="00737799"/>
    <w:p w14:paraId="3EAC1C44" w14:textId="77777777" w:rsidR="00590FE1" w:rsidRPr="001D5327" w:rsidRDefault="00590FE1" w:rsidP="00737799"/>
    <w:p w14:paraId="2935867F" w14:textId="77777777" w:rsidR="008447D4" w:rsidRPr="001D5327" w:rsidRDefault="008447D4" w:rsidP="00737799">
      <w:pPr>
        <w:sectPr w:rsidR="008447D4" w:rsidRPr="001D5327" w:rsidSect="003B16F1">
          <w:footerReference w:type="even" r:id="rId194"/>
          <w:pgSz w:w="11907" w:h="16840" w:code="9"/>
          <w:pgMar w:top="1418" w:right="1701" w:bottom="1418" w:left="1701" w:header="567" w:footer="567" w:gutter="0"/>
          <w:cols w:space="720"/>
        </w:sectPr>
      </w:pPr>
    </w:p>
    <w:p w14:paraId="7FF1519C" w14:textId="77777777" w:rsidR="00E0181F" w:rsidRPr="001D5327" w:rsidRDefault="00E0181F" w:rsidP="00BF493F">
      <w:pPr>
        <w:pStyle w:val="Heading1"/>
      </w:pPr>
      <w:bookmarkStart w:id="1546" w:name="_Toc391024696"/>
      <w:bookmarkStart w:id="1547" w:name="_Toc414531313"/>
      <w:bookmarkStart w:id="1548" w:name="_Toc474335455"/>
      <w:bookmarkStart w:id="1549" w:name="_Toc481751395"/>
      <w:bookmarkStart w:id="1550" w:name="_Toc522013947"/>
      <w:bookmarkStart w:id="1551" w:name="_Toc5269372"/>
      <w:bookmarkStart w:id="1552" w:name="_Toc36224412"/>
      <w:bookmarkStart w:id="1553" w:name="_Toc131591247"/>
      <w:bookmarkStart w:id="1554" w:name="_Toc158980293"/>
      <w:bookmarkStart w:id="1555" w:name="_Toc164154201"/>
      <w:bookmarkStart w:id="1556" w:name="_Toc194312026"/>
      <w:r w:rsidRPr="001D5327">
        <w:lastRenderedPageBreak/>
        <w:t>Chapter 6: Land Use, Land-Use Change and Forestry (LULUCF)</w:t>
      </w:r>
      <w:bookmarkEnd w:id="1546"/>
      <w:bookmarkEnd w:id="1547"/>
      <w:bookmarkEnd w:id="1548"/>
      <w:bookmarkEnd w:id="1549"/>
      <w:bookmarkEnd w:id="1550"/>
      <w:bookmarkEnd w:id="1551"/>
      <w:bookmarkEnd w:id="1552"/>
      <w:bookmarkEnd w:id="1553"/>
      <w:bookmarkEnd w:id="1554"/>
      <w:bookmarkEnd w:id="1555"/>
      <w:bookmarkEnd w:id="1556"/>
    </w:p>
    <w:p w14:paraId="67D4D19E" w14:textId="77777777" w:rsidR="00E0181F" w:rsidRPr="001D5327" w:rsidRDefault="00E0181F" w:rsidP="00E0181F">
      <w:pPr>
        <w:pStyle w:val="BodyText"/>
      </w:pPr>
      <w:bookmarkStart w:id="1557" w:name="_Toc391024697"/>
      <w:bookmarkStart w:id="1558" w:name="_Toc414531314"/>
      <w:bookmarkStart w:id="1559" w:name="_Toc474335456"/>
      <w:bookmarkStart w:id="1560" w:name="_Toc481751396"/>
      <w:bookmarkStart w:id="1561" w:name="_Toc522013948"/>
      <w:bookmarkStart w:id="1562" w:name="_Toc5269373"/>
      <w:bookmarkStart w:id="1563" w:name="_Toc36224413"/>
      <w:bookmarkStart w:id="1564" w:name="_Toc131591248"/>
      <w:bookmarkStart w:id="1565" w:name="_Toc158980294"/>
      <w:bookmarkStart w:id="1566" w:name="_Toc164154202"/>
      <w:r w:rsidRPr="001D5327">
        <w:t xml:space="preserve">This chapter reports New Zealand’s emissions and removals from the Land Use, Land-Use Change and Forestry (LULUCF) sector using the methods and guidance described in volume 4 of the 2006 </w:t>
      </w:r>
      <w:r w:rsidRPr="001D5327">
        <w:rPr>
          <w:spacing w:val="-2"/>
        </w:rPr>
        <w:t>Intergovernmenta</w:t>
      </w:r>
      <w:r w:rsidRPr="001D5327">
        <w:t xml:space="preserve">l Panel on Climate Change (IPCC) Guidelines for National Greenhouse Gas Inventories (IPCC, 2006a). For information on how New Zealand accounts for the contribution of the LULUCF sector towards its Nationally Determined Contribution under the Paris Agreement, refer to annex 9. </w:t>
      </w:r>
    </w:p>
    <w:p w14:paraId="6A7A95A7" w14:textId="77777777" w:rsidR="00E0181F" w:rsidRPr="001D5327" w:rsidRDefault="00E0181F" w:rsidP="00A66A0F">
      <w:pPr>
        <w:pStyle w:val="Heading2"/>
      </w:pPr>
      <w:bookmarkStart w:id="1567" w:name="_Toc194312027"/>
      <w:r w:rsidRPr="001D5327">
        <w:t>6.1</w:t>
      </w:r>
      <w:r w:rsidRPr="001D5327">
        <w:tab/>
        <w:t>Sector overview</w:t>
      </w:r>
      <w:bookmarkEnd w:id="1557"/>
      <w:bookmarkEnd w:id="1558"/>
      <w:bookmarkEnd w:id="1559"/>
      <w:bookmarkEnd w:id="1560"/>
      <w:bookmarkEnd w:id="1561"/>
      <w:bookmarkEnd w:id="1562"/>
      <w:bookmarkEnd w:id="1563"/>
      <w:bookmarkEnd w:id="1564"/>
      <w:bookmarkEnd w:id="1565"/>
      <w:bookmarkEnd w:id="1566"/>
      <w:bookmarkEnd w:id="1567"/>
    </w:p>
    <w:p w14:paraId="7BCC2026" w14:textId="77777777" w:rsidR="00E0181F" w:rsidRPr="001D5327" w:rsidRDefault="00E0181F" w:rsidP="00E0181F">
      <w:pPr>
        <w:pStyle w:val="Heading3"/>
        <w:spacing w:before="240"/>
      </w:pPr>
      <w:r w:rsidRPr="001D5327">
        <w:t>Net emissions summary</w:t>
      </w:r>
    </w:p>
    <w:p w14:paraId="60FA5501" w14:textId="77777777" w:rsidR="00E0181F" w:rsidRPr="001D5327" w:rsidRDefault="00E0181F" w:rsidP="00E0181F">
      <w:pPr>
        <w:pStyle w:val="Heading4"/>
        <w:spacing w:line="259" w:lineRule="auto"/>
      </w:pPr>
      <w:r w:rsidRPr="001D5327">
        <w:t>2023</w:t>
      </w:r>
    </w:p>
    <w:p w14:paraId="7E9BE34C" w14:textId="7046C4DA" w:rsidR="00E0181F" w:rsidRPr="001D5327" w:rsidRDefault="00E0181F" w:rsidP="00E0181F">
      <w:pPr>
        <w:pStyle w:val="BodyText"/>
      </w:pPr>
      <w:r w:rsidRPr="001D5327">
        <w:t xml:space="preserve">In 2023, net emissions from the LULUCF sector were </w:t>
      </w:r>
      <w:r w:rsidR="0070503C">
        <w:t>-</w:t>
      </w:r>
      <w:r w:rsidRPr="001D5327">
        <w:t>20,197.1 kilotonnes carbon dioxide equivalent (kt CO</w:t>
      </w:r>
      <w:r w:rsidRPr="001D5327">
        <w:rPr>
          <w:vertAlign w:val="subscript"/>
        </w:rPr>
        <w:t>2</w:t>
      </w:r>
      <w:r w:rsidRPr="001D5327">
        <w:t xml:space="preserve">-e) or </w:t>
      </w:r>
      <w:r w:rsidR="0070503C">
        <w:t>-</w:t>
      </w:r>
      <w:r w:rsidRPr="001D5327">
        <w:t xml:space="preserve">26.4 per cent of New Zealand’s gross greenhouse gas emissions. This comprises net emissions of </w:t>
      </w:r>
      <w:r w:rsidR="0070503C">
        <w:t>-</w:t>
      </w:r>
      <w:r w:rsidRPr="001D5327">
        <w:t>20,511.0 kt CO</w:t>
      </w:r>
      <w:r w:rsidRPr="001D5327">
        <w:rPr>
          <w:vertAlign w:val="subscript"/>
        </w:rPr>
        <w:t>2</w:t>
      </w:r>
      <w:r w:rsidRPr="001D5327">
        <w:t>, emissions of 45.8 kt CO</w:t>
      </w:r>
      <w:r w:rsidRPr="001D5327">
        <w:rPr>
          <w:vertAlign w:val="subscript"/>
        </w:rPr>
        <w:t>2</w:t>
      </w:r>
      <w:r w:rsidRPr="001D5327">
        <w:t>-e of methane (CH</w:t>
      </w:r>
      <w:r w:rsidRPr="001D5327">
        <w:rPr>
          <w:vertAlign w:val="subscript"/>
        </w:rPr>
        <w:t>4</w:t>
      </w:r>
      <w:r w:rsidRPr="001D5327">
        <w:t>) and 268.0 kt CO</w:t>
      </w:r>
      <w:r w:rsidRPr="001D5327">
        <w:rPr>
          <w:vertAlign w:val="subscript"/>
        </w:rPr>
        <w:t>2</w:t>
      </w:r>
      <w:r w:rsidRPr="001D5327">
        <w:t>-e of nitrous oxide (N</w:t>
      </w:r>
      <w:r w:rsidRPr="001D5327">
        <w:rPr>
          <w:vertAlign w:val="subscript"/>
        </w:rPr>
        <w:t>2</w:t>
      </w:r>
      <w:r w:rsidRPr="001D5327">
        <w:t xml:space="preserve">O). The category contributing the most to both removals and emissions is </w:t>
      </w:r>
      <w:r w:rsidRPr="001D5327">
        <w:rPr>
          <w:i/>
          <w:iCs/>
        </w:rPr>
        <w:t>Forest land remaining forest land</w:t>
      </w:r>
      <w:r w:rsidRPr="001D5327">
        <w:t xml:space="preserve">. This is because large removals result from the growth of all forests on this land and there are also large emissions from the sustainable harvest of New Zealand’s plantation forests. </w:t>
      </w:r>
    </w:p>
    <w:p w14:paraId="3D6BD5F1" w14:textId="77777777" w:rsidR="00E0181F" w:rsidRPr="001D5327" w:rsidRDefault="00E0181F" w:rsidP="00E0181F">
      <w:pPr>
        <w:pStyle w:val="Heading4"/>
      </w:pPr>
      <w:r w:rsidRPr="001D5327">
        <w:t>1990–2023</w:t>
      </w:r>
    </w:p>
    <w:p w14:paraId="6CFB57CA" w14:textId="60CFA676" w:rsidR="00E0181F" w:rsidRPr="001D5327" w:rsidRDefault="00E0181F" w:rsidP="00E0181F">
      <w:pPr>
        <w:pStyle w:val="BodyText"/>
      </w:pPr>
      <w:r w:rsidRPr="001D5327">
        <w:rPr>
          <w:spacing w:val="-2"/>
        </w:rPr>
        <w:t>Net emissions in 2023 have increased by 4,136.9 kt CO</w:t>
      </w:r>
      <w:r w:rsidRPr="001D5327">
        <w:rPr>
          <w:spacing w:val="-2"/>
          <w:vertAlign w:val="subscript"/>
        </w:rPr>
        <w:t>2</w:t>
      </w:r>
      <w:r w:rsidRPr="001D5327">
        <w:t>-</w:t>
      </w:r>
      <w:r w:rsidRPr="001D5327">
        <w:rPr>
          <w:spacing w:val="-2"/>
        </w:rPr>
        <w:t>e (</w:t>
      </w:r>
      <w:r w:rsidRPr="001D5327">
        <w:rPr>
          <w:rFonts w:cs="Arial Bold"/>
          <w:color w:val="000000"/>
          <w:spacing w:val="-2"/>
        </w:rPr>
        <w:t xml:space="preserve">17.0 </w:t>
      </w:r>
      <w:r w:rsidRPr="001D5327">
        <w:rPr>
          <w:spacing w:val="-2"/>
        </w:rPr>
        <w:t xml:space="preserve">per cent) from the 1990 level of </w:t>
      </w:r>
      <w:r w:rsidRPr="001D5327">
        <w:rPr>
          <w:spacing w:val="-2"/>
        </w:rPr>
        <w:br/>
      </w:r>
      <w:r w:rsidR="0070503C">
        <w:rPr>
          <w:spacing w:val="-2"/>
        </w:rPr>
        <w:t>-</w:t>
      </w:r>
      <w:r w:rsidRPr="001D5327">
        <w:rPr>
          <w:spacing w:val="-2"/>
        </w:rPr>
        <w:t>24,334.1 kt CO</w:t>
      </w:r>
      <w:r w:rsidRPr="001D5327">
        <w:rPr>
          <w:spacing w:val="-2"/>
          <w:vertAlign w:val="subscript"/>
        </w:rPr>
        <w:t>2</w:t>
      </w:r>
      <w:r w:rsidRPr="001D5327">
        <w:rPr>
          <w:spacing w:val="-2"/>
        </w:rPr>
        <w:t xml:space="preserve">-e (see table 6.1.1 and figure 6.1.1). This is largely due to a reduction in removals from </w:t>
      </w:r>
      <w:r w:rsidRPr="001D5327">
        <w:rPr>
          <w:i/>
          <w:iCs/>
          <w:spacing w:val="-2"/>
        </w:rPr>
        <w:t xml:space="preserve">Forest land </w:t>
      </w:r>
      <w:r w:rsidRPr="001D5327">
        <w:rPr>
          <w:spacing w:val="-2"/>
        </w:rPr>
        <w:t>and</w:t>
      </w:r>
      <w:r w:rsidRPr="001D5327">
        <w:rPr>
          <w:i/>
          <w:iCs/>
          <w:spacing w:val="-2"/>
        </w:rPr>
        <w:t xml:space="preserve"> </w:t>
      </w:r>
      <w:r w:rsidRPr="001D5327">
        <w:rPr>
          <w:spacing w:val="-2"/>
        </w:rPr>
        <w:t xml:space="preserve">an increase in emissions from </w:t>
      </w:r>
      <w:r w:rsidRPr="001D5327">
        <w:rPr>
          <w:i/>
          <w:iCs/>
          <w:spacing w:val="-2"/>
        </w:rPr>
        <w:t>Grassland</w:t>
      </w:r>
      <w:r w:rsidRPr="001D5327">
        <w:rPr>
          <w:spacing w:val="-2"/>
        </w:rPr>
        <w:t xml:space="preserve"> (mainly due to emissions from deforestation and conversions among grassland categories) since 1990</w:t>
      </w:r>
      <w:r w:rsidRPr="001D5327">
        <w:rPr>
          <w:i/>
          <w:iCs/>
          <w:spacing w:val="-2"/>
        </w:rPr>
        <w:t>.</w:t>
      </w:r>
      <w:r w:rsidRPr="001D5327">
        <w:t xml:space="preserve"> The reduction in removals from </w:t>
      </w:r>
      <w:r w:rsidRPr="001D5327">
        <w:rPr>
          <w:i/>
          <w:iCs/>
        </w:rPr>
        <w:t xml:space="preserve">Forest land </w:t>
      </w:r>
      <w:r w:rsidRPr="001D5327">
        <w:t xml:space="preserve">is driven by high current harvest rates (figure 6.4.3), which are a result of significant afforestation beginning in the 1980s and reaching a peak in the mid-1990s (figure 6.4.1). The planted forests that were </w:t>
      </w:r>
      <w:r w:rsidRPr="001D5327">
        <w:rPr>
          <w:spacing w:val="-2"/>
        </w:rPr>
        <w:t>established during this period have progressively been reaching harvesting age, and that will continu</w:t>
      </w:r>
      <w:r w:rsidRPr="001D5327">
        <w:t>e into the mid</w:t>
      </w:r>
      <w:r w:rsidRPr="001D5327">
        <w:rPr>
          <w:rStyle w:val="CommentReference"/>
          <w:rFonts w:asciiTheme="minorHAnsi" w:eastAsia="Arial" w:hAnsiTheme="minorHAnsi"/>
          <w:sz w:val="22"/>
          <w:szCs w:val="22"/>
          <w:lang w:eastAsia="en-US"/>
        </w:rPr>
        <w:t>-</w:t>
      </w:r>
      <w:r w:rsidRPr="001D5327">
        <w:rPr>
          <w:rFonts w:eastAsia="Arial"/>
        </w:rPr>
        <w:t>2</w:t>
      </w:r>
      <w:r w:rsidRPr="001D5327">
        <w:t>020s. As the high harvesting rates continue, the average age of the planted forest estate is reduced each year when the harvested forests are replanted. Young forest stands have lower rates of removal than older stands. Harvesting and replanting cycles of New Zealand’s planted forests will continue to affect the trajectory of New Zealand’s net emissions in the future due to their uneven age-class profile.</w:t>
      </w:r>
      <w:r w:rsidRPr="001D5327">
        <w:rPr>
          <w:i/>
          <w:iCs/>
          <w:spacing w:val="-2"/>
        </w:rPr>
        <w:t xml:space="preserve"> </w:t>
      </w:r>
      <w:r w:rsidRPr="001D5327">
        <w:rPr>
          <w:spacing w:val="-2"/>
        </w:rPr>
        <w:t>The increased emissions from harvesting have been compensated for, to some extent, by increased removals in the</w:t>
      </w:r>
      <w:r w:rsidRPr="001D5327">
        <w:t xml:space="preserve"> </w:t>
      </w:r>
      <w:r w:rsidRPr="001D5327">
        <w:rPr>
          <w:spacing w:val="-2"/>
        </w:rPr>
        <w:t>harvested wood products pool due to inputs into this pool exceeding emissions from decay.</w:t>
      </w:r>
    </w:p>
    <w:p w14:paraId="0163C70A" w14:textId="77777777" w:rsidR="00E0181F" w:rsidRPr="001D5327" w:rsidRDefault="00E0181F" w:rsidP="00E0181F">
      <w:pPr>
        <w:pStyle w:val="Table"/>
      </w:pPr>
      <w:bookmarkStart w:id="1568" w:name="_Toc481751536"/>
      <w:bookmarkStart w:id="1569" w:name="_Toc522010593"/>
      <w:bookmarkStart w:id="1570" w:name="_Toc5269498"/>
      <w:bookmarkStart w:id="1571" w:name="_Toc33529374"/>
      <w:bookmarkStart w:id="1572" w:name="_Toc36224580"/>
      <w:bookmarkStart w:id="1573" w:name="_Toc65243575"/>
      <w:bookmarkStart w:id="1574" w:name="_Toc131591381"/>
      <w:bookmarkStart w:id="1575" w:name="_Toc158979939"/>
      <w:bookmarkStart w:id="1576" w:name="_Toc164153872"/>
      <w:bookmarkStart w:id="1577" w:name="_Toc190873106"/>
      <w:bookmarkStart w:id="1578" w:name="_Toc194241745"/>
      <w:r w:rsidRPr="001D5327">
        <w:lastRenderedPageBreak/>
        <w:t xml:space="preserve">Table 6.1.1 </w:t>
      </w:r>
      <w:r w:rsidRPr="001D5327">
        <w:tab/>
        <w:t>New Zealand’s greenhouse gas net emissions for the LULUCF sector by category</w:t>
      </w:r>
      <w:r w:rsidRPr="001D5327">
        <w:br/>
        <w:t xml:space="preserve">in 1990 and </w:t>
      </w:r>
      <w:bookmarkEnd w:id="1568"/>
      <w:bookmarkEnd w:id="1569"/>
      <w:bookmarkEnd w:id="1570"/>
      <w:bookmarkEnd w:id="1571"/>
      <w:bookmarkEnd w:id="1572"/>
      <w:bookmarkEnd w:id="1573"/>
      <w:bookmarkEnd w:id="1574"/>
      <w:bookmarkEnd w:id="1575"/>
      <w:bookmarkEnd w:id="1576"/>
      <w:r w:rsidRPr="001D5327">
        <w:t>2023</w:t>
      </w:r>
      <w:bookmarkEnd w:id="1577"/>
      <w:bookmarkEnd w:id="1578"/>
    </w:p>
    <w:tbl>
      <w:tblPr>
        <w:tblW w:w="4996" w:type="pct"/>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977"/>
        <w:gridCol w:w="1134"/>
        <w:gridCol w:w="1200"/>
        <w:gridCol w:w="1593"/>
        <w:gridCol w:w="1593"/>
      </w:tblGrid>
      <w:tr w:rsidR="00E0181F" w:rsidRPr="001D5327" w14:paraId="2F1B4AAE" w14:textId="77777777" w:rsidTr="00D11AC9">
        <w:trPr>
          <w:tblHeader/>
        </w:trPr>
        <w:tc>
          <w:tcPr>
            <w:tcW w:w="2977" w:type="dxa"/>
            <w:shd w:val="clear" w:color="auto" w:fill="1B556B" w:themeFill="text2"/>
            <w:tcMar>
              <w:top w:w="0" w:type="dxa"/>
              <w:left w:w="85" w:type="dxa"/>
              <w:bottom w:w="0" w:type="dxa"/>
              <w:right w:w="85" w:type="dxa"/>
            </w:tcMar>
          </w:tcPr>
          <w:p w14:paraId="6BD77869" w14:textId="77777777" w:rsidR="00E0181F" w:rsidRPr="001D5327" w:rsidRDefault="00E0181F" w:rsidP="00D11AC9">
            <w:pPr>
              <w:pStyle w:val="TableText"/>
              <w:keepNext/>
              <w:spacing w:before="40" w:after="40"/>
            </w:pPr>
          </w:p>
        </w:tc>
        <w:tc>
          <w:tcPr>
            <w:tcW w:w="2334" w:type="dxa"/>
            <w:gridSpan w:val="2"/>
            <w:shd w:val="clear" w:color="auto" w:fill="1B556B" w:themeFill="text2"/>
            <w:tcMar>
              <w:top w:w="0" w:type="dxa"/>
              <w:left w:w="85" w:type="dxa"/>
              <w:bottom w:w="0" w:type="dxa"/>
              <w:right w:w="85" w:type="dxa"/>
            </w:tcMar>
          </w:tcPr>
          <w:p w14:paraId="443353AC" w14:textId="77777777" w:rsidR="00E0181F" w:rsidRPr="001D5327" w:rsidRDefault="00E0181F" w:rsidP="00D11AC9">
            <w:pPr>
              <w:pStyle w:val="TableText"/>
              <w:keepNext/>
              <w:spacing w:before="40" w:after="40"/>
              <w:jc w:val="center"/>
            </w:pPr>
            <w:r w:rsidRPr="001D5327">
              <w:rPr>
                <w:rFonts w:eastAsia="Calibri" w:cs="Calibri"/>
                <w:b/>
                <w:bCs/>
                <w:color w:val="FFFFFF" w:themeColor="background1"/>
                <w:szCs w:val="16"/>
              </w:rPr>
              <w:t>Net emissions (kt CO</w:t>
            </w:r>
            <w:r w:rsidRPr="001D5327">
              <w:rPr>
                <w:rFonts w:eastAsia="Calibri" w:cs="Calibri"/>
                <w:b/>
                <w:bCs/>
                <w:color w:val="FFFFFF" w:themeColor="background1"/>
                <w:szCs w:val="16"/>
                <w:vertAlign w:val="subscript"/>
              </w:rPr>
              <w:t>2</w:t>
            </w:r>
            <w:r w:rsidRPr="001D5327">
              <w:rPr>
                <w:rFonts w:eastAsia="Calibri" w:cs="Calibri"/>
                <w:b/>
                <w:bCs/>
                <w:color w:val="FFFFFF" w:themeColor="background1"/>
                <w:szCs w:val="16"/>
              </w:rPr>
              <w:t>-e)</w:t>
            </w:r>
          </w:p>
        </w:tc>
        <w:tc>
          <w:tcPr>
            <w:tcW w:w="1593" w:type="dxa"/>
            <w:shd w:val="clear" w:color="auto" w:fill="1B556B" w:themeFill="text2"/>
            <w:tcMar>
              <w:top w:w="0" w:type="dxa"/>
              <w:left w:w="85" w:type="dxa"/>
              <w:bottom w:w="0" w:type="dxa"/>
              <w:right w:w="85" w:type="dxa"/>
            </w:tcMar>
          </w:tcPr>
          <w:p w14:paraId="001DD8B6" w14:textId="77777777" w:rsidR="00E0181F" w:rsidRPr="001D5327" w:rsidRDefault="00E0181F" w:rsidP="00D11AC9">
            <w:pPr>
              <w:pStyle w:val="TableText"/>
              <w:keepNext/>
              <w:spacing w:before="40" w:after="40"/>
              <w:jc w:val="right"/>
            </w:pPr>
            <w:r w:rsidRPr="001D5327">
              <w:rPr>
                <w:rFonts w:eastAsia="Calibri" w:cs="Calibri"/>
                <w:b/>
                <w:bCs/>
                <w:color w:val="FFFFFF" w:themeColor="background1"/>
                <w:szCs w:val="16"/>
              </w:rPr>
              <w:t>Difference (kt CO</w:t>
            </w:r>
            <w:r w:rsidRPr="001D5327">
              <w:rPr>
                <w:rFonts w:eastAsia="Calibri" w:cs="Calibri"/>
                <w:b/>
                <w:bCs/>
                <w:color w:val="FFFFFF" w:themeColor="background1"/>
                <w:szCs w:val="16"/>
                <w:vertAlign w:val="subscript"/>
              </w:rPr>
              <w:t>2</w:t>
            </w:r>
            <w:r w:rsidRPr="001D5327">
              <w:rPr>
                <w:rFonts w:eastAsia="Calibri" w:cs="Calibri"/>
                <w:b/>
                <w:bCs/>
                <w:color w:val="FFFFFF" w:themeColor="background1"/>
                <w:szCs w:val="16"/>
              </w:rPr>
              <w:t>-e)</w:t>
            </w:r>
          </w:p>
        </w:tc>
        <w:tc>
          <w:tcPr>
            <w:tcW w:w="1593" w:type="dxa"/>
            <w:shd w:val="clear" w:color="auto" w:fill="1B556B" w:themeFill="text2"/>
            <w:tcMar>
              <w:top w:w="0" w:type="dxa"/>
              <w:left w:w="85" w:type="dxa"/>
              <w:bottom w:w="0" w:type="dxa"/>
              <w:right w:w="85" w:type="dxa"/>
            </w:tcMar>
          </w:tcPr>
          <w:p w14:paraId="140F6ED3" w14:textId="77777777" w:rsidR="00E0181F" w:rsidRPr="001D5327" w:rsidRDefault="00E0181F" w:rsidP="00D11AC9">
            <w:pPr>
              <w:pStyle w:val="TableText"/>
              <w:keepNext/>
              <w:spacing w:before="40" w:after="40"/>
              <w:jc w:val="right"/>
            </w:pPr>
            <w:r w:rsidRPr="001D5327">
              <w:rPr>
                <w:rFonts w:eastAsia="Calibri" w:cs="Calibri"/>
                <w:b/>
                <w:bCs/>
                <w:color w:val="FFFFFF" w:themeColor="background1"/>
                <w:szCs w:val="16"/>
              </w:rPr>
              <w:t>Change (%)</w:t>
            </w:r>
          </w:p>
        </w:tc>
      </w:tr>
      <w:tr w:rsidR="00E0181F" w:rsidRPr="001D5327" w14:paraId="4A3F3BDF" w14:textId="77777777" w:rsidTr="00D11AC9">
        <w:trPr>
          <w:tblHeader/>
        </w:trPr>
        <w:tc>
          <w:tcPr>
            <w:tcW w:w="2977" w:type="dxa"/>
            <w:shd w:val="clear" w:color="auto" w:fill="1B556B" w:themeFill="text2"/>
            <w:tcMar>
              <w:top w:w="0" w:type="dxa"/>
              <w:left w:w="85" w:type="dxa"/>
              <w:bottom w:w="0" w:type="dxa"/>
              <w:right w:w="85" w:type="dxa"/>
            </w:tcMar>
          </w:tcPr>
          <w:p w14:paraId="450CB5A1" w14:textId="77777777" w:rsidR="00E0181F" w:rsidRPr="001D5327" w:rsidRDefault="00E0181F" w:rsidP="00D11AC9">
            <w:pPr>
              <w:pStyle w:val="TableText"/>
              <w:keepNext/>
              <w:spacing w:before="40" w:after="40"/>
            </w:pPr>
            <w:r w:rsidRPr="001D5327">
              <w:rPr>
                <w:rFonts w:eastAsia="Calibri" w:cs="Calibri"/>
                <w:b/>
                <w:bCs/>
                <w:color w:val="FFFFFF" w:themeColor="background1"/>
                <w:szCs w:val="16"/>
              </w:rPr>
              <w:t>Category</w:t>
            </w:r>
          </w:p>
        </w:tc>
        <w:tc>
          <w:tcPr>
            <w:tcW w:w="1134" w:type="dxa"/>
            <w:shd w:val="clear" w:color="auto" w:fill="1B556B" w:themeFill="text2"/>
            <w:tcMar>
              <w:top w:w="0" w:type="dxa"/>
              <w:left w:w="85" w:type="dxa"/>
              <w:bottom w:w="0" w:type="dxa"/>
              <w:right w:w="85" w:type="dxa"/>
            </w:tcMar>
          </w:tcPr>
          <w:p w14:paraId="13A0CB4A" w14:textId="77777777" w:rsidR="00E0181F" w:rsidRPr="001D5327" w:rsidRDefault="00E0181F" w:rsidP="00D11AC9">
            <w:pPr>
              <w:pStyle w:val="TableText"/>
              <w:keepNext/>
              <w:spacing w:before="0" w:after="40"/>
              <w:jc w:val="right"/>
            </w:pPr>
            <w:r w:rsidRPr="001D5327">
              <w:rPr>
                <w:rFonts w:eastAsia="Calibri" w:cs="Calibri"/>
                <w:b/>
                <w:bCs/>
                <w:color w:val="FFFFFF" w:themeColor="background1"/>
                <w:szCs w:val="16"/>
              </w:rPr>
              <w:t>1990</w:t>
            </w:r>
          </w:p>
        </w:tc>
        <w:tc>
          <w:tcPr>
            <w:tcW w:w="1200" w:type="dxa"/>
            <w:shd w:val="clear" w:color="auto" w:fill="1B556B" w:themeFill="text2"/>
            <w:tcMar>
              <w:top w:w="0" w:type="dxa"/>
              <w:left w:w="85" w:type="dxa"/>
              <w:bottom w:w="0" w:type="dxa"/>
              <w:right w:w="85" w:type="dxa"/>
            </w:tcMar>
          </w:tcPr>
          <w:p w14:paraId="1AA39BA5" w14:textId="77777777" w:rsidR="00E0181F" w:rsidRPr="001D5327" w:rsidRDefault="00E0181F" w:rsidP="00D11AC9">
            <w:pPr>
              <w:pStyle w:val="TableText"/>
              <w:keepNext/>
              <w:spacing w:before="0" w:after="40"/>
              <w:jc w:val="right"/>
            </w:pPr>
            <w:r w:rsidRPr="001D5327">
              <w:rPr>
                <w:rFonts w:eastAsia="Calibri" w:cs="Calibri"/>
                <w:b/>
                <w:bCs/>
                <w:color w:val="FFFFFF" w:themeColor="background1"/>
                <w:szCs w:val="16"/>
              </w:rPr>
              <w:t>2023</w:t>
            </w:r>
          </w:p>
        </w:tc>
        <w:tc>
          <w:tcPr>
            <w:tcW w:w="1593" w:type="dxa"/>
            <w:shd w:val="clear" w:color="auto" w:fill="1B556B" w:themeFill="text2"/>
            <w:tcMar>
              <w:top w:w="0" w:type="dxa"/>
              <w:left w:w="85" w:type="dxa"/>
              <w:bottom w:w="0" w:type="dxa"/>
              <w:right w:w="85" w:type="dxa"/>
            </w:tcMar>
          </w:tcPr>
          <w:p w14:paraId="1196C08B" w14:textId="77777777" w:rsidR="00E0181F" w:rsidRPr="001D5327" w:rsidRDefault="00E0181F" w:rsidP="00D11AC9">
            <w:pPr>
              <w:pStyle w:val="TableText"/>
              <w:keepNext/>
              <w:spacing w:before="0" w:after="40"/>
              <w:jc w:val="right"/>
            </w:pPr>
            <w:r w:rsidRPr="001D5327">
              <w:rPr>
                <w:rFonts w:eastAsia="Calibri" w:cs="Calibri"/>
                <w:b/>
                <w:bCs/>
                <w:color w:val="FFFFFF" w:themeColor="background1"/>
                <w:szCs w:val="16"/>
              </w:rPr>
              <w:t>1990–2023</w:t>
            </w:r>
          </w:p>
        </w:tc>
        <w:tc>
          <w:tcPr>
            <w:tcW w:w="1593" w:type="dxa"/>
            <w:shd w:val="clear" w:color="auto" w:fill="1B556B" w:themeFill="text2"/>
            <w:tcMar>
              <w:top w:w="0" w:type="dxa"/>
              <w:left w:w="85" w:type="dxa"/>
              <w:bottom w:w="0" w:type="dxa"/>
              <w:right w:w="85" w:type="dxa"/>
            </w:tcMar>
          </w:tcPr>
          <w:p w14:paraId="5F653F6E" w14:textId="77777777" w:rsidR="00E0181F" w:rsidRPr="001D5327" w:rsidRDefault="00E0181F" w:rsidP="00D11AC9">
            <w:pPr>
              <w:pStyle w:val="TableText"/>
              <w:keepNext/>
              <w:spacing w:before="0" w:after="40"/>
              <w:jc w:val="right"/>
            </w:pPr>
            <w:r w:rsidRPr="001D5327">
              <w:rPr>
                <w:rFonts w:eastAsia="Calibri" w:cs="Calibri"/>
                <w:b/>
                <w:bCs/>
                <w:color w:val="FFFFFF" w:themeColor="background1"/>
                <w:szCs w:val="16"/>
              </w:rPr>
              <w:t>1990–2023</w:t>
            </w:r>
          </w:p>
        </w:tc>
      </w:tr>
      <w:tr w:rsidR="00E0181F" w:rsidRPr="001D5327" w14:paraId="65928B14" w14:textId="77777777" w:rsidTr="00D11AC9">
        <w:tc>
          <w:tcPr>
            <w:tcW w:w="2977" w:type="dxa"/>
            <w:shd w:val="clear" w:color="auto" w:fill="FFFFFF" w:themeFill="background1"/>
            <w:tcMar>
              <w:top w:w="0" w:type="dxa"/>
              <w:left w:w="85" w:type="dxa"/>
              <w:bottom w:w="0" w:type="dxa"/>
              <w:right w:w="85" w:type="dxa"/>
            </w:tcMar>
          </w:tcPr>
          <w:p w14:paraId="76E8BCD7" w14:textId="77777777" w:rsidR="00E0181F" w:rsidRPr="001D5327" w:rsidRDefault="00E0181F" w:rsidP="00D11AC9">
            <w:pPr>
              <w:pStyle w:val="TableText"/>
              <w:keepNext/>
              <w:spacing w:before="40" w:after="40"/>
            </w:pPr>
            <w:r w:rsidRPr="001D5327">
              <w:rPr>
                <w:rFonts w:eastAsia="Calibri" w:cs="Calibri"/>
                <w:color w:val="000000" w:themeColor="text1"/>
                <w:szCs w:val="16"/>
              </w:rPr>
              <w:t>Forest land</w:t>
            </w:r>
          </w:p>
        </w:tc>
        <w:tc>
          <w:tcPr>
            <w:tcW w:w="1134" w:type="dxa"/>
            <w:shd w:val="clear" w:color="auto" w:fill="FFFFFF" w:themeFill="background1"/>
            <w:tcMar>
              <w:top w:w="0" w:type="dxa"/>
              <w:left w:w="85" w:type="dxa"/>
              <w:bottom w:w="0" w:type="dxa"/>
              <w:right w:w="85" w:type="dxa"/>
            </w:tcMar>
          </w:tcPr>
          <w:p w14:paraId="59A17459" w14:textId="2CC698B9" w:rsidR="00E0181F" w:rsidRPr="001D5327" w:rsidRDefault="0070503C" w:rsidP="00D11AC9">
            <w:pPr>
              <w:pStyle w:val="TableText"/>
              <w:keepNext/>
              <w:spacing w:before="40" w:after="40"/>
              <w:jc w:val="right"/>
            </w:pPr>
            <w:r>
              <w:rPr>
                <w:rFonts w:eastAsia="Calibri" w:cs="Calibri"/>
                <w:color w:val="000000" w:themeColor="text1"/>
                <w:szCs w:val="16"/>
              </w:rPr>
              <w:t>-</w:t>
            </w:r>
            <w:r w:rsidR="00E0181F" w:rsidRPr="001D5327">
              <w:rPr>
                <w:rFonts w:eastAsia="Calibri" w:cs="Calibri"/>
                <w:color w:val="000000" w:themeColor="text1"/>
                <w:szCs w:val="16"/>
              </w:rPr>
              <w:t>23,279.5</w:t>
            </w:r>
          </w:p>
        </w:tc>
        <w:tc>
          <w:tcPr>
            <w:tcW w:w="1200" w:type="dxa"/>
            <w:shd w:val="clear" w:color="auto" w:fill="FFFFFF" w:themeFill="background1"/>
            <w:tcMar>
              <w:top w:w="0" w:type="dxa"/>
              <w:left w:w="85" w:type="dxa"/>
              <w:bottom w:w="0" w:type="dxa"/>
              <w:right w:w="85" w:type="dxa"/>
            </w:tcMar>
          </w:tcPr>
          <w:p w14:paraId="21F95812" w14:textId="2A2B5AE8" w:rsidR="00E0181F" w:rsidRPr="001D5327" w:rsidRDefault="0070503C" w:rsidP="00D11AC9">
            <w:pPr>
              <w:pStyle w:val="TableText"/>
              <w:keepNext/>
              <w:spacing w:before="40" w:after="40"/>
              <w:jc w:val="right"/>
            </w:pPr>
            <w:r>
              <w:rPr>
                <w:rFonts w:eastAsia="Calibri" w:cs="Calibri"/>
                <w:color w:val="000000" w:themeColor="text1"/>
                <w:szCs w:val="16"/>
              </w:rPr>
              <w:t>-</w:t>
            </w:r>
            <w:r w:rsidR="00E0181F" w:rsidRPr="001D5327">
              <w:rPr>
                <w:rFonts w:eastAsia="Calibri" w:cs="Calibri"/>
                <w:color w:val="000000" w:themeColor="text1"/>
                <w:szCs w:val="16"/>
              </w:rPr>
              <w:t>18,235.7</w:t>
            </w:r>
          </w:p>
        </w:tc>
        <w:tc>
          <w:tcPr>
            <w:tcW w:w="1593" w:type="dxa"/>
            <w:shd w:val="clear" w:color="auto" w:fill="FFFFFF" w:themeFill="background1"/>
            <w:tcMar>
              <w:top w:w="0" w:type="dxa"/>
              <w:left w:w="85" w:type="dxa"/>
              <w:bottom w:w="0" w:type="dxa"/>
              <w:right w:w="85" w:type="dxa"/>
            </w:tcMar>
          </w:tcPr>
          <w:p w14:paraId="75B466EE" w14:textId="77777777" w:rsidR="00E0181F" w:rsidRPr="001D5327" w:rsidRDefault="00E0181F" w:rsidP="00D11AC9">
            <w:pPr>
              <w:pStyle w:val="TableText"/>
              <w:keepNext/>
              <w:spacing w:before="40" w:after="40"/>
              <w:jc w:val="right"/>
            </w:pPr>
            <w:r w:rsidRPr="001D5327">
              <w:rPr>
                <w:rFonts w:eastAsia="Calibri" w:cs="Calibri"/>
                <w:color w:val="000000" w:themeColor="text1"/>
                <w:szCs w:val="16"/>
              </w:rPr>
              <w:t>5,043.8</w:t>
            </w:r>
          </w:p>
        </w:tc>
        <w:tc>
          <w:tcPr>
            <w:tcW w:w="1593" w:type="dxa"/>
            <w:shd w:val="clear" w:color="auto" w:fill="FFFFFF" w:themeFill="background1"/>
            <w:tcMar>
              <w:top w:w="0" w:type="dxa"/>
              <w:left w:w="85" w:type="dxa"/>
              <w:bottom w:w="0" w:type="dxa"/>
              <w:right w:w="85" w:type="dxa"/>
            </w:tcMar>
          </w:tcPr>
          <w:p w14:paraId="24DDA1BD" w14:textId="77777777" w:rsidR="00E0181F" w:rsidRPr="001D5327" w:rsidRDefault="00E0181F" w:rsidP="00D11AC9">
            <w:pPr>
              <w:pStyle w:val="TableText"/>
              <w:keepNext/>
              <w:spacing w:before="40" w:after="40"/>
              <w:jc w:val="right"/>
            </w:pPr>
            <w:r w:rsidRPr="001D5327">
              <w:rPr>
                <w:rFonts w:eastAsia="Calibri" w:cs="Calibri"/>
                <w:color w:val="000000" w:themeColor="text1"/>
                <w:szCs w:val="16"/>
              </w:rPr>
              <w:t>21.7</w:t>
            </w:r>
          </w:p>
        </w:tc>
      </w:tr>
      <w:tr w:rsidR="00E0181F" w:rsidRPr="001D5327" w14:paraId="7A01AAF7" w14:textId="77777777" w:rsidTr="00D11AC9">
        <w:tc>
          <w:tcPr>
            <w:tcW w:w="2977" w:type="dxa"/>
            <w:shd w:val="clear" w:color="auto" w:fill="FFFFFF" w:themeFill="background1"/>
            <w:tcMar>
              <w:top w:w="0" w:type="dxa"/>
              <w:left w:w="85" w:type="dxa"/>
              <w:bottom w:w="0" w:type="dxa"/>
              <w:right w:w="85" w:type="dxa"/>
            </w:tcMar>
          </w:tcPr>
          <w:p w14:paraId="41EE59AE" w14:textId="77777777" w:rsidR="00E0181F" w:rsidRPr="001D5327" w:rsidRDefault="00E0181F" w:rsidP="00D11AC9">
            <w:pPr>
              <w:pStyle w:val="TableText"/>
              <w:keepNext/>
              <w:spacing w:before="40" w:after="40"/>
            </w:pPr>
            <w:r w:rsidRPr="001D5327">
              <w:rPr>
                <w:rFonts w:eastAsia="Calibri" w:cs="Calibri"/>
                <w:color w:val="000000" w:themeColor="text1"/>
                <w:szCs w:val="16"/>
              </w:rPr>
              <w:t>Cropland</w:t>
            </w:r>
          </w:p>
        </w:tc>
        <w:tc>
          <w:tcPr>
            <w:tcW w:w="1134" w:type="dxa"/>
            <w:shd w:val="clear" w:color="auto" w:fill="FFFFFF" w:themeFill="background1"/>
            <w:tcMar>
              <w:top w:w="0" w:type="dxa"/>
              <w:left w:w="85" w:type="dxa"/>
              <w:bottom w:w="0" w:type="dxa"/>
              <w:right w:w="85" w:type="dxa"/>
            </w:tcMar>
          </w:tcPr>
          <w:p w14:paraId="6FF332C3" w14:textId="77777777" w:rsidR="00E0181F" w:rsidRPr="001D5327" w:rsidRDefault="00E0181F" w:rsidP="00D11AC9">
            <w:pPr>
              <w:pStyle w:val="TableText"/>
              <w:keepNext/>
              <w:spacing w:before="40" w:after="40"/>
              <w:jc w:val="right"/>
            </w:pPr>
            <w:r w:rsidRPr="001D5327">
              <w:rPr>
                <w:rFonts w:eastAsia="Calibri" w:cs="Calibri"/>
                <w:color w:val="000000" w:themeColor="text1"/>
                <w:szCs w:val="16"/>
              </w:rPr>
              <w:t>478.3</w:t>
            </w:r>
          </w:p>
        </w:tc>
        <w:tc>
          <w:tcPr>
            <w:tcW w:w="1200" w:type="dxa"/>
            <w:shd w:val="clear" w:color="auto" w:fill="FFFFFF" w:themeFill="background1"/>
            <w:tcMar>
              <w:top w:w="0" w:type="dxa"/>
              <w:left w:w="85" w:type="dxa"/>
              <w:bottom w:w="0" w:type="dxa"/>
              <w:right w:w="85" w:type="dxa"/>
            </w:tcMar>
          </w:tcPr>
          <w:p w14:paraId="5FEF58C6" w14:textId="77777777" w:rsidR="00E0181F" w:rsidRPr="001D5327" w:rsidRDefault="00E0181F" w:rsidP="00D11AC9">
            <w:pPr>
              <w:pStyle w:val="TableText"/>
              <w:keepNext/>
              <w:spacing w:before="40" w:after="40"/>
              <w:jc w:val="right"/>
            </w:pPr>
            <w:r w:rsidRPr="001D5327">
              <w:rPr>
                <w:rFonts w:eastAsia="Calibri" w:cs="Calibri"/>
                <w:color w:val="000000" w:themeColor="text1"/>
                <w:szCs w:val="16"/>
              </w:rPr>
              <w:t>749.8</w:t>
            </w:r>
          </w:p>
        </w:tc>
        <w:tc>
          <w:tcPr>
            <w:tcW w:w="1593" w:type="dxa"/>
            <w:shd w:val="clear" w:color="auto" w:fill="FFFFFF" w:themeFill="background1"/>
            <w:tcMar>
              <w:top w:w="0" w:type="dxa"/>
              <w:left w:w="85" w:type="dxa"/>
              <w:bottom w:w="0" w:type="dxa"/>
              <w:right w:w="85" w:type="dxa"/>
            </w:tcMar>
          </w:tcPr>
          <w:p w14:paraId="7C2DA088" w14:textId="77777777" w:rsidR="00E0181F" w:rsidRPr="001D5327" w:rsidRDefault="00E0181F" w:rsidP="00D11AC9">
            <w:pPr>
              <w:pStyle w:val="TableText"/>
              <w:keepNext/>
              <w:spacing w:before="40" w:after="40"/>
              <w:jc w:val="right"/>
            </w:pPr>
            <w:r w:rsidRPr="001D5327">
              <w:rPr>
                <w:rFonts w:eastAsia="Calibri" w:cs="Calibri"/>
                <w:color w:val="000000" w:themeColor="text1"/>
                <w:szCs w:val="16"/>
              </w:rPr>
              <w:t>271.5</w:t>
            </w:r>
          </w:p>
        </w:tc>
        <w:tc>
          <w:tcPr>
            <w:tcW w:w="1593" w:type="dxa"/>
            <w:shd w:val="clear" w:color="auto" w:fill="FFFFFF" w:themeFill="background1"/>
            <w:tcMar>
              <w:top w:w="0" w:type="dxa"/>
              <w:left w:w="85" w:type="dxa"/>
              <w:bottom w:w="0" w:type="dxa"/>
              <w:right w:w="85" w:type="dxa"/>
            </w:tcMar>
          </w:tcPr>
          <w:p w14:paraId="7D74843A" w14:textId="77777777" w:rsidR="00E0181F" w:rsidRPr="001D5327" w:rsidRDefault="00E0181F" w:rsidP="00D11AC9">
            <w:pPr>
              <w:pStyle w:val="TableText"/>
              <w:keepNext/>
              <w:spacing w:before="40" w:after="40"/>
              <w:jc w:val="right"/>
            </w:pPr>
            <w:r w:rsidRPr="001D5327">
              <w:rPr>
                <w:rFonts w:eastAsia="Calibri" w:cs="Calibri"/>
                <w:color w:val="000000" w:themeColor="text1"/>
                <w:szCs w:val="16"/>
              </w:rPr>
              <w:t>56.8</w:t>
            </w:r>
          </w:p>
        </w:tc>
      </w:tr>
      <w:tr w:rsidR="00E0181F" w:rsidRPr="001D5327" w14:paraId="6AD611F7" w14:textId="77777777" w:rsidTr="00D11AC9">
        <w:tc>
          <w:tcPr>
            <w:tcW w:w="2977" w:type="dxa"/>
            <w:shd w:val="clear" w:color="auto" w:fill="FFFFFF" w:themeFill="background1"/>
            <w:tcMar>
              <w:top w:w="0" w:type="dxa"/>
              <w:left w:w="85" w:type="dxa"/>
              <w:bottom w:w="0" w:type="dxa"/>
              <w:right w:w="85" w:type="dxa"/>
            </w:tcMar>
          </w:tcPr>
          <w:p w14:paraId="2D08B659" w14:textId="77777777" w:rsidR="00E0181F" w:rsidRPr="001D5327" w:rsidRDefault="00E0181F" w:rsidP="00D11AC9">
            <w:pPr>
              <w:pStyle w:val="TableText"/>
              <w:spacing w:before="40" w:after="40"/>
            </w:pPr>
            <w:r w:rsidRPr="001D5327">
              <w:rPr>
                <w:rFonts w:eastAsia="Calibri" w:cs="Calibri"/>
                <w:color w:val="000000" w:themeColor="text1"/>
                <w:szCs w:val="16"/>
              </w:rPr>
              <w:t>Grassland</w:t>
            </w:r>
          </w:p>
        </w:tc>
        <w:tc>
          <w:tcPr>
            <w:tcW w:w="1134" w:type="dxa"/>
            <w:shd w:val="clear" w:color="auto" w:fill="FFFFFF" w:themeFill="background1"/>
            <w:tcMar>
              <w:top w:w="0" w:type="dxa"/>
              <w:left w:w="85" w:type="dxa"/>
              <w:bottom w:w="0" w:type="dxa"/>
              <w:right w:w="85" w:type="dxa"/>
            </w:tcMar>
          </w:tcPr>
          <w:p w14:paraId="42484E79" w14:textId="77777777" w:rsidR="00E0181F" w:rsidRPr="001D5327" w:rsidRDefault="00E0181F" w:rsidP="00D11AC9">
            <w:pPr>
              <w:pStyle w:val="TableText"/>
              <w:spacing w:before="40" w:after="40"/>
              <w:jc w:val="right"/>
            </w:pPr>
            <w:r w:rsidRPr="001D5327">
              <w:rPr>
                <w:rFonts w:eastAsia="Calibri" w:cs="Calibri"/>
                <w:color w:val="000000" w:themeColor="text1"/>
                <w:szCs w:val="16"/>
              </w:rPr>
              <w:t>819.9</w:t>
            </w:r>
          </w:p>
        </w:tc>
        <w:tc>
          <w:tcPr>
            <w:tcW w:w="1200" w:type="dxa"/>
            <w:shd w:val="clear" w:color="auto" w:fill="FFFFFF" w:themeFill="background1"/>
            <w:tcMar>
              <w:top w:w="0" w:type="dxa"/>
              <w:left w:w="85" w:type="dxa"/>
              <w:bottom w:w="0" w:type="dxa"/>
              <w:right w:w="85" w:type="dxa"/>
            </w:tcMar>
          </w:tcPr>
          <w:p w14:paraId="6AF73F23" w14:textId="77777777" w:rsidR="00E0181F" w:rsidRPr="001D5327" w:rsidRDefault="00E0181F" w:rsidP="00D11AC9">
            <w:pPr>
              <w:pStyle w:val="TableText"/>
              <w:spacing w:before="40" w:after="40"/>
              <w:jc w:val="right"/>
            </w:pPr>
            <w:r w:rsidRPr="001D5327">
              <w:rPr>
                <w:rFonts w:eastAsia="Calibri" w:cs="Calibri"/>
                <w:color w:val="000000" w:themeColor="text1"/>
                <w:szCs w:val="16"/>
              </w:rPr>
              <w:t>2,884.2</w:t>
            </w:r>
          </w:p>
        </w:tc>
        <w:tc>
          <w:tcPr>
            <w:tcW w:w="1593" w:type="dxa"/>
            <w:shd w:val="clear" w:color="auto" w:fill="FFFFFF" w:themeFill="background1"/>
            <w:tcMar>
              <w:top w:w="0" w:type="dxa"/>
              <w:left w:w="85" w:type="dxa"/>
              <w:bottom w:w="0" w:type="dxa"/>
              <w:right w:w="85" w:type="dxa"/>
            </w:tcMar>
          </w:tcPr>
          <w:p w14:paraId="2A3E10FC" w14:textId="77777777" w:rsidR="00E0181F" w:rsidRPr="001D5327" w:rsidRDefault="00E0181F" w:rsidP="00D11AC9">
            <w:pPr>
              <w:pStyle w:val="TableText"/>
              <w:spacing w:before="40" w:after="40"/>
              <w:jc w:val="right"/>
            </w:pPr>
            <w:r w:rsidRPr="001D5327">
              <w:rPr>
                <w:rFonts w:eastAsia="Calibri" w:cs="Calibri"/>
                <w:color w:val="000000" w:themeColor="text1"/>
                <w:szCs w:val="16"/>
              </w:rPr>
              <w:t>2,064.3</w:t>
            </w:r>
          </w:p>
        </w:tc>
        <w:tc>
          <w:tcPr>
            <w:tcW w:w="1593" w:type="dxa"/>
            <w:shd w:val="clear" w:color="auto" w:fill="FFFFFF" w:themeFill="background1"/>
            <w:tcMar>
              <w:top w:w="0" w:type="dxa"/>
              <w:left w:w="85" w:type="dxa"/>
              <w:bottom w:w="0" w:type="dxa"/>
              <w:right w:w="85" w:type="dxa"/>
            </w:tcMar>
          </w:tcPr>
          <w:p w14:paraId="2A1E6359" w14:textId="77777777" w:rsidR="00E0181F" w:rsidRPr="001D5327" w:rsidRDefault="00E0181F" w:rsidP="00D11AC9">
            <w:pPr>
              <w:pStyle w:val="TableText"/>
              <w:spacing w:before="40" w:after="40"/>
              <w:jc w:val="right"/>
            </w:pPr>
            <w:r w:rsidRPr="001D5327">
              <w:rPr>
                <w:rFonts w:eastAsia="Calibri" w:cs="Calibri"/>
                <w:color w:val="000000" w:themeColor="text1"/>
                <w:szCs w:val="16"/>
              </w:rPr>
              <w:t>251.8</w:t>
            </w:r>
          </w:p>
        </w:tc>
      </w:tr>
      <w:tr w:rsidR="00E0181F" w:rsidRPr="001D5327" w14:paraId="7CDA9327" w14:textId="77777777" w:rsidTr="00D11AC9">
        <w:tc>
          <w:tcPr>
            <w:tcW w:w="2977" w:type="dxa"/>
            <w:shd w:val="clear" w:color="auto" w:fill="FFFFFF" w:themeFill="background1"/>
            <w:tcMar>
              <w:top w:w="0" w:type="dxa"/>
              <w:left w:w="85" w:type="dxa"/>
              <w:bottom w:w="0" w:type="dxa"/>
              <w:right w:w="85" w:type="dxa"/>
            </w:tcMar>
          </w:tcPr>
          <w:p w14:paraId="317C1942" w14:textId="77777777" w:rsidR="00E0181F" w:rsidRPr="001D5327" w:rsidRDefault="00E0181F" w:rsidP="00D11AC9">
            <w:pPr>
              <w:pStyle w:val="TableText"/>
              <w:spacing w:before="40" w:after="40"/>
            </w:pPr>
            <w:r w:rsidRPr="001D5327">
              <w:rPr>
                <w:rFonts w:eastAsia="Calibri" w:cs="Calibri"/>
                <w:color w:val="000000" w:themeColor="text1"/>
                <w:szCs w:val="16"/>
              </w:rPr>
              <w:t>Wetlands</w:t>
            </w:r>
          </w:p>
        </w:tc>
        <w:tc>
          <w:tcPr>
            <w:tcW w:w="1134" w:type="dxa"/>
            <w:shd w:val="clear" w:color="auto" w:fill="FFFFFF" w:themeFill="background1"/>
            <w:tcMar>
              <w:top w:w="0" w:type="dxa"/>
              <w:left w:w="85" w:type="dxa"/>
              <w:bottom w:w="0" w:type="dxa"/>
              <w:right w:w="85" w:type="dxa"/>
            </w:tcMar>
          </w:tcPr>
          <w:p w14:paraId="00E1BB71" w14:textId="4F2B33FF" w:rsidR="00E0181F" w:rsidRPr="001D5327" w:rsidRDefault="0070503C" w:rsidP="00D11AC9">
            <w:pPr>
              <w:pStyle w:val="TableText"/>
              <w:spacing w:before="40" w:after="40"/>
              <w:jc w:val="right"/>
            </w:pPr>
            <w:r>
              <w:rPr>
                <w:rFonts w:eastAsia="Calibri" w:cs="Calibri"/>
                <w:color w:val="000000" w:themeColor="text1"/>
                <w:szCs w:val="16"/>
              </w:rPr>
              <w:t>-</w:t>
            </w:r>
            <w:r w:rsidR="00E0181F" w:rsidRPr="001D5327">
              <w:rPr>
                <w:rFonts w:eastAsia="Calibri" w:cs="Calibri"/>
                <w:color w:val="000000" w:themeColor="text1"/>
                <w:szCs w:val="16"/>
              </w:rPr>
              <w:t>8.3</w:t>
            </w:r>
          </w:p>
        </w:tc>
        <w:tc>
          <w:tcPr>
            <w:tcW w:w="1200" w:type="dxa"/>
            <w:shd w:val="clear" w:color="auto" w:fill="FFFFFF" w:themeFill="background1"/>
            <w:tcMar>
              <w:top w:w="0" w:type="dxa"/>
              <w:left w:w="85" w:type="dxa"/>
              <w:bottom w:w="0" w:type="dxa"/>
              <w:right w:w="85" w:type="dxa"/>
            </w:tcMar>
          </w:tcPr>
          <w:p w14:paraId="6EE095F2" w14:textId="77777777" w:rsidR="00E0181F" w:rsidRPr="001D5327" w:rsidRDefault="00E0181F" w:rsidP="00D11AC9">
            <w:pPr>
              <w:pStyle w:val="TableText"/>
              <w:spacing w:before="40" w:after="40"/>
              <w:jc w:val="right"/>
            </w:pPr>
            <w:r w:rsidRPr="001D5327">
              <w:rPr>
                <w:rFonts w:eastAsia="Calibri" w:cs="Calibri"/>
                <w:color w:val="000000" w:themeColor="text1"/>
                <w:szCs w:val="16"/>
              </w:rPr>
              <w:t>7.5</w:t>
            </w:r>
          </w:p>
        </w:tc>
        <w:tc>
          <w:tcPr>
            <w:tcW w:w="1593" w:type="dxa"/>
            <w:shd w:val="clear" w:color="auto" w:fill="FFFFFF" w:themeFill="background1"/>
            <w:tcMar>
              <w:top w:w="0" w:type="dxa"/>
              <w:left w:w="85" w:type="dxa"/>
              <w:bottom w:w="0" w:type="dxa"/>
              <w:right w:w="85" w:type="dxa"/>
            </w:tcMar>
          </w:tcPr>
          <w:p w14:paraId="38E55216" w14:textId="77777777" w:rsidR="00E0181F" w:rsidRPr="001D5327" w:rsidRDefault="00E0181F" w:rsidP="00D11AC9">
            <w:pPr>
              <w:pStyle w:val="TableText"/>
              <w:spacing w:before="40" w:after="40"/>
              <w:jc w:val="right"/>
            </w:pPr>
            <w:r w:rsidRPr="001D5327">
              <w:rPr>
                <w:rFonts w:eastAsia="Calibri" w:cs="Calibri"/>
                <w:color w:val="000000" w:themeColor="text1"/>
                <w:szCs w:val="16"/>
              </w:rPr>
              <w:t>15.8</w:t>
            </w:r>
          </w:p>
        </w:tc>
        <w:tc>
          <w:tcPr>
            <w:tcW w:w="1593" w:type="dxa"/>
            <w:shd w:val="clear" w:color="auto" w:fill="FFFFFF" w:themeFill="background1"/>
            <w:tcMar>
              <w:top w:w="0" w:type="dxa"/>
              <w:left w:w="85" w:type="dxa"/>
              <w:bottom w:w="0" w:type="dxa"/>
              <w:right w:w="85" w:type="dxa"/>
            </w:tcMar>
          </w:tcPr>
          <w:p w14:paraId="508AEE08" w14:textId="77777777" w:rsidR="00E0181F" w:rsidRPr="001D5327" w:rsidRDefault="00E0181F" w:rsidP="00D11AC9">
            <w:pPr>
              <w:pStyle w:val="TableText"/>
              <w:spacing w:before="40" w:after="40"/>
              <w:jc w:val="right"/>
            </w:pPr>
            <w:r w:rsidRPr="001D5327">
              <w:rPr>
                <w:rFonts w:eastAsia="Calibri" w:cs="Calibri"/>
                <w:color w:val="000000" w:themeColor="text1"/>
                <w:szCs w:val="16"/>
              </w:rPr>
              <w:t>190.4</w:t>
            </w:r>
          </w:p>
        </w:tc>
      </w:tr>
      <w:tr w:rsidR="00E0181F" w:rsidRPr="001D5327" w14:paraId="5A013617" w14:textId="77777777" w:rsidTr="00D11AC9">
        <w:tc>
          <w:tcPr>
            <w:tcW w:w="2977" w:type="dxa"/>
            <w:shd w:val="clear" w:color="auto" w:fill="FFFFFF" w:themeFill="background1"/>
            <w:tcMar>
              <w:top w:w="0" w:type="dxa"/>
              <w:left w:w="85" w:type="dxa"/>
              <w:bottom w:w="0" w:type="dxa"/>
              <w:right w:w="85" w:type="dxa"/>
            </w:tcMar>
          </w:tcPr>
          <w:p w14:paraId="684C2EBC" w14:textId="77777777" w:rsidR="00E0181F" w:rsidRPr="001D5327" w:rsidRDefault="00E0181F" w:rsidP="00D11AC9">
            <w:pPr>
              <w:pStyle w:val="TableText"/>
              <w:spacing w:before="40" w:after="40"/>
            </w:pPr>
            <w:r w:rsidRPr="001D5327">
              <w:rPr>
                <w:rFonts w:eastAsia="Calibri" w:cs="Calibri"/>
                <w:color w:val="000000" w:themeColor="text1"/>
                <w:szCs w:val="16"/>
              </w:rPr>
              <w:t>Settlements</w:t>
            </w:r>
          </w:p>
        </w:tc>
        <w:tc>
          <w:tcPr>
            <w:tcW w:w="1134" w:type="dxa"/>
            <w:shd w:val="clear" w:color="auto" w:fill="FFFFFF" w:themeFill="background1"/>
            <w:tcMar>
              <w:top w:w="0" w:type="dxa"/>
              <w:left w:w="85" w:type="dxa"/>
              <w:bottom w:w="0" w:type="dxa"/>
              <w:right w:w="85" w:type="dxa"/>
            </w:tcMar>
          </w:tcPr>
          <w:p w14:paraId="4DA9CDF8" w14:textId="77777777" w:rsidR="00E0181F" w:rsidRPr="001D5327" w:rsidRDefault="00E0181F" w:rsidP="00D11AC9">
            <w:pPr>
              <w:pStyle w:val="TableText"/>
              <w:spacing w:before="40" w:after="40"/>
              <w:jc w:val="right"/>
            </w:pPr>
            <w:r w:rsidRPr="001D5327">
              <w:rPr>
                <w:rFonts w:eastAsia="Calibri" w:cs="Calibri"/>
                <w:color w:val="000000" w:themeColor="text1"/>
                <w:szCs w:val="16"/>
              </w:rPr>
              <w:t>78.5</w:t>
            </w:r>
          </w:p>
        </w:tc>
        <w:tc>
          <w:tcPr>
            <w:tcW w:w="1200" w:type="dxa"/>
            <w:shd w:val="clear" w:color="auto" w:fill="FFFFFF" w:themeFill="background1"/>
            <w:tcMar>
              <w:top w:w="0" w:type="dxa"/>
              <w:left w:w="85" w:type="dxa"/>
              <w:bottom w:w="0" w:type="dxa"/>
              <w:right w:w="85" w:type="dxa"/>
            </w:tcMar>
          </w:tcPr>
          <w:p w14:paraId="064F7D9C" w14:textId="77777777" w:rsidR="00E0181F" w:rsidRPr="001D5327" w:rsidRDefault="00E0181F" w:rsidP="00D11AC9">
            <w:pPr>
              <w:pStyle w:val="TableText"/>
              <w:spacing w:before="40" w:after="40"/>
              <w:jc w:val="right"/>
            </w:pPr>
            <w:r w:rsidRPr="001D5327">
              <w:rPr>
                <w:rFonts w:eastAsia="Calibri" w:cs="Calibri"/>
                <w:color w:val="000000" w:themeColor="text1"/>
                <w:szCs w:val="16"/>
              </w:rPr>
              <w:t>119.3</w:t>
            </w:r>
          </w:p>
        </w:tc>
        <w:tc>
          <w:tcPr>
            <w:tcW w:w="1593" w:type="dxa"/>
            <w:shd w:val="clear" w:color="auto" w:fill="FFFFFF" w:themeFill="background1"/>
            <w:tcMar>
              <w:top w:w="0" w:type="dxa"/>
              <w:left w:w="85" w:type="dxa"/>
              <w:bottom w:w="0" w:type="dxa"/>
              <w:right w:w="85" w:type="dxa"/>
            </w:tcMar>
          </w:tcPr>
          <w:p w14:paraId="32928D55" w14:textId="77777777" w:rsidR="00E0181F" w:rsidRPr="001D5327" w:rsidRDefault="00E0181F" w:rsidP="00D11AC9">
            <w:pPr>
              <w:pStyle w:val="TableText"/>
              <w:spacing w:before="40" w:after="40"/>
              <w:jc w:val="right"/>
            </w:pPr>
            <w:r w:rsidRPr="001D5327">
              <w:rPr>
                <w:rFonts w:eastAsia="Calibri" w:cs="Calibri"/>
                <w:color w:val="000000" w:themeColor="text1"/>
                <w:szCs w:val="16"/>
              </w:rPr>
              <w:t>40.7</w:t>
            </w:r>
          </w:p>
        </w:tc>
        <w:tc>
          <w:tcPr>
            <w:tcW w:w="1593" w:type="dxa"/>
            <w:shd w:val="clear" w:color="auto" w:fill="FFFFFF" w:themeFill="background1"/>
            <w:tcMar>
              <w:top w:w="0" w:type="dxa"/>
              <w:left w:w="85" w:type="dxa"/>
              <w:bottom w:w="0" w:type="dxa"/>
              <w:right w:w="85" w:type="dxa"/>
            </w:tcMar>
          </w:tcPr>
          <w:p w14:paraId="3B44D08B" w14:textId="77777777" w:rsidR="00E0181F" w:rsidRPr="001D5327" w:rsidRDefault="00E0181F" w:rsidP="00D11AC9">
            <w:pPr>
              <w:pStyle w:val="TableText"/>
              <w:spacing w:before="40" w:after="40"/>
              <w:jc w:val="right"/>
            </w:pPr>
            <w:r w:rsidRPr="001D5327">
              <w:rPr>
                <w:rFonts w:eastAsia="Calibri" w:cs="Calibri"/>
                <w:color w:val="000000" w:themeColor="text1"/>
                <w:szCs w:val="16"/>
              </w:rPr>
              <w:t>51.9</w:t>
            </w:r>
          </w:p>
        </w:tc>
      </w:tr>
      <w:tr w:rsidR="00E0181F" w:rsidRPr="001D5327" w14:paraId="03A7BDDC" w14:textId="77777777" w:rsidTr="00D11AC9">
        <w:tc>
          <w:tcPr>
            <w:tcW w:w="2977" w:type="dxa"/>
            <w:shd w:val="clear" w:color="auto" w:fill="FFFFFF" w:themeFill="background1"/>
            <w:tcMar>
              <w:top w:w="0" w:type="dxa"/>
              <w:left w:w="85" w:type="dxa"/>
              <w:bottom w:w="0" w:type="dxa"/>
              <w:right w:w="85" w:type="dxa"/>
            </w:tcMar>
          </w:tcPr>
          <w:p w14:paraId="7B850923" w14:textId="77777777" w:rsidR="00E0181F" w:rsidRPr="001D5327" w:rsidRDefault="00E0181F" w:rsidP="00D11AC9">
            <w:pPr>
              <w:pStyle w:val="TableText"/>
              <w:spacing w:before="40" w:after="40"/>
            </w:pPr>
            <w:r w:rsidRPr="001D5327">
              <w:rPr>
                <w:rFonts w:eastAsia="Calibri" w:cs="Calibri"/>
                <w:color w:val="000000" w:themeColor="text1"/>
                <w:szCs w:val="16"/>
              </w:rPr>
              <w:t>Other land</w:t>
            </w:r>
          </w:p>
        </w:tc>
        <w:tc>
          <w:tcPr>
            <w:tcW w:w="1134" w:type="dxa"/>
            <w:shd w:val="clear" w:color="auto" w:fill="FFFFFF" w:themeFill="background1"/>
            <w:tcMar>
              <w:top w:w="0" w:type="dxa"/>
              <w:left w:w="85" w:type="dxa"/>
              <w:bottom w:w="0" w:type="dxa"/>
              <w:right w:w="85" w:type="dxa"/>
            </w:tcMar>
          </w:tcPr>
          <w:p w14:paraId="39BC7C6D" w14:textId="77777777" w:rsidR="00E0181F" w:rsidRPr="001D5327" w:rsidRDefault="00E0181F" w:rsidP="00D11AC9">
            <w:pPr>
              <w:pStyle w:val="TableText"/>
              <w:spacing w:before="40" w:after="40"/>
              <w:jc w:val="right"/>
            </w:pPr>
            <w:r w:rsidRPr="001D5327">
              <w:rPr>
                <w:rFonts w:eastAsia="Calibri" w:cs="Calibri"/>
                <w:color w:val="000000" w:themeColor="text1"/>
                <w:szCs w:val="16"/>
              </w:rPr>
              <w:t>14.8</w:t>
            </w:r>
          </w:p>
        </w:tc>
        <w:tc>
          <w:tcPr>
            <w:tcW w:w="1200" w:type="dxa"/>
            <w:shd w:val="clear" w:color="auto" w:fill="FFFFFF" w:themeFill="background1"/>
            <w:tcMar>
              <w:top w:w="0" w:type="dxa"/>
              <w:left w:w="85" w:type="dxa"/>
              <w:bottom w:w="0" w:type="dxa"/>
              <w:right w:w="85" w:type="dxa"/>
            </w:tcMar>
          </w:tcPr>
          <w:p w14:paraId="0EFE2D0E" w14:textId="77777777" w:rsidR="00E0181F" w:rsidRPr="001D5327" w:rsidRDefault="00E0181F" w:rsidP="00D11AC9">
            <w:pPr>
              <w:pStyle w:val="TableText"/>
              <w:spacing w:before="40" w:after="40"/>
              <w:jc w:val="right"/>
            </w:pPr>
            <w:r w:rsidRPr="001D5327">
              <w:rPr>
                <w:rFonts w:eastAsia="Calibri" w:cs="Calibri"/>
                <w:color w:val="000000" w:themeColor="text1"/>
                <w:szCs w:val="16"/>
              </w:rPr>
              <w:t>86.1</w:t>
            </w:r>
          </w:p>
        </w:tc>
        <w:tc>
          <w:tcPr>
            <w:tcW w:w="1593" w:type="dxa"/>
            <w:shd w:val="clear" w:color="auto" w:fill="FFFFFF" w:themeFill="background1"/>
            <w:tcMar>
              <w:top w:w="0" w:type="dxa"/>
              <w:left w:w="85" w:type="dxa"/>
              <w:bottom w:w="0" w:type="dxa"/>
              <w:right w:w="85" w:type="dxa"/>
            </w:tcMar>
          </w:tcPr>
          <w:p w14:paraId="48132231" w14:textId="77777777" w:rsidR="00E0181F" w:rsidRPr="001D5327" w:rsidRDefault="00E0181F" w:rsidP="00D11AC9">
            <w:pPr>
              <w:pStyle w:val="TableText"/>
              <w:spacing w:before="40" w:after="40"/>
              <w:jc w:val="right"/>
            </w:pPr>
            <w:r w:rsidRPr="001D5327">
              <w:rPr>
                <w:rFonts w:eastAsia="Calibri" w:cs="Calibri"/>
                <w:color w:val="000000" w:themeColor="text1"/>
                <w:szCs w:val="16"/>
              </w:rPr>
              <w:t>71.3</w:t>
            </w:r>
          </w:p>
        </w:tc>
        <w:tc>
          <w:tcPr>
            <w:tcW w:w="1593" w:type="dxa"/>
            <w:shd w:val="clear" w:color="auto" w:fill="FFFFFF" w:themeFill="background1"/>
            <w:tcMar>
              <w:top w:w="0" w:type="dxa"/>
              <w:left w:w="85" w:type="dxa"/>
              <w:bottom w:w="0" w:type="dxa"/>
              <w:right w:w="85" w:type="dxa"/>
            </w:tcMar>
          </w:tcPr>
          <w:p w14:paraId="21137CCE" w14:textId="77777777" w:rsidR="00E0181F" w:rsidRPr="001D5327" w:rsidRDefault="00E0181F" w:rsidP="00D11AC9">
            <w:pPr>
              <w:pStyle w:val="TableText"/>
              <w:spacing w:before="40" w:after="40"/>
              <w:jc w:val="right"/>
            </w:pPr>
            <w:r w:rsidRPr="001D5327">
              <w:rPr>
                <w:rFonts w:eastAsia="Calibri" w:cs="Calibri"/>
                <w:color w:val="000000" w:themeColor="text1"/>
                <w:szCs w:val="16"/>
              </w:rPr>
              <w:t>482.4</w:t>
            </w:r>
          </w:p>
        </w:tc>
      </w:tr>
      <w:tr w:rsidR="00E0181F" w:rsidRPr="001D5327" w14:paraId="0EC8E8FA" w14:textId="77777777" w:rsidTr="00D11AC9">
        <w:tc>
          <w:tcPr>
            <w:tcW w:w="2977" w:type="dxa"/>
            <w:shd w:val="clear" w:color="auto" w:fill="FFFFFF" w:themeFill="background1"/>
            <w:tcMar>
              <w:top w:w="0" w:type="dxa"/>
              <w:left w:w="85" w:type="dxa"/>
              <w:bottom w:w="0" w:type="dxa"/>
              <w:right w:w="85" w:type="dxa"/>
            </w:tcMar>
          </w:tcPr>
          <w:p w14:paraId="552B5E4A" w14:textId="77777777" w:rsidR="00E0181F" w:rsidRPr="001D5327" w:rsidRDefault="00E0181F" w:rsidP="00D11AC9">
            <w:pPr>
              <w:pStyle w:val="TableText"/>
              <w:spacing w:before="40" w:after="40"/>
            </w:pPr>
            <w:r w:rsidRPr="001D5327">
              <w:rPr>
                <w:rFonts w:eastAsia="Calibri" w:cs="Calibri"/>
                <w:color w:val="000000" w:themeColor="text1"/>
                <w:szCs w:val="16"/>
              </w:rPr>
              <w:t>Harvested wood products</w:t>
            </w:r>
          </w:p>
        </w:tc>
        <w:tc>
          <w:tcPr>
            <w:tcW w:w="1134" w:type="dxa"/>
            <w:shd w:val="clear" w:color="auto" w:fill="FFFFFF" w:themeFill="background1"/>
            <w:tcMar>
              <w:top w:w="0" w:type="dxa"/>
              <w:left w:w="85" w:type="dxa"/>
              <w:bottom w:w="0" w:type="dxa"/>
              <w:right w:w="85" w:type="dxa"/>
            </w:tcMar>
          </w:tcPr>
          <w:p w14:paraId="7BCD0DA7" w14:textId="2AAF5FBA" w:rsidR="00E0181F" w:rsidRPr="001D5327" w:rsidRDefault="0070503C" w:rsidP="00D11AC9">
            <w:pPr>
              <w:pStyle w:val="TableText"/>
              <w:spacing w:before="40" w:after="40"/>
              <w:jc w:val="right"/>
            </w:pPr>
            <w:r>
              <w:rPr>
                <w:rFonts w:eastAsia="Calibri" w:cs="Calibri"/>
                <w:color w:val="000000" w:themeColor="text1"/>
                <w:szCs w:val="16"/>
              </w:rPr>
              <w:t>-</w:t>
            </w:r>
            <w:r w:rsidR="00E0181F" w:rsidRPr="001D5327">
              <w:rPr>
                <w:rFonts w:eastAsia="Calibri" w:cs="Calibri"/>
                <w:color w:val="000000" w:themeColor="text1"/>
                <w:szCs w:val="16"/>
              </w:rPr>
              <w:t>2,437.8</w:t>
            </w:r>
          </w:p>
        </w:tc>
        <w:tc>
          <w:tcPr>
            <w:tcW w:w="1200" w:type="dxa"/>
            <w:shd w:val="clear" w:color="auto" w:fill="FFFFFF" w:themeFill="background1"/>
            <w:tcMar>
              <w:top w:w="0" w:type="dxa"/>
              <w:left w:w="85" w:type="dxa"/>
              <w:bottom w:w="0" w:type="dxa"/>
              <w:right w:w="85" w:type="dxa"/>
            </w:tcMar>
          </w:tcPr>
          <w:p w14:paraId="0491B888" w14:textId="61A58027" w:rsidR="00E0181F" w:rsidRPr="001D5327" w:rsidRDefault="0070503C" w:rsidP="00D11AC9">
            <w:pPr>
              <w:pStyle w:val="TableText"/>
              <w:spacing w:before="40" w:after="40"/>
              <w:jc w:val="right"/>
            </w:pPr>
            <w:r>
              <w:rPr>
                <w:rFonts w:eastAsia="Calibri" w:cs="Calibri"/>
                <w:color w:val="000000" w:themeColor="text1"/>
                <w:szCs w:val="16"/>
              </w:rPr>
              <w:t>-</w:t>
            </w:r>
            <w:r w:rsidR="00E0181F" w:rsidRPr="001D5327">
              <w:rPr>
                <w:rFonts w:eastAsia="Calibri" w:cs="Calibri"/>
                <w:color w:val="000000" w:themeColor="text1"/>
                <w:szCs w:val="16"/>
              </w:rPr>
              <w:t>5,808.3</w:t>
            </w:r>
          </w:p>
        </w:tc>
        <w:tc>
          <w:tcPr>
            <w:tcW w:w="1593" w:type="dxa"/>
            <w:shd w:val="clear" w:color="auto" w:fill="FFFFFF" w:themeFill="background1"/>
            <w:tcMar>
              <w:top w:w="0" w:type="dxa"/>
              <w:left w:w="85" w:type="dxa"/>
              <w:bottom w:w="0" w:type="dxa"/>
              <w:right w:w="85" w:type="dxa"/>
            </w:tcMar>
          </w:tcPr>
          <w:p w14:paraId="6560EC6E" w14:textId="132817B8" w:rsidR="00E0181F" w:rsidRPr="001D5327" w:rsidRDefault="0070503C" w:rsidP="00D11AC9">
            <w:pPr>
              <w:pStyle w:val="TableText"/>
              <w:spacing w:before="40" w:after="40"/>
              <w:jc w:val="right"/>
            </w:pPr>
            <w:r>
              <w:rPr>
                <w:rFonts w:eastAsia="Calibri" w:cs="Calibri"/>
                <w:color w:val="000000" w:themeColor="text1"/>
                <w:szCs w:val="16"/>
              </w:rPr>
              <w:t>-</w:t>
            </w:r>
            <w:r w:rsidR="00E0181F" w:rsidRPr="001D5327">
              <w:rPr>
                <w:rFonts w:eastAsia="Calibri" w:cs="Calibri"/>
                <w:color w:val="000000" w:themeColor="text1"/>
                <w:szCs w:val="16"/>
              </w:rPr>
              <w:t>3,370.5</w:t>
            </w:r>
          </w:p>
        </w:tc>
        <w:tc>
          <w:tcPr>
            <w:tcW w:w="1593" w:type="dxa"/>
            <w:shd w:val="clear" w:color="auto" w:fill="FFFFFF" w:themeFill="background1"/>
            <w:tcMar>
              <w:top w:w="0" w:type="dxa"/>
              <w:left w:w="85" w:type="dxa"/>
              <w:bottom w:w="0" w:type="dxa"/>
              <w:right w:w="85" w:type="dxa"/>
            </w:tcMar>
          </w:tcPr>
          <w:p w14:paraId="525B2C8C" w14:textId="40542FCC" w:rsidR="00E0181F" w:rsidRPr="001D5327" w:rsidRDefault="0070503C" w:rsidP="00D11AC9">
            <w:pPr>
              <w:pStyle w:val="TableText"/>
              <w:spacing w:before="40" w:after="40"/>
              <w:jc w:val="right"/>
            </w:pPr>
            <w:r>
              <w:rPr>
                <w:rFonts w:eastAsia="Calibri" w:cs="Calibri"/>
                <w:color w:val="000000" w:themeColor="text1"/>
                <w:szCs w:val="16"/>
              </w:rPr>
              <w:t>-</w:t>
            </w:r>
            <w:r w:rsidR="00E0181F" w:rsidRPr="001D5327">
              <w:rPr>
                <w:rFonts w:eastAsia="Calibri" w:cs="Calibri"/>
                <w:color w:val="000000" w:themeColor="text1"/>
                <w:szCs w:val="16"/>
              </w:rPr>
              <w:t>138.3</w:t>
            </w:r>
          </w:p>
        </w:tc>
      </w:tr>
      <w:tr w:rsidR="00E0181F" w:rsidRPr="001D5327" w14:paraId="1E430BC6" w14:textId="77777777" w:rsidTr="00D11AC9">
        <w:tc>
          <w:tcPr>
            <w:tcW w:w="2977" w:type="dxa"/>
            <w:shd w:val="clear" w:color="auto" w:fill="FFFFFF" w:themeFill="background1"/>
            <w:tcMar>
              <w:top w:w="0" w:type="dxa"/>
              <w:left w:w="85" w:type="dxa"/>
              <w:bottom w:w="0" w:type="dxa"/>
              <w:right w:w="85" w:type="dxa"/>
            </w:tcMar>
          </w:tcPr>
          <w:p w14:paraId="4C9E8ACC" w14:textId="77777777" w:rsidR="00E0181F" w:rsidRPr="001D5327" w:rsidRDefault="00E0181F" w:rsidP="00D11AC9">
            <w:pPr>
              <w:pStyle w:val="TableText"/>
              <w:spacing w:before="40" w:after="40"/>
            </w:pPr>
            <w:r w:rsidRPr="001D5327">
              <w:rPr>
                <w:rFonts w:eastAsia="Calibri" w:cs="Calibri"/>
                <w:b/>
                <w:bCs/>
                <w:color w:val="1B556B" w:themeColor="text2"/>
                <w:szCs w:val="16"/>
              </w:rPr>
              <w:t>Total LULUCF</w:t>
            </w:r>
          </w:p>
        </w:tc>
        <w:tc>
          <w:tcPr>
            <w:tcW w:w="1134" w:type="dxa"/>
            <w:shd w:val="clear" w:color="auto" w:fill="FFFFFF" w:themeFill="background1"/>
            <w:tcMar>
              <w:top w:w="0" w:type="dxa"/>
              <w:left w:w="85" w:type="dxa"/>
              <w:bottom w:w="0" w:type="dxa"/>
              <w:right w:w="85" w:type="dxa"/>
            </w:tcMar>
          </w:tcPr>
          <w:p w14:paraId="793F94FD" w14:textId="24716FCA" w:rsidR="00E0181F" w:rsidRPr="001D5327" w:rsidRDefault="0070503C" w:rsidP="00D11AC9">
            <w:pPr>
              <w:pStyle w:val="TableText"/>
              <w:spacing w:before="40" w:after="40"/>
              <w:jc w:val="right"/>
            </w:pPr>
            <w:r>
              <w:rPr>
                <w:rFonts w:eastAsia="Calibri" w:cs="Calibri"/>
                <w:b/>
                <w:bCs/>
                <w:color w:val="1B556B" w:themeColor="text2"/>
                <w:szCs w:val="16"/>
              </w:rPr>
              <w:t>-</w:t>
            </w:r>
            <w:r w:rsidR="00E0181F" w:rsidRPr="001D5327">
              <w:rPr>
                <w:rFonts w:eastAsia="Calibri" w:cs="Calibri"/>
                <w:b/>
                <w:bCs/>
                <w:color w:val="1B556B" w:themeColor="text2"/>
                <w:szCs w:val="16"/>
              </w:rPr>
              <w:t>24,334.1</w:t>
            </w:r>
          </w:p>
        </w:tc>
        <w:tc>
          <w:tcPr>
            <w:tcW w:w="1200" w:type="dxa"/>
            <w:shd w:val="clear" w:color="auto" w:fill="FFFFFF" w:themeFill="background1"/>
            <w:tcMar>
              <w:top w:w="0" w:type="dxa"/>
              <w:left w:w="85" w:type="dxa"/>
              <w:bottom w:w="0" w:type="dxa"/>
              <w:right w:w="85" w:type="dxa"/>
            </w:tcMar>
          </w:tcPr>
          <w:p w14:paraId="1743A8CC" w14:textId="0A65E886" w:rsidR="00E0181F" w:rsidRPr="001D5327" w:rsidRDefault="0070503C" w:rsidP="00D11AC9">
            <w:pPr>
              <w:pStyle w:val="TableText"/>
              <w:spacing w:before="40" w:after="40"/>
              <w:jc w:val="right"/>
            </w:pPr>
            <w:r>
              <w:rPr>
                <w:rFonts w:eastAsia="Calibri" w:cs="Calibri"/>
                <w:b/>
                <w:bCs/>
                <w:color w:val="1B556B" w:themeColor="text2"/>
                <w:szCs w:val="16"/>
              </w:rPr>
              <w:t>-</w:t>
            </w:r>
            <w:r w:rsidR="00E0181F" w:rsidRPr="001D5327">
              <w:rPr>
                <w:rFonts w:eastAsia="Calibri" w:cs="Calibri"/>
                <w:b/>
                <w:bCs/>
                <w:color w:val="1B556B" w:themeColor="text2"/>
                <w:szCs w:val="16"/>
              </w:rPr>
              <w:t>20,197.1</w:t>
            </w:r>
          </w:p>
        </w:tc>
        <w:tc>
          <w:tcPr>
            <w:tcW w:w="1593" w:type="dxa"/>
            <w:shd w:val="clear" w:color="auto" w:fill="FFFFFF" w:themeFill="background1"/>
            <w:tcMar>
              <w:top w:w="0" w:type="dxa"/>
              <w:left w:w="85" w:type="dxa"/>
              <w:bottom w:w="0" w:type="dxa"/>
              <w:right w:w="85" w:type="dxa"/>
            </w:tcMar>
          </w:tcPr>
          <w:p w14:paraId="19AF4964" w14:textId="77777777" w:rsidR="00E0181F" w:rsidRPr="001D5327" w:rsidRDefault="00E0181F" w:rsidP="00D11AC9">
            <w:pPr>
              <w:pStyle w:val="TableText"/>
              <w:spacing w:before="40" w:after="40"/>
              <w:jc w:val="right"/>
            </w:pPr>
            <w:r w:rsidRPr="001D5327">
              <w:rPr>
                <w:rFonts w:eastAsia="Calibri" w:cs="Calibri"/>
                <w:b/>
                <w:bCs/>
                <w:color w:val="1B556B" w:themeColor="text2"/>
                <w:szCs w:val="16"/>
              </w:rPr>
              <w:t>4,136.9</w:t>
            </w:r>
          </w:p>
        </w:tc>
        <w:tc>
          <w:tcPr>
            <w:tcW w:w="1593" w:type="dxa"/>
            <w:shd w:val="clear" w:color="auto" w:fill="FFFFFF" w:themeFill="background1"/>
            <w:tcMar>
              <w:top w:w="0" w:type="dxa"/>
              <w:left w:w="85" w:type="dxa"/>
              <w:bottom w:w="0" w:type="dxa"/>
              <w:right w:w="85" w:type="dxa"/>
            </w:tcMar>
          </w:tcPr>
          <w:p w14:paraId="749F4C67" w14:textId="77777777" w:rsidR="00E0181F" w:rsidRPr="001D5327" w:rsidRDefault="00E0181F" w:rsidP="00D11AC9">
            <w:pPr>
              <w:pStyle w:val="TableText"/>
              <w:spacing w:before="40" w:after="40"/>
              <w:jc w:val="right"/>
            </w:pPr>
            <w:r w:rsidRPr="001D5327">
              <w:rPr>
                <w:rFonts w:eastAsia="Calibri" w:cs="Calibri"/>
                <w:b/>
                <w:bCs/>
                <w:color w:val="1B556B" w:themeColor="text2"/>
                <w:szCs w:val="16"/>
              </w:rPr>
              <w:t>17.0</w:t>
            </w:r>
          </w:p>
        </w:tc>
      </w:tr>
    </w:tbl>
    <w:p w14:paraId="0D276441" w14:textId="77777777" w:rsidR="00E0181F" w:rsidRPr="001D5327" w:rsidRDefault="00E0181F" w:rsidP="00E0181F">
      <w:pPr>
        <w:pStyle w:val="Noteundertable"/>
      </w:pPr>
      <w:r w:rsidRPr="001D5327">
        <w:rPr>
          <w:b/>
          <w:bCs/>
        </w:rPr>
        <w:t>Notes:</w:t>
      </w:r>
      <w:r w:rsidRPr="001D5327">
        <w:tab/>
        <w:t xml:space="preserve">Net emissions are expressed as a negative value in the table to help the reader in clarifying that the value is a removal (of carbon dioxide equivalent from the atmosphere) and not an emission. Columns may not total due to rounding. Percentages presented are calculated from unrounded values. </w:t>
      </w:r>
    </w:p>
    <w:p w14:paraId="3B3DC35E" w14:textId="77777777" w:rsidR="00E0181F" w:rsidRPr="001D5327" w:rsidRDefault="00E0181F" w:rsidP="00E0181F">
      <w:pPr>
        <w:pStyle w:val="Figure"/>
      </w:pPr>
      <w:bookmarkStart w:id="1579" w:name="_Toc405448081"/>
      <w:bookmarkStart w:id="1580" w:name="_Toc414531613"/>
      <w:bookmarkStart w:id="1581" w:name="_Toc474914636"/>
      <w:bookmarkStart w:id="1582" w:name="_Toc481752018"/>
      <w:bookmarkStart w:id="1583" w:name="_Toc522010696"/>
      <w:bookmarkStart w:id="1584" w:name="_Toc5269699"/>
      <w:bookmarkStart w:id="1585" w:name="_Toc33529470"/>
      <w:bookmarkStart w:id="1586" w:name="_Toc36292800"/>
      <w:bookmarkStart w:id="1587" w:name="_Toc65244092"/>
      <w:bookmarkStart w:id="1588" w:name="_Toc131591567"/>
      <w:bookmarkStart w:id="1589" w:name="_Toc158979907"/>
      <w:bookmarkStart w:id="1590" w:name="_Toc164154035"/>
      <w:bookmarkStart w:id="1591" w:name="_Toc190873404"/>
      <w:bookmarkStart w:id="1592" w:name="_Toc194674868"/>
      <w:r w:rsidRPr="001D5327">
        <w:t>Figure 6.1.1</w:t>
      </w:r>
      <w:r w:rsidRPr="001D5327">
        <w:tab/>
        <w:t>New Zealand’s annual net emissions from the LULUCF sector from 1990 to </w:t>
      </w:r>
      <w:bookmarkEnd w:id="1579"/>
      <w:bookmarkEnd w:id="1580"/>
      <w:bookmarkEnd w:id="1581"/>
      <w:bookmarkEnd w:id="1582"/>
      <w:bookmarkEnd w:id="1583"/>
      <w:bookmarkEnd w:id="1584"/>
      <w:bookmarkEnd w:id="1585"/>
      <w:bookmarkEnd w:id="1586"/>
      <w:bookmarkEnd w:id="1587"/>
      <w:bookmarkEnd w:id="1588"/>
      <w:bookmarkEnd w:id="1589"/>
      <w:bookmarkEnd w:id="1590"/>
      <w:r w:rsidRPr="001D5327">
        <w:t>2023</w:t>
      </w:r>
      <w:bookmarkEnd w:id="1591"/>
      <w:bookmarkEnd w:id="1592"/>
    </w:p>
    <w:p w14:paraId="4B7CB800" w14:textId="77777777" w:rsidR="00E0181F" w:rsidRPr="001D5327" w:rsidRDefault="00E0181F" w:rsidP="00E0181F">
      <w:pPr>
        <w:pStyle w:val="BodyText"/>
        <w:jc w:val="center"/>
      </w:pPr>
      <w:r w:rsidRPr="001D5327">
        <w:rPr>
          <w:noProof/>
        </w:rPr>
        <w:drawing>
          <wp:inline distT="0" distB="0" distL="0" distR="0" wp14:anchorId="50B6F8AD" wp14:editId="166ED39A">
            <wp:extent cx="4572000" cy="3581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noChangeArrowheads="1"/>
                    </pic:cNvPicPr>
                  </pic:nvPicPr>
                  <pic:blipFill rotWithShape="1">
                    <a:blip r:embed="rId195" cstate="print"/>
                    <a:srcRect t="1" b="2084"/>
                    <a:stretch/>
                  </pic:blipFill>
                  <pic:spPr bwMode="auto">
                    <a:xfrm>
                      <a:off x="0" y="0"/>
                      <a:ext cx="63500" cy="49742"/>
                    </a:xfrm>
                    <a:prstGeom prst="rect">
                      <a:avLst/>
                    </a:prstGeom>
                    <a:noFill/>
                    <a:ln>
                      <a:noFill/>
                    </a:ln>
                    <a:extLst>
                      <a:ext uri="{53640926-AAD7-44D8-BBD7-CCE9431645EC}">
                        <a14:shadowObscured xmlns:a14="http://schemas.microsoft.com/office/drawing/2010/main"/>
                      </a:ext>
                    </a:extLst>
                  </pic:spPr>
                </pic:pic>
              </a:graphicData>
            </a:graphic>
          </wp:inline>
        </w:drawing>
      </w:r>
    </w:p>
    <w:p w14:paraId="0AABC373" w14:textId="77777777" w:rsidR="00E0181F" w:rsidRPr="001D5327" w:rsidRDefault="00E0181F" w:rsidP="00E0181F">
      <w:pPr>
        <w:pStyle w:val="BodyText"/>
      </w:pPr>
      <w:r w:rsidRPr="001D5327">
        <w:t xml:space="preserve">Emissions in the LULUCF sector are primarily driven by the harvest of production forests, deforestation and the decomposition of organic material following these activities. Removals </w:t>
      </w:r>
      <w:r w:rsidRPr="001D5327">
        <w:rPr>
          <w:spacing w:val="-2"/>
        </w:rPr>
        <w:t>are mainly from the sequestration of carbon that occurs due to plant growth and the production</w:t>
      </w:r>
      <w:r w:rsidRPr="001D5327">
        <w:t xml:space="preserve"> of harvested wood products. Nitrous oxide can be emitted from the ecosystem as a by-product of nitrification and de</w:t>
      </w:r>
      <w:r w:rsidRPr="001D5327">
        <w:noBreakHyphen/>
        <w:t>nitrification, and the burning of organic matter. Other gases released during biomass burning include CH</w:t>
      </w:r>
      <w:r w:rsidRPr="001D5327">
        <w:rPr>
          <w:vertAlign w:val="subscript"/>
        </w:rPr>
        <w:t>4</w:t>
      </w:r>
      <w:r w:rsidRPr="001D5327">
        <w:t>, carbon monoxide (CO), other oxides of nitrogen (NO</w:t>
      </w:r>
      <w:r w:rsidRPr="001D5327">
        <w:rPr>
          <w:vertAlign w:val="subscript"/>
        </w:rPr>
        <w:t>x</w:t>
      </w:r>
      <w:r w:rsidRPr="001D5327">
        <w:t xml:space="preserve">) and non-methane volatile organic compounds (NMVOCs). </w:t>
      </w:r>
    </w:p>
    <w:p w14:paraId="7A75D862" w14:textId="77777777" w:rsidR="00E0181F" w:rsidRPr="001D5327" w:rsidRDefault="00E0181F" w:rsidP="00E0181F">
      <w:pPr>
        <w:pStyle w:val="Heading4"/>
      </w:pPr>
      <w:r w:rsidRPr="001D5327">
        <w:t>2022–2023</w:t>
      </w:r>
    </w:p>
    <w:p w14:paraId="15FB1DFE" w14:textId="77777777" w:rsidR="00E0181F" w:rsidRPr="001D5327" w:rsidRDefault="00E0181F" w:rsidP="00E0181F">
      <w:pPr>
        <w:pStyle w:val="BodyText"/>
      </w:pPr>
      <w:r w:rsidRPr="001D5327">
        <w:t>Net emissions from the LULUCF sector decreased between 2022 and 2023 by 824.4 kt CO</w:t>
      </w:r>
      <w:r w:rsidRPr="001D5327">
        <w:rPr>
          <w:vertAlign w:val="subscript"/>
        </w:rPr>
        <w:t>2</w:t>
      </w:r>
      <w:r w:rsidRPr="001D5327">
        <w:t xml:space="preserve">-e (4.3 per cent) (see table 6.1.2). </w:t>
      </w:r>
    </w:p>
    <w:p w14:paraId="5DBA4C73" w14:textId="77777777" w:rsidR="00E0181F" w:rsidRPr="001D5327" w:rsidRDefault="00E0181F" w:rsidP="00E0181F">
      <w:pPr>
        <w:pStyle w:val="BodyText"/>
      </w:pPr>
      <w:r w:rsidRPr="001D5327">
        <w:lastRenderedPageBreak/>
        <w:t xml:space="preserve">The largest change occurred in the </w:t>
      </w:r>
      <w:r w:rsidRPr="001D5327">
        <w:rPr>
          <w:i/>
          <w:iCs/>
        </w:rPr>
        <w:t>Forest land</w:t>
      </w:r>
      <w:r w:rsidRPr="001D5327" w:rsidDel="00D049EC">
        <w:t xml:space="preserve"> </w:t>
      </w:r>
      <w:r w:rsidRPr="001D5327">
        <w:t>category, with a decrease in emissions of 952.1 kt CO</w:t>
      </w:r>
      <w:r w:rsidRPr="001D5327">
        <w:rPr>
          <w:vertAlign w:val="subscript"/>
        </w:rPr>
        <w:t>2</w:t>
      </w:r>
      <w:r w:rsidRPr="001D5327">
        <w:t>-e, driven by reduced harvesting rates in planted forests between 2022 and 2023 (figure 6.4.3). The</w:t>
      </w:r>
      <w:r w:rsidRPr="001D5327" w:rsidDel="00DE1520">
        <w:t xml:space="preserve"> </w:t>
      </w:r>
      <w:r w:rsidRPr="001D5327">
        <w:rPr>
          <w:i/>
          <w:iCs/>
        </w:rPr>
        <w:t>Harvested wood products</w:t>
      </w:r>
      <w:r w:rsidRPr="001D5327" w:rsidDel="002A4FF2">
        <w:rPr>
          <w:i/>
          <w:iCs/>
        </w:rPr>
        <w:t xml:space="preserve"> </w:t>
      </w:r>
      <w:r w:rsidRPr="001D5327">
        <w:t>category had the second-largest change, with an increase in emissions of 774.0 kt CO</w:t>
      </w:r>
      <w:r w:rsidRPr="001D5327">
        <w:rPr>
          <w:vertAlign w:val="subscript"/>
        </w:rPr>
        <w:t>2</w:t>
      </w:r>
      <w:r w:rsidRPr="001D5327">
        <w:t xml:space="preserve">-e, which was also driven by the drop in harvesting of planted forests, leading to a drop in the inputs to the harvested wood products pool. The </w:t>
      </w:r>
      <w:r w:rsidRPr="001D5327">
        <w:rPr>
          <w:i/>
          <w:iCs/>
        </w:rPr>
        <w:t xml:space="preserve">Grassland </w:t>
      </w:r>
      <w:r w:rsidRPr="001D5327">
        <w:t>category had the third-largest change, with a decrease in emissions of 684.7 kt CO</w:t>
      </w:r>
      <w:r w:rsidRPr="001D5327">
        <w:rPr>
          <w:vertAlign w:val="subscript"/>
        </w:rPr>
        <w:t>2</w:t>
      </w:r>
      <w:r w:rsidRPr="001D5327">
        <w:noBreakHyphen/>
        <w:t xml:space="preserve">e. This was driven by lower deforestation rates in 2023 compared with 2022. </w:t>
      </w:r>
    </w:p>
    <w:p w14:paraId="4F13B3F0" w14:textId="77777777" w:rsidR="00E0181F" w:rsidRPr="001D5327" w:rsidRDefault="00E0181F" w:rsidP="00E0181F">
      <w:pPr>
        <w:pStyle w:val="Table"/>
        <w:spacing w:before="100"/>
      </w:pPr>
      <w:bookmarkStart w:id="1593" w:name="_Toc131591382"/>
      <w:bookmarkStart w:id="1594" w:name="_Toc158979940"/>
      <w:bookmarkStart w:id="1595" w:name="_Toc164153873"/>
      <w:bookmarkStart w:id="1596" w:name="_Toc190873107"/>
      <w:bookmarkStart w:id="1597" w:name="_Toc194241746"/>
      <w:r w:rsidRPr="001D5327">
        <w:t xml:space="preserve">Table 6.1.2 </w:t>
      </w:r>
      <w:r w:rsidRPr="001D5327">
        <w:tab/>
        <w:t xml:space="preserve">New Zealand’s greenhouse gas net emissions for the LULUCF sector by land use category in 2022 and </w:t>
      </w:r>
      <w:bookmarkEnd w:id="1593"/>
      <w:bookmarkEnd w:id="1594"/>
      <w:bookmarkEnd w:id="1595"/>
      <w:r w:rsidRPr="001D5327">
        <w:t>2023</w:t>
      </w:r>
      <w:bookmarkEnd w:id="1596"/>
      <w:bookmarkEnd w:id="1597"/>
    </w:p>
    <w:tbl>
      <w:tblPr>
        <w:tblW w:w="8498"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835"/>
        <w:gridCol w:w="1276"/>
        <w:gridCol w:w="1201"/>
        <w:gridCol w:w="1593"/>
        <w:gridCol w:w="1593"/>
      </w:tblGrid>
      <w:tr w:rsidR="00E0181F" w:rsidRPr="001D5327" w14:paraId="24D06653" w14:textId="77777777" w:rsidTr="00D11AC9">
        <w:trPr>
          <w:tblHeader/>
        </w:trPr>
        <w:tc>
          <w:tcPr>
            <w:tcW w:w="2835" w:type="dxa"/>
            <w:shd w:val="clear" w:color="auto" w:fill="1B556B"/>
            <w:tcMar>
              <w:top w:w="0" w:type="dxa"/>
              <w:left w:w="85" w:type="dxa"/>
              <w:bottom w:w="0" w:type="dxa"/>
              <w:right w:w="85" w:type="dxa"/>
            </w:tcMar>
            <w:vAlign w:val="bottom"/>
          </w:tcPr>
          <w:p w14:paraId="41EAE810" w14:textId="77777777" w:rsidR="00E0181F" w:rsidRPr="001D5327" w:rsidRDefault="00E0181F" w:rsidP="00D11AC9">
            <w:pPr>
              <w:pStyle w:val="TableText"/>
              <w:spacing w:before="40" w:after="40"/>
            </w:pPr>
          </w:p>
        </w:tc>
        <w:tc>
          <w:tcPr>
            <w:tcW w:w="2477" w:type="dxa"/>
            <w:gridSpan w:val="2"/>
            <w:shd w:val="clear" w:color="auto" w:fill="1B556B"/>
            <w:tcMar>
              <w:top w:w="0" w:type="dxa"/>
              <w:left w:w="85" w:type="dxa"/>
              <w:bottom w:w="0" w:type="dxa"/>
              <w:right w:w="85" w:type="dxa"/>
            </w:tcMar>
            <w:vAlign w:val="bottom"/>
          </w:tcPr>
          <w:p w14:paraId="6BD57A89" w14:textId="77777777" w:rsidR="00E0181F" w:rsidRPr="001D5327" w:rsidRDefault="00E0181F" w:rsidP="00D11AC9">
            <w:pPr>
              <w:pStyle w:val="TableText"/>
              <w:spacing w:before="40" w:after="40"/>
              <w:jc w:val="center"/>
            </w:pPr>
            <w:r w:rsidRPr="001D5327">
              <w:rPr>
                <w:rFonts w:eastAsia="Calibri" w:cs="Calibri"/>
                <w:b/>
                <w:color w:val="FFFFFF"/>
                <w:szCs w:val="16"/>
              </w:rPr>
              <w:t>(kt CO₂-e)</w:t>
            </w:r>
          </w:p>
        </w:tc>
        <w:tc>
          <w:tcPr>
            <w:tcW w:w="1593" w:type="dxa"/>
            <w:shd w:val="clear" w:color="auto" w:fill="1B556B"/>
            <w:tcMar>
              <w:top w:w="0" w:type="dxa"/>
              <w:left w:w="85" w:type="dxa"/>
              <w:bottom w:w="0" w:type="dxa"/>
              <w:right w:w="85" w:type="dxa"/>
            </w:tcMar>
            <w:vAlign w:val="bottom"/>
          </w:tcPr>
          <w:p w14:paraId="77CAD9F8" w14:textId="77777777" w:rsidR="00E0181F" w:rsidRPr="001D5327" w:rsidRDefault="00E0181F" w:rsidP="00D11AC9">
            <w:pPr>
              <w:pStyle w:val="TableText"/>
              <w:spacing w:before="40" w:after="40"/>
              <w:jc w:val="right"/>
            </w:pPr>
            <w:r w:rsidRPr="001D5327">
              <w:rPr>
                <w:rFonts w:eastAsia="Calibri" w:cs="Calibri"/>
                <w:b/>
                <w:color w:val="FFFFFF"/>
                <w:szCs w:val="16"/>
              </w:rPr>
              <w:t>Difference (kt CO₂-e)</w:t>
            </w:r>
          </w:p>
        </w:tc>
        <w:tc>
          <w:tcPr>
            <w:tcW w:w="1593" w:type="dxa"/>
            <w:shd w:val="clear" w:color="auto" w:fill="1B556B"/>
            <w:tcMar>
              <w:top w:w="0" w:type="dxa"/>
              <w:left w:w="85" w:type="dxa"/>
              <w:bottom w:w="0" w:type="dxa"/>
              <w:right w:w="85" w:type="dxa"/>
            </w:tcMar>
            <w:vAlign w:val="bottom"/>
          </w:tcPr>
          <w:p w14:paraId="3C18F734" w14:textId="77777777" w:rsidR="00E0181F" w:rsidRPr="001D5327" w:rsidRDefault="00E0181F" w:rsidP="00D11AC9">
            <w:pPr>
              <w:pStyle w:val="TableText"/>
              <w:spacing w:before="40" w:after="40"/>
              <w:jc w:val="right"/>
            </w:pPr>
            <w:r w:rsidRPr="001D5327">
              <w:rPr>
                <w:rFonts w:eastAsia="Calibri" w:cs="Calibri"/>
                <w:b/>
                <w:color w:val="FFFFFF"/>
                <w:szCs w:val="16"/>
              </w:rPr>
              <w:t>Change (%)</w:t>
            </w:r>
          </w:p>
        </w:tc>
      </w:tr>
      <w:tr w:rsidR="00E0181F" w:rsidRPr="001D5327" w14:paraId="213D5F1A" w14:textId="77777777" w:rsidTr="00D11AC9">
        <w:trPr>
          <w:tblHeader/>
        </w:trPr>
        <w:tc>
          <w:tcPr>
            <w:tcW w:w="2835" w:type="dxa"/>
            <w:shd w:val="clear" w:color="auto" w:fill="1B556B"/>
            <w:tcMar>
              <w:top w:w="0" w:type="dxa"/>
              <w:left w:w="85" w:type="dxa"/>
              <w:bottom w:w="0" w:type="dxa"/>
              <w:right w:w="85" w:type="dxa"/>
            </w:tcMar>
            <w:vAlign w:val="bottom"/>
          </w:tcPr>
          <w:p w14:paraId="69F24F39" w14:textId="77777777" w:rsidR="00E0181F" w:rsidRPr="001D5327" w:rsidRDefault="00E0181F" w:rsidP="001C219C">
            <w:pPr>
              <w:pStyle w:val="TableText"/>
              <w:spacing w:before="0" w:after="40"/>
            </w:pPr>
            <w:r w:rsidRPr="001D5327">
              <w:rPr>
                <w:rFonts w:eastAsia="Calibri" w:cs="Calibri"/>
                <w:b/>
                <w:color w:val="FFFFFF"/>
                <w:szCs w:val="16"/>
              </w:rPr>
              <w:t>Category</w:t>
            </w:r>
          </w:p>
        </w:tc>
        <w:tc>
          <w:tcPr>
            <w:tcW w:w="1276" w:type="dxa"/>
            <w:shd w:val="clear" w:color="auto" w:fill="1B556B"/>
            <w:tcMar>
              <w:top w:w="0" w:type="dxa"/>
              <w:left w:w="85" w:type="dxa"/>
              <w:bottom w:w="0" w:type="dxa"/>
              <w:right w:w="85" w:type="dxa"/>
            </w:tcMar>
            <w:vAlign w:val="bottom"/>
          </w:tcPr>
          <w:p w14:paraId="0FD62C14" w14:textId="77777777" w:rsidR="00E0181F" w:rsidRPr="001D5327" w:rsidRDefault="00E0181F" w:rsidP="001C219C">
            <w:pPr>
              <w:pStyle w:val="TableText"/>
              <w:spacing w:before="0" w:after="40"/>
              <w:jc w:val="right"/>
            </w:pPr>
            <w:r w:rsidRPr="001D5327">
              <w:rPr>
                <w:rFonts w:eastAsia="Calibri" w:cs="Calibri"/>
                <w:b/>
                <w:color w:val="FFFFFF"/>
                <w:szCs w:val="16"/>
              </w:rPr>
              <w:t>2022</w:t>
            </w:r>
          </w:p>
        </w:tc>
        <w:tc>
          <w:tcPr>
            <w:tcW w:w="1201" w:type="dxa"/>
            <w:shd w:val="clear" w:color="auto" w:fill="1B556B"/>
            <w:tcMar>
              <w:top w:w="0" w:type="dxa"/>
              <w:left w:w="85" w:type="dxa"/>
              <w:bottom w:w="0" w:type="dxa"/>
              <w:right w:w="85" w:type="dxa"/>
            </w:tcMar>
            <w:vAlign w:val="bottom"/>
          </w:tcPr>
          <w:p w14:paraId="2665C419" w14:textId="77777777" w:rsidR="00E0181F" w:rsidRPr="001D5327" w:rsidRDefault="00E0181F" w:rsidP="001C219C">
            <w:pPr>
              <w:pStyle w:val="TableText"/>
              <w:spacing w:before="0" w:after="40"/>
              <w:jc w:val="right"/>
            </w:pPr>
            <w:r w:rsidRPr="001D5327">
              <w:rPr>
                <w:rFonts w:eastAsia="Calibri" w:cs="Calibri"/>
                <w:b/>
                <w:color w:val="FFFFFF"/>
                <w:szCs w:val="16"/>
              </w:rPr>
              <w:t>2023</w:t>
            </w:r>
          </w:p>
        </w:tc>
        <w:tc>
          <w:tcPr>
            <w:tcW w:w="1593" w:type="dxa"/>
            <w:shd w:val="clear" w:color="auto" w:fill="1B556B"/>
            <w:tcMar>
              <w:top w:w="0" w:type="dxa"/>
              <w:left w:w="85" w:type="dxa"/>
              <w:bottom w:w="0" w:type="dxa"/>
              <w:right w:w="85" w:type="dxa"/>
            </w:tcMar>
            <w:vAlign w:val="bottom"/>
          </w:tcPr>
          <w:p w14:paraId="2920BBD7" w14:textId="77777777" w:rsidR="00E0181F" w:rsidRPr="001D5327" w:rsidRDefault="00E0181F" w:rsidP="001C219C">
            <w:pPr>
              <w:pStyle w:val="TableText"/>
              <w:spacing w:before="0" w:after="40"/>
              <w:jc w:val="right"/>
            </w:pPr>
            <w:r w:rsidRPr="001D5327">
              <w:rPr>
                <w:rFonts w:eastAsia="Calibri" w:cs="Calibri"/>
                <w:b/>
                <w:color w:val="FFFFFF"/>
                <w:szCs w:val="16"/>
              </w:rPr>
              <w:t>2022–23</w:t>
            </w:r>
          </w:p>
        </w:tc>
        <w:tc>
          <w:tcPr>
            <w:tcW w:w="1593" w:type="dxa"/>
            <w:shd w:val="clear" w:color="auto" w:fill="1B556B"/>
            <w:tcMar>
              <w:top w:w="0" w:type="dxa"/>
              <w:left w:w="85" w:type="dxa"/>
              <w:bottom w:w="0" w:type="dxa"/>
              <w:right w:w="85" w:type="dxa"/>
            </w:tcMar>
            <w:vAlign w:val="bottom"/>
          </w:tcPr>
          <w:p w14:paraId="67D2E8E4" w14:textId="77777777" w:rsidR="00E0181F" w:rsidRPr="001D5327" w:rsidRDefault="00E0181F" w:rsidP="001C219C">
            <w:pPr>
              <w:pStyle w:val="TableText"/>
              <w:spacing w:before="0" w:after="40"/>
              <w:jc w:val="right"/>
            </w:pPr>
            <w:r w:rsidRPr="001D5327">
              <w:rPr>
                <w:rFonts w:eastAsia="Calibri" w:cs="Calibri"/>
                <w:b/>
                <w:color w:val="FFFFFF"/>
                <w:szCs w:val="16"/>
              </w:rPr>
              <w:t>2022–23</w:t>
            </w:r>
          </w:p>
        </w:tc>
      </w:tr>
      <w:tr w:rsidR="00E0181F" w:rsidRPr="001D5327" w14:paraId="17E21AF2" w14:textId="77777777" w:rsidTr="00D11AC9">
        <w:tc>
          <w:tcPr>
            <w:tcW w:w="2835" w:type="dxa"/>
            <w:shd w:val="clear" w:color="auto" w:fill="FFFFFF"/>
            <w:tcMar>
              <w:top w:w="0" w:type="dxa"/>
              <w:left w:w="85" w:type="dxa"/>
              <w:bottom w:w="0" w:type="dxa"/>
              <w:right w:w="85" w:type="dxa"/>
            </w:tcMar>
            <w:vAlign w:val="center"/>
          </w:tcPr>
          <w:p w14:paraId="4A762DFA" w14:textId="77777777" w:rsidR="00E0181F" w:rsidRPr="001D5327" w:rsidRDefault="00E0181F" w:rsidP="00D11AC9">
            <w:pPr>
              <w:pStyle w:val="TableText"/>
              <w:spacing w:before="40" w:after="40"/>
            </w:pPr>
            <w:r w:rsidRPr="001D5327">
              <w:rPr>
                <w:rFonts w:eastAsia="Calibri" w:cs="Calibri"/>
                <w:color w:val="000000"/>
                <w:szCs w:val="16"/>
              </w:rPr>
              <w:t>Forest land</w:t>
            </w:r>
          </w:p>
        </w:tc>
        <w:tc>
          <w:tcPr>
            <w:tcW w:w="1276" w:type="dxa"/>
            <w:shd w:val="clear" w:color="auto" w:fill="FFFFFF"/>
            <w:tcMar>
              <w:top w:w="0" w:type="dxa"/>
              <w:left w:w="85" w:type="dxa"/>
              <w:bottom w:w="0" w:type="dxa"/>
              <w:right w:w="85" w:type="dxa"/>
            </w:tcMar>
            <w:vAlign w:val="center"/>
          </w:tcPr>
          <w:p w14:paraId="32CEBF3D" w14:textId="53F6492F"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17,283.6</w:t>
            </w:r>
          </w:p>
        </w:tc>
        <w:tc>
          <w:tcPr>
            <w:tcW w:w="1201" w:type="dxa"/>
            <w:shd w:val="clear" w:color="auto" w:fill="FFFFFF"/>
            <w:tcMar>
              <w:top w:w="0" w:type="dxa"/>
              <w:left w:w="85" w:type="dxa"/>
              <w:bottom w:w="0" w:type="dxa"/>
              <w:right w:w="85" w:type="dxa"/>
            </w:tcMar>
            <w:vAlign w:val="center"/>
          </w:tcPr>
          <w:p w14:paraId="408B64D2" w14:textId="1BC2A77B"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18,235.7</w:t>
            </w:r>
          </w:p>
        </w:tc>
        <w:tc>
          <w:tcPr>
            <w:tcW w:w="1593" w:type="dxa"/>
            <w:shd w:val="clear" w:color="auto" w:fill="FFFFFF"/>
            <w:tcMar>
              <w:top w:w="0" w:type="dxa"/>
              <w:left w:w="85" w:type="dxa"/>
              <w:bottom w:w="0" w:type="dxa"/>
              <w:right w:w="85" w:type="dxa"/>
            </w:tcMar>
            <w:vAlign w:val="center"/>
          </w:tcPr>
          <w:p w14:paraId="3EA7A814" w14:textId="2EE1CBD1"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952.1</w:t>
            </w:r>
          </w:p>
        </w:tc>
        <w:tc>
          <w:tcPr>
            <w:tcW w:w="1593" w:type="dxa"/>
            <w:shd w:val="clear" w:color="auto" w:fill="FFFFFF"/>
            <w:tcMar>
              <w:top w:w="0" w:type="dxa"/>
              <w:left w:w="85" w:type="dxa"/>
              <w:bottom w:w="0" w:type="dxa"/>
              <w:right w:w="85" w:type="dxa"/>
            </w:tcMar>
            <w:vAlign w:val="center"/>
          </w:tcPr>
          <w:p w14:paraId="40E7CE4C" w14:textId="7F045B47"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5.5</w:t>
            </w:r>
          </w:p>
        </w:tc>
      </w:tr>
      <w:tr w:rsidR="00E0181F" w:rsidRPr="001D5327" w14:paraId="038E6DED" w14:textId="77777777" w:rsidTr="00D11AC9">
        <w:tc>
          <w:tcPr>
            <w:tcW w:w="2835" w:type="dxa"/>
            <w:shd w:val="clear" w:color="auto" w:fill="FFFFFF"/>
            <w:tcMar>
              <w:top w:w="0" w:type="dxa"/>
              <w:left w:w="85" w:type="dxa"/>
              <w:bottom w:w="0" w:type="dxa"/>
              <w:right w:w="85" w:type="dxa"/>
            </w:tcMar>
            <w:vAlign w:val="center"/>
          </w:tcPr>
          <w:p w14:paraId="58306784" w14:textId="77777777" w:rsidR="00E0181F" w:rsidRPr="001D5327" w:rsidRDefault="00E0181F" w:rsidP="00D11AC9">
            <w:pPr>
              <w:pStyle w:val="TableText"/>
              <w:spacing w:before="40" w:after="40"/>
            </w:pPr>
            <w:r w:rsidRPr="001D5327">
              <w:rPr>
                <w:rFonts w:eastAsia="Calibri" w:cs="Calibri"/>
                <w:color w:val="000000"/>
                <w:szCs w:val="16"/>
              </w:rPr>
              <w:t>Cropland</w:t>
            </w:r>
          </w:p>
        </w:tc>
        <w:tc>
          <w:tcPr>
            <w:tcW w:w="1276" w:type="dxa"/>
            <w:shd w:val="clear" w:color="auto" w:fill="FFFFFF"/>
            <w:tcMar>
              <w:top w:w="0" w:type="dxa"/>
              <w:left w:w="85" w:type="dxa"/>
              <w:bottom w:w="0" w:type="dxa"/>
              <w:right w:w="85" w:type="dxa"/>
            </w:tcMar>
            <w:vAlign w:val="center"/>
          </w:tcPr>
          <w:p w14:paraId="5400163B" w14:textId="77777777" w:rsidR="00E0181F" w:rsidRPr="001D5327" w:rsidRDefault="00E0181F" w:rsidP="00D11AC9">
            <w:pPr>
              <w:pStyle w:val="TableText"/>
              <w:spacing w:before="40" w:after="40"/>
              <w:jc w:val="right"/>
            </w:pPr>
            <w:r w:rsidRPr="001D5327">
              <w:rPr>
                <w:rFonts w:eastAsia="Calibri" w:cs="Calibri"/>
                <w:color w:val="000000"/>
                <w:szCs w:val="16"/>
              </w:rPr>
              <w:t>709.1</w:t>
            </w:r>
          </w:p>
        </w:tc>
        <w:tc>
          <w:tcPr>
            <w:tcW w:w="1201" w:type="dxa"/>
            <w:shd w:val="clear" w:color="auto" w:fill="FFFFFF"/>
            <w:tcMar>
              <w:top w:w="0" w:type="dxa"/>
              <w:left w:w="85" w:type="dxa"/>
              <w:bottom w:w="0" w:type="dxa"/>
              <w:right w:w="85" w:type="dxa"/>
            </w:tcMar>
            <w:vAlign w:val="center"/>
          </w:tcPr>
          <w:p w14:paraId="2261C920" w14:textId="77777777" w:rsidR="00E0181F" w:rsidRPr="001D5327" w:rsidRDefault="00E0181F" w:rsidP="00D11AC9">
            <w:pPr>
              <w:pStyle w:val="TableText"/>
              <w:spacing w:before="40" w:after="40"/>
              <w:jc w:val="right"/>
            </w:pPr>
            <w:r w:rsidRPr="001D5327">
              <w:rPr>
                <w:rFonts w:eastAsia="Calibri" w:cs="Calibri"/>
                <w:color w:val="000000"/>
                <w:szCs w:val="16"/>
              </w:rPr>
              <w:t>749.8</w:t>
            </w:r>
          </w:p>
        </w:tc>
        <w:tc>
          <w:tcPr>
            <w:tcW w:w="1593" w:type="dxa"/>
            <w:shd w:val="clear" w:color="auto" w:fill="FFFFFF"/>
            <w:tcMar>
              <w:top w:w="0" w:type="dxa"/>
              <w:left w:w="85" w:type="dxa"/>
              <w:bottom w:w="0" w:type="dxa"/>
              <w:right w:w="85" w:type="dxa"/>
            </w:tcMar>
            <w:vAlign w:val="center"/>
          </w:tcPr>
          <w:p w14:paraId="1C6D957D" w14:textId="77777777" w:rsidR="00E0181F" w:rsidRPr="001D5327" w:rsidRDefault="00E0181F" w:rsidP="00D11AC9">
            <w:pPr>
              <w:pStyle w:val="TableText"/>
              <w:spacing w:before="40" w:after="40"/>
              <w:jc w:val="right"/>
            </w:pPr>
            <w:r w:rsidRPr="001D5327">
              <w:rPr>
                <w:rFonts w:eastAsia="Calibri" w:cs="Calibri"/>
                <w:color w:val="000000"/>
                <w:szCs w:val="16"/>
              </w:rPr>
              <w:t>40.7</w:t>
            </w:r>
          </w:p>
        </w:tc>
        <w:tc>
          <w:tcPr>
            <w:tcW w:w="1593" w:type="dxa"/>
            <w:shd w:val="clear" w:color="auto" w:fill="FFFFFF"/>
            <w:tcMar>
              <w:top w:w="0" w:type="dxa"/>
              <w:left w:w="85" w:type="dxa"/>
              <w:bottom w:w="0" w:type="dxa"/>
              <w:right w:w="85" w:type="dxa"/>
            </w:tcMar>
            <w:vAlign w:val="center"/>
          </w:tcPr>
          <w:p w14:paraId="330C8D1D" w14:textId="77777777" w:rsidR="00E0181F" w:rsidRPr="001D5327" w:rsidRDefault="00E0181F" w:rsidP="00D11AC9">
            <w:pPr>
              <w:pStyle w:val="TableText"/>
              <w:spacing w:before="40" w:after="40"/>
              <w:jc w:val="right"/>
            </w:pPr>
            <w:r w:rsidRPr="001D5327">
              <w:rPr>
                <w:rFonts w:eastAsia="Calibri" w:cs="Calibri"/>
                <w:color w:val="000000"/>
                <w:szCs w:val="16"/>
              </w:rPr>
              <w:t>5.7</w:t>
            </w:r>
          </w:p>
        </w:tc>
      </w:tr>
      <w:tr w:rsidR="00E0181F" w:rsidRPr="001D5327" w14:paraId="5D9B09DF" w14:textId="77777777" w:rsidTr="00D11AC9">
        <w:tc>
          <w:tcPr>
            <w:tcW w:w="2835" w:type="dxa"/>
            <w:shd w:val="clear" w:color="auto" w:fill="FFFFFF"/>
            <w:tcMar>
              <w:top w:w="0" w:type="dxa"/>
              <w:left w:w="85" w:type="dxa"/>
              <w:bottom w:w="0" w:type="dxa"/>
              <w:right w:w="85" w:type="dxa"/>
            </w:tcMar>
            <w:vAlign w:val="center"/>
          </w:tcPr>
          <w:p w14:paraId="0A1BCF27" w14:textId="77777777" w:rsidR="00E0181F" w:rsidRPr="001D5327" w:rsidRDefault="00E0181F" w:rsidP="00D11AC9">
            <w:pPr>
              <w:pStyle w:val="TableText"/>
              <w:spacing w:before="40" w:after="40"/>
            </w:pPr>
            <w:r w:rsidRPr="001D5327">
              <w:rPr>
                <w:rFonts w:eastAsia="Calibri" w:cs="Calibri"/>
                <w:color w:val="000000"/>
                <w:szCs w:val="16"/>
              </w:rPr>
              <w:t>Grassland</w:t>
            </w:r>
          </w:p>
        </w:tc>
        <w:tc>
          <w:tcPr>
            <w:tcW w:w="1276" w:type="dxa"/>
            <w:shd w:val="clear" w:color="auto" w:fill="FFFFFF"/>
            <w:tcMar>
              <w:top w:w="0" w:type="dxa"/>
              <w:left w:w="85" w:type="dxa"/>
              <w:bottom w:w="0" w:type="dxa"/>
              <w:right w:w="85" w:type="dxa"/>
            </w:tcMar>
            <w:vAlign w:val="center"/>
          </w:tcPr>
          <w:p w14:paraId="67E6CB87" w14:textId="77777777" w:rsidR="00E0181F" w:rsidRPr="001D5327" w:rsidRDefault="00E0181F" w:rsidP="00D11AC9">
            <w:pPr>
              <w:pStyle w:val="TableText"/>
              <w:spacing w:before="40" w:after="40"/>
              <w:jc w:val="right"/>
            </w:pPr>
            <w:r w:rsidRPr="001D5327">
              <w:rPr>
                <w:rFonts w:eastAsia="Calibri" w:cs="Calibri"/>
                <w:color w:val="000000"/>
                <w:szCs w:val="16"/>
              </w:rPr>
              <w:t>3,568.9</w:t>
            </w:r>
          </w:p>
        </w:tc>
        <w:tc>
          <w:tcPr>
            <w:tcW w:w="1201" w:type="dxa"/>
            <w:shd w:val="clear" w:color="auto" w:fill="FFFFFF"/>
            <w:tcMar>
              <w:top w:w="0" w:type="dxa"/>
              <w:left w:w="85" w:type="dxa"/>
              <w:bottom w:w="0" w:type="dxa"/>
              <w:right w:w="85" w:type="dxa"/>
            </w:tcMar>
            <w:vAlign w:val="center"/>
          </w:tcPr>
          <w:p w14:paraId="1C1AFB5F" w14:textId="77777777" w:rsidR="00E0181F" w:rsidRPr="001D5327" w:rsidRDefault="00E0181F" w:rsidP="00D11AC9">
            <w:pPr>
              <w:pStyle w:val="TableText"/>
              <w:spacing w:before="40" w:after="40"/>
              <w:jc w:val="right"/>
            </w:pPr>
            <w:r w:rsidRPr="001D5327">
              <w:rPr>
                <w:rFonts w:eastAsia="Calibri" w:cs="Calibri"/>
                <w:color w:val="000000"/>
                <w:szCs w:val="16"/>
              </w:rPr>
              <w:t>2,884.2</w:t>
            </w:r>
          </w:p>
        </w:tc>
        <w:tc>
          <w:tcPr>
            <w:tcW w:w="1593" w:type="dxa"/>
            <w:shd w:val="clear" w:color="auto" w:fill="FFFFFF"/>
            <w:tcMar>
              <w:top w:w="0" w:type="dxa"/>
              <w:left w:w="85" w:type="dxa"/>
              <w:bottom w:w="0" w:type="dxa"/>
              <w:right w:w="85" w:type="dxa"/>
            </w:tcMar>
            <w:vAlign w:val="center"/>
          </w:tcPr>
          <w:p w14:paraId="522A329E" w14:textId="4B6A9440"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684.7</w:t>
            </w:r>
          </w:p>
        </w:tc>
        <w:tc>
          <w:tcPr>
            <w:tcW w:w="1593" w:type="dxa"/>
            <w:shd w:val="clear" w:color="auto" w:fill="FFFFFF"/>
            <w:tcMar>
              <w:top w:w="0" w:type="dxa"/>
              <w:left w:w="85" w:type="dxa"/>
              <w:bottom w:w="0" w:type="dxa"/>
              <w:right w:w="85" w:type="dxa"/>
            </w:tcMar>
            <w:vAlign w:val="center"/>
          </w:tcPr>
          <w:p w14:paraId="37E4BFB3" w14:textId="16A23F8B"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19.2</w:t>
            </w:r>
          </w:p>
        </w:tc>
      </w:tr>
      <w:tr w:rsidR="00E0181F" w:rsidRPr="001D5327" w14:paraId="7CB5E891" w14:textId="77777777" w:rsidTr="00D11AC9">
        <w:tc>
          <w:tcPr>
            <w:tcW w:w="2835" w:type="dxa"/>
            <w:shd w:val="clear" w:color="auto" w:fill="FFFFFF"/>
            <w:tcMar>
              <w:top w:w="0" w:type="dxa"/>
              <w:left w:w="85" w:type="dxa"/>
              <w:bottom w:w="0" w:type="dxa"/>
              <w:right w:w="85" w:type="dxa"/>
            </w:tcMar>
            <w:vAlign w:val="center"/>
          </w:tcPr>
          <w:p w14:paraId="1FD693AB" w14:textId="77777777" w:rsidR="00E0181F" w:rsidRPr="001D5327" w:rsidRDefault="00E0181F" w:rsidP="00D11AC9">
            <w:pPr>
              <w:pStyle w:val="TableText"/>
              <w:spacing w:before="40" w:after="40"/>
            </w:pPr>
            <w:r w:rsidRPr="001D5327">
              <w:rPr>
                <w:rFonts w:eastAsia="Calibri" w:cs="Calibri"/>
                <w:color w:val="000000"/>
                <w:szCs w:val="16"/>
              </w:rPr>
              <w:t>Wetlands</w:t>
            </w:r>
          </w:p>
        </w:tc>
        <w:tc>
          <w:tcPr>
            <w:tcW w:w="1276" w:type="dxa"/>
            <w:shd w:val="clear" w:color="auto" w:fill="FFFFFF"/>
            <w:tcMar>
              <w:top w:w="0" w:type="dxa"/>
              <w:left w:w="85" w:type="dxa"/>
              <w:bottom w:w="0" w:type="dxa"/>
              <w:right w:w="85" w:type="dxa"/>
            </w:tcMar>
            <w:vAlign w:val="center"/>
          </w:tcPr>
          <w:p w14:paraId="05EBD0EE" w14:textId="77777777" w:rsidR="00E0181F" w:rsidRPr="001D5327" w:rsidRDefault="00E0181F" w:rsidP="00D11AC9">
            <w:pPr>
              <w:pStyle w:val="TableText"/>
              <w:spacing w:before="40" w:after="40"/>
              <w:jc w:val="right"/>
            </w:pPr>
            <w:r w:rsidRPr="001D5327">
              <w:rPr>
                <w:rFonts w:eastAsia="Calibri" w:cs="Calibri"/>
                <w:color w:val="000000"/>
                <w:szCs w:val="16"/>
              </w:rPr>
              <w:t>8.1</w:t>
            </w:r>
          </w:p>
        </w:tc>
        <w:tc>
          <w:tcPr>
            <w:tcW w:w="1201" w:type="dxa"/>
            <w:shd w:val="clear" w:color="auto" w:fill="FFFFFF"/>
            <w:tcMar>
              <w:top w:w="0" w:type="dxa"/>
              <w:left w:w="85" w:type="dxa"/>
              <w:bottom w:w="0" w:type="dxa"/>
              <w:right w:w="85" w:type="dxa"/>
            </w:tcMar>
            <w:vAlign w:val="center"/>
          </w:tcPr>
          <w:p w14:paraId="42BAEAB7" w14:textId="77777777" w:rsidR="00E0181F" w:rsidRPr="001D5327" w:rsidRDefault="00E0181F" w:rsidP="00D11AC9">
            <w:pPr>
              <w:pStyle w:val="TableText"/>
              <w:spacing w:before="40" w:after="40"/>
              <w:jc w:val="right"/>
            </w:pPr>
            <w:r w:rsidRPr="001D5327">
              <w:rPr>
                <w:rFonts w:eastAsia="Calibri" w:cs="Calibri"/>
                <w:color w:val="000000"/>
                <w:szCs w:val="16"/>
              </w:rPr>
              <w:t>7.5</w:t>
            </w:r>
          </w:p>
        </w:tc>
        <w:tc>
          <w:tcPr>
            <w:tcW w:w="1593" w:type="dxa"/>
            <w:shd w:val="clear" w:color="auto" w:fill="FFFFFF"/>
            <w:tcMar>
              <w:top w:w="0" w:type="dxa"/>
              <w:left w:w="85" w:type="dxa"/>
              <w:bottom w:w="0" w:type="dxa"/>
              <w:right w:w="85" w:type="dxa"/>
            </w:tcMar>
            <w:vAlign w:val="center"/>
          </w:tcPr>
          <w:p w14:paraId="17CB476C" w14:textId="7F5F037B"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0.6</w:t>
            </w:r>
          </w:p>
        </w:tc>
        <w:tc>
          <w:tcPr>
            <w:tcW w:w="1593" w:type="dxa"/>
            <w:shd w:val="clear" w:color="auto" w:fill="FFFFFF"/>
            <w:tcMar>
              <w:top w:w="0" w:type="dxa"/>
              <w:left w:w="85" w:type="dxa"/>
              <w:bottom w:w="0" w:type="dxa"/>
              <w:right w:w="85" w:type="dxa"/>
            </w:tcMar>
            <w:vAlign w:val="center"/>
          </w:tcPr>
          <w:p w14:paraId="6C7FC503" w14:textId="00966BA2"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7.1</w:t>
            </w:r>
          </w:p>
        </w:tc>
      </w:tr>
      <w:tr w:rsidR="00E0181F" w:rsidRPr="001D5327" w14:paraId="2716C4B3" w14:textId="77777777" w:rsidTr="00D11AC9">
        <w:tc>
          <w:tcPr>
            <w:tcW w:w="2835" w:type="dxa"/>
            <w:shd w:val="clear" w:color="auto" w:fill="FFFFFF"/>
            <w:tcMar>
              <w:top w:w="0" w:type="dxa"/>
              <w:left w:w="85" w:type="dxa"/>
              <w:bottom w:w="0" w:type="dxa"/>
              <w:right w:w="85" w:type="dxa"/>
            </w:tcMar>
            <w:vAlign w:val="center"/>
          </w:tcPr>
          <w:p w14:paraId="69A7F2D7" w14:textId="77777777" w:rsidR="00E0181F" w:rsidRPr="001D5327" w:rsidRDefault="00E0181F" w:rsidP="00D11AC9">
            <w:pPr>
              <w:pStyle w:val="TableText"/>
              <w:spacing w:before="40" w:after="40"/>
            </w:pPr>
            <w:r w:rsidRPr="001D5327">
              <w:rPr>
                <w:rFonts w:eastAsia="Calibri" w:cs="Calibri"/>
                <w:color w:val="000000"/>
                <w:szCs w:val="16"/>
              </w:rPr>
              <w:t>Settlements</w:t>
            </w:r>
          </w:p>
        </w:tc>
        <w:tc>
          <w:tcPr>
            <w:tcW w:w="1276" w:type="dxa"/>
            <w:shd w:val="clear" w:color="auto" w:fill="FFFFFF"/>
            <w:tcMar>
              <w:top w:w="0" w:type="dxa"/>
              <w:left w:w="85" w:type="dxa"/>
              <w:bottom w:w="0" w:type="dxa"/>
              <w:right w:w="85" w:type="dxa"/>
            </w:tcMar>
            <w:vAlign w:val="center"/>
          </w:tcPr>
          <w:p w14:paraId="6B1C1F29" w14:textId="77777777" w:rsidR="00E0181F" w:rsidRPr="001D5327" w:rsidRDefault="00E0181F" w:rsidP="00D11AC9">
            <w:pPr>
              <w:pStyle w:val="TableText"/>
              <w:spacing w:before="40" w:after="40"/>
              <w:jc w:val="right"/>
            </w:pPr>
            <w:r w:rsidRPr="001D5327">
              <w:rPr>
                <w:rFonts w:eastAsia="Calibri" w:cs="Calibri"/>
                <w:color w:val="000000"/>
                <w:szCs w:val="16"/>
              </w:rPr>
              <w:t>118.9</w:t>
            </w:r>
          </w:p>
        </w:tc>
        <w:tc>
          <w:tcPr>
            <w:tcW w:w="1201" w:type="dxa"/>
            <w:shd w:val="clear" w:color="auto" w:fill="FFFFFF"/>
            <w:tcMar>
              <w:top w:w="0" w:type="dxa"/>
              <w:left w:w="85" w:type="dxa"/>
              <w:bottom w:w="0" w:type="dxa"/>
              <w:right w:w="85" w:type="dxa"/>
            </w:tcMar>
            <w:vAlign w:val="center"/>
          </w:tcPr>
          <w:p w14:paraId="30E447CE" w14:textId="77777777" w:rsidR="00E0181F" w:rsidRPr="001D5327" w:rsidRDefault="00E0181F" w:rsidP="00D11AC9">
            <w:pPr>
              <w:pStyle w:val="TableText"/>
              <w:spacing w:before="40" w:after="40"/>
              <w:jc w:val="right"/>
            </w:pPr>
            <w:r w:rsidRPr="001D5327">
              <w:rPr>
                <w:rFonts w:eastAsia="Calibri" w:cs="Calibri"/>
                <w:color w:val="000000"/>
                <w:szCs w:val="16"/>
              </w:rPr>
              <w:t>119.3</w:t>
            </w:r>
          </w:p>
        </w:tc>
        <w:tc>
          <w:tcPr>
            <w:tcW w:w="1593" w:type="dxa"/>
            <w:shd w:val="clear" w:color="auto" w:fill="FFFFFF"/>
            <w:tcMar>
              <w:top w:w="0" w:type="dxa"/>
              <w:left w:w="85" w:type="dxa"/>
              <w:bottom w:w="0" w:type="dxa"/>
              <w:right w:w="85" w:type="dxa"/>
            </w:tcMar>
            <w:vAlign w:val="center"/>
          </w:tcPr>
          <w:p w14:paraId="40A3707E" w14:textId="77777777" w:rsidR="00E0181F" w:rsidRPr="001D5327" w:rsidRDefault="00E0181F" w:rsidP="00D11AC9">
            <w:pPr>
              <w:pStyle w:val="TableText"/>
              <w:spacing w:before="40" w:after="40"/>
              <w:jc w:val="right"/>
            </w:pPr>
            <w:r w:rsidRPr="001D5327">
              <w:rPr>
                <w:rFonts w:eastAsia="Calibri" w:cs="Calibri"/>
                <w:color w:val="000000"/>
                <w:szCs w:val="16"/>
              </w:rPr>
              <w:t>0.4</w:t>
            </w:r>
          </w:p>
        </w:tc>
        <w:tc>
          <w:tcPr>
            <w:tcW w:w="1593" w:type="dxa"/>
            <w:shd w:val="clear" w:color="auto" w:fill="FFFFFF"/>
            <w:tcMar>
              <w:top w:w="0" w:type="dxa"/>
              <w:left w:w="85" w:type="dxa"/>
              <w:bottom w:w="0" w:type="dxa"/>
              <w:right w:w="85" w:type="dxa"/>
            </w:tcMar>
            <w:vAlign w:val="center"/>
          </w:tcPr>
          <w:p w14:paraId="591F76A0" w14:textId="77777777" w:rsidR="00E0181F" w:rsidRPr="001D5327" w:rsidRDefault="00E0181F" w:rsidP="00D11AC9">
            <w:pPr>
              <w:pStyle w:val="TableText"/>
              <w:spacing w:before="40" w:after="40"/>
              <w:jc w:val="right"/>
            </w:pPr>
            <w:r w:rsidRPr="001D5327">
              <w:rPr>
                <w:rFonts w:eastAsia="Calibri" w:cs="Calibri"/>
                <w:color w:val="000000"/>
                <w:szCs w:val="16"/>
              </w:rPr>
              <w:t>0.3</w:t>
            </w:r>
          </w:p>
        </w:tc>
      </w:tr>
      <w:tr w:rsidR="00E0181F" w:rsidRPr="001D5327" w14:paraId="6939BFFB" w14:textId="77777777" w:rsidTr="00D11AC9">
        <w:tc>
          <w:tcPr>
            <w:tcW w:w="2835" w:type="dxa"/>
            <w:shd w:val="clear" w:color="auto" w:fill="FFFFFF"/>
            <w:tcMar>
              <w:top w:w="0" w:type="dxa"/>
              <w:left w:w="85" w:type="dxa"/>
              <w:bottom w:w="0" w:type="dxa"/>
              <w:right w:w="85" w:type="dxa"/>
            </w:tcMar>
            <w:vAlign w:val="center"/>
          </w:tcPr>
          <w:p w14:paraId="2F84C212" w14:textId="77777777" w:rsidR="00E0181F" w:rsidRPr="001D5327" w:rsidRDefault="00E0181F" w:rsidP="00D11AC9">
            <w:pPr>
              <w:pStyle w:val="TableText"/>
              <w:spacing w:before="40" w:after="40"/>
            </w:pPr>
            <w:r w:rsidRPr="001D5327">
              <w:rPr>
                <w:rFonts w:eastAsia="Calibri" w:cs="Calibri"/>
                <w:color w:val="000000"/>
                <w:szCs w:val="16"/>
              </w:rPr>
              <w:t>Other land</w:t>
            </w:r>
          </w:p>
        </w:tc>
        <w:tc>
          <w:tcPr>
            <w:tcW w:w="1276" w:type="dxa"/>
            <w:shd w:val="clear" w:color="auto" w:fill="FFFFFF"/>
            <w:tcMar>
              <w:top w:w="0" w:type="dxa"/>
              <w:left w:w="85" w:type="dxa"/>
              <w:bottom w:w="0" w:type="dxa"/>
              <w:right w:w="85" w:type="dxa"/>
            </w:tcMar>
            <w:vAlign w:val="center"/>
          </w:tcPr>
          <w:p w14:paraId="13160B7A" w14:textId="77777777" w:rsidR="00E0181F" w:rsidRPr="001D5327" w:rsidRDefault="00E0181F" w:rsidP="00D11AC9">
            <w:pPr>
              <w:pStyle w:val="TableText"/>
              <w:spacing w:before="40" w:after="40"/>
              <w:jc w:val="right"/>
            </w:pPr>
            <w:r w:rsidRPr="001D5327">
              <w:rPr>
                <w:rFonts w:eastAsia="Calibri" w:cs="Calibri"/>
                <w:color w:val="000000"/>
                <w:szCs w:val="16"/>
              </w:rPr>
              <w:t>88.3</w:t>
            </w:r>
          </w:p>
        </w:tc>
        <w:tc>
          <w:tcPr>
            <w:tcW w:w="1201" w:type="dxa"/>
            <w:shd w:val="clear" w:color="auto" w:fill="FFFFFF"/>
            <w:tcMar>
              <w:top w:w="0" w:type="dxa"/>
              <w:left w:w="85" w:type="dxa"/>
              <w:bottom w:w="0" w:type="dxa"/>
              <w:right w:w="85" w:type="dxa"/>
            </w:tcMar>
            <w:vAlign w:val="center"/>
          </w:tcPr>
          <w:p w14:paraId="4FC3001E" w14:textId="77777777" w:rsidR="00E0181F" w:rsidRPr="001D5327" w:rsidRDefault="00E0181F" w:rsidP="00D11AC9">
            <w:pPr>
              <w:pStyle w:val="TableText"/>
              <w:spacing w:before="40" w:after="40"/>
              <w:jc w:val="right"/>
            </w:pPr>
            <w:r w:rsidRPr="001D5327">
              <w:rPr>
                <w:rFonts w:eastAsia="Calibri" w:cs="Calibri"/>
                <w:color w:val="000000"/>
                <w:szCs w:val="16"/>
              </w:rPr>
              <w:t>86.1</w:t>
            </w:r>
          </w:p>
        </w:tc>
        <w:tc>
          <w:tcPr>
            <w:tcW w:w="1593" w:type="dxa"/>
            <w:shd w:val="clear" w:color="auto" w:fill="FFFFFF"/>
            <w:tcMar>
              <w:top w:w="0" w:type="dxa"/>
              <w:left w:w="85" w:type="dxa"/>
              <w:bottom w:w="0" w:type="dxa"/>
              <w:right w:w="85" w:type="dxa"/>
            </w:tcMar>
            <w:vAlign w:val="center"/>
          </w:tcPr>
          <w:p w14:paraId="06E84C9A" w14:textId="4A16DBB6"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2.2</w:t>
            </w:r>
          </w:p>
        </w:tc>
        <w:tc>
          <w:tcPr>
            <w:tcW w:w="1593" w:type="dxa"/>
            <w:shd w:val="clear" w:color="auto" w:fill="FFFFFF"/>
            <w:tcMar>
              <w:top w:w="0" w:type="dxa"/>
              <w:left w:w="85" w:type="dxa"/>
              <w:bottom w:w="0" w:type="dxa"/>
              <w:right w:w="85" w:type="dxa"/>
            </w:tcMar>
            <w:vAlign w:val="center"/>
          </w:tcPr>
          <w:p w14:paraId="18CF7149" w14:textId="5BED6693"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2.5</w:t>
            </w:r>
          </w:p>
        </w:tc>
      </w:tr>
      <w:tr w:rsidR="00E0181F" w:rsidRPr="001D5327" w14:paraId="22F5A031" w14:textId="77777777" w:rsidTr="00D11AC9">
        <w:tc>
          <w:tcPr>
            <w:tcW w:w="2835" w:type="dxa"/>
            <w:shd w:val="clear" w:color="auto" w:fill="FFFFFF"/>
            <w:tcMar>
              <w:top w:w="0" w:type="dxa"/>
              <w:left w:w="85" w:type="dxa"/>
              <w:bottom w:w="0" w:type="dxa"/>
              <w:right w:w="85" w:type="dxa"/>
            </w:tcMar>
            <w:vAlign w:val="center"/>
          </w:tcPr>
          <w:p w14:paraId="6786DE71" w14:textId="77777777" w:rsidR="00E0181F" w:rsidRPr="001D5327" w:rsidRDefault="00E0181F" w:rsidP="00D11AC9">
            <w:pPr>
              <w:pStyle w:val="TableText"/>
              <w:spacing w:before="40" w:after="40"/>
            </w:pPr>
            <w:r w:rsidRPr="001D5327">
              <w:rPr>
                <w:rFonts w:eastAsia="Calibri" w:cs="Calibri"/>
                <w:color w:val="000000"/>
                <w:szCs w:val="16"/>
              </w:rPr>
              <w:t>Harvested wood products</w:t>
            </w:r>
          </w:p>
        </w:tc>
        <w:tc>
          <w:tcPr>
            <w:tcW w:w="1276" w:type="dxa"/>
            <w:shd w:val="clear" w:color="auto" w:fill="FFFFFF"/>
            <w:tcMar>
              <w:top w:w="0" w:type="dxa"/>
              <w:left w:w="85" w:type="dxa"/>
              <w:bottom w:w="0" w:type="dxa"/>
              <w:right w:w="85" w:type="dxa"/>
            </w:tcMar>
            <w:vAlign w:val="center"/>
          </w:tcPr>
          <w:p w14:paraId="3C108239" w14:textId="2F4575EC"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6,582.3</w:t>
            </w:r>
          </w:p>
        </w:tc>
        <w:tc>
          <w:tcPr>
            <w:tcW w:w="1201" w:type="dxa"/>
            <w:shd w:val="clear" w:color="auto" w:fill="FFFFFF"/>
            <w:tcMar>
              <w:top w:w="0" w:type="dxa"/>
              <w:left w:w="85" w:type="dxa"/>
              <w:bottom w:w="0" w:type="dxa"/>
              <w:right w:w="85" w:type="dxa"/>
            </w:tcMar>
            <w:vAlign w:val="center"/>
          </w:tcPr>
          <w:p w14:paraId="60609122" w14:textId="51480D44"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5,808.3</w:t>
            </w:r>
          </w:p>
        </w:tc>
        <w:tc>
          <w:tcPr>
            <w:tcW w:w="1593" w:type="dxa"/>
            <w:shd w:val="clear" w:color="auto" w:fill="FFFFFF"/>
            <w:tcMar>
              <w:top w:w="0" w:type="dxa"/>
              <w:left w:w="85" w:type="dxa"/>
              <w:bottom w:w="0" w:type="dxa"/>
              <w:right w:w="85" w:type="dxa"/>
            </w:tcMar>
            <w:vAlign w:val="center"/>
          </w:tcPr>
          <w:p w14:paraId="73ACA9AD" w14:textId="77777777" w:rsidR="00E0181F" w:rsidRPr="001D5327" w:rsidRDefault="00E0181F" w:rsidP="00D11AC9">
            <w:pPr>
              <w:pStyle w:val="TableText"/>
              <w:spacing w:before="40" w:after="40"/>
              <w:jc w:val="right"/>
            </w:pPr>
            <w:r w:rsidRPr="001D5327">
              <w:rPr>
                <w:rFonts w:eastAsia="Calibri" w:cs="Calibri"/>
                <w:color w:val="000000"/>
                <w:szCs w:val="16"/>
              </w:rPr>
              <w:t>774.0</w:t>
            </w:r>
          </w:p>
        </w:tc>
        <w:tc>
          <w:tcPr>
            <w:tcW w:w="1593" w:type="dxa"/>
            <w:shd w:val="clear" w:color="auto" w:fill="FFFFFF"/>
            <w:tcMar>
              <w:top w:w="0" w:type="dxa"/>
              <w:left w:w="85" w:type="dxa"/>
              <w:bottom w:w="0" w:type="dxa"/>
              <w:right w:w="85" w:type="dxa"/>
            </w:tcMar>
            <w:vAlign w:val="center"/>
          </w:tcPr>
          <w:p w14:paraId="41F65A5E" w14:textId="77777777" w:rsidR="00E0181F" w:rsidRPr="001D5327" w:rsidRDefault="00E0181F" w:rsidP="00D11AC9">
            <w:pPr>
              <w:pStyle w:val="TableText"/>
              <w:spacing w:before="40" w:after="40"/>
              <w:jc w:val="right"/>
            </w:pPr>
            <w:r w:rsidRPr="001D5327">
              <w:rPr>
                <w:rFonts w:eastAsia="Calibri" w:cs="Calibri"/>
                <w:color w:val="000000"/>
                <w:szCs w:val="16"/>
              </w:rPr>
              <w:t>11.8</w:t>
            </w:r>
          </w:p>
        </w:tc>
      </w:tr>
      <w:tr w:rsidR="00E0181F" w:rsidRPr="001D5327" w14:paraId="63EF461D" w14:textId="77777777" w:rsidTr="00D11AC9">
        <w:tc>
          <w:tcPr>
            <w:tcW w:w="2835" w:type="dxa"/>
            <w:shd w:val="clear" w:color="auto" w:fill="FFFFFF"/>
            <w:tcMar>
              <w:top w:w="0" w:type="dxa"/>
              <w:left w:w="85" w:type="dxa"/>
              <w:bottom w:w="0" w:type="dxa"/>
              <w:right w:w="85" w:type="dxa"/>
            </w:tcMar>
            <w:vAlign w:val="center"/>
          </w:tcPr>
          <w:p w14:paraId="440F3BB0" w14:textId="77777777" w:rsidR="00E0181F" w:rsidRPr="001D5327" w:rsidRDefault="00E0181F" w:rsidP="00D11AC9">
            <w:pPr>
              <w:pStyle w:val="TableText"/>
              <w:spacing w:before="40" w:after="40"/>
            </w:pPr>
            <w:r w:rsidRPr="001D5327">
              <w:rPr>
                <w:rFonts w:eastAsia="Calibri" w:cs="Calibri"/>
                <w:b/>
                <w:color w:val="1B556B"/>
                <w:szCs w:val="16"/>
              </w:rPr>
              <w:t>Total LULUCF</w:t>
            </w:r>
          </w:p>
        </w:tc>
        <w:tc>
          <w:tcPr>
            <w:tcW w:w="1276" w:type="dxa"/>
            <w:shd w:val="clear" w:color="auto" w:fill="FFFFFF"/>
            <w:tcMar>
              <w:top w:w="0" w:type="dxa"/>
              <w:left w:w="85" w:type="dxa"/>
              <w:bottom w:w="0" w:type="dxa"/>
              <w:right w:w="85" w:type="dxa"/>
            </w:tcMar>
            <w:vAlign w:val="center"/>
          </w:tcPr>
          <w:p w14:paraId="17719825" w14:textId="167D6245" w:rsidR="00E0181F" w:rsidRPr="001D5327" w:rsidRDefault="0070503C" w:rsidP="00D11AC9">
            <w:pPr>
              <w:pStyle w:val="TableText"/>
              <w:spacing w:before="40" w:after="40"/>
              <w:jc w:val="right"/>
            </w:pPr>
            <w:r>
              <w:rPr>
                <w:rFonts w:eastAsia="Calibri" w:cs="Calibri"/>
                <w:b/>
                <w:color w:val="1B556B"/>
                <w:szCs w:val="16"/>
              </w:rPr>
              <w:t>-</w:t>
            </w:r>
            <w:r w:rsidR="00E0181F" w:rsidRPr="001D5327">
              <w:rPr>
                <w:rFonts w:eastAsia="Calibri" w:cs="Calibri"/>
                <w:b/>
                <w:color w:val="1B556B"/>
                <w:szCs w:val="16"/>
              </w:rPr>
              <w:t>19,372.7</w:t>
            </w:r>
          </w:p>
        </w:tc>
        <w:tc>
          <w:tcPr>
            <w:tcW w:w="1201" w:type="dxa"/>
            <w:shd w:val="clear" w:color="auto" w:fill="FFFFFF"/>
            <w:tcMar>
              <w:top w:w="0" w:type="dxa"/>
              <w:left w:w="85" w:type="dxa"/>
              <w:bottom w:w="0" w:type="dxa"/>
              <w:right w:w="85" w:type="dxa"/>
            </w:tcMar>
            <w:vAlign w:val="center"/>
          </w:tcPr>
          <w:p w14:paraId="7BE688AC" w14:textId="397CCF7E" w:rsidR="00E0181F" w:rsidRPr="001D5327" w:rsidRDefault="0070503C" w:rsidP="00D11AC9">
            <w:pPr>
              <w:pStyle w:val="TableText"/>
              <w:spacing w:before="40" w:after="40"/>
              <w:jc w:val="right"/>
            </w:pPr>
            <w:r>
              <w:rPr>
                <w:rFonts w:eastAsia="Calibri" w:cs="Calibri"/>
                <w:b/>
                <w:color w:val="1B556B"/>
                <w:szCs w:val="16"/>
              </w:rPr>
              <w:t>-</w:t>
            </w:r>
            <w:r w:rsidR="00E0181F" w:rsidRPr="001D5327">
              <w:rPr>
                <w:rFonts w:eastAsia="Calibri" w:cs="Calibri"/>
                <w:b/>
                <w:color w:val="1B556B"/>
                <w:szCs w:val="16"/>
              </w:rPr>
              <w:t>20,197.1</w:t>
            </w:r>
          </w:p>
        </w:tc>
        <w:tc>
          <w:tcPr>
            <w:tcW w:w="1593" w:type="dxa"/>
            <w:shd w:val="clear" w:color="auto" w:fill="FFFFFF"/>
            <w:tcMar>
              <w:top w:w="0" w:type="dxa"/>
              <w:left w:w="85" w:type="dxa"/>
              <w:bottom w:w="0" w:type="dxa"/>
              <w:right w:w="85" w:type="dxa"/>
            </w:tcMar>
            <w:vAlign w:val="center"/>
          </w:tcPr>
          <w:p w14:paraId="56162864" w14:textId="61986D3A" w:rsidR="00E0181F" w:rsidRPr="001D5327" w:rsidRDefault="0070503C" w:rsidP="00D11AC9">
            <w:pPr>
              <w:pStyle w:val="TableText"/>
              <w:spacing w:before="40" w:after="40"/>
              <w:jc w:val="right"/>
            </w:pPr>
            <w:r>
              <w:rPr>
                <w:rFonts w:eastAsia="Calibri" w:cs="Calibri"/>
                <w:b/>
                <w:color w:val="1B556B"/>
                <w:szCs w:val="16"/>
              </w:rPr>
              <w:t>-</w:t>
            </w:r>
            <w:r w:rsidR="00E0181F" w:rsidRPr="001D5327">
              <w:rPr>
                <w:rFonts w:eastAsia="Calibri" w:cs="Calibri"/>
                <w:b/>
                <w:color w:val="1B556B"/>
                <w:szCs w:val="16"/>
              </w:rPr>
              <w:t>824.4</w:t>
            </w:r>
          </w:p>
        </w:tc>
        <w:tc>
          <w:tcPr>
            <w:tcW w:w="1593" w:type="dxa"/>
            <w:shd w:val="clear" w:color="auto" w:fill="FFFFFF"/>
            <w:tcMar>
              <w:top w:w="0" w:type="dxa"/>
              <w:left w:w="85" w:type="dxa"/>
              <w:bottom w:w="0" w:type="dxa"/>
              <w:right w:w="85" w:type="dxa"/>
            </w:tcMar>
            <w:vAlign w:val="center"/>
          </w:tcPr>
          <w:p w14:paraId="2B18728D" w14:textId="22999CD1" w:rsidR="00E0181F" w:rsidRPr="001D5327" w:rsidRDefault="0070503C" w:rsidP="00D11AC9">
            <w:pPr>
              <w:pStyle w:val="TableText"/>
              <w:spacing w:before="40" w:after="40"/>
              <w:jc w:val="right"/>
            </w:pPr>
            <w:r>
              <w:rPr>
                <w:rFonts w:eastAsia="Calibri" w:cs="Calibri"/>
                <w:b/>
                <w:color w:val="1B556B"/>
                <w:szCs w:val="16"/>
              </w:rPr>
              <w:t>-</w:t>
            </w:r>
            <w:r w:rsidR="00E0181F" w:rsidRPr="001D5327">
              <w:rPr>
                <w:rFonts w:eastAsia="Calibri" w:cs="Calibri"/>
                <w:b/>
                <w:color w:val="1B556B"/>
                <w:szCs w:val="16"/>
              </w:rPr>
              <w:t>4.3</w:t>
            </w:r>
          </w:p>
        </w:tc>
      </w:tr>
    </w:tbl>
    <w:p w14:paraId="6D61BDE5" w14:textId="77777777" w:rsidR="00E0181F" w:rsidRPr="001D5327" w:rsidRDefault="00E0181F" w:rsidP="00E0181F">
      <w:pPr>
        <w:pStyle w:val="Heading3"/>
        <w:spacing w:before="480"/>
      </w:pPr>
      <w:r w:rsidRPr="001D5327">
        <w:t>6.1.1</w:t>
      </w:r>
      <w:r w:rsidRPr="001D5327">
        <w:tab/>
        <w:t>National circumstances</w:t>
      </w:r>
    </w:p>
    <w:p w14:paraId="59BEE197" w14:textId="77777777" w:rsidR="00E0181F" w:rsidRPr="001D5327" w:rsidRDefault="00E0181F" w:rsidP="00E0181F">
      <w:pPr>
        <w:pStyle w:val="BodyText"/>
      </w:pPr>
      <w:r w:rsidRPr="001D5327">
        <w:t>New Zealand has a land area of nearly 270,000 square kilometres with extensive coastlines (approximately 19,800 kilometres). This land mass is made up of two main islands, the North Island and South Island, as well as smaller outlying islands. New Zealand has a temperate climate, highly influenced by the surrounding ocean. Around 60 per cent of the land is hilly or mountainous, with around 425,000 kilometres of rivers and streams, and almost 4,000 lakes that are larger than 1 hectare (Ministry for the Environment and Stats NZ, 2017).</w:t>
      </w:r>
    </w:p>
    <w:p w14:paraId="0AE1512C" w14:textId="77777777" w:rsidR="00E0181F" w:rsidRPr="001D5327" w:rsidRDefault="00E0181F" w:rsidP="00E0181F">
      <w:pPr>
        <w:pStyle w:val="BodyText"/>
        <w:spacing w:before="100" w:after="100"/>
      </w:pPr>
      <w:r w:rsidRPr="001D5327">
        <w:t>Since 1990, approximately 11.1 per cent of New Zealand’s total land area has undergone land</w:t>
      </w:r>
      <w:r w:rsidRPr="001D5327">
        <w:noBreakHyphen/>
        <w:t xml:space="preserve">use change. </w:t>
      </w:r>
      <w:r w:rsidRPr="001D5327">
        <w:rPr>
          <w:spacing w:val="-2"/>
        </w:rPr>
        <w:t xml:space="preserve">Before human settlement, natural forests were </w:t>
      </w:r>
      <w:r w:rsidRPr="001D5327">
        <w:t>New Zealand’s</w:t>
      </w:r>
      <w:r w:rsidRPr="001D5327">
        <w:rPr>
          <w:spacing w:val="-2"/>
        </w:rPr>
        <w:t xml:space="preserve"> predominant land cover, estimated at 85 per cent to 90 per cent of total land area (McGlone, 2009). Natural forest now covers approximately 29 per cent of </w:t>
      </w:r>
      <w:r w:rsidRPr="001D5327">
        <w:t>New Zealand’s</w:t>
      </w:r>
      <w:r w:rsidRPr="001D5327">
        <w:rPr>
          <w:spacing w:val="-2"/>
        </w:rPr>
        <w:t xml:space="preserve"> total land area, having been replaced predominantly by agricultural land uses (Ewers et al., 2006). </w:t>
      </w:r>
      <w:r w:rsidRPr="001D5327">
        <w:t>Demand for accessible land has also led to the modification of a large proportion of New Zealand’s vegetated wetland areas to provide pastoral land cover. Just over 10 per cent of wetlands present before European settlement remain across New Zealand (McGlone, 2009). For a summary of land use area in 2023 in New Zealand, see table 6.1.3.</w:t>
      </w:r>
    </w:p>
    <w:p w14:paraId="00F3CD5F" w14:textId="77777777" w:rsidR="00E0181F" w:rsidRPr="001D5327" w:rsidRDefault="00E0181F" w:rsidP="00E0181F">
      <w:pPr>
        <w:pStyle w:val="BodyText"/>
      </w:pPr>
      <w:r w:rsidRPr="001D5327">
        <w:t xml:space="preserve">New Zealand forests are either held on privately owned land or in the publicly owned </w:t>
      </w:r>
      <w:r w:rsidRPr="001D5327">
        <w:rPr>
          <w:spacing w:val="-2"/>
        </w:rPr>
        <w:t>conservation estate (an area of approximately 8.5 million hectares; Ministry for the Environmen</w:t>
      </w:r>
      <w:r w:rsidRPr="001D5327">
        <w:t xml:space="preserve">t </w:t>
      </w:r>
      <w:r w:rsidRPr="001D5327">
        <w:rPr>
          <w:spacing w:val="-2"/>
        </w:rPr>
        <w:t xml:space="preserve">and Stats NZ, 2018). Consequently, all forests in </w:t>
      </w:r>
      <w:r w:rsidRPr="001D5327">
        <w:t>New Zealand</w:t>
      </w:r>
      <w:r w:rsidRPr="001D5327">
        <w:rPr>
          <w:spacing w:val="-2"/>
        </w:rPr>
        <w:t xml:space="preserve"> meet the 2006 </w:t>
      </w:r>
      <w:r w:rsidRPr="001D5327">
        <w:t>IPCC Guidelines definition of managed land, which is “</w:t>
      </w:r>
      <w:r w:rsidRPr="001D5327">
        <w:rPr>
          <w:iCs/>
        </w:rPr>
        <w:t>land where human interventions and practices have been applied to perform production, ecological or social functions</w:t>
      </w:r>
      <w:r w:rsidRPr="001D5327">
        <w:t>” (IPCC, 2006a). Therefore, both forests planted for timber production and natural forests managed for conservation purposes are considered managed forests.</w:t>
      </w:r>
    </w:p>
    <w:p w14:paraId="241A5476" w14:textId="77777777" w:rsidR="00E0181F" w:rsidRPr="001D5327" w:rsidRDefault="00E0181F" w:rsidP="00E0181F">
      <w:pPr>
        <w:pStyle w:val="BodyText"/>
      </w:pPr>
      <w:r w:rsidRPr="001D5327">
        <w:t>No timber is legally harvested from natural forests in the publicly owned conservation estate other than in exceptional circumstances where legislation allows. Most other harvesting of natural forests is required by law to be undertaken on a sustainable basis (Forests Act 1949).</w:t>
      </w:r>
    </w:p>
    <w:p w14:paraId="2126E705" w14:textId="77777777" w:rsidR="00E0181F" w:rsidRPr="001D5327" w:rsidRDefault="00E0181F" w:rsidP="00E0181F">
      <w:pPr>
        <w:pStyle w:val="BodyText"/>
      </w:pPr>
      <w:r w:rsidRPr="001D5327">
        <w:lastRenderedPageBreak/>
        <w:t>Plantation forestry and agricultural industries form the core of New Zealand’s economy and are the main determinants of New Zealand’s LULUCF emissions profile. Intensive forest management, combined with a temperate climate, fertile soils and high rainfall, means New Zealand has one of the highest rates of exotic forest growth among Annex I countries.</w:t>
      </w:r>
    </w:p>
    <w:p w14:paraId="6C7979FA" w14:textId="77777777" w:rsidR="00E0181F" w:rsidRPr="001D5327" w:rsidRDefault="00E0181F" w:rsidP="00E0181F">
      <w:pPr>
        <w:pStyle w:val="BodyText"/>
      </w:pPr>
      <w:r w:rsidRPr="001D5327">
        <w:t xml:space="preserve">New Zealand’s exotic forest plantation estate is intensively managed for production forestry, with rapid-growing genotypes selected and enhanced for optimum growth. Rates of afforestation, reforestation, harvesting and deforestation are strongly influenced by market conditions for harvested timber, competition for land use and introduced government policies. One such policy has been the introduction of the New Zealand Emissions Trading Scheme </w:t>
      </w:r>
      <w:r w:rsidRPr="001D5327">
        <w:rPr>
          <w:spacing w:val="-2"/>
        </w:rPr>
        <w:t>(NZ ETS) in 2008 and the inclusion of forestry within the scheme (Ministry for Primary Industries</w:t>
      </w:r>
      <w:r w:rsidRPr="001D5327">
        <w:t>, 2015). The forestry component of the NZ ETS was included to encourage new forest planting and disincentivise deforestation. An unintended consequence of this policy was that large-scale deforestation of pre-1990 planted forest occurred in 2007 (30,240 hectares) before the policy’s introduction as land owners deforested to avoid potential future liabilities (see figure 6.1.1 and figure 6.1.2). Changes in afforestation and deforestation rates show they correlate strongly with fluctuations in the NZ ETS carbon price (figure 6.1.2). However, afforestation and deforestation rates are also affected by other market conditions and other government initiatives, which are summarised in annex 5, section A5.2.5 ‘Forest land methodologies’.</w:t>
      </w:r>
    </w:p>
    <w:p w14:paraId="0B495523" w14:textId="77777777" w:rsidR="00E0181F" w:rsidRPr="001D5327" w:rsidRDefault="00E0181F" w:rsidP="00E0181F">
      <w:pPr>
        <w:pStyle w:val="Table"/>
      </w:pPr>
      <w:bookmarkStart w:id="1598" w:name="_Toc443645354"/>
      <w:bookmarkStart w:id="1599" w:name="_Toc474914573"/>
      <w:bookmarkStart w:id="1600" w:name="_Toc481751537"/>
      <w:bookmarkStart w:id="1601" w:name="_Toc522010594"/>
      <w:bookmarkStart w:id="1602" w:name="_Toc5269499"/>
      <w:bookmarkStart w:id="1603" w:name="_Toc33529375"/>
      <w:bookmarkStart w:id="1604" w:name="_Toc36224581"/>
      <w:bookmarkStart w:id="1605" w:name="_Toc65243576"/>
      <w:bookmarkStart w:id="1606" w:name="_Toc131591383"/>
      <w:bookmarkStart w:id="1607" w:name="_Toc158979941"/>
      <w:bookmarkStart w:id="1608" w:name="_Toc164153874"/>
      <w:bookmarkStart w:id="1609" w:name="_Toc190873108"/>
      <w:bookmarkStart w:id="1610" w:name="_Toc194241747"/>
      <w:r w:rsidRPr="001D5327">
        <w:t xml:space="preserve">Table 6.1.3 </w:t>
      </w:r>
      <w:r w:rsidRPr="001D5327">
        <w:tab/>
        <w:t xml:space="preserve">Land use in New Zealand in </w:t>
      </w:r>
      <w:bookmarkEnd w:id="1598"/>
      <w:bookmarkEnd w:id="1599"/>
      <w:bookmarkEnd w:id="1600"/>
      <w:bookmarkEnd w:id="1601"/>
      <w:bookmarkEnd w:id="1602"/>
      <w:bookmarkEnd w:id="1603"/>
      <w:bookmarkEnd w:id="1604"/>
      <w:bookmarkEnd w:id="1605"/>
      <w:bookmarkEnd w:id="1606"/>
      <w:bookmarkEnd w:id="1607"/>
      <w:bookmarkEnd w:id="1608"/>
      <w:r w:rsidRPr="001D5327">
        <w:t>2023</w:t>
      </w:r>
      <w:bookmarkEnd w:id="1609"/>
      <w:bookmarkEnd w:id="1610"/>
    </w:p>
    <w:tbl>
      <w:tblPr>
        <w:tblW w:w="0"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126"/>
        <w:gridCol w:w="2126"/>
        <w:gridCol w:w="2126"/>
        <w:gridCol w:w="2126"/>
      </w:tblGrid>
      <w:tr w:rsidR="00E0181F" w:rsidRPr="001D5327" w14:paraId="4B04F253" w14:textId="77777777" w:rsidTr="00D11AC9">
        <w:trPr>
          <w:tblHeader/>
        </w:trPr>
        <w:tc>
          <w:tcPr>
            <w:tcW w:w="2126" w:type="dxa"/>
            <w:shd w:val="clear" w:color="auto" w:fill="1B556B"/>
            <w:tcMar>
              <w:top w:w="0" w:type="dxa"/>
              <w:left w:w="85" w:type="dxa"/>
              <w:bottom w:w="0" w:type="dxa"/>
              <w:right w:w="85" w:type="dxa"/>
            </w:tcMar>
          </w:tcPr>
          <w:p w14:paraId="1753CB67" w14:textId="77777777" w:rsidR="00E0181F" w:rsidRPr="001D5327" w:rsidRDefault="00E0181F" w:rsidP="00D11AC9">
            <w:pPr>
              <w:pStyle w:val="TableTextBold"/>
              <w:spacing w:before="40" w:after="40"/>
              <w:rPr>
                <w:noProof w:val="0"/>
                <w:color w:val="FFFFFF" w:themeColor="background1"/>
                <w:szCs w:val="16"/>
              </w:rPr>
            </w:pPr>
            <w:r w:rsidRPr="001D5327">
              <w:rPr>
                <w:rFonts w:eastAsia="Calibri"/>
                <w:noProof w:val="0"/>
                <w:color w:val="FFFFFF" w:themeColor="background1"/>
                <w:szCs w:val="16"/>
              </w:rPr>
              <w:t>Category</w:t>
            </w:r>
          </w:p>
        </w:tc>
        <w:tc>
          <w:tcPr>
            <w:tcW w:w="2126" w:type="dxa"/>
            <w:shd w:val="clear" w:color="auto" w:fill="1B556B"/>
            <w:tcMar>
              <w:top w:w="0" w:type="dxa"/>
              <w:left w:w="85" w:type="dxa"/>
              <w:bottom w:w="0" w:type="dxa"/>
              <w:right w:w="85" w:type="dxa"/>
            </w:tcMar>
          </w:tcPr>
          <w:p w14:paraId="04AEDDED" w14:textId="77777777" w:rsidR="00E0181F" w:rsidRPr="001D5327" w:rsidRDefault="00E0181F" w:rsidP="00D11AC9">
            <w:pPr>
              <w:pStyle w:val="TableTextBold"/>
              <w:spacing w:before="40" w:after="40"/>
              <w:rPr>
                <w:noProof w:val="0"/>
                <w:color w:val="FFFFFF" w:themeColor="background1"/>
                <w:szCs w:val="16"/>
              </w:rPr>
            </w:pPr>
            <w:r w:rsidRPr="001D5327">
              <w:rPr>
                <w:rFonts w:eastAsia="Calibri"/>
                <w:noProof w:val="0"/>
                <w:color w:val="FFFFFF" w:themeColor="background1"/>
                <w:szCs w:val="16"/>
              </w:rPr>
              <w:t>Land use</w:t>
            </w:r>
          </w:p>
        </w:tc>
        <w:tc>
          <w:tcPr>
            <w:tcW w:w="2126" w:type="dxa"/>
            <w:shd w:val="clear" w:color="auto" w:fill="1B556B"/>
            <w:tcMar>
              <w:top w:w="0" w:type="dxa"/>
              <w:left w:w="85" w:type="dxa"/>
              <w:bottom w:w="0" w:type="dxa"/>
              <w:right w:w="85" w:type="dxa"/>
            </w:tcMar>
          </w:tcPr>
          <w:p w14:paraId="438486B8" w14:textId="77777777" w:rsidR="00E0181F" w:rsidRPr="001D5327" w:rsidRDefault="00E0181F" w:rsidP="00D11AC9">
            <w:pPr>
              <w:pStyle w:val="TableTextBold"/>
              <w:spacing w:before="40" w:after="40"/>
              <w:jc w:val="right"/>
              <w:rPr>
                <w:noProof w:val="0"/>
                <w:color w:val="FFFFFF" w:themeColor="background1"/>
                <w:szCs w:val="16"/>
              </w:rPr>
            </w:pPr>
            <w:r w:rsidRPr="001D5327">
              <w:rPr>
                <w:rFonts w:eastAsia="Calibri"/>
                <w:noProof w:val="0"/>
                <w:color w:val="FFFFFF" w:themeColor="background1"/>
                <w:szCs w:val="16"/>
              </w:rPr>
              <w:t>Area (kha)</w:t>
            </w:r>
          </w:p>
        </w:tc>
        <w:tc>
          <w:tcPr>
            <w:tcW w:w="2126" w:type="dxa"/>
            <w:shd w:val="clear" w:color="auto" w:fill="1B556B"/>
            <w:tcMar>
              <w:top w:w="0" w:type="dxa"/>
              <w:left w:w="85" w:type="dxa"/>
              <w:bottom w:w="0" w:type="dxa"/>
              <w:right w:w="85" w:type="dxa"/>
            </w:tcMar>
          </w:tcPr>
          <w:p w14:paraId="4E310E78" w14:textId="77777777" w:rsidR="00E0181F" w:rsidRPr="001D5327" w:rsidRDefault="00E0181F" w:rsidP="00D11AC9">
            <w:pPr>
              <w:pStyle w:val="TableTextBold"/>
              <w:spacing w:before="40" w:after="40"/>
              <w:jc w:val="right"/>
              <w:rPr>
                <w:noProof w:val="0"/>
                <w:color w:val="FFFFFF" w:themeColor="background1"/>
                <w:szCs w:val="16"/>
              </w:rPr>
            </w:pPr>
            <w:r w:rsidRPr="001D5327">
              <w:rPr>
                <w:rFonts w:eastAsia="Calibri"/>
                <w:noProof w:val="0"/>
                <w:color w:val="FFFFFF" w:themeColor="background1"/>
                <w:szCs w:val="16"/>
              </w:rPr>
              <w:t>Proportion of total area (%)</w:t>
            </w:r>
          </w:p>
        </w:tc>
      </w:tr>
      <w:tr w:rsidR="00E0181F" w:rsidRPr="001D5327" w14:paraId="27017A29" w14:textId="77777777" w:rsidTr="00D11AC9">
        <w:tc>
          <w:tcPr>
            <w:tcW w:w="2126" w:type="dxa"/>
            <w:shd w:val="clear" w:color="auto" w:fill="FFFFFF"/>
            <w:tcMar>
              <w:top w:w="0" w:type="dxa"/>
              <w:left w:w="85" w:type="dxa"/>
              <w:bottom w:w="0" w:type="dxa"/>
              <w:right w:w="85" w:type="dxa"/>
            </w:tcMar>
          </w:tcPr>
          <w:p w14:paraId="17D1471A" w14:textId="77777777" w:rsidR="00E0181F" w:rsidRPr="001D5327" w:rsidRDefault="00E0181F" w:rsidP="00D11AC9">
            <w:pPr>
              <w:pStyle w:val="TableText"/>
              <w:spacing w:before="40" w:after="40"/>
              <w:rPr>
                <w:szCs w:val="16"/>
              </w:rPr>
            </w:pPr>
            <w:r w:rsidRPr="001D5327">
              <w:rPr>
                <w:rFonts w:eastAsia="Calibri"/>
                <w:color w:val="000000"/>
                <w:szCs w:val="16"/>
              </w:rPr>
              <w:t>Forest land</w:t>
            </w:r>
          </w:p>
        </w:tc>
        <w:tc>
          <w:tcPr>
            <w:tcW w:w="2126" w:type="dxa"/>
            <w:shd w:val="clear" w:color="auto" w:fill="FFFFFF"/>
            <w:tcMar>
              <w:top w:w="0" w:type="dxa"/>
              <w:left w:w="85" w:type="dxa"/>
              <w:bottom w:w="0" w:type="dxa"/>
              <w:right w:w="85" w:type="dxa"/>
            </w:tcMar>
          </w:tcPr>
          <w:p w14:paraId="52A167F7" w14:textId="77777777" w:rsidR="00E0181F" w:rsidRPr="001D5327" w:rsidRDefault="00E0181F" w:rsidP="00D11AC9">
            <w:pPr>
              <w:pStyle w:val="TableText"/>
              <w:spacing w:before="40" w:after="40"/>
              <w:rPr>
                <w:szCs w:val="16"/>
              </w:rPr>
            </w:pPr>
            <w:r w:rsidRPr="001D5327">
              <w:rPr>
                <w:rFonts w:eastAsia="Calibri"/>
                <w:color w:val="000000"/>
                <w:szCs w:val="16"/>
              </w:rPr>
              <w:t>Pre-1990 natural forest</w:t>
            </w:r>
          </w:p>
        </w:tc>
        <w:tc>
          <w:tcPr>
            <w:tcW w:w="2126" w:type="dxa"/>
            <w:shd w:val="clear" w:color="auto" w:fill="FFFFFF"/>
            <w:tcMar>
              <w:top w:w="0" w:type="dxa"/>
              <w:left w:w="85" w:type="dxa"/>
              <w:bottom w:w="0" w:type="dxa"/>
              <w:right w:w="85" w:type="dxa"/>
            </w:tcMar>
          </w:tcPr>
          <w:p w14:paraId="151E5F6D" w14:textId="77777777" w:rsidR="00E0181F" w:rsidRPr="001D5327" w:rsidRDefault="00E0181F" w:rsidP="00D11AC9">
            <w:pPr>
              <w:pStyle w:val="TableText"/>
              <w:spacing w:before="40" w:after="40"/>
              <w:jc w:val="right"/>
              <w:rPr>
                <w:szCs w:val="16"/>
              </w:rPr>
            </w:pPr>
            <w:r w:rsidRPr="001D5327">
              <w:rPr>
                <w:rFonts w:eastAsia="Calibri"/>
                <w:color w:val="000000"/>
                <w:szCs w:val="16"/>
              </w:rPr>
              <w:t>7,743.944</w:t>
            </w:r>
          </w:p>
        </w:tc>
        <w:tc>
          <w:tcPr>
            <w:tcW w:w="2126" w:type="dxa"/>
            <w:shd w:val="clear" w:color="auto" w:fill="FFFFFF"/>
            <w:tcMar>
              <w:top w:w="0" w:type="dxa"/>
              <w:left w:w="85" w:type="dxa"/>
              <w:bottom w:w="0" w:type="dxa"/>
              <w:right w:w="85" w:type="dxa"/>
            </w:tcMar>
          </w:tcPr>
          <w:p w14:paraId="493F9344" w14:textId="77777777" w:rsidR="00E0181F" w:rsidRPr="001D5327" w:rsidRDefault="00E0181F" w:rsidP="00D11AC9">
            <w:pPr>
              <w:pStyle w:val="TableText"/>
              <w:spacing w:before="40" w:after="40"/>
              <w:jc w:val="right"/>
              <w:rPr>
                <w:szCs w:val="16"/>
              </w:rPr>
            </w:pPr>
            <w:r w:rsidRPr="001D5327">
              <w:rPr>
                <w:rFonts w:eastAsia="Calibri"/>
                <w:color w:val="000000"/>
                <w:szCs w:val="16"/>
              </w:rPr>
              <w:t>28.8</w:t>
            </w:r>
          </w:p>
        </w:tc>
      </w:tr>
      <w:tr w:rsidR="00E0181F" w:rsidRPr="001D5327" w14:paraId="068114CE" w14:textId="77777777" w:rsidTr="00D11AC9">
        <w:tc>
          <w:tcPr>
            <w:tcW w:w="2126" w:type="dxa"/>
            <w:shd w:val="clear" w:color="auto" w:fill="FFFFFF"/>
            <w:tcMar>
              <w:top w:w="0" w:type="dxa"/>
              <w:left w:w="85" w:type="dxa"/>
              <w:bottom w:w="0" w:type="dxa"/>
              <w:right w:w="85" w:type="dxa"/>
            </w:tcMar>
          </w:tcPr>
          <w:p w14:paraId="7EB8444B" w14:textId="77777777" w:rsidR="00E0181F" w:rsidRPr="001D5327" w:rsidRDefault="00E0181F" w:rsidP="00D11AC9">
            <w:pPr>
              <w:pStyle w:val="TableText"/>
              <w:spacing w:before="40" w:after="40"/>
              <w:rPr>
                <w:szCs w:val="16"/>
              </w:rPr>
            </w:pPr>
          </w:p>
        </w:tc>
        <w:tc>
          <w:tcPr>
            <w:tcW w:w="2126" w:type="dxa"/>
            <w:shd w:val="clear" w:color="auto" w:fill="FFFFFF"/>
            <w:tcMar>
              <w:top w:w="0" w:type="dxa"/>
              <w:left w:w="85" w:type="dxa"/>
              <w:bottom w:w="0" w:type="dxa"/>
              <w:right w:w="85" w:type="dxa"/>
            </w:tcMar>
          </w:tcPr>
          <w:p w14:paraId="7E20E36F" w14:textId="77777777" w:rsidR="00E0181F" w:rsidRPr="001D5327" w:rsidRDefault="00E0181F" w:rsidP="00D11AC9">
            <w:pPr>
              <w:pStyle w:val="TableText"/>
              <w:spacing w:before="40" w:after="40"/>
              <w:rPr>
                <w:szCs w:val="16"/>
              </w:rPr>
            </w:pPr>
            <w:r w:rsidRPr="001D5327">
              <w:rPr>
                <w:rFonts w:eastAsia="Calibri"/>
                <w:color w:val="000000"/>
                <w:szCs w:val="16"/>
              </w:rPr>
              <w:t>Pre-1990 planted forest</w:t>
            </w:r>
          </w:p>
        </w:tc>
        <w:tc>
          <w:tcPr>
            <w:tcW w:w="2126" w:type="dxa"/>
            <w:shd w:val="clear" w:color="auto" w:fill="FFFFFF"/>
            <w:tcMar>
              <w:top w:w="0" w:type="dxa"/>
              <w:left w:w="85" w:type="dxa"/>
              <w:bottom w:w="0" w:type="dxa"/>
              <w:right w:w="85" w:type="dxa"/>
            </w:tcMar>
          </w:tcPr>
          <w:p w14:paraId="4EC212A2" w14:textId="77777777" w:rsidR="00E0181F" w:rsidRPr="001D5327" w:rsidRDefault="00E0181F" w:rsidP="00D11AC9">
            <w:pPr>
              <w:pStyle w:val="TableText"/>
              <w:spacing w:before="40" w:after="40"/>
              <w:jc w:val="right"/>
              <w:rPr>
                <w:szCs w:val="16"/>
              </w:rPr>
            </w:pPr>
            <w:r w:rsidRPr="001D5327">
              <w:rPr>
                <w:rFonts w:eastAsia="Calibri"/>
                <w:color w:val="000000"/>
                <w:szCs w:val="16"/>
              </w:rPr>
              <w:t>1,433.970</w:t>
            </w:r>
          </w:p>
        </w:tc>
        <w:tc>
          <w:tcPr>
            <w:tcW w:w="2126" w:type="dxa"/>
            <w:shd w:val="clear" w:color="auto" w:fill="FFFFFF"/>
            <w:tcMar>
              <w:top w:w="0" w:type="dxa"/>
              <w:left w:w="85" w:type="dxa"/>
              <w:bottom w:w="0" w:type="dxa"/>
              <w:right w:w="85" w:type="dxa"/>
            </w:tcMar>
          </w:tcPr>
          <w:p w14:paraId="0651ADB1" w14:textId="77777777" w:rsidR="00E0181F" w:rsidRPr="001D5327" w:rsidRDefault="00E0181F" w:rsidP="00D11AC9">
            <w:pPr>
              <w:pStyle w:val="TableText"/>
              <w:spacing w:before="40" w:after="40"/>
              <w:jc w:val="right"/>
              <w:rPr>
                <w:szCs w:val="16"/>
              </w:rPr>
            </w:pPr>
            <w:r w:rsidRPr="001D5327">
              <w:rPr>
                <w:rFonts w:eastAsia="Calibri"/>
                <w:color w:val="000000"/>
                <w:szCs w:val="16"/>
              </w:rPr>
              <w:t>5.3</w:t>
            </w:r>
          </w:p>
        </w:tc>
      </w:tr>
      <w:tr w:rsidR="00E0181F" w:rsidRPr="001D5327" w14:paraId="19AF89DD" w14:textId="77777777" w:rsidTr="00D11AC9">
        <w:tc>
          <w:tcPr>
            <w:tcW w:w="2126" w:type="dxa"/>
            <w:shd w:val="clear" w:color="auto" w:fill="FFFFFF"/>
            <w:tcMar>
              <w:top w:w="0" w:type="dxa"/>
              <w:left w:w="85" w:type="dxa"/>
              <w:bottom w:w="0" w:type="dxa"/>
              <w:right w:w="85" w:type="dxa"/>
            </w:tcMar>
          </w:tcPr>
          <w:p w14:paraId="2107CA7A" w14:textId="77777777" w:rsidR="00E0181F" w:rsidRPr="001D5327" w:rsidRDefault="00E0181F" w:rsidP="00D11AC9">
            <w:pPr>
              <w:pStyle w:val="TableText"/>
              <w:spacing w:before="40" w:after="40"/>
              <w:rPr>
                <w:szCs w:val="16"/>
              </w:rPr>
            </w:pPr>
          </w:p>
        </w:tc>
        <w:tc>
          <w:tcPr>
            <w:tcW w:w="2126" w:type="dxa"/>
            <w:shd w:val="clear" w:color="auto" w:fill="FFFFFF"/>
            <w:tcMar>
              <w:top w:w="0" w:type="dxa"/>
              <w:left w:w="85" w:type="dxa"/>
              <w:bottom w:w="0" w:type="dxa"/>
              <w:right w:w="85" w:type="dxa"/>
            </w:tcMar>
          </w:tcPr>
          <w:p w14:paraId="42EF612B" w14:textId="77777777" w:rsidR="00E0181F" w:rsidRPr="001D5327" w:rsidRDefault="00E0181F" w:rsidP="00D11AC9">
            <w:pPr>
              <w:pStyle w:val="TableText"/>
              <w:spacing w:before="40" w:after="40"/>
              <w:rPr>
                <w:szCs w:val="16"/>
              </w:rPr>
            </w:pPr>
            <w:r w:rsidRPr="001D5327">
              <w:rPr>
                <w:rFonts w:eastAsia="Calibri"/>
                <w:color w:val="000000"/>
                <w:szCs w:val="16"/>
              </w:rPr>
              <w:t>Post-1989 planted forest</w:t>
            </w:r>
          </w:p>
        </w:tc>
        <w:tc>
          <w:tcPr>
            <w:tcW w:w="2126" w:type="dxa"/>
            <w:shd w:val="clear" w:color="auto" w:fill="FFFFFF"/>
            <w:tcMar>
              <w:top w:w="0" w:type="dxa"/>
              <w:left w:w="85" w:type="dxa"/>
              <w:bottom w:w="0" w:type="dxa"/>
              <w:right w:w="85" w:type="dxa"/>
            </w:tcMar>
          </w:tcPr>
          <w:p w14:paraId="746F86F5" w14:textId="77777777" w:rsidR="00E0181F" w:rsidRPr="001D5327" w:rsidRDefault="00E0181F" w:rsidP="00D11AC9">
            <w:pPr>
              <w:pStyle w:val="TableText"/>
              <w:spacing w:before="40" w:after="40"/>
              <w:jc w:val="right"/>
              <w:rPr>
                <w:szCs w:val="16"/>
              </w:rPr>
            </w:pPr>
            <w:r w:rsidRPr="001D5327">
              <w:rPr>
                <w:rFonts w:eastAsia="Calibri"/>
                <w:color w:val="000000"/>
                <w:szCs w:val="16"/>
              </w:rPr>
              <w:t>883.431</w:t>
            </w:r>
          </w:p>
        </w:tc>
        <w:tc>
          <w:tcPr>
            <w:tcW w:w="2126" w:type="dxa"/>
            <w:shd w:val="clear" w:color="auto" w:fill="FFFFFF"/>
            <w:tcMar>
              <w:top w:w="0" w:type="dxa"/>
              <w:left w:w="85" w:type="dxa"/>
              <w:bottom w:w="0" w:type="dxa"/>
              <w:right w:w="85" w:type="dxa"/>
            </w:tcMar>
          </w:tcPr>
          <w:p w14:paraId="75996B1F" w14:textId="77777777" w:rsidR="00E0181F" w:rsidRPr="001D5327" w:rsidRDefault="00E0181F" w:rsidP="00D11AC9">
            <w:pPr>
              <w:pStyle w:val="TableText"/>
              <w:spacing w:before="40" w:after="40"/>
              <w:jc w:val="right"/>
              <w:rPr>
                <w:szCs w:val="16"/>
              </w:rPr>
            </w:pPr>
            <w:r w:rsidRPr="001D5327">
              <w:rPr>
                <w:rFonts w:eastAsia="Calibri"/>
                <w:color w:val="000000"/>
                <w:szCs w:val="16"/>
              </w:rPr>
              <w:t>3.3</w:t>
            </w:r>
          </w:p>
        </w:tc>
      </w:tr>
      <w:tr w:rsidR="00E0181F" w:rsidRPr="001D5327" w14:paraId="09F37797" w14:textId="77777777" w:rsidTr="00D11AC9">
        <w:tc>
          <w:tcPr>
            <w:tcW w:w="2126" w:type="dxa"/>
            <w:shd w:val="clear" w:color="auto" w:fill="FFFFFF"/>
            <w:tcMar>
              <w:top w:w="0" w:type="dxa"/>
              <w:left w:w="85" w:type="dxa"/>
              <w:bottom w:w="0" w:type="dxa"/>
              <w:right w:w="85" w:type="dxa"/>
            </w:tcMar>
          </w:tcPr>
          <w:p w14:paraId="7E4891AA" w14:textId="77777777" w:rsidR="00E0181F" w:rsidRPr="001D5327" w:rsidRDefault="00E0181F" w:rsidP="00D11AC9">
            <w:pPr>
              <w:pStyle w:val="TableText"/>
              <w:spacing w:before="40" w:after="40"/>
              <w:rPr>
                <w:szCs w:val="16"/>
              </w:rPr>
            </w:pPr>
          </w:p>
        </w:tc>
        <w:tc>
          <w:tcPr>
            <w:tcW w:w="2126" w:type="dxa"/>
            <w:shd w:val="clear" w:color="auto" w:fill="FFFFFF"/>
            <w:tcMar>
              <w:top w:w="0" w:type="dxa"/>
              <w:left w:w="85" w:type="dxa"/>
              <w:bottom w:w="0" w:type="dxa"/>
              <w:right w:w="85" w:type="dxa"/>
            </w:tcMar>
          </w:tcPr>
          <w:p w14:paraId="4109114E" w14:textId="77777777" w:rsidR="00E0181F" w:rsidRPr="001D5327" w:rsidRDefault="00E0181F" w:rsidP="00D11AC9">
            <w:pPr>
              <w:pStyle w:val="TableText"/>
              <w:spacing w:before="40" w:after="40"/>
              <w:rPr>
                <w:szCs w:val="16"/>
              </w:rPr>
            </w:pPr>
            <w:r w:rsidRPr="001D5327">
              <w:rPr>
                <w:rFonts w:eastAsia="Calibri"/>
                <w:color w:val="000000"/>
                <w:szCs w:val="16"/>
              </w:rPr>
              <w:t>Post-1989 natural forest</w:t>
            </w:r>
          </w:p>
        </w:tc>
        <w:tc>
          <w:tcPr>
            <w:tcW w:w="2126" w:type="dxa"/>
            <w:shd w:val="clear" w:color="auto" w:fill="FFFFFF"/>
            <w:tcMar>
              <w:top w:w="0" w:type="dxa"/>
              <w:left w:w="85" w:type="dxa"/>
              <w:bottom w:w="0" w:type="dxa"/>
              <w:right w:w="85" w:type="dxa"/>
            </w:tcMar>
          </w:tcPr>
          <w:p w14:paraId="13E9C291" w14:textId="77777777" w:rsidR="00E0181F" w:rsidRPr="001D5327" w:rsidRDefault="00E0181F" w:rsidP="00D11AC9">
            <w:pPr>
              <w:pStyle w:val="TableText"/>
              <w:spacing w:before="40" w:after="40"/>
              <w:jc w:val="right"/>
              <w:rPr>
                <w:szCs w:val="16"/>
              </w:rPr>
            </w:pPr>
            <w:r w:rsidRPr="001D5327">
              <w:rPr>
                <w:rFonts w:eastAsia="Calibri"/>
                <w:color w:val="000000"/>
                <w:szCs w:val="16"/>
              </w:rPr>
              <w:t>111.520</w:t>
            </w:r>
          </w:p>
        </w:tc>
        <w:tc>
          <w:tcPr>
            <w:tcW w:w="2126" w:type="dxa"/>
            <w:shd w:val="clear" w:color="auto" w:fill="FFFFFF"/>
            <w:tcMar>
              <w:top w:w="0" w:type="dxa"/>
              <w:left w:w="85" w:type="dxa"/>
              <w:bottom w:w="0" w:type="dxa"/>
              <w:right w:w="85" w:type="dxa"/>
            </w:tcMar>
          </w:tcPr>
          <w:p w14:paraId="09D9F75E" w14:textId="77777777" w:rsidR="00E0181F" w:rsidRPr="001D5327" w:rsidRDefault="00E0181F" w:rsidP="00D11AC9">
            <w:pPr>
              <w:pStyle w:val="TableText"/>
              <w:spacing w:before="40" w:after="40"/>
              <w:jc w:val="right"/>
              <w:rPr>
                <w:szCs w:val="16"/>
              </w:rPr>
            </w:pPr>
            <w:r w:rsidRPr="001D5327">
              <w:rPr>
                <w:rFonts w:eastAsia="Calibri"/>
                <w:color w:val="000000"/>
                <w:szCs w:val="16"/>
              </w:rPr>
              <w:t>0.4</w:t>
            </w:r>
          </w:p>
        </w:tc>
      </w:tr>
      <w:tr w:rsidR="00E0181F" w:rsidRPr="001D5327" w14:paraId="7871C368" w14:textId="77777777" w:rsidTr="00D11AC9">
        <w:tc>
          <w:tcPr>
            <w:tcW w:w="2126" w:type="dxa"/>
            <w:shd w:val="clear" w:color="auto" w:fill="FFFFFF"/>
            <w:tcMar>
              <w:top w:w="0" w:type="dxa"/>
              <w:left w:w="85" w:type="dxa"/>
              <w:bottom w:w="0" w:type="dxa"/>
              <w:right w:w="85" w:type="dxa"/>
            </w:tcMar>
          </w:tcPr>
          <w:p w14:paraId="5C3F964C" w14:textId="77777777" w:rsidR="00E0181F" w:rsidRPr="001D5327" w:rsidRDefault="00E0181F" w:rsidP="00D11AC9">
            <w:pPr>
              <w:pStyle w:val="TableText"/>
              <w:spacing w:before="40" w:after="40"/>
              <w:rPr>
                <w:szCs w:val="16"/>
              </w:rPr>
            </w:pPr>
          </w:p>
        </w:tc>
        <w:tc>
          <w:tcPr>
            <w:tcW w:w="2126" w:type="dxa"/>
            <w:shd w:val="clear" w:color="auto" w:fill="FFFFFF"/>
            <w:tcMar>
              <w:top w:w="0" w:type="dxa"/>
              <w:left w:w="85" w:type="dxa"/>
              <w:bottom w:w="0" w:type="dxa"/>
              <w:right w:w="85" w:type="dxa"/>
            </w:tcMar>
          </w:tcPr>
          <w:p w14:paraId="0E75D587" w14:textId="77777777" w:rsidR="00E0181F" w:rsidRPr="001D5327" w:rsidRDefault="00E0181F" w:rsidP="00D11AC9">
            <w:pPr>
              <w:pStyle w:val="TableText"/>
              <w:spacing w:before="40" w:after="40"/>
              <w:rPr>
                <w:szCs w:val="16"/>
              </w:rPr>
            </w:pPr>
            <w:r w:rsidRPr="001D5327">
              <w:rPr>
                <w:rFonts w:eastAsia="Calibri"/>
                <w:i/>
                <w:color w:val="000000"/>
                <w:szCs w:val="16"/>
              </w:rPr>
              <w:t>Subtotal</w:t>
            </w:r>
          </w:p>
        </w:tc>
        <w:tc>
          <w:tcPr>
            <w:tcW w:w="2126" w:type="dxa"/>
            <w:shd w:val="clear" w:color="auto" w:fill="FFFFFF"/>
            <w:tcMar>
              <w:top w:w="0" w:type="dxa"/>
              <w:left w:w="85" w:type="dxa"/>
              <w:bottom w:w="0" w:type="dxa"/>
              <w:right w:w="85" w:type="dxa"/>
            </w:tcMar>
          </w:tcPr>
          <w:p w14:paraId="598D4F71" w14:textId="77777777" w:rsidR="00E0181F" w:rsidRPr="001D5327" w:rsidRDefault="00E0181F" w:rsidP="00D11AC9">
            <w:pPr>
              <w:pStyle w:val="TableText"/>
              <w:spacing w:before="40" w:after="40"/>
              <w:jc w:val="right"/>
              <w:rPr>
                <w:szCs w:val="16"/>
              </w:rPr>
            </w:pPr>
            <w:r w:rsidRPr="001D5327">
              <w:rPr>
                <w:rFonts w:eastAsia="Calibri"/>
                <w:i/>
                <w:color w:val="000000"/>
                <w:szCs w:val="16"/>
              </w:rPr>
              <w:t>10,172.865</w:t>
            </w:r>
          </w:p>
        </w:tc>
        <w:tc>
          <w:tcPr>
            <w:tcW w:w="2126" w:type="dxa"/>
            <w:shd w:val="clear" w:color="auto" w:fill="FFFFFF"/>
            <w:tcMar>
              <w:top w:w="0" w:type="dxa"/>
              <w:left w:w="85" w:type="dxa"/>
              <w:bottom w:w="0" w:type="dxa"/>
              <w:right w:w="85" w:type="dxa"/>
            </w:tcMar>
          </w:tcPr>
          <w:p w14:paraId="1D2D931F" w14:textId="77777777" w:rsidR="00E0181F" w:rsidRPr="001D5327" w:rsidRDefault="00E0181F" w:rsidP="00D11AC9">
            <w:pPr>
              <w:pStyle w:val="TableText"/>
              <w:spacing w:before="40" w:after="40"/>
              <w:jc w:val="right"/>
              <w:rPr>
                <w:szCs w:val="16"/>
              </w:rPr>
            </w:pPr>
            <w:r w:rsidRPr="001D5327">
              <w:rPr>
                <w:rFonts w:eastAsia="Calibri"/>
                <w:i/>
                <w:color w:val="000000"/>
                <w:szCs w:val="16"/>
              </w:rPr>
              <w:t>37.8</w:t>
            </w:r>
          </w:p>
        </w:tc>
      </w:tr>
      <w:tr w:rsidR="00E0181F" w:rsidRPr="001D5327" w14:paraId="15CE6199" w14:textId="77777777" w:rsidTr="00D11AC9">
        <w:tc>
          <w:tcPr>
            <w:tcW w:w="2126" w:type="dxa"/>
            <w:shd w:val="clear" w:color="auto" w:fill="FFFFFF"/>
            <w:tcMar>
              <w:top w:w="0" w:type="dxa"/>
              <w:left w:w="85" w:type="dxa"/>
              <w:bottom w:w="0" w:type="dxa"/>
              <w:right w:w="85" w:type="dxa"/>
            </w:tcMar>
          </w:tcPr>
          <w:p w14:paraId="3F6260FF" w14:textId="77777777" w:rsidR="00E0181F" w:rsidRPr="001D5327" w:rsidRDefault="00E0181F" w:rsidP="00D11AC9">
            <w:pPr>
              <w:pStyle w:val="TableText"/>
              <w:spacing w:before="40" w:after="40"/>
              <w:rPr>
                <w:szCs w:val="16"/>
              </w:rPr>
            </w:pPr>
            <w:r w:rsidRPr="001D5327">
              <w:rPr>
                <w:rFonts w:eastAsia="Calibri"/>
                <w:color w:val="000000"/>
                <w:szCs w:val="16"/>
              </w:rPr>
              <w:t>Cropland</w:t>
            </w:r>
          </w:p>
        </w:tc>
        <w:tc>
          <w:tcPr>
            <w:tcW w:w="2126" w:type="dxa"/>
            <w:shd w:val="clear" w:color="auto" w:fill="FFFFFF"/>
            <w:tcMar>
              <w:top w:w="0" w:type="dxa"/>
              <w:left w:w="85" w:type="dxa"/>
              <w:bottom w:w="0" w:type="dxa"/>
              <w:right w:w="85" w:type="dxa"/>
            </w:tcMar>
          </w:tcPr>
          <w:p w14:paraId="3C2FE5FD" w14:textId="77777777" w:rsidR="00E0181F" w:rsidRPr="001D5327" w:rsidRDefault="00E0181F" w:rsidP="00D11AC9">
            <w:pPr>
              <w:pStyle w:val="TableText"/>
              <w:spacing w:before="40" w:after="40"/>
              <w:rPr>
                <w:szCs w:val="16"/>
              </w:rPr>
            </w:pPr>
            <w:r w:rsidRPr="001D5327">
              <w:rPr>
                <w:rFonts w:eastAsia="Calibri"/>
                <w:color w:val="000000"/>
                <w:szCs w:val="16"/>
              </w:rPr>
              <w:t>Annual</w:t>
            </w:r>
          </w:p>
        </w:tc>
        <w:tc>
          <w:tcPr>
            <w:tcW w:w="2126" w:type="dxa"/>
            <w:shd w:val="clear" w:color="auto" w:fill="FFFFFF"/>
            <w:tcMar>
              <w:top w:w="0" w:type="dxa"/>
              <w:left w:w="85" w:type="dxa"/>
              <w:bottom w:w="0" w:type="dxa"/>
              <w:right w:w="85" w:type="dxa"/>
            </w:tcMar>
          </w:tcPr>
          <w:p w14:paraId="1496DC1A" w14:textId="77777777" w:rsidR="00E0181F" w:rsidRPr="001D5327" w:rsidRDefault="00E0181F" w:rsidP="00D11AC9">
            <w:pPr>
              <w:pStyle w:val="TableText"/>
              <w:spacing w:before="40" w:after="40"/>
              <w:jc w:val="right"/>
              <w:rPr>
                <w:szCs w:val="16"/>
              </w:rPr>
            </w:pPr>
            <w:r w:rsidRPr="001D5327">
              <w:rPr>
                <w:rFonts w:eastAsia="Calibri"/>
                <w:color w:val="000000"/>
                <w:szCs w:val="16"/>
              </w:rPr>
              <w:t>389.133</w:t>
            </w:r>
          </w:p>
        </w:tc>
        <w:tc>
          <w:tcPr>
            <w:tcW w:w="2126" w:type="dxa"/>
            <w:shd w:val="clear" w:color="auto" w:fill="FFFFFF"/>
            <w:tcMar>
              <w:top w:w="0" w:type="dxa"/>
              <w:left w:w="85" w:type="dxa"/>
              <w:bottom w:w="0" w:type="dxa"/>
              <w:right w:w="85" w:type="dxa"/>
            </w:tcMar>
          </w:tcPr>
          <w:p w14:paraId="7A8685F8" w14:textId="77777777" w:rsidR="00E0181F" w:rsidRPr="001D5327" w:rsidRDefault="00E0181F" w:rsidP="00D11AC9">
            <w:pPr>
              <w:pStyle w:val="TableText"/>
              <w:spacing w:before="40" w:after="40"/>
              <w:jc w:val="right"/>
              <w:rPr>
                <w:szCs w:val="16"/>
              </w:rPr>
            </w:pPr>
            <w:r w:rsidRPr="001D5327">
              <w:rPr>
                <w:rFonts w:eastAsia="Calibri"/>
                <w:color w:val="000000"/>
                <w:szCs w:val="16"/>
              </w:rPr>
              <w:t>1.4</w:t>
            </w:r>
          </w:p>
        </w:tc>
      </w:tr>
      <w:tr w:rsidR="00E0181F" w:rsidRPr="001D5327" w14:paraId="48B44574" w14:textId="77777777" w:rsidTr="00D11AC9">
        <w:tc>
          <w:tcPr>
            <w:tcW w:w="2126" w:type="dxa"/>
            <w:shd w:val="clear" w:color="auto" w:fill="FFFFFF"/>
            <w:tcMar>
              <w:top w:w="0" w:type="dxa"/>
              <w:left w:w="85" w:type="dxa"/>
              <w:bottom w:w="0" w:type="dxa"/>
              <w:right w:w="85" w:type="dxa"/>
            </w:tcMar>
          </w:tcPr>
          <w:p w14:paraId="2982F0A4" w14:textId="77777777" w:rsidR="00E0181F" w:rsidRPr="001D5327" w:rsidRDefault="00E0181F" w:rsidP="00D11AC9">
            <w:pPr>
              <w:pStyle w:val="TableText"/>
              <w:spacing w:before="40" w:after="40"/>
              <w:rPr>
                <w:szCs w:val="16"/>
              </w:rPr>
            </w:pPr>
          </w:p>
        </w:tc>
        <w:tc>
          <w:tcPr>
            <w:tcW w:w="2126" w:type="dxa"/>
            <w:shd w:val="clear" w:color="auto" w:fill="FFFFFF"/>
            <w:tcMar>
              <w:top w:w="0" w:type="dxa"/>
              <w:left w:w="85" w:type="dxa"/>
              <w:bottom w:w="0" w:type="dxa"/>
              <w:right w:w="85" w:type="dxa"/>
            </w:tcMar>
          </w:tcPr>
          <w:p w14:paraId="1F56970D" w14:textId="77777777" w:rsidR="00E0181F" w:rsidRPr="001D5327" w:rsidRDefault="00E0181F" w:rsidP="00D11AC9">
            <w:pPr>
              <w:pStyle w:val="TableText"/>
              <w:spacing w:before="40" w:after="40"/>
              <w:rPr>
                <w:szCs w:val="16"/>
              </w:rPr>
            </w:pPr>
            <w:r w:rsidRPr="001D5327">
              <w:rPr>
                <w:rFonts w:eastAsia="Calibri"/>
                <w:color w:val="000000"/>
                <w:szCs w:val="16"/>
              </w:rPr>
              <w:t>Perennial</w:t>
            </w:r>
          </w:p>
        </w:tc>
        <w:tc>
          <w:tcPr>
            <w:tcW w:w="2126" w:type="dxa"/>
            <w:shd w:val="clear" w:color="auto" w:fill="FFFFFF"/>
            <w:tcMar>
              <w:top w:w="0" w:type="dxa"/>
              <w:left w:w="85" w:type="dxa"/>
              <w:bottom w:w="0" w:type="dxa"/>
              <w:right w:w="85" w:type="dxa"/>
            </w:tcMar>
          </w:tcPr>
          <w:p w14:paraId="57ED8E89" w14:textId="77777777" w:rsidR="00E0181F" w:rsidRPr="001D5327" w:rsidRDefault="00E0181F" w:rsidP="00D11AC9">
            <w:pPr>
              <w:pStyle w:val="TableText"/>
              <w:spacing w:before="40" w:after="40"/>
              <w:jc w:val="right"/>
              <w:rPr>
                <w:szCs w:val="16"/>
              </w:rPr>
            </w:pPr>
            <w:r w:rsidRPr="001D5327">
              <w:rPr>
                <w:rFonts w:eastAsia="Calibri"/>
                <w:color w:val="000000"/>
                <w:szCs w:val="16"/>
              </w:rPr>
              <w:t>108.106</w:t>
            </w:r>
          </w:p>
        </w:tc>
        <w:tc>
          <w:tcPr>
            <w:tcW w:w="2126" w:type="dxa"/>
            <w:shd w:val="clear" w:color="auto" w:fill="FFFFFF"/>
            <w:tcMar>
              <w:top w:w="0" w:type="dxa"/>
              <w:left w:w="85" w:type="dxa"/>
              <w:bottom w:w="0" w:type="dxa"/>
              <w:right w:w="85" w:type="dxa"/>
            </w:tcMar>
          </w:tcPr>
          <w:p w14:paraId="4F81FC2E" w14:textId="77777777" w:rsidR="00E0181F" w:rsidRPr="001D5327" w:rsidRDefault="00E0181F" w:rsidP="00D11AC9">
            <w:pPr>
              <w:pStyle w:val="TableText"/>
              <w:spacing w:before="40" w:after="40"/>
              <w:jc w:val="right"/>
              <w:rPr>
                <w:szCs w:val="16"/>
              </w:rPr>
            </w:pPr>
            <w:r w:rsidRPr="001D5327">
              <w:rPr>
                <w:rFonts w:eastAsia="Calibri"/>
                <w:color w:val="000000"/>
                <w:szCs w:val="16"/>
              </w:rPr>
              <w:t>0.4</w:t>
            </w:r>
          </w:p>
        </w:tc>
      </w:tr>
      <w:tr w:rsidR="00E0181F" w:rsidRPr="001D5327" w14:paraId="50B0BFE7" w14:textId="77777777" w:rsidTr="00D11AC9">
        <w:tc>
          <w:tcPr>
            <w:tcW w:w="2126" w:type="dxa"/>
            <w:shd w:val="clear" w:color="auto" w:fill="FFFFFF"/>
            <w:tcMar>
              <w:top w:w="0" w:type="dxa"/>
              <w:left w:w="85" w:type="dxa"/>
              <w:bottom w:w="0" w:type="dxa"/>
              <w:right w:w="85" w:type="dxa"/>
            </w:tcMar>
          </w:tcPr>
          <w:p w14:paraId="46D95DB0" w14:textId="77777777" w:rsidR="00E0181F" w:rsidRPr="001D5327" w:rsidRDefault="00E0181F" w:rsidP="00D11AC9">
            <w:pPr>
              <w:pStyle w:val="TableText"/>
              <w:spacing w:before="40" w:after="40"/>
              <w:rPr>
                <w:szCs w:val="16"/>
              </w:rPr>
            </w:pPr>
          </w:p>
        </w:tc>
        <w:tc>
          <w:tcPr>
            <w:tcW w:w="2126" w:type="dxa"/>
            <w:shd w:val="clear" w:color="auto" w:fill="FFFFFF"/>
            <w:tcMar>
              <w:top w:w="0" w:type="dxa"/>
              <w:left w:w="85" w:type="dxa"/>
              <w:bottom w:w="0" w:type="dxa"/>
              <w:right w:w="85" w:type="dxa"/>
            </w:tcMar>
          </w:tcPr>
          <w:p w14:paraId="1BEC0E05" w14:textId="77777777" w:rsidR="00E0181F" w:rsidRPr="001D5327" w:rsidRDefault="00E0181F" w:rsidP="00D11AC9">
            <w:pPr>
              <w:pStyle w:val="TableText"/>
              <w:spacing w:before="40" w:after="40"/>
              <w:rPr>
                <w:szCs w:val="16"/>
              </w:rPr>
            </w:pPr>
            <w:r w:rsidRPr="001D5327">
              <w:rPr>
                <w:rFonts w:eastAsia="Calibri"/>
                <w:i/>
                <w:color w:val="000000"/>
                <w:szCs w:val="16"/>
              </w:rPr>
              <w:t>Subtotal</w:t>
            </w:r>
          </w:p>
        </w:tc>
        <w:tc>
          <w:tcPr>
            <w:tcW w:w="2126" w:type="dxa"/>
            <w:shd w:val="clear" w:color="auto" w:fill="FFFFFF"/>
            <w:tcMar>
              <w:top w:w="0" w:type="dxa"/>
              <w:left w:w="85" w:type="dxa"/>
              <w:bottom w:w="0" w:type="dxa"/>
              <w:right w:w="85" w:type="dxa"/>
            </w:tcMar>
          </w:tcPr>
          <w:p w14:paraId="49E28A91" w14:textId="77777777" w:rsidR="00E0181F" w:rsidRPr="001D5327" w:rsidRDefault="00E0181F" w:rsidP="00D11AC9">
            <w:pPr>
              <w:pStyle w:val="TableText"/>
              <w:spacing w:before="40" w:after="40"/>
              <w:jc w:val="right"/>
              <w:rPr>
                <w:szCs w:val="16"/>
              </w:rPr>
            </w:pPr>
            <w:r w:rsidRPr="001D5327">
              <w:rPr>
                <w:rFonts w:eastAsia="Calibri"/>
                <w:i/>
                <w:color w:val="000000"/>
                <w:szCs w:val="16"/>
              </w:rPr>
              <w:t>497.239</w:t>
            </w:r>
          </w:p>
        </w:tc>
        <w:tc>
          <w:tcPr>
            <w:tcW w:w="2126" w:type="dxa"/>
            <w:shd w:val="clear" w:color="auto" w:fill="FFFFFF"/>
            <w:tcMar>
              <w:top w:w="0" w:type="dxa"/>
              <w:left w:w="85" w:type="dxa"/>
              <w:bottom w:w="0" w:type="dxa"/>
              <w:right w:w="85" w:type="dxa"/>
            </w:tcMar>
          </w:tcPr>
          <w:p w14:paraId="12EAB1B9" w14:textId="77777777" w:rsidR="00E0181F" w:rsidRPr="001D5327" w:rsidRDefault="00E0181F" w:rsidP="00D11AC9">
            <w:pPr>
              <w:pStyle w:val="TableText"/>
              <w:spacing w:before="40" w:after="40"/>
              <w:jc w:val="right"/>
              <w:rPr>
                <w:szCs w:val="16"/>
              </w:rPr>
            </w:pPr>
            <w:r w:rsidRPr="001D5327">
              <w:rPr>
                <w:rFonts w:eastAsia="Calibri"/>
                <w:i/>
                <w:color w:val="000000"/>
                <w:szCs w:val="16"/>
              </w:rPr>
              <w:t>1.8</w:t>
            </w:r>
          </w:p>
        </w:tc>
      </w:tr>
      <w:tr w:rsidR="00E0181F" w:rsidRPr="001D5327" w14:paraId="766E113F" w14:textId="77777777" w:rsidTr="00D11AC9">
        <w:tc>
          <w:tcPr>
            <w:tcW w:w="2126" w:type="dxa"/>
            <w:shd w:val="clear" w:color="auto" w:fill="FFFFFF"/>
            <w:tcMar>
              <w:top w:w="0" w:type="dxa"/>
              <w:left w:w="85" w:type="dxa"/>
              <w:bottom w:w="0" w:type="dxa"/>
              <w:right w:w="85" w:type="dxa"/>
            </w:tcMar>
          </w:tcPr>
          <w:p w14:paraId="27BED584" w14:textId="77777777" w:rsidR="00E0181F" w:rsidRPr="001D5327" w:rsidRDefault="00E0181F" w:rsidP="00D11AC9">
            <w:pPr>
              <w:pStyle w:val="TableText"/>
              <w:spacing w:before="40" w:after="40"/>
              <w:rPr>
                <w:szCs w:val="16"/>
              </w:rPr>
            </w:pPr>
            <w:r w:rsidRPr="001D5327">
              <w:rPr>
                <w:rFonts w:eastAsia="Calibri"/>
                <w:color w:val="000000"/>
                <w:szCs w:val="16"/>
              </w:rPr>
              <w:t>Grassland</w:t>
            </w:r>
          </w:p>
        </w:tc>
        <w:tc>
          <w:tcPr>
            <w:tcW w:w="2126" w:type="dxa"/>
            <w:shd w:val="clear" w:color="auto" w:fill="FFFFFF"/>
            <w:tcMar>
              <w:top w:w="0" w:type="dxa"/>
              <w:left w:w="85" w:type="dxa"/>
              <w:bottom w:w="0" w:type="dxa"/>
              <w:right w:w="85" w:type="dxa"/>
            </w:tcMar>
          </w:tcPr>
          <w:p w14:paraId="5F11DF33" w14:textId="77777777" w:rsidR="00E0181F" w:rsidRPr="001D5327" w:rsidRDefault="00E0181F" w:rsidP="00D11AC9">
            <w:pPr>
              <w:pStyle w:val="TableText"/>
              <w:spacing w:before="40" w:after="40"/>
              <w:rPr>
                <w:szCs w:val="16"/>
              </w:rPr>
            </w:pPr>
            <w:r w:rsidRPr="001D5327">
              <w:rPr>
                <w:rFonts w:eastAsia="Calibri"/>
                <w:color w:val="000000"/>
                <w:szCs w:val="16"/>
              </w:rPr>
              <w:t>High producing</w:t>
            </w:r>
          </w:p>
        </w:tc>
        <w:tc>
          <w:tcPr>
            <w:tcW w:w="2126" w:type="dxa"/>
            <w:shd w:val="clear" w:color="auto" w:fill="FFFFFF"/>
            <w:tcMar>
              <w:top w:w="0" w:type="dxa"/>
              <w:left w:w="85" w:type="dxa"/>
              <w:bottom w:w="0" w:type="dxa"/>
              <w:right w:w="85" w:type="dxa"/>
            </w:tcMar>
          </w:tcPr>
          <w:p w14:paraId="4BAC94D9" w14:textId="77777777" w:rsidR="00E0181F" w:rsidRPr="001D5327" w:rsidRDefault="00E0181F" w:rsidP="00D11AC9">
            <w:pPr>
              <w:pStyle w:val="TableText"/>
              <w:spacing w:before="40" w:after="40"/>
              <w:jc w:val="right"/>
              <w:rPr>
                <w:szCs w:val="16"/>
              </w:rPr>
            </w:pPr>
            <w:r w:rsidRPr="001D5327">
              <w:rPr>
                <w:rFonts w:eastAsia="Calibri"/>
                <w:color w:val="000000"/>
                <w:szCs w:val="16"/>
              </w:rPr>
              <w:t>6,736.718</w:t>
            </w:r>
          </w:p>
        </w:tc>
        <w:tc>
          <w:tcPr>
            <w:tcW w:w="2126" w:type="dxa"/>
            <w:shd w:val="clear" w:color="auto" w:fill="FFFFFF"/>
            <w:tcMar>
              <w:top w:w="0" w:type="dxa"/>
              <w:left w:w="85" w:type="dxa"/>
              <w:bottom w:w="0" w:type="dxa"/>
              <w:right w:w="85" w:type="dxa"/>
            </w:tcMar>
          </w:tcPr>
          <w:p w14:paraId="36D72332" w14:textId="77777777" w:rsidR="00E0181F" w:rsidRPr="001D5327" w:rsidRDefault="00E0181F" w:rsidP="00D11AC9">
            <w:pPr>
              <w:pStyle w:val="TableText"/>
              <w:spacing w:before="40" w:after="40"/>
              <w:jc w:val="right"/>
              <w:rPr>
                <w:szCs w:val="16"/>
              </w:rPr>
            </w:pPr>
            <w:r w:rsidRPr="001D5327">
              <w:rPr>
                <w:rFonts w:eastAsia="Calibri"/>
                <w:color w:val="000000"/>
                <w:szCs w:val="16"/>
              </w:rPr>
              <w:t>25.0</w:t>
            </w:r>
          </w:p>
        </w:tc>
      </w:tr>
      <w:tr w:rsidR="00E0181F" w:rsidRPr="001D5327" w14:paraId="3234D62A" w14:textId="77777777" w:rsidTr="00D11AC9">
        <w:tc>
          <w:tcPr>
            <w:tcW w:w="2126" w:type="dxa"/>
            <w:shd w:val="clear" w:color="auto" w:fill="FFFFFF"/>
            <w:tcMar>
              <w:top w:w="0" w:type="dxa"/>
              <w:left w:w="85" w:type="dxa"/>
              <w:bottom w:w="0" w:type="dxa"/>
              <w:right w:w="85" w:type="dxa"/>
            </w:tcMar>
          </w:tcPr>
          <w:p w14:paraId="7798A727" w14:textId="77777777" w:rsidR="00E0181F" w:rsidRPr="001D5327" w:rsidRDefault="00E0181F" w:rsidP="00D11AC9">
            <w:pPr>
              <w:pStyle w:val="TableText"/>
              <w:spacing w:before="40" w:after="40"/>
              <w:rPr>
                <w:szCs w:val="16"/>
              </w:rPr>
            </w:pPr>
          </w:p>
        </w:tc>
        <w:tc>
          <w:tcPr>
            <w:tcW w:w="2126" w:type="dxa"/>
            <w:shd w:val="clear" w:color="auto" w:fill="FFFFFF"/>
            <w:tcMar>
              <w:top w:w="0" w:type="dxa"/>
              <w:left w:w="85" w:type="dxa"/>
              <w:bottom w:w="0" w:type="dxa"/>
              <w:right w:w="85" w:type="dxa"/>
            </w:tcMar>
          </w:tcPr>
          <w:p w14:paraId="36517A61" w14:textId="77777777" w:rsidR="00E0181F" w:rsidRPr="001D5327" w:rsidRDefault="00E0181F" w:rsidP="00D11AC9">
            <w:pPr>
              <w:pStyle w:val="TableText"/>
              <w:spacing w:before="40" w:after="40"/>
              <w:rPr>
                <w:szCs w:val="16"/>
              </w:rPr>
            </w:pPr>
            <w:r w:rsidRPr="001D5327">
              <w:rPr>
                <w:rFonts w:eastAsia="Calibri"/>
                <w:color w:val="000000"/>
                <w:szCs w:val="16"/>
              </w:rPr>
              <w:t>Low producing</w:t>
            </w:r>
          </w:p>
        </w:tc>
        <w:tc>
          <w:tcPr>
            <w:tcW w:w="2126" w:type="dxa"/>
            <w:shd w:val="clear" w:color="auto" w:fill="FFFFFF"/>
            <w:tcMar>
              <w:top w:w="0" w:type="dxa"/>
              <w:left w:w="85" w:type="dxa"/>
              <w:bottom w:w="0" w:type="dxa"/>
              <w:right w:w="85" w:type="dxa"/>
            </w:tcMar>
          </w:tcPr>
          <w:p w14:paraId="6ED0B4C6" w14:textId="77777777" w:rsidR="00E0181F" w:rsidRPr="001D5327" w:rsidRDefault="00E0181F" w:rsidP="00D11AC9">
            <w:pPr>
              <w:pStyle w:val="TableText"/>
              <w:spacing w:before="40" w:after="40"/>
              <w:jc w:val="right"/>
              <w:rPr>
                <w:szCs w:val="16"/>
              </w:rPr>
            </w:pPr>
            <w:r w:rsidRPr="001D5327">
              <w:rPr>
                <w:rFonts w:eastAsia="Calibri"/>
                <w:color w:val="000000"/>
                <w:szCs w:val="16"/>
              </w:rPr>
              <w:t>6,252.599</w:t>
            </w:r>
          </w:p>
        </w:tc>
        <w:tc>
          <w:tcPr>
            <w:tcW w:w="2126" w:type="dxa"/>
            <w:shd w:val="clear" w:color="auto" w:fill="FFFFFF"/>
            <w:tcMar>
              <w:top w:w="0" w:type="dxa"/>
              <w:left w:w="85" w:type="dxa"/>
              <w:bottom w:w="0" w:type="dxa"/>
              <w:right w:w="85" w:type="dxa"/>
            </w:tcMar>
          </w:tcPr>
          <w:p w14:paraId="57B41274" w14:textId="77777777" w:rsidR="00E0181F" w:rsidRPr="001D5327" w:rsidRDefault="00E0181F" w:rsidP="00D11AC9">
            <w:pPr>
              <w:pStyle w:val="TableText"/>
              <w:spacing w:before="40" w:after="40"/>
              <w:jc w:val="right"/>
              <w:rPr>
                <w:szCs w:val="16"/>
              </w:rPr>
            </w:pPr>
            <w:r w:rsidRPr="001D5327">
              <w:rPr>
                <w:rFonts w:eastAsia="Calibri"/>
                <w:color w:val="000000"/>
                <w:szCs w:val="16"/>
              </w:rPr>
              <w:t>23.2</w:t>
            </w:r>
          </w:p>
        </w:tc>
      </w:tr>
      <w:tr w:rsidR="00E0181F" w:rsidRPr="001D5327" w14:paraId="7B7E062A" w14:textId="77777777" w:rsidTr="00D11AC9">
        <w:tc>
          <w:tcPr>
            <w:tcW w:w="2126" w:type="dxa"/>
            <w:shd w:val="clear" w:color="auto" w:fill="FFFFFF"/>
            <w:tcMar>
              <w:top w:w="0" w:type="dxa"/>
              <w:left w:w="85" w:type="dxa"/>
              <w:bottom w:w="0" w:type="dxa"/>
              <w:right w:w="85" w:type="dxa"/>
            </w:tcMar>
          </w:tcPr>
          <w:p w14:paraId="3008E3EC" w14:textId="77777777" w:rsidR="00E0181F" w:rsidRPr="001D5327" w:rsidRDefault="00E0181F" w:rsidP="00D11AC9">
            <w:pPr>
              <w:pStyle w:val="TableText"/>
              <w:spacing w:before="40" w:after="40"/>
              <w:rPr>
                <w:szCs w:val="16"/>
              </w:rPr>
            </w:pPr>
          </w:p>
        </w:tc>
        <w:tc>
          <w:tcPr>
            <w:tcW w:w="2126" w:type="dxa"/>
            <w:shd w:val="clear" w:color="auto" w:fill="FFFFFF"/>
            <w:tcMar>
              <w:top w:w="0" w:type="dxa"/>
              <w:left w:w="85" w:type="dxa"/>
              <w:bottom w:w="0" w:type="dxa"/>
              <w:right w:w="85" w:type="dxa"/>
            </w:tcMar>
          </w:tcPr>
          <w:p w14:paraId="601CA654" w14:textId="77777777" w:rsidR="00E0181F" w:rsidRPr="001D5327" w:rsidRDefault="00E0181F" w:rsidP="00D11AC9">
            <w:pPr>
              <w:pStyle w:val="TableText"/>
              <w:spacing w:before="40" w:after="40"/>
              <w:rPr>
                <w:szCs w:val="16"/>
              </w:rPr>
            </w:pPr>
            <w:r w:rsidRPr="001D5327">
              <w:rPr>
                <w:rFonts w:eastAsia="Calibri"/>
                <w:color w:val="000000"/>
                <w:szCs w:val="16"/>
              </w:rPr>
              <w:t>With woody biomass</w:t>
            </w:r>
          </w:p>
        </w:tc>
        <w:tc>
          <w:tcPr>
            <w:tcW w:w="2126" w:type="dxa"/>
            <w:shd w:val="clear" w:color="auto" w:fill="FFFFFF"/>
            <w:tcMar>
              <w:top w:w="0" w:type="dxa"/>
              <w:left w:w="85" w:type="dxa"/>
              <w:bottom w:w="0" w:type="dxa"/>
              <w:right w:w="85" w:type="dxa"/>
            </w:tcMar>
          </w:tcPr>
          <w:p w14:paraId="4625DD4D" w14:textId="77777777" w:rsidR="00E0181F" w:rsidRPr="001D5327" w:rsidRDefault="00E0181F" w:rsidP="00D11AC9">
            <w:pPr>
              <w:pStyle w:val="TableText"/>
              <w:spacing w:before="40" w:after="40"/>
              <w:jc w:val="right"/>
              <w:rPr>
                <w:szCs w:val="16"/>
              </w:rPr>
            </w:pPr>
            <w:r w:rsidRPr="001D5327">
              <w:rPr>
                <w:rFonts w:eastAsia="Calibri"/>
                <w:color w:val="000000"/>
                <w:szCs w:val="16"/>
              </w:rPr>
              <w:t>1,343.924</w:t>
            </w:r>
          </w:p>
        </w:tc>
        <w:tc>
          <w:tcPr>
            <w:tcW w:w="2126" w:type="dxa"/>
            <w:shd w:val="clear" w:color="auto" w:fill="FFFFFF"/>
            <w:tcMar>
              <w:top w:w="0" w:type="dxa"/>
              <w:left w:w="85" w:type="dxa"/>
              <w:bottom w:w="0" w:type="dxa"/>
              <w:right w:w="85" w:type="dxa"/>
            </w:tcMar>
          </w:tcPr>
          <w:p w14:paraId="35A7A552" w14:textId="77777777" w:rsidR="00E0181F" w:rsidRPr="001D5327" w:rsidRDefault="00E0181F" w:rsidP="00D11AC9">
            <w:pPr>
              <w:pStyle w:val="TableText"/>
              <w:spacing w:before="40" w:after="40"/>
              <w:jc w:val="right"/>
              <w:rPr>
                <w:szCs w:val="16"/>
              </w:rPr>
            </w:pPr>
            <w:r w:rsidRPr="001D5327">
              <w:rPr>
                <w:rFonts w:eastAsia="Calibri"/>
                <w:color w:val="000000"/>
                <w:szCs w:val="16"/>
              </w:rPr>
              <w:t>5.0</w:t>
            </w:r>
          </w:p>
        </w:tc>
      </w:tr>
      <w:tr w:rsidR="00E0181F" w:rsidRPr="001D5327" w14:paraId="1CDD2951" w14:textId="77777777" w:rsidTr="00D11AC9">
        <w:tc>
          <w:tcPr>
            <w:tcW w:w="2126" w:type="dxa"/>
            <w:shd w:val="clear" w:color="auto" w:fill="FFFFFF"/>
            <w:tcMar>
              <w:top w:w="0" w:type="dxa"/>
              <w:left w:w="85" w:type="dxa"/>
              <w:bottom w:w="0" w:type="dxa"/>
              <w:right w:w="85" w:type="dxa"/>
            </w:tcMar>
          </w:tcPr>
          <w:p w14:paraId="2CBF6F1F" w14:textId="77777777" w:rsidR="00E0181F" w:rsidRPr="001D5327" w:rsidRDefault="00E0181F" w:rsidP="00D11AC9">
            <w:pPr>
              <w:pStyle w:val="TableText"/>
              <w:spacing w:before="40" w:after="40"/>
              <w:rPr>
                <w:szCs w:val="16"/>
              </w:rPr>
            </w:pPr>
          </w:p>
        </w:tc>
        <w:tc>
          <w:tcPr>
            <w:tcW w:w="2126" w:type="dxa"/>
            <w:shd w:val="clear" w:color="auto" w:fill="FFFFFF"/>
            <w:tcMar>
              <w:top w:w="0" w:type="dxa"/>
              <w:left w:w="85" w:type="dxa"/>
              <w:bottom w:w="0" w:type="dxa"/>
              <w:right w:w="85" w:type="dxa"/>
            </w:tcMar>
          </w:tcPr>
          <w:p w14:paraId="4716C776" w14:textId="77777777" w:rsidR="00E0181F" w:rsidRPr="001D5327" w:rsidRDefault="00E0181F" w:rsidP="00D11AC9">
            <w:pPr>
              <w:pStyle w:val="TableText"/>
              <w:spacing w:before="40" w:after="40"/>
              <w:rPr>
                <w:szCs w:val="16"/>
              </w:rPr>
            </w:pPr>
            <w:r w:rsidRPr="001D5327">
              <w:rPr>
                <w:rFonts w:eastAsia="Calibri"/>
                <w:i/>
                <w:color w:val="000000"/>
                <w:szCs w:val="16"/>
              </w:rPr>
              <w:t>Subtotal</w:t>
            </w:r>
          </w:p>
        </w:tc>
        <w:tc>
          <w:tcPr>
            <w:tcW w:w="2126" w:type="dxa"/>
            <w:shd w:val="clear" w:color="auto" w:fill="FFFFFF"/>
            <w:tcMar>
              <w:top w:w="0" w:type="dxa"/>
              <w:left w:w="85" w:type="dxa"/>
              <w:bottom w:w="0" w:type="dxa"/>
              <w:right w:w="85" w:type="dxa"/>
            </w:tcMar>
          </w:tcPr>
          <w:p w14:paraId="4FEED37B" w14:textId="77777777" w:rsidR="00E0181F" w:rsidRPr="001D5327" w:rsidRDefault="00E0181F" w:rsidP="00D11AC9">
            <w:pPr>
              <w:pStyle w:val="TableText"/>
              <w:spacing w:before="40" w:after="40"/>
              <w:jc w:val="right"/>
              <w:rPr>
                <w:szCs w:val="16"/>
              </w:rPr>
            </w:pPr>
            <w:r w:rsidRPr="001D5327">
              <w:rPr>
                <w:rFonts w:eastAsia="Calibri"/>
                <w:i/>
                <w:color w:val="000000"/>
                <w:szCs w:val="16"/>
              </w:rPr>
              <w:t>14,333.242</w:t>
            </w:r>
          </w:p>
        </w:tc>
        <w:tc>
          <w:tcPr>
            <w:tcW w:w="2126" w:type="dxa"/>
            <w:shd w:val="clear" w:color="auto" w:fill="FFFFFF"/>
            <w:tcMar>
              <w:top w:w="0" w:type="dxa"/>
              <w:left w:w="85" w:type="dxa"/>
              <w:bottom w:w="0" w:type="dxa"/>
              <w:right w:w="85" w:type="dxa"/>
            </w:tcMar>
          </w:tcPr>
          <w:p w14:paraId="1833F8D1" w14:textId="77777777" w:rsidR="00E0181F" w:rsidRPr="001D5327" w:rsidRDefault="00E0181F" w:rsidP="00D11AC9">
            <w:pPr>
              <w:pStyle w:val="TableText"/>
              <w:spacing w:before="40" w:after="40"/>
              <w:jc w:val="right"/>
              <w:rPr>
                <w:szCs w:val="16"/>
              </w:rPr>
            </w:pPr>
            <w:r w:rsidRPr="001D5327">
              <w:rPr>
                <w:rFonts w:eastAsia="Calibri"/>
                <w:i/>
                <w:color w:val="000000"/>
                <w:szCs w:val="16"/>
              </w:rPr>
              <w:t>53.2</w:t>
            </w:r>
          </w:p>
        </w:tc>
      </w:tr>
      <w:tr w:rsidR="00E0181F" w:rsidRPr="001D5327" w14:paraId="122D5F7D" w14:textId="77777777" w:rsidTr="00D11AC9">
        <w:tc>
          <w:tcPr>
            <w:tcW w:w="2126" w:type="dxa"/>
            <w:shd w:val="clear" w:color="auto" w:fill="FFFFFF"/>
            <w:tcMar>
              <w:top w:w="0" w:type="dxa"/>
              <w:left w:w="85" w:type="dxa"/>
              <w:bottom w:w="0" w:type="dxa"/>
              <w:right w:w="85" w:type="dxa"/>
            </w:tcMar>
          </w:tcPr>
          <w:p w14:paraId="6B86D586" w14:textId="77777777" w:rsidR="00E0181F" w:rsidRPr="001D5327" w:rsidRDefault="00E0181F" w:rsidP="00D11AC9">
            <w:pPr>
              <w:pStyle w:val="TableText"/>
              <w:spacing w:before="40" w:after="40"/>
              <w:rPr>
                <w:szCs w:val="16"/>
              </w:rPr>
            </w:pPr>
            <w:r w:rsidRPr="001D5327">
              <w:rPr>
                <w:rFonts w:eastAsia="Calibri"/>
                <w:color w:val="000000"/>
                <w:szCs w:val="16"/>
              </w:rPr>
              <w:t>Wetlands</w:t>
            </w:r>
          </w:p>
        </w:tc>
        <w:tc>
          <w:tcPr>
            <w:tcW w:w="2126" w:type="dxa"/>
            <w:shd w:val="clear" w:color="auto" w:fill="FFFFFF"/>
            <w:tcMar>
              <w:top w:w="0" w:type="dxa"/>
              <w:left w:w="85" w:type="dxa"/>
              <w:bottom w:w="0" w:type="dxa"/>
              <w:right w:w="85" w:type="dxa"/>
            </w:tcMar>
          </w:tcPr>
          <w:p w14:paraId="2EBA725D" w14:textId="77777777" w:rsidR="00E0181F" w:rsidRPr="001D5327" w:rsidRDefault="00E0181F" w:rsidP="00D11AC9">
            <w:pPr>
              <w:pStyle w:val="TableText"/>
              <w:spacing w:before="40" w:after="40"/>
              <w:rPr>
                <w:szCs w:val="16"/>
              </w:rPr>
            </w:pPr>
            <w:r w:rsidRPr="001D5327">
              <w:rPr>
                <w:rFonts w:eastAsia="Calibri"/>
                <w:color w:val="000000"/>
                <w:szCs w:val="16"/>
              </w:rPr>
              <w:t>Open water</w:t>
            </w:r>
          </w:p>
        </w:tc>
        <w:tc>
          <w:tcPr>
            <w:tcW w:w="2126" w:type="dxa"/>
            <w:shd w:val="clear" w:color="auto" w:fill="FFFFFF"/>
            <w:tcMar>
              <w:top w:w="0" w:type="dxa"/>
              <w:left w:w="85" w:type="dxa"/>
              <w:bottom w:w="0" w:type="dxa"/>
              <w:right w:w="85" w:type="dxa"/>
            </w:tcMar>
          </w:tcPr>
          <w:p w14:paraId="41C216DA" w14:textId="77777777" w:rsidR="00E0181F" w:rsidRPr="001D5327" w:rsidRDefault="00E0181F" w:rsidP="00D11AC9">
            <w:pPr>
              <w:pStyle w:val="TableText"/>
              <w:spacing w:before="40" w:after="40"/>
              <w:jc w:val="right"/>
              <w:rPr>
                <w:szCs w:val="16"/>
              </w:rPr>
            </w:pPr>
            <w:r w:rsidRPr="001D5327">
              <w:rPr>
                <w:rFonts w:eastAsia="Calibri"/>
                <w:color w:val="000000"/>
                <w:szCs w:val="16"/>
              </w:rPr>
              <w:t>537.525</w:t>
            </w:r>
          </w:p>
        </w:tc>
        <w:tc>
          <w:tcPr>
            <w:tcW w:w="2126" w:type="dxa"/>
            <w:shd w:val="clear" w:color="auto" w:fill="FFFFFF"/>
            <w:tcMar>
              <w:top w:w="0" w:type="dxa"/>
              <w:left w:w="85" w:type="dxa"/>
              <w:bottom w:w="0" w:type="dxa"/>
              <w:right w:w="85" w:type="dxa"/>
            </w:tcMar>
          </w:tcPr>
          <w:p w14:paraId="4DF38475" w14:textId="77777777" w:rsidR="00E0181F" w:rsidRPr="001D5327" w:rsidRDefault="00E0181F" w:rsidP="00D11AC9">
            <w:pPr>
              <w:pStyle w:val="TableText"/>
              <w:spacing w:before="40" w:after="40"/>
              <w:jc w:val="right"/>
              <w:rPr>
                <w:szCs w:val="16"/>
              </w:rPr>
            </w:pPr>
            <w:r w:rsidRPr="001D5327">
              <w:rPr>
                <w:rFonts w:eastAsia="Calibri"/>
                <w:color w:val="000000"/>
                <w:szCs w:val="16"/>
              </w:rPr>
              <w:t>2.0</w:t>
            </w:r>
          </w:p>
        </w:tc>
      </w:tr>
      <w:tr w:rsidR="00E0181F" w:rsidRPr="001D5327" w14:paraId="738FD119" w14:textId="77777777" w:rsidTr="00D11AC9">
        <w:tc>
          <w:tcPr>
            <w:tcW w:w="2126" w:type="dxa"/>
            <w:shd w:val="clear" w:color="auto" w:fill="FFFFFF"/>
            <w:tcMar>
              <w:top w:w="0" w:type="dxa"/>
              <w:left w:w="85" w:type="dxa"/>
              <w:bottom w:w="0" w:type="dxa"/>
              <w:right w:w="85" w:type="dxa"/>
            </w:tcMar>
          </w:tcPr>
          <w:p w14:paraId="71B4EFDC" w14:textId="77777777" w:rsidR="00E0181F" w:rsidRPr="001D5327" w:rsidRDefault="00E0181F" w:rsidP="00D11AC9">
            <w:pPr>
              <w:pStyle w:val="TableText"/>
              <w:spacing w:before="40" w:after="40"/>
              <w:rPr>
                <w:szCs w:val="16"/>
              </w:rPr>
            </w:pPr>
          </w:p>
        </w:tc>
        <w:tc>
          <w:tcPr>
            <w:tcW w:w="2126" w:type="dxa"/>
            <w:shd w:val="clear" w:color="auto" w:fill="FFFFFF"/>
            <w:tcMar>
              <w:top w:w="0" w:type="dxa"/>
              <w:left w:w="85" w:type="dxa"/>
              <w:bottom w:w="0" w:type="dxa"/>
              <w:right w:w="85" w:type="dxa"/>
            </w:tcMar>
          </w:tcPr>
          <w:p w14:paraId="4562C6A1" w14:textId="77777777" w:rsidR="00E0181F" w:rsidRPr="001D5327" w:rsidRDefault="00E0181F" w:rsidP="00D11AC9">
            <w:pPr>
              <w:pStyle w:val="TableText"/>
              <w:spacing w:before="40" w:after="40"/>
              <w:rPr>
                <w:szCs w:val="16"/>
              </w:rPr>
            </w:pPr>
            <w:r w:rsidRPr="001D5327">
              <w:rPr>
                <w:rFonts w:eastAsia="Calibri"/>
                <w:color w:val="000000"/>
                <w:szCs w:val="16"/>
              </w:rPr>
              <w:t>Vegetated</w:t>
            </w:r>
          </w:p>
        </w:tc>
        <w:tc>
          <w:tcPr>
            <w:tcW w:w="2126" w:type="dxa"/>
            <w:shd w:val="clear" w:color="auto" w:fill="FFFFFF"/>
            <w:tcMar>
              <w:top w:w="0" w:type="dxa"/>
              <w:left w:w="85" w:type="dxa"/>
              <w:bottom w:w="0" w:type="dxa"/>
              <w:right w:w="85" w:type="dxa"/>
            </w:tcMar>
          </w:tcPr>
          <w:p w14:paraId="796AE421" w14:textId="77777777" w:rsidR="00E0181F" w:rsidRPr="001D5327" w:rsidRDefault="00E0181F" w:rsidP="00D11AC9">
            <w:pPr>
              <w:pStyle w:val="TableText"/>
              <w:spacing w:before="40" w:after="40"/>
              <w:jc w:val="right"/>
              <w:rPr>
                <w:szCs w:val="16"/>
              </w:rPr>
            </w:pPr>
            <w:r w:rsidRPr="001D5327">
              <w:rPr>
                <w:rFonts w:eastAsia="Calibri"/>
                <w:color w:val="000000"/>
                <w:szCs w:val="16"/>
              </w:rPr>
              <w:t>243.813</w:t>
            </w:r>
          </w:p>
        </w:tc>
        <w:tc>
          <w:tcPr>
            <w:tcW w:w="2126" w:type="dxa"/>
            <w:shd w:val="clear" w:color="auto" w:fill="FFFFFF"/>
            <w:tcMar>
              <w:top w:w="0" w:type="dxa"/>
              <w:left w:w="85" w:type="dxa"/>
              <w:bottom w:w="0" w:type="dxa"/>
              <w:right w:w="85" w:type="dxa"/>
            </w:tcMar>
          </w:tcPr>
          <w:p w14:paraId="14BEB76F" w14:textId="77777777" w:rsidR="00E0181F" w:rsidRPr="001D5327" w:rsidRDefault="00E0181F" w:rsidP="00D11AC9">
            <w:pPr>
              <w:pStyle w:val="TableText"/>
              <w:spacing w:before="40" w:after="40"/>
              <w:jc w:val="right"/>
              <w:rPr>
                <w:szCs w:val="16"/>
              </w:rPr>
            </w:pPr>
            <w:r w:rsidRPr="001D5327">
              <w:rPr>
                <w:rFonts w:eastAsia="Calibri"/>
                <w:color w:val="000000"/>
                <w:szCs w:val="16"/>
              </w:rPr>
              <w:t>0.9</w:t>
            </w:r>
          </w:p>
        </w:tc>
      </w:tr>
      <w:tr w:rsidR="00E0181F" w:rsidRPr="001D5327" w14:paraId="05A4E4B7" w14:textId="77777777" w:rsidTr="00D11AC9">
        <w:tc>
          <w:tcPr>
            <w:tcW w:w="2126" w:type="dxa"/>
            <w:shd w:val="clear" w:color="auto" w:fill="FFFFFF"/>
            <w:tcMar>
              <w:top w:w="0" w:type="dxa"/>
              <w:left w:w="85" w:type="dxa"/>
              <w:bottom w:w="0" w:type="dxa"/>
              <w:right w:w="85" w:type="dxa"/>
            </w:tcMar>
          </w:tcPr>
          <w:p w14:paraId="6F5599A0" w14:textId="77777777" w:rsidR="00E0181F" w:rsidRPr="001D5327" w:rsidRDefault="00E0181F" w:rsidP="00D11AC9">
            <w:pPr>
              <w:pStyle w:val="TableText"/>
              <w:spacing w:before="40" w:after="40"/>
              <w:rPr>
                <w:szCs w:val="16"/>
              </w:rPr>
            </w:pPr>
          </w:p>
        </w:tc>
        <w:tc>
          <w:tcPr>
            <w:tcW w:w="2126" w:type="dxa"/>
            <w:shd w:val="clear" w:color="auto" w:fill="FFFFFF"/>
            <w:tcMar>
              <w:top w:w="0" w:type="dxa"/>
              <w:left w:w="85" w:type="dxa"/>
              <w:bottom w:w="0" w:type="dxa"/>
              <w:right w:w="85" w:type="dxa"/>
            </w:tcMar>
          </w:tcPr>
          <w:p w14:paraId="41F37E8B" w14:textId="77777777" w:rsidR="00E0181F" w:rsidRPr="001D5327" w:rsidRDefault="00E0181F" w:rsidP="00D11AC9">
            <w:pPr>
              <w:pStyle w:val="TableText"/>
              <w:spacing w:before="40" w:after="40"/>
              <w:rPr>
                <w:szCs w:val="16"/>
              </w:rPr>
            </w:pPr>
            <w:r w:rsidRPr="001D5327">
              <w:rPr>
                <w:rFonts w:eastAsia="Calibri"/>
                <w:i/>
                <w:color w:val="000000"/>
                <w:szCs w:val="16"/>
              </w:rPr>
              <w:t>Subtotal</w:t>
            </w:r>
          </w:p>
        </w:tc>
        <w:tc>
          <w:tcPr>
            <w:tcW w:w="2126" w:type="dxa"/>
            <w:shd w:val="clear" w:color="auto" w:fill="FFFFFF"/>
            <w:tcMar>
              <w:top w:w="0" w:type="dxa"/>
              <w:left w:w="85" w:type="dxa"/>
              <w:bottom w:w="0" w:type="dxa"/>
              <w:right w:w="85" w:type="dxa"/>
            </w:tcMar>
          </w:tcPr>
          <w:p w14:paraId="354A783B" w14:textId="77777777" w:rsidR="00E0181F" w:rsidRPr="001D5327" w:rsidRDefault="00E0181F" w:rsidP="00D11AC9">
            <w:pPr>
              <w:pStyle w:val="TableText"/>
              <w:spacing w:before="40" w:after="40"/>
              <w:jc w:val="right"/>
              <w:rPr>
                <w:szCs w:val="16"/>
              </w:rPr>
            </w:pPr>
            <w:r w:rsidRPr="001D5327">
              <w:rPr>
                <w:rFonts w:eastAsia="Calibri"/>
                <w:i/>
                <w:color w:val="000000"/>
                <w:szCs w:val="16"/>
              </w:rPr>
              <w:t>781.338</w:t>
            </w:r>
          </w:p>
        </w:tc>
        <w:tc>
          <w:tcPr>
            <w:tcW w:w="2126" w:type="dxa"/>
            <w:shd w:val="clear" w:color="auto" w:fill="FFFFFF"/>
            <w:tcMar>
              <w:top w:w="0" w:type="dxa"/>
              <w:left w:w="85" w:type="dxa"/>
              <w:bottom w:w="0" w:type="dxa"/>
              <w:right w:w="85" w:type="dxa"/>
            </w:tcMar>
          </w:tcPr>
          <w:p w14:paraId="04F35231" w14:textId="77777777" w:rsidR="00E0181F" w:rsidRPr="001D5327" w:rsidRDefault="00E0181F" w:rsidP="00D11AC9">
            <w:pPr>
              <w:pStyle w:val="TableText"/>
              <w:spacing w:before="40" w:after="40"/>
              <w:jc w:val="right"/>
              <w:rPr>
                <w:szCs w:val="16"/>
              </w:rPr>
            </w:pPr>
            <w:r w:rsidRPr="001D5327">
              <w:rPr>
                <w:rFonts w:eastAsia="Calibri"/>
                <w:i/>
                <w:color w:val="000000"/>
                <w:szCs w:val="16"/>
              </w:rPr>
              <w:t>2.9</w:t>
            </w:r>
          </w:p>
        </w:tc>
      </w:tr>
      <w:tr w:rsidR="00E0181F" w:rsidRPr="001D5327" w14:paraId="63216289" w14:textId="77777777" w:rsidTr="00D11AC9">
        <w:tc>
          <w:tcPr>
            <w:tcW w:w="2126" w:type="dxa"/>
            <w:shd w:val="clear" w:color="auto" w:fill="FFFFFF"/>
            <w:tcMar>
              <w:top w:w="0" w:type="dxa"/>
              <w:left w:w="85" w:type="dxa"/>
              <w:bottom w:w="0" w:type="dxa"/>
              <w:right w:w="85" w:type="dxa"/>
            </w:tcMar>
          </w:tcPr>
          <w:p w14:paraId="21E6FBD3" w14:textId="77777777" w:rsidR="00E0181F" w:rsidRPr="001D5327" w:rsidRDefault="00E0181F" w:rsidP="00D11AC9">
            <w:pPr>
              <w:pStyle w:val="TableText"/>
              <w:spacing w:before="40" w:after="40"/>
              <w:rPr>
                <w:szCs w:val="16"/>
              </w:rPr>
            </w:pPr>
            <w:r w:rsidRPr="001D5327">
              <w:rPr>
                <w:rFonts w:eastAsia="Calibri"/>
                <w:color w:val="000000"/>
                <w:szCs w:val="16"/>
              </w:rPr>
              <w:t>Settlements</w:t>
            </w:r>
          </w:p>
        </w:tc>
        <w:tc>
          <w:tcPr>
            <w:tcW w:w="2126" w:type="dxa"/>
            <w:shd w:val="clear" w:color="auto" w:fill="FFFFFF"/>
            <w:tcMar>
              <w:top w:w="0" w:type="dxa"/>
              <w:left w:w="85" w:type="dxa"/>
              <w:bottom w:w="0" w:type="dxa"/>
              <w:right w:w="85" w:type="dxa"/>
            </w:tcMar>
          </w:tcPr>
          <w:p w14:paraId="3557A219" w14:textId="77777777" w:rsidR="00E0181F" w:rsidRPr="001D5327" w:rsidRDefault="00E0181F" w:rsidP="00D11AC9">
            <w:pPr>
              <w:pStyle w:val="TableText"/>
              <w:spacing w:before="40" w:after="40"/>
              <w:rPr>
                <w:szCs w:val="16"/>
              </w:rPr>
            </w:pPr>
          </w:p>
        </w:tc>
        <w:tc>
          <w:tcPr>
            <w:tcW w:w="2126" w:type="dxa"/>
            <w:shd w:val="clear" w:color="auto" w:fill="FFFFFF"/>
            <w:tcMar>
              <w:top w:w="0" w:type="dxa"/>
              <w:left w:w="85" w:type="dxa"/>
              <w:bottom w:w="0" w:type="dxa"/>
              <w:right w:w="85" w:type="dxa"/>
            </w:tcMar>
          </w:tcPr>
          <w:p w14:paraId="7DF267C1" w14:textId="77777777" w:rsidR="00E0181F" w:rsidRPr="001D5327" w:rsidRDefault="00E0181F" w:rsidP="00D11AC9">
            <w:pPr>
              <w:pStyle w:val="TableText"/>
              <w:spacing w:before="40" w:after="40"/>
              <w:jc w:val="right"/>
              <w:rPr>
                <w:szCs w:val="16"/>
              </w:rPr>
            </w:pPr>
            <w:r w:rsidRPr="001D5327">
              <w:rPr>
                <w:rFonts w:eastAsia="Calibri"/>
                <w:color w:val="000000"/>
                <w:szCs w:val="16"/>
              </w:rPr>
              <w:t>243.451</w:t>
            </w:r>
          </w:p>
        </w:tc>
        <w:tc>
          <w:tcPr>
            <w:tcW w:w="2126" w:type="dxa"/>
            <w:shd w:val="clear" w:color="auto" w:fill="FFFFFF"/>
            <w:tcMar>
              <w:top w:w="0" w:type="dxa"/>
              <w:left w:w="85" w:type="dxa"/>
              <w:bottom w:w="0" w:type="dxa"/>
              <w:right w:w="85" w:type="dxa"/>
            </w:tcMar>
          </w:tcPr>
          <w:p w14:paraId="57834CAD" w14:textId="77777777" w:rsidR="00E0181F" w:rsidRPr="001D5327" w:rsidRDefault="00E0181F" w:rsidP="00D11AC9">
            <w:pPr>
              <w:pStyle w:val="TableText"/>
              <w:spacing w:before="40" w:after="40"/>
              <w:jc w:val="right"/>
              <w:rPr>
                <w:szCs w:val="16"/>
              </w:rPr>
            </w:pPr>
            <w:r w:rsidRPr="001D5327">
              <w:rPr>
                <w:rFonts w:eastAsia="Calibri"/>
                <w:color w:val="000000"/>
                <w:szCs w:val="16"/>
              </w:rPr>
              <w:t>0.9</w:t>
            </w:r>
          </w:p>
        </w:tc>
      </w:tr>
      <w:tr w:rsidR="00E0181F" w:rsidRPr="001D5327" w14:paraId="5A910C34" w14:textId="77777777" w:rsidTr="00D11AC9">
        <w:tc>
          <w:tcPr>
            <w:tcW w:w="2126" w:type="dxa"/>
            <w:shd w:val="clear" w:color="auto" w:fill="FFFFFF"/>
            <w:tcMar>
              <w:top w:w="0" w:type="dxa"/>
              <w:left w:w="85" w:type="dxa"/>
              <w:bottom w:w="0" w:type="dxa"/>
              <w:right w:w="85" w:type="dxa"/>
            </w:tcMar>
          </w:tcPr>
          <w:p w14:paraId="12CE0BDF" w14:textId="77777777" w:rsidR="00E0181F" w:rsidRPr="001D5327" w:rsidRDefault="00E0181F" w:rsidP="00D11AC9">
            <w:pPr>
              <w:pStyle w:val="TableText"/>
              <w:spacing w:before="40" w:after="40"/>
              <w:rPr>
                <w:szCs w:val="16"/>
              </w:rPr>
            </w:pPr>
            <w:r w:rsidRPr="001D5327">
              <w:rPr>
                <w:rFonts w:eastAsia="Calibri"/>
                <w:color w:val="000000"/>
                <w:szCs w:val="16"/>
              </w:rPr>
              <w:t>Other land</w:t>
            </w:r>
          </w:p>
        </w:tc>
        <w:tc>
          <w:tcPr>
            <w:tcW w:w="2126" w:type="dxa"/>
            <w:shd w:val="clear" w:color="auto" w:fill="FFFFFF"/>
            <w:tcMar>
              <w:top w:w="0" w:type="dxa"/>
              <w:left w:w="85" w:type="dxa"/>
              <w:bottom w:w="0" w:type="dxa"/>
              <w:right w:w="85" w:type="dxa"/>
            </w:tcMar>
          </w:tcPr>
          <w:p w14:paraId="05AA2549" w14:textId="77777777" w:rsidR="00E0181F" w:rsidRPr="001D5327" w:rsidRDefault="00E0181F" w:rsidP="00D11AC9">
            <w:pPr>
              <w:pStyle w:val="TableText"/>
              <w:spacing w:before="40" w:after="40"/>
              <w:rPr>
                <w:szCs w:val="16"/>
              </w:rPr>
            </w:pPr>
          </w:p>
        </w:tc>
        <w:tc>
          <w:tcPr>
            <w:tcW w:w="2126" w:type="dxa"/>
            <w:shd w:val="clear" w:color="auto" w:fill="FFFFFF"/>
            <w:tcMar>
              <w:top w:w="0" w:type="dxa"/>
              <w:left w:w="85" w:type="dxa"/>
              <w:bottom w:w="0" w:type="dxa"/>
              <w:right w:w="85" w:type="dxa"/>
            </w:tcMar>
          </w:tcPr>
          <w:p w14:paraId="6B6508A1" w14:textId="77777777" w:rsidR="00E0181F" w:rsidRPr="001D5327" w:rsidRDefault="00E0181F" w:rsidP="00D11AC9">
            <w:pPr>
              <w:pStyle w:val="TableText"/>
              <w:spacing w:before="40" w:after="40"/>
              <w:jc w:val="right"/>
              <w:rPr>
                <w:szCs w:val="16"/>
              </w:rPr>
            </w:pPr>
            <w:r w:rsidRPr="001D5327">
              <w:rPr>
                <w:rFonts w:eastAsia="Calibri"/>
                <w:color w:val="000000"/>
                <w:szCs w:val="16"/>
              </w:rPr>
              <w:t>896.950</w:t>
            </w:r>
          </w:p>
        </w:tc>
        <w:tc>
          <w:tcPr>
            <w:tcW w:w="2126" w:type="dxa"/>
            <w:shd w:val="clear" w:color="auto" w:fill="FFFFFF"/>
            <w:tcMar>
              <w:top w:w="0" w:type="dxa"/>
              <w:left w:w="85" w:type="dxa"/>
              <w:bottom w:w="0" w:type="dxa"/>
              <w:right w:w="85" w:type="dxa"/>
            </w:tcMar>
          </w:tcPr>
          <w:p w14:paraId="1E0901A6" w14:textId="77777777" w:rsidR="00E0181F" w:rsidRPr="001D5327" w:rsidRDefault="00E0181F" w:rsidP="00D11AC9">
            <w:pPr>
              <w:pStyle w:val="TableText"/>
              <w:spacing w:before="40" w:after="40"/>
              <w:jc w:val="right"/>
              <w:rPr>
                <w:szCs w:val="16"/>
              </w:rPr>
            </w:pPr>
            <w:r w:rsidRPr="001D5327">
              <w:rPr>
                <w:rFonts w:eastAsia="Calibri"/>
                <w:color w:val="000000"/>
                <w:szCs w:val="16"/>
              </w:rPr>
              <w:t>3.3</w:t>
            </w:r>
          </w:p>
        </w:tc>
      </w:tr>
      <w:tr w:rsidR="00E0181F" w:rsidRPr="001D5327" w14:paraId="188165EC" w14:textId="77777777" w:rsidTr="00D11AC9">
        <w:tc>
          <w:tcPr>
            <w:tcW w:w="2126" w:type="dxa"/>
            <w:shd w:val="clear" w:color="auto" w:fill="FFFFFF"/>
            <w:tcMar>
              <w:top w:w="0" w:type="dxa"/>
              <w:left w:w="85" w:type="dxa"/>
              <w:bottom w:w="0" w:type="dxa"/>
              <w:right w:w="85" w:type="dxa"/>
            </w:tcMar>
          </w:tcPr>
          <w:p w14:paraId="098E0B00" w14:textId="77777777" w:rsidR="00E0181F" w:rsidRPr="001D5327" w:rsidRDefault="00E0181F" w:rsidP="00D11AC9">
            <w:pPr>
              <w:pStyle w:val="Tableboldblue"/>
              <w:spacing w:before="40" w:after="40"/>
              <w:rPr>
                <w:szCs w:val="16"/>
              </w:rPr>
            </w:pPr>
            <w:r w:rsidRPr="001D5327">
              <w:rPr>
                <w:rFonts w:eastAsia="Calibri"/>
                <w:szCs w:val="16"/>
              </w:rPr>
              <w:t>Total</w:t>
            </w:r>
          </w:p>
        </w:tc>
        <w:tc>
          <w:tcPr>
            <w:tcW w:w="2126" w:type="dxa"/>
            <w:shd w:val="clear" w:color="auto" w:fill="FFFFFF"/>
            <w:tcMar>
              <w:top w:w="0" w:type="dxa"/>
              <w:left w:w="85" w:type="dxa"/>
              <w:bottom w:w="0" w:type="dxa"/>
              <w:right w:w="85" w:type="dxa"/>
            </w:tcMar>
          </w:tcPr>
          <w:p w14:paraId="2948A5E4" w14:textId="77777777" w:rsidR="00E0181F" w:rsidRPr="001D5327" w:rsidRDefault="00E0181F" w:rsidP="00D11AC9">
            <w:pPr>
              <w:pStyle w:val="Tableboldblue"/>
              <w:spacing w:before="40" w:after="40"/>
              <w:rPr>
                <w:szCs w:val="16"/>
              </w:rPr>
            </w:pPr>
          </w:p>
        </w:tc>
        <w:tc>
          <w:tcPr>
            <w:tcW w:w="2126" w:type="dxa"/>
            <w:shd w:val="clear" w:color="auto" w:fill="FFFFFF"/>
            <w:tcMar>
              <w:top w:w="0" w:type="dxa"/>
              <w:left w:w="85" w:type="dxa"/>
              <w:bottom w:w="0" w:type="dxa"/>
              <w:right w:w="85" w:type="dxa"/>
            </w:tcMar>
          </w:tcPr>
          <w:p w14:paraId="6310D9B8" w14:textId="77777777" w:rsidR="00E0181F" w:rsidRPr="001D5327" w:rsidRDefault="00E0181F" w:rsidP="00D11AC9">
            <w:pPr>
              <w:pStyle w:val="Tableboldblue"/>
              <w:spacing w:before="40" w:after="40"/>
              <w:jc w:val="right"/>
              <w:rPr>
                <w:szCs w:val="16"/>
              </w:rPr>
            </w:pPr>
            <w:r w:rsidRPr="001D5327">
              <w:rPr>
                <w:rFonts w:eastAsia="Calibri"/>
                <w:szCs w:val="16"/>
              </w:rPr>
              <w:t>26,925.085</w:t>
            </w:r>
          </w:p>
        </w:tc>
        <w:tc>
          <w:tcPr>
            <w:tcW w:w="2126" w:type="dxa"/>
            <w:shd w:val="clear" w:color="auto" w:fill="FFFFFF"/>
            <w:tcMar>
              <w:top w:w="0" w:type="dxa"/>
              <w:left w:w="85" w:type="dxa"/>
              <w:bottom w:w="0" w:type="dxa"/>
              <w:right w:w="85" w:type="dxa"/>
            </w:tcMar>
          </w:tcPr>
          <w:p w14:paraId="187D4309" w14:textId="77777777" w:rsidR="00E0181F" w:rsidRPr="001D5327" w:rsidRDefault="00E0181F" w:rsidP="00D11AC9">
            <w:pPr>
              <w:pStyle w:val="Tableboldblue"/>
              <w:spacing w:before="40" w:after="40"/>
              <w:jc w:val="right"/>
              <w:rPr>
                <w:szCs w:val="16"/>
              </w:rPr>
            </w:pPr>
            <w:r w:rsidRPr="001D5327">
              <w:rPr>
                <w:rFonts w:eastAsia="Calibri"/>
                <w:szCs w:val="16"/>
              </w:rPr>
              <w:t>100.0</w:t>
            </w:r>
          </w:p>
        </w:tc>
      </w:tr>
    </w:tbl>
    <w:p w14:paraId="372FC44F" w14:textId="77777777" w:rsidR="00E0181F" w:rsidRPr="001D5327" w:rsidRDefault="00E0181F" w:rsidP="00E0181F">
      <w:pPr>
        <w:pStyle w:val="Noteundertable"/>
        <w:spacing w:after="80"/>
      </w:pPr>
      <w:r w:rsidRPr="001D5327">
        <w:rPr>
          <w:b/>
        </w:rPr>
        <w:t>Note:</w:t>
      </w:r>
      <w:r w:rsidRPr="001D5327">
        <w:tab/>
        <w:t>Areas as at 31 December 2023. Columns may not total due to rounding. Percentages presented are calculated from unrounded values.</w:t>
      </w:r>
    </w:p>
    <w:p w14:paraId="3E8ADFAB" w14:textId="77777777" w:rsidR="00E0181F" w:rsidRPr="001D5327" w:rsidRDefault="00E0181F" w:rsidP="00E0181F">
      <w:pPr>
        <w:pStyle w:val="Figure"/>
        <w:spacing w:before="240" w:after="80"/>
      </w:pPr>
      <w:bookmarkStart w:id="1611" w:name="_Toc131591568"/>
      <w:bookmarkStart w:id="1612" w:name="_Toc158979908"/>
      <w:bookmarkStart w:id="1613" w:name="_Toc164154036"/>
      <w:bookmarkStart w:id="1614" w:name="_Toc190873405"/>
      <w:bookmarkStart w:id="1615" w:name="_Toc194674869"/>
      <w:r w:rsidRPr="001D5327">
        <w:lastRenderedPageBreak/>
        <w:t>Figure 6.1.2</w:t>
      </w:r>
      <w:r w:rsidRPr="001D5327">
        <w:tab/>
        <w:t xml:space="preserve">Comparison of afforestation and deforestation rates with the changing NZ ETS unit price, from 2004 to </w:t>
      </w:r>
      <w:bookmarkEnd w:id="1611"/>
      <w:bookmarkEnd w:id="1612"/>
      <w:bookmarkEnd w:id="1613"/>
      <w:r w:rsidRPr="001D5327">
        <w:t>2023</w:t>
      </w:r>
      <w:bookmarkEnd w:id="1614"/>
      <w:bookmarkEnd w:id="1615"/>
    </w:p>
    <w:p w14:paraId="70B37C35" w14:textId="77777777" w:rsidR="00E0181F" w:rsidRPr="001D5327" w:rsidRDefault="00E0181F" w:rsidP="00E0181F">
      <w:pPr>
        <w:pStyle w:val="BodyText"/>
      </w:pPr>
      <w:r w:rsidRPr="001D5327">
        <w:rPr>
          <w:noProof/>
        </w:rPr>
        <w:drawing>
          <wp:inline distT="0" distB="0" distL="0" distR="0" wp14:anchorId="34B86AC0" wp14:editId="21E41D3F">
            <wp:extent cx="5372053" cy="4208585"/>
            <wp:effectExtent l="0" t="0" r="635" b="1905"/>
            <wp:docPr id="19617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6">
                      <a:extLst>
                        <a:ext uri="{28A0092B-C50C-407E-A947-70E740481C1C}">
                          <a14:useLocalDpi xmlns:a14="http://schemas.microsoft.com/office/drawing/2010/main" val="0"/>
                        </a:ext>
                      </a:extLst>
                    </a:blip>
                    <a:srcRect b="2059"/>
                    <a:stretch/>
                  </pic:blipFill>
                  <pic:spPr bwMode="auto">
                    <a:xfrm>
                      <a:off x="0" y="0"/>
                      <a:ext cx="5378306" cy="4213484"/>
                    </a:xfrm>
                    <a:prstGeom prst="rect">
                      <a:avLst/>
                    </a:prstGeom>
                    <a:noFill/>
                    <a:ln>
                      <a:noFill/>
                    </a:ln>
                    <a:extLst>
                      <a:ext uri="{53640926-AAD7-44D8-BBD7-CCE9431645EC}">
                        <a14:shadowObscured xmlns:a14="http://schemas.microsoft.com/office/drawing/2010/main"/>
                      </a:ext>
                    </a:extLst>
                  </pic:spPr>
                </pic:pic>
              </a:graphicData>
            </a:graphic>
          </wp:inline>
        </w:drawing>
      </w:r>
    </w:p>
    <w:p w14:paraId="30B0FC55" w14:textId="77777777" w:rsidR="00E0181F" w:rsidRPr="001D5327" w:rsidRDefault="00E0181F" w:rsidP="00E0181F">
      <w:pPr>
        <w:pStyle w:val="Heading3"/>
        <w:spacing w:before="320"/>
      </w:pPr>
      <w:r w:rsidRPr="001D5327">
        <w:t>6.1.2</w:t>
      </w:r>
      <w:r w:rsidRPr="001D5327">
        <w:tab/>
        <w:t>Methodological tiers and coverage of pools applied in the LULUCF sector</w:t>
      </w:r>
    </w:p>
    <w:p w14:paraId="10CD251E" w14:textId="77777777" w:rsidR="00E0181F" w:rsidRPr="001D5327" w:rsidRDefault="00E0181F" w:rsidP="00E0181F">
      <w:pPr>
        <w:pStyle w:val="BodyText"/>
        <w:spacing w:before="100" w:after="100"/>
      </w:pPr>
      <w:r w:rsidRPr="001D5327">
        <w:t>New Zealand</w:t>
      </w:r>
      <w:r w:rsidRPr="001D5327">
        <w:rPr>
          <w:spacing w:val="-2"/>
        </w:rPr>
        <w:t xml:space="preserve"> </w:t>
      </w:r>
      <w:r w:rsidRPr="001D5327">
        <w:t xml:space="preserve">uses a combination of Tier 1, Tier 2 and Tier 3 methods, as described in the 2006 IPCC General Guidance and Reporting (IPCC, 2006b), for estimating net emissions for the LULUCF sector. A Tier 1 approach has been used to estimate carbon stock change in the four biomass pools (above-ground and below-ground biomass, dead wood and litter) for all land uses except </w:t>
      </w:r>
      <w:r w:rsidRPr="001D5327">
        <w:rPr>
          <w:i/>
        </w:rPr>
        <w:t>Forest land</w:t>
      </w:r>
      <w:r w:rsidRPr="001D5327">
        <w:t xml:space="preserve">, </w:t>
      </w:r>
      <w:r w:rsidRPr="001D5327">
        <w:rPr>
          <w:i/>
          <w:iCs/>
        </w:rPr>
        <w:t>Perennial cropland</w:t>
      </w:r>
      <w:r w:rsidRPr="001D5327">
        <w:t>,</w:t>
      </w:r>
      <w:r w:rsidRPr="001D5327">
        <w:rPr>
          <w:i/>
          <w:iCs/>
        </w:rPr>
        <w:t xml:space="preserve"> Vegetated wetland</w:t>
      </w:r>
      <w:r w:rsidRPr="001D5327">
        <w:t xml:space="preserve"> and </w:t>
      </w:r>
      <w:r w:rsidRPr="001D5327">
        <w:rPr>
          <w:i/>
          <w:iCs/>
        </w:rPr>
        <w:t>Grassland with woody biomass</w:t>
      </w:r>
      <w:r w:rsidRPr="001D5327">
        <w:t>, which use Tier 2 or Tier 3 approaches.</w:t>
      </w:r>
    </w:p>
    <w:p w14:paraId="2915BA61" w14:textId="77777777" w:rsidR="00E0181F" w:rsidRPr="001D5327" w:rsidRDefault="00E0181F" w:rsidP="00E0181F">
      <w:pPr>
        <w:pStyle w:val="BodyText"/>
        <w:spacing w:before="100" w:after="100"/>
      </w:pPr>
      <w:r w:rsidRPr="001D5327">
        <w:t>For all land uses, Tier 1 approaches are used to estimate carbon stock changes in organic soils, and a Tier 2 modelling approach is applied to estimate soil organic carbon (SOC) changes from mineral soils. This model is described in more detail in annex 5, section A5.2.4 ‘Mineral soils’.</w:t>
      </w:r>
    </w:p>
    <w:p w14:paraId="419BE3D8" w14:textId="5EBCD72D" w:rsidR="00E0181F" w:rsidRPr="001D5327" w:rsidRDefault="00E0181F" w:rsidP="00E0181F">
      <w:pPr>
        <w:pStyle w:val="BodyText"/>
        <w:spacing w:before="100" w:after="100"/>
      </w:pPr>
      <w:r w:rsidRPr="001D5327">
        <w:t>New Zealand’s forests are disaggregated into four reporting categories, to represent the different growth characteristics of the forest types more accurately: pre-1990 planted forest, pre-1990 natural forest, post-1989 planted forest and post-1989 natural forest. The terms ‘post-1989’ and ‘pre-1990’ distinguish between forests growing on land that was forested</w:t>
      </w:r>
      <w:r w:rsidRPr="001D5327" w:rsidDel="00DC120C">
        <w:t xml:space="preserve"> </w:t>
      </w:r>
      <w:r w:rsidRPr="001D5327">
        <w:t>as of</w:t>
      </w:r>
      <w:r w:rsidR="00DE298D" w:rsidRPr="001D5327">
        <w:t> </w:t>
      </w:r>
      <w:r w:rsidRPr="001D5327">
        <w:t>31 December 1989 and those growing on land that was not forested at that date. The terms ‘natural’ and ‘planted’ forest are used to identify whether the trees were established from natural regeneration or from managed planting. The term ‘harvesting’ refers to temporary destocking of forest as part of ongoing forestry land use, whereas ‘deforestation’ refers to permanent removal of forest as a result of land-use change.</w:t>
      </w:r>
    </w:p>
    <w:p w14:paraId="1480AFAF" w14:textId="77777777" w:rsidR="00E0181F" w:rsidRPr="001D5327" w:rsidRDefault="00E0181F" w:rsidP="00E0181F">
      <w:pPr>
        <w:spacing w:before="100" w:after="100"/>
      </w:pPr>
      <w:r w:rsidRPr="001D5327">
        <w:lastRenderedPageBreak/>
        <w:t xml:space="preserve">Similarly, the species compositions reported in the </w:t>
      </w:r>
      <w:r w:rsidRPr="001D5327">
        <w:rPr>
          <w:i/>
          <w:iCs/>
        </w:rPr>
        <w:t>Grassland</w:t>
      </w:r>
      <w:r w:rsidRPr="001D5327">
        <w:t xml:space="preserve"> category are diverse, ranging from different grass types to woody trees that do not meet New Zealand’s forest definition. To allow for this, the </w:t>
      </w:r>
      <w:r w:rsidRPr="001D5327">
        <w:rPr>
          <w:i/>
          <w:iCs/>
        </w:rPr>
        <w:t>Grassland</w:t>
      </w:r>
      <w:r w:rsidRPr="001D5327">
        <w:t xml:space="preserve"> category is divided into four types for modelling the net emissions from land-use change.</w:t>
      </w:r>
    </w:p>
    <w:p w14:paraId="27E09ABA" w14:textId="77777777" w:rsidR="00E0181F" w:rsidRPr="001D5327" w:rsidRDefault="00E0181F" w:rsidP="00E0181F">
      <w:pPr>
        <w:pStyle w:val="Heading4"/>
      </w:pPr>
      <w:r w:rsidRPr="001D5327">
        <w:t>Calculation of national emission estimates</w:t>
      </w:r>
    </w:p>
    <w:p w14:paraId="6E9C965A" w14:textId="77777777" w:rsidR="00E0181F" w:rsidRPr="001D5327" w:rsidRDefault="00E0181F" w:rsidP="00E0181F">
      <w:pPr>
        <w:pStyle w:val="BodyText"/>
        <w:spacing w:before="100" w:after="100"/>
      </w:pPr>
      <w:r w:rsidRPr="001D5327">
        <w:t xml:space="preserve">The methods used to estimate carbon (C) by pool for each land use are summarised in table 6.1.4. Biomass carbon stocks in each land use before conversion, emission factors to estimate carbon stock changes, and annual growth in biomass carbon stocks after land use conversion are summarised in the relevant category sections in this chapter. Activity data are estimated using wall-to-wall mapping from satellite imagery and other ancillary data sets and are described in more detail in section 6.3.1 and annex 5, section A5.2.1. </w:t>
      </w:r>
    </w:p>
    <w:p w14:paraId="0840F129" w14:textId="77777777" w:rsidR="00E0181F" w:rsidRPr="001D5327" w:rsidRDefault="00E0181F" w:rsidP="00E0181F">
      <w:pPr>
        <w:pStyle w:val="Table"/>
      </w:pPr>
      <w:bookmarkStart w:id="1616" w:name="_Toc280630449"/>
      <w:bookmarkStart w:id="1617" w:name="_Toc310423392"/>
      <w:bookmarkStart w:id="1618" w:name="_Toc318362685"/>
      <w:bookmarkStart w:id="1619" w:name="_Toc342470747"/>
      <w:bookmarkStart w:id="1620" w:name="_Toc352504987"/>
      <w:bookmarkStart w:id="1621" w:name="_Toc378853276"/>
      <w:bookmarkStart w:id="1622" w:name="_Toc391024074"/>
      <w:bookmarkStart w:id="1623" w:name="_Toc410028817"/>
      <w:bookmarkStart w:id="1624" w:name="_Toc414531445"/>
      <w:bookmarkStart w:id="1625" w:name="_Toc443645357"/>
      <w:bookmarkStart w:id="1626" w:name="_Toc474914576"/>
      <w:bookmarkStart w:id="1627" w:name="_Toc481751540"/>
      <w:bookmarkStart w:id="1628" w:name="_Toc522010597"/>
      <w:bookmarkStart w:id="1629" w:name="_Toc5269502"/>
      <w:bookmarkStart w:id="1630" w:name="_Toc33529378"/>
      <w:bookmarkStart w:id="1631" w:name="_Toc36224584"/>
      <w:bookmarkStart w:id="1632" w:name="_Toc65243579"/>
      <w:bookmarkStart w:id="1633" w:name="_Toc131591384"/>
      <w:bookmarkStart w:id="1634" w:name="_Toc158979942"/>
      <w:bookmarkStart w:id="1635" w:name="_Toc164153875"/>
      <w:bookmarkStart w:id="1636" w:name="_Toc190873109"/>
      <w:bookmarkStart w:id="1637" w:name="_Toc194241748"/>
      <w:r w:rsidRPr="001D5327">
        <w:t>Table 6.1.4</w:t>
      </w:r>
      <w:r w:rsidRPr="001D5327">
        <w:tab/>
        <w:t>Relationships between land use, carbon pool and method of calculation used by New Zealand</w:t>
      </w:r>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p>
    <w:tbl>
      <w:tblPr>
        <w:tblW w:w="8562"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57" w:type="dxa"/>
          <w:right w:w="57" w:type="dxa"/>
        </w:tblCellMar>
        <w:tblLook w:val="04A0" w:firstRow="1" w:lastRow="0" w:firstColumn="1" w:lastColumn="0" w:noHBand="0" w:noVBand="1"/>
      </w:tblPr>
      <w:tblGrid>
        <w:gridCol w:w="1109"/>
        <w:gridCol w:w="1276"/>
        <w:gridCol w:w="1276"/>
        <w:gridCol w:w="1301"/>
        <w:gridCol w:w="1251"/>
        <w:gridCol w:w="1134"/>
        <w:gridCol w:w="1215"/>
      </w:tblGrid>
      <w:tr w:rsidR="00E0181F" w:rsidRPr="001D5327" w14:paraId="6ACEE156" w14:textId="77777777" w:rsidTr="00D11AC9">
        <w:trPr>
          <w:tblHeader/>
        </w:trPr>
        <w:tc>
          <w:tcPr>
            <w:tcW w:w="1109" w:type="dxa"/>
            <w:shd w:val="clear" w:color="auto" w:fill="1B556B" w:themeFill="text2"/>
            <w:vAlign w:val="bottom"/>
            <w:hideMark/>
          </w:tcPr>
          <w:p w14:paraId="3E706C1D" w14:textId="77777777" w:rsidR="00E0181F" w:rsidRPr="001D5327" w:rsidRDefault="00E0181F" w:rsidP="00D11AC9">
            <w:pPr>
              <w:pStyle w:val="TableTextBold"/>
              <w:keepNext/>
              <w:spacing w:before="40" w:after="40"/>
              <w:rPr>
                <w:rFonts w:cs="Segoe UI"/>
                <w:noProof w:val="0"/>
                <w:color w:val="FFFFFF"/>
                <w:szCs w:val="16"/>
              </w:rPr>
            </w:pPr>
            <w:r w:rsidRPr="001D5327">
              <w:rPr>
                <w:rFonts w:cs="Segoe UI"/>
                <w:noProof w:val="0"/>
                <w:color w:val="FFFFFF"/>
                <w:szCs w:val="16"/>
              </w:rPr>
              <w:t>Reporting category</w:t>
            </w:r>
          </w:p>
        </w:tc>
        <w:tc>
          <w:tcPr>
            <w:tcW w:w="2552" w:type="dxa"/>
            <w:gridSpan w:val="2"/>
            <w:tcBorders>
              <w:bottom w:val="single" w:sz="4" w:space="0" w:color="1B556B" w:themeColor="text2"/>
            </w:tcBorders>
            <w:shd w:val="clear" w:color="auto" w:fill="1B556B" w:themeFill="text2"/>
            <w:vAlign w:val="bottom"/>
            <w:hideMark/>
          </w:tcPr>
          <w:p w14:paraId="79F0738B" w14:textId="77777777" w:rsidR="00E0181F" w:rsidRPr="001D5327" w:rsidRDefault="00E0181F" w:rsidP="00D11AC9">
            <w:pPr>
              <w:pStyle w:val="TableTextBold"/>
              <w:keepNext/>
              <w:spacing w:before="40" w:after="40"/>
              <w:jc w:val="center"/>
              <w:rPr>
                <w:rFonts w:cs="Segoe UI"/>
                <w:noProof w:val="0"/>
                <w:color w:val="FFFFFF"/>
                <w:szCs w:val="16"/>
              </w:rPr>
            </w:pPr>
            <w:r w:rsidRPr="001D5327">
              <w:rPr>
                <w:rFonts w:cs="Segoe UI"/>
                <w:noProof w:val="0"/>
                <w:color w:val="FFFFFF"/>
                <w:szCs w:val="16"/>
              </w:rPr>
              <w:t>Living biomass</w:t>
            </w:r>
          </w:p>
        </w:tc>
        <w:tc>
          <w:tcPr>
            <w:tcW w:w="2552" w:type="dxa"/>
            <w:gridSpan w:val="2"/>
            <w:tcBorders>
              <w:bottom w:val="single" w:sz="4" w:space="0" w:color="1B556B" w:themeColor="text2"/>
            </w:tcBorders>
            <w:shd w:val="clear" w:color="auto" w:fill="1B556B" w:themeFill="text2"/>
            <w:vAlign w:val="bottom"/>
            <w:hideMark/>
          </w:tcPr>
          <w:p w14:paraId="188D81A0" w14:textId="77777777" w:rsidR="00E0181F" w:rsidRPr="001D5327" w:rsidRDefault="00E0181F" w:rsidP="00D11AC9">
            <w:pPr>
              <w:pStyle w:val="TableTextBold"/>
              <w:keepNext/>
              <w:spacing w:before="40" w:after="40"/>
              <w:jc w:val="center"/>
              <w:rPr>
                <w:rFonts w:cs="Segoe UI"/>
                <w:noProof w:val="0"/>
                <w:color w:val="FFFFFF"/>
                <w:szCs w:val="16"/>
              </w:rPr>
            </w:pPr>
            <w:r w:rsidRPr="001D5327">
              <w:rPr>
                <w:rFonts w:cs="Segoe UI"/>
                <w:noProof w:val="0"/>
                <w:color w:val="FFFFFF"/>
                <w:szCs w:val="16"/>
              </w:rPr>
              <w:t>Dead organic matter</w:t>
            </w:r>
          </w:p>
        </w:tc>
        <w:tc>
          <w:tcPr>
            <w:tcW w:w="2292" w:type="dxa"/>
            <w:gridSpan w:val="2"/>
            <w:tcBorders>
              <w:bottom w:val="single" w:sz="4" w:space="0" w:color="1B556B" w:themeColor="text2"/>
            </w:tcBorders>
            <w:shd w:val="clear" w:color="auto" w:fill="1B556B" w:themeFill="text2"/>
            <w:vAlign w:val="bottom"/>
            <w:hideMark/>
          </w:tcPr>
          <w:p w14:paraId="07B2A0C9" w14:textId="77777777" w:rsidR="00E0181F" w:rsidRPr="001D5327" w:rsidRDefault="00E0181F" w:rsidP="00D11AC9">
            <w:pPr>
              <w:pStyle w:val="TableTextBold"/>
              <w:keepNext/>
              <w:spacing w:before="40" w:after="40"/>
              <w:jc w:val="center"/>
              <w:rPr>
                <w:rFonts w:cs="Segoe UI"/>
                <w:noProof w:val="0"/>
                <w:color w:val="FFFFFF"/>
                <w:szCs w:val="16"/>
              </w:rPr>
            </w:pPr>
            <w:r w:rsidRPr="001D5327">
              <w:rPr>
                <w:rFonts w:cs="Segoe UI"/>
                <w:noProof w:val="0"/>
                <w:color w:val="FFFFFF"/>
                <w:szCs w:val="16"/>
              </w:rPr>
              <w:t>Soils</w:t>
            </w:r>
          </w:p>
        </w:tc>
      </w:tr>
      <w:tr w:rsidR="00E0181F" w:rsidRPr="001D5327" w14:paraId="21E6403B" w14:textId="77777777" w:rsidTr="00D11AC9">
        <w:trPr>
          <w:tblHeader/>
        </w:trPr>
        <w:tc>
          <w:tcPr>
            <w:tcW w:w="1109" w:type="dxa"/>
            <w:vMerge w:val="restart"/>
            <w:vAlign w:val="bottom"/>
            <w:hideMark/>
          </w:tcPr>
          <w:p w14:paraId="1DA7816D" w14:textId="77777777" w:rsidR="00E0181F" w:rsidRPr="001D5327" w:rsidRDefault="00E0181F" w:rsidP="00D11AC9">
            <w:pPr>
              <w:pStyle w:val="TableTextBold"/>
              <w:spacing w:after="40"/>
              <w:rPr>
                <w:noProof w:val="0"/>
                <w:szCs w:val="16"/>
              </w:rPr>
            </w:pPr>
            <w:r w:rsidRPr="001D5327">
              <w:rPr>
                <w:noProof w:val="0"/>
                <w:szCs w:val="16"/>
              </w:rPr>
              <w:t>Land use</w:t>
            </w:r>
          </w:p>
        </w:tc>
        <w:tc>
          <w:tcPr>
            <w:tcW w:w="1276" w:type="dxa"/>
            <w:vMerge w:val="restart"/>
            <w:tcBorders>
              <w:right w:val="nil"/>
            </w:tcBorders>
            <w:vAlign w:val="bottom"/>
            <w:hideMark/>
          </w:tcPr>
          <w:p w14:paraId="3E1CFCB4" w14:textId="77777777" w:rsidR="00E0181F" w:rsidRPr="001D5327" w:rsidRDefault="00E0181F" w:rsidP="00D11AC9">
            <w:pPr>
              <w:pStyle w:val="TableTextBold"/>
              <w:keepNext/>
              <w:spacing w:before="40" w:after="40"/>
              <w:jc w:val="center"/>
              <w:rPr>
                <w:rFonts w:cs="Segoe UI"/>
                <w:noProof w:val="0"/>
                <w:szCs w:val="16"/>
              </w:rPr>
            </w:pPr>
            <w:r w:rsidRPr="001D5327">
              <w:rPr>
                <w:rFonts w:cs="Segoe UI"/>
                <w:noProof w:val="0"/>
                <w:szCs w:val="16"/>
              </w:rPr>
              <w:t>Above-ground biomass</w:t>
            </w:r>
          </w:p>
        </w:tc>
        <w:tc>
          <w:tcPr>
            <w:tcW w:w="1276" w:type="dxa"/>
            <w:vMerge w:val="restart"/>
            <w:tcBorders>
              <w:left w:val="nil"/>
              <w:right w:val="nil"/>
            </w:tcBorders>
            <w:vAlign w:val="bottom"/>
            <w:hideMark/>
          </w:tcPr>
          <w:p w14:paraId="79175184" w14:textId="77777777" w:rsidR="00E0181F" w:rsidRPr="001D5327" w:rsidRDefault="00E0181F" w:rsidP="00D11AC9">
            <w:pPr>
              <w:pStyle w:val="TableTextBold"/>
              <w:keepNext/>
              <w:spacing w:before="40" w:after="40"/>
              <w:jc w:val="center"/>
              <w:rPr>
                <w:rFonts w:cs="Segoe UI"/>
                <w:noProof w:val="0"/>
                <w:szCs w:val="16"/>
              </w:rPr>
            </w:pPr>
            <w:r w:rsidRPr="001D5327">
              <w:rPr>
                <w:rFonts w:cs="Segoe UI"/>
                <w:noProof w:val="0"/>
                <w:szCs w:val="16"/>
              </w:rPr>
              <w:t>Below-ground biomass</w:t>
            </w:r>
          </w:p>
        </w:tc>
        <w:tc>
          <w:tcPr>
            <w:tcW w:w="1301" w:type="dxa"/>
            <w:vMerge w:val="restart"/>
            <w:tcBorders>
              <w:left w:val="nil"/>
              <w:right w:val="nil"/>
            </w:tcBorders>
            <w:vAlign w:val="bottom"/>
            <w:hideMark/>
          </w:tcPr>
          <w:p w14:paraId="0E9F23C7" w14:textId="77777777" w:rsidR="00E0181F" w:rsidRPr="001D5327" w:rsidRDefault="00E0181F" w:rsidP="00D11AC9">
            <w:pPr>
              <w:pStyle w:val="TableTextBold"/>
              <w:keepNext/>
              <w:spacing w:before="40" w:after="40"/>
              <w:jc w:val="center"/>
              <w:rPr>
                <w:rFonts w:cs="Segoe UI"/>
                <w:noProof w:val="0"/>
                <w:szCs w:val="16"/>
              </w:rPr>
            </w:pPr>
            <w:r w:rsidRPr="001D5327">
              <w:rPr>
                <w:rFonts w:cs="Segoe UI"/>
                <w:noProof w:val="0"/>
                <w:szCs w:val="16"/>
              </w:rPr>
              <w:t>Dead wood</w:t>
            </w:r>
          </w:p>
        </w:tc>
        <w:tc>
          <w:tcPr>
            <w:tcW w:w="1251" w:type="dxa"/>
            <w:vMerge w:val="restart"/>
            <w:tcBorders>
              <w:left w:val="nil"/>
            </w:tcBorders>
            <w:vAlign w:val="bottom"/>
            <w:hideMark/>
          </w:tcPr>
          <w:p w14:paraId="0A2C2F49" w14:textId="77777777" w:rsidR="00E0181F" w:rsidRPr="001D5327" w:rsidRDefault="00E0181F" w:rsidP="00D11AC9">
            <w:pPr>
              <w:pStyle w:val="TableTextBold"/>
              <w:keepNext/>
              <w:spacing w:before="40" w:after="40"/>
              <w:jc w:val="center"/>
              <w:rPr>
                <w:rFonts w:cs="Segoe UI"/>
                <w:noProof w:val="0"/>
                <w:szCs w:val="16"/>
              </w:rPr>
            </w:pPr>
            <w:r w:rsidRPr="001D5327">
              <w:rPr>
                <w:rFonts w:cs="Segoe UI"/>
                <w:noProof w:val="0"/>
                <w:szCs w:val="16"/>
              </w:rPr>
              <w:t>Litter</w:t>
            </w:r>
          </w:p>
        </w:tc>
        <w:tc>
          <w:tcPr>
            <w:tcW w:w="2292" w:type="dxa"/>
            <w:gridSpan w:val="2"/>
            <w:tcBorders>
              <w:bottom w:val="nil"/>
            </w:tcBorders>
            <w:vAlign w:val="bottom"/>
            <w:hideMark/>
          </w:tcPr>
          <w:p w14:paraId="5C1EBA84" w14:textId="77777777" w:rsidR="00E0181F" w:rsidRPr="001D5327" w:rsidRDefault="00E0181F" w:rsidP="00D11AC9">
            <w:pPr>
              <w:pStyle w:val="TableTextBold"/>
              <w:keepNext/>
              <w:spacing w:before="40" w:after="0"/>
              <w:jc w:val="center"/>
              <w:rPr>
                <w:rFonts w:cs="Segoe UI"/>
                <w:noProof w:val="0"/>
                <w:szCs w:val="16"/>
              </w:rPr>
            </w:pPr>
            <w:r w:rsidRPr="001D5327">
              <w:rPr>
                <w:rFonts w:cs="Segoe UI"/>
                <w:noProof w:val="0"/>
                <w:szCs w:val="16"/>
              </w:rPr>
              <w:t>Soil organic matter</w:t>
            </w:r>
          </w:p>
        </w:tc>
      </w:tr>
      <w:tr w:rsidR="00E0181F" w:rsidRPr="001D5327" w14:paraId="5E578167" w14:textId="77777777" w:rsidTr="00D11AC9">
        <w:trPr>
          <w:tblHeader/>
        </w:trPr>
        <w:tc>
          <w:tcPr>
            <w:tcW w:w="1109" w:type="dxa"/>
            <w:vMerge/>
            <w:vAlign w:val="center"/>
            <w:hideMark/>
          </w:tcPr>
          <w:p w14:paraId="193AEEF4" w14:textId="77777777" w:rsidR="00E0181F" w:rsidRPr="001D5327" w:rsidRDefault="00E0181F" w:rsidP="00D11AC9">
            <w:pPr>
              <w:spacing w:before="40" w:after="40"/>
              <w:rPr>
                <w:rFonts w:ascii="Segoe UI" w:hAnsi="Segoe UI" w:cs="Segoe UI"/>
                <w:b/>
                <w:sz w:val="16"/>
                <w:szCs w:val="16"/>
              </w:rPr>
            </w:pPr>
          </w:p>
        </w:tc>
        <w:tc>
          <w:tcPr>
            <w:tcW w:w="1276" w:type="dxa"/>
            <w:vMerge/>
            <w:tcBorders>
              <w:bottom w:val="single" w:sz="4" w:space="0" w:color="1B556B" w:themeColor="text2"/>
              <w:right w:val="nil"/>
            </w:tcBorders>
            <w:vAlign w:val="center"/>
            <w:hideMark/>
          </w:tcPr>
          <w:p w14:paraId="04EDC01D" w14:textId="77777777" w:rsidR="00E0181F" w:rsidRPr="001D5327" w:rsidRDefault="00E0181F" w:rsidP="00D11AC9">
            <w:pPr>
              <w:spacing w:before="40" w:after="40"/>
              <w:rPr>
                <w:rFonts w:ascii="Segoe UI" w:hAnsi="Segoe UI" w:cs="Segoe UI"/>
                <w:b/>
                <w:sz w:val="16"/>
                <w:szCs w:val="16"/>
              </w:rPr>
            </w:pPr>
          </w:p>
        </w:tc>
        <w:tc>
          <w:tcPr>
            <w:tcW w:w="1276" w:type="dxa"/>
            <w:vMerge/>
            <w:tcBorders>
              <w:left w:val="nil"/>
              <w:bottom w:val="single" w:sz="4" w:space="0" w:color="1B556B" w:themeColor="text2"/>
              <w:right w:val="nil"/>
            </w:tcBorders>
            <w:vAlign w:val="center"/>
            <w:hideMark/>
          </w:tcPr>
          <w:p w14:paraId="2FEFD83A" w14:textId="77777777" w:rsidR="00E0181F" w:rsidRPr="001D5327" w:rsidRDefault="00E0181F" w:rsidP="00D11AC9">
            <w:pPr>
              <w:spacing w:before="40" w:after="40"/>
              <w:rPr>
                <w:rFonts w:ascii="Segoe UI" w:hAnsi="Segoe UI" w:cs="Segoe UI"/>
                <w:b/>
                <w:sz w:val="16"/>
                <w:szCs w:val="16"/>
              </w:rPr>
            </w:pPr>
          </w:p>
        </w:tc>
        <w:tc>
          <w:tcPr>
            <w:tcW w:w="1301" w:type="dxa"/>
            <w:vMerge/>
            <w:tcBorders>
              <w:left w:val="nil"/>
              <w:bottom w:val="single" w:sz="4" w:space="0" w:color="1B556B" w:themeColor="text2"/>
              <w:right w:val="nil"/>
            </w:tcBorders>
            <w:vAlign w:val="center"/>
            <w:hideMark/>
          </w:tcPr>
          <w:p w14:paraId="1F46EBAF" w14:textId="77777777" w:rsidR="00E0181F" w:rsidRPr="001D5327" w:rsidRDefault="00E0181F" w:rsidP="00D11AC9">
            <w:pPr>
              <w:spacing w:before="40" w:after="40"/>
              <w:rPr>
                <w:rFonts w:ascii="Segoe UI" w:hAnsi="Segoe UI" w:cs="Segoe UI"/>
                <w:b/>
                <w:sz w:val="16"/>
                <w:szCs w:val="16"/>
              </w:rPr>
            </w:pPr>
          </w:p>
        </w:tc>
        <w:tc>
          <w:tcPr>
            <w:tcW w:w="1251" w:type="dxa"/>
            <w:vMerge/>
            <w:tcBorders>
              <w:left w:val="nil"/>
              <w:bottom w:val="single" w:sz="4" w:space="0" w:color="1B556B" w:themeColor="text2"/>
            </w:tcBorders>
            <w:vAlign w:val="center"/>
            <w:hideMark/>
          </w:tcPr>
          <w:p w14:paraId="7ECC5E67" w14:textId="77777777" w:rsidR="00E0181F" w:rsidRPr="001D5327" w:rsidRDefault="00E0181F" w:rsidP="00D11AC9">
            <w:pPr>
              <w:spacing w:before="40" w:after="40"/>
              <w:rPr>
                <w:rFonts w:ascii="Segoe UI" w:hAnsi="Segoe UI" w:cs="Segoe UI"/>
                <w:b/>
                <w:sz w:val="16"/>
                <w:szCs w:val="16"/>
              </w:rPr>
            </w:pPr>
          </w:p>
        </w:tc>
        <w:tc>
          <w:tcPr>
            <w:tcW w:w="1134" w:type="dxa"/>
            <w:tcBorders>
              <w:top w:val="nil"/>
              <w:right w:val="nil"/>
            </w:tcBorders>
            <w:vAlign w:val="bottom"/>
            <w:hideMark/>
          </w:tcPr>
          <w:p w14:paraId="014EA0B7" w14:textId="77777777" w:rsidR="00E0181F" w:rsidRPr="001D5327" w:rsidRDefault="00E0181F" w:rsidP="00D11AC9">
            <w:pPr>
              <w:pStyle w:val="TableTextBold"/>
              <w:keepNext/>
              <w:spacing w:before="0" w:after="40" w:line="256" w:lineRule="auto"/>
              <w:jc w:val="center"/>
              <w:rPr>
                <w:rFonts w:cs="Segoe UI"/>
                <w:noProof w:val="0"/>
                <w:szCs w:val="16"/>
              </w:rPr>
            </w:pPr>
            <w:r w:rsidRPr="001D5327">
              <w:rPr>
                <w:rFonts w:cs="Segoe UI"/>
                <w:noProof w:val="0"/>
                <w:szCs w:val="16"/>
              </w:rPr>
              <w:t>Mineral soils</w:t>
            </w:r>
          </w:p>
        </w:tc>
        <w:tc>
          <w:tcPr>
            <w:tcW w:w="1158" w:type="dxa"/>
            <w:tcBorders>
              <w:top w:val="nil"/>
              <w:left w:val="nil"/>
            </w:tcBorders>
            <w:tcMar>
              <w:top w:w="0" w:type="dxa"/>
              <w:left w:w="108" w:type="dxa"/>
              <w:bottom w:w="0" w:type="dxa"/>
              <w:right w:w="57" w:type="dxa"/>
            </w:tcMar>
            <w:vAlign w:val="bottom"/>
            <w:hideMark/>
          </w:tcPr>
          <w:p w14:paraId="4078335E" w14:textId="77777777" w:rsidR="00E0181F" w:rsidRPr="001D5327" w:rsidRDefault="00E0181F" w:rsidP="00D11AC9">
            <w:pPr>
              <w:pStyle w:val="TableTextBold"/>
              <w:keepNext/>
              <w:spacing w:before="0" w:after="40" w:line="256" w:lineRule="auto"/>
              <w:jc w:val="center"/>
              <w:rPr>
                <w:rFonts w:cs="Segoe UI"/>
                <w:noProof w:val="0"/>
                <w:szCs w:val="16"/>
              </w:rPr>
            </w:pPr>
            <w:r w:rsidRPr="001D5327">
              <w:rPr>
                <w:rFonts w:cs="Segoe UI"/>
                <w:noProof w:val="0"/>
                <w:szCs w:val="16"/>
              </w:rPr>
              <w:t>Organic soils</w:t>
            </w:r>
          </w:p>
        </w:tc>
      </w:tr>
      <w:tr w:rsidR="00E0181F" w:rsidRPr="001D5327" w14:paraId="03C3049B" w14:textId="77777777" w:rsidTr="00A24605">
        <w:tc>
          <w:tcPr>
            <w:tcW w:w="1109" w:type="dxa"/>
            <w:hideMark/>
          </w:tcPr>
          <w:p w14:paraId="5E0C3311" w14:textId="77777777" w:rsidR="00E0181F" w:rsidRPr="001D5327" w:rsidRDefault="00E0181F" w:rsidP="00D11AC9">
            <w:pPr>
              <w:pStyle w:val="TableText"/>
              <w:spacing w:before="40" w:after="40"/>
              <w:rPr>
                <w:rFonts w:cs="Segoe UI"/>
                <w:szCs w:val="16"/>
              </w:rPr>
            </w:pPr>
            <w:r w:rsidRPr="001D5327">
              <w:rPr>
                <w:rFonts w:cs="Segoe UI"/>
                <w:szCs w:val="16"/>
              </w:rPr>
              <w:t xml:space="preserve">Pre-1990 natural forest </w:t>
            </w:r>
          </w:p>
        </w:tc>
        <w:tc>
          <w:tcPr>
            <w:tcW w:w="1276" w:type="dxa"/>
            <w:tcBorders>
              <w:right w:val="nil"/>
            </w:tcBorders>
            <w:tcMar>
              <w:top w:w="0" w:type="dxa"/>
              <w:left w:w="57" w:type="dxa"/>
              <w:bottom w:w="0" w:type="dxa"/>
              <w:right w:w="28" w:type="dxa"/>
            </w:tcMar>
            <w:hideMark/>
          </w:tcPr>
          <w:p w14:paraId="15100D89" w14:textId="77777777" w:rsidR="00E0181F" w:rsidRPr="001D5327" w:rsidRDefault="00E0181F" w:rsidP="00D11AC9">
            <w:pPr>
              <w:pStyle w:val="TableText"/>
              <w:keepNext/>
              <w:spacing w:before="40" w:after="40"/>
              <w:rPr>
                <w:rFonts w:cs="Segoe UI"/>
                <w:szCs w:val="16"/>
              </w:rPr>
            </w:pPr>
            <w:r w:rsidRPr="001D5327">
              <w:rPr>
                <w:rFonts w:cs="Segoe UI"/>
                <w:szCs w:val="16"/>
              </w:rPr>
              <w:t>Plot measurements; allometric equations</w:t>
            </w:r>
          </w:p>
        </w:tc>
        <w:tc>
          <w:tcPr>
            <w:tcW w:w="1276" w:type="dxa"/>
            <w:tcBorders>
              <w:left w:val="nil"/>
              <w:right w:val="nil"/>
            </w:tcBorders>
            <w:tcMar>
              <w:top w:w="0" w:type="dxa"/>
              <w:left w:w="57" w:type="dxa"/>
              <w:bottom w:w="0" w:type="dxa"/>
              <w:right w:w="28" w:type="dxa"/>
            </w:tcMar>
            <w:hideMark/>
          </w:tcPr>
          <w:p w14:paraId="23E40C00" w14:textId="77777777" w:rsidR="00E0181F" w:rsidRPr="001D5327" w:rsidRDefault="00E0181F" w:rsidP="00D11AC9">
            <w:pPr>
              <w:pStyle w:val="TableText"/>
              <w:keepNext/>
              <w:spacing w:before="40" w:after="40"/>
              <w:rPr>
                <w:rFonts w:cs="Segoe UI"/>
                <w:szCs w:val="16"/>
              </w:rPr>
            </w:pPr>
            <w:r w:rsidRPr="001D5327">
              <w:rPr>
                <w:szCs w:val="16"/>
              </w:rPr>
              <w:t xml:space="preserve">Estimated as the ratio of below-ground biomass to above-ground </w:t>
            </w:r>
            <w:r w:rsidRPr="001D5327" w:rsidDel="00F72565">
              <w:rPr>
                <w:szCs w:val="16"/>
              </w:rPr>
              <w:t>biomass</w:t>
            </w:r>
          </w:p>
        </w:tc>
        <w:tc>
          <w:tcPr>
            <w:tcW w:w="1301" w:type="dxa"/>
            <w:tcBorders>
              <w:left w:val="nil"/>
              <w:right w:val="nil"/>
            </w:tcBorders>
            <w:tcMar>
              <w:top w:w="0" w:type="dxa"/>
              <w:left w:w="57" w:type="dxa"/>
              <w:bottom w:w="0" w:type="dxa"/>
              <w:right w:w="28" w:type="dxa"/>
            </w:tcMar>
            <w:hideMark/>
          </w:tcPr>
          <w:p w14:paraId="7EAD1D8F" w14:textId="1A5EF198" w:rsidR="00E0181F" w:rsidRPr="001D5327" w:rsidRDefault="00E0181F" w:rsidP="00D11AC9">
            <w:pPr>
              <w:pStyle w:val="TableText"/>
              <w:keepNext/>
              <w:spacing w:before="40" w:after="40"/>
              <w:rPr>
                <w:rFonts w:cs="Segoe UI"/>
                <w:szCs w:val="16"/>
              </w:rPr>
            </w:pPr>
            <w:r w:rsidRPr="001D5327">
              <w:rPr>
                <w:szCs w:val="16"/>
              </w:rPr>
              <w:t>Modelled from</w:t>
            </w:r>
            <w:r w:rsidR="00E00985">
              <w:rPr>
                <w:szCs w:val="16"/>
              </w:rPr>
              <w:t> </w:t>
            </w:r>
            <w:r w:rsidRPr="001D5327">
              <w:rPr>
                <w:szCs w:val="16"/>
              </w:rPr>
              <w:t>plot measurements; allometric equations</w:t>
            </w:r>
          </w:p>
        </w:tc>
        <w:tc>
          <w:tcPr>
            <w:tcW w:w="1251" w:type="dxa"/>
            <w:tcBorders>
              <w:left w:val="nil"/>
            </w:tcBorders>
            <w:tcMar>
              <w:top w:w="0" w:type="dxa"/>
              <w:left w:w="57" w:type="dxa"/>
              <w:bottom w:w="0" w:type="dxa"/>
              <w:right w:w="28" w:type="dxa"/>
            </w:tcMar>
            <w:hideMark/>
          </w:tcPr>
          <w:p w14:paraId="5253F4AE" w14:textId="77777777" w:rsidR="00E0181F" w:rsidRPr="001D5327" w:rsidRDefault="00E0181F" w:rsidP="00D11AC9">
            <w:pPr>
              <w:pStyle w:val="TableText"/>
              <w:keepNext/>
              <w:spacing w:before="40" w:after="40"/>
              <w:rPr>
                <w:rFonts w:cs="Segoe UI"/>
                <w:szCs w:val="16"/>
              </w:rPr>
            </w:pPr>
            <w:r w:rsidRPr="001D5327">
              <w:rPr>
                <w:szCs w:val="16"/>
              </w:rPr>
              <w:t>Plot samples; laboratory analysis of samples collected at plots</w:t>
            </w:r>
          </w:p>
        </w:tc>
        <w:tc>
          <w:tcPr>
            <w:tcW w:w="1134" w:type="dxa"/>
            <w:hideMark/>
          </w:tcPr>
          <w:p w14:paraId="79DE8941" w14:textId="77777777" w:rsidR="00E0181F" w:rsidRPr="001D5327" w:rsidRDefault="00E0181F" w:rsidP="00D11AC9">
            <w:pPr>
              <w:pStyle w:val="TableText"/>
              <w:keepNext/>
              <w:spacing w:before="40" w:after="40"/>
              <w:rPr>
                <w:rFonts w:cs="Segoe UI"/>
                <w:szCs w:val="16"/>
              </w:rPr>
            </w:pPr>
            <w:r w:rsidRPr="001D5327">
              <w:rPr>
                <w:rFonts w:cs="Segoe UI"/>
                <w:szCs w:val="16"/>
              </w:rPr>
              <w:t>Tier 2, country-specific data and model</w:t>
            </w:r>
          </w:p>
        </w:tc>
        <w:tc>
          <w:tcPr>
            <w:tcW w:w="1158" w:type="dxa"/>
            <w:hideMark/>
          </w:tcPr>
          <w:p w14:paraId="69447ED8" w14:textId="77777777" w:rsidR="00E0181F" w:rsidRPr="001D5327" w:rsidRDefault="00E0181F" w:rsidP="00D11AC9">
            <w:pPr>
              <w:pStyle w:val="TableText"/>
              <w:keepNext/>
              <w:spacing w:before="40" w:after="40"/>
              <w:ind w:right="-107"/>
              <w:rPr>
                <w:rFonts w:cs="Segoe UI"/>
                <w:szCs w:val="16"/>
              </w:rPr>
            </w:pPr>
            <w:r w:rsidRPr="001D5327">
              <w:rPr>
                <w:rFonts w:cs="Segoe UI"/>
                <w:szCs w:val="16"/>
              </w:rPr>
              <w:t>Not applicable</w:t>
            </w:r>
          </w:p>
        </w:tc>
      </w:tr>
      <w:tr w:rsidR="00E0181F" w:rsidRPr="001D5327" w14:paraId="1398061C" w14:textId="77777777" w:rsidTr="00A24605">
        <w:tc>
          <w:tcPr>
            <w:tcW w:w="1109" w:type="dxa"/>
          </w:tcPr>
          <w:p w14:paraId="6B946381" w14:textId="77777777" w:rsidR="00E0181F" w:rsidRPr="001D5327" w:rsidRDefault="00E0181F" w:rsidP="00D11AC9">
            <w:pPr>
              <w:pStyle w:val="TableText"/>
              <w:spacing w:before="40" w:after="40"/>
              <w:rPr>
                <w:rFonts w:cs="Segoe UI"/>
                <w:szCs w:val="16"/>
              </w:rPr>
            </w:pPr>
            <w:r w:rsidRPr="001D5327">
              <w:rPr>
                <w:rFonts w:cs="Segoe UI"/>
                <w:szCs w:val="16"/>
              </w:rPr>
              <w:t>Pre-1990 planted forest</w:t>
            </w:r>
          </w:p>
        </w:tc>
        <w:tc>
          <w:tcPr>
            <w:tcW w:w="1276" w:type="dxa"/>
            <w:tcBorders>
              <w:right w:val="nil"/>
            </w:tcBorders>
            <w:tcMar>
              <w:top w:w="0" w:type="dxa"/>
              <w:left w:w="57" w:type="dxa"/>
              <w:bottom w:w="0" w:type="dxa"/>
              <w:right w:w="28" w:type="dxa"/>
            </w:tcMar>
          </w:tcPr>
          <w:p w14:paraId="36BA4AB8" w14:textId="77777777" w:rsidR="00E0181F" w:rsidRPr="001D5327" w:rsidRDefault="00E0181F" w:rsidP="00D11AC9">
            <w:pPr>
              <w:pStyle w:val="TableText"/>
              <w:keepNext/>
              <w:spacing w:before="40" w:after="40"/>
              <w:rPr>
                <w:rFonts w:cs="Segoe UI"/>
                <w:szCs w:val="16"/>
              </w:rPr>
            </w:pPr>
            <w:r w:rsidRPr="001D5327">
              <w:rPr>
                <w:rFonts w:eastAsia="Segoe UI" w:cs="Segoe UI"/>
                <w:szCs w:val="16"/>
              </w:rPr>
              <w:t>Modelled through allometric equations, then included in national yield tables</w:t>
            </w:r>
          </w:p>
        </w:tc>
        <w:tc>
          <w:tcPr>
            <w:tcW w:w="1276" w:type="dxa"/>
            <w:tcBorders>
              <w:left w:val="nil"/>
              <w:right w:val="nil"/>
            </w:tcBorders>
            <w:tcMar>
              <w:top w:w="0" w:type="dxa"/>
              <w:left w:w="57" w:type="dxa"/>
              <w:bottom w:w="0" w:type="dxa"/>
              <w:right w:w="28" w:type="dxa"/>
            </w:tcMar>
          </w:tcPr>
          <w:p w14:paraId="23D13C41" w14:textId="77777777" w:rsidR="00E0181F" w:rsidRPr="001D5327" w:rsidRDefault="00E0181F" w:rsidP="00D11AC9">
            <w:pPr>
              <w:pStyle w:val="TableText"/>
              <w:keepNext/>
              <w:spacing w:before="40" w:after="40"/>
              <w:rPr>
                <w:szCs w:val="16"/>
              </w:rPr>
            </w:pPr>
            <w:r w:rsidRPr="001D5327">
              <w:rPr>
                <w:szCs w:val="16"/>
              </w:rPr>
              <w:t>Estimated as the ratio of below-ground biomass to above-ground biomass </w:t>
            </w:r>
          </w:p>
        </w:tc>
        <w:tc>
          <w:tcPr>
            <w:tcW w:w="1301" w:type="dxa"/>
            <w:tcBorders>
              <w:left w:val="nil"/>
              <w:right w:val="nil"/>
            </w:tcBorders>
            <w:tcMar>
              <w:top w:w="0" w:type="dxa"/>
              <w:left w:w="57" w:type="dxa"/>
              <w:bottom w:w="0" w:type="dxa"/>
              <w:right w:w="28" w:type="dxa"/>
            </w:tcMar>
          </w:tcPr>
          <w:p w14:paraId="2D014110" w14:textId="77777777" w:rsidR="00E0181F" w:rsidRPr="001D5327" w:rsidRDefault="00E0181F" w:rsidP="00D11AC9">
            <w:pPr>
              <w:pStyle w:val="TableText"/>
              <w:keepNext/>
              <w:spacing w:before="40" w:after="40"/>
              <w:rPr>
                <w:szCs w:val="16"/>
              </w:rPr>
            </w:pPr>
            <w:r w:rsidRPr="001D5327">
              <w:rPr>
                <w:szCs w:val="16"/>
              </w:rPr>
              <w:t>Allometric model using plot measurements, included in national yield tables. Harvest residues added to dead wood pool through CRA </w:t>
            </w:r>
          </w:p>
        </w:tc>
        <w:tc>
          <w:tcPr>
            <w:tcW w:w="1251" w:type="dxa"/>
            <w:tcBorders>
              <w:left w:val="nil"/>
            </w:tcBorders>
            <w:tcMar>
              <w:top w:w="0" w:type="dxa"/>
              <w:left w:w="57" w:type="dxa"/>
              <w:bottom w:w="0" w:type="dxa"/>
              <w:right w:w="28" w:type="dxa"/>
            </w:tcMar>
          </w:tcPr>
          <w:p w14:paraId="2429C62D" w14:textId="77777777" w:rsidR="00E0181F" w:rsidRPr="001D5327" w:rsidRDefault="00E0181F" w:rsidP="00D11AC9">
            <w:pPr>
              <w:pStyle w:val="TableText"/>
              <w:keepNext/>
              <w:spacing w:before="40" w:after="40"/>
              <w:rPr>
                <w:szCs w:val="16"/>
              </w:rPr>
            </w:pPr>
            <w:r w:rsidRPr="001D5327">
              <w:rPr>
                <w:szCs w:val="16"/>
              </w:rPr>
              <w:t>Allometric model and percentage of above-ground biomass </w:t>
            </w:r>
          </w:p>
        </w:tc>
        <w:tc>
          <w:tcPr>
            <w:tcW w:w="1134" w:type="dxa"/>
          </w:tcPr>
          <w:p w14:paraId="71A46B23" w14:textId="77777777" w:rsidR="00E0181F" w:rsidRPr="001D5327" w:rsidRDefault="00E0181F" w:rsidP="00D11AC9">
            <w:pPr>
              <w:pStyle w:val="TableText"/>
              <w:keepNext/>
              <w:spacing w:before="40" w:after="40"/>
              <w:rPr>
                <w:rFonts w:cs="Segoe UI"/>
                <w:szCs w:val="16"/>
              </w:rPr>
            </w:pPr>
            <w:r w:rsidRPr="001D5327">
              <w:rPr>
                <w:rFonts w:cs="Segoe UI"/>
                <w:szCs w:val="16"/>
              </w:rPr>
              <w:t>Tier 2, country-specific data and model</w:t>
            </w:r>
          </w:p>
        </w:tc>
        <w:tc>
          <w:tcPr>
            <w:tcW w:w="1158" w:type="dxa"/>
          </w:tcPr>
          <w:p w14:paraId="4BAEFFCC" w14:textId="77777777" w:rsidR="00E0181F" w:rsidRPr="001D5327" w:rsidRDefault="00E0181F" w:rsidP="00D11AC9">
            <w:pPr>
              <w:pStyle w:val="TableText"/>
              <w:keepNext/>
              <w:spacing w:before="40" w:after="40"/>
              <w:rPr>
                <w:rFonts w:cs="Segoe UI"/>
                <w:szCs w:val="16"/>
              </w:rPr>
            </w:pPr>
            <w:r w:rsidRPr="001D5327">
              <w:rPr>
                <w:rFonts w:cs="Segoe UI"/>
                <w:szCs w:val="16"/>
              </w:rPr>
              <w:t>IPCC Tier 1 default parameters</w:t>
            </w:r>
          </w:p>
        </w:tc>
      </w:tr>
      <w:tr w:rsidR="00E0181F" w:rsidRPr="001D5327" w14:paraId="71F2471A" w14:textId="77777777" w:rsidTr="00A24605">
        <w:tc>
          <w:tcPr>
            <w:tcW w:w="1109" w:type="dxa"/>
          </w:tcPr>
          <w:p w14:paraId="4A2F2136" w14:textId="77777777" w:rsidR="00E0181F" w:rsidRPr="001D5327" w:rsidRDefault="00E0181F" w:rsidP="00D11AC9">
            <w:pPr>
              <w:pStyle w:val="TableText"/>
              <w:spacing w:before="40" w:after="40"/>
              <w:rPr>
                <w:szCs w:val="16"/>
              </w:rPr>
            </w:pPr>
            <w:r w:rsidRPr="001D5327">
              <w:rPr>
                <w:szCs w:val="16"/>
              </w:rPr>
              <w:t xml:space="preserve">Post-1989 natural forest </w:t>
            </w:r>
          </w:p>
        </w:tc>
        <w:tc>
          <w:tcPr>
            <w:tcW w:w="1276" w:type="dxa"/>
            <w:tcBorders>
              <w:bottom w:val="single" w:sz="4" w:space="0" w:color="1B556B" w:themeColor="text2"/>
              <w:right w:val="nil"/>
            </w:tcBorders>
            <w:tcMar>
              <w:top w:w="0" w:type="dxa"/>
              <w:left w:w="57" w:type="dxa"/>
              <w:bottom w:w="0" w:type="dxa"/>
              <w:right w:w="28" w:type="dxa"/>
            </w:tcMar>
          </w:tcPr>
          <w:p w14:paraId="0D19E192" w14:textId="77777777" w:rsidR="00E0181F" w:rsidRPr="001D5327" w:rsidRDefault="00E0181F" w:rsidP="00D11AC9">
            <w:pPr>
              <w:pStyle w:val="TableText"/>
              <w:keepNext/>
              <w:spacing w:before="40" w:after="40"/>
              <w:rPr>
                <w:rFonts w:eastAsia="Segoe UI" w:cs="Segoe UI"/>
                <w:szCs w:val="16"/>
              </w:rPr>
            </w:pPr>
            <w:r w:rsidRPr="001D5327">
              <w:rPr>
                <w:rFonts w:cs="Segoe UI"/>
                <w:szCs w:val="16"/>
              </w:rPr>
              <w:t>Allometric model</w:t>
            </w:r>
          </w:p>
        </w:tc>
        <w:tc>
          <w:tcPr>
            <w:tcW w:w="1276" w:type="dxa"/>
            <w:tcBorders>
              <w:left w:val="nil"/>
              <w:bottom w:val="single" w:sz="4" w:space="0" w:color="1B556B" w:themeColor="text2"/>
              <w:right w:val="nil"/>
            </w:tcBorders>
            <w:tcMar>
              <w:top w:w="0" w:type="dxa"/>
              <w:left w:w="57" w:type="dxa"/>
              <w:bottom w:w="0" w:type="dxa"/>
              <w:right w:w="28" w:type="dxa"/>
            </w:tcMar>
          </w:tcPr>
          <w:p w14:paraId="34EF666C" w14:textId="77777777" w:rsidR="00E0181F" w:rsidRPr="001D5327" w:rsidRDefault="00E0181F" w:rsidP="00D11AC9">
            <w:pPr>
              <w:pStyle w:val="TableText"/>
              <w:keepNext/>
              <w:spacing w:before="40" w:after="40"/>
              <w:rPr>
                <w:szCs w:val="16"/>
              </w:rPr>
            </w:pPr>
            <w:r w:rsidRPr="001D5327">
              <w:rPr>
                <w:szCs w:val="16"/>
              </w:rPr>
              <w:t xml:space="preserve">Estimated as the ratio of below-ground biomass to above-ground </w:t>
            </w:r>
            <w:r w:rsidRPr="001D5327" w:rsidDel="004734F1">
              <w:rPr>
                <w:szCs w:val="16"/>
              </w:rPr>
              <w:t>biomass</w:t>
            </w:r>
          </w:p>
        </w:tc>
        <w:tc>
          <w:tcPr>
            <w:tcW w:w="1301" w:type="dxa"/>
            <w:tcBorders>
              <w:left w:val="nil"/>
              <w:bottom w:val="single" w:sz="4" w:space="0" w:color="1B556B" w:themeColor="text2"/>
              <w:right w:val="nil"/>
            </w:tcBorders>
            <w:tcMar>
              <w:top w:w="0" w:type="dxa"/>
              <w:left w:w="57" w:type="dxa"/>
              <w:bottom w:w="0" w:type="dxa"/>
              <w:right w:w="28" w:type="dxa"/>
            </w:tcMar>
          </w:tcPr>
          <w:p w14:paraId="5F39028B" w14:textId="1DAC6B53" w:rsidR="00E0181F" w:rsidRPr="001D5327" w:rsidRDefault="00E0181F" w:rsidP="00D11AC9">
            <w:pPr>
              <w:pStyle w:val="TableText"/>
              <w:keepNext/>
              <w:spacing w:before="40" w:after="40"/>
              <w:rPr>
                <w:szCs w:val="16"/>
              </w:rPr>
            </w:pPr>
            <w:r w:rsidRPr="001D5327">
              <w:rPr>
                <w:rFonts w:cs="Segoe UI"/>
                <w:szCs w:val="16"/>
              </w:rPr>
              <w:t>Modelled from</w:t>
            </w:r>
            <w:r w:rsidR="00E00985">
              <w:rPr>
                <w:rFonts w:cs="Segoe UI"/>
                <w:szCs w:val="16"/>
              </w:rPr>
              <w:t> </w:t>
            </w:r>
            <w:r w:rsidRPr="001D5327">
              <w:rPr>
                <w:rFonts w:cs="Segoe UI"/>
                <w:szCs w:val="16"/>
              </w:rPr>
              <w:t>plot measurements; allometric model</w:t>
            </w:r>
          </w:p>
        </w:tc>
        <w:tc>
          <w:tcPr>
            <w:tcW w:w="1251" w:type="dxa"/>
            <w:tcBorders>
              <w:left w:val="nil"/>
              <w:bottom w:val="single" w:sz="4" w:space="0" w:color="1B556B" w:themeColor="text2"/>
            </w:tcBorders>
            <w:tcMar>
              <w:top w:w="0" w:type="dxa"/>
              <w:left w:w="57" w:type="dxa"/>
              <w:bottom w:w="0" w:type="dxa"/>
              <w:right w:w="28" w:type="dxa"/>
            </w:tcMar>
          </w:tcPr>
          <w:p w14:paraId="29236903" w14:textId="77777777" w:rsidR="00E0181F" w:rsidRPr="001D5327" w:rsidRDefault="00E0181F" w:rsidP="00D11AC9">
            <w:pPr>
              <w:pStyle w:val="TableText"/>
              <w:keepNext/>
              <w:spacing w:before="40" w:after="40"/>
              <w:rPr>
                <w:szCs w:val="16"/>
              </w:rPr>
            </w:pPr>
            <w:r w:rsidRPr="001D5327">
              <w:rPr>
                <w:rFonts w:cs="Segoe UI"/>
                <w:szCs w:val="16"/>
              </w:rPr>
              <w:t>Allometric model and percentage of above-ground biomass</w:t>
            </w:r>
          </w:p>
        </w:tc>
        <w:tc>
          <w:tcPr>
            <w:tcW w:w="1134" w:type="dxa"/>
          </w:tcPr>
          <w:p w14:paraId="4E805BC0" w14:textId="77777777" w:rsidR="00E0181F" w:rsidRPr="001D5327" w:rsidRDefault="00E0181F" w:rsidP="00D11AC9">
            <w:pPr>
              <w:pStyle w:val="TableText"/>
              <w:keepNext/>
              <w:spacing w:before="40" w:after="40"/>
              <w:rPr>
                <w:rFonts w:cs="Segoe UI"/>
                <w:szCs w:val="16"/>
              </w:rPr>
            </w:pPr>
            <w:r w:rsidRPr="001D5327">
              <w:rPr>
                <w:rFonts w:cs="Segoe UI"/>
                <w:szCs w:val="16"/>
              </w:rPr>
              <w:t>Tier 2, country-specific data and model</w:t>
            </w:r>
          </w:p>
        </w:tc>
        <w:tc>
          <w:tcPr>
            <w:tcW w:w="1158" w:type="dxa"/>
          </w:tcPr>
          <w:p w14:paraId="2D4CAF6A" w14:textId="77777777" w:rsidR="00E0181F" w:rsidRPr="001D5327" w:rsidRDefault="00E0181F" w:rsidP="00D11AC9">
            <w:pPr>
              <w:pStyle w:val="TableText"/>
              <w:keepNext/>
              <w:spacing w:before="40" w:after="40"/>
              <w:rPr>
                <w:rFonts w:cs="Segoe UI"/>
                <w:szCs w:val="16"/>
              </w:rPr>
            </w:pPr>
            <w:r w:rsidRPr="001D5327">
              <w:rPr>
                <w:rFonts w:cs="Segoe UI"/>
                <w:szCs w:val="16"/>
              </w:rPr>
              <w:t>IPCC Tier 1 default parameters</w:t>
            </w:r>
          </w:p>
        </w:tc>
      </w:tr>
      <w:tr w:rsidR="00E0181F" w:rsidRPr="001D5327" w14:paraId="37CE489E" w14:textId="77777777" w:rsidTr="00A24605">
        <w:tc>
          <w:tcPr>
            <w:tcW w:w="1109" w:type="dxa"/>
          </w:tcPr>
          <w:p w14:paraId="769EA93A" w14:textId="77777777" w:rsidR="00E0181F" w:rsidRPr="001D5327" w:rsidRDefault="00E0181F" w:rsidP="00D11AC9">
            <w:pPr>
              <w:pStyle w:val="TableText"/>
              <w:spacing w:before="40" w:after="40"/>
              <w:rPr>
                <w:szCs w:val="16"/>
              </w:rPr>
            </w:pPr>
            <w:r w:rsidRPr="001D5327">
              <w:rPr>
                <w:szCs w:val="16"/>
              </w:rPr>
              <w:t>Post-1989 planted forest</w:t>
            </w:r>
          </w:p>
        </w:tc>
        <w:tc>
          <w:tcPr>
            <w:tcW w:w="1276" w:type="dxa"/>
            <w:tcBorders>
              <w:right w:val="nil"/>
            </w:tcBorders>
            <w:tcMar>
              <w:top w:w="0" w:type="dxa"/>
              <w:left w:w="57" w:type="dxa"/>
              <w:bottom w:w="0" w:type="dxa"/>
              <w:right w:w="28" w:type="dxa"/>
            </w:tcMar>
          </w:tcPr>
          <w:p w14:paraId="3FCF0EC8" w14:textId="77777777" w:rsidR="00E0181F" w:rsidRPr="001D5327" w:rsidRDefault="00E0181F" w:rsidP="00D11AC9">
            <w:pPr>
              <w:pStyle w:val="TableText"/>
              <w:keepNext/>
              <w:spacing w:before="40" w:after="40"/>
              <w:rPr>
                <w:rFonts w:cs="Segoe UI"/>
                <w:szCs w:val="16"/>
              </w:rPr>
            </w:pPr>
            <w:r w:rsidRPr="001D5327">
              <w:rPr>
                <w:szCs w:val="16"/>
              </w:rPr>
              <w:t>Modelled through allometric equations, then included in national yield tables </w:t>
            </w:r>
          </w:p>
        </w:tc>
        <w:tc>
          <w:tcPr>
            <w:tcW w:w="1276" w:type="dxa"/>
            <w:tcBorders>
              <w:left w:val="nil"/>
              <w:right w:val="nil"/>
            </w:tcBorders>
            <w:tcMar>
              <w:top w:w="0" w:type="dxa"/>
              <w:left w:w="57" w:type="dxa"/>
              <w:bottom w:w="0" w:type="dxa"/>
              <w:right w:w="28" w:type="dxa"/>
            </w:tcMar>
          </w:tcPr>
          <w:p w14:paraId="0576DA1D" w14:textId="77777777" w:rsidR="00E0181F" w:rsidRPr="001D5327" w:rsidRDefault="00E0181F" w:rsidP="00D11AC9">
            <w:pPr>
              <w:pStyle w:val="TableText"/>
              <w:keepNext/>
              <w:spacing w:before="40" w:after="40"/>
              <w:rPr>
                <w:szCs w:val="16"/>
              </w:rPr>
            </w:pPr>
            <w:r w:rsidRPr="001D5327">
              <w:rPr>
                <w:szCs w:val="16"/>
              </w:rPr>
              <w:t>Estimated as the ratio of below-ground biomass to above-ground biomass </w:t>
            </w:r>
          </w:p>
        </w:tc>
        <w:tc>
          <w:tcPr>
            <w:tcW w:w="1301" w:type="dxa"/>
            <w:tcBorders>
              <w:left w:val="nil"/>
              <w:right w:val="nil"/>
            </w:tcBorders>
            <w:tcMar>
              <w:top w:w="0" w:type="dxa"/>
              <w:left w:w="57" w:type="dxa"/>
              <w:bottom w:w="0" w:type="dxa"/>
              <w:right w:w="28" w:type="dxa"/>
            </w:tcMar>
          </w:tcPr>
          <w:p w14:paraId="3B9A3AA4" w14:textId="77777777" w:rsidR="00E0181F" w:rsidRPr="001D5327" w:rsidRDefault="00E0181F" w:rsidP="00D11AC9">
            <w:pPr>
              <w:pStyle w:val="TableText"/>
              <w:keepNext/>
              <w:spacing w:before="40" w:after="40"/>
              <w:rPr>
                <w:rFonts w:cs="Segoe UI"/>
                <w:szCs w:val="16"/>
              </w:rPr>
            </w:pPr>
            <w:r w:rsidRPr="001D5327">
              <w:rPr>
                <w:szCs w:val="16"/>
              </w:rPr>
              <w:t>Allometric model using plot measurements, included in national yield tables. Harvest residues added to dead wood pool through CRA</w:t>
            </w:r>
          </w:p>
        </w:tc>
        <w:tc>
          <w:tcPr>
            <w:tcW w:w="1251" w:type="dxa"/>
            <w:tcBorders>
              <w:left w:val="nil"/>
            </w:tcBorders>
            <w:tcMar>
              <w:top w:w="0" w:type="dxa"/>
              <w:left w:w="57" w:type="dxa"/>
              <w:bottom w:w="0" w:type="dxa"/>
              <w:right w:w="28" w:type="dxa"/>
            </w:tcMar>
          </w:tcPr>
          <w:p w14:paraId="26C87095" w14:textId="77777777" w:rsidR="00E0181F" w:rsidRPr="001D5327" w:rsidRDefault="00E0181F" w:rsidP="00D11AC9">
            <w:pPr>
              <w:pStyle w:val="TableText"/>
              <w:keepNext/>
              <w:spacing w:before="40" w:after="40"/>
              <w:rPr>
                <w:rFonts w:cs="Segoe UI"/>
                <w:szCs w:val="16"/>
              </w:rPr>
            </w:pPr>
            <w:r w:rsidRPr="001D5327">
              <w:rPr>
                <w:szCs w:val="16"/>
              </w:rPr>
              <w:t>Allometric model and percentage of above-ground biomass </w:t>
            </w:r>
          </w:p>
        </w:tc>
        <w:tc>
          <w:tcPr>
            <w:tcW w:w="1134" w:type="dxa"/>
          </w:tcPr>
          <w:p w14:paraId="7293D726" w14:textId="77777777" w:rsidR="00E0181F" w:rsidRPr="001D5327" w:rsidRDefault="00E0181F" w:rsidP="00D11AC9">
            <w:pPr>
              <w:pStyle w:val="TableText"/>
              <w:keepNext/>
              <w:spacing w:before="40" w:after="40"/>
              <w:rPr>
                <w:rFonts w:cs="Segoe UI"/>
                <w:szCs w:val="16"/>
              </w:rPr>
            </w:pPr>
            <w:r w:rsidRPr="001D5327">
              <w:rPr>
                <w:rFonts w:cs="Segoe UI"/>
                <w:szCs w:val="16"/>
              </w:rPr>
              <w:t>Tier 2, country-specific data and model</w:t>
            </w:r>
          </w:p>
        </w:tc>
        <w:tc>
          <w:tcPr>
            <w:tcW w:w="1158" w:type="dxa"/>
          </w:tcPr>
          <w:p w14:paraId="2CB1B089" w14:textId="77777777" w:rsidR="00E0181F" w:rsidRPr="001D5327" w:rsidRDefault="00E0181F" w:rsidP="00D11AC9">
            <w:pPr>
              <w:pStyle w:val="TableText"/>
              <w:keepNext/>
              <w:spacing w:before="40" w:after="40"/>
              <w:rPr>
                <w:rFonts w:cs="Segoe UI"/>
                <w:szCs w:val="16"/>
              </w:rPr>
            </w:pPr>
            <w:r w:rsidRPr="001D5327">
              <w:rPr>
                <w:rFonts w:cs="Segoe UI"/>
                <w:szCs w:val="16"/>
              </w:rPr>
              <w:t>IPCC Tier 1 default parameters</w:t>
            </w:r>
          </w:p>
        </w:tc>
      </w:tr>
      <w:tr w:rsidR="00E0181F" w:rsidRPr="001D5327" w14:paraId="3BBE42B4" w14:textId="77777777" w:rsidTr="00A24605">
        <w:tc>
          <w:tcPr>
            <w:tcW w:w="1109" w:type="dxa"/>
          </w:tcPr>
          <w:p w14:paraId="7FC4AEDC" w14:textId="77777777" w:rsidR="00E0181F" w:rsidRPr="001D5327" w:rsidRDefault="00E0181F" w:rsidP="00D11AC9">
            <w:pPr>
              <w:pStyle w:val="TableText"/>
              <w:spacing w:before="40" w:after="40"/>
              <w:rPr>
                <w:szCs w:val="16"/>
              </w:rPr>
            </w:pPr>
            <w:r w:rsidRPr="001D5327">
              <w:rPr>
                <w:szCs w:val="16"/>
              </w:rPr>
              <w:t>Cropland –annual</w:t>
            </w:r>
          </w:p>
        </w:tc>
        <w:tc>
          <w:tcPr>
            <w:tcW w:w="1276" w:type="dxa"/>
            <w:tcBorders>
              <w:bottom w:val="single" w:sz="4" w:space="0" w:color="1B556B" w:themeColor="text2"/>
              <w:right w:val="nil"/>
            </w:tcBorders>
            <w:tcMar>
              <w:top w:w="0" w:type="dxa"/>
              <w:left w:w="57" w:type="dxa"/>
              <w:bottom w:w="0" w:type="dxa"/>
              <w:right w:w="28" w:type="dxa"/>
            </w:tcMar>
          </w:tcPr>
          <w:p w14:paraId="3775297B" w14:textId="77777777" w:rsidR="00E0181F" w:rsidRPr="001D5327" w:rsidRDefault="00E0181F" w:rsidP="00D11AC9">
            <w:pPr>
              <w:pStyle w:val="TableText"/>
              <w:spacing w:before="40" w:after="40"/>
              <w:rPr>
                <w:szCs w:val="16"/>
              </w:rPr>
            </w:pPr>
            <w:r w:rsidRPr="001D5327">
              <w:rPr>
                <w:szCs w:val="16"/>
              </w:rPr>
              <w:t>IPCC Tier 1 default parameters</w:t>
            </w:r>
          </w:p>
        </w:tc>
        <w:tc>
          <w:tcPr>
            <w:tcW w:w="1276" w:type="dxa"/>
            <w:tcBorders>
              <w:left w:val="nil"/>
              <w:bottom w:val="single" w:sz="4" w:space="0" w:color="1B556B" w:themeColor="text2"/>
              <w:right w:val="nil"/>
            </w:tcBorders>
            <w:tcMar>
              <w:top w:w="0" w:type="dxa"/>
              <w:left w:w="57" w:type="dxa"/>
              <w:bottom w:w="0" w:type="dxa"/>
              <w:right w:w="28" w:type="dxa"/>
            </w:tcMar>
          </w:tcPr>
          <w:p w14:paraId="24C51B64" w14:textId="77777777" w:rsidR="00E0181F" w:rsidRPr="001D5327" w:rsidRDefault="00E0181F" w:rsidP="00D11AC9">
            <w:pPr>
              <w:pStyle w:val="TableText"/>
              <w:spacing w:before="40" w:after="40"/>
              <w:rPr>
                <w:szCs w:val="16"/>
              </w:rPr>
            </w:pPr>
            <w:r w:rsidRPr="001D5327">
              <w:rPr>
                <w:szCs w:val="16"/>
              </w:rPr>
              <w:t>IPCC Tier 1 default parameters (NE)</w:t>
            </w:r>
          </w:p>
        </w:tc>
        <w:tc>
          <w:tcPr>
            <w:tcW w:w="1301" w:type="dxa"/>
            <w:tcBorders>
              <w:left w:val="nil"/>
              <w:bottom w:val="single" w:sz="4" w:space="0" w:color="1B556B" w:themeColor="text2"/>
              <w:right w:val="nil"/>
            </w:tcBorders>
            <w:tcMar>
              <w:top w:w="0" w:type="dxa"/>
              <w:left w:w="57" w:type="dxa"/>
              <w:bottom w:w="0" w:type="dxa"/>
              <w:right w:w="28" w:type="dxa"/>
            </w:tcMar>
          </w:tcPr>
          <w:p w14:paraId="38B89EA6" w14:textId="77777777" w:rsidR="00E0181F" w:rsidRPr="001D5327" w:rsidRDefault="00E0181F" w:rsidP="00D11AC9">
            <w:pPr>
              <w:pStyle w:val="TableText"/>
              <w:spacing w:before="40" w:after="40"/>
              <w:rPr>
                <w:szCs w:val="16"/>
              </w:rPr>
            </w:pPr>
            <w:r w:rsidRPr="001D5327">
              <w:rPr>
                <w:szCs w:val="16"/>
              </w:rPr>
              <w:t>Tier 2, country-specific data and model</w:t>
            </w:r>
          </w:p>
        </w:tc>
        <w:tc>
          <w:tcPr>
            <w:tcW w:w="1251" w:type="dxa"/>
            <w:tcBorders>
              <w:left w:val="nil"/>
              <w:bottom w:val="single" w:sz="4" w:space="0" w:color="1B556B" w:themeColor="text2"/>
            </w:tcBorders>
            <w:tcMar>
              <w:top w:w="0" w:type="dxa"/>
              <w:left w:w="57" w:type="dxa"/>
              <w:bottom w:w="0" w:type="dxa"/>
              <w:right w:w="28" w:type="dxa"/>
            </w:tcMar>
          </w:tcPr>
          <w:p w14:paraId="1DAB1F8C" w14:textId="77777777" w:rsidR="00E0181F" w:rsidRPr="001D5327" w:rsidRDefault="00E0181F" w:rsidP="00D11AC9">
            <w:pPr>
              <w:pStyle w:val="TableText"/>
              <w:spacing w:before="40" w:after="40"/>
              <w:rPr>
                <w:szCs w:val="16"/>
              </w:rPr>
            </w:pPr>
            <w:r w:rsidRPr="001D5327">
              <w:rPr>
                <w:szCs w:val="16"/>
              </w:rPr>
              <w:t>IPCC Tier 1 default parameters</w:t>
            </w:r>
          </w:p>
        </w:tc>
        <w:tc>
          <w:tcPr>
            <w:tcW w:w="1134" w:type="dxa"/>
          </w:tcPr>
          <w:p w14:paraId="48E5FE26" w14:textId="77777777" w:rsidR="00E0181F" w:rsidRPr="001D5327" w:rsidRDefault="00E0181F" w:rsidP="00D11AC9">
            <w:pPr>
              <w:pStyle w:val="TableText"/>
              <w:spacing w:before="40" w:after="40"/>
              <w:rPr>
                <w:szCs w:val="16"/>
              </w:rPr>
            </w:pPr>
          </w:p>
        </w:tc>
        <w:tc>
          <w:tcPr>
            <w:tcW w:w="1158" w:type="dxa"/>
          </w:tcPr>
          <w:p w14:paraId="3A53CBCD" w14:textId="77777777" w:rsidR="00E0181F" w:rsidRPr="001D5327" w:rsidRDefault="00E0181F" w:rsidP="00D11AC9">
            <w:pPr>
              <w:pStyle w:val="TableText"/>
              <w:spacing w:before="40" w:after="40"/>
              <w:rPr>
                <w:szCs w:val="16"/>
              </w:rPr>
            </w:pPr>
          </w:p>
        </w:tc>
      </w:tr>
      <w:tr w:rsidR="00E0181F" w:rsidRPr="001D5327" w14:paraId="4F84E4B3" w14:textId="77777777" w:rsidTr="00D11AC9">
        <w:tc>
          <w:tcPr>
            <w:tcW w:w="1109" w:type="dxa"/>
            <w:hideMark/>
          </w:tcPr>
          <w:p w14:paraId="0D11B4F5" w14:textId="77777777" w:rsidR="00E0181F" w:rsidRPr="001D5327" w:rsidRDefault="00E0181F" w:rsidP="00D11AC9">
            <w:pPr>
              <w:pStyle w:val="TableText"/>
              <w:spacing w:before="40" w:after="40"/>
              <w:rPr>
                <w:rFonts w:cs="Segoe UI"/>
                <w:szCs w:val="16"/>
              </w:rPr>
            </w:pPr>
            <w:r w:rsidRPr="001D5327">
              <w:rPr>
                <w:rFonts w:cs="Segoe UI"/>
                <w:szCs w:val="16"/>
              </w:rPr>
              <w:t>Cropland – perennial</w:t>
            </w:r>
          </w:p>
        </w:tc>
        <w:tc>
          <w:tcPr>
            <w:tcW w:w="2552" w:type="dxa"/>
            <w:gridSpan w:val="2"/>
            <w:tcBorders>
              <w:right w:val="nil"/>
            </w:tcBorders>
            <w:hideMark/>
          </w:tcPr>
          <w:p w14:paraId="7B57CC01" w14:textId="77777777" w:rsidR="00E0181F" w:rsidRPr="001D5327" w:rsidRDefault="00E0181F" w:rsidP="00D11AC9">
            <w:pPr>
              <w:pStyle w:val="TableText"/>
              <w:spacing w:before="40" w:after="40"/>
              <w:rPr>
                <w:rFonts w:cs="Segoe UI"/>
                <w:szCs w:val="16"/>
              </w:rPr>
            </w:pPr>
            <w:r w:rsidRPr="001D5327">
              <w:rPr>
                <w:rFonts w:cs="Segoe UI"/>
                <w:szCs w:val="16"/>
              </w:rPr>
              <w:t>Country-specific emission factor</w:t>
            </w:r>
          </w:p>
        </w:tc>
        <w:tc>
          <w:tcPr>
            <w:tcW w:w="2552" w:type="dxa"/>
            <w:gridSpan w:val="2"/>
            <w:tcBorders>
              <w:left w:val="nil"/>
            </w:tcBorders>
            <w:hideMark/>
          </w:tcPr>
          <w:p w14:paraId="723A3A9F" w14:textId="77777777" w:rsidR="00E0181F" w:rsidRPr="001D5327" w:rsidRDefault="00E0181F" w:rsidP="00D11AC9">
            <w:pPr>
              <w:pStyle w:val="TableText"/>
              <w:spacing w:before="40" w:after="40"/>
              <w:rPr>
                <w:rFonts w:cs="Segoe UI"/>
                <w:szCs w:val="16"/>
              </w:rPr>
            </w:pPr>
            <w:r w:rsidRPr="001D5327">
              <w:rPr>
                <w:rFonts w:cs="Segoe UI"/>
                <w:szCs w:val="16"/>
              </w:rPr>
              <w:t>IPCC Tier 1 default parameters (NE)</w:t>
            </w:r>
          </w:p>
        </w:tc>
        <w:tc>
          <w:tcPr>
            <w:tcW w:w="1134" w:type="dxa"/>
            <w:hideMark/>
          </w:tcPr>
          <w:p w14:paraId="3EE7D422" w14:textId="77777777" w:rsidR="00E0181F" w:rsidRPr="001D5327" w:rsidRDefault="00E0181F" w:rsidP="00D11AC9">
            <w:pPr>
              <w:pStyle w:val="TableText"/>
              <w:spacing w:before="40" w:after="40"/>
              <w:rPr>
                <w:rFonts w:cs="Segoe UI"/>
                <w:szCs w:val="16"/>
              </w:rPr>
            </w:pPr>
            <w:r w:rsidRPr="001D5327">
              <w:rPr>
                <w:rFonts w:cs="Segoe UI"/>
                <w:szCs w:val="16"/>
              </w:rPr>
              <w:t>Tier 2, country-specific data and model</w:t>
            </w:r>
          </w:p>
        </w:tc>
        <w:tc>
          <w:tcPr>
            <w:tcW w:w="1158" w:type="dxa"/>
            <w:hideMark/>
          </w:tcPr>
          <w:p w14:paraId="5EC1E541" w14:textId="77777777" w:rsidR="00E0181F" w:rsidRPr="001D5327" w:rsidRDefault="00E0181F" w:rsidP="00D11AC9">
            <w:pPr>
              <w:pStyle w:val="TableText"/>
              <w:spacing w:before="40" w:after="40"/>
              <w:rPr>
                <w:rFonts w:cs="Segoe UI"/>
                <w:szCs w:val="16"/>
              </w:rPr>
            </w:pPr>
            <w:r w:rsidRPr="001D5327">
              <w:rPr>
                <w:rFonts w:cs="Segoe UI"/>
                <w:szCs w:val="16"/>
              </w:rPr>
              <w:t>IPCC Tier 1 default parameters</w:t>
            </w:r>
          </w:p>
        </w:tc>
      </w:tr>
      <w:tr w:rsidR="00E0181F" w:rsidRPr="001D5327" w14:paraId="287BD5CE" w14:textId="77777777" w:rsidTr="00D11AC9">
        <w:tc>
          <w:tcPr>
            <w:tcW w:w="1109" w:type="dxa"/>
            <w:hideMark/>
          </w:tcPr>
          <w:p w14:paraId="38468B0F" w14:textId="77777777" w:rsidR="00E0181F" w:rsidRPr="001D5327" w:rsidRDefault="00E0181F" w:rsidP="00D11AC9">
            <w:pPr>
              <w:pStyle w:val="TableText"/>
              <w:spacing w:before="40" w:after="40"/>
              <w:rPr>
                <w:rFonts w:cs="Segoe UI"/>
                <w:szCs w:val="16"/>
              </w:rPr>
            </w:pPr>
            <w:r w:rsidRPr="001D5327">
              <w:rPr>
                <w:rFonts w:cs="Segoe UI"/>
                <w:szCs w:val="16"/>
              </w:rPr>
              <w:t>Grassland (high and low producing)</w:t>
            </w:r>
          </w:p>
        </w:tc>
        <w:tc>
          <w:tcPr>
            <w:tcW w:w="2552" w:type="dxa"/>
            <w:gridSpan w:val="2"/>
            <w:tcBorders>
              <w:right w:val="nil"/>
            </w:tcBorders>
            <w:hideMark/>
          </w:tcPr>
          <w:p w14:paraId="055184BC" w14:textId="77777777" w:rsidR="00E0181F" w:rsidRPr="001D5327" w:rsidRDefault="00E0181F" w:rsidP="00D11AC9">
            <w:pPr>
              <w:pStyle w:val="TableText"/>
              <w:spacing w:before="40" w:after="40"/>
              <w:rPr>
                <w:rFonts w:cs="Segoe UI"/>
                <w:szCs w:val="16"/>
              </w:rPr>
            </w:pPr>
            <w:r w:rsidRPr="001D5327">
              <w:rPr>
                <w:rFonts w:cs="Segoe UI"/>
                <w:szCs w:val="16"/>
              </w:rPr>
              <w:t>IPCC Tier 1 default parameters</w:t>
            </w:r>
          </w:p>
        </w:tc>
        <w:tc>
          <w:tcPr>
            <w:tcW w:w="2552" w:type="dxa"/>
            <w:gridSpan w:val="2"/>
            <w:tcBorders>
              <w:left w:val="nil"/>
            </w:tcBorders>
            <w:hideMark/>
          </w:tcPr>
          <w:p w14:paraId="235DE250" w14:textId="77777777" w:rsidR="00E0181F" w:rsidRPr="001D5327" w:rsidRDefault="00E0181F" w:rsidP="00D11AC9">
            <w:pPr>
              <w:pStyle w:val="TableText"/>
              <w:spacing w:before="40" w:after="40"/>
              <w:rPr>
                <w:rFonts w:cs="Segoe UI"/>
                <w:szCs w:val="16"/>
              </w:rPr>
            </w:pPr>
            <w:r w:rsidRPr="001D5327">
              <w:rPr>
                <w:rFonts w:cs="Segoe UI"/>
                <w:szCs w:val="16"/>
              </w:rPr>
              <w:t>IPCC Tier 1 default parameters (NE)</w:t>
            </w:r>
          </w:p>
        </w:tc>
        <w:tc>
          <w:tcPr>
            <w:tcW w:w="1134" w:type="dxa"/>
            <w:hideMark/>
          </w:tcPr>
          <w:p w14:paraId="63BFCB83" w14:textId="77777777" w:rsidR="00E0181F" w:rsidRPr="001D5327" w:rsidRDefault="00E0181F" w:rsidP="00D11AC9">
            <w:pPr>
              <w:pStyle w:val="TableText"/>
              <w:spacing w:before="40" w:after="40"/>
              <w:rPr>
                <w:rFonts w:cs="Segoe UI"/>
                <w:szCs w:val="16"/>
              </w:rPr>
            </w:pPr>
            <w:r w:rsidRPr="001D5327">
              <w:rPr>
                <w:rFonts w:cs="Segoe UI"/>
                <w:szCs w:val="16"/>
              </w:rPr>
              <w:t>Tier 2, country-specific data and model</w:t>
            </w:r>
          </w:p>
        </w:tc>
        <w:tc>
          <w:tcPr>
            <w:tcW w:w="1158" w:type="dxa"/>
            <w:hideMark/>
          </w:tcPr>
          <w:p w14:paraId="4FEF401F" w14:textId="77777777" w:rsidR="00E0181F" w:rsidRPr="001D5327" w:rsidRDefault="00E0181F" w:rsidP="00D11AC9">
            <w:pPr>
              <w:pStyle w:val="TableText"/>
              <w:spacing w:before="40" w:after="40"/>
              <w:rPr>
                <w:rFonts w:cs="Segoe UI"/>
                <w:szCs w:val="16"/>
              </w:rPr>
            </w:pPr>
            <w:r w:rsidRPr="001D5327">
              <w:rPr>
                <w:rFonts w:cs="Segoe UI"/>
                <w:szCs w:val="16"/>
              </w:rPr>
              <w:t>IPCC Tier 1 default parameters</w:t>
            </w:r>
          </w:p>
        </w:tc>
      </w:tr>
      <w:tr w:rsidR="00E0181F" w:rsidRPr="001D5327" w14:paraId="66F828E0" w14:textId="77777777" w:rsidTr="00D11AC9">
        <w:tc>
          <w:tcPr>
            <w:tcW w:w="1109" w:type="dxa"/>
            <w:hideMark/>
          </w:tcPr>
          <w:p w14:paraId="31C612EF" w14:textId="77777777" w:rsidR="00E0181F" w:rsidRPr="001D5327" w:rsidRDefault="00E0181F" w:rsidP="00D11AC9">
            <w:pPr>
              <w:pStyle w:val="TableText"/>
              <w:spacing w:before="40" w:after="40"/>
              <w:rPr>
                <w:rFonts w:cs="Segoe UI"/>
                <w:szCs w:val="16"/>
              </w:rPr>
            </w:pPr>
            <w:r w:rsidRPr="001D5327">
              <w:rPr>
                <w:rFonts w:cs="Segoe UI"/>
                <w:szCs w:val="16"/>
              </w:rPr>
              <w:t xml:space="preserve">Grassland with woody biomass – transitional </w:t>
            </w:r>
          </w:p>
        </w:tc>
        <w:tc>
          <w:tcPr>
            <w:tcW w:w="5104" w:type="dxa"/>
            <w:gridSpan w:val="4"/>
            <w:hideMark/>
          </w:tcPr>
          <w:p w14:paraId="16D11F29" w14:textId="77777777" w:rsidR="00E0181F" w:rsidRPr="001D5327" w:rsidRDefault="00E0181F" w:rsidP="00D11AC9">
            <w:pPr>
              <w:pStyle w:val="TableText"/>
              <w:spacing w:before="40" w:after="40"/>
              <w:rPr>
                <w:rFonts w:cs="Segoe UI"/>
                <w:szCs w:val="16"/>
              </w:rPr>
            </w:pPr>
            <w:r w:rsidRPr="001D5327">
              <w:rPr>
                <w:rFonts w:cs="Segoe UI"/>
                <w:szCs w:val="16"/>
              </w:rPr>
              <w:t>Country-specific emission factor</w:t>
            </w:r>
          </w:p>
        </w:tc>
        <w:tc>
          <w:tcPr>
            <w:tcW w:w="1134" w:type="dxa"/>
            <w:hideMark/>
          </w:tcPr>
          <w:p w14:paraId="6FA5348B" w14:textId="77777777" w:rsidR="00E0181F" w:rsidRPr="001D5327" w:rsidRDefault="00E0181F" w:rsidP="00D11AC9">
            <w:pPr>
              <w:pStyle w:val="TableText"/>
              <w:spacing w:before="40" w:after="40"/>
              <w:rPr>
                <w:rFonts w:cs="Segoe UI"/>
                <w:szCs w:val="16"/>
              </w:rPr>
            </w:pPr>
            <w:r w:rsidRPr="001D5327">
              <w:rPr>
                <w:rFonts w:cs="Segoe UI"/>
                <w:szCs w:val="16"/>
              </w:rPr>
              <w:t>Tier 2, country-specific data and model</w:t>
            </w:r>
          </w:p>
        </w:tc>
        <w:tc>
          <w:tcPr>
            <w:tcW w:w="1158" w:type="dxa"/>
            <w:hideMark/>
          </w:tcPr>
          <w:p w14:paraId="2FDDB1BB" w14:textId="77777777" w:rsidR="00E0181F" w:rsidRPr="001D5327" w:rsidRDefault="00E0181F" w:rsidP="00D11AC9">
            <w:pPr>
              <w:pStyle w:val="TableText"/>
              <w:spacing w:before="40" w:after="40"/>
              <w:rPr>
                <w:rFonts w:cs="Segoe UI"/>
                <w:szCs w:val="16"/>
              </w:rPr>
            </w:pPr>
            <w:r w:rsidRPr="001D5327">
              <w:rPr>
                <w:rFonts w:cs="Segoe UI"/>
                <w:szCs w:val="16"/>
              </w:rPr>
              <w:t>IPCC Tier 1 default parameters</w:t>
            </w:r>
          </w:p>
        </w:tc>
      </w:tr>
      <w:tr w:rsidR="00E0181F" w:rsidRPr="001D5327" w14:paraId="71CD392C" w14:textId="77777777" w:rsidTr="00D11AC9">
        <w:tc>
          <w:tcPr>
            <w:tcW w:w="1109" w:type="dxa"/>
          </w:tcPr>
          <w:p w14:paraId="59450053" w14:textId="77777777" w:rsidR="00E0181F" w:rsidRPr="001D5327" w:rsidRDefault="00E0181F" w:rsidP="00D11AC9">
            <w:pPr>
              <w:pStyle w:val="TableText"/>
              <w:spacing w:before="40" w:after="40"/>
              <w:rPr>
                <w:rFonts w:cs="Segoe UI"/>
                <w:szCs w:val="16"/>
              </w:rPr>
            </w:pPr>
            <w:r w:rsidRPr="001D5327">
              <w:rPr>
                <w:rFonts w:cs="Segoe UI"/>
                <w:szCs w:val="16"/>
              </w:rPr>
              <w:lastRenderedPageBreak/>
              <w:t>Grassland with woody biomass –permanent</w:t>
            </w:r>
          </w:p>
        </w:tc>
        <w:tc>
          <w:tcPr>
            <w:tcW w:w="5104" w:type="dxa"/>
            <w:gridSpan w:val="4"/>
          </w:tcPr>
          <w:p w14:paraId="472A6005" w14:textId="77777777" w:rsidR="00E0181F" w:rsidRPr="001D5327" w:rsidRDefault="00E0181F" w:rsidP="00D11AC9">
            <w:pPr>
              <w:pStyle w:val="TableText"/>
              <w:spacing w:before="40" w:after="40"/>
              <w:rPr>
                <w:rFonts w:cs="Segoe UI"/>
                <w:szCs w:val="16"/>
              </w:rPr>
            </w:pPr>
            <w:r w:rsidRPr="001D5327">
              <w:rPr>
                <w:rFonts w:cs="Segoe UI"/>
                <w:szCs w:val="16"/>
              </w:rPr>
              <w:t>Country-specific emission factor</w:t>
            </w:r>
          </w:p>
        </w:tc>
        <w:tc>
          <w:tcPr>
            <w:tcW w:w="1134" w:type="dxa"/>
          </w:tcPr>
          <w:p w14:paraId="3FB280EC" w14:textId="77777777" w:rsidR="00E0181F" w:rsidRPr="001D5327" w:rsidRDefault="00E0181F" w:rsidP="00D11AC9">
            <w:pPr>
              <w:pStyle w:val="TableText"/>
              <w:spacing w:before="40" w:after="40"/>
              <w:rPr>
                <w:rFonts w:cs="Segoe UI"/>
                <w:szCs w:val="16"/>
              </w:rPr>
            </w:pPr>
            <w:r w:rsidRPr="001D5327">
              <w:rPr>
                <w:rFonts w:cs="Segoe UI"/>
                <w:szCs w:val="16"/>
              </w:rPr>
              <w:t>Tier 2, country-specific data and model</w:t>
            </w:r>
          </w:p>
        </w:tc>
        <w:tc>
          <w:tcPr>
            <w:tcW w:w="1158" w:type="dxa"/>
          </w:tcPr>
          <w:p w14:paraId="3E08C729" w14:textId="77777777" w:rsidR="00E0181F" w:rsidRPr="001D5327" w:rsidRDefault="00E0181F" w:rsidP="00D11AC9">
            <w:pPr>
              <w:pStyle w:val="TableText"/>
              <w:spacing w:before="40" w:after="40"/>
              <w:rPr>
                <w:rFonts w:cs="Segoe UI"/>
                <w:szCs w:val="16"/>
              </w:rPr>
            </w:pPr>
            <w:r w:rsidRPr="001D5327">
              <w:rPr>
                <w:rFonts w:cs="Segoe UI"/>
                <w:szCs w:val="16"/>
              </w:rPr>
              <w:t>IPCC Tier 1 default parameters</w:t>
            </w:r>
          </w:p>
        </w:tc>
      </w:tr>
      <w:tr w:rsidR="00E0181F" w:rsidRPr="001D5327" w14:paraId="575BD5EE" w14:textId="77777777" w:rsidTr="00D11AC9">
        <w:tc>
          <w:tcPr>
            <w:tcW w:w="1109" w:type="dxa"/>
            <w:hideMark/>
          </w:tcPr>
          <w:p w14:paraId="69173F8C" w14:textId="77777777" w:rsidR="00E0181F" w:rsidRPr="001D5327" w:rsidRDefault="00E0181F" w:rsidP="00D11AC9">
            <w:pPr>
              <w:pStyle w:val="TableText"/>
              <w:spacing w:before="40" w:after="40"/>
              <w:rPr>
                <w:rFonts w:cs="Segoe UI"/>
                <w:szCs w:val="16"/>
              </w:rPr>
            </w:pPr>
            <w:r w:rsidRPr="001D5327">
              <w:rPr>
                <w:rFonts w:cs="Segoe UI"/>
                <w:szCs w:val="16"/>
              </w:rPr>
              <w:t>Wetlands – open water</w:t>
            </w:r>
          </w:p>
        </w:tc>
        <w:tc>
          <w:tcPr>
            <w:tcW w:w="5104" w:type="dxa"/>
            <w:gridSpan w:val="4"/>
            <w:tcBorders>
              <w:bottom w:val="single" w:sz="4" w:space="0" w:color="1B556B" w:themeColor="text2"/>
            </w:tcBorders>
            <w:hideMark/>
          </w:tcPr>
          <w:p w14:paraId="3BEDD3B9" w14:textId="77777777" w:rsidR="00E0181F" w:rsidRPr="001D5327" w:rsidRDefault="00E0181F" w:rsidP="00D11AC9">
            <w:pPr>
              <w:pStyle w:val="TableText"/>
              <w:spacing w:before="40" w:after="40"/>
              <w:rPr>
                <w:rFonts w:cs="Segoe UI"/>
                <w:szCs w:val="16"/>
              </w:rPr>
            </w:pPr>
            <w:r w:rsidRPr="001D5327">
              <w:rPr>
                <w:rFonts w:cs="Segoe UI"/>
                <w:szCs w:val="16"/>
              </w:rPr>
              <w:t>IPCC Tier 1 default parameters (NE)</w:t>
            </w:r>
          </w:p>
        </w:tc>
        <w:tc>
          <w:tcPr>
            <w:tcW w:w="1134" w:type="dxa"/>
            <w:hideMark/>
          </w:tcPr>
          <w:p w14:paraId="2DE02F55" w14:textId="77777777" w:rsidR="00E0181F" w:rsidRPr="001D5327" w:rsidRDefault="00E0181F" w:rsidP="00D11AC9">
            <w:pPr>
              <w:pStyle w:val="TableText"/>
              <w:spacing w:before="40" w:after="40"/>
              <w:rPr>
                <w:rFonts w:cs="Segoe UI"/>
                <w:szCs w:val="16"/>
              </w:rPr>
            </w:pPr>
            <w:r w:rsidRPr="001D5327">
              <w:rPr>
                <w:rFonts w:cs="Segoe UI"/>
                <w:szCs w:val="16"/>
              </w:rPr>
              <w:t>Tier 2, country-specific data and model</w:t>
            </w:r>
          </w:p>
        </w:tc>
        <w:tc>
          <w:tcPr>
            <w:tcW w:w="1158" w:type="dxa"/>
            <w:hideMark/>
          </w:tcPr>
          <w:p w14:paraId="0C84A287" w14:textId="77777777" w:rsidR="00E0181F" w:rsidRPr="001D5327" w:rsidRDefault="00E0181F" w:rsidP="00D11AC9">
            <w:pPr>
              <w:pStyle w:val="TableText"/>
              <w:spacing w:before="40" w:after="40"/>
              <w:rPr>
                <w:rFonts w:cs="Segoe UI"/>
                <w:szCs w:val="16"/>
              </w:rPr>
            </w:pPr>
            <w:r w:rsidRPr="001D5327">
              <w:rPr>
                <w:rFonts w:cs="Segoe UI"/>
                <w:szCs w:val="16"/>
              </w:rPr>
              <w:t xml:space="preserve">IPCC Tier 1 default parameters </w:t>
            </w:r>
          </w:p>
        </w:tc>
      </w:tr>
      <w:tr w:rsidR="00E0181F" w:rsidRPr="001D5327" w14:paraId="6D9772C5" w14:textId="77777777" w:rsidTr="00D11AC9">
        <w:tc>
          <w:tcPr>
            <w:tcW w:w="1109" w:type="dxa"/>
          </w:tcPr>
          <w:p w14:paraId="792AF0D6" w14:textId="77777777" w:rsidR="00E0181F" w:rsidRPr="001D5327" w:rsidRDefault="00E0181F" w:rsidP="00D11AC9">
            <w:pPr>
              <w:pStyle w:val="TableText"/>
              <w:spacing w:before="40" w:after="40"/>
              <w:rPr>
                <w:rFonts w:cs="Segoe UI"/>
                <w:szCs w:val="16"/>
              </w:rPr>
            </w:pPr>
            <w:r w:rsidRPr="001D5327">
              <w:rPr>
                <w:rFonts w:cs="Segoe UI"/>
                <w:szCs w:val="16"/>
              </w:rPr>
              <w:t xml:space="preserve">Wetlands – vegetated </w:t>
            </w:r>
          </w:p>
        </w:tc>
        <w:tc>
          <w:tcPr>
            <w:tcW w:w="2552" w:type="dxa"/>
            <w:gridSpan w:val="2"/>
            <w:tcBorders>
              <w:right w:val="nil"/>
            </w:tcBorders>
          </w:tcPr>
          <w:p w14:paraId="7F6638BA" w14:textId="77777777" w:rsidR="00E0181F" w:rsidRPr="001D5327" w:rsidRDefault="00E0181F" w:rsidP="00D11AC9">
            <w:pPr>
              <w:pStyle w:val="TableText"/>
              <w:spacing w:before="40" w:after="40"/>
              <w:rPr>
                <w:rFonts w:cs="Segoe UI"/>
                <w:szCs w:val="16"/>
              </w:rPr>
            </w:pPr>
            <w:r w:rsidRPr="001D5327">
              <w:rPr>
                <w:rFonts w:cs="Segoe UI"/>
                <w:szCs w:val="16"/>
              </w:rPr>
              <w:t>Country-specific emission factor</w:t>
            </w:r>
            <w:r w:rsidRPr="001D5327" w:rsidDel="00DB0C80">
              <w:rPr>
                <w:rFonts w:cs="Segoe UI"/>
                <w:szCs w:val="16"/>
              </w:rPr>
              <w:t xml:space="preserve"> </w:t>
            </w:r>
          </w:p>
        </w:tc>
        <w:tc>
          <w:tcPr>
            <w:tcW w:w="2552" w:type="dxa"/>
            <w:gridSpan w:val="2"/>
            <w:tcBorders>
              <w:left w:val="nil"/>
            </w:tcBorders>
          </w:tcPr>
          <w:p w14:paraId="0F9B227F" w14:textId="77777777" w:rsidR="00E0181F" w:rsidRPr="001D5327" w:rsidRDefault="00E0181F" w:rsidP="00D11AC9">
            <w:pPr>
              <w:pStyle w:val="TableText"/>
              <w:spacing w:before="40" w:after="40"/>
              <w:rPr>
                <w:rFonts w:cs="Segoe UI"/>
                <w:szCs w:val="16"/>
              </w:rPr>
            </w:pPr>
            <w:r w:rsidRPr="001D5327">
              <w:rPr>
                <w:rFonts w:cs="Segoe UI"/>
                <w:szCs w:val="16"/>
              </w:rPr>
              <w:t>IPCC Tier 1 default parameters (NE)</w:t>
            </w:r>
          </w:p>
        </w:tc>
        <w:tc>
          <w:tcPr>
            <w:tcW w:w="1134" w:type="dxa"/>
          </w:tcPr>
          <w:p w14:paraId="4D871D68" w14:textId="77777777" w:rsidR="00E0181F" w:rsidRPr="001D5327" w:rsidRDefault="00E0181F" w:rsidP="00D11AC9">
            <w:pPr>
              <w:pStyle w:val="TableText"/>
              <w:spacing w:before="40" w:after="40"/>
              <w:rPr>
                <w:rFonts w:cs="Segoe UI"/>
                <w:szCs w:val="16"/>
              </w:rPr>
            </w:pPr>
            <w:r w:rsidRPr="001D5327">
              <w:rPr>
                <w:rFonts w:cs="Segoe UI"/>
                <w:szCs w:val="16"/>
              </w:rPr>
              <w:t>Tier 2, country-specific data and model</w:t>
            </w:r>
          </w:p>
        </w:tc>
        <w:tc>
          <w:tcPr>
            <w:tcW w:w="1215" w:type="dxa"/>
          </w:tcPr>
          <w:p w14:paraId="537FEC42" w14:textId="77777777" w:rsidR="00E0181F" w:rsidRPr="001D5327" w:rsidRDefault="00E0181F" w:rsidP="00D11AC9">
            <w:pPr>
              <w:pStyle w:val="TableText"/>
              <w:spacing w:before="40" w:after="40"/>
              <w:rPr>
                <w:rFonts w:cs="Segoe UI"/>
                <w:szCs w:val="16"/>
              </w:rPr>
            </w:pPr>
            <w:r w:rsidRPr="001D5327">
              <w:rPr>
                <w:rFonts w:cs="Segoe UI"/>
                <w:szCs w:val="16"/>
              </w:rPr>
              <w:t xml:space="preserve">IPCC Tier 1 default parameters </w:t>
            </w:r>
          </w:p>
        </w:tc>
      </w:tr>
      <w:tr w:rsidR="00E0181F" w:rsidRPr="001D5327" w14:paraId="578EA649" w14:textId="77777777" w:rsidTr="00D11AC9">
        <w:tc>
          <w:tcPr>
            <w:tcW w:w="1109" w:type="dxa"/>
            <w:hideMark/>
          </w:tcPr>
          <w:p w14:paraId="661AE4C1" w14:textId="77777777" w:rsidR="00E0181F" w:rsidRPr="001D5327" w:rsidRDefault="00E0181F" w:rsidP="00D11AC9">
            <w:pPr>
              <w:pStyle w:val="TableText"/>
              <w:spacing w:before="40" w:after="40"/>
              <w:rPr>
                <w:rFonts w:cs="Segoe UI"/>
                <w:szCs w:val="16"/>
              </w:rPr>
            </w:pPr>
            <w:r w:rsidRPr="001D5327">
              <w:rPr>
                <w:rFonts w:cs="Segoe UI"/>
                <w:szCs w:val="16"/>
              </w:rPr>
              <w:t>Settlements</w:t>
            </w:r>
          </w:p>
        </w:tc>
        <w:tc>
          <w:tcPr>
            <w:tcW w:w="5104" w:type="dxa"/>
            <w:gridSpan w:val="4"/>
            <w:hideMark/>
          </w:tcPr>
          <w:p w14:paraId="30C69D40" w14:textId="77777777" w:rsidR="00E0181F" w:rsidRPr="001D5327" w:rsidRDefault="00E0181F" w:rsidP="00D11AC9">
            <w:pPr>
              <w:pStyle w:val="TableText"/>
              <w:spacing w:before="40" w:after="40"/>
              <w:rPr>
                <w:rFonts w:cs="Segoe UI"/>
                <w:szCs w:val="16"/>
              </w:rPr>
            </w:pPr>
            <w:r w:rsidRPr="001D5327">
              <w:rPr>
                <w:rFonts w:cs="Segoe UI"/>
                <w:szCs w:val="16"/>
              </w:rPr>
              <w:t>IPCC Tier 1 default parameter (NE)</w:t>
            </w:r>
          </w:p>
        </w:tc>
        <w:tc>
          <w:tcPr>
            <w:tcW w:w="1134" w:type="dxa"/>
            <w:hideMark/>
          </w:tcPr>
          <w:p w14:paraId="4E8B719F" w14:textId="77777777" w:rsidR="00E0181F" w:rsidRPr="001D5327" w:rsidRDefault="00E0181F" w:rsidP="00D11AC9">
            <w:pPr>
              <w:pStyle w:val="TableText"/>
              <w:spacing w:before="40" w:after="40"/>
              <w:rPr>
                <w:rFonts w:cs="Segoe UI"/>
                <w:szCs w:val="16"/>
              </w:rPr>
            </w:pPr>
            <w:r w:rsidRPr="001D5327">
              <w:rPr>
                <w:rFonts w:cs="Segoe UI"/>
                <w:szCs w:val="16"/>
              </w:rPr>
              <w:t>Tier 2, country-specific data and model</w:t>
            </w:r>
          </w:p>
        </w:tc>
        <w:tc>
          <w:tcPr>
            <w:tcW w:w="1158" w:type="dxa"/>
            <w:hideMark/>
          </w:tcPr>
          <w:p w14:paraId="5692C4A4" w14:textId="77777777" w:rsidR="00E0181F" w:rsidRPr="001D5327" w:rsidRDefault="00E0181F" w:rsidP="00D11AC9">
            <w:pPr>
              <w:pStyle w:val="TableText"/>
              <w:spacing w:before="40" w:after="40"/>
              <w:rPr>
                <w:rFonts w:cs="Segoe UI"/>
                <w:szCs w:val="16"/>
              </w:rPr>
            </w:pPr>
            <w:r w:rsidRPr="001D5327">
              <w:rPr>
                <w:rFonts w:cs="Segoe UI"/>
                <w:szCs w:val="16"/>
              </w:rPr>
              <w:t>NE</w:t>
            </w:r>
          </w:p>
        </w:tc>
      </w:tr>
      <w:tr w:rsidR="00E0181F" w:rsidRPr="001D5327" w14:paraId="6EA2F5FB" w14:textId="77777777" w:rsidTr="00D11AC9">
        <w:tc>
          <w:tcPr>
            <w:tcW w:w="1109" w:type="dxa"/>
            <w:hideMark/>
          </w:tcPr>
          <w:p w14:paraId="168E2F24" w14:textId="77777777" w:rsidR="00E0181F" w:rsidRPr="001D5327" w:rsidRDefault="00E0181F" w:rsidP="00D11AC9">
            <w:pPr>
              <w:pStyle w:val="TableText"/>
              <w:spacing w:before="40" w:after="40"/>
              <w:rPr>
                <w:rFonts w:cs="Segoe UI"/>
                <w:szCs w:val="16"/>
              </w:rPr>
            </w:pPr>
            <w:r w:rsidRPr="001D5327">
              <w:rPr>
                <w:rFonts w:cs="Segoe UI"/>
                <w:szCs w:val="16"/>
              </w:rPr>
              <w:t>Other land</w:t>
            </w:r>
          </w:p>
        </w:tc>
        <w:tc>
          <w:tcPr>
            <w:tcW w:w="5104" w:type="dxa"/>
            <w:gridSpan w:val="4"/>
            <w:hideMark/>
          </w:tcPr>
          <w:p w14:paraId="67B32BC7" w14:textId="77777777" w:rsidR="00E0181F" w:rsidRPr="001D5327" w:rsidRDefault="00E0181F" w:rsidP="00D11AC9">
            <w:pPr>
              <w:pStyle w:val="TableText"/>
              <w:spacing w:before="40" w:after="40"/>
              <w:rPr>
                <w:rFonts w:cs="Segoe UI"/>
                <w:szCs w:val="16"/>
              </w:rPr>
            </w:pPr>
            <w:r w:rsidRPr="001D5327">
              <w:rPr>
                <w:rFonts w:cs="Segoe UI"/>
                <w:szCs w:val="16"/>
              </w:rPr>
              <w:t>IPCC Tier 1 default parameter (NE)</w:t>
            </w:r>
          </w:p>
        </w:tc>
        <w:tc>
          <w:tcPr>
            <w:tcW w:w="1134" w:type="dxa"/>
            <w:hideMark/>
          </w:tcPr>
          <w:p w14:paraId="5FA357DE" w14:textId="77777777" w:rsidR="00E0181F" w:rsidRPr="001D5327" w:rsidRDefault="00E0181F" w:rsidP="00D11AC9">
            <w:pPr>
              <w:pStyle w:val="TableText"/>
              <w:spacing w:before="40" w:after="40"/>
              <w:rPr>
                <w:rFonts w:cs="Segoe UI"/>
                <w:szCs w:val="16"/>
              </w:rPr>
            </w:pPr>
            <w:r w:rsidRPr="001D5327">
              <w:rPr>
                <w:rFonts w:cs="Segoe UI"/>
                <w:szCs w:val="16"/>
              </w:rPr>
              <w:t>Tier 2, country-specific data and model</w:t>
            </w:r>
          </w:p>
        </w:tc>
        <w:tc>
          <w:tcPr>
            <w:tcW w:w="1158" w:type="dxa"/>
            <w:hideMark/>
          </w:tcPr>
          <w:p w14:paraId="186ED30A" w14:textId="77777777" w:rsidR="00E0181F" w:rsidRPr="001D5327" w:rsidRDefault="00E0181F" w:rsidP="00D11AC9">
            <w:pPr>
              <w:pStyle w:val="TableText"/>
              <w:spacing w:before="40" w:after="40"/>
              <w:rPr>
                <w:rFonts w:cs="Segoe UI"/>
                <w:szCs w:val="16"/>
              </w:rPr>
            </w:pPr>
            <w:r w:rsidRPr="001D5327">
              <w:rPr>
                <w:rFonts w:cs="Segoe UI"/>
                <w:szCs w:val="16"/>
              </w:rPr>
              <w:t>NE</w:t>
            </w:r>
          </w:p>
        </w:tc>
      </w:tr>
    </w:tbl>
    <w:p w14:paraId="7CC385BB" w14:textId="77777777" w:rsidR="00E0181F" w:rsidRPr="001D5327" w:rsidRDefault="00E0181F" w:rsidP="00E0181F">
      <w:pPr>
        <w:pStyle w:val="Noteundertable"/>
      </w:pPr>
      <w:r w:rsidRPr="001D5327">
        <w:rPr>
          <w:b/>
        </w:rPr>
        <w:t>Note:</w:t>
      </w:r>
      <w:r w:rsidRPr="001D5327">
        <w:tab/>
        <w:t>CRA = Calculation and Reporting Application; NE = not estimated</w:t>
      </w:r>
      <w:r w:rsidRPr="001D5327" w:rsidDel="00AB2497">
        <w:t>.</w:t>
      </w:r>
      <w:r w:rsidRPr="001D5327">
        <w:t xml:space="preserve"> See the methodology sections for an explanation of soil carbon calculations (annex 5, section A5.2.4) and forest models, C_Change and Forest Carbon Predictor (annex 5, section A5.2.5). </w:t>
      </w:r>
    </w:p>
    <w:p w14:paraId="73EE5855" w14:textId="77777777" w:rsidR="00E0181F" w:rsidRPr="001D5327" w:rsidRDefault="00E0181F" w:rsidP="00E0181F">
      <w:pPr>
        <w:pStyle w:val="BodyText"/>
        <w:spacing w:before="100" w:after="100"/>
      </w:pPr>
      <w:r w:rsidRPr="001D5327">
        <w:t xml:space="preserve">To calculate emissions for the New Zealand LULUCF sector, the following data are used: </w:t>
      </w:r>
    </w:p>
    <w:p w14:paraId="19BFA965" w14:textId="77777777" w:rsidR="00E0181F" w:rsidRPr="001D5327" w:rsidRDefault="00E0181F" w:rsidP="00407428">
      <w:pPr>
        <w:pStyle w:val="Bullet"/>
        <w:numPr>
          <w:ilvl w:val="0"/>
          <w:numId w:val="23"/>
        </w:numPr>
        <w:spacing w:after="100"/>
        <w:ind w:left="397" w:hanging="397"/>
      </w:pPr>
      <w:r w:rsidRPr="001D5327">
        <w:t>land use and land-use change area data from 1962 to 1989, which provide land in a transition state as at 1990 for each land use (see annex 5, section A5.2.2)</w:t>
      </w:r>
    </w:p>
    <w:p w14:paraId="68D24C8C" w14:textId="77777777" w:rsidR="00E0181F" w:rsidRPr="001D5327" w:rsidRDefault="00E0181F" w:rsidP="00407428">
      <w:pPr>
        <w:pStyle w:val="Bullet"/>
        <w:numPr>
          <w:ilvl w:val="0"/>
          <w:numId w:val="23"/>
        </w:numPr>
        <w:spacing w:after="100"/>
        <w:ind w:left="397" w:hanging="397"/>
      </w:pPr>
      <w:r w:rsidRPr="001D5327">
        <w:t>annual land use and land-use change area data from 1990 to 2023 (see annex 5, section A5.2.2)</w:t>
      </w:r>
    </w:p>
    <w:p w14:paraId="66CF944A" w14:textId="77777777" w:rsidR="00E0181F" w:rsidRPr="001D5327" w:rsidRDefault="00E0181F" w:rsidP="00407428">
      <w:pPr>
        <w:pStyle w:val="Bullet"/>
        <w:numPr>
          <w:ilvl w:val="0"/>
          <w:numId w:val="23"/>
        </w:numPr>
        <w:spacing w:after="100"/>
        <w:ind w:left="397" w:hanging="397"/>
      </w:pPr>
      <w:r w:rsidRPr="001D5327">
        <w:t>biomass carbon stocks per hectare before land use conversion, and annual growth in biomass carbon stocks per hectare following conversion (described in more detail under each land use category)</w:t>
      </w:r>
    </w:p>
    <w:p w14:paraId="4478B745" w14:textId="77777777" w:rsidR="00E0181F" w:rsidRPr="001D5327" w:rsidRDefault="00E0181F" w:rsidP="00407428">
      <w:pPr>
        <w:pStyle w:val="Bullet"/>
        <w:numPr>
          <w:ilvl w:val="0"/>
          <w:numId w:val="23"/>
        </w:numPr>
        <w:spacing w:after="100"/>
        <w:ind w:left="397" w:hanging="397"/>
      </w:pPr>
      <w:r w:rsidRPr="001D5327">
        <w:t xml:space="preserve">estimates of planted forest harvest area and harvest age-class distribution (see section 6.4 and annex 5, section A5.2.5) </w:t>
      </w:r>
    </w:p>
    <w:p w14:paraId="661BAA7B" w14:textId="77777777" w:rsidR="00E0181F" w:rsidRPr="001D5327" w:rsidRDefault="00E0181F" w:rsidP="00407428">
      <w:pPr>
        <w:pStyle w:val="Bullet"/>
        <w:numPr>
          <w:ilvl w:val="0"/>
          <w:numId w:val="23"/>
        </w:numPr>
        <w:spacing w:after="100"/>
        <w:ind w:left="397" w:hanging="397"/>
      </w:pPr>
      <w:r w:rsidRPr="001D5327">
        <w:t>a forest age profile for pre-1990 planted forests and post-1989 planted forests</w:t>
      </w:r>
    </w:p>
    <w:p w14:paraId="4E681769" w14:textId="77777777" w:rsidR="00E0181F" w:rsidRPr="001D5327" w:rsidRDefault="00E0181F" w:rsidP="00407428">
      <w:pPr>
        <w:pStyle w:val="Bullet"/>
        <w:numPr>
          <w:ilvl w:val="0"/>
          <w:numId w:val="23"/>
        </w:numPr>
        <w:spacing w:after="100"/>
        <w:ind w:left="397" w:hanging="397"/>
      </w:pPr>
      <w:r w:rsidRPr="001D5327">
        <w:t>age-based biomass carbon yield tables for pre-1990 planted forests and post-1989 planted and natural forests (see section 6.4.2)</w:t>
      </w:r>
    </w:p>
    <w:p w14:paraId="0A56F21C" w14:textId="77777777" w:rsidR="00E0181F" w:rsidRPr="001D5327" w:rsidRDefault="00E0181F" w:rsidP="00407428">
      <w:pPr>
        <w:pStyle w:val="Bullet"/>
        <w:numPr>
          <w:ilvl w:val="0"/>
          <w:numId w:val="23"/>
        </w:numPr>
        <w:spacing w:after="100"/>
        <w:ind w:left="397" w:hanging="397"/>
      </w:pPr>
      <w:r w:rsidRPr="001D5327">
        <w:t>growth increment for pre-1990 natural forest (see section 6.4.2)</w:t>
      </w:r>
    </w:p>
    <w:p w14:paraId="4492E347" w14:textId="77777777" w:rsidR="00E0181F" w:rsidRPr="001D5327" w:rsidRDefault="00E0181F" w:rsidP="00407428">
      <w:pPr>
        <w:pStyle w:val="Bullet"/>
        <w:numPr>
          <w:ilvl w:val="0"/>
          <w:numId w:val="23"/>
        </w:numPr>
        <w:spacing w:after="100"/>
        <w:ind w:left="397" w:hanging="397"/>
      </w:pPr>
      <w:r w:rsidRPr="001D5327">
        <w:t>emission factors and country-level activity data on biomass burning (see section 6.11.8)</w:t>
      </w:r>
    </w:p>
    <w:p w14:paraId="52260318" w14:textId="77777777" w:rsidR="00E0181F" w:rsidRPr="001D5327" w:rsidRDefault="00E0181F" w:rsidP="00407428">
      <w:pPr>
        <w:pStyle w:val="Bullet"/>
        <w:numPr>
          <w:ilvl w:val="0"/>
          <w:numId w:val="23"/>
        </w:numPr>
        <w:ind w:left="397" w:hanging="397"/>
      </w:pPr>
      <w:r w:rsidRPr="001D5327">
        <w:t>IPCC default conversion factors for converting C to CO</w:t>
      </w:r>
      <w:r w:rsidRPr="001D5327">
        <w:rPr>
          <w:vertAlign w:val="subscript"/>
        </w:rPr>
        <w:t>2</w:t>
      </w:r>
      <w:r w:rsidRPr="001D5327">
        <w:t xml:space="preserve">. </w:t>
      </w:r>
    </w:p>
    <w:p w14:paraId="17518391" w14:textId="77777777" w:rsidR="00E0181F" w:rsidRPr="001D5327" w:rsidRDefault="00E0181F" w:rsidP="00E0181F">
      <w:pPr>
        <w:pStyle w:val="BodyText"/>
      </w:pPr>
      <w:r w:rsidRPr="001D5327">
        <w:t>The formula used to calculate emissions from biomass changes on land use conversion is:</w:t>
      </w:r>
    </w:p>
    <w:tbl>
      <w:tblPr>
        <w:tblW w:w="7700" w:type="dxa"/>
        <w:jc w:val="center"/>
        <w:tblLayout w:type="fixed"/>
        <w:tblCellMar>
          <w:left w:w="28" w:type="dxa"/>
          <w:right w:w="28" w:type="dxa"/>
        </w:tblCellMar>
        <w:tblLook w:val="04A0" w:firstRow="1" w:lastRow="0" w:firstColumn="1" w:lastColumn="0" w:noHBand="0" w:noVBand="1"/>
      </w:tblPr>
      <w:tblGrid>
        <w:gridCol w:w="310"/>
        <w:gridCol w:w="1420"/>
        <w:gridCol w:w="283"/>
        <w:gridCol w:w="1134"/>
        <w:gridCol w:w="284"/>
        <w:gridCol w:w="290"/>
        <w:gridCol w:w="284"/>
        <w:gridCol w:w="1694"/>
        <w:gridCol w:w="290"/>
        <w:gridCol w:w="992"/>
        <w:gridCol w:w="284"/>
        <w:gridCol w:w="435"/>
      </w:tblGrid>
      <w:tr w:rsidR="00E0181F" w:rsidRPr="001D5327" w14:paraId="26AC7557" w14:textId="77777777" w:rsidTr="00D11AC9">
        <w:trPr>
          <w:trHeight w:val="1130"/>
          <w:jc w:val="center"/>
        </w:trPr>
        <w:tc>
          <w:tcPr>
            <w:tcW w:w="310" w:type="dxa"/>
            <w:vAlign w:val="center"/>
          </w:tcPr>
          <w:p w14:paraId="2D310EF8" w14:textId="77777777" w:rsidR="00E0181F" w:rsidRPr="001D5327" w:rsidRDefault="00E0181F" w:rsidP="00D11AC9">
            <w:pPr>
              <w:rPr>
                <w:rFonts w:ascii="Cambria Math" w:hAnsi="Cambria Math" w:cs="Segoe UI"/>
                <w:sz w:val="144"/>
                <w:szCs w:val="144"/>
              </w:rPr>
            </w:pPr>
            <w:r w:rsidRPr="001D5327">
              <w:rPr>
                <w:rFonts w:ascii="Cambria Math" w:hAnsi="Cambria Math" w:cs="Segoe UI"/>
                <w:sz w:val="56"/>
                <w:szCs w:val="144"/>
              </w:rPr>
              <w:t>(</w:t>
            </w:r>
          </w:p>
        </w:tc>
        <w:tc>
          <w:tcPr>
            <w:tcW w:w="1420" w:type="dxa"/>
            <w:vAlign w:val="center"/>
          </w:tcPr>
          <w:p w14:paraId="4E1809E6" w14:textId="77777777" w:rsidR="00E0181F" w:rsidRPr="001D5327" w:rsidRDefault="00E0181F" w:rsidP="00D11AC9">
            <w:pPr>
              <w:jc w:val="center"/>
              <w:rPr>
                <w:rFonts w:ascii="Cambria Math" w:hAnsi="Cambria Math" w:cs="Segoe UI"/>
                <w:i/>
                <w:sz w:val="18"/>
              </w:rPr>
            </w:pPr>
            <w:r w:rsidRPr="001D5327">
              <w:rPr>
                <w:rFonts w:ascii="Cambria Math" w:hAnsi="Cambria Math" w:cs="Segoe UI"/>
                <w:i/>
                <w:sz w:val="18"/>
              </w:rPr>
              <w:t>Loss of biomass present in previous crop</w:t>
            </w:r>
          </w:p>
        </w:tc>
        <w:tc>
          <w:tcPr>
            <w:tcW w:w="283" w:type="dxa"/>
            <w:vAlign w:val="center"/>
          </w:tcPr>
          <w:p w14:paraId="0B40932D" w14:textId="77777777" w:rsidR="00E0181F" w:rsidRPr="001D5327" w:rsidRDefault="00E0181F" w:rsidP="00D11AC9">
            <w:pPr>
              <w:rPr>
                <w:rFonts w:ascii="Cambria Math" w:hAnsi="Cambria Math" w:cs="Segoe UI"/>
                <w:i/>
                <w:sz w:val="18"/>
              </w:rPr>
            </w:pPr>
            <w:r w:rsidRPr="001D5327">
              <w:rPr>
                <w:rFonts w:ascii="Cambria Math" w:hAnsi="Cambria Math" w:cs="Segoe UI"/>
                <w:i/>
                <w:sz w:val="18"/>
              </w:rPr>
              <w:t xml:space="preserve"> ×</w:t>
            </w:r>
          </w:p>
        </w:tc>
        <w:tc>
          <w:tcPr>
            <w:tcW w:w="1134" w:type="dxa"/>
            <w:vAlign w:val="center"/>
          </w:tcPr>
          <w:p w14:paraId="475AD7ED" w14:textId="77777777" w:rsidR="00E0181F" w:rsidRPr="001D5327" w:rsidRDefault="00E0181F" w:rsidP="00D11AC9">
            <w:pPr>
              <w:jc w:val="center"/>
              <w:rPr>
                <w:rFonts w:ascii="Cambria Math" w:hAnsi="Cambria Math" w:cs="Segoe UI"/>
                <w:i/>
                <w:sz w:val="18"/>
              </w:rPr>
            </w:pPr>
            <w:r w:rsidRPr="001D5327">
              <w:rPr>
                <w:rFonts w:ascii="Cambria Math" w:hAnsi="Cambria Math" w:cs="Segoe UI"/>
                <w:i/>
                <w:sz w:val="18"/>
              </w:rPr>
              <w:t>Activity data (Area)</w:t>
            </w:r>
          </w:p>
        </w:tc>
        <w:tc>
          <w:tcPr>
            <w:tcW w:w="284" w:type="dxa"/>
            <w:vAlign w:val="center"/>
          </w:tcPr>
          <w:p w14:paraId="031A69E1" w14:textId="77777777" w:rsidR="00E0181F" w:rsidRPr="001D5327" w:rsidRDefault="00E0181F" w:rsidP="00D11AC9">
            <w:pPr>
              <w:rPr>
                <w:rFonts w:ascii="Cambria Math" w:hAnsi="Cambria Math" w:cs="Segoe UI"/>
                <w:i/>
              </w:rPr>
            </w:pPr>
            <w:r w:rsidRPr="001D5327">
              <w:rPr>
                <w:rFonts w:ascii="Cambria Math" w:hAnsi="Cambria Math" w:cs="Segoe UI"/>
                <w:sz w:val="56"/>
                <w:szCs w:val="144"/>
              </w:rPr>
              <w:t>)</w:t>
            </w:r>
          </w:p>
        </w:tc>
        <w:tc>
          <w:tcPr>
            <w:tcW w:w="290" w:type="dxa"/>
            <w:vAlign w:val="center"/>
          </w:tcPr>
          <w:p w14:paraId="275C9ADB" w14:textId="77777777" w:rsidR="00E0181F" w:rsidRPr="001D5327" w:rsidRDefault="00E0181F" w:rsidP="00D11AC9">
            <w:pPr>
              <w:rPr>
                <w:rFonts w:ascii="Cambria Math" w:hAnsi="Cambria Math" w:cs="Segoe UI"/>
                <w:i/>
              </w:rPr>
            </w:pPr>
            <w:r w:rsidRPr="001D5327">
              <w:rPr>
                <w:rFonts w:ascii="Cambria Math" w:hAnsi="Cambria Math" w:cs="Segoe UI"/>
                <w:i/>
              </w:rPr>
              <w:t>+</w:t>
            </w:r>
          </w:p>
        </w:tc>
        <w:tc>
          <w:tcPr>
            <w:tcW w:w="284" w:type="dxa"/>
            <w:vAlign w:val="center"/>
          </w:tcPr>
          <w:p w14:paraId="26AD8D4B" w14:textId="77777777" w:rsidR="00E0181F" w:rsidRPr="001D5327" w:rsidRDefault="00E0181F" w:rsidP="00D11AC9">
            <w:pPr>
              <w:rPr>
                <w:rFonts w:ascii="Cambria Math" w:hAnsi="Cambria Math" w:cs="Segoe UI"/>
                <w:i/>
              </w:rPr>
            </w:pPr>
            <w:r w:rsidRPr="001D5327">
              <w:rPr>
                <w:rFonts w:ascii="Cambria Math" w:hAnsi="Cambria Math" w:cs="Segoe UI"/>
                <w:sz w:val="56"/>
                <w:szCs w:val="144"/>
              </w:rPr>
              <w:t>(</w:t>
            </w:r>
          </w:p>
        </w:tc>
        <w:tc>
          <w:tcPr>
            <w:tcW w:w="1694" w:type="dxa"/>
            <w:vAlign w:val="center"/>
          </w:tcPr>
          <w:p w14:paraId="6B123688" w14:textId="77777777" w:rsidR="00E0181F" w:rsidRPr="001D5327" w:rsidRDefault="00E0181F" w:rsidP="00D11AC9">
            <w:pPr>
              <w:jc w:val="center"/>
              <w:rPr>
                <w:rFonts w:ascii="Cambria Math" w:hAnsi="Cambria Math" w:cs="Segoe UI"/>
                <w:i/>
                <w:sz w:val="18"/>
              </w:rPr>
            </w:pPr>
            <w:r w:rsidRPr="001D5327">
              <w:rPr>
                <w:rFonts w:ascii="Cambria Math" w:hAnsi="Cambria Math" w:cs="Segoe UI"/>
                <w:i/>
                <w:sz w:val="18"/>
              </w:rPr>
              <w:t>Annual growth in biomass carbon stocks in new land use</w:t>
            </w:r>
          </w:p>
        </w:tc>
        <w:tc>
          <w:tcPr>
            <w:tcW w:w="290" w:type="dxa"/>
            <w:vAlign w:val="center"/>
          </w:tcPr>
          <w:p w14:paraId="34C2F9C4" w14:textId="77777777" w:rsidR="00E0181F" w:rsidRPr="001D5327" w:rsidRDefault="00E0181F" w:rsidP="00D11AC9">
            <w:pPr>
              <w:jc w:val="center"/>
              <w:rPr>
                <w:rFonts w:ascii="Cambria Math" w:hAnsi="Cambria Math" w:cs="Segoe UI"/>
                <w:i/>
                <w:sz w:val="18"/>
              </w:rPr>
            </w:pPr>
            <w:r w:rsidRPr="001D5327">
              <w:rPr>
                <w:rFonts w:ascii="Cambria Math" w:hAnsi="Cambria Math" w:cs="Segoe UI"/>
                <w:i/>
                <w:sz w:val="18"/>
              </w:rPr>
              <w:t>×</w:t>
            </w:r>
          </w:p>
        </w:tc>
        <w:tc>
          <w:tcPr>
            <w:tcW w:w="992" w:type="dxa"/>
            <w:vAlign w:val="center"/>
          </w:tcPr>
          <w:p w14:paraId="36F49F82" w14:textId="77777777" w:rsidR="00E0181F" w:rsidRPr="001D5327" w:rsidRDefault="00E0181F" w:rsidP="00D11AC9">
            <w:pPr>
              <w:spacing w:before="120"/>
              <w:jc w:val="center"/>
              <w:rPr>
                <w:rFonts w:ascii="Cambria Math" w:hAnsi="Cambria Math" w:cs="Segoe UI"/>
                <w:i/>
                <w:sz w:val="18"/>
              </w:rPr>
            </w:pPr>
            <w:r w:rsidRPr="001D5327">
              <w:rPr>
                <w:rFonts w:ascii="Cambria Math" w:hAnsi="Cambria Math" w:cs="Segoe UI"/>
                <w:i/>
                <w:sz w:val="18"/>
              </w:rPr>
              <w:t>Activity data (Area)</w:t>
            </w:r>
          </w:p>
        </w:tc>
        <w:tc>
          <w:tcPr>
            <w:tcW w:w="284" w:type="dxa"/>
            <w:vAlign w:val="center"/>
          </w:tcPr>
          <w:p w14:paraId="619806C1" w14:textId="77777777" w:rsidR="00E0181F" w:rsidRPr="001D5327" w:rsidRDefault="00E0181F" w:rsidP="00D11AC9">
            <w:pPr>
              <w:jc w:val="center"/>
              <w:rPr>
                <w:rFonts w:ascii="Cambria Math" w:hAnsi="Cambria Math" w:cs="Segoe UI"/>
                <w:i/>
              </w:rPr>
            </w:pPr>
            <w:r w:rsidRPr="001D5327">
              <w:rPr>
                <w:rFonts w:ascii="Cambria Math" w:hAnsi="Cambria Math" w:cs="Segoe UI"/>
                <w:sz w:val="56"/>
                <w:szCs w:val="144"/>
              </w:rPr>
              <w:t>)</w:t>
            </w:r>
          </w:p>
        </w:tc>
        <w:tc>
          <w:tcPr>
            <w:tcW w:w="435" w:type="dxa"/>
          </w:tcPr>
          <w:p w14:paraId="204813B9" w14:textId="77777777" w:rsidR="00E0181F" w:rsidRPr="001D5327" w:rsidRDefault="00E0181F" w:rsidP="00D11AC9">
            <w:pPr>
              <w:rPr>
                <w:rFonts w:ascii="Cambria Math" w:hAnsi="Cambria Math" w:cs="Segoe UI"/>
                <w:i/>
              </w:rPr>
            </w:pPr>
          </w:p>
          <w:p w14:paraId="0829727B" w14:textId="77777777" w:rsidR="00E0181F" w:rsidRPr="001D5327" w:rsidRDefault="00E0181F" w:rsidP="00D11AC9">
            <w:pPr>
              <w:rPr>
                <w:rFonts w:ascii="Cambria Math" w:hAnsi="Cambria Math" w:cs="Segoe UI"/>
                <w:i/>
              </w:rPr>
            </w:pPr>
          </w:p>
          <w:p w14:paraId="39199D18" w14:textId="77777777" w:rsidR="00E0181F" w:rsidRPr="001D5327" w:rsidRDefault="00E0181F" w:rsidP="00D11AC9">
            <w:pPr>
              <w:rPr>
                <w:rFonts w:ascii="Cambria Math" w:hAnsi="Cambria Math" w:cs="Segoe UI"/>
                <w:sz w:val="56"/>
                <w:szCs w:val="144"/>
              </w:rPr>
            </w:pPr>
            <w:r w:rsidRPr="001D5327">
              <w:rPr>
                <w:rFonts w:ascii="Cambria Math" w:hAnsi="Cambria Math" w:cs="Segoe UI"/>
                <w:i/>
              </w:rPr>
              <w:t>(1)</w:t>
            </w:r>
          </w:p>
        </w:tc>
      </w:tr>
    </w:tbl>
    <w:p w14:paraId="411E595B" w14:textId="77777777" w:rsidR="00E0181F" w:rsidRPr="001D5327" w:rsidRDefault="00E0181F" w:rsidP="00E0181F">
      <w:pPr>
        <w:pStyle w:val="BodyText"/>
        <w:keepNext/>
        <w:spacing w:before="180"/>
      </w:pPr>
      <w:r w:rsidRPr="001D5327">
        <w:lastRenderedPageBreak/>
        <w:t xml:space="preserve">The formula used to calculate emissions from mineral soil changes on land use conversion is: </w:t>
      </w:r>
    </w:p>
    <w:tbl>
      <w:tblPr>
        <w:tblW w:w="7479" w:type="dxa"/>
        <w:jc w:val="center"/>
        <w:tblLayout w:type="fixed"/>
        <w:tblLook w:val="04A0" w:firstRow="1" w:lastRow="0" w:firstColumn="1" w:lastColumn="0" w:noHBand="0" w:noVBand="1"/>
      </w:tblPr>
      <w:tblGrid>
        <w:gridCol w:w="2093"/>
        <w:gridCol w:w="425"/>
        <w:gridCol w:w="2268"/>
        <w:gridCol w:w="284"/>
        <w:gridCol w:w="425"/>
        <w:gridCol w:w="850"/>
        <w:gridCol w:w="426"/>
        <w:gridCol w:w="708"/>
      </w:tblGrid>
      <w:tr w:rsidR="00E0181F" w:rsidRPr="001D5327" w14:paraId="52ECD9FA" w14:textId="77777777" w:rsidTr="00D11AC9">
        <w:trPr>
          <w:jc w:val="center"/>
        </w:trPr>
        <w:tc>
          <w:tcPr>
            <w:tcW w:w="2093" w:type="dxa"/>
          </w:tcPr>
          <w:p w14:paraId="4456CE3A" w14:textId="77777777" w:rsidR="00E0181F" w:rsidRPr="001D5327" w:rsidRDefault="00E0181F" w:rsidP="00D11AC9">
            <w:pPr>
              <w:keepNext/>
              <w:jc w:val="center"/>
              <w:rPr>
                <w:rFonts w:ascii="Cambria Math" w:hAnsi="Cambria Math" w:cs="Segoe UI"/>
                <w:i/>
                <w:sz w:val="18"/>
              </w:rPr>
            </w:pPr>
            <w:r w:rsidRPr="001D5327">
              <w:rPr>
                <w:rFonts w:ascii="Cambria Math" w:hAnsi="Cambria Math" w:cs="Segoe UI"/>
                <w:i/>
                <w:sz w:val="18"/>
              </w:rPr>
              <w:t>Mineral soil carbon at steady state in the new land use</w:t>
            </w:r>
          </w:p>
        </w:tc>
        <w:tc>
          <w:tcPr>
            <w:tcW w:w="425" w:type="dxa"/>
            <w:vAlign w:val="center"/>
          </w:tcPr>
          <w:p w14:paraId="51325C90" w14:textId="77777777" w:rsidR="00E0181F" w:rsidRPr="001D5327" w:rsidRDefault="00E0181F" w:rsidP="00D11AC9">
            <w:pPr>
              <w:keepNext/>
              <w:jc w:val="center"/>
              <w:rPr>
                <w:rFonts w:ascii="Cambria Math" w:hAnsi="Cambria Math" w:cs="Segoe UI"/>
                <w:i/>
                <w:sz w:val="18"/>
              </w:rPr>
            </w:pPr>
            <w:r w:rsidRPr="001D5327">
              <w:rPr>
                <w:rFonts w:ascii="Cambria Math" w:hAnsi="Cambria Math" w:cs="Segoe UI"/>
                <w:i/>
                <w:sz w:val="18"/>
              </w:rPr>
              <w:t>—</w:t>
            </w:r>
          </w:p>
        </w:tc>
        <w:tc>
          <w:tcPr>
            <w:tcW w:w="2268" w:type="dxa"/>
          </w:tcPr>
          <w:p w14:paraId="1415E3D2" w14:textId="77777777" w:rsidR="00E0181F" w:rsidRPr="001D5327" w:rsidRDefault="00E0181F" w:rsidP="00D11AC9">
            <w:pPr>
              <w:keepNext/>
              <w:jc w:val="center"/>
              <w:rPr>
                <w:rFonts w:ascii="Cambria Math" w:hAnsi="Cambria Math" w:cs="Segoe UI"/>
                <w:i/>
                <w:sz w:val="18"/>
              </w:rPr>
            </w:pPr>
            <w:r w:rsidRPr="001D5327">
              <w:rPr>
                <w:rFonts w:ascii="Cambria Math" w:hAnsi="Cambria Math" w:cs="Segoe UI"/>
                <w:i/>
                <w:sz w:val="18"/>
              </w:rPr>
              <w:t>Mineral soil carbon at steady state in the previous land use</w:t>
            </w:r>
          </w:p>
        </w:tc>
        <w:tc>
          <w:tcPr>
            <w:tcW w:w="284" w:type="dxa"/>
            <w:vMerge w:val="restart"/>
            <w:vAlign w:val="center"/>
          </w:tcPr>
          <w:p w14:paraId="26D1AB29" w14:textId="77777777" w:rsidR="00E0181F" w:rsidRPr="001D5327" w:rsidRDefault="00E0181F" w:rsidP="00D11AC9">
            <w:pPr>
              <w:keepNext/>
              <w:jc w:val="center"/>
              <w:rPr>
                <w:rFonts w:ascii="Cambria Math" w:hAnsi="Cambria Math" w:cs="Segoe UI"/>
                <w:i/>
                <w:sz w:val="18"/>
              </w:rPr>
            </w:pPr>
            <w:r w:rsidRPr="001D5327">
              <w:rPr>
                <w:rFonts w:ascii="Cambria Math" w:hAnsi="Cambria Math" w:cs="Segoe UI"/>
                <w:i/>
                <w:sz w:val="18"/>
              </w:rPr>
              <w:t>×</w:t>
            </w:r>
          </w:p>
        </w:tc>
        <w:tc>
          <w:tcPr>
            <w:tcW w:w="425" w:type="dxa"/>
            <w:vMerge w:val="restart"/>
            <w:vAlign w:val="center"/>
          </w:tcPr>
          <w:p w14:paraId="549FFC64" w14:textId="77777777" w:rsidR="00E0181F" w:rsidRPr="001D5327" w:rsidRDefault="00E0181F" w:rsidP="00D11AC9">
            <w:pPr>
              <w:keepNext/>
              <w:jc w:val="center"/>
              <w:rPr>
                <w:rFonts w:ascii="Cambria Math" w:hAnsi="Cambria Math" w:cs="Segoe UI"/>
                <w:i/>
                <w:sz w:val="18"/>
              </w:rPr>
            </w:pPr>
            <w:r w:rsidRPr="001D5327">
              <w:rPr>
                <w:rFonts w:ascii="Cambria Math" w:hAnsi="Cambria Math" w:cs="Segoe UI"/>
                <w:sz w:val="56"/>
                <w:szCs w:val="144"/>
              </w:rPr>
              <w:t>(</w:t>
            </w:r>
          </w:p>
        </w:tc>
        <w:tc>
          <w:tcPr>
            <w:tcW w:w="850" w:type="dxa"/>
            <w:vMerge w:val="restart"/>
            <w:vAlign w:val="center"/>
          </w:tcPr>
          <w:p w14:paraId="18A26085" w14:textId="77777777" w:rsidR="00E0181F" w:rsidRPr="001D5327" w:rsidRDefault="00E0181F" w:rsidP="00D11AC9">
            <w:pPr>
              <w:keepNext/>
              <w:jc w:val="center"/>
              <w:rPr>
                <w:rFonts w:ascii="Cambria Math" w:hAnsi="Cambria Math" w:cs="Segoe UI"/>
                <w:i/>
                <w:sz w:val="18"/>
              </w:rPr>
            </w:pPr>
            <w:r w:rsidRPr="001D5327">
              <w:rPr>
                <w:rFonts w:ascii="Cambria Math" w:hAnsi="Cambria Math" w:cs="Segoe UI"/>
                <w:i/>
                <w:sz w:val="18"/>
              </w:rPr>
              <w:t>Activity data (Area)</w:t>
            </w:r>
          </w:p>
        </w:tc>
        <w:tc>
          <w:tcPr>
            <w:tcW w:w="426" w:type="dxa"/>
            <w:vMerge w:val="restart"/>
            <w:vAlign w:val="center"/>
          </w:tcPr>
          <w:p w14:paraId="285DA024" w14:textId="77777777" w:rsidR="00E0181F" w:rsidRPr="001D5327" w:rsidRDefault="00E0181F" w:rsidP="00D11AC9">
            <w:pPr>
              <w:keepNext/>
              <w:jc w:val="center"/>
              <w:rPr>
                <w:rFonts w:ascii="Cambria Math" w:hAnsi="Cambria Math" w:cs="Segoe UI"/>
                <w:i/>
                <w:sz w:val="18"/>
              </w:rPr>
            </w:pPr>
            <w:r w:rsidRPr="001D5327">
              <w:rPr>
                <w:rFonts w:ascii="Cambria Math" w:hAnsi="Cambria Math" w:cs="Segoe UI"/>
                <w:sz w:val="56"/>
                <w:szCs w:val="144"/>
              </w:rPr>
              <w:t>)</w:t>
            </w:r>
          </w:p>
        </w:tc>
        <w:tc>
          <w:tcPr>
            <w:tcW w:w="708" w:type="dxa"/>
            <w:vMerge w:val="restart"/>
            <w:vAlign w:val="center"/>
          </w:tcPr>
          <w:p w14:paraId="2AD5460B" w14:textId="77777777" w:rsidR="00E0181F" w:rsidRPr="001D5327" w:rsidRDefault="00E0181F" w:rsidP="00D11AC9">
            <w:pPr>
              <w:keepNext/>
              <w:jc w:val="right"/>
              <w:rPr>
                <w:rFonts w:ascii="Cambria Math" w:hAnsi="Cambria Math" w:cs="Segoe UI"/>
                <w:sz w:val="56"/>
                <w:szCs w:val="144"/>
              </w:rPr>
            </w:pPr>
            <w:r w:rsidRPr="001D5327">
              <w:rPr>
                <w:rFonts w:ascii="Cambria Math" w:hAnsi="Cambria Math" w:cs="Segoe UI"/>
                <w:i/>
              </w:rPr>
              <w:t>(2)</w:t>
            </w:r>
          </w:p>
        </w:tc>
      </w:tr>
      <w:tr w:rsidR="00E0181F" w:rsidRPr="001D5327" w14:paraId="428AC4D7" w14:textId="77777777" w:rsidTr="00D11AC9">
        <w:trPr>
          <w:trHeight w:val="99"/>
          <w:jc w:val="center"/>
        </w:trPr>
        <w:tc>
          <w:tcPr>
            <w:tcW w:w="4786" w:type="dxa"/>
            <w:gridSpan w:val="3"/>
          </w:tcPr>
          <w:p w14:paraId="63733EAF" w14:textId="77777777" w:rsidR="00E0181F" w:rsidRPr="001D5327" w:rsidRDefault="00E0181F" w:rsidP="00D11AC9">
            <w:pPr>
              <w:keepNext/>
              <w:jc w:val="center"/>
              <w:rPr>
                <w:rFonts w:ascii="Cambria Math" w:hAnsi="Cambria Math" w:cs="Segoe UI"/>
                <w:i/>
                <w:sz w:val="18"/>
                <w:szCs w:val="16"/>
              </w:rPr>
            </w:pPr>
            <w:r w:rsidRPr="001D5327">
              <w:rPr>
                <w:rFonts w:ascii="Cambria Math" w:hAnsi="Cambria Math" w:cs="Segoe UI"/>
                <w:i/>
                <w:sz w:val="18"/>
                <w:szCs w:val="16"/>
              </w:rPr>
              <w:t>________________________________________________</w:t>
            </w:r>
          </w:p>
        </w:tc>
        <w:tc>
          <w:tcPr>
            <w:tcW w:w="284" w:type="dxa"/>
            <w:vMerge/>
          </w:tcPr>
          <w:p w14:paraId="5738AADF" w14:textId="77777777" w:rsidR="00E0181F" w:rsidRPr="001D5327" w:rsidRDefault="00E0181F" w:rsidP="00D11AC9">
            <w:pPr>
              <w:keepNext/>
              <w:jc w:val="center"/>
              <w:rPr>
                <w:rFonts w:ascii="Cambria Math" w:hAnsi="Cambria Math" w:cs="Segoe UI"/>
                <w:i/>
                <w:sz w:val="18"/>
              </w:rPr>
            </w:pPr>
          </w:p>
        </w:tc>
        <w:tc>
          <w:tcPr>
            <w:tcW w:w="425" w:type="dxa"/>
            <w:vMerge/>
          </w:tcPr>
          <w:p w14:paraId="34000B0C" w14:textId="77777777" w:rsidR="00E0181F" w:rsidRPr="001D5327" w:rsidRDefault="00E0181F" w:rsidP="00D11AC9">
            <w:pPr>
              <w:keepNext/>
              <w:jc w:val="center"/>
              <w:rPr>
                <w:rFonts w:ascii="Cambria Math" w:hAnsi="Cambria Math" w:cs="Segoe UI"/>
                <w:i/>
                <w:sz w:val="18"/>
              </w:rPr>
            </w:pPr>
          </w:p>
        </w:tc>
        <w:tc>
          <w:tcPr>
            <w:tcW w:w="850" w:type="dxa"/>
            <w:vMerge/>
          </w:tcPr>
          <w:p w14:paraId="00B4A3A1" w14:textId="77777777" w:rsidR="00E0181F" w:rsidRPr="001D5327" w:rsidRDefault="00E0181F" w:rsidP="00D11AC9">
            <w:pPr>
              <w:keepNext/>
              <w:jc w:val="center"/>
              <w:rPr>
                <w:rFonts w:ascii="Cambria Math" w:hAnsi="Cambria Math" w:cs="Segoe UI"/>
                <w:i/>
                <w:sz w:val="18"/>
              </w:rPr>
            </w:pPr>
          </w:p>
        </w:tc>
        <w:tc>
          <w:tcPr>
            <w:tcW w:w="426" w:type="dxa"/>
            <w:vMerge/>
          </w:tcPr>
          <w:p w14:paraId="2CF609EB" w14:textId="77777777" w:rsidR="00E0181F" w:rsidRPr="001D5327" w:rsidRDefault="00E0181F" w:rsidP="00D11AC9">
            <w:pPr>
              <w:keepNext/>
              <w:jc w:val="center"/>
              <w:rPr>
                <w:rFonts w:ascii="Cambria Math" w:hAnsi="Cambria Math" w:cs="Segoe UI"/>
                <w:i/>
                <w:sz w:val="18"/>
              </w:rPr>
            </w:pPr>
          </w:p>
        </w:tc>
        <w:tc>
          <w:tcPr>
            <w:tcW w:w="708" w:type="dxa"/>
            <w:vMerge/>
          </w:tcPr>
          <w:p w14:paraId="75E73936" w14:textId="77777777" w:rsidR="00E0181F" w:rsidRPr="001D5327" w:rsidRDefault="00E0181F" w:rsidP="00D11AC9">
            <w:pPr>
              <w:keepNext/>
              <w:jc w:val="center"/>
              <w:rPr>
                <w:rFonts w:ascii="Cambria Math" w:hAnsi="Cambria Math" w:cs="Segoe UI"/>
                <w:i/>
                <w:sz w:val="18"/>
              </w:rPr>
            </w:pPr>
          </w:p>
        </w:tc>
      </w:tr>
      <w:tr w:rsidR="00E0181F" w:rsidRPr="001D5327" w14:paraId="6E218F8E" w14:textId="77777777" w:rsidTr="00D11AC9">
        <w:trPr>
          <w:jc w:val="center"/>
        </w:trPr>
        <w:tc>
          <w:tcPr>
            <w:tcW w:w="4786" w:type="dxa"/>
            <w:gridSpan w:val="3"/>
            <w:vAlign w:val="bottom"/>
          </w:tcPr>
          <w:p w14:paraId="60AE43D8" w14:textId="77777777" w:rsidR="00E0181F" w:rsidRPr="001D5327" w:rsidRDefault="00E0181F" w:rsidP="00D11AC9">
            <w:pPr>
              <w:spacing w:before="120"/>
              <w:jc w:val="center"/>
              <w:rPr>
                <w:rFonts w:ascii="Cambria Math" w:hAnsi="Cambria Math" w:cs="Segoe UI"/>
                <w:i/>
                <w:sz w:val="18"/>
              </w:rPr>
            </w:pPr>
            <w:r w:rsidRPr="001D5327">
              <w:rPr>
                <w:rFonts w:ascii="Cambria Math" w:hAnsi="Cambria Math" w:cs="Segoe UI"/>
                <w:i/>
                <w:sz w:val="18"/>
              </w:rPr>
              <w:t>20 years (transition period)</w:t>
            </w:r>
          </w:p>
        </w:tc>
        <w:tc>
          <w:tcPr>
            <w:tcW w:w="284" w:type="dxa"/>
            <w:vMerge/>
          </w:tcPr>
          <w:p w14:paraId="186DAA36" w14:textId="77777777" w:rsidR="00E0181F" w:rsidRPr="001D5327" w:rsidRDefault="00E0181F" w:rsidP="00D11AC9">
            <w:pPr>
              <w:jc w:val="center"/>
              <w:rPr>
                <w:rFonts w:ascii="Cambria Math" w:hAnsi="Cambria Math" w:cs="Segoe UI"/>
                <w:i/>
                <w:sz w:val="18"/>
              </w:rPr>
            </w:pPr>
          </w:p>
        </w:tc>
        <w:tc>
          <w:tcPr>
            <w:tcW w:w="425" w:type="dxa"/>
            <w:vMerge/>
          </w:tcPr>
          <w:p w14:paraId="42278CF1" w14:textId="77777777" w:rsidR="00E0181F" w:rsidRPr="001D5327" w:rsidRDefault="00E0181F" w:rsidP="00D11AC9">
            <w:pPr>
              <w:jc w:val="center"/>
              <w:rPr>
                <w:rFonts w:ascii="Cambria Math" w:hAnsi="Cambria Math" w:cs="Segoe UI"/>
                <w:i/>
                <w:sz w:val="18"/>
              </w:rPr>
            </w:pPr>
          </w:p>
        </w:tc>
        <w:tc>
          <w:tcPr>
            <w:tcW w:w="850" w:type="dxa"/>
            <w:vMerge/>
          </w:tcPr>
          <w:p w14:paraId="0256E3A7" w14:textId="77777777" w:rsidR="00E0181F" w:rsidRPr="001D5327" w:rsidRDefault="00E0181F" w:rsidP="00D11AC9">
            <w:pPr>
              <w:jc w:val="center"/>
              <w:rPr>
                <w:rFonts w:ascii="Cambria Math" w:hAnsi="Cambria Math" w:cs="Segoe UI"/>
                <w:i/>
                <w:sz w:val="18"/>
              </w:rPr>
            </w:pPr>
          </w:p>
        </w:tc>
        <w:tc>
          <w:tcPr>
            <w:tcW w:w="426" w:type="dxa"/>
            <w:vMerge/>
          </w:tcPr>
          <w:p w14:paraId="5A6838EF" w14:textId="77777777" w:rsidR="00E0181F" w:rsidRPr="001D5327" w:rsidRDefault="00E0181F" w:rsidP="00D11AC9">
            <w:pPr>
              <w:jc w:val="center"/>
              <w:rPr>
                <w:rFonts w:ascii="Cambria Math" w:hAnsi="Cambria Math" w:cs="Segoe UI"/>
                <w:i/>
                <w:sz w:val="18"/>
              </w:rPr>
            </w:pPr>
          </w:p>
        </w:tc>
        <w:tc>
          <w:tcPr>
            <w:tcW w:w="708" w:type="dxa"/>
            <w:vMerge/>
          </w:tcPr>
          <w:p w14:paraId="6B5D1CAA" w14:textId="77777777" w:rsidR="00E0181F" w:rsidRPr="001D5327" w:rsidRDefault="00E0181F" w:rsidP="00D11AC9">
            <w:pPr>
              <w:jc w:val="center"/>
              <w:rPr>
                <w:rFonts w:ascii="Cambria Math" w:hAnsi="Cambria Math" w:cs="Segoe UI"/>
                <w:i/>
                <w:sz w:val="18"/>
              </w:rPr>
            </w:pPr>
          </w:p>
        </w:tc>
      </w:tr>
    </w:tbl>
    <w:p w14:paraId="188D26B6" w14:textId="77777777" w:rsidR="00E0181F" w:rsidRPr="001D5327" w:rsidRDefault="00E0181F" w:rsidP="00E0181F">
      <w:pPr>
        <w:pStyle w:val="BodyText"/>
        <w:keepNext/>
        <w:spacing w:before="240"/>
      </w:pPr>
      <w:r w:rsidRPr="001D5327">
        <w:t>For example, the annual change in carbon stock in the first year of conversion of 100 hectares of low</w:t>
      </w:r>
      <w:r w:rsidRPr="001D5327">
        <w:rPr>
          <w:i/>
        </w:rPr>
        <w:t xml:space="preserve"> </w:t>
      </w:r>
      <w:r w:rsidRPr="001D5327">
        <w:t>producing grassland to perennial cropland would be calculated as follows:</w:t>
      </w:r>
    </w:p>
    <w:p w14:paraId="7A12CBC9" w14:textId="77777777" w:rsidR="00E0181F" w:rsidRPr="001D5327" w:rsidRDefault="00E0181F" w:rsidP="00E0181F">
      <w:pPr>
        <w:pStyle w:val="BodyText"/>
        <w:keepNext/>
        <w:tabs>
          <w:tab w:val="right" w:pos="7938"/>
        </w:tabs>
        <w:spacing w:before="60" w:after="0"/>
        <w:ind w:left="851"/>
        <w:jc w:val="center"/>
        <w:rPr>
          <w:rFonts w:ascii="Cambria Math" w:hAnsi="Cambria Math"/>
          <w:i/>
          <w:iCs/>
          <w:sz w:val="20"/>
          <w:szCs w:val="20"/>
        </w:rPr>
      </w:pPr>
      <w:r w:rsidRPr="001D5327">
        <w:rPr>
          <w:rFonts w:ascii="Cambria Math" w:hAnsi="Cambria Math"/>
          <w:i/>
          <w:iCs/>
          <w:sz w:val="20"/>
          <w:szCs w:val="20"/>
        </w:rPr>
        <w:t xml:space="preserve">Biomass change = (–2.867 </w:t>
      </w:r>
      <w:r w:rsidRPr="001D5327">
        <w:rPr>
          <w:rFonts w:ascii="Cambria Math" w:hAnsi="Cambria Math"/>
          <w:i/>
          <w:iCs/>
          <w:sz w:val="16"/>
          <w:szCs w:val="20"/>
        </w:rPr>
        <w:t>×</w:t>
      </w:r>
      <w:r w:rsidRPr="001D5327">
        <w:rPr>
          <w:rFonts w:ascii="Cambria Math" w:hAnsi="Cambria Math"/>
          <w:i/>
          <w:iCs/>
          <w:sz w:val="20"/>
          <w:szCs w:val="20"/>
        </w:rPr>
        <w:t xml:space="preserve"> 100) + (0.67 </w:t>
      </w:r>
      <w:r w:rsidRPr="001D5327">
        <w:rPr>
          <w:rFonts w:ascii="Cambria Math" w:hAnsi="Cambria Math"/>
          <w:i/>
          <w:iCs/>
          <w:sz w:val="16"/>
          <w:szCs w:val="20"/>
        </w:rPr>
        <w:t>×</w:t>
      </w:r>
      <w:r w:rsidRPr="001D5327">
        <w:rPr>
          <w:rFonts w:ascii="Cambria Math" w:hAnsi="Cambria Math"/>
          <w:i/>
          <w:iCs/>
          <w:sz w:val="20"/>
          <w:szCs w:val="20"/>
        </w:rPr>
        <w:t xml:space="preserve"> 100) = –219.7 tonnes C</w:t>
      </w:r>
      <w:r w:rsidRPr="001D5327">
        <w:rPr>
          <w:i/>
          <w:iCs/>
          <w:sz w:val="20"/>
          <w:szCs w:val="20"/>
        </w:rPr>
        <w:tab/>
      </w:r>
      <w:r w:rsidRPr="001D5327">
        <w:rPr>
          <w:rFonts w:ascii="Cambria Math" w:hAnsi="Cambria Math"/>
          <w:i/>
          <w:iCs/>
          <w:sz w:val="20"/>
          <w:szCs w:val="20"/>
        </w:rPr>
        <w:t>(1)</w:t>
      </w:r>
    </w:p>
    <w:p w14:paraId="3E20DCA6" w14:textId="77777777" w:rsidR="00E0181F" w:rsidRPr="001D5327" w:rsidRDefault="00E0181F" w:rsidP="00E0181F">
      <w:pPr>
        <w:pStyle w:val="BodyText"/>
        <w:tabs>
          <w:tab w:val="right" w:pos="7938"/>
        </w:tabs>
        <w:spacing w:before="80" w:after="0"/>
        <w:ind w:left="851"/>
        <w:jc w:val="center"/>
        <w:rPr>
          <w:rFonts w:ascii="Cambria Math" w:hAnsi="Cambria Math"/>
          <w:i/>
          <w:iCs/>
          <w:sz w:val="20"/>
          <w:szCs w:val="20"/>
        </w:rPr>
      </w:pPr>
      <w:r w:rsidRPr="001D5327">
        <w:rPr>
          <w:rFonts w:ascii="Cambria Math" w:hAnsi="Cambria Math"/>
          <w:i/>
          <w:iCs/>
          <w:sz w:val="20"/>
          <w:szCs w:val="20"/>
        </w:rPr>
        <w:t xml:space="preserve">Mineral soil change = ((88.44 – 105.98) / 20) </w:t>
      </w:r>
      <w:r w:rsidRPr="001D5327">
        <w:rPr>
          <w:rFonts w:ascii="Cambria Math" w:hAnsi="Cambria Math"/>
          <w:i/>
          <w:iCs/>
          <w:sz w:val="16"/>
          <w:szCs w:val="20"/>
        </w:rPr>
        <w:t>×</w:t>
      </w:r>
      <w:r w:rsidRPr="001D5327">
        <w:rPr>
          <w:rFonts w:ascii="Cambria Math" w:hAnsi="Cambria Math"/>
          <w:i/>
          <w:iCs/>
          <w:sz w:val="20"/>
          <w:szCs w:val="20"/>
        </w:rPr>
        <w:t xml:space="preserve"> 100 = –87.7 tonnes C </w:t>
      </w:r>
      <w:r w:rsidRPr="001D5327">
        <w:rPr>
          <w:rFonts w:ascii="Cambria Math" w:hAnsi="Cambria Math"/>
          <w:i/>
          <w:iCs/>
          <w:sz w:val="20"/>
          <w:szCs w:val="20"/>
        </w:rPr>
        <w:tab/>
        <w:t>(2)</w:t>
      </w:r>
    </w:p>
    <w:p w14:paraId="0DBDA53F" w14:textId="77777777" w:rsidR="00E0181F" w:rsidRPr="001D5327" w:rsidRDefault="00E0181F" w:rsidP="00E0181F">
      <w:pPr>
        <w:pStyle w:val="BodyText"/>
        <w:tabs>
          <w:tab w:val="right" w:pos="7938"/>
        </w:tabs>
        <w:spacing w:before="80" w:after="0"/>
        <w:ind w:left="851"/>
        <w:jc w:val="center"/>
        <w:rPr>
          <w:rFonts w:ascii="Cambria Math" w:hAnsi="Cambria Math"/>
          <w:i/>
          <w:iCs/>
          <w:sz w:val="20"/>
          <w:szCs w:val="20"/>
        </w:rPr>
      </w:pPr>
      <w:r w:rsidRPr="001D5327">
        <w:rPr>
          <w:rFonts w:ascii="Cambria Math" w:hAnsi="Cambria Math"/>
          <w:i/>
          <w:iCs/>
          <w:sz w:val="20"/>
          <w:szCs w:val="20"/>
        </w:rPr>
        <w:t>Total carbon stock change = –307.4 tonnes C</w:t>
      </w:r>
    </w:p>
    <w:p w14:paraId="3F792CAA" w14:textId="77777777" w:rsidR="00E0181F" w:rsidRPr="001D5327" w:rsidRDefault="00E0181F" w:rsidP="00E0181F">
      <w:pPr>
        <w:pStyle w:val="BodyText"/>
        <w:tabs>
          <w:tab w:val="right" w:pos="7938"/>
        </w:tabs>
        <w:spacing w:before="80" w:after="0"/>
        <w:ind w:left="851"/>
        <w:jc w:val="center"/>
        <w:rPr>
          <w:rFonts w:ascii="Cambria Math" w:hAnsi="Cambria Math"/>
          <w:i/>
          <w:iCs/>
          <w:sz w:val="20"/>
          <w:szCs w:val="20"/>
        </w:rPr>
      </w:pPr>
      <w:r w:rsidRPr="001D5327">
        <w:rPr>
          <w:rFonts w:ascii="Cambria Math" w:hAnsi="Cambria Math"/>
          <w:i/>
          <w:iCs/>
          <w:sz w:val="20"/>
          <w:szCs w:val="20"/>
        </w:rPr>
        <w:t xml:space="preserve">Total emissions = (carbon stock change / 1,000 </w:t>
      </w:r>
      <w:r w:rsidRPr="001D5327">
        <w:rPr>
          <w:rFonts w:ascii="Cambria Math" w:hAnsi="Cambria Math"/>
          <w:i/>
          <w:iCs/>
          <w:sz w:val="16"/>
          <w:szCs w:val="20"/>
        </w:rPr>
        <w:t>×</w:t>
      </w:r>
      <w:r w:rsidRPr="001D5327">
        <w:rPr>
          <w:rFonts w:ascii="Cambria Math" w:hAnsi="Cambria Math"/>
          <w:i/>
          <w:iCs/>
          <w:sz w:val="20"/>
          <w:szCs w:val="20"/>
        </w:rPr>
        <w:t xml:space="preserve"> –1) </w:t>
      </w:r>
      <w:r w:rsidRPr="001D5327">
        <w:rPr>
          <w:rFonts w:ascii="Cambria Math" w:hAnsi="Cambria Math"/>
          <w:i/>
          <w:iCs/>
          <w:sz w:val="16"/>
          <w:szCs w:val="20"/>
        </w:rPr>
        <w:t>×</w:t>
      </w:r>
      <w:r w:rsidRPr="001D5327">
        <w:rPr>
          <w:rFonts w:ascii="Cambria Math" w:hAnsi="Cambria Math"/>
          <w:i/>
          <w:iCs/>
          <w:sz w:val="20"/>
          <w:szCs w:val="20"/>
        </w:rPr>
        <w:t xml:space="preserve"> (44/12)</w:t>
      </w:r>
    </w:p>
    <w:p w14:paraId="26B35A3D" w14:textId="77777777" w:rsidR="00E0181F" w:rsidRPr="001D5327" w:rsidRDefault="00E0181F" w:rsidP="00E0181F">
      <w:pPr>
        <w:pStyle w:val="BodyText"/>
        <w:tabs>
          <w:tab w:val="right" w:pos="7938"/>
        </w:tabs>
        <w:spacing w:before="80"/>
        <w:ind w:left="851"/>
        <w:jc w:val="center"/>
        <w:rPr>
          <w:rFonts w:ascii="Cambria Math" w:hAnsi="Cambria Math"/>
          <w:i/>
          <w:iCs/>
          <w:sz w:val="20"/>
          <w:szCs w:val="20"/>
        </w:rPr>
      </w:pPr>
      <w:r w:rsidRPr="001D5327">
        <w:rPr>
          <w:rFonts w:ascii="Cambria Math" w:hAnsi="Cambria Math"/>
          <w:i/>
          <w:iCs/>
          <w:sz w:val="20"/>
          <w:szCs w:val="20"/>
        </w:rPr>
        <w:t>Total emissions = 1.127 kt CO</w:t>
      </w:r>
      <w:r w:rsidRPr="001D5327">
        <w:rPr>
          <w:rFonts w:ascii="Cambria Math" w:hAnsi="Cambria Math"/>
          <w:i/>
          <w:iCs/>
          <w:sz w:val="20"/>
          <w:szCs w:val="20"/>
          <w:vertAlign w:val="subscript"/>
        </w:rPr>
        <w:t>2</w:t>
      </w:r>
    </w:p>
    <w:p w14:paraId="49999FE4" w14:textId="77777777" w:rsidR="00E0181F" w:rsidRPr="001D5327" w:rsidRDefault="00E0181F" w:rsidP="00E0181F">
      <w:pPr>
        <w:pStyle w:val="BodyText"/>
        <w:spacing w:before="100" w:after="100"/>
      </w:pPr>
      <w:r w:rsidRPr="001D5327">
        <w:t xml:space="preserve">These calculations have been performed to produce estimates of annual carbon stock and carbon stock changes since 1990. </w:t>
      </w:r>
    </w:p>
    <w:p w14:paraId="2597BD7B" w14:textId="77777777" w:rsidR="00E0181F" w:rsidRPr="001D5327" w:rsidRDefault="00E0181F" w:rsidP="00E0181F">
      <w:pPr>
        <w:pStyle w:val="BodyText"/>
        <w:spacing w:before="100" w:after="100"/>
      </w:pPr>
      <w:r w:rsidRPr="001D5327">
        <w:t>Note: New Zealand applies the 2006 IPCC Guidelines (IPCC, 2006a) default transition period of 20 years. The area of all land use categories is reported in the conversion status for 20 years, after which it is reported in the land remaining land categories.</w:t>
      </w:r>
    </w:p>
    <w:p w14:paraId="494CCE62" w14:textId="77777777" w:rsidR="00E0181F" w:rsidRPr="001D5327" w:rsidRDefault="00E0181F" w:rsidP="00E0181F">
      <w:pPr>
        <w:pStyle w:val="Heading4"/>
        <w:spacing w:before="200"/>
      </w:pPr>
      <w:bookmarkStart w:id="1638" w:name="_Toc280630208"/>
      <w:bookmarkStart w:id="1639" w:name="_Toc255466297"/>
      <w:bookmarkStart w:id="1640" w:name="_Toc261513104"/>
      <w:bookmarkStart w:id="1641" w:name="_Toc261513717"/>
      <w:r w:rsidRPr="001D5327">
        <w:t>New Zealand Land Use and Carbon Analysis System</w:t>
      </w:r>
      <w:bookmarkEnd w:id="1638"/>
    </w:p>
    <w:p w14:paraId="22965002" w14:textId="77777777" w:rsidR="00E0181F" w:rsidRPr="001D5327" w:rsidRDefault="00E0181F" w:rsidP="00E0181F">
      <w:pPr>
        <w:pStyle w:val="BodyText"/>
        <w:spacing w:before="100" w:after="100"/>
      </w:pPr>
      <w:r w:rsidRPr="001D5327">
        <w:t>New Zealand’s LULUCF estimates are calculated using a programme of data collection and modelling called the Land Use and Carbon Analysis System (LUCAS)</w:t>
      </w:r>
      <w:r w:rsidRPr="001D5327">
        <w:rPr>
          <w:color w:val="000000" w:themeColor="text1"/>
        </w:rPr>
        <w:t>.</w:t>
      </w:r>
      <w:r w:rsidRPr="001D5327">
        <w:t xml:space="preserve"> This data management system stores, manages and retrieves data for international greenhouse gas reporting for the LULUCF sector. Further details on LUCAS, as well as the databases and applications it draws on, are provided in annex 5, section A5.2.9. </w:t>
      </w:r>
      <w:bookmarkEnd w:id="1639"/>
      <w:bookmarkEnd w:id="1640"/>
      <w:bookmarkEnd w:id="1641"/>
    </w:p>
    <w:p w14:paraId="7B881E5C" w14:textId="77777777" w:rsidR="00E0181F" w:rsidRPr="001D5327" w:rsidRDefault="00E0181F" w:rsidP="00E0181F">
      <w:pPr>
        <w:pStyle w:val="Heading3"/>
        <w:spacing w:before="240"/>
      </w:pPr>
      <w:bookmarkStart w:id="1642" w:name="_Toc280630220"/>
      <w:r w:rsidRPr="001D5327">
        <w:t>6.1.3</w:t>
      </w:r>
      <w:r w:rsidRPr="001D5327">
        <w:tab/>
        <w:t>Uncertainties in LULUCF</w:t>
      </w:r>
      <w:bookmarkEnd w:id="1642"/>
    </w:p>
    <w:p w14:paraId="3001B41F" w14:textId="0CA88941" w:rsidR="00E0181F" w:rsidRPr="001D5327" w:rsidRDefault="00E0181F" w:rsidP="00E0181F">
      <w:pPr>
        <w:pStyle w:val="BodyText"/>
        <w:spacing w:before="100" w:after="100"/>
      </w:pPr>
      <w:r w:rsidRPr="001D5327">
        <w:t xml:space="preserve">Uncertainty for the LULUCF sector has been calculated as 60.7 per cent using the Approach 1 – propagation of error method as specified in volume 1, chapter 3 of the 2006 IPCC General Guidance and Reporting (IPCC, 2006b). These uncertainties incorporate natural variability, measurement error and model prediction error. Given this uncertainty, net emissions from the LULUCF sector could range from </w:t>
      </w:r>
      <w:r w:rsidR="0070503C">
        <w:t>-</w:t>
      </w:r>
      <w:r w:rsidRPr="001D5327">
        <w:t>7,947.3 kt CO</w:t>
      </w:r>
      <w:r w:rsidRPr="001D5327">
        <w:rPr>
          <w:vertAlign w:val="subscript"/>
        </w:rPr>
        <w:t>2</w:t>
      </w:r>
      <w:r w:rsidRPr="001D5327">
        <w:t xml:space="preserve">-e to </w:t>
      </w:r>
      <w:r w:rsidR="0070503C">
        <w:t>-</w:t>
      </w:r>
      <w:r w:rsidRPr="001D5327">
        <w:t>32,447.0 kt CO</w:t>
      </w:r>
      <w:r w:rsidRPr="001D5327">
        <w:rPr>
          <w:vertAlign w:val="subscript"/>
        </w:rPr>
        <w:t>2</w:t>
      </w:r>
      <w:r w:rsidRPr="001D5327">
        <w:t>-e. Table 6.1.5 shows the</w:t>
      </w:r>
      <w:r w:rsidR="00F1229A" w:rsidRPr="001D5327">
        <w:t> </w:t>
      </w:r>
      <w:r w:rsidRPr="001D5327">
        <w:t xml:space="preserve">three land use categories within the LULUCF sector that make the greatest contribution to uncertainty in the net carbon emissions for the sector. These are given in descending order. </w:t>
      </w:r>
    </w:p>
    <w:p w14:paraId="4C67D71D" w14:textId="77777777" w:rsidR="00E0181F" w:rsidRPr="001D5327" w:rsidRDefault="00E0181F" w:rsidP="00E0181F">
      <w:pPr>
        <w:pStyle w:val="Table"/>
      </w:pPr>
      <w:bookmarkStart w:id="1643" w:name="_Toc310423396"/>
      <w:bookmarkStart w:id="1644" w:name="_Toc318362689"/>
      <w:bookmarkStart w:id="1645" w:name="_Toc342470751"/>
      <w:bookmarkStart w:id="1646" w:name="_Toc352504991"/>
      <w:bookmarkStart w:id="1647" w:name="_Toc378853277"/>
      <w:bookmarkStart w:id="1648" w:name="_Toc391024075"/>
      <w:bookmarkStart w:id="1649" w:name="_Toc410028818"/>
      <w:bookmarkStart w:id="1650" w:name="_Toc414531446"/>
      <w:bookmarkStart w:id="1651" w:name="_Toc443645359"/>
      <w:bookmarkStart w:id="1652" w:name="_Toc474914578"/>
      <w:bookmarkStart w:id="1653" w:name="_Toc481751542"/>
      <w:bookmarkStart w:id="1654" w:name="_Toc522010599"/>
      <w:bookmarkStart w:id="1655" w:name="_Toc5269504"/>
      <w:bookmarkStart w:id="1656" w:name="_Toc33529380"/>
      <w:bookmarkStart w:id="1657" w:name="_Toc36224586"/>
      <w:bookmarkStart w:id="1658" w:name="_Toc65243581"/>
      <w:bookmarkStart w:id="1659" w:name="_Toc131591385"/>
      <w:bookmarkStart w:id="1660" w:name="_Toc158979943"/>
      <w:bookmarkStart w:id="1661" w:name="_Toc164153876"/>
      <w:bookmarkStart w:id="1662" w:name="_Toc190873110"/>
      <w:bookmarkStart w:id="1663" w:name="_Toc194241749"/>
      <w:r w:rsidRPr="001D5327">
        <w:t>Table 6.1.5</w:t>
      </w:r>
      <w:r w:rsidRPr="001D5327">
        <w:tab/>
        <w:t>Land use categories making the greatest contribution to uncertainty in the LULUCF sector</w:t>
      </w:r>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p>
    <w:tbl>
      <w:tblPr>
        <w:tblW w:w="8505" w:type="dxa"/>
        <w:tblBorders>
          <w:top w:val="single" w:sz="4" w:space="0" w:color="1B556B" w:themeColor="text2"/>
          <w:bottom w:val="single" w:sz="4" w:space="0" w:color="1B556B" w:themeColor="text2"/>
          <w:insideH w:val="single" w:sz="4" w:space="0" w:color="1B556B" w:themeColor="text2"/>
        </w:tblBorders>
        <w:tblLook w:val="04A0" w:firstRow="1" w:lastRow="0" w:firstColumn="1" w:lastColumn="0" w:noHBand="0" w:noVBand="1"/>
      </w:tblPr>
      <w:tblGrid>
        <w:gridCol w:w="4678"/>
        <w:gridCol w:w="3827"/>
      </w:tblGrid>
      <w:tr w:rsidR="00E0181F" w:rsidRPr="001D5327" w14:paraId="545CDAAA" w14:textId="77777777" w:rsidTr="00D11AC9">
        <w:tc>
          <w:tcPr>
            <w:tcW w:w="4678" w:type="dxa"/>
            <w:shd w:val="clear" w:color="auto" w:fill="1B556B" w:themeFill="text2"/>
            <w:noWrap/>
            <w:vAlign w:val="bottom"/>
            <w:hideMark/>
          </w:tcPr>
          <w:p w14:paraId="46B442CF" w14:textId="77777777" w:rsidR="00E0181F" w:rsidRPr="001D5327" w:rsidRDefault="00E0181F" w:rsidP="00D11AC9">
            <w:pPr>
              <w:pStyle w:val="TableTextBold"/>
              <w:keepNext/>
              <w:spacing w:before="40" w:after="40"/>
              <w:rPr>
                <w:rFonts w:eastAsia="Arial Bold"/>
                <w:noProof w:val="0"/>
                <w:color w:val="FFFFFF"/>
              </w:rPr>
            </w:pPr>
            <w:r w:rsidRPr="001D5327">
              <w:rPr>
                <w:rFonts w:eastAsia="Arial Bold"/>
                <w:noProof w:val="0"/>
                <w:color w:val="FFFFFF"/>
              </w:rPr>
              <w:t>Land use category</w:t>
            </w:r>
          </w:p>
        </w:tc>
        <w:tc>
          <w:tcPr>
            <w:tcW w:w="3827" w:type="dxa"/>
            <w:shd w:val="clear" w:color="auto" w:fill="1B556B" w:themeFill="text2"/>
            <w:noWrap/>
            <w:vAlign w:val="bottom"/>
            <w:hideMark/>
          </w:tcPr>
          <w:p w14:paraId="0C73DFC9" w14:textId="77777777" w:rsidR="00E0181F" w:rsidRPr="001D5327" w:rsidRDefault="00E0181F" w:rsidP="00D11AC9">
            <w:pPr>
              <w:pStyle w:val="TableTextBold"/>
              <w:keepNext/>
              <w:spacing w:before="40" w:after="40"/>
              <w:jc w:val="right"/>
              <w:rPr>
                <w:rFonts w:eastAsia="Arial Bold"/>
                <w:noProof w:val="0"/>
                <w:color w:val="FFFFFF"/>
              </w:rPr>
            </w:pPr>
            <w:r w:rsidRPr="001D5327">
              <w:rPr>
                <w:rFonts w:eastAsia="Arial Bold"/>
                <w:noProof w:val="0"/>
                <w:color w:val="FFFFFF"/>
              </w:rPr>
              <w:t>Uncertainty introduced into emissions for LULUCF (%)</w:t>
            </w:r>
          </w:p>
        </w:tc>
      </w:tr>
      <w:tr w:rsidR="00E0181F" w:rsidRPr="001D5327" w14:paraId="52073D12" w14:textId="77777777" w:rsidTr="00D11AC9">
        <w:tc>
          <w:tcPr>
            <w:tcW w:w="4678" w:type="dxa"/>
            <w:shd w:val="clear" w:color="auto" w:fill="auto"/>
            <w:noWrap/>
            <w:hideMark/>
          </w:tcPr>
          <w:p w14:paraId="093D91E4" w14:textId="77777777" w:rsidR="00E0181F" w:rsidRPr="001D5327" w:rsidRDefault="00E0181F" w:rsidP="00D11AC9">
            <w:pPr>
              <w:pStyle w:val="TableText"/>
              <w:keepNext/>
              <w:spacing w:before="40" w:after="40"/>
              <w:rPr>
                <w:rFonts w:eastAsia="Arial Bold"/>
              </w:rPr>
            </w:pPr>
            <w:r w:rsidRPr="001D5327">
              <w:rPr>
                <w:rFonts w:eastAsia="Arial Bold"/>
              </w:rPr>
              <w:t>Pre-1990 planted forest</w:t>
            </w:r>
          </w:p>
        </w:tc>
        <w:tc>
          <w:tcPr>
            <w:tcW w:w="3827" w:type="dxa"/>
            <w:shd w:val="clear" w:color="auto" w:fill="auto"/>
            <w:noWrap/>
            <w:hideMark/>
          </w:tcPr>
          <w:p w14:paraId="1A127B0C" w14:textId="77777777" w:rsidR="00E0181F" w:rsidRPr="001D5327" w:rsidRDefault="00E0181F" w:rsidP="00D11AC9">
            <w:pPr>
              <w:pStyle w:val="TableText"/>
              <w:spacing w:before="40" w:after="40"/>
              <w:jc w:val="right"/>
              <w:rPr>
                <w:rFonts w:eastAsia="Arial Bold"/>
              </w:rPr>
            </w:pPr>
            <w:r w:rsidRPr="001D5327">
              <w:t>± 48.8</w:t>
            </w:r>
          </w:p>
        </w:tc>
      </w:tr>
      <w:tr w:rsidR="00E0181F" w:rsidRPr="001D5327" w14:paraId="21EDDC62" w14:textId="77777777" w:rsidTr="00D11AC9">
        <w:tc>
          <w:tcPr>
            <w:tcW w:w="4678" w:type="dxa"/>
            <w:shd w:val="clear" w:color="auto" w:fill="auto"/>
            <w:noWrap/>
            <w:hideMark/>
          </w:tcPr>
          <w:p w14:paraId="7ABEC0D7" w14:textId="77777777" w:rsidR="00E0181F" w:rsidRPr="001D5327" w:rsidRDefault="00E0181F" w:rsidP="00D11AC9">
            <w:pPr>
              <w:pStyle w:val="TableText"/>
              <w:keepNext/>
              <w:spacing w:before="40" w:after="40"/>
              <w:rPr>
                <w:rFonts w:eastAsia="Arial Bold"/>
              </w:rPr>
            </w:pPr>
            <w:r w:rsidRPr="001D5327">
              <w:rPr>
                <w:rFonts w:eastAsia="Arial Bold"/>
              </w:rPr>
              <w:t>Post-1989 planted forest</w:t>
            </w:r>
          </w:p>
        </w:tc>
        <w:tc>
          <w:tcPr>
            <w:tcW w:w="3827" w:type="dxa"/>
            <w:shd w:val="clear" w:color="auto" w:fill="auto"/>
            <w:noWrap/>
            <w:hideMark/>
          </w:tcPr>
          <w:p w14:paraId="02F8E821" w14:textId="77777777" w:rsidR="00E0181F" w:rsidRPr="001D5327" w:rsidRDefault="00E0181F" w:rsidP="00D11AC9">
            <w:pPr>
              <w:pStyle w:val="TableText"/>
              <w:spacing w:before="40" w:after="40"/>
              <w:jc w:val="right"/>
              <w:rPr>
                <w:rFonts w:eastAsia="Arial Bold"/>
              </w:rPr>
            </w:pPr>
            <w:r w:rsidRPr="001D5327">
              <w:t>± 23.6</w:t>
            </w:r>
          </w:p>
        </w:tc>
      </w:tr>
      <w:tr w:rsidR="00E0181F" w:rsidRPr="001D5327" w14:paraId="41E7E0FE" w14:textId="77777777" w:rsidTr="00D11AC9">
        <w:tc>
          <w:tcPr>
            <w:tcW w:w="4678" w:type="dxa"/>
            <w:shd w:val="clear" w:color="auto" w:fill="auto"/>
            <w:noWrap/>
            <w:hideMark/>
          </w:tcPr>
          <w:p w14:paraId="3D2C5D64" w14:textId="77777777" w:rsidR="00E0181F" w:rsidRPr="001D5327" w:rsidRDefault="00E0181F" w:rsidP="00D11AC9">
            <w:pPr>
              <w:pStyle w:val="TableText"/>
              <w:spacing w:before="40" w:after="40"/>
              <w:rPr>
                <w:rFonts w:eastAsia="Arial Bold"/>
              </w:rPr>
            </w:pPr>
            <w:r w:rsidRPr="001D5327">
              <w:rPr>
                <w:rFonts w:eastAsia="Arial Bold"/>
              </w:rPr>
              <w:t>Harvested wood products</w:t>
            </w:r>
          </w:p>
        </w:tc>
        <w:tc>
          <w:tcPr>
            <w:tcW w:w="3827" w:type="dxa"/>
            <w:shd w:val="clear" w:color="auto" w:fill="auto"/>
            <w:noWrap/>
            <w:hideMark/>
          </w:tcPr>
          <w:p w14:paraId="6A07A23D" w14:textId="77777777" w:rsidR="00E0181F" w:rsidRPr="001D5327" w:rsidRDefault="00E0181F" w:rsidP="00D11AC9">
            <w:pPr>
              <w:pStyle w:val="TableText"/>
              <w:spacing w:before="40" w:after="40"/>
              <w:jc w:val="right"/>
              <w:rPr>
                <w:rFonts w:eastAsia="Arial Bold"/>
              </w:rPr>
            </w:pPr>
            <w:r w:rsidRPr="001D5327">
              <w:t>± 19.6</w:t>
            </w:r>
          </w:p>
        </w:tc>
      </w:tr>
    </w:tbl>
    <w:p w14:paraId="77AF3A26" w14:textId="77777777" w:rsidR="00E0181F" w:rsidRPr="001D5327" w:rsidRDefault="00E0181F" w:rsidP="00E0181F">
      <w:pPr>
        <w:pStyle w:val="BodyText"/>
        <w:spacing w:before="240" w:after="100"/>
      </w:pPr>
      <w:r w:rsidRPr="001D5327">
        <w:t>The greatest contribution of uncertainty to the LULUCF sector arises from pre-1990 planted forest in the</w:t>
      </w:r>
      <w:r w:rsidRPr="001D5327">
        <w:rPr>
          <w:i/>
        </w:rPr>
        <w:t xml:space="preserve"> Forest land </w:t>
      </w:r>
      <w:r w:rsidRPr="001D5327">
        <w:t>category</w:t>
      </w:r>
      <w:r w:rsidRPr="001D5327">
        <w:rPr>
          <w:i/>
        </w:rPr>
        <w:t>.</w:t>
      </w:r>
      <w:r w:rsidRPr="001D5327">
        <w:t xml:space="preserve"> The age structure of the pre-1990 planted forest estate results in large removals from growth and large emissions from harvesting. The uncertainty is calculated by combining the uncertainty of both the emissions from harvest and those from forest growth. This results in a high uncertainty relative to the net emissions estimate from both the carbon gains and losses. </w:t>
      </w:r>
    </w:p>
    <w:p w14:paraId="1856C7C2" w14:textId="0886F457" w:rsidR="00E0181F" w:rsidRPr="001D5327" w:rsidRDefault="00E0181F" w:rsidP="00E0181F">
      <w:pPr>
        <w:pStyle w:val="BodyText"/>
        <w:spacing w:before="100" w:after="100"/>
      </w:pPr>
      <w:r w:rsidRPr="001D5327">
        <w:lastRenderedPageBreak/>
        <w:t>The second-greatest contribution of uncertainty to the LULUCF sector comes from the post-1989 planted forest in the</w:t>
      </w:r>
      <w:r w:rsidRPr="001D5327">
        <w:rPr>
          <w:i/>
        </w:rPr>
        <w:t xml:space="preserve"> Forest land </w:t>
      </w:r>
      <w:r w:rsidRPr="001D5327">
        <w:t xml:space="preserve">category. The age structure of the post-1989 planted forest estate also results in large removals from growth and large emissions from harvesting. Because </w:t>
      </w:r>
      <w:r w:rsidRPr="001D5327">
        <w:rPr>
          <w:spacing w:val="-2"/>
        </w:rPr>
        <w:t>of the</w:t>
      </w:r>
      <w:r w:rsidRPr="001D5327" w:rsidDel="00F81B1B">
        <w:rPr>
          <w:spacing w:val="-2"/>
        </w:rPr>
        <w:t xml:space="preserve"> </w:t>
      </w:r>
      <w:r w:rsidRPr="001D5327">
        <w:rPr>
          <w:spacing w:val="-2"/>
        </w:rPr>
        <w:t>uncertainty in these two factors, combined with the large scale of emissions and</w:t>
      </w:r>
      <w:r w:rsidR="004166CE" w:rsidRPr="001D5327">
        <w:rPr>
          <w:spacing w:val="-2"/>
        </w:rPr>
        <w:t> </w:t>
      </w:r>
      <w:r w:rsidRPr="001D5327">
        <w:rPr>
          <w:spacing w:val="-2"/>
        </w:rPr>
        <w:t>removals i</w:t>
      </w:r>
      <w:r w:rsidRPr="001D5327">
        <w:t>n this category,</w:t>
      </w:r>
      <w:r w:rsidRPr="001D5327" w:rsidDel="00F81B1B">
        <w:t xml:space="preserve"> </w:t>
      </w:r>
      <w:r w:rsidRPr="001D5327">
        <w:t xml:space="preserve">post-1989 planted forest makes a high contribution of uncertainty to the LULUCF sector. </w:t>
      </w:r>
    </w:p>
    <w:p w14:paraId="543A0C02" w14:textId="5DCADFAD" w:rsidR="00E0181F" w:rsidRPr="001D5327" w:rsidRDefault="00E0181F" w:rsidP="00E0181F">
      <w:pPr>
        <w:pStyle w:val="BodyText"/>
      </w:pPr>
      <w:r w:rsidRPr="001D5327">
        <w:rPr>
          <w:iCs/>
        </w:rPr>
        <w:t xml:space="preserve">The </w:t>
      </w:r>
      <w:r w:rsidRPr="001D5327">
        <w:rPr>
          <w:i/>
        </w:rPr>
        <w:t>Harvested wood products</w:t>
      </w:r>
      <w:r w:rsidRPr="001D5327">
        <w:t xml:space="preserve"> category provides the third-greatest contribution to uncertainty</w:t>
      </w:r>
      <w:r w:rsidR="004166CE" w:rsidRPr="001D5327">
        <w:t> </w:t>
      </w:r>
      <w:r w:rsidRPr="001D5327">
        <w:t>in the LULUCF sector. This is driven by large removals in the category and relatively</w:t>
      </w:r>
      <w:r w:rsidR="004166CE" w:rsidRPr="001D5327">
        <w:t> </w:t>
      </w:r>
      <w:r w:rsidRPr="001D5327">
        <w:t>high uncertainty associated with the end-use and discard rates of New Zealand wood</w:t>
      </w:r>
      <w:r w:rsidR="004166CE" w:rsidRPr="001D5327">
        <w:t> </w:t>
      </w:r>
      <w:r w:rsidRPr="001D5327">
        <w:t>(±68.2 per cent).</w:t>
      </w:r>
    </w:p>
    <w:p w14:paraId="51EB7AD9" w14:textId="576BD3D3" w:rsidR="00E0181F" w:rsidRPr="001D5327" w:rsidRDefault="00E0181F" w:rsidP="00E0181F">
      <w:pPr>
        <w:pStyle w:val="BodyText"/>
      </w:pPr>
      <w:r w:rsidRPr="001D5327">
        <w:t>Further information on uncertainties and the reasons for their relative contributions to the</w:t>
      </w:r>
      <w:r w:rsidR="00F1229A" w:rsidRPr="001D5327">
        <w:t> </w:t>
      </w:r>
      <w:r w:rsidRPr="001D5327">
        <w:t>LULUCF sector, as well as details on emission factor and activity data uncertainties for specific land uses and non-CO</w:t>
      </w:r>
      <w:r w:rsidRPr="001D5327">
        <w:rPr>
          <w:vertAlign w:val="subscript"/>
        </w:rPr>
        <w:t>2</w:t>
      </w:r>
      <w:r w:rsidRPr="001D5327">
        <w:t xml:space="preserve"> emissions, are given within the relevant category sections of this chapter. </w:t>
      </w:r>
    </w:p>
    <w:p w14:paraId="51D4B3AB" w14:textId="77777777" w:rsidR="00E0181F" w:rsidRPr="001D5327" w:rsidRDefault="00E0181F" w:rsidP="00E0181F">
      <w:pPr>
        <w:pStyle w:val="Heading3"/>
        <w:spacing w:before="280"/>
      </w:pPr>
      <w:bookmarkStart w:id="1664" w:name="_Toc280630221"/>
      <w:r w:rsidRPr="001D5327">
        <w:t>6.1.4</w:t>
      </w:r>
      <w:r w:rsidRPr="001D5327">
        <w:tab/>
        <w:t>Recalculations in LULUCF</w:t>
      </w:r>
      <w:bookmarkEnd w:id="1664"/>
    </w:p>
    <w:p w14:paraId="67FD82FB" w14:textId="77777777" w:rsidR="00E0181F" w:rsidRPr="001D5327" w:rsidRDefault="00E0181F" w:rsidP="00E0181F">
      <w:pPr>
        <w:pStyle w:val="BodyText"/>
      </w:pPr>
      <w:r w:rsidRPr="001D5327">
        <w:t xml:space="preserve">For the 2025 submission, New Zealand has recalculated its emissions estimates for the LULUCF sector from 1990 to 2022. The recalculations incorporate new activity data from land use mapping. These recalculations have improved the accuracy, consistency and completeness of the LULUCF estimates. </w:t>
      </w:r>
    </w:p>
    <w:p w14:paraId="0396CB8D" w14:textId="77777777" w:rsidR="00E0181F" w:rsidRPr="001D5327" w:rsidRDefault="00E0181F" w:rsidP="00E0181F">
      <w:pPr>
        <w:pStyle w:val="BodyText"/>
      </w:pPr>
      <w:r w:rsidRPr="001D5327">
        <w:t xml:space="preserve">As a result of the recalculations, estimates of net emissions </w:t>
      </w:r>
      <w:r w:rsidRPr="001D5327">
        <w:rPr>
          <w:spacing w:val="-2"/>
        </w:rPr>
        <w:t>in 2023 have decreased by 0.7 per cent (see table 6.1.6). The impact of these recalculations on net CO</w:t>
      </w:r>
      <w:r w:rsidRPr="001D5327">
        <w:rPr>
          <w:spacing w:val="-2"/>
          <w:vertAlign w:val="subscript"/>
        </w:rPr>
        <w:t>2</w:t>
      </w:r>
      <w:r w:rsidRPr="001D5327">
        <w:t>-</w:t>
      </w:r>
      <w:r w:rsidRPr="001D5327">
        <w:rPr>
          <w:spacing w:val="-2"/>
        </w:rPr>
        <w:t>e emissions in each land use category is provided in table 6.1.7</w:t>
      </w:r>
      <w:r w:rsidRPr="001D5327">
        <w:t xml:space="preserve">. </w:t>
      </w:r>
    </w:p>
    <w:p w14:paraId="4B0B9712" w14:textId="77777777" w:rsidR="00E0181F" w:rsidRPr="001D5327" w:rsidRDefault="00E0181F" w:rsidP="00E0181F">
      <w:pPr>
        <w:pStyle w:val="Table"/>
      </w:pPr>
      <w:bookmarkStart w:id="1665" w:name="_Toc310423397"/>
      <w:bookmarkStart w:id="1666" w:name="_Toc318362690"/>
      <w:bookmarkStart w:id="1667" w:name="_Toc342470752"/>
      <w:bookmarkStart w:id="1668" w:name="_Toc352504992"/>
      <w:bookmarkStart w:id="1669" w:name="_Toc378853278"/>
      <w:bookmarkStart w:id="1670" w:name="_Toc391024076"/>
      <w:bookmarkStart w:id="1671" w:name="_Toc410028819"/>
      <w:bookmarkStart w:id="1672" w:name="_Toc414531447"/>
      <w:bookmarkStart w:id="1673" w:name="_Toc443645360"/>
      <w:bookmarkStart w:id="1674" w:name="_Toc474914579"/>
      <w:bookmarkStart w:id="1675" w:name="_Toc481751543"/>
      <w:bookmarkStart w:id="1676" w:name="_Toc522010600"/>
      <w:bookmarkStart w:id="1677" w:name="_Toc5269505"/>
      <w:bookmarkStart w:id="1678" w:name="_Toc33529381"/>
      <w:bookmarkStart w:id="1679" w:name="_Toc36224587"/>
      <w:bookmarkStart w:id="1680" w:name="_Toc65243582"/>
      <w:bookmarkStart w:id="1681" w:name="_Toc131591386"/>
      <w:bookmarkStart w:id="1682" w:name="_Toc158979944"/>
      <w:bookmarkStart w:id="1683" w:name="_Toc164153877"/>
      <w:bookmarkStart w:id="1684" w:name="_Toc190873111"/>
      <w:bookmarkStart w:id="1685" w:name="_Toc194241750"/>
      <w:r w:rsidRPr="001D5327">
        <w:t>Table 6.1.6</w:t>
      </w:r>
      <w:r w:rsidRPr="001D5327">
        <w:tab/>
        <w:t>Recalculations to New Zealand’s total net LULUCF emissions</w:t>
      </w:r>
      <w:bookmarkEnd w:id="1665"/>
      <w:bookmarkEnd w:id="1666"/>
      <w:bookmarkEnd w:id="1667"/>
      <w:bookmarkEnd w:id="1668"/>
      <w:bookmarkEnd w:id="1669"/>
      <w:r w:rsidRPr="001D5327">
        <w:t xml:space="preserve"> for 1990 and</w:t>
      </w:r>
      <w:bookmarkEnd w:id="1670"/>
      <w:r w:rsidRPr="001D5327">
        <w:t> </w:t>
      </w:r>
      <w:bookmarkEnd w:id="1671"/>
      <w:bookmarkEnd w:id="1672"/>
      <w:bookmarkEnd w:id="1673"/>
      <w:bookmarkEnd w:id="1674"/>
      <w:bookmarkEnd w:id="1675"/>
      <w:bookmarkEnd w:id="1676"/>
      <w:bookmarkEnd w:id="1677"/>
      <w:bookmarkEnd w:id="1678"/>
      <w:bookmarkEnd w:id="1679"/>
      <w:bookmarkEnd w:id="1680"/>
      <w:bookmarkEnd w:id="1681"/>
      <w:bookmarkEnd w:id="1682"/>
      <w:bookmarkEnd w:id="1683"/>
      <w:r w:rsidRPr="001D5327">
        <w:t>2022</w:t>
      </w:r>
      <w:bookmarkEnd w:id="1684"/>
      <w:bookmarkEnd w:id="1685"/>
    </w:p>
    <w:tbl>
      <w:tblPr>
        <w:tblW w:w="8448" w:type="dxa"/>
        <w:tblInd w:w="-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3691"/>
        <w:gridCol w:w="1417"/>
        <w:gridCol w:w="1276"/>
        <w:gridCol w:w="1134"/>
        <w:gridCol w:w="930"/>
      </w:tblGrid>
      <w:tr w:rsidR="00F1229A" w:rsidRPr="001D5327" w14:paraId="4F5AC470" w14:textId="77777777" w:rsidTr="00F1229A">
        <w:trPr>
          <w:tblHeader/>
        </w:trPr>
        <w:tc>
          <w:tcPr>
            <w:tcW w:w="3691" w:type="dxa"/>
            <w:shd w:val="clear" w:color="auto" w:fill="1B556B"/>
            <w:tcMar>
              <w:top w:w="0" w:type="dxa"/>
              <w:left w:w="85" w:type="dxa"/>
              <w:bottom w:w="0" w:type="dxa"/>
              <w:right w:w="85" w:type="dxa"/>
            </w:tcMar>
          </w:tcPr>
          <w:p w14:paraId="16AF65E2" w14:textId="77777777" w:rsidR="00E0181F" w:rsidRPr="001D5327" w:rsidRDefault="00E0181F" w:rsidP="00D11AC9">
            <w:pPr>
              <w:pStyle w:val="TableText"/>
              <w:spacing w:before="40" w:after="40"/>
            </w:pPr>
          </w:p>
        </w:tc>
        <w:tc>
          <w:tcPr>
            <w:tcW w:w="2693" w:type="dxa"/>
            <w:gridSpan w:val="2"/>
            <w:shd w:val="clear" w:color="auto" w:fill="1B556B"/>
            <w:tcMar>
              <w:top w:w="0" w:type="dxa"/>
              <w:left w:w="85" w:type="dxa"/>
              <w:bottom w:w="0" w:type="dxa"/>
              <w:right w:w="85" w:type="dxa"/>
            </w:tcMar>
          </w:tcPr>
          <w:p w14:paraId="61E4487F" w14:textId="77777777" w:rsidR="00E0181F" w:rsidRPr="001D5327" w:rsidRDefault="00E0181F" w:rsidP="00D11AC9">
            <w:pPr>
              <w:pStyle w:val="TableText"/>
              <w:spacing w:before="40" w:after="40"/>
              <w:jc w:val="center"/>
            </w:pPr>
            <w:r w:rsidRPr="001D5327">
              <w:rPr>
                <w:rFonts w:eastAsia="Calibri" w:cs="Calibri"/>
                <w:b/>
                <w:color w:val="FFFFFF"/>
                <w:szCs w:val="16"/>
              </w:rPr>
              <w:t>Reported net emissions (kt CO₂-e)</w:t>
            </w:r>
          </w:p>
        </w:tc>
        <w:tc>
          <w:tcPr>
            <w:tcW w:w="2064" w:type="dxa"/>
            <w:gridSpan w:val="2"/>
            <w:shd w:val="clear" w:color="auto" w:fill="1B556B"/>
            <w:tcMar>
              <w:top w:w="0" w:type="dxa"/>
              <w:left w:w="85" w:type="dxa"/>
              <w:bottom w:w="0" w:type="dxa"/>
              <w:right w:w="85" w:type="dxa"/>
            </w:tcMar>
          </w:tcPr>
          <w:p w14:paraId="0DBE0F39" w14:textId="77777777" w:rsidR="00E0181F" w:rsidRPr="001D5327" w:rsidRDefault="00E0181F" w:rsidP="00D11AC9">
            <w:pPr>
              <w:pStyle w:val="TableText"/>
              <w:spacing w:before="40" w:after="40"/>
              <w:jc w:val="center"/>
            </w:pPr>
            <w:r w:rsidRPr="001D5327">
              <w:rPr>
                <w:rFonts w:eastAsia="Calibri" w:cs="Calibri"/>
                <w:b/>
                <w:color w:val="FFFFFF"/>
                <w:szCs w:val="16"/>
              </w:rPr>
              <w:t>Change in estimate</w:t>
            </w:r>
          </w:p>
        </w:tc>
      </w:tr>
      <w:tr w:rsidR="00E0181F" w:rsidRPr="001D5327" w14:paraId="2CE46D88" w14:textId="77777777" w:rsidTr="00F1229A">
        <w:trPr>
          <w:tblHeader/>
        </w:trPr>
        <w:tc>
          <w:tcPr>
            <w:tcW w:w="3691" w:type="dxa"/>
            <w:shd w:val="clear" w:color="auto" w:fill="1B556B"/>
            <w:tcMar>
              <w:top w:w="0" w:type="dxa"/>
              <w:left w:w="85" w:type="dxa"/>
              <w:bottom w:w="0" w:type="dxa"/>
              <w:right w:w="85" w:type="dxa"/>
            </w:tcMar>
          </w:tcPr>
          <w:p w14:paraId="682EE882" w14:textId="77777777" w:rsidR="00E0181F" w:rsidRPr="001D5327" w:rsidRDefault="00E0181F" w:rsidP="00D11AC9">
            <w:pPr>
              <w:pStyle w:val="TableText"/>
              <w:spacing w:before="40" w:after="40"/>
            </w:pPr>
            <w:r w:rsidRPr="001D5327">
              <w:rPr>
                <w:rFonts w:eastAsia="Calibri" w:cs="Calibri"/>
                <w:b/>
                <w:color w:val="FFFFFF"/>
                <w:szCs w:val="16"/>
              </w:rPr>
              <w:t>Year</w:t>
            </w:r>
          </w:p>
        </w:tc>
        <w:tc>
          <w:tcPr>
            <w:tcW w:w="1417" w:type="dxa"/>
            <w:shd w:val="clear" w:color="auto" w:fill="1B556B"/>
            <w:tcMar>
              <w:top w:w="0" w:type="dxa"/>
              <w:left w:w="85" w:type="dxa"/>
              <w:bottom w:w="0" w:type="dxa"/>
              <w:right w:w="85" w:type="dxa"/>
            </w:tcMar>
          </w:tcPr>
          <w:p w14:paraId="6A9AABAD" w14:textId="77777777" w:rsidR="00E0181F" w:rsidRPr="001D5327" w:rsidRDefault="00E0181F" w:rsidP="00D11AC9">
            <w:pPr>
              <w:pStyle w:val="TableText"/>
              <w:spacing w:before="0" w:after="40"/>
              <w:jc w:val="right"/>
            </w:pPr>
            <w:r w:rsidRPr="001D5327">
              <w:rPr>
                <w:rFonts w:eastAsia="Calibri" w:cs="Calibri"/>
                <w:b/>
                <w:color w:val="FFFFFF"/>
                <w:szCs w:val="16"/>
              </w:rPr>
              <w:t>2024 submission</w:t>
            </w:r>
          </w:p>
        </w:tc>
        <w:tc>
          <w:tcPr>
            <w:tcW w:w="1276" w:type="dxa"/>
            <w:shd w:val="clear" w:color="auto" w:fill="1B556B"/>
            <w:tcMar>
              <w:top w:w="0" w:type="dxa"/>
              <w:left w:w="85" w:type="dxa"/>
              <w:bottom w:w="0" w:type="dxa"/>
              <w:right w:w="85" w:type="dxa"/>
            </w:tcMar>
          </w:tcPr>
          <w:p w14:paraId="4AB8EDA1" w14:textId="77777777" w:rsidR="00E0181F" w:rsidRPr="001D5327" w:rsidRDefault="00E0181F" w:rsidP="00D11AC9">
            <w:pPr>
              <w:pStyle w:val="TableText"/>
              <w:spacing w:before="0" w:after="40"/>
              <w:jc w:val="right"/>
            </w:pPr>
            <w:r w:rsidRPr="001D5327">
              <w:rPr>
                <w:rFonts w:eastAsia="Calibri" w:cs="Calibri"/>
                <w:b/>
                <w:color w:val="FFFFFF"/>
                <w:szCs w:val="16"/>
              </w:rPr>
              <w:t>2025 submission</w:t>
            </w:r>
          </w:p>
        </w:tc>
        <w:tc>
          <w:tcPr>
            <w:tcW w:w="1134" w:type="dxa"/>
            <w:shd w:val="clear" w:color="auto" w:fill="1B556B"/>
            <w:tcMar>
              <w:top w:w="0" w:type="dxa"/>
              <w:left w:w="85" w:type="dxa"/>
              <w:bottom w:w="0" w:type="dxa"/>
              <w:right w:w="85" w:type="dxa"/>
            </w:tcMar>
          </w:tcPr>
          <w:p w14:paraId="338114E7" w14:textId="77777777" w:rsidR="00E0181F" w:rsidRPr="001D5327" w:rsidRDefault="00E0181F" w:rsidP="00D11AC9">
            <w:pPr>
              <w:pStyle w:val="TableText"/>
              <w:spacing w:before="0" w:after="40"/>
              <w:jc w:val="right"/>
            </w:pPr>
            <w:r w:rsidRPr="001D5327">
              <w:rPr>
                <w:rFonts w:eastAsia="Calibri" w:cs="Calibri"/>
                <w:b/>
                <w:color w:val="FFFFFF"/>
                <w:szCs w:val="16"/>
              </w:rPr>
              <w:t>(kt CO</w:t>
            </w:r>
            <w:r w:rsidRPr="001D5327">
              <w:rPr>
                <w:rFonts w:eastAsia="Calibri" w:cs="Calibri"/>
                <w:b/>
                <w:color w:val="FFFFFF"/>
                <w:szCs w:val="16"/>
                <w:vertAlign w:val="subscript"/>
              </w:rPr>
              <w:t>2</w:t>
            </w:r>
            <w:r w:rsidRPr="001D5327">
              <w:rPr>
                <w:rFonts w:eastAsia="Calibri" w:cs="Calibri"/>
                <w:b/>
                <w:color w:val="FFFFFF"/>
                <w:szCs w:val="16"/>
              </w:rPr>
              <w:t>-e)</w:t>
            </w:r>
          </w:p>
        </w:tc>
        <w:tc>
          <w:tcPr>
            <w:tcW w:w="930" w:type="dxa"/>
            <w:shd w:val="clear" w:color="auto" w:fill="1B556B"/>
            <w:tcMar>
              <w:top w:w="0" w:type="dxa"/>
              <w:left w:w="85" w:type="dxa"/>
              <w:bottom w:w="0" w:type="dxa"/>
              <w:right w:w="85" w:type="dxa"/>
            </w:tcMar>
          </w:tcPr>
          <w:p w14:paraId="7A0BAC78" w14:textId="77777777" w:rsidR="00E0181F" w:rsidRPr="001D5327" w:rsidRDefault="00E0181F" w:rsidP="00D11AC9">
            <w:pPr>
              <w:pStyle w:val="TableText"/>
              <w:spacing w:before="0" w:after="40"/>
              <w:jc w:val="right"/>
            </w:pPr>
            <w:r w:rsidRPr="001D5327">
              <w:rPr>
                <w:rFonts w:eastAsia="Calibri" w:cs="Calibri"/>
                <w:b/>
                <w:color w:val="FFFFFF"/>
                <w:szCs w:val="16"/>
              </w:rPr>
              <w:t>(%)</w:t>
            </w:r>
          </w:p>
        </w:tc>
      </w:tr>
      <w:tr w:rsidR="00E0181F" w:rsidRPr="001D5327" w14:paraId="2F262BD2" w14:textId="77777777" w:rsidTr="00F1229A">
        <w:tc>
          <w:tcPr>
            <w:tcW w:w="3691" w:type="dxa"/>
            <w:shd w:val="clear" w:color="auto" w:fill="FFFFFF"/>
            <w:tcMar>
              <w:top w:w="0" w:type="dxa"/>
              <w:left w:w="85" w:type="dxa"/>
              <w:bottom w:w="0" w:type="dxa"/>
              <w:right w:w="85" w:type="dxa"/>
            </w:tcMar>
          </w:tcPr>
          <w:p w14:paraId="524AD0A6" w14:textId="77777777" w:rsidR="00E0181F" w:rsidRPr="001D5327" w:rsidRDefault="00E0181F" w:rsidP="00D11AC9">
            <w:pPr>
              <w:pStyle w:val="TableText"/>
              <w:spacing w:before="40" w:after="40"/>
            </w:pPr>
            <w:r w:rsidRPr="001D5327">
              <w:rPr>
                <w:rFonts w:eastAsia="Calibri" w:cs="Calibri"/>
                <w:color w:val="000000"/>
                <w:szCs w:val="16"/>
              </w:rPr>
              <w:t>1990</w:t>
            </w:r>
          </w:p>
        </w:tc>
        <w:tc>
          <w:tcPr>
            <w:tcW w:w="1417" w:type="dxa"/>
            <w:shd w:val="clear" w:color="auto" w:fill="FFFFFF"/>
            <w:tcMar>
              <w:top w:w="0" w:type="dxa"/>
              <w:left w:w="85" w:type="dxa"/>
              <w:bottom w:w="0" w:type="dxa"/>
              <w:right w:w="85" w:type="dxa"/>
            </w:tcMar>
          </w:tcPr>
          <w:p w14:paraId="1B334CC5" w14:textId="5970794E"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24,324.6</w:t>
            </w:r>
          </w:p>
        </w:tc>
        <w:tc>
          <w:tcPr>
            <w:tcW w:w="1276" w:type="dxa"/>
            <w:shd w:val="clear" w:color="auto" w:fill="FFFFFF"/>
            <w:tcMar>
              <w:top w:w="0" w:type="dxa"/>
              <w:left w:w="85" w:type="dxa"/>
              <w:bottom w:w="0" w:type="dxa"/>
              <w:right w:w="85" w:type="dxa"/>
            </w:tcMar>
          </w:tcPr>
          <w:p w14:paraId="1A14DA97" w14:textId="22FADD8E"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24,334.1</w:t>
            </w:r>
          </w:p>
        </w:tc>
        <w:tc>
          <w:tcPr>
            <w:tcW w:w="1134" w:type="dxa"/>
            <w:shd w:val="clear" w:color="auto" w:fill="FFFFFF"/>
            <w:tcMar>
              <w:top w:w="0" w:type="dxa"/>
              <w:left w:w="85" w:type="dxa"/>
              <w:bottom w:w="0" w:type="dxa"/>
              <w:right w:w="85" w:type="dxa"/>
            </w:tcMar>
          </w:tcPr>
          <w:p w14:paraId="2D128F19" w14:textId="11AFE124"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9.4</w:t>
            </w:r>
          </w:p>
        </w:tc>
        <w:tc>
          <w:tcPr>
            <w:tcW w:w="930" w:type="dxa"/>
            <w:shd w:val="clear" w:color="auto" w:fill="FFFFFF"/>
            <w:tcMar>
              <w:top w:w="0" w:type="dxa"/>
              <w:left w:w="85" w:type="dxa"/>
              <w:bottom w:w="0" w:type="dxa"/>
              <w:right w:w="85" w:type="dxa"/>
            </w:tcMar>
          </w:tcPr>
          <w:p w14:paraId="3C088D6C" w14:textId="77777777" w:rsidR="00E0181F" w:rsidRPr="001D5327" w:rsidRDefault="00E0181F" w:rsidP="00D11AC9">
            <w:pPr>
              <w:pStyle w:val="TableText"/>
              <w:spacing w:before="40" w:after="40"/>
              <w:jc w:val="right"/>
            </w:pPr>
            <w:r w:rsidRPr="001D5327">
              <w:rPr>
                <w:rFonts w:eastAsia="Calibri" w:cs="Calibri"/>
                <w:color w:val="000000"/>
                <w:szCs w:val="16"/>
              </w:rPr>
              <w:t>0.0</w:t>
            </w:r>
          </w:p>
        </w:tc>
      </w:tr>
      <w:tr w:rsidR="00E0181F" w:rsidRPr="001D5327" w14:paraId="090AFE3B" w14:textId="77777777" w:rsidTr="00F1229A">
        <w:tc>
          <w:tcPr>
            <w:tcW w:w="3691" w:type="dxa"/>
            <w:shd w:val="clear" w:color="auto" w:fill="FFFFFF"/>
            <w:tcMar>
              <w:top w:w="0" w:type="dxa"/>
              <w:left w:w="85" w:type="dxa"/>
              <w:bottom w:w="0" w:type="dxa"/>
              <w:right w:w="85" w:type="dxa"/>
            </w:tcMar>
          </w:tcPr>
          <w:p w14:paraId="666BEAFB" w14:textId="77777777" w:rsidR="00E0181F" w:rsidRPr="001D5327" w:rsidRDefault="00E0181F" w:rsidP="00D11AC9">
            <w:pPr>
              <w:pStyle w:val="TableText"/>
              <w:spacing w:before="40" w:after="40"/>
            </w:pPr>
            <w:r w:rsidRPr="001D5327">
              <w:rPr>
                <w:rFonts w:eastAsia="Calibri" w:cs="Calibri"/>
                <w:color w:val="000000"/>
                <w:szCs w:val="16"/>
              </w:rPr>
              <w:t>2022</w:t>
            </w:r>
          </w:p>
        </w:tc>
        <w:tc>
          <w:tcPr>
            <w:tcW w:w="1417" w:type="dxa"/>
            <w:shd w:val="clear" w:color="auto" w:fill="FFFFFF"/>
            <w:tcMar>
              <w:top w:w="0" w:type="dxa"/>
              <w:left w:w="85" w:type="dxa"/>
              <w:bottom w:w="0" w:type="dxa"/>
              <w:right w:w="85" w:type="dxa"/>
            </w:tcMar>
          </w:tcPr>
          <w:p w14:paraId="55229B44" w14:textId="3DBE2022"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19,238.8</w:t>
            </w:r>
          </w:p>
        </w:tc>
        <w:tc>
          <w:tcPr>
            <w:tcW w:w="1276" w:type="dxa"/>
            <w:shd w:val="clear" w:color="auto" w:fill="FFFFFF"/>
            <w:tcMar>
              <w:top w:w="0" w:type="dxa"/>
              <w:left w:w="85" w:type="dxa"/>
              <w:bottom w:w="0" w:type="dxa"/>
              <w:right w:w="85" w:type="dxa"/>
            </w:tcMar>
          </w:tcPr>
          <w:p w14:paraId="2BAB51C0" w14:textId="5415A055"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19,372.7</w:t>
            </w:r>
          </w:p>
        </w:tc>
        <w:tc>
          <w:tcPr>
            <w:tcW w:w="1134" w:type="dxa"/>
            <w:shd w:val="clear" w:color="auto" w:fill="FFFFFF"/>
            <w:tcMar>
              <w:top w:w="0" w:type="dxa"/>
              <w:left w:w="85" w:type="dxa"/>
              <w:bottom w:w="0" w:type="dxa"/>
              <w:right w:w="85" w:type="dxa"/>
            </w:tcMar>
          </w:tcPr>
          <w:p w14:paraId="666C089E" w14:textId="1C56BC92"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133.9</w:t>
            </w:r>
          </w:p>
        </w:tc>
        <w:tc>
          <w:tcPr>
            <w:tcW w:w="930" w:type="dxa"/>
            <w:shd w:val="clear" w:color="auto" w:fill="FFFFFF"/>
            <w:tcMar>
              <w:top w:w="0" w:type="dxa"/>
              <w:left w:w="85" w:type="dxa"/>
              <w:bottom w:w="0" w:type="dxa"/>
              <w:right w:w="85" w:type="dxa"/>
            </w:tcMar>
          </w:tcPr>
          <w:p w14:paraId="59937561" w14:textId="25D2F686"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0.7</w:t>
            </w:r>
          </w:p>
        </w:tc>
      </w:tr>
    </w:tbl>
    <w:p w14:paraId="05C7D7CE" w14:textId="77777777" w:rsidR="00E0181F" w:rsidRPr="001D5327" w:rsidRDefault="00E0181F" w:rsidP="00E0181F">
      <w:pPr>
        <w:pStyle w:val="Table"/>
        <w:spacing w:before="360"/>
      </w:pPr>
      <w:bookmarkStart w:id="1686" w:name="_Toc310423398"/>
      <w:bookmarkStart w:id="1687" w:name="_Toc318362691"/>
      <w:bookmarkStart w:id="1688" w:name="_Toc342470753"/>
      <w:bookmarkStart w:id="1689" w:name="_Toc352504993"/>
      <w:bookmarkStart w:id="1690" w:name="_Toc378853279"/>
      <w:bookmarkStart w:id="1691" w:name="_Toc391024077"/>
      <w:bookmarkStart w:id="1692" w:name="_Toc410028820"/>
      <w:bookmarkStart w:id="1693" w:name="_Toc414531448"/>
      <w:bookmarkStart w:id="1694" w:name="_Toc443645361"/>
      <w:bookmarkStart w:id="1695" w:name="_Toc474914580"/>
      <w:bookmarkStart w:id="1696" w:name="_Toc481751544"/>
      <w:bookmarkStart w:id="1697" w:name="_Toc522010601"/>
      <w:bookmarkStart w:id="1698" w:name="_Toc5269506"/>
      <w:bookmarkStart w:id="1699" w:name="_Toc33529382"/>
      <w:bookmarkStart w:id="1700" w:name="_Toc36224588"/>
      <w:bookmarkStart w:id="1701" w:name="_Toc65243583"/>
      <w:bookmarkStart w:id="1702" w:name="_Toc131591387"/>
      <w:bookmarkStart w:id="1703" w:name="_Toc158979945"/>
      <w:bookmarkStart w:id="1704" w:name="_Toc164153878"/>
      <w:bookmarkStart w:id="1705" w:name="_Toc190873112"/>
      <w:bookmarkStart w:id="1706" w:name="_Toc194241751"/>
      <w:r w:rsidRPr="001D5327">
        <w:t>Table 6.1.7</w:t>
      </w:r>
      <w:r w:rsidRPr="001D5327">
        <w:tab/>
        <w:t>Recalculations to New Zealand’s net LULUCF emissions for 1990 and</w:t>
      </w:r>
      <w:bookmarkEnd w:id="1686"/>
      <w:bookmarkEnd w:id="1687"/>
      <w:bookmarkEnd w:id="1688"/>
      <w:bookmarkEnd w:id="1689"/>
      <w:r w:rsidRPr="001D5327">
        <w:t> </w:t>
      </w:r>
      <w:bookmarkEnd w:id="1690"/>
      <w:bookmarkEnd w:id="1691"/>
      <w:bookmarkEnd w:id="1692"/>
      <w:bookmarkEnd w:id="1693"/>
      <w:r w:rsidRPr="001D5327">
        <w:t xml:space="preserve">2022 by </w:t>
      </w:r>
      <w:bookmarkEnd w:id="1694"/>
      <w:r w:rsidRPr="001D5327">
        <w:t>category</w:t>
      </w:r>
      <w:bookmarkEnd w:id="1695"/>
      <w:bookmarkEnd w:id="1696"/>
      <w:bookmarkEnd w:id="1697"/>
      <w:bookmarkEnd w:id="1698"/>
      <w:bookmarkEnd w:id="1699"/>
      <w:bookmarkEnd w:id="1700"/>
      <w:bookmarkEnd w:id="1701"/>
      <w:bookmarkEnd w:id="1702"/>
      <w:bookmarkEnd w:id="1703"/>
      <w:bookmarkEnd w:id="1704"/>
      <w:bookmarkEnd w:id="1705"/>
      <w:bookmarkEnd w:id="1706"/>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935"/>
        <w:gridCol w:w="1131"/>
        <w:gridCol w:w="1131"/>
        <w:gridCol w:w="1131"/>
        <w:gridCol w:w="1131"/>
        <w:gridCol w:w="1023"/>
        <w:gridCol w:w="1023"/>
      </w:tblGrid>
      <w:tr w:rsidR="00E0181F" w:rsidRPr="001D5327" w14:paraId="08F101DF" w14:textId="77777777" w:rsidTr="00D11AC9">
        <w:trPr>
          <w:tblHeader/>
        </w:trPr>
        <w:tc>
          <w:tcPr>
            <w:tcW w:w="1928" w:type="dxa"/>
            <w:shd w:val="clear" w:color="auto" w:fill="1B556B"/>
            <w:tcMar>
              <w:top w:w="0" w:type="dxa"/>
              <w:left w:w="85" w:type="dxa"/>
              <w:bottom w:w="0" w:type="dxa"/>
              <w:right w:w="85" w:type="dxa"/>
            </w:tcMar>
          </w:tcPr>
          <w:p w14:paraId="5EAEC06B" w14:textId="77777777" w:rsidR="00E0181F" w:rsidRPr="001D5327" w:rsidRDefault="00E0181F" w:rsidP="00D11AC9">
            <w:pPr>
              <w:pStyle w:val="TableText"/>
              <w:spacing w:before="40" w:after="40"/>
            </w:pPr>
          </w:p>
        </w:tc>
        <w:tc>
          <w:tcPr>
            <w:tcW w:w="3384" w:type="dxa"/>
            <w:gridSpan w:val="3"/>
            <w:shd w:val="clear" w:color="auto" w:fill="1B556B"/>
            <w:tcMar>
              <w:top w:w="0" w:type="dxa"/>
              <w:left w:w="85" w:type="dxa"/>
              <w:bottom w:w="0" w:type="dxa"/>
              <w:right w:w="85" w:type="dxa"/>
            </w:tcMar>
            <w:vAlign w:val="bottom"/>
          </w:tcPr>
          <w:p w14:paraId="7118A6C1" w14:textId="77777777" w:rsidR="00E0181F" w:rsidRPr="001D5327" w:rsidRDefault="00E0181F" w:rsidP="00D11AC9">
            <w:pPr>
              <w:pStyle w:val="TableText"/>
              <w:spacing w:before="40" w:after="40"/>
              <w:jc w:val="right"/>
            </w:pPr>
            <w:r w:rsidRPr="001D5327">
              <w:rPr>
                <w:rFonts w:eastAsia="Calibri" w:cs="Calibri"/>
                <w:b/>
                <w:color w:val="FFFFFF"/>
                <w:szCs w:val="16"/>
              </w:rPr>
              <w:t>Net emissions (kt CO₂-e)</w:t>
            </w:r>
          </w:p>
        </w:tc>
        <w:tc>
          <w:tcPr>
            <w:tcW w:w="3168" w:type="dxa"/>
            <w:gridSpan w:val="3"/>
            <w:shd w:val="clear" w:color="auto" w:fill="1B556B"/>
            <w:tcMar>
              <w:top w:w="0" w:type="dxa"/>
              <w:left w:w="85" w:type="dxa"/>
              <w:bottom w:w="0" w:type="dxa"/>
              <w:right w:w="85" w:type="dxa"/>
            </w:tcMar>
            <w:vAlign w:val="bottom"/>
          </w:tcPr>
          <w:p w14:paraId="59C22ACE" w14:textId="77777777" w:rsidR="00E0181F" w:rsidRPr="001D5327" w:rsidRDefault="00E0181F" w:rsidP="00D11AC9">
            <w:pPr>
              <w:pStyle w:val="TableText"/>
              <w:spacing w:before="40" w:after="40"/>
              <w:jc w:val="right"/>
            </w:pPr>
          </w:p>
        </w:tc>
      </w:tr>
      <w:tr w:rsidR="00E0181F" w:rsidRPr="001D5327" w14:paraId="1D158FD2" w14:textId="77777777" w:rsidTr="00D11AC9">
        <w:trPr>
          <w:tblHeader/>
        </w:trPr>
        <w:tc>
          <w:tcPr>
            <w:tcW w:w="1928" w:type="dxa"/>
            <w:shd w:val="clear" w:color="auto" w:fill="1B556B"/>
            <w:tcMar>
              <w:top w:w="0" w:type="dxa"/>
              <w:left w:w="85" w:type="dxa"/>
              <w:bottom w:w="0" w:type="dxa"/>
              <w:right w:w="85" w:type="dxa"/>
            </w:tcMar>
          </w:tcPr>
          <w:p w14:paraId="20E1841B" w14:textId="77777777" w:rsidR="00E0181F" w:rsidRPr="001D5327" w:rsidRDefault="00E0181F" w:rsidP="00D11AC9">
            <w:pPr>
              <w:pStyle w:val="TableText"/>
              <w:spacing w:before="40" w:after="40"/>
            </w:pPr>
            <w:r w:rsidRPr="001D5327">
              <w:rPr>
                <w:rFonts w:eastAsia="Calibri" w:cs="Calibri"/>
                <w:b/>
                <w:color w:val="FFFFFF"/>
                <w:szCs w:val="16"/>
              </w:rPr>
              <w:t>Land use category</w:t>
            </w:r>
          </w:p>
        </w:tc>
        <w:tc>
          <w:tcPr>
            <w:tcW w:w="1128" w:type="dxa"/>
            <w:shd w:val="clear" w:color="auto" w:fill="1B556B"/>
            <w:tcMar>
              <w:top w:w="0" w:type="dxa"/>
              <w:left w:w="85" w:type="dxa"/>
              <w:bottom w:w="0" w:type="dxa"/>
              <w:right w:w="85" w:type="dxa"/>
            </w:tcMar>
            <w:vAlign w:val="bottom"/>
          </w:tcPr>
          <w:p w14:paraId="0695CD37" w14:textId="77777777" w:rsidR="00E0181F" w:rsidRPr="001D5327" w:rsidRDefault="00E0181F" w:rsidP="00D11AC9">
            <w:pPr>
              <w:pStyle w:val="TableText"/>
              <w:spacing w:before="40" w:after="40"/>
              <w:jc w:val="right"/>
            </w:pPr>
            <w:r w:rsidRPr="001D5327">
              <w:rPr>
                <w:rFonts w:eastAsia="Calibri" w:cs="Calibri"/>
                <w:b/>
                <w:color w:val="FFFFFF"/>
                <w:szCs w:val="16"/>
              </w:rPr>
              <w:t>2024 submission: 1990 estimate</w:t>
            </w:r>
          </w:p>
        </w:tc>
        <w:tc>
          <w:tcPr>
            <w:tcW w:w="1128" w:type="dxa"/>
            <w:shd w:val="clear" w:color="auto" w:fill="1B556B"/>
            <w:tcMar>
              <w:top w:w="0" w:type="dxa"/>
              <w:left w:w="85" w:type="dxa"/>
              <w:bottom w:w="0" w:type="dxa"/>
              <w:right w:w="85" w:type="dxa"/>
            </w:tcMar>
            <w:vAlign w:val="bottom"/>
          </w:tcPr>
          <w:p w14:paraId="3BEE5C72" w14:textId="77777777" w:rsidR="00E0181F" w:rsidRPr="001D5327" w:rsidRDefault="00E0181F" w:rsidP="00D11AC9">
            <w:pPr>
              <w:pStyle w:val="TableText"/>
              <w:spacing w:before="40" w:after="40"/>
              <w:jc w:val="right"/>
            </w:pPr>
            <w:r w:rsidRPr="001D5327">
              <w:rPr>
                <w:rFonts w:eastAsia="Calibri" w:cs="Calibri"/>
                <w:b/>
                <w:color w:val="FFFFFF"/>
                <w:szCs w:val="16"/>
              </w:rPr>
              <w:t>2025 submission: 1990 estimate</w:t>
            </w:r>
          </w:p>
        </w:tc>
        <w:tc>
          <w:tcPr>
            <w:tcW w:w="1128" w:type="dxa"/>
            <w:shd w:val="clear" w:color="auto" w:fill="1B556B"/>
            <w:tcMar>
              <w:top w:w="0" w:type="dxa"/>
              <w:left w:w="85" w:type="dxa"/>
              <w:bottom w:w="0" w:type="dxa"/>
              <w:right w:w="85" w:type="dxa"/>
            </w:tcMar>
            <w:vAlign w:val="bottom"/>
          </w:tcPr>
          <w:p w14:paraId="425D545C" w14:textId="77777777" w:rsidR="00E0181F" w:rsidRPr="001D5327" w:rsidRDefault="00E0181F" w:rsidP="00D11AC9">
            <w:pPr>
              <w:pStyle w:val="TableText"/>
              <w:spacing w:before="40" w:after="40"/>
              <w:jc w:val="right"/>
            </w:pPr>
            <w:r w:rsidRPr="001D5327">
              <w:rPr>
                <w:rFonts w:eastAsia="Calibri" w:cs="Calibri"/>
                <w:b/>
                <w:color w:val="FFFFFF"/>
                <w:szCs w:val="16"/>
              </w:rPr>
              <w:t>2024 submission: 2022 estimate</w:t>
            </w:r>
          </w:p>
        </w:tc>
        <w:tc>
          <w:tcPr>
            <w:tcW w:w="1128" w:type="dxa"/>
            <w:shd w:val="clear" w:color="auto" w:fill="1B556B"/>
            <w:tcMar>
              <w:top w:w="0" w:type="dxa"/>
              <w:left w:w="85" w:type="dxa"/>
              <w:bottom w:w="0" w:type="dxa"/>
              <w:right w:w="85" w:type="dxa"/>
            </w:tcMar>
            <w:vAlign w:val="bottom"/>
          </w:tcPr>
          <w:p w14:paraId="117A2A30" w14:textId="77777777" w:rsidR="00E0181F" w:rsidRPr="001D5327" w:rsidRDefault="00E0181F" w:rsidP="00D11AC9">
            <w:pPr>
              <w:pStyle w:val="TableText"/>
              <w:spacing w:before="40" w:after="40"/>
              <w:jc w:val="right"/>
            </w:pPr>
            <w:r w:rsidRPr="001D5327">
              <w:rPr>
                <w:rFonts w:eastAsia="Calibri" w:cs="Calibri"/>
                <w:b/>
                <w:color w:val="FFFFFF"/>
                <w:szCs w:val="16"/>
              </w:rPr>
              <w:t>2025 submission: 2022 estimate</w:t>
            </w:r>
          </w:p>
        </w:tc>
        <w:tc>
          <w:tcPr>
            <w:tcW w:w="1020" w:type="dxa"/>
            <w:shd w:val="clear" w:color="auto" w:fill="1B556B"/>
            <w:tcMar>
              <w:top w:w="0" w:type="dxa"/>
              <w:left w:w="85" w:type="dxa"/>
              <w:bottom w:w="0" w:type="dxa"/>
              <w:right w:w="85" w:type="dxa"/>
            </w:tcMar>
            <w:vAlign w:val="bottom"/>
          </w:tcPr>
          <w:p w14:paraId="16B121F9" w14:textId="77777777" w:rsidR="00E0181F" w:rsidRPr="001D5327" w:rsidRDefault="00E0181F" w:rsidP="00D11AC9">
            <w:pPr>
              <w:pStyle w:val="TableText"/>
              <w:spacing w:before="40" w:after="40"/>
              <w:jc w:val="right"/>
            </w:pPr>
            <w:r w:rsidRPr="001D5327">
              <w:rPr>
                <w:rFonts w:eastAsia="Calibri" w:cs="Calibri"/>
                <w:b/>
                <w:color w:val="FFFFFF"/>
                <w:szCs w:val="16"/>
              </w:rPr>
              <w:t>Change in 1990 estimate (%)</w:t>
            </w:r>
          </w:p>
        </w:tc>
        <w:tc>
          <w:tcPr>
            <w:tcW w:w="1020" w:type="dxa"/>
            <w:shd w:val="clear" w:color="auto" w:fill="1B556B"/>
            <w:tcMar>
              <w:top w:w="0" w:type="dxa"/>
              <w:left w:w="85" w:type="dxa"/>
              <w:bottom w:w="0" w:type="dxa"/>
              <w:right w:w="85" w:type="dxa"/>
            </w:tcMar>
            <w:vAlign w:val="bottom"/>
          </w:tcPr>
          <w:p w14:paraId="2470F938" w14:textId="77777777" w:rsidR="00E0181F" w:rsidRPr="001D5327" w:rsidRDefault="00E0181F" w:rsidP="00D11AC9">
            <w:pPr>
              <w:pStyle w:val="TableText"/>
              <w:spacing w:before="40" w:after="40"/>
              <w:jc w:val="right"/>
            </w:pPr>
            <w:r w:rsidRPr="001D5327">
              <w:rPr>
                <w:rFonts w:eastAsia="Calibri" w:cs="Calibri"/>
                <w:b/>
                <w:color w:val="FFFFFF"/>
                <w:szCs w:val="16"/>
              </w:rPr>
              <w:t>Change in 2022 estimate (%)</w:t>
            </w:r>
          </w:p>
        </w:tc>
      </w:tr>
      <w:tr w:rsidR="00E0181F" w:rsidRPr="001D5327" w14:paraId="18F24C48" w14:textId="77777777" w:rsidTr="00D11AC9">
        <w:tc>
          <w:tcPr>
            <w:tcW w:w="1928" w:type="dxa"/>
            <w:shd w:val="clear" w:color="auto" w:fill="FFFFFF"/>
            <w:tcMar>
              <w:top w:w="0" w:type="dxa"/>
              <w:left w:w="85" w:type="dxa"/>
              <w:bottom w:w="0" w:type="dxa"/>
              <w:right w:w="85" w:type="dxa"/>
            </w:tcMar>
          </w:tcPr>
          <w:p w14:paraId="5F3B20C9" w14:textId="77777777" w:rsidR="00E0181F" w:rsidRPr="001D5327" w:rsidRDefault="00E0181F" w:rsidP="00D11AC9">
            <w:pPr>
              <w:pStyle w:val="TableText"/>
              <w:spacing w:before="40" w:after="40"/>
            </w:pPr>
            <w:r w:rsidRPr="001D5327">
              <w:rPr>
                <w:rFonts w:eastAsia="Calibri" w:cs="Calibri"/>
                <w:color w:val="000000"/>
                <w:szCs w:val="16"/>
              </w:rPr>
              <w:t>Forest land</w:t>
            </w:r>
          </w:p>
        </w:tc>
        <w:tc>
          <w:tcPr>
            <w:tcW w:w="1128" w:type="dxa"/>
            <w:shd w:val="clear" w:color="auto" w:fill="FFFFFF"/>
            <w:tcMar>
              <w:top w:w="0" w:type="dxa"/>
              <w:left w:w="85" w:type="dxa"/>
              <w:bottom w:w="0" w:type="dxa"/>
              <w:right w:w="85" w:type="dxa"/>
            </w:tcMar>
          </w:tcPr>
          <w:p w14:paraId="7A65B361" w14:textId="5248430B"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23,274.6</w:t>
            </w:r>
          </w:p>
        </w:tc>
        <w:tc>
          <w:tcPr>
            <w:tcW w:w="1128" w:type="dxa"/>
            <w:shd w:val="clear" w:color="auto" w:fill="FFFFFF"/>
            <w:tcMar>
              <w:top w:w="0" w:type="dxa"/>
              <w:left w:w="85" w:type="dxa"/>
              <w:bottom w:w="0" w:type="dxa"/>
              <w:right w:w="85" w:type="dxa"/>
            </w:tcMar>
          </w:tcPr>
          <w:p w14:paraId="2A9F93D0" w14:textId="09F704F7"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23,279.5</w:t>
            </w:r>
          </w:p>
        </w:tc>
        <w:tc>
          <w:tcPr>
            <w:tcW w:w="1128" w:type="dxa"/>
            <w:shd w:val="clear" w:color="auto" w:fill="FFFFFF"/>
            <w:tcMar>
              <w:top w:w="0" w:type="dxa"/>
              <w:left w:w="85" w:type="dxa"/>
              <w:bottom w:w="0" w:type="dxa"/>
              <w:right w:w="85" w:type="dxa"/>
            </w:tcMar>
          </w:tcPr>
          <w:p w14:paraId="46F66AE7" w14:textId="0C3F8A64"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17,250.8</w:t>
            </w:r>
          </w:p>
        </w:tc>
        <w:tc>
          <w:tcPr>
            <w:tcW w:w="1128" w:type="dxa"/>
            <w:shd w:val="clear" w:color="auto" w:fill="FFFFFF"/>
            <w:tcMar>
              <w:top w:w="0" w:type="dxa"/>
              <w:left w:w="85" w:type="dxa"/>
              <w:bottom w:w="0" w:type="dxa"/>
              <w:right w:w="85" w:type="dxa"/>
            </w:tcMar>
          </w:tcPr>
          <w:p w14:paraId="766FFFAC" w14:textId="0F7D808B"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17,283.6</w:t>
            </w:r>
          </w:p>
        </w:tc>
        <w:tc>
          <w:tcPr>
            <w:tcW w:w="1020" w:type="dxa"/>
            <w:shd w:val="clear" w:color="auto" w:fill="FFFFFF"/>
            <w:tcMar>
              <w:top w:w="0" w:type="dxa"/>
              <w:left w:w="85" w:type="dxa"/>
              <w:bottom w:w="0" w:type="dxa"/>
              <w:right w:w="85" w:type="dxa"/>
            </w:tcMar>
          </w:tcPr>
          <w:p w14:paraId="41B06EEF" w14:textId="77777777" w:rsidR="00E0181F" w:rsidRPr="001D5327" w:rsidRDefault="00E0181F" w:rsidP="00D11AC9">
            <w:pPr>
              <w:pStyle w:val="TableText"/>
              <w:spacing w:before="40" w:after="40"/>
              <w:jc w:val="right"/>
            </w:pPr>
            <w:r w:rsidRPr="001D5327">
              <w:rPr>
                <w:rFonts w:eastAsia="Calibri" w:cs="Calibri"/>
                <w:color w:val="000000"/>
                <w:szCs w:val="16"/>
              </w:rPr>
              <w:t>0.0</w:t>
            </w:r>
          </w:p>
        </w:tc>
        <w:tc>
          <w:tcPr>
            <w:tcW w:w="1020" w:type="dxa"/>
            <w:shd w:val="clear" w:color="auto" w:fill="FFFFFF"/>
            <w:tcMar>
              <w:top w:w="0" w:type="dxa"/>
              <w:left w:w="85" w:type="dxa"/>
              <w:bottom w:w="0" w:type="dxa"/>
              <w:right w:w="85" w:type="dxa"/>
            </w:tcMar>
          </w:tcPr>
          <w:p w14:paraId="289C8DA2" w14:textId="410C31C9"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0.2</w:t>
            </w:r>
          </w:p>
        </w:tc>
      </w:tr>
      <w:tr w:rsidR="00E0181F" w:rsidRPr="001D5327" w14:paraId="2EB6D6EE" w14:textId="77777777" w:rsidTr="00D11AC9">
        <w:tc>
          <w:tcPr>
            <w:tcW w:w="1928" w:type="dxa"/>
            <w:shd w:val="clear" w:color="auto" w:fill="FFFFFF"/>
            <w:tcMar>
              <w:top w:w="0" w:type="dxa"/>
              <w:left w:w="85" w:type="dxa"/>
              <w:bottom w:w="0" w:type="dxa"/>
              <w:right w:w="85" w:type="dxa"/>
            </w:tcMar>
          </w:tcPr>
          <w:p w14:paraId="22652420" w14:textId="77777777" w:rsidR="00E0181F" w:rsidRPr="001D5327" w:rsidRDefault="00E0181F" w:rsidP="00D11AC9">
            <w:pPr>
              <w:pStyle w:val="TableText"/>
              <w:spacing w:before="40" w:after="40"/>
            </w:pPr>
            <w:r w:rsidRPr="001D5327">
              <w:rPr>
                <w:rFonts w:eastAsia="Calibri" w:cs="Calibri"/>
                <w:color w:val="000000"/>
                <w:szCs w:val="16"/>
              </w:rPr>
              <w:t>Cropland</w:t>
            </w:r>
          </w:p>
        </w:tc>
        <w:tc>
          <w:tcPr>
            <w:tcW w:w="1128" w:type="dxa"/>
            <w:shd w:val="clear" w:color="auto" w:fill="FFFFFF"/>
            <w:tcMar>
              <w:top w:w="0" w:type="dxa"/>
              <w:left w:w="85" w:type="dxa"/>
              <w:bottom w:w="0" w:type="dxa"/>
              <w:right w:w="85" w:type="dxa"/>
            </w:tcMar>
          </w:tcPr>
          <w:p w14:paraId="1D279B6C" w14:textId="77777777" w:rsidR="00E0181F" w:rsidRPr="001D5327" w:rsidRDefault="00E0181F" w:rsidP="00D11AC9">
            <w:pPr>
              <w:pStyle w:val="TableText"/>
              <w:spacing w:before="40" w:after="40"/>
              <w:jc w:val="right"/>
            </w:pPr>
            <w:r w:rsidRPr="001D5327">
              <w:rPr>
                <w:rFonts w:eastAsia="Calibri" w:cs="Calibri"/>
                <w:color w:val="000000"/>
                <w:szCs w:val="16"/>
              </w:rPr>
              <w:t>476.3</w:t>
            </w:r>
          </w:p>
        </w:tc>
        <w:tc>
          <w:tcPr>
            <w:tcW w:w="1128" w:type="dxa"/>
            <w:shd w:val="clear" w:color="auto" w:fill="FFFFFF"/>
            <w:tcMar>
              <w:top w:w="0" w:type="dxa"/>
              <w:left w:w="85" w:type="dxa"/>
              <w:bottom w:w="0" w:type="dxa"/>
              <w:right w:w="85" w:type="dxa"/>
            </w:tcMar>
          </w:tcPr>
          <w:p w14:paraId="13822FC4" w14:textId="77777777" w:rsidR="00E0181F" w:rsidRPr="001D5327" w:rsidRDefault="00E0181F" w:rsidP="00D11AC9">
            <w:pPr>
              <w:pStyle w:val="TableText"/>
              <w:spacing w:before="40" w:after="40"/>
              <w:jc w:val="right"/>
            </w:pPr>
            <w:r w:rsidRPr="001D5327">
              <w:rPr>
                <w:rFonts w:eastAsia="Calibri" w:cs="Calibri"/>
                <w:color w:val="000000"/>
                <w:szCs w:val="16"/>
              </w:rPr>
              <w:t>478.3</w:t>
            </w:r>
          </w:p>
        </w:tc>
        <w:tc>
          <w:tcPr>
            <w:tcW w:w="1128" w:type="dxa"/>
            <w:shd w:val="clear" w:color="auto" w:fill="FFFFFF"/>
            <w:tcMar>
              <w:top w:w="0" w:type="dxa"/>
              <w:left w:w="85" w:type="dxa"/>
              <w:bottom w:w="0" w:type="dxa"/>
              <w:right w:w="85" w:type="dxa"/>
            </w:tcMar>
          </w:tcPr>
          <w:p w14:paraId="046F2828" w14:textId="77777777" w:rsidR="00E0181F" w:rsidRPr="001D5327" w:rsidRDefault="00E0181F" w:rsidP="00D11AC9">
            <w:pPr>
              <w:pStyle w:val="TableText"/>
              <w:spacing w:before="40" w:after="40"/>
              <w:jc w:val="right"/>
            </w:pPr>
            <w:r w:rsidRPr="001D5327">
              <w:rPr>
                <w:rFonts w:eastAsia="Calibri" w:cs="Calibri"/>
                <w:color w:val="000000"/>
                <w:szCs w:val="16"/>
              </w:rPr>
              <w:t>711.9</w:t>
            </w:r>
          </w:p>
        </w:tc>
        <w:tc>
          <w:tcPr>
            <w:tcW w:w="1128" w:type="dxa"/>
            <w:shd w:val="clear" w:color="auto" w:fill="FFFFFF"/>
            <w:tcMar>
              <w:top w:w="0" w:type="dxa"/>
              <w:left w:w="85" w:type="dxa"/>
              <w:bottom w:w="0" w:type="dxa"/>
              <w:right w:w="85" w:type="dxa"/>
            </w:tcMar>
          </w:tcPr>
          <w:p w14:paraId="3764319E" w14:textId="77777777" w:rsidR="00E0181F" w:rsidRPr="001D5327" w:rsidRDefault="00E0181F" w:rsidP="00D11AC9">
            <w:pPr>
              <w:pStyle w:val="TableText"/>
              <w:spacing w:before="40" w:after="40"/>
              <w:jc w:val="right"/>
            </w:pPr>
            <w:r w:rsidRPr="001D5327">
              <w:rPr>
                <w:rFonts w:eastAsia="Calibri" w:cs="Calibri"/>
                <w:color w:val="000000"/>
                <w:szCs w:val="16"/>
              </w:rPr>
              <w:t>709.1</w:t>
            </w:r>
          </w:p>
        </w:tc>
        <w:tc>
          <w:tcPr>
            <w:tcW w:w="1020" w:type="dxa"/>
            <w:shd w:val="clear" w:color="auto" w:fill="FFFFFF"/>
            <w:tcMar>
              <w:top w:w="0" w:type="dxa"/>
              <w:left w:w="85" w:type="dxa"/>
              <w:bottom w:w="0" w:type="dxa"/>
              <w:right w:w="85" w:type="dxa"/>
            </w:tcMar>
          </w:tcPr>
          <w:p w14:paraId="19D03EE3" w14:textId="77777777" w:rsidR="00E0181F" w:rsidRPr="001D5327" w:rsidRDefault="00E0181F" w:rsidP="00D11AC9">
            <w:pPr>
              <w:pStyle w:val="TableText"/>
              <w:spacing w:before="40" w:after="40"/>
              <w:jc w:val="right"/>
            </w:pPr>
            <w:r w:rsidRPr="001D5327">
              <w:rPr>
                <w:rFonts w:eastAsia="Calibri" w:cs="Calibri"/>
                <w:color w:val="000000"/>
                <w:szCs w:val="16"/>
              </w:rPr>
              <w:t>0.4</w:t>
            </w:r>
          </w:p>
        </w:tc>
        <w:tc>
          <w:tcPr>
            <w:tcW w:w="1020" w:type="dxa"/>
            <w:shd w:val="clear" w:color="auto" w:fill="FFFFFF"/>
            <w:tcMar>
              <w:top w:w="0" w:type="dxa"/>
              <w:left w:w="85" w:type="dxa"/>
              <w:bottom w:w="0" w:type="dxa"/>
              <w:right w:w="85" w:type="dxa"/>
            </w:tcMar>
          </w:tcPr>
          <w:p w14:paraId="65093EB0" w14:textId="7B84A429"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0.4</w:t>
            </w:r>
          </w:p>
        </w:tc>
      </w:tr>
      <w:tr w:rsidR="00E0181F" w:rsidRPr="001D5327" w14:paraId="229DD65C" w14:textId="77777777" w:rsidTr="00D11AC9">
        <w:tc>
          <w:tcPr>
            <w:tcW w:w="1928" w:type="dxa"/>
            <w:shd w:val="clear" w:color="auto" w:fill="FFFFFF"/>
            <w:tcMar>
              <w:top w:w="0" w:type="dxa"/>
              <w:left w:w="85" w:type="dxa"/>
              <w:bottom w:w="0" w:type="dxa"/>
              <w:right w:w="85" w:type="dxa"/>
            </w:tcMar>
          </w:tcPr>
          <w:p w14:paraId="37603F01" w14:textId="77777777" w:rsidR="00E0181F" w:rsidRPr="001D5327" w:rsidRDefault="00E0181F" w:rsidP="00D11AC9">
            <w:pPr>
              <w:pStyle w:val="TableText"/>
              <w:spacing w:before="40" w:after="40"/>
            </w:pPr>
            <w:r w:rsidRPr="001D5327">
              <w:rPr>
                <w:rFonts w:eastAsia="Calibri" w:cs="Calibri"/>
                <w:color w:val="000000"/>
                <w:szCs w:val="16"/>
              </w:rPr>
              <w:t>Grassland</w:t>
            </w:r>
          </w:p>
        </w:tc>
        <w:tc>
          <w:tcPr>
            <w:tcW w:w="1128" w:type="dxa"/>
            <w:shd w:val="clear" w:color="auto" w:fill="FFFFFF"/>
            <w:tcMar>
              <w:top w:w="0" w:type="dxa"/>
              <w:left w:w="85" w:type="dxa"/>
              <w:bottom w:w="0" w:type="dxa"/>
              <w:right w:w="85" w:type="dxa"/>
            </w:tcMar>
          </w:tcPr>
          <w:p w14:paraId="025DDB57" w14:textId="77777777" w:rsidR="00E0181F" w:rsidRPr="001D5327" w:rsidRDefault="00E0181F" w:rsidP="00D11AC9">
            <w:pPr>
              <w:pStyle w:val="TableText"/>
              <w:spacing w:before="40" w:after="40"/>
              <w:jc w:val="right"/>
            </w:pPr>
            <w:r w:rsidRPr="001D5327">
              <w:rPr>
                <w:rFonts w:eastAsia="Calibri" w:cs="Calibri"/>
                <w:color w:val="000000"/>
                <w:szCs w:val="16"/>
              </w:rPr>
              <w:t>826.2</w:t>
            </w:r>
          </w:p>
        </w:tc>
        <w:tc>
          <w:tcPr>
            <w:tcW w:w="1128" w:type="dxa"/>
            <w:shd w:val="clear" w:color="auto" w:fill="FFFFFF"/>
            <w:tcMar>
              <w:top w:w="0" w:type="dxa"/>
              <w:left w:w="85" w:type="dxa"/>
              <w:bottom w:w="0" w:type="dxa"/>
              <w:right w:w="85" w:type="dxa"/>
            </w:tcMar>
          </w:tcPr>
          <w:p w14:paraId="65B44124" w14:textId="77777777" w:rsidR="00E0181F" w:rsidRPr="001D5327" w:rsidRDefault="00E0181F" w:rsidP="00D11AC9">
            <w:pPr>
              <w:pStyle w:val="TableText"/>
              <w:spacing w:before="40" w:after="40"/>
              <w:jc w:val="right"/>
            </w:pPr>
            <w:r w:rsidRPr="001D5327">
              <w:rPr>
                <w:rFonts w:eastAsia="Calibri" w:cs="Calibri"/>
                <w:color w:val="000000"/>
                <w:szCs w:val="16"/>
              </w:rPr>
              <w:t>819.9</w:t>
            </w:r>
          </w:p>
        </w:tc>
        <w:tc>
          <w:tcPr>
            <w:tcW w:w="1128" w:type="dxa"/>
            <w:shd w:val="clear" w:color="auto" w:fill="FFFFFF"/>
            <w:tcMar>
              <w:top w:w="0" w:type="dxa"/>
              <w:left w:w="85" w:type="dxa"/>
              <w:bottom w:w="0" w:type="dxa"/>
              <w:right w:w="85" w:type="dxa"/>
            </w:tcMar>
          </w:tcPr>
          <w:p w14:paraId="4F33E62F" w14:textId="77777777" w:rsidR="00E0181F" w:rsidRPr="001D5327" w:rsidRDefault="00E0181F" w:rsidP="00D11AC9">
            <w:pPr>
              <w:pStyle w:val="TableText"/>
              <w:spacing w:before="40" w:after="40"/>
              <w:jc w:val="right"/>
            </w:pPr>
            <w:r w:rsidRPr="001D5327">
              <w:rPr>
                <w:rFonts w:eastAsia="Calibri" w:cs="Calibri"/>
                <w:color w:val="000000"/>
                <w:szCs w:val="16"/>
              </w:rPr>
              <w:t>3,665.7</w:t>
            </w:r>
          </w:p>
        </w:tc>
        <w:tc>
          <w:tcPr>
            <w:tcW w:w="1128" w:type="dxa"/>
            <w:shd w:val="clear" w:color="auto" w:fill="FFFFFF"/>
            <w:tcMar>
              <w:top w:w="0" w:type="dxa"/>
              <w:left w:w="85" w:type="dxa"/>
              <w:bottom w:w="0" w:type="dxa"/>
              <w:right w:w="85" w:type="dxa"/>
            </w:tcMar>
          </w:tcPr>
          <w:p w14:paraId="15127D55" w14:textId="77777777" w:rsidR="00E0181F" w:rsidRPr="001D5327" w:rsidRDefault="00E0181F" w:rsidP="00D11AC9">
            <w:pPr>
              <w:pStyle w:val="TableText"/>
              <w:spacing w:before="40" w:after="40"/>
              <w:jc w:val="right"/>
            </w:pPr>
            <w:r w:rsidRPr="001D5327">
              <w:rPr>
                <w:rFonts w:eastAsia="Calibri" w:cs="Calibri"/>
                <w:color w:val="000000"/>
                <w:szCs w:val="16"/>
              </w:rPr>
              <w:t>3,568.9</w:t>
            </w:r>
          </w:p>
        </w:tc>
        <w:tc>
          <w:tcPr>
            <w:tcW w:w="1020" w:type="dxa"/>
            <w:shd w:val="clear" w:color="auto" w:fill="FFFFFF"/>
            <w:tcMar>
              <w:top w:w="0" w:type="dxa"/>
              <w:left w:w="85" w:type="dxa"/>
              <w:bottom w:w="0" w:type="dxa"/>
              <w:right w:w="85" w:type="dxa"/>
            </w:tcMar>
          </w:tcPr>
          <w:p w14:paraId="015EDAB5" w14:textId="0C5FC9F9"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0.8</w:t>
            </w:r>
          </w:p>
        </w:tc>
        <w:tc>
          <w:tcPr>
            <w:tcW w:w="1020" w:type="dxa"/>
            <w:shd w:val="clear" w:color="auto" w:fill="FFFFFF"/>
            <w:tcMar>
              <w:top w:w="0" w:type="dxa"/>
              <w:left w:w="85" w:type="dxa"/>
              <w:bottom w:w="0" w:type="dxa"/>
              <w:right w:w="85" w:type="dxa"/>
            </w:tcMar>
          </w:tcPr>
          <w:p w14:paraId="2EF90767" w14:textId="4C25C47D"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2.6</w:t>
            </w:r>
          </w:p>
        </w:tc>
      </w:tr>
      <w:tr w:rsidR="00E0181F" w:rsidRPr="001D5327" w14:paraId="1015D849" w14:textId="77777777" w:rsidTr="00D11AC9">
        <w:tc>
          <w:tcPr>
            <w:tcW w:w="1928" w:type="dxa"/>
            <w:shd w:val="clear" w:color="auto" w:fill="FFFFFF"/>
            <w:tcMar>
              <w:top w:w="0" w:type="dxa"/>
              <w:left w:w="85" w:type="dxa"/>
              <w:bottom w:w="0" w:type="dxa"/>
              <w:right w:w="85" w:type="dxa"/>
            </w:tcMar>
          </w:tcPr>
          <w:p w14:paraId="1C354188" w14:textId="77777777" w:rsidR="00E0181F" w:rsidRPr="001D5327" w:rsidRDefault="00E0181F" w:rsidP="00D11AC9">
            <w:pPr>
              <w:pStyle w:val="TableText"/>
              <w:spacing w:before="40" w:after="40"/>
            </w:pPr>
            <w:r w:rsidRPr="001D5327">
              <w:rPr>
                <w:rFonts w:eastAsia="Calibri" w:cs="Calibri"/>
                <w:color w:val="000000"/>
                <w:szCs w:val="16"/>
              </w:rPr>
              <w:t>Wetlands</w:t>
            </w:r>
          </w:p>
        </w:tc>
        <w:tc>
          <w:tcPr>
            <w:tcW w:w="1128" w:type="dxa"/>
            <w:shd w:val="clear" w:color="auto" w:fill="FFFFFF"/>
            <w:tcMar>
              <w:top w:w="0" w:type="dxa"/>
              <w:left w:w="85" w:type="dxa"/>
              <w:bottom w:w="0" w:type="dxa"/>
              <w:right w:w="85" w:type="dxa"/>
            </w:tcMar>
          </w:tcPr>
          <w:p w14:paraId="421FBFC8" w14:textId="105E2784"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8.3</w:t>
            </w:r>
          </w:p>
        </w:tc>
        <w:tc>
          <w:tcPr>
            <w:tcW w:w="1128" w:type="dxa"/>
            <w:shd w:val="clear" w:color="auto" w:fill="FFFFFF"/>
            <w:tcMar>
              <w:top w:w="0" w:type="dxa"/>
              <w:left w:w="85" w:type="dxa"/>
              <w:bottom w:w="0" w:type="dxa"/>
              <w:right w:w="85" w:type="dxa"/>
            </w:tcMar>
          </w:tcPr>
          <w:p w14:paraId="570D34C8" w14:textId="3E5F3612"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8.3</w:t>
            </w:r>
          </w:p>
        </w:tc>
        <w:tc>
          <w:tcPr>
            <w:tcW w:w="1128" w:type="dxa"/>
            <w:shd w:val="clear" w:color="auto" w:fill="FFFFFF"/>
            <w:tcMar>
              <w:top w:w="0" w:type="dxa"/>
              <w:left w:w="85" w:type="dxa"/>
              <w:bottom w:w="0" w:type="dxa"/>
              <w:right w:w="85" w:type="dxa"/>
            </w:tcMar>
          </w:tcPr>
          <w:p w14:paraId="30AECC00" w14:textId="77777777" w:rsidR="00E0181F" w:rsidRPr="001D5327" w:rsidRDefault="00E0181F" w:rsidP="00D11AC9">
            <w:pPr>
              <w:pStyle w:val="TableText"/>
              <w:spacing w:before="40" w:after="40"/>
              <w:jc w:val="right"/>
            </w:pPr>
            <w:r w:rsidRPr="001D5327">
              <w:rPr>
                <w:rFonts w:eastAsia="Calibri" w:cs="Calibri"/>
                <w:color w:val="000000"/>
                <w:szCs w:val="16"/>
              </w:rPr>
              <w:t>8.0</w:t>
            </w:r>
          </w:p>
        </w:tc>
        <w:tc>
          <w:tcPr>
            <w:tcW w:w="1128" w:type="dxa"/>
            <w:shd w:val="clear" w:color="auto" w:fill="FFFFFF"/>
            <w:tcMar>
              <w:top w:w="0" w:type="dxa"/>
              <w:left w:w="85" w:type="dxa"/>
              <w:bottom w:w="0" w:type="dxa"/>
              <w:right w:w="85" w:type="dxa"/>
            </w:tcMar>
          </w:tcPr>
          <w:p w14:paraId="3CD4F2B1" w14:textId="77777777" w:rsidR="00E0181F" w:rsidRPr="001D5327" w:rsidRDefault="00E0181F" w:rsidP="00D11AC9">
            <w:pPr>
              <w:pStyle w:val="TableText"/>
              <w:spacing w:before="40" w:after="40"/>
              <w:jc w:val="right"/>
            </w:pPr>
            <w:r w:rsidRPr="001D5327">
              <w:rPr>
                <w:rFonts w:eastAsia="Calibri" w:cs="Calibri"/>
                <w:color w:val="000000"/>
                <w:szCs w:val="16"/>
              </w:rPr>
              <w:t>8.1</w:t>
            </w:r>
          </w:p>
        </w:tc>
        <w:tc>
          <w:tcPr>
            <w:tcW w:w="1020" w:type="dxa"/>
            <w:shd w:val="clear" w:color="auto" w:fill="FFFFFF"/>
            <w:tcMar>
              <w:top w:w="0" w:type="dxa"/>
              <w:left w:w="85" w:type="dxa"/>
              <w:bottom w:w="0" w:type="dxa"/>
              <w:right w:w="85" w:type="dxa"/>
            </w:tcMar>
          </w:tcPr>
          <w:p w14:paraId="506F5035" w14:textId="77777777" w:rsidR="00E0181F" w:rsidRPr="001D5327" w:rsidRDefault="00E0181F" w:rsidP="00D11AC9">
            <w:pPr>
              <w:pStyle w:val="TableText"/>
              <w:spacing w:before="40" w:after="40"/>
              <w:jc w:val="right"/>
            </w:pPr>
            <w:r w:rsidRPr="001D5327">
              <w:rPr>
                <w:rFonts w:eastAsia="Calibri" w:cs="Calibri"/>
                <w:color w:val="000000"/>
                <w:szCs w:val="16"/>
              </w:rPr>
              <w:t>0.0</w:t>
            </w:r>
          </w:p>
        </w:tc>
        <w:tc>
          <w:tcPr>
            <w:tcW w:w="1020" w:type="dxa"/>
            <w:shd w:val="clear" w:color="auto" w:fill="FFFFFF"/>
            <w:tcMar>
              <w:top w:w="0" w:type="dxa"/>
              <w:left w:w="85" w:type="dxa"/>
              <w:bottom w:w="0" w:type="dxa"/>
              <w:right w:w="85" w:type="dxa"/>
            </w:tcMar>
          </w:tcPr>
          <w:p w14:paraId="5964EE46" w14:textId="77777777" w:rsidR="00E0181F" w:rsidRPr="001D5327" w:rsidRDefault="00E0181F" w:rsidP="00D11AC9">
            <w:pPr>
              <w:pStyle w:val="TableText"/>
              <w:spacing w:before="40" w:after="40"/>
              <w:jc w:val="right"/>
            </w:pPr>
            <w:r w:rsidRPr="001D5327">
              <w:rPr>
                <w:rFonts w:eastAsia="Calibri" w:cs="Calibri"/>
                <w:color w:val="000000"/>
                <w:szCs w:val="16"/>
              </w:rPr>
              <w:t>0.4</w:t>
            </w:r>
          </w:p>
        </w:tc>
      </w:tr>
      <w:tr w:rsidR="00E0181F" w:rsidRPr="001D5327" w14:paraId="2CE0A982" w14:textId="77777777" w:rsidTr="00D11AC9">
        <w:tc>
          <w:tcPr>
            <w:tcW w:w="1928" w:type="dxa"/>
            <w:shd w:val="clear" w:color="auto" w:fill="FFFFFF"/>
            <w:tcMar>
              <w:top w:w="0" w:type="dxa"/>
              <w:left w:w="85" w:type="dxa"/>
              <w:bottom w:w="0" w:type="dxa"/>
              <w:right w:w="85" w:type="dxa"/>
            </w:tcMar>
          </w:tcPr>
          <w:p w14:paraId="31172EBB" w14:textId="77777777" w:rsidR="00E0181F" w:rsidRPr="001D5327" w:rsidRDefault="00E0181F" w:rsidP="00D11AC9">
            <w:pPr>
              <w:pStyle w:val="TableText"/>
              <w:spacing w:before="40" w:after="40"/>
            </w:pPr>
            <w:r w:rsidRPr="001D5327">
              <w:rPr>
                <w:rFonts w:eastAsia="Calibri" w:cs="Calibri"/>
                <w:color w:val="000000"/>
                <w:szCs w:val="16"/>
              </w:rPr>
              <w:t>Settlements</w:t>
            </w:r>
          </w:p>
        </w:tc>
        <w:tc>
          <w:tcPr>
            <w:tcW w:w="1128" w:type="dxa"/>
            <w:shd w:val="clear" w:color="auto" w:fill="FFFFFF"/>
            <w:tcMar>
              <w:top w:w="0" w:type="dxa"/>
              <w:left w:w="85" w:type="dxa"/>
              <w:bottom w:w="0" w:type="dxa"/>
              <w:right w:w="85" w:type="dxa"/>
            </w:tcMar>
          </w:tcPr>
          <w:p w14:paraId="616876FA" w14:textId="77777777" w:rsidR="00E0181F" w:rsidRPr="001D5327" w:rsidRDefault="00E0181F" w:rsidP="00D11AC9">
            <w:pPr>
              <w:pStyle w:val="TableText"/>
              <w:spacing w:before="40" w:after="40"/>
              <w:jc w:val="right"/>
            </w:pPr>
            <w:r w:rsidRPr="001D5327">
              <w:rPr>
                <w:rFonts w:eastAsia="Calibri" w:cs="Calibri"/>
                <w:color w:val="000000"/>
                <w:szCs w:val="16"/>
              </w:rPr>
              <w:t>78.9</w:t>
            </w:r>
          </w:p>
        </w:tc>
        <w:tc>
          <w:tcPr>
            <w:tcW w:w="1128" w:type="dxa"/>
            <w:shd w:val="clear" w:color="auto" w:fill="FFFFFF"/>
            <w:tcMar>
              <w:top w:w="0" w:type="dxa"/>
              <w:left w:w="85" w:type="dxa"/>
              <w:bottom w:w="0" w:type="dxa"/>
              <w:right w:w="85" w:type="dxa"/>
            </w:tcMar>
          </w:tcPr>
          <w:p w14:paraId="7FA933C0" w14:textId="77777777" w:rsidR="00E0181F" w:rsidRPr="001D5327" w:rsidRDefault="00E0181F" w:rsidP="00D11AC9">
            <w:pPr>
              <w:pStyle w:val="TableText"/>
              <w:spacing w:before="40" w:after="40"/>
              <w:jc w:val="right"/>
            </w:pPr>
            <w:r w:rsidRPr="001D5327">
              <w:rPr>
                <w:rFonts w:eastAsia="Calibri" w:cs="Calibri"/>
                <w:color w:val="000000"/>
                <w:szCs w:val="16"/>
              </w:rPr>
              <w:t>78.5</w:t>
            </w:r>
          </w:p>
        </w:tc>
        <w:tc>
          <w:tcPr>
            <w:tcW w:w="1128" w:type="dxa"/>
            <w:shd w:val="clear" w:color="auto" w:fill="FFFFFF"/>
            <w:tcMar>
              <w:top w:w="0" w:type="dxa"/>
              <w:left w:w="85" w:type="dxa"/>
              <w:bottom w:w="0" w:type="dxa"/>
              <w:right w:w="85" w:type="dxa"/>
            </w:tcMar>
          </w:tcPr>
          <w:p w14:paraId="19335246" w14:textId="77777777" w:rsidR="00E0181F" w:rsidRPr="001D5327" w:rsidRDefault="00E0181F" w:rsidP="00D11AC9">
            <w:pPr>
              <w:pStyle w:val="TableText"/>
              <w:spacing w:before="40" w:after="40"/>
              <w:jc w:val="right"/>
            </w:pPr>
            <w:r w:rsidRPr="001D5327">
              <w:rPr>
                <w:rFonts w:eastAsia="Calibri" w:cs="Calibri"/>
                <w:color w:val="000000"/>
                <w:szCs w:val="16"/>
              </w:rPr>
              <w:t>118.0</w:t>
            </w:r>
          </w:p>
        </w:tc>
        <w:tc>
          <w:tcPr>
            <w:tcW w:w="1128" w:type="dxa"/>
            <w:shd w:val="clear" w:color="auto" w:fill="FFFFFF"/>
            <w:tcMar>
              <w:top w:w="0" w:type="dxa"/>
              <w:left w:w="85" w:type="dxa"/>
              <w:bottom w:w="0" w:type="dxa"/>
              <w:right w:w="85" w:type="dxa"/>
            </w:tcMar>
          </w:tcPr>
          <w:p w14:paraId="60E81547" w14:textId="77777777" w:rsidR="00E0181F" w:rsidRPr="001D5327" w:rsidRDefault="00E0181F" w:rsidP="00D11AC9">
            <w:pPr>
              <w:pStyle w:val="TableText"/>
              <w:spacing w:before="40" w:after="40"/>
              <w:jc w:val="right"/>
            </w:pPr>
            <w:r w:rsidRPr="001D5327">
              <w:rPr>
                <w:rFonts w:eastAsia="Calibri" w:cs="Calibri"/>
                <w:color w:val="000000"/>
                <w:szCs w:val="16"/>
              </w:rPr>
              <w:t>118.9</w:t>
            </w:r>
          </w:p>
        </w:tc>
        <w:tc>
          <w:tcPr>
            <w:tcW w:w="1020" w:type="dxa"/>
            <w:shd w:val="clear" w:color="auto" w:fill="FFFFFF"/>
            <w:tcMar>
              <w:top w:w="0" w:type="dxa"/>
              <w:left w:w="85" w:type="dxa"/>
              <w:bottom w:w="0" w:type="dxa"/>
              <w:right w:w="85" w:type="dxa"/>
            </w:tcMar>
          </w:tcPr>
          <w:p w14:paraId="42853A6E" w14:textId="4E47E478"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0.5</w:t>
            </w:r>
          </w:p>
        </w:tc>
        <w:tc>
          <w:tcPr>
            <w:tcW w:w="1020" w:type="dxa"/>
            <w:shd w:val="clear" w:color="auto" w:fill="FFFFFF"/>
            <w:tcMar>
              <w:top w:w="0" w:type="dxa"/>
              <w:left w:w="85" w:type="dxa"/>
              <w:bottom w:w="0" w:type="dxa"/>
              <w:right w:w="85" w:type="dxa"/>
            </w:tcMar>
          </w:tcPr>
          <w:p w14:paraId="0C1F6E8C" w14:textId="77777777" w:rsidR="00E0181F" w:rsidRPr="001D5327" w:rsidRDefault="00E0181F" w:rsidP="00D11AC9">
            <w:pPr>
              <w:pStyle w:val="TableText"/>
              <w:spacing w:before="40" w:after="40"/>
              <w:jc w:val="right"/>
            </w:pPr>
            <w:r w:rsidRPr="001D5327">
              <w:rPr>
                <w:rFonts w:eastAsia="Calibri" w:cs="Calibri"/>
                <w:color w:val="000000"/>
                <w:szCs w:val="16"/>
              </w:rPr>
              <w:t>0.7</w:t>
            </w:r>
          </w:p>
        </w:tc>
      </w:tr>
      <w:tr w:rsidR="00E0181F" w:rsidRPr="001D5327" w14:paraId="558E55CD" w14:textId="77777777" w:rsidTr="00D11AC9">
        <w:tc>
          <w:tcPr>
            <w:tcW w:w="1928" w:type="dxa"/>
            <w:shd w:val="clear" w:color="auto" w:fill="FFFFFF"/>
            <w:tcMar>
              <w:top w:w="0" w:type="dxa"/>
              <w:left w:w="85" w:type="dxa"/>
              <w:bottom w:w="0" w:type="dxa"/>
              <w:right w:w="85" w:type="dxa"/>
            </w:tcMar>
          </w:tcPr>
          <w:p w14:paraId="41D39FFE" w14:textId="77777777" w:rsidR="00E0181F" w:rsidRPr="001D5327" w:rsidRDefault="00E0181F" w:rsidP="00D11AC9">
            <w:pPr>
              <w:pStyle w:val="TableText"/>
              <w:spacing w:before="40" w:after="40"/>
            </w:pPr>
            <w:r w:rsidRPr="001D5327">
              <w:rPr>
                <w:rFonts w:eastAsia="Calibri" w:cs="Calibri"/>
                <w:color w:val="000000"/>
                <w:szCs w:val="16"/>
              </w:rPr>
              <w:t>Other land</w:t>
            </w:r>
          </w:p>
        </w:tc>
        <w:tc>
          <w:tcPr>
            <w:tcW w:w="1128" w:type="dxa"/>
            <w:shd w:val="clear" w:color="auto" w:fill="FFFFFF"/>
            <w:tcMar>
              <w:top w:w="0" w:type="dxa"/>
              <w:left w:w="85" w:type="dxa"/>
              <w:bottom w:w="0" w:type="dxa"/>
              <w:right w:w="85" w:type="dxa"/>
            </w:tcMar>
          </w:tcPr>
          <w:p w14:paraId="6EAD9CDA" w14:textId="77777777" w:rsidR="00E0181F" w:rsidRPr="001D5327" w:rsidRDefault="00E0181F" w:rsidP="00D11AC9">
            <w:pPr>
              <w:pStyle w:val="TableText"/>
              <w:spacing w:before="40" w:after="40"/>
              <w:jc w:val="right"/>
            </w:pPr>
            <w:r w:rsidRPr="001D5327">
              <w:rPr>
                <w:rFonts w:eastAsia="Calibri" w:cs="Calibri"/>
                <w:color w:val="000000"/>
                <w:szCs w:val="16"/>
              </w:rPr>
              <w:t>14.8</w:t>
            </w:r>
          </w:p>
        </w:tc>
        <w:tc>
          <w:tcPr>
            <w:tcW w:w="1128" w:type="dxa"/>
            <w:shd w:val="clear" w:color="auto" w:fill="FFFFFF"/>
            <w:tcMar>
              <w:top w:w="0" w:type="dxa"/>
              <w:left w:w="85" w:type="dxa"/>
              <w:bottom w:w="0" w:type="dxa"/>
              <w:right w:w="85" w:type="dxa"/>
            </w:tcMar>
          </w:tcPr>
          <w:p w14:paraId="15673F46" w14:textId="77777777" w:rsidR="00E0181F" w:rsidRPr="001D5327" w:rsidRDefault="00E0181F" w:rsidP="00D11AC9">
            <w:pPr>
              <w:pStyle w:val="TableText"/>
              <w:spacing w:before="40" w:after="40"/>
              <w:jc w:val="right"/>
            </w:pPr>
            <w:r w:rsidRPr="001D5327">
              <w:rPr>
                <w:rFonts w:eastAsia="Calibri" w:cs="Calibri"/>
                <w:color w:val="000000"/>
                <w:szCs w:val="16"/>
              </w:rPr>
              <w:t>14.8</w:t>
            </w:r>
          </w:p>
        </w:tc>
        <w:tc>
          <w:tcPr>
            <w:tcW w:w="1128" w:type="dxa"/>
            <w:shd w:val="clear" w:color="auto" w:fill="FFFFFF"/>
            <w:tcMar>
              <w:top w:w="0" w:type="dxa"/>
              <w:left w:w="85" w:type="dxa"/>
              <w:bottom w:w="0" w:type="dxa"/>
              <w:right w:w="85" w:type="dxa"/>
            </w:tcMar>
          </w:tcPr>
          <w:p w14:paraId="34F31F72" w14:textId="77777777" w:rsidR="00E0181F" w:rsidRPr="001D5327" w:rsidRDefault="00E0181F" w:rsidP="00D11AC9">
            <w:pPr>
              <w:pStyle w:val="TableText"/>
              <w:spacing w:before="40" w:after="40"/>
              <w:jc w:val="right"/>
            </w:pPr>
            <w:r w:rsidRPr="001D5327">
              <w:rPr>
                <w:rFonts w:eastAsia="Calibri" w:cs="Calibri"/>
                <w:color w:val="000000"/>
                <w:szCs w:val="16"/>
              </w:rPr>
              <w:t>90.7</w:t>
            </w:r>
          </w:p>
        </w:tc>
        <w:tc>
          <w:tcPr>
            <w:tcW w:w="1128" w:type="dxa"/>
            <w:shd w:val="clear" w:color="auto" w:fill="FFFFFF"/>
            <w:tcMar>
              <w:top w:w="0" w:type="dxa"/>
              <w:left w:w="85" w:type="dxa"/>
              <w:bottom w:w="0" w:type="dxa"/>
              <w:right w:w="85" w:type="dxa"/>
            </w:tcMar>
          </w:tcPr>
          <w:p w14:paraId="6E0A2909" w14:textId="77777777" w:rsidR="00E0181F" w:rsidRPr="001D5327" w:rsidRDefault="00E0181F" w:rsidP="00D11AC9">
            <w:pPr>
              <w:pStyle w:val="TableText"/>
              <w:spacing w:before="40" w:after="40"/>
              <w:jc w:val="right"/>
            </w:pPr>
            <w:r w:rsidRPr="001D5327">
              <w:rPr>
                <w:rFonts w:eastAsia="Calibri" w:cs="Calibri"/>
                <w:color w:val="000000"/>
                <w:szCs w:val="16"/>
              </w:rPr>
              <w:t>88.3</w:t>
            </w:r>
          </w:p>
        </w:tc>
        <w:tc>
          <w:tcPr>
            <w:tcW w:w="1020" w:type="dxa"/>
            <w:shd w:val="clear" w:color="auto" w:fill="FFFFFF"/>
            <w:tcMar>
              <w:top w:w="0" w:type="dxa"/>
              <w:left w:w="85" w:type="dxa"/>
              <w:bottom w:w="0" w:type="dxa"/>
              <w:right w:w="85" w:type="dxa"/>
            </w:tcMar>
          </w:tcPr>
          <w:p w14:paraId="16D52932" w14:textId="77777777" w:rsidR="00E0181F" w:rsidRPr="001D5327" w:rsidRDefault="00E0181F" w:rsidP="00D11AC9">
            <w:pPr>
              <w:pStyle w:val="TableText"/>
              <w:spacing w:before="40" w:after="40"/>
              <w:jc w:val="right"/>
            </w:pPr>
            <w:r w:rsidRPr="001D5327">
              <w:rPr>
                <w:rFonts w:eastAsia="Calibri" w:cs="Calibri"/>
                <w:color w:val="000000"/>
                <w:szCs w:val="16"/>
              </w:rPr>
              <w:t>0.2</w:t>
            </w:r>
          </w:p>
        </w:tc>
        <w:tc>
          <w:tcPr>
            <w:tcW w:w="1020" w:type="dxa"/>
            <w:shd w:val="clear" w:color="auto" w:fill="FFFFFF"/>
            <w:tcMar>
              <w:top w:w="0" w:type="dxa"/>
              <w:left w:w="85" w:type="dxa"/>
              <w:bottom w:w="0" w:type="dxa"/>
              <w:right w:w="85" w:type="dxa"/>
            </w:tcMar>
          </w:tcPr>
          <w:p w14:paraId="0A9A1E70" w14:textId="2CE60DD2"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2.7</w:t>
            </w:r>
          </w:p>
        </w:tc>
      </w:tr>
      <w:tr w:rsidR="00E0181F" w:rsidRPr="001D5327" w14:paraId="68BC749A" w14:textId="77777777" w:rsidTr="00D11AC9">
        <w:tc>
          <w:tcPr>
            <w:tcW w:w="1928" w:type="dxa"/>
            <w:shd w:val="clear" w:color="auto" w:fill="FFFFFF"/>
            <w:tcMar>
              <w:top w:w="0" w:type="dxa"/>
              <w:left w:w="85" w:type="dxa"/>
              <w:bottom w:w="0" w:type="dxa"/>
              <w:right w:w="85" w:type="dxa"/>
            </w:tcMar>
          </w:tcPr>
          <w:p w14:paraId="507E6C45" w14:textId="77777777" w:rsidR="00E0181F" w:rsidRPr="001D5327" w:rsidRDefault="00E0181F" w:rsidP="00D11AC9">
            <w:pPr>
              <w:pStyle w:val="TableText"/>
              <w:spacing w:before="40" w:after="40"/>
            </w:pPr>
            <w:r w:rsidRPr="001D5327">
              <w:rPr>
                <w:rFonts w:eastAsia="Calibri" w:cs="Calibri"/>
                <w:color w:val="000000"/>
                <w:szCs w:val="16"/>
              </w:rPr>
              <w:t>Harvested wood products</w:t>
            </w:r>
          </w:p>
        </w:tc>
        <w:tc>
          <w:tcPr>
            <w:tcW w:w="1128" w:type="dxa"/>
            <w:shd w:val="clear" w:color="auto" w:fill="FFFFFF"/>
            <w:tcMar>
              <w:top w:w="0" w:type="dxa"/>
              <w:left w:w="85" w:type="dxa"/>
              <w:bottom w:w="0" w:type="dxa"/>
              <w:right w:w="85" w:type="dxa"/>
            </w:tcMar>
          </w:tcPr>
          <w:p w14:paraId="1D0C61E5" w14:textId="5571D21F"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2,437.8</w:t>
            </w:r>
          </w:p>
        </w:tc>
        <w:tc>
          <w:tcPr>
            <w:tcW w:w="1128" w:type="dxa"/>
            <w:shd w:val="clear" w:color="auto" w:fill="FFFFFF"/>
            <w:tcMar>
              <w:top w:w="0" w:type="dxa"/>
              <w:left w:w="85" w:type="dxa"/>
              <w:bottom w:w="0" w:type="dxa"/>
              <w:right w:w="85" w:type="dxa"/>
            </w:tcMar>
          </w:tcPr>
          <w:p w14:paraId="7F1444F6" w14:textId="580C40D4"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2,437.8</w:t>
            </w:r>
          </w:p>
        </w:tc>
        <w:tc>
          <w:tcPr>
            <w:tcW w:w="1128" w:type="dxa"/>
            <w:shd w:val="clear" w:color="auto" w:fill="FFFFFF"/>
            <w:tcMar>
              <w:top w:w="0" w:type="dxa"/>
              <w:left w:w="85" w:type="dxa"/>
              <w:bottom w:w="0" w:type="dxa"/>
              <w:right w:w="85" w:type="dxa"/>
            </w:tcMar>
          </w:tcPr>
          <w:p w14:paraId="47A6891A" w14:textId="088F93E5"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6,582.3</w:t>
            </w:r>
          </w:p>
        </w:tc>
        <w:tc>
          <w:tcPr>
            <w:tcW w:w="1128" w:type="dxa"/>
            <w:shd w:val="clear" w:color="auto" w:fill="FFFFFF"/>
            <w:tcMar>
              <w:top w:w="0" w:type="dxa"/>
              <w:left w:w="85" w:type="dxa"/>
              <w:bottom w:w="0" w:type="dxa"/>
              <w:right w:w="85" w:type="dxa"/>
            </w:tcMar>
          </w:tcPr>
          <w:p w14:paraId="5AE68E79" w14:textId="5C985F55"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6,582.3</w:t>
            </w:r>
          </w:p>
        </w:tc>
        <w:tc>
          <w:tcPr>
            <w:tcW w:w="1020" w:type="dxa"/>
            <w:shd w:val="clear" w:color="auto" w:fill="FFFFFF"/>
            <w:tcMar>
              <w:top w:w="0" w:type="dxa"/>
              <w:left w:w="85" w:type="dxa"/>
              <w:bottom w:w="0" w:type="dxa"/>
              <w:right w:w="85" w:type="dxa"/>
            </w:tcMar>
          </w:tcPr>
          <w:p w14:paraId="59F4A49A" w14:textId="77777777" w:rsidR="00E0181F" w:rsidRPr="001D5327" w:rsidRDefault="00E0181F" w:rsidP="00D11AC9">
            <w:pPr>
              <w:pStyle w:val="TableText"/>
              <w:spacing w:before="40" w:after="40"/>
              <w:jc w:val="right"/>
            </w:pPr>
            <w:r w:rsidRPr="001D5327">
              <w:rPr>
                <w:rFonts w:eastAsia="Calibri" w:cs="Calibri"/>
                <w:color w:val="000000"/>
                <w:szCs w:val="16"/>
              </w:rPr>
              <w:t>0.0</w:t>
            </w:r>
          </w:p>
        </w:tc>
        <w:tc>
          <w:tcPr>
            <w:tcW w:w="1020" w:type="dxa"/>
            <w:shd w:val="clear" w:color="auto" w:fill="FFFFFF"/>
            <w:tcMar>
              <w:top w:w="0" w:type="dxa"/>
              <w:left w:w="85" w:type="dxa"/>
              <w:bottom w:w="0" w:type="dxa"/>
              <w:right w:w="85" w:type="dxa"/>
            </w:tcMar>
          </w:tcPr>
          <w:p w14:paraId="195B9053" w14:textId="77777777" w:rsidR="00E0181F" w:rsidRPr="001D5327" w:rsidRDefault="00E0181F" w:rsidP="00D11AC9">
            <w:pPr>
              <w:pStyle w:val="TableText"/>
              <w:spacing w:before="40" w:after="40"/>
              <w:jc w:val="right"/>
            </w:pPr>
            <w:r w:rsidRPr="001D5327">
              <w:rPr>
                <w:rFonts w:eastAsia="Calibri" w:cs="Calibri"/>
                <w:color w:val="000000"/>
                <w:szCs w:val="16"/>
              </w:rPr>
              <w:t>0.0</w:t>
            </w:r>
          </w:p>
        </w:tc>
      </w:tr>
      <w:tr w:rsidR="00E0181F" w:rsidRPr="001D5327" w14:paraId="3CD0000D" w14:textId="77777777" w:rsidTr="00D11AC9">
        <w:tc>
          <w:tcPr>
            <w:tcW w:w="1928" w:type="dxa"/>
            <w:shd w:val="clear" w:color="auto" w:fill="FFFFFF"/>
            <w:tcMar>
              <w:top w:w="0" w:type="dxa"/>
              <w:left w:w="85" w:type="dxa"/>
              <w:bottom w:w="0" w:type="dxa"/>
              <w:right w:w="85" w:type="dxa"/>
            </w:tcMar>
          </w:tcPr>
          <w:p w14:paraId="20D2177B" w14:textId="77777777" w:rsidR="00E0181F" w:rsidRPr="001D5327" w:rsidRDefault="00E0181F" w:rsidP="00D11AC9">
            <w:pPr>
              <w:pStyle w:val="TableText"/>
              <w:spacing w:before="40" w:after="40"/>
            </w:pPr>
            <w:r w:rsidRPr="001D5327">
              <w:rPr>
                <w:rFonts w:eastAsia="Calibri" w:cs="Calibri"/>
                <w:b/>
                <w:color w:val="1B556B"/>
                <w:szCs w:val="16"/>
              </w:rPr>
              <w:t>Total</w:t>
            </w:r>
          </w:p>
        </w:tc>
        <w:tc>
          <w:tcPr>
            <w:tcW w:w="1128" w:type="dxa"/>
            <w:shd w:val="clear" w:color="auto" w:fill="FFFFFF"/>
            <w:tcMar>
              <w:top w:w="0" w:type="dxa"/>
              <w:left w:w="85" w:type="dxa"/>
              <w:bottom w:w="0" w:type="dxa"/>
              <w:right w:w="85" w:type="dxa"/>
            </w:tcMar>
          </w:tcPr>
          <w:p w14:paraId="36DB93DD" w14:textId="55493950" w:rsidR="00E0181F" w:rsidRPr="001D5327" w:rsidRDefault="0070503C" w:rsidP="00D11AC9">
            <w:pPr>
              <w:pStyle w:val="TableText"/>
              <w:spacing w:before="40" w:after="40"/>
              <w:jc w:val="right"/>
            </w:pPr>
            <w:r>
              <w:rPr>
                <w:rFonts w:eastAsia="Calibri" w:cs="Calibri"/>
                <w:b/>
                <w:color w:val="1B556B"/>
                <w:szCs w:val="16"/>
              </w:rPr>
              <w:t>-</w:t>
            </w:r>
            <w:r w:rsidR="00E0181F" w:rsidRPr="001D5327">
              <w:rPr>
                <w:rFonts w:eastAsia="Calibri" w:cs="Calibri"/>
                <w:b/>
                <w:color w:val="1B556B"/>
                <w:szCs w:val="16"/>
              </w:rPr>
              <w:t>24,324.6</w:t>
            </w:r>
          </w:p>
        </w:tc>
        <w:tc>
          <w:tcPr>
            <w:tcW w:w="1128" w:type="dxa"/>
            <w:shd w:val="clear" w:color="auto" w:fill="FFFFFF"/>
            <w:tcMar>
              <w:top w:w="0" w:type="dxa"/>
              <w:left w:w="85" w:type="dxa"/>
              <w:bottom w:w="0" w:type="dxa"/>
              <w:right w:w="85" w:type="dxa"/>
            </w:tcMar>
          </w:tcPr>
          <w:p w14:paraId="20C45862" w14:textId="30ED7EAF" w:rsidR="00E0181F" w:rsidRPr="001D5327" w:rsidRDefault="0070503C" w:rsidP="00D11AC9">
            <w:pPr>
              <w:pStyle w:val="TableText"/>
              <w:spacing w:before="40" w:after="40"/>
              <w:jc w:val="right"/>
            </w:pPr>
            <w:r>
              <w:rPr>
                <w:rFonts w:eastAsia="Calibri" w:cs="Calibri"/>
                <w:b/>
                <w:color w:val="1B556B"/>
                <w:szCs w:val="16"/>
              </w:rPr>
              <w:t>-</w:t>
            </w:r>
            <w:r w:rsidR="00E0181F" w:rsidRPr="001D5327">
              <w:rPr>
                <w:rFonts w:eastAsia="Calibri" w:cs="Calibri"/>
                <w:b/>
                <w:color w:val="1B556B"/>
                <w:szCs w:val="16"/>
              </w:rPr>
              <w:t>24,334.1</w:t>
            </w:r>
          </w:p>
        </w:tc>
        <w:tc>
          <w:tcPr>
            <w:tcW w:w="1128" w:type="dxa"/>
            <w:shd w:val="clear" w:color="auto" w:fill="FFFFFF"/>
            <w:tcMar>
              <w:top w:w="0" w:type="dxa"/>
              <w:left w:w="85" w:type="dxa"/>
              <w:bottom w:w="0" w:type="dxa"/>
              <w:right w:w="85" w:type="dxa"/>
            </w:tcMar>
          </w:tcPr>
          <w:p w14:paraId="277F6BF0" w14:textId="0656D7ED" w:rsidR="00E0181F" w:rsidRPr="001D5327" w:rsidRDefault="0070503C" w:rsidP="00D11AC9">
            <w:pPr>
              <w:pStyle w:val="TableText"/>
              <w:spacing w:before="40" w:after="40"/>
              <w:jc w:val="right"/>
            </w:pPr>
            <w:r>
              <w:rPr>
                <w:rFonts w:eastAsia="Calibri" w:cs="Calibri"/>
                <w:b/>
                <w:color w:val="1B556B"/>
                <w:szCs w:val="16"/>
              </w:rPr>
              <w:t>-</w:t>
            </w:r>
            <w:r w:rsidR="00E0181F" w:rsidRPr="001D5327">
              <w:rPr>
                <w:rFonts w:eastAsia="Calibri" w:cs="Calibri"/>
                <w:b/>
                <w:color w:val="1B556B"/>
                <w:szCs w:val="16"/>
              </w:rPr>
              <w:t>19,238.8</w:t>
            </w:r>
          </w:p>
        </w:tc>
        <w:tc>
          <w:tcPr>
            <w:tcW w:w="1128" w:type="dxa"/>
            <w:shd w:val="clear" w:color="auto" w:fill="FFFFFF"/>
            <w:tcMar>
              <w:top w:w="0" w:type="dxa"/>
              <w:left w:w="85" w:type="dxa"/>
              <w:bottom w:w="0" w:type="dxa"/>
              <w:right w:w="85" w:type="dxa"/>
            </w:tcMar>
          </w:tcPr>
          <w:p w14:paraId="5E5CA2D6" w14:textId="2513938F" w:rsidR="00E0181F" w:rsidRPr="001D5327" w:rsidRDefault="0070503C" w:rsidP="00D11AC9">
            <w:pPr>
              <w:pStyle w:val="TableText"/>
              <w:spacing w:before="40" w:after="40"/>
              <w:jc w:val="right"/>
            </w:pPr>
            <w:r>
              <w:rPr>
                <w:rFonts w:eastAsia="Calibri" w:cs="Calibri"/>
                <w:b/>
                <w:color w:val="1B556B"/>
                <w:szCs w:val="16"/>
              </w:rPr>
              <w:t>-</w:t>
            </w:r>
            <w:r w:rsidR="00E0181F" w:rsidRPr="001D5327">
              <w:rPr>
                <w:rFonts w:eastAsia="Calibri" w:cs="Calibri"/>
                <w:b/>
                <w:color w:val="1B556B"/>
                <w:szCs w:val="16"/>
              </w:rPr>
              <w:t>19,372.7</w:t>
            </w:r>
          </w:p>
        </w:tc>
        <w:tc>
          <w:tcPr>
            <w:tcW w:w="1020" w:type="dxa"/>
            <w:shd w:val="clear" w:color="auto" w:fill="FFFFFF"/>
            <w:tcMar>
              <w:top w:w="0" w:type="dxa"/>
              <w:left w:w="85" w:type="dxa"/>
              <w:bottom w:w="0" w:type="dxa"/>
              <w:right w:w="85" w:type="dxa"/>
            </w:tcMar>
          </w:tcPr>
          <w:p w14:paraId="22DFE4FA" w14:textId="77777777" w:rsidR="00E0181F" w:rsidRPr="001D5327" w:rsidRDefault="00E0181F" w:rsidP="00D11AC9">
            <w:pPr>
              <w:pStyle w:val="TableText"/>
              <w:spacing w:before="40" w:after="40"/>
              <w:jc w:val="right"/>
            </w:pPr>
            <w:r w:rsidRPr="001D5327">
              <w:rPr>
                <w:rFonts w:eastAsia="Calibri" w:cs="Calibri"/>
                <w:b/>
                <w:color w:val="1B556B"/>
                <w:szCs w:val="16"/>
              </w:rPr>
              <w:t>0.0</w:t>
            </w:r>
          </w:p>
        </w:tc>
        <w:tc>
          <w:tcPr>
            <w:tcW w:w="1020" w:type="dxa"/>
            <w:shd w:val="clear" w:color="auto" w:fill="FFFFFF"/>
            <w:tcMar>
              <w:top w:w="0" w:type="dxa"/>
              <w:left w:w="85" w:type="dxa"/>
              <w:bottom w:w="0" w:type="dxa"/>
              <w:right w:w="85" w:type="dxa"/>
            </w:tcMar>
          </w:tcPr>
          <w:p w14:paraId="0260209E" w14:textId="44DE48CE" w:rsidR="00E0181F" w:rsidRPr="001D5327" w:rsidRDefault="0070503C" w:rsidP="00D11AC9">
            <w:pPr>
              <w:pStyle w:val="TableText"/>
              <w:spacing w:before="40" w:after="40"/>
              <w:jc w:val="right"/>
            </w:pPr>
            <w:r>
              <w:rPr>
                <w:rFonts w:eastAsia="Calibri" w:cs="Calibri"/>
                <w:b/>
                <w:color w:val="1B556B"/>
                <w:szCs w:val="16"/>
              </w:rPr>
              <w:t>-</w:t>
            </w:r>
            <w:r w:rsidR="00E0181F" w:rsidRPr="001D5327">
              <w:rPr>
                <w:rFonts w:eastAsia="Calibri" w:cs="Calibri"/>
                <w:b/>
                <w:color w:val="1B556B"/>
                <w:szCs w:val="16"/>
              </w:rPr>
              <w:t>0.7</w:t>
            </w:r>
          </w:p>
        </w:tc>
      </w:tr>
    </w:tbl>
    <w:p w14:paraId="129EC47A" w14:textId="77777777" w:rsidR="00E0181F" w:rsidRPr="001D5327" w:rsidRDefault="00E0181F" w:rsidP="00E0181F">
      <w:pPr>
        <w:pStyle w:val="Noteundertable"/>
        <w:tabs>
          <w:tab w:val="clear" w:pos="567"/>
        </w:tabs>
        <w:ind w:left="720" w:hanging="720"/>
        <w:rPr>
          <w:b/>
        </w:rPr>
      </w:pPr>
      <w:r w:rsidRPr="001D5327">
        <w:rPr>
          <w:b/>
        </w:rPr>
        <w:t>Note:</w:t>
      </w:r>
      <w:r w:rsidRPr="001D5327">
        <w:tab/>
      </w:r>
      <w:r w:rsidRPr="001D5327">
        <w:rPr>
          <w:spacing w:val="-2"/>
        </w:rPr>
        <w:t>Net emissions are expressed as a negative value in the table to help clarify that the value is a removal (of</w:t>
      </w:r>
      <w:r w:rsidRPr="001D5327">
        <w:t xml:space="preserve"> carbon dioxide equivalent from the atmosphere) and not an emission. Columns may not total due to rounding. </w:t>
      </w:r>
    </w:p>
    <w:p w14:paraId="6FE426F4" w14:textId="77777777" w:rsidR="00E0181F" w:rsidRPr="001D5327" w:rsidRDefault="00E0181F" w:rsidP="00E0181F">
      <w:pPr>
        <w:pStyle w:val="BodyText"/>
        <w:spacing w:after="100"/>
      </w:pPr>
      <w:r w:rsidRPr="001D5327">
        <w:lastRenderedPageBreak/>
        <w:t xml:space="preserve">The main differences between this submission and previous estimates of New Zealand’s LULUCF emissions reported in the 2024 submission are the result of minor changes to the activity data as a result of improvements to the 2020 land use map. </w:t>
      </w:r>
    </w:p>
    <w:p w14:paraId="1EB7460B" w14:textId="77777777" w:rsidR="00E0181F" w:rsidRPr="001D5327" w:rsidRDefault="00E0181F" w:rsidP="00E0181F">
      <w:pPr>
        <w:pStyle w:val="BodyText"/>
        <w:spacing w:after="100"/>
      </w:pPr>
      <w:r w:rsidRPr="001D5327">
        <w:t xml:space="preserve">More information on the recalculations is provided in the relevant category-specific recalculations sections below and in chapter 10. </w:t>
      </w:r>
    </w:p>
    <w:p w14:paraId="7806E0F2" w14:textId="77777777" w:rsidR="00E0181F" w:rsidRPr="001D5327" w:rsidRDefault="00E0181F" w:rsidP="00E0181F">
      <w:pPr>
        <w:pStyle w:val="Heading3"/>
        <w:spacing w:before="280"/>
      </w:pPr>
      <w:bookmarkStart w:id="1707" w:name="_Toc280630222"/>
      <w:r w:rsidRPr="001D5327">
        <w:t>6.1.5</w:t>
      </w:r>
      <w:r w:rsidRPr="001D5327">
        <w:tab/>
        <w:t>LULUCF planned improvements</w:t>
      </w:r>
      <w:bookmarkEnd w:id="1707"/>
    </w:p>
    <w:p w14:paraId="3AF092A9" w14:textId="77777777" w:rsidR="00E0181F" w:rsidRPr="001D5327" w:rsidRDefault="00E0181F" w:rsidP="00E0181F">
      <w:pPr>
        <w:pStyle w:val="BodyText"/>
        <w:spacing w:after="100"/>
        <w:rPr>
          <w:spacing w:val="-2"/>
        </w:rPr>
      </w:pPr>
      <w:r w:rsidRPr="001D5327">
        <w:t>The LULUCF</w:t>
      </w:r>
      <w:r w:rsidRPr="001D5327" w:rsidDel="009430C8">
        <w:t xml:space="preserve"> sector has </w:t>
      </w:r>
      <w:r w:rsidRPr="001D5327">
        <w:t>a plan of continuous improvement and has introduced several improvements in this submission. Once a year, potential category-specific improvements are ranked in order of priority according to expert review team (ERT) recommendations, key category analysis and contribution to uncertainty in the sector. The improvement priority list is then compared with available resources and capability before a final improvements plan, for </w:t>
      </w:r>
      <w:r w:rsidRPr="001D5327">
        <w:rPr>
          <w:spacing w:val="-2"/>
        </w:rPr>
        <w:t>the current national inventory report (NIR) and – in the case of the long-term improvements – future NIRs, is agreed on.</w:t>
      </w:r>
    </w:p>
    <w:p w14:paraId="3A3722DB" w14:textId="77777777" w:rsidR="00E0181F" w:rsidRPr="001D5327" w:rsidRDefault="00E0181F" w:rsidP="00E0181F">
      <w:pPr>
        <w:pStyle w:val="BodyText"/>
        <w:spacing w:after="100"/>
      </w:pPr>
      <w:r w:rsidRPr="001D5327">
        <w:t>Category-specific planned improvements for the 2026 and future submissions are reported separately under each of the relevant category sections of this chapter. The major themes are to:</w:t>
      </w:r>
    </w:p>
    <w:p w14:paraId="7040EDA5" w14:textId="77777777" w:rsidR="00E0181F" w:rsidRPr="001D5327" w:rsidRDefault="00E0181F" w:rsidP="00407428">
      <w:pPr>
        <w:pStyle w:val="Bullet"/>
        <w:numPr>
          <w:ilvl w:val="0"/>
          <w:numId w:val="23"/>
        </w:numPr>
        <w:spacing w:after="100"/>
        <w:ind w:left="397" w:hanging="397"/>
      </w:pPr>
      <w:r w:rsidRPr="001D5327">
        <w:t xml:space="preserve">continue with method development to implement the 2006 IPCC Guidelines (IPCC, 2006a) </w:t>
      </w:r>
    </w:p>
    <w:p w14:paraId="05E9B4BA" w14:textId="77777777" w:rsidR="00E0181F" w:rsidRPr="001D5327" w:rsidRDefault="00E0181F" w:rsidP="00E0181F">
      <w:pPr>
        <w:pStyle w:val="Bullet"/>
      </w:pPr>
      <w:r w:rsidRPr="001D5327">
        <w:t xml:space="preserve">continue to re-measure the pre-1990 natural forest plot inventory on a continuous </w:t>
      </w:r>
      <w:r w:rsidRPr="001D5327">
        <w:rPr>
          <w:spacing w:val="-2"/>
        </w:rPr>
        <w:t>basis (on a 10-year cycle). The data collected to date from the complete third measurement</w:t>
      </w:r>
      <w:r w:rsidRPr="001D5327">
        <w:t xml:space="preserve"> cycle will be analysed and integrated into the 2027 submission. The current post-1989 natural forest plot network was re-measured in 2023/24, with analysis and results planned for integration into the 2026 submission</w:t>
      </w:r>
    </w:p>
    <w:p w14:paraId="71C6F8B1" w14:textId="77777777" w:rsidR="00E0181F" w:rsidRPr="001D5327" w:rsidRDefault="00E0181F" w:rsidP="00E0181F">
      <w:pPr>
        <w:pStyle w:val="Bullet"/>
      </w:pPr>
      <w:r w:rsidRPr="001D5327">
        <w:rPr>
          <w:spacing w:val="-2"/>
        </w:rPr>
        <w:t>continue to re-measure the complete planted forest plot network (pre-1990 and post-1989) on a continuous basis (on a five-year cycle). The data will be incorporated into the</w:t>
      </w:r>
      <w:r w:rsidRPr="001D5327">
        <w:t xml:space="preserve"> NIR as they become available </w:t>
      </w:r>
    </w:p>
    <w:p w14:paraId="793F962F" w14:textId="77777777" w:rsidR="00E0181F" w:rsidRPr="001D5327" w:rsidRDefault="00E0181F" w:rsidP="00E0181F">
      <w:pPr>
        <w:pStyle w:val="Bullet"/>
      </w:pPr>
      <w:r w:rsidRPr="001D5327">
        <w:t xml:space="preserve">continue to improve land use mapping by using information collected through the NZ ETS. The NZ ETS provides an ongoing source of mapping information on forest extent and age, along with information on deforestation activity and carbon equivalent forest activities. This will be used as part of a continuous improvement programme to update the 1989, 2007, 2012, 2016 and 2020 land use maps </w:t>
      </w:r>
    </w:p>
    <w:p w14:paraId="17717AE5" w14:textId="77777777" w:rsidR="00E0181F" w:rsidRPr="001D5327" w:rsidRDefault="00E0181F" w:rsidP="00E0181F">
      <w:pPr>
        <w:pStyle w:val="Bullet"/>
      </w:pPr>
      <w:r w:rsidRPr="001D5327">
        <w:t>confirm mapped areas of deforestation for areas cleared during 2021 and 2022</w:t>
      </w:r>
    </w:p>
    <w:p w14:paraId="7784535E" w14:textId="77777777" w:rsidR="00E0181F" w:rsidRPr="001D5327" w:rsidRDefault="00E0181F" w:rsidP="00E0181F">
      <w:pPr>
        <w:pStyle w:val="Bullet"/>
      </w:pPr>
      <w:r w:rsidRPr="001D5327">
        <w:t>incorporate research that refines the extent and identifies nutrient status and drainage depth of drained organic soils, as well as develops suitable emission factors for them, to enable the application of the 2013 Wetlands supplement</w:t>
      </w:r>
    </w:p>
    <w:p w14:paraId="2A7F357C" w14:textId="77777777" w:rsidR="00E0181F" w:rsidRPr="001D5327" w:rsidRDefault="00E0181F" w:rsidP="00E0181F">
      <w:pPr>
        <w:pStyle w:val="Bullet"/>
      </w:pPr>
      <w:r w:rsidRPr="001D5327">
        <w:t>improve the SOC reference stock values for Cropland and Grassland through data being collected as part of a 12-year longitudinal study to measure the impact of management practices on agricultural soils</w:t>
      </w:r>
    </w:p>
    <w:p w14:paraId="6D33A518" w14:textId="0A14AF59" w:rsidR="00E0181F" w:rsidRPr="001D5327" w:rsidRDefault="00E0181F" w:rsidP="00E0181F">
      <w:pPr>
        <w:pStyle w:val="Bullet"/>
      </w:pPr>
      <w:r w:rsidRPr="001D5327">
        <w:t xml:space="preserve">improve the Soil Carbon Monitoring System (Soil CMS). This work will improve </w:t>
      </w:r>
      <w:r w:rsidRPr="001D5327">
        <w:rPr>
          <w:spacing w:val="-2"/>
        </w:rPr>
        <w:t>New</w:t>
      </w:r>
      <w:r w:rsidR="00D046FE" w:rsidRPr="001D5327">
        <w:rPr>
          <w:spacing w:val="-2"/>
        </w:rPr>
        <w:t xml:space="preserve"> </w:t>
      </w:r>
      <w:r w:rsidRPr="001D5327">
        <w:rPr>
          <w:spacing w:val="-2"/>
        </w:rPr>
        <w:t>Zealand’s soil carbon stock change estimates by developing a new modelling approach</w:t>
      </w:r>
      <w:r w:rsidRPr="001D5327">
        <w:t xml:space="preserve"> and addressin</w:t>
      </w:r>
      <w:r w:rsidRPr="001D5327">
        <w:rPr>
          <w:rFonts w:asciiTheme="minorHAnsi" w:hAnsiTheme="minorHAnsi" w:cstheme="minorBidi"/>
          <w:color w:val="000000" w:themeColor="text1"/>
        </w:rPr>
        <w:t>g key measurement gaps. This work will substantially improve the accuracy of soil carbon estimates and provide a framework to include management effects within land uses. This planned improvement will help address</w:t>
      </w:r>
      <w:r w:rsidRPr="001D5327">
        <w:t xml:space="preserve"> review recommendations L.1 and L.12 2023 (FCCC/ARR/2022/NZL, UNFCCC, 2023). Data will be incorporated into the NIR as they become available.</w:t>
      </w:r>
    </w:p>
    <w:p w14:paraId="71517BC2" w14:textId="77777777" w:rsidR="00E0181F" w:rsidRPr="001D5327" w:rsidRDefault="00E0181F" w:rsidP="00E0181F">
      <w:pPr>
        <w:pStyle w:val="Heading2"/>
        <w:spacing w:before="320"/>
      </w:pPr>
      <w:bookmarkStart w:id="1708" w:name="_Toc361645361"/>
      <w:bookmarkStart w:id="1709" w:name="_Toc391024698"/>
      <w:bookmarkStart w:id="1710" w:name="_Toc414531315"/>
      <w:bookmarkStart w:id="1711" w:name="_Toc474335457"/>
      <w:bookmarkStart w:id="1712" w:name="_Toc481751397"/>
      <w:bookmarkStart w:id="1713" w:name="_Toc522013949"/>
      <w:bookmarkStart w:id="1714" w:name="_Toc5269374"/>
      <w:bookmarkStart w:id="1715" w:name="_Toc36224414"/>
      <w:bookmarkStart w:id="1716" w:name="_Toc131591249"/>
      <w:bookmarkStart w:id="1717" w:name="_Toc158980295"/>
      <w:bookmarkStart w:id="1718" w:name="_Toc164154203"/>
      <w:bookmarkStart w:id="1719" w:name="_Toc194312028"/>
      <w:r w:rsidRPr="001D5327">
        <w:lastRenderedPageBreak/>
        <w:t>6.2</w:t>
      </w:r>
      <w:r w:rsidRPr="001D5327">
        <w:tab/>
      </w:r>
      <w:r w:rsidRPr="001D5327">
        <w:rPr>
          <w:szCs w:val="32"/>
          <w:shd w:val="clear" w:color="auto" w:fill="FFFFFF"/>
        </w:rPr>
        <w:t>Land use definitions and the land representation approach(es) used and their correspondence to the land use, land-use change and forestry categories</w:t>
      </w:r>
      <w:bookmarkEnd w:id="1708"/>
      <w:bookmarkEnd w:id="1709"/>
      <w:bookmarkEnd w:id="1710"/>
      <w:bookmarkEnd w:id="1711"/>
      <w:bookmarkEnd w:id="1712"/>
      <w:bookmarkEnd w:id="1713"/>
      <w:bookmarkEnd w:id="1714"/>
      <w:bookmarkEnd w:id="1715"/>
      <w:bookmarkEnd w:id="1716"/>
      <w:bookmarkEnd w:id="1717"/>
      <w:bookmarkEnd w:id="1718"/>
      <w:bookmarkEnd w:id="1719"/>
    </w:p>
    <w:p w14:paraId="5E05ACFF" w14:textId="77777777" w:rsidR="00E0181F" w:rsidRPr="001D5327" w:rsidRDefault="00E0181F" w:rsidP="00E0181F">
      <w:pPr>
        <w:pStyle w:val="Heading3"/>
        <w:spacing w:before="240"/>
      </w:pPr>
      <w:r w:rsidRPr="001D5327">
        <w:t>6.2.1</w:t>
      </w:r>
      <w:r w:rsidRPr="001D5327">
        <w:tab/>
        <w:t>Land use category definitions</w:t>
      </w:r>
    </w:p>
    <w:p w14:paraId="1ACAA5A7" w14:textId="77777777" w:rsidR="00E0181F" w:rsidRPr="001D5327" w:rsidRDefault="00E0181F" w:rsidP="00E0181F">
      <w:pPr>
        <w:pStyle w:val="BodyText"/>
      </w:pPr>
      <w:r w:rsidRPr="001D5327">
        <w:t>New Zealand has subdivided the IPCC land use categories into 13 land use classes for reporting as shown in table 6.2.1.</w:t>
      </w:r>
    </w:p>
    <w:p w14:paraId="6B41CA89" w14:textId="77777777" w:rsidR="00E0181F" w:rsidRPr="001D5327" w:rsidRDefault="00E0181F" w:rsidP="00E0181F">
      <w:pPr>
        <w:pStyle w:val="Table"/>
      </w:pPr>
      <w:bookmarkStart w:id="1720" w:name="_Toc158979946"/>
      <w:bookmarkStart w:id="1721" w:name="_Toc164153879"/>
      <w:bookmarkStart w:id="1722" w:name="_Toc190873113"/>
      <w:bookmarkStart w:id="1723" w:name="_Toc194241752"/>
      <w:r w:rsidRPr="001D5327">
        <w:t>Table 6.2.1</w:t>
      </w:r>
      <w:r w:rsidRPr="001D5327">
        <w:tab/>
        <w:t>New Zealand’s land use categories and land uses</w:t>
      </w:r>
      <w:bookmarkEnd w:id="1720"/>
      <w:bookmarkEnd w:id="1721"/>
      <w:bookmarkEnd w:id="1722"/>
      <w:bookmarkEnd w:id="1723"/>
    </w:p>
    <w:tbl>
      <w:tblPr>
        <w:tblW w:w="8505" w:type="dxa"/>
        <w:tblBorders>
          <w:bottom w:val="single" w:sz="8" w:space="0" w:color="365F91"/>
        </w:tblBorders>
        <w:tblLook w:val="04A0" w:firstRow="1" w:lastRow="0" w:firstColumn="1" w:lastColumn="0" w:noHBand="0" w:noVBand="1"/>
      </w:tblPr>
      <w:tblGrid>
        <w:gridCol w:w="3114"/>
        <w:gridCol w:w="5391"/>
      </w:tblGrid>
      <w:tr w:rsidR="00E0181F" w:rsidRPr="001D5327" w14:paraId="6D93A026" w14:textId="77777777" w:rsidTr="00D11AC9">
        <w:trPr>
          <w:tblHeader/>
        </w:trPr>
        <w:tc>
          <w:tcPr>
            <w:tcW w:w="2427" w:type="dxa"/>
            <w:tcBorders>
              <w:top w:val="single" w:sz="4" w:space="0" w:color="1B556B" w:themeColor="text2"/>
              <w:bottom w:val="single" w:sz="4" w:space="0" w:color="1B556B" w:themeColor="text2"/>
              <w:right w:val="nil"/>
            </w:tcBorders>
            <w:shd w:val="clear" w:color="auto" w:fill="1B556B" w:themeFill="text2"/>
          </w:tcPr>
          <w:p w14:paraId="5603E5ED" w14:textId="77777777" w:rsidR="00E0181F" w:rsidRPr="001D5327" w:rsidRDefault="00E0181F" w:rsidP="00D11AC9">
            <w:pPr>
              <w:pStyle w:val="TableTextBold"/>
              <w:keepNext/>
              <w:spacing w:before="50" w:after="40"/>
              <w:rPr>
                <w:rFonts w:eastAsia="Arial Bold"/>
                <w:noProof w:val="0"/>
                <w:color w:val="FFFFFF"/>
              </w:rPr>
            </w:pPr>
            <w:r w:rsidRPr="001D5327">
              <w:rPr>
                <w:rFonts w:eastAsia="Arial Bold"/>
                <w:noProof w:val="0"/>
                <w:color w:val="FFFFFF"/>
              </w:rPr>
              <w:t xml:space="preserve">IPCC category </w:t>
            </w:r>
          </w:p>
        </w:tc>
        <w:tc>
          <w:tcPr>
            <w:tcW w:w="4202" w:type="dxa"/>
            <w:tcBorders>
              <w:top w:val="single" w:sz="4" w:space="0" w:color="1B556B" w:themeColor="text2"/>
              <w:bottom w:val="single" w:sz="4" w:space="0" w:color="1B556B" w:themeColor="text2"/>
            </w:tcBorders>
            <w:shd w:val="clear" w:color="auto" w:fill="1B556B" w:themeFill="text2"/>
          </w:tcPr>
          <w:p w14:paraId="6E988E2F" w14:textId="77777777" w:rsidR="00E0181F" w:rsidRPr="001D5327" w:rsidRDefault="00E0181F" w:rsidP="00D11AC9">
            <w:pPr>
              <w:pStyle w:val="TableTextBold"/>
              <w:spacing w:before="50" w:after="40"/>
              <w:rPr>
                <w:rFonts w:eastAsia="Arial Bold"/>
                <w:noProof w:val="0"/>
                <w:color w:val="FFFFFF"/>
              </w:rPr>
            </w:pPr>
            <w:r w:rsidRPr="001D5327">
              <w:rPr>
                <w:rFonts w:eastAsia="Arial Bold"/>
                <w:noProof w:val="0"/>
                <w:color w:val="FFFFFF"/>
              </w:rPr>
              <w:t xml:space="preserve">New Zealand land use </w:t>
            </w:r>
          </w:p>
        </w:tc>
      </w:tr>
      <w:tr w:rsidR="00E0181F" w:rsidRPr="001D5327" w14:paraId="601E06D0" w14:textId="77777777" w:rsidTr="00D11AC9">
        <w:tc>
          <w:tcPr>
            <w:tcW w:w="2427" w:type="dxa"/>
            <w:tcBorders>
              <w:top w:val="single" w:sz="4" w:space="0" w:color="1B556B" w:themeColor="text2"/>
              <w:bottom w:val="nil"/>
              <w:right w:val="nil"/>
            </w:tcBorders>
            <w:shd w:val="clear" w:color="auto" w:fill="auto"/>
          </w:tcPr>
          <w:p w14:paraId="5373D467" w14:textId="77777777" w:rsidR="00E0181F" w:rsidRPr="001D5327" w:rsidRDefault="00E0181F" w:rsidP="00D11AC9">
            <w:pPr>
              <w:pStyle w:val="TableText"/>
              <w:spacing w:before="40" w:after="40"/>
              <w:rPr>
                <w:rFonts w:eastAsia="Arial Bold"/>
              </w:rPr>
            </w:pPr>
            <w:r w:rsidRPr="001D5327">
              <w:rPr>
                <w:rFonts w:eastAsia="Arial Bold"/>
              </w:rPr>
              <w:t xml:space="preserve">Forest land </w:t>
            </w:r>
          </w:p>
        </w:tc>
        <w:tc>
          <w:tcPr>
            <w:tcW w:w="4202" w:type="dxa"/>
            <w:tcBorders>
              <w:top w:val="single" w:sz="4" w:space="0" w:color="1B556B" w:themeColor="text2"/>
              <w:bottom w:val="single" w:sz="4" w:space="0" w:color="1B556B" w:themeColor="text2"/>
            </w:tcBorders>
            <w:shd w:val="clear" w:color="auto" w:fill="auto"/>
          </w:tcPr>
          <w:p w14:paraId="1DA86456" w14:textId="77777777" w:rsidR="00E0181F" w:rsidRPr="001D5327" w:rsidRDefault="00E0181F" w:rsidP="00D11AC9">
            <w:pPr>
              <w:pStyle w:val="TableText"/>
              <w:spacing w:before="40" w:after="40"/>
              <w:rPr>
                <w:rFonts w:eastAsia="Arial Bold"/>
              </w:rPr>
            </w:pPr>
            <w:r w:rsidRPr="001D5327">
              <w:rPr>
                <w:rFonts w:eastAsia="Arial Bold"/>
              </w:rPr>
              <w:t xml:space="preserve">Pre-1990 natural </w:t>
            </w:r>
          </w:p>
        </w:tc>
      </w:tr>
      <w:tr w:rsidR="00E0181F" w:rsidRPr="001D5327" w14:paraId="00940D3C" w14:textId="77777777" w:rsidTr="00D11AC9">
        <w:tc>
          <w:tcPr>
            <w:tcW w:w="2427" w:type="dxa"/>
            <w:tcBorders>
              <w:top w:val="nil"/>
              <w:bottom w:val="nil"/>
              <w:right w:val="nil"/>
            </w:tcBorders>
            <w:shd w:val="clear" w:color="auto" w:fill="auto"/>
          </w:tcPr>
          <w:p w14:paraId="7AF85604" w14:textId="77777777" w:rsidR="00E0181F" w:rsidRPr="001D5327" w:rsidRDefault="00E0181F" w:rsidP="00D11AC9">
            <w:pPr>
              <w:pStyle w:val="TableText"/>
              <w:spacing w:before="40" w:after="40"/>
              <w:rPr>
                <w:rFonts w:eastAsia="Arial Bold"/>
              </w:rPr>
            </w:pPr>
          </w:p>
        </w:tc>
        <w:tc>
          <w:tcPr>
            <w:tcW w:w="4202" w:type="dxa"/>
            <w:tcBorders>
              <w:top w:val="single" w:sz="4" w:space="0" w:color="1B556B" w:themeColor="text2"/>
              <w:bottom w:val="single" w:sz="4" w:space="0" w:color="1B556B" w:themeColor="text2"/>
            </w:tcBorders>
            <w:shd w:val="clear" w:color="auto" w:fill="auto"/>
          </w:tcPr>
          <w:p w14:paraId="2408CC58" w14:textId="77777777" w:rsidR="00E0181F" w:rsidRPr="001D5327" w:rsidRDefault="00E0181F" w:rsidP="00D11AC9">
            <w:pPr>
              <w:pStyle w:val="TableText"/>
              <w:spacing w:before="40" w:after="40"/>
              <w:rPr>
                <w:rFonts w:eastAsia="Arial Bold"/>
              </w:rPr>
            </w:pPr>
            <w:r w:rsidRPr="001D5327">
              <w:rPr>
                <w:rFonts w:eastAsia="Arial Bold"/>
              </w:rPr>
              <w:t xml:space="preserve">Pre-1990 planted </w:t>
            </w:r>
          </w:p>
        </w:tc>
      </w:tr>
      <w:tr w:rsidR="00E0181F" w:rsidRPr="001D5327" w14:paraId="3A71F99A" w14:textId="77777777" w:rsidTr="00D11AC9">
        <w:tc>
          <w:tcPr>
            <w:tcW w:w="2427" w:type="dxa"/>
            <w:tcBorders>
              <w:bottom w:val="nil"/>
              <w:right w:val="nil"/>
            </w:tcBorders>
            <w:shd w:val="clear" w:color="auto" w:fill="auto"/>
          </w:tcPr>
          <w:p w14:paraId="4ACC724A" w14:textId="77777777" w:rsidR="00E0181F" w:rsidRPr="001D5327" w:rsidRDefault="00E0181F" w:rsidP="00D11AC9">
            <w:pPr>
              <w:pStyle w:val="TableText"/>
              <w:spacing w:before="40" w:after="40"/>
              <w:rPr>
                <w:rFonts w:eastAsia="Arial Bold"/>
              </w:rPr>
            </w:pPr>
          </w:p>
        </w:tc>
        <w:tc>
          <w:tcPr>
            <w:tcW w:w="4202" w:type="dxa"/>
            <w:tcBorders>
              <w:top w:val="single" w:sz="4" w:space="0" w:color="1B556B" w:themeColor="text2"/>
              <w:bottom w:val="single" w:sz="4" w:space="0" w:color="1B556B" w:themeColor="text2"/>
            </w:tcBorders>
            <w:shd w:val="clear" w:color="auto" w:fill="auto"/>
          </w:tcPr>
          <w:p w14:paraId="20496344" w14:textId="77777777" w:rsidR="00E0181F" w:rsidRPr="001D5327" w:rsidRDefault="00E0181F" w:rsidP="00D11AC9">
            <w:pPr>
              <w:pStyle w:val="TableText"/>
              <w:spacing w:before="40" w:after="40"/>
              <w:rPr>
                <w:rFonts w:eastAsia="Arial Bold"/>
              </w:rPr>
            </w:pPr>
            <w:r w:rsidRPr="001D5327">
              <w:rPr>
                <w:rFonts w:eastAsia="Arial Bold"/>
              </w:rPr>
              <w:t>Post-1989 natural</w:t>
            </w:r>
            <w:r w:rsidRPr="001D5327">
              <w:rPr>
                <w:rFonts w:eastAsia="Arial Bold"/>
                <w:vertAlign w:val="superscript"/>
              </w:rPr>
              <w:t>1</w:t>
            </w:r>
          </w:p>
        </w:tc>
      </w:tr>
      <w:tr w:rsidR="00E0181F" w:rsidRPr="001D5327" w14:paraId="7793A5D2" w14:textId="77777777" w:rsidTr="00D11AC9">
        <w:tc>
          <w:tcPr>
            <w:tcW w:w="2427" w:type="dxa"/>
            <w:tcBorders>
              <w:bottom w:val="single" w:sz="4" w:space="0" w:color="1B556B" w:themeColor="text2"/>
              <w:right w:val="nil"/>
            </w:tcBorders>
            <w:shd w:val="clear" w:color="auto" w:fill="auto"/>
          </w:tcPr>
          <w:p w14:paraId="418150E0" w14:textId="77777777" w:rsidR="00E0181F" w:rsidRPr="001D5327" w:rsidRDefault="00E0181F" w:rsidP="00D11AC9">
            <w:pPr>
              <w:pStyle w:val="TableText"/>
              <w:spacing w:before="40" w:after="40"/>
              <w:rPr>
                <w:rFonts w:eastAsia="Arial Bold"/>
              </w:rPr>
            </w:pPr>
          </w:p>
        </w:tc>
        <w:tc>
          <w:tcPr>
            <w:tcW w:w="4202" w:type="dxa"/>
            <w:tcBorders>
              <w:top w:val="single" w:sz="4" w:space="0" w:color="1B556B" w:themeColor="text2"/>
              <w:bottom w:val="single" w:sz="2" w:space="0" w:color="365F91"/>
            </w:tcBorders>
            <w:shd w:val="clear" w:color="auto" w:fill="auto"/>
          </w:tcPr>
          <w:p w14:paraId="1908899A" w14:textId="77777777" w:rsidR="00E0181F" w:rsidRPr="001D5327" w:rsidRDefault="00E0181F" w:rsidP="00D11AC9">
            <w:pPr>
              <w:pStyle w:val="TableText"/>
              <w:spacing w:before="40" w:after="40"/>
              <w:rPr>
                <w:rFonts w:eastAsia="Arial Bold"/>
              </w:rPr>
            </w:pPr>
            <w:r w:rsidRPr="001D5327">
              <w:rPr>
                <w:rFonts w:eastAsia="Arial Bold"/>
              </w:rPr>
              <w:t>Post-1989 planted</w:t>
            </w:r>
            <w:r w:rsidRPr="001D5327">
              <w:rPr>
                <w:rFonts w:eastAsia="Arial Bold"/>
                <w:vertAlign w:val="superscript"/>
              </w:rPr>
              <w:t>1</w:t>
            </w:r>
          </w:p>
        </w:tc>
      </w:tr>
      <w:tr w:rsidR="00E0181F" w:rsidRPr="001D5327" w14:paraId="1CD86E65" w14:textId="77777777" w:rsidTr="00D11AC9">
        <w:tc>
          <w:tcPr>
            <w:tcW w:w="2427" w:type="dxa"/>
            <w:tcBorders>
              <w:top w:val="single" w:sz="4" w:space="0" w:color="1B556B" w:themeColor="text2"/>
              <w:bottom w:val="nil"/>
              <w:right w:val="nil"/>
            </w:tcBorders>
            <w:shd w:val="clear" w:color="auto" w:fill="auto"/>
          </w:tcPr>
          <w:p w14:paraId="764D5110" w14:textId="77777777" w:rsidR="00E0181F" w:rsidRPr="001D5327" w:rsidRDefault="00E0181F" w:rsidP="00D11AC9">
            <w:pPr>
              <w:pStyle w:val="TableText"/>
              <w:spacing w:before="40" w:after="40"/>
              <w:rPr>
                <w:rFonts w:eastAsia="Arial Bold"/>
              </w:rPr>
            </w:pPr>
            <w:r w:rsidRPr="001D5327">
              <w:rPr>
                <w:rFonts w:eastAsia="Arial Bold"/>
              </w:rPr>
              <w:t xml:space="preserve">Cropland </w:t>
            </w:r>
          </w:p>
        </w:tc>
        <w:tc>
          <w:tcPr>
            <w:tcW w:w="4202" w:type="dxa"/>
            <w:tcBorders>
              <w:top w:val="single" w:sz="2" w:space="0" w:color="365F91"/>
              <w:bottom w:val="single" w:sz="4" w:space="0" w:color="1B556B" w:themeColor="text2"/>
            </w:tcBorders>
            <w:shd w:val="clear" w:color="auto" w:fill="auto"/>
          </w:tcPr>
          <w:p w14:paraId="0F2BC2AF" w14:textId="77777777" w:rsidR="00E0181F" w:rsidRPr="001D5327" w:rsidRDefault="00E0181F" w:rsidP="00D11AC9">
            <w:pPr>
              <w:pStyle w:val="TableText"/>
              <w:spacing w:before="40" w:after="40"/>
              <w:rPr>
                <w:rFonts w:eastAsia="Arial Bold"/>
              </w:rPr>
            </w:pPr>
            <w:r w:rsidRPr="001D5327">
              <w:rPr>
                <w:rFonts w:eastAsia="Arial Bold"/>
              </w:rPr>
              <w:t xml:space="preserve">Annual </w:t>
            </w:r>
          </w:p>
        </w:tc>
      </w:tr>
      <w:tr w:rsidR="00E0181F" w:rsidRPr="001D5327" w14:paraId="45D71ABA" w14:textId="77777777" w:rsidTr="00D11AC9">
        <w:tc>
          <w:tcPr>
            <w:tcW w:w="2427" w:type="dxa"/>
            <w:tcBorders>
              <w:bottom w:val="single" w:sz="4" w:space="0" w:color="1B556B" w:themeColor="text2"/>
              <w:right w:val="nil"/>
            </w:tcBorders>
            <w:shd w:val="clear" w:color="auto" w:fill="auto"/>
          </w:tcPr>
          <w:p w14:paraId="360FE2B9" w14:textId="77777777" w:rsidR="00E0181F" w:rsidRPr="001D5327" w:rsidRDefault="00E0181F" w:rsidP="00D11AC9">
            <w:pPr>
              <w:pStyle w:val="TableText"/>
              <w:spacing w:before="40" w:after="40"/>
              <w:rPr>
                <w:rFonts w:eastAsia="Arial Bold"/>
              </w:rPr>
            </w:pPr>
          </w:p>
        </w:tc>
        <w:tc>
          <w:tcPr>
            <w:tcW w:w="4202" w:type="dxa"/>
            <w:tcBorders>
              <w:top w:val="single" w:sz="4" w:space="0" w:color="1B556B" w:themeColor="text2"/>
              <w:bottom w:val="single" w:sz="4" w:space="0" w:color="1B556B" w:themeColor="text2"/>
            </w:tcBorders>
            <w:shd w:val="clear" w:color="auto" w:fill="auto"/>
          </w:tcPr>
          <w:p w14:paraId="1A79985E" w14:textId="77777777" w:rsidR="00E0181F" w:rsidRPr="001D5327" w:rsidRDefault="00E0181F" w:rsidP="00D11AC9">
            <w:pPr>
              <w:pStyle w:val="TableText"/>
              <w:spacing w:before="40" w:after="40"/>
              <w:rPr>
                <w:rFonts w:eastAsia="Arial Bold"/>
              </w:rPr>
            </w:pPr>
            <w:r w:rsidRPr="001D5327">
              <w:rPr>
                <w:rFonts w:eastAsia="Arial Bold"/>
              </w:rPr>
              <w:t xml:space="preserve">Perennial </w:t>
            </w:r>
          </w:p>
        </w:tc>
      </w:tr>
      <w:tr w:rsidR="00E0181F" w:rsidRPr="001D5327" w14:paraId="546237A7" w14:textId="77777777" w:rsidTr="00D11AC9">
        <w:tc>
          <w:tcPr>
            <w:tcW w:w="2427" w:type="dxa"/>
            <w:tcBorders>
              <w:top w:val="single" w:sz="4" w:space="0" w:color="1B556B" w:themeColor="text2"/>
              <w:bottom w:val="nil"/>
              <w:right w:val="nil"/>
            </w:tcBorders>
            <w:shd w:val="clear" w:color="auto" w:fill="auto"/>
          </w:tcPr>
          <w:p w14:paraId="68291D78" w14:textId="77777777" w:rsidR="00E0181F" w:rsidRPr="001D5327" w:rsidRDefault="00E0181F" w:rsidP="00D11AC9">
            <w:pPr>
              <w:pStyle w:val="TableText"/>
              <w:spacing w:before="40" w:after="40"/>
              <w:rPr>
                <w:rFonts w:eastAsia="Arial Bold"/>
              </w:rPr>
            </w:pPr>
            <w:r w:rsidRPr="001D5327">
              <w:rPr>
                <w:rFonts w:eastAsia="Arial Bold"/>
              </w:rPr>
              <w:t xml:space="preserve">Grassland </w:t>
            </w:r>
          </w:p>
        </w:tc>
        <w:tc>
          <w:tcPr>
            <w:tcW w:w="4202" w:type="dxa"/>
            <w:tcBorders>
              <w:top w:val="single" w:sz="4" w:space="0" w:color="1B556B" w:themeColor="text2"/>
              <w:bottom w:val="single" w:sz="4" w:space="0" w:color="1B556B" w:themeColor="text2"/>
            </w:tcBorders>
            <w:shd w:val="clear" w:color="auto" w:fill="auto"/>
          </w:tcPr>
          <w:p w14:paraId="0C5C84E0" w14:textId="77777777" w:rsidR="00E0181F" w:rsidRPr="001D5327" w:rsidRDefault="00E0181F" w:rsidP="00D11AC9">
            <w:pPr>
              <w:pStyle w:val="TableText"/>
              <w:spacing w:before="40" w:after="40"/>
              <w:rPr>
                <w:rFonts w:eastAsia="Arial Bold"/>
              </w:rPr>
            </w:pPr>
            <w:r w:rsidRPr="001D5327">
              <w:rPr>
                <w:rFonts w:eastAsia="Arial Bold"/>
              </w:rPr>
              <w:t xml:space="preserve">High producing </w:t>
            </w:r>
          </w:p>
        </w:tc>
      </w:tr>
      <w:tr w:rsidR="00E0181F" w:rsidRPr="001D5327" w14:paraId="176BA49E" w14:textId="77777777" w:rsidTr="00D11AC9">
        <w:tc>
          <w:tcPr>
            <w:tcW w:w="2427" w:type="dxa"/>
            <w:tcBorders>
              <w:bottom w:val="nil"/>
              <w:right w:val="nil"/>
            </w:tcBorders>
            <w:shd w:val="clear" w:color="auto" w:fill="auto"/>
          </w:tcPr>
          <w:p w14:paraId="56FDD6EF" w14:textId="77777777" w:rsidR="00E0181F" w:rsidRPr="001D5327" w:rsidRDefault="00E0181F" w:rsidP="00D11AC9">
            <w:pPr>
              <w:pStyle w:val="TableText"/>
              <w:spacing w:before="40" w:after="40"/>
              <w:rPr>
                <w:rFonts w:eastAsia="Arial Bold"/>
              </w:rPr>
            </w:pPr>
          </w:p>
        </w:tc>
        <w:tc>
          <w:tcPr>
            <w:tcW w:w="4202" w:type="dxa"/>
            <w:tcBorders>
              <w:top w:val="single" w:sz="4" w:space="0" w:color="1B556B" w:themeColor="text2"/>
              <w:bottom w:val="single" w:sz="4" w:space="0" w:color="1B556B" w:themeColor="text2"/>
            </w:tcBorders>
            <w:shd w:val="clear" w:color="auto" w:fill="auto"/>
          </w:tcPr>
          <w:p w14:paraId="632B83C9" w14:textId="77777777" w:rsidR="00E0181F" w:rsidRPr="001D5327" w:rsidRDefault="00E0181F" w:rsidP="00D11AC9">
            <w:pPr>
              <w:pStyle w:val="TableText"/>
              <w:spacing w:before="40" w:after="40"/>
              <w:rPr>
                <w:rFonts w:eastAsia="Arial Bold"/>
              </w:rPr>
            </w:pPr>
            <w:r w:rsidRPr="001D5327">
              <w:rPr>
                <w:rFonts w:eastAsia="Arial Bold"/>
              </w:rPr>
              <w:t xml:space="preserve">Low producing </w:t>
            </w:r>
          </w:p>
        </w:tc>
      </w:tr>
      <w:tr w:rsidR="00E0181F" w:rsidRPr="001D5327" w14:paraId="4791B310" w14:textId="77777777" w:rsidTr="00D11AC9">
        <w:tc>
          <w:tcPr>
            <w:tcW w:w="2427" w:type="dxa"/>
            <w:tcBorders>
              <w:top w:val="nil"/>
              <w:bottom w:val="single" w:sz="4" w:space="0" w:color="1B556B" w:themeColor="text2"/>
              <w:right w:val="nil"/>
            </w:tcBorders>
            <w:shd w:val="clear" w:color="auto" w:fill="auto"/>
          </w:tcPr>
          <w:p w14:paraId="1796F8C6" w14:textId="77777777" w:rsidR="00E0181F" w:rsidRPr="001D5327" w:rsidRDefault="00E0181F" w:rsidP="00D11AC9">
            <w:pPr>
              <w:pStyle w:val="TableText"/>
              <w:spacing w:before="40" w:after="40"/>
              <w:rPr>
                <w:rFonts w:eastAsia="Arial Bold"/>
              </w:rPr>
            </w:pPr>
          </w:p>
        </w:tc>
        <w:tc>
          <w:tcPr>
            <w:tcW w:w="4202" w:type="dxa"/>
            <w:tcBorders>
              <w:top w:val="single" w:sz="4" w:space="0" w:color="1B556B" w:themeColor="text2"/>
              <w:bottom w:val="single" w:sz="4" w:space="0" w:color="1B556B" w:themeColor="text2"/>
            </w:tcBorders>
            <w:shd w:val="clear" w:color="auto" w:fill="auto"/>
          </w:tcPr>
          <w:p w14:paraId="15D28053" w14:textId="77777777" w:rsidR="00E0181F" w:rsidRPr="001D5327" w:rsidRDefault="00E0181F" w:rsidP="00D11AC9">
            <w:pPr>
              <w:pStyle w:val="TableText"/>
              <w:spacing w:before="40" w:after="40"/>
              <w:rPr>
                <w:rFonts w:eastAsia="Arial Bold"/>
              </w:rPr>
            </w:pPr>
            <w:r w:rsidRPr="001D5327">
              <w:rPr>
                <w:rFonts w:eastAsia="Arial Bold"/>
              </w:rPr>
              <w:t>With woody biomass</w:t>
            </w:r>
          </w:p>
        </w:tc>
      </w:tr>
      <w:tr w:rsidR="00E0181F" w:rsidRPr="001D5327" w14:paraId="14F6BF84" w14:textId="77777777" w:rsidTr="00D11AC9">
        <w:tc>
          <w:tcPr>
            <w:tcW w:w="2427" w:type="dxa"/>
            <w:tcBorders>
              <w:top w:val="single" w:sz="4" w:space="0" w:color="1B556B" w:themeColor="text2"/>
              <w:bottom w:val="nil"/>
              <w:right w:val="nil"/>
            </w:tcBorders>
            <w:shd w:val="clear" w:color="auto" w:fill="auto"/>
          </w:tcPr>
          <w:p w14:paraId="3B8F4E85" w14:textId="77777777" w:rsidR="00E0181F" w:rsidRPr="001D5327" w:rsidRDefault="00E0181F" w:rsidP="00D11AC9">
            <w:pPr>
              <w:pStyle w:val="TableText"/>
              <w:spacing w:before="40" w:after="40"/>
            </w:pPr>
            <w:r w:rsidRPr="001D5327">
              <w:t>Wetlands</w:t>
            </w:r>
          </w:p>
        </w:tc>
        <w:tc>
          <w:tcPr>
            <w:tcW w:w="4202" w:type="dxa"/>
            <w:tcBorders>
              <w:top w:val="single" w:sz="4" w:space="0" w:color="1B556B" w:themeColor="text2"/>
              <w:bottom w:val="single" w:sz="4" w:space="0" w:color="1B556B" w:themeColor="text2"/>
            </w:tcBorders>
            <w:shd w:val="clear" w:color="auto" w:fill="auto"/>
          </w:tcPr>
          <w:p w14:paraId="03C418C4" w14:textId="77777777" w:rsidR="00E0181F" w:rsidRPr="001D5327" w:rsidRDefault="00E0181F" w:rsidP="00D11AC9">
            <w:pPr>
              <w:pStyle w:val="TableText"/>
              <w:keepNext/>
              <w:spacing w:before="40" w:after="40"/>
              <w:rPr>
                <w:rFonts w:eastAsia="Arial Bold"/>
              </w:rPr>
            </w:pPr>
            <w:r w:rsidRPr="001D5327">
              <w:rPr>
                <w:rFonts w:eastAsia="Arial Bold"/>
              </w:rPr>
              <w:t xml:space="preserve">Open water </w:t>
            </w:r>
          </w:p>
        </w:tc>
      </w:tr>
      <w:tr w:rsidR="00E0181F" w:rsidRPr="001D5327" w14:paraId="575672C9" w14:textId="77777777" w:rsidTr="00D11AC9">
        <w:tc>
          <w:tcPr>
            <w:tcW w:w="2427" w:type="dxa"/>
            <w:tcBorders>
              <w:top w:val="nil"/>
              <w:bottom w:val="single" w:sz="4" w:space="0" w:color="1B556B" w:themeColor="text2"/>
              <w:right w:val="nil"/>
            </w:tcBorders>
            <w:shd w:val="clear" w:color="auto" w:fill="auto"/>
          </w:tcPr>
          <w:p w14:paraId="591DFA27" w14:textId="77777777" w:rsidR="00E0181F" w:rsidRPr="001D5327" w:rsidRDefault="00E0181F" w:rsidP="00D11AC9">
            <w:pPr>
              <w:pStyle w:val="TableText"/>
              <w:spacing w:before="40" w:after="40"/>
            </w:pPr>
          </w:p>
        </w:tc>
        <w:tc>
          <w:tcPr>
            <w:tcW w:w="4202" w:type="dxa"/>
            <w:tcBorders>
              <w:top w:val="single" w:sz="4" w:space="0" w:color="1B556B" w:themeColor="text2"/>
              <w:bottom w:val="single" w:sz="4" w:space="0" w:color="1B556B" w:themeColor="text2"/>
            </w:tcBorders>
            <w:shd w:val="clear" w:color="auto" w:fill="auto"/>
          </w:tcPr>
          <w:p w14:paraId="6E1283C8" w14:textId="77777777" w:rsidR="00E0181F" w:rsidRPr="001D5327" w:rsidRDefault="00E0181F" w:rsidP="00D11AC9">
            <w:pPr>
              <w:pStyle w:val="TableText"/>
              <w:keepNext/>
              <w:spacing w:before="40" w:after="40"/>
              <w:rPr>
                <w:rFonts w:eastAsia="Arial Bold"/>
              </w:rPr>
            </w:pPr>
            <w:r w:rsidRPr="001D5327">
              <w:rPr>
                <w:rFonts w:eastAsia="Arial Bold"/>
              </w:rPr>
              <w:t xml:space="preserve">Vegetated </w:t>
            </w:r>
          </w:p>
        </w:tc>
      </w:tr>
      <w:tr w:rsidR="00E0181F" w:rsidRPr="001D5327" w14:paraId="7C32C61C" w14:textId="77777777" w:rsidTr="00D11AC9">
        <w:tc>
          <w:tcPr>
            <w:tcW w:w="2427" w:type="dxa"/>
            <w:tcBorders>
              <w:top w:val="single" w:sz="4" w:space="0" w:color="1B556B" w:themeColor="text2"/>
              <w:bottom w:val="single" w:sz="4" w:space="0" w:color="1B556B" w:themeColor="text2"/>
              <w:right w:val="nil"/>
            </w:tcBorders>
            <w:shd w:val="clear" w:color="auto" w:fill="auto"/>
          </w:tcPr>
          <w:p w14:paraId="2A7E6ED9" w14:textId="77777777" w:rsidR="00E0181F" w:rsidRPr="001D5327" w:rsidRDefault="00E0181F" w:rsidP="00D11AC9">
            <w:pPr>
              <w:pStyle w:val="TableText"/>
              <w:spacing w:before="40" w:after="40"/>
              <w:rPr>
                <w:rFonts w:eastAsia="Arial Bold"/>
              </w:rPr>
            </w:pPr>
            <w:r w:rsidRPr="001D5327">
              <w:rPr>
                <w:rFonts w:eastAsia="Arial Bold"/>
              </w:rPr>
              <w:t>Settlements</w:t>
            </w:r>
          </w:p>
        </w:tc>
        <w:tc>
          <w:tcPr>
            <w:tcW w:w="4202" w:type="dxa"/>
            <w:tcBorders>
              <w:top w:val="single" w:sz="4" w:space="0" w:color="1B556B" w:themeColor="text2"/>
              <w:bottom w:val="single" w:sz="4" w:space="0" w:color="1B556B" w:themeColor="text2"/>
            </w:tcBorders>
            <w:shd w:val="clear" w:color="auto" w:fill="auto"/>
          </w:tcPr>
          <w:p w14:paraId="4F6F4EE7" w14:textId="77777777" w:rsidR="00E0181F" w:rsidRPr="001D5327" w:rsidRDefault="00E0181F" w:rsidP="00D11AC9">
            <w:pPr>
              <w:pStyle w:val="TableText"/>
              <w:spacing w:before="40" w:after="40"/>
              <w:rPr>
                <w:rFonts w:eastAsia="Arial Bold"/>
              </w:rPr>
            </w:pPr>
            <w:r w:rsidRPr="001D5327">
              <w:rPr>
                <w:rFonts w:eastAsia="Arial Bold"/>
              </w:rPr>
              <w:t>Settlements</w:t>
            </w:r>
          </w:p>
        </w:tc>
      </w:tr>
      <w:tr w:rsidR="00E0181F" w:rsidRPr="001D5327" w14:paraId="5268DBB5" w14:textId="77777777" w:rsidTr="00D11AC9">
        <w:tc>
          <w:tcPr>
            <w:tcW w:w="2427" w:type="dxa"/>
            <w:tcBorders>
              <w:top w:val="single" w:sz="4" w:space="0" w:color="1B556B" w:themeColor="text2"/>
              <w:bottom w:val="single" w:sz="4" w:space="0" w:color="1B556B" w:themeColor="text2"/>
              <w:right w:val="nil"/>
            </w:tcBorders>
            <w:shd w:val="clear" w:color="auto" w:fill="auto"/>
          </w:tcPr>
          <w:p w14:paraId="42E72A57" w14:textId="77777777" w:rsidR="00E0181F" w:rsidRPr="001D5327" w:rsidRDefault="00E0181F" w:rsidP="00D11AC9">
            <w:pPr>
              <w:pStyle w:val="TableText"/>
              <w:spacing w:before="40" w:after="40"/>
              <w:rPr>
                <w:rFonts w:eastAsia="Arial Bold"/>
              </w:rPr>
            </w:pPr>
            <w:r w:rsidRPr="001D5327">
              <w:rPr>
                <w:rFonts w:eastAsia="Arial Bold"/>
              </w:rPr>
              <w:t>Other land</w:t>
            </w:r>
          </w:p>
        </w:tc>
        <w:tc>
          <w:tcPr>
            <w:tcW w:w="4202" w:type="dxa"/>
            <w:tcBorders>
              <w:top w:val="single" w:sz="4" w:space="0" w:color="1B556B" w:themeColor="text2"/>
              <w:bottom w:val="single" w:sz="4" w:space="0" w:color="1B556B" w:themeColor="text2"/>
            </w:tcBorders>
            <w:shd w:val="clear" w:color="auto" w:fill="auto"/>
          </w:tcPr>
          <w:p w14:paraId="39502359" w14:textId="77777777" w:rsidR="00E0181F" w:rsidRPr="001D5327" w:rsidRDefault="00E0181F" w:rsidP="00D11AC9">
            <w:pPr>
              <w:pStyle w:val="TableText"/>
              <w:spacing w:before="40" w:after="40"/>
              <w:rPr>
                <w:rFonts w:eastAsia="Arial Bold"/>
              </w:rPr>
            </w:pPr>
            <w:r w:rsidRPr="001D5327">
              <w:rPr>
                <w:rFonts w:eastAsia="Arial Bold"/>
              </w:rPr>
              <w:t>Other land</w:t>
            </w:r>
          </w:p>
        </w:tc>
      </w:tr>
    </w:tbl>
    <w:p w14:paraId="1BC18872" w14:textId="77777777" w:rsidR="00E0181F" w:rsidRPr="001D5327" w:rsidRDefault="00E0181F" w:rsidP="00E0181F">
      <w:pPr>
        <w:pStyle w:val="Noteundertable"/>
        <w:spacing w:after="0"/>
      </w:pPr>
      <w:r w:rsidRPr="001D5327">
        <w:rPr>
          <w:b/>
        </w:rPr>
        <w:t>Note:</w:t>
      </w:r>
      <w:r w:rsidRPr="001D5327">
        <w:tab/>
      </w:r>
      <w:r w:rsidRPr="001D5327">
        <w:rPr>
          <w:vertAlign w:val="superscript"/>
        </w:rPr>
        <w:t>1</w:t>
      </w:r>
      <w:r w:rsidRPr="001D5327">
        <w:t xml:space="preserve"> Mapped as a single land use but stratified into ‘post-1989 natural’ and ‘post-1989 planted’ for calculating carbon stock and stock change using data from the plot network.</w:t>
      </w:r>
    </w:p>
    <w:p w14:paraId="6A9C4126" w14:textId="1292756D" w:rsidR="00E0181F" w:rsidRPr="001D5327" w:rsidRDefault="00E0181F" w:rsidP="00E0181F">
      <w:pPr>
        <w:pStyle w:val="BodyText"/>
        <w:spacing w:after="100"/>
      </w:pPr>
      <w:r w:rsidRPr="001D5327">
        <w:t>The land uses were chosen for their conformance with the dominant types in New Zealand, while still enabling reporting under the land use categories specified in the 2006 IPCC Guidelines</w:t>
      </w:r>
      <w:r w:rsidRPr="001D5327" w:rsidDel="00663F9D">
        <w:t xml:space="preserve"> </w:t>
      </w:r>
      <w:r w:rsidRPr="001D5327">
        <w:t>(IPCC, 2006a). The division of forest land uses into pre-1990 and post-1989 classes was made to support accounting under the Kyoto Protocol and the Paris Agreement (see annex 9, for further information on New Zealand’s approach to LULUCF accounting under the</w:t>
      </w:r>
      <w:r w:rsidR="00D046FE" w:rsidRPr="001D5327">
        <w:t> </w:t>
      </w:r>
      <w:r w:rsidRPr="001D5327">
        <w:t xml:space="preserve">Paris Agreement). </w:t>
      </w:r>
    </w:p>
    <w:p w14:paraId="077C3071" w14:textId="77777777" w:rsidR="00E0181F" w:rsidRPr="001D5327" w:rsidRDefault="00E0181F" w:rsidP="00E0181F">
      <w:pPr>
        <w:pStyle w:val="BodyText"/>
        <w:spacing w:before="100" w:after="100"/>
      </w:pPr>
      <w:r w:rsidRPr="001D5327">
        <w:t xml:space="preserve">The national thresholds used by New Zealand to define </w:t>
      </w:r>
      <w:r w:rsidRPr="001D5327">
        <w:rPr>
          <w:i/>
        </w:rPr>
        <w:t>Forest land</w:t>
      </w:r>
      <w:r w:rsidRPr="001D5327">
        <w:t xml:space="preserve"> are: </w:t>
      </w:r>
    </w:p>
    <w:p w14:paraId="425B062A" w14:textId="77777777" w:rsidR="00E0181F" w:rsidRPr="001D5327" w:rsidRDefault="00E0181F" w:rsidP="00407428">
      <w:pPr>
        <w:pStyle w:val="Bullet"/>
        <w:numPr>
          <w:ilvl w:val="0"/>
          <w:numId w:val="23"/>
        </w:numPr>
        <w:spacing w:after="100"/>
        <w:ind w:left="397" w:hanging="397"/>
      </w:pPr>
      <w:r w:rsidRPr="001D5327">
        <w:t>a minimum area of 1 hectare</w:t>
      </w:r>
    </w:p>
    <w:p w14:paraId="39084C0E" w14:textId="77777777" w:rsidR="00E0181F" w:rsidRPr="001D5327" w:rsidRDefault="00E0181F" w:rsidP="00407428">
      <w:pPr>
        <w:pStyle w:val="Bullet"/>
        <w:numPr>
          <w:ilvl w:val="0"/>
          <w:numId w:val="23"/>
        </w:numPr>
        <w:spacing w:after="100"/>
        <w:ind w:left="397" w:hanging="397"/>
      </w:pPr>
      <w:r w:rsidRPr="001D5327">
        <w:t>a crown cover of at least 30 per cent</w:t>
      </w:r>
    </w:p>
    <w:p w14:paraId="0E5A83EA" w14:textId="77777777" w:rsidR="00E0181F" w:rsidRPr="001D5327" w:rsidRDefault="00E0181F" w:rsidP="00407428">
      <w:pPr>
        <w:pStyle w:val="Bullet"/>
        <w:numPr>
          <w:ilvl w:val="0"/>
          <w:numId w:val="23"/>
        </w:numPr>
        <w:spacing w:after="100"/>
        <w:ind w:left="397" w:hanging="397"/>
      </w:pPr>
      <w:r w:rsidRPr="001D5327">
        <w:t xml:space="preserve">a minimum height of 5 metres at maturity </w:t>
      </w:r>
      <w:r w:rsidRPr="001D5327">
        <w:rPr>
          <w:i/>
          <w:iCs/>
        </w:rPr>
        <w:t>in situ</w:t>
      </w:r>
      <w:r w:rsidRPr="001D5327">
        <w:t xml:space="preserve"> (Ministry for the Environment, 2006)</w:t>
      </w:r>
    </w:p>
    <w:p w14:paraId="41835EC8" w14:textId="77777777" w:rsidR="00E0181F" w:rsidRPr="001D5327" w:rsidRDefault="00E0181F" w:rsidP="00407428">
      <w:pPr>
        <w:pStyle w:val="Bullet"/>
        <w:numPr>
          <w:ilvl w:val="0"/>
          <w:numId w:val="23"/>
        </w:numPr>
        <w:ind w:left="397" w:hanging="397"/>
      </w:pPr>
      <w:r w:rsidRPr="001D5327">
        <w:t xml:space="preserve">a minimum forest width of 30 metres from canopy edge to canopy edge. </w:t>
      </w:r>
    </w:p>
    <w:p w14:paraId="67D7F007" w14:textId="77777777" w:rsidR="00E0181F" w:rsidRPr="001D5327" w:rsidRDefault="00E0181F" w:rsidP="00E0181F">
      <w:pPr>
        <w:pStyle w:val="BodyText"/>
        <w:spacing w:before="100" w:after="100"/>
      </w:pPr>
      <w:r w:rsidRPr="001D5327">
        <w:t xml:space="preserve">The definitions of New Zealand’s land uses, as they have been mapped, are provided in table 6.2.2. Further details are included in </w:t>
      </w:r>
      <w:r w:rsidRPr="001D5327">
        <w:rPr>
          <w:i/>
        </w:rPr>
        <w:t>Land Use and Carbon Analysis System:</w:t>
      </w:r>
      <w:r w:rsidRPr="001D5327">
        <w:t xml:space="preserve"> </w:t>
      </w:r>
      <w:r w:rsidRPr="001D5327">
        <w:rPr>
          <w:i/>
        </w:rPr>
        <w:t xml:space="preserve">Satellite imagery interpretation guide for land use classes </w:t>
      </w:r>
      <w:r w:rsidRPr="001D5327">
        <w:t>(2nd edition) (Ministry for the Environment, 2012).</w:t>
      </w:r>
    </w:p>
    <w:p w14:paraId="6220206C" w14:textId="77777777" w:rsidR="00E0181F" w:rsidRPr="001D5327" w:rsidRDefault="00E0181F" w:rsidP="00E0181F">
      <w:pPr>
        <w:pStyle w:val="Table"/>
      </w:pPr>
      <w:bookmarkStart w:id="1724" w:name="_Toc158979947"/>
      <w:bookmarkStart w:id="1725" w:name="_Toc164153880"/>
      <w:bookmarkStart w:id="1726" w:name="_Toc190873114"/>
      <w:bookmarkStart w:id="1727" w:name="_Toc194241753"/>
      <w:r w:rsidRPr="001D5327">
        <w:lastRenderedPageBreak/>
        <w:t>Table 6.2.2</w:t>
      </w:r>
      <w:r w:rsidRPr="001D5327">
        <w:tab/>
        <w:t>New Zealand’s mapping definitions for each land use</w:t>
      </w:r>
      <w:bookmarkEnd w:id="1724"/>
      <w:bookmarkEnd w:id="1725"/>
      <w:bookmarkEnd w:id="1726"/>
      <w:bookmarkEnd w:id="1727"/>
    </w:p>
    <w:tbl>
      <w:tblPr>
        <w:tblW w:w="8505" w:type="dxa"/>
        <w:tblLook w:val="01E0" w:firstRow="1" w:lastRow="1" w:firstColumn="1" w:lastColumn="1" w:noHBand="0" w:noVBand="0"/>
      </w:tblPr>
      <w:tblGrid>
        <w:gridCol w:w="1276"/>
        <w:gridCol w:w="7229"/>
      </w:tblGrid>
      <w:tr w:rsidR="00E0181F" w:rsidRPr="001D5327" w14:paraId="170236B0" w14:textId="77777777" w:rsidTr="00D11AC9">
        <w:trPr>
          <w:tblHeader/>
        </w:trPr>
        <w:tc>
          <w:tcPr>
            <w:tcW w:w="1276" w:type="dxa"/>
            <w:tcBorders>
              <w:top w:val="single" w:sz="4" w:space="0" w:color="1B556B" w:themeColor="text2"/>
              <w:bottom w:val="single" w:sz="4" w:space="0" w:color="1B556B" w:themeColor="text2"/>
            </w:tcBorders>
            <w:shd w:val="clear" w:color="auto" w:fill="1B556B" w:themeFill="text2"/>
          </w:tcPr>
          <w:p w14:paraId="0588ADF3" w14:textId="77777777" w:rsidR="00E0181F" w:rsidRPr="001D5327" w:rsidRDefault="00E0181F" w:rsidP="00D11AC9">
            <w:pPr>
              <w:pStyle w:val="TableTextBold"/>
              <w:keepNext/>
              <w:rPr>
                <w:noProof w:val="0"/>
                <w:color w:val="FFFFFF"/>
              </w:rPr>
            </w:pPr>
            <w:r w:rsidRPr="001D5327">
              <w:rPr>
                <w:noProof w:val="0"/>
                <w:color w:val="FFFFFF"/>
              </w:rPr>
              <w:t>Land use</w:t>
            </w:r>
          </w:p>
        </w:tc>
        <w:tc>
          <w:tcPr>
            <w:tcW w:w="7229" w:type="dxa"/>
            <w:tcBorders>
              <w:top w:val="single" w:sz="4" w:space="0" w:color="1B556B" w:themeColor="text2"/>
              <w:bottom w:val="single" w:sz="4" w:space="0" w:color="1B556B" w:themeColor="text2"/>
            </w:tcBorders>
            <w:shd w:val="clear" w:color="auto" w:fill="1B556B" w:themeFill="text2"/>
            <w:vAlign w:val="bottom"/>
          </w:tcPr>
          <w:p w14:paraId="6785E72A" w14:textId="77777777" w:rsidR="00E0181F" w:rsidRPr="001D5327" w:rsidRDefault="00E0181F" w:rsidP="00D11AC9">
            <w:pPr>
              <w:pStyle w:val="TableTextBold"/>
              <w:keepNext/>
              <w:rPr>
                <w:noProof w:val="0"/>
                <w:color w:val="FFFFFF"/>
              </w:rPr>
            </w:pPr>
            <w:r w:rsidRPr="001D5327">
              <w:rPr>
                <w:noProof w:val="0"/>
                <w:color w:val="FFFFFF"/>
              </w:rPr>
              <w:t>Definition</w:t>
            </w:r>
          </w:p>
        </w:tc>
      </w:tr>
      <w:tr w:rsidR="00E0181F" w:rsidRPr="001D5327" w14:paraId="2C422067" w14:textId="77777777" w:rsidTr="00D11AC9">
        <w:tc>
          <w:tcPr>
            <w:tcW w:w="1276" w:type="dxa"/>
            <w:tcBorders>
              <w:top w:val="single" w:sz="4" w:space="0" w:color="1B556B" w:themeColor="text2"/>
              <w:bottom w:val="single" w:sz="4" w:space="0" w:color="1B556B" w:themeColor="text2"/>
            </w:tcBorders>
          </w:tcPr>
          <w:p w14:paraId="4AF8BE27" w14:textId="77777777" w:rsidR="00E0181F" w:rsidRPr="001D5327" w:rsidRDefault="00E0181F" w:rsidP="00D11AC9">
            <w:pPr>
              <w:pStyle w:val="TableText"/>
              <w:keepNext/>
              <w:rPr>
                <w:b/>
              </w:rPr>
            </w:pPr>
            <w:r w:rsidRPr="001D5327">
              <w:rPr>
                <w:b/>
              </w:rPr>
              <w:t xml:space="preserve">Pre-1990 natural forest </w:t>
            </w:r>
          </w:p>
        </w:tc>
        <w:tc>
          <w:tcPr>
            <w:tcW w:w="7229" w:type="dxa"/>
            <w:tcBorders>
              <w:top w:val="single" w:sz="4" w:space="0" w:color="1B556B" w:themeColor="text2"/>
              <w:bottom w:val="single" w:sz="4" w:space="0" w:color="1B556B" w:themeColor="text2"/>
            </w:tcBorders>
          </w:tcPr>
          <w:p w14:paraId="43A3AB32" w14:textId="77777777" w:rsidR="00E0181F" w:rsidRPr="001D5327" w:rsidRDefault="00E0181F" w:rsidP="00D11AC9">
            <w:pPr>
              <w:pStyle w:val="TableText"/>
              <w:keepNext/>
              <w:spacing w:after="40"/>
            </w:pPr>
            <w:r w:rsidRPr="001D5327">
              <w:t>Areas that, on 1 January 1990, were and presently include:</w:t>
            </w:r>
          </w:p>
          <w:p w14:paraId="78EB6C83" w14:textId="77777777" w:rsidR="00E0181F" w:rsidRPr="001D5327" w:rsidRDefault="00E0181F" w:rsidP="00D11AC9">
            <w:pPr>
              <w:pStyle w:val="TableBullet"/>
              <w:keepNext/>
              <w:spacing w:before="0" w:after="40"/>
            </w:pPr>
            <w:r w:rsidRPr="001D5327">
              <w:t xml:space="preserve">tall indigenous forest </w:t>
            </w:r>
          </w:p>
          <w:p w14:paraId="7AAEC523" w14:textId="77777777" w:rsidR="00E0181F" w:rsidRPr="001D5327" w:rsidRDefault="00E0181F" w:rsidP="00D11AC9">
            <w:pPr>
              <w:pStyle w:val="TableBullet"/>
              <w:keepNext/>
              <w:spacing w:before="0" w:after="40"/>
            </w:pPr>
            <w:r w:rsidRPr="001D5327">
              <w:t>self-sown exotic trees, such as wilding pines and grey willows (where managed as forest)</w:t>
            </w:r>
          </w:p>
          <w:p w14:paraId="1DCDD11E" w14:textId="77777777" w:rsidR="00E0181F" w:rsidRPr="001D5327" w:rsidRDefault="00E0181F" w:rsidP="00D11AC9">
            <w:pPr>
              <w:pStyle w:val="TableBullet"/>
              <w:keepNext/>
              <w:spacing w:before="0" w:after="40"/>
            </w:pPr>
            <w:r w:rsidRPr="001D5327">
              <w:t>broadleaved hardwood shrubland, k</w:t>
            </w:r>
            <w:r w:rsidRPr="001D5327">
              <w:rPr>
                <w:rFonts w:cs="Calibri"/>
              </w:rPr>
              <w:t>ā</w:t>
            </w:r>
            <w:r w:rsidRPr="001D5327">
              <w:t>nuka–m</w:t>
            </w:r>
            <w:r w:rsidRPr="001D5327">
              <w:rPr>
                <w:rFonts w:cs="Calibri"/>
              </w:rPr>
              <w:t>ā</w:t>
            </w:r>
            <w:r w:rsidRPr="001D5327">
              <w:t>nuka (</w:t>
            </w:r>
            <w:r w:rsidRPr="001D5327">
              <w:rPr>
                <w:i/>
              </w:rPr>
              <w:t>Leptospermum</w:t>
            </w:r>
            <w:r w:rsidRPr="001D5327">
              <w:t xml:space="preserve"> </w:t>
            </w:r>
            <w:r w:rsidRPr="001D5327">
              <w:rPr>
                <w:i/>
              </w:rPr>
              <w:t>scoparium</w:t>
            </w:r>
            <w:r w:rsidRPr="001D5327">
              <w:t>–</w:t>
            </w:r>
            <w:r w:rsidRPr="001D5327">
              <w:rPr>
                <w:i/>
              </w:rPr>
              <w:t>Kunzea</w:t>
            </w:r>
            <w:r w:rsidRPr="001D5327">
              <w:t xml:space="preserve"> spp.) shrubland and other woody shrubland (≥30 per cent cover, with potential to reach ≥5 metres at maturity </w:t>
            </w:r>
            <w:r w:rsidRPr="001D5327">
              <w:rPr>
                <w:i/>
              </w:rPr>
              <w:t>in situ</w:t>
            </w:r>
            <w:r w:rsidRPr="001D5327">
              <w:t xml:space="preserve"> under current land management within 30–40 years)</w:t>
            </w:r>
          </w:p>
          <w:p w14:paraId="7BDC3A0C" w14:textId="77777777" w:rsidR="00E0181F" w:rsidRPr="001D5327" w:rsidRDefault="00E0181F" w:rsidP="00D11AC9">
            <w:pPr>
              <w:pStyle w:val="TableBullet"/>
              <w:keepNext/>
              <w:spacing w:before="0" w:after="40"/>
            </w:pPr>
            <w:r w:rsidRPr="001D5327">
              <w:t xml:space="preserve">areas of bare ground of any size that were previously forested but, due to natural disturbances (e.g., erosion, storms, fire), have temporarily lost vegetation cover </w:t>
            </w:r>
          </w:p>
          <w:p w14:paraId="4AABC982" w14:textId="77777777" w:rsidR="00E0181F" w:rsidRPr="001D5327" w:rsidRDefault="00E0181F" w:rsidP="00D11AC9">
            <w:pPr>
              <w:pStyle w:val="TableBullet"/>
              <w:keepNext/>
              <w:spacing w:before="0" w:after="40"/>
            </w:pPr>
            <w:r w:rsidRPr="001D5327">
              <w:t xml:space="preserve">areas that were planted forest at 1990 but are subsequently managed to regenerate with natural species that will meet the forest definition </w:t>
            </w:r>
          </w:p>
          <w:p w14:paraId="3B5E507A" w14:textId="77777777" w:rsidR="00E0181F" w:rsidRPr="001D5327" w:rsidRDefault="00E0181F" w:rsidP="00D11AC9">
            <w:pPr>
              <w:pStyle w:val="TableBullet"/>
              <w:keepNext/>
              <w:spacing w:before="0"/>
            </w:pPr>
            <w:r w:rsidRPr="001D5327">
              <w:t>roads and tracks less than 30 metres in width and other temporarily unstocked areas associated with a forest land use.</w:t>
            </w:r>
          </w:p>
        </w:tc>
      </w:tr>
      <w:tr w:rsidR="00E0181F" w:rsidRPr="001D5327" w14:paraId="3ED2981E" w14:textId="77777777" w:rsidTr="00D11AC9">
        <w:tc>
          <w:tcPr>
            <w:tcW w:w="1276" w:type="dxa"/>
            <w:tcBorders>
              <w:top w:val="single" w:sz="4" w:space="0" w:color="1B556B" w:themeColor="text2"/>
              <w:bottom w:val="single" w:sz="4" w:space="0" w:color="365F91"/>
            </w:tcBorders>
          </w:tcPr>
          <w:p w14:paraId="7FE1DF37" w14:textId="77777777" w:rsidR="00E0181F" w:rsidRPr="001D5327" w:rsidRDefault="00E0181F" w:rsidP="00D11AC9">
            <w:pPr>
              <w:pStyle w:val="TableText"/>
              <w:spacing w:before="40"/>
              <w:rPr>
                <w:b/>
              </w:rPr>
            </w:pPr>
            <w:r w:rsidRPr="001D5327">
              <w:rPr>
                <w:b/>
              </w:rPr>
              <w:t>Pre-1990 planted forest</w:t>
            </w:r>
          </w:p>
        </w:tc>
        <w:tc>
          <w:tcPr>
            <w:tcW w:w="7229" w:type="dxa"/>
            <w:tcBorders>
              <w:top w:val="single" w:sz="4" w:space="0" w:color="1B556B" w:themeColor="text2"/>
              <w:bottom w:val="single" w:sz="4" w:space="0" w:color="365F91"/>
            </w:tcBorders>
          </w:tcPr>
          <w:p w14:paraId="173D2BFB" w14:textId="77777777" w:rsidR="00E0181F" w:rsidRPr="001D5327" w:rsidRDefault="00E0181F" w:rsidP="00D11AC9">
            <w:pPr>
              <w:pStyle w:val="TableText"/>
              <w:spacing w:before="40" w:after="40"/>
            </w:pPr>
            <w:r w:rsidRPr="001D5327">
              <w:t>Areas that, on 1 January 1990, were and presently include:</w:t>
            </w:r>
          </w:p>
          <w:p w14:paraId="20CCFE59" w14:textId="77777777" w:rsidR="00E0181F" w:rsidRPr="001D5327" w:rsidRDefault="00E0181F" w:rsidP="00D11AC9">
            <w:pPr>
              <w:pStyle w:val="TableBullet"/>
              <w:spacing w:before="0" w:after="40"/>
            </w:pPr>
            <w:r w:rsidRPr="001D5327">
              <w:t>radiata pine (</w:t>
            </w:r>
            <w:r w:rsidRPr="001D5327">
              <w:rPr>
                <w:i/>
              </w:rPr>
              <w:t>Pinus radiata</w:t>
            </w:r>
            <w:r w:rsidRPr="001D5327">
              <w:t>), Douglas fir (</w:t>
            </w:r>
            <w:r w:rsidRPr="001D5327">
              <w:rPr>
                <w:i/>
              </w:rPr>
              <w:t>Pseudotsuga menziesii</w:t>
            </w:r>
            <w:r w:rsidRPr="001D5327">
              <w:t>), eucalypts (</w:t>
            </w:r>
            <w:r w:rsidRPr="001D5327">
              <w:rPr>
                <w:i/>
              </w:rPr>
              <w:t xml:space="preserve">Eucalyptus </w:t>
            </w:r>
            <w:r w:rsidRPr="001D5327">
              <w:t xml:space="preserve">spp.) or other planted species (with potential to reach ≥5 metre height at maturity </w:t>
            </w:r>
            <w:r w:rsidRPr="001D5327">
              <w:rPr>
                <w:i/>
              </w:rPr>
              <w:t>in situ</w:t>
            </w:r>
            <w:r w:rsidRPr="001D5327">
              <w:t>) established before 1 January 1990 or replanted on land that was forest land as at 31 December 1989</w:t>
            </w:r>
          </w:p>
          <w:p w14:paraId="73465EB7" w14:textId="77777777" w:rsidR="00E0181F" w:rsidRPr="001D5327" w:rsidRDefault="00E0181F" w:rsidP="00D11AC9">
            <w:pPr>
              <w:pStyle w:val="TableBullet"/>
              <w:spacing w:before="0" w:after="40"/>
            </w:pPr>
            <w:r w:rsidRPr="001D5327">
              <w:t>exotic forest species that were planted after 31 December 1989 on land that was natural forest</w:t>
            </w:r>
          </w:p>
          <w:p w14:paraId="6DAC9022" w14:textId="77777777" w:rsidR="00E0181F" w:rsidRPr="001D5327" w:rsidRDefault="00E0181F" w:rsidP="00D11AC9">
            <w:pPr>
              <w:pStyle w:val="TableBullet"/>
              <w:spacing w:before="0" w:after="40"/>
            </w:pPr>
            <w:r w:rsidRPr="001D5327">
              <w:t>riparian or erosion control plantings that meet the forest definition and that were planted before 1 January 1990</w:t>
            </w:r>
          </w:p>
          <w:p w14:paraId="102259B9" w14:textId="77777777" w:rsidR="00E0181F" w:rsidRPr="001D5327" w:rsidRDefault="00E0181F" w:rsidP="00D11AC9">
            <w:pPr>
              <w:pStyle w:val="TableBullet"/>
              <w:spacing w:before="0" w:after="40"/>
            </w:pPr>
            <w:r w:rsidRPr="001D5327">
              <w:t>harvested areas within pre-1990 planted forest (assuming these will be replanted, unless deforestation is later detected)</w:t>
            </w:r>
          </w:p>
          <w:p w14:paraId="10D8BAF1" w14:textId="77777777" w:rsidR="00E0181F" w:rsidRPr="001D5327" w:rsidRDefault="00E0181F" w:rsidP="00D11AC9">
            <w:pPr>
              <w:pStyle w:val="TableBullet"/>
              <w:spacing w:before="0" w:after="40"/>
            </w:pPr>
            <w:r w:rsidRPr="001D5327">
              <w:t xml:space="preserve">roads, tracks, skid sites and other temporarily unstocked areas less than 30 metres in width associated with a forest land use </w:t>
            </w:r>
          </w:p>
          <w:p w14:paraId="658873E2" w14:textId="77777777" w:rsidR="00E0181F" w:rsidRPr="001D5327" w:rsidRDefault="00E0181F" w:rsidP="00D11AC9">
            <w:pPr>
              <w:pStyle w:val="TableBullet"/>
              <w:spacing w:before="0" w:after="40"/>
            </w:pPr>
            <w:r w:rsidRPr="001D5327">
              <w:t>areas of bare ground of any size that were previously forested at 31 December 1989 but, due to natural disturbances (e.g., erosion, storms, fire), have lost vegetation cover.</w:t>
            </w:r>
          </w:p>
        </w:tc>
      </w:tr>
      <w:tr w:rsidR="00E0181F" w:rsidRPr="001D5327" w14:paraId="11182B2A" w14:textId="77777777" w:rsidTr="00D11AC9">
        <w:tc>
          <w:tcPr>
            <w:tcW w:w="1276" w:type="dxa"/>
            <w:tcBorders>
              <w:top w:val="single" w:sz="4" w:space="0" w:color="365F91"/>
              <w:bottom w:val="single" w:sz="4" w:space="0" w:color="365F91"/>
            </w:tcBorders>
          </w:tcPr>
          <w:p w14:paraId="302289C5" w14:textId="77777777" w:rsidR="00E0181F" w:rsidRPr="001D5327" w:rsidRDefault="00E0181F" w:rsidP="00D11AC9">
            <w:pPr>
              <w:pStyle w:val="TableText"/>
              <w:spacing w:before="40"/>
              <w:rPr>
                <w:b/>
              </w:rPr>
            </w:pPr>
            <w:r w:rsidRPr="001D5327">
              <w:rPr>
                <w:b/>
              </w:rPr>
              <w:t xml:space="preserve">Post-1989 forest </w:t>
            </w:r>
          </w:p>
        </w:tc>
        <w:tc>
          <w:tcPr>
            <w:tcW w:w="7229" w:type="dxa"/>
            <w:tcBorders>
              <w:top w:val="single" w:sz="4" w:space="0" w:color="365F91"/>
              <w:bottom w:val="single" w:sz="4" w:space="0" w:color="365F91"/>
            </w:tcBorders>
          </w:tcPr>
          <w:p w14:paraId="380C205C" w14:textId="77777777" w:rsidR="00E0181F" w:rsidRPr="001D5327" w:rsidRDefault="00E0181F" w:rsidP="00D11AC9">
            <w:pPr>
              <w:pStyle w:val="TableText"/>
              <w:spacing w:before="40" w:after="40"/>
            </w:pPr>
            <w:r w:rsidRPr="001D5327">
              <w:t>Includes post-1989 planted forest, which consists of:</w:t>
            </w:r>
          </w:p>
          <w:p w14:paraId="44424270" w14:textId="77777777" w:rsidR="00E0181F" w:rsidRPr="001D5327" w:rsidRDefault="00E0181F" w:rsidP="00D11AC9">
            <w:pPr>
              <w:pStyle w:val="TableBullet"/>
              <w:spacing w:before="0" w:after="20"/>
            </w:pPr>
            <w:r w:rsidRPr="001D5327">
              <w:t>exotic forest (with the potential to reach ≥5 metre height at maturity</w:t>
            </w:r>
            <w:r w:rsidRPr="001D5327">
              <w:rPr>
                <w:i/>
              </w:rPr>
              <w:t xml:space="preserve"> in situ</w:t>
            </w:r>
            <w:r w:rsidRPr="001D5327">
              <w:t>) planted or established on land that was non-forest land as at 31 December 1989 (e.g., radiata pine, Douglas fir, eucalypts or other planted species)</w:t>
            </w:r>
          </w:p>
          <w:p w14:paraId="3CFB946F" w14:textId="77777777" w:rsidR="00E0181F" w:rsidRPr="001D5327" w:rsidRDefault="00E0181F" w:rsidP="00D11AC9">
            <w:pPr>
              <w:pStyle w:val="TableBullet"/>
              <w:spacing w:before="0" w:after="20"/>
            </w:pPr>
            <w:r w:rsidRPr="001D5327">
              <w:t>riparian or erosion control plantings that meet the forest definition and that were planted after 31 December 1989</w:t>
            </w:r>
          </w:p>
          <w:p w14:paraId="1A7A46AF" w14:textId="77777777" w:rsidR="00E0181F" w:rsidRPr="001D5327" w:rsidRDefault="00E0181F" w:rsidP="00D11AC9">
            <w:pPr>
              <w:pStyle w:val="TableBullet"/>
              <w:spacing w:before="0" w:after="0"/>
            </w:pPr>
            <w:r w:rsidRPr="001D5327">
              <w:t>harvested areas within post-1989 forest land (assuming these will be replanted, unless deforestation is later detected).</w:t>
            </w:r>
          </w:p>
          <w:p w14:paraId="5FF671AD" w14:textId="77777777" w:rsidR="00E0181F" w:rsidRPr="001D5327" w:rsidRDefault="00E0181F" w:rsidP="00D11AC9">
            <w:pPr>
              <w:pStyle w:val="TableText"/>
              <w:spacing w:after="40"/>
            </w:pPr>
            <w:r w:rsidRPr="001D5327">
              <w:t>Includes post-1989 natural forest, which consists of:</w:t>
            </w:r>
          </w:p>
          <w:p w14:paraId="0C73EC57" w14:textId="77777777" w:rsidR="00E0181F" w:rsidRPr="001D5327" w:rsidRDefault="00E0181F" w:rsidP="00D11AC9">
            <w:pPr>
              <w:pStyle w:val="TableBullet"/>
              <w:spacing w:before="0" w:after="20"/>
            </w:pPr>
            <w:r w:rsidRPr="001D5327">
              <w:t>forests arising from natural regeneration of indigenous tree species as a result of management change after 31 December 1989</w:t>
            </w:r>
          </w:p>
          <w:p w14:paraId="563E8E0F" w14:textId="77777777" w:rsidR="00E0181F" w:rsidRPr="001D5327" w:rsidRDefault="00E0181F" w:rsidP="00D11AC9">
            <w:pPr>
              <w:pStyle w:val="TableBullet"/>
              <w:spacing w:before="0" w:after="20"/>
            </w:pPr>
            <w:r w:rsidRPr="001D5327">
              <w:t>self-sown exotic trees, such as wilding conifers or grey willows, established after 31 December 1989 (where managed as forest).</w:t>
            </w:r>
          </w:p>
          <w:p w14:paraId="38DCC817" w14:textId="77777777" w:rsidR="00E0181F" w:rsidRPr="001D5327" w:rsidRDefault="00E0181F" w:rsidP="00D11AC9">
            <w:pPr>
              <w:pStyle w:val="TableText"/>
              <w:spacing w:before="40" w:after="40"/>
            </w:pPr>
            <w:r w:rsidRPr="001D5327">
              <w:t>Includes areas within post-1989 natural forest or post-1989 planted forest that are:</w:t>
            </w:r>
          </w:p>
          <w:p w14:paraId="08F4F0C0" w14:textId="77777777" w:rsidR="00E0181F" w:rsidRPr="001D5327" w:rsidRDefault="00E0181F" w:rsidP="00D11AC9">
            <w:pPr>
              <w:pStyle w:val="TableBullet"/>
              <w:spacing w:before="0" w:after="40"/>
            </w:pPr>
            <w:r w:rsidRPr="001D5327">
              <w:t>roads, tracks, skid sites and other temporarily unstocked areas associated with a forest land use</w:t>
            </w:r>
          </w:p>
          <w:p w14:paraId="37C4B9C9" w14:textId="77777777" w:rsidR="00E0181F" w:rsidRPr="001D5327" w:rsidRDefault="00E0181F" w:rsidP="00D11AC9">
            <w:pPr>
              <w:pStyle w:val="TableBullet"/>
              <w:spacing w:before="0" w:after="40"/>
            </w:pPr>
            <w:r w:rsidRPr="001D5327">
              <w:t>areas of bare ground of any size that were previously forested (established after 31 December 1989) but, due to natural disturbances (e.g., erosion, storms, fire), have lost vegetation cover.</w:t>
            </w:r>
          </w:p>
        </w:tc>
      </w:tr>
      <w:tr w:rsidR="00E0181F" w:rsidRPr="001D5327" w14:paraId="50D33D2B" w14:textId="77777777" w:rsidTr="00D11AC9">
        <w:tc>
          <w:tcPr>
            <w:tcW w:w="1276" w:type="dxa"/>
            <w:tcBorders>
              <w:top w:val="single" w:sz="4" w:space="0" w:color="365F91"/>
              <w:bottom w:val="single" w:sz="4" w:space="0" w:color="365F91"/>
            </w:tcBorders>
          </w:tcPr>
          <w:p w14:paraId="673CA73F" w14:textId="77777777" w:rsidR="00E0181F" w:rsidRPr="001D5327" w:rsidRDefault="00E0181F" w:rsidP="00D11AC9">
            <w:pPr>
              <w:pStyle w:val="TableText"/>
              <w:spacing w:before="40"/>
              <w:rPr>
                <w:b/>
              </w:rPr>
            </w:pPr>
            <w:r w:rsidRPr="001D5327">
              <w:rPr>
                <w:b/>
              </w:rPr>
              <w:t>Annual cropland</w:t>
            </w:r>
          </w:p>
        </w:tc>
        <w:tc>
          <w:tcPr>
            <w:tcW w:w="7229" w:type="dxa"/>
            <w:tcBorders>
              <w:top w:val="single" w:sz="4" w:space="0" w:color="365F91"/>
              <w:bottom w:val="single" w:sz="4" w:space="0" w:color="365F91"/>
            </w:tcBorders>
          </w:tcPr>
          <w:p w14:paraId="1CE9168C" w14:textId="77777777" w:rsidR="00E0181F" w:rsidRPr="001D5327" w:rsidRDefault="00E0181F" w:rsidP="00D11AC9">
            <w:pPr>
              <w:pStyle w:val="TableText"/>
              <w:spacing w:before="40" w:after="20"/>
            </w:pPr>
            <w:r w:rsidRPr="001D5327">
              <w:t>Includes:</w:t>
            </w:r>
          </w:p>
          <w:p w14:paraId="3512B999" w14:textId="77777777" w:rsidR="00E0181F" w:rsidRPr="001D5327" w:rsidRDefault="00E0181F" w:rsidP="00D11AC9">
            <w:pPr>
              <w:pStyle w:val="TableBullet"/>
              <w:spacing w:before="0" w:after="20"/>
            </w:pPr>
            <w:r w:rsidRPr="001D5327">
              <w:t>all annual crops</w:t>
            </w:r>
          </w:p>
          <w:p w14:paraId="2A66FA06" w14:textId="77777777" w:rsidR="00E0181F" w:rsidRPr="001D5327" w:rsidRDefault="00E0181F" w:rsidP="00D11AC9">
            <w:pPr>
              <w:pStyle w:val="TableBullet"/>
              <w:spacing w:before="0" w:after="20"/>
            </w:pPr>
            <w:r w:rsidRPr="001D5327">
              <w:t>all cultivated bare ground</w:t>
            </w:r>
          </w:p>
          <w:p w14:paraId="4B92910B" w14:textId="77777777" w:rsidR="00E0181F" w:rsidRPr="001D5327" w:rsidRDefault="00E0181F" w:rsidP="00D11AC9">
            <w:pPr>
              <w:pStyle w:val="TableBullet"/>
              <w:spacing w:before="0"/>
            </w:pPr>
            <w:r w:rsidRPr="001D5327">
              <w:t>linear shelterbelts associated with annual cropland.</w:t>
            </w:r>
          </w:p>
        </w:tc>
      </w:tr>
      <w:tr w:rsidR="00E0181F" w:rsidRPr="001D5327" w14:paraId="3C5298BA" w14:textId="77777777" w:rsidTr="00D11AC9">
        <w:tc>
          <w:tcPr>
            <w:tcW w:w="1276" w:type="dxa"/>
            <w:tcBorders>
              <w:top w:val="single" w:sz="4" w:space="0" w:color="365F91"/>
              <w:bottom w:val="single" w:sz="4" w:space="0" w:color="365F91"/>
            </w:tcBorders>
          </w:tcPr>
          <w:p w14:paraId="52DE8338" w14:textId="77777777" w:rsidR="00E0181F" w:rsidRPr="001D5327" w:rsidRDefault="00E0181F" w:rsidP="00D11AC9">
            <w:pPr>
              <w:pStyle w:val="TableText"/>
              <w:spacing w:before="40"/>
              <w:rPr>
                <w:b/>
              </w:rPr>
            </w:pPr>
            <w:r w:rsidRPr="001D5327">
              <w:rPr>
                <w:b/>
              </w:rPr>
              <w:t>Perennial cropland</w:t>
            </w:r>
          </w:p>
        </w:tc>
        <w:tc>
          <w:tcPr>
            <w:tcW w:w="7229" w:type="dxa"/>
            <w:tcBorders>
              <w:top w:val="single" w:sz="4" w:space="0" w:color="365F91"/>
              <w:bottom w:val="single" w:sz="4" w:space="0" w:color="365F91"/>
            </w:tcBorders>
          </w:tcPr>
          <w:p w14:paraId="3D5CEB10" w14:textId="77777777" w:rsidR="00E0181F" w:rsidRPr="001D5327" w:rsidRDefault="00E0181F" w:rsidP="00D11AC9">
            <w:pPr>
              <w:pStyle w:val="TableText"/>
              <w:spacing w:before="40" w:after="20"/>
            </w:pPr>
            <w:r w:rsidRPr="001D5327">
              <w:t>Includes:</w:t>
            </w:r>
          </w:p>
          <w:p w14:paraId="30B297FC" w14:textId="77777777" w:rsidR="00E0181F" w:rsidRPr="001D5327" w:rsidRDefault="00E0181F" w:rsidP="00D11AC9">
            <w:pPr>
              <w:pStyle w:val="TableBullet"/>
              <w:spacing w:before="0" w:after="20"/>
            </w:pPr>
            <w:r w:rsidRPr="001D5327">
              <w:t>all orchards and vineyards</w:t>
            </w:r>
          </w:p>
          <w:p w14:paraId="4E7D69D9" w14:textId="77777777" w:rsidR="00E0181F" w:rsidRPr="001D5327" w:rsidRDefault="00E0181F" w:rsidP="00D11AC9">
            <w:pPr>
              <w:pStyle w:val="TableBullet"/>
              <w:spacing w:before="0" w:after="40"/>
            </w:pPr>
            <w:r w:rsidRPr="001D5327">
              <w:t>linear shelterbelts associated with perennial cropland.</w:t>
            </w:r>
          </w:p>
        </w:tc>
      </w:tr>
      <w:tr w:rsidR="00E0181F" w:rsidRPr="001D5327" w14:paraId="2D008F72" w14:textId="77777777" w:rsidTr="00D11AC9">
        <w:tc>
          <w:tcPr>
            <w:tcW w:w="1276" w:type="dxa"/>
            <w:tcBorders>
              <w:top w:val="single" w:sz="4" w:space="0" w:color="365F91"/>
              <w:bottom w:val="single" w:sz="4" w:space="0" w:color="365F91"/>
            </w:tcBorders>
          </w:tcPr>
          <w:p w14:paraId="47B9EAD1" w14:textId="77777777" w:rsidR="00E0181F" w:rsidRPr="001D5327" w:rsidRDefault="00E0181F" w:rsidP="00D11AC9">
            <w:pPr>
              <w:pStyle w:val="TableText"/>
              <w:rPr>
                <w:b/>
              </w:rPr>
            </w:pPr>
            <w:r w:rsidRPr="001D5327">
              <w:rPr>
                <w:b/>
              </w:rPr>
              <w:t>High producing grassland</w:t>
            </w:r>
          </w:p>
        </w:tc>
        <w:tc>
          <w:tcPr>
            <w:tcW w:w="7229" w:type="dxa"/>
            <w:tcBorders>
              <w:top w:val="single" w:sz="4" w:space="0" w:color="365F91"/>
              <w:bottom w:val="single" w:sz="4" w:space="0" w:color="365F91"/>
            </w:tcBorders>
          </w:tcPr>
          <w:p w14:paraId="42722632" w14:textId="77777777" w:rsidR="00E0181F" w:rsidRPr="001D5327" w:rsidRDefault="00E0181F" w:rsidP="00D11AC9">
            <w:pPr>
              <w:pStyle w:val="TableText"/>
              <w:spacing w:after="20"/>
            </w:pPr>
            <w:r w:rsidRPr="001D5327">
              <w:t>Includes:</w:t>
            </w:r>
          </w:p>
          <w:p w14:paraId="303036F0" w14:textId="77777777" w:rsidR="00E0181F" w:rsidRPr="001D5327" w:rsidRDefault="00E0181F" w:rsidP="00D11AC9">
            <w:pPr>
              <w:pStyle w:val="TableBullet"/>
              <w:spacing w:before="0" w:after="20"/>
            </w:pPr>
            <w:r w:rsidRPr="001D5327">
              <w:t>grassland with high-quality pasture species</w:t>
            </w:r>
          </w:p>
          <w:p w14:paraId="44B868CF" w14:textId="77777777" w:rsidR="00E0181F" w:rsidRPr="001D5327" w:rsidRDefault="00E0181F" w:rsidP="00D11AC9">
            <w:pPr>
              <w:pStyle w:val="TableBullet"/>
              <w:spacing w:before="0" w:after="20"/>
            </w:pPr>
            <w:r w:rsidRPr="001D5327">
              <w:t>linear shelterbelts that are &lt;1 hectare in area or &lt;30 metres in mean width (larger shelterbelts are mapped separately as grassland with woody biomass)</w:t>
            </w:r>
          </w:p>
          <w:p w14:paraId="71999BF2" w14:textId="77777777" w:rsidR="00E0181F" w:rsidRPr="001D5327" w:rsidRDefault="00E0181F" w:rsidP="00D11AC9">
            <w:pPr>
              <w:pStyle w:val="TableBullet"/>
              <w:spacing w:before="0"/>
            </w:pPr>
            <w:r w:rsidRPr="001D5327">
              <w:t>areas of bare ground of any size that were previously grassland but, due to natural disturbances (e.g., erosion), have lost vegetation cover.</w:t>
            </w:r>
          </w:p>
        </w:tc>
      </w:tr>
      <w:tr w:rsidR="00E0181F" w:rsidRPr="001D5327" w14:paraId="6B4DF80B" w14:textId="77777777" w:rsidTr="00D11AC9">
        <w:tc>
          <w:tcPr>
            <w:tcW w:w="1276" w:type="dxa"/>
            <w:tcBorders>
              <w:top w:val="single" w:sz="4" w:space="0" w:color="365F91"/>
              <w:bottom w:val="single" w:sz="4" w:space="0" w:color="365F91"/>
            </w:tcBorders>
          </w:tcPr>
          <w:p w14:paraId="098BDE10" w14:textId="77777777" w:rsidR="00E0181F" w:rsidRPr="001D5327" w:rsidRDefault="00E0181F" w:rsidP="00D11AC9">
            <w:pPr>
              <w:pStyle w:val="TableText"/>
              <w:rPr>
                <w:b/>
              </w:rPr>
            </w:pPr>
            <w:r w:rsidRPr="001D5327">
              <w:rPr>
                <w:b/>
              </w:rPr>
              <w:t>Low producing grassland</w:t>
            </w:r>
          </w:p>
        </w:tc>
        <w:tc>
          <w:tcPr>
            <w:tcW w:w="7229" w:type="dxa"/>
            <w:tcBorders>
              <w:top w:val="single" w:sz="4" w:space="0" w:color="365F91"/>
              <w:bottom w:val="single" w:sz="4" w:space="0" w:color="365F91"/>
            </w:tcBorders>
          </w:tcPr>
          <w:p w14:paraId="55D2B087" w14:textId="77777777" w:rsidR="00E0181F" w:rsidRPr="001D5327" w:rsidRDefault="00E0181F" w:rsidP="00D11AC9">
            <w:pPr>
              <w:pStyle w:val="TableText"/>
              <w:spacing w:after="20"/>
            </w:pPr>
            <w:r w:rsidRPr="001D5327">
              <w:t>Includes:</w:t>
            </w:r>
          </w:p>
          <w:p w14:paraId="0ECB0509" w14:textId="77777777" w:rsidR="00E0181F" w:rsidRPr="001D5327" w:rsidRDefault="00E0181F" w:rsidP="00D11AC9">
            <w:pPr>
              <w:pStyle w:val="TableBullet"/>
              <w:spacing w:before="0" w:after="20"/>
            </w:pPr>
            <w:r w:rsidRPr="001D5327">
              <w:t xml:space="preserve">low-fertility grassland and tussock grasslands (e.g., </w:t>
            </w:r>
            <w:r w:rsidRPr="001D5327">
              <w:rPr>
                <w:i/>
              </w:rPr>
              <w:t>Chionochloa</w:t>
            </w:r>
            <w:r w:rsidRPr="001D5327">
              <w:t xml:space="preserve"> and </w:t>
            </w:r>
            <w:r w:rsidRPr="001D5327">
              <w:rPr>
                <w:i/>
              </w:rPr>
              <w:t xml:space="preserve">Festuca </w:t>
            </w:r>
            <w:r w:rsidRPr="001D5327">
              <w:t>spp.)</w:t>
            </w:r>
          </w:p>
          <w:p w14:paraId="1D8CE384" w14:textId="77777777" w:rsidR="00E0181F" w:rsidRPr="001D5327" w:rsidRDefault="00E0181F" w:rsidP="00D11AC9">
            <w:pPr>
              <w:pStyle w:val="TableBullet"/>
              <w:spacing w:before="0" w:after="20"/>
            </w:pPr>
            <w:r w:rsidRPr="001D5327">
              <w:t>mostly hill country</w:t>
            </w:r>
          </w:p>
          <w:p w14:paraId="4101101A" w14:textId="77777777" w:rsidR="00E0181F" w:rsidRPr="001D5327" w:rsidRDefault="00E0181F" w:rsidP="00D11AC9">
            <w:pPr>
              <w:pStyle w:val="TableBullet"/>
              <w:spacing w:before="0" w:after="20"/>
            </w:pPr>
            <w:r w:rsidRPr="001D5327">
              <w:lastRenderedPageBreak/>
              <w:t>montane herbfields either at an altitude higher than above-timberline vegetation or where the herbfields are not mixed up with woody vegetation</w:t>
            </w:r>
          </w:p>
          <w:p w14:paraId="60D3846B" w14:textId="77777777" w:rsidR="00E0181F" w:rsidRPr="001D5327" w:rsidRDefault="00E0181F" w:rsidP="00D11AC9">
            <w:pPr>
              <w:pStyle w:val="TableBullet"/>
              <w:spacing w:before="0" w:after="20"/>
            </w:pPr>
            <w:r w:rsidRPr="001D5327">
              <w:t>linear shelterbelts that are &lt;1 hectare in area or &lt;30 metres in mean width (larger shelterbelts are mapped separately as grassland with woody biomass)</w:t>
            </w:r>
          </w:p>
          <w:p w14:paraId="2D8BE7F2" w14:textId="77777777" w:rsidR="00E0181F" w:rsidRPr="001D5327" w:rsidRDefault="00E0181F" w:rsidP="00D11AC9">
            <w:pPr>
              <w:pStyle w:val="TableBullet"/>
              <w:spacing w:before="0"/>
            </w:pPr>
            <w:r w:rsidRPr="001D5327">
              <w:t>other areas of limited vegetation cover and significant bare soil, including erosion and coastal herbaceous sand-dune vegetation.</w:t>
            </w:r>
          </w:p>
        </w:tc>
      </w:tr>
      <w:tr w:rsidR="00E0181F" w:rsidRPr="001D5327" w14:paraId="71DB47B5" w14:textId="77777777" w:rsidTr="00D11AC9">
        <w:tc>
          <w:tcPr>
            <w:tcW w:w="1276" w:type="dxa"/>
            <w:tcBorders>
              <w:top w:val="single" w:sz="4" w:space="0" w:color="365F91"/>
              <w:bottom w:val="single" w:sz="4" w:space="0" w:color="365F91"/>
            </w:tcBorders>
          </w:tcPr>
          <w:p w14:paraId="2931A2A0" w14:textId="77777777" w:rsidR="00E0181F" w:rsidRPr="001D5327" w:rsidRDefault="00E0181F" w:rsidP="00D11AC9">
            <w:pPr>
              <w:pStyle w:val="TableText"/>
              <w:rPr>
                <w:b/>
              </w:rPr>
            </w:pPr>
            <w:r w:rsidRPr="001D5327">
              <w:rPr>
                <w:b/>
              </w:rPr>
              <w:lastRenderedPageBreak/>
              <w:t>Grassland with woody biomass</w:t>
            </w:r>
          </w:p>
        </w:tc>
        <w:tc>
          <w:tcPr>
            <w:tcW w:w="7229" w:type="dxa"/>
            <w:tcBorders>
              <w:top w:val="single" w:sz="4" w:space="0" w:color="365F91"/>
              <w:bottom w:val="single" w:sz="4" w:space="0" w:color="365F91"/>
            </w:tcBorders>
          </w:tcPr>
          <w:p w14:paraId="7038ABDD" w14:textId="77777777" w:rsidR="00E0181F" w:rsidRPr="001D5327" w:rsidRDefault="00E0181F" w:rsidP="00D11AC9">
            <w:pPr>
              <w:pStyle w:val="TableText"/>
              <w:spacing w:after="40"/>
            </w:pPr>
            <w:r w:rsidRPr="001D5327">
              <w:t>Includes:</w:t>
            </w:r>
          </w:p>
          <w:p w14:paraId="49263206" w14:textId="77777777" w:rsidR="00E0181F" w:rsidRPr="001D5327" w:rsidRDefault="00E0181F" w:rsidP="00D11AC9">
            <w:pPr>
              <w:pStyle w:val="TableBullet"/>
              <w:spacing w:before="0" w:after="40"/>
            </w:pPr>
            <w:r w:rsidRPr="001D5327">
              <w:t>grassland with matagouri (</w:t>
            </w:r>
            <w:r w:rsidRPr="001D5327">
              <w:rPr>
                <w:i/>
              </w:rPr>
              <w:t>Discaria toumatou</w:t>
            </w:r>
            <w:r w:rsidRPr="001D5327">
              <w:t>) and sweet briar (</w:t>
            </w:r>
            <w:r w:rsidRPr="001D5327">
              <w:rPr>
                <w:i/>
              </w:rPr>
              <w:t>Rosa rubiginosa</w:t>
            </w:r>
            <w:r w:rsidRPr="001D5327">
              <w:t xml:space="preserve">), broadleaved hardwood shrubland (e.g., māhoe – </w:t>
            </w:r>
            <w:r w:rsidRPr="001D5327">
              <w:rPr>
                <w:i/>
              </w:rPr>
              <w:t>Melicytus ramiflorus</w:t>
            </w:r>
            <w:r w:rsidRPr="001D5327">
              <w:t>), wineberry (</w:t>
            </w:r>
            <w:r w:rsidRPr="001D5327">
              <w:rPr>
                <w:i/>
              </w:rPr>
              <w:t>Aristotelia serrata</w:t>
            </w:r>
            <w:r w:rsidRPr="001D5327">
              <w:t xml:space="preserve">), </w:t>
            </w:r>
            <w:r w:rsidRPr="001D5327">
              <w:rPr>
                <w:i/>
              </w:rPr>
              <w:t>Pseudopanax</w:t>
            </w:r>
            <w:r w:rsidRPr="001D5327">
              <w:t xml:space="preserve"> spp., </w:t>
            </w:r>
            <w:r w:rsidRPr="001D5327">
              <w:rPr>
                <w:i/>
              </w:rPr>
              <w:t>Pittosporum</w:t>
            </w:r>
            <w:r w:rsidRPr="001D5327">
              <w:t xml:space="preserve"> spp.), kānuka–mānuka (</w:t>
            </w:r>
            <w:r w:rsidRPr="001D5327">
              <w:rPr>
                <w:i/>
              </w:rPr>
              <w:t>Leptospermum</w:t>
            </w:r>
            <w:r w:rsidRPr="001D5327">
              <w:t xml:space="preserve"> </w:t>
            </w:r>
            <w:r w:rsidRPr="001D5327">
              <w:rPr>
                <w:i/>
              </w:rPr>
              <w:t>scoparium</w:t>
            </w:r>
            <w:r w:rsidRPr="001D5327">
              <w:t>–</w:t>
            </w:r>
            <w:r w:rsidRPr="001D5327">
              <w:rPr>
                <w:i/>
              </w:rPr>
              <w:t>Kunzea</w:t>
            </w:r>
            <w:r w:rsidRPr="001D5327">
              <w:t xml:space="preserve"> spp.) shrubland, coastal and other woody shrubland (&lt;5 metres tall and any percentage of cover) where, under current management or environmental conditions (climate and/or soil), it is expected that the forest criteria will not be met over a 30- to 40-year period</w:t>
            </w:r>
          </w:p>
          <w:p w14:paraId="5959EA04" w14:textId="77777777" w:rsidR="00E0181F" w:rsidRPr="001D5327" w:rsidRDefault="00E0181F" w:rsidP="00D11AC9">
            <w:pPr>
              <w:pStyle w:val="TableBullet"/>
              <w:spacing w:before="0" w:after="20"/>
            </w:pPr>
            <w:r w:rsidRPr="001D5327">
              <w:t>above-timberline shrubland vegetation intermixed with montane herbfields (does not have the potential to reach &gt;5 metres in height</w:t>
            </w:r>
            <w:r w:rsidRPr="001D5327">
              <w:rPr>
                <w:i/>
              </w:rPr>
              <w:t xml:space="preserve"> in situ</w:t>
            </w:r>
            <w:r w:rsidRPr="001D5327">
              <w:t>)</w:t>
            </w:r>
          </w:p>
          <w:p w14:paraId="6973937C" w14:textId="77777777" w:rsidR="00E0181F" w:rsidRPr="001D5327" w:rsidRDefault="00E0181F" w:rsidP="00D11AC9">
            <w:pPr>
              <w:pStyle w:val="TableBullet"/>
              <w:spacing w:before="0" w:after="20"/>
            </w:pPr>
            <w:r w:rsidRPr="001D5327">
              <w:t>grassland with tall tree species (&lt;30 per cent cover), such as golf courses in rural areas (except where the Land Cover Database has classified these as settlements)</w:t>
            </w:r>
          </w:p>
          <w:p w14:paraId="11EDFBCE" w14:textId="77777777" w:rsidR="00E0181F" w:rsidRPr="001D5327" w:rsidRDefault="00E0181F" w:rsidP="00D11AC9">
            <w:pPr>
              <w:pStyle w:val="TableBullet"/>
              <w:spacing w:before="0" w:after="20"/>
            </w:pPr>
            <w:r w:rsidRPr="001D5327">
              <w:t>grassland with riparian or erosion control plantings (&lt;30 per cent cover)</w:t>
            </w:r>
          </w:p>
          <w:p w14:paraId="71E1B5B2" w14:textId="77777777" w:rsidR="00E0181F" w:rsidRPr="001D5327" w:rsidRDefault="00E0181F" w:rsidP="00D11AC9">
            <w:pPr>
              <w:pStyle w:val="TableBullet"/>
              <w:spacing w:before="0" w:after="20"/>
            </w:pPr>
            <w:r w:rsidRPr="001D5327">
              <w:t>linear shelterbelts that are &gt;1 hectare in area and &lt;30 metres in mean width</w:t>
            </w:r>
          </w:p>
          <w:p w14:paraId="7B045FC7" w14:textId="77777777" w:rsidR="00E0181F" w:rsidRPr="001D5327" w:rsidRDefault="00E0181F" w:rsidP="00D11AC9">
            <w:pPr>
              <w:pStyle w:val="TableBullet"/>
              <w:spacing w:before="0"/>
            </w:pPr>
            <w:r w:rsidRPr="001D5327">
              <w:t>areas of bare ground of any size that previously contained grassland with woody biomass but, due to natural disturbances (e.g., erosion, fire), have lost vegetation cover.</w:t>
            </w:r>
          </w:p>
        </w:tc>
      </w:tr>
      <w:tr w:rsidR="00E0181F" w:rsidRPr="001D5327" w14:paraId="33F2705E" w14:textId="77777777" w:rsidTr="00D11AC9">
        <w:tc>
          <w:tcPr>
            <w:tcW w:w="1276" w:type="dxa"/>
            <w:tcBorders>
              <w:top w:val="single" w:sz="4" w:space="0" w:color="365F91"/>
              <w:bottom w:val="single" w:sz="4" w:space="0" w:color="365F91"/>
            </w:tcBorders>
          </w:tcPr>
          <w:p w14:paraId="045AD2AF" w14:textId="77777777" w:rsidR="00E0181F" w:rsidRPr="001D5327" w:rsidRDefault="00E0181F" w:rsidP="00D11AC9">
            <w:pPr>
              <w:pStyle w:val="TableText"/>
              <w:rPr>
                <w:b/>
              </w:rPr>
            </w:pPr>
            <w:r w:rsidRPr="001D5327">
              <w:rPr>
                <w:b/>
              </w:rPr>
              <w:t>Open water</w:t>
            </w:r>
          </w:p>
        </w:tc>
        <w:tc>
          <w:tcPr>
            <w:tcW w:w="7229" w:type="dxa"/>
            <w:tcBorders>
              <w:top w:val="single" w:sz="4" w:space="0" w:color="365F91"/>
              <w:bottom w:val="single" w:sz="4" w:space="0" w:color="365F91"/>
            </w:tcBorders>
          </w:tcPr>
          <w:p w14:paraId="2B5134A7" w14:textId="77777777" w:rsidR="00E0181F" w:rsidRPr="001D5327" w:rsidRDefault="00E0181F" w:rsidP="00D11AC9">
            <w:pPr>
              <w:pStyle w:val="TableText"/>
              <w:spacing w:after="20"/>
            </w:pPr>
            <w:r w:rsidRPr="001D5327">
              <w:t>Includes:</w:t>
            </w:r>
          </w:p>
          <w:p w14:paraId="655DC388" w14:textId="77777777" w:rsidR="00E0181F" w:rsidRPr="001D5327" w:rsidRDefault="00E0181F" w:rsidP="00D11AC9">
            <w:pPr>
              <w:pStyle w:val="TableBullet"/>
              <w:spacing w:before="0" w:after="20"/>
            </w:pPr>
            <w:r w:rsidRPr="001D5327">
              <w:t xml:space="preserve">lakes, rivers, dams and reservoirs </w:t>
            </w:r>
          </w:p>
          <w:p w14:paraId="59232294" w14:textId="77777777" w:rsidR="00E0181F" w:rsidRPr="001D5327" w:rsidRDefault="00E0181F" w:rsidP="00D11AC9">
            <w:pPr>
              <w:pStyle w:val="TableBullet"/>
              <w:spacing w:before="0"/>
            </w:pPr>
            <w:r w:rsidRPr="001D5327">
              <w:t>estuarine–tidal areas including mangroves.</w:t>
            </w:r>
          </w:p>
        </w:tc>
      </w:tr>
      <w:tr w:rsidR="00E0181F" w:rsidRPr="001D5327" w14:paraId="24E9BEF6" w14:textId="77777777" w:rsidTr="00D11AC9">
        <w:tc>
          <w:tcPr>
            <w:tcW w:w="1276" w:type="dxa"/>
            <w:tcBorders>
              <w:top w:val="single" w:sz="4" w:space="0" w:color="365F91"/>
              <w:bottom w:val="single" w:sz="4" w:space="0" w:color="365F91"/>
            </w:tcBorders>
          </w:tcPr>
          <w:p w14:paraId="76CD8F80" w14:textId="77777777" w:rsidR="00E0181F" w:rsidRPr="001D5327" w:rsidRDefault="00E0181F" w:rsidP="00D11AC9">
            <w:pPr>
              <w:pStyle w:val="TableText"/>
              <w:rPr>
                <w:b/>
              </w:rPr>
            </w:pPr>
            <w:r w:rsidRPr="001D5327">
              <w:rPr>
                <w:b/>
              </w:rPr>
              <w:t>Vegetated wetland</w:t>
            </w:r>
          </w:p>
        </w:tc>
        <w:tc>
          <w:tcPr>
            <w:tcW w:w="7229" w:type="dxa"/>
            <w:tcBorders>
              <w:top w:val="single" w:sz="4" w:space="0" w:color="365F91"/>
              <w:bottom w:val="single" w:sz="4" w:space="0" w:color="365F91"/>
            </w:tcBorders>
          </w:tcPr>
          <w:p w14:paraId="47071B09" w14:textId="77777777" w:rsidR="00E0181F" w:rsidRPr="001D5327" w:rsidRDefault="00E0181F" w:rsidP="00D11AC9">
            <w:pPr>
              <w:pStyle w:val="TableText"/>
              <w:spacing w:after="20"/>
            </w:pPr>
            <w:r w:rsidRPr="001D5327">
              <w:t>Includes:</w:t>
            </w:r>
          </w:p>
          <w:p w14:paraId="76A4F3B8" w14:textId="77777777" w:rsidR="00E0181F" w:rsidRPr="001D5327" w:rsidRDefault="00E0181F" w:rsidP="00D11AC9">
            <w:pPr>
              <w:pStyle w:val="TableBullet"/>
              <w:spacing w:before="0" w:after="20"/>
            </w:pPr>
            <w:r w:rsidRPr="001D5327">
              <w:t xml:space="preserve">herbaceous and/or non-forest woody vegetation, including trees of any stature, in a wetland context (periodically or permanently flooded) </w:t>
            </w:r>
          </w:p>
          <w:p w14:paraId="3126D6AD" w14:textId="77777777" w:rsidR="00E0181F" w:rsidRPr="001D5327" w:rsidRDefault="00E0181F" w:rsidP="00D11AC9">
            <w:pPr>
              <w:pStyle w:val="TableBullet"/>
              <w:spacing w:before="0" w:after="20"/>
            </w:pPr>
            <w:r w:rsidRPr="001D5327">
              <w:t>areas under peat extraction</w:t>
            </w:r>
          </w:p>
          <w:p w14:paraId="3A067600" w14:textId="77777777" w:rsidR="00E0181F" w:rsidRPr="001D5327" w:rsidRDefault="00E0181F" w:rsidP="00D11AC9">
            <w:pPr>
              <w:pStyle w:val="TableBullet"/>
              <w:spacing w:before="0"/>
            </w:pPr>
            <w:r w:rsidRPr="001D5327">
              <w:t>estuarine–tidal areas including mangroves.</w:t>
            </w:r>
          </w:p>
        </w:tc>
      </w:tr>
      <w:tr w:rsidR="00E0181F" w:rsidRPr="001D5327" w14:paraId="7BB4508E" w14:textId="77777777" w:rsidTr="00D11AC9">
        <w:tc>
          <w:tcPr>
            <w:tcW w:w="1276" w:type="dxa"/>
            <w:tcBorders>
              <w:top w:val="single" w:sz="4" w:space="0" w:color="365F91"/>
              <w:bottom w:val="single" w:sz="4" w:space="0" w:color="365F91"/>
            </w:tcBorders>
          </w:tcPr>
          <w:p w14:paraId="364F987E" w14:textId="77777777" w:rsidR="00E0181F" w:rsidRPr="001D5327" w:rsidRDefault="00E0181F" w:rsidP="00D11AC9">
            <w:pPr>
              <w:pStyle w:val="TableTextBold"/>
              <w:rPr>
                <w:noProof w:val="0"/>
              </w:rPr>
            </w:pPr>
            <w:r w:rsidRPr="001D5327">
              <w:rPr>
                <w:noProof w:val="0"/>
              </w:rPr>
              <w:t>Settlements</w:t>
            </w:r>
          </w:p>
        </w:tc>
        <w:tc>
          <w:tcPr>
            <w:tcW w:w="7229" w:type="dxa"/>
            <w:tcBorders>
              <w:top w:val="single" w:sz="4" w:space="0" w:color="365F91"/>
              <w:bottom w:val="single" w:sz="4" w:space="0" w:color="365F91"/>
            </w:tcBorders>
          </w:tcPr>
          <w:p w14:paraId="2699EB4C" w14:textId="77777777" w:rsidR="00E0181F" w:rsidRPr="001D5327" w:rsidRDefault="00E0181F" w:rsidP="00D11AC9">
            <w:pPr>
              <w:pStyle w:val="TableText"/>
              <w:spacing w:after="20"/>
            </w:pPr>
            <w:r w:rsidRPr="001D5327">
              <w:t>Includes:</w:t>
            </w:r>
          </w:p>
          <w:p w14:paraId="79E48E0F" w14:textId="77777777" w:rsidR="00E0181F" w:rsidRPr="001D5327" w:rsidRDefault="00E0181F" w:rsidP="00D11AC9">
            <w:pPr>
              <w:pStyle w:val="TableBullet"/>
              <w:spacing w:before="0" w:after="20"/>
            </w:pPr>
            <w:r w:rsidRPr="001D5327">
              <w:t>built-up areas and impervious surfaces</w:t>
            </w:r>
          </w:p>
          <w:p w14:paraId="502AD247" w14:textId="77777777" w:rsidR="00E0181F" w:rsidRPr="001D5327" w:rsidRDefault="00E0181F" w:rsidP="00D11AC9">
            <w:pPr>
              <w:pStyle w:val="TableBullet"/>
              <w:spacing w:before="0" w:after="20"/>
            </w:pPr>
            <w:r w:rsidRPr="001D5327">
              <w:t>grassland within ‘settlements’ including recreational areas, urban parklands and open spaces that do not meet the forest definition</w:t>
            </w:r>
          </w:p>
          <w:p w14:paraId="15D1DF50" w14:textId="77777777" w:rsidR="00E0181F" w:rsidRPr="001D5327" w:rsidRDefault="00E0181F" w:rsidP="00D11AC9">
            <w:pPr>
              <w:pStyle w:val="TableBullet"/>
              <w:spacing w:before="0" w:after="20"/>
            </w:pPr>
            <w:r w:rsidRPr="001D5327">
              <w:t>major roading infrastructure</w:t>
            </w:r>
          </w:p>
          <w:p w14:paraId="2F70BAA8" w14:textId="77777777" w:rsidR="00E0181F" w:rsidRPr="001D5327" w:rsidRDefault="00E0181F" w:rsidP="00D11AC9">
            <w:pPr>
              <w:pStyle w:val="TableBullet"/>
              <w:spacing w:before="0" w:after="20"/>
            </w:pPr>
            <w:r w:rsidRPr="001D5327">
              <w:t>airports and runways</w:t>
            </w:r>
          </w:p>
          <w:p w14:paraId="12B59A86" w14:textId="77777777" w:rsidR="00E0181F" w:rsidRPr="001D5327" w:rsidRDefault="00E0181F" w:rsidP="00D11AC9">
            <w:pPr>
              <w:pStyle w:val="TableBullet"/>
              <w:spacing w:before="0" w:after="20"/>
            </w:pPr>
            <w:r w:rsidRPr="001D5327">
              <w:t xml:space="preserve">dam infrastructure </w:t>
            </w:r>
          </w:p>
          <w:p w14:paraId="5BF5B1D6" w14:textId="77777777" w:rsidR="00E0181F" w:rsidRPr="001D5327" w:rsidRDefault="00E0181F" w:rsidP="00D11AC9">
            <w:pPr>
              <w:pStyle w:val="TableBullet"/>
              <w:spacing w:before="0"/>
            </w:pPr>
            <w:r w:rsidRPr="001D5327">
              <w:t>urban subdivisions under construction.</w:t>
            </w:r>
          </w:p>
        </w:tc>
      </w:tr>
      <w:tr w:rsidR="00E0181F" w:rsidRPr="001D5327" w14:paraId="2FAC1A3E" w14:textId="77777777" w:rsidTr="00D11AC9">
        <w:tc>
          <w:tcPr>
            <w:tcW w:w="1276" w:type="dxa"/>
            <w:tcBorders>
              <w:top w:val="single" w:sz="4" w:space="0" w:color="365F91"/>
              <w:bottom w:val="single" w:sz="4" w:space="0" w:color="365F91"/>
            </w:tcBorders>
          </w:tcPr>
          <w:p w14:paraId="4F83546A" w14:textId="77777777" w:rsidR="00E0181F" w:rsidRPr="001D5327" w:rsidRDefault="00E0181F" w:rsidP="00D11AC9">
            <w:pPr>
              <w:pStyle w:val="TableText"/>
              <w:rPr>
                <w:b/>
              </w:rPr>
            </w:pPr>
            <w:r w:rsidRPr="001D5327">
              <w:rPr>
                <w:b/>
              </w:rPr>
              <w:t>Other land</w:t>
            </w:r>
          </w:p>
        </w:tc>
        <w:tc>
          <w:tcPr>
            <w:tcW w:w="7229" w:type="dxa"/>
            <w:tcBorders>
              <w:top w:val="single" w:sz="4" w:space="0" w:color="365F91"/>
              <w:bottom w:val="single" w:sz="4" w:space="0" w:color="365F91"/>
            </w:tcBorders>
          </w:tcPr>
          <w:p w14:paraId="7C4A5805" w14:textId="77777777" w:rsidR="00E0181F" w:rsidRPr="001D5327" w:rsidRDefault="00E0181F" w:rsidP="00D11AC9">
            <w:pPr>
              <w:pStyle w:val="TableText"/>
              <w:spacing w:after="20"/>
            </w:pPr>
            <w:r w:rsidRPr="001D5327">
              <w:t>Includes:</w:t>
            </w:r>
          </w:p>
          <w:p w14:paraId="4B1FBF23" w14:textId="77777777" w:rsidR="00E0181F" w:rsidRPr="001D5327" w:rsidRDefault="00E0181F" w:rsidP="00D11AC9">
            <w:pPr>
              <w:pStyle w:val="TableBullet"/>
              <w:spacing w:before="0" w:after="20"/>
            </w:pPr>
            <w:r w:rsidRPr="001D5327">
              <w:t>montane rock and/or scree</w:t>
            </w:r>
          </w:p>
          <w:p w14:paraId="1BF47D5B" w14:textId="77777777" w:rsidR="00E0181F" w:rsidRPr="001D5327" w:rsidRDefault="00E0181F" w:rsidP="00D11AC9">
            <w:pPr>
              <w:pStyle w:val="TableBullet"/>
              <w:spacing w:before="0" w:after="20"/>
            </w:pPr>
            <w:r w:rsidRPr="001D5327">
              <w:t>river gravels, rocky outcrops, sand dunes and beaches, coastal cliffs, mines (including spoil), quarries</w:t>
            </w:r>
          </w:p>
          <w:p w14:paraId="0D79C528" w14:textId="77777777" w:rsidR="00E0181F" w:rsidRPr="001D5327" w:rsidRDefault="00E0181F" w:rsidP="00D11AC9">
            <w:pPr>
              <w:pStyle w:val="TableBullet"/>
              <w:spacing w:before="0" w:after="20"/>
            </w:pPr>
            <w:r w:rsidRPr="001D5327">
              <w:t>permanent ice and/or snow and glaciers</w:t>
            </w:r>
          </w:p>
          <w:p w14:paraId="138D52BF" w14:textId="77777777" w:rsidR="00E0181F" w:rsidRPr="001D5327" w:rsidRDefault="00E0181F" w:rsidP="00D11AC9">
            <w:pPr>
              <w:pStyle w:val="TableBullet"/>
              <w:spacing w:before="0"/>
            </w:pPr>
            <w:r w:rsidRPr="001D5327">
              <w:t>any other remaining land that does not fall into any of the other land use categories as described in volume 4, section 3.2 of the 2006 IPCC Guidelines (IPCC, 2006a).</w:t>
            </w:r>
          </w:p>
        </w:tc>
      </w:tr>
    </w:tbl>
    <w:p w14:paraId="7877807B" w14:textId="77777777" w:rsidR="00E0181F" w:rsidRPr="001D5327" w:rsidRDefault="00E0181F" w:rsidP="00E0181F">
      <w:pPr>
        <w:pStyle w:val="Heading3"/>
      </w:pPr>
      <w:r w:rsidRPr="001D5327">
        <w:t>6.2.2</w:t>
      </w:r>
      <w:r w:rsidRPr="001D5327">
        <w:tab/>
        <w:t>Land representation approaches</w:t>
      </w:r>
    </w:p>
    <w:p w14:paraId="1B88E539" w14:textId="77777777" w:rsidR="00E0181F" w:rsidRPr="001D5327" w:rsidRDefault="00E0181F" w:rsidP="00E0181F">
      <w:pPr>
        <w:pStyle w:val="BodyText"/>
      </w:pPr>
      <w:r w:rsidRPr="001D5327">
        <w:t>New Zealand uses a combination of approaches 2 and 3 to determine annual land-use changes occurring between 1 January 1990 and 31 December 2023 (section 2.2.4, IPCC, 2014). This includes wall-to-wall mapping of all land use classes described in table 6.2.3 every four to five years (Approach 3), combined with other non-spatial activity data sets to infer the timing of land-use change between major mapping updates (Approach 2).</w:t>
      </w:r>
    </w:p>
    <w:p w14:paraId="6DCE7CF8" w14:textId="77777777" w:rsidR="00E0181F" w:rsidRPr="001D5327" w:rsidRDefault="00E0181F" w:rsidP="00E0181F">
      <w:pPr>
        <w:pStyle w:val="BodyText"/>
      </w:pPr>
      <w:r w:rsidRPr="001D5327">
        <w:t xml:space="preserve">An Approach 2 method is used to estimate gross land use transitions before 1990 using a variety of different sources and following the methodology described in Watts (unpublished) and reviewed in Hunter and McNeill (unpublished). This is further described in annex 5, section A5.2.2. Applying this methodology allows for the land use transition matrix for the period 1962 to 1989 to be obtained (see table 6.2.3). </w:t>
      </w:r>
    </w:p>
    <w:p w14:paraId="259D17F4" w14:textId="77777777" w:rsidR="00E0181F" w:rsidRPr="001D5327" w:rsidRDefault="00E0181F" w:rsidP="00E0181F">
      <w:pPr>
        <w:pStyle w:val="BodyText"/>
        <w:sectPr w:rsidR="00E0181F" w:rsidRPr="001D5327" w:rsidSect="00E0181F">
          <w:footerReference w:type="even" r:id="rId197"/>
          <w:footerReference w:type="default" r:id="rId198"/>
          <w:pgSz w:w="11906" w:h="16838" w:code="9"/>
          <w:pgMar w:top="1418" w:right="1701" w:bottom="1418" w:left="1701" w:header="567" w:footer="567" w:gutter="0"/>
          <w:cols w:space="708"/>
          <w:docGrid w:linePitch="360"/>
        </w:sectPr>
      </w:pPr>
    </w:p>
    <w:p w14:paraId="16ACA7D0" w14:textId="77777777" w:rsidR="00E0181F" w:rsidRPr="001D5327" w:rsidRDefault="00E0181F" w:rsidP="00E0181F">
      <w:pPr>
        <w:pStyle w:val="Table"/>
        <w:spacing w:before="0"/>
      </w:pPr>
      <w:bookmarkStart w:id="1728" w:name="_Toc158979948"/>
      <w:bookmarkStart w:id="1729" w:name="_Toc164153881"/>
      <w:bookmarkStart w:id="1730" w:name="_Toc190873115"/>
      <w:bookmarkStart w:id="1731" w:name="_Toc194241754"/>
      <w:r w:rsidRPr="001D5327">
        <w:lastRenderedPageBreak/>
        <w:t>Table 6.2.3</w:t>
      </w:r>
      <w:r w:rsidRPr="001D5327">
        <w:tab/>
        <w:t>New Zealand’s land-use change matrix, from 1962 to 1989</w:t>
      </w:r>
      <w:bookmarkEnd w:id="1728"/>
      <w:bookmarkEnd w:id="1729"/>
      <w:r w:rsidRPr="001D5327">
        <w:t xml:space="preserve"> (kha)</w:t>
      </w:r>
      <w:bookmarkEnd w:id="1730"/>
      <w:bookmarkEnd w:id="1731"/>
    </w:p>
    <w:tbl>
      <w:tblPr>
        <w:tblW w:w="13948"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151"/>
        <w:gridCol w:w="2300"/>
        <w:gridCol w:w="719"/>
        <w:gridCol w:w="719"/>
        <w:gridCol w:w="719"/>
        <w:gridCol w:w="719"/>
        <w:gridCol w:w="719"/>
        <w:gridCol w:w="719"/>
        <w:gridCol w:w="719"/>
        <w:gridCol w:w="719"/>
        <w:gridCol w:w="719"/>
        <w:gridCol w:w="719"/>
        <w:gridCol w:w="719"/>
        <w:gridCol w:w="719"/>
        <w:gridCol w:w="719"/>
        <w:gridCol w:w="1150"/>
      </w:tblGrid>
      <w:tr w:rsidR="00E0181F" w:rsidRPr="001D5327" w14:paraId="61EEAF50" w14:textId="77777777" w:rsidTr="00D11AC9">
        <w:trPr>
          <w:tblHeader/>
        </w:trPr>
        <w:tc>
          <w:tcPr>
            <w:tcW w:w="3402" w:type="dxa"/>
            <w:gridSpan w:val="2"/>
            <w:tcBorders>
              <w:bottom w:val="single" w:sz="4" w:space="0" w:color="1B556B"/>
            </w:tcBorders>
            <w:shd w:val="clear" w:color="auto" w:fill="1B556B"/>
            <w:tcMar>
              <w:top w:w="0" w:type="dxa"/>
              <w:left w:w="85" w:type="dxa"/>
              <w:bottom w:w="0" w:type="dxa"/>
              <w:right w:w="85" w:type="dxa"/>
            </w:tcMar>
            <w:vAlign w:val="bottom"/>
          </w:tcPr>
          <w:p w14:paraId="78AE8491" w14:textId="77777777" w:rsidR="00E0181F" w:rsidRPr="001D5327" w:rsidRDefault="00E0181F" w:rsidP="00D11AC9">
            <w:pPr>
              <w:pStyle w:val="TableText"/>
              <w:rPr>
                <w:b/>
                <w:bCs/>
                <w:color w:val="FFFFFF" w:themeColor="background1"/>
              </w:rPr>
            </w:pPr>
            <w:r w:rsidRPr="001D5327">
              <w:rPr>
                <w:rFonts w:eastAsia="Calibri"/>
                <w:b/>
                <w:bCs/>
                <w:color w:val="FFFFFF" w:themeColor="background1"/>
              </w:rPr>
              <w:t>1962 land use</w:t>
            </w:r>
          </w:p>
        </w:tc>
        <w:tc>
          <w:tcPr>
            <w:tcW w:w="2836" w:type="dxa"/>
            <w:gridSpan w:val="4"/>
            <w:tcBorders>
              <w:bottom w:val="single" w:sz="4" w:space="0" w:color="1B556B"/>
            </w:tcBorders>
            <w:shd w:val="clear" w:color="auto" w:fill="1B556B"/>
            <w:tcMar>
              <w:top w:w="0" w:type="dxa"/>
              <w:left w:w="85" w:type="dxa"/>
              <w:bottom w:w="0" w:type="dxa"/>
              <w:right w:w="85" w:type="dxa"/>
            </w:tcMar>
            <w:vAlign w:val="center"/>
          </w:tcPr>
          <w:p w14:paraId="5A209CBF" w14:textId="77777777" w:rsidR="00E0181F" w:rsidRPr="001D5327" w:rsidRDefault="00E0181F" w:rsidP="00D11AC9">
            <w:pPr>
              <w:pStyle w:val="TableText"/>
              <w:jc w:val="right"/>
              <w:rPr>
                <w:b/>
                <w:bCs/>
                <w:color w:val="FFFFFF" w:themeColor="background1"/>
              </w:rPr>
            </w:pPr>
            <w:r w:rsidRPr="001D5327">
              <w:rPr>
                <w:rFonts w:eastAsia="Calibri"/>
                <w:b/>
                <w:bCs/>
                <w:color w:val="FFFFFF" w:themeColor="background1"/>
              </w:rPr>
              <w:t>Forest land</w:t>
            </w:r>
          </w:p>
        </w:tc>
        <w:tc>
          <w:tcPr>
            <w:tcW w:w="1418" w:type="dxa"/>
            <w:gridSpan w:val="2"/>
            <w:tcBorders>
              <w:bottom w:val="single" w:sz="4" w:space="0" w:color="1B556B"/>
            </w:tcBorders>
            <w:shd w:val="clear" w:color="auto" w:fill="1B556B"/>
            <w:tcMar>
              <w:top w:w="0" w:type="dxa"/>
              <w:left w:w="85" w:type="dxa"/>
              <w:bottom w:w="0" w:type="dxa"/>
              <w:right w:w="85" w:type="dxa"/>
            </w:tcMar>
            <w:vAlign w:val="center"/>
          </w:tcPr>
          <w:p w14:paraId="302A1EC8" w14:textId="77777777" w:rsidR="00E0181F" w:rsidRPr="001D5327" w:rsidRDefault="00E0181F" w:rsidP="00D11AC9">
            <w:pPr>
              <w:pStyle w:val="TableText"/>
              <w:jc w:val="right"/>
              <w:rPr>
                <w:b/>
                <w:bCs/>
                <w:color w:val="FFFFFF" w:themeColor="background1"/>
              </w:rPr>
            </w:pPr>
            <w:r w:rsidRPr="001D5327">
              <w:rPr>
                <w:rFonts w:eastAsia="Calibri"/>
                <w:b/>
                <w:bCs/>
                <w:color w:val="FFFFFF" w:themeColor="background1"/>
              </w:rPr>
              <w:t>Cropland</w:t>
            </w:r>
          </w:p>
        </w:tc>
        <w:tc>
          <w:tcPr>
            <w:tcW w:w="2127" w:type="dxa"/>
            <w:gridSpan w:val="3"/>
            <w:tcBorders>
              <w:bottom w:val="single" w:sz="4" w:space="0" w:color="1B556B"/>
            </w:tcBorders>
            <w:shd w:val="clear" w:color="auto" w:fill="1B556B"/>
            <w:tcMar>
              <w:top w:w="0" w:type="dxa"/>
              <w:left w:w="85" w:type="dxa"/>
              <w:bottom w:w="0" w:type="dxa"/>
              <w:right w:w="85" w:type="dxa"/>
            </w:tcMar>
            <w:vAlign w:val="center"/>
          </w:tcPr>
          <w:p w14:paraId="5AEBBEDD" w14:textId="77777777" w:rsidR="00E0181F" w:rsidRPr="001D5327" w:rsidRDefault="00E0181F" w:rsidP="00D11AC9">
            <w:pPr>
              <w:pStyle w:val="TableText"/>
              <w:jc w:val="right"/>
              <w:rPr>
                <w:b/>
                <w:bCs/>
                <w:color w:val="FFFFFF" w:themeColor="background1"/>
              </w:rPr>
            </w:pPr>
            <w:r w:rsidRPr="001D5327">
              <w:rPr>
                <w:rFonts w:eastAsia="Calibri"/>
                <w:b/>
                <w:bCs/>
                <w:color w:val="FFFFFF" w:themeColor="background1"/>
              </w:rPr>
              <w:t>Grassland</w:t>
            </w:r>
          </w:p>
        </w:tc>
        <w:tc>
          <w:tcPr>
            <w:tcW w:w="1418" w:type="dxa"/>
            <w:gridSpan w:val="2"/>
            <w:tcBorders>
              <w:bottom w:val="single" w:sz="4" w:space="0" w:color="1B556B"/>
            </w:tcBorders>
            <w:shd w:val="clear" w:color="auto" w:fill="1B556B"/>
            <w:tcMar>
              <w:top w:w="0" w:type="dxa"/>
              <w:left w:w="85" w:type="dxa"/>
              <w:bottom w:w="0" w:type="dxa"/>
              <w:right w:w="85" w:type="dxa"/>
            </w:tcMar>
            <w:vAlign w:val="center"/>
          </w:tcPr>
          <w:p w14:paraId="210606D1" w14:textId="77777777" w:rsidR="00E0181F" w:rsidRPr="001D5327" w:rsidRDefault="00E0181F" w:rsidP="00D11AC9">
            <w:pPr>
              <w:pStyle w:val="TableText"/>
              <w:jc w:val="right"/>
              <w:rPr>
                <w:b/>
                <w:bCs/>
                <w:color w:val="FFFFFF" w:themeColor="background1"/>
              </w:rPr>
            </w:pPr>
            <w:r w:rsidRPr="001D5327">
              <w:rPr>
                <w:rFonts w:eastAsia="Calibri"/>
                <w:b/>
                <w:bCs/>
                <w:color w:val="FFFFFF" w:themeColor="background1"/>
              </w:rPr>
              <w:t>Wetlands</w:t>
            </w:r>
          </w:p>
        </w:tc>
        <w:tc>
          <w:tcPr>
            <w:tcW w:w="2552" w:type="dxa"/>
            <w:gridSpan w:val="3"/>
            <w:tcBorders>
              <w:bottom w:val="single" w:sz="4" w:space="0" w:color="1B556B"/>
            </w:tcBorders>
            <w:shd w:val="clear" w:color="auto" w:fill="1B556B"/>
            <w:tcMar>
              <w:top w:w="0" w:type="dxa"/>
              <w:left w:w="85" w:type="dxa"/>
              <w:bottom w:w="0" w:type="dxa"/>
              <w:right w:w="85" w:type="dxa"/>
            </w:tcMar>
            <w:vAlign w:val="center"/>
          </w:tcPr>
          <w:p w14:paraId="7F40544B" w14:textId="77777777" w:rsidR="00E0181F" w:rsidRPr="001D5327" w:rsidRDefault="00E0181F" w:rsidP="00D11AC9">
            <w:pPr>
              <w:pStyle w:val="TableText"/>
              <w:rPr>
                <w:b/>
                <w:bCs/>
                <w:color w:val="FFFFFF" w:themeColor="background1"/>
              </w:rPr>
            </w:pPr>
          </w:p>
        </w:tc>
      </w:tr>
      <w:tr w:rsidR="00E0181F" w:rsidRPr="001D5327" w14:paraId="5910570D" w14:textId="77777777" w:rsidTr="00D11AC9">
        <w:trPr>
          <w:trHeight w:val="827"/>
          <w:tblHeader/>
        </w:trPr>
        <w:tc>
          <w:tcPr>
            <w:tcW w:w="3402" w:type="dxa"/>
            <w:gridSpan w:val="2"/>
            <w:tcBorders>
              <w:bottom w:val="nil"/>
            </w:tcBorders>
            <w:shd w:val="clear" w:color="auto" w:fill="1B556B"/>
            <w:tcMar>
              <w:top w:w="57" w:type="dxa"/>
              <w:left w:w="85" w:type="dxa"/>
              <w:bottom w:w="0" w:type="dxa"/>
              <w:right w:w="85" w:type="dxa"/>
            </w:tcMar>
            <w:vAlign w:val="bottom"/>
          </w:tcPr>
          <w:p w14:paraId="1CC889D3" w14:textId="77777777" w:rsidR="00E0181F" w:rsidRPr="001D5327" w:rsidRDefault="00E0181F" w:rsidP="00D11AC9">
            <w:pPr>
              <w:pStyle w:val="TableText"/>
              <w:rPr>
                <w:b/>
                <w:bCs/>
                <w:color w:val="FFFFFF" w:themeColor="background1"/>
              </w:rPr>
            </w:pPr>
            <w:r w:rsidRPr="001D5327">
              <w:rPr>
                <w:rFonts w:eastAsia="Calibri"/>
                <w:b/>
                <w:bCs/>
                <w:color w:val="FFFFFF" w:themeColor="background1"/>
              </w:rPr>
              <w:t>1989 land use</w:t>
            </w:r>
          </w:p>
        </w:tc>
        <w:tc>
          <w:tcPr>
            <w:tcW w:w="709" w:type="dxa"/>
            <w:tcBorders>
              <w:bottom w:val="nil"/>
            </w:tcBorders>
            <w:shd w:val="clear" w:color="auto" w:fill="1B556B"/>
            <w:tcMar>
              <w:top w:w="0" w:type="dxa"/>
              <w:left w:w="85" w:type="dxa"/>
              <w:bottom w:w="57" w:type="dxa"/>
              <w:right w:w="85" w:type="dxa"/>
            </w:tcMar>
            <w:textDirection w:val="btLr"/>
            <w:vAlign w:val="bottom"/>
          </w:tcPr>
          <w:p w14:paraId="545C1D7F" w14:textId="77777777" w:rsidR="00E0181F" w:rsidRPr="001D5327" w:rsidRDefault="00E0181F" w:rsidP="00D11AC9">
            <w:pPr>
              <w:pStyle w:val="TableText"/>
              <w:rPr>
                <w:b/>
                <w:bCs/>
                <w:color w:val="FFFFFF" w:themeColor="background1"/>
              </w:rPr>
            </w:pPr>
            <w:r w:rsidRPr="001D5327">
              <w:rPr>
                <w:rFonts w:eastAsia="Calibri"/>
                <w:b/>
                <w:bCs/>
                <w:color w:val="FFFFFF" w:themeColor="background1"/>
              </w:rPr>
              <w:t>Pre-1990 natural</w:t>
            </w:r>
          </w:p>
        </w:tc>
        <w:tc>
          <w:tcPr>
            <w:tcW w:w="709" w:type="dxa"/>
            <w:tcBorders>
              <w:bottom w:val="nil"/>
            </w:tcBorders>
            <w:shd w:val="clear" w:color="auto" w:fill="1B556B"/>
            <w:tcMar>
              <w:top w:w="0" w:type="dxa"/>
              <w:left w:w="85" w:type="dxa"/>
              <w:bottom w:w="57" w:type="dxa"/>
              <w:right w:w="85" w:type="dxa"/>
            </w:tcMar>
            <w:textDirection w:val="btLr"/>
            <w:vAlign w:val="bottom"/>
          </w:tcPr>
          <w:p w14:paraId="6CE473AA" w14:textId="77777777" w:rsidR="00E0181F" w:rsidRPr="001D5327" w:rsidRDefault="00E0181F" w:rsidP="00D11AC9">
            <w:pPr>
              <w:pStyle w:val="TableText"/>
              <w:rPr>
                <w:b/>
                <w:bCs/>
                <w:color w:val="FFFFFF" w:themeColor="background1"/>
              </w:rPr>
            </w:pPr>
            <w:r w:rsidRPr="001D5327">
              <w:rPr>
                <w:rFonts w:eastAsia="Calibri"/>
                <w:b/>
                <w:bCs/>
                <w:color w:val="FFFFFF" w:themeColor="background1"/>
              </w:rPr>
              <w:t>Pre-1990 planted</w:t>
            </w:r>
          </w:p>
        </w:tc>
        <w:tc>
          <w:tcPr>
            <w:tcW w:w="709" w:type="dxa"/>
            <w:tcBorders>
              <w:bottom w:val="nil"/>
            </w:tcBorders>
            <w:shd w:val="clear" w:color="auto" w:fill="1B556B"/>
            <w:tcMar>
              <w:top w:w="0" w:type="dxa"/>
              <w:left w:w="85" w:type="dxa"/>
              <w:bottom w:w="57" w:type="dxa"/>
              <w:right w:w="85" w:type="dxa"/>
            </w:tcMar>
            <w:textDirection w:val="btLr"/>
            <w:vAlign w:val="bottom"/>
          </w:tcPr>
          <w:p w14:paraId="13363B7E" w14:textId="77777777" w:rsidR="00E0181F" w:rsidRPr="001D5327" w:rsidRDefault="00E0181F" w:rsidP="00D11AC9">
            <w:pPr>
              <w:pStyle w:val="TableText"/>
              <w:rPr>
                <w:b/>
                <w:bCs/>
                <w:color w:val="FFFFFF" w:themeColor="background1"/>
              </w:rPr>
            </w:pPr>
            <w:r w:rsidRPr="001D5327">
              <w:rPr>
                <w:rFonts w:eastAsia="Calibri"/>
                <w:b/>
                <w:bCs/>
                <w:color w:val="FFFFFF" w:themeColor="background1"/>
              </w:rPr>
              <w:t>Post-1989 planted</w:t>
            </w:r>
          </w:p>
        </w:tc>
        <w:tc>
          <w:tcPr>
            <w:tcW w:w="709" w:type="dxa"/>
            <w:tcBorders>
              <w:bottom w:val="nil"/>
            </w:tcBorders>
            <w:shd w:val="clear" w:color="auto" w:fill="1B556B"/>
            <w:tcMar>
              <w:top w:w="0" w:type="dxa"/>
              <w:left w:w="85" w:type="dxa"/>
              <w:bottom w:w="57" w:type="dxa"/>
              <w:right w:w="85" w:type="dxa"/>
            </w:tcMar>
            <w:textDirection w:val="btLr"/>
            <w:vAlign w:val="bottom"/>
          </w:tcPr>
          <w:p w14:paraId="229518A2" w14:textId="77777777" w:rsidR="00E0181F" w:rsidRPr="001D5327" w:rsidRDefault="00E0181F" w:rsidP="00D11AC9">
            <w:pPr>
              <w:pStyle w:val="TableText"/>
              <w:rPr>
                <w:b/>
                <w:bCs/>
                <w:color w:val="FFFFFF" w:themeColor="background1"/>
              </w:rPr>
            </w:pPr>
            <w:r w:rsidRPr="001D5327">
              <w:rPr>
                <w:rFonts w:eastAsia="Calibri"/>
                <w:b/>
                <w:bCs/>
                <w:color w:val="FFFFFF" w:themeColor="background1"/>
              </w:rPr>
              <w:t>Post-1989 natural</w:t>
            </w:r>
          </w:p>
        </w:tc>
        <w:tc>
          <w:tcPr>
            <w:tcW w:w="709" w:type="dxa"/>
            <w:tcBorders>
              <w:bottom w:val="nil"/>
            </w:tcBorders>
            <w:shd w:val="clear" w:color="auto" w:fill="1B556B"/>
            <w:tcMar>
              <w:top w:w="0" w:type="dxa"/>
              <w:left w:w="85" w:type="dxa"/>
              <w:bottom w:w="57" w:type="dxa"/>
              <w:right w:w="85" w:type="dxa"/>
            </w:tcMar>
            <w:textDirection w:val="btLr"/>
            <w:vAlign w:val="bottom"/>
          </w:tcPr>
          <w:p w14:paraId="4CDEB9BF" w14:textId="77777777" w:rsidR="00E0181F" w:rsidRPr="001D5327" w:rsidRDefault="00E0181F" w:rsidP="00D11AC9">
            <w:pPr>
              <w:pStyle w:val="TableText"/>
              <w:rPr>
                <w:b/>
                <w:bCs/>
                <w:color w:val="FFFFFF" w:themeColor="background1"/>
              </w:rPr>
            </w:pPr>
            <w:r w:rsidRPr="001D5327">
              <w:rPr>
                <w:rFonts w:eastAsia="Calibri"/>
                <w:b/>
                <w:bCs/>
                <w:color w:val="FFFFFF" w:themeColor="background1"/>
              </w:rPr>
              <w:t>Annual</w:t>
            </w:r>
          </w:p>
        </w:tc>
        <w:tc>
          <w:tcPr>
            <w:tcW w:w="709" w:type="dxa"/>
            <w:tcBorders>
              <w:bottom w:val="nil"/>
            </w:tcBorders>
            <w:shd w:val="clear" w:color="auto" w:fill="1B556B"/>
            <w:tcMar>
              <w:top w:w="0" w:type="dxa"/>
              <w:left w:w="85" w:type="dxa"/>
              <w:bottom w:w="57" w:type="dxa"/>
              <w:right w:w="85" w:type="dxa"/>
            </w:tcMar>
            <w:textDirection w:val="btLr"/>
            <w:vAlign w:val="bottom"/>
          </w:tcPr>
          <w:p w14:paraId="1788A563" w14:textId="77777777" w:rsidR="00E0181F" w:rsidRPr="001D5327" w:rsidRDefault="00E0181F" w:rsidP="00D11AC9">
            <w:pPr>
              <w:pStyle w:val="TableText"/>
              <w:rPr>
                <w:b/>
                <w:bCs/>
                <w:color w:val="FFFFFF" w:themeColor="background1"/>
              </w:rPr>
            </w:pPr>
            <w:r w:rsidRPr="001D5327">
              <w:rPr>
                <w:rFonts w:eastAsia="Calibri"/>
                <w:b/>
                <w:bCs/>
                <w:color w:val="FFFFFF" w:themeColor="background1"/>
              </w:rPr>
              <w:t>Perennial</w:t>
            </w:r>
          </w:p>
        </w:tc>
        <w:tc>
          <w:tcPr>
            <w:tcW w:w="709" w:type="dxa"/>
            <w:tcBorders>
              <w:bottom w:val="nil"/>
            </w:tcBorders>
            <w:shd w:val="clear" w:color="auto" w:fill="1B556B"/>
            <w:tcMar>
              <w:top w:w="0" w:type="dxa"/>
              <w:left w:w="85" w:type="dxa"/>
              <w:bottom w:w="57" w:type="dxa"/>
              <w:right w:w="85" w:type="dxa"/>
            </w:tcMar>
            <w:textDirection w:val="btLr"/>
            <w:vAlign w:val="bottom"/>
          </w:tcPr>
          <w:p w14:paraId="703D8800" w14:textId="77777777" w:rsidR="00E0181F" w:rsidRPr="001D5327" w:rsidRDefault="00E0181F" w:rsidP="00D11AC9">
            <w:pPr>
              <w:pStyle w:val="TableText"/>
              <w:rPr>
                <w:b/>
                <w:bCs/>
                <w:color w:val="FFFFFF" w:themeColor="background1"/>
              </w:rPr>
            </w:pPr>
            <w:r w:rsidRPr="001D5327">
              <w:rPr>
                <w:rFonts w:eastAsia="Calibri"/>
                <w:b/>
                <w:bCs/>
                <w:color w:val="FFFFFF" w:themeColor="background1"/>
              </w:rPr>
              <w:t>High producing</w:t>
            </w:r>
          </w:p>
        </w:tc>
        <w:tc>
          <w:tcPr>
            <w:tcW w:w="709" w:type="dxa"/>
            <w:tcBorders>
              <w:bottom w:val="nil"/>
            </w:tcBorders>
            <w:shd w:val="clear" w:color="auto" w:fill="1B556B"/>
            <w:tcMar>
              <w:top w:w="0" w:type="dxa"/>
              <w:left w:w="85" w:type="dxa"/>
              <w:bottom w:w="57" w:type="dxa"/>
              <w:right w:w="85" w:type="dxa"/>
            </w:tcMar>
            <w:textDirection w:val="btLr"/>
            <w:vAlign w:val="bottom"/>
          </w:tcPr>
          <w:p w14:paraId="03975B52" w14:textId="77777777" w:rsidR="00E0181F" w:rsidRPr="001D5327" w:rsidRDefault="00E0181F" w:rsidP="00D11AC9">
            <w:pPr>
              <w:pStyle w:val="TableText"/>
              <w:rPr>
                <w:b/>
                <w:bCs/>
                <w:color w:val="FFFFFF" w:themeColor="background1"/>
              </w:rPr>
            </w:pPr>
            <w:r w:rsidRPr="001D5327">
              <w:rPr>
                <w:rFonts w:eastAsia="Calibri"/>
                <w:b/>
                <w:bCs/>
                <w:color w:val="FFFFFF" w:themeColor="background1"/>
              </w:rPr>
              <w:t>Low producing</w:t>
            </w:r>
          </w:p>
        </w:tc>
        <w:tc>
          <w:tcPr>
            <w:tcW w:w="709" w:type="dxa"/>
            <w:tcBorders>
              <w:bottom w:val="nil"/>
            </w:tcBorders>
            <w:shd w:val="clear" w:color="auto" w:fill="1B556B"/>
            <w:tcMar>
              <w:top w:w="0" w:type="dxa"/>
              <w:left w:w="85" w:type="dxa"/>
              <w:bottom w:w="57" w:type="dxa"/>
              <w:right w:w="85" w:type="dxa"/>
            </w:tcMar>
            <w:textDirection w:val="btLr"/>
            <w:vAlign w:val="bottom"/>
          </w:tcPr>
          <w:p w14:paraId="6096FAE1" w14:textId="77777777" w:rsidR="00E0181F" w:rsidRPr="001D5327" w:rsidRDefault="00E0181F" w:rsidP="00D11AC9">
            <w:pPr>
              <w:pStyle w:val="TableText"/>
              <w:rPr>
                <w:b/>
                <w:bCs/>
                <w:color w:val="FFFFFF" w:themeColor="background1"/>
              </w:rPr>
            </w:pPr>
            <w:r w:rsidRPr="001D5327">
              <w:rPr>
                <w:rFonts w:eastAsia="Calibri"/>
                <w:b/>
                <w:bCs/>
                <w:color w:val="FFFFFF" w:themeColor="background1"/>
              </w:rPr>
              <w:t>With woody biomass</w:t>
            </w:r>
          </w:p>
        </w:tc>
        <w:tc>
          <w:tcPr>
            <w:tcW w:w="709" w:type="dxa"/>
            <w:tcBorders>
              <w:bottom w:val="nil"/>
            </w:tcBorders>
            <w:shd w:val="clear" w:color="auto" w:fill="1B556B"/>
            <w:tcMar>
              <w:top w:w="0" w:type="dxa"/>
              <w:left w:w="85" w:type="dxa"/>
              <w:bottom w:w="57" w:type="dxa"/>
              <w:right w:w="85" w:type="dxa"/>
            </w:tcMar>
            <w:textDirection w:val="btLr"/>
            <w:vAlign w:val="bottom"/>
          </w:tcPr>
          <w:p w14:paraId="1B237C62" w14:textId="77777777" w:rsidR="00E0181F" w:rsidRPr="001D5327" w:rsidRDefault="00E0181F" w:rsidP="00D11AC9">
            <w:pPr>
              <w:pStyle w:val="TableText"/>
              <w:rPr>
                <w:b/>
                <w:bCs/>
                <w:color w:val="FFFFFF" w:themeColor="background1"/>
              </w:rPr>
            </w:pPr>
            <w:r w:rsidRPr="001D5327">
              <w:rPr>
                <w:rFonts w:eastAsia="Calibri"/>
                <w:b/>
                <w:bCs/>
                <w:color w:val="FFFFFF" w:themeColor="background1"/>
              </w:rPr>
              <w:t>Open water</w:t>
            </w:r>
          </w:p>
        </w:tc>
        <w:tc>
          <w:tcPr>
            <w:tcW w:w="709" w:type="dxa"/>
            <w:tcBorders>
              <w:bottom w:val="nil"/>
            </w:tcBorders>
            <w:shd w:val="clear" w:color="auto" w:fill="1B556B"/>
            <w:tcMar>
              <w:top w:w="0" w:type="dxa"/>
              <w:left w:w="85" w:type="dxa"/>
              <w:bottom w:w="57" w:type="dxa"/>
              <w:right w:w="85" w:type="dxa"/>
            </w:tcMar>
            <w:textDirection w:val="btLr"/>
            <w:vAlign w:val="bottom"/>
          </w:tcPr>
          <w:p w14:paraId="3B676BA2" w14:textId="77777777" w:rsidR="00E0181F" w:rsidRPr="001D5327" w:rsidRDefault="00E0181F" w:rsidP="00D11AC9">
            <w:pPr>
              <w:pStyle w:val="TableText"/>
              <w:rPr>
                <w:b/>
                <w:bCs/>
                <w:color w:val="FFFFFF" w:themeColor="background1"/>
              </w:rPr>
            </w:pPr>
            <w:r w:rsidRPr="001D5327">
              <w:rPr>
                <w:rFonts w:eastAsia="Calibri"/>
                <w:b/>
                <w:bCs/>
                <w:color w:val="FFFFFF" w:themeColor="background1"/>
              </w:rPr>
              <w:t>Vegetated</w:t>
            </w:r>
          </w:p>
        </w:tc>
        <w:tc>
          <w:tcPr>
            <w:tcW w:w="709" w:type="dxa"/>
            <w:tcBorders>
              <w:bottom w:val="nil"/>
            </w:tcBorders>
            <w:shd w:val="clear" w:color="auto" w:fill="1B556B"/>
            <w:tcMar>
              <w:top w:w="0" w:type="dxa"/>
              <w:left w:w="85" w:type="dxa"/>
              <w:bottom w:w="57" w:type="dxa"/>
              <w:right w:w="85" w:type="dxa"/>
            </w:tcMar>
            <w:textDirection w:val="btLr"/>
            <w:vAlign w:val="bottom"/>
          </w:tcPr>
          <w:p w14:paraId="0998E9E4" w14:textId="77777777" w:rsidR="00E0181F" w:rsidRPr="001D5327" w:rsidRDefault="00E0181F" w:rsidP="00D11AC9">
            <w:pPr>
              <w:pStyle w:val="TableText"/>
              <w:rPr>
                <w:b/>
                <w:bCs/>
                <w:color w:val="FFFFFF" w:themeColor="background1"/>
              </w:rPr>
            </w:pPr>
            <w:r w:rsidRPr="001D5327">
              <w:rPr>
                <w:rFonts w:eastAsia="Calibri"/>
                <w:b/>
                <w:bCs/>
                <w:color w:val="FFFFFF" w:themeColor="background1"/>
              </w:rPr>
              <w:t>Settlements</w:t>
            </w:r>
          </w:p>
        </w:tc>
        <w:tc>
          <w:tcPr>
            <w:tcW w:w="709" w:type="dxa"/>
            <w:tcBorders>
              <w:bottom w:val="nil"/>
            </w:tcBorders>
            <w:shd w:val="clear" w:color="auto" w:fill="1B556B"/>
            <w:tcMar>
              <w:top w:w="0" w:type="dxa"/>
              <w:left w:w="85" w:type="dxa"/>
              <w:bottom w:w="57" w:type="dxa"/>
              <w:right w:w="85" w:type="dxa"/>
            </w:tcMar>
            <w:textDirection w:val="btLr"/>
            <w:vAlign w:val="bottom"/>
          </w:tcPr>
          <w:p w14:paraId="4A51809B" w14:textId="77777777" w:rsidR="00E0181F" w:rsidRPr="001D5327" w:rsidRDefault="00E0181F" w:rsidP="00D11AC9">
            <w:pPr>
              <w:pStyle w:val="TableText"/>
              <w:rPr>
                <w:b/>
                <w:bCs/>
                <w:color w:val="FFFFFF" w:themeColor="background1"/>
              </w:rPr>
            </w:pPr>
            <w:r w:rsidRPr="001D5327">
              <w:rPr>
                <w:rFonts w:eastAsia="Calibri"/>
                <w:b/>
                <w:bCs/>
                <w:color w:val="FFFFFF" w:themeColor="background1"/>
              </w:rPr>
              <w:t>Other land</w:t>
            </w:r>
          </w:p>
        </w:tc>
        <w:tc>
          <w:tcPr>
            <w:tcW w:w="1134" w:type="dxa"/>
            <w:tcBorders>
              <w:bottom w:val="nil"/>
            </w:tcBorders>
            <w:shd w:val="clear" w:color="auto" w:fill="1B556B"/>
            <w:tcMar>
              <w:top w:w="57" w:type="dxa"/>
              <w:left w:w="85" w:type="dxa"/>
              <w:bottom w:w="0" w:type="dxa"/>
              <w:right w:w="85" w:type="dxa"/>
            </w:tcMar>
            <w:vAlign w:val="bottom"/>
          </w:tcPr>
          <w:p w14:paraId="33BF9DAA" w14:textId="77777777" w:rsidR="00E0181F" w:rsidRPr="001D5327" w:rsidRDefault="00E0181F" w:rsidP="00D11AC9">
            <w:pPr>
              <w:pStyle w:val="TableText"/>
              <w:jc w:val="right"/>
              <w:rPr>
                <w:b/>
                <w:bCs/>
                <w:color w:val="FFFFFF" w:themeColor="background1"/>
              </w:rPr>
            </w:pPr>
            <w:r w:rsidRPr="001D5327">
              <w:rPr>
                <w:rFonts w:eastAsia="Calibri"/>
                <w:b/>
                <w:bCs/>
                <w:color w:val="FFFFFF" w:themeColor="background1"/>
              </w:rPr>
              <w:t>Net area 31 Dec 1989 (kha)</w:t>
            </w:r>
          </w:p>
        </w:tc>
      </w:tr>
      <w:tr w:rsidR="00E0181F" w:rsidRPr="001D5327" w14:paraId="11B02597" w14:textId="77777777" w:rsidTr="00D11AC9">
        <w:tc>
          <w:tcPr>
            <w:tcW w:w="1134" w:type="dxa"/>
            <w:vMerge w:val="restart"/>
            <w:tcBorders>
              <w:top w:val="nil"/>
            </w:tcBorders>
            <w:shd w:val="clear" w:color="auto" w:fill="FFFFFF"/>
            <w:tcMar>
              <w:top w:w="0" w:type="dxa"/>
              <w:left w:w="85" w:type="dxa"/>
              <w:bottom w:w="0" w:type="dxa"/>
              <w:right w:w="85" w:type="dxa"/>
            </w:tcMar>
          </w:tcPr>
          <w:p w14:paraId="62E874D2" w14:textId="77777777" w:rsidR="00E0181F" w:rsidRPr="001D5327" w:rsidRDefault="00E0181F" w:rsidP="00D11AC9">
            <w:pPr>
              <w:pStyle w:val="TableText"/>
              <w:spacing w:before="40" w:after="40"/>
              <w:rPr>
                <w:szCs w:val="16"/>
              </w:rPr>
            </w:pPr>
            <w:r w:rsidRPr="001D5327">
              <w:rPr>
                <w:rFonts w:eastAsia="Calibri"/>
                <w:color w:val="000000"/>
                <w:szCs w:val="16"/>
              </w:rPr>
              <w:t>Forest land</w:t>
            </w:r>
          </w:p>
        </w:tc>
        <w:tc>
          <w:tcPr>
            <w:tcW w:w="2268" w:type="dxa"/>
            <w:tcBorders>
              <w:top w:val="nil"/>
            </w:tcBorders>
            <w:shd w:val="clear" w:color="auto" w:fill="FFFFFF"/>
            <w:tcMar>
              <w:top w:w="0" w:type="dxa"/>
              <w:left w:w="85" w:type="dxa"/>
              <w:bottom w:w="0" w:type="dxa"/>
              <w:right w:w="85" w:type="dxa"/>
            </w:tcMar>
            <w:vAlign w:val="center"/>
          </w:tcPr>
          <w:p w14:paraId="0AD69A19" w14:textId="77777777" w:rsidR="00E0181F" w:rsidRPr="001D5327" w:rsidRDefault="00E0181F" w:rsidP="00D11AC9">
            <w:pPr>
              <w:pStyle w:val="TableText"/>
              <w:spacing w:before="40" w:after="40"/>
              <w:rPr>
                <w:szCs w:val="16"/>
              </w:rPr>
            </w:pPr>
            <w:r w:rsidRPr="001D5327">
              <w:rPr>
                <w:rFonts w:eastAsia="Calibri"/>
                <w:color w:val="000000"/>
                <w:szCs w:val="16"/>
              </w:rPr>
              <w:t>Pre-1990 natural</w:t>
            </w:r>
          </w:p>
        </w:tc>
        <w:tc>
          <w:tcPr>
            <w:tcW w:w="709" w:type="dxa"/>
            <w:tcBorders>
              <w:top w:val="nil"/>
            </w:tcBorders>
            <w:shd w:val="clear" w:color="auto" w:fill="D2DDE1"/>
            <w:tcMar>
              <w:top w:w="0" w:type="dxa"/>
              <w:left w:w="85" w:type="dxa"/>
              <w:bottom w:w="0" w:type="dxa"/>
              <w:right w:w="85" w:type="dxa"/>
            </w:tcMar>
            <w:vAlign w:val="center"/>
          </w:tcPr>
          <w:p w14:paraId="65E26395" w14:textId="77777777" w:rsidR="00E0181F" w:rsidRPr="001D5327" w:rsidRDefault="00E0181F" w:rsidP="00D11AC9">
            <w:pPr>
              <w:pStyle w:val="TableText"/>
              <w:spacing w:before="40" w:after="40"/>
              <w:jc w:val="right"/>
              <w:rPr>
                <w:szCs w:val="16"/>
              </w:rPr>
            </w:pPr>
            <w:r w:rsidRPr="001D5327">
              <w:rPr>
                <w:rFonts w:eastAsia="Calibri"/>
                <w:color w:val="000000"/>
                <w:szCs w:val="16"/>
              </w:rPr>
              <w:t>7,771</w:t>
            </w:r>
          </w:p>
        </w:tc>
        <w:tc>
          <w:tcPr>
            <w:tcW w:w="709" w:type="dxa"/>
            <w:tcBorders>
              <w:top w:val="nil"/>
            </w:tcBorders>
            <w:shd w:val="clear" w:color="auto" w:fill="FFFFFF"/>
            <w:tcMar>
              <w:top w:w="0" w:type="dxa"/>
              <w:left w:w="85" w:type="dxa"/>
              <w:bottom w:w="0" w:type="dxa"/>
              <w:right w:w="85" w:type="dxa"/>
            </w:tcMar>
            <w:vAlign w:val="center"/>
          </w:tcPr>
          <w:p w14:paraId="3913354E" w14:textId="5AD3B7DE"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tcBorders>
              <w:top w:val="nil"/>
            </w:tcBorders>
            <w:shd w:val="clear" w:color="auto" w:fill="FFFFFF"/>
            <w:tcMar>
              <w:top w:w="0" w:type="dxa"/>
              <w:left w:w="85" w:type="dxa"/>
              <w:bottom w:w="0" w:type="dxa"/>
              <w:right w:w="85" w:type="dxa"/>
            </w:tcMar>
            <w:vAlign w:val="center"/>
          </w:tcPr>
          <w:p w14:paraId="30F0B393" w14:textId="7AE95F3C"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tcBorders>
              <w:top w:val="nil"/>
            </w:tcBorders>
            <w:shd w:val="clear" w:color="auto" w:fill="FFFFFF"/>
            <w:tcMar>
              <w:top w:w="0" w:type="dxa"/>
              <w:left w:w="85" w:type="dxa"/>
              <w:bottom w:w="0" w:type="dxa"/>
              <w:right w:w="85" w:type="dxa"/>
            </w:tcMar>
            <w:vAlign w:val="center"/>
          </w:tcPr>
          <w:p w14:paraId="1D25D7C2" w14:textId="60F4C793"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tcBorders>
              <w:top w:val="nil"/>
            </w:tcBorders>
            <w:shd w:val="clear" w:color="auto" w:fill="FFFFFF"/>
            <w:tcMar>
              <w:top w:w="0" w:type="dxa"/>
              <w:left w:w="85" w:type="dxa"/>
              <w:bottom w:w="0" w:type="dxa"/>
              <w:right w:w="85" w:type="dxa"/>
            </w:tcMar>
            <w:vAlign w:val="center"/>
          </w:tcPr>
          <w:p w14:paraId="4FD300A5" w14:textId="78D5038E"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tcBorders>
              <w:top w:val="nil"/>
            </w:tcBorders>
            <w:shd w:val="clear" w:color="auto" w:fill="FFFFFF"/>
            <w:tcMar>
              <w:top w:w="0" w:type="dxa"/>
              <w:left w:w="85" w:type="dxa"/>
              <w:bottom w:w="0" w:type="dxa"/>
              <w:right w:w="85" w:type="dxa"/>
            </w:tcMar>
            <w:vAlign w:val="center"/>
          </w:tcPr>
          <w:p w14:paraId="6CCCAB9B" w14:textId="6E290B56"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tcBorders>
              <w:top w:val="nil"/>
            </w:tcBorders>
            <w:shd w:val="clear" w:color="auto" w:fill="FFFFFF"/>
            <w:tcMar>
              <w:top w:w="0" w:type="dxa"/>
              <w:left w:w="85" w:type="dxa"/>
              <w:bottom w:w="0" w:type="dxa"/>
              <w:right w:w="85" w:type="dxa"/>
            </w:tcMar>
            <w:vAlign w:val="center"/>
          </w:tcPr>
          <w:p w14:paraId="02E04835" w14:textId="475FD179"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tcBorders>
              <w:top w:val="nil"/>
            </w:tcBorders>
            <w:shd w:val="clear" w:color="auto" w:fill="FFFFFF"/>
            <w:tcMar>
              <w:top w:w="0" w:type="dxa"/>
              <w:left w:w="85" w:type="dxa"/>
              <w:bottom w:w="0" w:type="dxa"/>
              <w:right w:w="85" w:type="dxa"/>
            </w:tcMar>
            <w:vAlign w:val="center"/>
          </w:tcPr>
          <w:p w14:paraId="713EC622" w14:textId="47A0AFFA"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tcBorders>
              <w:top w:val="nil"/>
            </w:tcBorders>
            <w:shd w:val="clear" w:color="auto" w:fill="FFFFFF"/>
            <w:tcMar>
              <w:top w:w="0" w:type="dxa"/>
              <w:left w:w="85" w:type="dxa"/>
              <w:bottom w:w="0" w:type="dxa"/>
              <w:right w:w="85" w:type="dxa"/>
            </w:tcMar>
            <w:vAlign w:val="center"/>
          </w:tcPr>
          <w:p w14:paraId="1043FEFE" w14:textId="77777777" w:rsidR="00E0181F" w:rsidRPr="001D5327" w:rsidRDefault="00E0181F" w:rsidP="00D11AC9">
            <w:pPr>
              <w:pStyle w:val="TableText"/>
              <w:spacing w:before="40" w:after="40"/>
              <w:jc w:val="right"/>
              <w:rPr>
                <w:szCs w:val="16"/>
              </w:rPr>
            </w:pPr>
            <w:r w:rsidRPr="001D5327">
              <w:rPr>
                <w:rFonts w:eastAsia="Calibri"/>
                <w:color w:val="000000"/>
                <w:szCs w:val="16"/>
              </w:rPr>
              <w:t>42</w:t>
            </w:r>
          </w:p>
        </w:tc>
        <w:tc>
          <w:tcPr>
            <w:tcW w:w="709" w:type="dxa"/>
            <w:tcBorders>
              <w:top w:val="nil"/>
            </w:tcBorders>
            <w:shd w:val="clear" w:color="auto" w:fill="FFFFFF"/>
            <w:tcMar>
              <w:top w:w="0" w:type="dxa"/>
              <w:left w:w="85" w:type="dxa"/>
              <w:bottom w:w="0" w:type="dxa"/>
              <w:right w:w="85" w:type="dxa"/>
            </w:tcMar>
            <w:vAlign w:val="center"/>
          </w:tcPr>
          <w:p w14:paraId="1B9A0B66" w14:textId="630B832D"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tcBorders>
              <w:top w:val="nil"/>
            </w:tcBorders>
            <w:shd w:val="clear" w:color="auto" w:fill="FFFFFF"/>
            <w:tcMar>
              <w:top w:w="0" w:type="dxa"/>
              <w:left w:w="85" w:type="dxa"/>
              <w:bottom w:w="0" w:type="dxa"/>
              <w:right w:w="85" w:type="dxa"/>
            </w:tcMar>
            <w:vAlign w:val="center"/>
          </w:tcPr>
          <w:p w14:paraId="7FB41993" w14:textId="5FAD5A9E"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tcBorders>
              <w:top w:val="nil"/>
            </w:tcBorders>
            <w:shd w:val="clear" w:color="auto" w:fill="FFFFFF"/>
            <w:tcMar>
              <w:top w:w="0" w:type="dxa"/>
              <w:left w:w="85" w:type="dxa"/>
              <w:bottom w:w="0" w:type="dxa"/>
              <w:right w:w="85" w:type="dxa"/>
            </w:tcMar>
            <w:vAlign w:val="center"/>
          </w:tcPr>
          <w:p w14:paraId="3B460E38" w14:textId="273FC4D0"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tcBorders>
              <w:top w:val="nil"/>
            </w:tcBorders>
            <w:shd w:val="clear" w:color="auto" w:fill="FFFFFF"/>
            <w:tcMar>
              <w:top w:w="0" w:type="dxa"/>
              <w:left w:w="85" w:type="dxa"/>
              <w:bottom w:w="0" w:type="dxa"/>
              <w:right w:w="85" w:type="dxa"/>
            </w:tcMar>
            <w:vAlign w:val="center"/>
          </w:tcPr>
          <w:p w14:paraId="099C50E4" w14:textId="20331D68" w:rsidR="00E0181F" w:rsidRPr="001D5327" w:rsidRDefault="0070503C" w:rsidP="00D11AC9">
            <w:pPr>
              <w:pStyle w:val="TableText"/>
              <w:spacing w:before="40" w:after="40"/>
              <w:jc w:val="right"/>
              <w:rPr>
                <w:szCs w:val="16"/>
              </w:rPr>
            </w:pPr>
            <w:r>
              <w:rPr>
                <w:rFonts w:eastAsia="Calibri"/>
                <w:color w:val="000000"/>
                <w:szCs w:val="16"/>
              </w:rPr>
              <w:t>-</w:t>
            </w:r>
          </w:p>
        </w:tc>
        <w:tc>
          <w:tcPr>
            <w:tcW w:w="1134" w:type="dxa"/>
            <w:tcBorders>
              <w:top w:val="nil"/>
            </w:tcBorders>
            <w:shd w:val="clear" w:color="auto" w:fill="FFFFFF"/>
            <w:tcMar>
              <w:top w:w="0" w:type="dxa"/>
              <w:left w:w="85" w:type="dxa"/>
              <w:bottom w:w="0" w:type="dxa"/>
              <w:right w:w="85" w:type="dxa"/>
            </w:tcMar>
            <w:vAlign w:val="center"/>
          </w:tcPr>
          <w:p w14:paraId="4CD7E670" w14:textId="77777777" w:rsidR="00E0181F" w:rsidRPr="001D5327" w:rsidRDefault="00E0181F" w:rsidP="00D11AC9">
            <w:pPr>
              <w:pStyle w:val="TableText"/>
              <w:spacing w:before="40" w:after="40"/>
              <w:jc w:val="right"/>
              <w:rPr>
                <w:szCs w:val="16"/>
              </w:rPr>
            </w:pPr>
            <w:r w:rsidRPr="001D5327">
              <w:rPr>
                <w:rFonts w:eastAsia="Calibri"/>
                <w:color w:val="000000"/>
                <w:szCs w:val="16"/>
              </w:rPr>
              <w:t>7,813</w:t>
            </w:r>
          </w:p>
        </w:tc>
      </w:tr>
      <w:tr w:rsidR="00E0181F" w:rsidRPr="001D5327" w14:paraId="1886F925" w14:textId="77777777" w:rsidTr="00D11AC9">
        <w:tc>
          <w:tcPr>
            <w:tcW w:w="1134" w:type="dxa"/>
            <w:vMerge/>
            <w:shd w:val="clear" w:color="auto" w:fill="FFFFFF"/>
            <w:tcMar>
              <w:top w:w="0" w:type="dxa"/>
              <w:left w:w="85" w:type="dxa"/>
              <w:bottom w:w="0" w:type="dxa"/>
              <w:right w:w="85" w:type="dxa"/>
            </w:tcMar>
          </w:tcPr>
          <w:p w14:paraId="2D9ECF99" w14:textId="77777777" w:rsidR="00E0181F" w:rsidRPr="001D5327" w:rsidRDefault="00E0181F" w:rsidP="00D11AC9">
            <w:pPr>
              <w:pStyle w:val="TableText"/>
              <w:spacing w:before="40" w:after="40"/>
              <w:rPr>
                <w:szCs w:val="16"/>
              </w:rPr>
            </w:pPr>
          </w:p>
        </w:tc>
        <w:tc>
          <w:tcPr>
            <w:tcW w:w="2268" w:type="dxa"/>
            <w:shd w:val="clear" w:color="auto" w:fill="FFFFFF"/>
            <w:tcMar>
              <w:top w:w="0" w:type="dxa"/>
              <w:left w:w="85" w:type="dxa"/>
              <w:bottom w:w="0" w:type="dxa"/>
              <w:right w:w="85" w:type="dxa"/>
            </w:tcMar>
            <w:vAlign w:val="center"/>
          </w:tcPr>
          <w:p w14:paraId="408EEDD5" w14:textId="77777777" w:rsidR="00E0181F" w:rsidRPr="001D5327" w:rsidRDefault="00E0181F" w:rsidP="00D11AC9">
            <w:pPr>
              <w:pStyle w:val="TableText"/>
              <w:spacing w:before="40" w:after="40"/>
              <w:rPr>
                <w:szCs w:val="16"/>
              </w:rPr>
            </w:pPr>
            <w:r w:rsidRPr="001D5327">
              <w:rPr>
                <w:rFonts w:eastAsia="Calibri"/>
                <w:color w:val="000000"/>
                <w:szCs w:val="16"/>
              </w:rPr>
              <w:t>Pre-1990 planted</w:t>
            </w:r>
          </w:p>
        </w:tc>
        <w:tc>
          <w:tcPr>
            <w:tcW w:w="709" w:type="dxa"/>
            <w:shd w:val="clear" w:color="auto" w:fill="FFFFFF"/>
            <w:tcMar>
              <w:top w:w="0" w:type="dxa"/>
              <w:left w:w="85" w:type="dxa"/>
              <w:bottom w:w="0" w:type="dxa"/>
              <w:right w:w="85" w:type="dxa"/>
            </w:tcMar>
            <w:vAlign w:val="center"/>
          </w:tcPr>
          <w:p w14:paraId="4646E8A2" w14:textId="77777777" w:rsidR="00E0181F" w:rsidRPr="001D5327" w:rsidRDefault="00E0181F" w:rsidP="00D11AC9">
            <w:pPr>
              <w:pStyle w:val="TableText"/>
              <w:spacing w:before="40" w:after="40"/>
              <w:jc w:val="right"/>
              <w:rPr>
                <w:szCs w:val="16"/>
              </w:rPr>
            </w:pPr>
            <w:r w:rsidRPr="001D5327">
              <w:rPr>
                <w:rFonts w:eastAsia="Calibri"/>
                <w:color w:val="000000"/>
                <w:szCs w:val="16"/>
              </w:rPr>
              <w:t>302</w:t>
            </w:r>
          </w:p>
        </w:tc>
        <w:tc>
          <w:tcPr>
            <w:tcW w:w="709" w:type="dxa"/>
            <w:shd w:val="clear" w:color="auto" w:fill="D2DDE1"/>
            <w:tcMar>
              <w:top w:w="0" w:type="dxa"/>
              <w:left w:w="85" w:type="dxa"/>
              <w:bottom w:w="0" w:type="dxa"/>
              <w:right w:w="85" w:type="dxa"/>
            </w:tcMar>
            <w:vAlign w:val="center"/>
          </w:tcPr>
          <w:p w14:paraId="29576A0A" w14:textId="77777777" w:rsidR="00E0181F" w:rsidRPr="001D5327" w:rsidRDefault="00E0181F" w:rsidP="00D11AC9">
            <w:pPr>
              <w:pStyle w:val="TableText"/>
              <w:spacing w:before="40" w:after="40"/>
              <w:jc w:val="right"/>
              <w:rPr>
                <w:szCs w:val="16"/>
              </w:rPr>
            </w:pPr>
            <w:r w:rsidRPr="001D5327">
              <w:rPr>
                <w:rFonts w:eastAsia="Calibri"/>
                <w:color w:val="000000"/>
                <w:szCs w:val="16"/>
              </w:rPr>
              <w:t>453</w:t>
            </w:r>
          </w:p>
        </w:tc>
        <w:tc>
          <w:tcPr>
            <w:tcW w:w="709" w:type="dxa"/>
            <w:shd w:val="clear" w:color="auto" w:fill="FFFFFF"/>
            <w:tcMar>
              <w:top w:w="0" w:type="dxa"/>
              <w:left w:w="85" w:type="dxa"/>
              <w:bottom w:w="0" w:type="dxa"/>
              <w:right w:w="85" w:type="dxa"/>
            </w:tcMar>
            <w:vAlign w:val="center"/>
          </w:tcPr>
          <w:p w14:paraId="198BDDA6" w14:textId="527294F8"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25C2DEE1" w14:textId="2B2149CE"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3FED32B5" w14:textId="5A94533B"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09BF22D9" w14:textId="38AFB372"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04A89130" w14:textId="2A96C3CA"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51D6944F" w14:textId="77777777" w:rsidR="00E0181F" w:rsidRPr="001D5327" w:rsidRDefault="00E0181F" w:rsidP="00D11AC9">
            <w:pPr>
              <w:pStyle w:val="TableText"/>
              <w:spacing w:before="40" w:after="40"/>
              <w:jc w:val="right"/>
              <w:rPr>
                <w:szCs w:val="16"/>
              </w:rPr>
            </w:pPr>
            <w:r w:rsidRPr="001D5327">
              <w:rPr>
                <w:rFonts w:eastAsia="Calibri"/>
                <w:color w:val="000000"/>
                <w:szCs w:val="16"/>
              </w:rPr>
              <w:t>399</w:t>
            </w:r>
          </w:p>
        </w:tc>
        <w:tc>
          <w:tcPr>
            <w:tcW w:w="709" w:type="dxa"/>
            <w:shd w:val="clear" w:color="auto" w:fill="FFFFFF"/>
            <w:tcMar>
              <w:top w:w="0" w:type="dxa"/>
              <w:left w:w="85" w:type="dxa"/>
              <w:bottom w:w="0" w:type="dxa"/>
              <w:right w:w="85" w:type="dxa"/>
            </w:tcMar>
            <w:vAlign w:val="center"/>
          </w:tcPr>
          <w:p w14:paraId="30048B8B" w14:textId="77777777" w:rsidR="00E0181F" w:rsidRPr="001D5327" w:rsidRDefault="00E0181F" w:rsidP="00D11AC9">
            <w:pPr>
              <w:pStyle w:val="TableText"/>
              <w:spacing w:before="40" w:after="40"/>
              <w:jc w:val="right"/>
              <w:rPr>
                <w:szCs w:val="16"/>
              </w:rPr>
            </w:pPr>
            <w:r w:rsidRPr="001D5327">
              <w:rPr>
                <w:rFonts w:eastAsia="Calibri"/>
                <w:color w:val="000000"/>
                <w:szCs w:val="16"/>
              </w:rPr>
              <w:t>393</w:t>
            </w:r>
          </w:p>
        </w:tc>
        <w:tc>
          <w:tcPr>
            <w:tcW w:w="709" w:type="dxa"/>
            <w:shd w:val="clear" w:color="auto" w:fill="FFFFFF"/>
            <w:tcMar>
              <w:top w:w="0" w:type="dxa"/>
              <w:left w:w="85" w:type="dxa"/>
              <w:bottom w:w="0" w:type="dxa"/>
              <w:right w:w="85" w:type="dxa"/>
            </w:tcMar>
            <w:vAlign w:val="center"/>
          </w:tcPr>
          <w:p w14:paraId="396A1C1A" w14:textId="19D84F97"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36C4EBA9" w14:textId="2710F134"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3B91808C" w14:textId="7C328785"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57FD3FA4" w14:textId="63B6B594" w:rsidR="00E0181F" w:rsidRPr="001D5327" w:rsidRDefault="0070503C" w:rsidP="00D11AC9">
            <w:pPr>
              <w:pStyle w:val="TableText"/>
              <w:spacing w:before="40" w:after="40"/>
              <w:jc w:val="right"/>
              <w:rPr>
                <w:szCs w:val="16"/>
              </w:rPr>
            </w:pPr>
            <w:r>
              <w:rPr>
                <w:rFonts w:eastAsia="Calibri"/>
                <w:color w:val="000000"/>
                <w:szCs w:val="16"/>
              </w:rPr>
              <w:t>-</w:t>
            </w:r>
          </w:p>
        </w:tc>
        <w:tc>
          <w:tcPr>
            <w:tcW w:w="1134" w:type="dxa"/>
            <w:shd w:val="clear" w:color="auto" w:fill="FFFFFF"/>
            <w:tcMar>
              <w:top w:w="0" w:type="dxa"/>
              <w:left w:w="85" w:type="dxa"/>
              <w:bottom w:w="0" w:type="dxa"/>
              <w:right w:w="85" w:type="dxa"/>
            </w:tcMar>
            <w:vAlign w:val="center"/>
          </w:tcPr>
          <w:p w14:paraId="297F6D0B" w14:textId="77777777" w:rsidR="00E0181F" w:rsidRPr="001D5327" w:rsidRDefault="00E0181F" w:rsidP="00D11AC9">
            <w:pPr>
              <w:pStyle w:val="TableText"/>
              <w:spacing w:before="40" w:after="40"/>
              <w:jc w:val="right"/>
              <w:rPr>
                <w:szCs w:val="16"/>
              </w:rPr>
            </w:pPr>
            <w:r w:rsidRPr="001D5327">
              <w:rPr>
                <w:rFonts w:eastAsia="Calibri"/>
                <w:color w:val="000000"/>
                <w:szCs w:val="16"/>
              </w:rPr>
              <w:t>1,547</w:t>
            </w:r>
          </w:p>
        </w:tc>
      </w:tr>
      <w:tr w:rsidR="00E0181F" w:rsidRPr="001D5327" w14:paraId="326B5949" w14:textId="77777777" w:rsidTr="00D11AC9">
        <w:tc>
          <w:tcPr>
            <w:tcW w:w="1134" w:type="dxa"/>
            <w:vMerge/>
            <w:shd w:val="clear" w:color="auto" w:fill="FFFFFF"/>
            <w:tcMar>
              <w:top w:w="0" w:type="dxa"/>
              <w:left w:w="85" w:type="dxa"/>
              <w:bottom w:w="0" w:type="dxa"/>
              <w:right w:w="85" w:type="dxa"/>
            </w:tcMar>
          </w:tcPr>
          <w:p w14:paraId="0D10B21F" w14:textId="77777777" w:rsidR="00E0181F" w:rsidRPr="001D5327" w:rsidRDefault="00E0181F" w:rsidP="00D11AC9">
            <w:pPr>
              <w:pStyle w:val="TableText"/>
              <w:spacing w:before="40" w:after="40"/>
              <w:rPr>
                <w:szCs w:val="16"/>
              </w:rPr>
            </w:pPr>
          </w:p>
        </w:tc>
        <w:tc>
          <w:tcPr>
            <w:tcW w:w="2268" w:type="dxa"/>
            <w:shd w:val="clear" w:color="auto" w:fill="FFFFFF"/>
            <w:tcMar>
              <w:top w:w="0" w:type="dxa"/>
              <w:left w:w="85" w:type="dxa"/>
              <w:bottom w:w="0" w:type="dxa"/>
              <w:right w:w="85" w:type="dxa"/>
            </w:tcMar>
            <w:vAlign w:val="center"/>
          </w:tcPr>
          <w:p w14:paraId="548E1325" w14:textId="77777777" w:rsidR="00E0181F" w:rsidRPr="001D5327" w:rsidRDefault="00E0181F" w:rsidP="00D11AC9">
            <w:pPr>
              <w:pStyle w:val="TableText"/>
              <w:spacing w:before="40" w:after="40"/>
              <w:rPr>
                <w:szCs w:val="16"/>
              </w:rPr>
            </w:pPr>
            <w:r w:rsidRPr="001D5327">
              <w:rPr>
                <w:rFonts w:eastAsia="Calibri"/>
                <w:color w:val="000000"/>
                <w:szCs w:val="16"/>
              </w:rPr>
              <w:t>Post-1989 planted</w:t>
            </w:r>
          </w:p>
        </w:tc>
        <w:tc>
          <w:tcPr>
            <w:tcW w:w="709" w:type="dxa"/>
            <w:shd w:val="clear" w:color="auto" w:fill="FFFFFF"/>
            <w:tcMar>
              <w:top w:w="0" w:type="dxa"/>
              <w:left w:w="85" w:type="dxa"/>
              <w:bottom w:w="0" w:type="dxa"/>
              <w:right w:w="85" w:type="dxa"/>
            </w:tcMar>
            <w:vAlign w:val="center"/>
          </w:tcPr>
          <w:p w14:paraId="69816202" w14:textId="666F2C46"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2399D253" w14:textId="44124CBF"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D2DDE1"/>
            <w:tcMar>
              <w:top w:w="0" w:type="dxa"/>
              <w:left w:w="85" w:type="dxa"/>
              <w:bottom w:w="0" w:type="dxa"/>
              <w:right w:w="85" w:type="dxa"/>
            </w:tcMar>
            <w:vAlign w:val="center"/>
          </w:tcPr>
          <w:p w14:paraId="5F268DB2" w14:textId="77777777" w:rsidR="00E0181F" w:rsidRPr="001D5327" w:rsidRDefault="00E0181F" w:rsidP="00D11AC9">
            <w:pPr>
              <w:pStyle w:val="TableText"/>
              <w:spacing w:before="40" w:after="40"/>
              <w:jc w:val="right"/>
              <w:rPr>
                <w:szCs w:val="16"/>
              </w:rPr>
            </w:pPr>
            <w:r w:rsidRPr="001D5327">
              <w:rPr>
                <w:rFonts w:eastAsia="Calibri"/>
                <w:color w:val="000000"/>
                <w:szCs w:val="16"/>
              </w:rPr>
              <w:t>0</w:t>
            </w:r>
          </w:p>
        </w:tc>
        <w:tc>
          <w:tcPr>
            <w:tcW w:w="709" w:type="dxa"/>
            <w:shd w:val="clear" w:color="auto" w:fill="FFFFFF"/>
            <w:tcMar>
              <w:top w:w="0" w:type="dxa"/>
              <w:left w:w="85" w:type="dxa"/>
              <w:bottom w:w="0" w:type="dxa"/>
              <w:right w:w="85" w:type="dxa"/>
            </w:tcMar>
            <w:vAlign w:val="center"/>
          </w:tcPr>
          <w:p w14:paraId="6516D3CF" w14:textId="4B900CFB"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37C8867D" w14:textId="1B7B196C"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22DC3E88" w14:textId="5D0B333B"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7657A811" w14:textId="0E28B3A2"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1BD78B04" w14:textId="2D18B5AB"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36FCCF3A" w14:textId="5FB87A92"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1BA6B572" w14:textId="01DE3C8C"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658B93EE" w14:textId="44324412"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36B6F02C" w14:textId="237F2C0A"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2328923E" w14:textId="24C74CD1" w:rsidR="00E0181F" w:rsidRPr="001D5327" w:rsidRDefault="0070503C" w:rsidP="00D11AC9">
            <w:pPr>
              <w:pStyle w:val="TableText"/>
              <w:spacing w:before="40" w:after="40"/>
              <w:jc w:val="right"/>
              <w:rPr>
                <w:szCs w:val="16"/>
              </w:rPr>
            </w:pPr>
            <w:r>
              <w:rPr>
                <w:rFonts w:eastAsia="Calibri"/>
                <w:color w:val="000000"/>
                <w:szCs w:val="16"/>
              </w:rPr>
              <w:t>-</w:t>
            </w:r>
          </w:p>
        </w:tc>
        <w:tc>
          <w:tcPr>
            <w:tcW w:w="1134" w:type="dxa"/>
            <w:shd w:val="clear" w:color="auto" w:fill="FFFFFF"/>
            <w:tcMar>
              <w:top w:w="0" w:type="dxa"/>
              <w:left w:w="85" w:type="dxa"/>
              <w:bottom w:w="0" w:type="dxa"/>
              <w:right w:w="85" w:type="dxa"/>
            </w:tcMar>
            <w:vAlign w:val="center"/>
          </w:tcPr>
          <w:p w14:paraId="667F0839" w14:textId="77777777" w:rsidR="00E0181F" w:rsidRPr="001D5327" w:rsidRDefault="00E0181F" w:rsidP="00D11AC9">
            <w:pPr>
              <w:pStyle w:val="TableText"/>
              <w:spacing w:before="40" w:after="40"/>
              <w:jc w:val="right"/>
              <w:rPr>
                <w:szCs w:val="16"/>
              </w:rPr>
            </w:pPr>
            <w:r w:rsidRPr="001D5327">
              <w:rPr>
                <w:rFonts w:eastAsia="Calibri"/>
                <w:color w:val="000000"/>
                <w:szCs w:val="16"/>
              </w:rPr>
              <w:t>0</w:t>
            </w:r>
          </w:p>
        </w:tc>
      </w:tr>
      <w:tr w:rsidR="00E0181F" w:rsidRPr="001D5327" w14:paraId="38B30AD2" w14:textId="77777777" w:rsidTr="00D11AC9">
        <w:tc>
          <w:tcPr>
            <w:tcW w:w="1134" w:type="dxa"/>
            <w:vMerge/>
            <w:shd w:val="clear" w:color="auto" w:fill="FFFFFF"/>
            <w:tcMar>
              <w:top w:w="0" w:type="dxa"/>
              <w:left w:w="85" w:type="dxa"/>
              <w:bottom w:w="0" w:type="dxa"/>
              <w:right w:w="85" w:type="dxa"/>
            </w:tcMar>
          </w:tcPr>
          <w:p w14:paraId="5B4D128B" w14:textId="77777777" w:rsidR="00E0181F" w:rsidRPr="001D5327" w:rsidRDefault="00E0181F" w:rsidP="00D11AC9">
            <w:pPr>
              <w:pStyle w:val="TableText"/>
              <w:spacing w:before="40" w:after="40"/>
              <w:rPr>
                <w:szCs w:val="16"/>
              </w:rPr>
            </w:pPr>
          </w:p>
        </w:tc>
        <w:tc>
          <w:tcPr>
            <w:tcW w:w="2268" w:type="dxa"/>
            <w:shd w:val="clear" w:color="auto" w:fill="FFFFFF"/>
            <w:tcMar>
              <w:top w:w="0" w:type="dxa"/>
              <w:left w:w="85" w:type="dxa"/>
              <w:bottom w:w="0" w:type="dxa"/>
              <w:right w:w="85" w:type="dxa"/>
            </w:tcMar>
            <w:vAlign w:val="center"/>
          </w:tcPr>
          <w:p w14:paraId="36CD5436" w14:textId="77777777" w:rsidR="00E0181F" w:rsidRPr="001D5327" w:rsidRDefault="00E0181F" w:rsidP="00D11AC9">
            <w:pPr>
              <w:pStyle w:val="TableText"/>
              <w:spacing w:before="40" w:after="40"/>
              <w:rPr>
                <w:szCs w:val="16"/>
              </w:rPr>
            </w:pPr>
            <w:r w:rsidRPr="001D5327">
              <w:rPr>
                <w:rFonts w:eastAsia="Calibri"/>
                <w:color w:val="000000"/>
                <w:szCs w:val="16"/>
              </w:rPr>
              <w:t>Post-1989 natural</w:t>
            </w:r>
          </w:p>
        </w:tc>
        <w:tc>
          <w:tcPr>
            <w:tcW w:w="709" w:type="dxa"/>
            <w:shd w:val="clear" w:color="auto" w:fill="FFFFFF"/>
            <w:tcMar>
              <w:top w:w="0" w:type="dxa"/>
              <w:left w:w="85" w:type="dxa"/>
              <w:bottom w:w="0" w:type="dxa"/>
              <w:right w:w="85" w:type="dxa"/>
            </w:tcMar>
            <w:vAlign w:val="center"/>
          </w:tcPr>
          <w:p w14:paraId="7E245CCD" w14:textId="3ADED90C"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540925B9" w14:textId="41101285"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7DF910C8" w14:textId="34E136B6"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D2DDE1"/>
            <w:tcMar>
              <w:top w:w="0" w:type="dxa"/>
              <w:left w:w="85" w:type="dxa"/>
              <w:bottom w:w="0" w:type="dxa"/>
              <w:right w:w="85" w:type="dxa"/>
            </w:tcMar>
            <w:vAlign w:val="center"/>
          </w:tcPr>
          <w:p w14:paraId="5705BC0B" w14:textId="77777777" w:rsidR="00E0181F" w:rsidRPr="001D5327" w:rsidRDefault="00E0181F" w:rsidP="00D11AC9">
            <w:pPr>
              <w:pStyle w:val="TableText"/>
              <w:spacing w:before="40" w:after="40"/>
              <w:jc w:val="right"/>
              <w:rPr>
                <w:szCs w:val="16"/>
              </w:rPr>
            </w:pPr>
            <w:r w:rsidRPr="001D5327">
              <w:rPr>
                <w:rFonts w:eastAsia="Calibri"/>
                <w:color w:val="000000"/>
                <w:szCs w:val="16"/>
              </w:rPr>
              <w:t>0</w:t>
            </w:r>
          </w:p>
        </w:tc>
        <w:tc>
          <w:tcPr>
            <w:tcW w:w="709" w:type="dxa"/>
            <w:shd w:val="clear" w:color="auto" w:fill="FFFFFF"/>
            <w:tcMar>
              <w:top w:w="0" w:type="dxa"/>
              <w:left w:w="85" w:type="dxa"/>
              <w:bottom w:w="0" w:type="dxa"/>
              <w:right w:w="85" w:type="dxa"/>
            </w:tcMar>
            <w:vAlign w:val="center"/>
          </w:tcPr>
          <w:p w14:paraId="120BE7B6" w14:textId="01918BDC"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6DC4F24D" w14:textId="26DD7283"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3790753A" w14:textId="560F4BD3"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3BEDF249" w14:textId="6527B211"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3274A78C" w14:textId="41587B62"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404C7535" w14:textId="71E70B45"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503959CE" w14:textId="1EF9F2B7"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43370EB9" w14:textId="55956A2F"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323CB5B6" w14:textId="7D582ABA" w:rsidR="00E0181F" w:rsidRPr="001D5327" w:rsidRDefault="0070503C" w:rsidP="00D11AC9">
            <w:pPr>
              <w:pStyle w:val="TableText"/>
              <w:spacing w:before="40" w:after="40"/>
              <w:jc w:val="right"/>
              <w:rPr>
                <w:szCs w:val="16"/>
              </w:rPr>
            </w:pPr>
            <w:r>
              <w:rPr>
                <w:rFonts w:eastAsia="Calibri"/>
                <w:color w:val="000000"/>
                <w:szCs w:val="16"/>
              </w:rPr>
              <w:t>-</w:t>
            </w:r>
          </w:p>
        </w:tc>
        <w:tc>
          <w:tcPr>
            <w:tcW w:w="1134" w:type="dxa"/>
            <w:shd w:val="clear" w:color="auto" w:fill="FFFFFF"/>
            <w:tcMar>
              <w:top w:w="0" w:type="dxa"/>
              <w:left w:w="85" w:type="dxa"/>
              <w:bottom w:w="0" w:type="dxa"/>
              <w:right w:w="85" w:type="dxa"/>
            </w:tcMar>
            <w:vAlign w:val="center"/>
          </w:tcPr>
          <w:p w14:paraId="5E13CD2C" w14:textId="77777777" w:rsidR="00E0181F" w:rsidRPr="001D5327" w:rsidRDefault="00E0181F" w:rsidP="00D11AC9">
            <w:pPr>
              <w:pStyle w:val="TableText"/>
              <w:spacing w:before="40" w:after="40"/>
              <w:jc w:val="right"/>
              <w:rPr>
                <w:szCs w:val="16"/>
              </w:rPr>
            </w:pPr>
            <w:r w:rsidRPr="001D5327">
              <w:rPr>
                <w:rFonts w:eastAsia="Calibri"/>
                <w:color w:val="000000"/>
                <w:szCs w:val="16"/>
              </w:rPr>
              <w:t>0</w:t>
            </w:r>
          </w:p>
        </w:tc>
      </w:tr>
      <w:tr w:rsidR="00E0181F" w:rsidRPr="001D5327" w14:paraId="1D9D2451" w14:textId="77777777" w:rsidTr="00D11AC9">
        <w:tc>
          <w:tcPr>
            <w:tcW w:w="1134" w:type="dxa"/>
            <w:vMerge w:val="restart"/>
            <w:shd w:val="clear" w:color="auto" w:fill="FFFFFF"/>
            <w:tcMar>
              <w:top w:w="0" w:type="dxa"/>
              <w:left w:w="85" w:type="dxa"/>
              <w:bottom w:w="0" w:type="dxa"/>
              <w:right w:w="85" w:type="dxa"/>
            </w:tcMar>
          </w:tcPr>
          <w:p w14:paraId="47B2DB1A" w14:textId="77777777" w:rsidR="00E0181F" w:rsidRPr="001D5327" w:rsidRDefault="00E0181F" w:rsidP="00D11AC9">
            <w:pPr>
              <w:pStyle w:val="TableText"/>
              <w:spacing w:before="40" w:after="40"/>
              <w:rPr>
                <w:szCs w:val="16"/>
              </w:rPr>
            </w:pPr>
            <w:r w:rsidRPr="001D5327">
              <w:rPr>
                <w:rFonts w:eastAsia="Calibri"/>
                <w:color w:val="000000"/>
                <w:szCs w:val="16"/>
              </w:rPr>
              <w:t>Cropland</w:t>
            </w:r>
          </w:p>
        </w:tc>
        <w:tc>
          <w:tcPr>
            <w:tcW w:w="2268" w:type="dxa"/>
            <w:shd w:val="clear" w:color="auto" w:fill="FFFFFF"/>
            <w:tcMar>
              <w:top w:w="0" w:type="dxa"/>
              <w:left w:w="85" w:type="dxa"/>
              <w:bottom w:w="0" w:type="dxa"/>
              <w:right w:w="85" w:type="dxa"/>
            </w:tcMar>
            <w:vAlign w:val="center"/>
          </w:tcPr>
          <w:p w14:paraId="338C52DB" w14:textId="77777777" w:rsidR="00E0181F" w:rsidRPr="001D5327" w:rsidRDefault="00E0181F" w:rsidP="00D11AC9">
            <w:pPr>
              <w:pStyle w:val="TableText"/>
              <w:spacing w:before="40" w:after="40"/>
              <w:rPr>
                <w:szCs w:val="16"/>
              </w:rPr>
            </w:pPr>
            <w:r w:rsidRPr="001D5327">
              <w:rPr>
                <w:rFonts w:eastAsia="Calibri"/>
                <w:color w:val="000000"/>
                <w:szCs w:val="16"/>
              </w:rPr>
              <w:t>Annual</w:t>
            </w:r>
          </w:p>
        </w:tc>
        <w:tc>
          <w:tcPr>
            <w:tcW w:w="709" w:type="dxa"/>
            <w:shd w:val="clear" w:color="auto" w:fill="FFFFFF"/>
            <w:tcMar>
              <w:top w:w="0" w:type="dxa"/>
              <w:left w:w="85" w:type="dxa"/>
              <w:bottom w:w="0" w:type="dxa"/>
              <w:right w:w="85" w:type="dxa"/>
            </w:tcMar>
            <w:vAlign w:val="center"/>
          </w:tcPr>
          <w:p w14:paraId="2953704E" w14:textId="619D7792"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01082486" w14:textId="504C8339"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306DE765" w14:textId="67129E4D"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0352E8CF" w14:textId="24145329"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D2DDE1"/>
            <w:tcMar>
              <w:top w:w="0" w:type="dxa"/>
              <w:left w:w="85" w:type="dxa"/>
              <w:bottom w:w="0" w:type="dxa"/>
              <w:right w:w="85" w:type="dxa"/>
            </w:tcMar>
            <w:vAlign w:val="center"/>
          </w:tcPr>
          <w:p w14:paraId="1EBA0762" w14:textId="77777777" w:rsidR="00E0181F" w:rsidRPr="001D5327" w:rsidRDefault="00E0181F" w:rsidP="00D11AC9">
            <w:pPr>
              <w:pStyle w:val="TableText"/>
              <w:spacing w:before="40" w:after="40"/>
              <w:jc w:val="right"/>
              <w:rPr>
                <w:szCs w:val="16"/>
              </w:rPr>
            </w:pPr>
            <w:r w:rsidRPr="001D5327">
              <w:rPr>
                <w:rFonts w:eastAsia="Calibri"/>
                <w:color w:val="000000"/>
                <w:szCs w:val="16"/>
              </w:rPr>
              <w:t>325</w:t>
            </w:r>
          </w:p>
        </w:tc>
        <w:tc>
          <w:tcPr>
            <w:tcW w:w="709" w:type="dxa"/>
            <w:shd w:val="clear" w:color="auto" w:fill="FFFFFF"/>
            <w:tcMar>
              <w:top w:w="0" w:type="dxa"/>
              <w:left w:w="85" w:type="dxa"/>
              <w:bottom w:w="0" w:type="dxa"/>
              <w:right w:w="85" w:type="dxa"/>
            </w:tcMar>
            <w:vAlign w:val="center"/>
          </w:tcPr>
          <w:p w14:paraId="61BA02F2" w14:textId="0458B679"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380FE9ED" w14:textId="77777777" w:rsidR="00E0181F" w:rsidRPr="001D5327" w:rsidRDefault="00E0181F" w:rsidP="00D11AC9">
            <w:pPr>
              <w:pStyle w:val="TableText"/>
              <w:spacing w:before="40" w:after="40"/>
              <w:jc w:val="right"/>
              <w:rPr>
                <w:szCs w:val="16"/>
              </w:rPr>
            </w:pPr>
            <w:r w:rsidRPr="001D5327">
              <w:rPr>
                <w:rFonts w:eastAsia="Calibri"/>
                <w:color w:val="000000"/>
                <w:szCs w:val="16"/>
              </w:rPr>
              <w:t>21</w:t>
            </w:r>
          </w:p>
        </w:tc>
        <w:tc>
          <w:tcPr>
            <w:tcW w:w="709" w:type="dxa"/>
            <w:shd w:val="clear" w:color="auto" w:fill="FFFFFF"/>
            <w:tcMar>
              <w:top w:w="0" w:type="dxa"/>
              <w:left w:w="85" w:type="dxa"/>
              <w:bottom w:w="0" w:type="dxa"/>
              <w:right w:w="85" w:type="dxa"/>
            </w:tcMar>
            <w:vAlign w:val="center"/>
          </w:tcPr>
          <w:p w14:paraId="558DE963" w14:textId="77777777" w:rsidR="00E0181F" w:rsidRPr="001D5327" w:rsidRDefault="00E0181F" w:rsidP="00D11AC9">
            <w:pPr>
              <w:pStyle w:val="TableText"/>
              <w:spacing w:before="40" w:after="40"/>
              <w:jc w:val="right"/>
              <w:rPr>
                <w:szCs w:val="16"/>
              </w:rPr>
            </w:pPr>
            <w:r w:rsidRPr="001D5327">
              <w:rPr>
                <w:rFonts w:eastAsia="Calibri"/>
                <w:color w:val="000000"/>
                <w:szCs w:val="16"/>
              </w:rPr>
              <w:t>9</w:t>
            </w:r>
          </w:p>
        </w:tc>
        <w:tc>
          <w:tcPr>
            <w:tcW w:w="709" w:type="dxa"/>
            <w:shd w:val="clear" w:color="auto" w:fill="FFFFFF"/>
            <w:tcMar>
              <w:top w:w="0" w:type="dxa"/>
              <w:left w:w="85" w:type="dxa"/>
              <w:bottom w:w="0" w:type="dxa"/>
              <w:right w:w="85" w:type="dxa"/>
            </w:tcMar>
            <w:vAlign w:val="center"/>
          </w:tcPr>
          <w:p w14:paraId="403F4EF6" w14:textId="3C35AC83"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57C4FE98" w14:textId="020CCB7B"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3B67F525" w14:textId="195E1C4B"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1E3463CF" w14:textId="4B7D8632"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5AE5CE18" w14:textId="62BDBD5E" w:rsidR="00E0181F" w:rsidRPr="001D5327" w:rsidRDefault="0070503C" w:rsidP="00D11AC9">
            <w:pPr>
              <w:pStyle w:val="TableText"/>
              <w:spacing w:before="40" w:after="40"/>
              <w:jc w:val="right"/>
              <w:rPr>
                <w:szCs w:val="16"/>
              </w:rPr>
            </w:pPr>
            <w:r>
              <w:rPr>
                <w:rFonts w:eastAsia="Calibri"/>
                <w:color w:val="000000"/>
                <w:szCs w:val="16"/>
              </w:rPr>
              <w:t>-</w:t>
            </w:r>
          </w:p>
        </w:tc>
        <w:tc>
          <w:tcPr>
            <w:tcW w:w="1134" w:type="dxa"/>
            <w:shd w:val="clear" w:color="auto" w:fill="FFFFFF"/>
            <w:tcMar>
              <w:top w:w="0" w:type="dxa"/>
              <w:left w:w="85" w:type="dxa"/>
              <w:bottom w:w="0" w:type="dxa"/>
              <w:right w:w="85" w:type="dxa"/>
            </w:tcMar>
            <w:vAlign w:val="center"/>
          </w:tcPr>
          <w:p w14:paraId="3D205D04" w14:textId="77777777" w:rsidR="00E0181F" w:rsidRPr="001D5327" w:rsidRDefault="00E0181F" w:rsidP="00D11AC9">
            <w:pPr>
              <w:pStyle w:val="TableText"/>
              <w:spacing w:before="40" w:after="40"/>
              <w:jc w:val="right"/>
              <w:rPr>
                <w:szCs w:val="16"/>
              </w:rPr>
            </w:pPr>
            <w:r w:rsidRPr="001D5327">
              <w:rPr>
                <w:rFonts w:eastAsia="Calibri"/>
                <w:color w:val="000000"/>
                <w:szCs w:val="16"/>
              </w:rPr>
              <w:t>355</w:t>
            </w:r>
          </w:p>
        </w:tc>
      </w:tr>
      <w:tr w:rsidR="00E0181F" w:rsidRPr="001D5327" w14:paraId="5A2E3BEF" w14:textId="77777777" w:rsidTr="00D11AC9">
        <w:tc>
          <w:tcPr>
            <w:tcW w:w="1134" w:type="dxa"/>
            <w:vMerge/>
            <w:shd w:val="clear" w:color="auto" w:fill="FFFFFF"/>
            <w:tcMar>
              <w:top w:w="0" w:type="dxa"/>
              <w:left w:w="85" w:type="dxa"/>
              <w:bottom w:w="0" w:type="dxa"/>
              <w:right w:w="85" w:type="dxa"/>
            </w:tcMar>
          </w:tcPr>
          <w:p w14:paraId="3087044E" w14:textId="77777777" w:rsidR="00E0181F" w:rsidRPr="001D5327" w:rsidRDefault="00E0181F" w:rsidP="00D11AC9">
            <w:pPr>
              <w:pStyle w:val="TableText"/>
              <w:spacing w:before="40" w:after="40"/>
              <w:rPr>
                <w:szCs w:val="16"/>
              </w:rPr>
            </w:pPr>
          </w:p>
        </w:tc>
        <w:tc>
          <w:tcPr>
            <w:tcW w:w="2268" w:type="dxa"/>
            <w:shd w:val="clear" w:color="auto" w:fill="FFFFFF"/>
            <w:tcMar>
              <w:top w:w="0" w:type="dxa"/>
              <w:left w:w="85" w:type="dxa"/>
              <w:bottom w:w="0" w:type="dxa"/>
              <w:right w:w="85" w:type="dxa"/>
            </w:tcMar>
            <w:vAlign w:val="center"/>
          </w:tcPr>
          <w:p w14:paraId="46BCE5C0" w14:textId="77777777" w:rsidR="00E0181F" w:rsidRPr="001D5327" w:rsidRDefault="00E0181F" w:rsidP="00D11AC9">
            <w:pPr>
              <w:pStyle w:val="TableText"/>
              <w:spacing w:before="40" w:after="40"/>
              <w:rPr>
                <w:szCs w:val="16"/>
              </w:rPr>
            </w:pPr>
            <w:r w:rsidRPr="001D5327">
              <w:rPr>
                <w:rFonts w:eastAsia="Calibri"/>
                <w:color w:val="000000"/>
                <w:szCs w:val="16"/>
              </w:rPr>
              <w:t>Perennial</w:t>
            </w:r>
          </w:p>
        </w:tc>
        <w:tc>
          <w:tcPr>
            <w:tcW w:w="709" w:type="dxa"/>
            <w:shd w:val="clear" w:color="auto" w:fill="FFFFFF"/>
            <w:tcMar>
              <w:top w:w="0" w:type="dxa"/>
              <w:left w:w="85" w:type="dxa"/>
              <w:bottom w:w="0" w:type="dxa"/>
              <w:right w:w="85" w:type="dxa"/>
            </w:tcMar>
            <w:vAlign w:val="center"/>
          </w:tcPr>
          <w:p w14:paraId="57C6C02E" w14:textId="16841F35"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7EC77ED9" w14:textId="5E65C2A9"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465A3861" w14:textId="215F3C57"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0E31AA4C" w14:textId="0C4D6A86"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225EDCE9" w14:textId="77777777" w:rsidR="00E0181F" w:rsidRPr="001D5327" w:rsidRDefault="00E0181F" w:rsidP="00D11AC9">
            <w:pPr>
              <w:pStyle w:val="TableText"/>
              <w:spacing w:before="40" w:after="40"/>
              <w:jc w:val="right"/>
              <w:rPr>
                <w:szCs w:val="16"/>
              </w:rPr>
            </w:pPr>
            <w:r w:rsidRPr="001D5327">
              <w:rPr>
                <w:rFonts w:eastAsia="Calibri"/>
                <w:color w:val="000000"/>
                <w:szCs w:val="16"/>
              </w:rPr>
              <w:t>1</w:t>
            </w:r>
          </w:p>
        </w:tc>
        <w:tc>
          <w:tcPr>
            <w:tcW w:w="709" w:type="dxa"/>
            <w:shd w:val="clear" w:color="auto" w:fill="D2DDE1"/>
            <w:tcMar>
              <w:top w:w="0" w:type="dxa"/>
              <w:left w:w="85" w:type="dxa"/>
              <w:bottom w:w="0" w:type="dxa"/>
              <w:right w:w="85" w:type="dxa"/>
            </w:tcMar>
            <w:vAlign w:val="center"/>
          </w:tcPr>
          <w:p w14:paraId="2C4D8C12" w14:textId="77777777" w:rsidR="00E0181F" w:rsidRPr="001D5327" w:rsidRDefault="00E0181F" w:rsidP="00D11AC9">
            <w:pPr>
              <w:pStyle w:val="TableText"/>
              <w:spacing w:before="40" w:after="40"/>
              <w:jc w:val="right"/>
              <w:rPr>
                <w:szCs w:val="16"/>
              </w:rPr>
            </w:pPr>
            <w:r w:rsidRPr="001D5327">
              <w:rPr>
                <w:rFonts w:eastAsia="Calibri"/>
                <w:color w:val="000000"/>
                <w:szCs w:val="16"/>
              </w:rPr>
              <w:t>59</w:t>
            </w:r>
          </w:p>
        </w:tc>
        <w:tc>
          <w:tcPr>
            <w:tcW w:w="709" w:type="dxa"/>
            <w:shd w:val="clear" w:color="auto" w:fill="FFFFFF"/>
            <w:tcMar>
              <w:top w:w="0" w:type="dxa"/>
              <w:left w:w="85" w:type="dxa"/>
              <w:bottom w:w="0" w:type="dxa"/>
              <w:right w:w="85" w:type="dxa"/>
            </w:tcMar>
            <w:vAlign w:val="center"/>
          </w:tcPr>
          <w:p w14:paraId="36035592" w14:textId="77777777" w:rsidR="00E0181F" w:rsidRPr="001D5327" w:rsidRDefault="00E0181F" w:rsidP="00D11AC9">
            <w:pPr>
              <w:pStyle w:val="TableText"/>
              <w:spacing w:before="40" w:after="40"/>
              <w:jc w:val="right"/>
              <w:rPr>
                <w:szCs w:val="16"/>
              </w:rPr>
            </w:pPr>
            <w:r w:rsidRPr="001D5327">
              <w:rPr>
                <w:rFonts w:eastAsia="Calibri"/>
                <w:color w:val="000000"/>
                <w:szCs w:val="16"/>
              </w:rPr>
              <w:t>5</w:t>
            </w:r>
          </w:p>
        </w:tc>
        <w:tc>
          <w:tcPr>
            <w:tcW w:w="709" w:type="dxa"/>
            <w:shd w:val="clear" w:color="auto" w:fill="FFFFFF"/>
            <w:tcMar>
              <w:top w:w="0" w:type="dxa"/>
              <w:left w:w="85" w:type="dxa"/>
              <w:bottom w:w="0" w:type="dxa"/>
              <w:right w:w="85" w:type="dxa"/>
            </w:tcMar>
            <w:vAlign w:val="center"/>
          </w:tcPr>
          <w:p w14:paraId="38F6A35F" w14:textId="77777777" w:rsidR="00E0181F" w:rsidRPr="001D5327" w:rsidRDefault="00E0181F" w:rsidP="00D11AC9">
            <w:pPr>
              <w:pStyle w:val="TableText"/>
              <w:spacing w:before="40" w:after="40"/>
              <w:jc w:val="right"/>
              <w:rPr>
                <w:szCs w:val="16"/>
              </w:rPr>
            </w:pPr>
            <w:r w:rsidRPr="001D5327">
              <w:rPr>
                <w:rFonts w:eastAsia="Calibri"/>
                <w:color w:val="000000"/>
                <w:szCs w:val="16"/>
              </w:rPr>
              <w:t>5</w:t>
            </w:r>
          </w:p>
        </w:tc>
        <w:tc>
          <w:tcPr>
            <w:tcW w:w="709" w:type="dxa"/>
            <w:shd w:val="clear" w:color="auto" w:fill="FFFFFF"/>
            <w:tcMar>
              <w:top w:w="0" w:type="dxa"/>
              <w:left w:w="85" w:type="dxa"/>
              <w:bottom w:w="0" w:type="dxa"/>
              <w:right w:w="85" w:type="dxa"/>
            </w:tcMar>
            <w:vAlign w:val="center"/>
          </w:tcPr>
          <w:p w14:paraId="68E64B7A" w14:textId="3790AAE8"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65EA6A99" w14:textId="4E1217A7"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6D086345" w14:textId="684610E7"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75D53949" w14:textId="14D29661"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1003A307" w14:textId="3A10BB68" w:rsidR="00E0181F" w:rsidRPr="001D5327" w:rsidRDefault="0070503C" w:rsidP="00D11AC9">
            <w:pPr>
              <w:pStyle w:val="TableText"/>
              <w:spacing w:before="40" w:after="40"/>
              <w:jc w:val="right"/>
              <w:rPr>
                <w:szCs w:val="16"/>
              </w:rPr>
            </w:pPr>
            <w:r>
              <w:rPr>
                <w:rFonts w:eastAsia="Calibri"/>
                <w:color w:val="000000"/>
                <w:szCs w:val="16"/>
              </w:rPr>
              <w:t>-</w:t>
            </w:r>
          </w:p>
        </w:tc>
        <w:tc>
          <w:tcPr>
            <w:tcW w:w="1134" w:type="dxa"/>
            <w:shd w:val="clear" w:color="auto" w:fill="FFFFFF"/>
            <w:tcMar>
              <w:top w:w="0" w:type="dxa"/>
              <w:left w:w="85" w:type="dxa"/>
              <w:bottom w:w="0" w:type="dxa"/>
              <w:right w:w="85" w:type="dxa"/>
            </w:tcMar>
            <w:vAlign w:val="center"/>
          </w:tcPr>
          <w:p w14:paraId="7692009B" w14:textId="77777777" w:rsidR="00E0181F" w:rsidRPr="001D5327" w:rsidRDefault="00E0181F" w:rsidP="00D11AC9">
            <w:pPr>
              <w:pStyle w:val="TableText"/>
              <w:spacing w:before="40" w:after="40"/>
              <w:jc w:val="right"/>
              <w:rPr>
                <w:szCs w:val="16"/>
              </w:rPr>
            </w:pPr>
            <w:r w:rsidRPr="001D5327">
              <w:rPr>
                <w:rFonts w:eastAsia="Calibri"/>
                <w:color w:val="000000"/>
                <w:szCs w:val="16"/>
              </w:rPr>
              <w:t>69</w:t>
            </w:r>
          </w:p>
        </w:tc>
      </w:tr>
      <w:tr w:rsidR="00E0181F" w:rsidRPr="001D5327" w14:paraId="7D482299" w14:textId="77777777" w:rsidTr="00D11AC9">
        <w:tc>
          <w:tcPr>
            <w:tcW w:w="1134" w:type="dxa"/>
            <w:vMerge w:val="restart"/>
            <w:shd w:val="clear" w:color="auto" w:fill="FFFFFF"/>
            <w:tcMar>
              <w:top w:w="0" w:type="dxa"/>
              <w:left w:w="85" w:type="dxa"/>
              <w:bottom w:w="0" w:type="dxa"/>
              <w:right w:w="85" w:type="dxa"/>
            </w:tcMar>
          </w:tcPr>
          <w:p w14:paraId="3ABE22F4" w14:textId="77777777" w:rsidR="00E0181F" w:rsidRPr="001D5327" w:rsidRDefault="00E0181F" w:rsidP="00D11AC9">
            <w:pPr>
              <w:pStyle w:val="TableText"/>
              <w:spacing w:before="40" w:after="40"/>
              <w:rPr>
                <w:szCs w:val="16"/>
              </w:rPr>
            </w:pPr>
            <w:r w:rsidRPr="001D5327">
              <w:rPr>
                <w:rFonts w:eastAsia="Calibri"/>
                <w:color w:val="000000"/>
                <w:szCs w:val="16"/>
              </w:rPr>
              <w:t>Grassland</w:t>
            </w:r>
          </w:p>
        </w:tc>
        <w:tc>
          <w:tcPr>
            <w:tcW w:w="2268" w:type="dxa"/>
            <w:shd w:val="clear" w:color="auto" w:fill="FFFFFF"/>
            <w:tcMar>
              <w:top w:w="0" w:type="dxa"/>
              <w:left w:w="85" w:type="dxa"/>
              <w:bottom w:w="0" w:type="dxa"/>
              <w:right w:w="85" w:type="dxa"/>
            </w:tcMar>
            <w:vAlign w:val="center"/>
          </w:tcPr>
          <w:p w14:paraId="2B4FD065" w14:textId="77777777" w:rsidR="00E0181F" w:rsidRPr="001D5327" w:rsidRDefault="00E0181F" w:rsidP="00D11AC9">
            <w:pPr>
              <w:pStyle w:val="TableText"/>
              <w:spacing w:before="40" w:after="40"/>
              <w:rPr>
                <w:szCs w:val="16"/>
              </w:rPr>
            </w:pPr>
            <w:r w:rsidRPr="001D5327">
              <w:rPr>
                <w:rFonts w:eastAsia="Calibri"/>
                <w:color w:val="000000"/>
                <w:szCs w:val="16"/>
              </w:rPr>
              <w:t>High producing</w:t>
            </w:r>
          </w:p>
        </w:tc>
        <w:tc>
          <w:tcPr>
            <w:tcW w:w="709" w:type="dxa"/>
            <w:shd w:val="clear" w:color="auto" w:fill="FFFFFF"/>
            <w:tcMar>
              <w:top w:w="0" w:type="dxa"/>
              <w:left w:w="85" w:type="dxa"/>
              <w:bottom w:w="0" w:type="dxa"/>
              <w:right w:w="85" w:type="dxa"/>
            </w:tcMar>
            <w:vAlign w:val="center"/>
          </w:tcPr>
          <w:p w14:paraId="2FFA7FCB" w14:textId="77777777" w:rsidR="00E0181F" w:rsidRPr="001D5327" w:rsidRDefault="00E0181F" w:rsidP="00D11AC9">
            <w:pPr>
              <w:pStyle w:val="TableText"/>
              <w:spacing w:before="40" w:after="40"/>
              <w:jc w:val="right"/>
              <w:rPr>
                <w:szCs w:val="16"/>
              </w:rPr>
            </w:pPr>
            <w:r w:rsidRPr="001D5327">
              <w:rPr>
                <w:rFonts w:eastAsia="Calibri"/>
                <w:color w:val="000000"/>
                <w:szCs w:val="16"/>
              </w:rPr>
              <w:t>84</w:t>
            </w:r>
          </w:p>
        </w:tc>
        <w:tc>
          <w:tcPr>
            <w:tcW w:w="709" w:type="dxa"/>
            <w:shd w:val="clear" w:color="auto" w:fill="FFFFFF"/>
            <w:tcMar>
              <w:top w:w="0" w:type="dxa"/>
              <w:left w:w="85" w:type="dxa"/>
              <w:bottom w:w="0" w:type="dxa"/>
              <w:right w:w="85" w:type="dxa"/>
            </w:tcMar>
            <w:vAlign w:val="center"/>
          </w:tcPr>
          <w:p w14:paraId="38056510" w14:textId="1F537768"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4202FA3E" w14:textId="2A87C7C4"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0746F7CA" w14:textId="587B7603"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489CBD00" w14:textId="77777777" w:rsidR="00E0181F" w:rsidRPr="001D5327" w:rsidRDefault="00E0181F" w:rsidP="00D11AC9">
            <w:pPr>
              <w:pStyle w:val="TableText"/>
              <w:spacing w:before="40" w:after="40"/>
              <w:jc w:val="right"/>
              <w:rPr>
                <w:szCs w:val="16"/>
              </w:rPr>
            </w:pPr>
            <w:r w:rsidRPr="001D5327">
              <w:rPr>
                <w:rFonts w:eastAsia="Calibri"/>
                <w:color w:val="000000"/>
                <w:szCs w:val="16"/>
              </w:rPr>
              <w:t>23</w:t>
            </w:r>
          </w:p>
        </w:tc>
        <w:tc>
          <w:tcPr>
            <w:tcW w:w="709" w:type="dxa"/>
            <w:shd w:val="clear" w:color="auto" w:fill="FFFFFF"/>
            <w:tcMar>
              <w:top w:w="0" w:type="dxa"/>
              <w:left w:w="85" w:type="dxa"/>
              <w:bottom w:w="0" w:type="dxa"/>
              <w:right w:w="85" w:type="dxa"/>
            </w:tcMar>
            <w:vAlign w:val="center"/>
          </w:tcPr>
          <w:p w14:paraId="400B80D1" w14:textId="77777777" w:rsidR="00E0181F" w:rsidRPr="001D5327" w:rsidRDefault="00E0181F" w:rsidP="00D11AC9">
            <w:pPr>
              <w:pStyle w:val="TableText"/>
              <w:spacing w:before="40" w:after="40"/>
              <w:jc w:val="right"/>
              <w:rPr>
                <w:szCs w:val="16"/>
              </w:rPr>
            </w:pPr>
            <w:r w:rsidRPr="001D5327">
              <w:rPr>
                <w:rFonts w:eastAsia="Calibri"/>
                <w:color w:val="000000"/>
                <w:szCs w:val="16"/>
              </w:rPr>
              <w:t>20</w:t>
            </w:r>
          </w:p>
        </w:tc>
        <w:tc>
          <w:tcPr>
            <w:tcW w:w="709" w:type="dxa"/>
            <w:shd w:val="clear" w:color="auto" w:fill="D2DDE1"/>
            <w:tcMar>
              <w:top w:w="0" w:type="dxa"/>
              <w:left w:w="85" w:type="dxa"/>
              <w:bottom w:w="0" w:type="dxa"/>
              <w:right w:w="85" w:type="dxa"/>
            </w:tcMar>
            <w:vAlign w:val="center"/>
          </w:tcPr>
          <w:p w14:paraId="1459A746" w14:textId="77777777" w:rsidR="00E0181F" w:rsidRPr="001D5327" w:rsidRDefault="00E0181F" w:rsidP="00D11AC9">
            <w:pPr>
              <w:pStyle w:val="TableText"/>
              <w:spacing w:before="40" w:after="40"/>
              <w:jc w:val="right"/>
              <w:rPr>
                <w:szCs w:val="16"/>
              </w:rPr>
            </w:pPr>
            <w:r w:rsidRPr="001D5327">
              <w:rPr>
                <w:rFonts w:eastAsia="Calibri"/>
                <w:color w:val="000000"/>
                <w:szCs w:val="16"/>
              </w:rPr>
              <w:t>4,809</w:t>
            </w:r>
          </w:p>
        </w:tc>
        <w:tc>
          <w:tcPr>
            <w:tcW w:w="709" w:type="dxa"/>
            <w:shd w:val="clear" w:color="auto" w:fill="FFFFFF"/>
            <w:tcMar>
              <w:top w:w="0" w:type="dxa"/>
              <w:left w:w="85" w:type="dxa"/>
              <w:bottom w:w="0" w:type="dxa"/>
              <w:right w:w="85" w:type="dxa"/>
            </w:tcMar>
            <w:vAlign w:val="center"/>
          </w:tcPr>
          <w:p w14:paraId="4E72D7A2" w14:textId="77777777" w:rsidR="00E0181F" w:rsidRPr="001D5327" w:rsidRDefault="00E0181F" w:rsidP="00D11AC9">
            <w:pPr>
              <w:pStyle w:val="TableText"/>
              <w:spacing w:before="40" w:after="40"/>
              <w:jc w:val="right"/>
              <w:rPr>
                <w:szCs w:val="16"/>
              </w:rPr>
            </w:pPr>
            <w:r w:rsidRPr="001D5327">
              <w:rPr>
                <w:rFonts w:eastAsia="Calibri"/>
                <w:color w:val="000000"/>
                <w:szCs w:val="16"/>
              </w:rPr>
              <w:t>461</w:t>
            </w:r>
          </w:p>
        </w:tc>
        <w:tc>
          <w:tcPr>
            <w:tcW w:w="709" w:type="dxa"/>
            <w:shd w:val="clear" w:color="auto" w:fill="FFFFFF"/>
            <w:tcMar>
              <w:top w:w="0" w:type="dxa"/>
              <w:left w:w="85" w:type="dxa"/>
              <w:bottom w:w="0" w:type="dxa"/>
              <w:right w:w="85" w:type="dxa"/>
            </w:tcMar>
            <w:vAlign w:val="center"/>
          </w:tcPr>
          <w:p w14:paraId="26C74C54" w14:textId="77777777" w:rsidR="00E0181F" w:rsidRPr="001D5327" w:rsidRDefault="00E0181F" w:rsidP="00D11AC9">
            <w:pPr>
              <w:pStyle w:val="TableText"/>
              <w:spacing w:before="40" w:after="40"/>
              <w:jc w:val="right"/>
              <w:rPr>
                <w:szCs w:val="16"/>
              </w:rPr>
            </w:pPr>
            <w:r w:rsidRPr="001D5327">
              <w:rPr>
                <w:rFonts w:eastAsia="Calibri"/>
                <w:color w:val="000000"/>
                <w:szCs w:val="16"/>
              </w:rPr>
              <w:t>346</w:t>
            </w:r>
          </w:p>
        </w:tc>
        <w:tc>
          <w:tcPr>
            <w:tcW w:w="709" w:type="dxa"/>
            <w:shd w:val="clear" w:color="auto" w:fill="FFFFFF"/>
            <w:tcMar>
              <w:top w:w="0" w:type="dxa"/>
              <w:left w:w="85" w:type="dxa"/>
              <w:bottom w:w="0" w:type="dxa"/>
              <w:right w:w="85" w:type="dxa"/>
            </w:tcMar>
            <w:vAlign w:val="center"/>
          </w:tcPr>
          <w:p w14:paraId="46C7EA43" w14:textId="14B35799"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7E72EB92" w14:textId="77777777" w:rsidR="00E0181F" w:rsidRPr="001D5327" w:rsidRDefault="00E0181F" w:rsidP="00D11AC9">
            <w:pPr>
              <w:pStyle w:val="TableText"/>
              <w:spacing w:before="40" w:after="40"/>
              <w:jc w:val="right"/>
              <w:rPr>
                <w:szCs w:val="16"/>
              </w:rPr>
            </w:pPr>
            <w:r w:rsidRPr="001D5327">
              <w:rPr>
                <w:rFonts w:eastAsia="Calibri"/>
                <w:color w:val="000000"/>
                <w:szCs w:val="16"/>
              </w:rPr>
              <w:t>98</w:t>
            </w:r>
          </w:p>
        </w:tc>
        <w:tc>
          <w:tcPr>
            <w:tcW w:w="709" w:type="dxa"/>
            <w:shd w:val="clear" w:color="auto" w:fill="FFFFFF"/>
            <w:tcMar>
              <w:top w:w="0" w:type="dxa"/>
              <w:left w:w="85" w:type="dxa"/>
              <w:bottom w:w="0" w:type="dxa"/>
              <w:right w:w="85" w:type="dxa"/>
            </w:tcMar>
            <w:vAlign w:val="center"/>
          </w:tcPr>
          <w:p w14:paraId="19C43B13" w14:textId="51CE5EAC"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181B0545" w14:textId="6DE75D75" w:rsidR="00E0181F" w:rsidRPr="001D5327" w:rsidRDefault="0070503C" w:rsidP="00D11AC9">
            <w:pPr>
              <w:pStyle w:val="TableText"/>
              <w:spacing w:before="40" w:after="40"/>
              <w:jc w:val="right"/>
              <w:rPr>
                <w:szCs w:val="16"/>
              </w:rPr>
            </w:pPr>
            <w:r>
              <w:rPr>
                <w:rFonts w:eastAsia="Calibri"/>
                <w:color w:val="000000"/>
                <w:szCs w:val="16"/>
              </w:rPr>
              <w:t>-</w:t>
            </w:r>
          </w:p>
        </w:tc>
        <w:tc>
          <w:tcPr>
            <w:tcW w:w="1134" w:type="dxa"/>
            <w:shd w:val="clear" w:color="auto" w:fill="FFFFFF"/>
            <w:tcMar>
              <w:top w:w="0" w:type="dxa"/>
              <w:left w:w="85" w:type="dxa"/>
              <w:bottom w:w="0" w:type="dxa"/>
              <w:right w:w="85" w:type="dxa"/>
            </w:tcMar>
            <w:vAlign w:val="center"/>
          </w:tcPr>
          <w:p w14:paraId="5FA5F8D6" w14:textId="77777777" w:rsidR="00E0181F" w:rsidRPr="001D5327" w:rsidRDefault="00E0181F" w:rsidP="00D11AC9">
            <w:pPr>
              <w:pStyle w:val="TableText"/>
              <w:spacing w:before="40" w:after="40"/>
              <w:jc w:val="right"/>
              <w:rPr>
                <w:szCs w:val="16"/>
              </w:rPr>
            </w:pPr>
            <w:r w:rsidRPr="001D5327">
              <w:rPr>
                <w:rFonts w:eastAsia="Calibri"/>
                <w:color w:val="000000"/>
                <w:szCs w:val="16"/>
              </w:rPr>
              <w:t>5,840</w:t>
            </w:r>
          </w:p>
        </w:tc>
      </w:tr>
      <w:tr w:rsidR="00E0181F" w:rsidRPr="001D5327" w14:paraId="6FA0B14C" w14:textId="77777777" w:rsidTr="00D11AC9">
        <w:tc>
          <w:tcPr>
            <w:tcW w:w="1134" w:type="dxa"/>
            <w:vMerge/>
            <w:shd w:val="clear" w:color="auto" w:fill="FFFFFF"/>
            <w:tcMar>
              <w:top w:w="0" w:type="dxa"/>
              <w:left w:w="85" w:type="dxa"/>
              <w:bottom w:w="0" w:type="dxa"/>
              <w:right w:w="85" w:type="dxa"/>
            </w:tcMar>
          </w:tcPr>
          <w:p w14:paraId="53644742" w14:textId="77777777" w:rsidR="00E0181F" w:rsidRPr="001D5327" w:rsidRDefault="00E0181F" w:rsidP="00D11AC9">
            <w:pPr>
              <w:pStyle w:val="TableText"/>
              <w:spacing w:before="40" w:after="40"/>
              <w:rPr>
                <w:szCs w:val="16"/>
              </w:rPr>
            </w:pPr>
          </w:p>
        </w:tc>
        <w:tc>
          <w:tcPr>
            <w:tcW w:w="2268" w:type="dxa"/>
            <w:shd w:val="clear" w:color="auto" w:fill="FFFFFF"/>
            <w:tcMar>
              <w:top w:w="0" w:type="dxa"/>
              <w:left w:w="85" w:type="dxa"/>
              <w:bottom w:w="0" w:type="dxa"/>
              <w:right w:w="85" w:type="dxa"/>
            </w:tcMar>
            <w:vAlign w:val="center"/>
          </w:tcPr>
          <w:p w14:paraId="490E9C99" w14:textId="77777777" w:rsidR="00E0181F" w:rsidRPr="001D5327" w:rsidRDefault="00E0181F" w:rsidP="00D11AC9">
            <w:pPr>
              <w:pStyle w:val="TableText"/>
              <w:spacing w:before="40" w:after="40"/>
              <w:rPr>
                <w:szCs w:val="16"/>
              </w:rPr>
            </w:pPr>
            <w:r w:rsidRPr="001D5327">
              <w:rPr>
                <w:rFonts w:eastAsia="Calibri"/>
                <w:color w:val="000000"/>
                <w:szCs w:val="16"/>
              </w:rPr>
              <w:t>Low producing</w:t>
            </w:r>
          </w:p>
        </w:tc>
        <w:tc>
          <w:tcPr>
            <w:tcW w:w="709" w:type="dxa"/>
            <w:shd w:val="clear" w:color="auto" w:fill="FFFFFF"/>
            <w:tcMar>
              <w:top w:w="0" w:type="dxa"/>
              <w:left w:w="85" w:type="dxa"/>
              <w:bottom w:w="0" w:type="dxa"/>
              <w:right w:w="85" w:type="dxa"/>
            </w:tcMar>
            <w:vAlign w:val="center"/>
          </w:tcPr>
          <w:p w14:paraId="509A6974" w14:textId="77777777" w:rsidR="00E0181F" w:rsidRPr="001D5327" w:rsidRDefault="00E0181F" w:rsidP="00D11AC9">
            <w:pPr>
              <w:pStyle w:val="TableText"/>
              <w:spacing w:before="40" w:after="40"/>
              <w:jc w:val="right"/>
              <w:rPr>
                <w:szCs w:val="16"/>
              </w:rPr>
            </w:pPr>
            <w:r w:rsidRPr="001D5327">
              <w:rPr>
                <w:rFonts w:eastAsia="Calibri"/>
                <w:color w:val="000000"/>
                <w:szCs w:val="16"/>
              </w:rPr>
              <w:t>428</w:t>
            </w:r>
          </w:p>
        </w:tc>
        <w:tc>
          <w:tcPr>
            <w:tcW w:w="709" w:type="dxa"/>
            <w:shd w:val="clear" w:color="auto" w:fill="FFFFFF"/>
            <w:tcMar>
              <w:top w:w="0" w:type="dxa"/>
              <w:left w:w="85" w:type="dxa"/>
              <w:bottom w:w="0" w:type="dxa"/>
              <w:right w:w="85" w:type="dxa"/>
            </w:tcMar>
            <w:vAlign w:val="center"/>
          </w:tcPr>
          <w:p w14:paraId="4ECC791B" w14:textId="79397016"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154EE537" w14:textId="7FCC0A99"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0EBC31BF" w14:textId="3A0DA599"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64CD19CB" w14:textId="05AA2164"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2B635D6F" w14:textId="39E9263F"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1E043941" w14:textId="30B71325"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D2DDE1"/>
            <w:tcMar>
              <w:top w:w="0" w:type="dxa"/>
              <w:left w:w="85" w:type="dxa"/>
              <w:bottom w:w="0" w:type="dxa"/>
              <w:right w:w="85" w:type="dxa"/>
            </w:tcMar>
            <w:vAlign w:val="center"/>
          </w:tcPr>
          <w:p w14:paraId="2315227F" w14:textId="77777777" w:rsidR="00E0181F" w:rsidRPr="001D5327" w:rsidRDefault="00E0181F" w:rsidP="00D11AC9">
            <w:pPr>
              <w:pStyle w:val="TableText"/>
              <w:spacing w:before="40" w:after="40"/>
              <w:jc w:val="right"/>
              <w:rPr>
                <w:szCs w:val="16"/>
              </w:rPr>
            </w:pPr>
            <w:r w:rsidRPr="001D5327">
              <w:rPr>
                <w:rFonts w:eastAsia="Calibri"/>
                <w:color w:val="000000"/>
                <w:szCs w:val="16"/>
              </w:rPr>
              <w:t>7,447</w:t>
            </w:r>
          </w:p>
        </w:tc>
        <w:tc>
          <w:tcPr>
            <w:tcW w:w="709" w:type="dxa"/>
            <w:shd w:val="clear" w:color="auto" w:fill="FFFFFF"/>
            <w:tcMar>
              <w:top w:w="0" w:type="dxa"/>
              <w:left w:w="85" w:type="dxa"/>
              <w:bottom w:w="0" w:type="dxa"/>
              <w:right w:w="85" w:type="dxa"/>
            </w:tcMar>
            <w:vAlign w:val="center"/>
          </w:tcPr>
          <w:p w14:paraId="7CD9183B" w14:textId="77777777" w:rsidR="00E0181F" w:rsidRPr="001D5327" w:rsidRDefault="00E0181F" w:rsidP="00D11AC9">
            <w:pPr>
              <w:pStyle w:val="TableText"/>
              <w:spacing w:before="40" w:after="40"/>
              <w:jc w:val="right"/>
              <w:rPr>
                <w:szCs w:val="16"/>
              </w:rPr>
            </w:pPr>
            <w:r w:rsidRPr="001D5327">
              <w:rPr>
                <w:rFonts w:eastAsia="Calibri"/>
                <w:color w:val="000000"/>
                <w:szCs w:val="16"/>
              </w:rPr>
              <w:t>30</w:t>
            </w:r>
          </w:p>
        </w:tc>
        <w:tc>
          <w:tcPr>
            <w:tcW w:w="709" w:type="dxa"/>
            <w:shd w:val="clear" w:color="auto" w:fill="FFFFFF"/>
            <w:tcMar>
              <w:top w:w="0" w:type="dxa"/>
              <w:left w:w="85" w:type="dxa"/>
              <w:bottom w:w="0" w:type="dxa"/>
              <w:right w:w="85" w:type="dxa"/>
            </w:tcMar>
            <w:vAlign w:val="center"/>
          </w:tcPr>
          <w:p w14:paraId="2F83952F" w14:textId="40588589"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65FEE864" w14:textId="0783C384"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7F2626A1" w14:textId="74ADBF93"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75A4FAAD" w14:textId="0D610D8B" w:rsidR="00E0181F" w:rsidRPr="001D5327" w:rsidRDefault="0070503C" w:rsidP="00D11AC9">
            <w:pPr>
              <w:pStyle w:val="TableText"/>
              <w:spacing w:before="40" w:after="40"/>
              <w:jc w:val="right"/>
              <w:rPr>
                <w:szCs w:val="16"/>
              </w:rPr>
            </w:pPr>
            <w:r>
              <w:rPr>
                <w:rFonts w:eastAsia="Calibri"/>
                <w:color w:val="000000"/>
                <w:szCs w:val="16"/>
              </w:rPr>
              <w:t>-</w:t>
            </w:r>
          </w:p>
        </w:tc>
        <w:tc>
          <w:tcPr>
            <w:tcW w:w="1134" w:type="dxa"/>
            <w:shd w:val="clear" w:color="auto" w:fill="FFFFFF"/>
            <w:tcMar>
              <w:top w:w="0" w:type="dxa"/>
              <w:left w:w="85" w:type="dxa"/>
              <w:bottom w:w="0" w:type="dxa"/>
              <w:right w:w="85" w:type="dxa"/>
            </w:tcMar>
            <w:vAlign w:val="center"/>
          </w:tcPr>
          <w:p w14:paraId="5531B95B" w14:textId="77777777" w:rsidR="00E0181F" w:rsidRPr="001D5327" w:rsidRDefault="00E0181F" w:rsidP="00D11AC9">
            <w:pPr>
              <w:pStyle w:val="TableText"/>
              <w:spacing w:before="40" w:after="40"/>
              <w:jc w:val="right"/>
              <w:rPr>
                <w:szCs w:val="16"/>
              </w:rPr>
            </w:pPr>
            <w:r w:rsidRPr="001D5327">
              <w:rPr>
                <w:rFonts w:eastAsia="Calibri"/>
                <w:color w:val="000000"/>
                <w:szCs w:val="16"/>
              </w:rPr>
              <w:t>7,905</w:t>
            </w:r>
          </w:p>
        </w:tc>
      </w:tr>
      <w:tr w:rsidR="00E0181F" w:rsidRPr="001D5327" w14:paraId="53F0C0F1" w14:textId="77777777" w:rsidTr="00D11AC9">
        <w:tc>
          <w:tcPr>
            <w:tcW w:w="1134" w:type="dxa"/>
            <w:vMerge/>
            <w:shd w:val="clear" w:color="auto" w:fill="FFFFFF"/>
            <w:tcMar>
              <w:top w:w="0" w:type="dxa"/>
              <w:left w:w="85" w:type="dxa"/>
              <w:bottom w:w="0" w:type="dxa"/>
              <w:right w:w="85" w:type="dxa"/>
            </w:tcMar>
          </w:tcPr>
          <w:p w14:paraId="02BE9744" w14:textId="77777777" w:rsidR="00E0181F" w:rsidRPr="001D5327" w:rsidRDefault="00E0181F" w:rsidP="00D11AC9">
            <w:pPr>
              <w:pStyle w:val="TableText"/>
              <w:spacing w:before="40" w:after="40"/>
              <w:rPr>
                <w:szCs w:val="16"/>
              </w:rPr>
            </w:pPr>
          </w:p>
        </w:tc>
        <w:tc>
          <w:tcPr>
            <w:tcW w:w="2268" w:type="dxa"/>
            <w:shd w:val="clear" w:color="auto" w:fill="FFFFFF"/>
            <w:tcMar>
              <w:top w:w="0" w:type="dxa"/>
              <w:left w:w="85" w:type="dxa"/>
              <w:bottom w:w="0" w:type="dxa"/>
              <w:right w:w="85" w:type="dxa"/>
            </w:tcMar>
            <w:vAlign w:val="center"/>
          </w:tcPr>
          <w:p w14:paraId="64BDB97B" w14:textId="77777777" w:rsidR="00E0181F" w:rsidRPr="001D5327" w:rsidRDefault="00E0181F" w:rsidP="00D11AC9">
            <w:pPr>
              <w:pStyle w:val="TableText"/>
              <w:spacing w:before="40" w:after="40"/>
              <w:rPr>
                <w:szCs w:val="16"/>
              </w:rPr>
            </w:pPr>
            <w:r w:rsidRPr="001D5327">
              <w:rPr>
                <w:rFonts w:eastAsia="Calibri"/>
                <w:color w:val="000000"/>
                <w:szCs w:val="16"/>
              </w:rPr>
              <w:t>With woody biomass</w:t>
            </w:r>
          </w:p>
        </w:tc>
        <w:tc>
          <w:tcPr>
            <w:tcW w:w="709" w:type="dxa"/>
            <w:shd w:val="clear" w:color="auto" w:fill="FFFFFF"/>
            <w:tcMar>
              <w:top w:w="0" w:type="dxa"/>
              <w:left w:w="85" w:type="dxa"/>
              <w:bottom w:w="0" w:type="dxa"/>
              <w:right w:w="85" w:type="dxa"/>
            </w:tcMar>
            <w:vAlign w:val="center"/>
          </w:tcPr>
          <w:p w14:paraId="5D81A336" w14:textId="77777777" w:rsidR="00E0181F" w:rsidRPr="001D5327" w:rsidRDefault="00E0181F" w:rsidP="00D11AC9">
            <w:pPr>
              <w:pStyle w:val="TableText"/>
              <w:spacing w:before="40" w:after="40"/>
              <w:jc w:val="right"/>
              <w:rPr>
                <w:szCs w:val="16"/>
              </w:rPr>
            </w:pPr>
            <w:r w:rsidRPr="001D5327">
              <w:rPr>
                <w:rFonts w:eastAsia="Calibri"/>
                <w:color w:val="000000"/>
                <w:szCs w:val="16"/>
              </w:rPr>
              <w:t>78</w:t>
            </w:r>
          </w:p>
        </w:tc>
        <w:tc>
          <w:tcPr>
            <w:tcW w:w="709" w:type="dxa"/>
            <w:shd w:val="clear" w:color="auto" w:fill="FFFFFF"/>
            <w:tcMar>
              <w:top w:w="0" w:type="dxa"/>
              <w:left w:w="85" w:type="dxa"/>
              <w:bottom w:w="0" w:type="dxa"/>
              <w:right w:w="85" w:type="dxa"/>
            </w:tcMar>
            <w:vAlign w:val="center"/>
          </w:tcPr>
          <w:p w14:paraId="515F454E" w14:textId="49B81354"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4EF29062" w14:textId="301B5D7F"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4A99F1A4" w14:textId="0C6934F9"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0ED80BF4" w14:textId="1D028210"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114F4E49" w14:textId="4CA0AB07"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2A7AF44D" w14:textId="5E01A324"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49FB0723" w14:textId="77777777" w:rsidR="00E0181F" w:rsidRPr="001D5327" w:rsidRDefault="00E0181F" w:rsidP="00D11AC9">
            <w:pPr>
              <w:pStyle w:val="TableText"/>
              <w:spacing w:before="40" w:after="40"/>
              <w:jc w:val="right"/>
              <w:rPr>
                <w:szCs w:val="16"/>
              </w:rPr>
            </w:pPr>
            <w:r w:rsidRPr="001D5327">
              <w:rPr>
                <w:rFonts w:eastAsia="Calibri"/>
                <w:color w:val="000000"/>
                <w:szCs w:val="16"/>
              </w:rPr>
              <w:t>492</w:t>
            </w:r>
          </w:p>
        </w:tc>
        <w:tc>
          <w:tcPr>
            <w:tcW w:w="709" w:type="dxa"/>
            <w:shd w:val="clear" w:color="auto" w:fill="D2DDE1"/>
            <w:tcMar>
              <w:top w:w="0" w:type="dxa"/>
              <w:left w:w="85" w:type="dxa"/>
              <w:bottom w:w="0" w:type="dxa"/>
              <w:right w:w="85" w:type="dxa"/>
            </w:tcMar>
            <w:vAlign w:val="center"/>
          </w:tcPr>
          <w:p w14:paraId="3E4DA966" w14:textId="77777777" w:rsidR="00E0181F" w:rsidRPr="001D5327" w:rsidRDefault="00E0181F" w:rsidP="00D11AC9">
            <w:pPr>
              <w:pStyle w:val="TableText"/>
              <w:spacing w:before="40" w:after="40"/>
              <w:jc w:val="right"/>
              <w:rPr>
                <w:szCs w:val="16"/>
              </w:rPr>
            </w:pPr>
            <w:r w:rsidRPr="001D5327">
              <w:rPr>
                <w:rFonts w:eastAsia="Calibri"/>
                <w:color w:val="000000"/>
                <w:szCs w:val="16"/>
              </w:rPr>
              <w:t>942</w:t>
            </w:r>
          </w:p>
        </w:tc>
        <w:tc>
          <w:tcPr>
            <w:tcW w:w="709" w:type="dxa"/>
            <w:shd w:val="clear" w:color="auto" w:fill="FFFFFF"/>
            <w:tcMar>
              <w:top w:w="0" w:type="dxa"/>
              <w:left w:w="85" w:type="dxa"/>
              <w:bottom w:w="0" w:type="dxa"/>
              <w:right w:w="85" w:type="dxa"/>
            </w:tcMar>
            <w:vAlign w:val="center"/>
          </w:tcPr>
          <w:p w14:paraId="4468862C" w14:textId="4A0E8E3D"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78F010D6" w14:textId="0B665CA9"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2CC2CD31" w14:textId="44F634A7"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4846968F" w14:textId="4A7F9BCC" w:rsidR="00E0181F" w:rsidRPr="001D5327" w:rsidRDefault="0070503C" w:rsidP="00D11AC9">
            <w:pPr>
              <w:pStyle w:val="TableText"/>
              <w:spacing w:before="40" w:after="40"/>
              <w:jc w:val="right"/>
              <w:rPr>
                <w:szCs w:val="16"/>
              </w:rPr>
            </w:pPr>
            <w:r>
              <w:rPr>
                <w:rFonts w:eastAsia="Calibri"/>
                <w:color w:val="000000"/>
                <w:szCs w:val="16"/>
              </w:rPr>
              <w:t>-</w:t>
            </w:r>
          </w:p>
        </w:tc>
        <w:tc>
          <w:tcPr>
            <w:tcW w:w="1134" w:type="dxa"/>
            <w:shd w:val="clear" w:color="auto" w:fill="FFFFFF"/>
            <w:tcMar>
              <w:top w:w="0" w:type="dxa"/>
              <w:left w:w="85" w:type="dxa"/>
              <w:bottom w:w="0" w:type="dxa"/>
              <w:right w:w="85" w:type="dxa"/>
            </w:tcMar>
            <w:vAlign w:val="center"/>
          </w:tcPr>
          <w:p w14:paraId="570AC9E9" w14:textId="77777777" w:rsidR="00E0181F" w:rsidRPr="001D5327" w:rsidRDefault="00E0181F" w:rsidP="00D11AC9">
            <w:pPr>
              <w:pStyle w:val="TableText"/>
              <w:spacing w:before="40" w:after="40"/>
              <w:jc w:val="right"/>
              <w:rPr>
                <w:szCs w:val="16"/>
              </w:rPr>
            </w:pPr>
            <w:r w:rsidRPr="001D5327">
              <w:rPr>
                <w:rFonts w:eastAsia="Calibri"/>
                <w:color w:val="000000"/>
                <w:szCs w:val="16"/>
              </w:rPr>
              <w:t>1,511</w:t>
            </w:r>
          </w:p>
        </w:tc>
      </w:tr>
      <w:tr w:rsidR="00E0181F" w:rsidRPr="001D5327" w14:paraId="408F4712" w14:textId="77777777" w:rsidTr="00D11AC9">
        <w:tc>
          <w:tcPr>
            <w:tcW w:w="1134" w:type="dxa"/>
            <w:vMerge w:val="restart"/>
            <w:shd w:val="clear" w:color="auto" w:fill="FFFFFF"/>
            <w:tcMar>
              <w:top w:w="0" w:type="dxa"/>
              <w:left w:w="85" w:type="dxa"/>
              <w:bottom w:w="0" w:type="dxa"/>
              <w:right w:w="85" w:type="dxa"/>
            </w:tcMar>
          </w:tcPr>
          <w:p w14:paraId="5626BA76" w14:textId="77777777" w:rsidR="00E0181F" w:rsidRPr="001D5327" w:rsidRDefault="00E0181F" w:rsidP="00D11AC9">
            <w:pPr>
              <w:pStyle w:val="TableText"/>
              <w:spacing w:before="40" w:after="40"/>
              <w:rPr>
                <w:szCs w:val="16"/>
              </w:rPr>
            </w:pPr>
            <w:r w:rsidRPr="001D5327">
              <w:rPr>
                <w:rFonts w:eastAsia="Calibri"/>
                <w:color w:val="000000"/>
                <w:szCs w:val="16"/>
              </w:rPr>
              <w:t>Wetlands</w:t>
            </w:r>
          </w:p>
        </w:tc>
        <w:tc>
          <w:tcPr>
            <w:tcW w:w="2268" w:type="dxa"/>
            <w:shd w:val="clear" w:color="auto" w:fill="FFFFFF"/>
            <w:tcMar>
              <w:top w:w="0" w:type="dxa"/>
              <w:left w:w="85" w:type="dxa"/>
              <w:bottom w:w="0" w:type="dxa"/>
              <w:right w:w="85" w:type="dxa"/>
            </w:tcMar>
            <w:vAlign w:val="center"/>
          </w:tcPr>
          <w:p w14:paraId="26CC23B3" w14:textId="77777777" w:rsidR="00E0181F" w:rsidRPr="001D5327" w:rsidRDefault="00E0181F" w:rsidP="00D11AC9">
            <w:pPr>
              <w:pStyle w:val="TableText"/>
              <w:spacing w:before="40" w:after="40"/>
              <w:rPr>
                <w:szCs w:val="16"/>
              </w:rPr>
            </w:pPr>
            <w:r w:rsidRPr="001D5327">
              <w:rPr>
                <w:rFonts w:eastAsia="Calibri"/>
                <w:color w:val="000000"/>
                <w:szCs w:val="16"/>
              </w:rPr>
              <w:t>Open water</w:t>
            </w:r>
          </w:p>
        </w:tc>
        <w:tc>
          <w:tcPr>
            <w:tcW w:w="709" w:type="dxa"/>
            <w:shd w:val="clear" w:color="auto" w:fill="FFFFFF"/>
            <w:tcMar>
              <w:top w:w="0" w:type="dxa"/>
              <w:left w:w="85" w:type="dxa"/>
              <w:bottom w:w="0" w:type="dxa"/>
              <w:right w:w="85" w:type="dxa"/>
            </w:tcMar>
            <w:vAlign w:val="center"/>
          </w:tcPr>
          <w:p w14:paraId="008253E9" w14:textId="77777777" w:rsidR="00E0181F" w:rsidRPr="001D5327" w:rsidRDefault="00E0181F" w:rsidP="00D11AC9">
            <w:pPr>
              <w:pStyle w:val="TableText"/>
              <w:spacing w:before="40" w:after="40"/>
              <w:jc w:val="right"/>
              <w:rPr>
                <w:szCs w:val="16"/>
              </w:rPr>
            </w:pPr>
            <w:r w:rsidRPr="001D5327">
              <w:rPr>
                <w:rFonts w:eastAsia="Calibri"/>
                <w:color w:val="000000"/>
                <w:szCs w:val="16"/>
              </w:rPr>
              <w:t>14</w:t>
            </w:r>
          </w:p>
        </w:tc>
        <w:tc>
          <w:tcPr>
            <w:tcW w:w="709" w:type="dxa"/>
            <w:shd w:val="clear" w:color="auto" w:fill="FFFFFF"/>
            <w:tcMar>
              <w:top w:w="0" w:type="dxa"/>
              <w:left w:w="85" w:type="dxa"/>
              <w:bottom w:w="0" w:type="dxa"/>
              <w:right w:w="85" w:type="dxa"/>
            </w:tcMar>
            <w:vAlign w:val="center"/>
          </w:tcPr>
          <w:p w14:paraId="22D9C8DE" w14:textId="466177F7"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17FBC179" w14:textId="61DCFCD1"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3039EF40" w14:textId="094DEA11"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399C337E" w14:textId="1FC15545"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387044AC" w14:textId="7588AE25"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46075F30" w14:textId="3387317C"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23DB9313" w14:textId="703B07EC"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39A60330" w14:textId="146A787E"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D2DDE1"/>
            <w:tcMar>
              <w:top w:w="0" w:type="dxa"/>
              <w:left w:w="85" w:type="dxa"/>
              <w:bottom w:w="0" w:type="dxa"/>
              <w:right w:w="85" w:type="dxa"/>
            </w:tcMar>
            <w:vAlign w:val="center"/>
          </w:tcPr>
          <w:p w14:paraId="30D526A0" w14:textId="77777777" w:rsidR="00E0181F" w:rsidRPr="001D5327" w:rsidRDefault="00E0181F" w:rsidP="00D11AC9">
            <w:pPr>
              <w:pStyle w:val="TableText"/>
              <w:spacing w:before="40" w:after="40"/>
              <w:jc w:val="right"/>
              <w:rPr>
                <w:szCs w:val="16"/>
              </w:rPr>
            </w:pPr>
            <w:r w:rsidRPr="001D5327">
              <w:rPr>
                <w:rFonts w:eastAsia="Calibri"/>
                <w:color w:val="000000"/>
                <w:szCs w:val="16"/>
              </w:rPr>
              <w:t>513</w:t>
            </w:r>
          </w:p>
        </w:tc>
        <w:tc>
          <w:tcPr>
            <w:tcW w:w="709" w:type="dxa"/>
            <w:shd w:val="clear" w:color="auto" w:fill="FFFFFF"/>
            <w:tcMar>
              <w:top w:w="0" w:type="dxa"/>
              <w:left w:w="85" w:type="dxa"/>
              <w:bottom w:w="0" w:type="dxa"/>
              <w:right w:w="85" w:type="dxa"/>
            </w:tcMar>
            <w:vAlign w:val="center"/>
          </w:tcPr>
          <w:p w14:paraId="7C3787F6" w14:textId="51BDCC53"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7967DF46" w14:textId="36216FB7"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20ED8AD3" w14:textId="6F525E80" w:rsidR="00E0181F" w:rsidRPr="001D5327" w:rsidRDefault="0070503C" w:rsidP="00D11AC9">
            <w:pPr>
              <w:pStyle w:val="TableText"/>
              <w:spacing w:before="40" w:after="40"/>
              <w:jc w:val="right"/>
              <w:rPr>
                <w:szCs w:val="16"/>
              </w:rPr>
            </w:pPr>
            <w:r>
              <w:rPr>
                <w:rFonts w:eastAsia="Calibri"/>
                <w:color w:val="000000"/>
                <w:szCs w:val="16"/>
              </w:rPr>
              <w:t>-</w:t>
            </w:r>
          </w:p>
        </w:tc>
        <w:tc>
          <w:tcPr>
            <w:tcW w:w="1134" w:type="dxa"/>
            <w:shd w:val="clear" w:color="auto" w:fill="FFFFFF"/>
            <w:tcMar>
              <w:top w:w="0" w:type="dxa"/>
              <w:left w:w="85" w:type="dxa"/>
              <w:bottom w:w="0" w:type="dxa"/>
              <w:right w:w="85" w:type="dxa"/>
            </w:tcMar>
            <w:vAlign w:val="center"/>
          </w:tcPr>
          <w:p w14:paraId="53F38702" w14:textId="77777777" w:rsidR="00E0181F" w:rsidRPr="001D5327" w:rsidRDefault="00E0181F" w:rsidP="00D11AC9">
            <w:pPr>
              <w:pStyle w:val="TableText"/>
              <w:spacing w:before="40" w:after="40"/>
              <w:jc w:val="right"/>
              <w:rPr>
                <w:szCs w:val="16"/>
              </w:rPr>
            </w:pPr>
            <w:r w:rsidRPr="001D5327">
              <w:rPr>
                <w:rFonts w:eastAsia="Calibri"/>
                <w:color w:val="000000"/>
                <w:szCs w:val="16"/>
              </w:rPr>
              <w:t>527</w:t>
            </w:r>
          </w:p>
        </w:tc>
      </w:tr>
      <w:tr w:rsidR="00E0181F" w:rsidRPr="001D5327" w14:paraId="2A924E85" w14:textId="77777777" w:rsidTr="00D11AC9">
        <w:tc>
          <w:tcPr>
            <w:tcW w:w="1134" w:type="dxa"/>
            <w:vMerge/>
            <w:shd w:val="clear" w:color="auto" w:fill="FFFFFF"/>
            <w:tcMar>
              <w:top w:w="0" w:type="dxa"/>
              <w:left w:w="85" w:type="dxa"/>
              <w:bottom w:w="0" w:type="dxa"/>
              <w:right w:w="85" w:type="dxa"/>
            </w:tcMar>
          </w:tcPr>
          <w:p w14:paraId="53A6543B" w14:textId="77777777" w:rsidR="00E0181F" w:rsidRPr="001D5327" w:rsidRDefault="00E0181F" w:rsidP="00D11AC9">
            <w:pPr>
              <w:pStyle w:val="TableText"/>
              <w:spacing w:before="40" w:after="40"/>
              <w:rPr>
                <w:szCs w:val="16"/>
              </w:rPr>
            </w:pPr>
          </w:p>
        </w:tc>
        <w:tc>
          <w:tcPr>
            <w:tcW w:w="2268" w:type="dxa"/>
            <w:shd w:val="clear" w:color="auto" w:fill="FFFFFF"/>
            <w:tcMar>
              <w:top w:w="0" w:type="dxa"/>
              <w:left w:w="85" w:type="dxa"/>
              <w:bottom w:w="0" w:type="dxa"/>
              <w:right w:w="85" w:type="dxa"/>
            </w:tcMar>
            <w:vAlign w:val="center"/>
          </w:tcPr>
          <w:p w14:paraId="2EFA3B58" w14:textId="77777777" w:rsidR="00E0181F" w:rsidRPr="001D5327" w:rsidRDefault="00E0181F" w:rsidP="00D11AC9">
            <w:pPr>
              <w:pStyle w:val="TableText"/>
              <w:spacing w:before="40" w:after="40"/>
              <w:rPr>
                <w:szCs w:val="16"/>
              </w:rPr>
            </w:pPr>
            <w:r w:rsidRPr="001D5327">
              <w:rPr>
                <w:rFonts w:eastAsia="Calibri"/>
                <w:color w:val="000000"/>
                <w:szCs w:val="16"/>
              </w:rPr>
              <w:t>Vegetated</w:t>
            </w:r>
          </w:p>
        </w:tc>
        <w:tc>
          <w:tcPr>
            <w:tcW w:w="709" w:type="dxa"/>
            <w:shd w:val="clear" w:color="auto" w:fill="FFFFFF"/>
            <w:tcMar>
              <w:top w:w="0" w:type="dxa"/>
              <w:left w:w="85" w:type="dxa"/>
              <w:bottom w:w="0" w:type="dxa"/>
              <w:right w:w="85" w:type="dxa"/>
            </w:tcMar>
            <w:vAlign w:val="center"/>
          </w:tcPr>
          <w:p w14:paraId="50C365A0" w14:textId="1151C218"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731E8FFA" w14:textId="118A7D1F"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76865663" w14:textId="49746DE0"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1AAD1BD0" w14:textId="550F489F"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7E10BA2C" w14:textId="3562C30E"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62C3325A" w14:textId="75DEDF5E"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756F9703" w14:textId="6D51ABFE"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550132A5" w14:textId="4644E5C0"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2A00B4CA" w14:textId="0CEDAC8C"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782482D8" w14:textId="672F8905"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D2DDE1"/>
            <w:tcMar>
              <w:top w:w="0" w:type="dxa"/>
              <w:left w:w="85" w:type="dxa"/>
              <w:bottom w:w="0" w:type="dxa"/>
              <w:right w:w="85" w:type="dxa"/>
            </w:tcMar>
            <w:vAlign w:val="center"/>
          </w:tcPr>
          <w:p w14:paraId="2BBC9407" w14:textId="77777777" w:rsidR="00E0181F" w:rsidRPr="001D5327" w:rsidRDefault="00E0181F" w:rsidP="00D11AC9">
            <w:pPr>
              <w:pStyle w:val="TableText"/>
              <w:spacing w:before="40" w:after="40"/>
              <w:jc w:val="right"/>
              <w:rPr>
                <w:szCs w:val="16"/>
              </w:rPr>
            </w:pPr>
            <w:r w:rsidRPr="001D5327">
              <w:rPr>
                <w:rFonts w:eastAsia="Calibri"/>
                <w:color w:val="000000"/>
                <w:szCs w:val="16"/>
              </w:rPr>
              <w:t>254</w:t>
            </w:r>
          </w:p>
        </w:tc>
        <w:tc>
          <w:tcPr>
            <w:tcW w:w="709" w:type="dxa"/>
            <w:shd w:val="clear" w:color="auto" w:fill="FFFFFF"/>
            <w:tcMar>
              <w:top w:w="0" w:type="dxa"/>
              <w:left w:w="85" w:type="dxa"/>
              <w:bottom w:w="0" w:type="dxa"/>
              <w:right w:w="85" w:type="dxa"/>
            </w:tcMar>
            <w:vAlign w:val="center"/>
          </w:tcPr>
          <w:p w14:paraId="7C87983F" w14:textId="476C62E4"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78E8A291" w14:textId="2F0EB7B9" w:rsidR="00E0181F" w:rsidRPr="001D5327" w:rsidRDefault="0070503C" w:rsidP="00D11AC9">
            <w:pPr>
              <w:pStyle w:val="TableText"/>
              <w:spacing w:before="40" w:after="40"/>
              <w:jc w:val="right"/>
              <w:rPr>
                <w:szCs w:val="16"/>
              </w:rPr>
            </w:pPr>
            <w:r>
              <w:rPr>
                <w:rFonts w:eastAsia="Calibri"/>
                <w:color w:val="000000"/>
                <w:szCs w:val="16"/>
              </w:rPr>
              <w:t>-</w:t>
            </w:r>
          </w:p>
        </w:tc>
        <w:tc>
          <w:tcPr>
            <w:tcW w:w="1134" w:type="dxa"/>
            <w:shd w:val="clear" w:color="auto" w:fill="FFFFFF"/>
            <w:tcMar>
              <w:top w:w="0" w:type="dxa"/>
              <w:left w:w="85" w:type="dxa"/>
              <w:bottom w:w="0" w:type="dxa"/>
              <w:right w:w="85" w:type="dxa"/>
            </w:tcMar>
            <w:vAlign w:val="center"/>
          </w:tcPr>
          <w:p w14:paraId="0FB19448" w14:textId="77777777" w:rsidR="00E0181F" w:rsidRPr="001D5327" w:rsidRDefault="00E0181F" w:rsidP="00D11AC9">
            <w:pPr>
              <w:pStyle w:val="TableText"/>
              <w:spacing w:before="40" w:after="40"/>
              <w:jc w:val="right"/>
              <w:rPr>
                <w:szCs w:val="16"/>
              </w:rPr>
            </w:pPr>
            <w:r w:rsidRPr="001D5327">
              <w:rPr>
                <w:rFonts w:eastAsia="Calibri"/>
                <w:color w:val="000000"/>
                <w:szCs w:val="16"/>
              </w:rPr>
              <w:t>254</w:t>
            </w:r>
          </w:p>
        </w:tc>
      </w:tr>
      <w:tr w:rsidR="00E0181F" w:rsidRPr="001D5327" w14:paraId="75E9EDD2" w14:textId="77777777" w:rsidTr="00D11AC9">
        <w:tc>
          <w:tcPr>
            <w:tcW w:w="1134" w:type="dxa"/>
            <w:shd w:val="clear" w:color="auto" w:fill="FFFFFF"/>
            <w:tcMar>
              <w:top w:w="0" w:type="dxa"/>
              <w:left w:w="85" w:type="dxa"/>
              <w:bottom w:w="0" w:type="dxa"/>
              <w:right w:w="85" w:type="dxa"/>
            </w:tcMar>
          </w:tcPr>
          <w:p w14:paraId="49DB1F47" w14:textId="77777777" w:rsidR="00E0181F" w:rsidRPr="001D5327" w:rsidRDefault="00E0181F" w:rsidP="00D11AC9">
            <w:pPr>
              <w:pStyle w:val="TableText"/>
              <w:spacing w:before="40" w:after="40"/>
              <w:rPr>
                <w:szCs w:val="16"/>
              </w:rPr>
            </w:pPr>
            <w:r w:rsidRPr="001D5327">
              <w:rPr>
                <w:rFonts w:eastAsia="Calibri"/>
                <w:color w:val="000000"/>
                <w:szCs w:val="16"/>
              </w:rPr>
              <w:t>Settlements</w:t>
            </w:r>
          </w:p>
        </w:tc>
        <w:tc>
          <w:tcPr>
            <w:tcW w:w="2268" w:type="dxa"/>
            <w:shd w:val="clear" w:color="auto" w:fill="FFFFFF"/>
            <w:tcMar>
              <w:top w:w="0" w:type="dxa"/>
              <w:left w:w="85" w:type="dxa"/>
              <w:bottom w:w="0" w:type="dxa"/>
              <w:right w:w="85" w:type="dxa"/>
            </w:tcMar>
            <w:vAlign w:val="center"/>
          </w:tcPr>
          <w:p w14:paraId="764BD443" w14:textId="77777777" w:rsidR="00E0181F" w:rsidRPr="001D5327" w:rsidRDefault="00E0181F" w:rsidP="00D11AC9">
            <w:pPr>
              <w:pStyle w:val="TableText"/>
              <w:spacing w:before="40" w:after="40"/>
              <w:rPr>
                <w:szCs w:val="16"/>
              </w:rPr>
            </w:pPr>
            <w:r w:rsidRPr="001D5327">
              <w:rPr>
                <w:rFonts w:eastAsia="Calibri"/>
                <w:color w:val="000000"/>
                <w:szCs w:val="16"/>
              </w:rPr>
              <w:t>Settlements</w:t>
            </w:r>
          </w:p>
        </w:tc>
        <w:tc>
          <w:tcPr>
            <w:tcW w:w="709" w:type="dxa"/>
            <w:shd w:val="clear" w:color="auto" w:fill="FFFFFF"/>
            <w:tcMar>
              <w:top w:w="0" w:type="dxa"/>
              <w:left w:w="85" w:type="dxa"/>
              <w:bottom w:w="0" w:type="dxa"/>
              <w:right w:w="85" w:type="dxa"/>
            </w:tcMar>
            <w:vAlign w:val="center"/>
          </w:tcPr>
          <w:p w14:paraId="561AF6A4" w14:textId="77777777" w:rsidR="00E0181F" w:rsidRPr="001D5327" w:rsidRDefault="00E0181F" w:rsidP="00D11AC9">
            <w:pPr>
              <w:pStyle w:val="TableText"/>
              <w:spacing w:before="40" w:after="40"/>
              <w:jc w:val="right"/>
              <w:rPr>
                <w:szCs w:val="16"/>
              </w:rPr>
            </w:pPr>
            <w:r w:rsidRPr="001D5327">
              <w:rPr>
                <w:rFonts w:eastAsia="Calibri"/>
                <w:color w:val="000000"/>
                <w:szCs w:val="16"/>
              </w:rPr>
              <w:t>5</w:t>
            </w:r>
          </w:p>
        </w:tc>
        <w:tc>
          <w:tcPr>
            <w:tcW w:w="709" w:type="dxa"/>
            <w:shd w:val="clear" w:color="auto" w:fill="FFFFFF"/>
            <w:tcMar>
              <w:top w:w="0" w:type="dxa"/>
              <w:left w:w="85" w:type="dxa"/>
              <w:bottom w:w="0" w:type="dxa"/>
              <w:right w:w="85" w:type="dxa"/>
            </w:tcMar>
            <w:vAlign w:val="center"/>
          </w:tcPr>
          <w:p w14:paraId="6374C56C" w14:textId="53869F3A"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11C6A3E4" w14:textId="3CD13E1C"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0C8A2BA3" w14:textId="76CB3B1A"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2BB8BC78" w14:textId="77777777" w:rsidR="00E0181F" w:rsidRPr="001D5327" w:rsidRDefault="00E0181F" w:rsidP="00D11AC9">
            <w:pPr>
              <w:pStyle w:val="TableText"/>
              <w:spacing w:before="40" w:after="40"/>
              <w:jc w:val="right"/>
              <w:rPr>
                <w:szCs w:val="16"/>
              </w:rPr>
            </w:pPr>
            <w:r w:rsidRPr="001D5327">
              <w:rPr>
                <w:rFonts w:eastAsia="Calibri"/>
                <w:color w:val="000000"/>
                <w:szCs w:val="16"/>
              </w:rPr>
              <w:t>6</w:t>
            </w:r>
          </w:p>
        </w:tc>
        <w:tc>
          <w:tcPr>
            <w:tcW w:w="709" w:type="dxa"/>
            <w:shd w:val="clear" w:color="auto" w:fill="FFFFFF"/>
            <w:tcMar>
              <w:top w:w="0" w:type="dxa"/>
              <w:left w:w="85" w:type="dxa"/>
              <w:bottom w:w="0" w:type="dxa"/>
              <w:right w:w="85" w:type="dxa"/>
            </w:tcMar>
            <w:vAlign w:val="center"/>
          </w:tcPr>
          <w:p w14:paraId="69232088" w14:textId="45730C8E"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03A3F28D" w14:textId="77777777" w:rsidR="00E0181F" w:rsidRPr="001D5327" w:rsidRDefault="00E0181F" w:rsidP="00D11AC9">
            <w:pPr>
              <w:pStyle w:val="TableText"/>
              <w:spacing w:before="40" w:after="40"/>
              <w:jc w:val="right"/>
              <w:rPr>
                <w:szCs w:val="16"/>
              </w:rPr>
            </w:pPr>
            <w:r w:rsidRPr="001D5327">
              <w:rPr>
                <w:rFonts w:eastAsia="Calibri"/>
                <w:color w:val="000000"/>
                <w:szCs w:val="16"/>
              </w:rPr>
              <w:t>7</w:t>
            </w:r>
          </w:p>
        </w:tc>
        <w:tc>
          <w:tcPr>
            <w:tcW w:w="709" w:type="dxa"/>
            <w:shd w:val="clear" w:color="auto" w:fill="FFFFFF"/>
            <w:tcMar>
              <w:top w:w="0" w:type="dxa"/>
              <w:left w:w="85" w:type="dxa"/>
              <w:bottom w:w="0" w:type="dxa"/>
              <w:right w:w="85" w:type="dxa"/>
            </w:tcMar>
            <w:vAlign w:val="center"/>
          </w:tcPr>
          <w:p w14:paraId="439CC957" w14:textId="77777777" w:rsidR="00E0181F" w:rsidRPr="001D5327" w:rsidRDefault="00E0181F" w:rsidP="00D11AC9">
            <w:pPr>
              <w:pStyle w:val="TableText"/>
              <w:spacing w:before="40" w:after="40"/>
              <w:jc w:val="right"/>
              <w:rPr>
                <w:szCs w:val="16"/>
              </w:rPr>
            </w:pPr>
            <w:r w:rsidRPr="001D5327">
              <w:rPr>
                <w:rFonts w:eastAsia="Calibri"/>
                <w:color w:val="000000"/>
                <w:szCs w:val="16"/>
              </w:rPr>
              <w:t>4</w:t>
            </w:r>
          </w:p>
        </w:tc>
        <w:tc>
          <w:tcPr>
            <w:tcW w:w="709" w:type="dxa"/>
            <w:shd w:val="clear" w:color="auto" w:fill="FFFFFF"/>
            <w:tcMar>
              <w:top w:w="0" w:type="dxa"/>
              <w:left w:w="85" w:type="dxa"/>
              <w:bottom w:w="0" w:type="dxa"/>
              <w:right w:w="85" w:type="dxa"/>
            </w:tcMar>
            <w:vAlign w:val="center"/>
          </w:tcPr>
          <w:p w14:paraId="70E4D855" w14:textId="77777777" w:rsidR="00E0181F" w:rsidRPr="001D5327" w:rsidRDefault="00E0181F" w:rsidP="00D11AC9">
            <w:pPr>
              <w:pStyle w:val="TableText"/>
              <w:spacing w:before="40" w:after="40"/>
              <w:jc w:val="right"/>
              <w:rPr>
                <w:szCs w:val="16"/>
              </w:rPr>
            </w:pPr>
            <w:r w:rsidRPr="001D5327">
              <w:rPr>
                <w:rFonts w:eastAsia="Calibri"/>
                <w:color w:val="000000"/>
                <w:szCs w:val="16"/>
              </w:rPr>
              <w:t>1</w:t>
            </w:r>
          </w:p>
        </w:tc>
        <w:tc>
          <w:tcPr>
            <w:tcW w:w="709" w:type="dxa"/>
            <w:shd w:val="clear" w:color="auto" w:fill="FFFFFF"/>
            <w:tcMar>
              <w:top w:w="0" w:type="dxa"/>
              <w:left w:w="85" w:type="dxa"/>
              <w:bottom w:w="0" w:type="dxa"/>
              <w:right w:w="85" w:type="dxa"/>
            </w:tcMar>
            <w:vAlign w:val="center"/>
          </w:tcPr>
          <w:p w14:paraId="164C2AE5" w14:textId="71D05952"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031649F8" w14:textId="46AEE89C"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D2DDE1"/>
            <w:tcMar>
              <w:top w:w="0" w:type="dxa"/>
              <w:left w:w="85" w:type="dxa"/>
              <w:bottom w:w="0" w:type="dxa"/>
              <w:right w:w="85" w:type="dxa"/>
            </w:tcMar>
            <w:vAlign w:val="center"/>
          </w:tcPr>
          <w:p w14:paraId="09205A1B" w14:textId="77777777" w:rsidR="00E0181F" w:rsidRPr="001D5327" w:rsidRDefault="00E0181F" w:rsidP="00D11AC9">
            <w:pPr>
              <w:pStyle w:val="TableText"/>
              <w:spacing w:before="40" w:after="40"/>
              <w:jc w:val="right"/>
              <w:rPr>
                <w:szCs w:val="16"/>
              </w:rPr>
            </w:pPr>
            <w:r w:rsidRPr="001D5327">
              <w:rPr>
                <w:rFonts w:eastAsia="Calibri"/>
                <w:color w:val="000000"/>
                <w:szCs w:val="16"/>
              </w:rPr>
              <w:t>185</w:t>
            </w:r>
          </w:p>
        </w:tc>
        <w:tc>
          <w:tcPr>
            <w:tcW w:w="709" w:type="dxa"/>
            <w:shd w:val="clear" w:color="auto" w:fill="FFFFFF"/>
            <w:tcMar>
              <w:top w:w="0" w:type="dxa"/>
              <w:left w:w="85" w:type="dxa"/>
              <w:bottom w:w="0" w:type="dxa"/>
              <w:right w:w="85" w:type="dxa"/>
            </w:tcMar>
            <w:vAlign w:val="center"/>
          </w:tcPr>
          <w:p w14:paraId="392D7B54" w14:textId="11E33D5C" w:rsidR="00E0181F" w:rsidRPr="001D5327" w:rsidRDefault="0070503C" w:rsidP="00D11AC9">
            <w:pPr>
              <w:pStyle w:val="TableText"/>
              <w:spacing w:before="40" w:after="40"/>
              <w:jc w:val="right"/>
              <w:rPr>
                <w:szCs w:val="16"/>
              </w:rPr>
            </w:pPr>
            <w:r>
              <w:rPr>
                <w:rFonts w:eastAsia="Calibri"/>
                <w:color w:val="000000"/>
                <w:szCs w:val="16"/>
              </w:rPr>
              <w:t>-</w:t>
            </w:r>
          </w:p>
        </w:tc>
        <w:tc>
          <w:tcPr>
            <w:tcW w:w="1134" w:type="dxa"/>
            <w:shd w:val="clear" w:color="auto" w:fill="FFFFFF"/>
            <w:tcMar>
              <w:top w:w="0" w:type="dxa"/>
              <w:left w:w="85" w:type="dxa"/>
              <w:bottom w:w="0" w:type="dxa"/>
              <w:right w:w="85" w:type="dxa"/>
            </w:tcMar>
            <w:vAlign w:val="center"/>
          </w:tcPr>
          <w:p w14:paraId="20E114DC" w14:textId="77777777" w:rsidR="00E0181F" w:rsidRPr="001D5327" w:rsidRDefault="00E0181F" w:rsidP="00D11AC9">
            <w:pPr>
              <w:pStyle w:val="TableText"/>
              <w:spacing w:before="40" w:after="40"/>
              <w:jc w:val="right"/>
              <w:rPr>
                <w:szCs w:val="16"/>
              </w:rPr>
            </w:pPr>
            <w:r w:rsidRPr="001D5327">
              <w:rPr>
                <w:rFonts w:eastAsia="Calibri"/>
                <w:color w:val="000000"/>
                <w:szCs w:val="16"/>
              </w:rPr>
              <w:t>208</w:t>
            </w:r>
          </w:p>
        </w:tc>
      </w:tr>
      <w:tr w:rsidR="00E0181F" w:rsidRPr="001D5327" w14:paraId="19D20F7B" w14:textId="77777777" w:rsidTr="00D11AC9">
        <w:tc>
          <w:tcPr>
            <w:tcW w:w="1134" w:type="dxa"/>
            <w:shd w:val="clear" w:color="auto" w:fill="FFFFFF"/>
            <w:tcMar>
              <w:top w:w="0" w:type="dxa"/>
              <w:left w:w="85" w:type="dxa"/>
              <w:bottom w:w="0" w:type="dxa"/>
              <w:right w:w="85" w:type="dxa"/>
            </w:tcMar>
          </w:tcPr>
          <w:p w14:paraId="2A559072" w14:textId="77777777" w:rsidR="00E0181F" w:rsidRPr="001D5327" w:rsidRDefault="00E0181F" w:rsidP="00D11AC9">
            <w:pPr>
              <w:pStyle w:val="TableText"/>
              <w:spacing w:before="40" w:after="40"/>
              <w:rPr>
                <w:szCs w:val="16"/>
              </w:rPr>
            </w:pPr>
            <w:r w:rsidRPr="001D5327">
              <w:rPr>
                <w:rFonts w:eastAsia="Calibri"/>
                <w:color w:val="000000"/>
                <w:szCs w:val="16"/>
              </w:rPr>
              <w:t>Other land</w:t>
            </w:r>
          </w:p>
        </w:tc>
        <w:tc>
          <w:tcPr>
            <w:tcW w:w="2268" w:type="dxa"/>
            <w:shd w:val="clear" w:color="auto" w:fill="FFFFFF"/>
            <w:tcMar>
              <w:top w:w="0" w:type="dxa"/>
              <w:left w:w="85" w:type="dxa"/>
              <w:bottom w:w="0" w:type="dxa"/>
              <w:right w:w="85" w:type="dxa"/>
            </w:tcMar>
            <w:vAlign w:val="center"/>
          </w:tcPr>
          <w:p w14:paraId="2F932255" w14:textId="77777777" w:rsidR="00E0181F" w:rsidRPr="001D5327" w:rsidRDefault="00E0181F" w:rsidP="00D11AC9">
            <w:pPr>
              <w:pStyle w:val="TableText"/>
              <w:spacing w:before="40" w:after="40"/>
              <w:rPr>
                <w:szCs w:val="16"/>
              </w:rPr>
            </w:pPr>
            <w:r w:rsidRPr="001D5327">
              <w:rPr>
                <w:rFonts w:eastAsia="Calibri"/>
                <w:color w:val="000000"/>
                <w:szCs w:val="16"/>
              </w:rPr>
              <w:t>Other land</w:t>
            </w:r>
          </w:p>
        </w:tc>
        <w:tc>
          <w:tcPr>
            <w:tcW w:w="709" w:type="dxa"/>
            <w:shd w:val="clear" w:color="auto" w:fill="FFFFFF"/>
            <w:tcMar>
              <w:top w:w="0" w:type="dxa"/>
              <w:left w:w="85" w:type="dxa"/>
              <w:bottom w:w="0" w:type="dxa"/>
              <w:right w:w="85" w:type="dxa"/>
            </w:tcMar>
            <w:vAlign w:val="center"/>
          </w:tcPr>
          <w:p w14:paraId="3A98E435" w14:textId="335FA91A"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16778A1E" w14:textId="759F21C5"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02FA519B" w14:textId="3EC244A4"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58195D55" w14:textId="7293AF14"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601E5E4C" w14:textId="5C4975DC"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081460FB" w14:textId="46E251FB"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10D928B8" w14:textId="284ED78D"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75FBE2C6" w14:textId="40436F6C"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5B37AE27" w14:textId="53838ED0"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0221017D" w14:textId="2A1D6BE1"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4742BA6D" w14:textId="022D3522"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FFFFFF"/>
            <w:tcMar>
              <w:top w:w="0" w:type="dxa"/>
              <w:left w:w="85" w:type="dxa"/>
              <w:bottom w:w="0" w:type="dxa"/>
              <w:right w:w="85" w:type="dxa"/>
            </w:tcMar>
            <w:vAlign w:val="center"/>
          </w:tcPr>
          <w:p w14:paraId="65F6D345" w14:textId="33C14593" w:rsidR="00E0181F" w:rsidRPr="001D5327" w:rsidRDefault="0070503C" w:rsidP="00D11AC9">
            <w:pPr>
              <w:pStyle w:val="TableText"/>
              <w:spacing w:before="40" w:after="40"/>
              <w:jc w:val="right"/>
              <w:rPr>
                <w:szCs w:val="16"/>
              </w:rPr>
            </w:pPr>
            <w:r>
              <w:rPr>
                <w:rFonts w:eastAsia="Calibri"/>
                <w:color w:val="000000"/>
                <w:szCs w:val="16"/>
              </w:rPr>
              <w:t>-</w:t>
            </w:r>
          </w:p>
        </w:tc>
        <w:tc>
          <w:tcPr>
            <w:tcW w:w="709" w:type="dxa"/>
            <w:shd w:val="clear" w:color="auto" w:fill="D2DDE1"/>
            <w:tcMar>
              <w:top w:w="0" w:type="dxa"/>
              <w:left w:w="85" w:type="dxa"/>
              <w:bottom w:w="0" w:type="dxa"/>
              <w:right w:w="85" w:type="dxa"/>
            </w:tcMar>
            <w:vAlign w:val="center"/>
          </w:tcPr>
          <w:p w14:paraId="4913EF95" w14:textId="77777777" w:rsidR="00E0181F" w:rsidRPr="001D5327" w:rsidRDefault="00E0181F" w:rsidP="00D11AC9">
            <w:pPr>
              <w:pStyle w:val="TableText"/>
              <w:spacing w:before="40" w:after="40"/>
              <w:jc w:val="right"/>
              <w:rPr>
                <w:szCs w:val="16"/>
              </w:rPr>
            </w:pPr>
            <w:r w:rsidRPr="001D5327">
              <w:rPr>
                <w:rFonts w:eastAsia="Calibri"/>
                <w:color w:val="000000"/>
                <w:szCs w:val="16"/>
              </w:rPr>
              <w:t>896</w:t>
            </w:r>
          </w:p>
        </w:tc>
        <w:tc>
          <w:tcPr>
            <w:tcW w:w="1134" w:type="dxa"/>
            <w:shd w:val="clear" w:color="auto" w:fill="FFFFFF"/>
            <w:tcMar>
              <w:top w:w="0" w:type="dxa"/>
              <w:left w:w="85" w:type="dxa"/>
              <w:bottom w:w="0" w:type="dxa"/>
              <w:right w:w="85" w:type="dxa"/>
            </w:tcMar>
            <w:vAlign w:val="center"/>
          </w:tcPr>
          <w:p w14:paraId="1CDB0817" w14:textId="77777777" w:rsidR="00E0181F" w:rsidRPr="001D5327" w:rsidRDefault="00E0181F" w:rsidP="00D11AC9">
            <w:pPr>
              <w:pStyle w:val="TableText"/>
              <w:spacing w:before="40" w:after="40"/>
              <w:jc w:val="right"/>
              <w:rPr>
                <w:szCs w:val="16"/>
              </w:rPr>
            </w:pPr>
            <w:r w:rsidRPr="001D5327">
              <w:rPr>
                <w:rFonts w:eastAsia="Calibri"/>
                <w:color w:val="000000"/>
                <w:szCs w:val="16"/>
              </w:rPr>
              <w:t>896</w:t>
            </w:r>
          </w:p>
        </w:tc>
      </w:tr>
      <w:tr w:rsidR="00E0181F" w:rsidRPr="001D5327" w14:paraId="236FD9CC" w14:textId="77777777" w:rsidTr="00D11AC9">
        <w:tc>
          <w:tcPr>
            <w:tcW w:w="3402" w:type="dxa"/>
            <w:gridSpan w:val="2"/>
            <w:shd w:val="clear" w:color="auto" w:fill="FFFFFF"/>
            <w:tcMar>
              <w:top w:w="0" w:type="dxa"/>
              <w:left w:w="85" w:type="dxa"/>
              <w:bottom w:w="0" w:type="dxa"/>
              <w:right w:w="85" w:type="dxa"/>
            </w:tcMar>
          </w:tcPr>
          <w:p w14:paraId="2AA8B335" w14:textId="77777777" w:rsidR="00E0181F" w:rsidRPr="001D5327" w:rsidRDefault="00E0181F" w:rsidP="00D11AC9">
            <w:pPr>
              <w:pStyle w:val="TableText"/>
              <w:spacing w:before="40" w:after="40"/>
              <w:rPr>
                <w:b/>
                <w:bCs/>
                <w:szCs w:val="16"/>
              </w:rPr>
            </w:pPr>
            <w:r w:rsidRPr="001D5327">
              <w:rPr>
                <w:rFonts w:eastAsia="Calibri"/>
                <w:b/>
                <w:bCs/>
                <w:color w:val="1B556B"/>
                <w:szCs w:val="16"/>
              </w:rPr>
              <w:t>Area as at 1 Jan 1962 (kha)</w:t>
            </w:r>
          </w:p>
        </w:tc>
        <w:tc>
          <w:tcPr>
            <w:tcW w:w="709" w:type="dxa"/>
            <w:shd w:val="clear" w:color="auto" w:fill="FFFFFF"/>
            <w:tcMar>
              <w:top w:w="0" w:type="dxa"/>
              <w:left w:w="85" w:type="dxa"/>
              <w:bottom w:w="0" w:type="dxa"/>
              <w:right w:w="85" w:type="dxa"/>
            </w:tcMar>
            <w:vAlign w:val="center"/>
          </w:tcPr>
          <w:p w14:paraId="24EFC3B5"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8,683</w:t>
            </w:r>
          </w:p>
        </w:tc>
        <w:tc>
          <w:tcPr>
            <w:tcW w:w="709" w:type="dxa"/>
            <w:shd w:val="clear" w:color="auto" w:fill="FFFFFF"/>
            <w:tcMar>
              <w:top w:w="0" w:type="dxa"/>
              <w:left w:w="85" w:type="dxa"/>
              <w:bottom w:w="0" w:type="dxa"/>
              <w:right w:w="85" w:type="dxa"/>
            </w:tcMar>
            <w:vAlign w:val="center"/>
          </w:tcPr>
          <w:p w14:paraId="1D33CD39"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453</w:t>
            </w:r>
          </w:p>
        </w:tc>
        <w:tc>
          <w:tcPr>
            <w:tcW w:w="709" w:type="dxa"/>
            <w:shd w:val="clear" w:color="auto" w:fill="FFFFFF"/>
            <w:tcMar>
              <w:top w:w="0" w:type="dxa"/>
              <w:left w:w="85" w:type="dxa"/>
              <w:bottom w:w="0" w:type="dxa"/>
              <w:right w:w="85" w:type="dxa"/>
            </w:tcMar>
            <w:vAlign w:val="center"/>
          </w:tcPr>
          <w:p w14:paraId="6754CEB5" w14:textId="6DA7D66E" w:rsidR="00E0181F" w:rsidRPr="001D5327" w:rsidRDefault="0070503C" w:rsidP="00D11AC9">
            <w:pPr>
              <w:pStyle w:val="TableText"/>
              <w:spacing w:before="40" w:after="40"/>
              <w:jc w:val="right"/>
              <w:rPr>
                <w:b/>
                <w:bCs/>
                <w:szCs w:val="16"/>
              </w:rPr>
            </w:pPr>
            <w:r>
              <w:rPr>
                <w:rFonts w:eastAsia="Calibri"/>
                <w:b/>
                <w:bCs/>
                <w:color w:val="1B556B"/>
                <w:szCs w:val="16"/>
              </w:rPr>
              <w:t>-</w:t>
            </w:r>
          </w:p>
        </w:tc>
        <w:tc>
          <w:tcPr>
            <w:tcW w:w="709" w:type="dxa"/>
            <w:shd w:val="clear" w:color="auto" w:fill="FFFFFF"/>
            <w:tcMar>
              <w:top w:w="0" w:type="dxa"/>
              <w:left w:w="85" w:type="dxa"/>
              <w:bottom w:w="0" w:type="dxa"/>
              <w:right w:w="85" w:type="dxa"/>
            </w:tcMar>
            <w:vAlign w:val="center"/>
          </w:tcPr>
          <w:p w14:paraId="3B8AEF23" w14:textId="01498B2F" w:rsidR="00E0181F" w:rsidRPr="001D5327" w:rsidRDefault="0070503C" w:rsidP="00D11AC9">
            <w:pPr>
              <w:pStyle w:val="TableText"/>
              <w:spacing w:before="40" w:after="40"/>
              <w:jc w:val="right"/>
              <w:rPr>
                <w:b/>
                <w:bCs/>
                <w:szCs w:val="16"/>
              </w:rPr>
            </w:pPr>
            <w:r>
              <w:rPr>
                <w:rFonts w:eastAsia="Calibri"/>
                <w:b/>
                <w:bCs/>
                <w:color w:val="1B556B"/>
                <w:szCs w:val="16"/>
              </w:rPr>
              <w:t>-</w:t>
            </w:r>
          </w:p>
        </w:tc>
        <w:tc>
          <w:tcPr>
            <w:tcW w:w="709" w:type="dxa"/>
            <w:shd w:val="clear" w:color="auto" w:fill="FFFFFF"/>
            <w:tcMar>
              <w:top w:w="0" w:type="dxa"/>
              <w:left w:w="85" w:type="dxa"/>
              <w:bottom w:w="0" w:type="dxa"/>
              <w:right w:w="85" w:type="dxa"/>
            </w:tcMar>
            <w:vAlign w:val="center"/>
          </w:tcPr>
          <w:p w14:paraId="5C04F571"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355</w:t>
            </w:r>
          </w:p>
        </w:tc>
        <w:tc>
          <w:tcPr>
            <w:tcW w:w="709" w:type="dxa"/>
            <w:shd w:val="clear" w:color="auto" w:fill="FFFFFF"/>
            <w:tcMar>
              <w:top w:w="0" w:type="dxa"/>
              <w:left w:w="85" w:type="dxa"/>
              <w:bottom w:w="0" w:type="dxa"/>
              <w:right w:w="85" w:type="dxa"/>
            </w:tcMar>
            <w:vAlign w:val="center"/>
          </w:tcPr>
          <w:p w14:paraId="4548E730"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78</w:t>
            </w:r>
          </w:p>
        </w:tc>
        <w:tc>
          <w:tcPr>
            <w:tcW w:w="709" w:type="dxa"/>
            <w:shd w:val="clear" w:color="auto" w:fill="FFFFFF"/>
            <w:tcMar>
              <w:top w:w="0" w:type="dxa"/>
              <w:left w:w="85" w:type="dxa"/>
              <w:bottom w:w="0" w:type="dxa"/>
              <w:right w:w="85" w:type="dxa"/>
            </w:tcMar>
            <w:vAlign w:val="center"/>
          </w:tcPr>
          <w:p w14:paraId="18D9EEF0"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4,842</w:t>
            </w:r>
          </w:p>
        </w:tc>
        <w:tc>
          <w:tcPr>
            <w:tcW w:w="709" w:type="dxa"/>
            <w:shd w:val="clear" w:color="auto" w:fill="FFFFFF"/>
            <w:tcMar>
              <w:top w:w="0" w:type="dxa"/>
              <w:left w:w="85" w:type="dxa"/>
              <w:bottom w:w="0" w:type="dxa"/>
              <w:right w:w="85" w:type="dxa"/>
            </w:tcMar>
            <w:vAlign w:val="center"/>
          </w:tcPr>
          <w:p w14:paraId="7BB02023"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8,816</w:t>
            </w:r>
          </w:p>
        </w:tc>
        <w:tc>
          <w:tcPr>
            <w:tcW w:w="709" w:type="dxa"/>
            <w:shd w:val="clear" w:color="auto" w:fill="FFFFFF"/>
            <w:tcMar>
              <w:top w:w="0" w:type="dxa"/>
              <w:left w:w="85" w:type="dxa"/>
              <w:bottom w:w="0" w:type="dxa"/>
              <w:right w:w="85" w:type="dxa"/>
            </w:tcMar>
            <w:vAlign w:val="center"/>
          </w:tcPr>
          <w:p w14:paraId="2ECDCC56"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1,753</w:t>
            </w:r>
          </w:p>
        </w:tc>
        <w:tc>
          <w:tcPr>
            <w:tcW w:w="709" w:type="dxa"/>
            <w:shd w:val="clear" w:color="auto" w:fill="FFFFFF"/>
            <w:tcMar>
              <w:top w:w="0" w:type="dxa"/>
              <w:left w:w="85" w:type="dxa"/>
              <w:bottom w:w="0" w:type="dxa"/>
              <w:right w:w="85" w:type="dxa"/>
            </w:tcMar>
            <w:vAlign w:val="center"/>
          </w:tcPr>
          <w:p w14:paraId="2824CF31"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513</w:t>
            </w:r>
          </w:p>
        </w:tc>
        <w:tc>
          <w:tcPr>
            <w:tcW w:w="709" w:type="dxa"/>
            <w:shd w:val="clear" w:color="auto" w:fill="FFFFFF"/>
            <w:tcMar>
              <w:top w:w="0" w:type="dxa"/>
              <w:left w:w="85" w:type="dxa"/>
              <w:bottom w:w="0" w:type="dxa"/>
              <w:right w:w="85" w:type="dxa"/>
            </w:tcMar>
            <w:vAlign w:val="center"/>
          </w:tcPr>
          <w:p w14:paraId="272D5D60"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352</w:t>
            </w:r>
          </w:p>
        </w:tc>
        <w:tc>
          <w:tcPr>
            <w:tcW w:w="709" w:type="dxa"/>
            <w:shd w:val="clear" w:color="auto" w:fill="FFFFFF"/>
            <w:tcMar>
              <w:top w:w="0" w:type="dxa"/>
              <w:left w:w="85" w:type="dxa"/>
              <w:bottom w:w="0" w:type="dxa"/>
              <w:right w:w="85" w:type="dxa"/>
            </w:tcMar>
            <w:vAlign w:val="center"/>
          </w:tcPr>
          <w:p w14:paraId="1263E5CC"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185</w:t>
            </w:r>
          </w:p>
        </w:tc>
        <w:tc>
          <w:tcPr>
            <w:tcW w:w="709" w:type="dxa"/>
            <w:shd w:val="clear" w:color="auto" w:fill="FFFFFF"/>
            <w:tcMar>
              <w:top w:w="0" w:type="dxa"/>
              <w:left w:w="85" w:type="dxa"/>
              <w:bottom w:w="0" w:type="dxa"/>
              <w:right w:w="85" w:type="dxa"/>
            </w:tcMar>
            <w:vAlign w:val="center"/>
          </w:tcPr>
          <w:p w14:paraId="1D73863F"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896</w:t>
            </w:r>
          </w:p>
        </w:tc>
        <w:tc>
          <w:tcPr>
            <w:tcW w:w="1134" w:type="dxa"/>
            <w:shd w:val="clear" w:color="auto" w:fill="D2DDE1"/>
            <w:tcMar>
              <w:top w:w="0" w:type="dxa"/>
              <w:left w:w="85" w:type="dxa"/>
              <w:bottom w:w="0" w:type="dxa"/>
              <w:right w:w="85" w:type="dxa"/>
            </w:tcMar>
            <w:vAlign w:val="center"/>
          </w:tcPr>
          <w:p w14:paraId="73F1EF22"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26,925</w:t>
            </w:r>
          </w:p>
        </w:tc>
      </w:tr>
      <w:tr w:rsidR="00E0181F" w:rsidRPr="001D5327" w14:paraId="678D4ACD" w14:textId="77777777" w:rsidTr="00D11AC9">
        <w:tc>
          <w:tcPr>
            <w:tcW w:w="3402" w:type="dxa"/>
            <w:gridSpan w:val="2"/>
            <w:shd w:val="clear" w:color="auto" w:fill="FFFFFF"/>
            <w:tcMar>
              <w:top w:w="0" w:type="dxa"/>
              <w:left w:w="85" w:type="dxa"/>
              <w:bottom w:w="0" w:type="dxa"/>
              <w:right w:w="85" w:type="dxa"/>
            </w:tcMar>
          </w:tcPr>
          <w:p w14:paraId="15033710" w14:textId="77777777" w:rsidR="00E0181F" w:rsidRPr="001D5327" w:rsidRDefault="00E0181F" w:rsidP="00D11AC9">
            <w:pPr>
              <w:pStyle w:val="TableText"/>
              <w:spacing w:before="40" w:after="40"/>
              <w:rPr>
                <w:b/>
                <w:bCs/>
                <w:szCs w:val="16"/>
              </w:rPr>
            </w:pPr>
            <w:r w:rsidRPr="001D5327">
              <w:rPr>
                <w:rFonts w:eastAsia="Calibri"/>
                <w:b/>
                <w:bCs/>
                <w:color w:val="1B556B"/>
                <w:szCs w:val="16"/>
              </w:rPr>
              <w:t>Net change 1 Jan 1962–31 Dec 1989</w:t>
            </w:r>
          </w:p>
        </w:tc>
        <w:tc>
          <w:tcPr>
            <w:tcW w:w="709" w:type="dxa"/>
            <w:shd w:val="clear" w:color="auto" w:fill="FFFFFF"/>
            <w:tcMar>
              <w:top w:w="0" w:type="dxa"/>
              <w:left w:w="85" w:type="dxa"/>
              <w:bottom w:w="0" w:type="dxa"/>
              <w:right w:w="85" w:type="dxa"/>
            </w:tcMar>
            <w:vAlign w:val="center"/>
          </w:tcPr>
          <w:p w14:paraId="37640D05" w14:textId="4AAF510D" w:rsidR="00E0181F" w:rsidRPr="001D5327" w:rsidRDefault="0070503C" w:rsidP="00D11AC9">
            <w:pPr>
              <w:pStyle w:val="TableText"/>
              <w:spacing w:before="40" w:after="40"/>
              <w:jc w:val="right"/>
              <w:rPr>
                <w:b/>
                <w:bCs/>
                <w:szCs w:val="16"/>
              </w:rPr>
            </w:pPr>
            <w:r>
              <w:rPr>
                <w:rFonts w:eastAsia="Calibri"/>
                <w:b/>
                <w:bCs/>
                <w:color w:val="1B556B"/>
                <w:szCs w:val="16"/>
              </w:rPr>
              <w:t>-</w:t>
            </w:r>
            <w:r w:rsidR="00E0181F" w:rsidRPr="001D5327">
              <w:rPr>
                <w:rFonts w:eastAsia="Calibri"/>
                <w:b/>
                <w:bCs/>
                <w:color w:val="1B556B"/>
                <w:szCs w:val="16"/>
              </w:rPr>
              <w:t>870</w:t>
            </w:r>
          </w:p>
        </w:tc>
        <w:tc>
          <w:tcPr>
            <w:tcW w:w="709" w:type="dxa"/>
            <w:shd w:val="clear" w:color="auto" w:fill="FFFFFF"/>
            <w:tcMar>
              <w:top w:w="0" w:type="dxa"/>
              <w:left w:w="85" w:type="dxa"/>
              <w:bottom w:w="0" w:type="dxa"/>
              <w:right w:w="85" w:type="dxa"/>
            </w:tcMar>
            <w:vAlign w:val="center"/>
          </w:tcPr>
          <w:p w14:paraId="1454591A"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1,094</w:t>
            </w:r>
          </w:p>
        </w:tc>
        <w:tc>
          <w:tcPr>
            <w:tcW w:w="709" w:type="dxa"/>
            <w:shd w:val="clear" w:color="auto" w:fill="FFFFFF"/>
            <w:tcMar>
              <w:top w:w="0" w:type="dxa"/>
              <w:left w:w="85" w:type="dxa"/>
              <w:bottom w:w="0" w:type="dxa"/>
              <w:right w:w="85" w:type="dxa"/>
            </w:tcMar>
            <w:vAlign w:val="center"/>
          </w:tcPr>
          <w:p w14:paraId="02EAFD96" w14:textId="261DF9E1" w:rsidR="00E0181F" w:rsidRPr="001D5327" w:rsidRDefault="0070503C" w:rsidP="00D11AC9">
            <w:pPr>
              <w:pStyle w:val="TableText"/>
              <w:spacing w:before="40" w:after="40"/>
              <w:jc w:val="right"/>
              <w:rPr>
                <w:b/>
                <w:bCs/>
                <w:szCs w:val="16"/>
              </w:rPr>
            </w:pPr>
            <w:r>
              <w:rPr>
                <w:rFonts w:eastAsia="Calibri"/>
                <w:b/>
                <w:bCs/>
                <w:color w:val="1B556B"/>
                <w:szCs w:val="16"/>
              </w:rPr>
              <w:t>-</w:t>
            </w:r>
          </w:p>
        </w:tc>
        <w:tc>
          <w:tcPr>
            <w:tcW w:w="709" w:type="dxa"/>
            <w:shd w:val="clear" w:color="auto" w:fill="FFFFFF"/>
            <w:tcMar>
              <w:top w:w="0" w:type="dxa"/>
              <w:left w:w="85" w:type="dxa"/>
              <w:bottom w:w="0" w:type="dxa"/>
              <w:right w:w="85" w:type="dxa"/>
            </w:tcMar>
            <w:vAlign w:val="center"/>
          </w:tcPr>
          <w:p w14:paraId="0C0F0D61" w14:textId="37000F52" w:rsidR="00E0181F" w:rsidRPr="001D5327" w:rsidRDefault="0070503C" w:rsidP="00D11AC9">
            <w:pPr>
              <w:pStyle w:val="TableText"/>
              <w:spacing w:before="40" w:after="40"/>
              <w:jc w:val="right"/>
              <w:rPr>
                <w:b/>
                <w:bCs/>
                <w:szCs w:val="16"/>
              </w:rPr>
            </w:pPr>
            <w:r>
              <w:rPr>
                <w:rFonts w:eastAsia="Calibri"/>
                <w:b/>
                <w:bCs/>
                <w:color w:val="1B556B"/>
                <w:szCs w:val="16"/>
              </w:rPr>
              <w:t>-</w:t>
            </w:r>
          </w:p>
        </w:tc>
        <w:tc>
          <w:tcPr>
            <w:tcW w:w="709" w:type="dxa"/>
            <w:shd w:val="clear" w:color="auto" w:fill="FFFFFF"/>
            <w:tcMar>
              <w:top w:w="0" w:type="dxa"/>
              <w:left w:w="85" w:type="dxa"/>
              <w:bottom w:w="0" w:type="dxa"/>
              <w:right w:w="85" w:type="dxa"/>
            </w:tcMar>
            <w:vAlign w:val="center"/>
          </w:tcPr>
          <w:p w14:paraId="38810A53"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0</w:t>
            </w:r>
          </w:p>
        </w:tc>
        <w:tc>
          <w:tcPr>
            <w:tcW w:w="709" w:type="dxa"/>
            <w:shd w:val="clear" w:color="auto" w:fill="FFFFFF"/>
            <w:tcMar>
              <w:top w:w="0" w:type="dxa"/>
              <w:left w:w="85" w:type="dxa"/>
              <w:bottom w:w="0" w:type="dxa"/>
              <w:right w:w="85" w:type="dxa"/>
            </w:tcMar>
            <w:vAlign w:val="center"/>
          </w:tcPr>
          <w:p w14:paraId="4975D295" w14:textId="1A5AE75E" w:rsidR="00E0181F" w:rsidRPr="001D5327" w:rsidRDefault="0070503C" w:rsidP="00D11AC9">
            <w:pPr>
              <w:pStyle w:val="TableText"/>
              <w:spacing w:before="40" w:after="40"/>
              <w:jc w:val="right"/>
              <w:rPr>
                <w:b/>
                <w:bCs/>
                <w:szCs w:val="16"/>
              </w:rPr>
            </w:pPr>
            <w:r>
              <w:rPr>
                <w:rFonts w:eastAsia="Calibri"/>
                <w:b/>
                <w:bCs/>
                <w:color w:val="1B556B"/>
                <w:szCs w:val="16"/>
              </w:rPr>
              <w:t>-</w:t>
            </w:r>
            <w:r w:rsidR="00E0181F" w:rsidRPr="001D5327">
              <w:rPr>
                <w:rFonts w:eastAsia="Calibri"/>
                <w:b/>
                <w:bCs/>
                <w:color w:val="1B556B"/>
                <w:szCs w:val="16"/>
              </w:rPr>
              <w:t>9</w:t>
            </w:r>
          </w:p>
        </w:tc>
        <w:tc>
          <w:tcPr>
            <w:tcW w:w="709" w:type="dxa"/>
            <w:shd w:val="clear" w:color="auto" w:fill="FFFFFF"/>
            <w:tcMar>
              <w:top w:w="0" w:type="dxa"/>
              <w:left w:w="85" w:type="dxa"/>
              <w:bottom w:w="0" w:type="dxa"/>
              <w:right w:w="85" w:type="dxa"/>
            </w:tcMar>
            <w:vAlign w:val="center"/>
          </w:tcPr>
          <w:p w14:paraId="481C70C6"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998</w:t>
            </w:r>
          </w:p>
        </w:tc>
        <w:tc>
          <w:tcPr>
            <w:tcW w:w="709" w:type="dxa"/>
            <w:shd w:val="clear" w:color="auto" w:fill="FFFFFF"/>
            <w:tcMar>
              <w:top w:w="0" w:type="dxa"/>
              <w:left w:w="85" w:type="dxa"/>
              <w:bottom w:w="0" w:type="dxa"/>
              <w:right w:w="85" w:type="dxa"/>
            </w:tcMar>
            <w:vAlign w:val="center"/>
          </w:tcPr>
          <w:p w14:paraId="061F432F" w14:textId="188E4289" w:rsidR="00E0181F" w:rsidRPr="001D5327" w:rsidRDefault="0070503C" w:rsidP="00D11AC9">
            <w:pPr>
              <w:pStyle w:val="TableText"/>
              <w:spacing w:before="40" w:after="40"/>
              <w:jc w:val="right"/>
              <w:rPr>
                <w:b/>
                <w:bCs/>
                <w:szCs w:val="16"/>
              </w:rPr>
            </w:pPr>
            <w:r>
              <w:rPr>
                <w:rFonts w:eastAsia="Calibri"/>
                <w:b/>
                <w:bCs/>
                <w:color w:val="1B556B"/>
                <w:szCs w:val="16"/>
              </w:rPr>
              <w:t>-</w:t>
            </w:r>
            <w:r w:rsidR="00E0181F" w:rsidRPr="001D5327">
              <w:rPr>
                <w:rFonts w:eastAsia="Calibri"/>
                <w:b/>
                <w:bCs/>
                <w:color w:val="1B556B"/>
                <w:szCs w:val="16"/>
              </w:rPr>
              <w:t>911</w:t>
            </w:r>
          </w:p>
        </w:tc>
        <w:tc>
          <w:tcPr>
            <w:tcW w:w="709" w:type="dxa"/>
            <w:shd w:val="clear" w:color="auto" w:fill="FFFFFF"/>
            <w:tcMar>
              <w:top w:w="0" w:type="dxa"/>
              <w:left w:w="85" w:type="dxa"/>
              <w:bottom w:w="0" w:type="dxa"/>
              <w:right w:w="85" w:type="dxa"/>
            </w:tcMar>
            <w:vAlign w:val="center"/>
          </w:tcPr>
          <w:p w14:paraId="78612116" w14:textId="739569B1" w:rsidR="00E0181F" w:rsidRPr="001D5327" w:rsidRDefault="0070503C" w:rsidP="00D11AC9">
            <w:pPr>
              <w:pStyle w:val="TableText"/>
              <w:spacing w:before="40" w:after="40"/>
              <w:jc w:val="right"/>
              <w:rPr>
                <w:b/>
                <w:bCs/>
                <w:szCs w:val="16"/>
              </w:rPr>
            </w:pPr>
            <w:r>
              <w:rPr>
                <w:rFonts w:eastAsia="Calibri"/>
                <w:b/>
                <w:bCs/>
                <w:color w:val="1B556B"/>
                <w:szCs w:val="16"/>
              </w:rPr>
              <w:t>-</w:t>
            </w:r>
            <w:r w:rsidR="00E0181F" w:rsidRPr="001D5327">
              <w:rPr>
                <w:rFonts w:eastAsia="Calibri"/>
                <w:b/>
                <w:bCs/>
                <w:color w:val="1B556B"/>
                <w:szCs w:val="16"/>
              </w:rPr>
              <w:t>242</w:t>
            </w:r>
          </w:p>
        </w:tc>
        <w:tc>
          <w:tcPr>
            <w:tcW w:w="709" w:type="dxa"/>
            <w:shd w:val="clear" w:color="auto" w:fill="FFFFFF"/>
            <w:tcMar>
              <w:top w:w="0" w:type="dxa"/>
              <w:left w:w="85" w:type="dxa"/>
              <w:bottom w:w="0" w:type="dxa"/>
              <w:right w:w="85" w:type="dxa"/>
            </w:tcMar>
            <w:vAlign w:val="center"/>
          </w:tcPr>
          <w:p w14:paraId="413F3FFB"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14</w:t>
            </w:r>
          </w:p>
        </w:tc>
        <w:tc>
          <w:tcPr>
            <w:tcW w:w="709" w:type="dxa"/>
            <w:shd w:val="clear" w:color="auto" w:fill="FFFFFF"/>
            <w:tcMar>
              <w:top w:w="0" w:type="dxa"/>
              <w:left w:w="85" w:type="dxa"/>
              <w:bottom w:w="0" w:type="dxa"/>
              <w:right w:w="85" w:type="dxa"/>
            </w:tcMar>
            <w:vAlign w:val="center"/>
          </w:tcPr>
          <w:p w14:paraId="328644BE" w14:textId="395A2676" w:rsidR="00E0181F" w:rsidRPr="001D5327" w:rsidRDefault="0070503C" w:rsidP="00D11AC9">
            <w:pPr>
              <w:pStyle w:val="TableText"/>
              <w:spacing w:before="40" w:after="40"/>
              <w:jc w:val="right"/>
              <w:rPr>
                <w:b/>
                <w:bCs/>
                <w:szCs w:val="16"/>
              </w:rPr>
            </w:pPr>
            <w:r>
              <w:rPr>
                <w:rFonts w:eastAsia="Calibri"/>
                <w:b/>
                <w:bCs/>
                <w:color w:val="1B556B"/>
                <w:szCs w:val="16"/>
              </w:rPr>
              <w:t>-</w:t>
            </w:r>
            <w:r w:rsidR="00E0181F" w:rsidRPr="001D5327">
              <w:rPr>
                <w:rFonts w:eastAsia="Calibri"/>
                <w:b/>
                <w:bCs/>
                <w:color w:val="1B556B"/>
                <w:szCs w:val="16"/>
              </w:rPr>
              <w:t>98</w:t>
            </w:r>
          </w:p>
        </w:tc>
        <w:tc>
          <w:tcPr>
            <w:tcW w:w="709" w:type="dxa"/>
            <w:shd w:val="clear" w:color="auto" w:fill="FFFFFF"/>
            <w:tcMar>
              <w:top w:w="0" w:type="dxa"/>
              <w:left w:w="85" w:type="dxa"/>
              <w:bottom w:w="0" w:type="dxa"/>
              <w:right w:w="85" w:type="dxa"/>
            </w:tcMar>
            <w:vAlign w:val="center"/>
          </w:tcPr>
          <w:p w14:paraId="64080E94"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23</w:t>
            </w:r>
          </w:p>
        </w:tc>
        <w:tc>
          <w:tcPr>
            <w:tcW w:w="709" w:type="dxa"/>
            <w:shd w:val="clear" w:color="auto" w:fill="FFFFFF"/>
            <w:tcMar>
              <w:top w:w="0" w:type="dxa"/>
              <w:left w:w="85" w:type="dxa"/>
              <w:bottom w:w="0" w:type="dxa"/>
              <w:right w:w="85" w:type="dxa"/>
            </w:tcMar>
            <w:vAlign w:val="center"/>
          </w:tcPr>
          <w:p w14:paraId="242430A3"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0</w:t>
            </w:r>
          </w:p>
        </w:tc>
        <w:tc>
          <w:tcPr>
            <w:tcW w:w="1134" w:type="dxa"/>
            <w:shd w:val="clear" w:color="auto" w:fill="FFFFFF"/>
            <w:tcMar>
              <w:top w:w="0" w:type="dxa"/>
              <w:left w:w="85" w:type="dxa"/>
              <w:bottom w:w="0" w:type="dxa"/>
              <w:right w:w="85" w:type="dxa"/>
            </w:tcMar>
            <w:vAlign w:val="center"/>
          </w:tcPr>
          <w:p w14:paraId="1B6AB422"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0</w:t>
            </w:r>
          </w:p>
        </w:tc>
      </w:tr>
      <w:tr w:rsidR="00E0181F" w:rsidRPr="001D5327" w14:paraId="168FEBC3" w14:textId="77777777" w:rsidTr="00D11AC9">
        <w:tc>
          <w:tcPr>
            <w:tcW w:w="3402" w:type="dxa"/>
            <w:gridSpan w:val="2"/>
            <w:shd w:val="clear" w:color="auto" w:fill="FFFFFF"/>
            <w:tcMar>
              <w:top w:w="0" w:type="dxa"/>
              <w:left w:w="85" w:type="dxa"/>
              <w:bottom w:w="0" w:type="dxa"/>
              <w:right w:w="85" w:type="dxa"/>
            </w:tcMar>
          </w:tcPr>
          <w:p w14:paraId="327B7B22" w14:textId="77777777" w:rsidR="00E0181F" w:rsidRPr="001D5327" w:rsidRDefault="00E0181F" w:rsidP="00D11AC9">
            <w:pPr>
              <w:pStyle w:val="TableText"/>
              <w:spacing w:before="40" w:after="40"/>
              <w:rPr>
                <w:b/>
                <w:bCs/>
                <w:szCs w:val="16"/>
              </w:rPr>
            </w:pPr>
            <w:r w:rsidRPr="001D5327">
              <w:rPr>
                <w:rFonts w:eastAsia="Calibri"/>
                <w:b/>
                <w:bCs/>
                <w:color w:val="1B556B"/>
                <w:szCs w:val="16"/>
              </w:rPr>
              <w:t>Net change 1962–1989 (%)</w:t>
            </w:r>
          </w:p>
        </w:tc>
        <w:tc>
          <w:tcPr>
            <w:tcW w:w="709" w:type="dxa"/>
            <w:shd w:val="clear" w:color="auto" w:fill="FFFFFF"/>
            <w:tcMar>
              <w:top w:w="0" w:type="dxa"/>
              <w:left w:w="85" w:type="dxa"/>
              <w:bottom w:w="0" w:type="dxa"/>
              <w:right w:w="85" w:type="dxa"/>
            </w:tcMar>
            <w:vAlign w:val="center"/>
          </w:tcPr>
          <w:p w14:paraId="462F86F7" w14:textId="6A233381" w:rsidR="00E0181F" w:rsidRPr="001D5327" w:rsidRDefault="0070503C" w:rsidP="00D11AC9">
            <w:pPr>
              <w:pStyle w:val="TableText"/>
              <w:spacing w:before="40" w:after="40"/>
              <w:jc w:val="right"/>
              <w:rPr>
                <w:b/>
                <w:bCs/>
                <w:szCs w:val="16"/>
              </w:rPr>
            </w:pPr>
            <w:r>
              <w:rPr>
                <w:rFonts w:eastAsia="Calibri"/>
                <w:b/>
                <w:bCs/>
                <w:color w:val="1B556B"/>
                <w:szCs w:val="16"/>
              </w:rPr>
              <w:t>-</w:t>
            </w:r>
            <w:r w:rsidR="00E0181F" w:rsidRPr="001D5327">
              <w:rPr>
                <w:rFonts w:eastAsia="Calibri"/>
                <w:b/>
                <w:bCs/>
                <w:color w:val="1B556B"/>
                <w:szCs w:val="16"/>
              </w:rPr>
              <w:t>10.0</w:t>
            </w:r>
          </w:p>
        </w:tc>
        <w:tc>
          <w:tcPr>
            <w:tcW w:w="709" w:type="dxa"/>
            <w:shd w:val="clear" w:color="auto" w:fill="FFFFFF"/>
            <w:tcMar>
              <w:top w:w="0" w:type="dxa"/>
              <w:left w:w="85" w:type="dxa"/>
              <w:bottom w:w="0" w:type="dxa"/>
              <w:right w:w="85" w:type="dxa"/>
            </w:tcMar>
            <w:vAlign w:val="center"/>
          </w:tcPr>
          <w:p w14:paraId="285993BD"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241.6</w:t>
            </w:r>
          </w:p>
        </w:tc>
        <w:tc>
          <w:tcPr>
            <w:tcW w:w="709" w:type="dxa"/>
            <w:shd w:val="clear" w:color="auto" w:fill="FFFFFF"/>
            <w:tcMar>
              <w:top w:w="0" w:type="dxa"/>
              <w:left w:w="85" w:type="dxa"/>
              <w:bottom w:w="0" w:type="dxa"/>
              <w:right w:w="85" w:type="dxa"/>
            </w:tcMar>
            <w:vAlign w:val="center"/>
          </w:tcPr>
          <w:p w14:paraId="0F85839E" w14:textId="2179EC91" w:rsidR="00E0181F" w:rsidRPr="001D5327" w:rsidRDefault="0070503C" w:rsidP="00D11AC9">
            <w:pPr>
              <w:pStyle w:val="TableText"/>
              <w:spacing w:before="40" w:after="40"/>
              <w:jc w:val="right"/>
              <w:rPr>
                <w:b/>
                <w:bCs/>
                <w:szCs w:val="16"/>
              </w:rPr>
            </w:pPr>
            <w:r>
              <w:rPr>
                <w:rFonts w:eastAsia="Calibri"/>
                <w:b/>
                <w:bCs/>
                <w:color w:val="1B556B"/>
                <w:szCs w:val="16"/>
              </w:rPr>
              <w:t>-</w:t>
            </w:r>
          </w:p>
        </w:tc>
        <w:tc>
          <w:tcPr>
            <w:tcW w:w="709" w:type="dxa"/>
            <w:shd w:val="clear" w:color="auto" w:fill="FFFFFF"/>
            <w:tcMar>
              <w:top w:w="0" w:type="dxa"/>
              <w:left w:w="85" w:type="dxa"/>
              <w:bottom w:w="0" w:type="dxa"/>
              <w:right w:w="85" w:type="dxa"/>
            </w:tcMar>
            <w:vAlign w:val="center"/>
          </w:tcPr>
          <w:p w14:paraId="10170298" w14:textId="74463BAC" w:rsidR="00E0181F" w:rsidRPr="001D5327" w:rsidRDefault="0070503C" w:rsidP="00D11AC9">
            <w:pPr>
              <w:pStyle w:val="TableText"/>
              <w:spacing w:before="40" w:after="40"/>
              <w:jc w:val="right"/>
              <w:rPr>
                <w:b/>
                <w:bCs/>
                <w:szCs w:val="16"/>
              </w:rPr>
            </w:pPr>
            <w:r>
              <w:rPr>
                <w:rFonts w:eastAsia="Calibri"/>
                <w:b/>
                <w:bCs/>
                <w:color w:val="1B556B"/>
                <w:szCs w:val="16"/>
              </w:rPr>
              <w:t>-</w:t>
            </w:r>
          </w:p>
        </w:tc>
        <w:tc>
          <w:tcPr>
            <w:tcW w:w="709" w:type="dxa"/>
            <w:shd w:val="clear" w:color="auto" w:fill="FFFFFF"/>
            <w:tcMar>
              <w:top w:w="0" w:type="dxa"/>
              <w:left w:w="85" w:type="dxa"/>
              <w:bottom w:w="0" w:type="dxa"/>
              <w:right w:w="85" w:type="dxa"/>
            </w:tcMar>
            <w:vAlign w:val="center"/>
          </w:tcPr>
          <w:p w14:paraId="5DCB2B8D"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0.0</w:t>
            </w:r>
          </w:p>
        </w:tc>
        <w:tc>
          <w:tcPr>
            <w:tcW w:w="709" w:type="dxa"/>
            <w:shd w:val="clear" w:color="auto" w:fill="FFFFFF"/>
            <w:tcMar>
              <w:top w:w="0" w:type="dxa"/>
              <w:left w:w="85" w:type="dxa"/>
              <w:bottom w:w="0" w:type="dxa"/>
              <w:right w:w="85" w:type="dxa"/>
            </w:tcMar>
            <w:vAlign w:val="center"/>
          </w:tcPr>
          <w:p w14:paraId="5652B21D" w14:textId="60CDAFDB" w:rsidR="00E0181F" w:rsidRPr="001D5327" w:rsidRDefault="0070503C" w:rsidP="00D11AC9">
            <w:pPr>
              <w:pStyle w:val="TableText"/>
              <w:spacing w:before="40" w:after="40"/>
              <w:jc w:val="right"/>
              <w:rPr>
                <w:b/>
                <w:bCs/>
                <w:szCs w:val="16"/>
              </w:rPr>
            </w:pPr>
            <w:r>
              <w:rPr>
                <w:rFonts w:eastAsia="Calibri"/>
                <w:b/>
                <w:bCs/>
                <w:color w:val="1B556B"/>
                <w:szCs w:val="16"/>
              </w:rPr>
              <w:t>-</w:t>
            </w:r>
            <w:r w:rsidR="00E0181F" w:rsidRPr="001D5327">
              <w:rPr>
                <w:rFonts w:eastAsia="Calibri"/>
                <w:b/>
                <w:bCs/>
                <w:color w:val="1B556B"/>
                <w:szCs w:val="16"/>
              </w:rPr>
              <w:t>11.8</w:t>
            </w:r>
          </w:p>
        </w:tc>
        <w:tc>
          <w:tcPr>
            <w:tcW w:w="709" w:type="dxa"/>
            <w:shd w:val="clear" w:color="auto" w:fill="FFFFFF"/>
            <w:tcMar>
              <w:top w:w="0" w:type="dxa"/>
              <w:left w:w="85" w:type="dxa"/>
              <w:bottom w:w="0" w:type="dxa"/>
              <w:right w:w="85" w:type="dxa"/>
            </w:tcMar>
            <w:vAlign w:val="center"/>
          </w:tcPr>
          <w:p w14:paraId="3D87DFF9"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20.6</w:t>
            </w:r>
          </w:p>
        </w:tc>
        <w:tc>
          <w:tcPr>
            <w:tcW w:w="709" w:type="dxa"/>
            <w:shd w:val="clear" w:color="auto" w:fill="FFFFFF"/>
            <w:tcMar>
              <w:top w:w="0" w:type="dxa"/>
              <w:left w:w="85" w:type="dxa"/>
              <w:bottom w:w="0" w:type="dxa"/>
              <w:right w:w="85" w:type="dxa"/>
            </w:tcMar>
            <w:vAlign w:val="center"/>
          </w:tcPr>
          <w:p w14:paraId="20A81A57" w14:textId="31C61E33" w:rsidR="00E0181F" w:rsidRPr="001D5327" w:rsidRDefault="0070503C" w:rsidP="00D11AC9">
            <w:pPr>
              <w:pStyle w:val="TableText"/>
              <w:spacing w:before="40" w:after="40"/>
              <w:jc w:val="right"/>
              <w:rPr>
                <w:b/>
                <w:bCs/>
                <w:szCs w:val="16"/>
              </w:rPr>
            </w:pPr>
            <w:r>
              <w:rPr>
                <w:rFonts w:eastAsia="Calibri"/>
                <w:b/>
                <w:bCs/>
                <w:color w:val="1B556B"/>
                <w:szCs w:val="16"/>
              </w:rPr>
              <w:t>-</w:t>
            </w:r>
            <w:r w:rsidR="00E0181F" w:rsidRPr="001D5327">
              <w:rPr>
                <w:rFonts w:eastAsia="Calibri"/>
                <w:b/>
                <w:bCs/>
                <w:color w:val="1B556B"/>
                <w:szCs w:val="16"/>
              </w:rPr>
              <w:t>10.3</w:t>
            </w:r>
          </w:p>
        </w:tc>
        <w:tc>
          <w:tcPr>
            <w:tcW w:w="709" w:type="dxa"/>
            <w:shd w:val="clear" w:color="auto" w:fill="FFFFFF"/>
            <w:tcMar>
              <w:top w:w="0" w:type="dxa"/>
              <w:left w:w="85" w:type="dxa"/>
              <w:bottom w:w="0" w:type="dxa"/>
              <w:right w:w="85" w:type="dxa"/>
            </w:tcMar>
            <w:vAlign w:val="center"/>
          </w:tcPr>
          <w:p w14:paraId="6C074F00" w14:textId="32F7C9BB" w:rsidR="00E0181F" w:rsidRPr="001D5327" w:rsidRDefault="0070503C" w:rsidP="00D11AC9">
            <w:pPr>
              <w:pStyle w:val="TableText"/>
              <w:spacing w:before="40" w:after="40"/>
              <w:jc w:val="right"/>
              <w:rPr>
                <w:b/>
                <w:bCs/>
                <w:szCs w:val="16"/>
              </w:rPr>
            </w:pPr>
            <w:r>
              <w:rPr>
                <w:rFonts w:eastAsia="Calibri"/>
                <w:b/>
                <w:bCs/>
                <w:color w:val="1B556B"/>
                <w:szCs w:val="16"/>
              </w:rPr>
              <w:t>-</w:t>
            </w:r>
            <w:r w:rsidR="00E0181F" w:rsidRPr="001D5327">
              <w:rPr>
                <w:rFonts w:eastAsia="Calibri"/>
                <w:b/>
                <w:bCs/>
                <w:color w:val="1B556B"/>
                <w:szCs w:val="16"/>
              </w:rPr>
              <w:t>13.8</w:t>
            </w:r>
          </w:p>
        </w:tc>
        <w:tc>
          <w:tcPr>
            <w:tcW w:w="709" w:type="dxa"/>
            <w:shd w:val="clear" w:color="auto" w:fill="FFFFFF"/>
            <w:tcMar>
              <w:top w:w="0" w:type="dxa"/>
              <w:left w:w="85" w:type="dxa"/>
              <w:bottom w:w="0" w:type="dxa"/>
              <w:right w:w="85" w:type="dxa"/>
            </w:tcMar>
            <w:vAlign w:val="center"/>
          </w:tcPr>
          <w:p w14:paraId="6F6E9335"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2.8</w:t>
            </w:r>
          </w:p>
        </w:tc>
        <w:tc>
          <w:tcPr>
            <w:tcW w:w="709" w:type="dxa"/>
            <w:shd w:val="clear" w:color="auto" w:fill="FFFFFF"/>
            <w:tcMar>
              <w:top w:w="0" w:type="dxa"/>
              <w:left w:w="85" w:type="dxa"/>
              <w:bottom w:w="0" w:type="dxa"/>
              <w:right w:w="85" w:type="dxa"/>
            </w:tcMar>
            <w:vAlign w:val="center"/>
          </w:tcPr>
          <w:p w14:paraId="00123ACA" w14:textId="75C46973" w:rsidR="00E0181F" w:rsidRPr="001D5327" w:rsidRDefault="0070503C" w:rsidP="00D11AC9">
            <w:pPr>
              <w:pStyle w:val="TableText"/>
              <w:spacing w:before="40" w:after="40"/>
              <w:jc w:val="right"/>
              <w:rPr>
                <w:b/>
                <w:bCs/>
                <w:szCs w:val="16"/>
              </w:rPr>
            </w:pPr>
            <w:r>
              <w:rPr>
                <w:rFonts w:eastAsia="Calibri"/>
                <w:b/>
                <w:bCs/>
                <w:color w:val="1B556B"/>
                <w:szCs w:val="16"/>
              </w:rPr>
              <w:t>-</w:t>
            </w:r>
            <w:r w:rsidR="00E0181F" w:rsidRPr="001D5327">
              <w:rPr>
                <w:rFonts w:eastAsia="Calibri"/>
                <w:b/>
                <w:bCs/>
                <w:color w:val="1B556B"/>
                <w:szCs w:val="16"/>
              </w:rPr>
              <w:t>27.9</w:t>
            </w:r>
          </w:p>
        </w:tc>
        <w:tc>
          <w:tcPr>
            <w:tcW w:w="709" w:type="dxa"/>
            <w:shd w:val="clear" w:color="auto" w:fill="FFFFFF"/>
            <w:tcMar>
              <w:top w:w="0" w:type="dxa"/>
              <w:left w:w="85" w:type="dxa"/>
              <w:bottom w:w="0" w:type="dxa"/>
              <w:right w:w="85" w:type="dxa"/>
            </w:tcMar>
            <w:vAlign w:val="center"/>
          </w:tcPr>
          <w:p w14:paraId="56660576"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12.6</w:t>
            </w:r>
          </w:p>
        </w:tc>
        <w:tc>
          <w:tcPr>
            <w:tcW w:w="709" w:type="dxa"/>
            <w:shd w:val="clear" w:color="auto" w:fill="FFFFFF"/>
            <w:tcMar>
              <w:top w:w="0" w:type="dxa"/>
              <w:left w:w="85" w:type="dxa"/>
              <w:bottom w:w="0" w:type="dxa"/>
              <w:right w:w="85" w:type="dxa"/>
            </w:tcMar>
            <w:vAlign w:val="center"/>
          </w:tcPr>
          <w:p w14:paraId="22EC74E9"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0.0</w:t>
            </w:r>
          </w:p>
        </w:tc>
        <w:tc>
          <w:tcPr>
            <w:tcW w:w="1134" w:type="dxa"/>
            <w:shd w:val="clear" w:color="auto" w:fill="FFFFFF"/>
            <w:tcMar>
              <w:top w:w="0" w:type="dxa"/>
              <w:left w:w="85" w:type="dxa"/>
              <w:bottom w:w="0" w:type="dxa"/>
              <w:right w:w="85" w:type="dxa"/>
            </w:tcMar>
            <w:vAlign w:val="center"/>
          </w:tcPr>
          <w:p w14:paraId="644DC51E" w14:textId="77777777" w:rsidR="00E0181F" w:rsidRPr="001D5327" w:rsidRDefault="00E0181F" w:rsidP="00D11AC9">
            <w:pPr>
              <w:pStyle w:val="TableText"/>
              <w:spacing w:before="40" w:after="40"/>
              <w:jc w:val="right"/>
              <w:rPr>
                <w:b/>
                <w:bCs/>
                <w:szCs w:val="16"/>
              </w:rPr>
            </w:pPr>
            <w:r w:rsidRPr="001D5327">
              <w:rPr>
                <w:rFonts w:eastAsia="Calibri"/>
                <w:b/>
                <w:bCs/>
                <w:color w:val="1B556B"/>
                <w:szCs w:val="16"/>
              </w:rPr>
              <w:t>0.0</w:t>
            </w:r>
          </w:p>
        </w:tc>
      </w:tr>
    </w:tbl>
    <w:p w14:paraId="2A5465D8" w14:textId="77777777" w:rsidR="00E0181F" w:rsidRPr="001D5327" w:rsidRDefault="00E0181F" w:rsidP="00E0181F">
      <w:pPr>
        <w:pStyle w:val="BodyText"/>
      </w:pPr>
    </w:p>
    <w:p w14:paraId="02D3C652" w14:textId="77777777" w:rsidR="00E0181F" w:rsidRPr="001D5327" w:rsidRDefault="00E0181F" w:rsidP="00E0181F">
      <w:pPr>
        <w:pStyle w:val="BodyText"/>
        <w:sectPr w:rsidR="00E0181F" w:rsidRPr="001D5327" w:rsidSect="00E0181F">
          <w:footerReference w:type="default" r:id="rId199"/>
          <w:pgSz w:w="16838" w:h="11906" w:orient="landscape" w:code="9"/>
          <w:pgMar w:top="1701" w:right="1418" w:bottom="1701" w:left="1418" w:header="567" w:footer="567" w:gutter="0"/>
          <w:cols w:space="708"/>
          <w:docGrid w:linePitch="360"/>
        </w:sectPr>
      </w:pPr>
    </w:p>
    <w:p w14:paraId="116BE9C5" w14:textId="77777777" w:rsidR="00E0181F" w:rsidRPr="001D5327" w:rsidRDefault="00E0181F" w:rsidP="00E0181F">
      <w:pPr>
        <w:pStyle w:val="Heading2"/>
        <w:spacing w:before="0"/>
      </w:pPr>
      <w:bookmarkStart w:id="1732" w:name="_Toc158980296"/>
      <w:bookmarkStart w:id="1733" w:name="_Toc164154204"/>
      <w:bookmarkStart w:id="1734" w:name="_Toc194312029"/>
      <w:r w:rsidRPr="001D5327">
        <w:lastRenderedPageBreak/>
        <w:t>6.3</w:t>
      </w:r>
      <w:r w:rsidRPr="001D5327">
        <w:tab/>
        <w:t>Country-specific approaches</w:t>
      </w:r>
      <w:bookmarkEnd w:id="1732"/>
      <w:bookmarkEnd w:id="1733"/>
      <w:bookmarkEnd w:id="1734"/>
    </w:p>
    <w:p w14:paraId="73F3E3F6" w14:textId="77777777" w:rsidR="00E0181F" w:rsidRPr="001D5327" w:rsidRDefault="00E0181F" w:rsidP="00E0181F">
      <w:pPr>
        <w:pStyle w:val="Heading3"/>
        <w:spacing w:before="240"/>
      </w:pPr>
      <w:r w:rsidRPr="001D5327">
        <w:t>6.3.1</w:t>
      </w:r>
      <w:r w:rsidRPr="001D5327">
        <w:tab/>
        <w:t>Information on approaches used for representing land areas and on land use databases used for the inventory preparation</w:t>
      </w:r>
    </w:p>
    <w:p w14:paraId="6E7D4A74" w14:textId="77777777" w:rsidR="00E0181F" w:rsidRPr="001D5327" w:rsidRDefault="00E0181F" w:rsidP="00E0181F">
      <w:pPr>
        <w:pStyle w:val="Heading4"/>
      </w:pPr>
      <w:r w:rsidRPr="001D5327">
        <w:t>General approach</w:t>
      </w:r>
    </w:p>
    <w:p w14:paraId="579E282B" w14:textId="77777777" w:rsidR="00E0181F" w:rsidRPr="001D5327" w:rsidRDefault="00E0181F" w:rsidP="00024AA7">
      <w:pPr>
        <w:pStyle w:val="BodyText"/>
      </w:pPr>
      <w:r w:rsidRPr="001D5327">
        <w:t>Areas of land use and land-use change between 1990 and 2023 are based on five wall-to-wall land use maps derived from satellite imagery at nominal mapping dates of 31 December 1989, 31 December 2007, 31 December 2012, 31 December 2016 and 31 December 2020 (see figure 6.3.1). Information on the methods used to compile these land use maps can be found in annex 5, section A5</w:t>
      </w:r>
      <w:r w:rsidRPr="001D5327">
        <w:rPr>
          <w:spacing w:val="-2"/>
        </w:rPr>
        <w:t>.2.1.</w:t>
      </w:r>
    </w:p>
    <w:p w14:paraId="6977E657" w14:textId="1511DCF9" w:rsidR="00E0181F" w:rsidRPr="001D5327" w:rsidRDefault="00E0181F" w:rsidP="00E0181F">
      <w:pPr>
        <w:pStyle w:val="BodyText"/>
      </w:pPr>
      <w:r w:rsidRPr="001D5327">
        <w:t>These maps are managed in a single spatial database to ensure consistency in the tracking of</w:t>
      </w:r>
      <w:r w:rsidR="007215F9" w:rsidRPr="001D5327">
        <w:t> </w:t>
      </w:r>
      <w:r w:rsidRPr="001D5327">
        <w:t>land-use change and to ensure any corrections to land use classifications are replicated through the entire time series. Information on the spatial data management system can be found in annex 5, section A5.2.9.</w:t>
      </w:r>
    </w:p>
    <w:p w14:paraId="37CC86F3" w14:textId="77777777" w:rsidR="00E0181F" w:rsidRPr="001D5327" w:rsidRDefault="00E0181F" w:rsidP="00E0181F">
      <w:pPr>
        <w:pStyle w:val="BodyText"/>
      </w:pPr>
      <w:r w:rsidRPr="001D5327">
        <w:t xml:space="preserve">Area information from these maps is interpolated and extrapolated to obtain a complete time series of land-use change occurring between 1990 and 2023 (see annex 5, section A5.2.2). </w:t>
      </w:r>
      <w:r w:rsidRPr="001D5327">
        <w:rPr>
          <w:spacing w:val="-2"/>
        </w:rPr>
        <w:t>Ancillary data – including aerial photography, additional satellite imagery, data from the NZ ETS</w:t>
      </w:r>
      <w:r w:rsidRPr="001D5327">
        <w:t xml:space="preserve"> and other national survey data – are used to support data interpolation and map production. </w:t>
      </w:r>
      <w:r w:rsidRPr="001D5327">
        <w:rPr>
          <w:spacing w:val="-2"/>
        </w:rPr>
        <w:t>Further information on the mapping methodology and imagery used, as well as the interpolation</w:t>
      </w:r>
      <w:r w:rsidRPr="001D5327">
        <w:t xml:space="preserve"> and extrapolation process to obtain a complete time series of land-use change occurring between 1990 and 2023 can be found in annex 5, section A5.2.2. </w:t>
      </w:r>
    </w:p>
    <w:p w14:paraId="3C61EEF8" w14:textId="77777777" w:rsidR="00E0181F" w:rsidRPr="001D5327" w:rsidRDefault="00E0181F" w:rsidP="00E0181F">
      <w:pPr>
        <w:pStyle w:val="Figure"/>
      </w:pPr>
      <w:bookmarkStart w:id="1735" w:name="_Toc158979909"/>
      <w:bookmarkStart w:id="1736" w:name="_Toc164154037"/>
      <w:bookmarkStart w:id="1737" w:name="_Toc190873406"/>
      <w:bookmarkStart w:id="1738" w:name="_Toc194674870"/>
      <w:r w:rsidRPr="001D5327">
        <w:lastRenderedPageBreak/>
        <w:t>Figure 6.3.1</w:t>
      </w:r>
      <w:r w:rsidRPr="001D5327">
        <w:tab/>
        <w:t>Land use map of New Zealand as at 31 December 2020</w:t>
      </w:r>
      <w:bookmarkEnd w:id="1735"/>
      <w:bookmarkEnd w:id="1736"/>
      <w:bookmarkEnd w:id="1737"/>
      <w:bookmarkEnd w:id="1738"/>
    </w:p>
    <w:p w14:paraId="14198001" w14:textId="77777777" w:rsidR="00E0181F" w:rsidRPr="001D5327" w:rsidRDefault="00E0181F" w:rsidP="00E0181F">
      <w:pPr>
        <w:spacing w:before="120" w:after="120"/>
      </w:pPr>
      <w:r w:rsidRPr="001D5327">
        <w:rPr>
          <w:noProof/>
        </w:rPr>
        <w:drawing>
          <wp:inline distT="0" distB="0" distL="0" distR="0" wp14:anchorId="4742B707" wp14:editId="3CC902AE">
            <wp:extent cx="5111340" cy="6048000"/>
            <wp:effectExtent l="0" t="0" r="0" b="0"/>
            <wp:docPr id="1745218009" name="Picture 1745218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18009" name="Picture 1745218009"/>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a:stretch/>
                  </pic:blipFill>
                  <pic:spPr bwMode="auto">
                    <a:xfrm>
                      <a:off x="0" y="0"/>
                      <a:ext cx="5111340" cy="6048000"/>
                    </a:xfrm>
                    <a:prstGeom prst="rect">
                      <a:avLst/>
                    </a:prstGeom>
                    <a:noFill/>
                    <a:ln>
                      <a:noFill/>
                    </a:ln>
                    <a:extLst>
                      <a:ext uri="{53640926-AAD7-44D8-BBD7-CCE9431645EC}">
                        <a14:shadowObscured xmlns:a14="http://schemas.microsoft.com/office/drawing/2010/main"/>
                      </a:ext>
                    </a:extLst>
                  </pic:spPr>
                </pic:pic>
              </a:graphicData>
            </a:graphic>
          </wp:inline>
        </w:drawing>
      </w:r>
    </w:p>
    <w:p w14:paraId="31506D06" w14:textId="77777777" w:rsidR="00E0181F" w:rsidRPr="001D5327" w:rsidRDefault="00E0181F" w:rsidP="00E0181F">
      <w:pPr>
        <w:pStyle w:val="Noteundertable"/>
        <w:spacing w:after="0"/>
      </w:pPr>
      <w:r w:rsidRPr="001D5327">
        <w:rPr>
          <w:b/>
        </w:rPr>
        <w:t>Note:</w:t>
      </w:r>
      <w:r w:rsidRPr="001D5327">
        <w:tab/>
        <w:t>The inset map is of the Chatham Islands, which lie approximately 660 kilometres south-east of the south</w:t>
      </w:r>
      <w:r w:rsidRPr="001D5327">
        <w:noBreakHyphen/>
        <w:t xml:space="preserve">eastern corner of the North Island. </w:t>
      </w:r>
    </w:p>
    <w:p w14:paraId="75733DAB" w14:textId="77777777" w:rsidR="00E0181F" w:rsidRPr="001D5327" w:rsidRDefault="00E0181F" w:rsidP="00E0181F">
      <w:pPr>
        <w:pStyle w:val="Heading4"/>
      </w:pPr>
      <w:r w:rsidRPr="001D5327">
        <w:t>Updates for this submission</w:t>
      </w:r>
    </w:p>
    <w:p w14:paraId="6111B5B1" w14:textId="45C9C64F" w:rsidR="00E0181F" w:rsidRPr="001D5327" w:rsidRDefault="00E0181F" w:rsidP="00E0181F">
      <w:pPr>
        <w:pStyle w:val="BodyText"/>
        <w:spacing w:before="100" w:after="100"/>
      </w:pPr>
      <w:r w:rsidRPr="001D5327">
        <w:t>For this submission, minor improvements to the 2020 land use map have been made. Improvements have also been made to the 1989, 2007, 2012 and 2016 land use maps. This</w:t>
      </w:r>
      <w:r w:rsidR="007215F9" w:rsidRPr="001D5327">
        <w:t> </w:t>
      </w:r>
      <w:r w:rsidRPr="001D5327">
        <w:t>year, improvements have focused on:</w:t>
      </w:r>
    </w:p>
    <w:p w14:paraId="7F7428C7" w14:textId="77777777" w:rsidR="00E0181F" w:rsidRPr="001D5327" w:rsidRDefault="00E0181F" w:rsidP="00E0181F">
      <w:pPr>
        <w:pStyle w:val="Bullet"/>
        <w:spacing w:after="100"/>
      </w:pPr>
      <w:r w:rsidRPr="001D5327">
        <w:t xml:space="preserve">review of land mapped as </w:t>
      </w:r>
      <w:r w:rsidRPr="001D5327">
        <w:rPr>
          <w:i/>
          <w:iCs/>
        </w:rPr>
        <w:t>Other land</w:t>
      </w:r>
      <w:r w:rsidRPr="001D5327">
        <w:t xml:space="preserve"> and post-1989 forests on organic soils</w:t>
      </w:r>
    </w:p>
    <w:p w14:paraId="264D6690" w14:textId="77777777" w:rsidR="00E0181F" w:rsidRPr="001D5327" w:rsidRDefault="00E0181F" w:rsidP="00407428">
      <w:pPr>
        <w:pStyle w:val="Bullet"/>
        <w:numPr>
          <w:ilvl w:val="0"/>
          <w:numId w:val="23"/>
        </w:numPr>
        <w:spacing w:after="100"/>
        <w:ind w:left="397" w:hanging="397"/>
      </w:pPr>
      <w:r w:rsidRPr="001D5327">
        <w:t xml:space="preserve">review of unlikely land use changes such as </w:t>
      </w:r>
      <w:r w:rsidRPr="001D5327">
        <w:rPr>
          <w:i/>
          <w:iCs/>
        </w:rPr>
        <w:t>Settlements</w:t>
      </w:r>
      <w:r w:rsidRPr="001D5327">
        <w:t xml:space="preserve"> to post-1989 forest classes</w:t>
      </w:r>
    </w:p>
    <w:p w14:paraId="026456FE" w14:textId="77777777" w:rsidR="00E0181F" w:rsidRPr="001D5327" w:rsidRDefault="00E0181F" w:rsidP="00E0181F">
      <w:pPr>
        <w:pStyle w:val="Bullet"/>
        <w:spacing w:after="100"/>
      </w:pPr>
      <w:r w:rsidRPr="001D5327">
        <w:t>updates to deforestation mapping based on a review of post-1989 forest areas withdrawn from Ministry for Primary Industries (MPI) forestry schemes.</w:t>
      </w:r>
    </w:p>
    <w:p w14:paraId="5E69F5FC" w14:textId="77777777" w:rsidR="00E0181F" w:rsidRPr="001D5327" w:rsidRDefault="00E0181F" w:rsidP="00E0181F">
      <w:pPr>
        <w:pStyle w:val="Heading4"/>
      </w:pPr>
      <w:r w:rsidRPr="001D5327">
        <w:lastRenderedPageBreak/>
        <w:t>Quality assurance/quality control (QA/QC) and verification</w:t>
      </w:r>
    </w:p>
    <w:p w14:paraId="220EA8BB" w14:textId="77777777" w:rsidR="00E0181F" w:rsidRPr="001D5327" w:rsidRDefault="00E0181F" w:rsidP="00E0181F">
      <w:pPr>
        <w:pStyle w:val="BodyText"/>
      </w:pPr>
      <w:r w:rsidRPr="001D5327">
        <w:t>Quality-control and quality-assurance procedures have been adopted for all data collection and data analyses, consistent with the 2006 IPCC Guidelines</w:t>
      </w:r>
      <w:r w:rsidRPr="001D5327" w:rsidDel="00663F9D">
        <w:t xml:space="preserve"> </w:t>
      </w:r>
      <w:r w:rsidRPr="001D5327">
        <w:t xml:space="preserve">(IPCC, 2006a) and New Zealand’s inventory quality-control and quality-assurance plan. Data quality and data assurance plans are established for each type of data used to determine carbon stock and stock changes, as well as for the mapping of the areal extent and spatial location of land-use changes. Further information on QA/QC procedures specific to mapping can be found in annex 5, section A5.2.1. </w:t>
      </w:r>
    </w:p>
    <w:p w14:paraId="276BD2CB" w14:textId="77777777" w:rsidR="00E0181F" w:rsidRPr="001D5327" w:rsidRDefault="00E0181F" w:rsidP="00E0181F">
      <w:pPr>
        <w:pStyle w:val="Heading4"/>
      </w:pPr>
      <w:r w:rsidRPr="001D5327">
        <w:t>Planned improvements</w:t>
      </w:r>
    </w:p>
    <w:p w14:paraId="6E828CCF" w14:textId="77777777" w:rsidR="00E0181F" w:rsidRPr="001D5327" w:rsidRDefault="00E0181F" w:rsidP="00E0181F">
      <w:pPr>
        <w:pStyle w:val="BodyText"/>
      </w:pPr>
      <w:r w:rsidRPr="001D5327">
        <w:t>By October 2025, the following improvements will be made to land use activity data:</w:t>
      </w:r>
    </w:p>
    <w:p w14:paraId="2160E3F4" w14:textId="77777777" w:rsidR="00E0181F" w:rsidRPr="001D5327" w:rsidRDefault="00E0181F" w:rsidP="00407428">
      <w:pPr>
        <w:pStyle w:val="Bullet"/>
        <w:numPr>
          <w:ilvl w:val="0"/>
          <w:numId w:val="23"/>
        </w:numPr>
        <w:ind w:left="397" w:hanging="397"/>
      </w:pPr>
      <w:r w:rsidRPr="001D5327">
        <w:t>confirmation of mapped areas of deforestation for areas cleared during 2021 and 2022</w:t>
      </w:r>
    </w:p>
    <w:p w14:paraId="1D15B9C5" w14:textId="77777777" w:rsidR="00E0181F" w:rsidRPr="001D5327" w:rsidRDefault="00E0181F" w:rsidP="00407428">
      <w:pPr>
        <w:pStyle w:val="Bullet"/>
        <w:numPr>
          <w:ilvl w:val="0"/>
          <w:numId w:val="23"/>
        </w:numPr>
        <w:ind w:left="397" w:hanging="397"/>
      </w:pPr>
      <w:r w:rsidRPr="001D5327">
        <w:t>updates to the 2020 land use map based on forestry mapping entered into the NZ ETS.</w:t>
      </w:r>
    </w:p>
    <w:p w14:paraId="658481E5" w14:textId="77777777" w:rsidR="00E0181F" w:rsidRPr="001D5327" w:rsidDel="00B261BF" w:rsidRDefault="00E0181F" w:rsidP="00E0181F">
      <w:pPr>
        <w:pStyle w:val="BodyText"/>
      </w:pPr>
      <w:r w:rsidRPr="001D5327">
        <w:t>Following these improvements, the plan is to complete an accuracy assessment of the map series with a focus on the accuracy of land-use change mapping.</w:t>
      </w:r>
    </w:p>
    <w:p w14:paraId="27782B66" w14:textId="77777777" w:rsidR="00E0181F" w:rsidRPr="001D5327" w:rsidRDefault="00E0181F" w:rsidP="00E0181F">
      <w:pPr>
        <w:pStyle w:val="Heading3"/>
        <w:spacing w:before="240"/>
      </w:pPr>
      <w:r w:rsidRPr="001D5327">
        <w:t>6.3.2</w:t>
      </w:r>
      <w:r w:rsidRPr="001D5327">
        <w:tab/>
        <w:t>Information on approaches used for reporting harvested wood products</w:t>
      </w:r>
    </w:p>
    <w:p w14:paraId="4825AF89" w14:textId="77777777" w:rsidR="00E0181F" w:rsidRPr="001D5327" w:rsidRDefault="00E0181F" w:rsidP="00E0181F">
      <w:pPr>
        <w:pStyle w:val="BodyText"/>
      </w:pPr>
      <w:r w:rsidRPr="001D5327">
        <w:t xml:space="preserve">New Zealand applies the production approach to report on the </w:t>
      </w:r>
      <w:r w:rsidRPr="001D5327">
        <w:rPr>
          <w:i/>
          <w:iCs/>
        </w:rPr>
        <w:t xml:space="preserve">Harvested </w:t>
      </w:r>
      <w:r w:rsidRPr="001D5327">
        <w:rPr>
          <w:i/>
        </w:rPr>
        <w:t xml:space="preserve">wood products </w:t>
      </w:r>
      <w:r w:rsidRPr="001D5327">
        <w:rPr>
          <w:iCs/>
        </w:rPr>
        <w:t>category</w:t>
      </w:r>
      <w:r w:rsidRPr="001D5327">
        <w:t>. To do this, New Zealand has adapted the default Harvested wood products model and uses a Tier 2 method (section 12.2.1.2, IPCC, 2006a), which involves using country-specific activity data and parameters (Wakelin et al., 2020; Wekesa, 2022).</w:t>
      </w:r>
    </w:p>
    <w:p w14:paraId="68CBFF8C" w14:textId="77777777" w:rsidR="00E0181F" w:rsidRPr="001D5327" w:rsidRDefault="00E0181F" w:rsidP="00E0181F">
      <w:pPr>
        <w:pStyle w:val="BodyText"/>
      </w:pPr>
      <w:r w:rsidRPr="001D5327">
        <w:t xml:space="preserve">Further information is provided in section 6.10. </w:t>
      </w:r>
    </w:p>
    <w:p w14:paraId="75178376" w14:textId="77777777" w:rsidR="00E0181F" w:rsidRPr="001D5327" w:rsidRDefault="00E0181F" w:rsidP="00E0181F">
      <w:pPr>
        <w:pStyle w:val="Heading2"/>
      </w:pPr>
      <w:bookmarkStart w:id="1739" w:name="_Toc373395710"/>
      <w:bookmarkStart w:id="1740" w:name="_Toc391024700"/>
      <w:bookmarkStart w:id="1741" w:name="_Toc414531317"/>
      <w:bookmarkStart w:id="1742" w:name="_Toc474335459"/>
      <w:bookmarkStart w:id="1743" w:name="_Toc481751399"/>
      <w:bookmarkStart w:id="1744" w:name="_Toc522013951"/>
      <w:bookmarkStart w:id="1745" w:name="_Toc5269376"/>
      <w:bookmarkStart w:id="1746" w:name="_Toc36224416"/>
      <w:bookmarkStart w:id="1747" w:name="_Toc131591250"/>
      <w:bookmarkStart w:id="1748" w:name="_Toc158980297"/>
      <w:bookmarkStart w:id="1749" w:name="_Toc164154205"/>
      <w:bookmarkStart w:id="1750" w:name="_Toc194312030"/>
      <w:r w:rsidRPr="001D5327">
        <w:t>6.4</w:t>
      </w:r>
      <w:r w:rsidRPr="001D5327">
        <w:tab/>
        <w:t>Forest land (4A)</w:t>
      </w:r>
      <w:bookmarkEnd w:id="1739"/>
      <w:bookmarkEnd w:id="1740"/>
      <w:bookmarkEnd w:id="1741"/>
      <w:bookmarkEnd w:id="1742"/>
      <w:bookmarkEnd w:id="1743"/>
      <w:bookmarkEnd w:id="1744"/>
      <w:bookmarkEnd w:id="1745"/>
      <w:bookmarkEnd w:id="1746"/>
      <w:bookmarkEnd w:id="1747"/>
      <w:bookmarkEnd w:id="1748"/>
      <w:bookmarkEnd w:id="1749"/>
      <w:bookmarkEnd w:id="1750"/>
    </w:p>
    <w:p w14:paraId="221B2B66" w14:textId="77777777" w:rsidR="00E0181F" w:rsidRPr="001D5327" w:rsidRDefault="00E0181F" w:rsidP="00E0181F">
      <w:pPr>
        <w:pStyle w:val="Heading3"/>
        <w:spacing w:before="240"/>
      </w:pPr>
      <w:bookmarkStart w:id="1751" w:name="_Toc255466325"/>
      <w:bookmarkStart w:id="1752" w:name="_Toc261513132"/>
      <w:bookmarkStart w:id="1753" w:name="_Toc261513745"/>
      <w:bookmarkStart w:id="1754" w:name="_Toc280630241"/>
      <w:bookmarkStart w:id="1755" w:name="_Toc373395711"/>
      <w:r w:rsidRPr="001D5327">
        <w:t>6.4.1</w:t>
      </w:r>
      <w:r w:rsidRPr="001D5327">
        <w:tab/>
        <w:t>Description</w:t>
      </w:r>
      <w:bookmarkEnd w:id="1751"/>
      <w:bookmarkEnd w:id="1752"/>
      <w:bookmarkEnd w:id="1753"/>
      <w:bookmarkEnd w:id="1754"/>
      <w:bookmarkEnd w:id="1755"/>
    </w:p>
    <w:p w14:paraId="075CA054" w14:textId="70C99F6A" w:rsidR="00E0181F" w:rsidRPr="001D5327" w:rsidRDefault="00E0181F" w:rsidP="00E0181F">
      <w:pPr>
        <w:pStyle w:val="BodyText"/>
        <w:spacing w:before="100" w:after="100"/>
      </w:pPr>
      <w:r w:rsidRPr="001D5327">
        <w:rPr>
          <w:spacing w:val="-2"/>
        </w:rPr>
        <w:t xml:space="preserve">In 2023, </w:t>
      </w:r>
      <w:r w:rsidRPr="001D5327">
        <w:rPr>
          <w:i/>
          <w:spacing w:val="-2"/>
        </w:rPr>
        <w:t>Forest land</w:t>
      </w:r>
      <w:r w:rsidRPr="001D5327">
        <w:rPr>
          <w:spacing w:val="-2"/>
        </w:rPr>
        <w:t xml:space="preserve"> contributed </w:t>
      </w:r>
      <w:r w:rsidR="0070503C">
        <w:rPr>
          <w:rFonts w:eastAsia="Calibri" w:cs="Calibri"/>
          <w:color w:val="000000"/>
          <w:spacing w:val="-2"/>
        </w:rPr>
        <w:t>-</w:t>
      </w:r>
      <w:r w:rsidRPr="001D5327">
        <w:rPr>
          <w:rFonts w:eastAsia="Calibri" w:cs="Calibri"/>
          <w:color w:val="000000"/>
          <w:spacing w:val="-2"/>
        </w:rPr>
        <w:t xml:space="preserve">18,235.7 </w:t>
      </w:r>
      <w:r w:rsidRPr="001D5327">
        <w:rPr>
          <w:spacing w:val="-2"/>
        </w:rPr>
        <w:t>kt CO</w:t>
      </w:r>
      <w:r w:rsidRPr="001D5327">
        <w:rPr>
          <w:spacing w:val="-2"/>
          <w:vertAlign w:val="subscript"/>
        </w:rPr>
        <w:t>2</w:t>
      </w:r>
      <w:r w:rsidRPr="001D5327">
        <w:rPr>
          <w:spacing w:val="-2"/>
        </w:rPr>
        <w:t xml:space="preserve">-e of net emissions. Net emissions from </w:t>
      </w:r>
      <w:r w:rsidRPr="001D5327">
        <w:rPr>
          <w:i/>
          <w:spacing w:val="-2"/>
        </w:rPr>
        <w:t>Fores</w:t>
      </w:r>
      <w:r w:rsidRPr="001D5327">
        <w:rPr>
          <w:i/>
        </w:rPr>
        <w:t xml:space="preserve">t </w:t>
      </w:r>
      <w:r w:rsidRPr="001D5327">
        <w:rPr>
          <w:i/>
          <w:spacing w:val="-2"/>
        </w:rPr>
        <w:t>land</w:t>
      </w:r>
      <w:r w:rsidRPr="001D5327">
        <w:rPr>
          <w:spacing w:val="-2"/>
        </w:rPr>
        <w:t xml:space="preserve"> have increased by </w:t>
      </w:r>
      <w:r w:rsidRPr="001D5327">
        <w:rPr>
          <w:rFonts w:eastAsia="Calibri" w:cs="Calibri"/>
          <w:color w:val="000000"/>
          <w:spacing w:val="-2"/>
        </w:rPr>
        <w:t xml:space="preserve">5,043.8 </w:t>
      </w:r>
      <w:r w:rsidRPr="001D5327">
        <w:rPr>
          <w:spacing w:val="-2"/>
        </w:rPr>
        <w:t>kt CO</w:t>
      </w:r>
      <w:r w:rsidRPr="001D5327">
        <w:rPr>
          <w:spacing w:val="-2"/>
          <w:vertAlign w:val="subscript"/>
        </w:rPr>
        <w:t>2</w:t>
      </w:r>
      <w:r w:rsidRPr="001D5327">
        <w:t>-</w:t>
      </w:r>
      <w:r w:rsidRPr="001D5327">
        <w:rPr>
          <w:spacing w:val="-2"/>
        </w:rPr>
        <w:t xml:space="preserve">e (21.7 per cent) from the 1990 level of </w:t>
      </w:r>
      <w:r w:rsidR="0070503C">
        <w:rPr>
          <w:spacing w:val="-2"/>
        </w:rPr>
        <w:t>-</w:t>
      </w:r>
      <w:r w:rsidRPr="001D5327">
        <w:rPr>
          <w:spacing w:val="-2"/>
        </w:rPr>
        <w:t>23,279.5 kt CO</w:t>
      </w:r>
      <w:r w:rsidRPr="001D5327">
        <w:rPr>
          <w:spacing w:val="-2"/>
          <w:vertAlign w:val="subscript"/>
        </w:rPr>
        <w:t>2</w:t>
      </w:r>
      <w:r w:rsidRPr="001D5327">
        <w:t>-</w:t>
      </w:r>
      <w:r w:rsidRPr="001D5327">
        <w:rPr>
          <w:spacing w:val="-2"/>
        </w:rPr>
        <w:t>e</w:t>
      </w:r>
      <w:r w:rsidRPr="001D5327">
        <w:t xml:space="preserve"> (see table 6.4.1). Between 1990 and 2023,</w:t>
      </w:r>
      <w:r w:rsidRPr="001D5327">
        <w:rPr>
          <w:i/>
        </w:rPr>
        <w:t xml:space="preserve"> Forest land</w:t>
      </w:r>
      <w:r w:rsidRPr="001D5327">
        <w:t xml:space="preserve"> is the most significant contributor to </w:t>
      </w:r>
      <w:r w:rsidRPr="001D5327">
        <w:rPr>
          <w:spacing w:val="-4"/>
        </w:rPr>
        <w:t>carbon stock changes in the LULUCF sector. In 2023, forests comprised 37.8 per cent (10.2 million</w:t>
      </w:r>
      <w:r w:rsidRPr="001D5327">
        <w:t xml:space="preserve"> </w:t>
      </w:r>
      <w:r w:rsidRPr="001D5327">
        <w:rPr>
          <w:spacing w:val="-2"/>
        </w:rPr>
        <w:t xml:space="preserve">hectares) of New Zealand’s total land area. Note that emissions for the </w:t>
      </w:r>
      <w:r w:rsidRPr="001D5327">
        <w:rPr>
          <w:i/>
          <w:spacing w:val="-2"/>
        </w:rPr>
        <w:t>Harvested wood products</w:t>
      </w:r>
      <w:r w:rsidRPr="001D5327">
        <w:t xml:space="preserve"> category are reported separately within the common reporting tables (CRTs) and are described further in section 6.10. </w:t>
      </w:r>
    </w:p>
    <w:p w14:paraId="077F79CE" w14:textId="77777777" w:rsidR="00E0181F" w:rsidRPr="001D5327" w:rsidRDefault="00E0181F" w:rsidP="00E0181F">
      <w:pPr>
        <w:pStyle w:val="BodyText"/>
      </w:pPr>
      <w:r w:rsidRPr="001D5327">
        <w:t xml:space="preserve">In 2023, </w:t>
      </w:r>
      <w:r w:rsidRPr="001D5327">
        <w:rPr>
          <w:i/>
        </w:rPr>
        <w:t>Forest land remaining forest land</w:t>
      </w:r>
      <w:r w:rsidRPr="001D5327">
        <w:t xml:space="preserve"> and </w:t>
      </w:r>
      <w:r w:rsidRPr="001D5327">
        <w:rPr>
          <w:i/>
        </w:rPr>
        <w:t>Land converted to forest land</w:t>
      </w:r>
      <w:r w:rsidRPr="001D5327">
        <w:t xml:space="preserve"> were key categories (based on a trend and level assessment). </w:t>
      </w:r>
    </w:p>
    <w:p w14:paraId="40708BA8" w14:textId="77777777" w:rsidR="00E0181F" w:rsidRPr="001D5327" w:rsidRDefault="00E0181F" w:rsidP="00E0181F">
      <w:pPr>
        <w:pStyle w:val="Table"/>
      </w:pPr>
      <w:bookmarkStart w:id="1756" w:name="_Toc280630453"/>
      <w:bookmarkStart w:id="1757" w:name="_Toc310423404"/>
      <w:bookmarkStart w:id="1758" w:name="_Toc318362697"/>
      <w:bookmarkStart w:id="1759" w:name="_Toc342470759"/>
      <w:bookmarkStart w:id="1760" w:name="_Toc352504999"/>
      <w:bookmarkStart w:id="1761" w:name="_Toc373395724"/>
      <w:bookmarkStart w:id="1762" w:name="_Toc378853290"/>
      <w:bookmarkStart w:id="1763" w:name="_Toc391024088"/>
      <w:bookmarkStart w:id="1764" w:name="_Toc410028831"/>
      <w:bookmarkStart w:id="1765" w:name="_Toc414531459"/>
      <w:bookmarkStart w:id="1766" w:name="_Toc443645372"/>
      <w:bookmarkStart w:id="1767" w:name="_Toc474914591"/>
      <w:bookmarkStart w:id="1768" w:name="_Toc481751555"/>
      <w:bookmarkStart w:id="1769" w:name="_Toc522010612"/>
      <w:bookmarkStart w:id="1770" w:name="_Toc5269517"/>
      <w:bookmarkStart w:id="1771" w:name="_Toc33529391"/>
      <w:bookmarkStart w:id="1772" w:name="_Toc36224597"/>
      <w:bookmarkStart w:id="1773" w:name="_Toc131591391"/>
      <w:bookmarkStart w:id="1774" w:name="_Toc158979949"/>
      <w:bookmarkStart w:id="1775" w:name="_Toc164153882"/>
      <w:bookmarkStart w:id="1776" w:name="_Toc190873116"/>
      <w:bookmarkStart w:id="1777" w:name="_Toc194241755"/>
      <w:r w:rsidRPr="001D5327">
        <w:t>Table 6.4.1</w:t>
      </w:r>
      <w:r w:rsidRPr="001D5327">
        <w:tab/>
        <w:t xml:space="preserve">New Zealand’s land-use change for the </w:t>
      </w:r>
      <w:r w:rsidRPr="001D5327">
        <w:rPr>
          <w:i/>
        </w:rPr>
        <w:t>Forest land</w:t>
      </w:r>
      <w:r w:rsidRPr="001D5327">
        <w:t xml:space="preserve"> category, and associated</w:t>
      </w:r>
      <w:r w:rsidRPr="001D5327">
        <w:br/>
        <w:t>CO</w:t>
      </w:r>
      <w:r w:rsidRPr="001D5327">
        <w:rPr>
          <w:vertAlign w:val="subscript"/>
        </w:rPr>
        <w:t>2</w:t>
      </w:r>
      <w:r w:rsidRPr="001D5327">
        <w:t>-e emissions</w:t>
      </w:r>
      <w:bookmarkEnd w:id="1756"/>
      <w:bookmarkEnd w:id="1757"/>
      <w:bookmarkEnd w:id="1758"/>
      <w:bookmarkEnd w:id="1759"/>
      <w:bookmarkEnd w:id="1760"/>
      <w:bookmarkEnd w:id="1761"/>
      <w:bookmarkEnd w:id="1762"/>
      <w:r w:rsidRPr="001D5327">
        <w:t xml:space="preserve">, in 1990 and </w:t>
      </w:r>
      <w:bookmarkEnd w:id="1763"/>
      <w:bookmarkEnd w:id="1764"/>
      <w:bookmarkEnd w:id="1765"/>
      <w:bookmarkEnd w:id="1766"/>
      <w:bookmarkEnd w:id="1767"/>
      <w:bookmarkEnd w:id="1768"/>
      <w:bookmarkEnd w:id="1769"/>
      <w:bookmarkEnd w:id="1770"/>
      <w:bookmarkEnd w:id="1771"/>
      <w:bookmarkEnd w:id="1772"/>
      <w:bookmarkEnd w:id="1773"/>
      <w:bookmarkEnd w:id="1774"/>
      <w:bookmarkEnd w:id="1775"/>
      <w:r w:rsidRPr="001D5327">
        <w:t>2023</w:t>
      </w:r>
      <w:bookmarkEnd w:id="1776"/>
      <w:bookmarkEnd w:id="1777"/>
    </w:p>
    <w:tbl>
      <w:tblPr>
        <w:tblW w:w="8559"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405"/>
        <w:gridCol w:w="1281"/>
        <w:gridCol w:w="992"/>
        <w:gridCol w:w="1134"/>
        <w:gridCol w:w="851"/>
        <w:gridCol w:w="850"/>
        <w:gridCol w:w="1046"/>
      </w:tblGrid>
      <w:tr w:rsidR="00E0181F" w:rsidRPr="001D5327" w14:paraId="1514C26B" w14:textId="77777777" w:rsidTr="00D11AC9">
        <w:trPr>
          <w:tblHeader/>
        </w:trPr>
        <w:tc>
          <w:tcPr>
            <w:tcW w:w="2405" w:type="dxa"/>
            <w:shd w:val="clear" w:color="auto" w:fill="1B556B"/>
            <w:tcMar>
              <w:top w:w="0" w:type="dxa"/>
              <w:left w:w="85" w:type="dxa"/>
              <w:bottom w:w="0" w:type="dxa"/>
              <w:right w:w="85" w:type="dxa"/>
            </w:tcMar>
          </w:tcPr>
          <w:p w14:paraId="38AA923C" w14:textId="77777777" w:rsidR="00E0181F" w:rsidRPr="001D5327" w:rsidRDefault="00E0181F" w:rsidP="00D11AC9">
            <w:pPr>
              <w:pStyle w:val="TableText"/>
              <w:spacing w:before="40" w:after="40"/>
            </w:pPr>
          </w:p>
        </w:tc>
        <w:tc>
          <w:tcPr>
            <w:tcW w:w="3407" w:type="dxa"/>
            <w:gridSpan w:val="3"/>
            <w:shd w:val="clear" w:color="auto" w:fill="1B556B"/>
            <w:tcMar>
              <w:top w:w="0" w:type="dxa"/>
              <w:left w:w="85" w:type="dxa"/>
              <w:bottom w:w="0" w:type="dxa"/>
              <w:right w:w="85" w:type="dxa"/>
            </w:tcMar>
          </w:tcPr>
          <w:p w14:paraId="02B8D859" w14:textId="77777777" w:rsidR="00E0181F" w:rsidRPr="001D5327" w:rsidRDefault="00E0181F" w:rsidP="00D11AC9">
            <w:pPr>
              <w:pStyle w:val="TableText"/>
              <w:spacing w:before="40" w:after="0"/>
              <w:jc w:val="center"/>
            </w:pPr>
            <w:r w:rsidRPr="001D5327">
              <w:rPr>
                <w:rFonts w:eastAsia="Calibri" w:cs="Calibri"/>
                <w:b/>
                <w:color w:val="FFFFFF"/>
                <w:szCs w:val="16"/>
              </w:rPr>
              <w:t>Net area (ha)</w:t>
            </w:r>
          </w:p>
        </w:tc>
        <w:tc>
          <w:tcPr>
            <w:tcW w:w="2747" w:type="dxa"/>
            <w:gridSpan w:val="3"/>
            <w:shd w:val="clear" w:color="auto" w:fill="1B556B"/>
            <w:tcMar>
              <w:top w:w="0" w:type="dxa"/>
              <w:left w:w="85" w:type="dxa"/>
              <w:bottom w:w="0" w:type="dxa"/>
              <w:right w:w="85" w:type="dxa"/>
            </w:tcMar>
          </w:tcPr>
          <w:p w14:paraId="08508BED" w14:textId="77777777" w:rsidR="00E0181F" w:rsidRPr="001D5327" w:rsidRDefault="00E0181F" w:rsidP="00D11AC9">
            <w:pPr>
              <w:pStyle w:val="TableText"/>
              <w:spacing w:before="40" w:after="0"/>
              <w:jc w:val="center"/>
            </w:pPr>
            <w:r w:rsidRPr="001D5327">
              <w:rPr>
                <w:rFonts w:eastAsia="Calibri" w:cs="Calibri"/>
                <w:b/>
                <w:color w:val="FFFFFF"/>
                <w:szCs w:val="16"/>
              </w:rPr>
              <w:t>Net emissions (kt CO₂-e)</w:t>
            </w:r>
          </w:p>
        </w:tc>
      </w:tr>
      <w:tr w:rsidR="00E0181F" w:rsidRPr="001D5327" w14:paraId="778E962D" w14:textId="77777777" w:rsidTr="00D11AC9">
        <w:trPr>
          <w:tblHeader/>
        </w:trPr>
        <w:tc>
          <w:tcPr>
            <w:tcW w:w="2405" w:type="dxa"/>
            <w:shd w:val="clear" w:color="auto" w:fill="1B556B"/>
            <w:tcMar>
              <w:top w:w="0" w:type="dxa"/>
              <w:left w:w="85" w:type="dxa"/>
              <w:bottom w:w="0" w:type="dxa"/>
              <w:right w:w="85" w:type="dxa"/>
            </w:tcMar>
            <w:vAlign w:val="bottom"/>
          </w:tcPr>
          <w:p w14:paraId="587339A2" w14:textId="77777777" w:rsidR="00E0181F" w:rsidRPr="001D5327" w:rsidRDefault="00E0181F" w:rsidP="007215F9">
            <w:pPr>
              <w:pStyle w:val="TableText"/>
              <w:spacing w:before="0" w:after="40"/>
            </w:pPr>
            <w:r w:rsidRPr="001D5327">
              <w:rPr>
                <w:rFonts w:eastAsia="Calibri" w:cs="Calibri"/>
                <w:b/>
                <w:color w:val="FFFFFF"/>
                <w:szCs w:val="16"/>
              </w:rPr>
              <w:t>Land use category</w:t>
            </w:r>
          </w:p>
        </w:tc>
        <w:tc>
          <w:tcPr>
            <w:tcW w:w="1281" w:type="dxa"/>
            <w:shd w:val="clear" w:color="auto" w:fill="1B556B"/>
            <w:tcMar>
              <w:top w:w="0" w:type="dxa"/>
              <w:left w:w="85" w:type="dxa"/>
              <w:bottom w:w="0" w:type="dxa"/>
              <w:right w:w="85" w:type="dxa"/>
            </w:tcMar>
            <w:vAlign w:val="bottom"/>
          </w:tcPr>
          <w:p w14:paraId="5776E457" w14:textId="77777777" w:rsidR="00E0181F" w:rsidRPr="001D5327" w:rsidRDefault="00E0181F" w:rsidP="007215F9">
            <w:pPr>
              <w:pStyle w:val="TableText"/>
              <w:spacing w:before="0" w:after="40"/>
              <w:jc w:val="right"/>
            </w:pPr>
            <w:r w:rsidRPr="001D5327">
              <w:rPr>
                <w:rFonts w:eastAsia="Calibri" w:cs="Calibri"/>
                <w:b/>
                <w:color w:val="FFFFFF"/>
                <w:szCs w:val="16"/>
              </w:rPr>
              <w:t>1990</w:t>
            </w:r>
          </w:p>
        </w:tc>
        <w:tc>
          <w:tcPr>
            <w:tcW w:w="992" w:type="dxa"/>
            <w:shd w:val="clear" w:color="auto" w:fill="1B556B"/>
            <w:tcMar>
              <w:top w:w="0" w:type="dxa"/>
              <w:left w:w="85" w:type="dxa"/>
              <w:bottom w:w="0" w:type="dxa"/>
              <w:right w:w="85" w:type="dxa"/>
            </w:tcMar>
            <w:vAlign w:val="bottom"/>
          </w:tcPr>
          <w:p w14:paraId="0722AFBB" w14:textId="77777777" w:rsidR="00E0181F" w:rsidRPr="001D5327" w:rsidRDefault="00E0181F" w:rsidP="007215F9">
            <w:pPr>
              <w:pStyle w:val="TableText"/>
              <w:spacing w:before="0" w:after="40"/>
              <w:jc w:val="right"/>
            </w:pPr>
            <w:r w:rsidRPr="001D5327">
              <w:rPr>
                <w:rFonts w:eastAsia="Calibri" w:cs="Calibri"/>
                <w:b/>
                <w:color w:val="FFFFFF"/>
                <w:szCs w:val="16"/>
              </w:rPr>
              <w:t>2023</w:t>
            </w:r>
          </w:p>
        </w:tc>
        <w:tc>
          <w:tcPr>
            <w:tcW w:w="1134" w:type="dxa"/>
            <w:shd w:val="clear" w:color="auto" w:fill="1B556B"/>
            <w:tcMar>
              <w:top w:w="0" w:type="dxa"/>
              <w:left w:w="85" w:type="dxa"/>
              <w:bottom w:w="0" w:type="dxa"/>
              <w:right w:w="85" w:type="dxa"/>
            </w:tcMar>
            <w:vAlign w:val="bottom"/>
          </w:tcPr>
          <w:p w14:paraId="58BC4F68" w14:textId="77777777" w:rsidR="00E0181F" w:rsidRPr="001D5327" w:rsidRDefault="00E0181F" w:rsidP="007215F9">
            <w:pPr>
              <w:pStyle w:val="TableText"/>
              <w:spacing w:before="0" w:after="40"/>
              <w:jc w:val="right"/>
            </w:pPr>
            <w:r w:rsidRPr="001D5327">
              <w:rPr>
                <w:rFonts w:eastAsia="Calibri" w:cs="Calibri"/>
                <w:b/>
                <w:color w:val="FFFFFF"/>
                <w:szCs w:val="16"/>
              </w:rPr>
              <w:t>Change from 1990 (%)</w:t>
            </w:r>
          </w:p>
        </w:tc>
        <w:tc>
          <w:tcPr>
            <w:tcW w:w="851" w:type="dxa"/>
            <w:shd w:val="clear" w:color="auto" w:fill="1B556B"/>
            <w:tcMar>
              <w:top w:w="0" w:type="dxa"/>
              <w:left w:w="85" w:type="dxa"/>
              <w:bottom w:w="0" w:type="dxa"/>
              <w:right w:w="85" w:type="dxa"/>
            </w:tcMar>
            <w:vAlign w:val="bottom"/>
          </w:tcPr>
          <w:p w14:paraId="4B3F24A5" w14:textId="77777777" w:rsidR="00E0181F" w:rsidRPr="001D5327" w:rsidRDefault="00E0181F" w:rsidP="007215F9">
            <w:pPr>
              <w:pStyle w:val="TableText"/>
              <w:spacing w:before="0" w:after="40"/>
              <w:jc w:val="right"/>
            </w:pPr>
            <w:r w:rsidRPr="001D5327">
              <w:rPr>
                <w:rFonts w:eastAsia="Calibri" w:cs="Calibri"/>
                <w:b/>
                <w:color w:val="FFFFFF"/>
                <w:szCs w:val="16"/>
              </w:rPr>
              <w:t>1990</w:t>
            </w:r>
          </w:p>
        </w:tc>
        <w:tc>
          <w:tcPr>
            <w:tcW w:w="850" w:type="dxa"/>
            <w:shd w:val="clear" w:color="auto" w:fill="1B556B"/>
            <w:tcMar>
              <w:top w:w="0" w:type="dxa"/>
              <w:left w:w="85" w:type="dxa"/>
              <w:bottom w:w="0" w:type="dxa"/>
              <w:right w:w="85" w:type="dxa"/>
            </w:tcMar>
            <w:vAlign w:val="bottom"/>
          </w:tcPr>
          <w:p w14:paraId="506D9BF1" w14:textId="77777777" w:rsidR="00E0181F" w:rsidRPr="001D5327" w:rsidRDefault="00E0181F" w:rsidP="007215F9">
            <w:pPr>
              <w:pStyle w:val="TableText"/>
              <w:spacing w:before="0" w:after="40"/>
              <w:jc w:val="right"/>
            </w:pPr>
            <w:r w:rsidRPr="001D5327">
              <w:rPr>
                <w:rFonts w:eastAsia="Calibri" w:cs="Calibri"/>
                <w:b/>
                <w:color w:val="FFFFFF"/>
                <w:szCs w:val="16"/>
              </w:rPr>
              <w:t>2023</w:t>
            </w:r>
          </w:p>
        </w:tc>
        <w:tc>
          <w:tcPr>
            <w:tcW w:w="1046" w:type="dxa"/>
            <w:shd w:val="clear" w:color="auto" w:fill="1B556B"/>
            <w:tcMar>
              <w:top w:w="0" w:type="dxa"/>
              <w:left w:w="85" w:type="dxa"/>
              <w:bottom w:w="0" w:type="dxa"/>
              <w:right w:w="85" w:type="dxa"/>
            </w:tcMar>
            <w:vAlign w:val="bottom"/>
          </w:tcPr>
          <w:p w14:paraId="180449C4" w14:textId="77777777" w:rsidR="00E0181F" w:rsidRPr="001D5327" w:rsidRDefault="00E0181F" w:rsidP="007215F9">
            <w:pPr>
              <w:pStyle w:val="TableText"/>
              <w:spacing w:before="0" w:after="40"/>
              <w:jc w:val="right"/>
            </w:pPr>
            <w:r w:rsidRPr="001D5327">
              <w:rPr>
                <w:rFonts w:eastAsia="Calibri" w:cs="Calibri"/>
                <w:b/>
                <w:color w:val="FFFFFF"/>
                <w:szCs w:val="16"/>
              </w:rPr>
              <w:t>Change from 1990 (%)</w:t>
            </w:r>
          </w:p>
        </w:tc>
      </w:tr>
      <w:tr w:rsidR="00E0181F" w:rsidRPr="001D5327" w14:paraId="5BA68438" w14:textId="77777777" w:rsidTr="00D11AC9">
        <w:tc>
          <w:tcPr>
            <w:tcW w:w="2405" w:type="dxa"/>
            <w:shd w:val="clear" w:color="auto" w:fill="FFFFFF"/>
            <w:tcMar>
              <w:top w:w="0" w:type="dxa"/>
              <w:left w:w="85" w:type="dxa"/>
              <w:bottom w:w="0" w:type="dxa"/>
              <w:right w:w="85" w:type="dxa"/>
            </w:tcMar>
          </w:tcPr>
          <w:p w14:paraId="34244278" w14:textId="77777777" w:rsidR="00E0181F" w:rsidRPr="001D5327" w:rsidRDefault="00E0181F" w:rsidP="00D11AC9">
            <w:pPr>
              <w:pStyle w:val="TableText"/>
              <w:spacing w:before="40" w:after="40"/>
            </w:pPr>
            <w:r w:rsidRPr="001D5327">
              <w:rPr>
                <w:rFonts w:eastAsia="Calibri" w:cs="Calibri"/>
                <w:color w:val="000000"/>
                <w:szCs w:val="16"/>
              </w:rPr>
              <w:t>Forest land remaining forest land</w:t>
            </w:r>
          </w:p>
        </w:tc>
        <w:tc>
          <w:tcPr>
            <w:tcW w:w="1281" w:type="dxa"/>
            <w:shd w:val="clear" w:color="auto" w:fill="FFFFFF"/>
            <w:tcMar>
              <w:top w:w="0" w:type="dxa"/>
              <w:left w:w="85" w:type="dxa"/>
              <w:bottom w:w="0" w:type="dxa"/>
              <w:right w:w="85" w:type="dxa"/>
            </w:tcMar>
          </w:tcPr>
          <w:p w14:paraId="6E16D4D3" w14:textId="77777777" w:rsidR="00E0181F" w:rsidRPr="001D5327" w:rsidRDefault="00E0181F" w:rsidP="00D11AC9">
            <w:pPr>
              <w:pStyle w:val="TableText"/>
              <w:spacing w:before="40" w:after="40"/>
              <w:jc w:val="right"/>
            </w:pPr>
            <w:r w:rsidRPr="001D5327">
              <w:rPr>
                <w:rFonts w:eastAsia="Calibri" w:cs="Calibri"/>
                <w:color w:val="000000"/>
                <w:szCs w:val="16"/>
              </w:rPr>
              <w:t>8,538,327</w:t>
            </w:r>
          </w:p>
        </w:tc>
        <w:tc>
          <w:tcPr>
            <w:tcW w:w="992" w:type="dxa"/>
            <w:shd w:val="clear" w:color="auto" w:fill="FFFFFF"/>
            <w:tcMar>
              <w:top w:w="0" w:type="dxa"/>
              <w:left w:w="85" w:type="dxa"/>
              <w:bottom w:w="0" w:type="dxa"/>
              <w:right w:w="85" w:type="dxa"/>
            </w:tcMar>
          </w:tcPr>
          <w:p w14:paraId="7CEF9DAE" w14:textId="77777777" w:rsidR="00E0181F" w:rsidRPr="001D5327" w:rsidRDefault="00E0181F" w:rsidP="00D11AC9">
            <w:pPr>
              <w:pStyle w:val="TableText"/>
              <w:spacing w:before="40" w:after="40"/>
              <w:jc w:val="right"/>
            </w:pPr>
            <w:r w:rsidRPr="001D5327">
              <w:rPr>
                <w:rFonts w:eastAsia="Calibri" w:cs="Calibri"/>
                <w:color w:val="000000"/>
                <w:szCs w:val="16"/>
              </w:rPr>
              <w:t>9,719,064</w:t>
            </w:r>
          </w:p>
        </w:tc>
        <w:tc>
          <w:tcPr>
            <w:tcW w:w="1134" w:type="dxa"/>
            <w:shd w:val="clear" w:color="auto" w:fill="FFFFFF"/>
            <w:tcMar>
              <w:top w:w="0" w:type="dxa"/>
              <w:left w:w="85" w:type="dxa"/>
              <w:bottom w:w="0" w:type="dxa"/>
              <w:right w:w="85" w:type="dxa"/>
            </w:tcMar>
          </w:tcPr>
          <w:p w14:paraId="0F81264F" w14:textId="77777777" w:rsidR="00E0181F" w:rsidRPr="001D5327" w:rsidRDefault="00E0181F" w:rsidP="00D11AC9">
            <w:pPr>
              <w:pStyle w:val="TableText"/>
              <w:spacing w:before="40" w:after="40"/>
              <w:jc w:val="right"/>
            </w:pPr>
            <w:r w:rsidRPr="001D5327">
              <w:rPr>
                <w:rFonts w:eastAsia="Calibri" w:cs="Calibri"/>
                <w:color w:val="000000"/>
                <w:szCs w:val="16"/>
              </w:rPr>
              <w:t>13.8</w:t>
            </w:r>
          </w:p>
        </w:tc>
        <w:tc>
          <w:tcPr>
            <w:tcW w:w="851" w:type="dxa"/>
            <w:shd w:val="clear" w:color="auto" w:fill="FFFFFF"/>
            <w:tcMar>
              <w:top w:w="0" w:type="dxa"/>
              <w:left w:w="85" w:type="dxa"/>
              <w:bottom w:w="0" w:type="dxa"/>
              <w:right w:w="85" w:type="dxa"/>
            </w:tcMar>
          </w:tcPr>
          <w:p w14:paraId="68A74F2E" w14:textId="43A199CE"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5,325.2</w:t>
            </w:r>
          </w:p>
        </w:tc>
        <w:tc>
          <w:tcPr>
            <w:tcW w:w="850" w:type="dxa"/>
            <w:shd w:val="clear" w:color="auto" w:fill="FFFFFF"/>
            <w:tcMar>
              <w:top w:w="0" w:type="dxa"/>
              <w:left w:w="85" w:type="dxa"/>
              <w:bottom w:w="0" w:type="dxa"/>
              <w:right w:w="85" w:type="dxa"/>
            </w:tcMar>
          </w:tcPr>
          <w:p w14:paraId="75959789" w14:textId="04770250"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15,881.8</w:t>
            </w:r>
          </w:p>
        </w:tc>
        <w:tc>
          <w:tcPr>
            <w:tcW w:w="1046" w:type="dxa"/>
            <w:shd w:val="clear" w:color="auto" w:fill="FFFFFF"/>
            <w:tcMar>
              <w:top w:w="0" w:type="dxa"/>
              <w:left w:w="85" w:type="dxa"/>
              <w:bottom w:w="0" w:type="dxa"/>
              <w:right w:w="85" w:type="dxa"/>
            </w:tcMar>
          </w:tcPr>
          <w:p w14:paraId="06E35E55" w14:textId="7A37F563"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198.2</w:t>
            </w:r>
          </w:p>
        </w:tc>
      </w:tr>
      <w:tr w:rsidR="00E0181F" w:rsidRPr="001D5327" w14:paraId="70BF8F51" w14:textId="77777777" w:rsidTr="00D11AC9">
        <w:tc>
          <w:tcPr>
            <w:tcW w:w="2405" w:type="dxa"/>
            <w:shd w:val="clear" w:color="auto" w:fill="FFFFFF"/>
            <w:tcMar>
              <w:top w:w="0" w:type="dxa"/>
              <w:left w:w="85" w:type="dxa"/>
              <w:bottom w:w="0" w:type="dxa"/>
              <w:right w:w="85" w:type="dxa"/>
            </w:tcMar>
          </w:tcPr>
          <w:p w14:paraId="1E2B5208" w14:textId="77777777" w:rsidR="00E0181F" w:rsidRPr="001D5327" w:rsidRDefault="00E0181F" w:rsidP="00D11AC9">
            <w:pPr>
              <w:pStyle w:val="TableText"/>
              <w:spacing w:before="40" w:after="40"/>
            </w:pPr>
            <w:r w:rsidRPr="001D5327">
              <w:rPr>
                <w:rFonts w:eastAsia="Calibri" w:cs="Calibri"/>
                <w:color w:val="000000"/>
                <w:szCs w:val="16"/>
              </w:rPr>
              <w:t>Land converted to forest land</w:t>
            </w:r>
          </w:p>
        </w:tc>
        <w:tc>
          <w:tcPr>
            <w:tcW w:w="1281" w:type="dxa"/>
            <w:shd w:val="clear" w:color="auto" w:fill="FFFFFF"/>
            <w:tcMar>
              <w:top w:w="0" w:type="dxa"/>
              <w:left w:w="85" w:type="dxa"/>
              <w:bottom w:w="0" w:type="dxa"/>
              <w:right w:w="85" w:type="dxa"/>
            </w:tcMar>
          </w:tcPr>
          <w:p w14:paraId="7EF6AFC7" w14:textId="77777777" w:rsidR="00E0181F" w:rsidRPr="001D5327" w:rsidRDefault="00E0181F" w:rsidP="00D11AC9">
            <w:pPr>
              <w:pStyle w:val="TableText"/>
              <w:spacing w:before="40" w:after="40"/>
              <w:jc w:val="right"/>
            </w:pPr>
            <w:r w:rsidRPr="001D5327">
              <w:rPr>
                <w:rFonts w:eastAsia="Calibri" w:cs="Calibri"/>
                <w:color w:val="000000"/>
                <w:szCs w:val="16"/>
              </w:rPr>
              <w:t>821,678</w:t>
            </w:r>
          </w:p>
        </w:tc>
        <w:tc>
          <w:tcPr>
            <w:tcW w:w="992" w:type="dxa"/>
            <w:shd w:val="clear" w:color="auto" w:fill="FFFFFF"/>
            <w:tcMar>
              <w:top w:w="0" w:type="dxa"/>
              <w:left w:w="85" w:type="dxa"/>
              <w:bottom w:w="0" w:type="dxa"/>
              <w:right w:w="85" w:type="dxa"/>
            </w:tcMar>
          </w:tcPr>
          <w:p w14:paraId="58C2724F" w14:textId="77777777" w:rsidR="00E0181F" w:rsidRPr="001D5327" w:rsidRDefault="00E0181F" w:rsidP="00D11AC9">
            <w:pPr>
              <w:pStyle w:val="TableText"/>
              <w:spacing w:before="40" w:after="40"/>
              <w:jc w:val="right"/>
            </w:pPr>
            <w:r w:rsidRPr="001D5327">
              <w:rPr>
                <w:rFonts w:eastAsia="Calibri" w:cs="Calibri"/>
                <w:color w:val="000000"/>
                <w:szCs w:val="16"/>
              </w:rPr>
              <w:t>453,801</w:t>
            </w:r>
          </w:p>
        </w:tc>
        <w:tc>
          <w:tcPr>
            <w:tcW w:w="1134" w:type="dxa"/>
            <w:shd w:val="clear" w:color="auto" w:fill="FFFFFF"/>
            <w:tcMar>
              <w:top w:w="0" w:type="dxa"/>
              <w:left w:w="85" w:type="dxa"/>
              <w:bottom w:w="0" w:type="dxa"/>
              <w:right w:w="85" w:type="dxa"/>
            </w:tcMar>
          </w:tcPr>
          <w:p w14:paraId="36A814D8" w14:textId="24E733D7"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44.8</w:t>
            </w:r>
          </w:p>
        </w:tc>
        <w:tc>
          <w:tcPr>
            <w:tcW w:w="851" w:type="dxa"/>
            <w:shd w:val="clear" w:color="auto" w:fill="FFFFFF"/>
            <w:tcMar>
              <w:top w:w="0" w:type="dxa"/>
              <w:left w:w="85" w:type="dxa"/>
              <w:bottom w:w="0" w:type="dxa"/>
              <w:right w:w="85" w:type="dxa"/>
            </w:tcMar>
          </w:tcPr>
          <w:p w14:paraId="69347BA2" w14:textId="5C876FAC"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17,954.3</w:t>
            </w:r>
          </w:p>
        </w:tc>
        <w:tc>
          <w:tcPr>
            <w:tcW w:w="850" w:type="dxa"/>
            <w:shd w:val="clear" w:color="auto" w:fill="FFFFFF"/>
            <w:tcMar>
              <w:top w:w="0" w:type="dxa"/>
              <w:left w:w="85" w:type="dxa"/>
              <w:bottom w:w="0" w:type="dxa"/>
              <w:right w:w="85" w:type="dxa"/>
            </w:tcMar>
          </w:tcPr>
          <w:p w14:paraId="1D77D58A" w14:textId="277B30B7"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2,353.9</w:t>
            </w:r>
          </w:p>
        </w:tc>
        <w:tc>
          <w:tcPr>
            <w:tcW w:w="1046" w:type="dxa"/>
            <w:shd w:val="clear" w:color="auto" w:fill="FFFFFF"/>
            <w:tcMar>
              <w:top w:w="0" w:type="dxa"/>
              <w:left w:w="85" w:type="dxa"/>
              <w:bottom w:w="0" w:type="dxa"/>
              <w:right w:w="85" w:type="dxa"/>
            </w:tcMar>
          </w:tcPr>
          <w:p w14:paraId="1947C0E3" w14:textId="77777777" w:rsidR="00E0181F" w:rsidRPr="001D5327" w:rsidRDefault="00E0181F" w:rsidP="00D11AC9">
            <w:pPr>
              <w:pStyle w:val="TableText"/>
              <w:spacing w:before="40" w:after="40"/>
              <w:jc w:val="right"/>
            </w:pPr>
            <w:r w:rsidRPr="001D5327">
              <w:rPr>
                <w:rFonts w:eastAsia="Calibri" w:cs="Calibri"/>
                <w:color w:val="000000"/>
                <w:szCs w:val="16"/>
              </w:rPr>
              <w:t>86.9</w:t>
            </w:r>
          </w:p>
        </w:tc>
      </w:tr>
      <w:tr w:rsidR="00E0181F" w:rsidRPr="001D5327" w14:paraId="35395F21" w14:textId="77777777" w:rsidTr="00D11AC9">
        <w:tc>
          <w:tcPr>
            <w:tcW w:w="2405" w:type="dxa"/>
            <w:shd w:val="clear" w:color="auto" w:fill="FFFFFF"/>
            <w:tcMar>
              <w:top w:w="0" w:type="dxa"/>
              <w:left w:w="85" w:type="dxa"/>
              <w:bottom w:w="0" w:type="dxa"/>
              <w:right w:w="85" w:type="dxa"/>
            </w:tcMar>
          </w:tcPr>
          <w:p w14:paraId="7FEA01DF" w14:textId="77777777" w:rsidR="00E0181F" w:rsidRPr="001D5327" w:rsidRDefault="00E0181F" w:rsidP="00D11AC9">
            <w:pPr>
              <w:pStyle w:val="TableText"/>
              <w:spacing w:before="40" w:after="40"/>
            </w:pPr>
            <w:r w:rsidRPr="001D5327">
              <w:rPr>
                <w:rFonts w:eastAsia="Calibri" w:cs="Calibri"/>
                <w:b/>
                <w:color w:val="1B556B"/>
                <w:szCs w:val="16"/>
              </w:rPr>
              <w:t>Total</w:t>
            </w:r>
          </w:p>
        </w:tc>
        <w:tc>
          <w:tcPr>
            <w:tcW w:w="1281" w:type="dxa"/>
            <w:shd w:val="clear" w:color="auto" w:fill="FFFFFF"/>
            <w:tcMar>
              <w:top w:w="0" w:type="dxa"/>
              <w:left w:w="85" w:type="dxa"/>
              <w:bottom w:w="0" w:type="dxa"/>
              <w:right w:w="85" w:type="dxa"/>
            </w:tcMar>
          </w:tcPr>
          <w:p w14:paraId="4F56B422" w14:textId="77777777" w:rsidR="00E0181F" w:rsidRPr="001D5327" w:rsidRDefault="00E0181F" w:rsidP="00D11AC9">
            <w:pPr>
              <w:pStyle w:val="TableText"/>
              <w:spacing w:before="40" w:after="40"/>
              <w:jc w:val="right"/>
            </w:pPr>
            <w:r w:rsidRPr="001D5327">
              <w:rPr>
                <w:rFonts w:eastAsia="Calibri" w:cs="Calibri"/>
                <w:b/>
                <w:color w:val="1B556B"/>
                <w:szCs w:val="16"/>
              </w:rPr>
              <w:t>9,360,005</w:t>
            </w:r>
          </w:p>
        </w:tc>
        <w:tc>
          <w:tcPr>
            <w:tcW w:w="992" w:type="dxa"/>
            <w:shd w:val="clear" w:color="auto" w:fill="FFFFFF"/>
            <w:tcMar>
              <w:top w:w="0" w:type="dxa"/>
              <w:left w:w="85" w:type="dxa"/>
              <w:bottom w:w="0" w:type="dxa"/>
              <w:right w:w="85" w:type="dxa"/>
            </w:tcMar>
          </w:tcPr>
          <w:p w14:paraId="4C495A63" w14:textId="77777777" w:rsidR="00E0181F" w:rsidRPr="001D5327" w:rsidRDefault="00E0181F" w:rsidP="00D11AC9">
            <w:pPr>
              <w:pStyle w:val="TableText"/>
              <w:spacing w:before="40" w:after="40"/>
              <w:jc w:val="right"/>
            </w:pPr>
            <w:r w:rsidRPr="001D5327">
              <w:rPr>
                <w:rFonts w:eastAsia="Calibri" w:cs="Calibri"/>
                <w:b/>
                <w:color w:val="1B556B"/>
                <w:szCs w:val="16"/>
              </w:rPr>
              <w:t>10,172,865</w:t>
            </w:r>
          </w:p>
        </w:tc>
        <w:tc>
          <w:tcPr>
            <w:tcW w:w="1134" w:type="dxa"/>
            <w:shd w:val="clear" w:color="auto" w:fill="FFFFFF"/>
            <w:tcMar>
              <w:top w:w="0" w:type="dxa"/>
              <w:left w:w="85" w:type="dxa"/>
              <w:bottom w:w="0" w:type="dxa"/>
              <w:right w:w="85" w:type="dxa"/>
            </w:tcMar>
          </w:tcPr>
          <w:p w14:paraId="351D603B" w14:textId="77777777" w:rsidR="00E0181F" w:rsidRPr="001D5327" w:rsidRDefault="00E0181F" w:rsidP="00D11AC9">
            <w:pPr>
              <w:pStyle w:val="TableText"/>
              <w:spacing w:before="40" w:after="40"/>
              <w:jc w:val="right"/>
            </w:pPr>
            <w:r w:rsidRPr="001D5327">
              <w:rPr>
                <w:rFonts w:eastAsia="Calibri" w:cs="Calibri"/>
                <w:b/>
                <w:color w:val="1B556B"/>
                <w:szCs w:val="16"/>
              </w:rPr>
              <w:t>8.7</w:t>
            </w:r>
          </w:p>
        </w:tc>
        <w:tc>
          <w:tcPr>
            <w:tcW w:w="851" w:type="dxa"/>
            <w:shd w:val="clear" w:color="auto" w:fill="FFFFFF"/>
            <w:tcMar>
              <w:top w:w="0" w:type="dxa"/>
              <w:left w:w="85" w:type="dxa"/>
              <w:bottom w:w="0" w:type="dxa"/>
              <w:right w:w="85" w:type="dxa"/>
            </w:tcMar>
          </w:tcPr>
          <w:p w14:paraId="43019039" w14:textId="32A3B7DB" w:rsidR="00E0181F" w:rsidRPr="001D5327" w:rsidRDefault="0070503C" w:rsidP="00D11AC9">
            <w:pPr>
              <w:pStyle w:val="TableText"/>
              <w:spacing w:before="40" w:after="40"/>
              <w:jc w:val="right"/>
            </w:pPr>
            <w:r>
              <w:rPr>
                <w:rFonts w:eastAsia="Calibri" w:cs="Calibri"/>
                <w:b/>
                <w:color w:val="1B556B"/>
                <w:szCs w:val="16"/>
              </w:rPr>
              <w:t>-</w:t>
            </w:r>
            <w:r w:rsidR="00E0181F" w:rsidRPr="001D5327">
              <w:rPr>
                <w:rFonts w:eastAsia="Calibri" w:cs="Calibri"/>
                <w:b/>
                <w:color w:val="1B556B"/>
                <w:szCs w:val="16"/>
              </w:rPr>
              <w:t>23,279.5</w:t>
            </w:r>
          </w:p>
        </w:tc>
        <w:tc>
          <w:tcPr>
            <w:tcW w:w="850" w:type="dxa"/>
            <w:shd w:val="clear" w:color="auto" w:fill="FFFFFF"/>
            <w:tcMar>
              <w:top w:w="0" w:type="dxa"/>
              <w:left w:w="85" w:type="dxa"/>
              <w:bottom w:w="0" w:type="dxa"/>
              <w:right w:w="85" w:type="dxa"/>
            </w:tcMar>
          </w:tcPr>
          <w:p w14:paraId="2E06BDEA" w14:textId="67513B8D" w:rsidR="00E0181F" w:rsidRPr="001D5327" w:rsidRDefault="0070503C" w:rsidP="00D11AC9">
            <w:pPr>
              <w:pStyle w:val="TableText"/>
              <w:spacing w:before="40" w:after="40"/>
              <w:jc w:val="right"/>
            </w:pPr>
            <w:r>
              <w:rPr>
                <w:rFonts w:eastAsia="Calibri" w:cs="Calibri"/>
                <w:b/>
                <w:color w:val="1B556B"/>
                <w:szCs w:val="16"/>
              </w:rPr>
              <w:t>-</w:t>
            </w:r>
            <w:r w:rsidR="00E0181F" w:rsidRPr="001D5327">
              <w:rPr>
                <w:rFonts w:eastAsia="Calibri" w:cs="Calibri"/>
                <w:b/>
                <w:color w:val="1B556B"/>
                <w:szCs w:val="16"/>
              </w:rPr>
              <w:t>18,235.7</w:t>
            </w:r>
          </w:p>
        </w:tc>
        <w:tc>
          <w:tcPr>
            <w:tcW w:w="1046" w:type="dxa"/>
            <w:shd w:val="clear" w:color="auto" w:fill="FFFFFF"/>
            <w:tcMar>
              <w:top w:w="0" w:type="dxa"/>
              <w:left w:w="85" w:type="dxa"/>
              <w:bottom w:w="0" w:type="dxa"/>
              <w:right w:w="85" w:type="dxa"/>
            </w:tcMar>
          </w:tcPr>
          <w:p w14:paraId="53B0805D" w14:textId="77777777" w:rsidR="00E0181F" w:rsidRPr="001D5327" w:rsidRDefault="00E0181F" w:rsidP="00D11AC9">
            <w:pPr>
              <w:pStyle w:val="TableText"/>
              <w:spacing w:before="40" w:after="40"/>
              <w:jc w:val="right"/>
            </w:pPr>
            <w:r w:rsidRPr="001D5327">
              <w:rPr>
                <w:rFonts w:eastAsia="Calibri" w:cs="Calibri"/>
                <w:b/>
                <w:color w:val="1B556B"/>
                <w:szCs w:val="16"/>
              </w:rPr>
              <w:t>21.7</w:t>
            </w:r>
          </w:p>
        </w:tc>
      </w:tr>
    </w:tbl>
    <w:p w14:paraId="75034BAD" w14:textId="77777777" w:rsidR="00E0181F" w:rsidRPr="001D5327" w:rsidRDefault="00E0181F" w:rsidP="00E0181F">
      <w:pPr>
        <w:pStyle w:val="Noteundertable"/>
        <w:spacing w:after="80"/>
      </w:pPr>
      <w:r w:rsidRPr="001D5327">
        <w:rPr>
          <w:b/>
        </w:rPr>
        <w:lastRenderedPageBreak/>
        <w:t>Note:</w:t>
      </w:r>
      <w:r w:rsidRPr="001D5327">
        <w:tab/>
        <w:t xml:space="preserve">Net area in 1990 is as at 1 January 1990; net area in 2023 is as at 31 December 2023. The area of </w:t>
      </w:r>
      <w:r w:rsidRPr="001D5327">
        <w:rPr>
          <w:i/>
        </w:rPr>
        <w:t>Land converted to forest land</w:t>
      </w:r>
      <w:r w:rsidRPr="001D5327">
        <w:t xml:space="preserve"> includes land converted up to 20 years earlier, and net area values include land in a state of conversion (due to land-use change before 1990) and afforestation since 1990. Net emission estimates are for the whole year indicated. Columns may not total due to rounding, and percentages presented are calculated from unrounded values. </w:t>
      </w:r>
    </w:p>
    <w:p w14:paraId="1A7B321F" w14:textId="77777777" w:rsidR="00E0181F" w:rsidRPr="001D5327" w:rsidRDefault="00E0181F" w:rsidP="00E0181F">
      <w:pPr>
        <w:pStyle w:val="BodyText"/>
      </w:pPr>
      <w:r w:rsidRPr="001D5327">
        <w:t xml:space="preserve">New Zealand has applied the following parameters for land to be classified as </w:t>
      </w:r>
      <w:r w:rsidRPr="001D5327">
        <w:rPr>
          <w:i/>
          <w:iCs/>
        </w:rPr>
        <w:t>Forest land</w:t>
      </w:r>
      <w:r w:rsidRPr="001D5327">
        <w:t xml:space="preserve">: </w:t>
      </w:r>
    </w:p>
    <w:p w14:paraId="033E95EC" w14:textId="77777777" w:rsidR="00E0181F" w:rsidRPr="001D5327" w:rsidRDefault="00E0181F" w:rsidP="00407428">
      <w:pPr>
        <w:pStyle w:val="Bullet"/>
        <w:numPr>
          <w:ilvl w:val="0"/>
          <w:numId w:val="23"/>
        </w:numPr>
        <w:ind w:left="397" w:hanging="397"/>
      </w:pPr>
      <w:r w:rsidRPr="001D5327">
        <w:t>minimum area of 1 hectare</w:t>
      </w:r>
    </w:p>
    <w:p w14:paraId="130A3D3A" w14:textId="77777777" w:rsidR="00E0181F" w:rsidRPr="001D5327" w:rsidRDefault="00E0181F" w:rsidP="00407428">
      <w:pPr>
        <w:pStyle w:val="Bullet"/>
        <w:numPr>
          <w:ilvl w:val="0"/>
          <w:numId w:val="23"/>
        </w:numPr>
        <w:ind w:left="397" w:hanging="397"/>
      </w:pPr>
      <w:r w:rsidRPr="001D5327">
        <w:t xml:space="preserve">potential to reach a minimum height of 5 metres </w:t>
      </w:r>
    </w:p>
    <w:p w14:paraId="0ADBA049" w14:textId="77777777" w:rsidR="00E0181F" w:rsidRPr="001D5327" w:rsidRDefault="00E0181F" w:rsidP="00407428">
      <w:pPr>
        <w:pStyle w:val="Bullet"/>
        <w:numPr>
          <w:ilvl w:val="0"/>
          <w:numId w:val="23"/>
        </w:numPr>
        <w:ind w:left="397" w:hanging="397"/>
      </w:pPr>
      <w:r w:rsidRPr="001D5327">
        <w:t>potential to reach a minimum crown cover of 30 per cent</w:t>
      </w:r>
    </w:p>
    <w:p w14:paraId="26A0BC34" w14:textId="77777777" w:rsidR="00E0181F" w:rsidRPr="001D5327" w:rsidRDefault="00E0181F" w:rsidP="00407428">
      <w:pPr>
        <w:pStyle w:val="Bullet"/>
        <w:numPr>
          <w:ilvl w:val="0"/>
          <w:numId w:val="23"/>
        </w:numPr>
        <w:ind w:left="397" w:hanging="397"/>
      </w:pPr>
      <w:r w:rsidRPr="001D5327">
        <w:t xml:space="preserve">a minimum forest width of 30 metres from canopy edge to canopy edge. </w:t>
      </w:r>
    </w:p>
    <w:p w14:paraId="7F60ECC1" w14:textId="77777777" w:rsidR="00E0181F" w:rsidRPr="001D5327" w:rsidRDefault="00E0181F" w:rsidP="00E0181F">
      <w:pPr>
        <w:pStyle w:val="BodyText"/>
      </w:pPr>
      <w:r w:rsidRPr="001D5327">
        <w:t xml:space="preserve">Where the height and canopy cover parameters are not met at the time of mapping, the land has been classified as </w:t>
      </w:r>
      <w:r w:rsidRPr="001D5327">
        <w:rPr>
          <w:i/>
        </w:rPr>
        <w:t>Forest land</w:t>
      </w:r>
      <w:r w:rsidRPr="001D5327">
        <w:t xml:space="preserve"> if the land-management practice(s) and local site conditions (including climate) are such that the forest parameters will be met over a 30- to 40-year timeframe. Note that New Zealand does not report linear shelterbelts under the </w:t>
      </w:r>
      <w:r w:rsidRPr="001D5327">
        <w:rPr>
          <w:i/>
        </w:rPr>
        <w:t>Forest land</w:t>
      </w:r>
      <w:r w:rsidRPr="001D5327">
        <w:t xml:space="preserve"> category because they are not on land managed as forest. They form part of non-forest land uses, namely </w:t>
      </w:r>
      <w:r w:rsidRPr="001D5327">
        <w:rPr>
          <w:i/>
        </w:rPr>
        <w:t>Cropland</w:t>
      </w:r>
      <w:r w:rsidRPr="001D5327">
        <w:t xml:space="preserve"> and </w:t>
      </w:r>
      <w:r w:rsidRPr="001D5327">
        <w:rPr>
          <w:i/>
        </w:rPr>
        <w:t>Grassland</w:t>
      </w:r>
      <w:r w:rsidRPr="001D5327">
        <w:t xml:space="preserve"> (as shelter for crops and/or animals). </w:t>
      </w:r>
    </w:p>
    <w:p w14:paraId="4467AE76" w14:textId="77777777" w:rsidR="00E0181F" w:rsidRPr="001D5327" w:rsidRDefault="00E0181F" w:rsidP="00E0181F">
      <w:pPr>
        <w:pStyle w:val="BodyText"/>
      </w:pPr>
      <w:r w:rsidRPr="001D5327">
        <w:t xml:space="preserve">New Zealand uses four </w:t>
      </w:r>
      <w:r w:rsidRPr="001D5327">
        <w:rPr>
          <w:i/>
        </w:rPr>
        <w:t>Forest land</w:t>
      </w:r>
      <w:r w:rsidRPr="001D5327">
        <w:t xml:space="preserve"> types: pre-1990 natural forest (predominantly native forest), pre-1990 planted forest (predominantly </w:t>
      </w:r>
      <w:r w:rsidRPr="001D5327">
        <w:rPr>
          <w:i/>
        </w:rPr>
        <w:t>Pinus radiata</w:t>
      </w:r>
      <w:r w:rsidRPr="001D5327">
        <w:t>), post-1989 planted forest and post-1989 natural forest (where post-1989 forests are those established after 31 December 1989). The definitions used for mapping these land uses are given in table 6.2.2.</w:t>
      </w:r>
    </w:p>
    <w:p w14:paraId="589CB291" w14:textId="77777777" w:rsidR="00E0181F" w:rsidRPr="001D5327" w:rsidRDefault="00E0181F" w:rsidP="00E0181F">
      <w:pPr>
        <w:pStyle w:val="BodyText"/>
      </w:pPr>
      <w:r w:rsidRPr="001D5327">
        <w:t>Table 6.4.2 shows land-use change by forest land type since 1990 and the associated CO</w:t>
      </w:r>
      <w:r w:rsidRPr="001D5327">
        <w:rPr>
          <w:vertAlign w:val="subscript"/>
        </w:rPr>
        <w:t>2</w:t>
      </w:r>
      <w:r w:rsidRPr="001D5327">
        <w:t xml:space="preserve"> emissions from carbon stock change (note: non-CO</w:t>
      </w:r>
      <w:r w:rsidRPr="001D5327">
        <w:rPr>
          <w:vertAlign w:val="subscript"/>
        </w:rPr>
        <w:t>2</w:t>
      </w:r>
      <w:r w:rsidRPr="001D5327">
        <w:t xml:space="preserve"> emissions are reported elsewhere). </w:t>
      </w:r>
    </w:p>
    <w:p w14:paraId="0E7B4C61" w14:textId="77777777" w:rsidR="00E0181F" w:rsidRPr="001D5327" w:rsidRDefault="00E0181F" w:rsidP="00E0181F">
      <w:pPr>
        <w:pStyle w:val="Table"/>
      </w:pPr>
      <w:bookmarkStart w:id="1778" w:name="_Toc310423405"/>
      <w:bookmarkStart w:id="1779" w:name="_Toc318362698"/>
      <w:bookmarkStart w:id="1780" w:name="_Toc342470760"/>
      <w:bookmarkStart w:id="1781" w:name="_Toc352505000"/>
      <w:bookmarkStart w:id="1782" w:name="_Toc373395725"/>
      <w:bookmarkStart w:id="1783" w:name="_Toc378853291"/>
      <w:bookmarkStart w:id="1784" w:name="_Toc474914592"/>
      <w:bookmarkStart w:id="1785" w:name="_Toc481751556"/>
      <w:bookmarkStart w:id="1786" w:name="_Toc522010613"/>
      <w:bookmarkStart w:id="1787" w:name="_Toc5269518"/>
      <w:bookmarkStart w:id="1788" w:name="_Toc33529392"/>
      <w:bookmarkStart w:id="1789" w:name="_Toc36224598"/>
      <w:bookmarkStart w:id="1790" w:name="_Toc131591392"/>
      <w:bookmarkStart w:id="1791" w:name="_Toc158979950"/>
      <w:bookmarkStart w:id="1792" w:name="_Toc164153883"/>
      <w:bookmarkStart w:id="1793" w:name="_Toc190873117"/>
      <w:bookmarkStart w:id="1794" w:name="_Toc194241756"/>
      <w:bookmarkStart w:id="1795" w:name="_Toc391024089"/>
      <w:bookmarkStart w:id="1796" w:name="_Toc410028832"/>
      <w:bookmarkStart w:id="1797" w:name="_Toc414531460"/>
      <w:bookmarkStart w:id="1798" w:name="_Toc443645373"/>
      <w:r w:rsidRPr="001D5327">
        <w:t>Table 6.4.2</w:t>
      </w:r>
      <w:r w:rsidRPr="001D5327">
        <w:tab/>
        <w:t>Change in land area and associated CO</w:t>
      </w:r>
      <w:r w:rsidRPr="001D5327">
        <w:rPr>
          <w:vertAlign w:val="subscript"/>
        </w:rPr>
        <w:t>2</w:t>
      </w:r>
      <w:r w:rsidRPr="001D5327">
        <w:t xml:space="preserve"> emissions from carbon stock change</w:t>
      </w:r>
      <w:bookmarkEnd w:id="1778"/>
      <w:bookmarkEnd w:id="1779"/>
      <w:bookmarkEnd w:id="1780"/>
      <w:bookmarkEnd w:id="1781"/>
      <w:bookmarkEnd w:id="1782"/>
      <w:bookmarkEnd w:id="1783"/>
      <w:r w:rsidRPr="001D5327">
        <w:br/>
        <w:t>between 1990 and 2023 for New Zealand’s</w:t>
      </w:r>
      <w:r w:rsidRPr="001D5327">
        <w:rPr>
          <w:i/>
        </w:rPr>
        <w:t xml:space="preserve"> Forest land</w:t>
      </w:r>
      <w:bookmarkEnd w:id="1784"/>
      <w:bookmarkEnd w:id="1785"/>
      <w:bookmarkEnd w:id="1786"/>
      <w:bookmarkEnd w:id="1787"/>
      <w:bookmarkEnd w:id="1788"/>
      <w:bookmarkEnd w:id="1789"/>
      <w:bookmarkEnd w:id="1790"/>
      <w:bookmarkEnd w:id="1791"/>
      <w:bookmarkEnd w:id="1792"/>
      <w:bookmarkEnd w:id="1793"/>
      <w:bookmarkEnd w:id="1794"/>
      <w:r w:rsidRPr="001D5327">
        <w:t xml:space="preserve"> </w:t>
      </w:r>
      <w:bookmarkEnd w:id="1795"/>
      <w:bookmarkEnd w:id="1796"/>
      <w:bookmarkEnd w:id="1797"/>
      <w:bookmarkEnd w:id="1798"/>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930"/>
        <w:gridCol w:w="1095"/>
        <w:gridCol w:w="1096"/>
        <w:gridCol w:w="1096"/>
        <w:gridCol w:w="1096"/>
        <w:gridCol w:w="1096"/>
        <w:gridCol w:w="1096"/>
      </w:tblGrid>
      <w:tr w:rsidR="00E0181F" w:rsidRPr="001D5327" w14:paraId="553A4E19" w14:textId="77777777" w:rsidTr="00D11AC9">
        <w:trPr>
          <w:tblHeader/>
        </w:trPr>
        <w:tc>
          <w:tcPr>
            <w:tcW w:w="1928" w:type="dxa"/>
            <w:shd w:val="clear" w:color="auto" w:fill="1B556B"/>
            <w:tcMar>
              <w:top w:w="0" w:type="dxa"/>
              <w:left w:w="85" w:type="dxa"/>
              <w:bottom w:w="0" w:type="dxa"/>
              <w:right w:w="85" w:type="dxa"/>
            </w:tcMar>
            <w:vAlign w:val="bottom"/>
          </w:tcPr>
          <w:p w14:paraId="2B2DE7B4" w14:textId="77777777" w:rsidR="00E0181F" w:rsidRPr="001D5327" w:rsidRDefault="00E0181F" w:rsidP="00D11AC9">
            <w:pPr>
              <w:pStyle w:val="TableTextBold"/>
              <w:spacing w:before="40" w:after="40"/>
              <w:rPr>
                <w:noProof w:val="0"/>
                <w:color w:val="FFFFFF" w:themeColor="background1"/>
              </w:rPr>
            </w:pPr>
          </w:p>
        </w:tc>
        <w:tc>
          <w:tcPr>
            <w:tcW w:w="2188" w:type="dxa"/>
            <w:gridSpan w:val="2"/>
            <w:shd w:val="clear" w:color="auto" w:fill="1B556B"/>
            <w:tcMar>
              <w:top w:w="0" w:type="dxa"/>
              <w:left w:w="85" w:type="dxa"/>
              <w:bottom w:w="0" w:type="dxa"/>
              <w:right w:w="85" w:type="dxa"/>
            </w:tcMar>
            <w:vAlign w:val="bottom"/>
          </w:tcPr>
          <w:p w14:paraId="1B1E9C4A"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noProof w:val="0"/>
                <w:color w:val="FFFFFF" w:themeColor="background1"/>
              </w:rPr>
              <w:t>Net area (ha)</w:t>
            </w:r>
          </w:p>
        </w:tc>
        <w:tc>
          <w:tcPr>
            <w:tcW w:w="1094" w:type="dxa"/>
            <w:shd w:val="clear" w:color="auto" w:fill="1B556B"/>
            <w:tcMar>
              <w:top w:w="0" w:type="dxa"/>
              <w:left w:w="85" w:type="dxa"/>
              <w:bottom w:w="0" w:type="dxa"/>
              <w:right w:w="85" w:type="dxa"/>
            </w:tcMar>
            <w:vAlign w:val="bottom"/>
          </w:tcPr>
          <w:p w14:paraId="005E89B2"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noProof w:val="0"/>
                <w:color w:val="FFFFFF" w:themeColor="background1"/>
              </w:rPr>
              <w:t>Change from</w:t>
            </w:r>
          </w:p>
        </w:tc>
        <w:tc>
          <w:tcPr>
            <w:tcW w:w="2188" w:type="dxa"/>
            <w:gridSpan w:val="2"/>
            <w:shd w:val="clear" w:color="auto" w:fill="1B556B"/>
            <w:tcMar>
              <w:top w:w="0" w:type="dxa"/>
              <w:left w:w="85" w:type="dxa"/>
              <w:bottom w:w="0" w:type="dxa"/>
              <w:right w:w="85" w:type="dxa"/>
            </w:tcMar>
            <w:vAlign w:val="bottom"/>
          </w:tcPr>
          <w:p w14:paraId="45D517BA"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noProof w:val="0"/>
                <w:color w:val="FFFFFF" w:themeColor="background1"/>
              </w:rPr>
              <w:t>Net emissions (kt CO₂ only)</w:t>
            </w:r>
          </w:p>
        </w:tc>
        <w:tc>
          <w:tcPr>
            <w:tcW w:w="1094" w:type="dxa"/>
            <w:shd w:val="clear" w:color="auto" w:fill="1B556B"/>
            <w:tcMar>
              <w:top w:w="0" w:type="dxa"/>
              <w:left w:w="85" w:type="dxa"/>
              <w:bottom w:w="0" w:type="dxa"/>
              <w:right w:w="85" w:type="dxa"/>
            </w:tcMar>
            <w:vAlign w:val="bottom"/>
          </w:tcPr>
          <w:p w14:paraId="1AFC1EE7"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noProof w:val="0"/>
                <w:color w:val="FFFFFF" w:themeColor="background1"/>
              </w:rPr>
              <w:t>Change from</w:t>
            </w:r>
          </w:p>
        </w:tc>
      </w:tr>
      <w:tr w:rsidR="00E0181F" w:rsidRPr="001D5327" w14:paraId="7975DB26" w14:textId="77777777" w:rsidTr="00D11AC9">
        <w:trPr>
          <w:tblHeader/>
        </w:trPr>
        <w:tc>
          <w:tcPr>
            <w:tcW w:w="1928" w:type="dxa"/>
            <w:shd w:val="clear" w:color="auto" w:fill="1B556B"/>
            <w:tcMar>
              <w:top w:w="0" w:type="dxa"/>
              <w:left w:w="85" w:type="dxa"/>
              <w:bottom w:w="0" w:type="dxa"/>
              <w:right w:w="85" w:type="dxa"/>
            </w:tcMar>
            <w:vAlign w:val="bottom"/>
          </w:tcPr>
          <w:p w14:paraId="38D2E82E" w14:textId="77777777" w:rsidR="00E0181F" w:rsidRPr="001D5327" w:rsidRDefault="00E0181F" w:rsidP="007215F9">
            <w:pPr>
              <w:pStyle w:val="TableTextBold"/>
              <w:spacing w:before="0" w:after="40"/>
              <w:rPr>
                <w:noProof w:val="0"/>
                <w:color w:val="FFFFFF" w:themeColor="background1"/>
              </w:rPr>
            </w:pPr>
            <w:r w:rsidRPr="001D5327">
              <w:rPr>
                <w:rFonts w:eastAsia="Calibri"/>
                <w:noProof w:val="0"/>
                <w:color w:val="FFFFFF" w:themeColor="background1"/>
              </w:rPr>
              <w:t>Land use</w:t>
            </w:r>
          </w:p>
        </w:tc>
        <w:tc>
          <w:tcPr>
            <w:tcW w:w="1094" w:type="dxa"/>
            <w:shd w:val="clear" w:color="auto" w:fill="1B556B"/>
            <w:tcMar>
              <w:top w:w="0" w:type="dxa"/>
              <w:left w:w="85" w:type="dxa"/>
              <w:bottom w:w="0" w:type="dxa"/>
              <w:right w:w="85" w:type="dxa"/>
            </w:tcMar>
            <w:vAlign w:val="bottom"/>
          </w:tcPr>
          <w:p w14:paraId="0E21F10D" w14:textId="77777777" w:rsidR="00E0181F" w:rsidRPr="001D5327" w:rsidRDefault="00E0181F" w:rsidP="007215F9">
            <w:pPr>
              <w:pStyle w:val="TableTextBold"/>
              <w:spacing w:before="0" w:after="40"/>
              <w:jc w:val="right"/>
              <w:rPr>
                <w:noProof w:val="0"/>
                <w:color w:val="FFFFFF" w:themeColor="background1"/>
              </w:rPr>
            </w:pPr>
            <w:r w:rsidRPr="001D5327">
              <w:rPr>
                <w:rFonts w:eastAsia="Calibri"/>
                <w:noProof w:val="0"/>
                <w:color w:val="FFFFFF" w:themeColor="background1"/>
              </w:rPr>
              <w:t>1990</w:t>
            </w:r>
          </w:p>
        </w:tc>
        <w:tc>
          <w:tcPr>
            <w:tcW w:w="1094" w:type="dxa"/>
            <w:shd w:val="clear" w:color="auto" w:fill="1B556B"/>
            <w:tcMar>
              <w:top w:w="0" w:type="dxa"/>
              <w:left w:w="85" w:type="dxa"/>
              <w:bottom w:w="0" w:type="dxa"/>
              <w:right w:w="85" w:type="dxa"/>
            </w:tcMar>
            <w:vAlign w:val="bottom"/>
          </w:tcPr>
          <w:p w14:paraId="47292603" w14:textId="77777777" w:rsidR="00E0181F" w:rsidRPr="001D5327" w:rsidRDefault="00E0181F" w:rsidP="007215F9">
            <w:pPr>
              <w:pStyle w:val="TableTextBold"/>
              <w:spacing w:before="0" w:after="40"/>
              <w:jc w:val="right"/>
              <w:rPr>
                <w:noProof w:val="0"/>
                <w:color w:val="FFFFFF" w:themeColor="background1"/>
              </w:rPr>
            </w:pPr>
            <w:r w:rsidRPr="001D5327">
              <w:rPr>
                <w:rFonts w:eastAsia="Calibri"/>
                <w:noProof w:val="0"/>
                <w:color w:val="FFFFFF" w:themeColor="background1"/>
              </w:rPr>
              <w:t>2023</w:t>
            </w:r>
          </w:p>
        </w:tc>
        <w:tc>
          <w:tcPr>
            <w:tcW w:w="1094" w:type="dxa"/>
            <w:shd w:val="clear" w:color="auto" w:fill="1B556B"/>
            <w:tcMar>
              <w:top w:w="0" w:type="dxa"/>
              <w:left w:w="85" w:type="dxa"/>
              <w:bottom w:w="0" w:type="dxa"/>
              <w:right w:w="85" w:type="dxa"/>
            </w:tcMar>
            <w:vAlign w:val="bottom"/>
          </w:tcPr>
          <w:p w14:paraId="10A413F7" w14:textId="77777777" w:rsidR="00E0181F" w:rsidRPr="001D5327" w:rsidRDefault="00E0181F" w:rsidP="007215F9">
            <w:pPr>
              <w:pStyle w:val="TableTextBold"/>
              <w:spacing w:before="0" w:after="40"/>
              <w:jc w:val="right"/>
              <w:rPr>
                <w:noProof w:val="0"/>
                <w:color w:val="FFFFFF" w:themeColor="background1"/>
              </w:rPr>
            </w:pPr>
            <w:r w:rsidRPr="001D5327">
              <w:rPr>
                <w:rFonts w:eastAsia="Calibri"/>
                <w:noProof w:val="0"/>
                <w:color w:val="FFFFFF" w:themeColor="background1"/>
              </w:rPr>
              <w:t>1990 (%)</w:t>
            </w:r>
          </w:p>
        </w:tc>
        <w:tc>
          <w:tcPr>
            <w:tcW w:w="1094" w:type="dxa"/>
            <w:shd w:val="clear" w:color="auto" w:fill="1B556B"/>
            <w:tcMar>
              <w:top w:w="0" w:type="dxa"/>
              <w:left w:w="85" w:type="dxa"/>
              <w:bottom w:w="0" w:type="dxa"/>
              <w:right w:w="85" w:type="dxa"/>
            </w:tcMar>
            <w:vAlign w:val="bottom"/>
          </w:tcPr>
          <w:p w14:paraId="019E9A2A" w14:textId="77777777" w:rsidR="00E0181F" w:rsidRPr="001D5327" w:rsidRDefault="00E0181F" w:rsidP="007215F9">
            <w:pPr>
              <w:pStyle w:val="TableTextBold"/>
              <w:spacing w:before="0" w:after="40"/>
              <w:jc w:val="right"/>
              <w:rPr>
                <w:noProof w:val="0"/>
                <w:color w:val="FFFFFF" w:themeColor="background1"/>
              </w:rPr>
            </w:pPr>
            <w:r w:rsidRPr="001D5327">
              <w:rPr>
                <w:rFonts w:eastAsia="Calibri"/>
                <w:noProof w:val="0"/>
                <w:color w:val="FFFFFF" w:themeColor="background1"/>
              </w:rPr>
              <w:t>1990</w:t>
            </w:r>
          </w:p>
        </w:tc>
        <w:tc>
          <w:tcPr>
            <w:tcW w:w="1094" w:type="dxa"/>
            <w:shd w:val="clear" w:color="auto" w:fill="1B556B"/>
            <w:tcMar>
              <w:top w:w="0" w:type="dxa"/>
              <w:left w:w="85" w:type="dxa"/>
              <w:bottom w:w="0" w:type="dxa"/>
              <w:right w:w="85" w:type="dxa"/>
            </w:tcMar>
            <w:vAlign w:val="bottom"/>
          </w:tcPr>
          <w:p w14:paraId="3C8CEFE9" w14:textId="77777777" w:rsidR="00E0181F" w:rsidRPr="001D5327" w:rsidRDefault="00E0181F" w:rsidP="007215F9">
            <w:pPr>
              <w:pStyle w:val="TableTextBold"/>
              <w:spacing w:before="0" w:after="40"/>
              <w:jc w:val="right"/>
              <w:rPr>
                <w:noProof w:val="0"/>
                <w:color w:val="FFFFFF" w:themeColor="background1"/>
              </w:rPr>
            </w:pPr>
            <w:r w:rsidRPr="001D5327">
              <w:rPr>
                <w:rFonts w:eastAsia="Calibri"/>
                <w:noProof w:val="0"/>
                <w:color w:val="FFFFFF" w:themeColor="background1"/>
              </w:rPr>
              <w:t>2023</w:t>
            </w:r>
          </w:p>
        </w:tc>
        <w:tc>
          <w:tcPr>
            <w:tcW w:w="1094" w:type="dxa"/>
            <w:shd w:val="clear" w:color="auto" w:fill="1B556B"/>
            <w:tcMar>
              <w:top w:w="0" w:type="dxa"/>
              <w:left w:w="85" w:type="dxa"/>
              <w:bottom w:w="0" w:type="dxa"/>
              <w:right w:w="85" w:type="dxa"/>
            </w:tcMar>
            <w:vAlign w:val="bottom"/>
          </w:tcPr>
          <w:p w14:paraId="05DC8F65" w14:textId="77777777" w:rsidR="00E0181F" w:rsidRPr="001D5327" w:rsidRDefault="00E0181F" w:rsidP="007215F9">
            <w:pPr>
              <w:pStyle w:val="TableTextBold"/>
              <w:spacing w:before="0" w:after="40"/>
              <w:jc w:val="right"/>
              <w:rPr>
                <w:noProof w:val="0"/>
                <w:color w:val="FFFFFF" w:themeColor="background1"/>
              </w:rPr>
            </w:pPr>
            <w:r w:rsidRPr="001D5327">
              <w:rPr>
                <w:rFonts w:eastAsia="Calibri"/>
                <w:noProof w:val="0"/>
                <w:color w:val="FFFFFF" w:themeColor="background1"/>
              </w:rPr>
              <w:t>1990 (%)</w:t>
            </w:r>
          </w:p>
        </w:tc>
      </w:tr>
      <w:tr w:rsidR="00E0181F" w:rsidRPr="001D5327" w14:paraId="32502EFF" w14:textId="77777777" w:rsidTr="00D11AC9">
        <w:tc>
          <w:tcPr>
            <w:tcW w:w="1928" w:type="dxa"/>
            <w:shd w:val="clear" w:color="auto" w:fill="FFFFFF"/>
            <w:tcMar>
              <w:top w:w="0" w:type="dxa"/>
              <w:left w:w="85" w:type="dxa"/>
              <w:bottom w:w="0" w:type="dxa"/>
              <w:right w:w="85" w:type="dxa"/>
            </w:tcMar>
            <w:vAlign w:val="center"/>
          </w:tcPr>
          <w:p w14:paraId="39652941" w14:textId="77777777" w:rsidR="00E0181F" w:rsidRPr="001D5327" w:rsidRDefault="00E0181F" w:rsidP="00D11AC9">
            <w:pPr>
              <w:pStyle w:val="TableText"/>
              <w:spacing w:before="40" w:after="40"/>
            </w:pPr>
            <w:r w:rsidRPr="001D5327">
              <w:rPr>
                <w:rFonts w:eastAsia="Calibri" w:cs="Calibri"/>
                <w:color w:val="000000"/>
                <w:szCs w:val="16"/>
              </w:rPr>
              <w:t>Pre-1990 natural forest</w:t>
            </w:r>
          </w:p>
        </w:tc>
        <w:tc>
          <w:tcPr>
            <w:tcW w:w="1094" w:type="dxa"/>
            <w:shd w:val="clear" w:color="auto" w:fill="FFFFFF"/>
            <w:tcMar>
              <w:top w:w="0" w:type="dxa"/>
              <w:left w:w="85" w:type="dxa"/>
              <w:bottom w:w="0" w:type="dxa"/>
              <w:right w:w="85" w:type="dxa"/>
            </w:tcMar>
            <w:vAlign w:val="center"/>
          </w:tcPr>
          <w:p w14:paraId="78EC848B" w14:textId="77777777" w:rsidR="00E0181F" w:rsidRPr="001D5327" w:rsidRDefault="00E0181F" w:rsidP="00D11AC9">
            <w:pPr>
              <w:pStyle w:val="TableText"/>
              <w:spacing w:before="40" w:after="40"/>
              <w:jc w:val="right"/>
            </w:pPr>
            <w:r w:rsidRPr="001D5327">
              <w:rPr>
                <w:rFonts w:eastAsia="Calibri" w:cs="Calibri"/>
                <w:color w:val="000000"/>
                <w:szCs w:val="16"/>
              </w:rPr>
              <w:t>7,812,957</w:t>
            </w:r>
          </w:p>
        </w:tc>
        <w:tc>
          <w:tcPr>
            <w:tcW w:w="1094" w:type="dxa"/>
            <w:shd w:val="clear" w:color="auto" w:fill="FFFFFF"/>
            <w:tcMar>
              <w:top w:w="0" w:type="dxa"/>
              <w:left w:w="85" w:type="dxa"/>
              <w:bottom w:w="0" w:type="dxa"/>
              <w:right w:w="85" w:type="dxa"/>
            </w:tcMar>
            <w:vAlign w:val="center"/>
          </w:tcPr>
          <w:p w14:paraId="24A5B1D9" w14:textId="77777777" w:rsidR="00E0181F" w:rsidRPr="001D5327" w:rsidRDefault="00E0181F" w:rsidP="00D11AC9">
            <w:pPr>
              <w:pStyle w:val="TableText"/>
              <w:spacing w:before="40" w:after="40"/>
              <w:jc w:val="right"/>
            </w:pPr>
            <w:r w:rsidRPr="001D5327">
              <w:rPr>
                <w:rFonts w:eastAsia="Calibri" w:cs="Calibri"/>
                <w:color w:val="000000"/>
                <w:szCs w:val="16"/>
              </w:rPr>
              <w:t>7,743,944</w:t>
            </w:r>
          </w:p>
        </w:tc>
        <w:tc>
          <w:tcPr>
            <w:tcW w:w="1094" w:type="dxa"/>
            <w:shd w:val="clear" w:color="auto" w:fill="FFFFFF"/>
            <w:tcMar>
              <w:top w:w="0" w:type="dxa"/>
              <w:left w:w="85" w:type="dxa"/>
              <w:bottom w:w="0" w:type="dxa"/>
              <w:right w:w="85" w:type="dxa"/>
            </w:tcMar>
            <w:vAlign w:val="center"/>
          </w:tcPr>
          <w:p w14:paraId="03A4944C" w14:textId="1F2D8BE8"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0.9</w:t>
            </w:r>
          </w:p>
        </w:tc>
        <w:tc>
          <w:tcPr>
            <w:tcW w:w="1094" w:type="dxa"/>
            <w:shd w:val="clear" w:color="auto" w:fill="FFFFFF"/>
            <w:tcMar>
              <w:top w:w="0" w:type="dxa"/>
              <w:left w:w="85" w:type="dxa"/>
              <w:bottom w:w="0" w:type="dxa"/>
              <w:right w:w="85" w:type="dxa"/>
            </w:tcMar>
            <w:vAlign w:val="center"/>
          </w:tcPr>
          <w:p w14:paraId="5BD9DF81" w14:textId="5A86B334"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1,360.4</w:t>
            </w:r>
          </w:p>
        </w:tc>
        <w:tc>
          <w:tcPr>
            <w:tcW w:w="1094" w:type="dxa"/>
            <w:shd w:val="clear" w:color="auto" w:fill="FFFFFF"/>
            <w:tcMar>
              <w:top w:w="0" w:type="dxa"/>
              <w:left w:w="85" w:type="dxa"/>
              <w:bottom w:w="0" w:type="dxa"/>
              <w:right w:w="85" w:type="dxa"/>
            </w:tcMar>
            <w:vAlign w:val="center"/>
          </w:tcPr>
          <w:p w14:paraId="50604508" w14:textId="14E156FF"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1,438.3</w:t>
            </w:r>
          </w:p>
        </w:tc>
        <w:tc>
          <w:tcPr>
            <w:tcW w:w="1094" w:type="dxa"/>
            <w:shd w:val="clear" w:color="auto" w:fill="FFFFFF"/>
            <w:tcMar>
              <w:top w:w="0" w:type="dxa"/>
              <w:left w:w="85" w:type="dxa"/>
              <w:bottom w:w="0" w:type="dxa"/>
              <w:right w:w="85" w:type="dxa"/>
            </w:tcMar>
            <w:vAlign w:val="center"/>
          </w:tcPr>
          <w:p w14:paraId="184536B3" w14:textId="78829D83"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5.7</w:t>
            </w:r>
          </w:p>
        </w:tc>
      </w:tr>
      <w:tr w:rsidR="00E0181F" w:rsidRPr="001D5327" w14:paraId="3074F0E7" w14:textId="77777777" w:rsidTr="00D11AC9">
        <w:tc>
          <w:tcPr>
            <w:tcW w:w="1928" w:type="dxa"/>
            <w:shd w:val="clear" w:color="auto" w:fill="FFFFFF"/>
            <w:tcMar>
              <w:top w:w="0" w:type="dxa"/>
              <w:left w:w="85" w:type="dxa"/>
              <w:bottom w:w="0" w:type="dxa"/>
              <w:right w:w="85" w:type="dxa"/>
            </w:tcMar>
            <w:vAlign w:val="center"/>
          </w:tcPr>
          <w:p w14:paraId="4927A86E" w14:textId="77777777" w:rsidR="00E0181F" w:rsidRPr="001D5327" w:rsidRDefault="00E0181F" w:rsidP="00D11AC9">
            <w:pPr>
              <w:pStyle w:val="TableText"/>
              <w:spacing w:before="40" w:after="40"/>
            </w:pPr>
            <w:r w:rsidRPr="001D5327">
              <w:rPr>
                <w:rFonts w:eastAsia="Calibri" w:cs="Calibri"/>
                <w:color w:val="000000"/>
                <w:szCs w:val="16"/>
              </w:rPr>
              <w:t>Pre-1990 planted forest</w:t>
            </w:r>
          </w:p>
        </w:tc>
        <w:tc>
          <w:tcPr>
            <w:tcW w:w="1094" w:type="dxa"/>
            <w:shd w:val="clear" w:color="auto" w:fill="FFFFFF"/>
            <w:tcMar>
              <w:top w:w="0" w:type="dxa"/>
              <w:left w:w="85" w:type="dxa"/>
              <w:bottom w:w="0" w:type="dxa"/>
              <w:right w:w="85" w:type="dxa"/>
            </w:tcMar>
            <w:vAlign w:val="center"/>
          </w:tcPr>
          <w:p w14:paraId="11755BDB" w14:textId="77777777" w:rsidR="00E0181F" w:rsidRPr="001D5327" w:rsidRDefault="00E0181F" w:rsidP="00D11AC9">
            <w:pPr>
              <w:pStyle w:val="TableText"/>
              <w:spacing w:before="40" w:after="40"/>
              <w:jc w:val="right"/>
            </w:pPr>
            <w:r w:rsidRPr="001D5327">
              <w:rPr>
                <w:rFonts w:eastAsia="Calibri" w:cs="Calibri"/>
                <w:color w:val="000000"/>
                <w:szCs w:val="16"/>
              </w:rPr>
              <w:t>1,547,048</w:t>
            </w:r>
          </w:p>
        </w:tc>
        <w:tc>
          <w:tcPr>
            <w:tcW w:w="1094" w:type="dxa"/>
            <w:shd w:val="clear" w:color="auto" w:fill="FFFFFF"/>
            <w:tcMar>
              <w:top w:w="0" w:type="dxa"/>
              <w:left w:w="85" w:type="dxa"/>
              <w:bottom w:w="0" w:type="dxa"/>
              <w:right w:w="85" w:type="dxa"/>
            </w:tcMar>
            <w:vAlign w:val="center"/>
          </w:tcPr>
          <w:p w14:paraId="5E519681" w14:textId="77777777" w:rsidR="00E0181F" w:rsidRPr="001D5327" w:rsidRDefault="00E0181F" w:rsidP="00D11AC9">
            <w:pPr>
              <w:pStyle w:val="TableText"/>
              <w:spacing w:before="40" w:after="40"/>
              <w:jc w:val="right"/>
            </w:pPr>
            <w:r w:rsidRPr="001D5327">
              <w:rPr>
                <w:rFonts w:eastAsia="Calibri" w:cs="Calibri"/>
                <w:color w:val="000000"/>
                <w:szCs w:val="16"/>
              </w:rPr>
              <w:t>1,433,970</w:t>
            </w:r>
          </w:p>
        </w:tc>
        <w:tc>
          <w:tcPr>
            <w:tcW w:w="1094" w:type="dxa"/>
            <w:shd w:val="clear" w:color="auto" w:fill="FFFFFF"/>
            <w:tcMar>
              <w:top w:w="0" w:type="dxa"/>
              <w:left w:w="85" w:type="dxa"/>
              <w:bottom w:w="0" w:type="dxa"/>
              <w:right w:w="85" w:type="dxa"/>
            </w:tcMar>
            <w:vAlign w:val="center"/>
          </w:tcPr>
          <w:p w14:paraId="7B07CAAC" w14:textId="7C3CCCAE"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7.3</w:t>
            </w:r>
          </w:p>
        </w:tc>
        <w:tc>
          <w:tcPr>
            <w:tcW w:w="1094" w:type="dxa"/>
            <w:shd w:val="clear" w:color="auto" w:fill="FFFFFF"/>
            <w:tcMar>
              <w:top w:w="0" w:type="dxa"/>
              <w:left w:w="85" w:type="dxa"/>
              <w:bottom w:w="0" w:type="dxa"/>
              <w:right w:w="85" w:type="dxa"/>
            </w:tcMar>
            <w:vAlign w:val="center"/>
          </w:tcPr>
          <w:p w14:paraId="74F71354" w14:textId="68339EC5"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22,333.6</w:t>
            </w:r>
          </w:p>
        </w:tc>
        <w:tc>
          <w:tcPr>
            <w:tcW w:w="1094" w:type="dxa"/>
            <w:shd w:val="clear" w:color="auto" w:fill="FFFFFF"/>
            <w:tcMar>
              <w:top w:w="0" w:type="dxa"/>
              <w:left w:w="85" w:type="dxa"/>
              <w:bottom w:w="0" w:type="dxa"/>
              <w:right w:w="85" w:type="dxa"/>
            </w:tcMar>
            <w:vAlign w:val="center"/>
          </w:tcPr>
          <w:p w14:paraId="45AD7E9E" w14:textId="179055DA"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14,185.3</w:t>
            </w:r>
          </w:p>
        </w:tc>
        <w:tc>
          <w:tcPr>
            <w:tcW w:w="1094" w:type="dxa"/>
            <w:shd w:val="clear" w:color="auto" w:fill="FFFFFF"/>
            <w:tcMar>
              <w:top w:w="0" w:type="dxa"/>
              <w:left w:w="85" w:type="dxa"/>
              <w:bottom w:w="0" w:type="dxa"/>
              <w:right w:w="85" w:type="dxa"/>
            </w:tcMar>
            <w:vAlign w:val="center"/>
          </w:tcPr>
          <w:p w14:paraId="2BDF4C0A" w14:textId="77777777" w:rsidR="00E0181F" w:rsidRPr="001D5327" w:rsidRDefault="00E0181F" w:rsidP="00D11AC9">
            <w:pPr>
              <w:pStyle w:val="TableText"/>
              <w:spacing w:before="40" w:after="40"/>
              <w:jc w:val="right"/>
            </w:pPr>
            <w:r w:rsidRPr="001D5327">
              <w:rPr>
                <w:rFonts w:eastAsia="Calibri" w:cs="Calibri"/>
                <w:color w:val="000000"/>
                <w:szCs w:val="16"/>
              </w:rPr>
              <w:t>36.5</w:t>
            </w:r>
          </w:p>
        </w:tc>
      </w:tr>
      <w:tr w:rsidR="00E0181F" w:rsidRPr="001D5327" w14:paraId="29D606F4" w14:textId="77777777" w:rsidTr="00D11AC9">
        <w:tc>
          <w:tcPr>
            <w:tcW w:w="1928" w:type="dxa"/>
            <w:shd w:val="clear" w:color="auto" w:fill="FFFFFF"/>
            <w:tcMar>
              <w:top w:w="0" w:type="dxa"/>
              <w:left w:w="85" w:type="dxa"/>
              <w:bottom w:w="0" w:type="dxa"/>
              <w:right w:w="85" w:type="dxa"/>
            </w:tcMar>
            <w:vAlign w:val="center"/>
          </w:tcPr>
          <w:p w14:paraId="114A9C85" w14:textId="77777777" w:rsidR="00E0181F" w:rsidRPr="001D5327" w:rsidRDefault="00E0181F" w:rsidP="00D11AC9">
            <w:pPr>
              <w:pStyle w:val="TableText"/>
              <w:spacing w:before="40" w:after="40"/>
            </w:pPr>
            <w:r w:rsidRPr="001D5327">
              <w:rPr>
                <w:rFonts w:eastAsia="Calibri" w:cs="Calibri"/>
                <w:color w:val="000000"/>
                <w:szCs w:val="16"/>
              </w:rPr>
              <w:t>Post-1989 planted forest</w:t>
            </w:r>
          </w:p>
        </w:tc>
        <w:tc>
          <w:tcPr>
            <w:tcW w:w="1094" w:type="dxa"/>
            <w:shd w:val="clear" w:color="auto" w:fill="FFFFFF"/>
            <w:tcMar>
              <w:top w:w="0" w:type="dxa"/>
              <w:left w:w="85" w:type="dxa"/>
              <w:bottom w:w="0" w:type="dxa"/>
              <w:right w:w="85" w:type="dxa"/>
            </w:tcMar>
            <w:vAlign w:val="center"/>
          </w:tcPr>
          <w:p w14:paraId="7663628B" w14:textId="77777777" w:rsidR="00E0181F" w:rsidRPr="001D5327" w:rsidRDefault="00E0181F" w:rsidP="00D11AC9">
            <w:pPr>
              <w:pStyle w:val="TableText"/>
              <w:spacing w:before="40" w:after="40"/>
              <w:jc w:val="right"/>
            </w:pPr>
            <w:r w:rsidRPr="001D5327">
              <w:rPr>
                <w:rFonts w:eastAsia="Calibri" w:cs="Calibri"/>
                <w:color w:val="000000"/>
                <w:szCs w:val="16"/>
              </w:rPr>
              <w:t>0</w:t>
            </w:r>
          </w:p>
        </w:tc>
        <w:tc>
          <w:tcPr>
            <w:tcW w:w="1094" w:type="dxa"/>
            <w:shd w:val="clear" w:color="auto" w:fill="FFFFFF"/>
            <w:tcMar>
              <w:top w:w="0" w:type="dxa"/>
              <w:left w:w="85" w:type="dxa"/>
              <w:bottom w:w="0" w:type="dxa"/>
              <w:right w:w="85" w:type="dxa"/>
            </w:tcMar>
            <w:vAlign w:val="center"/>
          </w:tcPr>
          <w:p w14:paraId="5DC87298" w14:textId="77777777" w:rsidR="00E0181F" w:rsidRPr="001D5327" w:rsidRDefault="00E0181F" w:rsidP="00D11AC9">
            <w:pPr>
              <w:pStyle w:val="TableText"/>
              <w:spacing w:before="40" w:after="40"/>
              <w:jc w:val="right"/>
            </w:pPr>
            <w:r w:rsidRPr="001D5327">
              <w:rPr>
                <w:rFonts w:eastAsia="Calibri" w:cs="Calibri"/>
                <w:color w:val="000000"/>
                <w:szCs w:val="16"/>
              </w:rPr>
              <w:t>883,431</w:t>
            </w:r>
          </w:p>
        </w:tc>
        <w:tc>
          <w:tcPr>
            <w:tcW w:w="1094" w:type="dxa"/>
            <w:shd w:val="clear" w:color="auto" w:fill="FFFFFF"/>
            <w:tcMar>
              <w:top w:w="0" w:type="dxa"/>
              <w:left w:w="85" w:type="dxa"/>
              <w:bottom w:w="0" w:type="dxa"/>
              <w:right w:w="85" w:type="dxa"/>
            </w:tcMar>
            <w:vAlign w:val="center"/>
          </w:tcPr>
          <w:p w14:paraId="6DE1140C" w14:textId="347DAF0F" w:rsidR="00E0181F" w:rsidRPr="001D5327" w:rsidRDefault="0070503C" w:rsidP="00D11AC9">
            <w:pPr>
              <w:pStyle w:val="TableText"/>
              <w:spacing w:before="40" w:after="40"/>
              <w:jc w:val="right"/>
            </w:pPr>
            <w:r>
              <w:rPr>
                <w:rFonts w:eastAsia="Calibri" w:cs="Calibri"/>
                <w:color w:val="000000"/>
                <w:szCs w:val="16"/>
              </w:rPr>
              <w:t>-</w:t>
            </w:r>
          </w:p>
        </w:tc>
        <w:tc>
          <w:tcPr>
            <w:tcW w:w="1094" w:type="dxa"/>
            <w:shd w:val="clear" w:color="auto" w:fill="FFFFFF"/>
            <w:tcMar>
              <w:top w:w="0" w:type="dxa"/>
              <w:left w:w="85" w:type="dxa"/>
              <w:bottom w:w="0" w:type="dxa"/>
              <w:right w:w="85" w:type="dxa"/>
            </w:tcMar>
            <w:vAlign w:val="center"/>
          </w:tcPr>
          <w:p w14:paraId="6ECB0099" w14:textId="77777777" w:rsidR="00E0181F" w:rsidRPr="001D5327" w:rsidRDefault="00E0181F" w:rsidP="00D11AC9">
            <w:pPr>
              <w:pStyle w:val="TableText"/>
              <w:spacing w:before="40" w:after="40"/>
              <w:jc w:val="right"/>
            </w:pPr>
            <w:r w:rsidRPr="001D5327">
              <w:rPr>
                <w:rFonts w:eastAsia="Calibri" w:cs="Calibri"/>
                <w:color w:val="000000"/>
                <w:szCs w:val="16"/>
              </w:rPr>
              <w:t>164.1</w:t>
            </w:r>
          </w:p>
        </w:tc>
        <w:tc>
          <w:tcPr>
            <w:tcW w:w="1094" w:type="dxa"/>
            <w:shd w:val="clear" w:color="auto" w:fill="FFFFFF"/>
            <w:tcMar>
              <w:top w:w="0" w:type="dxa"/>
              <w:left w:w="85" w:type="dxa"/>
              <w:bottom w:w="0" w:type="dxa"/>
              <w:right w:w="85" w:type="dxa"/>
            </w:tcMar>
            <w:vAlign w:val="center"/>
          </w:tcPr>
          <w:p w14:paraId="7CE2F1AD" w14:textId="3B79AF1A"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2,110.1</w:t>
            </w:r>
          </w:p>
        </w:tc>
        <w:tc>
          <w:tcPr>
            <w:tcW w:w="1094" w:type="dxa"/>
            <w:shd w:val="clear" w:color="auto" w:fill="FFFFFF"/>
            <w:tcMar>
              <w:top w:w="0" w:type="dxa"/>
              <w:left w:w="85" w:type="dxa"/>
              <w:bottom w:w="0" w:type="dxa"/>
              <w:right w:w="85" w:type="dxa"/>
            </w:tcMar>
            <w:vAlign w:val="center"/>
          </w:tcPr>
          <w:p w14:paraId="295E830B" w14:textId="082A5657"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1,386.1</w:t>
            </w:r>
          </w:p>
        </w:tc>
      </w:tr>
      <w:tr w:rsidR="00E0181F" w:rsidRPr="001D5327" w14:paraId="0E6B63E0" w14:textId="77777777" w:rsidTr="00D11AC9">
        <w:tc>
          <w:tcPr>
            <w:tcW w:w="1928" w:type="dxa"/>
            <w:shd w:val="clear" w:color="auto" w:fill="FFFFFF"/>
            <w:tcMar>
              <w:top w:w="0" w:type="dxa"/>
              <w:left w:w="85" w:type="dxa"/>
              <w:bottom w:w="0" w:type="dxa"/>
              <w:right w:w="85" w:type="dxa"/>
            </w:tcMar>
            <w:vAlign w:val="center"/>
          </w:tcPr>
          <w:p w14:paraId="12D57CD6" w14:textId="77777777" w:rsidR="00E0181F" w:rsidRPr="001D5327" w:rsidRDefault="00E0181F" w:rsidP="00D11AC9">
            <w:pPr>
              <w:pStyle w:val="TableText"/>
              <w:spacing w:before="40" w:after="40"/>
            </w:pPr>
            <w:r w:rsidRPr="001D5327">
              <w:rPr>
                <w:rFonts w:eastAsia="Calibri" w:cs="Calibri"/>
                <w:color w:val="000000"/>
                <w:szCs w:val="16"/>
              </w:rPr>
              <w:t>Post-1989 natural forest</w:t>
            </w:r>
          </w:p>
        </w:tc>
        <w:tc>
          <w:tcPr>
            <w:tcW w:w="1094" w:type="dxa"/>
            <w:shd w:val="clear" w:color="auto" w:fill="FFFFFF"/>
            <w:tcMar>
              <w:top w:w="0" w:type="dxa"/>
              <w:left w:w="85" w:type="dxa"/>
              <w:bottom w:w="0" w:type="dxa"/>
              <w:right w:w="85" w:type="dxa"/>
            </w:tcMar>
            <w:vAlign w:val="center"/>
          </w:tcPr>
          <w:p w14:paraId="2322C814" w14:textId="77777777" w:rsidR="00E0181F" w:rsidRPr="001D5327" w:rsidRDefault="00E0181F" w:rsidP="00D11AC9">
            <w:pPr>
              <w:pStyle w:val="TableText"/>
              <w:spacing w:before="40" w:after="40"/>
              <w:jc w:val="right"/>
            </w:pPr>
            <w:r w:rsidRPr="001D5327">
              <w:rPr>
                <w:rFonts w:eastAsia="Calibri" w:cs="Calibri"/>
                <w:color w:val="000000"/>
                <w:szCs w:val="16"/>
              </w:rPr>
              <w:t>0</w:t>
            </w:r>
          </w:p>
        </w:tc>
        <w:tc>
          <w:tcPr>
            <w:tcW w:w="1094" w:type="dxa"/>
            <w:shd w:val="clear" w:color="auto" w:fill="FFFFFF"/>
            <w:tcMar>
              <w:top w:w="0" w:type="dxa"/>
              <w:left w:w="85" w:type="dxa"/>
              <w:bottom w:w="0" w:type="dxa"/>
              <w:right w:w="85" w:type="dxa"/>
            </w:tcMar>
            <w:vAlign w:val="center"/>
          </w:tcPr>
          <w:p w14:paraId="086272CC" w14:textId="77777777" w:rsidR="00E0181F" w:rsidRPr="001D5327" w:rsidRDefault="00E0181F" w:rsidP="00D11AC9">
            <w:pPr>
              <w:pStyle w:val="TableText"/>
              <w:spacing w:before="40" w:after="40"/>
              <w:jc w:val="right"/>
            </w:pPr>
            <w:r w:rsidRPr="001D5327">
              <w:rPr>
                <w:rFonts w:eastAsia="Calibri" w:cs="Calibri"/>
                <w:color w:val="000000"/>
                <w:szCs w:val="16"/>
              </w:rPr>
              <w:t>111,520</w:t>
            </w:r>
          </w:p>
        </w:tc>
        <w:tc>
          <w:tcPr>
            <w:tcW w:w="1094" w:type="dxa"/>
            <w:shd w:val="clear" w:color="auto" w:fill="FFFFFF"/>
            <w:tcMar>
              <w:top w:w="0" w:type="dxa"/>
              <w:left w:w="85" w:type="dxa"/>
              <w:bottom w:w="0" w:type="dxa"/>
              <w:right w:w="85" w:type="dxa"/>
            </w:tcMar>
            <w:vAlign w:val="center"/>
          </w:tcPr>
          <w:p w14:paraId="43DAB32F" w14:textId="193ED14C" w:rsidR="00E0181F" w:rsidRPr="001D5327" w:rsidRDefault="0070503C" w:rsidP="00D11AC9">
            <w:pPr>
              <w:pStyle w:val="TableText"/>
              <w:spacing w:before="40" w:after="40"/>
              <w:jc w:val="right"/>
            </w:pPr>
            <w:r>
              <w:rPr>
                <w:rFonts w:eastAsia="Calibri" w:cs="Calibri"/>
                <w:color w:val="000000"/>
                <w:szCs w:val="16"/>
              </w:rPr>
              <w:t>-</w:t>
            </w:r>
          </w:p>
        </w:tc>
        <w:tc>
          <w:tcPr>
            <w:tcW w:w="1094" w:type="dxa"/>
            <w:shd w:val="clear" w:color="auto" w:fill="FFFFFF"/>
            <w:tcMar>
              <w:top w:w="0" w:type="dxa"/>
              <w:left w:w="85" w:type="dxa"/>
              <w:bottom w:w="0" w:type="dxa"/>
              <w:right w:w="85" w:type="dxa"/>
            </w:tcMar>
            <w:vAlign w:val="center"/>
          </w:tcPr>
          <w:p w14:paraId="3818D8F5" w14:textId="77777777" w:rsidR="00E0181F" w:rsidRPr="001D5327" w:rsidRDefault="00E0181F" w:rsidP="00D11AC9">
            <w:pPr>
              <w:pStyle w:val="TableText"/>
              <w:spacing w:before="40" w:after="40"/>
              <w:jc w:val="right"/>
            </w:pPr>
            <w:r w:rsidRPr="001D5327">
              <w:rPr>
                <w:rFonts w:eastAsia="Calibri" w:cs="Calibri"/>
                <w:color w:val="000000"/>
                <w:szCs w:val="16"/>
              </w:rPr>
              <w:t>3.7</w:t>
            </w:r>
          </w:p>
        </w:tc>
        <w:tc>
          <w:tcPr>
            <w:tcW w:w="1094" w:type="dxa"/>
            <w:shd w:val="clear" w:color="auto" w:fill="FFFFFF"/>
            <w:tcMar>
              <w:top w:w="0" w:type="dxa"/>
              <w:left w:w="85" w:type="dxa"/>
              <w:bottom w:w="0" w:type="dxa"/>
              <w:right w:w="85" w:type="dxa"/>
            </w:tcMar>
            <w:vAlign w:val="center"/>
          </w:tcPr>
          <w:p w14:paraId="2C480267" w14:textId="2888E9C7"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754.6</w:t>
            </w:r>
          </w:p>
        </w:tc>
        <w:tc>
          <w:tcPr>
            <w:tcW w:w="1094" w:type="dxa"/>
            <w:shd w:val="clear" w:color="auto" w:fill="FFFFFF"/>
            <w:tcMar>
              <w:top w:w="0" w:type="dxa"/>
              <w:left w:w="85" w:type="dxa"/>
              <w:bottom w:w="0" w:type="dxa"/>
              <w:right w:w="85" w:type="dxa"/>
            </w:tcMar>
            <w:vAlign w:val="center"/>
          </w:tcPr>
          <w:p w14:paraId="6190E343" w14:textId="0A5F9C67"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20,301.2</w:t>
            </w:r>
          </w:p>
        </w:tc>
      </w:tr>
      <w:tr w:rsidR="00E0181F" w:rsidRPr="001D5327" w14:paraId="639423E7" w14:textId="77777777" w:rsidTr="00D11AC9">
        <w:tc>
          <w:tcPr>
            <w:tcW w:w="1928" w:type="dxa"/>
            <w:shd w:val="clear" w:color="auto" w:fill="FFFFFF"/>
            <w:tcMar>
              <w:top w:w="0" w:type="dxa"/>
              <w:left w:w="85" w:type="dxa"/>
              <w:bottom w:w="0" w:type="dxa"/>
              <w:right w:w="85" w:type="dxa"/>
            </w:tcMar>
            <w:vAlign w:val="center"/>
          </w:tcPr>
          <w:p w14:paraId="48E33661" w14:textId="77777777" w:rsidR="00E0181F" w:rsidRPr="001D5327" w:rsidRDefault="00E0181F" w:rsidP="00D11AC9">
            <w:pPr>
              <w:pStyle w:val="TableText"/>
              <w:spacing w:before="40" w:after="40"/>
            </w:pPr>
            <w:r w:rsidRPr="001D5327">
              <w:rPr>
                <w:rFonts w:eastAsia="Calibri" w:cs="Calibri"/>
                <w:b/>
                <w:color w:val="1B556B"/>
                <w:szCs w:val="16"/>
              </w:rPr>
              <w:t>Total</w:t>
            </w:r>
          </w:p>
        </w:tc>
        <w:tc>
          <w:tcPr>
            <w:tcW w:w="1094" w:type="dxa"/>
            <w:shd w:val="clear" w:color="auto" w:fill="FFFFFF"/>
            <w:tcMar>
              <w:top w:w="0" w:type="dxa"/>
              <w:left w:w="85" w:type="dxa"/>
              <w:bottom w:w="0" w:type="dxa"/>
              <w:right w:w="85" w:type="dxa"/>
            </w:tcMar>
            <w:vAlign w:val="center"/>
          </w:tcPr>
          <w:p w14:paraId="4FAA154F" w14:textId="77777777" w:rsidR="00E0181F" w:rsidRPr="001D5327" w:rsidRDefault="00E0181F" w:rsidP="00D11AC9">
            <w:pPr>
              <w:pStyle w:val="TableText"/>
              <w:spacing w:before="40" w:after="40"/>
              <w:jc w:val="right"/>
            </w:pPr>
            <w:r w:rsidRPr="001D5327">
              <w:rPr>
                <w:rFonts w:eastAsia="Calibri" w:cs="Calibri"/>
                <w:b/>
                <w:color w:val="1B556B"/>
                <w:szCs w:val="16"/>
              </w:rPr>
              <w:t>9,360,005</w:t>
            </w:r>
          </w:p>
        </w:tc>
        <w:tc>
          <w:tcPr>
            <w:tcW w:w="1094" w:type="dxa"/>
            <w:shd w:val="clear" w:color="auto" w:fill="FFFFFF"/>
            <w:tcMar>
              <w:top w:w="0" w:type="dxa"/>
              <w:left w:w="85" w:type="dxa"/>
              <w:bottom w:w="0" w:type="dxa"/>
              <w:right w:w="85" w:type="dxa"/>
            </w:tcMar>
            <w:vAlign w:val="center"/>
          </w:tcPr>
          <w:p w14:paraId="4B004B05" w14:textId="77777777" w:rsidR="00E0181F" w:rsidRPr="001D5327" w:rsidRDefault="00E0181F" w:rsidP="00D11AC9">
            <w:pPr>
              <w:pStyle w:val="TableText"/>
              <w:spacing w:before="40" w:after="40"/>
              <w:jc w:val="right"/>
            </w:pPr>
            <w:r w:rsidRPr="001D5327">
              <w:rPr>
                <w:rFonts w:eastAsia="Calibri" w:cs="Calibri"/>
                <w:b/>
                <w:color w:val="1B556B"/>
                <w:szCs w:val="16"/>
              </w:rPr>
              <w:t>10,172,865</w:t>
            </w:r>
          </w:p>
        </w:tc>
        <w:tc>
          <w:tcPr>
            <w:tcW w:w="1094" w:type="dxa"/>
            <w:shd w:val="clear" w:color="auto" w:fill="FFFFFF"/>
            <w:tcMar>
              <w:top w:w="0" w:type="dxa"/>
              <w:left w:w="85" w:type="dxa"/>
              <w:bottom w:w="0" w:type="dxa"/>
              <w:right w:w="85" w:type="dxa"/>
            </w:tcMar>
            <w:vAlign w:val="center"/>
          </w:tcPr>
          <w:p w14:paraId="654AD80E" w14:textId="77777777" w:rsidR="00E0181F" w:rsidRPr="001D5327" w:rsidRDefault="00E0181F" w:rsidP="00D11AC9">
            <w:pPr>
              <w:pStyle w:val="TableText"/>
              <w:spacing w:before="40" w:after="40"/>
              <w:jc w:val="right"/>
            </w:pPr>
            <w:r w:rsidRPr="001D5327">
              <w:rPr>
                <w:rFonts w:eastAsia="Calibri" w:cs="Calibri"/>
                <w:b/>
                <w:color w:val="1B556B"/>
                <w:szCs w:val="16"/>
              </w:rPr>
              <w:t>8.7</w:t>
            </w:r>
          </w:p>
        </w:tc>
        <w:tc>
          <w:tcPr>
            <w:tcW w:w="1094" w:type="dxa"/>
            <w:shd w:val="clear" w:color="auto" w:fill="FFFFFF"/>
            <w:tcMar>
              <w:top w:w="0" w:type="dxa"/>
              <w:left w:w="85" w:type="dxa"/>
              <w:bottom w:w="0" w:type="dxa"/>
              <w:right w:w="85" w:type="dxa"/>
            </w:tcMar>
            <w:vAlign w:val="center"/>
          </w:tcPr>
          <w:p w14:paraId="034F77BE" w14:textId="40E1D6AA" w:rsidR="00E0181F" w:rsidRPr="001D5327" w:rsidRDefault="0070503C" w:rsidP="00D11AC9">
            <w:pPr>
              <w:pStyle w:val="TableText"/>
              <w:spacing w:before="40" w:after="40"/>
              <w:jc w:val="right"/>
            </w:pPr>
            <w:r>
              <w:rPr>
                <w:rFonts w:eastAsia="Calibri" w:cs="Calibri"/>
                <w:b/>
                <w:color w:val="1B556B"/>
                <w:szCs w:val="16"/>
              </w:rPr>
              <w:t>-</w:t>
            </w:r>
            <w:r w:rsidR="00E0181F" w:rsidRPr="001D5327">
              <w:rPr>
                <w:rFonts w:eastAsia="Calibri" w:cs="Calibri"/>
                <w:b/>
                <w:color w:val="1B556B"/>
                <w:szCs w:val="16"/>
              </w:rPr>
              <w:t>23,526.2</w:t>
            </w:r>
          </w:p>
        </w:tc>
        <w:tc>
          <w:tcPr>
            <w:tcW w:w="1094" w:type="dxa"/>
            <w:shd w:val="clear" w:color="auto" w:fill="FFFFFF"/>
            <w:tcMar>
              <w:top w:w="0" w:type="dxa"/>
              <w:left w:w="85" w:type="dxa"/>
              <w:bottom w:w="0" w:type="dxa"/>
              <w:right w:w="85" w:type="dxa"/>
            </w:tcMar>
            <w:vAlign w:val="center"/>
          </w:tcPr>
          <w:p w14:paraId="1AB161A8" w14:textId="7F9F8184" w:rsidR="00E0181F" w:rsidRPr="001D5327" w:rsidRDefault="0070503C" w:rsidP="00D11AC9">
            <w:pPr>
              <w:pStyle w:val="TableText"/>
              <w:spacing w:before="40" w:after="40"/>
              <w:jc w:val="right"/>
            </w:pPr>
            <w:r>
              <w:rPr>
                <w:rFonts w:eastAsia="Calibri" w:cs="Calibri"/>
                <w:b/>
                <w:color w:val="1B556B"/>
                <w:szCs w:val="16"/>
              </w:rPr>
              <w:t>-</w:t>
            </w:r>
            <w:r w:rsidR="00E0181F" w:rsidRPr="001D5327">
              <w:rPr>
                <w:rFonts w:eastAsia="Calibri" w:cs="Calibri"/>
                <w:b/>
                <w:color w:val="1B556B"/>
                <w:szCs w:val="16"/>
              </w:rPr>
              <w:t>18,488.3</w:t>
            </w:r>
          </w:p>
        </w:tc>
        <w:tc>
          <w:tcPr>
            <w:tcW w:w="1094" w:type="dxa"/>
            <w:shd w:val="clear" w:color="auto" w:fill="FFFFFF"/>
            <w:tcMar>
              <w:top w:w="0" w:type="dxa"/>
              <w:left w:w="85" w:type="dxa"/>
              <w:bottom w:w="0" w:type="dxa"/>
              <w:right w:w="85" w:type="dxa"/>
            </w:tcMar>
            <w:vAlign w:val="center"/>
          </w:tcPr>
          <w:p w14:paraId="21FC3544" w14:textId="77777777" w:rsidR="00E0181F" w:rsidRPr="001D5327" w:rsidRDefault="00E0181F" w:rsidP="00D11AC9">
            <w:pPr>
              <w:pStyle w:val="TableText"/>
              <w:spacing w:before="40" w:after="40"/>
              <w:jc w:val="right"/>
            </w:pPr>
            <w:r w:rsidRPr="001D5327">
              <w:rPr>
                <w:rFonts w:eastAsia="Calibri" w:cs="Calibri"/>
                <w:b/>
                <w:color w:val="1B556B"/>
                <w:szCs w:val="16"/>
              </w:rPr>
              <w:t>21.4</w:t>
            </w:r>
          </w:p>
        </w:tc>
      </w:tr>
    </w:tbl>
    <w:p w14:paraId="45324995" w14:textId="77777777" w:rsidR="00E0181F" w:rsidRPr="001D5327" w:rsidRDefault="00E0181F" w:rsidP="00E0181F">
      <w:pPr>
        <w:pStyle w:val="Noteundertable"/>
      </w:pPr>
      <w:r w:rsidRPr="001D5327">
        <w:rPr>
          <w:b/>
        </w:rPr>
        <w:t>Note:</w:t>
      </w:r>
      <w:r w:rsidRPr="001D5327">
        <w:tab/>
        <w:t xml:space="preserve">Net area in 1990 is as at 1 January 1990; net area in 2023 is as at 31 December 2023. Net area values include land in a state of conversion to forest (due to land-use change before 1990) and afforestation since 1990. Net emissions estimates are for the whole year indicated. Columns may not total due to rounding. Emissions associated with the conversion of forest to other land uses are reported in the land use category the land is converted to. </w:t>
      </w:r>
    </w:p>
    <w:p w14:paraId="353DABDA" w14:textId="37CFDD79" w:rsidR="00E0181F" w:rsidRPr="001D5327" w:rsidRDefault="00E0181F" w:rsidP="00E0181F">
      <w:pPr>
        <w:pStyle w:val="BodyText"/>
      </w:pPr>
      <w:r w:rsidRPr="001D5327">
        <w:t>Table 6.4.3 shows New Zealand’s carbon stock change by carbon pool and forest land type within the</w:t>
      </w:r>
      <w:r w:rsidRPr="001D5327">
        <w:rPr>
          <w:rFonts w:cs="Arial Bold"/>
        </w:rPr>
        <w:t xml:space="preserve"> </w:t>
      </w:r>
      <w:r w:rsidRPr="001D5327">
        <w:rPr>
          <w:rFonts w:cs="Arial Bold"/>
          <w:i/>
        </w:rPr>
        <w:t>Forest</w:t>
      </w:r>
      <w:r w:rsidRPr="001D5327">
        <w:rPr>
          <w:i/>
        </w:rPr>
        <w:t xml:space="preserve"> land</w:t>
      </w:r>
      <w:r w:rsidRPr="001D5327">
        <w:t xml:space="preserve"> category from 1990 to 2023. Over this period, the total carbon stock stored in </w:t>
      </w:r>
      <w:r w:rsidRPr="001D5327">
        <w:rPr>
          <w:i/>
        </w:rPr>
        <w:t>Forest land</w:t>
      </w:r>
      <w:r w:rsidRPr="001D5327">
        <w:t xml:space="preserve"> has increased by 233,508.5 kt C, equivalent to emissions of </w:t>
      </w:r>
      <w:r w:rsidRPr="001D5327">
        <w:br/>
      </w:r>
      <w:r w:rsidR="0070503C">
        <w:noBreakHyphen/>
      </w:r>
      <w:r w:rsidRPr="001D5327">
        <w:t>856,197.8 tonnes CO</w:t>
      </w:r>
      <w:r w:rsidRPr="001D5327">
        <w:rPr>
          <w:vertAlign w:val="subscript"/>
        </w:rPr>
        <w:t>2</w:t>
      </w:r>
      <w:r w:rsidRPr="001D5327">
        <w:t xml:space="preserve"> since 1990. </w:t>
      </w:r>
    </w:p>
    <w:p w14:paraId="19F6920E" w14:textId="77777777" w:rsidR="00E0181F" w:rsidRPr="001D5327" w:rsidDel="00A96DD7" w:rsidRDefault="00E0181F" w:rsidP="00E0181F">
      <w:pPr>
        <w:pStyle w:val="Table"/>
      </w:pPr>
      <w:bookmarkStart w:id="1799" w:name="_Toc280630454"/>
      <w:bookmarkStart w:id="1800" w:name="_Toc310423406"/>
      <w:bookmarkStart w:id="1801" w:name="_Toc318362699"/>
      <w:bookmarkStart w:id="1802" w:name="_Toc342470761"/>
      <w:bookmarkStart w:id="1803" w:name="_Toc352505001"/>
      <w:bookmarkStart w:id="1804" w:name="_Toc373395726"/>
      <w:bookmarkStart w:id="1805" w:name="_Toc378853292"/>
      <w:bookmarkStart w:id="1806" w:name="_Toc391024090"/>
      <w:bookmarkStart w:id="1807" w:name="_Toc410028833"/>
      <w:bookmarkStart w:id="1808" w:name="_Toc414531461"/>
      <w:bookmarkStart w:id="1809" w:name="_Toc443645374"/>
      <w:bookmarkStart w:id="1810" w:name="_Toc474914593"/>
      <w:bookmarkStart w:id="1811" w:name="_Toc481751557"/>
      <w:bookmarkStart w:id="1812" w:name="_Toc522010614"/>
      <w:bookmarkStart w:id="1813" w:name="_Toc5269519"/>
      <w:bookmarkStart w:id="1814" w:name="_Toc33529393"/>
      <w:bookmarkStart w:id="1815" w:name="_Toc36224599"/>
      <w:bookmarkStart w:id="1816" w:name="_Toc158979951"/>
      <w:bookmarkStart w:id="1817" w:name="_Toc164153884"/>
      <w:bookmarkStart w:id="1818" w:name="_Toc190873118"/>
      <w:bookmarkStart w:id="1819" w:name="_Toc194241757"/>
      <w:bookmarkStart w:id="1820" w:name="_Toc131591393"/>
      <w:r w:rsidRPr="001D5327">
        <w:lastRenderedPageBreak/>
        <w:t>Table 6.4.3</w:t>
      </w:r>
      <w:r w:rsidRPr="001D5327">
        <w:tab/>
        <w:t>New Zealand’s net carbon stock change by carbon pool for the</w:t>
      </w:r>
      <w:r w:rsidRPr="001D5327">
        <w:rPr>
          <w:rFonts w:cs="Arial Bold"/>
        </w:rPr>
        <w:t xml:space="preserve"> </w:t>
      </w:r>
      <w:r w:rsidRPr="001D5327">
        <w:rPr>
          <w:rFonts w:cs="Arial Bold"/>
          <w:i/>
        </w:rPr>
        <w:t>Forest</w:t>
      </w:r>
      <w:r w:rsidRPr="001D5327">
        <w:rPr>
          <w:i/>
        </w:rPr>
        <w:t xml:space="preserve"> land </w:t>
      </w:r>
      <w:r w:rsidRPr="001D5327">
        <w:t>category,</w:t>
      </w:r>
      <w:r w:rsidRPr="001D5327">
        <w:br/>
        <w:t>from 1990 to</w:t>
      </w:r>
      <w:bookmarkEnd w:id="1799"/>
      <w:bookmarkEnd w:id="1800"/>
      <w:bookmarkEnd w:id="1801"/>
      <w:bookmarkEnd w:id="1802"/>
      <w:bookmarkEnd w:id="1803"/>
      <w:bookmarkEnd w:id="1804"/>
      <w:bookmarkEnd w:id="1805"/>
      <w:bookmarkEnd w:id="1806"/>
      <w:r w:rsidRPr="001D5327">
        <w:t> </w:t>
      </w:r>
      <w:bookmarkEnd w:id="1807"/>
      <w:bookmarkEnd w:id="1808"/>
      <w:bookmarkEnd w:id="1809"/>
      <w:bookmarkEnd w:id="1810"/>
      <w:bookmarkEnd w:id="1811"/>
      <w:bookmarkEnd w:id="1812"/>
      <w:bookmarkEnd w:id="1813"/>
      <w:bookmarkEnd w:id="1814"/>
      <w:bookmarkEnd w:id="1815"/>
      <w:bookmarkEnd w:id="1816"/>
      <w:bookmarkEnd w:id="1817"/>
      <w:r w:rsidRPr="001D5327">
        <w:t>2023</w:t>
      </w:r>
      <w:bookmarkEnd w:id="1818"/>
      <w:bookmarkEnd w:id="1819"/>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863"/>
        <w:gridCol w:w="1256"/>
        <w:gridCol w:w="1701"/>
        <w:gridCol w:w="992"/>
        <w:gridCol w:w="851"/>
        <w:gridCol w:w="1842"/>
      </w:tblGrid>
      <w:tr w:rsidR="00E0181F" w:rsidRPr="001D5327" w14:paraId="3585F07D" w14:textId="77777777" w:rsidTr="00D11AC9">
        <w:trPr>
          <w:tblHeader/>
        </w:trPr>
        <w:tc>
          <w:tcPr>
            <w:tcW w:w="1863" w:type="dxa"/>
            <w:shd w:val="clear" w:color="auto" w:fill="1B556B"/>
            <w:tcMar>
              <w:top w:w="0" w:type="dxa"/>
              <w:left w:w="85" w:type="dxa"/>
              <w:bottom w:w="0" w:type="dxa"/>
              <w:right w:w="85" w:type="dxa"/>
            </w:tcMar>
          </w:tcPr>
          <w:p w14:paraId="234DDDFB" w14:textId="77777777" w:rsidR="00E0181F" w:rsidRPr="001D5327" w:rsidRDefault="00E0181F" w:rsidP="007215F9">
            <w:pPr>
              <w:pStyle w:val="TableText"/>
              <w:keepNext/>
              <w:spacing w:before="40" w:after="40"/>
            </w:pPr>
          </w:p>
        </w:tc>
        <w:tc>
          <w:tcPr>
            <w:tcW w:w="4800" w:type="dxa"/>
            <w:gridSpan w:val="4"/>
            <w:shd w:val="clear" w:color="auto" w:fill="1B556B"/>
            <w:tcMar>
              <w:top w:w="0" w:type="dxa"/>
              <w:left w:w="85" w:type="dxa"/>
              <w:bottom w:w="0" w:type="dxa"/>
              <w:right w:w="85" w:type="dxa"/>
            </w:tcMar>
          </w:tcPr>
          <w:p w14:paraId="7D49B72D" w14:textId="77777777" w:rsidR="00E0181F" w:rsidRPr="001D5327" w:rsidRDefault="00E0181F" w:rsidP="007215F9">
            <w:pPr>
              <w:pStyle w:val="TableText"/>
              <w:keepNext/>
              <w:spacing w:before="40" w:after="0"/>
              <w:jc w:val="center"/>
            </w:pPr>
            <w:r w:rsidRPr="001D5327">
              <w:rPr>
                <w:rFonts w:eastAsia="Calibri" w:cs="Calibri"/>
                <w:b/>
                <w:color w:val="FFFFFF"/>
                <w:szCs w:val="16"/>
              </w:rPr>
              <w:t>Net carbon stock change 1990–2023 (kt C)</w:t>
            </w:r>
          </w:p>
        </w:tc>
        <w:tc>
          <w:tcPr>
            <w:tcW w:w="1842" w:type="dxa"/>
            <w:shd w:val="clear" w:color="auto" w:fill="1B556B"/>
            <w:tcMar>
              <w:top w:w="0" w:type="dxa"/>
              <w:left w:w="85" w:type="dxa"/>
              <w:bottom w:w="0" w:type="dxa"/>
              <w:right w:w="85" w:type="dxa"/>
            </w:tcMar>
          </w:tcPr>
          <w:p w14:paraId="1005471D" w14:textId="77777777" w:rsidR="00E0181F" w:rsidRPr="001D5327" w:rsidRDefault="00E0181F" w:rsidP="007215F9">
            <w:pPr>
              <w:pStyle w:val="TableText"/>
              <w:keepNext/>
              <w:spacing w:before="40" w:after="0"/>
              <w:jc w:val="center"/>
            </w:pPr>
            <w:r w:rsidRPr="001D5327">
              <w:rPr>
                <w:rFonts w:eastAsia="Calibri" w:cs="Calibri"/>
                <w:b/>
                <w:color w:val="FFFFFF"/>
                <w:szCs w:val="16"/>
              </w:rPr>
              <w:t>Emissions 1990–2023</w:t>
            </w:r>
          </w:p>
        </w:tc>
      </w:tr>
      <w:tr w:rsidR="00E0181F" w:rsidRPr="001D5327" w14:paraId="3F373EE0" w14:textId="77777777" w:rsidTr="00D11AC9">
        <w:trPr>
          <w:tblHeader/>
        </w:trPr>
        <w:tc>
          <w:tcPr>
            <w:tcW w:w="1863" w:type="dxa"/>
            <w:shd w:val="clear" w:color="auto" w:fill="1B556B"/>
            <w:tcMar>
              <w:top w:w="0" w:type="dxa"/>
              <w:left w:w="85" w:type="dxa"/>
              <w:bottom w:w="0" w:type="dxa"/>
              <w:right w:w="85" w:type="dxa"/>
            </w:tcMar>
          </w:tcPr>
          <w:p w14:paraId="6E67B3CA" w14:textId="77777777" w:rsidR="00E0181F" w:rsidRPr="001D5327" w:rsidRDefault="00E0181F" w:rsidP="007215F9">
            <w:pPr>
              <w:pStyle w:val="TableText"/>
              <w:keepNext/>
              <w:spacing w:before="0" w:after="40"/>
            </w:pPr>
            <w:r w:rsidRPr="001D5327">
              <w:rPr>
                <w:rFonts w:eastAsia="Calibri" w:cs="Calibri"/>
                <w:b/>
                <w:color w:val="FFFFFF"/>
                <w:szCs w:val="16"/>
              </w:rPr>
              <w:t>Land use</w:t>
            </w:r>
          </w:p>
        </w:tc>
        <w:tc>
          <w:tcPr>
            <w:tcW w:w="1256" w:type="dxa"/>
            <w:shd w:val="clear" w:color="auto" w:fill="1B556B"/>
            <w:tcMar>
              <w:top w:w="0" w:type="dxa"/>
              <w:left w:w="85" w:type="dxa"/>
              <w:bottom w:w="0" w:type="dxa"/>
              <w:right w:w="85" w:type="dxa"/>
            </w:tcMar>
          </w:tcPr>
          <w:p w14:paraId="1B69380F" w14:textId="77777777" w:rsidR="00E0181F" w:rsidRPr="001D5327" w:rsidRDefault="00E0181F" w:rsidP="007215F9">
            <w:pPr>
              <w:pStyle w:val="TableText"/>
              <w:keepNext/>
              <w:spacing w:before="0" w:after="40"/>
              <w:jc w:val="right"/>
            </w:pPr>
            <w:r w:rsidRPr="001D5327">
              <w:rPr>
                <w:rFonts w:eastAsia="Calibri" w:cs="Calibri"/>
                <w:b/>
                <w:color w:val="FFFFFF"/>
                <w:szCs w:val="16"/>
              </w:rPr>
              <w:t>Living biomass</w:t>
            </w:r>
          </w:p>
        </w:tc>
        <w:tc>
          <w:tcPr>
            <w:tcW w:w="1701" w:type="dxa"/>
            <w:shd w:val="clear" w:color="auto" w:fill="1B556B"/>
            <w:tcMar>
              <w:top w:w="0" w:type="dxa"/>
              <w:left w:w="85" w:type="dxa"/>
              <w:bottom w:w="0" w:type="dxa"/>
              <w:right w:w="85" w:type="dxa"/>
            </w:tcMar>
          </w:tcPr>
          <w:p w14:paraId="2E984BAD" w14:textId="77777777" w:rsidR="00E0181F" w:rsidRPr="001D5327" w:rsidRDefault="00E0181F" w:rsidP="007215F9">
            <w:pPr>
              <w:pStyle w:val="TableText"/>
              <w:keepNext/>
              <w:spacing w:before="0" w:after="40"/>
              <w:jc w:val="right"/>
            </w:pPr>
            <w:r w:rsidRPr="001D5327">
              <w:rPr>
                <w:rFonts w:eastAsia="Calibri" w:cs="Calibri"/>
                <w:b/>
                <w:color w:val="FFFFFF"/>
                <w:szCs w:val="16"/>
              </w:rPr>
              <w:t>Dead organic matter</w:t>
            </w:r>
          </w:p>
        </w:tc>
        <w:tc>
          <w:tcPr>
            <w:tcW w:w="992" w:type="dxa"/>
            <w:shd w:val="clear" w:color="auto" w:fill="1B556B"/>
            <w:tcMar>
              <w:top w:w="0" w:type="dxa"/>
              <w:left w:w="85" w:type="dxa"/>
              <w:bottom w:w="0" w:type="dxa"/>
              <w:right w:w="85" w:type="dxa"/>
            </w:tcMar>
          </w:tcPr>
          <w:p w14:paraId="239BF67A" w14:textId="77777777" w:rsidR="00E0181F" w:rsidRPr="001D5327" w:rsidRDefault="00E0181F" w:rsidP="007215F9">
            <w:pPr>
              <w:pStyle w:val="TableText"/>
              <w:keepNext/>
              <w:spacing w:before="0" w:after="40"/>
              <w:jc w:val="right"/>
            </w:pPr>
            <w:r w:rsidRPr="001D5327">
              <w:rPr>
                <w:rFonts w:eastAsia="Calibri" w:cs="Calibri"/>
                <w:b/>
                <w:color w:val="FFFFFF"/>
                <w:szCs w:val="16"/>
              </w:rPr>
              <w:t>Soils</w:t>
            </w:r>
          </w:p>
        </w:tc>
        <w:tc>
          <w:tcPr>
            <w:tcW w:w="851" w:type="dxa"/>
            <w:shd w:val="clear" w:color="auto" w:fill="1B556B"/>
            <w:tcMar>
              <w:top w:w="0" w:type="dxa"/>
              <w:left w:w="85" w:type="dxa"/>
              <w:bottom w:w="0" w:type="dxa"/>
              <w:right w:w="85" w:type="dxa"/>
            </w:tcMar>
          </w:tcPr>
          <w:p w14:paraId="314B7CDD" w14:textId="77777777" w:rsidR="00E0181F" w:rsidRPr="001D5327" w:rsidRDefault="00E0181F" w:rsidP="007215F9">
            <w:pPr>
              <w:pStyle w:val="TableText"/>
              <w:keepNext/>
              <w:spacing w:before="0" w:after="40"/>
              <w:jc w:val="right"/>
            </w:pPr>
            <w:r w:rsidRPr="001D5327">
              <w:rPr>
                <w:rFonts w:eastAsia="Calibri" w:cs="Calibri"/>
                <w:b/>
                <w:color w:val="FFFFFF"/>
                <w:szCs w:val="16"/>
              </w:rPr>
              <w:t>Total</w:t>
            </w:r>
          </w:p>
        </w:tc>
        <w:tc>
          <w:tcPr>
            <w:tcW w:w="1842" w:type="dxa"/>
            <w:shd w:val="clear" w:color="auto" w:fill="1B556B"/>
            <w:tcMar>
              <w:top w:w="0" w:type="dxa"/>
              <w:left w:w="85" w:type="dxa"/>
              <w:bottom w:w="0" w:type="dxa"/>
              <w:right w:w="85" w:type="dxa"/>
            </w:tcMar>
          </w:tcPr>
          <w:p w14:paraId="3801FC42" w14:textId="77777777" w:rsidR="00E0181F" w:rsidRPr="001D5327" w:rsidRDefault="00E0181F" w:rsidP="007215F9">
            <w:pPr>
              <w:pStyle w:val="TableText"/>
              <w:keepNext/>
              <w:spacing w:before="0" w:after="40"/>
              <w:jc w:val="right"/>
            </w:pPr>
            <w:r w:rsidRPr="001D5327">
              <w:rPr>
                <w:rFonts w:eastAsia="Calibri" w:cs="Calibri"/>
                <w:b/>
                <w:color w:val="FFFFFF"/>
                <w:szCs w:val="16"/>
              </w:rPr>
              <w:t>(kt CO₂)</w:t>
            </w:r>
          </w:p>
        </w:tc>
      </w:tr>
      <w:tr w:rsidR="00E0181F" w:rsidRPr="001D5327" w14:paraId="2BD01BDB" w14:textId="77777777" w:rsidTr="00D11AC9">
        <w:tc>
          <w:tcPr>
            <w:tcW w:w="1863" w:type="dxa"/>
            <w:shd w:val="clear" w:color="auto" w:fill="FFFFFF"/>
            <w:tcMar>
              <w:top w:w="0" w:type="dxa"/>
              <w:left w:w="85" w:type="dxa"/>
              <w:bottom w:w="0" w:type="dxa"/>
              <w:right w:w="85" w:type="dxa"/>
            </w:tcMar>
          </w:tcPr>
          <w:p w14:paraId="4573FB7B" w14:textId="77777777" w:rsidR="00E0181F" w:rsidRPr="001D5327" w:rsidRDefault="00E0181F" w:rsidP="007215F9">
            <w:pPr>
              <w:pStyle w:val="TableText"/>
              <w:keepNext/>
              <w:spacing w:before="40" w:after="40"/>
            </w:pPr>
            <w:r w:rsidRPr="001D5327">
              <w:rPr>
                <w:rFonts w:eastAsia="Calibri" w:cs="Calibri"/>
                <w:color w:val="000000"/>
                <w:szCs w:val="16"/>
              </w:rPr>
              <w:t>Pre-1990 natural forest</w:t>
            </w:r>
          </w:p>
        </w:tc>
        <w:tc>
          <w:tcPr>
            <w:tcW w:w="1256" w:type="dxa"/>
            <w:shd w:val="clear" w:color="auto" w:fill="FFFFFF"/>
            <w:tcMar>
              <w:top w:w="0" w:type="dxa"/>
              <w:left w:w="85" w:type="dxa"/>
              <w:bottom w:w="0" w:type="dxa"/>
              <w:right w:w="85" w:type="dxa"/>
            </w:tcMar>
          </w:tcPr>
          <w:p w14:paraId="0D836AF0" w14:textId="77777777" w:rsidR="00E0181F" w:rsidRPr="001D5327" w:rsidRDefault="00E0181F" w:rsidP="007215F9">
            <w:pPr>
              <w:pStyle w:val="TableText"/>
              <w:keepNext/>
              <w:spacing w:before="40" w:after="40"/>
              <w:jc w:val="right"/>
            </w:pPr>
            <w:r w:rsidRPr="001D5327">
              <w:rPr>
                <w:rFonts w:eastAsia="Calibri" w:cs="Calibri"/>
                <w:color w:val="000000"/>
                <w:szCs w:val="16"/>
              </w:rPr>
              <w:t>11,423.1</w:t>
            </w:r>
          </w:p>
        </w:tc>
        <w:tc>
          <w:tcPr>
            <w:tcW w:w="1701" w:type="dxa"/>
            <w:shd w:val="clear" w:color="auto" w:fill="FFFFFF"/>
            <w:tcMar>
              <w:top w:w="0" w:type="dxa"/>
              <w:left w:w="85" w:type="dxa"/>
              <w:bottom w:w="0" w:type="dxa"/>
              <w:right w:w="85" w:type="dxa"/>
            </w:tcMar>
          </w:tcPr>
          <w:p w14:paraId="05AA3715" w14:textId="77777777" w:rsidR="00E0181F" w:rsidRPr="001D5327" w:rsidRDefault="00E0181F" w:rsidP="007215F9">
            <w:pPr>
              <w:pStyle w:val="TableText"/>
              <w:keepNext/>
              <w:spacing w:before="40" w:after="40"/>
              <w:jc w:val="right"/>
            </w:pPr>
            <w:r w:rsidRPr="001D5327">
              <w:rPr>
                <w:rFonts w:eastAsia="Calibri" w:cs="Calibri"/>
                <w:color w:val="000000"/>
                <w:szCs w:val="16"/>
              </w:rPr>
              <w:t>1,124.3</w:t>
            </w:r>
          </w:p>
        </w:tc>
        <w:tc>
          <w:tcPr>
            <w:tcW w:w="992" w:type="dxa"/>
            <w:shd w:val="clear" w:color="auto" w:fill="FFFFFF"/>
            <w:tcMar>
              <w:top w:w="0" w:type="dxa"/>
              <w:left w:w="85" w:type="dxa"/>
              <w:bottom w:w="0" w:type="dxa"/>
              <w:right w:w="85" w:type="dxa"/>
            </w:tcMar>
          </w:tcPr>
          <w:p w14:paraId="6E0FD573" w14:textId="36298487" w:rsidR="00E0181F" w:rsidRPr="001D5327" w:rsidRDefault="0070503C" w:rsidP="007215F9">
            <w:pPr>
              <w:pStyle w:val="TableText"/>
              <w:keepNext/>
              <w:spacing w:before="40" w:after="40"/>
              <w:jc w:val="right"/>
            </w:pPr>
            <w:r>
              <w:rPr>
                <w:rFonts w:eastAsia="Calibri" w:cs="Calibri"/>
                <w:color w:val="000000"/>
                <w:szCs w:val="16"/>
              </w:rPr>
              <w:t>-</w:t>
            </w:r>
            <w:r w:rsidR="00E0181F" w:rsidRPr="001D5327">
              <w:rPr>
                <w:rFonts w:eastAsia="Calibri" w:cs="Calibri"/>
                <w:color w:val="000000"/>
                <w:szCs w:val="16"/>
              </w:rPr>
              <w:t>135.2</w:t>
            </w:r>
          </w:p>
        </w:tc>
        <w:tc>
          <w:tcPr>
            <w:tcW w:w="851" w:type="dxa"/>
            <w:shd w:val="clear" w:color="auto" w:fill="FFFFFF"/>
            <w:tcMar>
              <w:top w:w="0" w:type="dxa"/>
              <w:left w:w="85" w:type="dxa"/>
              <w:bottom w:w="0" w:type="dxa"/>
              <w:right w:w="85" w:type="dxa"/>
            </w:tcMar>
          </w:tcPr>
          <w:p w14:paraId="707C9F26" w14:textId="77777777" w:rsidR="00E0181F" w:rsidRPr="001D5327" w:rsidRDefault="00E0181F" w:rsidP="007215F9">
            <w:pPr>
              <w:pStyle w:val="TableText"/>
              <w:keepNext/>
              <w:spacing w:before="40" w:after="40"/>
              <w:jc w:val="right"/>
            </w:pPr>
            <w:r w:rsidRPr="001D5327">
              <w:rPr>
                <w:rFonts w:eastAsia="Calibri" w:cs="Calibri"/>
                <w:color w:val="000000"/>
                <w:szCs w:val="16"/>
              </w:rPr>
              <w:t>12,412.3</w:t>
            </w:r>
          </w:p>
        </w:tc>
        <w:tc>
          <w:tcPr>
            <w:tcW w:w="1842" w:type="dxa"/>
            <w:shd w:val="clear" w:color="auto" w:fill="FFFFFF"/>
            <w:tcMar>
              <w:top w:w="0" w:type="dxa"/>
              <w:left w:w="85" w:type="dxa"/>
              <w:bottom w:w="0" w:type="dxa"/>
              <w:right w:w="85" w:type="dxa"/>
            </w:tcMar>
          </w:tcPr>
          <w:p w14:paraId="77F2771A" w14:textId="091D8D6E" w:rsidR="00E0181F" w:rsidRPr="001D5327" w:rsidRDefault="0070503C" w:rsidP="007215F9">
            <w:pPr>
              <w:pStyle w:val="TableText"/>
              <w:keepNext/>
              <w:spacing w:before="40" w:after="40"/>
              <w:jc w:val="right"/>
            </w:pPr>
            <w:r>
              <w:rPr>
                <w:rFonts w:eastAsia="Calibri" w:cs="Calibri"/>
                <w:color w:val="000000"/>
                <w:szCs w:val="16"/>
              </w:rPr>
              <w:t>-</w:t>
            </w:r>
            <w:r w:rsidR="00E0181F" w:rsidRPr="001D5327">
              <w:rPr>
                <w:rFonts w:eastAsia="Calibri" w:cs="Calibri"/>
                <w:color w:val="000000"/>
                <w:szCs w:val="16"/>
              </w:rPr>
              <w:t>45,511.7</w:t>
            </w:r>
          </w:p>
        </w:tc>
      </w:tr>
      <w:tr w:rsidR="00E0181F" w:rsidRPr="001D5327" w14:paraId="4F8BEA4D" w14:textId="77777777" w:rsidTr="00D11AC9">
        <w:tc>
          <w:tcPr>
            <w:tcW w:w="1863" w:type="dxa"/>
            <w:shd w:val="clear" w:color="auto" w:fill="FFFFFF"/>
            <w:tcMar>
              <w:top w:w="0" w:type="dxa"/>
              <w:left w:w="85" w:type="dxa"/>
              <w:bottom w:w="0" w:type="dxa"/>
              <w:right w:w="85" w:type="dxa"/>
            </w:tcMar>
          </w:tcPr>
          <w:p w14:paraId="69C95A53" w14:textId="77777777" w:rsidR="00E0181F" w:rsidRPr="001D5327" w:rsidRDefault="00E0181F" w:rsidP="00D11AC9">
            <w:pPr>
              <w:pStyle w:val="TableText"/>
              <w:spacing w:before="40" w:after="40"/>
            </w:pPr>
            <w:r w:rsidRPr="001D5327">
              <w:rPr>
                <w:rFonts w:eastAsia="Calibri" w:cs="Calibri"/>
                <w:color w:val="000000"/>
                <w:szCs w:val="16"/>
              </w:rPr>
              <w:t>Pre-1990 planted forest</w:t>
            </w:r>
          </w:p>
        </w:tc>
        <w:tc>
          <w:tcPr>
            <w:tcW w:w="1256" w:type="dxa"/>
            <w:shd w:val="clear" w:color="auto" w:fill="FFFFFF"/>
            <w:tcMar>
              <w:top w:w="0" w:type="dxa"/>
              <w:left w:w="85" w:type="dxa"/>
              <w:bottom w:w="0" w:type="dxa"/>
              <w:right w:w="85" w:type="dxa"/>
            </w:tcMar>
          </w:tcPr>
          <w:p w14:paraId="6C9B2413" w14:textId="77777777" w:rsidR="00E0181F" w:rsidRPr="001D5327" w:rsidRDefault="00E0181F" w:rsidP="00D11AC9">
            <w:pPr>
              <w:pStyle w:val="TableText"/>
              <w:spacing w:before="40" w:after="40"/>
              <w:jc w:val="right"/>
            </w:pPr>
            <w:r w:rsidRPr="001D5327">
              <w:rPr>
                <w:rFonts w:eastAsia="Calibri" w:cs="Calibri"/>
                <w:color w:val="000000"/>
                <w:szCs w:val="16"/>
              </w:rPr>
              <w:t>116,622.9</w:t>
            </w:r>
          </w:p>
        </w:tc>
        <w:tc>
          <w:tcPr>
            <w:tcW w:w="1701" w:type="dxa"/>
            <w:shd w:val="clear" w:color="auto" w:fill="FFFFFF"/>
            <w:tcMar>
              <w:top w:w="0" w:type="dxa"/>
              <w:left w:w="85" w:type="dxa"/>
              <w:bottom w:w="0" w:type="dxa"/>
              <w:right w:w="85" w:type="dxa"/>
            </w:tcMar>
          </w:tcPr>
          <w:p w14:paraId="16C3EBC2" w14:textId="77777777" w:rsidR="00E0181F" w:rsidRPr="001D5327" w:rsidRDefault="00E0181F" w:rsidP="00D11AC9">
            <w:pPr>
              <w:pStyle w:val="TableText"/>
              <w:spacing w:before="40" w:after="40"/>
              <w:jc w:val="right"/>
            </w:pPr>
            <w:r w:rsidRPr="001D5327">
              <w:rPr>
                <w:rFonts w:eastAsia="Calibri" w:cs="Calibri"/>
                <w:color w:val="000000"/>
                <w:szCs w:val="16"/>
              </w:rPr>
              <w:t>16,610.5</w:t>
            </w:r>
          </w:p>
        </w:tc>
        <w:tc>
          <w:tcPr>
            <w:tcW w:w="992" w:type="dxa"/>
            <w:shd w:val="clear" w:color="auto" w:fill="FFFFFF"/>
            <w:tcMar>
              <w:top w:w="0" w:type="dxa"/>
              <w:left w:w="85" w:type="dxa"/>
              <w:bottom w:w="0" w:type="dxa"/>
              <w:right w:w="85" w:type="dxa"/>
            </w:tcMar>
          </w:tcPr>
          <w:p w14:paraId="753838E1" w14:textId="7848C7F9"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4,389.5</w:t>
            </w:r>
          </w:p>
        </w:tc>
        <w:tc>
          <w:tcPr>
            <w:tcW w:w="851" w:type="dxa"/>
            <w:shd w:val="clear" w:color="auto" w:fill="FFFFFF"/>
            <w:tcMar>
              <w:top w:w="0" w:type="dxa"/>
              <w:left w:w="85" w:type="dxa"/>
              <w:bottom w:w="0" w:type="dxa"/>
              <w:right w:w="85" w:type="dxa"/>
            </w:tcMar>
          </w:tcPr>
          <w:p w14:paraId="08EB13EA" w14:textId="77777777" w:rsidR="00E0181F" w:rsidRPr="001D5327" w:rsidRDefault="00E0181F" w:rsidP="00D11AC9">
            <w:pPr>
              <w:pStyle w:val="TableText"/>
              <w:spacing w:before="40" w:after="40"/>
              <w:jc w:val="right"/>
            </w:pPr>
            <w:r w:rsidRPr="001D5327">
              <w:rPr>
                <w:rFonts w:eastAsia="Calibri" w:cs="Calibri"/>
                <w:color w:val="000000"/>
                <w:szCs w:val="16"/>
              </w:rPr>
              <w:t>128,843.9</w:t>
            </w:r>
          </w:p>
        </w:tc>
        <w:tc>
          <w:tcPr>
            <w:tcW w:w="1842" w:type="dxa"/>
            <w:shd w:val="clear" w:color="auto" w:fill="FFFFFF"/>
            <w:tcMar>
              <w:top w:w="0" w:type="dxa"/>
              <w:left w:w="85" w:type="dxa"/>
              <w:bottom w:w="0" w:type="dxa"/>
              <w:right w:w="85" w:type="dxa"/>
            </w:tcMar>
          </w:tcPr>
          <w:p w14:paraId="3D67BB5E" w14:textId="19C9AF3B"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472,427.7</w:t>
            </w:r>
          </w:p>
        </w:tc>
      </w:tr>
      <w:tr w:rsidR="00E0181F" w:rsidRPr="001D5327" w14:paraId="53F88A8C" w14:textId="77777777" w:rsidTr="00D11AC9">
        <w:tc>
          <w:tcPr>
            <w:tcW w:w="1863" w:type="dxa"/>
            <w:shd w:val="clear" w:color="auto" w:fill="FFFFFF"/>
            <w:tcMar>
              <w:top w:w="0" w:type="dxa"/>
              <w:left w:w="85" w:type="dxa"/>
              <w:bottom w:w="0" w:type="dxa"/>
              <w:right w:w="85" w:type="dxa"/>
            </w:tcMar>
          </w:tcPr>
          <w:p w14:paraId="45A86E0E" w14:textId="77777777" w:rsidR="00E0181F" w:rsidRPr="001D5327" w:rsidRDefault="00E0181F" w:rsidP="00D11AC9">
            <w:pPr>
              <w:pStyle w:val="TableText"/>
              <w:spacing w:before="40" w:after="40"/>
            </w:pPr>
            <w:r w:rsidRPr="001D5327">
              <w:rPr>
                <w:rFonts w:eastAsia="Calibri" w:cs="Calibri"/>
                <w:color w:val="000000"/>
                <w:szCs w:val="16"/>
              </w:rPr>
              <w:t>Post-1989 planted forest</w:t>
            </w:r>
          </w:p>
        </w:tc>
        <w:tc>
          <w:tcPr>
            <w:tcW w:w="1256" w:type="dxa"/>
            <w:shd w:val="clear" w:color="auto" w:fill="FFFFFF"/>
            <w:tcMar>
              <w:top w:w="0" w:type="dxa"/>
              <w:left w:w="85" w:type="dxa"/>
              <w:bottom w:w="0" w:type="dxa"/>
              <w:right w:w="85" w:type="dxa"/>
            </w:tcMar>
          </w:tcPr>
          <w:p w14:paraId="6992E002" w14:textId="77777777" w:rsidR="00E0181F" w:rsidRPr="001D5327" w:rsidRDefault="00E0181F" w:rsidP="00D11AC9">
            <w:pPr>
              <w:pStyle w:val="TableText"/>
              <w:spacing w:before="40" w:after="40"/>
              <w:jc w:val="right"/>
            </w:pPr>
            <w:r w:rsidRPr="001D5327">
              <w:rPr>
                <w:rFonts w:eastAsia="Calibri" w:cs="Calibri"/>
                <w:color w:val="000000"/>
                <w:szCs w:val="16"/>
              </w:rPr>
              <w:t>81,878.3</w:t>
            </w:r>
          </w:p>
        </w:tc>
        <w:tc>
          <w:tcPr>
            <w:tcW w:w="1701" w:type="dxa"/>
            <w:shd w:val="clear" w:color="auto" w:fill="FFFFFF"/>
            <w:tcMar>
              <w:top w:w="0" w:type="dxa"/>
              <w:left w:w="85" w:type="dxa"/>
              <w:bottom w:w="0" w:type="dxa"/>
              <w:right w:w="85" w:type="dxa"/>
            </w:tcMar>
          </w:tcPr>
          <w:p w14:paraId="42A88D29" w14:textId="77777777" w:rsidR="00E0181F" w:rsidRPr="001D5327" w:rsidRDefault="00E0181F" w:rsidP="00D11AC9">
            <w:pPr>
              <w:pStyle w:val="TableText"/>
              <w:spacing w:before="40" w:after="40"/>
              <w:jc w:val="right"/>
            </w:pPr>
            <w:r w:rsidRPr="001D5327">
              <w:rPr>
                <w:rFonts w:eastAsia="Calibri" w:cs="Calibri"/>
                <w:color w:val="000000"/>
                <w:szCs w:val="16"/>
              </w:rPr>
              <w:t>15,612.5</w:t>
            </w:r>
          </w:p>
        </w:tc>
        <w:tc>
          <w:tcPr>
            <w:tcW w:w="992" w:type="dxa"/>
            <w:shd w:val="clear" w:color="auto" w:fill="FFFFFF"/>
            <w:tcMar>
              <w:top w:w="0" w:type="dxa"/>
              <w:left w:w="85" w:type="dxa"/>
              <w:bottom w:w="0" w:type="dxa"/>
              <w:right w:w="85" w:type="dxa"/>
            </w:tcMar>
          </w:tcPr>
          <w:p w14:paraId="573C2EF7" w14:textId="5B8D9F7F"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8,107.5</w:t>
            </w:r>
          </w:p>
        </w:tc>
        <w:tc>
          <w:tcPr>
            <w:tcW w:w="851" w:type="dxa"/>
            <w:shd w:val="clear" w:color="auto" w:fill="FFFFFF"/>
            <w:tcMar>
              <w:top w:w="0" w:type="dxa"/>
              <w:left w:w="85" w:type="dxa"/>
              <w:bottom w:w="0" w:type="dxa"/>
              <w:right w:w="85" w:type="dxa"/>
            </w:tcMar>
          </w:tcPr>
          <w:p w14:paraId="3AE2A81A" w14:textId="77777777" w:rsidR="00E0181F" w:rsidRPr="001D5327" w:rsidRDefault="00E0181F" w:rsidP="00D11AC9">
            <w:pPr>
              <w:pStyle w:val="TableText"/>
              <w:spacing w:before="40" w:after="40"/>
              <w:jc w:val="right"/>
            </w:pPr>
            <w:r w:rsidRPr="001D5327">
              <w:rPr>
                <w:rFonts w:eastAsia="Calibri" w:cs="Calibri"/>
                <w:color w:val="000000"/>
                <w:szCs w:val="16"/>
              </w:rPr>
              <w:t>89,383.2</w:t>
            </w:r>
          </w:p>
        </w:tc>
        <w:tc>
          <w:tcPr>
            <w:tcW w:w="1842" w:type="dxa"/>
            <w:shd w:val="clear" w:color="auto" w:fill="FFFFFF"/>
            <w:tcMar>
              <w:top w:w="0" w:type="dxa"/>
              <w:left w:w="85" w:type="dxa"/>
              <w:bottom w:w="0" w:type="dxa"/>
              <w:right w:w="85" w:type="dxa"/>
            </w:tcMar>
          </w:tcPr>
          <w:p w14:paraId="2457B647" w14:textId="43A4F247"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327,738.5</w:t>
            </w:r>
          </w:p>
        </w:tc>
      </w:tr>
      <w:tr w:rsidR="00E0181F" w:rsidRPr="001D5327" w14:paraId="5701DC40" w14:textId="77777777" w:rsidTr="00D11AC9">
        <w:tc>
          <w:tcPr>
            <w:tcW w:w="1863" w:type="dxa"/>
            <w:shd w:val="clear" w:color="auto" w:fill="FFFFFF"/>
            <w:tcMar>
              <w:top w:w="0" w:type="dxa"/>
              <w:left w:w="85" w:type="dxa"/>
              <w:bottom w:w="0" w:type="dxa"/>
              <w:right w:w="85" w:type="dxa"/>
            </w:tcMar>
          </w:tcPr>
          <w:p w14:paraId="00E80504" w14:textId="77777777" w:rsidR="00E0181F" w:rsidRPr="001D5327" w:rsidRDefault="00E0181F" w:rsidP="00D11AC9">
            <w:pPr>
              <w:pStyle w:val="TableText"/>
              <w:spacing w:before="40" w:after="40"/>
            </w:pPr>
            <w:r w:rsidRPr="001D5327">
              <w:rPr>
                <w:rFonts w:eastAsia="Calibri" w:cs="Calibri"/>
                <w:color w:val="000000"/>
                <w:szCs w:val="16"/>
              </w:rPr>
              <w:t>Post-1989 natural forest</w:t>
            </w:r>
          </w:p>
        </w:tc>
        <w:tc>
          <w:tcPr>
            <w:tcW w:w="1256" w:type="dxa"/>
            <w:shd w:val="clear" w:color="auto" w:fill="FFFFFF"/>
            <w:tcMar>
              <w:top w:w="0" w:type="dxa"/>
              <w:left w:w="85" w:type="dxa"/>
              <w:bottom w:w="0" w:type="dxa"/>
              <w:right w:w="85" w:type="dxa"/>
            </w:tcMar>
          </w:tcPr>
          <w:p w14:paraId="601509FF" w14:textId="77777777" w:rsidR="00E0181F" w:rsidRPr="001D5327" w:rsidRDefault="00E0181F" w:rsidP="00D11AC9">
            <w:pPr>
              <w:pStyle w:val="TableText"/>
              <w:spacing w:before="40" w:after="40"/>
              <w:jc w:val="right"/>
            </w:pPr>
            <w:r w:rsidRPr="001D5327">
              <w:rPr>
                <w:rFonts w:eastAsia="Calibri" w:cs="Calibri"/>
                <w:color w:val="000000"/>
                <w:szCs w:val="16"/>
              </w:rPr>
              <w:t>3,581.8</w:t>
            </w:r>
          </w:p>
        </w:tc>
        <w:tc>
          <w:tcPr>
            <w:tcW w:w="1701" w:type="dxa"/>
            <w:shd w:val="clear" w:color="auto" w:fill="FFFFFF"/>
            <w:tcMar>
              <w:top w:w="0" w:type="dxa"/>
              <w:left w:w="85" w:type="dxa"/>
              <w:bottom w:w="0" w:type="dxa"/>
              <w:right w:w="85" w:type="dxa"/>
            </w:tcMar>
          </w:tcPr>
          <w:p w14:paraId="222D6789" w14:textId="77777777" w:rsidR="00E0181F" w:rsidRPr="001D5327" w:rsidRDefault="00E0181F" w:rsidP="00D11AC9">
            <w:pPr>
              <w:pStyle w:val="TableText"/>
              <w:spacing w:before="40" w:after="40"/>
              <w:jc w:val="right"/>
            </w:pPr>
            <w:r w:rsidRPr="001D5327">
              <w:rPr>
                <w:rFonts w:eastAsia="Calibri" w:cs="Calibri"/>
                <w:color w:val="000000"/>
                <w:szCs w:val="16"/>
              </w:rPr>
              <w:t>39.7</w:t>
            </w:r>
          </w:p>
        </w:tc>
        <w:tc>
          <w:tcPr>
            <w:tcW w:w="992" w:type="dxa"/>
            <w:shd w:val="clear" w:color="auto" w:fill="FFFFFF"/>
            <w:tcMar>
              <w:top w:w="0" w:type="dxa"/>
              <w:left w:w="85" w:type="dxa"/>
              <w:bottom w:w="0" w:type="dxa"/>
              <w:right w:w="85" w:type="dxa"/>
            </w:tcMar>
          </w:tcPr>
          <w:p w14:paraId="42E9C74A" w14:textId="5D8A8480"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752.5</w:t>
            </w:r>
          </w:p>
        </w:tc>
        <w:tc>
          <w:tcPr>
            <w:tcW w:w="851" w:type="dxa"/>
            <w:shd w:val="clear" w:color="auto" w:fill="FFFFFF"/>
            <w:tcMar>
              <w:top w:w="0" w:type="dxa"/>
              <w:left w:w="85" w:type="dxa"/>
              <w:bottom w:w="0" w:type="dxa"/>
              <w:right w:w="85" w:type="dxa"/>
            </w:tcMar>
          </w:tcPr>
          <w:p w14:paraId="1D8F3787" w14:textId="77777777" w:rsidR="00E0181F" w:rsidRPr="001D5327" w:rsidRDefault="00E0181F" w:rsidP="00D11AC9">
            <w:pPr>
              <w:pStyle w:val="TableText"/>
              <w:spacing w:before="40" w:after="40"/>
              <w:jc w:val="right"/>
            </w:pPr>
            <w:r w:rsidRPr="001D5327">
              <w:rPr>
                <w:rFonts w:eastAsia="Calibri" w:cs="Calibri"/>
                <w:color w:val="000000"/>
                <w:szCs w:val="16"/>
              </w:rPr>
              <w:t>2,869.1</w:t>
            </w:r>
          </w:p>
        </w:tc>
        <w:tc>
          <w:tcPr>
            <w:tcW w:w="1842" w:type="dxa"/>
            <w:shd w:val="clear" w:color="auto" w:fill="FFFFFF"/>
            <w:tcMar>
              <w:top w:w="0" w:type="dxa"/>
              <w:left w:w="85" w:type="dxa"/>
              <w:bottom w:w="0" w:type="dxa"/>
              <w:right w:w="85" w:type="dxa"/>
            </w:tcMar>
          </w:tcPr>
          <w:p w14:paraId="1A520120" w14:textId="6A52EE0E"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10,519.9</w:t>
            </w:r>
          </w:p>
        </w:tc>
      </w:tr>
      <w:tr w:rsidR="00E0181F" w:rsidRPr="001D5327" w14:paraId="63C652B3" w14:textId="77777777" w:rsidTr="00D11AC9">
        <w:tc>
          <w:tcPr>
            <w:tcW w:w="1863" w:type="dxa"/>
            <w:shd w:val="clear" w:color="auto" w:fill="FFFFFF"/>
            <w:tcMar>
              <w:top w:w="0" w:type="dxa"/>
              <w:left w:w="85" w:type="dxa"/>
              <w:bottom w:w="0" w:type="dxa"/>
              <w:right w:w="85" w:type="dxa"/>
            </w:tcMar>
          </w:tcPr>
          <w:p w14:paraId="7D6B62DB" w14:textId="77777777" w:rsidR="00E0181F" w:rsidRPr="001D5327" w:rsidRDefault="00E0181F" w:rsidP="00D11AC9">
            <w:pPr>
              <w:pStyle w:val="TableText"/>
              <w:spacing w:before="40" w:after="40"/>
            </w:pPr>
            <w:r w:rsidRPr="001D5327">
              <w:rPr>
                <w:rFonts w:eastAsia="Calibri" w:cs="Calibri"/>
                <w:b/>
                <w:color w:val="1B556B"/>
                <w:szCs w:val="16"/>
              </w:rPr>
              <w:t>Total</w:t>
            </w:r>
          </w:p>
        </w:tc>
        <w:tc>
          <w:tcPr>
            <w:tcW w:w="1256" w:type="dxa"/>
            <w:shd w:val="clear" w:color="auto" w:fill="FFFFFF"/>
            <w:tcMar>
              <w:top w:w="0" w:type="dxa"/>
              <w:left w:w="85" w:type="dxa"/>
              <w:bottom w:w="0" w:type="dxa"/>
              <w:right w:w="85" w:type="dxa"/>
            </w:tcMar>
          </w:tcPr>
          <w:p w14:paraId="1BBC6312" w14:textId="77777777" w:rsidR="00E0181F" w:rsidRPr="001D5327" w:rsidRDefault="00E0181F" w:rsidP="00D11AC9">
            <w:pPr>
              <w:pStyle w:val="TableText"/>
              <w:spacing w:before="40" w:after="40"/>
              <w:jc w:val="right"/>
            </w:pPr>
            <w:r w:rsidRPr="001D5327">
              <w:rPr>
                <w:rFonts w:eastAsia="Calibri" w:cs="Calibri"/>
                <w:b/>
                <w:color w:val="1B556B"/>
                <w:szCs w:val="16"/>
              </w:rPr>
              <w:t>213,506.2</w:t>
            </w:r>
          </w:p>
        </w:tc>
        <w:tc>
          <w:tcPr>
            <w:tcW w:w="1701" w:type="dxa"/>
            <w:shd w:val="clear" w:color="auto" w:fill="FFFFFF"/>
            <w:tcMar>
              <w:top w:w="0" w:type="dxa"/>
              <w:left w:w="85" w:type="dxa"/>
              <w:bottom w:w="0" w:type="dxa"/>
              <w:right w:w="85" w:type="dxa"/>
            </w:tcMar>
          </w:tcPr>
          <w:p w14:paraId="25317897" w14:textId="77777777" w:rsidR="00E0181F" w:rsidRPr="001D5327" w:rsidRDefault="00E0181F" w:rsidP="00D11AC9">
            <w:pPr>
              <w:pStyle w:val="TableText"/>
              <w:spacing w:before="40" w:after="40"/>
              <w:jc w:val="right"/>
            </w:pPr>
            <w:r w:rsidRPr="001D5327">
              <w:rPr>
                <w:rFonts w:eastAsia="Calibri" w:cs="Calibri"/>
                <w:b/>
                <w:color w:val="1B556B"/>
                <w:szCs w:val="16"/>
              </w:rPr>
              <w:t>33,386.9</w:t>
            </w:r>
          </w:p>
        </w:tc>
        <w:tc>
          <w:tcPr>
            <w:tcW w:w="992" w:type="dxa"/>
            <w:shd w:val="clear" w:color="auto" w:fill="FFFFFF"/>
            <w:tcMar>
              <w:top w:w="0" w:type="dxa"/>
              <w:left w:w="85" w:type="dxa"/>
              <w:bottom w:w="0" w:type="dxa"/>
              <w:right w:w="85" w:type="dxa"/>
            </w:tcMar>
          </w:tcPr>
          <w:p w14:paraId="75EC0488" w14:textId="745938D6" w:rsidR="00E0181F" w:rsidRPr="001D5327" w:rsidRDefault="0070503C" w:rsidP="00D11AC9">
            <w:pPr>
              <w:pStyle w:val="TableText"/>
              <w:spacing w:before="40" w:after="40"/>
              <w:jc w:val="right"/>
            </w:pPr>
            <w:r>
              <w:rPr>
                <w:rFonts w:eastAsia="Calibri" w:cs="Calibri"/>
                <w:b/>
                <w:color w:val="1B556B"/>
                <w:szCs w:val="16"/>
              </w:rPr>
              <w:t>-</w:t>
            </w:r>
            <w:r w:rsidR="00E0181F" w:rsidRPr="001D5327">
              <w:rPr>
                <w:rFonts w:eastAsia="Calibri" w:cs="Calibri"/>
                <w:b/>
                <w:color w:val="1B556B"/>
                <w:szCs w:val="16"/>
              </w:rPr>
              <w:t>13,384.6</w:t>
            </w:r>
          </w:p>
        </w:tc>
        <w:tc>
          <w:tcPr>
            <w:tcW w:w="851" w:type="dxa"/>
            <w:shd w:val="clear" w:color="auto" w:fill="FFFFFF"/>
            <w:tcMar>
              <w:top w:w="0" w:type="dxa"/>
              <w:left w:w="85" w:type="dxa"/>
              <w:bottom w:w="0" w:type="dxa"/>
              <w:right w:w="85" w:type="dxa"/>
            </w:tcMar>
          </w:tcPr>
          <w:p w14:paraId="7A76C0C6" w14:textId="77777777" w:rsidR="00E0181F" w:rsidRPr="001D5327" w:rsidRDefault="00E0181F" w:rsidP="00D11AC9">
            <w:pPr>
              <w:pStyle w:val="TableText"/>
              <w:spacing w:before="40" w:after="40"/>
              <w:jc w:val="right"/>
            </w:pPr>
            <w:r w:rsidRPr="001D5327">
              <w:rPr>
                <w:rFonts w:eastAsia="Calibri" w:cs="Calibri"/>
                <w:b/>
                <w:color w:val="1B556B"/>
                <w:szCs w:val="16"/>
              </w:rPr>
              <w:t>233,508.5</w:t>
            </w:r>
          </w:p>
        </w:tc>
        <w:tc>
          <w:tcPr>
            <w:tcW w:w="1842" w:type="dxa"/>
            <w:shd w:val="clear" w:color="auto" w:fill="FFFFFF"/>
            <w:tcMar>
              <w:top w:w="0" w:type="dxa"/>
              <w:left w:w="85" w:type="dxa"/>
              <w:bottom w:w="0" w:type="dxa"/>
              <w:right w:w="85" w:type="dxa"/>
            </w:tcMar>
          </w:tcPr>
          <w:p w14:paraId="38CE775F" w14:textId="29F16C74" w:rsidR="00E0181F" w:rsidRPr="001D5327" w:rsidRDefault="0070503C" w:rsidP="00D11AC9">
            <w:pPr>
              <w:pStyle w:val="TableText"/>
              <w:spacing w:before="40" w:after="40"/>
              <w:jc w:val="right"/>
            </w:pPr>
            <w:r>
              <w:rPr>
                <w:rFonts w:eastAsia="Calibri" w:cs="Calibri"/>
                <w:b/>
                <w:color w:val="1B556B"/>
                <w:szCs w:val="16"/>
              </w:rPr>
              <w:t>-</w:t>
            </w:r>
            <w:r w:rsidR="00E0181F" w:rsidRPr="001D5327">
              <w:rPr>
                <w:rFonts w:eastAsia="Calibri" w:cs="Calibri"/>
                <w:b/>
                <w:color w:val="1B556B"/>
                <w:szCs w:val="16"/>
              </w:rPr>
              <w:t>856,197.8</w:t>
            </w:r>
          </w:p>
        </w:tc>
      </w:tr>
    </w:tbl>
    <w:bookmarkEnd w:id="1820"/>
    <w:p w14:paraId="4A5F790A" w14:textId="77777777" w:rsidR="00E0181F" w:rsidRPr="001D5327" w:rsidRDefault="00E0181F" w:rsidP="00E0181F">
      <w:pPr>
        <w:pStyle w:val="Noteundertable"/>
      </w:pPr>
      <w:r w:rsidRPr="001D5327">
        <w:rPr>
          <w:b/>
        </w:rPr>
        <w:t>Note:</w:t>
      </w:r>
      <w:r w:rsidRPr="001D5327">
        <w:tab/>
        <w:t>Emissions associated with the conversion of forest are reported in the land use category the land is converted to. Columns may not total due to rounding.</w:t>
      </w:r>
    </w:p>
    <w:p w14:paraId="4BB35092" w14:textId="77777777" w:rsidR="00E0181F" w:rsidRPr="001D5327" w:rsidRDefault="00E0181F" w:rsidP="00E0181F">
      <w:pPr>
        <w:pStyle w:val="BodyText"/>
      </w:pPr>
      <w:r w:rsidRPr="001D5327">
        <w:t>New Zealand’s emissions profile in the LULUCF sector is predominantly influenced by plantation forestry. The rapid growth rates of plantation forest relative to natural forest, and the timing of afforestation and harvesting cycles drive the emissions profile and will continue to do so in the future.</w:t>
      </w:r>
    </w:p>
    <w:p w14:paraId="3926C602" w14:textId="77777777" w:rsidR="00E0181F" w:rsidRPr="001D5327" w:rsidRDefault="00E0181F" w:rsidP="00E0181F">
      <w:pPr>
        <w:pStyle w:val="Heading3"/>
      </w:pPr>
      <w:bookmarkStart w:id="1821" w:name="_Toc255466330"/>
      <w:bookmarkStart w:id="1822" w:name="_Toc261513137"/>
      <w:bookmarkStart w:id="1823" w:name="_Toc261513750"/>
      <w:bookmarkStart w:id="1824" w:name="_Toc280630246"/>
      <w:bookmarkStart w:id="1825" w:name="_Toc373395712"/>
      <w:r w:rsidRPr="001D5327">
        <w:t>6.4.2</w:t>
      </w:r>
      <w:r w:rsidRPr="001D5327">
        <w:tab/>
        <w:t>Methodological issues</w:t>
      </w:r>
      <w:bookmarkEnd w:id="1821"/>
      <w:bookmarkEnd w:id="1822"/>
      <w:bookmarkEnd w:id="1823"/>
      <w:bookmarkEnd w:id="1824"/>
      <w:bookmarkEnd w:id="1825"/>
    </w:p>
    <w:p w14:paraId="1F8713D2" w14:textId="77777777" w:rsidR="00E0181F" w:rsidRPr="001D5327" w:rsidRDefault="00E0181F" w:rsidP="00E0181F">
      <w:pPr>
        <w:pStyle w:val="Heading4"/>
      </w:pPr>
      <w:bookmarkStart w:id="1826" w:name="_Hlk73696479"/>
      <w:r w:rsidRPr="001D5327">
        <w:t>Afforestation/reforestation</w:t>
      </w:r>
    </w:p>
    <w:bookmarkEnd w:id="1826"/>
    <w:p w14:paraId="1C1011A5" w14:textId="77777777" w:rsidR="00E0181F" w:rsidRPr="001D5327" w:rsidRDefault="00E0181F" w:rsidP="00E0181F">
      <w:pPr>
        <w:pStyle w:val="BodyText"/>
      </w:pPr>
      <w:r w:rsidRPr="001D5327">
        <w:t>Afforestation and reforestation areas of planted and natural forests are derived from a combination of land use mapping, national statistics and forestry scheme data. Annual rates of afforestation and reforestation are shown in figure 6.4.1 and are influenced greatly by market and policy conditions at the time, as described in section 6.1.1. Further details on how the area of afforestation is calculated are provided in annex 5, section A5.2.2.</w:t>
      </w:r>
    </w:p>
    <w:p w14:paraId="2F819CD1" w14:textId="77777777" w:rsidR="00E0181F" w:rsidRPr="001D5327" w:rsidRDefault="00E0181F" w:rsidP="00E0181F">
      <w:pPr>
        <w:pStyle w:val="Figure"/>
        <w:spacing w:after="60"/>
      </w:pPr>
      <w:bookmarkStart w:id="1827" w:name="_Toc474914646"/>
      <w:bookmarkStart w:id="1828" w:name="_Toc481752028"/>
      <w:bookmarkStart w:id="1829" w:name="_Toc522010706"/>
      <w:bookmarkStart w:id="1830" w:name="_Toc5269709"/>
      <w:bookmarkStart w:id="1831" w:name="_Toc33529481"/>
      <w:bookmarkStart w:id="1832" w:name="_Toc36292811"/>
      <w:bookmarkStart w:id="1833" w:name="_Toc131591570"/>
      <w:bookmarkStart w:id="1834" w:name="_Toc158979910"/>
      <w:bookmarkStart w:id="1835" w:name="_Toc164154038"/>
      <w:bookmarkStart w:id="1836" w:name="_Toc190873407"/>
      <w:bookmarkStart w:id="1837" w:name="_Toc194674871"/>
      <w:r w:rsidRPr="001D5327">
        <w:t>Figure 6.4.1</w:t>
      </w:r>
      <w:r w:rsidRPr="001D5327">
        <w:tab/>
        <w:t>Annual areas of afforestation and reforestation in New Zealand, from 1990 to </w:t>
      </w:r>
      <w:bookmarkEnd w:id="1827"/>
      <w:bookmarkEnd w:id="1828"/>
      <w:bookmarkEnd w:id="1829"/>
      <w:bookmarkEnd w:id="1830"/>
      <w:bookmarkEnd w:id="1831"/>
      <w:bookmarkEnd w:id="1832"/>
      <w:bookmarkEnd w:id="1833"/>
      <w:bookmarkEnd w:id="1834"/>
      <w:bookmarkEnd w:id="1835"/>
      <w:r w:rsidRPr="001D5327">
        <w:t>2023</w:t>
      </w:r>
      <w:bookmarkEnd w:id="1836"/>
      <w:bookmarkEnd w:id="1837"/>
    </w:p>
    <w:p w14:paraId="1A69C868" w14:textId="77777777" w:rsidR="00E0181F" w:rsidRPr="001D5327" w:rsidRDefault="00E0181F" w:rsidP="00D61CDD">
      <w:pPr>
        <w:pStyle w:val="BodyText"/>
        <w:jc w:val="center"/>
      </w:pPr>
      <w:r w:rsidRPr="001D5327">
        <w:rPr>
          <w:noProof/>
        </w:rPr>
        <w:drawing>
          <wp:inline distT="0" distB="0" distL="0" distR="0" wp14:anchorId="3E0AAFCA" wp14:editId="3B06B093">
            <wp:extent cx="4572000" cy="3600450"/>
            <wp:effectExtent l="0" t="0" r="0" b="0"/>
            <wp:docPr id="5" name="Picture 5" descr="A graph of a number of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aph of a number of bars&#10;&#10;Description automatically generated with medium confidence"/>
                    <pic:cNvPicPr>
                      <a:picLocks noChangeAspect="1" noChangeArrowheads="1"/>
                    </pic:cNvPicPr>
                  </pic:nvPicPr>
                  <pic:blipFill rotWithShape="1">
                    <a:blip r:embed="rId201" cstate="print"/>
                    <a:srcRect b="1563"/>
                    <a:stretch/>
                  </pic:blipFill>
                  <pic:spPr bwMode="auto">
                    <a:xfrm>
                      <a:off x="0" y="0"/>
                      <a:ext cx="63500" cy="50006"/>
                    </a:xfrm>
                    <a:prstGeom prst="rect">
                      <a:avLst/>
                    </a:prstGeom>
                    <a:noFill/>
                    <a:ln>
                      <a:noFill/>
                    </a:ln>
                    <a:extLst>
                      <a:ext uri="{53640926-AAD7-44D8-BBD7-CCE9431645EC}">
                        <a14:shadowObscured xmlns:a14="http://schemas.microsoft.com/office/drawing/2010/main"/>
                      </a:ext>
                    </a:extLst>
                  </pic:spPr>
                </pic:pic>
              </a:graphicData>
            </a:graphic>
          </wp:inline>
        </w:drawing>
      </w:r>
    </w:p>
    <w:p w14:paraId="673A0662" w14:textId="77777777" w:rsidR="00E0181F" w:rsidRPr="001D5327" w:rsidRDefault="00E0181F" w:rsidP="00E0181F">
      <w:pPr>
        <w:pStyle w:val="Noteundertable"/>
        <w:spacing w:before="0"/>
      </w:pPr>
      <w:r w:rsidRPr="001D5327">
        <w:rPr>
          <w:b/>
        </w:rPr>
        <w:t>Note:</w:t>
      </w:r>
      <w:r w:rsidRPr="001D5327">
        <w:tab/>
        <w:t>Details on how the afforestation area is calculated are provided in annex 5, section A5.2.2.</w:t>
      </w:r>
    </w:p>
    <w:p w14:paraId="3813DE2E" w14:textId="77777777" w:rsidR="00E0181F" w:rsidRPr="001D5327" w:rsidRDefault="00E0181F" w:rsidP="00E0181F">
      <w:pPr>
        <w:pStyle w:val="BodyText"/>
      </w:pPr>
      <w:r w:rsidRPr="001D5327">
        <w:lastRenderedPageBreak/>
        <w:t>Post-1989 planted forests did not become a net sink until 1996 (see figure 6.4.2) when net removals from forest growth surpassed net emissions. These emissions were due to the loss of biomass in carbon stocks associated with the previous land use before conversion, in addition to the loss of soil carbon associated with a land-use change to forestry.</w:t>
      </w:r>
    </w:p>
    <w:p w14:paraId="6D3F58DC" w14:textId="77777777" w:rsidR="00E0181F" w:rsidRPr="001D5327" w:rsidRDefault="00E0181F" w:rsidP="00E0181F">
      <w:pPr>
        <w:pStyle w:val="Figure"/>
        <w:spacing w:after="60"/>
      </w:pPr>
      <w:bookmarkStart w:id="1838" w:name="_Toc280630493"/>
      <w:bookmarkStart w:id="1839" w:name="_Toc318362751"/>
      <w:bookmarkStart w:id="1840" w:name="_Toc342470831"/>
      <w:bookmarkStart w:id="1841" w:name="_Toc352505159"/>
      <w:bookmarkStart w:id="1842" w:name="_Toc373395719"/>
      <w:bookmarkStart w:id="1843" w:name="_Toc378853342"/>
      <w:bookmarkStart w:id="1844" w:name="_Toc405448092"/>
      <w:bookmarkStart w:id="1845" w:name="_Toc414531624"/>
      <w:bookmarkStart w:id="1846" w:name="_Toc474914647"/>
      <w:bookmarkStart w:id="1847" w:name="_Toc481752029"/>
      <w:bookmarkStart w:id="1848" w:name="_Toc522010707"/>
      <w:bookmarkStart w:id="1849" w:name="_Toc5269710"/>
      <w:bookmarkStart w:id="1850" w:name="_Toc33529482"/>
      <w:bookmarkStart w:id="1851" w:name="_Toc36292812"/>
      <w:bookmarkStart w:id="1852" w:name="_Toc131591571"/>
      <w:bookmarkStart w:id="1853" w:name="_Toc158979911"/>
      <w:bookmarkStart w:id="1854" w:name="_Toc164154039"/>
      <w:bookmarkStart w:id="1855" w:name="_Toc190873408"/>
      <w:bookmarkStart w:id="1856" w:name="_Toc194674872"/>
      <w:r w:rsidRPr="001D5327">
        <w:t>Figure 6.4.2</w:t>
      </w:r>
      <w:r w:rsidRPr="001D5327">
        <w:tab/>
        <w:t>New Zealand’s net carbon dioxide removals by post-1989 planted forests, from 1990 to </w:t>
      </w:r>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r w:rsidRPr="001D5327">
        <w:t>2023</w:t>
      </w:r>
      <w:bookmarkEnd w:id="1855"/>
      <w:bookmarkEnd w:id="1856"/>
    </w:p>
    <w:p w14:paraId="3240DB12" w14:textId="77777777" w:rsidR="00E0181F" w:rsidRPr="001D5327" w:rsidRDefault="00E0181F" w:rsidP="00D61CDD">
      <w:pPr>
        <w:pStyle w:val="BodyText"/>
        <w:jc w:val="center"/>
      </w:pPr>
      <w:r w:rsidRPr="001D5327">
        <w:rPr>
          <w:noProof/>
        </w:rPr>
        <w:drawing>
          <wp:inline distT="0" distB="0" distL="0" distR="0" wp14:anchorId="0AB0C93A" wp14:editId="0955E95A">
            <wp:extent cx="4877842" cy="3833446"/>
            <wp:effectExtent l="0" t="0" r="0" b="0"/>
            <wp:docPr id="1487124272" name="Picture 1487124272"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24272" name="Picture 1487124272" descr="A graph of a graph&#10;&#10;AI-generated content may be incorrect."/>
                    <pic:cNvPicPr>
                      <a:picLocks noChangeAspect="1" noChangeArrowheads="1"/>
                    </pic:cNvPicPr>
                  </pic:nvPicPr>
                  <pic:blipFill rotWithShape="1">
                    <a:blip r:embed="rId202" cstate="print"/>
                    <a:srcRect t="-1" b="1763"/>
                    <a:stretch/>
                  </pic:blipFill>
                  <pic:spPr bwMode="auto">
                    <a:xfrm>
                      <a:off x="0" y="0"/>
                      <a:ext cx="67851" cy="53323"/>
                    </a:xfrm>
                    <a:prstGeom prst="rect">
                      <a:avLst/>
                    </a:prstGeom>
                    <a:noFill/>
                    <a:ln>
                      <a:noFill/>
                    </a:ln>
                    <a:extLst>
                      <a:ext uri="{53640926-AAD7-44D8-BBD7-CCE9431645EC}">
                        <a14:shadowObscured xmlns:a14="http://schemas.microsoft.com/office/drawing/2010/main"/>
                      </a:ext>
                    </a:extLst>
                  </pic:spPr>
                </pic:pic>
              </a:graphicData>
            </a:graphic>
          </wp:inline>
        </w:drawing>
      </w:r>
    </w:p>
    <w:p w14:paraId="7D2111C9" w14:textId="77777777" w:rsidR="00E0181F" w:rsidRPr="001D5327" w:rsidRDefault="00E0181F" w:rsidP="007215F9">
      <w:pPr>
        <w:pStyle w:val="Heading4"/>
        <w:spacing w:before="120"/>
      </w:pPr>
      <w:bookmarkStart w:id="1857" w:name="_Hlk73696492"/>
      <w:r w:rsidRPr="001D5327">
        <w:t>Harvesting</w:t>
      </w:r>
      <w:bookmarkEnd w:id="1857"/>
    </w:p>
    <w:p w14:paraId="78B43A76" w14:textId="77777777" w:rsidR="00E0181F" w:rsidRPr="001D5327" w:rsidRDefault="00E0181F" w:rsidP="00E0181F">
      <w:pPr>
        <w:pStyle w:val="BodyText"/>
      </w:pPr>
      <w:r w:rsidRPr="001D5327">
        <w:rPr>
          <w:spacing w:val="-2"/>
        </w:rPr>
        <w:t>The annual planted forest harvest area (both pre-1990 and post-1989 planted forest</w:t>
      </w:r>
      <w:r w:rsidRPr="001D5327">
        <w:t xml:space="preserve"> combined) from 1990 to 2023 is shown in figure 6.4.3. The method used to calculate the harvest area is outlined in annex 5, section A5.2.5 ‘Calculation of harvest area’. Emissions from harvesting are dependent on the age of the forest being harvested. To accurately reflect the actual harvest ages that occur, and therefore the associated emissions, a harvest age profile is applied to the harvest area to determine the harvest area by age. Detailed methodology on how the harvest age profile is calculated for post-1989 planted forest and pre-1990 planted forest can be found in annex 5, section A5.2.5 ‘Calculation of harvest area by age and forest age profile’.</w:t>
      </w:r>
    </w:p>
    <w:p w14:paraId="3533B72E" w14:textId="77777777" w:rsidR="00E0181F" w:rsidRPr="001D5327" w:rsidRDefault="00E0181F" w:rsidP="00E0181F">
      <w:pPr>
        <w:pStyle w:val="BodyText"/>
      </w:pPr>
      <w:r w:rsidRPr="001D5327">
        <w:t xml:space="preserve">Only a minimal proportion of timber harvested is from the natural forest estate. In 2022, an estimated 0.03 per cent of New Zealand’s total forest timber production was from the harvesting of natural forests (Ministry for Primary Industries, 2024b). </w:t>
      </w:r>
    </w:p>
    <w:p w14:paraId="1C07325C" w14:textId="77777777" w:rsidR="00E0181F" w:rsidRPr="001D5327" w:rsidRDefault="00E0181F" w:rsidP="00E0181F">
      <w:pPr>
        <w:pStyle w:val="Figure"/>
      </w:pPr>
      <w:bookmarkStart w:id="1858" w:name="_Toc474914649"/>
      <w:bookmarkStart w:id="1859" w:name="_Toc481752031"/>
      <w:bookmarkStart w:id="1860" w:name="_Toc522010709"/>
      <w:bookmarkStart w:id="1861" w:name="_Toc5269711"/>
      <w:bookmarkStart w:id="1862" w:name="_Toc33529484"/>
      <w:bookmarkStart w:id="1863" w:name="_Toc36292814"/>
      <w:bookmarkStart w:id="1864" w:name="_Toc131591572"/>
      <w:bookmarkStart w:id="1865" w:name="_Toc158979912"/>
      <w:bookmarkStart w:id="1866" w:name="_Toc164154040"/>
      <w:bookmarkStart w:id="1867" w:name="_Toc190873409"/>
      <w:bookmarkStart w:id="1868" w:name="_Toc194674873"/>
      <w:r w:rsidRPr="001D5327">
        <w:lastRenderedPageBreak/>
        <w:t>Figure 6.4.3</w:t>
      </w:r>
      <w:r w:rsidRPr="001D5327">
        <w:tab/>
        <w:t>New Zealand’s area of planted forest harvest (inclusive of deforestation), from 1990</w:t>
      </w:r>
      <w:bookmarkEnd w:id="1858"/>
      <w:bookmarkEnd w:id="1859"/>
      <w:r w:rsidRPr="001D5327">
        <w:t> to </w:t>
      </w:r>
      <w:bookmarkEnd w:id="1860"/>
      <w:bookmarkEnd w:id="1861"/>
      <w:bookmarkEnd w:id="1862"/>
      <w:bookmarkEnd w:id="1863"/>
      <w:bookmarkEnd w:id="1864"/>
      <w:bookmarkEnd w:id="1865"/>
      <w:bookmarkEnd w:id="1866"/>
      <w:r w:rsidRPr="001D5327">
        <w:t>2023</w:t>
      </w:r>
      <w:bookmarkEnd w:id="1867"/>
      <w:bookmarkEnd w:id="1868"/>
    </w:p>
    <w:p w14:paraId="5B23B44F" w14:textId="77777777" w:rsidR="00E0181F" w:rsidRPr="001D5327" w:rsidRDefault="00E0181F" w:rsidP="00D61CDD">
      <w:pPr>
        <w:pStyle w:val="BodyText"/>
        <w:jc w:val="center"/>
      </w:pPr>
      <w:r w:rsidRPr="001D5327">
        <w:rPr>
          <w:noProof/>
        </w:rPr>
        <w:drawing>
          <wp:inline distT="0" distB="0" distL="0" distR="0" wp14:anchorId="00F75A42" wp14:editId="1BCDB8BE">
            <wp:extent cx="4765965" cy="3745523"/>
            <wp:effectExtent l="0" t="0" r="0" b="7620"/>
            <wp:docPr id="9" name="Picture 9"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aph of a graph&#10;&#10;Description automatically generated with medium confidence"/>
                    <pic:cNvPicPr>
                      <a:picLocks noChangeAspect="1" noChangeArrowheads="1"/>
                    </pic:cNvPicPr>
                  </pic:nvPicPr>
                  <pic:blipFill rotWithShape="1">
                    <a:blip r:embed="rId203" cstate="print"/>
                    <a:srcRect t="-1" b="1763"/>
                    <a:stretch/>
                  </pic:blipFill>
                  <pic:spPr bwMode="auto">
                    <a:xfrm>
                      <a:off x="0" y="0"/>
                      <a:ext cx="66294" cy="52100"/>
                    </a:xfrm>
                    <a:prstGeom prst="rect">
                      <a:avLst/>
                    </a:prstGeom>
                    <a:noFill/>
                    <a:ln>
                      <a:noFill/>
                    </a:ln>
                    <a:extLst>
                      <a:ext uri="{53640926-AAD7-44D8-BBD7-CCE9431645EC}">
                        <a14:shadowObscured xmlns:a14="http://schemas.microsoft.com/office/drawing/2010/main"/>
                      </a:ext>
                    </a:extLst>
                  </pic:spPr>
                </pic:pic>
              </a:graphicData>
            </a:graphic>
          </wp:inline>
        </w:drawing>
      </w:r>
    </w:p>
    <w:p w14:paraId="03C92015" w14:textId="77777777" w:rsidR="00E0181F" w:rsidRPr="001D5327" w:rsidRDefault="00E0181F" w:rsidP="00E0181F">
      <w:pPr>
        <w:pStyle w:val="Heading4"/>
      </w:pPr>
      <w:bookmarkStart w:id="1869" w:name="_Hlk73696500"/>
      <w:r w:rsidRPr="001D5327">
        <w:t>Deforestation</w:t>
      </w:r>
    </w:p>
    <w:bookmarkEnd w:id="1869"/>
    <w:p w14:paraId="55E06FE3" w14:textId="77777777" w:rsidR="00E0181F" w:rsidRPr="001D5327" w:rsidRDefault="00E0181F" w:rsidP="00E0181F">
      <w:pPr>
        <w:pStyle w:val="BodyText"/>
      </w:pPr>
      <w:r w:rsidRPr="001D5327">
        <w:t xml:space="preserve">In 2022, an estimated 3,236 hectares of </w:t>
      </w:r>
      <w:r w:rsidRPr="001D5327">
        <w:rPr>
          <w:i/>
        </w:rPr>
        <w:t>Forest land</w:t>
      </w:r>
      <w:r w:rsidRPr="001D5327">
        <w:t xml:space="preserve"> were converted to other land uses, primarily </w:t>
      </w:r>
      <w:r w:rsidRPr="001D5327">
        <w:rPr>
          <w:i/>
        </w:rPr>
        <w:t>Grassland</w:t>
      </w:r>
      <w:r w:rsidRPr="001D5327">
        <w:t xml:space="preserve">. Table 6.4.4 and figure 6.4.4 show the areas of </w:t>
      </w:r>
      <w:r w:rsidRPr="001D5327">
        <w:rPr>
          <w:i/>
        </w:rPr>
        <w:t>Forest land</w:t>
      </w:r>
      <w:r w:rsidRPr="001D5327">
        <w:t xml:space="preserve"> subject to deforestation since 1990 and in 2023. Figure 6.4.4 also illustrates how planted forest deforestation increased leading up to 2008 and then decreased after the introduction of the NZ ETS in 2008.</w:t>
      </w:r>
    </w:p>
    <w:p w14:paraId="1E314264" w14:textId="77777777" w:rsidR="00E0181F" w:rsidRPr="001D5327" w:rsidRDefault="00E0181F" w:rsidP="00E0181F">
      <w:pPr>
        <w:pStyle w:val="Table"/>
      </w:pPr>
      <w:bookmarkStart w:id="1870" w:name="_Toc280630455"/>
      <w:bookmarkStart w:id="1871" w:name="_Toc310423407"/>
      <w:bookmarkStart w:id="1872" w:name="_Toc318362700"/>
      <w:bookmarkStart w:id="1873" w:name="_Toc342470762"/>
      <w:bookmarkStart w:id="1874" w:name="_Toc352505002"/>
      <w:bookmarkStart w:id="1875" w:name="_Toc373395727"/>
      <w:bookmarkStart w:id="1876" w:name="_Toc378853293"/>
      <w:bookmarkStart w:id="1877" w:name="_Toc391024091"/>
      <w:bookmarkStart w:id="1878" w:name="_Toc410028834"/>
      <w:bookmarkStart w:id="1879" w:name="_Toc414531462"/>
      <w:bookmarkStart w:id="1880" w:name="_Toc443645375"/>
      <w:bookmarkStart w:id="1881" w:name="_Toc474914594"/>
      <w:bookmarkStart w:id="1882" w:name="_Toc481751558"/>
      <w:bookmarkStart w:id="1883" w:name="_Toc522010615"/>
      <w:bookmarkStart w:id="1884" w:name="_Toc5269520"/>
      <w:bookmarkStart w:id="1885" w:name="_Toc33529394"/>
      <w:bookmarkStart w:id="1886" w:name="_Toc36224600"/>
      <w:bookmarkStart w:id="1887" w:name="_Toc131591394"/>
      <w:bookmarkStart w:id="1888" w:name="_Toc158979952"/>
      <w:bookmarkStart w:id="1889" w:name="_Toc164153885"/>
      <w:bookmarkStart w:id="1890" w:name="_Toc190873119"/>
      <w:bookmarkStart w:id="1891" w:name="_Toc194241758"/>
      <w:r w:rsidRPr="001D5327">
        <w:t>Table 6.4.4</w:t>
      </w:r>
      <w:r w:rsidRPr="001D5327">
        <w:tab/>
        <w:t xml:space="preserve">New Zealand’s </w:t>
      </w:r>
      <w:r w:rsidRPr="001D5327">
        <w:rPr>
          <w:i/>
        </w:rPr>
        <w:t xml:space="preserve">Forest land </w:t>
      </w:r>
      <w:r w:rsidRPr="001D5327">
        <w:t>subject to deforestation</w:t>
      </w:r>
      <w:bookmarkEnd w:id="1870"/>
      <w:bookmarkEnd w:id="1871"/>
      <w:bookmarkEnd w:id="1872"/>
      <w:bookmarkEnd w:id="1873"/>
      <w:bookmarkEnd w:id="1874"/>
      <w:bookmarkEnd w:id="1875"/>
      <w:bookmarkEnd w:id="1876"/>
      <w:bookmarkEnd w:id="1877"/>
      <w:bookmarkEnd w:id="1878"/>
      <w:r w:rsidRPr="001D5327">
        <w:t xml:space="preserve">, 1990 and </w:t>
      </w:r>
      <w:bookmarkEnd w:id="1879"/>
      <w:bookmarkEnd w:id="1880"/>
      <w:bookmarkEnd w:id="1881"/>
      <w:bookmarkEnd w:id="1882"/>
      <w:bookmarkEnd w:id="1883"/>
      <w:bookmarkEnd w:id="1884"/>
      <w:bookmarkEnd w:id="1885"/>
      <w:bookmarkEnd w:id="1886"/>
      <w:bookmarkEnd w:id="1887"/>
      <w:bookmarkEnd w:id="1888"/>
      <w:bookmarkEnd w:id="1889"/>
      <w:r w:rsidRPr="001D5327">
        <w:t>2023</w:t>
      </w:r>
      <w:bookmarkEnd w:id="1890"/>
      <w:bookmarkEnd w:id="1891"/>
    </w:p>
    <w:tbl>
      <w:tblPr>
        <w:tblW w:w="0" w:type="auto"/>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984"/>
        <w:gridCol w:w="1304"/>
        <w:gridCol w:w="1304"/>
        <w:gridCol w:w="1304"/>
        <w:gridCol w:w="1304"/>
        <w:gridCol w:w="1304"/>
      </w:tblGrid>
      <w:tr w:rsidR="00E0181F" w:rsidRPr="001D5327" w14:paraId="1953C183" w14:textId="77777777" w:rsidTr="00D11AC9">
        <w:trPr>
          <w:tblHeader/>
        </w:trPr>
        <w:tc>
          <w:tcPr>
            <w:tcW w:w="1984" w:type="dxa"/>
            <w:shd w:val="clear" w:color="auto" w:fill="1B556B"/>
            <w:tcMar>
              <w:top w:w="0" w:type="dxa"/>
              <w:left w:w="85" w:type="dxa"/>
              <w:bottom w:w="0" w:type="dxa"/>
              <w:right w:w="85" w:type="dxa"/>
            </w:tcMar>
            <w:vAlign w:val="bottom"/>
          </w:tcPr>
          <w:p w14:paraId="62CCB185" w14:textId="77777777" w:rsidR="00E0181F" w:rsidRPr="001D5327" w:rsidRDefault="00E0181F" w:rsidP="00D11AC9">
            <w:pPr>
              <w:pStyle w:val="TableTextBold"/>
              <w:spacing w:before="40" w:after="40"/>
              <w:rPr>
                <w:noProof w:val="0"/>
                <w:color w:val="FFFFFF" w:themeColor="background1"/>
              </w:rPr>
            </w:pPr>
          </w:p>
        </w:tc>
        <w:tc>
          <w:tcPr>
            <w:tcW w:w="3912" w:type="dxa"/>
            <w:gridSpan w:val="3"/>
            <w:shd w:val="clear" w:color="auto" w:fill="1B556B"/>
            <w:tcMar>
              <w:top w:w="0" w:type="dxa"/>
              <w:left w:w="85" w:type="dxa"/>
              <w:bottom w:w="0" w:type="dxa"/>
              <w:right w:w="85" w:type="dxa"/>
            </w:tcMar>
            <w:vAlign w:val="bottom"/>
          </w:tcPr>
          <w:p w14:paraId="61C3282F"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noProof w:val="0"/>
                <w:color w:val="FFFFFF" w:themeColor="background1"/>
              </w:rPr>
              <w:t>Deforestation since 1990</w:t>
            </w:r>
          </w:p>
        </w:tc>
        <w:tc>
          <w:tcPr>
            <w:tcW w:w="2608" w:type="dxa"/>
            <w:gridSpan w:val="2"/>
            <w:shd w:val="clear" w:color="auto" w:fill="1B556B"/>
            <w:tcMar>
              <w:top w:w="0" w:type="dxa"/>
              <w:left w:w="85" w:type="dxa"/>
              <w:bottom w:w="0" w:type="dxa"/>
              <w:right w:w="85" w:type="dxa"/>
            </w:tcMar>
            <w:vAlign w:val="bottom"/>
          </w:tcPr>
          <w:p w14:paraId="16E9905B"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noProof w:val="0"/>
                <w:color w:val="FFFFFF" w:themeColor="background1"/>
              </w:rPr>
              <w:t>Deforestation in 2023</w:t>
            </w:r>
          </w:p>
        </w:tc>
      </w:tr>
      <w:tr w:rsidR="00E0181F" w:rsidRPr="001D5327" w14:paraId="0374162E" w14:textId="77777777" w:rsidTr="00D11AC9">
        <w:trPr>
          <w:tblHeader/>
        </w:trPr>
        <w:tc>
          <w:tcPr>
            <w:tcW w:w="1984" w:type="dxa"/>
            <w:shd w:val="clear" w:color="auto" w:fill="1B556B"/>
            <w:tcMar>
              <w:top w:w="0" w:type="dxa"/>
              <w:left w:w="85" w:type="dxa"/>
              <w:bottom w:w="0" w:type="dxa"/>
              <w:right w:w="85" w:type="dxa"/>
            </w:tcMar>
            <w:vAlign w:val="bottom"/>
          </w:tcPr>
          <w:p w14:paraId="3D3378E2" w14:textId="77777777" w:rsidR="00E0181F" w:rsidRPr="001D5327" w:rsidRDefault="00E0181F" w:rsidP="007215F9">
            <w:pPr>
              <w:pStyle w:val="TableTextBold"/>
              <w:spacing w:before="0" w:after="40"/>
              <w:rPr>
                <w:noProof w:val="0"/>
                <w:color w:val="FFFFFF" w:themeColor="background1"/>
              </w:rPr>
            </w:pPr>
            <w:r w:rsidRPr="001D5327">
              <w:rPr>
                <w:rFonts w:eastAsia="Calibri"/>
                <w:noProof w:val="0"/>
                <w:color w:val="FFFFFF" w:themeColor="background1"/>
              </w:rPr>
              <w:t>Land use</w:t>
            </w:r>
          </w:p>
        </w:tc>
        <w:tc>
          <w:tcPr>
            <w:tcW w:w="1304" w:type="dxa"/>
            <w:shd w:val="clear" w:color="auto" w:fill="1B556B"/>
            <w:tcMar>
              <w:top w:w="0" w:type="dxa"/>
              <w:left w:w="85" w:type="dxa"/>
              <w:bottom w:w="0" w:type="dxa"/>
              <w:right w:w="85" w:type="dxa"/>
            </w:tcMar>
            <w:vAlign w:val="bottom"/>
          </w:tcPr>
          <w:p w14:paraId="7AB15C13" w14:textId="77777777" w:rsidR="00E0181F" w:rsidRPr="001D5327" w:rsidRDefault="00E0181F" w:rsidP="007215F9">
            <w:pPr>
              <w:pStyle w:val="TableTextBold"/>
              <w:spacing w:before="0" w:after="40"/>
              <w:jc w:val="right"/>
              <w:rPr>
                <w:noProof w:val="0"/>
                <w:color w:val="FFFFFF" w:themeColor="background1"/>
              </w:rPr>
            </w:pPr>
            <w:r w:rsidRPr="001D5327">
              <w:rPr>
                <w:rFonts w:eastAsia="Calibri"/>
                <w:noProof w:val="0"/>
                <w:color w:val="FFFFFF" w:themeColor="background1"/>
              </w:rPr>
              <w:t>Area of forest in 1990 (ha)</w:t>
            </w:r>
          </w:p>
        </w:tc>
        <w:tc>
          <w:tcPr>
            <w:tcW w:w="1304" w:type="dxa"/>
            <w:shd w:val="clear" w:color="auto" w:fill="1B556B"/>
            <w:tcMar>
              <w:top w:w="0" w:type="dxa"/>
              <w:left w:w="85" w:type="dxa"/>
              <w:bottom w:w="0" w:type="dxa"/>
              <w:right w:w="85" w:type="dxa"/>
            </w:tcMar>
            <w:vAlign w:val="bottom"/>
          </w:tcPr>
          <w:p w14:paraId="01264D47" w14:textId="77777777" w:rsidR="00E0181F" w:rsidRPr="001D5327" w:rsidRDefault="00E0181F" w:rsidP="007215F9">
            <w:pPr>
              <w:pStyle w:val="TableTextBold"/>
              <w:spacing w:before="0" w:after="40"/>
              <w:jc w:val="right"/>
              <w:rPr>
                <w:noProof w:val="0"/>
                <w:color w:val="FFFFFF" w:themeColor="background1"/>
              </w:rPr>
            </w:pPr>
            <w:r w:rsidRPr="001D5327">
              <w:rPr>
                <w:rFonts w:eastAsia="Calibri"/>
                <w:noProof w:val="0"/>
                <w:color w:val="FFFFFF" w:themeColor="background1"/>
              </w:rPr>
              <w:t>Area (ha)</w:t>
            </w:r>
          </w:p>
        </w:tc>
        <w:tc>
          <w:tcPr>
            <w:tcW w:w="1304" w:type="dxa"/>
            <w:shd w:val="clear" w:color="auto" w:fill="1B556B"/>
            <w:tcMar>
              <w:top w:w="0" w:type="dxa"/>
              <w:left w:w="85" w:type="dxa"/>
              <w:bottom w:w="0" w:type="dxa"/>
              <w:right w:w="85" w:type="dxa"/>
            </w:tcMar>
            <w:vAlign w:val="bottom"/>
          </w:tcPr>
          <w:p w14:paraId="356F4063" w14:textId="77777777" w:rsidR="00E0181F" w:rsidRPr="001D5327" w:rsidRDefault="00E0181F" w:rsidP="007215F9">
            <w:pPr>
              <w:pStyle w:val="TableTextBold"/>
              <w:spacing w:before="0" w:after="40"/>
              <w:jc w:val="right"/>
              <w:rPr>
                <w:noProof w:val="0"/>
                <w:color w:val="FFFFFF" w:themeColor="background1"/>
              </w:rPr>
            </w:pPr>
            <w:r w:rsidRPr="001D5327">
              <w:rPr>
                <w:rFonts w:eastAsia="Calibri"/>
                <w:noProof w:val="0"/>
                <w:color w:val="FFFFFF" w:themeColor="background1"/>
              </w:rPr>
              <w:t>Proportion of 1990 area (%)</w:t>
            </w:r>
          </w:p>
        </w:tc>
        <w:tc>
          <w:tcPr>
            <w:tcW w:w="1304" w:type="dxa"/>
            <w:shd w:val="clear" w:color="auto" w:fill="1B556B"/>
            <w:tcMar>
              <w:top w:w="0" w:type="dxa"/>
              <w:left w:w="85" w:type="dxa"/>
              <w:bottom w:w="0" w:type="dxa"/>
              <w:right w:w="85" w:type="dxa"/>
            </w:tcMar>
            <w:vAlign w:val="bottom"/>
          </w:tcPr>
          <w:p w14:paraId="0805D429" w14:textId="77777777" w:rsidR="00E0181F" w:rsidRPr="001D5327" w:rsidRDefault="00E0181F" w:rsidP="007215F9">
            <w:pPr>
              <w:pStyle w:val="TableTextBold"/>
              <w:spacing w:before="0" w:after="40"/>
              <w:jc w:val="right"/>
              <w:rPr>
                <w:noProof w:val="0"/>
                <w:color w:val="FFFFFF" w:themeColor="background1"/>
              </w:rPr>
            </w:pPr>
            <w:r w:rsidRPr="001D5327">
              <w:rPr>
                <w:rFonts w:eastAsia="Calibri"/>
                <w:noProof w:val="0"/>
                <w:color w:val="FFFFFF" w:themeColor="background1"/>
              </w:rPr>
              <w:t>Area (ha)</w:t>
            </w:r>
          </w:p>
        </w:tc>
        <w:tc>
          <w:tcPr>
            <w:tcW w:w="1304" w:type="dxa"/>
            <w:shd w:val="clear" w:color="auto" w:fill="1B556B"/>
            <w:tcMar>
              <w:top w:w="0" w:type="dxa"/>
              <w:left w:w="85" w:type="dxa"/>
              <w:bottom w:w="0" w:type="dxa"/>
              <w:right w:w="85" w:type="dxa"/>
            </w:tcMar>
            <w:vAlign w:val="bottom"/>
          </w:tcPr>
          <w:p w14:paraId="62A8DEB1" w14:textId="77777777" w:rsidR="00E0181F" w:rsidRPr="001D5327" w:rsidRDefault="00E0181F" w:rsidP="007215F9">
            <w:pPr>
              <w:pStyle w:val="TableTextBold"/>
              <w:spacing w:before="0" w:after="40"/>
              <w:jc w:val="right"/>
              <w:rPr>
                <w:noProof w:val="0"/>
                <w:color w:val="FFFFFF" w:themeColor="background1"/>
              </w:rPr>
            </w:pPr>
            <w:r w:rsidRPr="001D5327">
              <w:rPr>
                <w:rFonts w:eastAsia="Calibri"/>
                <w:noProof w:val="0"/>
                <w:color w:val="FFFFFF" w:themeColor="background1"/>
              </w:rPr>
              <w:t>Proportion of 1990 area (%)</w:t>
            </w:r>
          </w:p>
        </w:tc>
      </w:tr>
      <w:tr w:rsidR="00E0181F" w:rsidRPr="001D5327" w14:paraId="057457E8" w14:textId="77777777" w:rsidTr="00D11AC9">
        <w:tc>
          <w:tcPr>
            <w:tcW w:w="1984" w:type="dxa"/>
            <w:shd w:val="clear" w:color="auto" w:fill="FFFFFF"/>
            <w:tcMar>
              <w:top w:w="0" w:type="dxa"/>
              <w:left w:w="85" w:type="dxa"/>
              <w:bottom w:w="0" w:type="dxa"/>
              <w:right w:w="85" w:type="dxa"/>
            </w:tcMar>
          </w:tcPr>
          <w:p w14:paraId="17838914" w14:textId="77777777" w:rsidR="00E0181F" w:rsidRPr="001D5327" w:rsidRDefault="00E0181F" w:rsidP="00D11AC9">
            <w:pPr>
              <w:pStyle w:val="TableText"/>
              <w:spacing w:before="40" w:after="40"/>
            </w:pPr>
            <w:r w:rsidRPr="001D5327">
              <w:rPr>
                <w:rFonts w:eastAsia="Calibri" w:cs="Calibri"/>
                <w:color w:val="000000"/>
                <w:szCs w:val="16"/>
              </w:rPr>
              <w:t>Pre-1990 natural forest</w:t>
            </w:r>
          </w:p>
        </w:tc>
        <w:tc>
          <w:tcPr>
            <w:tcW w:w="1304" w:type="dxa"/>
            <w:shd w:val="clear" w:color="auto" w:fill="FFFFFF"/>
            <w:tcMar>
              <w:top w:w="0" w:type="dxa"/>
              <w:left w:w="85" w:type="dxa"/>
              <w:bottom w:w="0" w:type="dxa"/>
              <w:right w:w="85" w:type="dxa"/>
            </w:tcMar>
          </w:tcPr>
          <w:p w14:paraId="2C2E77BE" w14:textId="77777777" w:rsidR="00E0181F" w:rsidRPr="001D5327" w:rsidRDefault="00E0181F" w:rsidP="00D11AC9">
            <w:pPr>
              <w:pStyle w:val="TableText"/>
              <w:spacing w:before="40" w:after="40"/>
              <w:jc w:val="right"/>
            </w:pPr>
            <w:r w:rsidRPr="001D5327">
              <w:rPr>
                <w:rFonts w:eastAsia="Calibri" w:cs="Calibri"/>
                <w:color w:val="000000"/>
                <w:szCs w:val="16"/>
              </w:rPr>
              <w:t>7,812,957</w:t>
            </w:r>
          </w:p>
        </w:tc>
        <w:tc>
          <w:tcPr>
            <w:tcW w:w="1304" w:type="dxa"/>
            <w:shd w:val="clear" w:color="auto" w:fill="FFFFFF"/>
            <w:tcMar>
              <w:top w:w="0" w:type="dxa"/>
              <w:left w:w="85" w:type="dxa"/>
              <w:bottom w:w="0" w:type="dxa"/>
              <w:right w:w="85" w:type="dxa"/>
            </w:tcMar>
          </w:tcPr>
          <w:p w14:paraId="0DB485B3" w14:textId="77777777" w:rsidR="00E0181F" w:rsidRPr="001D5327" w:rsidRDefault="00E0181F" w:rsidP="00D11AC9">
            <w:pPr>
              <w:pStyle w:val="TableText"/>
              <w:spacing w:before="40" w:after="40"/>
              <w:jc w:val="right"/>
            </w:pPr>
            <w:r w:rsidRPr="001D5327">
              <w:rPr>
                <w:rFonts w:eastAsia="Calibri" w:cs="Calibri"/>
                <w:color w:val="000000"/>
                <w:szCs w:val="16"/>
              </w:rPr>
              <w:t>48,407</w:t>
            </w:r>
          </w:p>
        </w:tc>
        <w:tc>
          <w:tcPr>
            <w:tcW w:w="1304" w:type="dxa"/>
            <w:shd w:val="clear" w:color="auto" w:fill="FFFFFF"/>
            <w:tcMar>
              <w:top w:w="0" w:type="dxa"/>
              <w:left w:w="85" w:type="dxa"/>
              <w:bottom w:w="0" w:type="dxa"/>
              <w:right w:w="85" w:type="dxa"/>
            </w:tcMar>
          </w:tcPr>
          <w:p w14:paraId="6179D70D" w14:textId="77777777" w:rsidR="00E0181F" w:rsidRPr="001D5327" w:rsidRDefault="00E0181F" w:rsidP="00D11AC9">
            <w:pPr>
              <w:pStyle w:val="TableText"/>
              <w:spacing w:before="40" w:after="40"/>
              <w:jc w:val="right"/>
            </w:pPr>
            <w:r w:rsidRPr="001D5327">
              <w:rPr>
                <w:rFonts w:eastAsia="Calibri" w:cs="Calibri"/>
                <w:color w:val="000000"/>
                <w:szCs w:val="16"/>
              </w:rPr>
              <w:t>0.62</w:t>
            </w:r>
          </w:p>
        </w:tc>
        <w:tc>
          <w:tcPr>
            <w:tcW w:w="1304" w:type="dxa"/>
            <w:shd w:val="clear" w:color="auto" w:fill="FFFFFF"/>
            <w:tcMar>
              <w:top w:w="0" w:type="dxa"/>
              <w:left w:w="85" w:type="dxa"/>
              <w:bottom w:w="0" w:type="dxa"/>
              <w:right w:w="85" w:type="dxa"/>
            </w:tcMar>
          </w:tcPr>
          <w:p w14:paraId="1A3C0250" w14:textId="77777777" w:rsidR="00E0181F" w:rsidRPr="001D5327" w:rsidRDefault="00E0181F" w:rsidP="00D11AC9">
            <w:pPr>
              <w:pStyle w:val="TableText"/>
              <w:spacing w:before="40" w:after="40"/>
              <w:jc w:val="right"/>
            </w:pPr>
            <w:r w:rsidRPr="001D5327">
              <w:rPr>
                <w:rFonts w:eastAsia="Calibri" w:cs="Calibri"/>
                <w:color w:val="000000"/>
                <w:szCs w:val="16"/>
              </w:rPr>
              <w:t>570</w:t>
            </w:r>
          </w:p>
        </w:tc>
        <w:tc>
          <w:tcPr>
            <w:tcW w:w="1304" w:type="dxa"/>
            <w:shd w:val="clear" w:color="auto" w:fill="FFFFFF"/>
            <w:tcMar>
              <w:top w:w="0" w:type="dxa"/>
              <w:left w:w="85" w:type="dxa"/>
              <w:bottom w:w="0" w:type="dxa"/>
              <w:right w:w="85" w:type="dxa"/>
            </w:tcMar>
          </w:tcPr>
          <w:p w14:paraId="0B3182D2" w14:textId="77777777" w:rsidR="00E0181F" w:rsidRPr="001D5327" w:rsidRDefault="00E0181F" w:rsidP="00D11AC9">
            <w:pPr>
              <w:pStyle w:val="TableText"/>
              <w:spacing w:before="40" w:after="40"/>
              <w:jc w:val="right"/>
            </w:pPr>
            <w:r w:rsidRPr="001D5327">
              <w:rPr>
                <w:rFonts w:eastAsia="Calibri" w:cs="Calibri"/>
                <w:color w:val="000000"/>
                <w:szCs w:val="16"/>
              </w:rPr>
              <w:t>0.01</w:t>
            </w:r>
          </w:p>
        </w:tc>
      </w:tr>
      <w:tr w:rsidR="00E0181F" w:rsidRPr="001D5327" w14:paraId="3F900BB6" w14:textId="77777777" w:rsidTr="00D11AC9">
        <w:tc>
          <w:tcPr>
            <w:tcW w:w="1984" w:type="dxa"/>
            <w:shd w:val="clear" w:color="auto" w:fill="FFFFFF"/>
            <w:tcMar>
              <w:top w:w="0" w:type="dxa"/>
              <w:left w:w="85" w:type="dxa"/>
              <w:bottom w:w="0" w:type="dxa"/>
              <w:right w:w="85" w:type="dxa"/>
            </w:tcMar>
          </w:tcPr>
          <w:p w14:paraId="5B5D19CD" w14:textId="77777777" w:rsidR="00E0181F" w:rsidRPr="001D5327" w:rsidRDefault="00E0181F" w:rsidP="00D11AC9">
            <w:pPr>
              <w:pStyle w:val="TableText"/>
              <w:spacing w:before="40" w:after="40"/>
            </w:pPr>
            <w:r w:rsidRPr="001D5327">
              <w:rPr>
                <w:rFonts w:eastAsia="Calibri" w:cs="Calibri"/>
                <w:color w:val="000000"/>
                <w:szCs w:val="16"/>
              </w:rPr>
              <w:t>Pre-1990 planted forest</w:t>
            </w:r>
          </w:p>
        </w:tc>
        <w:tc>
          <w:tcPr>
            <w:tcW w:w="1304" w:type="dxa"/>
            <w:shd w:val="clear" w:color="auto" w:fill="FFFFFF"/>
            <w:tcMar>
              <w:top w:w="0" w:type="dxa"/>
              <w:left w:w="85" w:type="dxa"/>
              <w:bottom w:w="0" w:type="dxa"/>
              <w:right w:w="85" w:type="dxa"/>
            </w:tcMar>
          </w:tcPr>
          <w:p w14:paraId="1DB3A1FF" w14:textId="77777777" w:rsidR="00E0181F" w:rsidRPr="001D5327" w:rsidRDefault="00E0181F" w:rsidP="00D11AC9">
            <w:pPr>
              <w:pStyle w:val="TableText"/>
              <w:spacing w:before="40" w:after="40"/>
              <w:jc w:val="right"/>
            </w:pPr>
            <w:r w:rsidRPr="001D5327">
              <w:rPr>
                <w:rFonts w:eastAsia="Calibri" w:cs="Calibri"/>
                <w:color w:val="000000"/>
                <w:szCs w:val="16"/>
              </w:rPr>
              <w:t>1,547,048</w:t>
            </w:r>
          </w:p>
        </w:tc>
        <w:tc>
          <w:tcPr>
            <w:tcW w:w="1304" w:type="dxa"/>
            <w:shd w:val="clear" w:color="auto" w:fill="FFFFFF"/>
            <w:tcMar>
              <w:top w:w="0" w:type="dxa"/>
              <w:left w:w="85" w:type="dxa"/>
              <w:bottom w:w="0" w:type="dxa"/>
              <w:right w:w="85" w:type="dxa"/>
            </w:tcMar>
          </w:tcPr>
          <w:p w14:paraId="0F5A62EB" w14:textId="77777777" w:rsidR="00E0181F" w:rsidRPr="001D5327" w:rsidRDefault="00E0181F" w:rsidP="00D11AC9">
            <w:pPr>
              <w:pStyle w:val="TableText"/>
              <w:spacing w:before="40" w:after="40"/>
              <w:jc w:val="right"/>
            </w:pPr>
            <w:r w:rsidRPr="001D5327">
              <w:rPr>
                <w:rFonts w:eastAsia="Calibri" w:cs="Calibri"/>
                <w:color w:val="000000"/>
                <w:szCs w:val="16"/>
              </w:rPr>
              <w:t>136,182</w:t>
            </w:r>
          </w:p>
        </w:tc>
        <w:tc>
          <w:tcPr>
            <w:tcW w:w="1304" w:type="dxa"/>
            <w:shd w:val="clear" w:color="auto" w:fill="FFFFFF"/>
            <w:tcMar>
              <w:top w:w="0" w:type="dxa"/>
              <w:left w:w="85" w:type="dxa"/>
              <w:bottom w:w="0" w:type="dxa"/>
              <w:right w:w="85" w:type="dxa"/>
            </w:tcMar>
          </w:tcPr>
          <w:p w14:paraId="19919C74" w14:textId="77777777" w:rsidR="00E0181F" w:rsidRPr="001D5327" w:rsidRDefault="00E0181F" w:rsidP="00D11AC9">
            <w:pPr>
              <w:pStyle w:val="TableText"/>
              <w:spacing w:before="40" w:after="40"/>
              <w:jc w:val="right"/>
            </w:pPr>
            <w:r w:rsidRPr="001D5327">
              <w:rPr>
                <w:rFonts w:eastAsia="Calibri" w:cs="Calibri"/>
                <w:color w:val="000000"/>
                <w:szCs w:val="16"/>
              </w:rPr>
              <w:t>8.80</w:t>
            </w:r>
          </w:p>
        </w:tc>
        <w:tc>
          <w:tcPr>
            <w:tcW w:w="1304" w:type="dxa"/>
            <w:shd w:val="clear" w:color="auto" w:fill="FFFFFF"/>
            <w:tcMar>
              <w:top w:w="0" w:type="dxa"/>
              <w:left w:w="85" w:type="dxa"/>
              <w:bottom w:w="0" w:type="dxa"/>
              <w:right w:w="85" w:type="dxa"/>
            </w:tcMar>
          </w:tcPr>
          <w:p w14:paraId="022BC1C5" w14:textId="77777777" w:rsidR="00E0181F" w:rsidRPr="001D5327" w:rsidRDefault="00E0181F" w:rsidP="00D11AC9">
            <w:pPr>
              <w:pStyle w:val="TableText"/>
              <w:spacing w:before="40" w:after="40"/>
              <w:jc w:val="right"/>
            </w:pPr>
            <w:r w:rsidRPr="001D5327">
              <w:rPr>
                <w:rFonts w:eastAsia="Calibri" w:cs="Calibri"/>
                <w:color w:val="000000"/>
                <w:szCs w:val="16"/>
              </w:rPr>
              <w:t>301</w:t>
            </w:r>
          </w:p>
        </w:tc>
        <w:tc>
          <w:tcPr>
            <w:tcW w:w="1304" w:type="dxa"/>
            <w:shd w:val="clear" w:color="auto" w:fill="FFFFFF"/>
            <w:tcMar>
              <w:top w:w="0" w:type="dxa"/>
              <w:left w:w="85" w:type="dxa"/>
              <w:bottom w:w="0" w:type="dxa"/>
              <w:right w:w="85" w:type="dxa"/>
            </w:tcMar>
          </w:tcPr>
          <w:p w14:paraId="63B55BCF" w14:textId="77777777" w:rsidR="00E0181F" w:rsidRPr="001D5327" w:rsidRDefault="00E0181F" w:rsidP="00D11AC9">
            <w:pPr>
              <w:pStyle w:val="TableText"/>
              <w:spacing w:before="40" w:after="40"/>
              <w:jc w:val="right"/>
            </w:pPr>
            <w:r w:rsidRPr="001D5327">
              <w:rPr>
                <w:rFonts w:eastAsia="Calibri" w:cs="Calibri"/>
                <w:color w:val="000000"/>
                <w:szCs w:val="16"/>
              </w:rPr>
              <w:t>0.02</w:t>
            </w:r>
          </w:p>
        </w:tc>
      </w:tr>
      <w:tr w:rsidR="00E0181F" w:rsidRPr="001D5327" w14:paraId="5055B731" w14:textId="77777777" w:rsidTr="00D11AC9">
        <w:tc>
          <w:tcPr>
            <w:tcW w:w="1984" w:type="dxa"/>
            <w:shd w:val="clear" w:color="auto" w:fill="FFFFFF"/>
            <w:tcMar>
              <w:top w:w="0" w:type="dxa"/>
              <w:left w:w="85" w:type="dxa"/>
              <w:bottom w:w="0" w:type="dxa"/>
              <w:right w:w="85" w:type="dxa"/>
            </w:tcMar>
          </w:tcPr>
          <w:p w14:paraId="141E2B19" w14:textId="77777777" w:rsidR="00E0181F" w:rsidRPr="001D5327" w:rsidRDefault="00E0181F" w:rsidP="00D11AC9">
            <w:pPr>
              <w:pStyle w:val="TableText"/>
              <w:spacing w:before="40" w:after="40"/>
            </w:pPr>
            <w:r w:rsidRPr="001D5327">
              <w:rPr>
                <w:rFonts w:eastAsia="Calibri" w:cs="Calibri"/>
                <w:color w:val="000000"/>
                <w:szCs w:val="16"/>
              </w:rPr>
              <w:t>Post-1989 planted forest</w:t>
            </w:r>
          </w:p>
        </w:tc>
        <w:tc>
          <w:tcPr>
            <w:tcW w:w="1304" w:type="dxa"/>
            <w:shd w:val="clear" w:color="auto" w:fill="FFFFFF"/>
            <w:tcMar>
              <w:top w:w="0" w:type="dxa"/>
              <w:left w:w="85" w:type="dxa"/>
              <w:bottom w:w="0" w:type="dxa"/>
              <w:right w:w="85" w:type="dxa"/>
            </w:tcMar>
          </w:tcPr>
          <w:p w14:paraId="646819B9" w14:textId="77777777" w:rsidR="00E0181F" w:rsidRPr="001D5327" w:rsidRDefault="00E0181F" w:rsidP="00D11AC9">
            <w:pPr>
              <w:pStyle w:val="TableText"/>
              <w:spacing w:before="40" w:after="40"/>
              <w:jc w:val="right"/>
            </w:pPr>
            <w:r w:rsidRPr="001D5327">
              <w:rPr>
                <w:rFonts w:eastAsia="Calibri" w:cs="Calibri"/>
                <w:color w:val="000000"/>
                <w:szCs w:val="16"/>
              </w:rPr>
              <w:t>0</w:t>
            </w:r>
          </w:p>
        </w:tc>
        <w:tc>
          <w:tcPr>
            <w:tcW w:w="1304" w:type="dxa"/>
            <w:shd w:val="clear" w:color="auto" w:fill="FFFFFF"/>
            <w:tcMar>
              <w:top w:w="0" w:type="dxa"/>
              <w:left w:w="85" w:type="dxa"/>
              <w:bottom w:w="0" w:type="dxa"/>
              <w:right w:w="85" w:type="dxa"/>
            </w:tcMar>
          </w:tcPr>
          <w:p w14:paraId="08AFBE87" w14:textId="77777777" w:rsidR="00E0181F" w:rsidRPr="001D5327" w:rsidRDefault="00E0181F" w:rsidP="00D11AC9">
            <w:pPr>
              <w:pStyle w:val="TableText"/>
              <w:spacing w:before="40" w:after="40"/>
              <w:jc w:val="right"/>
            </w:pPr>
            <w:r w:rsidRPr="001D5327">
              <w:rPr>
                <w:rFonts w:eastAsia="Calibri" w:cs="Calibri"/>
                <w:color w:val="000000"/>
                <w:szCs w:val="16"/>
              </w:rPr>
              <w:t>62,030</w:t>
            </w:r>
          </w:p>
        </w:tc>
        <w:tc>
          <w:tcPr>
            <w:tcW w:w="1304" w:type="dxa"/>
            <w:shd w:val="clear" w:color="auto" w:fill="FFFFFF"/>
            <w:tcMar>
              <w:top w:w="0" w:type="dxa"/>
              <w:left w:w="85" w:type="dxa"/>
              <w:bottom w:w="0" w:type="dxa"/>
              <w:right w:w="85" w:type="dxa"/>
            </w:tcMar>
          </w:tcPr>
          <w:p w14:paraId="592CFF3B" w14:textId="319E4555" w:rsidR="00E0181F" w:rsidRPr="001D5327" w:rsidRDefault="0070503C" w:rsidP="00D11AC9">
            <w:pPr>
              <w:pStyle w:val="TableText"/>
              <w:spacing w:before="40" w:after="40"/>
              <w:jc w:val="right"/>
            </w:pPr>
            <w:r>
              <w:rPr>
                <w:rFonts w:eastAsia="Calibri" w:cs="Calibri"/>
                <w:color w:val="000000"/>
                <w:szCs w:val="16"/>
              </w:rPr>
              <w:t>-</w:t>
            </w:r>
          </w:p>
        </w:tc>
        <w:tc>
          <w:tcPr>
            <w:tcW w:w="1304" w:type="dxa"/>
            <w:shd w:val="clear" w:color="auto" w:fill="FFFFFF"/>
            <w:tcMar>
              <w:top w:w="0" w:type="dxa"/>
              <w:left w:w="85" w:type="dxa"/>
              <w:bottom w:w="0" w:type="dxa"/>
              <w:right w:w="85" w:type="dxa"/>
            </w:tcMar>
          </w:tcPr>
          <w:p w14:paraId="2E48717F" w14:textId="77777777" w:rsidR="00E0181F" w:rsidRPr="001D5327" w:rsidRDefault="00E0181F" w:rsidP="00D11AC9">
            <w:pPr>
              <w:pStyle w:val="TableText"/>
              <w:spacing w:before="40" w:after="40"/>
              <w:jc w:val="right"/>
            </w:pPr>
            <w:r w:rsidRPr="001D5327">
              <w:rPr>
                <w:rFonts w:eastAsia="Calibri" w:cs="Calibri"/>
                <w:color w:val="000000"/>
                <w:szCs w:val="16"/>
              </w:rPr>
              <w:t>2,207</w:t>
            </w:r>
          </w:p>
        </w:tc>
        <w:tc>
          <w:tcPr>
            <w:tcW w:w="1304" w:type="dxa"/>
            <w:shd w:val="clear" w:color="auto" w:fill="FFFFFF"/>
            <w:tcMar>
              <w:top w:w="0" w:type="dxa"/>
              <w:left w:w="85" w:type="dxa"/>
              <w:bottom w:w="0" w:type="dxa"/>
              <w:right w:w="85" w:type="dxa"/>
            </w:tcMar>
          </w:tcPr>
          <w:p w14:paraId="2C36E0AA" w14:textId="047DA29A" w:rsidR="00E0181F" w:rsidRPr="001D5327" w:rsidRDefault="0070503C" w:rsidP="00D11AC9">
            <w:pPr>
              <w:pStyle w:val="TableText"/>
              <w:spacing w:before="40" w:after="40"/>
              <w:jc w:val="right"/>
            </w:pPr>
            <w:r>
              <w:rPr>
                <w:rFonts w:eastAsia="Calibri" w:cs="Calibri"/>
                <w:color w:val="000000"/>
                <w:szCs w:val="16"/>
              </w:rPr>
              <w:t>-</w:t>
            </w:r>
          </w:p>
        </w:tc>
      </w:tr>
      <w:tr w:rsidR="00E0181F" w:rsidRPr="001D5327" w14:paraId="43D48C44" w14:textId="77777777" w:rsidTr="00D11AC9">
        <w:tc>
          <w:tcPr>
            <w:tcW w:w="1984" w:type="dxa"/>
            <w:shd w:val="clear" w:color="auto" w:fill="FFFFFF"/>
            <w:tcMar>
              <w:top w:w="0" w:type="dxa"/>
              <w:left w:w="85" w:type="dxa"/>
              <w:bottom w:w="0" w:type="dxa"/>
              <w:right w:w="85" w:type="dxa"/>
            </w:tcMar>
          </w:tcPr>
          <w:p w14:paraId="0361C00D" w14:textId="77777777" w:rsidR="00E0181F" w:rsidRPr="001D5327" w:rsidRDefault="00E0181F" w:rsidP="00D11AC9">
            <w:pPr>
              <w:pStyle w:val="TableText"/>
              <w:spacing w:before="40" w:after="40"/>
            </w:pPr>
            <w:r w:rsidRPr="001D5327">
              <w:rPr>
                <w:rFonts w:eastAsia="Calibri" w:cs="Calibri"/>
                <w:color w:val="000000"/>
                <w:szCs w:val="16"/>
              </w:rPr>
              <w:t>Post-1989 natural forest</w:t>
            </w:r>
          </w:p>
        </w:tc>
        <w:tc>
          <w:tcPr>
            <w:tcW w:w="1304" w:type="dxa"/>
            <w:shd w:val="clear" w:color="auto" w:fill="FFFFFF"/>
            <w:tcMar>
              <w:top w:w="0" w:type="dxa"/>
              <w:left w:w="85" w:type="dxa"/>
              <w:bottom w:w="0" w:type="dxa"/>
              <w:right w:w="85" w:type="dxa"/>
            </w:tcMar>
          </w:tcPr>
          <w:p w14:paraId="58115FC1" w14:textId="77777777" w:rsidR="00E0181F" w:rsidRPr="001D5327" w:rsidRDefault="00E0181F" w:rsidP="00D11AC9">
            <w:pPr>
              <w:pStyle w:val="TableText"/>
              <w:spacing w:before="40" w:after="40"/>
              <w:jc w:val="right"/>
            </w:pPr>
            <w:r w:rsidRPr="001D5327">
              <w:rPr>
                <w:rFonts w:eastAsia="Calibri" w:cs="Calibri"/>
                <w:color w:val="000000"/>
                <w:szCs w:val="16"/>
              </w:rPr>
              <w:t>0</w:t>
            </w:r>
          </w:p>
        </w:tc>
        <w:tc>
          <w:tcPr>
            <w:tcW w:w="1304" w:type="dxa"/>
            <w:shd w:val="clear" w:color="auto" w:fill="FFFFFF"/>
            <w:tcMar>
              <w:top w:w="0" w:type="dxa"/>
              <w:left w:w="85" w:type="dxa"/>
              <w:bottom w:w="0" w:type="dxa"/>
              <w:right w:w="85" w:type="dxa"/>
            </w:tcMar>
          </w:tcPr>
          <w:p w14:paraId="2D934F53" w14:textId="77777777" w:rsidR="00E0181F" w:rsidRPr="001D5327" w:rsidRDefault="00E0181F" w:rsidP="00D11AC9">
            <w:pPr>
              <w:pStyle w:val="TableText"/>
              <w:spacing w:before="40" w:after="40"/>
              <w:jc w:val="right"/>
            </w:pPr>
            <w:r w:rsidRPr="001D5327">
              <w:rPr>
                <w:rFonts w:eastAsia="Calibri" w:cs="Calibri"/>
                <w:color w:val="000000"/>
                <w:szCs w:val="16"/>
              </w:rPr>
              <w:t>1,850</w:t>
            </w:r>
          </w:p>
        </w:tc>
        <w:tc>
          <w:tcPr>
            <w:tcW w:w="1304" w:type="dxa"/>
            <w:shd w:val="clear" w:color="auto" w:fill="FFFFFF"/>
            <w:tcMar>
              <w:top w:w="0" w:type="dxa"/>
              <w:left w:w="85" w:type="dxa"/>
              <w:bottom w:w="0" w:type="dxa"/>
              <w:right w:w="85" w:type="dxa"/>
            </w:tcMar>
          </w:tcPr>
          <w:p w14:paraId="0756DF53" w14:textId="6E4E8219" w:rsidR="00E0181F" w:rsidRPr="001D5327" w:rsidRDefault="0070503C" w:rsidP="00D11AC9">
            <w:pPr>
              <w:pStyle w:val="TableText"/>
              <w:spacing w:before="40" w:after="40"/>
              <w:jc w:val="right"/>
            </w:pPr>
            <w:r>
              <w:rPr>
                <w:rFonts w:eastAsia="Calibri" w:cs="Calibri"/>
                <w:color w:val="000000"/>
                <w:szCs w:val="16"/>
              </w:rPr>
              <w:t>-</w:t>
            </w:r>
          </w:p>
        </w:tc>
        <w:tc>
          <w:tcPr>
            <w:tcW w:w="1304" w:type="dxa"/>
            <w:shd w:val="clear" w:color="auto" w:fill="FFFFFF"/>
            <w:tcMar>
              <w:top w:w="0" w:type="dxa"/>
              <w:left w:w="85" w:type="dxa"/>
              <w:bottom w:w="0" w:type="dxa"/>
              <w:right w:w="85" w:type="dxa"/>
            </w:tcMar>
          </w:tcPr>
          <w:p w14:paraId="2AC22129" w14:textId="77777777" w:rsidR="00E0181F" w:rsidRPr="001D5327" w:rsidRDefault="00E0181F" w:rsidP="00D11AC9">
            <w:pPr>
              <w:pStyle w:val="TableText"/>
              <w:spacing w:before="40" w:after="40"/>
              <w:jc w:val="right"/>
            </w:pPr>
            <w:r w:rsidRPr="001D5327">
              <w:rPr>
                <w:rFonts w:eastAsia="Calibri" w:cs="Calibri"/>
                <w:color w:val="000000"/>
                <w:szCs w:val="16"/>
              </w:rPr>
              <w:t>158</w:t>
            </w:r>
          </w:p>
        </w:tc>
        <w:tc>
          <w:tcPr>
            <w:tcW w:w="1304" w:type="dxa"/>
            <w:shd w:val="clear" w:color="auto" w:fill="FFFFFF"/>
            <w:tcMar>
              <w:top w:w="0" w:type="dxa"/>
              <w:left w:w="85" w:type="dxa"/>
              <w:bottom w:w="0" w:type="dxa"/>
              <w:right w:w="85" w:type="dxa"/>
            </w:tcMar>
          </w:tcPr>
          <w:p w14:paraId="747EE999" w14:textId="7B871E4D" w:rsidR="00E0181F" w:rsidRPr="001D5327" w:rsidRDefault="0070503C" w:rsidP="00D11AC9">
            <w:pPr>
              <w:pStyle w:val="TableText"/>
              <w:spacing w:before="40" w:after="40"/>
              <w:jc w:val="right"/>
            </w:pPr>
            <w:r>
              <w:rPr>
                <w:rFonts w:eastAsia="Calibri" w:cs="Calibri"/>
                <w:color w:val="000000"/>
                <w:szCs w:val="16"/>
              </w:rPr>
              <w:t>-</w:t>
            </w:r>
          </w:p>
        </w:tc>
      </w:tr>
      <w:tr w:rsidR="00E0181F" w:rsidRPr="001D5327" w14:paraId="1A24CADD" w14:textId="77777777" w:rsidTr="00D11AC9">
        <w:tc>
          <w:tcPr>
            <w:tcW w:w="1984" w:type="dxa"/>
            <w:shd w:val="clear" w:color="auto" w:fill="FFFFFF"/>
            <w:tcMar>
              <w:top w:w="0" w:type="dxa"/>
              <w:left w:w="85" w:type="dxa"/>
              <w:bottom w:w="0" w:type="dxa"/>
              <w:right w:w="85" w:type="dxa"/>
            </w:tcMar>
          </w:tcPr>
          <w:p w14:paraId="4C15E5F1" w14:textId="77777777" w:rsidR="00E0181F" w:rsidRPr="001D5327" w:rsidRDefault="00E0181F" w:rsidP="00D11AC9">
            <w:pPr>
              <w:pStyle w:val="Tableboldblue"/>
              <w:spacing w:before="40" w:after="40"/>
            </w:pPr>
            <w:r w:rsidRPr="001D5327">
              <w:rPr>
                <w:rFonts w:eastAsia="Calibri"/>
              </w:rPr>
              <w:t>Total</w:t>
            </w:r>
          </w:p>
        </w:tc>
        <w:tc>
          <w:tcPr>
            <w:tcW w:w="1304" w:type="dxa"/>
            <w:shd w:val="clear" w:color="auto" w:fill="FFFFFF"/>
            <w:tcMar>
              <w:top w:w="0" w:type="dxa"/>
              <w:left w:w="85" w:type="dxa"/>
              <w:bottom w:w="0" w:type="dxa"/>
              <w:right w:w="85" w:type="dxa"/>
            </w:tcMar>
          </w:tcPr>
          <w:p w14:paraId="7F233533" w14:textId="77777777" w:rsidR="00E0181F" w:rsidRPr="001D5327" w:rsidRDefault="00E0181F" w:rsidP="00D11AC9">
            <w:pPr>
              <w:pStyle w:val="Tableboldblue"/>
              <w:spacing w:before="40" w:after="40"/>
              <w:jc w:val="right"/>
            </w:pPr>
            <w:r w:rsidRPr="001D5327">
              <w:rPr>
                <w:rFonts w:eastAsia="Calibri"/>
              </w:rPr>
              <w:t>9,360,005</w:t>
            </w:r>
          </w:p>
        </w:tc>
        <w:tc>
          <w:tcPr>
            <w:tcW w:w="1304" w:type="dxa"/>
            <w:shd w:val="clear" w:color="auto" w:fill="FFFFFF"/>
            <w:tcMar>
              <w:top w:w="0" w:type="dxa"/>
              <w:left w:w="85" w:type="dxa"/>
              <w:bottom w:w="0" w:type="dxa"/>
              <w:right w:w="85" w:type="dxa"/>
            </w:tcMar>
          </w:tcPr>
          <w:p w14:paraId="04BCDFE4" w14:textId="77777777" w:rsidR="00E0181F" w:rsidRPr="001D5327" w:rsidRDefault="00E0181F" w:rsidP="00D11AC9">
            <w:pPr>
              <w:pStyle w:val="Tableboldblue"/>
              <w:spacing w:before="40" w:after="40"/>
              <w:jc w:val="right"/>
            </w:pPr>
            <w:r w:rsidRPr="001D5327">
              <w:rPr>
                <w:rFonts w:eastAsia="Calibri"/>
              </w:rPr>
              <w:t>248,468</w:t>
            </w:r>
          </w:p>
        </w:tc>
        <w:tc>
          <w:tcPr>
            <w:tcW w:w="1304" w:type="dxa"/>
            <w:shd w:val="clear" w:color="auto" w:fill="FFFFFF"/>
            <w:tcMar>
              <w:top w:w="0" w:type="dxa"/>
              <w:left w:w="85" w:type="dxa"/>
              <w:bottom w:w="0" w:type="dxa"/>
              <w:right w:w="85" w:type="dxa"/>
            </w:tcMar>
          </w:tcPr>
          <w:p w14:paraId="5CE5D2C4" w14:textId="77777777" w:rsidR="00E0181F" w:rsidRPr="001D5327" w:rsidRDefault="00E0181F" w:rsidP="00D11AC9">
            <w:pPr>
              <w:pStyle w:val="Tableboldblue"/>
              <w:spacing w:before="40" w:after="40"/>
              <w:jc w:val="right"/>
            </w:pPr>
            <w:r w:rsidRPr="001D5327">
              <w:rPr>
                <w:rFonts w:eastAsia="Calibri"/>
              </w:rPr>
              <w:t>2.65</w:t>
            </w:r>
          </w:p>
        </w:tc>
        <w:tc>
          <w:tcPr>
            <w:tcW w:w="1304" w:type="dxa"/>
            <w:shd w:val="clear" w:color="auto" w:fill="FFFFFF"/>
            <w:tcMar>
              <w:top w:w="0" w:type="dxa"/>
              <w:left w:w="85" w:type="dxa"/>
              <w:bottom w:w="0" w:type="dxa"/>
              <w:right w:w="85" w:type="dxa"/>
            </w:tcMar>
          </w:tcPr>
          <w:p w14:paraId="77D39818" w14:textId="77777777" w:rsidR="00E0181F" w:rsidRPr="001D5327" w:rsidRDefault="00E0181F" w:rsidP="00D11AC9">
            <w:pPr>
              <w:pStyle w:val="Tableboldblue"/>
              <w:spacing w:before="40" w:after="40"/>
              <w:jc w:val="right"/>
            </w:pPr>
            <w:r w:rsidRPr="001D5327">
              <w:rPr>
                <w:rFonts w:eastAsia="Calibri"/>
              </w:rPr>
              <w:t>3,236</w:t>
            </w:r>
          </w:p>
        </w:tc>
        <w:tc>
          <w:tcPr>
            <w:tcW w:w="1304" w:type="dxa"/>
            <w:shd w:val="clear" w:color="auto" w:fill="FFFFFF"/>
            <w:tcMar>
              <w:top w:w="0" w:type="dxa"/>
              <w:left w:w="85" w:type="dxa"/>
              <w:bottom w:w="0" w:type="dxa"/>
              <w:right w:w="85" w:type="dxa"/>
            </w:tcMar>
          </w:tcPr>
          <w:p w14:paraId="0B7ECA55" w14:textId="77777777" w:rsidR="00E0181F" w:rsidRPr="001D5327" w:rsidRDefault="00E0181F" w:rsidP="00D11AC9">
            <w:pPr>
              <w:pStyle w:val="Tableboldblue"/>
              <w:spacing w:before="40" w:after="40"/>
              <w:jc w:val="right"/>
            </w:pPr>
            <w:r w:rsidRPr="001D5327">
              <w:rPr>
                <w:rFonts w:eastAsia="Calibri"/>
              </w:rPr>
              <w:t>0.03</w:t>
            </w:r>
          </w:p>
        </w:tc>
      </w:tr>
    </w:tbl>
    <w:p w14:paraId="10874BAB" w14:textId="77777777" w:rsidR="00E0181F" w:rsidRPr="001D5327" w:rsidRDefault="00E0181F" w:rsidP="00E0181F">
      <w:pPr>
        <w:pStyle w:val="Noteundertable"/>
      </w:pPr>
      <w:r w:rsidRPr="001D5327">
        <w:rPr>
          <w:b/>
        </w:rPr>
        <w:t>Note:</w:t>
      </w:r>
      <w:r w:rsidRPr="001D5327">
        <w:tab/>
        <w:t>The 2023 areas are as at 31 December 2023; 1990 areas are as at 1 January 1990 and, therefore, differ from 1990 area values in the common reporting tables, which are as at 31 December 1990. Columns may not total due to rounding.</w:t>
      </w:r>
    </w:p>
    <w:p w14:paraId="316E8842" w14:textId="77777777" w:rsidR="00E0181F" w:rsidRPr="001D5327" w:rsidRDefault="00E0181F" w:rsidP="00E0181F">
      <w:pPr>
        <w:pStyle w:val="Figure"/>
      </w:pPr>
      <w:bookmarkStart w:id="1892" w:name="_Toc33529483"/>
      <w:bookmarkStart w:id="1893" w:name="_Toc36292813"/>
      <w:bookmarkStart w:id="1894" w:name="_Toc131591573"/>
      <w:bookmarkStart w:id="1895" w:name="_Toc158979913"/>
      <w:bookmarkStart w:id="1896" w:name="_Toc164154041"/>
      <w:bookmarkStart w:id="1897" w:name="_Toc190873410"/>
      <w:bookmarkStart w:id="1898" w:name="_Toc194674874"/>
      <w:r w:rsidRPr="001D5327">
        <w:lastRenderedPageBreak/>
        <w:t>Figure 6.4.4</w:t>
      </w:r>
      <w:r w:rsidRPr="001D5327">
        <w:tab/>
        <w:t xml:space="preserve">New Zealand’s area of deforestation since 1990, by </w:t>
      </w:r>
      <w:r w:rsidRPr="001D5327">
        <w:rPr>
          <w:i/>
        </w:rPr>
        <w:t>Forest land</w:t>
      </w:r>
      <w:r w:rsidRPr="001D5327">
        <w:t xml:space="preserve"> category</w:t>
      </w:r>
      <w:bookmarkEnd w:id="1892"/>
      <w:bookmarkEnd w:id="1893"/>
      <w:bookmarkEnd w:id="1894"/>
      <w:bookmarkEnd w:id="1895"/>
      <w:bookmarkEnd w:id="1896"/>
      <w:bookmarkEnd w:id="1897"/>
      <w:bookmarkEnd w:id="1898"/>
    </w:p>
    <w:p w14:paraId="786E1B19" w14:textId="77777777" w:rsidR="00E0181F" w:rsidRPr="001D5327" w:rsidRDefault="00E0181F" w:rsidP="00C27468">
      <w:pPr>
        <w:pStyle w:val="BodyText"/>
        <w:jc w:val="center"/>
      </w:pPr>
      <w:r w:rsidRPr="001D5327">
        <w:rPr>
          <w:noProof/>
        </w:rPr>
        <w:drawing>
          <wp:inline distT="0" distB="0" distL="0" distR="0" wp14:anchorId="50650FD5" wp14:editId="32294D53">
            <wp:extent cx="4773713" cy="3745523"/>
            <wp:effectExtent l="0" t="0" r="8255" b="7620"/>
            <wp:docPr id="11" name="Picture 11"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aph of different colored bars&#10;&#10;Description automatically generated"/>
                    <pic:cNvPicPr>
                      <a:picLocks noChangeAspect="1" noChangeArrowheads="1"/>
                    </pic:cNvPicPr>
                  </pic:nvPicPr>
                  <pic:blipFill rotWithShape="1">
                    <a:blip r:embed="rId204" cstate="print"/>
                    <a:srcRect t="1" b="1922"/>
                    <a:stretch/>
                  </pic:blipFill>
                  <pic:spPr bwMode="auto">
                    <a:xfrm>
                      <a:off x="0" y="0"/>
                      <a:ext cx="66345" cy="52055"/>
                    </a:xfrm>
                    <a:prstGeom prst="rect">
                      <a:avLst/>
                    </a:prstGeom>
                    <a:noFill/>
                    <a:ln>
                      <a:noFill/>
                    </a:ln>
                    <a:extLst>
                      <a:ext uri="{53640926-AAD7-44D8-BBD7-CCE9431645EC}">
                        <a14:shadowObscured xmlns:a14="http://schemas.microsoft.com/office/drawing/2010/main"/>
                      </a:ext>
                    </a:extLst>
                  </pic:spPr>
                </pic:pic>
              </a:graphicData>
            </a:graphic>
          </wp:inline>
        </w:drawing>
      </w:r>
    </w:p>
    <w:p w14:paraId="33128718" w14:textId="77777777" w:rsidR="00E0181F" w:rsidRPr="001D5327" w:rsidRDefault="00E0181F" w:rsidP="00E0181F">
      <w:pPr>
        <w:pStyle w:val="BodyText"/>
      </w:pPr>
      <w:r w:rsidRPr="001D5327">
        <w:t>New Zealand assumes instant emissions of all biomass carbon at the time of deforestation, based on the following.</w:t>
      </w:r>
    </w:p>
    <w:p w14:paraId="68D564AE" w14:textId="77777777" w:rsidR="00E0181F" w:rsidRPr="001D5327" w:rsidRDefault="00E0181F" w:rsidP="00407428">
      <w:pPr>
        <w:pStyle w:val="Bullet"/>
        <w:numPr>
          <w:ilvl w:val="0"/>
          <w:numId w:val="23"/>
        </w:numPr>
        <w:ind w:left="397" w:hanging="397"/>
      </w:pPr>
      <w:r w:rsidRPr="001D5327">
        <w:t xml:space="preserve">The majority of deforestation since 2000 has resulted from land conversion to </w:t>
      </w:r>
      <w:r w:rsidRPr="001D5327">
        <w:rPr>
          <w:i/>
          <w:iCs/>
        </w:rPr>
        <w:t>Grassland</w:t>
      </w:r>
      <w:r w:rsidRPr="001D5327">
        <w:t>, leading to the rapid removal of all biomass as the land is prepared for farming.</w:t>
      </w:r>
    </w:p>
    <w:p w14:paraId="5D84538E" w14:textId="77777777" w:rsidR="00E0181F" w:rsidRPr="001D5327" w:rsidRDefault="00E0181F" w:rsidP="00407428">
      <w:pPr>
        <w:pStyle w:val="Bullet"/>
        <w:numPr>
          <w:ilvl w:val="0"/>
          <w:numId w:val="23"/>
        </w:numPr>
        <w:ind w:left="397" w:hanging="397"/>
      </w:pPr>
      <w:r w:rsidRPr="001D5327">
        <w:t>It is not practical to estimate emissions from residues following deforestation activity given the rapid conversion from one land use to another and the multiple methods of removing residues. Furthermore, estimating biomass residue and decay rates for multiple disposal methods is difficult and costly.</w:t>
      </w:r>
    </w:p>
    <w:p w14:paraId="38866174" w14:textId="542BA519" w:rsidR="00E0181F" w:rsidRPr="001D5327" w:rsidRDefault="00E0181F" w:rsidP="00E0181F">
      <w:pPr>
        <w:pStyle w:val="BodyText"/>
      </w:pPr>
      <w:r w:rsidRPr="001D5327">
        <w:t xml:space="preserve">Estimates of deforestation emissions for pre-1990 natural forest are based on the type of vegetation deforested, classed as tall forest or regenerating. This is done using spatial data on land cover (sourced from Land Cover Database version 5 (LCDB5) using the 2008 map year). These forest categories are defined in table 6.4.5. Tall forest deforestation emissions are </w:t>
      </w:r>
      <w:r w:rsidRPr="001D5327">
        <w:rPr>
          <w:spacing w:val="-2"/>
        </w:rPr>
        <w:t>determined from the average carbon stock per hectare in biomass for tall forests. Regenerating</w:t>
      </w:r>
      <w:r w:rsidRPr="001D5327">
        <w:t xml:space="preserve"> forest deforestation emissions are determined from the average carbon stock per hectare in biomass for regenerating forests. All carbon in biomass, for both tall and regenerating forest, is</w:t>
      </w:r>
      <w:r w:rsidR="007215F9" w:rsidRPr="001D5327">
        <w:t> </w:t>
      </w:r>
      <w:r w:rsidRPr="001D5327">
        <w:t>assumed in the calculations to be an instantaneous emission at the time of deforestation, because no information on the time lag of emissions from dead organic matter or below-ground biomass is currently available. Table 6.4.6 shows the</w:t>
      </w:r>
      <w:r w:rsidRPr="001D5327" w:rsidDel="00E24861">
        <w:t xml:space="preserve"> </w:t>
      </w:r>
      <w:r w:rsidRPr="001D5327">
        <w:t>areas of these two forest categories and table 6.4.7 shows the areas of pre-1990 natural forest deforestation split by these two forest types.</w:t>
      </w:r>
    </w:p>
    <w:p w14:paraId="16556414" w14:textId="77777777" w:rsidR="00E0181F" w:rsidRPr="001D5327" w:rsidRDefault="00E0181F" w:rsidP="00E0181F">
      <w:pPr>
        <w:pStyle w:val="Table"/>
      </w:pPr>
      <w:bookmarkStart w:id="1899" w:name="_Toc131591395"/>
      <w:bookmarkStart w:id="1900" w:name="_Toc158979953"/>
      <w:bookmarkStart w:id="1901" w:name="_Toc164153886"/>
      <w:bookmarkStart w:id="1902" w:name="_Toc190873120"/>
      <w:bookmarkStart w:id="1903" w:name="_Toc194241759"/>
      <w:r w:rsidRPr="001D5327">
        <w:lastRenderedPageBreak/>
        <w:t>Table 6.4.5</w:t>
      </w:r>
      <w:r w:rsidRPr="001D5327">
        <w:tab/>
        <w:t>Pre-1990 natural forest categories and description</w:t>
      </w:r>
      <w:bookmarkEnd w:id="1899"/>
      <w:bookmarkEnd w:id="1900"/>
      <w:bookmarkEnd w:id="1901"/>
      <w:bookmarkEnd w:id="1902"/>
      <w:bookmarkEnd w:id="1903"/>
    </w:p>
    <w:tbl>
      <w:tblPr>
        <w:tblW w:w="8505" w:type="dxa"/>
        <w:tblBorders>
          <w:top w:val="single" w:sz="4" w:space="0" w:color="1B556B" w:themeColor="text2"/>
          <w:bottom w:val="single" w:sz="4" w:space="0" w:color="1B556B" w:themeColor="text2"/>
          <w:insideH w:val="single" w:sz="4" w:space="0" w:color="1B556B" w:themeColor="text2"/>
        </w:tblBorders>
        <w:tblLook w:val="04A0" w:firstRow="1" w:lastRow="0" w:firstColumn="1" w:lastColumn="0" w:noHBand="0" w:noVBand="1"/>
      </w:tblPr>
      <w:tblGrid>
        <w:gridCol w:w="1843"/>
        <w:gridCol w:w="6662"/>
      </w:tblGrid>
      <w:tr w:rsidR="00E0181F" w:rsidRPr="001D5327" w14:paraId="6F1247EE" w14:textId="77777777" w:rsidTr="00D11AC9">
        <w:trPr>
          <w:tblHeader/>
        </w:trPr>
        <w:tc>
          <w:tcPr>
            <w:tcW w:w="1843" w:type="dxa"/>
            <w:shd w:val="clear" w:color="auto" w:fill="1B556B"/>
            <w:hideMark/>
          </w:tcPr>
          <w:p w14:paraId="64ED0AEF" w14:textId="77777777" w:rsidR="00E0181F" w:rsidRPr="001D5327" w:rsidRDefault="00E0181F" w:rsidP="00D11AC9">
            <w:pPr>
              <w:pStyle w:val="TableTextBold"/>
              <w:keepNext/>
              <w:spacing w:before="50" w:after="50" w:line="257" w:lineRule="auto"/>
              <w:rPr>
                <w:noProof w:val="0"/>
                <w:color w:val="FFFFFF"/>
              </w:rPr>
            </w:pPr>
            <w:r w:rsidRPr="001D5327">
              <w:rPr>
                <w:noProof w:val="0"/>
                <w:color w:val="FFFFFF"/>
              </w:rPr>
              <w:t>Natural forest category</w:t>
            </w:r>
          </w:p>
        </w:tc>
        <w:tc>
          <w:tcPr>
            <w:tcW w:w="6662" w:type="dxa"/>
            <w:shd w:val="clear" w:color="auto" w:fill="1B556B"/>
            <w:hideMark/>
          </w:tcPr>
          <w:p w14:paraId="74C97173" w14:textId="77777777" w:rsidR="00E0181F" w:rsidRPr="001D5327" w:rsidRDefault="00E0181F" w:rsidP="00D11AC9">
            <w:pPr>
              <w:pStyle w:val="TableTextBold"/>
              <w:keepNext/>
              <w:spacing w:before="50" w:after="50" w:line="257" w:lineRule="auto"/>
              <w:rPr>
                <w:noProof w:val="0"/>
                <w:color w:val="FFFFFF"/>
              </w:rPr>
            </w:pPr>
            <w:r w:rsidRPr="001D5327">
              <w:rPr>
                <w:noProof w:val="0"/>
                <w:color w:val="FFFFFF"/>
              </w:rPr>
              <w:t>Description</w:t>
            </w:r>
          </w:p>
        </w:tc>
      </w:tr>
      <w:tr w:rsidR="00E0181F" w:rsidRPr="001D5327" w14:paraId="758AA76C" w14:textId="77777777" w:rsidTr="00D11AC9">
        <w:tc>
          <w:tcPr>
            <w:tcW w:w="1843" w:type="dxa"/>
            <w:hideMark/>
          </w:tcPr>
          <w:p w14:paraId="2B5E58BE" w14:textId="77777777" w:rsidR="00E0181F" w:rsidRPr="001D5327" w:rsidRDefault="00E0181F" w:rsidP="00D11AC9">
            <w:pPr>
              <w:pStyle w:val="TableText"/>
              <w:keepNext/>
              <w:spacing w:before="50" w:after="50" w:line="257" w:lineRule="auto"/>
              <w:rPr>
                <w:rFonts w:cs="Arial Bold"/>
                <w:szCs w:val="16"/>
              </w:rPr>
            </w:pPr>
            <w:r w:rsidRPr="001D5327">
              <w:rPr>
                <w:rFonts w:cs="Arial Bold"/>
                <w:szCs w:val="16"/>
              </w:rPr>
              <w:t>Tall</w:t>
            </w:r>
          </w:p>
        </w:tc>
        <w:tc>
          <w:tcPr>
            <w:tcW w:w="6662" w:type="dxa"/>
          </w:tcPr>
          <w:p w14:paraId="5D7F3E6C" w14:textId="77777777" w:rsidR="00E0181F" w:rsidRPr="001D5327" w:rsidRDefault="00E0181F" w:rsidP="00D11AC9">
            <w:pPr>
              <w:pStyle w:val="TableText"/>
              <w:keepNext/>
              <w:spacing w:before="50" w:after="50" w:line="257" w:lineRule="auto"/>
              <w:rPr>
                <w:rFonts w:cs="Arial Bold"/>
                <w:szCs w:val="16"/>
              </w:rPr>
            </w:pPr>
            <w:r w:rsidRPr="001D5327">
              <w:rPr>
                <w:rFonts w:cs="Arial Bold"/>
                <w:szCs w:val="16"/>
              </w:rPr>
              <w:t>Made up of two LCDB5 classes: 1. indigenous forest; tall forest dominated by indigenous conifer, broadleaved or beech species; 2. broadleaved indigenous hardwoods; lowland scrub communities dominated by indigenous mixed broadleaved shrubs.</w:t>
            </w:r>
          </w:p>
        </w:tc>
      </w:tr>
      <w:tr w:rsidR="00E0181F" w:rsidRPr="001D5327" w14:paraId="623690BD" w14:textId="77777777" w:rsidTr="00D11AC9">
        <w:tc>
          <w:tcPr>
            <w:tcW w:w="1843" w:type="dxa"/>
          </w:tcPr>
          <w:p w14:paraId="6345D38B" w14:textId="77777777" w:rsidR="00E0181F" w:rsidRPr="001D5327" w:rsidRDefault="00E0181F" w:rsidP="00D11AC9">
            <w:pPr>
              <w:pStyle w:val="TableText"/>
              <w:spacing w:before="50" w:after="50" w:line="256" w:lineRule="auto"/>
              <w:rPr>
                <w:rFonts w:cs="Arial Bold"/>
                <w:szCs w:val="16"/>
              </w:rPr>
            </w:pPr>
            <w:r w:rsidRPr="001D5327">
              <w:rPr>
                <w:rFonts w:cs="Arial Bold"/>
                <w:szCs w:val="16"/>
              </w:rPr>
              <w:t>Regenerating</w:t>
            </w:r>
          </w:p>
        </w:tc>
        <w:tc>
          <w:tcPr>
            <w:tcW w:w="6662" w:type="dxa"/>
          </w:tcPr>
          <w:p w14:paraId="08D15856" w14:textId="77777777" w:rsidR="00E0181F" w:rsidRPr="001D5327" w:rsidRDefault="00E0181F" w:rsidP="00D11AC9">
            <w:pPr>
              <w:pStyle w:val="TableText"/>
              <w:spacing w:before="50" w:after="50" w:line="256" w:lineRule="auto"/>
              <w:rPr>
                <w:rFonts w:cs="Arial Bold"/>
                <w:szCs w:val="16"/>
              </w:rPr>
            </w:pPr>
            <w:r w:rsidRPr="001D5327">
              <w:rPr>
                <w:rFonts w:cs="Arial Bold"/>
                <w:szCs w:val="16"/>
              </w:rPr>
              <w:t>All other areas mapped as pre-1990 natural forest that fall outside the two LCDB5 classes above. Represents areas recovering from previous disturbances.</w:t>
            </w:r>
          </w:p>
        </w:tc>
      </w:tr>
    </w:tbl>
    <w:p w14:paraId="625B9706" w14:textId="77777777" w:rsidR="00E0181F" w:rsidRPr="001D5327" w:rsidRDefault="00E0181F" w:rsidP="007215F9">
      <w:pPr>
        <w:pStyle w:val="Noteundertable"/>
        <w:spacing w:after="240"/>
      </w:pPr>
      <w:r w:rsidRPr="001D5327">
        <w:rPr>
          <w:b/>
          <w:bCs/>
        </w:rPr>
        <w:t>Note:</w:t>
      </w:r>
      <w:r w:rsidRPr="001D5327">
        <w:t xml:space="preserve"> </w:t>
      </w:r>
      <w:r w:rsidRPr="001D5327">
        <w:tab/>
        <w:t>LCDB5 = Land Cover Database version 5.</w:t>
      </w:r>
    </w:p>
    <w:p w14:paraId="6EBD9E63" w14:textId="77777777" w:rsidR="00E0181F" w:rsidRPr="001D5327" w:rsidRDefault="00E0181F" w:rsidP="00E0181F">
      <w:pPr>
        <w:pStyle w:val="Table"/>
      </w:pPr>
      <w:bookmarkStart w:id="1904" w:name="_Toc131591396"/>
      <w:bookmarkStart w:id="1905" w:name="_Toc158979954"/>
      <w:bookmarkStart w:id="1906" w:name="_Toc164153887"/>
      <w:bookmarkStart w:id="1907" w:name="_Toc190873121"/>
      <w:bookmarkStart w:id="1908" w:name="_Toc194241760"/>
      <w:r w:rsidRPr="001D5327">
        <w:t>Table 6.4.6</w:t>
      </w:r>
      <w:r w:rsidRPr="001D5327">
        <w:tab/>
        <w:t>Areas of tall and regenerating pre-1990 natural forest in 1990 and 202</w:t>
      </w:r>
      <w:bookmarkEnd w:id="1904"/>
      <w:bookmarkEnd w:id="1905"/>
      <w:bookmarkEnd w:id="1906"/>
      <w:bookmarkEnd w:id="1907"/>
      <w:r w:rsidRPr="001D5327">
        <w:t>3</w:t>
      </w:r>
      <w:bookmarkEnd w:id="1908"/>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835"/>
        <w:gridCol w:w="3119"/>
        <w:gridCol w:w="2551"/>
      </w:tblGrid>
      <w:tr w:rsidR="00E0181F" w:rsidRPr="001D5327" w14:paraId="462E0625" w14:textId="77777777" w:rsidTr="00D11AC9">
        <w:trPr>
          <w:tblHeader/>
        </w:trPr>
        <w:tc>
          <w:tcPr>
            <w:tcW w:w="2835" w:type="dxa"/>
            <w:shd w:val="clear" w:color="auto" w:fill="1B556B"/>
            <w:tcMar>
              <w:top w:w="0" w:type="dxa"/>
              <w:left w:w="85" w:type="dxa"/>
              <w:bottom w:w="0" w:type="dxa"/>
              <w:right w:w="85" w:type="dxa"/>
            </w:tcMar>
          </w:tcPr>
          <w:p w14:paraId="7B723AAA" w14:textId="77777777" w:rsidR="00E0181F" w:rsidRPr="001D5327" w:rsidRDefault="00E0181F" w:rsidP="00D11AC9">
            <w:pPr>
              <w:pStyle w:val="TableTextBold"/>
              <w:spacing w:before="40" w:after="40"/>
              <w:rPr>
                <w:noProof w:val="0"/>
                <w:color w:val="FFFFFF" w:themeColor="background1"/>
              </w:rPr>
            </w:pPr>
            <w:r w:rsidRPr="001D5327">
              <w:rPr>
                <w:rFonts w:eastAsia="Calibri"/>
                <w:noProof w:val="0"/>
                <w:color w:val="FFFFFF" w:themeColor="background1"/>
              </w:rPr>
              <w:t>Pre-1990 forest sub-classification</w:t>
            </w:r>
          </w:p>
        </w:tc>
        <w:tc>
          <w:tcPr>
            <w:tcW w:w="3119" w:type="dxa"/>
            <w:shd w:val="clear" w:color="auto" w:fill="1B556B"/>
            <w:tcMar>
              <w:top w:w="0" w:type="dxa"/>
              <w:left w:w="85" w:type="dxa"/>
              <w:bottom w:w="0" w:type="dxa"/>
              <w:right w:w="85" w:type="dxa"/>
            </w:tcMar>
          </w:tcPr>
          <w:p w14:paraId="684191F4"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Area of forest in 1990 (ha)</w:t>
            </w:r>
          </w:p>
        </w:tc>
        <w:tc>
          <w:tcPr>
            <w:tcW w:w="2551" w:type="dxa"/>
            <w:shd w:val="clear" w:color="auto" w:fill="1B556B"/>
            <w:tcMar>
              <w:top w:w="0" w:type="dxa"/>
              <w:left w:w="85" w:type="dxa"/>
              <w:bottom w:w="0" w:type="dxa"/>
              <w:right w:w="85" w:type="dxa"/>
            </w:tcMar>
          </w:tcPr>
          <w:p w14:paraId="368923C5"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Area of forest in 2023 (ha)</w:t>
            </w:r>
          </w:p>
        </w:tc>
      </w:tr>
      <w:tr w:rsidR="00E0181F" w:rsidRPr="001D5327" w14:paraId="19A1E289" w14:textId="77777777" w:rsidTr="00D11AC9">
        <w:tc>
          <w:tcPr>
            <w:tcW w:w="2835" w:type="dxa"/>
            <w:shd w:val="clear" w:color="auto" w:fill="FFFFFF"/>
            <w:tcMar>
              <w:top w:w="0" w:type="dxa"/>
              <w:left w:w="85" w:type="dxa"/>
              <w:bottom w:w="0" w:type="dxa"/>
              <w:right w:w="85" w:type="dxa"/>
            </w:tcMar>
          </w:tcPr>
          <w:p w14:paraId="6EAEA184" w14:textId="77777777" w:rsidR="00E0181F" w:rsidRPr="001D5327" w:rsidRDefault="00E0181F" w:rsidP="00D11AC9">
            <w:pPr>
              <w:pStyle w:val="TableText"/>
              <w:spacing w:before="40" w:after="40"/>
            </w:pPr>
            <w:r w:rsidRPr="001D5327">
              <w:rPr>
                <w:rFonts w:eastAsia="Calibri"/>
                <w:color w:val="000000"/>
              </w:rPr>
              <w:t>Tall forest</w:t>
            </w:r>
          </w:p>
        </w:tc>
        <w:tc>
          <w:tcPr>
            <w:tcW w:w="3119" w:type="dxa"/>
            <w:shd w:val="clear" w:color="auto" w:fill="FFFFFF"/>
            <w:tcMar>
              <w:top w:w="0" w:type="dxa"/>
              <w:left w:w="85" w:type="dxa"/>
              <w:bottom w:w="0" w:type="dxa"/>
              <w:right w:w="85" w:type="dxa"/>
            </w:tcMar>
          </w:tcPr>
          <w:p w14:paraId="3C772A42" w14:textId="77777777" w:rsidR="00E0181F" w:rsidRPr="001D5327" w:rsidRDefault="00E0181F" w:rsidP="00D11AC9">
            <w:pPr>
              <w:pStyle w:val="TableText"/>
              <w:spacing w:before="40" w:after="40"/>
              <w:jc w:val="right"/>
            </w:pPr>
            <w:r w:rsidRPr="001D5327">
              <w:rPr>
                <w:rFonts w:eastAsia="Calibri"/>
                <w:color w:val="000000"/>
              </w:rPr>
              <w:t>6,688,090</w:t>
            </w:r>
          </w:p>
        </w:tc>
        <w:tc>
          <w:tcPr>
            <w:tcW w:w="2551" w:type="dxa"/>
            <w:shd w:val="clear" w:color="auto" w:fill="FFFFFF"/>
            <w:tcMar>
              <w:top w:w="0" w:type="dxa"/>
              <w:left w:w="85" w:type="dxa"/>
              <w:bottom w:w="0" w:type="dxa"/>
              <w:right w:w="85" w:type="dxa"/>
            </w:tcMar>
          </w:tcPr>
          <w:p w14:paraId="429CEFA2" w14:textId="77777777" w:rsidR="00E0181F" w:rsidRPr="001D5327" w:rsidRDefault="00E0181F" w:rsidP="00D11AC9">
            <w:pPr>
              <w:pStyle w:val="TableText"/>
              <w:spacing w:before="40" w:after="40"/>
              <w:jc w:val="right"/>
            </w:pPr>
            <w:r w:rsidRPr="001D5327">
              <w:rPr>
                <w:rFonts w:eastAsia="Calibri"/>
                <w:color w:val="000000"/>
              </w:rPr>
              <w:t>6,667,201</w:t>
            </w:r>
          </w:p>
        </w:tc>
      </w:tr>
      <w:tr w:rsidR="00E0181F" w:rsidRPr="001D5327" w14:paraId="2F57D1B4" w14:textId="77777777" w:rsidTr="00D11AC9">
        <w:tc>
          <w:tcPr>
            <w:tcW w:w="2835" w:type="dxa"/>
            <w:shd w:val="clear" w:color="auto" w:fill="FFFFFF"/>
            <w:tcMar>
              <w:top w:w="0" w:type="dxa"/>
              <w:left w:w="85" w:type="dxa"/>
              <w:bottom w:w="0" w:type="dxa"/>
              <w:right w:w="85" w:type="dxa"/>
            </w:tcMar>
          </w:tcPr>
          <w:p w14:paraId="727C5C96" w14:textId="77777777" w:rsidR="00E0181F" w:rsidRPr="001D5327" w:rsidRDefault="00E0181F" w:rsidP="00D11AC9">
            <w:pPr>
              <w:pStyle w:val="TableText"/>
              <w:spacing w:before="40" w:after="40"/>
            </w:pPr>
            <w:r w:rsidRPr="001D5327">
              <w:rPr>
                <w:rFonts w:eastAsia="Calibri"/>
                <w:color w:val="000000"/>
              </w:rPr>
              <w:t>Regenerating forest</w:t>
            </w:r>
          </w:p>
        </w:tc>
        <w:tc>
          <w:tcPr>
            <w:tcW w:w="3119" w:type="dxa"/>
            <w:shd w:val="clear" w:color="auto" w:fill="FFFFFF"/>
            <w:tcMar>
              <w:top w:w="0" w:type="dxa"/>
              <w:left w:w="85" w:type="dxa"/>
              <w:bottom w:w="0" w:type="dxa"/>
              <w:right w:w="85" w:type="dxa"/>
            </w:tcMar>
          </w:tcPr>
          <w:p w14:paraId="27F8D6E3" w14:textId="77777777" w:rsidR="00E0181F" w:rsidRPr="001D5327" w:rsidRDefault="00E0181F" w:rsidP="00D11AC9">
            <w:pPr>
              <w:pStyle w:val="TableText"/>
              <w:spacing w:before="40" w:after="40"/>
              <w:jc w:val="right"/>
            </w:pPr>
            <w:r w:rsidRPr="001D5327">
              <w:rPr>
                <w:rFonts w:eastAsia="Calibri"/>
                <w:color w:val="000000"/>
              </w:rPr>
              <w:t>1,124,867</w:t>
            </w:r>
          </w:p>
        </w:tc>
        <w:tc>
          <w:tcPr>
            <w:tcW w:w="2551" w:type="dxa"/>
            <w:shd w:val="clear" w:color="auto" w:fill="FFFFFF"/>
            <w:tcMar>
              <w:top w:w="0" w:type="dxa"/>
              <w:left w:w="85" w:type="dxa"/>
              <w:bottom w:w="0" w:type="dxa"/>
              <w:right w:w="85" w:type="dxa"/>
            </w:tcMar>
          </w:tcPr>
          <w:p w14:paraId="105887A0" w14:textId="77777777" w:rsidR="00E0181F" w:rsidRPr="001D5327" w:rsidRDefault="00E0181F" w:rsidP="00D11AC9">
            <w:pPr>
              <w:pStyle w:val="TableText"/>
              <w:spacing w:before="40" w:after="40"/>
              <w:jc w:val="right"/>
            </w:pPr>
            <w:r w:rsidRPr="001D5327">
              <w:rPr>
                <w:rFonts w:eastAsia="Calibri"/>
                <w:color w:val="000000"/>
              </w:rPr>
              <w:t>1,076,743</w:t>
            </w:r>
          </w:p>
        </w:tc>
      </w:tr>
      <w:tr w:rsidR="00E0181F" w:rsidRPr="001D5327" w14:paraId="0EF1CF0B" w14:textId="77777777" w:rsidTr="00D11AC9">
        <w:tc>
          <w:tcPr>
            <w:tcW w:w="2835" w:type="dxa"/>
            <w:shd w:val="clear" w:color="auto" w:fill="FFFFFF"/>
            <w:tcMar>
              <w:top w:w="0" w:type="dxa"/>
              <w:left w:w="85" w:type="dxa"/>
              <w:bottom w:w="0" w:type="dxa"/>
              <w:right w:w="85" w:type="dxa"/>
            </w:tcMar>
          </w:tcPr>
          <w:p w14:paraId="5714B24B" w14:textId="77777777" w:rsidR="00E0181F" w:rsidRPr="001D5327" w:rsidRDefault="00E0181F" w:rsidP="00D11AC9">
            <w:pPr>
              <w:pStyle w:val="Tableboldblue"/>
              <w:spacing w:before="40" w:after="40"/>
            </w:pPr>
            <w:r w:rsidRPr="001D5327">
              <w:rPr>
                <w:rFonts w:eastAsia="Calibri"/>
              </w:rPr>
              <w:t>Total</w:t>
            </w:r>
          </w:p>
        </w:tc>
        <w:tc>
          <w:tcPr>
            <w:tcW w:w="3119" w:type="dxa"/>
            <w:shd w:val="clear" w:color="auto" w:fill="FFFFFF"/>
            <w:tcMar>
              <w:top w:w="0" w:type="dxa"/>
              <w:left w:w="85" w:type="dxa"/>
              <w:bottom w:w="0" w:type="dxa"/>
              <w:right w:w="85" w:type="dxa"/>
            </w:tcMar>
          </w:tcPr>
          <w:p w14:paraId="5008C129" w14:textId="77777777" w:rsidR="00E0181F" w:rsidRPr="001D5327" w:rsidRDefault="00E0181F" w:rsidP="00D11AC9">
            <w:pPr>
              <w:pStyle w:val="Tableboldblue"/>
              <w:spacing w:before="40" w:after="40"/>
              <w:jc w:val="right"/>
            </w:pPr>
            <w:r w:rsidRPr="001D5327">
              <w:rPr>
                <w:rFonts w:eastAsia="Calibri"/>
              </w:rPr>
              <w:t>7,812,957</w:t>
            </w:r>
          </w:p>
        </w:tc>
        <w:tc>
          <w:tcPr>
            <w:tcW w:w="2551" w:type="dxa"/>
            <w:shd w:val="clear" w:color="auto" w:fill="FFFFFF"/>
            <w:tcMar>
              <w:top w:w="0" w:type="dxa"/>
              <w:left w:w="85" w:type="dxa"/>
              <w:bottom w:w="0" w:type="dxa"/>
              <w:right w:w="85" w:type="dxa"/>
            </w:tcMar>
          </w:tcPr>
          <w:p w14:paraId="7AE71A88" w14:textId="77777777" w:rsidR="00E0181F" w:rsidRPr="001D5327" w:rsidRDefault="00E0181F" w:rsidP="00D11AC9">
            <w:pPr>
              <w:pStyle w:val="Tableboldblue"/>
              <w:spacing w:before="40" w:after="40"/>
              <w:jc w:val="right"/>
            </w:pPr>
            <w:r w:rsidRPr="001D5327">
              <w:rPr>
                <w:rFonts w:eastAsia="Calibri"/>
              </w:rPr>
              <w:t>7,743,944</w:t>
            </w:r>
          </w:p>
        </w:tc>
      </w:tr>
    </w:tbl>
    <w:p w14:paraId="6DA08161" w14:textId="77777777" w:rsidR="00E0181F" w:rsidRPr="001D5327" w:rsidRDefault="00E0181F" w:rsidP="00E0181F">
      <w:pPr>
        <w:pStyle w:val="Table"/>
        <w:spacing w:before="360"/>
      </w:pPr>
      <w:bookmarkStart w:id="1909" w:name="_Toc131591397"/>
      <w:bookmarkStart w:id="1910" w:name="_Toc158979955"/>
      <w:bookmarkStart w:id="1911" w:name="_Toc164153888"/>
      <w:bookmarkStart w:id="1912" w:name="_Toc190873122"/>
      <w:bookmarkStart w:id="1913" w:name="_Toc194241761"/>
      <w:r w:rsidRPr="001D5327">
        <w:t>Table 6.4.7</w:t>
      </w:r>
      <w:r w:rsidRPr="001D5327">
        <w:tab/>
        <w:t xml:space="preserve">New Zealand’s pre-1990 natural forest deforestation area (ha), for natural forest categories, estimated by type, from </w:t>
      </w:r>
      <w:bookmarkEnd w:id="1909"/>
      <w:bookmarkEnd w:id="1910"/>
      <w:bookmarkEnd w:id="1911"/>
      <w:r w:rsidRPr="001D5327">
        <w:t>1990</w:t>
      </w:r>
      <w:r w:rsidRPr="001D5327">
        <w:rPr>
          <w:rFonts w:ascii="Arial" w:hAnsi="Arial" w:cs="Arial"/>
        </w:rPr>
        <w:t> </w:t>
      </w:r>
      <w:r w:rsidRPr="001D5327">
        <w:t>to</w:t>
      </w:r>
      <w:r w:rsidRPr="001D5327">
        <w:rPr>
          <w:rFonts w:ascii="Arial" w:hAnsi="Arial" w:cs="Arial"/>
        </w:rPr>
        <w:t> </w:t>
      </w:r>
      <w:r w:rsidRPr="001D5327">
        <w:t>2023</w:t>
      </w:r>
      <w:bookmarkEnd w:id="1912"/>
      <w:bookmarkEnd w:id="1913"/>
      <w:r w:rsidRPr="001D5327">
        <w:t> </w:t>
      </w:r>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964"/>
        <w:gridCol w:w="1309"/>
        <w:gridCol w:w="1308"/>
        <w:gridCol w:w="1373"/>
        <w:gridCol w:w="1243"/>
        <w:gridCol w:w="1308"/>
      </w:tblGrid>
      <w:tr w:rsidR="00E0181F" w:rsidRPr="001D5327" w14:paraId="1AF8016B" w14:textId="77777777" w:rsidTr="00D11AC9">
        <w:trPr>
          <w:trHeight w:val="20"/>
          <w:tblHeader/>
        </w:trPr>
        <w:tc>
          <w:tcPr>
            <w:tcW w:w="1964" w:type="dxa"/>
            <w:shd w:val="clear" w:color="auto" w:fill="1B556B"/>
            <w:tcMar>
              <w:top w:w="0" w:type="dxa"/>
              <w:left w:w="85" w:type="dxa"/>
              <w:bottom w:w="0" w:type="dxa"/>
              <w:right w:w="85" w:type="dxa"/>
            </w:tcMar>
            <w:vAlign w:val="center"/>
          </w:tcPr>
          <w:p w14:paraId="419062C5" w14:textId="77777777" w:rsidR="00E0181F" w:rsidRPr="001D5327" w:rsidRDefault="00E0181F" w:rsidP="00D11AC9">
            <w:pPr>
              <w:pStyle w:val="TableTextBold"/>
              <w:spacing w:before="40" w:after="40"/>
              <w:rPr>
                <w:noProof w:val="0"/>
                <w:color w:val="FFFFFF" w:themeColor="background1"/>
              </w:rPr>
            </w:pPr>
            <w:r w:rsidRPr="001D5327">
              <w:rPr>
                <w:rFonts w:eastAsia="Calibri"/>
                <w:noProof w:val="0"/>
                <w:color w:val="FFFFFF" w:themeColor="background1"/>
              </w:rPr>
              <w:t>Natural forest type</w:t>
            </w:r>
          </w:p>
        </w:tc>
        <w:tc>
          <w:tcPr>
            <w:tcW w:w="1309" w:type="dxa"/>
            <w:shd w:val="clear" w:color="auto" w:fill="1B556B"/>
            <w:tcMar>
              <w:top w:w="0" w:type="dxa"/>
              <w:left w:w="85" w:type="dxa"/>
              <w:bottom w:w="0" w:type="dxa"/>
              <w:right w:w="85" w:type="dxa"/>
            </w:tcMar>
            <w:vAlign w:val="center"/>
          </w:tcPr>
          <w:p w14:paraId="5B29F535"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1990–2007</w:t>
            </w:r>
          </w:p>
        </w:tc>
        <w:tc>
          <w:tcPr>
            <w:tcW w:w="1308" w:type="dxa"/>
            <w:shd w:val="clear" w:color="auto" w:fill="1B556B"/>
            <w:tcMar>
              <w:top w:w="0" w:type="dxa"/>
              <w:left w:w="85" w:type="dxa"/>
              <w:bottom w:w="0" w:type="dxa"/>
              <w:right w:w="85" w:type="dxa"/>
            </w:tcMar>
            <w:vAlign w:val="center"/>
          </w:tcPr>
          <w:p w14:paraId="73B0E3B1"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2008–12</w:t>
            </w:r>
          </w:p>
        </w:tc>
        <w:tc>
          <w:tcPr>
            <w:tcW w:w="1373" w:type="dxa"/>
            <w:shd w:val="clear" w:color="auto" w:fill="1B556B"/>
            <w:tcMar>
              <w:top w:w="0" w:type="dxa"/>
              <w:left w:w="85" w:type="dxa"/>
              <w:bottom w:w="0" w:type="dxa"/>
              <w:right w:w="85" w:type="dxa"/>
            </w:tcMar>
            <w:vAlign w:val="center"/>
          </w:tcPr>
          <w:p w14:paraId="641BFDA7"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2013–17</w:t>
            </w:r>
          </w:p>
        </w:tc>
        <w:tc>
          <w:tcPr>
            <w:tcW w:w="1243" w:type="dxa"/>
            <w:shd w:val="clear" w:color="auto" w:fill="1B556B"/>
            <w:tcMar>
              <w:top w:w="0" w:type="dxa"/>
              <w:left w:w="85" w:type="dxa"/>
              <w:bottom w:w="0" w:type="dxa"/>
              <w:right w:w="85" w:type="dxa"/>
            </w:tcMar>
            <w:vAlign w:val="center"/>
          </w:tcPr>
          <w:p w14:paraId="20DECF5B"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2018–22</w:t>
            </w:r>
          </w:p>
        </w:tc>
        <w:tc>
          <w:tcPr>
            <w:tcW w:w="1308" w:type="dxa"/>
            <w:shd w:val="clear" w:color="auto" w:fill="1B556B"/>
            <w:tcMar>
              <w:top w:w="0" w:type="dxa"/>
              <w:left w:w="85" w:type="dxa"/>
              <w:bottom w:w="0" w:type="dxa"/>
              <w:right w:w="85" w:type="dxa"/>
            </w:tcMar>
            <w:vAlign w:val="center"/>
          </w:tcPr>
          <w:p w14:paraId="1EC587D0"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2023</w:t>
            </w:r>
            <w:r w:rsidRPr="001D5327">
              <w:rPr>
                <w:rFonts w:eastAsia="Calibri"/>
                <w:noProof w:val="0"/>
                <w:color w:val="FFFFFF" w:themeColor="background1"/>
                <w:vertAlign w:val="superscript"/>
              </w:rPr>
              <w:t xml:space="preserve"> P</w:t>
            </w:r>
          </w:p>
        </w:tc>
      </w:tr>
      <w:tr w:rsidR="00E0181F" w:rsidRPr="001D5327" w14:paraId="19E0A021" w14:textId="77777777" w:rsidTr="00D11AC9">
        <w:trPr>
          <w:trHeight w:val="20"/>
        </w:trPr>
        <w:tc>
          <w:tcPr>
            <w:tcW w:w="1964" w:type="dxa"/>
            <w:shd w:val="clear" w:color="auto" w:fill="FFFFFF"/>
            <w:tcMar>
              <w:top w:w="0" w:type="dxa"/>
              <w:left w:w="85" w:type="dxa"/>
              <w:bottom w:w="0" w:type="dxa"/>
              <w:right w:w="85" w:type="dxa"/>
            </w:tcMar>
            <w:vAlign w:val="center"/>
          </w:tcPr>
          <w:p w14:paraId="375B2AF5" w14:textId="77777777" w:rsidR="00E0181F" w:rsidRPr="001D5327" w:rsidRDefault="00E0181F" w:rsidP="00D11AC9">
            <w:pPr>
              <w:pStyle w:val="TableText"/>
              <w:spacing w:before="40" w:after="40"/>
            </w:pPr>
            <w:r w:rsidRPr="001D5327">
              <w:rPr>
                <w:rFonts w:eastAsia="Calibri"/>
                <w:color w:val="000000"/>
              </w:rPr>
              <w:t>Tall forest</w:t>
            </w:r>
          </w:p>
        </w:tc>
        <w:tc>
          <w:tcPr>
            <w:tcW w:w="1309" w:type="dxa"/>
            <w:shd w:val="clear" w:color="auto" w:fill="FFFFFF"/>
            <w:tcMar>
              <w:top w:w="0" w:type="dxa"/>
              <w:left w:w="85" w:type="dxa"/>
              <w:bottom w:w="0" w:type="dxa"/>
              <w:right w:w="85" w:type="dxa"/>
            </w:tcMar>
            <w:vAlign w:val="center"/>
          </w:tcPr>
          <w:p w14:paraId="3F8BBE9D" w14:textId="77777777" w:rsidR="00E0181F" w:rsidRPr="001D5327" w:rsidRDefault="00E0181F" w:rsidP="00D11AC9">
            <w:pPr>
              <w:pStyle w:val="TableText"/>
              <w:spacing w:before="40" w:after="40"/>
              <w:jc w:val="right"/>
            </w:pPr>
            <w:r w:rsidRPr="001D5327">
              <w:rPr>
                <w:rFonts w:eastAsia="Calibri"/>
                <w:color w:val="000000"/>
              </w:rPr>
              <w:t>9,440</w:t>
            </w:r>
          </w:p>
        </w:tc>
        <w:tc>
          <w:tcPr>
            <w:tcW w:w="1308" w:type="dxa"/>
            <w:shd w:val="clear" w:color="auto" w:fill="FFFFFF"/>
            <w:tcMar>
              <w:top w:w="0" w:type="dxa"/>
              <w:left w:w="85" w:type="dxa"/>
              <w:bottom w:w="0" w:type="dxa"/>
              <w:right w:w="85" w:type="dxa"/>
            </w:tcMar>
            <w:vAlign w:val="center"/>
          </w:tcPr>
          <w:p w14:paraId="6F1C5D0E" w14:textId="77777777" w:rsidR="00E0181F" w:rsidRPr="001D5327" w:rsidRDefault="00E0181F" w:rsidP="00D11AC9">
            <w:pPr>
              <w:pStyle w:val="TableText"/>
              <w:spacing w:before="40" w:after="40"/>
              <w:jc w:val="right"/>
            </w:pPr>
            <w:r w:rsidRPr="001D5327">
              <w:rPr>
                <w:rFonts w:eastAsia="Calibri"/>
                <w:color w:val="000000"/>
              </w:rPr>
              <w:t>2,641</w:t>
            </w:r>
          </w:p>
        </w:tc>
        <w:tc>
          <w:tcPr>
            <w:tcW w:w="1373" w:type="dxa"/>
            <w:shd w:val="clear" w:color="auto" w:fill="FFFFFF"/>
            <w:tcMar>
              <w:top w:w="0" w:type="dxa"/>
              <w:left w:w="85" w:type="dxa"/>
              <w:bottom w:w="0" w:type="dxa"/>
              <w:right w:w="85" w:type="dxa"/>
            </w:tcMar>
            <w:vAlign w:val="center"/>
          </w:tcPr>
          <w:p w14:paraId="2E2AE1FD" w14:textId="77777777" w:rsidR="00E0181F" w:rsidRPr="001D5327" w:rsidRDefault="00E0181F" w:rsidP="00D11AC9">
            <w:pPr>
              <w:pStyle w:val="TableText"/>
              <w:spacing w:before="40" w:after="40"/>
              <w:jc w:val="right"/>
            </w:pPr>
            <w:r w:rsidRPr="001D5327">
              <w:rPr>
                <w:rFonts w:eastAsia="Calibri"/>
                <w:color w:val="000000"/>
              </w:rPr>
              <w:t>1,882</w:t>
            </w:r>
          </w:p>
        </w:tc>
        <w:tc>
          <w:tcPr>
            <w:tcW w:w="1243" w:type="dxa"/>
            <w:shd w:val="clear" w:color="auto" w:fill="FFFFFF"/>
            <w:tcMar>
              <w:top w:w="0" w:type="dxa"/>
              <w:left w:w="85" w:type="dxa"/>
              <w:bottom w:w="0" w:type="dxa"/>
              <w:right w:w="85" w:type="dxa"/>
            </w:tcMar>
            <w:vAlign w:val="center"/>
          </w:tcPr>
          <w:p w14:paraId="3E2C8326" w14:textId="77777777" w:rsidR="00E0181F" w:rsidRPr="001D5327" w:rsidRDefault="00E0181F" w:rsidP="00D11AC9">
            <w:pPr>
              <w:pStyle w:val="TableText"/>
              <w:spacing w:before="40" w:after="40"/>
              <w:jc w:val="right"/>
            </w:pPr>
            <w:r w:rsidRPr="001D5327">
              <w:rPr>
                <w:rFonts w:eastAsia="Calibri"/>
                <w:color w:val="000000"/>
              </w:rPr>
              <w:t>1,181</w:t>
            </w:r>
          </w:p>
        </w:tc>
        <w:tc>
          <w:tcPr>
            <w:tcW w:w="1308" w:type="dxa"/>
            <w:shd w:val="clear" w:color="auto" w:fill="FFFFFF"/>
            <w:tcMar>
              <w:top w:w="0" w:type="dxa"/>
              <w:left w:w="85" w:type="dxa"/>
              <w:bottom w:w="0" w:type="dxa"/>
              <w:right w:w="85" w:type="dxa"/>
            </w:tcMar>
            <w:vAlign w:val="center"/>
          </w:tcPr>
          <w:p w14:paraId="4CB01348" w14:textId="77777777" w:rsidR="00E0181F" w:rsidRPr="001D5327" w:rsidRDefault="00E0181F" w:rsidP="00D11AC9">
            <w:pPr>
              <w:pStyle w:val="TableText"/>
              <w:spacing w:before="40" w:after="40"/>
              <w:jc w:val="right"/>
            </w:pPr>
            <w:r w:rsidRPr="001D5327">
              <w:rPr>
                <w:rFonts w:eastAsia="Calibri"/>
                <w:color w:val="000000"/>
              </w:rPr>
              <w:t>236</w:t>
            </w:r>
          </w:p>
        </w:tc>
      </w:tr>
      <w:tr w:rsidR="00E0181F" w:rsidRPr="001D5327" w14:paraId="4A04C1A3" w14:textId="77777777" w:rsidTr="00D11AC9">
        <w:trPr>
          <w:trHeight w:val="20"/>
        </w:trPr>
        <w:tc>
          <w:tcPr>
            <w:tcW w:w="1964" w:type="dxa"/>
            <w:shd w:val="clear" w:color="auto" w:fill="FFFFFF"/>
            <w:tcMar>
              <w:top w:w="0" w:type="dxa"/>
              <w:left w:w="85" w:type="dxa"/>
              <w:bottom w:w="0" w:type="dxa"/>
              <w:right w:w="85" w:type="dxa"/>
            </w:tcMar>
            <w:vAlign w:val="center"/>
          </w:tcPr>
          <w:p w14:paraId="596BC5D6" w14:textId="77777777" w:rsidR="00E0181F" w:rsidRPr="001D5327" w:rsidRDefault="00E0181F" w:rsidP="00D11AC9">
            <w:pPr>
              <w:pStyle w:val="TableText"/>
              <w:spacing w:before="40" w:after="40"/>
            </w:pPr>
            <w:r w:rsidRPr="001D5327">
              <w:rPr>
                <w:rFonts w:eastAsia="Calibri"/>
                <w:color w:val="000000"/>
              </w:rPr>
              <w:t>Regenerating</w:t>
            </w:r>
          </w:p>
        </w:tc>
        <w:tc>
          <w:tcPr>
            <w:tcW w:w="1309" w:type="dxa"/>
            <w:shd w:val="clear" w:color="auto" w:fill="FFFFFF"/>
            <w:tcMar>
              <w:top w:w="0" w:type="dxa"/>
              <w:left w:w="85" w:type="dxa"/>
              <w:bottom w:w="0" w:type="dxa"/>
              <w:right w:w="85" w:type="dxa"/>
            </w:tcMar>
            <w:vAlign w:val="center"/>
          </w:tcPr>
          <w:p w14:paraId="16919742" w14:textId="77777777" w:rsidR="00E0181F" w:rsidRPr="001D5327" w:rsidRDefault="00E0181F" w:rsidP="00D11AC9">
            <w:pPr>
              <w:pStyle w:val="TableText"/>
              <w:spacing w:before="40" w:after="40"/>
              <w:jc w:val="right"/>
            </w:pPr>
            <w:r w:rsidRPr="001D5327">
              <w:rPr>
                <w:rFonts w:eastAsia="Calibri"/>
                <w:color w:val="000000"/>
              </w:rPr>
              <w:t>23,535</w:t>
            </w:r>
          </w:p>
        </w:tc>
        <w:tc>
          <w:tcPr>
            <w:tcW w:w="1308" w:type="dxa"/>
            <w:shd w:val="clear" w:color="auto" w:fill="FFFFFF"/>
            <w:tcMar>
              <w:top w:w="0" w:type="dxa"/>
              <w:left w:w="85" w:type="dxa"/>
              <w:bottom w:w="0" w:type="dxa"/>
              <w:right w:w="85" w:type="dxa"/>
            </w:tcMar>
            <w:vAlign w:val="center"/>
          </w:tcPr>
          <w:p w14:paraId="6A6483C2" w14:textId="77777777" w:rsidR="00E0181F" w:rsidRPr="001D5327" w:rsidRDefault="00E0181F" w:rsidP="00D11AC9">
            <w:pPr>
              <w:pStyle w:val="TableText"/>
              <w:spacing w:before="40" w:after="40"/>
              <w:jc w:val="right"/>
            </w:pPr>
            <w:r w:rsidRPr="001D5327">
              <w:rPr>
                <w:rFonts w:eastAsia="Calibri"/>
                <w:color w:val="000000"/>
              </w:rPr>
              <w:t>5,182</w:t>
            </w:r>
          </w:p>
        </w:tc>
        <w:tc>
          <w:tcPr>
            <w:tcW w:w="1373" w:type="dxa"/>
            <w:shd w:val="clear" w:color="auto" w:fill="FFFFFF"/>
            <w:tcMar>
              <w:top w:w="0" w:type="dxa"/>
              <w:left w:w="85" w:type="dxa"/>
              <w:bottom w:w="0" w:type="dxa"/>
              <w:right w:w="85" w:type="dxa"/>
            </w:tcMar>
            <w:vAlign w:val="center"/>
          </w:tcPr>
          <w:p w14:paraId="2D1F9FF1" w14:textId="77777777" w:rsidR="00E0181F" w:rsidRPr="001D5327" w:rsidRDefault="00E0181F" w:rsidP="00D11AC9">
            <w:pPr>
              <w:pStyle w:val="TableText"/>
              <w:spacing w:before="40" w:after="40"/>
              <w:jc w:val="right"/>
            </w:pPr>
            <w:r w:rsidRPr="001D5327">
              <w:rPr>
                <w:rFonts w:eastAsia="Calibri"/>
                <w:color w:val="000000"/>
              </w:rPr>
              <w:t>2,306</w:t>
            </w:r>
          </w:p>
        </w:tc>
        <w:tc>
          <w:tcPr>
            <w:tcW w:w="1243" w:type="dxa"/>
            <w:shd w:val="clear" w:color="auto" w:fill="FFFFFF"/>
            <w:tcMar>
              <w:top w:w="0" w:type="dxa"/>
              <w:left w:w="85" w:type="dxa"/>
              <w:bottom w:w="0" w:type="dxa"/>
              <w:right w:w="85" w:type="dxa"/>
            </w:tcMar>
            <w:vAlign w:val="center"/>
          </w:tcPr>
          <w:p w14:paraId="31479AB2" w14:textId="77777777" w:rsidR="00E0181F" w:rsidRPr="001D5327" w:rsidRDefault="00E0181F" w:rsidP="00D11AC9">
            <w:pPr>
              <w:pStyle w:val="TableText"/>
              <w:spacing w:before="40" w:after="40"/>
              <w:jc w:val="right"/>
            </w:pPr>
            <w:r w:rsidRPr="001D5327">
              <w:rPr>
                <w:rFonts w:eastAsia="Calibri"/>
                <w:color w:val="000000"/>
              </w:rPr>
              <w:t>1,670</w:t>
            </w:r>
          </w:p>
        </w:tc>
        <w:tc>
          <w:tcPr>
            <w:tcW w:w="1308" w:type="dxa"/>
            <w:shd w:val="clear" w:color="auto" w:fill="FFFFFF"/>
            <w:tcMar>
              <w:top w:w="0" w:type="dxa"/>
              <w:left w:w="85" w:type="dxa"/>
              <w:bottom w:w="0" w:type="dxa"/>
              <w:right w:w="85" w:type="dxa"/>
            </w:tcMar>
            <w:vAlign w:val="center"/>
          </w:tcPr>
          <w:p w14:paraId="230676B5" w14:textId="77777777" w:rsidR="00E0181F" w:rsidRPr="001D5327" w:rsidRDefault="00E0181F" w:rsidP="00D11AC9">
            <w:pPr>
              <w:pStyle w:val="TableText"/>
              <w:spacing w:before="40" w:after="40"/>
              <w:jc w:val="right"/>
            </w:pPr>
            <w:r w:rsidRPr="001D5327">
              <w:rPr>
                <w:rFonts w:eastAsia="Calibri"/>
                <w:color w:val="000000"/>
              </w:rPr>
              <w:t>334</w:t>
            </w:r>
          </w:p>
        </w:tc>
      </w:tr>
      <w:tr w:rsidR="00E0181F" w:rsidRPr="001D5327" w14:paraId="25ECDA68" w14:textId="77777777" w:rsidTr="00D11AC9">
        <w:trPr>
          <w:trHeight w:val="20"/>
        </w:trPr>
        <w:tc>
          <w:tcPr>
            <w:tcW w:w="1964" w:type="dxa"/>
            <w:shd w:val="clear" w:color="auto" w:fill="FFFFFF"/>
            <w:tcMar>
              <w:top w:w="0" w:type="dxa"/>
              <w:left w:w="85" w:type="dxa"/>
              <w:bottom w:w="0" w:type="dxa"/>
              <w:right w:w="85" w:type="dxa"/>
            </w:tcMar>
            <w:vAlign w:val="center"/>
          </w:tcPr>
          <w:p w14:paraId="338579C9" w14:textId="77777777" w:rsidR="00E0181F" w:rsidRPr="001D5327" w:rsidRDefault="00E0181F" w:rsidP="00D11AC9">
            <w:pPr>
              <w:pStyle w:val="Tableboldblue"/>
              <w:spacing w:before="40" w:after="40"/>
            </w:pPr>
            <w:r w:rsidRPr="001D5327">
              <w:rPr>
                <w:rFonts w:eastAsia="Calibri"/>
              </w:rPr>
              <w:t>Total</w:t>
            </w:r>
          </w:p>
        </w:tc>
        <w:tc>
          <w:tcPr>
            <w:tcW w:w="1309" w:type="dxa"/>
            <w:shd w:val="clear" w:color="auto" w:fill="FFFFFF"/>
            <w:tcMar>
              <w:top w:w="0" w:type="dxa"/>
              <w:left w:w="85" w:type="dxa"/>
              <w:bottom w:w="0" w:type="dxa"/>
              <w:right w:w="85" w:type="dxa"/>
            </w:tcMar>
            <w:vAlign w:val="center"/>
          </w:tcPr>
          <w:p w14:paraId="229DD941" w14:textId="77777777" w:rsidR="00E0181F" w:rsidRPr="001D5327" w:rsidRDefault="00E0181F" w:rsidP="00D11AC9">
            <w:pPr>
              <w:pStyle w:val="Tableboldblue"/>
              <w:spacing w:before="40" w:after="40"/>
              <w:jc w:val="right"/>
            </w:pPr>
            <w:r w:rsidRPr="001D5327">
              <w:rPr>
                <w:rFonts w:eastAsia="Calibri"/>
              </w:rPr>
              <w:t>32,974</w:t>
            </w:r>
          </w:p>
        </w:tc>
        <w:tc>
          <w:tcPr>
            <w:tcW w:w="1308" w:type="dxa"/>
            <w:shd w:val="clear" w:color="auto" w:fill="FFFFFF"/>
            <w:tcMar>
              <w:top w:w="0" w:type="dxa"/>
              <w:left w:w="85" w:type="dxa"/>
              <w:bottom w:w="0" w:type="dxa"/>
              <w:right w:w="85" w:type="dxa"/>
            </w:tcMar>
            <w:vAlign w:val="center"/>
          </w:tcPr>
          <w:p w14:paraId="1CA46629" w14:textId="77777777" w:rsidR="00E0181F" w:rsidRPr="001D5327" w:rsidRDefault="00E0181F" w:rsidP="00D11AC9">
            <w:pPr>
              <w:pStyle w:val="Tableboldblue"/>
              <w:spacing w:before="40" w:after="40"/>
              <w:jc w:val="right"/>
            </w:pPr>
            <w:r w:rsidRPr="001D5327">
              <w:rPr>
                <w:rFonts w:eastAsia="Calibri"/>
              </w:rPr>
              <w:t>7,823</w:t>
            </w:r>
          </w:p>
        </w:tc>
        <w:tc>
          <w:tcPr>
            <w:tcW w:w="1373" w:type="dxa"/>
            <w:shd w:val="clear" w:color="auto" w:fill="FFFFFF"/>
            <w:tcMar>
              <w:top w:w="0" w:type="dxa"/>
              <w:left w:w="85" w:type="dxa"/>
              <w:bottom w:w="0" w:type="dxa"/>
              <w:right w:w="85" w:type="dxa"/>
            </w:tcMar>
            <w:vAlign w:val="center"/>
          </w:tcPr>
          <w:p w14:paraId="69EFFAAC" w14:textId="77777777" w:rsidR="00E0181F" w:rsidRPr="001D5327" w:rsidRDefault="00E0181F" w:rsidP="00D11AC9">
            <w:pPr>
              <w:pStyle w:val="Tableboldblue"/>
              <w:spacing w:before="40" w:after="40"/>
              <w:jc w:val="right"/>
            </w:pPr>
            <w:r w:rsidRPr="001D5327">
              <w:rPr>
                <w:rFonts w:eastAsia="Calibri"/>
              </w:rPr>
              <w:t>4,189</w:t>
            </w:r>
          </w:p>
        </w:tc>
        <w:tc>
          <w:tcPr>
            <w:tcW w:w="1243" w:type="dxa"/>
            <w:shd w:val="clear" w:color="auto" w:fill="FFFFFF"/>
            <w:tcMar>
              <w:top w:w="0" w:type="dxa"/>
              <w:left w:w="85" w:type="dxa"/>
              <w:bottom w:w="0" w:type="dxa"/>
              <w:right w:w="85" w:type="dxa"/>
            </w:tcMar>
            <w:vAlign w:val="center"/>
          </w:tcPr>
          <w:p w14:paraId="36709923" w14:textId="77777777" w:rsidR="00E0181F" w:rsidRPr="001D5327" w:rsidRDefault="00E0181F" w:rsidP="00D11AC9">
            <w:pPr>
              <w:pStyle w:val="Tableboldblue"/>
              <w:spacing w:before="40" w:after="40"/>
              <w:jc w:val="right"/>
            </w:pPr>
            <w:r w:rsidRPr="001D5327">
              <w:rPr>
                <w:rFonts w:eastAsia="Calibri"/>
              </w:rPr>
              <w:t>2,851</w:t>
            </w:r>
          </w:p>
        </w:tc>
        <w:tc>
          <w:tcPr>
            <w:tcW w:w="1308" w:type="dxa"/>
            <w:shd w:val="clear" w:color="auto" w:fill="FFFFFF"/>
            <w:tcMar>
              <w:top w:w="0" w:type="dxa"/>
              <w:left w:w="85" w:type="dxa"/>
              <w:bottom w:w="0" w:type="dxa"/>
              <w:right w:w="85" w:type="dxa"/>
            </w:tcMar>
            <w:vAlign w:val="center"/>
          </w:tcPr>
          <w:p w14:paraId="18AFA8D6" w14:textId="77777777" w:rsidR="00E0181F" w:rsidRPr="001D5327" w:rsidRDefault="00E0181F" w:rsidP="00D11AC9">
            <w:pPr>
              <w:pStyle w:val="Tableboldblue"/>
              <w:spacing w:before="40" w:after="40"/>
              <w:jc w:val="right"/>
            </w:pPr>
            <w:r w:rsidRPr="001D5327">
              <w:rPr>
                <w:rFonts w:eastAsia="Calibri"/>
              </w:rPr>
              <w:t>570</w:t>
            </w:r>
          </w:p>
        </w:tc>
      </w:tr>
    </w:tbl>
    <w:p w14:paraId="0A839842" w14:textId="77777777" w:rsidR="00E0181F" w:rsidRPr="001D5327" w:rsidRDefault="00E0181F" w:rsidP="00E0181F">
      <w:pPr>
        <w:pStyle w:val="Noteundertable"/>
        <w:ind w:left="0" w:firstLine="0"/>
        <w:rPr>
          <w:rFonts w:ascii="Yu Gothic Light" w:hAnsi="Yu Gothic Light" w:cs="Yu Gothic Light"/>
        </w:rPr>
      </w:pPr>
      <w:r w:rsidRPr="001D5327">
        <w:rPr>
          <w:b/>
        </w:rPr>
        <w:t>Note</w:t>
      </w:r>
      <w:r w:rsidRPr="001D5327">
        <w:t>:</w:t>
      </w:r>
      <w:r w:rsidRPr="001D5327">
        <w:tab/>
        <w:t>P = provisional estimate. Columns may not total due to rounding. </w:t>
      </w:r>
    </w:p>
    <w:p w14:paraId="7574D299" w14:textId="77777777" w:rsidR="00E0181F" w:rsidRPr="001D5327" w:rsidRDefault="00E0181F" w:rsidP="00E0181F">
      <w:pPr>
        <w:pStyle w:val="BodyText"/>
      </w:pPr>
      <w:r w:rsidRPr="001D5327">
        <w:t>Estimates of biomass burning emissions associated with deforestation are provided in section 6.11.8.</w:t>
      </w:r>
    </w:p>
    <w:p w14:paraId="1DC02162" w14:textId="77777777" w:rsidR="00E0181F" w:rsidRPr="001D5327" w:rsidRDefault="00E0181F" w:rsidP="00E0181F">
      <w:pPr>
        <w:pStyle w:val="BodyText"/>
      </w:pPr>
      <w:r w:rsidRPr="001D5327">
        <w:t xml:space="preserve">Deforestation emissions are reported in the relevant </w:t>
      </w:r>
      <w:r w:rsidRPr="001D5327">
        <w:rPr>
          <w:i/>
        </w:rPr>
        <w:t>Land converted to</w:t>
      </w:r>
      <w:r w:rsidRPr="001D5327">
        <w:t xml:space="preserve"> category, as are all emissions from land-use change. </w:t>
      </w:r>
    </w:p>
    <w:p w14:paraId="6ECD725B" w14:textId="77777777" w:rsidR="00E0181F" w:rsidRPr="001D5327" w:rsidRDefault="00E0181F" w:rsidP="00E0181F">
      <w:pPr>
        <w:pStyle w:val="Heading4"/>
      </w:pPr>
      <w:bookmarkStart w:id="1914" w:name="_Hlk73698248"/>
      <w:r w:rsidRPr="001D5327">
        <w:t>National forest inventory</w:t>
      </w:r>
    </w:p>
    <w:bookmarkEnd w:id="1914"/>
    <w:p w14:paraId="5AA91161" w14:textId="77777777" w:rsidR="00E0181F" w:rsidRPr="001D5327" w:rsidRDefault="00E0181F" w:rsidP="00E0181F">
      <w:pPr>
        <w:pStyle w:val="BodyText"/>
      </w:pPr>
      <w:r w:rsidRPr="001D5327">
        <w:rPr>
          <w:rFonts w:cs="Calibri"/>
        </w:rPr>
        <w:t>New Zealand</w:t>
      </w:r>
      <w:r w:rsidRPr="001D5327">
        <w:t xml:space="preserve"> has established a sampling framework for forest inventory purposes based on an 8-kilometre national grid system (8 kilometres north–south by 8 kilometres east–west). The grid has a randomly selected origin and provides an unbiased framework for establishing plots for field and/or Light Detection and Ranging (LiDAR) measurements. The network is subdivided into a 4-kilometre grid for measurement of post-1989 forest. Forest monitoring plots are established and measured where a grid point falls on land mapped as forest land. Figure 6.4.5 and figure 6.4.6 show the distribution of </w:t>
      </w:r>
      <w:r w:rsidRPr="001D5327">
        <w:rPr>
          <w:rFonts w:asciiTheme="minorHAnsi" w:hAnsiTheme="minorHAnsi" w:cstheme="minorHAnsi"/>
        </w:rPr>
        <w:t>carbon monitoring plots for pre-1990 natural and planted forest and post-1989 natural and planted forest throughout New Zealand</w:t>
      </w:r>
      <w:r w:rsidRPr="001D5327">
        <w:t xml:space="preserve">. A further description of the plot network can be found in annex 5, section A5.2.5 ‘National forest inventory’. </w:t>
      </w:r>
    </w:p>
    <w:p w14:paraId="230CAE0D" w14:textId="77777777" w:rsidR="00E0181F" w:rsidRPr="001D5327" w:rsidRDefault="00E0181F" w:rsidP="00E0181F">
      <w:pPr>
        <w:pStyle w:val="Figure"/>
      </w:pPr>
      <w:bookmarkStart w:id="1915" w:name="_Toc280630494"/>
      <w:bookmarkStart w:id="1916" w:name="_Toc318362753"/>
      <w:bookmarkStart w:id="1917" w:name="_Toc342470833"/>
      <w:bookmarkStart w:id="1918" w:name="_Toc352505161"/>
      <w:bookmarkStart w:id="1919" w:name="_Toc373395721"/>
      <w:bookmarkStart w:id="1920" w:name="_Toc378853344"/>
      <w:bookmarkStart w:id="1921" w:name="_Toc405448094"/>
      <w:bookmarkStart w:id="1922" w:name="_Toc414531626"/>
      <w:bookmarkStart w:id="1923" w:name="_Toc474914650"/>
      <w:bookmarkStart w:id="1924" w:name="_Toc481752032"/>
      <w:bookmarkStart w:id="1925" w:name="_Toc522010710"/>
      <w:bookmarkStart w:id="1926" w:name="_Toc5269712"/>
      <w:bookmarkStart w:id="1927" w:name="_Toc33529485"/>
      <w:bookmarkStart w:id="1928" w:name="_Toc36292815"/>
      <w:bookmarkStart w:id="1929" w:name="_Toc131591574"/>
      <w:bookmarkStart w:id="1930" w:name="_Toc158979914"/>
      <w:bookmarkStart w:id="1931" w:name="_Toc164154042"/>
      <w:bookmarkStart w:id="1932" w:name="_Toc190873411"/>
      <w:bookmarkStart w:id="1933" w:name="_Toc194674875"/>
      <w:r w:rsidRPr="001D5327">
        <w:lastRenderedPageBreak/>
        <w:t>Figure 6.4.5</w:t>
      </w:r>
      <w:r w:rsidRPr="001D5327">
        <w:tab/>
        <w:t>Locations of New Zealand’s pre-1990 forest carbon monitoring plots</w:t>
      </w:r>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p>
    <w:p w14:paraId="387DED35" w14:textId="77777777" w:rsidR="00E0181F" w:rsidRPr="001D5327" w:rsidRDefault="00E0181F" w:rsidP="00E0181F">
      <w:pPr>
        <w:pStyle w:val="BodyText"/>
        <w:jc w:val="center"/>
      </w:pPr>
      <w:r w:rsidRPr="001D5327">
        <w:rPr>
          <w:noProof/>
        </w:rPr>
        <w:drawing>
          <wp:inline distT="0" distB="0" distL="0" distR="0" wp14:anchorId="0E5CC2F6" wp14:editId="4EB034D4">
            <wp:extent cx="5162550" cy="7286625"/>
            <wp:effectExtent l="19050" t="19050" r="19050" b="28575"/>
            <wp:docPr id="1269246902" name="Picture 2" descr="A map of new zealand with different colo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246902" name="Picture 2" descr="A map of new zealand with different colored dots&#10;&#10;AI-generated content may be incorrect."/>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2469" t="3368" r="1928" b="1206"/>
                    <a:stretch/>
                  </pic:blipFill>
                  <pic:spPr bwMode="auto">
                    <a:xfrm>
                      <a:off x="0" y="0"/>
                      <a:ext cx="5162550" cy="7286625"/>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5201E4D7" w14:textId="77777777" w:rsidR="00E0181F" w:rsidRPr="001D5327" w:rsidRDefault="00E0181F" w:rsidP="00E0181F">
      <w:pPr>
        <w:pStyle w:val="BodyText"/>
      </w:pPr>
    </w:p>
    <w:p w14:paraId="2DB4FD19" w14:textId="77777777" w:rsidR="00E0181F" w:rsidRPr="001D5327" w:rsidRDefault="00E0181F" w:rsidP="00E0181F">
      <w:pPr>
        <w:pStyle w:val="Figure"/>
      </w:pPr>
      <w:bookmarkStart w:id="1934" w:name="_Toc33529486"/>
      <w:bookmarkStart w:id="1935" w:name="_Toc36292816"/>
      <w:bookmarkStart w:id="1936" w:name="_Toc131591575"/>
      <w:bookmarkStart w:id="1937" w:name="_Toc158979915"/>
      <w:bookmarkStart w:id="1938" w:name="_Toc164154043"/>
      <w:bookmarkStart w:id="1939" w:name="_Toc190873412"/>
      <w:bookmarkStart w:id="1940" w:name="_Toc194674876"/>
      <w:bookmarkStart w:id="1941" w:name="_Toc255466332"/>
      <w:bookmarkStart w:id="1942" w:name="_Toc261513139"/>
      <w:bookmarkStart w:id="1943" w:name="_Toc261513752"/>
      <w:bookmarkStart w:id="1944" w:name="_Toc280630248"/>
      <w:r w:rsidRPr="001D5327">
        <w:lastRenderedPageBreak/>
        <w:t>Figure 6.4.6</w:t>
      </w:r>
      <w:r w:rsidRPr="001D5327">
        <w:tab/>
        <w:t>Locations of New Zealand’s post-1989 forest plots</w:t>
      </w:r>
      <w:bookmarkEnd w:id="1934"/>
      <w:bookmarkEnd w:id="1935"/>
      <w:bookmarkEnd w:id="1936"/>
      <w:bookmarkEnd w:id="1937"/>
      <w:bookmarkEnd w:id="1938"/>
      <w:bookmarkEnd w:id="1939"/>
      <w:bookmarkEnd w:id="1940"/>
    </w:p>
    <w:p w14:paraId="135E7EA1" w14:textId="77777777" w:rsidR="00E0181F" w:rsidRPr="001D5327" w:rsidRDefault="00E0181F" w:rsidP="00E0181F">
      <w:pPr>
        <w:pStyle w:val="BodyText"/>
        <w:jc w:val="center"/>
      </w:pPr>
      <w:r w:rsidRPr="001D5327">
        <w:rPr>
          <w:noProof/>
        </w:rPr>
        <w:drawing>
          <wp:inline distT="0" distB="0" distL="0" distR="0" wp14:anchorId="5AE9EC1E" wp14:editId="7FE440FD">
            <wp:extent cx="5200650" cy="7381875"/>
            <wp:effectExtent l="19050" t="19050" r="19050" b="28575"/>
            <wp:docPr id="503074363" name="Picture 4" descr="A map of new zealand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074363" name="Picture 4" descr="A map of new zealand with text&#10;&#10;AI-generated content may be incorrect."/>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1940" t="1123" r="1753" b="2204"/>
                    <a:stretch/>
                  </pic:blipFill>
                  <pic:spPr bwMode="auto">
                    <a:xfrm>
                      <a:off x="0" y="0"/>
                      <a:ext cx="5200650" cy="7381875"/>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2B2C9219" w14:textId="77777777" w:rsidR="00E0181F" w:rsidRPr="001D5327" w:rsidRDefault="00E0181F" w:rsidP="00E0181F">
      <w:pPr>
        <w:pStyle w:val="BodyText"/>
      </w:pPr>
    </w:p>
    <w:p w14:paraId="67ED97FB" w14:textId="77777777" w:rsidR="00E0181F" w:rsidRPr="001D5327" w:rsidRDefault="00E0181F" w:rsidP="00E0181F">
      <w:pPr>
        <w:pStyle w:val="Heading4"/>
      </w:pPr>
      <w:bookmarkStart w:id="1945" w:name="_Toc255466331"/>
      <w:bookmarkStart w:id="1946" w:name="_Toc261513138"/>
      <w:bookmarkStart w:id="1947" w:name="_Toc261513751"/>
      <w:bookmarkStart w:id="1948" w:name="_Toc280630247"/>
      <w:bookmarkEnd w:id="1941"/>
      <w:bookmarkEnd w:id="1942"/>
      <w:bookmarkEnd w:id="1943"/>
      <w:bookmarkEnd w:id="1944"/>
      <w:r w:rsidRPr="001D5327">
        <w:lastRenderedPageBreak/>
        <w:t>Forest land remaining forest land</w:t>
      </w:r>
      <w:bookmarkEnd w:id="1945"/>
      <w:bookmarkEnd w:id="1946"/>
      <w:bookmarkEnd w:id="1947"/>
      <w:bookmarkEnd w:id="1948"/>
      <w:r w:rsidRPr="001D5327">
        <w:t xml:space="preserve"> (4.A.1)</w:t>
      </w:r>
    </w:p>
    <w:p w14:paraId="20EC5C4A" w14:textId="77777777" w:rsidR="00E0181F" w:rsidRPr="001D5327" w:rsidRDefault="00E0181F" w:rsidP="00E0181F">
      <w:pPr>
        <w:pStyle w:val="Heading5"/>
      </w:pPr>
      <w:r w:rsidRPr="001D5327">
        <w:t>Living biomass and dead organic matter</w:t>
      </w:r>
    </w:p>
    <w:p w14:paraId="269D5023" w14:textId="77777777" w:rsidR="00E0181F" w:rsidRPr="001D5327" w:rsidRDefault="00E0181F" w:rsidP="00E0181F">
      <w:pPr>
        <w:pStyle w:val="BodyText"/>
      </w:pPr>
      <w:r w:rsidRPr="001D5327">
        <w:t>Emissions and removals for the living biomass and dead organic matter pools have been calculated using Tier 2 and Tier 3 methods. At each forest plot, data are collected to calculate the volumes of trees, shrubs and dead organic matter present. These measurements are then used to estimate the carbon stocks for the biomass pools of:</w:t>
      </w:r>
    </w:p>
    <w:p w14:paraId="7C180C9A" w14:textId="77777777" w:rsidR="00E0181F" w:rsidRPr="001D5327" w:rsidRDefault="00E0181F" w:rsidP="00407428">
      <w:pPr>
        <w:pStyle w:val="Bullet"/>
        <w:numPr>
          <w:ilvl w:val="0"/>
          <w:numId w:val="23"/>
        </w:numPr>
        <w:ind w:left="397" w:hanging="397"/>
      </w:pPr>
      <w:r w:rsidRPr="001D5327">
        <w:t>living biomass (comprising above-ground biomass and below-ground biomass)</w:t>
      </w:r>
    </w:p>
    <w:p w14:paraId="41A8717F" w14:textId="77777777" w:rsidR="00E0181F" w:rsidRPr="001D5327" w:rsidRDefault="00E0181F" w:rsidP="00407428">
      <w:pPr>
        <w:pStyle w:val="Bullet"/>
        <w:numPr>
          <w:ilvl w:val="0"/>
          <w:numId w:val="23"/>
        </w:numPr>
        <w:ind w:left="397" w:hanging="397"/>
      </w:pPr>
      <w:r w:rsidRPr="001D5327">
        <w:t>dead organic matter (comprising dead wood and litter).</w:t>
      </w:r>
    </w:p>
    <w:p w14:paraId="7616F138" w14:textId="77777777" w:rsidR="00E0181F" w:rsidRPr="001D5327" w:rsidRDefault="00E0181F" w:rsidP="00E0181F">
      <w:pPr>
        <w:pStyle w:val="BodyText"/>
      </w:pPr>
      <w:r w:rsidRPr="001D5327">
        <w:t xml:space="preserve">The method used to calculate the carbon stock in each biomass pool from the information collected at each plot, for each forest classification, is summarised in table 6.4.8. </w:t>
      </w:r>
    </w:p>
    <w:p w14:paraId="6930FA9C" w14:textId="77777777" w:rsidR="00E0181F" w:rsidRPr="001D5327" w:rsidRDefault="00E0181F" w:rsidP="00E0181F">
      <w:pPr>
        <w:pStyle w:val="BodyText"/>
      </w:pPr>
      <w:r w:rsidRPr="001D5327">
        <w:t>Carbon stocks in natural forest are estimated directly from the inventory plots. Further detail on methods can be found in annex 5, section A5.2.5 ‘National forest inventory’.</w:t>
      </w:r>
    </w:p>
    <w:p w14:paraId="170B29E3" w14:textId="77777777" w:rsidR="00E0181F" w:rsidRPr="001D5327" w:rsidRDefault="00E0181F" w:rsidP="00E0181F">
      <w:pPr>
        <w:pStyle w:val="BodyText"/>
        <w:rPr>
          <w:rFonts w:eastAsia="Segoe UI" w:hAnsi="Segoe UI" w:cs="Segoe UI"/>
        </w:rPr>
      </w:pPr>
      <w:r w:rsidRPr="001D5327">
        <w:t xml:space="preserve">The carbon stocks for pre-1990 and post-1989 planted forest are calculated from yield tables </w:t>
      </w:r>
      <w:r w:rsidRPr="001D5327">
        <w:rPr>
          <w:spacing w:val="-2"/>
        </w:rPr>
        <w:t xml:space="preserve">derived from the inventory plots, </w:t>
      </w:r>
      <w:r w:rsidRPr="001D5327">
        <w:rPr>
          <w:rFonts w:eastAsia="Segoe UI" w:cs="Segoe UI"/>
          <w:spacing w:val="-2"/>
        </w:rPr>
        <w:t>which are then applied to an estimated age-class distribution</w:t>
      </w:r>
      <w:r w:rsidRPr="001D5327">
        <w:rPr>
          <w:rFonts w:eastAsia="Segoe UI" w:hAnsi="Segoe UI" w:cs="Segoe UI"/>
        </w:rPr>
        <w:t>.</w:t>
      </w:r>
      <w:r w:rsidRPr="001D5327">
        <w:t xml:space="preserve"> </w:t>
      </w:r>
      <w:r w:rsidRPr="001D5327">
        <w:rPr>
          <w:rFonts w:eastAsia="Segoe UI" w:hAnsi="Segoe UI" w:cs="Segoe UI"/>
        </w:rPr>
        <w:t xml:space="preserve">The yield tables are based on plots measured in 2021 and 2022 combined with all other plots measured since 2007, which are created using interpolation for multiple measurements (Paul et al., 2024) </w:t>
      </w:r>
    </w:p>
    <w:p w14:paraId="22529C91" w14:textId="77777777" w:rsidR="00E0181F" w:rsidRPr="001D5327" w:rsidRDefault="00E0181F" w:rsidP="00E0181F">
      <w:pPr>
        <w:pStyle w:val="BodyText"/>
        <w:rPr>
          <w:rFonts w:eastAsia="Segoe UI" w:hAnsi="Segoe UI" w:cs="Segoe UI"/>
        </w:rPr>
      </w:pPr>
      <w:r w:rsidRPr="001D5327">
        <w:rPr>
          <w:rFonts w:eastAsia="Segoe UI" w:hAnsi="Segoe UI" w:cs="Segoe UI"/>
        </w:rPr>
        <w:t xml:space="preserve">A single yield table is applied to the post-1989 planted forest estate and two period-specific yield tables are applied to the pre-1990 planted forest estate based on plant date: pre-1990 forest planted before 1990 and pre-1990 forest planted from 1990 onwards. </w:t>
      </w:r>
    </w:p>
    <w:p w14:paraId="564D3BDE" w14:textId="77777777" w:rsidR="00E0181F" w:rsidRPr="001D5327" w:rsidRDefault="00E0181F" w:rsidP="00E0181F">
      <w:pPr>
        <w:pStyle w:val="BodyText"/>
        <w:spacing w:before="100" w:after="100"/>
      </w:pPr>
      <w:r w:rsidRPr="001D5327">
        <w:t>The use of period-specific yield tables allows for a more accurate estimate of carbon stock gains and losses from planted forests through time. The planted forest y</w:t>
      </w:r>
      <w:r w:rsidRPr="001D5327">
        <w:rPr>
          <w:rFonts w:cs="Arial"/>
          <w:bCs/>
        </w:rPr>
        <w:t xml:space="preserve">ield tables (presented in annex 5, section A.5.2.5 </w:t>
      </w:r>
      <w:r w:rsidRPr="001D5327">
        <w:t>‘</w:t>
      </w:r>
      <w:r w:rsidRPr="001D5327">
        <w:rPr>
          <w:rFonts w:cs="Arial"/>
          <w:bCs/>
        </w:rPr>
        <w:t>Planted forest yield tables</w:t>
      </w:r>
      <w:r w:rsidRPr="001D5327">
        <w:t>’</w:t>
      </w:r>
      <w:r w:rsidRPr="001D5327">
        <w:rPr>
          <w:rFonts w:cs="Arial"/>
          <w:bCs/>
        </w:rPr>
        <w:t>) show that pre-1990 planted forests planted after 1990, have the highest total biomass yield when compared with similarly aged pre-1990 planted forests planted before 1990, and post-1989 forests. In general, re</w:t>
      </w:r>
      <w:r w:rsidRPr="001D5327">
        <w:rPr>
          <w:rFonts w:cs="Arial"/>
          <w:bCs/>
        </w:rPr>
        <w:noBreakHyphen/>
        <w:t xml:space="preserve">planted pre-1990 forests with younger trees show greater productivity (fast early growth), due to genetic improvements in stock planted recently, relative to stock planted more than 20 years ago (Paul et al., 2024). However, </w:t>
      </w:r>
      <w:r w:rsidRPr="001D5327">
        <w:rPr>
          <w:rFonts w:cs="Arial"/>
          <w:bCs/>
          <w:spacing w:val="-2"/>
        </w:rPr>
        <w:t>plots with slower growing tree species, such as Douglas fir, cypresses, coastal redwood</w:t>
      </w:r>
      <w:r w:rsidRPr="001D5327">
        <w:rPr>
          <w:rFonts w:cs="Arial"/>
          <w:bCs/>
        </w:rPr>
        <w:t xml:space="preserve"> and </w:t>
      </w:r>
      <w:r w:rsidRPr="001D5327" w:rsidDel="00237BDE">
        <w:rPr>
          <w:rFonts w:cs="Arial"/>
          <w:bCs/>
        </w:rPr>
        <w:t xml:space="preserve">slower growing </w:t>
      </w:r>
      <w:r w:rsidRPr="001D5327">
        <w:rPr>
          <w:rFonts w:cs="Arial"/>
          <w:bCs/>
          <w:i/>
          <w:iCs/>
        </w:rPr>
        <w:t>Eucalyptus</w:t>
      </w:r>
      <w:r w:rsidRPr="001D5327" w:rsidDel="00237BDE">
        <w:rPr>
          <w:rFonts w:cs="Arial"/>
          <w:bCs/>
        </w:rPr>
        <w:t xml:space="preserve"> species</w:t>
      </w:r>
      <w:r w:rsidRPr="001D5327">
        <w:rPr>
          <w:rFonts w:cs="Arial"/>
          <w:bCs/>
        </w:rPr>
        <w:t>, are an increasing part of the post-1989 estate, reducing the overall sequestration rate for this forest type, compared with pre-1990 planted forests. Less productive species are likely to be managed on longer rotations, and this can result in older age classes being dominated by relatively slow growing plots, lowering the combined species yield trajectory (Paul et al., 2024).</w:t>
      </w:r>
      <w:r w:rsidRPr="001D5327">
        <w:t xml:space="preserve"> </w:t>
      </w:r>
    </w:p>
    <w:p w14:paraId="6BFEA1A4" w14:textId="77777777" w:rsidR="00E0181F" w:rsidRPr="001D5327" w:rsidRDefault="00E0181F" w:rsidP="00E0181F">
      <w:pPr>
        <w:pStyle w:val="BodyText"/>
      </w:pPr>
      <w:r w:rsidRPr="001D5327">
        <w:t xml:space="preserve">Where there has been a land-use change between natural forest and planted forest, the associated carbon changes are reported under </w:t>
      </w:r>
      <w:r w:rsidRPr="001D5327">
        <w:rPr>
          <w:i/>
        </w:rPr>
        <w:t>Forest land remaining forest land</w:t>
      </w:r>
      <w:r w:rsidRPr="001D5327">
        <w:rPr>
          <w:iCs/>
        </w:rPr>
        <w:t xml:space="preserve">, </w:t>
      </w:r>
      <w:r w:rsidRPr="001D5327">
        <w:t xml:space="preserve">provided the forest has already been established for 20 years. </w:t>
      </w:r>
    </w:p>
    <w:p w14:paraId="228C034C" w14:textId="77777777" w:rsidR="00E0181F" w:rsidRPr="001D5327" w:rsidRDefault="00E0181F" w:rsidP="00E0181F">
      <w:pPr>
        <w:pStyle w:val="BodyText"/>
      </w:pPr>
      <w:r w:rsidRPr="001D5327">
        <w:t xml:space="preserve">Where pre-1990 forest has undergone a deforestation event, changed to a different land use (such as </w:t>
      </w:r>
      <w:r w:rsidRPr="001D5327">
        <w:rPr>
          <w:i/>
          <w:iCs/>
        </w:rPr>
        <w:t>Grassland</w:t>
      </w:r>
      <w:r w:rsidRPr="001D5327">
        <w:t xml:space="preserve">), and then subsequently undergone another land-use change back to </w:t>
      </w:r>
      <w:r w:rsidRPr="001D5327">
        <w:rPr>
          <w:i/>
          <w:iCs/>
        </w:rPr>
        <w:t>Forest land</w:t>
      </w:r>
      <w:r w:rsidRPr="001D5327">
        <w:t xml:space="preserve">, the land use will be classified as pre-1990 forest. This is in line with the category definitions outlined in table 6.2.2. </w:t>
      </w:r>
    </w:p>
    <w:p w14:paraId="706731AE" w14:textId="77777777" w:rsidR="00E0181F" w:rsidRPr="001D5327" w:rsidRDefault="00E0181F" w:rsidP="00E0181F">
      <w:pPr>
        <w:pStyle w:val="BodyText"/>
      </w:pPr>
      <w:r w:rsidRPr="001D5327">
        <w:lastRenderedPageBreak/>
        <w:t xml:space="preserve">Detailed methodology on the plot network, sampling methods and yield table derivation, as well as validation of the yield tables with the measured plot data, can be found in annex 5, section A5.2.5 ‘National forest inventory’ and section A5.2.5 ‘Forest land model validations’. </w:t>
      </w:r>
    </w:p>
    <w:p w14:paraId="41E9CD75" w14:textId="77777777" w:rsidR="00E0181F" w:rsidRPr="001D5327" w:rsidRDefault="00E0181F" w:rsidP="00E0181F">
      <w:pPr>
        <w:pStyle w:val="Table"/>
      </w:pPr>
      <w:bookmarkStart w:id="1949" w:name="_Toc280630456"/>
      <w:bookmarkStart w:id="1950" w:name="_Toc310423408"/>
      <w:bookmarkStart w:id="1951" w:name="_Toc318362701"/>
      <w:bookmarkStart w:id="1952" w:name="_Toc342470763"/>
      <w:bookmarkStart w:id="1953" w:name="_Toc352505003"/>
      <w:bookmarkStart w:id="1954" w:name="_Toc373395728"/>
      <w:bookmarkStart w:id="1955" w:name="_Toc378853294"/>
      <w:bookmarkStart w:id="1956" w:name="_Toc391024092"/>
      <w:bookmarkStart w:id="1957" w:name="_Toc410028835"/>
      <w:bookmarkStart w:id="1958" w:name="_Toc414531463"/>
      <w:bookmarkStart w:id="1959" w:name="_Toc443645376"/>
      <w:bookmarkStart w:id="1960" w:name="_Toc474914595"/>
      <w:bookmarkStart w:id="1961" w:name="_Toc481751559"/>
      <w:bookmarkStart w:id="1962" w:name="_Toc522010616"/>
      <w:bookmarkStart w:id="1963" w:name="_Toc5269521"/>
      <w:bookmarkStart w:id="1964" w:name="_Toc131591398"/>
      <w:bookmarkStart w:id="1965" w:name="_Toc158979956"/>
      <w:bookmarkStart w:id="1966" w:name="_Toc164153889"/>
      <w:bookmarkStart w:id="1967" w:name="_Toc190873123"/>
      <w:bookmarkStart w:id="1968" w:name="_Toc194241762"/>
      <w:r w:rsidRPr="001D5327">
        <w:t>Table 6.4.8</w:t>
      </w:r>
      <w:r w:rsidRPr="001D5327">
        <w:tab/>
        <w:t>Summary of methods used to calculate New Zealand’s forest biomass</w:t>
      </w:r>
      <w:r w:rsidRPr="001D5327">
        <w:br/>
        <w:t>carbon stock from plot data</w:t>
      </w:r>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p>
    <w:tbl>
      <w:tblPr>
        <w:tblW w:w="8505" w:type="dxa"/>
        <w:tblBorders>
          <w:top w:val="single" w:sz="4" w:space="0" w:color="1B556B"/>
          <w:bottom w:val="single" w:sz="4" w:space="0" w:color="1B556B"/>
          <w:right w:val="single" w:sz="4" w:space="0" w:color="1B556B"/>
          <w:insideH w:val="single" w:sz="4" w:space="0" w:color="1B556B"/>
          <w:insideV w:val="single" w:sz="4" w:space="0" w:color="1B556B"/>
        </w:tblBorders>
        <w:tblLayout w:type="fixed"/>
        <w:tblCellMar>
          <w:left w:w="85" w:type="dxa"/>
          <w:right w:w="85" w:type="dxa"/>
        </w:tblCellMar>
        <w:tblLook w:val="04A0" w:firstRow="1" w:lastRow="0" w:firstColumn="1" w:lastColumn="0" w:noHBand="0" w:noVBand="1"/>
      </w:tblPr>
      <w:tblGrid>
        <w:gridCol w:w="1419"/>
        <w:gridCol w:w="1276"/>
        <w:gridCol w:w="1716"/>
        <w:gridCol w:w="2369"/>
        <w:gridCol w:w="1725"/>
      </w:tblGrid>
      <w:tr w:rsidR="00E0181F" w:rsidRPr="001D5327" w14:paraId="15EC1E8C" w14:textId="77777777" w:rsidTr="00D11AC9">
        <w:trPr>
          <w:tblHeader/>
        </w:trPr>
        <w:tc>
          <w:tcPr>
            <w:tcW w:w="834" w:type="pct"/>
            <w:tcBorders>
              <w:right w:val="nil"/>
            </w:tcBorders>
            <w:shd w:val="clear" w:color="auto" w:fill="1B556B"/>
          </w:tcPr>
          <w:p w14:paraId="417BD50D" w14:textId="77777777" w:rsidR="00E0181F" w:rsidRPr="001D5327" w:rsidRDefault="00E0181F" w:rsidP="00D11AC9">
            <w:pPr>
              <w:pStyle w:val="TableTextBold"/>
              <w:rPr>
                <w:noProof w:val="0"/>
                <w:color w:val="FFFFFF"/>
              </w:rPr>
            </w:pPr>
          </w:p>
        </w:tc>
        <w:tc>
          <w:tcPr>
            <w:tcW w:w="1759" w:type="pct"/>
            <w:gridSpan w:val="2"/>
            <w:tcBorders>
              <w:left w:val="nil"/>
              <w:bottom w:val="single" w:sz="4" w:space="0" w:color="1B556B"/>
              <w:right w:val="nil"/>
            </w:tcBorders>
            <w:shd w:val="clear" w:color="auto" w:fill="1B556B"/>
          </w:tcPr>
          <w:p w14:paraId="46A91B81" w14:textId="77777777" w:rsidR="00E0181F" w:rsidRPr="001D5327" w:rsidRDefault="00E0181F" w:rsidP="00D11AC9">
            <w:pPr>
              <w:pStyle w:val="TableTextBold"/>
              <w:rPr>
                <w:noProof w:val="0"/>
                <w:color w:val="FFFFFF"/>
              </w:rPr>
            </w:pPr>
            <w:r w:rsidRPr="001D5327">
              <w:rPr>
                <w:noProof w:val="0"/>
                <w:color w:val="FFFFFF"/>
              </w:rPr>
              <w:t>Pool</w:t>
            </w:r>
          </w:p>
        </w:tc>
        <w:tc>
          <w:tcPr>
            <w:tcW w:w="1393" w:type="pct"/>
            <w:tcBorders>
              <w:left w:val="nil"/>
              <w:bottom w:val="single" w:sz="4" w:space="0" w:color="1B556B"/>
              <w:right w:val="nil"/>
            </w:tcBorders>
            <w:shd w:val="clear" w:color="auto" w:fill="1B556B"/>
          </w:tcPr>
          <w:p w14:paraId="6090FE26" w14:textId="77777777" w:rsidR="00E0181F" w:rsidRPr="001D5327" w:rsidRDefault="00E0181F" w:rsidP="00D11AC9">
            <w:pPr>
              <w:pStyle w:val="TableTextBold"/>
              <w:rPr>
                <w:noProof w:val="0"/>
                <w:color w:val="FFFFFF"/>
              </w:rPr>
            </w:pPr>
            <w:r w:rsidRPr="001D5327">
              <w:rPr>
                <w:noProof w:val="0"/>
                <w:color w:val="FFFFFF"/>
              </w:rPr>
              <w:t>Method</w:t>
            </w:r>
          </w:p>
        </w:tc>
        <w:tc>
          <w:tcPr>
            <w:tcW w:w="1014" w:type="pct"/>
            <w:tcBorders>
              <w:left w:val="nil"/>
              <w:bottom w:val="single" w:sz="4" w:space="0" w:color="1B556B"/>
              <w:right w:val="nil"/>
            </w:tcBorders>
            <w:shd w:val="clear" w:color="auto" w:fill="1B556B"/>
          </w:tcPr>
          <w:p w14:paraId="3572F34A" w14:textId="77777777" w:rsidR="00E0181F" w:rsidRPr="001D5327" w:rsidRDefault="00E0181F" w:rsidP="00D11AC9">
            <w:pPr>
              <w:pStyle w:val="TableTextBold"/>
              <w:rPr>
                <w:noProof w:val="0"/>
                <w:color w:val="FFFFFF"/>
              </w:rPr>
            </w:pPr>
            <w:r w:rsidRPr="001D5327">
              <w:rPr>
                <w:noProof w:val="0"/>
                <w:color w:val="FFFFFF"/>
              </w:rPr>
              <w:t>Source</w:t>
            </w:r>
          </w:p>
        </w:tc>
      </w:tr>
      <w:tr w:rsidR="00E0181F" w:rsidRPr="001D5327" w14:paraId="110B956B" w14:textId="77777777" w:rsidTr="00D11AC9">
        <w:tc>
          <w:tcPr>
            <w:tcW w:w="834" w:type="pct"/>
            <w:vMerge w:val="restart"/>
            <w:tcBorders>
              <w:right w:val="nil"/>
            </w:tcBorders>
          </w:tcPr>
          <w:p w14:paraId="1E5CB156" w14:textId="77777777" w:rsidR="00E0181F" w:rsidRPr="001D5327" w:rsidRDefault="00E0181F" w:rsidP="00D11AC9">
            <w:pPr>
              <w:pStyle w:val="TableText"/>
              <w:rPr>
                <w:b/>
              </w:rPr>
            </w:pPr>
            <w:r w:rsidRPr="001D5327">
              <w:rPr>
                <w:b/>
              </w:rPr>
              <w:t>Pre-1990 natural forest</w:t>
            </w:r>
          </w:p>
        </w:tc>
        <w:tc>
          <w:tcPr>
            <w:tcW w:w="750" w:type="pct"/>
            <w:vMerge w:val="restart"/>
            <w:tcBorders>
              <w:left w:val="nil"/>
              <w:right w:val="nil"/>
            </w:tcBorders>
          </w:tcPr>
          <w:p w14:paraId="650BE6DD" w14:textId="77777777" w:rsidR="00E0181F" w:rsidRPr="001D5327" w:rsidRDefault="00E0181F" w:rsidP="00D11AC9">
            <w:pPr>
              <w:pStyle w:val="TableText"/>
              <w:rPr>
                <w:b/>
              </w:rPr>
            </w:pPr>
            <w:r w:rsidRPr="001D5327">
              <w:rPr>
                <w:b/>
              </w:rPr>
              <w:t>Living biomass</w:t>
            </w:r>
          </w:p>
        </w:tc>
        <w:tc>
          <w:tcPr>
            <w:tcW w:w="1009" w:type="pct"/>
            <w:tcBorders>
              <w:left w:val="nil"/>
              <w:bottom w:val="nil"/>
              <w:right w:val="nil"/>
            </w:tcBorders>
          </w:tcPr>
          <w:p w14:paraId="14A49616" w14:textId="77777777" w:rsidR="00E0181F" w:rsidRPr="001D5327" w:rsidRDefault="00E0181F" w:rsidP="00D11AC9">
            <w:pPr>
              <w:pStyle w:val="TableText"/>
            </w:pPr>
            <w:r w:rsidRPr="001D5327">
              <w:t>Above-ground biomass</w:t>
            </w:r>
          </w:p>
        </w:tc>
        <w:tc>
          <w:tcPr>
            <w:tcW w:w="1393" w:type="pct"/>
            <w:tcBorders>
              <w:left w:val="nil"/>
              <w:bottom w:val="nil"/>
              <w:right w:val="nil"/>
            </w:tcBorders>
          </w:tcPr>
          <w:p w14:paraId="091E8FC1" w14:textId="77777777" w:rsidR="00E0181F" w:rsidRPr="001D5327" w:rsidRDefault="00E0181F" w:rsidP="00D11AC9">
            <w:pPr>
              <w:pStyle w:val="TableText"/>
            </w:pPr>
            <w:r w:rsidRPr="001D5327">
              <w:t>Plot measurements; allometric equations</w:t>
            </w:r>
          </w:p>
        </w:tc>
        <w:tc>
          <w:tcPr>
            <w:tcW w:w="1014" w:type="pct"/>
            <w:tcBorders>
              <w:left w:val="nil"/>
              <w:bottom w:val="nil"/>
              <w:right w:val="nil"/>
            </w:tcBorders>
          </w:tcPr>
          <w:p w14:paraId="747D96B5" w14:textId="77777777" w:rsidR="00E0181F" w:rsidRPr="001D5327" w:rsidRDefault="00E0181F" w:rsidP="00D11AC9">
            <w:pPr>
              <w:pStyle w:val="TableText"/>
            </w:pPr>
            <w:r w:rsidRPr="001D5327">
              <w:t>Paul et al. (2021)</w:t>
            </w:r>
          </w:p>
        </w:tc>
      </w:tr>
      <w:tr w:rsidR="00E0181F" w:rsidRPr="001D5327" w14:paraId="0BBE368C" w14:textId="77777777" w:rsidTr="00D11AC9">
        <w:tc>
          <w:tcPr>
            <w:tcW w:w="834" w:type="pct"/>
            <w:vMerge/>
            <w:tcBorders>
              <w:right w:val="nil"/>
            </w:tcBorders>
          </w:tcPr>
          <w:p w14:paraId="046FE07F" w14:textId="77777777" w:rsidR="00E0181F" w:rsidRPr="001D5327" w:rsidRDefault="00E0181F" w:rsidP="00D11AC9">
            <w:pPr>
              <w:pStyle w:val="TableText"/>
              <w:rPr>
                <w:b/>
              </w:rPr>
            </w:pPr>
          </w:p>
        </w:tc>
        <w:tc>
          <w:tcPr>
            <w:tcW w:w="750" w:type="pct"/>
            <w:vMerge/>
            <w:tcBorders>
              <w:left w:val="nil"/>
              <w:right w:val="nil"/>
            </w:tcBorders>
          </w:tcPr>
          <w:p w14:paraId="53042B92" w14:textId="77777777" w:rsidR="00E0181F" w:rsidRPr="001D5327" w:rsidRDefault="00E0181F" w:rsidP="00D11AC9">
            <w:pPr>
              <w:pStyle w:val="TableText"/>
              <w:rPr>
                <w:b/>
              </w:rPr>
            </w:pPr>
          </w:p>
        </w:tc>
        <w:tc>
          <w:tcPr>
            <w:tcW w:w="1009" w:type="pct"/>
            <w:tcBorders>
              <w:top w:val="nil"/>
              <w:left w:val="nil"/>
              <w:right w:val="nil"/>
            </w:tcBorders>
          </w:tcPr>
          <w:p w14:paraId="62086C29" w14:textId="77777777" w:rsidR="00E0181F" w:rsidRPr="001D5327" w:rsidRDefault="00E0181F" w:rsidP="00D11AC9">
            <w:pPr>
              <w:pStyle w:val="TableText"/>
              <w:spacing w:before="20"/>
            </w:pPr>
            <w:r w:rsidRPr="001D5327">
              <w:t>Below-ground biomass</w:t>
            </w:r>
          </w:p>
        </w:tc>
        <w:tc>
          <w:tcPr>
            <w:tcW w:w="1393" w:type="pct"/>
            <w:tcBorders>
              <w:top w:val="nil"/>
              <w:left w:val="nil"/>
              <w:right w:val="nil"/>
            </w:tcBorders>
          </w:tcPr>
          <w:p w14:paraId="782A3EDA" w14:textId="77777777" w:rsidR="00E0181F" w:rsidRPr="001D5327" w:rsidRDefault="00E0181F" w:rsidP="00D11AC9">
            <w:pPr>
              <w:pStyle w:val="TableText"/>
              <w:spacing w:before="20"/>
            </w:pPr>
            <w:r w:rsidRPr="001D5327">
              <w:t xml:space="preserve">Estimated as the ratio of below-ground biomass to above-ground biomass </w:t>
            </w:r>
          </w:p>
        </w:tc>
        <w:tc>
          <w:tcPr>
            <w:tcW w:w="1014" w:type="pct"/>
            <w:tcBorders>
              <w:top w:val="nil"/>
              <w:left w:val="nil"/>
              <w:right w:val="nil"/>
            </w:tcBorders>
          </w:tcPr>
          <w:p w14:paraId="07BA28DC" w14:textId="77777777" w:rsidR="00E0181F" w:rsidRPr="001D5327" w:rsidRDefault="00E0181F" w:rsidP="00D11AC9">
            <w:pPr>
              <w:pStyle w:val="TableText"/>
              <w:spacing w:before="20"/>
            </w:pPr>
            <w:r w:rsidRPr="001D5327">
              <w:t>Paul et al. (2021); Easdale et al. (2019)</w:t>
            </w:r>
          </w:p>
        </w:tc>
      </w:tr>
      <w:tr w:rsidR="00E0181F" w:rsidRPr="001D5327" w14:paraId="088E73B3" w14:textId="77777777" w:rsidTr="00D11AC9">
        <w:tc>
          <w:tcPr>
            <w:tcW w:w="834" w:type="pct"/>
            <w:vMerge/>
            <w:tcBorders>
              <w:right w:val="nil"/>
            </w:tcBorders>
          </w:tcPr>
          <w:p w14:paraId="1B3F5C4C" w14:textId="77777777" w:rsidR="00E0181F" w:rsidRPr="001D5327" w:rsidRDefault="00E0181F" w:rsidP="00D11AC9">
            <w:pPr>
              <w:pStyle w:val="TableText"/>
              <w:rPr>
                <w:b/>
              </w:rPr>
            </w:pPr>
          </w:p>
        </w:tc>
        <w:tc>
          <w:tcPr>
            <w:tcW w:w="750" w:type="pct"/>
            <w:vMerge w:val="restart"/>
            <w:tcBorders>
              <w:left w:val="nil"/>
              <w:right w:val="nil"/>
            </w:tcBorders>
          </w:tcPr>
          <w:p w14:paraId="68C4955E" w14:textId="77777777" w:rsidR="00E0181F" w:rsidRPr="001D5327" w:rsidRDefault="00E0181F" w:rsidP="00D11AC9">
            <w:pPr>
              <w:pStyle w:val="TableText"/>
              <w:rPr>
                <w:b/>
              </w:rPr>
            </w:pPr>
            <w:r w:rsidRPr="001D5327">
              <w:rPr>
                <w:b/>
              </w:rPr>
              <w:t>Dead organic matter</w:t>
            </w:r>
          </w:p>
        </w:tc>
        <w:tc>
          <w:tcPr>
            <w:tcW w:w="1009" w:type="pct"/>
            <w:tcBorders>
              <w:top w:val="nil"/>
              <w:left w:val="nil"/>
              <w:bottom w:val="nil"/>
              <w:right w:val="nil"/>
            </w:tcBorders>
          </w:tcPr>
          <w:p w14:paraId="58A3151B" w14:textId="77777777" w:rsidR="00E0181F" w:rsidRPr="001D5327" w:rsidRDefault="00E0181F" w:rsidP="00D11AC9">
            <w:pPr>
              <w:pStyle w:val="TableText"/>
            </w:pPr>
            <w:r w:rsidRPr="001D5327">
              <w:t>Dead wood</w:t>
            </w:r>
          </w:p>
        </w:tc>
        <w:tc>
          <w:tcPr>
            <w:tcW w:w="1393" w:type="pct"/>
            <w:tcBorders>
              <w:top w:val="nil"/>
              <w:left w:val="nil"/>
              <w:bottom w:val="nil"/>
              <w:right w:val="nil"/>
            </w:tcBorders>
          </w:tcPr>
          <w:p w14:paraId="036DA479" w14:textId="77777777" w:rsidR="00E0181F" w:rsidRPr="001D5327" w:rsidRDefault="00E0181F" w:rsidP="00D11AC9">
            <w:pPr>
              <w:pStyle w:val="TableText"/>
            </w:pPr>
            <w:r w:rsidRPr="001D5327">
              <w:t xml:space="preserve">Modelled from plot measurements; allometric equations </w:t>
            </w:r>
          </w:p>
        </w:tc>
        <w:tc>
          <w:tcPr>
            <w:tcW w:w="1014" w:type="pct"/>
            <w:tcBorders>
              <w:top w:val="nil"/>
              <w:left w:val="nil"/>
              <w:bottom w:val="nil"/>
              <w:right w:val="nil"/>
            </w:tcBorders>
          </w:tcPr>
          <w:p w14:paraId="204B6C82" w14:textId="77777777" w:rsidR="00E0181F" w:rsidRPr="001D5327" w:rsidRDefault="00E0181F" w:rsidP="00D11AC9">
            <w:pPr>
              <w:pStyle w:val="TableText"/>
            </w:pPr>
            <w:r w:rsidRPr="001D5327">
              <w:t xml:space="preserve">Garrett et al. (2019); Paul et al. (2021); Kimberley et al. (2019) </w:t>
            </w:r>
          </w:p>
        </w:tc>
      </w:tr>
      <w:tr w:rsidR="00E0181F" w:rsidRPr="001D5327" w14:paraId="49ABC65C" w14:textId="77777777" w:rsidTr="00D11AC9">
        <w:tc>
          <w:tcPr>
            <w:tcW w:w="834" w:type="pct"/>
            <w:vMerge/>
            <w:tcBorders>
              <w:right w:val="nil"/>
            </w:tcBorders>
          </w:tcPr>
          <w:p w14:paraId="5BF93D8B" w14:textId="77777777" w:rsidR="00E0181F" w:rsidRPr="001D5327" w:rsidRDefault="00E0181F" w:rsidP="00D11AC9">
            <w:pPr>
              <w:pStyle w:val="TableText"/>
              <w:rPr>
                <w:b/>
              </w:rPr>
            </w:pPr>
          </w:p>
        </w:tc>
        <w:tc>
          <w:tcPr>
            <w:tcW w:w="750" w:type="pct"/>
            <w:vMerge/>
            <w:tcBorders>
              <w:left w:val="nil"/>
              <w:right w:val="nil"/>
            </w:tcBorders>
          </w:tcPr>
          <w:p w14:paraId="03BADB16" w14:textId="77777777" w:rsidR="00E0181F" w:rsidRPr="001D5327" w:rsidRDefault="00E0181F" w:rsidP="00D11AC9">
            <w:pPr>
              <w:pStyle w:val="TableText"/>
              <w:rPr>
                <w:b/>
              </w:rPr>
            </w:pPr>
          </w:p>
        </w:tc>
        <w:tc>
          <w:tcPr>
            <w:tcW w:w="1009" w:type="pct"/>
            <w:tcBorders>
              <w:top w:val="nil"/>
              <w:left w:val="nil"/>
              <w:right w:val="nil"/>
            </w:tcBorders>
          </w:tcPr>
          <w:p w14:paraId="32738973" w14:textId="77777777" w:rsidR="00E0181F" w:rsidRPr="001D5327" w:rsidRDefault="00E0181F" w:rsidP="00D11AC9">
            <w:pPr>
              <w:pStyle w:val="TableText"/>
              <w:spacing w:before="20"/>
            </w:pPr>
            <w:r w:rsidRPr="001D5327">
              <w:t>Litter</w:t>
            </w:r>
          </w:p>
        </w:tc>
        <w:tc>
          <w:tcPr>
            <w:tcW w:w="1393" w:type="pct"/>
            <w:tcBorders>
              <w:top w:val="nil"/>
              <w:left w:val="nil"/>
              <w:right w:val="nil"/>
            </w:tcBorders>
          </w:tcPr>
          <w:p w14:paraId="156CCBEF" w14:textId="77777777" w:rsidR="00E0181F" w:rsidRPr="001D5327" w:rsidRDefault="00E0181F" w:rsidP="00D11AC9">
            <w:pPr>
              <w:pStyle w:val="TableText"/>
              <w:spacing w:before="20"/>
            </w:pPr>
            <w:r w:rsidRPr="001D5327">
              <w:t xml:space="preserve">Plot samples; laboratory analysis of samples collected at plots </w:t>
            </w:r>
          </w:p>
        </w:tc>
        <w:tc>
          <w:tcPr>
            <w:tcW w:w="1014" w:type="pct"/>
            <w:tcBorders>
              <w:top w:val="nil"/>
              <w:left w:val="nil"/>
              <w:right w:val="nil"/>
            </w:tcBorders>
          </w:tcPr>
          <w:p w14:paraId="09D84A6C" w14:textId="77777777" w:rsidR="00E0181F" w:rsidRPr="001D5327" w:rsidRDefault="00E0181F" w:rsidP="00D11AC9">
            <w:pPr>
              <w:pStyle w:val="TableText"/>
              <w:spacing w:before="20"/>
            </w:pPr>
            <w:r w:rsidRPr="001D5327">
              <w:t>Paul et al. (2021); Garrett (unpublished)</w:t>
            </w:r>
          </w:p>
        </w:tc>
      </w:tr>
      <w:tr w:rsidR="00E0181F" w:rsidRPr="001D5327" w14:paraId="3BC6815D" w14:textId="77777777" w:rsidTr="00D11AC9">
        <w:tc>
          <w:tcPr>
            <w:tcW w:w="834" w:type="pct"/>
            <w:tcBorders>
              <w:bottom w:val="nil"/>
              <w:right w:val="nil"/>
            </w:tcBorders>
          </w:tcPr>
          <w:p w14:paraId="5DE588F1" w14:textId="77777777" w:rsidR="00E0181F" w:rsidRPr="001D5327" w:rsidRDefault="00E0181F" w:rsidP="00D11AC9">
            <w:pPr>
              <w:pStyle w:val="TableText"/>
              <w:rPr>
                <w:b/>
              </w:rPr>
            </w:pPr>
            <w:r w:rsidRPr="001D5327">
              <w:rPr>
                <w:b/>
              </w:rPr>
              <w:t>Post-1989 natural forest</w:t>
            </w:r>
          </w:p>
        </w:tc>
        <w:tc>
          <w:tcPr>
            <w:tcW w:w="750" w:type="pct"/>
            <w:tcBorders>
              <w:left w:val="nil"/>
              <w:bottom w:val="nil"/>
              <w:right w:val="nil"/>
            </w:tcBorders>
          </w:tcPr>
          <w:p w14:paraId="49C3775E" w14:textId="77777777" w:rsidR="00E0181F" w:rsidRPr="001D5327" w:rsidRDefault="00E0181F" w:rsidP="00D11AC9">
            <w:pPr>
              <w:pStyle w:val="TableText"/>
            </w:pPr>
            <w:r w:rsidRPr="001D5327">
              <w:rPr>
                <w:b/>
              </w:rPr>
              <w:t>Living biomass</w:t>
            </w:r>
          </w:p>
        </w:tc>
        <w:tc>
          <w:tcPr>
            <w:tcW w:w="1009" w:type="pct"/>
            <w:tcBorders>
              <w:left w:val="nil"/>
              <w:bottom w:val="nil"/>
              <w:right w:val="nil"/>
            </w:tcBorders>
          </w:tcPr>
          <w:p w14:paraId="6AC7279D" w14:textId="77777777" w:rsidR="00E0181F" w:rsidRPr="001D5327" w:rsidRDefault="00E0181F" w:rsidP="00D11AC9">
            <w:pPr>
              <w:pStyle w:val="TableText"/>
            </w:pPr>
            <w:r w:rsidRPr="001D5327">
              <w:t>Above-ground biomass</w:t>
            </w:r>
          </w:p>
        </w:tc>
        <w:tc>
          <w:tcPr>
            <w:tcW w:w="1393" w:type="pct"/>
            <w:tcBorders>
              <w:left w:val="nil"/>
              <w:bottom w:val="nil"/>
              <w:right w:val="nil"/>
            </w:tcBorders>
          </w:tcPr>
          <w:p w14:paraId="7547A366" w14:textId="77777777" w:rsidR="00E0181F" w:rsidRPr="001D5327" w:rsidRDefault="00E0181F" w:rsidP="00D11AC9">
            <w:pPr>
              <w:pStyle w:val="TableText"/>
            </w:pPr>
            <w:r w:rsidRPr="001D5327">
              <w:t>Plot measurements; allometric equations</w:t>
            </w:r>
          </w:p>
        </w:tc>
        <w:tc>
          <w:tcPr>
            <w:tcW w:w="1014" w:type="pct"/>
            <w:tcBorders>
              <w:left w:val="nil"/>
              <w:bottom w:val="nil"/>
              <w:right w:val="nil"/>
            </w:tcBorders>
          </w:tcPr>
          <w:p w14:paraId="58547983" w14:textId="77777777" w:rsidR="00E0181F" w:rsidRPr="001D5327" w:rsidRDefault="00E0181F" w:rsidP="00D11AC9">
            <w:pPr>
              <w:pStyle w:val="TableText"/>
            </w:pPr>
            <w:r w:rsidRPr="001D5327">
              <w:t>Paul et al. (2021)</w:t>
            </w:r>
          </w:p>
        </w:tc>
      </w:tr>
      <w:tr w:rsidR="00E0181F" w:rsidRPr="001D5327" w14:paraId="770505E4" w14:textId="77777777" w:rsidTr="00D11AC9">
        <w:tc>
          <w:tcPr>
            <w:tcW w:w="834" w:type="pct"/>
            <w:tcBorders>
              <w:top w:val="nil"/>
              <w:bottom w:val="nil"/>
              <w:right w:val="nil"/>
            </w:tcBorders>
          </w:tcPr>
          <w:p w14:paraId="495DA068" w14:textId="77777777" w:rsidR="00E0181F" w:rsidRPr="001D5327" w:rsidRDefault="00E0181F" w:rsidP="00D11AC9">
            <w:pPr>
              <w:pStyle w:val="TableText"/>
              <w:spacing w:before="20"/>
              <w:rPr>
                <w:b/>
              </w:rPr>
            </w:pPr>
          </w:p>
        </w:tc>
        <w:tc>
          <w:tcPr>
            <w:tcW w:w="750" w:type="pct"/>
            <w:tcBorders>
              <w:top w:val="nil"/>
              <w:left w:val="nil"/>
              <w:right w:val="nil"/>
            </w:tcBorders>
          </w:tcPr>
          <w:p w14:paraId="27DF8488" w14:textId="77777777" w:rsidR="00E0181F" w:rsidRPr="001D5327" w:rsidRDefault="00E0181F" w:rsidP="00D11AC9">
            <w:pPr>
              <w:pStyle w:val="TableText"/>
              <w:spacing w:before="20"/>
            </w:pPr>
          </w:p>
        </w:tc>
        <w:tc>
          <w:tcPr>
            <w:tcW w:w="1009" w:type="pct"/>
            <w:tcBorders>
              <w:top w:val="nil"/>
              <w:left w:val="nil"/>
              <w:right w:val="nil"/>
            </w:tcBorders>
          </w:tcPr>
          <w:p w14:paraId="44EC2B93" w14:textId="77777777" w:rsidR="00E0181F" w:rsidRPr="001D5327" w:rsidRDefault="00E0181F" w:rsidP="00D11AC9">
            <w:pPr>
              <w:pStyle w:val="TableText"/>
              <w:spacing w:before="20"/>
            </w:pPr>
            <w:r w:rsidRPr="001D5327">
              <w:t>Below-ground biomass</w:t>
            </w:r>
          </w:p>
        </w:tc>
        <w:tc>
          <w:tcPr>
            <w:tcW w:w="1393" w:type="pct"/>
            <w:tcBorders>
              <w:top w:val="nil"/>
              <w:left w:val="nil"/>
              <w:right w:val="nil"/>
            </w:tcBorders>
          </w:tcPr>
          <w:p w14:paraId="33507BE6" w14:textId="77777777" w:rsidR="00E0181F" w:rsidRPr="001D5327" w:rsidRDefault="00E0181F" w:rsidP="00D11AC9">
            <w:pPr>
              <w:pStyle w:val="TableText"/>
              <w:spacing w:before="20"/>
            </w:pPr>
            <w:r w:rsidRPr="001D5327">
              <w:t>Estimated as the ratio of below-ground biomass to above-ground biomass</w:t>
            </w:r>
          </w:p>
        </w:tc>
        <w:tc>
          <w:tcPr>
            <w:tcW w:w="1014" w:type="pct"/>
            <w:tcBorders>
              <w:top w:val="nil"/>
              <w:left w:val="nil"/>
              <w:right w:val="nil"/>
            </w:tcBorders>
          </w:tcPr>
          <w:p w14:paraId="31ADE3B3" w14:textId="77777777" w:rsidR="00E0181F" w:rsidRPr="001D5327" w:rsidRDefault="00E0181F" w:rsidP="00D11AC9">
            <w:pPr>
              <w:pStyle w:val="TableText"/>
              <w:spacing w:before="20"/>
            </w:pPr>
            <w:r w:rsidRPr="001D5327">
              <w:t>Paul et al. (unpublished); Easdale et al. (2019)</w:t>
            </w:r>
          </w:p>
        </w:tc>
      </w:tr>
      <w:tr w:rsidR="00E0181F" w:rsidRPr="001D5327" w14:paraId="3FA639C0" w14:textId="77777777" w:rsidTr="00D11AC9">
        <w:tc>
          <w:tcPr>
            <w:tcW w:w="834" w:type="pct"/>
            <w:tcBorders>
              <w:top w:val="nil"/>
              <w:bottom w:val="nil"/>
              <w:right w:val="nil"/>
            </w:tcBorders>
          </w:tcPr>
          <w:p w14:paraId="16C0010E" w14:textId="77777777" w:rsidR="00E0181F" w:rsidRPr="001D5327" w:rsidRDefault="00E0181F" w:rsidP="00D11AC9">
            <w:pPr>
              <w:pStyle w:val="TableText"/>
            </w:pPr>
          </w:p>
        </w:tc>
        <w:tc>
          <w:tcPr>
            <w:tcW w:w="750" w:type="pct"/>
            <w:tcBorders>
              <w:left w:val="nil"/>
              <w:bottom w:val="nil"/>
              <w:right w:val="nil"/>
            </w:tcBorders>
          </w:tcPr>
          <w:p w14:paraId="5EF52810" w14:textId="77777777" w:rsidR="00E0181F" w:rsidRPr="001D5327" w:rsidRDefault="00E0181F" w:rsidP="00D11AC9">
            <w:pPr>
              <w:pStyle w:val="TableTextBold"/>
              <w:rPr>
                <w:noProof w:val="0"/>
              </w:rPr>
            </w:pPr>
            <w:r w:rsidRPr="001D5327">
              <w:rPr>
                <w:noProof w:val="0"/>
              </w:rPr>
              <w:t>Dead organic matter</w:t>
            </w:r>
          </w:p>
        </w:tc>
        <w:tc>
          <w:tcPr>
            <w:tcW w:w="1009" w:type="pct"/>
            <w:tcBorders>
              <w:left w:val="nil"/>
              <w:bottom w:val="nil"/>
              <w:right w:val="nil"/>
            </w:tcBorders>
          </w:tcPr>
          <w:p w14:paraId="7E0ECD91" w14:textId="77777777" w:rsidR="00E0181F" w:rsidRPr="001D5327" w:rsidRDefault="00E0181F" w:rsidP="00D11AC9">
            <w:pPr>
              <w:pStyle w:val="TableText"/>
            </w:pPr>
            <w:r w:rsidRPr="001D5327">
              <w:t>Dead wood</w:t>
            </w:r>
          </w:p>
        </w:tc>
        <w:tc>
          <w:tcPr>
            <w:tcW w:w="1393" w:type="pct"/>
            <w:tcBorders>
              <w:left w:val="nil"/>
              <w:bottom w:val="nil"/>
              <w:right w:val="nil"/>
            </w:tcBorders>
          </w:tcPr>
          <w:p w14:paraId="18F13920" w14:textId="77777777" w:rsidR="00E0181F" w:rsidRPr="001D5327" w:rsidRDefault="00E0181F" w:rsidP="00D11AC9">
            <w:pPr>
              <w:pStyle w:val="TableText"/>
              <w:rPr>
                <w:rFonts w:cs="Segoe UI"/>
                <w:szCs w:val="16"/>
              </w:rPr>
            </w:pPr>
            <w:r w:rsidRPr="001D5327">
              <w:rPr>
                <w:rFonts w:cs="Segoe UI"/>
                <w:szCs w:val="16"/>
              </w:rPr>
              <w:t>Modelled from plot measurements; allometric model</w:t>
            </w:r>
          </w:p>
        </w:tc>
        <w:tc>
          <w:tcPr>
            <w:tcW w:w="1014" w:type="pct"/>
            <w:tcBorders>
              <w:left w:val="nil"/>
              <w:bottom w:val="nil"/>
              <w:right w:val="nil"/>
            </w:tcBorders>
          </w:tcPr>
          <w:p w14:paraId="7929476E" w14:textId="77777777" w:rsidR="00E0181F" w:rsidRPr="001D5327" w:rsidRDefault="00E0181F" w:rsidP="00D11AC9">
            <w:pPr>
              <w:pStyle w:val="TableText"/>
            </w:pPr>
            <w:r w:rsidRPr="001D5327">
              <w:t>Garrett et al. (2019); Paul et al. (unpublished); Kimberley et al. (2019)</w:t>
            </w:r>
          </w:p>
        </w:tc>
      </w:tr>
      <w:tr w:rsidR="00E0181F" w:rsidRPr="001D5327" w14:paraId="5E31BFB3" w14:textId="77777777" w:rsidTr="00D11AC9">
        <w:tc>
          <w:tcPr>
            <w:tcW w:w="834" w:type="pct"/>
            <w:tcBorders>
              <w:top w:val="nil"/>
              <w:right w:val="nil"/>
            </w:tcBorders>
          </w:tcPr>
          <w:p w14:paraId="67025F14" w14:textId="77777777" w:rsidR="00E0181F" w:rsidRPr="001D5327" w:rsidRDefault="00E0181F" w:rsidP="00D11AC9">
            <w:pPr>
              <w:pStyle w:val="TableText"/>
              <w:spacing w:before="20"/>
            </w:pPr>
          </w:p>
        </w:tc>
        <w:tc>
          <w:tcPr>
            <w:tcW w:w="750" w:type="pct"/>
            <w:tcBorders>
              <w:top w:val="nil"/>
              <w:left w:val="nil"/>
              <w:right w:val="nil"/>
            </w:tcBorders>
          </w:tcPr>
          <w:p w14:paraId="6106646C" w14:textId="77777777" w:rsidR="00E0181F" w:rsidRPr="001D5327" w:rsidRDefault="00E0181F" w:rsidP="00D11AC9">
            <w:pPr>
              <w:pStyle w:val="TableTextBold"/>
              <w:spacing w:before="20"/>
              <w:rPr>
                <w:noProof w:val="0"/>
              </w:rPr>
            </w:pPr>
          </w:p>
        </w:tc>
        <w:tc>
          <w:tcPr>
            <w:tcW w:w="1009" w:type="pct"/>
            <w:tcBorders>
              <w:top w:val="nil"/>
              <w:left w:val="nil"/>
              <w:right w:val="nil"/>
            </w:tcBorders>
          </w:tcPr>
          <w:p w14:paraId="4D475B20" w14:textId="77777777" w:rsidR="00E0181F" w:rsidRPr="001D5327" w:rsidRDefault="00E0181F" w:rsidP="00D11AC9">
            <w:pPr>
              <w:pStyle w:val="TableText"/>
              <w:spacing w:before="20"/>
            </w:pPr>
            <w:r w:rsidRPr="001D5327">
              <w:t>Litter</w:t>
            </w:r>
          </w:p>
        </w:tc>
        <w:tc>
          <w:tcPr>
            <w:tcW w:w="1393" w:type="pct"/>
            <w:tcBorders>
              <w:top w:val="nil"/>
              <w:left w:val="nil"/>
              <w:right w:val="nil"/>
            </w:tcBorders>
          </w:tcPr>
          <w:p w14:paraId="457FB6F0" w14:textId="77777777" w:rsidR="00E0181F" w:rsidRPr="001D5327" w:rsidRDefault="00E0181F" w:rsidP="00D11AC9">
            <w:pPr>
              <w:pStyle w:val="TableText"/>
              <w:spacing w:before="20"/>
              <w:rPr>
                <w:rFonts w:cs="Segoe UI"/>
                <w:szCs w:val="16"/>
              </w:rPr>
            </w:pPr>
            <w:r w:rsidRPr="001D5327">
              <w:rPr>
                <w:rFonts w:cs="Segoe UI"/>
                <w:szCs w:val="16"/>
              </w:rPr>
              <w:t>Allometric model and percentage of above-ground biomass</w:t>
            </w:r>
          </w:p>
        </w:tc>
        <w:tc>
          <w:tcPr>
            <w:tcW w:w="1014" w:type="pct"/>
            <w:tcBorders>
              <w:top w:val="nil"/>
              <w:left w:val="nil"/>
              <w:right w:val="nil"/>
            </w:tcBorders>
          </w:tcPr>
          <w:p w14:paraId="4F99E6A2" w14:textId="77777777" w:rsidR="00E0181F" w:rsidRPr="001D5327" w:rsidRDefault="00E0181F" w:rsidP="00D11AC9">
            <w:pPr>
              <w:pStyle w:val="TableText"/>
              <w:spacing w:before="20"/>
            </w:pPr>
            <w:r w:rsidRPr="001D5327">
              <w:t>Paul et al. (unpublished); Garrett (unpublished)</w:t>
            </w:r>
          </w:p>
        </w:tc>
      </w:tr>
      <w:tr w:rsidR="00E0181F" w:rsidRPr="001D5327" w14:paraId="2DF84A98" w14:textId="77777777" w:rsidTr="00D11AC9">
        <w:tc>
          <w:tcPr>
            <w:tcW w:w="834" w:type="pct"/>
            <w:tcBorders>
              <w:bottom w:val="nil"/>
              <w:right w:val="nil"/>
            </w:tcBorders>
          </w:tcPr>
          <w:p w14:paraId="3594109E" w14:textId="77777777" w:rsidR="00E0181F" w:rsidRPr="001D5327" w:rsidRDefault="00E0181F" w:rsidP="00D11AC9">
            <w:pPr>
              <w:pStyle w:val="TableText"/>
            </w:pPr>
            <w:r w:rsidRPr="001D5327">
              <w:rPr>
                <w:b/>
              </w:rPr>
              <w:t>Pre-1990 planted forest</w:t>
            </w:r>
          </w:p>
        </w:tc>
        <w:tc>
          <w:tcPr>
            <w:tcW w:w="750" w:type="pct"/>
            <w:tcBorders>
              <w:left w:val="nil"/>
              <w:bottom w:val="nil"/>
              <w:right w:val="nil"/>
            </w:tcBorders>
          </w:tcPr>
          <w:p w14:paraId="0C4E4808" w14:textId="77777777" w:rsidR="00E0181F" w:rsidRPr="001D5327" w:rsidRDefault="00E0181F" w:rsidP="00D11AC9">
            <w:pPr>
              <w:pStyle w:val="TableText"/>
            </w:pPr>
            <w:r w:rsidRPr="001D5327">
              <w:rPr>
                <w:b/>
              </w:rPr>
              <w:t>Living biomass</w:t>
            </w:r>
          </w:p>
        </w:tc>
        <w:tc>
          <w:tcPr>
            <w:tcW w:w="1009" w:type="pct"/>
            <w:tcBorders>
              <w:left w:val="nil"/>
              <w:bottom w:val="nil"/>
              <w:right w:val="nil"/>
            </w:tcBorders>
          </w:tcPr>
          <w:p w14:paraId="322E0B16" w14:textId="77777777" w:rsidR="00E0181F" w:rsidRPr="001D5327" w:rsidRDefault="00E0181F" w:rsidP="00D11AC9">
            <w:pPr>
              <w:pStyle w:val="TableText"/>
            </w:pPr>
            <w:r w:rsidRPr="001D5327">
              <w:t>Above-ground biomass</w:t>
            </w:r>
          </w:p>
        </w:tc>
        <w:tc>
          <w:tcPr>
            <w:tcW w:w="1393" w:type="pct"/>
            <w:tcBorders>
              <w:left w:val="nil"/>
              <w:bottom w:val="nil"/>
              <w:right w:val="nil"/>
            </w:tcBorders>
          </w:tcPr>
          <w:p w14:paraId="2B6C1CF7" w14:textId="77777777" w:rsidR="00E0181F" w:rsidRPr="001D5327" w:rsidRDefault="00E0181F" w:rsidP="00D11AC9">
            <w:pPr>
              <w:pStyle w:val="TableText"/>
            </w:pPr>
            <w:r w:rsidRPr="001D5327">
              <w:t>Modelled through allometric equations, then included in national yield tables</w:t>
            </w:r>
          </w:p>
        </w:tc>
        <w:tc>
          <w:tcPr>
            <w:tcW w:w="1014" w:type="pct"/>
            <w:tcBorders>
              <w:left w:val="nil"/>
              <w:bottom w:val="nil"/>
              <w:right w:val="nil"/>
            </w:tcBorders>
          </w:tcPr>
          <w:p w14:paraId="6D9FFEA1" w14:textId="77777777" w:rsidR="00E0181F" w:rsidRPr="001D5327" w:rsidRDefault="00E0181F" w:rsidP="00D11AC9">
            <w:pPr>
              <w:pStyle w:val="TableText"/>
            </w:pPr>
            <w:r w:rsidRPr="001D5327">
              <w:t>Paul et al. (2024)</w:t>
            </w:r>
          </w:p>
        </w:tc>
      </w:tr>
      <w:tr w:rsidR="00E0181F" w:rsidRPr="001D5327" w14:paraId="1714659D" w14:textId="77777777" w:rsidTr="00D11AC9">
        <w:tc>
          <w:tcPr>
            <w:tcW w:w="834" w:type="pct"/>
            <w:tcBorders>
              <w:top w:val="nil"/>
              <w:bottom w:val="nil"/>
              <w:right w:val="nil"/>
            </w:tcBorders>
          </w:tcPr>
          <w:p w14:paraId="29527679" w14:textId="77777777" w:rsidR="00E0181F" w:rsidRPr="001D5327" w:rsidRDefault="00E0181F" w:rsidP="00D11AC9">
            <w:pPr>
              <w:pStyle w:val="TableText"/>
            </w:pPr>
          </w:p>
        </w:tc>
        <w:tc>
          <w:tcPr>
            <w:tcW w:w="750" w:type="pct"/>
            <w:tcBorders>
              <w:top w:val="nil"/>
              <w:left w:val="nil"/>
              <w:right w:val="nil"/>
            </w:tcBorders>
          </w:tcPr>
          <w:p w14:paraId="5B97BDD9" w14:textId="77777777" w:rsidR="00E0181F" w:rsidRPr="001D5327" w:rsidRDefault="00E0181F" w:rsidP="00D11AC9">
            <w:pPr>
              <w:pStyle w:val="TableText"/>
              <w:spacing w:before="20"/>
            </w:pPr>
          </w:p>
        </w:tc>
        <w:tc>
          <w:tcPr>
            <w:tcW w:w="1009" w:type="pct"/>
            <w:tcBorders>
              <w:top w:val="nil"/>
              <w:left w:val="nil"/>
              <w:right w:val="nil"/>
            </w:tcBorders>
          </w:tcPr>
          <w:p w14:paraId="675B0905" w14:textId="77777777" w:rsidR="00E0181F" w:rsidRPr="001D5327" w:rsidRDefault="00E0181F" w:rsidP="00D11AC9">
            <w:pPr>
              <w:pStyle w:val="TableText"/>
              <w:spacing w:before="20"/>
            </w:pPr>
            <w:r w:rsidRPr="001D5327">
              <w:t>Below-ground biomass</w:t>
            </w:r>
          </w:p>
        </w:tc>
        <w:tc>
          <w:tcPr>
            <w:tcW w:w="1393" w:type="pct"/>
            <w:tcBorders>
              <w:top w:val="nil"/>
              <w:left w:val="nil"/>
              <w:right w:val="nil"/>
            </w:tcBorders>
          </w:tcPr>
          <w:p w14:paraId="2A75E0D4" w14:textId="77777777" w:rsidR="00E0181F" w:rsidRPr="001D5327" w:rsidRDefault="00E0181F" w:rsidP="00D11AC9">
            <w:pPr>
              <w:pStyle w:val="TableText"/>
              <w:spacing w:before="20"/>
            </w:pPr>
            <w:r w:rsidRPr="001D5327">
              <w:t>Estimated as the ratio of below-ground biomass to above-ground biomass</w:t>
            </w:r>
          </w:p>
        </w:tc>
        <w:tc>
          <w:tcPr>
            <w:tcW w:w="1014" w:type="pct"/>
            <w:tcBorders>
              <w:top w:val="nil"/>
              <w:left w:val="nil"/>
              <w:right w:val="nil"/>
            </w:tcBorders>
          </w:tcPr>
          <w:p w14:paraId="073F00F5" w14:textId="77777777" w:rsidR="00E0181F" w:rsidRPr="001D5327" w:rsidRDefault="00E0181F" w:rsidP="00D11AC9">
            <w:pPr>
              <w:pStyle w:val="TableText"/>
              <w:spacing w:before="20"/>
            </w:pPr>
            <w:r w:rsidRPr="001D5327">
              <w:t>Paul et al. (2024)</w:t>
            </w:r>
          </w:p>
        </w:tc>
      </w:tr>
      <w:tr w:rsidR="00E0181F" w:rsidRPr="001D5327" w14:paraId="18FD53F6" w14:textId="77777777" w:rsidTr="00D11AC9">
        <w:tc>
          <w:tcPr>
            <w:tcW w:w="834" w:type="pct"/>
            <w:tcBorders>
              <w:top w:val="nil"/>
              <w:bottom w:val="nil"/>
              <w:right w:val="nil"/>
            </w:tcBorders>
          </w:tcPr>
          <w:p w14:paraId="048AEAC4" w14:textId="77777777" w:rsidR="00E0181F" w:rsidRPr="001D5327" w:rsidRDefault="00E0181F" w:rsidP="00D11AC9">
            <w:pPr>
              <w:pStyle w:val="TableText"/>
            </w:pPr>
          </w:p>
        </w:tc>
        <w:tc>
          <w:tcPr>
            <w:tcW w:w="750" w:type="pct"/>
            <w:tcBorders>
              <w:left w:val="nil"/>
              <w:bottom w:val="nil"/>
              <w:right w:val="nil"/>
            </w:tcBorders>
          </w:tcPr>
          <w:p w14:paraId="605D138E" w14:textId="77777777" w:rsidR="00E0181F" w:rsidRPr="001D5327" w:rsidRDefault="00E0181F" w:rsidP="00D11AC9">
            <w:pPr>
              <w:pStyle w:val="TableText"/>
            </w:pPr>
            <w:r w:rsidRPr="001D5327">
              <w:rPr>
                <w:b/>
              </w:rPr>
              <w:t>Dead organic matter</w:t>
            </w:r>
          </w:p>
        </w:tc>
        <w:tc>
          <w:tcPr>
            <w:tcW w:w="1009" w:type="pct"/>
            <w:tcBorders>
              <w:left w:val="nil"/>
              <w:bottom w:val="nil"/>
              <w:right w:val="nil"/>
            </w:tcBorders>
          </w:tcPr>
          <w:p w14:paraId="6DC40AD2" w14:textId="77777777" w:rsidR="00E0181F" w:rsidRPr="001D5327" w:rsidRDefault="00E0181F" w:rsidP="00D11AC9">
            <w:pPr>
              <w:pStyle w:val="TableText"/>
            </w:pPr>
            <w:r w:rsidRPr="001D5327">
              <w:t>Dead wood</w:t>
            </w:r>
          </w:p>
        </w:tc>
        <w:tc>
          <w:tcPr>
            <w:tcW w:w="1393" w:type="pct"/>
            <w:tcBorders>
              <w:left w:val="nil"/>
              <w:bottom w:val="nil"/>
              <w:right w:val="nil"/>
            </w:tcBorders>
          </w:tcPr>
          <w:p w14:paraId="14E00B22" w14:textId="77777777" w:rsidR="00E0181F" w:rsidRPr="001D5327" w:rsidRDefault="00E0181F" w:rsidP="00D11AC9">
            <w:pPr>
              <w:pStyle w:val="TableText"/>
            </w:pPr>
            <w:r w:rsidRPr="001D5327">
              <w:t>Allometric model using plot measurements, included in national yield tables. Harvest residues added to dead wood pool through CRA</w:t>
            </w:r>
          </w:p>
        </w:tc>
        <w:tc>
          <w:tcPr>
            <w:tcW w:w="1014" w:type="pct"/>
            <w:tcBorders>
              <w:left w:val="nil"/>
              <w:bottom w:val="nil"/>
              <w:right w:val="nil"/>
            </w:tcBorders>
          </w:tcPr>
          <w:p w14:paraId="7217E01B" w14:textId="77777777" w:rsidR="00E0181F" w:rsidRPr="001D5327" w:rsidRDefault="00E0181F" w:rsidP="00D11AC9">
            <w:pPr>
              <w:pStyle w:val="TableText"/>
            </w:pPr>
            <w:r w:rsidRPr="001D5327">
              <w:t>Paul et al. (2024)</w:t>
            </w:r>
          </w:p>
        </w:tc>
      </w:tr>
      <w:tr w:rsidR="00E0181F" w:rsidRPr="001D5327" w14:paraId="2FF202AA" w14:textId="77777777" w:rsidTr="00D11AC9">
        <w:tc>
          <w:tcPr>
            <w:tcW w:w="834" w:type="pct"/>
            <w:tcBorders>
              <w:top w:val="nil"/>
              <w:right w:val="nil"/>
            </w:tcBorders>
          </w:tcPr>
          <w:p w14:paraId="498ACA6D" w14:textId="77777777" w:rsidR="00E0181F" w:rsidRPr="001D5327" w:rsidRDefault="00E0181F" w:rsidP="00D11AC9">
            <w:pPr>
              <w:pStyle w:val="TableText"/>
            </w:pPr>
          </w:p>
        </w:tc>
        <w:tc>
          <w:tcPr>
            <w:tcW w:w="750" w:type="pct"/>
            <w:tcBorders>
              <w:top w:val="nil"/>
              <w:left w:val="nil"/>
              <w:right w:val="nil"/>
            </w:tcBorders>
          </w:tcPr>
          <w:p w14:paraId="6C848B11" w14:textId="77777777" w:rsidR="00E0181F" w:rsidRPr="001D5327" w:rsidRDefault="00E0181F" w:rsidP="00D11AC9">
            <w:pPr>
              <w:pStyle w:val="TableText"/>
              <w:spacing w:before="20"/>
            </w:pPr>
          </w:p>
        </w:tc>
        <w:tc>
          <w:tcPr>
            <w:tcW w:w="1009" w:type="pct"/>
            <w:tcBorders>
              <w:top w:val="nil"/>
              <w:left w:val="nil"/>
              <w:right w:val="nil"/>
            </w:tcBorders>
          </w:tcPr>
          <w:p w14:paraId="33D7F25A" w14:textId="77777777" w:rsidR="00E0181F" w:rsidRPr="001D5327" w:rsidRDefault="00E0181F" w:rsidP="00D11AC9">
            <w:pPr>
              <w:pStyle w:val="TableText"/>
              <w:spacing w:before="20"/>
            </w:pPr>
            <w:r w:rsidRPr="001D5327">
              <w:t>Litter</w:t>
            </w:r>
          </w:p>
        </w:tc>
        <w:tc>
          <w:tcPr>
            <w:tcW w:w="1393" w:type="pct"/>
            <w:tcBorders>
              <w:top w:val="nil"/>
              <w:left w:val="nil"/>
              <w:right w:val="nil"/>
            </w:tcBorders>
          </w:tcPr>
          <w:p w14:paraId="7E79452D" w14:textId="77777777" w:rsidR="00E0181F" w:rsidRPr="001D5327" w:rsidRDefault="00E0181F" w:rsidP="00D11AC9">
            <w:pPr>
              <w:pStyle w:val="TableText"/>
              <w:spacing w:before="20"/>
            </w:pPr>
            <w:r w:rsidRPr="001D5327">
              <w:rPr>
                <w:rFonts w:cs="Segoe UI"/>
                <w:szCs w:val="16"/>
              </w:rPr>
              <w:t>Allometric model and percentage of above-ground biomass</w:t>
            </w:r>
          </w:p>
        </w:tc>
        <w:tc>
          <w:tcPr>
            <w:tcW w:w="1014" w:type="pct"/>
            <w:tcBorders>
              <w:top w:val="nil"/>
              <w:left w:val="nil"/>
              <w:right w:val="nil"/>
            </w:tcBorders>
          </w:tcPr>
          <w:p w14:paraId="0D5FD16D" w14:textId="77777777" w:rsidR="00E0181F" w:rsidRPr="001D5327" w:rsidRDefault="00E0181F" w:rsidP="00D11AC9">
            <w:pPr>
              <w:pStyle w:val="TableText"/>
              <w:spacing w:before="20"/>
            </w:pPr>
            <w:r w:rsidRPr="001D5327">
              <w:t xml:space="preserve">Paul et al. (2024) </w:t>
            </w:r>
          </w:p>
        </w:tc>
      </w:tr>
      <w:tr w:rsidR="00E0181F" w:rsidRPr="001D5327" w14:paraId="25735425" w14:textId="77777777" w:rsidTr="00D11AC9">
        <w:tc>
          <w:tcPr>
            <w:tcW w:w="834" w:type="pct"/>
            <w:tcBorders>
              <w:bottom w:val="nil"/>
              <w:right w:val="nil"/>
            </w:tcBorders>
          </w:tcPr>
          <w:p w14:paraId="725CF2D8" w14:textId="77777777" w:rsidR="00E0181F" w:rsidRPr="001D5327" w:rsidRDefault="00E0181F" w:rsidP="00D11AC9">
            <w:pPr>
              <w:pStyle w:val="TableText"/>
              <w:rPr>
                <w:b/>
              </w:rPr>
            </w:pPr>
            <w:r w:rsidRPr="001D5327">
              <w:rPr>
                <w:b/>
              </w:rPr>
              <w:t>Post-1989 planted forest</w:t>
            </w:r>
          </w:p>
        </w:tc>
        <w:tc>
          <w:tcPr>
            <w:tcW w:w="750" w:type="pct"/>
            <w:tcBorders>
              <w:left w:val="nil"/>
              <w:bottom w:val="nil"/>
              <w:right w:val="nil"/>
            </w:tcBorders>
          </w:tcPr>
          <w:p w14:paraId="72DD466C" w14:textId="77777777" w:rsidR="00E0181F" w:rsidRPr="001D5327" w:rsidRDefault="00E0181F" w:rsidP="00D11AC9">
            <w:pPr>
              <w:pStyle w:val="TableText"/>
            </w:pPr>
            <w:r w:rsidRPr="001D5327">
              <w:rPr>
                <w:b/>
              </w:rPr>
              <w:t>Living biomass</w:t>
            </w:r>
          </w:p>
        </w:tc>
        <w:tc>
          <w:tcPr>
            <w:tcW w:w="1009" w:type="pct"/>
            <w:tcBorders>
              <w:left w:val="nil"/>
              <w:bottom w:val="nil"/>
              <w:right w:val="nil"/>
            </w:tcBorders>
          </w:tcPr>
          <w:p w14:paraId="2DE3841D" w14:textId="77777777" w:rsidR="00E0181F" w:rsidRPr="001D5327" w:rsidRDefault="00E0181F" w:rsidP="00D11AC9">
            <w:pPr>
              <w:pStyle w:val="TableText"/>
            </w:pPr>
            <w:r w:rsidRPr="001D5327">
              <w:t>Above-ground biomass</w:t>
            </w:r>
          </w:p>
        </w:tc>
        <w:tc>
          <w:tcPr>
            <w:tcW w:w="1393" w:type="pct"/>
            <w:tcBorders>
              <w:left w:val="nil"/>
              <w:bottom w:val="nil"/>
              <w:right w:val="nil"/>
            </w:tcBorders>
          </w:tcPr>
          <w:p w14:paraId="0C500F26" w14:textId="77777777" w:rsidR="00E0181F" w:rsidRPr="001D5327" w:rsidRDefault="00E0181F" w:rsidP="00D11AC9">
            <w:pPr>
              <w:pStyle w:val="TableText"/>
            </w:pPr>
            <w:r w:rsidRPr="001D5327">
              <w:t>Modelled through allometric equations, then included in national yield tables</w:t>
            </w:r>
          </w:p>
        </w:tc>
        <w:tc>
          <w:tcPr>
            <w:tcW w:w="1014" w:type="pct"/>
            <w:tcBorders>
              <w:left w:val="nil"/>
              <w:bottom w:val="nil"/>
              <w:right w:val="nil"/>
            </w:tcBorders>
          </w:tcPr>
          <w:p w14:paraId="7661EAA3" w14:textId="77777777" w:rsidR="00E0181F" w:rsidRPr="001D5327" w:rsidRDefault="00E0181F" w:rsidP="00D11AC9">
            <w:pPr>
              <w:pStyle w:val="TableText"/>
            </w:pPr>
            <w:r w:rsidRPr="001D5327">
              <w:t xml:space="preserve">Paul et al. (2024) </w:t>
            </w:r>
          </w:p>
        </w:tc>
      </w:tr>
      <w:tr w:rsidR="00E0181F" w:rsidRPr="001D5327" w14:paraId="0C1BE462" w14:textId="77777777" w:rsidTr="00D11AC9">
        <w:tc>
          <w:tcPr>
            <w:tcW w:w="834" w:type="pct"/>
            <w:tcBorders>
              <w:top w:val="nil"/>
              <w:bottom w:val="nil"/>
              <w:right w:val="nil"/>
            </w:tcBorders>
          </w:tcPr>
          <w:p w14:paraId="546FDCB1" w14:textId="77777777" w:rsidR="00E0181F" w:rsidRPr="001D5327" w:rsidRDefault="00E0181F" w:rsidP="00D11AC9">
            <w:pPr>
              <w:pStyle w:val="TableText"/>
              <w:spacing w:before="20"/>
            </w:pPr>
          </w:p>
        </w:tc>
        <w:tc>
          <w:tcPr>
            <w:tcW w:w="750" w:type="pct"/>
            <w:tcBorders>
              <w:top w:val="nil"/>
              <w:left w:val="nil"/>
              <w:right w:val="nil"/>
            </w:tcBorders>
          </w:tcPr>
          <w:p w14:paraId="6272568E" w14:textId="77777777" w:rsidR="00E0181F" w:rsidRPr="001D5327" w:rsidRDefault="00E0181F" w:rsidP="00D11AC9">
            <w:pPr>
              <w:pStyle w:val="TableText"/>
              <w:spacing w:before="20"/>
            </w:pPr>
          </w:p>
        </w:tc>
        <w:tc>
          <w:tcPr>
            <w:tcW w:w="1009" w:type="pct"/>
            <w:tcBorders>
              <w:top w:val="nil"/>
              <w:left w:val="nil"/>
              <w:right w:val="nil"/>
            </w:tcBorders>
          </w:tcPr>
          <w:p w14:paraId="576F60C6" w14:textId="77777777" w:rsidR="00E0181F" w:rsidRPr="001D5327" w:rsidRDefault="00E0181F" w:rsidP="00D11AC9">
            <w:pPr>
              <w:pStyle w:val="TableText"/>
              <w:spacing w:before="20"/>
            </w:pPr>
            <w:r w:rsidRPr="001D5327">
              <w:t>Below-ground biomass</w:t>
            </w:r>
          </w:p>
        </w:tc>
        <w:tc>
          <w:tcPr>
            <w:tcW w:w="1393" w:type="pct"/>
            <w:tcBorders>
              <w:top w:val="nil"/>
              <w:left w:val="nil"/>
              <w:right w:val="nil"/>
            </w:tcBorders>
          </w:tcPr>
          <w:p w14:paraId="66E067F1" w14:textId="77777777" w:rsidR="00E0181F" w:rsidRPr="001D5327" w:rsidRDefault="00E0181F" w:rsidP="00D11AC9">
            <w:pPr>
              <w:pStyle w:val="TableText"/>
              <w:spacing w:before="20"/>
            </w:pPr>
            <w:r w:rsidRPr="001D5327">
              <w:t>Estimated as the ratio of below-ground biomass to above-ground biomass</w:t>
            </w:r>
          </w:p>
        </w:tc>
        <w:tc>
          <w:tcPr>
            <w:tcW w:w="1014" w:type="pct"/>
            <w:tcBorders>
              <w:top w:val="nil"/>
              <w:left w:val="nil"/>
              <w:right w:val="nil"/>
            </w:tcBorders>
          </w:tcPr>
          <w:p w14:paraId="4A00647D" w14:textId="77777777" w:rsidR="00E0181F" w:rsidRPr="001D5327" w:rsidRDefault="00E0181F" w:rsidP="00D11AC9">
            <w:pPr>
              <w:pStyle w:val="TableText"/>
              <w:spacing w:before="20"/>
            </w:pPr>
            <w:r w:rsidRPr="001D5327">
              <w:t>Paul et al. (2024)</w:t>
            </w:r>
          </w:p>
        </w:tc>
      </w:tr>
      <w:tr w:rsidR="00E0181F" w:rsidRPr="001D5327" w14:paraId="760C0574" w14:textId="77777777" w:rsidTr="00D11AC9">
        <w:tc>
          <w:tcPr>
            <w:tcW w:w="834" w:type="pct"/>
            <w:tcBorders>
              <w:top w:val="nil"/>
              <w:bottom w:val="nil"/>
              <w:right w:val="nil"/>
            </w:tcBorders>
          </w:tcPr>
          <w:p w14:paraId="25153654" w14:textId="77777777" w:rsidR="00E0181F" w:rsidRPr="001D5327" w:rsidRDefault="00E0181F" w:rsidP="00D11AC9">
            <w:pPr>
              <w:pStyle w:val="TableText"/>
            </w:pPr>
          </w:p>
        </w:tc>
        <w:tc>
          <w:tcPr>
            <w:tcW w:w="750" w:type="pct"/>
            <w:tcBorders>
              <w:left w:val="nil"/>
              <w:bottom w:val="nil"/>
              <w:right w:val="nil"/>
            </w:tcBorders>
          </w:tcPr>
          <w:p w14:paraId="39D20D3B" w14:textId="77777777" w:rsidR="00E0181F" w:rsidRPr="001D5327" w:rsidRDefault="00E0181F" w:rsidP="00D11AC9">
            <w:pPr>
              <w:pStyle w:val="TableText"/>
            </w:pPr>
            <w:r w:rsidRPr="001D5327">
              <w:rPr>
                <w:b/>
              </w:rPr>
              <w:t>Dead organic matter</w:t>
            </w:r>
          </w:p>
        </w:tc>
        <w:tc>
          <w:tcPr>
            <w:tcW w:w="1009" w:type="pct"/>
            <w:tcBorders>
              <w:left w:val="nil"/>
              <w:bottom w:val="nil"/>
              <w:right w:val="nil"/>
            </w:tcBorders>
          </w:tcPr>
          <w:p w14:paraId="4A526CAC" w14:textId="77777777" w:rsidR="00E0181F" w:rsidRPr="001D5327" w:rsidRDefault="00E0181F" w:rsidP="00D11AC9">
            <w:pPr>
              <w:pStyle w:val="TableText"/>
            </w:pPr>
            <w:r w:rsidRPr="001D5327">
              <w:t>Dead wood</w:t>
            </w:r>
          </w:p>
        </w:tc>
        <w:tc>
          <w:tcPr>
            <w:tcW w:w="1393" w:type="pct"/>
            <w:tcBorders>
              <w:left w:val="nil"/>
              <w:bottom w:val="nil"/>
              <w:right w:val="nil"/>
            </w:tcBorders>
          </w:tcPr>
          <w:p w14:paraId="571FCCF6" w14:textId="77777777" w:rsidR="00E0181F" w:rsidRPr="001D5327" w:rsidRDefault="00E0181F" w:rsidP="00D11AC9">
            <w:pPr>
              <w:pStyle w:val="TableText"/>
            </w:pPr>
            <w:r w:rsidRPr="001D5327">
              <w:t>Allometric model using plot measurements, included in national yield tables. Harvest residues added to dead wood pool through CRA</w:t>
            </w:r>
          </w:p>
        </w:tc>
        <w:tc>
          <w:tcPr>
            <w:tcW w:w="1014" w:type="pct"/>
            <w:tcBorders>
              <w:left w:val="nil"/>
              <w:bottom w:val="nil"/>
              <w:right w:val="nil"/>
            </w:tcBorders>
          </w:tcPr>
          <w:p w14:paraId="7A06E855" w14:textId="77777777" w:rsidR="00E0181F" w:rsidRPr="001D5327" w:rsidRDefault="00E0181F" w:rsidP="00D11AC9">
            <w:pPr>
              <w:pStyle w:val="TableText"/>
            </w:pPr>
            <w:r w:rsidRPr="001D5327">
              <w:t xml:space="preserve">Paul et al. (2024) </w:t>
            </w:r>
          </w:p>
        </w:tc>
      </w:tr>
      <w:tr w:rsidR="00E0181F" w:rsidRPr="001D5327" w14:paraId="45122F70" w14:textId="77777777" w:rsidTr="00D11AC9">
        <w:tc>
          <w:tcPr>
            <w:tcW w:w="834" w:type="pct"/>
            <w:tcBorders>
              <w:top w:val="nil"/>
              <w:right w:val="nil"/>
            </w:tcBorders>
          </w:tcPr>
          <w:p w14:paraId="463A27A7" w14:textId="77777777" w:rsidR="00E0181F" w:rsidRPr="001D5327" w:rsidRDefault="00E0181F" w:rsidP="00D11AC9">
            <w:pPr>
              <w:pStyle w:val="TableText"/>
              <w:spacing w:before="20"/>
            </w:pPr>
          </w:p>
        </w:tc>
        <w:tc>
          <w:tcPr>
            <w:tcW w:w="750" w:type="pct"/>
            <w:tcBorders>
              <w:top w:val="nil"/>
              <w:left w:val="nil"/>
              <w:right w:val="nil"/>
            </w:tcBorders>
          </w:tcPr>
          <w:p w14:paraId="40101CE4" w14:textId="77777777" w:rsidR="00E0181F" w:rsidRPr="001D5327" w:rsidRDefault="00E0181F" w:rsidP="00D11AC9">
            <w:pPr>
              <w:pStyle w:val="TableText"/>
              <w:spacing w:before="20"/>
            </w:pPr>
          </w:p>
        </w:tc>
        <w:tc>
          <w:tcPr>
            <w:tcW w:w="1009" w:type="pct"/>
            <w:tcBorders>
              <w:top w:val="nil"/>
              <w:left w:val="nil"/>
              <w:right w:val="nil"/>
            </w:tcBorders>
          </w:tcPr>
          <w:p w14:paraId="45312DE5" w14:textId="77777777" w:rsidR="00E0181F" w:rsidRPr="001D5327" w:rsidRDefault="00E0181F" w:rsidP="00D11AC9">
            <w:pPr>
              <w:pStyle w:val="TableText"/>
              <w:spacing w:before="20"/>
            </w:pPr>
            <w:r w:rsidRPr="001D5327">
              <w:t>Litter</w:t>
            </w:r>
          </w:p>
        </w:tc>
        <w:tc>
          <w:tcPr>
            <w:tcW w:w="1393" w:type="pct"/>
            <w:tcBorders>
              <w:top w:val="nil"/>
              <w:left w:val="nil"/>
              <w:right w:val="nil"/>
            </w:tcBorders>
          </w:tcPr>
          <w:p w14:paraId="0ABA8695" w14:textId="77777777" w:rsidR="00E0181F" w:rsidRPr="001D5327" w:rsidRDefault="00E0181F" w:rsidP="00D11AC9">
            <w:pPr>
              <w:pStyle w:val="TableText"/>
              <w:spacing w:before="20"/>
            </w:pPr>
            <w:r w:rsidRPr="001D5327">
              <w:rPr>
                <w:rFonts w:cs="Segoe UI"/>
                <w:szCs w:val="16"/>
              </w:rPr>
              <w:t>Allometric model and percentage of above-ground biomass</w:t>
            </w:r>
          </w:p>
        </w:tc>
        <w:tc>
          <w:tcPr>
            <w:tcW w:w="1014" w:type="pct"/>
            <w:tcBorders>
              <w:top w:val="nil"/>
              <w:left w:val="nil"/>
              <w:right w:val="nil"/>
            </w:tcBorders>
          </w:tcPr>
          <w:p w14:paraId="30C9B42F" w14:textId="77777777" w:rsidR="00E0181F" w:rsidRPr="001D5327" w:rsidRDefault="00E0181F" w:rsidP="00D11AC9">
            <w:pPr>
              <w:pStyle w:val="TableText"/>
              <w:spacing w:before="20"/>
            </w:pPr>
            <w:r w:rsidRPr="001D5327">
              <w:t>Paul et al. (2024)</w:t>
            </w:r>
          </w:p>
        </w:tc>
      </w:tr>
    </w:tbl>
    <w:p w14:paraId="65B2B6A6" w14:textId="77777777" w:rsidR="00E0181F" w:rsidRPr="001D5327" w:rsidRDefault="00E0181F" w:rsidP="00E0181F">
      <w:pPr>
        <w:pStyle w:val="Noteundertable"/>
      </w:pPr>
      <w:bookmarkStart w:id="1969" w:name="_Toc255466335"/>
      <w:bookmarkStart w:id="1970" w:name="_Toc261513142"/>
      <w:bookmarkStart w:id="1971" w:name="_Toc261513755"/>
      <w:r w:rsidRPr="001D5327">
        <w:rPr>
          <w:b/>
          <w:bCs/>
        </w:rPr>
        <w:t>Note:</w:t>
      </w:r>
      <w:r w:rsidRPr="001D5327">
        <w:tab/>
        <w:t>CRA = Calculation and Reporting Application.</w:t>
      </w:r>
    </w:p>
    <w:p w14:paraId="1415EBC7" w14:textId="77777777" w:rsidR="00E0181F" w:rsidRPr="001D5327" w:rsidRDefault="00E0181F" w:rsidP="00E0181F">
      <w:pPr>
        <w:pStyle w:val="Heading5"/>
      </w:pPr>
      <w:r w:rsidRPr="001D5327">
        <w:lastRenderedPageBreak/>
        <w:t>Soil organic carbon</w:t>
      </w:r>
      <w:bookmarkEnd w:id="1969"/>
      <w:bookmarkEnd w:id="1970"/>
      <w:bookmarkEnd w:id="1971"/>
      <w:r w:rsidRPr="001D5327">
        <w:t xml:space="preserve"> </w:t>
      </w:r>
    </w:p>
    <w:p w14:paraId="2802F33B" w14:textId="77777777" w:rsidR="00E0181F" w:rsidRPr="001D5327" w:rsidRDefault="00E0181F" w:rsidP="00E561CA">
      <w:pPr>
        <w:pStyle w:val="BodyText"/>
        <w:spacing w:before="100" w:after="100"/>
      </w:pPr>
      <w:r w:rsidRPr="001D5327">
        <w:t xml:space="preserve">Soil organic carbon stocks in </w:t>
      </w:r>
      <w:r w:rsidRPr="001D5327">
        <w:rPr>
          <w:i/>
        </w:rPr>
        <w:t>Forest land</w:t>
      </w:r>
      <w:r w:rsidRPr="001D5327">
        <w:t xml:space="preserve"> </w:t>
      </w:r>
      <w:r w:rsidRPr="001D5327">
        <w:rPr>
          <w:i/>
        </w:rPr>
        <w:t>remaining forest land</w:t>
      </w:r>
      <w:r w:rsidRPr="001D5327">
        <w:t xml:space="preserve"> are estimated using a Tier 2 method for mineral soils, as described in annex 5, section A5.2.4 ‘Mineral soils’</w:t>
      </w:r>
      <w:r w:rsidRPr="001D5327" w:rsidDel="00EC515B">
        <w:t>.</w:t>
      </w:r>
      <w:r w:rsidRPr="001D5327">
        <w:t xml:space="preserve"> </w:t>
      </w:r>
    </w:p>
    <w:p w14:paraId="1439F248" w14:textId="77777777" w:rsidR="00E0181F" w:rsidRPr="001D5327" w:rsidRDefault="00E0181F" w:rsidP="00E561CA">
      <w:pPr>
        <w:pStyle w:val="BodyText"/>
        <w:spacing w:before="100" w:after="100"/>
      </w:pPr>
      <w:r w:rsidRPr="001D5327">
        <w:t>For organic soils, IPCC good practice guidance is limited to the estimation of carbon emissions associated with the drainage of organic soils in managed forests (section 4.2.3.1, IPCC, 2006a). In New Zealand, natural forests are not drained and, therefore, oxidation processes associated with drainage are not occurring. It is therefore assumed that there are no carbon emissions from organic soils in pre-1990 natural forest land remaining pre</w:t>
      </w:r>
      <w:r w:rsidRPr="001D5327">
        <w:noBreakHyphen/>
        <w:t xml:space="preserve">1990 natural forest land. A Tier 1 approach for pre-1990 planted, post-1989 planted and post-1989 natural </w:t>
      </w:r>
      <w:r w:rsidRPr="001D5327">
        <w:rPr>
          <w:i/>
          <w:iCs/>
        </w:rPr>
        <w:t>Forest land remaining forest land</w:t>
      </w:r>
      <w:r w:rsidRPr="001D5327">
        <w:t xml:space="preserve"> is applied and is described further in annex 5, section A5.2.4 ‘Organic soils’. </w:t>
      </w:r>
    </w:p>
    <w:p w14:paraId="0E107173" w14:textId="77777777" w:rsidR="00E0181F" w:rsidRPr="001D5327" w:rsidRDefault="00E0181F" w:rsidP="00E561CA">
      <w:pPr>
        <w:pStyle w:val="Heading5"/>
        <w:spacing w:before="200"/>
      </w:pPr>
      <w:r w:rsidRPr="001D5327">
        <w:t>Non-CO</w:t>
      </w:r>
      <w:r w:rsidRPr="001D5327">
        <w:rPr>
          <w:vertAlign w:val="subscript"/>
        </w:rPr>
        <w:t>2</w:t>
      </w:r>
      <w:r w:rsidRPr="001D5327">
        <w:t xml:space="preserve"> emissions for Forest land </w:t>
      </w:r>
    </w:p>
    <w:p w14:paraId="27DD1295" w14:textId="77777777" w:rsidR="00E0181F" w:rsidRPr="001D5327" w:rsidRDefault="00E0181F" w:rsidP="00E561CA">
      <w:pPr>
        <w:pStyle w:val="BodyText"/>
        <w:spacing w:before="100" w:after="100"/>
      </w:pPr>
      <w:r w:rsidRPr="001D5327">
        <w:t>Direct and indirect N</w:t>
      </w:r>
      <w:r w:rsidRPr="001D5327">
        <w:rPr>
          <w:vertAlign w:val="subscript"/>
        </w:rPr>
        <w:t>2</w:t>
      </w:r>
      <w:r w:rsidRPr="001D5327">
        <w:t>O emissions from fertilisation of forest land and disturbance associated with land use management conversion are described in section 6.11. Note that the calculations of indirect N</w:t>
      </w:r>
      <w:r w:rsidRPr="001D5327">
        <w:rPr>
          <w:vertAlign w:val="subscript"/>
        </w:rPr>
        <w:t>2</w:t>
      </w:r>
      <w:r w:rsidRPr="001D5327">
        <w:t xml:space="preserve">O are not disaggregated by category and are therefore not included in the emission subtotals for </w:t>
      </w:r>
      <w:r w:rsidRPr="001D5327">
        <w:rPr>
          <w:i/>
        </w:rPr>
        <w:t>Forest land</w:t>
      </w:r>
      <w:r w:rsidRPr="001D5327">
        <w:t>.</w:t>
      </w:r>
    </w:p>
    <w:p w14:paraId="671EB4BE" w14:textId="77777777" w:rsidR="00E0181F" w:rsidRPr="001D5327" w:rsidRDefault="00E0181F" w:rsidP="00E561CA">
      <w:pPr>
        <w:pStyle w:val="Heading4"/>
        <w:spacing w:before="200"/>
      </w:pPr>
      <w:bookmarkStart w:id="1972" w:name="_Toc255466343"/>
      <w:bookmarkStart w:id="1973" w:name="_Toc261513150"/>
      <w:bookmarkStart w:id="1974" w:name="_Toc261513763"/>
      <w:bookmarkStart w:id="1975" w:name="_Toc280630251"/>
      <w:r w:rsidRPr="001D5327">
        <w:t>Land converted to forest land</w:t>
      </w:r>
      <w:bookmarkEnd w:id="1972"/>
      <w:bookmarkEnd w:id="1973"/>
      <w:bookmarkEnd w:id="1974"/>
      <w:bookmarkEnd w:id="1975"/>
      <w:r w:rsidRPr="001D5327">
        <w:t xml:space="preserve"> (4.A.2)</w:t>
      </w:r>
    </w:p>
    <w:p w14:paraId="2008DC54" w14:textId="77777777" w:rsidR="00E0181F" w:rsidRPr="001D5327" w:rsidRDefault="00E0181F" w:rsidP="00E0181F">
      <w:pPr>
        <w:pStyle w:val="BodyText"/>
        <w:spacing w:before="100" w:after="100"/>
      </w:pPr>
      <w:r w:rsidRPr="001D5327">
        <w:t xml:space="preserve">All </w:t>
      </w:r>
      <w:r w:rsidRPr="001D5327">
        <w:rPr>
          <w:i/>
        </w:rPr>
        <w:t>Land converted to forest land</w:t>
      </w:r>
      <w:r w:rsidRPr="001D5327">
        <w:t xml:space="preserve"> since 1 January 1990, either by planting or as a result of human-induced changes in land-management practice (e.g., removing grazing stock and actively facilitating the regeneration of tree species), is included as post-1989 forest. Post</w:t>
      </w:r>
      <w:r w:rsidRPr="001D5327">
        <w:noBreakHyphen/>
        <w:t>1989 forest is split into two divisions for calculating emissions and removals: post</w:t>
      </w:r>
      <w:r w:rsidRPr="001D5327">
        <w:noBreakHyphen/>
        <w:t xml:space="preserve">1989 natural forest and post-1989 planted forest. </w:t>
      </w:r>
    </w:p>
    <w:p w14:paraId="0EF94D4C" w14:textId="77777777" w:rsidR="00E0181F" w:rsidRPr="001D5327" w:rsidRDefault="00E0181F" w:rsidP="00E0181F">
      <w:pPr>
        <w:pStyle w:val="BodyText"/>
        <w:spacing w:before="100" w:after="100"/>
        <w:rPr>
          <w:spacing w:val="-2"/>
        </w:rPr>
      </w:pPr>
      <w:r w:rsidRPr="001D5327">
        <w:t>The area of land converted to natural and planted forests is derived from a combination of land use mapping, national statistics and forestry scheme data. Further details on how the area of new forest establishment is calculated are provided in annex 5, section A5.2.2.</w:t>
      </w:r>
    </w:p>
    <w:p w14:paraId="0D171ABA" w14:textId="77777777" w:rsidR="00E0181F" w:rsidRPr="001D5327" w:rsidRDefault="00E0181F" w:rsidP="00E0181F">
      <w:pPr>
        <w:pStyle w:val="BodyText"/>
        <w:spacing w:before="100" w:after="100"/>
        <w:rPr>
          <w:spacing w:val="-2"/>
        </w:rPr>
      </w:pPr>
      <w:r w:rsidRPr="001D5327">
        <w:rPr>
          <w:spacing w:val="-2"/>
        </w:rPr>
        <w:t xml:space="preserve">When non-forest land is converted to forest land, all carbon in living biomass that was present at the time of forest establishment is assumed to be instantly emitted as a result of forest establishment preparation, with the exception of </w:t>
      </w:r>
      <w:r w:rsidRPr="001D5327">
        <w:rPr>
          <w:i/>
          <w:iCs/>
          <w:spacing w:val="-2"/>
        </w:rPr>
        <w:t>Grassland with woody biomass</w:t>
      </w:r>
      <w:r w:rsidRPr="001D5327">
        <w:rPr>
          <w:spacing w:val="-2"/>
        </w:rPr>
        <w:t xml:space="preserve">. Conversions from </w:t>
      </w:r>
      <w:r w:rsidRPr="001D5327">
        <w:rPr>
          <w:i/>
          <w:iCs/>
          <w:spacing w:val="-2"/>
        </w:rPr>
        <w:t>Grassland with woody biomass</w:t>
      </w:r>
      <w:r w:rsidRPr="001D5327">
        <w:rPr>
          <w:spacing w:val="-2"/>
        </w:rPr>
        <w:t xml:space="preserve"> to post-1989 natural forest represent ecological succession and do not involve the clearance of vegetation. A special case yield table (see </w:t>
      </w:r>
      <w:r w:rsidRPr="001D5327">
        <w:rPr>
          <w:rFonts w:asciiTheme="minorHAnsi" w:hAnsiTheme="minorHAnsi" w:cstheme="minorHAnsi"/>
        </w:rPr>
        <w:t>annex 5, section A5.2.</w:t>
      </w:r>
      <w:r w:rsidRPr="001D5327" w:rsidDel="002D24D7">
        <w:rPr>
          <w:rFonts w:asciiTheme="minorHAnsi" w:hAnsiTheme="minorHAnsi" w:cstheme="minorHAnsi"/>
        </w:rPr>
        <w:t>5</w:t>
      </w:r>
      <w:r w:rsidRPr="001D5327">
        <w:rPr>
          <w:rFonts w:asciiTheme="minorHAnsi" w:hAnsiTheme="minorHAnsi" w:cstheme="minorHAnsi"/>
        </w:rPr>
        <w:t xml:space="preserve">, </w:t>
      </w:r>
      <w:r w:rsidRPr="001D5327">
        <w:rPr>
          <w:spacing w:val="-2"/>
        </w:rPr>
        <w:t>table A5.2.18) is used in these instances. This yield table has the same starting carbon stock as </w:t>
      </w:r>
      <w:r w:rsidRPr="001D5327">
        <w:rPr>
          <w:i/>
          <w:iCs/>
          <w:spacing w:val="-2"/>
        </w:rPr>
        <w:t>Grassland with woody biomass</w:t>
      </w:r>
      <w:r w:rsidRPr="001D5327">
        <w:rPr>
          <w:spacing w:val="-2"/>
        </w:rPr>
        <w:t xml:space="preserve">, therefore resulting in no net emissions occurring from biomass in the first year after conversion. This does not affect net </w:t>
      </w:r>
      <w:r w:rsidRPr="001D5327">
        <w:t>CO</w:t>
      </w:r>
      <w:r w:rsidRPr="001D5327">
        <w:rPr>
          <w:vertAlign w:val="subscript"/>
        </w:rPr>
        <w:t>2</w:t>
      </w:r>
      <w:r w:rsidRPr="001D5327">
        <w:rPr>
          <w:spacing w:val="-2"/>
        </w:rPr>
        <w:t xml:space="preserve"> removals by the time the forest reaches the age of 30 years, but affects the year in which reported emissions and removals occur. </w:t>
      </w:r>
    </w:p>
    <w:p w14:paraId="4A691B4D" w14:textId="2DC260B1" w:rsidR="00E0181F" w:rsidRPr="001D5327" w:rsidRDefault="00E0181F" w:rsidP="00E0181F">
      <w:pPr>
        <w:pStyle w:val="BodyText"/>
        <w:spacing w:before="100" w:after="100"/>
      </w:pPr>
      <w:r w:rsidRPr="001D5327">
        <w:rPr>
          <w:rFonts w:asciiTheme="minorHAnsi" w:hAnsiTheme="minorHAnsi" w:cstheme="minorHAnsi"/>
        </w:rPr>
        <w:t xml:space="preserve">Of the non-forest land converted to post-1989 forest between 1990 and 2023, approximately 54.9 per cent has been converted from </w:t>
      </w:r>
      <w:r w:rsidRPr="001D5327">
        <w:rPr>
          <w:rFonts w:asciiTheme="minorHAnsi" w:hAnsiTheme="minorHAnsi" w:cstheme="minorHAnsi"/>
          <w:i/>
          <w:iCs/>
        </w:rPr>
        <w:t>Low producing grassland</w:t>
      </w:r>
      <w:r w:rsidRPr="001D5327">
        <w:rPr>
          <w:rFonts w:asciiTheme="minorHAnsi" w:hAnsiTheme="minorHAnsi" w:cstheme="minorHAnsi"/>
        </w:rPr>
        <w:t xml:space="preserve">, 19.1 per cent from </w:t>
      </w:r>
      <w:r w:rsidRPr="001D5327">
        <w:rPr>
          <w:rFonts w:asciiTheme="minorHAnsi" w:hAnsiTheme="minorHAnsi" w:cstheme="minorHAnsi"/>
          <w:i/>
          <w:iCs/>
        </w:rPr>
        <w:t>Grassland with woody biomass</w:t>
      </w:r>
      <w:r w:rsidRPr="001D5327">
        <w:rPr>
          <w:rFonts w:asciiTheme="minorHAnsi" w:hAnsiTheme="minorHAnsi" w:cstheme="minorHAnsi"/>
        </w:rPr>
        <w:t xml:space="preserve"> and a further 25.4 per cent from </w:t>
      </w:r>
      <w:r w:rsidRPr="001D5327">
        <w:rPr>
          <w:rFonts w:asciiTheme="minorHAnsi" w:hAnsiTheme="minorHAnsi" w:cstheme="minorHAnsi"/>
          <w:i/>
          <w:iCs/>
        </w:rPr>
        <w:t>High producing grassland</w:t>
      </w:r>
      <w:r w:rsidRPr="001D5327">
        <w:rPr>
          <w:rFonts w:asciiTheme="minorHAnsi" w:hAnsiTheme="minorHAnsi" w:cstheme="minorHAnsi"/>
        </w:rPr>
        <w:t xml:space="preserve">. </w:t>
      </w:r>
      <w:r w:rsidRPr="001D5327">
        <w:rPr>
          <w:spacing w:val="-2"/>
        </w:rPr>
        <w:t>Note that the</w:t>
      </w:r>
      <w:r w:rsidR="00E561CA" w:rsidRPr="001D5327">
        <w:rPr>
          <w:spacing w:val="-2"/>
        </w:rPr>
        <w:t> </w:t>
      </w:r>
      <w:r w:rsidRPr="001D5327">
        <w:rPr>
          <w:spacing w:val="-2"/>
        </w:rPr>
        <w:t xml:space="preserve">grassland type allocated to afforestation in non-mapped years is proportionally based on previously mapped years. </w:t>
      </w:r>
      <w:r w:rsidRPr="001D5327">
        <w:rPr>
          <w:i/>
          <w:iCs/>
          <w:spacing w:val="-2"/>
        </w:rPr>
        <w:t>Grassland with woody biomass</w:t>
      </w:r>
      <w:r w:rsidRPr="001D5327">
        <w:rPr>
          <w:spacing w:val="-2"/>
        </w:rPr>
        <w:t xml:space="preserve"> provides the largest source of emissions associated with land-use change to planted forest, due to the amount of biomass present before land use conversion. </w:t>
      </w:r>
    </w:p>
    <w:p w14:paraId="3D49289F" w14:textId="77777777" w:rsidR="00E0181F" w:rsidRPr="001D5327" w:rsidRDefault="00E0181F" w:rsidP="00E0181F">
      <w:pPr>
        <w:pStyle w:val="BodyText"/>
        <w:spacing w:before="100" w:after="100"/>
      </w:pPr>
      <w:r w:rsidRPr="001D5327">
        <w:t>Details on the methods, plot network, sampling framework and biomass pools for both post</w:t>
      </w:r>
      <w:r w:rsidRPr="001D5327">
        <w:noBreakHyphen/>
        <w:t xml:space="preserve">1989 planted and post-1989 natural forest are provided in annex 5, section A5.2.5 ‘National forest inventory’. </w:t>
      </w:r>
    </w:p>
    <w:p w14:paraId="3AA838D3" w14:textId="77777777" w:rsidR="00E0181F" w:rsidRPr="001D5327" w:rsidRDefault="00E0181F" w:rsidP="00E0181F">
      <w:pPr>
        <w:pStyle w:val="Heading3"/>
      </w:pPr>
      <w:bookmarkStart w:id="1976" w:name="_Toc255466354"/>
      <w:bookmarkStart w:id="1977" w:name="_Toc261513161"/>
      <w:bookmarkStart w:id="1978" w:name="_Toc261513774"/>
      <w:bookmarkStart w:id="1979" w:name="_Toc280630254"/>
      <w:bookmarkStart w:id="1980" w:name="_Toc373395713"/>
      <w:r w:rsidRPr="001D5327">
        <w:lastRenderedPageBreak/>
        <w:t>6</w:t>
      </w:r>
      <w:bookmarkStart w:id="1981" w:name="_Hlk73363629"/>
      <w:r w:rsidRPr="001D5327">
        <w:t>.4.3</w:t>
      </w:r>
      <w:r w:rsidRPr="001D5327">
        <w:tab/>
        <w:t>Uncertainty assessment and time-series consistency</w:t>
      </w:r>
      <w:bookmarkEnd w:id="1976"/>
      <w:bookmarkEnd w:id="1977"/>
      <w:bookmarkEnd w:id="1978"/>
      <w:bookmarkEnd w:id="1979"/>
      <w:bookmarkEnd w:id="1980"/>
    </w:p>
    <w:p w14:paraId="6298C10E" w14:textId="77777777" w:rsidR="00E0181F" w:rsidRPr="001D5327" w:rsidRDefault="00E0181F" w:rsidP="00E0181F">
      <w:pPr>
        <w:pStyle w:val="BodyText"/>
      </w:pPr>
      <w:r w:rsidRPr="001D5327">
        <w:t xml:space="preserve">The uncertainty in net carbon emissions from </w:t>
      </w:r>
      <w:r w:rsidRPr="001D5327">
        <w:rPr>
          <w:i/>
          <w:iCs/>
        </w:rPr>
        <w:t>Forest land</w:t>
      </w:r>
      <w:r w:rsidRPr="001D5327">
        <w:t xml:space="preserve"> was 62.3 per cent in 2023. The uncertainty in net carbon emissions from </w:t>
      </w:r>
      <w:r w:rsidRPr="001D5327">
        <w:rPr>
          <w:i/>
        </w:rPr>
        <w:t>Forest land</w:t>
      </w:r>
      <w:r w:rsidRPr="001D5327">
        <w:t xml:space="preserve"> accounted for 57.1 per cent of the total uncertainty in emissions from the LULUCF sector. The uncertainty associated with the emissions from each forest class is shown in table 6.4.9. The methods used to calculate the uncertainty are further described in annex 5, section A5.2.8. </w:t>
      </w:r>
    </w:p>
    <w:p w14:paraId="19331E17" w14:textId="77777777" w:rsidR="00E0181F" w:rsidRPr="001D5327" w:rsidRDefault="00E0181F" w:rsidP="00E0181F">
      <w:pPr>
        <w:pStyle w:val="BodyText"/>
      </w:pPr>
      <w:r w:rsidRPr="001D5327">
        <w:t xml:space="preserve">Time-series consistency is ensured by applying consistent methods and full recalculations in the event of any refinement or improvement to the methodology. </w:t>
      </w:r>
    </w:p>
    <w:p w14:paraId="59161053" w14:textId="77777777" w:rsidR="00E0181F" w:rsidRPr="001D5327" w:rsidRDefault="00E0181F" w:rsidP="00E0181F">
      <w:pPr>
        <w:pStyle w:val="Table"/>
      </w:pPr>
      <w:bookmarkStart w:id="1982" w:name="_Toc131591399"/>
      <w:bookmarkStart w:id="1983" w:name="_Toc158979957"/>
      <w:bookmarkStart w:id="1984" w:name="_Toc164153890"/>
      <w:bookmarkStart w:id="1985" w:name="_Toc190873124"/>
      <w:bookmarkStart w:id="1986" w:name="_Toc194241763"/>
      <w:r w:rsidRPr="001D5327">
        <w:t>Table 6.4.9</w:t>
      </w:r>
      <w:r w:rsidRPr="001D5327">
        <w:tab/>
        <w:t xml:space="preserve">Uncertainty in carbon stock change emissions in 2023 from </w:t>
      </w:r>
      <w:r w:rsidRPr="001D5327">
        <w:rPr>
          <w:i/>
        </w:rPr>
        <w:t>Forest land</w:t>
      </w:r>
      <w:bookmarkEnd w:id="1982"/>
      <w:bookmarkEnd w:id="1983"/>
      <w:bookmarkEnd w:id="1984"/>
      <w:bookmarkEnd w:id="1985"/>
      <w:bookmarkEnd w:id="1986"/>
    </w:p>
    <w:tbl>
      <w:tblPr>
        <w:tblW w:w="8505" w:type="dxa"/>
        <w:tblLayout w:type="fixed"/>
        <w:tblLook w:val="04A0" w:firstRow="1" w:lastRow="0" w:firstColumn="1" w:lastColumn="0" w:noHBand="0" w:noVBand="1"/>
      </w:tblPr>
      <w:tblGrid>
        <w:gridCol w:w="1985"/>
        <w:gridCol w:w="1559"/>
        <w:gridCol w:w="2126"/>
        <w:gridCol w:w="2835"/>
      </w:tblGrid>
      <w:tr w:rsidR="00E0181F" w:rsidRPr="001D5327" w14:paraId="1F330396" w14:textId="77777777" w:rsidTr="00D11AC9">
        <w:tc>
          <w:tcPr>
            <w:tcW w:w="1985" w:type="dxa"/>
            <w:tcBorders>
              <w:top w:val="single" w:sz="4" w:space="0" w:color="1B556B" w:themeColor="text2"/>
            </w:tcBorders>
            <w:shd w:val="clear" w:color="auto" w:fill="1B556B" w:themeFill="text2"/>
            <w:vAlign w:val="bottom"/>
          </w:tcPr>
          <w:p w14:paraId="3E7D344B" w14:textId="77777777" w:rsidR="00E0181F" w:rsidRPr="001D5327" w:rsidRDefault="00E0181F" w:rsidP="00D11AC9">
            <w:pPr>
              <w:pStyle w:val="TableTextBold"/>
              <w:spacing w:before="50" w:after="50"/>
              <w:rPr>
                <w:noProof w:val="0"/>
                <w:color w:val="FFFFFF"/>
                <w:szCs w:val="16"/>
              </w:rPr>
            </w:pPr>
          </w:p>
        </w:tc>
        <w:tc>
          <w:tcPr>
            <w:tcW w:w="1559" w:type="dxa"/>
            <w:tcBorders>
              <w:top w:val="single" w:sz="4" w:space="0" w:color="1B556B" w:themeColor="text2"/>
            </w:tcBorders>
            <w:shd w:val="clear" w:color="auto" w:fill="1B556B" w:themeFill="text2"/>
            <w:vAlign w:val="bottom"/>
          </w:tcPr>
          <w:p w14:paraId="644BE98D" w14:textId="77777777" w:rsidR="00E0181F" w:rsidRPr="001D5327" w:rsidRDefault="00E0181F" w:rsidP="00D11AC9">
            <w:pPr>
              <w:pStyle w:val="TableTextBold"/>
              <w:spacing w:before="50" w:after="50"/>
              <w:jc w:val="right"/>
              <w:rPr>
                <w:noProof w:val="0"/>
                <w:color w:val="FFFFFF"/>
                <w:szCs w:val="16"/>
              </w:rPr>
            </w:pPr>
            <w:r w:rsidRPr="001D5327">
              <w:rPr>
                <w:noProof w:val="0"/>
                <w:color w:val="FFFFFF"/>
                <w:szCs w:val="16"/>
              </w:rPr>
              <w:t>Emissions (kt CO</w:t>
            </w:r>
            <w:r w:rsidRPr="001D5327">
              <w:rPr>
                <w:noProof w:val="0"/>
                <w:color w:val="FFFFFF"/>
                <w:szCs w:val="16"/>
                <w:vertAlign w:val="subscript"/>
              </w:rPr>
              <w:t>2</w:t>
            </w:r>
            <w:r w:rsidRPr="001D5327">
              <w:rPr>
                <w:noProof w:val="0"/>
                <w:color w:val="FFFFFF" w:themeColor="background1"/>
                <w:szCs w:val="16"/>
              </w:rPr>
              <w:t>-</w:t>
            </w:r>
            <w:r w:rsidRPr="001D5327">
              <w:rPr>
                <w:noProof w:val="0"/>
                <w:color w:val="FFFFFF"/>
                <w:szCs w:val="16"/>
              </w:rPr>
              <w:t>e)</w:t>
            </w:r>
          </w:p>
        </w:tc>
        <w:tc>
          <w:tcPr>
            <w:tcW w:w="2126" w:type="dxa"/>
            <w:tcBorders>
              <w:top w:val="single" w:sz="4" w:space="0" w:color="1B556B" w:themeColor="text2"/>
            </w:tcBorders>
            <w:shd w:val="clear" w:color="auto" w:fill="1B556B" w:themeFill="text2"/>
            <w:vAlign w:val="bottom"/>
          </w:tcPr>
          <w:p w14:paraId="4F4BAAED" w14:textId="77777777" w:rsidR="00E0181F" w:rsidRPr="001D5327" w:rsidRDefault="00E0181F" w:rsidP="00D11AC9">
            <w:pPr>
              <w:pStyle w:val="TableTextBold"/>
              <w:spacing w:before="50" w:after="50"/>
              <w:jc w:val="right"/>
              <w:rPr>
                <w:noProof w:val="0"/>
                <w:color w:val="FFFFFF"/>
                <w:szCs w:val="16"/>
              </w:rPr>
            </w:pPr>
            <w:r w:rsidRPr="001D5327">
              <w:rPr>
                <w:noProof w:val="0"/>
                <w:color w:val="FFFFFF"/>
                <w:szCs w:val="16"/>
              </w:rPr>
              <w:t>Uncertainty in emissions (%)</w:t>
            </w:r>
          </w:p>
        </w:tc>
        <w:tc>
          <w:tcPr>
            <w:tcW w:w="2835" w:type="dxa"/>
            <w:tcBorders>
              <w:top w:val="single" w:sz="4" w:space="0" w:color="1B556B" w:themeColor="text2"/>
            </w:tcBorders>
            <w:shd w:val="clear" w:color="auto" w:fill="1B556B" w:themeFill="text2"/>
            <w:vAlign w:val="bottom"/>
          </w:tcPr>
          <w:p w14:paraId="24E924BC" w14:textId="77777777" w:rsidR="00E0181F" w:rsidRPr="001D5327" w:rsidRDefault="00E0181F" w:rsidP="00D11AC9">
            <w:pPr>
              <w:pStyle w:val="TableTextBold"/>
              <w:spacing w:before="50" w:after="50"/>
              <w:jc w:val="right"/>
              <w:rPr>
                <w:noProof w:val="0"/>
                <w:color w:val="FFFFFF"/>
                <w:szCs w:val="16"/>
              </w:rPr>
            </w:pPr>
            <w:r w:rsidRPr="001D5327">
              <w:rPr>
                <w:noProof w:val="0"/>
                <w:color w:val="FFFFFF"/>
                <w:szCs w:val="16"/>
              </w:rPr>
              <w:t>Contribution to LULUCF uncertainty (%)</w:t>
            </w:r>
          </w:p>
        </w:tc>
      </w:tr>
      <w:tr w:rsidR="00E0181F" w:rsidRPr="001D5327" w14:paraId="50DCA8DD" w14:textId="77777777" w:rsidTr="00D11AC9">
        <w:tc>
          <w:tcPr>
            <w:tcW w:w="1985" w:type="dxa"/>
            <w:tcBorders>
              <w:top w:val="single" w:sz="4" w:space="0" w:color="1B556B" w:themeColor="text2"/>
              <w:bottom w:val="single" w:sz="4" w:space="0" w:color="365F91"/>
            </w:tcBorders>
            <w:vAlign w:val="bottom"/>
          </w:tcPr>
          <w:p w14:paraId="031D4951" w14:textId="77777777" w:rsidR="00E0181F" w:rsidRPr="001D5327" w:rsidRDefault="00E0181F" w:rsidP="00D11AC9">
            <w:pPr>
              <w:pStyle w:val="TableText"/>
              <w:spacing w:before="50" w:after="50"/>
              <w:rPr>
                <w:szCs w:val="16"/>
              </w:rPr>
            </w:pPr>
            <w:r w:rsidRPr="001D5327">
              <w:rPr>
                <w:rFonts w:cs="Calibri"/>
                <w:color w:val="000000"/>
                <w:szCs w:val="16"/>
              </w:rPr>
              <w:t>Pre-1990 planted forest</w:t>
            </w:r>
          </w:p>
        </w:tc>
        <w:tc>
          <w:tcPr>
            <w:tcW w:w="1559" w:type="dxa"/>
            <w:tcBorders>
              <w:top w:val="single" w:sz="4" w:space="0" w:color="1B556B" w:themeColor="text2"/>
              <w:bottom w:val="single" w:sz="4" w:space="0" w:color="365F91"/>
            </w:tcBorders>
            <w:vAlign w:val="bottom"/>
          </w:tcPr>
          <w:p w14:paraId="15926845" w14:textId="371DE706" w:rsidR="00E0181F" w:rsidRPr="001D5327" w:rsidRDefault="0070503C" w:rsidP="00D11AC9">
            <w:pPr>
              <w:pStyle w:val="TableText"/>
              <w:spacing w:before="50" w:after="50"/>
              <w:jc w:val="right"/>
              <w:rPr>
                <w:szCs w:val="16"/>
              </w:rPr>
            </w:pPr>
            <w:r>
              <w:rPr>
                <w:rFonts w:cs="Calibri"/>
                <w:color w:val="000000"/>
                <w:szCs w:val="16"/>
              </w:rPr>
              <w:t>-</w:t>
            </w:r>
            <w:r w:rsidR="00E0181F" w:rsidRPr="001D5327">
              <w:rPr>
                <w:rFonts w:cs="Calibri"/>
                <w:color w:val="000000"/>
                <w:szCs w:val="16"/>
              </w:rPr>
              <w:t>14,185.3</w:t>
            </w:r>
          </w:p>
        </w:tc>
        <w:tc>
          <w:tcPr>
            <w:tcW w:w="2126" w:type="dxa"/>
            <w:tcBorders>
              <w:top w:val="single" w:sz="4" w:space="0" w:color="1B556B" w:themeColor="text2"/>
              <w:bottom w:val="single" w:sz="4" w:space="0" w:color="365F91"/>
            </w:tcBorders>
            <w:vAlign w:val="bottom"/>
          </w:tcPr>
          <w:p w14:paraId="2CB6C941" w14:textId="77777777" w:rsidR="00E0181F" w:rsidRPr="001D5327" w:rsidRDefault="00E0181F" w:rsidP="00D11AC9">
            <w:pPr>
              <w:pStyle w:val="TableText"/>
              <w:spacing w:before="50" w:after="50"/>
              <w:jc w:val="right"/>
              <w:rPr>
                <w:rFonts w:cs="Segoe UI"/>
                <w:szCs w:val="16"/>
              </w:rPr>
            </w:pPr>
            <w:r w:rsidRPr="001D5327">
              <w:rPr>
                <w:rFonts w:cs="Calibri"/>
                <w:color w:val="000000"/>
                <w:szCs w:val="16"/>
              </w:rPr>
              <w:t>69.4</w:t>
            </w:r>
          </w:p>
        </w:tc>
        <w:tc>
          <w:tcPr>
            <w:tcW w:w="2835" w:type="dxa"/>
            <w:tcBorders>
              <w:top w:val="single" w:sz="4" w:space="0" w:color="1B556B" w:themeColor="text2"/>
              <w:bottom w:val="single" w:sz="4" w:space="0" w:color="365F91"/>
            </w:tcBorders>
            <w:vAlign w:val="bottom"/>
          </w:tcPr>
          <w:p w14:paraId="7B539734" w14:textId="77777777" w:rsidR="00E0181F" w:rsidRPr="001D5327" w:rsidRDefault="00E0181F" w:rsidP="00D11AC9">
            <w:pPr>
              <w:pStyle w:val="TableText"/>
              <w:spacing w:before="50" w:after="50"/>
              <w:jc w:val="right"/>
              <w:rPr>
                <w:rFonts w:cs="Segoe UI"/>
                <w:szCs w:val="16"/>
              </w:rPr>
            </w:pPr>
            <w:r w:rsidRPr="001D5327">
              <w:rPr>
                <w:rFonts w:cs="Calibri"/>
                <w:color w:val="000000"/>
                <w:szCs w:val="16"/>
              </w:rPr>
              <w:t>48.8</w:t>
            </w:r>
          </w:p>
        </w:tc>
      </w:tr>
      <w:tr w:rsidR="00E0181F" w:rsidRPr="001D5327" w14:paraId="36B304C3" w14:textId="77777777" w:rsidTr="00D11AC9">
        <w:tc>
          <w:tcPr>
            <w:tcW w:w="1985" w:type="dxa"/>
            <w:tcBorders>
              <w:top w:val="single" w:sz="4" w:space="0" w:color="365F91"/>
              <w:bottom w:val="single" w:sz="4" w:space="0" w:color="365F91"/>
            </w:tcBorders>
            <w:vAlign w:val="bottom"/>
          </w:tcPr>
          <w:p w14:paraId="3C47139B" w14:textId="77777777" w:rsidR="00E0181F" w:rsidRPr="001D5327" w:rsidRDefault="00E0181F" w:rsidP="00D11AC9">
            <w:pPr>
              <w:pStyle w:val="TableText"/>
              <w:spacing w:before="50" w:after="50"/>
              <w:rPr>
                <w:szCs w:val="16"/>
              </w:rPr>
            </w:pPr>
            <w:r w:rsidRPr="001D5327">
              <w:rPr>
                <w:rFonts w:cs="Calibri"/>
                <w:color w:val="000000"/>
                <w:szCs w:val="16"/>
              </w:rPr>
              <w:t>Post-1989 planted forest</w:t>
            </w:r>
          </w:p>
        </w:tc>
        <w:tc>
          <w:tcPr>
            <w:tcW w:w="1559" w:type="dxa"/>
            <w:tcBorders>
              <w:top w:val="single" w:sz="4" w:space="0" w:color="365F91"/>
              <w:bottom w:val="single" w:sz="4" w:space="0" w:color="365F91"/>
            </w:tcBorders>
            <w:vAlign w:val="bottom"/>
          </w:tcPr>
          <w:p w14:paraId="0DC7FBAD" w14:textId="2CD3CD84" w:rsidR="00E0181F" w:rsidRPr="001D5327" w:rsidRDefault="0070503C" w:rsidP="00D11AC9">
            <w:pPr>
              <w:pStyle w:val="TableText"/>
              <w:spacing w:before="50" w:after="50"/>
              <w:jc w:val="right"/>
              <w:rPr>
                <w:szCs w:val="16"/>
              </w:rPr>
            </w:pPr>
            <w:r>
              <w:rPr>
                <w:rFonts w:cs="Calibri"/>
                <w:color w:val="000000"/>
                <w:szCs w:val="16"/>
              </w:rPr>
              <w:t>-</w:t>
            </w:r>
            <w:r w:rsidR="00E0181F" w:rsidRPr="001D5327">
              <w:rPr>
                <w:rFonts w:cs="Calibri"/>
                <w:color w:val="000000"/>
                <w:szCs w:val="16"/>
              </w:rPr>
              <w:t>2,110.1</w:t>
            </w:r>
          </w:p>
        </w:tc>
        <w:tc>
          <w:tcPr>
            <w:tcW w:w="2126" w:type="dxa"/>
            <w:tcBorders>
              <w:top w:val="single" w:sz="4" w:space="0" w:color="365F91"/>
              <w:bottom w:val="single" w:sz="4" w:space="0" w:color="365F91"/>
            </w:tcBorders>
            <w:vAlign w:val="bottom"/>
          </w:tcPr>
          <w:p w14:paraId="4C0ED192" w14:textId="77777777" w:rsidR="00E0181F" w:rsidRPr="001D5327" w:rsidRDefault="00E0181F" w:rsidP="00D11AC9">
            <w:pPr>
              <w:pStyle w:val="TableText"/>
              <w:spacing w:before="50" w:after="50"/>
              <w:jc w:val="right"/>
              <w:rPr>
                <w:rFonts w:cs="Segoe UI"/>
                <w:szCs w:val="16"/>
              </w:rPr>
            </w:pPr>
            <w:r w:rsidRPr="001D5327">
              <w:rPr>
                <w:rFonts w:cs="Calibri"/>
                <w:color w:val="000000"/>
                <w:szCs w:val="16"/>
              </w:rPr>
              <w:t>225.9</w:t>
            </w:r>
          </w:p>
        </w:tc>
        <w:tc>
          <w:tcPr>
            <w:tcW w:w="2835" w:type="dxa"/>
            <w:tcBorders>
              <w:top w:val="single" w:sz="4" w:space="0" w:color="365F91"/>
              <w:bottom w:val="single" w:sz="4" w:space="0" w:color="365F91"/>
            </w:tcBorders>
            <w:vAlign w:val="bottom"/>
          </w:tcPr>
          <w:p w14:paraId="6F8AB0F1" w14:textId="77777777" w:rsidR="00E0181F" w:rsidRPr="001D5327" w:rsidRDefault="00E0181F" w:rsidP="00D11AC9">
            <w:pPr>
              <w:pStyle w:val="TableText"/>
              <w:spacing w:before="50" w:after="50"/>
              <w:jc w:val="right"/>
              <w:rPr>
                <w:rFonts w:cs="Segoe UI"/>
                <w:szCs w:val="16"/>
              </w:rPr>
            </w:pPr>
            <w:r w:rsidRPr="001D5327">
              <w:rPr>
                <w:rFonts w:cs="Calibri"/>
                <w:color w:val="000000"/>
                <w:szCs w:val="16"/>
              </w:rPr>
              <w:t>23.6</w:t>
            </w:r>
          </w:p>
        </w:tc>
      </w:tr>
      <w:tr w:rsidR="00E0181F" w:rsidRPr="001D5327" w14:paraId="7018E746" w14:textId="77777777" w:rsidTr="00D11AC9">
        <w:tc>
          <w:tcPr>
            <w:tcW w:w="1985" w:type="dxa"/>
            <w:tcBorders>
              <w:top w:val="single" w:sz="4" w:space="0" w:color="365F91"/>
              <w:bottom w:val="single" w:sz="4" w:space="0" w:color="365F91"/>
            </w:tcBorders>
            <w:vAlign w:val="bottom"/>
          </w:tcPr>
          <w:p w14:paraId="0CCA8662" w14:textId="77777777" w:rsidR="00E0181F" w:rsidRPr="001D5327" w:rsidRDefault="00E0181F" w:rsidP="00D11AC9">
            <w:pPr>
              <w:pStyle w:val="TableText"/>
              <w:spacing w:before="50" w:after="50"/>
              <w:rPr>
                <w:szCs w:val="16"/>
              </w:rPr>
            </w:pPr>
            <w:r w:rsidRPr="001D5327">
              <w:rPr>
                <w:rFonts w:cs="Calibri"/>
                <w:color w:val="000000"/>
                <w:szCs w:val="16"/>
              </w:rPr>
              <w:t>Pre-1990 natural forest</w:t>
            </w:r>
          </w:p>
        </w:tc>
        <w:tc>
          <w:tcPr>
            <w:tcW w:w="1559" w:type="dxa"/>
            <w:tcBorders>
              <w:top w:val="single" w:sz="4" w:space="0" w:color="365F91"/>
              <w:bottom w:val="single" w:sz="4" w:space="0" w:color="365F91"/>
            </w:tcBorders>
            <w:vAlign w:val="bottom"/>
          </w:tcPr>
          <w:p w14:paraId="50921366" w14:textId="4ECAAF5C" w:rsidR="00E0181F" w:rsidRPr="001D5327" w:rsidRDefault="0070503C" w:rsidP="00D11AC9">
            <w:pPr>
              <w:pStyle w:val="TableText"/>
              <w:spacing w:before="50" w:after="50"/>
              <w:jc w:val="right"/>
              <w:rPr>
                <w:szCs w:val="16"/>
              </w:rPr>
            </w:pPr>
            <w:r>
              <w:rPr>
                <w:rFonts w:cs="Calibri"/>
                <w:color w:val="000000"/>
                <w:szCs w:val="16"/>
              </w:rPr>
              <w:t>-</w:t>
            </w:r>
            <w:r w:rsidR="00E0181F" w:rsidRPr="001D5327">
              <w:rPr>
                <w:rFonts w:cs="Calibri"/>
                <w:color w:val="000000"/>
                <w:szCs w:val="16"/>
              </w:rPr>
              <w:t>1,438.3</w:t>
            </w:r>
          </w:p>
        </w:tc>
        <w:tc>
          <w:tcPr>
            <w:tcW w:w="2126" w:type="dxa"/>
            <w:tcBorders>
              <w:top w:val="single" w:sz="4" w:space="0" w:color="365F91"/>
              <w:bottom w:val="single" w:sz="4" w:space="0" w:color="365F91"/>
            </w:tcBorders>
            <w:vAlign w:val="bottom"/>
          </w:tcPr>
          <w:p w14:paraId="0EFF19EF" w14:textId="77777777" w:rsidR="00E0181F" w:rsidRPr="001D5327" w:rsidRDefault="00E0181F" w:rsidP="00D11AC9">
            <w:pPr>
              <w:pStyle w:val="TableText"/>
              <w:spacing w:before="50" w:after="50"/>
              <w:jc w:val="right"/>
              <w:rPr>
                <w:rFonts w:cs="Segoe UI"/>
                <w:szCs w:val="16"/>
              </w:rPr>
            </w:pPr>
            <w:r w:rsidRPr="001D5327">
              <w:rPr>
                <w:rFonts w:cs="Calibri"/>
                <w:color w:val="000000"/>
                <w:szCs w:val="16"/>
              </w:rPr>
              <w:t>250.4</w:t>
            </w:r>
          </w:p>
        </w:tc>
        <w:tc>
          <w:tcPr>
            <w:tcW w:w="2835" w:type="dxa"/>
            <w:tcBorders>
              <w:top w:val="single" w:sz="4" w:space="0" w:color="365F91"/>
              <w:bottom w:val="single" w:sz="4" w:space="0" w:color="365F91"/>
            </w:tcBorders>
            <w:vAlign w:val="bottom"/>
          </w:tcPr>
          <w:p w14:paraId="6B928C2F" w14:textId="77777777" w:rsidR="00E0181F" w:rsidRPr="001D5327" w:rsidRDefault="00E0181F" w:rsidP="00D11AC9">
            <w:pPr>
              <w:pStyle w:val="TableText"/>
              <w:spacing w:before="50" w:after="50"/>
              <w:jc w:val="right"/>
              <w:rPr>
                <w:rFonts w:cs="Segoe UI"/>
                <w:szCs w:val="16"/>
              </w:rPr>
            </w:pPr>
            <w:r w:rsidRPr="001D5327">
              <w:rPr>
                <w:rFonts w:cs="Calibri"/>
                <w:color w:val="000000"/>
                <w:szCs w:val="16"/>
              </w:rPr>
              <w:t>17.8</w:t>
            </w:r>
          </w:p>
        </w:tc>
      </w:tr>
      <w:tr w:rsidR="00E0181F" w:rsidRPr="001D5327" w14:paraId="31715D4F" w14:textId="77777777" w:rsidTr="00D11AC9">
        <w:tc>
          <w:tcPr>
            <w:tcW w:w="1985" w:type="dxa"/>
            <w:tcBorders>
              <w:top w:val="single" w:sz="4" w:space="0" w:color="365F91"/>
              <w:bottom w:val="single" w:sz="4" w:space="0" w:color="365F91"/>
            </w:tcBorders>
            <w:vAlign w:val="bottom"/>
          </w:tcPr>
          <w:p w14:paraId="066D608B" w14:textId="77777777" w:rsidR="00E0181F" w:rsidRPr="001D5327" w:rsidRDefault="00E0181F" w:rsidP="00D11AC9">
            <w:pPr>
              <w:pStyle w:val="TableText"/>
              <w:spacing w:before="50" w:after="50"/>
              <w:rPr>
                <w:szCs w:val="16"/>
              </w:rPr>
            </w:pPr>
            <w:r w:rsidRPr="001D5327">
              <w:rPr>
                <w:rFonts w:cs="Calibri"/>
                <w:color w:val="000000"/>
                <w:szCs w:val="16"/>
              </w:rPr>
              <w:t>Post-1989 natural forest</w:t>
            </w:r>
          </w:p>
        </w:tc>
        <w:tc>
          <w:tcPr>
            <w:tcW w:w="1559" w:type="dxa"/>
            <w:tcBorders>
              <w:top w:val="single" w:sz="4" w:space="0" w:color="365F91"/>
              <w:bottom w:val="single" w:sz="4" w:space="0" w:color="365F91"/>
            </w:tcBorders>
            <w:vAlign w:val="bottom"/>
          </w:tcPr>
          <w:p w14:paraId="2D1D6E91" w14:textId="7C4BF77A" w:rsidR="00E0181F" w:rsidRPr="001D5327" w:rsidRDefault="0070503C" w:rsidP="00D11AC9">
            <w:pPr>
              <w:pStyle w:val="TableText"/>
              <w:spacing w:before="50" w:after="50"/>
              <w:jc w:val="right"/>
              <w:rPr>
                <w:szCs w:val="16"/>
              </w:rPr>
            </w:pPr>
            <w:r>
              <w:rPr>
                <w:rFonts w:cs="Calibri"/>
                <w:color w:val="000000"/>
                <w:szCs w:val="16"/>
              </w:rPr>
              <w:t>-</w:t>
            </w:r>
            <w:r w:rsidR="00E0181F" w:rsidRPr="001D5327">
              <w:rPr>
                <w:rFonts w:cs="Calibri"/>
                <w:color w:val="000000"/>
                <w:szCs w:val="16"/>
              </w:rPr>
              <w:t>754.6</w:t>
            </w:r>
          </w:p>
        </w:tc>
        <w:tc>
          <w:tcPr>
            <w:tcW w:w="2126" w:type="dxa"/>
            <w:tcBorders>
              <w:top w:val="single" w:sz="4" w:space="0" w:color="365F91"/>
              <w:bottom w:val="single" w:sz="4" w:space="0" w:color="365F91"/>
            </w:tcBorders>
            <w:vAlign w:val="bottom"/>
          </w:tcPr>
          <w:p w14:paraId="5D2781BF" w14:textId="77777777" w:rsidR="00E0181F" w:rsidRPr="001D5327" w:rsidRDefault="00E0181F" w:rsidP="00D11AC9">
            <w:pPr>
              <w:pStyle w:val="TableText"/>
              <w:spacing w:before="50" w:after="50"/>
              <w:jc w:val="right"/>
              <w:rPr>
                <w:rFonts w:cs="Segoe UI"/>
                <w:szCs w:val="16"/>
              </w:rPr>
            </w:pPr>
            <w:r w:rsidRPr="001D5327">
              <w:rPr>
                <w:rFonts w:cs="Calibri"/>
                <w:color w:val="000000"/>
                <w:szCs w:val="16"/>
              </w:rPr>
              <w:t>35.4</w:t>
            </w:r>
          </w:p>
        </w:tc>
        <w:tc>
          <w:tcPr>
            <w:tcW w:w="2835" w:type="dxa"/>
            <w:tcBorders>
              <w:top w:val="single" w:sz="4" w:space="0" w:color="365F91"/>
              <w:bottom w:val="single" w:sz="4" w:space="0" w:color="365F91"/>
            </w:tcBorders>
            <w:vAlign w:val="bottom"/>
          </w:tcPr>
          <w:p w14:paraId="4FA96AC1" w14:textId="77777777" w:rsidR="00E0181F" w:rsidRPr="001D5327" w:rsidRDefault="00E0181F" w:rsidP="00D11AC9">
            <w:pPr>
              <w:pStyle w:val="TableText"/>
              <w:spacing w:before="50" w:after="50"/>
              <w:jc w:val="right"/>
              <w:rPr>
                <w:rFonts w:cs="Segoe UI"/>
                <w:szCs w:val="16"/>
              </w:rPr>
            </w:pPr>
            <w:r w:rsidRPr="001D5327">
              <w:rPr>
                <w:rFonts w:cs="Calibri"/>
                <w:color w:val="000000"/>
                <w:szCs w:val="16"/>
              </w:rPr>
              <w:t>1.3</w:t>
            </w:r>
          </w:p>
        </w:tc>
      </w:tr>
      <w:tr w:rsidR="00370700" w:rsidRPr="00370700" w14:paraId="49C349B2" w14:textId="77777777" w:rsidTr="00D11AC9">
        <w:tc>
          <w:tcPr>
            <w:tcW w:w="1985" w:type="dxa"/>
            <w:tcBorders>
              <w:top w:val="single" w:sz="4" w:space="0" w:color="365F91"/>
              <w:bottom w:val="single" w:sz="4" w:space="0" w:color="365F91"/>
            </w:tcBorders>
          </w:tcPr>
          <w:p w14:paraId="65156874" w14:textId="768EA2D5" w:rsidR="00E0181F" w:rsidRPr="00370700" w:rsidRDefault="00E0181F" w:rsidP="00FD533C">
            <w:pPr>
              <w:pStyle w:val="Tableboldblue"/>
              <w:spacing w:before="50" w:after="50"/>
              <w:rPr>
                <w:rFonts w:ascii="Arial Bold" w:hAnsi="Arial Bold" w:cs="Arial Bold"/>
                <w:szCs w:val="16"/>
              </w:rPr>
            </w:pPr>
            <w:r w:rsidRPr="00370700">
              <w:rPr>
                <w:szCs w:val="16"/>
              </w:rPr>
              <w:t>Total</w:t>
            </w:r>
          </w:p>
        </w:tc>
        <w:tc>
          <w:tcPr>
            <w:tcW w:w="1559" w:type="dxa"/>
            <w:tcBorders>
              <w:top w:val="single" w:sz="4" w:space="0" w:color="365F91"/>
              <w:bottom w:val="single" w:sz="4" w:space="0" w:color="365F91"/>
            </w:tcBorders>
            <w:vAlign w:val="bottom"/>
          </w:tcPr>
          <w:p w14:paraId="0155124C" w14:textId="11F1490D" w:rsidR="00E0181F" w:rsidRPr="00370700" w:rsidRDefault="0070503C" w:rsidP="00D11AC9">
            <w:pPr>
              <w:pStyle w:val="Tableboldblue"/>
              <w:spacing w:before="50" w:after="50"/>
              <w:jc w:val="right"/>
              <w:rPr>
                <w:rFonts w:cs="Calibri"/>
              </w:rPr>
            </w:pPr>
            <w:r w:rsidRPr="00370700">
              <w:rPr>
                <w:rFonts w:cs="Calibri"/>
                <w:szCs w:val="16"/>
              </w:rPr>
              <w:t>-</w:t>
            </w:r>
            <w:r w:rsidR="00E0181F" w:rsidRPr="00370700">
              <w:rPr>
                <w:rFonts w:cs="Calibri"/>
                <w:szCs w:val="16"/>
              </w:rPr>
              <w:t>18,488.3</w:t>
            </w:r>
          </w:p>
        </w:tc>
        <w:tc>
          <w:tcPr>
            <w:tcW w:w="2126" w:type="dxa"/>
            <w:tcBorders>
              <w:top w:val="single" w:sz="4" w:space="0" w:color="365F91"/>
              <w:bottom w:val="single" w:sz="4" w:space="0" w:color="365F91"/>
            </w:tcBorders>
            <w:vAlign w:val="bottom"/>
          </w:tcPr>
          <w:p w14:paraId="37AB8D28" w14:textId="77777777" w:rsidR="00E0181F" w:rsidRPr="00370700" w:rsidRDefault="00E0181F" w:rsidP="00D11AC9">
            <w:pPr>
              <w:pStyle w:val="Tableboldblue"/>
              <w:spacing w:before="50" w:after="50"/>
              <w:jc w:val="right"/>
              <w:rPr>
                <w:rFonts w:cs="Calibri"/>
              </w:rPr>
            </w:pPr>
            <w:r w:rsidRPr="00370700">
              <w:rPr>
                <w:rFonts w:cs="Calibri"/>
              </w:rPr>
              <w:t>62.3</w:t>
            </w:r>
          </w:p>
        </w:tc>
        <w:tc>
          <w:tcPr>
            <w:tcW w:w="2835" w:type="dxa"/>
            <w:tcBorders>
              <w:top w:val="single" w:sz="4" w:space="0" w:color="365F91"/>
              <w:bottom w:val="single" w:sz="4" w:space="0" w:color="365F91"/>
            </w:tcBorders>
            <w:vAlign w:val="bottom"/>
          </w:tcPr>
          <w:p w14:paraId="4B52FD11" w14:textId="77777777" w:rsidR="00E0181F" w:rsidRPr="00370700" w:rsidRDefault="00E0181F" w:rsidP="00D11AC9">
            <w:pPr>
              <w:pStyle w:val="Tableboldblue"/>
              <w:spacing w:before="50" w:after="50"/>
              <w:jc w:val="right"/>
              <w:rPr>
                <w:rFonts w:cs="Calibri"/>
              </w:rPr>
            </w:pPr>
            <w:r w:rsidRPr="00370700">
              <w:rPr>
                <w:rFonts w:cs="Calibri"/>
              </w:rPr>
              <w:t>57.1</w:t>
            </w:r>
          </w:p>
        </w:tc>
      </w:tr>
    </w:tbl>
    <w:p w14:paraId="63EF074E" w14:textId="77777777" w:rsidR="00E0181F" w:rsidRPr="001D5327" w:rsidRDefault="00E0181F" w:rsidP="00E0181F">
      <w:pPr>
        <w:pStyle w:val="Heading3"/>
        <w:spacing w:before="400"/>
      </w:pPr>
      <w:bookmarkStart w:id="1987" w:name="_Toc255466360"/>
      <w:bookmarkStart w:id="1988" w:name="_Toc261513167"/>
      <w:bookmarkStart w:id="1989" w:name="_Toc261513780"/>
      <w:bookmarkStart w:id="1990" w:name="_Toc280630258"/>
      <w:bookmarkStart w:id="1991" w:name="_Toc373395714"/>
      <w:bookmarkEnd w:id="1981"/>
      <w:r w:rsidRPr="001D5327">
        <w:t>6.4.4</w:t>
      </w:r>
      <w:r w:rsidRPr="001D5327">
        <w:tab/>
        <w:t>Category-specific QA/QC and verification</w:t>
      </w:r>
      <w:bookmarkEnd w:id="1987"/>
      <w:bookmarkEnd w:id="1988"/>
      <w:bookmarkEnd w:id="1989"/>
      <w:bookmarkEnd w:id="1990"/>
      <w:bookmarkEnd w:id="1991"/>
    </w:p>
    <w:p w14:paraId="63F82CC7" w14:textId="77777777" w:rsidR="00E0181F" w:rsidRPr="001D5327" w:rsidRDefault="00E0181F" w:rsidP="00E0181F">
      <w:pPr>
        <w:pStyle w:val="BodyText"/>
      </w:pPr>
      <w:r w:rsidRPr="001D5327">
        <w:t xml:space="preserve">Carbon dioxide emissions from both </w:t>
      </w:r>
      <w:r w:rsidRPr="001D5327">
        <w:rPr>
          <w:i/>
        </w:rPr>
        <w:t>Forest land remaining forest land</w:t>
      </w:r>
      <w:r w:rsidRPr="001D5327">
        <w:t xml:space="preserve"> and </w:t>
      </w:r>
      <w:r w:rsidRPr="001D5327">
        <w:rPr>
          <w:i/>
        </w:rPr>
        <w:t xml:space="preserve">Land converted to forest land </w:t>
      </w:r>
      <w:r w:rsidRPr="001D5327">
        <w:t>are key categories for both level and trend assessments. In the preparation of this inventory, the data for these emissions underwent Tier 1 QA and QC checks as well as Tier 2 category-specific QA and QC checks. Details of these checks are provided in annex 5, section A5.2.5 ‘National forest inventory’.</w:t>
      </w:r>
    </w:p>
    <w:p w14:paraId="42DAA848" w14:textId="77777777" w:rsidR="00E0181F" w:rsidRPr="001D5327" w:rsidRDefault="00E0181F" w:rsidP="00E0181F">
      <w:pPr>
        <w:pStyle w:val="Heading3"/>
        <w:spacing w:before="280"/>
      </w:pPr>
      <w:r w:rsidRPr="001D5327">
        <w:t>6.4.5</w:t>
      </w:r>
      <w:r w:rsidRPr="001D5327">
        <w:tab/>
        <w:t>Category-specific recalculations</w:t>
      </w:r>
    </w:p>
    <w:p w14:paraId="5976B1C3" w14:textId="77777777" w:rsidR="00E0181F" w:rsidRPr="001D5327" w:rsidRDefault="00E0181F" w:rsidP="00E0181F">
      <w:pPr>
        <w:pStyle w:val="BodyText"/>
      </w:pPr>
      <w:r w:rsidRPr="001D5327">
        <w:t xml:space="preserve">In this submission, New Zealand has recalculated its emission estimates for the whole LULUCF sector from 1990, including the </w:t>
      </w:r>
      <w:r w:rsidRPr="001D5327">
        <w:rPr>
          <w:i/>
        </w:rPr>
        <w:t>Forest land</w:t>
      </w:r>
      <w:r w:rsidRPr="001D5327">
        <w:t xml:space="preserve"> category. These recalculations used improved activity data, incorporating minor updates to the 2020 land use map. The impact of the recalculations on net CO</w:t>
      </w:r>
      <w:r w:rsidRPr="001D5327">
        <w:rPr>
          <w:vertAlign w:val="subscript"/>
        </w:rPr>
        <w:t>2</w:t>
      </w:r>
      <w:r w:rsidRPr="001D5327">
        <w:t xml:space="preserve">-e emission estimates for the </w:t>
      </w:r>
      <w:r w:rsidRPr="001D5327">
        <w:rPr>
          <w:i/>
        </w:rPr>
        <w:t>Forest land</w:t>
      </w:r>
      <w:r w:rsidRPr="001D5327">
        <w:t xml:space="preserve"> category is provided in table 6.4.10. The differences shown are a result of recalculations for all carbon pools required in reporting for </w:t>
      </w:r>
      <w:r w:rsidRPr="001D5327">
        <w:rPr>
          <w:i/>
          <w:iCs/>
        </w:rPr>
        <w:t>Forest land</w:t>
      </w:r>
      <w:r w:rsidRPr="001D5327">
        <w:t xml:space="preserve"> under the LULUCF sector. </w:t>
      </w:r>
    </w:p>
    <w:p w14:paraId="398E7D5A" w14:textId="77777777" w:rsidR="00E0181F" w:rsidRPr="001D5327" w:rsidRDefault="00E0181F" w:rsidP="00E0181F">
      <w:pPr>
        <w:pStyle w:val="Table"/>
      </w:pPr>
      <w:bookmarkStart w:id="1992" w:name="_Toc280630460"/>
      <w:bookmarkStart w:id="1993" w:name="_Toc310423413"/>
      <w:bookmarkStart w:id="1994" w:name="_Toc318362706"/>
      <w:bookmarkStart w:id="1995" w:name="_Toc342470768"/>
      <w:bookmarkStart w:id="1996" w:name="_Toc352505008"/>
      <w:bookmarkStart w:id="1997" w:name="_Toc373395733"/>
      <w:bookmarkStart w:id="1998" w:name="_Toc378853299"/>
      <w:bookmarkStart w:id="1999" w:name="_Toc391024097"/>
      <w:bookmarkStart w:id="2000" w:name="_Toc410028840"/>
      <w:bookmarkStart w:id="2001" w:name="_Toc414531468"/>
      <w:bookmarkStart w:id="2002" w:name="_Toc443645381"/>
      <w:bookmarkStart w:id="2003" w:name="_Toc474914600"/>
      <w:bookmarkStart w:id="2004" w:name="_Toc481751564"/>
      <w:bookmarkStart w:id="2005" w:name="_Toc522010621"/>
      <w:bookmarkStart w:id="2006" w:name="_Toc5269526"/>
      <w:bookmarkStart w:id="2007" w:name="_Toc33529400"/>
      <w:bookmarkStart w:id="2008" w:name="_Toc36224606"/>
      <w:bookmarkStart w:id="2009" w:name="_Toc131591400"/>
      <w:bookmarkStart w:id="2010" w:name="_Toc158979958"/>
      <w:bookmarkStart w:id="2011" w:name="_Toc164153891"/>
      <w:bookmarkStart w:id="2012" w:name="_Toc190873125"/>
      <w:bookmarkStart w:id="2013" w:name="_Toc194241764"/>
      <w:r w:rsidRPr="001D5327">
        <w:t xml:space="preserve">Table 6.4.10 </w:t>
      </w:r>
      <w:r w:rsidRPr="001D5327">
        <w:tab/>
        <w:t xml:space="preserve">Recalculations of New Zealand’s estimates for the </w:t>
      </w:r>
      <w:r w:rsidRPr="001D5327">
        <w:rPr>
          <w:i/>
        </w:rPr>
        <w:t>Forest land</w:t>
      </w:r>
      <w:r w:rsidRPr="001D5327">
        <w:t xml:space="preserve"> category in 1990 and</w:t>
      </w:r>
      <w:bookmarkEnd w:id="1992"/>
      <w:bookmarkEnd w:id="1993"/>
      <w:bookmarkEnd w:id="1994"/>
      <w:bookmarkEnd w:id="1995"/>
      <w:bookmarkEnd w:id="1996"/>
      <w:bookmarkEnd w:id="1997"/>
      <w:bookmarkEnd w:id="1998"/>
      <w:bookmarkEnd w:id="1999"/>
      <w:r w:rsidRPr="001D5327">
        <w:t> </w:t>
      </w:r>
      <w:bookmarkEnd w:id="2000"/>
      <w:bookmarkEnd w:id="2001"/>
      <w:bookmarkEnd w:id="2002"/>
      <w:bookmarkEnd w:id="2003"/>
      <w:bookmarkEnd w:id="2004"/>
      <w:bookmarkEnd w:id="2005"/>
      <w:bookmarkEnd w:id="2006"/>
      <w:bookmarkEnd w:id="2007"/>
      <w:bookmarkEnd w:id="2008"/>
      <w:bookmarkEnd w:id="2009"/>
      <w:bookmarkEnd w:id="2010"/>
      <w:bookmarkEnd w:id="2011"/>
      <w:r w:rsidRPr="001D5327">
        <w:t>2022</w:t>
      </w:r>
      <w:bookmarkEnd w:id="2012"/>
      <w:bookmarkEnd w:id="2013"/>
    </w:p>
    <w:tbl>
      <w:tblPr>
        <w:tblW w:w="8504"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980"/>
        <w:gridCol w:w="1422"/>
        <w:gridCol w:w="1560"/>
        <w:gridCol w:w="2404"/>
        <w:gridCol w:w="1138"/>
      </w:tblGrid>
      <w:tr w:rsidR="00E0181F" w:rsidRPr="001D5327" w14:paraId="3BAEC99E" w14:textId="77777777" w:rsidTr="00D11AC9">
        <w:trPr>
          <w:tblHeader/>
        </w:trPr>
        <w:tc>
          <w:tcPr>
            <w:tcW w:w="1980" w:type="dxa"/>
            <w:tcBorders>
              <w:bottom w:val="single" w:sz="4" w:space="0" w:color="1B556B"/>
            </w:tcBorders>
            <w:shd w:val="clear" w:color="auto" w:fill="1B556B"/>
            <w:tcMar>
              <w:top w:w="0" w:type="dxa"/>
              <w:left w:w="85" w:type="dxa"/>
              <w:bottom w:w="0" w:type="dxa"/>
              <w:right w:w="85" w:type="dxa"/>
            </w:tcMar>
            <w:vAlign w:val="bottom"/>
          </w:tcPr>
          <w:p w14:paraId="2A6BB4AC" w14:textId="77777777" w:rsidR="00E0181F" w:rsidRPr="001D5327" w:rsidRDefault="00E0181F" w:rsidP="00D11AC9">
            <w:pPr>
              <w:pStyle w:val="TableTextBold"/>
              <w:spacing w:before="40" w:after="40"/>
              <w:jc w:val="right"/>
              <w:rPr>
                <w:noProof w:val="0"/>
                <w:color w:val="FFFFFF" w:themeColor="background1"/>
              </w:rPr>
            </w:pPr>
          </w:p>
        </w:tc>
        <w:tc>
          <w:tcPr>
            <w:tcW w:w="1422" w:type="dxa"/>
            <w:tcBorders>
              <w:bottom w:val="single" w:sz="4" w:space="0" w:color="1B556B"/>
            </w:tcBorders>
            <w:shd w:val="clear" w:color="auto" w:fill="1B556B"/>
            <w:tcMar>
              <w:top w:w="0" w:type="dxa"/>
              <w:left w:w="85" w:type="dxa"/>
              <w:bottom w:w="0" w:type="dxa"/>
              <w:right w:w="85" w:type="dxa"/>
            </w:tcMar>
            <w:vAlign w:val="bottom"/>
          </w:tcPr>
          <w:p w14:paraId="00FEEF33"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2024 submission</w:t>
            </w:r>
          </w:p>
        </w:tc>
        <w:tc>
          <w:tcPr>
            <w:tcW w:w="1560" w:type="dxa"/>
            <w:tcBorders>
              <w:bottom w:val="single" w:sz="4" w:space="0" w:color="1B556B"/>
            </w:tcBorders>
            <w:shd w:val="clear" w:color="auto" w:fill="1B556B"/>
            <w:tcMar>
              <w:top w:w="0" w:type="dxa"/>
              <w:left w:w="85" w:type="dxa"/>
              <w:bottom w:w="0" w:type="dxa"/>
              <w:right w:w="85" w:type="dxa"/>
            </w:tcMar>
            <w:vAlign w:val="bottom"/>
          </w:tcPr>
          <w:p w14:paraId="4F2B1A4B"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2025 submission</w:t>
            </w:r>
          </w:p>
        </w:tc>
        <w:tc>
          <w:tcPr>
            <w:tcW w:w="2404" w:type="dxa"/>
            <w:tcBorders>
              <w:bottom w:val="single" w:sz="4" w:space="0" w:color="1B556B"/>
            </w:tcBorders>
            <w:shd w:val="clear" w:color="auto" w:fill="1B556B"/>
            <w:tcMar>
              <w:top w:w="0" w:type="dxa"/>
              <w:left w:w="85" w:type="dxa"/>
              <w:bottom w:w="0" w:type="dxa"/>
              <w:right w:w="85" w:type="dxa"/>
            </w:tcMar>
            <w:vAlign w:val="bottom"/>
          </w:tcPr>
          <w:p w14:paraId="439C93E0"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Change from 2024 submission</w:t>
            </w:r>
          </w:p>
        </w:tc>
        <w:tc>
          <w:tcPr>
            <w:tcW w:w="1138" w:type="dxa"/>
            <w:tcBorders>
              <w:bottom w:val="single" w:sz="4" w:space="0" w:color="1B556B"/>
            </w:tcBorders>
            <w:shd w:val="clear" w:color="auto" w:fill="1B556B"/>
            <w:tcMar>
              <w:top w:w="0" w:type="dxa"/>
              <w:left w:w="85" w:type="dxa"/>
              <w:bottom w:w="0" w:type="dxa"/>
              <w:right w:w="85" w:type="dxa"/>
            </w:tcMar>
            <w:vAlign w:val="bottom"/>
          </w:tcPr>
          <w:p w14:paraId="68E1DB81"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Change (%)</w:t>
            </w:r>
          </w:p>
        </w:tc>
      </w:tr>
      <w:tr w:rsidR="00E0181F" w:rsidRPr="001D5327" w14:paraId="6A6D2761" w14:textId="77777777" w:rsidTr="00D11AC9">
        <w:tc>
          <w:tcPr>
            <w:tcW w:w="1980" w:type="dxa"/>
            <w:tcBorders>
              <w:top w:val="single" w:sz="4" w:space="0" w:color="1B556B"/>
            </w:tcBorders>
            <w:shd w:val="clear" w:color="auto" w:fill="FFFFFF"/>
            <w:tcMar>
              <w:top w:w="0" w:type="dxa"/>
              <w:left w:w="85" w:type="dxa"/>
              <w:bottom w:w="0" w:type="dxa"/>
              <w:right w:w="85" w:type="dxa"/>
            </w:tcMar>
          </w:tcPr>
          <w:p w14:paraId="3B797F80" w14:textId="77777777" w:rsidR="00E0181F" w:rsidRPr="001D5327" w:rsidRDefault="00E0181F" w:rsidP="00D11AC9">
            <w:pPr>
              <w:pStyle w:val="Tableboldblue"/>
              <w:spacing w:before="40" w:after="40"/>
            </w:pPr>
            <w:r w:rsidRPr="001D5327">
              <w:rPr>
                <w:rFonts w:eastAsia="Calibri"/>
              </w:rPr>
              <w:t>Net emissions (kt CO</w:t>
            </w:r>
            <w:r w:rsidRPr="001D5327">
              <w:rPr>
                <w:rFonts w:eastAsia="Calibri"/>
                <w:vertAlign w:val="subscript"/>
              </w:rPr>
              <w:t>2</w:t>
            </w:r>
            <w:r w:rsidRPr="001D5327">
              <w:rPr>
                <w:rFonts w:eastAsia="Calibri"/>
              </w:rPr>
              <w:t>-e)</w:t>
            </w:r>
          </w:p>
        </w:tc>
        <w:tc>
          <w:tcPr>
            <w:tcW w:w="1422" w:type="dxa"/>
            <w:tcBorders>
              <w:top w:val="single" w:sz="4" w:space="0" w:color="1B556B"/>
            </w:tcBorders>
            <w:shd w:val="clear" w:color="auto" w:fill="FFFFFF"/>
            <w:tcMar>
              <w:top w:w="0" w:type="dxa"/>
              <w:left w:w="85" w:type="dxa"/>
              <w:bottom w:w="0" w:type="dxa"/>
              <w:right w:w="85" w:type="dxa"/>
            </w:tcMar>
          </w:tcPr>
          <w:p w14:paraId="3F1D27D1" w14:textId="77777777" w:rsidR="00E0181F" w:rsidRPr="001D5327" w:rsidRDefault="00E0181F" w:rsidP="00D11AC9">
            <w:pPr>
              <w:pStyle w:val="Tableboldblue"/>
              <w:spacing w:before="40" w:after="40"/>
              <w:jc w:val="right"/>
            </w:pPr>
          </w:p>
        </w:tc>
        <w:tc>
          <w:tcPr>
            <w:tcW w:w="1560" w:type="dxa"/>
            <w:tcBorders>
              <w:top w:val="single" w:sz="4" w:space="0" w:color="1B556B"/>
            </w:tcBorders>
            <w:shd w:val="clear" w:color="auto" w:fill="FFFFFF"/>
            <w:tcMar>
              <w:top w:w="0" w:type="dxa"/>
              <w:left w:w="85" w:type="dxa"/>
              <w:bottom w:w="0" w:type="dxa"/>
              <w:right w:w="85" w:type="dxa"/>
            </w:tcMar>
          </w:tcPr>
          <w:p w14:paraId="5C8D605B" w14:textId="77777777" w:rsidR="00E0181F" w:rsidRPr="001D5327" w:rsidRDefault="00E0181F" w:rsidP="00D11AC9">
            <w:pPr>
              <w:pStyle w:val="Tableboldblue"/>
              <w:spacing w:before="40" w:after="40"/>
              <w:jc w:val="right"/>
            </w:pPr>
          </w:p>
        </w:tc>
        <w:tc>
          <w:tcPr>
            <w:tcW w:w="2404" w:type="dxa"/>
            <w:tcBorders>
              <w:top w:val="single" w:sz="4" w:space="0" w:color="1B556B"/>
            </w:tcBorders>
            <w:shd w:val="clear" w:color="auto" w:fill="FFFFFF"/>
            <w:tcMar>
              <w:top w:w="0" w:type="dxa"/>
              <w:left w:w="85" w:type="dxa"/>
              <w:bottom w:w="0" w:type="dxa"/>
              <w:right w:w="85" w:type="dxa"/>
            </w:tcMar>
          </w:tcPr>
          <w:p w14:paraId="36B65E52" w14:textId="77777777" w:rsidR="00E0181F" w:rsidRPr="001D5327" w:rsidRDefault="00E0181F" w:rsidP="00D11AC9">
            <w:pPr>
              <w:pStyle w:val="Tableboldblue"/>
              <w:spacing w:before="40" w:after="40"/>
              <w:jc w:val="right"/>
            </w:pPr>
          </w:p>
        </w:tc>
        <w:tc>
          <w:tcPr>
            <w:tcW w:w="1138" w:type="dxa"/>
            <w:tcBorders>
              <w:top w:val="single" w:sz="4" w:space="0" w:color="1B556B"/>
            </w:tcBorders>
            <w:shd w:val="clear" w:color="auto" w:fill="FFFFFF"/>
            <w:tcMar>
              <w:top w:w="0" w:type="dxa"/>
              <w:left w:w="85" w:type="dxa"/>
              <w:bottom w:w="0" w:type="dxa"/>
              <w:right w:w="85" w:type="dxa"/>
            </w:tcMar>
          </w:tcPr>
          <w:p w14:paraId="0D4D52C6" w14:textId="77777777" w:rsidR="00E0181F" w:rsidRPr="001D5327" w:rsidRDefault="00E0181F" w:rsidP="00D11AC9">
            <w:pPr>
              <w:pStyle w:val="Tableboldblue"/>
              <w:spacing w:before="40" w:after="40"/>
              <w:jc w:val="right"/>
            </w:pPr>
          </w:p>
        </w:tc>
      </w:tr>
      <w:tr w:rsidR="00E0181F" w:rsidRPr="001D5327" w14:paraId="3090EFA3" w14:textId="77777777" w:rsidTr="00D11AC9">
        <w:tc>
          <w:tcPr>
            <w:tcW w:w="1980" w:type="dxa"/>
            <w:shd w:val="clear" w:color="auto" w:fill="FFFFFF"/>
            <w:tcMar>
              <w:top w:w="0" w:type="dxa"/>
              <w:left w:w="85" w:type="dxa"/>
              <w:bottom w:w="0" w:type="dxa"/>
              <w:right w:w="85" w:type="dxa"/>
            </w:tcMar>
          </w:tcPr>
          <w:p w14:paraId="788CAFF1" w14:textId="77777777" w:rsidR="00E0181F" w:rsidRPr="001D5327" w:rsidRDefault="00E0181F" w:rsidP="00D11AC9">
            <w:pPr>
              <w:pStyle w:val="TableText"/>
              <w:spacing w:before="40" w:after="40"/>
            </w:pPr>
            <w:r w:rsidRPr="001D5327">
              <w:rPr>
                <w:rFonts w:eastAsia="Calibri"/>
              </w:rPr>
              <w:t>1990</w:t>
            </w:r>
          </w:p>
        </w:tc>
        <w:tc>
          <w:tcPr>
            <w:tcW w:w="1422" w:type="dxa"/>
            <w:shd w:val="clear" w:color="auto" w:fill="FFFFFF"/>
            <w:tcMar>
              <w:top w:w="0" w:type="dxa"/>
              <w:left w:w="85" w:type="dxa"/>
              <w:bottom w:w="0" w:type="dxa"/>
              <w:right w:w="85" w:type="dxa"/>
            </w:tcMar>
          </w:tcPr>
          <w:p w14:paraId="4846AC7B" w14:textId="4D172D0D" w:rsidR="00E0181F" w:rsidRPr="001D5327" w:rsidRDefault="0070503C" w:rsidP="00D11AC9">
            <w:pPr>
              <w:pStyle w:val="TableText"/>
              <w:spacing w:before="40" w:after="40"/>
              <w:jc w:val="right"/>
            </w:pPr>
            <w:r>
              <w:rPr>
                <w:rFonts w:eastAsia="Calibri"/>
              </w:rPr>
              <w:t>-</w:t>
            </w:r>
            <w:r w:rsidR="00E0181F" w:rsidRPr="001D5327">
              <w:rPr>
                <w:rFonts w:eastAsia="Calibri"/>
              </w:rPr>
              <w:t>23,274.6</w:t>
            </w:r>
          </w:p>
        </w:tc>
        <w:tc>
          <w:tcPr>
            <w:tcW w:w="1560" w:type="dxa"/>
            <w:shd w:val="clear" w:color="auto" w:fill="FFFFFF"/>
            <w:tcMar>
              <w:top w:w="0" w:type="dxa"/>
              <w:left w:w="85" w:type="dxa"/>
              <w:bottom w:w="0" w:type="dxa"/>
              <w:right w:w="85" w:type="dxa"/>
            </w:tcMar>
          </w:tcPr>
          <w:p w14:paraId="5A53D54E" w14:textId="597D883D" w:rsidR="00E0181F" w:rsidRPr="001D5327" w:rsidRDefault="0070503C" w:rsidP="00D11AC9">
            <w:pPr>
              <w:pStyle w:val="TableText"/>
              <w:spacing w:before="40" w:after="40"/>
              <w:jc w:val="right"/>
            </w:pPr>
            <w:r>
              <w:rPr>
                <w:rFonts w:eastAsia="Calibri"/>
              </w:rPr>
              <w:t>-</w:t>
            </w:r>
            <w:r w:rsidR="00E0181F" w:rsidRPr="001D5327">
              <w:rPr>
                <w:rFonts w:eastAsia="Calibri"/>
              </w:rPr>
              <w:t>23,279.5</w:t>
            </w:r>
          </w:p>
        </w:tc>
        <w:tc>
          <w:tcPr>
            <w:tcW w:w="2404" w:type="dxa"/>
            <w:shd w:val="clear" w:color="auto" w:fill="FFFFFF"/>
            <w:tcMar>
              <w:top w:w="0" w:type="dxa"/>
              <w:left w:w="85" w:type="dxa"/>
              <w:bottom w:w="0" w:type="dxa"/>
              <w:right w:w="85" w:type="dxa"/>
            </w:tcMar>
          </w:tcPr>
          <w:p w14:paraId="5D2AFD62" w14:textId="22FA2E88" w:rsidR="00E0181F" w:rsidRPr="001D5327" w:rsidRDefault="0070503C" w:rsidP="00D11AC9">
            <w:pPr>
              <w:pStyle w:val="TableText"/>
              <w:spacing w:before="40" w:after="40"/>
              <w:jc w:val="right"/>
            </w:pPr>
            <w:r>
              <w:rPr>
                <w:rFonts w:eastAsia="Calibri"/>
              </w:rPr>
              <w:t>-</w:t>
            </w:r>
            <w:r w:rsidR="00E0181F" w:rsidRPr="001D5327">
              <w:rPr>
                <w:rFonts w:eastAsia="Calibri"/>
              </w:rPr>
              <w:t>4.8</w:t>
            </w:r>
          </w:p>
        </w:tc>
        <w:tc>
          <w:tcPr>
            <w:tcW w:w="1138" w:type="dxa"/>
            <w:shd w:val="clear" w:color="auto" w:fill="FFFFFF"/>
            <w:tcMar>
              <w:top w:w="0" w:type="dxa"/>
              <w:left w:w="85" w:type="dxa"/>
              <w:bottom w:w="0" w:type="dxa"/>
              <w:right w:w="85" w:type="dxa"/>
            </w:tcMar>
          </w:tcPr>
          <w:p w14:paraId="55476F98" w14:textId="5C8646A6" w:rsidR="00E0181F" w:rsidRPr="001D5327" w:rsidRDefault="0070503C" w:rsidP="00D11AC9">
            <w:pPr>
              <w:pStyle w:val="TableText"/>
              <w:spacing w:before="40" w:after="40"/>
              <w:jc w:val="right"/>
            </w:pPr>
            <w:r>
              <w:rPr>
                <w:rFonts w:eastAsia="Calibri"/>
              </w:rPr>
              <w:t>-</w:t>
            </w:r>
            <w:r w:rsidR="00E0181F" w:rsidRPr="001D5327">
              <w:rPr>
                <w:rFonts w:eastAsia="Calibri"/>
              </w:rPr>
              <w:t>0.0</w:t>
            </w:r>
          </w:p>
        </w:tc>
      </w:tr>
      <w:tr w:rsidR="00E0181F" w:rsidRPr="001D5327" w14:paraId="00902E7F" w14:textId="77777777" w:rsidTr="00D11AC9">
        <w:tc>
          <w:tcPr>
            <w:tcW w:w="1980" w:type="dxa"/>
            <w:shd w:val="clear" w:color="auto" w:fill="FFFFFF"/>
            <w:tcMar>
              <w:top w:w="0" w:type="dxa"/>
              <w:left w:w="85" w:type="dxa"/>
              <w:bottom w:w="0" w:type="dxa"/>
              <w:right w:w="85" w:type="dxa"/>
            </w:tcMar>
          </w:tcPr>
          <w:p w14:paraId="43461CC0" w14:textId="77777777" w:rsidR="00E0181F" w:rsidRPr="001D5327" w:rsidRDefault="00E0181F" w:rsidP="00D11AC9">
            <w:pPr>
              <w:pStyle w:val="TableText"/>
              <w:spacing w:before="40" w:after="40"/>
            </w:pPr>
            <w:r w:rsidRPr="001D5327">
              <w:rPr>
                <w:rFonts w:eastAsia="Calibri"/>
              </w:rPr>
              <w:t>2022</w:t>
            </w:r>
          </w:p>
        </w:tc>
        <w:tc>
          <w:tcPr>
            <w:tcW w:w="1422" w:type="dxa"/>
            <w:shd w:val="clear" w:color="auto" w:fill="FFFFFF"/>
            <w:tcMar>
              <w:top w:w="0" w:type="dxa"/>
              <w:left w:w="85" w:type="dxa"/>
              <w:bottom w:w="0" w:type="dxa"/>
              <w:right w:w="85" w:type="dxa"/>
            </w:tcMar>
          </w:tcPr>
          <w:p w14:paraId="73C9D819" w14:textId="16CDB374" w:rsidR="00E0181F" w:rsidRPr="001D5327" w:rsidRDefault="0070503C" w:rsidP="00D11AC9">
            <w:pPr>
              <w:pStyle w:val="TableText"/>
              <w:spacing w:before="40" w:after="40"/>
              <w:jc w:val="right"/>
            </w:pPr>
            <w:r>
              <w:rPr>
                <w:rFonts w:eastAsia="Calibri"/>
              </w:rPr>
              <w:t>-</w:t>
            </w:r>
            <w:r w:rsidR="00E0181F" w:rsidRPr="001D5327">
              <w:rPr>
                <w:rFonts w:eastAsia="Calibri"/>
              </w:rPr>
              <w:t>17,250.8</w:t>
            </w:r>
          </w:p>
        </w:tc>
        <w:tc>
          <w:tcPr>
            <w:tcW w:w="1560" w:type="dxa"/>
            <w:shd w:val="clear" w:color="auto" w:fill="FFFFFF"/>
            <w:tcMar>
              <w:top w:w="0" w:type="dxa"/>
              <w:left w:w="85" w:type="dxa"/>
              <w:bottom w:w="0" w:type="dxa"/>
              <w:right w:w="85" w:type="dxa"/>
            </w:tcMar>
          </w:tcPr>
          <w:p w14:paraId="21743BEF" w14:textId="42173A2F" w:rsidR="00E0181F" w:rsidRPr="001D5327" w:rsidRDefault="0070503C" w:rsidP="00D11AC9">
            <w:pPr>
              <w:pStyle w:val="TableText"/>
              <w:spacing w:before="40" w:after="40"/>
              <w:jc w:val="right"/>
            </w:pPr>
            <w:r>
              <w:rPr>
                <w:rFonts w:eastAsia="Calibri"/>
              </w:rPr>
              <w:t>-</w:t>
            </w:r>
            <w:r w:rsidR="00E0181F" w:rsidRPr="001D5327">
              <w:rPr>
                <w:rFonts w:eastAsia="Calibri"/>
              </w:rPr>
              <w:t>17,283.6</w:t>
            </w:r>
          </w:p>
        </w:tc>
        <w:tc>
          <w:tcPr>
            <w:tcW w:w="2404" w:type="dxa"/>
            <w:shd w:val="clear" w:color="auto" w:fill="FFFFFF"/>
            <w:tcMar>
              <w:top w:w="0" w:type="dxa"/>
              <w:left w:w="85" w:type="dxa"/>
              <w:bottom w:w="0" w:type="dxa"/>
              <w:right w:w="85" w:type="dxa"/>
            </w:tcMar>
          </w:tcPr>
          <w:p w14:paraId="032BF541" w14:textId="3783A755" w:rsidR="00E0181F" w:rsidRPr="001D5327" w:rsidRDefault="0070503C" w:rsidP="00D11AC9">
            <w:pPr>
              <w:pStyle w:val="TableText"/>
              <w:spacing w:before="40" w:after="40"/>
              <w:jc w:val="right"/>
            </w:pPr>
            <w:r>
              <w:rPr>
                <w:rFonts w:eastAsia="Calibri"/>
              </w:rPr>
              <w:t>-</w:t>
            </w:r>
            <w:r w:rsidR="00E0181F" w:rsidRPr="001D5327">
              <w:rPr>
                <w:rFonts w:eastAsia="Calibri"/>
              </w:rPr>
              <w:t>32.8</w:t>
            </w:r>
          </w:p>
        </w:tc>
        <w:tc>
          <w:tcPr>
            <w:tcW w:w="1138" w:type="dxa"/>
            <w:shd w:val="clear" w:color="auto" w:fill="FFFFFF"/>
            <w:tcMar>
              <w:top w:w="0" w:type="dxa"/>
              <w:left w:w="85" w:type="dxa"/>
              <w:bottom w:w="0" w:type="dxa"/>
              <w:right w:w="85" w:type="dxa"/>
            </w:tcMar>
          </w:tcPr>
          <w:p w14:paraId="486C5F48" w14:textId="20FF45EA" w:rsidR="00E0181F" w:rsidRPr="001D5327" w:rsidRDefault="0070503C" w:rsidP="00D11AC9">
            <w:pPr>
              <w:pStyle w:val="TableText"/>
              <w:spacing w:before="40" w:after="40"/>
              <w:jc w:val="right"/>
            </w:pPr>
            <w:r>
              <w:rPr>
                <w:rFonts w:eastAsia="Calibri"/>
              </w:rPr>
              <w:t>-</w:t>
            </w:r>
            <w:r w:rsidR="00E0181F" w:rsidRPr="001D5327">
              <w:rPr>
                <w:rFonts w:eastAsia="Calibri"/>
              </w:rPr>
              <w:t>0.2</w:t>
            </w:r>
          </w:p>
        </w:tc>
      </w:tr>
      <w:tr w:rsidR="00E0181F" w:rsidRPr="001D5327" w14:paraId="2F6A41E5" w14:textId="77777777" w:rsidTr="00D11AC9">
        <w:tc>
          <w:tcPr>
            <w:tcW w:w="1980" w:type="dxa"/>
            <w:shd w:val="clear" w:color="auto" w:fill="FFFFFF"/>
            <w:tcMar>
              <w:top w:w="0" w:type="dxa"/>
              <w:left w:w="85" w:type="dxa"/>
              <w:bottom w:w="0" w:type="dxa"/>
              <w:right w:w="85" w:type="dxa"/>
            </w:tcMar>
          </w:tcPr>
          <w:p w14:paraId="36546061" w14:textId="77777777" w:rsidR="00E0181F" w:rsidRPr="001D5327" w:rsidRDefault="00E0181F" w:rsidP="00D11AC9">
            <w:pPr>
              <w:pStyle w:val="Tableboldblue"/>
              <w:spacing w:before="40" w:after="40"/>
            </w:pPr>
            <w:r w:rsidRPr="001D5327">
              <w:rPr>
                <w:rFonts w:eastAsia="Calibri"/>
              </w:rPr>
              <w:t>Area (hectares)</w:t>
            </w:r>
          </w:p>
        </w:tc>
        <w:tc>
          <w:tcPr>
            <w:tcW w:w="1422" w:type="dxa"/>
            <w:shd w:val="clear" w:color="auto" w:fill="FFFFFF"/>
            <w:tcMar>
              <w:top w:w="0" w:type="dxa"/>
              <w:left w:w="85" w:type="dxa"/>
              <w:bottom w:w="0" w:type="dxa"/>
              <w:right w:w="85" w:type="dxa"/>
            </w:tcMar>
          </w:tcPr>
          <w:p w14:paraId="5E024374" w14:textId="77777777" w:rsidR="00E0181F" w:rsidRPr="001D5327" w:rsidRDefault="00E0181F" w:rsidP="00D11AC9">
            <w:pPr>
              <w:pStyle w:val="Tableboldblue"/>
              <w:spacing w:before="40" w:after="40"/>
              <w:jc w:val="right"/>
            </w:pPr>
          </w:p>
        </w:tc>
        <w:tc>
          <w:tcPr>
            <w:tcW w:w="1560" w:type="dxa"/>
            <w:shd w:val="clear" w:color="auto" w:fill="FFFFFF"/>
            <w:tcMar>
              <w:top w:w="0" w:type="dxa"/>
              <w:left w:w="85" w:type="dxa"/>
              <w:bottom w:w="0" w:type="dxa"/>
              <w:right w:w="85" w:type="dxa"/>
            </w:tcMar>
          </w:tcPr>
          <w:p w14:paraId="17E292C2" w14:textId="77777777" w:rsidR="00E0181F" w:rsidRPr="001D5327" w:rsidRDefault="00E0181F" w:rsidP="00D11AC9">
            <w:pPr>
              <w:pStyle w:val="Tableboldblue"/>
              <w:spacing w:before="40" w:after="40"/>
              <w:jc w:val="right"/>
            </w:pPr>
          </w:p>
        </w:tc>
        <w:tc>
          <w:tcPr>
            <w:tcW w:w="2404" w:type="dxa"/>
            <w:shd w:val="clear" w:color="auto" w:fill="FFFFFF"/>
            <w:tcMar>
              <w:top w:w="0" w:type="dxa"/>
              <w:left w:w="85" w:type="dxa"/>
              <w:bottom w:w="0" w:type="dxa"/>
              <w:right w:w="85" w:type="dxa"/>
            </w:tcMar>
          </w:tcPr>
          <w:p w14:paraId="6A24D93E" w14:textId="77777777" w:rsidR="00E0181F" w:rsidRPr="001D5327" w:rsidRDefault="00E0181F" w:rsidP="00D11AC9">
            <w:pPr>
              <w:pStyle w:val="Tableboldblue"/>
              <w:spacing w:before="40" w:after="40"/>
              <w:jc w:val="right"/>
            </w:pPr>
          </w:p>
        </w:tc>
        <w:tc>
          <w:tcPr>
            <w:tcW w:w="1138" w:type="dxa"/>
            <w:shd w:val="clear" w:color="auto" w:fill="FFFFFF"/>
            <w:tcMar>
              <w:top w:w="0" w:type="dxa"/>
              <w:left w:w="85" w:type="dxa"/>
              <w:bottom w:w="0" w:type="dxa"/>
              <w:right w:w="85" w:type="dxa"/>
            </w:tcMar>
          </w:tcPr>
          <w:p w14:paraId="22AF0547" w14:textId="77777777" w:rsidR="00E0181F" w:rsidRPr="001D5327" w:rsidRDefault="00E0181F" w:rsidP="00D11AC9">
            <w:pPr>
              <w:pStyle w:val="Tableboldblue"/>
              <w:spacing w:before="40" w:after="40"/>
              <w:jc w:val="right"/>
            </w:pPr>
          </w:p>
        </w:tc>
      </w:tr>
      <w:tr w:rsidR="00E0181F" w:rsidRPr="001D5327" w14:paraId="637ABBCE" w14:textId="77777777" w:rsidTr="00D11AC9">
        <w:tc>
          <w:tcPr>
            <w:tcW w:w="1980" w:type="dxa"/>
            <w:shd w:val="clear" w:color="auto" w:fill="FFFFFF"/>
            <w:tcMar>
              <w:top w:w="0" w:type="dxa"/>
              <w:left w:w="85" w:type="dxa"/>
              <w:bottom w:w="0" w:type="dxa"/>
              <w:right w:w="85" w:type="dxa"/>
            </w:tcMar>
          </w:tcPr>
          <w:p w14:paraId="1A6EC483" w14:textId="77777777" w:rsidR="00E0181F" w:rsidRPr="001D5327" w:rsidRDefault="00E0181F" w:rsidP="00D11AC9">
            <w:pPr>
              <w:pStyle w:val="TableText"/>
              <w:spacing w:before="40" w:after="40"/>
            </w:pPr>
            <w:r w:rsidRPr="001D5327">
              <w:rPr>
                <w:rFonts w:eastAsia="Calibri"/>
              </w:rPr>
              <w:t>1990</w:t>
            </w:r>
          </w:p>
        </w:tc>
        <w:tc>
          <w:tcPr>
            <w:tcW w:w="1422" w:type="dxa"/>
            <w:shd w:val="clear" w:color="auto" w:fill="FFFFFF"/>
            <w:tcMar>
              <w:top w:w="0" w:type="dxa"/>
              <w:left w:w="85" w:type="dxa"/>
              <w:bottom w:w="0" w:type="dxa"/>
              <w:right w:w="85" w:type="dxa"/>
            </w:tcMar>
          </w:tcPr>
          <w:p w14:paraId="267592A9" w14:textId="77777777" w:rsidR="00E0181F" w:rsidRPr="001D5327" w:rsidRDefault="00E0181F" w:rsidP="00D11AC9">
            <w:pPr>
              <w:pStyle w:val="TableText"/>
              <w:spacing w:before="40" w:after="40"/>
              <w:jc w:val="right"/>
            </w:pPr>
            <w:r w:rsidRPr="001D5327">
              <w:rPr>
                <w:rFonts w:eastAsia="Calibri"/>
              </w:rPr>
              <w:t>9,374,620</w:t>
            </w:r>
          </w:p>
        </w:tc>
        <w:tc>
          <w:tcPr>
            <w:tcW w:w="1560" w:type="dxa"/>
            <w:shd w:val="clear" w:color="auto" w:fill="FFFFFF"/>
            <w:tcMar>
              <w:top w:w="0" w:type="dxa"/>
              <w:left w:w="85" w:type="dxa"/>
              <w:bottom w:w="0" w:type="dxa"/>
              <w:right w:w="85" w:type="dxa"/>
            </w:tcMar>
          </w:tcPr>
          <w:p w14:paraId="0788124C" w14:textId="77777777" w:rsidR="00E0181F" w:rsidRPr="001D5327" w:rsidRDefault="00E0181F" w:rsidP="00D11AC9">
            <w:pPr>
              <w:pStyle w:val="TableText"/>
              <w:spacing w:before="40" w:after="40"/>
              <w:jc w:val="right"/>
            </w:pPr>
            <w:r w:rsidRPr="001D5327">
              <w:rPr>
                <w:rFonts w:eastAsia="Calibri"/>
              </w:rPr>
              <w:t>9,372,869</w:t>
            </w:r>
          </w:p>
        </w:tc>
        <w:tc>
          <w:tcPr>
            <w:tcW w:w="2404" w:type="dxa"/>
            <w:shd w:val="clear" w:color="auto" w:fill="FFFFFF"/>
            <w:tcMar>
              <w:top w:w="0" w:type="dxa"/>
              <w:left w:w="85" w:type="dxa"/>
              <w:bottom w:w="0" w:type="dxa"/>
              <w:right w:w="85" w:type="dxa"/>
            </w:tcMar>
          </w:tcPr>
          <w:p w14:paraId="0A32AA3B" w14:textId="6F9E9D4C" w:rsidR="00E0181F" w:rsidRPr="001D5327" w:rsidRDefault="0070503C" w:rsidP="00D11AC9">
            <w:pPr>
              <w:pStyle w:val="TableText"/>
              <w:spacing w:before="40" w:after="40"/>
              <w:jc w:val="right"/>
            </w:pPr>
            <w:r>
              <w:rPr>
                <w:rFonts w:eastAsia="Calibri"/>
              </w:rPr>
              <w:t>-</w:t>
            </w:r>
            <w:r w:rsidR="00E0181F" w:rsidRPr="001D5327">
              <w:rPr>
                <w:rFonts w:eastAsia="Calibri"/>
              </w:rPr>
              <w:t>1,751</w:t>
            </w:r>
          </w:p>
        </w:tc>
        <w:tc>
          <w:tcPr>
            <w:tcW w:w="1138" w:type="dxa"/>
            <w:shd w:val="clear" w:color="auto" w:fill="FFFFFF"/>
            <w:tcMar>
              <w:top w:w="0" w:type="dxa"/>
              <w:left w:w="85" w:type="dxa"/>
              <w:bottom w:w="0" w:type="dxa"/>
              <w:right w:w="85" w:type="dxa"/>
            </w:tcMar>
          </w:tcPr>
          <w:p w14:paraId="54B94AE3" w14:textId="70C7C958" w:rsidR="00E0181F" w:rsidRPr="001D5327" w:rsidRDefault="0070503C" w:rsidP="00D11AC9">
            <w:pPr>
              <w:pStyle w:val="TableText"/>
              <w:spacing w:before="40" w:after="40"/>
              <w:jc w:val="right"/>
            </w:pPr>
            <w:r>
              <w:rPr>
                <w:rFonts w:eastAsia="Calibri"/>
              </w:rPr>
              <w:t>-</w:t>
            </w:r>
            <w:r w:rsidR="00E0181F" w:rsidRPr="001D5327">
              <w:rPr>
                <w:rFonts w:eastAsia="Calibri"/>
              </w:rPr>
              <w:t>0.0</w:t>
            </w:r>
          </w:p>
        </w:tc>
      </w:tr>
      <w:tr w:rsidR="00E0181F" w:rsidRPr="001D5327" w14:paraId="5A0476CC" w14:textId="77777777" w:rsidTr="00D11AC9">
        <w:tc>
          <w:tcPr>
            <w:tcW w:w="1980" w:type="dxa"/>
            <w:shd w:val="clear" w:color="auto" w:fill="FFFFFF"/>
            <w:tcMar>
              <w:top w:w="0" w:type="dxa"/>
              <w:left w:w="85" w:type="dxa"/>
              <w:bottom w:w="0" w:type="dxa"/>
              <w:right w:w="85" w:type="dxa"/>
            </w:tcMar>
          </w:tcPr>
          <w:p w14:paraId="7683C9C4" w14:textId="77777777" w:rsidR="00E0181F" w:rsidRPr="001D5327" w:rsidRDefault="00E0181F" w:rsidP="00D11AC9">
            <w:pPr>
              <w:pStyle w:val="TableText"/>
              <w:spacing w:before="40" w:after="40"/>
            </w:pPr>
            <w:r w:rsidRPr="001D5327">
              <w:rPr>
                <w:rFonts w:eastAsia="Calibri"/>
              </w:rPr>
              <w:t>2022</w:t>
            </w:r>
          </w:p>
        </w:tc>
        <w:tc>
          <w:tcPr>
            <w:tcW w:w="1422" w:type="dxa"/>
            <w:shd w:val="clear" w:color="auto" w:fill="FFFFFF"/>
            <w:tcMar>
              <w:top w:w="0" w:type="dxa"/>
              <w:left w:w="85" w:type="dxa"/>
              <w:bottom w:w="0" w:type="dxa"/>
              <w:right w:w="85" w:type="dxa"/>
            </w:tcMar>
          </w:tcPr>
          <w:p w14:paraId="38E04EAD" w14:textId="77777777" w:rsidR="00E0181F" w:rsidRPr="001D5327" w:rsidRDefault="00E0181F" w:rsidP="00D11AC9">
            <w:pPr>
              <w:pStyle w:val="TableText"/>
              <w:spacing w:before="40" w:after="40"/>
              <w:jc w:val="right"/>
            </w:pPr>
            <w:r w:rsidRPr="001D5327">
              <w:rPr>
                <w:rFonts w:eastAsia="Calibri"/>
              </w:rPr>
              <w:t>10,094,149</w:t>
            </w:r>
          </w:p>
        </w:tc>
        <w:tc>
          <w:tcPr>
            <w:tcW w:w="1560" w:type="dxa"/>
            <w:shd w:val="clear" w:color="auto" w:fill="FFFFFF"/>
            <w:tcMar>
              <w:top w:w="0" w:type="dxa"/>
              <w:left w:w="85" w:type="dxa"/>
              <w:bottom w:w="0" w:type="dxa"/>
              <w:right w:w="85" w:type="dxa"/>
            </w:tcMar>
          </w:tcPr>
          <w:p w14:paraId="10372109" w14:textId="77777777" w:rsidR="00E0181F" w:rsidRPr="001D5327" w:rsidRDefault="00E0181F" w:rsidP="00D11AC9">
            <w:pPr>
              <w:pStyle w:val="TableText"/>
              <w:spacing w:before="40" w:after="40"/>
              <w:jc w:val="right"/>
            </w:pPr>
            <w:r w:rsidRPr="001D5327">
              <w:rPr>
                <w:rFonts w:eastAsia="Calibri"/>
              </w:rPr>
              <w:t>10,092,678</w:t>
            </w:r>
          </w:p>
        </w:tc>
        <w:tc>
          <w:tcPr>
            <w:tcW w:w="2404" w:type="dxa"/>
            <w:shd w:val="clear" w:color="auto" w:fill="FFFFFF"/>
            <w:tcMar>
              <w:top w:w="0" w:type="dxa"/>
              <w:left w:w="85" w:type="dxa"/>
              <w:bottom w:w="0" w:type="dxa"/>
              <w:right w:w="85" w:type="dxa"/>
            </w:tcMar>
          </w:tcPr>
          <w:p w14:paraId="2DFB161C" w14:textId="570A6C8F" w:rsidR="00E0181F" w:rsidRPr="001D5327" w:rsidRDefault="0070503C" w:rsidP="00D11AC9">
            <w:pPr>
              <w:pStyle w:val="TableText"/>
              <w:spacing w:before="40" w:after="40"/>
              <w:jc w:val="right"/>
            </w:pPr>
            <w:r>
              <w:rPr>
                <w:rFonts w:eastAsia="Calibri"/>
              </w:rPr>
              <w:t>-</w:t>
            </w:r>
            <w:r w:rsidR="00E0181F" w:rsidRPr="001D5327">
              <w:rPr>
                <w:rFonts w:eastAsia="Calibri"/>
              </w:rPr>
              <w:t>1,470</w:t>
            </w:r>
          </w:p>
        </w:tc>
        <w:tc>
          <w:tcPr>
            <w:tcW w:w="1138" w:type="dxa"/>
            <w:shd w:val="clear" w:color="auto" w:fill="FFFFFF"/>
            <w:tcMar>
              <w:top w:w="0" w:type="dxa"/>
              <w:left w:w="85" w:type="dxa"/>
              <w:bottom w:w="0" w:type="dxa"/>
              <w:right w:w="85" w:type="dxa"/>
            </w:tcMar>
          </w:tcPr>
          <w:p w14:paraId="148C00B9" w14:textId="2C4FB452" w:rsidR="00E0181F" w:rsidRPr="001D5327" w:rsidRDefault="0070503C" w:rsidP="00D11AC9">
            <w:pPr>
              <w:pStyle w:val="TableText"/>
              <w:spacing w:before="40" w:after="40"/>
              <w:jc w:val="right"/>
            </w:pPr>
            <w:r>
              <w:rPr>
                <w:rFonts w:eastAsia="Calibri"/>
              </w:rPr>
              <w:t>-</w:t>
            </w:r>
            <w:r w:rsidR="00E0181F" w:rsidRPr="001D5327">
              <w:rPr>
                <w:rFonts w:eastAsia="Calibri"/>
              </w:rPr>
              <w:t>0.0</w:t>
            </w:r>
          </w:p>
        </w:tc>
      </w:tr>
    </w:tbl>
    <w:p w14:paraId="784E55C9" w14:textId="77777777" w:rsidR="00E0181F" w:rsidRPr="001D5327" w:rsidRDefault="00E0181F" w:rsidP="00E0181F">
      <w:pPr>
        <w:pStyle w:val="Noteundertable"/>
      </w:pPr>
      <w:r w:rsidRPr="001D5327">
        <w:rPr>
          <w:b/>
        </w:rPr>
        <w:t>Note:</w:t>
      </w:r>
      <w:r w:rsidRPr="001D5327">
        <w:tab/>
        <w:t xml:space="preserve">Areas are as at the end of the year indicated. </w:t>
      </w:r>
    </w:p>
    <w:p w14:paraId="703DEC83" w14:textId="77777777" w:rsidR="00E0181F" w:rsidRPr="001D5327" w:rsidRDefault="00E0181F" w:rsidP="00E0181F">
      <w:pPr>
        <w:pStyle w:val="BodyText"/>
      </w:pPr>
      <w:r w:rsidRPr="001D5327">
        <w:rPr>
          <w:spacing w:val="-2"/>
        </w:rPr>
        <w:t xml:space="preserve">For </w:t>
      </w:r>
      <w:r w:rsidRPr="001D5327">
        <w:rPr>
          <w:i/>
          <w:spacing w:val="-2"/>
        </w:rPr>
        <w:t>Forest land</w:t>
      </w:r>
      <w:r w:rsidRPr="001D5327">
        <w:rPr>
          <w:spacing w:val="-2"/>
        </w:rPr>
        <w:t>, a number of improvements made to both the planted and natural forest activity</w:t>
      </w:r>
      <w:r w:rsidRPr="001D5327">
        <w:t xml:space="preserve"> data led to a recalculation across the time series. These are described in more detail below.</w:t>
      </w:r>
      <w:bookmarkStart w:id="2014" w:name="_Toc255466362"/>
      <w:bookmarkStart w:id="2015" w:name="_Toc261513169"/>
      <w:bookmarkStart w:id="2016" w:name="_Toc261513782"/>
      <w:bookmarkStart w:id="2017" w:name="_Toc280630260"/>
      <w:r w:rsidRPr="001D5327">
        <w:t xml:space="preserve"> </w:t>
      </w:r>
    </w:p>
    <w:p w14:paraId="12A75E65" w14:textId="77777777" w:rsidR="00E0181F" w:rsidRPr="001D5327" w:rsidRDefault="00E0181F" w:rsidP="00E0181F">
      <w:pPr>
        <w:pStyle w:val="Heading5"/>
      </w:pPr>
      <w:r w:rsidRPr="001D5327">
        <w:lastRenderedPageBreak/>
        <w:t>Activity data</w:t>
      </w:r>
      <w:bookmarkEnd w:id="2014"/>
      <w:bookmarkEnd w:id="2015"/>
      <w:bookmarkEnd w:id="2016"/>
      <w:bookmarkEnd w:id="2017"/>
    </w:p>
    <w:p w14:paraId="39DD0575" w14:textId="77777777" w:rsidR="00E0181F" w:rsidRPr="001D5327" w:rsidRDefault="00E0181F" w:rsidP="00E0181F">
      <w:pPr>
        <w:pStyle w:val="BodyText"/>
      </w:pPr>
      <w:bookmarkStart w:id="2018" w:name="_Toc255466366"/>
      <w:bookmarkStart w:id="2019" w:name="_Toc261513173"/>
      <w:bookmarkStart w:id="2020" w:name="_Toc261513786"/>
      <w:r w:rsidRPr="001D5327">
        <w:rPr>
          <w:spacing w:val="-2"/>
        </w:rPr>
        <w:t>The area estimates of afforestation and deforestation were updated for this</w:t>
      </w:r>
      <w:r w:rsidRPr="001D5327">
        <w:t xml:space="preserve"> submission, following updates to forestry scheme data and mapping improvements (see annex 5, section A5.2.2). </w:t>
      </w:r>
    </w:p>
    <w:p w14:paraId="6F273F41" w14:textId="77777777" w:rsidR="00E0181F" w:rsidRPr="001D5327" w:rsidRDefault="00E0181F" w:rsidP="00E0181F">
      <w:pPr>
        <w:pStyle w:val="BodyText"/>
        <w:rPr>
          <w:rFonts w:cs="Arial"/>
        </w:rPr>
      </w:pPr>
      <w:r w:rsidRPr="001D5327">
        <w:rPr>
          <w:rFonts w:cs="Arial"/>
        </w:rPr>
        <w:t>All deforestation is mapped up to 2020 and incorporated into the 2020 land use map.</w:t>
      </w:r>
      <w:r w:rsidRPr="001D5327">
        <w:rPr>
          <w:rStyle w:val="BulletChar"/>
          <w:rFonts w:eastAsiaTheme="minorEastAsia" w:cs="Arial"/>
        </w:rPr>
        <w:t xml:space="preserve"> </w:t>
      </w:r>
      <w:r w:rsidRPr="001D5327">
        <w:rPr>
          <w:rFonts w:cs="Arial"/>
        </w:rPr>
        <w:t>Minor corrections to deforestation mapping across the time series were made, leading to minor changes in total deforestation area for each year from 2008 to 2020 inclusive. </w:t>
      </w:r>
    </w:p>
    <w:p w14:paraId="4FB29414" w14:textId="77777777" w:rsidR="00E0181F" w:rsidRPr="001D5327" w:rsidRDefault="00E0181F" w:rsidP="00E0181F">
      <w:pPr>
        <w:pStyle w:val="BodyText"/>
      </w:pPr>
      <w:r w:rsidRPr="001D5327">
        <w:rPr>
          <w:rFonts w:cs="Arial"/>
        </w:rPr>
        <w:t>For pre-1990 natural forest and post-1989 natural forest, defores</w:t>
      </w:r>
      <w:r w:rsidRPr="001D5327">
        <w:t>tation estimates for 2021 to 2023 were calculated as the average deforestation area for the last three mapped years (2018 to 2020), the same method applied in previous submissions. The updates made to the mapped years have therefore led to a recalculation of the deforestation estimates for 2021 and 2022.</w:t>
      </w:r>
    </w:p>
    <w:p w14:paraId="10E799A9" w14:textId="77777777" w:rsidR="00E0181F" w:rsidRPr="001D5327" w:rsidRDefault="00E0181F" w:rsidP="00E0181F">
      <w:pPr>
        <w:pStyle w:val="BodyText"/>
      </w:pPr>
      <w:r w:rsidRPr="001D5327">
        <w:t>Planted forest deforestation occurring from 2021 to 2023 was estimated using a trend extrapolation approach following the deforestation mapped in earlier years as described in annex 5, section A5.2.2. Mapping updates have resulted in a small reduction in the areas of deforestation estimated for 2021 and 2022.</w:t>
      </w:r>
    </w:p>
    <w:p w14:paraId="1FFEAC6F" w14:textId="77777777" w:rsidR="00E0181F" w:rsidRPr="001D5327" w:rsidRDefault="00E0181F" w:rsidP="00E0181F">
      <w:pPr>
        <w:pStyle w:val="BodyText"/>
      </w:pPr>
      <w:r w:rsidRPr="001D5327">
        <w:t>The overall impact on emissions from changes to activity data for 2022 is a decrease of approximately 32.8</w:t>
      </w:r>
      <w:r w:rsidRPr="001D5327">
        <w:rPr>
          <w:color w:val="333333"/>
        </w:rPr>
        <w:t xml:space="preserve"> kt CO</w:t>
      </w:r>
      <w:r w:rsidRPr="001D5327">
        <w:rPr>
          <w:color w:val="333333"/>
          <w:vertAlign w:val="subscript"/>
        </w:rPr>
        <w:t>2</w:t>
      </w:r>
      <w:r w:rsidRPr="001D5327">
        <w:rPr>
          <w:rFonts w:cs="Arial"/>
        </w:rPr>
        <w:t>-</w:t>
      </w:r>
      <w:r w:rsidRPr="001D5327">
        <w:rPr>
          <w:color w:val="333333"/>
        </w:rPr>
        <w:t>e</w:t>
      </w:r>
      <w:r w:rsidRPr="001D5327">
        <w:t>.</w:t>
      </w:r>
    </w:p>
    <w:p w14:paraId="0829CF1B" w14:textId="77777777" w:rsidR="00E0181F" w:rsidRPr="001D5327" w:rsidRDefault="00E0181F" w:rsidP="00E0181F">
      <w:pPr>
        <w:pStyle w:val="Heading5"/>
      </w:pPr>
      <w:r w:rsidRPr="001D5327">
        <w:t xml:space="preserve">Planted forest – updates to yield tables and emissions calculations. </w:t>
      </w:r>
    </w:p>
    <w:p w14:paraId="46FAFBCD" w14:textId="77777777" w:rsidR="00E0181F" w:rsidRPr="001D5327" w:rsidRDefault="00E0181F" w:rsidP="00E0181F">
      <w:pPr>
        <w:pStyle w:val="BodyText"/>
        <w:spacing w:after="100"/>
      </w:pPr>
      <w:r w:rsidRPr="001D5327">
        <w:t>In this submission, there are no recalculations associated with planted forest yield tables. Yield tables for both pre-1990 planted forest and post-1989 planted forest were last updated for the 2023 submission (see annex 5, section A.5.2.5 ‘Planted forest yield tables’).</w:t>
      </w:r>
    </w:p>
    <w:p w14:paraId="259ABBC5" w14:textId="77777777" w:rsidR="00E0181F" w:rsidRPr="001D5327" w:rsidRDefault="00E0181F" w:rsidP="00E0181F">
      <w:pPr>
        <w:pStyle w:val="Heading5"/>
      </w:pPr>
      <w:r w:rsidRPr="001D5327">
        <w:t xml:space="preserve">Natural forest – </w:t>
      </w:r>
      <w:r w:rsidRPr="001D5327" w:rsidDel="009D4E4E">
        <w:t xml:space="preserve">updates to </w:t>
      </w:r>
      <w:r w:rsidRPr="001D5327">
        <w:t>yield tables and emissions calculations</w:t>
      </w:r>
    </w:p>
    <w:p w14:paraId="3C22354E" w14:textId="77777777" w:rsidR="00E0181F" w:rsidRPr="001D5327" w:rsidRDefault="00E0181F" w:rsidP="00E0181F">
      <w:pPr>
        <w:pStyle w:val="BodyText"/>
      </w:pPr>
      <w:r w:rsidRPr="001D5327">
        <w:t>In this submission, there are no recalculations associated with natural forest yield tables.</w:t>
      </w:r>
      <w:r w:rsidRPr="001D5327" w:rsidDel="005B6A7A">
        <w:t xml:space="preserve"> </w:t>
      </w:r>
      <w:r w:rsidRPr="001D5327">
        <w:t>Yield tables for both pre-1990 natural forest and post-1989 natural forest were last updated for the</w:t>
      </w:r>
      <w:r w:rsidRPr="001D5327" w:rsidDel="005B17E0">
        <w:t xml:space="preserve"> </w:t>
      </w:r>
      <w:r w:rsidRPr="001D5327">
        <w:t>2022 submission</w:t>
      </w:r>
      <w:r w:rsidRPr="001D5327" w:rsidDel="00761B2B">
        <w:t xml:space="preserve"> </w:t>
      </w:r>
      <w:r w:rsidRPr="001D5327">
        <w:t>(see annex 5, section A5.2.5 ‘Natural forest carbon stock change estimates and yield tables’).</w:t>
      </w:r>
    </w:p>
    <w:p w14:paraId="0763C8C8" w14:textId="77777777" w:rsidR="00E0181F" w:rsidRPr="001D5327" w:rsidRDefault="00E0181F" w:rsidP="00E0181F">
      <w:pPr>
        <w:pStyle w:val="Heading3"/>
      </w:pPr>
      <w:bookmarkStart w:id="2021" w:name="_Toc255466368"/>
      <w:bookmarkStart w:id="2022" w:name="_Toc261513175"/>
      <w:bookmarkStart w:id="2023" w:name="_Toc261513788"/>
      <w:bookmarkStart w:id="2024" w:name="_Toc280630262"/>
      <w:bookmarkStart w:id="2025" w:name="_Toc373395716"/>
      <w:bookmarkStart w:id="2026" w:name="_Toc139253961"/>
      <w:bookmarkEnd w:id="2018"/>
      <w:bookmarkEnd w:id="2019"/>
      <w:bookmarkEnd w:id="2020"/>
      <w:r w:rsidRPr="001D5327">
        <w:t>6.4.6</w:t>
      </w:r>
      <w:r w:rsidRPr="001D5327">
        <w:tab/>
        <w:t>Category-specific planned improvements</w:t>
      </w:r>
      <w:bookmarkEnd w:id="2021"/>
      <w:bookmarkEnd w:id="2022"/>
      <w:bookmarkEnd w:id="2023"/>
      <w:bookmarkEnd w:id="2024"/>
      <w:bookmarkEnd w:id="2025"/>
      <w:bookmarkEnd w:id="2026"/>
    </w:p>
    <w:p w14:paraId="1A1A5329" w14:textId="77777777" w:rsidR="00E0181F" w:rsidRPr="001D5327" w:rsidRDefault="00E0181F" w:rsidP="00E0181F">
      <w:pPr>
        <w:pStyle w:val="Heading4"/>
      </w:pPr>
      <w:r w:rsidRPr="001D5327">
        <w:t>Plot networks and yield tables</w:t>
      </w:r>
    </w:p>
    <w:p w14:paraId="7EF50FB3" w14:textId="5FC660E5" w:rsidR="00E0181F" w:rsidRPr="001D5327" w:rsidRDefault="00E0181F" w:rsidP="00E0181F">
      <w:pPr>
        <w:pStyle w:val="BodyText"/>
      </w:pPr>
      <w:r w:rsidRPr="001D5327">
        <w:t xml:space="preserve">New Zealand will continue to measure the pre-1990 natural forest plot network on a 10-year </w:t>
      </w:r>
      <w:r w:rsidRPr="001D5327">
        <w:rPr>
          <w:spacing w:val="-2"/>
        </w:rPr>
        <w:t>cycle and analyse the data collected as they become available. An updated analysis is anticipated to be ready for the 2027 submission. The current post-1989 natural forest plot</w:t>
      </w:r>
      <w:r w:rsidRPr="001D5327">
        <w:t> network was re</w:t>
      </w:r>
      <w:r w:rsidR="00FC717B" w:rsidRPr="001D5327">
        <w:noBreakHyphen/>
      </w:r>
      <w:r w:rsidRPr="001D5327">
        <w:t>measured in 2023/24, with analysis and results planned for integration into the 2026 submission.</w:t>
      </w:r>
    </w:p>
    <w:p w14:paraId="1A6854FE" w14:textId="77777777" w:rsidR="00E0181F" w:rsidRPr="001D5327" w:rsidRDefault="00E0181F" w:rsidP="00E0181F">
      <w:pPr>
        <w:pStyle w:val="BodyText"/>
        <w:spacing w:before="100" w:after="100"/>
      </w:pPr>
      <w:r w:rsidRPr="001D5327">
        <w:t xml:space="preserve">When sufficient data are available, an additional yield table will be developed for post-1989 natural forest. This will be produced by disaggregating data from plots dominated by exotic vegetation (typically </w:t>
      </w:r>
      <w:r w:rsidRPr="001D5327">
        <w:rPr>
          <w:i/>
          <w:iCs/>
        </w:rPr>
        <w:t>Pinus spp.</w:t>
      </w:r>
      <w:r w:rsidRPr="001D5327">
        <w:t xml:space="preserve"> or ‘wilding pines’) from those dominated by native vegetation communities. The current method of including both vegetation types in the one yield table, due to a low sample size for the post-1989 natural forest (a total of 25 plots), limits its applicability in reporting carbon stock change and other areas of conservation and environmental management. At present, these yield tables should always be reported clearly </w:t>
      </w:r>
      <w:r w:rsidRPr="001D5327">
        <w:lastRenderedPageBreak/>
        <w:t>as being the combination of both native and exotic post-1989 natural forest. Providing sufficient funding can be attained, the number of post-1989 natural forest plots surveyed will be increased in future to provide an</w:t>
      </w:r>
      <w:r w:rsidRPr="001D5327" w:rsidDel="00190075">
        <w:t xml:space="preserve"> </w:t>
      </w:r>
      <w:r w:rsidRPr="001D5327">
        <w:t>overall sample large enough to separate into native and exotic communities and two respective yield tables.</w:t>
      </w:r>
    </w:p>
    <w:p w14:paraId="2F915DA1" w14:textId="77777777" w:rsidR="00E0181F" w:rsidRPr="001D5327" w:rsidRDefault="00E0181F" w:rsidP="00E0181F">
      <w:pPr>
        <w:pStyle w:val="BodyText"/>
        <w:spacing w:before="100" w:after="100"/>
      </w:pPr>
      <w:r w:rsidRPr="001D5327">
        <w:t>The complete planted forest plot network (pre-1990 and post</w:t>
      </w:r>
      <w:r w:rsidRPr="001D5327">
        <w:noBreakHyphen/>
        <w:t xml:space="preserve">1989) is being re-measured on a continuous basis (at five-year intervals). These data will be incorporated as they become available. </w:t>
      </w:r>
    </w:p>
    <w:p w14:paraId="76C1BCA8" w14:textId="77777777" w:rsidR="00E0181F" w:rsidRPr="001D5327" w:rsidRDefault="00E0181F" w:rsidP="00E0181F">
      <w:pPr>
        <w:pStyle w:val="Heading4"/>
        <w:spacing w:before="200"/>
      </w:pPr>
      <w:r w:rsidRPr="001D5327">
        <w:t>Natural forest plot data</w:t>
      </w:r>
    </w:p>
    <w:p w14:paraId="016F6AB4" w14:textId="77777777" w:rsidR="00E0181F" w:rsidRPr="001D5327" w:rsidRDefault="00E0181F" w:rsidP="00E0181F">
      <w:pPr>
        <w:pStyle w:val="BodyText"/>
        <w:spacing w:before="100" w:after="100"/>
      </w:pPr>
      <w:r w:rsidRPr="001D5327">
        <w:t xml:space="preserve">Work has recently been undertaken to improve the quality of the LUCAS pre-1990 natural </w:t>
      </w:r>
      <w:r w:rsidRPr="001D5327">
        <w:rPr>
          <w:spacing w:val="-2"/>
        </w:rPr>
        <w:t>forest plot data through a data checking and correction project (Arnst and Vickers, unpublished</w:t>
      </w:r>
      <w:r w:rsidRPr="001D5327">
        <w:t>; Arnst et al., unpublished). These corrections will enhance the robustness and repeatability of all subsequent analyses undertaken using these data. It is anticipated that these data will be included in the 2027 submission, following analysis of the full 10-year measurement cycle completed in 2024.</w:t>
      </w:r>
    </w:p>
    <w:p w14:paraId="2A5D1DA2" w14:textId="77777777" w:rsidR="00E0181F" w:rsidRPr="001D5327" w:rsidRDefault="00E0181F" w:rsidP="00E0181F">
      <w:pPr>
        <w:pStyle w:val="BodyText"/>
        <w:spacing w:before="100" w:after="100"/>
      </w:pPr>
      <w:r w:rsidRPr="001D5327">
        <w:t xml:space="preserve">Electronic data capture by field teams was implemented from 2020 to 2021, supplementing the paper plot sheets previously used. Subsequently, QA/QC on the entire set of stem-related data (i.e., diameter, height, species) has been possible prior to upload into the database, improving on the 10 per cent previously checked manually. Electronic data capture has markedly improved data quality, and any errors in tree stem-related data can be readily identified when data are uploaded to the database. </w:t>
      </w:r>
    </w:p>
    <w:p w14:paraId="5146AA11" w14:textId="77777777" w:rsidR="00E0181F" w:rsidRPr="001D5327" w:rsidRDefault="00E0181F" w:rsidP="00E0181F">
      <w:pPr>
        <w:pStyle w:val="Heading4"/>
        <w:spacing w:before="200"/>
      </w:pPr>
      <w:r w:rsidRPr="001D5327">
        <w:t>Mapping and activity data</w:t>
      </w:r>
    </w:p>
    <w:p w14:paraId="1EF727D4" w14:textId="77777777" w:rsidR="00E0181F" w:rsidRPr="001D5327" w:rsidRDefault="00E0181F" w:rsidP="00E0181F">
      <w:pPr>
        <w:pStyle w:val="BodyText"/>
        <w:spacing w:before="100" w:after="100"/>
        <w:rPr>
          <w:rFonts w:eastAsiaTheme="minorEastAsia"/>
        </w:rPr>
      </w:pPr>
      <w:r w:rsidRPr="001D5327">
        <w:t xml:space="preserve">Mapping of forest areas will be improved through updates to the 2020 land use map. Planned forest-specific mapping improvements include </w:t>
      </w:r>
      <w:r w:rsidRPr="001D5327">
        <w:rPr>
          <w:rFonts w:eastAsiaTheme="minorEastAsia"/>
        </w:rPr>
        <w:t>mapping of newly planted forests through data supplied from government-funded forestry scheme mapping, including the NZ ETS, and identified in Sentinel-2 satellite imagery, as well as biennial deforestation mapping updates.</w:t>
      </w:r>
    </w:p>
    <w:p w14:paraId="0ABFC37D" w14:textId="77777777" w:rsidR="00E0181F" w:rsidRPr="001D5327" w:rsidRDefault="00E0181F" w:rsidP="00E0181F">
      <w:pPr>
        <w:pStyle w:val="Heading4"/>
        <w:spacing w:before="200"/>
      </w:pPr>
      <w:r w:rsidRPr="001D5327">
        <w:t>Planted forest model</w:t>
      </w:r>
    </w:p>
    <w:p w14:paraId="79BB5338" w14:textId="77777777" w:rsidR="00E0181F" w:rsidRPr="001D5327" w:rsidRDefault="00E0181F" w:rsidP="00E0181F">
      <w:pPr>
        <w:pStyle w:val="BodyText"/>
        <w:spacing w:before="100" w:after="100"/>
      </w:pPr>
      <w:r w:rsidRPr="001D5327">
        <w:t xml:space="preserve">Quality-assurance and quality-control processes for checking and improving consistency </w:t>
      </w:r>
      <w:r w:rsidRPr="001D5327">
        <w:rPr>
          <w:spacing w:val="-2"/>
        </w:rPr>
        <w:t>between different data sets are planned for a future submission. Currently, a few inconsistencies</w:t>
      </w:r>
      <w:r w:rsidRPr="001D5327">
        <w:t xml:space="preserve"> require further investigation and remediation. These inconsistencies include:</w:t>
      </w:r>
    </w:p>
    <w:p w14:paraId="2274901E" w14:textId="77777777" w:rsidR="00E0181F" w:rsidRPr="001D5327" w:rsidRDefault="00E0181F" w:rsidP="00E0181F">
      <w:pPr>
        <w:pStyle w:val="Bullet"/>
        <w:spacing w:after="100"/>
      </w:pPr>
      <w:r w:rsidRPr="001D5327">
        <w:t>the estimated annual volume removed from planted forests, based on the Calculation and Reporting Application model, is not entirely consistent with estimated annual roundwood volume statistics produced by MPI (Ministry for Primary Industries, 2023) for part of the time series (1990 to 2015). Note that a comparison between the two data sources across the time series was carried out and is further described in annex 5, section A5.2.5 ‘Forest land model validations’</w:t>
      </w:r>
    </w:p>
    <w:p w14:paraId="6CC9A3A4" w14:textId="77777777" w:rsidR="00E0181F" w:rsidRPr="001D5327" w:rsidRDefault="00E0181F" w:rsidP="00407428">
      <w:pPr>
        <w:pStyle w:val="Bullet"/>
        <w:numPr>
          <w:ilvl w:val="0"/>
          <w:numId w:val="23"/>
        </w:numPr>
        <w:spacing w:after="100"/>
        <w:ind w:left="397" w:hanging="397"/>
      </w:pPr>
      <w:r w:rsidRPr="001D5327">
        <w:t>the pre-1990 planted forest average carbon stock per hectare estimated from the Calculation and Reporting Application model is greater than the average carbon stock per hectare estimated from plots in the forest inventory (further described in annex 5, section A5.2.5 ‘Forest land model validations’)</w:t>
      </w:r>
    </w:p>
    <w:p w14:paraId="0E97B521" w14:textId="77777777" w:rsidR="00E0181F" w:rsidRPr="001D5327" w:rsidRDefault="00E0181F" w:rsidP="00407428">
      <w:pPr>
        <w:pStyle w:val="Bullet"/>
        <w:numPr>
          <w:ilvl w:val="0"/>
          <w:numId w:val="23"/>
        </w:numPr>
        <w:ind w:left="397" w:hanging="397"/>
      </w:pPr>
      <w:r w:rsidRPr="001D5327">
        <w:t>the pre-1990 planted forest yield tables have higher carbon stock per hectare estimates on average than plots measured in the planted forest inventory (further described in annex 5, section A5.2.5 ‘Forest land model validations’).</w:t>
      </w:r>
    </w:p>
    <w:p w14:paraId="6D0C71DA" w14:textId="77777777" w:rsidR="00E0181F" w:rsidRPr="001D5327" w:rsidRDefault="00E0181F" w:rsidP="00E0181F">
      <w:pPr>
        <w:pStyle w:val="Heading2"/>
      </w:pPr>
      <w:bookmarkStart w:id="2027" w:name="_Toc255466369"/>
      <w:bookmarkStart w:id="2028" w:name="_Toc261513176"/>
      <w:bookmarkStart w:id="2029" w:name="_Toc261513789"/>
      <w:bookmarkStart w:id="2030" w:name="_Toc280630263"/>
      <w:bookmarkStart w:id="2031" w:name="_Toc310423453"/>
      <w:bookmarkStart w:id="2032" w:name="_Toc342470719"/>
      <w:bookmarkStart w:id="2033" w:name="_Toc352504871"/>
      <w:bookmarkStart w:id="2034" w:name="_Toc391024701"/>
      <w:bookmarkStart w:id="2035" w:name="_Toc414531318"/>
      <w:bookmarkStart w:id="2036" w:name="_Toc474335460"/>
      <w:bookmarkStart w:id="2037" w:name="_Toc481751400"/>
      <w:bookmarkStart w:id="2038" w:name="_Toc522013952"/>
      <w:bookmarkStart w:id="2039" w:name="_Toc5269377"/>
      <w:bookmarkStart w:id="2040" w:name="_Toc36224417"/>
      <w:bookmarkStart w:id="2041" w:name="_Toc131591251"/>
      <w:bookmarkStart w:id="2042" w:name="_Toc158980298"/>
      <w:bookmarkStart w:id="2043" w:name="_Toc164154206"/>
      <w:bookmarkStart w:id="2044" w:name="_Toc194312031"/>
      <w:r w:rsidRPr="001D5327">
        <w:lastRenderedPageBreak/>
        <w:t>6.5</w:t>
      </w:r>
      <w:r w:rsidRPr="001D5327">
        <w:tab/>
        <w:t>Cropland (4B)</w:t>
      </w:r>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p>
    <w:p w14:paraId="1178A13F" w14:textId="77777777" w:rsidR="00E0181F" w:rsidRPr="001D5327" w:rsidRDefault="00E0181F" w:rsidP="00E0181F">
      <w:pPr>
        <w:pStyle w:val="Heading3"/>
        <w:spacing w:before="240"/>
      </w:pPr>
      <w:bookmarkStart w:id="2045" w:name="_Toc139253963"/>
      <w:bookmarkStart w:id="2046" w:name="_Toc255466370"/>
      <w:bookmarkStart w:id="2047" w:name="_Toc261513177"/>
      <w:bookmarkStart w:id="2048" w:name="_Toc261513790"/>
      <w:bookmarkStart w:id="2049" w:name="_Toc280630264"/>
      <w:r w:rsidRPr="001D5327">
        <w:t>6.5.1</w:t>
      </w:r>
      <w:r w:rsidRPr="001D5327">
        <w:tab/>
        <w:t>Description</w:t>
      </w:r>
      <w:bookmarkEnd w:id="2045"/>
      <w:bookmarkEnd w:id="2046"/>
      <w:bookmarkEnd w:id="2047"/>
      <w:bookmarkEnd w:id="2048"/>
      <w:bookmarkEnd w:id="2049"/>
    </w:p>
    <w:p w14:paraId="5BCEBAD6" w14:textId="546F9C21" w:rsidR="00E0181F" w:rsidRPr="001D5327" w:rsidRDefault="00E0181F" w:rsidP="00E0181F">
      <w:pPr>
        <w:pStyle w:val="BodyText"/>
      </w:pPr>
      <w:r w:rsidRPr="001D5327">
        <w:rPr>
          <w:spacing w:val="-2"/>
        </w:rPr>
        <w:t xml:space="preserve">In 2023, the net emissions from </w:t>
      </w:r>
      <w:r w:rsidRPr="001D5327">
        <w:rPr>
          <w:i/>
          <w:spacing w:val="-2"/>
        </w:rPr>
        <w:t>Cropland</w:t>
      </w:r>
      <w:r w:rsidRPr="001D5327">
        <w:rPr>
          <w:spacing w:val="-2"/>
        </w:rPr>
        <w:t xml:space="preserve"> were </w:t>
      </w:r>
      <w:r w:rsidRPr="001D5327">
        <w:t xml:space="preserve">749.8 </w:t>
      </w:r>
      <w:r w:rsidRPr="001D5327">
        <w:rPr>
          <w:spacing w:val="-2"/>
        </w:rPr>
        <w:t>kt CO</w:t>
      </w:r>
      <w:r w:rsidRPr="001D5327">
        <w:rPr>
          <w:spacing w:val="-2"/>
          <w:vertAlign w:val="subscript"/>
        </w:rPr>
        <w:t>2</w:t>
      </w:r>
      <w:r w:rsidRPr="001D5327">
        <w:rPr>
          <w:spacing w:val="-2"/>
        </w:rPr>
        <w:t xml:space="preserve">-e, comprising </w:t>
      </w:r>
      <w:r w:rsidRPr="001D5327">
        <w:t xml:space="preserve">722.5 </w:t>
      </w:r>
      <w:r w:rsidRPr="001D5327">
        <w:rPr>
          <w:spacing w:val="-2"/>
        </w:rPr>
        <w:t>kt </w:t>
      </w:r>
      <w:r w:rsidRPr="001D5327">
        <w:t>CO</w:t>
      </w:r>
      <w:r w:rsidRPr="001D5327">
        <w:rPr>
          <w:spacing w:val="-2"/>
          <w:vertAlign w:val="subscript"/>
        </w:rPr>
        <w:t>2</w:t>
      </w:r>
      <w:r w:rsidRPr="001D5327">
        <w:t xml:space="preserve"> from carbon stock change and 0.1 kt N</w:t>
      </w:r>
      <w:r w:rsidRPr="001D5327">
        <w:rPr>
          <w:vertAlign w:val="subscript"/>
        </w:rPr>
        <w:t>2</w:t>
      </w:r>
      <w:r w:rsidRPr="001D5327">
        <w:t>O (24.6 kt CO</w:t>
      </w:r>
      <w:r w:rsidRPr="001D5327">
        <w:rPr>
          <w:vertAlign w:val="subscript"/>
        </w:rPr>
        <w:t>2</w:t>
      </w:r>
      <w:r w:rsidRPr="001D5327">
        <w:rPr>
          <w:spacing w:val="-2"/>
        </w:rPr>
        <w:t>-</w:t>
      </w:r>
      <w:r w:rsidRPr="001D5327">
        <w:t xml:space="preserve">e) from the nitrogen mineralisation on </w:t>
      </w:r>
      <w:r w:rsidRPr="001D5327">
        <w:rPr>
          <w:i/>
        </w:rPr>
        <w:t>Land converted to cropland</w:t>
      </w:r>
      <w:r w:rsidRPr="001D5327">
        <w:t xml:space="preserve">. Net emissions from </w:t>
      </w:r>
      <w:r w:rsidRPr="001D5327">
        <w:rPr>
          <w:i/>
        </w:rPr>
        <w:t>Cropland</w:t>
      </w:r>
      <w:r w:rsidRPr="001D5327">
        <w:t xml:space="preserve"> have increased by 271.5 kt CO</w:t>
      </w:r>
      <w:r w:rsidRPr="001D5327">
        <w:rPr>
          <w:vertAlign w:val="subscript"/>
        </w:rPr>
        <w:t>2</w:t>
      </w:r>
      <w:r w:rsidRPr="001D5327">
        <w:rPr>
          <w:spacing w:val="-2"/>
        </w:rPr>
        <w:t>-</w:t>
      </w:r>
      <w:r w:rsidRPr="001D5327">
        <w:t xml:space="preserve">e (56.8 per cent) from the 1990 level when net emissions were </w:t>
      </w:r>
      <w:r w:rsidRPr="001D5327">
        <w:rPr>
          <w:bCs/>
        </w:rPr>
        <w:t xml:space="preserve">478.3 </w:t>
      </w:r>
      <w:r w:rsidRPr="001D5327">
        <w:t>kt CO</w:t>
      </w:r>
      <w:r w:rsidRPr="001D5327">
        <w:rPr>
          <w:vertAlign w:val="subscript"/>
        </w:rPr>
        <w:t>2</w:t>
      </w:r>
      <w:r w:rsidRPr="001D5327">
        <w:rPr>
          <w:spacing w:val="-2"/>
        </w:rPr>
        <w:t>-</w:t>
      </w:r>
      <w:r w:rsidRPr="001D5327">
        <w:t>e (see table 6.5.1).</w:t>
      </w:r>
    </w:p>
    <w:p w14:paraId="24E2927D" w14:textId="77777777" w:rsidR="00E0181F" w:rsidRPr="001D5327" w:rsidRDefault="00E0181F" w:rsidP="00E0181F">
      <w:pPr>
        <w:pStyle w:val="Table"/>
      </w:pPr>
      <w:bookmarkStart w:id="2050" w:name="_Toc280630461"/>
      <w:bookmarkStart w:id="2051" w:name="_Toc310423414"/>
      <w:bookmarkStart w:id="2052" w:name="_Toc318362707"/>
      <w:bookmarkStart w:id="2053" w:name="_Toc342470769"/>
      <w:bookmarkStart w:id="2054" w:name="_Toc352505009"/>
      <w:bookmarkStart w:id="2055" w:name="_Toc378853300"/>
      <w:bookmarkStart w:id="2056" w:name="_Toc391024098"/>
      <w:bookmarkStart w:id="2057" w:name="_Toc410028841"/>
      <w:bookmarkStart w:id="2058" w:name="_Toc414531469"/>
      <w:bookmarkStart w:id="2059" w:name="_Toc443645382"/>
      <w:bookmarkStart w:id="2060" w:name="_Toc474914601"/>
      <w:bookmarkStart w:id="2061" w:name="_Toc481751565"/>
      <w:bookmarkStart w:id="2062" w:name="_Toc522010622"/>
      <w:bookmarkStart w:id="2063" w:name="_Toc5269527"/>
      <w:bookmarkStart w:id="2064" w:name="_Toc33529401"/>
      <w:bookmarkStart w:id="2065" w:name="_Toc36224607"/>
      <w:bookmarkStart w:id="2066" w:name="_Toc65243604"/>
      <w:bookmarkStart w:id="2067" w:name="_Toc131591401"/>
      <w:bookmarkStart w:id="2068" w:name="_Toc158979959"/>
      <w:bookmarkStart w:id="2069" w:name="_Toc164153892"/>
      <w:bookmarkStart w:id="2070" w:name="_Toc190873126"/>
      <w:bookmarkStart w:id="2071" w:name="_Toc194241765"/>
      <w:r w:rsidRPr="001D5327">
        <w:t>Table 6.5.1</w:t>
      </w:r>
      <w:r w:rsidRPr="001D5327">
        <w:tab/>
        <w:t xml:space="preserve">New Zealand’s land-use change by </w:t>
      </w:r>
      <w:r w:rsidRPr="001D5327">
        <w:rPr>
          <w:i/>
        </w:rPr>
        <w:t>Cropland</w:t>
      </w:r>
      <w:r w:rsidRPr="001D5327">
        <w:t xml:space="preserve"> category, and associated CO</w:t>
      </w:r>
      <w:r w:rsidRPr="001D5327">
        <w:rPr>
          <w:vertAlign w:val="subscript"/>
        </w:rPr>
        <w:t>2</w:t>
      </w:r>
      <w:r w:rsidRPr="001D5327">
        <w:rPr>
          <w:spacing w:val="-2"/>
        </w:rPr>
        <w:t>-</w:t>
      </w:r>
      <w:r w:rsidRPr="001D5327">
        <w:t>e emissions</w:t>
      </w:r>
      <w:bookmarkEnd w:id="2050"/>
      <w:bookmarkEnd w:id="2051"/>
      <w:bookmarkEnd w:id="2052"/>
      <w:bookmarkEnd w:id="2053"/>
      <w:bookmarkEnd w:id="2054"/>
      <w:bookmarkEnd w:id="2055"/>
      <w:r w:rsidRPr="001D5327">
        <w:t>, 1990</w:t>
      </w:r>
      <w:bookmarkEnd w:id="2056"/>
      <w:r w:rsidRPr="001D5327">
        <w:t> and</w:t>
      </w:r>
      <w:bookmarkEnd w:id="2057"/>
      <w:bookmarkEnd w:id="2058"/>
      <w:bookmarkEnd w:id="2059"/>
      <w:bookmarkEnd w:id="2060"/>
      <w:bookmarkEnd w:id="2061"/>
      <w:bookmarkEnd w:id="2062"/>
      <w:bookmarkEnd w:id="2063"/>
      <w:bookmarkEnd w:id="2064"/>
      <w:bookmarkEnd w:id="2065"/>
      <w:bookmarkEnd w:id="2066"/>
      <w:bookmarkEnd w:id="2067"/>
      <w:bookmarkEnd w:id="2068"/>
      <w:bookmarkEnd w:id="2069"/>
      <w:r w:rsidRPr="001D5327">
        <w:t> 2023</w:t>
      </w:r>
      <w:bookmarkEnd w:id="2070"/>
      <w:bookmarkEnd w:id="2071"/>
    </w:p>
    <w:tbl>
      <w:tblPr>
        <w:tblW w:w="0" w:type="auto"/>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551"/>
        <w:gridCol w:w="1020"/>
        <w:gridCol w:w="1020"/>
        <w:gridCol w:w="1134"/>
        <w:gridCol w:w="850"/>
        <w:gridCol w:w="850"/>
        <w:gridCol w:w="1134"/>
      </w:tblGrid>
      <w:tr w:rsidR="00E0181F" w:rsidRPr="001D5327" w14:paraId="0C2E804C" w14:textId="77777777" w:rsidTr="00D11AC9">
        <w:trPr>
          <w:tblHeader/>
        </w:trPr>
        <w:tc>
          <w:tcPr>
            <w:tcW w:w="2551" w:type="dxa"/>
            <w:shd w:val="clear" w:color="auto" w:fill="1B556B"/>
            <w:tcMar>
              <w:top w:w="0" w:type="dxa"/>
              <w:left w:w="85" w:type="dxa"/>
              <w:bottom w:w="0" w:type="dxa"/>
              <w:right w:w="85" w:type="dxa"/>
            </w:tcMar>
          </w:tcPr>
          <w:p w14:paraId="231A8AB9" w14:textId="77777777" w:rsidR="00E0181F" w:rsidRPr="001D5327" w:rsidRDefault="00E0181F" w:rsidP="00405B41">
            <w:pPr>
              <w:pStyle w:val="TableTextBold"/>
              <w:spacing w:before="40" w:after="0"/>
              <w:rPr>
                <w:noProof w:val="0"/>
                <w:color w:val="FFFFFF" w:themeColor="background1"/>
              </w:rPr>
            </w:pPr>
          </w:p>
        </w:tc>
        <w:tc>
          <w:tcPr>
            <w:tcW w:w="3174" w:type="dxa"/>
            <w:gridSpan w:val="3"/>
            <w:shd w:val="clear" w:color="auto" w:fill="1B556B"/>
            <w:tcMar>
              <w:top w:w="0" w:type="dxa"/>
              <w:left w:w="85" w:type="dxa"/>
              <w:bottom w:w="0" w:type="dxa"/>
              <w:right w:w="85" w:type="dxa"/>
            </w:tcMar>
          </w:tcPr>
          <w:p w14:paraId="4C488F5B" w14:textId="77777777" w:rsidR="00E0181F" w:rsidRPr="001D5327" w:rsidRDefault="00E0181F" w:rsidP="00405B41">
            <w:pPr>
              <w:pStyle w:val="TableTextBold"/>
              <w:spacing w:before="40" w:after="0"/>
              <w:jc w:val="center"/>
              <w:rPr>
                <w:noProof w:val="0"/>
                <w:color w:val="FFFFFF" w:themeColor="background1"/>
              </w:rPr>
            </w:pPr>
            <w:r w:rsidRPr="001D5327">
              <w:rPr>
                <w:rFonts w:eastAsia="Calibri"/>
                <w:noProof w:val="0"/>
                <w:color w:val="FFFFFF" w:themeColor="background1"/>
              </w:rPr>
              <w:t>Net area (ha)</w:t>
            </w:r>
          </w:p>
        </w:tc>
        <w:tc>
          <w:tcPr>
            <w:tcW w:w="2834" w:type="dxa"/>
            <w:gridSpan w:val="3"/>
            <w:shd w:val="clear" w:color="auto" w:fill="1B556B"/>
            <w:tcMar>
              <w:top w:w="0" w:type="dxa"/>
              <w:left w:w="85" w:type="dxa"/>
              <w:bottom w:w="0" w:type="dxa"/>
              <w:right w:w="85" w:type="dxa"/>
            </w:tcMar>
          </w:tcPr>
          <w:p w14:paraId="16B08016" w14:textId="77777777" w:rsidR="00E0181F" w:rsidRPr="001D5327" w:rsidRDefault="00E0181F" w:rsidP="00405B41">
            <w:pPr>
              <w:pStyle w:val="TableTextBold"/>
              <w:spacing w:before="40" w:after="0"/>
              <w:jc w:val="center"/>
              <w:rPr>
                <w:noProof w:val="0"/>
                <w:color w:val="FFFFFF" w:themeColor="background1"/>
              </w:rPr>
            </w:pPr>
            <w:r w:rsidRPr="001D5327">
              <w:rPr>
                <w:rFonts w:eastAsia="Calibri"/>
                <w:noProof w:val="0"/>
                <w:color w:val="FFFFFF" w:themeColor="background1"/>
              </w:rPr>
              <w:t>Net emissions (kt CO₂-e)</w:t>
            </w:r>
          </w:p>
        </w:tc>
      </w:tr>
      <w:tr w:rsidR="00E0181F" w:rsidRPr="001D5327" w14:paraId="25D28F91" w14:textId="77777777" w:rsidTr="00D11AC9">
        <w:trPr>
          <w:tblHeader/>
        </w:trPr>
        <w:tc>
          <w:tcPr>
            <w:tcW w:w="2551" w:type="dxa"/>
            <w:shd w:val="clear" w:color="auto" w:fill="1B556B"/>
            <w:tcMar>
              <w:top w:w="0" w:type="dxa"/>
              <w:left w:w="85" w:type="dxa"/>
              <w:bottom w:w="0" w:type="dxa"/>
              <w:right w:w="85" w:type="dxa"/>
            </w:tcMar>
            <w:vAlign w:val="bottom"/>
          </w:tcPr>
          <w:p w14:paraId="6EFC8ED7" w14:textId="77777777" w:rsidR="00E0181F" w:rsidRPr="001D5327" w:rsidRDefault="00E0181F" w:rsidP="00081B2A">
            <w:pPr>
              <w:pStyle w:val="TableTextBold"/>
              <w:spacing w:before="0" w:after="30"/>
              <w:rPr>
                <w:noProof w:val="0"/>
                <w:color w:val="FFFFFF" w:themeColor="background1"/>
              </w:rPr>
            </w:pPr>
            <w:r w:rsidRPr="001D5327">
              <w:rPr>
                <w:rFonts w:eastAsia="Calibri"/>
                <w:noProof w:val="0"/>
                <w:color w:val="FFFFFF" w:themeColor="background1"/>
              </w:rPr>
              <w:t>Land use category</w:t>
            </w:r>
          </w:p>
        </w:tc>
        <w:tc>
          <w:tcPr>
            <w:tcW w:w="1020" w:type="dxa"/>
            <w:shd w:val="clear" w:color="auto" w:fill="1B556B"/>
            <w:tcMar>
              <w:top w:w="0" w:type="dxa"/>
              <w:left w:w="85" w:type="dxa"/>
              <w:bottom w:w="0" w:type="dxa"/>
              <w:right w:w="85" w:type="dxa"/>
            </w:tcMar>
            <w:vAlign w:val="bottom"/>
          </w:tcPr>
          <w:p w14:paraId="6A00C6E3" w14:textId="77777777" w:rsidR="00E0181F" w:rsidRPr="001D5327" w:rsidRDefault="00E0181F" w:rsidP="00081B2A">
            <w:pPr>
              <w:pStyle w:val="TableTextBold"/>
              <w:spacing w:before="0" w:after="30"/>
              <w:jc w:val="right"/>
              <w:rPr>
                <w:noProof w:val="0"/>
                <w:color w:val="FFFFFF" w:themeColor="background1"/>
              </w:rPr>
            </w:pPr>
            <w:r w:rsidRPr="001D5327">
              <w:rPr>
                <w:rFonts w:eastAsia="Calibri"/>
                <w:noProof w:val="0"/>
                <w:color w:val="FFFFFF" w:themeColor="background1"/>
              </w:rPr>
              <w:t>1990</w:t>
            </w:r>
          </w:p>
        </w:tc>
        <w:tc>
          <w:tcPr>
            <w:tcW w:w="1020" w:type="dxa"/>
            <w:shd w:val="clear" w:color="auto" w:fill="1B556B"/>
            <w:tcMar>
              <w:top w:w="0" w:type="dxa"/>
              <w:left w:w="85" w:type="dxa"/>
              <w:bottom w:w="0" w:type="dxa"/>
              <w:right w:w="85" w:type="dxa"/>
            </w:tcMar>
            <w:vAlign w:val="bottom"/>
          </w:tcPr>
          <w:p w14:paraId="3ADAEB2D" w14:textId="77777777" w:rsidR="00E0181F" w:rsidRPr="001D5327" w:rsidRDefault="00E0181F" w:rsidP="00081B2A">
            <w:pPr>
              <w:pStyle w:val="TableTextBold"/>
              <w:spacing w:before="0" w:after="30"/>
              <w:jc w:val="right"/>
              <w:rPr>
                <w:noProof w:val="0"/>
                <w:color w:val="FFFFFF" w:themeColor="background1"/>
              </w:rPr>
            </w:pPr>
            <w:r w:rsidRPr="001D5327">
              <w:rPr>
                <w:rFonts w:eastAsia="Calibri"/>
                <w:noProof w:val="0"/>
                <w:color w:val="FFFFFF" w:themeColor="background1"/>
              </w:rPr>
              <w:t>2023</w:t>
            </w:r>
          </w:p>
        </w:tc>
        <w:tc>
          <w:tcPr>
            <w:tcW w:w="1134" w:type="dxa"/>
            <w:shd w:val="clear" w:color="auto" w:fill="1B556B"/>
            <w:tcMar>
              <w:top w:w="0" w:type="dxa"/>
              <w:left w:w="85" w:type="dxa"/>
              <w:bottom w:w="0" w:type="dxa"/>
              <w:right w:w="85" w:type="dxa"/>
            </w:tcMar>
            <w:vAlign w:val="bottom"/>
          </w:tcPr>
          <w:p w14:paraId="7B7CE8B9" w14:textId="77777777" w:rsidR="00E0181F" w:rsidRPr="001D5327" w:rsidRDefault="00E0181F" w:rsidP="00081B2A">
            <w:pPr>
              <w:pStyle w:val="TableTextBold"/>
              <w:spacing w:before="0" w:after="30"/>
              <w:jc w:val="right"/>
              <w:rPr>
                <w:noProof w:val="0"/>
                <w:color w:val="FFFFFF" w:themeColor="background1"/>
              </w:rPr>
            </w:pPr>
            <w:r w:rsidRPr="001D5327">
              <w:rPr>
                <w:rFonts w:eastAsia="Calibri"/>
                <w:noProof w:val="0"/>
                <w:color w:val="FFFFFF" w:themeColor="background1"/>
              </w:rPr>
              <w:t>Change from 1990 (%)</w:t>
            </w:r>
          </w:p>
        </w:tc>
        <w:tc>
          <w:tcPr>
            <w:tcW w:w="850" w:type="dxa"/>
            <w:shd w:val="clear" w:color="auto" w:fill="1B556B"/>
            <w:tcMar>
              <w:top w:w="0" w:type="dxa"/>
              <w:left w:w="85" w:type="dxa"/>
              <w:bottom w:w="0" w:type="dxa"/>
              <w:right w:w="85" w:type="dxa"/>
            </w:tcMar>
            <w:vAlign w:val="bottom"/>
          </w:tcPr>
          <w:p w14:paraId="01F8F713" w14:textId="77777777" w:rsidR="00E0181F" w:rsidRPr="001D5327" w:rsidRDefault="00E0181F" w:rsidP="00081B2A">
            <w:pPr>
              <w:pStyle w:val="TableTextBold"/>
              <w:spacing w:before="0" w:after="30"/>
              <w:jc w:val="right"/>
              <w:rPr>
                <w:noProof w:val="0"/>
                <w:color w:val="FFFFFF" w:themeColor="background1"/>
              </w:rPr>
            </w:pPr>
            <w:r w:rsidRPr="001D5327">
              <w:rPr>
                <w:rFonts w:eastAsia="Calibri"/>
                <w:noProof w:val="0"/>
                <w:color w:val="FFFFFF" w:themeColor="background1"/>
              </w:rPr>
              <w:t>1990</w:t>
            </w:r>
          </w:p>
        </w:tc>
        <w:tc>
          <w:tcPr>
            <w:tcW w:w="850" w:type="dxa"/>
            <w:shd w:val="clear" w:color="auto" w:fill="1B556B"/>
            <w:tcMar>
              <w:top w:w="0" w:type="dxa"/>
              <w:left w:w="85" w:type="dxa"/>
              <w:bottom w:w="0" w:type="dxa"/>
              <w:right w:w="85" w:type="dxa"/>
            </w:tcMar>
            <w:vAlign w:val="bottom"/>
          </w:tcPr>
          <w:p w14:paraId="472B3CBD" w14:textId="77777777" w:rsidR="00E0181F" w:rsidRPr="001D5327" w:rsidRDefault="00E0181F" w:rsidP="00081B2A">
            <w:pPr>
              <w:pStyle w:val="TableTextBold"/>
              <w:spacing w:before="0" w:after="30"/>
              <w:jc w:val="right"/>
              <w:rPr>
                <w:noProof w:val="0"/>
                <w:color w:val="FFFFFF" w:themeColor="background1"/>
              </w:rPr>
            </w:pPr>
            <w:r w:rsidRPr="001D5327">
              <w:rPr>
                <w:rFonts w:eastAsia="Calibri"/>
                <w:noProof w:val="0"/>
                <w:color w:val="FFFFFF" w:themeColor="background1"/>
              </w:rPr>
              <w:t>2023</w:t>
            </w:r>
          </w:p>
        </w:tc>
        <w:tc>
          <w:tcPr>
            <w:tcW w:w="1134" w:type="dxa"/>
            <w:shd w:val="clear" w:color="auto" w:fill="1B556B"/>
            <w:tcMar>
              <w:top w:w="0" w:type="dxa"/>
              <w:left w:w="85" w:type="dxa"/>
              <w:bottom w:w="0" w:type="dxa"/>
              <w:right w:w="85" w:type="dxa"/>
            </w:tcMar>
            <w:vAlign w:val="bottom"/>
          </w:tcPr>
          <w:p w14:paraId="60C5F846" w14:textId="77777777" w:rsidR="00E0181F" w:rsidRPr="001D5327" w:rsidRDefault="00E0181F" w:rsidP="00081B2A">
            <w:pPr>
              <w:pStyle w:val="TableTextBold"/>
              <w:spacing w:before="0" w:after="30"/>
              <w:jc w:val="right"/>
              <w:rPr>
                <w:noProof w:val="0"/>
                <w:color w:val="FFFFFF" w:themeColor="background1"/>
              </w:rPr>
            </w:pPr>
            <w:r w:rsidRPr="001D5327">
              <w:rPr>
                <w:rFonts w:eastAsia="Calibri"/>
                <w:noProof w:val="0"/>
                <w:color w:val="FFFFFF" w:themeColor="background1"/>
              </w:rPr>
              <w:t>Change from 1990 (%)</w:t>
            </w:r>
          </w:p>
        </w:tc>
      </w:tr>
      <w:tr w:rsidR="00E0181F" w:rsidRPr="001D5327" w14:paraId="5A4739D4" w14:textId="77777777" w:rsidTr="00D11AC9">
        <w:tc>
          <w:tcPr>
            <w:tcW w:w="2551" w:type="dxa"/>
            <w:shd w:val="clear" w:color="auto" w:fill="FFFFFF"/>
            <w:tcMar>
              <w:top w:w="0" w:type="dxa"/>
              <w:left w:w="85" w:type="dxa"/>
              <w:bottom w:w="0" w:type="dxa"/>
              <w:right w:w="85" w:type="dxa"/>
            </w:tcMar>
          </w:tcPr>
          <w:p w14:paraId="19DA6400" w14:textId="77777777" w:rsidR="00E0181F" w:rsidRPr="001D5327" w:rsidRDefault="00E0181F" w:rsidP="00081B2A">
            <w:pPr>
              <w:pStyle w:val="TableText"/>
              <w:spacing w:before="30" w:after="30"/>
            </w:pPr>
            <w:r w:rsidRPr="001D5327">
              <w:rPr>
                <w:rFonts w:eastAsia="Calibri" w:cs="Calibri"/>
                <w:color w:val="000000"/>
                <w:szCs w:val="16"/>
              </w:rPr>
              <w:t>Cropland remaining cropland</w:t>
            </w:r>
          </w:p>
        </w:tc>
        <w:tc>
          <w:tcPr>
            <w:tcW w:w="1020" w:type="dxa"/>
            <w:shd w:val="clear" w:color="auto" w:fill="FFFFFF"/>
            <w:tcMar>
              <w:top w:w="0" w:type="dxa"/>
              <w:left w:w="85" w:type="dxa"/>
              <w:bottom w:w="0" w:type="dxa"/>
              <w:right w:w="85" w:type="dxa"/>
            </w:tcMar>
          </w:tcPr>
          <w:p w14:paraId="6A3B21EC" w14:textId="77777777" w:rsidR="00E0181F" w:rsidRPr="001D5327" w:rsidRDefault="00E0181F" w:rsidP="00081B2A">
            <w:pPr>
              <w:pStyle w:val="TableText"/>
              <w:spacing w:before="30" w:after="30"/>
              <w:jc w:val="right"/>
            </w:pPr>
            <w:r w:rsidRPr="001D5327">
              <w:rPr>
                <w:rFonts w:eastAsia="Calibri" w:cs="Calibri"/>
                <w:color w:val="000000"/>
                <w:szCs w:val="16"/>
              </w:rPr>
              <w:t>395,803</w:t>
            </w:r>
          </w:p>
        </w:tc>
        <w:tc>
          <w:tcPr>
            <w:tcW w:w="1020" w:type="dxa"/>
            <w:shd w:val="clear" w:color="auto" w:fill="FFFFFF"/>
            <w:tcMar>
              <w:top w:w="0" w:type="dxa"/>
              <w:left w:w="85" w:type="dxa"/>
              <w:bottom w:w="0" w:type="dxa"/>
              <w:right w:w="85" w:type="dxa"/>
            </w:tcMar>
          </w:tcPr>
          <w:p w14:paraId="79915756" w14:textId="77777777" w:rsidR="00E0181F" w:rsidRPr="001D5327" w:rsidRDefault="00E0181F" w:rsidP="00081B2A">
            <w:pPr>
              <w:pStyle w:val="TableText"/>
              <w:spacing w:before="30" w:after="30"/>
              <w:jc w:val="right"/>
            </w:pPr>
            <w:r w:rsidRPr="001D5327">
              <w:rPr>
                <w:rFonts w:eastAsia="Calibri" w:cs="Calibri"/>
                <w:color w:val="000000"/>
                <w:szCs w:val="16"/>
              </w:rPr>
              <w:t>369,157</w:t>
            </w:r>
          </w:p>
        </w:tc>
        <w:tc>
          <w:tcPr>
            <w:tcW w:w="1134" w:type="dxa"/>
            <w:shd w:val="clear" w:color="auto" w:fill="FFFFFF"/>
            <w:tcMar>
              <w:top w:w="0" w:type="dxa"/>
              <w:left w:w="85" w:type="dxa"/>
              <w:bottom w:w="0" w:type="dxa"/>
              <w:right w:w="85" w:type="dxa"/>
            </w:tcMar>
          </w:tcPr>
          <w:p w14:paraId="57D08111" w14:textId="1AB4F6E6" w:rsidR="00E0181F" w:rsidRPr="001D5327" w:rsidRDefault="0070503C" w:rsidP="00081B2A">
            <w:pPr>
              <w:pStyle w:val="TableText"/>
              <w:spacing w:before="30" w:after="30"/>
              <w:jc w:val="right"/>
            </w:pPr>
            <w:r>
              <w:rPr>
                <w:rFonts w:eastAsia="Calibri" w:cs="Calibri"/>
                <w:color w:val="000000"/>
                <w:szCs w:val="16"/>
              </w:rPr>
              <w:t>-</w:t>
            </w:r>
            <w:r w:rsidR="00E0181F" w:rsidRPr="001D5327">
              <w:rPr>
                <w:rFonts w:eastAsia="Calibri" w:cs="Calibri"/>
                <w:color w:val="000000"/>
                <w:szCs w:val="16"/>
              </w:rPr>
              <w:t>6.7</w:t>
            </w:r>
          </w:p>
        </w:tc>
        <w:tc>
          <w:tcPr>
            <w:tcW w:w="850" w:type="dxa"/>
            <w:shd w:val="clear" w:color="auto" w:fill="FFFFFF"/>
            <w:tcMar>
              <w:top w:w="0" w:type="dxa"/>
              <w:left w:w="85" w:type="dxa"/>
              <w:bottom w:w="0" w:type="dxa"/>
              <w:right w:w="85" w:type="dxa"/>
            </w:tcMar>
          </w:tcPr>
          <w:p w14:paraId="74F448B5" w14:textId="77777777" w:rsidR="00E0181F" w:rsidRPr="001D5327" w:rsidRDefault="00E0181F" w:rsidP="00081B2A">
            <w:pPr>
              <w:pStyle w:val="TableText"/>
              <w:spacing w:before="30" w:after="30"/>
              <w:jc w:val="right"/>
            </w:pPr>
            <w:r w:rsidRPr="001D5327">
              <w:rPr>
                <w:rFonts w:eastAsia="Calibri" w:cs="Calibri"/>
                <w:color w:val="000000"/>
                <w:szCs w:val="16"/>
              </w:rPr>
              <w:t>352.9</w:t>
            </w:r>
          </w:p>
        </w:tc>
        <w:tc>
          <w:tcPr>
            <w:tcW w:w="850" w:type="dxa"/>
            <w:shd w:val="clear" w:color="auto" w:fill="FFFFFF"/>
            <w:tcMar>
              <w:top w:w="0" w:type="dxa"/>
              <w:left w:w="85" w:type="dxa"/>
              <w:bottom w:w="0" w:type="dxa"/>
              <w:right w:w="85" w:type="dxa"/>
            </w:tcMar>
          </w:tcPr>
          <w:p w14:paraId="5A96384B" w14:textId="77777777" w:rsidR="00E0181F" w:rsidRPr="001D5327" w:rsidRDefault="00E0181F" w:rsidP="00081B2A">
            <w:pPr>
              <w:pStyle w:val="TableText"/>
              <w:spacing w:before="30" w:after="30"/>
              <w:jc w:val="right"/>
            </w:pPr>
            <w:r w:rsidRPr="001D5327">
              <w:rPr>
                <w:rFonts w:eastAsia="Calibri" w:cs="Calibri"/>
                <w:color w:val="000000"/>
                <w:szCs w:val="16"/>
              </w:rPr>
              <w:t>256.1</w:t>
            </w:r>
          </w:p>
        </w:tc>
        <w:tc>
          <w:tcPr>
            <w:tcW w:w="1134" w:type="dxa"/>
            <w:shd w:val="clear" w:color="auto" w:fill="FFFFFF"/>
            <w:tcMar>
              <w:top w:w="0" w:type="dxa"/>
              <w:left w:w="85" w:type="dxa"/>
              <w:bottom w:w="0" w:type="dxa"/>
              <w:right w:w="85" w:type="dxa"/>
            </w:tcMar>
          </w:tcPr>
          <w:p w14:paraId="4FFA8EDB" w14:textId="195F5166" w:rsidR="00E0181F" w:rsidRPr="001D5327" w:rsidRDefault="0070503C" w:rsidP="00081B2A">
            <w:pPr>
              <w:pStyle w:val="TableText"/>
              <w:spacing w:before="30" w:after="30"/>
              <w:jc w:val="right"/>
            </w:pPr>
            <w:r>
              <w:rPr>
                <w:rFonts w:eastAsia="Calibri" w:cs="Calibri"/>
                <w:color w:val="000000"/>
                <w:szCs w:val="16"/>
              </w:rPr>
              <w:t>-</w:t>
            </w:r>
            <w:r w:rsidR="00E0181F" w:rsidRPr="001D5327">
              <w:rPr>
                <w:rFonts w:eastAsia="Calibri" w:cs="Calibri"/>
                <w:color w:val="000000"/>
                <w:szCs w:val="16"/>
              </w:rPr>
              <w:t>27.4</w:t>
            </w:r>
          </w:p>
        </w:tc>
      </w:tr>
      <w:tr w:rsidR="00E0181F" w:rsidRPr="001D5327" w14:paraId="4DD84BFE" w14:textId="77777777" w:rsidTr="00D11AC9">
        <w:tc>
          <w:tcPr>
            <w:tcW w:w="2551" w:type="dxa"/>
            <w:shd w:val="clear" w:color="auto" w:fill="FFFFFF"/>
            <w:tcMar>
              <w:top w:w="0" w:type="dxa"/>
              <w:left w:w="85" w:type="dxa"/>
              <w:bottom w:w="0" w:type="dxa"/>
              <w:right w:w="85" w:type="dxa"/>
            </w:tcMar>
          </w:tcPr>
          <w:p w14:paraId="798264C9" w14:textId="77777777" w:rsidR="00E0181F" w:rsidRPr="001D5327" w:rsidRDefault="00E0181F" w:rsidP="00081B2A">
            <w:pPr>
              <w:pStyle w:val="TableText"/>
              <w:spacing w:before="30" w:after="30"/>
            </w:pPr>
            <w:r w:rsidRPr="001D5327">
              <w:rPr>
                <w:rFonts w:eastAsia="Calibri" w:cs="Calibri"/>
                <w:color w:val="000000"/>
                <w:szCs w:val="16"/>
              </w:rPr>
              <w:t>Land converted to cropland</w:t>
            </w:r>
          </w:p>
        </w:tc>
        <w:tc>
          <w:tcPr>
            <w:tcW w:w="1020" w:type="dxa"/>
            <w:shd w:val="clear" w:color="auto" w:fill="FFFFFF"/>
            <w:tcMar>
              <w:top w:w="0" w:type="dxa"/>
              <w:left w:w="85" w:type="dxa"/>
              <w:bottom w:w="0" w:type="dxa"/>
              <w:right w:w="85" w:type="dxa"/>
            </w:tcMar>
          </w:tcPr>
          <w:p w14:paraId="1A616D01" w14:textId="77777777" w:rsidR="00E0181F" w:rsidRPr="001D5327" w:rsidRDefault="00E0181F" w:rsidP="00081B2A">
            <w:pPr>
              <w:pStyle w:val="TableText"/>
              <w:spacing w:before="30" w:after="30"/>
              <w:jc w:val="right"/>
            </w:pPr>
            <w:r w:rsidRPr="001D5327">
              <w:rPr>
                <w:rFonts w:eastAsia="Calibri" w:cs="Calibri"/>
                <w:color w:val="000000"/>
                <w:szCs w:val="16"/>
              </w:rPr>
              <w:t>28,302</w:t>
            </w:r>
          </w:p>
        </w:tc>
        <w:tc>
          <w:tcPr>
            <w:tcW w:w="1020" w:type="dxa"/>
            <w:shd w:val="clear" w:color="auto" w:fill="FFFFFF"/>
            <w:tcMar>
              <w:top w:w="0" w:type="dxa"/>
              <w:left w:w="85" w:type="dxa"/>
              <w:bottom w:w="0" w:type="dxa"/>
              <w:right w:w="85" w:type="dxa"/>
            </w:tcMar>
          </w:tcPr>
          <w:p w14:paraId="269F8E1D" w14:textId="77777777" w:rsidR="00E0181F" w:rsidRPr="001D5327" w:rsidRDefault="00E0181F" w:rsidP="00081B2A">
            <w:pPr>
              <w:pStyle w:val="TableText"/>
              <w:spacing w:before="30" w:after="30"/>
              <w:jc w:val="right"/>
            </w:pPr>
            <w:r w:rsidRPr="001D5327">
              <w:rPr>
                <w:rFonts w:eastAsia="Calibri" w:cs="Calibri"/>
                <w:color w:val="000000"/>
                <w:szCs w:val="16"/>
              </w:rPr>
              <w:t>128,082</w:t>
            </w:r>
          </w:p>
        </w:tc>
        <w:tc>
          <w:tcPr>
            <w:tcW w:w="1134" w:type="dxa"/>
            <w:shd w:val="clear" w:color="auto" w:fill="FFFFFF"/>
            <w:tcMar>
              <w:top w:w="0" w:type="dxa"/>
              <w:left w:w="85" w:type="dxa"/>
              <w:bottom w:w="0" w:type="dxa"/>
              <w:right w:w="85" w:type="dxa"/>
            </w:tcMar>
          </w:tcPr>
          <w:p w14:paraId="521BC4B4" w14:textId="77777777" w:rsidR="00E0181F" w:rsidRPr="001D5327" w:rsidRDefault="00E0181F" w:rsidP="00081B2A">
            <w:pPr>
              <w:pStyle w:val="TableText"/>
              <w:spacing w:before="30" w:after="30"/>
              <w:jc w:val="right"/>
            </w:pPr>
            <w:r w:rsidRPr="001D5327">
              <w:rPr>
                <w:rFonts w:eastAsia="Calibri" w:cs="Calibri"/>
                <w:color w:val="000000"/>
                <w:szCs w:val="16"/>
              </w:rPr>
              <w:t>352.6</w:t>
            </w:r>
          </w:p>
        </w:tc>
        <w:tc>
          <w:tcPr>
            <w:tcW w:w="850" w:type="dxa"/>
            <w:shd w:val="clear" w:color="auto" w:fill="FFFFFF"/>
            <w:tcMar>
              <w:top w:w="0" w:type="dxa"/>
              <w:left w:w="85" w:type="dxa"/>
              <w:bottom w:w="0" w:type="dxa"/>
              <w:right w:w="85" w:type="dxa"/>
            </w:tcMar>
          </w:tcPr>
          <w:p w14:paraId="0E5602E3" w14:textId="77777777" w:rsidR="00E0181F" w:rsidRPr="001D5327" w:rsidRDefault="00E0181F" w:rsidP="00081B2A">
            <w:pPr>
              <w:pStyle w:val="TableText"/>
              <w:spacing w:before="30" w:after="30"/>
              <w:jc w:val="right"/>
            </w:pPr>
            <w:r w:rsidRPr="001D5327">
              <w:rPr>
                <w:rFonts w:eastAsia="Calibri" w:cs="Calibri"/>
                <w:color w:val="000000"/>
                <w:szCs w:val="16"/>
              </w:rPr>
              <w:t>125.4</w:t>
            </w:r>
          </w:p>
        </w:tc>
        <w:tc>
          <w:tcPr>
            <w:tcW w:w="850" w:type="dxa"/>
            <w:shd w:val="clear" w:color="auto" w:fill="FFFFFF"/>
            <w:tcMar>
              <w:top w:w="0" w:type="dxa"/>
              <w:left w:w="85" w:type="dxa"/>
              <w:bottom w:w="0" w:type="dxa"/>
              <w:right w:w="85" w:type="dxa"/>
            </w:tcMar>
          </w:tcPr>
          <w:p w14:paraId="14B97B9C" w14:textId="77777777" w:rsidR="00E0181F" w:rsidRPr="001D5327" w:rsidRDefault="00E0181F" w:rsidP="00081B2A">
            <w:pPr>
              <w:pStyle w:val="TableText"/>
              <w:spacing w:before="30" w:after="30"/>
              <w:jc w:val="right"/>
            </w:pPr>
            <w:r w:rsidRPr="001D5327">
              <w:rPr>
                <w:rFonts w:eastAsia="Calibri" w:cs="Calibri"/>
                <w:color w:val="000000"/>
                <w:szCs w:val="16"/>
              </w:rPr>
              <w:t>493.7</w:t>
            </w:r>
          </w:p>
        </w:tc>
        <w:tc>
          <w:tcPr>
            <w:tcW w:w="1134" w:type="dxa"/>
            <w:shd w:val="clear" w:color="auto" w:fill="FFFFFF"/>
            <w:tcMar>
              <w:top w:w="0" w:type="dxa"/>
              <w:left w:w="85" w:type="dxa"/>
              <w:bottom w:w="0" w:type="dxa"/>
              <w:right w:w="85" w:type="dxa"/>
            </w:tcMar>
          </w:tcPr>
          <w:p w14:paraId="2AC7CB8B" w14:textId="77777777" w:rsidR="00E0181F" w:rsidRPr="001D5327" w:rsidRDefault="00E0181F" w:rsidP="00081B2A">
            <w:pPr>
              <w:pStyle w:val="TableText"/>
              <w:spacing w:before="30" w:after="30"/>
              <w:jc w:val="right"/>
            </w:pPr>
            <w:r w:rsidRPr="001D5327">
              <w:rPr>
                <w:rFonts w:eastAsia="Calibri" w:cs="Calibri"/>
                <w:color w:val="000000"/>
                <w:szCs w:val="16"/>
              </w:rPr>
              <w:t>293.8</w:t>
            </w:r>
          </w:p>
        </w:tc>
      </w:tr>
      <w:tr w:rsidR="00E0181F" w:rsidRPr="001D5327" w14:paraId="12D2A37B" w14:textId="77777777" w:rsidTr="00D11AC9">
        <w:tc>
          <w:tcPr>
            <w:tcW w:w="2551" w:type="dxa"/>
            <w:shd w:val="clear" w:color="auto" w:fill="FFFFFF"/>
            <w:tcMar>
              <w:top w:w="0" w:type="dxa"/>
              <w:left w:w="85" w:type="dxa"/>
              <w:bottom w:w="0" w:type="dxa"/>
              <w:right w:w="85" w:type="dxa"/>
            </w:tcMar>
          </w:tcPr>
          <w:p w14:paraId="7DE82776" w14:textId="77777777" w:rsidR="00E0181F" w:rsidRPr="001D5327" w:rsidRDefault="00E0181F" w:rsidP="00081B2A">
            <w:pPr>
              <w:pStyle w:val="Tableboldblue"/>
              <w:spacing w:before="30" w:after="30"/>
            </w:pPr>
            <w:r w:rsidRPr="001D5327">
              <w:rPr>
                <w:rFonts w:eastAsia="Calibri"/>
              </w:rPr>
              <w:t>Total</w:t>
            </w:r>
          </w:p>
        </w:tc>
        <w:tc>
          <w:tcPr>
            <w:tcW w:w="1020" w:type="dxa"/>
            <w:shd w:val="clear" w:color="auto" w:fill="FFFFFF"/>
            <w:tcMar>
              <w:top w:w="0" w:type="dxa"/>
              <w:left w:w="85" w:type="dxa"/>
              <w:bottom w:w="0" w:type="dxa"/>
              <w:right w:w="85" w:type="dxa"/>
            </w:tcMar>
          </w:tcPr>
          <w:p w14:paraId="4E3ED20D" w14:textId="77777777" w:rsidR="00E0181F" w:rsidRPr="001D5327" w:rsidRDefault="00E0181F" w:rsidP="00081B2A">
            <w:pPr>
              <w:pStyle w:val="Tableboldblue"/>
              <w:spacing w:before="30" w:after="30"/>
              <w:jc w:val="right"/>
            </w:pPr>
            <w:r w:rsidRPr="001D5327">
              <w:rPr>
                <w:rFonts w:eastAsia="Calibri"/>
              </w:rPr>
              <w:t>424,104</w:t>
            </w:r>
          </w:p>
        </w:tc>
        <w:tc>
          <w:tcPr>
            <w:tcW w:w="1020" w:type="dxa"/>
            <w:shd w:val="clear" w:color="auto" w:fill="FFFFFF"/>
            <w:tcMar>
              <w:top w:w="0" w:type="dxa"/>
              <w:left w:w="85" w:type="dxa"/>
              <w:bottom w:w="0" w:type="dxa"/>
              <w:right w:w="85" w:type="dxa"/>
            </w:tcMar>
          </w:tcPr>
          <w:p w14:paraId="5B0D240C" w14:textId="77777777" w:rsidR="00E0181F" w:rsidRPr="001D5327" w:rsidRDefault="00E0181F" w:rsidP="00081B2A">
            <w:pPr>
              <w:pStyle w:val="Tableboldblue"/>
              <w:spacing w:before="30" w:after="30"/>
              <w:jc w:val="right"/>
            </w:pPr>
            <w:r w:rsidRPr="001D5327">
              <w:rPr>
                <w:rFonts w:eastAsia="Calibri"/>
              </w:rPr>
              <w:t>497,239</w:t>
            </w:r>
          </w:p>
        </w:tc>
        <w:tc>
          <w:tcPr>
            <w:tcW w:w="1134" w:type="dxa"/>
            <w:shd w:val="clear" w:color="auto" w:fill="FFFFFF"/>
            <w:tcMar>
              <w:top w:w="0" w:type="dxa"/>
              <w:left w:w="85" w:type="dxa"/>
              <w:bottom w:w="0" w:type="dxa"/>
              <w:right w:w="85" w:type="dxa"/>
            </w:tcMar>
          </w:tcPr>
          <w:p w14:paraId="222CCCB5" w14:textId="77777777" w:rsidR="00E0181F" w:rsidRPr="001D5327" w:rsidRDefault="00E0181F" w:rsidP="00081B2A">
            <w:pPr>
              <w:pStyle w:val="Tableboldblue"/>
              <w:spacing w:before="30" w:after="30"/>
              <w:jc w:val="right"/>
            </w:pPr>
            <w:r w:rsidRPr="001D5327">
              <w:rPr>
                <w:rFonts w:eastAsia="Calibri"/>
              </w:rPr>
              <w:t>17.2</w:t>
            </w:r>
          </w:p>
        </w:tc>
        <w:tc>
          <w:tcPr>
            <w:tcW w:w="850" w:type="dxa"/>
            <w:shd w:val="clear" w:color="auto" w:fill="FFFFFF"/>
            <w:tcMar>
              <w:top w:w="0" w:type="dxa"/>
              <w:left w:w="85" w:type="dxa"/>
              <w:bottom w:w="0" w:type="dxa"/>
              <w:right w:w="85" w:type="dxa"/>
            </w:tcMar>
          </w:tcPr>
          <w:p w14:paraId="2BB60842" w14:textId="77777777" w:rsidR="00E0181F" w:rsidRPr="001D5327" w:rsidRDefault="00E0181F" w:rsidP="00081B2A">
            <w:pPr>
              <w:pStyle w:val="Tableboldblue"/>
              <w:spacing w:before="30" w:after="30"/>
              <w:jc w:val="right"/>
            </w:pPr>
            <w:r w:rsidRPr="001D5327">
              <w:rPr>
                <w:rFonts w:eastAsia="Calibri"/>
              </w:rPr>
              <w:t>478.3</w:t>
            </w:r>
          </w:p>
        </w:tc>
        <w:tc>
          <w:tcPr>
            <w:tcW w:w="850" w:type="dxa"/>
            <w:shd w:val="clear" w:color="auto" w:fill="FFFFFF"/>
            <w:tcMar>
              <w:top w:w="0" w:type="dxa"/>
              <w:left w:w="85" w:type="dxa"/>
              <w:bottom w:w="0" w:type="dxa"/>
              <w:right w:w="85" w:type="dxa"/>
            </w:tcMar>
          </w:tcPr>
          <w:p w14:paraId="016790EA" w14:textId="77777777" w:rsidR="00E0181F" w:rsidRPr="001D5327" w:rsidRDefault="00E0181F" w:rsidP="00081B2A">
            <w:pPr>
              <w:pStyle w:val="Tableboldblue"/>
              <w:spacing w:before="30" w:after="30"/>
              <w:jc w:val="right"/>
            </w:pPr>
            <w:r w:rsidRPr="001D5327">
              <w:rPr>
                <w:rFonts w:eastAsia="Calibri"/>
              </w:rPr>
              <w:t>749.8</w:t>
            </w:r>
          </w:p>
        </w:tc>
        <w:tc>
          <w:tcPr>
            <w:tcW w:w="1134" w:type="dxa"/>
            <w:shd w:val="clear" w:color="auto" w:fill="FFFFFF"/>
            <w:tcMar>
              <w:top w:w="0" w:type="dxa"/>
              <w:left w:w="85" w:type="dxa"/>
              <w:bottom w:w="0" w:type="dxa"/>
              <w:right w:w="85" w:type="dxa"/>
            </w:tcMar>
          </w:tcPr>
          <w:p w14:paraId="7D2F18AD" w14:textId="77777777" w:rsidR="00E0181F" w:rsidRPr="001D5327" w:rsidRDefault="00E0181F" w:rsidP="00081B2A">
            <w:pPr>
              <w:pStyle w:val="Tableboldblue"/>
              <w:spacing w:before="30" w:after="30"/>
              <w:jc w:val="right"/>
            </w:pPr>
            <w:r w:rsidRPr="001D5327">
              <w:rPr>
                <w:rFonts w:eastAsia="Calibri"/>
              </w:rPr>
              <w:t>56.8</w:t>
            </w:r>
          </w:p>
        </w:tc>
      </w:tr>
    </w:tbl>
    <w:p w14:paraId="35D663A6" w14:textId="77777777" w:rsidR="00E0181F" w:rsidRPr="001D5327" w:rsidRDefault="00E0181F" w:rsidP="00E0181F">
      <w:pPr>
        <w:pStyle w:val="Noteundertable"/>
      </w:pPr>
      <w:r w:rsidRPr="001D5327">
        <w:rPr>
          <w:b/>
        </w:rPr>
        <w:t>Note:</w:t>
      </w:r>
      <w:r w:rsidRPr="001D5327">
        <w:tab/>
        <w:t xml:space="preserve">Net area in 1990 is as at 1 January 1990; net area in 2023 is as at 31 December 2023. </w:t>
      </w:r>
      <w:r w:rsidRPr="001D5327">
        <w:rPr>
          <w:i/>
        </w:rPr>
        <w:t>Land converted to cropland</w:t>
      </w:r>
      <w:r w:rsidRPr="001D5327">
        <w:t xml:space="preserve"> includes land converted up to 20 years earlier. Net emission values are for the whole year indicated. Values include carbon dioxide equivalent emissions from nitrous oxide</w:t>
      </w:r>
      <w:r w:rsidRPr="001D5327" w:rsidDel="008E1888">
        <w:t xml:space="preserve"> </w:t>
      </w:r>
      <w:r w:rsidRPr="001D5327">
        <w:t xml:space="preserve">from cultivation of land. </w:t>
      </w:r>
    </w:p>
    <w:p w14:paraId="7CB9B975" w14:textId="77777777" w:rsidR="00E0181F" w:rsidRPr="001D5327" w:rsidRDefault="00E0181F" w:rsidP="00081B2A">
      <w:pPr>
        <w:pStyle w:val="BodyText"/>
        <w:spacing w:before="0"/>
      </w:pPr>
      <w:r w:rsidRPr="001D5327">
        <w:t xml:space="preserve">The </w:t>
      </w:r>
      <w:r w:rsidRPr="001D5327">
        <w:rPr>
          <w:i/>
        </w:rPr>
        <w:t>Land converted to cropland</w:t>
      </w:r>
      <w:r w:rsidRPr="001D5327">
        <w:t xml:space="preserve"> category is responsible for the majority of </w:t>
      </w:r>
      <w:r w:rsidRPr="001D5327">
        <w:rPr>
          <w:i/>
        </w:rPr>
        <w:t>Cropland</w:t>
      </w:r>
      <w:r w:rsidRPr="001D5327">
        <w:t xml:space="preserve"> emissions. This category comprised 25.8 per cent of all </w:t>
      </w:r>
      <w:r w:rsidRPr="001D5327">
        <w:rPr>
          <w:i/>
        </w:rPr>
        <w:t>Cropland</w:t>
      </w:r>
      <w:r w:rsidRPr="001D5327">
        <w:t xml:space="preserve"> area in 2023. </w:t>
      </w:r>
    </w:p>
    <w:p w14:paraId="7C0CBBC1" w14:textId="77777777" w:rsidR="00E0181F" w:rsidRPr="001D5327" w:rsidRDefault="00E0181F" w:rsidP="00BF393D">
      <w:pPr>
        <w:pStyle w:val="BodyText"/>
        <w:spacing w:before="80"/>
      </w:pPr>
      <w:r w:rsidRPr="001D5327">
        <w:t xml:space="preserve">Most emissions due to carbon stock change that have occurred in the </w:t>
      </w:r>
      <w:r w:rsidRPr="001D5327">
        <w:rPr>
          <w:i/>
        </w:rPr>
        <w:t>Cropland</w:t>
      </w:r>
      <w:r w:rsidRPr="001D5327">
        <w:t xml:space="preserve"> category since 1990 are in the SOC pool (4,936.1 kt C) (see table 6.5.2). Within the SOC pool, the majority of changes in carbon stocks result from drained organic soils (3,434.1 kt C). This is because organic soils continue to lose carbon even after the 20-year transition period (IPCC, 2006a).</w:t>
      </w:r>
    </w:p>
    <w:p w14:paraId="0F8BDDDE" w14:textId="77777777" w:rsidR="00E0181F" w:rsidRPr="001D5327" w:rsidRDefault="00E0181F" w:rsidP="00E0181F">
      <w:pPr>
        <w:pStyle w:val="Table"/>
      </w:pPr>
      <w:bookmarkStart w:id="2072" w:name="_Toc378853301"/>
      <w:bookmarkStart w:id="2073" w:name="_Toc391024099"/>
      <w:bookmarkStart w:id="2074" w:name="_Toc410028842"/>
      <w:bookmarkStart w:id="2075" w:name="_Toc414531470"/>
      <w:bookmarkStart w:id="2076" w:name="_Toc443645383"/>
      <w:bookmarkStart w:id="2077" w:name="_Toc474914602"/>
      <w:bookmarkStart w:id="2078" w:name="_Toc481751566"/>
      <w:bookmarkStart w:id="2079" w:name="_Toc522010623"/>
      <w:bookmarkStart w:id="2080" w:name="_Toc5269528"/>
      <w:bookmarkStart w:id="2081" w:name="_Toc33529402"/>
      <w:bookmarkStart w:id="2082" w:name="_Toc36224608"/>
      <w:bookmarkStart w:id="2083" w:name="_Toc65243605"/>
      <w:bookmarkStart w:id="2084" w:name="_Toc131591402"/>
      <w:bookmarkStart w:id="2085" w:name="_Toc158979960"/>
      <w:bookmarkStart w:id="2086" w:name="_Toc164153893"/>
      <w:bookmarkStart w:id="2087" w:name="_Toc190873127"/>
      <w:bookmarkStart w:id="2088" w:name="_Toc194241766"/>
      <w:r w:rsidRPr="001D5327">
        <w:t>Table 6.5.2</w:t>
      </w:r>
      <w:r w:rsidRPr="001D5327">
        <w:tab/>
        <w:t>New Zealand’s carbon stock change by carbon pool for the</w:t>
      </w:r>
      <w:r w:rsidRPr="001D5327">
        <w:rPr>
          <w:rFonts w:cs="Arial Bold"/>
        </w:rPr>
        <w:t xml:space="preserve"> </w:t>
      </w:r>
      <w:r w:rsidRPr="001D5327">
        <w:rPr>
          <w:rFonts w:cs="Arial Bold"/>
          <w:i/>
        </w:rPr>
        <w:t>Crop</w:t>
      </w:r>
      <w:r w:rsidRPr="001D5327">
        <w:rPr>
          <w:i/>
        </w:rPr>
        <w:t>land</w:t>
      </w:r>
      <w:r w:rsidRPr="001D5327">
        <w:t xml:space="preserve"> category, from 1990 to</w:t>
      </w:r>
      <w:bookmarkEnd w:id="2072"/>
      <w:bookmarkEnd w:id="2073"/>
      <w:r w:rsidRPr="001D5327">
        <w:t> </w:t>
      </w:r>
      <w:bookmarkEnd w:id="2074"/>
      <w:bookmarkEnd w:id="2075"/>
      <w:bookmarkEnd w:id="2076"/>
      <w:bookmarkEnd w:id="2077"/>
      <w:bookmarkEnd w:id="2078"/>
      <w:bookmarkEnd w:id="2079"/>
      <w:bookmarkEnd w:id="2080"/>
      <w:bookmarkEnd w:id="2081"/>
      <w:bookmarkEnd w:id="2082"/>
      <w:bookmarkEnd w:id="2083"/>
      <w:bookmarkEnd w:id="2084"/>
      <w:bookmarkEnd w:id="2085"/>
      <w:bookmarkEnd w:id="2086"/>
      <w:r w:rsidRPr="001D5327">
        <w:t>2023</w:t>
      </w:r>
      <w:bookmarkEnd w:id="2087"/>
      <w:bookmarkEnd w:id="2088"/>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560"/>
        <w:gridCol w:w="1275"/>
        <w:gridCol w:w="1560"/>
        <w:gridCol w:w="1559"/>
        <w:gridCol w:w="850"/>
        <w:gridCol w:w="1701"/>
      </w:tblGrid>
      <w:tr w:rsidR="00E0181F" w:rsidRPr="001D5327" w14:paraId="2608DD94" w14:textId="77777777" w:rsidTr="00D11AC9">
        <w:trPr>
          <w:tblHeader/>
        </w:trPr>
        <w:tc>
          <w:tcPr>
            <w:tcW w:w="1560" w:type="dxa"/>
            <w:shd w:val="clear" w:color="auto" w:fill="1B556B"/>
            <w:tcMar>
              <w:top w:w="0" w:type="dxa"/>
              <w:left w:w="85" w:type="dxa"/>
              <w:bottom w:w="0" w:type="dxa"/>
              <w:right w:w="85" w:type="dxa"/>
            </w:tcMar>
            <w:vAlign w:val="bottom"/>
          </w:tcPr>
          <w:p w14:paraId="03CB3FC8" w14:textId="77777777" w:rsidR="00E0181F" w:rsidRPr="001D5327" w:rsidRDefault="00E0181F" w:rsidP="00D11AC9">
            <w:pPr>
              <w:pStyle w:val="TableTextBold"/>
              <w:spacing w:before="40" w:after="40"/>
              <w:rPr>
                <w:noProof w:val="0"/>
                <w:color w:val="FFFFFF" w:themeColor="background1"/>
              </w:rPr>
            </w:pPr>
          </w:p>
        </w:tc>
        <w:tc>
          <w:tcPr>
            <w:tcW w:w="5244" w:type="dxa"/>
            <w:gridSpan w:val="4"/>
            <w:shd w:val="clear" w:color="auto" w:fill="1B556B"/>
            <w:tcMar>
              <w:top w:w="0" w:type="dxa"/>
              <w:left w:w="85" w:type="dxa"/>
              <w:bottom w:w="0" w:type="dxa"/>
              <w:right w:w="85" w:type="dxa"/>
            </w:tcMar>
            <w:vAlign w:val="bottom"/>
          </w:tcPr>
          <w:p w14:paraId="275A7CA0"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noProof w:val="0"/>
                <w:color w:val="FFFFFF" w:themeColor="background1"/>
              </w:rPr>
              <w:t>Net carbon stock change 1990–2023 (kt C) by carbon pool</w:t>
            </w:r>
          </w:p>
        </w:tc>
        <w:tc>
          <w:tcPr>
            <w:tcW w:w="1701" w:type="dxa"/>
            <w:shd w:val="clear" w:color="auto" w:fill="1B556B"/>
            <w:tcMar>
              <w:top w:w="0" w:type="dxa"/>
              <w:left w:w="85" w:type="dxa"/>
              <w:bottom w:w="0" w:type="dxa"/>
              <w:right w:w="85" w:type="dxa"/>
            </w:tcMar>
            <w:vAlign w:val="bottom"/>
          </w:tcPr>
          <w:p w14:paraId="556BDCF7"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noProof w:val="0"/>
                <w:color w:val="FFFFFF" w:themeColor="background1"/>
              </w:rPr>
              <w:t>Emissions 1990–2023</w:t>
            </w:r>
          </w:p>
        </w:tc>
      </w:tr>
      <w:tr w:rsidR="00E0181F" w:rsidRPr="001D5327" w14:paraId="26826F0E" w14:textId="77777777" w:rsidTr="00D11AC9">
        <w:trPr>
          <w:tblHeader/>
        </w:trPr>
        <w:tc>
          <w:tcPr>
            <w:tcW w:w="1560" w:type="dxa"/>
            <w:shd w:val="clear" w:color="auto" w:fill="1B556B"/>
            <w:tcMar>
              <w:top w:w="0" w:type="dxa"/>
              <w:left w:w="85" w:type="dxa"/>
              <w:bottom w:w="0" w:type="dxa"/>
              <w:right w:w="85" w:type="dxa"/>
            </w:tcMar>
            <w:vAlign w:val="bottom"/>
          </w:tcPr>
          <w:p w14:paraId="3D29352E" w14:textId="77777777" w:rsidR="00E0181F" w:rsidRPr="001D5327" w:rsidRDefault="00E0181F" w:rsidP="00D11AC9">
            <w:pPr>
              <w:pStyle w:val="TableTextBold"/>
              <w:spacing w:before="0" w:after="40"/>
              <w:rPr>
                <w:noProof w:val="0"/>
                <w:color w:val="FFFFFF" w:themeColor="background1"/>
              </w:rPr>
            </w:pPr>
            <w:r w:rsidRPr="001D5327">
              <w:rPr>
                <w:rFonts w:eastAsia="Calibri"/>
                <w:noProof w:val="0"/>
                <w:color w:val="FFFFFF" w:themeColor="background1"/>
              </w:rPr>
              <w:t>Land use</w:t>
            </w:r>
          </w:p>
        </w:tc>
        <w:tc>
          <w:tcPr>
            <w:tcW w:w="1275" w:type="dxa"/>
            <w:shd w:val="clear" w:color="auto" w:fill="1B556B"/>
            <w:tcMar>
              <w:top w:w="0" w:type="dxa"/>
              <w:left w:w="85" w:type="dxa"/>
              <w:bottom w:w="0" w:type="dxa"/>
              <w:right w:w="85" w:type="dxa"/>
            </w:tcMar>
            <w:vAlign w:val="bottom"/>
          </w:tcPr>
          <w:p w14:paraId="70EA0B50"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Living biomass</w:t>
            </w:r>
          </w:p>
        </w:tc>
        <w:tc>
          <w:tcPr>
            <w:tcW w:w="1560" w:type="dxa"/>
            <w:shd w:val="clear" w:color="auto" w:fill="1B556B"/>
            <w:tcMar>
              <w:top w:w="0" w:type="dxa"/>
              <w:left w:w="85" w:type="dxa"/>
              <w:bottom w:w="0" w:type="dxa"/>
              <w:right w:w="85" w:type="dxa"/>
            </w:tcMar>
            <w:vAlign w:val="bottom"/>
          </w:tcPr>
          <w:p w14:paraId="5DC0E197"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Dead organic matter</w:t>
            </w:r>
          </w:p>
        </w:tc>
        <w:tc>
          <w:tcPr>
            <w:tcW w:w="1559" w:type="dxa"/>
            <w:shd w:val="clear" w:color="auto" w:fill="1B556B"/>
            <w:tcMar>
              <w:top w:w="0" w:type="dxa"/>
              <w:left w:w="85" w:type="dxa"/>
              <w:bottom w:w="0" w:type="dxa"/>
              <w:right w:w="85" w:type="dxa"/>
            </w:tcMar>
            <w:vAlign w:val="bottom"/>
          </w:tcPr>
          <w:p w14:paraId="4B9B3C7D"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Soil organic carbon</w:t>
            </w:r>
          </w:p>
        </w:tc>
        <w:tc>
          <w:tcPr>
            <w:tcW w:w="850" w:type="dxa"/>
            <w:shd w:val="clear" w:color="auto" w:fill="1B556B"/>
            <w:tcMar>
              <w:top w:w="0" w:type="dxa"/>
              <w:left w:w="85" w:type="dxa"/>
              <w:bottom w:w="0" w:type="dxa"/>
              <w:right w:w="85" w:type="dxa"/>
            </w:tcMar>
            <w:vAlign w:val="bottom"/>
          </w:tcPr>
          <w:p w14:paraId="1D6C7110"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Total</w:t>
            </w:r>
          </w:p>
        </w:tc>
        <w:tc>
          <w:tcPr>
            <w:tcW w:w="1701" w:type="dxa"/>
            <w:shd w:val="clear" w:color="auto" w:fill="1B556B"/>
            <w:tcMar>
              <w:top w:w="0" w:type="dxa"/>
              <w:left w:w="85" w:type="dxa"/>
              <w:bottom w:w="0" w:type="dxa"/>
              <w:right w:w="85" w:type="dxa"/>
            </w:tcMar>
            <w:vAlign w:val="bottom"/>
          </w:tcPr>
          <w:p w14:paraId="643A2AA2"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(kt CO₂)</w:t>
            </w:r>
          </w:p>
        </w:tc>
      </w:tr>
      <w:tr w:rsidR="00E0181F" w:rsidRPr="001D5327" w14:paraId="623F582D" w14:textId="77777777" w:rsidTr="00D11AC9">
        <w:tc>
          <w:tcPr>
            <w:tcW w:w="1560" w:type="dxa"/>
            <w:shd w:val="clear" w:color="auto" w:fill="FFFFFF"/>
            <w:tcMar>
              <w:top w:w="0" w:type="dxa"/>
              <w:left w:w="85" w:type="dxa"/>
              <w:bottom w:w="0" w:type="dxa"/>
              <w:right w:w="85" w:type="dxa"/>
            </w:tcMar>
            <w:vAlign w:val="bottom"/>
          </w:tcPr>
          <w:p w14:paraId="74EB3CA2" w14:textId="77777777" w:rsidR="00E0181F" w:rsidRPr="001D5327" w:rsidRDefault="00E0181F" w:rsidP="00081B2A">
            <w:pPr>
              <w:pStyle w:val="TableText"/>
              <w:spacing w:before="30" w:after="30"/>
            </w:pPr>
            <w:r w:rsidRPr="001D5327">
              <w:rPr>
                <w:rFonts w:eastAsia="Calibri" w:cs="Calibri"/>
                <w:color w:val="000000"/>
                <w:szCs w:val="16"/>
              </w:rPr>
              <w:t>Annual cropland</w:t>
            </w:r>
          </w:p>
        </w:tc>
        <w:tc>
          <w:tcPr>
            <w:tcW w:w="1275" w:type="dxa"/>
            <w:shd w:val="clear" w:color="auto" w:fill="FFFFFF"/>
            <w:tcMar>
              <w:top w:w="0" w:type="dxa"/>
              <w:left w:w="85" w:type="dxa"/>
              <w:bottom w:w="0" w:type="dxa"/>
              <w:right w:w="85" w:type="dxa"/>
            </w:tcMar>
            <w:vAlign w:val="bottom"/>
          </w:tcPr>
          <w:p w14:paraId="7F81F6CD" w14:textId="54C4BEAC" w:rsidR="00E0181F" w:rsidRPr="001D5327" w:rsidRDefault="0070503C" w:rsidP="00081B2A">
            <w:pPr>
              <w:pStyle w:val="TableText"/>
              <w:spacing w:before="30" w:after="30"/>
              <w:jc w:val="right"/>
            </w:pPr>
            <w:r>
              <w:rPr>
                <w:rFonts w:eastAsia="Calibri" w:cs="Calibri"/>
                <w:color w:val="000000"/>
                <w:szCs w:val="16"/>
              </w:rPr>
              <w:t>-</w:t>
            </w:r>
            <w:r w:rsidR="00E0181F" w:rsidRPr="001D5327">
              <w:rPr>
                <w:rFonts w:eastAsia="Calibri" w:cs="Calibri"/>
                <w:color w:val="000000"/>
                <w:szCs w:val="16"/>
              </w:rPr>
              <w:t>344.7</w:t>
            </w:r>
          </w:p>
        </w:tc>
        <w:tc>
          <w:tcPr>
            <w:tcW w:w="1560" w:type="dxa"/>
            <w:shd w:val="clear" w:color="auto" w:fill="FFFFFF"/>
            <w:tcMar>
              <w:top w:w="0" w:type="dxa"/>
              <w:left w:w="85" w:type="dxa"/>
              <w:bottom w:w="0" w:type="dxa"/>
              <w:right w:w="85" w:type="dxa"/>
            </w:tcMar>
            <w:vAlign w:val="bottom"/>
          </w:tcPr>
          <w:p w14:paraId="37E622AA" w14:textId="475270C9" w:rsidR="00E0181F" w:rsidRPr="001D5327" w:rsidRDefault="0070503C" w:rsidP="00081B2A">
            <w:pPr>
              <w:pStyle w:val="TableText"/>
              <w:spacing w:before="30" w:after="30"/>
              <w:jc w:val="right"/>
            </w:pPr>
            <w:r>
              <w:rPr>
                <w:rFonts w:eastAsia="Calibri" w:cs="Calibri"/>
                <w:color w:val="000000"/>
                <w:szCs w:val="16"/>
              </w:rPr>
              <w:t>-</w:t>
            </w:r>
            <w:r w:rsidR="00E0181F" w:rsidRPr="001D5327">
              <w:rPr>
                <w:rFonts w:eastAsia="Calibri" w:cs="Calibri"/>
                <w:color w:val="000000"/>
                <w:szCs w:val="16"/>
              </w:rPr>
              <w:t>13.9</w:t>
            </w:r>
          </w:p>
        </w:tc>
        <w:tc>
          <w:tcPr>
            <w:tcW w:w="1559" w:type="dxa"/>
            <w:shd w:val="clear" w:color="auto" w:fill="FFFFFF"/>
            <w:tcMar>
              <w:top w:w="0" w:type="dxa"/>
              <w:left w:w="85" w:type="dxa"/>
              <w:bottom w:w="0" w:type="dxa"/>
              <w:right w:w="85" w:type="dxa"/>
            </w:tcMar>
            <w:vAlign w:val="bottom"/>
          </w:tcPr>
          <w:p w14:paraId="12CCA7E8" w14:textId="483483E3" w:rsidR="00E0181F" w:rsidRPr="001D5327" w:rsidRDefault="0070503C" w:rsidP="00081B2A">
            <w:pPr>
              <w:pStyle w:val="TableText"/>
              <w:spacing w:before="30" w:after="30"/>
              <w:jc w:val="right"/>
            </w:pPr>
            <w:r>
              <w:rPr>
                <w:rFonts w:eastAsia="Calibri" w:cs="Calibri"/>
                <w:color w:val="000000"/>
                <w:szCs w:val="16"/>
              </w:rPr>
              <w:t>-</w:t>
            </w:r>
            <w:r w:rsidR="00E0181F" w:rsidRPr="001D5327">
              <w:rPr>
                <w:rFonts w:eastAsia="Calibri" w:cs="Calibri"/>
                <w:color w:val="000000"/>
                <w:szCs w:val="16"/>
              </w:rPr>
              <w:t>3,416.8</w:t>
            </w:r>
          </w:p>
        </w:tc>
        <w:tc>
          <w:tcPr>
            <w:tcW w:w="850" w:type="dxa"/>
            <w:shd w:val="clear" w:color="auto" w:fill="FFFFFF"/>
            <w:tcMar>
              <w:top w:w="0" w:type="dxa"/>
              <w:left w:w="85" w:type="dxa"/>
              <w:bottom w:w="0" w:type="dxa"/>
              <w:right w:w="85" w:type="dxa"/>
            </w:tcMar>
            <w:vAlign w:val="bottom"/>
          </w:tcPr>
          <w:p w14:paraId="50522215" w14:textId="20BA9D64" w:rsidR="00E0181F" w:rsidRPr="001D5327" w:rsidRDefault="0070503C" w:rsidP="00081B2A">
            <w:pPr>
              <w:pStyle w:val="TableText"/>
              <w:spacing w:before="30" w:after="30"/>
              <w:jc w:val="right"/>
            </w:pPr>
            <w:r>
              <w:rPr>
                <w:rFonts w:eastAsia="Calibri" w:cs="Calibri"/>
                <w:color w:val="000000"/>
                <w:szCs w:val="16"/>
              </w:rPr>
              <w:t>-</w:t>
            </w:r>
            <w:r w:rsidR="00E0181F" w:rsidRPr="001D5327">
              <w:rPr>
                <w:rFonts w:eastAsia="Calibri" w:cs="Calibri"/>
                <w:color w:val="000000"/>
                <w:szCs w:val="16"/>
              </w:rPr>
              <w:t>3,775.3</w:t>
            </w:r>
          </w:p>
        </w:tc>
        <w:tc>
          <w:tcPr>
            <w:tcW w:w="1701" w:type="dxa"/>
            <w:shd w:val="clear" w:color="auto" w:fill="FFFFFF"/>
            <w:tcMar>
              <w:top w:w="0" w:type="dxa"/>
              <w:left w:w="85" w:type="dxa"/>
              <w:bottom w:w="0" w:type="dxa"/>
              <w:right w:w="85" w:type="dxa"/>
            </w:tcMar>
            <w:vAlign w:val="bottom"/>
          </w:tcPr>
          <w:p w14:paraId="79F25F4F" w14:textId="77777777" w:rsidR="00E0181F" w:rsidRPr="001D5327" w:rsidRDefault="00E0181F" w:rsidP="00081B2A">
            <w:pPr>
              <w:pStyle w:val="TableText"/>
              <w:spacing w:before="30" w:after="30"/>
              <w:jc w:val="right"/>
            </w:pPr>
            <w:r w:rsidRPr="001D5327">
              <w:rPr>
                <w:rFonts w:eastAsia="Calibri" w:cs="Calibri"/>
                <w:color w:val="000000"/>
                <w:szCs w:val="16"/>
              </w:rPr>
              <w:t>13,842.8</w:t>
            </w:r>
          </w:p>
        </w:tc>
      </w:tr>
      <w:tr w:rsidR="00E0181F" w:rsidRPr="001D5327" w14:paraId="2D449D54" w14:textId="77777777" w:rsidTr="00D11AC9">
        <w:tc>
          <w:tcPr>
            <w:tcW w:w="1560" w:type="dxa"/>
            <w:shd w:val="clear" w:color="auto" w:fill="FFFFFF"/>
            <w:tcMar>
              <w:top w:w="0" w:type="dxa"/>
              <w:left w:w="85" w:type="dxa"/>
              <w:bottom w:w="0" w:type="dxa"/>
              <w:right w:w="85" w:type="dxa"/>
            </w:tcMar>
            <w:vAlign w:val="bottom"/>
          </w:tcPr>
          <w:p w14:paraId="3326A791" w14:textId="77777777" w:rsidR="00E0181F" w:rsidRPr="001D5327" w:rsidRDefault="00E0181F" w:rsidP="00081B2A">
            <w:pPr>
              <w:pStyle w:val="TableText"/>
              <w:spacing w:before="30" w:after="30"/>
            </w:pPr>
            <w:r w:rsidRPr="001D5327">
              <w:rPr>
                <w:rFonts w:eastAsia="Calibri" w:cs="Calibri"/>
                <w:color w:val="000000"/>
                <w:szCs w:val="16"/>
              </w:rPr>
              <w:t>Perennial cropland</w:t>
            </w:r>
          </w:p>
        </w:tc>
        <w:tc>
          <w:tcPr>
            <w:tcW w:w="1275" w:type="dxa"/>
            <w:shd w:val="clear" w:color="auto" w:fill="FFFFFF"/>
            <w:tcMar>
              <w:top w:w="0" w:type="dxa"/>
              <w:left w:w="85" w:type="dxa"/>
              <w:bottom w:w="0" w:type="dxa"/>
              <w:right w:w="85" w:type="dxa"/>
            </w:tcMar>
            <w:vAlign w:val="bottom"/>
          </w:tcPr>
          <w:p w14:paraId="6CF72AC2" w14:textId="77777777" w:rsidR="00E0181F" w:rsidRPr="001D5327" w:rsidRDefault="00E0181F" w:rsidP="00081B2A">
            <w:pPr>
              <w:pStyle w:val="TableText"/>
              <w:spacing w:before="30" w:after="30"/>
              <w:jc w:val="right"/>
            </w:pPr>
            <w:r w:rsidRPr="001D5327">
              <w:rPr>
                <w:rFonts w:eastAsia="Calibri" w:cs="Calibri"/>
                <w:color w:val="000000"/>
                <w:szCs w:val="16"/>
              </w:rPr>
              <w:t>413.1</w:t>
            </w:r>
          </w:p>
        </w:tc>
        <w:tc>
          <w:tcPr>
            <w:tcW w:w="1560" w:type="dxa"/>
            <w:shd w:val="clear" w:color="auto" w:fill="FFFFFF"/>
            <w:tcMar>
              <w:top w:w="0" w:type="dxa"/>
              <w:left w:w="85" w:type="dxa"/>
              <w:bottom w:w="0" w:type="dxa"/>
              <w:right w:w="85" w:type="dxa"/>
            </w:tcMar>
            <w:vAlign w:val="bottom"/>
          </w:tcPr>
          <w:p w14:paraId="61304072" w14:textId="30D28CC3" w:rsidR="00E0181F" w:rsidRPr="001D5327" w:rsidRDefault="0070503C" w:rsidP="00081B2A">
            <w:pPr>
              <w:pStyle w:val="TableText"/>
              <w:spacing w:before="30" w:after="30"/>
              <w:jc w:val="right"/>
            </w:pPr>
            <w:r>
              <w:rPr>
                <w:rFonts w:eastAsia="Calibri" w:cs="Calibri"/>
                <w:color w:val="000000"/>
                <w:szCs w:val="16"/>
              </w:rPr>
              <w:t>-</w:t>
            </w:r>
            <w:r w:rsidR="00E0181F" w:rsidRPr="001D5327">
              <w:rPr>
                <w:rFonts w:eastAsia="Calibri" w:cs="Calibri"/>
                <w:color w:val="000000"/>
                <w:szCs w:val="16"/>
              </w:rPr>
              <w:t>9.3</w:t>
            </w:r>
          </w:p>
        </w:tc>
        <w:tc>
          <w:tcPr>
            <w:tcW w:w="1559" w:type="dxa"/>
            <w:shd w:val="clear" w:color="auto" w:fill="FFFFFF"/>
            <w:tcMar>
              <w:top w:w="0" w:type="dxa"/>
              <w:left w:w="85" w:type="dxa"/>
              <w:bottom w:w="0" w:type="dxa"/>
              <w:right w:w="85" w:type="dxa"/>
            </w:tcMar>
            <w:vAlign w:val="bottom"/>
          </w:tcPr>
          <w:p w14:paraId="13254BE1" w14:textId="6F18854D" w:rsidR="00E0181F" w:rsidRPr="001D5327" w:rsidRDefault="0070503C" w:rsidP="00081B2A">
            <w:pPr>
              <w:pStyle w:val="TableText"/>
              <w:spacing w:before="30" w:after="30"/>
              <w:jc w:val="right"/>
            </w:pPr>
            <w:r>
              <w:rPr>
                <w:rFonts w:eastAsia="Calibri" w:cs="Calibri"/>
                <w:color w:val="000000"/>
                <w:szCs w:val="16"/>
              </w:rPr>
              <w:t>-</w:t>
            </w:r>
            <w:r w:rsidR="00E0181F" w:rsidRPr="001D5327">
              <w:rPr>
                <w:rFonts w:eastAsia="Calibri" w:cs="Calibri"/>
                <w:color w:val="000000"/>
                <w:szCs w:val="16"/>
              </w:rPr>
              <w:t>1,519.3</w:t>
            </w:r>
          </w:p>
        </w:tc>
        <w:tc>
          <w:tcPr>
            <w:tcW w:w="850" w:type="dxa"/>
            <w:shd w:val="clear" w:color="auto" w:fill="FFFFFF"/>
            <w:tcMar>
              <w:top w:w="0" w:type="dxa"/>
              <w:left w:w="85" w:type="dxa"/>
              <w:bottom w:w="0" w:type="dxa"/>
              <w:right w:w="85" w:type="dxa"/>
            </w:tcMar>
            <w:vAlign w:val="bottom"/>
          </w:tcPr>
          <w:p w14:paraId="18DCB0E3" w14:textId="22731291" w:rsidR="00E0181F" w:rsidRPr="001D5327" w:rsidRDefault="0070503C" w:rsidP="00081B2A">
            <w:pPr>
              <w:pStyle w:val="TableText"/>
              <w:spacing w:before="30" w:after="30"/>
              <w:jc w:val="right"/>
            </w:pPr>
            <w:r>
              <w:rPr>
                <w:rFonts w:eastAsia="Calibri" w:cs="Calibri"/>
                <w:color w:val="000000"/>
                <w:szCs w:val="16"/>
              </w:rPr>
              <w:t>-</w:t>
            </w:r>
            <w:r w:rsidR="00E0181F" w:rsidRPr="001D5327">
              <w:rPr>
                <w:rFonts w:eastAsia="Calibri" w:cs="Calibri"/>
                <w:color w:val="000000"/>
                <w:szCs w:val="16"/>
              </w:rPr>
              <w:t>1,115.5</w:t>
            </w:r>
          </w:p>
        </w:tc>
        <w:tc>
          <w:tcPr>
            <w:tcW w:w="1701" w:type="dxa"/>
            <w:shd w:val="clear" w:color="auto" w:fill="FFFFFF"/>
            <w:tcMar>
              <w:top w:w="0" w:type="dxa"/>
              <w:left w:w="85" w:type="dxa"/>
              <w:bottom w:w="0" w:type="dxa"/>
              <w:right w:w="85" w:type="dxa"/>
            </w:tcMar>
            <w:vAlign w:val="bottom"/>
          </w:tcPr>
          <w:p w14:paraId="657AA624" w14:textId="77777777" w:rsidR="00E0181F" w:rsidRPr="001D5327" w:rsidRDefault="00E0181F" w:rsidP="00081B2A">
            <w:pPr>
              <w:pStyle w:val="TableText"/>
              <w:spacing w:before="30" w:after="30"/>
              <w:jc w:val="right"/>
            </w:pPr>
            <w:r w:rsidRPr="001D5327">
              <w:rPr>
                <w:rFonts w:eastAsia="Calibri" w:cs="Calibri"/>
                <w:color w:val="000000"/>
                <w:szCs w:val="16"/>
              </w:rPr>
              <w:t>4,090.0</w:t>
            </w:r>
          </w:p>
        </w:tc>
      </w:tr>
      <w:tr w:rsidR="00E0181F" w:rsidRPr="001D5327" w14:paraId="06F80FCB" w14:textId="77777777" w:rsidTr="00D11AC9">
        <w:tc>
          <w:tcPr>
            <w:tcW w:w="1560" w:type="dxa"/>
            <w:shd w:val="clear" w:color="auto" w:fill="FFFFFF"/>
            <w:tcMar>
              <w:top w:w="0" w:type="dxa"/>
              <w:left w:w="85" w:type="dxa"/>
              <w:bottom w:w="0" w:type="dxa"/>
              <w:right w:w="85" w:type="dxa"/>
            </w:tcMar>
            <w:vAlign w:val="bottom"/>
          </w:tcPr>
          <w:p w14:paraId="3C5468B9" w14:textId="77777777" w:rsidR="00E0181F" w:rsidRPr="001D5327" w:rsidRDefault="00E0181F" w:rsidP="00081B2A">
            <w:pPr>
              <w:pStyle w:val="Tableboldblue"/>
              <w:spacing w:before="30" w:after="30"/>
            </w:pPr>
            <w:r w:rsidRPr="001D5327">
              <w:rPr>
                <w:rFonts w:eastAsia="Calibri"/>
              </w:rPr>
              <w:t>Total</w:t>
            </w:r>
          </w:p>
        </w:tc>
        <w:tc>
          <w:tcPr>
            <w:tcW w:w="1275" w:type="dxa"/>
            <w:shd w:val="clear" w:color="auto" w:fill="FFFFFF"/>
            <w:tcMar>
              <w:top w:w="0" w:type="dxa"/>
              <w:left w:w="85" w:type="dxa"/>
              <w:bottom w:w="0" w:type="dxa"/>
              <w:right w:w="85" w:type="dxa"/>
            </w:tcMar>
            <w:vAlign w:val="bottom"/>
          </w:tcPr>
          <w:p w14:paraId="0D424672" w14:textId="77777777" w:rsidR="00E0181F" w:rsidRPr="001D5327" w:rsidRDefault="00E0181F" w:rsidP="00081B2A">
            <w:pPr>
              <w:pStyle w:val="Tableboldblue"/>
              <w:spacing w:before="30" w:after="30"/>
              <w:jc w:val="right"/>
            </w:pPr>
            <w:r w:rsidRPr="001D5327">
              <w:rPr>
                <w:rFonts w:eastAsia="Calibri"/>
              </w:rPr>
              <w:t>68.5</w:t>
            </w:r>
          </w:p>
        </w:tc>
        <w:tc>
          <w:tcPr>
            <w:tcW w:w="1560" w:type="dxa"/>
            <w:shd w:val="clear" w:color="auto" w:fill="FFFFFF"/>
            <w:tcMar>
              <w:top w:w="0" w:type="dxa"/>
              <w:left w:w="85" w:type="dxa"/>
              <w:bottom w:w="0" w:type="dxa"/>
              <w:right w:w="85" w:type="dxa"/>
            </w:tcMar>
            <w:vAlign w:val="bottom"/>
          </w:tcPr>
          <w:p w14:paraId="42953099" w14:textId="06DB64AC" w:rsidR="00E0181F" w:rsidRPr="001D5327" w:rsidRDefault="0070503C" w:rsidP="00081B2A">
            <w:pPr>
              <w:pStyle w:val="Tableboldblue"/>
              <w:spacing w:before="30" w:after="30"/>
              <w:jc w:val="right"/>
            </w:pPr>
            <w:r>
              <w:rPr>
                <w:rFonts w:eastAsia="Calibri"/>
              </w:rPr>
              <w:t>-</w:t>
            </w:r>
            <w:r w:rsidR="00E0181F" w:rsidRPr="001D5327">
              <w:rPr>
                <w:rFonts w:eastAsia="Calibri"/>
              </w:rPr>
              <w:t>23.1</w:t>
            </w:r>
          </w:p>
        </w:tc>
        <w:tc>
          <w:tcPr>
            <w:tcW w:w="1559" w:type="dxa"/>
            <w:shd w:val="clear" w:color="auto" w:fill="FFFFFF"/>
            <w:tcMar>
              <w:top w:w="0" w:type="dxa"/>
              <w:left w:w="85" w:type="dxa"/>
              <w:bottom w:w="0" w:type="dxa"/>
              <w:right w:w="85" w:type="dxa"/>
            </w:tcMar>
            <w:vAlign w:val="bottom"/>
          </w:tcPr>
          <w:p w14:paraId="7076255C" w14:textId="263CBC46" w:rsidR="00E0181F" w:rsidRPr="001D5327" w:rsidRDefault="0070503C" w:rsidP="00081B2A">
            <w:pPr>
              <w:pStyle w:val="Tableboldblue"/>
              <w:spacing w:before="30" w:after="30"/>
              <w:jc w:val="right"/>
            </w:pPr>
            <w:r>
              <w:rPr>
                <w:rFonts w:eastAsia="Calibri"/>
              </w:rPr>
              <w:t>-</w:t>
            </w:r>
            <w:r w:rsidR="00E0181F" w:rsidRPr="001D5327">
              <w:rPr>
                <w:rFonts w:eastAsia="Calibri"/>
              </w:rPr>
              <w:t>4,936.1</w:t>
            </w:r>
          </w:p>
        </w:tc>
        <w:tc>
          <w:tcPr>
            <w:tcW w:w="850" w:type="dxa"/>
            <w:shd w:val="clear" w:color="auto" w:fill="FFFFFF"/>
            <w:tcMar>
              <w:top w:w="0" w:type="dxa"/>
              <w:left w:w="85" w:type="dxa"/>
              <w:bottom w:w="0" w:type="dxa"/>
              <w:right w:w="85" w:type="dxa"/>
            </w:tcMar>
            <w:vAlign w:val="bottom"/>
          </w:tcPr>
          <w:p w14:paraId="7F843B12" w14:textId="0570F3DC" w:rsidR="00E0181F" w:rsidRPr="001D5327" w:rsidRDefault="0070503C" w:rsidP="00081B2A">
            <w:pPr>
              <w:pStyle w:val="Tableboldblue"/>
              <w:spacing w:before="30" w:after="30"/>
              <w:jc w:val="right"/>
            </w:pPr>
            <w:r>
              <w:rPr>
                <w:rFonts w:eastAsia="Calibri"/>
              </w:rPr>
              <w:t>-</w:t>
            </w:r>
            <w:r w:rsidR="00E0181F" w:rsidRPr="001D5327">
              <w:rPr>
                <w:rFonts w:eastAsia="Calibri"/>
              </w:rPr>
              <w:t>4,890.8</w:t>
            </w:r>
          </w:p>
        </w:tc>
        <w:tc>
          <w:tcPr>
            <w:tcW w:w="1701" w:type="dxa"/>
            <w:shd w:val="clear" w:color="auto" w:fill="FFFFFF"/>
            <w:tcMar>
              <w:top w:w="0" w:type="dxa"/>
              <w:left w:w="85" w:type="dxa"/>
              <w:bottom w:w="0" w:type="dxa"/>
              <w:right w:w="85" w:type="dxa"/>
            </w:tcMar>
            <w:vAlign w:val="bottom"/>
          </w:tcPr>
          <w:p w14:paraId="0EDB1D19" w14:textId="77777777" w:rsidR="00E0181F" w:rsidRPr="001D5327" w:rsidRDefault="00E0181F" w:rsidP="00081B2A">
            <w:pPr>
              <w:pStyle w:val="Tableboldblue"/>
              <w:spacing w:before="30" w:after="30"/>
              <w:jc w:val="right"/>
            </w:pPr>
            <w:r w:rsidRPr="001D5327">
              <w:rPr>
                <w:rFonts w:eastAsia="Calibri"/>
              </w:rPr>
              <w:t>17,932.8</w:t>
            </w:r>
          </w:p>
        </w:tc>
      </w:tr>
    </w:tbl>
    <w:p w14:paraId="75828BB3" w14:textId="77777777" w:rsidR="00E0181F" w:rsidRPr="001D5327" w:rsidRDefault="00E0181F" w:rsidP="00E0181F">
      <w:pPr>
        <w:pStyle w:val="Noteundertable"/>
      </w:pPr>
      <w:r w:rsidRPr="001D5327">
        <w:rPr>
          <w:b/>
        </w:rPr>
        <w:t>Note:</w:t>
      </w:r>
      <w:r w:rsidRPr="001D5327">
        <w:tab/>
        <w:t xml:space="preserve">This table includes carbon dioxide emissions from carbon stock change only (so it does not include emissions from nitrous oxide disturbance). The reported dead organic matter losses result from the loss of dead organic matter of woody land use categories on conversion to cropland. Columns may not total due to rounding. </w:t>
      </w:r>
    </w:p>
    <w:p w14:paraId="2C3651A2" w14:textId="77777777" w:rsidR="00E0181F" w:rsidRPr="001D5327" w:rsidRDefault="00E0181F" w:rsidP="00081B2A">
      <w:pPr>
        <w:pStyle w:val="BodyText"/>
        <w:spacing w:before="0" w:after="100"/>
      </w:pPr>
      <w:r w:rsidRPr="001D5327">
        <w:t xml:space="preserve">Table 6.5.3 shows land-use change by </w:t>
      </w:r>
      <w:r w:rsidRPr="001D5327">
        <w:rPr>
          <w:i/>
        </w:rPr>
        <w:t>Cropland</w:t>
      </w:r>
      <w:r w:rsidRPr="001D5327">
        <w:t xml:space="preserve"> land use since 1990, and the associated CO</w:t>
      </w:r>
      <w:r w:rsidRPr="001D5327">
        <w:rPr>
          <w:vertAlign w:val="subscript"/>
        </w:rPr>
        <w:t>2</w:t>
      </w:r>
      <w:r w:rsidRPr="001D5327">
        <w:t xml:space="preserve"> emissions from carbon stock change. The </w:t>
      </w:r>
      <w:r w:rsidRPr="001D5327">
        <w:rPr>
          <w:i/>
        </w:rPr>
        <w:t>Cropland</w:t>
      </w:r>
      <w:r w:rsidRPr="001D5327">
        <w:t xml:space="preserve"> category in New Zealand is separated into two land use types: annual and perennial. In 2023, annual cropland accounted for 1.4 per cent of total land area, and perennial cropland accounted for 0.4 per cent of total land area in New Zealand. </w:t>
      </w:r>
    </w:p>
    <w:p w14:paraId="3AE67437" w14:textId="77777777" w:rsidR="00E0181F" w:rsidRPr="001D5327" w:rsidRDefault="00E0181F" w:rsidP="00BF393D">
      <w:pPr>
        <w:pStyle w:val="BodyText"/>
        <w:spacing w:before="80" w:after="100"/>
      </w:pPr>
      <w:r w:rsidRPr="001D5327">
        <w:t xml:space="preserve">Annual crops include cereals, grains, oil seeds, vegetables, root crops and forages. Perennial crops include orchards, vineyards and their associated shelterbelts except where these shelterbelts meet the criteria for the </w:t>
      </w:r>
      <w:r w:rsidRPr="001D5327">
        <w:rPr>
          <w:i/>
        </w:rPr>
        <w:t>Forest land</w:t>
      </w:r>
      <w:r w:rsidRPr="001D5327">
        <w:t xml:space="preserve"> category. </w:t>
      </w:r>
    </w:p>
    <w:p w14:paraId="36053CF2" w14:textId="77777777" w:rsidR="00E0181F" w:rsidRPr="001D5327" w:rsidRDefault="00E0181F" w:rsidP="00BF393D">
      <w:pPr>
        <w:pStyle w:val="BodyText"/>
        <w:spacing w:before="80" w:after="100"/>
      </w:pPr>
      <w:r w:rsidRPr="001D5327">
        <w:t xml:space="preserve">The amount of carbon stored in, emitted by or removed from </w:t>
      </w:r>
      <w:r w:rsidRPr="001D5327">
        <w:rPr>
          <w:i/>
        </w:rPr>
        <w:t>Cropland</w:t>
      </w:r>
      <w:r w:rsidRPr="001D5327">
        <w:t xml:space="preserve"> depends on crop type, management practices, soil properties and climate variables. Annual crops are harvested each year, with little long-term storage of carbon in biomass. Woody vegetation in orchards stores more carbon in biomass, with the amount largely determined by the crop species and presence of shelterbelts. </w:t>
      </w:r>
    </w:p>
    <w:p w14:paraId="01FFD706" w14:textId="77777777" w:rsidR="00E0181F" w:rsidRPr="001D5327" w:rsidRDefault="00E0181F" w:rsidP="00E0181F">
      <w:pPr>
        <w:pStyle w:val="Table"/>
      </w:pPr>
      <w:bookmarkStart w:id="2089" w:name="_Toc310423415"/>
      <w:bookmarkStart w:id="2090" w:name="_Toc318362708"/>
      <w:bookmarkStart w:id="2091" w:name="_Toc342470770"/>
      <w:bookmarkStart w:id="2092" w:name="_Toc352505010"/>
      <w:bookmarkStart w:id="2093" w:name="_Toc378853302"/>
      <w:bookmarkStart w:id="2094" w:name="_Toc391024100"/>
      <w:bookmarkStart w:id="2095" w:name="_Toc410028843"/>
      <w:bookmarkStart w:id="2096" w:name="_Toc414531471"/>
      <w:bookmarkStart w:id="2097" w:name="_Toc443645384"/>
      <w:bookmarkStart w:id="2098" w:name="_Toc474914603"/>
      <w:bookmarkStart w:id="2099" w:name="_Toc481751567"/>
      <w:bookmarkStart w:id="2100" w:name="_Toc522010624"/>
      <w:bookmarkStart w:id="2101" w:name="_Toc5269529"/>
      <w:bookmarkStart w:id="2102" w:name="_Toc33529403"/>
      <w:bookmarkStart w:id="2103" w:name="_Toc36224609"/>
      <w:bookmarkStart w:id="2104" w:name="_Toc65243606"/>
      <w:bookmarkStart w:id="2105" w:name="_Toc131591403"/>
      <w:bookmarkStart w:id="2106" w:name="_Toc158979961"/>
      <w:bookmarkStart w:id="2107" w:name="_Toc164153894"/>
      <w:bookmarkStart w:id="2108" w:name="_Toc190873128"/>
      <w:bookmarkStart w:id="2109" w:name="_Toc194241767"/>
      <w:r w:rsidRPr="001D5327">
        <w:lastRenderedPageBreak/>
        <w:t>Table 6.5.3</w:t>
      </w:r>
      <w:r w:rsidRPr="001D5327">
        <w:tab/>
        <w:t xml:space="preserve">New Zealand’s land-use change by </w:t>
      </w:r>
      <w:r w:rsidRPr="001D5327">
        <w:rPr>
          <w:i/>
        </w:rPr>
        <w:t>Cropland</w:t>
      </w:r>
      <w:r w:rsidRPr="001D5327">
        <w:t xml:space="preserve"> land use, and associated CO</w:t>
      </w:r>
      <w:r w:rsidRPr="001D5327">
        <w:rPr>
          <w:vertAlign w:val="subscript"/>
        </w:rPr>
        <w:t>2</w:t>
      </w:r>
      <w:r w:rsidRPr="001D5327">
        <w:t xml:space="preserve"> emissions from carbon stock change</w:t>
      </w:r>
      <w:bookmarkEnd w:id="2089"/>
      <w:bookmarkEnd w:id="2090"/>
      <w:bookmarkEnd w:id="2091"/>
      <w:bookmarkEnd w:id="2092"/>
      <w:bookmarkEnd w:id="2093"/>
      <w:r w:rsidRPr="001D5327">
        <w:t>, from 1990 to</w:t>
      </w:r>
      <w:bookmarkEnd w:id="2094"/>
      <w:r w:rsidRPr="001D5327">
        <w:t> </w:t>
      </w:r>
      <w:bookmarkEnd w:id="2095"/>
      <w:bookmarkEnd w:id="2096"/>
      <w:bookmarkEnd w:id="2097"/>
      <w:bookmarkEnd w:id="2098"/>
      <w:bookmarkEnd w:id="2099"/>
      <w:bookmarkEnd w:id="2100"/>
      <w:bookmarkEnd w:id="2101"/>
      <w:bookmarkEnd w:id="2102"/>
      <w:bookmarkEnd w:id="2103"/>
      <w:bookmarkEnd w:id="2104"/>
      <w:bookmarkEnd w:id="2105"/>
      <w:bookmarkEnd w:id="2106"/>
      <w:bookmarkEnd w:id="2107"/>
      <w:r w:rsidRPr="001D5327">
        <w:t>2023</w:t>
      </w:r>
      <w:bookmarkEnd w:id="2108"/>
      <w:bookmarkEnd w:id="2109"/>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622"/>
        <w:gridCol w:w="952"/>
        <w:gridCol w:w="952"/>
        <w:gridCol w:w="1454"/>
        <w:gridCol w:w="1119"/>
        <w:gridCol w:w="1032"/>
        <w:gridCol w:w="1374"/>
      </w:tblGrid>
      <w:tr w:rsidR="00E0181F" w:rsidRPr="001D5327" w14:paraId="4B4333CE" w14:textId="77777777" w:rsidTr="00FC717B">
        <w:trPr>
          <w:tblHeader/>
        </w:trPr>
        <w:tc>
          <w:tcPr>
            <w:tcW w:w="1644" w:type="dxa"/>
            <w:shd w:val="clear" w:color="auto" w:fill="1B556B"/>
            <w:tcMar>
              <w:top w:w="0" w:type="dxa"/>
              <w:left w:w="85" w:type="dxa"/>
              <w:bottom w:w="0" w:type="dxa"/>
              <w:right w:w="85" w:type="dxa"/>
            </w:tcMar>
          </w:tcPr>
          <w:p w14:paraId="4EE8C31E" w14:textId="77777777" w:rsidR="00E0181F" w:rsidRPr="001D5327" w:rsidRDefault="00E0181F" w:rsidP="00D11AC9">
            <w:pPr>
              <w:pStyle w:val="TableTextBold"/>
              <w:spacing w:before="40" w:after="40"/>
              <w:rPr>
                <w:noProof w:val="0"/>
                <w:color w:val="FFFFFF" w:themeColor="background1"/>
              </w:rPr>
            </w:pPr>
          </w:p>
        </w:tc>
        <w:tc>
          <w:tcPr>
            <w:tcW w:w="1928" w:type="dxa"/>
            <w:gridSpan w:val="2"/>
            <w:shd w:val="clear" w:color="auto" w:fill="1B556B"/>
            <w:tcMar>
              <w:top w:w="0" w:type="dxa"/>
              <w:left w:w="85" w:type="dxa"/>
              <w:bottom w:w="0" w:type="dxa"/>
              <w:right w:w="85" w:type="dxa"/>
            </w:tcMar>
          </w:tcPr>
          <w:p w14:paraId="529229BF"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cs="Calibri"/>
                <w:noProof w:val="0"/>
                <w:color w:val="FFFFFF" w:themeColor="background1"/>
                <w:szCs w:val="16"/>
              </w:rPr>
              <w:t>Net area (ha)</w:t>
            </w:r>
          </w:p>
        </w:tc>
        <w:tc>
          <w:tcPr>
            <w:tcW w:w="1474" w:type="dxa"/>
            <w:shd w:val="clear" w:color="auto" w:fill="1B556B"/>
            <w:tcMar>
              <w:top w:w="0" w:type="dxa"/>
              <w:left w:w="85" w:type="dxa"/>
              <w:bottom w:w="0" w:type="dxa"/>
              <w:right w:w="85" w:type="dxa"/>
            </w:tcMar>
          </w:tcPr>
          <w:p w14:paraId="4C5858AE"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cs="Calibri"/>
                <w:noProof w:val="0"/>
                <w:color w:val="FFFFFF" w:themeColor="background1"/>
                <w:szCs w:val="16"/>
              </w:rPr>
              <w:t>Change from</w:t>
            </w:r>
          </w:p>
        </w:tc>
        <w:tc>
          <w:tcPr>
            <w:tcW w:w="2179" w:type="dxa"/>
            <w:gridSpan w:val="2"/>
            <w:shd w:val="clear" w:color="auto" w:fill="1B556B"/>
            <w:tcMar>
              <w:top w:w="0" w:type="dxa"/>
              <w:left w:w="85" w:type="dxa"/>
              <w:bottom w:w="0" w:type="dxa"/>
              <w:right w:w="85" w:type="dxa"/>
            </w:tcMar>
          </w:tcPr>
          <w:p w14:paraId="744EF24F"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cs="Calibri"/>
                <w:noProof w:val="0"/>
                <w:color w:val="FFFFFF" w:themeColor="background1"/>
                <w:szCs w:val="16"/>
              </w:rPr>
              <w:t>Net emissions (kt CO₂ only)</w:t>
            </w:r>
          </w:p>
        </w:tc>
        <w:tc>
          <w:tcPr>
            <w:tcW w:w="1393" w:type="dxa"/>
            <w:shd w:val="clear" w:color="auto" w:fill="1B556B"/>
            <w:tcMar>
              <w:top w:w="0" w:type="dxa"/>
              <w:left w:w="85" w:type="dxa"/>
              <w:bottom w:w="0" w:type="dxa"/>
              <w:right w:w="85" w:type="dxa"/>
            </w:tcMar>
          </w:tcPr>
          <w:p w14:paraId="13B2BE82"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cs="Calibri"/>
                <w:noProof w:val="0"/>
                <w:color w:val="FFFFFF" w:themeColor="background1"/>
                <w:szCs w:val="16"/>
              </w:rPr>
              <w:t>Change from</w:t>
            </w:r>
          </w:p>
        </w:tc>
      </w:tr>
      <w:tr w:rsidR="00E0181F" w:rsidRPr="001D5327" w14:paraId="3A6C06B4" w14:textId="77777777" w:rsidTr="00FC717B">
        <w:trPr>
          <w:tblHeader/>
        </w:trPr>
        <w:tc>
          <w:tcPr>
            <w:tcW w:w="1644" w:type="dxa"/>
            <w:shd w:val="clear" w:color="auto" w:fill="1B556B"/>
            <w:tcMar>
              <w:top w:w="0" w:type="dxa"/>
              <w:left w:w="85" w:type="dxa"/>
              <w:bottom w:w="0" w:type="dxa"/>
              <w:right w:w="85" w:type="dxa"/>
            </w:tcMar>
          </w:tcPr>
          <w:p w14:paraId="6C27309D" w14:textId="77777777" w:rsidR="00E0181F" w:rsidRPr="001D5327" w:rsidRDefault="00E0181F" w:rsidP="00D11AC9">
            <w:pPr>
              <w:pStyle w:val="TableTextBold"/>
              <w:spacing w:before="0" w:after="40"/>
              <w:rPr>
                <w:noProof w:val="0"/>
                <w:color w:val="FFFFFF" w:themeColor="background1"/>
              </w:rPr>
            </w:pPr>
            <w:r w:rsidRPr="001D5327">
              <w:rPr>
                <w:rFonts w:eastAsia="Calibri" w:cs="Calibri"/>
                <w:noProof w:val="0"/>
                <w:color w:val="FFFFFF" w:themeColor="background1"/>
                <w:szCs w:val="16"/>
              </w:rPr>
              <w:t>Land use</w:t>
            </w:r>
          </w:p>
        </w:tc>
        <w:tc>
          <w:tcPr>
            <w:tcW w:w="964" w:type="dxa"/>
            <w:shd w:val="clear" w:color="auto" w:fill="1B556B"/>
            <w:tcMar>
              <w:top w:w="0" w:type="dxa"/>
              <w:left w:w="85" w:type="dxa"/>
              <w:bottom w:w="0" w:type="dxa"/>
              <w:right w:w="85" w:type="dxa"/>
            </w:tcMar>
          </w:tcPr>
          <w:p w14:paraId="3680DB84"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cs="Calibri"/>
                <w:noProof w:val="0"/>
                <w:color w:val="FFFFFF" w:themeColor="background1"/>
                <w:szCs w:val="16"/>
              </w:rPr>
              <w:t>1990</w:t>
            </w:r>
          </w:p>
        </w:tc>
        <w:tc>
          <w:tcPr>
            <w:tcW w:w="964" w:type="dxa"/>
            <w:shd w:val="clear" w:color="auto" w:fill="1B556B"/>
            <w:tcMar>
              <w:top w:w="0" w:type="dxa"/>
              <w:left w:w="85" w:type="dxa"/>
              <w:bottom w:w="0" w:type="dxa"/>
              <w:right w:w="85" w:type="dxa"/>
            </w:tcMar>
          </w:tcPr>
          <w:p w14:paraId="087220C3"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cs="Calibri"/>
                <w:noProof w:val="0"/>
                <w:color w:val="FFFFFF" w:themeColor="background1"/>
                <w:szCs w:val="16"/>
              </w:rPr>
              <w:t>2023</w:t>
            </w:r>
          </w:p>
        </w:tc>
        <w:tc>
          <w:tcPr>
            <w:tcW w:w="1474" w:type="dxa"/>
            <w:shd w:val="clear" w:color="auto" w:fill="1B556B"/>
            <w:tcMar>
              <w:top w:w="0" w:type="dxa"/>
              <w:left w:w="85" w:type="dxa"/>
              <w:bottom w:w="0" w:type="dxa"/>
              <w:right w:w="85" w:type="dxa"/>
            </w:tcMar>
          </w:tcPr>
          <w:p w14:paraId="1D5F8919"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cs="Calibri"/>
                <w:noProof w:val="0"/>
                <w:color w:val="FFFFFF" w:themeColor="background1"/>
                <w:szCs w:val="16"/>
              </w:rPr>
              <w:t>1990 (%)</w:t>
            </w:r>
          </w:p>
        </w:tc>
        <w:tc>
          <w:tcPr>
            <w:tcW w:w="1134" w:type="dxa"/>
            <w:shd w:val="clear" w:color="auto" w:fill="1B556B"/>
            <w:tcMar>
              <w:top w:w="0" w:type="dxa"/>
              <w:left w:w="85" w:type="dxa"/>
              <w:bottom w:w="0" w:type="dxa"/>
              <w:right w:w="85" w:type="dxa"/>
            </w:tcMar>
          </w:tcPr>
          <w:p w14:paraId="751B36A8"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cs="Calibri"/>
                <w:noProof w:val="0"/>
                <w:color w:val="FFFFFF" w:themeColor="background1"/>
                <w:szCs w:val="16"/>
              </w:rPr>
              <w:t>1990</w:t>
            </w:r>
          </w:p>
        </w:tc>
        <w:tc>
          <w:tcPr>
            <w:tcW w:w="1045" w:type="dxa"/>
            <w:shd w:val="clear" w:color="auto" w:fill="1B556B"/>
            <w:tcMar>
              <w:top w:w="0" w:type="dxa"/>
              <w:left w:w="85" w:type="dxa"/>
              <w:bottom w:w="0" w:type="dxa"/>
              <w:right w:w="85" w:type="dxa"/>
            </w:tcMar>
          </w:tcPr>
          <w:p w14:paraId="300CBC2D"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cs="Calibri"/>
                <w:noProof w:val="0"/>
                <w:color w:val="FFFFFF" w:themeColor="background1"/>
                <w:szCs w:val="16"/>
              </w:rPr>
              <w:t>2023</w:t>
            </w:r>
          </w:p>
        </w:tc>
        <w:tc>
          <w:tcPr>
            <w:tcW w:w="1393" w:type="dxa"/>
            <w:shd w:val="clear" w:color="auto" w:fill="1B556B"/>
            <w:tcMar>
              <w:top w:w="0" w:type="dxa"/>
              <w:left w:w="85" w:type="dxa"/>
              <w:bottom w:w="0" w:type="dxa"/>
              <w:right w:w="85" w:type="dxa"/>
            </w:tcMar>
          </w:tcPr>
          <w:p w14:paraId="739BC89C"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cs="Calibri"/>
                <w:noProof w:val="0"/>
                <w:color w:val="FFFFFF" w:themeColor="background1"/>
                <w:szCs w:val="16"/>
              </w:rPr>
              <w:t>1990 (%)</w:t>
            </w:r>
          </w:p>
        </w:tc>
      </w:tr>
      <w:tr w:rsidR="00E0181F" w:rsidRPr="001D5327" w14:paraId="63938260" w14:textId="77777777" w:rsidTr="00FC717B">
        <w:tc>
          <w:tcPr>
            <w:tcW w:w="1644" w:type="dxa"/>
            <w:shd w:val="clear" w:color="auto" w:fill="FFFFFF"/>
            <w:tcMar>
              <w:top w:w="0" w:type="dxa"/>
              <w:left w:w="85" w:type="dxa"/>
              <w:bottom w:w="0" w:type="dxa"/>
              <w:right w:w="85" w:type="dxa"/>
            </w:tcMar>
          </w:tcPr>
          <w:p w14:paraId="5D49EEF2" w14:textId="77777777" w:rsidR="00E0181F" w:rsidRPr="001D5327" w:rsidRDefault="00E0181F" w:rsidP="00D11AC9">
            <w:pPr>
              <w:pStyle w:val="TableText"/>
              <w:spacing w:before="40" w:after="40"/>
            </w:pPr>
            <w:r w:rsidRPr="001D5327">
              <w:rPr>
                <w:rFonts w:eastAsia="Calibri" w:cs="Calibri"/>
                <w:color w:val="000000"/>
                <w:szCs w:val="16"/>
              </w:rPr>
              <w:t>Annual cropland</w:t>
            </w:r>
          </w:p>
        </w:tc>
        <w:tc>
          <w:tcPr>
            <w:tcW w:w="964" w:type="dxa"/>
            <w:shd w:val="clear" w:color="auto" w:fill="FFFFFF"/>
            <w:tcMar>
              <w:top w:w="0" w:type="dxa"/>
              <w:left w:w="85" w:type="dxa"/>
              <w:bottom w:w="0" w:type="dxa"/>
              <w:right w:w="85" w:type="dxa"/>
            </w:tcMar>
          </w:tcPr>
          <w:p w14:paraId="7860A5A8" w14:textId="77777777" w:rsidR="00E0181F" w:rsidRPr="001D5327" w:rsidRDefault="00E0181F" w:rsidP="00D11AC9">
            <w:pPr>
              <w:pStyle w:val="TableText"/>
              <w:spacing w:before="40" w:after="40"/>
              <w:jc w:val="right"/>
            </w:pPr>
            <w:r w:rsidRPr="001D5327">
              <w:rPr>
                <w:rFonts w:eastAsia="Calibri" w:cs="Calibri"/>
                <w:color w:val="000000"/>
                <w:szCs w:val="16"/>
              </w:rPr>
              <w:t>355,081</w:t>
            </w:r>
          </w:p>
        </w:tc>
        <w:tc>
          <w:tcPr>
            <w:tcW w:w="964" w:type="dxa"/>
            <w:shd w:val="clear" w:color="auto" w:fill="FFFFFF"/>
            <w:tcMar>
              <w:top w:w="0" w:type="dxa"/>
              <w:left w:w="85" w:type="dxa"/>
              <w:bottom w:w="0" w:type="dxa"/>
              <w:right w:w="85" w:type="dxa"/>
            </w:tcMar>
          </w:tcPr>
          <w:p w14:paraId="2EC025E1" w14:textId="77777777" w:rsidR="00E0181F" w:rsidRPr="001D5327" w:rsidRDefault="00E0181F" w:rsidP="00D11AC9">
            <w:pPr>
              <w:pStyle w:val="TableText"/>
              <w:spacing w:before="40" w:after="40"/>
              <w:jc w:val="right"/>
            </w:pPr>
            <w:r w:rsidRPr="001D5327">
              <w:rPr>
                <w:rFonts w:eastAsia="Calibri" w:cs="Calibri"/>
                <w:color w:val="000000"/>
                <w:szCs w:val="16"/>
              </w:rPr>
              <w:t>389,133</w:t>
            </w:r>
          </w:p>
        </w:tc>
        <w:tc>
          <w:tcPr>
            <w:tcW w:w="1474" w:type="dxa"/>
            <w:shd w:val="clear" w:color="auto" w:fill="FFFFFF"/>
            <w:tcMar>
              <w:top w:w="0" w:type="dxa"/>
              <w:left w:w="85" w:type="dxa"/>
              <w:bottom w:w="0" w:type="dxa"/>
              <w:right w:w="85" w:type="dxa"/>
            </w:tcMar>
          </w:tcPr>
          <w:p w14:paraId="1C79E85B" w14:textId="77777777" w:rsidR="00E0181F" w:rsidRPr="001D5327" w:rsidRDefault="00E0181F" w:rsidP="00D11AC9">
            <w:pPr>
              <w:pStyle w:val="TableText"/>
              <w:spacing w:before="40" w:after="40"/>
              <w:jc w:val="right"/>
            </w:pPr>
            <w:r w:rsidRPr="001D5327">
              <w:rPr>
                <w:rFonts w:eastAsia="Calibri" w:cs="Calibri"/>
                <w:color w:val="000000"/>
                <w:szCs w:val="16"/>
              </w:rPr>
              <w:t>9.6</w:t>
            </w:r>
          </w:p>
        </w:tc>
        <w:tc>
          <w:tcPr>
            <w:tcW w:w="1134" w:type="dxa"/>
            <w:shd w:val="clear" w:color="auto" w:fill="FFFFFF"/>
            <w:tcMar>
              <w:top w:w="0" w:type="dxa"/>
              <w:left w:w="85" w:type="dxa"/>
              <w:bottom w:w="0" w:type="dxa"/>
              <w:right w:w="85" w:type="dxa"/>
            </w:tcMar>
          </w:tcPr>
          <w:p w14:paraId="0BD3A6B4" w14:textId="77777777" w:rsidR="00E0181F" w:rsidRPr="001D5327" w:rsidRDefault="00E0181F" w:rsidP="00D11AC9">
            <w:pPr>
              <w:pStyle w:val="TableText"/>
              <w:spacing w:before="40" w:after="40"/>
              <w:jc w:val="right"/>
            </w:pPr>
            <w:r w:rsidRPr="001D5327">
              <w:rPr>
                <w:rFonts w:eastAsia="Calibri" w:cs="Calibri"/>
                <w:color w:val="000000"/>
                <w:szCs w:val="16"/>
              </w:rPr>
              <w:t>345.4</w:t>
            </w:r>
          </w:p>
        </w:tc>
        <w:tc>
          <w:tcPr>
            <w:tcW w:w="1045" w:type="dxa"/>
            <w:shd w:val="clear" w:color="auto" w:fill="FFFFFF"/>
            <w:tcMar>
              <w:top w:w="0" w:type="dxa"/>
              <w:left w:w="85" w:type="dxa"/>
              <w:bottom w:w="0" w:type="dxa"/>
              <w:right w:w="85" w:type="dxa"/>
            </w:tcMar>
          </w:tcPr>
          <w:p w14:paraId="51AF1158" w14:textId="77777777" w:rsidR="00E0181F" w:rsidRPr="001D5327" w:rsidRDefault="00E0181F" w:rsidP="00D11AC9">
            <w:pPr>
              <w:pStyle w:val="TableText"/>
              <w:spacing w:before="40" w:after="40"/>
              <w:jc w:val="right"/>
            </w:pPr>
            <w:r w:rsidRPr="001D5327">
              <w:rPr>
                <w:rFonts w:eastAsia="Calibri" w:cs="Calibri"/>
                <w:color w:val="000000"/>
                <w:szCs w:val="16"/>
              </w:rPr>
              <w:t>659.7</w:t>
            </w:r>
          </w:p>
        </w:tc>
        <w:tc>
          <w:tcPr>
            <w:tcW w:w="1393" w:type="dxa"/>
            <w:shd w:val="clear" w:color="auto" w:fill="FFFFFF"/>
            <w:tcMar>
              <w:top w:w="0" w:type="dxa"/>
              <w:left w:w="85" w:type="dxa"/>
              <w:bottom w:w="0" w:type="dxa"/>
              <w:right w:w="85" w:type="dxa"/>
            </w:tcMar>
          </w:tcPr>
          <w:p w14:paraId="44394186" w14:textId="77777777" w:rsidR="00E0181F" w:rsidRPr="001D5327" w:rsidRDefault="00E0181F" w:rsidP="00D11AC9">
            <w:pPr>
              <w:pStyle w:val="TableText"/>
              <w:spacing w:before="40" w:after="40"/>
              <w:jc w:val="right"/>
            </w:pPr>
            <w:r w:rsidRPr="001D5327">
              <w:rPr>
                <w:rFonts w:eastAsia="Calibri" w:cs="Calibri"/>
                <w:color w:val="000000"/>
                <w:szCs w:val="16"/>
              </w:rPr>
              <w:t>91.0</w:t>
            </w:r>
          </w:p>
        </w:tc>
      </w:tr>
      <w:tr w:rsidR="00E0181F" w:rsidRPr="001D5327" w14:paraId="0B854565" w14:textId="77777777" w:rsidTr="00FC717B">
        <w:tc>
          <w:tcPr>
            <w:tcW w:w="1644" w:type="dxa"/>
            <w:shd w:val="clear" w:color="auto" w:fill="FFFFFF"/>
            <w:tcMar>
              <w:top w:w="0" w:type="dxa"/>
              <w:left w:w="85" w:type="dxa"/>
              <w:bottom w:w="0" w:type="dxa"/>
              <w:right w:w="85" w:type="dxa"/>
            </w:tcMar>
          </w:tcPr>
          <w:p w14:paraId="2CFD8EC4" w14:textId="77777777" w:rsidR="00E0181F" w:rsidRPr="001D5327" w:rsidRDefault="00E0181F" w:rsidP="00D11AC9">
            <w:pPr>
              <w:pStyle w:val="TableText"/>
              <w:spacing w:before="40" w:after="40"/>
            </w:pPr>
            <w:r w:rsidRPr="001D5327">
              <w:rPr>
                <w:rFonts w:eastAsia="Calibri" w:cs="Calibri"/>
                <w:color w:val="000000"/>
                <w:szCs w:val="16"/>
              </w:rPr>
              <w:t>Perennial cropland</w:t>
            </w:r>
          </w:p>
        </w:tc>
        <w:tc>
          <w:tcPr>
            <w:tcW w:w="964" w:type="dxa"/>
            <w:shd w:val="clear" w:color="auto" w:fill="FFFFFF"/>
            <w:tcMar>
              <w:top w:w="0" w:type="dxa"/>
              <w:left w:w="85" w:type="dxa"/>
              <w:bottom w:w="0" w:type="dxa"/>
              <w:right w:w="85" w:type="dxa"/>
            </w:tcMar>
          </w:tcPr>
          <w:p w14:paraId="165AD2A4" w14:textId="77777777" w:rsidR="00E0181F" w:rsidRPr="001D5327" w:rsidRDefault="00E0181F" w:rsidP="00D11AC9">
            <w:pPr>
              <w:pStyle w:val="TableText"/>
              <w:spacing w:before="40" w:after="40"/>
              <w:jc w:val="right"/>
            </w:pPr>
            <w:r w:rsidRPr="001D5327">
              <w:rPr>
                <w:rFonts w:eastAsia="Calibri" w:cs="Calibri"/>
                <w:color w:val="000000"/>
                <w:szCs w:val="16"/>
              </w:rPr>
              <w:t>69,023</w:t>
            </w:r>
          </w:p>
        </w:tc>
        <w:tc>
          <w:tcPr>
            <w:tcW w:w="964" w:type="dxa"/>
            <w:shd w:val="clear" w:color="auto" w:fill="FFFFFF"/>
            <w:tcMar>
              <w:top w:w="0" w:type="dxa"/>
              <w:left w:w="85" w:type="dxa"/>
              <w:bottom w:w="0" w:type="dxa"/>
              <w:right w:w="85" w:type="dxa"/>
            </w:tcMar>
          </w:tcPr>
          <w:p w14:paraId="354FA476" w14:textId="77777777" w:rsidR="00E0181F" w:rsidRPr="001D5327" w:rsidRDefault="00E0181F" w:rsidP="00D11AC9">
            <w:pPr>
              <w:pStyle w:val="TableText"/>
              <w:spacing w:before="40" w:after="40"/>
              <w:jc w:val="right"/>
            </w:pPr>
            <w:r w:rsidRPr="001D5327">
              <w:rPr>
                <w:rFonts w:eastAsia="Calibri" w:cs="Calibri"/>
                <w:color w:val="000000"/>
                <w:szCs w:val="16"/>
              </w:rPr>
              <w:t>108,106</w:t>
            </w:r>
          </w:p>
        </w:tc>
        <w:tc>
          <w:tcPr>
            <w:tcW w:w="1474" w:type="dxa"/>
            <w:shd w:val="clear" w:color="auto" w:fill="FFFFFF"/>
            <w:tcMar>
              <w:top w:w="0" w:type="dxa"/>
              <w:left w:w="85" w:type="dxa"/>
              <w:bottom w:w="0" w:type="dxa"/>
              <w:right w:w="85" w:type="dxa"/>
            </w:tcMar>
          </w:tcPr>
          <w:p w14:paraId="4B651643" w14:textId="77777777" w:rsidR="00E0181F" w:rsidRPr="001D5327" w:rsidRDefault="00E0181F" w:rsidP="00D11AC9">
            <w:pPr>
              <w:pStyle w:val="TableText"/>
              <w:spacing w:before="40" w:after="40"/>
              <w:jc w:val="right"/>
            </w:pPr>
            <w:r w:rsidRPr="001D5327">
              <w:rPr>
                <w:rFonts w:eastAsia="Calibri" w:cs="Calibri"/>
                <w:color w:val="000000"/>
                <w:szCs w:val="16"/>
              </w:rPr>
              <w:t>56.6</w:t>
            </w:r>
          </w:p>
        </w:tc>
        <w:tc>
          <w:tcPr>
            <w:tcW w:w="1134" w:type="dxa"/>
            <w:shd w:val="clear" w:color="auto" w:fill="FFFFFF"/>
            <w:tcMar>
              <w:top w:w="0" w:type="dxa"/>
              <w:left w:w="85" w:type="dxa"/>
              <w:bottom w:w="0" w:type="dxa"/>
              <w:right w:w="85" w:type="dxa"/>
            </w:tcMar>
          </w:tcPr>
          <w:p w14:paraId="0013E88D" w14:textId="77777777" w:rsidR="00E0181F" w:rsidRPr="001D5327" w:rsidRDefault="00E0181F" w:rsidP="00D11AC9">
            <w:pPr>
              <w:pStyle w:val="TableText"/>
              <w:spacing w:before="40" w:after="40"/>
              <w:jc w:val="right"/>
            </w:pPr>
            <w:r w:rsidRPr="001D5327">
              <w:rPr>
                <w:rFonts w:eastAsia="Calibri" w:cs="Calibri"/>
                <w:color w:val="000000"/>
                <w:szCs w:val="16"/>
              </w:rPr>
              <w:t>126.1</w:t>
            </w:r>
          </w:p>
        </w:tc>
        <w:tc>
          <w:tcPr>
            <w:tcW w:w="1045" w:type="dxa"/>
            <w:shd w:val="clear" w:color="auto" w:fill="FFFFFF"/>
            <w:tcMar>
              <w:top w:w="0" w:type="dxa"/>
              <w:left w:w="85" w:type="dxa"/>
              <w:bottom w:w="0" w:type="dxa"/>
              <w:right w:w="85" w:type="dxa"/>
            </w:tcMar>
          </w:tcPr>
          <w:p w14:paraId="16CD2565" w14:textId="77777777" w:rsidR="00E0181F" w:rsidRPr="001D5327" w:rsidRDefault="00E0181F" w:rsidP="00D11AC9">
            <w:pPr>
              <w:pStyle w:val="TableText"/>
              <w:spacing w:before="40" w:after="40"/>
              <w:jc w:val="right"/>
            </w:pPr>
            <w:r w:rsidRPr="001D5327">
              <w:rPr>
                <w:rFonts w:eastAsia="Calibri" w:cs="Calibri"/>
                <w:color w:val="000000"/>
                <w:szCs w:val="16"/>
              </w:rPr>
              <w:t>62.8</w:t>
            </w:r>
          </w:p>
        </w:tc>
        <w:tc>
          <w:tcPr>
            <w:tcW w:w="1393" w:type="dxa"/>
            <w:shd w:val="clear" w:color="auto" w:fill="FFFFFF"/>
            <w:tcMar>
              <w:top w:w="0" w:type="dxa"/>
              <w:left w:w="85" w:type="dxa"/>
              <w:bottom w:w="0" w:type="dxa"/>
              <w:right w:w="85" w:type="dxa"/>
            </w:tcMar>
          </w:tcPr>
          <w:p w14:paraId="572041B3" w14:textId="39C6293A"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50.2</w:t>
            </w:r>
          </w:p>
        </w:tc>
      </w:tr>
      <w:tr w:rsidR="00E0181F" w:rsidRPr="001D5327" w14:paraId="578DD2C2" w14:textId="77777777" w:rsidTr="00FC717B">
        <w:tc>
          <w:tcPr>
            <w:tcW w:w="1644" w:type="dxa"/>
            <w:shd w:val="clear" w:color="auto" w:fill="FFFFFF"/>
            <w:tcMar>
              <w:top w:w="0" w:type="dxa"/>
              <w:left w:w="85" w:type="dxa"/>
              <w:bottom w:w="0" w:type="dxa"/>
              <w:right w:w="85" w:type="dxa"/>
            </w:tcMar>
          </w:tcPr>
          <w:p w14:paraId="12C3DB08" w14:textId="77777777" w:rsidR="00E0181F" w:rsidRPr="001D5327" w:rsidRDefault="00E0181F" w:rsidP="00D11AC9">
            <w:pPr>
              <w:pStyle w:val="Tableboldblue"/>
              <w:spacing w:before="40" w:after="40"/>
            </w:pPr>
            <w:r w:rsidRPr="001D5327">
              <w:rPr>
                <w:rFonts w:eastAsia="Calibri"/>
              </w:rPr>
              <w:t>Total</w:t>
            </w:r>
          </w:p>
        </w:tc>
        <w:tc>
          <w:tcPr>
            <w:tcW w:w="964" w:type="dxa"/>
            <w:shd w:val="clear" w:color="auto" w:fill="FFFFFF"/>
            <w:tcMar>
              <w:top w:w="0" w:type="dxa"/>
              <w:left w:w="85" w:type="dxa"/>
              <w:bottom w:w="0" w:type="dxa"/>
              <w:right w:w="85" w:type="dxa"/>
            </w:tcMar>
          </w:tcPr>
          <w:p w14:paraId="7EB6833D" w14:textId="77777777" w:rsidR="00E0181F" w:rsidRPr="001D5327" w:rsidRDefault="00E0181F" w:rsidP="00D11AC9">
            <w:pPr>
              <w:pStyle w:val="Tableboldblue"/>
              <w:spacing w:before="40" w:after="40"/>
              <w:jc w:val="right"/>
            </w:pPr>
            <w:r w:rsidRPr="001D5327">
              <w:rPr>
                <w:rFonts w:eastAsia="Calibri"/>
              </w:rPr>
              <w:t>424,104</w:t>
            </w:r>
          </w:p>
        </w:tc>
        <w:tc>
          <w:tcPr>
            <w:tcW w:w="964" w:type="dxa"/>
            <w:shd w:val="clear" w:color="auto" w:fill="FFFFFF"/>
            <w:tcMar>
              <w:top w:w="0" w:type="dxa"/>
              <w:left w:w="85" w:type="dxa"/>
              <w:bottom w:w="0" w:type="dxa"/>
              <w:right w:w="85" w:type="dxa"/>
            </w:tcMar>
          </w:tcPr>
          <w:p w14:paraId="3AD5CA59" w14:textId="77777777" w:rsidR="00E0181F" w:rsidRPr="001D5327" w:rsidRDefault="00E0181F" w:rsidP="00D11AC9">
            <w:pPr>
              <w:pStyle w:val="Tableboldblue"/>
              <w:spacing w:before="40" w:after="40"/>
              <w:jc w:val="right"/>
            </w:pPr>
            <w:r w:rsidRPr="001D5327">
              <w:rPr>
                <w:rFonts w:eastAsia="Calibri"/>
              </w:rPr>
              <w:t>497,239</w:t>
            </w:r>
          </w:p>
        </w:tc>
        <w:tc>
          <w:tcPr>
            <w:tcW w:w="1474" w:type="dxa"/>
            <w:shd w:val="clear" w:color="auto" w:fill="FFFFFF"/>
            <w:tcMar>
              <w:top w:w="0" w:type="dxa"/>
              <w:left w:w="85" w:type="dxa"/>
              <w:bottom w:w="0" w:type="dxa"/>
              <w:right w:w="85" w:type="dxa"/>
            </w:tcMar>
          </w:tcPr>
          <w:p w14:paraId="36C096AB" w14:textId="77777777" w:rsidR="00E0181F" w:rsidRPr="001D5327" w:rsidRDefault="00E0181F" w:rsidP="00D11AC9">
            <w:pPr>
              <w:pStyle w:val="Tableboldblue"/>
              <w:spacing w:before="40" w:after="40"/>
              <w:jc w:val="right"/>
            </w:pPr>
            <w:r w:rsidRPr="001D5327">
              <w:rPr>
                <w:rFonts w:eastAsia="Calibri"/>
              </w:rPr>
              <w:t>17.2</w:t>
            </w:r>
          </w:p>
        </w:tc>
        <w:tc>
          <w:tcPr>
            <w:tcW w:w="1134" w:type="dxa"/>
            <w:shd w:val="clear" w:color="auto" w:fill="FFFFFF"/>
            <w:tcMar>
              <w:top w:w="0" w:type="dxa"/>
              <w:left w:w="85" w:type="dxa"/>
              <w:bottom w:w="0" w:type="dxa"/>
              <w:right w:w="85" w:type="dxa"/>
            </w:tcMar>
          </w:tcPr>
          <w:p w14:paraId="1560EBE6" w14:textId="77777777" w:rsidR="00E0181F" w:rsidRPr="001D5327" w:rsidRDefault="00E0181F" w:rsidP="00D11AC9">
            <w:pPr>
              <w:pStyle w:val="Tableboldblue"/>
              <w:spacing w:before="40" w:after="40"/>
              <w:jc w:val="right"/>
            </w:pPr>
            <w:r w:rsidRPr="001D5327">
              <w:rPr>
                <w:rFonts w:eastAsia="Calibri"/>
              </w:rPr>
              <w:t>471.5</w:t>
            </w:r>
          </w:p>
        </w:tc>
        <w:tc>
          <w:tcPr>
            <w:tcW w:w="1045" w:type="dxa"/>
            <w:shd w:val="clear" w:color="auto" w:fill="FFFFFF"/>
            <w:tcMar>
              <w:top w:w="0" w:type="dxa"/>
              <w:left w:w="85" w:type="dxa"/>
              <w:bottom w:w="0" w:type="dxa"/>
              <w:right w:w="85" w:type="dxa"/>
            </w:tcMar>
          </w:tcPr>
          <w:p w14:paraId="42469EDC" w14:textId="77777777" w:rsidR="00E0181F" w:rsidRPr="001D5327" w:rsidRDefault="00E0181F" w:rsidP="00D11AC9">
            <w:pPr>
              <w:pStyle w:val="Tableboldblue"/>
              <w:spacing w:before="40" w:after="40"/>
              <w:jc w:val="right"/>
            </w:pPr>
            <w:r w:rsidRPr="001D5327">
              <w:rPr>
                <w:rFonts w:eastAsia="Calibri"/>
              </w:rPr>
              <w:t>722.5</w:t>
            </w:r>
          </w:p>
        </w:tc>
        <w:tc>
          <w:tcPr>
            <w:tcW w:w="1393" w:type="dxa"/>
            <w:shd w:val="clear" w:color="auto" w:fill="FFFFFF"/>
            <w:tcMar>
              <w:top w:w="0" w:type="dxa"/>
              <w:left w:w="85" w:type="dxa"/>
              <w:bottom w:w="0" w:type="dxa"/>
              <w:right w:w="85" w:type="dxa"/>
            </w:tcMar>
          </w:tcPr>
          <w:p w14:paraId="2A4942A1" w14:textId="77777777" w:rsidR="00E0181F" w:rsidRPr="001D5327" w:rsidRDefault="00E0181F" w:rsidP="00D11AC9">
            <w:pPr>
              <w:pStyle w:val="Tableboldblue"/>
              <w:spacing w:before="40" w:after="40"/>
              <w:jc w:val="right"/>
            </w:pPr>
            <w:r w:rsidRPr="001D5327">
              <w:rPr>
                <w:rFonts w:eastAsia="Calibri"/>
              </w:rPr>
              <w:t>53.2</w:t>
            </w:r>
          </w:p>
        </w:tc>
      </w:tr>
    </w:tbl>
    <w:p w14:paraId="76DB461F" w14:textId="77777777" w:rsidR="00E0181F" w:rsidRPr="001D5327" w:rsidRDefault="00E0181F" w:rsidP="00E0181F">
      <w:pPr>
        <w:pStyle w:val="Noteundertable"/>
      </w:pPr>
      <w:r w:rsidRPr="001D5327">
        <w:rPr>
          <w:b/>
        </w:rPr>
        <w:t>Note:</w:t>
      </w:r>
      <w:r w:rsidRPr="001D5327">
        <w:rPr>
          <w:b/>
        </w:rPr>
        <w:tab/>
      </w:r>
      <w:r w:rsidRPr="001D5327">
        <w:t>Net area in 1990 is as at 1 January 1990; net area in 2023 is as at 31 December 2023. This table includes carbon dioxide emissions from carbon stock change only. Columns may not total due to rounding.</w:t>
      </w:r>
    </w:p>
    <w:p w14:paraId="551E17CF" w14:textId="77777777" w:rsidR="00E0181F" w:rsidRPr="001D5327" w:rsidRDefault="00E0181F" w:rsidP="00E0181F">
      <w:pPr>
        <w:pStyle w:val="BodyText"/>
      </w:pPr>
      <w:r w:rsidRPr="001D5327">
        <w:t xml:space="preserve">A summary of land-use change within the </w:t>
      </w:r>
      <w:r w:rsidRPr="001D5327">
        <w:rPr>
          <w:i/>
        </w:rPr>
        <w:t>Cropland</w:t>
      </w:r>
      <w:r w:rsidRPr="001D5327">
        <w:t xml:space="preserve"> category, by land use type and land conversion status, is provided in table 6.5.4. This shows that land-use change within the </w:t>
      </w:r>
      <w:r w:rsidRPr="001D5327">
        <w:rPr>
          <w:i/>
        </w:rPr>
        <w:t>Cropland</w:t>
      </w:r>
      <w:r w:rsidRPr="001D5327">
        <w:t xml:space="preserve"> category has been dominated by conversions to annual cropland.</w:t>
      </w:r>
    </w:p>
    <w:p w14:paraId="7E844679" w14:textId="77777777" w:rsidR="00E0181F" w:rsidRPr="001D5327" w:rsidRDefault="00E0181F" w:rsidP="00E0181F">
      <w:pPr>
        <w:pStyle w:val="Table"/>
      </w:pPr>
      <w:bookmarkStart w:id="2110" w:name="_Toc310423416"/>
      <w:bookmarkStart w:id="2111" w:name="_Toc318362709"/>
      <w:bookmarkStart w:id="2112" w:name="_Toc342470771"/>
      <w:bookmarkStart w:id="2113" w:name="_Toc352505011"/>
      <w:bookmarkStart w:id="2114" w:name="_Toc378853303"/>
      <w:bookmarkStart w:id="2115" w:name="_Toc391024101"/>
      <w:bookmarkStart w:id="2116" w:name="_Toc410028844"/>
      <w:bookmarkStart w:id="2117" w:name="_Toc414531472"/>
      <w:bookmarkStart w:id="2118" w:name="_Toc443645385"/>
      <w:bookmarkStart w:id="2119" w:name="_Toc474914604"/>
      <w:bookmarkStart w:id="2120" w:name="_Toc481751568"/>
      <w:bookmarkStart w:id="2121" w:name="_Toc522010625"/>
      <w:bookmarkStart w:id="2122" w:name="_Toc5269530"/>
      <w:bookmarkStart w:id="2123" w:name="_Toc33529404"/>
      <w:bookmarkStart w:id="2124" w:name="_Toc36224610"/>
      <w:bookmarkStart w:id="2125" w:name="_Toc65243607"/>
      <w:bookmarkStart w:id="2126" w:name="_Toc131591404"/>
      <w:bookmarkStart w:id="2127" w:name="_Toc158979962"/>
      <w:bookmarkStart w:id="2128" w:name="_Toc164153895"/>
      <w:bookmarkStart w:id="2129" w:name="_Toc190873129"/>
      <w:bookmarkStart w:id="2130" w:name="_Toc194241768"/>
      <w:r w:rsidRPr="001D5327">
        <w:t>Table 6.5.4</w:t>
      </w:r>
      <w:r w:rsidRPr="001D5327">
        <w:tab/>
        <w:t xml:space="preserve">New Zealand’s land-use change for the </w:t>
      </w:r>
      <w:r w:rsidRPr="001D5327">
        <w:rPr>
          <w:i/>
        </w:rPr>
        <w:t>Cropland</w:t>
      </w:r>
      <w:r w:rsidRPr="001D5327">
        <w:t xml:space="preserve"> category, from 1990 to</w:t>
      </w:r>
      <w:bookmarkEnd w:id="2110"/>
      <w:bookmarkEnd w:id="2111"/>
      <w:bookmarkEnd w:id="2112"/>
      <w:bookmarkEnd w:id="2113"/>
      <w:bookmarkEnd w:id="2114"/>
      <w:bookmarkEnd w:id="2115"/>
      <w:r w:rsidRPr="001D5327">
        <w:t> </w:t>
      </w:r>
      <w:bookmarkEnd w:id="2116"/>
      <w:bookmarkEnd w:id="2117"/>
      <w:bookmarkEnd w:id="2118"/>
      <w:bookmarkEnd w:id="2119"/>
      <w:bookmarkEnd w:id="2120"/>
      <w:bookmarkEnd w:id="2121"/>
      <w:bookmarkEnd w:id="2122"/>
      <w:bookmarkEnd w:id="2123"/>
      <w:bookmarkEnd w:id="2124"/>
      <w:bookmarkEnd w:id="2125"/>
      <w:bookmarkEnd w:id="2126"/>
      <w:bookmarkEnd w:id="2127"/>
      <w:bookmarkEnd w:id="2128"/>
      <w:r w:rsidRPr="001D5327">
        <w:t>2023</w:t>
      </w:r>
      <w:bookmarkEnd w:id="2129"/>
      <w:bookmarkEnd w:id="2130"/>
    </w:p>
    <w:tbl>
      <w:tblPr>
        <w:tblW w:w="0" w:type="auto"/>
        <w:tblBorders>
          <w:top w:val="single" w:sz="4" w:space="0" w:color="1B556B" w:themeColor="text2"/>
          <w:bottom w:val="single" w:sz="4" w:space="0" w:color="1B556B" w:themeColor="text2"/>
          <w:insideH w:val="single" w:sz="4" w:space="0" w:color="1B556B" w:themeColor="text2"/>
        </w:tblBorders>
        <w:tblLayout w:type="fixed"/>
        <w:tblLook w:val="0420" w:firstRow="1" w:lastRow="0" w:firstColumn="0" w:lastColumn="0" w:noHBand="0" w:noVBand="1"/>
      </w:tblPr>
      <w:tblGrid>
        <w:gridCol w:w="2127"/>
        <w:gridCol w:w="2835"/>
        <w:gridCol w:w="708"/>
        <w:gridCol w:w="993"/>
        <w:gridCol w:w="1785"/>
      </w:tblGrid>
      <w:tr w:rsidR="00E0181F" w:rsidRPr="001D5327" w14:paraId="07806ABC" w14:textId="77777777" w:rsidTr="00D11AC9">
        <w:trPr>
          <w:tblHeader/>
        </w:trPr>
        <w:tc>
          <w:tcPr>
            <w:tcW w:w="2127" w:type="dxa"/>
            <w:shd w:val="clear" w:color="auto" w:fill="1B556B"/>
            <w:tcMar>
              <w:top w:w="0" w:type="dxa"/>
              <w:left w:w="85" w:type="dxa"/>
              <w:bottom w:w="0" w:type="dxa"/>
              <w:right w:w="85" w:type="dxa"/>
            </w:tcMar>
            <w:vAlign w:val="center"/>
          </w:tcPr>
          <w:p w14:paraId="33908DD6" w14:textId="77777777" w:rsidR="00E0181F" w:rsidRPr="001D5327" w:rsidRDefault="00E0181F" w:rsidP="00D11AC9">
            <w:pPr>
              <w:pStyle w:val="TableTextBold"/>
              <w:spacing w:before="40" w:after="40"/>
              <w:rPr>
                <w:rFonts w:eastAsia="Calibri"/>
                <w:noProof w:val="0"/>
                <w:color w:val="FFFFFF" w:themeColor="background1"/>
              </w:rPr>
            </w:pPr>
          </w:p>
        </w:tc>
        <w:tc>
          <w:tcPr>
            <w:tcW w:w="2835" w:type="dxa"/>
            <w:shd w:val="clear" w:color="auto" w:fill="1B556B"/>
            <w:tcMar>
              <w:top w:w="0" w:type="dxa"/>
              <w:left w:w="85" w:type="dxa"/>
              <w:bottom w:w="0" w:type="dxa"/>
              <w:right w:w="85" w:type="dxa"/>
            </w:tcMar>
            <w:vAlign w:val="center"/>
          </w:tcPr>
          <w:p w14:paraId="4B9E2A93" w14:textId="77777777" w:rsidR="00E0181F" w:rsidRPr="001D5327" w:rsidRDefault="00E0181F" w:rsidP="00D11AC9">
            <w:pPr>
              <w:pStyle w:val="TableTextBold"/>
              <w:spacing w:before="40" w:after="40"/>
              <w:rPr>
                <w:noProof w:val="0"/>
                <w:color w:val="FFFFFF" w:themeColor="background1"/>
              </w:rPr>
            </w:pPr>
          </w:p>
        </w:tc>
        <w:tc>
          <w:tcPr>
            <w:tcW w:w="1701" w:type="dxa"/>
            <w:gridSpan w:val="2"/>
            <w:shd w:val="clear" w:color="auto" w:fill="1B556B"/>
            <w:tcMar>
              <w:top w:w="0" w:type="dxa"/>
              <w:left w:w="85" w:type="dxa"/>
              <w:bottom w:w="0" w:type="dxa"/>
              <w:right w:w="85" w:type="dxa"/>
            </w:tcMar>
            <w:vAlign w:val="center"/>
          </w:tcPr>
          <w:p w14:paraId="0DD42F75" w14:textId="77777777" w:rsidR="00E0181F" w:rsidRPr="001D5327" w:rsidRDefault="00E0181F" w:rsidP="00D11AC9">
            <w:pPr>
              <w:pStyle w:val="TableTextBold"/>
              <w:spacing w:before="40" w:after="40"/>
              <w:jc w:val="center"/>
              <w:rPr>
                <w:rFonts w:eastAsia="Calibri"/>
                <w:noProof w:val="0"/>
                <w:color w:val="FFFFFF" w:themeColor="background1"/>
              </w:rPr>
            </w:pPr>
            <w:r w:rsidRPr="001D5327">
              <w:rPr>
                <w:rFonts w:eastAsia="Calibri"/>
                <w:noProof w:val="0"/>
                <w:color w:val="FFFFFF" w:themeColor="background1"/>
              </w:rPr>
              <w:t>Net area (ha)</w:t>
            </w:r>
          </w:p>
        </w:tc>
        <w:tc>
          <w:tcPr>
            <w:tcW w:w="1785" w:type="dxa"/>
            <w:shd w:val="clear" w:color="auto" w:fill="1B556B"/>
            <w:tcMar>
              <w:top w:w="0" w:type="dxa"/>
              <w:left w:w="85" w:type="dxa"/>
              <w:bottom w:w="0" w:type="dxa"/>
              <w:right w:w="85" w:type="dxa"/>
            </w:tcMar>
            <w:vAlign w:val="center"/>
          </w:tcPr>
          <w:p w14:paraId="202D5E1E" w14:textId="77777777" w:rsidR="00E0181F" w:rsidRPr="001D5327" w:rsidRDefault="00E0181F" w:rsidP="00D11AC9">
            <w:pPr>
              <w:pStyle w:val="TableTextBold"/>
              <w:spacing w:before="40" w:after="40"/>
              <w:jc w:val="right"/>
              <w:rPr>
                <w:rFonts w:eastAsia="Calibri"/>
                <w:noProof w:val="0"/>
                <w:color w:val="FFFFFF" w:themeColor="background1"/>
              </w:rPr>
            </w:pPr>
          </w:p>
        </w:tc>
      </w:tr>
      <w:tr w:rsidR="00E0181F" w:rsidRPr="001D5327" w14:paraId="63E58F89" w14:textId="77777777" w:rsidTr="00D11AC9">
        <w:trPr>
          <w:tblHeader/>
        </w:trPr>
        <w:tc>
          <w:tcPr>
            <w:tcW w:w="2127" w:type="dxa"/>
            <w:shd w:val="clear" w:color="auto" w:fill="1B556B"/>
            <w:tcMar>
              <w:top w:w="0" w:type="dxa"/>
              <w:left w:w="85" w:type="dxa"/>
              <w:bottom w:w="0" w:type="dxa"/>
              <w:right w:w="85" w:type="dxa"/>
            </w:tcMar>
            <w:vAlign w:val="center"/>
          </w:tcPr>
          <w:p w14:paraId="648B6CDC" w14:textId="77777777" w:rsidR="00E0181F" w:rsidRPr="001D5327" w:rsidRDefault="00E0181F" w:rsidP="00D11AC9">
            <w:pPr>
              <w:pStyle w:val="TableTextBold"/>
              <w:spacing w:before="0" w:after="40"/>
              <w:rPr>
                <w:noProof w:val="0"/>
                <w:color w:val="FFFFFF" w:themeColor="background1"/>
              </w:rPr>
            </w:pPr>
            <w:r w:rsidRPr="001D5327">
              <w:rPr>
                <w:rFonts w:eastAsia="Calibri"/>
                <w:noProof w:val="0"/>
                <w:color w:val="FFFFFF" w:themeColor="background1"/>
              </w:rPr>
              <w:t>Cropland category</w:t>
            </w:r>
          </w:p>
        </w:tc>
        <w:tc>
          <w:tcPr>
            <w:tcW w:w="2835" w:type="dxa"/>
            <w:shd w:val="clear" w:color="auto" w:fill="1B556B"/>
            <w:tcMar>
              <w:top w:w="0" w:type="dxa"/>
              <w:left w:w="85" w:type="dxa"/>
              <w:bottom w:w="0" w:type="dxa"/>
              <w:right w:w="85" w:type="dxa"/>
            </w:tcMar>
            <w:vAlign w:val="center"/>
          </w:tcPr>
          <w:p w14:paraId="53DC2776" w14:textId="77777777" w:rsidR="00E0181F" w:rsidRPr="001D5327" w:rsidRDefault="00E0181F" w:rsidP="00D11AC9">
            <w:pPr>
              <w:pStyle w:val="TableTextBold"/>
              <w:spacing w:before="0" w:after="40"/>
              <w:rPr>
                <w:noProof w:val="0"/>
                <w:color w:val="FFFFFF" w:themeColor="background1"/>
              </w:rPr>
            </w:pPr>
          </w:p>
        </w:tc>
        <w:tc>
          <w:tcPr>
            <w:tcW w:w="708" w:type="dxa"/>
            <w:shd w:val="clear" w:color="auto" w:fill="1B556B"/>
            <w:tcMar>
              <w:top w:w="0" w:type="dxa"/>
              <w:left w:w="85" w:type="dxa"/>
              <w:bottom w:w="0" w:type="dxa"/>
              <w:right w:w="85" w:type="dxa"/>
            </w:tcMar>
            <w:vAlign w:val="center"/>
          </w:tcPr>
          <w:p w14:paraId="3FE2B727"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1990</w:t>
            </w:r>
          </w:p>
        </w:tc>
        <w:tc>
          <w:tcPr>
            <w:tcW w:w="993" w:type="dxa"/>
            <w:shd w:val="clear" w:color="auto" w:fill="1B556B"/>
            <w:tcMar>
              <w:top w:w="0" w:type="dxa"/>
              <w:left w:w="85" w:type="dxa"/>
              <w:bottom w:w="0" w:type="dxa"/>
              <w:right w:w="85" w:type="dxa"/>
            </w:tcMar>
            <w:vAlign w:val="center"/>
          </w:tcPr>
          <w:p w14:paraId="77993279"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2023</w:t>
            </w:r>
          </w:p>
        </w:tc>
        <w:tc>
          <w:tcPr>
            <w:tcW w:w="1785" w:type="dxa"/>
            <w:shd w:val="clear" w:color="auto" w:fill="1B556B"/>
            <w:tcMar>
              <w:top w:w="0" w:type="dxa"/>
              <w:left w:w="85" w:type="dxa"/>
              <w:bottom w:w="0" w:type="dxa"/>
              <w:right w:w="85" w:type="dxa"/>
            </w:tcMar>
            <w:vAlign w:val="center"/>
          </w:tcPr>
          <w:p w14:paraId="4B324DF5"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Change from 1990 (%)</w:t>
            </w:r>
          </w:p>
        </w:tc>
      </w:tr>
      <w:tr w:rsidR="00E0181F" w:rsidRPr="001D5327" w14:paraId="37EA5A48" w14:textId="77777777" w:rsidTr="00D11AC9">
        <w:tc>
          <w:tcPr>
            <w:tcW w:w="2127" w:type="dxa"/>
            <w:shd w:val="clear" w:color="auto" w:fill="FFFFFF"/>
            <w:tcMar>
              <w:top w:w="0" w:type="dxa"/>
              <w:left w:w="85" w:type="dxa"/>
              <w:bottom w:w="0" w:type="dxa"/>
              <w:right w:w="85" w:type="dxa"/>
            </w:tcMar>
            <w:vAlign w:val="center"/>
          </w:tcPr>
          <w:p w14:paraId="78C06B4F" w14:textId="77777777" w:rsidR="00E0181F" w:rsidRPr="001D5327" w:rsidRDefault="00E0181F" w:rsidP="00D11AC9">
            <w:pPr>
              <w:pStyle w:val="TableText"/>
              <w:spacing w:before="40" w:after="40"/>
              <w:rPr>
                <w:rFonts w:cs="Calibri"/>
                <w:szCs w:val="16"/>
              </w:rPr>
            </w:pPr>
            <w:r w:rsidRPr="001D5327">
              <w:rPr>
                <w:rFonts w:eastAsia="Calibri" w:cs="Calibri"/>
                <w:color w:val="000000"/>
                <w:szCs w:val="16"/>
              </w:rPr>
              <w:t>Cropland remaining cropland</w:t>
            </w:r>
          </w:p>
        </w:tc>
        <w:tc>
          <w:tcPr>
            <w:tcW w:w="2835" w:type="dxa"/>
            <w:shd w:val="clear" w:color="auto" w:fill="FFFFFF"/>
            <w:tcMar>
              <w:top w:w="0" w:type="dxa"/>
              <w:left w:w="85" w:type="dxa"/>
              <w:bottom w:w="0" w:type="dxa"/>
              <w:right w:w="85" w:type="dxa"/>
            </w:tcMar>
            <w:vAlign w:val="center"/>
          </w:tcPr>
          <w:p w14:paraId="08E1AF29" w14:textId="77777777" w:rsidR="00E0181F" w:rsidRPr="001D5327" w:rsidRDefault="00E0181F" w:rsidP="00D11AC9">
            <w:pPr>
              <w:pStyle w:val="TableText"/>
              <w:spacing w:before="40" w:after="40"/>
              <w:rPr>
                <w:rFonts w:cs="Calibri"/>
                <w:szCs w:val="16"/>
              </w:rPr>
            </w:pPr>
            <w:r w:rsidRPr="001D5327">
              <w:rPr>
                <w:rFonts w:eastAsia="Calibri" w:cs="Calibri"/>
                <w:color w:val="000000"/>
                <w:szCs w:val="16"/>
              </w:rPr>
              <w:t>Annual remaining annual</w:t>
            </w:r>
          </w:p>
        </w:tc>
        <w:tc>
          <w:tcPr>
            <w:tcW w:w="708" w:type="dxa"/>
            <w:shd w:val="clear" w:color="auto" w:fill="FFFFFF"/>
            <w:tcMar>
              <w:top w:w="0" w:type="dxa"/>
              <w:left w:w="85" w:type="dxa"/>
              <w:bottom w:w="0" w:type="dxa"/>
              <w:right w:w="85" w:type="dxa"/>
            </w:tcMar>
            <w:vAlign w:val="center"/>
          </w:tcPr>
          <w:p w14:paraId="55097C4E" w14:textId="77777777" w:rsidR="00E0181F" w:rsidRPr="001D5327" w:rsidRDefault="00E0181F" w:rsidP="00D11AC9">
            <w:pPr>
              <w:pStyle w:val="TableText"/>
              <w:spacing w:before="40" w:after="40"/>
              <w:jc w:val="right"/>
              <w:rPr>
                <w:rFonts w:cs="Calibri"/>
                <w:szCs w:val="16"/>
              </w:rPr>
            </w:pPr>
            <w:r w:rsidRPr="001D5327">
              <w:rPr>
                <w:rFonts w:eastAsia="Calibri" w:cs="Calibri"/>
                <w:color w:val="000000"/>
                <w:szCs w:val="16"/>
              </w:rPr>
              <w:t>333,599</w:t>
            </w:r>
          </w:p>
        </w:tc>
        <w:tc>
          <w:tcPr>
            <w:tcW w:w="993" w:type="dxa"/>
            <w:shd w:val="clear" w:color="auto" w:fill="FFFFFF"/>
            <w:tcMar>
              <w:top w:w="0" w:type="dxa"/>
              <w:left w:w="85" w:type="dxa"/>
              <w:bottom w:w="0" w:type="dxa"/>
              <w:right w:w="85" w:type="dxa"/>
            </w:tcMar>
            <w:vAlign w:val="center"/>
          </w:tcPr>
          <w:p w14:paraId="67F28FF4" w14:textId="77777777" w:rsidR="00E0181F" w:rsidRPr="001D5327" w:rsidRDefault="00E0181F" w:rsidP="00D11AC9">
            <w:pPr>
              <w:pStyle w:val="TableText"/>
              <w:spacing w:before="40" w:after="40"/>
              <w:jc w:val="right"/>
              <w:rPr>
                <w:rFonts w:cs="Calibri"/>
                <w:szCs w:val="16"/>
              </w:rPr>
            </w:pPr>
            <w:r w:rsidRPr="001D5327">
              <w:rPr>
                <w:rFonts w:eastAsia="Calibri" w:cs="Calibri"/>
                <w:color w:val="000000"/>
                <w:szCs w:val="16"/>
              </w:rPr>
              <w:t>272,778</w:t>
            </w:r>
          </w:p>
        </w:tc>
        <w:tc>
          <w:tcPr>
            <w:tcW w:w="1785" w:type="dxa"/>
            <w:shd w:val="clear" w:color="auto" w:fill="FFFFFF"/>
            <w:tcMar>
              <w:top w:w="0" w:type="dxa"/>
              <w:left w:w="85" w:type="dxa"/>
              <w:bottom w:w="0" w:type="dxa"/>
              <w:right w:w="85" w:type="dxa"/>
            </w:tcMar>
            <w:vAlign w:val="center"/>
          </w:tcPr>
          <w:p w14:paraId="5F8978C0" w14:textId="644E8FD5" w:rsidR="00E0181F" w:rsidRPr="001D5327" w:rsidRDefault="0070503C" w:rsidP="00D11AC9">
            <w:pPr>
              <w:pStyle w:val="TableText"/>
              <w:spacing w:before="40" w:after="40"/>
              <w:jc w:val="right"/>
              <w:rPr>
                <w:rFonts w:cs="Calibri"/>
                <w:szCs w:val="16"/>
              </w:rPr>
            </w:pPr>
            <w:r>
              <w:rPr>
                <w:rFonts w:eastAsia="Calibri" w:cs="Calibri"/>
                <w:color w:val="000000"/>
                <w:szCs w:val="16"/>
              </w:rPr>
              <w:t>-</w:t>
            </w:r>
            <w:r w:rsidR="00E0181F" w:rsidRPr="001D5327">
              <w:rPr>
                <w:rFonts w:eastAsia="Calibri" w:cs="Calibri"/>
                <w:color w:val="000000"/>
                <w:szCs w:val="16"/>
              </w:rPr>
              <w:t>18.2</w:t>
            </w:r>
          </w:p>
        </w:tc>
      </w:tr>
      <w:tr w:rsidR="00E0181F" w:rsidRPr="001D5327" w14:paraId="3ED7AD81" w14:textId="77777777" w:rsidTr="00D11AC9">
        <w:tc>
          <w:tcPr>
            <w:tcW w:w="2127" w:type="dxa"/>
            <w:shd w:val="clear" w:color="auto" w:fill="FFFFFF"/>
            <w:tcMar>
              <w:top w:w="0" w:type="dxa"/>
              <w:left w:w="85" w:type="dxa"/>
              <w:bottom w:w="0" w:type="dxa"/>
              <w:right w:w="85" w:type="dxa"/>
            </w:tcMar>
            <w:vAlign w:val="center"/>
          </w:tcPr>
          <w:p w14:paraId="349651A7" w14:textId="77777777" w:rsidR="00E0181F" w:rsidRPr="001D5327" w:rsidRDefault="00E0181F" w:rsidP="00D11AC9">
            <w:pPr>
              <w:pStyle w:val="TableText"/>
              <w:spacing w:before="40" w:after="40"/>
              <w:rPr>
                <w:rFonts w:cs="Calibri"/>
                <w:szCs w:val="16"/>
              </w:rPr>
            </w:pPr>
          </w:p>
        </w:tc>
        <w:tc>
          <w:tcPr>
            <w:tcW w:w="2835" w:type="dxa"/>
            <w:shd w:val="clear" w:color="auto" w:fill="FFFFFF"/>
            <w:tcMar>
              <w:top w:w="0" w:type="dxa"/>
              <w:left w:w="85" w:type="dxa"/>
              <w:bottom w:w="0" w:type="dxa"/>
              <w:right w:w="85" w:type="dxa"/>
            </w:tcMar>
            <w:vAlign w:val="center"/>
          </w:tcPr>
          <w:p w14:paraId="05C730D0" w14:textId="77777777" w:rsidR="00E0181F" w:rsidRPr="001D5327" w:rsidRDefault="00E0181F" w:rsidP="00D11AC9">
            <w:pPr>
              <w:pStyle w:val="TableText"/>
              <w:spacing w:before="40" w:after="40"/>
              <w:rPr>
                <w:rFonts w:cs="Calibri"/>
                <w:szCs w:val="16"/>
              </w:rPr>
            </w:pPr>
            <w:r w:rsidRPr="001D5327">
              <w:rPr>
                <w:rFonts w:eastAsia="Calibri" w:cs="Calibri"/>
                <w:color w:val="000000"/>
                <w:szCs w:val="16"/>
              </w:rPr>
              <w:t>Perennial remaining perennial</w:t>
            </w:r>
          </w:p>
        </w:tc>
        <w:tc>
          <w:tcPr>
            <w:tcW w:w="708" w:type="dxa"/>
            <w:shd w:val="clear" w:color="auto" w:fill="FFFFFF"/>
            <w:tcMar>
              <w:top w:w="0" w:type="dxa"/>
              <w:left w:w="85" w:type="dxa"/>
              <w:bottom w:w="0" w:type="dxa"/>
              <w:right w:w="85" w:type="dxa"/>
            </w:tcMar>
            <w:vAlign w:val="center"/>
          </w:tcPr>
          <w:p w14:paraId="45A8576E" w14:textId="77777777" w:rsidR="00E0181F" w:rsidRPr="001D5327" w:rsidRDefault="00E0181F" w:rsidP="00D11AC9">
            <w:pPr>
              <w:pStyle w:val="TableText"/>
              <w:spacing w:before="40" w:after="40"/>
              <w:jc w:val="right"/>
              <w:rPr>
                <w:rFonts w:cs="Calibri"/>
                <w:szCs w:val="16"/>
              </w:rPr>
            </w:pPr>
            <w:r w:rsidRPr="001D5327">
              <w:rPr>
                <w:rFonts w:eastAsia="Calibri" w:cs="Calibri"/>
                <w:color w:val="000000"/>
                <w:szCs w:val="16"/>
              </w:rPr>
              <w:t>61,559</w:t>
            </w:r>
          </w:p>
        </w:tc>
        <w:tc>
          <w:tcPr>
            <w:tcW w:w="993" w:type="dxa"/>
            <w:shd w:val="clear" w:color="auto" w:fill="FFFFFF"/>
            <w:tcMar>
              <w:top w:w="0" w:type="dxa"/>
              <w:left w:w="85" w:type="dxa"/>
              <w:bottom w:w="0" w:type="dxa"/>
              <w:right w:w="85" w:type="dxa"/>
            </w:tcMar>
            <w:vAlign w:val="center"/>
          </w:tcPr>
          <w:p w14:paraId="662EF5D1" w14:textId="77777777" w:rsidR="00E0181F" w:rsidRPr="001D5327" w:rsidRDefault="00E0181F" w:rsidP="00D11AC9">
            <w:pPr>
              <w:pStyle w:val="TableText"/>
              <w:spacing w:before="40" w:after="40"/>
              <w:jc w:val="right"/>
              <w:rPr>
                <w:rFonts w:cs="Calibri"/>
                <w:szCs w:val="16"/>
              </w:rPr>
            </w:pPr>
            <w:r w:rsidRPr="001D5327">
              <w:rPr>
                <w:rFonts w:eastAsia="Calibri" w:cs="Calibri"/>
                <w:color w:val="000000"/>
                <w:szCs w:val="16"/>
              </w:rPr>
              <w:t>90,897</w:t>
            </w:r>
          </w:p>
        </w:tc>
        <w:tc>
          <w:tcPr>
            <w:tcW w:w="1785" w:type="dxa"/>
            <w:shd w:val="clear" w:color="auto" w:fill="FFFFFF"/>
            <w:tcMar>
              <w:top w:w="0" w:type="dxa"/>
              <w:left w:w="85" w:type="dxa"/>
              <w:bottom w:w="0" w:type="dxa"/>
              <w:right w:w="85" w:type="dxa"/>
            </w:tcMar>
            <w:vAlign w:val="center"/>
          </w:tcPr>
          <w:p w14:paraId="3299517B" w14:textId="77777777" w:rsidR="00E0181F" w:rsidRPr="001D5327" w:rsidRDefault="00E0181F" w:rsidP="00D11AC9">
            <w:pPr>
              <w:pStyle w:val="TableText"/>
              <w:spacing w:before="40" w:after="40"/>
              <w:jc w:val="right"/>
              <w:rPr>
                <w:rFonts w:cs="Calibri"/>
                <w:szCs w:val="16"/>
              </w:rPr>
            </w:pPr>
            <w:r w:rsidRPr="001D5327">
              <w:rPr>
                <w:rFonts w:eastAsia="Calibri" w:cs="Calibri"/>
                <w:color w:val="000000"/>
                <w:szCs w:val="16"/>
              </w:rPr>
              <w:t>47.7</w:t>
            </w:r>
          </w:p>
        </w:tc>
      </w:tr>
      <w:tr w:rsidR="00E0181F" w:rsidRPr="001D5327" w14:paraId="3DEAF249" w14:textId="77777777" w:rsidTr="00D11AC9">
        <w:tc>
          <w:tcPr>
            <w:tcW w:w="2127" w:type="dxa"/>
            <w:shd w:val="clear" w:color="auto" w:fill="FFFFFF"/>
            <w:tcMar>
              <w:top w:w="0" w:type="dxa"/>
              <w:left w:w="85" w:type="dxa"/>
              <w:bottom w:w="0" w:type="dxa"/>
              <w:right w:w="85" w:type="dxa"/>
            </w:tcMar>
            <w:vAlign w:val="center"/>
          </w:tcPr>
          <w:p w14:paraId="73281530" w14:textId="77777777" w:rsidR="00E0181F" w:rsidRPr="001D5327" w:rsidRDefault="00E0181F" w:rsidP="00D11AC9">
            <w:pPr>
              <w:pStyle w:val="TableText"/>
              <w:spacing w:before="40" w:after="40"/>
              <w:rPr>
                <w:rFonts w:cs="Calibri"/>
                <w:szCs w:val="16"/>
              </w:rPr>
            </w:pPr>
          </w:p>
        </w:tc>
        <w:tc>
          <w:tcPr>
            <w:tcW w:w="2835" w:type="dxa"/>
            <w:shd w:val="clear" w:color="auto" w:fill="FFFFFF"/>
            <w:tcMar>
              <w:top w:w="0" w:type="dxa"/>
              <w:left w:w="85" w:type="dxa"/>
              <w:bottom w:w="0" w:type="dxa"/>
              <w:right w:w="85" w:type="dxa"/>
            </w:tcMar>
            <w:vAlign w:val="center"/>
          </w:tcPr>
          <w:p w14:paraId="63C1BEC8" w14:textId="77777777" w:rsidR="00E0181F" w:rsidRPr="001D5327" w:rsidRDefault="00E0181F" w:rsidP="00D11AC9">
            <w:pPr>
              <w:pStyle w:val="TableText"/>
              <w:spacing w:before="40" w:after="40"/>
              <w:rPr>
                <w:rFonts w:cs="Calibri"/>
                <w:szCs w:val="16"/>
              </w:rPr>
            </w:pPr>
            <w:r w:rsidRPr="001D5327">
              <w:rPr>
                <w:rFonts w:eastAsia="Calibri" w:cs="Calibri"/>
                <w:color w:val="000000"/>
                <w:szCs w:val="16"/>
              </w:rPr>
              <w:t>Annual to perennial</w:t>
            </w:r>
          </w:p>
        </w:tc>
        <w:tc>
          <w:tcPr>
            <w:tcW w:w="708" w:type="dxa"/>
            <w:shd w:val="clear" w:color="auto" w:fill="FFFFFF"/>
            <w:tcMar>
              <w:top w:w="0" w:type="dxa"/>
              <w:left w:w="85" w:type="dxa"/>
              <w:bottom w:w="0" w:type="dxa"/>
              <w:right w:w="85" w:type="dxa"/>
            </w:tcMar>
            <w:vAlign w:val="center"/>
          </w:tcPr>
          <w:p w14:paraId="1AC0F1AC" w14:textId="77777777" w:rsidR="00E0181F" w:rsidRPr="001D5327" w:rsidRDefault="00E0181F" w:rsidP="00D11AC9">
            <w:pPr>
              <w:pStyle w:val="TableText"/>
              <w:spacing w:before="40" w:after="40"/>
              <w:jc w:val="right"/>
              <w:rPr>
                <w:rFonts w:cs="Calibri"/>
                <w:szCs w:val="16"/>
              </w:rPr>
            </w:pPr>
            <w:r w:rsidRPr="001D5327">
              <w:rPr>
                <w:rFonts w:eastAsia="Calibri" w:cs="Calibri"/>
                <w:color w:val="000000"/>
                <w:szCs w:val="16"/>
              </w:rPr>
              <w:t>645</w:t>
            </w:r>
          </w:p>
        </w:tc>
        <w:tc>
          <w:tcPr>
            <w:tcW w:w="993" w:type="dxa"/>
            <w:shd w:val="clear" w:color="auto" w:fill="FFFFFF"/>
            <w:tcMar>
              <w:top w:w="0" w:type="dxa"/>
              <w:left w:w="85" w:type="dxa"/>
              <w:bottom w:w="0" w:type="dxa"/>
              <w:right w:w="85" w:type="dxa"/>
            </w:tcMar>
            <w:vAlign w:val="center"/>
          </w:tcPr>
          <w:p w14:paraId="7704265A" w14:textId="77777777" w:rsidR="00E0181F" w:rsidRPr="001D5327" w:rsidRDefault="00E0181F" w:rsidP="00D11AC9">
            <w:pPr>
              <w:pStyle w:val="TableText"/>
              <w:spacing w:before="40" w:after="40"/>
              <w:jc w:val="right"/>
              <w:rPr>
                <w:rFonts w:cs="Calibri"/>
                <w:szCs w:val="16"/>
              </w:rPr>
            </w:pPr>
            <w:r w:rsidRPr="001D5327">
              <w:rPr>
                <w:rFonts w:eastAsia="Calibri" w:cs="Calibri"/>
                <w:color w:val="000000"/>
                <w:szCs w:val="16"/>
              </w:rPr>
              <w:t>4,469</w:t>
            </w:r>
          </w:p>
        </w:tc>
        <w:tc>
          <w:tcPr>
            <w:tcW w:w="1785" w:type="dxa"/>
            <w:shd w:val="clear" w:color="auto" w:fill="FFFFFF"/>
            <w:tcMar>
              <w:top w:w="0" w:type="dxa"/>
              <w:left w:w="85" w:type="dxa"/>
              <w:bottom w:w="0" w:type="dxa"/>
              <w:right w:w="85" w:type="dxa"/>
            </w:tcMar>
            <w:vAlign w:val="center"/>
          </w:tcPr>
          <w:p w14:paraId="754046D9" w14:textId="77777777" w:rsidR="00E0181F" w:rsidRPr="001D5327" w:rsidRDefault="00E0181F" w:rsidP="00D11AC9">
            <w:pPr>
              <w:pStyle w:val="TableText"/>
              <w:spacing w:before="40" w:after="40"/>
              <w:jc w:val="right"/>
              <w:rPr>
                <w:rFonts w:cs="Calibri"/>
                <w:szCs w:val="16"/>
              </w:rPr>
            </w:pPr>
            <w:r w:rsidRPr="001D5327">
              <w:rPr>
                <w:rFonts w:eastAsia="Calibri" w:cs="Calibri"/>
                <w:color w:val="000000"/>
                <w:szCs w:val="16"/>
              </w:rPr>
              <w:t>592.9</w:t>
            </w:r>
          </w:p>
        </w:tc>
      </w:tr>
      <w:tr w:rsidR="00E0181F" w:rsidRPr="001D5327" w14:paraId="067FD57D" w14:textId="77777777" w:rsidTr="00D11AC9">
        <w:tc>
          <w:tcPr>
            <w:tcW w:w="2127" w:type="dxa"/>
            <w:shd w:val="clear" w:color="auto" w:fill="FFFFFF"/>
            <w:tcMar>
              <w:top w:w="0" w:type="dxa"/>
              <w:left w:w="85" w:type="dxa"/>
              <w:bottom w:w="0" w:type="dxa"/>
              <w:right w:w="85" w:type="dxa"/>
            </w:tcMar>
            <w:vAlign w:val="center"/>
          </w:tcPr>
          <w:p w14:paraId="795DB34E" w14:textId="77777777" w:rsidR="00E0181F" w:rsidRPr="001D5327" w:rsidRDefault="00E0181F" w:rsidP="00D11AC9">
            <w:pPr>
              <w:pStyle w:val="TableText"/>
              <w:spacing w:before="40" w:after="40"/>
              <w:rPr>
                <w:rFonts w:cs="Calibri"/>
                <w:szCs w:val="16"/>
              </w:rPr>
            </w:pPr>
          </w:p>
        </w:tc>
        <w:tc>
          <w:tcPr>
            <w:tcW w:w="2835" w:type="dxa"/>
            <w:shd w:val="clear" w:color="auto" w:fill="FFFFFF"/>
            <w:tcMar>
              <w:top w:w="0" w:type="dxa"/>
              <w:left w:w="85" w:type="dxa"/>
              <w:bottom w:w="0" w:type="dxa"/>
              <w:right w:w="85" w:type="dxa"/>
            </w:tcMar>
            <w:vAlign w:val="center"/>
          </w:tcPr>
          <w:p w14:paraId="1AB4C0E8" w14:textId="77777777" w:rsidR="00E0181F" w:rsidRPr="001D5327" w:rsidRDefault="00E0181F" w:rsidP="00D11AC9">
            <w:pPr>
              <w:pStyle w:val="TableText"/>
              <w:spacing w:before="40" w:after="40"/>
              <w:rPr>
                <w:rFonts w:cs="Calibri"/>
                <w:szCs w:val="16"/>
              </w:rPr>
            </w:pPr>
            <w:r w:rsidRPr="001D5327">
              <w:rPr>
                <w:rFonts w:eastAsia="Calibri" w:cs="Calibri"/>
                <w:color w:val="000000"/>
                <w:szCs w:val="16"/>
              </w:rPr>
              <w:t>Perennial to annual</w:t>
            </w:r>
          </w:p>
        </w:tc>
        <w:tc>
          <w:tcPr>
            <w:tcW w:w="708" w:type="dxa"/>
            <w:shd w:val="clear" w:color="auto" w:fill="FFFFFF"/>
            <w:tcMar>
              <w:top w:w="0" w:type="dxa"/>
              <w:left w:w="85" w:type="dxa"/>
              <w:bottom w:w="0" w:type="dxa"/>
              <w:right w:w="85" w:type="dxa"/>
            </w:tcMar>
            <w:vAlign w:val="center"/>
          </w:tcPr>
          <w:p w14:paraId="23594AA4" w14:textId="77777777" w:rsidR="00E0181F" w:rsidRPr="001D5327" w:rsidRDefault="00E0181F" w:rsidP="00D11AC9">
            <w:pPr>
              <w:pStyle w:val="TableText"/>
              <w:spacing w:before="40" w:after="40"/>
              <w:jc w:val="right"/>
              <w:rPr>
                <w:rFonts w:cs="Calibri"/>
                <w:szCs w:val="16"/>
              </w:rPr>
            </w:pPr>
            <w:r w:rsidRPr="001D5327">
              <w:rPr>
                <w:rFonts w:eastAsia="Calibri" w:cs="Calibri"/>
                <w:color w:val="000000"/>
                <w:szCs w:val="16"/>
              </w:rPr>
              <w:t>0</w:t>
            </w:r>
          </w:p>
        </w:tc>
        <w:tc>
          <w:tcPr>
            <w:tcW w:w="993" w:type="dxa"/>
            <w:shd w:val="clear" w:color="auto" w:fill="FFFFFF"/>
            <w:tcMar>
              <w:top w:w="0" w:type="dxa"/>
              <w:left w:w="85" w:type="dxa"/>
              <w:bottom w:w="0" w:type="dxa"/>
              <w:right w:w="85" w:type="dxa"/>
            </w:tcMar>
            <w:vAlign w:val="center"/>
          </w:tcPr>
          <w:p w14:paraId="33913E8F" w14:textId="77777777" w:rsidR="00E0181F" w:rsidRPr="001D5327" w:rsidRDefault="00E0181F" w:rsidP="00D11AC9">
            <w:pPr>
              <w:pStyle w:val="TableText"/>
              <w:spacing w:before="40" w:after="40"/>
              <w:jc w:val="right"/>
              <w:rPr>
                <w:rFonts w:cs="Calibri"/>
                <w:szCs w:val="16"/>
              </w:rPr>
            </w:pPr>
            <w:r w:rsidRPr="001D5327">
              <w:rPr>
                <w:rFonts w:eastAsia="Calibri" w:cs="Calibri"/>
                <w:color w:val="000000"/>
                <w:szCs w:val="16"/>
              </w:rPr>
              <w:t>1,013</w:t>
            </w:r>
          </w:p>
        </w:tc>
        <w:tc>
          <w:tcPr>
            <w:tcW w:w="1785" w:type="dxa"/>
            <w:shd w:val="clear" w:color="auto" w:fill="FFFFFF"/>
            <w:tcMar>
              <w:top w:w="0" w:type="dxa"/>
              <w:left w:w="85" w:type="dxa"/>
              <w:bottom w:w="0" w:type="dxa"/>
              <w:right w:w="85" w:type="dxa"/>
            </w:tcMar>
            <w:vAlign w:val="center"/>
          </w:tcPr>
          <w:p w14:paraId="6619CAA4" w14:textId="143F4959" w:rsidR="00E0181F" w:rsidRPr="001D5327" w:rsidRDefault="0070503C" w:rsidP="00D11AC9">
            <w:pPr>
              <w:pStyle w:val="TableText"/>
              <w:spacing w:before="40" w:after="40"/>
              <w:jc w:val="right"/>
              <w:rPr>
                <w:rFonts w:cs="Calibri"/>
                <w:szCs w:val="16"/>
              </w:rPr>
            </w:pPr>
            <w:r>
              <w:rPr>
                <w:rFonts w:eastAsia="Calibri" w:cs="Calibri"/>
                <w:color w:val="000000"/>
                <w:szCs w:val="16"/>
              </w:rPr>
              <w:t>-</w:t>
            </w:r>
          </w:p>
        </w:tc>
      </w:tr>
      <w:tr w:rsidR="00E0181F" w:rsidRPr="001D5327" w14:paraId="2595A69D" w14:textId="77777777" w:rsidTr="00D11AC9">
        <w:tc>
          <w:tcPr>
            <w:tcW w:w="2127" w:type="dxa"/>
            <w:shd w:val="clear" w:color="auto" w:fill="FFFFFF"/>
            <w:tcMar>
              <w:top w:w="0" w:type="dxa"/>
              <w:left w:w="85" w:type="dxa"/>
              <w:bottom w:w="0" w:type="dxa"/>
              <w:right w:w="85" w:type="dxa"/>
            </w:tcMar>
            <w:vAlign w:val="center"/>
          </w:tcPr>
          <w:p w14:paraId="712DE311" w14:textId="77777777" w:rsidR="00E0181F" w:rsidRPr="001D5327" w:rsidRDefault="00E0181F" w:rsidP="00D11AC9">
            <w:pPr>
              <w:pStyle w:val="TableText"/>
              <w:spacing w:before="40" w:after="40"/>
              <w:rPr>
                <w:rFonts w:cs="Calibri"/>
                <w:szCs w:val="16"/>
              </w:rPr>
            </w:pPr>
          </w:p>
        </w:tc>
        <w:tc>
          <w:tcPr>
            <w:tcW w:w="2835" w:type="dxa"/>
            <w:shd w:val="clear" w:color="auto" w:fill="FFFFFF"/>
            <w:tcMar>
              <w:top w:w="0" w:type="dxa"/>
              <w:left w:w="85" w:type="dxa"/>
              <w:bottom w:w="0" w:type="dxa"/>
              <w:right w:w="85" w:type="dxa"/>
            </w:tcMar>
            <w:vAlign w:val="center"/>
          </w:tcPr>
          <w:p w14:paraId="086CE808" w14:textId="77777777" w:rsidR="00E0181F" w:rsidRPr="001D5327" w:rsidRDefault="00E0181F" w:rsidP="00D11AC9">
            <w:pPr>
              <w:pStyle w:val="TableText"/>
              <w:spacing w:before="40" w:after="40"/>
              <w:rPr>
                <w:rFonts w:cs="Calibri"/>
                <w:szCs w:val="16"/>
              </w:rPr>
            </w:pPr>
            <w:r w:rsidRPr="001D5327">
              <w:rPr>
                <w:rFonts w:eastAsia="Calibri" w:cs="Calibri"/>
                <w:i/>
                <w:color w:val="000000"/>
                <w:szCs w:val="16"/>
              </w:rPr>
              <w:t>Subtotal</w:t>
            </w:r>
          </w:p>
        </w:tc>
        <w:tc>
          <w:tcPr>
            <w:tcW w:w="708" w:type="dxa"/>
            <w:shd w:val="clear" w:color="auto" w:fill="FFFFFF"/>
            <w:tcMar>
              <w:top w:w="0" w:type="dxa"/>
              <w:left w:w="85" w:type="dxa"/>
              <w:bottom w:w="0" w:type="dxa"/>
              <w:right w:w="85" w:type="dxa"/>
            </w:tcMar>
            <w:vAlign w:val="center"/>
          </w:tcPr>
          <w:p w14:paraId="550E4143" w14:textId="77777777" w:rsidR="00E0181F" w:rsidRPr="001D5327" w:rsidRDefault="00E0181F" w:rsidP="00D11AC9">
            <w:pPr>
              <w:pStyle w:val="TableText"/>
              <w:spacing w:before="40" w:after="40"/>
              <w:jc w:val="right"/>
              <w:rPr>
                <w:rFonts w:cs="Calibri"/>
                <w:szCs w:val="16"/>
              </w:rPr>
            </w:pPr>
            <w:r w:rsidRPr="001D5327">
              <w:rPr>
                <w:rFonts w:eastAsia="Calibri" w:cs="Calibri"/>
                <w:i/>
                <w:color w:val="000000"/>
                <w:szCs w:val="16"/>
              </w:rPr>
              <w:t>395,803</w:t>
            </w:r>
          </w:p>
        </w:tc>
        <w:tc>
          <w:tcPr>
            <w:tcW w:w="993" w:type="dxa"/>
            <w:shd w:val="clear" w:color="auto" w:fill="FFFFFF"/>
            <w:tcMar>
              <w:top w:w="0" w:type="dxa"/>
              <w:left w:w="85" w:type="dxa"/>
              <w:bottom w:w="0" w:type="dxa"/>
              <w:right w:w="85" w:type="dxa"/>
            </w:tcMar>
            <w:vAlign w:val="center"/>
          </w:tcPr>
          <w:p w14:paraId="1EEA96B0" w14:textId="77777777" w:rsidR="00E0181F" w:rsidRPr="001D5327" w:rsidRDefault="00E0181F" w:rsidP="00D11AC9">
            <w:pPr>
              <w:pStyle w:val="TableText"/>
              <w:spacing w:before="40" w:after="40"/>
              <w:jc w:val="right"/>
              <w:rPr>
                <w:rFonts w:cs="Calibri"/>
                <w:szCs w:val="16"/>
              </w:rPr>
            </w:pPr>
            <w:r w:rsidRPr="001D5327">
              <w:rPr>
                <w:rFonts w:eastAsia="Calibri" w:cs="Calibri"/>
                <w:i/>
                <w:color w:val="000000"/>
                <w:szCs w:val="16"/>
              </w:rPr>
              <w:t>369,157</w:t>
            </w:r>
          </w:p>
        </w:tc>
        <w:tc>
          <w:tcPr>
            <w:tcW w:w="1785" w:type="dxa"/>
            <w:shd w:val="clear" w:color="auto" w:fill="FFFFFF"/>
            <w:tcMar>
              <w:top w:w="0" w:type="dxa"/>
              <w:left w:w="85" w:type="dxa"/>
              <w:bottom w:w="0" w:type="dxa"/>
              <w:right w:w="85" w:type="dxa"/>
            </w:tcMar>
            <w:vAlign w:val="center"/>
          </w:tcPr>
          <w:p w14:paraId="28A38E45" w14:textId="65309C84" w:rsidR="00E0181F" w:rsidRPr="001D5327" w:rsidRDefault="0070503C" w:rsidP="00D11AC9">
            <w:pPr>
              <w:pStyle w:val="TableText"/>
              <w:spacing w:before="40" w:after="40"/>
              <w:jc w:val="right"/>
              <w:rPr>
                <w:rFonts w:cs="Calibri"/>
                <w:szCs w:val="16"/>
              </w:rPr>
            </w:pPr>
            <w:r>
              <w:rPr>
                <w:rFonts w:eastAsia="Calibri" w:cs="Calibri"/>
                <w:i/>
                <w:color w:val="000000"/>
                <w:szCs w:val="16"/>
              </w:rPr>
              <w:t>-</w:t>
            </w:r>
            <w:r w:rsidR="00E0181F" w:rsidRPr="001D5327">
              <w:rPr>
                <w:rFonts w:eastAsia="Calibri" w:cs="Calibri"/>
                <w:i/>
                <w:color w:val="000000"/>
                <w:szCs w:val="16"/>
              </w:rPr>
              <w:t>6.7</w:t>
            </w:r>
          </w:p>
        </w:tc>
      </w:tr>
      <w:tr w:rsidR="00E0181F" w:rsidRPr="001D5327" w14:paraId="0E4112D1" w14:textId="77777777" w:rsidTr="00D11AC9">
        <w:tc>
          <w:tcPr>
            <w:tcW w:w="2127" w:type="dxa"/>
            <w:shd w:val="clear" w:color="auto" w:fill="FFFFFF"/>
            <w:tcMar>
              <w:top w:w="0" w:type="dxa"/>
              <w:left w:w="85" w:type="dxa"/>
              <w:bottom w:w="0" w:type="dxa"/>
              <w:right w:w="85" w:type="dxa"/>
            </w:tcMar>
            <w:vAlign w:val="center"/>
          </w:tcPr>
          <w:p w14:paraId="79259BB0" w14:textId="77777777" w:rsidR="00E0181F" w:rsidRPr="001D5327" w:rsidRDefault="00E0181F" w:rsidP="00D11AC9">
            <w:pPr>
              <w:pStyle w:val="TableText"/>
              <w:spacing w:before="40" w:after="40"/>
              <w:rPr>
                <w:rFonts w:cs="Calibri"/>
                <w:szCs w:val="16"/>
              </w:rPr>
            </w:pPr>
            <w:r w:rsidRPr="001D5327">
              <w:rPr>
                <w:rFonts w:eastAsia="Calibri" w:cs="Calibri"/>
                <w:color w:val="000000"/>
                <w:szCs w:val="16"/>
              </w:rPr>
              <w:t>Land converted to cropland</w:t>
            </w:r>
          </w:p>
        </w:tc>
        <w:tc>
          <w:tcPr>
            <w:tcW w:w="2835" w:type="dxa"/>
            <w:shd w:val="clear" w:color="auto" w:fill="FFFFFF"/>
            <w:tcMar>
              <w:top w:w="0" w:type="dxa"/>
              <w:left w:w="85" w:type="dxa"/>
              <w:bottom w:w="0" w:type="dxa"/>
              <w:right w:w="85" w:type="dxa"/>
            </w:tcMar>
            <w:vAlign w:val="center"/>
          </w:tcPr>
          <w:p w14:paraId="32D2BA28" w14:textId="77777777" w:rsidR="00E0181F" w:rsidRPr="001D5327" w:rsidRDefault="00E0181F" w:rsidP="00D11AC9">
            <w:pPr>
              <w:pStyle w:val="TableText"/>
              <w:spacing w:before="40" w:after="40"/>
              <w:rPr>
                <w:rFonts w:cs="Calibri"/>
                <w:szCs w:val="16"/>
              </w:rPr>
            </w:pPr>
            <w:r w:rsidRPr="001D5327">
              <w:rPr>
                <w:rFonts w:eastAsia="Calibri" w:cs="Calibri"/>
                <w:color w:val="000000"/>
                <w:szCs w:val="16"/>
              </w:rPr>
              <w:t>Annual cropland</w:t>
            </w:r>
          </w:p>
        </w:tc>
        <w:tc>
          <w:tcPr>
            <w:tcW w:w="708" w:type="dxa"/>
            <w:shd w:val="clear" w:color="auto" w:fill="FFFFFF"/>
            <w:tcMar>
              <w:top w:w="0" w:type="dxa"/>
              <w:left w:w="85" w:type="dxa"/>
              <w:bottom w:w="0" w:type="dxa"/>
              <w:right w:w="85" w:type="dxa"/>
            </w:tcMar>
            <w:vAlign w:val="center"/>
          </w:tcPr>
          <w:p w14:paraId="593C56E3" w14:textId="77777777" w:rsidR="00E0181F" w:rsidRPr="001D5327" w:rsidRDefault="00E0181F" w:rsidP="00D11AC9">
            <w:pPr>
              <w:pStyle w:val="TableText"/>
              <w:spacing w:before="40" w:after="40"/>
              <w:jc w:val="right"/>
              <w:rPr>
                <w:rFonts w:cs="Calibri"/>
                <w:szCs w:val="16"/>
              </w:rPr>
            </w:pPr>
            <w:r w:rsidRPr="001D5327">
              <w:rPr>
                <w:rFonts w:eastAsia="Calibri" w:cs="Calibri"/>
                <w:color w:val="000000"/>
                <w:szCs w:val="16"/>
              </w:rPr>
              <w:t>21,482</w:t>
            </w:r>
          </w:p>
        </w:tc>
        <w:tc>
          <w:tcPr>
            <w:tcW w:w="993" w:type="dxa"/>
            <w:shd w:val="clear" w:color="auto" w:fill="FFFFFF"/>
            <w:tcMar>
              <w:top w:w="0" w:type="dxa"/>
              <w:left w:w="85" w:type="dxa"/>
              <w:bottom w:w="0" w:type="dxa"/>
              <w:right w:w="85" w:type="dxa"/>
            </w:tcMar>
            <w:vAlign w:val="center"/>
          </w:tcPr>
          <w:p w14:paraId="7ADE31CE" w14:textId="77777777" w:rsidR="00E0181F" w:rsidRPr="001D5327" w:rsidRDefault="00E0181F" w:rsidP="00D11AC9">
            <w:pPr>
              <w:pStyle w:val="TableText"/>
              <w:spacing w:before="40" w:after="40"/>
              <w:jc w:val="right"/>
              <w:rPr>
                <w:rFonts w:cs="Calibri"/>
                <w:szCs w:val="16"/>
              </w:rPr>
            </w:pPr>
            <w:r w:rsidRPr="001D5327">
              <w:rPr>
                <w:rFonts w:eastAsia="Calibri" w:cs="Calibri"/>
                <w:color w:val="000000"/>
                <w:szCs w:val="16"/>
              </w:rPr>
              <w:t>115,342</w:t>
            </w:r>
          </w:p>
        </w:tc>
        <w:tc>
          <w:tcPr>
            <w:tcW w:w="1785" w:type="dxa"/>
            <w:shd w:val="clear" w:color="auto" w:fill="FFFFFF"/>
            <w:tcMar>
              <w:top w:w="0" w:type="dxa"/>
              <w:left w:w="85" w:type="dxa"/>
              <w:bottom w:w="0" w:type="dxa"/>
              <w:right w:w="85" w:type="dxa"/>
            </w:tcMar>
            <w:vAlign w:val="center"/>
          </w:tcPr>
          <w:p w14:paraId="3929A8E4" w14:textId="77777777" w:rsidR="00E0181F" w:rsidRPr="001D5327" w:rsidRDefault="00E0181F" w:rsidP="00D11AC9">
            <w:pPr>
              <w:pStyle w:val="TableText"/>
              <w:spacing w:before="40" w:after="40"/>
              <w:jc w:val="right"/>
              <w:rPr>
                <w:rFonts w:cs="Calibri"/>
                <w:szCs w:val="16"/>
              </w:rPr>
            </w:pPr>
            <w:r w:rsidRPr="001D5327">
              <w:rPr>
                <w:rFonts w:eastAsia="Calibri" w:cs="Calibri"/>
                <w:color w:val="000000"/>
                <w:szCs w:val="16"/>
              </w:rPr>
              <w:t>436.9</w:t>
            </w:r>
          </w:p>
        </w:tc>
      </w:tr>
      <w:tr w:rsidR="00E0181F" w:rsidRPr="001D5327" w14:paraId="3346D18F" w14:textId="77777777" w:rsidTr="00D11AC9">
        <w:tc>
          <w:tcPr>
            <w:tcW w:w="2127" w:type="dxa"/>
            <w:shd w:val="clear" w:color="auto" w:fill="FFFFFF"/>
            <w:tcMar>
              <w:top w:w="0" w:type="dxa"/>
              <w:left w:w="85" w:type="dxa"/>
              <w:bottom w:w="0" w:type="dxa"/>
              <w:right w:w="85" w:type="dxa"/>
            </w:tcMar>
            <w:vAlign w:val="center"/>
          </w:tcPr>
          <w:p w14:paraId="717B832F" w14:textId="77777777" w:rsidR="00E0181F" w:rsidRPr="001D5327" w:rsidRDefault="00E0181F" w:rsidP="00D11AC9">
            <w:pPr>
              <w:pStyle w:val="TableText"/>
              <w:spacing w:before="40" w:after="40"/>
              <w:rPr>
                <w:rFonts w:cs="Calibri"/>
                <w:szCs w:val="16"/>
              </w:rPr>
            </w:pPr>
          </w:p>
        </w:tc>
        <w:tc>
          <w:tcPr>
            <w:tcW w:w="2835" w:type="dxa"/>
            <w:shd w:val="clear" w:color="auto" w:fill="FFFFFF"/>
            <w:tcMar>
              <w:top w:w="0" w:type="dxa"/>
              <w:left w:w="85" w:type="dxa"/>
              <w:bottom w:w="0" w:type="dxa"/>
              <w:right w:w="85" w:type="dxa"/>
            </w:tcMar>
            <w:vAlign w:val="center"/>
          </w:tcPr>
          <w:p w14:paraId="2A64A92C" w14:textId="77777777" w:rsidR="00E0181F" w:rsidRPr="001D5327" w:rsidRDefault="00E0181F" w:rsidP="00D11AC9">
            <w:pPr>
              <w:pStyle w:val="TableText"/>
              <w:spacing w:before="40" w:after="40"/>
              <w:rPr>
                <w:rFonts w:cs="Calibri"/>
                <w:szCs w:val="16"/>
              </w:rPr>
            </w:pPr>
            <w:r w:rsidRPr="001D5327">
              <w:rPr>
                <w:rFonts w:eastAsia="Calibri" w:cs="Calibri"/>
                <w:color w:val="000000"/>
                <w:szCs w:val="16"/>
              </w:rPr>
              <w:t>Perennial cropland</w:t>
            </w:r>
          </w:p>
        </w:tc>
        <w:tc>
          <w:tcPr>
            <w:tcW w:w="708" w:type="dxa"/>
            <w:shd w:val="clear" w:color="auto" w:fill="FFFFFF"/>
            <w:tcMar>
              <w:top w:w="0" w:type="dxa"/>
              <w:left w:w="85" w:type="dxa"/>
              <w:bottom w:w="0" w:type="dxa"/>
              <w:right w:w="85" w:type="dxa"/>
            </w:tcMar>
            <w:vAlign w:val="center"/>
          </w:tcPr>
          <w:p w14:paraId="72BAC3A4" w14:textId="77777777" w:rsidR="00E0181F" w:rsidRPr="001D5327" w:rsidRDefault="00E0181F" w:rsidP="00D11AC9">
            <w:pPr>
              <w:pStyle w:val="TableText"/>
              <w:spacing w:before="40" w:after="40"/>
              <w:jc w:val="right"/>
              <w:rPr>
                <w:rFonts w:cs="Calibri"/>
                <w:szCs w:val="16"/>
              </w:rPr>
            </w:pPr>
            <w:r w:rsidRPr="001D5327">
              <w:rPr>
                <w:rFonts w:eastAsia="Calibri" w:cs="Calibri"/>
                <w:color w:val="000000"/>
                <w:szCs w:val="16"/>
              </w:rPr>
              <w:t>6,820</w:t>
            </w:r>
          </w:p>
        </w:tc>
        <w:tc>
          <w:tcPr>
            <w:tcW w:w="993" w:type="dxa"/>
            <w:shd w:val="clear" w:color="auto" w:fill="FFFFFF"/>
            <w:tcMar>
              <w:top w:w="0" w:type="dxa"/>
              <w:left w:w="85" w:type="dxa"/>
              <w:bottom w:w="0" w:type="dxa"/>
              <w:right w:w="85" w:type="dxa"/>
            </w:tcMar>
            <w:vAlign w:val="center"/>
          </w:tcPr>
          <w:p w14:paraId="01F04F70" w14:textId="77777777" w:rsidR="00E0181F" w:rsidRPr="001D5327" w:rsidRDefault="00E0181F" w:rsidP="00D11AC9">
            <w:pPr>
              <w:pStyle w:val="TableText"/>
              <w:spacing w:before="40" w:after="40"/>
              <w:jc w:val="right"/>
              <w:rPr>
                <w:rFonts w:cs="Calibri"/>
                <w:szCs w:val="16"/>
              </w:rPr>
            </w:pPr>
            <w:r w:rsidRPr="001D5327">
              <w:rPr>
                <w:rFonts w:eastAsia="Calibri" w:cs="Calibri"/>
                <w:color w:val="000000"/>
                <w:szCs w:val="16"/>
              </w:rPr>
              <w:t>12,740</w:t>
            </w:r>
          </w:p>
        </w:tc>
        <w:tc>
          <w:tcPr>
            <w:tcW w:w="1785" w:type="dxa"/>
            <w:shd w:val="clear" w:color="auto" w:fill="FFFFFF"/>
            <w:tcMar>
              <w:top w:w="0" w:type="dxa"/>
              <w:left w:w="85" w:type="dxa"/>
              <w:bottom w:w="0" w:type="dxa"/>
              <w:right w:w="85" w:type="dxa"/>
            </w:tcMar>
            <w:vAlign w:val="center"/>
          </w:tcPr>
          <w:p w14:paraId="7B241BAE" w14:textId="77777777" w:rsidR="00E0181F" w:rsidRPr="001D5327" w:rsidRDefault="00E0181F" w:rsidP="00D11AC9">
            <w:pPr>
              <w:pStyle w:val="TableText"/>
              <w:spacing w:before="40" w:after="40"/>
              <w:jc w:val="right"/>
              <w:rPr>
                <w:rFonts w:cs="Calibri"/>
                <w:szCs w:val="16"/>
              </w:rPr>
            </w:pPr>
            <w:r w:rsidRPr="001D5327">
              <w:rPr>
                <w:rFonts w:eastAsia="Calibri" w:cs="Calibri"/>
                <w:color w:val="000000"/>
                <w:szCs w:val="16"/>
              </w:rPr>
              <w:t>86.8</w:t>
            </w:r>
          </w:p>
        </w:tc>
      </w:tr>
      <w:tr w:rsidR="00E0181F" w:rsidRPr="001D5327" w14:paraId="4C92E107" w14:textId="77777777" w:rsidTr="00D11AC9">
        <w:tc>
          <w:tcPr>
            <w:tcW w:w="2127" w:type="dxa"/>
            <w:shd w:val="clear" w:color="auto" w:fill="FFFFFF"/>
            <w:tcMar>
              <w:top w:w="0" w:type="dxa"/>
              <w:left w:w="85" w:type="dxa"/>
              <w:bottom w:w="0" w:type="dxa"/>
              <w:right w:w="85" w:type="dxa"/>
            </w:tcMar>
            <w:vAlign w:val="center"/>
          </w:tcPr>
          <w:p w14:paraId="3EE2225B" w14:textId="77777777" w:rsidR="00E0181F" w:rsidRPr="001D5327" w:rsidRDefault="00E0181F" w:rsidP="00D11AC9">
            <w:pPr>
              <w:pStyle w:val="TableText"/>
              <w:spacing w:before="40" w:after="40"/>
              <w:rPr>
                <w:rFonts w:cs="Calibri"/>
                <w:szCs w:val="16"/>
              </w:rPr>
            </w:pPr>
          </w:p>
        </w:tc>
        <w:tc>
          <w:tcPr>
            <w:tcW w:w="2835" w:type="dxa"/>
            <w:shd w:val="clear" w:color="auto" w:fill="FFFFFF"/>
            <w:tcMar>
              <w:top w:w="0" w:type="dxa"/>
              <w:left w:w="85" w:type="dxa"/>
              <w:bottom w:w="0" w:type="dxa"/>
              <w:right w:w="85" w:type="dxa"/>
            </w:tcMar>
            <w:vAlign w:val="center"/>
          </w:tcPr>
          <w:p w14:paraId="044CDADF" w14:textId="77777777" w:rsidR="00E0181F" w:rsidRPr="001D5327" w:rsidRDefault="00E0181F" w:rsidP="00D11AC9">
            <w:pPr>
              <w:pStyle w:val="TableText"/>
              <w:spacing w:before="40" w:after="40"/>
              <w:rPr>
                <w:rFonts w:cs="Calibri"/>
                <w:szCs w:val="16"/>
              </w:rPr>
            </w:pPr>
            <w:r w:rsidRPr="001D5327">
              <w:rPr>
                <w:rFonts w:eastAsia="Calibri" w:cs="Calibri"/>
                <w:i/>
                <w:color w:val="000000"/>
                <w:szCs w:val="16"/>
              </w:rPr>
              <w:t>Subtotal</w:t>
            </w:r>
          </w:p>
        </w:tc>
        <w:tc>
          <w:tcPr>
            <w:tcW w:w="708" w:type="dxa"/>
            <w:shd w:val="clear" w:color="auto" w:fill="FFFFFF"/>
            <w:tcMar>
              <w:top w:w="0" w:type="dxa"/>
              <w:left w:w="85" w:type="dxa"/>
              <w:bottom w:w="0" w:type="dxa"/>
              <w:right w:w="85" w:type="dxa"/>
            </w:tcMar>
            <w:vAlign w:val="center"/>
          </w:tcPr>
          <w:p w14:paraId="13756060" w14:textId="77777777" w:rsidR="00E0181F" w:rsidRPr="001D5327" w:rsidRDefault="00E0181F" w:rsidP="00D11AC9">
            <w:pPr>
              <w:pStyle w:val="TableText"/>
              <w:spacing w:before="40" w:after="40"/>
              <w:jc w:val="right"/>
              <w:rPr>
                <w:rFonts w:cs="Calibri"/>
                <w:szCs w:val="16"/>
              </w:rPr>
            </w:pPr>
            <w:r w:rsidRPr="001D5327">
              <w:rPr>
                <w:rFonts w:eastAsia="Calibri" w:cs="Calibri"/>
                <w:i/>
                <w:color w:val="000000"/>
                <w:szCs w:val="16"/>
              </w:rPr>
              <w:t>28,302</w:t>
            </w:r>
          </w:p>
        </w:tc>
        <w:tc>
          <w:tcPr>
            <w:tcW w:w="993" w:type="dxa"/>
            <w:shd w:val="clear" w:color="auto" w:fill="FFFFFF"/>
            <w:tcMar>
              <w:top w:w="0" w:type="dxa"/>
              <w:left w:w="85" w:type="dxa"/>
              <w:bottom w:w="0" w:type="dxa"/>
              <w:right w:w="85" w:type="dxa"/>
            </w:tcMar>
            <w:vAlign w:val="center"/>
          </w:tcPr>
          <w:p w14:paraId="18FF01AB" w14:textId="77777777" w:rsidR="00E0181F" w:rsidRPr="001D5327" w:rsidRDefault="00E0181F" w:rsidP="00D11AC9">
            <w:pPr>
              <w:pStyle w:val="TableText"/>
              <w:spacing w:before="40" w:after="40"/>
              <w:jc w:val="right"/>
              <w:rPr>
                <w:rFonts w:cs="Calibri"/>
                <w:szCs w:val="16"/>
              </w:rPr>
            </w:pPr>
            <w:r w:rsidRPr="001D5327">
              <w:rPr>
                <w:rFonts w:eastAsia="Calibri" w:cs="Calibri"/>
                <w:i/>
                <w:color w:val="000000"/>
                <w:szCs w:val="16"/>
              </w:rPr>
              <w:t>128,082</w:t>
            </w:r>
          </w:p>
        </w:tc>
        <w:tc>
          <w:tcPr>
            <w:tcW w:w="1785" w:type="dxa"/>
            <w:shd w:val="clear" w:color="auto" w:fill="FFFFFF"/>
            <w:tcMar>
              <w:top w:w="0" w:type="dxa"/>
              <w:left w:w="85" w:type="dxa"/>
              <w:bottom w:w="0" w:type="dxa"/>
              <w:right w:w="85" w:type="dxa"/>
            </w:tcMar>
            <w:vAlign w:val="center"/>
          </w:tcPr>
          <w:p w14:paraId="09EFB8D8" w14:textId="77777777" w:rsidR="00E0181F" w:rsidRPr="001D5327" w:rsidRDefault="00E0181F" w:rsidP="00D11AC9">
            <w:pPr>
              <w:pStyle w:val="TableText"/>
              <w:spacing w:before="40" w:after="40"/>
              <w:jc w:val="right"/>
              <w:rPr>
                <w:rFonts w:cs="Calibri"/>
                <w:szCs w:val="16"/>
              </w:rPr>
            </w:pPr>
            <w:r w:rsidRPr="001D5327">
              <w:rPr>
                <w:rFonts w:eastAsia="Calibri" w:cs="Calibri"/>
                <w:i/>
                <w:color w:val="000000"/>
                <w:szCs w:val="16"/>
              </w:rPr>
              <w:t>352.6</w:t>
            </w:r>
          </w:p>
        </w:tc>
      </w:tr>
      <w:tr w:rsidR="00E0181F" w:rsidRPr="001D5327" w14:paraId="1E9B9864" w14:textId="77777777" w:rsidTr="00D11AC9">
        <w:tc>
          <w:tcPr>
            <w:tcW w:w="2127" w:type="dxa"/>
            <w:shd w:val="clear" w:color="auto" w:fill="FFFFFF"/>
            <w:tcMar>
              <w:top w:w="0" w:type="dxa"/>
              <w:left w:w="85" w:type="dxa"/>
              <w:bottom w:w="0" w:type="dxa"/>
              <w:right w:w="85" w:type="dxa"/>
            </w:tcMar>
            <w:vAlign w:val="center"/>
          </w:tcPr>
          <w:p w14:paraId="39CFA9FA" w14:textId="77777777" w:rsidR="00E0181F" w:rsidRPr="001D5327" w:rsidRDefault="00E0181F" w:rsidP="00D11AC9">
            <w:pPr>
              <w:pStyle w:val="Tableboldblue"/>
              <w:spacing w:before="40" w:after="40"/>
            </w:pPr>
            <w:r w:rsidRPr="001D5327">
              <w:rPr>
                <w:rFonts w:eastAsia="Calibri"/>
              </w:rPr>
              <w:t>Total</w:t>
            </w:r>
          </w:p>
        </w:tc>
        <w:tc>
          <w:tcPr>
            <w:tcW w:w="2835" w:type="dxa"/>
            <w:shd w:val="clear" w:color="auto" w:fill="FFFFFF"/>
            <w:tcMar>
              <w:top w:w="0" w:type="dxa"/>
              <w:left w:w="85" w:type="dxa"/>
              <w:bottom w:w="0" w:type="dxa"/>
              <w:right w:w="85" w:type="dxa"/>
            </w:tcMar>
            <w:vAlign w:val="center"/>
          </w:tcPr>
          <w:p w14:paraId="6EB8ACE4" w14:textId="77777777" w:rsidR="00E0181F" w:rsidRPr="001D5327" w:rsidRDefault="00E0181F" w:rsidP="00D11AC9">
            <w:pPr>
              <w:pStyle w:val="Tableboldblue"/>
              <w:spacing w:before="40" w:after="40"/>
            </w:pPr>
          </w:p>
        </w:tc>
        <w:tc>
          <w:tcPr>
            <w:tcW w:w="708" w:type="dxa"/>
            <w:shd w:val="clear" w:color="auto" w:fill="FFFFFF"/>
            <w:tcMar>
              <w:top w:w="0" w:type="dxa"/>
              <w:left w:w="85" w:type="dxa"/>
              <w:bottom w:w="0" w:type="dxa"/>
              <w:right w:w="85" w:type="dxa"/>
            </w:tcMar>
            <w:vAlign w:val="center"/>
          </w:tcPr>
          <w:p w14:paraId="3DCD9533" w14:textId="77777777" w:rsidR="00E0181F" w:rsidRPr="001D5327" w:rsidRDefault="00E0181F" w:rsidP="00D11AC9">
            <w:pPr>
              <w:pStyle w:val="Tableboldblue"/>
              <w:spacing w:before="40" w:after="40"/>
              <w:jc w:val="right"/>
            </w:pPr>
            <w:r w:rsidRPr="001D5327">
              <w:rPr>
                <w:rFonts w:eastAsia="Calibri"/>
              </w:rPr>
              <w:t>424,104</w:t>
            </w:r>
          </w:p>
        </w:tc>
        <w:tc>
          <w:tcPr>
            <w:tcW w:w="993" w:type="dxa"/>
            <w:shd w:val="clear" w:color="auto" w:fill="FFFFFF"/>
            <w:tcMar>
              <w:top w:w="0" w:type="dxa"/>
              <w:left w:w="85" w:type="dxa"/>
              <w:bottom w:w="0" w:type="dxa"/>
              <w:right w:w="85" w:type="dxa"/>
            </w:tcMar>
            <w:vAlign w:val="center"/>
          </w:tcPr>
          <w:p w14:paraId="12E18E70" w14:textId="77777777" w:rsidR="00E0181F" w:rsidRPr="001D5327" w:rsidRDefault="00E0181F" w:rsidP="00D11AC9">
            <w:pPr>
              <w:pStyle w:val="Tableboldblue"/>
              <w:spacing w:before="40" w:after="40"/>
              <w:jc w:val="right"/>
            </w:pPr>
            <w:r w:rsidRPr="001D5327">
              <w:rPr>
                <w:rFonts w:eastAsia="Calibri"/>
              </w:rPr>
              <w:t>497,239</w:t>
            </w:r>
          </w:p>
        </w:tc>
        <w:tc>
          <w:tcPr>
            <w:tcW w:w="1785" w:type="dxa"/>
            <w:shd w:val="clear" w:color="auto" w:fill="FFFFFF"/>
            <w:tcMar>
              <w:top w:w="0" w:type="dxa"/>
              <w:left w:w="85" w:type="dxa"/>
              <w:bottom w:w="0" w:type="dxa"/>
              <w:right w:w="85" w:type="dxa"/>
            </w:tcMar>
            <w:vAlign w:val="center"/>
          </w:tcPr>
          <w:p w14:paraId="7222080C" w14:textId="77777777" w:rsidR="00E0181F" w:rsidRPr="001D5327" w:rsidRDefault="00E0181F" w:rsidP="00D11AC9">
            <w:pPr>
              <w:pStyle w:val="Tableboldblue"/>
              <w:spacing w:before="40" w:after="40"/>
              <w:jc w:val="right"/>
            </w:pPr>
            <w:r w:rsidRPr="001D5327">
              <w:rPr>
                <w:rFonts w:eastAsia="Calibri"/>
              </w:rPr>
              <w:t>17.2</w:t>
            </w:r>
          </w:p>
        </w:tc>
      </w:tr>
    </w:tbl>
    <w:p w14:paraId="5231FAAF" w14:textId="77777777" w:rsidR="00E0181F" w:rsidRPr="001D5327" w:rsidRDefault="00E0181F" w:rsidP="00E0181F">
      <w:pPr>
        <w:pStyle w:val="Noteundertable"/>
      </w:pPr>
      <w:r w:rsidRPr="001D5327">
        <w:rPr>
          <w:b/>
        </w:rPr>
        <w:t>Note:</w:t>
      </w:r>
      <w:r w:rsidRPr="001D5327">
        <w:tab/>
        <w:t>This table shows the change between 1 January 1990 and 31 December 2023. Columns may not total due to rounding.</w:t>
      </w:r>
    </w:p>
    <w:p w14:paraId="626AFAEA" w14:textId="77777777" w:rsidR="00E0181F" w:rsidRPr="001D5327" w:rsidRDefault="00E0181F" w:rsidP="00E0181F">
      <w:pPr>
        <w:pStyle w:val="BodyText"/>
        <w:spacing w:before="100" w:after="100"/>
      </w:pPr>
      <w:r w:rsidRPr="001D5327">
        <w:t xml:space="preserve">In 2023, </w:t>
      </w:r>
      <w:r w:rsidRPr="001D5327">
        <w:rPr>
          <w:i/>
        </w:rPr>
        <w:t>Cropland remaining cropland</w:t>
      </w:r>
      <w:r w:rsidRPr="001D5327">
        <w:t xml:space="preserve"> and</w:t>
      </w:r>
      <w:r w:rsidRPr="001D5327">
        <w:rPr>
          <w:i/>
          <w:iCs/>
        </w:rPr>
        <w:t xml:space="preserve"> </w:t>
      </w:r>
      <w:r w:rsidRPr="001D5327">
        <w:rPr>
          <w:rFonts w:cs="Calibri"/>
          <w:i/>
          <w:color w:val="000000" w:themeColor="text1"/>
        </w:rPr>
        <w:t>Land converted to cropland</w:t>
      </w:r>
      <w:r w:rsidRPr="001D5327">
        <w:t xml:space="preserve"> were identified as key categories for the level and trend assessment in 2023.</w:t>
      </w:r>
      <w:bookmarkStart w:id="2131" w:name="_Toc139253964"/>
      <w:bookmarkStart w:id="2132" w:name="_Toc255466373"/>
      <w:bookmarkStart w:id="2133" w:name="_Toc261513180"/>
      <w:bookmarkStart w:id="2134" w:name="_Toc261513793"/>
      <w:bookmarkStart w:id="2135" w:name="_Toc280630265"/>
    </w:p>
    <w:p w14:paraId="3D28E010" w14:textId="77777777" w:rsidR="00E0181F" w:rsidRPr="001D5327" w:rsidRDefault="00E0181F" w:rsidP="00E0181F">
      <w:pPr>
        <w:pStyle w:val="Heading3"/>
        <w:spacing w:before="180"/>
      </w:pPr>
      <w:r w:rsidRPr="001D5327">
        <w:t>6.5.2</w:t>
      </w:r>
      <w:r w:rsidRPr="001D5327">
        <w:tab/>
        <w:t>Methodological issues</w:t>
      </w:r>
      <w:bookmarkEnd w:id="2131"/>
      <w:bookmarkEnd w:id="2132"/>
      <w:bookmarkEnd w:id="2133"/>
      <w:bookmarkEnd w:id="2134"/>
      <w:bookmarkEnd w:id="2135"/>
      <w:r w:rsidRPr="001D5327">
        <w:t xml:space="preserve"> </w:t>
      </w:r>
    </w:p>
    <w:p w14:paraId="6428A5B8" w14:textId="77777777" w:rsidR="00E0181F" w:rsidRPr="001D5327" w:rsidRDefault="00E0181F" w:rsidP="00E0181F">
      <w:pPr>
        <w:pStyle w:val="BodyText"/>
      </w:pPr>
      <w:r w:rsidRPr="001D5327">
        <w:t xml:space="preserve">Emissions and removals for the living biomass and dead organic matter pools have been calculated using IPCC Tier 1 emission factors for annual cropland, Tier 2 emission factors for perennial cropland (Davis and Wakelin, unpublished) and activity data as described in section 6.2. Emissions and removals by the SOC pool are estimated using a Tier 2 method for mineral soils and IPCC Tier 1 defaults for organic soils, as described in annex 5, section A5.2.4. </w:t>
      </w:r>
    </w:p>
    <w:p w14:paraId="066A70DE" w14:textId="77777777" w:rsidR="00E0181F" w:rsidRPr="001D5327" w:rsidRDefault="00E0181F" w:rsidP="00E0181F">
      <w:pPr>
        <w:pStyle w:val="BodyText"/>
      </w:pPr>
      <w:r w:rsidRPr="001D5327">
        <w:t xml:space="preserve">A summary of the New Zealand emission factors and other parameters used to estimate greenhouse gas emissions for the </w:t>
      </w:r>
      <w:r w:rsidRPr="001D5327">
        <w:rPr>
          <w:i/>
        </w:rPr>
        <w:t>Cropland</w:t>
      </w:r>
      <w:r w:rsidRPr="001D5327">
        <w:t xml:space="preserve"> category is provided in table 6.5.5. </w:t>
      </w:r>
      <w:bookmarkStart w:id="2136" w:name="_Toc310423418"/>
      <w:bookmarkStart w:id="2137" w:name="_Toc318362711"/>
      <w:bookmarkStart w:id="2138" w:name="_Toc342470773"/>
      <w:bookmarkStart w:id="2139" w:name="_Toc352505013"/>
      <w:bookmarkStart w:id="2140" w:name="_Toc378853304"/>
    </w:p>
    <w:p w14:paraId="3C78B324" w14:textId="77777777" w:rsidR="00E0181F" w:rsidRPr="001D5327" w:rsidRDefault="00E0181F" w:rsidP="00E0181F">
      <w:pPr>
        <w:pStyle w:val="Table"/>
      </w:pPr>
      <w:bookmarkStart w:id="2141" w:name="_Toc391024102"/>
      <w:bookmarkStart w:id="2142" w:name="_Toc410028845"/>
      <w:bookmarkStart w:id="2143" w:name="_Toc414531473"/>
      <w:bookmarkStart w:id="2144" w:name="_Toc443645386"/>
      <w:bookmarkStart w:id="2145" w:name="_Toc474914605"/>
      <w:bookmarkStart w:id="2146" w:name="_Toc481751569"/>
      <w:bookmarkStart w:id="2147" w:name="_Toc522010626"/>
      <w:bookmarkStart w:id="2148" w:name="_Toc5269531"/>
      <w:bookmarkStart w:id="2149" w:name="_Toc33529405"/>
      <w:bookmarkStart w:id="2150" w:name="_Toc36224611"/>
      <w:bookmarkStart w:id="2151" w:name="_Toc65243608"/>
      <w:bookmarkStart w:id="2152" w:name="_Toc131591405"/>
      <w:bookmarkStart w:id="2153" w:name="_Toc158979963"/>
      <w:bookmarkStart w:id="2154" w:name="_Toc164153896"/>
      <w:bookmarkStart w:id="2155" w:name="_Toc190873130"/>
      <w:bookmarkStart w:id="2156" w:name="_Toc194241769"/>
      <w:r w:rsidRPr="001D5327">
        <w:lastRenderedPageBreak/>
        <w:t>Table 6.5.5</w:t>
      </w:r>
      <w:r w:rsidRPr="001D5327">
        <w:tab/>
        <w:t>Summary of New Zealand’s carbon stock change emission factors for the </w:t>
      </w:r>
      <w:r w:rsidRPr="001D5327">
        <w:rPr>
          <w:i/>
        </w:rPr>
        <w:t>Cropland</w:t>
      </w:r>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r w:rsidRPr="001D5327">
        <w:t xml:space="preserve"> category</w:t>
      </w:r>
      <w:bookmarkEnd w:id="2152"/>
      <w:bookmarkEnd w:id="2153"/>
      <w:bookmarkEnd w:id="2154"/>
      <w:bookmarkEnd w:id="2155"/>
      <w:bookmarkEnd w:id="2156"/>
      <w:r w:rsidRPr="001D5327">
        <w:t xml:space="preserve"> </w:t>
      </w:r>
    </w:p>
    <w:tbl>
      <w:tblPr>
        <w:tblW w:w="8505" w:type="dxa"/>
        <w:tblLayout w:type="fixed"/>
        <w:tblCellMar>
          <w:left w:w="85" w:type="dxa"/>
          <w:right w:w="57" w:type="dxa"/>
        </w:tblCellMar>
        <w:tblLook w:val="04A0" w:firstRow="1" w:lastRow="0" w:firstColumn="1" w:lastColumn="0" w:noHBand="0" w:noVBand="1"/>
      </w:tblPr>
      <w:tblGrid>
        <w:gridCol w:w="886"/>
        <w:gridCol w:w="1535"/>
        <w:gridCol w:w="1122"/>
        <w:gridCol w:w="1241"/>
        <w:gridCol w:w="1028"/>
        <w:gridCol w:w="2693"/>
      </w:tblGrid>
      <w:tr w:rsidR="00E0181F" w:rsidRPr="001D5327" w14:paraId="55BB03AC" w14:textId="77777777" w:rsidTr="00D11AC9">
        <w:trPr>
          <w:tblHeader/>
        </w:trPr>
        <w:tc>
          <w:tcPr>
            <w:tcW w:w="886" w:type="dxa"/>
            <w:tcBorders>
              <w:top w:val="single" w:sz="4" w:space="0" w:color="1B556B"/>
              <w:bottom w:val="single" w:sz="4" w:space="0" w:color="1B556B"/>
            </w:tcBorders>
            <w:shd w:val="clear" w:color="auto" w:fill="1B556B"/>
            <w:vAlign w:val="bottom"/>
          </w:tcPr>
          <w:p w14:paraId="7D7D3248" w14:textId="77777777" w:rsidR="00E0181F" w:rsidRPr="001D5327" w:rsidRDefault="00E0181F" w:rsidP="00022DF8">
            <w:pPr>
              <w:pStyle w:val="TableTextBold"/>
              <w:keepNext/>
              <w:spacing w:before="40" w:after="40"/>
              <w:rPr>
                <w:rFonts w:cs="Segoe UI"/>
                <w:noProof w:val="0"/>
                <w:color w:val="FFFFFF"/>
                <w:szCs w:val="16"/>
              </w:rPr>
            </w:pPr>
            <w:r w:rsidRPr="001D5327">
              <w:rPr>
                <w:rFonts w:cs="Segoe UI"/>
                <w:noProof w:val="0"/>
                <w:color w:val="FFFFFF"/>
                <w:szCs w:val="16"/>
              </w:rPr>
              <w:t>Land use</w:t>
            </w:r>
          </w:p>
        </w:tc>
        <w:tc>
          <w:tcPr>
            <w:tcW w:w="1535" w:type="dxa"/>
            <w:tcBorders>
              <w:top w:val="single" w:sz="4" w:space="0" w:color="1B556B"/>
              <w:bottom w:val="single" w:sz="4" w:space="0" w:color="1B556B"/>
            </w:tcBorders>
            <w:shd w:val="clear" w:color="auto" w:fill="1B556B"/>
            <w:vAlign w:val="bottom"/>
          </w:tcPr>
          <w:p w14:paraId="46FEFBED" w14:textId="77777777" w:rsidR="00E0181F" w:rsidRPr="001D5327" w:rsidRDefault="00E0181F" w:rsidP="00022DF8">
            <w:pPr>
              <w:pStyle w:val="TableTextBold"/>
              <w:keepNext/>
              <w:spacing w:before="40" w:after="40"/>
              <w:rPr>
                <w:rFonts w:cs="Segoe UI"/>
                <w:noProof w:val="0"/>
                <w:color w:val="FFFFFF"/>
                <w:szCs w:val="16"/>
              </w:rPr>
            </w:pPr>
            <w:r w:rsidRPr="001D5327">
              <w:rPr>
                <w:rFonts w:cs="Segoe UI"/>
                <w:noProof w:val="0"/>
                <w:color w:val="FFFFFF"/>
                <w:szCs w:val="16"/>
              </w:rPr>
              <w:t>Carbon pool</w:t>
            </w:r>
          </w:p>
        </w:tc>
        <w:tc>
          <w:tcPr>
            <w:tcW w:w="1122" w:type="dxa"/>
            <w:tcBorders>
              <w:top w:val="single" w:sz="4" w:space="0" w:color="1B556B"/>
              <w:bottom w:val="single" w:sz="4" w:space="0" w:color="1B556B"/>
            </w:tcBorders>
            <w:shd w:val="clear" w:color="auto" w:fill="1B556B"/>
            <w:vAlign w:val="bottom"/>
          </w:tcPr>
          <w:p w14:paraId="3F139208" w14:textId="77777777" w:rsidR="00E0181F" w:rsidRPr="001D5327" w:rsidRDefault="00E0181F" w:rsidP="00022DF8">
            <w:pPr>
              <w:pStyle w:val="TableTextBold"/>
              <w:keepNext/>
              <w:spacing w:before="40" w:after="40"/>
              <w:jc w:val="right"/>
              <w:rPr>
                <w:rFonts w:cs="Segoe UI"/>
                <w:noProof w:val="0"/>
                <w:color w:val="FFFFFF"/>
                <w:szCs w:val="16"/>
              </w:rPr>
            </w:pPr>
            <w:r w:rsidRPr="001D5327">
              <w:rPr>
                <w:rFonts w:cs="Segoe UI"/>
                <w:noProof w:val="0"/>
                <w:color w:val="FFFFFF"/>
                <w:szCs w:val="16"/>
              </w:rPr>
              <w:t xml:space="preserve">Steady state carbon stock </w:t>
            </w:r>
            <w:r w:rsidRPr="001D5327">
              <w:rPr>
                <w:rFonts w:cs="Segoe UI"/>
                <w:noProof w:val="0"/>
                <w:color w:val="FFFFFF"/>
                <w:szCs w:val="16"/>
              </w:rPr>
              <w:br/>
              <w:t>(t C ha</w:t>
            </w:r>
            <w:r w:rsidRPr="001D5327">
              <w:rPr>
                <w:rFonts w:cs="Segoe UI"/>
                <w:noProof w:val="0"/>
                <w:color w:val="FFFFFF"/>
                <w:szCs w:val="16"/>
                <w:vertAlign w:val="superscript"/>
              </w:rPr>
              <w:t>–1</w:t>
            </w:r>
            <w:r w:rsidRPr="001D5327">
              <w:rPr>
                <w:rFonts w:cs="Segoe UI"/>
                <w:noProof w:val="0"/>
                <w:color w:val="FFFFFF"/>
                <w:szCs w:val="16"/>
              </w:rPr>
              <w:t>)</w:t>
            </w:r>
          </w:p>
        </w:tc>
        <w:tc>
          <w:tcPr>
            <w:tcW w:w="1241" w:type="dxa"/>
            <w:tcBorders>
              <w:top w:val="single" w:sz="4" w:space="0" w:color="1B556B"/>
              <w:bottom w:val="single" w:sz="4" w:space="0" w:color="1B556B"/>
            </w:tcBorders>
            <w:shd w:val="clear" w:color="auto" w:fill="1B556B"/>
            <w:vAlign w:val="bottom"/>
          </w:tcPr>
          <w:p w14:paraId="6CD61C10" w14:textId="77777777" w:rsidR="00E0181F" w:rsidRPr="001D5327" w:rsidRDefault="00E0181F" w:rsidP="00022DF8">
            <w:pPr>
              <w:pStyle w:val="TableTextBold"/>
              <w:keepNext/>
              <w:spacing w:before="40" w:after="40"/>
              <w:jc w:val="right"/>
              <w:rPr>
                <w:rFonts w:cs="Segoe UI"/>
                <w:noProof w:val="0"/>
                <w:color w:val="FFFFFF"/>
                <w:szCs w:val="16"/>
              </w:rPr>
            </w:pPr>
            <w:r w:rsidRPr="001D5327">
              <w:rPr>
                <w:rFonts w:cs="Segoe UI"/>
                <w:noProof w:val="0"/>
                <w:color w:val="FFFFFF"/>
                <w:szCs w:val="16"/>
              </w:rPr>
              <w:t xml:space="preserve">Annual carbon stock change </w:t>
            </w:r>
            <w:r w:rsidRPr="001D5327">
              <w:rPr>
                <w:rFonts w:cs="Segoe UI"/>
                <w:noProof w:val="0"/>
                <w:color w:val="FFFFFF"/>
                <w:szCs w:val="16"/>
              </w:rPr>
              <w:br/>
              <w:t>(t C ha</w:t>
            </w:r>
            <w:r w:rsidRPr="001D5327">
              <w:rPr>
                <w:rFonts w:cs="Segoe UI"/>
                <w:noProof w:val="0"/>
                <w:color w:val="FFFFFF"/>
                <w:szCs w:val="16"/>
                <w:vertAlign w:val="superscript"/>
              </w:rPr>
              <w:t>–1</w:t>
            </w:r>
            <w:r w:rsidRPr="001D5327">
              <w:rPr>
                <w:rFonts w:cs="Segoe UI"/>
                <w:noProof w:val="0"/>
                <w:color w:val="FFFFFF"/>
                <w:szCs w:val="16"/>
              </w:rPr>
              <w:t>)</w:t>
            </w:r>
          </w:p>
        </w:tc>
        <w:tc>
          <w:tcPr>
            <w:tcW w:w="1028" w:type="dxa"/>
            <w:tcBorders>
              <w:top w:val="single" w:sz="4" w:space="0" w:color="1B556B"/>
              <w:bottom w:val="single" w:sz="4" w:space="0" w:color="1B556B"/>
            </w:tcBorders>
            <w:shd w:val="clear" w:color="auto" w:fill="1B556B"/>
            <w:vAlign w:val="bottom"/>
          </w:tcPr>
          <w:p w14:paraId="6CFF85E0" w14:textId="77777777" w:rsidR="00E0181F" w:rsidRPr="001D5327" w:rsidRDefault="00E0181F" w:rsidP="00022DF8">
            <w:pPr>
              <w:pStyle w:val="TableTextBold"/>
              <w:keepNext/>
              <w:spacing w:before="40" w:after="40"/>
              <w:jc w:val="right"/>
              <w:rPr>
                <w:rFonts w:cs="Segoe UI"/>
                <w:noProof w:val="0"/>
                <w:color w:val="FFFFFF"/>
                <w:szCs w:val="16"/>
              </w:rPr>
            </w:pPr>
            <w:r w:rsidRPr="001D5327">
              <w:rPr>
                <w:rFonts w:cs="Segoe UI"/>
                <w:noProof w:val="0"/>
                <w:color w:val="FFFFFF"/>
                <w:szCs w:val="16"/>
              </w:rPr>
              <w:t>Years to reach steady state</w:t>
            </w:r>
          </w:p>
        </w:tc>
        <w:tc>
          <w:tcPr>
            <w:tcW w:w="2693" w:type="dxa"/>
            <w:tcBorders>
              <w:top w:val="single" w:sz="4" w:space="0" w:color="1B556B"/>
              <w:bottom w:val="single" w:sz="4" w:space="0" w:color="1B556B"/>
            </w:tcBorders>
            <w:shd w:val="clear" w:color="auto" w:fill="1B556B"/>
            <w:vAlign w:val="bottom"/>
          </w:tcPr>
          <w:p w14:paraId="21BFCA27" w14:textId="77777777" w:rsidR="00E0181F" w:rsidRPr="001D5327" w:rsidRDefault="00E0181F" w:rsidP="00022DF8">
            <w:pPr>
              <w:pStyle w:val="TableTextBold"/>
              <w:keepNext/>
              <w:spacing w:before="40" w:after="40"/>
              <w:rPr>
                <w:rFonts w:cs="Segoe UI"/>
                <w:noProof w:val="0"/>
                <w:color w:val="FFFFFF"/>
                <w:szCs w:val="16"/>
              </w:rPr>
            </w:pPr>
            <w:r w:rsidRPr="001D5327">
              <w:rPr>
                <w:rFonts w:cs="Segoe UI"/>
                <w:noProof w:val="0"/>
                <w:color w:val="FFFFFF"/>
                <w:szCs w:val="16"/>
              </w:rPr>
              <w:t>Source</w:t>
            </w:r>
          </w:p>
        </w:tc>
      </w:tr>
      <w:tr w:rsidR="00E0181F" w:rsidRPr="001D5327" w14:paraId="79A33C73" w14:textId="77777777" w:rsidTr="00D11AC9">
        <w:tc>
          <w:tcPr>
            <w:tcW w:w="886" w:type="dxa"/>
            <w:tcBorders>
              <w:top w:val="single" w:sz="4" w:space="0" w:color="1B556B"/>
            </w:tcBorders>
          </w:tcPr>
          <w:p w14:paraId="0288BE98" w14:textId="77777777" w:rsidR="00E0181F" w:rsidRPr="001D5327" w:rsidRDefault="00E0181F" w:rsidP="00022DF8">
            <w:pPr>
              <w:pStyle w:val="TableTextBold"/>
              <w:keepNext/>
              <w:spacing w:before="40" w:after="40"/>
              <w:rPr>
                <w:rFonts w:cs="Segoe UI"/>
                <w:noProof w:val="0"/>
                <w:szCs w:val="16"/>
              </w:rPr>
            </w:pPr>
            <w:r w:rsidRPr="001D5327">
              <w:rPr>
                <w:rFonts w:cs="Segoe UI"/>
                <w:noProof w:val="0"/>
                <w:szCs w:val="16"/>
              </w:rPr>
              <w:t>Annual</w:t>
            </w:r>
          </w:p>
        </w:tc>
        <w:tc>
          <w:tcPr>
            <w:tcW w:w="1535" w:type="dxa"/>
            <w:tcBorders>
              <w:top w:val="single" w:sz="4" w:space="0" w:color="1B556B"/>
              <w:bottom w:val="single" w:sz="4" w:space="0" w:color="1B556B"/>
            </w:tcBorders>
          </w:tcPr>
          <w:p w14:paraId="53049047" w14:textId="77777777" w:rsidR="00E0181F" w:rsidRPr="001D5327" w:rsidRDefault="00E0181F" w:rsidP="00022DF8">
            <w:pPr>
              <w:pStyle w:val="TableText"/>
              <w:keepNext/>
              <w:spacing w:before="40" w:after="40"/>
              <w:rPr>
                <w:rFonts w:cs="Segoe UI"/>
                <w:szCs w:val="16"/>
              </w:rPr>
            </w:pPr>
            <w:r w:rsidRPr="001D5327">
              <w:rPr>
                <w:rFonts w:cs="Segoe UI"/>
                <w:szCs w:val="16"/>
              </w:rPr>
              <w:t>Biomass</w:t>
            </w:r>
          </w:p>
        </w:tc>
        <w:tc>
          <w:tcPr>
            <w:tcW w:w="1122" w:type="dxa"/>
            <w:tcBorders>
              <w:top w:val="single" w:sz="4" w:space="0" w:color="1B556B"/>
              <w:bottom w:val="single" w:sz="4" w:space="0" w:color="1B556B"/>
            </w:tcBorders>
          </w:tcPr>
          <w:p w14:paraId="711FE370" w14:textId="77777777" w:rsidR="00E0181F" w:rsidRPr="001D5327" w:rsidRDefault="00E0181F" w:rsidP="00022DF8">
            <w:pPr>
              <w:pStyle w:val="TableText"/>
              <w:keepNext/>
              <w:spacing w:before="40" w:after="40"/>
              <w:jc w:val="center"/>
              <w:rPr>
                <w:rFonts w:cs="Segoe UI"/>
                <w:szCs w:val="16"/>
              </w:rPr>
            </w:pPr>
          </w:p>
        </w:tc>
        <w:tc>
          <w:tcPr>
            <w:tcW w:w="1241" w:type="dxa"/>
            <w:tcBorders>
              <w:top w:val="single" w:sz="4" w:space="0" w:color="1B556B"/>
              <w:bottom w:val="single" w:sz="4" w:space="0" w:color="1B556B"/>
            </w:tcBorders>
          </w:tcPr>
          <w:p w14:paraId="6F6522E4" w14:textId="77777777" w:rsidR="00E0181F" w:rsidRPr="001D5327" w:rsidRDefault="00E0181F" w:rsidP="00022DF8">
            <w:pPr>
              <w:pStyle w:val="TableText"/>
              <w:keepNext/>
              <w:spacing w:before="40" w:after="40"/>
              <w:jc w:val="center"/>
              <w:rPr>
                <w:rFonts w:cs="Segoe UI"/>
                <w:szCs w:val="16"/>
              </w:rPr>
            </w:pPr>
          </w:p>
        </w:tc>
        <w:tc>
          <w:tcPr>
            <w:tcW w:w="1028" w:type="dxa"/>
            <w:tcBorders>
              <w:top w:val="single" w:sz="4" w:space="0" w:color="1B556B"/>
              <w:bottom w:val="single" w:sz="4" w:space="0" w:color="1B556B"/>
            </w:tcBorders>
          </w:tcPr>
          <w:p w14:paraId="15F8718D" w14:textId="77777777" w:rsidR="00E0181F" w:rsidRPr="001D5327" w:rsidRDefault="00E0181F" w:rsidP="00022DF8">
            <w:pPr>
              <w:pStyle w:val="TableText"/>
              <w:keepNext/>
              <w:spacing w:before="40" w:after="40"/>
              <w:jc w:val="center"/>
              <w:rPr>
                <w:rFonts w:cs="Segoe UI"/>
                <w:szCs w:val="16"/>
              </w:rPr>
            </w:pPr>
          </w:p>
        </w:tc>
        <w:tc>
          <w:tcPr>
            <w:tcW w:w="2693" w:type="dxa"/>
            <w:tcBorders>
              <w:top w:val="single" w:sz="4" w:space="0" w:color="1B556B"/>
              <w:bottom w:val="single" w:sz="4" w:space="0" w:color="1B556B"/>
            </w:tcBorders>
          </w:tcPr>
          <w:p w14:paraId="7728F746" w14:textId="77777777" w:rsidR="00E0181F" w:rsidRPr="001D5327" w:rsidRDefault="00E0181F" w:rsidP="00022DF8">
            <w:pPr>
              <w:pStyle w:val="TableText"/>
              <w:keepNext/>
              <w:spacing w:before="40" w:after="40"/>
              <w:rPr>
                <w:rFonts w:cs="Segoe UI"/>
                <w:szCs w:val="16"/>
              </w:rPr>
            </w:pPr>
          </w:p>
        </w:tc>
      </w:tr>
      <w:tr w:rsidR="00E0181F" w:rsidRPr="001D5327" w14:paraId="287D0711" w14:textId="77777777" w:rsidTr="00D11AC9">
        <w:tc>
          <w:tcPr>
            <w:tcW w:w="886" w:type="dxa"/>
          </w:tcPr>
          <w:p w14:paraId="06530A15" w14:textId="77777777" w:rsidR="00E0181F" w:rsidRPr="001D5327" w:rsidRDefault="00E0181F" w:rsidP="00022DF8">
            <w:pPr>
              <w:pStyle w:val="TableText"/>
              <w:keepNext/>
              <w:spacing w:before="40" w:after="40"/>
              <w:rPr>
                <w:rFonts w:cs="Segoe UI"/>
                <w:szCs w:val="16"/>
              </w:rPr>
            </w:pPr>
            <w:r w:rsidRPr="001D5327">
              <w:rPr>
                <w:rFonts w:cs="Segoe UI"/>
                <w:szCs w:val="16"/>
              </w:rPr>
              <w:t> </w:t>
            </w:r>
          </w:p>
        </w:tc>
        <w:tc>
          <w:tcPr>
            <w:tcW w:w="1535" w:type="dxa"/>
            <w:tcBorders>
              <w:top w:val="single" w:sz="4" w:space="0" w:color="1B556B"/>
              <w:bottom w:val="single" w:sz="4" w:space="0" w:color="1B556B"/>
            </w:tcBorders>
          </w:tcPr>
          <w:p w14:paraId="3AB6764F" w14:textId="77777777" w:rsidR="00E0181F" w:rsidRPr="001D5327" w:rsidRDefault="00E0181F" w:rsidP="00022DF8">
            <w:pPr>
              <w:pStyle w:val="TableText"/>
              <w:keepNext/>
              <w:spacing w:before="40" w:after="40"/>
              <w:rPr>
                <w:rFonts w:cs="Segoe UI"/>
                <w:szCs w:val="16"/>
              </w:rPr>
            </w:pPr>
            <w:r w:rsidRPr="001D5327">
              <w:rPr>
                <w:rFonts w:cs="Segoe UI"/>
                <w:szCs w:val="16"/>
              </w:rPr>
              <w:t>Living biomass</w:t>
            </w:r>
          </w:p>
        </w:tc>
        <w:tc>
          <w:tcPr>
            <w:tcW w:w="1122" w:type="dxa"/>
            <w:tcBorders>
              <w:top w:val="single" w:sz="4" w:space="0" w:color="1B556B"/>
              <w:bottom w:val="single" w:sz="4" w:space="0" w:color="1B556B"/>
            </w:tcBorders>
          </w:tcPr>
          <w:p w14:paraId="04E594C3" w14:textId="77777777" w:rsidR="00E0181F" w:rsidRPr="001D5327" w:rsidRDefault="00E0181F" w:rsidP="00022DF8">
            <w:pPr>
              <w:pStyle w:val="TableText"/>
              <w:keepNext/>
              <w:spacing w:before="40" w:after="40"/>
              <w:jc w:val="right"/>
              <w:rPr>
                <w:rFonts w:cs="Segoe UI"/>
                <w:szCs w:val="16"/>
              </w:rPr>
            </w:pPr>
            <w:r w:rsidRPr="001D5327">
              <w:rPr>
                <w:rFonts w:cs="Segoe UI"/>
                <w:szCs w:val="16"/>
              </w:rPr>
              <w:t>5.0</w:t>
            </w:r>
          </w:p>
        </w:tc>
        <w:tc>
          <w:tcPr>
            <w:tcW w:w="1241" w:type="dxa"/>
            <w:tcBorders>
              <w:top w:val="single" w:sz="4" w:space="0" w:color="1B556B"/>
              <w:bottom w:val="single" w:sz="4" w:space="0" w:color="1B556B"/>
            </w:tcBorders>
          </w:tcPr>
          <w:p w14:paraId="7688AB11" w14:textId="77777777" w:rsidR="00E0181F" w:rsidRPr="001D5327" w:rsidRDefault="00E0181F" w:rsidP="00022DF8">
            <w:pPr>
              <w:pStyle w:val="TableText"/>
              <w:keepNext/>
              <w:spacing w:before="40" w:after="40"/>
              <w:jc w:val="right"/>
              <w:rPr>
                <w:rFonts w:cs="Segoe UI"/>
                <w:szCs w:val="16"/>
              </w:rPr>
            </w:pPr>
            <w:r w:rsidRPr="001D5327">
              <w:rPr>
                <w:rFonts w:cs="Segoe UI"/>
                <w:szCs w:val="16"/>
              </w:rPr>
              <w:t>NA</w:t>
            </w:r>
          </w:p>
        </w:tc>
        <w:tc>
          <w:tcPr>
            <w:tcW w:w="1028" w:type="dxa"/>
            <w:tcBorders>
              <w:top w:val="single" w:sz="4" w:space="0" w:color="1B556B"/>
              <w:bottom w:val="single" w:sz="4" w:space="0" w:color="1B556B"/>
            </w:tcBorders>
            <w:tcMar>
              <w:right w:w="85" w:type="dxa"/>
            </w:tcMar>
          </w:tcPr>
          <w:p w14:paraId="7417AE26" w14:textId="77777777" w:rsidR="00E0181F" w:rsidRPr="001D5327" w:rsidRDefault="00E0181F" w:rsidP="00022DF8">
            <w:pPr>
              <w:pStyle w:val="TableText"/>
              <w:keepNext/>
              <w:spacing w:before="40" w:after="40"/>
              <w:jc w:val="right"/>
              <w:rPr>
                <w:rFonts w:cs="Segoe UI"/>
                <w:szCs w:val="16"/>
              </w:rPr>
            </w:pPr>
            <w:r w:rsidRPr="001D5327">
              <w:rPr>
                <w:rFonts w:cs="Segoe UI"/>
                <w:szCs w:val="16"/>
              </w:rPr>
              <w:t>1</w:t>
            </w:r>
          </w:p>
        </w:tc>
        <w:tc>
          <w:tcPr>
            <w:tcW w:w="2693" w:type="dxa"/>
            <w:tcBorders>
              <w:top w:val="single" w:sz="4" w:space="0" w:color="1B556B"/>
              <w:bottom w:val="single" w:sz="4" w:space="0" w:color="1B556B"/>
            </w:tcBorders>
          </w:tcPr>
          <w:p w14:paraId="4B80D520" w14:textId="77777777" w:rsidR="00E0181F" w:rsidRPr="001D5327" w:rsidRDefault="00E0181F" w:rsidP="00022DF8">
            <w:pPr>
              <w:pStyle w:val="TableText"/>
              <w:keepNext/>
              <w:spacing w:before="40" w:after="40"/>
              <w:rPr>
                <w:rFonts w:cs="Segoe UI"/>
                <w:szCs w:val="16"/>
              </w:rPr>
            </w:pPr>
            <w:r w:rsidRPr="001D5327">
              <w:rPr>
                <w:rFonts w:cs="Segoe UI"/>
                <w:szCs w:val="16"/>
              </w:rPr>
              <w:t>IPCC default (table 5.9, IPCC, 2006a)</w:t>
            </w:r>
          </w:p>
        </w:tc>
      </w:tr>
      <w:tr w:rsidR="00E0181F" w:rsidRPr="001D5327" w14:paraId="642DD58D" w14:textId="77777777" w:rsidTr="00D11AC9">
        <w:tc>
          <w:tcPr>
            <w:tcW w:w="886" w:type="dxa"/>
          </w:tcPr>
          <w:p w14:paraId="5F84D3DE" w14:textId="77777777" w:rsidR="00E0181F" w:rsidRPr="001D5327" w:rsidRDefault="00E0181F" w:rsidP="00022DF8">
            <w:pPr>
              <w:pStyle w:val="TableText"/>
              <w:keepNext/>
              <w:spacing w:before="40" w:after="40"/>
              <w:rPr>
                <w:rFonts w:cs="Segoe UI"/>
                <w:szCs w:val="16"/>
              </w:rPr>
            </w:pPr>
            <w:r w:rsidRPr="001D5327">
              <w:rPr>
                <w:rFonts w:cs="Segoe UI"/>
                <w:szCs w:val="16"/>
              </w:rPr>
              <w:t> </w:t>
            </w:r>
          </w:p>
        </w:tc>
        <w:tc>
          <w:tcPr>
            <w:tcW w:w="1535" w:type="dxa"/>
            <w:tcBorders>
              <w:top w:val="single" w:sz="4" w:space="0" w:color="1B556B"/>
              <w:bottom w:val="single" w:sz="4" w:space="0" w:color="1B556B"/>
            </w:tcBorders>
          </w:tcPr>
          <w:p w14:paraId="05C0CA70" w14:textId="77777777" w:rsidR="00E0181F" w:rsidRPr="001D5327" w:rsidRDefault="00E0181F" w:rsidP="00022DF8">
            <w:pPr>
              <w:pStyle w:val="TableText"/>
              <w:keepNext/>
              <w:spacing w:before="40" w:after="40"/>
              <w:rPr>
                <w:rFonts w:cs="Segoe UI"/>
                <w:szCs w:val="16"/>
              </w:rPr>
            </w:pPr>
            <w:r w:rsidRPr="001D5327">
              <w:rPr>
                <w:rFonts w:cs="Segoe UI"/>
                <w:szCs w:val="16"/>
              </w:rPr>
              <w:t>Dead organic matter</w:t>
            </w:r>
          </w:p>
        </w:tc>
        <w:tc>
          <w:tcPr>
            <w:tcW w:w="1122" w:type="dxa"/>
            <w:tcBorders>
              <w:top w:val="single" w:sz="4" w:space="0" w:color="1B556B"/>
              <w:bottom w:val="single" w:sz="4" w:space="0" w:color="1B556B"/>
            </w:tcBorders>
          </w:tcPr>
          <w:p w14:paraId="5022D58C" w14:textId="77777777" w:rsidR="00E0181F" w:rsidRPr="001D5327" w:rsidRDefault="00E0181F" w:rsidP="00022DF8">
            <w:pPr>
              <w:pStyle w:val="TableText"/>
              <w:keepNext/>
              <w:spacing w:before="40" w:after="40"/>
              <w:jc w:val="right"/>
              <w:rPr>
                <w:rFonts w:cs="Segoe UI"/>
                <w:szCs w:val="16"/>
              </w:rPr>
            </w:pPr>
            <w:r w:rsidRPr="001D5327">
              <w:rPr>
                <w:rFonts w:cs="Segoe UI"/>
                <w:szCs w:val="16"/>
              </w:rPr>
              <w:t>NE</w:t>
            </w:r>
          </w:p>
        </w:tc>
        <w:tc>
          <w:tcPr>
            <w:tcW w:w="1241" w:type="dxa"/>
            <w:tcBorders>
              <w:top w:val="single" w:sz="4" w:space="0" w:color="1B556B"/>
              <w:bottom w:val="single" w:sz="4" w:space="0" w:color="1B556B"/>
            </w:tcBorders>
          </w:tcPr>
          <w:p w14:paraId="636731CD" w14:textId="77777777" w:rsidR="00E0181F" w:rsidRPr="001D5327" w:rsidRDefault="00E0181F" w:rsidP="00022DF8">
            <w:pPr>
              <w:pStyle w:val="TableText"/>
              <w:keepNext/>
              <w:spacing w:before="40" w:after="40"/>
              <w:jc w:val="right"/>
              <w:rPr>
                <w:rFonts w:cs="Segoe UI"/>
                <w:szCs w:val="16"/>
              </w:rPr>
            </w:pPr>
            <w:r w:rsidRPr="001D5327">
              <w:rPr>
                <w:rFonts w:cs="Segoe UI"/>
                <w:szCs w:val="16"/>
              </w:rPr>
              <w:t>NE</w:t>
            </w:r>
          </w:p>
        </w:tc>
        <w:tc>
          <w:tcPr>
            <w:tcW w:w="1028" w:type="dxa"/>
            <w:tcBorders>
              <w:top w:val="single" w:sz="4" w:space="0" w:color="1B556B"/>
              <w:bottom w:val="single" w:sz="4" w:space="0" w:color="1B556B"/>
            </w:tcBorders>
            <w:tcMar>
              <w:right w:w="85" w:type="dxa"/>
            </w:tcMar>
          </w:tcPr>
          <w:p w14:paraId="08EE6C6E" w14:textId="77777777" w:rsidR="00E0181F" w:rsidRPr="001D5327" w:rsidRDefault="00E0181F" w:rsidP="00022DF8">
            <w:pPr>
              <w:pStyle w:val="TableText"/>
              <w:keepNext/>
              <w:spacing w:before="40" w:after="40"/>
              <w:jc w:val="right"/>
              <w:rPr>
                <w:rFonts w:cs="Segoe UI"/>
                <w:szCs w:val="16"/>
              </w:rPr>
            </w:pPr>
            <w:r w:rsidRPr="001D5327">
              <w:rPr>
                <w:rFonts w:cs="Segoe UI"/>
                <w:szCs w:val="16"/>
              </w:rPr>
              <w:t>NA</w:t>
            </w:r>
          </w:p>
        </w:tc>
        <w:tc>
          <w:tcPr>
            <w:tcW w:w="2693" w:type="dxa"/>
            <w:tcBorders>
              <w:top w:val="single" w:sz="4" w:space="0" w:color="1B556B"/>
              <w:bottom w:val="single" w:sz="4" w:space="0" w:color="1B556B"/>
            </w:tcBorders>
          </w:tcPr>
          <w:p w14:paraId="3DC25B1A" w14:textId="77777777" w:rsidR="00E0181F" w:rsidRPr="001D5327" w:rsidRDefault="00E0181F" w:rsidP="00022DF8">
            <w:pPr>
              <w:pStyle w:val="TableText"/>
              <w:keepNext/>
              <w:spacing w:before="40" w:after="40"/>
              <w:rPr>
                <w:rFonts w:cs="Segoe UI"/>
                <w:szCs w:val="16"/>
              </w:rPr>
            </w:pPr>
            <w:r w:rsidRPr="001D5327">
              <w:rPr>
                <w:rFonts w:cs="Segoe UI"/>
                <w:szCs w:val="16"/>
              </w:rPr>
              <w:t>No IPCC guidelines</w:t>
            </w:r>
          </w:p>
        </w:tc>
      </w:tr>
      <w:tr w:rsidR="00E0181F" w:rsidRPr="001D5327" w14:paraId="7E177636" w14:textId="77777777" w:rsidTr="00D11AC9">
        <w:tc>
          <w:tcPr>
            <w:tcW w:w="886" w:type="dxa"/>
          </w:tcPr>
          <w:p w14:paraId="4D666BA5" w14:textId="77777777" w:rsidR="00E0181F" w:rsidRPr="001D5327" w:rsidRDefault="00E0181F" w:rsidP="00022DF8">
            <w:pPr>
              <w:pStyle w:val="TableText"/>
              <w:keepNext/>
              <w:spacing w:before="40" w:after="40"/>
              <w:rPr>
                <w:rFonts w:cs="Segoe UI"/>
                <w:szCs w:val="16"/>
              </w:rPr>
            </w:pPr>
            <w:r w:rsidRPr="001D5327">
              <w:rPr>
                <w:rFonts w:cs="Segoe UI"/>
                <w:szCs w:val="16"/>
              </w:rPr>
              <w:t> </w:t>
            </w:r>
          </w:p>
        </w:tc>
        <w:tc>
          <w:tcPr>
            <w:tcW w:w="1535" w:type="dxa"/>
            <w:tcBorders>
              <w:top w:val="single" w:sz="4" w:space="0" w:color="1B556B"/>
              <w:bottom w:val="single" w:sz="4" w:space="0" w:color="1B556B"/>
            </w:tcBorders>
          </w:tcPr>
          <w:p w14:paraId="6D3C8895" w14:textId="77777777" w:rsidR="00E0181F" w:rsidRPr="001D5327" w:rsidRDefault="00E0181F" w:rsidP="00022DF8">
            <w:pPr>
              <w:pStyle w:val="TableText"/>
              <w:keepNext/>
              <w:spacing w:before="40" w:after="40"/>
              <w:rPr>
                <w:rFonts w:cs="Segoe UI"/>
                <w:szCs w:val="16"/>
              </w:rPr>
            </w:pPr>
            <w:r w:rsidRPr="001D5327">
              <w:rPr>
                <w:rFonts w:cs="Segoe UI"/>
                <w:szCs w:val="16"/>
              </w:rPr>
              <w:t>Soils</w:t>
            </w:r>
          </w:p>
        </w:tc>
        <w:tc>
          <w:tcPr>
            <w:tcW w:w="1122" w:type="dxa"/>
            <w:tcBorders>
              <w:top w:val="single" w:sz="4" w:space="0" w:color="1B556B"/>
              <w:bottom w:val="single" w:sz="4" w:space="0" w:color="1B556B"/>
            </w:tcBorders>
          </w:tcPr>
          <w:p w14:paraId="4650AEB2" w14:textId="77777777" w:rsidR="00E0181F" w:rsidRPr="001D5327" w:rsidRDefault="00E0181F" w:rsidP="00022DF8">
            <w:pPr>
              <w:pStyle w:val="TableText"/>
              <w:keepNext/>
              <w:spacing w:before="40" w:after="40"/>
              <w:jc w:val="right"/>
              <w:rPr>
                <w:rFonts w:cs="Segoe UI"/>
                <w:szCs w:val="16"/>
              </w:rPr>
            </w:pPr>
          </w:p>
        </w:tc>
        <w:tc>
          <w:tcPr>
            <w:tcW w:w="1241" w:type="dxa"/>
            <w:tcBorders>
              <w:top w:val="single" w:sz="4" w:space="0" w:color="1B556B"/>
              <w:bottom w:val="single" w:sz="4" w:space="0" w:color="1B556B"/>
            </w:tcBorders>
          </w:tcPr>
          <w:p w14:paraId="204AB22A" w14:textId="77777777" w:rsidR="00E0181F" w:rsidRPr="001D5327" w:rsidRDefault="00E0181F" w:rsidP="00022DF8">
            <w:pPr>
              <w:pStyle w:val="TableText"/>
              <w:keepNext/>
              <w:spacing w:before="40" w:after="40"/>
              <w:jc w:val="right"/>
              <w:rPr>
                <w:rFonts w:cs="Segoe UI"/>
                <w:szCs w:val="16"/>
              </w:rPr>
            </w:pPr>
          </w:p>
        </w:tc>
        <w:tc>
          <w:tcPr>
            <w:tcW w:w="1028" w:type="dxa"/>
            <w:tcBorders>
              <w:top w:val="single" w:sz="4" w:space="0" w:color="1B556B"/>
              <w:bottom w:val="single" w:sz="4" w:space="0" w:color="1B556B"/>
            </w:tcBorders>
            <w:tcMar>
              <w:right w:w="85" w:type="dxa"/>
            </w:tcMar>
          </w:tcPr>
          <w:p w14:paraId="6CA1C461" w14:textId="77777777" w:rsidR="00E0181F" w:rsidRPr="001D5327" w:rsidRDefault="00E0181F" w:rsidP="00022DF8">
            <w:pPr>
              <w:pStyle w:val="TableText"/>
              <w:keepNext/>
              <w:spacing w:before="40" w:after="40"/>
              <w:jc w:val="right"/>
              <w:rPr>
                <w:rFonts w:cs="Segoe UI"/>
                <w:szCs w:val="16"/>
              </w:rPr>
            </w:pPr>
          </w:p>
        </w:tc>
        <w:tc>
          <w:tcPr>
            <w:tcW w:w="2693" w:type="dxa"/>
            <w:tcBorders>
              <w:top w:val="single" w:sz="4" w:space="0" w:color="1B556B"/>
              <w:bottom w:val="single" w:sz="4" w:space="0" w:color="1B556B"/>
            </w:tcBorders>
          </w:tcPr>
          <w:p w14:paraId="14F7B640" w14:textId="77777777" w:rsidR="00E0181F" w:rsidRPr="001D5327" w:rsidRDefault="00E0181F" w:rsidP="00022DF8">
            <w:pPr>
              <w:pStyle w:val="TableText"/>
              <w:keepNext/>
              <w:spacing w:before="40" w:after="40"/>
              <w:rPr>
                <w:rFonts w:cs="Segoe UI"/>
                <w:szCs w:val="16"/>
              </w:rPr>
            </w:pPr>
          </w:p>
        </w:tc>
      </w:tr>
      <w:tr w:rsidR="00E0181F" w:rsidRPr="001D5327" w14:paraId="5EDE50EE" w14:textId="77777777" w:rsidTr="00D11AC9">
        <w:tc>
          <w:tcPr>
            <w:tcW w:w="886" w:type="dxa"/>
          </w:tcPr>
          <w:p w14:paraId="651EE1F6" w14:textId="77777777" w:rsidR="00E0181F" w:rsidRPr="001D5327" w:rsidRDefault="00E0181F" w:rsidP="00D11AC9">
            <w:pPr>
              <w:pStyle w:val="TableText"/>
              <w:spacing w:before="40" w:after="40"/>
              <w:rPr>
                <w:rFonts w:cs="Segoe UI"/>
                <w:szCs w:val="16"/>
              </w:rPr>
            </w:pPr>
          </w:p>
        </w:tc>
        <w:tc>
          <w:tcPr>
            <w:tcW w:w="1535" w:type="dxa"/>
            <w:tcBorders>
              <w:top w:val="single" w:sz="4" w:space="0" w:color="1B556B"/>
              <w:bottom w:val="single" w:sz="4" w:space="0" w:color="1B556B"/>
            </w:tcBorders>
          </w:tcPr>
          <w:p w14:paraId="6CCF8D61" w14:textId="77777777" w:rsidR="00E0181F" w:rsidRPr="001D5327" w:rsidRDefault="00E0181F" w:rsidP="00D11AC9">
            <w:pPr>
              <w:pStyle w:val="TableText"/>
              <w:spacing w:before="40" w:after="40"/>
              <w:rPr>
                <w:rFonts w:cs="Segoe UI"/>
                <w:szCs w:val="16"/>
              </w:rPr>
            </w:pPr>
            <w:r w:rsidRPr="001D5327">
              <w:rPr>
                <w:rFonts w:cs="Segoe UI"/>
                <w:szCs w:val="16"/>
              </w:rPr>
              <w:t xml:space="preserve">Mineral </w:t>
            </w:r>
          </w:p>
        </w:tc>
        <w:tc>
          <w:tcPr>
            <w:tcW w:w="1122" w:type="dxa"/>
            <w:tcBorders>
              <w:top w:val="single" w:sz="4" w:space="0" w:color="1B556B"/>
              <w:bottom w:val="single" w:sz="4" w:space="0" w:color="1B556B"/>
            </w:tcBorders>
          </w:tcPr>
          <w:p w14:paraId="716FBB78" w14:textId="77777777" w:rsidR="00E0181F" w:rsidRPr="001D5327" w:rsidRDefault="00E0181F" w:rsidP="00D11AC9">
            <w:pPr>
              <w:pStyle w:val="TableText"/>
              <w:spacing w:before="40" w:after="40"/>
              <w:jc w:val="right"/>
              <w:rPr>
                <w:rFonts w:cs="Segoe UI"/>
                <w:szCs w:val="16"/>
              </w:rPr>
            </w:pPr>
            <w:r w:rsidRPr="001D5327">
              <w:rPr>
                <w:rFonts w:cs="Segoe UI"/>
                <w:szCs w:val="16"/>
              </w:rPr>
              <w:t>89.77</w:t>
            </w:r>
          </w:p>
        </w:tc>
        <w:tc>
          <w:tcPr>
            <w:tcW w:w="1241" w:type="dxa"/>
            <w:tcBorders>
              <w:top w:val="single" w:sz="4" w:space="0" w:color="1B556B"/>
              <w:bottom w:val="single" w:sz="4" w:space="0" w:color="1B556B"/>
            </w:tcBorders>
          </w:tcPr>
          <w:p w14:paraId="6677E6E6" w14:textId="77777777" w:rsidR="00E0181F" w:rsidRPr="001D5327" w:rsidRDefault="00E0181F" w:rsidP="00D11AC9">
            <w:pPr>
              <w:pStyle w:val="TableText"/>
              <w:spacing w:before="40" w:after="40"/>
              <w:jc w:val="right"/>
              <w:rPr>
                <w:rFonts w:cs="Segoe UI"/>
                <w:szCs w:val="16"/>
              </w:rPr>
            </w:pPr>
            <w:r w:rsidRPr="001D5327">
              <w:rPr>
                <w:rFonts w:cs="Segoe UI"/>
                <w:szCs w:val="16"/>
              </w:rPr>
              <w:t>*</w:t>
            </w:r>
          </w:p>
        </w:tc>
        <w:tc>
          <w:tcPr>
            <w:tcW w:w="1028" w:type="dxa"/>
            <w:tcBorders>
              <w:top w:val="single" w:sz="4" w:space="0" w:color="1B556B"/>
              <w:bottom w:val="single" w:sz="4" w:space="0" w:color="1B556B"/>
            </w:tcBorders>
            <w:tcMar>
              <w:right w:w="85" w:type="dxa"/>
            </w:tcMar>
          </w:tcPr>
          <w:p w14:paraId="20E1EC95" w14:textId="77777777" w:rsidR="00E0181F" w:rsidRPr="001D5327" w:rsidRDefault="00E0181F" w:rsidP="00D11AC9">
            <w:pPr>
              <w:pStyle w:val="TableText"/>
              <w:spacing w:before="40" w:after="40"/>
              <w:jc w:val="right"/>
              <w:rPr>
                <w:rFonts w:cs="Segoe UI"/>
                <w:szCs w:val="16"/>
              </w:rPr>
            </w:pPr>
            <w:r w:rsidRPr="001D5327">
              <w:rPr>
                <w:rFonts w:cs="Segoe UI"/>
                <w:szCs w:val="16"/>
              </w:rPr>
              <w:t>20</w:t>
            </w:r>
          </w:p>
        </w:tc>
        <w:tc>
          <w:tcPr>
            <w:tcW w:w="2693" w:type="dxa"/>
            <w:tcBorders>
              <w:top w:val="single" w:sz="4" w:space="0" w:color="1B556B"/>
              <w:bottom w:val="single" w:sz="4" w:space="0" w:color="1B556B"/>
            </w:tcBorders>
          </w:tcPr>
          <w:p w14:paraId="163DE09B" w14:textId="77777777" w:rsidR="00E0181F" w:rsidRPr="001D5327" w:rsidRDefault="00E0181F" w:rsidP="00D11AC9">
            <w:pPr>
              <w:pStyle w:val="TableText"/>
              <w:spacing w:before="40" w:after="40"/>
              <w:rPr>
                <w:rFonts w:cs="Segoe UI"/>
                <w:szCs w:val="16"/>
              </w:rPr>
            </w:pPr>
            <w:r w:rsidRPr="001D5327">
              <w:rPr>
                <w:rFonts w:cs="Segoe UI"/>
                <w:szCs w:val="16"/>
              </w:rPr>
              <w:t>New Zealand-specific EF (McNeill and Barringer, unpublished)</w:t>
            </w:r>
          </w:p>
        </w:tc>
      </w:tr>
      <w:tr w:rsidR="00E0181F" w:rsidRPr="001D5327" w14:paraId="171EFEF7" w14:textId="77777777" w:rsidTr="00D11AC9">
        <w:tc>
          <w:tcPr>
            <w:tcW w:w="886" w:type="dxa"/>
            <w:tcBorders>
              <w:bottom w:val="single" w:sz="4" w:space="0" w:color="1B556B"/>
            </w:tcBorders>
          </w:tcPr>
          <w:p w14:paraId="11D3A443" w14:textId="77777777" w:rsidR="00E0181F" w:rsidRPr="001D5327" w:rsidRDefault="00E0181F" w:rsidP="00D11AC9">
            <w:pPr>
              <w:pStyle w:val="TableText"/>
              <w:spacing w:before="40" w:after="40"/>
              <w:rPr>
                <w:rFonts w:cs="Segoe UI"/>
                <w:szCs w:val="16"/>
              </w:rPr>
            </w:pPr>
          </w:p>
        </w:tc>
        <w:tc>
          <w:tcPr>
            <w:tcW w:w="1535" w:type="dxa"/>
            <w:tcBorders>
              <w:top w:val="single" w:sz="4" w:space="0" w:color="1B556B"/>
              <w:bottom w:val="single" w:sz="4" w:space="0" w:color="1B556B"/>
            </w:tcBorders>
          </w:tcPr>
          <w:p w14:paraId="7F516418" w14:textId="77777777" w:rsidR="00E0181F" w:rsidRPr="001D5327" w:rsidRDefault="00E0181F" w:rsidP="00D11AC9">
            <w:pPr>
              <w:pStyle w:val="TableText"/>
              <w:spacing w:before="40" w:after="40"/>
              <w:rPr>
                <w:rFonts w:cs="Segoe UI"/>
                <w:szCs w:val="16"/>
              </w:rPr>
            </w:pPr>
            <w:r w:rsidRPr="001D5327">
              <w:rPr>
                <w:rFonts w:cs="Segoe UI"/>
                <w:szCs w:val="16"/>
              </w:rPr>
              <w:t xml:space="preserve">Organic </w:t>
            </w:r>
          </w:p>
        </w:tc>
        <w:tc>
          <w:tcPr>
            <w:tcW w:w="1122" w:type="dxa"/>
            <w:tcBorders>
              <w:top w:val="single" w:sz="4" w:space="0" w:color="1B556B"/>
              <w:bottom w:val="single" w:sz="4" w:space="0" w:color="1B556B"/>
            </w:tcBorders>
          </w:tcPr>
          <w:p w14:paraId="7079F10A" w14:textId="77777777" w:rsidR="00E0181F" w:rsidRPr="001D5327" w:rsidRDefault="00E0181F" w:rsidP="00D11AC9">
            <w:pPr>
              <w:pStyle w:val="TableText"/>
              <w:spacing w:before="40" w:after="40"/>
              <w:jc w:val="right"/>
              <w:rPr>
                <w:rFonts w:cs="Segoe UI"/>
                <w:szCs w:val="16"/>
              </w:rPr>
            </w:pPr>
            <w:r w:rsidRPr="001D5327">
              <w:rPr>
                <w:rFonts w:cs="Segoe UI"/>
                <w:szCs w:val="16"/>
              </w:rPr>
              <w:t>NE</w:t>
            </w:r>
          </w:p>
        </w:tc>
        <w:tc>
          <w:tcPr>
            <w:tcW w:w="1241" w:type="dxa"/>
            <w:tcBorders>
              <w:top w:val="single" w:sz="4" w:space="0" w:color="1B556B"/>
              <w:bottom w:val="single" w:sz="4" w:space="0" w:color="1B556B"/>
            </w:tcBorders>
          </w:tcPr>
          <w:p w14:paraId="11210472" w14:textId="67858EF6" w:rsidR="00E0181F" w:rsidRPr="001D5327" w:rsidRDefault="0070503C" w:rsidP="00D11AC9">
            <w:pPr>
              <w:pStyle w:val="TableText"/>
              <w:spacing w:before="40" w:after="40"/>
              <w:jc w:val="right"/>
              <w:rPr>
                <w:rFonts w:cs="Segoe UI"/>
                <w:szCs w:val="16"/>
              </w:rPr>
            </w:pPr>
            <w:r>
              <w:rPr>
                <w:rFonts w:cs="Segoe UI"/>
                <w:szCs w:val="16"/>
              </w:rPr>
              <w:t>-</w:t>
            </w:r>
            <w:r w:rsidR="00E0181F" w:rsidRPr="001D5327">
              <w:rPr>
                <w:rFonts w:cs="Segoe UI"/>
                <w:szCs w:val="16"/>
              </w:rPr>
              <w:t xml:space="preserve">5.0 or </w:t>
            </w:r>
            <w:r>
              <w:rPr>
                <w:rFonts w:cs="Segoe UI"/>
                <w:szCs w:val="16"/>
              </w:rPr>
              <w:t>-</w:t>
            </w:r>
            <w:r w:rsidR="00E0181F" w:rsidRPr="001D5327">
              <w:rPr>
                <w:rFonts w:cs="Segoe UI"/>
                <w:szCs w:val="16"/>
              </w:rPr>
              <w:t>10.0**</w:t>
            </w:r>
          </w:p>
        </w:tc>
        <w:tc>
          <w:tcPr>
            <w:tcW w:w="1028" w:type="dxa"/>
            <w:tcBorders>
              <w:top w:val="single" w:sz="4" w:space="0" w:color="1B556B"/>
              <w:bottom w:val="single" w:sz="4" w:space="0" w:color="1B556B"/>
            </w:tcBorders>
            <w:tcMar>
              <w:right w:w="85" w:type="dxa"/>
            </w:tcMar>
          </w:tcPr>
          <w:p w14:paraId="3AB44DF9" w14:textId="77777777" w:rsidR="00E0181F" w:rsidRPr="001D5327" w:rsidRDefault="00E0181F" w:rsidP="00D11AC9">
            <w:pPr>
              <w:pStyle w:val="TableText"/>
              <w:spacing w:before="40" w:after="40"/>
              <w:jc w:val="right"/>
              <w:rPr>
                <w:rFonts w:cs="Segoe UI"/>
                <w:szCs w:val="16"/>
              </w:rPr>
            </w:pPr>
          </w:p>
        </w:tc>
        <w:tc>
          <w:tcPr>
            <w:tcW w:w="2693" w:type="dxa"/>
            <w:tcBorders>
              <w:top w:val="single" w:sz="4" w:space="0" w:color="1B556B"/>
              <w:bottom w:val="single" w:sz="4" w:space="0" w:color="1B556B"/>
            </w:tcBorders>
          </w:tcPr>
          <w:p w14:paraId="32202B04" w14:textId="77777777" w:rsidR="00E0181F" w:rsidRPr="001D5327" w:rsidRDefault="00E0181F" w:rsidP="00D11AC9">
            <w:pPr>
              <w:pStyle w:val="TableText"/>
              <w:spacing w:before="40" w:after="40"/>
              <w:rPr>
                <w:rFonts w:cs="Segoe UI"/>
                <w:szCs w:val="16"/>
              </w:rPr>
            </w:pPr>
            <w:r w:rsidRPr="001D5327">
              <w:rPr>
                <w:rFonts w:cs="Segoe UI"/>
                <w:szCs w:val="16"/>
              </w:rPr>
              <w:t>IPCC Tier 1 default (table 5.6, IPCC, 2006a)</w:t>
            </w:r>
          </w:p>
        </w:tc>
      </w:tr>
      <w:tr w:rsidR="00E0181F" w:rsidRPr="001D5327" w14:paraId="58D58C65" w14:textId="77777777" w:rsidTr="00D11AC9">
        <w:tc>
          <w:tcPr>
            <w:tcW w:w="886" w:type="dxa"/>
            <w:tcBorders>
              <w:top w:val="single" w:sz="4" w:space="0" w:color="1B556B"/>
            </w:tcBorders>
          </w:tcPr>
          <w:p w14:paraId="1B27FA49" w14:textId="77777777" w:rsidR="00E0181F" w:rsidRPr="001D5327" w:rsidRDefault="00E0181F" w:rsidP="00D11AC9">
            <w:pPr>
              <w:pStyle w:val="TableTextBold"/>
              <w:spacing w:before="40" w:after="40"/>
              <w:rPr>
                <w:noProof w:val="0"/>
              </w:rPr>
            </w:pPr>
            <w:r w:rsidRPr="001D5327">
              <w:rPr>
                <w:noProof w:val="0"/>
              </w:rPr>
              <w:t>Perennial</w:t>
            </w:r>
          </w:p>
        </w:tc>
        <w:tc>
          <w:tcPr>
            <w:tcW w:w="1535" w:type="dxa"/>
            <w:tcBorders>
              <w:top w:val="single" w:sz="4" w:space="0" w:color="1B556B"/>
              <w:bottom w:val="single" w:sz="4" w:space="0" w:color="1B556B"/>
            </w:tcBorders>
          </w:tcPr>
          <w:p w14:paraId="67B990F8" w14:textId="77777777" w:rsidR="00E0181F" w:rsidRPr="001D5327" w:rsidRDefault="00E0181F" w:rsidP="00D11AC9">
            <w:pPr>
              <w:pStyle w:val="TableText"/>
              <w:keepNext/>
              <w:spacing w:before="40" w:after="40"/>
              <w:rPr>
                <w:rFonts w:cs="Segoe UI"/>
                <w:szCs w:val="16"/>
              </w:rPr>
            </w:pPr>
            <w:r w:rsidRPr="001D5327">
              <w:rPr>
                <w:rFonts w:cs="Segoe UI"/>
                <w:szCs w:val="16"/>
              </w:rPr>
              <w:t>Biomass</w:t>
            </w:r>
          </w:p>
        </w:tc>
        <w:tc>
          <w:tcPr>
            <w:tcW w:w="1122" w:type="dxa"/>
            <w:tcBorders>
              <w:top w:val="single" w:sz="4" w:space="0" w:color="1B556B"/>
              <w:bottom w:val="single" w:sz="4" w:space="0" w:color="1B556B"/>
            </w:tcBorders>
          </w:tcPr>
          <w:p w14:paraId="54FB5AC0" w14:textId="77777777" w:rsidR="00E0181F" w:rsidRPr="001D5327" w:rsidRDefault="00E0181F" w:rsidP="00D11AC9">
            <w:pPr>
              <w:pStyle w:val="TableText"/>
              <w:keepNext/>
              <w:spacing w:before="40" w:after="40"/>
              <w:jc w:val="right"/>
              <w:rPr>
                <w:rFonts w:cs="Segoe UI"/>
                <w:szCs w:val="16"/>
              </w:rPr>
            </w:pPr>
          </w:p>
        </w:tc>
        <w:tc>
          <w:tcPr>
            <w:tcW w:w="1241" w:type="dxa"/>
            <w:tcBorders>
              <w:top w:val="single" w:sz="4" w:space="0" w:color="1B556B"/>
              <w:bottom w:val="single" w:sz="4" w:space="0" w:color="1B556B"/>
            </w:tcBorders>
          </w:tcPr>
          <w:p w14:paraId="49D55DBA" w14:textId="77777777" w:rsidR="00E0181F" w:rsidRPr="001D5327" w:rsidRDefault="00E0181F" w:rsidP="00D11AC9">
            <w:pPr>
              <w:pStyle w:val="TableText"/>
              <w:keepNext/>
              <w:spacing w:before="40" w:after="40"/>
              <w:jc w:val="right"/>
              <w:rPr>
                <w:rFonts w:cs="Segoe UI"/>
                <w:szCs w:val="16"/>
              </w:rPr>
            </w:pPr>
          </w:p>
        </w:tc>
        <w:tc>
          <w:tcPr>
            <w:tcW w:w="1028" w:type="dxa"/>
            <w:tcBorders>
              <w:top w:val="single" w:sz="4" w:space="0" w:color="1B556B"/>
              <w:bottom w:val="single" w:sz="4" w:space="0" w:color="1B556B"/>
            </w:tcBorders>
            <w:tcMar>
              <w:right w:w="85" w:type="dxa"/>
            </w:tcMar>
          </w:tcPr>
          <w:p w14:paraId="19798A94" w14:textId="77777777" w:rsidR="00E0181F" w:rsidRPr="001D5327" w:rsidRDefault="00E0181F" w:rsidP="00D11AC9">
            <w:pPr>
              <w:pStyle w:val="TableText"/>
              <w:keepNext/>
              <w:spacing w:before="40" w:after="40"/>
              <w:jc w:val="right"/>
              <w:rPr>
                <w:rFonts w:cs="Segoe UI"/>
                <w:szCs w:val="16"/>
              </w:rPr>
            </w:pPr>
          </w:p>
        </w:tc>
        <w:tc>
          <w:tcPr>
            <w:tcW w:w="2693" w:type="dxa"/>
            <w:tcBorders>
              <w:top w:val="single" w:sz="4" w:space="0" w:color="1B556B"/>
              <w:bottom w:val="single" w:sz="4" w:space="0" w:color="1B556B"/>
            </w:tcBorders>
          </w:tcPr>
          <w:p w14:paraId="66C619B8" w14:textId="77777777" w:rsidR="00E0181F" w:rsidRPr="001D5327" w:rsidRDefault="00E0181F" w:rsidP="00D11AC9">
            <w:pPr>
              <w:pStyle w:val="TableText"/>
              <w:keepNext/>
              <w:spacing w:before="40" w:after="40"/>
              <w:rPr>
                <w:rFonts w:cs="Segoe UI"/>
                <w:szCs w:val="16"/>
              </w:rPr>
            </w:pPr>
          </w:p>
        </w:tc>
      </w:tr>
      <w:tr w:rsidR="00E0181F" w:rsidRPr="001D5327" w14:paraId="5606BA0B" w14:textId="77777777" w:rsidTr="00D11AC9">
        <w:tc>
          <w:tcPr>
            <w:tcW w:w="886" w:type="dxa"/>
          </w:tcPr>
          <w:p w14:paraId="1377F5C1" w14:textId="77777777" w:rsidR="00E0181F" w:rsidRPr="001D5327" w:rsidRDefault="00E0181F" w:rsidP="00D11AC9">
            <w:pPr>
              <w:pStyle w:val="TableText"/>
              <w:spacing w:before="40" w:after="40"/>
            </w:pPr>
            <w:r w:rsidRPr="001D5327">
              <w:t> </w:t>
            </w:r>
          </w:p>
        </w:tc>
        <w:tc>
          <w:tcPr>
            <w:tcW w:w="1535" w:type="dxa"/>
            <w:tcBorders>
              <w:top w:val="single" w:sz="4" w:space="0" w:color="1B556B"/>
              <w:bottom w:val="single" w:sz="4" w:space="0" w:color="1B556B"/>
            </w:tcBorders>
          </w:tcPr>
          <w:p w14:paraId="7C1BB8A3" w14:textId="77777777" w:rsidR="00E0181F" w:rsidRPr="001D5327" w:rsidRDefault="00E0181F" w:rsidP="00D11AC9">
            <w:pPr>
              <w:pStyle w:val="TableText"/>
              <w:keepNext/>
              <w:spacing w:before="40" w:after="40"/>
              <w:rPr>
                <w:rFonts w:cs="Segoe UI"/>
                <w:szCs w:val="16"/>
              </w:rPr>
            </w:pPr>
            <w:r w:rsidRPr="001D5327">
              <w:rPr>
                <w:rFonts w:cs="Segoe UI"/>
                <w:szCs w:val="16"/>
              </w:rPr>
              <w:t>Living biomass</w:t>
            </w:r>
          </w:p>
        </w:tc>
        <w:tc>
          <w:tcPr>
            <w:tcW w:w="1122" w:type="dxa"/>
            <w:tcBorders>
              <w:top w:val="single" w:sz="4" w:space="0" w:color="1B556B"/>
              <w:bottom w:val="single" w:sz="4" w:space="0" w:color="1B556B"/>
            </w:tcBorders>
          </w:tcPr>
          <w:p w14:paraId="4E874903" w14:textId="77777777" w:rsidR="00E0181F" w:rsidRPr="001D5327" w:rsidRDefault="00E0181F" w:rsidP="00D11AC9">
            <w:pPr>
              <w:pStyle w:val="TableText"/>
              <w:keepNext/>
              <w:spacing w:before="40" w:after="40"/>
              <w:jc w:val="right"/>
              <w:rPr>
                <w:rFonts w:cs="Segoe UI"/>
                <w:szCs w:val="16"/>
              </w:rPr>
            </w:pPr>
            <w:r w:rsidRPr="001D5327">
              <w:rPr>
                <w:rFonts w:cs="Segoe UI"/>
                <w:szCs w:val="16"/>
              </w:rPr>
              <w:t>18.76</w:t>
            </w:r>
          </w:p>
        </w:tc>
        <w:tc>
          <w:tcPr>
            <w:tcW w:w="1241" w:type="dxa"/>
            <w:tcBorders>
              <w:top w:val="single" w:sz="4" w:space="0" w:color="1B556B"/>
              <w:bottom w:val="single" w:sz="4" w:space="0" w:color="1B556B"/>
            </w:tcBorders>
          </w:tcPr>
          <w:p w14:paraId="3708E569" w14:textId="77777777" w:rsidR="00E0181F" w:rsidRPr="001D5327" w:rsidRDefault="00E0181F" w:rsidP="00D11AC9">
            <w:pPr>
              <w:pStyle w:val="TableText"/>
              <w:keepNext/>
              <w:spacing w:before="40" w:after="40"/>
              <w:jc w:val="right"/>
              <w:rPr>
                <w:rFonts w:cs="Segoe UI"/>
                <w:szCs w:val="16"/>
              </w:rPr>
            </w:pPr>
            <w:r w:rsidRPr="001D5327">
              <w:rPr>
                <w:rFonts w:cs="Segoe UI"/>
                <w:szCs w:val="16"/>
              </w:rPr>
              <w:t>0.67</w:t>
            </w:r>
          </w:p>
        </w:tc>
        <w:tc>
          <w:tcPr>
            <w:tcW w:w="1028" w:type="dxa"/>
            <w:tcBorders>
              <w:top w:val="single" w:sz="4" w:space="0" w:color="1B556B"/>
              <w:bottom w:val="single" w:sz="4" w:space="0" w:color="1B556B"/>
            </w:tcBorders>
            <w:tcMar>
              <w:right w:w="85" w:type="dxa"/>
            </w:tcMar>
          </w:tcPr>
          <w:p w14:paraId="6B55C781" w14:textId="77777777" w:rsidR="00E0181F" w:rsidRPr="001D5327" w:rsidRDefault="00E0181F" w:rsidP="00D11AC9">
            <w:pPr>
              <w:pStyle w:val="TableText"/>
              <w:keepNext/>
              <w:spacing w:before="40" w:after="40"/>
              <w:jc w:val="right"/>
              <w:rPr>
                <w:rFonts w:cs="Segoe UI"/>
                <w:szCs w:val="16"/>
              </w:rPr>
            </w:pPr>
            <w:r w:rsidRPr="001D5327">
              <w:rPr>
                <w:rFonts w:cs="Segoe UI"/>
                <w:szCs w:val="16"/>
              </w:rPr>
              <w:t>28</w:t>
            </w:r>
          </w:p>
        </w:tc>
        <w:tc>
          <w:tcPr>
            <w:tcW w:w="2693" w:type="dxa"/>
            <w:tcBorders>
              <w:top w:val="single" w:sz="4" w:space="0" w:color="1B556B"/>
              <w:bottom w:val="single" w:sz="4" w:space="0" w:color="1B556B"/>
            </w:tcBorders>
          </w:tcPr>
          <w:p w14:paraId="54D3A250" w14:textId="77777777" w:rsidR="00E0181F" w:rsidRPr="001D5327" w:rsidRDefault="00E0181F" w:rsidP="00D11AC9">
            <w:pPr>
              <w:pStyle w:val="TableText"/>
              <w:keepNext/>
              <w:spacing w:before="40" w:after="40"/>
              <w:rPr>
                <w:rFonts w:cs="Segoe UI"/>
                <w:szCs w:val="16"/>
              </w:rPr>
            </w:pPr>
            <w:r w:rsidRPr="001D5327">
              <w:rPr>
                <w:rFonts w:cs="Segoe UI"/>
                <w:szCs w:val="16"/>
              </w:rPr>
              <w:t>New Zealand-specific EF (Davis and Wakelin, unpublished)</w:t>
            </w:r>
          </w:p>
        </w:tc>
      </w:tr>
      <w:tr w:rsidR="00E0181F" w:rsidRPr="001D5327" w14:paraId="1F55ABBD" w14:textId="77777777" w:rsidTr="00D11AC9">
        <w:tc>
          <w:tcPr>
            <w:tcW w:w="886" w:type="dxa"/>
          </w:tcPr>
          <w:p w14:paraId="5B1C0FD0" w14:textId="77777777" w:rsidR="00E0181F" w:rsidRPr="001D5327" w:rsidRDefault="00E0181F" w:rsidP="00D11AC9">
            <w:pPr>
              <w:pStyle w:val="TableText"/>
              <w:spacing w:before="40" w:after="40"/>
              <w:rPr>
                <w:rFonts w:cs="Segoe UI"/>
                <w:szCs w:val="16"/>
              </w:rPr>
            </w:pPr>
            <w:r w:rsidRPr="001D5327">
              <w:rPr>
                <w:rFonts w:cs="Segoe UI"/>
                <w:szCs w:val="16"/>
              </w:rPr>
              <w:t> </w:t>
            </w:r>
          </w:p>
        </w:tc>
        <w:tc>
          <w:tcPr>
            <w:tcW w:w="1535" w:type="dxa"/>
            <w:tcBorders>
              <w:top w:val="single" w:sz="4" w:space="0" w:color="1B556B"/>
              <w:bottom w:val="single" w:sz="4" w:space="0" w:color="1B556B"/>
            </w:tcBorders>
          </w:tcPr>
          <w:p w14:paraId="5E9773E7" w14:textId="77777777" w:rsidR="00E0181F" w:rsidRPr="001D5327" w:rsidRDefault="00E0181F" w:rsidP="00D11AC9">
            <w:pPr>
              <w:pStyle w:val="TableText"/>
              <w:spacing w:before="40" w:after="40"/>
              <w:rPr>
                <w:rFonts w:cs="Segoe UI"/>
                <w:szCs w:val="16"/>
              </w:rPr>
            </w:pPr>
            <w:r w:rsidRPr="001D5327">
              <w:rPr>
                <w:rFonts w:cs="Segoe UI"/>
                <w:szCs w:val="16"/>
              </w:rPr>
              <w:t>Dead organic matter</w:t>
            </w:r>
          </w:p>
        </w:tc>
        <w:tc>
          <w:tcPr>
            <w:tcW w:w="1122" w:type="dxa"/>
            <w:tcBorders>
              <w:top w:val="single" w:sz="4" w:space="0" w:color="1B556B"/>
              <w:bottom w:val="single" w:sz="4" w:space="0" w:color="1B556B"/>
            </w:tcBorders>
          </w:tcPr>
          <w:p w14:paraId="734660D9" w14:textId="77777777" w:rsidR="00E0181F" w:rsidRPr="001D5327" w:rsidRDefault="00E0181F" w:rsidP="00D11AC9">
            <w:pPr>
              <w:pStyle w:val="TableText"/>
              <w:spacing w:before="40" w:after="40"/>
              <w:jc w:val="right"/>
              <w:rPr>
                <w:rFonts w:cs="Segoe UI"/>
                <w:szCs w:val="16"/>
              </w:rPr>
            </w:pPr>
            <w:r w:rsidRPr="001D5327">
              <w:rPr>
                <w:rFonts w:cs="Segoe UI"/>
                <w:szCs w:val="16"/>
              </w:rPr>
              <w:t>NE</w:t>
            </w:r>
          </w:p>
        </w:tc>
        <w:tc>
          <w:tcPr>
            <w:tcW w:w="1241" w:type="dxa"/>
            <w:tcBorders>
              <w:top w:val="single" w:sz="4" w:space="0" w:color="1B556B"/>
              <w:bottom w:val="single" w:sz="4" w:space="0" w:color="1B556B"/>
            </w:tcBorders>
          </w:tcPr>
          <w:p w14:paraId="6DFE4F4D" w14:textId="77777777" w:rsidR="00E0181F" w:rsidRPr="001D5327" w:rsidRDefault="00E0181F" w:rsidP="00D11AC9">
            <w:pPr>
              <w:pStyle w:val="TableText"/>
              <w:spacing w:before="40" w:after="40"/>
              <w:jc w:val="right"/>
              <w:rPr>
                <w:rFonts w:cs="Segoe UI"/>
                <w:szCs w:val="16"/>
              </w:rPr>
            </w:pPr>
            <w:r w:rsidRPr="001D5327">
              <w:rPr>
                <w:rFonts w:cs="Segoe UI"/>
                <w:szCs w:val="16"/>
              </w:rPr>
              <w:t>NE</w:t>
            </w:r>
          </w:p>
        </w:tc>
        <w:tc>
          <w:tcPr>
            <w:tcW w:w="1028" w:type="dxa"/>
            <w:tcBorders>
              <w:top w:val="single" w:sz="4" w:space="0" w:color="1B556B"/>
              <w:bottom w:val="single" w:sz="4" w:space="0" w:color="1B556B"/>
            </w:tcBorders>
            <w:tcMar>
              <w:right w:w="85" w:type="dxa"/>
            </w:tcMar>
          </w:tcPr>
          <w:p w14:paraId="50354185" w14:textId="77777777" w:rsidR="00E0181F" w:rsidRPr="001D5327" w:rsidRDefault="00E0181F" w:rsidP="00D11AC9">
            <w:pPr>
              <w:pStyle w:val="TableText"/>
              <w:spacing w:before="40" w:after="40"/>
              <w:jc w:val="right"/>
              <w:rPr>
                <w:rFonts w:cs="Segoe UI"/>
                <w:szCs w:val="16"/>
              </w:rPr>
            </w:pPr>
            <w:r w:rsidRPr="001D5327">
              <w:rPr>
                <w:rFonts w:cs="Segoe UI"/>
                <w:szCs w:val="16"/>
              </w:rPr>
              <w:t>NA</w:t>
            </w:r>
          </w:p>
        </w:tc>
        <w:tc>
          <w:tcPr>
            <w:tcW w:w="2693" w:type="dxa"/>
            <w:tcBorders>
              <w:top w:val="single" w:sz="4" w:space="0" w:color="1B556B"/>
              <w:bottom w:val="single" w:sz="4" w:space="0" w:color="1B556B"/>
            </w:tcBorders>
          </w:tcPr>
          <w:p w14:paraId="261F7198" w14:textId="77777777" w:rsidR="00E0181F" w:rsidRPr="001D5327" w:rsidRDefault="00E0181F" w:rsidP="00D11AC9">
            <w:pPr>
              <w:pStyle w:val="TableText"/>
              <w:spacing w:before="40" w:after="40"/>
              <w:rPr>
                <w:rFonts w:cs="Segoe UI"/>
                <w:szCs w:val="16"/>
              </w:rPr>
            </w:pPr>
            <w:r w:rsidRPr="001D5327">
              <w:rPr>
                <w:rFonts w:cs="Segoe UI"/>
                <w:szCs w:val="16"/>
              </w:rPr>
              <w:t>No IPCC guidelines</w:t>
            </w:r>
          </w:p>
        </w:tc>
      </w:tr>
      <w:tr w:rsidR="00E0181F" w:rsidRPr="001D5327" w14:paraId="37947539" w14:textId="77777777" w:rsidTr="00D11AC9">
        <w:tc>
          <w:tcPr>
            <w:tcW w:w="886" w:type="dxa"/>
          </w:tcPr>
          <w:p w14:paraId="34AA2B22" w14:textId="77777777" w:rsidR="00E0181F" w:rsidRPr="001D5327" w:rsidRDefault="00E0181F" w:rsidP="00D11AC9">
            <w:pPr>
              <w:pStyle w:val="TableText"/>
              <w:spacing w:before="40" w:after="40"/>
              <w:rPr>
                <w:rFonts w:cs="Segoe UI"/>
                <w:szCs w:val="16"/>
              </w:rPr>
            </w:pPr>
            <w:r w:rsidRPr="001D5327">
              <w:rPr>
                <w:rFonts w:cs="Segoe UI"/>
                <w:szCs w:val="16"/>
              </w:rPr>
              <w:t> </w:t>
            </w:r>
          </w:p>
        </w:tc>
        <w:tc>
          <w:tcPr>
            <w:tcW w:w="1535" w:type="dxa"/>
            <w:tcBorders>
              <w:top w:val="single" w:sz="4" w:space="0" w:color="1B556B"/>
              <w:bottom w:val="single" w:sz="4" w:space="0" w:color="1B556B"/>
            </w:tcBorders>
          </w:tcPr>
          <w:p w14:paraId="7F457709" w14:textId="77777777" w:rsidR="00E0181F" w:rsidRPr="001D5327" w:rsidRDefault="00E0181F" w:rsidP="00D11AC9">
            <w:pPr>
              <w:pStyle w:val="TableText"/>
              <w:keepNext/>
              <w:spacing w:before="40" w:after="40"/>
              <w:rPr>
                <w:rFonts w:cs="Segoe UI"/>
                <w:szCs w:val="16"/>
              </w:rPr>
            </w:pPr>
            <w:r w:rsidRPr="001D5327">
              <w:rPr>
                <w:rFonts w:cs="Segoe UI"/>
                <w:szCs w:val="16"/>
              </w:rPr>
              <w:t>Soils</w:t>
            </w:r>
          </w:p>
        </w:tc>
        <w:tc>
          <w:tcPr>
            <w:tcW w:w="1122" w:type="dxa"/>
            <w:tcBorders>
              <w:top w:val="single" w:sz="4" w:space="0" w:color="1B556B"/>
              <w:bottom w:val="single" w:sz="4" w:space="0" w:color="1B556B"/>
            </w:tcBorders>
          </w:tcPr>
          <w:p w14:paraId="26F4A39C" w14:textId="77777777" w:rsidR="00E0181F" w:rsidRPr="001D5327" w:rsidRDefault="00E0181F" w:rsidP="00D11AC9">
            <w:pPr>
              <w:pStyle w:val="TableText"/>
              <w:keepNext/>
              <w:spacing w:before="40" w:after="40"/>
              <w:jc w:val="right"/>
              <w:rPr>
                <w:rFonts w:cs="Segoe UI"/>
                <w:szCs w:val="16"/>
              </w:rPr>
            </w:pPr>
          </w:p>
        </w:tc>
        <w:tc>
          <w:tcPr>
            <w:tcW w:w="1241" w:type="dxa"/>
            <w:tcBorders>
              <w:top w:val="single" w:sz="4" w:space="0" w:color="1B556B"/>
              <w:bottom w:val="single" w:sz="4" w:space="0" w:color="1B556B"/>
            </w:tcBorders>
          </w:tcPr>
          <w:p w14:paraId="12355D95" w14:textId="77777777" w:rsidR="00E0181F" w:rsidRPr="001D5327" w:rsidRDefault="00E0181F" w:rsidP="00D11AC9">
            <w:pPr>
              <w:pStyle w:val="TableText"/>
              <w:keepNext/>
              <w:spacing w:before="40" w:after="40"/>
              <w:jc w:val="right"/>
              <w:rPr>
                <w:rFonts w:cs="Segoe UI"/>
                <w:szCs w:val="16"/>
              </w:rPr>
            </w:pPr>
          </w:p>
        </w:tc>
        <w:tc>
          <w:tcPr>
            <w:tcW w:w="1028" w:type="dxa"/>
            <w:tcBorders>
              <w:top w:val="single" w:sz="4" w:space="0" w:color="1B556B"/>
              <w:bottom w:val="single" w:sz="4" w:space="0" w:color="1B556B"/>
            </w:tcBorders>
            <w:tcMar>
              <w:right w:w="85" w:type="dxa"/>
            </w:tcMar>
          </w:tcPr>
          <w:p w14:paraId="2453E2AA" w14:textId="77777777" w:rsidR="00E0181F" w:rsidRPr="001D5327" w:rsidRDefault="00E0181F" w:rsidP="00D11AC9">
            <w:pPr>
              <w:pStyle w:val="TableText"/>
              <w:keepNext/>
              <w:spacing w:before="40" w:after="40"/>
              <w:jc w:val="right"/>
              <w:rPr>
                <w:rFonts w:cs="Segoe UI"/>
                <w:szCs w:val="16"/>
              </w:rPr>
            </w:pPr>
          </w:p>
        </w:tc>
        <w:tc>
          <w:tcPr>
            <w:tcW w:w="2693" w:type="dxa"/>
            <w:tcBorders>
              <w:top w:val="single" w:sz="4" w:space="0" w:color="1B556B"/>
              <w:bottom w:val="single" w:sz="4" w:space="0" w:color="1B556B"/>
            </w:tcBorders>
          </w:tcPr>
          <w:p w14:paraId="412B5CD0" w14:textId="77777777" w:rsidR="00E0181F" w:rsidRPr="001D5327" w:rsidRDefault="00E0181F" w:rsidP="00D11AC9">
            <w:pPr>
              <w:pStyle w:val="TableText"/>
              <w:keepNext/>
              <w:spacing w:before="40" w:after="40"/>
              <w:rPr>
                <w:rFonts w:cs="Segoe UI"/>
                <w:szCs w:val="16"/>
              </w:rPr>
            </w:pPr>
          </w:p>
        </w:tc>
      </w:tr>
      <w:tr w:rsidR="00E0181F" w:rsidRPr="001D5327" w14:paraId="5EBBB6EF" w14:textId="77777777" w:rsidTr="00D11AC9">
        <w:tc>
          <w:tcPr>
            <w:tcW w:w="886" w:type="dxa"/>
          </w:tcPr>
          <w:p w14:paraId="5561E77E" w14:textId="77777777" w:rsidR="00E0181F" w:rsidRPr="001D5327" w:rsidRDefault="00E0181F" w:rsidP="00D11AC9">
            <w:pPr>
              <w:pStyle w:val="TableText"/>
              <w:spacing w:before="40" w:after="40"/>
            </w:pPr>
          </w:p>
        </w:tc>
        <w:tc>
          <w:tcPr>
            <w:tcW w:w="1535" w:type="dxa"/>
            <w:tcBorders>
              <w:top w:val="single" w:sz="4" w:space="0" w:color="1B556B"/>
              <w:bottom w:val="single" w:sz="4" w:space="0" w:color="1B556B"/>
            </w:tcBorders>
          </w:tcPr>
          <w:p w14:paraId="27FABA2C" w14:textId="77777777" w:rsidR="00E0181F" w:rsidRPr="001D5327" w:rsidRDefault="00E0181F" w:rsidP="00D11AC9">
            <w:pPr>
              <w:pStyle w:val="TableText"/>
              <w:keepNext/>
              <w:spacing w:before="40" w:after="40"/>
              <w:rPr>
                <w:rFonts w:cs="Segoe UI"/>
                <w:szCs w:val="16"/>
              </w:rPr>
            </w:pPr>
            <w:r w:rsidRPr="001D5327">
              <w:rPr>
                <w:rFonts w:cs="Segoe UI"/>
                <w:szCs w:val="16"/>
              </w:rPr>
              <w:t xml:space="preserve">Mineral </w:t>
            </w:r>
          </w:p>
        </w:tc>
        <w:tc>
          <w:tcPr>
            <w:tcW w:w="1122" w:type="dxa"/>
            <w:tcBorders>
              <w:top w:val="single" w:sz="4" w:space="0" w:color="1B556B"/>
              <w:bottom w:val="single" w:sz="4" w:space="0" w:color="1B556B"/>
            </w:tcBorders>
          </w:tcPr>
          <w:p w14:paraId="58C4E4F4" w14:textId="77777777" w:rsidR="00E0181F" w:rsidRPr="001D5327" w:rsidRDefault="00E0181F" w:rsidP="00D11AC9">
            <w:pPr>
              <w:pStyle w:val="TableText"/>
              <w:keepNext/>
              <w:spacing w:before="40" w:after="40"/>
              <w:jc w:val="right"/>
              <w:rPr>
                <w:rFonts w:cs="Segoe UI"/>
                <w:szCs w:val="16"/>
              </w:rPr>
            </w:pPr>
            <w:r w:rsidRPr="001D5327">
              <w:rPr>
                <w:rFonts w:cs="Segoe UI"/>
                <w:szCs w:val="16"/>
              </w:rPr>
              <w:t>88.44</w:t>
            </w:r>
          </w:p>
        </w:tc>
        <w:tc>
          <w:tcPr>
            <w:tcW w:w="1241" w:type="dxa"/>
            <w:tcBorders>
              <w:top w:val="single" w:sz="4" w:space="0" w:color="1B556B"/>
              <w:bottom w:val="single" w:sz="4" w:space="0" w:color="1B556B"/>
            </w:tcBorders>
          </w:tcPr>
          <w:p w14:paraId="14903C9C" w14:textId="77777777" w:rsidR="00E0181F" w:rsidRPr="001D5327" w:rsidRDefault="00E0181F" w:rsidP="00D11AC9">
            <w:pPr>
              <w:pStyle w:val="TableText"/>
              <w:keepNext/>
              <w:spacing w:before="40" w:after="40"/>
              <w:jc w:val="right"/>
              <w:rPr>
                <w:rFonts w:cs="Segoe UI"/>
                <w:szCs w:val="16"/>
              </w:rPr>
            </w:pPr>
            <w:r w:rsidRPr="001D5327">
              <w:rPr>
                <w:rFonts w:cs="Segoe UI"/>
                <w:szCs w:val="16"/>
              </w:rPr>
              <w:t>*</w:t>
            </w:r>
          </w:p>
        </w:tc>
        <w:tc>
          <w:tcPr>
            <w:tcW w:w="1028" w:type="dxa"/>
            <w:tcBorders>
              <w:top w:val="single" w:sz="4" w:space="0" w:color="1B556B"/>
              <w:bottom w:val="single" w:sz="4" w:space="0" w:color="1B556B"/>
            </w:tcBorders>
            <w:tcMar>
              <w:right w:w="85" w:type="dxa"/>
            </w:tcMar>
          </w:tcPr>
          <w:p w14:paraId="7C71E996" w14:textId="77777777" w:rsidR="00E0181F" w:rsidRPr="001D5327" w:rsidRDefault="00E0181F" w:rsidP="00D11AC9">
            <w:pPr>
              <w:pStyle w:val="TableText"/>
              <w:keepNext/>
              <w:spacing w:before="40" w:after="40"/>
              <w:jc w:val="right"/>
              <w:rPr>
                <w:rFonts w:cs="Segoe UI"/>
                <w:szCs w:val="16"/>
              </w:rPr>
            </w:pPr>
            <w:r w:rsidRPr="001D5327">
              <w:rPr>
                <w:rFonts w:cs="Segoe UI"/>
                <w:szCs w:val="16"/>
              </w:rPr>
              <w:t>20</w:t>
            </w:r>
          </w:p>
        </w:tc>
        <w:tc>
          <w:tcPr>
            <w:tcW w:w="2693" w:type="dxa"/>
            <w:tcBorders>
              <w:top w:val="single" w:sz="4" w:space="0" w:color="1B556B"/>
              <w:bottom w:val="single" w:sz="4" w:space="0" w:color="1B556B"/>
            </w:tcBorders>
          </w:tcPr>
          <w:p w14:paraId="391B132F" w14:textId="77777777" w:rsidR="00E0181F" w:rsidRPr="001D5327" w:rsidRDefault="00E0181F" w:rsidP="00D11AC9">
            <w:pPr>
              <w:pStyle w:val="TableText"/>
              <w:keepNext/>
              <w:spacing w:before="40" w:after="40"/>
              <w:rPr>
                <w:rFonts w:cs="Segoe UI"/>
                <w:szCs w:val="16"/>
              </w:rPr>
            </w:pPr>
            <w:r w:rsidRPr="001D5327">
              <w:rPr>
                <w:rFonts w:cs="Segoe UI"/>
                <w:szCs w:val="16"/>
              </w:rPr>
              <w:t>New Zealand-specific EF (McNeill and Barringer, unpublished)</w:t>
            </w:r>
          </w:p>
        </w:tc>
      </w:tr>
      <w:tr w:rsidR="00E0181F" w:rsidRPr="001D5327" w14:paraId="691FFB21" w14:textId="77777777" w:rsidTr="00D11AC9">
        <w:tc>
          <w:tcPr>
            <w:tcW w:w="886" w:type="dxa"/>
            <w:tcBorders>
              <w:bottom w:val="single" w:sz="4" w:space="0" w:color="1B556B"/>
            </w:tcBorders>
          </w:tcPr>
          <w:p w14:paraId="6265C5E4" w14:textId="77777777" w:rsidR="00E0181F" w:rsidRPr="001D5327" w:rsidRDefault="00E0181F" w:rsidP="00D11AC9">
            <w:pPr>
              <w:pStyle w:val="TableText"/>
              <w:spacing w:before="40" w:after="40"/>
              <w:rPr>
                <w:rFonts w:cs="Segoe UI"/>
                <w:szCs w:val="16"/>
              </w:rPr>
            </w:pPr>
          </w:p>
        </w:tc>
        <w:tc>
          <w:tcPr>
            <w:tcW w:w="1535" w:type="dxa"/>
            <w:tcBorders>
              <w:top w:val="single" w:sz="4" w:space="0" w:color="1B556B"/>
              <w:bottom w:val="single" w:sz="4" w:space="0" w:color="1B556B"/>
            </w:tcBorders>
          </w:tcPr>
          <w:p w14:paraId="75659836" w14:textId="77777777" w:rsidR="00E0181F" w:rsidRPr="001D5327" w:rsidRDefault="00E0181F" w:rsidP="00D11AC9">
            <w:pPr>
              <w:pStyle w:val="TableText"/>
              <w:spacing w:before="40" w:after="40"/>
              <w:rPr>
                <w:rFonts w:cs="Segoe UI"/>
                <w:szCs w:val="16"/>
              </w:rPr>
            </w:pPr>
            <w:r w:rsidRPr="001D5327">
              <w:rPr>
                <w:rFonts w:cs="Segoe UI"/>
                <w:szCs w:val="16"/>
              </w:rPr>
              <w:t>Organic</w:t>
            </w:r>
          </w:p>
        </w:tc>
        <w:tc>
          <w:tcPr>
            <w:tcW w:w="1122" w:type="dxa"/>
            <w:tcBorders>
              <w:top w:val="single" w:sz="4" w:space="0" w:color="1B556B"/>
              <w:bottom w:val="single" w:sz="4" w:space="0" w:color="1B556B"/>
            </w:tcBorders>
          </w:tcPr>
          <w:p w14:paraId="558D4E65" w14:textId="77777777" w:rsidR="00E0181F" w:rsidRPr="001D5327" w:rsidRDefault="00E0181F" w:rsidP="00D11AC9">
            <w:pPr>
              <w:pStyle w:val="TableText"/>
              <w:spacing w:before="40" w:after="40"/>
              <w:jc w:val="right"/>
              <w:rPr>
                <w:rFonts w:cs="Segoe UI"/>
                <w:szCs w:val="16"/>
              </w:rPr>
            </w:pPr>
            <w:r w:rsidRPr="001D5327">
              <w:rPr>
                <w:rFonts w:cs="Segoe UI"/>
                <w:szCs w:val="16"/>
              </w:rPr>
              <w:t>NE</w:t>
            </w:r>
          </w:p>
        </w:tc>
        <w:tc>
          <w:tcPr>
            <w:tcW w:w="1241" w:type="dxa"/>
            <w:tcBorders>
              <w:top w:val="single" w:sz="4" w:space="0" w:color="1B556B"/>
              <w:bottom w:val="single" w:sz="4" w:space="0" w:color="1B556B"/>
            </w:tcBorders>
          </w:tcPr>
          <w:p w14:paraId="29055F6B" w14:textId="0675A26F" w:rsidR="00E0181F" w:rsidRPr="001D5327" w:rsidRDefault="0070503C" w:rsidP="00D11AC9">
            <w:pPr>
              <w:pStyle w:val="TableText"/>
              <w:spacing w:before="40" w:after="40"/>
              <w:jc w:val="right"/>
              <w:rPr>
                <w:rFonts w:cs="Segoe UI"/>
                <w:szCs w:val="16"/>
              </w:rPr>
            </w:pPr>
            <w:r>
              <w:rPr>
                <w:rFonts w:cs="Segoe UI"/>
                <w:szCs w:val="16"/>
              </w:rPr>
              <w:t>-</w:t>
            </w:r>
            <w:r w:rsidR="00E0181F" w:rsidRPr="001D5327">
              <w:rPr>
                <w:rFonts w:cs="Segoe UI"/>
                <w:szCs w:val="16"/>
              </w:rPr>
              <w:t xml:space="preserve">5.0 or </w:t>
            </w:r>
            <w:r>
              <w:rPr>
                <w:rFonts w:cs="Segoe UI"/>
                <w:szCs w:val="16"/>
              </w:rPr>
              <w:t>-</w:t>
            </w:r>
            <w:r w:rsidR="00E0181F" w:rsidRPr="001D5327">
              <w:rPr>
                <w:rFonts w:cs="Segoe UI"/>
                <w:szCs w:val="16"/>
              </w:rPr>
              <w:t>10.0**</w:t>
            </w:r>
          </w:p>
        </w:tc>
        <w:tc>
          <w:tcPr>
            <w:tcW w:w="1028" w:type="dxa"/>
            <w:tcBorders>
              <w:top w:val="single" w:sz="4" w:space="0" w:color="1B556B"/>
              <w:bottom w:val="single" w:sz="4" w:space="0" w:color="1B556B"/>
            </w:tcBorders>
          </w:tcPr>
          <w:p w14:paraId="4E2A66D5" w14:textId="77777777" w:rsidR="00E0181F" w:rsidRPr="001D5327" w:rsidRDefault="00E0181F" w:rsidP="00D11AC9">
            <w:pPr>
              <w:pStyle w:val="TableText"/>
              <w:spacing w:before="40" w:after="40"/>
              <w:jc w:val="right"/>
              <w:rPr>
                <w:rFonts w:cs="Segoe UI"/>
                <w:szCs w:val="16"/>
              </w:rPr>
            </w:pPr>
          </w:p>
        </w:tc>
        <w:tc>
          <w:tcPr>
            <w:tcW w:w="2693" w:type="dxa"/>
            <w:tcBorders>
              <w:top w:val="single" w:sz="4" w:space="0" w:color="1B556B"/>
              <w:bottom w:val="single" w:sz="4" w:space="0" w:color="1B556B"/>
            </w:tcBorders>
          </w:tcPr>
          <w:p w14:paraId="4BB7E6D9" w14:textId="77777777" w:rsidR="00E0181F" w:rsidRPr="001D5327" w:rsidRDefault="00E0181F" w:rsidP="00D11AC9">
            <w:pPr>
              <w:pStyle w:val="TableText"/>
              <w:spacing w:before="40" w:after="40"/>
              <w:rPr>
                <w:rFonts w:cs="Segoe UI"/>
                <w:szCs w:val="16"/>
              </w:rPr>
            </w:pPr>
            <w:r w:rsidRPr="001D5327">
              <w:rPr>
                <w:rFonts w:cs="Segoe UI"/>
                <w:szCs w:val="16"/>
              </w:rPr>
              <w:t>IPCC Tier 1 default (table 5.6, IPCC, 2006a)</w:t>
            </w:r>
          </w:p>
        </w:tc>
      </w:tr>
    </w:tbl>
    <w:p w14:paraId="0AF21B33" w14:textId="4F8DC8D5" w:rsidR="00E0181F" w:rsidRPr="001D5327" w:rsidRDefault="00E0181F" w:rsidP="00E0181F">
      <w:pPr>
        <w:pStyle w:val="Noteundertable"/>
        <w:spacing w:after="0"/>
      </w:pPr>
      <w:r w:rsidRPr="001D5327">
        <w:rPr>
          <w:b/>
        </w:rPr>
        <w:t>Note:</w:t>
      </w:r>
      <w:r w:rsidRPr="001D5327">
        <w:tab/>
        <w:t>EF = emission factor; NA = not applicable; NE = not estimated. * Annual carbon stock change in mineral soils on land undergoing land-use change will depend on the land use category the land has been converted to or from; see annex 5, section A5.2.4 ‘Mineral soils’.</w:t>
      </w:r>
      <w:r w:rsidRPr="001D5327">
        <w:rPr>
          <w:szCs w:val="18"/>
        </w:rPr>
        <w:t xml:space="preserve"> ** The emission factor for organic soils is </w:t>
      </w:r>
      <w:r w:rsidR="0070503C">
        <w:rPr>
          <w:szCs w:val="18"/>
        </w:rPr>
        <w:t>-</w:t>
      </w:r>
      <w:r w:rsidRPr="001D5327">
        <w:rPr>
          <w:szCs w:val="18"/>
        </w:rPr>
        <w:t>5.0 tonnes C ha</w:t>
      </w:r>
      <w:r w:rsidRPr="001D5327">
        <w:rPr>
          <w:szCs w:val="18"/>
          <w:vertAlign w:val="superscript"/>
        </w:rPr>
        <w:t xml:space="preserve">–1 </w:t>
      </w:r>
      <w:r w:rsidRPr="001D5327">
        <w:rPr>
          <w:szCs w:val="18"/>
        </w:rPr>
        <w:t>yr</w:t>
      </w:r>
      <w:r w:rsidRPr="001D5327">
        <w:rPr>
          <w:szCs w:val="18"/>
          <w:vertAlign w:val="superscript"/>
        </w:rPr>
        <w:t>–1</w:t>
      </w:r>
      <w:r w:rsidRPr="001D5327">
        <w:rPr>
          <w:szCs w:val="18"/>
        </w:rPr>
        <w:t xml:space="preserve"> for cold temperate regions and </w:t>
      </w:r>
      <w:r w:rsidR="0070503C">
        <w:rPr>
          <w:szCs w:val="18"/>
        </w:rPr>
        <w:t>-</w:t>
      </w:r>
      <w:r w:rsidRPr="001D5327">
        <w:rPr>
          <w:szCs w:val="18"/>
        </w:rPr>
        <w:t>10.0 tonnes C ha</w:t>
      </w:r>
      <w:r w:rsidRPr="001D5327">
        <w:rPr>
          <w:szCs w:val="18"/>
          <w:vertAlign w:val="superscript"/>
        </w:rPr>
        <w:t xml:space="preserve">–1 </w:t>
      </w:r>
      <w:r w:rsidRPr="001D5327">
        <w:rPr>
          <w:szCs w:val="18"/>
        </w:rPr>
        <w:t>yr</w:t>
      </w:r>
      <w:r w:rsidRPr="001D5327">
        <w:rPr>
          <w:szCs w:val="18"/>
          <w:vertAlign w:val="superscript"/>
        </w:rPr>
        <w:t>–1</w:t>
      </w:r>
      <w:r w:rsidRPr="001D5327">
        <w:rPr>
          <w:szCs w:val="18"/>
        </w:rPr>
        <w:t xml:space="preserve"> for warm temperate regions.</w:t>
      </w:r>
    </w:p>
    <w:p w14:paraId="050A30D3" w14:textId="77777777" w:rsidR="00E0181F" w:rsidRPr="001D5327" w:rsidRDefault="00E0181F" w:rsidP="00E0181F">
      <w:pPr>
        <w:pStyle w:val="Heading4"/>
      </w:pPr>
      <w:bookmarkStart w:id="2157" w:name="_Toc280630266"/>
      <w:r w:rsidRPr="001D5327">
        <w:t>Cropland remaining cropland</w:t>
      </w:r>
      <w:bookmarkEnd w:id="2157"/>
      <w:r w:rsidRPr="001D5327">
        <w:t xml:space="preserve"> (4.B.1)</w:t>
      </w:r>
    </w:p>
    <w:p w14:paraId="72FFB217" w14:textId="77777777" w:rsidR="00E0181F" w:rsidRPr="001D5327" w:rsidRDefault="00E0181F" w:rsidP="00E0181F">
      <w:pPr>
        <w:pStyle w:val="BodyText"/>
      </w:pPr>
      <w:r w:rsidRPr="001D5327">
        <w:t xml:space="preserve">For </w:t>
      </w:r>
      <w:r w:rsidRPr="001D5327">
        <w:rPr>
          <w:i/>
        </w:rPr>
        <w:t>Cropland remaining cropland</w:t>
      </w:r>
      <w:r w:rsidRPr="001D5327">
        <w:t xml:space="preserve">, the Tier 1 assumption is that for annual cropland there is no change in biomass carbon stocks after the first year (IPCC, 2006a, section 5.2.1). The rationale is that the increase in biomass stocks in a single year is equal to the biomass losses from harvest and mortality in that same year. For perennial cropland, there is a change in carbon stocks associated with a land-use change. Where land-use change has occurred between the </w:t>
      </w:r>
      <w:r w:rsidRPr="001D5327">
        <w:rPr>
          <w:i/>
        </w:rPr>
        <w:t>Cropland</w:t>
      </w:r>
      <w:r w:rsidRPr="001D5327">
        <w:t xml:space="preserve"> land use categories, carbon stock changes are reported in </w:t>
      </w:r>
      <w:r w:rsidRPr="001D5327">
        <w:rPr>
          <w:i/>
        </w:rPr>
        <w:t>Cropland remaining cropland</w:t>
      </w:r>
      <w:r w:rsidRPr="001D5327">
        <w:t xml:space="preserve">. </w:t>
      </w:r>
    </w:p>
    <w:p w14:paraId="56601956" w14:textId="77777777" w:rsidR="00E0181F" w:rsidRPr="001D5327" w:rsidRDefault="00E0181F" w:rsidP="00E0181F">
      <w:pPr>
        <w:pStyle w:val="Heading5"/>
      </w:pPr>
      <w:bookmarkStart w:id="2158" w:name="_Toc255466375"/>
      <w:bookmarkStart w:id="2159" w:name="_Toc261513182"/>
      <w:bookmarkStart w:id="2160" w:name="_Toc261513795"/>
      <w:bookmarkStart w:id="2161" w:name="_Toc280630267"/>
      <w:r w:rsidRPr="001D5327">
        <w:t>Living biomass</w:t>
      </w:r>
      <w:bookmarkEnd w:id="2158"/>
      <w:bookmarkEnd w:id="2159"/>
      <w:bookmarkEnd w:id="2160"/>
      <w:bookmarkEnd w:id="2161"/>
    </w:p>
    <w:p w14:paraId="3FB8D12F" w14:textId="77777777" w:rsidR="00E0181F" w:rsidRPr="001D5327" w:rsidRDefault="00E0181F" w:rsidP="00E0181F">
      <w:pPr>
        <w:pStyle w:val="BodyText"/>
      </w:pPr>
      <w:r w:rsidRPr="001D5327">
        <w:t>To estimate carbon stock change in living biomass for annual cropland converted to perennial cropland, New Zealand is using Tier 1 defaults for biomass carbon stocks at harvest (table 5.9, IPCC, 2006a). The Tier 1 method for estimating carbon change assumes carbon stocks in biomass immediately after conversion are zero; that is, the land is cleared of all vegetation before planting crops (5.0 tonnes C ha</w:t>
      </w:r>
      <w:r w:rsidRPr="001D5327">
        <w:rPr>
          <w:vertAlign w:val="superscript"/>
        </w:rPr>
        <w:t>–1</w:t>
      </w:r>
      <w:r w:rsidRPr="001D5327">
        <w:t xml:space="preserve"> is instantly oxidised in the year of conversion). </w:t>
      </w:r>
    </w:p>
    <w:p w14:paraId="303DC2DB" w14:textId="77777777" w:rsidR="00E0181F" w:rsidRPr="001D5327" w:rsidRDefault="00E0181F" w:rsidP="00E0181F">
      <w:pPr>
        <w:pStyle w:val="BodyText"/>
        <w:spacing w:after="100"/>
      </w:pPr>
      <w:r w:rsidRPr="001D5327">
        <w:t>To estimate growth after conversion of annual cropland to perennial cropland, New Zealand uses the biomass accumulation rate of 0.67 tonnes C ha</w:t>
      </w:r>
      <w:r w:rsidRPr="001D5327">
        <w:rPr>
          <w:vertAlign w:val="superscript"/>
        </w:rPr>
        <w:t xml:space="preserve">–1 </w:t>
      </w:r>
      <w:r w:rsidRPr="001D5327">
        <w:t>yr</w:t>
      </w:r>
      <w:r w:rsidRPr="001D5327">
        <w:rPr>
          <w:vertAlign w:val="superscript"/>
        </w:rPr>
        <w:t>–1</w:t>
      </w:r>
      <w:r w:rsidRPr="001D5327">
        <w:t>. This value is based on the New Zealand-specific value of 18.76 tonnes C ha</w:t>
      </w:r>
      <w:r w:rsidRPr="001D5327">
        <w:rPr>
          <w:spacing w:val="-2"/>
          <w:vertAlign w:val="superscript"/>
        </w:rPr>
        <w:t>–1</w:t>
      </w:r>
      <w:r w:rsidRPr="001D5327">
        <w:t xml:space="preserve"> (</w:t>
      </w:r>
      <w:r w:rsidRPr="001D5327">
        <w:rPr>
          <w:spacing w:val="-2"/>
        </w:rPr>
        <w:t xml:space="preserve">Davis and Wakelin, </w:t>
      </w:r>
      <w:r w:rsidRPr="001D5327">
        <w:t>unpublished) sequestered over 28 years. It is assumed any biomass gains after this 28-year period are compensated for by biomass loss from pruning and other management practices, resulting in a net zero change in biomass stock of perennial cropland remaining perennial cropland.</w:t>
      </w:r>
    </w:p>
    <w:p w14:paraId="4C6909AC" w14:textId="77777777" w:rsidR="00E0181F" w:rsidRPr="001D5327" w:rsidRDefault="00E0181F" w:rsidP="00E0181F">
      <w:pPr>
        <w:pStyle w:val="BodyText"/>
        <w:spacing w:before="100" w:after="100"/>
      </w:pPr>
      <w:r w:rsidRPr="001D5327">
        <w:t xml:space="preserve">The assumption of net zero change in biomass stock after 28 years may be overly simplistic, as outlined by the ERT recommendation L.21, 2019 (FCCC/ARR/2019/NZL, UNFCCC, 2020). However, activity data for biomass stock change beyond 28 years, or temporary destocking, </w:t>
      </w:r>
      <w:r w:rsidRPr="001D5327">
        <w:lastRenderedPageBreak/>
        <w:t xml:space="preserve">are not available annually. Collection of these data is unlikely in the short to medium term because the funding required for research and method development is being prioritised for the </w:t>
      </w:r>
      <w:r w:rsidRPr="001D5327">
        <w:rPr>
          <w:i/>
          <w:iCs/>
        </w:rPr>
        <w:t>Forest land</w:t>
      </w:r>
      <w:r w:rsidRPr="001D5327">
        <w:t xml:space="preserve"> category. </w:t>
      </w:r>
    </w:p>
    <w:p w14:paraId="74A4FB93" w14:textId="77777777" w:rsidR="00E0181F" w:rsidRPr="001D5327" w:rsidRDefault="00E0181F" w:rsidP="00E0181F">
      <w:pPr>
        <w:pStyle w:val="BodyText"/>
        <w:spacing w:before="100" w:after="100"/>
      </w:pPr>
      <w:r w:rsidRPr="001D5327">
        <w:t xml:space="preserve">The available activity data do not provide information on areas of perennial cropland temporarily destocked; therefore, no losses in carbon stock due to temporary destocking are reported. Consequently, no gains in these areas are reported either when they are restocked. </w:t>
      </w:r>
    </w:p>
    <w:p w14:paraId="78542C69" w14:textId="77777777" w:rsidR="00E0181F" w:rsidRPr="001D5327" w:rsidRDefault="00E0181F" w:rsidP="00E0181F">
      <w:pPr>
        <w:pStyle w:val="Heading5"/>
        <w:spacing w:before="220"/>
      </w:pPr>
      <w:bookmarkStart w:id="2162" w:name="_Toc255466376"/>
      <w:bookmarkStart w:id="2163" w:name="_Toc261513183"/>
      <w:bookmarkStart w:id="2164" w:name="_Toc261513796"/>
      <w:bookmarkStart w:id="2165" w:name="_Toc280630268"/>
      <w:r w:rsidRPr="001D5327">
        <w:t>Dead organic matter</w:t>
      </w:r>
      <w:bookmarkEnd w:id="2162"/>
      <w:bookmarkEnd w:id="2163"/>
      <w:bookmarkEnd w:id="2164"/>
      <w:bookmarkEnd w:id="2165"/>
    </w:p>
    <w:p w14:paraId="5038BBA5" w14:textId="77777777" w:rsidR="00E0181F" w:rsidRPr="001D5327" w:rsidRDefault="00E0181F" w:rsidP="00E0181F">
      <w:pPr>
        <w:pStyle w:val="BodyText"/>
        <w:spacing w:before="100" w:after="100"/>
      </w:pPr>
      <w:r w:rsidRPr="001D5327">
        <w:t xml:space="preserve">New Zealand does not report estimates of dead organic matter in this category. The notation key NE (not estimated) is used in the CRTs, in accordance with paragraph 37(b) of </w:t>
      </w:r>
      <w:r w:rsidRPr="001D5327">
        <w:rPr>
          <w:spacing w:val="-2"/>
        </w:rPr>
        <w:t>Decision 24/CP.19 (UNFCCC, 2014). There is insufficient information to provide a basic approach with default parameters to estimate carbon stock change in dead organic matter pools</w:t>
      </w:r>
      <w:r w:rsidRPr="001D5327">
        <w:t xml:space="preserve"> in </w:t>
      </w:r>
      <w:r w:rsidRPr="001D5327">
        <w:rPr>
          <w:i/>
        </w:rPr>
        <w:t>Cropland</w:t>
      </w:r>
      <w:r w:rsidRPr="001D5327">
        <w:t xml:space="preserve"> </w:t>
      </w:r>
      <w:r w:rsidRPr="001D5327">
        <w:rPr>
          <w:i/>
        </w:rPr>
        <w:t>remaining cropland</w:t>
      </w:r>
      <w:r w:rsidRPr="001D5327">
        <w:t xml:space="preserve"> and, consequently, no Tier 1 method is provided (IPCC, 2006a).</w:t>
      </w:r>
    </w:p>
    <w:p w14:paraId="2B837A64" w14:textId="77777777" w:rsidR="00E0181F" w:rsidRPr="001D5327" w:rsidRDefault="00E0181F" w:rsidP="00E0181F">
      <w:pPr>
        <w:pStyle w:val="Heading5"/>
        <w:spacing w:before="220"/>
      </w:pPr>
      <w:bookmarkStart w:id="2166" w:name="_Toc255466377"/>
      <w:bookmarkStart w:id="2167" w:name="_Toc261513184"/>
      <w:bookmarkStart w:id="2168" w:name="_Toc261513797"/>
      <w:bookmarkStart w:id="2169" w:name="_Toc280630269"/>
      <w:r w:rsidRPr="001D5327">
        <w:t>Soil organic carbon</w:t>
      </w:r>
      <w:bookmarkEnd w:id="2166"/>
      <w:bookmarkEnd w:id="2167"/>
      <w:bookmarkEnd w:id="2168"/>
      <w:bookmarkEnd w:id="2169"/>
      <w:r w:rsidRPr="001D5327">
        <w:t xml:space="preserve"> </w:t>
      </w:r>
    </w:p>
    <w:p w14:paraId="6DFB12CF" w14:textId="77777777" w:rsidR="00E0181F" w:rsidRPr="001D5327" w:rsidRDefault="00E0181F" w:rsidP="00E0181F">
      <w:pPr>
        <w:pStyle w:val="BodyText"/>
        <w:spacing w:before="100" w:after="100"/>
      </w:pPr>
      <w:bookmarkStart w:id="2170" w:name="_Toc255466381"/>
      <w:bookmarkStart w:id="2171" w:name="_Toc261513188"/>
      <w:bookmarkStart w:id="2172" w:name="_Toc261513801"/>
      <w:bookmarkStart w:id="2173" w:name="_Toc280630272"/>
      <w:r w:rsidRPr="001D5327">
        <w:t xml:space="preserve">Soil organic carbon stocks in mineral soil for </w:t>
      </w:r>
      <w:r w:rsidRPr="001D5327">
        <w:rPr>
          <w:i/>
        </w:rPr>
        <w:t>Cropland remaining cropland</w:t>
      </w:r>
      <w:r w:rsidRPr="001D5327">
        <w:t xml:space="preserve"> are estimated using </w:t>
      </w:r>
      <w:r w:rsidRPr="001D5327">
        <w:rPr>
          <w:spacing w:val="-2"/>
        </w:rPr>
        <w:t>a Tier 2 method (see annex 5, section A5.2.4 ‘Mineral soils’). For organic soils, loss of soil carbon is estimated using the Tier 1 method as described in annex 5, section A5.2.4 ‘Organic soils’</w:t>
      </w:r>
      <w:r w:rsidRPr="001D5327">
        <w:t xml:space="preserve">. </w:t>
      </w:r>
    </w:p>
    <w:p w14:paraId="540D9026" w14:textId="77777777" w:rsidR="00E0181F" w:rsidRPr="001D5327" w:rsidRDefault="00E0181F" w:rsidP="00E0181F">
      <w:pPr>
        <w:pStyle w:val="BodyText"/>
        <w:spacing w:before="100" w:after="100"/>
      </w:pPr>
      <w:r w:rsidRPr="001D5327">
        <w:t xml:space="preserve">Mineral soil carbon change for annual cropland converted to perennial cropland and vice versa is estimated using the IPCC default method of applying a linear rate of change over 20 years (equation 2.25, IPCC, 2006a). </w:t>
      </w:r>
    </w:p>
    <w:p w14:paraId="275FF2E0" w14:textId="77777777" w:rsidR="00E0181F" w:rsidRPr="001D5327" w:rsidRDefault="00E0181F" w:rsidP="00E0181F">
      <w:pPr>
        <w:pStyle w:val="Heading5"/>
        <w:spacing w:before="220"/>
      </w:pPr>
      <w:r w:rsidRPr="001D5327">
        <w:t>Non-CO</w:t>
      </w:r>
      <w:r w:rsidRPr="001D5327">
        <w:rPr>
          <w:vertAlign w:val="subscript"/>
        </w:rPr>
        <w:t>2</w:t>
      </w:r>
      <w:r w:rsidRPr="001D5327">
        <w:t xml:space="preserve"> emissions</w:t>
      </w:r>
    </w:p>
    <w:p w14:paraId="26F53286" w14:textId="77777777" w:rsidR="00E0181F" w:rsidRPr="001D5327" w:rsidRDefault="00E0181F" w:rsidP="00E0181F">
      <w:pPr>
        <w:pStyle w:val="BodyText"/>
        <w:spacing w:before="100" w:after="100"/>
      </w:pPr>
      <w:r w:rsidRPr="001D5327">
        <w:t>All direct and indirect N</w:t>
      </w:r>
      <w:r w:rsidRPr="001D5327">
        <w:rPr>
          <w:vertAlign w:val="subscript"/>
        </w:rPr>
        <w:t>2</w:t>
      </w:r>
      <w:r w:rsidRPr="001D5327">
        <w:t xml:space="preserve">O emissions occurring from management activities in </w:t>
      </w:r>
      <w:r w:rsidRPr="001D5327">
        <w:rPr>
          <w:i/>
        </w:rPr>
        <w:t>Cropland remaining cropland</w:t>
      </w:r>
      <w:r w:rsidRPr="001D5327">
        <w:t xml:space="preserve"> are reported under the Agriculture sector. </w:t>
      </w:r>
    </w:p>
    <w:p w14:paraId="27A00C88" w14:textId="77777777" w:rsidR="00E0181F" w:rsidRPr="001D5327" w:rsidRDefault="00E0181F" w:rsidP="00E0181F">
      <w:pPr>
        <w:pStyle w:val="Heading4"/>
      </w:pPr>
      <w:r w:rsidRPr="001D5327">
        <w:t>Land converted to cropland</w:t>
      </w:r>
      <w:bookmarkEnd w:id="2170"/>
      <w:bookmarkEnd w:id="2171"/>
      <w:bookmarkEnd w:id="2172"/>
      <w:bookmarkEnd w:id="2173"/>
      <w:r w:rsidRPr="001D5327">
        <w:t xml:space="preserve"> (4.B.2)</w:t>
      </w:r>
    </w:p>
    <w:p w14:paraId="420D8CAE" w14:textId="77777777" w:rsidR="00E0181F" w:rsidRPr="001D5327" w:rsidRDefault="00E0181F" w:rsidP="00E0181F">
      <w:pPr>
        <w:pStyle w:val="Heading5"/>
        <w:spacing w:before="180"/>
      </w:pPr>
      <w:bookmarkStart w:id="2174" w:name="_Toc255466382"/>
      <w:bookmarkStart w:id="2175" w:name="_Toc261513189"/>
      <w:bookmarkStart w:id="2176" w:name="_Toc261513802"/>
      <w:bookmarkStart w:id="2177" w:name="_Toc280630273"/>
      <w:r w:rsidRPr="001D5327">
        <w:t>Living biomass</w:t>
      </w:r>
      <w:bookmarkEnd w:id="2174"/>
      <w:bookmarkEnd w:id="2175"/>
      <w:bookmarkEnd w:id="2176"/>
      <w:bookmarkEnd w:id="2177"/>
    </w:p>
    <w:p w14:paraId="1CDACFCC" w14:textId="77777777" w:rsidR="00E0181F" w:rsidRPr="001D5327" w:rsidRDefault="00E0181F" w:rsidP="00E0181F">
      <w:pPr>
        <w:pStyle w:val="BodyText"/>
        <w:spacing w:before="100" w:after="100"/>
      </w:pPr>
      <w:r w:rsidRPr="001D5327">
        <w:t xml:space="preserve">New Zealand uses a Tier 1 method, and a combination of IPCC default and New Zealand-specific emission factors, to calculate emissions for </w:t>
      </w:r>
      <w:r w:rsidRPr="001D5327">
        <w:rPr>
          <w:i/>
        </w:rPr>
        <w:t>Land converted to cropland</w:t>
      </w:r>
      <w:r w:rsidRPr="001D5327">
        <w:t xml:space="preserve">. The Tier 1 method multiplies the area of </w:t>
      </w:r>
      <w:r w:rsidRPr="001D5327">
        <w:rPr>
          <w:i/>
        </w:rPr>
        <w:t>Land converted to cropland</w:t>
      </w:r>
      <w:r w:rsidRPr="001D5327">
        <w:t xml:space="preserve"> annually by the carbon stock change per area for that type of conversion. </w:t>
      </w:r>
    </w:p>
    <w:p w14:paraId="11627DC2" w14:textId="77777777" w:rsidR="00E0181F" w:rsidRPr="001D5327" w:rsidRDefault="00E0181F" w:rsidP="00E0181F">
      <w:pPr>
        <w:pStyle w:val="BodyText"/>
        <w:spacing w:before="100" w:after="100"/>
      </w:pPr>
      <w:r w:rsidRPr="001D5327">
        <w:t>The Tier 1 method assumes carbon in living biomass and dead organic matter immediately after conversion is zero; that is, the land is cleared of all vegetation before planting crops. The amount of biomass cleared when land at steady state is converted is dependent on the land use category undergoing the conversion and is described further under each category-specific section in this chapter.</w:t>
      </w:r>
    </w:p>
    <w:p w14:paraId="0A7F3B3E" w14:textId="77777777" w:rsidR="00E0181F" w:rsidRPr="001D5327" w:rsidRDefault="00E0181F" w:rsidP="00E0181F">
      <w:pPr>
        <w:pStyle w:val="BodyText"/>
      </w:pPr>
      <w:r w:rsidRPr="001D5327">
        <w:t>The Tier 1 method also includes changes in carbon stocks from one year of growth in the year conversion takes place, as outlined in equation 2.5 of the 2006 IPCC Guidelines (IPCC, 2006a).</w:t>
      </w:r>
    </w:p>
    <w:p w14:paraId="4E10831A" w14:textId="77777777" w:rsidR="00E0181F" w:rsidRPr="001D5327" w:rsidRDefault="00E0181F" w:rsidP="00E0181F">
      <w:pPr>
        <w:pStyle w:val="BodyText"/>
      </w:pPr>
      <w:r w:rsidRPr="001D5327">
        <w:t>To estimate growth after conversion to annual cropland, New Zealand uses the IPCC default biomass accumulation rate of 5.0 tonnes C ha</w:t>
      </w:r>
      <w:r w:rsidRPr="001D5327">
        <w:rPr>
          <w:vertAlign w:val="superscript"/>
        </w:rPr>
        <w:t>–1</w:t>
      </w:r>
      <w:r w:rsidRPr="001D5327">
        <w:t xml:space="preserve"> for the first year following conversion (table 5.9, IPCC, 2006a). After the first year, any increase in biomass stocks in annual cropland </w:t>
      </w:r>
      <w:r w:rsidRPr="001D5327">
        <w:rPr>
          <w:spacing w:val="-2"/>
        </w:rPr>
        <w:t>is assumed equal to biomass losses from harvest and mortality in that same year and, therefore</w:t>
      </w:r>
      <w:r w:rsidRPr="001D5327">
        <w:t xml:space="preserve">, after the first year there is no net accumulation of biomass carbon stocks in </w:t>
      </w:r>
      <w:r w:rsidRPr="001D5327">
        <w:rPr>
          <w:iCs/>
        </w:rPr>
        <w:t>annual</w:t>
      </w:r>
      <w:r w:rsidRPr="001D5327">
        <w:rPr>
          <w:i/>
        </w:rPr>
        <w:t xml:space="preserve"> </w:t>
      </w:r>
      <w:r w:rsidRPr="001D5327">
        <w:rPr>
          <w:iCs/>
        </w:rPr>
        <w:t>cropland remaining annual cropland</w:t>
      </w:r>
      <w:r w:rsidRPr="001D5327">
        <w:t xml:space="preserve"> (section 5.2.1, IPCC, 2006a).</w:t>
      </w:r>
    </w:p>
    <w:p w14:paraId="6A826485" w14:textId="77777777" w:rsidR="00E0181F" w:rsidRPr="001D5327" w:rsidRDefault="00E0181F" w:rsidP="00E0181F">
      <w:pPr>
        <w:pStyle w:val="BodyText"/>
      </w:pPr>
      <w:r w:rsidRPr="001D5327">
        <w:lastRenderedPageBreak/>
        <w:t>To estimate growth after conversion to perennial cropland, New Zealand uses the biomass accumulation rate of 0.67 tonnes C ha</w:t>
      </w:r>
      <w:r w:rsidRPr="001D5327">
        <w:rPr>
          <w:vertAlign w:val="superscript"/>
        </w:rPr>
        <w:t xml:space="preserve">–1 </w:t>
      </w:r>
      <w:r w:rsidRPr="001D5327">
        <w:t>yr</w:t>
      </w:r>
      <w:r w:rsidRPr="001D5327">
        <w:rPr>
          <w:vertAlign w:val="superscript"/>
        </w:rPr>
        <w:t>–1</w:t>
      </w:r>
      <w:r w:rsidRPr="001D5327">
        <w:t xml:space="preserve"> until 18.76 tonnes C ha</w:t>
      </w:r>
      <w:r w:rsidRPr="001D5327">
        <w:rPr>
          <w:spacing w:val="-2"/>
          <w:vertAlign w:val="superscript"/>
        </w:rPr>
        <w:t>–1</w:t>
      </w:r>
      <w:r w:rsidRPr="001D5327">
        <w:t xml:space="preserve"> is reached, as described in the </w:t>
      </w:r>
      <w:r w:rsidRPr="001D5327">
        <w:rPr>
          <w:i/>
          <w:iCs/>
        </w:rPr>
        <w:t>Cropland remaining cropland</w:t>
      </w:r>
      <w:r w:rsidRPr="001D5327">
        <w:t xml:space="preserve"> section above. The final eight years of biomass gain are reported in </w:t>
      </w:r>
      <w:r w:rsidRPr="001D5327">
        <w:rPr>
          <w:i/>
          <w:iCs/>
        </w:rPr>
        <w:t>Cropland remaining cropland</w:t>
      </w:r>
      <w:r w:rsidRPr="001D5327">
        <w:t xml:space="preserve"> because the 2006 IPCC Guidelines (IPCC, 2006a) default transition period of 20 years has been applied across the entire LULUCF sector. </w:t>
      </w:r>
    </w:p>
    <w:p w14:paraId="2757279F" w14:textId="77777777" w:rsidR="00E0181F" w:rsidRPr="001D5327" w:rsidRDefault="00E0181F" w:rsidP="00E0181F">
      <w:pPr>
        <w:pStyle w:val="Heading5"/>
      </w:pPr>
      <w:bookmarkStart w:id="2178" w:name="_Toc255466383"/>
      <w:bookmarkStart w:id="2179" w:name="_Toc261513190"/>
      <w:bookmarkStart w:id="2180" w:name="_Toc261513803"/>
      <w:bookmarkStart w:id="2181" w:name="_Toc280630274"/>
      <w:r w:rsidRPr="001D5327">
        <w:t>Dead organic matter</w:t>
      </w:r>
      <w:bookmarkEnd w:id="2178"/>
      <w:bookmarkEnd w:id="2179"/>
      <w:bookmarkEnd w:id="2180"/>
      <w:bookmarkEnd w:id="2181"/>
    </w:p>
    <w:p w14:paraId="5597C86A" w14:textId="77777777" w:rsidR="00E0181F" w:rsidRPr="001D5327" w:rsidRDefault="00E0181F" w:rsidP="00E0181F">
      <w:pPr>
        <w:pStyle w:val="BodyText"/>
      </w:pPr>
      <w:r w:rsidRPr="001D5327">
        <w:t xml:space="preserve">New Zealand reports only losses in dead organic matter associated with the previous land use for this category. The losses are calculated based on the carbon in dead organic matter at the site before conversion to </w:t>
      </w:r>
      <w:r w:rsidRPr="001D5327">
        <w:rPr>
          <w:i/>
        </w:rPr>
        <w:t>Cropland</w:t>
      </w:r>
      <w:r w:rsidRPr="001D5327">
        <w:t xml:space="preserve">. It is assumed that, immediately after conversion, dead organic matter is zero (all carbon in dead organic matter before conversion is instantly oxidised in the year of conversion). There is insufficient information to estimate gain in carbon stock in dead organic matter pools after land is converted to </w:t>
      </w:r>
      <w:r w:rsidRPr="001D5327">
        <w:rPr>
          <w:i/>
        </w:rPr>
        <w:t>Cropland</w:t>
      </w:r>
      <w:r w:rsidRPr="001D5327">
        <w:t xml:space="preserve"> (IPCC, 2006a). Consequently, where there are no dead organic matter losses associated with the previous land use, the notation key NA (not applicable) is used in the CRTs in accordance with Decision 24/CP.19 (UNFCCC, 2014) because a given source and/or sink category does not result in emissions or removals of a specific gas.</w:t>
      </w:r>
    </w:p>
    <w:p w14:paraId="3AF0798D" w14:textId="77777777" w:rsidR="00E0181F" w:rsidRPr="001D5327" w:rsidRDefault="00E0181F" w:rsidP="00E0181F">
      <w:pPr>
        <w:pStyle w:val="Heading5"/>
      </w:pPr>
      <w:bookmarkStart w:id="2182" w:name="_Toc255466384"/>
      <w:bookmarkStart w:id="2183" w:name="_Toc261513191"/>
      <w:bookmarkStart w:id="2184" w:name="_Toc261513804"/>
      <w:bookmarkStart w:id="2185" w:name="_Toc280630275"/>
      <w:r w:rsidRPr="001D5327">
        <w:t>Soil organic carbon</w:t>
      </w:r>
      <w:bookmarkEnd w:id="2182"/>
      <w:bookmarkEnd w:id="2183"/>
      <w:bookmarkEnd w:id="2184"/>
      <w:bookmarkEnd w:id="2185"/>
      <w:r w:rsidRPr="001D5327">
        <w:t xml:space="preserve"> </w:t>
      </w:r>
    </w:p>
    <w:p w14:paraId="3673F768" w14:textId="4373D593" w:rsidR="00E0181F" w:rsidRPr="001D5327" w:rsidRDefault="00E0181F" w:rsidP="00E0181F">
      <w:pPr>
        <w:pStyle w:val="BodyText"/>
        <w:spacing w:before="80" w:after="100"/>
      </w:pPr>
      <w:bookmarkStart w:id="2186" w:name="_Toc255466385"/>
      <w:bookmarkStart w:id="2187" w:name="_Toc261513192"/>
      <w:bookmarkStart w:id="2188" w:name="_Toc261513805"/>
      <w:bookmarkStart w:id="2189" w:name="_Toc280630276"/>
      <w:r w:rsidRPr="001D5327">
        <w:rPr>
          <w:spacing w:val="-2"/>
        </w:rPr>
        <w:t xml:space="preserve">Soil organic carbon stocks in </w:t>
      </w:r>
      <w:r w:rsidRPr="001D5327">
        <w:rPr>
          <w:i/>
          <w:spacing w:val="-2"/>
        </w:rPr>
        <w:t>Land converted to cropland</w:t>
      </w:r>
      <w:r w:rsidRPr="001D5327">
        <w:rPr>
          <w:spacing w:val="-2"/>
        </w:rPr>
        <w:t xml:space="preserve"> are estimated using a Tier 2 method for</w:t>
      </w:r>
      <w:r w:rsidR="007A7DB4" w:rsidRPr="001D5327">
        <w:rPr>
          <w:spacing w:val="-2"/>
        </w:rPr>
        <w:t> </w:t>
      </w:r>
      <w:r w:rsidRPr="001D5327">
        <w:rPr>
          <w:spacing w:val="-2"/>
        </w:rPr>
        <w:t>mineral soils and a Tier 1 method for organic soils (see annex 5, section A5.2.4, for further information)</w:t>
      </w:r>
      <w:r w:rsidRPr="001D5327">
        <w:t xml:space="preserve">. </w:t>
      </w:r>
    </w:p>
    <w:p w14:paraId="19E71AD0" w14:textId="77777777" w:rsidR="00E0181F" w:rsidRPr="001D5327" w:rsidRDefault="00E0181F" w:rsidP="00E0181F">
      <w:pPr>
        <w:pStyle w:val="Heading5"/>
      </w:pPr>
      <w:r w:rsidRPr="001D5327">
        <w:t>Non-CO</w:t>
      </w:r>
      <w:r w:rsidRPr="001D5327">
        <w:rPr>
          <w:vertAlign w:val="subscript"/>
        </w:rPr>
        <w:t>2</w:t>
      </w:r>
      <w:r w:rsidRPr="001D5327">
        <w:t xml:space="preserve"> emissions</w:t>
      </w:r>
      <w:bookmarkEnd w:id="2186"/>
      <w:bookmarkEnd w:id="2187"/>
      <w:bookmarkEnd w:id="2188"/>
      <w:bookmarkEnd w:id="2189"/>
    </w:p>
    <w:p w14:paraId="51FC62B8" w14:textId="77777777" w:rsidR="00E0181F" w:rsidRPr="001D5327" w:rsidRDefault="00E0181F" w:rsidP="00E0181F">
      <w:pPr>
        <w:pStyle w:val="BodyText"/>
      </w:pPr>
      <w:r w:rsidRPr="001D5327">
        <w:t xml:space="preserve">Nitrous oxide emissions from disturbance associated with land use conversion to </w:t>
      </w:r>
      <w:r w:rsidRPr="001D5327">
        <w:rPr>
          <w:i/>
        </w:rPr>
        <w:t>Cropland</w:t>
      </w:r>
      <w:r w:rsidRPr="001D5327">
        <w:t xml:space="preserve"> and land use management are described in section 6.11. </w:t>
      </w:r>
    </w:p>
    <w:p w14:paraId="5A641FC8" w14:textId="77777777" w:rsidR="00E0181F" w:rsidRPr="001D5327" w:rsidRDefault="00E0181F" w:rsidP="00E0181F">
      <w:pPr>
        <w:pStyle w:val="Heading3"/>
      </w:pPr>
      <w:bookmarkStart w:id="2190" w:name="_Toc139253965"/>
      <w:bookmarkStart w:id="2191" w:name="_Toc255466388"/>
      <w:bookmarkStart w:id="2192" w:name="_Toc261513195"/>
      <w:bookmarkStart w:id="2193" w:name="_Toc261513808"/>
      <w:bookmarkStart w:id="2194" w:name="_Toc280630277"/>
      <w:r w:rsidRPr="001D5327">
        <w:t>6.5.3</w:t>
      </w:r>
      <w:r w:rsidRPr="001D5327">
        <w:tab/>
        <w:t>Uncertainty assessment and time-series consistency</w:t>
      </w:r>
      <w:bookmarkEnd w:id="2190"/>
      <w:bookmarkEnd w:id="2191"/>
      <w:bookmarkEnd w:id="2192"/>
      <w:bookmarkEnd w:id="2193"/>
      <w:bookmarkEnd w:id="2194"/>
    </w:p>
    <w:p w14:paraId="4E242DEC" w14:textId="77777777" w:rsidR="00E0181F" w:rsidRPr="001D5327" w:rsidRDefault="00E0181F" w:rsidP="00E0181F">
      <w:pPr>
        <w:pStyle w:val="BodyText"/>
      </w:pPr>
      <w:r w:rsidRPr="001D5327">
        <w:t xml:space="preserve">The uncertainty in net carbon emissions from </w:t>
      </w:r>
      <w:r w:rsidRPr="001D5327">
        <w:rPr>
          <w:i/>
          <w:iCs/>
        </w:rPr>
        <w:t>Cropland</w:t>
      </w:r>
      <w:r w:rsidRPr="001D5327">
        <w:t xml:space="preserve"> was 57.3 per cent in 2023. The uncertainty in net carbon emissions from </w:t>
      </w:r>
      <w:r w:rsidRPr="001D5327">
        <w:rPr>
          <w:i/>
        </w:rPr>
        <w:t>Cropland</w:t>
      </w:r>
      <w:r w:rsidRPr="001D5327">
        <w:t xml:space="preserve"> accounted for 2.0 per cent of the total uncertainty in emissions from the LULUCF sector. The uncertainty associated with the emissions from each </w:t>
      </w:r>
      <w:r w:rsidRPr="001D5327">
        <w:rPr>
          <w:i/>
          <w:iCs/>
        </w:rPr>
        <w:t>Cropland</w:t>
      </w:r>
      <w:r w:rsidRPr="001D5327">
        <w:t xml:space="preserve"> class is shown in table 6.5.6. The methods used to calculate the uncertainty are further described in annex 5, section A5.2.8. </w:t>
      </w:r>
    </w:p>
    <w:p w14:paraId="5D0290A6" w14:textId="77777777" w:rsidR="00E0181F" w:rsidRPr="001D5327" w:rsidRDefault="00E0181F" w:rsidP="00E0181F">
      <w:pPr>
        <w:pStyle w:val="BodyText"/>
      </w:pPr>
      <w:r w:rsidRPr="001D5327">
        <w:t xml:space="preserve">Time-series consistency is ensured by applying consistent methods and full recalculations in the event of any refinement or improvement to methodology. </w:t>
      </w:r>
    </w:p>
    <w:p w14:paraId="467408F2" w14:textId="77777777" w:rsidR="00E0181F" w:rsidRPr="001D5327" w:rsidRDefault="00E0181F" w:rsidP="00E0181F">
      <w:pPr>
        <w:pStyle w:val="Table"/>
      </w:pPr>
      <w:bookmarkStart w:id="2195" w:name="_Toc131591406"/>
      <w:bookmarkStart w:id="2196" w:name="_Toc158979964"/>
      <w:bookmarkStart w:id="2197" w:name="_Toc164153897"/>
      <w:bookmarkStart w:id="2198" w:name="_Toc190873131"/>
      <w:bookmarkStart w:id="2199" w:name="_Toc194241770"/>
      <w:bookmarkStart w:id="2200" w:name="_Toc280630463"/>
      <w:bookmarkStart w:id="2201" w:name="_Toc310423419"/>
      <w:bookmarkStart w:id="2202" w:name="_Toc318362712"/>
      <w:bookmarkStart w:id="2203" w:name="_Toc342470774"/>
      <w:bookmarkStart w:id="2204" w:name="_Toc352505014"/>
      <w:bookmarkStart w:id="2205" w:name="_Toc378853305"/>
      <w:bookmarkStart w:id="2206" w:name="_Toc391024103"/>
      <w:bookmarkStart w:id="2207" w:name="_Toc410028846"/>
      <w:bookmarkStart w:id="2208" w:name="_Toc414531474"/>
      <w:bookmarkStart w:id="2209" w:name="_Toc443645387"/>
      <w:bookmarkStart w:id="2210" w:name="_Toc474914606"/>
      <w:bookmarkStart w:id="2211" w:name="_Toc481751570"/>
      <w:bookmarkStart w:id="2212" w:name="_Toc522010627"/>
      <w:bookmarkStart w:id="2213" w:name="_Toc5269532"/>
      <w:bookmarkStart w:id="2214" w:name="_Toc33529406"/>
      <w:bookmarkStart w:id="2215" w:name="_Toc36224612"/>
      <w:bookmarkStart w:id="2216" w:name="_Toc65243609"/>
      <w:r w:rsidRPr="001D5327">
        <w:t>Table 6.5.6</w:t>
      </w:r>
      <w:r w:rsidRPr="001D5327">
        <w:tab/>
        <w:t xml:space="preserve">Uncertainty in net carbon stock change emissions in 2023 for </w:t>
      </w:r>
      <w:r w:rsidRPr="001D5327">
        <w:rPr>
          <w:bCs/>
        </w:rPr>
        <w:t xml:space="preserve">the </w:t>
      </w:r>
      <w:r w:rsidRPr="001D5327">
        <w:rPr>
          <w:i/>
        </w:rPr>
        <w:t>Cropland</w:t>
      </w:r>
      <w:r w:rsidRPr="001D5327">
        <w:t xml:space="preserve"> </w:t>
      </w:r>
      <w:r w:rsidRPr="001D5327">
        <w:rPr>
          <w:bCs/>
          <w:iCs/>
        </w:rPr>
        <w:t>category</w:t>
      </w:r>
      <w:bookmarkEnd w:id="2195"/>
      <w:bookmarkEnd w:id="2196"/>
      <w:bookmarkEnd w:id="2197"/>
      <w:bookmarkEnd w:id="2198"/>
      <w:bookmarkEnd w:id="2199"/>
    </w:p>
    <w:tbl>
      <w:tblPr>
        <w:tblW w:w="8505" w:type="dxa"/>
        <w:tblLayout w:type="fixed"/>
        <w:tblLook w:val="04A0" w:firstRow="1" w:lastRow="0" w:firstColumn="1" w:lastColumn="0" w:noHBand="0" w:noVBand="1"/>
      </w:tblPr>
      <w:tblGrid>
        <w:gridCol w:w="1554"/>
        <w:gridCol w:w="1835"/>
        <w:gridCol w:w="2259"/>
        <w:gridCol w:w="2857"/>
      </w:tblGrid>
      <w:tr w:rsidR="00E0181F" w:rsidRPr="001D5327" w14:paraId="0044C0A6" w14:textId="77777777" w:rsidTr="00D11AC9">
        <w:tc>
          <w:tcPr>
            <w:tcW w:w="1554" w:type="dxa"/>
            <w:tcBorders>
              <w:top w:val="single" w:sz="4" w:space="0" w:color="1B556B" w:themeColor="text2"/>
            </w:tcBorders>
            <w:shd w:val="clear" w:color="auto" w:fill="1B556B" w:themeFill="text2"/>
            <w:vAlign w:val="bottom"/>
          </w:tcPr>
          <w:p w14:paraId="6C88012E" w14:textId="77777777" w:rsidR="00E0181F" w:rsidRPr="001D5327" w:rsidRDefault="00E0181F" w:rsidP="00D11AC9">
            <w:pPr>
              <w:pStyle w:val="TableTextBold"/>
              <w:keepNext/>
              <w:spacing w:before="40" w:after="40"/>
              <w:rPr>
                <w:noProof w:val="0"/>
                <w:color w:val="FFFFFF"/>
                <w:szCs w:val="16"/>
              </w:rPr>
            </w:pPr>
            <w:r w:rsidRPr="001D5327">
              <w:rPr>
                <w:noProof w:val="0"/>
                <w:color w:val="FFFFFF" w:themeColor="background1"/>
                <w:szCs w:val="16"/>
              </w:rPr>
              <w:t>Land use</w:t>
            </w:r>
          </w:p>
        </w:tc>
        <w:tc>
          <w:tcPr>
            <w:tcW w:w="1835" w:type="dxa"/>
            <w:tcBorders>
              <w:top w:val="single" w:sz="4" w:space="0" w:color="1B556B" w:themeColor="text2"/>
            </w:tcBorders>
            <w:shd w:val="clear" w:color="auto" w:fill="1B556B" w:themeFill="text2"/>
            <w:vAlign w:val="bottom"/>
          </w:tcPr>
          <w:p w14:paraId="38A236AD" w14:textId="77777777" w:rsidR="00E0181F" w:rsidRPr="001D5327" w:rsidRDefault="00E0181F" w:rsidP="00D11AC9">
            <w:pPr>
              <w:pStyle w:val="TableTextBold"/>
              <w:spacing w:before="40" w:after="40"/>
              <w:jc w:val="right"/>
              <w:rPr>
                <w:noProof w:val="0"/>
                <w:color w:val="FFFFFF"/>
                <w:szCs w:val="16"/>
              </w:rPr>
            </w:pPr>
            <w:r w:rsidRPr="001D5327">
              <w:rPr>
                <w:noProof w:val="0"/>
                <w:color w:val="FFFFFF"/>
                <w:szCs w:val="16"/>
              </w:rPr>
              <w:t>Emissions (kt CO</w:t>
            </w:r>
            <w:r w:rsidRPr="001D5327">
              <w:rPr>
                <w:noProof w:val="0"/>
                <w:color w:val="FFFFFF"/>
                <w:szCs w:val="16"/>
                <w:vertAlign w:val="subscript"/>
              </w:rPr>
              <w:t>2</w:t>
            </w:r>
            <w:r w:rsidRPr="001D5327">
              <w:rPr>
                <w:noProof w:val="0"/>
                <w:color w:val="FFFFFF" w:themeColor="background1"/>
              </w:rPr>
              <w:t>-</w:t>
            </w:r>
            <w:r w:rsidRPr="001D5327">
              <w:rPr>
                <w:noProof w:val="0"/>
                <w:color w:val="FFFFFF"/>
                <w:szCs w:val="16"/>
              </w:rPr>
              <w:t>e)</w:t>
            </w:r>
          </w:p>
        </w:tc>
        <w:tc>
          <w:tcPr>
            <w:tcW w:w="2259" w:type="dxa"/>
            <w:tcBorders>
              <w:top w:val="single" w:sz="4" w:space="0" w:color="1B556B" w:themeColor="text2"/>
            </w:tcBorders>
            <w:shd w:val="clear" w:color="auto" w:fill="1B556B" w:themeFill="text2"/>
            <w:vAlign w:val="bottom"/>
          </w:tcPr>
          <w:p w14:paraId="42185327" w14:textId="77777777" w:rsidR="00E0181F" w:rsidRPr="001D5327" w:rsidRDefault="00E0181F" w:rsidP="00D11AC9">
            <w:pPr>
              <w:pStyle w:val="TableTextBold"/>
              <w:spacing w:before="40" w:after="40"/>
              <w:jc w:val="right"/>
              <w:rPr>
                <w:noProof w:val="0"/>
                <w:color w:val="FFFFFF"/>
                <w:szCs w:val="16"/>
              </w:rPr>
            </w:pPr>
            <w:r w:rsidRPr="001D5327">
              <w:rPr>
                <w:noProof w:val="0"/>
                <w:color w:val="FFFFFF"/>
                <w:szCs w:val="16"/>
              </w:rPr>
              <w:t>Uncertainty in emissions (%)</w:t>
            </w:r>
          </w:p>
        </w:tc>
        <w:tc>
          <w:tcPr>
            <w:tcW w:w="2857" w:type="dxa"/>
            <w:tcBorders>
              <w:top w:val="single" w:sz="4" w:space="0" w:color="1B556B" w:themeColor="text2"/>
            </w:tcBorders>
            <w:shd w:val="clear" w:color="auto" w:fill="1B556B" w:themeFill="text2"/>
            <w:vAlign w:val="bottom"/>
          </w:tcPr>
          <w:p w14:paraId="3A3AE3DF" w14:textId="77777777" w:rsidR="00E0181F" w:rsidRPr="001D5327" w:rsidRDefault="00E0181F" w:rsidP="00D11AC9">
            <w:pPr>
              <w:pStyle w:val="TableTextBold"/>
              <w:spacing w:before="40" w:after="40"/>
              <w:jc w:val="right"/>
              <w:rPr>
                <w:noProof w:val="0"/>
                <w:color w:val="FFFFFF"/>
                <w:szCs w:val="16"/>
              </w:rPr>
            </w:pPr>
            <w:r w:rsidRPr="001D5327">
              <w:rPr>
                <w:noProof w:val="0"/>
                <w:color w:val="FFFFFF"/>
                <w:szCs w:val="16"/>
              </w:rPr>
              <w:t>Contribution to LULUCF uncertainty (%)</w:t>
            </w:r>
          </w:p>
        </w:tc>
      </w:tr>
      <w:tr w:rsidR="00E0181F" w:rsidRPr="001D5327" w14:paraId="6D7E1AD8" w14:textId="77777777" w:rsidTr="00D11AC9">
        <w:tc>
          <w:tcPr>
            <w:tcW w:w="1554" w:type="dxa"/>
            <w:tcBorders>
              <w:top w:val="single" w:sz="4" w:space="0" w:color="1B556B" w:themeColor="text2"/>
              <w:bottom w:val="single" w:sz="4" w:space="0" w:color="365F91"/>
            </w:tcBorders>
          </w:tcPr>
          <w:p w14:paraId="689F6397" w14:textId="77777777" w:rsidR="00E0181F" w:rsidRPr="001D5327" w:rsidRDefault="00E0181F" w:rsidP="00D11AC9">
            <w:pPr>
              <w:pStyle w:val="TableText"/>
              <w:spacing w:before="40" w:after="40"/>
            </w:pPr>
            <w:r w:rsidRPr="001D5327">
              <w:t>Annual cropland</w:t>
            </w:r>
          </w:p>
        </w:tc>
        <w:tc>
          <w:tcPr>
            <w:tcW w:w="1835" w:type="dxa"/>
            <w:tcBorders>
              <w:top w:val="single" w:sz="4" w:space="0" w:color="1B556B" w:themeColor="text2"/>
              <w:bottom w:val="single" w:sz="4" w:space="0" w:color="365F91"/>
            </w:tcBorders>
            <w:vAlign w:val="bottom"/>
          </w:tcPr>
          <w:p w14:paraId="45BC760B" w14:textId="77777777" w:rsidR="00E0181F" w:rsidRPr="001D5327" w:rsidRDefault="00E0181F" w:rsidP="00D11AC9">
            <w:pPr>
              <w:pStyle w:val="TableText"/>
              <w:spacing w:before="40" w:after="40"/>
              <w:jc w:val="right"/>
              <w:rPr>
                <w:szCs w:val="16"/>
              </w:rPr>
            </w:pPr>
            <w:r w:rsidRPr="001D5327">
              <w:rPr>
                <w:rFonts w:cs="Calibri"/>
                <w:color w:val="000000"/>
                <w:szCs w:val="16"/>
              </w:rPr>
              <w:t>659.7</w:t>
            </w:r>
          </w:p>
        </w:tc>
        <w:tc>
          <w:tcPr>
            <w:tcW w:w="2259" w:type="dxa"/>
            <w:tcBorders>
              <w:top w:val="single" w:sz="4" w:space="0" w:color="1B556B" w:themeColor="text2"/>
              <w:bottom w:val="single" w:sz="4" w:space="0" w:color="365F91"/>
            </w:tcBorders>
            <w:vAlign w:val="bottom"/>
          </w:tcPr>
          <w:p w14:paraId="6A095238" w14:textId="77777777" w:rsidR="00E0181F" w:rsidRPr="001D5327" w:rsidRDefault="00E0181F" w:rsidP="00D11AC9">
            <w:pPr>
              <w:pStyle w:val="TableText"/>
              <w:spacing w:before="40" w:after="40"/>
              <w:jc w:val="right"/>
              <w:rPr>
                <w:szCs w:val="16"/>
              </w:rPr>
            </w:pPr>
            <w:r w:rsidRPr="001D5327">
              <w:rPr>
                <w:rFonts w:cs="Calibri"/>
                <w:color w:val="000000"/>
                <w:szCs w:val="16"/>
              </w:rPr>
              <w:t>61.1</w:t>
            </w:r>
          </w:p>
        </w:tc>
        <w:tc>
          <w:tcPr>
            <w:tcW w:w="2857" w:type="dxa"/>
            <w:tcBorders>
              <w:top w:val="single" w:sz="4" w:space="0" w:color="1B556B" w:themeColor="text2"/>
              <w:bottom w:val="single" w:sz="4" w:space="0" w:color="365F91"/>
            </w:tcBorders>
            <w:vAlign w:val="bottom"/>
          </w:tcPr>
          <w:p w14:paraId="02A42077" w14:textId="77777777" w:rsidR="00E0181F" w:rsidRPr="001D5327" w:rsidRDefault="00E0181F" w:rsidP="00D11AC9">
            <w:pPr>
              <w:pStyle w:val="TableText"/>
              <w:spacing w:before="40" w:after="40"/>
              <w:jc w:val="right"/>
              <w:rPr>
                <w:szCs w:val="16"/>
              </w:rPr>
            </w:pPr>
            <w:r w:rsidRPr="001D5327">
              <w:rPr>
                <w:rFonts w:cs="Calibri"/>
                <w:color w:val="000000"/>
                <w:szCs w:val="16"/>
              </w:rPr>
              <w:t>2.0</w:t>
            </w:r>
          </w:p>
        </w:tc>
      </w:tr>
      <w:tr w:rsidR="00E0181F" w:rsidRPr="001D5327" w14:paraId="23B06521" w14:textId="77777777" w:rsidTr="00D11AC9">
        <w:tc>
          <w:tcPr>
            <w:tcW w:w="1554" w:type="dxa"/>
            <w:tcBorders>
              <w:top w:val="single" w:sz="4" w:space="0" w:color="365F91"/>
              <w:bottom w:val="single" w:sz="4" w:space="0" w:color="365F91"/>
            </w:tcBorders>
          </w:tcPr>
          <w:p w14:paraId="19D8B15B" w14:textId="77777777" w:rsidR="00E0181F" w:rsidRPr="001D5327" w:rsidRDefault="00E0181F" w:rsidP="00D11AC9">
            <w:pPr>
              <w:pStyle w:val="TableText"/>
              <w:spacing w:before="40" w:after="40"/>
            </w:pPr>
            <w:r w:rsidRPr="001D5327">
              <w:t>Perennial cropland</w:t>
            </w:r>
          </w:p>
        </w:tc>
        <w:tc>
          <w:tcPr>
            <w:tcW w:w="1835" w:type="dxa"/>
            <w:tcBorders>
              <w:top w:val="single" w:sz="4" w:space="0" w:color="365F91"/>
              <w:bottom w:val="single" w:sz="4" w:space="0" w:color="365F91"/>
            </w:tcBorders>
            <w:vAlign w:val="bottom"/>
          </w:tcPr>
          <w:p w14:paraId="2918B538" w14:textId="77777777" w:rsidR="00E0181F" w:rsidRPr="001D5327" w:rsidRDefault="00E0181F" w:rsidP="00D11AC9">
            <w:pPr>
              <w:pStyle w:val="TableText"/>
              <w:spacing w:before="40" w:after="40"/>
              <w:jc w:val="right"/>
              <w:rPr>
                <w:szCs w:val="16"/>
              </w:rPr>
            </w:pPr>
            <w:r w:rsidRPr="001D5327">
              <w:rPr>
                <w:rFonts w:cs="Calibri"/>
                <w:color w:val="000000"/>
                <w:szCs w:val="16"/>
              </w:rPr>
              <w:t>62.8</w:t>
            </w:r>
          </w:p>
        </w:tc>
        <w:tc>
          <w:tcPr>
            <w:tcW w:w="2259" w:type="dxa"/>
            <w:tcBorders>
              <w:top w:val="single" w:sz="4" w:space="0" w:color="365F91"/>
              <w:bottom w:val="single" w:sz="4" w:space="0" w:color="365F91"/>
            </w:tcBorders>
            <w:vAlign w:val="bottom"/>
          </w:tcPr>
          <w:p w14:paraId="33ECF1EC" w14:textId="77777777" w:rsidR="00E0181F" w:rsidRPr="001D5327" w:rsidRDefault="00E0181F" w:rsidP="00D11AC9">
            <w:pPr>
              <w:pStyle w:val="TableText"/>
              <w:spacing w:before="40" w:after="40"/>
              <w:jc w:val="right"/>
              <w:rPr>
                <w:szCs w:val="16"/>
              </w:rPr>
            </w:pPr>
            <w:r w:rsidRPr="001D5327">
              <w:rPr>
                <w:rFonts w:cs="Calibri"/>
                <w:color w:val="000000"/>
                <w:szCs w:val="16"/>
              </w:rPr>
              <w:t>147.3</w:t>
            </w:r>
          </w:p>
        </w:tc>
        <w:tc>
          <w:tcPr>
            <w:tcW w:w="2857" w:type="dxa"/>
            <w:tcBorders>
              <w:top w:val="single" w:sz="4" w:space="0" w:color="365F91"/>
              <w:bottom w:val="single" w:sz="4" w:space="0" w:color="365F91"/>
            </w:tcBorders>
            <w:vAlign w:val="bottom"/>
          </w:tcPr>
          <w:p w14:paraId="2409B6A4" w14:textId="77777777" w:rsidR="00E0181F" w:rsidRPr="001D5327" w:rsidRDefault="00E0181F" w:rsidP="00D11AC9">
            <w:pPr>
              <w:pStyle w:val="TableText"/>
              <w:spacing w:before="40" w:after="40"/>
              <w:jc w:val="right"/>
              <w:rPr>
                <w:szCs w:val="16"/>
              </w:rPr>
            </w:pPr>
            <w:r w:rsidRPr="001D5327">
              <w:rPr>
                <w:rFonts w:cs="Calibri"/>
                <w:color w:val="000000"/>
                <w:szCs w:val="16"/>
              </w:rPr>
              <w:t>0.5</w:t>
            </w:r>
          </w:p>
        </w:tc>
      </w:tr>
      <w:tr w:rsidR="00E0181F" w:rsidRPr="001D5327" w14:paraId="77CA0DDE" w14:textId="77777777" w:rsidTr="00D11AC9">
        <w:tc>
          <w:tcPr>
            <w:tcW w:w="1554" w:type="dxa"/>
            <w:tcBorders>
              <w:top w:val="single" w:sz="4" w:space="0" w:color="365F91"/>
              <w:bottom w:val="single" w:sz="4" w:space="0" w:color="365F91"/>
            </w:tcBorders>
          </w:tcPr>
          <w:p w14:paraId="41247BA1" w14:textId="77777777" w:rsidR="00E0181F" w:rsidRPr="001D5327" w:rsidRDefault="00E0181F" w:rsidP="00D11AC9">
            <w:pPr>
              <w:pStyle w:val="TableTextBold"/>
              <w:spacing w:before="40" w:after="40"/>
              <w:rPr>
                <w:noProof w:val="0"/>
                <w:color w:val="1B556B"/>
              </w:rPr>
            </w:pPr>
            <w:r w:rsidRPr="001D5327">
              <w:rPr>
                <w:noProof w:val="0"/>
                <w:color w:val="1B556B"/>
              </w:rPr>
              <w:t xml:space="preserve">Total </w:t>
            </w:r>
          </w:p>
        </w:tc>
        <w:tc>
          <w:tcPr>
            <w:tcW w:w="1835" w:type="dxa"/>
            <w:tcBorders>
              <w:top w:val="single" w:sz="4" w:space="0" w:color="365F91"/>
              <w:bottom w:val="single" w:sz="4" w:space="0" w:color="365F91"/>
            </w:tcBorders>
            <w:vAlign w:val="bottom"/>
          </w:tcPr>
          <w:p w14:paraId="2FA7A4C2" w14:textId="77777777" w:rsidR="00E0181F" w:rsidRPr="001D5327" w:rsidRDefault="00E0181F" w:rsidP="00D11AC9">
            <w:pPr>
              <w:pStyle w:val="TableTextBold"/>
              <w:spacing w:before="40" w:after="40"/>
              <w:jc w:val="right"/>
              <w:rPr>
                <w:noProof w:val="0"/>
                <w:color w:val="1B556B" w:themeColor="text2"/>
              </w:rPr>
            </w:pPr>
            <w:r w:rsidRPr="001D5327">
              <w:rPr>
                <w:rFonts w:cs="Calibri"/>
                <w:noProof w:val="0"/>
                <w:color w:val="1B556B" w:themeColor="text2"/>
              </w:rPr>
              <w:t>722.5</w:t>
            </w:r>
          </w:p>
        </w:tc>
        <w:tc>
          <w:tcPr>
            <w:tcW w:w="2259" w:type="dxa"/>
            <w:tcBorders>
              <w:top w:val="single" w:sz="4" w:space="0" w:color="365F91"/>
              <w:bottom w:val="single" w:sz="4" w:space="0" w:color="365F91"/>
            </w:tcBorders>
            <w:vAlign w:val="bottom"/>
          </w:tcPr>
          <w:p w14:paraId="4D687513" w14:textId="77777777" w:rsidR="00E0181F" w:rsidRPr="001D5327" w:rsidRDefault="00E0181F" w:rsidP="00D11AC9">
            <w:pPr>
              <w:pStyle w:val="TableTextBold"/>
              <w:spacing w:before="40" w:after="40"/>
              <w:jc w:val="right"/>
              <w:rPr>
                <w:noProof w:val="0"/>
                <w:color w:val="1B556B" w:themeColor="text2"/>
              </w:rPr>
            </w:pPr>
            <w:r w:rsidRPr="001D5327">
              <w:rPr>
                <w:rFonts w:cs="Calibri"/>
                <w:noProof w:val="0"/>
                <w:color w:val="1B556B" w:themeColor="text2"/>
              </w:rPr>
              <w:t>57.3</w:t>
            </w:r>
          </w:p>
        </w:tc>
        <w:tc>
          <w:tcPr>
            <w:tcW w:w="2857" w:type="dxa"/>
            <w:tcBorders>
              <w:top w:val="single" w:sz="4" w:space="0" w:color="365F91"/>
              <w:bottom w:val="single" w:sz="4" w:space="0" w:color="365F91"/>
            </w:tcBorders>
            <w:vAlign w:val="bottom"/>
          </w:tcPr>
          <w:p w14:paraId="3B60487F" w14:textId="77777777" w:rsidR="00E0181F" w:rsidRPr="001D5327" w:rsidRDefault="00E0181F" w:rsidP="00D11AC9">
            <w:pPr>
              <w:pStyle w:val="TableTextBold"/>
              <w:spacing w:before="40" w:after="40"/>
              <w:jc w:val="right"/>
              <w:rPr>
                <w:noProof w:val="0"/>
                <w:color w:val="1B556B" w:themeColor="text2"/>
              </w:rPr>
            </w:pPr>
            <w:r w:rsidRPr="001D5327">
              <w:rPr>
                <w:rFonts w:cs="Calibri"/>
                <w:noProof w:val="0"/>
                <w:color w:val="1B556B" w:themeColor="text2"/>
              </w:rPr>
              <w:t>2.0</w:t>
            </w:r>
          </w:p>
        </w:tc>
      </w:tr>
    </w:tbl>
    <w:p w14:paraId="1D8306C5" w14:textId="77777777" w:rsidR="00E0181F" w:rsidRPr="001D5327" w:rsidRDefault="00E0181F" w:rsidP="00E0181F">
      <w:pPr>
        <w:pStyle w:val="Heading3"/>
        <w:spacing w:before="400"/>
      </w:pPr>
      <w:bookmarkStart w:id="2217" w:name="_Toc139253966"/>
      <w:bookmarkStart w:id="2218" w:name="_Toc255466389"/>
      <w:bookmarkStart w:id="2219" w:name="_Toc261513196"/>
      <w:bookmarkStart w:id="2220" w:name="_Toc261513809"/>
      <w:bookmarkStart w:id="2221" w:name="_Toc280630278"/>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r w:rsidRPr="001D5327">
        <w:t>6.5.4</w:t>
      </w:r>
      <w:r w:rsidRPr="001D5327">
        <w:tab/>
        <w:t>Category-specific QA/QC and verification</w:t>
      </w:r>
      <w:bookmarkEnd w:id="2217"/>
      <w:bookmarkEnd w:id="2218"/>
      <w:bookmarkEnd w:id="2219"/>
      <w:bookmarkEnd w:id="2220"/>
      <w:bookmarkEnd w:id="2221"/>
    </w:p>
    <w:p w14:paraId="46A776A1" w14:textId="77777777" w:rsidR="00E0181F" w:rsidRPr="001D5327" w:rsidRDefault="00E0181F" w:rsidP="00E0181F">
      <w:pPr>
        <w:pStyle w:val="BodyText"/>
      </w:pPr>
      <w:r w:rsidRPr="001D5327">
        <w:t>In the preparation of this inventory, the data for CO</w:t>
      </w:r>
      <w:r w:rsidRPr="001D5327">
        <w:rPr>
          <w:vertAlign w:val="subscript"/>
        </w:rPr>
        <w:t>2</w:t>
      </w:r>
      <w:r w:rsidRPr="001D5327">
        <w:t xml:space="preserve"> emissions from the </w:t>
      </w:r>
      <w:r w:rsidRPr="001D5327">
        <w:rPr>
          <w:i/>
        </w:rPr>
        <w:t>Land converted to cropland</w:t>
      </w:r>
      <w:r w:rsidRPr="001D5327">
        <w:t xml:space="preserve"> category underwent Tier 1 quality checks. </w:t>
      </w:r>
      <w:r w:rsidRPr="001D5327">
        <w:rPr>
          <w:i/>
        </w:rPr>
        <w:t>Cropland remaining cropland</w:t>
      </w:r>
      <w:r w:rsidRPr="001D5327">
        <w:t xml:space="preserve"> and </w:t>
      </w:r>
      <w:r w:rsidRPr="001D5327">
        <w:rPr>
          <w:rFonts w:cs="Calibri"/>
          <w:i/>
          <w:iCs/>
          <w:color w:val="000000"/>
        </w:rPr>
        <w:t>Land converted to cropland</w:t>
      </w:r>
      <w:r w:rsidRPr="001D5327">
        <w:t xml:space="preserve"> were identified as key categories for the level and trend assessment </w:t>
      </w:r>
      <w:r w:rsidRPr="001D5327">
        <w:lastRenderedPageBreak/>
        <w:t>in 2023. As part of verification of the New Zealand-specific above-ground biomass emission factor for perennial cropland, this factor has been compared with the IPCC default for temperate perennial cropland (table 5.1, IPCC, 2006a). The New Zealand value for above-</w:t>
      </w:r>
      <w:r w:rsidRPr="001D5327">
        <w:rPr>
          <w:spacing w:val="-2"/>
        </w:rPr>
        <w:t>ground biomass of 18.76 tonnes C ha</w:t>
      </w:r>
      <w:r w:rsidRPr="001D5327">
        <w:rPr>
          <w:spacing w:val="-2"/>
          <w:vertAlign w:val="superscript"/>
        </w:rPr>
        <w:t xml:space="preserve">–1 </w:t>
      </w:r>
      <w:r w:rsidRPr="001D5327">
        <w:rPr>
          <w:spacing w:val="-2"/>
        </w:rPr>
        <w:t>is much lower than the default value of 63 tonnes C ha</w:t>
      </w:r>
      <w:r w:rsidRPr="001D5327">
        <w:rPr>
          <w:spacing w:val="-2"/>
          <w:vertAlign w:val="superscript"/>
        </w:rPr>
        <w:t>–1</w:t>
      </w:r>
      <w:r w:rsidRPr="001D5327">
        <w:t xml:space="preserve"> provided in the 2006 IPCC Guidelines (IPCC, 2006a). Further research into the differences between the values has shown the IPCC default value is based on just four studies of agroforestry systems where crops are grown in rotation with trees and none of these studies is New Zealand specific. The country-specific emission factor used is based on a New Zealand study, taking into account that New Zealand’s main perennial crops are not grown in rotation with trees (i.e., are not part of an agroforestry system) and that a significant proportion of New Zealand’s main perennial crops are vine fruit, such as</w:t>
      </w:r>
      <w:r w:rsidRPr="001D5327" w:rsidDel="00563489">
        <w:t xml:space="preserve"> </w:t>
      </w:r>
      <w:r w:rsidRPr="001D5327">
        <w:t>kiwifruit and grapes (Davis and Wakelin, unpublished). This means</w:t>
      </w:r>
      <w:r w:rsidRPr="001D5327" w:rsidDel="00563489">
        <w:t xml:space="preserve"> </w:t>
      </w:r>
      <w:r w:rsidRPr="001D5327">
        <w:t xml:space="preserve">the country-specific value has lower carbon stocks per hectare in living biomass at maturity than the </w:t>
      </w:r>
      <w:r w:rsidRPr="001D5327">
        <w:rPr>
          <w:i/>
        </w:rPr>
        <w:t>Cropland</w:t>
      </w:r>
      <w:r w:rsidRPr="001D5327">
        <w:t xml:space="preserve"> types included in the study on which the IPCC default value is based. </w:t>
      </w:r>
    </w:p>
    <w:p w14:paraId="217EC7C5" w14:textId="77777777" w:rsidR="00E0181F" w:rsidRPr="001D5327" w:rsidRDefault="00E0181F" w:rsidP="00E0181F">
      <w:pPr>
        <w:pStyle w:val="Heading3"/>
        <w:spacing w:before="320"/>
      </w:pPr>
      <w:bookmarkStart w:id="2222" w:name="_Toc139253967"/>
      <w:bookmarkStart w:id="2223" w:name="_Toc255466390"/>
      <w:bookmarkStart w:id="2224" w:name="_Toc261513197"/>
      <w:bookmarkStart w:id="2225" w:name="_Toc261513810"/>
      <w:bookmarkStart w:id="2226" w:name="_Toc280630279"/>
      <w:r w:rsidRPr="001D5327">
        <w:t>6.5.5</w:t>
      </w:r>
      <w:r w:rsidRPr="001D5327">
        <w:tab/>
        <w:t>Category-specific recalculations</w:t>
      </w:r>
      <w:bookmarkEnd w:id="2222"/>
      <w:bookmarkEnd w:id="2223"/>
      <w:bookmarkEnd w:id="2224"/>
      <w:bookmarkEnd w:id="2225"/>
      <w:bookmarkEnd w:id="2226"/>
    </w:p>
    <w:p w14:paraId="17C29CC5" w14:textId="77777777" w:rsidR="00E0181F" w:rsidRPr="001D5327" w:rsidRDefault="00E0181F" w:rsidP="00E0181F">
      <w:pPr>
        <w:pStyle w:val="BodyText"/>
      </w:pPr>
      <w:r w:rsidRPr="001D5327">
        <w:t>Recalculations of the entire time series were carried out for this category as a result of updated activity data resulting from minor improvements to land use mapping. The impact of recalculations on net CO</w:t>
      </w:r>
      <w:r w:rsidRPr="001D5327">
        <w:rPr>
          <w:vertAlign w:val="subscript"/>
        </w:rPr>
        <w:t>2</w:t>
      </w:r>
      <w:r w:rsidRPr="001D5327">
        <w:t xml:space="preserve">-e emission estimates for the </w:t>
      </w:r>
      <w:r w:rsidRPr="001D5327">
        <w:rPr>
          <w:i/>
        </w:rPr>
        <w:t>Cropland</w:t>
      </w:r>
      <w:r w:rsidRPr="001D5327">
        <w:t xml:space="preserve"> category is shown in table 6.5.7.</w:t>
      </w:r>
    </w:p>
    <w:p w14:paraId="200500FE" w14:textId="77777777" w:rsidR="00E0181F" w:rsidRPr="001D5327" w:rsidRDefault="00E0181F" w:rsidP="00E0181F">
      <w:pPr>
        <w:pStyle w:val="Table"/>
      </w:pPr>
      <w:bookmarkStart w:id="2227" w:name="_Toc280630464"/>
      <w:bookmarkStart w:id="2228" w:name="_Toc310423420"/>
      <w:bookmarkStart w:id="2229" w:name="_Toc318362713"/>
      <w:bookmarkStart w:id="2230" w:name="_Toc342470775"/>
      <w:bookmarkStart w:id="2231" w:name="_Toc352505015"/>
      <w:bookmarkStart w:id="2232" w:name="_Toc378853306"/>
      <w:bookmarkStart w:id="2233" w:name="_Toc391024104"/>
      <w:bookmarkStart w:id="2234" w:name="_Toc410028847"/>
      <w:bookmarkStart w:id="2235" w:name="_Toc414531475"/>
      <w:bookmarkStart w:id="2236" w:name="_Toc443645388"/>
      <w:bookmarkStart w:id="2237" w:name="_Toc474914607"/>
      <w:bookmarkStart w:id="2238" w:name="_Toc481751571"/>
      <w:bookmarkStart w:id="2239" w:name="_Toc522010628"/>
      <w:bookmarkStart w:id="2240" w:name="_Toc5269533"/>
      <w:bookmarkStart w:id="2241" w:name="_Toc33529407"/>
      <w:bookmarkStart w:id="2242" w:name="_Toc36224613"/>
      <w:bookmarkStart w:id="2243" w:name="_Toc65243610"/>
      <w:bookmarkStart w:id="2244" w:name="_Toc131591407"/>
      <w:bookmarkStart w:id="2245" w:name="_Toc158979965"/>
      <w:bookmarkStart w:id="2246" w:name="_Toc164153898"/>
      <w:bookmarkStart w:id="2247" w:name="_Toc190873132"/>
      <w:bookmarkStart w:id="2248" w:name="_Toc194241771"/>
      <w:r w:rsidRPr="001D5327">
        <w:t>Table 6.5.7</w:t>
      </w:r>
      <w:r w:rsidRPr="001D5327">
        <w:tab/>
        <w:t xml:space="preserve">Recalculations of New Zealand’s net emissions from the </w:t>
      </w:r>
      <w:r w:rsidRPr="001D5327">
        <w:rPr>
          <w:i/>
        </w:rPr>
        <w:t>Cropland</w:t>
      </w:r>
      <w:r w:rsidRPr="001D5327">
        <w:t xml:space="preserve"> category in 1990 and</w:t>
      </w:r>
      <w:bookmarkEnd w:id="2227"/>
      <w:bookmarkEnd w:id="2228"/>
      <w:bookmarkEnd w:id="2229"/>
      <w:bookmarkEnd w:id="2230"/>
      <w:bookmarkEnd w:id="2231"/>
      <w:bookmarkEnd w:id="2232"/>
      <w:bookmarkEnd w:id="2233"/>
      <w:r w:rsidRPr="001D5327">
        <w:t> </w:t>
      </w:r>
      <w:bookmarkEnd w:id="2234"/>
      <w:bookmarkEnd w:id="2235"/>
      <w:bookmarkEnd w:id="2236"/>
      <w:bookmarkEnd w:id="2237"/>
      <w:bookmarkEnd w:id="2238"/>
      <w:bookmarkEnd w:id="2239"/>
      <w:bookmarkEnd w:id="2240"/>
      <w:bookmarkEnd w:id="2241"/>
      <w:bookmarkEnd w:id="2242"/>
      <w:bookmarkEnd w:id="2243"/>
      <w:bookmarkEnd w:id="2244"/>
      <w:bookmarkEnd w:id="2245"/>
      <w:bookmarkEnd w:id="2246"/>
      <w:r w:rsidRPr="001D5327">
        <w:t>2022</w:t>
      </w:r>
      <w:bookmarkEnd w:id="2247"/>
      <w:bookmarkEnd w:id="2248"/>
      <w:r w:rsidRPr="001D5327">
        <w:t xml:space="preserve"> </w:t>
      </w:r>
    </w:p>
    <w:tbl>
      <w:tblPr>
        <w:tblW w:w="8504"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268"/>
        <w:gridCol w:w="1413"/>
        <w:gridCol w:w="1417"/>
        <w:gridCol w:w="2410"/>
        <w:gridCol w:w="996"/>
      </w:tblGrid>
      <w:tr w:rsidR="00E0181F" w:rsidRPr="001D5327" w14:paraId="64F1F056" w14:textId="77777777" w:rsidTr="00D11AC9">
        <w:trPr>
          <w:tblHeader/>
        </w:trPr>
        <w:tc>
          <w:tcPr>
            <w:tcW w:w="2268" w:type="dxa"/>
            <w:shd w:val="clear" w:color="auto" w:fill="1B556B"/>
            <w:tcMar>
              <w:top w:w="0" w:type="dxa"/>
              <w:left w:w="85" w:type="dxa"/>
              <w:bottom w:w="0" w:type="dxa"/>
              <w:right w:w="85" w:type="dxa"/>
            </w:tcMar>
          </w:tcPr>
          <w:p w14:paraId="7B03D86D" w14:textId="77777777" w:rsidR="00E0181F" w:rsidRPr="001D5327" w:rsidRDefault="00E0181F" w:rsidP="00D11AC9">
            <w:pPr>
              <w:pStyle w:val="TableTextBold"/>
              <w:spacing w:before="40" w:after="40"/>
              <w:rPr>
                <w:noProof w:val="0"/>
                <w:color w:val="FFFFFF" w:themeColor="background1"/>
              </w:rPr>
            </w:pPr>
          </w:p>
        </w:tc>
        <w:tc>
          <w:tcPr>
            <w:tcW w:w="1413" w:type="dxa"/>
            <w:shd w:val="clear" w:color="auto" w:fill="1B556B"/>
            <w:tcMar>
              <w:top w:w="0" w:type="dxa"/>
              <w:left w:w="85" w:type="dxa"/>
              <w:bottom w:w="0" w:type="dxa"/>
              <w:right w:w="85" w:type="dxa"/>
            </w:tcMar>
          </w:tcPr>
          <w:p w14:paraId="5D92CABA"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2024 submission</w:t>
            </w:r>
          </w:p>
        </w:tc>
        <w:tc>
          <w:tcPr>
            <w:tcW w:w="1417" w:type="dxa"/>
            <w:shd w:val="clear" w:color="auto" w:fill="1B556B"/>
            <w:tcMar>
              <w:top w:w="0" w:type="dxa"/>
              <w:left w:w="85" w:type="dxa"/>
              <w:bottom w:w="0" w:type="dxa"/>
              <w:right w:w="85" w:type="dxa"/>
            </w:tcMar>
          </w:tcPr>
          <w:p w14:paraId="63782898"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2025 submission</w:t>
            </w:r>
          </w:p>
        </w:tc>
        <w:tc>
          <w:tcPr>
            <w:tcW w:w="2410" w:type="dxa"/>
            <w:shd w:val="clear" w:color="auto" w:fill="1B556B"/>
            <w:tcMar>
              <w:top w:w="0" w:type="dxa"/>
              <w:left w:w="85" w:type="dxa"/>
              <w:bottom w:w="0" w:type="dxa"/>
              <w:right w:w="85" w:type="dxa"/>
            </w:tcMar>
          </w:tcPr>
          <w:p w14:paraId="13BA460F"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Change from 2024 submission</w:t>
            </w:r>
          </w:p>
        </w:tc>
        <w:tc>
          <w:tcPr>
            <w:tcW w:w="996" w:type="dxa"/>
            <w:shd w:val="clear" w:color="auto" w:fill="1B556B"/>
            <w:tcMar>
              <w:top w:w="0" w:type="dxa"/>
              <w:left w:w="85" w:type="dxa"/>
              <w:bottom w:w="0" w:type="dxa"/>
              <w:right w:w="85" w:type="dxa"/>
            </w:tcMar>
          </w:tcPr>
          <w:p w14:paraId="6C1E6412"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Change (%)</w:t>
            </w:r>
          </w:p>
        </w:tc>
      </w:tr>
      <w:tr w:rsidR="00E0181F" w:rsidRPr="001D5327" w14:paraId="5469AE1E" w14:textId="77777777" w:rsidTr="00D11AC9">
        <w:tc>
          <w:tcPr>
            <w:tcW w:w="2268" w:type="dxa"/>
            <w:shd w:val="clear" w:color="auto" w:fill="FFFFFF"/>
            <w:tcMar>
              <w:top w:w="0" w:type="dxa"/>
              <w:left w:w="85" w:type="dxa"/>
              <w:bottom w:w="0" w:type="dxa"/>
              <w:right w:w="85" w:type="dxa"/>
            </w:tcMar>
          </w:tcPr>
          <w:p w14:paraId="309DFF5D" w14:textId="77777777" w:rsidR="00E0181F" w:rsidRPr="001D5327" w:rsidRDefault="00E0181F" w:rsidP="00D11AC9">
            <w:pPr>
              <w:pStyle w:val="Tableboldblue"/>
              <w:spacing w:before="40" w:after="40"/>
            </w:pPr>
            <w:r w:rsidRPr="001D5327">
              <w:rPr>
                <w:rFonts w:eastAsia="Calibri"/>
              </w:rPr>
              <w:t>Net emissions (kt CO</w:t>
            </w:r>
            <w:r w:rsidRPr="001D5327">
              <w:rPr>
                <w:rFonts w:eastAsia="Calibri"/>
                <w:vertAlign w:val="subscript"/>
              </w:rPr>
              <w:t>2</w:t>
            </w:r>
            <w:r w:rsidRPr="001D5327">
              <w:rPr>
                <w:rFonts w:eastAsia="Calibri"/>
              </w:rPr>
              <w:t>-e)</w:t>
            </w:r>
          </w:p>
        </w:tc>
        <w:tc>
          <w:tcPr>
            <w:tcW w:w="1413" w:type="dxa"/>
            <w:shd w:val="clear" w:color="auto" w:fill="FFFFFF"/>
            <w:tcMar>
              <w:top w:w="0" w:type="dxa"/>
              <w:left w:w="85" w:type="dxa"/>
              <w:bottom w:w="0" w:type="dxa"/>
              <w:right w:w="85" w:type="dxa"/>
            </w:tcMar>
          </w:tcPr>
          <w:p w14:paraId="385A70BF" w14:textId="77777777" w:rsidR="00E0181F" w:rsidRPr="001D5327" w:rsidRDefault="00E0181F" w:rsidP="00D11AC9">
            <w:pPr>
              <w:pStyle w:val="Tableboldblue"/>
              <w:spacing w:before="40" w:after="40"/>
              <w:jc w:val="right"/>
            </w:pPr>
          </w:p>
        </w:tc>
        <w:tc>
          <w:tcPr>
            <w:tcW w:w="1417" w:type="dxa"/>
            <w:shd w:val="clear" w:color="auto" w:fill="FFFFFF"/>
            <w:tcMar>
              <w:top w:w="0" w:type="dxa"/>
              <w:left w:w="85" w:type="dxa"/>
              <w:bottom w:w="0" w:type="dxa"/>
              <w:right w:w="85" w:type="dxa"/>
            </w:tcMar>
          </w:tcPr>
          <w:p w14:paraId="00A420B0" w14:textId="77777777" w:rsidR="00E0181F" w:rsidRPr="001D5327" w:rsidRDefault="00E0181F" w:rsidP="00D11AC9">
            <w:pPr>
              <w:pStyle w:val="Tableboldblue"/>
              <w:spacing w:before="40" w:after="40"/>
              <w:jc w:val="right"/>
            </w:pPr>
          </w:p>
        </w:tc>
        <w:tc>
          <w:tcPr>
            <w:tcW w:w="2410" w:type="dxa"/>
            <w:shd w:val="clear" w:color="auto" w:fill="FFFFFF"/>
            <w:tcMar>
              <w:top w:w="0" w:type="dxa"/>
              <w:left w:w="85" w:type="dxa"/>
              <w:bottom w:w="0" w:type="dxa"/>
              <w:right w:w="85" w:type="dxa"/>
            </w:tcMar>
          </w:tcPr>
          <w:p w14:paraId="3386B67D" w14:textId="77777777" w:rsidR="00E0181F" w:rsidRPr="001D5327" w:rsidRDefault="00E0181F" w:rsidP="00D11AC9">
            <w:pPr>
              <w:pStyle w:val="Tableboldblue"/>
              <w:spacing w:before="40" w:after="40"/>
              <w:jc w:val="right"/>
            </w:pPr>
          </w:p>
        </w:tc>
        <w:tc>
          <w:tcPr>
            <w:tcW w:w="996" w:type="dxa"/>
            <w:shd w:val="clear" w:color="auto" w:fill="FFFFFF"/>
            <w:tcMar>
              <w:top w:w="0" w:type="dxa"/>
              <w:left w:w="85" w:type="dxa"/>
              <w:bottom w:w="0" w:type="dxa"/>
              <w:right w:w="85" w:type="dxa"/>
            </w:tcMar>
          </w:tcPr>
          <w:p w14:paraId="521395E1" w14:textId="77777777" w:rsidR="00E0181F" w:rsidRPr="001D5327" w:rsidRDefault="00E0181F" w:rsidP="00D11AC9">
            <w:pPr>
              <w:pStyle w:val="Tableboldblue"/>
              <w:spacing w:before="40" w:after="40"/>
              <w:jc w:val="right"/>
            </w:pPr>
          </w:p>
        </w:tc>
      </w:tr>
      <w:tr w:rsidR="00E0181F" w:rsidRPr="001D5327" w14:paraId="45EDFE00" w14:textId="77777777" w:rsidTr="00D11AC9">
        <w:tc>
          <w:tcPr>
            <w:tcW w:w="2268" w:type="dxa"/>
            <w:shd w:val="clear" w:color="auto" w:fill="FFFFFF"/>
            <w:tcMar>
              <w:top w:w="0" w:type="dxa"/>
              <w:left w:w="85" w:type="dxa"/>
              <w:bottom w:w="0" w:type="dxa"/>
              <w:right w:w="85" w:type="dxa"/>
            </w:tcMar>
          </w:tcPr>
          <w:p w14:paraId="7549A118" w14:textId="77777777" w:rsidR="00E0181F" w:rsidRPr="001D5327" w:rsidRDefault="00E0181F" w:rsidP="00D11AC9">
            <w:pPr>
              <w:pStyle w:val="TableText"/>
              <w:spacing w:before="40" w:after="40"/>
            </w:pPr>
            <w:r w:rsidRPr="001D5327">
              <w:rPr>
                <w:rFonts w:eastAsia="Calibri"/>
              </w:rPr>
              <w:t>1990</w:t>
            </w:r>
          </w:p>
        </w:tc>
        <w:tc>
          <w:tcPr>
            <w:tcW w:w="1413" w:type="dxa"/>
            <w:shd w:val="clear" w:color="auto" w:fill="FFFFFF"/>
            <w:tcMar>
              <w:top w:w="0" w:type="dxa"/>
              <w:left w:w="85" w:type="dxa"/>
              <w:bottom w:w="0" w:type="dxa"/>
              <w:right w:w="85" w:type="dxa"/>
            </w:tcMar>
          </w:tcPr>
          <w:p w14:paraId="24B5FAA6" w14:textId="77777777" w:rsidR="00E0181F" w:rsidRPr="001D5327" w:rsidRDefault="00E0181F" w:rsidP="00D11AC9">
            <w:pPr>
              <w:pStyle w:val="TableText"/>
              <w:spacing w:before="40" w:after="40"/>
              <w:jc w:val="right"/>
            </w:pPr>
            <w:r w:rsidRPr="001D5327">
              <w:rPr>
                <w:rFonts w:eastAsia="Calibri"/>
              </w:rPr>
              <w:t>476.3</w:t>
            </w:r>
          </w:p>
        </w:tc>
        <w:tc>
          <w:tcPr>
            <w:tcW w:w="1417" w:type="dxa"/>
            <w:shd w:val="clear" w:color="auto" w:fill="FFFFFF"/>
            <w:tcMar>
              <w:top w:w="0" w:type="dxa"/>
              <w:left w:w="85" w:type="dxa"/>
              <w:bottom w:w="0" w:type="dxa"/>
              <w:right w:w="85" w:type="dxa"/>
            </w:tcMar>
          </w:tcPr>
          <w:p w14:paraId="745D7F8E" w14:textId="77777777" w:rsidR="00E0181F" w:rsidRPr="001D5327" w:rsidRDefault="00E0181F" w:rsidP="00D11AC9">
            <w:pPr>
              <w:pStyle w:val="TableText"/>
              <w:spacing w:before="40" w:after="40"/>
              <w:jc w:val="right"/>
            </w:pPr>
            <w:r w:rsidRPr="001D5327">
              <w:rPr>
                <w:rFonts w:eastAsia="Calibri"/>
              </w:rPr>
              <w:t>478.3</w:t>
            </w:r>
          </w:p>
        </w:tc>
        <w:tc>
          <w:tcPr>
            <w:tcW w:w="2410" w:type="dxa"/>
            <w:shd w:val="clear" w:color="auto" w:fill="FFFFFF"/>
            <w:tcMar>
              <w:top w:w="0" w:type="dxa"/>
              <w:left w:w="85" w:type="dxa"/>
              <w:bottom w:w="0" w:type="dxa"/>
              <w:right w:w="85" w:type="dxa"/>
            </w:tcMar>
          </w:tcPr>
          <w:p w14:paraId="41F34ED7" w14:textId="77777777" w:rsidR="00E0181F" w:rsidRPr="001D5327" w:rsidRDefault="00E0181F" w:rsidP="00D11AC9">
            <w:pPr>
              <w:pStyle w:val="TableText"/>
              <w:spacing w:before="40" w:after="40"/>
              <w:jc w:val="right"/>
            </w:pPr>
            <w:r w:rsidRPr="001D5327">
              <w:rPr>
                <w:rFonts w:eastAsia="Calibri"/>
              </w:rPr>
              <w:t>2.0</w:t>
            </w:r>
          </w:p>
        </w:tc>
        <w:tc>
          <w:tcPr>
            <w:tcW w:w="996" w:type="dxa"/>
            <w:shd w:val="clear" w:color="auto" w:fill="FFFFFF"/>
            <w:tcMar>
              <w:top w:w="0" w:type="dxa"/>
              <w:left w:w="85" w:type="dxa"/>
              <w:bottom w:w="0" w:type="dxa"/>
              <w:right w:w="85" w:type="dxa"/>
            </w:tcMar>
          </w:tcPr>
          <w:p w14:paraId="2E246972" w14:textId="77777777" w:rsidR="00E0181F" w:rsidRPr="001D5327" w:rsidRDefault="00E0181F" w:rsidP="00D11AC9">
            <w:pPr>
              <w:pStyle w:val="TableText"/>
              <w:spacing w:before="40" w:after="40"/>
              <w:jc w:val="right"/>
            </w:pPr>
            <w:r w:rsidRPr="001D5327">
              <w:rPr>
                <w:rFonts w:eastAsia="Calibri"/>
              </w:rPr>
              <w:t>0.4</w:t>
            </w:r>
          </w:p>
        </w:tc>
      </w:tr>
      <w:tr w:rsidR="00E0181F" w:rsidRPr="001D5327" w14:paraId="65804E9C" w14:textId="77777777" w:rsidTr="00D11AC9">
        <w:tc>
          <w:tcPr>
            <w:tcW w:w="2268" w:type="dxa"/>
            <w:shd w:val="clear" w:color="auto" w:fill="FFFFFF"/>
            <w:tcMar>
              <w:top w:w="0" w:type="dxa"/>
              <w:left w:w="85" w:type="dxa"/>
              <w:bottom w:w="0" w:type="dxa"/>
              <w:right w:w="85" w:type="dxa"/>
            </w:tcMar>
          </w:tcPr>
          <w:p w14:paraId="563619B2" w14:textId="77777777" w:rsidR="00E0181F" w:rsidRPr="001D5327" w:rsidRDefault="00E0181F" w:rsidP="00D11AC9">
            <w:pPr>
              <w:pStyle w:val="TableText"/>
              <w:spacing w:before="40" w:after="40"/>
            </w:pPr>
            <w:r w:rsidRPr="001D5327">
              <w:rPr>
                <w:rFonts w:eastAsia="Calibri"/>
              </w:rPr>
              <w:t>2022</w:t>
            </w:r>
          </w:p>
        </w:tc>
        <w:tc>
          <w:tcPr>
            <w:tcW w:w="1413" w:type="dxa"/>
            <w:shd w:val="clear" w:color="auto" w:fill="FFFFFF"/>
            <w:tcMar>
              <w:top w:w="0" w:type="dxa"/>
              <w:left w:w="85" w:type="dxa"/>
              <w:bottom w:w="0" w:type="dxa"/>
              <w:right w:w="85" w:type="dxa"/>
            </w:tcMar>
          </w:tcPr>
          <w:p w14:paraId="74849761" w14:textId="77777777" w:rsidR="00E0181F" w:rsidRPr="001D5327" w:rsidRDefault="00E0181F" w:rsidP="00D11AC9">
            <w:pPr>
              <w:pStyle w:val="TableText"/>
              <w:spacing w:before="40" w:after="40"/>
              <w:jc w:val="right"/>
            </w:pPr>
            <w:r w:rsidRPr="001D5327">
              <w:rPr>
                <w:rFonts w:eastAsia="Calibri"/>
              </w:rPr>
              <w:t>711.9</w:t>
            </w:r>
          </w:p>
        </w:tc>
        <w:tc>
          <w:tcPr>
            <w:tcW w:w="1417" w:type="dxa"/>
            <w:shd w:val="clear" w:color="auto" w:fill="FFFFFF"/>
            <w:tcMar>
              <w:top w:w="0" w:type="dxa"/>
              <w:left w:w="85" w:type="dxa"/>
              <w:bottom w:w="0" w:type="dxa"/>
              <w:right w:w="85" w:type="dxa"/>
            </w:tcMar>
          </w:tcPr>
          <w:p w14:paraId="1DB05CA7" w14:textId="77777777" w:rsidR="00E0181F" w:rsidRPr="001D5327" w:rsidRDefault="00E0181F" w:rsidP="00D11AC9">
            <w:pPr>
              <w:pStyle w:val="TableText"/>
              <w:spacing w:before="40" w:after="40"/>
              <w:jc w:val="right"/>
            </w:pPr>
            <w:r w:rsidRPr="001D5327">
              <w:rPr>
                <w:rFonts w:eastAsia="Calibri"/>
              </w:rPr>
              <w:t>709.1</w:t>
            </w:r>
          </w:p>
        </w:tc>
        <w:tc>
          <w:tcPr>
            <w:tcW w:w="2410" w:type="dxa"/>
            <w:shd w:val="clear" w:color="auto" w:fill="FFFFFF"/>
            <w:tcMar>
              <w:top w:w="0" w:type="dxa"/>
              <w:left w:w="85" w:type="dxa"/>
              <w:bottom w:w="0" w:type="dxa"/>
              <w:right w:w="85" w:type="dxa"/>
            </w:tcMar>
          </w:tcPr>
          <w:p w14:paraId="11DF2240" w14:textId="7DAFEB0F" w:rsidR="00E0181F" w:rsidRPr="001D5327" w:rsidRDefault="0070503C" w:rsidP="00D11AC9">
            <w:pPr>
              <w:pStyle w:val="TableText"/>
              <w:spacing w:before="40" w:after="40"/>
              <w:jc w:val="right"/>
            </w:pPr>
            <w:r>
              <w:rPr>
                <w:rFonts w:eastAsia="Calibri"/>
              </w:rPr>
              <w:t>-</w:t>
            </w:r>
            <w:r w:rsidR="00E0181F" w:rsidRPr="001D5327">
              <w:rPr>
                <w:rFonts w:eastAsia="Calibri"/>
              </w:rPr>
              <w:t>2.8</w:t>
            </w:r>
          </w:p>
        </w:tc>
        <w:tc>
          <w:tcPr>
            <w:tcW w:w="996" w:type="dxa"/>
            <w:shd w:val="clear" w:color="auto" w:fill="FFFFFF"/>
            <w:tcMar>
              <w:top w:w="0" w:type="dxa"/>
              <w:left w:w="85" w:type="dxa"/>
              <w:bottom w:w="0" w:type="dxa"/>
              <w:right w:w="85" w:type="dxa"/>
            </w:tcMar>
          </w:tcPr>
          <w:p w14:paraId="3831B1D7" w14:textId="18603624" w:rsidR="00E0181F" w:rsidRPr="001D5327" w:rsidRDefault="0070503C" w:rsidP="00D11AC9">
            <w:pPr>
              <w:pStyle w:val="TableText"/>
              <w:spacing w:before="40" w:after="40"/>
              <w:jc w:val="right"/>
            </w:pPr>
            <w:r>
              <w:rPr>
                <w:rFonts w:eastAsia="Calibri"/>
              </w:rPr>
              <w:t>-</w:t>
            </w:r>
            <w:r w:rsidR="00E0181F" w:rsidRPr="001D5327">
              <w:rPr>
                <w:rFonts w:eastAsia="Calibri"/>
              </w:rPr>
              <w:t>0.4</w:t>
            </w:r>
          </w:p>
        </w:tc>
      </w:tr>
      <w:tr w:rsidR="00E0181F" w:rsidRPr="001D5327" w14:paraId="1B1C1FFE" w14:textId="77777777" w:rsidTr="00D11AC9">
        <w:tc>
          <w:tcPr>
            <w:tcW w:w="2268" w:type="dxa"/>
            <w:shd w:val="clear" w:color="auto" w:fill="FFFFFF"/>
            <w:tcMar>
              <w:top w:w="0" w:type="dxa"/>
              <w:left w:w="85" w:type="dxa"/>
              <w:bottom w:w="0" w:type="dxa"/>
              <w:right w:w="85" w:type="dxa"/>
            </w:tcMar>
          </w:tcPr>
          <w:p w14:paraId="065497C8" w14:textId="77777777" w:rsidR="00E0181F" w:rsidRPr="001D5327" w:rsidRDefault="00E0181F" w:rsidP="00D11AC9">
            <w:pPr>
              <w:pStyle w:val="Tableboldblue"/>
              <w:spacing w:before="40" w:after="40"/>
            </w:pPr>
            <w:r w:rsidRPr="001D5327">
              <w:rPr>
                <w:rFonts w:eastAsia="Calibri"/>
              </w:rPr>
              <w:t>Area (hectares)</w:t>
            </w:r>
          </w:p>
        </w:tc>
        <w:tc>
          <w:tcPr>
            <w:tcW w:w="1413" w:type="dxa"/>
            <w:shd w:val="clear" w:color="auto" w:fill="FFFFFF"/>
            <w:tcMar>
              <w:top w:w="0" w:type="dxa"/>
              <w:left w:w="85" w:type="dxa"/>
              <w:bottom w:w="0" w:type="dxa"/>
              <w:right w:w="85" w:type="dxa"/>
            </w:tcMar>
          </w:tcPr>
          <w:p w14:paraId="764F96B7" w14:textId="77777777" w:rsidR="00E0181F" w:rsidRPr="001D5327" w:rsidRDefault="00E0181F" w:rsidP="00D11AC9">
            <w:pPr>
              <w:pStyle w:val="Tableboldblue"/>
              <w:spacing w:before="40" w:after="40"/>
              <w:jc w:val="right"/>
            </w:pPr>
          </w:p>
        </w:tc>
        <w:tc>
          <w:tcPr>
            <w:tcW w:w="1417" w:type="dxa"/>
            <w:shd w:val="clear" w:color="auto" w:fill="FFFFFF"/>
            <w:tcMar>
              <w:top w:w="0" w:type="dxa"/>
              <w:left w:w="85" w:type="dxa"/>
              <w:bottom w:w="0" w:type="dxa"/>
              <w:right w:w="85" w:type="dxa"/>
            </w:tcMar>
          </w:tcPr>
          <w:p w14:paraId="6655DA1F" w14:textId="77777777" w:rsidR="00E0181F" w:rsidRPr="001D5327" w:rsidRDefault="00E0181F" w:rsidP="00D11AC9">
            <w:pPr>
              <w:pStyle w:val="Tableboldblue"/>
              <w:spacing w:before="40" w:after="40"/>
              <w:jc w:val="right"/>
            </w:pPr>
          </w:p>
        </w:tc>
        <w:tc>
          <w:tcPr>
            <w:tcW w:w="2410" w:type="dxa"/>
            <w:shd w:val="clear" w:color="auto" w:fill="FFFFFF"/>
            <w:tcMar>
              <w:top w:w="0" w:type="dxa"/>
              <w:left w:w="85" w:type="dxa"/>
              <w:bottom w:w="0" w:type="dxa"/>
              <w:right w:w="85" w:type="dxa"/>
            </w:tcMar>
          </w:tcPr>
          <w:p w14:paraId="069DC9FB" w14:textId="77777777" w:rsidR="00E0181F" w:rsidRPr="001D5327" w:rsidRDefault="00E0181F" w:rsidP="00D11AC9">
            <w:pPr>
              <w:pStyle w:val="Tableboldblue"/>
              <w:spacing w:before="40" w:after="40"/>
              <w:jc w:val="right"/>
            </w:pPr>
          </w:p>
        </w:tc>
        <w:tc>
          <w:tcPr>
            <w:tcW w:w="996" w:type="dxa"/>
            <w:shd w:val="clear" w:color="auto" w:fill="FFFFFF"/>
            <w:tcMar>
              <w:top w:w="0" w:type="dxa"/>
              <w:left w:w="85" w:type="dxa"/>
              <w:bottom w:w="0" w:type="dxa"/>
              <w:right w:w="85" w:type="dxa"/>
            </w:tcMar>
          </w:tcPr>
          <w:p w14:paraId="6E5A592E" w14:textId="77777777" w:rsidR="00E0181F" w:rsidRPr="001D5327" w:rsidRDefault="00E0181F" w:rsidP="00D11AC9">
            <w:pPr>
              <w:pStyle w:val="Tableboldblue"/>
              <w:spacing w:before="40" w:after="40"/>
              <w:jc w:val="right"/>
            </w:pPr>
          </w:p>
        </w:tc>
      </w:tr>
      <w:tr w:rsidR="00E0181F" w:rsidRPr="001D5327" w14:paraId="3D8F5D90" w14:textId="77777777" w:rsidTr="00D11AC9">
        <w:tc>
          <w:tcPr>
            <w:tcW w:w="2268" w:type="dxa"/>
            <w:shd w:val="clear" w:color="auto" w:fill="FFFFFF"/>
            <w:tcMar>
              <w:top w:w="0" w:type="dxa"/>
              <w:left w:w="85" w:type="dxa"/>
              <w:bottom w:w="0" w:type="dxa"/>
              <w:right w:w="85" w:type="dxa"/>
            </w:tcMar>
          </w:tcPr>
          <w:p w14:paraId="21040481" w14:textId="77777777" w:rsidR="00E0181F" w:rsidRPr="001D5327" w:rsidRDefault="00E0181F" w:rsidP="00D11AC9">
            <w:pPr>
              <w:pStyle w:val="TableText"/>
              <w:spacing w:before="40" w:after="40"/>
            </w:pPr>
            <w:r w:rsidRPr="001D5327">
              <w:rPr>
                <w:rFonts w:eastAsia="Calibri"/>
              </w:rPr>
              <w:t>1990</w:t>
            </w:r>
          </w:p>
        </w:tc>
        <w:tc>
          <w:tcPr>
            <w:tcW w:w="1413" w:type="dxa"/>
            <w:shd w:val="clear" w:color="auto" w:fill="FFFFFF"/>
            <w:tcMar>
              <w:top w:w="0" w:type="dxa"/>
              <w:left w:w="85" w:type="dxa"/>
              <w:bottom w:w="0" w:type="dxa"/>
              <w:right w:w="85" w:type="dxa"/>
            </w:tcMar>
          </w:tcPr>
          <w:p w14:paraId="322D894E" w14:textId="77777777" w:rsidR="00E0181F" w:rsidRPr="001D5327" w:rsidRDefault="00E0181F" w:rsidP="00D11AC9">
            <w:pPr>
              <w:pStyle w:val="TableText"/>
              <w:spacing w:before="40" w:after="40"/>
              <w:jc w:val="right"/>
            </w:pPr>
            <w:r w:rsidRPr="001D5327">
              <w:rPr>
                <w:rFonts w:eastAsia="Calibri"/>
              </w:rPr>
              <w:t>426,588</w:t>
            </w:r>
          </w:p>
        </w:tc>
        <w:tc>
          <w:tcPr>
            <w:tcW w:w="1417" w:type="dxa"/>
            <w:shd w:val="clear" w:color="auto" w:fill="FFFFFF"/>
            <w:tcMar>
              <w:top w:w="0" w:type="dxa"/>
              <w:left w:w="85" w:type="dxa"/>
              <w:bottom w:w="0" w:type="dxa"/>
              <w:right w:w="85" w:type="dxa"/>
            </w:tcMar>
          </w:tcPr>
          <w:p w14:paraId="17F930E8" w14:textId="77777777" w:rsidR="00E0181F" w:rsidRPr="001D5327" w:rsidRDefault="00E0181F" w:rsidP="00D11AC9">
            <w:pPr>
              <w:pStyle w:val="TableText"/>
              <w:spacing w:before="40" w:after="40"/>
              <w:jc w:val="right"/>
            </w:pPr>
            <w:r w:rsidRPr="001D5327">
              <w:rPr>
                <w:rFonts w:eastAsia="Calibri"/>
              </w:rPr>
              <w:t>426,841</w:t>
            </w:r>
          </w:p>
        </w:tc>
        <w:tc>
          <w:tcPr>
            <w:tcW w:w="2410" w:type="dxa"/>
            <w:shd w:val="clear" w:color="auto" w:fill="FFFFFF"/>
            <w:tcMar>
              <w:top w:w="0" w:type="dxa"/>
              <w:left w:w="85" w:type="dxa"/>
              <w:bottom w:w="0" w:type="dxa"/>
              <w:right w:w="85" w:type="dxa"/>
            </w:tcMar>
          </w:tcPr>
          <w:p w14:paraId="4DD5F744" w14:textId="77777777" w:rsidR="00E0181F" w:rsidRPr="001D5327" w:rsidRDefault="00E0181F" w:rsidP="00D11AC9">
            <w:pPr>
              <w:pStyle w:val="TableText"/>
              <w:spacing w:before="40" w:after="40"/>
              <w:jc w:val="right"/>
            </w:pPr>
            <w:r w:rsidRPr="001D5327">
              <w:rPr>
                <w:rFonts w:eastAsia="Calibri"/>
              </w:rPr>
              <w:t>253</w:t>
            </w:r>
          </w:p>
        </w:tc>
        <w:tc>
          <w:tcPr>
            <w:tcW w:w="996" w:type="dxa"/>
            <w:shd w:val="clear" w:color="auto" w:fill="FFFFFF"/>
            <w:tcMar>
              <w:top w:w="0" w:type="dxa"/>
              <w:left w:w="85" w:type="dxa"/>
              <w:bottom w:w="0" w:type="dxa"/>
              <w:right w:w="85" w:type="dxa"/>
            </w:tcMar>
          </w:tcPr>
          <w:p w14:paraId="247BD461" w14:textId="77777777" w:rsidR="00E0181F" w:rsidRPr="001D5327" w:rsidRDefault="00E0181F" w:rsidP="00D11AC9">
            <w:pPr>
              <w:pStyle w:val="TableText"/>
              <w:spacing w:before="40" w:after="40"/>
              <w:jc w:val="right"/>
            </w:pPr>
            <w:r w:rsidRPr="001D5327">
              <w:rPr>
                <w:rFonts w:eastAsia="Calibri"/>
              </w:rPr>
              <w:t>0.1</w:t>
            </w:r>
          </w:p>
        </w:tc>
      </w:tr>
      <w:tr w:rsidR="00E0181F" w:rsidRPr="001D5327" w14:paraId="20AD0596" w14:textId="77777777" w:rsidTr="00D11AC9">
        <w:tc>
          <w:tcPr>
            <w:tcW w:w="2268" w:type="dxa"/>
            <w:shd w:val="clear" w:color="auto" w:fill="FFFFFF"/>
            <w:tcMar>
              <w:top w:w="0" w:type="dxa"/>
              <w:left w:w="85" w:type="dxa"/>
              <w:bottom w:w="0" w:type="dxa"/>
              <w:right w:w="85" w:type="dxa"/>
            </w:tcMar>
          </w:tcPr>
          <w:p w14:paraId="40052C5D" w14:textId="77777777" w:rsidR="00E0181F" w:rsidRPr="001D5327" w:rsidRDefault="00E0181F" w:rsidP="00D11AC9">
            <w:pPr>
              <w:pStyle w:val="TableText"/>
              <w:spacing w:before="40" w:after="40"/>
            </w:pPr>
            <w:r w:rsidRPr="001D5327">
              <w:rPr>
                <w:rFonts w:eastAsia="Calibri"/>
              </w:rPr>
              <w:t>2022</w:t>
            </w:r>
          </w:p>
        </w:tc>
        <w:tc>
          <w:tcPr>
            <w:tcW w:w="1413" w:type="dxa"/>
            <w:shd w:val="clear" w:color="auto" w:fill="FFFFFF"/>
            <w:tcMar>
              <w:top w:w="0" w:type="dxa"/>
              <w:left w:w="85" w:type="dxa"/>
              <w:bottom w:w="0" w:type="dxa"/>
              <w:right w:w="85" w:type="dxa"/>
            </w:tcMar>
          </w:tcPr>
          <w:p w14:paraId="2183B777" w14:textId="77777777" w:rsidR="00E0181F" w:rsidRPr="001D5327" w:rsidRDefault="00E0181F" w:rsidP="00D11AC9">
            <w:pPr>
              <w:pStyle w:val="TableText"/>
              <w:spacing w:before="40" w:after="40"/>
              <w:jc w:val="right"/>
            </w:pPr>
            <w:r w:rsidRPr="001D5327">
              <w:rPr>
                <w:rFonts w:eastAsia="Calibri"/>
              </w:rPr>
              <w:t>490,148</w:t>
            </w:r>
          </w:p>
        </w:tc>
        <w:tc>
          <w:tcPr>
            <w:tcW w:w="1417" w:type="dxa"/>
            <w:shd w:val="clear" w:color="auto" w:fill="FFFFFF"/>
            <w:tcMar>
              <w:top w:w="0" w:type="dxa"/>
              <w:left w:w="85" w:type="dxa"/>
              <w:bottom w:w="0" w:type="dxa"/>
              <w:right w:w="85" w:type="dxa"/>
            </w:tcMar>
          </w:tcPr>
          <w:p w14:paraId="5522153D" w14:textId="77777777" w:rsidR="00E0181F" w:rsidRPr="001D5327" w:rsidRDefault="00E0181F" w:rsidP="00D11AC9">
            <w:pPr>
              <w:pStyle w:val="TableText"/>
              <w:spacing w:before="40" w:after="40"/>
              <w:jc w:val="right"/>
            </w:pPr>
            <w:r w:rsidRPr="001D5327">
              <w:rPr>
                <w:rFonts w:eastAsia="Calibri"/>
              </w:rPr>
              <w:t>489,844</w:t>
            </w:r>
          </w:p>
        </w:tc>
        <w:tc>
          <w:tcPr>
            <w:tcW w:w="2410" w:type="dxa"/>
            <w:shd w:val="clear" w:color="auto" w:fill="FFFFFF"/>
            <w:tcMar>
              <w:top w:w="0" w:type="dxa"/>
              <w:left w:w="85" w:type="dxa"/>
              <w:bottom w:w="0" w:type="dxa"/>
              <w:right w:w="85" w:type="dxa"/>
            </w:tcMar>
          </w:tcPr>
          <w:p w14:paraId="1795AA2B" w14:textId="175F43BB" w:rsidR="00E0181F" w:rsidRPr="001D5327" w:rsidRDefault="0070503C" w:rsidP="00D11AC9">
            <w:pPr>
              <w:pStyle w:val="TableText"/>
              <w:spacing w:before="40" w:after="40"/>
              <w:jc w:val="right"/>
            </w:pPr>
            <w:r>
              <w:rPr>
                <w:rFonts w:eastAsia="Calibri"/>
              </w:rPr>
              <w:t>-</w:t>
            </w:r>
            <w:r w:rsidR="00E0181F" w:rsidRPr="001D5327">
              <w:rPr>
                <w:rFonts w:eastAsia="Calibri"/>
              </w:rPr>
              <w:t>304</w:t>
            </w:r>
          </w:p>
        </w:tc>
        <w:tc>
          <w:tcPr>
            <w:tcW w:w="996" w:type="dxa"/>
            <w:shd w:val="clear" w:color="auto" w:fill="FFFFFF"/>
            <w:tcMar>
              <w:top w:w="0" w:type="dxa"/>
              <w:left w:w="85" w:type="dxa"/>
              <w:bottom w:w="0" w:type="dxa"/>
              <w:right w:w="85" w:type="dxa"/>
            </w:tcMar>
          </w:tcPr>
          <w:p w14:paraId="63ADE167" w14:textId="340A0AFE" w:rsidR="00E0181F" w:rsidRPr="001D5327" w:rsidRDefault="0070503C" w:rsidP="00D11AC9">
            <w:pPr>
              <w:pStyle w:val="TableText"/>
              <w:spacing w:before="40" w:after="40"/>
              <w:jc w:val="right"/>
            </w:pPr>
            <w:r>
              <w:rPr>
                <w:rFonts w:eastAsia="Calibri"/>
              </w:rPr>
              <w:t>-</w:t>
            </w:r>
            <w:r w:rsidR="00E0181F" w:rsidRPr="001D5327">
              <w:rPr>
                <w:rFonts w:eastAsia="Calibri"/>
              </w:rPr>
              <w:t>0.1</w:t>
            </w:r>
          </w:p>
        </w:tc>
      </w:tr>
    </w:tbl>
    <w:p w14:paraId="28BC04D0" w14:textId="77777777" w:rsidR="00E0181F" w:rsidRPr="001D5327" w:rsidRDefault="00E0181F" w:rsidP="00E0181F">
      <w:pPr>
        <w:pStyle w:val="Noteundertable"/>
        <w:spacing w:after="80"/>
      </w:pPr>
      <w:bookmarkStart w:id="2249" w:name="_Toc139253968"/>
      <w:bookmarkStart w:id="2250" w:name="_Toc255466391"/>
      <w:bookmarkStart w:id="2251" w:name="_Toc261513198"/>
      <w:bookmarkStart w:id="2252" w:name="_Toc261513811"/>
      <w:bookmarkStart w:id="2253" w:name="_Toc280630283"/>
      <w:r w:rsidRPr="001D5327">
        <w:rPr>
          <w:b/>
        </w:rPr>
        <w:t>Note:</w:t>
      </w:r>
      <w:r w:rsidRPr="001D5327">
        <w:tab/>
        <w:t>Columns may not total due to rounding.</w:t>
      </w:r>
    </w:p>
    <w:p w14:paraId="501177AD" w14:textId="77777777" w:rsidR="00E0181F" w:rsidRPr="001D5327" w:rsidRDefault="00E0181F" w:rsidP="00E0181F">
      <w:pPr>
        <w:pStyle w:val="Heading3"/>
      </w:pPr>
      <w:r w:rsidRPr="001D5327">
        <w:t>6.5.6</w:t>
      </w:r>
      <w:r w:rsidRPr="001D5327">
        <w:tab/>
        <w:t>Category-specific planned improvements</w:t>
      </w:r>
      <w:bookmarkEnd w:id="2249"/>
      <w:bookmarkEnd w:id="2250"/>
      <w:bookmarkEnd w:id="2251"/>
      <w:bookmarkEnd w:id="2252"/>
      <w:bookmarkEnd w:id="2253"/>
    </w:p>
    <w:p w14:paraId="49291910" w14:textId="77777777" w:rsidR="00E0181F" w:rsidRPr="001D5327" w:rsidRDefault="00E0181F" w:rsidP="00E0181F">
      <w:pPr>
        <w:pStyle w:val="BodyText"/>
      </w:pPr>
      <w:r w:rsidRPr="001D5327">
        <w:t xml:space="preserve">A longitudinal study on the impact of management practices on </w:t>
      </w:r>
      <w:r w:rsidRPr="001D5327">
        <w:rPr>
          <w:i/>
          <w:iCs/>
        </w:rPr>
        <w:t>Grassland</w:t>
      </w:r>
      <w:r w:rsidRPr="001D5327">
        <w:t xml:space="preserve"> and </w:t>
      </w:r>
      <w:r w:rsidRPr="001D5327">
        <w:rPr>
          <w:i/>
          <w:iCs/>
        </w:rPr>
        <w:t>Cropland</w:t>
      </w:r>
      <w:r w:rsidRPr="001D5327">
        <w:t xml:space="preserve"> soils is under way (Manaaki Whenua Landcare Research, 2020). This study will collect time-series data on a network of 500 soil sample plots over 12 years. This is likely to improve the SOC reference values for </w:t>
      </w:r>
      <w:r w:rsidRPr="001D5327">
        <w:rPr>
          <w:i/>
          <w:iCs/>
        </w:rPr>
        <w:t xml:space="preserve">Cropland </w:t>
      </w:r>
      <w:r w:rsidRPr="001D5327">
        <w:t xml:space="preserve">and help address L.12, 2023 raised in the ERT review report of the 2022 submission (FCCC/ARR/2022/NZL, UNFCCC, 2023). These data are not expected to be available for several years. </w:t>
      </w:r>
    </w:p>
    <w:p w14:paraId="48B36642" w14:textId="77777777" w:rsidR="00E0181F" w:rsidRPr="001D5327" w:rsidRDefault="00E0181F" w:rsidP="00E0181F">
      <w:pPr>
        <w:pStyle w:val="BodyText"/>
      </w:pPr>
      <w:r w:rsidRPr="001D5327">
        <w:t xml:space="preserve">In isolation, the above-mentioned study may help improve SOC reference values but will not address review recommendation L.1, 2023 raised in the ERT review report of the 2022 submission (FCCC/ARR/2022/NZL, UNFCCC, 2023). The report questioned whether the estimated SOC reference values were systematically overestimated or underestimated given that land-use change is most likely to occur on a subset of each land use category. The current soils model also assumes land use management practices are static and cannot be updated to include activity data on improvements in soil management practices. However, funding has been acquired to update the Soil CMS and therefore will help address review recommendation L.1, 2023 (FCCC/ARR/2022/NZL, UNFCCC, 2023). </w:t>
      </w:r>
      <w:r w:rsidRPr="001D5327">
        <w:rPr>
          <w:rFonts w:asciiTheme="minorHAnsi" w:hAnsiTheme="minorHAnsi"/>
          <w:color w:val="000000" w:themeColor="text1"/>
        </w:rPr>
        <w:t xml:space="preserve">This work will improve New Zealand’s soil </w:t>
      </w:r>
      <w:r w:rsidRPr="001D5327">
        <w:rPr>
          <w:rFonts w:asciiTheme="minorHAnsi" w:hAnsiTheme="minorHAnsi"/>
          <w:color w:val="000000" w:themeColor="text1"/>
        </w:rPr>
        <w:lastRenderedPageBreak/>
        <w:t xml:space="preserve">carbon stock change estimates in </w:t>
      </w:r>
      <w:r w:rsidRPr="001D5327">
        <w:rPr>
          <w:rFonts w:asciiTheme="minorHAnsi" w:hAnsiTheme="minorHAnsi"/>
          <w:i/>
          <w:iCs/>
          <w:color w:val="000000" w:themeColor="text1"/>
        </w:rPr>
        <w:t>Cropland</w:t>
      </w:r>
      <w:r w:rsidRPr="001D5327">
        <w:rPr>
          <w:rFonts w:asciiTheme="minorHAnsi" w:hAnsiTheme="minorHAnsi"/>
          <w:color w:val="000000" w:themeColor="text1"/>
        </w:rPr>
        <w:t xml:space="preserve"> and other categories by developing a new modelling approach and addressing key measurement gaps. This work will substantially improve the accuracy of soil carbon estimates and provide a framework to include management effects within land uses.</w:t>
      </w:r>
      <w:r w:rsidRPr="001D5327">
        <w:t xml:space="preserve"> The data will be incorporated into the NIR as they become available.</w:t>
      </w:r>
    </w:p>
    <w:p w14:paraId="2566DDF3" w14:textId="77777777" w:rsidR="00E0181F" w:rsidRPr="001D5327" w:rsidRDefault="00E0181F" w:rsidP="007A7DB4">
      <w:pPr>
        <w:pStyle w:val="Heading2"/>
        <w:spacing w:before="280"/>
      </w:pPr>
      <w:bookmarkStart w:id="2254" w:name="_Toc69611750"/>
      <w:bookmarkStart w:id="2255" w:name="_Toc69612706"/>
      <w:bookmarkStart w:id="2256" w:name="_Toc69612905"/>
      <w:bookmarkStart w:id="2257" w:name="_Toc69613165"/>
      <w:bookmarkStart w:id="2258" w:name="_Toc69633329"/>
      <w:bookmarkStart w:id="2259" w:name="_Toc69717494"/>
      <w:bookmarkStart w:id="2260" w:name="_Toc69802976"/>
      <w:bookmarkStart w:id="2261" w:name="_Toc69815113"/>
      <w:bookmarkStart w:id="2262" w:name="_Toc70492406"/>
      <w:bookmarkStart w:id="2263" w:name="_Toc101310612"/>
      <w:bookmarkStart w:id="2264" w:name="_Toc101318472"/>
      <w:bookmarkStart w:id="2265" w:name="_Toc101318577"/>
      <w:bookmarkStart w:id="2266" w:name="_Toc101318761"/>
      <w:bookmarkStart w:id="2267" w:name="_Toc101334037"/>
      <w:bookmarkStart w:id="2268" w:name="_Toc134847215"/>
      <w:bookmarkStart w:id="2269" w:name="_Toc139253969"/>
      <w:bookmarkStart w:id="2270" w:name="_Toc144710423"/>
      <w:bookmarkStart w:id="2271" w:name="_Toc165890377"/>
      <w:bookmarkStart w:id="2272" w:name="_Toc195322671"/>
      <w:bookmarkStart w:id="2273" w:name="_Toc255466392"/>
      <w:bookmarkStart w:id="2274" w:name="_Toc261513199"/>
      <w:bookmarkStart w:id="2275" w:name="_Toc261513812"/>
      <w:bookmarkStart w:id="2276" w:name="_Toc280630284"/>
      <w:bookmarkStart w:id="2277" w:name="_Toc310423454"/>
      <w:bookmarkStart w:id="2278" w:name="_Toc342470720"/>
      <w:bookmarkStart w:id="2279" w:name="_Toc352504872"/>
      <w:bookmarkStart w:id="2280" w:name="_Toc391024702"/>
      <w:bookmarkStart w:id="2281" w:name="_Toc414531319"/>
      <w:bookmarkStart w:id="2282" w:name="_Toc474335461"/>
      <w:bookmarkStart w:id="2283" w:name="_Toc481751401"/>
      <w:bookmarkStart w:id="2284" w:name="_Toc522013953"/>
      <w:bookmarkStart w:id="2285" w:name="_Toc5269378"/>
      <w:bookmarkStart w:id="2286" w:name="_Toc36224418"/>
      <w:bookmarkStart w:id="2287" w:name="_Toc131591252"/>
      <w:bookmarkStart w:id="2288" w:name="_Toc158980299"/>
      <w:bookmarkStart w:id="2289" w:name="_Toc164154207"/>
      <w:bookmarkStart w:id="2290" w:name="_Toc194312032"/>
      <w:r w:rsidRPr="001D5327">
        <w:t>6.6</w:t>
      </w:r>
      <w:r w:rsidRPr="001D5327">
        <w:tab/>
        <w:t>Grassland (4C)</w:t>
      </w:r>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p>
    <w:p w14:paraId="765D834C" w14:textId="77777777" w:rsidR="00E0181F" w:rsidRPr="001D5327" w:rsidRDefault="00E0181F" w:rsidP="00E0181F">
      <w:pPr>
        <w:pStyle w:val="Heading3"/>
        <w:spacing w:before="240"/>
      </w:pPr>
      <w:bookmarkStart w:id="2291" w:name="_Toc139253970"/>
      <w:bookmarkStart w:id="2292" w:name="_Toc255466393"/>
      <w:bookmarkStart w:id="2293" w:name="_Toc261513200"/>
      <w:bookmarkStart w:id="2294" w:name="_Toc261513813"/>
      <w:bookmarkStart w:id="2295" w:name="_Toc280630285"/>
      <w:r w:rsidRPr="001D5327">
        <w:t>6.6.1</w:t>
      </w:r>
      <w:r w:rsidRPr="001D5327">
        <w:tab/>
        <w:t>Description</w:t>
      </w:r>
      <w:bookmarkEnd w:id="2291"/>
      <w:bookmarkEnd w:id="2292"/>
      <w:bookmarkEnd w:id="2293"/>
      <w:bookmarkEnd w:id="2294"/>
      <w:bookmarkEnd w:id="2295"/>
    </w:p>
    <w:p w14:paraId="7C82FA82" w14:textId="77777777" w:rsidR="00E0181F" w:rsidRPr="001D5327" w:rsidRDefault="00E0181F" w:rsidP="007A7DB4">
      <w:pPr>
        <w:pStyle w:val="BodyText"/>
        <w:spacing w:before="100" w:after="100"/>
      </w:pPr>
      <w:r w:rsidRPr="001D5327">
        <w:t xml:space="preserve">In 2023, the net emissions from </w:t>
      </w:r>
      <w:r w:rsidRPr="001D5327">
        <w:rPr>
          <w:i/>
        </w:rPr>
        <w:t>Grassland</w:t>
      </w:r>
      <w:r w:rsidRPr="001D5327">
        <w:t xml:space="preserve"> were 2,884.2 kt CO</w:t>
      </w:r>
      <w:r w:rsidRPr="001D5327">
        <w:rPr>
          <w:vertAlign w:val="subscript"/>
        </w:rPr>
        <w:t>2</w:t>
      </w:r>
      <w:r w:rsidRPr="001D5327">
        <w:t>-e (see table 6.6.1). These emissions comprise 2,854.1 kt CO</w:t>
      </w:r>
      <w:r w:rsidRPr="001D5327">
        <w:rPr>
          <w:vertAlign w:val="subscript"/>
        </w:rPr>
        <w:t>2</w:t>
      </w:r>
      <w:r w:rsidRPr="001D5327">
        <w:t xml:space="preserve"> emissions from carbon stock change, 0.06 kt N</w:t>
      </w:r>
      <w:r w:rsidRPr="001D5327">
        <w:rPr>
          <w:vertAlign w:val="subscript"/>
        </w:rPr>
        <w:t>2</w:t>
      </w:r>
      <w:r w:rsidRPr="001D5327">
        <w:t>O (14.9 kt CO</w:t>
      </w:r>
      <w:r w:rsidRPr="001D5327">
        <w:rPr>
          <w:vertAlign w:val="subscript"/>
        </w:rPr>
        <w:t>2</w:t>
      </w:r>
      <w:r w:rsidRPr="001D5327">
        <w:t>-e) and 0.5 kt CH</w:t>
      </w:r>
      <w:r w:rsidRPr="001D5327">
        <w:rPr>
          <w:vertAlign w:val="subscript"/>
        </w:rPr>
        <w:t>4</w:t>
      </w:r>
      <w:r w:rsidRPr="001D5327">
        <w:t xml:space="preserve"> (15.3 kt CO</w:t>
      </w:r>
      <w:r w:rsidRPr="001D5327">
        <w:rPr>
          <w:vertAlign w:val="subscript"/>
        </w:rPr>
        <w:t>2</w:t>
      </w:r>
      <w:r w:rsidRPr="001D5327">
        <w:t xml:space="preserve">-e) emissions from </w:t>
      </w:r>
      <w:r w:rsidRPr="001D5327">
        <w:rPr>
          <w:i/>
        </w:rPr>
        <w:t>Biomass burning</w:t>
      </w:r>
      <w:r w:rsidRPr="001D5327">
        <w:t xml:space="preserve"> and nitrogen mineralisation on </w:t>
      </w:r>
      <w:r w:rsidRPr="001D5327">
        <w:rPr>
          <w:i/>
        </w:rPr>
        <w:t>Land converted to grassland</w:t>
      </w:r>
      <w:r w:rsidRPr="001D5327">
        <w:t>.</w:t>
      </w:r>
    </w:p>
    <w:p w14:paraId="47D14FD4" w14:textId="77777777" w:rsidR="00E0181F" w:rsidRPr="001D5327" w:rsidRDefault="00E0181F" w:rsidP="007A7DB4">
      <w:pPr>
        <w:pStyle w:val="BodyText"/>
        <w:spacing w:before="100" w:after="100"/>
      </w:pPr>
      <w:r w:rsidRPr="001D5327">
        <w:t xml:space="preserve">Net emissions from </w:t>
      </w:r>
      <w:r w:rsidRPr="001D5327">
        <w:rPr>
          <w:i/>
        </w:rPr>
        <w:t xml:space="preserve">Grassland </w:t>
      </w:r>
      <w:r w:rsidRPr="001D5327">
        <w:t>have increased by 2,064.3 kt CO</w:t>
      </w:r>
      <w:r w:rsidRPr="001D5327">
        <w:rPr>
          <w:vertAlign w:val="subscript"/>
        </w:rPr>
        <w:t>2</w:t>
      </w:r>
      <w:r w:rsidRPr="001D5327">
        <w:t>-e (251.8 per cent) from the 1990 level of 819.9 kt CO</w:t>
      </w:r>
      <w:r w:rsidRPr="001D5327">
        <w:rPr>
          <w:vertAlign w:val="subscript"/>
        </w:rPr>
        <w:t>2</w:t>
      </w:r>
      <w:r w:rsidRPr="001D5327">
        <w:t>-e (see table 6.6.1). The majority of this change occurred in post-1989 planted forest that has since been converted to high producing grassland and is the result of deforestation that involves large losses in the living biomass pool.</w:t>
      </w:r>
    </w:p>
    <w:p w14:paraId="43F04292" w14:textId="77777777" w:rsidR="00E0181F" w:rsidRPr="001D5327" w:rsidRDefault="00E0181F" w:rsidP="007A7DB4">
      <w:pPr>
        <w:pStyle w:val="BodyText"/>
        <w:spacing w:before="100" w:after="100"/>
      </w:pPr>
      <w:r w:rsidRPr="001D5327">
        <w:t xml:space="preserve">The </w:t>
      </w:r>
      <w:r w:rsidRPr="001D5327">
        <w:rPr>
          <w:i/>
        </w:rPr>
        <w:t>Grassland remaining grassland</w:t>
      </w:r>
      <w:r w:rsidRPr="001D5327">
        <w:t xml:space="preserve"> and </w:t>
      </w:r>
      <w:r w:rsidRPr="001D5327">
        <w:rPr>
          <w:i/>
        </w:rPr>
        <w:t>Land converted to grassland</w:t>
      </w:r>
      <w:r w:rsidRPr="001D5327">
        <w:t xml:space="preserve"> categories were identified as key categories for the level and trend assessment in 2023.</w:t>
      </w:r>
    </w:p>
    <w:p w14:paraId="7336AA9C" w14:textId="77777777" w:rsidR="00E0181F" w:rsidRPr="001D5327" w:rsidRDefault="00E0181F" w:rsidP="00E0181F">
      <w:pPr>
        <w:pStyle w:val="Table"/>
      </w:pPr>
      <w:bookmarkStart w:id="2296" w:name="_Toc280630465"/>
      <w:bookmarkStart w:id="2297" w:name="_Toc310423421"/>
      <w:bookmarkStart w:id="2298" w:name="_Toc318362714"/>
      <w:bookmarkStart w:id="2299" w:name="_Toc342470776"/>
      <w:bookmarkStart w:id="2300" w:name="_Toc352505016"/>
      <w:bookmarkStart w:id="2301" w:name="_Toc378853307"/>
      <w:bookmarkStart w:id="2302" w:name="_Toc391024105"/>
      <w:bookmarkStart w:id="2303" w:name="_Toc410028848"/>
      <w:bookmarkStart w:id="2304" w:name="_Toc414531476"/>
      <w:bookmarkStart w:id="2305" w:name="_Toc443645389"/>
      <w:bookmarkStart w:id="2306" w:name="_Toc474914608"/>
      <w:bookmarkStart w:id="2307" w:name="_Toc481751572"/>
      <w:bookmarkStart w:id="2308" w:name="_Toc522010629"/>
      <w:bookmarkStart w:id="2309" w:name="_Toc5269534"/>
      <w:bookmarkStart w:id="2310" w:name="_Toc33529408"/>
      <w:bookmarkStart w:id="2311" w:name="_Toc36224614"/>
      <w:bookmarkStart w:id="2312" w:name="_Toc131591408"/>
      <w:bookmarkStart w:id="2313" w:name="_Toc158979966"/>
      <w:bookmarkStart w:id="2314" w:name="_Toc164153899"/>
      <w:bookmarkStart w:id="2315" w:name="_Toc190873133"/>
      <w:bookmarkStart w:id="2316" w:name="_Toc194241772"/>
      <w:r w:rsidRPr="001D5327">
        <w:t>Table 6.6.1</w:t>
      </w:r>
      <w:r w:rsidRPr="001D5327">
        <w:tab/>
      </w:r>
      <w:r w:rsidRPr="001D5327">
        <w:rPr>
          <w:szCs w:val="18"/>
        </w:rPr>
        <w:t xml:space="preserve">New Zealand’s land-use change for the </w:t>
      </w:r>
      <w:r w:rsidRPr="001D5327">
        <w:rPr>
          <w:i/>
          <w:szCs w:val="18"/>
        </w:rPr>
        <w:t>Grassland</w:t>
      </w:r>
      <w:r w:rsidRPr="001D5327">
        <w:rPr>
          <w:szCs w:val="18"/>
        </w:rPr>
        <w:t xml:space="preserve"> category, and associated</w:t>
      </w:r>
      <w:r w:rsidRPr="001D5327">
        <w:rPr>
          <w:szCs w:val="18"/>
        </w:rPr>
        <w:br/>
        <w:t>CO</w:t>
      </w:r>
      <w:r w:rsidRPr="001D5327">
        <w:rPr>
          <w:szCs w:val="18"/>
          <w:vertAlign w:val="subscript"/>
        </w:rPr>
        <w:t>2</w:t>
      </w:r>
      <w:r w:rsidRPr="001D5327">
        <w:t>-</w:t>
      </w:r>
      <w:r w:rsidRPr="001D5327">
        <w:rPr>
          <w:szCs w:val="18"/>
        </w:rPr>
        <w:t>e emissions</w:t>
      </w:r>
      <w:r w:rsidRPr="001D5327">
        <w:t>, from 1990 to</w:t>
      </w:r>
      <w:bookmarkEnd w:id="2296"/>
      <w:bookmarkEnd w:id="2297"/>
      <w:bookmarkEnd w:id="2298"/>
      <w:bookmarkEnd w:id="2299"/>
      <w:bookmarkEnd w:id="2300"/>
      <w:r w:rsidRPr="001D5327">
        <w:t> </w:t>
      </w:r>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r w:rsidRPr="001D5327">
        <w:t>2023</w:t>
      </w:r>
      <w:bookmarkEnd w:id="2315"/>
      <w:bookmarkEnd w:id="2316"/>
    </w:p>
    <w:tbl>
      <w:tblPr>
        <w:tblW w:w="0" w:type="auto"/>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551"/>
        <w:gridCol w:w="1020"/>
        <w:gridCol w:w="1020"/>
        <w:gridCol w:w="1134"/>
        <w:gridCol w:w="850"/>
        <w:gridCol w:w="850"/>
        <w:gridCol w:w="1134"/>
      </w:tblGrid>
      <w:tr w:rsidR="00E0181F" w:rsidRPr="001D5327" w14:paraId="3997A9BA" w14:textId="77777777" w:rsidTr="00D11AC9">
        <w:trPr>
          <w:tblHeader/>
        </w:trPr>
        <w:tc>
          <w:tcPr>
            <w:tcW w:w="2551" w:type="dxa"/>
            <w:shd w:val="clear" w:color="auto" w:fill="1B556B"/>
            <w:tcMar>
              <w:top w:w="0" w:type="dxa"/>
              <w:left w:w="85" w:type="dxa"/>
              <w:bottom w:w="0" w:type="dxa"/>
              <w:right w:w="85" w:type="dxa"/>
            </w:tcMar>
            <w:vAlign w:val="bottom"/>
          </w:tcPr>
          <w:p w14:paraId="133C1F21" w14:textId="77777777" w:rsidR="00E0181F" w:rsidRPr="001D5327" w:rsidRDefault="00E0181F" w:rsidP="00D11AC9">
            <w:pPr>
              <w:pStyle w:val="TableTextBold"/>
              <w:spacing w:before="40" w:after="40"/>
              <w:rPr>
                <w:noProof w:val="0"/>
                <w:color w:val="FFFFFF" w:themeColor="background1"/>
              </w:rPr>
            </w:pPr>
          </w:p>
        </w:tc>
        <w:tc>
          <w:tcPr>
            <w:tcW w:w="3174" w:type="dxa"/>
            <w:gridSpan w:val="3"/>
            <w:shd w:val="clear" w:color="auto" w:fill="1B556B"/>
            <w:tcMar>
              <w:top w:w="0" w:type="dxa"/>
              <w:left w:w="85" w:type="dxa"/>
              <w:bottom w:w="0" w:type="dxa"/>
              <w:right w:w="85" w:type="dxa"/>
            </w:tcMar>
            <w:vAlign w:val="bottom"/>
          </w:tcPr>
          <w:p w14:paraId="04830398"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noProof w:val="0"/>
                <w:color w:val="FFFFFF" w:themeColor="background1"/>
              </w:rPr>
              <w:t>Net area (ha)</w:t>
            </w:r>
          </w:p>
        </w:tc>
        <w:tc>
          <w:tcPr>
            <w:tcW w:w="2834" w:type="dxa"/>
            <w:gridSpan w:val="3"/>
            <w:shd w:val="clear" w:color="auto" w:fill="1B556B"/>
            <w:tcMar>
              <w:top w:w="0" w:type="dxa"/>
              <w:left w:w="85" w:type="dxa"/>
              <w:bottom w:w="0" w:type="dxa"/>
              <w:right w:w="85" w:type="dxa"/>
            </w:tcMar>
            <w:vAlign w:val="bottom"/>
          </w:tcPr>
          <w:p w14:paraId="312D8016"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noProof w:val="0"/>
                <w:color w:val="FFFFFF" w:themeColor="background1"/>
              </w:rPr>
              <w:t>Net emissions (kt CO₂-e)</w:t>
            </w:r>
          </w:p>
        </w:tc>
      </w:tr>
      <w:tr w:rsidR="00E0181F" w:rsidRPr="001D5327" w14:paraId="7F4174DD" w14:textId="77777777" w:rsidTr="00D11AC9">
        <w:trPr>
          <w:tblHeader/>
        </w:trPr>
        <w:tc>
          <w:tcPr>
            <w:tcW w:w="2551" w:type="dxa"/>
            <w:shd w:val="clear" w:color="auto" w:fill="1B556B"/>
            <w:tcMar>
              <w:top w:w="0" w:type="dxa"/>
              <w:left w:w="85" w:type="dxa"/>
              <w:bottom w:w="0" w:type="dxa"/>
              <w:right w:w="85" w:type="dxa"/>
            </w:tcMar>
            <w:vAlign w:val="bottom"/>
          </w:tcPr>
          <w:p w14:paraId="0A572754" w14:textId="77777777" w:rsidR="00E0181F" w:rsidRPr="001D5327" w:rsidRDefault="00E0181F" w:rsidP="00D11AC9">
            <w:pPr>
              <w:pStyle w:val="TableTextBold"/>
              <w:spacing w:before="0" w:after="40"/>
              <w:rPr>
                <w:noProof w:val="0"/>
                <w:color w:val="FFFFFF" w:themeColor="background1"/>
              </w:rPr>
            </w:pPr>
            <w:r w:rsidRPr="001D5327">
              <w:rPr>
                <w:rFonts w:eastAsia="Calibri"/>
                <w:noProof w:val="0"/>
                <w:color w:val="FFFFFF" w:themeColor="background1"/>
              </w:rPr>
              <w:t>Land use category</w:t>
            </w:r>
          </w:p>
        </w:tc>
        <w:tc>
          <w:tcPr>
            <w:tcW w:w="1020" w:type="dxa"/>
            <w:shd w:val="clear" w:color="auto" w:fill="1B556B"/>
            <w:tcMar>
              <w:top w:w="0" w:type="dxa"/>
              <w:left w:w="85" w:type="dxa"/>
              <w:bottom w:w="0" w:type="dxa"/>
              <w:right w:w="85" w:type="dxa"/>
            </w:tcMar>
            <w:vAlign w:val="bottom"/>
          </w:tcPr>
          <w:p w14:paraId="4C8C846D"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1990</w:t>
            </w:r>
          </w:p>
        </w:tc>
        <w:tc>
          <w:tcPr>
            <w:tcW w:w="1020" w:type="dxa"/>
            <w:shd w:val="clear" w:color="auto" w:fill="1B556B"/>
            <w:tcMar>
              <w:top w:w="0" w:type="dxa"/>
              <w:left w:w="85" w:type="dxa"/>
              <w:bottom w:w="0" w:type="dxa"/>
              <w:right w:w="85" w:type="dxa"/>
            </w:tcMar>
            <w:vAlign w:val="bottom"/>
          </w:tcPr>
          <w:p w14:paraId="45C12B4E"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2023</w:t>
            </w:r>
          </w:p>
        </w:tc>
        <w:tc>
          <w:tcPr>
            <w:tcW w:w="1134" w:type="dxa"/>
            <w:shd w:val="clear" w:color="auto" w:fill="1B556B"/>
            <w:tcMar>
              <w:top w:w="0" w:type="dxa"/>
              <w:left w:w="85" w:type="dxa"/>
              <w:bottom w:w="0" w:type="dxa"/>
              <w:right w:w="85" w:type="dxa"/>
            </w:tcMar>
            <w:vAlign w:val="bottom"/>
          </w:tcPr>
          <w:p w14:paraId="1EA723C8"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Change from 1990 (%)</w:t>
            </w:r>
          </w:p>
        </w:tc>
        <w:tc>
          <w:tcPr>
            <w:tcW w:w="850" w:type="dxa"/>
            <w:shd w:val="clear" w:color="auto" w:fill="1B556B"/>
            <w:tcMar>
              <w:top w:w="0" w:type="dxa"/>
              <w:left w:w="85" w:type="dxa"/>
              <w:bottom w:w="0" w:type="dxa"/>
              <w:right w:w="85" w:type="dxa"/>
            </w:tcMar>
            <w:vAlign w:val="bottom"/>
          </w:tcPr>
          <w:p w14:paraId="0D147E56"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1990</w:t>
            </w:r>
          </w:p>
        </w:tc>
        <w:tc>
          <w:tcPr>
            <w:tcW w:w="850" w:type="dxa"/>
            <w:shd w:val="clear" w:color="auto" w:fill="1B556B"/>
            <w:tcMar>
              <w:top w:w="0" w:type="dxa"/>
              <w:left w:w="85" w:type="dxa"/>
              <w:bottom w:w="0" w:type="dxa"/>
              <w:right w:w="85" w:type="dxa"/>
            </w:tcMar>
            <w:vAlign w:val="bottom"/>
          </w:tcPr>
          <w:p w14:paraId="663F5213"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2023</w:t>
            </w:r>
          </w:p>
        </w:tc>
        <w:tc>
          <w:tcPr>
            <w:tcW w:w="1134" w:type="dxa"/>
            <w:shd w:val="clear" w:color="auto" w:fill="1B556B"/>
            <w:tcMar>
              <w:top w:w="0" w:type="dxa"/>
              <w:left w:w="85" w:type="dxa"/>
              <w:bottom w:w="0" w:type="dxa"/>
              <w:right w:w="85" w:type="dxa"/>
            </w:tcMar>
            <w:vAlign w:val="bottom"/>
          </w:tcPr>
          <w:p w14:paraId="263CA2E2"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Change from 1990 (%)</w:t>
            </w:r>
          </w:p>
        </w:tc>
      </w:tr>
      <w:tr w:rsidR="00E0181F" w:rsidRPr="001D5327" w14:paraId="3E9132BF" w14:textId="77777777" w:rsidTr="00D11AC9">
        <w:tc>
          <w:tcPr>
            <w:tcW w:w="2551" w:type="dxa"/>
            <w:shd w:val="clear" w:color="auto" w:fill="FFFFFF"/>
            <w:tcMar>
              <w:top w:w="0" w:type="dxa"/>
              <w:left w:w="85" w:type="dxa"/>
              <w:bottom w:w="0" w:type="dxa"/>
              <w:right w:w="85" w:type="dxa"/>
            </w:tcMar>
          </w:tcPr>
          <w:p w14:paraId="0D2D4E68" w14:textId="77777777" w:rsidR="00E0181F" w:rsidRPr="001D5327" w:rsidRDefault="00E0181F" w:rsidP="00D11AC9">
            <w:pPr>
              <w:pStyle w:val="TableText"/>
              <w:spacing w:before="40" w:after="40"/>
            </w:pPr>
            <w:r w:rsidRPr="001D5327">
              <w:rPr>
                <w:rFonts w:eastAsia="Calibri"/>
              </w:rPr>
              <w:t>Grassland remaining grassland</w:t>
            </w:r>
          </w:p>
        </w:tc>
        <w:tc>
          <w:tcPr>
            <w:tcW w:w="1020" w:type="dxa"/>
            <w:shd w:val="clear" w:color="auto" w:fill="FFFFFF"/>
            <w:tcMar>
              <w:top w:w="0" w:type="dxa"/>
              <w:left w:w="85" w:type="dxa"/>
              <w:bottom w:w="0" w:type="dxa"/>
              <w:right w:w="85" w:type="dxa"/>
            </w:tcMar>
          </w:tcPr>
          <w:p w14:paraId="1E2592AC" w14:textId="77777777" w:rsidR="00E0181F" w:rsidRPr="001D5327" w:rsidRDefault="00E0181F" w:rsidP="00D11AC9">
            <w:pPr>
              <w:pStyle w:val="TableText"/>
              <w:spacing w:before="40" w:after="40"/>
              <w:jc w:val="right"/>
            </w:pPr>
            <w:r w:rsidRPr="001D5327">
              <w:rPr>
                <w:rFonts w:eastAsia="Calibri"/>
              </w:rPr>
              <w:t>14,904,468</w:t>
            </w:r>
          </w:p>
        </w:tc>
        <w:tc>
          <w:tcPr>
            <w:tcW w:w="1020" w:type="dxa"/>
            <w:shd w:val="clear" w:color="auto" w:fill="FFFFFF"/>
            <w:tcMar>
              <w:top w:w="0" w:type="dxa"/>
              <w:left w:w="85" w:type="dxa"/>
              <w:bottom w:w="0" w:type="dxa"/>
              <w:right w:w="85" w:type="dxa"/>
            </w:tcMar>
          </w:tcPr>
          <w:p w14:paraId="22788E61" w14:textId="77777777" w:rsidR="00E0181F" w:rsidRPr="001D5327" w:rsidRDefault="00E0181F" w:rsidP="00D11AC9">
            <w:pPr>
              <w:pStyle w:val="TableText"/>
              <w:spacing w:before="40" w:after="40"/>
              <w:jc w:val="right"/>
            </w:pPr>
            <w:r w:rsidRPr="001D5327">
              <w:rPr>
                <w:rFonts w:eastAsia="Calibri"/>
              </w:rPr>
              <w:t>14,040,424</w:t>
            </w:r>
          </w:p>
        </w:tc>
        <w:tc>
          <w:tcPr>
            <w:tcW w:w="1134" w:type="dxa"/>
            <w:shd w:val="clear" w:color="auto" w:fill="FFFFFF"/>
            <w:tcMar>
              <w:top w:w="0" w:type="dxa"/>
              <w:left w:w="85" w:type="dxa"/>
              <w:bottom w:w="0" w:type="dxa"/>
              <w:right w:w="85" w:type="dxa"/>
            </w:tcMar>
          </w:tcPr>
          <w:p w14:paraId="05FAD411" w14:textId="453FB557" w:rsidR="00E0181F" w:rsidRPr="001D5327" w:rsidRDefault="0070503C" w:rsidP="00D11AC9">
            <w:pPr>
              <w:pStyle w:val="TableText"/>
              <w:spacing w:before="40" w:after="40"/>
              <w:jc w:val="right"/>
            </w:pPr>
            <w:r>
              <w:rPr>
                <w:rFonts w:eastAsia="Calibri"/>
              </w:rPr>
              <w:t>-</w:t>
            </w:r>
            <w:r w:rsidR="00E0181F" w:rsidRPr="001D5327">
              <w:rPr>
                <w:rFonts w:eastAsia="Calibri"/>
              </w:rPr>
              <w:t>5.8</w:t>
            </w:r>
          </w:p>
        </w:tc>
        <w:tc>
          <w:tcPr>
            <w:tcW w:w="850" w:type="dxa"/>
            <w:shd w:val="clear" w:color="auto" w:fill="FFFFFF"/>
            <w:tcMar>
              <w:top w:w="0" w:type="dxa"/>
              <w:left w:w="85" w:type="dxa"/>
              <w:bottom w:w="0" w:type="dxa"/>
              <w:right w:w="85" w:type="dxa"/>
            </w:tcMar>
          </w:tcPr>
          <w:p w14:paraId="02A645D4" w14:textId="77777777" w:rsidR="00E0181F" w:rsidRPr="001D5327" w:rsidRDefault="00E0181F" w:rsidP="00D11AC9">
            <w:pPr>
              <w:pStyle w:val="TableText"/>
              <w:spacing w:before="40" w:after="40"/>
              <w:jc w:val="right"/>
            </w:pPr>
            <w:r w:rsidRPr="001D5327">
              <w:rPr>
                <w:rFonts w:eastAsia="Calibri"/>
              </w:rPr>
              <w:t>309.6</w:t>
            </w:r>
          </w:p>
        </w:tc>
        <w:tc>
          <w:tcPr>
            <w:tcW w:w="850" w:type="dxa"/>
            <w:shd w:val="clear" w:color="auto" w:fill="FFFFFF"/>
            <w:tcMar>
              <w:top w:w="0" w:type="dxa"/>
              <w:left w:w="85" w:type="dxa"/>
              <w:bottom w:w="0" w:type="dxa"/>
              <w:right w:w="85" w:type="dxa"/>
            </w:tcMar>
          </w:tcPr>
          <w:p w14:paraId="3FD18B97" w14:textId="77777777" w:rsidR="00E0181F" w:rsidRPr="001D5327" w:rsidRDefault="00E0181F" w:rsidP="00D11AC9">
            <w:pPr>
              <w:pStyle w:val="TableText"/>
              <w:spacing w:before="40" w:after="40"/>
              <w:jc w:val="right"/>
            </w:pPr>
            <w:r w:rsidRPr="001D5327">
              <w:rPr>
                <w:rFonts w:eastAsia="Calibri"/>
              </w:rPr>
              <w:t>1,327.1</w:t>
            </w:r>
          </w:p>
        </w:tc>
        <w:tc>
          <w:tcPr>
            <w:tcW w:w="1134" w:type="dxa"/>
            <w:shd w:val="clear" w:color="auto" w:fill="FFFFFF"/>
            <w:tcMar>
              <w:top w:w="0" w:type="dxa"/>
              <w:left w:w="85" w:type="dxa"/>
              <w:bottom w:w="0" w:type="dxa"/>
              <w:right w:w="85" w:type="dxa"/>
            </w:tcMar>
          </w:tcPr>
          <w:p w14:paraId="64E4F4D3" w14:textId="77777777" w:rsidR="00E0181F" w:rsidRPr="001D5327" w:rsidRDefault="00E0181F" w:rsidP="00D11AC9">
            <w:pPr>
              <w:pStyle w:val="TableText"/>
              <w:spacing w:before="40" w:after="40"/>
              <w:jc w:val="right"/>
            </w:pPr>
            <w:r w:rsidRPr="001D5327">
              <w:rPr>
                <w:rFonts w:eastAsia="Calibri"/>
              </w:rPr>
              <w:t>328.7</w:t>
            </w:r>
          </w:p>
        </w:tc>
      </w:tr>
      <w:tr w:rsidR="00E0181F" w:rsidRPr="001D5327" w14:paraId="24EC99A0" w14:textId="77777777" w:rsidTr="00D11AC9">
        <w:tc>
          <w:tcPr>
            <w:tcW w:w="2551" w:type="dxa"/>
            <w:shd w:val="clear" w:color="auto" w:fill="FFFFFF"/>
            <w:tcMar>
              <w:top w:w="0" w:type="dxa"/>
              <w:left w:w="85" w:type="dxa"/>
              <w:bottom w:w="0" w:type="dxa"/>
              <w:right w:w="85" w:type="dxa"/>
            </w:tcMar>
          </w:tcPr>
          <w:p w14:paraId="63549909" w14:textId="77777777" w:rsidR="00E0181F" w:rsidRPr="001D5327" w:rsidRDefault="00E0181F" w:rsidP="00D11AC9">
            <w:pPr>
              <w:pStyle w:val="TableText"/>
              <w:spacing w:before="40" w:after="40"/>
            </w:pPr>
            <w:r w:rsidRPr="001D5327">
              <w:rPr>
                <w:rFonts w:eastAsia="Calibri"/>
              </w:rPr>
              <w:t>Land converted to grassland</w:t>
            </w:r>
          </w:p>
        </w:tc>
        <w:tc>
          <w:tcPr>
            <w:tcW w:w="1020" w:type="dxa"/>
            <w:shd w:val="clear" w:color="auto" w:fill="FFFFFF"/>
            <w:tcMar>
              <w:top w:w="0" w:type="dxa"/>
              <w:left w:w="85" w:type="dxa"/>
              <w:bottom w:w="0" w:type="dxa"/>
              <w:right w:w="85" w:type="dxa"/>
            </w:tcMar>
          </w:tcPr>
          <w:p w14:paraId="3F7FCB55" w14:textId="77777777" w:rsidR="00E0181F" w:rsidRPr="001D5327" w:rsidRDefault="00E0181F" w:rsidP="00D11AC9">
            <w:pPr>
              <w:pStyle w:val="TableText"/>
              <w:spacing w:before="40" w:after="40"/>
              <w:jc w:val="right"/>
            </w:pPr>
            <w:r w:rsidRPr="001D5327">
              <w:rPr>
                <w:rFonts w:eastAsia="Calibri"/>
              </w:rPr>
              <w:t>351,768</w:t>
            </w:r>
          </w:p>
        </w:tc>
        <w:tc>
          <w:tcPr>
            <w:tcW w:w="1020" w:type="dxa"/>
            <w:shd w:val="clear" w:color="auto" w:fill="FFFFFF"/>
            <w:tcMar>
              <w:top w:w="0" w:type="dxa"/>
              <w:left w:w="85" w:type="dxa"/>
              <w:bottom w:w="0" w:type="dxa"/>
              <w:right w:w="85" w:type="dxa"/>
            </w:tcMar>
          </w:tcPr>
          <w:p w14:paraId="24A84649" w14:textId="77777777" w:rsidR="00E0181F" w:rsidRPr="001D5327" w:rsidRDefault="00E0181F" w:rsidP="00D11AC9">
            <w:pPr>
              <w:pStyle w:val="TableText"/>
              <w:spacing w:before="40" w:after="40"/>
              <w:jc w:val="right"/>
            </w:pPr>
            <w:r w:rsidRPr="001D5327">
              <w:rPr>
                <w:rFonts w:eastAsia="Calibri"/>
              </w:rPr>
              <w:t>292,818</w:t>
            </w:r>
          </w:p>
        </w:tc>
        <w:tc>
          <w:tcPr>
            <w:tcW w:w="1134" w:type="dxa"/>
            <w:shd w:val="clear" w:color="auto" w:fill="FFFFFF"/>
            <w:tcMar>
              <w:top w:w="0" w:type="dxa"/>
              <w:left w:w="85" w:type="dxa"/>
              <w:bottom w:w="0" w:type="dxa"/>
              <w:right w:w="85" w:type="dxa"/>
            </w:tcMar>
          </w:tcPr>
          <w:p w14:paraId="669D2028" w14:textId="3B5106D4" w:rsidR="00E0181F" w:rsidRPr="001D5327" w:rsidRDefault="0070503C" w:rsidP="00D11AC9">
            <w:pPr>
              <w:pStyle w:val="TableText"/>
              <w:spacing w:before="40" w:after="40"/>
              <w:jc w:val="right"/>
            </w:pPr>
            <w:r>
              <w:rPr>
                <w:rFonts w:eastAsia="Calibri"/>
              </w:rPr>
              <w:t>-</w:t>
            </w:r>
            <w:r w:rsidR="00E0181F" w:rsidRPr="001D5327">
              <w:rPr>
                <w:rFonts w:eastAsia="Calibri"/>
              </w:rPr>
              <w:t>16.8</w:t>
            </w:r>
          </w:p>
        </w:tc>
        <w:tc>
          <w:tcPr>
            <w:tcW w:w="850" w:type="dxa"/>
            <w:shd w:val="clear" w:color="auto" w:fill="FFFFFF"/>
            <w:tcMar>
              <w:top w:w="0" w:type="dxa"/>
              <w:left w:w="85" w:type="dxa"/>
              <w:bottom w:w="0" w:type="dxa"/>
              <w:right w:w="85" w:type="dxa"/>
            </w:tcMar>
          </w:tcPr>
          <w:p w14:paraId="34E77CDE" w14:textId="77777777" w:rsidR="00E0181F" w:rsidRPr="001D5327" w:rsidRDefault="00E0181F" w:rsidP="00D11AC9">
            <w:pPr>
              <w:pStyle w:val="TableText"/>
              <w:spacing w:before="40" w:after="40"/>
              <w:jc w:val="right"/>
            </w:pPr>
            <w:r w:rsidRPr="001D5327">
              <w:rPr>
                <w:rFonts w:eastAsia="Calibri"/>
              </w:rPr>
              <w:t>510.4</w:t>
            </w:r>
          </w:p>
        </w:tc>
        <w:tc>
          <w:tcPr>
            <w:tcW w:w="850" w:type="dxa"/>
            <w:shd w:val="clear" w:color="auto" w:fill="FFFFFF"/>
            <w:tcMar>
              <w:top w:w="0" w:type="dxa"/>
              <w:left w:w="85" w:type="dxa"/>
              <w:bottom w:w="0" w:type="dxa"/>
              <w:right w:w="85" w:type="dxa"/>
            </w:tcMar>
          </w:tcPr>
          <w:p w14:paraId="2FAE1E6D" w14:textId="77777777" w:rsidR="00E0181F" w:rsidRPr="001D5327" w:rsidRDefault="00E0181F" w:rsidP="00D11AC9">
            <w:pPr>
              <w:pStyle w:val="TableText"/>
              <w:spacing w:before="40" w:after="40"/>
              <w:jc w:val="right"/>
            </w:pPr>
            <w:r w:rsidRPr="001D5327">
              <w:rPr>
                <w:rFonts w:eastAsia="Calibri"/>
              </w:rPr>
              <w:t>1,557.1</w:t>
            </w:r>
          </w:p>
        </w:tc>
        <w:tc>
          <w:tcPr>
            <w:tcW w:w="1134" w:type="dxa"/>
            <w:shd w:val="clear" w:color="auto" w:fill="FFFFFF"/>
            <w:tcMar>
              <w:top w:w="0" w:type="dxa"/>
              <w:left w:w="85" w:type="dxa"/>
              <w:bottom w:w="0" w:type="dxa"/>
              <w:right w:w="85" w:type="dxa"/>
            </w:tcMar>
          </w:tcPr>
          <w:p w14:paraId="45D203E7" w14:textId="77777777" w:rsidR="00E0181F" w:rsidRPr="001D5327" w:rsidRDefault="00E0181F" w:rsidP="00D11AC9">
            <w:pPr>
              <w:pStyle w:val="TableText"/>
              <w:spacing w:before="40" w:after="40"/>
              <w:jc w:val="right"/>
            </w:pPr>
            <w:r w:rsidRPr="001D5327">
              <w:rPr>
                <w:rFonts w:eastAsia="Calibri"/>
              </w:rPr>
              <w:t>205.1</w:t>
            </w:r>
          </w:p>
        </w:tc>
      </w:tr>
      <w:tr w:rsidR="00E0181F" w:rsidRPr="001D5327" w14:paraId="2B546532" w14:textId="77777777" w:rsidTr="00D11AC9">
        <w:tc>
          <w:tcPr>
            <w:tcW w:w="2551" w:type="dxa"/>
            <w:shd w:val="clear" w:color="auto" w:fill="FFFFFF"/>
            <w:tcMar>
              <w:top w:w="0" w:type="dxa"/>
              <w:left w:w="85" w:type="dxa"/>
              <w:bottom w:w="0" w:type="dxa"/>
              <w:right w:w="85" w:type="dxa"/>
            </w:tcMar>
          </w:tcPr>
          <w:p w14:paraId="23CE4766" w14:textId="77777777" w:rsidR="00E0181F" w:rsidRPr="001D5327" w:rsidRDefault="00E0181F" w:rsidP="00D11AC9">
            <w:pPr>
              <w:pStyle w:val="Tableboldblue"/>
              <w:spacing w:before="40" w:after="40"/>
            </w:pPr>
            <w:r w:rsidRPr="001D5327">
              <w:rPr>
                <w:rFonts w:eastAsia="Calibri"/>
              </w:rPr>
              <w:t>Total</w:t>
            </w:r>
          </w:p>
        </w:tc>
        <w:tc>
          <w:tcPr>
            <w:tcW w:w="1020" w:type="dxa"/>
            <w:shd w:val="clear" w:color="auto" w:fill="FFFFFF"/>
            <w:tcMar>
              <w:top w:w="0" w:type="dxa"/>
              <w:left w:w="85" w:type="dxa"/>
              <w:bottom w:w="0" w:type="dxa"/>
              <w:right w:w="85" w:type="dxa"/>
            </w:tcMar>
          </w:tcPr>
          <w:p w14:paraId="3B95D757" w14:textId="77777777" w:rsidR="00E0181F" w:rsidRPr="001D5327" w:rsidRDefault="00E0181F" w:rsidP="00D11AC9">
            <w:pPr>
              <w:pStyle w:val="Tableboldblue"/>
              <w:spacing w:before="40" w:after="40"/>
              <w:jc w:val="right"/>
            </w:pPr>
            <w:r w:rsidRPr="001D5327">
              <w:rPr>
                <w:rFonts w:eastAsia="Calibri"/>
              </w:rPr>
              <w:t>15,256,236</w:t>
            </w:r>
          </w:p>
        </w:tc>
        <w:tc>
          <w:tcPr>
            <w:tcW w:w="1020" w:type="dxa"/>
            <w:shd w:val="clear" w:color="auto" w:fill="FFFFFF"/>
            <w:tcMar>
              <w:top w:w="0" w:type="dxa"/>
              <w:left w:w="85" w:type="dxa"/>
              <w:bottom w:w="0" w:type="dxa"/>
              <w:right w:w="85" w:type="dxa"/>
            </w:tcMar>
          </w:tcPr>
          <w:p w14:paraId="7E7302C9" w14:textId="77777777" w:rsidR="00E0181F" w:rsidRPr="001D5327" w:rsidRDefault="00E0181F" w:rsidP="00D11AC9">
            <w:pPr>
              <w:pStyle w:val="Tableboldblue"/>
              <w:spacing w:before="40" w:after="40"/>
              <w:jc w:val="right"/>
            </w:pPr>
            <w:r w:rsidRPr="001D5327">
              <w:rPr>
                <w:rFonts w:eastAsia="Calibri"/>
              </w:rPr>
              <w:t>14,333,242</w:t>
            </w:r>
          </w:p>
        </w:tc>
        <w:tc>
          <w:tcPr>
            <w:tcW w:w="1134" w:type="dxa"/>
            <w:shd w:val="clear" w:color="auto" w:fill="FFFFFF"/>
            <w:tcMar>
              <w:top w:w="0" w:type="dxa"/>
              <w:left w:w="85" w:type="dxa"/>
              <w:bottom w:w="0" w:type="dxa"/>
              <w:right w:w="85" w:type="dxa"/>
            </w:tcMar>
          </w:tcPr>
          <w:p w14:paraId="1D3EE596" w14:textId="794FCECE" w:rsidR="00E0181F" w:rsidRPr="001D5327" w:rsidRDefault="0070503C" w:rsidP="00D11AC9">
            <w:pPr>
              <w:pStyle w:val="Tableboldblue"/>
              <w:spacing w:before="40" w:after="40"/>
              <w:jc w:val="right"/>
            </w:pPr>
            <w:r>
              <w:rPr>
                <w:rFonts w:eastAsia="Calibri"/>
              </w:rPr>
              <w:t>-</w:t>
            </w:r>
            <w:r w:rsidR="00E0181F" w:rsidRPr="001D5327">
              <w:rPr>
                <w:rFonts w:eastAsia="Calibri"/>
              </w:rPr>
              <w:t>6.0</w:t>
            </w:r>
          </w:p>
        </w:tc>
        <w:tc>
          <w:tcPr>
            <w:tcW w:w="850" w:type="dxa"/>
            <w:shd w:val="clear" w:color="auto" w:fill="FFFFFF"/>
            <w:tcMar>
              <w:top w:w="0" w:type="dxa"/>
              <w:left w:w="85" w:type="dxa"/>
              <w:bottom w:w="0" w:type="dxa"/>
              <w:right w:w="85" w:type="dxa"/>
            </w:tcMar>
          </w:tcPr>
          <w:p w14:paraId="10FA7C0B" w14:textId="77777777" w:rsidR="00E0181F" w:rsidRPr="001D5327" w:rsidRDefault="00E0181F" w:rsidP="00D11AC9">
            <w:pPr>
              <w:pStyle w:val="Tableboldblue"/>
              <w:spacing w:before="40" w:after="40"/>
              <w:jc w:val="right"/>
            </w:pPr>
            <w:r w:rsidRPr="001D5327">
              <w:rPr>
                <w:rFonts w:eastAsia="Calibri"/>
              </w:rPr>
              <w:t>819.9</w:t>
            </w:r>
          </w:p>
        </w:tc>
        <w:tc>
          <w:tcPr>
            <w:tcW w:w="850" w:type="dxa"/>
            <w:shd w:val="clear" w:color="auto" w:fill="FFFFFF"/>
            <w:tcMar>
              <w:top w:w="0" w:type="dxa"/>
              <w:left w:w="85" w:type="dxa"/>
              <w:bottom w:w="0" w:type="dxa"/>
              <w:right w:w="85" w:type="dxa"/>
            </w:tcMar>
          </w:tcPr>
          <w:p w14:paraId="74756F96" w14:textId="77777777" w:rsidR="00E0181F" w:rsidRPr="001D5327" w:rsidRDefault="00E0181F" w:rsidP="00D11AC9">
            <w:pPr>
              <w:pStyle w:val="Tableboldblue"/>
              <w:spacing w:before="40" w:after="40"/>
              <w:jc w:val="right"/>
            </w:pPr>
            <w:r w:rsidRPr="001D5327">
              <w:rPr>
                <w:rFonts w:eastAsia="Calibri"/>
              </w:rPr>
              <w:t>2,884.2</w:t>
            </w:r>
          </w:p>
        </w:tc>
        <w:tc>
          <w:tcPr>
            <w:tcW w:w="1134" w:type="dxa"/>
            <w:shd w:val="clear" w:color="auto" w:fill="FFFFFF"/>
            <w:tcMar>
              <w:top w:w="0" w:type="dxa"/>
              <w:left w:w="85" w:type="dxa"/>
              <w:bottom w:w="0" w:type="dxa"/>
              <w:right w:w="85" w:type="dxa"/>
            </w:tcMar>
          </w:tcPr>
          <w:p w14:paraId="5846B32B" w14:textId="77777777" w:rsidR="00E0181F" w:rsidRPr="001D5327" w:rsidRDefault="00E0181F" w:rsidP="00D11AC9">
            <w:pPr>
              <w:pStyle w:val="Tableboldblue"/>
              <w:spacing w:before="40" w:after="40"/>
              <w:jc w:val="right"/>
            </w:pPr>
            <w:r w:rsidRPr="001D5327">
              <w:rPr>
                <w:rFonts w:eastAsia="Calibri"/>
              </w:rPr>
              <w:t>251.8</w:t>
            </w:r>
          </w:p>
        </w:tc>
      </w:tr>
    </w:tbl>
    <w:p w14:paraId="5FBAEA35" w14:textId="77777777" w:rsidR="00E0181F" w:rsidRPr="001D5327" w:rsidRDefault="00E0181F" w:rsidP="007A7DB4">
      <w:pPr>
        <w:pStyle w:val="Noteundertable"/>
        <w:spacing w:after="100"/>
        <w:rPr>
          <w:rFonts w:eastAsia="Segoe UI"/>
        </w:rPr>
      </w:pPr>
      <w:r w:rsidRPr="001D5327">
        <w:rPr>
          <w:rFonts w:eastAsia="Segoe UI"/>
          <w:b/>
        </w:rPr>
        <w:t>Note:</w:t>
      </w:r>
      <w:r w:rsidRPr="001D5327">
        <w:rPr>
          <w:rFonts w:eastAsia="Segoe UI"/>
        </w:rPr>
        <w:tab/>
      </w:r>
      <w:r w:rsidRPr="001D5327">
        <w:t xml:space="preserve">Net area in 1990 is as at 1 January 1990; net area in 2023 is as at 31 December 2023. </w:t>
      </w:r>
      <w:r w:rsidRPr="001D5327">
        <w:rPr>
          <w:i/>
        </w:rPr>
        <w:t>Land converted to grassland</w:t>
      </w:r>
      <w:r w:rsidRPr="001D5327">
        <w:t xml:space="preserve"> includes land converted up to 20 years earlier. Net emission estimates are for the whole year indicated. Columns may not total due to rounding.</w:t>
      </w:r>
    </w:p>
    <w:p w14:paraId="20B7D231" w14:textId="77777777" w:rsidR="00E0181F" w:rsidRPr="001D5327" w:rsidRDefault="00E0181F" w:rsidP="007A7DB4">
      <w:pPr>
        <w:pStyle w:val="BodyText"/>
        <w:spacing w:after="100"/>
      </w:pPr>
      <w:r w:rsidRPr="001D5327">
        <w:t xml:space="preserve">In New Zealand, the </w:t>
      </w:r>
      <w:r w:rsidRPr="001D5327">
        <w:rPr>
          <w:i/>
        </w:rPr>
        <w:t>Grassland</w:t>
      </w:r>
      <w:r w:rsidRPr="001D5327">
        <w:t xml:space="preserve"> category is used to describe a range of land cover types. In this submission, three types of </w:t>
      </w:r>
      <w:r w:rsidRPr="001D5327">
        <w:rPr>
          <w:i/>
        </w:rPr>
        <w:t>Grassland</w:t>
      </w:r>
      <w:r w:rsidRPr="001D5327">
        <w:t xml:space="preserve"> are used: high producing, low producing, and with woody biomass. Detailed descriptions of each </w:t>
      </w:r>
      <w:r w:rsidRPr="001D5327">
        <w:rPr>
          <w:i/>
        </w:rPr>
        <w:t>Grassland</w:t>
      </w:r>
      <w:r w:rsidRPr="001D5327">
        <w:t xml:space="preserve"> type can be found in table 6.2.2 and are briefly summarised below:</w:t>
      </w:r>
    </w:p>
    <w:p w14:paraId="47075A99" w14:textId="77777777" w:rsidR="00E0181F" w:rsidRPr="001D5327" w:rsidRDefault="00E0181F" w:rsidP="00407428">
      <w:pPr>
        <w:pStyle w:val="Bullet"/>
        <w:numPr>
          <w:ilvl w:val="0"/>
          <w:numId w:val="23"/>
        </w:numPr>
        <w:spacing w:after="100"/>
        <w:ind w:left="397" w:hanging="397"/>
      </w:pPr>
      <w:r w:rsidRPr="001D5327">
        <w:rPr>
          <w:i/>
          <w:iCs/>
        </w:rPr>
        <w:t xml:space="preserve">High producing grassland </w:t>
      </w:r>
      <w:r w:rsidRPr="001D5327">
        <w:t>– intensively managed pasture land</w:t>
      </w:r>
    </w:p>
    <w:p w14:paraId="002B6D49" w14:textId="77777777" w:rsidR="00E0181F" w:rsidRPr="001D5327" w:rsidRDefault="00E0181F" w:rsidP="00407428">
      <w:pPr>
        <w:pStyle w:val="Bullet"/>
        <w:numPr>
          <w:ilvl w:val="0"/>
          <w:numId w:val="23"/>
        </w:numPr>
        <w:spacing w:after="100"/>
        <w:ind w:left="397" w:hanging="397"/>
      </w:pPr>
      <w:r w:rsidRPr="001D5327">
        <w:rPr>
          <w:i/>
          <w:iCs/>
        </w:rPr>
        <w:t>Low producing grassland</w:t>
      </w:r>
      <w:r w:rsidRPr="001D5327">
        <w:t xml:space="preserve"> – low-fertility grasses on hill country, areas of native tussock and areas composed of low, shrubby vegetation, both above and below the timberline</w:t>
      </w:r>
    </w:p>
    <w:p w14:paraId="1D0C4ADC" w14:textId="77777777" w:rsidR="00E0181F" w:rsidRPr="001D5327" w:rsidRDefault="00E0181F" w:rsidP="00407428">
      <w:pPr>
        <w:pStyle w:val="Bullet"/>
        <w:numPr>
          <w:ilvl w:val="0"/>
          <w:numId w:val="23"/>
        </w:numPr>
        <w:spacing w:after="100"/>
        <w:ind w:left="397" w:hanging="397"/>
      </w:pPr>
      <w:r w:rsidRPr="001D5327">
        <w:rPr>
          <w:i/>
          <w:iCs/>
        </w:rPr>
        <w:t>Grassland with woody biomass</w:t>
      </w:r>
      <w:r w:rsidRPr="001D5327">
        <w:t xml:space="preserve"> – grassland areas where the cover of woody species is less than 30 per cent and/or does not meet, nor has the potential to meet, the New Zealand forest definition due to the current management regime (e.g., periodically cleared for grazing), or due to characteristics of the vegetation or environmental constraints (e.g., alpine shrubland).</w:t>
      </w:r>
    </w:p>
    <w:p w14:paraId="7BA09C62" w14:textId="77777777" w:rsidR="00E0181F" w:rsidRPr="001D5327" w:rsidRDefault="00E0181F" w:rsidP="00735425">
      <w:pPr>
        <w:pStyle w:val="BodyText"/>
        <w:spacing w:before="100" w:after="100"/>
      </w:pPr>
      <w:r w:rsidRPr="001D5327">
        <w:rPr>
          <w:i/>
          <w:iCs/>
        </w:rPr>
        <w:t>Grassland with woody biomass</w:t>
      </w:r>
      <w:r w:rsidRPr="001D5327">
        <w:t xml:space="preserve"> is a diverse land use and has therefore been disaggregated into two types: permanent (51.1 per cent) and transitional (48.9 per cent), as described in table 6.6.2. A grid-based assessment of </w:t>
      </w:r>
      <w:r w:rsidRPr="001D5327">
        <w:rPr>
          <w:i/>
          <w:iCs/>
        </w:rPr>
        <w:t>Grassland with woody biomass</w:t>
      </w:r>
      <w:r w:rsidRPr="001D5327">
        <w:t xml:space="preserve"> was used to determine this disaggregation; this was done through a combination of plot measurements and virtual </w:t>
      </w:r>
      <w:r w:rsidRPr="001D5327">
        <w:lastRenderedPageBreak/>
        <w:t xml:space="preserve">assessments of grid points where plots did not exist (Wakelin and Beets, unpublished). Separate emission factors for each type of </w:t>
      </w:r>
      <w:r w:rsidRPr="001D5327">
        <w:rPr>
          <w:i/>
          <w:iCs/>
        </w:rPr>
        <w:t>Grassland with woody biomass</w:t>
      </w:r>
      <w:r w:rsidRPr="001D5327">
        <w:t xml:space="preserve"> are derived from the LUCAS national plot network (Wakelin and Beets, unpublished). Within the CRTs, reporting on </w:t>
      </w:r>
      <w:r w:rsidRPr="001D5327">
        <w:rPr>
          <w:i/>
          <w:iCs/>
        </w:rPr>
        <w:t>Grassland with woody biomass</w:t>
      </w:r>
      <w:r w:rsidRPr="001D5327">
        <w:t xml:space="preserve"> is at the aggregate level. </w:t>
      </w:r>
    </w:p>
    <w:p w14:paraId="5B9C483F" w14:textId="77777777" w:rsidR="00E0181F" w:rsidRPr="001D5327" w:rsidRDefault="00E0181F" w:rsidP="00E0181F">
      <w:pPr>
        <w:pStyle w:val="Table"/>
      </w:pPr>
      <w:bookmarkStart w:id="2317" w:name="_Toc131591409"/>
      <w:bookmarkStart w:id="2318" w:name="_Toc158979967"/>
      <w:bookmarkStart w:id="2319" w:name="_Toc164153900"/>
      <w:bookmarkStart w:id="2320" w:name="_Toc190873134"/>
      <w:bookmarkStart w:id="2321" w:name="_Toc194241773"/>
      <w:r w:rsidRPr="001D5327">
        <w:t>Table 6.6.2</w:t>
      </w:r>
      <w:r w:rsidRPr="001D5327">
        <w:tab/>
      </w:r>
      <w:r w:rsidRPr="001D5327">
        <w:rPr>
          <w:i/>
          <w:iCs/>
        </w:rPr>
        <w:t>Grassland with woody biomass</w:t>
      </w:r>
      <w:r w:rsidRPr="001D5327">
        <w:t xml:space="preserve"> categories and description</w:t>
      </w:r>
      <w:bookmarkEnd w:id="2317"/>
      <w:bookmarkEnd w:id="2318"/>
      <w:bookmarkEnd w:id="2319"/>
      <w:bookmarkEnd w:id="2320"/>
      <w:bookmarkEnd w:id="2321"/>
    </w:p>
    <w:tbl>
      <w:tblPr>
        <w:tblW w:w="8505" w:type="dxa"/>
        <w:tblBorders>
          <w:top w:val="single" w:sz="4" w:space="0" w:color="365F91"/>
          <w:bottom w:val="single" w:sz="4" w:space="0" w:color="365F91"/>
          <w:insideH w:val="single" w:sz="4" w:space="0" w:color="365F91"/>
          <w:insideV w:val="single" w:sz="4" w:space="0" w:color="365F91"/>
        </w:tblBorders>
        <w:tblCellMar>
          <w:right w:w="85" w:type="dxa"/>
        </w:tblCellMar>
        <w:tblLook w:val="04A0" w:firstRow="1" w:lastRow="0" w:firstColumn="1" w:lastColumn="0" w:noHBand="0" w:noVBand="1"/>
      </w:tblPr>
      <w:tblGrid>
        <w:gridCol w:w="1985"/>
        <w:gridCol w:w="3260"/>
        <w:gridCol w:w="3260"/>
      </w:tblGrid>
      <w:tr w:rsidR="00E0181F" w:rsidRPr="001D5327" w14:paraId="494830FA" w14:textId="77777777" w:rsidTr="00D11AC9">
        <w:trPr>
          <w:tblHeader/>
        </w:trPr>
        <w:tc>
          <w:tcPr>
            <w:tcW w:w="1985" w:type="dxa"/>
            <w:tcBorders>
              <w:top w:val="single" w:sz="4" w:space="0" w:color="1B556B"/>
              <w:left w:val="nil"/>
              <w:bottom w:val="single" w:sz="4" w:space="0" w:color="1B556B"/>
              <w:right w:val="nil"/>
            </w:tcBorders>
            <w:shd w:val="clear" w:color="auto" w:fill="1B556B" w:themeFill="text2"/>
            <w:hideMark/>
          </w:tcPr>
          <w:p w14:paraId="158C816A" w14:textId="77777777" w:rsidR="00E0181F" w:rsidRPr="001D5327" w:rsidRDefault="00E0181F" w:rsidP="007A7DB4">
            <w:pPr>
              <w:pStyle w:val="TableTextBold"/>
              <w:spacing w:before="40" w:after="40" w:line="256" w:lineRule="auto"/>
              <w:rPr>
                <w:noProof w:val="0"/>
                <w:color w:val="FFFFFF"/>
              </w:rPr>
            </w:pPr>
            <w:r w:rsidRPr="001D5327">
              <w:rPr>
                <w:noProof w:val="0"/>
                <w:color w:val="FFFFFF"/>
              </w:rPr>
              <w:t>Grassland with woody biomass categories</w:t>
            </w:r>
          </w:p>
        </w:tc>
        <w:tc>
          <w:tcPr>
            <w:tcW w:w="3260" w:type="dxa"/>
            <w:tcBorders>
              <w:top w:val="single" w:sz="4" w:space="0" w:color="1B556B"/>
              <w:left w:val="nil"/>
              <w:bottom w:val="single" w:sz="4" w:space="0" w:color="1B556B"/>
              <w:right w:val="nil"/>
            </w:tcBorders>
            <w:shd w:val="clear" w:color="auto" w:fill="1B556B" w:themeFill="text2"/>
            <w:vAlign w:val="bottom"/>
            <w:hideMark/>
          </w:tcPr>
          <w:p w14:paraId="4A4D81E5" w14:textId="77777777" w:rsidR="00E0181F" w:rsidRPr="001D5327" w:rsidRDefault="00E0181F" w:rsidP="007A7DB4">
            <w:pPr>
              <w:pStyle w:val="TableTextBold"/>
              <w:spacing w:before="40" w:after="40" w:line="256" w:lineRule="auto"/>
              <w:rPr>
                <w:noProof w:val="0"/>
                <w:color w:val="FFFFFF"/>
              </w:rPr>
            </w:pPr>
            <w:r w:rsidRPr="001D5327">
              <w:rPr>
                <w:noProof w:val="0"/>
                <w:color w:val="FFFFFF"/>
              </w:rPr>
              <w:t>Description</w:t>
            </w:r>
          </w:p>
        </w:tc>
        <w:tc>
          <w:tcPr>
            <w:tcW w:w="3260" w:type="dxa"/>
            <w:tcBorders>
              <w:top w:val="single" w:sz="4" w:space="0" w:color="1B556B"/>
              <w:left w:val="nil"/>
              <w:bottom w:val="single" w:sz="4" w:space="0" w:color="1B556B"/>
              <w:right w:val="single" w:sz="4" w:space="0" w:color="365F91"/>
            </w:tcBorders>
            <w:shd w:val="clear" w:color="auto" w:fill="1B556B" w:themeFill="text2"/>
            <w:vAlign w:val="bottom"/>
          </w:tcPr>
          <w:p w14:paraId="1A7D057C" w14:textId="77777777" w:rsidR="00E0181F" w:rsidRPr="001D5327" w:rsidRDefault="00E0181F" w:rsidP="007A7DB4">
            <w:pPr>
              <w:pStyle w:val="TableTextBold"/>
              <w:spacing w:before="40" w:after="40" w:line="256" w:lineRule="auto"/>
              <w:rPr>
                <w:noProof w:val="0"/>
                <w:color w:val="FFFFFF"/>
              </w:rPr>
            </w:pPr>
            <w:r w:rsidRPr="001D5327">
              <w:rPr>
                <w:noProof w:val="0"/>
                <w:color w:val="FFFFFF"/>
              </w:rPr>
              <w:t xml:space="preserve">Expected occurrence </w:t>
            </w:r>
          </w:p>
        </w:tc>
      </w:tr>
      <w:tr w:rsidR="00E0181F" w:rsidRPr="001D5327" w14:paraId="14E32156" w14:textId="77777777" w:rsidTr="00D11AC9">
        <w:tc>
          <w:tcPr>
            <w:tcW w:w="1985" w:type="dxa"/>
            <w:tcBorders>
              <w:top w:val="single" w:sz="4" w:space="0" w:color="1B556B"/>
              <w:left w:val="nil"/>
              <w:bottom w:val="single" w:sz="4" w:space="0" w:color="365F91"/>
              <w:right w:val="nil"/>
            </w:tcBorders>
            <w:hideMark/>
          </w:tcPr>
          <w:p w14:paraId="718BB2DF" w14:textId="77777777" w:rsidR="00E0181F" w:rsidRPr="001D5327" w:rsidRDefault="00E0181F" w:rsidP="007A7DB4">
            <w:pPr>
              <w:pStyle w:val="TableText"/>
              <w:spacing w:before="40" w:after="40" w:line="256" w:lineRule="auto"/>
              <w:rPr>
                <w:rFonts w:cs="Arial Bold"/>
                <w:szCs w:val="16"/>
              </w:rPr>
            </w:pPr>
            <w:r w:rsidRPr="001D5327">
              <w:rPr>
                <w:rFonts w:cs="Arial Bold"/>
                <w:szCs w:val="16"/>
              </w:rPr>
              <w:t xml:space="preserve">Transitional </w:t>
            </w:r>
          </w:p>
        </w:tc>
        <w:tc>
          <w:tcPr>
            <w:tcW w:w="3260" w:type="dxa"/>
            <w:tcBorders>
              <w:top w:val="single" w:sz="4" w:space="0" w:color="1B556B"/>
              <w:left w:val="nil"/>
              <w:bottom w:val="single" w:sz="4" w:space="0" w:color="365F91"/>
              <w:right w:val="nil"/>
            </w:tcBorders>
            <w:hideMark/>
          </w:tcPr>
          <w:p w14:paraId="1759FCDD" w14:textId="77777777" w:rsidR="00E0181F" w:rsidRPr="001D5327" w:rsidRDefault="00E0181F" w:rsidP="007A7DB4">
            <w:pPr>
              <w:pStyle w:val="TableText"/>
              <w:spacing w:before="40" w:after="40" w:line="256" w:lineRule="auto"/>
              <w:rPr>
                <w:rFonts w:cs="Arial Bold"/>
                <w:szCs w:val="16"/>
              </w:rPr>
            </w:pPr>
            <w:r w:rsidRPr="001D5327">
              <w:rPr>
                <w:rFonts w:cs="Arial Bold"/>
                <w:szCs w:val="16"/>
              </w:rPr>
              <w:t xml:space="preserve">Areas of woody shrublands within farmland that </w:t>
            </w:r>
            <w:r w:rsidRPr="001D5327">
              <w:t>do not become forest over a 30- to 40</w:t>
            </w:r>
            <w:r w:rsidRPr="001D5327">
              <w:noBreakHyphen/>
              <w:t>year timeframe (Trotter and MacKay, unpublished).</w:t>
            </w:r>
          </w:p>
        </w:tc>
        <w:tc>
          <w:tcPr>
            <w:tcW w:w="3260" w:type="dxa"/>
            <w:tcBorders>
              <w:top w:val="single" w:sz="4" w:space="0" w:color="1B556B"/>
              <w:left w:val="nil"/>
              <w:bottom w:val="single" w:sz="4" w:space="0" w:color="365F91"/>
              <w:right w:val="nil"/>
            </w:tcBorders>
          </w:tcPr>
          <w:p w14:paraId="72467AD5" w14:textId="77777777" w:rsidR="00E0181F" w:rsidRPr="001D5327" w:rsidRDefault="00E0181F" w:rsidP="007A7DB4">
            <w:pPr>
              <w:pStyle w:val="TableText"/>
              <w:spacing w:before="40" w:after="40" w:line="256" w:lineRule="auto"/>
              <w:rPr>
                <w:rFonts w:cs="Arial Bold"/>
                <w:szCs w:val="16"/>
              </w:rPr>
            </w:pPr>
            <w:r w:rsidRPr="001D5327">
              <w:rPr>
                <w:rFonts w:cs="Arial Bold"/>
                <w:szCs w:val="16"/>
              </w:rPr>
              <w:t xml:space="preserve">Where livestock grazes areas of woody shrubland or where woody shrubland is managed in other ways (e.g., spraying) to prevent it from becoming forest. </w:t>
            </w:r>
          </w:p>
        </w:tc>
      </w:tr>
      <w:tr w:rsidR="00E0181F" w:rsidRPr="001D5327" w14:paraId="547BFEB6" w14:textId="77777777" w:rsidTr="00D11AC9">
        <w:tc>
          <w:tcPr>
            <w:tcW w:w="1985" w:type="dxa"/>
            <w:tcBorders>
              <w:top w:val="single" w:sz="4" w:space="0" w:color="365F91"/>
              <w:left w:val="nil"/>
              <w:bottom w:val="single" w:sz="4" w:space="0" w:color="365F91"/>
              <w:right w:val="nil"/>
            </w:tcBorders>
          </w:tcPr>
          <w:p w14:paraId="68829FB4" w14:textId="77777777" w:rsidR="00E0181F" w:rsidRPr="001D5327" w:rsidRDefault="00E0181F" w:rsidP="007A7DB4">
            <w:pPr>
              <w:pStyle w:val="TableText"/>
              <w:spacing w:before="40" w:after="40" w:line="256" w:lineRule="auto"/>
              <w:rPr>
                <w:rFonts w:cs="Arial Bold"/>
                <w:szCs w:val="16"/>
              </w:rPr>
            </w:pPr>
            <w:r w:rsidRPr="001D5327">
              <w:rPr>
                <w:rFonts w:cs="Arial Bold"/>
                <w:szCs w:val="16"/>
              </w:rPr>
              <w:t>Permanent</w:t>
            </w:r>
          </w:p>
        </w:tc>
        <w:tc>
          <w:tcPr>
            <w:tcW w:w="3260" w:type="dxa"/>
            <w:tcBorders>
              <w:top w:val="single" w:sz="4" w:space="0" w:color="365F91"/>
              <w:left w:val="nil"/>
              <w:bottom w:val="single" w:sz="4" w:space="0" w:color="365F91"/>
              <w:right w:val="nil"/>
            </w:tcBorders>
            <w:hideMark/>
          </w:tcPr>
          <w:p w14:paraId="7635B6D2" w14:textId="77777777" w:rsidR="00E0181F" w:rsidRPr="001D5327" w:rsidRDefault="00E0181F" w:rsidP="007A7DB4">
            <w:pPr>
              <w:pStyle w:val="TableText"/>
              <w:spacing w:before="40" w:after="40" w:line="256" w:lineRule="auto"/>
              <w:rPr>
                <w:rFonts w:cs="Arial Bold"/>
                <w:szCs w:val="16"/>
              </w:rPr>
            </w:pPr>
            <w:r w:rsidRPr="001D5327">
              <w:rPr>
                <w:rFonts w:cs="Arial Bold"/>
                <w:szCs w:val="16"/>
              </w:rPr>
              <w:t xml:space="preserve">Land covered by woody vegetation that does not meet the forest definition and is not expected to do so under current ecological, management or environmental conditions. </w:t>
            </w:r>
          </w:p>
        </w:tc>
        <w:tc>
          <w:tcPr>
            <w:tcW w:w="3260" w:type="dxa"/>
            <w:tcBorders>
              <w:top w:val="single" w:sz="4" w:space="0" w:color="365F91"/>
              <w:left w:val="nil"/>
              <w:bottom w:val="single" w:sz="4" w:space="0" w:color="365F91"/>
              <w:right w:val="nil"/>
            </w:tcBorders>
          </w:tcPr>
          <w:p w14:paraId="05B38EDA" w14:textId="77777777" w:rsidR="00E0181F" w:rsidRPr="001D5327" w:rsidRDefault="00E0181F" w:rsidP="007A7DB4">
            <w:pPr>
              <w:pStyle w:val="TableText"/>
              <w:spacing w:before="40" w:after="40" w:line="256" w:lineRule="auto"/>
              <w:rPr>
                <w:rFonts w:cs="Arial Bold"/>
                <w:szCs w:val="16"/>
              </w:rPr>
            </w:pPr>
            <w:r w:rsidRPr="001D5327">
              <w:rPr>
                <w:rFonts w:cs="Arial Bold"/>
                <w:szCs w:val="16"/>
              </w:rPr>
              <w:t>Where abiotic conditions at a site are conducive to low-stature vegetation; for example, vegetation growing at high altitudes, on low-fertility soil or on frost flats.</w:t>
            </w:r>
          </w:p>
        </w:tc>
      </w:tr>
    </w:tbl>
    <w:p w14:paraId="33E76AD4" w14:textId="77777777" w:rsidR="00E0181F" w:rsidRPr="001D5327" w:rsidRDefault="00E0181F" w:rsidP="007A7DB4">
      <w:pPr>
        <w:pStyle w:val="BodyText"/>
        <w:spacing w:before="240" w:after="100"/>
      </w:pPr>
      <w:r w:rsidRPr="001D5327">
        <w:t xml:space="preserve">In 2023, there were 6,736,718 hectares of </w:t>
      </w:r>
      <w:r w:rsidRPr="001D5327">
        <w:rPr>
          <w:i/>
          <w:iCs/>
        </w:rPr>
        <w:t>H</w:t>
      </w:r>
      <w:r w:rsidRPr="001D5327">
        <w:rPr>
          <w:i/>
        </w:rPr>
        <w:t>igh producing grassland</w:t>
      </w:r>
      <w:r w:rsidRPr="001D5327">
        <w:t xml:space="preserve"> (25.0 per cent of total land area), 6,252,599 hectares of </w:t>
      </w:r>
      <w:r w:rsidRPr="001D5327">
        <w:rPr>
          <w:i/>
          <w:iCs/>
        </w:rPr>
        <w:t>Low producing grassland</w:t>
      </w:r>
      <w:r w:rsidRPr="001D5327">
        <w:t xml:space="preserve"> (23.2 per cent of total land area) and 1,343,924 hectares of </w:t>
      </w:r>
      <w:r w:rsidRPr="001D5327">
        <w:rPr>
          <w:i/>
          <w:iCs/>
        </w:rPr>
        <w:t>Grassland with woody biomass</w:t>
      </w:r>
      <w:r w:rsidRPr="001D5327">
        <w:t xml:space="preserve"> (5.0 per cent of total land area). The area of</w:t>
      </w:r>
      <w:r w:rsidRPr="001D5327">
        <w:rPr>
          <w:i/>
          <w:iCs/>
        </w:rPr>
        <w:t xml:space="preserve"> Grassland with woody biomass</w:t>
      </w:r>
      <w:r w:rsidRPr="001D5327">
        <w:t xml:space="preserve"> comprises 479,355 hectares of permanent and 864,569 hectares of transitional </w:t>
      </w:r>
      <w:r w:rsidRPr="001D5327">
        <w:rPr>
          <w:i/>
          <w:iCs/>
        </w:rPr>
        <w:t>Grassland with woody biomass</w:t>
      </w:r>
      <w:r w:rsidRPr="001D5327">
        <w:t xml:space="preserve">. </w:t>
      </w:r>
    </w:p>
    <w:p w14:paraId="4FFA1145" w14:textId="77777777" w:rsidR="00E0181F" w:rsidRPr="001D5327" w:rsidRDefault="00E0181F" w:rsidP="007A7DB4">
      <w:pPr>
        <w:pStyle w:val="BodyText"/>
        <w:spacing w:after="100"/>
      </w:pPr>
      <w:r w:rsidRPr="001D5327">
        <w:t xml:space="preserve">From 1990 to 2023, the net carbon stock change attributed to </w:t>
      </w:r>
      <w:r w:rsidRPr="001D5327">
        <w:rPr>
          <w:i/>
        </w:rPr>
        <w:t>Grassland</w:t>
      </w:r>
      <w:r w:rsidRPr="001D5327">
        <w:t xml:space="preserve"> was a loss of 47,310.3 kt C, equivalent to 173,471.1 kt CO</w:t>
      </w:r>
      <w:r w:rsidRPr="001D5327">
        <w:rPr>
          <w:vertAlign w:val="subscript"/>
        </w:rPr>
        <w:t>2</w:t>
      </w:r>
      <w:r w:rsidRPr="001D5327">
        <w:t xml:space="preserve"> emissions (see table 6.6.3). The majority of these emissions are due to the loss of living biomass carbon stock associated with </w:t>
      </w:r>
      <w:r w:rsidRPr="001D5327">
        <w:rPr>
          <w:i/>
        </w:rPr>
        <w:t>Forest land</w:t>
      </w:r>
      <w:r w:rsidRPr="001D5327">
        <w:t xml:space="preserve"> conversion to </w:t>
      </w:r>
      <w:r w:rsidRPr="001D5327">
        <w:rPr>
          <w:i/>
        </w:rPr>
        <w:t>Grassland</w:t>
      </w:r>
      <w:r w:rsidRPr="001D5327">
        <w:t xml:space="preserve"> (deforestation). </w:t>
      </w:r>
    </w:p>
    <w:p w14:paraId="47755E21" w14:textId="77777777" w:rsidR="00E0181F" w:rsidRPr="001D5327" w:rsidRDefault="00E0181F" w:rsidP="00E0181F">
      <w:pPr>
        <w:pStyle w:val="Table"/>
      </w:pPr>
      <w:bookmarkStart w:id="2322" w:name="_Toc280630467"/>
      <w:bookmarkStart w:id="2323" w:name="_Toc310423423"/>
      <w:bookmarkStart w:id="2324" w:name="_Toc318362716"/>
      <w:bookmarkStart w:id="2325" w:name="_Toc342470778"/>
      <w:bookmarkStart w:id="2326" w:name="_Toc352505018"/>
      <w:bookmarkStart w:id="2327" w:name="_Toc378853308"/>
      <w:bookmarkStart w:id="2328" w:name="_Toc391024106"/>
      <w:bookmarkStart w:id="2329" w:name="_Toc410028849"/>
      <w:bookmarkStart w:id="2330" w:name="_Toc414531477"/>
      <w:bookmarkStart w:id="2331" w:name="_Toc443645390"/>
      <w:bookmarkStart w:id="2332" w:name="_Toc474914609"/>
      <w:bookmarkStart w:id="2333" w:name="_Toc481751573"/>
      <w:bookmarkStart w:id="2334" w:name="_Toc522010630"/>
      <w:bookmarkStart w:id="2335" w:name="_Toc5269535"/>
      <w:bookmarkStart w:id="2336" w:name="_Toc33529409"/>
      <w:bookmarkStart w:id="2337" w:name="_Toc36224615"/>
      <w:bookmarkStart w:id="2338" w:name="_Toc131591410"/>
      <w:bookmarkStart w:id="2339" w:name="_Toc158979968"/>
      <w:bookmarkStart w:id="2340" w:name="_Toc164153901"/>
      <w:bookmarkStart w:id="2341" w:name="_Toc190873135"/>
      <w:bookmarkStart w:id="2342" w:name="_Toc194241774"/>
      <w:r w:rsidRPr="001D5327">
        <w:t>Table 6.6.3</w:t>
      </w:r>
      <w:r w:rsidRPr="001D5327">
        <w:tab/>
        <w:t>New Zealand’s carbon stock change by carbon pool for the</w:t>
      </w:r>
      <w:r w:rsidRPr="001D5327">
        <w:rPr>
          <w:rFonts w:cs="Arial Bold"/>
        </w:rPr>
        <w:t xml:space="preserve"> </w:t>
      </w:r>
      <w:r w:rsidRPr="001D5327">
        <w:rPr>
          <w:rFonts w:cs="Arial Bold"/>
          <w:i/>
        </w:rPr>
        <w:t>Grassland</w:t>
      </w:r>
      <w:r w:rsidRPr="001D5327">
        <w:t xml:space="preserve"> category,</w:t>
      </w:r>
      <w:r w:rsidRPr="001D5327">
        <w:br/>
        <w:t>from 1990 to</w:t>
      </w:r>
      <w:bookmarkEnd w:id="2322"/>
      <w:bookmarkEnd w:id="2323"/>
      <w:bookmarkEnd w:id="2324"/>
      <w:bookmarkEnd w:id="2325"/>
      <w:bookmarkEnd w:id="2326"/>
      <w:bookmarkEnd w:id="2327"/>
      <w:bookmarkEnd w:id="2328"/>
      <w:r w:rsidRPr="001D5327">
        <w:t> </w:t>
      </w:r>
      <w:bookmarkEnd w:id="2329"/>
      <w:bookmarkEnd w:id="2330"/>
      <w:bookmarkEnd w:id="2331"/>
      <w:bookmarkEnd w:id="2332"/>
      <w:bookmarkEnd w:id="2333"/>
      <w:bookmarkEnd w:id="2334"/>
      <w:bookmarkEnd w:id="2335"/>
      <w:bookmarkEnd w:id="2336"/>
      <w:bookmarkEnd w:id="2337"/>
      <w:bookmarkEnd w:id="2338"/>
      <w:bookmarkEnd w:id="2339"/>
      <w:bookmarkEnd w:id="2340"/>
      <w:r w:rsidRPr="001D5327">
        <w:t>2023</w:t>
      </w:r>
      <w:bookmarkEnd w:id="2341"/>
      <w:bookmarkEnd w:id="2342"/>
    </w:p>
    <w:tbl>
      <w:tblPr>
        <w:tblW w:w="0" w:type="auto"/>
        <w:tblBorders>
          <w:top w:val="single" w:sz="4" w:space="0" w:color="1B556B"/>
          <w:bottom w:val="single" w:sz="4" w:space="0" w:color="1B556B"/>
          <w:insideH w:val="single" w:sz="4" w:space="0" w:color="1B556B"/>
        </w:tblBorders>
        <w:tblLayout w:type="fixed"/>
        <w:tblCellMar>
          <w:left w:w="85" w:type="dxa"/>
          <w:right w:w="85" w:type="dxa"/>
        </w:tblCellMar>
        <w:tblLook w:val="0420" w:firstRow="1" w:lastRow="0" w:firstColumn="0" w:lastColumn="0" w:noHBand="0" w:noVBand="1"/>
      </w:tblPr>
      <w:tblGrid>
        <w:gridCol w:w="2325"/>
        <w:gridCol w:w="1191"/>
        <w:gridCol w:w="1588"/>
        <w:gridCol w:w="794"/>
        <w:gridCol w:w="906"/>
        <w:gridCol w:w="1645"/>
      </w:tblGrid>
      <w:tr w:rsidR="00E0181F" w:rsidRPr="001D5327" w14:paraId="34D0D749" w14:textId="77777777" w:rsidTr="00D11AC9">
        <w:trPr>
          <w:tblHeader/>
        </w:trPr>
        <w:tc>
          <w:tcPr>
            <w:tcW w:w="2325" w:type="dxa"/>
            <w:shd w:val="clear" w:color="auto" w:fill="1B556B"/>
            <w:tcMar>
              <w:top w:w="0" w:type="dxa"/>
              <w:left w:w="85" w:type="dxa"/>
              <w:bottom w:w="0" w:type="dxa"/>
              <w:right w:w="85" w:type="dxa"/>
            </w:tcMar>
            <w:vAlign w:val="center"/>
          </w:tcPr>
          <w:p w14:paraId="7CA8FE90" w14:textId="77777777" w:rsidR="00E0181F" w:rsidRPr="001D5327" w:rsidRDefault="00E0181F" w:rsidP="00D11AC9">
            <w:pPr>
              <w:pStyle w:val="TableTextBold"/>
              <w:spacing w:before="40" w:after="40"/>
              <w:rPr>
                <w:noProof w:val="0"/>
                <w:color w:val="FFFFFF" w:themeColor="background1"/>
              </w:rPr>
            </w:pPr>
          </w:p>
        </w:tc>
        <w:tc>
          <w:tcPr>
            <w:tcW w:w="4479" w:type="dxa"/>
            <w:gridSpan w:val="4"/>
            <w:shd w:val="clear" w:color="auto" w:fill="1B556B"/>
            <w:tcMar>
              <w:top w:w="0" w:type="dxa"/>
              <w:left w:w="85" w:type="dxa"/>
              <w:bottom w:w="0" w:type="dxa"/>
              <w:right w:w="85" w:type="dxa"/>
            </w:tcMar>
            <w:vAlign w:val="center"/>
          </w:tcPr>
          <w:p w14:paraId="7A3ACDB3"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noProof w:val="0"/>
                <w:color w:val="FFFFFF" w:themeColor="background1"/>
              </w:rPr>
              <w:t>Net carbon stock change 1990–2023 (kt C)</w:t>
            </w:r>
          </w:p>
        </w:tc>
        <w:tc>
          <w:tcPr>
            <w:tcW w:w="1645" w:type="dxa"/>
            <w:shd w:val="clear" w:color="auto" w:fill="1B556B"/>
            <w:tcMar>
              <w:top w:w="0" w:type="dxa"/>
              <w:left w:w="85" w:type="dxa"/>
              <w:bottom w:w="0" w:type="dxa"/>
              <w:right w:w="85" w:type="dxa"/>
            </w:tcMar>
            <w:vAlign w:val="center"/>
          </w:tcPr>
          <w:p w14:paraId="3CF241BD" w14:textId="77777777" w:rsidR="00E0181F" w:rsidRPr="001D5327" w:rsidRDefault="00E0181F" w:rsidP="00D11AC9">
            <w:pPr>
              <w:pStyle w:val="TableTextBold"/>
              <w:spacing w:before="40" w:after="40"/>
              <w:rPr>
                <w:noProof w:val="0"/>
                <w:color w:val="FFFFFF" w:themeColor="background1"/>
              </w:rPr>
            </w:pPr>
            <w:r w:rsidRPr="001D5327">
              <w:rPr>
                <w:rFonts w:eastAsia="Calibri"/>
                <w:noProof w:val="0"/>
                <w:color w:val="FFFFFF" w:themeColor="background1"/>
              </w:rPr>
              <w:t>Emissions 1990–2023</w:t>
            </w:r>
          </w:p>
        </w:tc>
      </w:tr>
      <w:tr w:rsidR="00A66A0F" w:rsidRPr="001D5327" w14:paraId="3ECCC885" w14:textId="77777777" w:rsidTr="00D11AC9">
        <w:trPr>
          <w:tblHeader/>
        </w:trPr>
        <w:tc>
          <w:tcPr>
            <w:tcW w:w="2325" w:type="dxa"/>
            <w:shd w:val="clear" w:color="auto" w:fill="1B556B"/>
            <w:tcMar>
              <w:top w:w="0" w:type="dxa"/>
              <w:left w:w="85" w:type="dxa"/>
              <w:bottom w:w="0" w:type="dxa"/>
              <w:right w:w="85" w:type="dxa"/>
            </w:tcMar>
            <w:vAlign w:val="center"/>
          </w:tcPr>
          <w:p w14:paraId="4ADFED60" w14:textId="77777777" w:rsidR="00E0181F" w:rsidRPr="001D5327" w:rsidRDefault="00E0181F" w:rsidP="00D11AC9">
            <w:pPr>
              <w:pStyle w:val="TableTextBold"/>
              <w:spacing w:before="0" w:after="40"/>
              <w:rPr>
                <w:noProof w:val="0"/>
                <w:color w:val="FFFFFF" w:themeColor="background1"/>
              </w:rPr>
            </w:pPr>
            <w:r w:rsidRPr="001D5327">
              <w:rPr>
                <w:rFonts w:eastAsia="Calibri"/>
                <w:noProof w:val="0"/>
                <w:color w:val="FFFFFF" w:themeColor="background1"/>
              </w:rPr>
              <w:t>Land use</w:t>
            </w:r>
          </w:p>
        </w:tc>
        <w:tc>
          <w:tcPr>
            <w:tcW w:w="1191" w:type="dxa"/>
            <w:shd w:val="clear" w:color="auto" w:fill="1B556B"/>
            <w:tcMar>
              <w:top w:w="0" w:type="dxa"/>
              <w:left w:w="85" w:type="dxa"/>
              <w:bottom w:w="0" w:type="dxa"/>
              <w:right w:w="85" w:type="dxa"/>
            </w:tcMar>
            <w:vAlign w:val="center"/>
          </w:tcPr>
          <w:p w14:paraId="0BA25E42"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Living biomass</w:t>
            </w:r>
          </w:p>
        </w:tc>
        <w:tc>
          <w:tcPr>
            <w:tcW w:w="1588" w:type="dxa"/>
            <w:shd w:val="clear" w:color="auto" w:fill="1B556B"/>
            <w:tcMar>
              <w:top w:w="0" w:type="dxa"/>
              <w:left w:w="85" w:type="dxa"/>
              <w:bottom w:w="0" w:type="dxa"/>
              <w:right w:w="85" w:type="dxa"/>
            </w:tcMar>
            <w:vAlign w:val="center"/>
          </w:tcPr>
          <w:p w14:paraId="6F06D068"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Dead organic matter</w:t>
            </w:r>
          </w:p>
        </w:tc>
        <w:tc>
          <w:tcPr>
            <w:tcW w:w="794" w:type="dxa"/>
            <w:shd w:val="clear" w:color="auto" w:fill="1B556B"/>
            <w:tcMar>
              <w:top w:w="0" w:type="dxa"/>
              <w:left w:w="85" w:type="dxa"/>
              <w:bottom w:w="0" w:type="dxa"/>
              <w:right w:w="85" w:type="dxa"/>
            </w:tcMar>
            <w:vAlign w:val="center"/>
          </w:tcPr>
          <w:p w14:paraId="73761C17"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Soils</w:t>
            </w:r>
          </w:p>
        </w:tc>
        <w:tc>
          <w:tcPr>
            <w:tcW w:w="906" w:type="dxa"/>
            <w:shd w:val="clear" w:color="auto" w:fill="1B556B"/>
            <w:tcMar>
              <w:top w:w="0" w:type="dxa"/>
              <w:left w:w="85" w:type="dxa"/>
              <w:bottom w:w="0" w:type="dxa"/>
              <w:right w:w="85" w:type="dxa"/>
            </w:tcMar>
            <w:vAlign w:val="center"/>
          </w:tcPr>
          <w:p w14:paraId="1520975E"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Total</w:t>
            </w:r>
          </w:p>
        </w:tc>
        <w:tc>
          <w:tcPr>
            <w:tcW w:w="1645" w:type="dxa"/>
            <w:shd w:val="clear" w:color="auto" w:fill="1B556B"/>
            <w:tcMar>
              <w:top w:w="0" w:type="dxa"/>
              <w:left w:w="85" w:type="dxa"/>
              <w:bottom w:w="0" w:type="dxa"/>
              <w:right w:w="85" w:type="dxa"/>
            </w:tcMar>
            <w:vAlign w:val="center"/>
          </w:tcPr>
          <w:p w14:paraId="1E5BB21D"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(kt CO₂)</w:t>
            </w:r>
          </w:p>
        </w:tc>
      </w:tr>
      <w:tr w:rsidR="00E0181F" w:rsidRPr="001D5327" w14:paraId="1585E0A9" w14:textId="77777777" w:rsidTr="00D11AC9">
        <w:trPr>
          <w:trHeight w:val="283"/>
        </w:trPr>
        <w:tc>
          <w:tcPr>
            <w:tcW w:w="2325" w:type="dxa"/>
            <w:shd w:val="clear" w:color="auto" w:fill="FFFFFF"/>
            <w:tcMar>
              <w:top w:w="0" w:type="dxa"/>
              <w:left w:w="85" w:type="dxa"/>
              <w:bottom w:w="0" w:type="dxa"/>
              <w:right w:w="85" w:type="dxa"/>
            </w:tcMar>
            <w:vAlign w:val="center"/>
          </w:tcPr>
          <w:p w14:paraId="513562D1" w14:textId="77777777" w:rsidR="00E0181F" w:rsidRPr="001D5327" w:rsidRDefault="00E0181F" w:rsidP="00D11AC9">
            <w:pPr>
              <w:pStyle w:val="TableText"/>
              <w:spacing w:before="40" w:after="40"/>
            </w:pPr>
            <w:r w:rsidRPr="001D5327">
              <w:rPr>
                <w:rFonts w:eastAsia="Calibri" w:cs="Calibri"/>
                <w:color w:val="000000"/>
                <w:szCs w:val="16"/>
              </w:rPr>
              <w:t>Grassland – high producing</w:t>
            </w:r>
          </w:p>
        </w:tc>
        <w:tc>
          <w:tcPr>
            <w:tcW w:w="1191" w:type="dxa"/>
            <w:shd w:val="clear" w:color="auto" w:fill="FFFFFF"/>
            <w:tcMar>
              <w:top w:w="0" w:type="dxa"/>
              <w:left w:w="85" w:type="dxa"/>
              <w:bottom w:w="0" w:type="dxa"/>
              <w:right w:w="85" w:type="dxa"/>
            </w:tcMar>
            <w:vAlign w:val="center"/>
          </w:tcPr>
          <w:p w14:paraId="081CD73A" w14:textId="56141DA1"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18,785.7</w:t>
            </w:r>
          </w:p>
        </w:tc>
        <w:tc>
          <w:tcPr>
            <w:tcW w:w="1588" w:type="dxa"/>
            <w:shd w:val="clear" w:color="auto" w:fill="FFFFFF"/>
            <w:tcMar>
              <w:top w:w="0" w:type="dxa"/>
              <w:left w:w="85" w:type="dxa"/>
              <w:bottom w:w="0" w:type="dxa"/>
              <w:right w:w="85" w:type="dxa"/>
            </w:tcMar>
            <w:vAlign w:val="center"/>
          </w:tcPr>
          <w:p w14:paraId="557983BE" w14:textId="06B2A0DF"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2,323.8</w:t>
            </w:r>
          </w:p>
        </w:tc>
        <w:tc>
          <w:tcPr>
            <w:tcW w:w="794" w:type="dxa"/>
            <w:shd w:val="clear" w:color="auto" w:fill="FFFFFF"/>
            <w:tcMar>
              <w:top w:w="0" w:type="dxa"/>
              <w:left w:w="85" w:type="dxa"/>
              <w:bottom w:w="0" w:type="dxa"/>
              <w:right w:w="85" w:type="dxa"/>
            </w:tcMar>
            <w:vAlign w:val="center"/>
          </w:tcPr>
          <w:p w14:paraId="31BFE84A" w14:textId="57EA599B"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9,520.5</w:t>
            </w:r>
          </w:p>
        </w:tc>
        <w:tc>
          <w:tcPr>
            <w:tcW w:w="906" w:type="dxa"/>
            <w:shd w:val="clear" w:color="auto" w:fill="FFFFFF"/>
            <w:tcMar>
              <w:top w:w="0" w:type="dxa"/>
              <w:left w:w="85" w:type="dxa"/>
              <w:bottom w:w="0" w:type="dxa"/>
              <w:right w:w="85" w:type="dxa"/>
            </w:tcMar>
            <w:vAlign w:val="center"/>
          </w:tcPr>
          <w:p w14:paraId="2A3F37AD" w14:textId="42DAD3FD"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30,630.0</w:t>
            </w:r>
          </w:p>
        </w:tc>
        <w:tc>
          <w:tcPr>
            <w:tcW w:w="1645" w:type="dxa"/>
            <w:shd w:val="clear" w:color="auto" w:fill="FFFFFF"/>
            <w:tcMar>
              <w:top w:w="0" w:type="dxa"/>
              <w:left w:w="85" w:type="dxa"/>
              <w:bottom w:w="0" w:type="dxa"/>
              <w:right w:w="85" w:type="dxa"/>
            </w:tcMar>
            <w:vAlign w:val="center"/>
          </w:tcPr>
          <w:p w14:paraId="5647A4B0" w14:textId="77777777" w:rsidR="00E0181F" w:rsidRPr="001D5327" w:rsidRDefault="00E0181F" w:rsidP="00D11AC9">
            <w:pPr>
              <w:pStyle w:val="TableText"/>
              <w:spacing w:before="40" w:after="40"/>
              <w:jc w:val="right"/>
            </w:pPr>
            <w:r w:rsidRPr="001D5327">
              <w:rPr>
                <w:rFonts w:eastAsia="Calibri" w:cs="Calibri"/>
                <w:color w:val="000000"/>
                <w:szCs w:val="16"/>
              </w:rPr>
              <w:t>112,310.1</w:t>
            </w:r>
          </w:p>
        </w:tc>
      </w:tr>
      <w:tr w:rsidR="00E0181F" w:rsidRPr="001D5327" w14:paraId="7C9F1A3D" w14:textId="77777777" w:rsidTr="00D11AC9">
        <w:trPr>
          <w:trHeight w:val="283"/>
        </w:trPr>
        <w:tc>
          <w:tcPr>
            <w:tcW w:w="2325" w:type="dxa"/>
            <w:shd w:val="clear" w:color="auto" w:fill="FFFFFF"/>
            <w:tcMar>
              <w:top w:w="0" w:type="dxa"/>
              <w:left w:w="85" w:type="dxa"/>
              <w:bottom w:w="0" w:type="dxa"/>
              <w:right w:w="85" w:type="dxa"/>
            </w:tcMar>
            <w:vAlign w:val="center"/>
          </w:tcPr>
          <w:p w14:paraId="4C087C60" w14:textId="77777777" w:rsidR="00E0181F" w:rsidRPr="001D5327" w:rsidRDefault="00E0181F" w:rsidP="00D11AC9">
            <w:pPr>
              <w:pStyle w:val="TableText"/>
              <w:spacing w:before="40" w:after="40"/>
            </w:pPr>
            <w:r w:rsidRPr="001D5327">
              <w:rPr>
                <w:rFonts w:eastAsia="Calibri" w:cs="Calibri"/>
                <w:color w:val="000000"/>
                <w:szCs w:val="16"/>
              </w:rPr>
              <w:t>Grassland – low producing</w:t>
            </w:r>
          </w:p>
        </w:tc>
        <w:tc>
          <w:tcPr>
            <w:tcW w:w="1191" w:type="dxa"/>
            <w:shd w:val="clear" w:color="auto" w:fill="FFFFFF"/>
            <w:tcMar>
              <w:top w:w="0" w:type="dxa"/>
              <w:left w:w="85" w:type="dxa"/>
              <w:bottom w:w="0" w:type="dxa"/>
              <w:right w:w="85" w:type="dxa"/>
            </w:tcMar>
            <w:vAlign w:val="center"/>
          </w:tcPr>
          <w:p w14:paraId="7C984590" w14:textId="7B8B174B"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10,640.7</w:t>
            </w:r>
          </w:p>
        </w:tc>
        <w:tc>
          <w:tcPr>
            <w:tcW w:w="1588" w:type="dxa"/>
            <w:shd w:val="clear" w:color="auto" w:fill="FFFFFF"/>
            <w:tcMar>
              <w:top w:w="0" w:type="dxa"/>
              <w:left w:w="85" w:type="dxa"/>
              <w:bottom w:w="0" w:type="dxa"/>
              <w:right w:w="85" w:type="dxa"/>
            </w:tcMar>
            <w:vAlign w:val="center"/>
          </w:tcPr>
          <w:p w14:paraId="78B1AB95" w14:textId="6407F2A9"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1,419.4</w:t>
            </w:r>
          </w:p>
        </w:tc>
        <w:tc>
          <w:tcPr>
            <w:tcW w:w="794" w:type="dxa"/>
            <w:shd w:val="clear" w:color="auto" w:fill="FFFFFF"/>
            <w:tcMar>
              <w:top w:w="0" w:type="dxa"/>
              <w:left w:w="85" w:type="dxa"/>
              <w:bottom w:w="0" w:type="dxa"/>
              <w:right w:w="85" w:type="dxa"/>
            </w:tcMar>
            <w:vAlign w:val="center"/>
          </w:tcPr>
          <w:p w14:paraId="53106026" w14:textId="77777777" w:rsidR="00E0181F" w:rsidRPr="001D5327" w:rsidRDefault="00E0181F" w:rsidP="00D11AC9">
            <w:pPr>
              <w:pStyle w:val="TableText"/>
              <w:spacing w:before="40" w:after="40"/>
              <w:jc w:val="right"/>
            </w:pPr>
            <w:r w:rsidRPr="001D5327">
              <w:rPr>
                <w:rFonts w:eastAsia="Calibri" w:cs="Calibri"/>
                <w:color w:val="000000"/>
                <w:szCs w:val="16"/>
              </w:rPr>
              <w:t>720.1</w:t>
            </w:r>
          </w:p>
        </w:tc>
        <w:tc>
          <w:tcPr>
            <w:tcW w:w="906" w:type="dxa"/>
            <w:shd w:val="clear" w:color="auto" w:fill="FFFFFF"/>
            <w:tcMar>
              <w:top w:w="0" w:type="dxa"/>
              <w:left w:w="85" w:type="dxa"/>
              <w:bottom w:w="0" w:type="dxa"/>
              <w:right w:w="85" w:type="dxa"/>
            </w:tcMar>
            <w:vAlign w:val="center"/>
          </w:tcPr>
          <w:p w14:paraId="364576BC" w14:textId="19B13D27"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11,340.0</w:t>
            </w:r>
          </w:p>
        </w:tc>
        <w:tc>
          <w:tcPr>
            <w:tcW w:w="1645" w:type="dxa"/>
            <w:shd w:val="clear" w:color="auto" w:fill="FFFFFF"/>
            <w:tcMar>
              <w:top w:w="0" w:type="dxa"/>
              <w:left w:w="85" w:type="dxa"/>
              <w:bottom w:w="0" w:type="dxa"/>
              <w:right w:w="85" w:type="dxa"/>
            </w:tcMar>
            <w:vAlign w:val="center"/>
          </w:tcPr>
          <w:p w14:paraId="21E8D77A" w14:textId="77777777" w:rsidR="00E0181F" w:rsidRPr="001D5327" w:rsidRDefault="00E0181F" w:rsidP="00D11AC9">
            <w:pPr>
              <w:pStyle w:val="TableText"/>
              <w:spacing w:before="40" w:after="40"/>
              <w:jc w:val="right"/>
            </w:pPr>
            <w:r w:rsidRPr="001D5327">
              <w:rPr>
                <w:rFonts w:eastAsia="Calibri" w:cs="Calibri"/>
                <w:color w:val="000000"/>
                <w:szCs w:val="16"/>
              </w:rPr>
              <w:t>41,580.1</w:t>
            </w:r>
          </w:p>
        </w:tc>
      </w:tr>
      <w:tr w:rsidR="00E0181F" w:rsidRPr="001D5327" w14:paraId="457EE642" w14:textId="77777777" w:rsidTr="00D11AC9">
        <w:trPr>
          <w:trHeight w:val="283"/>
        </w:trPr>
        <w:tc>
          <w:tcPr>
            <w:tcW w:w="2325" w:type="dxa"/>
            <w:shd w:val="clear" w:color="auto" w:fill="FFFFFF"/>
            <w:tcMar>
              <w:top w:w="0" w:type="dxa"/>
              <w:left w:w="85" w:type="dxa"/>
              <w:bottom w:w="0" w:type="dxa"/>
              <w:right w:w="85" w:type="dxa"/>
            </w:tcMar>
            <w:vAlign w:val="center"/>
          </w:tcPr>
          <w:p w14:paraId="7EBE9BD4" w14:textId="77777777" w:rsidR="00E0181F" w:rsidRPr="001D5327" w:rsidRDefault="00E0181F" w:rsidP="00D11AC9">
            <w:pPr>
              <w:pStyle w:val="TableText"/>
              <w:spacing w:before="40" w:after="40"/>
            </w:pPr>
            <w:r w:rsidRPr="001D5327">
              <w:rPr>
                <w:rFonts w:eastAsia="Calibri" w:cs="Calibri"/>
                <w:color w:val="000000"/>
                <w:szCs w:val="16"/>
              </w:rPr>
              <w:t>Grassland – with woody biomass</w:t>
            </w:r>
          </w:p>
        </w:tc>
        <w:tc>
          <w:tcPr>
            <w:tcW w:w="1191" w:type="dxa"/>
            <w:shd w:val="clear" w:color="auto" w:fill="FFFFFF"/>
            <w:tcMar>
              <w:top w:w="0" w:type="dxa"/>
              <w:left w:w="85" w:type="dxa"/>
              <w:bottom w:w="0" w:type="dxa"/>
              <w:right w:w="85" w:type="dxa"/>
            </w:tcMar>
            <w:vAlign w:val="center"/>
          </w:tcPr>
          <w:p w14:paraId="716D1603" w14:textId="3A45D4A8"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3,736.3</w:t>
            </w:r>
          </w:p>
        </w:tc>
        <w:tc>
          <w:tcPr>
            <w:tcW w:w="1588" w:type="dxa"/>
            <w:shd w:val="clear" w:color="auto" w:fill="FFFFFF"/>
            <w:tcMar>
              <w:top w:w="0" w:type="dxa"/>
              <w:left w:w="85" w:type="dxa"/>
              <w:bottom w:w="0" w:type="dxa"/>
              <w:right w:w="85" w:type="dxa"/>
            </w:tcMar>
            <w:vAlign w:val="center"/>
          </w:tcPr>
          <w:p w14:paraId="00F276FE" w14:textId="183F72EB"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647.6</w:t>
            </w:r>
          </w:p>
        </w:tc>
        <w:tc>
          <w:tcPr>
            <w:tcW w:w="794" w:type="dxa"/>
            <w:shd w:val="clear" w:color="auto" w:fill="FFFFFF"/>
            <w:tcMar>
              <w:top w:w="0" w:type="dxa"/>
              <w:left w:w="85" w:type="dxa"/>
              <w:bottom w:w="0" w:type="dxa"/>
              <w:right w:w="85" w:type="dxa"/>
            </w:tcMar>
            <w:vAlign w:val="center"/>
          </w:tcPr>
          <w:p w14:paraId="70CB9229" w14:textId="08852C69"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956.4</w:t>
            </w:r>
          </w:p>
        </w:tc>
        <w:tc>
          <w:tcPr>
            <w:tcW w:w="906" w:type="dxa"/>
            <w:shd w:val="clear" w:color="auto" w:fill="FFFFFF"/>
            <w:tcMar>
              <w:top w:w="0" w:type="dxa"/>
              <w:left w:w="85" w:type="dxa"/>
              <w:bottom w:w="0" w:type="dxa"/>
              <w:right w:w="85" w:type="dxa"/>
            </w:tcMar>
            <w:vAlign w:val="center"/>
          </w:tcPr>
          <w:p w14:paraId="4CB32F53" w14:textId="049991F2"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5,340.3</w:t>
            </w:r>
          </w:p>
        </w:tc>
        <w:tc>
          <w:tcPr>
            <w:tcW w:w="1645" w:type="dxa"/>
            <w:shd w:val="clear" w:color="auto" w:fill="FFFFFF"/>
            <w:tcMar>
              <w:top w:w="0" w:type="dxa"/>
              <w:left w:w="85" w:type="dxa"/>
              <w:bottom w:w="0" w:type="dxa"/>
              <w:right w:w="85" w:type="dxa"/>
            </w:tcMar>
            <w:vAlign w:val="center"/>
          </w:tcPr>
          <w:p w14:paraId="112B4EE8" w14:textId="77777777" w:rsidR="00E0181F" w:rsidRPr="001D5327" w:rsidRDefault="00E0181F" w:rsidP="00D11AC9">
            <w:pPr>
              <w:pStyle w:val="TableText"/>
              <w:spacing w:before="40" w:after="40"/>
              <w:jc w:val="right"/>
            </w:pPr>
            <w:r w:rsidRPr="001D5327">
              <w:rPr>
                <w:rFonts w:eastAsia="Calibri" w:cs="Calibri"/>
                <w:color w:val="000000"/>
                <w:szCs w:val="16"/>
              </w:rPr>
              <w:t>19,580.9</w:t>
            </w:r>
          </w:p>
        </w:tc>
      </w:tr>
      <w:tr w:rsidR="00E0181F" w:rsidRPr="001D5327" w14:paraId="02DBCE2E" w14:textId="77777777" w:rsidTr="00D11AC9">
        <w:trPr>
          <w:trHeight w:val="283"/>
        </w:trPr>
        <w:tc>
          <w:tcPr>
            <w:tcW w:w="2325" w:type="dxa"/>
            <w:shd w:val="clear" w:color="auto" w:fill="FFFFFF"/>
            <w:tcMar>
              <w:top w:w="0" w:type="dxa"/>
              <w:left w:w="85" w:type="dxa"/>
              <w:bottom w:w="0" w:type="dxa"/>
              <w:right w:w="85" w:type="dxa"/>
            </w:tcMar>
            <w:vAlign w:val="center"/>
          </w:tcPr>
          <w:p w14:paraId="305452DC" w14:textId="77777777" w:rsidR="00E0181F" w:rsidRPr="001D5327" w:rsidRDefault="00E0181F" w:rsidP="00D11AC9">
            <w:pPr>
              <w:pStyle w:val="Tableboldblue"/>
              <w:spacing w:before="40" w:after="40"/>
            </w:pPr>
            <w:r w:rsidRPr="001D5327">
              <w:rPr>
                <w:rFonts w:eastAsia="Calibri"/>
              </w:rPr>
              <w:t>Total</w:t>
            </w:r>
          </w:p>
        </w:tc>
        <w:tc>
          <w:tcPr>
            <w:tcW w:w="1191" w:type="dxa"/>
            <w:shd w:val="clear" w:color="auto" w:fill="FFFFFF"/>
            <w:tcMar>
              <w:top w:w="0" w:type="dxa"/>
              <w:left w:w="85" w:type="dxa"/>
              <w:bottom w:w="0" w:type="dxa"/>
              <w:right w:w="85" w:type="dxa"/>
            </w:tcMar>
            <w:vAlign w:val="center"/>
          </w:tcPr>
          <w:p w14:paraId="2DFB9671" w14:textId="6A0D3A92" w:rsidR="00E0181F" w:rsidRPr="001D5327" w:rsidRDefault="0070503C" w:rsidP="00D11AC9">
            <w:pPr>
              <w:pStyle w:val="Tableboldblue"/>
              <w:spacing w:before="40" w:after="40"/>
              <w:jc w:val="right"/>
            </w:pPr>
            <w:r>
              <w:rPr>
                <w:rFonts w:eastAsia="Calibri"/>
              </w:rPr>
              <w:t>-</w:t>
            </w:r>
            <w:r w:rsidR="00E0181F" w:rsidRPr="001D5327">
              <w:rPr>
                <w:rFonts w:eastAsia="Calibri"/>
              </w:rPr>
              <w:t>33,162.7</w:t>
            </w:r>
          </w:p>
        </w:tc>
        <w:tc>
          <w:tcPr>
            <w:tcW w:w="1588" w:type="dxa"/>
            <w:shd w:val="clear" w:color="auto" w:fill="FFFFFF"/>
            <w:tcMar>
              <w:top w:w="0" w:type="dxa"/>
              <w:left w:w="85" w:type="dxa"/>
              <w:bottom w:w="0" w:type="dxa"/>
              <w:right w:w="85" w:type="dxa"/>
            </w:tcMar>
            <w:vAlign w:val="center"/>
          </w:tcPr>
          <w:p w14:paraId="27C742B2" w14:textId="6EE70B06" w:rsidR="00E0181F" w:rsidRPr="001D5327" w:rsidRDefault="0070503C" w:rsidP="00D11AC9">
            <w:pPr>
              <w:pStyle w:val="Tableboldblue"/>
              <w:spacing w:before="40" w:after="40"/>
              <w:jc w:val="right"/>
            </w:pPr>
            <w:r>
              <w:rPr>
                <w:rFonts w:eastAsia="Calibri"/>
              </w:rPr>
              <w:t>-</w:t>
            </w:r>
            <w:r w:rsidR="00E0181F" w:rsidRPr="001D5327">
              <w:rPr>
                <w:rFonts w:eastAsia="Calibri"/>
              </w:rPr>
              <w:t>4,390.8</w:t>
            </w:r>
          </w:p>
        </w:tc>
        <w:tc>
          <w:tcPr>
            <w:tcW w:w="794" w:type="dxa"/>
            <w:shd w:val="clear" w:color="auto" w:fill="FFFFFF"/>
            <w:tcMar>
              <w:top w:w="0" w:type="dxa"/>
              <w:left w:w="85" w:type="dxa"/>
              <w:bottom w:w="0" w:type="dxa"/>
              <w:right w:w="85" w:type="dxa"/>
            </w:tcMar>
            <w:vAlign w:val="center"/>
          </w:tcPr>
          <w:p w14:paraId="225671BF" w14:textId="5B3FED6F" w:rsidR="00E0181F" w:rsidRPr="001D5327" w:rsidRDefault="0070503C" w:rsidP="00D11AC9">
            <w:pPr>
              <w:pStyle w:val="Tableboldblue"/>
              <w:spacing w:before="40" w:after="40"/>
              <w:jc w:val="right"/>
            </w:pPr>
            <w:r>
              <w:rPr>
                <w:rFonts w:eastAsia="Calibri"/>
              </w:rPr>
              <w:t>-</w:t>
            </w:r>
            <w:r w:rsidR="00E0181F" w:rsidRPr="001D5327">
              <w:rPr>
                <w:rFonts w:eastAsia="Calibri"/>
              </w:rPr>
              <w:t>9,756.8</w:t>
            </w:r>
          </w:p>
        </w:tc>
        <w:tc>
          <w:tcPr>
            <w:tcW w:w="906" w:type="dxa"/>
            <w:shd w:val="clear" w:color="auto" w:fill="FFFFFF"/>
            <w:tcMar>
              <w:top w:w="0" w:type="dxa"/>
              <w:left w:w="85" w:type="dxa"/>
              <w:bottom w:w="0" w:type="dxa"/>
              <w:right w:w="85" w:type="dxa"/>
            </w:tcMar>
            <w:vAlign w:val="center"/>
          </w:tcPr>
          <w:p w14:paraId="69566003" w14:textId="7FDC981B" w:rsidR="00E0181F" w:rsidRPr="001D5327" w:rsidRDefault="0070503C" w:rsidP="00D11AC9">
            <w:pPr>
              <w:pStyle w:val="Tableboldblue"/>
              <w:spacing w:before="40" w:after="40"/>
              <w:jc w:val="right"/>
            </w:pPr>
            <w:r>
              <w:rPr>
                <w:rFonts w:eastAsia="Calibri"/>
              </w:rPr>
              <w:t>-</w:t>
            </w:r>
            <w:r w:rsidR="00E0181F" w:rsidRPr="001D5327">
              <w:rPr>
                <w:rFonts w:eastAsia="Calibri"/>
              </w:rPr>
              <w:t>47,310.3</w:t>
            </w:r>
          </w:p>
        </w:tc>
        <w:tc>
          <w:tcPr>
            <w:tcW w:w="1645" w:type="dxa"/>
            <w:shd w:val="clear" w:color="auto" w:fill="FFFFFF"/>
            <w:tcMar>
              <w:top w:w="0" w:type="dxa"/>
              <w:left w:w="85" w:type="dxa"/>
              <w:bottom w:w="0" w:type="dxa"/>
              <w:right w:w="85" w:type="dxa"/>
            </w:tcMar>
            <w:vAlign w:val="center"/>
          </w:tcPr>
          <w:p w14:paraId="31AE32B3" w14:textId="77777777" w:rsidR="00E0181F" w:rsidRPr="001D5327" w:rsidRDefault="00E0181F" w:rsidP="00D11AC9">
            <w:pPr>
              <w:pStyle w:val="Tableboldblue"/>
              <w:spacing w:before="40" w:after="40"/>
              <w:jc w:val="right"/>
            </w:pPr>
            <w:r w:rsidRPr="001D5327">
              <w:rPr>
                <w:rFonts w:eastAsia="Calibri"/>
              </w:rPr>
              <w:t>173,471.1</w:t>
            </w:r>
          </w:p>
        </w:tc>
      </w:tr>
    </w:tbl>
    <w:p w14:paraId="45816352" w14:textId="77777777" w:rsidR="00E0181F" w:rsidRPr="001D5327" w:rsidRDefault="00E0181F" w:rsidP="00735425">
      <w:pPr>
        <w:pStyle w:val="Noteundertable"/>
        <w:spacing w:before="80" w:after="0"/>
      </w:pPr>
      <w:r w:rsidRPr="001D5327">
        <w:rPr>
          <w:b/>
          <w:bCs/>
        </w:rPr>
        <w:t>Note</w:t>
      </w:r>
      <w:r w:rsidRPr="001D5327">
        <w:rPr>
          <w:b/>
        </w:rPr>
        <w:t>:</w:t>
      </w:r>
      <w:r w:rsidRPr="001D5327">
        <w:tab/>
        <w:t>Columns may not total due to rounding.</w:t>
      </w:r>
    </w:p>
    <w:p w14:paraId="0FCC2BDE" w14:textId="77777777" w:rsidR="00E0181F" w:rsidRPr="001D5327" w:rsidRDefault="00E0181F" w:rsidP="00E0181F">
      <w:pPr>
        <w:pStyle w:val="Heading4"/>
      </w:pPr>
      <w:bookmarkStart w:id="2343" w:name="_Toc255466394"/>
      <w:bookmarkStart w:id="2344" w:name="_Toc261513201"/>
      <w:bookmarkStart w:id="2345" w:name="_Toc261513814"/>
      <w:bookmarkStart w:id="2346" w:name="_Toc280630286"/>
      <w:r w:rsidRPr="001D5327">
        <w:t>Grassland remaining grassland</w:t>
      </w:r>
      <w:bookmarkEnd w:id="2343"/>
      <w:bookmarkEnd w:id="2344"/>
      <w:bookmarkEnd w:id="2345"/>
      <w:bookmarkEnd w:id="2346"/>
    </w:p>
    <w:p w14:paraId="26BB9D6C" w14:textId="77777777" w:rsidR="00E0181F" w:rsidRPr="001D5327" w:rsidRDefault="00E0181F" w:rsidP="00735425">
      <w:pPr>
        <w:pStyle w:val="BodyText"/>
        <w:spacing w:before="80" w:after="80"/>
      </w:pPr>
      <w:r w:rsidRPr="001D5327">
        <w:t xml:space="preserve">There were 14,040,424 hectares of </w:t>
      </w:r>
      <w:r w:rsidRPr="001D5327">
        <w:rPr>
          <w:i/>
        </w:rPr>
        <w:t>Grassland remaining grassland</w:t>
      </w:r>
      <w:r w:rsidRPr="001D5327">
        <w:t xml:space="preserve"> as at 2023, equivalent to 52.1 per cent of New Zealand’s total land area. </w:t>
      </w:r>
    </w:p>
    <w:p w14:paraId="0692ED70" w14:textId="77777777" w:rsidR="00E0181F" w:rsidRPr="001D5327" w:rsidRDefault="00E0181F" w:rsidP="00735425">
      <w:pPr>
        <w:pStyle w:val="Heading4"/>
        <w:spacing w:before="180"/>
      </w:pPr>
      <w:bookmarkStart w:id="2347" w:name="_Toc255466395"/>
      <w:bookmarkStart w:id="2348" w:name="_Toc261513202"/>
      <w:bookmarkStart w:id="2349" w:name="_Toc261513815"/>
      <w:bookmarkStart w:id="2350" w:name="_Toc280630287"/>
      <w:r w:rsidRPr="001D5327">
        <w:t>Land converted to grassland</w:t>
      </w:r>
      <w:bookmarkEnd w:id="2347"/>
      <w:bookmarkEnd w:id="2348"/>
      <w:bookmarkEnd w:id="2349"/>
      <w:bookmarkEnd w:id="2350"/>
    </w:p>
    <w:p w14:paraId="4DAB93D0" w14:textId="77777777" w:rsidR="00E0181F" w:rsidRPr="001D5327" w:rsidRDefault="00E0181F" w:rsidP="00735425">
      <w:pPr>
        <w:pStyle w:val="BodyText"/>
        <w:spacing w:before="80" w:after="100"/>
      </w:pPr>
      <w:r w:rsidRPr="001D5327">
        <w:t xml:space="preserve">In 2023, an estimated 10,176 hectares of land were converted to </w:t>
      </w:r>
      <w:r w:rsidRPr="001D5327">
        <w:rPr>
          <w:i/>
        </w:rPr>
        <w:t>Grassland</w:t>
      </w:r>
      <w:r w:rsidRPr="001D5327">
        <w:t xml:space="preserve">, while 98,822 hectares of </w:t>
      </w:r>
      <w:r w:rsidRPr="001D5327">
        <w:rPr>
          <w:i/>
        </w:rPr>
        <w:t>Grassland</w:t>
      </w:r>
      <w:r w:rsidRPr="001D5327">
        <w:t xml:space="preserve"> were converted to other land use categories.</w:t>
      </w:r>
    </w:p>
    <w:p w14:paraId="4A528042" w14:textId="77777777" w:rsidR="00E0181F" w:rsidRPr="001D5327" w:rsidRDefault="00E0181F" w:rsidP="00735425">
      <w:pPr>
        <w:pStyle w:val="BodyText"/>
        <w:spacing w:before="80" w:after="100"/>
      </w:pPr>
      <w:r w:rsidRPr="001D5327">
        <w:t xml:space="preserve">The majority (69.3 per cent) of </w:t>
      </w:r>
      <w:r w:rsidRPr="001D5327">
        <w:rPr>
          <w:i/>
        </w:rPr>
        <w:t>Land converted to grassland</w:t>
      </w:r>
      <w:r w:rsidRPr="001D5327">
        <w:t xml:space="preserve"> since 1 January 1990 is land that was previously </w:t>
      </w:r>
      <w:r w:rsidRPr="001D5327">
        <w:rPr>
          <w:i/>
        </w:rPr>
        <w:t>Forest land</w:t>
      </w:r>
      <w:r w:rsidRPr="001D5327">
        <w:t xml:space="preserve">. The 241,743 hectares of </w:t>
      </w:r>
      <w:r w:rsidRPr="001D5327">
        <w:rPr>
          <w:i/>
        </w:rPr>
        <w:t>Forest land</w:t>
      </w:r>
      <w:r w:rsidRPr="001D5327">
        <w:t xml:space="preserve"> converted to </w:t>
      </w:r>
      <w:r w:rsidRPr="001D5327">
        <w:rPr>
          <w:i/>
        </w:rPr>
        <w:t>Grassland</w:t>
      </w:r>
      <w:r w:rsidRPr="001D5327">
        <w:t xml:space="preserve"> since 1 January 1990 comprise an estimated 132,834 hectares of pre-1990 planted forest, 60,886 hectares of post-1989 planted forest, 46,189 hectares of pre-1990 natural forest and 1,834 hectares of post-1989 natural forest. For more information on deforestation, see annex 5, section A5.2.2. Land-use change of </w:t>
      </w:r>
      <w:r w:rsidRPr="001D5327">
        <w:rPr>
          <w:i/>
        </w:rPr>
        <w:t>Forest land</w:t>
      </w:r>
      <w:r w:rsidRPr="001D5327">
        <w:t xml:space="preserve"> to </w:t>
      </w:r>
      <w:r w:rsidRPr="001D5327">
        <w:rPr>
          <w:i/>
        </w:rPr>
        <w:t xml:space="preserve">Grassland </w:t>
      </w:r>
      <w:r w:rsidRPr="001D5327">
        <w:t>resulted in net emissions of 1,798.1 kt CO</w:t>
      </w:r>
      <w:r w:rsidRPr="001D5327">
        <w:rPr>
          <w:vertAlign w:val="subscript"/>
        </w:rPr>
        <w:t xml:space="preserve">2 </w:t>
      </w:r>
      <w:r w:rsidRPr="001D5327">
        <w:t>in 2023.</w:t>
      </w:r>
    </w:p>
    <w:p w14:paraId="5A0F3AD1" w14:textId="77777777" w:rsidR="00E0181F" w:rsidRPr="001D5327" w:rsidRDefault="00E0181F" w:rsidP="00E0181F">
      <w:pPr>
        <w:pStyle w:val="Heading3"/>
      </w:pPr>
      <w:bookmarkStart w:id="2351" w:name="_Toc139253971"/>
      <w:bookmarkStart w:id="2352" w:name="_Toc255466396"/>
      <w:bookmarkStart w:id="2353" w:name="_Toc261513203"/>
      <w:bookmarkStart w:id="2354" w:name="_Toc261513816"/>
      <w:bookmarkStart w:id="2355" w:name="_Toc280630288"/>
      <w:r w:rsidRPr="001D5327">
        <w:lastRenderedPageBreak/>
        <w:t>6.6.2</w:t>
      </w:r>
      <w:r w:rsidRPr="001D5327">
        <w:tab/>
        <w:t>Methodological issues</w:t>
      </w:r>
      <w:bookmarkEnd w:id="2351"/>
      <w:bookmarkEnd w:id="2352"/>
      <w:bookmarkEnd w:id="2353"/>
      <w:bookmarkEnd w:id="2354"/>
      <w:bookmarkEnd w:id="2355"/>
    </w:p>
    <w:p w14:paraId="155051C6" w14:textId="77777777" w:rsidR="00E0181F" w:rsidRPr="001D5327" w:rsidRDefault="00E0181F" w:rsidP="00E0181F">
      <w:pPr>
        <w:pStyle w:val="BodyText"/>
        <w:spacing w:before="100" w:after="100"/>
        <w:rPr>
          <w:spacing w:val="-2"/>
        </w:rPr>
      </w:pPr>
      <w:r w:rsidRPr="001D5327">
        <w:t xml:space="preserve">Emissions and removals from living biomass and dead organic matter have been calculated using a combination of IPCC Tier 1 emission factors and country-specific factors (see table 6.6.4). Emissions and removals from mineral soils are estimated using a </w:t>
      </w:r>
      <w:r w:rsidRPr="001D5327">
        <w:rPr>
          <w:spacing w:val="-2"/>
        </w:rPr>
        <w:t xml:space="preserve">Tier 2 method, whereas organic soils are estimated using a Tier 1 method (see annex 5, section A5.2.4). </w:t>
      </w:r>
    </w:p>
    <w:p w14:paraId="455DD758" w14:textId="77777777" w:rsidR="00E0181F" w:rsidRPr="001D5327" w:rsidRDefault="00E0181F" w:rsidP="00E0181F">
      <w:pPr>
        <w:pStyle w:val="Table"/>
      </w:pPr>
      <w:bookmarkStart w:id="2356" w:name="_Toc310423425"/>
      <w:bookmarkStart w:id="2357" w:name="_Toc318362718"/>
      <w:bookmarkStart w:id="2358" w:name="_Toc342470780"/>
      <w:bookmarkStart w:id="2359" w:name="_Toc352505020"/>
      <w:bookmarkStart w:id="2360" w:name="_Toc378853309"/>
      <w:bookmarkStart w:id="2361" w:name="_Toc391024107"/>
      <w:bookmarkStart w:id="2362" w:name="_Toc410028850"/>
      <w:bookmarkStart w:id="2363" w:name="_Toc414531478"/>
      <w:bookmarkStart w:id="2364" w:name="_Toc443645391"/>
      <w:bookmarkStart w:id="2365" w:name="_Toc474914610"/>
      <w:bookmarkStart w:id="2366" w:name="_Toc481751574"/>
      <w:bookmarkStart w:id="2367" w:name="_Toc522010631"/>
      <w:bookmarkStart w:id="2368" w:name="_Toc5269536"/>
      <w:bookmarkStart w:id="2369" w:name="_Toc33529410"/>
      <w:bookmarkStart w:id="2370" w:name="_Toc36224616"/>
      <w:bookmarkStart w:id="2371" w:name="_Toc131591411"/>
      <w:bookmarkStart w:id="2372" w:name="_Toc158979969"/>
      <w:bookmarkStart w:id="2373" w:name="_Toc164153902"/>
      <w:bookmarkStart w:id="2374" w:name="_Toc190873136"/>
      <w:bookmarkStart w:id="2375" w:name="_Toc194241775"/>
      <w:bookmarkStart w:id="2376" w:name="_Toc255466397"/>
      <w:bookmarkStart w:id="2377" w:name="_Toc261513204"/>
      <w:bookmarkStart w:id="2378" w:name="_Toc261513817"/>
      <w:r w:rsidRPr="001D5327">
        <w:t>Table 6.6.4</w:t>
      </w:r>
      <w:r w:rsidRPr="001D5327">
        <w:tab/>
        <w:t xml:space="preserve">Summary of New Zealand’s biomass emission factors for </w:t>
      </w:r>
      <w:r w:rsidRPr="001D5327">
        <w:rPr>
          <w:i/>
        </w:rPr>
        <w:t>Grassland</w:t>
      </w:r>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p>
    <w:tbl>
      <w:tblPr>
        <w:tblW w:w="8505" w:type="dxa"/>
        <w:tblLook w:val="04A0" w:firstRow="1" w:lastRow="0" w:firstColumn="1" w:lastColumn="0" w:noHBand="0" w:noVBand="1"/>
      </w:tblPr>
      <w:tblGrid>
        <w:gridCol w:w="1246"/>
        <w:gridCol w:w="1731"/>
        <w:gridCol w:w="1276"/>
        <w:gridCol w:w="1276"/>
        <w:gridCol w:w="1275"/>
        <w:gridCol w:w="1701"/>
      </w:tblGrid>
      <w:tr w:rsidR="00E0181F" w:rsidRPr="001D5327" w14:paraId="2E3F491E" w14:textId="77777777" w:rsidTr="00D11AC9">
        <w:trPr>
          <w:trHeight w:val="20"/>
          <w:tblHeader/>
        </w:trPr>
        <w:tc>
          <w:tcPr>
            <w:tcW w:w="1246" w:type="dxa"/>
            <w:tcBorders>
              <w:top w:val="single" w:sz="4" w:space="0" w:color="1B556B"/>
              <w:bottom w:val="single" w:sz="4" w:space="0" w:color="1B556B"/>
            </w:tcBorders>
            <w:shd w:val="clear" w:color="auto" w:fill="1B556B" w:themeFill="text2"/>
            <w:vAlign w:val="bottom"/>
          </w:tcPr>
          <w:p w14:paraId="3C1B3092" w14:textId="77777777" w:rsidR="00E0181F" w:rsidRPr="001D5327" w:rsidRDefault="00E0181F" w:rsidP="00D11AC9">
            <w:pPr>
              <w:pStyle w:val="TableTextBold"/>
              <w:keepNext/>
              <w:spacing w:before="30" w:after="30"/>
              <w:rPr>
                <w:rFonts w:cs="Calibri"/>
                <w:noProof w:val="0"/>
                <w:color w:val="FFFFFF"/>
                <w:szCs w:val="16"/>
              </w:rPr>
            </w:pPr>
            <w:r w:rsidRPr="001D5327">
              <w:rPr>
                <w:rFonts w:cs="Calibri"/>
                <w:noProof w:val="0"/>
                <w:color w:val="FFFFFF"/>
                <w:szCs w:val="16"/>
              </w:rPr>
              <w:t>Land use</w:t>
            </w:r>
          </w:p>
        </w:tc>
        <w:tc>
          <w:tcPr>
            <w:tcW w:w="1731" w:type="dxa"/>
            <w:tcBorders>
              <w:top w:val="single" w:sz="4" w:space="0" w:color="1B556B"/>
              <w:bottom w:val="single" w:sz="4" w:space="0" w:color="1B556B"/>
            </w:tcBorders>
            <w:shd w:val="clear" w:color="auto" w:fill="1B556B" w:themeFill="text2"/>
            <w:vAlign w:val="bottom"/>
          </w:tcPr>
          <w:p w14:paraId="7A233690" w14:textId="77777777" w:rsidR="00E0181F" w:rsidRPr="001D5327" w:rsidRDefault="00E0181F" w:rsidP="00D11AC9">
            <w:pPr>
              <w:pStyle w:val="TableTextBold"/>
              <w:spacing w:before="30" w:after="30"/>
              <w:rPr>
                <w:rFonts w:cs="Calibri"/>
                <w:noProof w:val="0"/>
                <w:color w:val="FFFFFF"/>
                <w:szCs w:val="16"/>
              </w:rPr>
            </w:pPr>
            <w:r w:rsidRPr="001D5327">
              <w:rPr>
                <w:rFonts w:cs="Calibri"/>
                <w:noProof w:val="0"/>
                <w:color w:val="FFFFFF"/>
                <w:szCs w:val="16"/>
              </w:rPr>
              <w:t>Carbon pool</w:t>
            </w:r>
          </w:p>
        </w:tc>
        <w:tc>
          <w:tcPr>
            <w:tcW w:w="1276" w:type="dxa"/>
            <w:tcBorders>
              <w:top w:val="single" w:sz="4" w:space="0" w:color="1B556B"/>
              <w:bottom w:val="single" w:sz="4" w:space="0" w:color="1B556B"/>
            </w:tcBorders>
            <w:shd w:val="clear" w:color="auto" w:fill="1B556B" w:themeFill="text2"/>
            <w:vAlign w:val="bottom"/>
          </w:tcPr>
          <w:p w14:paraId="33F1373D" w14:textId="77777777" w:rsidR="00E0181F" w:rsidRPr="001D5327" w:rsidRDefault="00E0181F" w:rsidP="00D11AC9">
            <w:pPr>
              <w:pStyle w:val="TableTextBold"/>
              <w:spacing w:before="30" w:after="30"/>
              <w:jc w:val="right"/>
              <w:rPr>
                <w:rFonts w:cs="Calibri"/>
                <w:noProof w:val="0"/>
                <w:color w:val="FFFFFF"/>
                <w:szCs w:val="16"/>
              </w:rPr>
            </w:pPr>
            <w:r w:rsidRPr="001D5327">
              <w:rPr>
                <w:rFonts w:cs="Calibri"/>
                <w:noProof w:val="0"/>
                <w:color w:val="FFFFFF"/>
                <w:szCs w:val="16"/>
              </w:rPr>
              <w:t>Steady state carbon stock</w:t>
            </w:r>
            <w:r w:rsidRPr="001D5327">
              <w:rPr>
                <w:rFonts w:cs="Calibri"/>
                <w:noProof w:val="0"/>
                <w:color w:val="FFFFFF"/>
                <w:szCs w:val="16"/>
              </w:rPr>
              <w:br/>
              <w:t>(t C ha</w:t>
            </w:r>
            <w:r w:rsidRPr="001D5327">
              <w:rPr>
                <w:rFonts w:cs="Calibri"/>
                <w:noProof w:val="0"/>
                <w:color w:val="FFFFFF"/>
                <w:szCs w:val="16"/>
                <w:vertAlign w:val="superscript"/>
              </w:rPr>
              <w:t>–1</w:t>
            </w:r>
            <w:r w:rsidRPr="001D5327">
              <w:rPr>
                <w:rFonts w:cs="Calibri"/>
                <w:noProof w:val="0"/>
                <w:color w:val="FFFFFF"/>
                <w:szCs w:val="16"/>
              </w:rPr>
              <w:t>)</w:t>
            </w:r>
          </w:p>
        </w:tc>
        <w:tc>
          <w:tcPr>
            <w:tcW w:w="1276" w:type="dxa"/>
            <w:tcBorders>
              <w:top w:val="single" w:sz="4" w:space="0" w:color="1B556B"/>
              <w:bottom w:val="single" w:sz="4" w:space="0" w:color="1B556B"/>
            </w:tcBorders>
            <w:shd w:val="clear" w:color="auto" w:fill="1B556B" w:themeFill="text2"/>
            <w:vAlign w:val="bottom"/>
          </w:tcPr>
          <w:p w14:paraId="47E0DBA1" w14:textId="77777777" w:rsidR="00E0181F" w:rsidRPr="001D5327" w:rsidRDefault="00E0181F" w:rsidP="00D11AC9">
            <w:pPr>
              <w:pStyle w:val="TableTextBold"/>
              <w:spacing w:before="30" w:after="30"/>
              <w:jc w:val="right"/>
              <w:rPr>
                <w:rFonts w:cs="Calibri"/>
                <w:noProof w:val="0"/>
                <w:color w:val="FFFFFF"/>
                <w:szCs w:val="16"/>
              </w:rPr>
            </w:pPr>
            <w:r w:rsidRPr="001D5327">
              <w:rPr>
                <w:rFonts w:cs="Calibri"/>
                <w:noProof w:val="0"/>
                <w:color w:val="FFFFFF"/>
                <w:szCs w:val="16"/>
              </w:rPr>
              <w:t xml:space="preserve">Annual carbon accumulation </w:t>
            </w:r>
            <w:r w:rsidRPr="001D5327">
              <w:rPr>
                <w:rFonts w:cs="Calibri"/>
                <w:noProof w:val="0"/>
                <w:color w:val="FFFFFF"/>
                <w:szCs w:val="16"/>
              </w:rPr>
              <w:br/>
              <w:t>(t C ha</w:t>
            </w:r>
            <w:r w:rsidRPr="001D5327">
              <w:rPr>
                <w:rFonts w:cs="Calibri"/>
                <w:noProof w:val="0"/>
                <w:color w:val="FFFFFF"/>
                <w:szCs w:val="16"/>
                <w:vertAlign w:val="superscript"/>
              </w:rPr>
              <w:t>–1</w:t>
            </w:r>
            <w:r w:rsidRPr="001D5327">
              <w:rPr>
                <w:rFonts w:cs="Calibri"/>
                <w:noProof w:val="0"/>
                <w:color w:val="FFFFFF"/>
                <w:szCs w:val="16"/>
              </w:rPr>
              <w:t>)</w:t>
            </w:r>
          </w:p>
        </w:tc>
        <w:tc>
          <w:tcPr>
            <w:tcW w:w="1275" w:type="dxa"/>
            <w:tcBorders>
              <w:top w:val="single" w:sz="4" w:space="0" w:color="1B556B"/>
              <w:bottom w:val="single" w:sz="4" w:space="0" w:color="1B556B"/>
            </w:tcBorders>
            <w:shd w:val="clear" w:color="auto" w:fill="1B556B" w:themeFill="text2"/>
            <w:vAlign w:val="bottom"/>
          </w:tcPr>
          <w:p w14:paraId="1856795F" w14:textId="77777777" w:rsidR="00E0181F" w:rsidRPr="001D5327" w:rsidRDefault="00E0181F" w:rsidP="00D11AC9">
            <w:pPr>
              <w:pStyle w:val="TableTextBold"/>
              <w:spacing w:before="30" w:after="30"/>
              <w:jc w:val="right"/>
              <w:rPr>
                <w:rFonts w:cs="Calibri"/>
                <w:noProof w:val="0"/>
                <w:color w:val="FFFFFF"/>
                <w:szCs w:val="16"/>
              </w:rPr>
            </w:pPr>
            <w:r w:rsidRPr="001D5327">
              <w:rPr>
                <w:rFonts w:cs="Calibri"/>
                <w:noProof w:val="0"/>
                <w:color w:val="FFFFFF"/>
                <w:szCs w:val="16"/>
              </w:rPr>
              <w:t>Years to reach steady state</w:t>
            </w:r>
          </w:p>
        </w:tc>
        <w:tc>
          <w:tcPr>
            <w:tcW w:w="1701" w:type="dxa"/>
            <w:tcBorders>
              <w:top w:val="single" w:sz="4" w:space="0" w:color="1B556B"/>
              <w:bottom w:val="single" w:sz="4" w:space="0" w:color="1B556B"/>
            </w:tcBorders>
            <w:shd w:val="clear" w:color="auto" w:fill="1B556B" w:themeFill="text2"/>
            <w:vAlign w:val="bottom"/>
          </w:tcPr>
          <w:p w14:paraId="487AE8BC" w14:textId="77777777" w:rsidR="00E0181F" w:rsidRPr="001D5327" w:rsidRDefault="00E0181F" w:rsidP="00D11AC9">
            <w:pPr>
              <w:pStyle w:val="TableTextBold"/>
              <w:spacing w:before="30" w:after="30"/>
              <w:rPr>
                <w:rFonts w:cs="Calibri"/>
                <w:noProof w:val="0"/>
                <w:color w:val="FFFFFF"/>
                <w:szCs w:val="16"/>
              </w:rPr>
            </w:pPr>
            <w:r w:rsidRPr="001D5327">
              <w:rPr>
                <w:rFonts w:cs="Calibri"/>
                <w:noProof w:val="0"/>
                <w:color w:val="FFFFFF"/>
                <w:szCs w:val="16"/>
              </w:rPr>
              <w:t>Source</w:t>
            </w:r>
          </w:p>
        </w:tc>
      </w:tr>
      <w:tr w:rsidR="00E0181F" w:rsidRPr="001D5327" w14:paraId="1DB96AB4" w14:textId="77777777" w:rsidTr="00D11AC9">
        <w:trPr>
          <w:trHeight w:val="20"/>
        </w:trPr>
        <w:tc>
          <w:tcPr>
            <w:tcW w:w="1246" w:type="dxa"/>
            <w:vMerge w:val="restart"/>
            <w:tcBorders>
              <w:top w:val="single" w:sz="4" w:space="0" w:color="1B556B"/>
            </w:tcBorders>
          </w:tcPr>
          <w:p w14:paraId="4CE4CF0D" w14:textId="77777777" w:rsidR="00E0181F" w:rsidRPr="001D5327" w:rsidRDefault="00E0181F" w:rsidP="00D11AC9">
            <w:pPr>
              <w:pStyle w:val="TableText"/>
              <w:spacing w:before="30" w:after="30"/>
              <w:rPr>
                <w:rFonts w:cs="Calibri"/>
                <w:szCs w:val="16"/>
              </w:rPr>
            </w:pPr>
            <w:r w:rsidRPr="001D5327">
              <w:rPr>
                <w:rFonts w:cs="Calibri"/>
                <w:szCs w:val="16"/>
              </w:rPr>
              <w:t>High producing</w:t>
            </w:r>
          </w:p>
        </w:tc>
        <w:tc>
          <w:tcPr>
            <w:tcW w:w="1731" w:type="dxa"/>
            <w:tcBorders>
              <w:top w:val="single" w:sz="4" w:space="0" w:color="1B556B"/>
              <w:bottom w:val="single" w:sz="4" w:space="0" w:color="1B556B"/>
            </w:tcBorders>
          </w:tcPr>
          <w:p w14:paraId="00E806AF" w14:textId="77777777" w:rsidR="00E0181F" w:rsidRPr="001D5327" w:rsidRDefault="00E0181F" w:rsidP="00D11AC9">
            <w:pPr>
              <w:pStyle w:val="TableText"/>
              <w:spacing w:before="30" w:after="30"/>
              <w:rPr>
                <w:rFonts w:cs="Calibri"/>
                <w:b/>
                <w:szCs w:val="16"/>
              </w:rPr>
            </w:pPr>
            <w:r w:rsidRPr="001D5327">
              <w:rPr>
                <w:rFonts w:cs="Calibri"/>
                <w:b/>
                <w:szCs w:val="16"/>
              </w:rPr>
              <w:t>Total biomass</w:t>
            </w:r>
          </w:p>
        </w:tc>
        <w:tc>
          <w:tcPr>
            <w:tcW w:w="1276" w:type="dxa"/>
            <w:tcBorders>
              <w:top w:val="single" w:sz="4" w:space="0" w:color="1B556B"/>
              <w:bottom w:val="single" w:sz="4" w:space="0" w:color="1B556B"/>
            </w:tcBorders>
          </w:tcPr>
          <w:p w14:paraId="60551CB2" w14:textId="77777777" w:rsidR="00E0181F" w:rsidRPr="001D5327" w:rsidRDefault="00E0181F" w:rsidP="00D11AC9">
            <w:pPr>
              <w:pStyle w:val="TableText"/>
              <w:spacing w:before="30" w:after="30"/>
              <w:jc w:val="right"/>
              <w:rPr>
                <w:rFonts w:cs="Calibri"/>
                <w:b/>
                <w:szCs w:val="16"/>
              </w:rPr>
            </w:pPr>
            <w:r w:rsidRPr="001D5327">
              <w:rPr>
                <w:rFonts w:cs="Calibri"/>
                <w:b/>
                <w:szCs w:val="16"/>
              </w:rPr>
              <w:t>6.345</w:t>
            </w:r>
          </w:p>
        </w:tc>
        <w:tc>
          <w:tcPr>
            <w:tcW w:w="1276" w:type="dxa"/>
            <w:tcBorders>
              <w:top w:val="single" w:sz="4" w:space="0" w:color="1B556B"/>
              <w:bottom w:val="single" w:sz="4" w:space="0" w:color="1B556B"/>
            </w:tcBorders>
          </w:tcPr>
          <w:p w14:paraId="3C3AD08D" w14:textId="77777777" w:rsidR="00E0181F" w:rsidRPr="001D5327" w:rsidRDefault="00E0181F" w:rsidP="00D11AC9">
            <w:pPr>
              <w:pStyle w:val="TableText"/>
              <w:spacing w:before="30" w:after="30"/>
              <w:jc w:val="right"/>
              <w:rPr>
                <w:rFonts w:cs="Calibri"/>
                <w:b/>
                <w:szCs w:val="16"/>
              </w:rPr>
            </w:pPr>
            <w:r w:rsidRPr="001D5327">
              <w:rPr>
                <w:rFonts w:cs="Calibri"/>
                <w:b/>
                <w:szCs w:val="16"/>
              </w:rPr>
              <w:t>6.345</w:t>
            </w:r>
          </w:p>
        </w:tc>
        <w:tc>
          <w:tcPr>
            <w:tcW w:w="1275" w:type="dxa"/>
            <w:tcBorders>
              <w:top w:val="single" w:sz="4" w:space="0" w:color="1B556B"/>
              <w:bottom w:val="single" w:sz="4" w:space="0" w:color="1B556B"/>
            </w:tcBorders>
          </w:tcPr>
          <w:p w14:paraId="375F8824" w14:textId="77777777" w:rsidR="00E0181F" w:rsidRPr="001D5327" w:rsidRDefault="00E0181F" w:rsidP="00D11AC9">
            <w:pPr>
              <w:pStyle w:val="TableText"/>
              <w:spacing w:before="30" w:after="30"/>
              <w:jc w:val="right"/>
              <w:rPr>
                <w:rFonts w:cs="Calibri"/>
                <w:b/>
                <w:szCs w:val="16"/>
              </w:rPr>
            </w:pPr>
            <w:r w:rsidRPr="001D5327">
              <w:rPr>
                <w:rFonts w:cs="Calibri"/>
                <w:b/>
                <w:szCs w:val="16"/>
              </w:rPr>
              <w:t>1</w:t>
            </w:r>
          </w:p>
        </w:tc>
        <w:tc>
          <w:tcPr>
            <w:tcW w:w="1701" w:type="dxa"/>
            <w:vMerge w:val="restart"/>
            <w:tcBorders>
              <w:top w:val="single" w:sz="4" w:space="0" w:color="1B556B"/>
              <w:bottom w:val="single" w:sz="4" w:space="0" w:color="365F91"/>
            </w:tcBorders>
          </w:tcPr>
          <w:p w14:paraId="66F69B87" w14:textId="77777777" w:rsidR="00E0181F" w:rsidRPr="001D5327" w:rsidRDefault="00E0181F" w:rsidP="00D11AC9">
            <w:pPr>
              <w:pStyle w:val="TableText"/>
              <w:spacing w:before="30" w:after="30"/>
              <w:rPr>
                <w:rFonts w:cs="Calibri"/>
                <w:szCs w:val="16"/>
              </w:rPr>
            </w:pPr>
            <w:r w:rsidRPr="001D5327">
              <w:rPr>
                <w:rFonts w:cs="Calibri"/>
                <w:szCs w:val="16"/>
              </w:rPr>
              <w:t>IPCC (2006a), table 6.4</w:t>
            </w:r>
          </w:p>
        </w:tc>
      </w:tr>
      <w:tr w:rsidR="00E0181F" w:rsidRPr="001D5327" w14:paraId="518D74D1" w14:textId="77777777" w:rsidTr="00D11AC9">
        <w:trPr>
          <w:trHeight w:val="20"/>
        </w:trPr>
        <w:tc>
          <w:tcPr>
            <w:tcW w:w="1246" w:type="dxa"/>
            <w:vMerge/>
          </w:tcPr>
          <w:p w14:paraId="6D3F3B01" w14:textId="77777777" w:rsidR="00E0181F" w:rsidRPr="001D5327" w:rsidRDefault="00E0181F" w:rsidP="00D11AC9">
            <w:pPr>
              <w:pStyle w:val="TableText"/>
              <w:spacing w:before="30" w:after="30"/>
              <w:rPr>
                <w:rFonts w:cs="Calibri"/>
                <w:szCs w:val="16"/>
              </w:rPr>
            </w:pPr>
          </w:p>
        </w:tc>
        <w:tc>
          <w:tcPr>
            <w:tcW w:w="1731" w:type="dxa"/>
            <w:tcBorders>
              <w:top w:val="single" w:sz="4" w:space="0" w:color="1B556B"/>
              <w:bottom w:val="single" w:sz="4" w:space="0" w:color="1B556B"/>
            </w:tcBorders>
          </w:tcPr>
          <w:p w14:paraId="2DC7775F" w14:textId="77777777" w:rsidR="00E0181F" w:rsidRPr="001D5327" w:rsidRDefault="00E0181F" w:rsidP="00D11AC9">
            <w:pPr>
              <w:pStyle w:val="TableText"/>
              <w:spacing w:before="30" w:after="30"/>
              <w:rPr>
                <w:rFonts w:cs="Calibri"/>
                <w:i/>
                <w:szCs w:val="16"/>
              </w:rPr>
            </w:pPr>
            <w:r w:rsidRPr="001D5327">
              <w:rPr>
                <w:rFonts w:cs="Calibri"/>
                <w:i/>
                <w:szCs w:val="16"/>
              </w:rPr>
              <w:t>Living biomass</w:t>
            </w:r>
          </w:p>
        </w:tc>
        <w:tc>
          <w:tcPr>
            <w:tcW w:w="1276" w:type="dxa"/>
            <w:tcBorders>
              <w:top w:val="single" w:sz="4" w:space="0" w:color="1B556B"/>
              <w:bottom w:val="single" w:sz="4" w:space="0" w:color="1B556B"/>
            </w:tcBorders>
          </w:tcPr>
          <w:p w14:paraId="583B4177" w14:textId="77777777" w:rsidR="00E0181F" w:rsidRPr="001D5327" w:rsidRDefault="00E0181F" w:rsidP="00D11AC9">
            <w:pPr>
              <w:pStyle w:val="TableText"/>
              <w:spacing w:before="30" w:after="30"/>
              <w:jc w:val="right"/>
              <w:rPr>
                <w:rFonts w:cs="Calibri"/>
                <w:szCs w:val="16"/>
              </w:rPr>
            </w:pPr>
          </w:p>
        </w:tc>
        <w:tc>
          <w:tcPr>
            <w:tcW w:w="1276" w:type="dxa"/>
            <w:tcBorders>
              <w:top w:val="single" w:sz="4" w:space="0" w:color="1B556B"/>
              <w:bottom w:val="single" w:sz="4" w:space="0" w:color="1B556B"/>
            </w:tcBorders>
          </w:tcPr>
          <w:p w14:paraId="744B56C8" w14:textId="77777777" w:rsidR="00E0181F" w:rsidRPr="001D5327" w:rsidRDefault="00E0181F" w:rsidP="00D11AC9">
            <w:pPr>
              <w:pStyle w:val="TableText"/>
              <w:spacing w:before="30" w:after="30"/>
              <w:jc w:val="right"/>
              <w:rPr>
                <w:rFonts w:cs="Calibri"/>
                <w:szCs w:val="16"/>
              </w:rPr>
            </w:pPr>
          </w:p>
        </w:tc>
        <w:tc>
          <w:tcPr>
            <w:tcW w:w="1275" w:type="dxa"/>
            <w:tcBorders>
              <w:top w:val="single" w:sz="4" w:space="0" w:color="1B556B"/>
              <w:bottom w:val="single" w:sz="4" w:space="0" w:color="1B556B"/>
            </w:tcBorders>
          </w:tcPr>
          <w:p w14:paraId="094D2DB9" w14:textId="77777777" w:rsidR="00E0181F" w:rsidRPr="001D5327" w:rsidRDefault="00E0181F" w:rsidP="00D11AC9">
            <w:pPr>
              <w:pStyle w:val="TableText"/>
              <w:spacing w:before="30" w:after="30"/>
              <w:jc w:val="right"/>
              <w:rPr>
                <w:rFonts w:cs="Calibri"/>
                <w:szCs w:val="16"/>
              </w:rPr>
            </w:pPr>
          </w:p>
        </w:tc>
        <w:tc>
          <w:tcPr>
            <w:tcW w:w="1701" w:type="dxa"/>
            <w:vMerge/>
          </w:tcPr>
          <w:p w14:paraId="70DFB772" w14:textId="77777777" w:rsidR="00E0181F" w:rsidRPr="001D5327" w:rsidRDefault="00E0181F" w:rsidP="00D11AC9">
            <w:pPr>
              <w:pStyle w:val="TableText"/>
              <w:spacing w:before="30" w:after="30"/>
              <w:rPr>
                <w:rFonts w:cs="Calibri"/>
                <w:szCs w:val="16"/>
              </w:rPr>
            </w:pPr>
          </w:p>
        </w:tc>
      </w:tr>
      <w:tr w:rsidR="00E0181F" w:rsidRPr="001D5327" w14:paraId="0F7631E6" w14:textId="77777777" w:rsidTr="00D11AC9">
        <w:trPr>
          <w:trHeight w:val="20"/>
        </w:trPr>
        <w:tc>
          <w:tcPr>
            <w:tcW w:w="1246" w:type="dxa"/>
            <w:vMerge/>
          </w:tcPr>
          <w:p w14:paraId="3AC75F0D" w14:textId="77777777" w:rsidR="00E0181F" w:rsidRPr="001D5327" w:rsidRDefault="00E0181F" w:rsidP="00D11AC9">
            <w:pPr>
              <w:pStyle w:val="TableText"/>
              <w:spacing w:before="30" w:after="30"/>
              <w:rPr>
                <w:rFonts w:cs="Calibri"/>
                <w:szCs w:val="16"/>
              </w:rPr>
            </w:pPr>
          </w:p>
        </w:tc>
        <w:tc>
          <w:tcPr>
            <w:tcW w:w="1731" w:type="dxa"/>
            <w:tcBorders>
              <w:top w:val="single" w:sz="4" w:space="0" w:color="1B556B"/>
              <w:bottom w:val="single" w:sz="4" w:space="0" w:color="1B556B"/>
            </w:tcBorders>
          </w:tcPr>
          <w:p w14:paraId="0D96497F" w14:textId="77777777" w:rsidR="00E0181F" w:rsidRPr="001D5327" w:rsidRDefault="00E0181F" w:rsidP="00D11AC9">
            <w:pPr>
              <w:pStyle w:val="TableText"/>
              <w:spacing w:before="30" w:after="30"/>
              <w:rPr>
                <w:rFonts w:cs="Calibri"/>
                <w:szCs w:val="16"/>
              </w:rPr>
            </w:pPr>
            <w:r w:rsidRPr="001D5327">
              <w:rPr>
                <w:rFonts w:cs="Calibri"/>
                <w:szCs w:val="16"/>
              </w:rPr>
              <w:tab/>
              <w:t>AGB</w:t>
            </w:r>
          </w:p>
        </w:tc>
        <w:tc>
          <w:tcPr>
            <w:tcW w:w="1276" w:type="dxa"/>
            <w:tcBorders>
              <w:top w:val="single" w:sz="4" w:space="0" w:color="1B556B"/>
              <w:bottom w:val="single" w:sz="4" w:space="0" w:color="1B556B"/>
            </w:tcBorders>
          </w:tcPr>
          <w:p w14:paraId="598E4375" w14:textId="77777777" w:rsidR="00E0181F" w:rsidRPr="001D5327" w:rsidRDefault="00E0181F" w:rsidP="00D11AC9">
            <w:pPr>
              <w:pStyle w:val="TableText"/>
              <w:spacing w:before="30" w:after="30"/>
              <w:jc w:val="right"/>
              <w:rPr>
                <w:rFonts w:cs="Calibri"/>
                <w:szCs w:val="16"/>
              </w:rPr>
            </w:pPr>
            <w:r w:rsidRPr="001D5327">
              <w:rPr>
                <w:rFonts w:cs="Calibri"/>
                <w:szCs w:val="16"/>
              </w:rPr>
              <w:t>1.269</w:t>
            </w:r>
          </w:p>
        </w:tc>
        <w:tc>
          <w:tcPr>
            <w:tcW w:w="1276" w:type="dxa"/>
            <w:tcBorders>
              <w:top w:val="single" w:sz="4" w:space="0" w:color="1B556B"/>
              <w:bottom w:val="single" w:sz="4" w:space="0" w:color="1B556B"/>
            </w:tcBorders>
          </w:tcPr>
          <w:p w14:paraId="41BED3CB" w14:textId="77777777" w:rsidR="00E0181F" w:rsidRPr="001D5327" w:rsidRDefault="00E0181F" w:rsidP="00D11AC9">
            <w:pPr>
              <w:pStyle w:val="TableText"/>
              <w:spacing w:before="30" w:after="30"/>
              <w:jc w:val="right"/>
              <w:rPr>
                <w:rFonts w:cs="Calibri"/>
                <w:szCs w:val="16"/>
              </w:rPr>
            </w:pPr>
            <w:r w:rsidRPr="001D5327">
              <w:rPr>
                <w:rFonts w:cs="Calibri"/>
                <w:szCs w:val="16"/>
              </w:rPr>
              <w:t>1.269</w:t>
            </w:r>
          </w:p>
        </w:tc>
        <w:tc>
          <w:tcPr>
            <w:tcW w:w="1275" w:type="dxa"/>
            <w:tcBorders>
              <w:top w:val="single" w:sz="4" w:space="0" w:color="1B556B"/>
              <w:bottom w:val="single" w:sz="4" w:space="0" w:color="1B556B"/>
            </w:tcBorders>
          </w:tcPr>
          <w:p w14:paraId="50CFE8FD" w14:textId="77777777" w:rsidR="00E0181F" w:rsidRPr="001D5327" w:rsidRDefault="00E0181F" w:rsidP="00D11AC9">
            <w:pPr>
              <w:pStyle w:val="TableText"/>
              <w:spacing w:before="30" w:after="30"/>
              <w:jc w:val="right"/>
              <w:rPr>
                <w:rFonts w:cs="Calibri"/>
                <w:szCs w:val="16"/>
              </w:rPr>
            </w:pPr>
            <w:r w:rsidRPr="001D5327">
              <w:rPr>
                <w:rFonts w:cs="Calibri"/>
                <w:szCs w:val="16"/>
              </w:rPr>
              <w:t>1</w:t>
            </w:r>
          </w:p>
        </w:tc>
        <w:tc>
          <w:tcPr>
            <w:tcW w:w="1701" w:type="dxa"/>
            <w:vMerge/>
          </w:tcPr>
          <w:p w14:paraId="532A0E5F" w14:textId="77777777" w:rsidR="00E0181F" w:rsidRPr="001D5327" w:rsidRDefault="00E0181F" w:rsidP="00D11AC9">
            <w:pPr>
              <w:pStyle w:val="TableText"/>
              <w:spacing w:before="30" w:after="30"/>
              <w:rPr>
                <w:rFonts w:cs="Calibri"/>
                <w:szCs w:val="16"/>
              </w:rPr>
            </w:pPr>
          </w:p>
        </w:tc>
      </w:tr>
      <w:tr w:rsidR="00E0181F" w:rsidRPr="001D5327" w14:paraId="66723380" w14:textId="77777777" w:rsidTr="00D11AC9">
        <w:trPr>
          <w:trHeight w:val="20"/>
        </w:trPr>
        <w:tc>
          <w:tcPr>
            <w:tcW w:w="1246" w:type="dxa"/>
            <w:vMerge/>
          </w:tcPr>
          <w:p w14:paraId="446500CC" w14:textId="77777777" w:rsidR="00E0181F" w:rsidRPr="001D5327" w:rsidRDefault="00E0181F" w:rsidP="00D11AC9">
            <w:pPr>
              <w:pStyle w:val="TableText"/>
              <w:spacing w:before="30" w:after="30"/>
              <w:rPr>
                <w:rFonts w:cs="Calibri"/>
                <w:szCs w:val="16"/>
              </w:rPr>
            </w:pPr>
          </w:p>
        </w:tc>
        <w:tc>
          <w:tcPr>
            <w:tcW w:w="1731" w:type="dxa"/>
            <w:tcBorders>
              <w:top w:val="single" w:sz="4" w:space="0" w:color="1B556B"/>
              <w:bottom w:val="single" w:sz="4" w:space="0" w:color="1B556B"/>
            </w:tcBorders>
          </w:tcPr>
          <w:p w14:paraId="71DC6D72" w14:textId="77777777" w:rsidR="00E0181F" w:rsidRPr="001D5327" w:rsidRDefault="00E0181F" w:rsidP="00D11AC9">
            <w:pPr>
              <w:pStyle w:val="TableText"/>
              <w:spacing w:before="30" w:after="30"/>
              <w:rPr>
                <w:rFonts w:cs="Calibri"/>
                <w:szCs w:val="16"/>
              </w:rPr>
            </w:pPr>
            <w:r w:rsidRPr="001D5327">
              <w:rPr>
                <w:rFonts w:cs="Calibri"/>
                <w:szCs w:val="16"/>
              </w:rPr>
              <w:tab/>
              <w:t>BGB</w:t>
            </w:r>
          </w:p>
        </w:tc>
        <w:tc>
          <w:tcPr>
            <w:tcW w:w="1276" w:type="dxa"/>
            <w:tcBorders>
              <w:top w:val="single" w:sz="4" w:space="0" w:color="1B556B"/>
              <w:bottom w:val="single" w:sz="4" w:space="0" w:color="1B556B"/>
            </w:tcBorders>
          </w:tcPr>
          <w:p w14:paraId="305F985D" w14:textId="77777777" w:rsidR="00E0181F" w:rsidRPr="001D5327" w:rsidRDefault="00E0181F" w:rsidP="00D11AC9">
            <w:pPr>
              <w:pStyle w:val="TableText"/>
              <w:spacing w:before="30" w:after="30"/>
              <w:jc w:val="right"/>
              <w:rPr>
                <w:rFonts w:cs="Calibri"/>
                <w:szCs w:val="16"/>
              </w:rPr>
            </w:pPr>
            <w:r w:rsidRPr="001D5327">
              <w:rPr>
                <w:rFonts w:cs="Calibri"/>
                <w:szCs w:val="16"/>
              </w:rPr>
              <w:t>5.076</w:t>
            </w:r>
          </w:p>
        </w:tc>
        <w:tc>
          <w:tcPr>
            <w:tcW w:w="1276" w:type="dxa"/>
            <w:tcBorders>
              <w:top w:val="single" w:sz="4" w:space="0" w:color="1B556B"/>
              <w:bottom w:val="single" w:sz="4" w:space="0" w:color="1B556B"/>
            </w:tcBorders>
          </w:tcPr>
          <w:p w14:paraId="5E64FBA1" w14:textId="77777777" w:rsidR="00E0181F" w:rsidRPr="001D5327" w:rsidRDefault="00E0181F" w:rsidP="00D11AC9">
            <w:pPr>
              <w:pStyle w:val="TableText"/>
              <w:spacing w:before="30" w:after="30"/>
              <w:jc w:val="right"/>
              <w:rPr>
                <w:rFonts w:cs="Calibri"/>
                <w:szCs w:val="16"/>
              </w:rPr>
            </w:pPr>
            <w:r w:rsidRPr="001D5327">
              <w:rPr>
                <w:rFonts w:cs="Calibri"/>
                <w:szCs w:val="16"/>
              </w:rPr>
              <w:t>5.076</w:t>
            </w:r>
          </w:p>
        </w:tc>
        <w:tc>
          <w:tcPr>
            <w:tcW w:w="1275" w:type="dxa"/>
            <w:tcBorders>
              <w:top w:val="single" w:sz="4" w:space="0" w:color="1B556B"/>
              <w:bottom w:val="single" w:sz="4" w:space="0" w:color="1B556B"/>
            </w:tcBorders>
          </w:tcPr>
          <w:p w14:paraId="63163324" w14:textId="77777777" w:rsidR="00E0181F" w:rsidRPr="001D5327" w:rsidRDefault="00E0181F" w:rsidP="00D11AC9">
            <w:pPr>
              <w:pStyle w:val="TableText"/>
              <w:spacing w:before="30" w:after="30"/>
              <w:jc w:val="right"/>
              <w:rPr>
                <w:rFonts w:cs="Calibri"/>
                <w:szCs w:val="16"/>
              </w:rPr>
            </w:pPr>
            <w:r w:rsidRPr="001D5327">
              <w:rPr>
                <w:rFonts w:cs="Calibri"/>
                <w:szCs w:val="16"/>
              </w:rPr>
              <w:t>1</w:t>
            </w:r>
          </w:p>
        </w:tc>
        <w:tc>
          <w:tcPr>
            <w:tcW w:w="1701" w:type="dxa"/>
            <w:vMerge/>
            <w:tcBorders>
              <w:bottom w:val="single" w:sz="4" w:space="0" w:color="1B556B"/>
            </w:tcBorders>
          </w:tcPr>
          <w:p w14:paraId="65B4DC3E" w14:textId="77777777" w:rsidR="00E0181F" w:rsidRPr="001D5327" w:rsidRDefault="00E0181F" w:rsidP="00D11AC9">
            <w:pPr>
              <w:pStyle w:val="TableText"/>
              <w:spacing w:before="30" w:after="30"/>
              <w:rPr>
                <w:rFonts w:cs="Calibri"/>
                <w:szCs w:val="16"/>
              </w:rPr>
            </w:pPr>
          </w:p>
        </w:tc>
      </w:tr>
      <w:tr w:rsidR="00E0181F" w:rsidRPr="001D5327" w14:paraId="0B9004F9" w14:textId="77777777" w:rsidTr="00D11AC9">
        <w:trPr>
          <w:trHeight w:val="20"/>
        </w:trPr>
        <w:tc>
          <w:tcPr>
            <w:tcW w:w="1246" w:type="dxa"/>
            <w:vMerge/>
            <w:tcBorders>
              <w:bottom w:val="single" w:sz="4" w:space="0" w:color="1B556B"/>
            </w:tcBorders>
          </w:tcPr>
          <w:p w14:paraId="462EB4CE" w14:textId="77777777" w:rsidR="00E0181F" w:rsidRPr="001D5327" w:rsidRDefault="00E0181F" w:rsidP="00D11AC9">
            <w:pPr>
              <w:pStyle w:val="TableText"/>
              <w:spacing w:before="30" w:after="30"/>
              <w:rPr>
                <w:rFonts w:cs="Calibri"/>
                <w:szCs w:val="16"/>
              </w:rPr>
            </w:pPr>
          </w:p>
        </w:tc>
        <w:tc>
          <w:tcPr>
            <w:tcW w:w="1731" w:type="dxa"/>
            <w:tcBorders>
              <w:top w:val="single" w:sz="4" w:space="0" w:color="1B556B"/>
              <w:bottom w:val="single" w:sz="4" w:space="0" w:color="1B556B"/>
            </w:tcBorders>
          </w:tcPr>
          <w:p w14:paraId="08DB0D9E" w14:textId="77777777" w:rsidR="00E0181F" w:rsidRPr="001D5327" w:rsidRDefault="00E0181F" w:rsidP="00D11AC9">
            <w:pPr>
              <w:pStyle w:val="TableText"/>
              <w:spacing w:before="30" w:after="30"/>
              <w:rPr>
                <w:rFonts w:cs="Calibri"/>
                <w:i/>
                <w:szCs w:val="16"/>
              </w:rPr>
            </w:pPr>
            <w:r w:rsidRPr="001D5327">
              <w:rPr>
                <w:rFonts w:cs="Calibri"/>
                <w:i/>
                <w:szCs w:val="16"/>
              </w:rPr>
              <w:t>Dead organic matter</w:t>
            </w:r>
          </w:p>
        </w:tc>
        <w:tc>
          <w:tcPr>
            <w:tcW w:w="1276" w:type="dxa"/>
            <w:tcBorders>
              <w:top w:val="single" w:sz="4" w:space="0" w:color="1B556B"/>
              <w:bottom w:val="single" w:sz="4" w:space="0" w:color="1B556B"/>
            </w:tcBorders>
          </w:tcPr>
          <w:p w14:paraId="56A62483" w14:textId="77777777" w:rsidR="00E0181F" w:rsidRPr="001D5327" w:rsidRDefault="00E0181F" w:rsidP="00D11AC9">
            <w:pPr>
              <w:pStyle w:val="TableText"/>
              <w:spacing w:before="30" w:after="30"/>
              <w:jc w:val="right"/>
              <w:rPr>
                <w:rFonts w:cs="Calibri"/>
                <w:szCs w:val="16"/>
              </w:rPr>
            </w:pPr>
            <w:r w:rsidRPr="001D5327">
              <w:rPr>
                <w:rFonts w:cs="Calibri"/>
                <w:szCs w:val="16"/>
              </w:rPr>
              <w:t>NE</w:t>
            </w:r>
          </w:p>
        </w:tc>
        <w:tc>
          <w:tcPr>
            <w:tcW w:w="1276" w:type="dxa"/>
            <w:tcBorders>
              <w:top w:val="single" w:sz="4" w:space="0" w:color="1B556B"/>
              <w:bottom w:val="single" w:sz="4" w:space="0" w:color="1B556B"/>
            </w:tcBorders>
          </w:tcPr>
          <w:p w14:paraId="3ED3A5AF" w14:textId="77777777" w:rsidR="00E0181F" w:rsidRPr="001D5327" w:rsidRDefault="00E0181F" w:rsidP="00D11AC9">
            <w:pPr>
              <w:pStyle w:val="TableText"/>
              <w:spacing w:before="30" w:after="30"/>
              <w:jc w:val="right"/>
              <w:rPr>
                <w:rFonts w:cs="Calibri"/>
                <w:szCs w:val="16"/>
              </w:rPr>
            </w:pPr>
            <w:r w:rsidRPr="001D5327">
              <w:rPr>
                <w:rFonts w:cs="Calibri"/>
                <w:szCs w:val="16"/>
              </w:rPr>
              <w:t>NA</w:t>
            </w:r>
          </w:p>
        </w:tc>
        <w:tc>
          <w:tcPr>
            <w:tcW w:w="1275" w:type="dxa"/>
            <w:tcBorders>
              <w:top w:val="single" w:sz="4" w:space="0" w:color="1B556B"/>
              <w:bottom w:val="single" w:sz="4" w:space="0" w:color="1B556B"/>
            </w:tcBorders>
          </w:tcPr>
          <w:p w14:paraId="5887FA39" w14:textId="77777777" w:rsidR="00E0181F" w:rsidRPr="001D5327" w:rsidRDefault="00E0181F" w:rsidP="00D11AC9">
            <w:pPr>
              <w:pStyle w:val="TableText"/>
              <w:spacing w:before="30" w:after="30"/>
              <w:jc w:val="right"/>
              <w:rPr>
                <w:rFonts w:cs="Calibri"/>
                <w:szCs w:val="16"/>
              </w:rPr>
            </w:pPr>
            <w:r w:rsidRPr="001D5327">
              <w:rPr>
                <w:rFonts w:cs="Calibri"/>
                <w:szCs w:val="16"/>
              </w:rPr>
              <w:t>NA</w:t>
            </w:r>
          </w:p>
        </w:tc>
        <w:tc>
          <w:tcPr>
            <w:tcW w:w="1701" w:type="dxa"/>
            <w:tcBorders>
              <w:top w:val="single" w:sz="4" w:space="0" w:color="1B556B"/>
              <w:bottom w:val="single" w:sz="4" w:space="0" w:color="1B556B"/>
            </w:tcBorders>
          </w:tcPr>
          <w:p w14:paraId="739739C4" w14:textId="77777777" w:rsidR="00E0181F" w:rsidRPr="001D5327" w:rsidRDefault="00E0181F" w:rsidP="00D11AC9">
            <w:pPr>
              <w:pStyle w:val="TableText"/>
              <w:spacing w:before="30" w:after="30"/>
              <w:rPr>
                <w:rFonts w:cs="Calibri"/>
                <w:szCs w:val="16"/>
              </w:rPr>
            </w:pPr>
            <w:r w:rsidRPr="001D5327">
              <w:rPr>
                <w:rFonts w:cs="Calibri"/>
                <w:szCs w:val="16"/>
              </w:rPr>
              <w:t>No IPCC guidelines</w:t>
            </w:r>
          </w:p>
        </w:tc>
      </w:tr>
      <w:tr w:rsidR="00E0181F" w:rsidRPr="001D5327" w14:paraId="33858BEF" w14:textId="77777777" w:rsidTr="00D11AC9">
        <w:trPr>
          <w:trHeight w:val="20"/>
        </w:trPr>
        <w:tc>
          <w:tcPr>
            <w:tcW w:w="1246" w:type="dxa"/>
            <w:vMerge w:val="restart"/>
            <w:tcBorders>
              <w:top w:val="single" w:sz="4" w:space="0" w:color="1B556B"/>
              <w:bottom w:val="single" w:sz="4" w:space="0" w:color="1B556B"/>
            </w:tcBorders>
          </w:tcPr>
          <w:p w14:paraId="2F1B862C" w14:textId="77777777" w:rsidR="00E0181F" w:rsidRPr="001D5327" w:rsidRDefault="00E0181F" w:rsidP="00D11AC9">
            <w:pPr>
              <w:pStyle w:val="TableText"/>
              <w:spacing w:before="30" w:after="30"/>
              <w:rPr>
                <w:rFonts w:cs="Calibri"/>
                <w:szCs w:val="16"/>
              </w:rPr>
            </w:pPr>
            <w:r w:rsidRPr="001D5327">
              <w:rPr>
                <w:rFonts w:cs="Calibri"/>
                <w:szCs w:val="16"/>
              </w:rPr>
              <w:t>Low producing</w:t>
            </w:r>
          </w:p>
        </w:tc>
        <w:tc>
          <w:tcPr>
            <w:tcW w:w="1731" w:type="dxa"/>
            <w:tcBorders>
              <w:top w:val="single" w:sz="4" w:space="0" w:color="1B556B"/>
              <w:bottom w:val="single" w:sz="4" w:space="0" w:color="1B556B"/>
            </w:tcBorders>
          </w:tcPr>
          <w:p w14:paraId="4DF704EC" w14:textId="77777777" w:rsidR="00E0181F" w:rsidRPr="001D5327" w:rsidRDefault="00E0181F" w:rsidP="00D11AC9">
            <w:pPr>
              <w:pStyle w:val="TableText"/>
              <w:spacing w:before="30" w:after="30"/>
              <w:rPr>
                <w:rFonts w:cs="Calibri"/>
                <w:b/>
                <w:szCs w:val="16"/>
              </w:rPr>
            </w:pPr>
            <w:r w:rsidRPr="001D5327">
              <w:rPr>
                <w:rFonts w:cs="Calibri"/>
                <w:b/>
                <w:szCs w:val="16"/>
              </w:rPr>
              <w:t>Total biomass</w:t>
            </w:r>
          </w:p>
        </w:tc>
        <w:tc>
          <w:tcPr>
            <w:tcW w:w="1276" w:type="dxa"/>
            <w:tcBorders>
              <w:top w:val="single" w:sz="4" w:space="0" w:color="1B556B"/>
              <w:bottom w:val="single" w:sz="4" w:space="0" w:color="1B556B"/>
            </w:tcBorders>
          </w:tcPr>
          <w:p w14:paraId="1884C1C1" w14:textId="77777777" w:rsidR="00E0181F" w:rsidRPr="001D5327" w:rsidRDefault="00E0181F" w:rsidP="00D11AC9">
            <w:pPr>
              <w:pStyle w:val="TableText"/>
              <w:spacing w:before="30" w:after="30"/>
              <w:jc w:val="right"/>
              <w:rPr>
                <w:rFonts w:cs="Calibri"/>
                <w:b/>
                <w:szCs w:val="16"/>
              </w:rPr>
            </w:pPr>
            <w:r w:rsidRPr="001D5327">
              <w:rPr>
                <w:rFonts w:cs="Calibri"/>
                <w:b/>
                <w:szCs w:val="16"/>
              </w:rPr>
              <w:t>2.867</w:t>
            </w:r>
          </w:p>
        </w:tc>
        <w:tc>
          <w:tcPr>
            <w:tcW w:w="1276" w:type="dxa"/>
            <w:tcBorders>
              <w:top w:val="single" w:sz="4" w:space="0" w:color="1B556B"/>
              <w:bottom w:val="single" w:sz="4" w:space="0" w:color="1B556B"/>
            </w:tcBorders>
          </w:tcPr>
          <w:p w14:paraId="3809D1CB" w14:textId="77777777" w:rsidR="00E0181F" w:rsidRPr="001D5327" w:rsidRDefault="00E0181F" w:rsidP="00D11AC9">
            <w:pPr>
              <w:pStyle w:val="TableText"/>
              <w:spacing w:before="30" w:after="30"/>
              <w:jc w:val="right"/>
              <w:rPr>
                <w:rFonts w:cs="Calibri"/>
                <w:b/>
                <w:szCs w:val="16"/>
              </w:rPr>
            </w:pPr>
            <w:r w:rsidRPr="001D5327">
              <w:rPr>
                <w:rFonts w:cs="Calibri"/>
                <w:b/>
                <w:szCs w:val="16"/>
              </w:rPr>
              <w:t>2.867</w:t>
            </w:r>
          </w:p>
        </w:tc>
        <w:tc>
          <w:tcPr>
            <w:tcW w:w="1275" w:type="dxa"/>
            <w:tcBorders>
              <w:top w:val="single" w:sz="4" w:space="0" w:color="1B556B"/>
              <w:bottom w:val="single" w:sz="4" w:space="0" w:color="1B556B"/>
            </w:tcBorders>
          </w:tcPr>
          <w:p w14:paraId="6BC239ED" w14:textId="77777777" w:rsidR="00E0181F" w:rsidRPr="001D5327" w:rsidRDefault="00E0181F" w:rsidP="00D11AC9">
            <w:pPr>
              <w:pStyle w:val="TableText"/>
              <w:spacing w:before="30" w:after="30"/>
              <w:jc w:val="right"/>
              <w:rPr>
                <w:rFonts w:cs="Calibri"/>
                <w:b/>
                <w:szCs w:val="16"/>
              </w:rPr>
            </w:pPr>
            <w:r w:rsidRPr="001D5327">
              <w:rPr>
                <w:rFonts w:cs="Calibri"/>
                <w:b/>
                <w:szCs w:val="16"/>
              </w:rPr>
              <w:t>1</w:t>
            </w:r>
          </w:p>
        </w:tc>
        <w:tc>
          <w:tcPr>
            <w:tcW w:w="1701" w:type="dxa"/>
            <w:vMerge w:val="restart"/>
            <w:tcBorders>
              <w:top w:val="single" w:sz="4" w:space="0" w:color="1B556B"/>
              <w:bottom w:val="single" w:sz="4" w:space="0" w:color="365F91"/>
            </w:tcBorders>
          </w:tcPr>
          <w:p w14:paraId="1535297E" w14:textId="77777777" w:rsidR="00E0181F" w:rsidRPr="001D5327" w:rsidRDefault="00E0181F" w:rsidP="00D11AC9">
            <w:pPr>
              <w:pStyle w:val="TableText"/>
              <w:spacing w:before="30" w:after="30"/>
              <w:rPr>
                <w:rFonts w:cs="Calibri"/>
                <w:szCs w:val="16"/>
              </w:rPr>
            </w:pPr>
            <w:r w:rsidRPr="001D5327">
              <w:rPr>
                <w:rFonts w:cs="Calibri"/>
                <w:szCs w:val="16"/>
              </w:rPr>
              <w:t>IPCC (2006a), table 6.4</w:t>
            </w:r>
          </w:p>
        </w:tc>
      </w:tr>
      <w:tr w:rsidR="00E0181F" w:rsidRPr="001D5327" w14:paraId="4556C866" w14:textId="77777777" w:rsidTr="00D11AC9">
        <w:trPr>
          <w:trHeight w:val="20"/>
        </w:trPr>
        <w:tc>
          <w:tcPr>
            <w:tcW w:w="1246" w:type="dxa"/>
            <w:vMerge/>
            <w:tcBorders>
              <w:bottom w:val="single" w:sz="4" w:space="0" w:color="1B556B"/>
            </w:tcBorders>
          </w:tcPr>
          <w:p w14:paraId="25561C67" w14:textId="77777777" w:rsidR="00E0181F" w:rsidRPr="001D5327" w:rsidRDefault="00E0181F" w:rsidP="00D11AC9">
            <w:pPr>
              <w:pStyle w:val="TableText"/>
              <w:spacing w:before="30" w:after="30"/>
              <w:rPr>
                <w:rFonts w:cs="Calibri"/>
                <w:szCs w:val="16"/>
              </w:rPr>
            </w:pPr>
          </w:p>
        </w:tc>
        <w:tc>
          <w:tcPr>
            <w:tcW w:w="1731" w:type="dxa"/>
            <w:tcBorders>
              <w:top w:val="single" w:sz="4" w:space="0" w:color="1B556B"/>
              <w:bottom w:val="single" w:sz="4" w:space="0" w:color="1B556B"/>
            </w:tcBorders>
          </w:tcPr>
          <w:p w14:paraId="738C6751" w14:textId="77777777" w:rsidR="00E0181F" w:rsidRPr="001D5327" w:rsidRDefault="00E0181F" w:rsidP="00D11AC9">
            <w:pPr>
              <w:pStyle w:val="TableText"/>
              <w:spacing w:before="30" w:after="30"/>
              <w:rPr>
                <w:rFonts w:cs="Calibri"/>
                <w:i/>
                <w:szCs w:val="16"/>
              </w:rPr>
            </w:pPr>
            <w:r w:rsidRPr="001D5327">
              <w:rPr>
                <w:rFonts w:cs="Calibri"/>
                <w:i/>
                <w:szCs w:val="16"/>
              </w:rPr>
              <w:t>Living biomass</w:t>
            </w:r>
          </w:p>
        </w:tc>
        <w:tc>
          <w:tcPr>
            <w:tcW w:w="1276" w:type="dxa"/>
            <w:tcBorders>
              <w:top w:val="single" w:sz="4" w:space="0" w:color="1B556B"/>
              <w:bottom w:val="single" w:sz="4" w:space="0" w:color="1B556B"/>
            </w:tcBorders>
          </w:tcPr>
          <w:p w14:paraId="6C648EB3" w14:textId="77777777" w:rsidR="00E0181F" w:rsidRPr="001D5327" w:rsidRDefault="00E0181F" w:rsidP="00D11AC9">
            <w:pPr>
              <w:pStyle w:val="TableText"/>
              <w:spacing w:before="30" w:after="30"/>
              <w:jc w:val="right"/>
              <w:rPr>
                <w:rFonts w:cs="Calibri"/>
                <w:szCs w:val="16"/>
              </w:rPr>
            </w:pPr>
          </w:p>
        </w:tc>
        <w:tc>
          <w:tcPr>
            <w:tcW w:w="1276" w:type="dxa"/>
            <w:tcBorders>
              <w:top w:val="single" w:sz="4" w:space="0" w:color="1B556B"/>
              <w:bottom w:val="single" w:sz="4" w:space="0" w:color="1B556B"/>
            </w:tcBorders>
          </w:tcPr>
          <w:p w14:paraId="68C36807" w14:textId="77777777" w:rsidR="00E0181F" w:rsidRPr="001D5327" w:rsidRDefault="00E0181F" w:rsidP="00D11AC9">
            <w:pPr>
              <w:pStyle w:val="TableText"/>
              <w:spacing w:before="30" w:after="30"/>
              <w:jc w:val="right"/>
              <w:rPr>
                <w:rFonts w:cs="Calibri"/>
                <w:szCs w:val="16"/>
              </w:rPr>
            </w:pPr>
          </w:p>
        </w:tc>
        <w:tc>
          <w:tcPr>
            <w:tcW w:w="1275" w:type="dxa"/>
            <w:tcBorders>
              <w:top w:val="single" w:sz="4" w:space="0" w:color="1B556B"/>
              <w:bottom w:val="single" w:sz="4" w:space="0" w:color="1B556B"/>
            </w:tcBorders>
          </w:tcPr>
          <w:p w14:paraId="2B7AD040" w14:textId="77777777" w:rsidR="00E0181F" w:rsidRPr="001D5327" w:rsidRDefault="00E0181F" w:rsidP="00D11AC9">
            <w:pPr>
              <w:pStyle w:val="TableText"/>
              <w:spacing w:before="30" w:after="30"/>
              <w:jc w:val="right"/>
              <w:rPr>
                <w:rFonts w:cs="Calibri"/>
                <w:szCs w:val="16"/>
              </w:rPr>
            </w:pPr>
          </w:p>
        </w:tc>
        <w:tc>
          <w:tcPr>
            <w:tcW w:w="1701" w:type="dxa"/>
            <w:vMerge/>
          </w:tcPr>
          <w:p w14:paraId="2193FCD2" w14:textId="77777777" w:rsidR="00E0181F" w:rsidRPr="001D5327" w:rsidRDefault="00E0181F" w:rsidP="00D11AC9">
            <w:pPr>
              <w:pStyle w:val="TableText"/>
              <w:spacing w:before="30" w:after="30"/>
              <w:rPr>
                <w:rFonts w:cs="Calibri"/>
                <w:szCs w:val="16"/>
              </w:rPr>
            </w:pPr>
          </w:p>
        </w:tc>
      </w:tr>
      <w:tr w:rsidR="00E0181F" w:rsidRPr="001D5327" w14:paraId="18A11B4E" w14:textId="77777777" w:rsidTr="00D11AC9">
        <w:trPr>
          <w:trHeight w:val="20"/>
        </w:trPr>
        <w:tc>
          <w:tcPr>
            <w:tcW w:w="1246" w:type="dxa"/>
            <w:vMerge/>
            <w:tcBorders>
              <w:bottom w:val="single" w:sz="4" w:space="0" w:color="1B556B"/>
            </w:tcBorders>
          </w:tcPr>
          <w:p w14:paraId="2D52CF2B" w14:textId="77777777" w:rsidR="00E0181F" w:rsidRPr="001D5327" w:rsidRDefault="00E0181F" w:rsidP="00D11AC9">
            <w:pPr>
              <w:pStyle w:val="TableText"/>
              <w:spacing w:before="30" w:after="30"/>
              <w:rPr>
                <w:rFonts w:cs="Calibri"/>
                <w:szCs w:val="16"/>
              </w:rPr>
            </w:pPr>
          </w:p>
        </w:tc>
        <w:tc>
          <w:tcPr>
            <w:tcW w:w="1731" w:type="dxa"/>
            <w:tcBorders>
              <w:top w:val="single" w:sz="4" w:space="0" w:color="1B556B"/>
              <w:bottom w:val="single" w:sz="4" w:space="0" w:color="1B556B"/>
            </w:tcBorders>
          </w:tcPr>
          <w:p w14:paraId="5CE25D7D" w14:textId="77777777" w:rsidR="00E0181F" w:rsidRPr="001D5327" w:rsidRDefault="00E0181F" w:rsidP="00D11AC9">
            <w:pPr>
              <w:pStyle w:val="TableText"/>
              <w:spacing w:before="30" w:after="30"/>
              <w:rPr>
                <w:rFonts w:cs="Calibri"/>
                <w:szCs w:val="16"/>
              </w:rPr>
            </w:pPr>
            <w:r w:rsidRPr="001D5327">
              <w:rPr>
                <w:rFonts w:cs="Calibri"/>
                <w:szCs w:val="16"/>
              </w:rPr>
              <w:tab/>
              <w:t>AGB</w:t>
            </w:r>
          </w:p>
        </w:tc>
        <w:tc>
          <w:tcPr>
            <w:tcW w:w="1276" w:type="dxa"/>
            <w:tcBorders>
              <w:top w:val="single" w:sz="4" w:space="0" w:color="1B556B"/>
              <w:bottom w:val="single" w:sz="4" w:space="0" w:color="1B556B"/>
            </w:tcBorders>
          </w:tcPr>
          <w:p w14:paraId="73297F71" w14:textId="77777777" w:rsidR="00E0181F" w:rsidRPr="001D5327" w:rsidRDefault="00E0181F" w:rsidP="00D11AC9">
            <w:pPr>
              <w:pStyle w:val="TableText"/>
              <w:spacing w:before="30" w:after="30"/>
              <w:jc w:val="right"/>
              <w:rPr>
                <w:rFonts w:cs="Calibri"/>
                <w:szCs w:val="16"/>
              </w:rPr>
            </w:pPr>
            <w:r w:rsidRPr="001D5327">
              <w:rPr>
                <w:rFonts w:cs="Calibri"/>
                <w:szCs w:val="16"/>
              </w:rPr>
              <w:t>0.752</w:t>
            </w:r>
          </w:p>
        </w:tc>
        <w:tc>
          <w:tcPr>
            <w:tcW w:w="1276" w:type="dxa"/>
            <w:tcBorders>
              <w:top w:val="single" w:sz="4" w:space="0" w:color="1B556B"/>
              <w:bottom w:val="single" w:sz="4" w:space="0" w:color="1B556B"/>
            </w:tcBorders>
          </w:tcPr>
          <w:p w14:paraId="1A0AF5A2" w14:textId="77777777" w:rsidR="00E0181F" w:rsidRPr="001D5327" w:rsidRDefault="00E0181F" w:rsidP="00D11AC9">
            <w:pPr>
              <w:pStyle w:val="TableText"/>
              <w:spacing w:before="30" w:after="30"/>
              <w:jc w:val="right"/>
              <w:rPr>
                <w:rFonts w:cs="Calibri"/>
                <w:szCs w:val="16"/>
              </w:rPr>
            </w:pPr>
            <w:r w:rsidRPr="001D5327">
              <w:rPr>
                <w:rFonts w:cs="Calibri"/>
                <w:szCs w:val="16"/>
              </w:rPr>
              <w:t>0.752</w:t>
            </w:r>
          </w:p>
        </w:tc>
        <w:tc>
          <w:tcPr>
            <w:tcW w:w="1275" w:type="dxa"/>
            <w:tcBorders>
              <w:top w:val="single" w:sz="4" w:space="0" w:color="1B556B"/>
              <w:bottom w:val="single" w:sz="4" w:space="0" w:color="1B556B"/>
            </w:tcBorders>
          </w:tcPr>
          <w:p w14:paraId="317E0AC4" w14:textId="77777777" w:rsidR="00E0181F" w:rsidRPr="001D5327" w:rsidRDefault="00E0181F" w:rsidP="00D11AC9">
            <w:pPr>
              <w:pStyle w:val="TableText"/>
              <w:spacing w:before="30" w:after="30"/>
              <w:jc w:val="right"/>
              <w:rPr>
                <w:rFonts w:cs="Calibri"/>
                <w:szCs w:val="16"/>
              </w:rPr>
            </w:pPr>
            <w:r w:rsidRPr="001D5327">
              <w:rPr>
                <w:rFonts w:cs="Calibri"/>
                <w:szCs w:val="16"/>
              </w:rPr>
              <w:t>1</w:t>
            </w:r>
          </w:p>
        </w:tc>
        <w:tc>
          <w:tcPr>
            <w:tcW w:w="1701" w:type="dxa"/>
            <w:vMerge/>
          </w:tcPr>
          <w:p w14:paraId="4B6FBC8C" w14:textId="77777777" w:rsidR="00E0181F" w:rsidRPr="001D5327" w:rsidRDefault="00E0181F" w:rsidP="00D11AC9">
            <w:pPr>
              <w:pStyle w:val="TableText"/>
              <w:spacing w:before="30" w:after="30"/>
              <w:rPr>
                <w:rFonts w:cs="Calibri"/>
                <w:szCs w:val="16"/>
              </w:rPr>
            </w:pPr>
          </w:p>
        </w:tc>
      </w:tr>
      <w:tr w:rsidR="00E0181F" w:rsidRPr="001D5327" w14:paraId="45684A6E" w14:textId="77777777" w:rsidTr="00D11AC9">
        <w:trPr>
          <w:trHeight w:val="20"/>
        </w:trPr>
        <w:tc>
          <w:tcPr>
            <w:tcW w:w="1246" w:type="dxa"/>
            <w:vMerge/>
            <w:tcBorders>
              <w:bottom w:val="single" w:sz="4" w:space="0" w:color="1B556B"/>
            </w:tcBorders>
          </w:tcPr>
          <w:p w14:paraId="77A14E02" w14:textId="77777777" w:rsidR="00E0181F" w:rsidRPr="001D5327" w:rsidRDefault="00E0181F" w:rsidP="00D11AC9">
            <w:pPr>
              <w:pStyle w:val="TableText"/>
              <w:spacing w:before="30" w:after="30"/>
              <w:rPr>
                <w:rFonts w:cs="Calibri"/>
                <w:szCs w:val="16"/>
              </w:rPr>
            </w:pPr>
          </w:p>
        </w:tc>
        <w:tc>
          <w:tcPr>
            <w:tcW w:w="1731" w:type="dxa"/>
            <w:tcBorders>
              <w:top w:val="single" w:sz="4" w:space="0" w:color="1B556B"/>
              <w:bottom w:val="single" w:sz="4" w:space="0" w:color="1B556B"/>
            </w:tcBorders>
          </w:tcPr>
          <w:p w14:paraId="023A984B" w14:textId="77777777" w:rsidR="00E0181F" w:rsidRPr="001D5327" w:rsidRDefault="00E0181F" w:rsidP="00D11AC9">
            <w:pPr>
              <w:pStyle w:val="TableText"/>
              <w:spacing w:before="30" w:after="30"/>
              <w:rPr>
                <w:rFonts w:cs="Calibri"/>
                <w:szCs w:val="16"/>
              </w:rPr>
            </w:pPr>
            <w:r w:rsidRPr="001D5327">
              <w:rPr>
                <w:rFonts w:cs="Calibri"/>
                <w:szCs w:val="16"/>
              </w:rPr>
              <w:tab/>
              <w:t>BGB</w:t>
            </w:r>
          </w:p>
        </w:tc>
        <w:tc>
          <w:tcPr>
            <w:tcW w:w="1276" w:type="dxa"/>
            <w:tcBorders>
              <w:top w:val="single" w:sz="4" w:space="0" w:color="1B556B"/>
              <w:bottom w:val="single" w:sz="4" w:space="0" w:color="1B556B"/>
            </w:tcBorders>
          </w:tcPr>
          <w:p w14:paraId="1CF12893" w14:textId="77777777" w:rsidR="00E0181F" w:rsidRPr="001D5327" w:rsidRDefault="00E0181F" w:rsidP="00D11AC9">
            <w:pPr>
              <w:pStyle w:val="TableText"/>
              <w:spacing w:before="30" w:after="30"/>
              <w:jc w:val="right"/>
              <w:rPr>
                <w:rFonts w:cs="Calibri"/>
                <w:szCs w:val="16"/>
              </w:rPr>
            </w:pPr>
            <w:r w:rsidRPr="001D5327">
              <w:rPr>
                <w:rFonts w:cs="Calibri"/>
                <w:szCs w:val="16"/>
              </w:rPr>
              <w:t>2.115</w:t>
            </w:r>
          </w:p>
        </w:tc>
        <w:tc>
          <w:tcPr>
            <w:tcW w:w="1276" w:type="dxa"/>
            <w:tcBorders>
              <w:top w:val="single" w:sz="4" w:space="0" w:color="1B556B"/>
              <w:bottom w:val="single" w:sz="4" w:space="0" w:color="1B556B"/>
            </w:tcBorders>
          </w:tcPr>
          <w:p w14:paraId="6AAE5323" w14:textId="77777777" w:rsidR="00E0181F" w:rsidRPr="001D5327" w:rsidRDefault="00E0181F" w:rsidP="00D11AC9">
            <w:pPr>
              <w:pStyle w:val="TableText"/>
              <w:spacing w:before="30" w:after="30"/>
              <w:jc w:val="right"/>
              <w:rPr>
                <w:rFonts w:cs="Calibri"/>
                <w:szCs w:val="16"/>
              </w:rPr>
            </w:pPr>
            <w:r w:rsidRPr="001D5327">
              <w:rPr>
                <w:rFonts w:cs="Calibri"/>
                <w:szCs w:val="16"/>
              </w:rPr>
              <w:t>2.115</w:t>
            </w:r>
          </w:p>
        </w:tc>
        <w:tc>
          <w:tcPr>
            <w:tcW w:w="1275" w:type="dxa"/>
            <w:tcBorders>
              <w:top w:val="single" w:sz="4" w:space="0" w:color="1B556B"/>
              <w:bottom w:val="single" w:sz="4" w:space="0" w:color="1B556B"/>
            </w:tcBorders>
          </w:tcPr>
          <w:p w14:paraId="3CB85E5A" w14:textId="77777777" w:rsidR="00E0181F" w:rsidRPr="001D5327" w:rsidRDefault="00E0181F" w:rsidP="00D11AC9">
            <w:pPr>
              <w:pStyle w:val="TableText"/>
              <w:spacing w:before="30" w:after="30"/>
              <w:jc w:val="right"/>
              <w:rPr>
                <w:rFonts w:cs="Calibri"/>
                <w:szCs w:val="16"/>
              </w:rPr>
            </w:pPr>
            <w:r w:rsidRPr="001D5327">
              <w:rPr>
                <w:rFonts w:cs="Calibri"/>
                <w:szCs w:val="16"/>
              </w:rPr>
              <w:t>1</w:t>
            </w:r>
          </w:p>
        </w:tc>
        <w:tc>
          <w:tcPr>
            <w:tcW w:w="1701" w:type="dxa"/>
            <w:vMerge/>
          </w:tcPr>
          <w:p w14:paraId="0808671C" w14:textId="77777777" w:rsidR="00E0181F" w:rsidRPr="001D5327" w:rsidRDefault="00E0181F" w:rsidP="00D11AC9">
            <w:pPr>
              <w:pStyle w:val="TableText"/>
              <w:spacing w:before="30" w:after="30"/>
              <w:rPr>
                <w:rFonts w:cs="Calibri"/>
                <w:szCs w:val="16"/>
              </w:rPr>
            </w:pPr>
          </w:p>
        </w:tc>
      </w:tr>
      <w:tr w:rsidR="00E0181F" w:rsidRPr="001D5327" w14:paraId="37623DAE" w14:textId="77777777" w:rsidTr="00D11AC9">
        <w:trPr>
          <w:trHeight w:val="20"/>
        </w:trPr>
        <w:tc>
          <w:tcPr>
            <w:tcW w:w="1246" w:type="dxa"/>
            <w:vMerge/>
            <w:tcBorders>
              <w:bottom w:val="single" w:sz="4" w:space="0" w:color="1B556B"/>
            </w:tcBorders>
          </w:tcPr>
          <w:p w14:paraId="4CFC2CB6" w14:textId="77777777" w:rsidR="00E0181F" w:rsidRPr="001D5327" w:rsidRDefault="00E0181F" w:rsidP="00D11AC9">
            <w:pPr>
              <w:pStyle w:val="TableText"/>
              <w:spacing w:before="30" w:after="30"/>
              <w:rPr>
                <w:rFonts w:cs="Calibri"/>
                <w:szCs w:val="16"/>
              </w:rPr>
            </w:pPr>
          </w:p>
        </w:tc>
        <w:tc>
          <w:tcPr>
            <w:tcW w:w="1731" w:type="dxa"/>
            <w:tcBorders>
              <w:top w:val="single" w:sz="4" w:space="0" w:color="1B556B"/>
              <w:bottom w:val="single" w:sz="4" w:space="0" w:color="1B556B"/>
            </w:tcBorders>
          </w:tcPr>
          <w:p w14:paraId="014C184A" w14:textId="77777777" w:rsidR="00E0181F" w:rsidRPr="001D5327" w:rsidRDefault="00E0181F" w:rsidP="00D11AC9">
            <w:pPr>
              <w:pStyle w:val="TableText"/>
              <w:spacing w:before="30" w:after="30"/>
              <w:rPr>
                <w:rFonts w:cs="Calibri"/>
                <w:i/>
                <w:szCs w:val="16"/>
              </w:rPr>
            </w:pPr>
            <w:r w:rsidRPr="001D5327">
              <w:rPr>
                <w:rFonts w:cs="Calibri"/>
                <w:i/>
                <w:szCs w:val="16"/>
              </w:rPr>
              <w:t>Dead organic matter</w:t>
            </w:r>
          </w:p>
        </w:tc>
        <w:tc>
          <w:tcPr>
            <w:tcW w:w="1276" w:type="dxa"/>
            <w:tcBorders>
              <w:top w:val="single" w:sz="4" w:space="0" w:color="1B556B"/>
              <w:bottom w:val="single" w:sz="4" w:space="0" w:color="1B556B"/>
            </w:tcBorders>
          </w:tcPr>
          <w:p w14:paraId="5F4C7E03" w14:textId="77777777" w:rsidR="00E0181F" w:rsidRPr="001D5327" w:rsidRDefault="00E0181F" w:rsidP="00D11AC9">
            <w:pPr>
              <w:pStyle w:val="TableText"/>
              <w:spacing w:before="30" w:after="30"/>
              <w:jc w:val="right"/>
              <w:rPr>
                <w:rFonts w:cs="Calibri"/>
                <w:szCs w:val="16"/>
              </w:rPr>
            </w:pPr>
            <w:r w:rsidRPr="001D5327">
              <w:rPr>
                <w:rFonts w:cs="Calibri"/>
                <w:szCs w:val="16"/>
              </w:rPr>
              <w:t>NE</w:t>
            </w:r>
          </w:p>
        </w:tc>
        <w:tc>
          <w:tcPr>
            <w:tcW w:w="1276" w:type="dxa"/>
            <w:tcBorders>
              <w:top w:val="single" w:sz="4" w:space="0" w:color="1B556B"/>
              <w:bottom w:val="single" w:sz="4" w:space="0" w:color="1B556B"/>
            </w:tcBorders>
          </w:tcPr>
          <w:p w14:paraId="148B1C99" w14:textId="77777777" w:rsidR="00E0181F" w:rsidRPr="001D5327" w:rsidRDefault="00E0181F" w:rsidP="00D11AC9">
            <w:pPr>
              <w:pStyle w:val="TableText"/>
              <w:spacing w:before="30" w:after="30"/>
              <w:jc w:val="right"/>
              <w:rPr>
                <w:rFonts w:cs="Calibri"/>
                <w:szCs w:val="16"/>
              </w:rPr>
            </w:pPr>
            <w:r w:rsidRPr="001D5327">
              <w:rPr>
                <w:rFonts w:cs="Calibri"/>
                <w:szCs w:val="16"/>
              </w:rPr>
              <w:t>NA</w:t>
            </w:r>
          </w:p>
        </w:tc>
        <w:tc>
          <w:tcPr>
            <w:tcW w:w="1275" w:type="dxa"/>
            <w:tcBorders>
              <w:top w:val="single" w:sz="4" w:space="0" w:color="1B556B"/>
              <w:bottom w:val="single" w:sz="4" w:space="0" w:color="1B556B"/>
            </w:tcBorders>
          </w:tcPr>
          <w:p w14:paraId="37D4E0EA" w14:textId="77777777" w:rsidR="00E0181F" w:rsidRPr="001D5327" w:rsidRDefault="00E0181F" w:rsidP="00D11AC9">
            <w:pPr>
              <w:pStyle w:val="TableText"/>
              <w:spacing w:before="30" w:after="30"/>
              <w:jc w:val="right"/>
              <w:rPr>
                <w:rFonts w:cs="Calibri"/>
                <w:szCs w:val="16"/>
              </w:rPr>
            </w:pPr>
            <w:r w:rsidRPr="001D5327">
              <w:rPr>
                <w:rFonts w:cs="Calibri"/>
                <w:szCs w:val="16"/>
              </w:rPr>
              <w:t>NA</w:t>
            </w:r>
          </w:p>
        </w:tc>
        <w:tc>
          <w:tcPr>
            <w:tcW w:w="1701" w:type="dxa"/>
            <w:tcBorders>
              <w:top w:val="single" w:sz="4" w:space="0" w:color="365F91"/>
              <w:bottom w:val="single" w:sz="4" w:space="0" w:color="1B556B"/>
            </w:tcBorders>
          </w:tcPr>
          <w:p w14:paraId="7CC547D9" w14:textId="77777777" w:rsidR="00E0181F" w:rsidRPr="001D5327" w:rsidRDefault="00E0181F" w:rsidP="00D11AC9">
            <w:pPr>
              <w:pStyle w:val="TableText"/>
              <w:spacing w:before="30" w:after="30"/>
              <w:rPr>
                <w:rFonts w:cs="Calibri"/>
                <w:szCs w:val="16"/>
              </w:rPr>
            </w:pPr>
            <w:r w:rsidRPr="001D5327">
              <w:rPr>
                <w:rFonts w:cs="Calibri"/>
                <w:szCs w:val="16"/>
              </w:rPr>
              <w:t>No IPCC guidelines</w:t>
            </w:r>
          </w:p>
        </w:tc>
      </w:tr>
      <w:tr w:rsidR="00E0181F" w:rsidRPr="001D5327" w14:paraId="515F672A" w14:textId="77777777" w:rsidTr="00D11AC9">
        <w:trPr>
          <w:trHeight w:val="20"/>
        </w:trPr>
        <w:tc>
          <w:tcPr>
            <w:tcW w:w="1246" w:type="dxa"/>
            <w:vMerge w:val="restart"/>
            <w:tcBorders>
              <w:top w:val="single" w:sz="4" w:space="0" w:color="1B556B"/>
              <w:bottom w:val="single" w:sz="4" w:space="0" w:color="1B556B"/>
            </w:tcBorders>
          </w:tcPr>
          <w:p w14:paraId="4EE4FAC7" w14:textId="77777777" w:rsidR="00E0181F" w:rsidRPr="001D5327" w:rsidRDefault="00E0181F" w:rsidP="00D11AC9">
            <w:pPr>
              <w:pStyle w:val="TableText"/>
              <w:spacing w:before="30" w:after="30"/>
              <w:rPr>
                <w:rFonts w:cs="Calibri"/>
                <w:szCs w:val="16"/>
              </w:rPr>
            </w:pPr>
            <w:r w:rsidRPr="001D5327">
              <w:rPr>
                <w:rFonts w:cs="Calibri"/>
                <w:szCs w:val="16"/>
              </w:rPr>
              <w:t>With woody biomass –transitional</w:t>
            </w:r>
          </w:p>
        </w:tc>
        <w:tc>
          <w:tcPr>
            <w:tcW w:w="1731" w:type="dxa"/>
            <w:tcBorders>
              <w:top w:val="single" w:sz="4" w:space="0" w:color="1B556B"/>
              <w:bottom w:val="single" w:sz="4" w:space="0" w:color="365F91"/>
            </w:tcBorders>
          </w:tcPr>
          <w:p w14:paraId="41757178" w14:textId="77777777" w:rsidR="00E0181F" w:rsidRPr="001D5327" w:rsidRDefault="00E0181F" w:rsidP="00D11AC9">
            <w:pPr>
              <w:pStyle w:val="TableText"/>
              <w:spacing w:before="30" w:after="30"/>
              <w:rPr>
                <w:rFonts w:cs="Calibri"/>
                <w:b/>
                <w:szCs w:val="16"/>
              </w:rPr>
            </w:pPr>
            <w:r w:rsidRPr="001D5327">
              <w:rPr>
                <w:rFonts w:cs="Calibri"/>
                <w:b/>
                <w:szCs w:val="16"/>
              </w:rPr>
              <w:t>Total biomass</w:t>
            </w:r>
          </w:p>
        </w:tc>
        <w:tc>
          <w:tcPr>
            <w:tcW w:w="1276" w:type="dxa"/>
            <w:tcBorders>
              <w:top w:val="single" w:sz="4" w:space="0" w:color="1B556B"/>
              <w:bottom w:val="single" w:sz="4" w:space="0" w:color="365F91"/>
            </w:tcBorders>
          </w:tcPr>
          <w:p w14:paraId="518EE5E1" w14:textId="77777777" w:rsidR="00E0181F" w:rsidRPr="001D5327" w:rsidRDefault="00E0181F" w:rsidP="00D11AC9">
            <w:pPr>
              <w:pStyle w:val="TableText"/>
              <w:spacing w:before="30" w:after="30"/>
              <w:jc w:val="right"/>
              <w:rPr>
                <w:rFonts w:cs="Calibri"/>
                <w:b/>
                <w:szCs w:val="16"/>
              </w:rPr>
            </w:pPr>
            <w:r w:rsidRPr="001D5327">
              <w:rPr>
                <w:rFonts w:cs="Calibri"/>
                <w:b/>
                <w:szCs w:val="16"/>
              </w:rPr>
              <w:t>13.05</w:t>
            </w:r>
          </w:p>
        </w:tc>
        <w:tc>
          <w:tcPr>
            <w:tcW w:w="1276" w:type="dxa"/>
            <w:tcBorders>
              <w:top w:val="single" w:sz="4" w:space="0" w:color="1B556B"/>
              <w:bottom w:val="single" w:sz="4" w:space="0" w:color="365F91"/>
            </w:tcBorders>
          </w:tcPr>
          <w:p w14:paraId="7215C80B" w14:textId="77777777" w:rsidR="00E0181F" w:rsidRPr="001D5327" w:rsidRDefault="00E0181F" w:rsidP="00D11AC9">
            <w:pPr>
              <w:pStyle w:val="TableText"/>
              <w:spacing w:before="30" w:after="30"/>
              <w:jc w:val="right"/>
              <w:rPr>
                <w:rFonts w:cs="Calibri"/>
                <w:b/>
                <w:szCs w:val="16"/>
              </w:rPr>
            </w:pPr>
            <w:r w:rsidRPr="001D5327">
              <w:rPr>
                <w:rFonts w:cs="Calibri"/>
                <w:b/>
                <w:szCs w:val="16"/>
              </w:rPr>
              <w:t>0.48</w:t>
            </w:r>
          </w:p>
        </w:tc>
        <w:tc>
          <w:tcPr>
            <w:tcW w:w="1275" w:type="dxa"/>
            <w:tcBorders>
              <w:top w:val="single" w:sz="4" w:space="0" w:color="1B556B"/>
              <w:bottom w:val="single" w:sz="4" w:space="0" w:color="365F91"/>
            </w:tcBorders>
          </w:tcPr>
          <w:p w14:paraId="48A84FFF" w14:textId="77777777" w:rsidR="00E0181F" w:rsidRPr="001D5327" w:rsidRDefault="00E0181F" w:rsidP="00D11AC9">
            <w:pPr>
              <w:pStyle w:val="TableText"/>
              <w:spacing w:before="30" w:after="30"/>
              <w:jc w:val="right"/>
              <w:rPr>
                <w:rFonts w:cs="Calibri"/>
                <w:b/>
                <w:szCs w:val="16"/>
              </w:rPr>
            </w:pPr>
            <w:r w:rsidRPr="001D5327">
              <w:rPr>
                <w:rFonts w:cs="Calibri"/>
                <w:b/>
                <w:szCs w:val="16"/>
              </w:rPr>
              <w:t>20</w:t>
            </w:r>
          </w:p>
        </w:tc>
        <w:tc>
          <w:tcPr>
            <w:tcW w:w="1701" w:type="dxa"/>
            <w:vMerge w:val="restart"/>
            <w:tcBorders>
              <w:top w:val="single" w:sz="4" w:space="0" w:color="1B556B"/>
              <w:bottom w:val="single" w:sz="4" w:space="0" w:color="365F91"/>
            </w:tcBorders>
          </w:tcPr>
          <w:p w14:paraId="7C11C92B" w14:textId="77777777" w:rsidR="00E0181F" w:rsidRPr="001D5327" w:rsidRDefault="00E0181F" w:rsidP="00D11AC9">
            <w:pPr>
              <w:pStyle w:val="TableText"/>
              <w:spacing w:before="30" w:after="30"/>
              <w:rPr>
                <w:rFonts w:cs="Calibri"/>
                <w:szCs w:val="16"/>
              </w:rPr>
            </w:pPr>
            <w:r w:rsidRPr="001D5327">
              <w:rPr>
                <w:rFonts w:cs="Calibri"/>
                <w:szCs w:val="16"/>
              </w:rPr>
              <w:t>Wakelin and Beets (unpublished)</w:t>
            </w:r>
          </w:p>
        </w:tc>
      </w:tr>
      <w:tr w:rsidR="00E0181F" w:rsidRPr="001D5327" w14:paraId="6452E972" w14:textId="77777777" w:rsidTr="00D11AC9">
        <w:trPr>
          <w:trHeight w:val="20"/>
        </w:trPr>
        <w:tc>
          <w:tcPr>
            <w:tcW w:w="1246" w:type="dxa"/>
            <w:vMerge/>
            <w:tcBorders>
              <w:bottom w:val="single" w:sz="4" w:space="0" w:color="1B556B"/>
            </w:tcBorders>
          </w:tcPr>
          <w:p w14:paraId="54058981" w14:textId="77777777" w:rsidR="00E0181F" w:rsidRPr="001D5327" w:rsidRDefault="00E0181F" w:rsidP="00D11AC9">
            <w:pPr>
              <w:pStyle w:val="TableText"/>
              <w:spacing w:before="30" w:after="30"/>
              <w:rPr>
                <w:rFonts w:cs="Calibri"/>
                <w:szCs w:val="16"/>
              </w:rPr>
            </w:pPr>
          </w:p>
        </w:tc>
        <w:tc>
          <w:tcPr>
            <w:tcW w:w="1731" w:type="dxa"/>
            <w:tcBorders>
              <w:top w:val="single" w:sz="4" w:space="0" w:color="365F91"/>
              <w:bottom w:val="single" w:sz="4" w:space="0" w:color="365F91"/>
            </w:tcBorders>
          </w:tcPr>
          <w:p w14:paraId="7378EC22" w14:textId="77777777" w:rsidR="00E0181F" w:rsidRPr="001D5327" w:rsidRDefault="00E0181F" w:rsidP="00D11AC9">
            <w:pPr>
              <w:pStyle w:val="TableText"/>
              <w:spacing w:before="30" w:after="30"/>
              <w:rPr>
                <w:rFonts w:cs="Calibri"/>
                <w:i/>
                <w:szCs w:val="16"/>
              </w:rPr>
            </w:pPr>
            <w:r w:rsidRPr="001D5327">
              <w:rPr>
                <w:rFonts w:cs="Calibri"/>
                <w:i/>
                <w:szCs w:val="16"/>
              </w:rPr>
              <w:t>Living biomass</w:t>
            </w:r>
          </w:p>
        </w:tc>
        <w:tc>
          <w:tcPr>
            <w:tcW w:w="1276" w:type="dxa"/>
            <w:tcBorders>
              <w:top w:val="single" w:sz="4" w:space="0" w:color="365F91"/>
              <w:bottom w:val="single" w:sz="4" w:space="0" w:color="365F91"/>
            </w:tcBorders>
          </w:tcPr>
          <w:p w14:paraId="0107BF21" w14:textId="77777777" w:rsidR="00E0181F" w:rsidRPr="001D5327" w:rsidRDefault="00E0181F" w:rsidP="00D11AC9">
            <w:pPr>
              <w:pStyle w:val="TableText"/>
              <w:spacing w:before="30" w:after="30"/>
              <w:jc w:val="right"/>
              <w:rPr>
                <w:rFonts w:cs="Calibri"/>
                <w:szCs w:val="16"/>
              </w:rPr>
            </w:pPr>
          </w:p>
        </w:tc>
        <w:tc>
          <w:tcPr>
            <w:tcW w:w="1276" w:type="dxa"/>
            <w:tcBorders>
              <w:top w:val="single" w:sz="4" w:space="0" w:color="365F91"/>
              <w:bottom w:val="single" w:sz="4" w:space="0" w:color="365F91"/>
            </w:tcBorders>
          </w:tcPr>
          <w:p w14:paraId="213C0252" w14:textId="77777777" w:rsidR="00E0181F" w:rsidRPr="001D5327" w:rsidRDefault="00E0181F" w:rsidP="00D11AC9">
            <w:pPr>
              <w:pStyle w:val="TableText"/>
              <w:spacing w:before="30" w:after="30"/>
              <w:jc w:val="right"/>
              <w:rPr>
                <w:rFonts w:cs="Calibri"/>
                <w:szCs w:val="16"/>
              </w:rPr>
            </w:pPr>
          </w:p>
        </w:tc>
        <w:tc>
          <w:tcPr>
            <w:tcW w:w="1275" w:type="dxa"/>
            <w:tcBorders>
              <w:top w:val="single" w:sz="4" w:space="0" w:color="365F91"/>
              <w:bottom w:val="single" w:sz="4" w:space="0" w:color="365F91"/>
            </w:tcBorders>
          </w:tcPr>
          <w:p w14:paraId="1631D983" w14:textId="77777777" w:rsidR="00E0181F" w:rsidRPr="001D5327" w:rsidRDefault="00E0181F" w:rsidP="00D11AC9">
            <w:pPr>
              <w:pStyle w:val="TableText"/>
              <w:spacing w:before="30" w:after="30"/>
              <w:jc w:val="right"/>
              <w:rPr>
                <w:rFonts w:cs="Calibri"/>
                <w:szCs w:val="16"/>
              </w:rPr>
            </w:pPr>
          </w:p>
        </w:tc>
        <w:tc>
          <w:tcPr>
            <w:tcW w:w="1701" w:type="dxa"/>
            <w:vMerge/>
          </w:tcPr>
          <w:p w14:paraId="11722DC7" w14:textId="77777777" w:rsidR="00E0181F" w:rsidRPr="001D5327" w:rsidRDefault="00E0181F" w:rsidP="00D11AC9">
            <w:pPr>
              <w:pStyle w:val="TableText"/>
              <w:spacing w:before="30" w:after="30"/>
              <w:rPr>
                <w:rFonts w:cs="Calibri"/>
                <w:szCs w:val="16"/>
              </w:rPr>
            </w:pPr>
          </w:p>
        </w:tc>
      </w:tr>
      <w:tr w:rsidR="00E0181F" w:rsidRPr="001D5327" w14:paraId="1FF7D537" w14:textId="77777777" w:rsidTr="00D11AC9">
        <w:trPr>
          <w:trHeight w:val="20"/>
        </w:trPr>
        <w:tc>
          <w:tcPr>
            <w:tcW w:w="1246" w:type="dxa"/>
            <w:vMerge/>
            <w:tcBorders>
              <w:bottom w:val="single" w:sz="4" w:space="0" w:color="1B556B"/>
            </w:tcBorders>
          </w:tcPr>
          <w:p w14:paraId="5BD29ACF" w14:textId="77777777" w:rsidR="00E0181F" w:rsidRPr="001D5327" w:rsidRDefault="00E0181F" w:rsidP="00D11AC9">
            <w:pPr>
              <w:pStyle w:val="TableText"/>
              <w:spacing w:before="30" w:after="30"/>
              <w:rPr>
                <w:rFonts w:cs="Calibri"/>
                <w:szCs w:val="16"/>
              </w:rPr>
            </w:pPr>
          </w:p>
        </w:tc>
        <w:tc>
          <w:tcPr>
            <w:tcW w:w="1731" w:type="dxa"/>
            <w:tcBorders>
              <w:top w:val="single" w:sz="4" w:space="0" w:color="365F91"/>
              <w:bottom w:val="single" w:sz="4" w:space="0" w:color="365F91"/>
            </w:tcBorders>
          </w:tcPr>
          <w:p w14:paraId="3989D802" w14:textId="77777777" w:rsidR="00E0181F" w:rsidRPr="001D5327" w:rsidRDefault="00E0181F" w:rsidP="00D11AC9">
            <w:pPr>
              <w:pStyle w:val="TableText"/>
              <w:spacing w:before="30" w:after="30"/>
              <w:rPr>
                <w:rFonts w:cs="Calibri"/>
                <w:szCs w:val="16"/>
              </w:rPr>
            </w:pPr>
            <w:r w:rsidRPr="001D5327">
              <w:rPr>
                <w:rFonts w:cs="Calibri"/>
                <w:szCs w:val="16"/>
              </w:rPr>
              <w:tab/>
              <w:t>AGB</w:t>
            </w:r>
          </w:p>
        </w:tc>
        <w:tc>
          <w:tcPr>
            <w:tcW w:w="1276" w:type="dxa"/>
            <w:tcBorders>
              <w:top w:val="single" w:sz="4" w:space="0" w:color="365F91"/>
              <w:bottom w:val="single" w:sz="4" w:space="0" w:color="365F91"/>
            </w:tcBorders>
          </w:tcPr>
          <w:p w14:paraId="78309246" w14:textId="77777777" w:rsidR="00E0181F" w:rsidRPr="001D5327" w:rsidRDefault="00E0181F" w:rsidP="00D11AC9">
            <w:pPr>
              <w:pStyle w:val="TableText"/>
              <w:spacing w:before="30" w:after="30"/>
              <w:jc w:val="right"/>
              <w:rPr>
                <w:rFonts w:cs="Calibri"/>
                <w:szCs w:val="16"/>
              </w:rPr>
            </w:pPr>
            <w:r w:rsidRPr="001D5327">
              <w:rPr>
                <w:rFonts w:cs="Calibri"/>
                <w:szCs w:val="16"/>
              </w:rPr>
              <w:t>9.35</w:t>
            </w:r>
          </w:p>
        </w:tc>
        <w:tc>
          <w:tcPr>
            <w:tcW w:w="1276" w:type="dxa"/>
            <w:tcBorders>
              <w:top w:val="single" w:sz="4" w:space="0" w:color="365F91"/>
              <w:bottom w:val="single" w:sz="4" w:space="0" w:color="365F91"/>
            </w:tcBorders>
          </w:tcPr>
          <w:p w14:paraId="7A68878E" w14:textId="77777777" w:rsidR="00E0181F" w:rsidRPr="001D5327" w:rsidRDefault="00E0181F" w:rsidP="00D11AC9">
            <w:pPr>
              <w:pStyle w:val="TableText"/>
              <w:spacing w:before="30" w:after="30"/>
              <w:jc w:val="right"/>
              <w:rPr>
                <w:rFonts w:cs="Calibri"/>
                <w:szCs w:val="16"/>
              </w:rPr>
            </w:pPr>
            <w:r w:rsidRPr="001D5327">
              <w:rPr>
                <w:rFonts w:cs="Calibri"/>
                <w:szCs w:val="16"/>
              </w:rPr>
              <w:t>0.36</w:t>
            </w:r>
          </w:p>
        </w:tc>
        <w:tc>
          <w:tcPr>
            <w:tcW w:w="1275" w:type="dxa"/>
            <w:tcBorders>
              <w:top w:val="single" w:sz="4" w:space="0" w:color="365F91"/>
              <w:bottom w:val="single" w:sz="4" w:space="0" w:color="365F91"/>
            </w:tcBorders>
          </w:tcPr>
          <w:p w14:paraId="172543CE" w14:textId="77777777" w:rsidR="00E0181F" w:rsidRPr="001D5327" w:rsidRDefault="00E0181F" w:rsidP="00D11AC9">
            <w:pPr>
              <w:pStyle w:val="TableText"/>
              <w:spacing w:before="30" w:after="30"/>
              <w:jc w:val="right"/>
              <w:rPr>
                <w:rFonts w:cs="Calibri"/>
                <w:szCs w:val="16"/>
              </w:rPr>
            </w:pPr>
            <w:r w:rsidRPr="001D5327">
              <w:rPr>
                <w:rFonts w:cs="Calibri"/>
                <w:szCs w:val="16"/>
              </w:rPr>
              <w:t>20</w:t>
            </w:r>
          </w:p>
        </w:tc>
        <w:tc>
          <w:tcPr>
            <w:tcW w:w="1701" w:type="dxa"/>
            <w:vMerge/>
          </w:tcPr>
          <w:p w14:paraId="0BA6FB00" w14:textId="77777777" w:rsidR="00E0181F" w:rsidRPr="001D5327" w:rsidRDefault="00E0181F" w:rsidP="00D11AC9">
            <w:pPr>
              <w:pStyle w:val="TableText"/>
              <w:spacing w:before="30" w:after="30"/>
              <w:rPr>
                <w:rFonts w:cs="Calibri"/>
                <w:szCs w:val="16"/>
              </w:rPr>
            </w:pPr>
          </w:p>
        </w:tc>
      </w:tr>
      <w:tr w:rsidR="00E0181F" w:rsidRPr="001D5327" w14:paraId="4DD70646" w14:textId="77777777" w:rsidTr="00D11AC9">
        <w:trPr>
          <w:trHeight w:val="20"/>
        </w:trPr>
        <w:tc>
          <w:tcPr>
            <w:tcW w:w="1246" w:type="dxa"/>
            <w:vMerge/>
            <w:tcBorders>
              <w:bottom w:val="single" w:sz="4" w:space="0" w:color="1B556B"/>
            </w:tcBorders>
          </w:tcPr>
          <w:p w14:paraId="01BB6AE3" w14:textId="77777777" w:rsidR="00E0181F" w:rsidRPr="001D5327" w:rsidRDefault="00E0181F" w:rsidP="00D11AC9">
            <w:pPr>
              <w:pStyle w:val="TableText"/>
              <w:spacing w:before="30" w:after="30"/>
              <w:rPr>
                <w:rFonts w:cs="Calibri"/>
                <w:szCs w:val="16"/>
              </w:rPr>
            </w:pPr>
          </w:p>
        </w:tc>
        <w:tc>
          <w:tcPr>
            <w:tcW w:w="1731" w:type="dxa"/>
            <w:tcBorders>
              <w:top w:val="single" w:sz="4" w:space="0" w:color="365F91"/>
              <w:bottom w:val="single" w:sz="4" w:space="0" w:color="365F91"/>
            </w:tcBorders>
          </w:tcPr>
          <w:p w14:paraId="0E003A05" w14:textId="77777777" w:rsidR="00E0181F" w:rsidRPr="001D5327" w:rsidRDefault="00E0181F" w:rsidP="00D11AC9">
            <w:pPr>
              <w:pStyle w:val="TableText"/>
              <w:spacing w:before="30" w:after="30"/>
              <w:rPr>
                <w:rFonts w:cs="Calibri"/>
                <w:szCs w:val="16"/>
              </w:rPr>
            </w:pPr>
            <w:r w:rsidRPr="001D5327">
              <w:rPr>
                <w:rFonts w:cs="Calibri"/>
                <w:szCs w:val="16"/>
              </w:rPr>
              <w:tab/>
              <w:t>BGB</w:t>
            </w:r>
          </w:p>
        </w:tc>
        <w:tc>
          <w:tcPr>
            <w:tcW w:w="1276" w:type="dxa"/>
            <w:tcBorders>
              <w:top w:val="single" w:sz="4" w:space="0" w:color="365F91"/>
              <w:bottom w:val="single" w:sz="4" w:space="0" w:color="365F91"/>
            </w:tcBorders>
          </w:tcPr>
          <w:p w14:paraId="39BE8419" w14:textId="77777777" w:rsidR="00E0181F" w:rsidRPr="001D5327" w:rsidRDefault="00E0181F" w:rsidP="00D11AC9">
            <w:pPr>
              <w:pStyle w:val="TableText"/>
              <w:spacing w:before="30" w:after="30"/>
              <w:jc w:val="right"/>
              <w:rPr>
                <w:rFonts w:cs="Calibri"/>
                <w:szCs w:val="16"/>
              </w:rPr>
            </w:pPr>
            <w:r w:rsidRPr="001D5327">
              <w:rPr>
                <w:rFonts w:cs="Calibri"/>
                <w:szCs w:val="16"/>
              </w:rPr>
              <w:t>3.05</w:t>
            </w:r>
          </w:p>
        </w:tc>
        <w:tc>
          <w:tcPr>
            <w:tcW w:w="1276" w:type="dxa"/>
            <w:tcBorders>
              <w:top w:val="single" w:sz="4" w:space="0" w:color="365F91"/>
              <w:bottom w:val="single" w:sz="4" w:space="0" w:color="365F91"/>
            </w:tcBorders>
          </w:tcPr>
          <w:p w14:paraId="5CDE78FD" w14:textId="77777777" w:rsidR="00E0181F" w:rsidRPr="001D5327" w:rsidRDefault="00E0181F" w:rsidP="00D11AC9">
            <w:pPr>
              <w:pStyle w:val="TableText"/>
              <w:spacing w:before="30" w:after="30"/>
              <w:jc w:val="right"/>
              <w:rPr>
                <w:rFonts w:cs="Calibri"/>
                <w:szCs w:val="16"/>
              </w:rPr>
            </w:pPr>
            <w:r w:rsidRPr="001D5327">
              <w:rPr>
                <w:rFonts w:cs="Calibri"/>
                <w:szCs w:val="16"/>
              </w:rPr>
              <w:t>0.08</w:t>
            </w:r>
          </w:p>
        </w:tc>
        <w:tc>
          <w:tcPr>
            <w:tcW w:w="1275" w:type="dxa"/>
            <w:tcBorders>
              <w:top w:val="single" w:sz="4" w:space="0" w:color="365F91"/>
              <w:bottom w:val="single" w:sz="4" w:space="0" w:color="365F91"/>
            </w:tcBorders>
          </w:tcPr>
          <w:p w14:paraId="5DD46DCE" w14:textId="77777777" w:rsidR="00E0181F" w:rsidRPr="001D5327" w:rsidRDefault="00E0181F" w:rsidP="00D11AC9">
            <w:pPr>
              <w:pStyle w:val="TableText"/>
              <w:spacing w:before="30" w:after="30"/>
              <w:jc w:val="right"/>
              <w:rPr>
                <w:rFonts w:cs="Calibri"/>
                <w:szCs w:val="16"/>
              </w:rPr>
            </w:pPr>
            <w:r w:rsidRPr="001D5327">
              <w:rPr>
                <w:rFonts w:cs="Calibri"/>
                <w:szCs w:val="16"/>
              </w:rPr>
              <w:t>20</w:t>
            </w:r>
          </w:p>
        </w:tc>
        <w:tc>
          <w:tcPr>
            <w:tcW w:w="1701" w:type="dxa"/>
            <w:vMerge/>
          </w:tcPr>
          <w:p w14:paraId="39856741" w14:textId="77777777" w:rsidR="00E0181F" w:rsidRPr="001D5327" w:rsidRDefault="00E0181F" w:rsidP="00D11AC9">
            <w:pPr>
              <w:pStyle w:val="TableText"/>
              <w:spacing w:before="30" w:after="30"/>
              <w:rPr>
                <w:rFonts w:cs="Calibri"/>
                <w:szCs w:val="16"/>
              </w:rPr>
            </w:pPr>
          </w:p>
        </w:tc>
      </w:tr>
      <w:tr w:rsidR="00E0181F" w:rsidRPr="001D5327" w14:paraId="350173C8" w14:textId="77777777" w:rsidTr="00D11AC9">
        <w:trPr>
          <w:trHeight w:val="20"/>
        </w:trPr>
        <w:tc>
          <w:tcPr>
            <w:tcW w:w="1246" w:type="dxa"/>
            <w:vMerge/>
            <w:tcBorders>
              <w:bottom w:val="single" w:sz="4" w:space="0" w:color="1B556B"/>
            </w:tcBorders>
          </w:tcPr>
          <w:p w14:paraId="4D188737" w14:textId="77777777" w:rsidR="00E0181F" w:rsidRPr="001D5327" w:rsidRDefault="00E0181F" w:rsidP="00D11AC9">
            <w:pPr>
              <w:pStyle w:val="TableText"/>
              <w:spacing w:before="30" w:after="30"/>
              <w:rPr>
                <w:rFonts w:cs="Calibri"/>
                <w:szCs w:val="16"/>
              </w:rPr>
            </w:pPr>
          </w:p>
        </w:tc>
        <w:tc>
          <w:tcPr>
            <w:tcW w:w="1731" w:type="dxa"/>
            <w:tcBorders>
              <w:top w:val="single" w:sz="4" w:space="0" w:color="365F91"/>
              <w:bottom w:val="single" w:sz="4" w:space="0" w:color="365F91"/>
            </w:tcBorders>
          </w:tcPr>
          <w:p w14:paraId="41083660" w14:textId="77777777" w:rsidR="00E0181F" w:rsidRPr="001D5327" w:rsidRDefault="00E0181F" w:rsidP="00D11AC9">
            <w:pPr>
              <w:pStyle w:val="TableText"/>
              <w:spacing w:before="30" w:after="30"/>
              <w:rPr>
                <w:rFonts w:cs="Calibri"/>
                <w:i/>
                <w:szCs w:val="16"/>
              </w:rPr>
            </w:pPr>
            <w:r w:rsidRPr="001D5327">
              <w:rPr>
                <w:rFonts w:cs="Calibri"/>
                <w:i/>
                <w:szCs w:val="16"/>
              </w:rPr>
              <w:t>Dead organic matter</w:t>
            </w:r>
          </w:p>
        </w:tc>
        <w:tc>
          <w:tcPr>
            <w:tcW w:w="1276" w:type="dxa"/>
            <w:tcBorders>
              <w:top w:val="single" w:sz="4" w:space="0" w:color="365F91"/>
              <w:bottom w:val="single" w:sz="4" w:space="0" w:color="365F91"/>
            </w:tcBorders>
          </w:tcPr>
          <w:p w14:paraId="731AE234" w14:textId="77777777" w:rsidR="00E0181F" w:rsidRPr="001D5327" w:rsidRDefault="00E0181F" w:rsidP="00D11AC9">
            <w:pPr>
              <w:pStyle w:val="TableText"/>
              <w:spacing w:before="30" w:after="30"/>
              <w:jc w:val="center"/>
              <w:rPr>
                <w:rFonts w:cs="Calibri"/>
                <w:szCs w:val="16"/>
              </w:rPr>
            </w:pPr>
          </w:p>
        </w:tc>
        <w:tc>
          <w:tcPr>
            <w:tcW w:w="1276" w:type="dxa"/>
            <w:tcBorders>
              <w:top w:val="single" w:sz="4" w:space="0" w:color="365F91"/>
              <w:bottom w:val="single" w:sz="4" w:space="0" w:color="365F91"/>
            </w:tcBorders>
          </w:tcPr>
          <w:p w14:paraId="6964E338" w14:textId="77777777" w:rsidR="00E0181F" w:rsidRPr="001D5327" w:rsidRDefault="00E0181F" w:rsidP="00D11AC9">
            <w:pPr>
              <w:pStyle w:val="TableText"/>
              <w:spacing w:before="30" w:after="30"/>
              <w:jc w:val="center"/>
              <w:rPr>
                <w:rFonts w:cs="Calibri"/>
                <w:szCs w:val="16"/>
              </w:rPr>
            </w:pPr>
          </w:p>
        </w:tc>
        <w:tc>
          <w:tcPr>
            <w:tcW w:w="1275" w:type="dxa"/>
            <w:tcBorders>
              <w:top w:val="single" w:sz="4" w:space="0" w:color="365F91"/>
              <w:bottom w:val="single" w:sz="4" w:space="0" w:color="365F91"/>
            </w:tcBorders>
          </w:tcPr>
          <w:p w14:paraId="5E6DBEC6" w14:textId="77777777" w:rsidR="00E0181F" w:rsidRPr="001D5327" w:rsidRDefault="00E0181F" w:rsidP="00D11AC9">
            <w:pPr>
              <w:pStyle w:val="TableText"/>
              <w:spacing w:before="30" w:after="30"/>
              <w:jc w:val="center"/>
              <w:rPr>
                <w:rFonts w:cs="Calibri"/>
                <w:szCs w:val="16"/>
              </w:rPr>
            </w:pPr>
          </w:p>
        </w:tc>
        <w:tc>
          <w:tcPr>
            <w:tcW w:w="1701" w:type="dxa"/>
            <w:vMerge/>
          </w:tcPr>
          <w:p w14:paraId="333C8D32" w14:textId="77777777" w:rsidR="00E0181F" w:rsidRPr="001D5327" w:rsidRDefault="00E0181F" w:rsidP="00D11AC9">
            <w:pPr>
              <w:pStyle w:val="TableText"/>
              <w:spacing w:before="30" w:after="30"/>
              <w:rPr>
                <w:rFonts w:cs="Calibri"/>
                <w:szCs w:val="16"/>
              </w:rPr>
            </w:pPr>
          </w:p>
        </w:tc>
      </w:tr>
      <w:tr w:rsidR="00E0181F" w:rsidRPr="001D5327" w14:paraId="7E6EF179" w14:textId="77777777" w:rsidTr="00D11AC9">
        <w:trPr>
          <w:trHeight w:val="20"/>
        </w:trPr>
        <w:tc>
          <w:tcPr>
            <w:tcW w:w="1246" w:type="dxa"/>
            <w:vMerge/>
            <w:tcBorders>
              <w:bottom w:val="single" w:sz="4" w:space="0" w:color="1B556B"/>
            </w:tcBorders>
          </w:tcPr>
          <w:p w14:paraId="13C3977A" w14:textId="77777777" w:rsidR="00E0181F" w:rsidRPr="001D5327" w:rsidRDefault="00E0181F" w:rsidP="00D11AC9">
            <w:pPr>
              <w:pStyle w:val="TableText"/>
              <w:spacing w:before="30" w:after="30"/>
              <w:rPr>
                <w:rFonts w:cs="Calibri"/>
                <w:szCs w:val="16"/>
              </w:rPr>
            </w:pPr>
          </w:p>
        </w:tc>
        <w:tc>
          <w:tcPr>
            <w:tcW w:w="1731" w:type="dxa"/>
            <w:tcBorders>
              <w:top w:val="single" w:sz="4" w:space="0" w:color="365F91"/>
              <w:bottom w:val="single" w:sz="4" w:space="0" w:color="365F91"/>
            </w:tcBorders>
          </w:tcPr>
          <w:p w14:paraId="5196D24D" w14:textId="77777777" w:rsidR="00E0181F" w:rsidRPr="001D5327" w:rsidRDefault="00E0181F" w:rsidP="00D11AC9">
            <w:pPr>
              <w:pStyle w:val="TableText"/>
              <w:spacing w:before="30" w:after="30"/>
              <w:rPr>
                <w:rFonts w:cs="Calibri"/>
                <w:szCs w:val="16"/>
              </w:rPr>
            </w:pPr>
            <w:r w:rsidRPr="001D5327">
              <w:rPr>
                <w:rFonts w:cs="Calibri"/>
                <w:szCs w:val="16"/>
              </w:rPr>
              <w:tab/>
              <w:t>Dead wood</w:t>
            </w:r>
          </w:p>
        </w:tc>
        <w:tc>
          <w:tcPr>
            <w:tcW w:w="1276" w:type="dxa"/>
            <w:tcBorders>
              <w:top w:val="single" w:sz="4" w:space="0" w:color="365F91"/>
              <w:bottom w:val="single" w:sz="4" w:space="0" w:color="365F91"/>
            </w:tcBorders>
          </w:tcPr>
          <w:p w14:paraId="220EA98B" w14:textId="77777777" w:rsidR="00E0181F" w:rsidRPr="001D5327" w:rsidRDefault="00E0181F" w:rsidP="00D11AC9">
            <w:pPr>
              <w:pStyle w:val="TableText"/>
              <w:spacing w:before="30" w:after="30"/>
              <w:jc w:val="right"/>
              <w:rPr>
                <w:rFonts w:cs="Calibri"/>
                <w:szCs w:val="16"/>
              </w:rPr>
            </w:pPr>
            <w:r w:rsidRPr="001D5327">
              <w:rPr>
                <w:rFonts w:cs="Calibri"/>
                <w:szCs w:val="16"/>
              </w:rPr>
              <w:t>0.10</w:t>
            </w:r>
          </w:p>
        </w:tc>
        <w:tc>
          <w:tcPr>
            <w:tcW w:w="1276" w:type="dxa"/>
            <w:tcBorders>
              <w:top w:val="single" w:sz="4" w:space="0" w:color="365F91"/>
              <w:bottom w:val="single" w:sz="4" w:space="0" w:color="365F91"/>
            </w:tcBorders>
          </w:tcPr>
          <w:p w14:paraId="278AFD9C" w14:textId="77777777" w:rsidR="00E0181F" w:rsidRPr="001D5327" w:rsidRDefault="00E0181F" w:rsidP="00D11AC9">
            <w:pPr>
              <w:pStyle w:val="TableText"/>
              <w:spacing w:before="30" w:after="30"/>
              <w:jc w:val="right"/>
              <w:rPr>
                <w:rFonts w:cs="Calibri"/>
                <w:szCs w:val="16"/>
              </w:rPr>
            </w:pPr>
            <w:r w:rsidRPr="001D5327">
              <w:rPr>
                <w:rFonts w:cs="Calibri"/>
                <w:szCs w:val="16"/>
              </w:rPr>
              <w:t>0.004</w:t>
            </w:r>
          </w:p>
        </w:tc>
        <w:tc>
          <w:tcPr>
            <w:tcW w:w="1275" w:type="dxa"/>
            <w:tcBorders>
              <w:top w:val="single" w:sz="4" w:space="0" w:color="365F91"/>
              <w:bottom w:val="single" w:sz="4" w:space="0" w:color="365F91"/>
            </w:tcBorders>
          </w:tcPr>
          <w:p w14:paraId="1A30016C" w14:textId="77777777" w:rsidR="00E0181F" w:rsidRPr="001D5327" w:rsidRDefault="00E0181F" w:rsidP="00D11AC9">
            <w:pPr>
              <w:pStyle w:val="TableText"/>
              <w:spacing w:before="30" w:after="30"/>
              <w:jc w:val="right"/>
              <w:rPr>
                <w:rFonts w:cs="Calibri"/>
                <w:szCs w:val="16"/>
              </w:rPr>
            </w:pPr>
            <w:r w:rsidRPr="001D5327">
              <w:rPr>
                <w:rFonts w:cs="Calibri"/>
                <w:szCs w:val="16"/>
              </w:rPr>
              <w:t>20</w:t>
            </w:r>
          </w:p>
        </w:tc>
        <w:tc>
          <w:tcPr>
            <w:tcW w:w="1701" w:type="dxa"/>
            <w:vMerge/>
          </w:tcPr>
          <w:p w14:paraId="3EB3451B" w14:textId="77777777" w:rsidR="00E0181F" w:rsidRPr="001D5327" w:rsidRDefault="00E0181F" w:rsidP="00D11AC9">
            <w:pPr>
              <w:pStyle w:val="TableText"/>
              <w:spacing w:before="30" w:after="30"/>
              <w:rPr>
                <w:rFonts w:cs="Calibri"/>
                <w:szCs w:val="16"/>
              </w:rPr>
            </w:pPr>
          </w:p>
        </w:tc>
      </w:tr>
      <w:tr w:rsidR="00E0181F" w:rsidRPr="001D5327" w14:paraId="2794F16D" w14:textId="77777777" w:rsidTr="00D11AC9">
        <w:trPr>
          <w:trHeight w:val="20"/>
        </w:trPr>
        <w:tc>
          <w:tcPr>
            <w:tcW w:w="1246" w:type="dxa"/>
            <w:vMerge/>
            <w:tcBorders>
              <w:bottom w:val="single" w:sz="4" w:space="0" w:color="1B556B"/>
            </w:tcBorders>
          </w:tcPr>
          <w:p w14:paraId="0132B8E7" w14:textId="77777777" w:rsidR="00E0181F" w:rsidRPr="001D5327" w:rsidRDefault="00E0181F" w:rsidP="00D11AC9">
            <w:pPr>
              <w:pStyle w:val="TableText"/>
              <w:spacing w:before="30" w:after="30"/>
              <w:rPr>
                <w:rFonts w:cs="Calibri"/>
                <w:szCs w:val="16"/>
              </w:rPr>
            </w:pPr>
          </w:p>
        </w:tc>
        <w:tc>
          <w:tcPr>
            <w:tcW w:w="1731" w:type="dxa"/>
            <w:tcBorders>
              <w:top w:val="single" w:sz="4" w:space="0" w:color="365F91"/>
              <w:bottom w:val="single" w:sz="4" w:space="0" w:color="1B556B"/>
            </w:tcBorders>
          </w:tcPr>
          <w:p w14:paraId="11EC38D5" w14:textId="77777777" w:rsidR="00E0181F" w:rsidRPr="001D5327" w:rsidRDefault="00E0181F" w:rsidP="00D11AC9">
            <w:pPr>
              <w:pStyle w:val="TableText"/>
              <w:spacing w:before="30" w:after="30"/>
              <w:rPr>
                <w:rFonts w:cs="Calibri"/>
                <w:szCs w:val="16"/>
              </w:rPr>
            </w:pPr>
            <w:r w:rsidRPr="001D5327">
              <w:rPr>
                <w:rFonts w:cs="Calibri"/>
                <w:szCs w:val="16"/>
              </w:rPr>
              <w:tab/>
              <w:t>Litter</w:t>
            </w:r>
          </w:p>
        </w:tc>
        <w:tc>
          <w:tcPr>
            <w:tcW w:w="1276" w:type="dxa"/>
            <w:tcBorders>
              <w:top w:val="single" w:sz="4" w:space="0" w:color="365F91"/>
              <w:bottom w:val="single" w:sz="4" w:space="0" w:color="1B556B"/>
            </w:tcBorders>
          </w:tcPr>
          <w:p w14:paraId="2E4CFEBA" w14:textId="77777777" w:rsidR="00E0181F" w:rsidRPr="001D5327" w:rsidRDefault="00E0181F" w:rsidP="00D11AC9">
            <w:pPr>
              <w:pStyle w:val="TableText"/>
              <w:spacing w:before="30" w:after="30"/>
              <w:jc w:val="right"/>
              <w:rPr>
                <w:rFonts w:cs="Calibri"/>
                <w:szCs w:val="16"/>
              </w:rPr>
            </w:pPr>
            <w:r w:rsidRPr="001D5327">
              <w:rPr>
                <w:rFonts w:cs="Calibri"/>
                <w:szCs w:val="16"/>
              </w:rPr>
              <w:t>0.55</w:t>
            </w:r>
          </w:p>
        </w:tc>
        <w:tc>
          <w:tcPr>
            <w:tcW w:w="1276" w:type="dxa"/>
            <w:tcBorders>
              <w:top w:val="single" w:sz="4" w:space="0" w:color="365F91"/>
              <w:bottom w:val="single" w:sz="4" w:space="0" w:color="1B556B"/>
            </w:tcBorders>
          </w:tcPr>
          <w:p w14:paraId="5AD4DF27" w14:textId="77777777" w:rsidR="00E0181F" w:rsidRPr="001D5327" w:rsidRDefault="00E0181F" w:rsidP="00D11AC9">
            <w:pPr>
              <w:pStyle w:val="TableText"/>
              <w:spacing w:before="30" w:after="30"/>
              <w:jc w:val="right"/>
              <w:rPr>
                <w:rFonts w:cs="Calibri"/>
                <w:szCs w:val="16"/>
              </w:rPr>
            </w:pPr>
            <w:r w:rsidRPr="001D5327">
              <w:rPr>
                <w:rFonts w:cs="Calibri"/>
                <w:szCs w:val="16"/>
              </w:rPr>
              <w:t>0.02</w:t>
            </w:r>
          </w:p>
        </w:tc>
        <w:tc>
          <w:tcPr>
            <w:tcW w:w="1275" w:type="dxa"/>
            <w:tcBorders>
              <w:top w:val="single" w:sz="4" w:space="0" w:color="365F91"/>
              <w:bottom w:val="single" w:sz="4" w:space="0" w:color="1B556B"/>
            </w:tcBorders>
          </w:tcPr>
          <w:p w14:paraId="3381B87E" w14:textId="77777777" w:rsidR="00E0181F" w:rsidRPr="001D5327" w:rsidRDefault="00E0181F" w:rsidP="00D11AC9">
            <w:pPr>
              <w:pStyle w:val="TableText"/>
              <w:spacing w:before="30" w:after="30"/>
              <w:jc w:val="right"/>
              <w:rPr>
                <w:rFonts w:cs="Calibri"/>
                <w:szCs w:val="16"/>
              </w:rPr>
            </w:pPr>
            <w:r w:rsidRPr="001D5327">
              <w:rPr>
                <w:rFonts w:cs="Calibri"/>
                <w:szCs w:val="16"/>
              </w:rPr>
              <w:t>20</w:t>
            </w:r>
          </w:p>
        </w:tc>
        <w:tc>
          <w:tcPr>
            <w:tcW w:w="1701" w:type="dxa"/>
            <w:vMerge/>
            <w:tcBorders>
              <w:bottom w:val="single" w:sz="4" w:space="0" w:color="1B556B"/>
            </w:tcBorders>
          </w:tcPr>
          <w:p w14:paraId="128F895A" w14:textId="77777777" w:rsidR="00E0181F" w:rsidRPr="001D5327" w:rsidRDefault="00E0181F" w:rsidP="00D11AC9">
            <w:pPr>
              <w:pStyle w:val="TableText"/>
              <w:spacing w:before="30" w:after="30"/>
              <w:rPr>
                <w:rFonts w:cs="Calibri"/>
                <w:szCs w:val="16"/>
              </w:rPr>
            </w:pPr>
          </w:p>
        </w:tc>
      </w:tr>
      <w:tr w:rsidR="00E0181F" w:rsidRPr="001D5327" w14:paraId="780A619E" w14:textId="77777777" w:rsidTr="00D11AC9">
        <w:trPr>
          <w:trHeight w:val="20"/>
        </w:trPr>
        <w:tc>
          <w:tcPr>
            <w:tcW w:w="1246" w:type="dxa"/>
            <w:vMerge w:val="restart"/>
            <w:tcBorders>
              <w:top w:val="single" w:sz="4" w:space="0" w:color="1B556B"/>
              <w:bottom w:val="single" w:sz="4" w:space="0" w:color="1B556B"/>
            </w:tcBorders>
          </w:tcPr>
          <w:p w14:paraId="17FEB120" w14:textId="77777777" w:rsidR="00E0181F" w:rsidRPr="001D5327" w:rsidRDefault="00E0181F" w:rsidP="00D11AC9">
            <w:pPr>
              <w:pStyle w:val="TableText"/>
              <w:spacing w:before="30" w:after="30"/>
              <w:rPr>
                <w:rFonts w:cs="Calibri"/>
                <w:szCs w:val="16"/>
              </w:rPr>
            </w:pPr>
            <w:r w:rsidRPr="001D5327">
              <w:rPr>
                <w:rFonts w:cs="Calibri"/>
                <w:szCs w:val="16"/>
              </w:rPr>
              <w:t>With woody biomass – permanent</w:t>
            </w:r>
          </w:p>
        </w:tc>
        <w:tc>
          <w:tcPr>
            <w:tcW w:w="1731" w:type="dxa"/>
            <w:tcBorders>
              <w:top w:val="single" w:sz="4" w:space="0" w:color="1B556B"/>
              <w:bottom w:val="single" w:sz="4" w:space="0" w:color="1B556B"/>
            </w:tcBorders>
          </w:tcPr>
          <w:p w14:paraId="20DDD9E4" w14:textId="77777777" w:rsidR="00E0181F" w:rsidRPr="001D5327" w:rsidRDefault="00E0181F" w:rsidP="00D11AC9">
            <w:pPr>
              <w:pStyle w:val="TableText"/>
              <w:spacing w:before="30" w:after="30"/>
              <w:rPr>
                <w:rFonts w:cs="Calibri"/>
                <w:b/>
                <w:szCs w:val="16"/>
              </w:rPr>
            </w:pPr>
            <w:r w:rsidRPr="001D5327">
              <w:rPr>
                <w:rFonts w:cs="Calibri"/>
                <w:b/>
                <w:szCs w:val="16"/>
              </w:rPr>
              <w:t>Total biomass</w:t>
            </w:r>
          </w:p>
        </w:tc>
        <w:tc>
          <w:tcPr>
            <w:tcW w:w="1276" w:type="dxa"/>
            <w:tcBorders>
              <w:top w:val="single" w:sz="4" w:space="0" w:color="1B556B"/>
              <w:bottom w:val="single" w:sz="4" w:space="0" w:color="1B556B"/>
            </w:tcBorders>
          </w:tcPr>
          <w:p w14:paraId="79FCBB51" w14:textId="77777777" w:rsidR="00E0181F" w:rsidRPr="001D5327" w:rsidRDefault="00E0181F" w:rsidP="00D11AC9">
            <w:pPr>
              <w:pStyle w:val="TableText"/>
              <w:spacing w:before="30" w:after="30"/>
              <w:jc w:val="right"/>
              <w:rPr>
                <w:rFonts w:cs="Calibri"/>
                <w:b/>
                <w:szCs w:val="16"/>
              </w:rPr>
            </w:pPr>
            <w:r w:rsidRPr="001D5327">
              <w:rPr>
                <w:rFonts w:cs="Calibri"/>
                <w:b/>
                <w:szCs w:val="16"/>
              </w:rPr>
              <w:t>60.57</w:t>
            </w:r>
          </w:p>
        </w:tc>
        <w:tc>
          <w:tcPr>
            <w:tcW w:w="1276" w:type="dxa"/>
            <w:tcBorders>
              <w:top w:val="single" w:sz="4" w:space="0" w:color="1B556B"/>
              <w:bottom w:val="single" w:sz="4" w:space="0" w:color="1B556B"/>
            </w:tcBorders>
          </w:tcPr>
          <w:p w14:paraId="6FAB1B2B" w14:textId="77777777" w:rsidR="00E0181F" w:rsidRPr="001D5327" w:rsidRDefault="00E0181F" w:rsidP="00D11AC9">
            <w:pPr>
              <w:pStyle w:val="TableText"/>
              <w:spacing w:before="30" w:after="30"/>
              <w:jc w:val="right"/>
              <w:rPr>
                <w:rFonts w:cs="Calibri"/>
                <w:b/>
                <w:szCs w:val="16"/>
              </w:rPr>
            </w:pPr>
            <w:r w:rsidRPr="001D5327">
              <w:rPr>
                <w:rFonts w:cs="Calibri"/>
                <w:b/>
                <w:bCs/>
                <w:szCs w:val="16"/>
              </w:rPr>
              <w:t>NO</w:t>
            </w:r>
          </w:p>
        </w:tc>
        <w:tc>
          <w:tcPr>
            <w:tcW w:w="1275" w:type="dxa"/>
            <w:tcBorders>
              <w:top w:val="single" w:sz="4" w:space="0" w:color="1B556B"/>
              <w:bottom w:val="single" w:sz="4" w:space="0" w:color="1B556B"/>
            </w:tcBorders>
          </w:tcPr>
          <w:p w14:paraId="123E2D7F" w14:textId="77777777" w:rsidR="00E0181F" w:rsidRPr="001D5327" w:rsidRDefault="00E0181F" w:rsidP="00D11AC9">
            <w:pPr>
              <w:pStyle w:val="TableText"/>
              <w:spacing w:before="30" w:after="30"/>
              <w:jc w:val="right"/>
              <w:rPr>
                <w:rFonts w:cs="Calibri"/>
                <w:b/>
                <w:szCs w:val="16"/>
              </w:rPr>
            </w:pPr>
            <w:r w:rsidRPr="001D5327">
              <w:rPr>
                <w:rFonts w:cs="Calibri"/>
                <w:b/>
                <w:bCs/>
                <w:szCs w:val="16"/>
              </w:rPr>
              <w:t>NO</w:t>
            </w:r>
          </w:p>
        </w:tc>
        <w:tc>
          <w:tcPr>
            <w:tcW w:w="1701" w:type="dxa"/>
            <w:vMerge w:val="restart"/>
            <w:tcBorders>
              <w:top w:val="single" w:sz="4" w:space="0" w:color="1B556B"/>
              <w:bottom w:val="single" w:sz="4" w:space="0" w:color="1B556B"/>
            </w:tcBorders>
          </w:tcPr>
          <w:p w14:paraId="766411C3" w14:textId="77777777" w:rsidR="00E0181F" w:rsidRPr="001D5327" w:rsidRDefault="00E0181F" w:rsidP="00D11AC9">
            <w:pPr>
              <w:pStyle w:val="TableText"/>
              <w:spacing w:before="30" w:after="30"/>
              <w:rPr>
                <w:rFonts w:cs="Calibri"/>
                <w:szCs w:val="16"/>
              </w:rPr>
            </w:pPr>
            <w:r w:rsidRPr="001D5327">
              <w:rPr>
                <w:rFonts w:cs="Calibri"/>
                <w:szCs w:val="16"/>
              </w:rPr>
              <w:t>Wakelin and Beets (unpublished)</w:t>
            </w:r>
          </w:p>
        </w:tc>
      </w:tr>
      <w:tr w:rsidR="00E0181F" w:rsidRPr="001D5327" w14:paraId="2C9159C1" w14:textId="77777777" w:rsidTr="00D11AC9">
        <w:trPr>
          <w:trHeight w:val="20"/>
        </w:trPr>
        <w:tc>
          <w:tcPr>
            <w:tcW w:w="1246" w:type="dxa"/>
            <w:vMerge/>
            <w:tcBorders>
              <w:top w:val="single" w:sz="4" w:space="0" w:color="1B556B"/>
              <w:bottom w:val="single" w:sz="4" w:space="0" w:color="1B556B"/>
            </w:tcBorders>
          </w:tcPr>
          <w:p w14:paraId="414FED4C" w14:textId="77777777" w:rsidR="00E0181F" w:rsidRPr="001D5327" w:rsidRDefault="00E0181F" w:rsidP="00D11AC9">
            <w:pPr>
              <w:pStyle w:val="TableText"/>
              <w:spacing w:before="30" w:after="30"/>
              <w:rPr>
                <w:rFonts w:cs="Calibri"/>
                <w:szCs w:val="16"/>
              </w:rPr>
            </w:pPr>
          </w:p>
        </w:tc>
        <w:tc>
          <w:tcPr>
            <w:tcW w:w="1731" w:type="dxa"/>
            <w:tcBorders>
              <w:top w:val="single" w:sz="4" w:space="0" w:color="1B556B"/>
              <w:bottom w:val="single" w:sz="4" w:space="0" w:color="1B556B"/>
            </w:tcBorders>
          </w:tcPr>
          <w:p w14:paraId="324F630A" w14:textId="77777777" w:rsidR="00E0181F" w:rsidRPr="001D5327" w:rsidRDefault="00E0181F" w:rsidP="00D11AC9">
            <w:pPr>
              <w:pStyle w:val="TableText"/>
              <w:spacing w:before="30" w:after="30"/>
              <w:rPr>
                <w:rFonts w:cs="Calibri"/>
                <w:i/>
                <w:szCs w:val="16"/>
              </w:rPr>
            </w:pPr>
            <w:r w:rsidRPr="001D5327">
              <w:rPr>
                <w:rFonts w:cs="Calibri"/>
                <w:i/>
                <w:szCs w:val="16"/>
              </w:rPr>
              <w:t>Living biomass</w:t>
            </w:r>
          </w:p>
        </w:tc>
        <w:tc>
          <w:tcPr>
            <w:tcW w:w="1276" w:type="dxa"/>
            <w:tcBorders>
              <w:top w:val="single" w:sz="4" w:space="0" w:color="1B556B"/>
              <w:bottom w:val="single" w:sz="4" w:space="0" w:color="1B556B"/>
            </w:tcBorders>
          </w:tcPr>
          <w:p w14:paraId="2A9735B9" w14:textId="77777777" w:rsidR="00E0181F" w:rsidRPr="001D5327" w:rsidRDefault="00E0181F" w:rsidP="00D11AC9">
            <w:pPr>
              <w:pStyle w:val="TableText"/>
              <w:spacing w:before="30" w:after="30"/>
              <w:jc w:val="right"/>
              <w:rPr>
                <w:rFonts w:cs="Calibri"/>
                <w:szCs w:val="16"/>
              </w:rPr>
            </w:pPr>
          </w:p>
        </w:tc>
        <w:tc>
          <w:tcPr>
            <w:tcW w:w="1276" w:type="dxa"/>
            <w:tcBorders>
              <w:top w:val="single" w:sz="4" w:space="0" w:color="1B556B"/>
              <w:bottom w:val="single" w:sz="4" w:space="0" w:color="1B556B"/>
            </w:tcBorders>
          </w:tcPr>
          <w:p w14:paraId="05F4D1CD" w14:textId="77777777" w:rsidR="00E0181F" w:rsidRPr="001D5327" w:rsidRDefault="00E0181F" w:rsidP="00D11AC9">
            <w:pPr>
              <w:pStyle w:val="TableText"/>
              <w:spacing w:before="30" w:after="30"/>
              <w:jc w:val="right"/>
              <w:rPr>
                <w:rFonts w:cs="Calibri"/>
                <w:szCs w:val="16"/>
              </w:rPr>
            </w:pPr>
          </w:p>
        </w:tc>
        <w:tc>
          <w:tcPr>
            <w:tcW w:w="1275" w:type="dxa"/>
            <w:tcBorders>
              <w:top w:val="single" w:sz="4" w:space="0" w:color="1B556B"/>
              <w:bottom w:val="single" w:sz="4" w:space="0" w:color="1B556B"/>
            </w:tcBorders>
          </w:tcPr>
          <w:p w14:paraId="1C2165EA" w14:textId="77777777" w:rsidR="00E0181F" w:rsidRPr="001D5327" w:rsidRDefault="00E0181F" w:rsidP="00D11AC9">
            <w:pPr>
              <w:pStyle w:val="TableText"/>
              <w:spacing w:before="30" w:after="30"/>
              <w:jc w:val="right"/>
              <w:rPr>
                <w:rFonts w:cs="Calibri"/>
                <w:szCs w:val="16"/>
              </w:rPr>
            </w:pPr>
          </w:p>
        </w:tc>
        <w:tc>
          <w:tcPr>
            <w:tcW w:w="1701" w:type="dxa"/>
            <w:vMerge/>
            <w:tcBorders>
              <w:top w:val="single" w:sz="4" w:space="0" w:color="1B556B"/>
              <w:bottom w:val="single" w:sz="4" w:space="0" w:color="1B556B"/>
            </w:tcBorders>
          </w:tcPr>
          <w:p w14:paraId="484F7D93" w14:textId="77777777" w:rsidR="00E0181F" w:rsidRPr="001D5327" w:rsidRDefault="00E0181F" w:rsidP="00D11AC9">
            <w:pPr>
              <w:pStyle w:val="TableText"/>
              <w:spacing w:before="30" w:after="30"/>
              <w:rPr>
                <w:rFonts w:cs="Calibri"/>
                <w:szCs w:val="16"/>
              </w:rPr>
            </w:pPr>
          </w:p>
        </w:tc>
      </w:tr>
      <w:tr w:rsidR="00E0181F" w:rsidRPr="001D5327" w14:paraId="72FE0D5A" w14:textId="77777777" w:rsidTr="00D11AC9">
        <w:trPr>
          <w:trHeight w:val="20"/>
        </w:trPr>
        <w:tc>
          <w:tcPr>
            <w:tcW w:w="1246" w:type="dxa"/>
            <w:vMerge/>
            <w:tcBorders>
              <w:bottom w:val="single" w:sz="4" w:space="0" w:color="1B556B"/>
            </w:tcBorders>
          </w:tcPr>
          <w:p w14:paraId="5F2D036C" w14:textId="77777777" w:rsidR="00E0181F" w:rsidRPr="001D5327" w:rsidRDefault="00E0181F" w:rsidP="00D11AC9">
            <w:pPr>
              <w:pStyle w:val="TableText"/>
              <w:spacing w:before="30" w:after="30"/>
              <w:rPr>
                <w:rFonts w:cs="Calibri"/>
                <w:szCs w:val="16"/>
              </w:rPr>
            </w:pPr>
          </w:p>
        </w:tc>
        <w:tc>
          <w:tcPr>
            <w:tcW w:w="1731" w:type="dxa"/>
            <w:tcBorders>
              <w:top w:val="single" w:sz="4" w:space="0" w:color="1B556B"/>
              <w:bottom w:val="single" w:sz="4" w:space="0" w:color="1B556B"/>
            </w:tcBorders>
          </w:tcPr>
          <w:p w14:paraId="5CE93CEB" w14:textId="77777777" w:rsidR="00E0181F" w:rsidRPr="001D5327" w:rsidRDefault="00E0181F" w:rsidP="00D11AC9">
            <w:pPr>
              <w:pStyle w:val="TableText"/>
              <w:spacing w:before="30" w:after="30"/>
              <w:rPr>
                <w:rFonts w:cs="Calibri"/>
                <w:szCs w:val="16"/>
              </w:rPr>
            </w:pPr>
            <w:r w:rsidRPr="001D5327">
              <w:rPr>
                <w:rFonts w:cs="Calibri"/>
                <w:szCs w:val="16"/>
              </w:rPr>
              <w:tab/>
              <w:t>AGB</w:t>
            </w:r>
          </w:p>
        </w:tc>
        <w:tc>
          <w:tcPr>
            <w:tcW w:w="1276" w:type="dxa"/>
            <w:tcBorders>
              <w:top w:val="single" w:sz="4" w:space="0" w:color="1B556B"/>
              <w:bottom w:val="single" w:sz="4" w:space="0" w:color="1B556B"/>
            </w:tcBorders>
          </w:tcPr>
          <w:p w14:paraId="7AD2F8C8" w14:textId="77777777" w:rsidR="00E0181F" w:rsidRPr="001D5327" w:rsidRDefault="00E0181F" w:rsidP="00D11AC9">
            <w:pPr>
              <w:pStyle w:val="TableText"/>
              <w:spacing w:before="30" w:after="30"/>
              <w:jc w:val="right"/>
              <w:rPr>
                <w:rFonts w:cs="Calibri"/>
                <w:szCs w:val="16"/>
              </w:rPr>
            </w:pPr>
            <w:r w:rsidRPr="001D5327">
              <w:rPr>
                <w:rFonts w:cs="Calibri"/>
                <w:szCs w:val="16"/>
              </w:rPr>
              <w:t>45.18</w:t>
            </w:r>
          </w:p>
        </w:tc>
        <w:tc>
          <w:tcPr>
            <w:tcW w:w="1276" w:type="dxa"/>
            <w:tcBorders>
              <w:top w:val="single" w:sz="4" w:space="0" w:color="1B556B"/>
              <w:bottom w:val="single" w:sz="4" w:space="0" w:color="1B556B"/>
            </w:tcBorders>
          </w:tcPr>
          <w:p w14:paraId="0A9F02B3" w14:textId="77777777" w:rsidR="00E0181F" w:rsidRPr="001D5327" w:rsidRDefault="00E0181F" w:rsidP="00D11AC9">
            <w:pPr>
              <w:pStyle w:val="TableText"/>
              <w:spacing w:before="30" w:after="30"/>
              <w:jc w:val="right"/>
              <w:rPr>
                <w:rFonts w:cs="Calibri"/>
                <w:szCs w:val="16"/>
              </w:rPr>
            </w:pPr>
            <w:r w:rsidRPr="001D5327">
              <w:rPr>
                <w:rFonts w:cs="Calibri"/>
                <w:szCs w:val="16"/>
              </w:rPr>
              <w:t>NO</w:t>
            </w:r>
          </w:p>
        </w:tc>
        <w:tc>
          <w:tcPr>
            <w:tcW w:w="1275" w:type="dxa"/>
            <w:tcBorders>
              <w:top w:val="single" w:sz="4" w:space="0" w:color="1B556B"/>
              <w:bottom w:val="single" w:sz="4" w:space="0" w:color="1B556B"/>
            </w:tcBorders>
          </w:tcPr>
          <w:p w14:paraId="11375230" w14:textId="77777777" w:rsidR="00E0181F" w:rsidRPr="001D5327" w:rsidRDefault="00E0181F" w:rsidP="00D11AC9">
            <w:pPr>
              <w:pStyle w:val="TableText"/>
              <w:spacing w:before="30" w:after="30"/>
              <w:jc w:val="right"/>
              <w:rPr>
                <w:rFonts w:cs="Calibri"/>
                <w:szCs w:val="16"/>
              </w:rPr>
            </w:pPr>
            <w:r w:rsidRPr="001D5327">
              <w:rPr>
                <w:rFonts w:cs="Calibri"/>
                <w:b/>
                <w:bCs/>
                <w:szCs w:val="16"/>
              </w:rPr>
              <w:t>NO</w:t>
            </w:r>
          </w:p>
        </w:tc>
        <w:tc>
          <w:tcPr>
            <w:tcW w:w="1701" w:type="dxa"/>
            <w:vMerge/>
            <w:tcBorders>
              <w:bottom w:val="single" w:sz="4" w:space="0" w:color="1B556B"/>
            </w:tcBorders>
          </w:tcPr>
          <w:p w14:paraId="1258C804" w14:textId="77777777" w:rsidR="00E0181F" w:rsidRPr="001D5327" w:rsidRDefault="00E0181F" w:rsidP="00D11AC9">
            <w:pPr>
              <w:pStyle w:val="TableText"/>
              <w:spacing w:before="30" w:after="30"/>
              <w:rPr>
                <w:rFonts w:cs="Calibri"/>
                <w:szCs w:val="16"/>
              </w:rPr>
            </w:pPr>
          </w:p>
        </w:tc>
      </w:tr>
      <w:tr w:rsidR="00E0181F" w:rsidRPr="001D5327" w14:paraId="58E98C57" w14:textId="77777777" w:rsidTr="00D11AC9">
        <w:trPr>
          <w:trHeight w:val="20"/>
        </w:trPr>
        <w:tc>
          <w:tcPr>
            <w:tcW w:w="1246" w:type="dxa"/>
            <w:vMerge/>
            <w:tcBorders>
              <w:bottom w:val="single" w:sz="4" w:space="0" w:color="1B556B"/>
            </w:tcBorders>
          </w:tcPr>
          <w:p w14:paraId="175335FA" w14:textId="77777777" w:rsidR="00E0181F" w:rsidRPr="001D5327" w:rsidRDefault="00E0181F" w:rsidP="00D11AC9">
            <w:pPr>
              <w:pStyle w:val="TableText"/>
              <w:spacing w:before="30" w:after="30"/>
              <w:rPr>
                <w:rFonts w:cs="Calibri"/>
                <w:szCs w:val="16"/>
              </w:rPr>
            </w:pPr>
          </w:p>
        </w:tc>
        <w:tc>
          <w:tcPr>
            <w:tcW w:w="1731" w:type="dxa"/>
            <w:tcBorders>
              <w:top w:val="single" w:sz="4" w:space="0" w:color="1B556B"/>
              <w:bottom w:val="single" w:sz="4" w:space="0" w:color="1B556B"/>
            </w:tcBorders>
          </w:tcPr>
          <w:p w14:paraId="6E4A6A18" w14:textId="77777777" w:rsidR="00E0181F" w:rsidRPr="001D5327" w:rsidRDefault="00E0181F" w:rsidP="00D11AC9">
            <w:pPr>
              <w:pStyle w:val="TableText"/>
              <w:spacing w:before="30" w:after="30"/>
              <w:rPr>
                <w:rFonts w:cs="Calibri"/>
                <w:szCs w:val="16"/>
              </w:rPr>
            </w:pPr>
            <w:r w:rsidRPr="001D5327">
              <w:rPr>
                <w:rFonts w:cs="Calibri"/>
                <w:szCs w:val="16"/>
              </w:rPr>
              <w:tab/>
              <w:t>BGB</w:t>
            </w:r>
          </w:p>
        </w:tc>
        <w:tc>
          <w:tcPr>
            <w:tcW w:w="1276" w:type="dxa"/>
            <w:tcBorders>
              <w:top w:val="single" w:sz="4" w:space="0" w:color="1B556B"/>
              <w:bottom w:val="single" w:sz="4" w:space="0" w:color="1B556B"/>
            </w:tcBorders>
          </w:tcPr>
          <w:p w14:paraId="37D5165A" w14:textId="77777777" w:rsidR="00E0181F" w:rsidRPr="001D5327" w:rsidRDefault="00E0181F" w:rsidP="00D11AC9">
            <w:pPr>
              <w:pStyle w:val="TableText"/>
              <w:spacing w:before="30" w:after="30"/>
              <w:jc w:val="right"/>
              <w:rPr>
                <w:rFonts w:cs="Calibri"/>
                <w:szCs w:val="16"/>
              </w:rPr>
            </w:pPr>
            <w:r w:rsidRPr="001D5327">
              <w:rPr>
                <w:rFonts w:cs="Calibri"/>
                <w:szCs w:val="16"/>
              </w:rPr>
              <w:t>11.71</w:t>
            </w:r>
          </w:p>
        </w:tc>
        <w:tc>
          <w:tcPr>
            <w:tcW w:w="1276" w:type="dxa"/>
            <w:tcBorders>
              <w:top w:val="single" w:sz="4" w:space="0" w:color="1B556B"/>
              <w:bottom w:val="single" w:sz="4" w:space="0" w:color="1B556B"/>
            </w:tcBorders>
          </w:tcPr>
          <w:p w14:paraId="04C74973" w14:textId="77777777" w:rsidR="00E0181F" w:rsidRPr="001D5327" w:rsidRDefault="00E0181F" w:rsidP="00D11AC9">
            <w:pPr>
              <w:pStyle w:val="TableText"/>
              <w:spacing w:before="30" w:after="30"/>
              <w:jc w:val="right"/>
              <w:rPr>
                <w:rFonts w:cs="Calibri"/>
                <w:szCs w:val="16"/>
              </w:rPr>
            </w:pPr>
            <w:r w:rsidRPr="001D5327">
              <w:rPr>
                <w:rFonts w:cs="Calibri"/>
                <w:szCs w:val="16"/>
              </w:rPr>
              <w:t>NO</w:t>
            </w:r>
          </w:p>
        </w:tc>
        <w:tc>
          <w:tcPr>
            <w:tcW w:w="1275" w:type="dxa"/>
            <w:tcBorders>
              <w:top w:val="single" w:sz="4" w:space="0" w:color="1B556B"/>
              <w:bottom w:val="single" w:sz="4" w:space="0" w:color="1B556B"/>
            </w:tcBorders>
          </w:tcPr>
          <w:p w14:paraId="6C597094" w14:textId="77777777" w:rsidR="00E0181F" w:rsidRPr="001D5327" w:rsidRDefault="00E0181F" w:rsidP="00D11AC9">
            <w:pPr>
              <w:pStyle w:val="TableText"/>
              <w:spacing w:before="30" w:after="30"/>
              <w:jc w:val="right"/>
              <w:rPr>
                <w:rFonts w:cs="Calibri"/>
                <w:szCs w:val="16"/>
              </w:rPr>
            </w:pPr>
            <w:r w:rsidRPr="001D5327">
              <w:rPr>
                <w:rFonts w:cs="Calibri"/>
                <w:b/>
                <w:bCs/>
                <w:szCs w:val="16"/>
              </w:rPr>
              <w:t>NO</w:t>
            </w:r>
          </w:p>
        </w:tc>
        <w:tc>
          <w:tcPr>
            <w:tcW w:w="1701" w:type="dxa"/>
            <w:vMerge/>
            <w:tcBorders>
              <w:bottom w:val="single" w:sz="4" w:space="0" w:color="1B556B"/>
            </w:tcBorders>
          </w:tcPr>
          <w:p w14:paraId="3E40D99F" w14:textId="77777777" w:rsidR="00E0181F" w:rsidRPr="001D5327" w:rsidRDefault="00E0181F" w:rsidP="00D11AC9">
            <w:pPr>
              <w:pStyle w:val="TableText"/>
              <w:spacing w:before="30" w:after="30"/>
              <w:rPr>
                <w:rFonts w:cs="Calibri"/>
                <w:szCs w:val="16"/>
              </w:rPr>
            </w:pPr>
          </w:p>
        </w:tc>
      </w:tr>
      <w:tr w:rsidR="00E0181F" w:rsidRPr="001D5327" w14:paraId="4FF3DA72" w14:textId="77777777" w:rsidTr="00D11AC9">
        <w:trPr>
          <w:trHeight w:val="20"/>
        </w:trPr>
        <w:tc>
          <w:tcPr>
            <w:tcW w:w="1246" w:type="dxa"/>
            <w:vMerge/>
            <w:tcBorders>
              <w:bottom w:val="single" w:sz="4" w:space="0" w:color="1B556B"/>
            </w:tcBorders>
          </w:tcPr>
          <w:p w14:paraId="12B9CECF" w14:textId="77777777" w:rsidR="00E0181F" w:rsidRPr="001D5327" w:rsidRDefault="00E0181F" w:rsidP="00D11AC9">
            <w:pPr>
              <w:pStyle w:val="TableText"/>
              <w:spacing w:before="30" w:after="30"/>
              <w:rPr>
                <w:rFonts w:cs="Calibri"/>
                <w:szCs w:val="16"/>
              </w:rPr>
            </w:pPr>
          </w:p>
        </w:tc>
        <w:tc>
          <w:tcPr>
            <w:tcW w:w="1731" w:type="dxa"/>
            <w:tcBorders>
              <w:top w:val="single" w:sz="4" w:space="0" w:color="1B556B"/>
              <w:bottom w:val="single" w:sz="4" w:space="0" w:color="1B556B"/>
            </w:tcBorders>
          </w:tcPr>
          <w:p w14:paraId="7D3F8F92" w14:textId="77777777" w:rsidR="00E0181F" w:rsidRPr="001D5327" w:rsidRDefault="00E0181F" w:rsidP="00D11AC9">
            <w:pPr>
              <w:pStyle w:val="TableText"/>
              <w:spacing w:before="30" w:after="30"/>
              <w:rPr>
                <w:rFonts w:cs="Calibri"/>
                <w:i/>
                <w:szCs w:val="16"/>
              </w:rPr>
            </w:pPr>
            <w:r w:rsidRPr="001D5327">
              <w:rPr>
                <w:rFonts w:cs="Calibri"/>
                <w:i/>
                <w:szCs w:val="16"/>
              </w:rPr>
              <w:t>Dead organic matter</w:t>
            </w:r>
          </w:p>
        </w:tc>
        <w:tc>
          <w:tcPr>
            <w:tcW w:w="1276" w:type="dxa"/>
            <w:tcBorders>
              <w:top w:val="single" w:sz="4" w:space="0" w:color="1B556B"/>
              <w:bottom w:val="single" w:sz="4" w:space="0" w:color="1B556B"/>
            </w:tcBorders>
          </w:tcPr>
          <w:p w14:paraId="0A73D2F9" w14:textId="77777777" w:rsidR="00E0181F" w:rsidRPr="001D5327" w:rsidRDefault="00E0181F" w:rsidP="00D11AC9">
            <w:pPr>
              <w:pStyle w:val="TableText"/>
              <w:spacing w:before="30" w:after="30"/>
              <w:jc w:val="right"/>
              <w:rPr>
                <w:rFonts w:cs="Calibri"/>
                <w:szCs w:val="16"/>
              </w:rPr>
            </w:pPr>
          </w:p>
        </w:tc>
        <w:tc>
          <w:tcPr>
            <w:tcW w:w="1276" w:type="dxa"/>
            <w:tcBorders>
              <w:top w:val="single" w:sz="4" w:space="0" w:color="1B556B"/>
              <w:bottom w:val="single" w:sz="4" w:space="0" w:color="1B556B"/>
            </w:tcBorders>
          </w:tcPr>
          <w:p w14:paraId="1871428C" w14:textId="77777777" w:rsidR="00E0181F" w:rsidRPr="001D5327" w:rsidRDefault="00E0181F" w:rsidP="00D11AC9">
            <w:pPr>
              <w:pStyle w:val="TableText"/>
              <w:spacing w:before="30" w:after="30"/>
              <w:jc w:val="right"/>
              <w:rPr>
                <w:rFonts w:cs="Calibri"/>
                <w:szCs w:val="16"/>
              </w:rPr>
            </w:pPr>
          </w:p>
        </w:tc>
        <w:tc>
          <w:tcPr>
            <w:tcW w:w="1275" w:type="dxa"/>
            <w:tcBorders>
              <w:top w:val="single" w:sz="4" w:space="0" w:color="1B556B"/>
              <w:bottom w:val="single" w:sz="4" w:space="0" w:color="1B556B"/>
            </w:tcBorders>
          </w:tcPr>
          <w:p w14:paraId="4C12AF27" w14:textId="77777777" w:rsidR="00E0181F" w:rsidRPr="001D5327" w:rsidRDefault="00E0181F" w:rsidP="00D11AC9">
            <w:pPr>
              <w:pStyle w:val="TableText"/>
              <w:spacing w:before="30" w:after="30"/>
              <w:jc w:val="right"/>
              <w:rPr>
                <w:rFonts w:cs="Calibri"/>
                <w:szCs w:val="16"/>
              </w:rPr>
            </w:pPr>
            <w:r w:rsidRPr="001D5327">
              <w:rPr>
                <w:rFonts w:cs="Calibri"/>
                <w:b/>
                <w:bCs/>
                <w:szCs w:val="16"/>
              </w:rPr>
              <w:t>NO</w:t>
            </w:r>
          </w:p>
        </w:tc>
        <w:tc>
          <w:tcPr>
            <w:tcW w:w="1701" w:type="dxa"/>
            <w:vMerge/>
            <w:tcBorders>
              <w:bottom w:val="single" w:sz="4" w:space="0" w:color="1B556B"/>
            </w:tcBorders>
          </w:tcPr>
          <w:p w14:paraId="03D65126" w14:textId="77777777" w:rsidR="00E0181F" w:rsidRPr="001D5327" w:rsidRDefault="00E0181F" w:rsidP="00D11AC9">
            <w:pPr>
              <w:pStyle w:val="TableText"/>
              <w:spacing w:before="30" w:after="30"/>
              <w:rPr>
                <w:rFonts w:cs="Calibri"/>
                <w:szCs w:val="16"/>
              </w:rPr>
            </w:pPr>
          </w:p>
        </w:tc>
      </w:tr>
      <w:tr w:rsidR="00E0181F" w:rsidRPr="001D5327" w14:paraId="488425E0" w14:textId="77777777" w:rsidTr="00D11AC9">
        <w:trPr>
          <w:trHeight w:val="20"/>
        </w:trPr>
        <w:tc>
          <w:tcPr>
            <w:tcW w:w="1246" w:type="dxa"/>
            <w:vMerge/>
            <w:tcBorders>
              <w:bottom w:val="single" w:sz="4" w:space="0" w:color="1B556B"/>
            </w:tcBorders>
          </w:tcPr>
          <w:p w14:paraId="591037BB" w14:textId="77777777" w:rsidR="00E0181F" w:rsidRPr="001D5327" w:rsidRDefault="00E0181F" w:rsidP="00D11AC9">
            <w:pPr>
              <w:pStyle w:val="TableText"/>
              <w:spacing w:before="30" w:after="30"/>
              <w:rPr>
                <w:rFonts w:cs="Calibri"/>
                <w:szCs w:val="16"/>
              </w:rPr>
            </w:pPr>
          </w:p>
        </w:tc>
        <w:tc>
          <w:tcPr>
            <w:tcW w:w="1731" w:type="dxa"/>
            <w:tcBorders>
              <w:top w:val="single" w:sz="4" w:space="0" w:color="1B556B"/>
              <w:bottom w:val="single" w:sz="4" w:space="0" w:color="1B556B"/>
            </w:tcBorders>
          </w:tcPr>
          <w:p w14:paraId="5E36E57C" w14:textId="77777777" w:rsidR="00E0181F" w:rsidRPr="001D5327" w:rsidRDefault="00E0181F" w:rsidP="00D11AC9">
            <w:pPr>
              <w:pStyle w:val="TableText"/>
              <w:spacing w:before="30" w:after="30"/>
              <w:rPr>
                <w:rFonts w:cs="Calibri"/>
                <w:szCs w:val="16"/>
              </w:rPr>
            </w:pPr>
            <w:r w:rsidRPr="001D5327">
              <w:rPr>
                <w:rFonts w:cs="Calibri"/>
                <w:szCs w:val="16"/>
              </w:rPr>
              <w:tab/>
              <w:t>Dead wood</w:t>
            </w:r>
          </w:p>
        </w:tc>
        <w:tc>
          <w:tcPr>
            <w:tcW w:w="1276" w:type="dxa"/>
            <w:tcBorders>
              <w:top w:val="single" w:sz="4" w:space="0" w:color="1B556B"/>
              <w:bottom w:val="single" w:sz="4" w:space="0" w:color="1B556B"/>
            </w:tcBorders>
          </w:tcPr>
          <w:p w14:paraId="7B0EBD1B" w14:textId="77777777" w:rsidR="00E0181F" w:rsidRPr="001D5327" w:rsidRDefault="00E0181F" w:rsidP="00D11AC9">
            <w:pPr>
              <w:pStyle w:val="TableText"/>
              <w:spacing w:before="30" w:after="30"/>
              <w:jc w:val="right"/>
              <w:rPr>
                <w:rFonts w:cs="Calibri"/>
                <w:szCs w:val="16"/>
              </w:rPr>
            </w:pPr>
            <w:r w:rsidRPr="001D5327">
              <w:rPr>
                <w:rFonts w:cs="Calibri"/>
                <w:szCs w:val="16"/>
              </w:rPr>
              <w:t>3.68</w:t>
            </w:r>
          </w:p>
        </w:tc>
        <w:tc>
          <w:tcPr>
            <w:tcW w:w="1276" w:type="dxa"/>
            <w:tcBorders>
              <w:top w:val="single" w:sz="4" w:space="0" w:color="1B556B"/>
              <w:bottom w:val="single" w:sz="4" w:space="0" w:color="1B556B"/>
            </w:tcBorders>
          </w:tcPr>
          <w:p w14:paraId="7F79A6B2" w14:textId="77777777" w:rsidR="00E0181F" w:rsidRPr="001D5327" w:rsidRDefault="00E0181F" w:rsidP="00D11AC9">
            <w:pPr>
              <w:pStyle w:val="TableText"/>
              <w:spacing w:before="30" w:after="30"/>
              <w:jc w:val="right"/>
              <w:rPr>
                <w:rFonts w:cs="Calibri"/>
                <w:szCs w:val="16"/>
              </w:rPr>
            </w:pPr>
            <w:r w:rsidRPr="001D5327">
              <w:rPr>
                <w:rFonts w:cs="Calibri"/>
                <w:szCs w:val="16"/>
              </w:rPr>
              <w:t>NO</w:t>
            </w:r>
          </w:p>
        </w:tc>
        <w:tc>
          <w:tcPr>
            <w:tcW w:w="1275" w:type="dxa"/>
            <w:tcBorders>
              <w:top w:val="single" w:sz="4" w:space="0" w:color="1B556B"/>
              <w:bottom w:val="single" w:sz="4" w:space="0" w:color="1B556B"/>
            </w:tcBorders>
          </w:tcPr>
          <w:p w14:paraId="78FCFE76" w14:textId="77777777" w:rsidR="00E0181F" w:rsidRPr="001D5327" w:rsidRDefault="00E0181F" w:rsidP="00D11AC9">
            <w:pPr>
              <w:pStyle w:val="TableText"/>
              <w:spacing w:before="30" w:after="30"/>
              <w:jc w:val="right"/>
              <w:rPr>
                <w:rFonts w:cs="Calibri"/>
                <w:szCs w:val="16"/>
              </w:rPr>
            </w:pPr>
            <w:r w:rsidRPr="001D5327">
              <w:rPr>
                <w:rFonts w:cs="Calibri"/>
                <w:b/>
                <w:bCs/>
                <w:szCs w:val="16"/>
              </w:rPr>
              <w:t>NO</w:t>
            </w:r>
          </w:p>
        </w:tc>
        <w:tc>
          <w:tcPr>
            <w:tcW w:w="1701" w:type="dxa"/>
            <w:vMerge/>
            <w:tcBorders>
              <w:bottom w:val="single" w:sz="4" w:space="0" w:color="1B556B"/>
            </w:tcBorders>
          </w:tcPr>
          <w:p w14:paraId="1CBAE231" w14:textId="77777777" w:rsidR="00E0181F" w:rsidRPr="001D5327" w:rsidRDefault="00E0181F" w:rsidP="00D11AC9">
            <w:pPr>
              <w:pStyle w:val="TableText"/>
              <w:spacing w:before="30" w:after="30"/>
              <w:rPr>
                <w:rFonts w:cs="Calibri"/>
                <w:szCs w:val="16"/>
              </w:rPr>
            </w:pPr>
          </w:p>
        </w:tc>
      </w:tr>
      <w:tr w:rsidR="00E0181F" w:rsidRPr="001D5327" w14:paraId="6F458C9D" w14:textId="77777777" w:rsidTr="00D11AC9">
        <w:trPr>
          <w:trHeight w:val="20"/>
        </w:trPr>
        <w:tc>
          <w:tcPr>
            <w:tcW w:w="1246" w:type="dxa"/>
            <w:vMerge/>
            <w:tcBorders>
              <w:bottom w:val="single" w:sz="4" w:space="0" w:color="1B556B"/>
            </w:tcBorders>
          </w:tcPr>
          <w:p w14:paraId="10ADE56F" w14:textId="77777777" w:rsidR="00E0181F" w:rsidRPr="001D5327" w:rsidRDefault="00E0181F" w:rsidP="00D11AC9">
            <w:pPr>
              <w:pStyle w:val="TableText"/>
              <w:spacing w:before="30" w:after="30"/>
              <w:rPr>
                <w:rFonts w:cs="Calibri"/>
                <w:szCs w:val="16"/>
              </w:rPr>
            </w:pPr>
          </w:p>
        </w:tc>
        <w:tc>
          <w:tcPr>
            <w:tcW w:w="1731" w:type="dxa"/>
            <w:tcBorders>
              <w:top w:val="single" w:sz="4" w:space="0" w:color="1B556B"/>
              <w:bottom w:val="single" w:sz="4" w:space="0" w:color="1B556B"/>
            </w:tcBorders>
          </w:tcPr>
          <w:p w14:paraId="7A478BBE" w14:textId="77777777" w:rsidR="00E0181F" w:rsidRPr="001D5327" w:rsidRDefault="00E0181F" w:rsidP="00D11AC9">
            <w:pPr>
              <w:pStyle w:val="TableText"/>
              <w:spacing w:before="30" w:after="30"/>
              <w:rPr>
                <w:rFonts w:cs="Calibri"/>
                <w:szCs w:val="16"/>
              </w:rPr>
            </w:pPr>
            <w:r w:rsidRPr="001D5327">
              <w:rPr>
                <w:rFonts w:cs="Calibri"/>
                <w:szCs w:val="16"/>
              </w:rPr>
              <w:tab/>
              <w:t>Litter</w:t>
            </w:r>
          </w:p>
        </w:tc>
        <w:tc>
          <w:tcPr>
            <w:tcW w:w="1276" w:type="dxa"/>
            <w:tcBorders>
              <w:top w:val="single" w:sz="4" w:space="0" w:color="1B556B"/>
              <w:bottom w:val="single" w:sz="4" w:space="0" w:color="1B556B"/>
            </w:tcBorders>
          </w:tcPr>
          <w:p w14:paraId="25C8EF9C" w14:textId="77777777" w:rsidR="00E0181F" w:rsidRPr="001D5327" w:rsidRDefault="00E0181F" w:rsidP="00D11AC9">
            <w:pPr>
              <w:pStyle w:val="TableText"/>
              <w:spacing w:before="30" w:after="30"/>
              <w:jc w:val="right"/>
              <w:rPr>
                <w:rFonts w:cs="Calibri"/>
                <w:szCs w:val="16"/>
              </w:rPr>
            </w:pPr>
            <w:r w:rsidRPr="001D5327">
              <w:rPr>
                <w:rFonts w:cs="Calibri"/>
                <w:szCs w:val="16"/>
              </w:rPr>
              <w:t>0.00</w:t>
            </w:r>
          </w:p>
        </w:tc>
        <w:tc>
          <w:tcPr>
            <w:tcW w:w="1276" w:type="dxa"/>
            <w:tcBorders>
              <w:top w:val="single" w:sz="4" w:space="0" w:color="1B556B"/>
              <w:bottom w:val="single" w:sz="4" w:space="0" w:color="1B556B"/>
            </w:tcBorders>
          </w:tcPr>
          <w:p w14:paraId="289D099E" w14:textId="77777777" w:rsidR="00E0181F" w:rsidRPr="001D5327" w:rsidRDefault="00E0181F" w:rsidP="00D11AC9">
            <w:pPr>
              <w:pStyle w:val="TableText"/>
              <w:spacing w:before="30" w:after="30"/>
              <w:jc w:val="right"/>
              <w:rPr>
                <w:rFonts w:cs="Calibri"/>
                <w:szCs w:val="16"/>
              </w:rPr>
            </w:pPr>
            <w:r w:rsidRPr="001D5327">
              <w:rPr>
                <w:rFonts w:cs="Calibri"/>
                <w:szCs w:val="16"/>
              </w:rPr>
              <w:t>NO</w:t>
            </w:r>
          </w:p>
        </w:tc>
        <w:tc>
          <w:tcPr>
            <w:tcW w:w="1275" w:type="dxa"/>
            <w:tcBorders>
              <w:top w:val="single" w:sz="4" w:space="0" w:color="1B556B"/>
              <w:bottom w:val="single" w:sz="4" w:space="0" w:color="1B556B"/>
            </w:tcBorders>
          </w:tcPr>
          <w:p w14:paraId="2B86B2FD" w14:textId="77777777" w:rsidR="00E0181F" w:rsidRPr="001D5327" w:rsidRDefault="00E0181F" w:rsidP="00D11AC9">
            <w:pPr>
              <w:pStyle w:val="TableText"/>
              <w:spacing w:before="30" w:after="30"/>
              <w:jc w:val="right"/>
              <w:rPr>
                <w:rFonts w:cs="Calibri"/>
                <w:szCs w:val="16"/>
              </w:rPr>
            </w:pPr>
            <w:r w:rsidRPr="001D5327">
              <w:rPr>
                <w:rFonts w:cs="Calibri"/>
                <w:b/>
                <w:bCs/>
                <w:szCs w:val="16"/>
              </w:rPr>
              <w:t>NO</w:t>
            </w:r>
          </w:p>
        </w:tc>
        <w:tc>
          <w:tcPr>
            <w:tcW w:w="1701" w:type="dxa"/>
            <w:vMerge/>
            <w:tcBorders>
              <w:bottom w:val="single" w:sz="4" w:space="0" w:color="1B556B"/>
            </w:tcBorders>
          </w:tcPr>
          <w:p w14:paraId="698D5D6A" w14:textId="77777777" w:rsidR="00E0181F" w:rsidRPr="001D5327" w:rsidRDefault="00E0181F" w:rsidP="00D11AC9">
            <w:pPr>
              <w:pStyle w:val="TableText"/>
              <w:spacing w:before="30" w:after="30"/>
              <w:rPr>
                <w:rFonts w:cs="Calibri"/>
                <w:szCs w:val="16"/>
              </w:rPr>
            </w:pPr>
          </w:p>
        </w:tc>
      </w:tr>
    </w:tbl>
    <w:p w14:paraId="5A304C75" w14:textId="77777777" w:rsidR="00E0181F" w:rsidRPr="001D5327" w:rsidRDefault="00E0181F" w:rsidP="00E0181F">
      <w:pPr>
        <w:pStyle w:val="Noteundertable"/>
      </w:pPr>
      <w:r w:rsidRPr="001D5327">
        <w:rPr>
          <w:b/>
        </w:rPr>
        <w:t>Note:</w:t>
      </w:r>
      <w:r w:rsidRPr="001D5327">
        <w:tab/>
        <w:t xml:space="preserve">AGB = above-ground biomass; BGB = below-ground biomass; NA = not applicable; NE = not estimated; NO = not occurring. Columns may not total due to rounding. The </w:t>
      </w:r>
      <w:r w:rsidRPr="001D5327">
        <w:rPr>
          <w:i/>
          <w:iCs/>
        </w:rPr>
        <w:t>H</w:t>
      </w:r>
      <w:r w:rsidRPr="001D5327">
        <w:rPr>
          <w:i/>
        </w:rPr>
        <w:t>igh producing grassland</w:t>
      </w:r>
      <w:r w:rsidRPr="001D5327">
        <w:t xml:space="preserve"> figure is based on the Warm temperate – wet figure from table 6.4 of the 2006 IPCC Guidelines, and the </w:t>
      </w:r>
      <w:r w:rsidRPr="001D5327">
        <w:rPr>
          <w:i/>
          <w:iCs/>
        </w:rPr>
        <w:t>L</w:t>
      </w:r>
      <w:r w:rsidRPr="001D5327">
        <w:rPr>
          <w:i/>
        </w:rPr>
        <w:t>ow producing grassland</w:t>
      </w:r>
      <w:r w:rsidRPr="001D5327">
        <w:t xml:space="preserve"> figure is based on the Warm temperate – dry figure from the same table (IPCC, 2006a), with a carbon fraction of 0.47 applied to both. Note that the annual accumulation rates for </w:t>
      </w:r>
      <w:r w:rsidRPr="001D5327">
        <w:rPr>
          <w:i/>
          <w:iCs/>
        </w:rPr>
        <w:t>Grassland with woody biomass</w:t>
      </w:r>
      <w:r w:rsidRPr="001D5327">
        <w:t xml:space="preserve"> – transitional do not equal the total biomass steady state carbon stock value over 20 years because the starting stock value at year 1 is 3.54 tonnes C ha</w:t>
      </w:r>
      <w:r w:rsidRPr="001D5327">
        <w:rPr>
          <w:vertAlign w:val="superscript"/>
        </w:rPr>
        <w:t>–1</w:t>
      </w:r>
      <w:r w:rsidRPr="001D5327">
        <w:t xml:space="preserve">. </w:t>
      </w:r>
    </w:p>
    <w:p w14:paraId="09F2143A" w14:textId="77777777" w:rsidR="00E0181F" w:rsidRPr="001D5327" w:rsidRDefault="00E0181F" w:rsidP="00E0181F">
      <w:pPr>
        <w:pStyle w:val="Heading4"/>
      </w:pPr>
      <w:bookmarkStart w:id="2379" w:name="_Toc280630289"/>
      <w:r w:rsidRPr="001D5327">
        <w:t>Grassland remaining grassland</w:t>
      </w:r>
      <w:bookmarkEnd w:id="2376"/>
      <w:bookmarkEnd w:id="2377"/>
      <w:bookmarkEnd w:id="2378"/>
      <w:bookmarkEnd w:id="2379"/>
      <w:r w:rsidRPr="001D5327">
        <w:t xml:space="preserve"> (4.C.1)</w:t>
      </w:r>
    </w:p>
    <w:p w14:paraId="26FEA1E1" w14:textId="5C99A2F5" w:rsidR="00E0181F" w:rsidRPr="001D5327" w:rsidRDefault="00E0181F" w:rsidP="00E0181F">
      <w:pPr>
        <w:pStyle w:val="BodyText"/>
      </w:pPr>
      <w:r w:rsidRPr="001D5327">
        <w:t xml:space="preserve">For </w:t>
      </w:r>
      <w:r w:rsidRPr="001D5327">
        <w:rPr>
          <w:i/>
        </w:rPr>
        <w:t>Grassland remaining grassland</w:t>
      </w:r>
      <w:r w:rsidRPr="001D5327">
        <w:t xml:space="preserve">, the Tier 1 assumption is there is no change in carbon stocks for </w:t>
      </w:r>
      <w:r w:rsidRPr="001D5327">
        <w:rPr>
          <w:i/>
          <w:iCs/>
        </w:rPr>
        <w:t>Grassland</w:t>
      </w:r>
      <w:r w:rsidRPr="001D5327">
        <w:t xml:space="preserve"> remaining in the same </w:t>
      </w:r>
      <w:r w:rsidRPr="001D5327">
        <w:rPr>
          <w:i/>
          <w:iCs/>
        </w:rPr>
        <w:t>Grassland</w:t>
      </w:r>
      <w:r w:rsidRPr="001D5327">
        <w:t xml:space="preserve"> category (section 6.2.1.1, IPCC, 2006a). The rationale is that, where management practices are static, carbon stocks will be in an approximately steady state; that is, carbon gain through plant growth is roughly balanced by</w:t>
      </w:r>
      <w:r w:rsidR="001023C6" w:rsidRPr="001D5327">
        <w:t> </w:t>
      </w:r>
      <w:r w:rsidRPr="001D5327">
        <w:t xml:space="preserve">losses from management. New Zealand has reported NA in the CRTs where there is no land-use change at the category level because no emissions or removals are assumed to have occurred. However, a significant area (427,856 hectares) is currently in a state of conversion from one </w:t>
      </w:r>
      <w:r w:rsidRPr="001D5327">
        <w:rPr>
          <w:i/>
          <w:iCs/>
        </w:rPr>
        <w:t>Grassland</w:t>
      </w:r>
      <w:r w:rsidRPr="001D5327">
        <w:t xml:space="preserve"> type to another. The carbon stock changes for these land-use changes are reported under </w:t>
      </w:r>
      <w:r w:rsidRPr="001D5327">
        <w:rPr>
          <w:i/>
        </w:rPr>
        <w:t>Grassland remaining grassland</w:t>
      </w:r>
      <w:r w:rsidRPr="001D5327">
        <w:t>.</w:t>
      </w:r>
    </w:p>
    <w:p w14:paraId="1195000B" w14:textId="77777777" w:rsidR="00E0181F" w:rsidRPr="001D5327" w:rsidRDefault="00E0181F" w:rsidP="00E0181F">
      <w:pPr>
        <w:pStyle w:val="Heading5"/>
      </w:pPr>
      <w:bookmarkStart w:id="2380" w:name="_Toc255466398"/>
      <w:bookmarkStart w:id="2381" w:name="_Toc261513205"/>
      <w:bookmarkStart w:id="2382" w:name="_Toc261513818"/>
      <w:bookmarkStart w:id="2383" w:name="_Toc280630290"/>
      <w:r w:rsidRPr="001D5327">
        <w:lastRenderedPageBreak/>
        <w:t>Living biomass</w:t>
      </w:r>
      <w:bookmarkEnd w:id="2380"/>
      <w:bookmarkEnd w:id="2381"/>
      <w:bookmarkEnd w:id="2382"/>
      <w:bookmarkEnd w:id="2383"/>
    </w:p>
    <w:p w14:paraId="1C2F6E87" w14:textId="77777777" w:rsidR="00E0181F" w:rsidRPr="001D5327" w:rsidRDefault="00E0181F" w:rsidP="00DF27DB">
      <w:pPr>
        <w:pStyle w:val="BodyText"/>
        <w:spacing w:before="80" w:after="100"/>
      </w:pPr>
      <w:r w:rsidRPr="001D5327">
        <w:t xml:space="preserve">To calculate carbon stock change in living biomass on land converted from one </w:t>
      </w:r>
      <w:r w:rsidRPr="001D5327">
        <w:rPr>
          <w:i/>
          <w:iCs/>
        </w:rPr>
        <w:t xml:space="preserve">Grassland </w:t>
      </w:r>
      <w:r w:rsidRPr="001D5327">
        <w:t xml:space="preserve">category to another (e.g., </w:t>
      </w:r>
      <w:r w:rsidRPr="001D5327">
        <w:rPr>
          <w:i/>
          <w:iCs/>
        </w:rPr>
        <w:t>Low producing grassland</w:t>
      </w:r>
      <w:r w:rsidRPr="001D5327">
        <w:t xml:space="preserve"> converted to </w:t>
      </w:r>
      <w:r w:rsidRPr="001D5327">
        <w:rPr>
          <w:i/>
          <w:iCs/>
        </w:rPr>
        <w:t>High producing grassland</w:t>
      </w:r>
      <w:r w:rsidRPr="001D5327">
        <w:t xml:space="preserve">), it is assumed the carbon in living biomass immediately after conversion is zero; that is, the land is cleared of all vegetation. In the same year, carbon stocks in living biomass increase by the amount given in table 6.6.4, representing the annual growth in biomass for land converted to another land use. </w:t>
      </w:r>
    </w:p>
    <w:p w14:paraId="62B00449" w14:textId="77777777" w:rsidR="00E0181F" w:rsidRPr="001D5327" w:rsidRDefault="00E0181F" w:rsidP="00E0181F">
      <w:pPr>
        <w:pStyle w:val="Heading5"/>
      </w:pPr>
      <w:bookmarkStart w:id="2384" w:name="_Toc255466399"/>
      <w:bookmarkStart w:id="2385" w:name="_Toc261513206"/>
      <w:bookmarkStart w:id="2386" w:name="_Toc261513819"/>
      <w:bookmarkStart w:id="2387" w:name="_Toc280630291"/>
      <w:r w:rsidRPr="001D5327">
        <w:t>Dead organic matter</w:t>
      </w:r>
      <w:bookmarkEnd w:id="2384"/>
      <w:bookmarkEnd w:id="2385"/>
      <w:bookmarkEnd w:id="2386"/>
      <w:bookmarkEnd w:id="2387"/>
    </w:p>
    <w:p w14:paraId="15A15D28" w14:textId="77777777" w:rsidR="00E0181F" w:rsidRPr="001D5327" w:rsidRDefault="00E0181F" w:rsidP="00D30635">
      <w:pPr>
        <w:pStyle w:val="BodyText"/>
        <w:spacing w:before="100" w:after="100"/>
      </w:pPr>
      <w:r w:rsidRPr="001D5327">
        <w:t xml:space="preserve">New Zealand does not report estimates of dead organic matter for </w:t>
      </w:r>
      <w:r w:rsidRPr="001D5327">
        <w:rPr>
          <w:i/>
          <w:iCs/>
        </w:rPr>
        <w:t>H</w:t>
      </w:r>
      <w:r w:rsidRPr="001D5327">
        <w:rPr>
          <w:i/>
        </w:rPr>
        <w:t>igh producing grassland</w:t>
      </w:r>
      <w:r w:rsidRPr="001D5327">
        <w:t xml:space="preserve"> or </w:t>
      </w:r>
      <w:r w:rsidRPr="001D5327">
        <w:rPr>
          <w:i/>
          <w:iCs/>
        </w:rPr>
        <w:t>L</w:t>
      </w:r>
      <w:r w:rsidRPr="001D5327">
        <w:rPr>
          <w:i/>
        </w:rPr>
        <w:t>ow producing grassland</w:t>
      </w:r>
      <w:r w:rsidRPr="001D5327">
        <w:t xml:space="preserve"> because there are no Tier 1 defaults provided in the 2006 IPCC Guidelines (IPCC, 2006a). There is insufficient information to develop default coefficients for estimating the dead organic matter pool for these two categories (IPCC, 2006a). The notation key NE is used in the CRTs. </w:t>
      </w:r>
    </w:p>
    <w:p w14:paraId="6A7F8BF0" w14:textId="77777777" w:rsidR="00E0181F" w:rsidRPr="001D5327" w:rsidRDefault="00E0181F" w:rsidP="00D30635">
      <w:pPr>
        <w:pStyle w:val="BodyText"/>
        <w:spacing w:before="100" w:after="100"/>
      </w:pPr>
      <w:r w:rsidRPr="001D5327">
        <w:t xml:space="preserve">For </w:t>
      </w:r>
      <w:r w:rsidRPr="001D5327">
        <w:rPr>
          <w:i/>
          <w:iCs/>
        </w:rPr>
        <w:t>Grassland with woody biomass</w:t>
      </w:r>
      <w:r w:rsidRPr="001D5327">
        <w:t>, an estimate of dead organic matter is derived from the LUCAS national plot network (Wakelin and Beets, unpublished), and estimates of changes in dead organic matter stocks with conversion to and from this land use are reported.</w:t>
      </w:r>
    </w:p>
    <w:p w14:paraId="3A28702C" w14:textId="77777777" w:rsidR="00E0181F" w:rsidRPr="001D5327" w:rsidRDefault="00E0181F" w:rsidP="00DF27DB">
      <w:pPr>
        <w:pStyle w:val="Heading5"/>
        <w:spacing w:before="180"/>
      </w:pPr>
      <w:bookmarkStart w:id="2388" w:name="_Toc255466400"/>
      <w:bookmarkStart w:id="2389" w:name="_Toc261513207"/>
      <w:bookmarkStart w:id="2390" w:name="_Toc261513820"/>
      <w:bookmarkStart w:id="2391" w:name="_Toc280630292"/>
      <w:r w:rsidRPr="001D5327">
        <w:t>Soil organic carbon</w:t>
      </w:r>
      <w:bookmarkEnd w:id="2388"/>
      <w:bookmarkEnd w:id="2389"/>
      <w:bookmarkEnd w:id="2390"/>
      <w:bookmarkEnd w:id="2391"/>
      <w:r w:rsidRPr="001D5327">
        <w:t xml:space="preserve"> </w:t>
      </w:r>
    </w:p>
    <w:p w14:paraId="3C6416BC" w14:textId="77777777" w:rsidR="00E0181F" w:rsidRPr="001D5327" w:rsidRDefault="00E0181F" w:rsidP="00D30635">
      <w:pPr>
        <w:pStyle w:val="BodyText"/>
        <w:spacing w:before="100" w:after="100"/>
      </w:pPr>
      <w:bookmarkStart w:id="2392" w:name="_Toc255466401"/>
      <w:bookmarkStart w:id="2393" w:name="_Toc261513208"/>
      <w:bookmarkStart w:id="2394" w:name="_Toc261513821"/>
      <w:r w:rsidRPr="001D5327">
        <w:t xml:space="preserve">Soil organic carbon stocks in </w:t>
      </w:r>
      <w:r w:rsidRPr="001D5327">
        <w:rPr>
          <w:i/>
        </w:rPr>
        <w:t>Grassland remaining grassland</w:t>
      </w:r>
      <w:r w:rsidRPr="001D5327">
        <w:t xml:space="preserve"> are estimated using a Tier 2 method for mineral soils and a Tier 1 method for organic soils (see annex 5, section A5.2.4). </w:t>
      </w:r>
      <w:bookmarkStart w:id="2395" w:name="_Toc255466404"/>
      <w:bookmarkStart w:id="2396" w:name="_Toc261513211"/>
      <w:bookmarkStart w:id="2397" w:name="_Toc261513824"/>
      <w:bookmarkStart w:id="2398" w:name="_Toc280630295"/>
      <w:bookmarkEnd w:id="2392"/>
      <w:bookmarkEnd w:id="2393"/>
      <w:bookmarkEnd w:id="2394"/>
    </w:p>
    <w:p w14:paraId="66C90076" w14:textId="77777777" w:rsidR="00E0181F" w:rsidRPr="001D5327" w:rsidRDefault="00E0181F" w:rsidP="00E0181F">
      <w:pPr>
        <w:pStyle w:val="Heading5"/>
      </w:pPr>
      <w:r w:rsidRPr="001D5327">
        <w:t>Non-CO</w:t>
      </w:r>
      <w:r w:rsidRPr="001D5327">
        <w:rPr>
          <w:vertAlign w:val="subscript"/>
        </w:rPr>
        <w:t>2</w:t>
      </w:r>
      <w:r w:rsidRPr="001D5327">
        <w:t xml:space="preserve"> emissions</w:t>
      </w:r>
    </w:p>
    <w:p w14:paraId="4823AAB9" w14:textId="77777777" w:rsidR="00E0181F" w:rsidRPr="001D5327" w:rsidRDefault="00E0181F" w:rsidP="00D30635">
      <w:pPr>
        <w:pStyle w:val="BodyText"/>
        <w:spacing w:before="100" w:after="100"/>
      </w:pPr>
      <w:r w:rsidRPr="001D5327">
        <w:t>Direct and indirect N</w:t>
      </w:r>
      <w:r w:rsidRPr="001D5327">
        <w:rPr>
          <w:vertAlign w:val="subscript"/>
        </w:rPr>
        <w:t>2</w:t>
      </w:r>
      <w:r w:rsidRPr="001D5327">
        <w:t xml:space="preserve">O emissions occurring as a result of nitrogen inputs, as well as drainage of managed soils, in </w:t>
      </w:r>
      <w:r w:rsidRPr="001D5327">
        <w:rPr>
          <w:i/>
        </w:rPr>
        <w:t>Grassland remaining grassland</w:t>
      </w:r>
      <w:r w:rsidRPr="001D5327">
        <w:t xml:space="preserve"> are reported under the Agriculture sector. </w:t>
      </w:r>
    </w:p>
    <w:p w14:paraId="1B595EB7" w14:textId="77777777" w:rsidR="00E0181F" w:rsidRPr="001D5327" w:rsidRDefault="00E0181F" w:rsidP="00E0181F">
      <w:pPr>
        <w:pStyle w:val="Heading4"/>
      </w:pPr>
      <w:r w:rsidRPr="001D5327">
        <w:t>Land converted to grassland</w:t>
      </w:r>
      <w:bookmarkEnd w:id="2395"/>
      <w:bookmarkEnd w:id="2396"/>
      <w:bookmarkEnd w:id="2397"/>
      <w:bookmarkEnd w:id="2398"/>
      <w:r w:rsidRPr="001D5327">
        <w:t xml:space="preserve"> (4.C.2)</w:t>
      </w:r>
    </w:p>
    <w:p w14:paraId="4E934E59" w14:textId="77777777" w:rsidR="00E0181F" w:rsidRPr="001D5327" w:rsidRDefault="00E0181F" w:rsidP="00E0181F">
      <w:pPr>
        <w:pStyle w:val="Heading5"/>
        <w:spacing w:before="180"/>
      </w:pPr>
      <w:bookmarkStart w:id="2399" w:name="_Toc255466405"/>
      <w:bookmarkStart w:id="2400" w:name="_Toc261513212"/>
      <w:bookmarkStart w:id="2401" w:name="_Toc261513825"/>
      <w:bookmarkStart w:id="2402" w:name="_Toc280630296"/>
      <w:r w:rsidRPr="001D5327">
        <w:t>Living biomass</w:t>
      </w:r>
      <w:bookmarkEnd w:id="2399"/>
      <w:bookmarkEnd w:id="2400"/>
      <w:bookmarkEnd w:id="2401"/>
      <w:bookmarkEnd w:id="2402"/>
    </w:p>
    <w:p w14:paraId="04318B32" w14:textId="77777777" w:rsidR="00E0181F" w:rsidRPr="001D5327" w:rsidRDefault="00E0181F" w:rsidP="00D30635">
      <w:pPr>
        <w:pStyle w:val="BodyText"/>
        <w:spacing w:before="100" w:after="100"/>
      </w:pPr>
      <w:r w:rsidRPr="001D5327">
        <w:t xml:space="preserve">New Zealand applies a Tier 1 method to calculate emissions for </w:t>
      </w:r>
      <w:r w:rsidRPr="001D5327">
        <w:rPr>
          <w:i/>
        </w:rPr>
        <w:t>Land converted to grassland</w:t>
      </w:r>
      <w:r w:rsidRPr="001D5327">
        <w:t xml:space="preserve">. The Tier 1 method multiplies the area of </w:t>
      </w:r>
      <w:r w:rsidRPr="001D5327">
        <w:rPr>
          <w:i/>
        </w:rPr>
        <w:t>Land converted to grassland</w:t>
      </w:r>
      <w:r w:rsidRPr="001D5327">
        <w:t xml:space="preserve"> annually by the carbon stock change per area for that type of conversion. </w:t>
      </w:r>
    </w:p>
    <w:p w14:paraId="7BB5AEFD" w14:textId="77777777" w:rsidR="00E0181F" w:rsidRPr="001D5327" w:rsidRDefault="00E0181F" w:rsidP="00D30635">
      <w:pPr>
        <w:pStyle w:val="BodyText"/>
        <w:spacing w:before="100" w:after="100"/>
      </w:pPr>
      <w:r w:rsidRPr="001D5327">
        <w:t xml:space="preserve">The Tier 1 method assumes carbon in living biomass immediately after conversion is zero; that is, the land is cleared of all vegetation at conversion and is instantly oxidised. The Tier 1 method also includes changes in carbon stocks from one year of growth from the </w:t>
      </w:r>
      <w:r w:rsidRPr="001D5327">
        <w:rPr>
          <w:i/>
          <w:iCs/>
        </w:rPr>
        <w:t>Grassland</w:t>
      </w:r>
      <w:r w:rsidRPr="001D5327">
        <w:t xml:space="preserve"> category that land was converted to in the year conversion takes place, as outlined in equation 2.9 of the 2006 IPCC Guidelines (IPCC, 2006a).</w:t>
      </w:r>
    </w:p>
    <w:p w14:paraId="04071819" w14:textId="77777777" w:rsidR="00E0181F" w:rsidRPr="001D5327" w:rsidRDefault="00E0181F" w:rsidP="00DF27DB">
      <w:pPr>
        <w:pStyle w:val="Heading5"/>
        <w:spacing w:before="180"/>
      </w:pPr>
      <w:bookmarkStart w:id="2403" w:name="_Toc255466406"/>
      <w:bookmarkStart w:id="2404" w:name="_Toc261513213"/>
      <w:bookmarkStart w:id="2405" w:name="_Toc261513826"/>
      <w:bookmarkStart w:id="2406" w:name="_Toc280630297"/>
      <w:r w:rsidRPr="001D5327">
        <w:t>Dead organic matter</w:t>
      </w:r>
      <w:bookmarkEnd w:id="2403"/>
      <w:bookmarkEnd w:id="2404"/>
      <w:bookmarkEnd w:id="2405"/>
      <w:bookmarkEnd w:id="2406"/>
    </w:p>
    <w:p w14:paraId="1F34380C" w14:textId="77777777" w:rsidR="00E0181F" w:rsidRPr="001D5327" w:rsidRDefault="00E0181F" w:rsidP="00DF27DB">
      <w:pPr>
        <w:pStyle w:val="BodyText"/>
        <w:spacing w:before="80" w:after="100"/>
      </w:pPr>
      <w:r w:rsidRPr="001D5327">
        <w:rPr>
          <w:spacing w:val="-2"/>
        </w:rPr>
        <w:t xml:space="preserve">For land conversion to </w:t>
      </w:r>
      <w:r w:rsidRPr="001D5327">
        <w:rPr>
          <w:i/>
          <w:iCs/>
          <w:spacing w:val="-2"/>
        </w:rPr>
        <w:t>H</w:t>
      </w:r>
      <w:r w:rsidRPr="001D5327">
        <w:rPr>
          <w:i/>
          <w:spacing w:val="-2"/>
        </w:rPr>
        <w:t xml:space="preserve">igh producing grassland </w:t>
      </w:r>
      <w:r w:rsidRPr="001D5327">
        <w:rPr>
          <w:spacing w:val="-2"/>
        </w:rPr>
        <w:t>and</w:t>
      </w:r>
      <w:r w:rsidRPr="001D5327">
        <w:rPr>
          <w:i/>
          <w:spacing w:val="-2"/>
        </w:rPr>
        <w:t xml:space="preserve"> </w:t>
      </w:r>
      <w:r w:rsidRPr="001D5327">
        <w:rPr>
          <w:i/>
          <w:iCs/>
          <w:spacing w:val="-2"/>
        </w:rPr>
        <w:t>L</w:t>
      </w:r>
      <w:r w:rsidRPr="001D5327">
        <w:rPr>
          <w:i/>
          <w:spacing w:val="-2"/>
        </w:rPr>
        <w:t>ow producing grassland</w:t>
      </w:r>
      <w:r w:rsidRPr="001D5327">
        <w:rPr>
          <w:spacing w:val="-2"/>
        </w:rPr>
        <w:t xml:space="preserve">, New Zealand reports only losses in dead organic matter. The losses are calculated based on the carbon in dead organic matter at the site before conversion to </w:t>
      </w:r>
      <w:r w:rsidRPr="001D5327">
        <w:rPr>
          <w:i/>
          <w:spacing w:val="-2"/>
        </w:rPr>
        <w:t>Grassland</w:t>
      </w:r>
      <w:r w:rsidRPr="001D5327">
        <w:rPr>
          <w:spacing w:val="-2"/>
        </w:rPr>
        <w:t xml:space="preserve">. It is assumed that, immediately after conversion, the carbon in the dead organic matter pool is zero (all carbon in dead organic matter before conversion is instantly oxidised in the year of conversion). New Zealand applies the Tier 1 default method to high and low producing grassland land uses, which assumes there is no dead wood or litter accumulating in </w:t>
      </w:r>
      <w:r w:rsidRPr="001D5327">
        <w:rPr>
          <w:i/>
          <w:spacing w:val="-2"/>
        </w:rPr>
        <w:t>Land converted to grassland</w:t>
      </w:r>
      <w:r w:rsidRPr="001D5327">
        <w:rPr>
          <w:spacing w:val="-2"/>
        </w:rPr>
        <w:t xml:space="preserve"> (IPCC, 2006a). Therefore, where there are no dead organic matter losses associated with the previous land use, the notation key NE is used in the CRTs, in accordance with Decision 24/CP.19 (UNFCCC, 2014</w:t>
      </w:r>
      <w:r w:rsidRPr="001D5327">
        <w:t>).</w:t>
      </w:r>
    </w:p>
    <w:p w14:paraId="3156EA58" w14:textId="77777777" w:rsidR="00E0181F" w:rsidRPr="001D5327" w:rsidRDefault="00E0181F" w:rsidP="00E0181F">
      <w:pPr>
        <w:pStyle w:val="BodyText"/>
      </w:pPr>
      <w:r w:rsidRPr="001D5327">
        <w:lastRenderedPageBreak/>
        <w:t xml:space="preserve">Where land is converted to </w:t>
      </w:r>
      <w:r w:rsidRPr="001D5327">
        <w:rPr>
          <w:i/>
          <w:iCs/>
        </w:rPr>
        <w:t>Grassland with woody biomass</w:t>
      </w:r>
      <w:r w:rsidRPr="001D5327">
        <w:t>, dead organic matter accumulates to 0.65 tonnes C ha</w:t>
      </w:r>
      <w:r w:rsidRPr="001D5327">
        <w:rPr>
          <w:vertAlign w:val="superscript"/>
        </w:rPr>
        <w:t>–1</w:t>
      </w:r>
      <w:r w:rsidRPr="001D5327">
        <w:t xml:space="preserve"> (see table 6.6.4) over 20 years (the IPCC default period for land to reach steady state (IPCC, 2006a)).</w:t>
      </w:r>
    </w:p>
    <w:p w14:paraId="6E68FE78" w14:textId="77777777" w:rsidR="00E0181F" w:rsidRPr="001D5327" w:rsidRDefault="00E0181F" w:rsidP="00E0181F">
      <w:pPr>
        <w:pStyle w:val="Heading5"/>
      </w:pPr>
      <w:bookmarkStart w:id="2407" w:name="_Toc255466407"/>
      <w:bookmarkStart w:id="2408" w:name="_Toc261513214"/>
      <w:bookmarkStart w:id="2409" w:name="_Toc261513827"/>
      <w:bookmarkStart w:id="2410" w:name="_Toc280630298"/>
      <w:bookmarkStart w:id="2411" w:name="_Toc139253972"/>
      <w:r w:rsidRPr="001D5327">
        <w:t>Soil organic carbon</w:t>
      </w:r>
      <w:bookmarkEnd w:id="2407"/>
      <w:bookmarkEnd w:id="2408"/>
      <w:bookmarkEnd w:id="2409"/>
      <w:bookmarkEnd w:id="2410"/>
    </w:p>
    <w:p w14:paraId="4CF72CE4" w14:textId="77777777" w:rsidR="00E0181F" w:rsidRPr="001D5327" w:rsidRDefault="00E0181F" w:rsidP="00E0181F">
      <w:pPr>
        <w:pStyle w:val="BodyText"/>
      </w:pPr>
      <w:r w:rsidRPr="001D5327">
        <w:t xml:space="preserve">Soil organic carbon stocks in </w:t>
      </w:r>
      <w:r w:rsidRPr="001D5327">
        <w:rPr>
          <w:i/>
        </w:rPr>
        <w:t>Land converted to grassland</w:t>
      </w:r>
      <w:r w:rsidRPr="001D5327">
        <w:t xml:space="preserve"> are estimated using a Tier 2 method for mineral soils and a Tier 1 method for organic soils (see annex 5, section A5.2.4). </w:t>
      </w:r>
    </w:p>
    <w:p w14:paraId="418204DD" w14:textId="77777777" w:rsidR="00E0181F" w:rsidRPr="001D5327" w:rsidRDefault="00E0181F" w:rsidP="00E0181F">
      <w:pPr>
        <w:pStyle w:val="Heading5"/>
      </w:pPr>
      <w:r w:rsidRPr="001D5327">
        <w:t>Non-CO</w:t>
      </w:r>
      <w:r w:rsidRPr="001D5327">
        <w:rPr>
          <w:vertAlign w:val="subscript"/>
        </w:rPr>
        <w:t>2</w:t>
      </w:r>
      <w:r w:rsidRPr="001D5327">
        <w:t xml:space="preserve"> emissions</w:t>
      </w:r>
    </w:p>
    <w:p w14:paraId="34016A8D" w14:textId="77777777" w:rsidR="00E0181F" w:rsidRPr="001D5327" w:rsidRDefault="00E0181F" w:rsidP="00E0181F">
      <w:pPr>
        <w:pStyle w:val="BodyText"/>
      </w:pPr>
      <w:r w:rsidRPr="001D5327">
        <w:t>Nitrous oxide emissions from disturbance associated with land use conversion to </w:t>
      </w:r>
      <w:r w:rsidRPr="001D5327">
        <w:rPr>
          <w:i/>
          <w:iCs/>
        </w:rPr>
        <w:t xml:space="preserve">Grassland </w:t>
      </w:r>
      <w:r w:rsidRPr="001D5327">
        <w:t xml:space="preserve">and land use management are described in section 6.11. </w:t>
      </w:r>
    </w:p>
    <w:p w14:paraId="35617C03" w14:textId="77777777" w:rsidR="00E0181F" w:rsidRPr="001D5327" w:rsidRDefault="00E0181F" w:rsidP="00E0181F">
      <w:pPr>
        <w:pStyle w:val="Heading3"/>
      </w:pPr>
      <w:bookmarkStart w:id="2412" w:name="_Toc255466410"/>
      <w:bookmarkStart w:id="2413" w:name="_Toc261513217"/>
      <w:bookmarkStart w:id="2414" w:name="_Toc261513830"/>
      <w:bookmarkStart w:id="2415" w:name="_Toc280630300"/>
      <w:r w:rsidRPr="001D5327">
        <w:t>6.6.3</w:t>
      </w:r>
      <w:r w:rsidRPr="001D5327">
        <w:tab/>
        <w:t>Uncertainty assessment and time-series consistency</w:t>
      </w:r>
      <w:bookmarkEnd w:id="2411"/>
      <w:bookmarkEnd w:id="2412"/>
      <w:bookmarkEnd w:id="2413"/>
      <w:bookmarkEnd w:id="2414"/>
      <w:bookmarkEnd w:id="2415"/>
    </w:p>
    <w:p w14:paraId="77DF624B" w14:textId="77777777" w:rsidR="00E0181F" w:rsidRPr="001D5327" w:rsidRDefault="00E0181F" w:rsidP="00E0181F">
      <w:pPr>
        <w:pStyle w:val="BodyText"/>
        <w:keepLines/>
      </w:pPr>
      <w:bookmarkStart w:id="2416" w:name="_Hlk73364961"/>
      <w:r w:rsidRPr="001D5327">
        <w:t xml:space="preserve">The uncertainty in net carbon emissions from </w:t>
      </w:r>
      <w:r w:rsidRPr="001D5327">
        <w:rPr>
          <w:i/>
        </w:rPr>
        <w:t>Grassland</w:t>
      </w:r>
      <w:r w:rsidRPr="001D5327">
        <w:t xml:space="preserve"> was 40.9 per cent in 2023. The uncertainty in net carbon emissions from </w:t>
      </w:r>
      <w:r w:rsidRPr="001D5327">
        <w:rPr>
          <w:i/>
        </w:rPr>
        <w:t>Grassland</w:t>
      </w:r>
      <w:r w:rsidRPr="001D5327">
        <w:t xml:space="preserve"> accounted for 5.8 per cent of the total uncertainty in emissions from the LULUCF sector. The uncertainty associated with the emissions from each </w:t>
      </w:r>
      <w:r w:rsidRPr="001D5327">
        <w:rPr>
          <w:i/>
        </w:rPr>
        <w:t>Grassland</w:t>
      </w:r>
      <w:r w:rsidRPr="001D5327">
        <w:t xml:space="preserve"> class is shown in table 6.6.5. The methods used to calculate the uncertainty are further described in annex 5, section A5.2.8. </w:t>
      </w:r>
    </w:p>
    <w:p w14:paraId="4FCAC3F7" w14:textId="77777777" w:rsidR="00E0181F" w:rsidRPr="001D5327" w:rsidRDefault="00E0181F" w:rsidP="00E0181F">
      <w:pPr>
        <w:pStyle w:val="BodyText"/>
      </w:pPr>
      <w:r w:rsidRPr="001D5327">
        <w:t xml:space="preserve">Time-series consistency is ensured by applying consistent methods and full recalculations in the event of any refinement or improvement to methodology. </w:t>
      </w:r>
    </w:p>
    <w:p w14:paraId="30CCCA26" w14:textId="77777777" w:rsidR="00E0181F" w:rsidRPr="001D5327" w:rsidRDefault="00E0181F" w:rsidP="00E0181F">
      <w:pPr>
        <w:pStyle w:val="Table"/>
      </w:pPr>
      <w:bookmarkStart w:id="2417" w:name="_Toc131591412"/>
      <w:bookmarkStart w:id="2418" w:name="_Toc158979970"/>
      <w:bookmarkStart w:id="2419" w:name="_Toc164153903"/>
      <w:bookmarkStart w:id="2420" w:name="_Toc190873137"/>
      <w:bookmarkStart w:id="2421" w:name="_Toc194241776"/>
      <w:r w:rsidRPr="001D5327">
        <w:t>Table 6.6.5</w:t>
      </w:r>
      <w:r w:rsidRPr="001D5327">
        <w:tab/>
        <w:t xml:space="preserve">Uncertainty in carbon stock change emissions in 2023 for </w:t>
      </w:r>
      <w:r w:rsidRPr="001D5327">
        <w:rPr>
          <w:i/>
        </w:rPr>
        <w:t>Grassland</w:t>
      </w:r>
      <w:bookmarkEnd w:id="2417"/>
      <w:bookmarkEnd w:id="2418"/>
      <w:bookmarkEnd w:id="2419"/>
      <w:bookmarkEnd w:id="2420"/>
      <w:bookmarkEnd w:id="2421"/>
      <w:r w:rsidRPr="001D5327">
        <w:t xml:space="preserve"> </w:t>
      </w:r>
    </w:p>
    <w:tbl>
      <w:tblPr>
        <w:tblW w:w="8505" w:type="dxa"/>
        <w:tblLayout w:type="fixed"/>
        <w:tblLook w:val="04A0" w:firstRow="1" w:lastRow="0" w:firstColumn="1" w:lastColumn="0" w:noHBand="0" w:noVBand="1"/>
      </w:tblPr>
      <w:tblGrid>
        <w:gridCol w:w="2851"/>
        <w:gridCol w:w="1883"/>
        <w:gridCol w:w="1883"/>
        <w:gridCol w:w="1888"/>
      </w:tblGrid>
      <w:tr w:rsidR="00E0181F" w:rsidRPr="001D5327" w14:paraId="1FC19D3A" w14:textId="77777777" w:rsidTr="00D11AC9">
        <w:tc>
          <w:tcPr>
            <w:tcW w:w="2851" w:type="dxa"/>
            <w:tcBorders>
              <w:top w:val="single" w:sz="4" w:space="0" w:color="1B556B" w:themeColor="text2"/>
              <w:bottom w:val="single" w:sz="4" w:space="0" w:color="1B556B" w:themeColor="text2"/>
            </w:tcBorders>
            <w:shd w:val="clear" w:color="auto" w:fill="1B556B" w:themeFill="text2"/>
            <w:vAlign w:val="bottom"/>
          </w:tcPr>
          <w:p w14:paraId="3B73F177" w14:textId="77777777" w:rsidR="00E0181F" w:rsidRPr="001D5327" w:rsidRDefault="00E0181F" w:rsidP="00D11AC9">
            <w:pPr>
              <w:pStyle w:val="TableTextBold"/>
              <w:keepNext/>
              <w:spacing w:before="40" w:after="40"/>
              <w:rPr>
                <w:noProof w:val="0"/>
                <w:color w:val="FFFFFF"/>
                <w:szCs w:val="16"/>
              </w:rPr>
            </w:pPr>
          </w:p>
        </w:tc>
        <w:tc>
          <w:tcPr>
            <w:tcW w:w="1883" w:type="dxa"/>
            <w:tcBorders>
              <w:top w:val="single" w:sz="4" w:space="0" w:color="1B556B" w:themeColor="text2"/>
              <w:bottom w:val="single" w:sz="4" w:space="0" w:color="1B556B" w:themeColor="text2"/>
            </w:tcBorders>
            <w:shd w:val="clear" w:color="auto" w:fill="1B556B" w:themeFill="text2"/>
            <w:vAlign w:val="bottom"/>
          </w:tcPr>
          <w:p w14:paraId="6A033E04" w14:textId="77777777" w:rsidR="00E0181F" w:rsidRPr="001D5327" w:rsidRDefault="00E0181F" w:rsidP="00D11AC9">
            <w:pPr>
              <w:pStyle w:val="TableTextBold"/>
              <w:spacing w:before="40" w:after="40"/>
              <w:jc w:val="right"/>
              <w:rPr>
                <w:noProof w:val="0"/>
                <w:color w:val="FFFFFF"/>
                <w:szCs w:val="16"/>
              </w:rPr>
            </w:pPr>
            <w:r w:rsidRPr="001D5327">
              <w:rPr>
                <w:noProof w:val="0"/>
                <w:color w:val="FFFFFF"/>
                <w:szCs w:val="16"/>
              </w:rPr>
              <w:t>Emissions (kt CO</w:t>
            </w:r>
            <w:r w:rsidRPr="001D5327">
              <w:rPr>
                <w:noProof w:val="0"/>
                <w:color w:val="FFFFFF"/>
                <w:szCs w:val="16"/>
                <w:vertAlign w:val="subscript"/>
              </w:rPr>
              <w:t>2</w:t>
            </w:r>
            <w:r w:rsidRPr="001D5327">
              <w:rPr>
                <w:noProof w:val="0"/>
                <w:color w:val="FFFFFF"/>
                <w:szCs w:val="16"/>
              </w:rPr>
              <w:t>-e)</w:t>
            </w:r>
          </w:p>
        </w:tc>
        <w:tc>
          <w:tcPr>
            <w:tcW w:w="1883" w:type="dxa"/>
            <w:tcBorders>
              <w:top w:val="single" w:sz="4" w:space="0" w:color="1B556B" w:themeColor="text2"/>
              <w:bottom w:val="single" w:sz="4" w:space="0" w:color="1B556B" w:themeColor="text2"/>
            </w:tcBorders>
            <w:shd w:val="clear" w:color="auto" w:fill="1B556B" w:themeFill="text2"/>
            <w:vAlign w:val="bottom"/>
          </w:tcPr>
          <w:p w14:paraId="196F0CDA" w14:textId="77777777" w:rsidR="00E0181F" w:rsidRPr="001D5327" w:rsidRDefault="00E0181F" w:rsidP="00D11AC9">
            <w:pPr>
              <w:pStyle w:val="TableTextBold"/>
              <w:spacing w:before="40" w:after="40"/>
              <w:jc w:val="right"/>
              <w:rPr>
                <w:noProof w:val="0"/>
                <w:color w:val="FFFFFF"/>
                <w:szCs w:val="16"/>
              </w:rPr>
            </w:pPr>
            <w:r w:rsidRPr="001D5327">
              <w:rPr>
                <w:noProof w:val="0"/>
                <w:color w:val="FFFFFF"/>
                <w:szCs w:val="16"/>
              </w:rPr>
              <w:t>Uncertainty in emissions (%)</w:t>
            </w:r>
          </w:p>
        </w:tc>
        <w:tc>
          <w:tcPr>
            <w:tcW w:w="1888" w:type="dxa"/>
            <w:tcBorders>
              <w:top w:val="single" w:sz="4" w:space="0" w:color="1B556B" w:themeColor="text2"/>
              <w:bottom w:val="single" w:sz="4" w:space="0" w:color="1B556B" w:themeColor="text2"/>
            </w:tcBorders>
            <w:shd w:val="clear" w:color="auto" w:fill="1B556B" w:themeFill="text2"/>
            <w:vAlign w:val="bottom"/>
          </w:tcPr>
          <w:p w14:paraId="544CC22A" w14:textId="77777777" w:rsidR="00E0181F" w:rsidRPr="001D5327" w:rsidRDefault="00E0181F" w:rsidP="00D11AC9">
            <w:pPr>
              <w:pStyle w:val="TableTextBold"/>
              <w:spacing w:before="40" w:after="40"/>
              <w:jc w:val="right"/>
              <w:rPr>
                <w:noProof w:val="0"/>
                <w:color w:val="FFFFFF"/>
                <w:szCs w:val="16"/>
              </w:rPr>
            </w:pPr>
            <w:r w:rsidRPr="001D5327">
              <w:rPr>
                <w:noProof w:val="0"/>
                <w:color w:val="FFFFFF"/>
                <w:szCs w:val="16"/>
              </w:rPr>
              <w:t>Contribution to LULUCF uncertainty (%)</w:t>
            </w:r>
          </w:p>
        </w:tc>
      </w:tr>
      <w:tr w:rsidR="00E0181F" w:rsidRPr="001D5327" w14:paraId="5E74127D" w14:textId="77777777" w:rsidTr="00D11AC9">
        <w:tc>
          <w:tcPr>
            <w:tcW w:w="2851" w:type="dxa"/>
            <w:tcBorders>
              <w:top w:val="single" w:sz="4" w:space="0" w:color="1B556B" w:themeColor="text2"/>
              <w:bottom w:val="single" w:sz="4" w:space="0" w:color="1B556B" w:themeColor="text2"/>
            </w:tcBorders>
          </w:tcPr>
          <w:p w14:paraId="61B976FC" w14:textId="77777777" w:rsidR="00E0181F" w:rsidRPr="001D5327" w:rsidRDefault="00E0181F" w:rsidP="00D11AC9">
            <w:pPr>
              <w:pStyle w:val="TableText"/>
              <w:spacing w:before="40" w:after="40"/>
              <w:rPr>
                <w:szCs w:val="16"/>
              </w:rPr>
            </w:pPr>
            <w:r w:rsidRPr="001D5327">
              <w:rPr>
                <w:szCs w:val="16"/>
              </w:rPr>
              <w:t>Grassland – low producing</w:t>
            </w:r>
          </w:p>
        </w:tc>
        <w:tc>
          <w:tcPr>
            <w:tcW w:w="1883" w:type="dxa"/>
            <w:tcBorders>
              <w:top w:val="single" w:sz="4" w:space="0" w:color="1B556B" w:themeColor="text2"/>
              <w:bottom w:val="single" w:sz="4" w:space="0" w:color="1B556B" w:themeColor="text2"/>
            </w:tcBorders>
            <w:vAlign w:val="bottom"/>
          </w:tcPr>
          <w:p w14:paraId="2316953D" w14:textId="77777777" w:rsidR="00E0181F" w:rsidRPr="001D5327" w:rsidRDefault="00E0181F" w:rsidP="00D11AC9">
            <w:pPr>
              <w:pStyle w:val="TableText"/>
              <w:spacing w:before="40" w:after="40"/>
              <w:jc w:val="right"/>
              <w:rPr>
                <w:szCs w:val="16"/>
              </w:rPr>
            </w:pPr>
            <w:r w:rsidRPr="001D5327">
              <w:rPr>
                <w:rFonts w:cs="Calibri"/>
                <w:color w:val="000000"/>
                <w:szCs w:val="16"/>
              </w:rPr>
              <w:t>1,792.7</w:t>
            </w:r>
          </w:p>
        </w:tc>
        <w:tc>
          <w:tcPr>
            <w:tcW w:w="1883" w:type="dxa"/>
            <w:tcBorders>
              <w:top w:val="single" w:sz="4" w:space="0" w:color="1B556B" w:themeColor="text2"/>
              <w:bottom w:val="single" w:sz="4" w:space="0" w:color="1B556B" w:themeColor="text2"/>
            </w:tcBorders>
            <w:vAlign w:val="bottom"/>
          </w:tcPr>
          <w:p w14:paraId="34680A05" w14:textId="77777777" w:rsidR="00E0181F" w:rsidRPr="001D5327" w:rsidRDefault="00E0181F" w:rsidP="00D11AC9">
            <w:pPr>
              <w:pStyle w:val="TableText"/>
              <w:spacing w:before="40" w:after="40"/>
              <w:jc w:val="right"/>
              <w:rPr>
                <w:rFonts w:cs="Segoe UI"/>
                <w:szCs w:val="16"/>
              </w:rPr>
            </w:pPr>
            <w:r w:rsidRPr="001D5327">
              <w:rPr>
                <w:rFonts w:cs="Calibri"/>
                <w:color w:val="000000"/>
                <w:szCs w:val="16"/>
              </w:rPr>
              <w:t>63.0</w:t>
            </w:r>
          </w:p>
        </w:tc>
        <w:tc>
          <w:tcPr>
            <w:tcW w:w="1888" w:type="dxa"/>
            <w:tcBorders>
              <w:top w:val="single" w:sz="4" w:space="0" w:color="1B556B" w:themeColor="text2"/>
              <w:bottom w:val="single" w:sz="4" w:space="0" w:color="1B556B" w:themeColor="text2"/>
            </w:tcBorders>
            <w:vAlign w:val="bottom"/>
          </w:tcPr>
          <w:p w14:paraId="165538E3" w14:textId="77777777" w:rsidR="00E0181F" w:rsidRPr="001D5327" w:rsidRDefault="00E0181F" w:rsidP="00D11AC9">
            <w:pPr>
              <w:pStyle w:val="TableText"/>
              <w:spacing w:before="40" w:after="40"/>
              <w:jc w:val="right"/>
              <w:rPr>
                <w:rFonts w:cs="Segoe UI"/>
                <w:szCs w:val="16"/>
              </w:rPr>
            </w:pPr>
            <w:r w:rsidRPr="001D5327">
              <w:rPr>
                <w:rFonts w:cs="Calibri"/>
                <w:color w:val="000000"/>
                <w:szCs w:val="16"/>
              </w:rPr>
              <w:t>5.6</w:t>
            </w:r>
          </w:p>
        </w:tc>
      </w:tr>
      <w:tr w:rsidR="00E0181F" w:rsidRPr="001D5327" w14:paraId="2EEC55AE" w14:textId="77777777" w:rsidTr="00D11AC9">
        <w:tc>
          <w:tcPr>
            <w:tcW w:w="2851" w:type="dxa"/>
            <w:tcBorders>
              <w:top w:val="single" w:sz="4" w:space="0" w:color="1B556B" w:themeColor="text2"/>
              <w:bottom w:val="single" w:sz="4" w:space="0" w:color="1B556B" w:themeColor="text2"/>
            </w:tcBorders>
          </w:tcPr>
          <w:p w14:paraId="25F61DD4" w14:textId="77777777" w:rsidR="00E0181F" w:rsidRPr="001D5327" w:rsidRDefault="00E0181F" w:rsidP="00D11AC9">
            <w:pPr>
              <w:pStyle w:val="TableText"/>
              <w:spacing w:before="40" w:after="40"/>
              <w:rPr>
                <w:szCs w:val="16"/>
              </w:rPr>
            </w:pPr>
            <w:r w:rsidRPr="001D5327">
              <w:rPr>
                <w:szCs w:val="16"/>
              </w:rPr>
              <w:t>Grassland – high producing</w:t>
            </w:r>
          </w:p>
        </w:tc>
        <w:tc>
          <w:tcPr>
            <w:tcW w:w="1883" w:type="dxa"/>
            <w:tcBorders>
              <w:top w:val="single" w:sz="4" w:space="0" w:color="1B556B" w:themeColor="text2"/>
              <w:bottom w:val="single" w:sz="4" w:space="0" w:color="1B556B" w:themeColor="text2"/>
            </w:tcBorders>
            <w:vAlign w:val="bottom"/>
          </w:tcPr>
          <w:p w14:paraId="6DE30E60" w14:textId="77777777" w:rsidR="00E0181F" w:rsidRPr="001D5327" w:rsidRDefault="00E0181F" w:rsidP="00D11AC9">
            <w:pPr>
              <w:pStyle w:val="TableText"/>
              <w:spacing w:before="40" w:after="40"/>
              <w:jc w:val="right"/>
              <w:rPr>
                <w:szCs w:val="16"/>
              </w:rPr>
            </w:pPr>
            <w:r w:rsidRPr="001D5327">
              <w:rPr>
                <w:rFonts w:cs="Calibri"/>
                <w:color w:val="000000"/>
                <w:szCs w:val="16"/>
              </w:rPr>
              <w:t>663.4</w:t>
            </w:r>
          </w:p>
        </w:tc>
        <w:tc>
          <w:tcPr>
            <w:tcW w:w="1883" w:type="dxa"/>
            <w:tcBorders>
              <w:top w:val="single" w:sz="4" w:space="0" w:color="1B556B" w:themeColor="text2"/>
              <w:bottom w:val="single" w:sz="4" w:space="0" w:color="1B556B" w:themeColor="text2"/>
            </w:tcBorders>
            <w:vAlign w:val="bottom"/>
          </w:tcPr>
          <w:p w14:paraId="3AAB7A34" w14:textId="77777777" w:rsidR="00E0181F" w:rsidRPr="001D5327" w:rsidRDefault="00E0181F" w:rsidP="00D11AC9">
            <w:pPr>
              <w:pStyle w:val="TableText"/>
              <w:spacing w:before="40" w:after="40"/>
              <w:jc w:val="right"/>
              <w:rPr>
                <w:rFonts w:cs="Segoe UI"/>
                <w:szCs w:val="16"/>
              </w:rPr>
            </w:pPr>
            <w:r w:rsidRPr="001D5327">
              <w:rPr>
                <w:rFonts w:cs="Calibri"/>
                <w:color w:val="000000"/>
                <w:szCs w:val="16"/>
              </w:rPr>
              <w:t>22.1</w:t>
            </w:r>
          </w:p>
        </w:tc>
        <w:tc>
          <w:tcPr>
            <w:tcW w:w="1888" w:type="dxa"/>
            <w:tcBorders>
              <w:top w:val="single" w:sz="4" w:space="0" w:color="1B556B" w:themeColor="text2"/>
              <w:bottom w:val="single" w:sz="4" w:space="0" w:color="1B556B" w:themeColor="text2"/>
            </w:tcBorders>
            <w:vAlign w:val="bottom"/>
          </w:tcPr>
          <w:p w14:paraId="5F7BE425" w14:textId="77777777" w:rsidR="00E0181F" w:rsidRPr="001D5327" w:rsidRDefault="00E0181F" w:rsidP="00D11AC9">
            <w:pPr>
              <w:pStyle w:val="TableText"/>
              <w:spacing w:before="40" w:after="40"/>
              <w:jc w:val="right"/>
              <w:rPr>
                <w:rFonts w:cs="Segoe UI"/>
                <w:szCs w:val="16"/>
              </w:rPr>
            </w:pPr>
            <w:r w:rsidRPr="001D5327">
              <w:rPr>
                <w:rFonts w:cs="Calibri"/>
                <w:color w:val="000000"/>
                <w:szCs w:val="16"/>
              </w:rPr>
              <w:t>0.7</w:t>
            </w:r>
          </w:p>
        </w:tc>
      </w:tr>
      <w:tr w:rsidR="00E0181F" w:rsidRPr="001D5327" w14:paraId="2E75CA13" w14:textId="77777777" w:rsidTr="00D11AC9">
        <w:tc>
          <w:tcPr>
            <w:tcW w:w="2851" w:type="dxa"/>
            <w:tcBorders>
              <w:top w:val="single" w:sz="4" w:space="0" w:color="1B556B" w:themeColor="text2"/>
              <w:bottom w:val="single" w:sz="4" w:space="0" w:color="1B556B" w:themeColor="text2"/>
            </w:tcBorders>
          </w:tcPr>
          <w:p w14:paraId="3B9FBFD0" w14:textId="77777777" w:rsidR="00E0181F" w:rsidRPr="001D5327" w:rsidRDefault="00E0181F" w:rsidP="00D11AC9">
            <w:pPr>
              <w:pStyle w:val="TableText"/>
              <w:spacing w:before="40" w:after="40"/>
              <w:rPr>
                <w:szCs w:val="16"/>
              </w:rPr>
            </w:pPr>
            <w:r w:rsidRPr="001D5327">
              <w:rPr>
                <w:szCs w:val="16"/>
              </w:rPr>
              <w:t>Grassland – with woody biomass</w:t>
            </w:r>
          </w:p>
        </w:tc>
        <w:tc>
          <w:tcPr>
            <w:tcW w:w="1883" w:type="dxa"/>
            <w:tcBorders>
              <w:top w:val="single" w:sz="4" w:space="0" w:color="1B556B" w:themeColor="text2"/>
              <w:bottom w:val="single" w:sz="4" w:space="0" w:color="1B556B" w:themeColor="text2"/>
            </w:tcBorders>
            <w:vAlign w:val="bottom"/>
          </w:tcPr>
          <w:p w14:paraId="7A8E72F7" w14:textId="77777777" w:rsidR="00E0181F" w:rsidRPr="001D5327" w:rsidRDefault="00E0181F" w:rsidP="00D11AC9">
            <w:pPr>
              <w:pStyle w:val="TableText"/>
              <w:spacing w:before="40" w:after="40"/>
              <w:jc w:val="right"/>
              <w:rPr>
                <w:szCs w:val="16"/>
              </w:rPr>
            </w:pPr>
            <w:r w:rsidRPr="001D5327">
              <w:rPr>
                <w:rFonts w:cs="Calibri"/>
                <w:color w:val="000000"/>
                <w:szCs w:val="16"/>
              </w:rPr>
              <w:t>398.0</w:t>
            </w:r>
          </w:p>
        </w:tc>
        <w:tc>
          <w:tcPr>
            <w:tcW w:w="1883" w:type="dxa"/>
            <w:tcBorders>
              <w:top w:val="single" w:sz="4" w:space="0" w:color="1B556B" w:themeColor="text2"/>
              <w:bottom w:val="single" w:sz="4" w:space="0" w:color="1B556B" w:themeColor="text2"/>
            </w:tcBorders>
            <w:vAlign w:val="bottom"/>
          </w:tcPr>
          <w:p w14:paraId="45DD56DB" w14:textId="77777777" w:rsidR="00E0181F" w:rsidRPr="001D5327" w:rsidRDefault="00E0181F" w:rsidP="00D11AC9">
            <w:pPr>
              <w:pStyle w:val="TableText"/>
              <w:spacing w:before="40" w:after="40"/>
              <w:jc w:val="right"/>
              <w:rPr>
                <w:szCs w:val="16"/>
              </w:rPr>
            </w:pPr>
            <w:r w:rsidRPr="001D5327">
              <w:rPr>
                <w:rFonts w:cs="Calibri"/>
                <w:color w:val="000000"/>
                <w:szCs w:val="16"/>
              </w:rPr>
              <w:t>65.2</w:t>
            </w:r>
          </w:p>
        </w:tc>
        <w:tc>
          <w:tcPr>
            <w:tcW w:w="1888" w:type="dxa"/>
            <w:tcBorders>
              <w:top w:val="single" w:sz="4" w:space="0" w:color="1B556B" w:themeColor="text2"/>
              <w:bottom w:val="single" w:sz="4" w:space="0" w:color="1B556B" w:themeColor="text2"/>
            </w:tcBorders>
            <w:vAlign w:val="bottom"/>
          </w:tcPr>
          <w:p w14:paraId="5759E367" w14:textId="77777777" w:rsidR="00E0181F" w:rsidRPr="001D5327" w:rsidRDefault="00E0181F" w:rsidP="00D11AC9">
            <w:pPr>
              <w:pStyle w:val="TableText"/>
              <w:spacing w:before="40" w:after="40"/>
              <w:jc w:val="right"/>
              <w:rPr>
                <w:szCs w:val="16"/>
              </w:rPr>
            </w:pPr>
            <w:r w:rsidRPr="001D5327">
              <w:rPr>
                <w:rFonts w:cs="Calibri"/>
                <w:color w:val="000000"/>
                <w:szCs w:val="16"/>
              </w:rPr>
              <w:t>1.3</w:t>
            </w:r>
          </w:p>
        </w:tc>
      </w:tr>
      <w:tr w:rsidR="00E0181F" w:rsidRPr="001D5327" w14:paraId="54BFA700" w14:textId="77777777" w:rsidTr="00D11AC9">
        <w:tc>
          <w:tcPr>
            <w:tcW w:w="2851" w:type="dxa"/>
            <w:tcBorders>
              <w:top w:val="single" w:sz="4" w:space="0" w:color="1B556B" w:themeColor="text2"/>
              <w:bottom w:val="single" w:sz="4" w:space="0" w:color="1B556B" w:themeColor="text2"/>
            </w:tcBorders>
          </w:tcPr>
          <w:p w14:paraId="77D604B4" w14:textId="77777777" w:rsidR="00E0181F" w:rsidRPr="001D5327" w:rsidRDefault="00E0181F" w:rsidP="00FD533C">
            <w:pPr>
              <w:pStyle w:val="Tableboldblue"/>
              <w:spacing w:before="40" w:after="40"/>
            </w:pPr>
            <w:r w:rsidRPr="001D5327">
              <w:t xml:space="preserve">Total </w:t>
            </w:r>
          </w:p>
        </w:tc>
        <w:tc>
          <w:tcPr>
            <w:tcW w:w="1883" w:type="dxa"/>
            <w:tcBorders>
              <w:top w:val="single" w:sz="4" w:space="0" w:color="1B556B" w:themeColor="text2"/>
              <w:bottom w:val="single" w:sz="4" w:space="0" w:color="1B556B" w:themeColor="text2"/>
            </w:tcBorders>
            <w:vAlign w:val="bottom"/>
          </w:tcPr>
          <w:p w14:paraId="687F6A5E" w14:textId="77777777" w:rsidR="00E0181F" w:rsidRPr="001D5327" w:rsidRDefault="00E0181F" w:rsidP="00D11AC9">
            <w:pPr>
              <w:pStyle w:val="Tableboldblue"/>
              <w:spacing w:before="40" w:after="40"/>
              <w:jc w:val="right"/>
              <w:rPr>
                <w:rFonts w:cs="Calibri"/>
              </w:rPr>
            </w:pPr>
            <w:r w:rsidRPr="001D5327">
              <w:rPr>
                <w:rFonts w:cs="Calibri"/>
              </w:rPr>
              <w:t>2,854.1</w:t>
            </w:r>
          </w:p>
        </w:tc>
        <w:tc>
          <w:tcPr>
            <w:tcW w:w="1883" w:type="dxa"/>
            <w:tcBorders>
              <w:top w:val="single" w:sz="4" w:space="0" w:color="1B556B" w:themeColor="text2"/>
              <w:bottom w:val="single" w:sz="4" w:space="0" w:color="1B556B" w:themeColor="text2"/>
            </w:tcBorders>
            <w:vAlign w:val="bottom"/>
          </w:tcPr>
          <w:p w14:paraId="7B209773" w14:textId="77777777" w:rsidR="00E0181F" w:rsidRPr="001D5327" w:rsidRDefault="00E0181F" w:rsidP="00D11AC9">
            <w:pPr>
              <w:pStyle w:val="Tableboldblue"/>
              <w:spacing w:before="40" w:after="40"/>
              <w:jc w:val="right"/>
              <w:rPr>
                <w:rFonts w:cs="Calibri"/>
              </w:rPr>
            </w:pPr>
            <w:r w:rsidRPr="001D5327">
              <w:rPr>
                <w:rFonts w:cs="Calibri"/>
              </w:rPr>
              <w:t>40.9</w:t>
            </w:r>
          </w:p>
        </w:tc>
        <w:tc>
          <w:tcPr>
            <w:tcW w:w="1888" w:type="dxa"/>
            <w:tcBorders>
              <w:top w:val="single" w:sz="4" w:space="0" w:color="1B556B" w:themeColor="text2"/>
              <w:bottom w:val="single" w:sz="4" w:space="0" w:color="1B556B" w:themeColor="text2"/>
            </w:tcBorders>
            <w:vAlign w:val="bottom"/>
          </w:tcPr>
          <w:p w14:paraId="2C5F07EC" w14:textId="77777777" w:rsidR="00E0181F" w:rsidRPr="001D5327" w:rsidRDefault="00E0181F" w:rsidP="00D11AC9">
            <w:pPr>
              <w:pStyle w:val="Tableboldblue"/>
              <w:spacing w:before="40" w:after="40"/>
              <w:jc w:val="right"/>
              <w:rPr>
                <w:rFonts w:cs="Calibri"/>
              </w:rPr>
            </w:pPr>
            <w:r w:rsidRPr="001D5327">
              <w:rPr>
                <w:rFonts w:cs="Calibri"/>
              </w:rPr>
              <w:t>5.8</w:t>
            </w:r>
          </w:p>
        </w:tc>
      </w:tr>
    </w:tbl>
    <w:p w14:paraId="577682AA" w14:textId="77777777" w:rsidR="00E0181F" w:rsidRPr="001D5327" w:rsidRDefault="00E0181F" w:rsidP="00E041E6">
      <w:pPr>
        <w:pStyle w:val="Heading3"/>
        <w:spacing w:before="440"/>
      </w:pPr>
      <w:bookmarkStart w:id="2422" w:name="_Toc139253973"/>
      <w:bookmarkStart w:id="2423" w:name="_Toc255466411"/>
      <w:bookmarkStart w:id="2424" w:name="_Toc261513218"/>
      <w:bookmarkStart w:id="2425" w:name="_Toc261513831"/>
      <w:bookmarkStart w:id="2426" w:name="_Toc280630301"/>
      <w:bookmarkEnd w:id="2416"/>
      <w:r w:rsidRPr="001D5327">
        <w:t>6.6.4</w:t>
      </w:r>
      <w:r w:rsidRPr="001D5327">
        <w:tab/>
        <w:t>Category-specific QA/QC and verification</w:t>
      </w:r>
      <w:bookmarkEnd w:id="2422"/>
      <w:bookmarkEnd w:id="2423"/>
      <w:bookmarkEnd w:id="2424"/>
      <w:bookmarkEnd w:id="2425"/>
      <w:bookmarkEnd w:id="2426"/>
    </w:p>
    <w:p w14:paraId="787FA186" w14:textId="77777777" w:rsidR="00E0181F" w:rsidRPr="001D5327" w:rsidRDefault="00E0181F" w:rsidP="00E0181F">
      <w:pPr>
        <w:pStyle w:val="BodyText"/>
      </w:pPr>
      <w:bookmarkStart w:id="2427" w:name="_Toc139253974"/>
      <w:r w:rsidRPr="001D5327">
        <w:t xml:space="preserve">Emissions from the </w:t>
      </w:r>
      <w:r w:rsidRPr="001D5327">
        <w:rPr>
          <w:i/>
        </w:rPr>
        <w:t>Grassland remaining grassland</w:t>
      </w:r>
      <w:r w:rsidRPr="001D5327">
        <w:t xml:space="preserve"> and </w:t>
      </w:r>
      <w:r w:rsidRPr="001D5327">
        <w:rPr>
          <w:i/>
        </w:rPr>
        <w:t>Land converted to grassland</w:t>
      </w:r>
      <w:r w:rsidRPr="001D5327">
        <w:t xml:space="preserve"> categories are key categories (level and trend). In the preparation of this inventory, the data for these emissions underwent Tier 1 quality checks. </w:t>
      </w:r>
    </w:p>
    <w:p w14:paraId="536495DA" w14:textId="77777777" w:rsidR="00E0181F" w:rsidRPr="001D5327" w:rsidRDefault="00E0181F" w:rsidP="00E0181F">
      <w:pPr>
        <w:pStyle w:val="Heading3"/>
      </w:pPr>
      <w:bookmarkStart w:id="2428" w:name="_Toc255466412"/>
      <w:bookmarkStart w:id="2429" w:name="_Toc261513219"/>
      <w:bookmarkStart w:id="2430" w:name="_Toc261513832"/>
      <w:bookmarkStart w:id="2431" w:name="_Toc280630302"/>
      <w:r w:rsidRPr="001D5327">
        <w:t>6.6.5</w:t>
      </w:r>
      <w:r w:rsidRPr="001D5327">
        <w:tab/>
        <w:t>Category-specific recalculations</w:t>
      </w:r>
      <w:bookmarkEnd w:id="2427"/>
      <w:bookmarkEnd w:id="2428"/>
      <w:bookmarkEnd w:id="2429"/>
      <w:bookmarkEnd w:id="2430"/>
      <w:bookmarkEnd w:id="2431"/>
    </w:p>
    <w:p w14:paraId="54D5B5EB" w14:textId="3CB810E3" w:rsidR="00E0181F" w:rsidRPr="001D5327" w:rsidRDefault="00E0181F" w:rsidP="00E0181F">
      <w:pPr>
        <w:pStyle w:val="BodyText"/>
        <w:spacing w:before="240"/>
      </w:pPr>
      <w:bookmarkStart w:id="2432" w:name="_Toc139253975"/>
      <w:r w:rsidRPr="001D5327">
        <w:t>Recalculations of the entire time series were carried out for this category as a result of updates to activity data, including deforestation estimates. The impact of recalculations on net CO</w:t>
      </w:r>
      <w:r w:rsidRPr="001D5327">
        <w:rPr>
          <w:vertAlign w:val="subscript"/>
        </w:rPr>
        <w:t>2</w:t>
      </w:r>
      <w:r w:rsidRPr="001D5327">
        <w:t xml:space="preserve">-e emission estimates for the </w:t>
      </w:r>
      <w:r w:rsidRPr="001D5327">
        <w:rPr>
          <w:i/>
        </w:rPr>
        <w:t>Grassland</w:t>
      </w:r>
      <w:r w:rsidRPr="001D5327">
        <w:t xml:space="preserve"> category is shown in table 6.6.6. The recalculation indicates a 2.6 per cent reduction in emissions for 2022, which is primarily driven by a small reduction in the planted forest deforestation estimates for 2022 (see table A9.</w:t>
      </w:r>
      <w:r w:rsidR="008A42A6">
        <w:t>4.3</w:t>
      </w:r>
      <w:r w:rsidRPr="001D5327">
        <w:t xml:space="preserve">, annex 9). </w:t>
      </w:r>
    </w:p>
    <w:p w14:paraId="25B0DD87" w14:textId="77777777" w:rsidR="00E0181F" w:rsidRPr="001D5327" w:rsidRDefault="00E0181F" w:rsidP="00E0181F">
      <w:pPr>
        <w:pStyle w:val="Table"/>
      </w:pPr>
      <w:bookmarkStart w:id="2433" w:name="_Toc310423428"/>
      <w:bookmarkStart w:id="2434" w:name="_Toc318362721"/>
      <w:bookmarkStart w:id="2435" w:name="_Toc342470783"/>
      <w:bookmarkStart w:id="2436" w:name="_Toc352505023"/>
      <w:bookmarkStart w:id="2437" w:name="_Toc378853312"/>
      <w:bookmarkStart w:id="2438" w:name="_Toc391024110"/>
      <w:bookmarkStart w:id="2439" w:name="_Toc410028853"/>
      <w:bookmarkStart w:id="2440" w:name="_Toc414531481"/>
      <w:bookmarkStart w:id="2441" w:name="_Toc443645394"/>
      <w:bookmarkStart w:id="2442" w:name="_Toc474914613"/>
      <w:bookmarkStart w:id="2443" w:name="_Toc481751577"/>
      <w:bookmarkStart w:id="2444" w:name="_Toc522010634"/>
      <w:bookmarkStart w:id="2445" w:name="_Toc5269539"/>
      <w:bookmarkStart w:id="2446" w:name="_Toc33529413"/>
      <w:bookmarkStart w:id="2447" w:name="_Toc36224619"/>
      <w:bookmarkStart w:id="2448" w:name="_Toc131591413"/>
      <w:bookmarkStart w:id="2449" w:name="_Toc158979971"/>
      <w:bookmarkStart w:id="2450" w:name="_Toc164153904"/>
      <w:bookmarkStart w:id="2451" w:name="_Toc190873138"/>
      <w:bookmarkStart w:id="2452" w:name="_Toc194241777"/>
      <w:r w:rsidRPr="001D5327">
        <w:lastRenderedPageBreak/>
        <w:t>Table 6.6.6</w:t>
      </w:r>
      <w:r w:rsidRPr="001D5327">
        <w:tab/>
        <w:t xml:space="preserve">Recalculations of New Zealand’s net emissions from the </w:t>
      </w:r>
      <w:r w:rsidRPr="001D5327">
        <w:rPr>
          <w:i/>
        </w:rPr>
        <w:t>Grassland</w:t>
      </w:r>
      <w:r w:rsidRPr="001D5327">
        <w:t xml:space="preserve"> category in 1990 and</w:t>
      </w:r>
      <w:bookmarkEnd w:id="2433"/>
      <w:bookmarkEnd w:id="2434"/>
      <w:bookmarkEnd w:id="2435"/>
      <w:bookmarkEnd w:id="2436"/>
      <w:bookmarkEnd w:id="2437"/>
      <w:bookmarkEnd w:id="2438"/>
      <w:r w:rsidRPr="001D5327">
        <w:t> </w:t>
      </w:r>
      <w:bookmarkEnd w:id="2439"/>
      <w:bookmarkEnd w:id="2440"/>
      <w:bookmarkEnd w:id="2441"/>
      <w:bookmarkEnd w:id="2442"/>
      <w:bookmarkEnd w:id="2443"/>
      <w:bookmarkEnd w:id="2444"/>
      <w:bookmarkEnd w:id="2445"/>
      <w:bookmarkEnd w:id="2446"/>
      <w:bookmarkEnd w:id="2447"/>
      <w:bookmarkEnd w:id="2448"/>
      <w:bookmarkEnd w:id="2449"/>
      <w:bookmarkEnd w:id="2450"/>
      <w:r w:rsidRPr="001D5327">
        <w:t>2022</w:t>
      </w:r>
      <w:bookmarkEnd w:id="2451"/>
      <w:bookmarkEnd w:id="2452"/>
    </w:p>
    <w:tbl>
      <w:tblPr>
        <w:tblW w:w="8504"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268"/>
        <w:gridCol w:w="1413"/>
        <w:gridCol w:w="1417"/>
        <w:gridCol w:w="2268"/>
        <w:gridCol w:w="1138"/>
      </w:tblGrid>
      <w:tr w:rsidR="00E0181F" w:rsidRPr="001D5327" w14:paraId="5C348695" w14:textId="77777777" w:rsidTr="00D11AC9">
        <w:trPr>
          <w:tblHeader/>
        </w:trPr>
        <w:tc>
          <w:tcPr>
            <w:tcW w:w="2268" w:type="dxa"/>
            <w:shd w:val="clear" w:color="auto" w:fill="1B556B"/>
            <w:tcMar>
              <w:top w:w="0" w:type="dxa"/>
              <w:left w:w="85" w:type="dxa"/>
              <w:bottom w:w="0" w:type="dxa"/>
              <w:right w:w="85" w:type="dxa"/>
            </w:tcMar>
          </w:tcPr>
          <w:p w14:paraId="0D2F3FC4" w14:textId="77777777" w:rsidR="00E0181F" w:rsidRPr="001D5327" w:rsidRDefault="00E0181F" w:rsidP="00E041E6">
            <w:pPr>
              <w:pStyle w:val="TableTextBold"/>
              <w:keepNext/>
              <w:spacing w:before="40" w:after="40"/>
              <w:jc w:val="right"/>
              <w:rPr>
                <w:noProof w:val="0"/>
                <w:color w:val="FFFFFF" w:themeColor="background1"/>
              </w:rPr>
            </w:pPr>
          </w:p>
        </w:tc>
        <w:tc>
          <w:tcPr>
            <w:tcW w:w="1413" w:type="dxa"/>
            <w:shd w:val="clear" w:color="auto" w:fill="1B556B"/>
            <w:tcMar>
              <w:top w:w="0" w:type="dxa"/>
              <w:left w:w="85" w:type="dxa"/>
              <w:bottom w:w="0" w:type="dxa"/>
              <w:right w:w="85" w:type="dxa"/>
            </w:tcMar>
          </w:tcPr>
          <w:p w14:paraId="68ADECC3" w14:textId="77777777" w:rsidR="00E0181F" w:rsidRPr="001D5327" w:rsidRDefault="00E0181F" w:rsidP="00E041E6">
            <w:pPr>
              <w:pStyle w:val="TableTextBold"/>
              <w:keepNext/>
              <w:spacing w:before="40" w:after="40"/>
              <w:jc w:val="right"/>
              <w:rPr>
                <w:noProof w:val="0"/>
                <w:color w:val="FFFFFF" w:themeColor="background1"/>
              </w:rPr>
            </w:pPr>
            <w:r w:rsidRPr="001D5327">
              <w:rPr>
                <w:rFonts w:eastAsia="Calibri"/>
                <w:noProof w:val="0"/>
                <w:color w:val="FFFFFF" w:themeColor="background1"/>
              </w:rPr>
              <w:t>2024 submission</w:t>
            </w:r>
          </w:p>
        </w:tc>
        <w:tc>
          <w:tcPr>
            <w:tcW w:w="1417" w:type="dxa"/>
            <w:shd w:val="clear" w:color="auto" w:fill="1B556B"/>
            <w:tcMar>
              <w:top w:w="0" w:type="dxa"/>
              <w:left w:w="85" w:type="dxa"/>
              <w:bottom w:w="0" w:type="dxa"/>
              <w:right w:w="85" w:type="dxa"/>
            </w:tcMar>
          </w:tcPr>
          <w:p w14:paraId="7360D545" w14:textId="77777777" w:rsidR="00E0181F" w:rsidRPr="001D5327" w:rsidRDefault="00E0181F" w:rsidP="00E041E6">
            <w:pPr>
              <w:pStyle w:val="TableTextBold"/>
              <w:keepNext/>
              <w:spacing w:before="40" w:after="40"/>
              <w:jc w:val="right"/>
              <w:rPr>
                <w:noProof w:val="0"/>
                <w:color w:val="FFFFFF" w:themeColor="background1"/>
              </w:rPr>
            </w:pPr>
            <w:r w:rsidRPr="001D5327">
              <w:rPr>
                <w:rFonts w:eastAsia="Calibri"/>
                <w:noProof w:val="0"/>
                <w:color w:val="FFFFFF" w:themeColor="background1"/>
              </w:rPr>
              <w:t>2025 submission</w:t>
            </w:r>
          </w:p>
        </w:tc>
        <w:tc>
          <w:tcPr>
            <w:tcW w:w="2268" w:type="dxa"/>
            <w:shd w:val="clear" w:color="auto" w:fill="1B556B"/>
            <w:tcMar>
              <w:top w:w="0" w:type="dxa"/>
              <w:left w:w="85" w:type="dxa"/>
              <w:bottom w:w="0" w:type="dxa"/>
              <w:right w:w="85" w:type="dxa"/>
            </w:tcMar>
          </w:tcPr>
          <w:p w14:paraId="64E2AF80" w14:textId="77777777" w:rsidR="00E0181F" w:rsidRPr="001D5327" w:rsidRDefault="00E0181F" w:rsidP="00E041E6">
            <w:pPr>
              <w:pStyle w:val="TableTextBold"/>
              <w:keepNext/>
              <w:spacing w:before="40" w:after="40"/>
              <w:jc w:val="right"/>
              <w:rPr>
                <w:noProof w:val="0"/>
                <w:color w:val="FFFFFF" w:themeColor="background1"/>
              </w:rPr>
            </w:pPr>
            <w:r w:rsidRPr="001D5327">
              <w:rPr>
                <w:rFonts w:eastAsia="Calibri"/>
                <w:noProof w:val="0"/>
                <w:color w:val="FFFFFF" w:themeColor="background1"/>
              </w:rPr>
              <w:t>Change from 2024 submission</w:t>
            </w:r>
          </w:p>
        </w:tc>
        <w:tc>
          <w:tcPr>
            <w:tcW w:w="1138" w:type="dxa"/>
            <w:shd w:val="clear" w:color="auto" w:fill="1B556B"/>
            <w:tcMar>
              <w:top w:w="0" w:type="dxa"/>
              <w:left w:w="85" w:type="dxa"/>
              <w:bottom w:w="0" w:type="dxa"/>
              <w:right w:w="85" w:type="dxa"/>
            </w:tcMar>
          </w:tcPr>
          <w:p w14:paraId="6773B004" w14:textId="77777777" w:rsidR="00E0181F" w:rsidRPr="001D5327" w:rsidRDefault="00E0181F" w:rsidP="00E041E6">
            <w:pPr>
              <w:pStyle w:val="TableTextBold"/>
              <w:keepNext/>
              <w:spacing w:before="40" w:after="40"/>
              <w:jc w:val="right"/>
              <w:rPr>
                <w:noProof w:val="0"/>
                <w:color w:val="FFFFFF" w:themeColor="background1"/>
              </w:rPr>
            </w:pPr>
            <w:r w:rsidRPr="001D5327">
              <w:rPr>
                <w:rFonts w:eastAsia="Calibri"/>
                <w:noProof w:val="0"/>
                <w:color w:val="FFFFFF" w:themeColor="background1"/>
              </w:rPr>
              <w:t>Change (%)</w:t>
            </w:r>
          </w:p>
        </w:tc>
      </w:tr>
      <w:tr w:rsidR="00E0181F" w:rsidRPr="001D5327" w14:paraId="0AC7F310" w14:textId="77777777" w:rsidTr="00D11AC9">
        <w:tc>
          <w:tcPr>
            <w:tcW w:w="2268" w:type="dxa"/>
            <w:shd w:val="clear" w:color="auto" w:fill="FFFFFF"/>
            <w:tcMar>
              <w:top w:w="0" w:type="dxa"/>
              <w:left w:w="85" w:type="dxa"/>
              <w:bottom w:w="0" w:type="dxa"/>
              <w:right w:w="85" w:type="dxa"/>
            </w:tcMar>
          </w:tcPr>
          <w:p w14:paraId="661BE901" w14:textId="77777777" w:rsidR="00E0181F" w:rsidRPr="001D5327" w:rsidRDefault="00E0181F" w:rsidP="00E041E6">
            <w:pPr>
              <w:pStyle w:val="Tableboldblue"/>
              <w:keepNext/>
              <w:spacing w:before="40" w:after="40"/>
            </w:pPr>
            <w:r w:rsidRPr="001D5327">
              <w:rPr>
                <w:rFonts w:eastAsia="Calibri"/>
              </w:rPr>
              <w:t>Net emissions (kt CO</w:t>
            </w:r>
            <w:r w:rsidRPr="001D5327">
              <w:rPr>
                <w:rFonts w:eastAsia="Calibri"/>
                <w:vertAlign w:val="subscript"/>
              </w:rPr>
              <w:t>2</w:t>
            </w:r>
            <w:r w:rsidRPr="001D5327">
              <w:rPr>
                <w:rFonts w:eastAsia="Calibri"/>
                <w:color w:val="000000"/>
              </w:rPr>
              <w:t>-</w:t>
            </w:r>
            <w:r w:rsidRPr="001D5327">
              <w:rPr>
                <w:rFonts w:eastAsia="Calibri"/>
              </w:rPr>
              <w:t>e)</w:t>
            </w:r>
          </w:p>
        </w:tc>
        <w:tc>
          <w:tcPr>
            <w:tcW w:w="1413" w:type="dxa"/>
            <w:shd w:val="clear" w:color="auto" w:fill="FFFFFF"/>
            <w:tcMar>
              <w:top w:w="0" w:type="dxa"/>
              <w:left w:w="85" w:type="dxa"/>
              <w:bottom w:w="0" w:type="dxa"/>
              <w:right w:w="85" w:type="dxa"/>
            </w:tcMar>
          </w:tcPr>
          <w:p w14:paraId="57C6B443" w14:textId="77777777" w:rsidR="00E0181F" w:rsidRPr="001D5327" w:rsidRDefault="00E0181F" w:rsidP="00E041E6">
            <w:pPr>
              <w:pStyle w:val="Tableboldblue"/>
              <w:keepNext/>
              <w:spacing w:before="40" w:after="40"/>
              <w:jc w:val="right"/>
            </w:pPr>
          </w:p>
        </w:tc>
        <w:tc>
          <w:tcPr>
            <w:tcW w:w="1417" w:type="dxa"/>
            <w:shd w:val="clear" w:color="auto" w:fill="FFFFFF"/>
            <w:tcMar>
              <w:top w:w="0" w:type="dxa"/>
              <w:left w:w="85" w:type="dxa"/>
              <w:bottom w:w="0" w:type="dxa"/>
              <w:right w:w="85" w:type="dxa"/>
            </w:tcMar>
          </w:tcPr>
          <w:p w14:paraId="7CFE5391" w14:textId="77777777" w:rsidR="00E0181F" w:rsidRPr="001D5327" w:rsidRDefault="00E0181F" w:rsidP="00E041E6">
            <w:pPr>
              <w:pStyle w:val="Tableboldblue"/>
              <w:keepNext/>
              <w:spacing w:before="40" w:after="40"/>
              <w:jc w:val="right"/>
            </w:pPr>
          </w:p>
        </w:tc>
        <w:tc>
          <w:tcPr>
            <w:tcW w:w="2268" w:type="dxa"/>
            <w:shd w:val="clear" w:color="auto" w:fill="FFFFFF"/>
            <w:tcMar>
              <w:top w:w="0" w:type="dxa"/>
              <w:left w:w="85" w:type="dxa"/>
              <w:bottom w:w="0" w:type="dxa"/>
              <w:right w:w="85" w:type="dxa"/>
            </w:tcMar>
          </w:tcPr>
          <w:p w14:paraId="43D8CABA" w14:textId="77777777" w:rsidR="00E0181F" w:rsidRPr="001D5327" w:rsidRDefault="00E0181F" w:rsidP="00E041E6">
            <w:pPr>
              <w:pStyle w:val="Tableboldblue"/>
              <w:keepNext/>
              <w:spacing w:before="40" w:after="40"/>
              <w:jc w:val="right"/>
            </w:pPr>
          </w:p>
        </w:tc>
        <w:tc>
          <w:tcPr>
            <w:tcW w:w="1138" w:type="dxa"/>
            <w:shd w:val="clear" w:color="auto" w:fill="FFFFFF"/>
            <w:tcMar>
              <w:top w:w="0" w:type="dxa"/>
              <w:left w:w="85" w:type="dxa"/>
              <w:bottom w:w="0" w:type="dxa"/>
              <w:right w:w="85" w:type="dxa"/>
            </w:tcMar>
          </w:tcPr>
          <w:p w14:paraId="6EE60E85" w14:textId="77777777" w:rsidR="00E0181F" w:rsidRPr="001D5327" w:rsidRDefault="00E0181F" w:rsidP="00E041E6">
            <w:pPr>
              <w:pStyle w:val="Tableboldblue"/>
              <w:keepNext/>
              <w:spacing w:before="40" w:after="40"/>
              <w:jc w:val="right"/>
            </w:pPr>
          </w:p>
        </w:tc>
      </w:tr>
      <w:tr w:rsidR="00E0181F" w:rsidRPr="001D5327" w14:paraId="1D0A2B10" w14:textId="77777777" w:rsidTr="00D11AC9">
        <w:tc>
          <w:tcPr>
            <w:tcW w:w="2268" w:type="dxa"/>
            <w:shd w:val="clear" w:color="auto" w:fill="FFFFFF"/>
            <w:tcMar>
              <w:top w:w="0" w:type="dxa"/>
              <w:left w:w="85" w:type="dxa"/>
              <w:bottom w:w="0" w:type="dxa"/>
              <w:right w:w="85" w:type="dxa"/>
            </w:tcMar>
          </w:tcPr>
          <w:p w14:paraId="33C47246" w14:textId="77777777" w:rsidR="00E0181F" w:rsidRPr="001D5327" w:rsidRDefault="00E0181F" w:rsidP="00D11AC9">
            <w:pPr>
              <w:pStyle w:val="TableText"/>
              <w:spacing w:before="40" w:after="40"/>
            </w:pPr>
            <w:r w:rsidRPr="001D5327">
              <w:rPr>
                <w:rFonts w:eastAsia="Calibri" w:cs="Calibri"/>
                <w:color w:val="000000"/>
                <w:szCs w:val="16"/>
              </w:rPr>
              <w:t>1990</w:t>
            </w:r>
          </w:p>
        </w:tc>
        <w:tc>
          <w:tcPr>
            <w:tcW w:w="1413" w:type="dxa"/>
            <w:shd w:val="clear" w:color="auto" w:fill="FFFFFF"/>
            <w:tcMar>
              <w:top w:w="0" w:type="dxa"/>
              <w:left w:w="85" w:type="dxa"/>
              <w:bottom w:w="0" w:type="dxa"/>
              <w:right w:w="85" w:type="dxa"/>
            </w:tcMar>
          </w:tcPr>
          <w:p w14:paraId="1260A985" w14:textId="77777777" w:rsidR="00E0181F" w:rsidRPr="001D5327" w:rsidRDefault="00E0181F" w:rsidP="00D11AC9">
            <w:pPr>
              <w:pStyle w:val="TableText"/>
              <w:spacing w:before="40" w:after="40"/>
              <w:jc w:val="right"/>
            </w:pPr>
            <w:r w:rsidRPr="001D5327">
              <w:rPr>
                <w:rFonts w:eastAsia="Calibri" w:cs="Calibri"/>
                <w:color w:val="000000"/>
                <w:szCs w:val="16"/>
              </w:rPr>
              <w:t>826.2</w:t>
            </w:r>
          </w:p>
        </w:tc>
        <w:tc>
          <w:tcPr>
            <w:tcW w:w="1417" w:type="dxa"/>
            <w:shd w:val="clear" w:color="auto" w:fill="FFFFFF"/>
            <w:tcMar>
              <w:top w:w="0" w:type="dxa"/>
              <w:left w:w="85" w:type="dxa"/>
              <w:bottom w:w="0" w:type="dxa"/>
              <w:right w:w="85" w:type="dxa"/>
            </w:tcMar>
          </w:tcPr>
          <w:p w14:paraId="21540EBD" w14:textId="77777777" w:rsidR="00E0181F" w:rsidRPr="001D5327" w:rsidRDefault="00E0181F" w:rsidP="00D11AC9">
            <w:pPr>
              <w:pStyle w:val="TableText"/>
              <w:spacing w:before="40" w:after="40"/>
              <w:jc w:val="right"/>
            </w:pPr>
            <w:r w:rsidRPr="001D5327">
              <w:rPr>
                <w:rFonts w:eastAsia="Calibri" w:cs="Calibri"/>
                <w:color w:val="000000"/>
                <w:szCs w:val="16"/>
              </w:rPr>
              <w:t>819.9</w:t>
            </w:r>
          </w:p>
        </w:tc>
        <w:tc>
          <w:tcPr>
            <w:tcW w:w="2268" w:type="dxa"/>
            <w:shd w:val="clear" w:color="auto" w:fill="FFFFFF"/>
            <w:tcMar>
              <w:top w:w="0" w:type="dxa"/>
              <w:left w:w="85" w:type="dxa"/>
              <w:bottom w:w="0" w:type="dxa"/>
              <w:right w:w="85" w:type="dxa"/>
            </w:tcMar>
          </w:tcPr>
          <w:p w14:paraId="30C61DB6" w14:textId="21550EB2"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6.2</w:t>
            </w:r>
          </w:p>
        </w:tc>
        <w:tc>
          <w:tcPr>
            <w:tcW w:w="1138" w:type="dxa"/>
            <w:shd w:val="clear" w:color="auto" w:fill="FFFFFF"/>
            <w:tcMar>
              <w:top w:w="0" w:type="dxa"/>
              <w:left w:w="85" w:type="dxa"/>
              <w:bottom w:w="0" w:type="dxa"/>
              <w:right w:w="85" w:type="dxa"/>
            </w:tcMar>
          </w:tcPr>
          <w:p w14:paraId="3B6E99AC" w14:textId="3EB77B76"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0.8</w:t>
            </w:r>
          </w:p>
        </w:tc>
      </w:tr>
      <w:tr w:rsidR="00E0181F" w:rsidRPr="001D5327" w14:paraId="472F97EF" w14:textId="77777777" w:rsidTr="00D11AC9">
        <w:tc>
          <w:tcPr>
            <w:tcW w:w="2268" w:type="dxa"/>
            <w:shd w:val="clear" w:color="auto" w:fill="FFFFFF"/>
            <w:tcMar>
              <w:top w:w="0" w:type="dxa"/>
              <w:left w:w="85" w:type="dxa"/>
              <w:bottom w:w="0" w:type="dxa"/>
              <w:right w:w="85" w:type="dxa"/>
            </w:tcMar>
          </w:tcPr>
          <w:p w14:paraId="2A22B48B" w14:textId="77777777" w:rsidR="00E0181F" w:rsidRPr="001D5327" w:rsidRDefault="00E0181F" w:rsidP="00D11AC9">
            <w:pPr>
              <w:pStyle w:val="TableText"/>
              <w:spacing w:before="40" w:after="40"/>
            </w:pPr>
            <w:r w:rsidRPr="001D5327">
              <w:rPr>
                <w:rFonts w:eastAsia="Calibri" w:cs="Calibri"/>
                <w:color w:val="000000"/>
                <w:szCs w:val="16"/>
              </w:rPr>
              <w:t>2022</w:t>
            </w:r>
          </w:p>
        </w:tc>
        <w:tc>
          <w:tcPr>
            <w:tcW w:w="1413" w:type="dxa"/>
            <w:shd w:val="clear" w:color="auto" w:fill="FFFFFF"/>
            <w:tcMar>
              <w:top w:w="0" w:type="dxa"/>
              <w:left w:w="85" w:type="dxa"/>
              <w:bottom w:w="0" w:type="dxa"/>
              <w:right w:w="85" w:type="dxa"/>
            </w:tcMar>
          </w:tcPr>
          <w:p w14:paraId="10750706" w14:textId="77777777" w:rsidR="00E0181F" w:rsidRPr="001D5327" w:rsidRDefault="00E0181F" w:rsidP="00D11AC9">
            <w:pPr>
              <w:pStyle w:val="TableText"/>
              <w:spacing w:before="40" w:after="40"/>
              <w:jc w:val="right"/>
            </w:pPr>
            <w:r w:rsidRPr="001D5327">
              <w:rPr>
                <w:rFonts w:eastAsia="Calibri" w:cs="Calibri"/>
                <w:color w:val="000000"/>
                <w:szCs w:val="16"/>
              </w:rPr>
              <w:t>3,665.7</w:t>
            </w:r>
          </w:p>
        </w:tc>
        <w:tc>
          <w:tcPr>
            <w:tcW w:w="1417" w:type="dxa"/>
            <w:shd w:val="clear" w:color="auto" w:fill="FFFFFF"/>
            <w:tcMar>
              <w:top w:w="0" w:type="dxa"/>
              <w:left w:w="85" w:type="dxa"/>
              <w:bottom w:w="0" w:type="dxa"/>
              <w:right w:w="85" w:type="dxa"/>
            </w:tcMar>
          </w:tcPr>
          <w:p w14:paraId="749B3270" w14:textId="77777777" w:rsidR="00E0181F" w:rsidRPr="001D5327" w:rsidRDefault="00E0181F" w:rsidP="00D11AC9">
            <w:pPr>
              <w:pStyle w:val="TableText"/>
              <w:spacing w:before="40" w:after="40"/>
              <w:jc w:val="right"/>
            </w:pPr>
            <w:r w:rsidRPr="001D5327">
              <w:rPr>
                <w:rFonts w:eastAsia="Calibri" w:cs="Calibri"/>
                <w:color w:val="000000"/>
                <w:szCs w:val="16"/>
              </w:rPr>
              <w:t>3,568.9</w:t>
            </w:r>
          </w:p>
        </w:tc>
        <w:tc>
          <w:tcPr>
            <w:tcW w:w="2268" w:type="dxa"/>
            <w:shd w:val="clear" w:color="auto" w:fill="FFFFFF"/>
            <w:tcMar>
              <w:top w:w="0" w:type="dxa"/>
              <w:left w:w="85" w:type="dxa"/>
              <w:bottom w:w="0" w:type="dxa"/>
              <w:right w:w="85" w:type="dxa"/>
            </w:tcMar>
          </w:tcPr>
          <w:p w14:paraId="00EAFAE9" w14:textId="72DB7420"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96.8</w:t>
            </w:r>
          </w:p>
        </w:tc>
        <w:tc>
          <w:tcPr>
            <w:tcW w:w="1138" w:type="dxa"/>
            <w:shd w:val="clear" w:color="auto" w:fill="FFFFFF"/>
            <w:tcMar>
              <w:top w:w="0" w:type="dxa"/>
              <w:left w:w="85" w:type="dxa"/>
              <w:bottom w:w="0" w:type="dxa"/>
              <w:right w:w="85" w:type="dxa"/>
            </w:tcMar>
          </w:tcPr>
          <w:p w14:paraId="51A878D0" w14:textId="53868C09" w:rsidR="00E0181F" w:rsidRPr="001D5327" w:rsidRDefault="0070503C" w:rsidP="00D11AC9">
            <w:pPr>
              <w:pStyle w:val="TableText"/>
              <w:spacing w:before="40" w:after="40"/>
              <w:jc w:val="right"/>
            </w:pPr>
            <w:r>
              <w:rPr>
                <w:rFonts w:eastAsia="Calibri" w:cs="Calibri"/>
                <w:color w:val="000000"/>
                <w:szCs w:val="16"/>
              </w:rPr>
              <w:t>-</w:t>
            </w:r>
            <w:r w:rsidR="00E0181F" w:rsidRPr="001D5327">
              <w:rPr>
                <w:rFonts w:eastAsia="Calibri" w:cs="Calibri"/>
                <w:color w:val="000000"/>
                <w:szCs w:val="16"/>
              </w:rPr>
              <w:t>2.6</w:t>
            </w:r>
          </w:p>
        </w:tc>
      </w:tr>
      <w:tr w:rsidR="00E0181F" w:rsidRPr="001D5327" w14:paraId="56162895" w14:textId="77777777" w:rsidTr="00D11AC9">
        <w:tc>
          <w:tcPr>
            <w:tcW w:w="2268" w:type="dxa"/>
            <w:shd w:val="clear" w:color="auto" w:fill="FFFFFF"/>
            <w:tcMar>
              <w:top w:w="0" w:type="dxa"/>
              <w:left w:w="85" w:type="dxa"/>
              <w:bottom w:w="0" w:type="dxa"/>
              <w:right w:w="85" w:type="dxa"/>
            </w:tcMar>
          </w:tcPr>
          <w:p w14:paraId="07E47F00" w14:textId="77777777" w:rsidR="00E0181F" w:rsidRPr="001D5327" w:rsidRDefault="00E0181F" w:rsidP="00D11AC9">
            <w:pPr>
              <w:pStyle w:val="Tableboldblue"/>
              <w:spacing w:before="40" w:after="40"/>
            </w:pPr>
            <w:r w:rsidRPr="001D5327">
              <w:rPr>
                <w:rFonts w:eastAsia="Calibri"/>
              </w:rPr>
              <w:t>Area (hectares)</w:t>
            </w:r>
          </w:p>
        </w:tc>
        <w:tc>
          <w:tcPr>
            <w:tcW w:w="1413" w:type="dxa"/>
            <w:shd w:val="clear" w:color="auto" w:fill="FFFFFF"/>
            <w:tcMar>
              <w:top w:w="0" w:type="dxa"/>
              <w:left w:w="85" w:type="dxa"/>
              <w:bottom w:w="0" w:type="dxa"/>
              <w:right w:w="85" w:type="dxa"/>
            </w:tcMar>
          </w:tcPr>
          <w:p w14:paraId="63E8C7F0" w14:textId="77777777" w:rsidR="00E0181F" w:rsidRPr="001D5327" w:rsidRDefault="00E0181F" w:rsidP="00D11AC9">
            <w:pPr>
              <w:pStyle w:val="Tableboldblue"/>
              <w:spacing w:before="40" w:after="40"/>
              <w:jc w:val="right"/>
            </w:pPr>
          </w:p>
        </w:tc>
        <w:tc>
          <w:tcPr>
            <w:tcW w:w="1417" w:type="dxa"/>
            <w:shd w:val="clear" w:color="auto" w:fill="FFFFFF"/>
            <w:tcMar>
              <w:top w:w="0" w:type="dxa"/>
              <w:left w:w="85" w:type="dxa"/>
              <w:bottom w:w="0" w:type="dxa"/>
              <w:right w:w="85" w:type="dxa"/>
            </w:tcMar>
          </w:tcPr>
          <w:p w14:paraId="744B3114" w14:textId="77777777" w:rsidR="00E0181F" w:rsidRPr="001D5327" w:rsidRDefault="00E0181F" w:rsidP="00D11AC9">
            <w:pPr>
              <w:pStyle w:val="Tableboldblue"/>
              <w:spacing w:before="40" w:after="40"/>
              <w:jc w:val="right"/>
            </w:pPr>
          </w:p>
        </w:tc>
        <w:tc>
          <w:tcPr>
            <w:tcW w:w="2268" w:type="dxa"/>
            <w:shd w:val="clear" w:color="auto" w:fill="FFFFFF"/>
            <w:tcMar>
              <w:top w:w="0" w:type="dxa"/>
              <w:left w:w="85" w:type="dxa"/>
              <w:bottom w:w="0" w:type="dxa"/>
              <w:right w:w="85" w:type="dxa"/>
            </w:tcMar>
          </w:tcPr>
          <w:p w14:paraId="03A6C5E1" w14:textId="77777777" w:rsidR="00E0181F" w:rsidRPr="001D5327" w:rsidRDefault="00E0181F" w:rsidP="00D11AC9">
            <w:pPr>
              <w:pStyle w:val="Tableboldblue"/>
              <w:spacing w:before="40" w:after="40"/>
              <w:jc w:val="right"/>
            </w:pPr>
          </w:p>
        </w:tc>
        <w:tc>
          <w:tcPr>
            <w:tcW w:w="1138" w:type="dxa"/>
            <w:shd w:val="clear" w:color="auto" w:fill="FFFFFF"/>
            <w:tcMar>
              <w:top w:w="0" w:type="dxa"/>
              <w:left w:w="85" w:type="dxa"/>
              <w:bottom w:w="0" w:type="dxa"/>
              <w:right w:w="85" w:type="dxa"/>
            </w:tcMar>
          </w:tcPr>
          <w:p w14:paraId="3001F4B9" w14:textId="77777777" w:rsidR="00E0181F" w:rsidRPr="001D5327" w:rsidRDefault="00E0181F" w:rsidP="00D11AC9">
            <w:pPr>
              <w:pStyle w:val="Tableboldblue"/>
              <w:spacing w:before="40" w:after="40"/>
              <w:jc w:val="right"/>
            </w:pPr>
          </w:p>
        </w:tc>
      </w:tr>
      <w:tr w:rsidR="00E0181F" w:rsidRPr="001D5327" w14:paraId="6D95B47F" w14:textId="77777777" w:rsidTr="00D11AC9">
        <w:tc>
          <w:tcPr>
            <w:tcW w:w="2268" w:type="dxa"/>
            <w:shd w:val="clear" w:color="auto" w:fill="FFFFFF"/>
            <w:tcMar>
              <w:top w:w="0" w:type="dxa"/>
              <w:left w:w="85" w:type="dxa"/>
              <w:bottom w:w="0" w:type="dxa"/>
              <w:right w:w="85" w:type="dxa"/>
            </w:tcMar>
          </w:tcPr>
          <w:p w14:paraId="2B1FD1FE" w14:textId="77777777" w:rsidR="00E0181F" w:rsidRPr="001D5327" w:rsidRDefault="00E0181F" w:rsidP="00D11AC9">
            <w:pPr>
              <w:pStyle w:val="TableText"/>
              <w:spacing w:before="40" w:after="40"/>
            </w:pPr>
            <w:r w:rsidRPr="001D5327">
              <w:rPr>
                <w:rFonts w:eastAsia="Calibri" w:cs="Calibri"/>
                <w:color w:val="000000"/>
                <w:szCs w:val="16"/>
              </w:rPr>
              <w:t>1990</w:t>
            </w:r>
          </w:p>
        </w:tc>
        <w:tc>
          <w:tcPr>
            <w:tcW w:w="1413" w:type="dxa"/>
            <w:shd w:val="clear" w:color="auto" w:fill="FFFFFF"/>
            <w:tcMar>
              <w:top w:w="0" w:type="dxa"/>
              <w:left w:w="85" w:type="dxa"/>
              <w:bottom w:w="0" w:type="dxa"/>
              <w:right w:w="85" w:type="dxa"/>
            </w:tcMar>
          </w:tcPr>
          <w:p w14:paraId="7EC7CC65" w14:textId="77777777" w:rsidR="00E0181F" w:rsidRPr="001D5327" w:rsidRDefault="00E0181F" w:rsidP="00D11AC9">
            <w:pPr>
              <w:pStyle w:val="TableText"/>
              <w:spacing w:before="40" w:after="40"/>
              <w:jc w:val="right"/>
            </w:pPr>
            <w:r w:rsidRPr="001D5327">
              <w:rPr>
                <w:rFonts w:eastAsia="Calibri" w:cs="Calibri"/>
                <w:color w:val="000000"/>
                <w:szCs w:val="16"/>
              </w:rPr>
              <w:t>15,237,917</w:t>
            </w:r>
          </w:p>
        </w:tc>
        <w:tc>
          <w:tcPr>
            <w:tcW w:w="1417" w:type="dxa"/>
            <w:shd w:val="clear" w:color="auto" w:fill="FFFFFF"/>
            <w:tcMar>
              <w:top w:w="0" w:type="dxa"/>
              <w:left w:w="85" w:type="dxa"/>
              <w:bottom w:w="0" w:type="dxa"/>
              <w:right w:w="85" w:type="dxa"/>
            </w:tcMar>
          </w:tcPr>
          <w:p w14:paraId="51F937B3" w14:textId="77777777" w:rsidR="00E0181F" w:rsidRPr="001D5327" w:rsidRDefault="00E0181F" w:rsidP="00D11AC9">
            <w:pPr>
              <w:pStyle w:val="TableText"/>
              <w:spacing w:before="40" w:after="40"/>
              <w:jc w:val="right"/>
            </w:pPr>
            <w:r w:rsidRPr="001D5327">
              <w:rPr>
                <w:rFonts w:eastAsia="Calibri" w:cs="Calibri"/>
                <w:color w:val="000000"/>
                <w:szCs w:val="16"/>
              </w:rPr>
              <w:t>15,239,673</w:t>
            </w:r>
          </w:p>
        </w:tc>
        <w:tc>
          <w:tcPr>
            <w:tcW w:w="2268" w:type="dxa"/>
            <w:shd w:val="clear" w:color="auto" w:fill="FFFFFF"/>
            <w:tcMar>
              <w:top w:w="0" w:type="dxa"/>
              <w:left w:w="85" w:type="dxa"/>
              <w:bottom w:w="0" w:type="dxa"/>
              <w:right w:w="85" w:type="dxa"/>
            </w:tcMar>
          </w:tcPr>
          <w:p w14:paraId="60DAB55A" w14:textId="77777777" w:rsidR="00E0181F" w:rsidRPr="001D5327" w:rsidRDefault="00E0181F" w:rsidP="00D11AC9">
            <w:pPr>
              <w:pStyle w:val="TableText"/>
              <w:spacing w:before="40" w:after="40"/>
              <w:jc w:val="right"/>
            </w:pPr>
            <w:r w:rsidRPr="001D5327">
              <w:rPr>
                <w:rFonts w:eastAsia="Calibri" w:cs="Calibri"/>
                <w:color w:val="000000"/>
                <w:szCs w:val="16"/>
              </w:rPr>
              <w:t>1,756</w:t>
            </w:r>
          </w:p>
        </w:tc>
        <w:tc>
          <w:tcPr>
            <w:tcW w:w="1138" w:type="dxa"/>
            <w:shd w:val="clear" w:color="auto" w:fill="FFFFFF"/>
            <w:tcMar>
              <w:top w:w="0" w:type="dxa"/>
              <w:left w:w="85" w:type="dxa"/>
              <w:bottom w:w="0" w:type="dxa"/>
              <w:right w:w="85" w:type="dxa"/>
            </w:tcMar>
          </w:tcPr>
          <w:p w14:paraId="416C2A0B" w14:textId="77777777" w:rsidR="00E0181F" w:rsidRPr="001D5327" w:rsidRDefault="00E0181F" w:rsidP="00D11AC9">
            <w:pPr>
              <w:pStyle w:val="TableText"/>
              <w:spacing w:before="40" w:after="40"/>
              <w:jc w:val="right"/>
            </w:pPr>
            <w:r w:rsidRPr="001D5327">
              <w:rPr>
                <w:rFonts w:eastAsia="Calibri" w:cs="Calibri"/>
                <w:color w:val="000000"/>
                <w:szCs w:val="16"/>
              </w:rPr>
              <w:t>0.0</w:t>
            </w:r>
          </w:p>
        </w:tc>
      </w:tr>
      <w:tr w:rsidR="00E0181F" w:rsidRPr="001D5327" w14:paraId="34B41A99" w14:textId="77777777" w:rsidTr="00D11AC9">
        <w:tc>
          <w:tcPr>
            <w:tcW w:w="2268" w:type="dxa"/>
            <w:shd w:val="clear" w:color="auto" w:fill="FFFFFF"/>
            <w:tcMar>
              <w:top w:w="0" w:type="dxa"/>
              <w:left w:w="85" w:type="dxa"/>
              <w:bottom w:w="0" w:type="dxa"/>
              <w:right w:w="85" w:type="dxa"/>
            </w:tcMar>
          </w:tcPr>
          <w:p w14:paraId="233A5770" w14:textId="77777777" w:rsidR="00E0181F" w:rsidRPr="001D5327" w:rsidRDefault="00E0181F" w:rsidP="00D11AC9">
            <w:pPr>
              <w:pStyle w:val="TableText"/>
              <w:spacing w:before="40" w:after="40"/>
            </w:pPr>
            <w:r w:rsidRPr="001D5327">
              <w:rPr>
                <w:rFonts w:eastAsia="Calibri" w:cs="Calibri"/>
                <w:color w:val="000000"/>
                <w:szCs w:val="16"/>
              </w:rPr>
              <w:t>2022</w:t>
            </w:r>
          </w:p>
        </w:tc>
        <w:tc>
          <w:tcPr>
            <w:tcW w:w="1413" w:type="dxa"/>
            <w:shd w:val="clear" w:color="auto" w:fill="FFFFFF"/>
            <w:tcMar>
              <w:top w:w="0" w:type="dxa"/>
              <w:left w:w="85" w:type="dxa"/>
              <w:bottom w:w="0" w:type="dxa"/>
              <w:right w:w="85" w:type="dxa"/>
            </w:tcMar>
          </w:tcPr>
          <w:p w14:paraId="10391B5D" w14:textId="77777777" w:rsidR="00E0181F" w:rsidRPr="001D5327" w:rsidRDefault="00E0181F" w:rsidP="00D11AC9">
            <w:pPr>
              <w:pStyle w:val="TableText"/>
              <w:spacing w:before="40" w:after="40"/>
              <w:jc w:val="right"/>
            </w:pPr>
            <w:r w:rsidRPr="001D5327">
              <w:rPr>
                <w:rFonts w:eastAsia="Calibri" w:cs="Calibri"/>
                <w:color w:val="000000"/>
                <w:szCs w:val="16"/>
              </w:rPr>
              <w:t>14,419,970</w:t>
            </w:r>
          </w:p>
        </w:tc>
        <w:tc>
          <w:tcPr>
            <w:tcW w:w="1417" w:type="dxa"/>
            <w:shd w:val="clear" w:color="auto" w:fill="FFFFFF"/>
            <w:tcMar>
              <w:top w:w="0" w:type="dxa"/>
              <w:left w:w="85" w:type="dxa"/>
              <w:bottom w:w="0" w:type="dxa"/>
              <w:right w:w="85" w:type="dxa"/>
            </w:tcMar>
          </w:tcPr>
          <w:p w14:paraId="79DB70AF" w14:textId="77777777" w:rsidR="00E0181F" w:rsidRPr="001D5327" w:rsidRDefault="00E0181F" w:rsidP="00D11AC9">
            <w:pPr>
              <w:pStyle w:val="TableText"/>
              <w:spacing w:before="40" w:after="40"/>
              <w:jc w:val="right"/>
            </w:pPr>
            <w:r w:rsidRPr="001D5327">
              <w:rPr>
                <w:rFonts w:eastAsia="Calibri" w:cs="Calibri"/>
                <w:color w:val="000000"/>
                <w:szCs w:val="16"/>
              </w:rPr>
              <w:t>14,421,888</w:t>
            </w:r>
          </w:p>
        </w:tc>
        <w:tc>
          <w:tcPr>
            <w:tcW w:w="2268" w:type="dxa"/>
            <w:shd w:val="clear" w:color="auto" w:fill="FFFFFF"/>
            <w:tcMar>
              <w:top w:w="0" w:type="dxa"/>
              <w:left w:w="85" w:type="dxa"/>
              <w:bottom w:w="0" w:type="dxa"/>
              <w:right w:w="85" w:type="dxa"/>
            </w:tcMar>
          </w:tcPr>
          <w:p w14:paraId="727EE8BA" w14:textId="77777777" w:rsidR="00E0181F" w:rsidRPr="001D5327" w:rsidRDefault="00E0181F" w:rsidP="00D11AC9">
            <w:pPr>
              <w:pStyle w:val="TableText"/>
              <w:spacing w:before="40" w:after="40"/>
              <w:jc w:val="right"/>
            </w:pPr>
            <w:r w:rsidRPr="001D5327">
              <w:rPr>
                <w:rFonts w:eastAsia="Calibri" w:cs="Calibri"/>
                <w:color w:val="000000"/>
                <w:szCs w:val="16"/>
              </w:rPr>
              <w:t>1,918</w:t>
            </w:r>
          </w:p>
        </w:tc>
        <w:tc>
          <w:tcPr>
            <w:tcW w:w="1138" w:type="dxa"/>
            <w:shd w:val="clear" w:color="auto" w:fill="FFFFFF"/>
            <w:tcMar>
              <w:top w:w="0" w:type="dxa"/>
              <w:left w:w="85" w:type="dxa"/>
              <w:bottom w:w="0" w:type="dxa"/>
              <w:right w:w="85" w:type="dxa"/>
            </w:tcMar>
          </w:tcPr>
          <w:p w14:paraId="09B30ADB" w14:textId="77777777" w:rsidR="00E0181F" w:rsidRPr="001D5327" w:rsidRDefault="00E0181F" w:rsidP="00D11AC9">
            <w:pPr>
              <w:pStyle w:val="TableText"/>
              <w:spacing w:before="40" w:after="40"/>
              <w:jc w:val="right"/>
            </w:pPr>
            <w:r w:rsidRPr="001D5327">
              <w:rPr>
                <w:rFonts w:eastAsia="Calibri" w:cs="Calibri"/>
                <w:color w:val="000000"/>
                <w:szCs w:val="16"/>
              </w:rPr>
              <w:t>0.0</w:t>
            </w:r>
          </w:p>
        </w:tc>
      </w:tr>
    </w:tbl>
    <w:p w14:paraId="7C6D2B68" w14:textId="77777777" w:rsidR="00E0181F" w:rsidRPr="001D5327" w:rsidRDefault="00E0181F" w:rsidP="00E041E6">
      <w:pPr>
        <w:pStyle w:val="Heading3"/>
        <w:spacing w:before="400"/>
      </w:pPr>
      <w:bookmarkStart w:id="2453" w:name="_Toc255466413"/>
      <w:bookmarkStart w:id="2454" w:name="_Toc261513220"/>
      <w:bookmarkStart w:id="2455" w:name="_Toc261513833"/>
      <w:bookmarkStart w:id="2456" w:name="_Toc280630305"/>
      <w:r w:rsidRPr="001D5327">
        <w:t>6.6.6</w:t>
      </w:r>
      <w:r w:rsidRPr="001D5327">
        <w:tab/>
        <w:t>Category-specific planned improvements</w:t>
      </w:r>
      <w:bookmarkEnd w:id="2432"/>
      <w:bookmarkEnd w:id="2453"/>
      <w:bookmarkEnd w:id="2454"/>
      <w:bookmarkEnd w:id="2455"/>
      <w:bookmarkEnd w:id="2456"/>
    </w:p>
    <w:p w14:paraId="03272E18" w14:textId="77777777" w:rsidR="00E0181F" w:rsidRPr="001D5327" w:rsidRDefault="00E0181F" w:rsidP="00E041E6">
      <w:pPr>
        <w:pStyle w:val="BodyText"/>
        <w:spacing w:before="100" w:after="100"/>
      </w:pPr>
      <w:r w:rsidRPr="001D5327">
        <w:t xml:space="preserve">A longitudinal study on the impact of management practices on soil carbon stocks in </w:t>
      </w:r>
      <w:r w:rsidRPr="001D5327">
        <w:rPr>
          <w:i/>
          <w:iCs/>
        </w:rPr>
        <w:t>Grassland</w:t>
      </w:r>
      <w:r w:rsidRPr="001D5327">
        <w:t xml:space="preserve"> and </w:t>
      </w:r>
      <w:r w:rsidRPr="001D5327">
        <w:rPr>
          <w:i/>
          <w:iCs/>
        </w:rPr>
        <w:t>Cropland</w:t>
      </w:r>
      <w:r w:rsidRPr="001D5327">
        <w:t xml:space="preserve"> is under way, along with improvements to the Soil CMS. This is further described in section 6.5.6.</w:t>
      </w:r>
    </w:p>
    <w:p w14:paraId="11200532" w14:textId="77777777" w:rsidR="00E0181F" w:rsidRPr="001D5327" w:rsidRDefault="00E0181F" w:rsidP="00E041E6">
      <w:pPr>
        <w:pStyle w:val="Heading2"/>
        <w:spacing w:before="280"/>
      </w:pPr>
      <w:bookmarkStart w:id="2457" w:name="_Toc310423455"/>
      <w:bookmarkStart w:id="2458" w:name="_Toc342470721"/>
      <w:bookmarkStart w:id="2459" w:name="_Toc352504873"/>
      <w:bookmarkStart w:id="2460" w:name="_Toc391024703"/>
      <w:bookmarkStart w:id="2461" w:name="_Toc414531320"/>
      <w:bookmarkStart w:id="2462" w:name="_Toc474335462"/>
      <w:bookmarkStart w:id="2463" w:name="_Toc481751402"/>
      <w:bookmarkStart w:id="2464" w:name="_Toc522013954"/>
      <w:bookmarkStart w:id="2465" w:name="_Toc5269379"/>
      <w:bookmarkStart w:id="2466" w:name="_Toc36224419"/>
      <w:bookmarkStart w:id="2467" w:name="_Toc131591253"/>
      <w:bookmarkStart w:id="2468" w:name="_Toc158980300"/>
      <w:bookmarkStart w:id="2469" w:name="_Toc164154208"/>
      <w:bookmarkStart w:id="2470" w:name="_Toc194312033"/>
      <w:r w:rsidRPr="001D5327">
        <w:t>6.7</w:t>
      </w:r>
      <w:r w:rsidRPr="001D5327">
        <w:tab/>
        <w:t>Wetlands (4D)</w:t>
      </w:r>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p>
    <w:p w14:paraId="147404AB" w14:textId="77777777" w:rsidR="00E0181F" w:rsidRPr="001D5327" w:rsidRDefault="00E0181F" w:rsidP="00E0181F">
      <w:pPr>
        <w:pStyle w:val="Heading3"/>
        <w:spacing w:before="240"/>
      </w:pPr>
      <w:r w:rsidRPr="001D5327">
        <w:t>6.7.1</w:t>
      </w:r>
      <w:r w:rsidRPr="001D5327">
        <w:tab/>
        <w:t>Description</w:t>
      </w:r>
    </w:p>
    <w:p w14:paraId="41E3D2C3" w14:textId="76F7E7F5" w:rsidR="00E0181F" w:rsidRPr="001D5327" w:rsidRDefault="00E0181F" w:rsidP="00E041E6">
      <w:pPr>
        <w:pStyle w:val="BodyText"/>
        <w:spacing w:before="100" w:after="100"/>
      </w:pPr>
      <w:r w:rsidRPr="001D5327">
        <w:t>In 2023, there were 7.5 kt CO</w:t>
      </w:r>
      <w:r w:rsidRPr="001D5327">
        <w:rPr>
          <w:vertAlign w:val="subscript"/>
        </w:rPr>
        <w:t>2</w:t>
      </w:r>
      <w:r w:rsidRPr="001D5327">
        <w:t xml:space="preserve">-e net emissions from </w:t>
      </w:r>
      <w:r w:rsidRPr="001D5327">
        <w:rPr>
          <w:i/>
        </w:rPr>
        <w:t>Wetlands</w:t>
      </w:r>
      <w:r w:rsidRPr="001D5327">
        <w:t>, compared with net emissions of</w:t>
      </w:r>
      <w:r w:rsidR="0070503C">
        <w:t xml:space="preserve"> </w:t>
      </w:r>
      <w:r w:rsidR="0070503C">
        <w:noBreakHyphen/>
      </w:r>
      <w:r w:rsidRPr="001D5327">
        <w:t>8.3 kt CO</w:t>
      </w:r>
      <w:r w:rsidRPr="001D5327">
        <w:rPr>
          <w:vertAlign w:val="subscript"/>
        </w:rPr>
        <w:t>2</w:t>
      </w:r>
      <w:r w:rsidRPr="001D5327">
        <w:t xml:space="preserve">-e from </w:t>
      </w:r>
      <w:r w:rsidRPr="001D5327">
        <w:rPr>
          <w:i/>
        </w:rPr>
        <w:t>Wetlands</w:t>
      </w:r>
      <w:r w:rsidRPr="001D5327">
        <w:t xml:space="preserve"> in 1990 (see table 6.7.1). This changing trend, from net remover in 1990 to net emitter in 2023, is due to a shift in land-use change patterns that has been observed since 1990, when compared with the changes that had occurred before 1990.</w:t>
      </w:r>
    </w:p>
    <w:p w14:paraId="5C1956FC" w14:textId="77777777" w:rsidR="00E0181F" w:rsidRPr="001D5327" w:rsidRDefault="00E0181F" w:rsidP="00E041E6">
      <w:pPr>
        <w:pStyle w:val="BodyText"/>
        <w:spacing w:before="100" w:after="100"/>
      </w:pPr>
      <w:r w:rsidRPr="001D5327">
        <w:t xml:space="preserve">As of 2023, there were 7,238 hectares in a state of conversion to </w:t>
      </w:r>
      <w:r w:rsidRPr="001D5327">
        <w:rPr>
          <w:i/>
        </w:rPr>
        <w:t>Wetlands</w:t>
      </w:r>
      <w:r w:rsidRPr="001D5327">
        <w:t xml:space="preserve"> (see table 6.7.1). These lands have been converted to </w:t>
      </w:r>
      <w:r w:rsidRPr="001D5327">
        <w:rPr>
          <w:i/>
        </w:rPr>
        <w:t>Wetlands</w:t>
      </w:r>
      <w:r w:rsidRPr="001D5327">
        <w:t xml:space="preserve"> during the previous 20 years but have not yet reached steady state.</w:t>
      </w:r>
    </w:p>
    <w:p w14:paraId="532ADAB6" w14:textId="77777777" w:rsidR="00E0181F" w:rsidRPr="001D5327" w:rsidRDefault="00E0181F" w:rsidP="00E041E6">
      <w:pPr>
        <w:pStyle w:val="BodyText"/>
        <w:spacing w:before="100" w:after="100"/>
      </w:pPr>
      <w:r w:rsidRPr="001D5327">
        <w:t xml:space="preserve">Removals from the </w:t>
      </w:r>
      <w:r w:rsidRPr="001D5327">
        <w:rPr>
          <w:i/>
          <w:iCs/>
        </w:rPr>
        <w:t>Wetlands</w:t>
      </w:r>
      <w:r w:rsidRPr="001D5327">
        <w:t xml:space="preserve"> category are driven by increases to mineral soil carbon stocks following conversions to wetland (4.4 kt CO</w:t>
      </w:r>
      <w:r w:rsidRPr="001D5327">
        <w:rPr>
          <w:vertAlign w:val="subscript"/>
        </w:rPr>
        <w:t>2</w:t>
      </w:r>
      <w:r w:rsidRPr="001D5327">
        <w:t>-e of removals in 2023 from mineral soils), while emissions are driven by the extraction of peat each year.</w:t>
      </w:r>
    </w:p>
    <w:p w14:paraId="2E1557CD" w14:textId="313523FD" w:rsidR="00E0181F" w:rsidRPr="001D5327" w:rsidRDefault="00E0181F" w:rsidP="00E0181F">
      <w:pPr>
        <w:pStyle w:val="Table"/>
      </w:pPr>
      <w:bookmarkStart w:id="2471" w:name="_Toc342470784"/>
      <w:bookmarkStart w:id="2472" w:name="_Toc352505024"/>
      <w:bookmarkStart w:id="2473" w:name="_Toc378853313"/>
      <w:bookmarkStart w:id="2474" w:name="_Toc391024111"/>
      <w:bookmarkStart w:id="2475" w:name="_Toc410028854"/>
      <w:bookmarkStart w:id="2476" w:name="_Toc414531482"/>
      <w:bookmarkStart w:id="2477" w:name="_Toc443645395"/>
      <w:bookmarkStart w:id="2478" w:name="_Toc474914614"/>
      <w:bookmarkStart w:id="2479" w:name="_Toc481751578"/>
      <w:bookmarkStart w:id="2480" w:name="_Toc522010635"/>
      <w:bookmarkStart w:id="2481" w:name="_Toc5269540"/>
      <w:bookmarkStart w:id="2482" w:name="_Toc33529414"/>
      <w:bookmarkStart w:id="2483" w:name="_Toc36224620"/>
      <w:bookmarkStart w:id="2484" w:name="_Toc131591414"/>
      <w:bookmarkStart w:id="2485" w:name="_Toc158979972"/>
      <w:bookmarkStart w:id="2486" w:name="_Toc164153905"/>
      <w:bookmarkStart w:id="2487" w:name="_Toc190873139"/>
      <w:bookmarkStart w:id="2488" w:name="_Toc194241778"/>
      <w:r w:rsidRPr="001D5327">
        <w:t>Table 6.7.1</w:t>
      </w:r>
      <w:r w:rsidRPr="001D5327">
        <w:tab/>
        <w:t xml:space="preserve">New Zealand’s land-use change for the </w:t>
      </w:r>
      <w:r w:rsidRPr="001D5327">
        <w:rPr>
          <w:i/>
        </w:rPr>
        <w:t>Wetlands</w:t>
      </w:r>
      <w:r w:rsidRPr="001D5327">
        <w:t xml:space="preserve"> category, and associated</w:t>
      </w:r>
      <w:r w:rsidRPr="001D5327">
        <w:br/>
        <w:t>CO</w:t>
      </w:r>
      <w:r w:rsidRPr="001D5327">
        <w:rPr>
          <w:vertAlign w:val="subscript"/>
        </w:rPr>
        <w:t>2</w:t>
      </w:r>
      <w:r w:rsidR="00AA4B58" w:rsidRPr="001D5327">
        <w:noBreakHyphen/>
      </w:r>
      <w:r w:rsidRPr="001D5327">
        <w:t>e emissions</w:t>
      </w:r>
      <w:bookmarkEnd w:id="2471"/>
      <w:bookmarkEnd w:id="2472"/>
      <w:bookmarkEnd w:id="2473"/>
      <w:r w:rsidRPr="001D5327">
        <w:t xml:space="preserve">, in 1990 and </w:t>
      </w:r>
      <w:bookmarkEnd w:id="2474"/>
      <w:bookmarkEnd w:id="2475"/>
      <w:bookmarkEnd w:id="2476"/>
      <w:bookmarkEnd w:id="2477"/>
      <w:bookmarkEnd w:id="2478"/>
      <w:bookmarkEnd w:id="2479"/>
      <w:bookmarkEnd w:id="2480"/>
      <w:bookmarkEnd w:id="2481"/>
      <w:bookmarkEnd w:id="2482"/>
      <w:bookmarkEnd w:id="2483"/>
      <w:bookmarkEnd w:id="2484"/>
      <w:bookmarkEnd w:id="2485"/>
      <w:bookmarkEnd w:id="2486"/>
      <w:r w:rsidRPr="001D5327">
        <w:t>2023</w:t>
      </w:r>
      <w:bookmarkEnd w:id="2487"/>
      <w:bookmarkEnd w:id="2488"/>
    </w:p>
    <w:tbl>
      <w:tblPr>
        <w:tblW w:w="0" w:type="auto"/>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551"/>
        <w:gridCol w:w="1020"/>
        <w:gridCol w:w="1020"/>
        <w:gridCol w:w="1134"/>
        <w:gridCol w:w="850"/>
        <w:gridCol w:w="850"/>
        <w:gridCol w:w="1134"/>
      </w:tblGrid>
      <w:tr w:rsidR="00E0181F" w:rsidRPr="001D5327" w14:paraId="09D76981" w14:textId="77777777" w:rsidTr="00D11AC9">
        <w:trPr>
          <w:tblHeader/>
        </w:trPr>
        <w:tc>
          <w:tcPr>
            <w:tcW w:w="2551" w:type="dxa"/>
            <w:shd w:val="clear" w:color="auto" w:fill="1B556B"/>
            <w:tcMar>
              <w:top w:w="0" w:type="dxa"/>
              <w:left w:w="85" w:type="dxa"/>
              <w:bottom w:w="0" w:type="dxa"/>
              <w:right w:w="85" w:type="dxa"/>
            </w:tcMar>
            <w:vAlign w:val="bottom"/>
          </w:tcPr>
          <w:p w14:paraId="03D62B98" w14:textId="77777777" w:rsidR="00E0181F" w:rsidRPr="001D5327" w:rsidRDefault="00E0181F" w:rsidP="00D11AC9">
            <w:pPr>
              <w:pStyle w:val="TableTextBold"/>
              <w:spacing w:before="40" w:after="40"/>
              <w:rPr>
                <w:noProof w:val="0"/>
                <w:color w:val="FFFFFF" w:themeColor="background1"/>
              </w:rPr>
            </w:pPr>
          </w:p>
        </w:tc>
        <w:tc>
          <w:tcPr>
            <w:tcW w:w="3174" w:type="dxa"/>
            <w:gridSpan w:val="3"/>
            <w:shd w:val="clear" w:color="auto" w:fill="1B556B"/>
            <w:tcMar>
              <w:top w:w="0" w:type="dxa"/>
              <w:left w:w="85" w:type="dxa"/>
              <w:bottom w:w="0" w:type="dxa"/>
              <w:right w:w="85" w:type="dxa"/>
            </w:tcMar>
            <w:vAlign w:val="bottom"/>
          </w:tcPr>
          <w:p w14:paraId="4A530AB5"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noProof w:val="0"/>
                <w:color w:val="FFFFFF" w:themeColor="background1"/>
              </w:rPr>
              <w:t>Net area (ha)</w:t>
            </w:r>
          </w:p>
        </w:tc>
        <w:tc>
          <w:tcPr>
            <w:tcW w:w="2834" w:type="dxa"/>
            <w:gridSpan w:val="3"/>
            <w:shd w:val="clear" w:color="auto" w:fill="1B556B"/>
            <w:tcMar>
              <w:top w:w="0" w:type="dxa"/>
              <w:left w:w="85" w:type="dxa"/>
              <w:bottom w:w="0" w:type="dxa"/>
              <w:right w:w="85" w:type="dxa"/>
            </w:tcMar>
            <w:vAlign w:val="bottom"/>
          </w:tcPr>
          <w:p w14:paraId="6ECEAD33"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noProof w:val="0"/>
                <w:color w:val="FFFFFF" w:themeColor="background1"/>
              </w:rPr>
              <w:t>Net emissions (kt CO₂-e)</w:t>
            </w:r>
          </w:p>
        </w:tc>
      </w:tr>
      <w:tr w:rsidR="00E0181F" w:rsidRPr="001D5327" w14:paraId="5305586E" w14:textId="77777777" w:rsidTr="00D11AC9">
        <w:trPr>
          <w:tblHeader/>
        </w:trPr>
        <w:tc>
          <w:tcPr>
            <w:tcW w:w="2551" w:type="dxa"/>
            <w:shd w:val="clear" w:color="auto" w:fill="1B556B"/>
            <w:tcMar>
              <w:top w:w="0" w:type="dxa"/>
              <w:left w:w="85" w:type="dxa"/>
              <w:bottom w:w="0" w:type="dxa"/>
              <w:right w:w="85" w:type="dxa"/>
            </w:tcMar>
            <w:vAlign w:val="bottom"/>
          </w:tcPr>
          <w:p w14:paraId="27F7239A" w14:textId="77777777" w:rsidR="00E0181F" w:rsidRPr="001D5327" w:rsidRDefault="00E0181F" w:rsidP="00D11AC9">
            <w:pPr>
              <w:pStyle w:val="TableTextBold"/>
              <w:spacing w:before="0" w:after="40"/>
              <w:rPr>
                <w:noProof w:val="0"/>
                <w:color w:val="FFFFFF" w:themeColor="background1"/>
              </w:rPr>
            </w:pPr>
            <w:r w:rsidRPr="001D5327">
              <w:rPr>
                <w:rFonts w:eastAsia="Calibri"/>
                <w:noProof w:val="0"/>
                <w:color w:val="FFFFFF" w:themeColor="background1"/>
              </w:rPr>
              <w:t>Land use category</w:t>
            </w:r>
          </w:p>
        </w:tc>
        <w:tc>
          <w:tcPr>
            <w:tcW w:w="1020" w:type="dxa"/>
            <w:shd w:val="clear" w:color="auto" w:fill="1B556B"/>
            <w:tcMar>
              <w:top w:w="0" w:type="dxa"/>
              <w:left w:w="85" w:type="dxa"/>
              <w:bottom w:w="0" w:type="dxa"/>
              <w:right w:w="85" w:type="dxa"/>
            </w:tcMar>
            <w:vAlign w:val="bottom"/>
          </w:tcPr>
          <w:p w14:paraId="4F1D8517"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1990</w:t>
            </w:r>
          </w:p>
        </w:tc>
        <w:tc>
          <w:tcPr>
            <w:tcW w:w="1020" w:type="dxa"/>
            <w:shd w:val="clear" w:color="auto" w:fill="1B556B"/>
            <w:tcMar>
              <w:top w:w="0" w:type="dxa"/>
              <w:left w:w="85" w:type="dxa"/>
              <w:bottom w:w="0" w:type="dxa"/>
              <w:right w:w="85" w:type="dxa"/>
            </w:tcMar>
            <w:vAlign w:val="bottom"/>
          </w:tcPr>
          <w:p w14:paraId="3A879B66"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2023</w:t>
            </w:r>
          </w:p>
        </w:tc>
        <w:tc>
          <w:tcPr>
            <w:tcW w:w="1134" w:type="dxa"/>
            <w:shd w:val="clear" w:color="auto" w:fill="1B556B"/>
            <w:tcMar>
              <w:top w:w="0" w:type="dxa"/>
              <w:left w:w="85" w:type="dxa"/>
              <w:bottom w:w="0" w:type="dxa"/>
              <w:right w:w="85" w:type="dxa"/>
            </w:tcMar>
            <w:vAlign w:val="bottom"/>
          </w:tcPr>
          <w:p w14:paraId="7F615BF0"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Change from 1990 (%)</w:t>
            </w:r>
          </w:p>
        </w:tc>
        <w:tc>
          <w:tcPr>
            <w:tcW w:w="850" w:type="dxa"/>
            <w:shd w:val="clear" w:color="auto" w:fill="1B556B"/>
            <w:tcMar>
              <w:top w:w="0" w:type="dxa"/>
              <w:left w:w="85" w:type="dxa"/>
              <w:bottom w:w="0" w:type="dxa"/>
              <w:right w:w="85" w:type="dxa"/>
            </w:tcMar>
            <w:vAlign w:val="bottom"/>
          </w:tcPr>
          <w:p w14:paraId="5510F5C1"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1990</w:t>
            </w:r>
          </w:p>
        </w:tc>
        <w:tc>
          <w:tcPr>
            <w:tcW w:w="850" w:type="dxa"/>
            <w:shd w:val="clear" w:color="auto" w:fill="1B556B"/>
            <w:tcMar>
              <w:top w:w="0" w:type="dxa"/>
              <w:left w:w="85" w:type="dxa"/>
              <w:bottom w:w="0" w:type="dxa"/>
              <w:right w:w="85" w:type="dxa"/>
            </w:tcMar>
            <w:vAlign w:val="bottom"/>
          </w:tcPr>
          <w:p w14:paraId="06B0D8CA"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2023</w:t>
            </w:r>
          </w:p>
        </w:tc>
        <w:tc>
          <w:tcPr>
            <w:tcW w:w="1134" w:type="dxa"/>
            <w:shd w:val="clear" w:color="auto" w:fill="1B556B"/>
            <w:tcMar>
              <w:top w:w="0" w:type="dxa"/>
              <w:left w:w="85" w:type="dxa"/>
              <w:bottom w:w="0" w:type="dxa"/>
              <w:right w:w="85" w:type="dxa"/>
            </w:tcMar>
            <w:vAlign w:val="bottom"/>
          </w:tcPr>
          <w:p w14:paraId="49797188"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Change from 1990 (%)</w:t>
            </w:r>
          </w:p>
        </w:tc>
      </w:tr>
      <w:tr w:rsidR="00E0181F" w:rsidRPr="001D5327" w14:paraId="669B4060" w14:textId="77777777" w:rsidTr="00D11AC9">
        <w:tc>
          <w:tcPr>
            <w:tcW w:w="2551" w:type="dxa"/>
            <w:shd w:val="clear" w:color="auto" w:fill="FFFFFF"/>
            <w:tcMar>
              <w:top w:w="0" w:type="dxa"/>
              <w:left w:w="85" w:type="dxa"/>
              <w:bottom w:w="0" w:type="dxa"/>
              <w:right w:w="85" w:type="dxa"/>
            </w:tcMar>
            <w:vAlign w:val="bottom"/>
          </w:tcPr>
          <w:p w14:paraId="0F1E4EA1" w14:textId="77777777" w:rsidR="00E0181F" w:rsidRPr="001D5327" w:rsidRDefault="00E0181F" w:rsidP="00D11AC9">
            <w:pPr>
              <w:pStyle w:val="TableText"/>
              <w:spacing w:before="40" w:after="40"/>
            </w:pPr>
            <w:r w:rsidRPr="001D5327">
              <w:rPr>
                <w:rFonts w:eastAsia="Calibri"/>
              </w:rPr>
              <w:t>Wetlands remaining wetlands</w:t>
            </w:r>
          </w:p>
        </w:tc>
        <w:tc>
          <w:tcPr>
            <w:tcW w:w="1020" w:type="dxa"/>
            <w:shd w:val="clear" w:color="auto" w:fill="FFFFFF"/>
            <w:tcMar>
              <w:top w:w="0" w:type="dxa"/>
              <w:left w:w="85" w:type="dxa"/>
              <w:bottom w:w="0" w:type="dxa"/>
              <w:right w:w="85" w:type="dxa"/>
            </w:tcMar>
            <w:vAlign w:val="bottom"/>
          </w:tcPr>
          <w:p w14:paraId="18BB21BA" w14:textId="77777777" w:rsidR="00E0181F" w:rsidRPr="001D5327" w:rsidRDefault="00E0181F" w:rsidP="00D11AC9">
            <w:pPr>
              <w:pStyle w:val="TableText"/>
              <w:spacing w:before="40" w:after="40"/>
              <w:jc w:val="right"/>
            </w:pPr>
            <w:r w:rsidRPr="001D5327">
              <w:rPr>
                <w:rFonts w:eastAsia="Calibri"/>
              </w:rPr>
              <w:t>770,745</w:t>
            </w:r>
          </w:p>
        </w:tc>
        <w:tc>
          <w:tcPr>
            <w:tcW w:w="1020" w:type="dxa"/>
            <w:shd w:val="clear" w:color="auto" w:fill="FFFFFF"/>
            <w:tcMar>
              <w:top w:w="0" w:type="dxa"/>
              <w:left w:w="85" w:type="dxa"/>
              <w:bottom w:w="0" w:type="dxa"/>
              <w:right w:w="85" w:type="dxa"/>
            </w:tcMar>
            <w:vAlign w:val="bottom"/>
          </w:tcPr>
          <w:p w14:paraId="5E0988A0" w14:textId="77777777" w:rsidR="00E0181F" w:rsidRPr="001D5327" w:rsidRDefault="00E0181F" w:rsidP="00D11AC9">
            <w:pPr>
              <w:pStyle w:val="TableText"/>
              <w:spacing w:before="40" w:after="40"/>
              <w:jc w:val="right"/>
            </w:pPr>
            <w:r w:rsidRPr="001D5327">
              <w:rPr>
                <w:rFonts w:eastAsia="Calibri"/>
              </w:rPr>
              <w:t>774,100</w:t>
            </w:r>
          </w:p>
        </w:tc>
        <w:tc>
          <w:tcPr>
            <w:tcW w:w="1134" w:type="dxa"/>
            <w:shd w:val="clear" w:color="auto" w:fill="FFFFFF"/>
            <w:tcMar>
              <w:top w:w="0" w:type="dxa"/>
              <w:left w:w="85" w:type="dxa"/>
              <w:bottom w:w="0" w:type="dxa"/>
              <w:right w:w="85" w:type="dxa"/>
            </w:tcMar>
            <w:vAlign w:val="bottom"/>
          </w:tcPr>
          <w:p w14:paraId="2ECB5AD6" w14:textId="77777777" w:rsidR="00E0181F" w:rsidRPr="001D5327" w:rsidRDefault="00E0181F" w:rsidP="00D11AC9">
            <w:pPr>
              <w:pStyle w:val="TableText"/>
              <w:spacing w:before="40" w:after="40"/>
              <w:jc w:val="right"/>
            </w:pPr>
            <w:r w:rsidRPr="001D5327">
              <w:rPr>
                <w:rFonts w:eastAsia="Calibri"/>
              </w:rPr>
              <w:t>0.4</w:t>
            </w:r>
          </w:p>
        </w:tc>
        <w:tc>
          <w:tcPr>
            <w:tcW w:w="850" w:type="dxa"/>
            <w:shd w:val="clear" w:color="auto" w:fill="FFFFFF"/>
            <w:tcMar>
              <w:top w:w="0" w:type="dxa"/>
              <w:left w:w="85" w:type="dxa"/>
              <w:bottom w:w="0" w:type="dxa"/>
              <w:right w:w="85" w:type="dxa"/>
            </w:tcMar>
            <w:vAlign w:val="bottom"/>
          </w:tcPr>
          <w:p w14:paraId="4A688F1F" w14:textId="77777777" w:rsidR="00E0181F" w:rsidRPr="001D5327" w:rsidRDefault="00E0181F" w:rsidP="00D11AC9">
            <w:pPr>
              <w:pStyle w:val="TableText"/>
              <w:spacing w:before="40" w:after="40"/>
              <w:jc w:val="right"/>
            </w:pPr>
            <w:r w:rsidRPr="001D5327">
              <w:rPr>
                <w:rFonts w:eastAsia="Calibri"/>
              </w:rPr>
              <w:t>11.5</w:t>
            </w:r>
          </w:p>
        </w:tc>
        <w:tc>
          <w:tcPr>
            <w:tcW w:w="850" w:type="dxa"/>
            <w:shd w:val="clear" w:color="auto" w:fill="FFFFFF"/>
            <w:tcMar>
              <w:top w:w="0" w:type="dxa"/>
              <w:left w:w="85" w:type="dxa"/>
              <w:bottom w:w="0" w:type="dxa"/>
              <w:right w:w="85" w:type="dxa"/>
            </w:tcMar>
            <w:vAlign w:val="bottom"/>
          </w:tcPr>
          <w:p w14:paraId="284767C3" w14:textId="77777777" w:rsidR="00E0181F" w:rsidRPr="001D5327" w:rsidRDefault="00E0181F" w:rsidP="00D11AC9">
            <w:pPr>
              <w:pStyle w:val="TableText"/>
              <w:spacing w:before="40" w:after="40"/>
              <w:jc w:val="right"/>
            </w:pPr>
            <w:r w:rsidRPr="001D5327">
              <w:rPr>
                <w:rFonts w:eastAsia="Calibri"/>
              </w:rPr>
              <w:t>22.5</w:t>
            </w:r>
          </w:p>
        </w:tc>
        <w:tc>
          <w:tcPr>
            <w:tcW w:w="1134" w:type="dxa"/>
            <w:shd w:val="clear" w:color="auto" w:fill="FFFFFF"/>
            <w:tcMar>
              <w:top w:w="0" w:type="dxa"/>
              <w:left w:w="85" w:type="dxa"/>
              <w:bottom w:w="0" w:type="dxa"/>
              <w:right w:w="85" w:type="dxa"/>
            </w:tcMar>
            <w:vAlign w:val="bottom"/>
          </w:tcPr>
          <w:p w14:paraId="566472F7" w14:textId="77777777" w:rsidR="00E0181F" w:rsidRPr="001D5327" w:rsidRDefault="00E0181F" w:rsidP="00D11AC9">
            <w:pPr>
              <w:pStyle w:val="TableText"/>
              <w:spacing w:before="40" w:after="40"/>
              <w:jc w:val="right"/>
            </w:pPr>
            <w:r w:rsidRPr="001D5327">
              <w:rPr>
                <w:rFonts w:eastAsia="Calibri"/>
              </w:rPr>
              <w:t>95.3</w:t>
            </w:r>
          </w:p>
        </w:tc>
      </w:tr>
      <w:tr w:rsidR="00E0181F" w:rsidRPr="001D5327" w14:paraId="3608E4EE" w14:textId="77777777" w:rsidTr="00D11AC9">
        <w:tc>
          <w:tcPr>
            <w:tcW w:w="2551" w:type="dxa"/>
            <w:shd w:val="clear" w:color="auto" w:fill="FFFFFF"/>
            <w:tcMar>
              <w:top w:w="0" w:type="dxa"/>
              <w:left w:w="85" w:type="dxa"/>
              <w:bottom w:w="0" w:type="dxa"/>
              <w:right w:w="85" w:type="dxa"/>
            </w:tcMar>
            <w:vAlign w:val="bottom"/>
          </w:tcPr>
          <w:p w14:paraId="6D018A20" w14:textId="77777777" w:rsidR="00E0181F" w:rsidRPr="001D5327" w:rsidRDefault="00E0181F" w:rsidP="00D11AC9">
            <w:pPr>
              <w:pStyle w:val="TableText"/>
              <w:spacing w:before="40" w:after="40"/>
            </w:pPr>
            <w:r w:rsidRPr="001D5327">
              <w:rPr>
                <w:rFonts w:eastAsia="Calibri"/>
              </w:rPr>
              <w:t>Land converted to wetlands</w:t>
            </w:r>
          </w:p>
        </w:tc>
        <w:tc>
          <w:tcPr>
            <w:tcW w:w="1020" w:type="dxa"/>
            <w:shd w:val="clear" w:color="auto" w:fill="FFFFFF"/>
            <w:tcMar>
              <w:top w:w="0" w:type="dxa"/>
              <w:left w:w="85" w:type="dxa"/>
              <w:bottom w:w="0" w:type="dxa"/>
              <w:right w:w="85" w:type="dxa"/>
            </w:tcMar>
            <w:vAlign w:val="bottom"/>
          </w:tcPr>
          <w:p w14:paraId="6F1CD300" w14:textId="77777777" w:rsidR="00E0181F" w:rsidRPr="001D5327" w:rsidRDefault="00E0181F" w:rsidP="00D11AC9">
            <w:pPr>
              <w:pStyle w:val="TableText"/>
              <w:spacing w:before="40" w:after="40"/>
              <w:jc w:val="right"/>
            </w:pPr>
            <w:r w:rsidRPr="001D5327">
              <w:rPr>
                <w:rFonts w:eastAsia="Calibri"/>
              </w:rPr>
              <w:t>10,276</w:t>
            </w:r>
          </w:p>
        </w:tc>
        <w:tc>
          <w:tcPr>
            <w:tcW w:w="1020" w:type="dxa"/>
            <w:shd w:val="clear" w:color="auto" w:fill="FFFFFF"/>
            <w:tcMar>
              <w:top w:w="0" w:type="dxa"/>
              <w:left w:w="85" w:type="dxa"/>
              <w:bottom w:w="0" w:type="dxa"/>
              <w:right w:w="85" w:type="dxa"/>
            </w:tcMar>
            <w:vAlign w:val="bottom"/>
          </w:tcPr>
          <w:p w14:paraId="3FD79E10" w14:textId="77777777" w:rsidR="00E0181F" w:rsidRPr="001D5327" w:rsidRDefault="00E0181F" w:rsidP="00D11AC9">
            <w:pPr>
              <w:pStyle w:val="TableText"/>
              <w:spacing w:before="40" w:after="40"/>
              <w:jc w:val="right"/>
            </w:pPr>
            <w:r w:rsidRPr="001D5327">
              <w:rPr>
                <w:rFonts w:eastAsia="Calibri"/>
              </w:rPr>
              <w:t>7,238</w:t>
            </w:r>
          </w:p>
        </w:tc>
        <w:tc>
          <w:tcPr>
            <w:tcW w:w="1134" w:type="dxa"/>
            <w:shd w:val="clear" w:color="auto" w:fill="FFFFFF"/>
            <w:tcMar>
              <w:top w:w="0" w:type="dxa"/>
              <w:left w:w="85" w:type="dxa"/>
              <w:bottom w:w="0" w:type="dxa"/>
              <w:right w:w="85" w:type="dxa"/>
            </w:tcMar>
            <w:vAlign w:val="bottom"/>
          </w:tcPr>
          <w:p w14:paraId="4DD7976A" w14:textId="2380A862" w:rsidR="00E0181F" w:rsidRPr="001D5327" w:rsidRDefault="0070503C" w:rsidP="00D11AC9">
            <w:pPr>
              <w:pStyle w:val="TableText"/>
              <w:spacing w:before="40" w:after="40"/>
              <w:jc w:val="right"/>
            </w:pPr>
            <w:r>
              <w:rPr>
                <w:rFonts w:eastAsia="Calibri"/>
              </w:rPr>
              <w:t>-</w:t>
            </w:r>
            <w:r w:rsidR="00E0181F" w:rsidRPr="001D5327">
              <w:rPr>
                <w:rFonts w:eastAsia="Calibri"/>
              </w:rPr>
              <w:t>29.6</w:t>
            </w:r>
          </w:p>
        </w:tc>
        <w:tc>
          <w:tcPr>
            <w:tcW w:w="850" w:type="dxa"/>
            <w:shd w:val="clear" w:color="auto" w:fill="FFFFFF"/>
            <w:tcMar>
              <w:top w:w="0" w:type="dxa"/>
              <w:left w:w="85" w:type="dxa"/>
              <w:bottom w:w="0" w:type="dxa"/>
              <w:right w:w="85" w:type="dxa"/>
            </w:tcMar>
            <w:vAlign w:val="bottom"/>
          </w:tcPr>
          <w:p w14:paraId="62D8A1E9" w14:textId="3C55A6AF" w:rsidR="00E0181F" w:rsidRPr="001D5327" w:rsidRDefault="0070503C" w:rsidP="00D11AC9">
            <w:pPr>
              <w:pStyle w:val="TableText"/>
              <w:spacing w:before="40" w:after="40"/>
              <w:jc w:val="right"/>
            </w:pPr>
            <w:r>
              <w:rPr>
                <w:rFonts w:eastAsia="Calibri"/>
              </w:rPr>
              <w:t>-</w:t>
            </w:r>
            <w:r w:rsidR="00E0181F" w:rsidRPr="001D5327">
              <w:rPr>
                <w:rFonts w:eastAsia="Calibri"/>
              </w:rPr>
              <w:t>19.8</w:t>
            </w:r>
          </w:p>
        </w:tc>
        <w:tc>
          <w:tcPr>
            <w:tcW w:w="850" w:type="dxa"/>
            <w:shd w:val="clear" w:color="auto" w:fill="FFFFFF"/>
            <w:tcMar>
              <w:top w:w="0" w:type="dxa"/>
              <w:left w:w="85" w:type="dxa"/>
              <w:bottom w:w="0" w:type="dxa"/>
              <w:right w:w="85" w:type="dxa"/>
            </w:tcMar>
            <w:vAlign w:val="bottom"/>
          </w:tcPr>
          <w:p w14:paraId="2BC850C5" w14:textId="3852E3AD" w:rsidR="00E0181F" w:rsidRPr="001D5327" w:rsidRDefault="0070503C" w:rsidP="00D11AC9">
            <w:pPr>
              <w:pStyle w:val="TableText"/>
              <w:spacing w:before="40" w:after="40"/>
              <w:jc w:val="right"/>
            </w:pPr>
            <w:r>
              <w:rPr>
                <w:rFonts w:eastAsia="Calibri"/>
              </w:rPr>
              <w:t>-</w:t>
            </w:r>
            <w:r w:rsidR="00E0181F" w:rsidRPr="001D5327">
              <w:rPr>
                <w:rFonts w:eastAsia="Calibri"/>
              </w:rPr>
              <w:t>15.0</w:t>
            </w:r>
          </w:p>
        </w:tc>
        <w:tc>
          <w:tcPr>
            <w:tcW w:w="1134" w:type="dxa"/>
            <w:shd w:val="clear" w:color="auto" w:fill="FFFFFF"/>
            <w:tcMar>
              <w:top w:w="0" w:type="dxa"/>
              <w:left w:w="85" w:type="dxa"/>
              <w:bottom w:w="0" w:type="dxa"/>
              <w:right w:w="85" w:type="dxa"/>
            </w:tcMar>
            <w:vAlign w:val="bottom"/>
          </w:tcPr>
          <w:p w14:paraId="3ECF6956" w14:textId="77777777" w:rsidR="00E0181F" w:rsidRPr="001D5327" w:rsidRDefault="00E0181F" w:rsidP="00D11AC9">
            <w:pPr>
              <w:pStyle w:val="TableText"/>
              <w:spacing w:before="40" w:after="40"/>
              <w:jc w:val="right"/>
            </w:pPr>
            <w:r w:rsidRPr="001D5327">
              <w:rPr>
                <w:rFonts w:eastAsia="Calibri"/>
              </w:rPr>
              <w:t>24.1</w:t>
            </w:r>
          </w:p>
        </w:tc>
      </w:tr>
      <w:tr w:rsidR="00E0181F" w:rsidRPr="001D5327" w14:paraId="2A79C7F3" w14:textId="77777777" w:rsidTr="00D11AC9">
        <w:tc>
          <w:tcPr>
            <w:tcW w:w="2551" w:type="dxa"/>
            <w:shd w:val="clear" w:color="auto" w:fill="FFFFFF"/>
            <w:tcMar>
              <w:top w:w="0" w:type="dxa"/>
              <w:left w:w="85" w:type="dxa"/>
              <w:bottom w:w="0" w:type="dxa"/>
              <w:right w:w="85" w:type="dxa"/>
            </w:tcMar>
            <w:vAlign w:val="bottom"/>
          </w:tcPr>
          <w:p w14:paraId="0E434C64" w14:textId="77777777" w:rsidR="00E0181F" w:rsidRPr="001D5327" w:rsidRDefault="00E0181F" w:rsidP="00D11AC9">
            <w:pPr>
              <w:pStyle w:val="Tableboldblue"/>
              <w:spacing w:before="40" w:after="40"/>
            </w:pPr>
            <w:r w:rsidRPr="001D5327">
              <w:rPr>
                <w:rFonts w:eastAsia="Calibri"/>
              </w:rPr>
              <w:t>Total</w:t>
            </w:r>
          </w:p>
        </w:tc>
        <w:tc>
          <w:tcPr>
            <w:tcW w:w="1020" w:type="dxa"/>
            <w:shd w:val="clear" w:color="auto" w:fill="FFFFFF"/>
            <w:tcMar>
              <w:top w:w="0" w:type="dxa"/>
              <w:left w:w="85" w:type="dxa"/>
              <w:bottom w:w="0" w:type="dxa"/>
              <w:right w:w="85" w:type="dxa"/>
            </w:tcMar>
            <w:vAlign w:val="bottom"/>
          </w:tcPr>
          <w:p w14:paraId="46D64835" w14:textId="77777777" w:rsidR="00E0181F" w:rsidRPr="001D5327" w:rsidRDefault="00E0181F" w:rsidP="00D11AC9">
            <w:pPr>
              <w:pStyle w:val="Tableboldblue"/>
              <w:spacing w:before="40" w:after="40"/>
              <w:jc w:val="right"/>
            </w:pPr>
            <w:r w:rsidRPr="001D5327">
              <w:rPr>
                <w:rFonts w:eastAsia="Calibri"/>
              </w:rPr>
              <w:t>781,021</w:t>
            </w:r>
          </w:p>
        </w:tc>
        <w:tc>
          <w:tcPr>
            <w:tcW w:w="1020" w:type="dxa"/>
            <w:shd w:val="clear" w:color="auto" w:fill="FFFFFF"/>
            <w:tcMar>
              <w:top w:w="0" w:type="dxa"/>
              <w:left w:w="85" w:type="dxa"/>
              <w:bottom w:w="0" w:type="dxa"/>
              <w:right w:w="85" w:type="dxa"/>
            </w:tcMar>
            <w:vAlign w:val="bottom"/>
          </w:tcPr>
          <w:p w14:paraId="259CF5B8" w14:textId="77777777" w:rsidR="00E0181F" w:rsidRPr="001D5327" w:rsidRDefault="00E0181F" w:rsidP="00D11AC9">
            <w:pPr>
              <w:pStyle w:val="Tableboldblue"/>
              <w:spacing w:before="40" w:after="40"/>
              <w:jc w:val="right"/>
            </w:pPr>
            <w:r w:rsidRPr="001D5327">
              <w:rPr>
                <w:rFonts w:eastAsia="Calibri"/>
              </w:rPr>
              <w:t>781,338</w:t>
            </w:r>
          </w:p>
        </w:tc>
        <w:tc>
          <w:tcPr>
            <w:tcW w:w="1134" w:type="dxa"/>
            <w:shd w:val="clear" w:color="auto" w:fill="FFFFFF"/>
            <w:tcMar>
              <w:top w:w="0" w:type="dxa"/>
              <w:left w:w="85" w:type="dxa"/>
              <w:bottom w:w="0" w:type="dxa"/>
              <w:right w:w="85" w:type="dxa"/>
            </w:tcMar>
            <w:vAlign w:val="bottom"/>
          </w:tcPr>
          <w:p w14:paraId="118B4CDE" w14:textId="77777777" w:rsidR="00E0181F" w:rsidRPr="001D5327" w:rsidRDefault="00E0181F" w:rsidP="00D11AC9">
            <w:pPr>
              <w:pStyle w:val="Tableboldblue"/>
              <w:spacing w:before="40" w:after="40"/>
              <w:jc w:val="right"/>
            </w:pPr>
            <w:r w:rsidRPr="001D5327">
              <w:rPr>
                <w:rFonts w:eastAsia="Calibri"/>
              </w:rPr>
              <w:t>0.0</w:t>
            </w:r>
          </w:p>
        </w:tc>
        <w:tc>
          <w:tcPr>
            <w:tcW w:w="850" w:type="dxa"/>
            <w:shd w:val="clear" w:color="auto" w:fill="FFFFFF"/>
            <w:tcMar>
              <w:top w:w="0" w:type="dxa"/>
              <w:left w:w="85" w:type="dxa"/>
              <w:bottom w:w="0" w:type="dxa"/>
              <w:right w:w="85" w:type="dxa"/>
            </w:tcMar>
            <w:vAlign w:val="bottom"/>
          </w:tcPr>
          <w:p w14:paraId="28109CE4" w14:textId="7D8F25AC" w:rsidR="00E0181F" w:rsidRPr="001D5327" w:rsidRDefault="0070503C" w:rsidP="00D11AC9">
            <w:pPr>
              <w:pStyle w:val="Tableboldblue"/>
              <w:spacing w:before="40" w:after="40"/>
              <w:jc w:val="right"/>
            </w:pPr>
            <w:r>
              <w:rPr>
                <w:rFonts w:eastAsia="Calibri"/>
              </w:rPr>
              <w:t>-</w:t>
            </w:r>
            <w:r w:rsidR="00E0181F" w:rsidRPr="001D5327">
              <w:rPr>
                <w:rFonts w:eastAsia="Calibri"/>
              </w:rPr>
              <w:t>8.3</w:t>
            </w:r>
          </w:p>
        </w:tc>
        <w:tc>
          <w:tcPr>
            <w:tcW w:w="850" w:type="dxa"/>
            <w:shd w:val="clear" w:color="auto" w:fill="FFFFFF"/>
            <w:tcMar>
              <w:top w:w="0" w:type="dxa"/>
              <w:left w:w="85" w:type="dxa"/>
              <w:bottom w:w="0" w:type="dxa"/>
              <w:right w:w="85" w:type="dxa"/>
            </w:tcMar>
            <w:vAlign w:val="bottom"/>
          </w:tcPr>
          <w:p w14:paraId="205FB22B" w14:textId="77777777" w:rsidR="00E0181F" w:rsidRPr="001D5327" w:rsidRDefault="00E0181F" w:rsidP="00D11AC9">
            <w:pPr>
              <w:pStyle w:val="Tableboldblue"/>
              <w:spacing w:before="40" w:after="40"/>
              <w:jc w:val="right"/>
            </w:pPr>
            <w:r w:rsidRPr="001D5327">
              <w:rPr>
                <w:rFonts w:eastAsia="Calibri"/>
              </w:rPr>
              <w:t>7.5</w:t>
            </w:r>
          </w:p>
        </w:tc>
        <w:tc>
          <w:tcPr>
            <w:tcW w:w="1134" w:type="dxa"/>
            <w:shd w:val="clear" w:color="auto" w:fill="FFFFFF"/>
            <w:tcMar>
              <w:top w:w="0" w:type="dxa"/>
              <w:left w:w="85" w:type="dxa"/>
              <w:bottom w:w="0" w:type="dxa"/>
              <w:right w:w="85" w:type="dxa"/>
            </w:tcMar>
            <w:vAlign w:val="bottom"/>
          </w:tcPr>
          <w:p w14:paraId="1242DF36" w14:textId="77777777" w:rsidR="00E0181F" w:rsidRPr="001D5327" w:rsidRDefault="00E0181F" w:rsidP="00D11AC9">
            <w:pPr>
              <w:pStyle w:val="Tableboldblue"/>
              <w:spacing w:before="40" w:after="40"/>
              <w:jc w:val="right"/>
            </w:pPr>
            <w:r w:rsidRPr="001D5327">
              <w:rPr>
                <w:rFonts w:eastAsia="Calibri"/>
              </w:rPr>
              <w:t>190.4</w:t>
            </w:r>
          </w:p>
        </w:tc>
      </w:tr>
    </w:tbl>
    <w:p w14:paraId="1CF88AFF" w14:textId="77777777" w:rsidR="00E0181F" w:rsidRPr="001D5327" w:rsidRDefault="00E0181F" w:rsidP="00E0181F">
      <w:pPr>
        <w:pStyle w:val="Noteundertable"/>
        <w:spacing w:after="80"/>
      </w:pPr>
      <w:r w:rsidRPr="001D5327">
        <w:rPr>
          <w:b/>
          <w:bCs/>
        </w:rPr>
        <w:t xml:space="preserve">Note: </w:t>
      </w:r>
      <w:r w:rsidRPr="001D5327">
        <w:tab/>
        <w:t>Net area in 1990 is as at 1 January 1990; net area in 2023 is as at 31 December 2023.</w:t>
      </w:r>
      <w:r w:rsidRPr="001D5327">
        <w:rPr>
          <w:i/>
          <w:iCs/>
        </w:rPr>
        <w:t xml:space="preserve"> Land converted to wetlands</w:t>
      </w:r>
      <w:r w:rsidRPr="001D5327">
        <w:t xml:space="preserve"> includes land converted up to 20 years earlier. Net emission values are for the whole year indicated. Columns may not total due to rounding.</w:t>
      </w:r>
    </w:p>
    <w:p w14:paraId="05F92AB0" w14:textId="77777777" w:rsidR="00E0181F" w:rsidRPr="001D5327" w:rsidRDefault="00E0181F" w:rsidP="00E041E6">
      <w:pPr>
        <w:pStyle w:val="BodyText"/>
        <w:spacing w:before="100" w:after="100"/>
      </w:pPr>
      <w:r w:rsidRPr="001D5327">
        <w:t xml:space="preserve">New Zealand’s </w:t>
      </w:r>
      <w:r w:rsidRPr="001D5327">
        <w:rPr>
          <w:i/>
        </w:rPr>
        <w:t>Wetlands</w:t>
      </w:r>
      <w:r w:rsidRPr="001D5327">
        <w:t xml:space="preserve"> are currently mapped into two types: open water, which includes artificially flooded lands, lakes and rivers; and vegetated wetland, which includes herbaceous vegetation that is periodically flooded, and estuarine and tidal areas. Flooded lands, a category of </w:t>
      </w:r>
      <w:r w:rsidRPr="001D5327">
        <w:rPr>
          <w:i/>
        </w:rPr>
        <w:t>Wetlands</w:t>
      </w:r>
      <w:r w:rsidRPr="001D5327">
        <w:t>, are defined in the 2006 IPCC Guidelines</w:t>
      </w:r>
      <w:r w:rsidRPr="001D5327" w:rsidDel="0015189E">
        <w:t xml:space="preserve"> </w:t>
      </w:r>
      <w:r w:rsidRPr="001D5327">
        <w:t>(IPCC, 2006a, p 7.19) as:</w:t>
      </w:r>
    </w:p>
    <w:p w14:paraId="42E75171" w14:textId="77777777" w:rsidR="00E0181F" w:rsidRPr="001D5327" w:rsidRDefault="00E0181F" w:rsidP="00795762">
      <w:pPr>
        <w:pStyle w:val="Quote"/>
      </w:pPr>
      <w:r w:rsidRPr="001D5327">
        <w:t>… water bodies where human activities have caused changes in the amount of surface area covered by water, typically through water level regulation. … Regulated lakes and rivers that do not have substantial changes in water area in comparison with the pre-flooded ecosystem are not considered as Flooded Lands.</w:t>
      </w:r>
    </w:p>
    <w:p w14:paraId="3F2C3C09" w14:textId="77777777" w:rsidR="00E0181F" w:rsidRPr="001D5327" w:rsidRDefault="00E0181F" w:rsidP="00E0181F">
      <w:pPr>
        <w:pStyle w:val="BodyText"/>
        <w:rPr>
          <w:rFonts w:cs="Calibri"/>
        </w:rPr>
      </w:pPr>
      <w:r w:rsidRPr="001D5327">
        <w:lastRenderedPageBreak/>
        <w:t xml:space="preserve">The majority of New Zealand’s hydroelectric schemes are based on rivers and lakes where the main pre-flooded ecosystem was a natural lake or river; therefore, they are not defined </w:t>
      </w:r>
      <w:r w:rsidRPr="001D5327">
        <w:rPr>
          <w:rFonts w:cs="Calibri"/>
        </w:rPr>
        <w:t>as flooded lands.</w:t>
      </w:r>
      <w:r w:rsidRPr="001D5327">
        <w:rPr>
          <w:rStyle w:val="FootnoteReference"/>
        </w:rPr>
        <w:footnoteReference w:id="51"/>
      </w:r>
      <w:r w:rsidRPr="001D5327">
        <w:rPr>
          <w:rFonts w:cs="Calibri"/>
        </w:rPr>
        <w:t xml:space="preserve"> </w:t>
      </w:r>
    </w:p>
    <w:p w14:paraId="1F07F2E6" w14:textId="77777777" w:rsidR="00E0181F" w:rsidRPr="001D5327" w:rsidRDefault="00E0181F" w:rsidP="00E0181F">
      <w:pPr>
        <w:pStyle w:val="BodyText"/>
      </w:pPr>
      <w:r w:rsidRPr="001D5327">
        <w:t>In 2023, there were 537,525 hectares of open water and 243,813 hectares of vegetated wetlands. Together, these two land use types make up 2.9 per cent of the total New Zealand land area.</w:t>
      </w:r>
    </w:p>
    <w:p w14:paraId="0EFE1BED" w14:textId="77777777" w:rsidR="00E0181F" w:rsidRPr="001D5327" w:rsidRDefault="00E0181F" w:rsidP="00E0181F">
      <w:pPr>
        <w:pStyle w:val="BodyText"/>
      </w:pPr>
      <w:r w:rsidRPr="001D5327">
        <w:t xml:space="preserve">In 2016, a study was commissioned to identify and map current and historical (from 1990) horticultural peat mining areas, peat type and quantity, and post-mining activities (Clarkson, unpublished). This work estimated there were 273 hectares under peat extraction in 2015. Due to a lack of further information, this area is assumed to be constant from 1990 to 2023. The results of this study have been incorporated into New Zealand’s 2016 land use map. </w:t>
      </w:r>
    </w:p>
    <w:p w14:paraId="458219AE" w14:textId="77777777" w:rsidR="00E0181F" w:rsidRPr="001D5327" w:rsidRDefault="00E0181F" w:rsidP="00E0181F">
      <w:pPr>
        <w:pStyle w:val="BodyText"/>
      </w:pPr>
      <w:r w:rsidRPr="001D5327">
        <w:t xml:space="preserve">From 1990 to 2023, the net carbon stocks in </w:t>
      </w:r>
      <w:r w:rsidRPr="001D5327">
        <w:rPr>
          <w:i/>
        </w:rPr>
        <w:t>Wetlands</w:t>
      </w:r>
      <w:r w:rsidRPr="001D5327">
        <w:t xml:space="preserve"> decreased by 9.3 kt C, equivalent to emissions of 34.1 kt CO</w:t>
      </w:r>
      <w:r w:rsidRPr="001D5327">
        <w:rPr>
          <w:vertAlign w:val="subscript"/>
        </w:rPr>
        <w:t>2</w:t>
      </w:r>
      <w:r w:rsidRPr="001D5327">
        <w:t xml:space="preserve"> in total since 1990 (see table 6.7.2).</w:t>
      </w:r>
    </w:p>
    <w:p w14:paraId="2B200619" w14:textId="77777777" w:rsidR="00E0181F" w:rsidRPr="001D5327" w:rsidRDefault="00E0181F" w:rsidP="00E0181F">
      <w:pPr>
        <w:pStyle w:val="Table"/>
        <w:rPr>
          <w:spacing w:val="-2"/>
        </w:rPr>
      </w:pPr>
      <w:bookmarkStart w:id="2489" w:name="_Toc342470785"/>
      <w:bookmarkStart w:id="2490" w:name="_Toc352505025"/>
      <w:bookmarkStart w:id="2491" w:name="_Toc378853314"/>
      <w:bookmarkStart w:id="2492" w:name="_Toc391024112"/>
      <w:bookmarkStart w:id="2493" w:name="_Toc410028855"/>
      <w:bookmarkStart w:id="2494" w:name="_Toc414531483"/>
      <w:bookmarkStart w:id="2495" w:name="_Toc443645396"/>
      <w:bookmarkStart w:id="2496" w:name="_Toc474914615"/>
      <w:bookmarkStart w:id="2497" w:name="_Toc481751579"/>
      <w:bookmarkStart w:id="2498" w:name="_Toc522010636"/>
      <w:bookmarkStart w:id="2499" w:name="_Toc5269541"/>
      <w:bookmarkStart w:id="2500" w:name="_Toc33529415"/>
      <w:bookmarkStart w:id="2501" w:name="_Toc36224621"/>
      <w:bookmarkStart w:id="2502" w:name="_Toc131591415"/>
      <w:bookmarkStart w:id="2503" w:name="_Toc158979973"/>
      <w:bookmarkStart w:id="2504" w:name="_Toc164153906"/>
      <w:bookmarkStart w:id="2505" w:name="_Toc190873140"/>
      <w:bookmarkStart w:id="2506" w:name="_Toc194241779"/>
      <w:r w:rsidRPr="001D5327">
        <w:t>Table 6.7.2</w:t>
      </w:r>
      <w:r w:rsidRPr="001D5327">
        <w:tab/>
      </w:r>
      <w:r w:rsidRPr="001D5327">
        <w:rPr>
          <w:spacing w:val="-2"/>
        </w:rPr>
        <w:t xml:space="preserve">New Zealand’s carbon stock change by carbon pool for the </w:t>
      </w:r>
      <w:r w:rsidRPr="001D5327">
        <w:rPr>
          <w:i/>
          <w:spacing w:val="-2"/>
        </w:rPr>
        <w:t>Wetlands</w:t>
      </w:r>
      <w:r w:rsidRPr="001D5327">
        <w:rPr>
          <w:spacing w:val="-2"/>
        </w:rPr>
        <w:t xml:space="preserve"> category, from 1990 to</w:t>
      </w:r>
      <w:bookmarkEnd w:id="2489"/>
      <w:bookmarkEnd w:id="2490"/>
      <w:bookmarkEnd w:id="2491"/>
      <w:bookmarkEnd w:id="2492"/>
      <w:r w:rsidRPr="001D5327">
        <w:rPr>
          <w:spacing w:val="-2"/>
        </w:rPr>
        <w:t> </w:t>
      </w:r>
      <w:bookmarkEnd w:id="2493"/>
      <w:bookmarkEnd w:id="2494"/>
      <w:bookmarkEnd w:id="2495"/>
      <w:bookmarkEnd w:id="2496"/>
      <w:bookmarkEnd w:id="2497"/>
      <w:bookmarkEnd w:id="2498"/>
      <w:bookmarkEnd w:id="2499"/>
      <w:bookmarkEnd w:id="2500"/>
      <w:bookmarkEnd w:id="2501"/>
      <w:bookmarkEnd w:id="2502"/>
      <w:bookmarkEnd w:id="2503"/>
      <w:bookmarkEnd w:id="2504"/>
      <w:r w:rsidRPr="001D5327">
        <w:rPr>
          <w:spacing w:val="-2"/>
        </w:rPr>
        <w:t>2023</w:t>
      </w:r>
      <w:bookmarkEnd w:id="2505"/>
      <w:bookmarkEnd w:id="2506"/>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041"/>
        <w:gridCol w:w="1247"/>
        <w:gridCol w:w="1701"/>
        <w:gridCol w:w="965"/>
        <w:gridCol w:w="850"/>
        <w:gridCol w:w="1701"/>
      </w:tblGrid>
      <w:tr w:rsidR="00E0181F" w:rsidRPr="001D5327" w14:paraId="1C56A43D" w14:textId="77777777" w:rsidTr="00D11AC9">
        <w:trPr>
          <w:tblHeader/>
        </w:trPr>
        <w:tc>
          <w:tcPr>
            <w:tcW w:w="2041" w:type="dxa"/>
            <w:shd w:val="clear" w:color="auto" w:fill="1B556B"/>
            <w:tcMar>
              <w:top w:w="0" w:type="dxa"/>
              <w:left w:w="85" w:type="dxa"/>
              <w:bottom w:w="0" w:type="dxa"/>
              <w:right w:w="85" w:type="dxa"/>
            </w:tcMar>
            <w:vAlign w:val="center"/>
          </w:tcPr>
          <w:p w14:paraId="0696B76A" w14:textId="77777777" w:rsidR="00E0181F" w:rsidRPr="001D5327" w:rsidRDefault="00E0181F" w:rsidP="00D11AC9">
            <w:pPr>
              <w:pStyle w:val="TableTextBold"/>
              <w:spacing w:before="40" w:after="40"/>
              <w:rPr>
                <w:noProof w:val="0"/>
                <w:color w:val="FFFFFF" w:themeColor="background1"/>
              </w:rPr>
            </w:pPr>
          </w:p>
        </w:tc>
        <w:tc>
          <w:tcPr>
            <w:tcW w:w="4763" w:type="dxa"/>
            <w:gridSpan w:val="4"/>
            <w:shd w:val="clear" w:color="auto" w:fill="1B556B"/>
            <w:tcMar>
              <w:top w:w="0" w:type="dxa"/>
              <w:left w:w="85" w:type="dxa"/>
              <w:bottom w:w="0" w:type="dxa"/>
              <w:right w:w="85" w:type="dxa"/>
            </w:tcMar>
            <w:vAlign w:val="center"/>
          </w:tcPr>
          <w:p w14:paraId="5F07182D"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noProof w:val="0"/>
                <w:color w:val="FFFFFF" w:themeColor="background1"/>
              </w:rPr>
              <w:t>Net carbon stock change 1990–2023 (kt C)</w:t>
            </w:r>
          </w:p>
        </w:tc>
        <w:tc>
          <w:tcPr>
            <w:tcW w:w="1701" w:type="dxa"/>
            <w:shd w:val="clear" w:color="auto" w:fill="1B556B"/>
            <w:tcMar>
              <w:top w:w="0" w:type="dxa"/>
              <w:left w:w="85" w:type="dxa"/>
              <w:bottom w:w="0" w:type="dxa"/>
              <w:right w:w="85" w:type="dxa"/>
            </w:tcMar>
            <w:vAlign w:val="center"/>
          </w:tcPr>
          <w:p w14:paraId="2E3758CE"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noProof w:val="0"/>
                <w:color w:val="FFFFFF" w:themeColor="background1"/>
              </w:rPr>
              <w:t>Emissions 1990–2023</w:t>
            </w:r>
          </w:p>
        </w:tc>
      </w:tr>
      <w:tr w:rsidR="00E0181F" w:rsidRPr="001D5327" w14:paraId="4CE7ED5D" w14:textId="77777777" w:rsidTr="00D11AC9">
        <w:trPr>
          <w:tblHeader/>
        </w:trPr>
        <w:tc>
          <w:tcPr>
            <w:tcW w:w="2041" w:type="dxa"/>
            <w:shd w:val="clear" w:color="auto" w:fill="1B556B"/>
            <w:tcMar>
              <w:top w:w="0" w:type="dxa"/>
              <w:left w:w="85" w:type="dxa"/>
              <w:bottom w:w="0" w:type="dxa"/>
              <w:right w:w="85" w:type="dxa"/>
            </w:tcMar>
            <w:vAlign w:val="center"/>
          </w:tcPr>
          <w:p w14:paraId="42E783FD" w14:textId="77777777" w:rsidR="00E0181F" w:rsidRPr="001D5327" w:rsidRDefault="00E0181F" w:rsidP="00D11AC9">
            <w:pPr>
              <w:pStyle w:val="TableTextBold"/>
              <w:spacing w:before="0" w:after="40"/>
              <w:rPr>
                <w:noProof w:val="0"/>
                <w:color w:val="FFFFFF" w:themeColor="background1"/>
              </w:rPr>
            </w:pPr>
            <w:r w:rsidRPr="001D5327">
              <w:rPr>
                <w:rFonts w:eastAsia="Calibri"/>
                <w:noProof w:val="0"/>
                <w:color w:val="FFFFFF" w:themeColor="background1"/>
              </w:rPr>
              <w:t>Land use</w:t>
            </w:r>
          </w:p>
        </w:tc>
        <w:tc>
          <w:tcPr>
            <w:tcW w:w="1247" w:type="dxa"/>
            <w:shd w:val="clear" w:color="auto" w:fill="1B556B"/>
            <w:tcMar>
              <w:top w:w="0" w:type="dxa"/>
              <w:left w:w="85" w:type="dxa"/>
              <w:bottom w:w="0" w:type="dxa"/>
              <w:right w:w="85" w:type="dxa"/>
            </w:tcMar>
            <w:vAlign w:val="center"/>
          </w:tcPr>
          <w:p w14:paraId="46BF53DB"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Living biomass</w:t>
            </w:r>
          </w:p>
        </w:tc>
        <w:tc>
          <w:tcPr>
            <w:tcW w:w="1701" w:type="dxa"/>
            <w:shd w:val="clear" w:color="auto" w:fill="1B556B"/>
            <w:tcMar>
              <w:top w:w="0" w:type="dxa"/>
              <w:left w:w="85" w:type="dxa"/>
              <w:bottom w:w="0" w:type="dxa"/>
              <w:right w:w="85" w:type="dxa"/>
            </w:tcMar>
            <w:vAlign w:val="center"/>
          </w:tcPr>
          <w:p w14:paraId="3500D552"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Dead organic matter</w:t>
            </w:r>
          </w:p>
        </w:tc>
        <w:tc>
          <w:tcPr>
            <w:tcW w:w="965" w:type="dxa"/>
            <w:shd w:val="clear" w:color="auto" w:fill="1B556B"/>
            <w:tcMar>
              <w:top w:w="0" w:type="dxa"/>
              <w:left w:w="85" w:type="dxa"/>
              <w:bottom w:w="0" w:type="dxa"/>
              <w:right w:w="85" w:type="dxa"/>
            </w:tcMar>
            <w:vAlign w:val="center"/>
          </w:tcPr>
          <w:p w14:paraId="7C047FAE"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Soils</w:t>
            </w:r>
          </w:p>
        </w:tc>
        <w:tc>
          <w:tcPr>
            <w:tcW w:w="850" w:type="dxa"/>
            <w:shd w:val="clear" w:color="auto" w:fill="1B556B"/>
            <w:tcMar>
              <w:top w:w="0" w:type="dxa"/>
              <w:left w:w="85" w:type="dxa"/>
              <w:bottom w:w="0" w:type="dxa"/>
              <w:right w:w="85" w:type="dxa"/>
            </w:tcMar>
            <w:vAlign w:val="center"/>
          </w:tcPr>
          <w:p w14:paraId="53A32EB2"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Total</w:t>
            </w:r>
          </w:p>
        </w:tc>
        <w:tc>
          <w:tcPr>
            <w:tcW w:w="1701" w:type="dxa"/>
            <w:shd w:val="clear" w:color="auto" w:fill="1B556B"/>
            <w:tcMar>
              <w:top w:w="0" w:type="dxa"/>
              <w:left w:w="85" w:type="dxa"/>
              <w:bottom w:w="0" w:type="dxa"/>
              <w:right w:w="85" w:type="dxa"/>
            </w:tcMar>
            <w:vAlign w:val="center"/>
          </w:tcPr>
          <w:p w14:paraId="36433F80" w14:textId="77777777" w:rsidR="00E0181F" w:rsidRPr="001D5327" w:rsidRDefault="00E0181F" w:rsidP="00D11AC9">
            <w:pPr>
              <w:pStyle w:val="TableTextBold"/>
              <w:spacing w:before="0" w:after="40"/>
              <w:jc w:val="right"/>
              <w:rPr>
                <w:noProof w:val="0"/>
                <w:color w:val="FFFFFF" w:themeColor="background1"/>
              </w:rPr>
            </w:pPr>
            <w:r w:rsidRPr="001D5327">
              <w:rPr>
                <w:rFonts w:eastAsia="Calibri"/>
                <w:noProof w:val="0"/>
                <w:color w:val="FFFFFF" w:themeColor="background1"/>
              </w:rPr>
              <w:t>(kt CO₂)</w:t>
            </w:r>
          </w:p>
        </w:tc>
      </w:tr>
      <w:tr w:rsidR="00E0181F" w:rsidRPr="001D5327" w14:paraId="1C4A6540" w14:textId="77777777" w:rsidTr="00D11AC9">
        <w:tc>
          <w:tcPr>
            <w:tcW w:w="2041" w:type="dxa"/>
            <w:shd w:val="clear" w:color="auto" w:fill="FFFFFF"/>
            <w:tcMar>
              <w:top w:w="0" w:type="dxa"/>
              <w:left w:w="85" w:type="dxa"/>
              <w:bottom w:w="0" w:type="dxa"/>
              <w:right w:w="85" w:type="dxa"/>
            </w:tcMar>
            <w:vAlign w:val="center"/>
          </w:tcPr>
          <w:p w14:paraId="7889D6C8" w14:textId="77777777" w:rsidR="00E0181F" w:rsidRPr="001D5327" w:rsidRDefault="00E0181F" w:rsidP="00D11AC9">
            <w:pPr>
              <w:pStyle w:val="TableText"/>
              <w:spacing w:before="40" w:after="40"/>
            </w:pPr>
            <w:r w:rsidRPr="001D5327">
              <w:rPr>
                <w:rFonts w:eastAsia="Calibri"/>
              </w:rPr>
              <w:t>Wetlands – vegetated</w:t>
            </w:r>
          </w:p>
        </w:tc>
        <w:tc>
          <w:tcPr>
            <w:tcW w:w="1247" w:type="dxa"/>
            <w:shd w:val="clear" w:color="auto" w:fill="FFFFFF"/>
            <w:tcMar>
              <w:top w:w="0" w:type="dxa"/>
              <w:left w:w="85" w:type="dxa"/>
              <w:bottom w:w="0" w:type="dxa"/>
              <w:right w:w="85" w:type="dxa"/>
            </w:tcMar>
            <w:vAlign w:val="center"/>
          </w:tcPr>
          <w:p w14:paraId="5B01BA3B" w14:textId="16F49C85" w:rsidR="00E0181F" w:rsidRPr="001D5327" w:rsidRDefault="0070503C" w:rsidP="00D11AC9">
            <w:pPr>
              <w:pStyle w:val="TableText"/>
              <w:spacing w:before="40" w:after="40"/>
              <w:jc w:val="right"/>
            </w:pPr>
            <w:r>
              <w:rPr>
                <w:rFonts w:eastAsia="Calibri"/>
              </w:rPr>
              <w:t>-</w:t>
            </w:r>
            <w:r w:rsidR="00E0181F" w:rsidRPr="001D5327">
              <w:rPr>
                <w:rFonts w:eastAsia="Calibri"/>
              </w:rPr>
              <w:t>18.9</w:t>
            </w:r>
          </w:p>
        </w:tc>
        <w:tc>
          <w:tcPr>
            <w:tcW w:w="1701" w:type="dxa"/>
            <w:shd w:val="clear" w:color="auto" w:fill="FFFFFF"/>
            <w:tcMar>
              <w:top w:w="0" w:type="dxa"/>
              <w:left w:w="85" w:type="dxa"/>
              <w:bottom w:w="0" w:type="dxa"/>
              <w:right w:w="85" w:type="dxa"/>
            </w:tcMar>
            <w:vAlign w:val="center"/>
          </w:tcPr>
          <w:p w14:paraId="6C5241C6" w14:textId="505128F8" w:rsidR="00E0181F" w:rsidRPr="001D5327" w:rsidRDefault="0070503C" w:rsidP="00D11AC9">
            <w:pPr>
              <w:pStyle w:val="TableText"/>
              <w:spacing w:before="40" w:after="40"/>
              <w:jc w:val="right"/>
            </w:pPr>
            <w:r>
              <w:rPr>
                <w:rFonts w:eastAsia="Calibri"/>
              </w:rPr>
              <w:t>-</w:t>
            </w:r>
            <w:r w:rsidR="00E0181F" w:rsidRPr="001D5327">
              <w:rPr>
                <w:rFonts w:eastAsia="Calibri"/>
              </w:rPr>
              <w:t>2.7</w:t>
            </w:r>
          </w:p>
        </w:tc>
        <w:tc>
          <w:tcPr>
            <w:tcW w:w="965" w:type="dxa"/>
            <w:shd w:val="clear" w:color="auto" w:fill="FFFFFF"/>
            <w:tcMar>
              <w:top w:w="0" w:type="dxa"/>
              <w:left w:w="85" w:type="dxa"/>
              <w:bottom w:w="0" w:type="dxa"/>
              <w:right w:w="85" w:type="dxa"/>
            </w:tcMar>
            <w:vAlign w:val="center"/>
          </w:tcPr>
          <w:p w14:paraId="2AB228B1" w14:textId="77777777" w:rsidR="00E0181F" w:rsidRPr="001D5327" w:rsidRDefault="00E0181F" w:rsidP="00D11AC9">
            <w:pPr>
              <w:pStyle w:val="TableText"/>
              <w:spacing w:before="40" w:after="40"/>
              <w:jc w:val="right"/>
            </w:pPr>
            <w:r w:rsidRPr="001D5327">
              <w:rPr>
                <w:rFonts w:eastAsia="Calibri"/>
              </w:rPr>
              <w:t>14.6</w:t>
            </w:r>
          </w:p>
        </w:tc>
        <w:tc>
          <w:tcPr>
            <w:tcW w:w="850" w:type="dxa"/>
            <w:shd w:val="clear" w:color="auto" w:fill="FFFFFF"/>
            <w:tcMar>
              <w:top w:w="0" w:type="dxa"/>
              <w:left w:w="85" w:type="dxa"/>
              <w:bottom w:w="0" w:type="dxa"/>
              <w:right w:w="85" w:type="dxa"/>
            </w:tcMar>
            <w:vAlign w:val="center"/>
          </w:tcPr>
          <w:p w14:paraId="0FCFC72D" w14:textId="39FFEDA7" w:rsidR="00E0181F" w:rsidRPr="001D5327" w:rsidRDefault="0070503C" w:rsidP="00D11AC9">
            <w:pPr>
              <w:pStyle w:val="TableText"/>
              <w:spacing w:before="40" w:after="40"/>
              <w:jc w:val="right"/>
            </w:pPr>
            <w:r>
              <w:rPr>
                <w:rFonts w:eastAsia="Calibri"/>
              </w:rPr>
              <w:t>-</w:t>
            </w:r>
            <w:r w:rsidR="00E0181F" w:rsidRPr="001D5327">
              <w:rPr>
                <w:rFonts w:eastAsia="Calibri"/>
              </w:rPr>
              <w:t>7.0</w:t>
            </w:r>
          </w:p>
        </w:tc>
        <w:tc>
          <w:tcPr>
            <w:tcW w:w="1701" w:type="dxa"/>
            <w:shd w:val="clear" w:color="auto" w:fill="FFFFFF"/>
            <w:tcMar>
              <w:top w:w="0" w:type="dxa"/>
              <w:left w:w="85" w:type="dxa"/>
              <w:bottom w:w="0" w:type="dxa"/>
              <w:right w:w="85" w:type="dxa"/>
            </w:tcMar>
            <w:vAlign w:val="center"/>
          </w:tcPr>
          <w:p w14:paraId="3118B7A8" w14:textId="77777777" w:rsidR="00E0181F" w:rsidRPr="001D5327" w:rsidRDefault="00E0181F" w:rsidP="00D11AC9">
            <w:pPr>
              <w:pStyle w:val="TableText"/>
              <w:spacing w:before="40" w:after="40"/>
              <w:jc w:val="right"/>
            </w:pPr>
            <w:r w:rsidRPr="001D5327">
              <w:rPr>
                <w:rFonts w:eastAsia="Calibri"/>
              </w:rPr>
              <w:t>25.7</w:t>
            </w:r>
          </w:p>
        </w:tc>
      </w:tr>
      <w:tr w:rsidR="00E0181F" w:rsidRPr="001D5327" w14:paraId="55DD7471" w14:textId="77777777" w:rsidTr="00D11AC9">
        <w:tc>
          <w:tcPr>
            <w:tcW w:w="2041" w:type="dxa"/>
            <w:shd w:val="clear" w:color="auto" w:fill="FFFFFF"/>
            <w:tcMar>
              <w:top w:w="0" w:type="dxa"/>
              <w:left w:w="85" w:type="dxa"/>
              <w:bottom w:w="0" w:type="dxa"/>
              <w:right w:w="85" w:type="dxa"/>
            </w:tcMar>
            <w:vAlign w:val="center"/>
          </w:tcPr>
          <w:p w14:paraId="6D1B0B15" w14:textId="77777777" w:rsidR="00E0181F" w:rsidRPr="001D5327" w:rsidRDefault="00E0181F" w:rsidP="00D11AC9">
            <w:pPr>
              <w:pStyle w:val="TableText"/>
              <w:spacing w:before="40" w:after="40"/>
            </w:pPr>
            <w:r w:rsidRPr="001D5327">
              <w:rPr>
                <w:rFonts w:eastAsia="Calibri"/>
              </w:rPr>
              <w:t>Wetlands – open water</w:t>
            </w:r>
          </w:p>
        </w:tc>
        <w:tc>
          <w:tcPr>
            <w:tcW w:w="1247" w:type="dxa"/>
            <w:shd w:val="clear" w:color="auto" w:fill="FFFFFF"/>
            <w:tcMar>
              <w:top w:w="0" w:type="dxa"/>
              <w:left w:w="85" w:type="dxa"/>
              <w:bottom w:w="0" w:type="dxa"/>
              <w:right w:w="85" w:type="dxa"/>
            </w:tcMar>
            <w:vAlign w:val="center"/>
          </w:tcPr>
          <w:p w14:paraId="418525BB" w14:textId="668B3C35" w:rsidR="00E0181F" w:rsidRPr="001D5327" w:rsidRDefault="0070503C" w:rsidP="00D11AC9">
            <w:pPr>
              <w:pStyle w:val="TableText"/>
              <w:spacing w:before="40" w:after="40"/>
              <w:jc w:val="right"/>
            </w:pPr>
            <w:r>
              <w:rPr>
                <w:rFonts w:eastAsia="Calibri"/>
              </w:rPr>
              <w:t>-</w:t>
            </w:r>
            <w:r w:rsidR="00E0181F" w:rsidRPr="001D5327">
              <w:rPr>
                <w:rFonts w:eastAsia="Calibri"/>
              </w:rPr>
              <w:t>111.0</w:t>
            </w:r>
          </w:p>
        </w:tc>
        <w:tc>
          <w:tcPr>
            <w:tcW w:w="1701" w:type="dxa"/>
            <w:shd w:val="clear" w:color="auto" w:fill="FFFFFF"/>
            <w:tcMar>
              <w:top w:w="0" w:type="dxa"/>
              <w:left w:w="85" w:type="dxa"/>
              <w:bottom w:w="0" w:type="dxa"/>
              <w:right w:w="85" w:type="dxa"/>
            </w:tcMar>
            <w:vAlign w:val="center"/>
          </w:tcPr>
          <w:p w14:paraId="2C054F93" w14:textId="1BDF7410" w:rsidR="00E0181F" w:rsidRPr="001D5327" w:rsidRDefault="0070503C" w:rsidP="00D11AC9">
            <w:pPr>
              <w:pStyle w:val="TableText"/>
              <w:spacing w:before="40" w:after="40"/>
              <w:jc w:val="right"/>
            </w:pPr>
            <w:r>
              <w:rPr>
                <w:rFonts w:eastAsia="Calibri"/>
              </w:rPr>
              <w:t>-</w:t>
            </w:r>
            <w:r w:rsidR="00E0181F" w:rsidRPr="001D5327">
              <w:rPr>
                <w:rFonts w:eastAsia="Calibri"/>
              </w:rPr>
              <w:t>7.1</w:t>
            </w:r>
          </w:p>
        </w:tc>
        <w:tc>
          <w:tcPr>
            <w:tcW w:w="965" w:type="dxa"/>
            <w:shd w:val="clear" w:color="auto" w:fill="FFFFFF"/>
            <w:tcMar>
              <w:top w:w="0" w:type="dxa"/>
              <w:left w:w="85" w:type="dxa"/>
              <w:bottom w:w="0" w:type="dxa"/>
              <w:right w:w="85" w:type="dxa"/>
            </w:tcMar>
            <w:vAlign w:val="center"/>
          </w:tcPr>
          <w:p w14:paraId="62CA8FAB" w14:textId="77777777" w:rsidR="00E0181F" w:rsidRPr="001D5327" w:rsidRDefault="00E0181F" w:rsidP="00D11AC9">
            <w:pPr>
              <w:pStyle w:val="TableText"/>
              <w:spacing w:before="40" w:after="40"/>
              <w:jc w:val="right"/>
            </w:pPr>
            <w:r w:rsidRPr="001D5327">
              <w:rPr>
                <w:rFonts w:eastAsia="Calibri"/>
              </w:rPr>
              <w:t>115.9</w:t>
            </w:r>
          </w:p>
        </w:tc>
        <w:tc>
          <w:tcPr>
            <w:tcW w:w="850" w:type="dxa"/>
            <w:shd w:val="clear" w:color="auto" w:fill="FFFFFF"/>
            <w:tcMar>
              <w:top w:w="0" w:type="dxa"/>
              <w:left w:w="85" w:type="dxa"/>
              <w:bottom w:w="0" w:type="dxa"/>
              <w:right w:w="85" w:type="dxa"/>
            </w:tcMar>
            <w:vAlign w:val="center"/>
          </w:tcPr>
          <w:p w14:paraId="0FF68816" w14:textId="17C9EA3E" w:rsidR="00E0181F" w:rsidRPr="001D5327" w:rsidRDefault="0070503C" w:rsidP="00D11AC9">
            <w:pPr>
              <w:pStyle w:val="TableText"/>
              <w:spacing w:before="40" w:after="40"/>
              <w:jc w:val="right"/>
            </w:pPr>
            <w:r>
              <w:rPr>
                <w:rFonts w:eastAsia="Calibri"/>
              </w:rPr>
              <w:t>-</w:t>
            </w:r>
            <w:r w:rsidR="00E0181F" w:rsidRPr="001D5327">
              <w:rPr>
                <w:rFonts w:eastAsia="Calibri"/>
              </w:rPr>
              <w:t>2.3</w:t>
            </w:r>
          </w:p>
        </w:tc>
        <w:tc>
          <w:tcPr>
            <w:tcW w:w="1701" w:type="dxa"/>
            <w:shd w:val="clear" w:color="auto" w:fill="FFFFFF"/>
            <w:tcMar>
              <w:top w:w="0" w:type="dxa"/>
              <w:left w:w="85" w:type="dxa"/>
              <w:bottom w:w="0" w:type="dxa"/>
              <w:right w:w="85" w:type="dxa"/>
            </w:tcMar>
            <w:vAlign w:val="center"/>
          </w:tcPr>
          <w:p w14:paraId="7FCF7C38" w14:textId="77777777" w:rsidR="00E0181F" w:rsidRPr="001D5327" w:rsidRDefault="00E0181F" w:rsidP="00D11AC9">
            <w:pPr>
              <w:pStyle w:val="TableText"/>
              <w:spacing w:before="40" w:after="40"/>
              <w:jc w:val="right"/>
            </w:pPr>
            <w:r w:rsidRPr="001D5327">
              <w:rPr>
                <w:rFonts w:eastAsia="Calibri"/>
              </w:rPr>
              <w:t>8.5</w:t>
            </w:r>
          </w:p>
        </w:tc>
      </w:tr>
      <w:tr w:rsidR="00E0181F" w:rsidRPr="001D5327" w14:paraId="27197D0C" w14:textId="77777777" w:rsidTr="00D11AC9">
        <w:tc>
          <w:tcPr>
            <w:tcW w:w="2041" w:type="dxa"/>
            <w:shd w:val="clear" w:color="auto" w:fill="FFFFFF"/>
            <w:tcMar>
              <w:top w:w="0" w:type="dxa"/>
              <w:left w:w="85" w:type="dxa"/>
              <w:bottom w:w="0" w:type="dxa"/>
              <w:right w:w="85" w:type="dxa"/>
            </w:tcMar>
            <w:vAlign w:val="center"/>
          </w:tcPr>
          <w:p w14:paraId="2BC8F5E2" w14:textId="77777777" w:rsidR="00E0181F" w:rsidRPr="001D5327" w:rsidRDefault="00E0181F" w:rsidP="00D11AC9">
            <w:pPr>
              <w:pStyle w:val="Tableboldblue"/>
              <w:spacing w:before="40" w:after="40"/>
            </w:pPr>
            <w:r w:rsidRPr="001D5327">
              <w:rPr>
                <w:rFonts w:eastAsia="Calibri"/>
              </w:rPr>
              <w:t>Total</w:t>
            </w:r>
          </w:p>
        </w:tc>
        <w:tc>
          <w:tcPr>
            <w:tcW w:w="1247" w:type="dxa"/>
            <w:shd w:val="clear" w:color="auto" w:fill="FFFFFF"/>
            <w:tcMar>
              <w:top w:w="0" w:type="dxa"/>
              <w:left w:w="85" w:type="dxa"/>
              <w:bottom w:w="0" w:type="dxa"/>
              <w:right w:w="85" w:type="dxa"/>
            </w:tcMar>
            <w:vAlign w:val="center"/>
          </w:tcPr>
          <w:p w14:paraId="578DA8FB" w14:textId="0CF17BB1" w:rsidR="00E0181F" w:rsidRPr="001D5327" w:rsidRDefault="0070503C" w:rsidP="00D11AC9">
            <w:pPr>
              <w:pStyle w:val="Tableboldblue"/>
              <w:spacing w:before="40" w:after="40"/>
              <w:jc w:val="right"/>
            </w:pPr>
            <w:r>
              <w:rPr>
                <w:rFonts w:eastAsia="Calibri"/>
              </w:rPr>
              <w:t>-</w:t>
            </w:r>
            <w:r w:rsidR="00E0181F" w:rsidRPr="001D5327">
              <w:rPr>
                <w:rFonts w:eastAsia="Calibri"/>
              </w:rPr>
              <w:t>129.9</w:t>
            </w:r>
          </w:p>
        </w:tc>
        <w:tc>
          <w:tcPr>
            <w:tcW w:w="1701" w:type="dxa"/>
            <w:shd w:val="clear" w:color="auto" w:fill="FFFFFF"/>
            <w:tcMar>
              <w:top w:w="0" w:type="dxa"/>
              <w:left w:w="85" w:type="dxa"/>
              <w:bottom w:w="0" w:type="dxa"/>
              <w:right w:w="85" w:type="dxa"/>
            </w:tcMar>
            <w:vAlign w:val="center"/>
          </w:tcPr>
          <w:p w14:paraId="709882C4" w14:textId="7FB67E11" w:rsidR="00E0181F" w:rsidRPr="001D5327" w:rsidRDefault="0070503C" w:rsidP="00D11AC9">
            <w:pPr>
              <w:pStyle w:val="Tableboldblue"/>
              <w:spacing w:before="40" w:after="40"/>
              <w:jc w:val="right"/>
            </w:pPr>
            <w:r>
              <w:rPr>
                <w:rFonts w:eastAsia="Calibri"/>
              </w:rPr>
              <w:t>-</w:t>
            </w:r>
            <w:r w:rsidR="00E0181F" w:rsidRPr="001D5327">
              <w:rPr>
                <w:rFonts w:eastAsia="Calibri"/>
              </w:rPr>
              <w:t>9.8</w:t>
            </w:r>
          </w:p>
        </w:tc>
        <w:tc>
          <w:tcPr>
            <w:tcW w:w="965" w:type="dxa"/>
            <w:shd w:val="clear" w:color="auto" w:fill="FFFFFF"/>
            <w:tcMar>
              <w:top w:w="0" w:type="dxa"/>
              <w:left w:w="85" w:type="dxa"/>
              <w:bottom w:w="0" w:type="dxa"/>
              <w:right w:w="85" w:type="dxa"/>
            </w:tcMar>
            <w:vAlign w:val="center"/>
          </w:tcPr>
          <w:p w14:paraId="25DD9463" w14:textId="77777777" w:rsidR="00E0181F" w:rsidRPr="001D5327" w:rsidRDefault="00E0181F" w:rsidP="00D11AC9">
            <w:pPr>
              <w:pStyle w:val="Tableboldblue"/>
              <w:spacing w:before="40" w:after="40"/>
              <w:jc w:val="right"/>
            </w:pPr>
            <w:r w:rsidRPr="001D5327">
              <w:rPr>
                <w:rFonts w:eastAsia="Calibri"/>
              </w:rPr>
              <w:t>130.4</w:t>
            </w:r>
          </w:p>
        </w:tc>
        <w:tc>
          <w:tcPr>
            <w:tcW w:w="850" w:type="dxa"/>
            <w:shd w:val="clear" w:color="auto" w:fill="FFFFFF"/>
            <w:tcMar>
              <w:top w:w="0" w:type="dxa"/>
              <w:left w:w="85" w:type="dxa"/>
              <w:bottom w:w="0" w:type="dxa"/>
              <w:right w:w="85" w:type="dxa"/>
            </w:tcMar>
            <w:vAlign w:val="center"/>
          </w:tcPr>
          <w:p w14:paraId="4092651E" w14:textId="4200632D" w:rsidR="00E0181F" w:rsidRPr="001D5327" w:rsidRDefault="0070503C" w:rsidP="00D11AC9">
            <w:pPr>
              <w:pStyle w:val="Tableboldblue"/>
              <w:spacing w:before="40" w:after="40"/>
              <w:jc w:val="right"/>
            </w:pPr>
            <w:r>
              <w:rPr>
                <w:rFonts w:eastAsia="Calibri"/>
              </w:rPr>
              <w:t>-</w:t>
            </w:r>
            <w:r w:rsidR="00E0181F" w:rsidRPr="001D5327">
              <w:rPr>
                <w:rFonts w:eastAsia="Calibri"/>
              </w:rPr>
              <w:t>9.3</w:t>
            </w:r>
          </w:p>
        </w:tc>
        <w:tc>
          <w:tcPr>
            <w:tcW w:w="1701" w:type="dxa"/>
            <w:shd w:val="clear" w:color="auto" w:fill="FFFFFF"/>
            <w:tcMar>
              <w:top w:w="0" w:type="dxa"/>
              <w:left w:w="85" w:type="dxa"/>
              <w:bottom w:w="0" w:type="dxa"/>
              <w:right w:w="85" w:type="dxa"/>
            </w:tcMar>
            <w:vAlign w:val="center"/>
          </w:tcPr>
          <w:p w14:paraId="4B3E10DB" w14:textId="77777777" w:rsidR="00E0181F" w:rsidRPr="001D5327" w:rsidRDefault="00E0181F" w:rsidP="00D11AC9">
            <w:pPr>
              <w:pStyle w:val="Tableboldblue"/>
              <w:spacing w:before="40" w:after="40"/>
              <w:jc w:val="right"/>
            </w:pPr>
            <w:r w:rsidRPr="001D5327">
              <w:rPr>
                <w:rFonts w:eastAsia="Calibri"/>
              </w:rPr>
              <w:t>34.1</w:t>
            </w:r>
          </w:p>
        </w:tc>
      </w:tr>
    </w:tbl>
    <w:p w14:paraId="17DF06E2" w14:textId="77777777" w:rsidR="00E0181F" w:rsidRPr="001D5327" w:rsidRDefault="00E0181F" w:rsidP="00E0181F">
      <w:pPr>
        <w:pStyle w:val="Noteundertable"/>
      </w:pPr>
      <w:r w:rsidRPr="001D5327">
        <w:rPr>
          <w:b/>
        </w:rPr>
        <w:t xml:space="preserve">Note: </w:t>
      </w:r>
      <w:r w:rsidRPr="001D5327">
        <w:rPr>
          <w:b/>
        </w:rPr>
        <w:tab/>
      </w:r>
      <w:r w:rsidRPr="001D5327">
        <w:t xml:space="preserve">Columns may not total due to rounding. </w:t>
      </w:r>
    </w:p>
    <w:p w14:paraId="6217D78D" w14:textId="77777777" w:rsidR="00E0181F" w:rsidRPr="001D5327" w:rsidRDefault="00E0181F" w:rsidP="00E0181F">
      <w:pPr>
        <w:pStyle w:val="Heading3"/>
      </w:pPr>
      <w:r w:rsidRPr="001D5327">
        <w:t>6.7.2</w:t>
      </w:r>
      <w:r w:rsidRPr="001D5327">
        <w:tab/>
        <w:t>Methodological issues</w:t>
      </w:r>
    </w:p>
    <w:p w14:paraId="47B5390E" w14:textId="77777777" w:rsidR="00E0181F" w:rsidRPr="001D5327" w:rsidRDefault="00E0181F" w:rsidP="00E0181F">
      <w:pPr>
        <w:pStyle w:val="Heading4"/>
      </w:pPr>
      <w:r w:rsidRPr="001D5327">
        <w:t>Wetlands remaining wetlands (4.D.1)</w:t>
      </w:r>
    </w:p>
    <w:p w14:paraId="0E5A9918" w14:textId="77777777" w:rsidR="00E0181F" w:rsidRPr="001D5327" w:rsidRDefault="00E0181F" w:rsidP="00E0181F">
      <w:pPr>
        <w:pStyle w:val="Heading5"/>
      </w:pPr>
      <w:r w:rsidRPr="001D5327">
        <w:t xml:space="preserve">Living biomass and dead organic matter </w:t>
      </w:r>
    </w:p>
    <w:p w14:paraId="44AFDA60" w14:textId="77777777" w:rsidR="00E0181F" w:rsidRPr="001D5327" w:rsidRDefault="00E0181F" w:rsidP="00E0181F">
      <w:pPr>
        <w:pStyle w:val="BodyText"/>
        <w:spacing w:before="100"/>
      </w:pPr>
      <w:r w:rsidRPr="001D5327">
        <w:t>New Zealand applies Tier 1 methods for estimating CO</w:t>
      </w:r>
      <w:r w:rsidRPr="001D5327">
        <w:rPr>
          <w:vertAlign w:val="subscript"/>
        </w:rPr>
        <w:t>2</w:t>
      </w:r>
      <w:r w:rsidRPr="001D5327">
        <w:t xml:space="preserve"> emissions in </w:t>
      </w:r>
      <w:r w:rsidRPr="001D5327">
        <w:rPr>
          <w:i/>
        </w:rPr>
        <w:t>Wetlands remaining wetlands</w:t>
      </w:r>
      <w:r w:rsidRPr="001D5327">
        <w:t xml:space="preserve"> (following the guidance provided in section 7.1 of the 2006 IPCC Guidelines</w:t>
      </w:r>
      <w:r w:rsidRPr="001D5327" w:rsidDel="0015189E">
        <w:t xml:space="preserve"> </w:t>
      </w:r>
      <w:r w:rsidRPr="001D5327">
        <w:t>(IPCC, 2006a)). Improvements planned for methods in the wetlands category are outlined in section 6.7.6. Chapter 7 of the 2006 IPCC Guidelines (IPCC, 2006a) provides guidance for estimating emissions from flooded land and extraction from peat land. Recultivation of peat land is included under the Agriculture sector.</w:t>
      </w:r>
    </w:p>
    <w:p w14:paraId="2959789B" w14:textId="77777777" w:rsidR="00E0181F" w:rsidRPr="001D5327" w:rsidRDefault="00E0181F" w:rsidP="00E0181F">
      <w:pPr>
        <w:pStyle w:val="BodyText"/>
        <w:spacing w:before="100"/>
      </w:pPr>
      <w:r w:rsidRPr="001D5327">
        <w:t xml:space="preserve">Due to the current lack of data on biomass carbon stock change in </w:t>
      </w:r>
      <w:r w:rsidRPr="001D5327">
        <w:rPr>
          <w:i/>
        </w:rPr>
        <w:t>Wetlands remaining wetlands</w:t>
      </w:r>
      <w:r w:rsidRPr="001D5327">
        <w:t>, New Zealand has not prepared estimates for change in living biomass or dead organic matter for this category. New Zealand reports the notation key NE in the CRT for this category. However, carbon stock changes associated with changes between the two wetland subcategories (</w:t>
      </w:r>
      <w:r w:rsidRPr="001D5327">
        <w:rPr>
          <w:i/>
          <w:iCs/>
        </w:rPr>
        <w:t>Wetlands – vegetated</w:t>
      </w:r>
      <w:r w:rsidRPr="001D5327">
        <w:t xml:space="preserve"> and </w:t>
      </w:r>
      <w:r w:rsidRPr="001D5327">
        <w:rPr>
          <w:i/>
          <w:iCs/>
        </w:rPr>
        <w:t>Wetlands – open water</w:t>
      </w:r>
      <w:r w:rsidRPr="001D5327">
        <w:t xml:space="preserve">) are reported under </w:t>
      </w:r>
      <w:r w:rsidRPr="001D5327">
        <w:rPr>
          <w:i/>
          <w:iCs/>
        </w:rPr>
        <w:t>Wetlands remaining wetlands</w:t>
      </w:r>
      <w:r w:rsidRPr="001D5327">
        <w:t>.</w:t>
      </w:r>
    </w:p>
    <w:p w14:paraId="6874A314" w14:textId="77777777" w:rsidR="00E0181F" w:rsidRPr="001D5327" w:rsidRDefault="00E0181F" w:rsidP="00E0181F">
      <w:pPr>
        <w:pStyle w:val="Heading5"/>
      </w:pPr>
      <w:r w:rsidRPr="001D5327">
        <w:lastRenderedPageBreak/>
        <w:t xml:space="preserve">Soil organic carbon </w:t>
      </w:r>
    </w:p>
    <w:p w14:paraId="5DA12F20" w14:textId="77777777" w:rsidR="00E0181F" w:rsidRPr="001D5327" w:rsidRDefault="00E0181F" w:rsidP="00E0181F">
      <w:pPr>
        <w:pStyle w:val="BodyText"/>
        <w:spacing w:before="100"/>
      </w:pPr>
      <w:r w:rsidRPr="001D5327">
        <w:rPr>
          <w:spacing w:val="-2"/>
        </w:rPr>
        <w:t xml:space="preserve">Soil organic carbon stocks in </w:t>
      </w:r>
      <w:r w:rsidRPr="001D5327">
        <w:rPr>
          <w:i/>
          <w:spacing w:val="-2"/>
        </w:rPr>
        <w:t>Wetlands remaining wetlands</w:t>
      </w:r>
      <w:r w:rsidRPr="001D5327">
        <w:rPr>
          <w:spacing w:val="-2"/>
        </w:rPr>
        <w:t xml:space="preserve"> are estimated using a Tier 2 method for mineral soils and Tier 1 methods for organic soils (see annex 5, section A5.2.4). For open water,</w:t>
      </w:r>
      <w:r w:rsidRPr="001D5327">
        <w:t xml:space="preserve"> the SOC stock at equilibrium is assumed to be the same value as that of low producing grassland</w:t>
      </w:r>
      <w:r w:rsidRPr="001D5327" w:rsidDel="008B41C2">
        <w:t>.</w:t>
      </w:r>
      <w:r w:rsidRPr="001D5327">
        <w:t xml:space="preserve"> </w:t>
      </w:r>
    </w:p>
    <w:p w14:paraId="0B99B7F1" w14:textId="77777777" w:rsidR="00E0181F" w:rsidRPr="001D5327" w:rsidRDefault="00E0181F" w:rsidP="00E0181F">
      <w:pPr>
        <w:pStyle w:val="BodyText"/>
        <w:spacing w:before="100"/>
      </w:pPr>
      <w:r w:rsidRPr="001D5327">
        <w:t>For mineral soils, as with living biomass and dead organic matter, there are no emissions for wetlands in steady state, so the notation key NE is used, in accordance with Decision 24/CP.19 (UNFCCC, 2014).</w:t>
      </w:r>
    </w:p>
    <w:p w14:paraId="23325FCF" w14:textId="77777777" w:rsidR="00E0181F" w:rsidRPr="001D5327" w:rsidRDefault="00E0181F" w:rsidP="00E0181F">
      <w:pPr>
        <w:pStyle w:val="BodyText"/>
        <w:spacing w:before="100"/>
      </w:pPr>
      <w:r w:rsidRPr="001D5327">
        <w:t>For organic soils, IPCC good practice guidance is limited to the estimation of carbon emissions associated with peat extraction. In New Zealand, oligotrophic Sphagnum peat is mined for horticultural use (Clarkson, unpublished). Carbon dioxide emissions from the extraction of horticultural peat are estimated from two sources: on-site emissions from peat production and off-site emissions from its subsequent use. Tier 1 default emission factors are applied. Non-CO</w:t>
      </w:r>
      <w:r w:rsidRPr="001D5327">
        <w:rPr>
          <w:vertAlign w:val="subscript"/>
        </w:rPr>
        <w:t>2</w:t>
      </w:r>
      <w:r w:rsidRPr="001D5327">
        <w:t xml:space="preserve"> emissions are not estimated because there is no method for estimating N</w:t>
      </w:r>
      <w:r w:rsidRPr="001D5327">
        <w:rPr>
          <w:vertAlign w:val="subscript"/>
        </w:rPr>
        <w:t>2</w:t>
      </w:r>
      <w:r w:rsidRPr="001D5327">
        <w:t>O emissions from the extraction of nutrient-poor peat and no CH</w:t>
      </w:r>
      <w:r w:rsidRPr="001D5327">
        <w:rPr>
          <w:vertAlign w:val="subscript"/>
        </w:rPr>
        <w:t>4</w:t>
      </w:r>
      <w:r w:rsidRPr="001D5327">
        <w:t xml:space="preserve"> emissions occur from this activity. As such, the ERT recommendation L.7, 2017 (FCCC/ARR/2017/NZL, UNFCCC, 2018) cannot be addressed. During the review of the 2021 submission, the ERT considered that this issue had been resolved given there is no method for estimating these emissions in the 2006 IPCC Guidelines (IPCC, 2006a). New Zealand is following the methodology for reporting N</w:t>
      </w:r>
      <w:r w:rsidRPr="001D5327">
        <w:rPr>
          <w:vertAlign w:val="subscript"/>
        </w:rPr>
        <w:t>2</w:t>
      </w:r>
      <w:r w:rsidRPr="001D5327">
        <w:t>O emissions from</w:t>
      </w:r>
      <w:r w:rsidRPr="001D5327">
        <w:rPr>
          <w:i/>
        </w:rPr>
        <w:t xml:space="preserve"> Wetlands remaining </w:t>
      </w:r>
      <w:r w:rsidRPr="001D5327">
        <w:t>w</w:t>
      </w:r>
      <w:r w:rsidRPr="001D5327">
        <w:rPr>
          <w:i/>
          <w:spacing w:val="-2"/>
        </w:rPr>
        <w:t>etlands</w:t>
      </w:r>
      <w:r w:rsidRPr="001D5327">
        <w:rPr>
          <w:iCs/>
          <w:spacing w:val="-2"/>
        </w:rPr>
        <w:t>,</w:t>
      </w:r>
      <w:r w:rsidRPr="001D5327">
        <w:rPr>
          <w:spacing w:val="-2"/>
        </w:rPr>
        <w:t xml:space="preserve"> in line with volume 4, section 7.2.1.2 of the 2006 IPCC Guidelines (IPCC, 2006a). </w:t>
      </w:r>
    </w:p>
    <w:p w14:paraId="5E925812" w14:textId="77777777" w:rsidR="00E0181F" w:rsidRPr="001D5327" w:rsidRDefault="00E0181F" w:rsidP="00E0181F">
      <w:pPr>
        <w:pStyle w:val="Heading5"/>
      </w:pPr>
      <w:r w:rsidRPr="001D5327">
        <w:t>Activity data</w:t>
      </w:r>
    </w:p>
    <w:p w14:paraId="2F499C82" w14:textId="77777777" w:rsidR="00E0181F" w:rsidRPr="001D5327" w:rsidRDefault="00E0181F" w:rsidP="00E0181F">
      <w:pPr>
        <w:pStyle w:val="BodyText"/>
      </w:pPr>
      <w:r w:rsidRPr="001D5327">
        <w:t xml:space="preserve">The </w:t>
      </w:r>
      <w:r w:rsidRPr="001D5327">
        <w:rPr>
          <w:i/>
          <w:iCs/>
        </w:rPr>
        <w:t>V</w:t>
      </w:r>
      <w:r w:rsidRPr="001D5327">
        <w:rPr>
          <w:i/>
        </w:rPr>
        <w:t>egetated wetland</w:t>
      </w:r>
      <w:r w:rsidRPr="001D5327">
        <w:t xml:space="preserve"> category includes areas of forest that are part of the wetland ecosystem. Where the forest area has been judged to be part of the wetland ecosystem, it has been classed as vegetated wetland.</w:t>
      </w:r>
    </w:p>
    <w:p w14:paraId="3605E545" w14:textId="77777777" w:rsidR="00E0181F" w:rsidRPr="001D5327" w:rsidRDefault="00E0181F" w:rsidP="00E0181F">
      <w:pPr>
        <w:pStyle w:val="Heading4"/>
      </w:pPr>
      <w:r w:rsidRPr="001D5327">
        <w:t>Land converted to wetlands (4.D.2)</w:t>
      </w:r>
    </w:p>
    <w:p w14:paraId="1B394AD5" w14:textId="77777777" w:rsidR="00E0181F" w:rsidRPr="001D5327" w:rsidRDefault="00E0181F" w:rsidP="00E0181F">
      <w:pPr>
        <w:pStyle w:val="BodyText"/>
      </w:pPr>
      <w:r w:rsidRPr="001D5327">
        <w:t>Between 1990 and 2023, 10,942 hectares of land were converted to</w:t>
      </w:r>
      <w:r w:rsidRPr="001D5327">
        <w:rPr>
          <w:i/>
        </w:rPr>
        <w:t xml:space="preserve"> Wetlands</w:t>
      </w:r>
      <w:r w:rsidRPr="001D5327">
        <w:t xml:space="preserve">, while 10,625 hectares of </w:t>
      </w:r>
      <w:r w:rsidRPr="001D5327">
        <w:rPr>
          <w:i/>
        </w:rPr>
        <w:t>Wetlands</w:t>
      </w:r>
      <w:r w:rsidRPr="001D5327">
        <w:t xml:space="preserve"> were converted to other land uses (mainly </w:t>
      </w:r>
      <w:r w:rsidRPr="001D5327">
        <w:rPr>
          <w:i/>
        </w:rPr>
        <w:t>Grassland</w:t>
      </w:r>
      <w:r w:rsidRPr="001D5327">
        <w:rPr>
          <w:iCs/>
        </w:rPr>
        <w:t>,</w:t>
      </w:r>
      <w:r w:rsidRPr="001D5327">
        <w:t xml:space="preserve"> at 8,809 hectares). This resulted in a net decrease in total area reported under </w:t>
      </w:r>
      <w:r w:rsidRPr="001D5327">
        <w:rPr>
          <w:i/>
        </w:rPr>
        <w:t>Wetlands</w:t>
      </w:r>
      <w:r w:rsidRPr="001D5327">
        <w:t xml:space="preserve"> of 317 hectares. The wetland losses were mainly related to the conversion of vegetated </w:t>
      </w:r>
      <w:r w:rsidRPr="001D5327">
        <w:rPr>
          <w:spacing w:val="-2"/>
        </w:rPr>
        <w:t>wetland to grassland (</w:t>
      </w:r>
      <w:r w:rsidRPr="001D5327">
        <w:t xml:space="preserve">8,270 </w:t>
      </w:r>
      <w:r w:rsidRPr="001D5327">
        <w:rPr>
          <w:spacing w:val="-2"/>
        </w:rPr>
        <w:t>hectares). Increases in the area of wetland open water (</w:t>
      </w:r>
      <w:r w:rsidRPr="001D5327">
        <w:t xml:space="preserve">10,963 </w:t>
      </w:r>
      <w:r w:rsidRPr="001D5327">
        <w:rPr>
          <w:spacing w:val="-2"/>
        </w:rPr>
        <w:t>hectares)</w:t>
      </w:r>
      <w:r w:rsidRPr="001D5327">
        <w:t xml:space="preserve"> are mainly due to the development of irrigation ponds in the Canterbury and Otago regions. However, on visual inspection of the 2020 land use map, it was determined that approximately 1,000 hectares of new open water have resulted from new lakes forming within the Southern Alps, often at the foot of glaciers.</w:t>
      </w:r>
    </w:p>
    <w:p w14:paraId="7FF87AC8" w14:textId="77777777" w:rsidR="00E0181F" w:rsidRPr="001D5327" w:rsidRDefault="00E0181F" w:rsidP="00E0181F">
      <w:pPr>
        <w:pStyle w:val="BodyText"/>
        <w:spacing w:before="100" w:after="100"/>
      </w:pPr>
      <w:r w:rsidRPr="001D5327">
        <w:rPr>
          <w:iCs/>
        </w:rPr>
        <w:t xml:space="preserve">Emissions from </w:t>
      </w:r>
      <w:r w:rsidRPr="001D5327">
        <w:rPr>
          <w:i/>
        </w:rPr>
        <w:t>Land converted to peat extraction</w:t>
      </w:r>
      <w:r w:rsidRPr="001D5327">
        <w:t xml:space="preserve"> are reported in the CRTs as NE because the areas under peat extraction have remained static since 1990. For </w:t>
      </w:r>
      <w:r w:rsidRPr="001D5327">
        <w:rPr>
          <w:i/>
        </w:rPr>
        <w:t>Land converted to flooded land</w:t>
      </w:r>
      <w:r w:rsidRPr="001D5327">
        <w:t xml:space="preserve">, the area is included in the area mapped as </w:t>
      </w:r>
      <w:r w:rsidRPr="001D5327">
        <w:rPr>
          <w:i/>
        </w:rPr>
        <w:t>Land converted to open water</w:t>
      </w:r>
      <w:r w:rsidRPr="001D5327">
        <w:t xml:space="preserve"> (this category includes naturally occurring open water (natural lakes) as well as intentionally flooded land). </w:t>
      </w:r>
      <w:r w:rsidRPr="001D5327">
        <w:rPr>
          <w:spacing w:val="-2"/>
        </w:rPr>
        <w:t xml:space="preserve">This means emissions for </w:t>
      </w:r>
      <w:r w:rsidRPr="001D5327">
        <w:rPr>
          <w:i/>
          <w:spacing w:val="-2"/>
        </w:rPr>
        <w:t>Land converted to flooded land</w:t>
      </w:r>
      <w:r w:rsidRPr="001D5327">
        <w:rPr>
          <w:spacing w:val="-2"/>
        </w:rPr>
        <w:t xml:space="preserve"> are reported as IE (included elsewhere</w:t>
      </w:r>
      <w:r w:rsidRPr="001D5327">
        <w:t xml:space="preserve">), and these emissions are captured under </w:t>
      </w:r>
      <w:r w:rsidRPr="001D5327">
        <w:rPr>
          <w:i/>
        </w:rPr>
        <w:t>Land converted to open water</w:t>
      </w:r>
      <w:r w:rsidRPr="001D5327">
        <w:t xml:space="preserve"> instead.</w:t>
      </w:r>
    </w:p>
    <w:p w14:paraId="7A8B4DB4" w14:textId="77777777" w:rsidR="00E0181F" w:rsidRPr="001D5327" w:rsidRDefault="00E0181F" w:rsidP="00E0181F">
      <w:pPr>
        <w:pStyle w:val="Heading5"/>
      </w:pPr>
      <w:r w:rsidRPr="001D5327">
        <w:t xml:space="preserve">Living biomass and dead organic matter </w:t>
      </w:r>
    </w:p>
    <w:p w14:paraId="4D30E6C1" w14:textId="77777777" w:rsidR="00E0181F" w:rsidRPr="001D5327" w:rsidRDefault="00E0181F" w:rsidP="00E0181F">
      <w:pPr>
        <w:pStyle w:val="BodyText"/>
        <w:spacing w:before="100"/>
        <w:rPr>
          <w:spacing w:val="-2"/>
        </w:rPr>
      </w:pPr>
      <w:r w:rsidRPr="001D5327">
        <w:rPr>
          <w:spacing w:val="-2"/>
        </w:rPr>
        <w:t xml:space="preserve">New Zealand uses a combination of Tier 1 and Tier 2 methods to calculate emissions from </w:t>
      </w:r>
      <w:r w:rsidRPr="001D5327">
        <w:rPr>
          <w:i/>
          <w:spacing w:val="-2"/>
        </w:rPr>
        <w:t>Land converted to wetlands</w:t>
      </w:r>
      <w:r w:rsidRPr="001D5327">
        <w:rPr>
          <w:spacing w:val="-2"/>
        </w:rPr>
        <w:t xml:space="preserve"> (equation 7.10, IPCC, 2006a). The Tier 1 method assumes the carbon in </w:t>
      </w:r>
      <w:r w:rsidRPr="001D5327">
        <w:rPr>
          <w:spacing w:val="-2"/>
        </w:rPr>
        <w:lastRenderedPageBreak/>
        <w:t xml:space="preserve">living biomass and dead organic matter present before conversion is lost in the same year as the conversion takes place. </w:t>
      </w:r>
      <w:r w:rsidRPr="001D5327">
        <w:t xml:space="preserve">All emissions from land-use change to </w:t>
      </w:r>
      <w:r w:rsidRPr="001D5327">
        <w:rPr>
          <w:i/>
        </w:rPr>
        <w:t>Wetlands</w:t>
      </w:r>
      <w:r w:rsidRPr="001D5327">
        <w:t xml:space="preserve"> from the removal of the previous vegetation are instantly emitted.</w:t>
      </w:r>
    </w:p>
    <w:p w14:paraId="68115766" w14:textId="77777777" w:rsidR="00E0181F" w:rsidRPr="001D5327" w:rsidRDefault="00E0181F" w:rsidP="00E0181F">
      <w:pPr>
        <w:pStyle w:val="BodyText"/>
      </w:pPr>
      <w:r w:rsidRPr="001D5327">
        <w:t xml:space="preserve">For open water wetlands, the carbon stocks in living biomass and dead organic matter following conversions are equal to zero. For </w:t>
      </w:r>
      <w:r w:rsidRPr="001D5327">
        <w:rPr>
          <w:i/>
        </w:rPr>
        <w:t>Vegetated wetlands</w:t>
      </w:r>
      <w:r w:rsidRPr="001D5327">
        <w:t>, a Tier 2 method is used that includes changes in carbon stocks from the year of conversion into this category, as outlined in equation 2.9 of the 2006 IPCC Guidelines (IPCC, 2006a).</w:t>
      </w:r>
      <w:r w:rsidRPr="001D5327" w:rsidDel="001D2727">
        <w:t xml:space="preserve"> </w:t>
      </w:r>
      <w:r w:rsidRPr="001D5327">
        <w:t xml:space="preserve">When land is converted to </w:t>
      </w:r>
      <w:r w:rsidRPr="001D5327">
        <w:rPr>
          <w:i/>
        </w:rPr>
        <w:t>Vegetated wetlands</w:t>
      </w:r>
      <w:r w:rsidRPr="001D5327">
        <w:t>, living biomass accumulates 1.4 tonnes C ha</w:t>
      </w:r>
      <w:r w:rsidRPr="001D5327">
        <w:rPr>
          <w:vertAlign w:val="superscript"/>
        </w:rPr>
        <w:t>–1</w:t>
      </w:r>
      <w:r w:rsidRPr="001D5327">
        <w:t xml:space="preserve"> yr</w:t>
      </w:r>
      <w:r w:rsidRPr="001D5327">
        <w:rPr>
          <w:vertAlign w:val="superscript"/>
        </w:rPr>
        <w:t>–1</w:t>
      </w:r>
      <w:r w:rsidRPr="001D5327">
        <w:t xml:space="preserve"> (see table 6.7.3) over 20 years (the IPCC default period for land to reach steady state (IPCC, 2006a)). This rate of accumulation is based on a literature review of carbon stocks in New Zealand wetland vegetation (Easdale et al., 2022). Due to the methods used in the review, the above-ground component of the estimated accumulation rate is based on biomass estimates of living and dead plant material as well as coarse dead wood for the woody vegetation types that are included in the </w:t>
      </w:r>
      <w:r w:rsidRPr="001D5327">
        <w:rPr>
          <w:i/>
        </w:rPr>
        <w:t>Vegetated wetland</w:t>
      </w:r>
      <w:r w:rsidRPr="001D5327">
        <w:t xml:space="preserve"> category (Easdale et al., 2022). </w:t>
      </w:r>
    </w:p>
    <w:p w14:paraId="7C52C35C" w14:textId="77777777" w:rsidR="00E0181F" w:rsidRPr="001D5327" w:rsidRDefault="00E0181F" w:rsidP="00E0181F">
      <w:pPr>
        <w:pStyle w:val="Table"/>
      </w:pPr>
      <w:bookmarkStart w:id="2507" w:name="_Toc131591416"/>
      <w:bookmarkStart w:id="2508" w:name="_Toc158979974"/>
      <w:bookmarkStart w:id="2509" w:name="_Toc164153907"/>
      <w:bookmarkStart w:id="2510" w:name="_Toc190873141"/>
      <w:bookmarkStart w:id="2511" w:name="_Toc194241780"/>
      <w:r w:rsidRPr="001D5327">
        <w:t>Table 6.7.3</w:t>
      </w:r>
      <w:r w:rsidRPr="001D5327">
        <w:tab/>
        <w:t xml:space="preserve">Summary of New Zealand’s biomass emission factors for </w:t>
      </w:r>
      <w:r w:rsidRPr="001D5327">
        <w:rPr>
          <w:i/>
        </w:rPr>
        <w:t>Wetlands</w:t>
      </w:r>
      <w:bookmarkEnd w:id="2507"/>
      <w:bookmarkEnd w:id="2508"/>
      <w:bookmarkEnd w:id="2509"/>
      <w:bookmarkEnd w:id="2510"/>
      <w:bookmarkEnd w:id="2511"/>
    </w:p>
    <w:tbl>
      <w:tblPr>
        <w:tblW w:w="8505" w:type="dxa"/>
        <w:tblLook w:val="04A0" w:firstRow="1" w:lastRow="0" w:firstColumn="1" w:lastColumn="0" w:noHBand="0" w:noVBand="1"/>
      </w:tblPr>
      <w:tblGrid>
        <w:gridCol w:w="1246"/>
        <w:gridCol w:w="1589"/>
        <w:gridCol w:w="1276"/>
        <w:gridCol w:w="1276"/>
        <w:gridCol w:w="1134"/>
        <w:gridCol w:w="1984"/>
      </w:tblGrid>
      <w:tr w:rsidR="00E0181F" w:rsidRPr="001D5327" w14:paraId="64B1FE7B" w14:textId="77777777" w:rsidTr="00D11AC9">
        <w:trPr>
          <w:trHeight w:val="20"/>
          <w:tblHeader/>
        </w:trPr>
        <w:tc>
          <w:tcPr>
            <w:tcW w:w="1246" w:type="dxa"/>
            <w:tcBorders>
              <w:top w:val="single" w:sz="4" w:space="0" w:color="1B556B"/>
              <w:bottom w:val="single" w:sz="4" w:space="0" w:color="1B556B"/>
            </w:tcBorders>
            <w:shd w:val="clear" w:color="auto" w:fill="1B556B" w:themeFill="text2"/>
            <w:vAlign w:val="bottom"/>
          </w:tcPr>
          <w:p w14:paraId="0E1DA26D" w14:textId="77777777" w:rsidR="00E0181F" w:rsidRPr="001D5327" w:rsidRDefault="00E0181F" w:rsidP="00D11AC9">
            <w:pPr>
              <w:pStyle w:val="TableTextBold"/>
              <w:keepNext/>
              <w:spacing w:before="40"/>
              <w:rPr>
                <w:noProof w:val="0"/>
                <w:color w:val="FFFFFF"/>
                <w:szCs w:val="16"/>
              </w:rPr>
            </w:pPr>
            <w:r w:rsidRPr="001D5327">
              <w:rPr>
                <w:noProof w:val="0"/>
                <w:color w:val="FFFFFF"/>
                <w:szCs w:val="16"/>
              </w:rPr>
              <w:t>Land use</w:t>
            </w:r>
          </w:p>
        </w:tc>
        <w:tc>
          <w:tcPr>
            <w:tcW w:w="1589" w:type="dxa"/>
            <w:tcBorders>
              <w:top w:val="single" w:sz="4" w:space="0" w:color="1B556B"/>
              <w:bottom w:val="single" w:sz="4" w:space="0" w:color="1B556B"/>
            </w:tcBorders>
            <w:shd w:val="clear" w:color="auto" w:fill="1B556B" w:themeFill="text2"/>
            <w:vAlign w:val="bottom"/>
          </w:tcPr>
          <w:p w14:paraId="21ECE8C5" w14:textId="77777777" w:rsidR="00E0181F" w:rsidRPr="001D5327" w:rsidRDefault="00E0181F" w:rsidP="00D11AC9">
            <w:pPr>
              <w:pStyle w:val="TableTextBold"/>
              <w:spacing w:before="40"/>
              <w:rPr>
                <w:noProof w:val="0"/>
                <w:color w:val="FFFFFF"/>
                <w:szCs w:val="16"/>
              </w:rPr>
            </w:pPr>
            <w:r w:rsidRPr="001D5327">
              <w:rPr>
                <w:noProof w:val="0"/>
                <w:color w:val="FFFFFF"/>
                <w:szCs w:val="16"/>
              </w:rPr>
              <w:t>Carbon pool</w:t>
            </w:r>
          </w:p>
        </w:tc>
        <w:tc>
          <w:tcPr>
            <w:tcW w:w="1276" w:type="dxa"/>
            <w:tcBorders>
              <w:top w:val="single" w:sz="4" w:space="0" w:color="1B556B"/>
              <w:bottom w:val="single" w:sz="4" w:space="0" w:color="1B556B"/>
            </w:tcBorders>
            <w:shd w:val="clear" w:color="auto" w:fill="1B556B" w:themeFill="text2"/>
            <w:vAlign w:val="bottom"/>
          </w:tcPr>
          <w:p w14:paraId="18AA97C0" w14:textId="77777777" w:rsidR="00E0181F" w:rsidRPr="001D5327" w:rsidRDefault="00E0181F" w:rsidP="00D11AC9">
            <w:pPr>
              <w:pStyle w:val="TableTextBold"/>
              <w:spacing w:before="40"/>
              <w:jc w:val="right"/>
              <w:rPr>
                <w:noProof w:val="0"/>
                <w:color w:val="FFFFFF"/>
                <w:szCs w:val="16"/>
              </w:rPr>
            </w:pPr>
            <w:r w:rsidRPr="001D5327">
              <w:rPr>
                <w:noProof w:val="0"/>
                <w:color w:val="FFFFFF"/>
                <w:szCs w:val="16"/>
              </w:rPr>
              <w:t>Steady state carbon stock</w:t>
            </w:r>
            <w:r w:rsidRPr="001D5327">
              <w:rPr>
                <w:noProof w:val="0"/>
                <w:color w:val="FFFFFF"/>
                <w:szCs w:val="16"/>
              </w:rPr>
              <w:br/>
              <w:t>(t C ha</w:t>
            </w:r>
            <w:r w:rsidRPr="001D5327">
              <w:rPr>
                <w:noProof w:val="0"/>
                <w:color w:val="FFFFFF"/>
                <w:szCs w:val="16"/>
                <w:vertAlign w:val="superscript"/>
              </w:rPr>
              <w:t>–1</w:t>
            </w:r>
            <w:r w:rsidRPr="001D5327">
              <w:rPr>
                <w:noProof w:val="0"/>
                <w:color w:val="FFFFFF"/>
                <w:szCs w:val="16"/>
              </w:rPr>
              <w:t>)</w:t>
            </w:r>
          </w:p>
        </w:tc>
        <w:tc>
          <w:tcPr>
            <w:tcW w:w="1276" w:type="dxa"/>
            <w:tcBorders>
              <w:top w:val="single" w:sz="4" w:space="0" w:color="1B556B"/>
              <w:bottom w:val="single" w:sz="4" w:space="0" w:color="1B556B"/>
            </w:tcBorders>
            <w:shd w:val="clear" w:color="auto" w:fill="1B556B" w:themeFill="text2"/>
            <w:vAlign w:val="bottom"/>
          </w:tcPr>
          <w:p w14:paraId="638C4D7B" w14:textId="77777777" w:rsidR="00E0181F" w:rsidRPr="001D5327" w:rsidRDefault="00E0181F" w:rsidP="00D11AC9">
            <w:pPr>
              <w:pStyle w:val="TableTextBold"/>
              <w:spacing w:before="40"/>
              <w:jc w:val="right"/>
              <w:rPr>
                <w:noProof w:val="0"/>
                <w:color w:val="FFFFFF"/>
                <w:szCs w:val="16"/>
              </w:rPr>
            </w:pPr>
            <w:r w:rsidRPr="001D5327">
              <w:rPr>
                <w:noProof w:val="0"/>
                <w:color w:val="FFFFFF"/>
                <w:szCs w:val="16"/>
              </w:rPr>
              <w:t xml:space="preserve">Annual carbon accumulation </w:t>
            </w:r>
            <w:r w:rsidRPr="001D5327">
              <w:rPr>
                <w:noProof w:val="0"/>
                <w:color w:val="FFFFFF"/>
                <w:szCs w:val="16"/>
              </w:rPr>
              <w:br/>
              <w:t>(t C ha</w:t>
            </w:r>
            <w:r w:rsidRPr="001D5327">
              <w:rPr>
                <w:noProof w:val="0"/>
                <w:color w:val="FFFFFF"/>
                <w:szCs w:val="16"/>
                <w:vertAlign w:val="superscript"/>
              </w:rPr>
              <w:t>–1</w:t>
            </w:r>
            <w:r w:rsidRPr="001D5327">
              <w:rPr>
                <w:noProof w:val="0"/>
                <w:color w:val="FFFFFF"/>
                <w:szCs w:val="16"/>
              </w:rPr>
              <w:t>)</w:t>
            </w:r>
          </w:p>
        </w:tc>
        <w:tc>
          <w:tcPr>
            <w:tcW w:w="1134" w:type="dxa"/>
            <w:tcBorders>
              <w:top w:val="single" w:sz="4" w:space="0" w:color="1B556B"/>
              <w:bottom w:val="single" w:sz="4" w:space="0" w:color="1B556B"/>
            </w:tcBorders>
            <w:shd w:val="clear" w:color="auto" w:fill="1B556B" w:themeFill="text2"/>
            <w:vAlign w:val="bottom"/>
          </w:tcPr>
          <w:p w14:paraId="18855262" w14:textId="77777777" w:rsidR="00E0181F" w:rsidRPr="001D5327" w:rsidRDefault="00E0181F" w:rsidP="00D11AC9">
            <w:pPr>
              <w:pStyle w:val="TableTextBold"/>
              <w:spacing w:before="40"/>
              <w:jc w:val="right"/>
              <w:rPr>
                <w:noProof w:val="0"/>
                <w:color w:val="FFFFFF"/>
                <w:szCs w:val="16"/>
              </w:rPr>
            </w:pPr>
            <w:r w:rsidRPr="001D5327">
              <w:rPr>
                <w:noProof w:val="0"/>
                <w:color w:val="FFFFFF"/>
                <w:szCs w:val="16"/>
              </w:rPr>
              <w:t>Years to reach steady state</w:t>
            </w:r>
          </w:p>
        </w:tc>
        <w:tc>
          <w:tcPr>
            <w:tcW w:w="1984" w:type="dxa"/>
            <w:tcBorders>
              <w:top w:val="single" w:sz="4" w:space="0" w:color="1B556B"/>
              <w:bottom w:val="single" w:sz="4" w:space="0" w:color="1B556B"/>
            </w:tcBorders>
            <w:shd w:val="clear" w:color="auto" w:fill="1B556B" w:themeFill="text2"/>
            <w:vAlign w:val="bottom"/>
          </w:tcPr>
          <w:p w14:paraId="4DB64641" w14:textId="77777777" w:rsidR="00E0181F" w:rsidRPr="001D5327" w:rsidRDefault="00E0181F" w:rsidP="00D11AC9">
            <w:pPr>
              <w:pStyle w:val="TableTextBold"/>
              <w:spacing w:before="40"/>
              <w:rPr>
                <w:noProof w:val="0"/>
                <w:color w:val="FFFFFF"/>
                <w:szCs w:val="16"/>
              </w:rPr>
            </w:pPr>
            <w:r w:rsidRPr="001D5327">
              <w:rPr>
                <w:noProof w:val="0"/>
                <w:color w:val="FFFFFF"/>
                <w:szCs w:val="16"/>
              </w:rPr>
              <w:t>Source</w:t>
            </w:r>
          </w:p>
        </w:tc>
      </w:tr>
      <w:tr w:rsidR="00E0181F" w:rsidRPr="001D5327" w14:paraId="15879A13" w14:textId="77777777" w:rsidTr="00D11AC9">
        <w:trPr>
          <w:trHeight w:val="20"/>
        </w:trPr>
        <w:tc>
          <w:tcPr>
            <w:tcW w:w="1246" w:type="dxa"/>
            <w:vMerge w:val="restart"/>
            <w:tcBorders>
              <w:top w:val="single" w:sz="4" w:space="0" w:color="1B556B"/>
              <w:bottom w:val="single" w:sz="4" w:space="0" w:color="1B556B"/>
            </w:tcBorders>
          </w:tcPr>
          <w:p w14:paraId="1B7CB0D8" w14:textId="77777777" w:rsidR="00E0181F" w:rsidRPr="001D5327" w:rsidRDefault="00E0181F" w:rsidP="00D11AC9">
            <w:pPr>
              <w:pStyle w:val="TableText"/>
              <w:spacing w:before="40" w:after="40"/>
              <w:rPr>
                <w:szCs w:val="16"/>
              </w:rPr>
            </w:pPr>
            <w:r w:rsidRPr="001D5327">
              <w:rPr>
                <w:szCs w:val="16"/>
              </w:rPr>
              <w:t>Open water</w:t>
            </w:r>
          </w:p>
        </w:tc>
        <w:tc>
          <w:tcPr>
            <w:tcW w:w="1589" w:type="dxa"/>
            <w:tcBorders>
              <w:top w:val="single" w:sz="4" w:space="0" w:color="1B556B"/>
              <w:bottom w:val="single" w:sz="4" w:space="0" w:color="1B556B"/>
            </w:tcBorders>
          </w:tcPr>
          <w:p w14:paraId="1999011F" w14:textId="77777777" w:rsidR="00E0181F" w:rsidRPr="001D5327" w:rsidRDefault="00E0181F" w:rsidP="00D11AC9">
            <w:pPr>
              <w:pStyle w:val="TableText"/>
              <w:spacing w:before="40" w:after="40"/>
              <w:rPr>
                <w:b/>
                <w:color w:val="1B556B"/>
                <w:szCs w:val="16"/>
              </w:rPr>
            </w:pPr>
            <w:r w:rsidRPr="001D5327">
              <w:rPr>
                <w:b/>
                <w:color w:val="1B556B"/>
                <w:szCs w:val="16"/>
              </w:rPr>
              <w:t>Total biomass</w:t>
            </w:r>
          </w:p>
        </w:tc>
        <w:tc>
          <w:tcPr>
            <w:tcW w:w="1276" w:type="dxa"/>
            <w:tcBorders>
              <w:top w:val="single" w:sz="4" w:space="0" w:color="1B556B"/>
              <w:bottom w:val="single" w:sz="4" w:space="0" w:color="1B556B"/>
            </w:tcBorders>
          </w:tcPr>
          <w:p w14:paraId="1DCCD403" w14:textId="77777777" w:rsidR="00E0181F" w:rsidRPr="001D5327" w:rsidRDefault="00E0181F" w:rsidP="00D11AC9">
            <w:pPr>
              <w:pStyle w:val="TableText"/>
              <w:spacing w:before="40" w:after="40"/>
              <w:jc w:val="right"/>
              <w:rPr>
                <w:b/>
                <w:color w:val="1B556B"/>
                <w:szCs w:val="16"/>
              </w:rPr>
            </w:pPr>
            <w:r w:rsidRPr="001D5327">
              <w:rPr>
                <w:b/>
                <w:color w:val="1B556B"/>
              </w:rPr>
              <w:t>NE</w:t>
            </w:r>
          </w:p>
        </w:tc>
        <w:tc>
          <w:tcPr>
            <w:tcW w:w="1276" w:type="dxa"/>
            <w:tcBorders>
              <w:top w:val="single" w:sz="4" w:space="0" w:color="1B556B"/>
              <w:bottom w:val="single" w:sz="4" w:space="0" w:color="1B556B"/>
            </w:tcBorders>
          </w:tcPr>
          <w:p w14:paraId="55EE3115" w14:textId="77777777" w:rsidR="00E0181F" w:rsidRPr="001D5327" w:rsidRDefault="00E0181F" w:rsidP="00D11AC9">
            <w:pPr>
              <w:pStyle w:val="TableText"/>
              <w:spacing w:before="40" w:after="40"/>
              <w:jc w:val="right"/>
              <w:rPr>
                <w:b/>
                <w:color w:val="1B556B"/>
                <w:szCs w:val="16"/>
              </w:rPr>
            </w:pPr>
            <w:r w:rsidRPr="001D5327">
              <w:rPr>
                <w:b/>
                <w:color w:val="1B556B"/>
              </w:rPr>
              <w:t>NE</w:t>
            </w:r>
          </w:p>
        </w:tc>
        <w:tc>
          <w:tcPr>
            <w:tcW w:w="1134" w:type="dxa"/>
            <w:tcBorders>
              <w:top w:val="single" w:sz="4" w:space="0" w:color="1B556B"/>
              <w:bottom w:val="single" w:sz="4" w:space="0" w:color="1B556B"/>
            </w:tcBorders>
          </w:tcPr>
          <w:p w14:paraId="2DDDE319" w14:textId="77777777" w:rsidR="00E0181F" w:rsidRPr="001D5327" w:rsidRDefault="00E0181F" w:rsidP="00D11AC9">
            <w:pPr>
              <w:pStyle w:val="TableText"/>
              <w:spacing w:before="40" w:after="40"/>
              <w:jc w:val="right"/>
              <w:rPr>
                <w:b/>
                <w:color w:val="1B556B"/>
                <w:szCs w:val="16"/>
              </w:rPr>
            </w:pPr>
            <w:r w:rsidRPr="001D5327">
              <w:rPr>
                <w:b/>
                <w:color w:val="1B556B"/>
                <w:szCs w:val="16"/>
              </w:rPr>
              <w:t>NE</w:t>
            </w:r>
          </w:p>
        </w:tc>
        <w:tc>
          <w:tcPr>
            <w:tcW w:w="1984" w:type="dxa"/>
            <w:vMerge w:val="restart"/>
            <w:tcBorders>
              <w:top w:val="single" w:sz="4" w:space="0" w:color="1B556B"/>
            </w:tcBorders>
          </w:tcPr>
          <w:p w14:paraId="345E0236" w14:textId="77777777" w:rsidR="00E0181F" w:rsidRPr="001D5327" w:rsidRDefault="00E0181F" w:rsidP="00D11AC9">
            <w:pPr>
              <w:pStyle w:val="TableText"/>
              <w:spacing w:before="40" w:after="40"/>
              <w:rPr>
                <w:szCs w:val="16"/>
              </w:rPr>
            </w:pPr>
            <w:r w:rsidRPr="001D5327">
              <w:rPr>
                <w:szCs w:val="16"/>
              </w:rPr>
              <w:t>No IPCC guidelines</w:t>
            </w:r>
          </w:p>
        </w:tc>
      </w:tr>
      <w:tr w:rsidR="00E0181F" w:rsidRPr="001D5327" w14:paraId="6D45A2D7" w14:textId="77777777" w:rsidTr="00D11AC9">
        <w:trPr>
          <w:trHeight w:val="20"/>
        </w:trPr>
        <w:tc>
          <w:tcPr>
            <w:tcW w:w="1246" w:type="dxa"/>
            <w:vMerge/>
            <w:tcBorders>
              <w:bottom w:val="single" w:sz="4" w:space="0" w:color="1B556B"/>
            </w:tcBorders>
          </w:tcPr>
          <w:p w14:paraId="0E2E972F" w14:textId="77777777" w:rsidR="00E0181F" w:rsidRPr="001D5327" w:rsidRDefault="00E0181F" w:rsidP="00D11AC9">
            <w:pPr>
              <w:pStyle w:val="TableText"/>
              <w:spacing w:before="40" w:after="40"/>
              <w:rPr>
                <w:szCs w:val="16"/>
              </w:rPr>
            </w:pPr>
          </w:p>
        </w:tc>
        <w:tc>
          <w:tcPr>
            <w:tcW w:w="1589" w:type="dxa"/>
            <w:tcBorders>
              <w:top w:val="single" w:sz="4" w:space="0" w:color="1B556B"/>
              <w:bottom w:val="single" w:sz="4" w:space="0" w:color="1B556B"/>
            </w:tcBorders>
          </w:tcPr>
          <w:p w14:paraId="2C6A961B" w14:textId="77777777" w:rsidR="00E0181F" w:rsidRPr="001D5327" w:rsidRDefault="00E0181F" w:rsidP="00D11AC9">
            <w:pPr>
              <w:pStyle w:val="TableText"/>
              <w:spacing w:before="40" w:after="40"/>
              <w:rPr>
                <w:i/>
                <w:szCs w:val="16"/>
              </w:rPr>
            </w:pPr>
            <w:r w:rsidRPr="001D5327">
              <w:rPr>
                <w:i/>
                <w:szCs w:val="16"/>
              </w:rPr>
              <w:t>Living biomass</w:t>
            </w:r>
          </w:p>
        </w:tc>
        <w:tc>
          <w:tcPr>
            <w:tcW w:w="1276" w:type="dxa"/>
            <w:tcBorders>
              <w:top w:val="single" w:sz="4" w:space="0" w:color="1B556B"/>
              <w:bottom w:val="single" w:sz="4" w:space="0" w:color="1B556B"/>
            </w:tcBorders>
          </w:tcPr>
          <w:p w14:paraId="100D4DD9" w14:textId="77777777" w:rsidR="00E0181F" w:rsidRPr="001D5327" w:rsidRDefault="00E0181F" w:rsidP="00D11AC9">
            <w:pPr>
              <w:pStyle w:val="TableText"/>
              <w:spacing w:before="40" w:after="40"/>
              <w:jc w:val="right"/>
              <w:rPr>
                <w:szCs w:val="16"/>
              </w:rPr>
            </w:pPr>
          </w:p>
        </w:tc>
        <w:tc>
          <w:tcPr>
            <w:tcW w:w="1276" w:type="dxa"/>
            <w:tcBorders>
              <w:top w:val="single" w:sz="4" w:space="0" w:color="1B556B"/>
              <w:bottom w:val="single" w:sz="4" w:space="0" w:color="1B556B"/>
            </w:tcBorders>
          </w:tcPr>
          <w:p w14:paraId="69702E9C" w14:textId="77777777" w:rsidR="00E0181F" w:rsidRPr="001D5327" w:rsidRDefault="00E0181F" w:rsidP="00D11AC9">
            <w:pPr>
              <w:pStyle w:val="TableText"/>
              <w:spacing w:before="40" w:after="40"/>
              <w:jc w:val="right"/>
              <w:rPr>
                <w:szCs w:val="16"/>
              </w:rPr>
            </w:pPr>
          </w:p>
        </w:tc>
        <w:tc>
          <w:tcPr>
            <w:tcW w:w="1134" w:type="dxa"/>
            <w:tcBorders>
              <w:top w:val="single" w:sz="4" w:space="0" w:color="1B556B"/>
              <w:bottom w:val="single" w:sz="4" w:space="0" w:color="1B556B"/>
            </w:tcBorders>
          </w:tcPr>
          <w:p w14:paraId="0FB8FA08" w14:textId="77777777" w:rsidR="00E0181F" w:rsidRPr="001D5327" w:rsidRDefault="00E0181F" w:rsidP="00D11AC9">
            <w:pPr>
              <w:pStyle w:val="TableText"/>
              <w:spacing w:before="40" w:after="40"/>
              <w:jc w:val="right"/>
              <w:rPr>
                <w:szCs w:val="16"/>
              </w:rPr>
            </w:pPr>
          </w:p>
        </w:tc>
        <w:tc>
          <w:tcPr>
            <w:tcW w:w="1984" w:type="dxa"/>
            <w:vMerge/>
          </w:tcPr>
          <w:p w14:paraId="465CB2D6" w14:textId="77777777" w:rsidR="00E0181F" w:rsidRPr="001D5327" w:rsidRDefault="00E0181F" w:rsidP="00D11AC9">
            <w:pPr>
              <w:pStyle w:val="TableText"/>
              <w:spacing w:before="40" w:after="40"/>
              <w:rPr>
                <w:szCs w:val="16"/>
              </w:rPr>
            </w:pPr>
          </w:p>
        </w:tc>
      </w:tr>
      <w:tr w:rsidR="00E0181F" w:rsidRPr="001D5327" w14:paraId="1F8B3FED" w14:textId="77777777" w:rsidTr="00D11AC9">
        <w:trPr>
          <w:trHeight w:val="20"/>
        </w:trPr>
        <w:tc>
          <w:tcPr>
            <w:tcW w:w="1246" w:type="dxa"/>
            <w:vMerge/>
            <w:tcBorders>
              <w:bottom w:val="single" w:sz="4" w:space="0" w:color="1B556B"/>
            </w:tcBorders>
          </w:tcPr>
          <w:p w14:paraId="23850FEA" w14:textId="77777777" w:rsidR="00E0181F" w:rsidRPr="001D5327" w:rsidRDefault="00E0181F" w:rsidP="00D11AC9">
            <w:pPr>
              <w:pStyle w:val="TableText"/>
              <w:spacing w:before="40" w:after="40"/>
              <w:rPr>
                <w:szCs w:val="16"/>
              </w:rPr>
            </w:pPr>
          </w:p>
        </w:tc>
        <w:tc>
          <w:tcPr>
            <w:tcW w:w="1589" w:type="dxa"/>
            <w:tcBorders>
              <w:top w:val="single" w:sz="4" w:space="0" w:color="1B556B"/>
              <w:bottom w:val="single" w:sz="4" w:space="0" w:color="1B556B"/>
            </w:tcBorders>
          </w:tcPr>
          <w:p w14:paraId="42C03696" w14:textId="77777777" w:rsidR="00E0181F" w:rsidRPr="001D5327" w:rsidRDefault="00E0181F" w:rsidP="00D11AC9">
            <w:pPr>
              <w:pStyle w:val="TableText"/>
              <w:spacing w:before="40" w:after="40"/>
              <w:rPr>
                <w:szCs w:val="16"/>
              </w:rPr>
            </w:pPr>
            <w:r w:rsidRPr="001D5327">
              <w:rPr>
                <w:szCs w:val="16"/>
              </w:rPr>
              <w:tab/>
              <w:t>AGB</w:t>
            </w:r>
          </w:p>
        </w:tc>
        <w:tc>
          <w:tcPr>
            <w:tcW w:w="1276" w:type="dxa"/>
            <w:tcBorders>
              <w:top w:val="single" w:sz="4" w:space="0" w:color="1B556B"/>
              <w:bottom w:val="single" w:sz="4" w:space="0" w:color="1B556B"/>
            </w:tcBorders>
          </w:tcPr>
          <w:p w14:paraId="62FAE345" w14:textId="77777777" w:rsidR="00E0181F" w:rsidRPr="001D5327" w:rsidRDefault="00E0181F" w:rsidP="00D11AC9">
            <w:pPr>
              <w:pStyle w:val="TableText"/>
              <w:spacing w:before="40" w:after="40"/>
              <w:jc w:val="right"/>
              <w:rPr>
                <w:szCs w:val="16"/>
              </w:rPr>
            </w:pPr>
            <w:r w:rsidRPr="001D5327">
              <w:t>NE</w:t>
            </w:r>
          </w:p>
        </w:tc>
        <w:tc>
          <w:tcPr>
            <w:tcW w:w="1276" w:type="dxa"/>
            <w:tcBorders>
              <w:top w:val="single" w:sz="4" w:space="0" w:color="1B556B"/>
              <w:bottom w:val="single" w:sz="4" w:space="0" w:color="1B556B"/>
            </w:tcBorders>
          </w:tcPr>
          <w:p w14:paraId="4DEDB28B" w14:textId="77777777" w:rsidR="00E0181F" w:rsidRPr="001D5327" w:rsidRDefault="00E0181F" w:rsidP="00D11AC9">
            <w:pPr>
              <w:pStyle w:val="TableText"/>
              <w:spacing w:before="40" w:after="40"/>
              <w:jc w:val="right"/>
              <w:rPr>
                <w:szCs w:val="16"/>
              </w:rPr>
            </w:pPr>
            <w:r w:rsidRPr="001D5327">
              <w:rPr>
                <w:szCs w:val="16"/>
              </w:rPr>
              <w:t>NE</w:t>
            </w:r>
          </w:p>
        </w:tc>
        <w:tc>
          <w:tcPr>
            <w:tcW w:w="1134" w:type="dxa"/>
            <w:tcBorders>
              <w:top w:val="single" w:sz="4" w:space="0" w:color="1B556B"/>
              <w:bottom w:val="single" w:sz="4" w:space="0" w:color="1B556B"/>
            </w:tcBorders>
          </w:tcPr>
          <w:p w14:paraId="32E76E97" w14:textId="77777777" w:rsidR="00E0181F" w:rsidRPr="001D5327" w:rsidRDefault="00E0181F" w:rsidP="00D11AC9">
            <w:pPr>
              <w:pStyle w:val="TableText"/>
              <w:spacing w:before="40" w:after="40"/>
              <w:jc w:val="right"/>
              <w:rPr>
                <w:szCs w:val="16"/>
              </w:rPr>
            </w:pPr>
            <w:r w:rsidRPr="001D5327">
              <w:rPr>
                <w:szCs w:val="16"/>
              </w:rPr>
              <w:t>NE</w:t>
            </w:r>
          </w:p>
        </w:tc>
        <w:tc>
          <w:tcPr>
            <w:tcW w:w="1984" w:type="dxa"/>
            <w:vMerge/>
          </w:tcPr>
          <w:p w14:paraId="738A6680" w14:textId="77777777" w:rsidR="00E0181F" w:rsidRPr="001D5327" w:rsidRDefault="00E0181F" w:rsidP="00D11AC9">
            <w:pPr>
              <w:pStyle w:val="TableText"/>
              <w:spacing w:before="40" w:after="40"/>
              <w:rPr>
                <w:szCs w:val="16"/>
              </w:rPr>
            </w:pPr>
          </w:p>
        </w:tc>
      </w:tr>
      <w:tr w:rsidR="00E0181F" w:rsidRPr="001D5327" w14:paraId="27E34053" w14:textId="77777777" w:rsidTr="00D11AC9">
        <w:trPr>
          <w:trHeight w:val="20"/>
        </w:trPr>
        <w:tc>
          <w:tcPr>
            <w:tcW w:w="1246" w:type="dxa"/>
            <w:vMerge/>
            <w:tcBorders>
              <w:bottom w:val="single" w:sz="4" w:space="0" w:color="1B556B"/>
            </w:tcBorders>
          </w:tcPr>
          <w:p w14:paraId="3C2031A7" w14:textId="77777777" w:rsidR="00E0181F" w:rsidRPr="001D5327" w:rsidRDefault="00E0181F" w:rsidP="00D11AC9">
            <w:pPr>
              <w:pStyle w:val="TableText"/>
              <w:spacing w:before="40" w:after="40"/>
              <w:rPr>
                <w:szCs w:val="16"/>
              </w:rPr>
            </w:pPr>
          </w:p>
        </w:tc>
        <w:tc>
          <w:tcPr>
            <w:tcW w:w="1589" w:type="dxa"/>
            <w:tcBorders>
              <w:top w:val="single" w:sz="4" w:space="0" w:color="1B556B"/>
              <w:bottom w:val="single" w:sz="4" w:space="0" w:color="1B556B"/>
            </w:tcBorders>
          </w:tcPr>
          <w:p w14:paraId="3A1DA33E" w14:textId="77777777" w:rsidR="00E0181F" w:rsidRPr="001D5327" w:rsidRDefault="00E0181F" w:rsidP="00D11AC9">
            <w:pPr>
              <w:pStyle w:val="TableText"/>
              <w:spacing w:before="40" w:after="40"/>
              <w:rPr>
                <w:szCs w:val="16"/>
              </w:rPr>
            </w:pPr>
            <w:r w:rsidRPr="001D5327">
              <w:rPr>
                <w:szCs w:val="16"/>
              </w:rPr>
              <w:tab/>
              <w:t>BGB</w:t>
            </w:r>
          </w:p>
        </w:tc>
        <w:tc>
          <w:tcPr>
            <w:tcW w:w="1276" w:type="dxa"/>
            <w:tcBorders>
              <w:top w:val="single" w:sz="4" w:space="0" w:color="1B556B"/>
              <w:bottom w:val="single" w:sz="4" w:space="0" w:color="1B556B"/>
            </w:tcBorders>
          </w:tcPr>
          <w:p w14:paraId="1E0C579E" w14:textId="77777777" w:rsidR="00E0181F" w:rsidRPr="001D5327" w:rsidRDefault="00E0181F" w:rsidP="00D11AC9">
            <w:pPr>
              <w:pStyle w:val="TableText"/>
              <w:spacing w:before="40" w:after="40"/>
              <w:jc w:val="right"/>
              <w:rPr>
                <w:szCs w:val="16"/>
              </w:rPr>
            </w:pPr>
            <w:r w:rsidRPr="001D5327">
              <w:t>NE</w:t>
            </w:r>
          </w:p>
        </w:tc>
        <w:tc>
          <w:tcPr>
            <w:tcW w:w="1276" w:type="dxa"/>
            <w:tcBorders>
              <w:top w:val="single" w:sz="4" w:space="0" w:color="1B556B"/>
              <w:bottom w:val="single" w:sz="4" w:space="0" w:color="1B556B"/>
            </w:tcBorders>
          </w:tcPr>
          <w:p w14:paraId="5A8A16EC" w14:textId="77777777" w:rsidR="00E0181F" w:rsidRPr="001D5327" w:rsidRDefault="00E0181F" w:rsidP="00D11AC9">
            <w:pPr>
              <w:pStyle w:val="TableText"/>
              <w:spacing w:before="40" w:after="40"/>
              <w:jc w:val="right"/>
              <w:rPr>
                <w:szCs w:val="16"/>
              </w:rPr>
            </w:pPr>
            <w:r w:rsidRPr="001D5327">
              <w:rPr>
                <w:szCs w:val="16"/>
              </w:rPr>
              <w:t>NE</w:t>
            </w:r>
          </w:p>
        </w:tc>
        <w:tc>
          <w:tcPr>
            <w:tcW w:w="1134" w:type="dxa"/>
            <w:tcBorders>
              <w:top w:val="single" w:sz="4" w:space="0" w:color="1B556B"/>
              <w:bottom w:val="single" w:sz="4" w:space="0" w:color="1B556B"/>
            </w:tcBorders>
          </w:tcPr>
          <w:p w14:paraId="7E9E435B" w14:textId="77777777" w:rsidR="00E0181F" w:rsidRPr="001D5327" w:rsidRDefault="00E0181F" w:rsidP="00D11AC9">
            <w:pPr>
              <w:pStyle w:val="TableText"/>
              <w:spacing w:before="40" w:after="40"/>
              <w:jc w:val="right"/>
              <w:rPr>
                <w:szCs w:val="16"/>
              </w:rPr>
            </w:pPr>
            <w:r w:rsidRPr="001D5327">
              <w:rPr>
                <w:szCs w:val="16"/>
              </w:rPr>
              <w:t>NE</w:t>
            </w:r>
          </w:p>
        </w:tc>
        <w:tc>
          <w:tcPr>
            <w:tcW w:w="1984" w:type="dxa"/>
            <w:vMerge/>
          </w:tcPr>
          <w:p w14:paraId="188B0248" w14:textId="77777777" w:rsidR="00E0181F" w:rsidRPr="001D5327" w:rsidRDefault="00E0181F" w:rsidP="00D11AC9">
            <w:pPr>
              <w:pStyle w:val="TableText"/>
              <w:spacing w:before="40" w:after="40"/>
              <w:rPr>
                <w:szCs w:val="16"/>
              </w:rPr>
            </w:pPr>
          </w:p>
        </w:tc>
      </w:tr>
      <w:tr w:rsidR="00E0181F" w:rsidRPr="001D5327" w14:paraId="03D916C7" w14:textId="77777777" w:rsidTr="00D11AC9">
        <w:trPr>
          <w:trHeight w:val="20"/>
        </w:trPr>
        <w:tc>
          <w:tcPr>
            <w:tcW w:w="1246" w:type="dxa"/>
            <w:vMerge/>
            <w:tcBorders>
              <w:bottom w:val="single" w:sz="4" w:space="0" w:color="1B556B"/>
            </w:tcBorders>
          </w:tcPr>
          <w:p w14:paraId="54278485" w14:textId="77777777" w:rsidR="00E0181F" w:rsidRPr="001D5327" w:rsidRDefault="00E0181F" w:rsidP="00D11AC9">
            <w:pPr>
              <w:pStyle w:val="TableText"/>
              <w:spacing w:before="40" w:after="40"/>
              <w:rPr>
                <w:szCs w:val="16"/>
              </w:rPr>
            </w:pPr>
          </w:p>
        </w:tc>
        <w:tc>
          <w:tcPr>
            <w:tcW w:w="1589" w:type="dxa"/>
            <w:tcBorders>
              <w:top w:val="single" w:sz="4" w:space="0" w:color="1B556B"/>
              <w:bottom w:val="single" w:sz="4" w:space="0" w:color="1B556B"/>
            </w:tcBorders>
          </w:tcPr>
          <w:p w14:paraId="0B13D064" w14:textId="77777777" w:rsidR="00E0181F" w:rsidRPr="001D5327" w:rsidRDefault="00E0181F" w:rsidP="00D11AC9">
            <w:pPr>
              <w:pStyle w:val="TableText"/>
              <w:spacing w:before="40" w:after="40"/>
              <w:rPr>
                <w:i/>
                <w:szCs w:val="16"/>
              </w:rPr>
            </w:pPr>
            <w:r w:rsidRPr="001D5327">
              <w:rPr>
                <w:i/>
                <w:szCs w:val="16"/>
              </w:rPr>
              <w:t>Dead organic matter</w:t>
            </w:r>
          </w:p>
        </w:tc>
        <w:tc>
          <w:tcPr>
            <w:tcW w:w="1276" w:type="dxa"/>
            <w:tcBorders>
              <w:top w:val="single" w:sz="4" w:space="0" w:color="1B556B"/>
              <w:bottom w:val="single" w:sz="4" w:space="0" w:color="1B556B"/>
            </w:tcBorders>
          </w:tcPr>
          <w:p w14:paraId="122E394A" w14:textId="77777777" w:rsidR="00E0181F" w:rsidRPr="001D5327" w:rsidRDefault="00E0181F" w:rsidP="00D11AC9">
            <w:pPr>
              <w:pStyle w:val="TableText"/>
              <w:spacing w:before="40" w:after="40"/>
              <w:jc w:val="right"/>
            </w:pPr>
            <w:r w:rsidRPr="001D5327">
              <w:t>NE</w:t>
            </w:r>
          </w:p>
        </w:tc>
        <w:tc>
          <w:tcPr>
            <w:tcW w:w="1276" w:type="dxa"/>
            <w:tcBorders>
              <w:top w:val="single" w:sz="4" w:space="0" w:color="1B556B"/>
              <w:bottom w:val="single" w:sz="4" w:space="0" w:color="1B556B"/>
            </w:tcBorders>
          </w:tcPr>
          <w:p w14:paraId="12587EC3" w14:textId="77777777" w:rsidR="00E0181F" w:rsidRPr="001D5327" w:rsidRDefault="00E0181F" w:rsidP="00D11AC9">
            <w:pPr>
              <w:pStyle w:val="TableText"/>
              <w:spacing w:before="40" w:after="40"/>
              <w:jc w:val="right"/>
            </w:pPr>
            <w:r w:rsidRPr="001D5327">
              <w:t>NE</w:t>
            </w:r>
          </w:p>
        </w:tc>
        <w:tc>
          <w:tcPr>
            <w:tcW w:w="1134" w:type="dxa"/>
            <w:tcBorders>
              <w:top w:val="single" w:sz="4" w:space="0" w:color="1B556B"/>
              <w:bottom w:val="single" w:sz="4" w:space="0" w:color="1B556B"/>
            </w:tcBorders>
          </w:tcPr>
          <w:p w14:paraId="6803BF20" w14:textId="77777777" w:rsidR="00E0181F" w:rsidRPr="001D5327" w:rsidRDefault="00E0181F" w:rsidP="00D11AC9">
            <w:pPr>
              <w:pStyle w:val="TableText"/>
              <w:spacing w:before="40" w:after="40"/>
              <w:jc w:val="right"/>
            </w:pPr>
            <w:r w:rsidRPr="001D5327">
              <w:t>NE</w:t>
            </w:r>
          </w:p>
        </w:tc>
        <w:tc>
          <w:tcPr>
            <w:tcW w:w="1984" w:type="dxa"/>
            <w:vMerge/>
            <w:tcBorders>
              <w:bottom w:val="single" w:sz="4" w:space="0" w:color="1B556B"/>
            </w:tcBorders>
          </w:tcPr>
          <w:p w14:paraId="72C828FB" w14:textId="77777777" w:rsidR="00E0181F" w:rsidRPr="001D5327" w:rsidRDefault="00E0181F" w:rsidP="00D11AC9">
            <w:pPr>
              <w:pStyle w:val="TableText"/>
              <w:spacing w:before="40" w:after="40"/>
              <w:rPr>
                <w:szCs w:val="16"/>
              </w:rPr>
            </w:pPr>
          </w:p>
        </w:tc>
      </w:tr>
      <w:tr w:rsidR="00E0181F" w:rsidRPr="001D5327" w14:paraId="2F74F02B" w14:textId="77777777" w:rsidTr="00D11AC9">
        <w:trPr>
          <w:trHeight w:val="20"/>
        </w:trPr>
        <w:tc>
          <w:tcPr>
            <w:tcW w:w="1246" w:type="dxa"/>
            <w:vMerge w:val="restart"/>
            <w:tcBorders>
              <w:top w:val="single" w:sz="4" w:space="0" w:color="1B556B"/>
              <w:bottom w:val="single" w:sz="4" w:space="0" w:color="1B556B"/>
            </w:tcBorders>
          </w:tcPr>
          <w:p w14:paraId="3A4B91DB" w14:textId="77777777" w:rsidR="00E0181F" w:rsidRPr="001D5327" w:rsidRDefault="00E0181F" w:rsidP="00D11AC9">
            <w:pPr>
              <w:pStyle w:val="TableText"/>
              <w:spacing w:before="40" w:after="40"/>
              <w:rPr>
                <w:szCs w:val="16"/>
              </w:rPr>
            </w:pPr>
            <w:r w:rsidRPr="001D5327">
              <w:rPr>
                <w:szCs w:val="16"/>
              </w:rPr>
              <w:t>Vegetated</w:t>
            </w:r>
          </w:p>
        </w:tc>
        <w:tc>
          <w:tcPr>
            <w:tcW w:w="1589" w:type="dxa"/>
            <w:tcBorders>
              <w:top w:val="single" w:sz="4" w:space="0" w:color="1B556B"/>
              <w:bottom w:val="single" w:sz="4" w:space="0" w:color="1B556B"/>
            </w:tcBorders>
          </w:tcPr>
          <w:p w14:paraId="002755EE" w14:textId="77777777" w:rsidR="00E0181F" w:rsidRPr="001D5327" w:rsidRDefault="00E0181F" w:rsidP="00D11AC9">
            <w:pPr>
              <w:pStyle w:val="TableText"/>
              <w:spacing w:before="40" w:after="40"/>
              <w:rPr>
                <w:b/>
                <w:color w:val="1B556B"/>
                <w:szCs w:val="16"/>
              </w:rPr>
            </w:pPr>
            <w:r w:rsidRPr="001D5327">
              <w:rPr>
                <w:b/>
                <w:color w:val="1B556B"/>
                <w:szCs w:val="16"/>
              </w:rPr>
              <w:t>Total biomass</w:t>
            </w:r>
          </w:p>
        </w:tc>
        <w:tc>
          <w:tcPr>
            <w:tcW w:w="1276" w:type="dxa"/>
            <w:tcBorders>
              <w:top w:val="single" w:sz="4" w:space="0" w:color="1B556B"/>
              <w:bottom w:val="single" w:sz="4" w:space="0" w:color="1B556B"/>
            </w:tcBorders>
          </w:tcPr>
          <w:p w14:paraId="00183700" w14:textId="77777777" w:rsidR="00E0181F" w:rsidRPr="001D5327" w:rsidRDefault="00E0181F" w:rsidP="00D11AC9">
            <w:pPr>
              <w:pStyle w:val="TableText"/>
              <w:spacing w:before="40" w:after="40"/>
              <w:jc w:val="right"/>
              <w:rPr>
                <w:b/>
                <w:color w:val="1B556B"/>
                <w:szCs w:val="16"/>
              </w:rPr>
            </w:pPr>
            <w:r w:rsidRPr="001D5327">
              <w:rPr>
                <w:b/>
                <w:color w:val="1B556B"/>
                <w:szCs w:val="16"/>
              </w:rPr>
              <w:t>27.6</w:t>
            </w:r>
          </w:p>
        </w:tc>
        <w:tc>
          <w:tcPr>
            <w:tcW w:w="1276" w:type="dxa"/>
            <w:tcBorders>
              <w:top w:val="single" w:sz="4" w:space="0" w:color="1B556B"/>
              <w:bottom w:val="single" w:sz="4" w:space="0" w:color="1B556B"/>
            </w:tcBorders>
          </w:tcPr>
          <w:p w14:paraId="3C029C92" w14:textId="77777777" w:rsidR="00E0181F" w:rsidRPr="001D5327" w:rsidRDefault="00E0181F" w:rsidP="00D11AC9">
            <w:pPr>
              <w:pStyle w:val="TableText"/>
              <w:spacing w:before="40" w:after="40"/>
              <w:jc w:val="right"/>
              <w:rPr>
                <w:b/>
                <w:color w:val="1B556B"/>
              </w:rPr>
            </w:pPr>
            <w:r w:rsidRPr="001D5327">
              <w:rPr>
                <w:b/>
                <w:color w:val="1B556B"/>
              </w:rPr>
              <w:t>1.4</w:t>
            </w:r>
          </w:p>
        </w:tc>
        <w:tc>
          <w:tcPr>
            <w:tcW w:w="1134" w:type="dxa"/>
            <w:tcBorders>
              <w:top w:val="single" w:sz="4" w:space="0" w:color="1B556B"/>
              <w:bottom w:val="single" w:sz="4" w:space="0" w:color="1B556B"/>
            </w:tcBorders>
          </w:tcPr>
          <w:p w14:paraId="4B3D5D46" w14:textId="77777777" w:rsidR="00E0181F" w:rsidRPr="001D5327" w:rsidRDefault="00E0181F" w:rsidP="00D11AC9">
            <w:pPr>
              <w:pStyle w:val="TableText"/>
              <w:spacing w:before="40" w:after="40"/>
              <w:jc w:val="right"/>
              <w:rPr>
                <w:b/>
                <w:color w:val="1B556B"/>
              </w:rPr>
            </w:pPr>
            <w:r w:rsidRPr="001D5327">
              <w:rPr>
                <w:b/>
                <w:color w:val="1B556B"/>
              </w:rPr>
              <w:t>20</w:t>
            </w:r>
          </w:p>
        </w:tc>
        <w:tc>
          <w:tcPr>
            <w:tcW w:w="1984" w:type="dxa"/>
            <w:vMerge w:val="restart"/>
            <w:tcBorders>
              <w:top w:val="single" w:sz="4" w:space="0" w:color="1B556B"/>
              <w:bottom w:val="single" w:sz="4" w:space="0" w:color="1B556B"/>
            </w:tcBorders>
          </w:tcPr>
          <w:p w14:paraId="0C302E82" w14:textId="77777777" w:rsidR="00E0181F" w:rsidRPr="001D5327" w:rsidRDefault="00E0181F" w:rsidP="00D11AC9">
            <w:pPr>
              <w:pStyle w:val="TableText"/>
              <w:spacing w:before="40" w:after="40"/>
              <w:rPr>
                <w:szCs w:val="16"/>
              </w:rPr>
            </w:pPr>
            <w:r w:rsidRPr="001D5327">
              <w:rPr>
                <w:szCs w:val="16"/>
              </w:rPr>
              <w:t>Easdale et al. (2022)</w:t>
            </w:r>
          </w:p>
        </w:tc>
      </w:tr>
      <w:tr w:rsidR="00E0181F" w:rsidRPr="001D5327" w14:paraId="4D0B8F80" w14:textId="77777777" w:rsidTr="00D11AC9">
        <w:trPr>
          <w:trHeight w:val="20"/>
        </w:trPr>
        <w:tc>
          <w:tcPr>
            <w:tcW w:w="1246" w:type="dxa"/>
            <w:vMerge/>
            <w:tcBorders>
              <w:top w:val="single" w:sz="4" w:space="0" w:color="1B556B"/>
              <w:bottom w:val="single" w:sz="4" w:space="0" w:color="1B556B"/>
            </w:tcBorders>
          </w:tcPr>
          <w:p w14:paraId="342E6B47" w14:textId="77777777" w:rsidR="00E0181F" w:rsidRPr="001D5327" w:rsidRDefault="00E0181F" w:rsidP="00D11AC9">
            <w:pPr>
              <w:pStyle w:val="TableText"/>
              <w:spacing w:before="40" w:after="40"/>
              <w:rPr>
                <w:szCs w:val="16"/>
              </w:rPr>
            </w:pPr>
          </w:p>
        </w:tc>
        <w:tc>
          <w:tcPr>
            <w:tcW w:w="1589" w:type="dxa"/>
            <w:tcBorders>
              <w:top w:val="single" w:sz="4" w:space="0" w:color="1B556B"/>
              <w:bottom w:val="single" w:sz="4" w:space="0" w:color="1B556B"/>
            </w:tcBorders>
          </w:tcPr>
          <w:p w14:paraId="73D64B78" w14:textId="77777777" w:rsidR="00E0181F" w:rsidRPr="001D5327" w:rsidRDefault="00E0181F" w:rsidP="00D11AC9">
            <w:pPr>
              <w:pStyle w:val="TableText"/>
              <w:spacing w:before="40" w:after="40"/>
              <w:rPr>
                <w:i/>
                <w:szCs w:val="16"/>
              </w:rPr>
            </w:pPr>
            <w:r w:rsidRPr="001D5327">
              <w:rPr>
                <w:i/>
                <w:szCs w:val="16"/>
              </w:rPr>
              <w:t>Living biomass</w:t>
            </w:r>
          </w:p>
        </w:tc>
        <w:tc>
          <w:tcPr>
            <w:tcW w:w="1276" w:type="dxa"/>
            <w:tcBorders>
              <w:top w:val="single" w:sz="4" w:space="0" w:color="1B556B"/>
              <w:bottom w:val="single" w:sz="4" w:space="0" w:color="1B556B"/>
            </w:tcBorders>
          </w:tcPr>
          <w:p w14:paraId="7F1A4223" w14:textId="77777777" w:rsidR="00E0181F" w:rsidRPr="001D5327" w:rsidRDefault="00E0181F" w:rsidP="00D11AC9">
            <w:pPr>
              <w:pStyle w:val="TableText"/>
              <w:spacing w:before="40" w:after="40"/>
              <w:jc w:val="right"/>
              <w:rPr>
                <w:szCs w:val="16"/>
              </w:rPr>
            </w:pPr>
          </w:p>
        </w:tc>
        <w:tc>
          <w:tcPr>
            <w:tcW w:w="1276" w:type="dxa"/>
            <w:tcBorders>
              <w:top w:val="single" w:sz="4" w:space="0" w:color="1B556B"/>
              <w:bottom w:val="single" w:sz="4" w:space="0" w:color="1B556B"/>
            </w:tcBorders>
          </w:tcPr>
          <w:p w14:paraId="2D68292F" w14:textId="77777777" w:rsidR="00E0181F" w:rsidRPr="001D5327" w:rsidRDefault="00E0181F" w:rsidP="00D11AC9">
            <w:pPr>
              <w:pStyle w:val="TableText"/>
              <w:spacing w:before="40" w:after="40"/>
              <w:jc w:val="right"/>
              <w:rPr>
                <w:szCs w:val="16"/>
              </w:rPr>
            </w:pPr>
          </w:p>
        </w:tc>
        <w:tc>
          <w:tcPr>
            <w:tcW w:w="1134" w:type="dxa"/>
            <w:tcBorders>
              <w:top w:val="single" w:sz="4" w:space="0" w:color="1B556B"/>
              <w:bottom w:val="single" w:sz="4" w:space="0" w:color="1B556B"/>
            </w:tcBorders>
          </w:tcPr>
          <w:p w14:paraId="1000BC48" w14:textId="77777777" w:rsidR="00E0181F" w:rsidRPr="001D5327" w:rsidRDefault="00E0181F" w:rsidP="00D11AC9">
            <w:pPr>
              <w:pStyle w:val="TableText"/>
              <w:spacing w:before="40" w:after="40"/>
              <w:jc w:val="right"/>
              <w:rPr>
                <w:szCs w:val="16"/>
              </w:rPr>
            </w:pPr>
          </w:p>
        </w:tc>
        <w:tc>
          <w:tcPr>
            <w:tcW w:w="1984" w:type="dxa"/>
            <w:vMerge/>
            <w:tcBorders>
              <w:top w:val="single" w:sz="4" w:space="0" w:color="1B556B"/>
              <w:bottom w:val="single" w:sz="4" w:space="0" w:color="1B556B"/>
            </w:tcBorders>
          </w:tcPr>
          <w:p w14:paraId="0743BF39" w14:textId="77777777" w:rsidR="00E0181F" w:rsidRPr="001D5327" w:rsidRDefault="00E0181F" w:rsidP="00D11AC9">
            <w:pPr>
              <w:pStyle w:val="TableText"/>
              <w:spacing w:before="40" w:after="40"/>
              <w:rPr>
                <w:szCs w:val="16"/>
              </w:rPr>
            </w:pPr>
          </w:p>
        </w:tc>
      </w:tr>
      <w:tr w:rsidR="00E0181F" w:rsidRPr="001D5327" w14:paraId="1CF4E774" w14:textId="77777777" w:rsidTr="00D11AC9">
        <w:trPr>
          <w:trHeight w:val="20"/>
        </w:trPr>
        <w:tc>
          <w:tcPr>
            <w:tcW w:w="1246" w:type="dxa"/>
            <w:vMerge/>
            <w:tcBorders>
              <w:bottom w:val="single" w:sz="4" w:space="0" w:color="1B556B"/>
            </w:tcBorders>
          </w:tcPr>
          <w:p w14:paraId="4F8CF844" w14:textId="77777777" w:rsidR="00E0181F" w:rsidRPr="001D5327" w:rsidRDefault="00E0181F" w:rsidP="00D11AC9">
            <w:pPr>
              <w:pStyle w:val="TableText"/>
              <w:spacing w:before="40" w:after="40"/>
              <w:rPr>
                <w:szCs w:val="16"/>
              </w:rPr>
            </w:pPr>
          </w:p>
        </w:tc>
        <w:tc>
          <w:tcPr>
            <w:tcW w:w="1589" w:type="dxa"/>
            <w:tcBorders>
              <w:top w:val="single" w:sz="4" w:space="0" w:color="1B556B"/>
              <w:bottom w:val="single" w:sz="4" w:space="0" w:color="1B556B"/>
            </w:tcBorders>
          </w:tcPr>
          <w:p w14:paraId="6E1D2F94" w14:textId="77777777" w:rsidR="00E0181F" w:rsidRPr="001D5327" w:rsidRDefault="00E0181F" w:rsidP="00D11AC9">
            <w:pPr>
              <w:pStyle w:val="TableText"/>
              <w:spacing w:before="40" w:after="40"/>
              <w:rPr>
                <w:szCs w:val="16"/>
              </w:rPr>
            </w:pPr>
            <w:r w:rsidRPr="001D5327">
              <w:rPr>
                <w:szCs w:val="16"/>
              </w:rPr>
              <w:tab/>
              <w:t>AGB</w:t>
            </w:r>
          </w:p>
        </w:tc>
        <w:tc>
          <w:tcPr>
            <w:tcW w:w="1276" w:type="dxa"/>
            <w:tcBorders>
              <w:top w:val="single" w:sz="4" w:space="0" w:color="1B556B"/>
              <w:bottom w:val="single" w:sz="4" w:space="0" w:color="1B556B"/>
            </w:tcBorders>
          </w:tcPr>
          <w:p w14:paraId="70B729AA" w14:textId="77777777" w:rsidR="00E0181F" w:rsidRPr="001D5327" w:rsidRDefault="00E0181F" w:rsidP="00D11AC9">
            <w:pPr>
              <w:pStyle w:val="TableText"/>
              <w:spacing w:before="40" w:after="40"/>
              <w:jc w:val="right"/>
              <w:rPr>
                <w:szCs w:val="16"/>
              </w:rPr>
            </w:pPr>
            <w:r w:rsidRPr="001D5327">
              <w:rPr>
                <w:szCs w:val="16"/>
              </w:rPr>
              <w:t>20.2</w:t>
            </w:r>
          </w:p>
        </w:tc>
        <w:tc>
          <w:tcPr>
            <w:tcW w:w="1276" w:type="dxa"/>
            <w:tcBorders>
              <w:top w:val="single" w:sz="4" w:space="0" w:color="1B556B"/>
              <w:bottom w:val="single" w:sz="4" w:space="0" w:color="1B556B"/>
            </w:tcBorders>
          </w:tcPr>
          <w:p w14:paraId="3DC643FD" w14:textId="77777777" w:rsidR="00E0181F" w:rsidRPr="001D5327" w:rsidRDefault="00E0181F" w:rsidP="00D11AC9">
            <w:pPr>
              <w:pStyle w:val="TableText"/>
              <w:spacing w:before="40" w:after="40"/>
              <w:jc w:val="right"/>
            </w:pPr>
            <w:r w:rsidRPr="001D5327">
              <w:t>1</w:t>
            </w:r>
          </w:p>
        </w:tc>
        <w:tc>
          <w:tcPr>
            <w:tcW w:w="1134" w:type="dxa"/>
            <w:tcBorders>
              <w:top w:val="single" w:sz="4" w:space="0" w:color="1B556B"/>
              <w:bottom w:val="single" w:sz="4" w:space="0" w:color="1B556B"/>
            </w:tcBorders>
          </w:tcPr>
          <w:p w14:paraId="7A2B03AB" w14:textId="77777777" w:rsidR="00E0181F" w:rsidRPr="001D5327" w:rsidRDefault="00E0181F" w:rsidP="00D11AC9">
            <w:pPr>
              <w:pStyle w:val="TableText"/>
              <w:spacing w:before="40" w:after="40"/>
              <w:jc w:val="right"/>
            </w:pPr>
            <w:r w:rsidRPr="001D5327">
              <w:t>20</w:t>
            </w:r>
          </w:p>
        </w:tc>
        <w:tc>
          <w:tcPr>
            <w:tcW w:w="1984" w:type="dxa"/>
            <w:vMerge/>
            <w:tcBorders>
              <w:bottom w:val="single" w:sz="4" w:space="0" w:color="1B556B"/>
            </w:tcBorders>
          </w:tcPr>
          <w:p w14:paraId="5F38B141" w14:textId="77777777" w:rsidR="00E0181F" w:rsidRPr="001D5327" w:rsidRDefault="00E0181F" w:rsidP="00D11AC9">
            <w:pPr>
              <w:pStyle w:val="TableText"/>
              <w:spacing w:before="40" w:after="40"/>
              <w:rPr>
                <w:szCs w:val="16"/>
              </w:rPr>
            </w:pPr>
          </w:p>
        </w:tc>
      </w:tr>
      <w:tr w:rsidR="00E0181F" w:rsidRPr="001D5327" w14:paraId="5B9D7329" w14:textId="77777777" w:rsidTr="00D11AC9">
        <w:trPr>
          <w:trHeight w:val="20"/>
        </w:trPr>
        <w:tc>
          <w:tcPr>
            <w:tcW w:w="1246" w:type="dxa"/>
            <w:vMerge/>
            <w:tcBorders>
              <w:bottom w:val="single" w:sz="4" w:space="0" w:color="1B556B"/>
            </w:tcBorders>
          </w:tcPr>
          <w:p w14:paraId="7A6002A3" w14:textId="77777777" w:rsidR="00E0181F" w:rsidRPr="001D5327" w:rsidRDefault="00E0181F" w:rsidP="00D11AC9">
            <w:pPr>
              <w:pStyle w:val="TableText"/>
              <w:spacing w:before="40" w:after="40"/>
              <w:rPr>
                <w:szCs w:val="16"/>
              </w:rPr>
            </w:pPr>
          </w:p>
        </w:tc>
        <w:tc>
          <w:tcPr>
            <w:tcW w:w="1589" w:type="dxa"/>
            <w:tcBorders>
              <w:top w:val="single" w:sz="4" w:space="0" w:color="1B556B"/>
              <w:bottom w:val="single" w:sz="4" w:space="0" w:color="1B556B"/>
            </w:tcBorders>
          </w:tcPr>
          <w:p w14:paraId="50521B94" w14:textId="77777777" w:rsidR="00E0181F" w:rsidRPr="001D5327" w:rsidRDefault="00E0181F" w:rsidP="00D11AC9">
            <w:pPr>
              <w:pStyle w:val="TableText"/>
              <w:spacing w:before="40" w:after="40"/>
              <w:rPr>
                <w:szCs w:val="16"/>
              </w:rPr>
            </w:pPr>
            <w:r w:rsidRPr="001D5327">
              <w:rPr>
                <w:szCs w:val="16"/>
              </w:rPr>
              <w:tab/>
              <w:t>BGB</w:t>
            </w:r>
          </w:p>
        </w:tc>
        <w:tc>
          <w:tcPr>
            <w:tcW w:w="1276" w:type="dxa"/>
            <w:tcBorders>
              <w:top w:val="single" w:sz="4" w:space="0" w:color="1B556B"/>
              <w:bottom w:val="single" w:sz="4" w:space="0" w:color="1B556B"/>
            </w:tcBorders>
          </w:tcPr>
          <w:p w14:paraId="78F8DA0C" w14:textId="77777777" w:rsidR="00E0181F" w:rsidRPr="001D5327" w:rsidRDefault="00E0181F" w:rsidP="00D11AC9">
            <w:pPr>
              <w:pStyle w:val="TableText"/>
              <w:spacing w:before="40" w:after="40"/>
              <w:jc w:val="right"/>
              <w:rPr>
                <w:szCs w:val="16"/>
              </w:rPr>
            </w:pPr>
            <w:r w:rsidRPr="001D5327">
              <w:rPr>
                <w:szCs w:val="16"/>
              </w:rPr>
              <w:t>7.4</w:t>
            </w:r>
          </w:p>
        </w:tc>
        <w:tc>
          <w:tcPr>
            <w:tcW w:w="1276" w:type="dxa"/>
            <w:tcBorders>
              <w:top w:val="single" w:sz="4" w:space="0" w:color="1B556B"/>
              <w:bottom w:val="single" w:sz="4" w:space="0" w:color="1B556B"/>
            </w:tcBorders>
          </w:tcPr>
          <w:p w14:paraId="7DD20407" w14:textId="77777777" w:rsidR="00E0181F" w:rsidRPr="001D5327" w:rsidRDefault="00E0181F" w:rsidP="00D11AC9">
            <w:pPr>
              <w:pStyle w:val="TableText"/>
              <w:spacing w:before="40" w:after="40"/>
              <w:jc w:val="right"/>
            </w:pPr>
            <w:r w:rsidRPr="001D5327">
              <w:t>0.4</w:t>
            </w:r>
          </w:p>
        </w:tc>
        <w:tc>
          <w:tcPr>
            <w:tcW w:w="1134" w:type="dxa"/>
            <w:tcBorders>
              <w:top w:val="single" w:sz="4" w:space="0" w:color="1B556B"/>
              <w:bottom w:val="single" w:sz="4" w:space="0" w:color="1B556B"/>
            </w:tcBorders>
          </w:tcPr>
          <w:p w14:paraId="7CF1828A" w14:textId="77777777" w:rsidR="00E0181F" w:rsidRPr="001D5327" w:rsidRDefault="00E0181F" w:rsidP="00D11AC9">
            <w:pPr>
              <w:pStyle w:val="TableText"/>
              <w:spacing w:before="40" w:after="40"/>
              <w:jc w:val="right"/>
            </w:pPr>
            <w:r w:rsidRPr="001D5327">
              <w:t>20</w:t>
            </w:r>
          </w:p>
        </w:tc>
        <w:tc>
          <w:tcPr>
            <w:tcW w:w="1984" w:type="dxa"/>
            <w:vMerge/>
            <w:tcBorders>
              <w:bottom w:val="single" w:sz="4" w:space="0" w:color="1B556B"/>
            </w:tcBorders>
          </w:tcPr>
          <w:p w14:paraId="5829EE07" w14:textId="77777777" w:rsidR="00E0181F" w:rsidRPr="001D5327" w:rsidRDefault="00E0181F" w:rsidP="00D11AC9">
            <w:pPr>
              <w:pStyle w:val="TableText"/>
              <w:spacing w:before="40" w:after="40"/>
              <w:rPr>
                <w:szCs w:val="16"/>
              </w:rPr>
            </w:pPr>
          </w:p>
        </w:tc>
      </w:tr>
      <w:tr w:rsidR="00E0181F" w:rsidRPr="001D5327" w14:paraId="72F85811" w14:textId="77777777" w:rsidTr="00D11AC9">
        <w:trPr>
          <w:trHeight w:val="20"/>
        </w:trPr>
        <w:tc>
          <w:tcPr>
            <w:tcW w:w="1246" w:type="dxa"/>
            <w:vMerge/>
            <w:tcBorders>
              <w:bottom w:val="single" w:sz="4" w:space="0" w:color="1B556B"/>
            </w:tcBorders>
          </w:tcPr>
          <w:p w14:paraId="4257C5F5" w14:textId="77777777" w:rsidR="00E0181F" w:rsidRPr="001D5327" w:rsidRDefault="00E0181F" w:rsidP="00D11AC9">
            <w:pPr>
              <w:pStyle w:val="TableText"/>
              <w:spacing w:before="40" w:after="40"/>
              <w:rPr>
                <w:szCs w:val="16"/>
              </w:rPr>
            </w:pPr>
          </w:p>
        </w:tc>
        <w:tc>
          <w:tcPr>
            <w:tcW w:w="1589" w:type="dxa"/>
            <w:tcBorders>
              <w:top w:val="single" w:sz="4" w:space="0" w:color="1B556B"/>
              <w:bottom w:val="single" w:sz="4" w:space="0" w:color="1B556B"/>
            </w:tcBorders>
          </w:tcPr>
          <w:p w14:paraId="3C522E95" w14:textId="77777777" w:rsidR="00E0181F" w:rsidRPr="001D5327" w:rsidRDefault="00E0181F" w:rsidP="00D11AC9">
            <w:pPr>
              <w:pStyle w:val="TableText"/>
              <w:spacing w:before="40" w:after="40"/>
              <w:rPr>
                <w:i/>
                <w:szCs w:val="16"/>
              </w:rPr>
            </w:pPr>
            <w:r w:rsidRPr="001D5327">
              <w:rPr>
                <w:i/>
                <w:szCs w:val="16"/>
              </w:rPr>
              <w:t>Dead organic matter</w:t>
            </w:r>
          </w:p>
        </w:tc>
        <w:tc>
          <w:tcPr>
            <w:tcW w:w="1276" w:type="dxa"/>
            <w:tcBorders>
              <w:top w:val="single" w:sz="4" w:space="0" w:color="1B556B"/>
              <w:bottom w:val="single" w:sz="4" w:space="0" w:color="1B556B"/>
            </w:tcBorders>
          </w:tcPr>
          <w:p w14:paraId="37D1D728" w14:textId="77777777" w:rsidR="00E0181F" w:rsidRPr="001D5327" w:rsidRDefault="00E0181F" w:rsidP="00D11AC9">
            <w:pPr>
              <w:pStyle w:val="TableText"/>
              <w:spacing w:before="40" w:after="40"/>
              <w:jc w:val="right"/>
              <w:rPr>
                <w:szCs w:val="16"/>
              </w:rPr>
            </w:pPr>
          </w:p>
        </w:tc>
        <w:tc>
          <w:tcPr>
            <w:tcW w:w="1276" w:type="dxa"/>
            <w:tcBorders>
              <w:top w:val="single" w:sz="4" w:space="0" w:color="1B556B"/>
              <w:bottom w:val="single" w:sz="4" w:space="0" w:color="1B556B"/>
            </w:tcBorders>
          </w:tcPr>
          <w:p w14:paraId="0837E8E2" w14:textId="77777777" w:rsidR="00E0181F" w:rsidRPr="001D5327" w:rsidRDefault="00E0181F" w:rsidP="00D11AC9">
            <w:pPr>
              <w:pStyle w:val="TableText"/>
              <w:spacing w:before="40" w:after="40"/>
              <w:jc w:val="right"/>
              <w:rPr>
                <w:szCs w:val="16"/>
              </w:rPr>
            </w:pPr>
          </w:p>
        </w:tc>
        <w:tc>
          <w:tcPr>
            <w:tcW w:w="1134" w:type="dxa"/>
            <w:tcBorders>
              <w:top w:val="single" w:sz="4" w:space="0" w:color="1B556B"/>
              <w:bottom w:val="single" w:sz="4" w:space="0" w:color="1B556B"/>
            </w:tcBorders>
          </w:tcPr>
          <w:p w14:paraId="63EDE74A" w14:textId="77777777" w:rsidR="00E0181F" w:rsidRPr="001D5327" w:rsidRDefault="00E0181F" w:rsidP="00D11AC9">
            <w:pPr>
              <w:pStyle w:val="TableText"/>
              <w:spacing w:before="40" w:after="40"/>
              <w:jc w:val="right"/>
            </w:pPr>
          </w:p>
        </w:tc>
        <w:tc>
          <w:tcPr>
            <w:tcW w:w="1984" w:type="dxa"/>
            <w:vMerge/>
            <w:tcBorders>
              <w:bottom w:val="single" w:sz="4" w:space="0" w:color="1B556B"/>
            </w:tcBorders>
          </w:tcPr>
          <w:p w14:paraId="38CEDCC6" w14:textId="77777777" w:rsidR="00E0181F" w:rsidRPr="001D5327" w:rsidRDefault="00E0181F" w:rsidP="00D11AC9">
            <w:pPr>
              <w:pStyle w:val="TableText"/>
              <w:spacing w:before="40" w:after="40"/>
              <w:rPr>
                <w:szCs w:val="16"/>
              </w:rPr>
            </w:pPr>
          </w:p>
        </w:tc>
      </w:tr>
      <w:tr w:rsidR="00E0181F" w:rsidRPr="001D5327" w14:paraId="01682920" w14:textId="77777777" w:rsidTr="00D11AC9">
        <w:trPr>
          <w:trHeight w:val="20"/>
        </w:trPr>
        <w:tc>
          <w:tcPr>
            <w:tcW w:w="1246" w:type="dxa"/>
            <w:vMerge/>
            <w:tcBorders>
              <w:bottom w:val="single" w:sz="4" w:space="0" w:color="1B556B"/>
            </w:tcBorders>
          </w:tcPr>
          <w:p w14:paraId="3C577099" w14:textId="77777777" w:rsidR="00E0181F" w:rsidRPr="001D5327" w:rsidRDefault="00E0181F" w:rsidP="00D11AC9">
            <w:pPr>
              <w:pStyle w:val="TableText"/>
              <w:spacing w:before="40" w:after="40"/>
              <w:rPr>
                <w:szCs w:val="16"/>
              </w:rPr>
            </w:pPr>
          </w:p>
        </w:tc>
        <w:tc>
          <w:tcPr>
            <w:tcW w:w="1589" w:type="dxa"/>
            <w:tcBorders>
              <w:top w:val="single" w:sz="4" w:space="0" w:color="1B556B"/>
              <w:bottom w:val="single" w:sz="4" w:space="0" w:color="1B556B"/>
            </w:tcBorders>
          </w:tcPr>
          <w:p w14:paraId="01877122" w14:textId="77777777" w:rsidR="00E0181F" w:rsidRPr="001D5327" w:rsidRDefault="00E0181F" w:rsidP="00D11AC9">
            <w:pPr>
              <w:pStyle w:val="TableText"/>
              <w:spacing w:before="40" w:after="40"/>
              <w:rPr>
                <w:szCs w:val="16"/>
              </w:rPr>
            </w:pPr>
            <w:r w:rsidRPr="001D5327">
              <w:rPr>
                <w:szCs w:val="16"/>
              </w:rPr>
              <w:tab/>
              <w:t>Dead wood</w:t>
            </w:r>
          </w:p>
        </w:tc>
        <w:tc>
          <w:tcPr>
            <w:tcW w:w="1276" w:type="dxa"/>
            <w:tcBorders>
              <w:top w:val="single" w:sz="4" w:space="0" w:color="1B556B"/>
              <w:bottom w:val="single" w:sz="4" w:space="0" w:color="1B556B"/>
            </w:tcBorders>
          </w:tcPr>
          <w:p w14:paraId="440BC6C5" w14:textId="77777777" w:rsidR="00E0181F" w:rsidRPr="001D5327" w:rsidRDefault="00E0181F" w:rsidP="00D11AC9">
            <w:pPr>
              <w:pStyle w:val="TableText"/>
              <w:spacing w:before="40" w:after="40"/>
              <w:jc w:val="right"/>
              <w:rPr>
                <w:szCs w:val="16"/>
              </w:rPr>
            </w:pPr>
            <w:r w:rsidRPr="001D5327">
              <w:t>NE</w:t>
            </w:r>
          </w:p>
        </w:tc>
        <w:tc>
          <w:tcPr>
            <w:tcW w:w="1276" w:type="dxa"/>
            <w:tcBorders>
              <w:top w:val="single" w:sz="4" w:space="0" w:color="1B556B"/>
              <w:bottom w:val="single" w:sz="4" w:space="0" w:color="1B556B"/>
            </w:tcBorders>
          </w:tcPr>
          <w:p w14:paraId="12D54DDC" w14:textId="77777777" w:rsidR="00E0181F" w:rsidRPr="001D5327" w:rsidRDefault="00E0181F" w:rsidP="00D11AC9">
            <w:pPr>
              <w:pStyle w:val="TableText"/>
              <w:spacing w:before="40" w:after="40"/>
              <w:jc w:val="right"/>
            </w:pPr>
            <w:r w:rsidRPr="001D5327">
              <w:t>NE</w:t>
            </w:r>
          </w:p>
        </w:tc>
        <w:tc>
          <w:tcPr>
            <w:tcW w:w="1134" w:type="dxa"/>
            <w:tcBorders>
              <w:top w:val="single" w:sz="4" w:space="0" w:color="1B556B"/>
              <w:bottom w:val="single" w:sz="4" w:space="0" w:color="1B556B"/>
            </w:tcBorders>
          </w:tcPr>
          <w:p w14:paraId="1C18AB25" w14:textId="77777777" w:rsidR="00E0181F" w:rsidRPr="001D5327" w:rsidRDefault="00E0181F" w:rsidP="00D11AC9">
            <w:pPr>
              <w:pStyle w:val="TableText"/>
              <w:spacing w:before="40" w:after="40"/>
              <w:jc w:val="right"/>
            </w:pPr>
            <w:r w:rsidRPr="001D5327">
              <w:t>NE</w:t>
            </w:r>
          </w:p>
        </w:tc>
        <w:tc>
          <w:tcPr>
            <w:tcW w:w="1984" w:type="dxa"/>
            <w:vMerge/>
            <w:tcBorders>
              <w:bottom w:val="single" w:sz="4" w:space="0" w:color="1B556B"/>
            </w:tcBorders>
          </w:tcPr>
          <w:p w14:paraId="796A6316" w14:textId="77777777" w:rsidR="00E0181F" w:rsidRPr="001D5327" w:rsidRDefault="00E0181F" w:rsidP="00D11AC9">
            <w:pPr>
              <w:pStyle w:val="TableText"/>
              <w:spacing w:before="40" w:after="40"/>
              <w:rPr>
                <w:szCs w:val="16"/>
              </w:rPr>
            </w:pPr>
          </w:p>
        </w:tc>
      </w:tr>
      <w:tr w:rsidR="00E0181F" w:rsidRPr="001D5327" w14:paraId="61970561" w14:textId="77777777" w:rsidTr="00D11AC9">
        <w:trPr>
          <w:trHeight w:val="20"/>
        </w:trPr>
        <w:tc>
          <w:tcPr>
            <w:tcW w:w="1246" w:type="dxa"/>
            <w:vMerge/>
            <w:tcBorders>
              <w:bottom w:val="single" w:sz="4" w:space="0" w:color="1B556B"/>
            </w:tcBorders>
          </w:tcPr>
          <w:p w14:paraId="13FE53EB" w14:textId="77777777" w:rsidR="00E0181F" w:rsidRPr="001D5327" w:rsidRDefault="00E0181F" w:rsidP="00D11AC9">
            <w:pPr>
              <w:pStyle w:val="TableText"/>
              <w:spacing w:before="40" w:after="40"/>
              <w:rPr>
                <w:szCs w:val="16"/>
              </w:rPr>
            </w:pPr>
          </w:p>
        </w:tc>
        <w:tc>
          <w:tcPr>
            <w:tcW w:w="1589" w:type="dxa"/>
            <w:tcBorders>
              <w:top w:val="single" w:sz="4" w:space="0" w:color="1B556B"/>
              <w:bottom w:val="single" w:sz="4" w:space="0" w:color="1B556B"/>
            </w:tcBorders>
          </w:tcPr>
          <w:p w14:paraId="1EE6270E" w14:textId="77777777" w:rsidR="00E0181F" w:rsidRPr="001D5327" w:rsidRDefault="00E0181F" w:rsidP="00D11AC9">
            <w:pPr>
              <w:pStyle w:val="TableText"/>
              <w:spacing w:before="40" w:after="40"/>
              <w:rPr>
                <w:szCs w:val="16"/>
              </w:rPr>
            </w:pPr>
            <w:r w:rsidRPr="001D5327">
              <w:rPr>
                <w:szCs w:val="16"/>
              </w:rPr>
              <w:tab/>
              <w:t>Litter</w:t>
            </w:r>
          </w:p>
        </w:tc>
        <w:tc>
          <w:tcPr>
            <w:tcW w:w="1276" w:type="dxa"/>
            <w:tcBorders>
              <w:top w:val="single" w:sz="4" w:space="0" w:color="1B556B"/>
              <w:bottom w:val="single" w:sz="4" w:space="0" w:color="1B556B"/>
            </w:tcBorders>
          </w:tcPr>
          <w:p w14:paraId="7E750A67" w14:textId="77777777" w:rsidR="00E0181F" w:rsidRPr="001D5327" w:rsidRDefault="00E0181F" w:rsidP="00D11AC9">
            <w:pPr>
              <w:pStyle w:val="TableText"/>
              <w:spacing w:before="40" w:after="40"/>
              <w:jc w:val="right"/>
              <w:rPr>
                <w:szCs w:val="16"/>
              </w:rPr>
            </w:pPr>
            <w:r w:rsidRPr="001D5327">
              <w:t>NE</w:t>
            </w:r>
          </w:p>
        </w:tc>
        <w:tc>
          <w:tcPr>
            <w:tcW w:w="1276" w:type="dxa"/>
            <w:tcBorders>
              <w:top w:val="single" w:sz="4" w:space="0" w:color="1B556B"/>
              <w:bottom w:val="single" w:sz="4" w:space="0" w:color="1B556B"/>
            </w:tcBorders>
          </w:tcPr>
          <w:p w14:paraId="6B1D1075" w14:textId="77777777" w:rsidR="00E0181F" w:rsidRPr="001D5327" w:rsidRDefault="00E0181F" w:rsidP="00D11AC9">
            <w:pPr>
              <w:pStyle w:val="TableText"/>
              <w:spacing w:before="40" w:after="40"/>
              <w:jc w:val="right"/>
            </w:pPr>
            <w:r w:rsidRPr="001D5327">
              <w:t>NE</w:t>
            </w:r>
          </w:p>
        </w:tc>
        <w:tc>
          <w:tcPr>
            <w:tcW w:w="1134" w:type="dxa"/>
            <w:tcBorders>
              <w:top w:val="single" w:sz="4" w:space="0" w:color="1B556B"/>
              <w:bottom w:val="single" w:sz="4" w:space="0" w:color="1B556B"/>
            </w:tcBorders>
          </w:tcPr>
          <w:p w14:paraId="550D447A" w14:textId="77777777" w:rsidR="00E0181F" w:rsidRPr="001D5327" w:rsidRDefault="00E0181F" w:rsidP="00D11AC9">
            <w:pPr>
              <w:pStyle w:val="TableText"/>
              <w:spacing w:before="40" w:after="40"/>
              <w:jc w:val="right"/>
            </w:pPr>
            <w:r w:rsidRPr="001D5327">
              <w:t>NE</w:t>
            </w:r>
          </w:p>
        </w:tc>
        <w:tc>
          <w:tcPr>
            <w:tcW w:w="1984" w:type="dxa"/>
            <w:vMerge/>
            <w:tcBorders>
              <w:bottom w:val="single" w:sz="4" w:space="0" w:color="1B556B"/>
            </w:tcBorders>
          </w:tcPr>
          <w:p w14:paraId="7908CC6A" w14:textId="77777777" w:rsidR="00E0181F" w:rsidRPr="001D5327" w:rsidRDefault="00E0181F" w:rsidP="00D11AC9">
            <w:pPr>
              <w:pStyle w:val="TableText"/>
              <w:spacing w:before="40" w:after="40"/>
              <w:rPr>
                <w:szCs w:val="16"/>
              </w:rPr>
            </w:pPr>
          </w:p>
        </w:tc>
      </w:tr>
    </w:tbl>
    <w:p w14:paraId="79B63247" w14:textId="77777777" w:rsidR="00E0181F" w:rsidRPr="001D5327" w:rsidRDefault="00E0181F" w:rsidP="00E0181F">
      <w:pPr>
        <w:pStyle w:val="Noteundertable"/>
      </w:pPr>
      <w:r w:rsidRPr="001D5327">
        <w:rPr>
          <w:b/>
        </w:rPr>
        <w:t>Note:</w:t>
      </w:r>
      <w:r w:rsidRPr="001D5327">
        <w:tab/>
        <w:t>AGB = above-ground biomass; BGB = below-ground biomass;</w:t>
      </w:r>
      <w:r w:rsidRPr="001D5327" w:rsidDel="00BB7833">
        <w:t xml:space="preserve"> </w:t>
      </w:r>
      <w:r w:rsidRPr="001D5327">
        <w:t xml:space="preserve">NE = not estimated. Columns may not total due to rounding. </w:t>
      </w:r>
    </w:p>
    <w:p w14:paraId="5DB3B80A" w14:textId="77777777" w:rsidR="00E0181F" w:rsidRPr="001D5327" w:rsidRDefault="00E0181F" w:rsidP="00E0181F">
      <w:pPr>
        <w:pStyle w:val="Heading5"/>
      </w:pPr>
      <w:r w:rsidRPr="001D5327">
        <w:t xml:space="preserve">Soil organic carbon </w:t>
      </w:r>
    </w:p>
    <w:p w14:paraId="52A8475A" w14:textId="77777777" w:rsidR="00E0181F" w:rsidRPr="001D5327" w:rsidRDefault="00E0181F" w:rsidP="00E0181F">
      <w:pPr>
        <w:pStyle w:val="BodyText"/>
      </w:pPr>
      <w:r w:rsidRPr="001D5327">
        <w:t xml:space="preserve">Soil organic carbon stocks in </w:t>
      </w:r>
      <w:r w:rsidRPr="001D5327">
        <w:rPr>
          <w:i/>
        </w:rPr>
        <w:t>Land converted to wetlands</w:t>
      </w:r>
      <w:r w:rsidRPr="001D5327">
        <w:t xml:space="preserve"> are estimated using a Tier 2 method, as described in annex 5, section A5.2.4. </w:t>
      </w:r>
    </w:p>
    <w:p w14:paraId="1CC61ADE" w14:textId="77777777" w:rsidR="00E0181F" w:rsidRPr="001D5327" w:rsidRDefault="00E0181F" w:rsidP="00E0181F">
      <w:pPr>
        <w:pStyle w:val="Heading5"/>
      </w:pPr>
      <w:r w:rsidRPr="001D5327">
        <w:t>Non-CO</w:t>
      </w:r>
      <w:r w:rsidRPr="001D5327">
        <w:rPr>
          <w:vertAlign w:val="subscript"/>
        </w:rPr>
        <w:t>2</w:t>
      </w:r>
      <w:r w:rsidRPr="001D5327">
        <w:t xml:space="preserve"> emissions</w:t>
      </w:r>
    </w:p>
    <w:p w14:paraId="770181F3" w14:textId="77777777" w:rsidR="00E0181F" w:rsidRPr="001D5327" w:rsidRDefault="00E0181F" w:rsidP="00E0181F">
      <w:pPr>
        <w:pStyle w:val="Heading6"/>
      </w:pPr>
      <w:r w:rsidRPr="001D5327">
        <w:t>Non-CO</w:t>
      </w:r>
      <w:r w:rsidRPr="001D5327">
        <w:rPr>
          <w:vertAlign w:val="subscript"/>
        </w:rPr>
        <w:t>2</w:t>
      </w:r>
      <w:r w:rsidRPr="001D5327">
        <w:t xml:space="preserve"> emissions from drainage of soils and wetlands</w:t>
      </w:r>
    </w:p>
    <w:p w14:paraId="0FE3362D" w14:textId="77777777" w:rsidR="00E0181F" w:rsidRPr="001D5327" w:rsidRDefault="00E0181F" w:rsidP="00E0181F">
      <w:pPr>
        <w:pStyle w:val="BodyText"/>
      </w:pPr>
      <w:r w:rsidRPr="001D5327">
        <w:t xml:space="preserve">New Zealand has not prepared estimates for this category. The notation key NE is used in the CRTs where either no activity data are available to report on this activity or no Tier 1 methodology exists within the accepted guidelines for providing estimates. Use of this notation key is in accordance with Decision 24/CP.19 (UNFCCC, 2014). </w:t>
      </w:r>
    </w:p>
    <w:p w14:paraId="1AA2093B" w14:textId="77777777" w:rsidR="00E0181F" w:rsidRPr="001D5327" w:rsidRDefault="00E0181F" w:rsidP="00E0181F">
      <w:pPr>
        <w:pStyle w:val="Heading3"/>
      </w:pPr>
      <w:r w:rsidRPr="001D5327">
        <w:lastRenderedPageBreak/>
        <w:t>6.7.3</w:t>
      </w:r>
      <w:r w:rsidRPr="001D5327">
        <w:tab/>
        <w:t>Uncertainty assessment and time-series consistency</w:t>
      </w:r>
    </w:p>
    <w:p w14:paraId="5548EEB4" w14:textId="77777777" w:rsidR="00E0181F" w:rsidRPr="001D5327" w:rsidRDefault="00E0181F" w:rsidP="00355617">
      <w:pPr>
        <w:pStyle w:val="BodyText"/>
        <w:spacing w:before="100" w:after="100"/>
      </w:pPr>
      <w:r w:rsidRPr="001D5327">
        <w:t xml:space="preserve">The uncertainty in net carbon emissions from </w:t>
      </w:r>
      <w:r w:rsidRPr="001D5327">
        <w:rPr>
          <w:i/>
          <w:iCs/>
        </w:rPr>
        <w:t>Wetlands</w:t>
      </w:r>
      <w:r w:rsidRPr="001D5327">
        <w:t xml:space="preserve"> was 127.1 per cent in 2023 and accounted for 0.1 per cent of the total uncertainty in emissions from the LULUCF sector. The uncertainty associated with the emissions from each </w:t>
      </w:r>
      <w:r w:rsidRPr="001D5327">
        <w:rPr>
          <w:i/>
        </w:rPr>
        <w:t>Wetland</w:t>
      </w:r>
      <w:r w:rsidRPr="001D5327">
        <w:t xml:space="preserve"> class is shown in table 6.7.4. </w:t>
      </w:r>
      <w:r w:rsidRPr="001D5327">
        <w:rPr>
          <w:spacing w:val="-2"/>
        </w:rPr>
        <w:t>The methods used to calculate the uncertainty are further described in annex 5, section A5.2.8</w:t>
      </w:r>
      <w:r w:rsidRPr="001D5327">
        <w:t xml:space="preserve">. </w:t>
      </w:r>
    </w:p>
    <w:p w14:paraId="69FA5A29" w14:textId="77777777" w:rsidR="00E0181F" w:rsidRPr="001D5327" w:rsidRDefault="00E0181F" w:rsidP="00355617">
      <w:pPr>
        <w:pStyle w:val="BodyText"/>
        <w:spacing w:before="100" w:after="100"/>
      </w:pPr>
      <w:r w:rsidRPr="001D5327">
        <w:t xml:space="preserve">Time-series consistency is ensured by applying consistent methods and full recalculations in the event of any refinement or improvement to methodology. </w:t>
      </w:r>
    </w:p>
    <w:p w14:paraId="4461D0E1" w14:textId="77777777" w:rsidR="00E0181F" w:rsidRPr="001D5327" w:rsidRDefault="00E0181F" w:rsidP="00E0181F">
      <w:pPr>
        <w:pStyle w:val="Table"/>
      </w:pPr>
      <w:bookmarkStart w:id="2512" w:name="_Toc131591417"/>
      <w:bookmarkStart w:id="2513" w:name="_Toc158979975"/>
      <w:bookmarkStart w:id="2514" w:name="_Toc164153908"/>
      <w:bookmarkStart w:id="2515" w:name="_Toc190873142"/>
      <w:bookmarkStart w:id="2516" w:name="_Toc194241781"/>
      <w:r w:rsidRPr="001D5327">
        <w:t>Table 6.7.4</w:t>
      </w:r>
      <w:r w:rsidRPr="001D5327">
        <w:tab/>
        <w:t xml:space="preserve">Uncertainty in carbon stock change emissions in 2023 for </w:t>
      </w:r>
      <w:r w:rsidRPr="001D5327">
        <w:rPr>
          <w:i/>
        </w:rPr>
        <w:t>Wetlands</w:t>
      </w:r>
      <w:bookmarkEnd w:id="2512"/>
      <w:bookmarkEnd w:id="2513"/>
      <w:bookmarkEnd w:id="2514"/>
      <w:bookmarkEnd w:id="2515"/>
      <w:bookmarkEnd w:id="2516"/>
      <w:r w:rsidRPr="001D5327">
        <w:t xml:space="preserve"> </w:t>
      </w:r>
    </w:p>
    <w:tbl>
      <w:tblPr>
        <w:tblW w:w="8505" w:type="dxa"/>
        <w:tblLayout w:type="fixed"/>
        <w:tblLook w:val="04A0" w:firstRow="1" w:lastRow="0" w:firstColumn="1" w:lastColumn="0" w:noHBand="0" w:noVBand="1"/>
      </w:tblPr>
      <w:tblGrid>
        <w:gridCol w:w="1843"/>
        <w:gridCol w:w="1559"/>
        <w:gridCol w:w="2268"/>
        <w:gridCol w:w="2835"/>
      </w:tblGrid>
      <w:tr w:rsidR="00E0181F" w:rsidRPr="001D5327" w14:paraId="754C75A3" w14:textId="77777777" w:rsidTr="00D11AC9">
        <w:tc>
          <w:tcPr>
            <w:tcW w:w="1843" w:type="dxa"/>
            <w:tcBorders>
              <w:top w:val="single" w:sz="4" w:space="0" w:color="1B556B" w:themeColor="text2"/>
              <w:bottom w:val="single" w:sz="4" w:space="0" w:color="1B556B" w:themeColor="text2"/>
            </w:tcBorders>
            <w:shd w:val="clear" w:color="auto" w:fill="1B556B" w:themeFill="text2"/>
            <w:vAlign w:val="bottom"/>
          </w:tcPr>
          <w:p w14:paraId="7797167C" w14:textId="77777777" w:rsidR="00E0181F" w:rsidRPr="001D5327" w:rsidRDefault="00E0181F" w:rsidP="00D11AC9">
            <w:pPr>
              <w:pStyle w:val="TableTextBold"/>
              <w:keepNext/>
              <w:spacing w:before="40" w:after="40"/>
              <w:rPr>
                <w:noProof w:val="0"/>
                <w:color w:val="FFFFFF"/>
                <w:szCs w:val="16"/>
              </w:rPr>
            </w:pPr>
          </w:p>
        </w:tc>
        <w:tc>
          <w:tcPr>
            <w:tcW w:w="1559" w:type="dxa"/>
            <w:tcBorders>
              <w:top w:val="single" w:sz="4" w:space="0" w:color="1B556B" w:themeColor="text2"/>
              <w:bottom w:val="single" w:sz="4" w:space="0" w:color="1B556B" w:themeColor="text2"/>
            </w:tcBorders>
            <w:shd w:val="clear" w:color="auto" w:fill="1B556B" w:themeFill="text2"/>
            <w:vAlign w:val="bottom"/>
          </w:tcPr>
          <w:p w14:paraId="7A468F93" w14:textId="77777777" w:rsidR="00E0181F" w:rsidRPr="001D5327" w:rsidRDefault="00E0181F" w:rsidP="00D11AC9">
            <w:pPr>
              <w:pStyle w:val="TableTextBold"/>
              <w:spacing w:before="40" w:after="40"/>
              <w:jc w:val="right"/>
              <w:rPr>
                <w:noProof w:val="0"/>
                <w:color w:val="FFFFFF"/>
                <w:szCs w:val="16"/>
              </w:rPr>
            </w:pPr>
            <w:r w:rsidRPr="001D5327">
              <w:rPr>
                <w:noProof w:val="0"/>
                <w:color w:val="FFFFFF"/>
                <w:szCs w:val="16"/>
              </w:rPr>
              <w:t>Emissions (kt CO</w:t>
            </w:r>
            <w:r w:rsidRPr="001D5327">
              <w:rPr>
                <w:noProof w:val="0"/>
                <w:color w:val="FFFFFF"/>
                <w:szCs w:val="16"/>
                <w:vertAlign w:val="subscript"/>
              </w:rPr>
              <w:t>2</w:t>
            </w:r>
            <w:r w:rsidRPr="001D5327">
              <w:rPr>
                <w:noProof w:val="0"/>
                <w:color w:val="FFFFFF"/>
                <w:szCs w:val="16"/>
              </w:rPr>
              <w:t>-e)</w:t>
            </w:r>
          </w:p>
        </w:tc>
        <w:tc>
          <w:tcPr>
            <w:tcW w:w="2268" w:type="dxa"/>
            <w:tcBorders>
              <w:top w:val="single" w:sz="4" w:space="0" w:color="1B556B" w:themeColor="text2"/>
              <w:bottom w:val="single" w:sz="4" w:space="0" w:color="1B556B" w:themeColor="text2"/>
            </w:tcBorders>
            <w:shd w:val="clear" w:color="auto" w:fill="1B556B" w:themeFill="text2"/>
            <w:vAlign w:val="bottom"/>
          </w:tcPr>
          <w:p w14:paraId="7FFEF668" w14:textId="77777777" w:rsidR="00E0181F" w:rsidRPr="001D5327" w:rsidRDefault="00E0181F" w:rsidP="00D11AC9">
            <w:pPr>
              <w:pStyle w:val="TableTextBold"/>
              <w:spacing w:before="40" w:after="40"/>
              <w:jc w:val="right"/>
              <w:rPr>
                <w:noProof w:val="0"/>
                <w:color w:val="FFFFFF"/>
                <w:szCs w:val="16"/>
              </w:rPr>
            </w:pPr>
            <w:r w:rsidRPr="001D5327">
              <w:rPr>
                <w:noProof w:val="0"/>
                <w:color w:val="FFFFFF"/>
                <w:szCs w:val="16"/>
              </w:rPr>
              <w:t>Uncertainty in emissions (%)</w:t>
            </w:r>
          </w:p>
        </w:tc>
        <w:tc>
          <w:tcPr>
            <w:tcW w:w="2835" w:type="dxa"/>
            <w:tcBorders>
              <w:top w:val="single" w:sz="4" w:space="0" w:color="1B556B" w:themeColor="text2"/>
              <w:bottom w:val="single" w:sz="4" w:space="0" w:color="1B556B" w:themeColor="text2"/>
            </w:tcBorders>
            <w:shd w:val="clear" w:color="auto" w:fill="1B556B" w:themeFill="text2"/>
            <w:vAlign w:val="bottom"/>
          </w:tcPr>
          <w:p w14:paraId="733FE54B" w14:textId="77777777" w:rsidR="00E0181F" w:rsidRPr="001D5327" w:rsidRDefault="00E0181F" w:rsidP="00D11AC9">
            <w:pPr>
              <w:pStyle w:val="TableTextBold"/>
              <w:spacing w:before="40" w:after="40"/>
              <w:jc w:val="right"/>
              <w:rPr>
                <w:noProof w:val="0"/>
                <w:color w:val="FFFFFF"/>
                <w:szCs w:val="16"/>
              </w:rPr>
            </w:pPr>
            <w:r w:rsidRPr="001D5327">
              <w:rPr>
                <w:noProof w:val="0"/>
                <w:color w:val="FFFFFF"/>
                <w:szCs w:val="16"/>
              </w:rPr>
              <w:t>Contribution to LULUCF uncertainty (%)</w:t>
            </w:r>
          </w:p>
        </w:tc>
      </w:tr>
      <w:tr w:rsidR="00E0181F" w:rsidRPr="001D5327" w14:paraId="0BAAE823" w14:textId="77777777" w:rsidTr="00D11AC9">
        <w:tc>
          <w:tcPr>
            <w:tcW w:w="1843" w:type="dxa"/>
            <w:tcBorders>
              <w:top w:val="single" w:sz="4" w:space="0" w:color="1B556B" w:themeColor="text2"/>
              <w:bottom w:val="single" w:sz="4" w:space="0" w:color="1B556B" w:themeColor="text2"/>
            </w:tcBorders>
          </w:tcPr>
          <w:p w14:paraId="1149F71D" w14:textId="77777777" w:rsidR="00E0181F" w:rsidRPr="001D5327" w:rsidRDefault="00E0181F" w:rsidP="00D11AC9">
            <w:pPr>
              <w:pStyle w:val="TableText"/>
              <w:spacing w:before="40" w:after="40"/>
              <w:rPr>
                <w:szCs w:val="16"/>
              </w:rPr>
            </w:pPr>
            <w:r w:rsidRPr="001D5327">
              <w:t>Wetlands – open water</w:t>
            </w:r>
          </w:p>
        </w:tc>
        <w:tc>
          <w:tcPr>
            <w:tcW w:w="1559" w:type="dxa"/>
            <w:tcBorders>
              <w:top w:val="single" w:sz="4" w:space="0" w:color="1B556B" w:themeColor="text2"/>
              <w:bottom w:val="single" w:sz="4" w:space="0" w:color="1B556B" w:themeColor="text2"/>
            </w:tcBorders>
            <w:vAlign w:val="bottom"/>
          </w:tcPr>
          <w:p w14:paraId="5D99C19D" w14:textId="503B6C39" w:rsidR="00E0181F" w:rsidRPr="001D5327" w:rsidRDefault="0070503C" w:rsidP="00D11AC9">
            <w:pPr>
              <w:pStyle w:val="TableText"/>
              <w:spacing w:before="40" w:after="40"/>
              <w:jc w:val="right"/>
              <w:rPr>
                <w:szCs w:val="16"/>
              </w:rPr>
            </w:pPr>
            <w:r>
              <w:rPr>
                <w:rFonts w:cs="Calibri"/>
                <w:color w:val="000000"/>
                <w:szCs w:val="16"/>
              </w:rPr>
              <w:t>-</w:t>
            </w:r>
            <w:r w:rsidR="00E0181F" w:rsidRPr="001D5327">
              <w:rPr>
                <w:rFonts w:cs="Calibri"/>
                <w:color w:val="000000"/>
                <w:szCs w:val="16"/>
              </w:rPr>
              <w:t>5.5</w:t>
            </w:r>
          </w:p>
        </w:tc>
        <w:tc>
          <w:tcPr>
            <w:tcW w:w="2268" w:type="dxa"/>
            <w:tcBorders>
              <w:top w:val="single" w:sz="4" w:space="0" w:color="1B556B" w:themeColor="text2"/>
              <w:bottom w:val="single" w:sz="4" w:space="0" w:color="1B556B" w:themeColor="text2"/>
            </w:tcBorders>
            <w:vAlign w:val="bottom"/>
          </w:tcPr>
          <w:p w14:paraId="6EA59912" w14:textId="77777777" w:rsidR="00E0181F" w:rsidRPr="001D5327" w:rsidRDefault="00E0181F" w:rsidP="00D11AC9">
            <w:pPr>
              <w:pStyle w:val="TableText"/>
              <w:spacing w:before="40" w:after="40"/>
              <w:jc w:val="right"/>
              <w:rPr>
                <w:rFonts w:cs="Segoe UI"/>
                <w:szCs w:val="16"/>
              </w:rPr>
            </w:pPr>
            <w:r w:rsidRPr="001D5327">
              <w:rPr>
                <w:rFonts w:cs="Calibri"/>
                <w:color w:val="000000"/>
                <w:szCs w:val="16"/>
              </w:rPr>
              <w:t>241.8</w:t>
            </w:r>
          </w:p>
        </w:tc>
        <w:tc>
          <w:tcPr>
            <w:tcW w:w="2835" w:type="dxa"/>
            <w:tcBorders>
              <w:top w:val="single" w:sz="4" w:space="0" w:color="1B556B" w:themeColor="text2"/>
              <w:bottom w:val="single" w:sz="4" w:space="0" w:color="1B556B" w:themeColor="text2"/>
            </w:tcBorders>
            <w:vAlign w:val="bottom"/>
          </w:tcPr>
          <w:p w14:paraId="61EE3D1A" w14:textId="77777777" w:rsidR="00E0181F" w:rsidRPr="001D5327" w:rsidRDefault="00E0181F" w:rsidP="00D11AC9">
            <w:pPr>
              <w:pStyle w:val="TableText"/>
              <w:spacing w:before="40" w:after="40"/>
              <w:jc w:val="right"/>
              <w:rPr>
                <w:rFonts w:cs="Segoe UI"/>
                <w:szCs w:val="16"/>
              </w:rPr>
            </w:pPr>
            <w:r w:rsidRPr="001D5327">
              <w:rPr>
                <w:rFonts w:cs="Calibri"/>
                <w:color w:val="000000"/>
                <w:szCs w:val="16"/>
              </w:rPr>
              <w:t>0.1</w:t>
            </w:r>
          </w:p>
        </w:tc>
      </w:tr>
      <w:tr w:rsidR="00E0181F" w:rsidRPr="001D5327" w14:paraId="06FC16DA" w14:textId="77777777" w:rsidTr="00D11AC9">
        <w:tc>
          <w:tcPr>
            <w:tcW w:w="1843" w:type="dxa"/>
            <w:tcBorders>
              <w:top w:val="single" w:sz="4" w:space="0" w:color="1B556B" w:themeColor="text2"/>
              <w:bottom w:val="single" w:sz="4" w:space="0" w:color="1B556B" w:themeColor="text2"/>
            </w:tcBorders>
          </w:tcPr>
          <w:p w14:paraId="36984A73" w14:textId="77777777" w:rsidR="00E0181F" w:rsidRPr="001D5327" w:rsidRDefault="00E0181F" w:rsidP="00D11AC9">
            <w:pPr>
              <w:pStyle w:val="TableText"/>
              <w:spacing w:before="40" w:after="40"/>
              <w:rPr>
                <w:szCs w:val="16"/>
              </w:rPr>
            </w:pPr>
            <w:r w:rsidRPr="001D5327">
              <w:t>Wetlands – vegetative</w:t>
            </w:r>
          </w:p>
        </w:tc>
        <w:tc>
          <w:tcPr>
            <w:tcW w:w="1559" w:type="dxa"/>
            <w:tcBorders>
              <w:top w:val="single" w:sz="4" w:space="0" w:color="1B556B" w:themeColor="text2"/>
              <w:bottom w:val="single" w:sz="4" w:space="0" w:color="1B556B" w:themeColor="text2"/>
            </w:tcBorders>
            <w:vAlign w:val="bottom"/>
          </w:tcPr>
          <w:p w14:paraId="0B6CFF6A" w14:textId="1230F4DE" w:rsidR="00E0181F" w:rsidRPr="001D5327" w:rsidRDefault="0070503C" w:rsidP="00D11AC9">
            <w:pPr>
              <w:pStyle w:val="TableText"/>
              <w:spacing w:before="40" w:after="40"/>
              <w:jc w:val="right"/>
              <w:rPr>
                <w:szCs w:val="16"/>
              </w:rPr>
            </w:pPr>
            <w:r>
              <w:rPr>
                <w:rFonts w:cs="Calibri"/>
                <w:color w:val="000000"/>
                <w:szCs w:val="16"/>
              </w:rPr>
              <w:t>-</w:t>
            </w:r>
            <w:r w:rsidR="00E0181F" w:rsidRPr="001D5327">
              <w:rPr>
                <w:rFonts w:cs="Calibri"/>
                <w:color w:val="000000"/>
                <w:szCs w:val="16"/>
              </w:rPr>
              <w:t>5.1</w:t>
            </w:r>
          </w:p>
        </w:tc>
        <w:tc>
          <w:tcPr>
            <w:tcW w:w="2268" w:type="dxa"/>
            <w:tcBorders>
              <w:top w:val="single" w:sz="4" w:space="0" w:color="1B556B" w:themeColor="text2"/>
              <w:bottom w:val="single" w:sz="4" w:space="0" w:color="1B556B" w:themeColor="text2"/>
            </w:tcBorders>
            <w:vAlign w:val="bottom"/>
          </w:tcPr>
          <w:p w14:paraId="6F8F2C9E" w14:textId="77777777" w:rsidR="00E0181F" w:rsidRPr="001D5327" w:rsidRDefault="00E0181F" w:rsidP="00D11AC9">
            <w:pPr>
              <w:pStyle w:val="TableText"/>
              <w:spacing w:before="40" w:after="40"/>
              <w:jc w:val="right"/>
              <w:rPr>
                <w:rFonts w:cs="Segoe UI"/>
                <w:szCs w:val="16"/>
              </w:rPr>
            </w:pPr>
            <w:r w:rsidRPr="001D5327">
              <w:rPr>
                <w:rFonts w:cs="Calibri"/>
                <w:color w:val="000000"/>
                <w:szCs w:val="16"/>
              </w:rPr>
              <w:t>39.7</w:t>
            </w:r>
          </w:p>
        </w:tc>
        <w:tc>
          <w:tcPr>
            <w:tcW w:w="2835" w:type="dxa"/>
            <w:tcBorders>
              <w:top w:val="single" w:sz="4" w:space="0" w:color="1B556B" w:themeColor="text2"/>
              <w:bottom w:val="single" w:sz="4" w:space="0" w:color="1B556B" w:themeColor="text2"/>
            </w:tcBorders>
            <w:vAlign w:val="bottom"/>
          </w:tcPr>
          <w:p w14:paraId="62AFA28E" w14:textId="77777777" w:rsidR="00E0181F" w:rsidRPr="001D5327" w:rsidRDefault="00E0181F" w:rsidP="00D11AC9">
            <w:pPr>
              <w:pStyle w:val="TableText"/>
              <w:spacing w:before="40" w:after="40"/>
              <w:jc w:val="right"/>
              <w:rPr>
                <w:rFonts w:cs="Segoe UI"/>
                <w:szCs w:val="16"/>
              </w:rPr>
            </w:pPr>
            <w:r w:rsidRPr="001D5327">
              <w:rPr>
                <w:rFonts w:cs="Calibri"/>
                <w:color w:val="000000"/>
                <w:szCs w:val="16"/>
              </w:rPr>
              <w:t>0.0</w:t>
            </w:r>
          </w:p>
        </w:tc>
      </w:tr>
      <w:tr w:rsidR="00E0181F" w:rsidRPr="001D5327" w14:paraId="74916CAB" w14:textId="77777777" w:rsidTr="00D11AC9">
        <w:tc>
          <w:tcPr>
            <w:tcW w:w="1843" w:type="dxa"/>
            <w:tcBorders>
              <w:top w:val="single" w:sz="4" w:space="0" w:color="1B556B" w:themeColor="text2"/>
              <w:bottom w:val="single" w:sz="4" w:space="0" w:color="1B556B" w:themeColor="text2"/>
            </w:tcBorders>
          </w:tcPr>
          <w:p w14:paraId="100566F1" w14:textId="77777777" w:rsidR="00E0181F" w:rsidRPr="001D5327" w:rsidRDefault="00E0181F" w:rsidP="00D11AC9">
            <w:pPr>
              <w:pStyle w:val="TableText"/>
              <w:spacing w:before="40" w:after="40"/>
            </w:pPr>
            <w:r w:rsidRPr="001D5327">
              <w:t>Peat extraction</w:t>
            </w:r>
          </w:p>
        </w:tc>
        <w:tc>
          <w:tcPr>
            <w:tcW w:w="1559" w:type="dxa"/>
            <w:tcBorders>
              <w:top w:val="single" w:sz="4" w:space="0" w:color="1B556B" w:themeColor="text2"/>
              <w:bottom w:val="single" w:sz="4" w:space="0" w:color="1B556B" w:themeColor="text2"/>
            </w:tcBorders>
            <w:vAlign w:val="bottom"/>
          </w:tcPr>
          <w:p w14:paraId="3A4AD270" w14:textId="77777777" w:rsidR="00E0181F" w:rsidRPr="001D5327" w:rsidRDefault="00E0181F" w:rsidP="00D11AC9">
            <w:pPr>
              <w:pStyle w:val="TableText"/>
              <w:spacing w:before="40" w:after="40"/>
              <w:jc w:val="right"/>
              <w:rPr>
                <w:szCs w:val="16"/>
              </w:rPr>
            </w:pPr>
            <w:r w:rsidRPr="001D5327">
              <w:rPr>
                <w:rFonts w:cs="Calibri"/>
                <w:color w:val="000000"/>
                <w:szCs w:val="16"/>
              </w:rPr>
              <w:t>18.0</w:t>
            </w:r>
          </w:p>
        </w:tc>
        <w:tc>
          <w:tcPr>
            <w:tcW w:w="2268" w:type="dxa"/>
            <w:tcBorders>
              <w:top w:val="single" w:sz="4" w:space="0" w:color="1B556B" w:themeColor="text2"/>
              <w:bottom w:val="single" w:sz="4" w:space="0" w:color="1B556B" w:themeColor="text2"/>
            </w:tcBorders>
            <w:vAlign w:val="bottom"/>
          </w:tcPr>
          <w:p w14:paraId="6377F6F1" w14:textId="77777777" w:rsidR="00E0181F" w:rsidRPr="001D5327" w:rsidRDefault="00E0181F" w:rsidP="00D11AC9">
            <w:pPr>
              <w:pStyle w:val="TableText"/>
              <w:spacing w:before="40" w:after="40"/>
              <w:jc w:val="right"/>
              <w:rPr>
                <w:szCs w:val="16"/>
              </w:rPr>
            </w:pPr>
            <w:r w:rsidRPr="001D5327">
              <w:rPr>
                <w:rFonts w:cs="Calibri"/>
                <w:color w:val="000000"/>
                <w:szCs w:val="16"/>
              </w:rPr>
              <w:t>18.9</w:t>
            </w:r>
          </w:p>
        </w:tc>
        <w:tc>
          <w:tcPr>
            <w:tcW w:w="2835" w:type="dxa"/>
            <w:tcBorders>
              <w:top w:val="single" w:sz="4" w:space="0" w:color="1B556B" w:themeColor="text2"/>
              <w:bottom w:val="single" w:sz="4" w:space="0" w:color="1B556B" w:themeColor="text2"/>
            </w:tcBorders>
            <w:vAlign w:val="bottom"/>
          </w:tcPr>
          <w:p w14:paraId="0C4956BE" w14:textId="77777777" w:rsidR="00E0181F" w:rsidRPr="001D5327" w:rsidRDefault="00E0181F" w:rsidP="00D11AC9">
            <w:pPr>
              <w:pStyle w:val="TableText"/>
              <w:spacing w:before="40" w:after="40"/>
              <w:jc w:val="right"/>
              <w:rPr>
                <w:szCs w:val="16"/>
              </w:rPr>
            </w:pPr>
            <w:r w:rsidRPr="001D5327">
              <w:rPr>
                <w:rFonts w:cs="Calibri"/>
                <w:color w:val="000000"/>
                <w:szCs w:val="16"/>
              </w:rPr>
              <w:t>0.0</w:t>
            </w:r>
          </w:p>
        </w:tc>
      </w:tr>
      <w:tr w:rsidR="00E0181F" w:rsidRPr="001D5327" w14:paraId="2C1371FF" w14:textId="77777777" w:rsidTr="00D11AC9">
        <w:tc>
          <w:tcPr>
            <w:tcW w:w="1843" w:type="dxa"/>
            <w:tcBorders>
              <w:top w:val="single" w:sz="4" w:space="0" w:color="1B556B" w:themeColor="text2"/>
              <w:bottom w:val="single" w:sz="4" w:space="0" w:color="1B556B" w:themeColor="text2"/>
            </w:tcBorders>
          </w:tcPr>
          <w:p w14:paraId="0A02DE6D" w14:textId="77777777" w:rsidR="00E0181F" w:rsidRPr="001D5327" w:rsidRDefault="00E0181F" w:rsidP="00D11AC9">
            <w:pPr>
              <w:pStyle w:val="TableTextBold"/>
              <w:spacing w:before="40" w:after="40"/>
              <w:rPr>
                <w:noProof w:val="0"/>
                <w:color w:val="1B556B"/>
              </w:rPr>
            </w:pPr>
            <w:r w:rsidRPr="001D5327">
              <w:rPr>
                <w:noProof w:val="0"/>
                <w:color w:val="1B556B"/>
              </w:rPr>
              <w:t>Total</w:t>
            </w:r>
          </w:p>
        </w:tc>
        <w:tc>
          <w:tcPr>
            <w:tcW w:w="1559" w:type="dxa"/>
            <w:tcBorders>
              <w:top w:val="single" w:sz="4" w:space="0" w:color="1B556B" w:themeColor="text2"/>
              <w:bottom w:val="single" w:sz="4" w:space="0" w:color="1B556B" w:themeColor="text2"/>
            </w:tcBorders>
            <w:vAlign w:val="bottom"/>
          </w:tcPr>
          <w:p w14:paraId="2B1BAA48" w14:textId="77777777" w:rsidR="00E0181F" w:rsidRPr="001D5327" w:rsidRDefault="00E0181F" w:rsidP="00D11AC9">
            <w:pPr>
              <w:pStyle w:val="TableTextBold"/>
              <w:spacing w:before="40" w:after="40"/>
              <w:jc w:val="right"/>
              <w:rPr>
                <w:noProof w:val="0"/>
                <w:color w:val="1B556B" w:themeColor="text2"/>
              </w:rPr>
            </w:pPr>
            <w:r w:rsidRPr="001D5327">
              <w:rPr>
                <w:rFonts w:cs="Calibri"/>
                <w:noProof w:val="0"/>
                <w:color w:val="1B556B" w:themeColor="text2"/>
              </w:rPr>
              <w:t>7.3</w:t>
            </w:r>
          </w:p>
        </w:tc>
        <w:tc>
          <w:tcPr>
            <w:tcW w:w="2268" w:type="dxa"/>
            <w:tcBorders>
              <w:top w:val="single" w:sz="4" w:space="0" w:color="1B556B" w:themeColor="text2"/>
              <w:bottom w:val="single" w:sz="4" w:space="0" w:color="1B556B" w:themeColor="text2"/>
            </w:tcBorders>
            <w:vAlign w:val="bottom"/>
          </w:tcPr>
          <w:p w14:paraId="5F6045D9" w14:textId="77777777" w:rsidR="00E0181F" w:rsidRPr="001D5327" w:rsidRDefault="00E0181F" w:rsidP="00D11AC9">
            <w:pPr>
              <w:pStyle w:val="TableTextBold"/>
              <w:spacing w:before="40" w:after="40"/>
              <w:jc w:val="right"/>
              <w:rPr>
                <w:noProof w:val="0"/>
                <w:color w:val="1B556B" w:themeColor="text2"/>
              </w:rPr>
            </w:pPr>
            <w:r w:rsidRPr="001D5327">
              <w:rPr>
                <w:rFonts w:cs="Calibri"/>
                <w:noProof w:val="0"/>
                <w:color w:val="1B556B" w:themeColor="text2"/>
              </w:rPr>
              <w:t>127.1</w:t>
            </w:r>
          </w:p>
        </w:tc>
        <w:tc>
          <w:tcPr>
            <w:tcW w:w="2835" w:type="dxa"/>
            <w:tcBorders>
              <w:top w:val="single" w:sz="4" w:space="0" w:color="1B556B" w:themeColor="text2"/>
              <w:bottom w:val="single" w:sz="4" w:space="0" w:color="1B556B" w:themeColor="text2"/>
            </w:tcBorders>
            <w:vAlign w:val="bottom"/>
          </w:tcPr>
          <w:p w14:paraId="0B6490CB" w14:textId="77777777" w:rsidR="00E0181F" w:rsidRPr="001D5327" w:rsidRDefault="00E0181F" w:rsidP="00D11AC9">
            <w:pPr>
              <w:pStyle w:val="TableTextBold"/>
              <w:spacing w:before="40" w:after="40"/>
              <w:jc w:val="right"/>
              <w:rPr>
                <w:noProof w:val="0"/>
                <w:color w:val="1B556B" w:themeColor="text2"/>
              </w:rPr>
            </w:pPr>
            <w:r w:rsidRPr="001D5327">
              <w:rPr>
                <w:rFonts w:cs="Calibri"/>
                <w:noProof w:val="0"/>
                <w:color w:val="1B556B" w:themeColor="text2"/>
              </w:rPr>
              <w:t>0.1</w:t>
            </w:r>
          </w:p>
        </w:tc>
      </w:tr>
    </w:tbl>
    <w:p w14:paraId="01090A99" w14:textId="77777777" w:rsidR="00E0181F" w:rsidRPr="001D5327" w:rsidRDefault="00E0181F" w:rsidP="00E0181F">
      <w:pPr>
        <w:pStyle w:val="Heading3"/>
        <w:spacing w:before="400"/>
      </w:pPr>
      <w:r w:rsidRPr="001D5327">
        <w:t>6.7.4</w:t>
      </w:r>
      <w:r w:rsidRPr="001D5327">
        <w:tab/>
        <w:t xml:space="preserve">Category-specific QA/QC and verification </w:t>
      </w:r>
    </w:p>
    <w:p w14:paraId="52E84395" w14:textId="77777777" w:rsidR="00E0181F" w:rsidRPr="001D5327" w:rsidRDefault="00E0181F" w:rsidP="00355617">
      <w:pPr>
        <w:pStyle w:val="BodyText"/>
        <w:spacing w:before="100" w:after="100"/>
      </w:pPr>
      <w:r w:rsidRPr="001D5327">
        <w:t>In the preparation of this inventory, the activity data and emission factor for carbon change underwent Tier 1 quality checks.</w:t>
      </w:r>
    </w:p>
    <w:p w14:paraId="33758738" w14:textId="77777777" w:rsidR="00E0181F" w:rsidRPr="001D5327" w:rsidRDefault="00E0181F" w:rsidP="00E0181F">
      <w:pPr>
        <w:pStyle w:val="Heading3"/>
        <w:spacing w:before="320"/>
      </w:pPr>
      <w:r w:rsidRPr="001D5327">
        <w:t>6.7.5</w:t>
      </w:r>
      <w:r w:rsidRPr="001D5327">
        <w:tab/>
        <w:t>Category-specific recalculations</w:t>
      </w:r>
    </w:p>
    <w:p w14:paraId="3ED1375A" w14:textId="77777777" w:rsidR="00E0181F" w:rsidRPr="001D5327" w:rsidRDefault="00E0181F" w:rsidP="00355617">
      <w:pPr>
        <w:pStyle w:val="BodyText"/>
        <w:spacing w:before="100" w:after="100"/>
      </w:pPr>
      <w:r w:rsidRPr="001D5327">
        <w:t>The impact of recalculations on net CO</w:t>
      </w:r>
      <w:r w:rsidRPr="001D5327">
        <w:rPr>
          <w:vertAlign w:val="subscript"/>
        </w:rPr>
        <w:t>2</w:t>
      </w:r>
      <w:r w:rsidRPr="001D5327">
        <w:t xml:space="preserve">-e emission estimates for </w:t>
      </w:r>
      <w:r w:rsidRPr="001D5327">
        <w:rPr>
          <w:i/>
        </w:rPr>
        <w:t>Wetlands</w:t>
      </w:r>
      <w:r w:rsidRPr="001D5327">
        <w:t xml:space="preserve"> is shown in table 6.7.5. </w:t>
      </w:r>
    </w:p>
    <w:p w14:paraId="7B454086" w14:textId="77777777" w:rsidR="00E0181F" w:rsidRPr="001D5327" w:rsidRDefault="00E0181F" w:rsidP="00E0181F">
      <w:pPr>
        <w:pStyle w:val="Table"/>
      </w:pPr>
      <w:bookmarkStart w:id="2517" w:name="_Toc342470787"/>
      <w:bookmarkStart w:id="2518" w:name="_Toc352505027"/>
      <w:bookmarkStart w:id="2519" w:name="_Toc378853316"/>
      <w:bookmarkStart w:id="2520" w:name="_Toc391024114"/>
      <w:bookmarkStart w:id="2521" w:name="_Toc410028857"/>
      <w:bookmarkStart w:id="2522" w:name="_Toc414531485"/>
      <w:bookmarkStart w:id="2523" w:name="_Toc443645398"/>
      <w:bookmarkStart w:id="2524" w:name="_Toc474914617"/>
      <w:bookmarkStart w:id="2525" w:name="_Toc481751581"/>
      <w:bookmarkStart w:id="2526" w:name="_Toc522010638"/>
      <w:bookmarkStart w:id="2527" w:name="_Toc5269543"/>
      <w:bookmarkStart w:id="2528" w:name="_Toc33529417"/>
      <w:bookmarkStart w:id="2529" w:name="_Toc36224623"/>
      <w:bookmarkStart w:id="2530" w:name="_Toc131591418"/>
      <w:bookmarkStart w:id="2531" w:name="_Toc158979976"/>
      <w:bookmarkStart w:id="2532" w:name="_Toc164153909"/>
      <w:bookmarkStart w:id="2533" w:name="_Toc190873143"/>
      <w:bookmarkStart w:id="2534" w:name="_Toc194241782"/>
      <w:r w:rsidRPr="001D5327">
        <w:t>Table 6.7.5</w:t>
      </w:r>
      <w:r w:rsidRPr="001D5327">
        <w:tab/>
        <w:t xml:space="preserve">Recalculations for New Zealand’s net emissions from the </w:t>
      </w:r>
      <w:r w:rsidRPr="001D5327">
        <w:rPr>
          <w:i/>
        </w:rPr>
        <w:t>Wetlands</w:t>
      </w:r>
      <w:r w:rsidRPr="001D5327">
        <w:t xml:space="preserve"> category in 1990 and</w:t>
      </w:r>
      <w:bookmarkEnd w:id="2517"/>
      <w:bookmarkEnd w:id="2518"/>
      <w:bookmarkEnd w:id="2519"/>
      <w:bookmarkEnd w:id="2520"/>
      <w:r w:rsidRPr="001D5327">
        <w:t> </w:t>
      </w:r>
      <w:bookmarkEnd w:id="2521"/>
      <w:bookmarkEnd w:id="2522"/>
      <w:bookmarkEnd w:id="2523"/>
      <w:bookmarkEnd w:id="2524"/>
      <w:bookmarkEnd w:id="2525"/>
      <w:bookmarkEnd w:id="2526"/>
      <w:bookmarkEnd w:id="2527"/>
      <w:bookmarkEnd w:id="2528"/>
      <w:bookmarkEnd w:id="2529"/>
      <w:bookmarkEnd w:id="2530"/>
      <w:bookmarkEnd w:id="2531"/>
      <w:bookmarkEnd w:id="2532"/>
      <w:r w:rsidRPr="001D5327">
        <w:t>202</w:t>
      </w:r>
      <w:bookmarkEnd w:id="2533"/>
      <w:r w:rsidRPr="001D5327">
        <w:t>2</w:t>
      </w:r>
      <w:bookmarkEnd w:id="2534"/>
    </w:p>
    <w:tbl>
      <w:tblPr>
        <w:tblW w:w="8504"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268"/>
        <w:gridCol w:w="1413"/>
        <w:gridCol w:w="1559"/>
        <w:gridCol w:w="2268"/>
        <w:gridCol w:w="996"/>
      </w:tblGrid>
      <w:tr w:rsidR="00E0181F" w:rsidRPr="001D5327" w14:paraId="733EC2EE" w14:textId="77777777" w:rsidTr="00D11AC9">
        <w:trPr>
          <w:tblHeader/>
        </w:trPr>
        <w:tc>
          <w:tcPr>
            <w:tcW w:w="2268" w:type="dxa"/>
            <w:shd w:val="clear" w:color="auto" w:fill="1B556B"/>
            <w:tcMar>
              <w:top w:w="0" w:type="dxa"/>
              <w:left w:w="85" w:type="dxa"/>
              <w:bottom w:w="0" w:type="dxa"/>
              <w:right w:w="85" w:type="dxa"/>
            </w:tcMar>
            <w:vAlign w:val="center"/>
          </w:tcPr>
          <w:p w14:paraId="2AC943CD" w14:textId="77777777" w:rsidR="00E0181F" w:rsidRPr="001D5327" w:rsidRDefault="00E0181F" w:rsidP="00D11AC9">
            <w:pPr>
              <w:pStyle w:val="TableTextBold"/>
              <w:spacing w:before="40" w:after="40"/>
              <w:rPr>
                <w:noProof w:val="0"/>
                <w:color w:val="FFFFFF" w:themeColor="background1"/>
              </w:rPr>
            </w:pPr>
          </w:p>
        </w:tc>
        <w:tc>
          <w:tcPr>
            <w:tcW w:w="1413" w:type="dxa"/>
            <w:shd w:val="clear" w:color="auto" w:fill="1B556B"/>
            <w:tcMar>
              <w:top w:w="0" w:type="dxa"/>
              <w:left w:w="85" w:type="dxa"/>
              <w:bottom w:w="0" w:type="dxa"/>
              <w:right w:w="85" w:type="dxa"/>
            </w:tcMar>
            <w:vAlign w:val="center"/>
          </w:tcPr>
          <w:p w14:paraId="063AD157"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2024 submission</w:t>
            </w:r>
          </w:p>
        </w:tc>
        <w:tc>
          <w:tcPr>
            <w:tcW w:w="1559" w:type="dxa"/>
            <w:shd w:val="clear" w:color="auto" w:fill="1B556B"/>
            <w:tcMar>
              <w:top w:w="0" w:type="dxa"/>
              <w:left w:w="85" w:type="dxa"/>
              <w:bottom w:w="0" w:type="dxa"/>
              <w:right w:w="85" w:type="dxa"/>
            </w:tcMar>
            <w:vAlign w:val="center"/>
          </w:tcPr>
          <w:p w14:paraId="197D9D1F"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2025 submission</w:t>
            </w:r>
          </w:p>
        </w:tc>
        <w:tc>
          <w:tcPr>
            <w:tcW w:w="2268" w:type="dxa"/>
            <w:shd w:val="clear" w:color="auto" w:fill="1B556B"/>
            <w:tcMar>
              <w:top w:w="0" w:type="dxa"/>
              <w:left w:w="85" w:type="dxa"/>
              <w:bottom w:w="0" w:type="dxa"/>
              <w:right w:w="85" w:type="dxa"/>
            </w:tcMar>
            <w:vAlign w:val="center"/>
          </w:tcPr>
          <w:p w14:paraId="03016FAE"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Change from 2024 submission</w:t>
            </w:r>
          </w:p>
        </w:tc>
        <w:tc>
          <w:tcPr>
            <w:tcW w:w="996" w:type="dxa"/>
            <w:shd w:val="clear" w:color="auto" w:fill="1B556B"/>
            <w:tcMar>
              <w:top w:w="0" w:type="dxa"/>
              <w:left w:w="85" w:type="dxa"/>
              <w:bottom w:w="0" w:type="dxa"/>
              <w:right w:w="85" w:type="dxa"/>
            </w:tcMar>
            <w:vAlign w:val="center"/>
          </w:tcPr>
          <w:p w14:paraId="69260946"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Change (%)</w:t>
            </w:r>
          </w:p>
        </w:tc>
      </w:tr>
      <w:tr w:rsidR="00E0181F" w:rsidRPr="001D5327" w14:paraId="66DA9E33" w14:textId="77777777" w:rsidTr="00D11AC9">
        <w:trPr>
          <w:trHeight w:val="283"/>
        </w:trPr>
        <w:tc>
          <w:tcPr>
            <w:tcW w:w="2268" w:type="dxa"/>
            <w:shd w:val="clear" w:color="auto" w:fill="FFFFFF"/>
            <w:tcMar>
              <w:top w:w="0" w:type="dxa"/>
              <w:left w:w="85" w:type="dxa"/>
              <w:bottom w:w="0" w:type="dxa"/>
              <w:right w:w="85" w:type="dxa"/>
            </w:tcMar>
            <w:vAlign w:val="center"/>
          </w:tcPr>
          <w:p w14:paraId="49C92902" w14:textId="77777777" w:rsidR="00E0181F" w:rsidRPr="001D5327" w:rsidRDefault="00E0181F" w:rsidP="00D11AC9">
            <w:pPr>
              <w:pStyle w:val="Tableboldblue"/>
              <w:spacing w:before="40" w:after="40"/>
            </w:pPr>
            <w:r w:rsidRPr="001D5327">
              <w:rPr>
                <w:rFonts w:eastAsia="Calibri"/>
              </w:rPr>
              <w:t>Net emissions (kt CO</w:t>
            </w:r>
            <w:r w:rsidRPr="001D5327">
              <w:rPr>
                <w:rFonts w:eastAsia="Calibri"/>
                <w:vertAlign w:val="subscript"/>
              </w:rPr>
              <w:t>2</w:t>
            </w:r>
            <w:r w:rsidRPr="001D5327">
              <w:rPr>
                <w:rFonts w:eastAsia="Calibri"/>
              </w:rPr>
              <w:t>-e)</w:t>
            </w:r>
          </w:p>
        </w:tc>
        <w:tc>
          <w:tcPr>
            <w:tcW w:w="1413" w:type="dxa"/>
            <w:shd w:val="clear" w:color="auto" w:fill="FFFFFF"/>
            <w:tcMar>
              <w:top w:w="0" w:type="dxa"/>
              <w:left w:w="85" w:type="dxa"/>
              <w:bottom w:w="0" w:type="dxa"/>
              <w:right w:w="85" w:type="dxa"/>
            </w:tcMar>
            <w:vAlign w:val="center"/>
          </w:tcPr>
          <w:p w14:paraId="45371801" w14:textId="77777777" w:rsidR="00E0181F" w:rsidRPr="001D5327" w:rsidRDefault="00E0181F" w:rsidP="00D11AC9">
            <w:pPr>
              <w:pStyle w:val="Tableboldblue"/>
              <w:spacing w:before="40" w:after="40"/>
              <w:jc w:val="right"/>
            </w:pPr>
          </w:p>
        </w:tc>
        <w:tc>
          <w:tcPr>
            <w:tcW w:w="1559" w:type="dxa"/>
            <w:shd w:val="clear" w:color="auto" w:fill="FFFFFF"/>
            <w:tcMar>
              <w:top w:w="0" w:type="dxa"/>
              <w:left w:w="85" w:type="dxa"/>
              <w:bottom w:w="0" w:type="dxa"/>
              <w:right w:w="85" w:type="dxa"/>
            </w:tcMar>
            <w:vAlign w:val="center"/>
          </w:tcPr>
          <w:p w14:paraId="6DA0B5E1" w14:textId="77777777" w:rsidR="00E0181F" w:rsidRPr="001D5327" w:rsidRDefault="00E0181F" w:rsidP="00D11AC9">
            <w:pPr>
              <w:pStyle w:val="Tableboldblue"/>
              <w:spacing w:before="40" w:after="40"/>
              <w:jc w:val="right"/>
            </w:pPr>
          </w:p>
        </w:tc>
        <w:tc>
          <w:tcPr>
            <w:tcW w:w="2268" w:type="dxa"/>
            <w:shd w:val="clear" w:color="auto" w:fill="FFFFFF"/>
            <w:tcMar>
              <w:top w:w="0" w:type="dxa"/>
              <w:left w:w="85" w:type="dxa"/>
              <w:bottom w:w="0" w:type="dxa"/>
              <w:right w:w="85" w:type="dxa"/>
            </w:tcMar>
            <w:vAlign w:val="center"/>
          </w:tcPr>
          <w:p w14:paraId="496E5892" w14:textId="77777777" w:rsidR="00E0181F" w:rsidRPr="001D5327" w:rsidRDefault="00E0181F" w:rsidP="00D11AC9">
            <w:pPr>
              <w:pStyle w:val="Tableboldblue"/>
              <w:spacing w:before="40" w:after="40"/>
              <w:jc w:val="right"/>
            </w:pPr>
          </w:p>
        </w:tc>
        <w:tc>
          <w:tcPr>
            <w:tcW w:w="996" w:type="dxa"/>
            <w:shd w:val="clear" w:color="auto" w:fill="FFFFFF"/>
            <w:tcMar>
              <w:top w:w="0" w:type="dxa"/>
              <w:left w:w="85" w:type="dxa"/>
              <w:bottom w:w="0" w:type="dxa"/>
              <w:right w:w="85" w:type="dxa"/>
            </w:tcMar>
            <w:vAlign w:val="center"/>
          </w:tcPr>
          <w:p w14:paraId="2948BF2B" w14:textId="77777777" w:rsidR="00E0181F" w:rsidRPr="001D5327" w:rsidRDefault="00E0181F" w:rsidP="00D11AC9">
            <w:pPr>
              <w:pStyle w:val="Tableboldblue"/>
              <w:spacing w:before="40" w:after="40"/>
              <w:jc w:val="right"/>
            </w:pPr>
          </w:p>
        </w:tc>
      </w:tr>
      <w:tr w:rsidR="00E0181F" w:rsidRPr="001D5327" w14:paraId="3BA51041" w14:textId="77777777" w:rsidTr="00D11AC9">
        <w:trPr>
          <w:trHeight w:val="283"/>
        </w:trPr>
        <w:tc>
          <w:tcPr>
            <w:tcW w:w="2268" w:type="dxa"/>
            <w:shd w:val="clear" w:color="auto" w:fill="FFFFFF"/>
            <w:tcMar>
              <w:top w:w="0" w:type="dxa"/>
              <w:left w:w="85" w:type="dxa"/>
              <w:bottom w:w="0" w:type="dxa"/>
              <w:right w:w="85" w:type="dxa"/>
            </w:tcMar>
            <w:vAlign w:val="center"/>
          </w:tcPr>
          <w:p w14:paraId="6BF3F29A" w14:textId="77777777" w:rsidR="00E0181F" w:rsidRPr="001D5327" w:rsidRDefault="00E0181F" w:rsidP="00D11AC9">
            <w:pPr>
              <w:pStyle w:val="TableText"/>
              <w:spacing w:before="40" w:after="40"/>
            </w:pPr>
            <w:r w:rsidRPr="001D5327">
              <w:rPr>
                <w:rFonts w:eastAsia="Calibri"/>
              </w:rPr>
              <w:t>1990</w:t>
            </w:r>
          </w:p>
        </w:tc>
        <w:tc>
          <w:tcPr>
            <w:tcW w:w="1413" w:type="dxa"/>
            <w:shd w:val="clear" w:color="auto" w:fill="FFFFFF"/>
            <w:tcMar>
              <w:top w:w="0" w:type="dxa"/>
              <w:left w:w="85" w:type="dxa"/>
              <w:bottom w:w="0" w:type="dxa"/>
              <w:right w:w="85" w:type="dxa"/>
            </w:tcMar>
            <w:vAlign w:val="center"/>
          </w:tcPr>
          <w:p w14:paraId="08AEE341" w14:textId="480E1371" w:rsidR="00E0181F" w:rsidRPr="001D5327" w:rsidRDefault="0070503C" w:rsidP="00D11AC9">
            <w:pPr>
              <w:pStyle w:val="TableText"/>
              <w:spacing w:before="40" w:after="40"/>
              <w:jc w:val="right"/>
            </w:pPr>
            <w:r>
              <w:rPr>
                <w:rFonts w:eastAsia="Calibri"/>
              </w:rPr>
              <w:t>-</w:t>
            </w:r>
            <w:r w:rsidR="00E0181F" w:rsidRPr="001D5327">
              <w:rPr>
                <w:rFonts w:eastAsia="Calibri"/>
              </w:rPr>
              <w:t>8.3</w:t>
            </w:r>
          </w:p>
        </w:tc>
        <w:tc>
          <w:tcPr>
            <w:tcW w:w="1559" w:type="dxa"/>
            <w:shd w:val="clear" w:color="auto" w:fill="FFFFFF"/>
            <w:tcMar>
              <w:top w:w="0" w:type="dxa"/>
              <w:left w:w="85" w:type="dxa"/>
              <w:bottom w:w="0" w:type="dxa"/>
              <w:right w:w="85" w:type="dxa"/>
            </w:tcMar>
            <w:vAlign w:val="center"/>
          </w:tcPr>
          <w:p w14:paraId="3850D7E8" w14:textId="03D31A5E" w:rsidR="00E0181F" w:rsidRPr="001D5327" w:rsidRDefault="0070503C" w:rsidP="00D11AC9">
            <w:pPr>
              <w:pStyle w:val="TableText"/>
              <w:spacing w:before="40" w:after="40"/>
              <w:jc w:val="right"/>
            </w:pPr>
            <w:r>
              <w:rPr>
                <w:rFonts w:eastAsia="Calibri"/>
              </w:rPr>
              <w:t>-</w:t>
            </w:r>
            <w:r w:rsidR="00E0181F" w:rsidRPr="001D5327">
              <w:rPr>
                <w:rFonts w:eastAsia="Calibri"/>
              </w:rPr>
              <w:t>8.3</w:t>
            </w:r>
          </w:p>
        </w:tc>
        <w:tc>
          <w:tcPr>
            <w:tcW w:w="2268" w:type="dxa"/>
            <w:shd w:val="clear" w:color="auto" w:fill="FFFFFF"/>
            <w:tcMar>
              <w:top w:w="0" w:type="dxa"/>
              <w:left w:w="85" w:type="dxa"/>
              <w:bottom w:w="0" w:type="dxa"/>
              <w:right w:w="85" w:type="dxa"/>
            </w:tcMar>
            <w:vAlign w:val="center"/>
          </w:tcPr>
          <w:p w14:paraId="1077A7F7" w14:textId="77777777" w:rsidR="00E0181F" w:rsidRPr="001D5327" w:rsidRDefault="00E0181F" w:rsidP="00D11AC9">
            <w:pPr>
              <w:pStyle w:val="TableText"/>
              <w:spacing w:before="40" w:after="40"/>
              <w:jc w:val="right"/>
            </w:pPr>
            <w:r w:rsidRPr="001D5327">
              <w:rPr>
                <w:rFonts w:eastAsia="Calibri"/>
              </w:rPr>
              <w:t>0.0</w:t>
            </w:r>
          </w:p>
        </w:tc>
        <w:tc>
          <w:tcPr>
            <w:tcW w:w="996" w:type="dxa"/>
            <w:shd w:val="clear" w:color="auto" w:fill="FFFFFF"/>
            <w:tcMar>
              <w:top w:w="0" w:type="dxa"/>
              <w:left w:w="85" w:type="dxa"/>
              <w:bottom w:w="0" w:type="dxa"/>
              <w:right w:w="85" w:type="dxa"/>
            </w:tcMar>
            <w:vAlign w:val="center"/>
          </w:tcPr>
          <w:p w14:paraId="5973698C" w14:textId="77777777" w:rsidR="00E0181F" w:rsidRPr="001D5327" w:rsidRDefault="00E0181F" w:rsidP="00D11AC9">
            <w:pPr>
              <w:pStyle w:val="TableText"/>
              <w:spacing w:before="40" w:after="40"/>
              <w:jc w:val="right"/>
            </w:pPr>
            <w:r w:rsidRPr="001D5327">
              <w:rPr>
                <w:rFonts w:eastAsia="Calibri"/>
              </w:rPr>
              <w:t>0.0</w:t>
            </w:r>
          </w:p>
        </w:tc>
      </w:tr>
      <w:tr w:rsidR="00E0181F" w:rsidRPr="001D5327" w14:paraId="0D7F12FB" w14:textId="77777777" w:rsidTr="00D11AC9">
        <w:trPr>
          <w:trHeight w:val="283"/>
        </w:trPr>
        <w:tc>
          <w:tcPr>
            <w:tcW w:w="2268" w:type="dxa"/>
            <w:shd w:val="clear" w:color="auto" w:fill="FFFFFF"/>
            <w:tcMar>
              <w:top w:w="0" w:type="dxa"/>
              <w:left w:w="85" w:type="dxa"/>
              <w:bottom w:w="0" w:type="dxa"/>
              <w:right w:w="85" w:type="dxa"/>
            </w:tcMar>
            <w:vAlign w:val="center"/>
          </w:tcPr>
          <w:p w14:paraId="466D52C6" w14:textId="77777777" w:rsidR="00E0181F" w:rsidRPr="001D5327" w:rsidRDefault="00E0181F" w:rsidP="00D11AC9">
            <w:pPr>
              <w:pStyle w:val="TableText"/>
              <w:spacing w:before="40" w:after="40"/>
            </w:pPr>
            <w:r w:rsidRPr="001D5327">
              <w:rPr>
                <w:rFonts w:eastAsia="Calibri"/>
              </w:rPr>
              <w:t>2022</w:t>
            </w:r>
          </w:p>
        </w:tc>
        <w:tc>
          <w:tcPr>
            <w:tcW w:w="1413" w:type="dxa"/>
            <w:shd w:val="clear" w:color="auto" w:fill="FFFFFF"/>
            <w:tcMar>
              <w:top w:w="0" w:type="dxa"/>
              <w:left w:w="85" w:type="dxa"/>
              <w:bottom w:w="0" w:type="dxa"/>
              <w:right w:w="85" w:type="dxa"/>
            </w:tcMar>
            <w:vAlign w:val="center"/>
          </w:tcPr>
          <w:p w14:paraId="6B0D4281" w14:textId="77777777" w:rsidR="00E0181F" w:rsidRPr="001D5327" w:rsidRDefault="00E0181F" w:rsidP="00D11AC9">
            <w:pPr>
              <w:pStyle w:val="TableText"/>
              <w:spacing w:before="40" w:after="40"/>
              <w:jc w:val="right"/>
            </w:pPr>
            <w:r w:rsidRPr="001D5327">
              <w:rPr>
                <w:rFonts w:eastAsia="Calibri"/>
              </w:rPr>
              <w:t>8.0</w:t>
            </w:r>
          </w:p>
        </w:tc>
        <w:tc>
          <w:tcPr>
            <w:tcW w:w="1559" w:type="dxa"/>
            <w:shd w:val="clear" w:color="auto" w:fill="FFFFFF"/>
            <w:tcMar>
              <w:top w:w="0" w:type="dxa"/>
              <w:left w:w="85" w:type="dxa"/>
              <w:bottom w:w="0" w:type="dxa"/>
              <w:right w:w="85" w:type="dxa"/>
            </w:tcMar>
            <w:vAlign w:val="center"/>
          </w:tcPr>
          <w:p w14:paraId="76BD4120" w14:textId="77777777" w:rsidR="00E0181F" w:rsidRPr="001D5327" w:rsidRDefault="00E0181F" w:rsidP="00D11AC9">
            <w:pPr>
              <w:pStyle w:val="TableText"/>
              <w:spacing w:before="40" w:after="40"/>
              <w:jc w:val="right"/>
            </w:pPr>
            <w:r w:rsidRPr="001D5327">
              <w:rPr>
                <w:rFonts w:eastAsia="Calibri"/>
              </w:rPr>
              <w:t>8.1</w:t>
            </w:r>
          </w:p>
        </w:tc>
        <w:tc>
          <w:tcPr>
            <w:tcW w:w="2268" w:type="dxa"/>
            <w:shd w:val="clear" w:color="auto" w:fill="FFFFFF"/>
            <w:tcMar>
              <w:top w:w="0" w:type="dxa"/>
              <w:left w:w="85" w:type="dxa"/>
              <w:bottom w:w="0" w:type="dxa"/>
              <w:right w:w="85" w:type="dxa"/>
            </w:tcMar>
            <w:vAlign w:val="center"/>
          </w:tcPr>
          <w:p w14:paraId="557868FA" w14:textId="77777777" w:rsidR="00E0181F" w:rsidRPr="001D5327" w:rsidRDefault="00E0181F" w:rsidP="00D11AC9">
            <w:pPr>
              <w:pStyle w:val="TableText"/>
              <w:spacing w:before="40" w:after="40"/>
              <w:jc w:val="right"/>
            </w:pPr>
            <w:r w:rsidRPr="001D5327">
              <w:rPr>
                <w:rFonts w:eastAsia="Calibri"/>
              </w:rPr>
              <w:t>0.0</w:t>
            </w:r>
          </w:p>
        </w:tc>
        <w:tc>
          <w:tcPr>
            <w:tcW w:w="996" w:type="dxa"/>
            <w:shd w:val="clear" w:color="auto" w:fill="FFFFFF"/>
            <w:tcMar>
              <w:top w:w="0" w:type="dxa"/>
              <w:left w:w="85" w:type="dxa"/>
              <w:bottom w:w="0" w:type="dxa"/>
              <w:right w:w="85" w:type="dxa"/>
            </w:tcMar>
            <w:vAlign w:val="center"/>
          </w:tcPr>
          <w:p w14:paraId="07601E82" w14:textId="77777777" w:rsidR="00E0181F" w:rsidRPr="001D5327" w:rsidRDefault="00E0181F" w:rsidP="00D11AC9">
            <w:pPr>
              <w:pStyle w:val="TableText"/>
              <w:spacing w:before="40" w:after="40"/>
              <w:jc w:val="right"/>
            </w:pPr>
            <w:r w:rsidRPr="001D5327">
              <w:rPr>
                <w:rFonts w:eastAsia="Calibri"/>
              </w:rPr>
              <w:t>0.4</w:t>
            </w:r>
          </w:p>
        </w:tc>
      </w:tr>
      <w:tr w:rsidR="00E0181F" w:rsidRPr="001D5327" w14:paraId="60B50A58" w14:textId="77777777" w:rsidTr="00D11AC9">
        <w:trPr>
          <w:trHeight w:val="283"/>
        </w:trPr>
        <w:tc>
          <w:tcPr>
            <w:tcW w:w="2268" w:type="dxa"/>
            <w:shd w:val="clear" w:color="auto" w:fill="FFFFFF"/>
            <w:tcMar>
              <w:top w:w="0" w:type="dxa"/>
              <w:left w:w="85" w:type="dxa"/>
              <w:bottom w:w="0" w:type="dxa"/>
              <w:right w:w="85" w:type="dxa"/>
            </w:tcMar>
            <w:vAlign w:val="center"/>
          </w:tcPr>
          <w:p w14:paraId="5F07F209" w14:textId="77777777" w:rsidR="00E0181F" w:rsidRPr="001D5327" w:rsidRDefault="00E0181F" w:rsidP="00D11AC9">
            <w:pPr>
              <w:pStyle w:val="Tableboldblue"/>
              <w:spacing w:before="40" w:after="40"/>
            </w:pPr>
            <w:r w:rsidRPr="001D5327">
              <w:rPr>
                <w:rFonts w:eastAsia="Calibri"/>
              </w:rPr>
              <w:t>Area (hectares)</w:t>
            </w:r>
          </w:p>
        </w:tc>
        <w:tc>
          <w:tcPr>
            <w:tcW w:w="1413" w:type="dxa"/>
            <w:shd w:val="clear" w:color="auto" w:fill="FFFFFF"/>
            <w:tcMar>
              <w:top w:w="0" w:type="dxa"/>
              <w:left w:w="85" w:type="dxa"/>
              <w:bottom w:w="0" w:type="dxa"/>
              <w:right w:w="85" w:type="dxa"/>
            </w:tcMar>
            <w:vAlign w:val="center"/>
          </w:tcPr>
          <w:p w14:paraId="4EDD2EB7" w14:textId="77777777" w:rsidR="00E0181F" w:rsidRPr="001D5327" w:rsidRDefault="00E0181F" w:rsidP="00D11AC9">
            <w:pPr>
              <w:pStyle w:val="Tableboldblue"/>
              <w:spacing w:before="40" w:after="40"/>
              <w:jc w:val="right"/>
            </w:pPr>
          </w:p>
        </w:tc>
        <w:tc>
          <w:tcPr>
            <w:tcW w:w="1559" w:type="dxa"/>
            <w:shd w:val="clear" w:color="auto" w:fill="FFFFFF"/>
            <w:tcMar>
              <w:top w:w="0" w:type="dxa"/>
              <w:left w:w="85" w:type="dxa"/>
              <w:bottom w:w="0" w:type="dxa"/>
              <w:right w:w="85" w:type="dxa"/>
            </w:tcMar>
            <w:vAlign w:val="center"/>
          </w:tcPr>
          <w:p w14:paraId="16560E74" w14:textId="77777777" w:rsidR="00E0181F" w:rsidRPr="001D5327" w:rsidRDefault="00E0181F" w:rsidP="00D11AC9">
            <w:pPr>
              <w:pStyle w:val="Tableboldblue"/>
              <w:spacing w:before="40" w:after="40"/>
              <w:jc w:val="right"/>
            </w:pPr>
          </w:p>
        </w:tc>
        <w:tc>
          <w:tcPr>
            <w:tcW w:w="2268" w:type="dxa"/>
            <w:shd w:val="clear" w:color="auto" w:fill="FFFFFF"/>
            <w:tcMar>
              <w:top w:w="0" w:type="dxa"/>
              <w:left w:w="85" w:type="dxa"/>
              <w:bottom w:w="0" w:type="dxa"/>
              <w:right w:w="85" w:type="dxa"/>
            </w:tcMar>
            <w:vAlign w:val="center"/>
          </w:tcPr>
          <w:p w14:paraId="7E754829" w14:textId="77777777" w:rsidR="00E0181F" w:rsidRPr="001D5327" w:rsidRDefault="00E0181F" w:rsidP="00D11AC9">
            <w:pPr>
              <w:pStyle w:val="Tableboldblue"/>
              <w:spacing w:before="40" w:after="40"/>
              <w:jc w:val="right"/>
            </w:pPr>
          </w:p>
        </w:tc>
        <w:tc>
          <w:tcPr>
            <w:tcW w:w="996" w:type="dxa"/>
            <w:shd w:val="clear" w:color="auto" w:fill="FFFFFF"/>
            <w:tcMar>
              <w:top w:w="0" w:type="dxa"/>
              <w:left w:w="85" w:type="dxa"/>
              <w:bottom w:w="0" w:type="dxa"/>
              <w:right w:w="85" w:type="dxa"/>
            </w:tcMar>
            <w:vAlign w:val="center"/>
          </w:tcPr>
          <w:p w14:paraId="745E4CCB" w14:textId="77777777" w:rsidR="00E0181F" w:rsidRPr="001D5327" w:rsidRDefault="00E0181F" w:rsidP="00D11AC9">
            <w:pPr>
              <w:pStyle w:val="Tableboldblue"/>
              <w:spacing w:before="40" w:after="40"/>
              <w:jc w:val="right"/>
            </w:pPr>
          </w:p>
        </w:tc>
      </w:tr>
      <w:tr w:rsidR="00E0181F" w:rsidRPr="001D5327" w14:paraId="243386D4" w14:textId="77777777" w:rsidTr="00D11AC9">
        <w:trPr>
          <w:trHeight w:val="283"/>
        </w:trPr>
        <w:tc>
          <w:tcPr>
            <w:tcW w:w="2268" w:type="dxa"/>
            <w:shd w:val="clear" w:color="auto" w:fill="FFFFFF"/>
            <w:tcMar>
              <w:top w:w="0" w:type="dxa"/>
              <w:left w:w="85" w:type="dxa"/>
              <w:bottom w:w="0" w:type="dxa"/>
              <w:right w:w="85" w:type="dxa"/>
            </w:tcMar>
            <w:vAlign w:val="center"/>
          </w:tcPr>
          <w:p w14:paraId="1C5AC2E3" w14:textId="77777777" w:rsidR="00E0181F" w:rsidRPr="001D5327" w:rsidRDefault="00E0181F" w:rsidP="00D11AC9">
            <w:pPr>
              <w:pStyle w:val="TableText"/>
              <w:spacing w:before="40" w:after="40"/>
            </w:pPr>
            <w:r w:rsidRPr="001D5327">
              <w:rPr>
                <w:rFonts w:eastAsia="Calibri"/>
              </w:rPr>
              <w:t>1990</w:t>
            </w:r>
          </w:p>
        </w:tc>
        <w:tc>
          <w:tcPr>
            <w:tcW w:w="1413" w:type="dxa"/>
            <w:shd w:val="clear" w:color="auto" w:fill="FFFFFF"/>
            <w:tcMar>
              <w:top w:w="0" w:type="dxa"/>
              <w:left w:w="85" w:type="dxa"/>
              <w:bottom w:w="0" w:type="dxa"/>
              <w:right w:w="85" w:type="dxa"/>
            </w:tcMar>
            <w:vAlign w:val="center"/>
          </w:tcPr>
          <w:p w14:paraId="60F34E09" w14:textId="77777777" w:rsidR="00E0181F" w:rsidRPr="001D5327" w:rsidRDefault="00E0181F" w:rsidP="00D11AC9">
            <w:pPr>
              <w:pStyle w:val="TableText"/>
              <w:spacing w:before="40" w:after="40"/>
              <w:jc w:val="right"/>
            </w:pPr>
            <w:r w:rsidRPr="001D5327">
              <w:rPr>
                <w:rFonts w:eastAsia="Calibri"/>
              </w:rPr>
              <w:t>780,805</w:t>
            </w:r>
          </w:p>
        </w:tc>
        <w:tc>
          <w:tcPr>
            <w:tcW w:w="1559" w:type="dxa"/>
            <w:shd w:val="clear" w:color="auto" w:fill="FFFFFF"/>
            <w:tcMar>
              <w:top w:w="0" w:type="dxa"/>
              <w:left w:w="85" w:type="dxa"/>
              <w:bottom w:w="0" w:type="dxa"/>
              <w:right w:w="85" w:type="dxa"/>
            </w:tcMar>
            <w:vAlign w:val="center"/>
          </w:tcPr>
          <w:p w14:paraId="7105ABB9" w14:textId="77777777" w:rsidR="00E0181F" w:rsidRPr="001D5327" w:rsidRDefault="00E0181F" w:rsidP="00D11AC9">
            <w:pPr>
              <w:pStyle w:val="TableText"/>
              <w:spacing w:before="40" w:after="40"/>
              <w:jc w:val="right"/>
            </w:pPr>
            <w:r w:rsidRPr="001D5327">
              <w:rPr>
                <w:rFonts w:eastAsia="Calibri"/>
              </w:rPr>
              <w:t>780,896</w:t>
            </w:r>
          </w:p>
        </w:tc>
        <w:tc>
          <w:tcPr>
            <w:tcW w:w="2268" w:type="dxa"/>
            <w:shd w:val="clear" w:color="auto" w:fill="FFFFFF"/>
            <w:tcMar>
              <w:top w:w="0" w:type="dxa"/>
              <w:left w:w="85" w:type="dxa"/>
              <w:bottom w:w="0" w:type="dxa"/>
              <w:right w:w="85" w:type="dxa"/>
            </w:tcMar>
            <w:vAlign w:val="center"/>
          </w:tcPr>
          <w:p w14:paraId="0199CD19" w14:textId="77777777" w:rsidR="00E0181F" w:rsidRPr="001D5327" w:rsidRDefault="00E0181F" w:rsidP="00D11AC9">
            <w:pPr>
              <w:pStyle w:val="TableText"/>
              <w:spacing w:before="40" w:after="40"/>
              <w:jc w:val="right"/>
            </w:pPr>
            <w:r w:rsidRPr="001D5327">
              <w:rPr>
                <w:rFonts w:eastAsia="Calibri"/>
              </w:rPr>
              <w:t>91</w:t>
            </w:r>
          </w:p>
        </w:tc>
        <w:tc>
          <w:tcPr>
            <w:tcW w:w="996" w:type="dxa"/>
            <w:shd w:val="clear" w:color="auto" w:fill="FFFFFF"/>
            <w:tcMar>
              <w:top w:w="0" w:type="dxa"/>
              <w:left w:w="85" w:type="dxa"/>
              <w:bottom w:w="0" w:type="dxa"/>
              <w:right w:w="85" w:type="dxa"/>
            </w:tcMar>
            <w:vAlign w:val="center"/>
          </w:tcPr>
          <w:p w14:paraId="045DF959" w14:textId="77777777" w:rsidR="00E0181F" w:rsidRPr="001D5327" w:rsidRDefault="00E0181F" w:rsidP="00D11AC9">
            <w:pPr>
              <w:pStyle w:val="TableText"/>
              <w:spacing w:before="40" w:after="40"/>
              <w:jc w:val="right"/>
            </w:pPr>
            <w:r w:rsidRPr="001D5327">
              <w:rPr>
                <w:rFonts w:eastAsia="Calibri"/>
              </w:rPr>
              <w:t>0.0</w:t>
            </w:r>
          </w:p>
        </w:tc>
      </w:tr>
      <w:tr w:rsidR="00E0181F" w:rsidRPr="001D5327" w14:paraId="15033456" w14:textId="77777777" w:rsidTr="00D11AC9">
        <w:trPr>
          <w:trHeight w:val="283"/>
        </w:trPr>
        <w:tc>
          <w:tcPr>
            <w:tcW w:w="2268" w:type="dxa"/>
            <w:shd w:val="clear" w:color="auto" w:fill="FFFFFF"/>
            <w:tcMar>
              <w:top w:w="0" w:type="dxa"/>
              <w:left w:w="85" w:type="dxa"/>
              <w:bottom w:w="0" w:type="dxa"/>
              <w:right w:w="85" w:type="dxa"/>
            </w:tcMar>
            <w:vAlign w:val="center"/>
          </w:tcPr>
          <w:p w14:paraId="67C83A87" w14:textId="77777777" w:rsidR="00E0181F" w:rsidRPr="001D5327" w:rsidRDefault="00E0181F" w:rsidP="00D11AC9">
            <w:pPr>
              <w:pStyle w:val="TableText"/>
              <w:spacing w:before="40" w:after="40"/>
            </w:pPr>
            <w:r w:rsidRPr="001D5327">
              <w:rPr>
                <w:rFonts w:eastAsia="Calibri"/>
              </w:rPr>
              <w:t>2022</w:t>
            </w:r>
          </w:p>
        </w:tc>
        <w:tc>
          <w:tcPr>
            <w:tcW w:w="1413" w:type="dxa"/>
            <w:shd w:val="clear" w:color="auto" w:fill="FFFFFF"/>
            <w:tcMar>
              <w:top w:w="0" w:type="dxa"/>
              <w:left w:w="85" w:type="dxa"/>
              <w:bottom w:w="0" w:type="dxa"/>
              <w:right w:w="85" w:type="dxa"/>
            </w:tcMar>
            <w:vAlign w:val="center"/>
          </w:tcPr>
          <w:p w14:paraId="077A40D9" w14:textId="77777777" w:rsidR="00E0181F" w:rsidRPr="001D5327" w:rsidRDefault="00E0181F" w:rsidP="00D11AC9">
            <w:pPr>
              <w:pStyle w:val="TableText"/>
              <w:spacing w:before="40" w:after="40"/>
              <w:jc w:val="right"/>
            </w:pPr>
            <w:r w:rsidRPr="001D5327">
              <w:rPr>
                <w:rFonts w:eastAsia="Calibri"/>
              </w:rPr>
              <w:t>780,998</w:t>
            </w:r>
          </w:p>
        </w:tc>
        <w:tc>
          <w:tcPr>
            <w:tcW w:w="1559" w:type="dxa"/>
            <w:shd w:val="clear" w:color="auto" w:fill="FFFFFF"/>
            <w:tcMar>
              <w:top w:w="0" w:type="dxa"/>
              <w:left w:w="85" w:type="dxa"/>
              <w:bottom w:w="0" w:type="dxa"/>
              <w:right w:w="85" w:type="dxa"/>
            </w:tcMar>
            <w:vAlign w:val="center"/>
          </w:tcPr>
          <w:p w14:paraId="781680EC" w14:textId="77777777" w:rsidR="00E0181F" w:rsidRPr="001D5327" w:rsidRDefault="00E0181F" w:rsidP="00D11AC9">
            <w:pPr>
              <w:pStyle w:val="TableText"/>
              <w:spacing w:before="40" w:after="40"/>
              <w:jc w:val="right"/>
            </w:pPr>
            <w:r w:rsidRPr="001D5327">
              <w:rPr>
                <w:rFonts w:eastAsia="Calibri"/>
              </w:rPr>
              <w:t>781,083</w:t>
            </w:r>
          </w:p>
        </w:tc>
        <w:tc>
          <w:tcPr>
            <w:tcW w:w="2268" w:type="dxa"/>
            <w:shd w:val="clear" w:color="auto" w:fill="FFFFFF"/>
            <w:tcMar>
              <w:top w:w="0" w:type="dxa"/>
              <w:left w:w="85" w:type="dxa"/>
              <w:bottom w:w="0" w:type="dxa"/>
              <w:right w:w="85" w:type="dxa"/>
            </w:tcMar>
            <w:vAlign w:val="center"/>
          </w:tcPr>
          <w:p w14:paraId="125CD180" w14:textId="77777777" w:rsidR="00E0181F" w:rsidRPr="001D5327" w:rsidRDefault="00E0181F" w:rsidP="00D11AC9">
            <w:pPr>
              <w:pStyle w:val="TableText"/>
              <w:spacing w:before="40" w:after="40"/>
              <w:jc w:val="right"/>
            </w:pPr>
            <w:r w:rsidRPr="001D5327">
              <w:rPr>
                <w:rFonts w:eastAsia="Calibri"/>
              </w:rPr>
              <w:t>84</w:t>
            </w:r>
          </w:p>
        </w:tc>
        <w:tc>
          <w:tcPr>
            <w:tcW w:w="996" w:type="dxa"/>
            <w:shd w:val="clear" w:color="auto" w:fill="FFFFFF"/>
            <w:tcMar>
              <w:top w:w="0" w:type="dxa"/>
              <w:left w:w="85" w:type="dxa"/>
              <w:bottom w:w="0" w:type="dxa"/>
              <w:right w:w="85" w:type="dxa"/>
            </w:tcMar>
            <w:vAlign w:val="center"/>
          </w:tcPr>
          <w:p w14:paraId="0DDDE768" w14:textId="77777777" w:rsidR="00E0181F" w:rsidRPr="001D5327" w:rsidRDefault="00E0181F" w:rsidP="00D11AC9">
            <w:pPr>
              <w:pStyle w:val="TableText"/>
              <w:spacing w:before="40" w:after="40"/>
              <w:jc w:val="right"/>
            </w:pPr>
            <w:r w:rsidRPr="001D5327">
              <w:rPr>
                <w:rFonts w:eastAsia="Calibri"/>
              </w:rPr>
              <w:t>0.0</w:t>
            </w:r>
          </w:p>
        </w:tc>
      </w:tr>
    </w:tbl>
    <w:p w14:paraId="36FB7985" w14:textId="77777777" w:rsidR="00E0181F" w:rsidRPr="001D5327" w:rsidRDefault="00E0181F" w:rsidP="00E0181F">
      <w:pPr>
        <w:pStyle w:val="Heading3"/>
        <w:spacing w:before="400"/>
      </w:pPr>
      <w:r w:rsidRPr="001D5327">
        <w:t>6.7.6</w:t>
      </w:r>
      <w:r w:rsidRPr="001D5327">
        <w:tab/>
        <w:t>Category-specific planned improvements</w:t>
      </w:r>
    </w:p>
    <w:p w14:paraId="6871B895" w14:textId="77777777" w:rsidR="00E0181F" w:rsidRPr="001D5327" w:rsidRDefault="00E0181F" w:rsidP="00E0181F">
      <w:pPr>
        <w:pStyle w:val="BodyText"/>
      </w:pPr>
      <w:r w:rsidRPr="001D5327">
        <w:t xml:space="preserve">The following improvements are planned for the </w:t>
      </w:r>
      <w:r w:rsidRPr="001D5327">
        <w:rPr>
          <w:i/>
        </w:rPr>
        <w:t xml:space="preserve">Wetlands </w:t>
      </w:r>
      <w:r w:rsidRPr="001D5327">
        <w:t>category.</w:t>
      </w:r>
    </w:p>
    <w:p w14:paraId="6DC32117" w14:textId="77777777" w:rsidR="00E0181F" w:rsidRPr="001D5327" w:rsidRDefault="00E0181F" w:rsidP="00407428">
      <w:pPr>
        <w:pStyle w:val="Bullet"/>
        <w:numPr>
          <w:ilvl w:val="0"/>
          <w:numId w:val="23"/>
        </w:numPr>
        <w:spacing w:after="100"/>
        <w:ind w:left="397" w:hanging="397"/>
      </w:pPr>
      <w:r w:rsidRPr="001D5327">
        <w:t xml:space="preserve">Research is under way to identify activity data, nutrient status, drainage depth and suitable emission factors for drained organic soils to enable the application of the 2013 </w:t>
      </w:r>
      <w:r w:rsidRPr="001D5327">
        <w:rPr>
          <w:i/>
          <w:iCs/>
        </w:rPr>
        <w:t>Wetlands</w:t>
      </w:r>
      <w:r w:rsidRPr="001D5327">
        <w:t xml:space="preserve"> supplement in future submissions. </w:t>
      </w:r>
    </w:p>
    <w:p w14:paraId="71D95DF2" w14:textId="77777777" w:rsidR="00E0181F" w:rsidRPr="001D5327" w:rsidRDefault="00E0181F" w:rsidP="00E0181F">
      <w:pPr>
        <w:pStyle w:val="Heading2"/>
      </w:pPr>
      <w:bookmarkStart w:id="2535" w:name="_Toc310423456"/>
      <w:bookmarkStart w:id="2536" w:name="_Toc342470722"/>
      <w:bookmarkStart w:id="2537" w:name="_Toc352504874"/>
      <w:bookmarkStart w:id="2538" w:name="_Toc391024704"/>
      <w:bookmarkStart w:id="2539" w:name="_Toc414531321"/>
      <w:bookmarkStart w:id="2540" w:name="_Toc474335463"/>
      <w:bookmarkStart w:id="2541" w:name="_Toc481751403"/>
      <w:bookmarkStart w:id="2542" w:name="_Toc522013955"/>
      <w:bookmarkStart w:id="2543" w:name="_Toc5269380"/>
      <w:bookmarkStart w:id="2544" w:name="_Toc36224420"/>
      <w:bookmarkStart w:id="2545" w:name="_Toc131591254"/>
      <w:bookmarkStart w:id="2546" w:name="_Toc158980301"/>
      <w:bookmarkStart w:id="2547" w:name="_Toc164154209"/>
      <w:bookmarkStart w:id="2548" w:name="_Toc194312034"/>
      <w:r w:rsidRPr="001D5327">
        <w:t>6.8</w:t>
      </w:r>
      <w:r w:rsidRPr="001D5327">
        <w:tab/>
        <w:t>Settlements (4E)</w:t>
      </w:r>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p>
    <w:p w14:paraId="3AF61103" w14:textId="77777777" w:rsidR="00E0181F" w:rsidRPr="001D5327" w:rsidRDefault="00E0181F" w:rsidP="00355617">
      <w:pPr>
        <w:pStyle w:val="Heading3"/>
        <w:spacing w:before="180"/>
      </w:pPr>
      <w:r w:rsidRPr="001D5327">
        <w:t>6.8.1</w:t>
      </w:r>
      <w:r w:rsidRPr="001D5327">
        <w:tab/>
        <w:t>Description</w:t>
      </w:r>
    </w:p>
    <w:p w14:paraId="0CF782EC" w14:textId="77777777" w:rsidR="00E0181F" w:rsidRPr="001D5327" w:rsidRDefault="00E0181F" w:rsidP="00355617">
      <w:pPr>
        <w:pStyle w:val="BodyText"/>
        <w:spacing w:before="80"/>
      </w:pPr>
      <w:r w:rsidRPr="001D5327">
        <w:t xml:space="preserve">In 2023, the net emissions from </w:t>
      </w:r>
      <w:r w:rsidRPr="001D5327">
        <w:rPr>
          <w:i/>
          <w:iCs/>
        </w:rPr>
        <w:t>Settlements</w:t>
      </w:r>
      <w:r w:rsidRPr="001D5327">
        <w:t xml:space="preserve"> were 119.3 kt CO</w:t>
      </w:r>
      <w:r w:rsidRPr="001D5327">
        <w:rPr>
          <w:vertAlign w:val="subscript"/>
        </w:rPr>
        <w:t>2</w:t>
      </w:r>
      <w:r w:rsidRPr="001D5327">
        <w:t xml:space="preserve">-e, an increase of 51.9 per cent from net emissions in 1990 (see table 6.8.1). This change in emissions is mainly from the category of </w:t>
      </w:r>
      <w:r w:rsidRPr="001D5327">
        <w:rPr>
          <w:i/>
          <w:iCs/>
        </w:rPr>
        <w:t xml:space="preserve">Land converted to settlements </w:t>
      </w:r>
      <w:r w:rsidRPr="001D5327">
        <w:t xml:space="preserve">and results from the drainage of organic soils. </w:t>
      </w:r>
      <w:r w:rsidRPr="001D5327">
        <w:rPr>
          <w:i/>
          <w:iCs/>
        </w:rPr>
        <w:t>Settlements</w:t>
      </w:r>
      <w:r w:rsidRPr="001D5327">
        <w:t xml:space="preserve"> was </w:t>
      </w:r>
      <w:r w:rsidRPr="001D5327" w:rsidDel="00094862">
        <w:t xml:space="preserve">not </w:t>
      </w:r>
      <w:r w:rsidRPr="001D5327">
        <w:t>a key category in 2023.</w:t>
      </w:r>
    </w:p>
    <w:p w14:paraId="0E66619E" w14:textId="7E27BFEC" w:rsidR="00E0181F" w:rsidRPr="001D5327" w:rsidRDefault="00E0181F" w:rsidP="00E0181F">
      <w:pPr>
        <w:pStyle w:val="Table"/>
      </w:pPr>
      <w:bookmarkStart w:id="2549" w:name="_Toc342470788"/>
      <w:bookmarkStart w:id="2550" w:name="_Toc352505028"/>
      <w:bookmarkStart w:id="2551" w:name="_Toc378853317"/>
      <w:bookmarkStart w:id="2552" w:name="_Toc391024115"/>
      <w:bookmarkStart w:id="2553" w:name="_Toc410028858"/>
      <w:bookmarkStart w:id="2554" w:name="_Toc414531486"/>
      <w:bookmarkStart w:id="2555" w:name="_Toc443645399"/>
      <w:bookmarkStart w:id="2556" w:name="_Toc474914618"/>
      <w:bookmarkStart w:id="2557" w:name="_Toc481751582"/>
      <w:bookmarkStart w:id="2558" w:name="_Toc522010639"/>
      <w:bookmarkStart w:id="2559" w:name="_Toc5269544"/>
      <w:bookmarkStart w:id="2560" w:name="_Toc33529418"/>
      <w:bookmarkStart w:id="2561" w:name="_Toc36224624"/>
      <w:bookmarkStart w:id="2562" w:name="_Toc131591419"/>
      <w:bookmarkStart w:id="2563" w:name="_Toc158979977"/>
      <w:bookmarkStart w:id="2564" w:name="_Toc164153910"/>
      <w:bookmarkStart w:id="2565" w:name="_Toc190873144"/>
      <w:bookmarkStart w:id="2566" w:name="_Toc194241783"/>
      <w:r w:rsidRPr="001D5327">
        <w:lastRenderedPageBreak/>
        <w:t>Table 6</w:t>
      </w:r>
      <w:r w:rsidRPr="001D5327" w:rsidDel="006F084B">
        <w:t>.</w:t>
      </w:r>
      <w:r w:rsidRPr="001D5327">
        <w:t>8.1</w:t>
      </w:r>
      <w:r w:rsidRPr="001D5327">
        <w:tab/>
        <w:t xml:space="preserve">New Zealand’s land-use change for the </w:t>
      </w:r>
      <w:r w:rsidRPr="001D5327">
        <w:rPr>
          <w:i/>
        </w:rPr>
        <w:t>Settlements</w:t>
      </w:r>
      <w:r w:rsidRPr="001D5327">
        <w:t xml:space="preserve"> category, and associated CO</w:t>
      </w:r>
      <w:r w:rsidRPr="001D5327">
        <w:rPr>
          <w:vertAlign w:val="subscript"/>
        </w:rPr>
        <w:t>2</w:t>
      </w:r>
      <w:r w:rsidR="00AA4B58" w:rsidRPr="001D5327">
        <w:noBreakHyphen/>
      </w:r>
      <w:r w:rsidRPr="001D5327">
        <w:t>e emissions</w:t>
      </w:r>
      <w:bookmarkEnd w:id="2549"/>
      <w:bookmarkEnd w:id="2550"/>
      <w:bookmarkEnd w:id="2551"/>
      <w:r w:rsidRPr="001D5327">
        <w:t>, from 1990 to</w:t>
      </w:r>
      <w:bookmarkEnd w:id="2552"/>
      <w:r w:rsidRPr="001D5327">
        <w:t> </w:t>
      </w:r>
      <w:bookmarkEnd w:id="2553"/>
      <w:bookmarkEnd w:id="2554"/>
      <w:bookmarkEnd w:id="2555"/>
      <w:bookmarkEnd w:id="2556"/>
      <w:bookmarkEnd w:id="2557"/>
      <w:bookmarkEnd w:id="2558"/>
      <w:bookmarkEnd w:id="2559"/>
      <w:bookmarkEnd w:id="2560"/>
      <w:bookmarkEnd w:id="2561"/>
      <w:r w:rsidRPr="001D5327">
        <w:t>2023</w:t>
      </w:r>
      <w:bookmarkEnd w:id="2562"/>
      <w:bookmarkEnd w:id="2563"/>
      <w:bookmarkEnd w:id="2564"/>
      <w:bookmarkEnd w:id="2565"/>
      <w:bookmarkEnd w:id="2566"/>
    </w:p>
    <w:tbl>
      <w:tblPr>
        <w:tblW w:w="0" w:type="auto"/>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551"/>
        <w:gridCol w:w="1020"/>
        <w:gridCol w:w="1020"/>
        <w:gridCol w:w="1134"/>
        <w:gridCol w:w="850"/>
        <w:gridCol w:w="850"/>
        <w:gridCol w:w="1134"/>
      </w:tblGrid>
      <w:tr w:rsidR="00E0181F" w:rsidRPr="001D5327" w14:paraId="59B5FB1D" w14:textId="77777777" w:rsidTr="00D11AC9">
        <w:trPr>
          <w:tblHeader/>
        </w:trPr>
        <w:tc>
          <w:tcPr>
            <w:tcW w:w="2551" w:type="dxa"/>
            <w:shd w:val="clear" w:color="auto" w:fill="1B556B"/>
            <w:tcMar>
              <w:top w:w="0" w:type="dxa"/>
              <w:left w:w="85" w:type="dxa"/>
              <w:bottom w:w="0" w:type="dxa"/>
              <w:right w:w="85" w:type="dxa"/>
            </w:tcMar>
            <w:vAlign w:val="center"/>
          </w:tcPr>
          <w:p w14:paraId="08BBA1A0" w14:textId="77777777" w:rsidR="00E0181F" w:rsidRPr="001D5327" w:rsidRDefault="00E0181F" w:rsidP="00BD7040">
            <w:pPr>
              <w:pStyle w:val="TableTextBold"/>
              <w:spacing w:before="40" w:after="0"/>
              <w:rPr>
                <w:noProof w:val="0"/>
                <w:color w:val="FFFFFF" w:themeColor="background1"/>
              </w:rPr>
            </w:pPr>
          </w:p>
        </w:tc>
        <w:tc>
          <w:tcPr>
            <w:tcW w:w="3174" w:type="dxa"/>
            <w:gridSpan w:val="3"/>
            <w:shd w:val="clear" w:color="auto" w:fill="1B556B"/>
            <w:tcMar>
              <w:top w:w="0" w:type="dxa"/>
              <w:left w:w="85" w:type="dxa"/>
              <w:bottom w:w="0" w:type="dxa"/>
              <w:right w:w="85" w:type="dxa"/>
            </w:tcMar>
            <w:vAlign w:val="center"/>
          </w:tcPr>
          <w:p w14:paraId="21342595" w14:textId="77777777" w:rsidR="00E0181F" w:rsidRPr="001D5327" w:rsidRDefault="00E0181F" w:rsidP="00BD7040">
            <w:pPr>
              <w:pStyle w:val="TableTextBold"/>
              <w:spacing w:before="40" w:after="0"/>
              <w:jc w:val="center"/>
              <w:rPr>
                <w:noProof w:val="0"/>
                <w:color w:val="FFFFFF" w:themeColor="background1"/>
              </w:rPr>
            </w:pPr>
            <w:r w:rsidRPr="001D5327">
              <w:rPr>
                <w:rFonts w:eastAsia="Calibri"/>
                <w:noProof w:val="0"/>
                <w:color w:val="FFFFFF" w:themeColor="background1"/>
              </w:rPr>
              <w:t>Net area (ha)</w:t>
            </w:r>
          </w:p>
        </w:tc>
        <w:tc>
          <w:tcPr>
            <w:tcW w:w="2834" w:type="dxa"/>
            <w:gridSpan w:val="3"/>
            <w:shd w:val="clear" w:color="auto" w:fill="1B556B"/>
            <w:tcMar>
              <w:top w:w="0" w:type="dxa"/>
              <w:left w:w="85" w:type="dxa"/>
              <w:bottom w:w="0" w:type="dxa"/>
              <w:right w:w="85" w:type="dxa"/>
            </w:tcMar>
            <w:vAlign w:val="center"/>
          </w:tcPr>
          <w:p w14:paraId="68929048" w14:textId="77777777" w:rsidR="00E0181F" w:rsidRPr="001D5327" w:rsidRDefault="00E0181F" w:rsidP="00BD7040">
            <w:pPr>
              <w:pStyle w:val="TableTextBold"/>
              <w:spacing w:before="40" w:after="0"/>
              <w:jc w:val="center"/>
              <w:rPr>
                <w:noProof w:val="0"/>
                <w:color w:val="FFFFFF" w:themeColor="background1"/>
              </w:rPr>
            </w:pPr>
            <w:r w:rsidRPr="001D5327">
              <w:rPr>
                <w:rFonts w:eastAsia="Calibri"/>
                <w:noProof w:val="0"/>
                <w:color w:val="FFFFFF" w:themeColor="background1"/>
              </w:rPr>
              <w:t>Net emissions (kt CO₂-e)</w:t>
            </w:r>
          </w:p>
        </w:tc>
      </w:tr>
      <w:tr w:rsidR="00E0181F" w:rsidRPr="001D5327" w14:paraId="0CC1F05B" w14:textId="77777777" w:rsidTr="00D11AC9">
        <w:trPr>
          <w:tblHeader/>
        </w:trPr>
        <w:tc>
          <w:tcPr>
            <w:tcW w:w="2551" w:type="dxa"/>
            <w:shd w:val="clear" w:color="auto" w:fill="1B556B"/>
            <w:tcMar>
              <w:top w:w="0" w:type="dxa"/>
              <w:left w:w="85" w:type="dxa"/>
              <w:bottom w:w="0" w:type="dxa"/>
              <w:right w:w="85" w:type="dxa"/>
            </w:tcMar>
            <w:vAlign w:val="bottom"/>
          </w:tcPr>
          <w:p w14:paraId="356F6306" w14:textId="77777777" w:rsidR="00E0181F" w:rsidRPr="001D5327" w:rsidRDefault="00E0181F" w:rsidP="00C52237">
            <w:pPr>
              <w:pStyle w:val="TableTextBold"/>
              <w:spacing w:before="0" w:after="30"/>
              <w:rPr>
                <w:noProof w:val="0"/>
                <w:color w:val="FFFFFF" w:themeColor="background1"/>
              </w:rPr>
            </w:pPr>
            <w:r w:rsidRPr="001D5327">
              <w:rPr>
                <w:rFonts w:eastAsia="Calibri"/>
                <w:noProof w:val="0"/>
                <w:color w:val="FFFFFF" w:themeColor="background1"/>
              </w:rPr>
              <w:t>Land use category</w:t>
            </w:r>
          </w:p>
        </w:tc>
        <w:tc>
          <w:tcPr>
            <w:tcW w:w="1020" w:type="dxa"/>
            <w:shd w:val="clear" w:color="auto" w:fill="1B556B"/>
            <w:tcMar>
              <w:top w:w="0" w:type="dxa"/>
              <w:left w:w="85" w:type="dxa"/>
              <w:bottom w:w="0" w:type="dxa"/>
              <w:right w:w="85" w:type="dxa"/>
            </w:tcMar>
            <w:vAlign w:val="bottom"/>
          </w:tcPr>
          <w:p w14:paraId="0D36AEB5" w14:textId="77777777" w:rsidR="00E0181F" w:rsidRPr="001D5327" w:rsidRDefault="00E0181F" w:rsidP="00C52237">
            <w:pPr>
              <w:pStyle w:val="TableTextBold"/>
              <w:spacing w:before="0" w:after="30"/>
              <w:jc w:val="right"/>
              <w:rPr>
                <w:noProof w:val="0"/>
                <w:color w:val="FFFFFF" w:themeColor="background1"/>
              </w:rPr>
            </w:pPr>
            <w:r w:rsidRPr="001D5327">
              <w:rPr>
                <w:rFonts w:eastAsia="Calibri"/>
                <w:noProof w:val="0"/>
                <w:color w:val="FFFFFF" w:themeColor="background1"/>
              </w:rPr>
              <w:t>1990</w:t>
            </w:r>
          </w:p>
        </w:tc>
        <w:tc>
          <w:tcPr>
            <w:tcW w:w="1020" w:type="dxa"/>
            <w:shd w:val="clear" w:color="auto" w:fill="1B556B"/>
            <w:tcMar>
              <w:top w:w="0" w:type="dxa"/>
              <w:left w:w="85" w:type="dxa"/>
              <w:bottom w:w="0" w:type="dxa"/>
              <w:right w:w="85" w:type="dxa"/>
            </w:tcMar>
            <w:vAlign w:val="bottom"/>
          </w:tcPr>
          <w:p w14:paraId="05D8FAD9" w14:textId="77777777" w:rsidR="00E0181F" w:rsidRPr="001D5327" w:rsidRDefault="00E0181F" w:rsidP="00C52237">
            <w:pPr>
              <w:pStyle w:val="TableTextBold"/>
              <w:spacing w:before="0" w:after="30"/>
              <w:jc w:val="right"/>
              <w:rPr>
                <w:noProof w:val="0"/>
                <w:color w:val="FFFFFF" w:themeColor="background1"/>
              </w:rPr>
            </w:pPr>
            <w:r w:rsidRPr="001D5327">
              <w:rPr>
                <w:rFonts w:eastAsia="Calibri"/>
                <w:noProof w:val="0"/>
                <w:color w:val="FFFFFF" w:themeColor="background1"/>
              </w:rPr>
              <w:t>2023</w:t>
            </w:r>
          </w:p>
        </w:tc>
        <w:tc>
          <w:tcPr>
            <w:tcW w:w="1134" w:type="dxa"/>
            <w:shd w:val="clear" w:color="auto" w:fill="1B556B"/>
            <w:tcMar>
              <w:top w:w="0" w:type="dxa"/>
              <w:left w:w="85" w:type="dxa"/>
              <w:bottom w:w="0" w:type="dxa"/>
              <w:right w:w="85" w:type="dxa"/>
            </w:tcMar>
            <w:vAlign w:val="bottom"/>
          </w:tcPr>
          <w:p w14:paraId="701C06EF" w14:textId="77777777" w:rsidR="00E0181F" w:rsidRPr="001D5327" w:rsidRDefault="00E0181F" w:rsidP="00C52237">
            <w:pPr>
              <w:pStyle w:val="TableTextBold"/>
              <w:spacing w:before="0" w:after="30"/>
              <w:jc w:val="right"/>
              <w:rPr>
                <w:noProof w:val="0"/>
                <w:color w:val="FFFFFF" w:themeColor="background1"/>
              </w:rPr>
            </w:pPr>
            <w:r w:rsidRPr="001D5327">
              <w:rPr>
                <w:rFonts w:eastAsia="Calibri"/>
                <w:noProof w:val="0"/>
                <w:color w:val="FFFFFF" w:themeColor="background1"/>
              </w:rPr>
              <w:t>Change from 1990 (%)</w:t>
            </w:r>
          </w:p>
        </w:tc>
        <w:tc>
          <w:tcPr>
            <w:tcW w:w="850" w:type="dxa"/>
            <w:shd w:val="clear" w:color="auto" w:fill="1B556B"/>
            <w:tcMar>
              <w:top w:w="0" w:type="dxa"/>
              <w:left w:w="85" w:type="dxa"/>
              <w:bottom w:w="0" w:type="dxa"/>
              <w:right w:w="85" w:type="dxa"/>
            </w:tcMar>
            <w:vAlign w:val="bottom"/>
          </w:tcPr>
          <w:p w14:paraId="7E42F030" w14:textId="77777777" w:rsidR="00E0181F" w:rsidRPr="001D5327" w:rsidRDefault="00E0181F" w:rsidP="00C52237">
            <w:pPr>
              <w:pStyle w:val="TableTextBold"/>
              <w:spacing w:before="0" w:after="30"/>
              <w:jc w:val="right"/>
              <w:rPr>
                <w:noProof w:val="0"/>
                <w:color w:val="FFFFFF" w:themeColor="background1"/>
              </w:rPr>
            </w:pPr>
            <w:r w:rsidRPr="001D5327">
              <w:rPr>
                <w:rFonts w:eastAsia="Calibri"/>
                <w:noProof w:val="0"/>
                <w:color w:val="FFFFFF" w:themeColor="background1"/>
              </w:rPr>
              <w:t>1990</w:t>
            </w:r>
          </w:p>
        </w:tc>
        <w:tc>
          <w:tcPr>
            <w:tcW w:w="850" w:type="dxa"/>
            <w:shd w:val="clear" w:color="auto" w:fill="1B556B"/>
            <w:tcMar>
              <w:top w:w="0" w:type="dxa"/>
              <w:left w:w="85" w:type="dxa"/>
              <w:bottom w:w="0" w:type="dxa"/>
              <w:right w:w="85" w:type="dxa"/>
            </w:tcMar>
            <w:vAlign w:val="bottom"/>
          </w:tcPr>
          <w:p w14:paraId="69055AE5" w14:textId="77777777" w:rsidR="00E0181F" w:rsidRPr="001D5327" w:rsidRDefault="00E0181F" w:rsidP="00C52237">
            <w:pPr>
              <w:pStyle w:val="TableTextBold"/>
              <w:spacing w:before="0" w:after="30"/>
              <w:jc w:val="right"/>
              <w:rPr>
                <w:noProof w:val="0"/>
                <w:color w:val="FFFFFF" w:themeColor="background1"/>
              </w:rPr>
            </w:pPr>
            <w:r w:rsidRPr="001D5327">
              <w:rPr>
                <w:rFonts w:eastAsia="Calibri"/>
                <w:noProof w:val="0"/>
                <w:color w:val="FFFFFF" w:themeColor="background1"/>
              </w:rPr>
              <w:t>2023</w:t>
            </w:r>
          </w:p>
        </w:tc>
        <w:tc>
          <w:tcPr>
            <w:tcW w:w="1134" w:type="dxa"/>
            <w:shd w:val="clear" w:color="auto" w:fill="1B556B"/>
            <w:tcMar>
              <w:top w:w="0" w:type="dxa"/>
              <w:left w:w="85" w:type="dxa"/>
              <w:bottom w:w="0" w:type="dxa"/>
              <w:right w:w="85" w:type="dxa"/>
            </w:tcMar>
            <w:vAlign w:val="bottom"/>
          </w:tcPr>
          <w:p w14:paraId="0D7CEDF8" w14:textId="77777777" w:rsidR="00E0181F" w:rsidRPr="001D5327" w:rsidRDefault="00E0181F" w:rsidP="00C52237">
            <w:pPr>
              <w:pStyle w:val="TableTextBold"/>
              <w:spacing w:before="0" w:after="30"/>
              <w:jc w:val="right"/>
              <w:rPr>
                <w:noProof w:val="0"/>
                <w:color w:val="FFFFFF" w:themeColor="background1"/>
              </w:rPr>
            </w:pPr>
            <w:r w:rsidRPr="001D5327">
              <w:rPr>
                <w:rFonts w:eastAsia="Calibri"/>
                <w:noProof w:val="0"/>
                <w:color w:val="FFFFFF" w:themeColor="background1"/>
              </w:rPr>
              <w:t>Change from 1990 (%)</w:t>
            </w:r>
          </w:p>
        </w:tc>
      </w:tr>
      <w:tr w:rsidR="00E0181F" w:rsidRPr="001D5327" w14:paraId="1CB58507" w14:textId="77777777" w:rsidTr="00D11AC9">
        <w:tc>
          <w:tcPr>
            <w:tcW w:w="2551" w:type="dxa"/>
            <w:shd w:val="clear" w:color="auto" w:fill="FFFFFF"/>
            <w:tcMar>
              <w:top w:w="0" w:type="dxa"/>
              <w:left w:w="85" w:type="dxa"/>
              <w:bottom w:w="0" w:type="dxa"/>
              <w:right w:w="85" w:type="dxa"/>
            </w:tcMar>
            <w:vAlign w:val="center"/>
          </w:tcPr>
          <w:p w14:paraId="072E7B73" w14:textId="77777777" w:rsidR="00E0181F" w:rsidRPr="001D5327" w:rsidRDefault="00E0181F" w:rsidP="00C52237">
            <w:pPr>
              <w:pStyle w:val="TableText"/>
              <w:spacing w:before="40" w:after="30"/>
            </w:pPr>
            <w:r w:rsidRPr="001D5327">
              <w:rPr>
                <w:rFonts w:eastAsia="Calibri"/>
              </w:rPr>
              <w:t>Settlements remaining settlements</w:t>
            </w:r>
          </w:p>
        </w:tc>
        <w:tc>
          <w:tcPr>
            <w:tcW w:w="1020" w:type="dxa"/>
            <w:shd w:val="clear" w:color="auto" w:fill="FFFFFF"/>
            <w:tcMar>
              <w:top w:w="0" w:type="dxa"/>
              <w:left w:w="85" w:type="dxa"/>
              <w:bottom w:w="0" w:type="dxa"/>
              <w:right w:w="85" w:type="dxa"/>
            </w:tcMar>
            <w:vAlign w:val="center"/>
          </w:tcPr>
          <w:p w14:paraId="1D429A96" w14:textId="77777777" w:rsidR="00E0181F" w:rsidRPr="001D5327" w:rsidRDefault="00E0181F" w:rsidP="00C52237">
            <w:pPr>
              <w:pStyle w:val="TableText"/>
              <w:spacing w:before="40" w:after="30"/>
              <w:jc w:val="right"/>
            </w:pPr>
            <w:r w:rsidRPr="001D5327">
              <w:rPr>
                <w:rFonts w:eastAsia="Calibri"/>
              </w:rPr>
              <w:t>191,414</w:t>
            </w:r>
          </w:p>
        </w:tc>
        <w:tc>
          <w:tcPr>
            <w:tcW w:w="1020" w:type="dxa"/>
            <w:shd w:val="clear" w:color="auto" w:fill="FFFFFF"/>
            <w:tcMar>
              <w:top w:w="0" w:type="dxa"/>
              <w:left w:w="85" w:type="dxa"/>
              <w:bottom w:w="0" w:type="dxa"/>
              <w:right w:w="85" w:type="dxa"/>
            </w:tcMar>
            <w:vAlign w:val="center"/>
          </w:tcPr>
          <w:p w14:paraId="1F311BA0" w14:textId="77777777" w:rsidR="00E0181F" w:rsidRPr="001D5327" w:rsidRDefault="00E0181F" w:rsidP="00C52237">
            <w:pPr>
              <w:pStyle w:val="TableText"/>
              <w:spacing w:before="40" w:after="30"/>
              <w:jc w:val="right"/>
            </w:pPr>
            <w:r w:rsidRPr="001D5327">
              <w:rPr>
                <w:rFonts w:eastAsia="Calibri"/>
              </w:rPr>
              <w:t>223,267</w:t>
            </w:r>
          </w:p>
        </w:tc>
        <w:tc>
          <w:tcPr>
            <w:tcW w:w="1134" w:type="dxa"/>
            <w:shd w:val="clear" w:color="auto" w:fill="FFFFFF"/>
            <w:tcMar>
              <w:top w:w="0" w:type="dxa"/>
              <w:left w:w="85" w:type="dxa"/>
              <w:bottom w:w="0" w:type="dxa"/>
              <w:right w:w="85" w:type="dxa"/>
            </w:tcMar>
            <w:vAlign w:val="center"/>
          </w:tcPr>
          <w:p w14:paraId="39FD8644" w14:textId="77777777" w:rsidR="00E0181F" w:rsidRPr="001D5327" w:rsidRDefault="00E0181F" w:rsidP="00C52237">
            <w:pPr>
              <w:pStyle w:val="TableText"/>
              <w:spacing w:before="40" w:after="30"/>
              <w:jc w:val="right"/>
            </w:pPr>
            <w:r w:rsidRPr="001D5327">
              <w:rPr>
                <w:rFonts w:eastAsia="Calibri"/>
              </w:rPr>
              <w:t>16.6</w:t>
            </w:r>
          </w:p>
        </w:tc>
        <w:tc>
          <w:tcPr>
            <w:tcW w:w="850" w:type="dxa"/>
            <w:shd w:val="clear" w:color="auto" w:fill="FFFFFF"/>
            <w:tcMar>
              <w:top w:w="0" w:type="dxa"/>
              <w:left w:w="85" w:type="dxa"/>
              <w:bottom w:w="0" w:type="dxa"/>
              <w:right w:w="85" w:type="dxa"/>
            </w:tcMar>
            <w:vAlign w:val="center"/>
          </w:tcPr>
          <w:p w14:paraId="4E14C0EF" w14:textId="77777777" w:rsidR="00E0181F" w:rsidRPr="001D5327" w:rsidRDefault="00E0181F" w:rsidP="00C52237">
            <w:pPr>
              <w:pStyle w:val="TableText"/>
              <w:spacing w:before="40" w:after="30"/>
              <w:jc w:val="right"/>
            </w:pPr>
            <w:r w:rsidRPr="001D5327">
              <w:rPr>
                <w:rFonts w:eastAsia="Calibri"/>
              </w:rPr>
              <w:t>66.8</w:t>
            </w:r>
          </w:p>
        </w:tc>
        <w:tc>
          <w:tcPr>
            <w:tcW w:w="850" w:type="dxa"/>
            <w:shd w:val="clear" w:color="auto" w:fill="FFFFFF"/>
            <w:tcMar>
              <w:top w:w="0" w:type="dxa"/>
              <w:left w:w="85" w:type="dxa"/>
              <w:bottom w:w="0" w:type="dxa"/>
              <w:right w:w="85" w:type="dxa"/>
            </w:tcMar>
            <w:vAlign w:val="center"/>
          </w:tcPr>
          <w:p w14:paraId="0D3A6FB0" w14:textId="77777777" w:rsidR="00E0181F" w:rsidRPr="001D5327" w:rsidRDefault="00E0181F" w:rsidP="00C52237">
            <w:pPr>
              <w:pStyle w:val="TableText"/>
              <w:spacing w:before="40" w:after="30"/>
              <w:jc w:val="right"/>
            </w:pPr>
            <w:r w:rsidRPr="001D5327">
              <w:rPr>
                <w:rFonts w:eastAsia="Calibri"/>
              </w:rPr>
              <w:t>79.8</w:t>
            </w:r>
          </w:p>
        </w:tc>
        <w:tc>
          <w:tcPr>
            <w:tcW w:w="1134" w:type="dxa"/>
            <w:shd w:val="clear" w:color="auto" w:fill="FFFFFF"/>
            <w:tcMar>
              <w:top w:w="0" w:type="dxa"/>
              <w:left w:w="85" w:type="dxa"/>
              <w:bottom w:w="0" w:type="dxa"/>
              <w:right w:w="85" w:type="dxa"/>
            </w:tcMar>
            <w:vAlign w:val="center"/>
          </w:tcPr>
          <w:p w14:paraId="15DB64C5" w14:textId="77777777" w:rsidR="00E0181F" w:rsidRPr="001D5327" w:rsidRDefault="00E0181F" w:rsidP="00C52237">
            <w:pPr>
              <w:pStyle w:val="TableText"/>
              <w:spacing w:before="40" w:after="30"/>
              <w:jc w:val="right"/>
            </w:pPr>
            <w:r w:rsidRPr="001D5327">
              <w:rPr>
                <w:rFonts w:eastAsia="Calibri"/>
              </w:rPr>
              <w:t>19.5</w:t>
            </w:r>
          </w:p>
        </w:tc>
      </w:tr>
      <w:tr w:rsidR="00E0181F" w:rsidRPr="001D5327" w14:paraId="6B0539C9" w14:textId="77777777" w:rsidTr="00D11AC9">
        <w:tc>
          <w:tcPr>
            <w:tcW w:w="2551" w:type="dxa"/>
            <w:shd w:val="clear" w:color="auto" w:fill="FFFFFF"/>
            <w:tcMar>
              <w:top w:w="0" w:type="dxa"/>
              <w:left w:w="85" w:type="dxa"/>
              <w:bottom w:w="0" w:type="dxa"/>
              <w:right w:w="85" w:type="dxa"/>
            </w:tcMar>
            <w:vAlign w:val="center"/>
          </w:tcPr>
          <w:p w14:paraId="7ABD1E81" w14:textId="77777777" w:rsidR="00E0181F" w:rsidRPr="001D5327" w:rsidRDefault="00E0181F" w:rsidP="00C52237">
            <w:pPr>
              <w:pStyle w:val="TableText"/>
              <w:spacing w:before="40" w:after="30"/>
            </w:pPr>
            <w:r w:rsidRPr="001D5327">
              <w:rPr>
                <w:rFonts w:eastAsia="Calibri"/>
              </w:rPr>
              <w:t>Land converted to settlements</w:t>
            </w:r>
          </w:p>
        </w:tc>
        <w:tc>
          <w:tcPr>
            <w:tcW w:w="1020" w:type="dxa"/>
            <w:shd w:val="clear" w:color="auto" w:fill="FFFFFF"/>
            <w:tcMar>
              <w:top w:w="0" w:type="dxa"/>
              <w:left w:w="85" w:type="dxa"/>
              <w:bottom w:w="0" w:type="dxa"/>
              <w:right w:w="85" w:type="dxa"/>
            </w:tcMar>
            <w:vAlign w:val="center"/>
          </w:tcPr>
          <w:p w14:paraId="44482736" w14:textId="77777777" w:rsidR="00E0181F" w:rsidRPr="001D5327" w:rsidRDefault="00E0181F" w:rsidP="00C52237">
            <w:pPr>
              <w:pStyle w:val="TableText"/>
              <w:spacing w:before="40" w:after="30"/>
              <w:jc w:val="right"/>
            </w:pPr>
            <w:r w:rsidRPr="001D5327">
              <w:rPr>
                <w:rFonts w:eastAsia="Calibri"/>
              </w:rPr>
              <w:t>16,624</w:t>
            </w:r>
          </w:p>
        </w:tc>
        <w:tc>
          <w:tcPr>
            <w:tcW w:w="1020" w:type="dxa"/>
            <w:shd w:val="clear" w:color="auto" w:fill="FFFFFF"/>
            <w:tcMar>
              <w:top w:w="0" w:type="dxa"/>
              <w:left w:w="85" w:type="dxa"/>
              <w:bottom w:w="0" w:type="dxa"/>
              <w:right w:w="85" w:type="dxa"/>
            </w:tcMar>
            <w:vAlign w:val="center"/>
          </w:tcPr>
          <w:p w14:paraId="1F150F45" w14:textId="77777777" w:rsidR="00E0181F" w:rsidRPr="001D5327" w:rsidRDefault="00E0181F" w:rsidP="00C52237">
            <w:pPr>
              <w:pStyle w:val="TableText"/>
              <w:spacing w:before="40" w:after="30"/>
              <w:jc w:val="right"/>
            </w:pPr>
            <w:r w:rsidRPr="001D5327">
              <w:rPr>
                <w:rFonts w:eastAsia="Calibri"/>
              </w:rPr>
              <w:t>20,185</w:t>
            </w:r>
          </w:p>
        </w:tc>
        <w:tc>
          <w:tcPr>
            <w:tcW w:w="1134" w:type="dxa"/>
            <w:shd w:val="clear" w:color="auto" w:fill="FFFFFF"/>
            <w:tcMar>
              <w:top w:w="0" w:type="dxa"/>
              <w:left w:w="85" w:type="dxa"/>
              <w:bottom w:w="0" w:type="dxa"/>
              <w:right w:w="85" w:type="dxa"/>
            </w:tcMar>
            <w:vAlign w:val="center"/>
          </w:tcPr>
          <w:p w14:paraId="05F79CF1" w14:textId="77777777" w:rsidR="00E0181F" w:rsidRPr="001D5327" w:rsidRDefault="00E0181F" w:rsidP="00C52237">
            <w:pPr>
              <w:pStyle w:val="TableText"/>
              <w:spacing w:before="40" w:after="30"/>
              <w:jc w:val="right"/>
            </w:pPr>
            <w:r w:rsidRPr="001D5327">
              <w:rPr>
                <w:rFonts w:eastAsia="Calibri"/>
              </w:rPr>
              <w:t>21.4</w:t>
            </w:r>
          </w:p>
        </w:tc>
        <w:tc>
          <w:tcPr>
            <w:tcW w:w="850" w:type="dxa"/>
            <w:shd w:val="clear" w:color="auto" w:fill="FFFFFF"/>
            <w:tcMar>
              <w:top w:w="0" w:type="dxa"/>
              <w:left w:w="85" w:type="dxa"/>
              <w:bottom w:w="0" w:type="dxa"/>
              <w:right w:w="85" w:type="dxa"/>
            </w:tcMar>
            <w:vAlign w:val="center"/>
          </w:tcPr>
          <w:p w14:paraId="074C78FC" w14:textId="77777777" w:rsidR="00E0181F" w:rsidRPr="001D5327" w:rsidRDefault="00E0181F" w:rsidP="00C52237">
            <w:pPr>
              <w:pStyle w:val="TableText"/>
              <w:spacing w:before="40" w:after="30"/>
              <w:jc w:val="right"/>
            </w:pPr>
            <w:r w:rsidRPr="001D5327">
              <w:rPr>
                <w:rFonts w:eastAsia="Calibri"/>
              </w:rPr>
              <w:t>11.8</w:t>
            </w:r>
          </w:p>
        </w:tc>
        <w:tc>
          <w:tcPr>
            <w:tcW w:w="850" w:type="dxa"/>
            <w:shd w:val="clear" w:color="auto" w:fill="FFFFFF"/>
            <w:tcMar>
              <w:top w:w="0" w:type="dxa"/>
              <w:left w:w="85" w:type="dxa"/>
              <w:bottom w:w="0" w:type="dxa"/>
              <w:right w:w="85" w:type="dxa"/>
            </w:tcMar>
            <w:vAlign w:val="center"/>
          </w:tcPr>
          <w:p w14:paraId="1BCA0E33" w14:textId="77777777" w:rsidR="00E0181F" w:rsidRPr="001D5327" w:rsidRDefault="00E0181F" w:rsidP="00C52237">
            <w:pPr>
              <w:pStyle w:val="TableText"/>
              <w:spacing w:before="40" w:after="30"/>
              <w:jc w:val="right"/>
            </w:pPr>
            <w:r w:rsidRPr="001D5327">
              <w:rPr>
                <w:rFonts w:eastAsia="Calibri"/>
              </w:rPr>
              <w:t>39.5</w:t>
            </w:r>
          </w:p>
        </w:tc>
        <w:tc>
          <w:tcPr>
            <w:tcW w:w="1134" w:type="dxa"/>
            <w:shd w:val="clear" w:color="auto" w:fill="FFFFFF"/>
            <w:tcMar>
              <w:top w:w="0" w:type="dxa"/>
              <w:left w:w="85" w:type="dxa"/>
              <w:bottom w:w="0" w:type="dxa"/>
              <w:right w:w="85" w:type="dxa"/>
            </w:tcMar>
            <w:vAlign w:val="center"/>
          </w:tcPr>
          <w:p w14:paraId="318F8C46" w14:textId="77777777" w:rsidR="00E0181F" w:rsidRPr="001D5327" w:rsidRDefault="00E0181F" w:rsidP="00C52237">
            <w:pPr>
              <w:pStyle w:val="TableText"/>
              <w:spacing w:before="40" w:after="30"/>
              <w:jc w:val="right"/>
            </w:pPr>
            <w:r w:rsidRPr="001D5327">
              <w:rPr>
                <w:rFonts w:eastAsia="Calibri"/>
              </w:rPr>
              <w:t>235.7</w:t>
            </w:r>
          </w:p>
        </w:tc>
      </w:tr>
      <w:tr w:rsidR="00E0181F" w:rsidRPr="001D5327" w14:paraId="10361363" w14:textId="77777777" w:rsidTr="00D11AC9">
        <w:tc>
          <w:tcPr>
            <w:tcW w:w="2551" w:type="dxa"/>
            <w:shd w:val="clear" w:color="auto" w:fill="FFFFFF"/>
            <w:tcMar>
              <w:top w:w="0" w:type="dxa"/>
              <w:left w:w="85" w:type="dxa"/>
              <w:bottom w:w="0" w:type="dxa"/>
              <w:right w:w="85" w:type="dxa"/>
            </w:tcMar>
            <w:vAlign w:val="center"/>
          </w:tcPr>
          <w:p w14:paraId="4286C47D" w14:textId="77777777" w:rsidR="00E0181F" w:rsidRPr="001D5327" w:rsidRDefault="00E0181F" w:rsidP="00C52237">
            <w:pPr>
              <w:pStyle w:val="Tableboldblue"/>
              <w:spacing w:before="40" w:after="30"/>
            </w:pPr>
            <w:r w:rsidRPr="001D5327">
              <w:rPr>
                <w:rFonts w:eastAsia="Calibri"/>
              </w:rPr>
              <w:t>Total</w:t>
            </w:r>
          </w:p>
        </w:tc>
        <w:tc>
          <w:tcPr>
            <w:tcW w:w="1020" w:type="dxa"/>
            <w:shd w:val="clear" w:color="auto" w:fill="FFFFFF"/>
            <w:tcMar>
              <w:top w:w="0" w:type="dxa"/>
              <w:left w:w="85" w:type="dxa"/>
              <w:bottom w:w="0" w:type="dxa"/>
              <w:right w:w="85" w:type="dxa"/>
            </w:tcMar>
            <w:vAlign w:val="center"/>
          </w:tcPr>
          <w:p w14:paraId="472CBB9D" w14:textId="77777777" w:rsidR="00E0181F" w:rsidRPr="001D5327" w:rsidRDefault="00E0181F" w:rsidP="00C52237">
            <w:pPr>
              <w:pStyle w:val="Tableboldblue"/>
              <w:spacing w:before="40" w:after="30"/>
              <w:jc w:val="right"/>
            </w:pPr>
            <w:r w:rsidRPr="001D5327">
              <w:rPr>
                <w:rFonts w:eastAsia="Calibri"/>
              </w:rPr>
              <w:t>208,037</w:t>
            </w:r>
          </w:p>
        </w:tc>
        <w:tc>
          <w:tcPr>
            <w:tcW w:w="1020" w:type="dxa"/>
            <w:shd w:val="clear" w:color="auto" w:fill="FFFFFF"/>
            <w:tcMar>
              <w:top w:w="0" w:type="dxa"/>
              <w:left w:w="85" w:type="dxa"/>
              <w:bottom w:w="0" w:type="dxa"/>
              <w:right w:w="85" w:type="dxa"/>
            </w:tcMar>
            <w:vAlign w:val="center"/>
          </w:tcPr>
          <w:p w14:paraId="1A264576" w14:textId="77777777" w:rsidR="00E0181F" w:rsidRPr="001D5327" w:rsidRDefault="00E0181F" w:rsidP="00C52237">
            <w:pPr>
              <w:pStyle w:val="Tableboldblue"/>
              <w:spacing w:before="40" w:after="30"/>
              <w:jc w:val="right"/>
            </w:pPr>
            <w:r w:rsidRPr="001D5327">
              <w:rPr>
                <w:rFonts w:eastAsia="Calibri"/>
              </w:rPr>
              <w:t>243,451</w:t>
            </w:r>
          </w:p>
        </w:tc>
        <w:tc>
          <w:tcPr>
            <w:tcW w:w="1134" w:type="dxa"/>
            <w:shd w:val="clear" w:color="auto" w:fill="FFFFFF"/>
            <w:tcMar>
              <w:top w:w="0" w:type="dxa"/>
              <w:left w:w="85" w:type="dxa"/>
              <w:bottom w:w="0" w:type="dxa"/>
              <w:right w:w="85" w:type="dxa"/>
            </w:tcMar>
            <w:vAlign w:val="center"/>
          </w:tcPr>
          <w:p w14:paraId="49438806" w14:textId="77777777" w:rsidR="00E0181F" w:rsidRPr="001D5327" w:rsidRDefault="00E0181F" w:rsidP="00C52237">
            <w:pPr>
              <w:pStyle w:val="Tableboldblue"/>
              <w:spacing w:before="40" w:after="30"/>
              <w:jc w:val="right"/>
            </w:pPr>
            <w:r w:rsidRPr="001D5327">
              <w:rPr>
                <w:rFonts w:eastAsia="Calibri"/>
              </w:rPr>
              <w:t>17.0</w:t>
            </w:r>
          </w:p>
        </w:tc>
        <w:tc>
          <w:tcPr>
            <w:tcW w:w="850" w:type="dxa"/>
            <w:shd w:val="clear" w:color="auto" w:fill="FFFFFF"/>
            <w:tcMar>
              <w:top w:w="0" w:type="dxa"/>
              <w:left w:w="85" w:type="dxa"/>
              <w:bottom w:w="0" w:type="dxa"/>
              <w:right w:w="85" w:type="dxa"/>
            </w:tcMar>
            <w:vAlign w:val="center"/>
          </w:tcPr>
          <w:p w14:paraId="3EC624F2" w14:textId="77777777" w:rsidR="00E0181F" w:rsidRPr="001D5327" w:rsidRDefault="00E0181F" w:rsidP="00C52237">
            <w:pPr>
              <w:pStyle w:val="Tableboldblue"/>
              <w:spacing w:before="40" w:after="30"/>
              <w:jc w:val="right"/>
            </w:pPr>
            <w:r w:rsidRPr="001D5327">
              <w:rPr>
                <w:rFonts w:eastAsia="Calibri"/>
              </w:rPr>
              <w:t>78.5</w:t>
            </w:r>
          </w:p>
        </w:tc>
        <w:tc>
          <w:tcPr>
            <w:tcW w:w="850" w:type="dxa"/>
            <w:shd w:val="clear" w:color="auto" w:fill="FFFFFF"/>
            <w:tcMar>
              <w:top w:w="0" w:type="dxa"/>
              <w:left w:w="85" w:type="dxa"/>
              <w:bottom w:w="0" w:type="dxa"/>
              <w:right w:w="85" w:type="dxa"/>
            </w:tcMar>
            <w:vAlign w:val="center"/>
          </w:tcPr>
          <w:p w14:paraId="52843ECA" w14:textId="77777777" w:rsidR="00E0181F" w:rsidRPr="001D5327" w:rsidRDefault="00E0181F" w:rsidP="00C52237">
            <w:pPr>
              <w:pStyle w:val="Tableboldblue"/>
              <w:spacing w:before="40" w:after="30"/>
              <w:jc w:val="right"/>
            </w:pPr>
            <w:r w:rsidRPr="001D5327">
              <w:rPr>
                <w:rFonts w:eastAsia="Calibri"/>
              </w:rPr>
              <w:t>119.3</w:t>
            </w:r>
          </w:p>
        </w:tc>
        <w:tc>
          <w:tcPr>
            <w:tcW w:w="1134" w:type="dxa"/>
            <w:shd w:val="clear" w:color="auto" w:fill="FFFFFF"/>
            <w:tcMar>
              <w:top w:w="0" w:type="dxa"/>
              <w:left w:w="85" w:type="dxa"/>
              <w:bottom w:w="0" w:type="dxa"/>
              <w:right w:w="85" w:type="dxa"/>
            </w:tcMar>
            <w:vAlign w:val="center"/>
          </w:tcPr>
          <w:p w14:paraId="3669B449" w14:textId="77777777" w:rsidR="00E0181F" w:rsidRPr="001D5327" w:rsidRDefault="00E0181F" w:rsidP="00C52237">
            <w:pPr>
              <w:pStyle w:val="Tableboldblue"/>
              <w:spacing w:before="40" w:after="30"/>
              <w:jc w:val="right"/>
            </w:pPr>
            <w:r w:rsidRPr="001D5327">
              <w:rPr>
                <w:rFonts w:eastAsia="Calibri"/>
              </w:rPr>
              <w:t>51.9</w:t>
            </w:r>
          </w:p>
        </w:tc>
      </w:tr>
    </w:tbl>
    <w:p w14:paraId="05927FA8" w14:textId="77777777" w:rsidR="00E0181F" w:rsidRPr="001D5327" w:rsidRDefault="00E0181F" w:rsidP="00E0181F">
      <w:pPr>
        <w:pStyle w:val="Noteundertable"/>
      </w:pPr>
      <w:r w:rsidRPr="001D5327">
        <w:rPr>
          <w:b/>
        </w:rPr>
        <w:t>Note:</w:t>
      </w:r>
      <w:r w:rsidRPr="001D5327">
        <w:tab/>
        <w:t xml:space="preserve">Net area at 1990 is as of 1 January 1990; net area at 2023 is as of 31 December 2023. </w:t>
      </w:r>
      <w:r w:rsidRPr="001D5327">
        <w:rPr>
          <w:i/>
        </w:rPr>
        <w:t>Land converted to settlements</w:t>
      </w:r>
      <w:r w:rsidRPr="001D5327">
        <w:t xml:space="preserve"> includes land converted up to 20 years earlier. Net emission values are for the whole year indicated. Columns may not total due to rounding. </w:t>
      </w:r>
    </w:p>
    <w:p w14:paraId="6037F678" w14:textId="77777777" w:rsidR="00E0181F" w:rsidRPr="001D5327" w:rsidRDefault="00E0181F" w:rsidP="00C52237">
      <w:pPr>
        <w:pStyle w:val="BodyText"/>
        <w:spacing w:before="100" w:after="100"/>
      </w:pPr>
      <w:r w:rsidRPr="001D5327">
        <w:t xml:space="preserve">From 1990 to 2023, the net carbon stock change for </w:t>
      </w:r>
      <w:r w:rsidRPr="001D5327">
        <w:rPr>
          <w:i/>
        </w:rPr>
        <w:t>Settlements</w:t>
      </w:r>
      <w:r w:rsidRPr="001D5327">
        <w:t xml:space="preserve"> decreased by 1,150.4 kt C, equivalent to emissions of 4,218.2 kt CO</w:t>
      </w:r>
      <w:r w:rsidRPr="001D5327">
        <w:rPr>
          <w:vertAlign w:val="subscript"/>
        </w:rPr>
        <w:t>2</w:t>
      </w:r>
      <w:r w:rsidRPr="001D5327">
        <w:t xml:space="preserve"> in total since 1990 (see table 6.8.2). These carbon stock losses are predominantly due to the loss of carbon from organic soils associated with drainage when land is converted to </w:t>
      </w:r>
      <w:r w:rsidRPr="001D5327">
        <w:rPr>
          <w:i/>
        </w:rPr>
        <w:t>Settlements</w:t>
      </w:r>
      <w:r w:rsidRPr="001D5327">
        <w:t xml:space="preserve">. </w:t>
      </w:r>
    </w:p>
    <w:p w14:paraId="5DF73A66" w14:textId="77777777" w:rsidR="00E0181F" w:rsidRPr="001D5327" w:rsidRDefault="00E0181F" w:rsidP="00E0181F">
      <w:pPr>
        <w:pStyle w:val="Table"/>
      </w:pPr>
      <w:bookmarkStart w:id="2567" w:name="_Toc352505029"/>
      <w:bookmarkStart w:id="2568" w:name="_Toc342470789"/>
      <w:bookmarkStart w:id="2569" w:name="_Toc378853318"/>
      <w:bookmarkStart w:id="2570" w:name="_Toc391024116"/>
      <w:bookmarkStart w:id="2571" w:name="_Toc410028859"/>
      <w:bookmarkStart w:id="2572" w:name="_Toc414531487"/>
      <w:bookmarkStart w:id="2573" w:name="_Toc443645400"/>
      <w:bookmarkStart w:id="2574" w:name="_Toc474914619"/>
      <w:bookmarkStart w:id="2575" w:name="_Toc481751583"/>
      <w:bookmarkStart w:id="2576" w:name="_Toc522010640"/>
      <w:bookmarkStart w:id="2577" w:name="_Toc5269545"/>
      <w:bookmarkStart w:id="2578" w:name="_Toc33529419"/>
      <w:bookmarkStart w:id="2579" w:name="_Toc36224625"/>
      <w:bookmarkStart w:id="2580" w:name="_Toc131591420"/>
      <w:bookmarkStart w:id="2581" w:name="_Toc158979978"/>
      <w:bookmarkStart w:id="2582" w:name="_Toc164153911"/>
      <w:bookmarkStart w:id="2583" w:name="_Toc190873145"/>
      <w:bookmarkStart w:id="2584" w:name="_Toc194241784"/>
      <w:r w:rsidRPr="001D5327">
        <w:t>Table 6.8.2</w:t>
      </w:r>
      <w:r w:rsidRPr="001D5327">
        <w:tab/>
        <w:t xml:space="preserve">New Zealand’s carbon stock change by carbon pool for the </w:t>
      </w:r>
      <w:r w:rsidRPr="001D5327">
        <w:rPr>
          <w:i/>
        </w:rPr>
        <w:t>Settlements</w:t>
      </w:r>
      <w:r w:rsidRPr="001D5327">
        <w:t xml:space="preserve"> category,</w:t>
      </w:r>
      <w:r w:rsidRPr="001D5327">
        <w:br/>
        <w:t>from 1990 to</w:t>
      </w:r>
      <w:bookmarkEnd w:id="2567"/>
      <w:bookmarkEnd w:id="2568"/>
      <w:bookmarkEnd w:id="2569"/>
      <w:bookmarkEnd w:id="2570"/>
      <w:r w:rsidRPr="001D5327">
        <w:t> </w:t>
      </w:r>
      <w:bookmarkEnd w:id="2571"/>
      <w:bookmarkEnd w:id="2572"/>
      <w:bookmarkEnd w:id="2573"/>
      <w:bookmarkEnd w:id="2574"/>
      <w:bookmarkEnd w:id="2575"/>
      <w:bookmarkEnd w:id="2576"/>
      <w:bookmarkEnd w:id="2577"/>
      <w:bookmarkEnd w:id="2578"/>
      <w:bookmarkEnd w:id="2579"/>
      <w:r w:rsidRPr="001D5327">
        <w:t>2023</w:t>
      </w:r>
      <w:bookmarkEnd w:id="2580"/>
      <w:bookmarkEnd w:id="2581"/>
      <w:bookmarkEnd w:id="2582"/>
      <w:bookmarkEnd w:id="2583"/>
      <w:bookmarkEnd w:id="2584"/>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418"/>
        <w:gridCol w:w="1559"/>
        <w:gridCol w:w="1701"/>
        <w:gridCol w:w="992"/>
        <w:gridCol w:w="993"/>
        <w:gridCol w:w="1842"/>
      </w:tblGrid>
      <w:tr w:rsidR="00E0181F" w:rsidRPr="001D5327" w14:paraId="42AAF261" w14:textId="77777777" w:rsidTr="00D11AC9">
        <w:trPr>
          <w:tblHeader/>
        </w:trPr>
        <w:tc>
          <w:tcPr>
            <w:tcW w:w="1418" w:type="dxa"/>
            <w:shd w:val="clear" w:color="auto" w:fill="1B556B"/>
            <w:tcMar>
              <w:top w:w="0" w:type="dxa"/>
              <w:left w:w="85" w:type="dxa"/>
              <w:bottom w:w="0" w:type="dxa"/>
              <w:right w:w="85" w:type="dxa"/>
            </w:tcMar>
            <w:vAlign w:val="center"/>
          </w:tcPr>
          <w:p w14:paraId="70884EF7" w14:textId="77777777" w:rsidR="00E0181F" w:rsidRPr="001D5327" w:rsidRDefault="00E0181F" w:rsidP="00D11AC9">
            <w:pPr>
              <w:pStyle w:val="TableTextBold"/>
              <w:spacing w:before="40" w:after="0"/>
              <w:rPr>
                <w:noProof w:val="0"/>
                <w:color w:val="FFFFFF" w:themeColor="background1"/>
              </w:rPr>
            </w:pPr>
          </w:p>
        </w:tc>
        <w:tc>
          <w:tcPr>
            <w:tcW w:w="5245" w:type="dxa"/>
            <w:gridSpan w:val="4"/>
            <w:shd w:val="clear" w:color="auto" w:fill="1B556B"/>
            <w:tcMar>
              <w:top w:w="0" w:type="dxa"/>
              <w:left w:w="85" w:type="dxa"/>
              <w:bottom w:w="0" w:type="dxa"/>
              <w:right w:w="85" w:type="dxa"/>
            </w:tcMar>
            <w:vAlign w:val="center"/>
          </w:tcPr>
          <w:p w14:paraId="384A59DC" w14:textId="77777777" w:rsidR="00E0181F" w:rsidRPr="001D5327" w:rsidRDefault="00E0181F" w:rsidP="00D11AC9">
            <w:pPr>
              <w:pStyle w:val="TableTextBold"/>
              <w:spacing w:before="40" w:after="0"/>
              <w:jc w:val="center"/>
              <w:rPr>
                <w:noProof w:val="0"/>
                <w:color w:val="FFFFFF" w:themeColor="background1"/>
              </w:rPr>
            </w:pPr>
            <w:r w:rsidRPr="001D5327">
              <w:rPr>
                <w:rFonts w:eastAsia="Calibri"/>
                <w:noProof w:val="0"/>
                <w:color w:val="FFFFFF" w:themeColor="background1"/>
              </w:rPr>
              <w:t>Net carbon stock change 1990–2023 (kt C)</w:t>
            </w:r>
          </w:p>
        </w:tc>
        <w:tc>
          <w:tcPr>
            <w:tcW w:w="1842" w:type="dxa"/>
            <w:shd w:val="clear" w:color="auto" w:fill="1B556B"/>
            <w:tcMar>
              <w:top w:w="0" w:type="dxa"/>
              <w:left w:w="85" w:type="dxa"/>
              <w:bottom w:w="0" w:type="dxa"/>
              <w:right w:w="85" w:type="dxa"/>
            </w:tcMar>
            <w:vAlign w:val="center"/>
          </w:tcPr>
          <w:p w14:paraId="176617C7" w14:textId="77777777" w:rsidR="00E0181F" w:rsidRPr="001D5327" w:rsidRDefault="00E0181F" w:rsidP="00D11AC9">
            <w:pPr>
              <w:pStyle w:val="TableTextBold"/>
              <w:spacing w:before="40" w:after="0"/>
              <w:jc w:val="right"/>
              <w:rPr>
                <w:noProof w:val="0"/>
                <w:color w:val="FFFFFF" w:themeColor="background1"/>
              </w:rPr>
            </w:pPr>
            <w:r w:rsidRPr="001D5327">
              <w:rPr>
                <w:rFonts w:eastAsia="Calibri"/>
                <w:noProof w:val="0"/>
                <w:color w:val="FFFFFF" w:themeColor="background1"/>
              </w:rPr>
              <w:t>Emissions 1990–2023</w:t>
            </w:r>
          </w:p>
        </w:tc>
      </w:tr>
      <w:tr w:rsidR="00E0181F" w:rsidRPr="001D5327" w14:paraId="6435257E" w14:textId="77777777" w:rsidTr="00D11AC9">
        <w:trPr>
          <w:tblHeader/>
        </w:trPr>
        <w:tc>
          <w:tcPr>
            <w:tcW w:w="1418" w:type="dxa"/>
            <w:shd w:val="clear" w:color="auto" w:fill="1B556B"/>
            <w:tcMar>
              <w:top w:w="0" w:type="dxa"/>
              <w:left w:w="85" w:type="dxa"/>
              <w:bottom w:w="0" w:type="dxa"/>
              <w:right w:w="85" w:type="dxa"/>
            </w:tcMar>
            <w:vAlign w:val="center"/>
          </w:tcPr>
          <w:p w14:paraId="332138D9" w14:textId="77777777" w:rsidR="00E0181F" w:rsidRPr="001D5327" w:rsidRDefault="00E0181F" w:rsidP="00D11AC9">
            <w:pPr>
              <w:pStyle w:val="TableTextBold"/>
              <w:spacing w:before="40" w:after="40"/>
              <w:rPr>
                <w:noProof w:val="0"/>
                <w:color w:val="FFFFFF" w:themeColor="background1"/>
              </w:rPr>
            </w:pPr>
            <w:r w:rsidRPr="001D5327">
              <w:rPr>
                <w:rFonts w:eastAsia="Calibri"/>
                <w:noProof w:val="0"/>
                <w:color w:val="FFFFFF" w:themeColor="background1"/>
              </w:rPr>
              <w:t>Land use</w:t>
            </w:r>
          </w:p>
        </w:tc>
        <w:tc>
          <w:tcPr>
            <w:tcW w:w="1559" w:type="dxa"/>
            <w:shd w:val="clear" w:color="auto" w:fill="1B556B"/>
            <w:tcMar>
              <w:top w:w="0" w:type="dxa"/>
              <w:left w:w="85" w:type="dxa"/>
              <w:bottom w:w="0" w:type="dxa"/>
              <w:right w:w="85" w:type="dxa"/>
            </w:tcMar>
            <w:vAlign w:val="center"/>
          </w:tcPr>
          <w:p w14:paraId="1C8EACDC"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Living biomass</w:t>
            </w:r>
          </w:p>
        </w:tc>
        <w:tc>
          <w:tcPr>
            <w:tcW w:w="1701" w:type="dxa"/>
            <w:shd w:val="clear" w:color="auto" w:fill="1B556B"/>
            <w:tcMar>
              <w:top w:w="0" w:type="dxa"/>
              <w:left w:w="85" w:type="dxa"/>
              <w:bottom w:w="0" w:type="dxa"/>
              <w:right w:w="85" w:type="dxa"/>
            </w:tcMar>
            <w:vAlign w:val="center"/>
          </w:tcPr>
          <w:p w14:paraId="288A271A"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Dead organic matter</w:t>
            </w:r>
          </w:p>
        </w:tc>
        <w:tc>
          <w:tcPr>
            <w:tcW w:w="992" w:type="dxa"/>
            <w:shd w:val="clear" w:color="auto" w:fill="1B556B"/>
            <w:tcMar>
              <w:top w:w="0" w:type="dxa"/>
              <w:left w:w="85" w:type="dxa"/>
              <w:bottom w:w="0" w:type="dxa"/>
              <w:right w:w="85" w:type="dxa"/>
            </w:tcMar>
            <w:vAlign w:val="center"/>
          </w:tcPr>
          <w:p w14:paraId="570AC63E"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Soils</w:t>
            </w:r>
          </w:p>
        </w:tc>
        <w:tc>
          <w:tcPr>
            <w:tcW w:w="993" w:type="dxa"/>
            <w:shd w:val="clear" w:color="auto" w:fill="1B556B"/>
            <w:tcMar>
              <w:top w:w="0" w:type="dxa"/>
              <w:left w:w="85" w:type="dxa"/>
              <w:bottom w:w="0" w:type="dxa"/>
              <w:right w:w="85" w:type="dxa"/>
            </w:tcMar>
            <w:vAlign w:val="center"/>
          </w:tcPr>
          <w:p w14:paraId="53642265"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Total</w:t>
            </w:r>
          </w:p>
        </w:tc>
        <w:tc>
          <w:tcPr>
            <w:tcW w:w="1842" w:type="dxa"/>
            <w:shd w:val="clear" w:color="auto" w:fill="1B556B"/>
            <w:tcMar>
              <w:top w:w="0" w:type="dxa"/>
              <w:left w:w="85" w:type="dxa"/>
              <w:bottom w:w="0" w:type="dxa"/>
              <w:right w:w="85" w:type="dxa"/>
            </w:tcMar>
            <w:vAlign w:val="center"/>
          </w:tcPr>
          <w:p w14:paraId="43886FC8"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(kt CO₂)</w:t>
            </w:r>
          </w:p>
        </w:tc>
      </w:tr>
      <w:tr w:rsidR="00E0181F" w:rsidRPr="001D5327" w14:paraId="0F5E71D4" w14:textId="77777777" w:rsidTr="00D11AC9">
        <w:tc>
          <w:tcPr>
            <w:tcW w:w="1418" w:type="dxa"/>
            <w:shd w:val="clear" w:color="auto" w:fill="FFFFFF"/>
            <w:tcMar>
              <w:top w:w="0" w:type="dxa"/>
              <w:left w:w="85" w:type="dxa"/>
              <w:bottom w:w="0" w:type="dxa"/>
              <w:right w:w="85" w:type="dxa"/>
            </w:tcMar>
            <w:vAlign w:val="center"/>
          </w:tcPr>
          <w:p w14:paraId="65EC4ACE" w14:textId="77777777" w:rsidR="00E0181F" w:rsidRPr="001D5327" w:rsidRDefault="00E0181F" w:rsidP="00D11AC9">
            <w:pPr>
              <w:pStyle w:val="TableText"/>
              <w:spacing w:before="40" w:after="40"/>
            </w:pPr>
            <w:r w:rsidRPr="001D5327">
              <w:rPr>
                <w:rFonts w:eastAsia="Calibri"/>
              </w:rPr>
              <w:t>Settlements</w:t>
            </w:r>
          </w:p>
        </w:tc>
        <w:tc>
          <w:tcPr>
            <w:tcW w:w="1559" w:type="dxa"/>
            <w:shd w:val="clear" w:color="auto" w:fill="FFFFFF"/>
            <w:tcMar>
              <w:top w:w="0" w:type="dxa"/>
              <w:left w:w="85" w:type="dxa"/>
              <w:bottom w:w="0" w:type="dxa"/>
              <w:right w:w="85" w:type="dxa"/>
            </w:tcMar>
            <w:vAlign w:val="center"/>
          </w:tcPr>
          <w:p w14:paraId="34FEC097" w14:textId="2EB87A06" w:rsidR="00E0181F" w:rsidRPr="001D5327" w:rsidRDefault="0070503C" w:rsidP="00D11AC9">
            <w:pPr>
              <w:pStyle w:val="TableText"/>
              <w:spacing w:before="40" w:after="40"/>
              <w:jc w:val="right"/>
            </w:pPr>
            <w:r>
              <w:rPr>
                <w:rFonts w:eastAsia="Calibri"/>
              </w:rPr>
              <w:t>-</w:t>
            </w:r>
            <w:r w:rsidR="00E0181F" w:rsidRPr="001D5327">
              <w:rPr>
                <w:rFonts w:eastAsia="Calibri"/>
              </w:rPr>
              <w:t>468.6</w:t>
            </w:r>
          </w:p>
        </w:tc>
        <w:tc>
          <w:tcPr>
            <w:tcW w:w="1701" w:type="dxa"/>
            <w:shd w:val="clear" w:color="auto" w:fill="FFFFFF"/>
            <w:tcMar>
              <w:top w:w="0" w:type="dxa"/>
              <w:left w:w="85" w:type="dxa"/>
              <w:bottom w:w="0" w:type="dxa"/>
              <w:right w:w="85" w:type="dxa"/>
            </w:tcMar>
            <w:vAlign w:val="center"/>
          </w:tcPr>
          <w:p w14:paraId="2C2F2F15" w14:textId="5CB046F1" w:rsidR="00E0181F" w:rsidRPr="001D5327" w:rsidRDefault="0070503C" w:rsidP="00D11AC9">
            <w:pPr>
              <w:pStyle w:val="TableText"/>
              <w:spacing w:before="40" w:after="40"/>
              <w:jc w:val="right"/>
            </w:pPr>
            <w:r>
              <w:rPr>
                <w:rFonts w:eastAsia="Calibri"/>
              </w:rPr>
              <w:t>-</w:t>
            </w:r>
            <w:r w:rsidR="00E0181F" w:rsidRPr="001D5327">
              <w:rPr>
                <w:rFonts w:eastAsia="Calibri"/>
              </w:rPr>
              <w:t>34.8</w:t>
            </w:r>
          </w:p>
        </w:tc>
        <w:tc>
          <w:tcPr>
            <w:tcW w:w="992" w:type="dxa"/>
            <w:shd w:val="clear" w:color="auto" w:fill="FFFFFF"/>
            <w:tcMar>
              <w:top w:w="0" w:type="dxa"/>
              <w:left w:w="85" w:type="dxa"/>
              <w:bottom w:w="0" w:type="dxa"/>
              <w:right w:w="85" w:type="dxa"/>
            </w:tcMar>
            <w:vAlign w:val="center"/>
          </w:tcPr>
          <w:p w14:paraId="292E0462" w14:textId="6522F94F" w:rsidR="00E0181F" w:rsidRPr="001D5327" w:rsidRDefault="0070503C" w:rsidP="00D11AC9">
            <w:pPr>
              <w:pStyle w:val="TableText"/>
              <w:spacing w:before="40" w:after="40"/>
              <w:jc w:val="right"/>
            </w:pPr>
            <w:r>
              <w:rPr>
                <w:rFonts w:eastAsia="Calibri"/>
              </w:rPr>
              <w:t>-</w:t>
            </w:r>
            <w:r w:rsidR="00E0181F" w:rsidRPr="001D5327">
              <w:rPr>
                <w:rFonts w:eastAsia="Calibri"/>
              </w:rPr>
              <w:t>647.0</w:t>
            </w:r>
          </w:p>
        </w:tc>
        <w:tc>
          <w:tcPr>
            <w:tcW w:w="993" w:type="dxa"/>
            <w:shd w:val="clear" w:color="auto" w:fill="FFFFFF"/>
            <w:tcMar>
              <w:top w:w="0" w:type="dxa"/>
              <w:left w:w="85" w:type="dxa"/>
              <w:bottom w:w="0" w:type="dxa"/>
              <w:right w:w="85" w:type="dxa"/>
            </w:tcMar>
            <w:vAlign w:val="center"/>
          </w:tcPr>
          <w:p w14:paraId="656AEF94" w14:textId="200ADF38" w:rsidR="00E0181F" w:rsidRPr="001D5327" w:rsidRDefault="0070503C" w:rsidP="00D11AC9">
            <w:pPr>
              <w:pStyle w:val="TableText"/>
              <w:spacing w:before="40" w:after="40"/>
              <w:jc w:val="right"/>
            </w:pPr>
            <w:r>
              <w:rPr>
                <w:rFonts w:eastAsia="Calibri"/>
              </w:rPr>
              <w:t>-</w:t>
            </w:r>
            <w:r w:rsidR="00E0181F" w:rsidRPr="001D5327">
              <w:rPr>
                <w:rFonts w:eastAsia="Calibri"/>
              </w:rPr>
              <w:t>1,150.4</w:t>
            </w:r>
          </w:p>
        </w:tc>
        <w:tc>
          <w:tcPr>
            <w:tcW w:w="1842" w:type="dxa"/>
            <w:shd w:val="clear" w:color="auto" w:fill="FFFFFF"/>
            <w:tcMar>
              <w:top w:w="0" w:type="dxa"/>
              <w:left w:w="85" w:type="dxa"/>
              <w:bottom w:w="0" w:type="dxa"/>
              <w:right w:w="85" w:type="dxa"/>
            </w:tcMar>
            <w:vAlign w:val="center"/>
          </w:tcPr>
          <w:p w14:paraId="5275E1A6" w14:textId="77777777" w:rsidR="00E0181F" w:rsidRPr="001D5327" w:rsidRDefault="00E0181F" w:rsidP="00D11AC9">
            <w:pPr>
              <w:pStyle w:val="TableText"/>
              <w:spacing w:before="40" w:after="40"/>
              <w:jc w:val="right"/>
            </w:pPr>
            <w:r w:rsidRPr="001D5327">
              <w:rPr>
                <w:rFonts w:eastAsia="Calibri"/>
              </w:rPr>
              <w:t>4,218.2</w:t>
            </w:r>
          </w:p>
        </w:tc>
      </w:tr>
    </w:tbl>
    <w:p w14:paraId="3541814C" w14:textId="77777777" w:rsidR="00E0181F" w:rsidRPr="001D5327" w:rsidRDefault="00E0181F" w:rsidP="00C52237">
      <w:pPr>
        <w:pStyle w:val="BodyText"/>
        <w:spacing w:before="240" w:after="100"/>
      </w:pPr>
      <w:r w:rsidRPr="001D5327">
        <w:t xml:space="preserve">The </w:t>
      </w:r>
      <w:r w:rsidRPr="001D5327">
        <w:rPr>
          <w:i/>
        </w:rPr>
        <w:t>Settlements</w:t>
      </w:r>
      <w:r w:rsidRPr="001D5327">
        <w:t xml:space="preserve"> land use category, as described in volume 4, chapter 3.2 of the 2006 IPCC Guidelines, includes “all developed land, including transportation infrastructure and human settlements of any size, unless they are already included under other categories” (IPCC, 2006a, p 3.7). </w:t>
      </w:r>
      <w:r w:rsidRPr="001D5327">
        <w:rPr>
          <w:i/>
        </w:rPr>
        <w:t>Settlements</w:t>
      </w:r>
      <w:r w:rsidRPr="001D5327">
        <w:t xml:space="preserve"> include trees grown along streets, in public and private gardens, and in parks associated with urban areas. </w:t>
      </w:r>
    </w:p>
    <w:p w14:paraId="2D0A0BB0" w14:textId="77777777" w:rsidR="00E0181F" w:rsidRPr="001D5327" w:rsidRDefault="00E0181F" w:rsidP="00C52237">
      <w:pPr>
        <w:pStyle w:val="BodyText"/>
        <w:spacing w:before="100" w:after="100"/>
      </w:pPr>
      <w:r w:rsidRPr="001D5327">
        <w:t xml:space="preserve">In 2023, there were 243,451 hectares of </w:t>
      </w:r>
      <w:r w:rsidRPr="001D5327">
        <w:rPr>
          <w:i/>
        </w:rPr>
        <w:t>Settlements</w:t>
      </w:r>
      <w:r w:rsidRPr="001D5327">
        <w:t xml:space="preserve"> in New Zealand, an increase of 35,414 hectares since 1990. This category comprised 0.9 per cent of New Zealand’s total land area in 2023. The largest area of change to </w:t>
      </w:r>
      <w:r w:rsidRPr="001D5327">
        <w:rPr>
          <w:i/>
        </w:rPr>
        <w:t>Settlements</w:t>
      </w:r>
      <w:r w:rsidRPr="001D5327">
        <w:t xml:space="preserve"> between 1990 and 2023 came from high producing grassland, with 26,998 hectares between 1990 and 2023.</w:t>
      </w:r>
    </w:p>
    <w:p w14:paraId="756F38EC" w14:textId="77777777" w:rsidR="00E0181F" w:rsidRPr="001D5327" w:rsidRDefault="00E0181F" w:rsidP="00C52237">
      <w:pPr>
        <w:pStyle w:val="BodyText"/>
        <w:spacing w:before="100" w:after="100"/>
      </w:pPr>
      <w:r w:rsidRPr="001D5327">
        <w:t xml:space="preserve">The emissions in the </w:t>
      </w:r>
      <w:r w:rsidRPr="001D5327">
        <w:rPr>
          <w:i/>
        </w:rPr>
        <w:t>Settlements remaining settlements</w:t>
      </w:r>
      <w:r w:rsidRPr="001D5327">
        <w:t xml:space="preserve"> category are all from anthropogenic drainage of organic soils for establishment of settlements. Carbon in living biomass and dead organic matter for this land use category is estimated as zero but, because zero is not a valid entry for biomass gains in the Greenhouse Gas Inventory Reporting Tool, the notation key NA is reported for biomass gains instead. The carbon stock in mineral soil for this land use is assumed to be in steady state, so this is also reported as zero. </w:t>
      </w:r>
    </w:p>
    <w:p w14:paraId="46E7BBB5" w14:textId="77777777" w:rsidR="00E0181F" w:rsidRPr="001D5327" w:rsidRDefault="00E0181F" w:rsidP="00C52237">
      <w:pPr>
        <w:pStyle w:val="Heading3"/>
        <w:spacing w:before="240"/>
      </w:pPr>
      <w:r w:rsidRPr="001D5327">
        <w:t>6.8.2</w:t>
      </w:r>
      <w:r w:rsidRPr="001D5327">
        <w:tab/>
        <w:t>Methodological issues</w:t>
      </w:r>
    </w:p>
    <w:p w14:paraId="4318DFE7" w14:textId="77777777" w:rsidR="00E0181F" w:rsidRPr="001D5327" w:rsidRDefault="00E0181F" w:rsidP="00C52237">
      <w:pPr>
        <w:pStyle w:val="Heading4"/>
        <w:spacing w:before="180"/>
      </w:pPr>
      <w:r w:rsidRPr="001D5327">
        <w:t>Settlements remaining settlements (4.E.1)</w:t>
      </w:r>
    </w:p>
    <w:p w14:paraId="2C526FE5" w14:textId="77777777" w:rsidR="00E0181F" w:rsidRPr="001D5327" w:rsidRDefault="00E0181F" w:rsidP="00C52237">
      <w:pPr>
        <w:pStyle w:val="BodyText"/>
        <w:spacing w:before="80" w:after="100"/>
      </w:pPr>
      <w:r w:rsidRPr="001D5327">
        <w:t xml:space="preserve">New Zealand applies Tier 1 methods for estimating emissions from the </w:t>
      </w:r>
      <w:r w:rsidRPr="001D5327">
        <w:rPr>
          <w:i/>
        </w:rPr>
        <w:t xml:space="preserve">Settlements remaining settlements </w:t>
      </w:r>
      <w:r w:rsidRPr="001D5327">
        <w:t>category</w:t>
      </w:r>
      <w:r w:rsidRPr="001D5327">
        <w:rPr>
          <w:i/>
        </w:rPr>
        <w:t xml:space="preserve">. </w:t>
      </w:r>
      <w:r w:rsidRPr="001D5327">
        <w:t>The assumptions are that there is no change in carbon stocks for living biomass, dead organic matter, or mineral soils.</w:t>
      </w:r>
      <w:r w:rsidRPr="001D5327" w:rsidDel="00394041">
        <w:t xml:space="preserve"> </w:t>
      </w:r>
      <w:r w:rsidRPr="001D5327">
        <w:t xml:space="preserve">The Tier 1 method for organic soils conversely assumes emissions are constant if they are drained. Where organic soils occur in this category, they are assumed to be drained. See annex 5, section A5.2.4 ‘Organic soils’, for further information on the methods applied to organic soils. </w:t>
      </w:r>
    </w:p>
    <w:p w14:paraId="719B68E6" w14:textId="77777777" w:rsidR="00E0181F" w:rsidRPr="001D5327" w:rsidRDefault="00E0181F" w:rsidP="00C52237">
      <w:pPr>
        <w:pStyle w:val="BodyText"/>
      </w:pPr>
      <w:r w:rsidRPr="001D5327">
        <w:t>Because this is not a key category, New Zealand is not currently investigating methods to move to a higher tier of reporting for this category.</w:t>
      </w:r>
    </w:p>
    <w:p w14:paraId="72142F0C" w14:textId="77777777" w:rsidR="00E0181F" w:rsidRPr="001D5327" w:rsidRDefault="00E0181F" w:rsidP="00E0181F">
      <w:pPr>
        <w:pStyle w:val="Heading4"/>
      </w:pPr>
      <w:r w:rsidRPr="001D5327">
        <w:lastRenderedPageBreak/>
        <w:t>Land converted to settlements (4.E.2)</w:t>
      </w:r>
    </w:p>
    <w:p w14:paraId="0B5DC3FE" w14:textId="77777777" w:rsidR="00E0181F" w:rsidRPr="001D5327" w:rsidRDefault="00E0181F" w:rsidP="00126FD7">
      <w:pPr>
        <w:pStyle w:val="Heading5"/>
        <w:spacing w:before="180"/>
      </w:pPr>
      <w:r w:rsidRPr="001D5327">
        <w:t>Living biomass and dead organic matter</w:t>
      </w:r>
    </w:p>
    <w:p w14:paraId="273498A7" w14:textId="77777777" w:rsidR="00E0181F" w:rsidRPr="001D5327" w:rsidRDefault="00E0181F" w:rsidP="00126FD7">
      <w:pPr>
        <w:pStyle w:val="BodyText"/>
        <w:spacing w:before="100" w:after="100"/>
      </w:pPr>
      <w:r w:rsidRPr="001D5327">
        <w:t xml:space="preserve">New Zealand has applied a Tier 1 method for estimating carbon stock change with land conversion to </w:t>
      </w:r>
      <w:r w:rsidRPr="001D5327">
        <w:rPr>
          <w:i/>
        </w:rPr>
        <w:t>Settlements</w:t>
      </w:r>
      <w:r w:rsidRPr="001D5327">
        <w:t xml:space="preserve"> (equation 2.16, IPCC, 2006a). This is the same as that used for other areas of land use conversion (e.g., </w:t>
      </w:r>
      <w:r w:rsidRPr="001D5327">
        <w:rPr>
          <w:i/>
        </w:rPr>
        <w:t>Land converted to cropland</w:t>
      </w:r>
      <w:r w:rsidRPr="001D5327">
        <w:t>). The default assumptions for a Tier 1 estimate are that all living biomass and dead organic matter present before conversion are lost in the same year as the conversion took place. Furthermore, carbon stocks in living biomass and dead organic matter following conversion are equal to zero (sections 8.3.1 and 8.3.2, IPCC, 2006a).</w:t>
      </w:r>
    </w:p>
    <w:p w14:paraId="27D10D0B" w14:textId="77777777" w:rsidR="00E0181F" w:rsidRPr="001D5327" w:rsidRDefault="00E0181F" w:rsidP="00126FD7">
      <w:pPr>
        <w:pStyle w:val="Heading5"/>
        <w:spacing w:before="180"/>
      </w:pPr>
      <w:r w:rsidRPr="001D5327">
        <w:t xml:space="preserve">Soil organic carbon </w:t>
      </w:r>
    </w:p>
    <w:p w14:paraId="19EE38B0" w14:textId="77777777" w:rsidR="00E0181F" w:rsidRPr="001D5327" w:rsidRDefault="00E0181F" w:rsidP="00126FD7">
      <w:pPr>
        <w:pStyle w:val="BodyText"/>
        <w:spacing w:before="80" w:after="100"/>
      </w:pPr>
      <w:r w:rsidRPr="001D5327">
        <w:t xml:space="preserve">Soil organic carbon stocks in mineral soil for </w:t>
      </w:r>
      <w:r w:rsidRPr="001D5327">
        <w:rPr>
          <w:i/>
        </w:rPr>
        <w:t>Land converted to settlements</w:t>
      </w:r>
      <w:r w:rsidRPr="001D5327">
        <w:t xml:space="preserve"> are estimated using a Tier 2 method (see annex 5, section A5.2.4 ‘Mineral soils’). For organic soils, loss of soil carbon is estimated using the Tier 1 method applied to </w:t>
      </w:r>
      <w:r w:rsidRPr="001D5327">
        <w:rPr>
          <w:i/>
        </w:rPr>
        <w:t>Settlements remaining settlements</w:t>
      </w:r>
      <w:r w:rsidRPr="001D5327">
        <w:t xml:space="preserve">. </w:t>
      </w:r>
    </w:p>
    <w:p w14:paraId="63017BAC" w14:textId="77777777" w:rsidR="00E0181F" w:rsidRPr="001D5327" w:rsidRDefault="00E0181F" w:rsidP="00126FD7">
      <w:pPr>
        <w:pStyle w:val="Heading3"/>
        <w:spacing w:before="240"/>
      </w:pPr>
      <w:r w:rsidRPr="001D5327">
        <w:t>6.8.3</w:t>
      </w:r>
      <w:r w:rsidRPr="001D5327">
        <w:tab/>
        <w:t>Uncertainty assessment and time-series consistency</w:t>
      </w:r>
    </w:p>
    <w:p w14:paraId="4AF2571E" w14:textId="77777777" w:rsidR="00E0181F" w:rsidRPr="001D5327" w:rsidRDefault="00E0181F" w:rsidP="00126FD7">
      <w:pPr>
        <w:pStyle w:val="BodyText"/>
        <w:spacing w:before="100" w:after="100"/>
        <w:rPr>
          <w:rFonts w:ascii="Segoe UI" w:hAnsi="Segoe UI" w:cs="Segoe UI"/>
        </w:rPr>
      </w:pPr>
      <w:r w:rsidRPr="001D5327">
        <w:t xml:space="preserve">The uncertainty in net carbon emissions from </w:t>
      </w:r>
      <w:r w:rsidRPr="001D5327">
        <w:rPr>
          <w:i/>
          <w:iCs/>
        </w:rPr>
        <w:t>Settlements</w:t>
      </w:r>
      <w:r w:rsidRPr="001D5327">
        <w:t xml:space="preserve"> was 65.5 per cent in 2023. The uncertainty in net carbon emissions from </w:t>
      </w:r>
      <w:r w:rsidRPr="001D5327">
        <w:rPr>
          <w:i/>
        </w:rPr>
        <w:t>Settlements</w:t>
      </w:r>
      <w:r w:rsidRPr="001D5327">
        <w:t xml:space="preserve"> accounted for 0.4 per cent of the total uncertainty in emissions from the LULUCF sector. The methods used to calculate the uncertainty are further described in annex 5, section A5.2.8. </w:t>
      </w:r>
    </w:p>
    <w:p w14:paraId="4E04E760" w14:textId="77777777" w:rsidR="00E0181F" w:rsidRPr="001D5327" w:rsidRDefault="00E0181F" w:rsidP="00126FD7">
      <w:pPr>
        <w:pStyle w:val="BodyText"/>
        <w:spacing w:before="100" w:after="100"/>
      </w:pPr>
      <w:r w:rsidRPr="001D5327">
        <w:t>Time-series consistency is ensured by applying consistent methods and full recalculations in the event of any refinement or improvement to methodology.</w:t>
      </w:r>
    </w:p>
    <w:p w14:paraId="2D2D20AC" w14:textId="77777777" w:rsidR="00E0181F" w:rsidRPr="001D5327" w:rsidRDefault="00E0181F" w:rsidP="00126FD7">
      <w:pPr>
        <w:pStyle w:val="Heading3"/>
        <w:spacing w:before="240"/>
      </w:pPr>
      <w:r w:rsidRPr="001D5327" w:rsidDel="00CB15DE">
        <w:t>6.</w:t>
      </w:r>
      <w:r w:rsidRPr="001D5327">
        <w:t>8.4</w:t>
      </w:r>
      <w:r w:rsidRPr="001D5327">
        <w:tab/>
        <w:t>Category-specific QA/QC and verification</w:t>
      </w:r>
    </w:p>
    <w:p w14:paraId="374B354F" w14:textId="77777777" w:rsidR="00E0181F" w:rsidRPr="001D5327" w:rsidRDefault="00E0181F" w:rsidP="00126FD7">
      <w:pPr>
        <w:pStyle w:val="BodyText"/>
        <w:spacing w:before="100" w:after="100"/>
      </w:pPr>
      <w:r w:rsidRPr="001D5327">
        <w:t>In the preparation of this inventory, the activity data for these emissions underwent Tier 1 quality checks.</w:t>
      </w:r>
    </w:p>
    <w:p w14:paraId="5B48F4D5" w14:textId="77777777" w:rsidR="00E0181F" w:rsidRPr="001D5327" w:rsidRDefault="00E0181F" w:rsidP="00126FD7">
      <w:pPr>
        <w:pStyle w:val="Heading3"/>
        <w:spacing w:before="240"/>
      </w:pPr>
      <w:r w:rsidRPr="001D5327">
        <w:t>6.8.5</w:t>
      </w:r>
      <w:r w:rsidRPr="001D5327">
        <w:tab/>
        <w:t>Category-specific recalculations</w:t>
      </w:r>
    </w:p>
    <w:p w14:paraId="18E5871E" w14:textId="77777777" w:rsidR="00E0181F" w:rsidRPr="001D5327" w:rsidRDefault="00E0181F" w:rsidP="00126FD7">
      <w:pPr>
        <w:pStyle w:val="BodyText"/>
        <w:spacing w:before="100" w:after="100"/>
      </w:pPr>
      <w:r w:rsidRPr="001D5327">
        <w:t xml:space="preserve">Recalculations were carried out for this category (see table 6.8.3). Recalculations in the </w:t>
      </w:r>
      <w:r w:rsidRPr="001D5327">
        <w:rPr>
          <w:i/>
        </w:rPr>
        <w:t>Settlements</w:t>
      </w:r>
      <w:r w:rsidRPr="001D5327">
        <w:t xml:space="preserve"> category are largely due to emissions associated with small mapping changes to the areas of deforestation that have been converted to </w:t>
      </w:r>
      <w:r w:rsidRPr="001D5327">
        <w:rPr>
          <w:i/>
        </w:rPr>
        <w:t xml:space="preserve">Settlements </w:t>
      </w:r>
      <w:r w:rsidRPr="001D5327">
        <w:rPr>
          <w:iCs/>
        </w:rPr>
        <w:t xml:space="preserve">as well as </w:t>
      </w:r>
      <w:r w:rsidRPr="001D5327">
        <w:t xml:space="preserve">the introduction of the 2020 land use map. </w:t>
      </w:r>
    </w:p>
    <w:p w14:paraId="387D476A" w14:textId="77777777" w:rsidR="00E0181F" w:rsidRPr="001D5327" w:rsidRDefault="00E0181F" w:rsidP="00E0181F">
      <w:pPr>
        <w:pStyle w:val="Table"/>
      </w:pPr>
      <w:bookmarkStart w:id="2585" w:name="_Toc342470792"/>
      <w:bookmarkStart w:id="2586" w:name="_Toc352505032"/>
      <w:bookmarkStart w:id="2587" w:name="_Toc378853321"/>
      <w:bookmarkStart w:id="2588" w:name="_Toc391024119"/>
      <w:bookmarkStart w:id="2589" w:name="_Toc410028861"/>
      <w:bookmarkStart w:id="2590" w:name="_Toc414531489"/>
      <w:bookmarkStart w:id="2591" w:name="_Toc443645402"/>
      <w:bookmarkStart w:id="2592" w:name="_Toc474914621"/>
      <w:bookmarkStart w:id="2593" w:name="_Toc481751585"/>
      <w:bookmarkStart w:id="2594" w:name="_Toc522010642"/>
      <w:bookmarkStart w:id="2595" w:name="_Toc5269547"/>
      <w:bookmarkStart w:id="2596" w:name="_Toc33529421"/>
      <w:bookmarkStart w:id="2597" w:name="_Toc36224627"/>
      <w:bookmarkStart w:id="2598" w:name="_Toc131591421"/>
      <w:bookmarkStart w:id="2599" w:name="_Toc158979979"/>
      <w:bookmarkStart w:id="2600" w:name="_Toc164153912"/>
      <w:bookmarkStart w:id="2601" w:name="_Toc190873146"/>
      <w:bookmarkStart w:id="2602" w:name="_Toc194241785"/>
      <w:r w:rsidRPr="001D5327">
        <w:t>Table 6.8.3</w:t>
      </w:r>
      <w:r w:rsidRPr="001D5327">
        <w:tab/>
        <w:t xml:space="preserve">Recalculations for New Zealand’s net emissions from the </w:t>
      </w:r>
      <w:r w:rsidRPr="001D5327">
        <w:rPr>
          <w:i/>
        </w:rPr>
        <w:t>Settlements</w:t>
      </w:r>
      <w:r w:rsidRPr="001D5327">
        <w:t xml:space="preserve"> category in 1990 and</w:t>
      </w:r>
      <w:bookmarkEnd w:id="2585"/>
      <w:bookmarkEnd w:id="2586"/>
      <w:bookmarkEnd w:id="2587"/>
      <w:bookmarkEnd w:id="2588"/>
      <w:r w:rsidRPr="001D5327">
        <w:t> </w:t>
      </w:r>
      <w:bookmarkEnd w:id="2589"/>
      <w:bookmarkEnd w:id="2590"/>
      <w:bookmarkEnd w:id="2591"/>
      <w:bookmarkEnd w:id="2592"/>
      <w:bookmarkEnd w:id="2593"/>
      <w:bookmarkEnd w:id="2594"/>
      <w:bookmarkEnd w:id="2595"/>
      <w:bookmarkEnd w:id="2596"/>
      <w:bookmarkEnd w:id="2597"/>
      <w:bookmarkEnd w:id="2598"/>
      <w:bookmarkEnd w:id="2599"/>
      <w:bookmarkEnd w:id="2600"/>
      <w:r w:rsidRPr="001D5327">
        <w:t>2022</w:t>
      </w:r>
      <w:bookmarkEnd w:id="2601"/>
      <w:bookmarkEnd w:id="2602"/>
    </w:p>
    <w:tbl>
      <w:tblPr>
        <w:tblW w:w="8504"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122"/>
        <w:gridCol w:w="1417"/>
        <w:gridCol w:w="1559"/>
        <w:gridCol w:w="2268"/>
        <w:gridCol w:w="1138"/>
      </w:tblGrid>
      <w:tr w:rsidR="00E0181F" w:rsidRPr="001D5327" w14:paraId="41A89B51" w14:textId="77777777" w:rsidTr="00D11AC9">
        <w:trPr>
          <w:tblHeader/>
        </w:trPr>
        <w:tc>
          <w:tcPr>
            <w:tcW w:w="2122" w:type="dxa"/>
            <w:shd w:val="clear" w:color="auto" w:fill="1B556B"/>
            <w:tcMar>
              <w:top w:w="0" w:type="dxa"/>
              <w:left w:w="85" w:type="dxa"/>
              <w:bottom w:w="0" w:type="dxa"/>
              <w:right w:w="85" w:type="dxa"/>
            </w:tcMar>
            <w:vAlign w:val="center"/>
          </w:tcPr>
          <w:p w14:paraId="39298C38" w14:textId="77777777" w:rsidR="00E0181F" w:rsidRPr="001D5327" w:rsidRDefault="00E0181F" w:rsidP="00D11AC9">
            <w:pPr>
              <w:pStyle w:val="TableTextBold"/>
              <w:spacing w:before="40" w:after="40"/>
              <w:rPr>
                <w:noProof w:val="0"/>
                <w:color w:val="FFFFFF" w:themeColor="background1"/>
              </w:rPr>
            </w:pPr>
          </w:p>
        </w:tc>
        <w:tc>
          <w:tcPr>
            <w:tcW w:w="1417" w:type="dxa"/>
            <w:shd w:val="clear" w:color="auto" w:fill="1B556B"/>
            <w:tcMar>
              <w:top w:w="0" w:type="dxa"/>
              <w:left w:w="85" w:type="dxa"/>
              <w:bottom w:w="0" w:type="dxa"/>
              <w:right w:w="85" w:type="dxa"/>
            </w:tcMar>
            <w:vAlign w:val="center"/>
          </w:tcPr>
          <w:p w14:paraId="09F50A9A"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2024 submission</w:t>
            </w:r>
          </w:p>
        </w:tc>
        <w:tc>
          <w:tcPr>
            <w:tcW w:w="1559" w:type="dxa"/>
            <w:shd w:val="clear" w:color="auto" w:fill="1B556B"/>
            <w:tcMar>
              <w:top w:w="0" w:type="dxa"/>
              <w:left w:w="85" w:type="dxa"/>
              <w:bottom w:w="0" w:type="dxa"/>
              <w:right w:w="85" w:type="dxa"/>
            </w:tcMar>
            <w:vAlign w:val="center"/>
          </w:tcPr>
          <w:p w14:paraId="18A469A6"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2025 submission</w:t>
            </w:r>
          </w:p>
        </w:tc>
        <w:tc>
          <w:tcPr>
            <w:tcW w:w="2268" w:type="dxa"/>
            <w:shd w:val="clear" w:color="auto" w:fill="1B556B"/>
            <w:tcMar>
              <w:top w:w="0" w:type="dxa"/>
              <w:left w:w="85" w:type="dxa"/>
              <w:bottom w:w="0" w:type="dxa"/>
              <w:right w:w="85" w:type="dxa"/>
            </w:tcMar>
            <w:vAlign w:val="center"/>
          </w:tcPr>
          <w:p w14:paraId="7675C584"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Change from 2024 submission</w:t>
            </w:r>
          </w:p>
        </w:tc>
        <w:tc>
          <w:tcPr>
            <w:tcW w:w="1138" w:type="dxa"/>
            <w:shd w:val="clear" w:color="auto" w:fill="1B556B"/>
            <w:tcMar>
              <w:top w:w="0" w:type="dxa"/>
              <w:left w:w="85" w:type="dxa"/>
              <w:bottom w:w="0" w:type="dxa"/>
              <w:right w:w="85" w:type="dxa"/>
            </w:tcMar>
            <w:vAlign w:val="center"/>
          </w:tcPr>
          <w:p w14:paraId="1F274C58"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Change (%)</w:t>
            </w:r>
          </w:p>
        </w:tc>
      </w:tr>
      <w:tr w:rsidR="00E0181F" w:rsidRPr="001D5327" w14:paraId="6881A41D" w14:textId="77777777" w:rsidTr="00D11AC9">
        <w:tc>
          <w:tcPr>
            <w:tcW w:w="2122" w:type="dxa"/>
            <w:shd w:val="clear" w:color="auto" w:fill="FFFFFF"/>
            <w:tcMar>
              <w:top w:w="0" w:type="dxa"/>
              <w:left w:w="85" w:type="dxa"/>
              <w:bottom w:w="0" w:type="dxa"/>
              <w:right w:w="85" w:type="dxa"/>
            </w:tcMar>
            <w:vAlign w:val="center"/>
          </w:tcPr>
          <w:p w14:paraId="7C5B59F9" w14:textId="77777777" w:rsidR="00E0181F" w:rsidRPr="001D5327" w:rsidRDefault="00E0181F" w:rsidP="00D11AC9">
            <w:pPr>
              <w:pStyle w:val="Tableboldblue"/>
              <w:spacing w:before="40" w:after="40"/>
            </w:pPr>
            <w:r w:rsidRPr="001D5327">
              <w:rPr>
                <w:rFonts w:eastAsia="Calibri"/>
              </w:rPr>
              <w:t>Net emissions (kt CO</w:t>
            </w:r>
            <w:r w:rsidRPr="001D5327">
              <w:rPr>
                <w:rFonts w:eastAsia="Calibri"/>
                <w:vertAlign w:val="subscript"/>
              </w:rPr>
              <w:t>2</w:t>
            </w:r>
            <w:r w:rsidRPr="001D5327">
              <w:rPr>
                <w:rFonts w:eastAsia="Calibri"/>
              </w:rPr>
              <w:t>-e)</w:t>
            </w:r>
          </w:p>
        </w:tc>
        <w:tc>
          <w:tcPr>
            <w:tcW w:w="1417" w:type="dxa"/>
            <w:shd w:val="clear" w:color="auto" w:fill="FFFFFF"/>
            <w:tcMar>
              <w:top w:w="0" w:type="dxa"/>
              <w:left w:w="85" w:type="dxa"/>
              <w:bottom w:w="0" w:type="dxa"/>
              <w:right w:w="85" w:type="dxa"/>
            </w:tcMar>
            <w:vAlign w:val="center"/>
          </w:tcPr>
          <w:p w14:paraId="5797A6B5" w14:textId="77777777" w:rsidR="00E0181F" w:rsidRPr="001D5327" w:rsidRDefault="00E0181F" w:rsidP="00D11AC9">
            <w:pPr>
              <w:pStyle w:val="Tableboldblue"/>
              <w:spacing w:before="40" w:after="40"/>
              <w:jc w:val="right"/>
            </w:pPr>
          </w:p>
        </w:tc>
        <w:tc>
          <w:tcPr>
            <w:tcW w:w="1559" w:type="dxa"/>
            <w:shd w:val="clear" w:color="auto" w:fill="FFFFFF"/>
            <w:tcMar>
              <w:top w:w="0" w:type="dxa"/>
              <w:left w:w="85" w:type="dxa"/>
              <w:bottom w:w="0" w:type="dxa"/>
              <w:right w:w="85" w:type="dxa"/>
            </w:tcMar>
            <w:vAlign w:val="center"/>
          </w:tcPr>
          <w:p w14:paraId="6FE35454" w14:textId="77777777" w:rsidR="00E0181F" w:rsidRPr="001D5327" w:rsidRDefault="00E0181F" w:rsidP="00D11AC9">
            <w:pPr>
              <w:pStyle w:val="Tableboldblue"/>
              <w:spacing w:before="40" w:after="40"/>
              <w:jc w:val="right"/>
            </w:pPr>
          </w:p>
        </w:tc>
        <w:tc>
          <w:tcPr>
            <w:tcW w:w="2268" w:type="dxa"/>
            <w:shd w:val="clear" w:color="auto" w:fill="FFFFFF"/>
            <w:tcMar>
              <w:top w:w="0" w:type="dxa"/>
              <w:left w:w="85" w:type="dxa"/>
              <w:bottom w:w="0" w:type="dxa"/>
              <w:right w:w="85" w:type="dxa"/>
            </w:tcMar>
            <w:vAlign w:val="center"/>
          </w:tcPr>
          <w:p w14:paraId="7F270DE7" w14:textId="77777777" w:rsidR="00E0181F" w:rsidRPr="001D5327" w:rsidRDefault="00E0181F" w:rsidP="00D11AC9">
            <w:pPr>
              <w:pStyle w:val="Tableboldblue"/>
              <w:spacing w:before="40" w:after="40"/>
              <w:jc w:val="right"/>
            </w:pPr>
          </w:p>
        </w:tc>
        <w:tc>
          <w:tcPr>
            <w:tcW w:w="1138" w:type="dxa"/>
            <w:shd w:val="clear" w:color="auto" w:fill="FFFFFF"/>
            <w:tcMar>
              <w:top w:w="0" w:type="dxa"/>
              <w:left w:w="85" w:type="dxa"/>
              <w:bottom w:w="0" w:type="dxa"/>
              <w:right w:w="85" w:type="dxa"/>
            </w:tcMar>
            <w:vAlign w:val="center"/>
          </w:tcPr>
          <w:p w14:paraId="184D4CA2" w14:textId="77777777" w:rsidR="00E0181F" w:rsidRPr="001D5327" w:rsidRDefault="00E0181F" w:rsidP="00D11AC9">
            <w:pPr>
              <w:pStyle w:val="Tableboldblue"/>
              <w:spacing w:before="40" w:after="40"/>
              <w:jc w:val="right"/>
            </w:pPr>
          </w:p>
        </w:tc>
      </w:tr>
      <w:tr w:rsidR="00E0181F" w:rsidRPr="001D5327" w14:paraId="2B2D12DF" w14:textId="77777777" w:rsidTr="00D11AC9">
        <w:tc>
          <w:tcPr>
            <w:tcW w:w="2122" w:type="dxa"/>
            <w:shd w:val="clear" w:color="auto" w:fill="FFFFFF"/>
            <w:tcMar>
              <w:top w:w="0" w:type="dxa"/>
              <w:left w:w="85" w:type="dxa"/>
              <w:bottom w:w="0" w:type="dxa"/>
              <w:right w:w="85" w:type="dxa"/>
            </w:tcMar>
            <w:vAlign w:val="center"/>
          </w:tcPr>
          <w:p w14:paraId="5081CE64" w14:textId="77777777" w:rsidR="00E0181F" w:rsidRPr="001D5327" w:rsidRDefault="00E0181F" w:rsidP="00D11AC9">
            <w:pPr>
              <w:pStyle w:val="TableText"/>
              <w:spacing w:before="40" w:after="40"/>
            </w:pPr>
            <w:r w:rsidRPr="001D5327">
              <w:rPr>
                <w:rFonts w:eastAsia="Calibri"/>
              </w:rPr>
              <w:t>1990</w:t>
            </w:r>
          </w:p>
        </w:tc>
        <w:tc>
          <w:tcPr>
            <w:tcW w:w="1417" w:type="dxa"/>
            <w:shd w:val="clear" w:color="auto" w:fill="FFFFFF"/>
            <w:tcMar>
              <w:top w:w="0" w:type="dxa"/>
              <w:left w:w="85" w:type="dxa"/>
              <w:bottom w:w="0" w:type="dxa"/>
              <w:right w:w="85" w:type="dxa"/>
            </w:tcMar>
            <w:vAlign w:val="center"/>
          </w:tcPr>
          <w:p w14:paraId="1ED7B4B6" w14:textId="77777777" w:rsidR="00E0181F" w:rsidRPr="001D5327" w:rsidRDefault="00E0181F" w:rsidP="00D11AC9">
            <w:pPr>
              <w:pStyle w:val="TableText"/>
              <w:spacing w:before="40" w:after="40"/>
              <w:jc w:val="right"/>
            </w:pPr>
            <w:r w:rsidRPr="001D5327">
              <w:rPr>
                <w:rFonts w:eastAsia="Calibri"/>
              </w:rPr>
              <w:t>78.9</w:t>
            </w:r>
          </w:p>
        </w:tc>
        <w:tc>
          <w:tcPr>
            <w:tcW w:w="1559" w:type="dxa"/>
            <w:shd w:val="clear" w:color="auto" w:fill="FFFFFF"/>
            <w:tcMar>
              <w:top w:w="0" w:type="dxa"/>
              <w:left w:w="85" w:type="dxa"/>
              <w:bottom w:w="0" w:type="dxa"/>
              <w:right w:w="85" w:type="dxa"/>
            </w:tcMar>
            <w:vAlign w:val="center"/>
          </w:tcPr>
          <w:p w14:paraId="543C708D" w14:textId="77777777" w:rsidR="00E0181F" w:rsidRPr="001D5327" w:rsidRDefault="00E0181F" w:rsidP="00D11AC9">
            <w:pPr>
              <w:pStyle w:val="TableText"/>
              <w:spacing w:before="40" w:after="40"/>
              <w:jc w:val="right"/>
            </w:pPr>
            <w:r w:rsidRPr="001D5327">
              <w:rPr>
                <w:rFonts w:eastAsia="Calibri"/>
              </w:rPr>
              <w:t>78.5</w:t>
            </w:r>
          </w:p>
        </w:tc>
        <w:tc>
          <w:tcPr>
            <w:tcW w:w="2268" w:type="dxa"/>
            <w:shd w:val="clear" w:color="auto" w:fill="FFFFFF"/>
            <w:tcMar>
              <w:top w:w="0" w:type="dxa"/>
              <w:left w:w="85" w:type="dxa"/>
              <w:bottom w:w="0" w:type="dxa"/>
              <w:right w:w="85" w:type="dxa"/>
            </w:tcMar>
            <w:vAlign w:val="center"/>
          </w:tcPr>
          <w:p w14:paraId="2DB6A12C" w14:textId="259962E0" w:rsidR="00E0181F" w:rsidRPr="001D5327" w:rsidRDefault="0070503C" w:rsidP="00D11AC9">
            <w:pPr>
              <w:pStyle w:val="TableText"/>
              <w:spacing w:before="40" w:after="40"/>
              <w:jc w:val="right"/>
            </w:pPr>
            <w:r>
              <w:rPr>
                <w:rFonts w:eastAsia="Calibri"/>
              </w:rPr>
              <w:t>-</w:t>
            </w:r>
            <w:r w:rsidR="00E0181F" w:rsidRPr="001D5327">
              <w:rPr>
                <w:rFonts w:eastAsia="Calibri"/>
              </w:rPr>
              <w:t>0.4</w:t>
            </w:r>
          </w:p>
        </w:tc>
        <w:tc>
          <w:tcPr>
            <w:tcW w:w="1138" w:type="dxa"/>
            <w:shd w:val="clear" w:color="auto" w:fill="FFFFFF"/>
            <w:tcMar>
              <w:top w:w="0" w:type="dxa"/>
              <w:left w:w="85" w:type="dxa"/>
              <w:bottom w:w="0" w:type="dxa"/>
              <w:right w:w="85" w:type="dxa"/>
            </w:tcMar>
            <w:vAlign w:val="center"/>
          </w:tcPr>
          <w:p w14:paraId="5251E78E" w14:textId="3AB6990A" w:rsidR="00E0181F" w:rsidRPr="001D5327" w:rsidRDefault="0070503C" w:rsidP="00D11AC9">
            <w:pPr>
              <w:pStyle w:val="TableText"/>
              <w:spacing w:before="40" w:after="40"/>
              <w:jc w:val="right"/>
            </w:pPr>
            <w:r>
              <w:rPr>
                <w:rFonts w:eastAsia="Calibri"/>
              </w:rPr>
              <w:t>-</w:t>
            </w:r>
            <w:r w:rsidR="00E0181F" w:rsidRPr="001D5327">
              <w:rPr>
                <w:rFonts w:eastAsia="Calibri"/>
              </w:rPr>
              <w:t>0.5</w:t>
            </w:r>
          </w:p>
        </w:tc>
      </w:tr>
      <w:tr w:rsidR="00E0181F" w:rsidRPr="001D5327" w14:paraId="187E1645" w14:textId="77777777" w:rsidTr="00D11AC9">
        <w:tc>
          <w:tcPr>
            <w:tcW w:w="2122" w:type="dxa"/>
            <w:shd w:val="clear" w:color="auto" w:fill="FFFFFF"/>
            <w:tcMar>
              <w:top w:w="0" w:type="dxa"/>
              <w:left w:w="85" w:type="dxa"/>
              <w:bottom w:w="0" w:type="dxa"/>
              <w:right w:w="85" w:type="dxa"/>
            </w:tcMar>
            <w:vAlign w:val="center"/>
          </w:tcPr>
          <w:p w14:paraId="7B39B825" w14:textId="77777777" w:rsidR="00E0181F" w:rsidRPr="001D5327" w:rsidRDefault="00E0181F" w:rsidP="00D11AC9">
            <w:pPr>
              <w:pStyle w:val="TableText"/>
              <w:spacing w:before="40" w:after="40"/>
            </w:pPr>
            <w:r w:rsidRPr="001D5327">
              <w:rPr>
                <w:rFonts w:eastAsia="Calibri"/>
              </w:rPr>
              <w:t>2022</w:t>
            </w:r>
          </w:p>
        </w:tc>
        <w:tc>
          <w:tcPr>
            <w:tcW w:w="1417" w:type="dxa"/>
            <w:shd w:val="clear" w:color="auto" w:fill="FFFFFF"/>
            <w:tcMar>
              <w:top w:w="0" w:type="dxa"/>
              <w:left w:w="85" w:type="dxa"/>
              <w:bottom w:w="0" w:type="dxa"/>
              <w:right w:w="85" w:type="dxa"/>
            </w:tcMar>
            <w:vAlign w:val="center"/>
          </w:tcPr>
          <w:p w14:paraId="705A5A0D" w14:textId="77777777" w:rsidR="00E0181F" w:rsidRPr="001D5327" w:rsidRDefault="00E0181F" w:rsidP="00D11AC9">
            <w:pPr>
              <w:pStyle w:val="TableText"/>
              <w:spacing w:before="40" w:after="40"/>
              <w:jc w:val="right"/>
            </w:pPr>
            <w:r w:rsidRPr="001D5327">
              <w:rPr>
                <w:rFonts w:eastAsia="Calibri"/>
              </w:rPr>
              <w:t>118.0</w:t>
            </w:r>
          </w:p>
        </w:tc>
        <w:tc>
          <w:tcPr>
            <w:tcW w:w="1559" w:type="dxa"/>
            <w:shd w:val="clear" w:color="auto" w:fill="FFFFFF"/>
            <w:tcMar>
              <w:top w:w="0" w:type="dxa"/>
              <w:left w:w="85" w:type="dxa"/>
              <w:bottom w:w="0" w:type="dxa"/>
              <w:right w:w="85" w:type="dxa"/>
            </w:tcMar>
            <w:vAlign w:val="center"/>
          </w:tcPr>
          <w:p w14:paraId="553D933E" w14:textId="77777777" w:rsidR="00E0181F" w:rsidRPr="001D5327" w:rsidRDefault="00E0181F" w:rsidP="00D11AC9">
            <w:pPr>
              <w:pStyle w:val="TableText"/>
              <w:spacing w:before="40" w:after="40"/>
              <w:jc w:val="right"/>
            </w:pPr>
            <w:r w:rsidRPr="001D5327">
              <w:rPr>
                <w:rFonts w:eastAsia="Calibri"/>
              </w:rPr>
              <w:t>118.9</w:t>
            </w:r>
          </w:p>
        </w:tc>
        <w:tc>
          <w:tcPr>
            <w:tcW w:w="2268" w:type="dxa"/>
            <w:shd w:val="clear" w:color="auto" w:fill="FFFFFF"/>
            <w:tcMar>
              <w:top w:w="0" w:type="dxa"/>
              <w:left w:w="85" w:type="dxa"/>
              <w:bottom w:w="0" w:type="dxa"/>
              <w:right w:w="85" w:type="dxa"/>
            </w:tcMar>
            <w:vAlign w:val="center"/>
          </w:tcPr>
          <w:p w14:paraId="3646885E" w14:textId="77777777" w:rsidR="00E0181F" w:rsidRPr="001D5327" w:rsidRDefault="00E0181F" w:rsidP="00D11AC9">
            <w:pPr>
              <w:pStyle w:val="TableText"/>
              <w:spacing w:before="40" w:after="40"/>
              <w:jc w:val="right"/>
            </w:pPr>
            <w:r w:rsidRPr="001D5327">
              <w:rPr>
                <w:rFonts w:eastAsia="Calibri"/>
              </w:rPr>
              <w:t>0.8</w:t>
            </w:r>
          </w:p>
        </w:tc>
        <w:tc>
          <w:tcPr>
            <w:tcW w:w="1138" w:type="dxa"/>
            <w:shd w:val="clear" w:color="auto" w:fill="FFFFFF"/>
            <w:tcMar>
              <w:top w:w="0" w:type="dxa"/>
              <w:left w:w="85" w:type="dxa"/>
              <w:bottom w:w="0" w:type="dxa"/>
              <w:right w:w="85" w:type="dxa"/>
            </w:tcMar>
            <w:vAlign w:val="center"/>
          </w:tcPr>
          <w:p w14:paraId="4AEA45A1" w14:textId="77777777" w:rsidR="00E0181F" w:rsidRPr="001D5327" w:rsidRDefault="00E0181F" w:rsidP="00D11AC9">
            <w:pPr>
              <w:pStyle w:val="TableText"/>
              <w:spacing w:before="40" w:after="40"/>
              <w:jc w:val="right"/>
            </w:pPr>
            <w:r w:rsidRPr="001D5327">
              <w:rPr>
                <w:rFonts w:eastAsia="Calibri"/>
              </w:rPr>
              <w:t>0.7</w:t>
            </w:r>
          </w:p>
        </w:tc>
      </w:tr>
      <w:tr w:rsidR="00E0181F" w:rsidRPr="001D5327" w14:paraId="7DD2D9DE" w14:textId="77777777" w:rsidTr="00D11AC9">
        <w:tc>
          <w:tcPr>
            <w:tcW w:w="2122" w:type="dxa"/>
            <w:shd w:val="clear" w:color="auto" w:fill="FFFFFF"/>
            <w:tcMar>
              <w:top w:w="0" w:type="dxa"/>
              <w:left w:w="85" w:type="dxa"/>
              <w:bottom w:w="0" w:type="dxa"/>
              <w:right w:w="85" w:type="dxa"/>
            </w:tcMar>
            <w:vAlign w:val="center"/>
          </w:tcPr>
          <w:p w14:paraId="3829144F" w14:textId="77777777" w:rsidR="00E0181F" w:rsidRPr="001D5327" w:rsidRDefault="00E0181F" w:rsidP="00D11AC9">
            <w:pPr>
              <w:pStyle w:val="Tableboldblue"/>
              <w:spacing w:before="40" w:after="40"/>
            </w:pPr>
            <w:r w:rsidRPr="001D5327">
              <w:rPr>
                <w:rFonts w:eastAsia="Calibri"/>
              </w:rPr>
              <w:t>Area (hectares)</w:t>
            </w:r>
          </w:p>
        </w:tc>
        <w:tc>
          <w:tcPr>
            <w:tcW w:w="1417" w:type="dxa"/>
            <w:shd w:val="clear" w:color="auto" w:fill="FFFFFF"/>
            <w:tcMar>
              <w:top w:w="0" w:type="dxa"/>
              <w:left w:w="85" w:type="dxa"/>
              <w:bottom w:w="0" w:type="dxa"/>
              <w:right w:w="85" w:type="dxa"/>
            </w:tcMar>
            <w:vAlign w:val="center"/>
          </w:tcPr>
          <w:p w14:paraId="1AFCD9DE" w14:textId="77777777" w:rsidR="00E0181F" w:rsidRPr="001D5327" w:rsidRDefault="00E0181F" w:rsidP="00D11AC9">
            <w:pPr>
              <w:pStyle w:val="Tableboldblue"/>
              <w:spacing w:before="40" w:after="40"/>
              <w:jc w:val="right"/>
            </w:pPr>
          </w:p>
        </w:tc>
        <w:tc>
          <w:tcPr>
            <w:tcW w:w="1559" w:type="dxa"/>
            <w:shd w:val="clear" w:color="auto" w:fill="FFFFFF"/>
            <w:tcMar>
              <w:top w:w="0" w:type="dxa"/>
              <w:left w:w="85" w:type="dxa"/>
              <w:bottom w:w="0" w:type="dxa"/>
              <w:right w:w="85" w:type="dxa"/>
            </w:tcMar>
            <w:vAlign w:val="center"/>
          </w:tcPr>
          <w:p w14:paraId="713ED1D8" w14:textId="77777777" w:rsidR="00E0181F" w:rsidRPr="001D5327" w:rsidRDefault="00E0181F" w:rsidP="00D11AC9">
            <w:pPr>
              <w:pStyle w:val="Tableboldblue"/>
              <w:spacing w:before="40" w:after="40"/>
              <w:jc w:val="right"/>
            </w:pPr>
          </w:p>
        </w:tc>
        <w:tc>
          <w:tcPr>
            <w:tcW w:w="2268" w:type="dxa"/>
            <w:shd w:val="clear" w:color="auto" w:fill="FFFFFF"/>
            <w:tcMar>
              <w:top w:w="0" w:type="dxa"/>
              <w:left w:w="85" w:type="dxa"/>
              <w:bottom w:w="0" w:type="dxa"/>
              <w:right w:w="85" w:type="dxa"/>
            </w:tcMar>
            <w:vAlign w:val="center"/>
          </w:tcPr>
          <w:p w14:paraId="12052E27" w14:textId="77777777" w:rsidR="00E0181F" w:rsidRPr="001D5327" w:rsidRDefault="00E0181F" w:rsidP="00D11AC9">
            <w:pPr>
              <w:pStyle w:val="Tableboldblue"/>
              <w:spacing w:before="40" w:after="40"/>
              <w:jc w:val="right"/>
            </w:pPr>
          </w:p>
        </w:tc>
        <w:tc>
          <w:tcPr>
            <w:tcW w:w="1138" w:type="dxa"/>
            <w:shd w:val="clear" w:color="auto" w:fill="FFFFFF"/>
            <w:tcMar>
              <w:top w:w="0" w:type="dxa"/>
              <w:left w:w="85" w:type="dxa"/>
              <w:bottom w:w="0" w:type="dxa"/>
              <w:right w:w="85" w:type="dxa"/>
            </w:tcMar>
            <w:vAlign w:val="center"/>
          </w:tcPr>
          <w:p w14:paraId="6BC84A2F" w14:textId="77777777" w:rsidR="00E0181F" w:rsidRPr="001D5327" w:rsidRDefault="00E0181F" w:rsidP="00D11AC9">
            <w:pPr>
              <w:pStyle w:val="Tableboldblue"/>
              <w:spacing w:before="40" w:after="40"/>
              <w:jc w:val="right"/>
            </w:pPr>
          </w:p>
        </w:tc>
      </w:tr>
      <w:tr w:rsidR="00E0181F" w:rsidRPr="001D5327" w14:paraId="30BB538C" w14:textId="77777777" w:rsidTr="00D11AC9">
        <w:tc>
          <w:tcPr>
            <w:tcW w:w="2122" w:type="dxa"/>
            <w:shd w:val="clear" w:color="auto" w:fill="FFFFFF"/>
            <w:tcMar>
              <w:top w:w="0" w:type="dxa"/>
              <w:left w:w="85" w:type="dxa"/>
              <w:bottom w:w="0" w:type="dxa"/>
              <w:right w:w="85" w:type="dxa"/>
            </w:tcMar>
            <w:vAlign w:val="center"/>
          </w:tcPr>
          <w:p w14:paraId="1CFD0FF6" w14:textId="77777777" w:rsidR="00E0181F" w:rsidRPr="001D5327" w:rsidRDefault="00E0181F" w:rsidP="00D11AC9">
            <w:pPr>
              <w:pStyle w:val="TableText"/>
              <w:spacing w:before="40" w:after="40"/>
            </w:pPr>
            <w:r w:rsidRPr="001D5327">
              <w:rPr>
                <w:rFonts w:eastAsia="Calibri"/>
              </w:rPr>
              <w:t>1990</w:t>
            </w:r>
          </w:p>
        </w:tc>
        <w:tc>
          <w:tcPr>
            <w:tcW w:w="1417" w:type="dxa"/>
            <w:shd w:val="clear" w:color="auto" w:fill="FFFFFF"/>
            <w:tcMar>
              <w:top w:w="0" w:type="dxa"/>
              <w:left w:w="85" w:type="dxa"/>
              <w:bottom w:w="0" w:type="dxa"/>
              <w:right w:w="85" w:type="dxa"/>
            </w:tcMar>
            <w:vAlign w:val="center"/>
          </w:tcPr>
          <w:p w14:paraId="335A2304" w14:textId="77777777" w:rsidR="00E0181F" w:rsidRPr="001D5327" w:rsidRDefault="00E0181F" w:rsidP="00D11AC9">
            <w:pPr>
              <w:pStyle w:val="TableText"/>
              <w:spacing w:before="40" w:after="40"/>
              <w:jc w:val="right"/>
            </w:pPr>
            <w:r w:rsidRPr="001D5327">
              <w:rPr>
                <w:rFonts w:eastAsia="Calibri"/>
              </w:rPr>
              <w:t>209,319</w:t>
            </w:r>
          </w:p>
        </w:tc>
        <w:tc>
          <w:tcPr>
            <w:tcW w:w="1559" w:type="dxa"/>
            <w:shd w:val="clear" w:color="auto" w:fill="FFFFFF"/>
            <w:tcMar>
              <w:top w:w="0" w:type="dxa"/>
              <w:left w:w="85" w:type="dxa"/>
              <w:bottom w:w="0" w:type="dxa"/>
              <w:right w:w="85" w:type="dxa"/>
            </w:tcMar>
            <w:vAlign w:val="center"/>
          </w:tcPr>
          <w:p w14:paraId="23FE1158" w14:textId="77777777" w:rsidR="00E0181F" w:rsidRPr="001D5327" w:rsidRDefault="00E0181F" w:rsidP="00D11AC9">
            <w:pPr>
              <w:pStyle w:val="TableText"/>
              <w:spacing w:before="40" w:after="40"/>
              <w:jc w:val="right"/>
            </w:pPr>
            <w:r w:rsidRPr="001D5327">
              <w:rPr>
                <w:rFonts w:eastAsia="Calibri"/>
              </w:rPr>
              <w:t>209,166</w:t>
            </w:r>
          </w:p>
        </w:tc>
        <w:tc>
          <w:tcPr>
            <w:tcW w:w="2268" w:type="dxa"/>
            <w:shd w:val="clear" w:color="auto" w:fill="FFFFFF"/>
            <w:tcMar>
              <w:top w:w="0" w:type="dxa"/>
              <w:left w:w="85" w:type="dxa"/>
              <w:bottom w:w="0" w:type="dxa"/>
              <w:right w:w="85" w:type="dxa"/>
            </w:tcMar>
            <w:vAlign w:val="center"/>
          </w:tcPr>
          <w:p w14:paraId="64EC1BFB" w14:textId="1EDBB545" w:rsidR="00E0181F" w:rsidRPr="001D5327" w:rsidRDefault="0070503C" w:rsidP="00D11AC9">
            <w:pPr>
              <w:pStyle w:val="TableText"/>
              <w:spacing w:before="40" w:after="40"/>
              <w:jc w:val="right"/>
            </w:pPr>
            <w:r>
              <w:rPr>
                <w:rFonts w:eastAsia="Calibri"/>
              </w:rPr>
              <w:t>-</w:t>
            </w:r>
            <w:r w:rsidR="00E0181F" w:rsidRPr="001D5327">
              <w:rPr>
                <w:rFonts w:eastAsia="Calibri"/>
              </w:rPr>
              <w:t>153</w:t>
            </w:r>
          </w:p>
        </w:tc>
        <w:tc>
          <w:tcPr>
            <w:tcW w:w="1138" w:type="dxa"/>
            <w:shd w:val="clear" w:color="auto" w:fill="FFFFFF"/>
            <w:tcMar>
              <w:top w:w="0" w:type="dxa"/>
              <w:left w:w="85" w:type="dxa"/>
              <w:bottom w:w="0" w:type="dxa"/>
              <w:right w:w="85" w:type="dxa"/>
            </w:tcMar>
            <w:vAlign w:val="center"/>
          </w:tcPr>
          <w:p w14:paraId="50FA632B" w14:textId="5BE439B7" w:rsidR="00E0181F" w:rsidRPr="001D5327" w:rsidRDefault="0070503C" w:rsidP="00D11AC9">
            <w:pPr>
              <w:pStyle w:val="TableText"/>
              <w:spacing w:before="40" w:after="40"/>
              <w:jc w:val="right"/>
            </w:pPr>
            <w:r>
              <w:rPr>
                <w:rFonts w:eastAsia="Calibri"/>
              </w:rPr>
              <w:t>-</w:t>
            </w:r>
            <w:r w:rsidR="00E0181F" w:rsidRPr="001D5327">
              <w:rPr>
                <w:rFonts w:eastAsia="Calibri"/>
              </w:rPr>
              <w:t>0.1</w:t>
            </w:r>
          </w:p>
        </w:tc>
      </w:tr>
      <w:tr w:rsidR="00E0181F" w:rsidRPr="001D5327" w14:paraId="41E588FC" w14:textId="77777777" w:rsidTr="00D11AC9">
        <w:tc>
          <w:tcPr>
            <w:tcW w:w="2122" w:type="dxa"/>
            <w:shd w:val="clear" w:color="auto" w:fill="FFFFFF"/>
            <w:tcMar>
              <w:top w:w="0" w:type="dxa"/>
              <w:left w:w="85" w:type="dxa"/>
              <w:bottom w:w="0" w:type="dxa"/>
              <w:right w:w="85" w:type="dxa"/>
            </w:tcMar>
            <w:vAlign w:val="center"/>
          </w:tcPr>
          <w:p w14:paraId="1D80DD0E" w14:textId="77777777" w:rsidR="00E0181F" w:rsidRPr="001D5327" w:rsidRDefault="00E0181F" w:rsidP="00D11AC9">
            <w:pPr>
              <w:pStyle w:val="TableText"/>
              <w:spacing w:before="40" w:after="40"/>
            </w:pPr>
            <w:r w:rsidRPr="001D5327">
              <w:rPr>
                <w:rFonts w:eastAsia="Calibri"/>
              </w:rPr>
              <w:t>2022</w:t>
            </w:r>
          </w:p>
        </w:tc>
        <w:tc>
          <w:tcPr>
            <w:tcW w:w="1417" w:type="dxa"/>
            <w:shd w:val="clear" w:color="auto" w:fill="FFFFFF"/>
            <w:tcMar>
              <w:top w:w="0" w:type="dxa"/>
              <w:left w:w="85" w:type="dxa"/>
              <w:bottom w:w="0" w:type="dxa"/>
              <w:right w:w="85" w:type="dxa"/>
            </w:tcMar>
            <w:vAlign w:val="center"/>
          </w:tcPr>
          <w:p w14:paraId="73AD2897" w14:textId="77777777" w:rsidR="00E0181F" w:rsidRPr="001D5327" w:rsidRDefault="00E0181F" w:rsidP="00D11AC9">
            <w:pPr>
              <w:pStyle w:val="TableText"/>
              <w:spacing w:before="40" w:after="40"/>
              <w:jc w:val="right"/>
            </w:pPr>
            <w:r w:rsidRPr="001D5327">
              <w:rPr>
                <w:rFonts w:eastAsia="Calibri"/>
              </w:rPr>
              <w:t>242,694</w:t>
            </w:r>
          </w:p>
        </w:tc>
        <w:tc>
          <w:tcPr>
            <w:tcW w:w="1559" w:type="dxa"/>
            <w:shd w:val="clear" w:color="auto" w:fill="FFFFFF"/>
            <w:tcMar>
              <w:top w:w="0" w:type="dxa"/>
              <w:left w:w="85" w:type="dxa"/>
              <w:bottom w:w="0" w:type="dxa"/>
              <w:right w:w="85" w:type="dxa"/>
            </w:tcMar>
            <w:vAlign w:val="center"/>
          </w:tcPr>
          <w:p w14:paraId="54FB2622" w14:textId="77777777" w:rsidR="00E0181F" w:rsidRPr="001D5327" w:rsidRDefault="00E0181F" w:rsidP="00D11AC9">
            <w:pPr>
              <w:pStyle w:val="TableText"/>
              <w:spacing w:before="40" w:after="40"/>
              <w:jc w:val="right"/>
            </w:pPr>
            <w:r w:rsidRPr="001D5327">
              <w:rPr>
                <w:rFonts w:eastAsia="Calibri"/>
              </w:rPr>
              <w:t>242,683</w:t>
            </w:r>
          </w:p>
        </w:tc>
        <w:tc>
          <w:tcPr>
            <w:tcW w:w="2268" w:type="dxa"/>
            <w:shd w:val="clear" w:color="auto" w:fill="FFFFFF"/>
            <w:tcMar>
              <w:top w:w="0" w:type="dxa"/>
              <w:left w:w="85" w:type="dxa"/>
              <w:bottom w:w="0" w:type="dxa"/>
              <w:right w:w="85" w:type="dxa"/>
            </w:tcMar>
            <w:vAlign w:val="center"/>
          </w:tcPr>
          <w:p w14:paraId="41F2DB2A" w14:textId="1DCED130" w:rsidR="00E0181F" w:rsidRPr="001D5327" w:rsidRDefault="0070503C" w:rsidP="00D11AC9">
            <w:pPr>
              <w:pStyle w:val="TableText"/>
              <w:spacing w:before="40" w:after="40"/>
              <w:jc w:val="right"/>
            </w:pPr>
            <w:r>
              <w:rPr>
                <w:rFonts w:eastAsia="Calibri"/>
              </w:rPr>
              <w:t>-</w:t>
            </w:r>
            <w:r w:rsidR="00E0181F" w:rsidRPr="001D5327">
              <w:rPr>
                <w:rFonts w:eastAsia="Calibri"/>
              </w:rPr>
              <w:t>10</w:t>
            </w:r>
          </w:p>
        </w:tc>
        <w:tc>
          <w:tcPr>
            <w:tcW w:w="1138" w:type="dxa"/>
            <w:shd w:val="clear" w:color="auto" w:fill="FFFFFF"/>
            <w:tcMar>
              <w:top w:w="0" w:type="dxa"/>
              <w:left w:w="85" w:type="dxa"/>
              <w:bottom w:w="0" w:type="dxa"/>
              <w:right w:w="85" w:type="dxa"/>
            </w:tcMar>
            <w:vAlign w:val="center"/>
          </w:tcPr>
          <w:p w14:paraId="1CCEBAEB" w14:textId="6F3DE9A8" w:rsidR="00E0181F" w:rsidRPr="001D5327" w:rsidRDefault="0070503C" w:rsidP="00D11AC9">
            <w:pPr>
              <w:pStyle w:val="TableText"/>
              <w:spacing w:before="40" w:after="40"/>
              <w:jc w:val="right"/>
            </w:pPr>
            <w:r>
              <w:rPr>
                <w:rFonts w:eastAsia="Calibri"/>
              </w:rPr>
              <w:t>-</w:t>
            </w:r>
            <w:r w:rsidR="00E0181F" w:rsidRPr="001D5327">
              <w:rPr>
                <w:rFonts w:eastAsia="Calibri"/>
              </w:rPr>
              <w:t>0.0</w:t>
            </w:r>
          </w:p>
        </w:tc>
      </w:tr>
    </w:tbl>
    <w:p w14:paraId="1DC50D8E" w14:textId="77777777" w:rsidR="00E0181F" w:rsidRPr="001D5327" w:rsidRDefault="00E0181F" w:rsidP="00126FD7">
      <w:pPr>
        <w:pStyle w:val="Heading3"/>
        <w:spacing w:before="400"/>
      </w:pPr>
      <w:r w:rsidRPr="001D5327">
        <w:t>6.8.6</w:t>
      </w:r>
      <w:r w:rsidRPr="001D5327">
        <w:tab/>
        <w:t>Category-specific planned improvements</w:t>
      </w:r>
    </w:p>
    <w:p w14:paraId="2BA5CA8B" w14:textId="77777777" w:rsidR="00E0181F" w:rsidRPr="001D5327" w:rsidRDefault="00E0181F" w:rsidP="00032167">
      <w:pPr>
        <w:pStyle w:val="BodyText"/>
        <w:spacing w:before="100" w:after="100"/>
      </w:pPr>
      <w:r w:rsidRPr="001D5327">
        <w:t>During the review of the 2021 submission, the ERT recommended that New Zealand calculate N</w:t>
      </w:r>
      <w:r w:rsidRPr="001D5327">
        <w:rPr>
          <w:vertAlign w:val="subscript"/>
        </w:rPr>
        <w:t>2</w:t>
      </w:r>
      <w:r w:rsidRPr="001D5327">
        <w:t>O emissions associated with the drainage of organic soils in settlements. Although there is no default method in the IPCC 2006 Guidelines (IPCC, 2006a) for N</w:t>
      </w:r>
      <w:r w:rsidRPr="001D5327">
        <w:rPr>
          <w:vertAlign w:val="subscript"/>
        </w:rPr>
        <w:t>2</w:t>
      </w:r>
      <w:r w:rsidRPr="001D5327">
        <w:t xml:space="preserve">O emissions associated with </w:t>
      </w:r>
      <w:r w:rsidRPr="001D5327">
        <w:lastRenderedPageBreak/>
        <w:t xml:space="preserve">drainage for this land use category, New Zealand considers that most of its </w:t>
      </w:r>
      <w:r w:rsidRPr="001D5327">
        <w:rPr>
          <w:i/>
        </w:rPr>
        <w:t>Settlements</w:t>
      </w:r>
      <w:r w:rsidRPr="001D5327">
        <w:t xml:space="preserve"> area can be assimilated to </w:t>
      </w:r>
      <w:r w:rsidRPr="001D5327">
        <w:rPr>
          <w:i/>
          <w:iCs/>
        </w:rPr>
        <w:t>Grassland</w:t>
      </w:r>
      <w:r w:rsidRPr="001D5327">
        <w:t xml:space="preserve"> when it comes to soil carbon. Therefore, the default methods </w:t>
      </w:r>
      <w:r w:rsidRPr="001D5327">
        <w:rPr>
          <w:spacing w:val="-2"/>
        </w:rPr>
        <w:t xml:space="preserve">applied to </w:t>
      </w:r>
      <w:r w:rsidRPr="001D5327">
        <w:rPr>
          <w:i/>
          <w:spacing w:val="-2"/>
        </w:rPr>
        <w:t>Grassland</w:t>
      </w:r>
      <w:r w:rsidRPr="001D5327">
        <w:rPr>
          <w:spacing w:val="-2"/>
        </w:rPr>
        <w:t xml:space="preserve"> should also be applied to </w:t>
      </w:r>
      <w:r w:rsidRPr="001D5327">
        <w:rPr>
          <w:i/>
          <w:iCs/>
          <w:spacing w:val="-2"/>
        </w:rPr>
        <w:t>Settlements</w:t>
      </w:r>
      <w:r w:rsidRPr="001D5327">
        <w:rPr>
          <w:spacing w:val="-2"/>
        </w:rPr>
        <w:t xml:space="preserve">. Given the changes to the CRT reporting environment leading up to this submission, the </w:t>
      </w:r>
      <w:r w:rsidRPr="001D5327">
        <w:t xml:space="preserve">emissions resulting from drained organic soils in </w:t>
      </w:r>
      <w:r w:rsidRPr="001D5327">
        <w:rPr>
          <w:i/>
          <w:iCs/>
        </w:rPr>
        <w:t>Settlements</w:t>
      </w:r>
      <w:r w:rsidRPr="001D5327">
        <w:t xml:space="preserve"> have not been included in the total emissions for LULUCF. It is planned that this will be included in the 2026 submission. </w:t>
      </w:r>
    </w:p>
    <w:p w14:paraId="1257F4B1" w14:textId="77777777" w:rsidR="00E0181F" w:rsidRPr="001D5327" w:rsidRDefault="00E0181F" w:rsidP="00E0181F">
      <w:pPr>
        <w:pStyle w:val="Heading2"/>
      </w:pPr>
      <w:bookmarkStart w:id="2603" w:name="_Toc310423457"/>
      <w:bookmarkStart w:id="2604" w:name="_Toc342470723"/>
      <w:bookmarkStart w:id="2605" w:name="_Toc352504875"/>
      <w:bookmarkStart w:id="2606" w:name="_Toc391024705"/>
      <w:bookmarkStart w:id="2607" w:name="_Toc414531322"/>
      <w:bookmarkStart w:id="2608" w:name="_Toc474335464"/>
      <w:bookmarkStart w:id="2609" w:name="_Toc481751404"/>
      <w:bookmarkStart w:id="2610" w:name="_Toc522013956"/>
      <w:bookmarkStart w:id="2611" w:name="_Toc5269381"/>
      <w:bookmarkStart w:id="2612" w:name="_Toc36224421"/>
      <w:bookmarkStart w:id="2613" w:name="_Toc131591255"/>
      <w:bookmarkStart w:id="2614" w:name="_Toc158980302"/>
      <w:bookmarkStart w:id="2615" w:name="_Toc164154210"/>
      <w:bookmarkStart w:id="2616" w:name="_Toc194312035"/>
      <w:r w:rsidRPr="001D5327">
        <w:t>6.9</w:t>
      </w:r>
      <w:r w:rsidRPr="001D5327">
        <w:tab/>
        <w:t>Other land (4F)</w:t>
      </w:r>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p>
    <w:p w14:paraId="5352D4A2" w14:textId="77777777" w:rsidR="00E0181F" w:rsidRPr="001D5327" w:rsidRDefault="00E0181F" w:rsidP="00032167">
      <w:pPr>
        <w:pStyle w:val="Heading3"/>
        <w:spacing w:before="180"/>
      </w:pPr>
      <w:r w:rsidRPr="001D5327">
        <w:t>6.9.1</w:t>
      </w:r>
      <w:r w:rsidRPr="001D5327">
        <w:tab/>
        <w:t>Description</w:t>
      </w:r>
    </w:p>
    <w:p w14:paraId="2BB43CBE" w14:textId="77777777" w:rsidR="00E0181F" w:rsidRPr="001D5327" w:rsidRDefault="00E0181F" w:rsidP="00032167">
      <w:pPr>
        <w:pStyle w:val="BodyText"/>
        <w:spacing w:before="100" w:after="100"/>
      </w:pPr>
      <w:r w:rsidRPr="001D5327">
        <w:t xml:space="preserve">In 2023, the net emissions from </w:t>
      </w:r>
      <w:r w:rsidRPr="001D5327">
        <w:rPr>
          <w:i/>
        </w:rPr>
        <w:t>Other land</w:t>
      </w:r>
      <w:r w:rsidRPr="001D5327">
        <w:t xml:space="preserve"> were 86.1 kt CO</w:t>
      </w:r>
      <w:r w:rsidRPr="001D5327">
        <w:rPr>
          <w:vertAlign w:val="subscript"/>
        </w:rPr>
        <w:t>2</w:t>
      </w:r>
      <w:r w:rsidRPr="001D5327">
        <w:t>-e (see table 6.9.1). This is 71.3 kt CO</w:t>
      </w:r>
      <w:r w:rsidRPr="001D5327">
        <w:rPr>
          <w:vertAlign w:val="subscript"/>
        </w:rPr>
        <w:t>2</w:t>
      </w:r>
      <w:r w:rsidRPr="001D5327">
        <w:t>-e (482.4 per cent) higher than the 1990 level of 14.8 kt CO</w:t>
      </w:r>
      <w:r w:rsidRPr="001D5327">
        <w:rPr>
          <w:vertAlign w:val="subscript"/>
        </w:rPr>
        <w:t>2</w:t>
      </w:r>
      <w:r w:rsidRPr="001D5327">
        <w:t xml:space="preserve">-e. The majority of these emissions occur in the </w:t>
      </w:r>
      <w:r w:rsidRPr="001D5327">
        <w:rPr>
          <w:i/>
        </w:rPr>
        <w:t>Land converted to other land</w:t>
      </w:r>
      <w:r w:rsidRPr="001D5327">
        <w:t xml:space="preserve"> category. This is primarily because the area of land estimated as having been converted to </w:t>
      </w:r>
      <w:r w:rsidRPr="001D5327">
        <w:rPr>
          <w:i/>
        </w:rPr>
        <w:t>Other land</w:t>
      </w:r>
      <w:r w:rsidRPr="001D5327">
        <w:t xml:space="preserve"> has been steadily increasing since 1990.</w:t>
      </w:r>
    </w:p>
    <w:p w14:paraId="3C8B2276" w14:textId="77777777" w:rsidR="00E0181F" w:rsidRPr="001D5327" w:rsidRDefault="00E0181F" w:rsidP="00032167">
      <w:pPr>
        <w:pStyle w:val="BodyText"/>
        <w:spacing w:before="100" w:after="100"/>
      </w:pPr>
      <w:r w:rsidRPr="001D5327">
        <w:rPr>
          <w:i/>
        </w:rPr>
        <w:t>Other land</w:t>
      </w:r>
      <w:r w:rsidRPr="001D5327">
        <w:t xml:space="preserve"> is defined in section 3.2 of the 2006 IPCC Guidelines (IPCC, 2006a) as including bare soil, rock, ice and all land areas that do not fall into any of the other five land use categories. This means this category includes any land that has not been actively classified into one of the other categories. It consists mostly of steep, rocky terrain at high elevation, often covered in snow or ice. This category is 3.3 per cent of New Zealand’s total land area.</w:t>
      </w:r>
    </w:p>
    <w:p w14:paraId="40B5CFC0" w14:textId="77777777" w:rsidR="00E0181F" w:rsidRPr="001D5327" w:rsidRDefault="00E0181F" w:rsidP="00032167">
      <w:pPr>
        <w:pStyle w:val="BodyText"/>
        <w:spacing w:before="100" w:after="100"/>
      </w:pPr>
      <w:r w:rsidRPr="001D5327">
        <w:t xml:space="preserve">Analysis of the change in area between 1990 and 2023 shows that, of the 8,053 hectares converted from </w:t>
      </w:r>
      <w:r w:rsidRPr="001D5327">
        <w:rPr>
          <w:i/>
        </w:rPr>
        <w:t>Other land</w:t>
      </w:r>
      <w:r w:rsidRPr="001D5327">
        <w:t xml:space="preserve"> to other land use categories, 2,940 hectares were converted to post-1989 planted forest, 686 hectares to post-1989 natural forest and 1,427 hectares to </w:t>
      </w:r>
      <w:r w:rsidRPr="001D5327">
        <w:rPr>
          <w:i/>
          <w:iCs/>
        </w:rPr>
        <w:t>Grassland with woody biomass</w:t>
      </w:r>
      <w:r w:rsidRPr="001D5327">
        <w:t xml:space="preserve">. </w:t>
      </w:r>
      <w:r w:rsidRPr="001D5327">
        <w:rPr>
          <w:i/>
        </w:rPr>
        <w:t>Land converted to other land</w:t>
      </w:r>
      <w:r w:rsidRPr="001D5327">
        <w:t xml:space="preserve"> is dominated by quarries, with the largest individual site in the region of Otago measuring approximately 1,400 hectares. Also included in this change are coastal areas where sand dunes have advanced into previously vegetated areas, some areas of new rural roading not associated with settlements, and areas that have been cleared of vegetation but where the future land use is uncertain. In some cases, these uncertain areas undergo a subsequent land-use change to </w:t>
      </w:r>
      <w:r w:rsidRPr="001D5327">
        <w:rPr>
          <w:i/>
          <w:iCs/>
        </w:rPr>
        <w:t>Settlements</w:t>
      </w:r>
      <w:r w:rsidRPr="001D5327">
        <w:t>.</w:t>
      </w:r>
    </w:p>
    <w:p w14:paraId="19EFCC26" w14:textId="77777777" w:rsidR="00E0181F" w:rsidRPr="001D5327" w:rsidRDefault="00E0181F" w:rsidP="00032167">
      <w:pPr>
        <w:pStyle w:val="BodyText"/>
        <w:spacing w:before="100" w:after="100"/>
      </w:pPr>
      <w:r w:rsidRPr="001D5327">
        <w:t xml:space="preserve">Between 1 January 1990 and 31 December 2023, there were 9,322 hectares of </w:t>
      </w:r>
      <w:r w:rsidRPr="001D5327">
        <w:rPr>
          <w:i/>
        </w:rPr>
        <w:t>Land converted to other land</w:t>
      </w:r>
      <w:r w:rsidRPr="001D5327">
        <w:t xml:space="preserve">; most (5,803 hectares) of this was from the </w:t>
      </w:r>
      <w:r w:rsidRPr="001D5327">
        <w:rPr>
          <w:i/>
        </w:rPr>
        <w:t>Grassland</w:t>
      </w:r>
      <w:r w:rsidRPr="001D5327">
        <w:t xml:space="preserve"> categories. This is likely to be mainly due to conversion of </w:t>
      </w:r>
      <w:r w:rsidRPr="001D5327">
        <w:rPr>
          <w:i/>
        </w:rPr>
        <w:t>Grassland</w:t>
      </w:r>
      <w:r w:rsidRPr="001D5327">
        <w:t xml:space="preserve"> to roads, mines and quarries.</w:t>
      </w:r>
    </w:p>
    <w:p w14:paraId="1F7787A7" w14:textId="77777777" w:rsidR="00E0181F" w:rsidRPr="001D5327" w:rsidRDefault="00E0181F" w:rsidP="00032167">
      <w:pPr>
        <w:pStyle w:val="BodyText"/>
        <w:spacing w:before="100" w:after="100"/>
      </w:pPr>
      <w:r w:rsidRPr="001D5327">
        <w:t xml:space="preserve">In 2023, </w:t>
      </w:r>
      <w:r w:rsidRPr="001D5327">
        <w:rPr>
          <w:i/>
        </w:rPr>
        <w:t>Land converted to other land</w:t>
      </w:r>
      <w:r w:rsidRPr="001D5327">
        <w:t xml:space="preserve"> was </w:t>
      </w:r>
      <w:r w:rsidRPr="001D5327" w:rsidDel="00AB3A81">
        <w:t xml:space="preserve">not </w:t>
      </w:r>
      <w:r w:rsidRPr="001D5327">
        <w:t>a key category.</w:t>
      </w:r>
    </w:p>
    <w:p w14:paraId="479BCDD6" w14:textId="77777777" w:rsidR="00E0181F" w:rsidRPr="001D5327" w:rsidRDefault="00E0181F" w:rsidP="00E0181F">
      <w:pPr>
        <w:pStyle w:val="Table"/>
      </w:pPr>
      <w:bookmarkStart w:id="2617" w:name="_Toc342470793"/>
      <w:bookmarkStart w:id="2618" w:name="_Toc352505033"/>
      <w:bookmarkStart w:id="2619" w:name="_Toc378853322"/>
      <w:bookmarkStart w:id="2620" w:name="_Toc391024120"/>
      <w:bookmarkStart w:id="2621" w:name="_Toc410028862"/>
      <w:bookmarkStart w:id="2622" w:name="_Toc414531490"/>
      <w:bookmarkStart w:id="2623" w:name="_Toc443645403"/>
      <w:bookmarkStart w:id="2624" w:name="_Toc474914622"/>
      <w:bookmarkStart w:id="2625" w:name="_Toc481751586"/>
      <w:bookmarkStart w:id="2626" w:name="_Toc522010643"/>
      <w:bookmarkStart w:id="2627" w:name="_Toc5269548"/>
      <w:bookmarkStart w:id="2628" w:name="_Toc33529422"/>
      <w:bookmarkStart w:id="2629" w:name="_Toc36224628"/>
      <w:bookmarkStart w:id="2630" w:name="_Toc131591422"/>
      <w:bookmarkStart w:id="2631" w:name="_Toc158979980"/>
      <w:bookmarkStart w:id="2632" w:name="_Toc164153913"/>
      <w:bookmarkStart w:id="2633" w:name="_Toc190873147"/>
      <w:bookmarkStart w:id="2634" w:name="_Toc194241786"/>
      <w:r w:rsidRPr="001D5327">
        <w:t>Table 6.9.1</w:t>
      </w:r>
      <w:r w:rsidRPr="001D5327">
        <w:tab/>
        <w:t xml:space="preserve">New Zealand’s land-use change for the land use category </w:t>
      </w:r>
      <w:r w:rsidRPr="001D5327">
        <w:rPr>
          <w:i/>
        </w:rPr>
        <w:t>Other land</w:t>
      </w:r>
      <w:r w:rsidRPr="001D5327">
        <w:rPr>
          <w:iCs/>
        </w:rPr>
        <w:t>,</w:t>
      </w:r>
      <w:r w:rsidRPr="001D5327">
        <w:t xml:space="preserve"> from 1990 to</w:t>
      </w:r>
      <w:bookmarkEnd w:id="2617"/>
      <w:bookmarkEnd w:id="2618"/>
      <w:bookmarkEnd w:id="2619"/>
      <w:bookmarkEnd w:id="2620"/>
      <w:r w:rsidRPr="001D5327">
        <w:t> </w:t>
      </w:r>
      <w:bookmarkEnd w:id="2621"/>
      <w:bookmarkEnd w:id="2622"/>
      <w:bookmarkEnd w:id="2623"/>
      <w:bookmarkEnd w:id="2624"/>
      <w:bookmarkEnd w:id="2625"/>
      <w:bookmarkEnd w:id="2626"/>
      <w:bookmarkEnd w:id="2627"/>
      <w:bookmarkEnd w:id="2628"/>
      <w:bookmarkEnd w:id="2629"/>
      <w:bookmarkEnd w:id="2630"/>
      <w:bookmarkEnd w:id="2631"/>
      <w:bookmarkEnd w:id="2632"/>
      <w:r w:rsidRPr="001D5327">
        <w:t>2023</w:t>
      </w:r>
      <w:bookmarkEnd w:id="2633"/>
      <w:bookmarkEnd w:id="2634"/>
    </w:p>
    <w:tbl>
      <w:tblPr>
        <w:tblW w:w="0" w:type="auto"/>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551"/>
        <w:gridCol w:w="1020"/>
        <w:gridCol w:w="1020"/>
        <w:gridCol w:w="1134"/>
        <w:gridCol w:w="850"/>
        <w:gridCol w:w="850"/>
        <w:gridCol w:w="1134"/>
      </w:tblGrid>
      <w:tr w:rsidR="00E0181F" w:rsidRPr="001D5327" w14:paraId="72D3BBB5" w14:textId="77777777" w:rsidTr="00D11AC9">
        <w:trPr>
          <w:tblHeader/>
        </w:trPr>
        <w:tc>
          <w:tcPr>
            <w:tcW w:w="2551" w:type="dxa"/>
            <w:shd w:val="clear" w:color="auto" w:fill="1B556B"/>
            <w:tcMar>
              <w:top w:w="0" w:type="dxa"/>
              <w:left w:w="85" w:type="dxa"/>
              <w:bottom w:w="0" w:type="dxa"/>
              <w:right w:w="85" w:type="dxa"/>
            </w:tcMar>
            <w:vAlign w:val="center"/>
          </w:tcPr>
          <w:p w14:paraId="3F345F1D" w14:textId="77777777" w:rsidR="00E0181F" w:rsidRPr="001D5327" w:rsidRDefault="00E0181F" w:rsidP="00D11AC9">
            <w:pPr>
              <w:pStyle w:val="TableTextBold"/>
              <w:spacing w:before="40" w:after="0"/>
              <w:rPr>
                <w:noProof w:val="0"/>
                <w:color w:val="FFFFFF" w:themeColor="background1"/>
              </w:rPr>
            </w:pPr>
          </w:p>
        </w:tc>
        <w:tc>
          <w:tcPr>
            <w:tcW w:w="3174" w:type="dxa"/>
            <w:gridSpan w:val="3"/>
            <w:shd w:val="clear" w:color="auto" w:fill="1B556B"/>
            <w:tcMar>
              <w:top w:w="0" w:type="dxa"/>
              <w:left w:w="85" w:type="dxa"/>
              <w:bottom w:w="0" w:type="dxa"/>
              <w:right w:w="85" w:type="dxa"/>
            </w:tcMar>
            <w:vAlign w:val="center"/>
          </w:tcPr>
          <w:p w14:paraId="5731A33E" w14:textId="77777777" w:rsidR="00E0181F" w:rsidRPr="001D5327" w:rsidRDefault="00E0181F" w:rsidP="00D11AC9">
            <w:pPr>
              <w:pStyle w:val="TableTextBold"/>
              <w:spacing w:before="40" w:after="0"/>
              <w:jc w:val="center"/>
              <w:rPr>
                <w:noProof w:val="0"/>
                <w:color w:val="FFFFFF" w:themeColor="background1"/>
              </w:rPr>
            </w:pPr>
            <w:r w:rsidRPr="001D5327">
              <w:rPr>
                <w:rFonts w:eastAsia="Calibri"/>
                <w:noProof w:val="0"/>
                <w:color w:val="FFFFFF" w:themeColor="background1"/>
              </w:rPr>
              <w:t>Net area (ha)</w:t>
            </w:r>
          </w:p>
        </w:tc>
        <w:tc>
          <w:tcPr>
            <w:tcW w:w="2834" w:type="dxa"/>
            <w:gridSpan w:val="3"/>
            <w:shd w:val="clear" w:color="auto" w:fill="1B556B"/>
            <w:tcMar>
              <w:top w:w="0" w:type="dxa"/>
              <w:left w:w="85" w:type="dxa"/>
              <w:bottom w:w="0" w:type="dxa"/>
              <w:right w:w="85" w:type="dxa"/>
            </w:tcMar>
            <w:vAlign w:val="center"/>
          </w:tcPr>
          <w:p w14:paraId="265054D8" w14:textId="77777777" w:rsidR="00E0181F" w:rsidRPr="001D5327" w:rsidRDefault="00E0181F" w:rsidP="00D11AC9">
            <w:pPr>
              <w:pStyle w:val="TableTextBold"/>
              <w:spacing w:before="40" w:after="0"/>
              <w:jc w:val="center"/>
              <w:rPr>
                <w:noProof w:val="0"/>
                <w:color w:val="FFFFFF" w:themeColor="background1"/>
              </w:rPr>
            </w:pPr>
            <w:r w:rsidRPr="001D5327">
              <w:rPr>
                <w:rFonts w:eastAsia="Calibri"/>
                <w:noProof w:val="0"/>
                <w:color w:val="FFFFFF" w:themeColor="background1"/>
              </w:rPr>
              <w:t>Net emissions (kt CO₂-e)</w:t>
            </w:r>
          </w:p>
        </w:tc>
      </w:tr>
      <w:tr w:rsidR="00E0181F" w:rsidRPr="001D5327" w14:paraId="07D30BE9" w14:textId="77777777" w:rsidTr="00D11AC9">
        <w:trPr>
          <w:tblHeader/>
        </w:trPr>
        <w:tc>
          <w:tcPr>
            <w:tcW w:w="2551" w:type="dxa"/>
            <w:shd w:val="clear" w:color="auto" w:fill="1B556B"/>
            <w:tcMar>
              <w:top w:w="0" w:type="dxa"/>
              <w:left w:w="85" w:type="dxa"/>
              <w:bottom w:w="0" w:type="dxa"/>
              <w:right w:w="85" w:type="dxa"/>
            </w:tcMar>
            <w:vAlign w:val="bottom"/>
          </w:tcPr>
          <w:p w14:paraId="3FD4F568" w14:textId="77777777" w:rsidR="00E0181F" w:rsidRPr="001D5327" w:rsidRDefault="00E0181F" w:rsidP="00032167">
            <w:pPr>
              <w:pStyle w:val="TableTextBold"/>
              <w:spacing w:before="0" w:after="40"/>
              <w:rPr>
                <w:noProof w:val="0"/>
                <w:color w:val="FFFFFF" w:themeColor="background1"/>
              </w:rPr>
            </w:pPr>
            <w:r w:rsidRPr="001D5327">
              <w:rPr>
                <w:rFonts w:eastAsia="Calibri"/>
                <w:noProof w:val="0"/>
                <w:color w:val="FFFFFF" w:themeColor="background1"/>
              </w:rPr>
              <w:t>Land use category</w:t>
            </w:r>
          </w:p>
        </w:tc>
        <w:tc>
          <w:tcPr>
            <w:tcW w:w="1020" w:type="dxa"/>
            <w:shd w:val="clear" w:color="auto" w:fill="1B556B"/>
            <w:tcMar>
              <w:top w:w="0" w:type="dxa"/>
              <w:left w:w="85" w:type="dxa"/>
              <w:bottom w:w="0" w:type="dxa"/>
              <w:right w:w="85" w:type="dxa"/>
            </w:tcMar>
            <w:vAlign w:val="bottom"/>
          </w:tcPr>
          <w:p w14:paraId="67D76AEC" w14:textId="77777777" w:rsidR="00E0181F" w:rsidRPr="001D5327" w:rsidRDefault="00E0181F" w:rsidP="00032167">
            <w:pPr>
              <w:pStyle w:val="TableTextBold"/>
              <w:spacing w:before="0" w:after="40"/>
              <w:jc w:val="right"/>
              <w:rPr>
                <w:noProof w:val="0"/>
                <w:color w:val="FFFFFF" w:themeColor="background1"/>
              </w:rPr>
            </w:pPr>
            <w:r w:rsidRPr="001D5327">
              <w:rPr>
                <w:rFonts w:eastAsia="Calibri"/>
                <w:noProof w:val="0"/>
                <w:color w:val="FFFFFF" w:themeColor="background1"/>
              </w:rPr>
              <w:t>1990</w:t>
            </w:r>
          </w:p>
        </w:tc>
        <w:tc>
          <w:tcPr>
            <w:tcW w:w="1020" w:type="dxa"/>
            <w:shd w:val="clear" w:color="auto" w:fill="1B556B"/>
            <w:tcMar>
              <w:top w:w="0" w:type="dxa"/>
              <w:left w:w="85" w:type="dxa"/>
              <w:bottom w:w="0" w:type="dxa"/>
              <w:right w:w="85" w:type="dxa"/>
            </w:tcMar>
            <w:vAlign w:val="bottom"/>
          </w:tcPr>
          <w:p w14:paraId="4E2DDF43" w14:textId="77777777" w:rsidR="00E0181F" w:rsidRPr="001D5327" w:rsidRDefault="00E0181F" w:rsidP="00032167">
            <w:pPr>
              <w:pStyle w:val="TableTextBold"/>
              <w:spacing w:before="0" w:after="40"/>
              <w:jc w:val="right"/>
              <w:rPr>
                <w:noProof w:val="0"/>
                <w:color w:val="FFFFFF" w:themeColor="background1"/>
              </w:rPr>
            </w:pPr>
            <w:r w:rsidRPr="001D5327">
              <w:rPr>
                <w:rFonts w:eastAsia="Calibri"/>
                <w:noProof w:val="0"/>
                <w:color w:val="FFFFFF" w:themeColor="background1"/>
              </w:rPr>
              <w:t>2023</w:t>
            </w:r>
          </w:p>
        </w:tc>
        <w:tc>
          <w:tcPr>
            <w:tcW w:w="1134" w:type="dxa"/>
            <w:shd w:val="clear" w:color="auto" w:fill="1B556B"/>
            <w:tcMar>
              <w:top w:w="0" w:type="dxa"/>
              <w:left w:w="85" w:type="dxa"/>
              <w:bottom w:w="0" w:type="dxa"/>
              <w:right w:w="85" w:type="dxa"/>
            </w:tcMar>
            <w:vAlign w:val="bottom"/>
          </w:tcPr>
          <w:p w14:paraId="50DAED06" w14:textId="77777777" w:rsidR="00E0181F" w:rsidRPr="001D5327" w:rsidRDefault="00E0181F" w:rsidP="00032167">
            <w:pPr>
              <w:pStyle w:val="TableTextBold"/>
              <w:spacing w:before="0" w:after="40"/>
              <w:jc w:val="right"/>
              <w:rPr>
                <w:noProof w:val="0"/>
                <w:color w:val="FFFFFF" w:themeColor="background1"/>
              </w:rPr>
            </w:pPr>
            <w:r w:rsidRPr="001D5327">
              <w:rPr>
                <w:rFonts w:eastAsia="Calibri"/>
                <w:noProof w:val="0"/>
                <w:color w:val="FFFFFF" w:themeColor="background1"/>
              </w:rPr>
              <w:t>Change from 1990 (%)</w:t>
            </w:r>
          </w:p>
        </w:tc>
        <w:tc>
          <w:tcPr>
            <w:tcW w:w="850" w:type="dxa"/>
            <w:shd w:val="clear" w:color="auto" w:fill="1B556B"/>
            <w:tcMar>
              <w:top w:w="0" w:type="dxa"/>
              <w:left w:w="85" w:type="dxa"/>
              <w:bottom w:w="0" w:type="dxa"/>
              <w:right w:w="85" w:type="dxa"/>
            </w:tcMar>
            <w:vAlign w:val="bottom"/>
          </w:tcPr>
          <w:p w14:paraId="79C3D74B" w14:textId="77777777" w:rsidR="00E0181F" w:rsidRPr="001D5327" w:rsidRDefault="00E0181F" w:rsidP="00032167">
            <w:pPr>
              <w:pStyle w:val="TableTextBold"/>
              <w:spacing w:before="0" w:after="40"/>
              <w:jc w:val="right"/>
              <w:rPr>
                <w:noProof w:val="0"/>
                <w:color w:val="FFFFFF" w:themeColor="background1"/>
              </w:rPr>
            </w:pPr>
            <w:r w:rsidRPr="001D5327">
              <w:rPr>
                <w:rFonts w:eastAsia="Calibri"/>
                <w:noProof w:val="0"/>
                <w:color w:val="FFFFFF" w:themeColor="background1"/>
              </w:rPr>
              <w:t>1990</w:t>
            </w:r>
          </w:p>
        </w:tc>
        <w:tc>
          <w:tcPr>
            <w:tcW w:w="850" w:type="dxa"/>
            <w:shd w:val="clear" w:color="auto" w:fill="1B556B"/>
            <w:tcMar>
              <w:top w:w="0" w:type="dxa"/>
              <w:left w:w="85" w:type="dxa"/>
              <w:bottom w:w="0" w:type="dxa"/>
              <w:right w:w="85" w:type="dxa"/>
            </w:tcMar>
            <w:vAlign w:val="bottom"/>
          </w:tcPr>
          <w:p w14:paraId="69274976" w14:textId="77777777" w:rsidR="00E0181F" w:rsidRPr="001D5327" w:rsidRDefault="00E0181F" w:rsidP="00032167">
            <w:pPr>
              <w:pStyle w:val="TableTextBold"/>
              <w:spacing w:before="0" w:after="40"/>
              <w:jc w:val="right"/>
              <w:rPr>
                <w:noProof w:val="0"/>
                <w:color w:val="FFFFFF" w:themeColor="background1"/>
              </w:rPr>
            </w:pPr>
            <w:r w:rsidRPr="001D5327">
              <w:rPr>
                <w:rFonts w:eastAsia="Calibri"/>
                <w:noProof w:val="0"/>
                <w:color w:val="FFFFFF" w:themeColor="background1"/>
              </w:rPr>
              <w:t>2023</w:t>
            </w:r>
          </w:p>
        </w:tc>
        <w:tc>
          <w:tcPr>
            <w:tcW w:w="1134" w:type="dxa"/>
            <w:shd w:val="clear" w:color="auto" w:fill="1B556B"/>
            <w:tcMar>
              <w:top w:w="0" w:type="dxa"/>
              <w:left w:w="85" w:type="dxa"/>
              <w:bottom w:w="0" w:type="dxa"/>
              <w:right w:w="85" w:type="dxa"/>
            </w:tcMar>
            <w:vAlign w:val="bottom"/>
          </w:tcPr>
          <w:p w14:paraId="233A1F64" w14:textId="77777777" w:rsidR="00E0181F" w:rsidRPr="001D5327" w:rsidRDefault="00E0181F" w:rsidP="00032167">
            <w:pPr>
              <w:pStyle w:val="TableTextBold"/>
              <w:spacing w:before="0" w:after="40"/>
              <w:jc w:val="right"/>
              <w:rPr>
                <w:noProof w:val="0"/>
                <w:color w:val="FFFFFF" w:themeColor="background1"/>
              </w:rPr>
            </w:pPr>
            <w:r w:rsidRPr="001D5327">
              <w:rPr>
                <w:rFonts w:eastAsia="Calibri"/>
                <w:noProof w:val="0"/>
                <w:color w:val="FFFFFF" w:themeColor="background1"/>
              </w:rPr>
              <w:t>Change from 1990 (%)</w:t>
            </w:r>
          </w:p>
        </w:tc>
      </w:tr>
      <w:tr w:rsidR="00E0181F" w:rsidRPr="001D5327" w14:paraId="13C1FE41" w14:textId="77777777" w:rsidTr="00D11AC9">
        <w:tc>
          <w:tcPr>
            <w:tcW w:w="2551" w:type="dxa"/>
            <w:shd w:val="clear" w:color="auto" w:fill="FFFFFF"/>
            <w:tcMar>
              <w:top w:w="0" w:type="dxa"/>
              <w:left w:w="85" w:type="dxa"/>
              <w:bottom w:w="0" w:type="dxa"/>
              <w:right w:w="85" w:type="dxa"/>
            </w:tcMar>
            <w:vAlign w:val="center"/>
          </w:tcPr>
          <w:p w14:paraId="467C8F2F" w14:textId="77777777" w:rsidR="00E0181F" w:rsidRPr="001D5327" w:rsidRDefault="00E0181F" w:rsidP="00032167">
            <w:pPr>
              <w:pStyle w:val="TableText"/>
              <w:spacing w:before="30" w:after="30"/>
            </w:pPr>
            <w:r w:rsidRPr="001D5327">
              <w:rPr>
                <w:rFonts w:eastAsia="Calibri"/>
              </w:rPr>
              <w:t>Other land remaining other land</w:t>
            </w:r>
          </w:p>
        </w:tc>
        <w:tc>
          <w:tcPr>
            <w:tcW w:w="1020" w:type="dxa"/>
            <w:shd w:val="clear" w:color="auto" w:fill="FFFFFF"/>
            <w:tcMar>
              <w:top w:w="0" w:type="dxa"/>
              <w:left w:w="85" w:type="dxa"/>
              <w:bottom w:w="0" w:type="dxa"/>
              <w:right w:w="85" w:type="dxa"/>
            </w:tcMar>
            <w:vAlign w:val="center"/>
          </w:tcPr>
          <w:p w14:paraId="338DD7FD" w14:textId="77777777" w:rsidR="00E0181F" w:rsidRPr="001D5327" w:rsidRDefault="00E0181F" w:rsidP="00032167">
            <w:pPr>
              <w:pStyle w:val="TableText"/>
              <w:spacing w:before="30" w:after="30"/>
              <w:jc w:val="right"/>
            </w:pPr>
            <w:r w:rsidRPr="001D5327">
              <w:rPr>
                <w:rFonts w:eastAsia="Calibri"/>
              </w:rPr>
              <w:t>895,681</w:t>
            </w:r>
          </w:p>
        </w:tc>
        <w:tc>
          <w:tcPr>
            <w:tcW w:w="1020" w:type="dxa"/>
            <w:shd w:val="clear" w:color="auto" w:fill="FFFFFF"/>
            <w:tcMar>
              <w:top w:w="0" w:type="dxa"/>
              <w:left w:w="85" w:type="dxa"/>
              <w:bottom w:w="0" w:type="dxa"/>
              <w:right w:w="85" w:type="dxa"/>
            </w:tcMar>
            <w:vAlign w:val="center"/>
          </w:tcPr>
          <w:p w14:paraId="63A3DD8C" w14:textId="77777777" w:rsidR="00E0181F" w:rsidRPr="001D5327" w:rsidRDefault="00E0181F" w:rsidP="00032167">
            <w:pPr>
              <w:pStyle w:val="TableText"/>
              <w:spacing w:before="30" w:after="30"/>
              <w:jc w:val="right"/>
            </w:pPr>
            <w:r w:rsidRPr="001D5327">
              <w:rPr>
                <w:rFonts w:eastAsia="Calibri"/>
              </w:rPr>
              <w:t>890,430</w:t>
            </w:r>
          </w:p>
        </w:tc>
        <w:tc>
          <w:tcPr>
            <w:tcW w:w="1134" w:type="dxa"/>
            <w:shd w:val="clear" w:color="auto" w:fill="FFFFFF"/>
            <w:tcMar>
              <w:top w:w="0" w:type="dxa"/>
              <w:left w:w="85" w:type="dxa"/>
              <w:bottom w:w="0" w:type="dxa"/>
              <w:right w:w="85" w:type="dxa"/>
            </w:tcMar>
            <w:vAlign w:val="center"/>
          </w:tcPr>
          <w:p w14:paraId="20773F7E" w14:textId="02D940DD" w:rsidR="00E0181F" w:rsidRPr="001D5327" w:rsidRDefault="0070503C" w:rsidP="00032167">
            <w:pPr>
              <w:pStyle w:val="TableText"/>
              <w:spacing w:before="30" w:after="30"/>
              <w:jc w:val="right"/>
            </w:pPr>
            <w:r>
              <w:rPr>
                <w:rFonts w:eastAsia="Calibri"/>
              </w:rPr>
              <w:t>-</w:t>
            </w:r>
            <w:r w:rsidR="00E0181F" w:rsidRPr="001D5327">
              <w:rPr>
                <w:rFonts w:eastAsia="Calibri"/>
              </w:rPr>
              <w:t>0.6</w:t>
            </w:r>
          </w:p>
        </w:tc>
        <w:tc>
          <w:tcPr>
            <w:tcW w:w="850" w:type="dxa"/>
            <w:shd w:val="clear" w:color="auto" w:fill="FFFFFF"/>
            <w:tcMar>
              <w:top w:w="0" w:type="dxa"/>
              <w:left w:w="85" w:type="dxa"/>
              <w:bottom w:w="0" w:type="dxa"/>
              <w:right w:w="85" w:type="dxa"/>
            </w:tcMar>
            <w:vAlign w:val="center"/>
          </w:tcPr>
          <w:p w14:paraId="19CB9360" w14:textId="77777777" w:rsidR="00E0181F" w:rsidRPr="001D5327" w:rsidRDefault="00E0181F" w:rsidP="00032167">
            <w:pPr>
              <w:pStyle w:val="TableText"/>
              <w:spacing w:before="30" w:after="30"/>
              <w:jc w:val="right"/>
            </w:pPr>
            <w:r w:rsidRPr="001D5327">
              <w:rPr>
                <w:rFonts w:eastAsia="Calibri"/>
              </w:rPr>
              <w:t>0.1</w:t>
            </w:r>
          </w:p>
        </w:tc>
        <w:tc>
          <w:tcPr>
            <w:tcW w:w="850" w:type="dxa"/>
            <w:shd w:val="clear" w:color="auto" w:fill="FFFFFF"/>
            <w:tcMar>
              <w:top w:w="0" w:type="dxa"/>
              <w:left w:w="85" w:type="dxa"/>
              <w:bottom w:w="0" w:type="dxa"/>
              <w:right w:w="85" w:type="dxa"/>
            </w:tcMar>
            <w:vAlign w:val="center"/>
          </w:tcPr>
          <w:p w14:paraId="31E1921B" w14:textId="77777777" w:rsidR="00E0181F" w:rsidRPr="001D5327" w:rsidRDefault="00E0181F" w:rsidP="00032167">
            <w:pPr>
              <w:pStyle w:val="TableText"/>
              <w:spacing w:before="30" w:after="30"/>
              <w:jc w:val="right"/>
            </w:pPr>
            <w:r w:rsidRPr="001D5327">
              <w:rPr>
                <w:rFonts w:eastAsia="Calibri"/>
              </w:rPr>
              <w:t>3.7</w:t>
            </w:r>
          </w:p>
        </w:tc>
        <w:tc>
          <w:tcPr>
            <w:tcW w:w="1134" w:type="dxa"/>
            <w:shd w:val="clear" w:color="auto" w:fill="FFFFFF"/>
            <w:tcMar>
              <w:top w:w="0" w:type="dxa"/>
              <w:left w:w="85" w:type="dxa"/>
              <w:bottom w:w="0" w:type="dxa"/>
              <w:right w:w="85" w:type="dxa"/>
            </w:tcMar>
            <w:vAlign w:val="center"/>
          </w:tcPr>
          <w:p w14:paraId="35AEF38B" w14:textId="77777777" w:rsidR="00E0181F" w:rsidRPr="001D5327" w:rsidRDefault="00E0181F" w:rsidP="00032167">
            <w:pPr>
              <w:pStyle w:val="TableText"/>
              <w:spacing w:before="30" w:after="30"/>
              <w:jc w:val="right"/>
            </w:pPr>
            <w:r w:rsidRPr="001D5327">
              <w:rPr>
                <w:rFonts w:eastAsia="Calibri"/>
              </w:rPr>
              <w:t>3,197.4</w:t>
            </w:r>
          </w:p>
        </w:tc>
      </w:tr>
      <w:tr w:rsidR="00E0181F" w:rsidRPr="001D5327" w14:paraId="0A1B7175" w14:textId="77777777" w:rsidTr="00D11AC9">
        <w:tc>
          <w:tcPr>
            <w:tcW w:w="2551" w:type="dxa"/>
            <w:shd w:val="clear" w:color="auto" w:fill="FFFFFF"/>
            <w:tcMar>
              <w:top w:w="0" w:type="dxa"/>
              <w:left w:w="85" w:type="dxa"/>
              <w:bottom w:w="0" w:type="dxa"/>
              <w:right w:w="85" w:type="dxa"/>
            </w:tcMar>
            <w:vAlign w:val="center"/>
          </w:tcPr>
          <w:p w14:paraId="1443C687" w14:textId="77777777" w:rsidR="00E0181F" w:rsidRPr="001D5327" w:rsidRDefault="00E0181F" w:rsidP="00032167">
            <w:pPr>
              <w:pStyle w:val="TableText"/>
              <w:spacing w:before="30" w:after="30"/>
            </w:pPr>
            <w:r w:rsidRPr="001D5327">
              <w:rPr>
                <w:rFonts w:eastAsia="Calibri"/>
              </w:rPr>
              <w:t>Land converted to other land</w:t>
            </w:r>
          </w:p>
        </w:tc>
        <w:tc>
          <w:tcPr>
            <w:tcW w:w="1020" w:type="dxa"/>
            <w:shd w:val="clear" w:color="auto" w:fill="FFFFFF"/>
            <w:tcMar>
              <w:top w:w="0" w:type="dxa"/>
              <w:left w:w="85" w:type="dxa"/>
              <w:bottom w:w="0" w:type="dxa"/>
              <w:right w:w="85" w:type="dxa"/>
            </w:tcMar>
            <w:vAlign w:val="center"/>
          </w:tcPr>
          <w:p w14:paraId="0723E464" w14:textId="77777777" w:rsidR="00E0181F" w:rsidRPr="001D5327" w:rsidRDefault="00E0181F" w:rsidP="00032167">
            <w:pPr>
              <w:pStyle w:val="TableText"/>
              <w:spacing w:before="30" w:after="30"/>
              <w:jc w:val="right"/>
            </w:pPr>
            <w:r w:rsidRPr="001D5327">
              <w:rPr>
                <w:rFonts w:eastAsia="Calibri"/>
              </w:rPr>
              <w:t>0</w:t>
            </w:r>
          </w:p>
        </w:tc>
        <w:tc>
          <w:tcPr>
            <w:tcW w:w="1020" w:type="dxa"/>
            <w:shd w:val="clear" w:color="auto" w:fill="FFFFFF"/>
            <w:tcMar>
              <w:top w:w="0" w:type="dxa"/>
              <w:left w:w="85" w:type="dxa"/>
              <w:bottom w:w="0" w:type="dxa"/>
              <w:right w:w="85" w:type="dxa"/>
            </w:tcMar>
            <w:vAlign w:val="center"/>
          </w:tcPr>
          <w:p w14:paraId="06FD7E6A" w14:textId="77777777" w:rsidR="00E0181F" w:rsidRPr="001D5327" w:rsidRDefault="00E0181F" w:rsidP="00032167">
            <w:pPr>
              <w:pStyle w:val="TableText"/>
              <w:spacing w:before="30" w:after="30"/>
              <w:jc w:val="right"/>
            </w:pPr>
            <w:r w:rsidRPr="001D5327">
              <w:rPr>
                <w:rFonts w:eastAsia="Calibri"/>
              </w:rPr>
              <w:t>6,520</w:t>
            </w:r>
          </w:p>
        </w:tc>
        <w:tc>
          <w:tcPr>
            <w:tcW w:w="1134" w:type="dxa"/>
            <w:shd w:val="clear" w:color="auto" w:fill="FFFFFF"/>
            <w:tcMar>
              <w:top w:w="0" w:type="dxa"/>
              <w:left w:w="85" w:type="dxa"/>
              <w:bottom w:w="0" w:type="dxa"/>
              <w:right w:w="85" w:type="dxa"/>
            </w:tcMar>
            <w:vAlign w:val="center"/>
          </w:tcPr>
          <w:p w14:paraId="45E750D2" w14:textId="77777777" w:rsidR="00E0181F" w:rsidRPr="001D5327" w:rsidRDefault="00E0181F" w:rsidP="00032167">
            <w:pPr>
              <w:pStyle w:val="TableText"/>
              <w:spacing w:before="30" w:after="30"/>
              <w:jc w:val="right"/>
            </w:pPr>
            <w:r w:rsidRPr="001D5327">
              <w:rPr>
                <w:rFonts w:eastAsia="Calibri"/>
              </w:rPr>
              <w:t>0.0</w:t>
            </w:r>
          </w:p>
        </w:tc>
        <w:tc>
          <w:tcPr>
            <w:tcW w:w="850" w:type="dxa"/>
            <w:shd w:val="clear" w:color="auto" w:fill="FFFFFF"/>
            <w:tcMar>
              <w:top w:w="0" w:type="dxa"/>
              <w:left w:w="85" w:type="dxa"/>
              <w:bottom w:w="0" w:type="dxa"/>
              <w:right w:w="85" w:type="dxa"/>
            </w:tcMar>
            <w:vAlign w:val="center"/>
          </w:tcPr>
          <w:p w14:paraId="5614577D" w14:textId="77777777" w:rsidR="00E0181F" w:rsidRPr="001D5327" w:rsidRDefault="00E0181F" w:rsidP="00032167">
            <w:pPr>
              <w:pStyle w:val="TableText"/>
              <w:spacing w:before="30" w:after="30"/>
              <w:jc w:val="right"/>
            </w:pPr>
            <w:r w:rsidRPr="001D5327">
              <w:rPr>
                <w:rFonts w:eastAsia="Calibri"/>
              </w:rPr>
              <w:t>14.7</w:t>
            </w:r>
          </w:p>
        </w:tc>
        <w:tc>
          <w:tcPr>
            <w:tcW w:w="850" w:type="dxa"/>
            <w:shd w:val="clear" w:color="auto" w:fill="FFFFFF"/>
            <w:tcMar>
              <w:top w:w="0" w:type="dxa"/>
              <w:left w:w="85" w:type="dxa"/>
              <w:bottom w:w="0" w:type="dxa"/>
              <w:right w:w="85" w:type="dxa"/>
            </w:tcMar>
            <w:vAlign w:val="center"/>
          </w:tcPr>
          <w:p w14:paraId="656D3006" w14:textId="77777777" w:rsidR="00E0181F" w:rsidRPr="001D5327" w:rsidRDefault="00E0181F" w:rsidP="00032167">
            <w:pPr>
              <w:pStyle w:val="TableText"/>
              <w:spacing w:before="30" w:after="30"/>
              <w:jc w:val="right"/>
            </w:pPr>
            <w:r w:rsidRPr="001D5327">
              <w:rPr>
                <w:rFonts w:eastAsia="Calibri"/>
              </w:rPr>
              <w:t>82.4</w:t>
            </w:r>
          </w:p>
        </w:tc>
        <w:tc>
          <w:tcPr>
            <w:tcW w:w="1134" w:type="dxa"/>
            <w:shd w:val="clear" w:color="auto" w:fill="FFFFFF"/>
            <w:tcMar>
              <w:top w:w="0" w:type="dxa"/>
              <w:left w:w="85" w:type="dxa"/>
              <w:bottom w:w="0" w:type="dxa"/>
              <w:right w:w="85" w:type="dxa"/>
            </w:tcMar>
            <w:vAlign w:val="center"/>
          </w:tcPr>
          <w:p w14:paraId="28D83950" w14:textId="77777777" w:rsidR="00E0181F" w:rsidRPr="001D5327" w:rsidRDefault="00E0181F" w:rsidP="00032167">
            <w:pPr>
              <w:pStyle w:val="TableText"/>
              <w:spacing w:before="30" w:after="30"/>
              <w:jc w:val="right"/>
            </w:pPr>
            <w:r w:rsidRPr="001D5327">
              <w:rPr>
                <w:rFonts w:eastAsia="Calibri"/>
              </w:rPr>
              <w:t>461.8</w:t>
            </w:r>
          </w:p>
        </w:tc>
      </w:tr>
      <w:tr w:rsidR="00E0181F" w:rsidRPr="001D5327" w14:paraId="123FA171" w14:textId="77777777" w:rsidTr="00D11AC9">
        <w:tc>
          <w:tcPr>
            <w:tcW w:w="2551" w:type="dxa"/>
            <w:shd w:val="clear" w:color="auto" w:fill="FFFFFF"/>
            <w:tcMar>
              <w:top w:w="0" w:type="dxa"/>
              <w:left w:w="85" w:type="dxa"/>
              <w:bottom w:w="0" w:type="dxa"/>
              <w:right w:w="85" w:type="dxa"/>
            </w:tcMar>
            <w:vAlign w:val="center"/>
          </w:tcPr>
          <w:p w14:paraId="59DC3C3E" w14:textId="77777777" w:rsidR="00E0181F" w:rsidRPr="001D5327" w:rsidRDefault="00E0181F" w:rsidP="00032167">
            <w:pPr>
              <w:pStyle w:val="Tableboldblue"/>
              <w:spacing w:before="30" w:after="30"/>
            </w:pPr>
            <w:r w:rsidRPr="001D5327">
              <w:rPr>
                <w:rFonts w:eastAsia="Calibri"/>
              </w:rPr>
              <w:t>Total</w:t>
            </w:r>
          </w:p>
        </w:tc>
        <w:tc>
          <w:tcPr>
            <w:tcW w:w="1020" w:type="dxa"/>
            <w:shd w:val="clear" w:color="auto" w:fill="FFFFFF"/>
            <w:tcMar>
              <w:top w:w="0" w:type="dxa"/>
              <w:left w:w="85" w:type="dxa"/>
              <w:bottom w:w="0" w:type="dxa"/>
              <w:right w:w="85" w:type="dxa"/>
            </w:tcMar>
            <w:vAlign w:val="center"/>
          </w:tcPr>
          <w:p w14:paraId="70FFECD7" w14:textId="77777777" w:rsidR="00E0181F" w:rsidRPr="001D5327" w:rsidRDefault="00E0181F" w:rsidP="00032167">
            <w:pPr>
              <w:pStyle w:val="Tableboldblue"/>
              <w:spacing w:before="30" w:after="30"/>
              <w:jc w:val="right"/>
            </w:pPr>
            <w:r w:rsidRPr="001D5327">
              <w:rPr>
                <w:rFonts w:eastAsia="Calibri"/>
              </w:rPr>
              <w:t>895,681</w:t>
            </w:r>
          </w:p>
        </w:tc>
        <w:tc>
          <w:tcPr>
            <w:tcW w:w="1020" w:type="dxa"/>
            <w:shd w:val="clear" w:color="auto" w:fill="FFFFFF"/>
            <w:tcMar>
              <w:top w:w="0" w:type="dxa"/>
              <w:left w:w="85" w:type="dxa"/>
              <w:bottom w:w="0" w:type="dxa"/>
              <w:right w:w="85" w:type="dxa"/>
            </w:tcMar>
            <w:vAlign w:val="center"/>
          </w:tcPr>
          <w:p w14:paraId="252DD78A" w14:textId="77777777" w:rsidR="00E0181F" w:rsidRPr="001D5327" w:rsidRDefault="00E0181F" w:rsidP="00032167">
            <w:pPr>
              <w:pStyle w:val="Tableboldblue"/>
              <w:spacing w:before="30" w:after="30"/>
              <w:jc w:val="right"/>
            </w:pPr>
            <w:r w:rsidRPr="001D5327">
              <w:rPr>
                <w:rFonts w:eastAsia="Calibri"/>
              </w:rPr>
              <w:t>896,950</w:t>
            </w:r>
          </w:p>
        </w:tc>
        <w:tc>
          <w:tcPr>
            <w:tcW w:w="1134" w:type="dxa"/>
            <w:shd w:val="clear" w:color="auto" w:fill="FFFFFF"/>
            <w:tcMar>
              <w:top w:w="0" w:type="dxa"/>
              <w:left w:w="85" w:type="dxa"/>
              <w:bottom w:w="0" w:type="dxa"/>
              <w:right w:w="85" w:type="dxa"/>
            </w:tcMar>
            <w:vAlign w:val="center"/>
          </w:tcPr>
          <w:p w14:paraId="6AB27E1B" w14:textId="77777777" w:rsidR="00E0181F" w:rsidRPr="001D5327" w:rsidRDefault="00E0181F" w:rsidP="00032167">
            <w:pPr>
              <w:pStyle w:val="Tableboldblue"/>
              <w:spacing w:before="30" w:after="30"/>
              <w:jc w:val="right"/>
            </w:pPr>
            <w:r w:rsidRPr="001D5327">
              <w:rPr>
                <w:rFonts w:eastAsia="Calibri"/>
              </w:rPr>
              <w:t>0.1</w:t>
            </w:r>
          </w:p>
        </w:tc>
        <w:tc>
          <w:tcPr>
            <w:tcW w:w="850" w:type="dxa"/>
            <w:shd w:val="clear" w:color="auto" w:fill="FFFFFF"/>
            <w:tcMar>
              <w:top w:w="0" w:type="dxa"/>
              <w:left w:w="85" w:type="dxa"/>
              <w:bottom w:w="0" w:type="dxa"/>
              <w:right w:w="85" w:type="dxa"/>
            </w:tcMar>
            <w:vAlign w:val="center"/>
          </w:tcPr>
          <w:p w14:paraId="5C9CBBC1" w14:textId="77777777" w:rsidR="00E0181F" w:rsidRPr="001D5327" w:rsidRDefault="00E0181F" w:rsidP="00032167">
            <w:pPr>
              <w:pStyle w:val="Tableboldblue"/>
              <w:spacing w:before="30" w:after="30"/>
              <w:jc w:val="right"/>
            </w:pPr>
            <w:r w:rsidRPr="001D5327">
              <w:rPr>
                <w:rFonts w:eastAsia="Calibri"/>
              </w:rPr>
              <w:t>14.8</w:t>
            </w:r>
          </w:p>
        </w:tc>
        <w:tc>
          <w:tcPr>
            <w:tcW w:w="850" w:type="dxa"/>
            <w:shd w:val="clear" w:color="auto" w:fill="FFFFFF"/>
            <w:tcMar>
              <w:top w:w="0" w:type="dxa"/>
              <w:left w:w="85" w:type="dxa"/>
              <w:bottom w:w="0" w:type="dxa"/>
              <w:right w:w="85" w:type="dxa"/>
            </w:tcMar>
            <w:vAlign w:val="center"/>
          </w:tcPr>
          <w:p w14:paraId="03DBD52D" w14:textId="77777777" w:rsidR="00E0181F" w:rsidRPr="001D5327" w:rsidRDefault="00E0181F" w:rsidP="00032167">
            <w:pPr>
              <w:pStyle w:val="Tableboldblue"/>
              <w:spacing w:before="30" w:after="30"/>
              <w:jc w:val="right"/>
            </w:pPr>
            <w:r w:rsidRPr="001D5327">
              <w:rPr>
                <w:rFonts w:eastAsia="Calibri"/>
              </w:rPr>
              <w:t>86.1</w:t>
            </w:r>
          </w:p>
        </w:tc>
        <w:tc>
          <w:tcPr>
            <w:tcW w:w="1134" w:type="dxa"/>
            <w:shd w:val="clear" w:color="auto" w:fill="FFFFFF"/>
            <w:tcMar>
              <w:top w:w="0" w:type="dxa"/>
              <w:left w:w="85" w:type="dxa"/>
              <w:bottom w:w="0" w:type="dxa"/>
              <w:right w:w="85" w:type="dxa"/>
            </w:tcMar>
            <w:vAlign w:val="center"/>
          </w:tcPr>
          <w:p w14:paraId="238DCEB4" w14:textId="77777777" w:rsidR="00E0181F" w:rsidRPr="001D5327" w:rsidRDefault="00E0181F" w:rsidP="00032167">
            <w:pPr>
              <w:pStyle w:val="Tableboldblue"/>
              <w:spacing w:before="30" w:after="30"/>
              <w:jc w:val="right"/>
            </w:pPr>
            <w:r w:rsidRPr="001D5327">
              <w:rPr>
                <w:rFonts w:eastAsia="Calibri"/>
              </w:rPr>
              <w:t>482.4</w:t>
            </w:r>
          </w:p>
        </w:tc>
      </w:tr>
    </w:tbl>
    <w:p w14:paraId="2E211B8F" w14:textId="77777777" w:rsidR="00E0181F" w:rsidRPr="001D5327" w:rsidRDefault="00E0181F" w:rsidP="00126FD7">
      <w:pPr>
        <w:pStyle w:val="Noteundertable"/>
      </w:pPr>
      <w:r w:rsidRPr="001D5327">
        <w:rPr>
          <w:b/>
        </w:rPr>
        <w:t>Note:</w:t>
      </w:r>
      <w:r w:rsidRPr="001D5327">
        <w:tab/>
        <w:t xml:space="preserve">Net area at 1990 is as of 1 January 1990; net area at 2023 is as of 31 December 2023. </w:t>
      </w:r>
      <w:r w:rsidRPr="001D5327">
        <w:rPr>
          <w:i/>
        </w:rPr>
        <w:t>Land converted to other land</w:t>
      </w:r>
      <w:r w:rsidRPr="001D5327">
        <w:t xml:space="preserve"> includes land converted up to 20 years earlier. The net emission values for </w:t>
      </w:r>
      <w:r w:rsidRPr="001D5327">
        <w:rPr>
          <w:i/>
        </w:rPr>
        <w:t>Other land remaining other land</w:t>
      </w:r>
      <w:r w:rsidRPr="001D5327">
        <w:t xml:space="preserve"> are due to N</w:t>
      </w:r>
      <w:r w:rsidRPr="001D5327">
        <w:rPr>
          <w:vertAlign w:val="subscript"/>
        </w:rPr>
        <w:t>2</w:t>
      </w:r>
      <w:r w:rsidRPr="001D5327">
        <w:t>O emissions from nitrogen mineralisation as a result of land-use change. Columns may not total due to rounding.</w:t>
      </w:r>
    </w:p>
    <w:p w14:paraId="472AF692" w14:textId="77777777" w:rsidR="00E0181F" w:rsidRPr="001D5327" w:rsidRDefault="00E0181F" w:rsidP="00E0181F">
      <w:pPr>
        <w:pStyle w:val="Heading3"/>
      </w:pPr>
      <w:r w:rsidRPr="001D5327">
        <w:lastRenderedPageBreak/>
        <w:t>6.9.2</w:t>
      </w:r>
      <w:r w:rsidRPr="001D5327">
        <w:tab/>
        <w:t>Methodological issues</w:t>
      </w:r>
    </w:p>
    <w:p w14:paraId="56420CAA" w14:textId="77777777" w:rsidR="00E0181F" w:rsidRPr="001D5327" w:rsidRDefault="00E0181F" w:rsidP="00126FD7">
      <w:pPr>
        <w:pStyle w:val="Heading4"/>
        <w:spacing w:before="200"/>
      </w:pPr>
      <w:r w:rsidRPr="001D5327">
        <w:t>Other land remaining other land (4.F.1)</w:t>
      </w:r>
    </w:p>
    <w:p w14:paraId="3EECB67E" w14:textId="77777777" w:rsidR="00E0181F" w:rsidRPr="001D5327" w:rsidRDefault="00E0181F" w:rsidP="002F32A9">
      <w:pPr>
        <w:pStyle w:val="BodyText"/>
        <w:spacing w:before="80" w:after="100"/>
      </w:pPr>
      <w:r w:rsidRPr="001D5327">
        <w:t xml:space="preserve">A summary of the New Zealand emission factors and other parameters used to estimate greenhouse gas emissions for </w:t>
      </w:r>
      <w:r w:rsidRPr="001D5327">
        <w:rPr>
          <w:i/>
        </w:rPr>
        <w:t>Other land</w:t>
      </w:r>
      <w:r w:rsidRPr="001D5327">
        <w:t xml:space="preserve"> is provided in table 6.9.2.</w:t>
      </w:r>
    </w:p>
    <w:p w14:paraId="1A21C65C" w14:textId="77777777" w:rsidR="00E0181F" w:rsidRPr="001D5327" w:rsidRDefault="00E0181F" w:rsidP="00E0181F">
      <w:pPr>
        <w:pStyle w:val="Table"/>
      </w:pPr>
      <w:bookmarkStart w:id="2635" w:name="_Toc342470794"/>
      <w:bookmarkStart w:id="2636" w:name="_Toc352505034"/>
      <w:bookmarkStart w:id="2637" w:name="_Toc378853323"/>
      <w:bookmarkStart w:id="2638" w:name="_Toc391024121"/>
      <w:bookmarkStart w:id="2639" w:name="_Toc410028863"/>
      <w:bookmarkStart w:id="2640" w:name="_Toc414531491"/>
      <w:bookmarkStart w:id="2641" w:name="_Toc443645404"/>
      <w:bookmarkStart w:id="2642" w:name="_Toc474914623"/>
      <w:bookmarkStart w:id="2643" w:name="_Toc481751587"/>
      <w:bookmarkStart w:id="2644" w:name="_Toc522010644"/>
      <w:bookmarkStart w:id="2645" w:name="_Toc5269549"/>
      <w:bookmarkStart w:id="2646" w:name="_Toc33529423"/>
      <w:bookmarkStart w:id="2647" w:name="_Toc36224629"/>
      <w:bookmarkStart w:id="2648" w:name="_Toc131591423"/>
      <w:bookmarkStart w:id="2649" w:name="_Toc158979981"/>
      <w:bookmarkStart w:id="2650" w:name="_Toc164153914"/>
      <w:bookmarkStart w:id="2651" w:name="_Toc190873148"/>
      <w:bookmarkStart w:id="2652" w:name="_Toc194241787"/>
      <w:r w:rsidRPr="001D5327">
        <w:t>Table 6.9.2</w:t>
      </w:r>
      <w:r w:rsidRPr="001D5327">
        <w:tab/>
        <w:t>Summary of New Zealand emission factors for the land use category</w:t>
      </w:r>
      <w:bookmarkEnd w:id="2635"/>
      <w:bookmarkEnd w:id="2636"/>
      <w:bookmarkEnd w:id="2637"/>
      <w:r w:rsidRPr="001D5327">
        <w:t xml:space="preserve"> </w:t>
      </w:r>
      <w:r w:rsidRPr="001D5327">
        <w:rPr>
          <w:i/>
        </w:rPr>
        <w:t>Other land</w:t>
      </w:r>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p>
    <w:tbl>
      <w:tblPr>
        <w:tblW w:w="8505" w:type="dxa"/>
        <w:tblBorders>
          <w:top w:val="single" w:sz="4" w:space="0" w:color="1B556B"/>
          <w:bottom w:val="single" w:sz="4" w:space="0" w:color="1B556B"/>
          <w:insideH w:val="single" w:sz="4" w:space="0" w:color="1B556B"/>
        </w:tblBorders>
        <w:tblCellMar>
          <w:left w:w="85" w:type="dxa"/>
          <w:right w:w="85" w:type="dxa"/>
        </w:tblCellMar>
        <w:tblLook w:val="04A0" w:firstRow="1" w:lastRow="0" w:firstColumn="1" w:lastColumn="0" w:noHBand="0" w:noVBand="1"/>
      </w:tblPr>
      <w:tblGrid>
        <w:gridCol w:w="1276"/>
        <w:gridCol w:w="1134"/>
        <w:gridCol w:w="1134"/>
        <w:gridCol w:w="2713"/>
        <w:gridCol w:w="2248"/>
      </w:tblGrid>
      <w:tr w:rsidR="00E0181F" w:rsidRPr="001D5327" w14:paraId="54ACF0E2" w14:textId="77777777" w:rsidTr="007B5134">
        <w:tc>
          <w:tcPr>
            <w:tcW w:w="1276" w:type="dxa"/>
            <w:shd w:val="clear" w:color="auto" w:fill="1B556B" w:themeFill="text2"/>
          </w:tcPr>
          <w:p w14:paraId="1CC36EF2" w14:textId="77777777" w:rsidR="00E0181F" w:rsidRPr="001D5327" w:rsidRDefault="00E0181F" w:rsidP="00885CE9">
            <w:pPr>
              <w:pStyle w:val="TableTextBold"/>
              <w:keepNext/>
              <w:spacing w:before="30" w:after="30"/>
              <w:rPr>
                <w:noProof w:val="0"/>
                <w:color w:val="FFFFFF"/>
              </w:rPr>
            </w:pPr>
            <w:r w:rsidRPr="001D5327">
              <w:rPr>
                <w:i/>
                <w:iCs/>
                <w:noProof w:val="0"/>
                <w:color w:val="FFFFFF"/>
              </w:rPr>
              <w:t>Other land</w:t>
            </w:r>
            <w:r w:rsidRPr="001D5327">
              <w:rPr>
                <w:noProof w:val="0"/>
                <w:color w:val="FFFFFF"/>
              </w:rPr>
              <w:t xml:space="preserve"> </w:t>
            </w:r>
            <w:r w:rsidRPr="001D5327">
              <w:rPr>
                <w:noProof w:val="0"/>
                <w:color w:val="FFFFFF"/>
              </w:rPr>
              <w:br/>
              <w:t>greenhouse gas source category</w:t>
            </w:r>
          </w:p>
        </w:tc>
        <w:tc>
          <w:tcPr>
            <w:tcW w:w="1134" w:type="dxa"/>
            <w:shd w:val="clear" w:color="auto" w:fill="1B556B" w:themeFill="text2"/>
            <w:vAlign w:val="bottom"/>
          </w:tcPr>
          <w:p w14:paraId="1084043F" w14:textId="77777777" w:rsidR="00E0181F" w:rsidRPr="001D5327" w:rsidRDefault="00E0181F" w:rsidP="00885CE9">
            <w:pPr>
              <w:pStyle w:val="TableTextBold"/>
              <w:keepNext/>
              <w:spacing w:before="30" w:after="30"/>
              <w:rPr>
                <w:noProof w:val="0"/>
                <w:color w:val="FFFFFF"/>
              </w:rPr>
            </w:pPr>
            <w:r w:rsidRPr="001D5327">
              <w:rPr>
                <w:noProof w:val="0"/>
                <w:color w:val="FFFFFF"/>
              </w:rPr>
              <w:t xml:space="preserve">Steady state carbon stock </w:t>
            </w:r>
            <w:r w:rsidRPr="001D5327">
              <w:rPr>
                <w:noProof w:val="0"/>
                <w:color w:val="FFFFFF"/>
              </w:rPr>
              <w:br/>
              <w:t>(t C ha</w:t>
            </w:r>
            <w:r w:rsidRPr="001D5327">
              <w:rPr>
                <w:noProof w:val="0"/>
                <w:color w:val="FFFFFF"/>
                <w:vertAlign w:val="superscript"/>
              </w:rPr>
              <w:t>–1</w:t>
            </w:r>
            <w:r w:rsidRPr="001D5327">
              <w:rPr>
                <w:noProof w:val="0"/>
                <w:color w:val="FFFFFF"/>
              </w:rPr>
              <w:t>)</w:t>
            </w:r>
          </w:p>
        </w:tc>
        <w:tc>
          <w:tcPr>
            <w:tcW w:w="1134" w:type="dxa"/>
            <w:shd w:val="clear" w:color="auto" w:fill="1B556B" w:themeFill="text2"/>
            <w:vAlign w:val="bottom"/>
          </w:tcPr>
          <w:p w14:paraId="33A39F8F" w14:textId="77777777" w:rsidR="00E0181F" w:rsidRPr="001D5327" w:rsidRDefault="00E0181F" w:rsidP="00885CE9">
            <w:pPr>
              <w:pStyle w:val="TableTextBold"/>
              <w:keepNext/>
              <w:spacing w:before="30" w:after="30"/>
              <w:rPr>
                <w:noProof w:val="0"/>
                <w:color w:val="FFFFFF"/>
              </w:rPr>
            </w:pPr>
            <w:r w:rsidRPr="001D5327">
              <w:rPr>
                <w:noProof w:val="0"/>
                <w:color w:val="FFFFFF"/>
              </w:rPr>
              <w:t>Years to reach steady state</w:t>
            </w:r>
          </w:p>
        </w:tc>
        <w:tc>
          <w:tcPr>
            <w:tcW w:w="2713" w:type="dxa"/>
            <w:shd w:val="clear" w:color="auto" w:fill="1B556B" w:themeFill="text2"/>
            <w:vAlign w:val="bottom"/>
          </w:tcPr>
          <w:p w14:paraId="272CED0B" w14:textId="77777777" w:rsidR="00E0181F" w:rsidRPr="001D5327" w:rsidRDefault="00E0181F" w:rsidP="00885CE9">
            <w:pPr>
              <w:pStyle w:val="TableTextBold"/>
              <w:keepNext/>
              <w:spacing w:before="30" w:after="30"/>
              <w:rPr>
                <w:noProof w:val="0"/>
                <w:color w:val="FFFFFF"/>
              </w:rPr>
            </w:pPr>
            <w:r w:rsidRPr="001D5327">
              <w:rPr>
                <w:noProof w:val="0"/>
                <w:color w:val="FFFFFF"/>
              </w:rPr>
              <w:t xml:space="preserve">Carbon stock change on conversion to </w:t>
            </w:r>
            <w:r w:rsidRPr="001D5327">
              <w:rPr>
                <w:i/>
                <w:iCs/>
                <w:noProof w:val="0"/>
                <w:color w:val="FFFFFF"/>
              </w:rPr>
              <w:t>Other land</w:t>
            </w:r>
            <w:r w:rsidRPr="001D5327">
              <w:rPr>
                <w:noProof w:val="0"/>
                <w:color w:val="FFFFFF"/>
              </w:rPr>
              <w:t xml:space="preserve"> </w:t>
            </w:r>
            <w:r w:rsidRPr="001D5327">
              <w:rPr>
                <w:noProof w:val="0"/>
                <w:color w:val="FFFFFF"/>
              </w:rPr>
              <w:br/>
              <w:t>(t C ha</w:t>
            </w:r>
            <w:r w:rsidRPr="001D5327">
              <w:rPr>
                <w:noProof w:val="0"/>
                <w:color w:val="FFFFFF"/>
                <w:vertAlign w:val="superscript"/>
              </w:rPr>
              <w:t>–1</w:t>
            </w:r>
            <w:r w:rsidRPr="001D5327">
              <w:rPr>
                <w:noProof w:val="0"/>
                <w:color w:val="FFFFFF"/>
              </w:rPr>
              <w:t>)</w:t>
            </w:r>
          </w:p>
        </w:tc>
        <w:tc>
          <w:tcPr>
            <w:tcW w:w="2248" w:type="dxa"/>
            <w:shd w:val="clear" w:color="auto" w:fill="1B556B" w:themeFill="text2"/>
            <w:vAlign w:val="bottom"/>
          </w:tcPr>
          <w:p w14:paraId="018E8C67" w14:textId="77777777" w:rsidR="00E0181F" w:rsidRPr="001D5327" w:rsidRDefault="00E0181F" w:rsidP="00885CE9">
            <w:pPr>
              <w:pStyle w:val="TableTextBold"/>
              <w:keepNext/>
              <w:spacing w:before="30" w:after="30"/>
              <w:rPr>
                <w:noProof w:val="0"/>
                <w:color w:val="FFFFFF"/>
              </w:rPr>
            </w:pPr>
            <w:r w:rsidRPr="001D5327">
              <w:rPr>
                <w:noProof w:val="0"/>
                <w:color w:val="FFFFFF"/>
              </w:rPr>
              <w:t>Reference</w:t>
            </w:r>
          </w:p>
        </w:tc>
      </w:tr>
      <w:tr w:rsidR="00E0181F" w:rsidRPr="001D5327" w14:paraId="76C3572E" w14:textId="77777777" w:rsidTr="007B5134">
        <w:tc>
          <w:tcPr>
            <w:tcW w:w="1276" w:type="dxa"/>
          </w:tcPr>
          <w:p w14:paraId="09A1E10D" w14:textId="77777777" w:rsidR="00E0181F" w:rsidRPr="001D5327" w:rsidRDefault="00E0181F" w:rsidP="00885CE9">
            <w:pPr>
              <w:pStyle w:val="TableText"/>
              <w:spacing w:before="30" w:after="30"/>
            </w:pPr>
            <w:r w:rsidRPr="001D5327">
              <w:t>Biomass</w:t>
            </w:r>
          </w:p>
        </w:tc>
        <w:tc>
          <w:tcPr>
            <w:tcW w:w="1134" w:type="dxa"/>
          </w:tcPr>
          <w:p w14:paraId="22437196" w14:textId="77777777" w:rsidR="00E0181F" w:rsidRPr="001D5327" w:rsidRDefault="00E0181F" w:rsidP="00885CE9">
            <w:pPr>
              <w:pStyle w:val="TableText"/>
              <w:spacing w:before="30" w:after="30"/>
            </w:pPr>
            <w:r w:rsidRPr="001D5327">
              <w:t>NE</w:t>
            </w:r>
          </w:p>
        </w:tc>
        <w:tc>
          <w:tcPr>
            <w:tcW w:w="1134" w:type="dxa"/>
          </w:tcPr>
          <w:p w14:paraId="1069545F" w14:textId="77777777" w:rsidR="00E0181F" w:rsidRPr="001D5327" w:rsidRDefault="00E0181F" w:rsidP="00885CE9">
            <w:pPr>
              <w:pStyle w:val="TableText"/>
              <w:spacing w:before="30" w:after="30"/>
            </w:pPr>
            <w:r w:rsidRPr="001D5327">
              <w:t>NA</w:t>
            </w:r>
          </w:p>
        </w:tc>
        <w:tc>
          <w:tcPr>
            <w:tcW w:w="2713" w:type="dxa"/>
          </w:tcPr>
          <w:p w14:paraId="33D681ED" w14:textId="77777777" w:rsidR="00E0181F" w:rsidRPr="001D5327" w:rsidRDefault="00E0181F" w:rsidP="00885CE9">
            <w:pPr>
              <w:pStyle w:val="TableText"/>
              <w:spacing w:before="30" w:after="30"/>
            </w:pPr>
            <w:r w:rsidRPr="001D5327">
              <w:t>Instantaneous loss of previous land use carbon stock</w:t>
            </w:r>
          </w:p>
        </w:tc>
        <w:tc>
          <w:tcPr>
            <w:tcW w:w="2248" w:type="dxa"/>
          </w:tcPr>
          <w:p w14:paraId="47432A87" w14:textId="77777777" w:rsidR="00E0181F" w:rsidRPr="001D5327" w:rsidRDefault="00E0181F" w:rsidP="00885CE9">
            <w:pPr>
              <w:pStyle w:val="TableText"/>
              <w:spacing w:before="30" w:after="30"/>
            </w:pPr>
            <w:r w:rsidRPr="001D5327">
              <w:t>IPCC Tier 1 default assumption (section 9.3.1, IPCC, 2006a)</w:t>
            </w:r>
          </w:p>
        </w:tc>
      </w:tr>
      <w:tr w:rsidR="00E0181F" w:rsidRPr="001D5327" w14:paraId="307CD3AC" w14:textId="77777777" w:rsidTr="007B5134">
        <w:tc>
          <w:tcPr>
            <w:tcW w:w="1276" w:type="dxa"/>
          </w:tcPr>
          <w:p w14:paraId="3EF46D42" w14:textId="77777777" w:rsidR="00E0181F" w:rsidRPr="001D5327" w:rsidRDefault="00E0181F" w:rsidP="00885CE9">
            <w:pPr>
              <w:pStyle w:val="TableText"/>
              <w:spacing w:before="30" w:after="30"/>
            </w:pPr>
            <w:r w:rsidRPr="001D5327">
              <w:t>Soils (mineral)</w:t>
            </w:r>
          </w:p>
        </w:tc>
        <w:tc>
          <w:tcPr>
            <w:tcW w:w="1134" w:type="dxa"/>
          </w:tcPr>
          <w:p w14:paraId="42104608" w14:textId="77777777" w:rsidR="00E0181F" w:rsidRPr="001D5327" w:rsidRDefault="00E0181F" w:rsidP="00885CE9">
            <w:pPr>
              <w:pStyle w:val="TableText"/>
              <w:spacing w:before="30" w:after="30"/>
            </w:pPr>
            <w:r w:rsidRPr="001D5327">
              <w:t>58.37</w:t>
            </w:r>
          </w:p>
        </w:tc>
        <w:tc>
          <w:tcPr>
            <w:tcW w:w="1134" w:type="dxa"/>
          </w:tcPr>
          <w:p w14:paraId="055B7E92" w14:textId="77777777" w:rsidR="00E0181F" w:rsidRPr="001D5327" w:rsidRDefault="00E0181F" w:rsidP="00885CE9">
            <w:pPr>
              <w:pStyle w:val="TableText"/>
              <w:spacing w:before="30" w:after="30"/>
            </w:pPr>
            <w:r w:rsidRPr="001D5327">
              <w:t>20</w:t>
            </w:r>
          </w:p>
        </w:tc>
        <w:tc>
          <w:tcPr>
            <w:tcW w:w="2713" w:type="dxa"/>
          </w:tcPr>
          <w:p w14:paraId="22135C77" w14:textId="77777777" w:rsidR="00E0181F" w:rsidRPr="001D5327" w:rsidRDefault="00E0181F" w:rsidP="00885CE9">
            <w:pPr>
              <w:pStyle w:val="TableText"/>
              <w:spacing w:before="30" w:after="30"/>
            </w:pPr>
            <w:r w:rsidRPr="001D5327">
              <w:t>Linear change over the conversion period between new and previous stock values</w:t>
            </w:r>
          </w:p>
        </w:tc>
        <w:tc>
          <w:tcPr>
            <w:tcW w:w="2248" w:type="dxa"/>
          </w:tcPr>
          <w:p w14:paraId="5BCF0843" w14:textId="77777777" w:rsidR="00E0181F" w:rsidRPr="001D5327" w:rsidRDefault="00E0181F" w:rsidP="00885CE9">
            <w:pPr>
              <w:pStyle w:val="TableText"/>
              <w:spacing w:before="30" w:after="30"/>
            </w:pPr>
            <w:r w:rsidRPr="001D5327">
              <w:t>Annex 5, section A5.2.4 of this submission</w:t>
            </w:r>
          </w:p>
        </w:tc>
      </w:tr>
    </w:tbl>
    <w:p w14:paraId="3FD14573" w14:textId="77777777" w:rsidR="00E0181F" w:rsidRPr="001D5327" w:rsidRDefault="00E0181F" w:rsidP="00E0181F">
      <w:pPr>
        <w:pStyle w:val="Noteundertable"/>
        <w:spacing w:before="80"/>
      </w:pPr>
      <w:r w:rsidRPr="001D5327">
        <w:rPr>
          <w:b/>
        </w:rPr>
        <w:t>Note:</w:t>
      </w:r>
      <w:r w:rsidRPr="001D5327">
        <w:tab/>
        <w:t>NA = not applicable; NE = not estimated.</w:t>
      </w:r>
    </w:p>
    <w:p w14:paraId="5A62300E" w14:textId="77777777" w:rsidR="00E0181F" w:rsidRPr="001D5327" w:rsidRDefault="00E0181F" w:rsidP="00126FD7">
      <w:pPr>
        <w:pStyle w:val="Heading5"/>
        <w:spacing w:before="180"/>
      </w:pPr>
      <w:r w:rsidRPr="001D5327">
        <w:t>Living biomass and dead organic matter</w:t>
      </w:r>
    </w:p>
    <w:p w14:paraId="03DA7CC7" w14:textId="77777777" w:rsidR="00E0181F" w:rsidRPr="001D5327" w:rsidRDefault="00E0181F" w:rsidP="00EA09C9">
      <w:pPr>
        <w:pStyle w:val="BodyText"/>
        <w:spacing w:before="60" w:after="100"/>
      </w:pPr>
      <w:r w:rsidRPr="001D5327">
        <w:rPr>
          <w:spacing w:val="-2"/>
        </w:rPr>
        <w:t xml:space="preserve">All of New Zealand’s land area in the </w:t>
      </w:r>
      <w:r w:rsidRPr="001D5327">
        <w:rPr>
          <w:i/>
          <w:spacing w:val="-2"/>
        </w:rPr>
        <w:t>Other land</w:t>
      </w:r>
      <w:r w:rsidRPr="001D5327">
        <w:rPr>
          <w:spacing w:val="-2"/>
        </w:rPr>
        <w:t xml:space="preserve"> category is classified as ‘managed’. New Zealand</w:t>
      </w:r>
      <w:r w:rsidRPr="001D5327">
        <w:t xml:space="preserve"> considers all land to be managed, because all land is under some form of management plan, regardless of the intensity and/or type of land-management practices. Reporting for the category </w:t>
      </w:r>
      <w:r w:rsidRPr="001D5327">
        <w:rPr>
          <w:i/>
        </w:rPr>
        <w:t>Other land remaining other land</w:t>
      </w:r>
      <w:r w:rsidRPr="001D5327">
        <w:t xml:space="preserve"> is not mandatory. New Zealand applies the Tier 1 approach to this category, which assumes carbon accumulation and loss for the biomass pool is zero in all years subsequent to the year of conversion (section 9.3.1, IPCC, 2006a).</w:t>
      </w:r>
    </w:p>
    <w:p w14:paraId="6FF1A326" w14:textId="77777777" w:rsidR="00E0181F" w:rsidRPr="001D5327" w:rsidRDefault="00E0181F" w:rsidP="00126FD7">
      <w:pPr>
        <w:pStyle w:val="Heading5"/>
        <w:spacing w:before="180"/>
      </w:pPr>
      <w:r w:rsidRPr="001D5327">
        <w:t xml:space="preserve">Soil organic carbon </w:t>
      </w:r>
    </w:p>
    <w:p w14:paraId="240CE63D" w14:textId="77777777" w:rsidR="00E0181F" w:rsidRPr="001D5327" w:rsidRDefault="00E0181F" w:rsidP="00EA09C9">
      <w:pPr>
        <w:pStyle w:val="BodyText"/>
        <w:spacing w:before="60" w:after="100"/>
      </w:pPr>
      <w:r w:rsidRPr="001D5327">
        <w:rPr>
          <w:spacing w:val="-2"/>
        </w:rPr>
        <w:t xml:space="preserve">Soil organic carbon stocks in </w:t>
      </w:r>
      <w:r w:rsidRPr="001D5327">
        <w:rPr>
          <w:i/>
          <w:spacing w:val="-2"/>
        </w:rPr>
        <w:t>Other land remaining other land</w:t>
      </w:r>
      <w:r w:rsidRPr="001D5327">
        <w:rPr>
          <w:spacing w:val="-2"/>
        </w:rPr>
        <w:t xml:space="preserve"> are estimated using a Tier 2 method for mineral soils (see annex 5, section A5.2.4 ‘Mineral soils’). The steady state mineral SOC stock in </w:t>
      </w:r>
      <w:r w:rsidRPr="001D5327">
        <w:rPr>
          <w:i/>
          <w:spacing w:val="-2"/>
        </w:rPr>
        <w:t>Other land</w:t>
      </w:r>
      <w:r w:rsidRPr="001D5327">
        <w:rPr>
          <w:spacing w:val="-2"/>
        </w:rPr>
        <w:t xml:space="preserve"> is estimated to be </w:t>
      </w:r>
      <w:r w:rsidRPr="001D5327">
        <w:rPr>
          <w:color w:val="000000"/>
          <w:spacing w:val="-2"/>
        </w:rPr>
        <w:t>58.37 </w:t>
      </w:r>
      <w:r w:rsidRPr="001D5327">
        <w:rPr>
          <w:spacing w:val="-2"/>
        </w:rPr>
        <w:t>tonnes C ha</w:t>
      </w:r>
      <w:r w:rsidRPr="001D5327">
        <w:rPr>
          <w:spacing w:val="-2"/>
          <w:vertAlign w:val="superscript"/>
        </w:rPr>
        <w:t>–1</w:t>
      </w:r>
      <w:r w:rsidRPr="001D5327">
        <w:rPr>
          <w:spacing w:val="-2"/>
        </w:rPr>
        <w:t xml:space="preserve">. This is based on only three samples so has an associated uncertainty of ±70.7 per cent (McNeill and Barringer, unpublished). The 2006 IPCC Guidelines provide a default value for soil carbon in </w:t>
      </w:r>
      <w:r w:rsidRPr="001D5327">
        <w:rPr>
          <w:i/>
          <w:spacing w:val="-2"/>
        </w:rPr>
        <w:t xml:space="preserve">Other land </w:t>
      </w:r>
      <w:r w:rsidRPr="001D5327">
        <w:rPr>
          <w:spacing w:val="-2"/>
        </w:rPr>
        <w:t>of 0 tonnes C ha</w:t>
      </w:r>
      <w:r w:rsidRPr="001D5327">
        <w:rPr>
          <w:spacing w:val="-2"/>
          <w:vertAlign w:val="superscript"/>
        </w:rPr>
        <w:t>–1</w:t>
      </w:r>
      <w:r w:rsidRPr="001D5327">
        <w:rPr>
          <w:spacing w:val="-2"/>
        </w:rPr>
        <w:t xml:space="preserve"> (section 9.3.3.2, IPCC, 2006a). However, due to the hierarchical structure of defining land use classes, </w:t>
      </w:r>
      <w:r w:rsidRPr="001D5327">
        <w:rPr>
          <w:i/>
          <w:spacing w:val="-2"/>
        </w:rPr>
        <w:t>Other land</w:t>
      </w:r>
      <w:r w:rsidRPr="001D5327">
        <w:rPr>
          <w:spacing w:val="-2"/>
        </w:rPr>
        <w:t xml:space="preserve"> is defined as “any other remaining land that does not fall into any of the other land use categories”, which can result in the SOC measured potentially being greater than zero</w:t>
      </w:r>
      <w:r w:rsidRPr="001D5327">
        <w:t>.</w:t>
      </w:r>
    </w:p>
    <w:p w14:paraId="1DE96856" w14:textId="77777777" w:rsidR="00E0181F" w:rsidRPr="001D5327" w:rsidRDefault="00E0181F" w:rsidP="00E0181F">
      <w:pPr>
        <w:pStyle w:val="Heading4"/>
      </w:pPr>
      <w:r w:rsidRPr="001D5327">
        <w:t>Land converted to other land (4.F.2)</w:t>
      </w:r>
    </w:p>
    <w:p w14:paraId="1E546B3C" w14:textId="77777777" w:rsidR="00E0181F" w:rsidRPr="001D5327" w:rsidRDefault="00E0181F" w:rsidP="00E0181F">
      <w:pPr>
        <w:pStyle w:val="Heading5"/>
        <w:spacing w:before="180"/>
      </w:pPr>
      <w:r w:rsidRPr="001D5327">
        <w:t>Living biomass and dead organic matter</w:t>
      </w:r>
    </w:p>
    <w:p w14:paraId="27A294EC" w14:textId="77777777" w:rsidR="00E0181F" w:rsidRPr="001D5327" w:rsidRDefault="00E0181F" w:rsidP="00EA09C9">
      <w:pPr>
        <w:pStyle w:val="BodyText"/>
        <w:spacing w:before="60" w:after="100"/>
      </w:pPr>
      <w:r w:rsidRPr="001D5327">
        <w:t xml:space="preserve">New Zealand uses a Tier 1 method to calculate emissions for </w:t>
      </w:r>
      <w:r w:rsidRPr="001D5327">
        <w:rPr>
          <w:i/>
        </w:rPr>
        <w:t>Land converted to other land</w:t>
      </w:r>
      <w:r w:rsidRPr="001D5327">
        <w:t xml:space="preserve"> (equation 2.16, IPCC, 2006a). This is the same as the method used for other areas of land use conversion (e.g., </w:t>
      </w:r>
      <w:r w:rsidRPr="001D5327">
        <w:rPr>
          <w:i/>
        </w:rPr>
        <w:t>Land converted to cropland</w:t>
      </w:r>
      <w:r w:rsidRPr="001D5327">
        <w:t xml:space="preserve">). The Tier 1 method assumes the carbon in living biomass and dead organic matter present before conversion is lost and instantly oxidised in the same year as the conversion takes place and that carbon stocks in living biomass and dead organic matter following conversion are equal to zero. There is no Tier 1 method for calculating carbon accumulation in living biomass or dead organic matter for </w:t>
      </w:r>
      <w:r w:rsidRPr="001D5327">
        <w:rPr>
          <w:i/>
        </w:rPr>
        <w:t>Land converted to other land</w:t>
      </w:r>
      <w:r w:rsidRPr="001D5327">
        <w:t>.</w:t>
      </w:r>
    </w:p>
    <w:p w14:paraId="2337D716" w14:textId="77777777" w:rsidR="00E0181F" w:rsidRPr="001D5327" w:rsidRDefault="00E0181F" w:rsidP="00E753C5">
      <w:pPr>
        <w:pStyle w:val="Heading5"/>
        <w:spacing w:before="180"/>
      </w:pPr>
      <w:r w:rsidRPr="001D5327">
        <w:t xml:space="preserve">Soil organic carbon </w:t>
      </w:r>
    </w:p>
    <w:p w14:paraId="3043270F" w14:textId="77777777" w:rsidR="00E0181F" w:rsidRPr="001D5327" w:rsidRDefault="00E0181F" w:rsidP="00EA09C9">
      <w:pPr>
        <w:pStyle w:val="BodyText"/>
        <w:spacing w:before="60" w:after="100"/>
      </w:pPr>
      <w:r w:rsidRPr="001D5327">
        <w:t xml:space="preserve">Soil organic carbon stocks in </w:t>
      </w:r>
      <w:r w:rsidRPr="001D5327">
        <w:rPr>
          <w:i/>
        </w:rPr>
        <w:t>Land converted to other land</w:t>
      </w:r>
      <w:r w:rsidRPr="001D5327">
        <w:t xml:space="preserve"> before conversion are estimated using a Tier 2 method (see annex 5, section A5.2.4 ‘Mineral soils’). The IPCC default method of a linear change over a 20</w:t>
      </w:r>
      <w:r w:rsidRPr="001D5327">
        <w:noBreakHyphen/>
        <w:t>year period is used to estimate the change in SOC stocks between the original land use and other land for any given period.</w:t>
      </w:r>
    </w:p>
    <w:p w14:paraId="1B3E298B" w14:textId="77777777" w:rsidR="00E0181F" w:rsidRPr="001D5327" w:rsidRDefault="00E0181F" w:rsidP="00E753C5">
      <w:pPr>
        <w:pStyle w:val="Heading3"/>
        <w:spacing w:before="280"/>
      </w:pPr>
      <w:r w:rsidRPr="001D5327">
        <w:lastRenderedPageBreak/>
        <w:t>6.9.3</w:t>
      </w:r>
      <w:r w:rsidRPr="001D5327">
        <w:tab/>
        <w:t>Uncertainty assessment and time-series consistency</w:t>
      </w:r>
    </w:p>
    <w:p w14:paraId="3ACC6ABA" w14:textId="77777777" w:rsidR="00E0181F" w:rsidRPr="001D5327" w:rsidRDefault="00E0181F" w:rsidP="00E0181F">
      <w:pPr>
        <w:pStyle w:val="BodyText"/>
        <w:spacing w:before="100" w:after="100"/>
      </w:pPr>
      <w:r w:rsidRPr="001D5327">
        <w:t xml:space="preserve">The uncertainty in net carbon emissions from </w:t>
      </w:r>
      <w:r w:rsidRPr="001D5327">
        <w:rPr>
          <w:i/>
          <w:iCs/>
        </w:rPr>
        <w:t>Other</w:t>
      </w:r>
      <w:r w:rsidRPr="001D5327">
        <w:rPr>
          <w:i/>
        </w:rPr>
        <w:t xml:space="preserve"> land</w:t>
      </w:r>
      <w:r w:rsidRPr="001D5327">
        <w:t xml:space="preserve"> was 85.5 per cent in 2023. Emissions from </w:t>
      </w:r>
      <w:r w:rsidRPr="001D5327">
        <w:rPr>
          <w:i/>
        </w:rPr>
        <w:t>Other land</w:t>
      </w:r>
      <w:r w:rsidRPr="001D5327">
        <w:t xml:space="preserve"> accounted for 0.3 per cent of the net emissions from the LULUCF sector. The methods used to calculate the uncertainty are further described in annex 5, section A5.2.8.</w:t>
      </w:r>
    </w:p>
    <w:p w14:paraId="4F272202" w14:textId="77777777" w:rsidR="00E0181F" w:rsidRPr="001D5327" w:rsidRDefault="00E0181F" w:rsidP="00E0181F">
      <w:pPr>
        <w:pStyle w:val="BodyText"/>
        <w:spacing w:before="100" w:after="100"/>
      </w:pPr>
      <w:r w:rsidRPr="001D5327">
        <w:t xml:space="preserve">Time-series consistency is ensured by applying consistent methods and full recalculations in the event of any refinement or improvement to methodology. </w:t>
      </w:r>
    </w:p>
    <w:p w14:paraId="2B5088A9" w14:textId="77777777" w:rsidR="00E0181F" w:rsidRPr="001D5327" w:rsidRDefault="00E0181F" w:rsidP="00E753C5">
      <w:pPr>
        <w:pStyle w:val="Heading3"/>
        <w:spacing w:before="280"/>
      </w:pPr>
      <w:r w:rsidRPr="001D5327">
        <w:t>6.9.4</w:t>
      </w:r>
      <w:r w:rsidRPr="001D5327">
        <w:tab/>
        <w:t>Category-specific QA/QC and verification</w:t>
      </w:r>
    </w:p>
    <w:p w14:paraId="4B977E61" w14:textId="77777777" w:rsidR="00E0181F" w:rsidRPr="001D5327" w:rsidRDefault="00E0181F" w:rsidP="00E0181F">
      <w:pPr>
        <w:pStyle w:val="BodyText"/>
        <w:spacing w:before="100" w:after="100"/>
      </w:pPr>
      <w:r w:rsidRPr="001D5327">
        <w:t>In the preparation of this inventory, the data for these emissions underwent Tier 1 quality checks.</w:t>
      </w:r>
    </w:p>
    <w:p w14:paraId="0DD837EB" w14:textId="77777777" w:rsidR="00E0181F" w:rsidRPr="001D5327" w:rsidRDefault="00E0181F" w:rsidP="00E753C5">
      <w:pPr>
        <w:pStyle w:val="Heading3"/>
        <w:spacing w:before="280"/>
      </w:pPr>
      <w:r w:rsidRPr="001D5327">
        <w:t>6.9.5</w:t>
      </w:r>
      <w:r w:rsidRPr="001D5327">
        <w:tab/>
        <w:t>Category-specific recalculations</w:t>
      </w:r>
    </w:p>
    <w:p w14:paraId="3AE5DC55" w14:textId="77777777" w:rsidR="00E0181F" w:rsidRPr="001D5327" w:rsidRDefault="00E0181F" w:rsidP="00E0181F">
      <w:pPr>
        <w:pStyle w:val="BodyText"/>
        <w:spacing w:before="100" w:after="100"/>
        <w:rPr>
          <w:iCs/>
          <w:spacing w:val="-2"/>
        </w:rPr>
      </w:pPr>
      <w:r w:rsidRPr="001D5327">
        <w:rPr>
          <w:spacing w:val="-2"/>
        </w:rPr>
        <w:t>The impact of recalculations on net CO</w:t>
      </w:r>
      <w:r w:rsidRPr="001D5327">
        <w:rPr>
          <w:spacing w:val="-2"/>
          <w:vertAlign w:val="subscript"/>
        </w:rPr>
        <w:t>2</w:t>
      </w:r>
      <w:r w:rsidRPr="001D5327">
        <w:rPr>
          <w:spacing w:val="-2"/>
        </w:rPr>
        <w:t xml:space="preserve">-e emission estimates for the </w:t>
      </w:r>
      <w:r w:rsidRPr="001D5327">
        <w:rPr>
          <w:i/>
          <w:spacing w:val="-2"/>
        </w:rPr>
        <w:t>Other land</w:t>
      </w:r>
      <w:r w:rsidRPr="001D5327">
        <w:rPr>
          <w:spacing w:val="-2"/>
        </w:rPr>
        <w:t xml:space="preserve"> category is shown in table 6.9.3</w:t>
      </w:r>
      <w:r w:rsidRPr="001D5327" w:rsidDel="00B01A6B">
        <w:rPr>
          <w:spacing w:val="-2"/>
        </w:rPr>
        <w:t>.</w:t>
      </w:r>
      <w:r w:rsidRPr="001D5327">
        <w:rPr>
          <w:spacing w:val="-2"/>
        </w:rPr>
        <w:t xml:space="preserve"> Recalculations were carried out for this category as a result of mapping data, as described section 6.2 and annex 5, section A5.2.2. </w:t>
      </w:r>
      <w:r w:rsidRPr="001D5327">
        <w:t xml:space="preserve">Recalculations in the </w:t>
      </w:r>
      <w:r w:rsidRPr="001D5327">
        <w:rPr>
          <w:i/>
        </w:rPr>
        <w:t xml:space="preserve">Other land </w:t>
      </w:r>
      <w:r w:rsidRPr="001D5327">
        <w:t xml:space="preserve">category are due to corrections incorporated into the 2020 land use map that improve mapping of </w:t>
      </w:r>
      <w:r w:rsidRPr="001D5327">
        <w:rPr>
          <w:i/>
          <w:iCs/>
        </w:rPr>
        <w:t xml:space="preserve">Other land </w:t>
      </w:r>
      <w:r w:rsidRPr="001D5327">
        <w:t xml:space="preserve">where it transitions unrealistically to a land use class with a high soil carbon value. Additionally, emissions associated with small mapping changes to the areas of deforestation that have been converted to </w:t>
      </w:r>
      <w:r w:rsidRPr="001D5327">
        <w:rPr>
          <w:i/>
        </w:rPr>
        <w:t xml:space="preserve">Other land </w:t>
      </w:r>
      <w:r w:rsidRPr="001D5327">
        <w:rPr>
          <w:iCs/>
        </w:rPr>
        <w:t>have increased the 2021 emission estimate.</w:t>
      </w:r>
      <w:r w:rsidRPr="001D5327">
        <w:rPr>
          <w:iCs/>
          <w:spacing w:val="-2"/>
        </w:rPr>
        <w:t xml:space="preserve"> </w:t>
      </w:r>
    </w:p>
    <w:p w14:paraId="1F4277EE" w14:textId="77777777" w:rsidR="00E0181F" w:rsidRPr="001D5327" w:rsidRDefault="00E0181F" w:rsidP="00E0181F">
      <w:pPr>
        <w:pStyle w:val="Table"/>
      </w:pPr>
      <w:bookmarkStart w:id="2653" w:name="_Toc342470796"/>
      <w:bookmarkStart w:id="2654" w:name="_Toc352505036"/>
      <w:bookmarkStart w:id="2655" w:name="_Toc378853325"/>
      <w:bookmarkStart w:id="2656" w:name="_Toc391024123"/>
      <w:bookmarkStart w:id="2657" w:name="_Toc410028865"/>
      <w:bookmarkStart w:id="2658" w:name="_Toc414531493"/>
      <w:bookmarkStart w:id="2659" w:name="_Toc443645406"/>
      <w:bookmarkStart w:id="2660" w:name="_Toc474914625"/>
      <w:bookmarkStart w:id="2661" w:name="_Toc481751589"/>
      <w:bookmarkStart w:id="2662" w:name="_Toc522010646"/>
      <w:bookmarkStart w:id="2663" w:name="_Toc5269551"/>
      <w:bookmarkStart w:id="2664" w:name="_Toc33529425"/>
      <w:bookmarkStart w:id="2665" w:name="_Toc36224631"/>
      <w:bookmarkStart w:id="2666" w:name="_Toc131591424"/>
      <w:bookmarkStart w:id="2667" w:name="_Toc158979982"/>
      <w:bookmarkStart w:id="2668" w:name="_Toc164153915"/>
      <w:bookmarkStart w:id="2669" w:name="_Toc190873149"/>
      <w:bookmarkStart w:id="2670" w:name="_Toc194241788"/>
      <w:r w:rsidRPr="001D5327">
        <w:t>Table 6.9.3</w:t>
      </w:r>
      <w:r w:rsidRPr="001D5327">
        <w:tab/>
        <w:t xml:space="preserve">Recalculations for New Zealand’s net emissions from the </w:t>
      </w:r>
      <w:r w:rsidRPr="001D5327">
        <w:rPr>
          <w:i/>
        </w:rPr>
        <w:t>Other land</w:t>
      </w:r>
      <w:r w:rsidRPr="001D5327">
        <w:t xml:space="preserve"> category in 1990 and </w:t>
      </w:r>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r w:rsidRPr="001D5327">
        <w:t>2022</w:t>
      </w:r>
      <w:bookmarkEnd w:id="2669"/>
      <w:bookmarkEnd w:id="2670"/>
    </w:p>
    <w:tbl>
      <w:tblPr>
        <w:tblW w:w="8504"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122"/>
        <w:gridCol w:w="1417"/>
        <w:gridCol w:w="1701"/>
        <w:gridCol w:w="2268"/>
        <w:gridCol w:w="996"/>
      </w:tblGrid>
      <w:tr w:rsidR="00E0181F" w:rsidRPr="001D5327" w14:paraId="117615D9" w14:textId="77777777" w:rsidTr="00D11AC9">
        <w:trPr>
          <w:tblHeader/>
        </w:trPr>
        <w:tc>
          <w:tcPr>
            <w:tcW w:w="2122" w:type="dxa"/>
            <w:shd w:val="clear" w:color="auto" w:fill="1B556B"/>
            <w:tcMar>
              <w:top w:w="0" w:type="dxa"/>
              <w:left w:w="85" w:type="dxa"/>
              <w:bottom w:w="0" w:type="dxa"/>
              <w:right w:w="85" w:type="dxa"/>
            </w:tcMar>
            <w:vAlign w:val="center"/>
          </w:tcPr>
          <w:p w14:paraId="53FFB123" w14:textId="77777777" w:rsidR="00E0181F" w:rsidRPr="001D5327" w:rsidRDefault="00E0181F" w:rsidP="00D11AC9">
            <w:pPr>
              <w:pStyle w:val="TableTextBold"/>
              <w:spacing w:before="40" w:after="40"/>
              <w:rPr>
                <w:noProof w:val="0"/>
                <w:color w:val="FFFFFF" w:themeColor="background1"/>
              </w:rPr>
            </w:pPr>
          </w:p>
        </w:tc>
        <w:tc>
          <w:tcPr>
            <w:tcW w:w="1417" w:type="dxa"/>
            <w:shd w:val="clear" w:color="auto" w:fill="1B556B"/>
            <w:tcMar>
              <w:top w:w="0" w:type="dxa"/>
              <w:left w:w="85" w:type="dxa"/>
              <w:bottom w:w="0" w:type="dxa"/>
              <w:right w:w="85" w:type="dxa"/>
            </w:tcMar>
            <w:vAlign w:val="center"/>
          </w:tcPr>
          <w:p w14:paraId="133B7717"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2024 submission</w:t>
            </w:r>
          </w:p>
        </w:tc>
        <w:tc>
          <w:tcPr>
            <w:tcW w:w="1701" w:type="dxa"/>
            <w:shd w:val="clear" w:color="auto" w:fill="1B556B"/>
            <w:tcMar>
              <w:top w:w="0" w:type="dxa"/>
              <w:left w:w="85" w:type="dxa"/>
              <w:bottom w:w="0" w:type="dxa"/>
              <w:right w:w="85" w:type="dxa"/>
            </w:tcMar>
            <w:vAlign w:val="center"/>
          </w:tcPr>
          <w:p w14:paraId="6B546BFE"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2025 submission</w:t>
            </w:r>
          </w:p>
        </w:tc>
        <w:tc>
          <w:tcPr>
            <w:tcW w:w="2268" w:type="dxa"/>
            <w:shd w:val="clear" w:color="auto" w:fill="1B556B"/>
            <w:tcMar>
              <w:top w:w="0" w:type="dxa"/>
              <w:left w:w="85" w:type="dxa"/>
              <w:bottom w:w="0" w:type="dxa"/>
              <w:right w:w="85" w:type="dxa"/>
            </w:tcMar>
            <w:vAlign w:val="center"/>
          </w:tcPr>
          <w:p w14:paraId="20BFE9C9"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Change from 2024 submission</w:t>
            </w:r>
          </w:p>
        </w:tc>
        <w:tc>
          <w:tcPr>
            <w:tcW w:w="996" w:type="dxa"/>
            <w:shd w:val="clear" w:color="auto" w:fill="1B556B"/>
            <w:tcMar>
              <w:top w:w="0" w:type="dxa"/>
              <w:left w:w="85" w:type="dxa"/>
              <w:bottom w:w="0" w:type="dxa"/>
              <w:right w:w="85" w:type="dxa"/>
            </w:tcMar>
            <w:vAlign w:val="center"/>
          </w:tcPr>
          <w:p w14:paraId="7D7876E4"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Change (%)</w:t>
            </w:r>
          </w:p>
        </w:tc>
      </w:tr>
      <w:tr w:rsidR="00E0181F" w:rsidRPr="001D5327" w14:paraId="2719EAA9" w14:textId="77777777" w:rsidTr="00D11AC9">
        <w:tc>
          <w:tcPr>
            <w:tcW w:w="2122" w:type="dxa"/>
            <w:shd w:val="clear" w:color="auto" w:fill="FFFFFF"/>
            <w:tcMar>
              <w:top w:w="0" w:type="dxa"/>
              <w:left w:w="85" w:type="dxa"/>
              <w:bottom w:w="0" w:type="dxa"/>
              <w:right w:w="85" w:type="dxa"/>
            </w:tcMar>
            <w:vAlign w:val="center"/>
          </w:tcPr>
          <w:p w14:paraId="7A30D39C" w14:textId="77777777" w:rsidR="00E0181F" w:rsidRPr="001D5327" w:rsidRDefault="00E0181F" w:rsidP="00D11AC9">
            <w:pPr>
              <w:pStyle w:val="Tableboldblue"/>
              <w:spacing w:before="40" w:after="40"/>
            </w:pPr>
            <w:r w:rsidRPr="001D5327">
              <w:rPr>
                <w:rFonts w:eastAsia="Calibri"/>
              </w:rPr>
              <w:t>Net emissions (kt CO</w:t>
            </w:r>
            <w:r w:rsidRPr="001D5327">
              <w:rPr>
                <w:rFonts w:eastAsia="Calibri"/>
                <w:vertAlign w:val="subscript"/>
              </w:rPr>
              <w:t>2</w:t>
            </w:r>
            <w:r w:rsidRPr="001D5327">
              <w:rPr>
                <w:rFonts w:eastAsia="Calibri"/>
              </w:rPr>
              <w:t>-e)</w:t>
            </w:r>
          </w:p>
        </w:tc>
        <w:tc>
          <w:tcPr>
            <w:tcW w:w="1417" w:type="dxa"/>
            <w:shd w:val="clear" w:color="auto" w:fill="FFFFFF"/>
            <w:tcMar>
              <w:top w:w="0" w:type="dxa"/>
              <w:left w:w="85" w:type="dxa"/>
              <w:bottom w:w="0" w:type="dxa"/>
              <w:right w:w="85" w:type="dxa"/>
            </w:tcMar>
            <w:vAlign w:val="center"/>
          </w:tcPr>
          <w:p w14:paraId="3E330733" w14:textId="77777777" w:rsidR="00E0181F" w:rsidRPr="001D5327" w:rsidRDefault="00E0181F" w:rsidP="00D11AC9">
            <w:pPr>
              <w:pStyle w:val="Tableboldblue"/>
              <w:spacing w:before="40" w:after="40"/>
              <w:jc w:val="right"/>
            </w:pPr>
          </w:p>
        </w:tc>
        <w:tc>
          <w:tcPr>
            <w:tcW w:w="1701" w:type="dxa"/>
            <w:shd w:val="clear" w:color="auto" w:fill="FFFFFF"/>
            <w:tcMar>
              <w:top w:w="0" w:type="dxa"/>
              <w:left w:w="85" w:type="dxa"/>
              <w:bottom w:w="0" w:type="dxa"/>
              <w:right w:w="85" w:type="dxa"/>
            </w:tcMar>
            <w:vAlign w:val="center"/>
          </w:tcPr>
          <w:p w14:paraId="46A80F5C" w14:textId="77777777" w:rsidR="00E0181F" w:rsidRPr="001D5327" w:rsidRDefault="00E0181F" w:rsidP="00D11AC9">
            <w:pPr>
              <w:pStyle w:val="Tableboldblue"/>
              <w:spacing w:before="40" w:after="40"/>
              <w:jc w:val="right"/>
            </w:pPr>
          </w:p>
        </w:tc>
        <w:tc>
          <w:tcPr>
            <w:tcW w:w="2268" w:type="dxa"/>
            <w:shd w:val="clear" w:color="auto" w:fill="FFFFFF"/>
            <w:tcMar>
              <w:top w:w="0" w:type="dxa"/>
              <w:left w:w="85" w:type="dxa"/>
              <w:bottom w:w="0" w:type="dxa"/>
              <w:right w:w="85" w:type="dxa"/>
            </w:tcMar>
            <w:vAlign w:val="center"/>
          </w:tcPr>
          <w:p w14:paraId="3862227A" w14:textId="77777777" w:rsidR="00E0181F" w:rsidRPr="001D5327" w:rsidRDefault="00E0181F" w:rsidP="00D11AC9">
            <w:pPr>
              <w:pStyle w:val="Tableboldblue"/>
              <w:spacing w:before="40" w:after="40"/>
              <w:jc w:val="right"/>
            </w:pPr>
          </w:p>
        </w:tc>
        <w:tc>
          <w:tcPr>
            <w:tcW w:w="996" w:type="dxa"/>
            <w:shd w:val="clear" w:color="auto" w:fill="FFFFFF"/>
            <w:tcMar>
              <w:top w:w="0" w:type="dxa"/>
              <w:left w:w="85" w:type="dxa"/>
              <w:bottom w:w="0" w:type="dxa"/>
              <w:right w:w="85" w:type="dxa"/>
            </w:tcMar>
            <w:vAlign w:val="center"/>
          </w:tcPr>
          <w:p w14:paraId="27D164EF" w14:textId="77777777" w:rsidR="00E0181F" w:rsidRPr="001D5327" w:rsidRDefault="00E0181F" w:rsidP="00D11AC9">
            <w:pPr>
              <w:pStyle w:val="Tableboldblue"/>
              <w:spacing w:before="40" w:after="40"/>
              <w:jc w:val="right"/>
            </w:pPr>
          </w:p>
        </w:tc>
      </w:tr>
      <w:tr w:rsidR="00E0181F" w:rsidRPr="001D5327" w14:paraId="03F49D9C" w14:textId="77777777" w:rsidTr="00D11AC9">
        <w:tc>
          <w:tcPr>
            <w:tcW w:w="2122" w:type="dxa"/>
            <w:shd w:val="clear" w:color="auto" w:fill="FFFFFF"/>
            <w:tcMar>
              <w:top w:w="0" w:type="dxa"/>
              <w:left w:w="85" w:type="dxa"/>
              <w:bottom w:w="0" w:type="dxa"/>
              <w:right w:w="85" w:type="dxa"/>
            </w:tcMar>
            <w:vAlign w:val="center"/>
          </w:tcPr>
          <w:p w14:paraId="284C13F6" w14:textId="77777777" w:rsidR="00E0181F" w:rsidRPr="001D5327" w:rsidRDefault="00E0181F" w:rsidP="00D11AC9">
            <w:pPr>
              <w:pStyle w:val="TableText"/>
              <w:spacing w:before="40" w:after="40"/>
            </w:pPr>
            <w:r w:rsidRPr="001D5327">
              <w:rPr>
                <w:rFonts w:eastAsia="Calibri"/>
              </w:rPr>
              <w:t>1990</w:t>
            </w:r>
          </w:p>
        </w:tc>
        <w:tc>
          <w:tcPr>
            <w:tcW w:w="1417" w:type="dxa"/>
            <w:shd w:val="clear" w:color="auto" w:fill="FFFFFF"/>
            <w:tcMar>
              <w:top w:w="0" w:type="dxa"/>
              <w:left w:w="85" w:type="dxa"/>
              <w:bottom w:w="0" w:type="dxa"/>
              <w:right w:w="85" w:type="dxa"/>
            </w:tcMar>
            <w:vAlign w:val="center"/>
          </w:tcPr>
          <w:p w14:paraId="09A6918C" w14:textId="77777777" w:rsidR="00E0181F" w:rsidRPr="001D5327" w:rsidRDefault="00E0181F" w:rsidP="00D11AC9">
            <w:pPr>
              <w:pStyle w:val="TableText"/>
              <w:spacing w:before="40" w:after="40"/>
              <w:jc w:val="right"/>
            </w:pPr>
            <w:r w:rsidRPr="001D5327">
              <w:rPr>
                <w:rFonts w:eastAsia="Calibri"/>
              </w:rPr>
              <w:t>14.8</w:t>
            </w:r>
          </w:p>
        </w:tc>
        <w:tc>
          <w:tcPr>
            <w:tcW w:w="1701" w:type="dxa"/>
            <w:shd w:val="clear" w:color="auto" w:fill="FFFFFF"/>
            <w:tcMar>
              <w:top w:w="0" w:type="dxa"/>
              <w:left w:w="85" w:type="dxa"/>
              <w:bottom w:w="0" w:type="dxa"/>
              <w:right w:w="85" w:type="dxa"/>
            </w:tcMar>
            <w:vAlign w:val="center"/>
          </w:tcPr>
          <w:p w14:paraId="562A5EC8" w14:textId="77777777" w:rsidR="00E0181F" w:rsidRPr="001D5327" w:rsidRDefault="00E0181F" w:rsidP="00D11AC9">
            <w:pPr>
              <w:pStyle w:val="TableText"/>
              <w:spacing w:before="40" w:after="40"/>
              <w:jc w:val="right"/>
            </w:pPr>
            <w:r w:rsidRPr="001D5327">
              <w:rPr>
                <w:rFonts w:eastAsia="Calibri"/>
              </w:rPr>
              <w:t>14.8</w:t>
            </w:r>
          </w:p>
        </w:tc>
        <w:tc>
          <w:tcPr>
            <w:tcW w:w="2268" w:type="dxa"/>
            <w:shd w:val="clear" w:color="auto" w:fill="FFFFFF"/>
            <w:tcMar>
              <w:top w:w="0" w:type="dxa"/>
              <w:left w:w="85" w:type="dxa"/>
              <w:bottom w:w="0" w:type="dxa"/>
              <w:right w:w="85" w:type="dxa"/>
            </w:tcMar>
            <w:vAlign w:val="center"/>
          </w:tcPr>
          <w:p w14:paraId="3282FDF7" w14:textId="77777777" w:rsidR="00E0181F" w:rsidRPr="001D5327" w:rsidRDefault="00E0181F" w:rsidP="00D11AC9">
            <w:pPr>
              <w:pStyle w:val="TableText"/>
              <w:spacing w:before="40" w:after="40"/>
              <w:jc w:val="right"/>
            </w:pPr>
            <w:r w:rsidRPr="001D5327">
              <w:rPr>
                <w:rFonts w:eastAsia="Calibri"/>
              </w:rPr>
              <w:t>0.0</w:t>
            </w:r>
          </w:p>
        </w:tc>
        <w:tc>
          <w:tcPr>
            <w:tcW w:w="996" w:type="dxa"/>
            <w:shd w:val="clear" w:color="auto" w:fill="FFFFFF"/>
            <w:tcMar>
              <w:top w:w="0" w:type="dxa"/>
              <w:left w:w="85" w:type="dxa"/>
              <w:bottom w:w="0" w:type="dxa"/>
              <w:right w:w="85" w:type="dxa"/>
            </w:tcMar>
            <w:vAlign w:val="center"/>
          </w:tcPr>
          <w:p w14:paraId="6655C85E" w14:textId="77777777" w:rsidR="00E0181F" w:rsidRPr="001D5327" w:rsidRDefault="00E0181F" w:rsidP="00D11AC9">
            <w:pPr>
              <w:pStyle w:val="TableText"/>
              <w:spacing w:before="40" w:after="40"/>
              <w:jc w:val="right"/>
            </w:pPr>
            <w:r w:rsidRPr="001D5327">
              <w:rPr>
                <w:rFonts w:eastAsia="Calibri"/>
              </w:rPr>
              <w:t>0.2</w:t>
            </w:r>
          </w:p>
        </w:tc>
      </w:tr>
      <w:tr w:rsidR="00E0181F" w:rsidRPr="001D5327" w14:paraId="6BB8BB9C" w14:textId="77777777" w:rsidTr="00D11AC9">
        <w:tc>
          <w:tcPr>
            <w:tcW w:w="2122" w:type="dxa"/>
            <w:shd w:val="clear" w:color="auto" w:fill="FFFFFF"/>
            <w:tcMar>
              <w:top w:w="0" w:type="dxa"/>
              <w:left w:w="85" w:type="dxa"/>
              <w:bottom w:w="0" w:type="dxa"/>
              <w:right w:w="85" w:type="dxa"/>
            </w:tcMar>
            <w:vAlign w:val="center"/>
          </w:tcPr>
          <w:p w14:paraId="5A4F2CE2" w14:textId="77777777" w:rsidR="00E0181F" w:rsidRPr="001D5327" w:rsidRDefault="00E0181F" w:rsidP="00D11AC9">
            <w:pPr>
              <w:pStyle w:val="TableText"/>
              <w:spacing w:before="40" w:after="40"/>
            </w:pPr>
            <w:r w:rsidRPr="001D5327">
              <w:rPr>
                <w:rFonts w:eastAsia="Calibri"/>
              </w:rPr>
              <w:t>2022</w:t>
            </w:r>
          </w:p>
        </w:tc>
        <w:tc>
          <w:tcPr>
            <w:tcW w:w="1417" w:type="dxa"/>
            <w:shd w:val="clear" w:color="auto" w:fill="FFFFFF"/>
            <w:tcMar>
              <w:top w:w="0" w:type="dxa"/>
              <w:left w:w="85" w:type="dxa"/>
              <w:bottom w:w="0" w:type="dxa"/>
              <w:right w:w="85" w:type="dxa"/>
            </w:tcMar>
            <w:vAlign w:val="center"/>
          </w:tcPr>
          <w:p w14:paraId="2A79B152" w14:textId="77777777" w:rsidR="00E0181F" w:rsidRPr="001D5327" w:rsidRDefault="00E0181F" w:rsidP="00D11AC9">
            <w:pPr>
              <w:pStyle w:val="TableText"/>
              <w:spacing w:before="40" w:after="40"/>
              <w:jc w:val="right"/>
            </w:pPr>
            <w:r w:rsidRPr="001D5327">
              <w:rPr>
                <w:rFonts w:eastAsia="Calibri"/>
              </w:rPr>
              <w:t>90.7</w:t>
            </w:r>
          </w:p>
        </w:tc>
        <w:tc>
          <w:tcPr>
            <w:tcW w:w="1701" w:type="dxa"/>
            <w:shd w:val="clear" w:color="auto" w:fill="FFFFFF"/>
            <w:tcMar>
              <w:top w:w="0" w:type="dxa"/>
              <w:left w:w="85" w:type="dxa"/>
              <w:bottom w:w="0" w:type="dxa"/>
              <w:right w:w="85" w:type="dxa"/>
            </w:tcMar>
            <w:vAlign w:val="center"/>
          </w:tcPr>
          <w:p w14:paraId="19945AC0" w14:textId="77777777" w:rsidR="00E0181F" w:rsidRPr="001D5327" w:rsidRDefault="00E0181F" w:rsidP="00D11AC9">
            <w:pPr>
              <w:pStyle w:val="TableText"/>
              <w:spacing w:before="40" w:after="40"/>
              <w:jc w:val="right"/>
            </w:pPr>
            <w:r w:rsidRPr="001D5327">
              <w:rPr>
                <w:rFonts w:eastAsia="Calibri"/>
              </w:rPr>
              <w:t>88.3</w:t>
            </w:r>
          </w:p>
        </w:tc>
        <w:tc>
          <w:tcPr>
            <w:tcW w:w="2268" w:type="dxa"/>
            <w:shd w:val="clear" w:color="auto" w:fill="FFFFFF"/>
            <w:tcMar>
              <w:top w:w="0" w:type="dxa"/>
              <w:left w:w="85" w:type="dxa"/>
              <w:bottom w:w="0" w:type="dxa"/>
              <w:right w:w="85" w:type="dxa"/>
            </w:tcMar>
            <w:vAlign w:val="center"/>
          </w:tcPr>
          <w:p w14:paraId="6B6A47EC" w14:textId="27A86307" w:rsidR="00E0181F" w:rsidRPr="001D5327" w:rsidRDefault="0070503C" w:rsidP="00D11AC9">
            <w:pPr>
              <w:pStyle w:val="TableText"/>
              <w:spacing w:before="40" w:after="40"/>
              <w:jc w:val="right"/>
            </w:pPr>
            <w:r>
              <w:rPr>
                <w:rFonts w:eastAsia="Calibri"/>
              </w:rPr>
              <w:t>-</w:t>
            </w:r>
            <w:r w:rsidR="00E0181F" w:rsidRPr="001D5327">
              <w:rPr>
                <w:rFonts w:eastAsia="Calibri"/>
              </w:rPr>
              <w:t>2.5</w:t>
            </w:r>
          </w:p>
        </w:tc>
        <w:tc>
          <w:tcPr>
            <w:tcW w:w="996" w:type="dxa"/>
            <w:shd w:val="clear" w:color="auto" w:fill="FFFFFF"/>
            <w:tcMar>
              <w:top w:w="0" w:type="dxa"/>
              <w:left w:w="85" w:type="dxa"/>
              <w:bottom w:w="0" w:type="dxa"/>
              <w:right w:w="85" w:type="dxa"/>
            </w:tcMar>
            <w:vAlign w:val="center"/>
          </w:tcPr>
          <w:p w14:paraId="67561035" w14:textId="4BB382A9" w:rsidR="00E0181F" w:rsidRPr="001D5327" w:rsidRDefault="0070503C" w:rsidP="00D11AC9">
            <w:pPr>
              <w:pStyle w:val="TableText"/>
              <w:spacing w:before="40" w:after="40"/>
              <w:jc w:val="right"/>
            </w:pPr>
            <w:r>
              <w:rPr>
                <w:rFonts w:eastAsia="Calibri"/>
              </w:rPr>
              <w:t>-</w:t>
            </w:r>
            <w:r w:rsidR="00E0181F" w:rsidRPr="001D5327">
              <w:rPr>
                <w:rFonts w:eastAsia="Calibri"/>
              </w:rPr>
              <w:t>2.7</w:t>
            </w:r>
          </w:p>
        </w:tc>
      </w:tr>
      <w:tr w:rsidR="00E0181F" w:rsidRPr="001D5327" w14:paraId="0B8370A1" w14:textId="77777777" w:rsidTr="00D11AC9">
        <w:tc>
          <w:tcPr>
            <w:tcW w:w="2122" w:type="dxa"/>
            <w:shd w:val="clear" w:color="auto" w:fill="FFFFFF"/>
            <w:tcMar>
              <w:top w:w="0" w:type="dxa"/>
              <w:left w:w="85" w:type="dxa"/>
              <w:bottom w:w="0" w:type="dxa"/>
              <w:right w:w="85" w:type="dxa"/>
            </w:tcMar>
            <w:vAlign w:val="center"/>
          </w:tcPr>
          <w:p w14:paraId="29024144" w14:textId="77777777" w:rsidR="00E0181F" w:rsidRPr="001D5327" w:rsidRDefault="00E0181F" w:rsidP="00D11AC9">
            <w:pPr>
              <w:pStyle w:val="Tableboldblue"/>
              <w:spacing w:before="40" w:after="40"/>
            </w:pPr>
            <w:r w:rsidRPr="001D5327">
              <w:rPr>
                <w:rFonts w:eastAsia="Calibri"/>
              </w:rPr>
              <w:t>Area (hectares)</w:t>
            </w:r>
          </w:p>
        </w:tc>
        <w:tc>
          <w:tcPr>
            <w:tcW w:w="1417" w:type="dxa"/>
            <w:shd w:val="clear" w:color="auto" w:fill="FFFFFF"/>
            <w:tcMar>
              <w:top w:w="0" w:type="dxa"/>
              <w:left w:w="85" w:type="dxa"/>
              <w:bottom w:w="0" w:type="dxa"/>
              <w:right w:w="85" w:type="dxa"/>
            </w:tcMar>
            <w:vAlign w:val="center"/>
          </w:tcPr>
          <w:p w14:paraId="568E8F44" w14:textId="77777777" w:rsidR="00E0181F" w:rsidRPr="001D5327" w:rsidRDefault="00E0181F" w:rsidP="00D11AC9">
            <w:pPr>
              <w:pStyle w:val="Tableboldblue"/>
              <w:spacing w:before="40" w:after="40"/>
              <w:jc w:val="right"/>
            </w:pPr>
          </w:p>
        </w:tc>
        <w:tc>
          <w:tcPr>
            <w:tcW w:w="1701" w:type="dxa"/>
            <w:shd w:val="clear" w:color="auto" w:fill="FFFFFF"/>
            <w:tcMar>
              <w:top w:w="0" w:type="dxa"/>
              <w:left w:w="85" w:type="dxa"/>
              <w:bottom w:w="0" w:type="dxa"/>
              <w:right w:w="85" w:type="dxa"/>
            </w:tcMar>
            <w:vAlign w:val="center"/>
          </w:tcPr>
          <w:p w14:paraId="361AFB12" w14:textId="77777777" w:rsidR="00E0181F" w:rsidRPr="001D5327" w:rsidRDefault="00E0181F" w:rsidP="00D11AC9">
            <w:pPr>
              <w:pStyle w:val="Tableboldblue"/>
              <w:spacing w:before="40" w:after="40"/>
              <w:jc w:val="right"/>
            </w:pPr>
          </w:p>
        </w:tc>
        <w:tc>
          <w:tcPr>
            <w:tcW w:w="2268" w:type="dxa"/>
            <w:shd w:val="clear" w:color="auto" w:fill="FFFFFF"/>
            <w:tcMar>
              <w:top w:w="0" w:type="dxa"/>
              <w:left w:w="85" w:type="dxa"/>
              <w:bottom w:w="0" w:type="dxa"/>
              <w:right w:w="85" w:type="dxa"/>
            </w:tcMar>
            <w:vAlign w:val="center"/>
          </w:tcPr>
          <w:p w14:paraId="441EB370" w14:textId="77777777" w:rsidR="00E0181F" w:rsidRPr="001D5327" w:rsidRDefault="00E0181F" w:rsidP="00D11AC9">
            <w:pPr>
              <w:pStyle w:val="Tableboldblue"/>
              <w:spacing w:before="40" w:after="40"/>
              <w:jc w:val="right"/>
            </w:pPr>
          </w:p>
        </w:tc>
        <w:tc>
          <w:tcPr>
            <w:tcW w:w="996" w:type="dxa"/>
            <w:shd w:val="clear" w:color="auto" w:fill="FFFFFF"/>
            <w:tcMar>
              <w:top w:w="0" w:type="dxa"/>
              <w:left w:w="85" w:type="dxa"/>
              <w:bottom w:w="0" w:type="dxa"/>
              <w:right w:w="85" w:type="dxa"/>
            </w:tcMar>
            <w:vAlign w:val="center"/>
          </w:tcPr>
          <w:p w14:paraId="68D6979E" w14:textId="77777777" w:rsidR="00E0181F" w:rsidRPr="001D5327" w:rsidRDefault="00E0181F" w:rsidP="00D11AC9">
            <w:pPr>
              <w:pStyle w:val="Tableboldblue"/>
              <w:spacing w:before="40" w:after="40"/>
              <w:jc w:val="right"/>
            </w:pPr>
          </w:p>
        </w:tc>
      </w:tr>
      <w:tr w:rsidR="00E0181F" w:rsidRPr="001D5327" w14:paraId="00BA64F1" w14:textId="77777777" w:rsidTr="00D11AC9">
        <w:tc>
          <w:tcPr>
            <w:tcW w:w="2122" w:type="dxa"/>
            <w:shd w:val="clear" w:color="auto" w:fill="FFFFFF"/>
            <w:tcMar>
              <w:top w:w="0" w:type="dxa"/>
              <w:left w:w="85" w:type="dxa"/>
              <w:bottom w:w="0" w:type="dxa"/>
              <w:right w:w="85" w:type="dxa"/>
            </w:tcMar>
            <w:vAlign w:val="center"/>
          </w:tcPr>
          <w:p w14:paraId="4C847700" w14:textId="77777777" w:rsidR="00E0181F" w:rsidRPr="001D5327" w:rsidRDefault="00E0181F" w:rsidP="00D11AC9">
            <w:pPr>
              <w:pStyle w:val="TableText"/>
              <w:spacing w:before="40" w:after="40"/>
            </w:pPr>
            <w:r w:rsidRPr="001D5327">
              <w:rPr>
                <w:rFonts w:eastAsia="Calibri"/>
              </w:rPr>
              <w:t>1990</w:t>
            </w:r>
          </w:p>
        </w:tc>
        <w:tc>
          <w:tcPr>
            <w:tcW w:w="1417" w:type="dxa"/>
            <w:shd w:val="clear" w:color="auto" w:fill="FFFFFF"/>
            <w:tcMar>
              <w:top w:w="0" w:type="dxa"/>
              <w:left w:w="85" w:type="dxa"/>
              <w:bottom w:w="0" w:type="dxa"/>
              <w:right w:w="85" w:type="dxa"/>
            </w:tcMar>
            <w:vAlign w:val="center"/>
          </w:tcPr>
          <w:p w14:paraId="10D622C7" w14:textId="77777777" w:rsidR="00E0181F" w:rsidRPr="001D5327" w:rsidRDefault="00E0181F" w:rsidP="00D11AC9">
            <w:pPr>
              <w:pStyle w:val="TableText"/>
              <w:spacing w:before="40" w:after="40"/>
              <w:jc w:val="right"/>
            </w:pPr>
            <w:r w:rsidRPr="001D5327">
              <w:rPr>
                <w:rFonts w:eastAsia="Calibri"/>
              </w:rPr>
              <w:t>895,835</w:t>
            </w:r>
          </w:p>
        </w:tc>
        <w:tc>
          <w:tcPr>
            <w:tcW w:w="1701" w:type="dxa"/>
            <w:shd w:val="clear" w:color="auto" w:fill="FFFFFF"/>
            <w:tcMar>
              <w:top w:w="0" w:type="dxa"/>
              <w:left w:w="85" w:type="dxa"/>
              <w:bottom w:w="0" w:type="dxa"/>
              <w:right w:w="85" w:type="dxa"/>
            </w:tcMar>
            <w:vAlign w:val="center"/>
          </w:tcPr>
          <w:p w14:paraId="0200F5BA" w14:textId="77777777" w:rsidR="00E0181F" w:rsidRPr="001D5327" w:rsidRDefault="00E0181F" w:rsidP="00D11AC9">
            <w:pPr>
              <w:pStyle w:val="TableText"/>
              <w:spacing w:before="40" w:after="40"/>
              <w:jc w:val="right"/>
            </w:pPr>
            <w:r w:rsidRPr="001D5327">
              <w:rPr>
                <w:rFonts w:eastAsia="Calibri"/>
              </w:rPr>
              <w:t>895,640</w:t>
            </w:r>
          </w:p>
        </w:tc>
        <w:tc>
          <w:tcPr>
            <w:tcW w:w="2268" w:type="dxa"/>
            <w:shd w:val="clear" w:color="auto" w:fill="FFFFFF"/>
            <w:tcMar>
              <w:top w:w="0" w:type="dxa"/>
              <w:left w:w="85" w:type="dxa"/>
              <w:bottom w:w="0" w:type="dxa"/>
              <w:right w:w="85" w:type="dxa"/>
            </w:tcMar>
            <w:vAlign w:val="center"/>
          </w:tcPr>
          <w:p w14:paraId="79DF9458" w14:textId="168A9D1D" w:rsidR="00E0181F" w:rsidRPr="001D5327" w:rsidRDefault="0070503C" w:rsidP="00D11AC9">
            <w:pPr>
              <w:pStyle w:val="TableText"/>
              <w:spacing w:before="40" w:after="40"/>
              <w:jc w:val="right"/>
            </w:pPr>
            <w:r>
              <w:rPr>
                <w:rFonts w:eastAsia="Calibri"/>
              </w:rPr>
              <w:t>-</w:t>
            </w:r>
            <w:r w:rsidR="00E0181F" w:rsidRPr="001D5327">
              <w:rPr>
                <w:rFonts w:eastAsia="Calibri"/>
              </w:rPr>
              <w:t>195</w:t>
            </w:r>
          </w:p>
        </w:tc>
        <w:tc>
          <w:tcPr>
            <w:tcW w:w="996" w:type="dxa"/>
            <w:shd w:val="clear" w:color="auto" w:fill="FFFFFF"/>
            <w:tcMar>
              <w:top w:w="0" w:type="dxa"/>
              <w:left w:w="85" w:type="dxa"/>
              <w:bottom w:w="0" w:type="dxa"/>
              <w:right w:w="85" w:type="dxa"/>
            </w:tcMar>
            <w:vAlign w:val="center"/>
          </w:tcPr>
          <w:p w14:paraId="114AE185" w14:textId="262EE9F5" w:rsidR="00E0181F" w:rsidRPr="001D5327" w:rsidRDefault="0070503C" w:rsidP="00D11AC9">
            <w:pPr>
              <w:pStyle w:val="TableText"/>
              <w:spacing w:before="40" w:after="40"/>
              <w:jc w:val="right"/>
            </w:pPr>
            <w:r>
              <w:rPr>
                <w:rFonts w:eastAsia="Calibri"/>
              </w:rPr>
              <w:t>-</w:t>
            </w:r>
            <w:r w:rsidR="00E0181F" w:rsidRPr="001D5327">
              <w:rPr>
                <w:rFonts w:eastAsia="Calibri"/>
              </w:rPr>
              <w:t>0.0</w:t>
            </w:r>
          </w:p>
        </w:tc>
      </w:tr>
      <w:tr w:rsidR="00E0181F" w:rsidRPr="001D5327" w14:paraId="58DC5628" w14:textId="77777777" w:rsidTr="00D11AC9">
        <w:tc>
          <w:tcPr>
            <w:tcW w:w="2122" w:type="dxa"/>
            <w:shd w:val="clear" w:color="auto" w:fill="FFFFFF"/>
            <w:tcMar>
              <w:top w:w="0" w:type="dxa"/>
              <w:left w:w="85" w:type="dxa"/>
              <w:bottom w:w="0" w:type="dxa"/>
              <w:right w:w="85" w:type="dxa"/>
            </w:tcMar>
            <w:vAlign w:val="center"/>
          </w:tcPr>
          <w:p w14:paraId="09BF18D1" w14:textId="77777777" w:rsidR="00E0181F" w:rsidRPr="001D5327" w:rsidRDefault="00E0181F" w:rsidP="00D11AC9">
            <w:pPr>
              <w:pStyle w:val="TableText"/>
              <w:spacing w:before="40" w:after="40"/>
            </w:pPr>
            <w:r w:rsidRPr="001D5327">
              <w:rPr>
                <w:rFonts w:eastAsia="Calibri"/>
              </w:rPr>
              <w:t>2022</w:t>
            </w:r>
          </w:p>
        </w:tc>
        <w:tc>
          <w:tcPr>
            <w:tcW w:w="1417" w:type="dxa"/>
            <w:shd w:val="clear" w:color="auto" w:fill="FFFFFF"/>
            <w:tcMar>
              <w:top w:w="0" w:type="dxa"/>
              <w:left w:w="85" w:type="dxa"/>
              <w:bottom w:w="0" w:type="dxa"/>
              <w:right w:w="85" w:type="dxa"/>
            </w:tcMar>
            <w:vAlign w:val="center"/>
          </w:tcPr>
          <w:p w14:paraId="0327C44D" w14:textId="77777777" w:rsidR="00E0181F" w:rsidRPr="001D5327" w:rsidRDefault="00E0181F" w:rsidP="00D11AC9">
            <w:pPr>
              <w:pStyle w:val="TableText"/>
              <w:spacing w:before="40" w:after="40"/>
              <w:jc w:val="right"/>
            </w:pPr>
            <w:r w:rsidRPr="001D5327">
              <w:rPr>
                <w:rFonts w:eastAsia="Calibri"/>
              </w:rPr>
              <w:t>897,126</w:t>
            </w:r>
          </w:p>
        </w:tc>
        <w:tc>
          <w:tcPr>
            <w:tcW w:w="1701" w:type="dxa"/>
            <w:shd w:val="clear" w:color="auto" w:fill="FFFFFF"/>
            <w:tcMar>
              <w:top w:w="0" w:type="dxa"/>
              <w:left w:w="85" w:type="dxa"/>
              <w:bottom w:w="0" w:type="dxa"/>
              <w:right w:w="85" w:type="dxa"/>
            </w:tcMar>
            <w:vAlign w:val="center"/>
          </w:tcPr>
          <w:p w14:paraId="27A269B2" w14:textId="77777777" w:rsidR="00E0181F" w:rsidRPr="001D5327" w:rsidRDefault="00E0181F" w:rsidP="00D11AC9">
            <w:pPr>
              <w:pStyle w:val="TableText"/>
              <w:spacing w:before="40" w:after="40"/>
              <w:jc w:val="right"/>
              <w:rPr>
                <w:highlight w:val="yellow"/>
              </w:rPr>
            </w:pPr>
            <w:r w:rsidRPr="001D5327">
              <w:rPr>
                <w:rFonts w:eastAsia="Calibri"/>
              </w:rPr>
              <w:t>896,909</w:t>
            </w:r>
          </w:p>
        </w:tc>
        <w:tc>
          <w:tcPr>
            <w:tcW w:w="2268" w:type="dxa"/>
            <w:shd w:val="clear" w:color="auto" w:fill="FFFFFF"/>
            <w:tcMar>
              <w:top w:w="0" w:type="dxa"/>
              <w:left w:w="85" w:type="dxa"/>
              <w:bottom w:w="0" w:type="dxa"/>
              <w:right w:w="85" w:type="dxa"/>
            </w:tcMar>
            <w:vAlign w:val="center"/>
          </w:tcPr>
          <w:p w14:paraId="1CBD97D7" w14:textId="4ACA5841" w:rsidR="00E0181F" w:rsidRPr="001D5327" w:rsidRDefault="0070503C" w:rsidP="00D11AC9">
            <w:pPr>
              <w:pStyle w:val="TableText"/>
              <w:spacing w:before="40" w:after="40"/>
              <w:jc w:val="right"/>
            </w:pPr>
            <w:r>
              <w:rPr>
                <w:rFonts w:eastAsia="Calibri"/>
              </w:rPr>
              <w:t>-</w:t>
            </w:r>
            <w:r w:rsidR="00E0181F" w:rsidRPr="001D5327">
              <w:rPr>
                <w:rFonts w:eastAsia="Calibri"/>
              </w:rPr>
              <w:t>217</w:t>
            </w:r>
          </w:p>
        </w:tc>
        <w:tc>
          <w:tcPr>
            <w:tcW w:w="996" w:type="dxa"/>
            <w:shd w:val="clear" w:color="auto" w:fill="FFFFFF"/>
            <w:tcMar>
              <w:top w:w="0" w:type="dxa"/>
              <w:left w:w="85" w:type="dxa"/>
              <w:bottom w:w="0" w:type="dxa"/>
              <w:right w:w="85" w:type="dxa"/>
            </w:tcMar>
            <w:vAlign w:val="center"/>
          </w:tcPr>
          <w:p w14:paraId="3076CE7D" w14:textId="0FFEAD8A" w:rsidR="00E0181F" w:rsidRPr="001D5327" w:rsidRDefault="0070503C" w:rsidP="00D11AC9">
            <w:pPr>
              <w:pStyle w:val="TableText"/>
              <w:spacing w:before="40" w:after="40"/>
              <w:jc w:val="right"/>
            </w:pPr>
            <w:r>
              <w:rPr>
                <w:rFonts w:eastAsia="Calibri"/>
              </w:rPr>
              <w:t>-</w:t>
            </w:r>
            <w:r w:rsidR="00E0181F" w:rsidRPr="001D5327">
              <w:rPr>
                <w:rFonts w:eastAsia="Calibri"/>
              </w:rPr>
              <w:t>0.0</w:t>
            </w:r>
          </w:p>
        </w:tc>
      </w:tr>
    </w:tbl>
    <w:p w14:paraId="17E21C54" w14:textId="77777777" w:rsidR="00E0181F" w:rsidRPr="001D5327" w:rsidRDefault="00E0181F" w:rsidP="00E0181F">
      <w:pPr>
        <w:pStyle w:val="Heading3"/>
        <w:spacing w:before="440"/>
      </w:pPr>
      <w:r w:rsidRPr="001D5327">
        <w:t>6.9.6</w:t>
      </w:r>
      <w:r w:rsidRPr="001D5327">
        <w:tab/>
        <w:t>Category-specific planned improvements</w:t>
      </w:r>
    </w:p>
    <w:p w14:paraId="586591F0" w14:textId="77777777" w:rsidR="00E0181F" w:rsidRPr="001D5327" w:rsidRDefault="00E0181F" w:rsidP="00E0181F">
      <w:pPr>
        <w:pStyle w:val="BodyText"/>
        <w:spacing w:before="100" w:after="100"/>
      </w:pPr>
      <w:r w:rsidRPr="001D5327">
        <w:t xml:space="preserve">The reference SOC value, based on only three estimates, is high compared with the 2006 IPCC Guidelines (IPCC, 2006a) default value and has a relatively high uncertainty. Further soil sampling in land classified as </w:t>
      </w:r>
      <w:r w:rsidRPr="001D5327">
        <w:rPr>
          <w:i/>
        </w:rPr>
        <w:t>Other land</w:t>
      </w:r>
      <w:r w:rsidRPr="001D5327">
        <w:t xml:space="preserve"> is required to improve soil carbon estimates in this land use category. </w:t>
      </w:r>
    </w:p>
    <w:p w14:paraId="4B9C92B5" w14:textId="77777777" w:rsidR="00E0181F" w:rsidRPr="001D5327" w:rsidRDefault="00E0181F" w:rsidP="00E0181F">
      <w:pPr>
        <w:pStyle w:val="Heading2"/>
      </w:pPr>
      <w:bookmarkStart w:id="2671" w:name="_Toc131591256"/>
      <w:bookmarkStart w:id="2672" w:name="_Toc158980303"/>
      <w:bookmarkStart w:id="2673" w:name="_Toc164154211"/>
      <w:bookmarkStart w:id="2674" w:name="_Toc194312036"/>
      <w:r w:rsidRPr="001D5327">
        <w:t>6.10</w:t>
      </w:r>
      <w:r w:rsidRPr="001D5327">
        <w:tab/>
        <w:t>Harvested wood products (4G)</w:t>
      </w:r>
      <w:bookmarkEnd w:id="2671"/>
      <w:bookmarkEnd w:id="2672"/>
      <w:bookmarkEnd w:id="2673"/>
      <w:bookmarkEnd w:id="2674"/>
    </w:p>
    <w:p w14:paraId="50B50085" w14:textId="77777777" w:rsidR="00E0181F" w:rsidRPr="001D5327" w:rsidRDefault="00E0181F" w:rsidP="00E0181F">
      <w:pPr>
        <w:pStyle w:val="Heading3"/>
        <w:spacing w:before="240"/>
      </w:pPr>
      <w:r w:rsidRPr="001D5327">
        <w:t>6.10.1</w:t>
      </w:r>
      <w:r w:rsidRPr="001D5327">
        <w:tab/>
        <w:t>Description</w:t>
      </w:r>
    </w:p>
    <w:p w14:paraId="4AE1D531" w14:textId="25D45C43" w:rsidR="00E0181F" w:rsidRPr="001D5327" w:rsidRDefault="00E0181F" w:rsidP="00E0181F">
      <w:pPr>
        <w:pStyle w:val="BodyText"/>
        <w:spacing w:before="100" w:after="100"/>
      </w:pPr>
      <w:r w:rsidRPr="001D5327">
        <w:t xml:space="preserve">In 2023, the net emissions from </w:t>
      </w:r>
      <w:r w:rsidRPr="001D5327">
        <w:rPr>
          <w:i/>
        </w:rPr>
        <w:t xml:space="preserve">Harvested wood products </w:t>
      </w:r>
      <w:r w:rsidRPr="001D5327">
        <w:t xml:space="preserve">were </w:t>
      </w:r>
      <w:r w:rsidR="0070503C">
        <w:t>-</w:t>
      </w:r>
      <w:r w:rsidRPr="001D5327">
        <w:t>5,808.3 kt CO</w:t>
      </w:r>
      <w:r w:rsidRPr="001D5327">
        <w:rPr>
          <w:vertAlign w:val="subscript"/>
        </w:rPr>
        <w:t>2</w:t>
      </w:r>
      <w:r w:rsidRPr="001D5327">
        <w:t xml:space="preserve">-e. This is 3,370.5 </w:t>
      </w:r>
      <w:r w:rsidRPr="001D5327">
        <w:rPr>
          <w:spacing w:val="-2"/>
        </w:rPr>
        <w:t>kt CO</w:t>
      </w:r>
      <w:r w:rsidRPr="001D5327">
        <w:rPr>
          <w:spacing w:val="-2"/>
          <w:vertAlign w:val="subscript"/>
        </w:rPr>
        <w:t>2</w:t>
      </w:r>
      <w:r w:rsidRPr="001D5327">
        <w:t>-</w:t>
      </w:r>
      <w:r w:rsidRPr="001D5327">
        <w:rPr>
          <w:spacing w:val="-2"/>
        </w:rPr>
        <w:t>e (</w:t>
      </w:r>
      <w:r w:rsidRPr="001D5327">
        <w:t xml:space="preserve">138.3 </w:t>
      </w:r>
      <w:r w:rsidRPr="001D5327">
        <w:rPr>
          <w:spacing w:val="-2"/>
        </w:rPr>
        <w:t xml:space="preserve">per cent) lower than the 1990 level of </w:t>
      </w:r>
      <w:r w:rsidR="0070503C">
        <w:t>-</w:t>
      </w:r>
      <w:r w:rsidRPr="001D5327">
        <w:t xml:space="preserve">2,437.8 </w:t>
      </w:r>
      <w:r w:rsidRPr="001D5327">
        <w:rPr>
          <w:spacing w:val="-2"/>
        </w:rPr>
        <w:t>kt CO</w:t>
      </w:r>
      <w:r w:rsidRPr="001D5327">
        <w:rPr>
          <w:spacing w:val="-2"/>
          <w:vertAlign w:val="subscript"/>
        </w:rPr>
        <w:t>2</w:t>
      </w:r>
      <w:r w:rsidRPr="001D5327">
        <w:t>-</w:t>
      </w:r>
      <w:r w:rsidRPr="001D5327">
        <w:rPr>
          <w:spacing w:val="-2"/>
        </w:rPr>
        <w:t>e. The decrease</w:t>
      </w:r>
      <w:r w:rsidRPr="001D5327">
        <w:t xml:space="preserve"> in emissions in the </w:t>
      </w:r>
      <w:r w:rsidRPr="001D5327">
        <w:rPr>
          <w:i/>
        </w:rPr>
        <w:t xml:space="preserve">Harvested wood products </w:t>
      </w:r>
      <w:r w:rsidRPr="001D5327">
        <w:t>category</w:t>
      </w:r>
      <w:r w:rsidRPr="001D5327">
        <w:rPr>
          <w:i/>
        </w:rPr>
        <w:t xml:space="preserve"> </w:t>
      </w:r>
      <w:r w:rsidRPr="001D5327">
        <w:t>is driven by the increase in harvesting and production of roundwood that has occurred since 1990, as shown in figure 6.10.1.</w:t>
      </w:r>
    </w:p>
    <w:p w14:paraId="54BCA1B3" w14:textId="77777777" w:rsidR="00E0181F" w:rsidRPr="001D5327" w:rsidRDefault="00E0181F" w:rsidP="00E0181F">
      <w:pPr>
        <w:pStyle w:val="BodyText"/>
        <w:spacing w:before="100" w:after="100"/>
      </w:pPr>
      <w:r w:rsidRPr="001D5327">
        <w:t xml:space="preserve">Net emissions in the </w:t>
      </w:r>
      <w:r w:rsidRPr="001D5327">
        <w:rPr>
          <w:i/>
        </w:rPr>
        <w:t xml:space="preserve">Harvested wood products </w:t>
      </w:r>
      <w:r w:rsidRPr="001D5327">
        <w:t xml:space="preserve">category are driven by the harvesting of planted forests to produce roundwood, resulting in changes to the carbon stock of this </w:t>
      </w:r>
      <w:r w:rsidRPr="001D5327">
        <w:lastRenderedPageBreak/>
        <w:t xml:space="preserve">pool. The </w:t>
      </w:r>
      <w:r w:rsidRPr="001D5327">
        <w:rPr>
          <w:iCs/>
        </w:rPr>
        <w:t>harvested wood products</w:t>
      </w:r>
      <w:r w:rsidRPr="001D5327">
        <w:rPr>
          <w:i/>
        </w:rPr>
        <w:t xml:space="preserve"> </w:t>
      </w:r>
      <w:r w:rsidRPr="001D5327">
        <w:t xml:space="preserve">pool gains carbon as new </w:t>
      </w:r>
      <w:r w:rsidRPr="001D5327">
        <w:rPr>
          <w:iCs/>
        </w:rPr>
        <w:t>harvested wood products</w:t>
      </w:r>
      <w:r w:rsidRPr="001D5327">
        <w:t xml:space="preserve"> are created. Losses from the </w:t>
      </w:r>
      <w:r w:rsidRPr="001D5327">
        <w:rPr>
          <w:iCs/>
        </w:rPr>
        <w:t>harvested wood products</w:t>
      </w:r>
      <w:r w:rsidRPr="001D5327">
        <w:t xml:space="preserve"> pool occur due to products being discarded. To account for these losses through time, a decay profile, or half-life, is applied for each product type. </w:t>
      </w:r>
    </w:p>
    <w:p w14:paraId="63943541" w14:textId="77777777" w:rsidR="00E0181F" w:rsidRPr="001D5327" w:rsidRDefault="00E0181F" w:rsidP="00E0181F">
      <w:pPr>
        <w:pStyle w:val="BodyText"/>
        <w:spacing w:before="100" w:after="100"/>
        <w:rPr>
          <w:spacing w:val="-2"/>
        </w:rPr>
      </w:pPr>
      <w:r w:rsidRPr="001D5327">
        <w:t xml:space="preserve">Between 2022 and 2023 net emissions in the </w:t>
      </w:r>
      <w:r w:rsidRPr="001D5327">
        <w:rPr>
          <w:i/>
        </w:rPr>
        <w:t>Harvested wood products </w:t>
      </w:r>
      <w:r w:rsidRPr="001D5327">
        <w:t>category increased by 774.0</w:t>
      </w:r>
      <w:r w:rsidRPr="001D5327">
        <w:rPr>
          <w:spacing w:val="-2"/>
        </w:rPr>
        <w:t> kt CO</w:t>
      </w:r>
      <w:r w:rsidRPr="001D5327">
        <w:rPr>
          <w:spacing w:val="-2"/>
          <w:vertAlign w:val="subscript"/>
        </w:rPr>
        <w:t>2</w:t>
      </w:r>
      <w:r w:rsidRPr="001D5327">
        <w:t>-</w:t>
      </w:r>
      <w:r w:rsidRPr="001D5327">
        <w:rPr>
          <w:spacing w:val="-2"/>
        </w:rPr>
        <w:t>e. The reason for this change was a decrease in harvesting compared with 2022.</w:t>
      </w:r>
    </w:p>
    <w:p w14:paraId="47CBE7AA" w14:textId="77777777" w:rsidR="00E0181F" w:rsidRPr="001D5327" w:rsidRDefault="00E0181F" w:rsidP="00E0181F">
      <w:pPr>
        <w:pStyle w:val="Figure"/>
        <w:spacing w:before="100" w:after="0"/>
      </w:pPr>
      <w:bookmarkStart w:id="2675" w:name="_Toc405448097"/>
      <w:bookmarkStart w:id="2676" w:name="_Toc414531629"/>
      <w:bookmarkStart w:id="2677" w:name="_Toc474914653"/>
      <w:bookmarkStart w:id="2678" w:name="_Toc481752035"/>
      <w:bookmarkStart w:id="2679" w:name="_Toc522010713"/>
      <w:bookmarkStart w:id="2680" w:name="_Toc33529488"/>
      <w:bookmarkStart w:id="2681" w:name="_Toc36292818"/>
      <w:bookmarkStart w:id="2682" w:name="_Toc131591576"/>
      <w:bookmarkStart w:id="2683" w:name="_Toc158979916"/>
      <w:bookmarkStart w:id="2684" w:name="_Toc164154044"/>
      <w:bookmarkStart w:id="2685" w:name="_Toc190873413"/>
      <w:bookmarkStart w:id="2686" w:name="_Toc194674877"/>
      <w:bookmarkStart w:id="2687" w:name="_Toc5269715"/>
      <w:r w:rsidRPr="001D5327">
        <w:t>Figure 6.10.1</w:t>
      </w:r>
      <w:r w:rsidRPr="001D5327">
        <w:tab/>
        <w:t>Volume of roundwood produced and exported, from 1990 to 2023</w:t>
      </w:r>
      <w:bookmarkEnd w:id="2675"/>
      <w:bookmarkEnd w:id="2676"/>
      <w:bookmarkEnd w:id="2677"/>
      <w:bookmarkEnd w:id="2678"/>
      <w:bookmarkEnd w:id="2679"/>
      <w:bookmarkEnd w:id="2680"/>
      <w:bookmarkEnd w:id="2681"/>
      <w:bookmarkEnd w:id="2682"/>
      <w:bookmarkEnd w:id="2683"/>
      <w:bookmarkEnd w:id="2684"/>
      <w:bookmarkEnd w:id="2685"/>
      <w:bookmarkEnd w:id="2686"/>
    </w:p>
    <w:bookmarkEnd w:id="2687"/>
    <w:p w14:paraId="7483318E" w14:textId="77777777" w:rsidR="00E0181F" w:rsidRPr="001D5327" w:rsidRDefault="00E0181F" w:rsidP="00E0181F">
      <w:pPr>
        <w:pStyle w:val="BodyText"/>
        <w:jc w:val="center"/>
      </w:pPr>
      <w:r w:rsidRPr="001D5327">
        <w:rPr>
          <w:noProof/>
        </w:rPr>
        <w:drawing>
          <wp:inline distT="0" distB="0" distL="0" distR="0" wp14:anchorId="2EC24D6F" wp14:editId="6054BB35">
            <wp:extent cx="4529221" cy="3553691"/>
            <wp:effectExtent l="0" t="0" r="5080" b="8890"/>
            <wp:docPr id="13" name="Picture 13" descr="A graph of growth and grow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aph of growth and growth&#10;&#10;Description automatically generated with medium confidence"/>
                    <pic:cNvPicPr>
                      <a:picLocks noChangeAspect="1" noChangeArrowheads="1"/>
                    </pic:cNvPicPr>
                  </pic:nvPicPr>
                  <pic:blipFill rotWithShape="1">
                    <a:blip r:embed="rId207" cstate="print"/>
                    <a:srcRect t="1" b="1922"/>
                    <a:stretch/>
                  </pic:blipFill>
                  <pic:spPr bwMode="auto">
                    <a:xfrm>
                      <a:off x="0" y="0"/>
                      <a:ext cx="62953" cy="49393"/>
                    </a:xfrm>
                    <a:prstGeom prst="rect">
                      <a:avLst/>
                    </a:prstGeom>
                    <a:noFill/>
                    <a:ln>
                      <a:noFill/>
                    </a:ln>
                    <a:extLst>
                      <a:ext uri="{53640926-AAD7-44D8-BBD7-CCE9431645EC}">
                        <a14:shadowObscured xmlns:a14="http://schemas.microsoft.com/office/drawing/2010/main"/>
                      </a:ext>
                    </a:extLst>
                  </pic:spPr>
                </pic:pic>
              </a:graphicData>
            </a:graphic>
          </wp:inline>
        </w:drawing>
      </w:r>
    </w:p>
    <w:p w14:paraId="68111BC1" w14:textId="77777777" w:rsidR="00E0181F" w:rsidRPr="001D5327" w:rsidRDefault="00E0181F" w:rsidP="00E0181F">
      <w:pPr>
        <w:pStyle w:val="BodyText"/>
      </w:pPr>
      <w:r w:rsidRPr="001D5327">
        <w:t>New Zealand has a large planted-forest estate that provides the majority of wood products consumed domestically and exported in either product or raw material form. New Zealand currently processes around 40 per cent of its annual harvest (Ministry for Primary Industries, 2024b). The remaining harvest is exported in raw material form. New Zealand is currently the largest exporter of industrial roundwood followed by Germany and Czechia (Food and Agriculture Organization, 2024). New Zealand’s planted forests are dominated by radiata pine (</w:t>
      </w:r>
      <w:r w:rsidRPr="001D5327">
        <w:rPr>
          <w:i/>
        </w:rPr>
        <w:t>Pinus radiata</w:t>
      </w:r>
      <w:r w:rsidRPr="001D5327">
        <w:t xml:space="preserve">), which is used in a wide range of applications including timber-frame construction, packaging, furniture, joinery and interior fittings, decking, general external outdoor products, concrete formwork, printing and writing paper, corrugated materials, tissue products, newsprint, kitchen and bathroom cabinets, flooring, posts and poles (Wekesa, 2022; Wekesa et al., 2022). </w:t>
      </w:r>
    </w:p>
    <w:p w14:paraId="7362AF06" w14:textId="77777777" w:rsidR="00E0181F" w:rsidRPr="001D5327" w:rsidRDefault="00E0181F" w:rsidP="00E0181F">
      <w:pPr>
        <w:pStyle w:val="BodyText"/>
        <w:spacing w:before="100" w:after="100"/>
      </w:pPr>
      <w:r w:rsidRPr="001D5327">
        <w:t xml:space="preserve">In 2023, </w:t>
      </w:r>
      <w:r w:rsidRPr="001D5327">
        <w:rPr>
          <w:i/>
        </w:rPr>
        <w:t>Harvested wood products</w:t>
      </w:r>
      <w:r w:rsidRPr="001D5327">
        <w:t xml:space="preserve"> was a key category (level and trend assessment).</w:t>
      </w:r>
    </w:p>
    <w:p w14:paraId="2BE1794F" w14:textId="77777777" w:rsidR="00E0181F" w:rsidRPr="001D5327" w:rsidRDefault="00E0181F" w:rsidP="00E0181F">
      <w:pPr>
        <w:pStyle w:val="Heading3"/>
        <w:tabs>
          <w:tab w:val="clear" w:pos="851"/>
          <w:tab w:val="left" w:pos="993"/>
        </w:tabs>
        <w:spacing w:before="320"/>
      </w:pPr>
      <w:r w:rsidRPr="001D5327">
        <w:t>6.10.2</w:t>
      </w:r>
      <w:r w:rsidRPr="001D5327">
        <w:tab/>
        <w:t>Methodological issues</w:t>
      </w:r>
    </w:p>
    <w:p w14:paraId="03F7968E" w14:textId="77777777" w:rsidR="00E0181F" w:rsidRPr="001D5327" w:rsidRDefault="00E0181F" w:rsidP="00E0181F">
      <w:pPr>
        <w:pStyle w:val="BodyText"/>
      </w:pPr>
      <w:r w:rsidRPr="001D5327">
        <w:t xml:space="preserve">New Zealand has selected the production approach to report </w:t>
      </w:r>
      <w:r w:rsidRPr="001D5327">
        <w:rPr>
          <w:i/>
        </w:rPr>
        <w:t>Harvested wood products</w:t>
      </w:r>
      <w:r w:rsidRPr="001D5327">
        <w:t xml:space="preserve"> in the NIR. To do this, New Zealand has adapted the default </w:t>
      </w:r>
      <w:r w:rsidRPr="001D5327">
        <w:rPr>
          <w:i/>
        </w:rPr>
        <w:t>Harvested wood products</w:t>
      </w:r>
      <w:r w:rsidRPr="001D5327">
        <w:t xml:space="preserve"> model and uses a Tier 2 method (section 12.2.1.2, IPCC, 2006a), which involves using country-specific activity data and parameters (Wakelin et al., 2020). </w:t>
      </w:r>
    </w:p>
    <w:p w14:paraId="4C578AAB" w14:textId="77777777" w:rsidR="00E0181F" w:rsidRPr="001D5327" w:rsidRDefault="00E0181F" w:rsidP="00E0181F">
      <w:pPr>
        <w:pStyle w:val="Heading4"/>
      </w:pPr>
      <w:r w:rsidRPr="001D5327">
        <w:lastRenderedPageBreak/>
        <w:t>Activity data</w:t>
      </w:r>
    </w:p>
    <w:p w14:paraId="556FAE17" w14:textId="77777777" w:rsidR="00E0181F" w:rsidRPr="001D5327" w:rsidRDefault="00E0181F" w:rsidP="00E0181F">
      <w:pPr>
        <w:pStyle w:val="BodyText"/>
      </w:pPr>
      <w:r w:rsidRPr="001D5327">
        <w:rPr>
          <w:spacing w:val="-2"/>
        </w:rPr>
        <w:t xml:space="preserve">Activity data on roundwood production volume, </w:t>
      </w:r>
      <w:r w:rsidRPr="001D5327">
        <w:t>roundwood</w:t>
      </w:r>
      <w:r w:rsidRPr="001D5327">
        <w:rPr>
          <w:spacing w:val="-2"/>
        </w:rPr>
        <w:t xml:space="preserve"> export volume and the production</w:t>
      </w:r>
      <w:r w:rsidRPr="001D5327">
        <w:t xml:space="preserve"> of New Zealand processed wood products are sourced from MPI (</w:t>
      </w:r>
      <w:r w:rsidRPr="001D5327" w:rsidDel="009855F5">
        <w:t>Ministry for Primary</w:t>
      </w:r>
      <w:r w:rsidRPr="001D5327">
        <w:t xml:space="preserve"> Industries, 2024a, 2024b, 2024c; Wekesa et al., 2022). Additional data on New Zealand wood product production and export that are not available from the published MPI statistics</w:t>
      </w:r>
      <w:r w:rsidRPr="001D5327" w:rsidDel="006D3A2A">
        <w:t xml:space="preserve"> </w:t>
      </w:r>
      <w:r w:rsidRPr="001D5327">
        <w:t xml:space="preserve">are sourced from the Food and Agriculture Organization of the United Nations (FAO) statistical database (the FAOSTAT database), which contains data that MPI provides to the FAO. The FAOSTAT database provides more granular breakdowns of semi-finished wood products produced in New Zealand, to which specific carbon fractions can then be applied. </w:t>
      </w:r>
    </w:p>
    <w:p w14:paraId="38769EBE" w14:textId="77777777" w:rsidR="00E0181F" w:rsidRPr="001D5327" w:rsidRDefault="00E0181F" w:rsidP="00E0181F">
      <w:pPr>
        <w:pStyle w:val="BodyText"/>
      </w:pPr>
      <w:r w:rsidRPr="001D5327">
        <w:t xml:space="preserve">Activity data for the period 1900 to 1960 are populated using the IPCC model method, which assumes that consumption is correlated with population growth. New Zealand used the default value for Oceania for the annual rate of increase for the period 1900 to 1960. This information is used to initialise </w:t>
      </w:r>
      <w:r w:rsidRPr="001D5327">
        <w:rPr>
          <w:i/>
        </w:rPr>
        <w:t>Harvested wood products</w:t>
      </w:r>
      <w:r w:rsidRPr="001D5327">
        <w:t xml:space="preserve"> stocks at 1 January 1990. </w:t>
      </w:r>
    </w:p>
    <w:p w14:paraId="39B4B890" w14:textId="23543CF4" w:rsidR="00E0181F" w:rsidRPr="001D5327" w:rsidRDefault="00E0181F" w:rsidP="00E0181F">
      <w:pPr>
        <w:pStyle w:val="BodyText"/>
        <w:spacing w:before="100" w:after="100"/>
      </w:pPr>
      <w:r w:rsidRPr="001D5327">
        <w:t xml:space="preserve">A large proportion (approximately 60 per cent) of New Zealand’s harvest was exported as raw materials in the form of logs or wood chips in 2023, as shown in figure 6.10.1 (Ministry for Primary Industries, 2024b). Note that the exported volume of </w:t>
      </w:r>
      <w:r w:rsidRPr="001D5327">
        <w:rPr>
          <w:i/>
        </w:rPr>
        <w:t>Harvested wood products</w:t>
      </w:r>
      <w:r w:rsidRPr="001D5327">
        <w:t xml:space="preserve"> described in CRT 4.Gs2 does not sum to 60 per cent of all exported products. This is because this table includes only products produced in New Zealand and does not include the volume of</w:t>
      </w:r>
      <w:r w:rsidR="00AB0026" w:rsidRPr="001D5327">
        <w:t> </w:t>
      </w:r>
      <w:r w:rsidRPr="001D5327">
        <w:t xml:space="preserve">raw logs exported that are then processed offshore. </w:t>
      </w:r>
    </w:p>
    <w:p w14:paraId="65194879" w14:textId="77777777" w:rsidR="00E0181F" w:rsidRPr="001D5327" w:rsidRDefault="00E0181F" w:rsidP="00E0181F">
      <w:pPr>
        <w:pStyle w:val="BodyText"/>
        <w:spacing w:before="100" w:after="100"/>
      </w:pPr>
      <w:r w:rsidRPr="001D5327">
        <w:t>MPI provides data on the export quantity of raw materials but provides no information on the conversion of these materials to products or their expected half-lives. Research was completed in 2016 to provide information on</w:t>
      </w:r>
      <w:r w:rsidRPr="001D5327">
        <w:rPr>
          <w:i/>
        </w:rPr>
        <w:t xml:space="preserve"> </w:t>
      </w:r>
      <w:r w:rsidRPr="001D5327">
        <w:rPr>
          <w:iCs/>
        </w:rPr>
        <w:t>harvested wood products</w:t>
      </w:r>
      <w:r w:rsidRPr="001D5327">
        <w:t xml:space="preserve"> from exported logs in New Zealand’s three main export markets (China, South Korea and India). This research provides activity data for the conversion of New Zealand-produced raw materials to harvested wood products in export markets (Manley and Evison, 2016). </w:t>
      </w:r>
    </w:p>
    <w:p w14:paraId="15FE33D5" w14:textId="77777777" w:rsidR="00E0181F" w:rsidRPr="001D5327" w:rsidRDefault="00E0181F" w:rsidP="00E0181F">
      <w:pPr>
        <w:pStyle w:val="BodyText"/>
        <w:spacing w:before="100" w:after="100"/>
      </w:pPr>
      <w:r w:rsidRPr="001D5327">
        <w:t>Further research was commissioned in 2017 to update the model assumptions that are used for calculating harvested wood product volume and associated emissions to include the activity data and half-lives of the 2016 report (Wakelin and Kimberley, unpublished). Note that the model also includes export variables to Japan, which was historically a large export market but has reduced and is projected to continue to reduce over time. It also includes</w:t>
      </w:r>
      <w:r w:rsidRPr="001D5327" w:rsidDel="001122AF">
        <w:t xml:space="preserve"> </w:t>
      </w:r>
      <w:r w:rsidRPr="001D5327">
        <w:t xml:space="preserve">‘Other countries’, which account for a small volume of exports that are sold to other markets. Details of product volume and half-lives for these export markets can be found in annex 5, section A5.2.6. </w:t>
      </w:r>
    </w:p>
    <w:p w14:paraId="54173F1B" w14:textId="77777777" w:rsidR="00E0181F" w:rsidRPr="001D5327" w:rsidRDefault="00E0181F" w:rsidP="00E0181F">
      <w:pPr>
        <w:pStyle w:val="BodyText"/>
      </w:pPr>
      <w:r w:rsidRPr="001D5327">
        <w:t xml:space="preserve">Activity data for exported log volumes and </w:t>
      </w:r>
      <w:r w:rsidRPr="001D5327">
        <w:rPr>
          <w:i/>
          <w:iCs/>
        </w:rPr>
        <w:t>Harvested wood products</w:t>
      </w:r>
      <w:r w:rsidRPr="001D5327">
        <w:t xml:space="preserve"> to individual countries are periodically published by MPI </w:t>
      </w:r>
      <w:bookmarkStart w:id="2688" w:name="_Hlk89344724"/>
      <w:r w:rsidRPr="001D5327">
        <w:t xml:space="preserve">(Ministry for Primary Industries, </w:t>
      </w:r>
      <w:bookmarkEnd w:id="2688"/>
      <w:r w:rsidRPr="001D5327">
        <w:t xml:space="preserve">2024b, 2024c). The proportion of exported roundwood to product type in these export markets is obtained by applying the ratios of product type produced (sawnwood, wood panels or paper), as identified in the 2016 report (Manley and Evison, 2016), to the volume of timber exported to each of the export markets. </w:t>
      </w:r>
    </w:p>
    <w:p w14:paraId="1ADCC8A6" w14:textId="77777777" w:rsidR="00E0181F" w:rsidRPr="001D5327" w:rsidRDefault="00E0181F" w:rsidP="00E0181F">
      <w:pPr>
        <w:pStyle w:val="Heading4"/>
      </w:pPr>
      <w:r w:rsidRPr="001D5327">
        <w:t>Emission factors</w:t>
      </w:r>
    </w:p>
    <w:p w14:paraId="230A59FB" w14:textId="77777777" w:rsidR="00E0181F" w:rsidRPr="001D5327" w:rsidRDefault="00E0181F" w:rsidP="00E0181F">
      <w:pPr>
        <w:pStyle w:val="BodyText"/>
      </w:pPr>
      <w:r w:rsidRPr="001D5327">
        <w:t xml:space="preserve">The default wood carbon content value of 50 per cent, from table 12.4 of the 2006 IPCC Guidelines (IPCC, 2006a), is used in the </w:t>
      </w:r>
      <w:r w:rsidRPr="001D5327">
        <w:rPr>
          <w:i/>
        </w:rPr>
        <w:t>Harvested wood products</w:t>
      </w:r>
      <w:r w:rsidRPr="001D5327">
        <w:t xml:space="preserve"> model (IPCC, 2006a). This value is consistent with the planted forest model that uses a country-specific value of 50 per cent. A country-specific wood density value of 420 kilograms per cubic metre is used for sawnwood produced from coniferous species (Jones, 2005). This value is used to reflect </w:t>
      </w:r>
      <w:r w:rsidRPr="001D5327">
        <w:lastRenderedPageBreak/>
        <w:t xml:space="preserve">coniferous species’ contribution to New Zealand roundwood, which makes up around 98 per cent of annual harvest. A country-specific wood density value of 500 kilograms per cubic metre is used for sawnwood produced from non-coniferous species (Jones, 2005). Non-coniferous species (mainly </w:t>
      </w:r>
      <w:r w:rsidRPr="001D5327">
        <w:rPr>
          <w:i/>
          <w:iCs/>
        </w:rPr>
        <w:t>Eucalyptus</w:t>
      </w:r>
      <w:r w:rsidRPr="001D5327">
        <w:t>) make up around 2 per cent of annual harvest. The default IPCC bark factor (11 per cent; annex 4A.1, IPCC, 2006a) is used for conifers and is considered appropriate for New Zealand. Wood-based panels and paper products all use IPCC defaults because no country-specific value is available (see table 6.10.1).</w:t>
      </w:r>
    </w:p>
    <w:p w14:paraId="5F2AA535" w14:textId="77777777" w:rsidR="00E0181F" w:rsidRPr="001D5327" w:rsidRDefault="00E0181F" w:rsidP="00E0181F">
      <w:pPr>
        <w:pStyle w:val="BodyText"/>
      </w:pPr>
      <w:r w:rsidRPr="001D5327">
        <w:t xml:space="preserve">Exported raw logs are first converted to tonnes of carbon, based on the carbon fractions for coniferous species and for non-coniferous species, as outlined above. This carbon is then apportioned into each export market and wood product combination (sawnwood, panels and paper). </w:t>
      </w:r>
    </w:p>
    <w:p w14:paraId="0210D6D9" w14:textId="77777777" w:rsidR="00E0181F" w:rsidRPr="001D5327" w:rsidRDefault="00E0181F" w:rsidP="00E0181F">
      <w:pPr>
        <w:pStyle w:val="Table"/>
      </w:pPr>
      <w:bookmarkStart w:id="2689" w:name="_Toc410028866"/>
      <w:bookmarkStart w:id="2690" w:name="_Toc414531494"/>
      <w:bookmarkStart w:id="2691" w:name="_Toc443645407"/>
      <w:bookmarkStart w:id="2692" w:name="_Toc474914626"/>
      <w:bookmarkStart w:id="2693" w:name="_Toc481751590"/>
      <w:bookmarkStart w:id="2694" w:name="_Toc522010647"/>
      <w:bookmarkStart w:id="2695" w:name="_Toc5269552"/>
      <w:bookmarkStart w:id="2696" w:name="_Toc33529426"/>
      <w:bookmarkStart w:id="2697" w:name="_Toc36224632"/>
      <w:bookmarkStart w:id="2698" w:name="_Toc131591425"/>
      <w:bookmarkStart w:id="2699" w:name="_Toc158979983"/>
      <w:bookmarkStart w:id="2700" w:name="_Toc164153916"/>
      <w:bookmarkStart w:id="2701" w:name="_Toc190873150"/>
      <w:bookmarkStart w:id="2702" w:name="_Toc194241789"/>
      <w:r w:rsidRPr="001D5327">
        <w:t>Table 6.10.1</w:t>
      </w:r>
      <w:r w:rsidRPr="001D5327">
        <w:tab/>
        <w:t xml:space="preserve">Conversion factors for </w:t>
      </w:r>
      <w:r w:rsidRPr="001D5327">
        <w:rPr>
          <w:i/>
        </w:rPr>
        <w:t>Harvested wood products</w:t>
      </w:r>
      <w:r w:rsidRPr="001D5327">
        <w:t xml:space="preserve"> produced from New Zealand</w:t>
      </w:r>
      <w:bookmarkEnd w:id="2689"/>
      <w:bookmarkEnd w:id="2690"/>
      <w:bookmarkEnd w:id="2691"/>
      <w:bookmarkEnd w:id="2692"/>
      <w:bookmarkEnd w:id="2693"/>
      <w:r w:rsidRPr="001D5327">
        <w:t xml:space="preserve"> wood</w:t>
      </w:r>
      <w:bookmarkEnd w:id="2694"/>
      <w:bookmarkEnd w:id="2695"/>
      <w:bookmarkEnd w:id="2696"/>
      <w:bookmarkEnd w:id="2697"/>
      <w:r w:rsidRPr="001D5327">
        <w:t xml:space="preserve"> in New Zealand</w:t>
      </w:r>
      <w:bookmarkEnd w:id="2698"/>
      <w:bookmarkEnd w:id="2699"/>
      <w:bookmarkEnd w:id="2700"/>
      <w:bookmarkEnd w:id="2701"/>
      <w:bookmarkEnd w:id="2702"/>
    </w:p>
    <w:tbl>
      <w:tblPr>
        <w:tblW w:w="8505"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3963"/>
        <w:gridCol w:w="1994"/>
        <w:gridCol w:w="2548"/>
      </w:tblGrid>
      <w:tr w:rsidR="00E0181F" w:rsidRPr="001D5327" w14:paraId="1C6A5553" w14:textId="77777777" w:rsidTr="00D11AC9">
        <w:trPr>
          <w:tblHeader/>
        </w:trPr>
        <w:tc>
          <w:tcPr>
            <w:tcW w:w="4144" w:type="dxa"/>
            <w:tcBorders>
              <w:top w:val="single" w:sz="4" w:space="0" w:color="1B556B"/>
              <w:bottom w:val="nil"/>
            </w:tcBorders>
            <w:shd w:val="clear" w:color="auto" w:fill="1B556B" w:themeFill="text2"/>
          </w:tcPr>
          <w:p w14:paraId="5B0EE838" w14:textId="77777777" w:rsidR="00E0181F" w:rsidRPr="001D5327" w:rsidRDefault="00E0181F" w:rsidP="00D11AC9">
            <w:pPr>
              <w:pStyle w:val="TableTextBold"/>
              <w:keepNext/>
              <w:keepLines/>
              <w:spacing w:before="40" w:after="40"/>
              <w:rPr>
                <w:noProof w:val="0"/>
                <w:color w:val="FFFFFF"/>
              </w:rPr>
            </w:pPr>
            <w:r w:rsidRPr="001D5327">
              <w:rPr>
                <w:noProof w:val="0"/>
                <w:color w:val="FFFFFF"/>
              </w:rPr>
              <w:t>Category</w:t>
            </w:r>
          </w:p>
        </w:tc>
        <w:tc>
          <w:tcPr>
            <w:tcW w:w="2072" w:type="dxa"/>
            <w:tcBorders>
              <w:top w:val="single" w:sz="4" w:space="0" w:color="1B556B"/>
              <w:bottom w:val="nil"/>
            </w:tcBorders>
            <w:shd w:val="clear" w:color="auto" w:fill="1B556B" w:themeFill="text2"/>
          </w:tcPr>
          <w:p w14:paraId="65EF9EAF" w14:textId="77777777" w:rsidR="00E0181F" w:rsidRPr="001D5327" w:rsidRDefault="00E0181F" w:rsidP="00D11AC9">
            <w:pPr>
              <w:pStyle w:val="TableTextBold"/>
              <w:keepNext/>
              <w:keepLines/>
              <w:spacing w:before="40" w:after="40"/>
              <w:jc w:val="right"/>
              <w:rPr>
                <w:noProof w:val="0"/>
                <w:color w:val="FFFFFF"/>
              </w:rPr>
            </w:pPr>
            <w:r w:rsidRPr="001D5327">
              <w:rPr>
                <w:noProof w:val="0"/>
                <w:color w:val="FFFFFF"/>
              </w:rPr>
              <w:t>Factor (t C/m</w:t>
            </w:r>
            <w:r w:rsidRPr="001D5327">
              <w:rPr>
                <w:rFonts w:ascii="Calibri Light" w:hAnsi="Calibri Light"/>
                <w:noProof w:val="0"/>
                <w:color w:val="FFFFFF"/>
                <w:vertAlign w:val="superscript"/>
              </w:rPr>
              <w:t>3</w:t>
            </w:r>
            <w:r w:rsidRPr="001D5327">
              <w:rPr>
                <w:noProof w:val="0"/>
                <w:color w:val="FFFFFF"/>
              </w:rPr>
              <w:t xml:space="preserve"> or t C/t*)</w:t>
            </w:r>
          </w:p>
        </w:tc>
        <w:tc>
          <w:tcPr>
            <w:tcW w:w="2663" w:type="dxa"/>
            <w:tcBorders>
              <w:top w:val="single" w:sz="4" w:space="0" w:color="1B556B"/>
              <w:bottom w:val="nil"/>
            </w:tcBorders>
            <w:shd w:val="clear" w:color="auto" w:fill="1B556B" w:themeFill="text2"/>
          </w:tcPr>
          <w:p w14:paraId="34A79776" w14:textId="77777777" w:rsidR="00E0181F" w:rsidRPr="001D5327" w:rsidRDefault="00E0181F" w:rsidP="00D11AC9">
            <w:pPr>
              <w:pStyle w:val="TableTextBold"/>
              <w:keepNext/>
              <w:keepLines/>
              <w:spacing w:before="40" w:after="40"/>
              <w:rPr>
                <w:noProof w:val="0"/>
                <w:color w:val="FFFFFF"/>
              </w:rPr>
            </w:pPr>
            <w:r w:rsidRPr="001D5327">
              <w:rPr>
                <w:noProof w:val="0"/>
                <w:color w:val="FFFFFF"/>
              </w:rPr>
              <w:t>Source</w:t>
            </w:r>
          </w:p>
        </w:tc>
      </w:tr>
      <w:tr w:rsidR="00E0181F" w:rsidRPr="001D5327" w14:paraId="71CC019E" w14:textId="77777777" w:rsidTr="00D11AC9">
        <w:tc>
          <w:tcPr>
            <w:tcW w:w="4144" w:type="dxa"/>
            <w:tcBorders>
              <w:top w:val="nil"/>
              <w:bottom w:val="single" w:sz="4" w:space="0" w:color="1B556B"/>
            </w:tcBorders>
            <w:shd w:val="clear" w:color="auto" w:fill="auto"/>
          </w:tcPr>
          <w:p w14:paraId="36580142" w14:textId="77777777" w:rsidR="00E0181F" w:rsidRPr="001D5327" w:rsidRDefault="00E0181F" w:rsidP="00D11AC9">
            <w:pPr>
              <w:pStyle w:val="TableText"/>
              <w:spacing w:before="40" w:after="40"/>
            </w:pPr>
            <w:r w:rsidRPr="001D5327">
              <w:t>Sawnwood, other industrial roundwood (coniferous)</w:t>
            </w:r>
          </w:p>
        </w:tc>
        <w:tc>
          <w:tcPr>
            <w:tcW w:w="2072" w:type="dxa"/>
            <w:tcBorders>
              <w:top w:val="nil"/>
              <w:bottom w:val="single" w:sz="4" w:space="0" w:color="1B556B"/>
            </w:tcBorders>
            <w:shd w:val="clear" w:color="auto" w:fill="auto"/>
          </w:tcPr>
          <w:p w14:paraId="69350BFA" w14:textId="77777777" w:rsidR="00E0181F" w:rsidRPr="001D5327" w:rsidRDefault="00E0181F" w:rsidP="00D11AC9">
            <w:pPr>
              <w:pStyle w:val="TableText"/>
              <w:tabs>
                <w:tab w:val="decimal" w:pos="181"/>
              </w:tabs>
              <w:spacing w:before="40" w:after="40"/>
              <w:jc w:val="right"/>
            </w:pPr>
            <w:r w:rsidRPr="001D5327">
              <w:t>0.210</w:t>
            </w:r>
          </w:p>
        </w:tc>
        <w:tc>
          <w:tcPr>
            <w:tcW w:w="2663" w:type="dxa"/>
            <w:tcBorders>
              <w:top w:val="nil"/>
              <w:bottom w:val="single" w:sz="4" w:space="0" w:color="1B556B"/>
            </w:tcBorders>
            <w:shd w:val="clear" w:color="auto" w:fill="auto"/>
          </w:tcPr>
          <w:p w14:paraId="33196F35" w14:textId="77777777" w:rsidR="00E0181F" w:rsidRPr="001D5327" w:rsidRDefault="00E0181F" w:rsidP="00D11AC9">
            <w:pPr>
              <w:pStyle w:val="TableText"/>
              <w:spacing w:before="40" w:after="40"/>
            </w:pPr>
            <w:r w:rsidRPr="001D5327">
              <w:t>Country specific (Jones, 2005)</w:t>
            </w:r>
          </w:p>
        </w:tc>
      </w:tr>
      <w:tr w:rsidR="00E0181F" w:rsidRPr="001D5327" w14:paraId="3CE1ABDB" w14:textId="77777777" w:rsidTr="00D11AC9">
        <w:tc>
          <w:tcPr>
            <w:tcW w:w="4144" w:type="dxa"/>
            <w:tcBorders>
              <w:top w:val="single" w:sz="4" w:space="0" w:color="1B556B"/>
              <w:bottom w:val="single" w:sz="4" w:space="0" w:color="1B556B"/>
            </w:tcBorders>
            <w:shd w:val="clear" w:color="auto" w:fill="auto"/>
          </w:tcPr>
          <w:p w14:paraId="3A670189" w14:textId="77777777" w:rsidR="00E0181F" w:rsidRPr="001D5327" w:rsidRDefault="00E0181F" w:rsidP="00D11AC9">
            <w:pPr>
              <w:pStyle w:val="TableText"/>
              <w:spacing w:before="40" w:after="40"/>
            </w:pPr>
            <w:r w:rsidRPr="001D5327">
              <w:t>Sawnwood, other industrial roundwood (non-coniferous)</w:t>
            </w:r>
          </w:p>
        </w:tc>
        <w:tc>
          <w:tcPr>
            <w:tcW w:w="2072" w:type="dxa"/>
            <w:tcBorders>
              <w:top w:val="single" w:sz="4" w:space="0" w:color="1B556B"/>
              <w:bottom w:val="single" w:sz="4" w:space="0" w:color="1B556B"/>
            </w:tcBorders>
            <w:shd w:val="clear" w:color="auto" w:fill="auto"/>
          </w:tcPr>
          <w:p w14:paraId="1CB2B76B" w14:textId="77777777" w:rsidR="00E0181F" w:rsidRPr="001D5327" w:rsidRDefault="00E0181F" w:rsidP="00D11AC9">
            <w:pPr>
              <w:pStyle w:val="TableText"/>
              <w:tabs>
                <w:tab w:val="decimal" w:pos="181"/>
              </w:tabs>
              <w:spacing w:before="40" w:after="40"/>
              <w:jc w:val="right"/>
            </w:pPr>
            <w:r w:rsidRPr="001D5327">
              <w:t>0.250</w:t>
            </w:r>
          </w:p>
        </w:tc>
        <w:tc>
          <w:tcPr>
            <w:tcW w:w="2663" w:type="dxa"/>
            <w:tcBorders>
              <w:top w:val="single" w:sz="4" w:space="0" w:color="1B556B"/>
              <w:bottom w:val="single" w:sz="4" w:space="0" w:color="1B556B"/>
            </w:tcBorders>
            <w:shd w:val="clear" w:color="auto" w:fill="auto"/>
          </w:tcPr>
          <w:p w14:paraId="0F3344C3" w14:textId="77777777" w:rsidR="00E0181F" w:rsidRPr="001D5327" w:rsidRDefault="00E0181F" w:rsidP="00D11AC9">
            <w:pPr>
              <w:pStyle w:val="TableText"/>
              <w:spacing w:before="40" w:after="40"/>
            </w:pPr>
            <w:r w:rsidRPr="001D5327">
              <w:t>Country specific (Jones, 2005)</w:t>
            </w:r>
          </w:p>
        </w:tc>
      </w:tr>
      <w:tr w:rsidR="00E0181F" w:rsidRPr="001D5327" w14:paraId="636A56A6" w14:textId="77777777" w:rsidTr="00D11AC9">
        <w:tc>
          <w:tcPr>
            <w:tcW w:w="4144" w:type="dxa"/>
            <w:tcBorders>
              <w:top w:val="single" w:sz="4" w:space="0" w:color="1B556B"/>
              <w:bottom w:val="single" w:sz="4" w:space="0" w:color="1B556B"/>
            </w:tcBorders>
            <w:shd w:val="clear" w:color="auto" w:fill="auto"/>
          </w:tcPr>
          <w:p w14:paraId="388AC12F" w14:textId="77777777" w:rsidR="00E0181F" w:rsidRPr="001D5327" w:rsidRDefault="00E0181F" w:rsidP="00D11AC9">
            <w:pPr>
              <w:pStyle w:val="TableText"/>
              <w:spacing w:before="40" w:after="40"/>
            </w:pPr>
            <w:r w:rsidRPr="001D5327">
              <w:t>Veneer sheets</w:t>
            </w:r>
          </w:p>
        </w:tc>
        <w:tc>
          <w:tcPr>
            <w:tcW w:w="2072" w:type="dxa"/>
            <w:tcBorders>
              <w:top w:val="single" w:sz="4" w:space="0" w:color="1B556B"/>
              <w:bottom w:val="single" w:sz="4" w:space="0" w:color="1B556B"/>
            </w:tcBorders>
            <w:shd w:val="clear" w:color="auto" w:fill="auto"/>
          </w:tcPr>
          <w:p w14:paraId="3E21ECA2" w14:textId="77777777" w:rsidR="00E0181F" w:rsidRPr="001D5327" w:rsidRDefault="00E0181F" w:rsidP="00D11AC9">
            <w:pPr>
              <w:pStyle w:val="TableText"/>
              <w:tabs>
                <w:tab w:val="decimal" w:pos="181"/>
              </w:tabs>
              <w:spacing w:before="40" w:after="40"/>
              <w:jc w:val="right"/>
            </w:pPr>
            <w:r w:rsidRPr="001D5327">
              <w:t>0.210</w:t>
            </w:r>
          </w:p>
        </w:tc>
        <w:tc>
          <w:tcPr>
            <w:tcW w:w="2663" w:type="dxa"/>
            <w:tcBorders>
              <w:top w:val="single" w:sz="4" w:space="0" w:color="1B556B"/>
              <w:bottom w:val="single" w:sz="4" w:space="0" w:color="1B556B"/>
            </w:tcBorders>
            <w:shd w:val="clear" w:color="auto" w:fill="auto"/>
          </w:tcPr>
          <w:p w14:paraId="367FE469" w14:textId="77777777" w:rsidR="00E0181F" w:rsidRPr="001D5327" w:rsidRDefault="00E0181F" w:rsidP="00D11AC9">
            <w:pPr>
              <w:pStyle w:val="TableText"/>
              <w:spacing w:before="40" w:after="40"/>
            </w:pPr>
            <w:r w:rsidRPr="001D5327">
              <w:t>Country specific (Jones, 2005)</w:t>
            </w:r>
          </w:p>
        </w:tc>
      </w:tr>
      <w:tr w:rsidR="00E0181F" w:rsidRPr="001D5327" w14:paraId="4A4037B2" w14:textId="77777777" w:rsidTr="00D11AC9">
        <w:tc>
          <w:tcPr>
            <w:tcW w:w="4144" w:type="dxa"/>
            <w:tcBorders>
              <w:top w:val="single" w:sz="4" w:space="0" w:color="1B556B"/>
              <w:bottom w:val="single" w:sz="4" w:space="0" w:color="1B556B"/>
            </w:tcBorders>
            <w:shd w:val="clear" w:color="auto" w:fill="auto"/>
          </w:tcPr>
          <w:p w14:paraId="018B1B97" w14:textId="77777777" w:rsidR="00E0181F" w:rsidRPr="001D5327" w:rsidRDefault="00E0181F" w:rsidP="00D11AC9">
            <w:pPr>
              <w:pStyle w:val="TableText"/>
              <w:spacing w:before="40" w:after="40"/>
            </w:pPr>
            <w:r w:rsidRPr="001D5327">
              <w:t>Plywood</w:t>
            </w:r>
          </w:p>
        </w:tc>
        <w:tc>
          <w:tcPr>
            <w:tcW w:w="2072" w:type="dxa"/>
            <w:tcBorders>
              <w:top w:val="single" w:sz="4" w:space="0" w:color="1B556B"/>
              <w:bottom w:val="single" w:sz="4" w:space="0" w:color="1B556B"/>
            </w:tcBorders>
            <w:shd w:val="clear" w:color="auto" w:fill="auto"/>
          </w:tcPr>
          <w:p w14:paraId="50AE17F1" w14:textId="77777777" w:rsidR="00E0181F" w:rsidRPr="001D5327" w:rsidRDefault="00E0181F" w:rsidP="00D11AC9">
            <w:pPr>
              <w:pStyle w:val="TableText"/>
              <w:tabs>
                <w:tab w:val="decimal" w:pos="181"/>
              </w:tabs>
              <w:spacing w:before="40" w:after="40"/>
              <w:jc w:val="right"/>
            </w:pPr>
            <w:r w:rsidRPr="001D5327">
              <w:t>0.267</w:t>
            </w:r>
          </w:p>
        </w:tc>
        <w:tc>
          <w:tcPr>
            <w:tcW w:w="2663" w:type="dxa"/>
            <w:tcBorders>
              <w:top w:val="single" w:sz="4" w:space="0" w:color="1B556B"/>
              <w:bottom w:val="single" w:sz="4" w:space="0" w:color="1B556B"/>
            </w:tcBorders>
            <w:shd w:val="clear" w:color="auto" w:fill="auto"/>
          </w:tcPr>
          <w:p w14:paraId="41D95936" w14:textId="77777777" w:rsidR="00E0181F" w:rsidRPr="001D5327" w:rsidRDefault="00E0181F" w:rsidP="00D11AC9">
            <w:pPr>
              <w:pStyle w:val="TableText"/>
              <w:spacing w:before="40" w:after="40"/>
            </w:pPr>
            <w:r w:rsidRPr="001D5327">
              <w:t>IPCC default (IPCC, 2014)</w:t>
            </w:r>
          </w:p>
        </w:tc>
      </w:tr>
      <w:tr w:rsidR="00E0181F" w:rsidRPr="001D5327" w14:paraId="02812B87" w14:textId="77777777" w:rsidTr="00D11AC9">
        <w:tc>
          <w:tcPr>
            <w:tcW w:w="4144" w:type="dxa"/>
            <w:tcBorders>
              <w:top w:val="single" w:sz="4" w:space="0" w:color="1B556B"/>
              <w:bottom w:val="single" w:sz="4" w:space="0" w:color="1B556B"/>
            </w:tcBorders>
            <w:shd w:val="clear" w:color="auto" w:fill="auto"/>
          </w:tcPr>
          <w:p w14:paraId="1CA581A8" w14:textId="77777777" w:rsidR="00E0181F" w:rsidRPr="001D5327" w:rsidRDefault="00E0181F" w:rsidP="00D11AC9">
            <w:pPr>
              <w:pStyle w:val="TableText"/>
              <w:spacing w:before="40" w:after="40"/>
            </w:pPr>
            <w:r w:rsidRPr="001D5327">
              <w:t>Particle board</w:t>
            </w:r>
          </w:p>
        </w:tc>
        <w:tc>
          <w:tcPr>
            <w:tcW w:w="2072" w:type="dxa"/>
            <w:tcBorders>
              <w:top w:val="single" w:sz="4" w:space="0" w:color="1B556B"/>
              <w:bottom w:val="single" w:sz="4" w:space="0" w:color="1B556B"/>
            </w:tcBorders>
            <w:shd w:val="clear" w:color="auto" w:fill="auto"/>
          </w:tcPr>
          <w:p w14:paraId="146BC348" w14:textId="77777777" w:rsidR="00E0181F" w:rsidRPr="001D5327" w:rsidRDefault="00E0181F" w:rsidP="00D11AC9">
            <w:pPr>
              <w:pStyle w:val="TableText"/>
              <w:tabs>
                <w:tab w:val="decimal" w:pos="181"/>
              </w:tabs>
              <w:spacing w:before="40" w:after="40"/>
              <w:jc w:val="right"/>
            </w:pPr>
            <w:r w:rsidRPr="001D5327">
              <w:t>0.269</w:t>
            </w:r>
          </w:p>
        </w:tc>
        <w:tc>
          <w:tcPr>
            <w:tcW w:w="2663" w:type="dxa"/>
            <w:tcBorders>
              <w:top w:val="single" w:sz="4" w:space="0" w:color="1B556B"/>
              <w:bottom w:val="single" w:sz="4" w:space="0" w:color="1B556B"/>
            </w:tcBorders>
            <w:shd w:val="clear" w:color="auto" w:fill="auto"/>
          </w:tcPr>
          <w:p w14:paraId="052F4BF2" w14:textId="77777777" w:rsidR="00E0181F" w:rsidRPr="001D5327" w:rsidRDefault="00E0181F" w:rsidP="00D11AC9">
            <w:pPr>
              <w:pStyle w:val="TableText"/>
              <w:spacing w:before="40" w:after="40"/>
            </w:pPr>
            <w:r w:rsidRPr="001D5327">
              <w:t>IPCC default (IPCC, 2014)</w:t>
            </w:r>
          </w:p>
        </w:tc>
      </w:tr>
      <w:tr w:rsidR="00E0181F" w:rsidRPr="001D5327" w14:paraId="498C6E21" w14:textId="77777777" w:rsidTr="00D11AC9">
        <w:tc>
          <w:tcPr>
            <w:tcW w:w="4144" w:type="dxa"/>
            <w:tcBorders>
              <w:top w:val="single" w:sz="4" w:space="0" w:color="1B556B"/>
              <w:bottom w:val="single" w:sz="4" w:space="0" w:color="1B556B"/>
            </w:tcBorders>
            <w:shd w:val="clear" w:color="auto" w:fill="auto"/>
          </w:tcPr>
          <w:p w14:paraId="306F9EC1" w14:textId="77777777" w:rsidR="00E0181F" w:rsidRPr="001D5327" w:rsidRDefault="00E0181F" w:rsidP="00D11AC9">
            <w:pPr>
              <w:pStyle w:val="TableText"/>
              <w:spacing w:before="40" w:after="40"/>
            </w:pPr>
            <w:r w:rsidRPr="001D5327">
              <w:t>Fibreboard (compressed)</w:t>
            </w:r>
          </w:p>
        </w:tc>
        <w:tc>
          <w:tcPr>
            <w:tcW w:w="2072" w:type="dxa"/>
            <w:tcBorders>
              <w:top w:val="single" w:sz="4" w:space="0" w:color="1B556B"/>
              <w:bottom w:val="single" w:sz="4" w:space="0" w:color="1B556B"/>
            </w:tcBorders>
            <w:shd w:val="clear" w:color="auto" w:fill="auto"/>
          </w:tcPr>
          <w:p w14:paraId="452A1B3F" w14:textId="77777777" w:rsidR="00E0181F" w:rsidRPr="001D5327" w:rsidRDefault="00E0181F" w:rsidP="00D11AC9">
            <w:pPr>
              <w:pStyle w:val="TableText"/>
              <w:tabs>
                <w:tab w:val="decimal" w:pos="181"/>
              </w:tabs>
              <w:spacing w:before="40" w:after="40"/>
              <w:jc w:val="right"/>
            </w:pPr>
            <w:r w:rsidRPr="001D5327">
              <w:t>0.315</w:t>
            </w:r>
          </w:p>
        </w:tc>
        <w:tc>
          <w:tcPr>
            <w:tcW w:w="2663" w:type="dxa"/>
            <w:tcBorders>
              <w:top w:val="single" w:sz="4" w:space="0" w:color="1B556B"/>
              <w:bottom w:val="single" w:sz="4" w:space="0" w:color="1B556B"/>
            </w:tcBorders>
            <w:shd w:val="clear" w:color="auto" w:fill="auto"/>
          </w:tcPr>
          <w:p w14:paraId="7B641527" w14:textId="77777777" w:rsidR="00E0181F" w:rsidRPr="001D5327" w:rsidRDefault="00E0181F" w:rsidP="00D11AC9">
            <w:pPr>
              <w:pStyle w:val="TableText"/>
              <w:spacing w:before="40" w:after="40"/>
            </w:pPr>
            <w:r w:rsidRPr="001D5327">
              <w:t>IPCC default (IPCC, 2014)</w:t>
            </w:r>
          </w:p>
        </w:tc>
      </w:tr>
      <w:tr w:rsidR="00E0181F" w:rsidRPr="001D5327" w14:paraId="1546BD1D" w14:textId="77777777" w:rsidTr="00D11AC9">
        <w:tc>
          <w:tcPr>
            <w:tcW w:w="4144" w:type="dxa"/>
            <w:tcBorders>
              <w:top w:val="single" w:sz="4" w:space="0" w:color="1B556B"/>
              <w:bottom w:val="single" w:sz="4" w:space="0" w:color="1B556B"/>
            </w:tcBorders>
            <w:shd w:val="clear" w:color="auto" w:fill="auto"/>
          </w:tcPr>
          <w:p w14:paraId="2B69D6A9" w14:textId="77777777" w:rsidR="00E0181F" w:rsidRPr="001D5327" w:rsidRDefault="00E0181F" w:rsidP="00D11AC9">
            <w:pPr>
              <w:pStyle w:val="TableText"/>
              <w:spacing w:before="40" w:after="40"/>
            </w:pPr>
            <w:r w:rsidRPr="001D5327">
              <w:t>Insulating board/other fibreboard</w:t>
            </w:r>
          </w:p>
        </w:tc>
        <w:tc>
          <w:tcPr>
            <w:tcW w:w="2072" w:type="dxa"/>
            <w:tcBorders>
              <w:top w:val="single" w:sz="4" w:space="0" w:color="1B556B"/>
              <w:bottom w:val="single" w:sz="4" w:space="0" w:color="1B556B"/>
            </w:tcBorders>
            <w:shd w:val="clear" w:color="auto" w:fill="auto"/>
          </w:tcPr>
          <w:p w14:paraId="165CCFBD" w14:textId="77777777" w:rsidR="00E0181F" w:rsidRPr="001D5327" w:rsidRDefault="00E0181F" w:rsidP="00D11AC9">
            <w:pPr>
              <w:pStyle w:val="TableText"/>
              <w:tabs>
                <w:tab w:val="decimal" w:pos="181"/>
              </w:tabs>
              <w:spacing w:before="40" w:after="40"/>
              <w:jc w:val="right"/>
            </w:pPr>
            <w:r w:rsidRPr="001D5327">
              <w:t>0.075</w:t>
            </w:r>
          </w:p>
        </w:tc>
        <w:tc>
          <w:tcPr>
            <w:tcW w:w="2663" w:type="dxa"/>
            <w:tcBorders>
              <w:top w:val="single" w:sz="4" w:space="0" w:color="1B556B"/>
              <w:bottom w:val="single" w:sz="4" w:space="0" w:color="1B556B"/>
            </w:tcBorders>
            <w:shd w:val="clear" w:color="auto" w:fill="auto"/>
          </w:tcPr>
          <w:p w14:paraId="019A3DEF" w14:textId="77777777" w:rsidR="00E0181F" w:rsidRPr="001D5327" w:rsidRDefault="00E0181F" w:rsidP="00D11AC9">
            <w:pPr>
              <w:pStyle w:val="TableText"/>
              <w:spacing w:before="40" w:after="40"/>
            </w:pPr>
            <w:r w:rsidRPr="001D5327">
              <w:t>IPCC default (IPCC, 2014)</w:t>
            </w:r>
          </w:p>
        </w:tc>
      </w:tr>
      <w:tr w:rsidR="00E0181F" w:rsidRPr="001D5327" w14:paraId="0CAA56B4" w14:textId="77777777" w:rsidTr="00D11AC9">
        <w:tc>
          <w:tcPr>
            <w:tcW w:w="4144" w:type="dxa"/>
            <w:tcBorders>
              <w:top w:val="single" w:sz="4" w:space="0" w:color="1B556B"/>
              <w:bottom w:val="single" w:sz="4" w:space="0" w:color="1B556B"/>
            </w:tcBorders>
            <w:shd w:val="clear" w:color="auto" w:fill="auto"/>
          </w:tcPr>
          <w:p w14:paraId="55D1B95B" w14:textId="77777777" w:rsidR="00E0181F" w:rsidRPr="001D5327" w:rsidRDefault="00E0181F" w:rsidP="00D11AC9">
            <w:pPr>
              <w:pStyle w:val="TableText"/>
              <w:spacing w:before="40" w:after="40"/>
            </w:pPr>
            <w:r w:rsidRPr="001D5327">
              <w:t>Paper products</w:t>
            </w:r>
          </w:p>
        </w:tc>
        <w:tc>
          <w:tcPr>
            <w:tcW w:w="2072" w:type="dxa"/>
            <w:tcBorders>
              <w:top w:val="single" w:sz="4" w:space="0" w:color="1B556B"/>
              <w:bottom w:val="single" w:sz="4" w:space="0" w:color="1B556B"/>
            </w:tcBorders>
            <w:shd w:val="clear" w:color="auto" w:fill="auto"/>
          </w:tcPr>
          <w:p w14:paraId="69C0C9C3" w14:textId="77777777" w:rsidR="00E0181F" w:rsidRPr="001D5327" w:rsidRDefault="00E0181F" w:rsidP="00D11AC9">
            <w:pPr>
              <w:pStyle w:val="TableText"/>
              <w:tabs>
                <w:tab w:val="decimal" w:pos="181"/>
              </w:tabs>
              <w:spacing w:before="40" w:after="40"/>
              <w:ind w:right="-57"/>
              <w:jc w:val="right"/>
            </w:pPr>
            <w:r w:rsidRPr="001D5327">
              <w:t>0.450*</w:t>
            </w:r>
          </w:p>
        </w:tc>
        <w:tc>
          <w:tcPr>
            <w:tcW w:w="2663" w:type="dxa"/>
            <w:tcBorders>
              <w:top w:val="single" w:sz="4" w:space="0" w:color="1B556B"/>
              <w:bottom w:val="single" w:sz="4" w:space="0" w:color="1B556B"/>
            </w:tcBorders>
            <w:shd w:val="clear" w:color="auto" w:fill="auto"/>
          </w:tcPr>
          <w:p w14:paraId="24091D00" w14:textId="77777777" w:rsidR="00E0181F" w:rsidRPr="001D5327" w:rsidRDefault="00E0181F" w:rsidP="00D11AC9">
            <w:pPr>
              <w:pStyle w:val="TableText"/>
              <w:spacing w:before="40" w:after="40"/>
            </w:pPr>
            <w:r w:rsidRPr="001D5327">
              <w:t>IPCC default (IPCC, 2014)</w:t>
            </w:r>
          </w:p>
        </w:tc>
      </w:tr>
    </w:tbl>
    <w:p w14:paraId="7DCCF8BA" w14:textId="77777777" w:rsidR="00E0181F" w:rsidRPr="001D5327" w:rsidRDefault="00E0181F" w:rsidP="00E0181F">
      <w:pPr>
        <w:pStyle w:val="Noteundertable"/>
      </w:pPr>
      <w:r w:rsidRPr="001D5327">
        <w:rPr>
          <w:b/>
        </w:rPr>
        <w:t>Note:</w:t>
      </w:r>
      <w:r w:rsidRPr="001D5327">
        <w:tab/>
        <w:t>* Indicates where factors are given in tonnes of carbon per tonne of product.</w:t>
      </w:r>
    </w:p>
    <w:p w14:paraId="3B6EE065" w14:textId="77777777" w:rsidR="00E0181F" w:rsidRPr="001D5327" w:rsidRDefault="00E0181F" w:rsidP="00E0181F">
      <w:pPr>
        <w:pStyle w:val="Heading4"/>
      </w:pPr>
      <w:r w:rsidRPr="001D5327">
        <w:t xml:space="preserve">Half-lives </w:t>
      </w:r>
    </w:p>
    <w:p w14:paraId="27A36107" w14:textId="43C1E502" w:rsidR="00E0181F" w:rsidRPr="001D5327" w:rsidRDefault="00E0181F" w:rsidP="00E0181F">
      <w:pPr>
        <w:pStyle w:val="BodyText"/>
        <w:spacing w:before="100" w:after="100"/>
      </w:pPr>
      <w:r w:rsidRPr="001D5327">
        <w:t xml:space="preserve">Half-lives determine the discard rate of products from service in the </w:t>
      </w:r>
      <w:r w:rsidRPr="001D5327">
        <w:rPr>
          <w:i/>
          <w:iCs/>
        </w:rPr>
        <w:t xml:space="preserve">Harvested wood products </w:t>
      </w:r>
      <w:r w:rsidRPr="001D5327">
        <w:t xml:space="preserve">category. Overall, sawnwood and wood-based panels made and consumed in New Zealand are </w:t>
      </w:r>
      <w:r w:rsidRPr="001D5327">
        <w:rPr>
          <w:spacing w:val="-2"/>
        </w:rPr>
        <w:t>used to manufacture long-lived wood products, whereas short-lived products are manufactured</w:t>
      </w:r>
      <w:r w:rsidRPr="001D5327">
        <w:t xml:space="preserve"> overseas (Wekesa, 2022; Wekesa et al., 2022). These findings are used in </w:t>
      </w:r>
      <w:r w:rsidRPr="001D5327">
        <w:rPr>
          <w:spacing w:val="-2"/>
        </w:rPr>
        <w:t>this submission instead</w:t>
      </w:r>
      <w:r w:rsidR="005A18C4" w:rsidRPr="001D5327">
        <w:rPr>
          <w:spacing w:val="-2"/>
        </w:rPr>
        <w:t xml:space="preserve"> </w:t>
      </w:r>
      <w:r w:rsidRPr="001D5327">
        <w:rPr>
          <w:spacing w:val="-2"/>
        </w:rPr>
        <w:t>of default half-life values used previously. New Zealand uses a weighted</w:t>
      </w:r>
      <w:r w:rsidRPr="001D5327">
        <w:t xml:space="preserve"> half-life of 33.6 years for </w:t>
      </w:r>
      <w:r w:rsidRPr="001D5327">
        <w:rPr>
          <w:i/>
          <w:iCs/>
        </w:rPr>
        <w:t>Sawnwood</w:t>
      </w:r>
      <w:r w:rsidRPr="001D5327">
        <w:t>,</w:t>
      </w:r>
      <w:r w:rsidRPr="001D5327">
        <w:rPr>
          <w:i/>
          <w:iCs/>
        </w:rPr>
        <w:t xml:space="preserve"> </w:t>
      </w:r>
      <w:r w:rsidRPr="001D5327">
        <w:t>32.4 years for</w:t>
      </w:r>
      <w:r w:rsidRPr="001D5327">
        <w:rPr>
          <w:i/>
          <w:iCs/>
        </w:rPr>
        <w:t xml:space="preserve"> Wood-based panels for domestically processed and consumed harvested wood products</w:t>
      </w:r>
      <w:r w:rsidRPr="001D5327">
        <w:t>,</w:t>
      </w:r>
      <w:r w:rsidRPr="001D5327">
        <w:rPr>
          <w:i/>
          <w:iCs/>
        </w:rPr>
        <w:t xml:space="preserve"> </w:t>
      </w:r>
      <w:r w:rsidRPr="001D5327">
        <w:t>whereas weighted half-life values of 23.6 years for</w:t>
      </w:r>
      <w:r w:rsidRPr="001D5327">
        <w:rPr>
          <w:i/>
          <w:iCs/>
        </w:rPr>
        <w:t xml:space="preserve"> Sawnwood </w:t>
      </w:r>
      <w:r w:rsidRPr="001D5327">
        <w:t xml:space="preserve">and 20.7 years for </w:t>
      </w:r>
      <w:r w:rsidRPr="001D5327">
        <w:rPr>
          <w:i/>
          <w:iCs/>
        </w:rPr>
        <w:t>Sawnwood panels</w:t>
      </w:r>
      <w:r w:rsidRPr="001D5327">
        <w:t xml:space="preserve"> are used for harvested wood products produced in New Zealand and exported overseas (Wakelin, unpublished (f)). A default half-life value of two years was used for domestically produced and processed </w:t>
      </w:r>
      <w:r w:rsidRPr="001D5327">
        <w:rPr>
          <w:i/>
          <w:iCs/>
        </w:rPr>
        <w:t>Paper and paperboard</w:t>
      </w:r>
      <w:r w:rsidRPr="001D5327">
        <w:t xml:space="preserve"> consumed in the domestic and export markets (IPCC, 2014). These half-lives are used to increase the accuracy of the estimates over the default categories (</w:t>
      </w:r>
      <w:r w:rsidRPr="001D5327">
        <w:rPr>
          <w:i/>
          <w:iCs/>
        </w:rPr>
        <w:t xml:space="preserve">Solid wood </w:t>
      </w:r>
      <w:r w:rsidRPr="001D5327">
        <w:t>and</w:t>
      </w:r>
      <w:r w:rsidRPr="001D5327">
        <w:rPr>
          <w:i/>
          <w:iCs/>
        </w:rPr>
        <w:t xml:space="preserve"> Paper and paperboard</w:t>
      </w:r>
      <w:r w:rsidRPr="001D5327">
        <w:t>)</w:t>
      </w:r>
      <w:r w:rsidRPr="001D5327">
        <w:rPr>
          <w:i/>
          <w:iCs/>
        </w:rPr>
        <w:t xml:space="preserve"> </w:t>
      </w:r>
      <w:r w:rsidRPr="001D5327">
        <w:t>(table 12.2, IPCC, 2006a).</w:t>
      </w:r>
    </w:p>
    <w:p w14:paraId="41CE1752" w14:textId="77777777" w:rsidR="00E0181F" w:rsidRPr="001D5327" w:rsidRDefault="00E0181F" w:rsidP="00E0181F">
      <w:pPr>
        <w:pStyle w:val="BodyText"/>
      </w:pPr>
      <w:r w:rsidRPr="001D5327">
        <w:t xml:space="preserve">Most of New Zealand’s exported logs are converted into construction and packaging material (Manley and Evison, 2016). The weighted half-lives for China and India are significantly lower than the IPCC default half-lives for </w:t>
      </w:r>
      <w:r w:rsidRPr="001D5327">
        <w:rPr>
          <w:i/>
        </w:rPr>
        <w:t>Sawnwood</w:t>
      </w:r>
      <w:r w:rsidRPr="001D5327">
        <w:t xml:space="preserve"> and </w:t>
      </w:r>
      <w:r w:rsidRPr="001D5327">
        <w:rPr>
          <w:i/>
        </w:rPr>
        <w:t>Panels</w:t>
      </w:r>
      <w:r w:rsidRPr="001D5327">
        <w:t xml:space="preserve">, as demonstrated </w:t>
      </w:r>
      <w:r w:rsidRPr="001D5327">
        <w:rPr>
          <w:spacing w:val="-2"/>
        </w:rPr>
        <w:t xml:space="preserve">in table 6.10.2. These findings are included in </w:t>
      </w:r>
      <w:r w:rsidRPr="001D5327">
        <w:t>New Zealand’s</w:t>
      </w:r>
      <w:r w:rsidRPr="001D5327">
        <w:rPr>
          <w:spacing w:val="-2"/>
        </w:rPr>
        <w:t xml:space="preserve"> </w:t>
      </w:r>
      <w:r w:rsidRPr="001D5327">
        <w:rPr>
          <w:i/>
          <w:spacing w:val="-2"/>
        </w:rPr>
        <w:t>Harvested wood products</w:t>
      </w:r>
      <w:r w:rsidRPr="001D5327">
        <w:rPr>
          <w:spacing w:val="-2"/>
        </w:rPr>
        <w:t xml:space="preserve"> estimates</w:t>
      </w:r>
      <w:r w:rsidRPr="001D5327">
        <w:t xml:space="preserve"> and provide an improvement on the default assumption where exported raw materials were discarded at the same rate as domestic production. Further information on the half-lives for conversions of exported logs is provided in annex 5, section A5.2.6.</w:t>
      </w:r>
    </w:p>
    <w:p w14:paraId="1A616D19" w14:textId="77777777" w:rsidR="00E0181F" w:rsidRPr="001D5327" w:rsidRDefault="00E0181F" w:rsidP="00E0181F">
      <w:pPr>
        <w:pStyle w:val="Table"/>
      </w:pPr>
      <w:bookmarkStart w:id="2703" w:name="_Toc158979984"/>
      <w:bookmarkStart w:id="2704" w:name="_Toc164153917"/>
      <w:bookmarkStart w:id="2705" w:name="_Toc190873151"/>
      <w:bookmarkStart w:id="2706" w:name="_Toc194241790"/>
      <w:bookmarkStart w:id="2707" w:name="_Toc131591426"/>
      <w:r w:rsidRPr="001D5327">
        <w:lastRenderedPageBreak/>
        <w:t>Table 6.10.2</w:t>
      </w:r>
      <w:r w:rsidRPr="001D5327">
        <w:tab/>
        <w:t>Weighted half-lives for harvested wood products produced in export markets</w:t>
      </w:r>
      <w:bookmarkEnd w:id="2703"/>
      <w:bookmarkEnd w:id="2704"/>
      <w:bookmarkEnd w:id="2705"/>
      <w:bookmarkEnd w:id="2706"/>
      <w:r w:rsidRPr="001D5327">
        <w:t xml:space="preserve"> </w:t>
      </w:r>
      <w:bookmarkEnd w:id="2707"/>
    </w:p>
    <w:tbl>
      <w:tblPr>
        <w:tblW w:w="8505"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062"/>
        <w:gridCol w:w="2609"/>
        <w:gridCol w:w="1981"/>
        <w:gridCol w:w="1853"/>
      </w:tblGrid>
      <w:tr w:rsidR="00E0181F" w:rsidRPr="001D5327" w14:paraId="6BF42D4C" w14:textId="77777777" w:rsidTr="00D11AC9">
        <w:trPr>
          <w:tblHeader/>
        </w:trPr>
        <w:tc>
          <w:tcPr>
            <w:tcW w:w="2062" w:type="dxa"/>
            <w:vMerge w:val="restart"/>
            <w:tcBorders>
              <w:bottom w:val="nil"/>
            </w:tcBorders>
            <w:shd w:val="clear" w:color="auto" w:fill="1B556B" w:themeFill="text2"/>
            <w:vAlign w:val="bottom"/>
          </w:tcPr>
          <w:p w14:paraId="26A3166D" w14:textId="77777777" w:rsidR="00E0181F" w:rsidRPr="001D5327" w:rsidRDefault="00E0181F" w:rsidP="00D11AC9">
            <w:pPr>
              <w:pStyle w:val="TableTextBold"/>
              <w:spacing w:before="40" w:after="40"/>
              <w:rPr>
                <w:noProof w:val="0"/>
                <w:color w:val="FFFFFF"/>
              </w:rPr>
            </w:pPr>
            <w:r w:rsidRPr="001D5327">
              <w:rPr>
                <w:noProof w:val="0"/>
                <w:color w:val="FFFFFF"/>
              </w:rPr>
              <w:t>Country</w:t>
            </w:r>
          </w:p>
        </w:tc>
        <w:tc>
          <w:tcPr>
            <w:tcW w:w="6443" w:type="dxa"/>
            <w:gridSpan w:val="3"/>
            <w:tcBorders>
              <w:bottom w:val="nil"/>
            </w:tcBorders>
            <w:shd w:val="clear" w:color="auto" w:fill="1B556B" w:themeFill="text2"/>
            <w:vAlign w:val="bottom"/>
          </w:tcPr>
          <w:p w14:paraId="59A00BDE" w14:textId="04B2D6E0" w:rsidR="00E0181F" w:rsidRPr="001D5327" w:rsidRDefault="00E0181F" w:rsidP="00D11AC9">
            <w:pPr>
              <w:pStyle w:val="TableTextBold"/>
              <w:spacing w:before="40" w:after="0"/>
              <w:jc w:val="center"/>
              <w:rPr>
                <w:noProof w:val="0"/>
                <w:color w:val="FFFFFF"/>
              </w:rPr>
            </w:pPr>
            <w:r w:rsidRPr="001D5327">
              <w:rPr>
                <w:noProof w:val="0"/>
                <w:color w:val="FFFFFF"/>
              </w:rPr>
              <w:t>Weighted half-lives</w:t>
            </w:r>
            <w:r w:rsidR="00873394">
              <w:rPr>
                <w:noProof w:val="0"/>
                <w:color w:val="FFFFFF"/>
              </w:rPr>
              <w:t xml:space="preserve"> (years)</w:t>
            </w:r>
          </w:p>
        </w:tc>
      </w:tr>
      <w:tr w:rsidR="00E0181F" w:rsidRPr="001D5327" w14:paraId="0B8E8331" w14:textId="77777777" w:rsidTr="00D11AC9">
        <w:tc>
          <w:tcPr>
            <w:tcW w:w="2062" w:type="dxa"/>
            <w:vMerge/>
            <w:tcBorders>
              <w:top w:val="nil"/>
              <w:bottom w:val="single" w:sz="4" w:space="0" w:color="1B556B"/>
            </w:tcBorders>
            <w:shd w:val="clear" w:color="auto" w:fill="1B556B" w:themeFill="text2"/>
          </w:tcPr>
          <w:p w14:paraId="117A9ACC" w14:textId="77777777" w:rsidR="00E0181F" w:rsidRPr="001D5327" w:rsidRDefault="00E0181F" w:rsidP="00D11AC9">
            <w:pPr>
              <w:pStyle w:val="TableTextBold"/>
              <w:spacing w:before="40" w:after="40"/>
              <w:rPr>
                <w:noProof w:val="0"/>
                <w:color w:val="FFFFFF"/>
              </w:rPr>
            </w:pPr>
          </w:p>
        </w:tc>
        <w:tc>
          <w:tcPr>
            <w:tcW w:w="2609" w:type="dxa"/>
            <w:tcBorders>
              <w:top w:val="nil"/>
              <w:bottom w:val="single" w:sz="4" w:space="0" w:color="1B556B"/>
            </w:tcBorders>
            <w:shd w:val="clear" w:color="auto" w:fill="1B556B" w:themeFill="text2"/>
          </w:tcPr>
          <w:p w14:paraId="27914406" w14:textId="77777777" w:rsidR="00E0181F" w:rsidRPr="001D5327" w:rsidRDefault="00E0181F" w:rsidP="00D11AC9">
            <w:pPr>
              <w:pStyle w:val="TableTextBold"/>
              <w:spacing w:before="40" w:after="40"/>
              <w:jc w:val="right"/>
              <w:rPr>
                <w:noProof w:val="0"/>
                <w:color w:val="FFFFFF"/>
              </w:rPr>
            </w:pPr>
            <w:r w:rsidRPr="001D5327">
              <w:rPr>
                <w:noProof w:val="0"/>
                <w:color w:val="FFFFFF"/>
              </w:rPr>
              <w:t>Sawnwood</w:t>
            </w:r>
          </w:p>
        </w:tc>
        <w:tc>
          <w:tcPr>
            <w:tcW w:w="1981" w:type="dxa"/>
            <w:tcBorders>
              <w:top w:val="nil"/>
              <w:bottom w:val="single" w:sz="4" w:space="0" w:color="1B556B"/>
            </w:tcBorders>
            <w:shd w:val="clear" w:color="auto" w:fill="1B556B" w:themeFill="text2"/>
          </w:tcPr>
          <w:p w14:paraId="0AEB71B3" w14:textId="77777777" w:rsidR="00E0181F" w:rsidRPr="001D5327" w:rsidRDefault="00E0181F" w:rsidP="00D11AC9">
            <w:pPr>
              <w:pStyle w:val="TableTextBold"/>
              <w:spacing w:before="40" w:after="40"/>
              <w:jc w:val="right"/>
              <w:rPr>
                <w:noProof w:val="0"/>
                <w:color w:val="FFFFFF"/>
              </w:rPr>
            </w:pPr>
            <w:r w:rsidRPr="001D5327">
              <w:rPr>
                <w:noProof w:val="0"/>
                <w:color w:val="FFFFFF"/>
              </w:rPr>
              <w:t>Wood panels</w:t>
            </w:r>
          </w:p>
        </w:tc>
        <w:tc>
          <w:tcPr>
            <w:tcW w:w="1853" w:type="dxa"/>
            <w:tcBorders>
              <w:top w:val="nil"/>
              <w:bottom w:val="single" w:sz="4" w:space="0" w:color="1B556B"/>
            </w:tcBorders>
            <w:shd w:val="clear" w:color="auto" w:fill="1B556B" w:themeFill="text2"/>
          </w:tcPr>
          <w:p w14:paraId="05759980" w14:textId="77777777" w:rsidR="00E0181F" w:rsidRPr="001D5327" w:rsidRDefault="00E0181F" w:rsidP="00D11AC9">
            <w:pPr>
              <w:pStyle w:val="TableTextBold"/>
              <w:spacing w:before="40" w:after="40"/>
              <w:jc w:val="right"/>
              <w:rPr>
                <w:noProof w:val="0"/>
                <w:color w:val="FFFFFF"/>
              </w:rPr>
            </w:pPr>
            <w:r w:rsidRPr="001D5327">
              <w:rPr>
                <w:noProof w:val="0"/>
                <w:color w:val="FFFFFF"/>
              </w:rPr>
              <w:t>Paper</w:t>
            </w:r>
          </w:p>
        </w:tc>
      </w:tr>
      <w:tr w:rsidR="00E0181F" w:rsidRPr="001D5327" w14:paraId="20AB2C13" w14:textId="77777777" w:rsidTr="00D11AC9">
        <w:tc>
          <w:tcPr>
            <w:tcW w:w="2062" w:type="dxa"/>
            <w:tcBorders>
              <w:top w:val="single" w:sz="4" w:space="0" w:color="1B556B"/>
            </w:tcBorders>
            <w:shd w:val="clear" w:color="auto" w:fill="auto"/>
          </w:tcPr>
          <w:p w14:paraId="754BB169" w14:textId="77777777" w:rsidR="00E0181F" w:rsidRPr="001D5327" w:rsidRDefault="00E0181F" w:rsidP="00D11AC9">
            <w:pPr>
              <w:pStyle w:val="TableText"/>
              <w:spacing w:before="40" w:after="40"/>
            </w:pPr>
            <w:r w:rsidRPr="001D5327">
              <w:t>China</w:t>
            </w:r>
          </w:p>
        </w:tc>
        <w:tc>
          <w:tcPr>
            <w:tcW w:w="2609" w:type="dxa"/>
            <w:tcBorders>
              <w:top w:val="single" w:sz="4" w:space="0" w:color="1B556B"/>
            </w:tcBorders>
            <w:shd w:val="clear" w:color="auto" w:fill="auto"/>
          </w:tcPr>
          <w:p w14:paraId="73E1F557" w14:textId="77777777" w:rsidR="00E0181F" w:rsidRPr="001D5327" w:rsidRDefault="00E0181F" w:rsidP="00D11AC9">
            <w:pPr>
              <w:pStyle w:val="TableText"/>
              <w:tabs>
                <w:tab w:val="decimal" w:pos="181"/>
              </w:tabs>
              <w:spacing w:before="40" w:after="40"/>
              <w:jc w:val="right"/>
            </w:pPr>
            <w:r w:rsidRPr="001D5327">
              <w:t>8.3</w:t>
            </w:r>
          </w:p>
        </w:tc>
        <w:tc>
          <w:tcPr>
            <w:tcW w:w="1981" w:type="dxa"/>
            <w:tcBorders>
              <w:top w:val="single" w:sz="4" w:space="0" w:color="1B556B"/>
            </w:tcBorders>
            <w:shd w:val="clear" w:color="auto" w:fill="auto"/>
          </w:tcPr>
          <w:p w14:paraId="3E8DEF89" w14:textId="77777777" w:rsidR="00E0181F" w:rsidRPr="001D5327" w:rsidRDefault="00E0181F" w:rsidP="00D11AC9">
            <w:pPr>
              <w:pStyle w:val="TableText"/>
              <w:spacing w:before="40" w:after="40"/>
              <w:jc w:val="right"/>
            </w:pPr>
            <w:r w:rsidRPr="001D5327">
              <w:t>8.3</w:t>
            </w:r>
          </w:p>
        </w:tc>
        <w:tc>
          <w:tcPr>
            <w:tcW w:w="1853" w:type="dxa"/>
            <w:tcBorders>
              <w:top w:val="single" w:sz="4" w:space="0" w:color="1B556B"/>
            </w:tcBorders>
          </w:tcPr>
          <w:p w14:paraId="662B2805" w14:textId="77777777" w:rsidR="00E0181F" w:rsidRPr="001D5327" w:rsidRDefault="00E0181F" w:rsidP="00D11AC9">
            <w:pPr>
              <w:pStyle w:val="TableText"/>
              <w:spacing w:before="40" w:after="40"/>
              <w:jc w:val="right"/>
            </w:pPr>
            <w:r w:rsidRPr="001D5327">
              <w:t>2</w:t>
            </w:r>
          </w:p>
        </w:tc>
      </w:tr>
      <w:tr w:rsidR="00E0181F" w:rsidRPr="001D5327" w14:paraId="2037D189" w14:textId="77777777" w:rsidTr="00D11AC9">
        <w:tc>
          <w:tcPr>
            <w:tcW w:w="2062" w:type="dxa"/>
            <w:shd w:val="clear" w:color="auto" w:fill="auto"/>
          </w:tcPr>
          <w:p w14:paraId="61C689BA" w14:textId="77777777" w:rsidR="00E0181F" w:rsidRPr="001D5327" w:rsidRDefault="00E0181F" w:rsidP="00D11AC9">
            <w:pPr>
              <w:pStyle w:val="TableText"/>
              <w:spacing w:before="40" w:after="40"/>
            </w:pPr>
            <w:r w:rsidRPr="001D5327">
              <w:t>India</w:t>
            </w:r>
          </w:p>
        </w:tc>
        <w:tc>
          <w:tcPr>
            <w:tcW w:w="2609" w:type="dxa"/>
            <w:shd w:val="clear" w:color="auto" w:fill="auto"/>
          </w:tcPr>
          <w:p w14:paraId="189E8096" w14:textId="77777777" w:rsidR="00E0181F" w:rsidRPr="001D5327" w:rsidRDefault="00E0181F" w:rsidP="00D11AC9">
            <w:pPr>
              <w:pStyle w:val="TableText"/>
              <w:tabs>
                <w:tab w:val="decimal" w:pos="181"/>
              </w:tabs>
              <w:spacing w:before="40" w:after="40"/>
              <w:jc w:val="right"/>
            </w:pPr>
            <w:r w:rsidRPr="001D5327">
              <w:t>1.4</w:t>
            </w:r>
          </w:p>
        </w:tc>
        <w:tc>
          <w:tcPr>
            <w:tcW w:w="1981" w:type="dxa"/>
            <w:shd w:val="clear" w:color="auto" w:fill="auto"/>
          </w:tcPr>
          <w:p w14:paraId="13B7B012" w14:textId="77777777" w:rsidR="00E0181F" w:rsidRPr="001D5327" w:rsidRDefault="00E0181F" w:rsidP="00D11AC9">
            <w:pPr>
              <w:pStyle w:val="TableText"/>
              <w:spacing w:before="40" w:after="40"/>
              <w:jc w:val="right"/>
            </w:pPr>
            <w:r w:rsidRPr="001D5327">
              <w:t>10.4</w:t>
            </w:r>
          </w:p>
        </w:tc>
        <w:tc>
          <w:tcPr>
            <w:tcW w:w="1853" w:type="dxa"/>
          </w:tcPr>
          <w:p w14:paraId="08EA5126" w14:textId="77777777" w:rsidR="00E0181F" w:rsidRPr="001D5327" w:rsidRDefault="00E0181F" w:rsidP="00D11AC9">
            <w:pPr>
              <w:pStyle w:val="TableText"/>
              <w:spacing w:before="40" w:after="40"/>
              <w:jc w:val="right"/>
            </w:pPr>
            <w:r w:rsidRPr="001D5327">
              <w:t>2</w:t>
            </w:r>
          </w:p>
        </w:tc>
      </w:tr>
      <w:tr w:rsidR="00E0181F" w:rsidRPr="001D5327" w14:paraId="1067E49A" w14:textId="77777777" w:rsidTr="00D11AC9">
        <w:tc>
          <w:tcPr>
            <w:tcW w:w="2062" w:type="dxa"/>
            <w:shd w:val="clear" w:color="auto" w:fill="auto"/>
          </w:tcPr>
          <w:p w14:paraId="186E2720" w14:textId="77777777" w:rsidR="00E0181F" w:rsidRPr="001D5327" w:rsidRDefault="00E0181F" w:rsidP="00D11AC9">
            <w:pPr>
              <w:pStyle w:val="TableText"/>
              <w:spacing w:before="40" w:after="40"/>
            </w:pPr>
            <w:r w:rsidRPr="001D5327">
              <w:t>South Korea</w:t>
            </w:r>
          </w:p>
        </w:tc>
        <w:tc>
          <w:tcPr>
            <w:tcW w:w="2609" w:type="dxa"/>
            <w:shd w:val="clear" w:color="auto" w:fill="auto"/>
          </w:tcPr>
          <w:p w14:paraId="54DFAC7F" w14:textId="77777777" w:rsidR="00E0181F" w:rsidRPr="001D5327" w:rsidRDefault="00E0181F" w:rsidP="00D11AC9">
            <w:pPr>
              <w:pStyle w:val="TableText"/>
              <w:tabs>
                <w:tab w:val="decimal" w:pos="181"/>
              </w:tabs>
              <w:spacing w:before="40" w:after="40"/>
              <w:jc w:val="right"/>
            </w:pPr>
            <w:r w:rsidRPr="001D5327">
              <w:t>15.5</w:t>
            </w:r>
          </w:p>
        </w:tc>
        <w:tc>
          <w:tcPr>
            <w:tcW w:w="1981" w:type="dxa"/>
            <w:shd w:val="clear" w:color="auto" w:fill="auto"/>
          </w:tcPr>
          <w:p w14:paraId="23E974FB" w14:textId="77777777" w:rsidR="00E0181F" w:rsidRPr="001D5327" w:rsidRDefault="00E0181F" w:rsidP="00D11AC9">
            <w:pPr>
              <w:pStyle w:val="TableText"/>
              <w:spacing w:before="40" w:after="40"/>
              <w:jc w:val="right"/>
            </w:pPr>
            <w:r w:rsidRPr="001D5327">
              <w:t>23.9</w:t>
            </w:r>
          </w:p>
        </w:tc>
        <w:tc>
          <w:tcPr>
            <w:tcW w:w="1853" w:type="dxa"/>
          </w:tcPr>
          <w:p w14:paraId="4E3989CA" w14:textId="77777777" w:rsidR="00E0181F" w:rsidRPr="001D5327" w:rsidRDefault="00E0181F" w:rsidP="00D11AC9">
            <w:pPr>
              <w:pStyle w:val="TableText"/>
              <w:spacing w:before="40" w:after="40"/>
              <w:jc w:val="right"/>
            </w:pPr>
            <w:r w:rsidRPr="001D5327">
              <w:t>2</w:t>
            </w:r>
          </w:p>
        </w:tc>
      </w:tr>
      <w:tr w:rsidR="00E0181F" w:rsidRPr="001D5327" w14:paraId="37711BF6" w14:textId="77777777" w:rsidTr="00D11AC9">
        <w:tc>
          <w:tcPr>
            <w:tcW w:w="2062" w:type="dxa"/>
            <w:shd w:val="clear" w:color="auto" w:fill="auto"/>
          </w:tcPr>
          <w:p w14:paraId="7CB98FBB" w14:textId="77777777" w:rsidR="00E0181F" w:rsidRPr="001D5327" w:rsidRDefault="00E0181F" w:rsidP="00D11AC9">
            <w:pPr>
              <w:pStyle w:val="TableText"/>
              <w:spacing w:before="40" w:after="40"/>
            </w:pPr>
            <w:r w:rsidRPr="001D5327">
              <w:t>Japan</w:t>
            </w:r>
          </w:p>
        </w:tc>
        <w:tc>
          <w:tcPr>
            <w:tcW w:w="2609" w:type="dxa"/>
            <w:shd w:val="clear" w:color="auto" w:fill="auto"/>
          </w:tcPr>
          <w:p w14:paraId="75CBE414" w14:textId="77777777" w:rsidR="00E0181F" w:rsidRPr="001D5327" w:rsidRDefault="00E0181F" w:rsidP="00D11AC9">
            <w:pPr>
              <w:pStyle w:val="TableText"/>
              <w:tabs>
                <w:tab w:val="decimal" w:pos="181"/>
              </w:tabs>
              <w:spacing w:before="40" w:after="40"/>
              <w:jc w:val="right"/>
            </w:pPr>
            <w:r w:rsidRPr="001D5327">
              <w:t>3.1</w:t>
            </w:r>
          </w:p>
        </w:tc>
        <w:tc>
          <w:tcPr>
            <w:tcW w:w="1981" w:type="dxa"/>
            <w:shd w:val="clear" w:color="auto" w:fill="auto"/>
          </w:tcPr>
          <w:p w14:paraId="29F9C9E1" w14:textId="77777777" w:rsidR="00E0181F" w:rsidRPr="001D5327" w:rsidRDefault="00E0181F" w:rsidP="00D11AC9">
            <w:pPr>
              <w:pStyle w:val="TableText"/>
              <w:spacing w:before="40" w:after="40"/>
              <w:jc w:val="right"/>
            </w:pPr>
            <w:r w:rsidRPr="001D5327">
              <w:t>2.8</w:t>
            </w:r>
          </w:p>
        </w:tc>
        <w:tc>
          <w:tcPr>
            <w:tcW w:w="1853" w:type="dxa"/>
          </w:tcPr>
          <w:p w14:paraId="6EC284E4" w14:textId="77777777" w:rsidR="00E0181F" w:rsidRPr="001D5327" w:rsidRDefault="00E0181F" w:rsidP="00D11AC9">
            <w:pPr>
              <w:pStyle w:val="TableText"/>
              <w:spacing w:before="40" w:after="40"/>
              <w:jc w:val="right"/>
            </w:pPr>
            <w:r w:rsidRPr="001D5327">
              <w:t>2</w:t>
            </w:r>
          </w:p>
        </w:tc>
      </w:tr>
      <w:tr w:rsidR="00E0181F" w:rsidRPr="001D5327" w14:paraId="583086FC" w14:textId="77777777" w:rsidTr="00D11AC9">
        <w:tc>
          <w:tcPr>
            <w:tcW w:w="2062" w:type="dxa"/>
            <w:shd w:val="clear" w:color="auto" w:fill="auto"/>
          </w:tcPr>
          <w:p w14:paraId="094A6D09" w14:textId="77777777" w:rsidR="00E0181F" w:rsidRPr="001D5327" w:rsidRDefault="00E0181F" w:rsidP="00D11AC9">
            <w:pPr>
              <w:pStyle w:val="TableText"/>
              <w:spacing w:before="40" w:after="40"/>
            </w:pPr>
            <w:r w:rsidRPr="001D5327">
              <w:t>Other</w:t>
            </w:r>
          </w:p>
        </w:tc>
        <w:tc>
          <w:tcPr>
            <w:tcW w:w="2609" w:type="dxa"/>
            <w:shd w:val="clear" w:color="auto" w:fill="auto"/>
          </w:tcPr>
          <w:p w14:paraId="07459C62" w14:textId="77777777" w:rsidR="00E0181F" w:rsidRPr="001D5327" w:rsidRDefault="00E0181F" w:rsidP="00D11AC9">
            <w:pPr>
              <w:pStyle w:val="TableText"/>
              <w:tabs>
                <w:tab w:val="decimal" w:pos="181"/>
              </w:tabs>
              <w:spacing w:before="40" w:after="40"/>
              <w:jc w:val="right"/>
            </w:pPr>
            <w:r w:rsidRPr="001D5327">
              <w:t>8.3</w:t>
            </w:r>
          </w:p>
        </w:tc>
        <w:tc>
          <w:tcPr>
            <w:tcW w:w="1981" w:type="dxa"/>
            <w:shd w:val="clear" w:color="auto" w:fill="auto"/>
          </w:tcPr>
          <w:p w14:paraId="148D123A" w14:textId="77777777" w:rsidR="00E0181F" w:rsidRPr="001D5327" w:rsidRDefault="00E0181F" w:rsidP="00D11AC9">
            <w:pPr>
              <w:pStyle w:val="TableText"/>
              <w:spacing w:before="40" w:after="40"/>
              <w:jc w:val="right"/>
            </w:pPr>
            <w:r w:rsidRPr="001D5327">
              <w:t>8.3</w:t>
            </w:r>
          </w:p>
        </w:tc>
        <w:tc>
          <w:tcPr>
            <w:tcW w:w="1853" w:type="dxa"/>
          </w:tcPr>
          <w:p w14:paraId="0300FE83" w14:textId="77777777" w:rsidR="00E0181F" w:rsidRPr="001D5327" w:rsidRDefault="00E0181F" w:rsidP="00D11AC9">
            <w:pPr>
              <w:pStyle w:val="TableText"/>
              <w:spacing w:before="40" w:after="40"/>
              <w:jc w:val="right"/>
            </w:pPr>
            <w:r w:rsidRPr="001D5327">
              <w:t>2</w:t>
            </w:r>
          </w:p>
        </w:tc>
      </w:tr>
      <w:tr w:rsidR="00E0181F" w:rsidRPr="001D5327" w14:paraId="14402312" w14:textId="77777777" w:rsidTr="00D11AC9">
        <w:tc>
          <w:tcPr>
            <w:tcW w:w="2062" w:type="dxa"/>
            <w:shd w:val="clear" w:color="auto" w:fill="auto"/>
          </w:tcPr>
          <w:p w14:paraId="58B74F82" w14:textId="77777777" w:rsidR="00E0181F" w:rsidRPr="001D5327" w:rsidRDefault="00E0181F" w:rsidP="00D11AC9">
            <w:pPr>
              <w:pStyle w:val="TableText"/>
              <w:spacing w:before="40" w:after="40"/>
            </w:pPr>
            <w:r w:rsidRPr="001D5327">
              <w:t>IPCC default</w:t>
            </w:r>
          </w:p>
        </w:tc>
        <w:tc>
          <w:tcPr>
            <w:tcW w:w="2609" w:type="dxa"/>
            <w:shd w:val="clear" w:color="auto" w:fill="auto"/>
          </w:tcPr>
          <w:p w14:paraId="0B721688" w14:textId="77777777" w:rsidR="00E0181F" w:rsidRPr="001D5327" w:rsidRDefault="00E0181F" w:rsidP="00D11AC9">
            <w:pPr>
              <w:pStyle w:val="TableText"/>
              <w:tabs>
                <w:tab w:val="decimal" w:pos="181"/>
              </w:tabs>
              <w:spacing w:before="40" w:after="40"/>
              <w:jc w:val="right"/>
            </w:pPr>
            <w:r w:rsidRPr="001D5327">
              <w:t>35</w:t>
            </w:r>
          </w:p>
        </w:tc>
        <w:tc>
          <w:tcPr>
            <w:tcW w:w="1981" w:type="dxa"/>
            <w:shd w:val="clear" w:color="auto" w:fill="auto"/>
          </w:tcPr>
          <w:p w14:paraId="32D70CE4" w14:textId="77777777" w:rsidR="00E0181F" w:rsidRPr="001D5327" w:rsidRDefault="00E0181F" w:rsidP="00D11AC9">
            <w:pPr>
              <w:pStyle w:val="TableText"/>
              <w:spacing w:before="40" w:after="40"/>
              <w:jc w:val="right"/>
            </w:pPr>
            <w:r w:rsidRPr="001D5327">
              <w:t>25</w:t>
            </w:r>
          </w:p>
        </w:tc>
        <w:tc>
          <w:tcPr>
            <w:tcW w:w="1853" w:type="dxa"/>
          </w:tcPr>
          <w:p w14:paraId="7F16441E" w14:textId="77777777" w:rsidR="00E0181F" w:rsidRPr="001D5327" w:rsidRDefault="00E0181F" w:rsidP="00D11AC9">
            <w:pPr>
              <w:pStyle w:val="TableText"/>
              <w:spacing w:before="40" w:after="40"/>
              <w:jc w:val="right"/>
            </w:pPr>
            <w:r w:rsidRPr="001D5327">
              <w:t>2</w:t>
            </w:r>
          </w:p>
        </w:tc>
      </w:tr>
    </w:tbl>
    <w:p w14:paraId="7B8E19DD" w14:textId="77777777" w:rsidR="00E0181F" w:rsidRPr="001D5327" w:rsidRDefault="00E0181F" w:rsidP="00E0181F">
      <w:pPr>
        <w:pStyle w:val="Heading3"/>
        <w:tabs>
          <w:tab w:val="clear" w:pos="851"/>
          <w:tab w:val="left" w:pos="993"/>
        </w:tabs>
        <w:spacing w:before="400"/>
      </w:pPr>
      <w:r w:rsidRPr="001D5327">
        <w:t>6.10.3</w:t>
      </w:r>
      <w:r w:rsidRPr="001D5327">
        <w:tab/>
        <w:t>Uncertainty assessment and time-series consistency</w:t>
      </w:r>
    </w:p>
    <w:p w14:paraId="1583398F" w14:textId="77777777" w:rsidR="00E0181F" w:rsidRPr="001D5327" w:rsidRDefault="00E0181F" w:rsidP="00E0181F">
      <w:pPr>
        <w:pStyle w:val="BodyText"/>
        <w:spacing w:before="100" w:after="100"/>
      </w:pPr>
      <w:r w:rsidRPr="001D5327">
        <w:t xml:space="preserve">The uncertainty in net carbon emissions from </w:t>
      </w:r>
      <w:r w:rsidRPr="001D5327">
        <w:rPr>
          <w:i/>
          <w:iCs/>
        </w:rPr>
        <w:t>Harvested</w:t>
      </w:r>
      <w:r w:rsidRPr="001D5327">
        <w:rPr>
          <w:i/>
        </w:rPr>
        <w:t xml:space="preserve"> wood products</w:t>
      </w:r>
      <w:r w:rsidRPr="001D5327">
        <w:t xml:space="preserve"> was 68.2 per cent in 2023</w:t>
      </w:r>
      <w:r w:rsidRPr="001D5327">
        <w:rPr>
          <w:rFonts w:asciiTheme="minorHAnsi" w:eastAsia="Symbol" w:hAnsiTheme="minorHAnsi"/>
          <w:i/>
          <w:iCs/>
        </w:rPr>
        <w:t xml:space="preserve">, </w:t>
      </w:r>
      <w:r w:rsidRPr="001D5327">
        <w:rPr>
          <w:rFonts w:asciiTheme="minorHAnsi" w:eastAsia="Symbol" w:hAnsiTheme="minorHAnsi"/>
        </w:rPr>
        <w:t xml:space="preserve">which accounted for 19.6 per cent of the </w:t>
      </w:r>
      <w:r w:rsidRPr="001D5327">
        <w:rPr>
          <w:rFonts w:asciiTheme="minorHAnsi" w:hAnsiTheme="minorHAnsi"/>
        </w:rPr>
        <w:t>t</w:t>
      </w:r>
      <w:r w:rsidRPr="001D5327">
        <w:t>otal uncertainty in emissions from the LULUCF sector. Uncertainty in the </w:t>
      </w:r>
      <w:r w:rsidRPr="001D5327">
        <w:rPr>
          <w:i/>
        </w:rPr>
        <w:t>Harvested wood products</w:t>
      </w:r>
      <w:r w:rsidRPr="001D5327">
        <w:t xml:space="preserve"> estimates is introduced by activity data, conversion factors and decay parameters. The contribution to total uncertainty is driven by large removals in this pool and high uncertainty associated with the end-use and discard rates of New Zealand wood. The methods used to calculate the uncertainty are further described in annex 5, section A5.2.8.</w:t>
      </w:r>
    </w:p>
    <w:p w14:paraId="6643E99B" w14:textId="77777777" w:rsidR="00E0181F" w:rsidRPr="001D5327" w:rsidRDefault="00E0181F" w:rsidP="00E0181F">
      <w:pPr>
        <w:pStyle w:val="BodyText"/>
        <w:spacing w:before="100" w:after="100"/>
      </w:pPr>
      <w:r w:rsidRPr="001D5327">
        <w:t xml:space="preserve">Time-series consistency is ensured by applying consistent methods and full recalculations in the event of any refinement or improvement to the methodology. </w:t>
      </w:r>
    </w:p>
    <w:p w14:paraId="5665C429" w14:textId="77777777" w:rsidR="00E0181F" w:rsidRPr="001D5327" w:rsidRDefault="00E0181F" w:rsidP="00E0181F">
      <w:pPr>
        <w:pStyle w:val="Heading3"/>
        <w:tabs>
          <w:tab w:val="clear" w:pos="851"/>
          <w:tab w:val="left" w:pos="993"/>
        </w:tabs>
      </w:pPr>
      <w:r w:rsidRPr="001D5327">
        <w:t>6.10.4</w:t>
      </w:r>
      <w:r w:rsidRPr="001D5327">
        <w:tab/>
        <w:t>Category-specific QA/QC and verification</w:t>
      </w:r>
    </w:p>
    <w:p w14:paraId="19234578" w14:textId="77777777" w:rsidR="00E0181F" w:rsidRPr="001D5327" w:rsidRDefault="00E0181F" w:rsidP="00E0181F">
      <w:pPr>
        <w:pStyle w:val="BodyText"/>
        <w:spacing w:before="100" w:after="100"/>
      </w:pPr>
      <w:r w:rsidRPr="001D5327">
        <w:t xml:space="preserve">Activity data for roundwood are sourced from annual statistics produced by MPI. However, as section 6.4 describes, the methodology for estimating above-ground biomass losses on harvest uses the LUCAS model, which combines harvest area by age with yield table carbon values. To ensure consistency between MPI roundwood volume statistics and LUCAS harvest estimates, a comparison between the two data sources across the time series was carried out and is further described in annex 5, section A5.2.5 ‘Forest land model validations’. </w:t>
      </w:r>
    </w:p>
    <w:p w14:paraId="792CC7A2" w14:textId="77777777" w:rsidR="00E0181F" w:rsidRPr="001D5327" w:rsidRDefault="00E0181F" w:rsidP="00E0181F">
      <w:pPr>
        <w:pStyle w:val="BodyText"/>
        <w:spacing w:before="100" w:after="100"/>
      </w:pPr>
      <w:r w:rsidRPr="001D5327">
        <w:t>The results show</w:t>
      </w:r>
      <w:r w:rsidRPr="001D5327" w:rsidDel="004D5E77">
        <w:t xml:space="preserve"> </w:t>
      </w:r>
      <w:r w:rsidRPr="001D5327">
        <w:t xml:space="preserve">a relatively good match between the two data sources between 2013 and 2020. This is because roundwood volume is now used to determine the total destocking area over this period. However, the two data sources deviate in earlier years. LUCAS above-ground biomass losses from harvest are greater than those estimated from roundwood volume statistics from 1996 to 2012 and are slightly lower from 1990 to 1994. </w:t>
      </w:r>
    </w:p>
    <w:p w14:paraId="45F39726" w14:textId="77777777" w:rsidR="00E0181F" w:rsidRPr="001D5327" w:rsidRDefault="00E0181F" w:rsidP="00E0181F">
      <w:pPr>
        <w:pStyle w:val="BodyText"/>
        <w:spacing w:before="100" w:after="100"/>
      </w:pPr>
      <w:r w:rsidRPr="001D5327">
        <w:t xml:space="preserve">The implications of these earlier differences are that New Zealand may be reporting more carbon losses from harvesting and deforestation than carbon gains from roundwood creation and inputs into the </w:t>
      </w:r>
      <w:r w:rsidRPr="001D5327">
        <w:rPr>
          <w:iCs/>
        </w:rPr>
        <w:t>harvested wood products</w:t>
      </w:r>
      <w:r w:rsidRPr="001D5327">
        <w:t xml:space="preserve"> pool across most of the time series. </w:t>
      </w:r>
    </w:p>
    <w:p w14:paraId="2CFA6C0A" w14:textId="77777777" w:rsidR="00E0181F" w:rsidRPr="001D5327" w:rsidRDefault="00E0181F" w:rsidP="00E0181F">
      <w:pPr>
        <w:pStyle w:val="BodyText"/>
        <w:spacing w:before="100" w:after="100"/>
      </w:pPr>
      <w:r w:rsidRPr="001D5327">
        <w:t xml:space="preserve">Work is under way to establish how best to address this inconsistency through the time series. </w:t>
      </w:r>
    </w:p>
    <w:p w14:paraId="1E0F904E" w14:textId="77777777" w:rsidR="00E0181F" w:rsidRPr="001D5327" w:rsidRDefault="00E0181F" w:rsidP="00E0181F">
      <w:pPr>
        <w:pStyle w:val="Heading3"/>
        <w:tabs>
          <w:tab w:val="clear" w:pos="851"/>
          <w:tab w:val="left" w:pos="993"/>
        </w:tabs>
      </w:pPr>
      <w:r w:rsidRPr="001D5327" w:rsidDel="007F0462">
        <w:t>6.</w:t>
      </w:r>
      <w:r w:rsidRPr="001D5327">
        <w:t>10.5</w:t>
      </w:r>
      <w:r w:rsidRPr="001D5327">
        <w:tab/>
        <w:t>Category-specific recalculations</w:t>
      </w:r>
    </w:p>
    <w:p w14:paraId="561FBD8D" w14:textId="77777777" w:rsidR="00E0181F" w:rsidRPr="001D5327" w:rsidRDefault="00E0181F" w:rsidP="00E0181F">
      <w:pPr>
        <w:pStyle w:val="BodyText"/>
        <w:spacing w:before="100" w:after="100"/>
      </w:pPr>
      <w:r w:rsidRPr="001D5327">
        <w:t>Recalculations of the entire time series were carried out for this category as a result of updated activity data. The impact of recalculations on net CO</w:t>
      </w:r>
      <w:r w:rsidRPr="001D5327">
        <w:rPr>
          <w:vertAlign w:val="subscript"/>
        </w:rPr>
        <w:t>2</w:t>
      </w:r>
      <w:r w:rsidRPr="001D5327">
        <w:t xml:space="preserve">-e emission estimates for </w:t>
      </w:r>
      <w:r w:rsidRPr="001D5327">
        <w:rPr>
          <w:i/>
        </w:rPr>
        <w:t>Harvested wood products</w:t>
      </w:r>
      <w:r w:rsidRPr="001D5327">
        <w:t xml:space="preserve"> is shown in table 6.10.3.</w:t>
      </w:r>
    </w:p>
    <w:p w14:paraId="1AB7B36D" w14:textId="77777777" w:rsidR="00E0181F" w:rsidRPr="001D5327" w:rsidRDefault="00E0181F" w:rsidP="00E0181F">
      <w:pPr>
        <w:pStyle w:val="Table"/>
      </w:pPr>
      <w:bookmarkStart w:id="2708" w:name="_Toc443645410"/>
      <w:bookmarkStart w:id="2709" w:name="_Toc474914629"/>
      <w:bookmarkStart w:id="2710" w:name="_Toc481751593"/>
      <w:bookmarkStart w:id="2711" w:name="_Toc522010650"/>
      <w:bookmarkStart w:id="2712" w:name="_Toc5269555"/>
      <w:bookmarkStart w:id="2713" w:name="_Toc33529429"/>
      <w:bookmarkStart w:id="2714" w:name="_Toc36224635"/>
      <w:bookmarkStart w:id="2715" w:name="_Toc131591427"/>
      <w:bookmarkStart w:id="2716" w:name="_Toc158979985"/>
      <w:bookmarkStart w:id="2717" w:name="_Toc164153918"/>
      <w:bookmarkStart w:id="2718" w:name="_Toc190873152"/>
      <w:bookmarkStart w:id="2719" w:name="_Toc194241791"/>
      <w:r w:rsidRPr="001D5327">
        <w:lastRenderedPageBreak/>
        <w:t>Table 6.10.3</w:t>
      </w:r>
      <w:r w:rsidRPr="001D5327">
        <w:tab/>
        <w:t xml:space="preserve">Recalculations for New Zealand’s net emissions from the </w:t>
      </w:r>
      <w:r w:rsidRPr="001D5327">
        <w:rPr>
          <w:i/>
        </w:rPr>
        <w:t>Harvested wood products</w:t>
      </w:r>
      <w:r w:rsidRPr="001D5327">
        <w:br/>
        <w:t>category in 1990 and 2022</w:t>
      </w:r>
      <w:bookmarkEnd w:id="2708"/>
      <w:bookmarkEnd w:id="2709"/>
      <w:bookmarkEnd w:id="2710"/>
      <w:bookmarkEnd w:id="2711"/>
      <w:bookmarkEnd w:id="2712"/>
      <w:bookmarkEnd w:id="2713"/>
      <w:bookmarkEnd w:id="2714"/>
      <w:bookmarkEnd w:id="2715"/>
      <w:bookmarkEnd w:id="2716"/>
      <w:bookmarkEnd w:id="2717"/>
      <w:bookmarkEnd w:id="2718"/>
      <w:bookmarkEnd w:id="2719"/>
    </w:p>
    <w:tbl>
      <w:tblPr>
        <w:tblW w:w="8504"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122"/>
        <w:gridCol w:w="1417"/>
        <w:gridCol w:w="1559"/>
        <w:gridCol w:w="2268"/>
        <w:gridCol w:w="1138"/>
      </w:tblGrid>
      <w:tr w:rsidR="00E0181F" w:rsidRPr="001D5327" w14:paraId="08FCED7A" w14:textId="77777777" w:rsidTr="00D11AC9">
        <w:trPr>
          <w:tblHeader/>
        </w:trPr>
        <w:tc>
          <w:tcPr>
            <w:tcW w:w="2122" w:type="dxa"/>
            <w:shd w:val="clear" w:color="auto" w:fill="1B556B"/>
            <w:tcMar>
              <w:top w:w="0" w:type="dxa"/>
              <w:left w:w="85" w:type="dxa"/>
              <w:bottom w:w="0" w:type="dxa"/>
              <w:right w:w="85" w:type="dxa"/>
            </w:tcMar>
            <w:vAlign w:val="center"/>
          </w:tcPr>
          <w:p w14:paraId="146B10FA" w14:textId="77777777" w:rsidR="00E0181F" w:rsidRPr="001D5327" w:rsidRDefault="00E0181F" w:rsidP="00D11AC9">
            <w:pPr>
              <w:pStyle w:val="TableTextBold"/>
              <w:spacing w:before="40" w:after="40"/>
              <w:rPr>
                <w:noProof w:val="0"/>
                <w:color w:val="FFFFFF" w:themeColor="background1"/>
              </w:rPr>
            </w:pPr>
          </w:p>
        </w:tc>
        <w:tc>
          <w:tcPr>
            <w:tcW w:w="1417" w:type="dxa"/>
            <w:shd w:val="clear" w:color="auto" w:fill="1B556B"/>
            <w:tcMar>
              <w:top w:w="0" w:type="dxa"/>
              <w:left w:w="85" w:type="dxa"/>
              <w:bottom w:w="0" w:type="dxa"/>
              <w:right w:w="85" w:type="dxa"/>
            </w:tcMar>
            <w:vAlign w:val="center"/>
          </w:tcPr>
          <w:p w14:paraId="6A76F905"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2024 submission</w:t>
            </w:r>
          </w:p>
        </w:tc>
        <w:tc>
          <w:tcPr>
            <w:tcW w:w="1559" w:type="dxa"/>
            <w:shd w:val="clear" w:color="auto" w:fill="1B556B"/>
            <w:tcMar>
              <w:top w:w="0" w:type="dxa"/>
              <w:left w:w="85" w:type="dxa"/>
              <w:bottom w:w="0" w:type="dxa"/>
              <w:right w:w="85" w:type="dxa"/>
            </w:tcMar>
            <w:vAlign w:val="center"/>
          </w:tcPr>
          <w:p w14:paraId="713C297A"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2025 submission</w:t>
            </w:r>
          </w:p>
        </w:tc>
        <w:tc>
          <w:tcPr>
            <w:tcW w:w="2268" w:type="dxa"/>
            <w:shd w:val="clear" w:color="auto" w:fill="1B556B"/>
            <w:tcMar>
              <w:top w:w="0" w:type="dxa"/>
              <w:left w:w="85" w:type="dxa"/>
              <w:bottom w:w="0" w:type="dxa"/>
              <w:right w:w="85" w:type="dxa"/>
            </w:tcMar>
            <w:vAlign w:val="center"/>
          </w:tcPr>
          <w:p w14:paraId="2C102668"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Change from 2024 submission</w:t>
            </w:r>
          </w:p>
        </w:tc>
        <w:tc>
          <w:tcPr>
            <w:tcW w:w="1138" w:type="dxa"/>
            <w:shd w:val="clear" w:color="auto" w:fill="1B556B"/>
            <w:tcMar>
              <w:top w:w="0" w:type="dxa"/>
              <w:left w:w="85" w:type="dxa"/>
              <w:bottom w:w="0" w:type="dxa"/>
              <w:right w:w="85" w:type="dxa"/>
            </w:tcMar>
            <w:vAlign w:val="center"/>
          </w:tcPr>
          <w:p w14:paraId="029E2BA4"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Change (%)</w:t>
            </w:r>
          </w:p>
        </w:tc>
      </w:tr>
      <w:tr w:rsidR="00E0181F" w:rsidRPr="001D5327" w14:paraId="6E8EBC30" w14:textId="77777777" w:rsidTr="00D11AC9">
        <w:tc>
          <w:tcPr>
            <w:tcW w:w="2122" w:type="dxa"/>
            <w:shd w:val="clear" w:color="auto" w:fill="FFFFFF"/>
            <w:tcMar>
              <w:top w:w="0" w:type="dxa"/>
              <w:left w:w="85" w:type="dxa"/>
              <w:bottom w:w="0" w:type="dxa"/>
              <w:right w:w="85" w:type="dxa"/>
            </w:tcMar>
            <w:vAlign w:val="center"/>
          </w:tcPr>
          <w:p w14:paraId="6A2F0BF4" w14:textId="77777777" w:rsidR="00E0181F" w:rsidRPr="001D5327" w:rsidRDefault="00E0181F" w:rsidP="00D11AC9">
            <w:pPr>
              <w:pStyle w:val="Tableboldblue"/>
              <w:spacing w:before="40" w:after="40"/>
            </w:pPr>
            <w:r w:rsidRPr="001D5327">
              <w:rPr>
                <w:rFonts w:eastAsia="Calibri"/>
              </w:rPr>
              <w:t>Net emissions (kt CO</w:t>
            </w:r>
            <w:r w:rsidRPr="001D5327">
              <w:rPr>
                <w:rFonts w:eastAsia="Calibri"/>
                <w:vertAlign w:val="subscript"/>
              </w:rPr>
              <w:t>2</w:t>
            </w:r>
            <w:r w:rsidRPr="001D5327">
              <w:rPr>
                <w:rFonts w:eastAsia="Calibri"/>
              </w:rPr>
              <w:t>-e)</w:t>
            </w:r>
          </w:p>
        </w:tc>
        <w:tc>
          <w:tcPr>
            <w:tcW w:w="1417" w:type="dxa"/>
            <w:shd w:val="clear" w:color="auto" w:fill="FFFFFF"/>
            <w:tcMar>
              <w:top w:w="0" w:type="dxa"/>
              <w:left w:w="85" w:type="dxa"/>
              <w:bottom w:w="0" w:type="dxa"/>
              <w:right w:w="85" w:type="dxa"/>
            </w:tcMar>
            <w:vAlign w:val="center"/>
          </w:tcPr>
          <w:p w14:paraId="29EA8E09" w14:textId="77777777" w:rsidR="00E0181F" w:rsidRPr="001D5327" w:rsidRDefault="00E0181F" w:rsidP="00D11AC9">
            <w:pPr>
              <w:pStyle w:val="Tableboldblue"/>
              <w:spacing w:before="40" w:after="40"/>
              <w:jc w:val="right"/>
            </w:pPr>
          </w:p>
        </w:tc>
        <w:tc>
          <w:tcPr>
            <w:tcW w:w="1559" w:type="dxa"/>
            <w:shd w:val="clear" w:color="auto" w:fill="FFFFFF"/>
            <w:tcMar>
              <w:top w:w="0" w:type="dxa"/>
              <w:left w:w="85" w:type="dxa"/>
              <w:bottom w:w="0" w:type="dxa"/>
              <w:right w:w="85" w:type="dxa"/>
            </w:tcMar>
            <w:vAlign w:val="center"/>
          </w:tcPr>
          <w:p w14:paraId="2657CA3C" w14:textId="77777777" w:rsidR="00E0181F" w:rsidRPr="001D5327" w:rsidRDefault="00E0181F" w:rsidP="00D11AC9">
            <w:pPr>
              <w:pStyle w:val="Tableboldblue"/>
              <w:spacing w:before="40" w:after="40"/>
              <w:jc w:val="right"/>
            </w:pPr>
          </w:p>
        </w:tc>
        <w:tc>
          <w:tcPr>
            <w:tcW w:w="2268" w:type="dxa"/>
            <w:shd w:val="clear" w:color="auto" w:fill="FFFFFF"/>
            <w:tcMar>
              <w:top w:w="0" w:type="dxa"/>
              <w:left w:w="85" w:type="dxa"/>
              <w:bottom w:w="0" w:type="dxa"/>
              <w:right w:w="85" w:type="dxa"/>
            </w:tcMar>
            <w:vAlign w:val="center"/>
          </w:tcPr>
          <w:p w14:paraId="10F626E8" w14:textId="77777777" w:rsidR="00E0181F" w:rsidRPr="001D5327" w:rsidRDefault="00E0181F" w:rsidP="00D11AC9">
            <w:pPr>
              <w:pStyle w:val="Tableboldblue"/>
              <w:spacing w:before="40" w:after="40"/>
              <w:jc w:val="right"/>
            </w:pPr>
          </w:p>
        </w:tc>
        <w:tc>
          <w:tcPr>
            <w:tcW w:w="1138" w:type="dxa"/>
            <w:shd w:val="clear" w:color="auto" w:fill="FFFFFF"/>
            <w:tcMar>
              <w:top w:w="0" w:type="dxa"/>
              <w:left w:w="85" w:type="dxa"/>
              <w:bottom w:w="0" w:type="dxa"/>
              <w:right w:w="85" w:type="dxa"/>
            </w:tcMar>
            <w:vAlign w:val="center"/>
          </w:tcPr>
          <w:p w14:paraId="4E3F5438" w14:textId="77777777" w:rsidR="00E0181F" w:rsidRPr="001D5327" w:rsidRDefault="00E0181F" w:rsidP="00D11AC9">
            <w:pPr>
              <w:pStyle w:val="Tableboldblue"/>
              <w:spacing w:before="40" w:after="40"/>
              <w:jc w:val="right"/>
            </w:pPr>
          </w:p>
        </w:tc>
      </w:tr>
      <w:tr w:rsidR="00E0181F" w:rsidRPr="001D5327" w14:paraId="6607216B" w14:textId="77777777" w:rsidTr="00D11AC9">
        <w:tc>
          <w:tcPr>
            <w:tcW w:w="2122" w:type="dxa"/>
            <w:shd w:val="clear" w:color="auto" w:fill="FFFFFF"/>
            <w:tcMar>
              <w:top w:w="0" w:type="dxa"/>
              <w:left w:w="85" w:type="dxa"/>
              <w:bottom w:w="0" w:type="dxa"/>
              <w:right w:w="85" w:type="dxa"/>
            </w:tcMar>
            <w:vAlign w:val="center"/>
          </w:tcPr>
          <w:p w14:paraId="74D66117" w14:textId="77777777" w:rsidR="00E0181F" w:rsidRPr="001D5327" w:rsidRDefault="00E0181F" w:rsidP="00D11AC9">
            <w:pPr>
              <w:pStyle w:val="TableText"/>
              <w:spacing w:before="40" w:after="40"/>
            </w:pPr>
            <w:r w:rsidRPr="001D5327">
              <w:rPr>
                <w:rFonts w:eastAsia="Calibri"/>
              </w:rPr>
              <w:t>1990</w:t>
            </w:r>
          </w:p>
        </w:tc>
        <w:tc>
          <w:tcPr>
            <w:tcW w:w="1417" w:type="dxa"/>
            <w:shd w:val="clear" w:color="auto" w:fill="FFFFFF"/>
            <w:tcMar>
              <w:top w:w="0" w:type="dxa"/>
              <w:left w:w="85" w:type="dxa"/>
              <w:bottom w:w="0" w:type="dxa"/>
              <w:right w:w="85" w:type="dxa"/>
            </w:tcMar>
            <w:vAlign w:val="center"/>
          </w:tcPr>
          <w:p w14:paraId="5F579FAC" w14:textId="75D99DEB" w:rsidR="00E0181F" w:rsidRPr="001D5327" w:rsidRDefault="0070503C" w:rsidP="00D11AC9">
            <w:pPr>
              <w:pStyle w:val="TableText"/>
              <w:spacing w:before="40" w:after="40"/>
              <w:jc w:val="right"/>
            </w:pPr>
            <w:r>
              <w:rPr>
                <w:rFonts w:eastAsia="Calibri"/>
              </w:rPr>
              <w:t>-</w:t>
            </w:r>
            <w:r w:rsidR="00E0181F" w:rsidRPr="001D5327">
              <w:rPr>
                <w:rFonts w:eastAsia="Calibri"/>
              </w:rPr>
              <w:t>2,437.8</w:t>
            </w:r>
          </w:p>
        </w:tc>
        <w:tc>
          <w:tcPr>
            <w:tcW w:w="1559" w:type="dxa"/>
            <w:shd w:val="clear" w:color="auto" w:fill="FFFFFF"/>
            <w:tcMar>
              <w:top w:w="0" w:type="dxa"/>
              <w:left w:w="85" w:type="dxa"/>
              <w:bottom w:w="0" w:type="dxa"/>
              <w:right w:w="85" w:type="dxa"/>
            </w:tcMar>
            <w:vAlign w:val="center"/>
          </w:tcPr>
          <w:p w14:paraId="3F956E1D" w14:textId="74EFB7AB" w:rsidR="00E0181F" w:rsidRPr="001D5327" w:rsidRDefault="0070503C" w:rsidP="00D11AC9">
            <w:pPr>
              <w:pStyle w:val="TableText"/>
              <w:spacing w:before="40" w:after="40"/>
              <w:jc w:val="right"/>
            </w:pPr>
            <w:r>
              <w:rPr>
                <w:rFonts w:eastAsia="Calibri"/>
              </w:rPr>
              <w:t>-</w:t>
            </w:r>
            <w:r w:rsidR="00E0181F" w:rsidRPr="001D5327">
              <w:rPr>
                <w:rFonts w:eastAsia="Calibri"/>
              </w:rPr>
              <w:t>2,437.8</w:t>
            </w:r>
          </w:p>
        </w:tc>
        <w:tc>
          <w:tcPr>
            <w:tcW w:w="2268" w:type="dxa"/>
            <w:shd w:val="clear" w:color="auto" w:fill="FFFFFF"/>
            <w:tcMar>
              <w:top w:w="0" w:type="dxa"/>
              <w:left w:w="85" w:type="dxa"/>
              <w:bottom w:w="0" w:type="dxa"/>
              <w:right w:w="85" w:type="dxa"/>
            </w:tcMar>
            <w:vAlign w:val="center"/>
          </w:tcPr>
          <w:p w14:paraId="62AE2633" w14:textId="77777777" w:rsidR="00E0181F" w:rsidRPr="001D5327" w:rsidRDefault="00E0181F" w:rsidP="00D11AC9">
            <w:pPr>
              <w:pStyle w:val="TableText"/>
              <w:spacing w:before="40" w:after="40"/>
              <w:jc w:val="right"/>
            </w:pPr>
            <w:r w:rsidRPr="001D5327">
              <w:rPr>
                <w:rFonts w:eastAsia="Calibri"/>
              </w:rPr>
              <w:t>0.0</w:t>
            </w:r>
          </w:p>
        </w:tc>
        <w:tc>
          <w:tcPr>
            <w:tcW w:w="1138" w:type="dxa"/>
            <w:shd w:val="clear" w:color="auto" w:fill="FFFFFF"/>
            <w:tcMar>
              <w:top w:w="0" w:type="dxa"/>
              <w:left w:w="85" w:type="dxa"/>
              <w:bottom w:w="0" w:type="dxa"/>
              <w:right w:w="85" w:type="dxa"/>
            </w:tcMar>
            <w:vAlign w:val="center"/>
          </w:tcPr>
          <w:p w14:paraId="4DFC604C" w14:textId="77777777" w:rsidR="00E0181F" w:rsidRPr="001D5327" w:rsidRDefault="00E0181F" w:rsidP="00D11AC9">
            <w:pPr>
              <w:pStyle w:val="TableText"/>
              <w:spacing w:before="40" w:after="40"/>
              <w:jc w:val="right"/>
            </w:pPr>
            <w:r w:rsidRPr="001D5327">
              <w:rPr>
                <w:rFonts w:eastAsia="Calibri"/>
              </w:rPr>
              <w:t>0.0</w:t>
            </w:r>
          </w:p>
        </w:tc>
      </w:tr>
      <w:tr w:rsidR="00E0181F" w:rsidRPr="001D5327" w14:paraId="567D20A9" w14:textId="77777777" w:rsidTr="00D11AC9">
        <w:tc>
          <w:tcPr>
            <w:tcW w:w="2122" w:type="dxa"/>
            <w:shd w:val="clear" w:color="auto" w:fill="FFFFFF"/>
            <w:tcMar>
              <w:top w:w="0" w:type="dxa"/>
              <w:left w:w="85" w:type="dxa"/>
              <w:bottom w:w="0" w:type="dxa"/>
              <w:right w:w="85" w:type="dxa"/>
            </w:tcMar>
            <w:vAlign w:val="center"/>
          </w:tcPr>
          <w:p w14:paraId="3A99EF98" w14:textId="77777777" w:rsidR="00E0181F" w:rsidRPr="001D5327" w:rsidRDefault="00E0181F" w:rsidP="00D11AC9">
            <w:pPr>
              <w:pStyle w:val="TableText"/>
              <w:spacing w:before="40" w:after="40"/>
            </w:pPr>
            <w:r w:rsidRPr="001D5327">
              <w:rPr>
                <w:rFonts w:eastAsia="Calibri"/>
              </w:rPr>
              <w:t>2022</w:t>
            </w:r>
          </w:p>
        </w:tc>
        <w:tc>
          <w:tcPr>
            <w:tcW w:w="1417" w:type="dxa"/>
            <w:shd w:val="clear" w:color="auto" w:fill="FFFFFF"/>
            <w:tcMar>
              <w:top w:w="0" w:type="dxa"/>
              <w:left w:w="85" w:type="dxa"/>
              <w:bottom w:w="0" w:type="dxa"/>
              <w:right w:w="85" w:type="dxa"/>
            </w:tcMar>
            <w:vAlign w:val="center"/>
          </w:tcPr>
          <w:p w14:paraId="3E897F5F" w14:textId="0472D0AA" w:rsidR="00E0181F" w:rsidRPr="001D5327" w:rsidRDefault="0070503C" w:rsidP="00D11AC9">
            <w:pPr>
              <w:pStyle w:val="TableText"/>
              <w:spacing w:before="40" w:after="40"/>
              <w:jc w:val="right"/>
            </w:pPr>
            <w:r>
              <w:rPr>
                <w:rFonts w:eastAsia="Calibri"/>
              </w:rPr>
              <w:t>-</w:t>
            </w:r>
            <w:r w:rsidR="00E0181F" w:rsidRPr="001D5327">
              <w:rPr>
                <w:rFonts w:eastAsia="Calibri"/>
              </w:rPr>
              <w:t>6,582.3</w:t>
            </w:r>
          </w:p>
        </w:tc>
        <w:tc>
          <w:tcPr>
            <w:tcW w:w="1559" w:type="dxa"/>
            <w:shd w:val="clear" w:color="auto" w:fill="FFFFFF"/>
            <w:tcMar>
              <w:top w:w="0" w:type="dxa"/>
              <w:left w:w="85" w:type="dxa"/>
              <w:bottom w:w="0" w:type="dxa"/>
              <w:right w:w="85" w:type="dxa"/>
            </w:tcMar>
            <w:vAlign w:val="center"/>
          </w:tcPr>
          <w:p w14:paraId="3BE84198" w14:textId="1271AE54" w:rsidR="00E0181F" w:rsidRPr="001D5327" w:rsidRDefault="0070503C" w:rsidP="00D11AC9">
            <w:pPr>
              <w:pStyle w:val="TableText"/>
              <w:spacing w:before="40" w:after="40"/>
              <w:jc w:val="right"/>
            </w:pPr>
            <w:r>
              <w:rPr>
                <w:rFonts w:eastAsia="Calibri"/>
              </w:rPr>
              <w:t>-</w:t>
            </w:r>
            <w:r w:rsidR="00E0181F" w:rsidRPr="001D5327">
              <w:rPr>
                <w:rFonts w:eastAsia="Calibri"/>
              </w:rPr>
              <w:t>6,582.3</w:t>
            </w:r>
          </w:p>
        </w:tc>
        <w:tc>
          <w:tcPr>
            <w:tcW w:w="2268" w:type="dxa"/>
            <w:shd w:val="clear" w:color="auto" w:fill="FFFFFF"/>
            <w:tcMar>
              <w:top w:w="0" w:type="dxa"/>
              <w:left w:w="85" w:type="dxa"/>
              <w:bottom w:w="0" w:type="dxa"/>
              <w:right w:w="85" w:type="dxa"/>
            </w:tcMar>
            <w:vAlign w:val="center"/>
          </w:tcPr>
          <w:p w14:paraId="58293524" w14:textId="77777777" w:rsidR="00E0181F" w:rsidRPr="001D5327" w:rsidRDefault="00E0181F" w:rsidP="00D11AC9">
            <w:pPr>
              <w:pStyle w:val="TableText"/>
              <w:spacing w:before="40" w:after="40"/>
              <w:jc w:val="right"/>
            </w:pPr>
            <w:r w:rsidRPr="001D5327">
              <w:rPr>
                <w:rFonts w:eastAsia="Calibri"/>
              </w:rPr>
              <w:t>0.0</w:t>
            </w:r>
          </w:p>
        </w:tc>
        <w:tc>
          <w:tcPr>
            <w:tcW w:w="1138" w:type="dxa"/>
            <w:shd w:val="clear" w:color="auto" w:fill="FFFFFF"/>
            <w:tcMar>
              <w:top w:w="0" w:type="dxa"/>
              <w:left w:w="85" w:type="dxa"/>
              <w:bottom w:w="0" w:type="dxa"/>
              <w:right w:w="85" w:type="dxa"/>
            </w:tcMar>
            <w:vAlign w:val="center"/>
          </w:tcPr>
          <w:p w14:paraId="3FE88683" w14:textId="77777777" w:rsidR="00E0181F" w:rsidRPr="001D5327" w:rsidRDefault="00E0181F" w:rsidP="00D11AC9">
            <w:pPr>
              <w:pStyle w:val="TableText"/>
              <w:spacing w:before="40" w:after="40"/>
              <w:jc w:val="right"/>
            </w:pPr>
            <w:r w:rsidRPr="001D5327">
              <w:rPr>
                <w:rFonts w:eastAsia="Calibri"/>
              </w:rPr>
              <w:t>0.0</w:t>
            </w:r>
          </w:p>
        </w:tc>
      </w:tr>
    </w:tbl>
    <w:p w14:paraId="195AE1C4" w14:textId="77777777" w:rsidR="00E0181F" w:rsidRPr="001D5327" w:rsidRDefault="00E0181F" w:rsidP="00E0181F">
      <w:pPr>
        <w:pStyle w:val="Heading3"/>
        <w:tabs>
          <w:tab w:val="clear" w:pos="851"/>
          <w:tab w:val="left" w:pos="993"/>
        </w:tabs>
        <w:spacing w:before="400"/>
      </w:pPr>
      <w:r w:rsidRPr="001D5327">
        <w:t>6.10.6</w:t>
      </w:r>
      <w:r w:rsidRPr="001D5327">
        <w:tab/>
        <w:t>Category-specific planned improvements</w:t>
      </w:r>
    </w:p>
    <w:p w14:paraId="4E93E508" w14:textId="77777777" w:rsidR="00E0181F" w:rsidRPr="001D5327" w:rsidRDefault="00E0181F" w:rsidP="00900ECB">
      <w:pPr>
        <w:pStyle w:val="BodyText"/>
        <w:spacing w:before="80" w:after="100"/>
      </w:pPr>
      <w:r w:rsidRPr="001D5327">
        <w:rPr>
          <w:rFonts w:asciiTheme="minorHAnsi" w:hAnsiTheme="minorHAnsi" w:cstheme="minorHAnsi"/>
          <w:color w:val="000000" w:themeColor="text1"/>
        </w:rPr>
        <w:t>Data are now available on country-specific end-use products and half-lives of roundwood logs processed and consumed in New Zealand (Wekesa, 2022; Wekesa et al., 2022). These data should be incorporated into the uncertainty model to improve the accuracy of estimates. This enhancement should be prioritised for inclusion in future submissions.</w:t>
      </w:r>
      <w:r w:rsidRPr="001D5327">
        <w:rPr>
          <w:rFonts w:asciiTheme="minorHAnsi" w:hAnsiTheme="minorHAnsi" w:cstheme="minorHAnsi"/>
          <w:bCs/>
          <w:color w:val="000000" w:themeColor="text1"/>
        </w:rPr>
        <w:t xml:space="preserve"> </w:t>
      </w:r>
      <w:bookmarkStart w:id="2720" w:name="_Toc522013958"/>
      <w:bookmarkStart w:id="2721" w:name="_Toc5269383"/>
      <w:bookmarkStart w:id="2722" w:name="_Toc36224423"/>
      <w:bookmarkStart w:id="2723" w:name="_Toc131591257"/>
    </w:p>
    <w:p w14:paraId="1AC65307" w14:textId="77777777" w:rsidR="00E0181F" w:rsidRPr="001D5327" w:rsidRDefault="00E0181F" w:rsidP="00900ECB">
      <w:pPr>
        <w:pStyle w:val="Heading2"/>
        <w:spacing w:before="240"/>
      </w:pPr>
      <w:bookmarkStart w:id="2724" w:name="_Toc158980304"/>
      <w:bookmarkStart w:id="2725" w:name="_Toc164154212"/>
      <w:bookmarkStart w:id="2726" w:name="_Toc194312037"/>
      <w:r w:rsidRPr="001D5327">
        <w:t>6.11</w:t>
      </w:r>
      <w:r w:rsidRPr="001D5327">
        <w:tab/>
        <w:t>Non-CO</w:t>
      </w:r>
      <w:r w:rsidRPr="001D5327">
        <w:rPr>
          <w:vertAlign w:val="subscript"/>
        </w:rPr>
        <w:t>2</w:t>
      </w:r>
      <w:r w:rsidRPr="001D5327">
        <w:t xml:space="preserve"> emissions (4(I–IV))</w:t>
      </w:r>
      <w:bookmarkEnd w:id="2720"/>
      <w:bookmarkEnd w:id="2721"/>
      <w:bookmarkEnd w:id="2722"/>
      <w:bookmarkEnd w:id="2723"/>
      <w:bookmarkEnd w:id="2724"/>
      <w:bookmarkEnd w:id="2725"/>
      <w:bookmarkEnd w:id="2726"/>
    </w:p>
    <w:p w14:paraId="456BF554" w14:textId="77777777" w:rsidR="00E0181F" w:rsidRPr="001D5327" w:rsidRDefault="00E0181F" w:rsidP="00900ECB">
      <w:pPr>
        <w:pStyle w:val="BodyText"/>
        <w:spacing w:before="80"/>
      </w:pPr>
      <w:bookmarkStart w:id="2727" w:name="_Toc280630350"/>
      <w:r w:rsidRPr="001D5327">
        <w:t>In 2023, net N</w:t>
      </w:r>
      <w:r w:rsidRPr="001D5327">
        <w:rPr>
          <w:vertAlign w:val="subscript"/>
        </w:rPr>
        <w:t>2</w:t>
      </w:r>
      <w:r w:rsidRPr="001D5327">
        <w:t>O emissions from soils associated with land-use change reported in the LULUCF sector were 242.8 kt CO</w:t>
      </w:r>
      <w:r w:rsidRPr="001D5327">
        <w:rPr>
          <w:vertAlign w:val="subscript"/>
        </w:rPr>
        <w:t>2</w:t>
      </w:r>
      <w:r w:rsidRPr="001D5327">
        <w:t>-e (see table 6.11.1). This is 26.4 kt CO</w:t>
      </w:r>
      <w:r w:rsidRPr="001D5327">
        <w:rPr>
          <w:vertAlign w:val="subscript"/>
        </w:rPr>
        <w:t>2</w:t>
      </w:r>
      <w:r w:rsidRPr="001D5327">
        <w:t>-e (9.8 per cent) lower than the 1990 level of 269.2 kt CO</w:t>
      </w:r>
      <w:r w:rsidRPr="001D5327">
        <w:rPr>
          <w:vertAlign w:val="subscript"/>
        </w:rPr>
        <w:t>2</w:t>
      </w:r>
      <w:r w:rsidRPr="001D5327">
        <w:t>-e. This is primarily due to a reduction in direct emissions from nitrogen mineralisation/immobilisation.</w:t>
      </w:r>
    </w:p>
    <w:p w14:paraId="59AF83C9" w14:textId="77777777" w:rsidR="00E0181F" w:rsidRPr="001D5327" w:rsidRDefault="00E0181F" w:rsidP="00E0181F">
      <w:pPr>
        <w:pStyle w:val="Table"/>
      </w:pPr>
      <w:bookmarkStart w:id="2728" w:name="_Toc131591428"/>
      <w:bookmarkStart w:id="2729" w:name="_Toc158979986"/>
      <w:bookmarkStart w:id="2730" w:name="_Toc164153919"/>
      <w:bookmarkStart w:id="2731" w:name="_Toc190873153"/>
      <w:bookmarkStart w:id="2732" w:name="_Toc194241792"/>
      <w:r w:rsidRPr="001D5327">
        <w:t>Table 6.11.1</w:t>
      </w:r>
      <w:r w:rsidRPr="001D5327">
        <w:tab/>
        <w:t>Nitrous oxide emissions from soils associated with land-use change reported in the LULUCF sector, from 1990 to </w:t>
      </w:r>
      <w:bookmarkEnd w:id="2728"/>
      <w:bookmarkEnd w:id="2729"/>
      <w:bookmarkEnd w:id="2730"/>
      <w:r w:rsidRPr="001D5327">
        <w:t>2023</w:t>
      </w:r>
      <w:bookmarkEnd w:id="2731"/>
      <w:bookmarkEnd w:id="2732"/>
    </w:p>
    <w:tbl>
      <w:tblPr>
        <w:tblW w:w="8506"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3119"/>
        <w:gridCol w:w="851"/>
        <w:gridCol w:w="850"/>
        <w:gridCol w:w="992"/>
        <w:gridCol w:w="993"/>
        <w:gridCol w:w="1701"/>
      </w:tblGrid>
      <w:tr w:rsidR="00E0181F" w:rsidRPr="001D5327" w14:paraId="7525053B" w14:textId="77777777" w:rsidTr="00900ECB">
        <w:trPr>
          <w:tblHeader/>
        </w:trPr>
        <w:tc>
          <w:tcPr>
            <w:tcW w:w="3119" w:type="dxa"/>
            <w:shd w:val="clear" w:color="auto" w:fill="1B556B"/>
            <w:tcMar>
              <w:top w:w="0" w:type="dxa"/>
              <w:left w:w="85" w:type="dxa"/>
              <w:bottom w:w="0" w:type="dxa"/>
              <w:right w:w="85" w:type="dxa"/>
            </w:tcMar>
            <w:vAlign w:val="center"/>
          </w:tcPr>
          <w:p w14:paraId="3D5FA1EB" w14:textId="77777777" w:rsidR="00E0181F" w:rsidRPr="001D5327" w:rsidRDefault="00E0181F" w:rsidP="00D11AC9">
            <w:pPr>
              <w:pStyle w:val="TableTextBold"/>
              <w:spacing w:before="40" w:after="40"/>
              <w:rPr>
                <w:noProof w:val="0"/>
                <w:color w:val="FFFFFF" w:themeColor="background1"/>
              </w:rPr>
            </w:pPr>
          </w:p>
        </w:tc>
        <w:tc>
          <w:tcPr>
            <w:tcW w:w="1701" w:type="dxa"/>
            <w:gridSpan w:val="2"/>
            <w:shd w:val="clear" w:color="auto" w:fill="1B556B"/>
            <w:tcMar>
              <w:top w:w="0" w:type="dxa"/>
              <w:left w:w="85" w:type="dxa"/>
              <w:bottom w:w="0" w:type="dxa"/>
              <w:right w:w="85" w:type="dxa"/>
            </w:tcMar>
            <w:vAlign w:val="center"/>
          </w:tcPr>
          <w:p w14:paraId="18D37D6E"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noProof w:val="0"/>
                <w:color w:val="FFFFFF" w:themeColor="background1"/>
              </w:rPr>
              <w:t>Net emissions (kt N₂O)</w:t>
            </w:r>
          </w:p>
        </w:tc>
        <w:tc>
          <w:tcPr>
            <w:tcW w:w="1985" w:type="dxa"/>
            <w:gridSpan w:val="2"/>
            <w:shd w:val="clear" w:color="auto" w:fill="1B556B"/>
            <w:tcMar>
              <w:top w:w="0" w:type="dxa"/>
              <w:left w:w="85" w:type="dxa"/>
              <w:bottom w:w="0" w:type="dxa"/>
              <w:right w:w="85" w:type="dxa"/>
            </w:tcMar>
            <w:vAlign w:val="center"/>
          </w:tcPr>
          <w:p w14:paraId="047F9C43" w14:textId="77777777" w:rsidR="00E0181F" w:rsidRPr="001D5327" w:rsidRDefault="00E0181F" w:rsidP="00D11AC9">
            <w:pPr>
              <w:pStyle w:val="TableTextBold"/>
              <w:spacing w:before="40" w:after="40"/>
              <w:jc w:val="center"/>
              <w:rPr>
                <w:noProof w:val="0"/>
                <w:color w:val="FFFFFF" w:themeColor="background1"/>
              </w:rPr>
            </w:pPr>
            <w:r w:rsidRPr="001D5327">
              <w:rPr>
                <w:rFonts w:eastAsia="Calibri"/>
                <w:noProof w:val="0"/>
                <w:color w:val="FFFFFF" w:themeColor="background1"/>
              </w:rPr>
              <w:t>Net emissions (kt CO₂-e)</w:t>
            </w:r>
          </w:p>
        </w:tc>
        <w:tc>
          <w:tcPr>
            <w:tcW w:w="1701" w:type="dxa"/>
            <w:shd w:val="clear" w:color="auto" w:fill="1B556B"/>
            <w:tcMar>
              <w:top w:w="0" w:type="dxa"/>
              <w:left w:w="85" w:type="dxa"/>
              <w:bottom w:w="0" w:type="dxa"/>
              <w:right w:w="85" w:type="dxa"/>
            </w:tcMar>
            <w:vAlign w:val="center"/>
          </w:tcPr>
          <w:p w14:paraId="2E9A6BC4" w14:textId="77777777" w:rsidR="00E0181F" w:rsidRPr="001D5327" w:rsidRDefault="00E0181F" w:rsidP="00D11AC9">
            <w:pPr>
              <w:pStyle w:val="TableTextBold"/>
              <w:spacing w:before="40" w:after="40"/>
              <w:jc w:val="right"/>
              <w:rPr>
                <w:noProof w:val="0"/>
                <w:color w:val="FFFFFF" w:themeColor="background1"/>
              </w:rPr>
            </w:pPr>
          </w:p>
        </w:tc>
      </w:tr>
      <w:tr w:rsidR="00900ECB" w:rsidRPr="001D5327" w14:paraId="60EE4284" w14:textId="77777777" w:rsidTr="00900ECB">
        <w:trPr>
          <w:tblHeader/>
        </w:trPr>
        <w:tc>
          <w:tcPr>
            <w:tcW w:w="3119" w:type="dxa"/>
            <w:shd w:val="clear" w:color="auto" w:fill="1B556B"/>
            <w:tcMar>
              <w:top w:w="0" w:type="dxa"/>
              <w:left w:w="85" w:type="dxa"/>
              <w:bottom w:w="0" w:type="dxa"/>
              <w:right w:w="85" w:type="dxa"/>
            </w:tcMar>
            <w:vAlign w:val="center"/>
          </w:tcPr>
          <w:p w14:paraId="2846B021" w14:textId="77777777" w:rsidR="00E0181F" w:rsidRPr="001D5327" w:rsidRDefault="00E0181F" w:rsidP="004B61E3">
            <w:pPr>
              <w:pStyle w:val="TableTextBold"/>
              <w:spacing w:before="0" w:after="40"/>
              <w:rPr>
                <w:noProof w:val="0"/>
                <w:color w:val="FFFFFF" w:themeColor="background1"/>
              </w:rPr>
            </w:pPr>
            <w:r w:rsidRPr="001D5327">
              <w:rPr>
                <w:rFonts w:eastAsia="Calibri"/>
                <w:noProof w:val="0"/>
                <w:color w:val="FFFFFF" w:themeColor="background1"/>
              </w:rPr>
              <w:t>Emissions source</w:t>
            </w:r>
          </w:p>
        </w:tc>
        <w:tc>
          <w:tcPr>
            <w:tcW w:w="851" w:type="dxa"/>
            <w:shd w:val="clear" w:color="auto" w:fill="1B556B"/>
            <w:tcMar>
              <w:top w:w="0" w:type="dxa"/>
              <w:left w:w="85" w:type="dxa"/>
              <w:bottom w:w="0" w:type="dxa"/>
              <w:right w:w="85" w:type="dxa"/>
            </w:tcMar>
            <w:vAlign w:val="center"/>
          </w:tcPr>
          <w:p w14:paraId="3ADFBA08" w14:textId="77777777" w:rsidR="00E0181F" w:rsidRPr="001D5327" w:rsidRDefault="00E0181F" w:rsidP="004B61E3">
            <w:pPr>
              <w:pStyle w:val="TableTextBold"/>
              <w:spacing w:before="0" w:after="40"/>
              <w:jc w:val="right"/>
              <w:rPr>
                <w:noProof w:val="0"/>
                <w:color w:val="FFFFFF" w:themeColor="background1"/>
              </w:rPr>
            </w:pPr>
            <w:r w:rsidRPr="001D5327">
              <w:rPr>
                <w:rFonts w:eastAsia="Calibri"/>
                <w:noProof w:val="0"/>
                <w:color w:val="FFFFFF" w:themeColor="background1"/>
              </w:rPr>
              <w:t>1990</w:t>
            </w:r>
          </w:p>
        </w:tc>
        <w:tc>
          <w:tcPr>
            <w:tcW w:w="850" w:type="dxa"/>
            <w:shd w:val="clear" w:color="auto" w:fill="1B556B"/>
            <w:tcMar>
              <w:top w:w="0" w:type="dxa"/>
              <w:left w:w="85" w:type="dxa"/>
              <w:bottom w:w="0" w:type="dxa"/>
              <w:right w:w="85" w:type="dxa"/>
            </w:tcMar>
            <w:vAlign w:val="center"/>
          </w:tcPr>
          <w:p w14:paraId="33F088CB" w14:textId="77777777" w:rsidR="00E0181F" w:rsidRPr="001D5327" w:rsidRDefault="00E0181F" w:rsidP="004B61E3">
            <w:pPr>
              <w:pStyle w:val="TableTextBold"/>
              <w:spacing w:before="0" w:after="40"/>
              <w:jc w:val="right"/>
              <w:rPr>
                <w:noProof w:val="0"/>
                <w:color w:val="FFFFFF" w:themeColor="background1"/>
              </w:rPr>
            </w:pPr>
            <w:r w:rsidRPr="001D5327">
              <w:rPr>
                <w:rFonts w:eastAsia="Calibri"/>
                <w:noProof w:val="0"/>
                <w:color w:val="FFFFFF" w:themeColor="background1"/>
              </w:rPr>
              <w:t>2023</w:t>
            </w:r>
          </w:p>
        </w:tc>
        <w:tc>
          <w:tcPr>
            <w:tcW w:w="992" w:type="dxa"/>
            <w:shd w:val="clear" w:color="auto" w:fill="1B556B"/>
            <w:tcMar>
              <w:top w:w="0" w:type="dxa"/>
              <w:left w:w="85" w:type="dxa"/>
              <w:bottom w:w="0" w:type="dxa"/>
              <w:right w:w="85" w:type="dxa"/>
            </w:tcMar>
            <w:vAlign w:val="center"/>
          </w:tcPr>
          <w:p w14:paraId="2DBC9CF4" w14:textId="77777777" w:rsidR="00E0181F" w:rsidRPr="001D5327" w:rsidRDefault="00E0181F" w:rsidP="004B61E3">
            <w:pPr>
              <w:pStyle w:val="TableTextBold"/>
              <w:spacing w:before="0" w:after="40"/>
              <w:jc w:val="right"/>
              <w:rPr>
                <w:noProof w:val="0"/>
                <w:color w:val="FFFFFF" w:themeColor="background1"/>
              </w:rPr>
            </w:pPr>
            <w:r w:rsidRPr="001D5327">
              <w:rPr>
                <w:rFonts w:eastAsia="Calibri"/>
                <w:noProof w:val="0"/>
                <w:color w:val="FFFFFF" w:themeColor="background1"/>
              </w:rPr>
              <w:t>1990</w:t>
            </w:r>
          </w:p>
        </w:tc>
        <w:tc>
          <w:tcPr>
            <w:tcW w:w="993" w:type="dxa"/>
            <w:shd w:val="clear" w:color="auto" w:fill="1B556B"/>
            <w:tcMar>
              <w:top w:w="0" w:type="dxa"/>
              <w:left w:w="85" w:type="dxa"/>
              <w:bottom w:w="0" w:type="dxa"/>
              <w:right w:w="85" w:type="dxa"/>
            </w:tcMar>
            <w:vAlign w:val="center"/>
          </w:tcPr>
          <w:p w14:paraId="37DE01E0" w14:textId="77777777" w:rsidR="00E0181F" w:rsidRPr="001D5327" w:rsidRDefault="00E0181F" w:rsidP="004B61E3">
            <w:pPr>
              <w:pStyle w:val="TableTextBold"/>
              <w:spacing w:before="0" w:after="40"/>
              <w:jc w:val="right"/>
              <w:rPr>
                <w:noProof w:val="0"/>
                <w:color w:val="FFFFFF" w:themeColor="background1"/>
              </w:rPr>
            </w:pPr>
            <w:r w:rsidRPr="001D5327">
              <w:rPr>
                <w:rFonts w:eastAsia="Calibri"/>
                <w:noProof w:val="0"/>
                <w:color w:val="FFFFFF" w:themeColor="background1"/>
              </w:rPr>
              <w:t>2023</w:t>
            </w:r>
          </w:p>
        </w:tc>
        <w:tc>
          <w:tcPr>
            <w:tcW w:w="1701" w:type="dxa"/>
            <w:shd w:val="clear" w:color="auto" w:fill="1B556B"/>
            <w:tcMar>
              <w:top w:w="0" w:type="dxa"/>
              <w:left w:w="85" w:type="dxa"/>
              <w:bottom w:w="0" w:type="dxa"/>
              <w:right w:w="85" w:type="dxa"/>
            </w:tcMar>
            <w:vAlign w:val="center"/>
          </w:tcPr>
          <w:p w14:paraId="5AFAC1EB" w14:textId="77777777" w:rsidR="00E0181F" w:rsidRPr="001D5327" w:rsidRDefault="00E0181F" w:rsidP="004B61E3">
            <w:pPr>
              <w:pStyle w:val="TableTextBold"/>
              <w:spacing w:before="0" w:after="40"/>
              <w:jc w:val="right"/>
              <w:rPr>
                <w:noProof w:val="0"/>
                <w:color w:val="FFFFFF" w:themeColor="background1"/>
              </w:rPr>
            </w:pPr>
            <w:r w:rsidRPr="001D5327">
              <w:rPr>
                <w:rFonts w:eastAsia="Calibri"/>
                <w:noProof w:val="0"/>
                <w:color w:val="FFFFFF" w:themeColor="background1"/>
              </w:rPr>
              <w:t>Change from 1990 (%)</w:t>
            </w:r>
          </w:p>
        </w:tc>
      </w:tr>
      <w:tr w:rsidR="00E0181F" w:rsidRPr="001D5327" w14:paraId="60E183C7" w14:textId="77777777" w:rsidTr="00900ECB">
        <w:tc>
          <w:tcPr>
            <w:tcW w:w="3119" w:type="dxa"/>
            <w:shd w:val="clear" w:color="auto" w:fill="FFFFFF"/>
            <w:tcMar>
              <w:top w:w="0" w:type="dxa"/>
              <w:left w:w="85" w:type="dxa"/>
              <w:bottom w:w="0" w:type="dxa"/>
              <w:right w:w="85" w:type="dxa"/>
            </w:tcMar>
            <w:vAlign w:val="center"/>
          </w:tcPr>
          <w:p w14:paraId="2F7A9C3E" w14:textId="77777777" w:rsidR="00E0181F" w:rsidRPr="001D5327" w:rsidRDefault="00E0181F" w:rsidP="00D11AC9">
            <w:pPr>
              <w:pStyle w:val="TableText"/>
              <w:spacing w:before="40" w:after="40"/>
            </w:pPr>
            <w:r w:rsidRPr="001D5327">
              <w:rPr>
                <w:rFonts w:eastAsia="Calibri"/>
              </w:rPr>
              <w:t>Direct emissions from nitrogen mineralisation/immobilisation</w:t>
            </w:r>
          </w:p>
        </w:tc>
        <w:tc>
          <w:tcPr>
            <w:tcW w:w="851" w:type="dxa"/>
            <w:shd w:val="clear" w:color="auto" w:fill="FFFFFF"/>
            <w:tcMar>
              <w:top w:w="0" w:type="dxa"/>
              <w:left w:w="85" w:type="dxa"/>
              <w:bottom w:w="0" w:type="dxa"/>
              <w:right w:w="85" w:type="dxa"/>
            </w:tcMar>
            <w:vAlign w:val="bottom"/>
          </w:tcPr>
          <w:p w14:paraId="0DC8CBA5" w14:textId="77777777" w:rsidR="00E0181F" w:rsidRPr="001D5327" w:rsidRDefault="00E0181F" w:rsidP="00D11AC9">
            <w:pPr>
              <w:pStyle w:val="TableText"/>
              <w:spacing w:before="40" w:after="40"/>
              <w:jc w:val="right"/>
            </w:pPr>
            <w:r w:rsidRPr="001D5327">
              <w:rPr>
                <w:rFonts w:eastAsia="Calibri"/>
              </w:rPr>
              <w:t>0.6</w:t>
            </w:r>
          </w:p>
        </w:tc>
        <w:tc>
          <w:tcPr>
            <w:tcW w:w="850" w:type="dxa"/>
            <w:shd w:val="clear" w:color="auto" w:fill="FFFFFF"/>
            <w:tcMar>
              <w:top w:w="0" w:type="dxa"/>
              <w:left w:w="85" w:type="dxa"/>
              <w:bottom w:w="0" w:type="dxa"/>
              <w:right w:w="85" w:type="dxa"/>
            </w:tcMar>
            <w:vAlign w:val="bottom"/>
          </w:tcPr>
          <w:p w14:paraId="6B39399A" w14:textId="77777777" w:rsidR="00E0181F" w:rsidRPr="001D5327" w:rsidRDefault="00E0181F" w:rsidP="00D11AC9">
            <w:pPr>
              <w:pStyle w:val="TableText"/>
              <w:spacing w:before="40" w:after="40"/>
              <w:jc w:val="right"/>
            </w:pPr>
            <w:r w:rsidRPr="001D5327">
              <w:rPr>
                <w:rFonts w:eastAsia="Calibri"/>
              </w:rPr>
              <w:t>0.4</w:t>
            </w:r>
          </w:p>
        </w:tc>
        <w:tc>
          <w:tcPr>
            <w:tcW w:w="992" w:type="dxa"/>
            <w:shd w:val="clear" w:color="auto" w:fill="FFFFFF"/>
            <w:tcMar>
              <w:top w:w="0" w:type="dxa"/>
              <w:left w:w="85" w:type="dxa"/>
              <w:bottom w:w="0" w:type="dxa"/>
              <w:right w:w="85" w:type="dxa"/>
            </w:tcMar>
            <w:vAlign w:val="bottom"/>
          </w:tcPr>
          <w:p w14:paraId="0D63BFC9" w14:textId="77777777" w:rsidR="00E0181F" w:rsidRPr="001D5327" w:rsidRDefault="00E0181F" w:rsidP="00D11AC9">
            <w:pPr>
              <w:pStyle w:val="TableText"/>
              <w:spacing w:before="40" w:after="40"/>
              <w:jc w:val="right"/>
            </w:pPr>
            <w:r w:rsidRPr="001D5327">
              <w:rPr>
                <w:rFonts w:eastAsia="Calibri"/>
              </w:rPr>
              <w:t>165.1</w:t>
            </w:r>
          </w:p>
        </w:tc>
        <w:tc>
          <w:tcPr>
            <w:tcW w:w="993" w:type="dxa"/>
            <w:shd w:val="clear" w:color="auto" w:fill="FFFFFF"/>
            <w:tcMar>
              <w:top w:w="0" w:type="dxa"/>
              <w:left w:w="85" w:type="dxa"/>
              <w:bottom w:w="0" w:type="dxa"/>
              <w:right w:w="85" w:type="dxa"/>
            </w:tcMar>
            <w:vAlign w:val="bottom"/>
          </w:tcPr>
          <w:p w14:paraId="46C138CB" w14:textId="77777777" w:rsidR="00E0181F" w:rsidRPr="001D5327" w:rsidRDefault="00E0181F" w:rsidP="00D11AC9">
            <w:pPr>
              <w:pStyle w:val="TableText"/>
              <w:spacing w:before="40" w:after="40"/>
              <w:jc w:val="right"/>
            </w:pPr>
            <w:r w:rsidRPr="001D5327">
              <w:rPr>
                <w:rFonts w:eastAsia="Calibri"/>
              </w:rPr>
              <w:t>117.7</w:t>
            </w:r>
          </w:p>
        </w:tc>
        <w:tc>
          <w:tcPr>
            <w:tcW w:w="1701" w:type="dxa"/>
            <w:shd w:val="clear" w:color="auto" w:fill="FFFFFF"/>
            <w:tcMar>
              <w:top w:w="0" w:type="dxa"/>
              <w:left w:w="85" w:type="dxa"/>
              <w:bottom w:w="0" w:type="dxa"/>
              <w:right w:w="85" w:type="dxa"/>
            </w:tcMar>
            <w:vAlign w:val="bottom"/>
          </w:tcPr>
          <w:p w14:paraId="7DAC951D" w14:textId="6FC1DB80" w:rsidR="00E0181F" w:rsidRPr="001D5327" w:rsidRDefault="0070503C" w:rsidP="00D11AC9">
            <w:pPr>
              <w:pStyle w:val="TableText"/>
              <w:spacing w:before="40" w:after="40"/>
              <w:jc w:val="right"/>
            </w:pPr>
            <w:r>
              <w:rPr>
                <w:rFonts w:eastAsia="Calibri"/>
              </w:rPr>
              <w:t>-</w:t>
            </w:r>
            <w:r w:rsidR="00E0181F" w:rsidRPr="001D5327">
              <w:rPr>
                <w:rFonts w:eastAsia="Calibri"/>
              </w:rPr>
              <w:t>28.7</w:t>
            </w:r>
          </w:p>
        </w:tc>
      </w:tr>
      <w:tr w:rsidR="00E0181F" w:rsidRPr="001D5327" w14:paraId="49C9C0C3" w14:textId="77777777" w:rsidTr="00900ECB">
        <w:tc>
          <w:tcPr>
            <w:tcW w:w="3119" w:type="dxa"/>
            <w:shd w:val="clear" w:color="auto" w:fill="FFFFFF"/>
            <w:tcMar>
              <w:top w:w="0" w:type="dxa"/>
              <w:left w:w="85" w:type="dxa"/>
              <w:bottom w:w="0" w:type="dxa"/>
              <w:right w:w="85" w:type="dxa"/>
            </w:tcMar>
            <w:vAlign w:val="center"/>
          </w:tcPr>
          <w:p w14:paraId="46894814" w14:textId="77777777" w:rsidR="00E0181F" w:rsidRPr="001D5327" w:rsidRDefault="00E0181F" w:rsidP="00D11AC9">
            <w:pPr>
              <w:pStyle w:val="TableText"/>
              <w:spacing w:before="40" w:after="40"/>
            </w:pPr>
            <w:r w:rsidRPr="001D5327">
              <w:rPr>
                <w:rFonts w:eastAsia="Calibri"/>
              </w:rPr>
              <w:t>Direct emissions from drainage of organic and mineral soils</w:t>
            </w:r>
          </w:p>
        </w:tc>
        <w:tc>
          <w:tcPr>
            <w:tcW w:w="851" w:type="dxa"/>
            <w:shd w:val="clear" w:color="auto" w:fill="FFFFFF"/>
            <w:tcMar>
              <w:top w:w="0" w:type="dxa"/>
              <w:left w:w="85" w:type="dxa"/>
              <w:bottom w:w="0" w:type="dxa"/>
              <w:right w:w="85" w:type="dxa"/>
            </w:tcMar>
            <w:vAlign w:val="bottom"/>
          </w:tcPr>
          <w:p w14:paraId="1B9EF87E" w14:textId="77777777" w:rsidR="00E0181F" w:rsidRPr="001D5327" w:rsidRDefault="00E0181F" w:rsidP="00D11AC9">
            <w:pPr>
              <w:pStyle w:val="TableText"/>
              <w:spacing w:before="40" w:after="40"/>
              <w:jc w:val="right"/>
            </w:pPr>
            <w:r w:rsidRPr="001D5327">
              <w:rPr>
                <w:rFonts w:eastAsia="Calibri"/>
              </w:rPr>
              <w:t>0.3</w:t>
            </w:r>
          </w:p>
        </w:tc>
        <w:tc>
          <w:tcPr>
            <w:tcW w:w="850" w:type="dxa"/>
            <w:shd w:val="clear" w:color="auto" w:fill="FFFFFF"/>
            <w:tcMar>
              <w:top w:w="0" w:type="dxa"/>
              <w:left w:w="85" w:type="dxa"/>
              <w:bottom w:w="0" w:type="dxa"/>
              <w:right w:w="85" w:type="dxa"/>
            </w:tcMar>
            <w:vAlign w:val="bottom"/>
          </w:tcPr>
          <w:p w14:paraId="3CAFA95A" w14:textId="77777777" w:rsidR="00E0181F" w:rsidRPr="001D5327" w:rsidRDefault="00E0181F" w:rsidP="00D11AC9">
            <w:pPr>
              <w:pStyle w:val="TableText"/>
              <w:spacing w:before="40" w:after="40"/>
              <w:jc w:val="right"/>
            </w:pPr>
            <w:r w:rsidRPr="001D5327">
              <w:rPr>
                <w:rFonts w:eastAsia="Calibri"/>
              </w:rPr>
              <w:t>0.4</w:t>
            </w:r>
          </w:p>
        </w:tc>
        <w:tc>
          <w:tcPr>
            <w:tcW w:w="992" w:type="dxa"/>
            <w:shd w:val="clear" w:color="auto" w:fill="FFFFFF"/>
            <w:tcMar>
              <w:top w:w="0" w:type="dxa"/>
              <w:left w:w="85" w:type="dxa"/>
              <w:bottom w:w="0" w:type="dxa"/>
              <w:right w:w="85" w:type="dxa"/>
            </w:tcMar>
            <w:vAlign w:val="bottom"/>
          </w:tcPr>
          <w:p w14:paraId="3A00C8A6" w14:textId="77777777" w:rsidR="00E0181F" w:rsidRPr="001D5327" w:rsidRDefault="00E0181F" w:rsidP="00D11AC9">
            <w:pPr>
              <w:pStyle w:val="TableText"/>
              <w:spacing w:before="40" w:after="40"/>
              <w:jc w:val="right"/>
            </w:pPr>
            <w:r w:rsidRPr="001D5327">
              <w:rPr>
                <w:rFonts w:eastAsia="Calibri"/>
              </w:rPr>
              <w:t>67.0</w:t>
            </w:r>
          </w:p>
        </w:tc>
        <w:tc>
          <w:tcPr>
            <w:tcW w:w="993" w:type="dxa"/>
            <w:shd w:val="clear" w:color="auto" w:fill="FFFFFF"/>
            <w:tcMar>
              <w:top w:w="0" w:type="dxa"/>
              <w:left w:w="85" w:type="dxa"/>
              <w:bottom w:w="0" w:type="dxa"/>
              <w:right w:w="85" w:type="dxa"/>
            </w:tcMar>
            <w:vAlign w:val="bottom"/>
          </w:tcPr>
          <w:p w14:paraId="4B1E51CF" w14:textId="77777777" w:rsidR="00E0181F" w:rsidRPr="001D5327" w:rsidRDefault="00E0181F" w:rsidP="00D11AC9">
            <w:pPr>
              <w:pStyle w:val="TableText"/>
              <w:spacing w:before="40" w:after="40"/>
              <w:jc w:val="right"/>
            </w:pPr>
            <w:r w:rsidRPr="001D5327">
              <w:rPr>
                <w:rFonts w:eastAsia="Calibri"/>
              </w:rPr>
              <w:t>98.7</w:t>
            </w:r>
          </w:p>
        </w:tc>
        <w:tc>
          <w:tcPr>
            <w:tcW w:w="1701" w:type="dxa"/>
            <w:shd w:val="clear" w:color="auto" w:fill="FFFFFF"/>
            <w:tcMar>
              <w:top w:w="0" w:type="dxa"/>
              <w:left w:w="85" w:type="dxa"/>
              <w:bottom w:w="0" w:type="dxa"/>
              <w:right w:w="85" w:type="dxa"/>
            </w:tcMar>
            <w:vAlign w:val="bottom"/>
          </w:tcPr>
          <w:p w14:paraId="6535534E" w14:textId="77777777" w:rsidR="00E0181F" w:rsidRPr="001D5327" w:rsidRDefault="00E0181F" w:rsidP="00D11AC9">
            <w:pPr>
              <w:pStyle w:val="TableText"/>
              <w:spacing w:before="40" w:after="40"/>
              <w:jc w:val="right"/>
            </w:pPr>
            <w:r w:rsidRPr="001D5327">
              <w:rPr>
                <w:rFonts w:eastAsia="Calibri"/>
              </w:rPr>
              <w:t>47.4</w:t>
            </w:r>
          </w:p>
        </w:tc>
      </w:tr>
      <w:tr w:rsidR="00E0181F" w:rsidRPr="001D5327" w14:paraId="6D65192D" w14:textId="77777777" w:rsidTr="00900ECB">
        <w:tc>
          <w:tcPr>
            <w:tcW w:w="3119" w:type="dxa"/>
            <w:shd w:val="clear" w:color="auto" w:fill="FFFFFF"/>
            <w:tcMar>
              <w:top w:w="0" w:type="dxa"/>
              <w:left w:w="85" w:type="dxa"/>
              <w:bottom w:w="0" w:type="dxa"/>
              <w:right w:w="85" w:type="dxa"/>
            </w:tcMar>
            <w:vAlign w:val="center"/>
          </w:tcPr>
          <w:p w14:paraId="5BF4C21E" w14:textId="77777777" w:rsidR="00E0181F" w:rsidRPr="001D5327" w:rsidRDefault="00E0181F" w:rsidP="00D11AC9">
            <w:pPr>
              <w:pStyle w:val="TableText"/>
              <w:spacing w:before="40" w:after="40"/>
            </w:pPr>
            <w:r w:rsidRPr="001D5327">
              <w:rPr>
                <w:rFonts w:eastAsia="Calibri"/>
              </w:rPr>
              <w:t>Indirect emissions from leaching and runoff</w:t>
            </w:r>
          </w:p>
        </w:tc>
        <w:tc>
          <w:tcPr>
            <w:tcW w:w="851" w:type="dxa"/>
            <w:shd w:val="clear" w:color="auto" w:fill="FFFFFF"/>
            <w:tcMar>
              <w:top w:w="0" w:type="dxa"/>
              <w:left w:w="85" w:type="dxa"/>
              <w:bottom w:w="0" w:type="dxa"/>
              <w:right w:w="85" w:type="dxa"/>
            </w:tcMar>
            <w:vAlign w:val="bottom"/>
          </w:tcPr>
          <w:p w14:paraId="57C7EB76" w14:textId="77777777" w:rsidR="00E0181F" w:rsidRPr="001D5327" w:rsidRDefault="00E0181F" w:rsidP="00D11AC9">
            <w:pPr>
              <w:pStyle w:val="TableText"/>
              <w:spacing w:before="40" w:after="40"/>
              <w:jc w:val="right"/>
            </w:pPr>
            <w:r w:rsidRPr="001D5327">
              <w:rPr>
                <w:rFonts w:eastAsia="Calibri"/>
              </w:rPr>
              <w:t>0.1</w:t>
            </w:r>
          </w:p>
        </w:tc>
        <w:tc>
          <w:tcPr>
            <w:tcW w:w="850" w:type="dxa"/>
            <w:shd w:val="clear" w:color="auto" w:fill="FFFFFF"/>
            <w:tcMar>
              <w:top w:w="0" w:type="dxa"/>
              <w:left w:w="85" w:type="dxa"/>
              <w:bottom w:w="0" w:type="dxa"/>
              <w:right w:w="85" w:type="dxa"/>
            </w:tcMar>
            <w:vAlign w:val="bottom"/>
          </w:tcPr>
          <w:p w14:paraId="2BA103A8" w14:textId="77777777" w:rsidR="00E0181F" w:rsidRPr="001D5327" w:rsidRDefault="00E0181F" w:rsidP="00D11AC9">
            <w:pPr>
              <w:pStyle w:val="TableText"/>
              <w:spacing w:before="40" w:after="40"/>
              <w:jc w:val="right"/>
            </w:pPr>
            <w:r w:rsidRPr="001D5327">
              <w:rPr>
                <w:rFonts w:eastAsia="Calibri"/>
              </w:rPr>
              <w:t>0.1</w:t>
            </w:r>
          </w:p>
        </w:tc>
        <w:tc>
          <w:tcPr>
            <w:tcW w:w="992" w:type="dxa"/>
            <w:shd w:val="clear" w:color="auto" w:fill="FFFFFF"/>
            <w:tcMar>
              <w:top w:w="0" w:type="dxa"/>
              <w:left w:w="85" w:type="dxa"/>
              <w:bottom w:w="0" w:type="dxa"/>
              <w:right w:w="85" w:type="dxa"/>
            </w:tcMar>
            <w:vAlign w:val="bottom"/>
          </w:tcPr>
          <w:p w14:paraId="5B160C30" w14:textId="77777777" w:rsidR="00E0181F" w:rsidRPr="001D5327" w:rsidRDefault="00E0181F" w:rsidP="00D11AC9">
            <w:pPr>
              <w:pStyle w:val="TableText"/>
              <w:spacing w:before="40" w:after="40"/>
              <w:jc w:val="right"/>
            </w:pPr>
            <w:r w:rsidRPr="001D5327">
              <w:rPr>
                <w:rFonts w:eastAsia="Calibri"/>
              </w:rPr>
              <w:t>37.2</w:t>
            </w:r>
          </w:p>
        </w:tc>
        <w:tc>
          <w:tcPr>
            <w:tcW w:w="993" w:type="dxa"/>
            <w:shd w:val="clear" w:color="auto" w:fill="FFFFFF"/>
            <w:tcMar>
              <w:top w:w="0" w:type="dxa"/>
              <w:left w:w="85" w:type="dxa"/>
              <w:bottom w:w="0" w:type="dxa"/>
              <w:right w:w="85" w:type="dxa"/>
            </w:tcMar>
            <w:vAlign w:val="bottom"/>
          </w:tcPr>
          <w:p w14:paraId="77DE6434" w14:textId="77777777" w:rsidR="00E0181F" w:rsidRPr="001D5327" w:rsidRDefault="00E0181F" w:rsidP="00D11AC9">
            <w:pPr>
              <w:pStyle w:val="TableText"/>
              <w:spacing w:before="40" w:after="40"/>
              <w:jc w:val="right"/>
            </w:pPr>
            <w:r w:rsidRPr="001D5327">
              <w:rPr>
                <w:rFonts w:eastAsia="Calibri"/>
              </w:rPr>
              <w:t>26.5</w:t>
            </w:r>
          </w:p>
        </w:tc>
        <w:tc>
          <w:tcPr>
            <w:tcW w:w="1701" w:type="dxa"/>
            <w:shd w:val="clear" w:color="auto" w:fill="FFFFFF"/>
            <w:tcMar>
              <w:top w:w="0" w:type="dxa"/>
              <w:left w:w="85" w:type="dxa"/>
              <w:bottom w:w="0" w:type="dxa"/>
              <w:right w:w="85" w:type="dxa"/>
            </w:tcMar>
            <w:vAlign w:val="bottom"/>
          </w:tcPr>
          <w:p w14:paraId="29B705C5" w14:textId="00680A84" w:rsidR="00E0181F" w:rsidRPr="001D5327" w:rsidRDefault="0070503C" w:rsidP="00D11AC9">
            <w:pPr>
              <w:pStyle w:val="TableText"/>
              <w:spacing w:before="40" w:after="40"/>
              <w:jc w:val="right"/>
            </w:pPr>
            <w:r>
              <w:rPr>
                <w:rFonts w:eastAsia="Calibri"/>
              </w:rPr>
              <w:t>-</w:t>
            </w:r>
            <w:r w:rsidR="00E0181F" w:rsidRPr="001D5327">
              <w:rPr>
                <w:rFonts w:eastAsia="Calibri"/>
              </w:rPr>
              <w:t>28.7</w:t>
            </w:r>
          </w:p>
        </w:tc>
      </w:tr>
      <w:tr w:rsidR="00E0181F" w:rsidRPr="001D5327" w14:paraId="0431D7C7" w14:textId="77777777" w:rsidTr="00900ECB">
        <w:tc>
          <w:tcPr>
            <w:tcW w:w="3119" w:type="dxa"/>
            <w:shd w:val="clear" w:color="auto" w:fill="FFFFFF"/>
            <w:tcMar>
              <w:top w:w="0" w:type="dxa"/>
              <w:left w:w="85" w:type="dxa"/>
              <w:bottom w:w="0" w:type="dxa"/>
              <w:right w:w="85" w:type="dxa"/>
            </w:tcMar>
            <w:vAlign w:val="center"/>
          </w:tcPr>
          <w:p w14:paraId="5A83BF8B" w14:textId="77777777" w:rsidR="00E0181F" w:rsidRPr="001D5327" w:rsidRDefault="00E0181F" w:rsidP="00D11AC9">
            <w:pPr>
              <w:pStyle w:val="Tableboldblue"/>
              <w:spacing w:before="40" w:after="40"/>
            </w:pPr>
            <w:r w:rsidRPr="001D5327">
              <w:rPr>
                <w:rFonts w:eastAsia="Calibri"/>
              </w:rPr>
              <w:t>Total</w:t>
            </w:r>
          </w:p>
        </w:tc>
        <w:tc>
          <w:tcPr>
            <w:tcW w:w="851" w:type="dxa"/>
            <w:shd w:val="clear" w:color="auto" w:fill="FFFFFF"/>
            <w:tcMar>
              <w:top w:w="0" w:type="dxa"/>
              <w:left w:w="85" w:type="dxa"/>
              <w:bottom w:w="0" w:type="dxa"/>
              <w:right w:w="85" w:type="dxa"/>
            </w:tcMar>
            <w:vAlign w:val="center"/>
          </w:tcPr>
          <w:p w14:paraId="0B581C6E" w14:textId="77777777" w:rsidR="00E0181F" w:rsidRPr="001D5327" w:rsidRDefault="00E0181F" w:rsidP="00D11AC9">
            <w:pPr>
              <w:pStyle w:val="Tableboldblue"/>
              <w:spacing w:before="40" w:after="40"/>
              <w:jc w:val="right"/>
            </w:pPr>
            <w:r w:rsidRPr="001D5327">
              <w:rPr>
                <w:rFonts w:eastAsia="Calibri"/>
              </w:rPr>
              <w:t>1.0</w:t>
            </w:r>
          </w:p>
        </w:tc>
        <w:tc>
          <w:tcPr>
            <w:tcW w:w="850" w:type="dxa"/>
            <w:shd w:val="clear" w:color="auto" w:fill="FFFFFF"/>
            <w:tcMar>
              <w:top w:w="0" w:type="dxa"/>
              <w:left w:w="85" w:type="dxa"/>
              <w:bottom w:w="0" w:type="dxa"/>
              <w:right w:w="85" w:type="dxa"/>
            </w:tcMar>
            <w:vAlign w:val="center"/>
          </w:tcPr>
          <w:p w14:paraId="4E474EC6" w14:textId="77777777" w:rsidR="00E0181F" w:rsidRPr="001D5327" w:rsidRDefault="00E0181F" w:rsidP="00D11AC9">
            <w:pPr>
              <w:pStyle w:val="Tableboldblue"/>
              <w:spacing w:before="40" w:after="40"/>
              <w:jc w:val="right"/>
            </w:pPr>
            <w:r w:rsidRPr="001D5327">
              <w:rPr>
                <w:rFonts w:eastAsia="Calibri"/>
              </w:rPr>
              <w:t>0.9</w:t>
            </w:r>
          </w:p>
        </w:tc>
        <w:tc>
          <w:tcPr>
            <w:tcW w:w="992" w:type="dxa"/>
            <w:shd w:val="clear" w:color="auto" w:fill="FFFFFF"/>
            <w:tcMar>
              <w:top w:w="0" w:type="dxa"/>
              <w:left w:w="85" w:type="dxa"/>
              <w:bottom w:w="0" w:type="dxa"/>
              <w:right w:w="85" w:type="dxa"/>
            </w:tcMar>
            <w:vAlign w:val="center"/>
          </w:tcPr>
          <w:p w14:paraId="20A5DF38" w14:textId="77777777" w:rsidR="00E0181F" w:rsidRPr="001D5327" w:rsidRDefault="00E0181F" w:rsidP="00D11AC9">
            <w:pPr>
              <w:pStyle w:val="Tableboldblue"/>
              <w:spacing w:before="40" w:after="40"/>
              <w:jc w:val="right"/>
            </w:pPr>
            <w:r w:rsidRPr="001D5327">
              <w:rPr>
                <w:rFonts w:eastAsia="Calibri"/>
              </w:rPr>
              <w:t>269.2</w:t>
            </w:r>
          </w:p>
        </w:tc>
        <w:tc>
          <w:tcPr>
            <w:tcW w:w="993" w:type="dxa"/>
            <w:shd w:val="clear" w:color="auto" w:fill="FFFFFF"/>
            <w:tcMar>
              <w:top w:w="0" w:type="dxa"/>
              <w:left w:w="85" w:type="dxa"/>
              <w:bottom w:w="0" w:type="dxa"/>
              <w:right w:w="85" w:type="dxa"/>
            </w:tcMar>
            <w:vAlign w:val="center"/>
          </w:tcPr>
          <w:p w14:paraId="1671204B" w14:textId="77777777" w:rsidR="00E0181F" w:rsidRPr="001D5327" w:rsidRDefault="00E0181F" w:rsidP="00D11AC9">
            <w:pPr>
              <w:pStyle w:val="Tableboldblue"/>
              <w:spacing w:before="40" w:after="40"/>
              <w:jc w:val="right"/>
            </w:pPr>
            <w:r w:rsidRPr="001D5327">
              <w:rPr>
                <w:rFonts w:eastAsia="Calibri"/>
              </w:rPr>
              <w:t>242.8</w:t>
            </w:r>
          </w:p>
        </w:tc>
        <w:tc>
          <w:tcPr>
            <w:tcW w:w="1701" w:type="dxa"/>
            <w:shd w:val="clear" w:color="auto" w:fill="FFFFFF"/>
            <w:tcMar>
              <w:top w:w="0" w:type="dxa"/>
              <w:left w:w="85" w:type="dxa"/>
              <w:bottom w:w="0" w:type="dxa"/>
              <w:right w:w="85" w:type="dxa"/>
            </w:tcMar>
            <w:vAlign w:val="center"/>
          </w:tcPr>
          <w:p w14:paraId="0CF09286" w14:textId="60F2C2FA" w:rsidR="00E0181F" w:rsidRPr="001D5327" w:rsidRDefault="0070503C" w:rsidP="00D11AC9">
            <w:pPr>
              <w:pStyle w:val="Tableboldblue"/>
              <w:spacing w:before="40" w:after="40"/>
              <w:jc w:val="right"/>
            </w:pPr>
            <w:r>
              <w:rPr>
                <w:rFonts w:eastAsia="Calibri"/>
              </w:rPr>
              <w:t>-</w:t>
            </w:r>
            <w:r w:rsidR="00E0181F" w:rsidRPr="001D5327">
              <w:rPr>
                <w:rFonts w:eastAsia="Calibri"/>
              </w:rPr>
              <w:t>9.8</w:t>
            </w:r>
          </w:p>
        </w:tc>
      </w:tr>
    </w:tbl>
    <w:p w14:paraId="072FB082" w14:textId="77777777" w:rsidR="00E0181F" w:rsidRPr="001D5327" w:rsidRDefault="00E0181F" w:rsidP="00E0181F">
      <w:pPr>
        <w:pStyle w:val="Noteundertable"/>
      </w:pPr>
      <w:r w:rsidRPr="001D5327">
        <w:rPr>
          <w:b/>
        </w:rPr>
        <w:t>Note:</w:t>
      </w:r>
      <w:r w:rsidRPr="001D5327">
        <w:rPr>
          <w:bCs/>
        </w:rPr>
        <w:tab/>
      </w:r>
      <w:r w:rsidRPr="001D5327">
        <w:t xml:space="preserve">Columns may not total due to </w:t>
      </w:r>
      <w:r w:rsidRPr="001D5327" w:rsidDel="00963486">
        <w:t>rounding</w:t>
      </w:r>
      <w:r w:rsidRPr="001D5327">
        <w:t xml:space="preserve">. Direct nitrous oxide emissions reported in this table are for </w:t>
      </w:r>
      <w:r w:rsidRPr="001D5327">
        <w:rPr>
          <w:i/>
          <w:iCs/>
        </w:rPr>
        <w:t>Forest land</w:t>
      </w:r>
      <w:r w:rsidRPr="001D5327">
        <w:t xml:space="preserve"> only. Nitrous oxide</w:t>
      </w:r>
      <w:r w:rsidRPr="001D5327" w:rsidDel="00172632">
        <w:t xml:space="preserve"> </w:t>
      </w:r>
      <w:r w:rsidRPr="001D5327">
        <w:t xml:space="preserve">emissions on </w:t>
      </w:r>
      <w:r w:rsidRPr="001D5327">
        <w:rPr>
          <w:i/>
          <w:iCs/>
        </w:rPr>
        <w:t>Cropland</w:t>
      </w:r>
      <w:r w:rsidRPr="001D5327">
        <w:t xml:space="preserve"> and </w:t>
      </w:r>
      <w:r w:rsidRPr="001D5327">
        <w:rPr>
          <w:i/>
          <w:iCs/>
        </w:rPr>
        <w:t>Grassland</w:t>
      </w:r>
      <w:r w:rsidRPr="001D5327">
        <w:t xml:space="preserve"> are reported under the Agriculture sector.</w:t>
      </w:r>
    </w:p>
    <w:p w14:paraId="4B931C14" w14:textId="77777777" w:rsidR="00E0181F" w:rsidRPr="001D5327" w:rsidRDefault="00E0181F" w:rsidP="00900ECB">
      <w:pPr>
        <w:pStyle w:val="Heading3"/>
        <w:spacing w:before="240"/>
      </w:pPr>
      <w:r w:rsidRPr="001D5327">
        <w:t xml:space="preserve">6.11.1 </w:t>
      </w:r>
      <w:r w:rsidRPr="001D5327">
        <w:tab/>
        <w:t>Direct N</w:t>
      </w:r>
      <w:r w:rsidRPr="001D5327">
        <w:rPr>
          <w:vertAlign w:val="subscript"/>
        </w:rPr>
        <w:t>2</w:t>
      </w:r>
      <w:r w:rsidRPr="001D5327">
        <w:t>O emissions from nitrogen fertilisation of forest land and other land (4(I)</w:t>
      </w:r>
      <w:bookmarkEnd w:id="2727"/>
      <w:r w:rsidRPr="001D5327">
        <w:t>)</w:t>
      </w:r>
    </w:p>
    <w:p w14:paraId="65A91596" w14:textId="77777777" w:rsidR="00E0181F" w:rsidRPr="001D5327" w:rsidRDefault="00E0181F" w:rsidP="00900ECB">
      <w:pPr>
        <w:pStyle w:val="BodyText"/>
        <w:spacing w:before="80" w:after="100"/>
      </w:pPr>
      <w:r w:rsidRPr="001D5327">
        <w:rPr>
          <w:spacing w:val="-2"/>
        </w:rPr>
        <w:t>New Zealand’s activity data on nitrogen fertilisation are not currently disaggregated by land use</w:t>
      </w:r>
      <w:r w:rsidRPr="001D5327">
        <w:t xml:space="preserve"> </w:t>
      </w:r>
      <w:r w:rsidRPr="001D5327">
        <w:rPr>
          <w:spacing w:val="-2"/>
        </w:rPr>
        <w:t>and, therefore, all direct N</w:t>
      </w:r>
      <w:r w:rsidRPr="001D5327">
        <w:rPr>
          <w:spacing w:val="-2"/>
          <w:vertAlign w:val="subscript"/>
        </w:rPr>
        <w:t>2</w:t>
      </w:r>
      <w:r w:rsidRPr="001D5327">
        <w:rPr>
          <w:spacing w:val="-2"/>
        </w:rPr>
        <w:t>O emissions from nitrogen fertilisation of</w:t>
      </w:r>
      <w:r w:rsidRPr="001D5327">
        <w:rPr>
          <w:i/>
          <w:spacing w:val="-2"/>
        </w:rPr>
        <w:t xml:space="preserve"> Forest land </w:t>
      </w:r>
      <w:r w:rsidRPr="001D5327">
        <w:rPr>
          <w:spacing w:val="-2"/>
        </w:rPr>
        <w:t>and</w:t>
      </w:r>
      <w:r w:rsidRPr="001D5327">
        <w:rPr>
          <w:i/>
          <w:spacing w:val="-2"/>
        </w:rPr>
        <w:t xml:space="preserve"> Other land</w:t>
      </w:r>
      <w:r w:rsidRPr="001D5327">
        <w:t xml:space="preserve"> are reported in the Agriculture sector under the category </w:t>
      </w:r>
      <w:r w:rsidRPr="001D5327">
        <w:rPr>
          <w:i/>
        </w:rPr>
        <w:t>Direct N</w:t>
      </w:r>
      <w:r w:rsidRPr="001D5327">
        <w:rPr>
          <w:i/>
          <w:vertAlign w:val="subscript"/>
        </w:rPr>
        <w:t>2</w:t>
      </w:r>
      <w:r w:rsidRPr="001D5327">
        <w:rPr>
          <w:i/>
        </w:rPr>
        <w:t>O emissions from managed soils</w:t>
      </w:r>
      <w:r w:rsidRPr="001D5327">
        <w:t xml:space="preserve"> (3.D.a). The notation key IE is reported in the CRTs for the LULUCF sector.</w:t>
      </w:r>
    </w:p>
    <w:p w14:paraId="22AE1208" w14:textId="77777777" w:rsidR="00E0181F" w:rsidRPr="001D5327" w:rsidRDefault="00E0181F" w:rsidP="00E0181F">
      <w:pPr>
        <w:pStyle w:val="Heading3"/>
        <w:spacing w:before="320"/>
      </w:pPr>
      <w:bookmarkStart w:id="2733" w:name="_Toc280630351"/>
      <w:r w:rsidRPr="001D5327">
        <w:t xml:space="preserve">6.11.2 </w:t>
      </w:r>
      <w:r w:rsidRPr="001D5327">
        <w:tab/>
        <w:t>Emissions from drainage and rewetting of organic and mineral soils (4(II)</w:t>
      </w:r>
      <w:bookmarkEnd w:id="2733"/>
      <w:r w:rsidRPr="001D5327">
        <w:t xml:space="preserve">) </w:t>
      </w:r>
    </w:p>
    <w:p w14:paraId="0AF67E06" w14:textId="77777777" w:rsidR="00E0181F" w:rsidRPr="001D5327" w:rsidRDefault="00E0181F" w:rsidP="00900ECB">
      <w:pPr>
        <w:pStyle w:val="Heading4"/>
        <w:spacing w:before="180"/>
      </w:pPr>
      <w:r w:rsidRPr="001D5327">
        <w:t xml:space="preserve">Description </w:t>
      </w:r>
    </w:p>
    <w:p w14:paraId="2D4D59BD" w14:textId="77777777" w:rsidR="00E0181F" w:rsidRPr="001D5327" w:rsidRDefault="00E0181F" w:rsidP="00900ECB">
      <w:pPr>
        <w:pStyle w:val="BodyText"/>
        <w:spacing w:before="80" w:after="100"/>
      </w:pPr>
      <w:r w:rsidRPr="001D5327">
        <w:t>New Zealand reports on N</w:t>
      </w:r>
      <w:r w:rsidRPr="001D5327">
        <w:rPr>
          <w:vertAlign w:val="subscript"/>
        </w:rPr>
        <w:t>2</w:t>
      </w:r>
      <w:r w:rsidRPr="001D5327">
        <w:t>O emissions, as a result of oxidation of organic matter, from the drainage of organic soils. Nitrous oxide</w:t>
      </w:r>
      <w:r w:rsidRPr="001D5327" w:rsidDel="00C353F0">
        <w:t xml:space="preserve"> </w:t>
      </w:r>
      <w:r w:rsidRPr="001D5327">
        <w:t xml:space="preserve">emissions on </w:t>
      </w:r>
      <w:r w:rsidRPr="001D5327">
        <w:rPr>
          <w:i/>
          <w:iCs/>
        </w:rPr>
        <w:t>Cropland</w:t>
      </w:r>
      <w:r w:rsidRPr="001D5327">
        <w:t xml:space="preserve"> and </w:t>
      </w:r>
      <w:r w:rsidRPr="001D5327">
        <w:rPr>
          <w:i/>
          <w:iCs/>
        </w:rPr>
        <w:t>Grassland</w:t>
      </w:r>
      <w:r w:rsidRPr="001D5327">
        <w:t xml:space="preserve"> are reported under the Agriculture sector. Direct N</w:t>
      </w:r>
      <w:r w:rsidRPr="001D5327">
        <w:rPr>
          <w:vertAlign w:val="subscript"/>
        </w:rPr>
        <w:t>2</w:t>
      </w:r>
      <w:r w:rsidRPr="001D5327">
        <w:t xml:space="preserve">O emissions from drained organic soils in </w:t>
      </w:r>
      <w:r w:rsidRPr="001D5327">
        <w:rPr>
          <w:i/>
        </w:rPr>
        <w:t>Forest land</w:t>
      </w:r>
      <w:r w:rsidRPr="001D5327">
        <w:t xml:space="preserve"> are estimated to be 0.4 kt N</w:t>
      </w:r>
      <w:r w:rsidRPr="001D5327">
        <w:rPr>
          <w:spacing w:val="-2"/>
          <w:vertAlign w:val="subscript"/>
        </w:rPr>
        <w:t>2</w:t>
      </w:r>
      <w:r w:rsidRPr="001D5327">
        <w:t>O in 2023, compared with 0.3 kt N</w:t>
      </w:r>
      <w:r w:rsidRPr="001D5327">
        <w:rPr>
          <w:spacing w:val="-2"/>
          <w:vertAlign w:val="subscript"/>
        </w:rPr>
        <w:t>2</w:t>
      </w:r>
      <w:r w:rsidRPr="001D5327">
        <w:t xml:space="preserve">O in 1990. The notation key NE is reported in the CRTs for rewetted mineral soils. </w:t>
      </w:r>
    </w:p>
    <w:p w14:paraId="0B786BEC" w14:textId="77777777" w:rsidR="00E0181F" w:rsidRPr="001D5327" w:rsidRDefault="00E0181F" w:rsidP="00E0181F">
      <w:pPr>
        <w:pStyle w:val="Heading4"/>
      </w:pPr>
      <w:r w:rsidRPr="001D5327">
        <w:lastRenderedPageBreak/>
        <w:t>Methodological issues</w:t>
      </w:r>
    </w:p>
    <w:p w14:paraId="25D1026B" w14:textId="4E91AF37" w:rsidR="00E0181F" w:rsidRPr="001D5327" w:rsidRDefault="00E0181F" w:rsidP="00E0181F">
      <w:pPr>
        <w:pStyle w:val="BodyText"/>
        <w:spacing w:before="100" w:after="100"/>
      </w:pPr>
      <w:r w:rsidRPr="001D5327">
        <w:t>To estimate N</w:t>
      </w:r>
      <w:r w:rsidRPr="001D5327">
        <w:rPr>
          <w:vertAlign w:val="subscript"/>
        </w:rPr>
        <w:t>2</w:t>
      </w:r>
      <w:r w:rsidRPr="001D5327">
        <w:t>O emissions associated with the drainage of organic soils on forest land, New</w:t>
      </w:r>
      <w:r w:rsidR="00965B07" w:rsidRPr="001D5327">
        <w:t> </w:t>
      </w:r>
      <w:r w:rsidRPr="001D5327">
        <w:t>Zealand uses the Tier 1 method outlined in the 2006 IPCC Guidelines (equation 11.1, IPCC, 2006a). The Tier 1 default value for temperate, nutrient-poor forest soils of 0.1 kg N</w:t>
      </w:r>
      <w:r w:rsidRPr="001D5327">
        <w:rPr>
          <w:vertAlign w:val="subscript"/>
        </w:rPr>
        <w:t>2</w:t>
      </w:r>
      <w:r w:rsidRPr="001D5327">
        <w:t>O-N ha</w:t>
      </w:r>
      <w:r w:rsidRPr="001D5327">
        <w:rPr>
          <w:vertAlign w:val="superscript"/>
        </w:rPr>
        <w:t>–1</w:t>
      </w:r>
      <w:r w:rsidRPr="001D5327">
        <w:t xml:space="preserve"> is applied. Note that the area of pre-1990 natural forest remaining pre-1990 natural forest on organic soils is assumed to be in its natural, undisturbed state, and therefore is presumed to be undrained. </w:t>
      </w:r>
    </w:p>
    <w:p w14:paraId="5E5699DC" w14:textId="77777777" w:rsidR="00E0181F" w:rsidRPr="001D5327" w:rsidRDefault="00E0181F" w:rsidP="00E0181F">
      <w:pPr>
        <w:pStyle w:val="Heading3"/>
      </w:pPr>
      <w:bookmarkStart w:id="2734" w:name="_Toc280630352"/>
      <w:r w:rsidRPr="001D5327">
        <w:t xml:space="preserve">6.11.3 </w:t>
      </w:r>
      <w:r w:rsidRPr="001D5327">
        <w:tab/>
        <w:t>Direct N</w:t>
      </w:r>
      <w:r w:rsidRPr="001D5327">
        <w:rPr>
          <w:vertAlign w:val="subscript"/>
        </w:rPr>
        <w:t>2</w:t>
      </w:r>
      <w:r w:rsidRPr="001D5327">
        <w:t>O emissions from nitrogen mineralisation/immobilisation (4(III)</w:t>
      </w:r>
      <w:bookmarkEnd w:id="2734"/>
      <w:r w:rsidRPr="001D5327">
        <w:t>)</w:t>
      </w:r>
    </w:p>
    <w:p w14:paraId="3B5988B4" w14:textId="77777777" w:rsidR="00E0181F" w:rsidRPr="001D5327" w:rsidRDefault="00E0181F" w:rsidP="00E0181F">
      <w:pPr>
        <w:pStyle w:val="Heading4"/>
      </w:pPr>
      <w:bookmarkStart w:id="2735" w:name="_Toc280630353"/>
      <w:r w:rsidRPr="001D5327">
        <w:t>Description</w:t>
      </w:r>
      <w:bookmarkEnd w:id="2735"/>
      <w:r w:rsidRPr="001D5327">
        <w:t xml:space="preserve"> </w:t>
      </w:r>
    </w:p>
    <w:p w14:paraId="74DE3DED" w14:textId="77777777" w:rsidR="00E0181F" w:rsidRPr="001D5327" w:rsidRDefault="00E0181F" w:rsidP="00E0181F">
      <w:pPr>
        <w:pStyle w:val="BodyText"/>
        <w:spacing w:before="100" w:after="100"/>
      </w:pPr>
      <w:r w:rsidRPr="001D5327">
        <w:t>Direct N</w:t>
      </w:r>
      <w:r w:rsidRPr="001D5327">
        <w:rPr>
          <w:spacing w:val="-2"/>
          <w:vertAlign w:val="subscript"/>
        </w:rPr>
        <w:t>2</w:t>
      </w:r>
      <w:r w:rsidRPr="001D5327">
        <w:t>O emissions from nitrogen mineralisation/immobilisation are minor in New Zealand, estimated at 0.4 kt N</w:t>
      </w:r>
      <w:r w:rsidRPr="001D5327">
        <w:rPr>
          <w:spacing w:val="-2"/>
          <w:vertAlign w:val="subscript"/>
        </w:rPr>
        <w:t>2</w:t>
      </w:r>
      <w:r w:rsidRPr="001D5327">
        <w:t>O in 2023, compared with 0.6 kt N</w:t>
      </w:r>
      <w:r w:rsidRPr="001D5327">
        <w:rPr>
          <w:spacing w:val="-2"/>
          <w:vertAlign w:val="subscript"/>
        </w:rPr>
        <w:t>2</w:t>
      </w:r>
      <w:r w:rsidRPr="001D5327">
        <w:t>O in 1990. Note that N</w:t>
      </w:r>
      <w:r w:rsidRPr="001D5327">
        <w:rPr>
          <w:vertAlign w:val="subscript"/>
        </w:rPr>
        <w:t>2</w:t>
      </w:r>
      <w:r w:rsidRPr="001D5327">
        <w:t xml:space="preserve">O emissions on </w:t>
      </w:r>
      <w:r w:rsidRPr="001D5327">
        <w:rPr>
          <w:i/>
          <w:iCs/>
        </w:rPr>
        <w:t>Cropland</w:t>
      </w:r>
      <w:r w:rsidRPr="001D5327">
        <w:rPr>
          <w:i/>
        </w:rPr>
        <w:t xml:space="preserve"> remaining </w:t>
      </w:r>
      <w:r w:rsidRPr="001D5327">
        <w:rPr>
          <w:i/>
          <w:iCs/>
        </w:rPr>
        <w:t>cropland</w:t>
      </w:r>
      <w:r w:rsidRPr="001D5327">
        <w:t xml:space="preserve"> from nitrogen mineralisation/immobilisation are reported </w:t>
      </w:r>
      <w:r w:rsidRPr="001D5327">
        <w:rPr>
          <w:spacing w:val="-2"/>
        </w:rPr>
        <w:t>under the Agriculture sector. Direct N</w:t>
      </w:r>
      <w:r w:rsidRPr="001D5327">
        <w:rPr>
          <w:spacing w:val="-2"/>
          <w:vertAlign w:val="subscript"/>
        </w:rPr>
        <w:t>2</w:t>
      </w:r>
      <w:r w:rsidRPr="001D5327">
        <w:rPr>
          <w:spacing w:val="-2"/>
        </w:rPr>
        <w:t>O emissions from nitrogen mineralisation/immobilisation</w:t>
      </w:r>
      <w:r w:rsidRPr="001D5327">
        <w:t xml:space="preserve"> associated with land-use change for all other land use categories are reported under the LULUCF sector.</w:t>
      </w:r>
    </w:p>
    <w:p w14:paraId="0CFA9374" w14:textId="77777777" w:rsidR="00E0181F" w:rsidRPr="001D5327" w:rsidRDefault="00E0181F" w:rsidP="00E0181F">
      <w:pPr>
        <w:pStyle w:val="BodyText"/>
        <w:spacing w:after="100"/>
      </w:pPr>
      <w:r w:rsidRPr="001D5327">
        <w:t>Nitrous oxide emissions result from the mineralisation of soil organic matter with land-use change. This mineralisation results in an associated conversion of nitrogen previously in the soil organic matter to ammonium and nitrate. Microbial activity in the soil converts some of the ammonium and nitrate present to N</w:t>
      </w:r>
      <w:r w:rsidRPr="001D5327">
        <w:rPr>
          <w:vertAlign w:val="subscript"/>
        </w:rPr>
        <w:t>2</w:t>
      </w:r>
      <w:r w:rsidRPr="001D5327">
        <w:t>O. An increase in this microbial substrate caused by a net decrease in soil organic matter can therefore be expected to give an increase in net N</w:t>
      </w:r>
      <w:r w:rsidRPr="001D5327">
        <w:rPr>
          <w:vertAlign w:val="subscript"/>
        </w:rPr>
        <w:t>2</w:t>
      </w:r>
      <w:r w:rsidRPr="001D5327">
        <w:t>O emissions (section 11, IPCC, 2006a).</w:t>
      </w:r>
    </w:p>
    <w:p w14:paraId="03F7816A" w14:textId="77777777" w:rsidR="00E0181F" w:rsidRPr="001D5327" w:rsidRDefault="00E0181F" w:rsidP="00E0181F">
      <w:pPr>
        <w:pStyle w:val="Heading4"/>
        <w:spacing w:before="200"/>
      </w:pPr>
      <w:bookmarkStart w:id="2736" w:name="_Toc280630354"/>
      <w:r w:rsidRPr="001D5327">
        <w:t>Methodological issues</w:t>
      </w:r>
      <w:bookmarkEnd w:id="2736"/>
    </w:p>
    <w:p w14:paraId="492C82CB" w14:textId="77777777" w:rsidR="00E0181F" w:rsidRPr="001D5327" w:rsidRDefault="00E0181F" w:rsidP="00E0181F">
      <w:pPr>
        <w:pStyle w:val="BodyText"/>
        <w:spacing w:before="100" w:after="100"/>
      </w:pPr>
      <w:r w:rsidRPr="001D5327">
        <w:t>To estimate N</w:t>
      </w:r>
      <w:r w:rsidRPr="001D5327">
        <w:rPr>
          <w:vertAlign w:val="subscript"/>
        </w:rPr>
        <w:t>2</w:t>
      </w:r>
      <w:r w:rsidRPr="001D5327">
        <w:t xml:space="preserve">O emissions from disturbance associated with land-use change, New Zealand uses the method outlined in the 2006 IPCC Guidelines (equation 11.2 and equation 11.8, IPCC, 2006a). </w:t>
      </w:r>
    </w:p>
    <w:p w14:paraId="4BA283EE" w14:textId="77777777" w:rsidR="00E0181F" w:rsidRPr="001D5327" w:rsidRDefault="00E0181F" w:rsidP="00E0181F">
      <w:pPr>
        <w:pStyle w:val="BodyText"/>
        <w:keepNext/>
        <w:spacing w:before="100" w:after="100"/>
      </w:pPr>
      <w:r w:rsidRPr="001D5327">
        <w:t>The inputs to these equations are:</w:t>
      </w:r>
    </w:p>
    <w:p w14:paraId="34AC27AA" w14:textId="77777777" w:rsidR="00E0181F" w:rsidRPr="001D5327" w:rsidRDefault="00E0181F" w:rsidP="00407428">
      <w:pPr>
        <w:pStyle w:val="Bullet"/>
        <w:numPr>
          <w:ilvl w:val="0"/>
          <w:numId w:val="23"/>
        </w:numPr>
        <w:spacing w:after="100"/>
        <w:ind w:left="397" w:hanging="397"/>
      </w:pPr>
      <w:r w:rsidRPr="001D5327">
        <w:t>loss of carbon in mineral soils</w:t>
      </w:r>
    </w:p>
    <w:p w14:paraId="4B7A754E" w14:textId="77777777" w:rsidR="00E0181F" w:rsidRPr="001D5327" w:rsidRDefault="00E0181F" w:rsidP="00407428">
      <w:pPr>
        <w:pStyle w:val="Bullet"/>
        <w:numPr>
          <w:ilvl w:val="0"/>
          <w:numId w:val="23"/>
        </w:numPr>
        <w:spacing w:after="100"/>
        <w:ind w:left="397" w:hanging="397"/>
      </w:pPr>
      <w:r w:rsidRPr="001D5327">
        <w:t>EF</w:t>
      </w:r>
      <w:r w:rsidRPr="001D5327">
        <w:rPr>
          <w:vertAlign w:val="subscript"/>
        </w:rPr>
        <w:t>1</w:t>
      </w:r>
      <w:r w:rsidRPr="001D5327">
        <w:t xml:space="preserve"> – the emission factor for calculating emissions of N</w:t>
      </w:r>
      <w:r w:rsidRPr="001D5327">
        <w:rPr>
          <w:vertAlign w:val="subscript"/>
        </w:rPr>
        <w:t>2</w:t>
      </w:r>
      <w:r w:rsidRPr="001D5327">
        <w:t>O from nitrogen in the soil. New Zealand uses a country-specific value of 0.01 kg N</w:t>
      </w:r>
      <w:r w:rsidRPr="001D5327">
        <w:rPr>
          <w:vertAlign w:val="subscript"/>
        </w:rPr>
        <w:t>2</w:t>
      </w:r>
      <w:r w:rsidRPr="001D5327">
        <w:t>O – N/kg N (Kelliher and de Klein, 2006)</w:t>
      </w:r>
    </w:p>
    <w:p w14:paraId="33F3154B" w14:textId="77777777" w:rsidR="00E0181F" w:rsidRPr="001D5327" w:rsidRDefault="00E0181F" w:rsidP="00407428">
      <w:pPr>
        <w:pStyle w:val="Bullet"/>
        <w:numPr>
          <w:ilvl w:val="0"/>
          <w:numId w:val="23"/>
        </w:numPr>
        <w:spacing w:after="100"/>
        <w:ind w:left="397" w:hanging="397"/>
      </w:pPr>
      <w:r w:rsidRPr="001D5327">
        <w:t xml:space="preserve">C:N ratio – the IPCC default ratio of carbon to nitrogen in soil organic matter (15:1) is used (IPCC, 2006a, p 11.16). </w:t>
      </w:r>
    </w:p>
    <w:p w14:paraId="0F849D90" w14:textId="77777777" w:rsidR="00E0181F" w:rsidRPr="001D5327" w:rsidRDefault="00E0181F" w:rsidP="00E0181F">
      <w:pPr>
        <w:pStyle w:val="BodyText"/>
        <w:spacing w:before="100" w:after="100"/>
      </w:pPr>
      <w:r w:rsidRPr="001D5327">
        <w:t>Where an area of land is converted to a land use with a higher original mineral SOC stock than the category it is converted from, no N</w:t>
      </w:r>
      <w:r w:rsidRPr="001D5327">
        <w:rPr>
          <w:vertAlign w:val="subscript"/>
        </w:rPr>
        <w:t>2</w:t>
      </w:r>
      <w:r w:rsidRPr="001D5327">
        <w:t xml:space="preserve">O emissions have been estimated as occurring because there is no associated loss of SOC. For instance, </w:t>
      </w:r>
      <w:r w:rsidRPr="001D5327">
        <w:rPr>
          <w:i/>
          <w:iCs/>
        </w:rPr>
        <w:t>Cropland</w:t>
      </w:r>
      <w:r w:rsidRPr="001D5327">
        <w:t xml:space="preserve"> converted to </w:t>
      </w:r>
      <w:r w:rsidRPr="001D5327">
        <w:rPr>
          <w:i/>
          <w:iCs/>
        </w:rPr>
        <w:t>Forest</w:t>
      </w:r>
      <w:r w:rsidRPr="001D5327">
        <w:rPr>
          <w:i/>
        </w:rPr>
        <w:t xml:space="preserve"> land</w:t>
      </w:r>
      <w:r w:rsidRPr="001D5327">
        <w:t xml:space="preserve"> is estimated not to result in net N</w:t>
      </w:r>
      <w:r w:rsidRPr="001D5327">
        <w:rPr>
          <w:vertAlign w:val="subscript"/>
        </w:rPr>
        <w:t>2</w:t>
      </w:r>
      <w:r w:rsidRPr="001D5327">
        <w:t>O emissions because this land use conversion is associated with a net gain in SOC in New Zealand (see annex 5, section A5.2.4, table A5.2.8). In these situations, the notation key NO (not occurring) is reported in the CRTs.</w:t>
      </w:r>
    </w:p>
    <w:p w14:paraId="6D9D6371" w14:textId="77777777" w:rsidR="00E0181F" w:rsidRPr="001D5327" w:rsidRDefault="00E0181F" w:rsidP="00E0181F">
      <w:pPr>
        <w:pStyle w:val="Heading3"/>
        <w:spacing w:before="240"/>
      </w:pPr>
      <w:r w:rsidRPr="001D5327">
        <w:t xml:space="preserve">6.11.4 </w:t>
      </w:r>
      <w:r w:rsidRPr="001D5327">
        <w:tab/>
        <w:t>Indirect N</w:t>
      </w:r>
      <w:r w:rsidRPr="001D5327">
        <w:rPr>
          <w:vertAlign w:val="subscript"/>
        </w:rPr>
        <w:t>2</w:t>
      </w:r>
      <w:r w:rsidRPr="001D5327">
        <w:t>O emissions from leaching and runoff (4(I))</w:t>
      </w:r>
    </w:p>
    <w:p w14:paraId="49FCE6DA" w14:textId="77777777" w:rsidR="00E0181F" w:rsidRPr="001D5327" w:rsidRDefault="00E0181F" w:rsidP="00E0181F">
      <w:pPr>
        <w:pStyle w:val="BodyText"/>
        <w:spacing w:before="100" w:after="100"/>
      </w:pPr>
      <w:r w:rsidRPr="001D5327">
        <w:t>Indirect N</w:t>
      </w:r>
      <w:r w:rsidRPr="001D5327">
        <w:rPr>
          <w:spacing w:val="-2"/>
          <w:vertAlign w:val="subscript"/>
        </w:rPr>
        <w:t>2</w:t>
      </w:r>
      <w:r w:rsidRPr="001D5327">
        <w:t xml:space="preserve">O emissions from leaching and runoff are associated with mineralisation of nitrogen from loss of soil carbon in mineral and drained and/or managed organic soils through land-use </w:t>
      </w:r>
      <w:r w:rsidRPr="001D5327">
        <w:lastRenderedPageBreak/>
        <w:t xml:space="preserve">change or management practices. Emissions on </w:t>
      </w:r>
      <w:r w:rsidRPr="001D5327">
        <w:rPr>
          <w:i/>
          <w:iCs/>
        </w:rPr>
        <w:t>Cropland remaining cropland</w:t>
      </w:r>
      <w:r w:rsidRPr="001D5327">
        <w:t xml:space="preserve"> from leaching and runoff are reported under the Agriculture sector. Indirect N</w:t>
      </w:r>
      <w:r w:rsidRPr="001D5327">
        <w:rPr>
          <w:vertAlign w:val="subscript"/>
        </w:rPr>
        <w:t>2</w:t>
      </w:r>
      <w:r w:rsidRPr="001D5327">
        <w:t>O emissions from leaching and runoff for all other land use categories are reported under the LULUCF sector.</w:t>
      </w:r>
    </w:p>
    <w:p w14:paraId="06311C54" w14:textId="77777777" w:rsidR="00E0181F" w:rsidRPr="001D5327" w:rsidRDefault="00E0181F" w:rsidP="00E0181F">
      <w:pPr>
        <w:pStyle w:val="BodyText"/>
        <w:spacing w:before="100" w:after="100"/>
      </w:pPr>
      <w:r w:rsidRPr="001D5327">
        <w:t xml:space="preserve">Indirect emissions from leaching and runoff in all land use categories excluding </w:t>
      </w:r>
      <w:r w:rsidRPr="001D5327">
        <w:rPr>
          <w:i/>
          <w:iCs/>
        </w:rPr>
        <w:t>Cropland remaining cropland</w:t>
      </w:r>
      <w:r w:rsidRPr="001D5327">
        <w:t xml:space="preserve"> were estimated as 0.1 kt N</w:t>
      </w:r>
      <w:r w:rsidRPr="001D5327">
        <w:rPr>
          <w:spacing w:val="-2"/>
          <w:vertAlign w:val="subscript"/>
        </w:rPr>
        <w:t>2</w:t>
      </w:r>
      <w:r w:rsidRPr="001D5327">
        <w:t>O in 2023, which is 28.7 per cent lower than reported in 1990.</w:t>
      </w:r>
    </w:p>
    <w:p w14:paraId="251881E8" w14:textId="77777777" w:rsidR="00E0181F" w:rsidRPr="001D5327" w:rsidRDefault="00E0181F" w:rsidP="00E0181F">
      <w:pPr>
        <w:pStyle w:val="Heading4"/>
        <w:spacing w:before="200"/>
      </w:pPr>
      <w:r w:rsidRPr="001D5327">
        <w:t>Methodological issues</w:t>
      </w:r>
    </w:p>
    <w:p w14:paraId="383C6E62" w14:textId="77777777" w:rsidR="00E0181F" w:rsidRPr="001D5327" w:rsidRDefault="00E0181F" w:rsidP="00E0181F">
      <w:pPr>
        <w:pStyle w:val="BodyText"/>
        <w:spacing w:after="100"/>
      </w:pPr>
      <w:r w:rsidRPr="001D5327">
        <w:t>New Zealand applies the Tier 1 method outlined in the 2006 IPCC Guidelines (equation 11.10, IPCC, 2006a) for estimating N</w:t>
      </w:r>
      <w:r w:rsidRPr="001D5327">
        <w:rPr>
          <w:vertAlign w:val="subscript"/>
        </w:rPr>
        <w:t>2</w:t>
      </w:r>
      <w:r w:rsidRPr="001D5327">
        <w:t>O emissions from leaching and runoff. The following are the inputs to this equation.</w:t>
      </w:r>
    </w:p>
    <w:p w14:paraId="01637BEC" w14:textId="77777777" w:rsidR="00E0181F" w:rsidRPr="001D5327" w:rsidRDefault="00E0181F" w:rsidP="00407428">
      <w:pPr>
        <w:pStyle w:val="Bullet"/>
        <w:numPr>
          <w:ilvl w:val="0"/>
          <w:numId w:val="23"/>
        </w:numPr>
        <w:spacing w:after="100"/>
        <w:ind w:left="397" w:hanging="397"/>
      </w:pPr>
      <w:r w:rsidRPr="001D5327">
        <w:t>F</w:t>
      </w:r>
      <w:r w:rsidRPr="001D5327">
        <w:rPr>
          <w:vertAlign w:val="subscript"/>
        </w:rPr>
        <w:t>SOM</w:t>
      </w:r>
      <w:r w:rsidRPr="001D5327">
        <w:t xml:space="preserve"> – annual amount of N mineralised in mineral soils associated with loss of soil C from soil organic matter as a result of changes to land use or management in regions where leaching and runoff occur, kg N yr</w:t>
      </w:r>
      <w:r w:rsidRPr="001D5327">
        <w:rPr>
          <w:vertAlign w:val="superscript"/>
        </w:rPr>
        <w:t>–1</w:t>
      </w:r>
      <w:r w:rsidRPr="001D5327">
        <w:t>, is calculated using the method described in section 6.11.3 above.</w:t>
      </w:r>
    </w:p>
    <w:p w14:paraId="6095C9CD" w14:textId="4C339D5E" w:rsidR="00E0181F" w:rsidRPr="001D5327" w:rsidRDefault="00E0181F" w:rsidP="00407428">
      <w:pPr>
        <w:pStyle w:val="Bullet"/>
        <w:numPr>
          <w:ilvl w:val="0"/>
          <w:numId w:val="23"/>
        </w:numPr>
        <w:spacing w:after="100"/>
        <w:ind w:left="397" w:hanging="397"/>
      </w:pPr>
      <w:r w:rsidRPr="001D5327">
        <w:t>EF</w:t>
      </w:r>
      <w:r w:rsidRPr="001D5327">
        <w:rPr>
          <w:vertAlign w:val="subscript"/>
        </w:rPr>
        <w:t>5</w:t>
      </w:r>
      <w:r w:rsidRPr="001D5327">
        <w:t xml:space="preserve"> – emission factor for N</w:t>
      </w:r>
      <w:r w:rsidRPr="001D5327">
        <w:rPr>
          <w:vertAlign w:val="subscript"/>
        </w:rPr>
        <w:t>2</w:t>
      </w:r>
      <w:r w:rsidRPr="001D5327">
        <w:t>O emissions from N leaching and runoff, kg N</w:t>
      </w:r>
      <w:r w:rsidRPr="001D5327">
        <w:rPr>
          <w:vertAlign w:val="subscript"/>
        </w:rPr>
        <w:t>2</w:t>
      </w:r>
      <w:r w:rsidRPr="001D5327">
        <w:t>O–N (kg N leached and runoff)</w:t>
      </w:r>
      <w:r w:rsidRPr="001D5327">
        <w:rPr>
          <w:vertAlign w:val="superscript"/>
        </w:rPr>
        <w:t>–1</w:t>
      </w:r>
      <w:r w:rsidRPr="001D5327">
        <w:t xml:space="preserve"> uses the default emission factor of 0.0075 provided in table 11.3 of</w:t>
      </w:r>
      <w:r w:rsidR="006141EF" w:rsidRPr="001D5327">
        <w:t> </w:t>
      </w:r>
      <w:r w:rsidRPr="001D5327">
        <w:t>the IPCC Guidelines (IPCC, 2006a).</w:t>
      </w:r>
    </w:p>
    <w:p w14:paraId="6D6B98BC" w14:textId="77777777" w:rsidR="00E0181F" w:rsidRPr="001D5327" w:rsidRDefault="00E0181F" w:rsidP="00407428">
      <w:pPr>
        <w:pStyle w:val="Bullet"/>
        <w:numPr>
          <w:ilvl w:val="0"/>
          <w:numId w:val="23"/>
        </w:numPr>
        <w:spacing w:after="100"/>
        <w:ind w:left="397" w:hanging="397"/>
      </w:pPr>
      <w:r w:rsidRPr="001D5327">
        <w:t>Frac</w:t>
      </w:r>
      <w:r w:rsidRPr="001D5327">
        <w:rPr>
          <w:vertAlign w:val="subscript"/>
        </w:rPr>
        <w:t>LEACH-(H)</w:t>
      </w:r>
      <w:r w:rsidRPr="001D5327">
        <w:t xml:space="preserve"> – fraction of all N added to and/or mineralised in managed soils in regions where leaching and runoff occur that is lost through leaching and runoff, kg N (kg of N additions)</w:t>
      </w:r>
      <w:r w:rsidRPr="001D5327">
        <w:rPr>
          <w:vertAlign w:val="superscript"/>
        </w:rPr>
        <w:t>–1</w:t>
      </w:r>
      <w:r w:rsidRPr="001D5327">
        <w:t xml:space="preserve"> uses the default value of 0.30 provided in table 11.3 of the IPCC Guidelines (IPCC, 2006a).</w:t>
      </w:r>
    </w:p>
    <w:p w14:paraId="53CF52BE" w14:textId="77777777" w:rsidR="00E0181F" w:rsidRPr="001D5327" w:rsidRDefault="00E0181F" w:rsidP="00E0181F">
      <w:pPr>
        <w:pStyle w:val="Heading3"/>
        <w:tabs>
          <w:tab w:val="clear" w:pos="851"/>
          <w:tab w:val="left" w:pos="993"/>
        </w:tabs>
        <w:spacing w:before="320"/>
      </w:pPr>
      <w:r w:rsidRPr="001D5327">
        <w:t xml:space="preserve">6.11.5 </w:t>
      </w:r>
      <w:r w:rsidRPr="001D5327">
        <w:tab/>
        <w:t>Indirect N</w:t>
      </w:r>
      <w:r w:rsidRPr="001D5327">
        <w:rPr>
          <w:vertAlign w:val="subscript"/>
        </w:rPr>
        <w:t>2</w:t>
      </w:r>
      <w:r w:rsidRPr="001D5327">
        <w:t>O emissions from atmospheric deposition of N volatilised from managed soil (4(I))</w:t>
      </w:r>
    </w:p>
    <w:p w14:paraId="53A612F9" w14:textId="77777777" w:rsidR="00E0181F" w:rsidRPr="001D5327" w:rsidRDefault="00E0181F" w:rsidP="00E0181F">
      <w:pPr>
        <w:pStyle w:val="Heading4"/>
      </w:pPr>
      <w:r w:rsidRPr="001D5327">
        <w:t>Description</w:t>
      </w:r>
    </w:p>
    <w:p w14:paraId="2532AD08" w14:textId="77777777" w:rsidR="00E0181F" w:rsidRPr="001D5327" w:rsidRDefault="00E0181F" w:rsidP="00E0181F">
      <w:pPr>
        <w:pStyle w:val="BodyText"/>
        <w:spacing w:before="100" w:after="100"/>
      </w:pPr>
      <w:r w:rsidRPr="001D5327">
        <w:t xml:space="preserve">New Zealand cannot separate the sources of nitrogen between </w:t>
      </w:r>
      <w:r w:rsidRPr="001D5327">
        <w:rPr>
          <w:i/>
        </w:rPr>
        <w:t>Cropland</w:t>
      </w:r>
      <w:r w:rsidRPr="001D5327">
        <w:t xml:space="preserve">, </w:t>
      </w:r>
      <w:r w:rsidRPr="001D5327">
        <w:rPr>
          <w:i/>
        </w:rPr>
        <w:t>Grassland</w:t>
      </w:r>
      <w:r w:rsidRPr="001D5327">
        <w:t xml:space="preserve"> and </w:t>
      </w:r>
      <w:r w:rsidRPr="001D5327">
        <w:rPr>
          <w:i/>
        </w:rPr>
        <w:t>Other land</w:t>
      </w:r>
      <w:r w:rsidRPr="001D5327">
        <w:t xml:space="preserve"> uses. For this reason, it reports all </w:t>
      </w:r>
      <w:r w:rsidRPr="001D5327">
        <w:rPr>
          <w:i/>
        </w:rPr>
        <w:t>Indirect N</w:t>
      </w:r>
      <w:r w:rsidRPr="001D5327">
        <w:rPr>
          <w:i/>
          <w:vertAlign w:val="subscript"/>
        </w:rPr>
        <w:t>2</w:t>
      </w:r>
      <w:r w:rsidRPr="001D5327">
        <w:rPr>
          <w:i/>
        </w:rPr>
        <w:t>O emissions from</w:t>
      </w:r>
      <w:r w:rsidRPr="001D5327">
        <w:t xml:space="preserve"> </w:t>
      </w:r>
      <w:r w:rsidRPr="001D5327">
        <w:rPr>
          <w:i/>
        </w:rPr>
        <w:t xml:space="preserve">atmospheric deposition of N volatilised from managed soil </w:t>
      </w:r>
      <w:r w:rsidRPr="001D5327">
        <w:t>within CRT 3.D.b in the Agriculture</w:t>
      </w:r>
      <w:r w:rsidRPr="001D5327">
        <w:rPr>
          <w:i/>
        </w:rPr>
        <w:t xml:space="preserve"> </w:t>
      </w:r>
      <w:r w:rsidRPr="001D5327">
        <w:t>sector and uses the notation key IE within CRT 4(I) of the</w:t>
      </w:r>
      <w:r w:rsidRPr="001D5327">
        <w:rPr>
          <w:i/>
        </w:rPr>
        <w:t xml:space="preserve"> </w:t>
      </w:r>
      <w:r w:rsidRPr="001D5327">
        <w:t xml:space="preserve">LULUCF sector. </w:t>
      </w:r>
    </w:p>
    <w:p w14:paraId="2424C5D4" w14:textId="77777777" w:rsidR="00E0181F" w:rsidRPr="001D5327" w:rsidRDefault="00E0181F" w:rsidP="00E0181F">
      <w:pPr>
        <w:pStyle w:val="Heading3"/>
        <w:tabs>
          <w:tab w:val="clear" w:pos="851"/>
          <w:tab w:val="left" w:pos="993"/>
        </w:tabs>
        <w:spacing w:before="320"/>
      </w:pPr>
      <w:bookmarkStart w:id="2737" w:name="_Toc280630357"/>
      <w:r w:rsidRPr="001D5327">
        <w:t xml:space="preserve">6.11.6 </w:t>
      </w:r>
      <w:bookmarkStart w:id="2738" w:name="_Toc255466320"/>
      <w:bookmarkStart w:id="2739" w:name="_Toc261513127"/>
      <w:bookmarkStart w:id="2740" w:name="_Toc261513740"/>
      <w:bookmarkStart w:id="2741" w:name="_Toc280630364"/>
      <w:bookmarkEnd w:id="2737"/>
      <w:r w:rsidRPr="001D5327">
        <w:tab/>
        <w:t>Uncertainty assessment and time-series consistency for N</w:t>
      </w:r>
      <w:r w:rsidRPr="001D5327">
        <w:rPr>
          <w:vertAlign w:val="subscript"/>
        </w:rPr>
        <w:t>2</w:t>
      </w:r>
      <w:r w:rsidRPr="001D5327">
        <w:t>O emissions in soils associated with land-use change</w:t>
      </w:r>
    </w:p>
    <w:p w14:paraId="31C61927" w14:textId="77777777" w:rsidR="00E0181F" w:rsidRPr="001D5327" w:rsidRDefault="00E0181F" w:rsidP="00E0181F">
      <w:pPr>
        <w:pStyle w:val="BodyText"/>
        <w:spacing w:before="100" w:after="100"/>
      </w:pPr>
      <w:r w:rsidRPr="001D5327">
        <w:t>The uncertainty in net N</w:t>
      </w:r>
      <w:r w:rsidRPr="001D5327">
        <w:rPr>
          <w:vertAlign w:val="subscript"/>
        </w:rPr>
        <w:t>2</w:t>
      </w:r>
      <w:r w:rsidRPr="001D5327">
        <w:t xml:space="preserve">O emissions from nitrogen in soils associated with land-use change in 2023 is outlined in table 6.11.2. The methods used to calculate the uncertainty are further described in annex 5, section A5.2.8. </w:t>
      </w:r>
    </w:p>
    <w:p w14:paraId="17BFBD6B" w14:textId="77777777" w:rsidR="00E0181F" w:rsidRPr="001D5327" w:rsidRDefault="00E0181F" w:rsidP="00E0181F">
      <w:pPr>
        <w:pStyle w:val="Table"/>
      </w:pPr>
      <w:bookmarkStart w:id="2742" w:name="_Toc131591429"/>
      <w:bookmarkStart w:id="2743" w:name="_Toc158979987"/>
      <w:bookmarkStart w:id="2744" w:name="_Toc164153920"/>
      <w:bookmarkStart w:id="2745" w:name="_Toc190873154"/>
      <w:bookmarkStart w:id="2746" w:name="_Toc194241793"/>
      <w:r w:rsidRPr="001D5327">
        <w:t>Table 6.11.2</w:t>
      </w:r>
      <w:r w:rsidRPr="001D5327">
        <w:tab/>
        <w:t>Net N</w:t>
      </w:r>
      <w:r w:rsidRPr="001D5327">
        <w:rPr>
          <w:vertAlign w:val="subscript"/>
        </w:rPr>
        <w:t>2</w:t>
      </w:r>
      <w:r w:rsidRPr="001D5327">
        <w:t xml:space="preserve">O emissions from nitrogen in soils associated with land-use change in </w:t>
      </w:r>
      <w:bookmarkEnd w:id="2742"/>
      <w:bookmarkEnd w:id="2743"/>
      <w:bookmarkEnd w:id="2744"/>
      <w:r w:rsidRPr="001D5327">
        <w:t>2023</w:t>
      </w:r>
      <w:bookmarkEnd w:id="2745"/>
      <w:bookmarkEnd w:id="2746"/>
    </w:p>
    <w:tbl>
      <w:tblPr>
        <w:tblW w:w="8505"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4111"/>
        <w:gridCol w:w="1134"/>
        <w:gridCol w:w="1418"/>
        <w:gridCol w:w="1842"/>
      </w:tblGrid>
      <w:tr w:rsidR="00E0181F" w:rsidRPr="001D5327" w14:paraId="424735D5" w14:textId="77777777" w:rsidTr="00D11AC9">
        <w:tc>
          <w:tcPr>
            <w:tcW w:w="4111" w:type="dxa"/>
            <w:shd w:val="clear" w:color="auto" w:fill="1B556B" w:themeFill="text2"/>
            <w:vAlign w:val="bottom"/>
          </w:tcPr>
          <w:p w14:paraId="31D279F4" w14:textId="77777777" w:rsidR="00E0181F" w:rsidRPr="001D5327" w:rsidRDefault="00E0181F" w:rsidP="00D11AC9">
            <w:pPr>
              <w:pStyle w:val="TableTextBold"/>
              <w:keepNext/>
              <w:spacing w:before="40" w:after="40"/>
              <w:rPr>
                <w:noProof w:val="0"/>
                <w:color w:val="FFFFFF"/>
                <w:szCs w:val="16"/>
              </w:rPr>
            </w:pPr>
          </w:p>
        </w:tc>
        <w:tc>
          <w:tcPr>
            <w:tcW w:w="1134" w:type="dxa"/>
            <w:shd w:val="clear" w:color="auto" w:fill="1B556B" w:themeFill="text2"/>
            <w:vAlign w:val="bottom"/>
          </w:tcPr>
          <w:p w14:paraId="729D5570" w14:textId="77777777" w:rsidR="00E0181F" w:rsidRPr="001D5327" w:rsidRDefault="00E0181F" w:rsidP="00D11AC9">
            <w:pPr>
              <w:pStyle w:val="TableTextBold"/>
              <w:spacing w:before="40" w:after="40"/>
              <w:jc w:val="right"/>
              <w:rPr>
                <w:noProof w:val="0"/>
                <w:color w:val="FFFFFF"/>
                <w:szCs w:val="16"/>
              </w:rPr>
            </w:pPr>
            <w:r w:rsidRPr="001D5327">
              <w:rPr>
                <w:noProof w:val="0"/>
                <w:color w:val="FFFFFF"/>
                <w:szCs w:val="16"/>
              </w:rPr>
              <w:t xml:space="preserve">Emissions </w:t>
            </w:r>
            <w:r w:rsidRPr="001D5327">
              <w:rPr>
                <w:noProof w:val="0"/>
                <w:color w:val="FFFFFF"/>
                <w:szCs w:val="16"/>
              </w:rPr>
              <w:br/>
              <w:t>(kt CO</w:t>
            </w:r>
            <w:r w:rsidRPr="001D5327">
              <w:rPr>
                <w:noProof w:val="0"/>
                <w:color w:val="FFFFFF"/>
                <w:szCs w:val="16"/>
                <w:vertAlign w:val="subscript"/>
              </w:rPr>
              <w:t>2</w:t>
            </w:r>
            <w:r w:rsidRPr="001D5327">
              <w:rPr>
                <w:noProof w:val="0"/>
                <w:color w:val="FFFFFF"/>
                <w:szCs w:val="16"/>
              </w:rPr>
              <w:t>-e)</w:t>
            </w:r>
          </w:p>
        </w:tc>
        <w:tc>
          <w:tcPr>
            <w:tcW w:w="1418" w:type="dxa"/>
            <w:shd w:val="clear" w:color="auto" w:fill="1B556B" w:themeFill="text2"/>
          </w:tcPr>
          <w:p w14:paraId="18E394B0" w14:textId="77777777" w:rsidR="00E0181F" w:rsidRPr="001D5327" w:rsidRDefault="00E0181F" w:rsidP="00D11AC9">
            <w:pPr>
              <w:pStyle w:val="TableTextBold"/>
              <w:spacing w:before="40" w:after="40"/>
              <w:jc w:val="right"/>
              <w:rPr>
                <w:noProof w:val="0"/>
                <w:color w:val="FFFFFF"/>
                <w:szCs w:val="16"/>
              </w:rPr>
            </w:pPr>
            <w:r w:rsidRPr="001D5327">
              <w:rPr>
                <w:noProof w:val="0"/>
                <w:color w:val="FFFFFF"/>
                <w:szCs w:val="16"/>
              </w:rPr>
              <w:t>Uncertainty in emissions (%)</w:t>
            </w:r>
          </w:p>
        </w:tc>
        <w:tc>
          <w:tcPr>
            <w:tcW w:w="1842" w:type="dxa"/>
            <w:shd w:val="clear" w:color="auto" w:fill="1B556B" w:themeFill="text2"/>
          </w:tcPr>
          <w:p w14:paraId="6DCBE619" w14:textId="77777777" w:rsidR="00E0181F" w:rsidRPr="001D5327" w:rsidRDefault="00E0181F" w:rsidP="00D11AC9">
            <w:pPr>
              <w:pStyle w:val="TableTextBold"/>
              <w:spacing w:before="40" w:after="40"/>
              <w:jc w:val="right"/>
              <w:rPr>
                <w:noProof w:val="0"/>
                <w:color w:val="FFFFFF"/>
                <w:szCs w:val="16"/>
              </w:rPr>
            </w:pPr>
            <w:r w:rsidRPr="001D5327">
              <w:rPr>
                <w:noProof w:val="0"/>
                <w:color w:val="FFFFFF"/>
                <w:szCs w:val="16"/>
              </w:rPr>
              <w:t>Contribution to LULUCF uncertainty (%)</w:t>
            </w:r>
          </w:p>
        </w:tc>
      </w:tr>
      <w:tr w:rsidR="00E0181F" w:rsidRPr="001D5327" w14:paraId="2EF7FE9C" w14:textId="77777777" w:rsidTr="00D11AC9">
        <w:trPr>
          <w:trHeight w:val="287"/>
        </w:trPr>
        <w:tc>
          <w:tcPr>
            <w:tcW w:w="4111" w:type="dxa"/>
          </w:tcPr>
          <w:p w14:paraId="40E903D2" w14:textId="77777777" w:rsidR="00E0181F" w:rsidRPr="001D5327" w:rsidRDefault="00E0181F" w:rsidP="00D11AC9">
            <w:pPr>
              <w:pStyle w:val="TableText"/>
              <w:keepNext/>
              <w:spacing w:before="40" w:after="40"/>
              <w:rPr>
                <w:szCs w:val="16"/>
              </w:rPr>
            </w:pPr>
            <w:r w:rsidRPr="001D5327">
              <w:t>Direct N</w:t>
            </w:r>
            <w:r w:rsidRPr="001D5327">
              <w:rPr>
                <w:vertAlign w:val="subscript"/>
              </w:rPr>
              <w:t>2</w:t>
            </w:r>
            <w:r w:rsidRPr="001D5327">
              <w:t>O emissions from N mineralisation/immobilisation</w:t>
            </w:r>
          </w:p>
        </w:tc>
        <w:tc>
          <w:tcPr>
            <w:tcW w:w="1134" w:type="dxa"/>
          </w:tcPr>
          <w:p w14:paraId="46446827" w14:textId="77777777" w:rsidR="00E0181F" w:rsidRPr="001D5327" w:rsidRDefault="00E0181F" w:rsidP="00D11AC9">
            <w:pPr>
              <w:pStyle w:val="TableText"/>
              <w:spacing w:before="40" w:after="40"/>
              <w:jc w:val="right"/>
            </w:pPr>
            <w:r w:rsidRPr="001D5327">
              <w:t>117.7</w:t>
            </w:r>
          </w:p>
        </w:tc>
        <w:tc>
          <w:tcPr>
            <w:tcW w:w="1418" w:type="dxa"/>
          </w:tcPr>
          <w:p w14:paraId="495C8A57" w14:textId="77777777" w:rsidR="00E0181F" w:rsidRPr="001D5327" w:rsidRDefault="00E0181F" w:rsidP="00D11AC9">
            <w:pPr>
              <w:pStyle w:val="TableText"/>
              <w:spacing w:before="40" w:after="40"/>
              <w:jc w:val="right"/>
              <w:rPr>
                <w:rFonts w:cs="Yu Gothic"/>
              </w:rPr>
            </w:pPr>
            <w:r w:rsidRPr="001D5327">
              <w:t>85.5</w:t>
            </w:r>
          </w:p>
        </w:tc>
        <w:tc>
          <w:tcPr>
            <w:tcW w:w="1842" w:type="dxa"/>
          </w:tcPr>
          <w:p w14:paraId="7E341434" w14:textId="77777777" w:rsidR="00E0181F" w:rsidRPr="001D5327" w:rsidRDefault="00E0181F" w:rsidP="00D11AC9">
            <w:pPr>
              <w:pStyle w:val="TableText"/>
              <w:spacing w:before="40" w:after="40"/>
              <w:jc w:val="right"/>
              <w:rPr>
                <w:rFonts w:cs="Yu Gothic"/>
              </w:rPr>
            </w:pPr>
            <w:r w:rsidRPr="001D5327">
              <w:t>0.5</w:t>
            </w:r>
          </w:p>
        </w:tc>
      </w:tr>
      <w:tr w:rsidR="00E0181F" w:rsidRPr="001D5327" w14:paraId="09B3B9F6" w14:textId="77777777" w:rsidTr="00D11AC9">
        <w:trPr>
          <w:trHeight w:val="279"/>
        </w:trPr>
        <w:tc>
          <w:tcPr>
            <w:tcW w:w="4111" w:type="dxa"/>
          </w:tcPr>
          <w:p w14:paraId="7AEF79EA" w14:textId="77777777" w:rsidR="00E0181F" w:rsidRPr="001D5327" w:rsidRDefault="00E0181F" w:rsidP="00D11AC9">
            <w:pPr>
              <w:pStyle w:val="TableText"/>
              <w:keepNext/>
              <w:spacing w:before="40" w:after="40"/>
              <w:rPr>
                <w:szCs w:val="16"/>
              </w:rPr>
            </w:pPr>
            <w:r w:rsidRPr="001D5327">
              <w:t>Direct N</w:t>
            </w:r>
            <w:r w:rsidRPr="001D5327">
              <w:rPr>
                <w:vertAlign w:val="subscript"/>
              </w:rPr>
              <w:t>2</w:t>
            </w:r>
            <w:r w:rsidRPr="001D5327">
              <w:t>O emissions from drainage and rewetting</w:t>
            </w:r>
          </w:p>
        </w:tc>
        <w:tc>
          <w:tcPr>
            <w:tcW w:w="1134" w:type="dxa"/>
          </w:tcPr>
          <w:p w14:paraId="5024FEA4" w14:textId="77777777" w:rsidR="00E0181F" w:rsidRPr="001D5327" w:rsidRDefault="00E0181F" w:rsidP="00D11AC9">
            <w:pPr>
              <w:pStyle w:val="TableText"/>
              <w:spacing w:before="40" w:after="40"/>
              <w:jc w:val="right"/>
            </w:pPr>
            <w:r w:rsidRPr="001D5327">
              <w:t>98.7</w:t>
            </w:r>
          </w:p>
        </w:tc>
        <w:tc>
          <w:tcPr>
            <w:tcW w:w="1418" w:type="dxa"/>
          </w:tcPr>
          <w:p w14:paraId="3649C480" w14:textId="77777777" w:rsidR="00E0181F" w:rsidRPr="001D5327" w:rsidRDefault="00E0181F" w:rsidP="00D11AC9">
            <w:pPr>
              <w:pStyle w:val="TableText"/>
              <w:spacing w:before="40" w:after="40"/>
              <w:jc w:val="right"/>
              <w:rPr>
                <w:rFonts w:cs="Yu Gothic"/>
              </w:rPr>
            </w:pPr>
            <w:r w:rsidRPr="001D5327">
              <w:t>86.5</w:t>
            </w:r>
          </w:p>
        </w:tc>
        <w:tc>
          <w:tcPr>
            <w:tcW w:w="1842" w:type="dxa"/>
          </w:tcPr>
          <w:p w14:paraId="4704440E" w14:textId="77777777" w:rsidR="00E0181F" w:rsidRPr="001D5327" w:rsidRDefault="00E0181F" w:rsidP="00D11AC9">
            <w:pPr>
              <w:pStyle w:val="TableText"/>
              <w:spacing w:before="40" w:after="40"/>
              <w:jc w:val="right"/>
              <w:rPr>
                <w:rFonts w:cs="Yu Gothic"/>
              </w:rPr>
            </w:pPr>
            <w:r w:rsidRPr="001D5327">
              <w:t>0.4</w:t>
            </w:r>
          </w:p>
        </w:tc>
      </w:tr>
      <w:tr w:rsidR="00E0181F" w:rsidRPr="001D5327" w14:paraId="3ECFECA7" w14:textId="77777777" w:rsidTr="00D11AC9">
        <w:trPr>
          <w:trHeight w:val="279"/>
        </w:trPr>
        <w:tc>
          <w:tcPr>
            <w:tcW w:w="4111" w:type="dxa"/>
          </w:tcPr>
          <w:p w14:paraId="4EF1C2EC" w14:textId="77777777" w:rsidR="00E0181F" w:rsidRPr="001D5327" w:rsidRDefault="00E0181F" w:rsidP="00D11AC9">
            <w:pPr>
              <w:pStyle w:val="TableText"/>
              <w:keepNext/>
              <w:spacing w:before="40" w:after="40"/>
            </w:pPr>
            <w:r w:rsidRPr="001D5327">
              <w:t>Indirect emissions from leaching and runoff</w:t>
            </w:r>
          </w:p>
        </w:tc>
        <w:tc>
          <w:tcPr>
            <w:tcW w:w="1134" w:type="dxa"/>
          </w:tcPr>
          <w:p w14:paraId="2BCFA630" w14:textId="77777777" w:rsidR="00E0181F" w:rsidRPr="001D5327" w:rsidRDefault="00E0181F" w:rsidP="00D11AC9">
            <w:pPr>
              <w:pStyle w:val="TableText"/>
              <w:spacing w:before="40" w:after="40"/>
              <w:jc w:val="right"/>
            </w:pPr>
            <w:r w:rsidRPr="001D5327">
              <w:t>26.5</w:t>
            </w:r>
          </w:p>
        </w:tc>
        <w:tc>
          <w:tcPr>
            <w:tcW w:w="1418" w:type="dxa"/>
          </w:tcPr>
          <w:p w14:paraId="582739BB" w14:textId="77777777" w:rsidR="00E0181F" w:rsidRPr="001D5327" w:rsidRDefault="00E0181F" w:rsidP="00D11AC9">
            <w:pPr>
              <w:pStyle w:val="TableText"/>
              <w:spacing w:before="40" w:after="40"/>
              <w:jc w:val="right"/>
            </w:pPr>
            <w:r w:rsidRPr="001D5327">
              <w:t>126.8</w:t>
            </w:r>
          </w:p>
        </w:tc>
        <w:tc>
          <w:tcPr>
            <w:tcW w:w="1842" w:type="dxa"/>
          </w:tcPr>
          <w:p w14:paraId="73DEA0E8" w14:textId="77777777" w:rsidR="00E0181F" w:rsidRPr="001D5327" w:rsidRDefault="00E0181F" w:rsidP="00D11AC9">
            <w:pPr>
              <w:pStyle w:val="TableText"/>
              <w:spacing w:before="40" w:after="40"/>
              <w:jc w:val="right"/>
            </w:pPr>
            <w:r w:rsidRPr="001D5327">
              <w:t>0.2</w:t>
            </w:r>
          </w:p>
        </w:tc>
      </w:tr>
    </w:tbl>
    <w:p w14:paraId="49B68C9F" w14:textId="77777777" w:rsidR="00E0181F" w:rsidRPr="001D5327" w:rsidRDefault="00E0181F" w:rsidP="00E0181F">
      <w:pPr>
        <w:pStyle w:val="BodyText"/>
        <w:spacing w:before="240"/>
      </w:pPr>
      <w:r w:rsidRPr="001D5327">
        <w:t xml:space="preserve">Time-series consistency is ensured by applying consistent methods and full recalculations in the event of any refinement or improvement to methodology. </w:t>
      </w:r>
    </w:p>
    <w:p w14:paraId="7B3D9450" w14:textId="77777777" w:rsidR="00E0181F" w:rsidRPr="001D5327" w:rsidRDefault="00E0181F" w:rsidP="00E0181F">
      <w:pPr>
        <w:pStyle w:val="Heading3"/>
        <w:tabs>
          <w:tab w:val="clear" w:pos="851"/>
          <w:tab w:val="left" w:pos="993"/>
        </w:tabs>
        <w:spacing w:before="280"/>
      </w:pPr>
      <w:r w:rsidRPr="001D5327">
        <w:lastRenderedPageBreak/>
        <w:t>6.11.7</w:t>
      </w:r>
      <w:r w:rsidRPr="001D5327">
        <w:tab/>
        <w:t>Category-specific planned improvements for N</w:t>
      </w:r>
      <w:r w:rsidRPr="001D5327">
        <w:rPr>
          <w:vertAlign w:val="subscript"/>
        </w:rPr>
        <w:t>2</w:t>
      </w:r>
      <w:r w:rsidRPr="001D5327">
        <w:t>O emissions in soils associated with land-use change</w:t>
      </w:r>
    </w:p>
    <w:p w14:paraId="046FB821" w14:textId="77777777" w:rsidR="00E0181F" w:rsidRPr="001D5327" w:rsidRDefault="00E0181F" w:rsidP="00E0181F">
      <w:pPr>
        <w:pStyle w:val="BodyText"/>
        <w:spacing w:before="100" w:after="100"/>
      </w:pPr>
      <w:r w:rsidRPr="001D5327">
        <w:t xml:space="preserve">Nitrous oxide emissions associated with the drainage of organic soils in </w:t>
      </w:r>
      <w:r w:rsidRPr="001D5327">
        <w:rPr>
          <w:i/>
          <w:iCs/>
        </w:rPr>
        <w:t>Settlements</w:t>
      </w:r>
      <w:r w:rsidRPr="001D5327">
        <w:t xml:space="preserve"> are planned to be included in the 2026 submission because New Zealand considers that most of its </w:t>
      </w:r>
      <w:r w:rsidRPr="001D5327">
        <w:rPr>
          <w:i/>
          <w:iCs/>
        </w:rPr>
        <w:t>Settlements</w:t>
      </w:r>
      <w:r w:rsidRPr="001D5327">
        <w:t xml:space="preserve"> area can be assimilated to </w:t>
      </w:r>
      <w:r w:rsidRPr="001D5327">
        <w:rPr>
          <w:i/>
          <w:iCs/>
        </w:rPr>
        <w:t>Grassland</w:t>
      </w:r>
      <w:r w:rsidRPr="001D5327">
        <w:t xml:space="preserve"> when it comes to soil carbon. This is covered in section 6.8.6.</w:t>
      </w:r>
    </w:p>
    <w:p w14:paraId="4CF76F3A" w14:textId="77777777" w:rsidR="00E0181F" w:rsidRPr="001D5327" w:rsidRDefault="00E0181F" w:rsidP="00E0181F">
      <w:pPr>
        <w:pStyle w:val="Heading3"/>
        <w:tabs>
          <w:tab w:val="clear" w:pos="851"/>
          <w:tab w:val="left" w:pos="993"/>
        </w:tabs>
        <w:spacing w:before="280"/>
      </w:pPr>
      <w:r w:rsidRPr="001D5327">
        <w:t xml:space="preserve">6.11.8 </w:t>
      </w:r>
      <w:r w:rsidRPr="001D5327">
        <w:tab/>
        <w:t>Biomass burning</w:t>
      </w:r>
      <w:bookmarkEnd w:id="2738"/>
      <w:bookmarkEnd w:id="2739"/>
      <w:bookmarkEnd w:id="2740"/>
      <w:r w:rsidRPr="001D5327">
        <w:t xml:space="preserve"> (4(IV)</w:t>
      </w:r>
      <w:bookmarkEnd w:id="2741"/>
      <w:r w:rsidRPr="001D5327">
        <w:t>)</w:t>
      </w:r>
    </w:p>
    <w:p w14:paraId="4B72E879" w14:textId="77777777" w:rsidR="00E0181F" w:rsidRPr="001D5327" w:rsidRDefault="00E0181F" w:rsidP="00E0181F">
      <w:pPr>
        <w:pStyle w:val="Heading4"/>
      </w:pPr>
      <w:bookmarkStart w:id="2747" w:name="_Toc280630365"/>
      <w:r w:rsidRPr="001D5327">
        <w:t>Description</w:t>
      </w:r>
      <w:bookmarkEnd w:id="2747"/>
    </w:p>
    <w:p w14:paraId="124D5316" w14:textId="77777777" w:rsidR="00E0181F" w:rsidRPr="001D5327" w:rsidRDefault="00E0181F" w:rsidP="00E0181F">
      <w:pPr>
        <w:pStyle w:val="BodyText"/>
      </w:pPr>
      <w:r w:rsidRPr="001D5327">
        <w:t>Non-CO</w:t>
      </w:r>
      <w:r w:rsidRPr="001D5327">
        <w:rPr>
          <w:vertAlign w:val="subscript"/>
        </w:rPr>
        <w:t xml:space="preserve">2 </w:t>
      </w:r>
      <w:r w:rsidRPr="001D5327">
        <w:t xml:space="preserve">emissions from </w:t>
      </w:r>
      <w:r w:rsidRPr="001D5327">
        <w:rPr>
          <w:i/>
        </w:rPr>
        <w:t>Biomass burning</w:t>
      </w:r>
      <w:r w:rsidRPr="001D5327">
        <w:t xml:space="preserve"> in 2023 were 1.6 kt CH</w:t>
      </w:r>
      <w:r w:rsidRPr="001D5327">
        <w:rPr>
          <w:vertAlign w:val="subscript"/>
        </w:rPr>
        <w:t>4</w:t>
      </w:r>
      <w:r w:rsidRPr="001D5327">
        <w:t xml:space="preserve"> (45.8 kt CO</w:t>
      </w:r>
      <w:r w:rsidRPr="001D5327">
        <w:rPr>
          <w:vertAlign w:val="subscript"/>
        </w:rPr>
        <w:t>2</w:t>
      </w:r>
      <w:r w:rsidRPr="001D5327">
        <w:t>-e) and 0.1 kt N</w:t>
      </w:r>
      <w:r w:rsidRPr="001D5327">
        <w:rPr>
          <w:vertAlign w:val="subscript"/>
        </w:rPr>
        <w:t>2</w:t>
      </w:r>
      <w:r w:rsidRPr="001D5327">
        <w:t>O (25.2 kt CO</w:t>
      </w:r>
      <w:r w:rsidRPr="001D5327">
        <w:rPr>
          <w:vertAlign w:val="subscript"/>
        </w:rPr>
        <w:t>2</w:t>
      </w:r>
      <w:r w:rsidRPr="001D5327">
        <w:t>-e) (see table 6.11.3).</w:t>
      </w:r>
    </w:p>
    <w:p w14:paraId="3B792066" w14:textId="77777777" w:rsidR="00E0181F" w:rsidRPr="001D5327" w:rsidRDefault="00E0181F" w:rsidP="00E0181F">
      <w:pPr>
        <w:pStyle w:val="Table"/>
        <w:rPr>
          <w:i/>
        </w:rPr>
      </w:pPr>
      <w:bookmarkStart w:id="2748" w:name="_Toc310423431"/>
      <w:bookmarkStart w:id="2749" w:name="_Toc318362724"/>
      <w:bookmarkStart w:id="2750" w:name="_Toc342470799"/>
      <w:bookmarkStart w:id="2751" w:name="_Toc352505039"/>
      <w:bookmarkStart w:id="2752" w:name="_Toc378853328"/>
      <w:bookmarkStart w:id="2753" w:name="_Toc391024126"/>
      <w:bookmarkStart w:id="2754" w:name="_Toc410028870"/>
      <w:bookmarkStart w:id="2755" w:name="_Toc414531498"/>
      <w:bookmarkStart w:id="2756" w:name="_Toc443645412"/>
      <w:bookmarkStart w:id="2757" w:name="_Toc474914631"/>
      <w:bookmarkStart w:id="2758" w:name="_Toc481751595"/>
      <w:bookmarkStart w:id="2759" w:name="_Toc522010652"/>
      <w:bookmarkStart w:id="2760" w:name="_Toc5269557"/>
      <w:bookmarkStart w:id="2761" w:name="_Toc33529431"/>
      <w:bookmarkStart w:id="2762" w:name="_Toc36224637"/>
      <w:bookmarkStart w:id="2763" w:name="_Toc131591430"/>
      <w:bookmarkStart w:id="2764" w:name="_Toc158979988"/>
      <w:bookmarkStart w:id="2765" w:name="_Toc164153921"/>
      <w:bookmarkStart w:id="2766" w:name="_Toc190873155"/>
      <w:bookmarkStart w:id="2767" w:name="_Toc194241794"/>
      <w:r w:rsidRPr="001D5327">
        <w:t>Table 6.11.3</w:t>
      </w:r>
      <w:r w:rsidRPr="001D5327">
        <w:tab/>
        <w:t>Non-CO</w:t>
      </w:r>
      <w:r w:rsidRPr="001D5327">
        <w:rPr>
          <w:vertAlign w:val="subscript"/>
        </w:rPr>
        <w:t>2</w:t>
      </w:r>
      <w:r w:rsidRPr="001D5327">
        <w:t xml:space="preserve"> emissions from </w:t>
      </w:r>
      <w:r w:rsidRPr="001D5327">
        <w:rPr>
          <w:i/>
        </w:rPr>
        <w:t>Biomass burning</w:t>
      </w:r>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p>
    <w:tbl>
      <w:tblPr>
        <w:tblW w:w="0" w:type="auto"/>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2126"/>
        <w:gridCol w:w="2126"/>
        <w:gridCol w:w="2126"/>
        <w:gridCol w:w="2126"/>
      </w:tblGrid>
      <w:tr w:rsidR="00E0181F" w:rsidRPr="001D5327" w14:paraId="19F986D4" w14:textId="77777777" w:rsidTr="00D11AC9">
        <w:trPr>
          <w:tblHeader/>
        </w:trPr>
        <w:tc>
          <w:tcPr>
            <w:tcW w:w="2126" w:type="dxa"/>
            <w:shd w:val="clear" w:color="auto" w:fill="1B556B"/>
            <w:tcMar>
              <w:top w:w="0" w:type="dxa"/>
              <w:left w:w="85" w:type="dxa"/>
              <w:bottom w:w="0" w:type="dxa"/>
              <w:right w:w="85" w:type="dxa"/>
            </w:tcMar>
            <w:vAlign w:val="center"/>
          </w:tcPr>
          <w:p w14:paraId="30DCC5BE" w14:textId="77777777" w:rsidR="00E0181F" w:rsidRPr="001D5327" w:rsidRDefault="00E0181F" w:rsidP="00D11AC9">
            <w:pPr>
              <w:pStyle w:val="TableTextBold"/>
              <w:spacing w:before="40" w:after="40"/>
              <w:rPr>
                <w:noProof w:val="0"/>
                <w:color w:val="FFFFFF" w:themeColor="background1"/>
              </w:rPr>
            </w:pPr>
            <w:r w:rsidRPr="001D5327">
              <w:rPr>
                <w:rFonts w:eastAsia="Calibri"/>
                <w:noProof w:val="0"/>
                <w:color w:val="FFFFFF" w:themeColor="background1"/>
              </w:rPr>
              <w:t>Emissions</w:t>
            </w:r>
          </w:p>
        </w:tc>
        <w:tc>
          <w:tcPr>
            <w:tcW w:w="2126" w:type="dxa"/>
            <w:shd w:val="clear" w:color="auto" w:fill="1B556B"/>
            <w:tcMar>
              <w:top w:w="0" w:type="dxa"/>
              <w:left w:w="85" w:type="dxa"/>
              <w:bottom w:w="0" w:type="dxa"/>
              <w:right w:w="85" w:type="dxa"/>
            </w:tcMar>
            <w:vAlign w:val="center"/>
          </w:tcPr>
          <w:p w14:paraId="209AD7F3"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1990</w:t>
            </w:r>
          </w:p>
        </w:tc>
        <w:tc>
          <w:tcPr>
            <w:tcW w:w="2126" w:type="dxa"/>
            <w:shd w:val="clear" w:color="auto" w:fill="1B556B"/>
            <w:tcMar>
              <w:top w:w="0" w:type="dxa"/>
              <w:left w:w="85" w:type="dxa"/>
              <w:bottom w:w="0" w:type="dxa"/>
              <w:right w:w="85" w:type="dxa"/>
            </w:tcMar>
            <w:vAlign w:val="center"/>
          </w:tcPr>
          <w:p w14:paraId="6F5B5B84"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2023</w:t>
            </w:r>
          </w:p>
        </w:tc>
        <w:tc>
          <w:tcPr>
            <w:tcW w:w="2126" w:type="dxa"/>
            <w:shd w:val="clear" w:color="auto" w:fill="1B556B"/>
            <w:tcMar>
              <w:top w:w="0" w:type="dxa"/>
              <w:left w:w="85" w:type="dxa"/>
              <w:bottom w:w="0" w:type="dxa"/>
              <w:right w:w="85" w:type="dxa"/>
            </w:tcMar>
            <w:vAlign w:val="center"/>
          </w:tcPr>
          <w:p w14:paraId="1ED2D9C8" w14:textId="77777777" w:rsidR="00E0181F" w:rsidRPr="001D5327" w:rsidRDefault="00E0181F" w:rsidP="00D11AC9">
            <w:pPr>
              <w:pStyle w:val="TableTextBold"/>
              <w:spacing w:before="40" w:after="40"/>
              <w:jc w:val="right"/>
              <w:rPr>
                <w:noProof w:val="0"/>
                <w:color w:val="FFFFFF" w:themeColor="background1"/>
              </w:rPr>
            </w:pPr>
            <w:r w:rsidRPr="001D5327">
              <w:rPr>
                <w:rFonts w:eastAsia="Calibri"/>
                <w:noProof w:val="0"/>
                <w:color w:val="FFFFFF" w:themeColor="background1"/>
              </w:rPr>
              <w:t>Change from 1990 (%)</w:t>
            </w:r>
          </w:p>
        </w:tc>
      </w:tr>
      <w:tr w:rsidR="00E0181F" w:rsidRPr="001D5327" w14:paraId="09A55660" w14:textId="77777777" w:rsidTr="00D11AC9">
        <w:tc>
          <w:tcPr>
            <w:tcW w:w="2126" w:type="dxa"/>
            <w:shd w:val="clear" w:color="auto" w:fill="FFFFFF"/>
            <w:tcMar>
              <w:top w:w="0" w:type="dxa"/>
              <w:left w:w="85" w:type="dxa"/>
              <w:bottom w:w="0" w:type="dxa"/>
              <w:right w:w="85" w:type="dxa"/>
            </w:tcMar>
            <w:vAlign w:val="center"/>
          </w:tcPr>
          <w:p w14:paraId="14B63D33" w14:textId="77777777" w:rsidR="00E0181F" w:rsidRPr="001D5327" w:rsidRDefault="00E0181F" w:rsidP="00D11AC9">
            <w:pPr>
              <w:pStyle w:val="TableText"/>
              <w:spacing w:before="40" w:after="40"/>
            </w:pPr>
            <w:r w:rsidRPr="001D5327">
              <w:rPr>
                <w:rFonts w:eastAsia="Calibri"/>
              </w:rPr>
              <w:t>CH₄ emissions (kt CH₄)</w:t>
            </w:r>
          </w:p>
        </w:tc>
        <w:tc>
          <w:tcPr>
            <w:tcW w:w="2126" w:type="dxa"/>
            <w:shd w:val="clear" w:color="auto" w:fill="FFFFFF"/>
            <w:tcMar>
              <w:top w:w="0" w:type="dxa"/>
              <w:left w:w="85" w:type="dxa"/>
              <w:bottom w:w="0" w:type="dxa"/>
              <w:right w:w="85" w:type="dxa"/>
            </w:tcMar>
            <w:vAlign w:val="center"/>
          </w:tcPr>
          <w:p w14:paraId="2E567A43" w14:textId="77777777" w:rsidR="00E0181F" w:rsidRPr="001D5327" w:rsidRDefault="00E0181F" w:rsidP="00D11AC9">
            <w:pPr>
              <w:pStyle w:val="TableText"/>
              <w:spacing w:before="40" w:after="40"/>
              <w:jc w:val="right"/>
            </w:pPr>
            <w:r w:rsidRPr="001D5327">
              <w:rPr>
                <w:rFonts w:eastAsia="Calibri"/>
              </w:rPr>
              <w:t>2.8</w:t>
            </w:r>
          </w:p>
        </w:tc>
        <w:tc>
          <w:tcPr>
            <w:tcW w:w="2126" w:type="dxa"/>
            <w:shd w:val="clear" w:color="auto" w:fill="FFFFFF"/>
            <w:tcMar>
              <w:top w:w="0" w:type="dxa"/>
              <w:left w:w="85" w:type="dxa"/>
              <w:bottom w:w="0" w:type="dxa"/>
              <w:right w:w="85" w:type="dxa"/>
            </w:tcMar>
            <w:vAlign w:val="center"/>
          </w:tcPr>
          <w:p w14:paraId="469D20AD" w14:textId="77777777" w:rsidR="00E0181F" w:rsidRPr="001D5327" w:rsidRDefault="00E0181F" w:rsidP="00D11AC9">
            <w:pPr>
              <w:pStyle w:val="TableText"/>
              <w:spacing w:before="40" w:after="40"/>
              <w:jc w:val="right"/>
            </w:pPr>
            <w:r w:rsidRPr="001D5327">
              <w:rPr>
                <w:rFonts w:eastAsia="Calibri"/>
              </w:rPr>
              <w:t>1.6</w:t>
            </w:r>
          </w:p>
        </w:tc>
        <w:tc>
          <w:tcPr>
            <w:tcW w:w="2126" w:type="dxa"/>
            <w:shd w:val="clear" w:color="auto" w:fill="FFFFFF"/>
            <w:tcMar>
              <w:top w:w="0" w:type="dxa"/>
              <w:left w:w="85" w:type="dxa"/>
              <w:bottom w:w="0" w:type="dxa"/>
              <w:right w:w="85" w:type="dxa"/>
            </w:tcMar>
            <w:vAlign w:val="center"/>
          </w:tcPr>
          <w:p w14:paraId="14FB5981" w14:textId="0A5544BE" w:rsidR="00E0181F" w:rsidRPr="001D5327" w:rsidRDefault="0070503C" w:rsidP="00D11AC9">
            <w:pPr>
              <w:pStyle w:val="TableText"/>
              <w:spacing w:before="40" w:after="40"/>
              <w:jc w:val="right"/>
            </w:pPr>
            <w:r>
              <w:rPr>
                <w:rFonts w:eastAsia="Calibri"/>
              </w:rPr>
              <w:t>-</w:t>
            </w:r>
            <w:r w:rsidR="00E0181F" w:rsidRPr="001D5327">
              <w:rPr>
                <w:rFonts w:eastAsia="Calibri"/>
              </w:rPr>
              <w:t>41.0</w:t>
            </w:r>
          </w:p>
        </w:tc>
      </w:tr>
      <w:tr w:rsidR="00E0181F" w:rsidRPr="001D5327" w14:paraId="76FAF43F" w14:textId="77777777" w:rsidTr="00D11AC9">
        <w:tc>
          <w:tcPr>
            <w:tcW w:w="2126" w:type="dxa"/>
            <w:shd w:val="clear" w:color="auto" w:fill="FFFFFF"/>
            <w:tcMar>
              <w:top w:w="0" w:type="dxa"/>
              <w:left w:w="85" w:type="dxa"/>
              <w:bottom w:w="0" w:type="dxa"/>
              <w:right w:w="85" w:type="dxa"/>
            </w:tcMar>
            <w:vAlign w:val="center"/>
          </w:tcPr>
          <w:p w14:paraId="26EF504E" w14:textId="77777777" w:rsidR="00E0181F" w:rsidRPr="001D5327" w:rsidRDefault="00E0181F" w:rsidP="00D11AC9">
            <w:pPr>
              <w:pStyle w:val="TableText"/>
              <w:spacing w:before="40" w:after="40"/>
            </w:pPr>
            <w:r w:rsidRPr="001D5327">
              <w:rPr>
                <w:rFonts w:eastAsia="Calibri"/>
              </w:rPr>
              <w:t>N₂O emissions (kt N₂O)</w:t>
            </w:r>
          </w:p>
        </w:tc>
        <w:tc>
          <w:tcPr>
            <w:tcW w:w="2126" w:type="dxa"/>
            <w:shd w:val="clear" w:color="auto" w:fill="FFFFFF"/>
            <w:tcMar>
              <w:top w:w="0" w:type="dxa"/>
              <w:left w:w="85" w:type="dxa"/>
              <w:bottom w:w="0" w:type="dxa"/>
              <w:right w:w="85" w:type="dxa"/>
            </w:tcMar>
            <w:vAlign w:val="center"/>
          </w:tcPr>
          <w:p w14:paraId="45E8995A" w14:textId="77777777" w:rsidR="00E0181F" w:rsidRPr="001D5327" w:rsidRDefault="00E0181F" w:rsidP="00D11AC9">
            <w:pPr>
              <w:pStyle w:val="TableText"/>
              <w:spacing w:before="40" w:after="40"/>
              <w:jc w:val="right"/>
            </w:pPr>
            <w:r w:rsidRPr="001D5327">
              <w:rPr>
                <w:rFonts w:eastAsia="Calibri"/>
              </w:rPr>
              <w:t>0.1</w:t>
            </w:r>
          </w:p>
        </w:tc>
        <w:tc>
          <w:tcPr>
            <w:tcW w:w="2126" w:type="dxa"/>
            <w:shd w:val="clear" w:color="auto" w:fill="FFFFFF"/>
            <w:tcMar>
              <w:top w:w="0" w:type="dxa"/>
              <w:left w:w="85" w:type="dxa"/>
              <w:bottom w:w="0" w:type="dxa"/>
              <w:right w:w="85" w:type="dxa"/>
            </w:tcMar>
            <w:vAlign w:val="center"/>
          </w:tcPr>
          <w:p w14:paraId="074FE372" w14:textId="77777777" w:rsidR="00E0181F" w:rsidRPr="001D5327" w:rsidRDefault="00E0181F" w:rsidP="00D11AC9">
            <w:pPr>
              <w:pStyle w:val="TableText"/>
              <w:spacing w:before="40" w:after="40"/>
              <w:jc w:val="right"/>
            </w:pPr>
            <w:r w:rsidRPr="001D5327">
              <w:rPr>
                <w:rFonts w:eastAsia="Calibri"/>
              </w:rPr>
              <w:t>0.1</w:t>
            </w:r>
          </w:p>
        </w:tc>
        <w:tc>
          <w:tcPr>
            <w:tcW w:w="2126" w:type="dxa"/>
            <w:shd w:val="clear" w:color="auto" w:fill="FFFFFF"/>
            <w:tcMar>
              <w:top w:w="0" w:type="dxa"/>
              <w:left w:w="85" w:type="dxa"/>
              <w:bottom w:w="0" w:type="dxa"/>
              <w:right w:w="85" w:type="dxa"/>
            </w:tcMar>
            <w:vAlign w:val="center"/>
          </w:tcPr>
          <w:p w14:paraId="1ED54669" w14:textId="77777777" w:rsidR="00E0181F" w:rsidRPr="001D5327" w:rsidRDefault="00E0181F" w:rsidP="00D11AC9">
            <w:pPr>
              <w:pStyle w:val="TableText"/>
              <w:spacing w:before="40" w:after="40"/>
              <w:jc w:val="right"/>
            </w:pPr>
            <w:r w:rsidRPr="001D5327">
              <w:rPr>
                <w:rFonts w:eastAsia="Calibri"/>
              </w:rPr>
              <w:t>8.1</w:t>
            </w:r>
          </w:p>
        </w:tc>
      </w:tr>
    </w:tbl>
    <w:p w14:paraId="14790761" w14:textId="77777777" w:rsidR="00E0181F" w:rsidRPr="001D5327" w:rsidRDefault="00E0181F" w:rsidP="00E0181F">
      <w:pPr>
        <w:pStyle w:val="BodyText"/>
        <w:spacing w:before="240"/>
      </w:pPr>
      <w:r w:rsidRPr="001D5327">
        <w:rPr>
          <w:i/>
          <w:spacing w:val="-2"/>
        </w:rPr>
        <w:t>Biomass burning</w:t>
      </w:r>
      <w:r w:rsidRPr="001D5327">
        <w:rPr>
          <w:spacing w:val="-2"/>
        </w:rPr>
        <w:t xml:space="preserve"> can occur as a result of wildfires or controlled burning and results in emissions</w:t>
      </w:r>
      <w:r w:rsidRPr="001D5327">
        <w:t xml:space="preserve"> of CO</w:t>
      </w:r>
      <w:r w:rsidRPr="001D5327">
        <w:rPr>
          <w:vertAlign w:val="subscript"/>
        </w:rPr>
        <w:t>2</w:t>
      </w:r>
      <w:r w:rsidRPr="001D5327">
        <w:t>, CH</w:t>
      </w:r>
      <w:r w:rsidRPr="001D5327">
        <w:rPr>
          <w:vertAlign w:val="subscript"/>
        </w:rPr>
        <w:t>4</w:t>
      </w:r>
      <w:r w:rsidRPr="001D5327">
        <w:t>, N</w:t>
      </w:r>
      <w:r w:rsidRPr="001D5327">
        <w:rPr>
          <w:vertAlign w:val="subscript"/>
        </w:rPr>
        <w:t>2</w:t>
      </w:r>
      <w:r w:rsidRPr="001D5327">
        <w:t>O, CO and NO</w:t>
      </w:r>
      <w:r w:rsidRPr="001D5327">
        <w:rPr>
          <w:vertAlign w:val="subscript"/>
        </w:rPr>
        <w:t>x</w:t>
      </w:r>
      <w:r w:rsidRPr="001D5327">
        <w:t xml:space="preserve">. </w:t>
      </w:r>
      <w:r w:rsidRPr="001D5327">
        <w:rPr>
          <w:i/>
        </w:rPr>
        <w:t>Biomass burning</w:t>
      </w:r>
      <w:r w:rsidRPr="001D5327" w:rsidDel="008B158D">
        <w:t xml:space="preserve"> </w:t>
      </w:r>
      <w:r w:rsidRPr="001D5327">
        <w:t>is not a significant source of emissions for New Zealand because the practice of controlled burning is limited, and wildfires are not common due to New Zealand’s temperate climate and vegetation.</w:t>
      </w:r>
    </w:p>
    <w:p w14:paraId="021CDCB3" w14:textId="77777777" w:rsidR="00E0181F" w:rsidRPr="001D5327" w:rsidRDefault="00E0181F" w:rsidP="00E0181F">
      <w:pPr>
        <w:pStyle w:val="BodyText"/>
      </w:pPr>
      <w:r w:rsidRPr="001D5327">
        <w:t xml:space="preserve">The two types of biomass burning (wildfire and controlled burning) that occur in New Zealand are reported in two main land use categories: </w:t>
      </w:r>
      <w:r w:rsidRPr="001D5327">
        <w:rPr>
          <w:i/>
        </w:rPr>
        <w:t>Forest land</w:t>
      </w:r>
      <w:r w:rsidRPr="001D5327">
        <w:t xml:space="preserve"> and </w:t>
      </w:r>
      <w:r w:rsidRPr="001D5327">
        <w:rPr>
          <w:i/>
        </w:rPr>
        <w:t>Grassland</w:t>
      </w:r>
      <w:r w:rsidRPr="001D5327">
        <w:t xml:space="preserve">. Emissions reported in </w:t>
      </w:r>
      <w:r w:rsidRPr="001D5327">
        <w:rPr>
          <w:i/>
          <w:iCs/>
        </w:rPr>
        <w:t>Forest land</w:t>
      </w:r>
      <w:r w:rsidRPr="001D5327">
        <w:t xml:space="preserve"> are further separated by forest type, and emissions from </w:t>
      </w:r>
      <w:r w:rsidRPr="001D5327">
        <w:rPr>
          <w:i/>
          <w:iCs/>
        </w:rPr>
        <w:t xml:space="preserve">Grassland </w:t>
      </w:r>
      <w:r w:rsidRPr="001D5327">
        <w:t xml:space="preserve">are reported from the controlled burning of tussock land (in ecosystems dominated by </w:t>
      </w:r>
      <w:r w:rsidRPr="001D5327">
        <w:rPr>
          <w:i/>
        </w:rPr>
        <w:t xml:space="preserve">Chionochloa </w:t>
      </w:r>
      <w:r w:rsidRPr="001D5327">
        <w:t>spp.) and from wildfires in exotic pasture grassland.</w:t>
      </w:r>
    </w:p>
    <w:p w14:paraId="284B64F1" w14:textId="77777777" w:rsidR="00E0181F" w:rsidRPr="001D5327" w:rsidRDefault="00E0181F" w:rsidP="00E0181F">
      <w:pPr>
        <w:pStyle w:val="Heading4"/>
      </w:pPr>
      <w:bookmarkStart w:id="2768" w:name="_Toc280630366"/>
      <w:r w:rsidRPr="001D5327">
        <w:t>Methodological issues</w:t>
      </w:r>
      <w:bookmarkEnd w:id="2768"/>
    </w:p>
    <w:p w14:paraId="6F6C47F1" w14:textId="77777777" w:rsidR="00E0181F" w:rsidRPr="001D5327" w:rsidRDefault="00E0181F" w:rsidP="00E0181F">
      <w:pPr>
        <w:pStyle w:val="BodyText"/>
      </w:pPr>
      <w:r w:rsidRPr="001D5327">
        <w:t xml:space="preserve">New Zealand employs Tier 2 methodologies to estimate emissions from </w:t>
      </w:r>
      <w:r w:rsidRPr="001D5327">
        <w:rPr>
          <w:i/>
        </w:rPr>
        <w:t>Biomass burning</w:t>
      </w:r>
      <w:r w:rsidRPr="001D5327">
        <w:t>. A combination of country-specific carbon fractions (Beets, unpublished), emission factors (Thomas et al., 2011) and combustion factors (Payton and Pearce, 2009; Wakelin, unpublished(a),</w:t>
      </w:r>
      <w:r w:rsidRPr="001D5327">
        <w:rPr>
          <w:szCs w:val="20"/>
        </w:rPr>
        <w:t xml:space="preserve"> (e)</w:t>
      </w:r>
      <w:r w:rsidRPr="001D5327">
        <w:t xml:space="preserve">) is employed along with the 2006 IPCC Guidelines default carbon fractions, emission factors, combustion factors and equations to derive emissions (sections 2.4, 4.2.4 and 6.2.4, IPCC, 2006a). These variables are summarised in table 6.11.4 and </w:t>
      </w:r>
      <w:r w:rsidRPr="001D5327">
        <w:rPr>
          <w:spacing w:val="-2"/>
        </w:rPr>
        <w:t>table 6.11.5, and further information on their application is provided in annex 5, section A5.2.7.</w:t>
      </w:r>
    </w:p>
    <w:p w14:paraId="2810E9F4" w14:textId="77777777" w:rsidR="00E0181F" w:rsidRPr="001D5327" w:rsidRDefault="00E0181F" w:rsidP="00E0181F">
      <w:pPr>
        <w:pStyle w:val="BodyText"/>
      </w:pPr>
    </w:p>
    <w:p w14:paraId="2BEC03CB" w14:textId="77777777" w:rsidR="00E0181F" w:rsidRPr="001D5327" w:rsidRDefault="00E0181F" w:rsidP="00E0181F">
      <w:pPr>
        <w:pStyle w:val="BodyText"/>
        <w:sectPr w:rsidR="00E0181F" w:rsidRPr="001D5327" w:rsidSect="00E0181F">
          <w:footerReference w:type="default" r:id="rId208"/>
          <w:pgSz w:w="11906" w:h="16838" w:code="9"/>
          <w:pgMar w:top="1418" w:right="1701" w:bottom="1418" w:left="1701" w:header="567" w:footer="567" w:gutter="0"/>
          <w:cols w:space="708"/>
          <w:docGrid w:linePitch="360"/>
        </w:sectPr>
      </w:pPr>
    </w:p>
    <w:p w14:paraId="185A4788" w14:textId="77777777" w:rsidR="00E0181F" w:rsidRPr="001D5327" w:rsidRDefault="00E0181F" w:rsidP="00E0181F">
      <w:pPr>
        <w:pStyle w:val="Table"/>
        <w:spacing w:before="0"/>
      </w:pPr>
      <w:bookmarkStart w:id="2769" w:name="_Toc131591431"/>
      <w:bookmarkStart w:id="2770" w:name="_Toc158979989"/>
      <w:bookmarkStart w:id="2771" w:name="_Toc164153922"/>
      <w:bookmarkStart w:id="2772" w:name="_Toc190873156"/>
      <w:bookmarkStart w:id="2773" w:name="_Toc194241795"/>
      <w:r w:rsidRPr="001D5327">
        <w:lastRenderedPageBreak/>
        <w:t>Table 6.11.4</w:t>
      </w:r>
      <w:r w:rsidRPr="001D5327">
        <w:tab/>
        <w:t xml:space="preserve">Summary of </w:t>
      </w:r>
      <w:r w:rsidRPr="001D5327">
        <w:rPr>
          <w:i/>
        </w:rPr>
        <w:t>Biomass burning</w:t>
      </w:r>
      <w:r w:rsidRPr="001D5327">
        <w:t xml:space="preserve"> carbon fractions and emission factors</w:t>
      </w:r>
      <w:bookmarkEnd w:id="2769"/>
      <w:bookmarkEnd w:id="2770"/>
      <w:bookmarkEnd w:id="2771"/>
      <w:bookmarkEnd w:id="2772"/>
      <w:bookmarkEnd w:id="2773"/>
    </w:p>
    <w:tbl>
      <w:tblPr>
        <w:tblW w:w="14002" w:type="dxa"/>
        <w:tblLayout w:type="fixed"/>
        <w:tblLook w:val="04A0" w:firstRow="1" w:lastRow="0" w:firstColumn="1" w:lastColumn="0" w:noHBand="0" w:noVBand="1"/>
      </w:tblPr>
      <w:tblGrid>
        <w:gridCol w:w="3356"/>
        <w:gridCol w:w="1464"/>
        <w:gridCol w:w="1417"/>
        <w:gridCol w:w="1693"/>
        <w:gridCol w:w="1200"/>
        <w:gridCol w:w="1200"/>
        <w:gridCol w:w="1200"/>
        <w:gridCol w:w="1315"/>
        <w:gridCol w:w="1157"/>
      </w:tblGrid>
      <w:tr w:rsidR="00E0181F" w:rsidRPr="001D5327" w14:paraId="2124318E" w14:textId="77777777" w:rsidTr="00D11AC9">
        <w:trPr>
          <w:trHeight w:val="325"/>
        </w:trPr>
        <w:tc>
          <w:tcPr>
            <w:tcW w:w="3356" w:type="dxa"/>
            <w:tcBorders>
              <w:left w:val="nil"/>
            </w:tcBorders>
            <w:shd w:val="clear" w:color="auto" w:fill="auto"/>
            <w:noWrap/>
            <w:vAlign w:val="bottom"/>
            <w:hideMark/>
          </w:tcPr>
          <w:p w14:paraId="5A76FC81" w14:textId="77777777" w:rsidR="00E0181F" w:rsidRPr="001D5327" w:rsidRDefault="00E0181F" w:rsidP="00D11AC9">
            <w:pPr>
              <w:pStyle w:val="TableTextBold"/>
              <w:rPr>
                <w:noProof w:val="0"/>
              </w:rPr>
            </w:pPr>
          </w:p>
        </w:tc>
        <w:tc>
          <w:tcPr>
            <w:tcW w:w="10646" w:type="dxa"/>
            <w:gridSpan w:val="8"/>
            <w:tcBorders>
              <w:top w:val="single" w:sz="4" w:space="0" w:color="1B556B" w:themeColor="text2"/>
              <w:bottom w:val="single" w:sz="4" w:space="0" w:color="1B556B" w:themeColor="text2"/>
            </w:tcBorders>
            <w:shd w:val="clear" w:color="auto" w:fill="1B556B" w:themeFill="text2"/>
            <w:noWrap/>
            <w:vAlign w:val="bottom"/>
            <w:hideMark/>
          </w:tcPr>
          <w:p w14:paraId="21C1C160" w14:textId="77777777" w:rsidR="00E0181F" w:rsidRPr="001D5327" w:rsidRDefault="00E0181F" w:rsidP="00D11AC9">
            <w:pPr>
              <w:pStyle w:val="TableTextBold"/>
              <w:jc w:val="center"/>
              <w:rPr>
                <w:rFonts w:eastAsia="Courier New"/>
                <w:noProof w:val="0"/>
                <w:color w:val="FFFFFF"/>
              </w:rPr>
            </w:pPr>
            <w:r w:rsidRPr="001D5327">
              <w:rPr>
                <w:rFonts w:eastAsia="Courier New"/>
                <w:noProof w:val="0"/>
                <w:color w:val="FFFFFF" w:themeColor="background1"/>
              </w:rPr>
              <w:t>Biomass burning implied emission factors derived from 2006 IPCC Guidelines (IPCC, 2006a) and New Zealand-specific carbon fractions</w:t>
            </w:r>
          </w:p>
        </w:tc>
      </w:tr>
      <w:tr w:rsidR="00E0181F" w:rsidRPr="001D5327" w14:paraId="192B5193" w14:textId="77777777" w:rsidTr="00D11AC9">
        <w:trPr>
          <w:trHeight w:val="325"/>
        </w:trPr>
        <w:tc>
          <w:tcPr>
            <w:tcW w:w="3356" w:type="dxa"/>
            <w:tcBorders>
              <w:left w:val="nil"/>
            </w:tcBorders>
            <w:shd w:val="clear" w:color="auto" w:fill="auto"/>
            <w:noWrap/>
            <w:vAlign w:val="bottom"/>
            <w:hideMark/>
          </w:tcPr>
          <w:p w14:paraId="048DD87A" w14:textId="77777777" w:rsidR="00E0181F" w:rsidRPr="001D5327" w:rsidRDefault="00E0181F" w:rsidP="00D11AC9">
            <w:pPr>
              <w:jc w:val="center"/>
              <w:rPr>
                <w:rFonts w:ascii="Yu Gothic" w:eastAsia="Symbol" w:hAnsi="Yu Gothic" w:cs="Yu Gothic"/>
                <w:color w:val="000000"/>
                <w:sz w:val="16"/>
                <w:szCs w:val="16"/>
              </w:rPr>
            </w:pPr>
          </w:p>
        </w:tc>
        <w:tc>
          <w:tcPr>
            <w:tcW w:w="2881" w:type="dxa"/>
            <w:gridSpan w:val="2"/>
            <w:tcBorders>
              <w:top w:val="single" w:sz="4" w:space="0" w:color="1B556B" w:themeColor="text2"/>
              <w:bottom w:val="single" w:sz="4" w:space="0" w:color="1B556B" w:themeColor="text2"/>
            </w:tcBorders>
            <w:shd w:val="clear" w:color="auto" w:fill="auto"/>
            <w:noWrap/>
            <w:vAlign w:val="bottom"/>
            <w:hideMark/>
          </w:tcPr>
          <w:p w14:paraId="50B66329" w14:textId="77777777" w:rsidR="00E0181F" w:rsidRPr="001D5327" w:rsidRDefault="00E0181F" w:rsidP="00D11AC9">
            <w:pPr>
              <w:pStyle w:val="TableTextBold"/>
              <w:jc w:val="center"/>
              <w:rPr>
                <w:noProof w:val="0"/>
              </w:rPr>
            </w:pPr>
            <w:r w:rsidRPr="001D5327">
              <w:rPr>
                <w:noProof w:val="0"/>
              </w:rPr>
              <w:t>Grassland/savannah</w:t>
            </w:r>
          </w:p>
        </w:tc>
        <w:tc>
          <w:tcPr>
            <w:tcW w:w="2893" w:type="dxa"/>
            <w:gridSpan w:val="2"/>
            <w:tcBorders>
              <w:top w:val="single" w:sz="4" w:space="0" w:color="1B556B" w:themeColor="text2"/>
              <w:bottom w:val="single" w:sz="4" w:space="0" w:color="1B556B" w:themeColor="text2"/>
            </w:tcBorders>
            <w:shd w:val="clear" w:color="auto" w:fill="auto"/>
            <w:noWrap/>
            <w:vAlign w:val="bottom"/>
            <w:hideMark/>
          </w:tcPr>
          <w:p w14:paraId="0007077F" w14:textId="77777777" w:rsidR="00E0181F" w:rsidRPr="001D5327" w:rsidRDefault="00E0181F" w:rsidP="00D11AC9">
            <w:pPr>
              <w:pStyle w:val="TableTextBold"/>
              <w:jc w:val="center"/>
              <w:rPr>
                <w:noProof w:val="0"/>
              </w:rPr>
            </w:pPr>
            <w:r w:rsidRPr="001D5327">
              <w:rPr>
                <w:noProof w:val="0"/>
              </w:rPr>
              <w:t>GWB/shrubland</w:t>
            </w:r>
          </w:p>
        </w:tc>
        <w:tc>
          <w:tcPr>
            <w:tcW w:w="4872" w:type="dxa"/>
            <w:gridSpan w:val="4"/>
            <w:tcBorders>
              <w:top w:val="single" w:sz="4" w:space="0" w:color="1B556B" w:themeColor="text2"/>
              <w:bottom w:val="single" w:sz="4" w:space="0" w:color="1B556B" w:themeColor="text2"/>
            </w:tcBorders>
            <w:shd w:val="clear" w:color="auto" w:fill="auto"/>
            <w:noWrap/>
            <w:vAlign w:val="bottom"/>
            <w:hideMark/>
          </w:tcPr>
          <w:p w14:paraId="28B74052" w14:textId="77777777" w:rsidR="00E0181F" w:rsidRPr="001D5327" w:rsidRDefault="00E0181F" w:rsidP="00D11AC9">
            <w:pPr>
              <w:pStyle w:val="TableTextBold"/>
              <w:jc w:val="center"/>
              <w:rPr>
                <w:noProof w:val="0"/>
              </w:rPr>
            </w:pPr>
            <w:r w:rsidRPr="001D5327">
              <w:rPr>
                <w:noProof w:val="0"/>
              </w:rPr>
              <w:t>Forest land</w:t>
            </w:r>
          </w:p>
        </w:tc>
      </w:tr>
      <w:tr w:rsidR="00E0181F" w:rsidRPr="001D5327" w14:paraId="6E0DDF67" w14:textId="77777777" w:rsidTr="00D11AC9">
        <w:trPr>
          <w:trHeight w:val="325"/>
        </w:trPr>
        <w:tc>
          <w:tcPr>
            <w:tcW w:w="3356" w:type="dxa"/>
            <w:tcBorders>
              <w:left w:val="nil"/>
            </w:tcBorders>
            <w:shd w:val="clear" w:color="auto" w:fill="auto"/>
            <w:noWrap/>
            <w:vAlign w:val="bottom"/>
            <w:hideMark/>
          </w:tcPr>
          <w:p w14:paraId="2DE535F7" w14:textId="77777777" w:rsidR="00E0181F" w:rsidRPr="001D5327" w:rsidRDefault="00E0181F" w:rsidP="00D11AC9">
            <w:pPr>
              <w:jc w:val="center"/>
              <w:rPr>
                <w:rFonts w:ascii="Yu Gothic" w:eastAsia="Symbol" w:hAnsi="Yu Gothic" w:cs="Yu Gothic"/>
                <w:color w:val="000000"/>
                <w:sz w:val="16"/>
                <w:szCs w:val="16"/>
              </w:rPr>
            </w:pPr>
          </w:p>
        </w:tc>
        <w:tc>
          <w:tcPr>
            <w:tcW w:w="1464" w:type="dxa"/>
            <w:tcBorders>
              <w:top w:val="single" w:sz="4" w:space="0" w:color="1B556B" w:themeColor="text2"/>
            </w:tcBorders>
            <w:shd w:val="clear" w:color="auto" w:fill="auto"/>
            <w:noWrap/>
            <w:vAlign w:val="bottom"/>
            <w:hideMark/>
          </w:tcPr>
          <w:p w14:paraId="4D541C19" w14:textId="77777777" w:rsidR="00E0181F" w:rsidRPr="001D5327" w:rsidRDefault="00E0181F" w:rsidP="00D11AC9">
            <w:pPr>
              <w:pStyle w:val="TableText"/>
              <w:jc w:val="right"/>
            </w:pPr>
            <w:r w:rsidRPr="001D5327">
              <w:t>Controlled burning</w:t>
            </w:r>
          </w:p>
        </w:tc>
        <w:tc>
          <w:tcPr>
            <w:tcW w:w="1417" w:type="dxa"/>
            <w:tcBorders>
              <w:top w:val="single" w:sz="4" w:space="0" w:color="1B556B" w:themeColor="text2"/>
            </w:tcBorders>
            <w:shd w:val="clear" w:color="auto" w:fill="auto"/>
            <w:noWrap/>
            <w:vAlign w:val="bottom"/>
            <w:hideMark/>
          </w:tcPr>
          <w:p w14:paraId="2EC6BCFB" w14:textId="77777777" w:rsidR="00E0181F" w:rsidRPr="001D5327" w:rsidRDefault="00E0181F" w:rsidP="00D11AC9">
            <w:pPr>
              <w:pStyle w:val="TableText"/>
              <w:jc w:val="right"/>
            </w:pPr>
            <w:r w:rsidRPr="001D5327">
              <w:t>Wildfire</w:t>
            </w:r>
          </w:p>
        </w:tc>
        <w:tc>
          <w:tcPr>
            <w:tcW w:w="1693" w:type="dxa"/>
            <w:tcBorders>
              <w:top w:val="single" w:sz="4" w:space="0" w:color="1B556B" w:themeColor="text2"/>
            </w:tcBorders>
            <w:shd w:val="clear" w:color="auto" w:fill="auto"/>
            <w:noWrap/>
            <w:vAlign w:val="bottom"/>
            <w:hideMark/>
          </w:tcPr>
          <w:p w14:paraId="194CB11E" w14:textId="77777777" w:rsidR="00E0181F" w:rsidRPr="001D5327" w:rsidRDefault="00E0181F" w:rsidP="00D11AC9">
            <w:pPr>
              <w:pStyle w:val="TableText"/>
              <w:jc w:val="right"/>
            </w:pPr>
            <w:r w:rsidRPr="001D5327">
              <w:t>Controlled burning</w:t>
            </w:r>
          </w:p>
        </w:tc>
        <w:tc>
          <w:tcPr>
            <w:tcW w:w="1200" w:type="dxa"/>
            <w:tcBorders>
              <w:top w:val="single" w:sz="4" w:space="0" w:color="1B556B" w:themeColor="text2"/>
            </w:tcBorders>
            <w:shd w:val="clear" w:color="auto" w:fill="auto"/>
            <w:noWrap/>
            <w:vAlign w:val="bottom"/>
            <w:hideMark/>
          </w:tcPr>
          <w:p w14:paraId="2E338DC3" w14:textId="77777777" w:rsidR="00E0181F" w:rsidRPr="001D5327" w:rsidRDefault="00E0181F" w:rsidP="00D11AC9">
            <w:pPr>
              <w:pStyle w:val="TableText"/>
              <w:jc w:val="right"/>
            </w:pPr>
            <w:r w:rsidRPr="001D5327">
              <w:t>Wildfire</w:t>
            </w:r>
          </w:p>
        </w:tc>
        <w:tc>
          <w:tcPr>
            <w:tcW w:w="2400" w:type="dxa"/>
            <w:gridSpan w:val="2"/>
            <w:tcBorders>
              <w:top w:val="single" w:sz="4" w:space="0" w:color="1B556B" w:themeColor="text2"/>
              <w:bottom w:val="single" w:sz="4" w:space="0" w:color="1B556B" w:themeColor="text2"/>
            </w:tcBorders>
            <w:shd w:val="clear" w:color="auto" w:fill="auto"/>
            <w:noWrap/>
            <w:vAlign w:val="bottom"/>
            <w:hideMark/>
          </w:tcPr>
          <w:p w14:paraId="0AD23EB8" w14:textId="77777777" w:rsidR="00E0181F" w:rsidRPr="001D5327" w:rsidRDefault="00E0181F" w:rsidP="00D11AC9">
            <w:pPr>
              <w:pStyle w:val="TableText"/>
              <w:jc w:val="right"/>
            </w:pPr>
            <w:r w:rsidRPr="001D5327">
              <w:t>Controlled burning</w:t>
            </w:r>
          </w:p>
        </w:tc>
        <w:tc>
          <w:tcPr>
            <w:tcW w:w="2472" w:type="dxa"/>
            <w:gridSpan w:val="2"/>
            <w:tcBorders>
              <w:top w:val="single" w:sz="4" w:space="0" w:color="1B556B" w:themeColor="text2"/>
              <w:bottom w:val="single" w:sz="4" w:space="0" w:color="1B556B" w:themeColor="text2"/>
            </w:tcBorders>
            <w:shd w:val="clear" w:color="auto" w:fill="auto"/>
            <w:noWrap/>
            <w:vAlign w:val="bottom"/>
            <w:hideMark/>
          </w:tcPr>
          <w:p w14:paraId="3EBCDA42" w14:textId="77777777" w:rsidR="00E0181F" w:rsidRPr="001D5327" w:rsidRDefault="00E0181F" w:rsidP="00D11AC9">
            <w:pPr>
              <w:pStyle w:val="TableText"/>
              <w:jc w:val="right"/>
            </w:pPr>
            <w:r w:rsidRPr="001D5327">
              <w:t>Wildfire</w:t>
            </w:r>
          </w:p>
        </w:tc>
      </w:tr>
      <w:tr w:rsidR="00E0181F" w:rsidRPr="001D5327" w14:paraId="0868125F" w14:textId="77777777" w:rsidTr="00D11AC9">
        <w:trPr>
          <w:trHeight w:val="325"/>
        </w:trPr>
        <w:tc>
          <w:tcPr>
            <w:tcW w:w="3356" w:type="dxa"/>
            <w:shd w:val="clear" w:color="auto" w:fill="D2DDE1" w:themeFill="background2"/>
            <w:noWrap/>
            <w:vAlign w:val="bottom"/>
            <w:hideMark/>
          </w:tcPr>
          <w:p w14:paraId="254072EC" w14:textId="77777777" w:rsidR="00E0181F" w:rsidRPr="001D5327" w:rsidRDefault="00E0181F" w:rsidP="00D11AC9">
            <w:pPr>
              <w:jc w:val="center"/>
              <w:rPr>
                <w:rFonts w:ascii="Yu Gothic" w:eastAsia="Symbol" w:hAnsi="Yu Gothic" w:cs="Yu Gothic"/>
                <w:color w:val="000000"/>
                <w:sz w:val="16"/>
                <w:szCs w:val="16"/>
              </w:rPr>
            </w:pPr>
          </w:p>
        </w:tc>
        <w:tc>
          <w:tcPr>
            <w:tcW w:w="1464" w:type="dxa"/>
            <w:shd w:val="clear" w:color="auto" w:fill="D2DDE1" w:themeFill="background2"/>
            <w:noWrap/>
            <w:vAlign w:val="bottom"/>
            <w:hideMark/>
          </w:tcPr>
          <w:p w14:paraId="34858EFE" w14:textId="77777777" w:rsidR="00E0181F" w:rsidRPr="001D5327" w:rsidRDefault="00E0181F" w:rsidP="00D11AC9">
            <w:pPr>
              <w:pStyle w:val="TableText"/>
              <w:jc w:val="right"/>
            </w:pPr>
          </w:p>
        </w:tc>
        <w:tc>
          <w:tcPr>
            <w:tcW w:w="1417" w:type="dxa"/>
            <w:shd w:val="clear" w:color="auto" w:fill="D2DDE1" w:themeFill="background2"/>
            <w:noWrap/>
            <w:vAlign w:val="bottom"/>
            <w:hideMark/>
          </w:tcPr>
          <w:p w14:paraId="02CB7627" w14:textId="77777777" w:rsidR="00E0181F" w:rsidRPr="001D5327" w:rsidRDefault="00E0181F" w:rsidP="00D11AC9">
            <w:pPr>
              <w:pStyle w:val="TableText"/>
              <w:jc w:val="right"/>
            </w:pPr>
          </w:p>
        </w:tc>
        <w:tc>
          <w:tcPr>
            <w:tcW w:w="1693" w:type="dxa"/>
            <w:shd w:val="clear" w:color="auto" w:fill="D2DDE1" w:themeFill="background2"/>
            <w:noWrap/>
            <w:vAlign w:val="bottom"/>
            <w:hideMark/>
          </w:tcPr>
          <w:p w14:paraId="52805B68" w14:textId="77777777" w:rsidR="00E0181F" w:rsidRPr="001D5327" w:rsidRDefault="00E0181F" w:rsidP="00D11AC9">
            <w:pPr>
              <w:pStyle w:val="TableText"/>
              <w:jc w:val="right"/>
            </w:pPr>
          </w:p>
        </w:tc>
        <w:tc>
          <w:tcPr>
            <w:tcW w:w="1200" w:type="dxa"/>
            <w:shd w:val="clear" w:color="auto" w:fill="D2DDE1" w:themeFill="background2"/>
            <w:noWrap/>
            <w:vAlign w:val="bottom"/>
            <w:hideMark/>
          </w:tcPr>
          <w:p w14:paraId="213F8931" w14:textId="77777777" w:rsidR="00E0181F" w:rsidRPr="001D5327" w:rsidRDefault="00E0181F" w:rsidP="00D11AC9">
            <w:pPr>
              <w:pStyle w:val="TableText"/>
              <w:jc w:val="right"/>
            </w:pPr>
          </w:p>
        </w:tc>
        <w:tc>
          <w:tcPr>
            <w:tcW w:w="1200" w:type="dxa"/>
            <w:tcBorders>
              <w:top w:val="single" w:sz="4" w:space="0" w:color="1B556B" w:themeColor="text2"/>
              <w:bottom w:val="single" w:sz="4" w:space="0" w:color="1B556B" w:themeColor="text2"/>
            </w:tcBorders>
            <w:shd w:val="clear" w:color="auto" w:fill="auto"/>
            <w:noWrap/>
            <w:vAlign w:val="bottom"/>
            <w:hideMark/>
          </w:tcPr>
          <w:p w14:paraId="1D7ED034" w14:textId="77777777" w:rsidR="00E0181F" w:rsidRPr="001D5327" w:rsidRDefault="00E0181F" w:rsidP="00D11AC9">
            <w:pPr>
              <w:pStyle w:val="TableText"/>
              <w:jc w:val="right"/>
            </w:pPr>
            <w:r w:rsidRPr="001D5327">
              <w:t>Planted forest</w:t>
            </w:r>
          </w:p>
        </w:tc>
        <w:tc>
          <w:tcPr>
            <w:tcW w:w="1200" w:type="dxa"/>
            <w:tcBorders>
              <w:top w:val="single" w:sz="4" w:space="0" w:color="1B556B" w:themeColor="text2"/>
              <w:bottom w:val="single" w:sz="4" w:space="0" w:color="1B556B" w:themeColor="text2"/>
            </w:tcBorders>
            <w:shd w:val="clear" w:color="auto" w:fill="auto"/>
            <w:noWrap/>
            <w:vAlign w:val="bottom"/>
            <w:hideMark/>
          </w:tcPr>
          <w:p w14:paraId="25062599" w14:textId="77777777" w:rsidR="00E0181F" w:rsidRPr="001D5327" w:rsidRDefault="00E0181F" w:rsidP="00D11AC9">
            <w:pPr>
              <w:pStyle w:val="TableText"/>
              <w:jc w:val="right"/>
            </w:pPr>
            <w:r w:rsidRPr="001D5327">
              <w:t>Natural forest</w:t>
            </w:r>
          </w:p>
        </w:tc>
        <w:tc>
          <w:tcPr>
            <w:tcW w:w="1315" w:type="dxa"/>
            <w:tcBorders>
              <w:top w:val="single" w:sz="4" w:space="0" w:color="1B556B" w:themeColor="text2"/>
              <w:bottom w:val="single" w:sz="4" w:space="0" w:color="1B556B" w:themeColor="text2"/>
            </w:tcBorders>
            <w:shd w:val="clear" w:color="auto" w:fill="auto"/>
            <w:noWrap/>
            <w:vAlign w:val="bottom"/>
            <w:hideMark/>
          </w:tcPr>
          <w:p w14:paraId="77DD15BA" w14:textId="77777777" w:rsidR="00E0181F" w:rsidRPr="001D5327" w:rsidRDefault="00E0181F" w:rsidP="00D11AC9">
            <w:pPr>
              <w:pStyle w:val="TableText"/>
              <w:jc w:val="right"/>
            </w:pPr>
            <w:r w:rsidRPr="001D5327">
              <w:t>Planted forest</w:t>
            </w:r>
          </w:p>
        </w:tc>
        <w:tc>
          <w:tcPr>
            <w:tcW w:w="1157" w:type="dxa"/>
            <w:tcBorders>
              <w:top w:val="single" w:sz="4" w:space="0" w:color="1B556B" w:themeColor="text2"/>
              <w:bottom w:val="single" w:sz="4" w:space="0" w:color="1B556B" w:themeColor="text2"/>
            </w:tcBorders>
            <w:shd w:val="clear" w:color="auto" w:fill="auto"/>
            <w:noWrap/>
            <w:vAlign w:val="bottom"/>
            <w:hideMark/>
          </w:tcPr>
          <w:p w14:paraId="779774C8" w14:textId="77777777" w:rsidR="00E0181F" w:rsidRPr="001D5327" w:rsidRDefault="00E0181F" w:rsidP="00D11AC9">
            <w:pPr>
              <w:pStyle w:val="TableText"/>
              <w:jc w:val="right"/>
            </w:pPr>
            <w:r w:rsidRPr="001D5327">
              <w:t>Natural forest</w:t>
            </w:r>
          </w:p>
        </w:tc>
      </w:tr>
      <w:tr w:rsidR="00E0181F" w:rsidRPr="001D5327" w14:paraId="0234E87E" w14:textId="77777777" w:rsidTr="00D11AC9">
        <w:trPr>
          <w:trHeight w:val="325"/>
        </w:trPr>
        <w:tc>
          <w:tcPr>
            <w:tcW w:w="3356" w:type="dxa"/>
            <w:tcBorders>
              <w:top w:val="nil"/>
              <w:bottom w:val="single" w:sz="4" w:space="0" w:color="1B556B" w:themeColor="text2"/>
            </w:tcBorders>
            <w:shd w:val="clear" w:color="auto" w:fill="auto"/>
            <w:noWrap/>
            <w:vAlign w:val="bottom"/>
            <w:hideMark/>
          </w:tcPr>
          <w:p w14:paraId="1B9587C7" w14:textId="77777777" w:rsidR="00E0181F" w:rsidRPr="001D5327" w:rsidRDefault="00E0181F" w:rsidP="00D11AC9">
            <w:pPr>
              <w:pStyle w:val="TableText"/>
            </w:pPr>
            <w:r w:rsidRPr="001D5327">
              <w:t>Carbon fraction</w:t>
            </w:r>
          </w:p>
        </w:tc>
        <w:tc>
          <w:tcPr>
            <w:tcW w:w="1464" w:type="dxa"/>
            <w:tcBorders>
              <w:top w:val="nil"/>
              <w:bottom w:val="single" w:sz="4" w:space="0" w:color="1B556B" w:themeColor="text2"/>
            </w:tcBorders>
            <w:shd w:val="clear" w:color="auto" w:fill="auto"/>
            <w:noWrap/>
            <w:hideMark/>
          </w:tcPr>
          <w:p w14:paraId="528698C9" w14:textId="77777777" w:rsidR="00E0181F" w:rsidRPr="001D5327" w:rsidRDefault="00E0181F" w:rsidP="00D11AC9">
            <w:pPr>
              <w:pStyle w:val="TableText"/>
              <w:jc w:val="right"/>
            </w:pPr>
            <w:r w:rsidRPr="001D5327">
              <w:t>0.44</w:t>
            </w:r>
          </w:p>
        </w:tc>
        <w:tc>
          <w:tcPr>
            <w:tcW w:w="1417" w:type="dxa"/>
            <w:tcBorders>
              <w:top w:val="nil"/>
              <w:bottom w:val="single" w:sz="4" w:space="0" w:color="1B556B" w:themeColor="text2"/>
            </w:tcBorders>
            <w:shd w:val="clear" w:color="auto" w:fill="auto"/>
            <w:noWrap/>
            <w:hideMark/>
          </w:tcPr>
          <w:p w14:paraId="10A03967" w14:textId="77777777" w:rsidR="00E0181F" w:rsidRPr="001D5327" w:rsidRDefault="00E0181F" w:rsidP="00D11AC9">
            <w:pPr>
              <w:pStyle w:val="TableText"/>
              <w:jc w:val="right"/>
            </w:pPr>
            <w:r w:rsidRPr="001D5327">
              <w:t>0.44</w:t>
            </w:r>
          </w:p>
        </w:tc>
        <w:tc>
          <w:tcPr>
            <w:tcW w:w="1693" w:type="dxa"/>
            <w:tcBorders>
              <w:top w:val="nil"/>
              <w:bottom w:val="single" w:sz="4" w:space="0" w:color="1B556B" w:themeColor="text2"/>
            </w:tcBorders>
            <w:shd w:val="clear" w:color="auto" w:fill="auto"/>
            <w:noWrap/>
            <w:hideMark/>
          </w:tcPr>
          <w:p w14:paraId="6DC6EAD9" w14:textId="77777777" w:rsidR="00E0181F" w:rsidRPr="001D5327" w:rsidRDefault="00E0181F" w:rsidP="00D11AC9">
            <w:pPr>
              <w:pStyle w:val="TableText"/>
              <w:jc w:val="right"/>
            </w:pPr>
            <w:r w:rsidRPr="001D5327">
              <w:t>0.44</w:t>
            </w:r>
          </w:p>
        </w:tc>
        <w:tc>
          <w:tcPr>
            <w:tcW w:w="1200" w:type="dxa"/>
            <w:tcBorders>
              <w:top w:val="nil"/>
              <w:bottom w:val="single" w:sz="4" w:space="0" w:color="1B556B" w:themeColor="text2"/>
            </w:tcBorders>
            <w:shd w:val="clear" w:color="auto" w:fill="auto"/>
            <w:noWrap/>
            <w:hideMark/>
          </w:tcPr>
          <w:p w14:paraId="032C7D26" w14:textId="77777777" w:rsidR="00E0181F" w:rsidRPr="001D5327" w:rsidRDefault="00E0181F" w:rsidP="00D11AC9">
            <w:pPr>
              <w:pStyle w:val="TableText"/>
              <w:jc w:val="right"/>
            </w:pPr>
            <w:r w:rsidRPr="001D5327">
              <w:t>0.44</w:t>
            </w:r>
          </w:p>
        </w:tc>
        <w:tc>
          <w:tcPr>
            <w:tcW w:w="1200" w:type="dxa"/>
            <w:tcBorders>
              <w:top w:val="single" w:sz="4" w:space="0" w:color="1B556B" w:themeColor="text2"/>
              <w:bottom w:val="single" w:sz="4" w:space="0" w:color="1B556B" w:themeColor="text2"/>
            </w:tcBorders>
            <w:shd w:val="clear" w:color="auto" w:fill="auto"/>
            <w:noWrap/>
            <w:vAlign w:val="bottom"/>
            <w:hideMark/>
          </w:tcPr>
          <w:p w14:paraId="5CC9C716" w14:textId="77777777" w:rsidR="00E0181F" w:rsidRPr="001D5327" w:rsidRDefault="00E0181F" w:rsidP="00D11AC9">
            <w:pPr>
              <w:pStyle w:val="TableText"/>
              <w:jc w:val="right"/>
            </w:pPr>
            <w:r w:rsidRPr="001D5327">
              <w:t>0.51*</w:t>
            </w:r>
          </w:p>
        </w:tc>
        <w:tc>
          <w:tcPr>
            <w:tcW w:w="1200" w:type="dxa"/>
            <w:tcBorders>
              <w:top w:val="single" w:sz="4" w:space="0" w:color="1B556B" w:themeColor="text2"/>
              <w:bottom w:val="single" w:sz="4" w:space="0" w:color="1B556B" w:themeColor="text2"/>
            </w:tcBorders>
            <w:shd w:val="clear" w:color="auto" w:fill="auto"/>
            <w:noWrap/>
            <w:vAlign w:val="bottom"/>
            <w:hideMark/>
          </w:tcPr>
          <w:p w14:paraId="43E77E3F" w14:textId="77777777" w:rsidR="00E0181F" w:rsidRPr="001D5327" w:rsidRDefault="00E0181F" w:rsidP="00D11AC9">
            <w:pPr>
              <w:pStyle w:val="TableText"/>
              <w:jc w:val="right"/>
            </w:pPr>
            <w:r w:rsidRPr="001D5327">
              <w:t>0.47</w:t>
            </w:r>
          </w:p>
        </w:tc>
        <w:tc>
          <w:tcPr>
            <w:tcW w:w="1315" w:type="dxa"/>
            <w:tcBorders>
              <w:top w:val="single" w:sz="4" w:space="0" w:color="1B556B" w:themeColor="text2"/>
              <w:bottom w:val="single" w:sz="4" w:space="0" w:color="1B556B" w:themeColor="text2"/>
            </w:tcBorders>
            <w:shd w:val="clear" w:color="auto" w:fill="auto"/>
            <w:noWrap/>
            <w:vAlign w:val="bottom"/>
            <w:hideMark/>
          </w:tcPr>
          <w:p w14:paraId="22E30CE8" w14:textId="77777777" w:rsidR="00E0181F" w:rsidRPr="001D5327" w:rsidRDefault="00E0181F" w:rsidP="00D11AC9">
            <w:pPr>
              <w:pStyle w:val="TableText"/>
              <w:jc w:val="right"/>
            </w:pPr>
            <w:r w:rsidRPr="001D5327">
              <w:t>0.51*</w:t>
            </w:r>
          </w:p>
        </w:tc>
        <w:tc>
          <w:tcPr>
            <w:tcW w:w="1157" w:type="dxa"/>
            <w:tcBorders>
              <w:top w:val="single" w:sz="4" w:space="0" w:color="1B556B" w:themeColor="text2"/>
              <w:bottom w:val="single" w:sz="4" w:space="0" w:color="1B556B" w:themeColor="text2"/>
            </w:tcBorders>
            <w:shd w:val="clear" w:color="auto" w:fill="auto"/>
            <w:noWrap/>
            <w:vAlign w:val="bottom"/>
            <w:hideMark/>
          </w:tcPr>
          <w:p w14:paraId="7B72E7D6" w14:textId="77777777" w:rsidR="00E0181F" w:rsidRPr="001D5327" w:rsidRDefault="00E0181F" w:rsidP="00D11AC9">
            <w:pPr>
              <w:pStyle w:val="TableText"/>
              <w:jc w:val="right"/>
            </w:pPr>
            <w:r w:rsidRPr="001D5327">
              <w:t>0.47</w:t>
            </w:r>
          </w:p>
        </w:tc>
      </w:tr>
      <w:tr w:rsidR="00E0181F" w:rsidRPr="001D5327" w14:paraId="677EBBD1" w14:textId="77777777" w:rsidTr="00D11AC9">
        <w:trPr>
          <w:trHeight w:val="325"/>
        </w:trPr>
        <w:tc>
          <w:tcPr>
            <w:tcW w:w="3356" w:type="dxa"/>
            <w:tcBorders>
              <w:top w:val="single" w:sz="4" w:space="0" w:color="1B556B" w:themeColor="text2"/>
              <w:bottom w:val="single" w:sz="4" w:space="0" w:color="1B556B" w:themeColor="text2"/>
            </w:tcBorders>
            <w:shd w:val="clear" w:color="auto" w:fill="auto"/>
            <w:noWrap/>
            <w:vAlign w:val="bottom"/>
            <w:hideMark/>
          </w:tcPr>
          <w:p w14:paraId="42C7E50B" w14:textId="77777777" w:rsidR="00E0181F" w:rsidRPr="001D5327" w:rsidRDefault="00E0181F" w:rsidP="00D11AC9">
            <w:pPr>
              <w:pStyle w:val="TableText"/>
            </w:pPr>
            <w:r w:rsidRPr="001D5327">
              <w:t>C:N ratio</w:t>
            </w:r>
          </w:p>
        </w:tc>
        <w:tc>
          <w:tcPr>
            <w:tcW w:w="1464" w:type="dxa"/>
            <w:tcBorders>
              <w:top w:val="single" w:sz="4" w:space="0" w:color="1B556B" w:themeColor="text2"/>
              <w:bottom w:val="single" w:sz="4" w:space="0" w:color="1B556B" w:themeColor="text2"/>
            </w:tcBorders>
            <w:shd w:val="clear" w:color="auto" w:fill="auto"/>
            <w:noWrap/>
            <w:hideMark/>
          </w:tcPr>
          <w:p w14:paraId="09AAA47A" w14:textId="77777777" w:rsidR="00E0181F" w:rsidRPr="001D5327" w:rsidRDefault="00E0181F" w:rsidP="00D11AC9">
            <w:pPr>
              <w:pStyle w:val="TableText"/>
              <w:jc w:val="right"/>
            </w:pPr>
            <w:r w:rsidRPr="001D5327">
              <w:t>0.01</w:t>
            </w:r>
          </w:p>
        </w:tc>
        <w:tc>
          <w:tcPr>
            <w:tcW w:w="1417" w:type="dxa"/>
            <w:tcBorders>
              <w:top w:val="single" w:sz="4" w:space="0" w:color="1B556B" w:themeColor="text2"/>
              <w:bottom w:val="single" w:sz="4" w:space="0" w:color="1B556B" w:themeColor="text2"/>
            </w:tcBorders>
            <w:shd w:val="clear" w:color="auto" w:fill="auto"/>
            <w:noWrap/>
            <w:hideMark/>
          </w:tcPr>
          <w:p w14:paraId="72749FC1" w14:textId="77777777" w:rsidR="00E0181F" w:rsidRPr="001D5327" w:rsidRDefault="00E0181F" w:rsidP="00D11AC9">
            <w:pPr>
              <w:pStyle w:val="TableText"/>
              <w:jc w:val="right"/>
            </w:pPr>
            <w:r w:rsidRPr="001D5327">
              <w:t>0.01</w:t>
            </w:r>
          </w:p>
        </w:tc>
        <w:tc>
          <w:tcPr>
            <w:tcW w:w="1693" w:type="dxa"/>
            <w:tcBorders>
              <w:top w:val="single" w:sz="4" w:space="0" w:color="1B556B" w:themeColor="text2"/>
              <w:bottom w:val="single" w:sz="4" w:space="0" w:color="1B556B" w:themeColor="text2"/>
            </w:tcBorders>
            <w:shd w:val="clear" w:color="auto" w:fill="auto"/>
            <w:noWrap/>
            <w:hideMark/>
          </w:tcPr>
          <w:p w14:paraId="7F219B3B" w14:textId="77777777" w:rsidR="00E0181F" w:rsidRPr="001D5327" w:rsidRDefault="00E0181F" w:rsidP="00D11AC9">
            <w:pPr>
              <w:pStyle w:val="TableText"/>
              <w:jc w:val="right"/>
            </w:pPr>
            <w:r w:rsidRPr="001D5327">
              <w:t>0.01</w:t>
            </w:r>
          </w:p>
        </w:tc>
        <w:tc>
          <w:tcPr>
            <w:tcW w:w="1200" w:type="dxa"/>
            <w:tcBorders>
              <w:top w:val="single" w:sz="4" w:space="0" w:color="1B556B" w:themeColor="text2"/>
              <w:bottom w:val="single" w:sz="4" w:space="0" w:color="1B556B" w:themeColor="text2"/>
            </w:tcBorders>
            <w:shd w:val="clear" w:color="auto" w:fill="auto"/>
            <w:noWrap/>
            <w:hideMark/>
          </w:tcPr>
          <w:p w14:paraId="474D2AD5" w14:textId="77777777" w:rsidR="00E0181F" w:rsidRPr="001D5327" w:rsidRDefault="00E0181F" w:rsidP="00D11AC9">
            <w:pPr>
              <w:pStyle w:val="TableText"/>
              <w:jc w:val="right"/>
            </w:pPr>
            <w:r w:rsidRPr="001D5327">
              <w:t>0.01</w:t>
            </w:r>
          </w:p>
        </w:tc>
        <w:tc>
          <w:tcPr>
            <w:tcW w:w="1200" w:type="dxa"/>
            <w:tcBorders>
              <w:top w:val="single" w:sz="4" w:space="0" w:color="1B556B" w:themeColor="text2"/>
              <w:bottom w:val="single" w:sz="4" w:space="0" w:color="1B556B" w:themeColor="text2"/>
            </w:tcBorders>
            <w:shd w:val="clear" w:color="auto" w:fill="auto"/>
            <w:noWrap/>
            <w:vAlign w:val="bottom"/>
            <w:hideMark/>
          </w:tcPr>
          <w:p w14:paraId="767105B7" w14:textId="77777777" w:rsidR="00E0181F" w:rsidRPr="001D5327" w:rsidRDefault="00E0181F" w:rsidP="00D11AC9">
            <w:pPr>
              <w:pStyle w:val="TableText"/>
              <w:jc w:val="right"/>
            </w:pPr>
            <w:r w:rsidRPr="001D5327">
              <w:t>0.01</w:t>
            </w:r>
          </w:p>
        </w:tc>
        <w:tc>
          <w:tcPr>
            <w:tcW w:w="1200" w:type="dxa"/>
            <w:tcBorders>
              <w:top w:val="single" w:sz="4" w:space="0" w:color="1B556B" w:themeColor="text2"/>
              <w:bottom w:val="single" w:sz="4" w:space="0" w:color="1B556B" w:themeColor="text2"/>
            </w:tcBorders>
            <w:shd w:val="clear" w:color="auto" w:fill="auto"/>
            <w:noWrap/>
            <w:vAlign w:val="bottom"/>
            <w:hideMark/>
          </w:tcPr>
          <w:p w14:paraId="68F5439A" w14:textId="77777777" w:rsidR="00E0181F" w:rsidRPr="001D5327" w:rsidRDefault="00E0181F" w:rsidP="00D11AC9">
            <w:pPr>
              <w:pStyle w:val="TableText"/>
              <w:jc w:val="right"/>
            </w:pPr>
            <w:r w:rsidRPr="001D5327">
              <w:t>0.01</w:t>
            </w:r>
          </w:p>
        </w:tc>
        <w:tc>
          <w:tcPr>
            <w:tcW w:w="1315" w:type="dxa"/>
            <w:tcBorders>
              <w:top w:val="single" w:sz="4" w:space="0" w:color="1B556B" w:themeColor="text2"/>
              <w:bottom w:val="single" w:sz="4" w:space="0" w:color="1B556B" w:themeColor="text2"/>
            </w:tcBorders>
            <w:shd w:val="clear" w:color="auto" w:fill="auto"/>
            <w:noWrap/>
            <w:vAlign w:val="bottom"/>
            <w:hideMark/>
          </w:tcPr>
          <w:p w14:paraId="242F4A2E" w14:textId="77777777" w:rsidR="00E0181F" w:rsidRPr="001D5327" w:rsidRDefault="00E0181F" w:rsidP="00D11AC9">
            <w:pPr>
              <w:pStyle w:val="TableText"/>
              <w:jc w:val="right"/>
            </w:pPr>
            <w:r w:rsidRPr="001D5327">
              <w:t>0.01</w:t>
            </w:r>
          </w:p>
        </w:tc>
        <w:tc>
          <w:tcPr>
            <w:tcW w:w="1157" w:type="dxa"/>
            <w:tcBorders>
              <w:top w:val="single" w:sz="4" w:space="0" w:color="1B556B" w:themeColor="text2"/>
              <w:bottom w:val="single" w:sz="4" w:space="0" w:color="1B556B" w:themeColor="text2"/>
            </w:tcBorders>
            <w:shd w:val="clear" w:color="auto" w:fill="auto"/>
            <w:noWrap/>
            <w:vAlign w:val="bottom"/>
            <w:hideMark/>
          </w:tcPr>
          <w:p w14:paraId="453D9B61" w14:textId="77777777" w:rsidR="00E0181F" w:rsidRPr="001D5327" w:rsidRDefault="00E0181F" w:rsidP="00D11AC9">
            <w:pPr>
              <w:pStyle w:val="TableText"/>
              <w:jc w:val="right"/>
            </w:pPr>
            <w:r w:rsidRPr="001D5327">
              <w:t>0.01</w:t>
            </w:r>
          </w:p>
        </w:tc>
      </w:tr>
      <w:tr w:rsidR="00E0181F" w:rsidRPr="001D5327" w14:paraId="029683D8" w14:textId="77777777" w:rsidTr="00D11AC9">
        <w:trPr>
          <w:trHeight w:val="325"/>
        </w:trPr>
        <w:tc>
          <w:tcPr>
            <w:tcW w:w="3356" w:type="dxa"/>
            <w:tcBorders>
              <w:top w:val="single" w:sz="4" w:space="0" w:color="1B556B" w:themeColor="text2"/>
              <w:bottom w:val="single" w:sz="4" w:space="0" w:color="1B556B" w:themeColor="text2"/>
            </w:tcBorders>
            <w:shd w:val="clear" w:color="auto" w:fill="auto"/>
            <w:noWrap/>
            <w:vAlign w:val="bottom"/>
            <w:hideMark/>
          </w:tcPr>
          <w:p w14:paraId="03F82A21" w14:textId="77777777" w:rsidR="00E0181F" w:rsidRPr="001D5327" w:rsidRDefault="00E0181F" w:rsidP="00D11AC9">
            <w:pPr>
              <w:pStyle w:val="TableText"/>
            </w:pPr>
            <w:r w:rsidRPr="001D5327">
              <w:t>CO emission factor</w:t>
            </w:r>
          </w:p>
        </w:tc>
        <w:tc>
          <w:tcPr>
            <w:tcW w:w="1464" w:type="dxa"/>
            <w:tcBorders>
              <w:top w:val="single" w:sz="4" w:space="0" w:color="1B556B" w:themeColor="text2"/>
              <w:bottom w:val="single" w:sz="4" w:space="0" w:color="1B556B" w:themeColor="text2"/>
            </w:tcBorders>
            <w:shd w:val="clear" w:color="auto" w:fill="auto"/>
            <w:noWrap/>
            <w:hideMark/>
          </w:tcPr>
          <w:p w14:paraId="6274E85D" w14:textId="77777777" w:rsidR="00E0181F" w:rsidRPr="001D5327" w:rsidRDefault="00E0181F" w:rsidP="00D11AC9">
            <w:pPr>
              <w:pStyle w:val="TableText"/>
              <w:jc w:val="right"/>
            </w:pPr>
            <w:r w:rsidRPr="001D5327">
              <w:t>0.06</w:t>
            </w:r>
          </w:p>
        </w:tc>
        <w:tc>
          <w:tcPr>
            <w:tcW w:w="1417" w:type="dxa"/>
            <w:tcBorders>
              <w:top w:val="single" w:sz="4" w:space="0" w:color="1B556B" w:themeColor="text2"/>
              <w:bottom w:val="single" w:sz="4" w:space="0" w:color="1B556B" w:themeColor="text2"/>
            </w:tcBorders>
            <w:shd w:val="clear" w:color="auto" w:fill="auto"/>
            <w:noWrap/>
            <w:hideMark/>
          </w:tcPr>
          <w:p w14:paraId="3A03105A" w14:textId="77777777" w:rsidR="00E0181F" w:rsidRPr="001D5327" w:rsidRDefault="00E0181F" w:rsidP="00D11AC9">
            <w:pPr>
              <w:pStyle w:val="TableText"/>
              <w:jc w:val="right"/>
            </w:pPr>
            <w:r w:rsidRPr="001D5327">
              <w:t>0.06</w:t>
            </w:r>
          </w:p>
        </w:tc>
        <w:tc>
          <w:tcPr>
            <w:tcW w:w="1693" w:type="dxa"/>
            <w:tcBorders>
              <w:top w:val="single" w:sz="4" w:space="0" w:color="1B556B" w:themeColor="text2"/>
              <w:bottom w:val="single" w:sz="4" w:space="0" w:color="1B556B" w:themeColor="text2"/>
            </w:tcBorders>
            <w:shd w:val="clear" w:color="auto" w:fill="auto"/>
            <w:noWrap/>
            <w:hideMark/>
          </w:tcPr>
          <w:p w14:paraId="22971AFF" w14:textId="77777777" w:rsidR="00E0181F" w:rsidRPr="001D5327" w:rsidRDefault="00E0181F" w:rsidP="00D11AC9">
            <w:pPr>
              <w:pStyle w:val="TableText"/>
              <w:jc w:val="right"/>
            </w:pPr>
            <w:r w:rsidRPr="001D5327">
              <w:t>0.06</w:t>
            </w:r>
          </w:p>
        </w:tc>
        <w:tc>
          <w:tcPr>
            <w:tcW w:w="1200" w:type="dxa"/>
            <w:tcBorders>
              <w:top w:val="single" w:sz="4" w:space="0" w:color="1B556B" w:themeColor="text2"/>
              <w:bottom w:val="single" w:sz="4" w:space="0" w:color="1B556B" w:themeColor="text2"/>
            </w:tcBorders>
            <w:shd w:val="clear" w:color="auto" w:fill="auto"/>
            <w:noWrap/>
            <w:hideMark/>
          </w:tcPr>
          <w:p w14:paraId="19F37B5C" w14:textId="77777777" w:rsidR="00E0181F" w:rsidRPr="001D5327" w:rsidRDefault="00E0181F" w:rsidP="00D11AC9">
            <w:pPr>
              <w:pStyle w:val="TableText"/>
              <w:jc w:val="right"/>
            </w:pPr>
            <w:r w:rsidRPr="001D5327">
              <w:t>0.06</w:t>
            </w:r>
          </w:p>
        </w:tc>
        <w:tc>
          <w:tcPr>
            <w:tcW w:w="1200" w:type="dxa"/>
            <w:tcBorders>
              <w:top w:val="single" w:sz="4" w:space="0" w:color="1B556B" w:themeColor="text2"/>
              <w:bottom w:val="single" w:sz="4" w:space="0" w:color="1B556B" w:themeColor="text2"/>
            </w:tcBorders>
            <w:shd w:val="clear" w:color="auto" w:fill="auto"/>
            <w:noWrap/>
            <w:hideMark/>
          </w:tcPr>
          <w:p w14:paraId="2CD04048" w14:textId="77777777" w:rsidR="00E0181F" w:rsidRPr="001D5327" w:rsidRDefault="00E0181F" w:rsidP="00D11AC9">
            <w:pPr>
              <w:pStyle w:val="TableText"/>
              <w:jc w:val="right"/>
            </w:pPr>
            <w:r w:rsidRPr="001D5327">
              <w:t>0.09</w:t>
            </w:r>
          </w:p>
        </w:tc>
        <w:tc>
          <w:tcPr>
            <w:tcW w:w="1200" w:type="dxa"/>
            <w:tcBorders>
              <w:top w:val="single" w:sz="4" w:space="0" w:color="1B556B" w:themeColor="text2"/>
              <w:bottom w:val="single" w:sz="4" w:space="0" w:color="1B556B" w:themeColor="text2"/>
            </w:tcBorders>
            <w:shd w:val="clear" w:color="auto" w:fill="auto"/>
            <w:noWrap/>
            <w:hideMark/>
          </w:tcPr>
          <w:p w14:paraId="4C3EC50D" w14:textId="77777777" w:rsidR="00E0181F" w:rsidRPr="001D5327" w:rsidRDefault="00E0181F" w:rsidP="00D11AC9">
            <w:pPr>
              <w:pStyle w:val="TableText"/>
              <w:jc w:val="right"/>
            </w:pPr>
            <w:r w:rsidRPr="001D5327">
              <w:t>0.10</w:t>
            </w:r>
          </w:p>
        </w:tc>
        <w:tc>
          <w:tcPr>
            <w:tcW w:w="1315" w:type="dxa"/>
            <w:tcBorders>
              <w:top w:val="single" w:sz="4" w:space="0" w:color="1B556B" w:themeColor="text2"/>
              <w:bottom w:val="single" w:sz="4" w:space="0" w:color="1B556B" w:themeColor="text2"/>
            </w:tcBorders>
            <w:shd w:val="clear" w:color="auto" w:fill="auto"/>
            <w:noWrap/>
            <w:hideMark/>
          </w:tcPr>
          <w:p w14:paraId="1F1A54B9" w14:textId="77777777" w:rsidR="00E0181F" w:rsidRPr="001D5327" w:rsidRDefault="00E0181F" w:rsidP="00D11AC9">
            <w:pPr>
              <w:pStyle w:val="TableText"/>
              <w:jc w:val="right"/>
            </w:pPr>
            <w:r w:rsidRPr="001D5327">
              <w:t>0.09</w:t>
            </w:r>
          </w:p>
        </w:tc>
        <w:tc>
          <w:tcPr>
            <w:tcW w:w="1157" w:type="dxa"/>
            <w:tcBorders>
              <w:top w:val="single" w:sz="4" w:space="0" w:color="1B556B" w:themeColor="text2"/>
              <w:bottom w:val="single" w:sz="4" w:space="0" w:color="1B556B" w:themeColor="text2"/>
            </w:tcBorders>
            <w:shd w:val="clear" w:color="auto" w:fill="auto"/>
            <w:noWrap/>
            <w:hideMark/>
          </w:tcPr>
          <w:p w14:paraId="5030FE3E" w14:textId="77777777" w:rsidR="00E0181F" w:rsidRPr="001D5327" w:rsidRDefault="00E0181F" w:rsidP="00D11AC9">
            <w:pPr>
              <w:pStyle w:val="TableText"/>
              <w:jc w:val="right"/>
            </w:pPr>
            <w:r w:rsidRPr="001D5327">
              <w:t>0.10</w:t>
            </w:r>
          </w:p>
        </w:tc>
      </w:tr>
      <w:tr w:rsidR="00E0181F" w:rsidRPr="001D5327" w14:paraId="57C8315A" w14:textId="77777777" w:rsidTr="00D11AC9">
        <w:trPr>
          <w:trHeight w:val="325"/>
        </w:trPr>
        <w:tc>
          <w:tcPr>
            <w:tcW w:w="3356" w:type="dxa"/>
            <w:tcBorders>
              <w:top w:val="single" w:sz="4" w:space="0" w:color="1B556B" w:themeColor="text2"/>
              <w:bottom w:val="single" w:sz="4" w:space="0" w:color="1B556B" w:themeColor="text2"/>
            </w:tcBorders>
            <w:shd w:val="clear" w:color="auto" w:fill="auto"/>
            <w:noWrap/>
            <w:vAlign w:val="bottom"/>
            <w:hideMark/>
          </w:tcPr>
          <w:p w14:paraId="634C977C" w14:textId="77777777" w:rsidR="00E0181F" w:rsidRPr="001D5327" w:rsidRDefault="00E0181F" w:rsidP="00D11AC9">
            <w:pPr>
              <w:pStyle w:val="TableText"/>
            </w:pPr>
            <w:r w:rsidRPr="001D5327">
              <w:t>CH</w:t>
            </w:r>
            <w:r w:rsidRPr="001D5327">
              <w:rPr>
                <w:vertAlign w:val="subscript"/>
              </w:rPr>
              <w:t>4</w:t>
            </w:r>
            <w:r w:rsidRPr="001D5327">
              <w:t xml:space="preserve"> emission factor</w:t>
            </w:r>
          </w:p>
        </w:tc>
        <w:tc>
          <w:tcPr>
            <w:tcW w:w="1464" w:type="dxa"/>
            <w:tcBorders>
              <w:top w:val="single" w:sz="4" w:space="0" w:color="1B556B" w:themeColor="text2"/>
              <w:bottom w:val="single" w:sz="4" w:space="0" w:color="1B556B" w:themeColor="text2"/>
            </w:tcBorders>
            <w:shd w:val="clear" w:color="auto" w:fill="auto"/>
            <w:noWrap/>
            <w:hideMark/>
          </w:tcPr>
          <w:p w14:paraId="0C5C5BBA" w14:textId="77777777" w:rsidR="00E0181F" w:rsidRPr="001D5327" w:rsidRDefault="00E0181F" w:rsidP="00D11AC9">
            <w:pPr>
              <w:pStyle w:val="TableText"/>
              <w:jc w:val="right"/>
            </w:pPr>
            <w:r w:rsidRPr="001D5327">
              <w:t>0.00</w:t>
            </w:r>
          </w:p>
        </w:tc>
        <w:tc>
          <w:tcPr>
            <w:tcW w:w="1417" w:type="dxa"/>
            <w:tcBorders>
              <w:top w:val="single" w:sz="4" w:space="0" w:color="1B556B" w:themeColor="text2"/>
              <w:bottom w:val="single" w:sz="4" w:space="0" w:color="1B556B" w:themeColor="text2"/>
            </w:tcBorders>
            <w:shd w:val="clear" w:color="auto" w:fill="auto"/>
            <w:noWrap/>
            <w:hideMark/>
          </w:tcPr>
          <w:p w14:paraId="4E37935C" w14:textId="77777777" w:rsidR="00E0181F" w:rsidRPr="001D5327" w:rsidRDefault="00E0181F" w:rsidP="00D11AC9">
            <w:pPr>
              <w:pStyle w:val="TableText"/>
              <w:jc w:val="right"/>
            </w:pPr>
            <w:r w:rsidRPr="001D5327">
              <w:t>0.00</w:t>
            </w:r>
          </w:p>
        </w:tc>
        <w:tc>
          <w:tcPr>
            <w:tcW w:w="1693" w:type="dxa"/>
            <w:tcBorders>
              <w:top w:val="single" w:sz="4" w:space="0" w:color="1B556B" w:themeColor="text2"/>
              <w:bottom w:val="single" w:sz="4" w:space="0" w:color="1B556B" w:themeColor="text2"/>
            </w:tcBorders>
            <w:shd w:val="clear" w:color="auto" w:fill="auto"/>
            <w:noWrap/>
            <w:hideMark/>
          </w:tcPr>
          <w:p w14:paraId="451D1161" w14:textId="77777777" w:rsidR="00E0181F" w:rsidRPr="001D5327" w:rsidRDefault="00E0181F" w:rsidP="00D11AC9">
            <w:pPr>
              <w:pStyle w:val="TableText"/>
              <w:jc w:val="right"/>
            </w:pPr>
            <w:r w:rsidRPr="001D5327">
              <w:t>0.00</w:t>
            </w:r>
          </w:p>
        </w:tc>
        <w:tc>
          <w:tcPr>
            <w:tcW w:w="1200" w:type="dxa"/>
            <w:tcBorders>
              <w:top w:val="single" w:sz="4" w:space="0" w:color="1B556B" w:themeColor="text2"/>
              <w:bottom w:val="single" w:sz="4" w:space="0" w:color="1B556B" w:themeColor="text2"/>
            </w:tcBorders>
            <w:shd w:val="clear" w:color="auto" w:fill="auto"/>
            <w:noWrap/>
            <w:hideMark/>
          </w:tcPr>
          <w:p w14:paraId="073091BB" w14:textId="77777777" w:rsidR="00E0181F" w:rsidRPr="001D5327" w:rsidRDefault="00E0181F" w:rsidP="00D11AC9">
            <w:pPr>
              <w:pStyle w:val="TableText"/>
              <w:jc w:val="right"/>
            </w:pPr>
            <w:r w:rsidRPr="001D5327">
              <w:t>0.00</w:t>
            </w:r>
          </w:p>
        </w:tc>
        <w:tc>
          <w:tcPr>
            <w:tcW w:w="1200" w:type="dxa"/>
            <w:tcBorders>
              <w:top w:val="single" w:sz="4" w:space="0" w:color="1B556B" w:themeColor="text2"/>
              <w:bottom w:val="single" w:sz="4" w:space="0" w:color="1B556B" w:themeColor="text2"/>
            </w:tcBorders>
            <w:shd w:val="clear" w:color="auto" w:fill="auto"/>
            <w:noWrap/>
            <w:hideMark/>
          </w:tcPr>
          <w:p w14:paraId="6D535E17" w14:textId="77777777" w:rsidR="00E0181F" w:rsidRPr="001D5327" w:rsidRDefault="00E0181F" w:rsidP="00D11AC9">
            <w:pPr>
              <w:pStyle w:val="TableText"/>
              <w:jc w:val="right"/>
            </w:pPr>
            <w:r w:rsidRPr="001D5327">
              <w:t>0.01</w:t>
            </w:r>
          </w:p>
        </w:tc>
        <w:tc>
          <w:tcPr>
            <w:tcW w:w="1200" w:type="dxa"/>
            <w:tcBorders>
              <w:top w:val="single" w:sz="4" w:space="0" w:color="1B556B" w:themeColor="text2"/>
              <w:bottom w:val="single" w:sz="4" w:space="0" w:color="1B556B" w:themeColor="text2"/>
            </w:tcBorders>
            <w:shd w:val="clear" w:color="auto" w:fill="auto"/>
            <w:noWrap/>
            <w:hideMark/>
          </w:tcPr>
          <w:p w14:paraId="324D8A2C" w14:textId="77777777" w:rsidR="00E0181F" w:rsidRPr="001D5327" w:rsidRDefault="00E0181F" w:rsidP="00D11AC9">
            <w:pPr>
              <w:pStyle w:val="TableText"/>
              <w:jc w:val="right"/>
            </w:pPr>
            <w:r w:rsidRPr="001D5327">
              <w:t>0.01</w:t>
            </w:r>
          </w:p>
        </w:tc>
        <w:tc>
          <w:tcPr>
            <w:tcW w:w="1315" w:type="dxa"/>
            <w:tcBorders>
              <w:top w:val="single" w:sz="4" w:space="0" w:color="1B556B" w:themeColor="text2"/>
              <w:bottom w:val="single" w:sz="4" w:space="0" w:color="1B556B" w:themeColor="text2"/>
            </w:tcBorders>
            <w:shd w:val="clear" w:color="auto" w:fill="auto"/>
            <w:noWrap/>
            <w:hideMark/>
          </w:tcPr>
          <w:p w14:paraId="63BA9086" w14:textId="77777777" w:rsidR="00E0181F" w:rsidRPr="001D5327" w:rsidRDefault="00E0181F" w:rsidP="00D11AC9">
            <w:pPr>
              <w:pStyle w:val="TableText"/>
              <w:jc w:val="right"/>
            </w:pPr>
            <w:r w:rsidRPr="001D5327">
              <w:t>0.01</w:t>
            </w:r>
          </w:p>
        </w:tc>
        <w:tc>
          <w:tcPr>
            <w:tcW w:w="1157" w:type="dxa"/>
            <w:tcBorders>
              <w:top w:val="single" w:sz="4" w:space="0" w:color="1B556B" w:themeColor="text2"/>
              <w:bottom w:val="single" w:sz="4" w:space="0" w:color="1B556B" w:themeColor="text2"/>
            </w:tcBorders>
            <w:shd w:val="clear" w:color="auto" w:fill="auto"/>
            <w:noWrap/>
            <w:hideMark/>
          </w:tcPr>
          <w:p w14:paraId="07475D05" w14:textId="77777777" w:rsidR="00E0181F" w:rsidRPr="001D5327" w:rsidRDefault="00E0181F" w:rsidP="00D11AC9">
            <w:pPr>
              <w:pStyle w:val="TableText"/>
              <w:jc w:val="right"/>
            </w:pPr>
            <w:r w:rsidRPr="001D5327">
              <w:t>0.01</w:t>
            </w:r>
          </w:p>
        </w:tc>
      </w:tr>
      <w:tr w:rsidR="00E0181F" w:rsidRPr="001D5327" w14:paraId="7D3E73B3" w14:textId="77777777" w:rsidTr="00D11AC9">
        <w:trPr>
          <w:trHeight w:val="325"/>
        </w:trPr>
        <w:tc>
          <w:tcPr>
            <w:tcW w:w="3356" w:type="dxa"/>
            <w:tcBorders>
              <w:top w:val="single" w:sz="4" w:space="0" w:color="1B556B" w:themeColor="text2"/>
              <w:bottom w:val="single" w:sz="4" w:space="0" w:color="1B556B" w:themeColor="text2"/>
            </w:tcBorders>
            <w:shd w:val="clear" w:color="auto" w:fill="auto"/>
            <w:noWrap/>
            <w:vAlign w:val="bottom"/>
            <w:hideMark/>
          </w:tcPr>
          <w:p w14:paraId="361A2DCD" w14:textId="77777777" w:rsidR="00E0181F" w:rsidRPr="001D5327" w:rsidRDefault="00E0181F" w:rsidP="00D11AC9">
            <w:pPr>
              <w:pStyle w:val="TableText"/>
            </w:pPr>
            <w:r w:rsidRPr="001D5327">
              <w:t>N</w:t>
            </w:r>
            <w:r w:rsidRPr="001D5327">
              <w:rPr>
                <w:vertAlign w:val="subscript"/>
              </w:rPr>
              <w:t>2</w:t>
            </w:r>
            <w:r w:rsidRPr="001D5327">
              <w:t>O emission factor</w:t>
            </w:r>
          </w:p>
        </w:tc>
        <w:tc>
          <w:tcPr>
            <w:tcW w:w="1464" w:type="dxa"/>
            <w:tcBorders>
              <w:top w:val="single" w:sz="4" w:space="0" w:color="1B556B" w:themeColor="text2"/>
              <w:bottom w:val="single" w:sz="4" w:space="0" w:color="1B556B" w:themeColor="text2"/>
            </w:tcBorders>
            <w:shd w:val="clear" w:color="auto" w:fill="auto"/>
            <w:noWrap/>
            <w:hideMark/>
          </w:tcPr>
          <w:p w14:paraId="255BDEBA" w14:textId="77777777" w:rsidR="00E0181F" w:rsidRPr="001D5327" w:rsidRDefault="00E0181F" w:rsidP="00D11AC9">
            <w:pPr>
              <w:pStyle w:val="TableText"/>
              <w:jc w:val="right"/>
            </w:pPr>
            <w:r w:rsidRPr="001D5327">
              <w:t>0.03</w:t>
            </w:r>
          </w:p>
        </w:tc>
        <w:tc>
          <w:tcPr>
            <w:tcW w:w="1417" w:type="dxa"/>
            <w:tcBorders>
              <w:top w:val="single" w:sz="4" w:space="0" w:color="1B556B" w:themeColor="text2"/>
              <w:bottom w:val="single" w:sz="4" w:space="0" w:color="1B556B" w:themeColor="text2"/>
            </w:tcBorders>
            <w:shd w:val="clear" w:color="auto" w:fill="auto"/>
            <w:noWrap/>
            <w:hideMark/>
          </w:tcPr>
          <w:p w14:paraId="507C4376" w14:textId="77777777" w:rsidR="00E0181F" w:rsidRPr="001D5327" w:rsidRDefault="00E0181F" w:rsidP="00D11AC9">
            <w:pPr>
              <w:pStyle w:val="TableText"/>
              <w:jc w:val="right"/>
            </w:pPr>
            <w:r w:rsidRPr="001D5327">
              <w:t>0.03</w:t>
            </w:r>
          </w:p>
        </w:tc>
        <w:tc>
          <w:tcPr>
            <w:tcW w:w="1693" w:type="dxa"/>
            <w:tcBorders>
              <w:top w:val="single" w:sz="4" w:space="0" w:color="1B556B" w:themeColor="text2"/>
              <w:bottom w:val="single" w:sz="4" w:space="0" w:color="1B556B" w:themeColor="text2"/>
            </w:tcBorders>
            <w:shd w:val="clear" w:color="auto" w:fill="auto"/>
            <w:noWrap/>
            <w:hideMark/>
          </w:tcPr>
          <w:p w14:paraId="4A34E10E" w14:textId="77777777" w:rsidR="00E0181F" w:rsidRPr="001D5327" w:rsidRDefault="00E0181F" w:rsidP="00D11AC9">
            <w:pPr>
              <w:pStyle w:val="TableText"/>
              <w:jc w:val="right"/>
            </w:pPr>
            <w:r w:rsidRPr="001D5327">
              <w:t>0.03</w:t>
            </w:r>
          </w:p>
        </w:tc>
        <w:tc>
          <w:tcPr>
            <w:tcW w:w="1200" w:type="dxa"/>
            <w:tcBorders>
              <w:top w:val="single" w:sz="4" w:space="0" w:color="1B556B" w:themeColor="text2"/>
              <w:bottom w:val="single" w:sz="4" w:space="0" w:color="1B556B" w:themeColor="text2"/>
            </w:tcBorders>
            <w:shd w:val="clear" w:color="auto" w:fill="auto"/>
            <w:noWrap/>
            <w:hideMark/>
          </w:tcPr>
          <w:p w14:paraId="69AAB218" w14:textId="77777777" w:rsidR="00E0181F" w:rsidRPr="001D5327" w:rsidRDefault="00E0181F" w:rsidP="00D11AC9">
            <w:pPr>
              <w:pStyle w:val="TableText"/>
              <w:jc w:val="right"/>
            </w:pPr>
            <w:r w:rsidRPr="001D5327">
              <w:t>0.03</w:t>
            </w:r>
          </w:p>
        </w:tc>
        <w:tc>
          <w:tcPr>
            <w:tcW w:w="1200" w:type="dxa"/>
            <w:tcBorders>
              <w:top w:val="single" w:sz="4" w:space="0" w:color="1B556B" w:themeColor="text2"/>
              <w:bottom w:val="single" w:sz="4" w:space="0" w:color="1B556B" w:themeColor="text2"/>
            </w:tcBorders>
            <w:shd w:val="clear" w:color="auto" w:fill="auto"/>
            <w:noWrap/>
            <w:hideMark/>
          </w:tcPr>
          <w:p w14:paraId="547F4505" w14:textId="77777777" w:rsidR="00E0181F" w:rsidRPr="001D5327" w:rsidRDefault="00E0181F" w:rsidP="00D11AC9">
            <w:pPr>
              <w:pStyle w:val="TableText"/>
              <w:jc w:val="right"/>
            </w:pPr>
            <w:r w:rsidRPr="001D5327">
              <w:t>0.03</w:t>
            </w:r>
          </w:p>
        </w:tc>
        <w:tc>
          <w:tcPr>
            <w:tcW w:w="1200" w:type="dxa"/>
            <w:tcBorders>
              <w:top w:val="single" w:sz="4" w:space="0" w:color="1B556B" w:themeColor="text2"/>
              <w:bottom w:val="single" w:sz="4" w:space="0" w:color="1B556B" w:themeColor="text2"/>
            </w:tcBorders>
            <w:shd w:val="clear" w:color="auto" w:fill="auto"/>
            <w:noWrap/>
            <w:hideMark/>
          </w:tcPr>
          <w:p w14:paraId="3187A5C9" w14:textId="77777777" w:rsidR="00E0181F" w:rsidRPr="001D5327" w:rsidRDefault="00E0181F" w:rsidP="00D11AC9">
            <w:pPr>
              <w:pStyle w:val="TableText"/>
              <w:jc w:val="right"/>
            </w:pPr>
            <w:r w:rsidRPr="001D5327">
              <w:t>0.04</w:t>
            </w:r>
          </w:p>
        </w:tc>
        <w:tc>
          <w:tcPr>
            <w:tcW w:w="1315" w:type="dxa"/>
            <w:tcBorders>
              <w:top w:val="single" w:sz="4" w:space="0" w:color="1B556B" w:themeColor="text2"/>
              <w:bottom w:val="single" w:sz="4" w:space="0" w:color="1B556B" w:themeColor="text2"/>
            </w:tcBorders>
            <w:shd w:val="clear" w:color="auto" w:fill="auto"/>
            <w:noWrap/>
            <w:hideMark/>
          </w:tcPr>
          <w:p w14:paraId="3BEFE91C" w14:textId="77777777" w:rsidR="00E0181F" w:rsidRPr="001D5327" w:rsidRDefault="00E0181F" w:rsidP="00D11AC9">
            <w:pPr>
              <w:pStyle w:val="TableText"/>
              <w:jc w:val="right"/>
            </w:pPr>
            <w:r w:rsidRPr="001D5327">
              <w:t>0.03</w:t>
            </w:r>
          </w:p>
        </w:tc>
        <w:tc>
          <w:tcPr>
            <w:tcW w:w="1157" w:type="dxa"/>
            <w:tcBorders>
              <w:top w:val="single" w:sz="4" w:space="0" w:color="1B556B" w:themeColor="text2"/>
              <w:bottom w:val="single" w:sz="4" w:space="0" w:color="1B556B" w:themeColor="text2"/>
            </w:tcBorders>
            <w:shd w:val="clear" w:color="auto" w:fill="auto"/>
            <w:noWrap/>
            <w:hideMark/>
          </w:tcPr>
          <w:p w14:paraId="7DCEAFE2" w14:textId="77777777" w:rsidR="00E0181F" w:rsidRPr="001D5327" w:rsidRDefault="00E0181F" w:rsidP="00D11AC9">
            <w:pPr>
              <w:pStyle w:val="TableText"/>
              <w:jc w:val="right"/>
            </w:pPr>
            <w:r w:rsidRPr="001D5327">
              <w:t>0.04</w:t>
            </w:r>
          </w:p>
        </w:tc>
      </w:tr>
      <w:tr w:rsidR="00E0181F" w:rsidRPr="001D5327" w14:paraId="7426E334" w14:textId="77777777" w:rsidTr="00D11AC9">
        <w:trPr>
          <w:trHeight w:val="325"/>
        </w:trPr>
        <w:tc>
          <w:tcPr>
            <w:tcW w:w="3356" w:type="dxa"/>
            <w:tcBorders>
              <w:top w:val="single" w:sz="4" w:space="0" w:color="1B556B" w:themeColor="text2"/>
              <w:bottom w:val="single" w:sz="4" w:space="0" w:color="1B556B" w:themeColor="text2"/>
            </w:tcBorders>
            <w:shd w:val="clear" w:color="auto" w:fill="auto"/>
            <w:noWrap/>
            <w:vAlign w:val="bottom"/>
            <w:hideMark/>
          </w:tcPr>
          <w:p w14:paraId="5FE98AF1" w14:textId="77777777" w:rsidR="00E0181F" w:rsidRPr="001D5327" w:rsidRDefault="00E0181F" w:rsidP="00D11AC9">
            <w:pPr>
              <w:pStyle w:val="TableText"/>
            </w:pPr>
            <w:r w:rsidRPr="001D5327">
              <w:t>NO</w:t>
            </w:r>
            <w:r w:rsidRPr="001D5327">
              <w:rPr>
                <w:vertAlign w:val="subscript"/>
              </w:rPr>
              <w:t xml:space="preserve">x </w:t>
            </w:r>
            <w:r w:rsidRPr="001D5327">
              <w:t>emission factor</w:t>
            </w:r>
          </w:p>
        </w:tc>
        <w:tc>
          <w:tcPr>
            <w:tcW w:w="1464" w:type="dxa"/>
            <w:tcBorders>
              <w:top w:val="single" w:sz="4" w:space="0" w:color="1B556B" w:themeColor="text2"/>
              <w:bottom w:val="single" w:sz="4" w:space="0" w:color="1B556B" w:themeColor="text2"/>
            </w:tcBorders>
            <w:shd w:val="clear" w:color="auto" w:fill="auto"/>
            <w:noWrap/>
            <w:hideMark/>
          </w:tcPr>
          <w:p w14:paraId="1D843591" w14:textId="77777777" w:rsidR="00E0181F" w:rsidRPr="001D5327" w:rsidRDefault="00E0181F" w:rsidP="00D11AC9">
            <w:pPr>
              <w:pStyle w:val="TableText"/>
              <w:jc w:val="right"/>
            </w:pPr>
            <w:r w:rsidRPr="001D5327">
              <w:t>0.27</w:t>
            </w:r>
          </w:p>
        </w:tc>
        <w:tc>
          <w:tcPr>
            <w:tcW w:w="1417" w:type="dxa"/>
            <w:tcBorders>
              <w:top w:val="single" w:sz="4" w:space="0" w:color="1B556B" w:themeColor="text2"/>
              <w:bottom w:val="single" w:sz="4" w:space="0" w:color="1B556B" w:themeColor="text2"/>
            </w:tcBorders>
            <w:shd w:val="clear" w:color="auto" w:fill="auto"/>
            <w:noWrap/>
            <w:hideMark/>
          </w:tcPr>
          <w:p w14:paraId="7407B25F" w14:textId="77777777" w:rsidR="00E0181F" w:rsidRPr="001D5327" w:rsidRDefault="00E0181F" w:rsidP="00D11AC9">
            <w:pPr>
              <w:pStyle w:val="TableText"/>
              <w:jc w:val="right"/>
            </w:pPr>
            <w:r w:rsidRPr="001D5327">
              <w:t>0.27</w:t>
            </w:r>
          </w:p>
        </w:tc>
        <w:tc>
          <w:tcPr>
            <w:tcW w:w="1693" w:type="dxa"/>
            <w:tcBorders>
              <w:top w:val="single" w:sz="4" w:space="0" w:color="1B556B" w:themeColor="text2"/>
              <w:bottom w:val="single" w:sz="4" w:space="0" w:color="1B556B" w:themeColor="text2"/>
            </w:tcBorders>
            <w:shd w:val="clear" w:color="auto" w:fill="auto"/>
            <w:noWrap/>
            <w:hideMark/>
          </w:tcPr>
          <w:p w14:paraId="6652D747" w14:textId="77777777" w:rsidR="00E0181F" w:rsidRPr="001D5327" w:rsidRDefault="00E0181F" w:rsidP="00D11AC9">
            <w:pPr>
              <w:pStyle w:val="TableText"/>
              <w:jc w:val="right"/>
            </w:pPr>
            <w:r w:rsidRPr="001D5327">
              <w:t>0.27</w:t>
            </w:r>
          </w:p>
        </w:tc>
        <w:tc>
          <w:tcPr>
            <w:tcW w:w="1200" w:type="dxa"/>
            <w:tcBorders>
              <w:top w:val="single" w:sz="4" w:space="0" w:color="1B556B" w:themeColor="text2"/>
              <w:bottom w:val="single" w:sz="4" w:space="0" w:color="1B556B" w:themeColor="text2"/>
            </w:tcBorders>
            <w:shd w:val="clear" w:color="auto" w:fill="auto"/>
            <w:noWrap/>
            <w:hideMark/>
          </w:tcPr>
          <w:p w14:paraId="1319A6DF" w14:textId="77777777" w:rsidR="00E0181F" w:rsidRPr="001D5327" w:rsidRDefault="00E0181F" w:rsidP="00D11AC9">
            <w:pPr>
              <w:pStyle w:val="TableText"/>
              <w:jc w:val="right"/>
            </w:pPr>
            <w:r w:rsidRPr="001D5327">
              <w:t>0.27</w:t>
            </w:r>
          </w:p>
        </w:tc>
        <w:tc>
          <w:tcPr>
            <w:tcW w:w="1200" w:type="dxa"/>
            <w:tcBorders>
              <w:top w:val="single" w:sz="4" w:space="0" w:color="1B556B" w:themeColor="text2"/>
              <w:bottom w:val="single" w:sz="4" w:space="0" w:color="1B556B" w:themeColor="text2"/>
            </w:tcBorders>
            <w:shd w:val="clear" w:color="auto" w:fill="auto"/>
            <w:noWrap/>
            <w:hideMark/>
          </w:tcPr>
          <w:p w14:paraId="5A2377F3" w14:textId="77777777" w:rsidR="00E0181F" w:rsidRPr="001D5327" w:rsidRDefault="00E0181F" w:rsidP="00D11AC9">
            <w:pPr>
              <w:pStyle w:val="TableText"/>
              <w:jc w:val="right"/>
            </w:pPr>
            <w:r w:rsidRPr="001D5327">
              <w:t>0.18</w:t>
            </w:r>
          </w:p>
        </w:tc>
        <w:tc>
          <w:tcPr>
            <w:tcW w:w="1200" w:type="dxa"/>
            <w:tcBorders>
              <w:top w:val="single" w:sz="4" w:space="0" w:color="1B556B" w:themeColor="text2"/>
              <w:bottom w:val="single" w:sz="4" w:space="0" w:color="1B556B" w:themeColor="text2"/>
            </w:tcBorders>
            <w:shd w:val="clear" w:color="auto" w:fill="auto"/>
            <w:noWrap/>
            <w:hideMark/>
          </w:tcPr>
          <w:p w14:paraId="1DBD954C" w14:textId="77777777" w:rsidR="00E0181F" w:rsidRPr="001D5327" w:rsidRDefault="00E0181F" w:rsidP="00D11AC9">
            <w:pPr>
              <w:pStyle w:val="TableText"/>
              <w:jc w:val="right"/>
            </w:pPr>
            <w:r w:rsidRPr="001D5327">
              <w:t>0.19</w:t>
            </w:r>
          </w:p>
        </w:tc>
        <w:tc>
          <w:tcPr>
            <w:tcW w:w="1315" w:type="dxa"/>
            <w:tcBorders>
              <w:top w:val="single" w:sz="4" w:space="0" w:color="1B556B" w:themeColor="text2"/>
              <w:bottom w:val="single" w:sz="4" w:space="0" w:color="1B556B" w:themeColor="text2"/>
            </w:tcBorders>
            <w:shd w:val="clear" w:color="auto" w:fill="auto"/>
            <w:noWrap/>
            <w:hideMark/>
          </w:tcPr>
          <w:p w14:paraId="0D154D4B" w14:textId="77777777" w:rsidR="00E0181F" w:rsidRPr="001D5327" w:rsidRDefault="00E0181F" w:rsidP="00D11AC9">
            <w:pPr>
              <w:pStyle w:val="TableText"/>
              <w:jc w:val="right"/>
            </w:pPr>
            <w:r w:rsidRPr="001D5327">
              <w:t>0.18</w:t>
            </w:r>
          </w:p>
        </w:tc>
        <w:tc>
          <w:tcPr>
            <w:tcW w:w="1157" w:type="dxa"/>
            <w:tcBorders>
              <w:top w:val="single" w:sz="4" w:space="0" w:color="1B556B" w:themeColor="text2"/>
              <w:bottom w:val="single" w:sz="4" w:space="0" w:color="1B556B" w:themeColor="text2"/>
            </w:tcBorders>
            <w:shd w:val="clear" w:color="auto" w:fill="auto"/>
            <w:noWrap/>
            <w:hideMark/>
          </w:tcPr>
          <w:p w14:paraId="0542F112" w14:textId="77777777" w:rsidR="00E0181F" w:rsidRPr="001D5327" w:rsidRDefault="00E0181F" w:rsidP="00D11AC9">
            <w:pPr>
              <w:pStyle w:val="TableText"/>
              <w:jc w:val="right"/>
            </w:pPr>
            <w:r w:rsidRPr="001D5327">
              <w:t>0.19</w:t>
            </w:r>
          </w:p>
        </w:tc>
      </w:tr>
    </w:tbl>
    <w:p w14:paraId="12E72D6A" w14:textId="77777777" w:rsidR="00E0181F" w:rsidRPr="001D5327" w:rsidRDefault="00E0181F" w:rsidP="00E0181F">
      <w:pPr>
        <w:pStyle w:val="Noteundertable"/>
      </w:pPr>
      <w:r w:rsidRPr="001D5327">
        <w:rPr>
          <w:b/>
          <w:bCs/>
        </w:rPr>
        <w:t>Note:</w:t>
      </w:r>
      <w:r w:rsidRPr="001D5327">
        <w:rPr>
          <w:b/>
          <w:bCs/>
        </w:rPr>
        <w:tab/>
      </w:r>
      <w:r w:rsidRPr="001D5327">
        <w:t>GWB = grassland with woody biomass. Values are rounded to two decimal places. *0.51 New Zealand-specific carbon fraction for planted forests (Beets, unpublished).</w:t>
      </w:r>
    </w:p>
    <w:p w14:paraId="49C60829" w14:textId="77777777" w:rsidR="00E0181F" w:rsidRPr="001D5327" w:rsidRDefault="00E0181F" w:rsidP="00E0181F">
      <w:pPr>
        <w:pStyle w:val="BodyText"/>
      </w:pPr>
    </w:p>
    <w:p w14:paraId="4D33DFC4" w14:textId="77777777" w:rsidR="00E0181F" w:rsidRPr="001D5327" w:rsidRDefault="00E0181F" w:rsidP="00E0181F">
      <w:pPr>
        <w:sectPr w:rsidR="00E0181F" w:rsidRPr="001D5327" w:rsidSect="00E0181F">
          <w:footerReference w:type="default" r:id="rId209"/>
          <w:pgSz w:w="16838" w:h="11906" w:orient="landscape"/>
          <w:pgMar w:top="1701" w:right="1418" w:bottom="1701" w:left="1418" w:header="709" w:footer="709" w:gutter="0"/>
          <w:cols w:space="708"/>
          <w:docGrid w:linePitch="360"/>
        </w:sectPr>
      </w:pPr>
    </w:p>
    <w:p w14:paraId="5A1C37FF" w14:textId="77777777" w:rsidR="00E0181F" w:rsidRPr="001D5327" w:rsidRDefault="00E0181F" w:rsidP="00E0181F">
      <w:pPr>
        <w:pStyle w:val="Table"/>
        <w:spacing w:before="0"/>
      </w:pPr>
      <w:bookmarkStart w:id="2774" w:name="_Toc131591432"/>
      <w:bookmarkStart w:id="2775" w:name="_Toc158979990"/>
      <w:bookmarkStart w:id="2776" w:name="_Toc164153923"/>
      <w:bookmarkStart w:id="2777" w:name="_Toc190873157"/>
      <w:bookmarkStart w:id="2778" w:name="_Toc194241796"/>
      <w:r w:rsidRPr="001D5327">
        <w:lastRenderedPageBreak/>
        <w:t>Table 6.11.5</w:t>
      </w:r>
      <w:r w:rsidRPr="001D5327">
        <w:tab/>
        <w:t xml:space="preserve">Summary of </w:t>
      </w:r>
      <w:r w:rsidRPr="001D5327">
        <w:rPr>
          <w:i/>
        </w:rPr>
        <w:t>Biomass burning</w:t>
      </w:r>
      <w:r w:rsidRPr="001D5327">
        <w:t xml:space="preserve"> combustion factor values</w:t>
      </w:r>
      <w:bookmarkEnd w:id="2774"/>
      <w:bookmarkEnd w:id="2775"/>
      <w:bookmarkEnd w:id="2776"/>
      <w:bookmarkEnd w:id="2777"/>
      <w:bookmarkEnd w:id="2778"/>
    </w:p>
    <w:tbl>
      <w:tblPr>
        <w:tblStyle w:val="TableGrid"/>
        <w:tblW w:w="85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04"/>
        <w:gridCol w:w="1990"/>
        <w:gridCol w:w="3288"/>
        <w:gridCol w:w="2523"/>
      </w:tblGrid>
      <w:tr w:rsidR="00E0181F" w:rsidRPr="001D5327" w14:paraId="2EAE7A6B" w14:textId="77777777" w:rsidTr="00D11AC9">
        <w:tc>
          <w:tcPr>
            <w:tcW w:w="8505" w:type="dxa"/>
            <w:gridSpan w:val="4"/>
            <w:tcBorders>
              <w:top w:val="single" w:sz="4" w:space="0" w:color="1B556B"/>
              <w:left w:val="nil"/>
              <w:bottom w:val="single" w:sz="4" w:space="0" w:color="1B556B"/>
              <w:right w:val="nil"/>
            </w:tcBorders>
            <w:shd w:val="clear" w:color="auto" w:fill="1B556B"/>
          </w:tcPr>
          <w:p w14:paraId="079D0AA8" w14:textId="77777777" w:rsidR="00E0181F" w:rsidRPr="001D5327" w:rsidRDefault="00E0181F" w:rsidP="00D11AC9">
            <w:pPr>
              <w:pStyle w:val="TableTextBold"/>
              <w:spacing w:before="40" w:after="40"/>
              <w:jc w:val="center"/>
              <w:rPr>
                <w:noProof w:val="0"/>
              </w:rPr>
            </w:pPr>
            <w:r w:rsidRPr="001D5327">
              <w:rPr>
                <w:noProof w:val="0"/>
                <w:color w:val="FFFFFF" w:themeColor="background1"/>
              </w:rPr>
              <w:t>Combustion factor values (proportion of pre-fire biomass consumed) for fires (table 2.6, IPCC, 2006a)</w:t>
            </w:r>
          </w:p>
        </w:tc>
      </w:tr>
      <w:tr w:rsidR="00E0181F" w:rsidRPr="001D5327" w14:paraId="5A7F8250" w14:textId="77777777" w:rsidTr="00D11AC9">
        <w:tc>
          <w:tcPr>
            <w:tcW w:w="5982" w:type="dxa"/>
            <w:gridSpan w:val="3"/>
            <w:tcBorders>
              <w:top w:val="single" w:sz="4" w:space="0" w:color="1B556B"/>
              <w:left w:val="nil"/>
              <w:bottom w:val="single" w:sz="4" w:space="0" w:color="1B556B"/>
              <w:right w:val="nil"/>
            </w:tcBorders>
          </w:tcPr>
          <w:p w14:paraId="769B14DD" w14:textId="77777777" w:rsidR="00E0181F" w:rsidRPr="001D5327" w:rsidRDefault="00E0181F" w:rsidP="00D11AC9">
            <w:pPr>
              <w:pStyle w:val="TableTextBold"/>
              <w:spacing w:before="40" w:after="40"/>
              <w:rPr>
                <w:noProof w:val="0"/>
              </w:rPr>
            </w:pPr>
            <w:r w:rsidRPr="001D5327">
              <w:rPr>
                <w:noProof w:val="0"/>
              </w:rPr>
              <w:t>Vegetation type</w:t>
            </w:r>
          </w:p>
        </w:tc>
        <w:tc>
          <w:tcPr>
            <w:tcW w:w="2523" w:type="dxa"/>
            <w:tcBorders>
              <w:top w:val="single" w:sz="4" w:space="0" w:color="1B556B"/>
              <w:left w:val="nil"/>
              <w:bottom w:val="single" w:sz="4" w:space="0" w:color="1B556B"/>
              <w:right w:val="nil"/>
            </w:tcBorders>
          </w:tcPr>
          <w:p w14:paraId="367C52C1" w14:textId="77777777" w:rsidR="00E0181F" w:rsidRPr="001D5327" w:rsidRDefault="00E0181F" w:rsidP="00D11AC9">
            <w:pPr>
              <w:pStyle w:val="TableTextBold"/>
              <w:spacing w:before="40" w:after="40"/>
              <w:jc w:val="right"/>
              <w:rPr>
                <w:noProof w:val="0"/>
              </w:rPr>
            </w:pPr>
            <w:r w:rsidRPr="001D5327">
              <w:rPr>
                <w:noProof w:val="0"/>
              </w:rPr>
              <w:t>Value</w:t>
            </w:r>
          </w:p>
        </w:tc>
      </w:tr>
      <w:tr w:rsidR="00E0181F" w:rsidRPr="001D5327" w14:paraId="264FD8ED" w14:textId="77777777" w:rsidTr="00410B8F">
        <w:tc>
          <w:tcPr>
            <w:tcW w:w="704" w:type="dxa"/>
            <w:vMerge w:val="restart"/>
            <w:tcBorders>
              <w:top w:val="single" w:sz="4" w:space="0" w:color="1B556B"/>
              <w:left w:val="nil"/>
              <w:bottom w:val="nil"/>
              <w:right w:val="nil"/>
            </w:tcBorders>
            <w:textDirection w:val="btLr"/>
          </w:tcPr>
          <w:p w14:paraId="68B72CD9" w14:textId="77777777" w:rsidR="00E0181F" w:rsidRPr="001D5327" w:rsidRDefault="00E0181F" w:rsidP="00D11AC9">
            <w:pPr>
              <w:pStyle w:val="TableTextBold"/>
              <w:spacing w:before="40" w:after="40"/>
              <w:jc w:val="center"/>
              <w:rPr>
                <w:noProof w:val="0"/>
              </w:rPr>
            </w:pPr>
            <w:r w:rsidRPr="001D5327">
              <w:rPr>
                <w:noProof w:val="0"/>
              </w:rPr>
              <w:t>Forest</w:t>
            </w:r>
          </w:p>
        </w:tc>
        <w:tc>
          <w:tcPr>
            <w:tcW w:w="1990" w:type="dxa"/>
            <w:vMerge w:val="restart"/>
            <w:tcBorders>
              <w:top w:val="single" w:sz="4" w:space="0" w:color="1B556B"/>
              <w:left w:val="nil"/>
              <w:bottom w:val="nil"/>
              <w:right w:val="nil"/>
            </w:tcBorders>
            <w:vAlign w:val="center"/>
          </w:tcPr>
          <w:p w14:paraId="56406F5A" w14:textId="77777777" w:rsidR="00E0181F" w:rsidRPr="001D5327" w:rsidRDefault="00E0181F" w:rsidP="00D11AC9">
            <w:pPr>
              <w:pStyle w:val="TableText"/>
              <w:spacing w:before="40" w:after="40"/>
            </w:pPr>
            <w:r w:rsidRPr="001D5327">
              <w:t>Other temperate forests</w:t>
            </w:r>
          </w:p>
        </w:tc>
        <w:tc>
          <w:tcPr>
            <w:tcW w:w="3288" w:type="dxa"/>
            <w:tcBorders>
              <w:top w:val="single" w:sz="4" w:space="0" w:color="1B556B"/>
              <w:left w:val="nil"/>
              <w:bottom w:val="nil"/>
              <w:right w:val="nil"/>
            </w:tcBorders>
          </w:tcPr>
          <w:p w14:paraId="00FCA677" w14:textId="77777777" w:rsidR="00E0181F" w:rsidRPr="001D5327" w:rsidRDefault="00E0181F" w:rsidP="00D11AC9">
            <w:pPr>
              <w:pStyle w:val="TableText"/>
              <w:spacing w:before="40" w:after="40"/>
            </w:pPr>
            <w:r w:rsidRPr="001D5327">
              <w:t>Post-logging slash burn</w:t>
            </w:r>
          </w:p>
        </w:tc>
        <w:tc>
          <w:tcPr>
            <w:tcW w:w="2523" w:type="dxa"/>
            <w:tcBorders>
              <w:top w:val="single" w:sz="4" w:space="0" w:color="1B556B"/>
              <w:left w:val="nil"/>
              <w:bottom w:val="nil"/>
              <w:right w:val="nil"/>
            </w:tcBorders>
          </w:tcPr>
          <w:p w14:paraId="778AE3BE" w14:textId="77777777" w:rsidR="00E0181F" w:rsidRPr="001D5327" w:rsidRDefault="00E0181F" w:rsidP="00D11AC9">
            <w:pPr>
              <w:pStyle w:val="TableText"/>
              <w:spacing w:before="40" w:after="40"/>
              <w:jc w:val="right"/>
            </w:pPr>
            <w:r w:rsidRPr="001D5327">
              <w:t>0.62</w:t>
            </w:r>
          </w:p>
        </w:tc>
      </w:tr>
      <w:tr w:rsidR="00E0181F" w:rsidRPr="001D5327" w14:paraId="13BA39A0" w14:textId="77777777" w:rsidTr="00410B8F">
        <w:tc>
          <w:tcPr>
            <w:tcW w:w="704" w:type="dxa"/>
            <w:vMerge/>
            <w:tcBorders>
              <w:top w:val="nil"/>
              <w:left w:val="nil"/>
              <w:bottom w:val="nil"/>
              <w:right w:val="nil"/>
            </w:tcBorders>
          </w:tcPr>
          <w:p w14:paraId="6041C680" w14:textId="77777777" w:rsidR="00E0181F" w:rsidRPr="001D5327" w:rsidRDefault="00E0181F" w:rsidP="00D11AC9">
            <w:pPr>
              <w:pStyle w:val="TableTextBold"/>
              <w:spacing w:before="40" w:after="40"/>
              <w:jc w:val="center"/>
              <w:rPr>
                <w:noProof w:val="0"/>
              </w:rPr>
            </w:pPr>
          </w:p>
        </w:tc>
        <w:tc>
          <w:tcPr>
            <w:tcW w:w="1990" w:type="dxa"/>
            <w:vMerge/>
            <w:tcBorders>
              <w:top w:val="nil"/>
              <w:left w:val="nil"/>
              <w:bottom w:val="nil"/>
              <w:right w:val="nil"/>
            </w:tcBorders>
          </w:tcPr>
          <w:p w14:paraId="56690480" w14:textId="77777777" w:rsidR="00E0181F" w:rsidRPr="001D5327" w:rsidRDefault="00E0181F" w:rsidP="00D11AC9">
            <w:pPr>
              <w:pStyle w:val="TableText"/>
              <w:spacing w:before="40" w:after="40"/>
            </w:pPr>
          </w:p>
        </w:tc>
        <w:tc>
          <w:tcPr>
            <w:tcW w:w="3288" w:type="dxa"/>
            <w:tcBorders>
              <w:top w:val="nil"/>
              <w:left w:val="nil"/>
              <w:bottom w:val="nil"/>
              <w:right w:val="nil"/>
            </w:tcBorders>
          </w:tcPr>
          <w:p w14:paraId="15DE80D6" w14:textId="77777777" w:rsidR="00E0181F" w:rsidRPr="001D5327" w:rsidRDefault="00E0181F" w:rsidP="00410B8F">
            <w:pPr>
              <w:pStyle w:val="TableText"/>
              <w:spacing w:before="0" w:after="40"/>
            </w:pPr>
            <w:r w:rsidRPr="001D5327">
              <w:t>Felled and burned (land clearing fire)</w:t>
            </w:r>
          </w:p>
        </w:tc>
        <w:tc>
          <w:tcPr>
            <w:tcW w:w="2523" w:type="dxa"/>
            <w:tcBorders>
              <w:top w:val="nil"/>
              <w:left w:val="nil"/>
              <w:bottom w:val="nil"/>
              <w:right w:val="nil"/>
            </w:tcBorders>
          </w:tcPr>
          <w:p w14:paraId="14015F85" w14:textId="77777777" w:rsidR="00E0181F" w:rsidRPr="001D5327" w:rsidRDefault="00E0181F" w:rsidP="00D11AC9">
            <w:pPr>
              <w:pStyle w:val="TableText"/>
              <w:spacing w:before="40" w:after="40"/>
              <w:jc w:val="right"/>
            </w:pPr>
            <w:r w:rsidRPr="001D5327">
              <w:t>0.51</w:t>
            </w:r>
          </w:p>
        </w:tc>
      </w:tr>
      <w:tr w:rsidR="00E0181F" w:rsidRPr="001D5327" w14:paraId="59A3E628" w14:textId="77777777" w:rsidTr="00D11AC9">
        <w:tc>
          <w:tcPr>
            <w:tcW w:w="704" w:type="dxa"/>
            <w:vMerge/>
            <w:tcBorders>
              <w:top w:val="nil"/>
              <w:left w:val="nil"/>
              <w:bottom w:val="single" w:sz="4" w:space="0" w:color="1B556B"/>
              <w:right w:val="nil"/>
            </w:tcBorders>
          </w:tcPr>
          <w:p w14:paraId="6A416D77" w14:textId="77777777" w:rsidR="00E0181F" w:rsidRPr="001D5327" w:rsidRDefault="00E0181F" w:rsidP="00D11AC9">
            <w:pPr>
              <w:pStyle w:val="TableTextBold"/>
              <w:spacing w:before="40" w:after="40"/>
              <w:jc w:val="center"/>
              <w:rPr>
                <w:noProof w:val="0"/>
              </w:rPr>
            </w:pPr>
          </w:p>
        </w:tc>
        <w:tc>
          <w:tcPr>
            <w:tcW w:w="5278" w:type="dxa"/>
            <w:gridSpan w:val="2"/>
            <w:tcBorders>
              <w:top w:val="nil"/>
              <w:left w:val="nil"/>
              <w:bottom w:val="single" w:sz="4" w:space="0" w:color="1B556B"/>
              <w:right w:val="nil"/>
            </w:tcBorders>
          </w:tcPr>
          <w:p w14:paraId="6B114CDD" w14:textId="77777777" w:rsidR="00E0181F" w:rsidRPr="001D5327" w:rsidRDefault="00E0181F" w:rsidP="00D11AC9">
            <w:pPr>
              <w:pStyle w:val="TableText"/>
              <w:spacing w:before="40" w:after="40"/>
            </w:pPr>
            <w:r w:rsidRPr="001D5327">
              <w:t>All ‘other’ temperate forests</w:t>
            </w:r>
          </w:p>
        </w:tc>
        <w:tc>
          <w:tcPr>
            <w:tcW w:w="2523" w:type="dxa"/>
            <w:tcBorders>
              <w:top w:val="nil"/>
              <w:left w:val="nil"/>
              <w:bottom w:val="single" w:sz="4" w:space="0" w:color="1B556B"/>
              <w:right w:val="nil"/>
            </w:tcBorders>
          </w:tcPr>
          <w:p w14:paraId="11BEA3F0" w14:textId="77777777" w:rsidR="00E0181F" w:rsidRPr="001D5327" w:rsidRDefault="00E0181F" w:rsidP="00D11AC9">
            <w:pPr>
              <w:pStyle w:val="TableText"/>
              <w:spacing w:before="40" w:after="40"/>
              <w:jc w:val="right"/>
            </w:pPr>
            <w:r w:rsidRPr="001D5327">
              <w:t>0.45</w:t>
            </w:r>
          </w:p>
        </w:tc>
      </w:tr>
      <w:tr w:rsidR="00E0181F" w:rsidRPr="001D5327" w14:paraId="46E04A7F" w14:textId="77777777" w:rsidTr="00D11AC9">
        <w:tc>
          <w:tcPr>
            <w:tcW w:w="704" w:type="dxa"/>
            <w:vMerge w:val="restart"/>
            <w:tcBorders>
              <w:top w:val="single" w:sz="4" w:space="0" w:color="1B556B"/>
              <w:left w:val="nil"/>
              <w:bottom w:val="nil"/>
              <w:right w:val="nil"/>
            </w:tcBorders>
            <w:textDirection w:val="btLr"/>
          </w:tcPr>
          <w:p w14:paraId="7FC180AB" w14:textId="77777777" w:rsidR="00E0181F" w:rsidRPr="001D5327" w:rsidRDefault="00E0181F" w:rsidP="00D11AC9">
            <w:pPr>
              <w:pStyle w:val="TableTextBold"/>
              <w:spacing w:before="40" w:after="40"/>
              <w:jc w:val="center"/>
              <w:rPr>
                <w:noProof w:val="0"/>
              </w:rPr>
            </w:pPr>
            <w:r w:rsidRPr="001D5327">
              <w:rPr>
                <w:noProof w:val="0"/>
              </w:rPr>
              <w:t>GWB and shrubland</w:t>
            </w:r>
          </w:p>
        </w:tc>
        <w:tc>
          <w:tcPr>
            <w:tcW w:w="5278" w:type="dxa"/>
            <w:gridSpan w:val="2"/>
            <w:tcBorders>
              <w:top w:val="single" w:sz="4" w:space="0" w:color="1B556B"/>
              <w:left w:val="nil"/>
              <w:bottom w:val="nil"/>
              <w:right w:val="nil"/>
            </w:tcBorders>
          </w:tcPr>
          <w:p w14:paraId="3D720ECA" w14:textId="77777777" w:rsidR="00E0181F" w:rsidRPr="001D5327" w:rsidRDefault="00E0181F" w:rsidP="00D11AC9">
            <w:pPr>
              <w:pStyle w:val="TableText"/>
              <w:spacing w:before="40" w:after="40"/>
            </w:pPr>
            <w:r w:rsidRPr="001D5327">
              <w:t>Shrubland (general)</w:t>
            </w:r>
          </w:p>
        </w:tc>
        <w:tc>
          <w:tcPr>
            <w:tcW w:w="2523" w:type="dxa"/>
            <w:tcBorders>
              <w:top w:val="single" w:sz="4" w:space="0" w:color="1B556B"/>
              <w:left w:val="nil"/>
              <w:bottom w:val="nil"/>
              <w:right w:val="nil"/>
            </w:tcBorders>
          </w:tcPr>
          <w:p w14:paraId="5BAE4029" w14:textId="77777777" w:rsidR="00E0181F" w:rsidRPr="001D5327" w:rsidRDefault="00E0181F" w:rsidP="00D11AC9">
            <w:pPr>
              <w:pStyle w:val="TableText"/>
              <w:spacing w:before="40" w:after="40"/>
              <w:jc w:val="right"/>
            </w:pPr>
            <w:r w:rsidRPr="001D5327">
              <w:t>0.95</w:t>
            </w:r>
          </w:p>
        </w:tc>
      </w:tr>
      <w:tr w:rsidR="00E0181F" w:rsidRPr="001D5327" w14:paraId="1CC93F1E" w14:textId="77777777" w:rsidTr="00D11AC9">
        <w:tc>
          <w:tcPr>
            <w:tcW w:w="704" w:type="dxa"/>
            <w:vMerge/>
            <w:tcBorders>
              <w:top w:val="nil"/>
              <w:left w:val="nil"/>
              <w:bottom w:val="nil"/>
              <w:right w:val="nil"/>
            </w:tcBorders>
          </w:tcPr>
          <w:p w14:paraId="2596CFAB" w14:textId="77777777" w:rsidR="00E0181F" w:rsidRPr="001D5327" w:rsidRDefault="00E0181F" w:rsidP="00D11AC9">
            <w:pPr>
              <w:pStyle w:val="TableTextBold"/>
              <w:spacing w:before="40" w:after="40"/>
              <w:jc w:val="center"/>
              <w:rPr>
                <w:noProof w:val="0"/>
              </w:rPr>
            </w:pPr>
          </w:p>
        </w:tc>
        <w:tc>
          <w:tcPr>
            <w:tcW w:w="5278" w:type="dxa"/>
            <w:gridSpan w:val="2"/>
            <w:tcBorders>
              <w:top w:val="nil"/>
              <w:left w:val="nil"/>
              <w:bottom w:val="nil"/>
              <w:right w:val="nil"/>
            </w:tcBorders>
          </w:tcPr>
          <w:p w14:paraId="25A98B52" w14:textId="77777777" w:rsidR="00E0181F" w:rsidRPr="001D5327" w:rsidRDefault="00E0181F" w:rsidP="00D11AC9">
            <w:pPr>
              <w:pStyle w:val="TableText"/>
              <w:spacing w:before="40" w:after="40"/>
            </w:pPr>
            <w:r w:rsidRPr="001D5327">
              <w:t>All shrubland</w:t>
            </w:r>
          </w:p>
        </w:tc>
        <w:tc>
          <w:tcPr>
            <w:tcW w:w="2523" w:type="dxa"/>
            <w:tcBorders>
              <w:top w:val="nil"/>
              <w:left w:val="nil"/>
              <w:bottom w:val="nil"/>
              <w:right w:val="nil"/>
            </w:tcBorders>
          </w:tcPr>
          <w:p w14:paraId="7452851A" w14:textId="77777777" w:rsidR="00E0181F" w:rsidRPr="001D5327" w:rsidRDefault="00E0181F" w:rsidP="00D11AC9">
            <w:pPr>
              <w:pStyle w:val="TableText"/>
              <w:spacing w:before="40" w:after="40"/>
              <w:jc w:val="right"/>
            </w:pPr>
            <w:r w:rsidRPr="001D5327">
              <w:t>0.72</w:t>
            </w:r>
          </w:p>
        </w:tc>
      </w:tr>
      <w:tr w:rsidR="00E0181F" w:rsidRPr="001D5327" w14:paraId="3A5B86A9" w14:textId="77777777" w:rsidTr="00D11AC9">
        <w:tc>
          <w:tcPr>
            <w:tcW w:w="704" w:type="dxa"/>
            <w:vMerge/>
            <w:tcBorders>
              <w:top w:val="nil"/>
              <w:left w:val="nil"/>
              <w:bottom w:val="single" w:sz="4" w:space="0" w:color="1B556B"/>
              <w:right w:val="nil"/>
            </w:tcBorders>
          </w:tcPr>
          <w:p w14:paraId="6F87215C" w14:textId="77777777" w:rsidR="00E0181F" w:rsidRPr="001D5327" w:rsidRDefault="00E0181F" w:rsidP="00D11AC9">
            <w:pPr>
              <w:pStyle w:val="TableTextBold"/>
              <w:spacing w:before="40" w:after="40"/>
              <w:jc w:val="center"/>
              <w:rPr>
                <w:noProof w:val="0"/>
              </w:rPr>
            </w:pPr>
          </w:p>
        </w:tc>
        <w:tc>
          <w:tcPr>
            <w:tcW w:w="5278" w:type="dxa"/>
            <w:gridSpan w:val="2"/>
            <w:tcBorders>
              <w:top w:val="nil"/>
              <w:left w:val="nil"/>
              <w:bottom w:val="single" w:sz="4" w:space="0" w:color="1B556B"/>
              <w:right w:val="nil"/>
            </w:tcBorders>
          </w:tcPr>
          <w:p w14:paraId="2E17C0DB" w14:textId="77777777" w:rsidR="00E0181F" w:rsidRPr="001D5327" w:rsidRDefault="00E0181F" w:rsidP="00D11AC9">
            <w:pPr>
              <w:pStyle w:val="TableText"/>
              <w:spacing w:before="40" w:after="40"/>
            </w:pPr>
            <w:r w:rsidRPr="001D5327">
              <w:t>GWB New Zealand specific</w:t>
            </w:r>
          </w:p>
        </w:tc>
        <w:tc>
          <w:tcPr>
            <w:tcW w:w="2523" w:type="dxa"/>
            <w:tcBorders>
              <w:top w:val="nil"/>
              <w:left w:val="nil"/>
              <w:bottom w:val="single" w:sz="4" w:space="0" w:color="1B556B"/>
              <w:right w:val="nil"/>
            </w:tcBorders>
          </w:tcPr>
          <w:p w14:paraId="604E63E7" w14:textId="77777777" w:rsidR="00E0181F" w:rsidRPr="001D5327" w:rsidRDefault="00E0181F" w:rsidP="00D11AC9">
            <w:pPr>
              <w:pStyle w:val="TableText"/>
              <w:spacing w:before="40" w:after="40"/>
              <w:jc w:val="right"/>
            </w:pPr>
            <w:r w:rsidRPr="001D5327">
              <w:t>0.70*</w:t>
            </w:r>
          </w:p>
        </w:tc>
      </w:tr>
      <w:tr w:rsidR="00E0181F" w:rsidRPr="001D5327" w14:paraId="3A3627DE" w14:textId="77777777" w:rsidTr="00D11AC9">
        <w:tc>
          <w:tcPr>
            <w:tcW w:w="704" w:type="dxa"/>
            <w:vMerge w:val="restart"/>
            <w:tcBorders>
              <w:top w:val="single" w:sz="4" w:space="0" w:color="1B556B"/>
              <w:left w:val="nil"/>
              <w:bottom w:val="nil"/>
              <w:right w:val="nil"/>
            </w:tcBorders>
            <w:textDirection w:val="btLr"/>
          </w:tcPr>
          <w:p w14:paraId="6449D0E4" w14:textId="77777777" w:rsidR="00E0181F" w:rsidRPr="001D5327" w:rsidRDefault="00E0181F" w:rsidP="00D11AC9">
            <w:pPr>
              <w:pStyle w:val="TableTextBold"/>
              <w:spacing w:before="40" w:after="40"/>
              <w:jc w:val="center"/>
              <w:rPr>
                <w:noProof w:val="0"/>
              </w:rPr>
            </w:pPr>
            <w:r w:rsidRPr="001D5327">
              <w:rPr>
                <w:noProof w:val="0"/>
              </w:rPr>
              <w:t>Grassland</w:t>
            </w:r>
          </w:p>
        </w:tc>
        <w:tc>
          <w:tcPr>
            <w:tcW w:w="5278" w:type="dxa"/>
            <w:gridSpan w:val="2"/>
            <w:tcBorders>
              <w:top w:val="single" w:sz="4" w:space="0" w:color="1B556B"/>
              <w:left w:val="nil"/>
              <w:bottom w:val="nil"/>
              <w:right w:val="nil"/>
            </w:tcBorders>
          </w:tcPr>
          <w:p w14:paraId="7EDFB050" w14:textId="77777777" w:rsidR="00E0181F" w:rsidRPr="001D5327" w:rsidRDefault="00E0181F" w:rsidP="00D11AC9">
            <w:pPr>
              <w:pStyle w:val="TableText"/>
              <w:spacing w:before="40" w:after="40"/>
            </w:pPr>
            <w:r w:rsidRPr="001D5327">
              <w:t>All savannah/grasslands (early dry season burns)</w:t>
            </w:r>
          </w:p>
        </w:tc>
        <w:tc>
          <w:tcPr>
            <w:tcW w:w="2523" w:type="dxa"/>
            <w:tcBorders>
              <w:top w:val="single" w:sz="4" w:space="0" w:color="1B556B"/>
              <w:left w:val="nil"/>
              <w:bottom w:val="nil"/>
              <w:right w:val="nil"/>
            </w:tcBorders>
          </w:tcPr>
          <w:p w14:paraId="667BE612" w14:textId="77777777" w:rsidR="00E0181F" w:rsidRPr="001D5327" w:rsidRDefault="00E0181F" w:rsidP="00D11AC9">
            <w:pPr>
              <w:pStyle w:val="TableText"/>
              <w:spacing w:before="40" w:after="40"/>
              <w:jc w:val="right"/>
            </w:pPr>
            <w:r w:rsidRPr="001D5327">
              <w:t>0.74</w:t>
            </w:r>
          </w:p>
        </w:tc>
      </w:tr>
      <w:tr w:rsidR="00E0181F" w:rsidRPr="001D5327" w14:paraId="28D44D4F" w14:textId="77777777" w:rsidTr="00D11AC9">
        <w:tc>
          <w:tcPr>
            <w:tcW w:w="704" w:type="dxa"/>
            <w:vMerge/>
            <w:tcBorders>
              <w:top w:val="nil"/>
              <w:left w:val="nil"/>
              <w:bottom w:val="nil"/>
              <w:right w:val="nil"/>
            </w:tcBorders>
          </w:tcPr>
          <w:p w14:paraId="4AA435A2" w14:textId="77777777" w:rsidR="00E0181F" w:rsidRPr="001D5327" w:rsidRDefault="00E0181F" w:rsidP="00D11AC9">
            <w:pPr>
              <w:spacing w:before="40" w:after="40"/>
              <w:jc w:val="center"/>
              <w:rPr>
                <w:rFonts w:cstheme="minorHAnsi"/>
                <w:sz w:val="16"/>
                <w:szCs w:val="16"/>
              </w:rPr>
            </w:pPr>
          </w:p>
        </w:tc>
        <w:tc>
          <w:tcPr>
            <w:tcW w:w="5278" w:type="dxa"/>
            <w:gridSpan w:val="2"/>
            <w:tcBorders>
              <w:top w:val="nil"/>
              <w:left w:val="nil"/>
              <w:bottom w:val="nil"/>
              <w:right w:val="nil"/>
            </w:tcBorders>
          </w:tcPr>
          <w:p w14:paraId="18AA545B" w14:textId="77777777" w:rsidR="00E0181F" w:rsidRPr="001D5327" w:rsidRDefault="00E0181F" w:rsidP="00D11AC9">
            <w:pPr>
              <w:pStyle w:val="TableText"/>
              <w:spacing w:before="40" w:after="40"/>
            </w:pPr>
            <w:r w:rsidRPr="001D5327">
              <w:t>All savannah/grasslands (mid/late dry season burns)</w:t>
            </w:r>
          </w:p>
        </w:tc>
        <w:tc>
          <w:tcPr>
            <w:tcW w:w="2523" w:type="dxa"/>
            <w:tcBorders>
              <w:top w:val="nil"/>
              <w:left w:val="nil"/>
              <w:bottom w:val="nil"/>
              <w:right w:val="nil"/>
            </w:tcBorders>
          </w:tcPr>
          <w:p w14:paraId="5972EBFE" w14:textId="77777777" w:rsidR="00E0181F" w:rsidRPr="001D5327" w:rsidRDefault="00E0181F" w:rsidP="00D11AC9">
            <w:pPr>
              <w:pStyle w:val="TableText"/>
              <w:spacing w:before="40" w:after="40"/>
              <w:jc w:val="right"/>
            </w:pPr>
            <w:r w:rsidRPr="001D5327">
              <w:t>0.77</w:t>
            </w:r>
          </w:p>
        </w:tc>
      </w:tr>
      <w:tr w:rsidR="00E0181F" w:rsidRPr="001D5327" w14:paraId="3C60A6E9" w14:textId="77777777" w:rsidTr="00D11AC9">
        <w:tc>
          <w:tcPr>
            <w:tcW w:w="704" w:type="dxa"/>
            <w:vMerge/>
            <w:tcBorders>
              <w:top w:val="nil"/>
              <w:left w:val="nil"/>
              <w:bottom w:val="nil"/>
              <w:right w:val="nil"/>
            </w:tcBorders>
          </w:tcPr>
          <w:p w14:paraId="73A6A7F6" w14:textId="77777777" w:rsidR="00E0181F" w:rsidRPr="001D5327" w:rsidRDefault="00E0181F" w:rsidP="00D11AC9">
            <w:pPr>
              <w:spacing w:before="40" w:after="40"/>
              <w:jc w:val="center"/>
              <w:rPr>
                <w:rFonts w:cstheme="minorHAnsi"/>
                <w:sz w:val="16"/>
                <w:szCs w:val="16"/>
              </w:rPr>
            </w:pPr>
          </w:p>
        </w:tc>
        <w:tc>
          <w:tcPr>
            <w:tcW w:w="5278" w:type="dxa"/>
            <w:gridSpan w:val="2"/>
            <w:tcBorders>
              <w:top w:val="nil"/>
              <w:left w:val="nil"/>
              <w:bottom w:val="nil"/>
              <w:right w:val="nil"/>
            </w:tcBorders>
          </w:tcPr>
          <w:p w14:paraId="5B868785" w14:textId="77777777" w:rsidR="00E0181F" w:rsidRPr="001D5327" w:rsidRDefault="00E0181F" w:rsidP="00D11AC9">
            <w:pPr>
              <w:pStyle w:val="TableText"/>
              <w:spacing w:before="40" w:after="40"/>
            </w:pPr>
            <w:r w:rsidRPr="001D5327">
              <w:t>Average of IPCC savannah/grasslands</w:t>
            </w:r>
          </w:p>
        </w:tc>
        <w:tc>
          <w:tcPr>
            <w:tcW w:w="2523" w:type="dxa"/>
            <w:tcBorders>
              <w:top w:val="nil"/>
              <w:left w:val="nil"/>
              <w:bottom w:val="nil"/>
              <w:right w:val="nil"/>
            </w:tcBorders>
          </w:tcPr>
          <w:p w14:paraId="5309DC98" w14:textId="77777777" w:rsidR="00E0181F" w:rsidRPr="001D5327" w:rsidRDefault="00E0181F" w:rsidP="00D11AC9">
            <w:pPr>
              <w:pStyle w:val="TableText"/>
              <w:spacing w:before="40" w:after="40"/>
              <w:jc w:val="right"/>
            </w:pPr>
            <w:r w:rsidRPr="001D5327">
              <w:t>0.755</w:t>
            </w:r>
          </w:p>
        </w:tc>
      </w:tr>
      <w:tr w:rsidR="00E0181F" w:rsidRPr="001D5327" w14:paraId="440ABF3F" w14:textId="77777777" w:rsidTr="00D11AC9">
        <w:tc>
          <w:tcPr>
            <w:tcW w:w="704" w:type="dxa"/>
            <w:vMerge/>
            <w:tcBorders>
              <w:top w:val="nil"/>
              <w:left w:val="nil"/>
              <w:bottom w:val="single" w:sz="4" w:space="0" w:color="auto"/>
              <w:right w:val="nil"/>
            </w:tcBorders>
          </w:tcPr>
          <w:p w14:paraId="62EFFD80" w14:textId="77777777" w:rsidR="00E0181F" w:rsidRPr="001D5327" w:rsidRDefault="00E0181F" w:rsidP="00D11AC9">
            <w:pPr>
              <w:spacing w:before="40" w:after="40"/>
              <w:jc w:val="center"/>
              <w:rPr>
                <w:rFonts w:cstheme="minorHAnsi"/>
                <w:sz w:val="16"/>
                <w:szCs w:val="16"/>
              </w:rPr>
            </w:pPr>
          </w:p>
        </w:tc>
        <w:tc>
          <w:tcPr>
            <w:tcW w:w="5278" w:type="dxa"/>
            <w:gridSpan w:val="2"/>
            <w:tcBorders>
              <w:top w:val="nil"/>
              <w:left w:val="nil"/>
              <w:bottom w:val="single" w:sz="4" w:space="0" w:color="auto"/>
              <w:right w:val="nil"/>
            </w:tcBorders>
          </w:tcPr>
          <w:p w14:paraId="2BDD14EE" w14:textId="77777777" w:rsidR="00E0181F" w:rsidRPr="001D5327" w:rsidRDefault="00E0181F" w:rsidP="00D11AC9">
            <w:pPr>
              <w:pStyle w:val="TableText"/>
              <w:spacing w:before="40" w:after="40"/>
            </w:pPr>
            <w:r w:rsidRPr="001D5327">
              <w:t>Controlled grassland burn New Zealand specific</w:t>
            </w:r>
          </w:p>
        </w:tc>
        <w:tc>
          <w:tcPr>
            <w:tcW w:w="2523" w:type="dxa"/>
            <w:tcBorders>
              <w:top w:val="nil"/>
              <w:left w:val="nil"/>
              <w:bottom w:val="single" w:sz="4" w:space="0" w:color="auto"/>
              <w:right w:val="nil"/>
            </w:tcBorders>
          </w:tcPr>
          <w:p w14:paraId="5B78CAD9" w14:textId="77777777" w:rsidR="00E0181F" w:rsidRPr="001D5327" w:rsidRDefault="00E0181F" w:rsidP="00D11AC9">
            <w:pPr>
              <w:pStyle w:val="TableText"/>
              <w:spacing w:before="40" w:after="40"/>
              <w:jc w:val="right"/>
            </w:pPr>
            <w:r w:rsidRPr="001D5327">
              <w:t>0.555**</w:t>
            </w:r>
          </w:p>
        </w:tc>
      </w:tr>
    </w:tbl>
    <w:p w14:paraId="6B57BA9C" w14:textId="77777777" w:rsidR="00E0181F" w:rsidRPr="001D5327" w:rsidRDefault="00E0181F" w:rsidP="00E0181F">
      <w:pPr>
        <w:pStyle w:val="Noteundertable"/>
      </w:pPr>
      <w:r w:rsidRPr="001D5327">
        <w:rPr>
          <w:b/>
        </w:rPr>
        <w:t>Note:</w:t>
      </w:r>
      <w:r w:rsidRPr="001D5327">
        <w:tab/>
        <w:t>GWB = grassland with woody biomass. *Wakelin (unpublished</w:t>
      </w:r>
      <w:r w:rsidRPr="001D5327" w:rsidDel="003847CC">
        <w:t>(</w:t>
      </w:r>
      <w:r w:rsidRPr="001D5327">
        <w:t>e)), **Payton and Pearce (2009).</w:t>
      </w:r>
    </w:p>
    <w:p w14:paraId="1F9EF400" w14:textId="77777777" w:rsidR="00E0181F" w:rsidRPr="001D5327" w:rsidRDefault="00E0181F" w:rsidP="00E0181F">
      <w:pPr>
        <w:pStyle w:val="BodyText"/>
        <w:spacing w:after="100"/>
      </w:pPr>
      <w:r w:rsidRPr="001D5327">
        <w:t>For all land uses, CO</w:t>
      </w:r>
      <w:r w:rsidRPr="001D5327">
        <w:rPr>
          <w:vertAlign w:val="subscript"/>
        </w:rPr>
        <w:t>2</w:t>
      </w:r>
      <w:r w:rsidRPr="001D5327">
        <w:t xml:space="preserve"> emissions are captured in the general stock change calculation following the 2006 IPCC Guidelines (IPCC, 2006a). Carbon dioxide</w:t>
      </w:r>
      <w:r w:rsidRPr="001D5327" w:rsidDel="00097907">
        <w:t xml:space="preserve"> </w:t>
      </w:r>
      <w:r w:rsidRPr="001D5327">
        <w:t xml:space="preserve">emissions resulting from </w:t>
      </w:r>
      <w:r w:rsidRPr="001D5327">
        <w:rPr>
          <w:i/>
        </w:rPr>
        <w:t>Biomass burning</w:t>
      </w:r>
      <w:r w:rsidRPr="001D5327">
        <w:t xml:space="preserve"> are reported as IE, where emissions are captured in the stock change calculation within the land use category.</w:t>
      </w:r>
    </w:p>
    <w:p w14:paraId="30036B42" w14:textId="77777777" w:rsidR="00E0181F" w:rsidRPr="001D5327" w:rsidRDefault="00E0181F" w:rsidP="00E0181F">
      <w:pPr>
        <w:pStyle w:val="BodyText"/>
        <w:spacing w:after="100"/>
        <w:rPr>
          <w:spacing w:val="-2"/>
        </w:rPr>
      </w:pPr>
      <w:r w:rsidRPr="001D5327">
        <w:t xml:space="preserve">In </w:t>
      </w:r>
      <w:r w:rsidRPr="001D5327">
        <w:rPr>
          <w:i/>
          <w:iCs/>
        </w:rPr>
        <w:t>Grassland</w:t>
      </w:r>
      <w:r w:rsidRPr="001D5327">
        <w:t>, CO</w:t>
      </w:r>
      <w:r w:rsidRPr="001D5327">
        <w:rPr>
          <w:vertAlign w:val="subscript"/>
        </w:rPr>
        <w:t xml:space="preserve">2 </w:t>
      </w:r>
      <w:r w:rsidRPr="001D5327">
        <w:t>emissions from biomass burning are assumed to be equal to subsequent regrowth. The assumption of equivalence is accepted as reasonable in this scenario as per the 2006 IPCC Guidelines, section 2.4 and section 6.2.4 (IPCC, 2006a).</w:t>
      </w:r>
    </w:p>
    <w:p w14:paraId="0E3692DA" w14:textId="77777777" w:rsidR="00E0181F" w:rsidRPr="001D5327" w:rsidRDefault="00E0181F" w:rsidP="00E0181F">
      <w:pPr>
        <w:pStyle w:val="BodyText"/>
        <w:spacing w:after="100"/>
      </w:pPr>
      <w:r w:rsidRPr="001D5327">
        <w:rPr>
          <w:spacing w:val="-2"/>
        </w:rPr>
        <w:t xml:space="preserve">In </w:t>
      </w:r>
      <w:r w:rsidRPr="001D5327">
        <w:rPr>
          <w:i/>
          <w:iCs/>
          <w:spacing w:val="-2"/>
        </w:rPr>
        <w:t>Cropland</w:t>
      </w:r>
      <w:r w:rsidRPr="001D5327">
        <w:rPr>
          <w:spacing w:val="-2"/>
        </w:rPr>
        <w:t xml:space="preserve">, </w:t>
      </w:r>
      <w:r w:rsidRPr="001D5327">
        <w:t>CH</w:t>
      </w:r>
      <w:r w:rsidRPr="001D5327">
        <w:rPr>
          <w:vertAlign w:val="subscript"/>
        </w:rPr>
        <w:t>4</w:t>
      </w:r>
      <w:r w:rsidRPr="001D5327">
        <w:t xml:space="preserve"> and N</w:t>
      </w:r>
      <w:r w:rsidRPr="001D5327">
        <w:rPr>
          <w:vertAlign w:val="subscript"/>
        </w:rPr>
        <w:t>2</w:t>
      </w:r>
      <w:r w:rsidRPr="001D5327">
        <w:t xml:space="preserve">O emissions from controlled burning are reported as IE. This is because emissions from the burning of crop stubble associated with controlled burning in </w:t>
      </w:r>
      <w:r w:rsidRPr="001D5327">
        <w:rPr>
          <w:i/>
          <w:iCs/>
        </w:rPr>
        <w:t>Cropland</w:t>
      </w:r>
      <w:r w:rsidRPr="001D5327">
        <w:t xml:space="preserve"> are reported under the Agriculture sector and reported within 3.F.</w:t>
      </w:r>
    </w:p>
    <w:p w14:paraId="5EAC80CC" w14:textId="77777777" w:rsidR="00E0181F" w:rsidRPr="001D5327" w:rsidRDefault="00E0181F" w:rsidP="00E0181F">
      <w:pPr>
        <w:pStyle w:val="BodyText"/>
        <w:spacing w:after="100"/>
      </w:pPr>
      <w:r w:rsidRPr="001D5327">
        <w:rPr>
          <w:spacing w:val="-2"/>
        </w:rPr>
        <w:t>Both CO and NO</w:t>
      </w:r>
      <w:r w:rsidRPr="001D5327">
        <w:rPr>
          <w:spacing w:val="-2"/>
          <w:vertAlign w:val="subscript"/>
        </w:rPr>
        <w:t>x</w:t>
      </w:r>
      <w:r w:rsidRPr="001D5327">
        <w:rPr>
          <w:spacing w:val="-2"/>
        </w:rPr>
        <w:t xml:space="preserve"> are also released from biomass burning and are reported in relevant aggregat</w:t>
      </w:r>
      <w:r w:rsidRPr="001D5327">
        <w:t>e land use categories. Carbon monoxide and NO</w:t>
      </w:r>
      <w:r w:rsidRPr="001D5327">
        <w:rPr>
          <w:spacing w:val="-2"/>
          <w:vertAlign w:val="subscript"/>
        </w:rPr>
        <w:t>x</w:t>
      </w:r>
      <w:r w:rsidRPr="001D5327">
        <w:t xml:space="preserve"> emissions from biomass burning are captured as part of the biomass burning model and reported in the CRTs.</w:t>
      </w:r>
    </w:p>
    <w:p w14:paraId="1AD5F684" w14:textId="77777777" w:rsidR="00E0181F" w:rsidRPr="001D5327" w:rsidRDefault="00E0181F" w:rsidP="00E0181F">
      <w:pPr>
        <w:pStyle w:val="BodyText"/>
      </w:pPr>
      <w:r w:rsidRPr="001D5327">
        <w:t>Controlled burning emissions are reported within:</w:t>
      </w:r>
    </w:p>
    <w:p w14:paraId="1D5EE8B7" w14:textId="77777777" w:rsidR="00E0181F" w:rsidRPr="001D5327" w:rsidRDefault="00E0181F" w:rsidP="00407428">
      <w:pPr>
        <w:pStyle w:val="Bullet"/>
        <w:numPr>
          <w:ilvl w:val="0"/>
          <w:numId w:val="23"/>
        </w:numPr>
        <w:spacing w:after="100"/>
        <w:ind w:left="397" w:hanging="397"/>
      </w:pPr>
      <w:r w:rsidRPr="001D5327">
        <w:rPr>
          <w:i/>
          <w:iCs/>
        </w:rPr>
        <w:t>Grassland</w:t>
      </w:r>
      <w:r w:rsidRPr="001D5327">
        <w:t xml:space="preserve"> converted to</w:t>
      </w:r>
      <w:r w:rsidRPr="001D5327">
        <w:rPr>
          <w:i/>
          <w:iCs/>
        </w:rPr>
        <w:t xml:space="preserve"> Forest land </w:t>
      </w:r>
      <w:r w:rsidRPr="001D5327">
        <w:t>(due to site preparation for conversion)</w:t>
      </w:r>
    </w:p>
    <w:p w14:paraId="5D128840" w14:textId="77777777" w:rsidR="00E0181F" w:rsidRPr="001D5327" w:rsidRDefault="00E0181F" w:rsidP="00407428">
      <w:pPr>
        <w:pStyle w:val="Bullet"/>
        <w:numPr>
          <w:ilvl w:val="0"/>
          <w:numId w:val="23"/>
        </w:numPr>
        <w:spacing w:after="100"/>
        <w:ind w:left="397" w:hanging="397"/>
      </w:pPr>
      <w:r w:rsidRPr="001D5327">
        <w:rPr>
          <w:i/>
          <w:iCs/>
        </w:rPr>
        <w:t>Forest land remaining forest land</w:t>
      </w:r>
      <w:r w:rsidRPr="001D5327">
        <w:t xml:space="preserve"> (from the clearing of vegetation (natural forest) before the establishment of exotic planted forest and the burning of post-harvest slash before restocking)</w:t>
      </w:r>
    </w:p>
    <w:p w14:paraId="2B01DBF0" w14:textId="77777777" w:rsidR="00E0181F" w:rsidRPr="001D5327" w:rsidRDefault="00E0181F" w:rsidP="00407428">
      <w:pPr>
        <w:pStyle w:val="Bullet"/>
        <w:numPr>
          <w:ilvl w:val="0"/>
          <w:numId w:val="23"/>
        </w:numPr>
        <w:spacing w:after="100"/>
        <w:ind w:left="397" w:hanging="397"/>
      </w:pPr>
      <w:r w:rsidRPr="001D5327">
        <w:rPr>
          <w:i/>
          <w:iCs/>
          <w:spacing w:val="-2"/>
        </w:rPr>
        <w:t xml:space="preserve">Forest land </w:t>
      </w:r>
      <w:r w:rsidRPr="001D5327">
        <w:rPr>
          <w:spacing w:val="-2"/>
        </w:rPr>
        <w:t xml:space="preserve">converted to </w:t>
      </w:r>
      <w:r w:rsidRPr="001D5327">
        <w:rPr>
          <w:i/>
          <w:iCs/>
          <w:spacing w:val="-2"/>
        </w:rPr>
        <w:t>Grassland</w:t>
      </w:r>
      <w:r w:rsidRPr="001D5327">
        <w:rPr>
          <w:spacing w:val="-2"/>
        </w:rPr>
        <w:t xml:space="preserve"> (from controlled burning associated with deforestation</w:t>
      </w:r>
      <w:r w:rsidRPr="001D5327">
        <w:t xml:space="preserve">) </w:t>
      </w:r>
    </w:p>
    <w:p w14:paraId="015F541E" w14:textId="77777777" w:rsidR="00E0181F" w:rsidRPr="001D5327" w:rsidRDefault="00E0181F" w:rsidP="00407428">
      <w:pPr>
        <w:pStyle w:val="Bullet"/>
        <w:numPr>
          <w:ilvl w:val="0"/>
          <w:numId w:val="23"/>
        </w:numPr>
        <w:ind w:left="397" w:hanging="397"/>
      </w:pPr>
      <w:r w:rsidRPr="001D5327">
        <w:rPr>
          <w:i/>
          <w:iCs/>
        </w:rPr>
        <w:t>Grassland remaining grassland</w:t>
      </w:r>
      <w:r w:rsidRPr="001D5327">
        <w:t xml:space="preserve"> (due to savanna (tussock) and pastureland management practices).</w:t>
      </w:r>
    </w:p>
    <w:p w14:paraId="412AB2C7" w14:textId="77777777" w:rsidR="00E0181F" w:rsidRPr="001D5327" w:rsidRDefault="00E0181F" w:rsidP="00E0181F">
      <w:pPr>
        <w:pStyle w:val="BodyText"/>
      </w:pPr>
      <w:r w:rsidRPr="001D5327">
        <w:t>Emissions of CO</w:t>
      </w:r>
      <w:r w:rsidRPr="001D5327">
        <w:rPr>
          <w:vertAlign w:val="subscript"/>
        </w:rPr>
        <w:t>2</w:t>
      </w:r>
      <w:r w:rsidRPr="001D5327">
        <w:t xml:space="preserve"> from wildfires in </w:t>
      </w:r>
      <w:r w:rsidRPr="001D5327">
        <w:rPr>
          <w:i/>
        </w:rPr>
        <w:t>Forest land remaining forest land</w:t>
      </w:r>
      <w:r w:rsidRPr="001D5327">
        <w:t xml:space="preserve"> are included in the general stock change calculation. In </w:t>
      </w:r>
      <w:r w:rsidRPr="001D5327">
        <w:rPr>
          <w:i/>
        </w:rPr>
        <w:t>Forest land remaining forest land</w:t>
      </w:r>
      <w:r w:rsidRPr="001D5327">
        <w:t>, burned stands are either harvested (so emissions are included with the harvesting emissions) or left to grow on at reduced stocking. Carbon dioxide emissions are reported when the stand is harvested or deforested (with no reduction in stock when compared with an unburned stand). For both natural and planted forests, emissions from areas burned are captured within the forest plot networks that New Zealand uses to estimate carbon stock change. In these cases, to avoid double counting of CO</w:t>
      </w:r>
      <w:r w:rsidRPr="001D5327">
        <w:rPr>
          <w:vertAlign w:val="subscript"/>
        </w:rPr>
        <w:t>2</w:t>
      </w:r>
      <w:r w:rsidRPr="001D5327">
        <w:t xml:space="preserve"> emissions, the notation key IE is used.</w:t>
      </w:r>
    </w:p>
    <w:p w14:paraId="1E1958C2" w14:textId="77777777" w:rsidR="00E0181F" w:rsidRPr="001D5327" w:rsidRDefault="00E0181F" w:rsidP="00E0181F">
      <w:pPr>
        <w:pStyle w:val="BodyText"/>
        <w:spacing w:before="100" w:after="100"/>
      </w:pPr>
      <w:r w:rsidRPr="001D5327">
        <w:lastRenderedPageBreak/>
        <w:t xml:space="preserve">Wildfire activity data are sourced from Fire and Emergency New Zealand (FENZ). Historically, burned areas were estimated and allocated by field staff to vegetation types: grass, tussock, gorse, scrub, wetland, plantation forest and indigenous forest. The process (since 2017) now involves mapping the burn area. This area is overlaid on the 2020 land use map to determine what type of land cover has been burned. </w:t>
      </w:r>
    </w:p>
    <w:p w14:paraId="4D6ECEF6" w14:textId="6FB40712" w:rsidR="00E0181F" w:rsidRPr="001D5327" w:rsidRDefault="00E0181F" w:rsidP="00E0181F">
      <w:pPr>
        <w:pStyle w:val="BodyText"/>
        <w:spacing w:before="100" w:after="100"/>
        <w:rPr>
          <w:rFonts w:cs="Courier New"/>
        </w:rPr>
      </w:pPr>
      <w:r w:rsidRPr="001D5327">
        <w:t xml:space="preserve">Activity data for controlled burning for </w:t>
      </w:r>
      <w:r w:rsidRPr="001D5327">
        <w:rPr>
          <w:i/>
        </w:rPr>
        <w:t>Forest land</w:t>
      </w:r>
      <w:r w:rsidRPr="001D5327">
        <w:t xml:space="preserve"> are estimated based on a 2011 survey of forest owners (Wakelin, unpublished(d)). Activity data (area of land-use change) for </w:t>
      </w:r>
      <w:r w:rsidRPr="001D5327">
        <w:rPr>
          <w:i/>
          <w:iCs/>
        </w:rPr>
        <w:t>Grassland with woody biomass</w:t>
      </w:r>
      <w:r w:rsidRPr="001D5327">
        <w:t xml:space="preserve"> converted to forest are based on annual land-use changes, as estimated </w:t>
      </w:r>
      <w:r w:rsidRPr="001D5327">
        <w:rPr>
          <w:spacing w:val="-2"/>
        </w:rPr>
        <w:t>in section 6.2, and an estimate of area burned from a survey of forest owners. Earlier estimates</w:t>
      </w:r>
      <w:r w:rsidRPr="001D5327">
        <w:t xml:space="preserve"> of controlled burning in planted forest (Forest Industry Training and Education Council, 2005; </w:t>
      </w:r>
      <w:r w:rsidRPr="001D5327">
        <w:rPr>
          <w:spacing w:val="-2"/>
        </w:rPr>
        <w:t>Robertson, 1998) were used, in addition to the 2011 survey, to provide activity data throughout</w:t>
      </w:r>
      <w:r w:rsidRPr="001D5327">
        <w:t xml:space="preserve"> the time series. Further details of the survey findings and extrapolation can be found in annex</w:t>
      </w:r>
      <w:r w:rsidR="00F6092F" w:rsidRPr="001D5327">
        <w:t> </w:t>
      </w:r>
      <w:r w:rsidRPr="001D5327">
        <w:t>5, section A5.2.7.</w:t>
      </w:r>
    </w:p>
    <w:p w14:paraId="2F068DF5" w14:textId="77777777" w:rsidR="00E0181F" w:rsidRPr="001D5327" w:rsidRDefault="00E0181F" w:rsidP="00E0181F">
      <w:pPr>
        <w:pStyle w:val="BodyText"/>
        <w:spacing w:before="100" w:after="100"/>
      </w:pPr>
      <w:r w:rsidRPr="001D5327">
        <w:t>Activity data are combined with emission factors derived from the national forest plot network (see table 6.4.8) to estimate non-CO</w:t>
      </w:r>
      <w:r w:rsidRPr="001D5327">
        <w:rPr>
          <w:vertAlign w:val="subscript"/>
        </w:rPr>
        <w:t>2</w:t>
      </w:r>
      <w:r w:rsidRPr="001D5327">
        <w:t xml:space="preserve"> emissions from burning associated with the clearing of vegetation before the establishment of exotic planted forest. Below-ground biomass is assumed not to burn. Further detailed information on the methodology applied can be found in annex 5, section A5.2.7.</w:t>
      </w:r>
    </w:p>
    <w:p w14:paraId="2980BAA2" w14:textId="77777777" w:rsidR="00E0181F" w:rsidRPr="001D5327" w:rsidRDefault="00E0181F" w:rsidP="00E0181F">
      <w:pPr>
        <w:pStyle w:val="BodyText"/>
        <w:spacing w:before="100" w:after="100"/>
      </w:pPr>
      <w:r w:rsidRPr="001D5327">
        <w:rPr>
          <w:i/>
        </w:rPr>
        <w:t>Biomass burning</w:t>
      </w:r>
      <w:r w:rsidRPr="001D5327">
        <w:t xml:space="preserve"> is not a key category for New Zealand.</w:t>
      </w:r>
    </w:p>
    <w:p w14:paraId="4A84AF65" w14:textId="77777777" w:rsidR="00E0181F" w:rsidRPr="001D5327" w:rsidRDefault="00E0181F" w:rsidP="00E0181F">
      <w:pPr>
        <w:pStyle w:val="Heading4"/>
        <w:spacing w:before="200"/>
      </w:pPr>
      <w:bookmarkStart w:id="2779" w:name="_Toc232906997"/>
      <w:bookmarkStart w:id="2780" w:name="_Toc255466321"/>
      <w:bookmarkStart w:id="2781" w:name="_Toc261513128"/>
      <w:bookmarkStart w:id="2782" w:name="_Toc261513741"/>
      <w:bookmarkStart w:id="2783" w:name="_Toc280630367"/>
      <w:r w:rsidRPr="001D5327">
        <w:t>Uncertainties and time-series consistency</w:t>
      </w:r>
      <w:bookmarkEnd w:id="2779"/>
      <w:bookmarkEnd w:id="2780"/>
      <w:bookmarkEnd w:id="2781"/>
      <w:bookmarkEnd w:id="2782"/>
      <w:bookmarkEnd w:id="2783"/>
    </w:p>
    <w:p w14:paraId="5F4987A9" w14:textId="77777777" w:rsidR="00E0181F" w:rsidRPr="001D5327" w:rsidRDefault="00E0181F" w:rsidP="00E0181F">
      <w:pPr>
        <w:pStyle w:val="BodyText"/>
        <w:spacing w:before="60" w:after="100"/>
      </w:pPr>
      <w:r w:rsidRPr="001D5327">
        <w:t>The uncertainty in CH</w:t>
      </w:r>
      <w:r w:rsidRPr="001D5327">
        <w:rPr>
          <w:vertAlign w:val="subscript"/>
        </w:rPr>
        <w:t>4</w:t>
      </w:r>
      <w:r w:rsidRPr="001D5327">
        <w:t xml:space="preserve"> and N</w:t>
      </w:r>
      <w:r w:rsidRPr="001D5327">
        <w:rPr>
          <w:vertAlign w:val="subscript"/>
        </w:rPr>
        <w:t>2</w:t>
      </w:r>
      <w:r w:rsidRPr="001D5327">
        <w:t xml:space="preserve">O net emissions from </w:t>
      </w:r>
      <w:r w:rsidRPr="001D5327">
        <w:rPr>
          <w:i/>
        </w:rPr>
        <w:t>Biomass burning</w:t>
      </w:r>
      <w:r w:rsidRPr="001D5327">
        <w:t xml:space="preserve"> was 51.4 per cent in 2023. Emissions from </w:t>
      </w:r>
      <w:r w:rsidRPr="001D5327">
        <w:rPr>
          <w:i/>
        </w:rPr>
        <w:t>Biomass burning</w:t>
      </w:r>
      <w:r w:rsidRPr="001D5327">
        <w:t xml:space="preserve"> accounted for 0.1 per cent of the net emissions from the LULUCF sector. </w:t>
      </w:r>
    </w:p>
    <w:p w14:paraId="22E653A9" w14:textId="77777777" w:rsidR="00E0181F" w:rsidRPr="001D5327" w:rsidRDefault="00E0181F" w:rsidP="00E0181F">
      <w:pPr>
        <w:pStyle w:val="BodyText"/>
        <w:spacing w:before="100" w:after="100"/>
      </w:pPr>
      <w:r w:rsidRPr="001D5327">
        <w:t xml:space="preserve">Time-series consistency is ensured by applying consistent methods and full recalculations in the event of any refinement or improvement to methodology. </w:t>
      </w:r>
    </w:p>
    <w:p w14:paraId="79243822" w14:textId="77777777" w:rsidR="00E0181F" w:rsidRPr="001D5327" w:rsidRDefault="00E0181F" w:rsidP="00E0181F">
      <w:pPr>
        <w:pStyle w:val="Heading4"/>
        <w:spacing w:before="200"/>
      </w:pPr>
      <w:bookmarkStart w:id="2784" w:name="_Toc255466322"/>
      <w:bookmarkStart w:id="2785" w:name="_Toc261513129"/>
      <w:bookmarkStart w:id="2786" w:name="_Toc261513742"/>
      <w:bookmarkStart w:id="2787" w:name="_Toc280630368"/>
      <w:r w:rsidRPr="001D5327">
        <w:t>Category-specific QA/QC and verification</w:t>
      </w:r>
      <w:bookmarkEnd w:id="2784"/>
      <w:bookmarkEnd w:id="2785"/>
      <w:bookmarkEnd w:id="2786"/>
      <w:bookmarkEnd w:id="2787"/>
    </w:p>
    <w:p w14:paraId="7D8A63F6" w14:textId="77777777" w:rsidR="00E0181F" w:rsidRPr="001D5327" w:rsidRDefault="00E0181F" w:rsidP="00E0181F">
      <w:pPr>
        <w:pStyle w:val="BodyText"/>
        <w:spacing w:before="60" w:after="100"/>
      </w:pPr>
      <w:r w:rsidRPr="001D5327">
        <w:t xml:space="preserve">Quality-control and quality-assurance measures are applied to the </w:t>
      </w:r>
      <w:r w:rsidRPr="001D5327">
        <w:rPr>
          <w:i/>
        </w:rPr>
        <w:t>Biomass burning</w:t>
      </w:r>
      <w:r w:rsidRPr="001D5327">
        <w:t xml:space="preserve"> activity data and emission factors. The biomass burning data set is verified whenever new data are supplied. The </w:t>
      </w:r>
      <w:r w:rsidRPr="001D5327">
        <w:rPr>
          <w:i/>
        </w:rPr>
        <w:t>Biomass burning</w:t>
      </w:r>
      <w:r w:rsidRPr="001D5327">
        <w:t xml:space="preserve"> parameters (burning and emission factors), assumptions and data set have been reviewed (Payton and Pearce, 2009; Thomas et al., 2011; Wakelin, unpublished(b), (c), (d), (e); Wakelin et al., unpublished).</w:t>
      </w:r>
    </w:p>
    <w:p w14:paraId="4129DF0F" w14:textId="77777777" w:rsidR="00E0181F" w:rsidRPr="001D5327" w:rsidRDefault="00E0181F" w:rsidP="00E0181F">
      <w:pPr>
        <w:pStyle w:val="Heading4"/>
        <w:spacing w:before="200"/>
      </w:pPr>
      <w:bookmarkStart w:id="2788" w:name="_Toc280630369"/>
      <w:bookmarkStart w:id="2789" w:name="_Toc232906999"/>
      <w:bookmarkStart w:id="2790" w:name="_Toc255466323"/>
      <w:bookmarkStart w:id="2791" w:name="_Toc261513130"/>
      <w:bookmarkStart w:id="2792" w:name="_Toc261513743"/>
      <w:r w:rsidRPr="001D5327">
        <w:t>Category-specific recalculations</w:t>
      </w:r>
      <w:bookmarkEnd w:id="2788"/>
    </w:p>
    <w:p w14:paraId="7E5F24AD" w14:textId="77777777" w:rsidR="00E0181F" w:rsidRPr="001D5327" w:rsidRDefault="00E0181F" w:rsidP="00E0181F">
      <w:pPr>
        <w:pStyle w:val="BodyText"/>
        <w:spacing w:before="100" w:after="100"/>
      </w:pPr>
      <w:bookmarkStart w:id="2793" w:name="_Hlk60906729"/>
      <w:r w:rsidRPr="001D5327">
        <w:t xml:space="preserve">Wildfire activity data for 2018 to 2023 have been updated for this submission, to incorporate mapping of the 2023 wildfire extent, and updates have been made to the vegetation classification from the land use map. New estimates for controlled burning in </w:t>
      </w:r>
      <w:r w:rsidRPr="001D5327">
        <w:rPr>
          <w:i/>
        </w:rPr>
        <w:t>Grassland remaining grassland</w:t>
      </w:r>
      <w:r w:rsidRPr="001D5327">
        <w:t xml:space="preserve"> have required recalculations across the time series. </w:t>
      </w:r>
    </w:p>
    <w:p w14:paraId="230F0612" w14:textId="77777777" w:rsidR="00E0181F" w:rsidRPr="001D5327" w:rsidRDefault="00E0181F" w:rsidP="00E0181F">
      <w:pPr>
        <w:pStyle w:val="Heading4"/>
        <w:spacing w:before="200"/>
      </w:pPr>
      <w:bookmarkStart w:id="2794" w:name="_Toc280630370"/>
      <w:bookmarkEnd w:id="2793"/>
      <w:r w:rsidRPr="001D5327">
        <w:t>Category-specific planned improvements</w:t>
      </w:r>
      <w:bookmarkEnd w:id="2789"/>
      <w:bookmarkEnd w:id="2790"/>
      <w:bookmarkEnd w:id="2791"/>
      <w:bookmarkEnd w:id="2792"/>
      <w:bookmarkEnd w:id="2794"/>
    </w:p>
    <w:p w14:paraId="1268B8E2" w14:textId="77777777" w:rsidR="00E0181F" w:rsidRPr="001D5327" w:rsidRDefault="00E0181F" w:rsidP="00E0181F">
      <w:pPr>
        <w:pStyle w:val="BodyText"/>
        <w:spacing w:before="60" w:after="0"/>
      </w:pPr>
      <w:r w:rsidRPr="001D5327">
        <w:t>The assumption that controlled burning of post-harvest residues on afforested land does not occur will be revisited in a future submission, due to the increasing harvest rate in these forests as they reach maturity.</w:t>
      </w:r>
      <w:bookmarkStart w:id="2795" w:name="_Toc414531325"/>
      <w:bookmarkStart w:id="2796" w:name="_Toc474335467"/>
      <w:bookmarkStart w:id="2797" w:name="_Toc481751407"/>
      <w:bookmarkStart w:id="2798" w:name="_Toc522013959"/>
      <w:bookmarkStart w:id="2799" w:name="_Toc5269384"/>
      <w:bookmarkStart w:id="2800" w:name="_Toc36224424"/>
      <w:bookmarkStart w:id="2801" w:name="_Toc131591258"/>
      <w:bookmarkStart w:id="2802" w:name="_Toc158980305"/>
      <w:r w:rsidRPr="001D5327">
        <w:br w:type="page"/>
      </w:r>
    </w:p>
    <w:p w14:paraId="56896F7F" w14:textId="77777777" w:rsidR="00E0181F" w:rsidRPr="001D5327" w:rsidRDefault="00E0181F" w:rsidP="00E0181F">
      <w:pPr>
        <w:pStyle w:val="Heading2"/>
        <w:spacing w:before="0" w:after="480"/>
      </w:pPr>
      <w:bookmarkStart w:id="2803" w:name="_Toc164154213"/>
      <w:bookmarkStart w:id="2804" w:name="_Toc194312038"/>
      <w:r w:rsidRPr="001D5327">
        <w:lastRenderedPageBreak/>
        <w:t>Chapter 6: References</w:t>
      </w:r>
      <w:bookmarkEnd w:id="2795"/>
      <w:bookmarkEnd w:id="2796"/>
      <w:bookmarkEnd w:id="2797"/>
      <w:bookmarkEnd w:id="2798"/>
      <w:bookmarkEnd w:id="2799"/>
      <w:bookmarkEnd w:id="2800"/>
      <w:bookmarkEnd w:id="2801"/>
      <w:bookmarkEnd w:id="2802"/>
      <w:bookmarkEnd w:id="2803"/>
      <w:bookmarkEnd w:id="2804"/>
    </w:p>
    <w:p w14:paraId="71873A38" w14:textId="77777777" w:rsidR="00E0181F" w:rsidRPr="001D5327" w:rsidRDefault="00E0181F" w:rsidP="00E0181F">
      <w:pPr>
        <w:pStyle w:val="References"/>
        <w:rPr>
          <w:szCs w:val="20"/>
        </w:rPr>
      </w:pPr>
      <w:bookmarkStart w:id="2805" w:name="Author"/>
      <w:r w:rsidRPr="001D5327">
        <w:t>Arnst E, Hayman E, Richardson</w:t>
      </w:r>
      <w:bookmarkEnd w:id="2805"/>
      <w:r w:rsidRPr="001D5327">
        <w:t xml:space="preserve"> S. </w:t>
      </w:r>
      <w:r w:rsidRPr="001D5327">
        <w:rPr>
          <w:szCs w:val="20"/>
        </w:rPr>
        <w:t>Unpublished</w:t>
      </w:r>
      <w:r w:rsidRPr="001D5327">
        <w:t xml:space="preserve">. </w:t>
      </w:r>
      <w:r w:rsidRPr="001D5327">
        <w:rPr>
          <w:szCs w:val="20"/>
        </w:rPr>
        <w:t>Natural Forest Plot Data Corrections 2023–2024. Contract report LC4306 prepared for the Ministry for the Environment by Manaaki Whenua Landcare Research New Zealand Ltd</w:t>
      </w:r>
      <w:r w:rsidRPr="001D5327" w:rsidDel="00D309F3">
        <w:rPr>
          <w:szCs w:val="20"/>
        </w:rPr>
        <w:t xml:space="preserve"> </w:t>
      </w:r>
      <w:r w:rsidRPr="001D5327">
        <w:rPr>
          <w:szCs w:val="20"/>
        </w:rPr>
        <w:t>in 2024.</w:t>
      </w:r>
      <w:r w:rsidRPr="001D5327">
        <w:t xml:space="preserve"> </w:t>
      </w:r>
    </w:p>
    <w:p w14:paraId="6BD16370" w14:textId="77777777" w:rsidR="00E0181F" w:rsidRPr="001D5327" w:rsidRDefault="00E0181F" w:rsidP="00E0181F">
      <w:pPr>
        <w:pStyle w:val="References"/>
        <w:rPr>
          <w:szCs w:val="20"/>
        </w:rPr>
      </w:pPr>
      <w:r w:rsidRPr="001D5327">
        <w:rPr>
          <w:szCs w:val="20"/>
        </w:rPr>
        <w:t>Arnst E, Vickers S. Unpublished. Natural Forest Plot Data Corrections 2022–2023. Contract report LC4306 prepared for the Ministry for the Environment by Manaaki Whenua Landcare Research New Zealand Ltd</w:t>
      </w:r>
      <w:r w:rsidRPr="001D5327" w:rsidDel="00D309F3">
        <w:rPr>
          <w:szCs w:val="20"/>
        </w:rPr>
        <w:t xml:space="preserve"> </w:t>
      </w:r>
      <w:r w:rsidRPr="001D5327">
        <w:rPr>
          <w:szCs w:val="20"/>
        </w:rPr>
        <w:t>in 2023.</w:t>
      </w:r>
    </w:p>
    <w:p w14:paraId="5AE0AB82" w14:textId="77777777" w:rsidR="00E0181F" w:rsidRPr="001D5327" w:rsidRDefault="00E0181F" w:rsidP="00E0181F">
      <w:pPr>
        <w:pStyle w:val="References"/>
        <w:rPr>
          <w:szCs w:val="20"/>
        </w:rPr>
      </w:pPr>
      <w:r w:rsidRPr="001D5327">
        <w:rPr>
          <w:szCs w:val="20"/>
        </w:rPr>
        <w:t>Beets PN. Unpublished. Carbon Fraction of Radiata Pine Biomass Components. Contract report prepared for the Ministry for the Environment by New Zealand Forest Research Institute Ltd (trading as Scion) in 2017.</w:t>
      </w:r>
    </w:p>
    <w:p w14:paraId="782082C0" w14:textId="77777777" w:rsidR="00E0181F" w:rsidRPr="001D5327" w:rsidRDefault="00E0181F" w:rsidP="00E0181F">
      <w:pPr>
        <w:pStyle w:val="References"/>
        <w:rPr>
          <w:szCs w:val="20"/>
        </w:rPr>
      </w:pPr>
      <w:r w:rsidRPr="001D5327">
        <w:rPr>
          <w:szCs w:val="20"/>
        </w:rPr>
        <w:t>Clarkson B. Unpublished. Peat Extraction in New Zealand Wetlands. Contract report LC2710 prepared for the Ministry for the Environment by Landcare Research New Zealand Ltd</w:t>
      </w:r>
      <w:r w:rsidRPr="001D5327" w:rsidDel="00D309F3">
        <w:rPr>
          <w:szCs w:val="20"/>
        </w:rPr>
        <w:t xml:space="preserve"> </w:t>
      </w:r>
      <w:r w:rsidRPr="001D5327">
        <w:rPr>
          <w:szCs w:val="20"/>
        </w:rPr>
        <w:t>in 2016.</w:t>
      </w:r>
    </w:p>
    <w:p w14:paraId="1244E881" w14:textId="77777777" w:rsidR="00E0181F" w:rsidRPr="001D5327" w:rsidRDefault="00E0181F" w:rsidP="00E0181F">
      <w:pPr>
        <w:pStyle w:val="References"/>
        <w:rPr>
          <w:szCs w:val="20"/>
        </w:rPr>
      </w:pPr>
      <w:r w:rsidRPr="001D5327">
        <w:rPr>
          <w:szCs w:val="20"/>
        </w:rPr>
        <w:t xml:space="preserve">Davis MR, Wakelin SJ. Unpublished. </w:t>
      </w:r>
      <w:r w:rsidRPr="001D5327">
        <w:rPr>
          <w:iCs/>
          <w:szCs w:val="20"/>
        </w:rPr>
        <w:t>Perennial Cropland Biomass: Sampling Requirements</w:t>
      </w:r>
      <w:r w:rsidRPr="001D5327">
        <w:rPr>
          <w:szCs w:val="20"/>
        </w:rPr>
        <w:t>. Contract report prepared for the Ministry for the Environment by New Zealand Forest Research Institute Limited (trading as Scion).</w:t>
      </w:r>
    </w:p>
    <w:p w14:paraId="78984DF0" w14:textId="77777777" w:rsidR="00E0181F" w:rsidRPr="001D5327" w:rsidRDefault="00E0181F" w:rsidP="00E0181F">
      <w:pPr>
        <w:pStyle w:val="References"/>
        <w:rPr>
          <w:szCs w:val="20"/>
        </w:rPr>
      </w:pPr>
      <w:r w:rsidRPr="001D5327">
        <w:rPr>
          <w:szCs w:val="20"/>
        </w:rPr>
        <w:t xml:space="preserve">Easdale TA, Richardson SJ, Marden M, England JR, Gayoso-Aguilar J, Guerra-Carcamo JE, Brandon AM. 2019. Root biomass allocation in southern temperate forests. </w:t>
      </w:r>
      <w:r w:rsidRPr="001D5327">
        <w:rPr>
          <w:i/>
          <w:iCs/>
          <w:szCs w:val="20"/>
        </w:rPr>
        <w:t>Forest Ecology and Management</w:t>
      </w:r>
      <w:r w:rsidRPr="001D5327">
        <w:rPr>
          <w:szCs w:val="20"/>
        </w:rPr>
        <w:t xml:space="preserve"> 453: 117542. </w:t>
      </w:r>
    </w:p>
    <w:p w14:paraId="05F2EF6B" w14:textId="77777777" w:rsidR="00E0181F" w:rsidRPr="001D5327" w:rsidRDefault="00E0181F" w:rsidP="00E0181F">
      <w:pPr>
        <w:pStyle w:val="References"/>
        <w:rPr>
          <w:szCs w:val="20"/>
        </w:rPr>
      </w:pPr>
      <w:r w:rsidRPr="001D5327">
        <w:rPr>
          <w:szCs w:val="20"/>
        </w:rPr>
        <w:t xml:space="preserve">Easdale TA, Burge OR, Wiser S, Richardson SJ. 2022. </w:t>
      </w:r>
      <w:r w:rsidRPr="001D5327">
        <w:rPr>
          <w:i/>
          <w:iCs/>
          <w:szCs w:val="20"/>
        </w:rPr>
        <w:t>Carbon Assessment of Wetland Vegetation</w:t>
      </w:r>
      <w:r w:rsidRPr="001D5327">
        <w:rPr>
          <w:szCs w:val="20"/>
        </w:rPr>
        <w:t>. Contract report LC4173 prepared for the Ministry for the Environment by Landcare Research New Zealand Ltd.</w:t>
      </w:r>
    </w:p>
    <w:p w14:paraId="53D79FD5" w14:textId="77777777" w:rsidR="00E0181F" w:rsidRPr="001D5327" w:rsidRDefault="00E0181F" w:rsidP="00E0181F">
      <w:pPr>
        <w:pStyle w:val="References"/>
        <w:rPr>
          <w:rFonts w:asciiTheme="minorHAnsi" w:hAnsiTheme="minorHAnsi" w:cstheme="minorHAnsi"/>
          <w:szCs w:val="20"/>
        </w:rPr>
      </w:pPr>
      <w:r w:rsidRPr="001D5327">
        <w:rPr>
          <w:rFonts w:asciiTheme="minorHAnsi" w:hAnsiTheme="minorHAnsi" w:cstheme="minorHAnsi"/>
          <w:color w:val="222222"/>
          <w:szCs w:val="20"/>
          <w:shd w:val="clear" w:color="auto" w:fill="FFFFFF"/>
        </w:rPr>
        <w:t>Ewers RM, Kliskey AD, Walker S, Rutledge D, Harding JS, Didham RK. 2006. Past and future trajectories of forest loss in New Zealand</w:t>
      </w:r>
      <w:r w:rsidRPr="001D5327">
        <w:rPr>
          <w:rFonts w:asciiTheme="minorHAnsi" w:hAnsiTheme="minorHAnsi" w:cstheme="minorHAnsi"/>
          <w:i/>
          <w:iCs/>
          <w:color w:val="222222"/>
          <w:szCs w:val="20"/>
          <w:shd w:val="clear" w:color="auto" w:fill="FFFFFF"/>
        </w:rPr>
        <w:t>.</w:t>
      </w:r>
      <w:r w:rsidRPr="001D5327">
        <w:rPr>
          <w:rFonts w:asciiTheme="minorHAnsi" w:hAnsiTheme="minorHAnsi" w:cstheme="minorHAnsi"/>
          <w:color w:val="222222"/>
          <w:szCs w:val="20"/>
          <w:shd w:val="clear" w:color="auto" w:fill="FFFFFF"/>
        </w:rPr>
        <w:t> </w:t>
      </w:r>
      <w:r w:rsidRPr="001D5327">
        <w:rPr>
          <w:rFonts w:asciiTheme="minorHAnsi" w:hAnsiTheme="minorHAnsi" w:cstheme="minorHAnsi"/>
          <w:i/>
          <w:iCs/>
          <w:color w:val="222222"/>
          <w:szCs w:val="20"/>
          <w:shd w:val="clear" w:color="auto" w:fill="FFFFFF"/>
        </w:rPr>
        <w:t>Biological Conservation</w:t>
      </w:r>
      <w:r w:rsidRPr="001D5327">
        <w:rPr>
          <w:rFonts w:asciiTheme="minorHAnsi" w:hAnsiTheme="minorHAnsi" w:cstheme="minorHAnsi"/>
          <w:color w:val="222222"/>
          <w:szCs w:val="20"/>
          <w:shd w:val="clear" w:color="auto" w:fill="FFFFFF"/>
        </w:rPr>
        <w:t> 133(3): 312–325.</w:t>
      </w:r>
      <w:r w:rsidRPr="001D5327">
        <w:rPr>
          <w:rFonts w:asciiTheme="minorHAnsi" w:hAnsiTheme="minorHAnsi" w:cstheme="minorHAnsi"/>
          <w:szCs w:val="20"/>
        </w:rPr>
        <w:t xml:space="preserve"> </w:t>
      </w:r>
    </w:p>
    <w:p w14:paraId="121B7E8E" w14:textId="77777777" w:rsidR="00E0181F" w:rsidRPr="001D5327" w:rsidRDefault="00E0181F" w:rsidP="00E0181F">
      <w:pPr>
        <w:pStyle w:val="References"/>
        <w:rPr>
          <w:szCs w:val="20"/>
        </w:rPr>
      </w:pPr>
      <w:r w:rsidRPr="001D5327">
        <w:rPr>
          <w:szCs w:val="20"/>
        </w:rPr>
        <w:t xml:space="preserve">Food and Agriculture Organization of the United Nations. 2024. </w:t>
      </w:r>
      <w:hyperlink r:id="rId210" w:anchor="data/FO" w:history="1">
        <w:r w:rsidRPr="001D5327">
          <w:rPr>
            <w:rStyle w:val="Hyperlink"/>
            <w:i/>
            <w:iCs/>
            <w:szCs w:val="20"/>
          </w:rPr>
          <w:t>Forestry Production and Trade Data</w:t>
        </w:r>
      </w:hyperlink>
      <w:r w:rsidRPr="001D5327">
        <w:rPr>
          <w:szCs w:val="20"/>
        </w:rPr>
        <w:t>. Retrieved 3 November 2024.</w:t>
      </w:r>
    </w:p>
    <w:p w14:paraId="43D2CEB3" w14:textId="77777777" w:rsidR="00E0181F" w:rsidRPr="001D5327" w:rsidRDefault="00E0181F" w:rsidP="00E0181F">
      <w:pPr>
        <w:pStyle w:val="References"/>
        <w:rPr>
          <w:szCs w:val="20"/>
        </w:rPr>
      </w:pPr>
      <w:r w:rsidRPr="001D5327">
        <w:rPr>
          <w:szCs w:val="20"/>
        </w:rPr>
        <w:t xml:space="preserve">Forest Industry Training and Education Council. 2005. </w:t>
      </w:r>
      <w:r w:rsidRPr="001D5327">
        <w:rPr>
          <w:i/>
          <w:iCs/>
          <w:szCs w:val="20"/>
        </w:rPr>
        <w:t>Best Practice Guidelines for Land Preparation</w:t>
      </w:r>
      <w:r w:rsidRPr="001D5327">
        <w:rPr>
          <w:szCs w:val="20"/>
        </w:rPr>
        <w:t>. Revised edn. Rotorua: Forest Industry Training and Education Council.</w:t>
      </w:r>
    </w:p>
    <w:p w14:paraId="09507CF3" w14:textId="77777777" w:rsidR="00E0181F" w:rsidRPr="001D5327" w:rsidRDefault="00E0181F" w:rsidP="00E0181F">
      <w:pPr>
        <w:pStyle w:val="References"/>
        <w:rPr>
          <w:szCs w:val="20"/>
        </w:rPr>
      </w:pPr>
      <w:r w:rsidRPr="001D5327">
        <w:rPr>
          <w:szCs w:val="20"/>
        </w:rPr>
        <w:t xml:space="preserve">Garrett LG. Unpublished. </w:t>
      </w:r>
      <w:r w:rsidRPr="001D5327">
        <w:rPr>
          <w:iCs/>
          <w:szCs w:val="20"/>
        </w:rPr>
        <w:t>Natural Forests Soils: Data Checking and Carbon Content of the Mineral Soil</w:t>
      </w:r>
      <w:r w:rsidRPr="001D5327">
        <w:rPr>
          <w:szCs w:val="20"/>
        </w:rPr>
        <w:t>. Contract report prepared for the Ministry for the Environment by New Zealand Forest Research Institute Ltd (trading as Scion).</w:t>
      </w:r>
    </w:p>
    <w:p w14:paraId="6FD63A89" w14:textId="77777777" w:rsidR="00E0181F" w:rsidRPr="001D5327" w:rsidRDefault="00E0181F" w:rsidP="00E0181F">
      <w:pPr>
        <w:pStyle w:val="References"/>
        <w:rPr>
          <w:iCs/>
          <w:szCs w:val="20"/>
        </w:rPr>
      </w:pPr>
      <w:r w:rsidRPr="001D5327">
        <w:rPr>
          <w:szCs w:val="20"/>
        </w:rPr>
        <w:t xml:space="preserve">Garrett LG, Kimberley MO, Oliver GR, Parks M, Pearce SH, Beets PN, Paul TSH. 2019. Decay rates of above- and below-ground coarse woody debris of common tree species in New Zealand’s natural forest. </w:t>
      </w:r>
      <w:r w:rsidRPr="001D5327">
        <w:rPr>
          <w:i/>
          <w:szCs w:val="20"/>
        </w:rPr>
        <w:t xml:space="preserve">Forest Ecology and Management </w:t>
      </w:r>
      <w:r w:rsidRPr="001D5327">
        <w:rPr>
          <w:szCs w:val="20"/>
        </w:rPr>
        <w:t>438: 96–102.</w:t>
      </w:r>
      <w:r w:rsidRPr="001D5327">
        <w:rPr>
          <w:i/>
          <w:szCs w:val="20"/>
        </w:rPr>
        <w:t xml:space="preserve"> </w:t>
      </w:r>
    </w:p>
    <w:p w14:paraId="089085D2" w14:textId="77777777" w:rsidR="00E0181F" w:rsidRPr="001D5327" w:rsidRDefault="00E0181F" w:rsidP="00E0181F">
      <w:pPr>
        <w:pStyle w:val="References"/>
        <w:rPr>
          <w:szCs w:val="20"/>
        </w:rPr>
      </w:pPr>
      <w:r w:rsidRPr="001D5327">
        <w:rPr>
          <w:szCs w:val="20"/>
        </w:rPr>
        <w:t xml:space="preserve">Hunter G, McNeill S. Unpublished. </w:t>
      </w:r>
      <w:r w:rsidRPr="001D5327">
        <w:rPr>
          <w:iCs/>
          <w:szCs w:val="20"/>
        </w:rPr>
        <w:t>Review of LUCAS Land Use Backcasting 1962–1989.</w:t>
      </w:r>
      <w:r w:rsidRPr="001D5327">
        <w:rPr>
          <w:szCs w:val="20"/>
        </w:rPr>
        <w:t xml:space="preserve"> Contract report prepared for the Ministry for the Environment by Landcare Research New Zealand Ltd in 2010.</w:t>
      </w:r>
    </w:p>
    <w:p w14:paraId="2B6A7A12" w14:textId="77777777" w:rsidR="00E0181F" w:rsidRPr="001D5327" w:rsidRDefault="00E0181F" w:rsidP="00E0181F">
      <w:pPr>
        <w:pStyle w:val="References"/>
        <w:rPr>
          <w:szCs w:val="20"/>
        </w:rPr>
      </w:pPr>
      <w:r w:rsidRPr="001D5327">
        <w:rPr>
          <w:szCs w:val="20"/>
        </w:rPr>
        <w:t xml:space="preserve">IPCC. 2006a. Eggleston HS, Buendia L, Miwa K, Ngara T, Tanabe K (eds). </w:t>
      </w:r>
      <w:r w:rsidRPr="001D5327">
        <w:rPr>
          <w:i/>
          <w:szCs w:val="20"/>
        </w:rPr>
        <w:t xml:space="preserve">2006 IPCC Guidelines for National Greenhouse Gas Inventories. Volume 4. Agriculture, Forestry and Other Land Use. </w:t>
      </w:r>
      <w:r w:rsidRPr="001D5327">
        <w:rPr>
          <w:szCs w:val="20"/>
        </w:rPr>
        <w:t>IPCC National Greenhouse Gas Inventories Programme. Japan: Institute for Global Environmental Strategies for IPCC.</w:t>
      </w:r>
    </w:p>
    <w:p w14:paraId="2ED9C188" w14:textId="77777777" w:rsidR="00E0181F" w:rsidRPr="001D5327" w:rsidRDefault="00E0181F" w:rsidP="00E0181F">
      <w:pPr>
        <w:pStyle w:val="References"/>
        <w:rPr>
          <w:szCs w:val="20"/>
        </w:rPr>
      </w:pPr>
      <w:r w:rsidRPr="001D5327">
        <w:rPr>
          <w:szCs w:val="20"/>
        </w:rPr>
        <w:t xml:space="preserve">IPCC. 2006b. Eggleston HS, Buendia L, Miwa K, Ngara T, Tanabe K (eds). </w:t>
      </w:r>
      <w:r w:rsidRPr="001D5327">
        <w:rPr>
          <w:i/>
          <w:iCs/>
          <w:szCs w:val="20"/>
        </w:rPr>
        <w:t>General Guidance and Reporting</w:t>
      </w:r>
      <w:r w:rsidRPr="001D5327">
        <w:rPr>
          <w:szCs w:val="20"/>
        </w:rPr>
        <w:t xml:space="preserve">. </w:t>
      </w:r>
      <w:r w:rsidRPr="001D5327">
        <w:rPr>
          <w:i/>
          <w:szCs w:val="20"/>
        </w:rPr>
        <w:t xml:space="preserve">Volume 1. </w:t>
      </w:r>
      <w:r w:rsidRPr="001D5327">
        <w:rPr>
          <w:szCs w:val="20"/>
        </w:rPr>
        <w:t>Japan: Institute for Global Environmental Strategies for IPCC.</w:t>
      </w:r>
    </w:p>
    <w:p w14:paraId="72E252B3" w14:textId="77777777" w:rsidR="00E0181F" w:rsidRPr="001D5327" w:rsidRDefault="00E0181F" w:rsidP="00E0181F">
      <w:pPr>
        <w:pStyle w:val="References"/>
      </w:pPr>
      <w:r w:rsidRPr="001D5327">
        <w:t xml:space="preserve">IPCC. 2013. Stocker TF, Qin D, Plattner G-K, Tignor M, Allen SK, Boschung J, Nauels A, Xia Y, Bex V, Midgley PM (eds). </w:t>
      </w:r>
      <w:r w:rsidRPr="001D5327">
        <w:rPr>
          <w:i/>
          <w:iCs/>
        </w:rPr>
        <w:t>Climate Change 2013: The Physical Science Basis. Contribution of Working Group I to the Fifth Assessment Report of the Intergovernmental Panel on Climate Change</w:t>
      </w:r>
      <w:r w:rsidRPr="001D5327">
        <w:t xml:space="preserve">. Cambridge: Cambridge University Press. </w:t>
      </w:r>
    </w:p>
    <w:p w14:paraId="6F8B8420" w14:textId="77777777" w:rsidR="00E0181F" w:rsidRPr="001D5327" w:rsidRDefault="00E0181F" w:rsidP="00E0181F">
      <w:pPr>
        <w:pStyle w:val="References"/>
        <w:rPr>
          <w:szCs w:val="20"/>
        </w:rPr>
      </w:pPr>
      <w:r w:rsidRPr="001D5327">
        <w:rPr>
          <w:szCs w:val="20"/>
        </w:rPr>
        <w:t xml:space="preserve">IPCC. 2014. Hiraishi T, Krug T, Tanabe K, Srivastava N, Baasansuren J, Fukuda M, Troxler TG (eds). </w:t>
      </w:r>
      <w:r w:rsidRPr="001D5327">
        <w:rPr>
          <w:i/>
          <w:iCs/>
          <w:szCs w:val="20"/>
        </w:rPr>
        <w:t>2013 Revised Supplementary Methods and Good Practice Guidance Arising from the Kyoto Protocol</w:t>
      </w:r>
      <w:r w:rsidRPr="001D5327">
        <w:rPr>
          <w:szCs w:val="20"/>
        </w:rPr>
        <w:t>. Switzerland: IPCC.</w:t>
      </w:r>
    </w:p>
    <w:p w14:paraId="5658BD6E" w14:textId="77777777" w:rsidR="00E0181F" w:rsidRPr="001D5327" w:rsidRDefault="00E0181F" w:rsidP="00E0181F">
      <w:pPr>
        <w:pStyle w:val="References"/>
        <w:rPr>
          <w:szCs w:val="20"/>
        </w:rPr>
      </w:pPr>
      <w:r w:rsidRPr="001D5327">
        <w:rPr>
          <w:szCs w:val="20"/>
        </w:rPr>
        <w:lastRenderedPageBreak/>
        <w:t xml:space="preserve">Jones T. 2005. Wood properties of commercial tree species. In: M Colley (ed.) </w:t>
      </w:r>
      <w:r w:rsidRPr="001D5327">
        <w:rPr>
          <w:i/>
          <w:iCs/>
          <w:szCs w:val="20"/>
        </w:rPr>
        <w:t>NZIF 2005 Forestry Handbook</w:t>
      </w:r>
      <w:r w:rsidRPr="001D5327">
        <w:rPr>
          <w:szCs w:val="20"/>
        </w:rPr>
        <w:t>. Wellington: New Zealand Institute of Forestry. pp 204–207.</w:t>
      </w:r>
    </w:p>
    <w:p w14:paraId="2567FDE7" w14:textId="77777777" w:rsidR="00E0181F" w:rsidRPr="001D5327" w:rsidRDefault="00E0181F" w:rsidP="00E0181F">
      <w:pPr>
        <w:pStyle w:val="References"/>
        <w:rPr>
          <w:szCs w:val="20"/>
        </w:rPr>
      </w:pPr>
      <w:r w:rsidRPr="001D5327">
        <w:rPr>
          <w:szCs w:val="20"/>
        </w:rPr>
        <w:t xml:space="preserve">Kelliher FM, de Klein CAM. 2006. </w:t>
      </w:r>
      <w:hyperlink r:id="rId211" w:history="1">
        <w:r w:rsidRPr="001D5327">
          <w:rPr>
            <w:rStyle w:val="Hyperlink"/>
            <w:i/>
            <w:iCs/>
            <w:szCs w:val="20"/>
          </w:rPr>
          <w:t>Review of New Zealand’s Fertiliser Nitrous Oxide Emission Factor (EF1) Data</w:t>
        </w:r>
      </w:hyperlink>
      <w:r w:rsidRPr="001D5327">
        <w:rPr>
          <w:szCs w:val="20"/>
        </w:rPr>
        <w:t>. Report prepared for the Ministry for the Environment by Landcare Research and AgResearch. Wellington: Ministry for Primary Industries.</w:t>
      </w:r>
    </w:p>
    <w:p w14:paraId="218451B3" w14:textId="77777777" w:rsidR="00E0181F" w:rsidRPr="001D5327" w:rsidRDefault="00E0181F" w:rsidP="00E0181F">
      <w:pPr>
        <w:pStyle w:val="References"/>
        <w:rPr>
          <w:szCs w:val="20"/>
        </w:rPr>
      </w:pPr>
      <w:r w:rsidRPr="001D5327">
        <w:rPr>
          <w:szCs w:val="20"/>
        </w:rPr>
        <w:t xml:space="preserve">Kimberley MO, Beets PN, Paul TSH. 2019. Comparison of measured and modelled change in coarse woody debris carbon stocks in New Zealand’s natural forest. </w:t>
      </w:r>
      <w:r w:rsidRPr="001D5327">
        <w:rPr>
          <w:i/>
          <w:szCs w:val="20"/>
        </w:rPr>
        <w:t>Forest Ecology and Management</w:t>
      </w:r>
      <w:r w:rsidRPr="001D5327">
        <w:rPr>
          <w:szCs w:val="20"/>
        </w:rPr>
        <w:t xml:space="preserve"> 434 (2019): 18–28.</w:t>
      </w:r>
    </w:p>
    <w:p w14:paraId="6C3EFE24" w14:textId="77777777" w:rsidR="00E0181F" w:rsidRPr="001D5327" w:rsidRDefault="00E0181F" w:rsidP="00E0181F">
      <w:pPr>
        <w:pStyle w:val="References"/>
        <w:rPr>
          <w:szCs w:val="20"/>
        </w:rPr>
      </w:pPr>
      <w:hyperlink r:id="rId212" w:history="1">
        <w:r w:rsidRPr="001D5327">
          <w:rPr>
            <w:rStyle w:val="Hyperlink"/>
            <w:szCs w:val="20"/>
          </w:rPr>
          <w:t>Land Cover Database v5.0 _ Land Cover Database version 5.0, Mainland New Zealand</w:t>
        </w:r>
      </w:hyperlink>
      <w:r w:rsidRPr="001D5327">
        <w:rPr>
          <w:szCs w:val="20"/>
        </w:rPr>
        <w:t>. Retrieved 11 November 2021.</w:t>
      </w:r>
    </w:p>
    <w:p w14:paraId="47A89B2C" w14:textId="77777777" w:rsidR="00E0181F" w:rsidRPr="001D5327" w:rsidRDefault="00E0181F" w:rsidP="00E0181F">
      <w:pPr>
        <w:pStyle w:val="References"/>
        <w:rPr>
          <w:szCs w:val="20"/>
        </w:rPr>
      </w:pPr>
      <w:r w:rsidRPr="001D5327">
        <w:rPr>
          <w:szCs w:val="20"/>
        </w:rPr>
        <w:t xml:space="preserve">Manaaki Whenua Landcare Research. 2020. </w:t>
      </w:r>
      <w:hyperlink r:id="rId213" w:history="1">
        <w:r w:rsidRPr="001D5327">
          <w:rPr>
            <w:rStyle w:val="Hyperlink"/>
            <w:i/>
            <w:szCs w:val="20"/>
          </w:rPr>
          <w:t>A National Soil Carbon Monitoring System for Agricultural Land</w:t>
        </w:r>
      </w:hyperlink>
      <w:r w:rsidRPr="001D5327">
        <w:rPr>
          <w:szCs w:val="20"/>
        </w:rPr>
        <w:t xml:space="preserve">. Retrieved 4 December 2020. </w:t>
      </w:r>
    </w:p>
    <w:p w14:paraId="2A55B6A3" w14:textId="77777777" w:rsidR="00E0181F" w:rsidRPr="001D5327" w:rsidRDefault="00E0181F" w:rsidP="00E0181F">
      <w:pPr>
        <w:pStyle w:val="References"/>
        <w:rPr>
          <w:rFonts w:asciiTheme="minorHAnsi" w:hAnsiTheme="minorHAnsi" w:cstheme="minorHAnsi"/>
          <w:szCs w:val="20"/>
        </w:rPr>
      </w:pPr>
      <w:r w:rsidRPr="001D5327">
        <w:rPr>
          <w:rFonts w:asciiTheme="minorHAnsi" w:hAnsiTheme="minorHAnsi" w:cstheme="minorHAnsi"/>
          <w:color w:val="222222"/>
          <w:szCs w:val="20"/>
          <w:shd w:val="clear" w:color="auto" w:fill="FFFFFF"/>
        </w:rPr>
        <w:t xml:space="preserve">Manley B, Evison D. </w:t>
      </w:r>
      <w:r w:rsidRPr="001D5327">
        <w:rPr>
          <w:rFonts w:asciiTheme="minorHAnsi" w:hAnsiTheme="minorHAnsi" w:cstheme="minorHAnsi"/>
          <w:szCs w:val="20"/>
        </w:rPr>
        <w:t xml:space="preserve">2016. </w:t>
      </w:r>
      <w:r w:rsidRPr="001D5327">
        <w:rPr>
          <w:rFonts w:asciiTheme="minorHAnsi" w:hAnsiTheme="minorHAnsi" w:cstheme="minorHAnsi"/>
          <w:i/>
          <w:iCs/>
          <w:szCs w:val="20"/>
        </w:rPr>
        <w:t>Material Flow and End-use of Harvested Wood Products Produced from New Zealand Log Exports</w:t>
      </w:r>
      <w:r w:rsidRPr="001D5327">
        <w:rPr>
          <w:rFonts w:asciiTheme="minorHAnsi" w:hAnsiTheme="minorHAnsi" w:cstheme="minorHAnsi"/>
          <w:szCs w:val="20"/>
        </w:rPr>
        <w:t>. Wellington: Ministry for Primary Industries.</w:t>
      </w:r>
    </w:p>
    <w:p w14:paraId="354C41EA" w14:textId="77777777" w:rsidR="00E0181F" w:rsidRPr="001D5327" w:rsidRDefault="00E0181F" w:rsidP="00E0181F">
      <w:pPr>
        <w:pStyle w:val="References"/>
        <w:rPr>
          <w:szCs w:val="20"/>
        </w:rPr>
      </w:pPr>
      <w:r w:rsidRPr="001D5327">
        <w:rPr>
          <w:szCs w:val="20"/>
        </w:rPr>
        <w:t xml:space="preserve">McGlone MS. 2009. Postglacial history of New Zealand wetlands and implications for their conservation. </w:t>
      </w:r>
      <w:r w:rsidRPr="001D5327">
        <w:rPr>
          <w:i/>
          <w:iCs/>
          <w:szCs w:val="20"/>
        </w:rPr>
        <w:t>New Zealand Journal of Ecology</w:t>
      </w:r>
      <w:r w:rsidRPr="001D5327">
        <w:rPr>
          <w:szCs w:val="20"/>
        </w:rPr>
        <w:t xml:space="preserve"> 33: 1–23.</w:t>
      </w:r>
    </w:p>
    <w:p w14:paraId="49897869" w14:textId="77777777" w:rsidR="00E0181F" w:rsidRPr="001D5327" w:rsidRDefault="00E0181F" w:rsidP="00E0181F">
      <w:pPr>
        <w:pStyle w:val="References"/>
        <w:rPr>
          <w:szCs w:val="20"/>
        </w:rPr>
      </w:pPr>
      <w:r w:rsidRPr="001D5327">
        <w:rPr>
          <w:szCs w:val="20"/>
        </w:rPr>
        <w:t xml:space="preserve">McNeill SJ, Barringer JRF. Unpublished. </w:t>
      </w:r>
      <w:r w:rsidRPr="001D5327">
        <w:rPr>
          <w:iCs/>
          <w:szCs w:val="20"/>
        </w:rPr>
        <w:t>Respecification and Reclassification of the 2013 MfE Soil CMS Model</w:t>
      </w:r>
      <w:r w:rsidRPr="001D5327">
        <w:rPr>
          <w:szCs w:val="20"/>
        </w:rPr>
        <w:t>. Prepared for the Ministry for the Environment by Landcare Research New Zealand Ltd.</w:t>
      </w:r>
    </w:p>
    <w:p w14:paraId="39DD3C25" w14:textId="77777777" w:rsidR="00E0181F" w:rsidRPr="001D5327" w:rsidRDefault="00E0181F" w:rsidP="00E0181F">
      <w:pPr>
        <w:pStyle w:val="References"/>
        <w:rPr>
          <w:rFonts w:asciiTheme="minorHAnsi" w:hAnsiTheme="minorHAnsi" w:cstheme="minorHAnsi"/>
          <w:szCs w:val="20"/>
        </w:rPr>
      </w:pPr>
      <w:r w:rsidRPr="001D5327">
        <w:rPr>
          <w:rFonts w:asciiTheme="minorHAnsi" w:hAnsiTheme="minorHAnsi" w:cstheme="minorHAnsi"/>
          <w:szCs w:val="20"/>
        </w:rPr>
        <w:t xml:space="preserve">Ministry for Primary Industries. 2015. </w:t>
      </w:r>
      <w:hyperlink r:id="rId214" w:history="1">
        <w:r w:rsidRPr="001D5327">
          <w:rPr>
            <w:rStyle w:val="Hyperlink"/>
            <w:rFonts w:asciiTheme="minorHAnsi" w:hAnsiTheme="minorHAnsi" w:cstheme="minorHAnsi"/>
            <w:i/>
            <w:szCs w:val="20"/>
          </w:rPr>
          <w:t>Forestry in the emissions trading scheme</w:t>
        </w:r>
      </w:hyperlink>
      <w:r w:rsidRPr="001D5327">
        <w:rPr>
          <w:rFonts w:asciiTheme="minorHAnsi" w:hAnsiTheme="minorHAnsi" w:cstheme="minorHAnsi"/>
          <w:szCs w:val="20"/>
        </w:rPr>
        <w:t>. Retrieved 12 February 2022.</w:t>
      </w:r>
    </w:p>
    <w:p w14:paraId="775935C6" w14:textId="77777777" w:rsidR="00E0181F" w:rsidRPr="001D5327" w:rsidRDefault="00E0181F" w:rsidP="00E0181F">
      <w:pPr>
        <w:pStyle w:val="References"/>
      </w:pPr>
      <w:r w:rsidRPr="001D5327">
        <w:t xml:space="preserve">Ministry for Primary Industries. 2023. </w:t>
      </w:r>
      <w:hyperlink r:id="rId215" w:history="1">
        <w:r w:rsidRPr="001D5327">
          <w:rPr>
            <w:rStyle w:val="Hyperlink"/>
            <w:i/>
            <w:iCs/>
          </w:rPr>
          <w:t>Wood processing data: Quarterly production, stock and roundwood removals, June 2023 quarter production</w:t>
        </w:r>
      </w:hyperlink>
      <w:r w:rsidRPr="001D5327">
        <w:t>. Wellington: Ministry for Primary Industries. Retrieved 15 August 2023.</w:t>
      </w:r>
    </w:p>
    <w:p w14:paraId="3470E112" w14:textId="559B60D6" w:rsidR="00E0181F" w:rsidRPr="001D5327" w:rsidRDefault="00E0181F" w:rsidP="00E0181F">
      <w:pPr>
        <w:pStyle w:val="References"/>
      </w:pPr>
      <w:r w:rsidRPr="001D5327">
        <w:t xml:space="preserve">Ministry for Primary Industries. 2024a. </w:t>
      </w:r>
      <w:hyperlink r:id="rId216" w:history="1">
        <w:r w:rsidRPr="001D5327">
          <w:rPr>
            <w:rStyle w:val="Hyperlink"/>
            <w:i/>
            <w:iCs/>
          </w:rPr>
          <w:t>Wood processing data: Roundwood removals, year ended 31</w:t>
        </w:r>
        <w:r w:rsidR="00EA0DE9" w:rsidRPr="001D5327">
          <w:rPr>
            <w:rStyle w:val="Hyperlink"/>
            <w:i/>
            <w:iCs/>
          </w:rPr>
          <w:t> </w:t>
        </w:r>
        <w:r w:rsidRPr="001D5327">
          <w:rPr>
            <w:rStyle w:val="Hyperlink"/>
            <w:i/>
            <w:iCs/>
          </w:rPr>
          <w:t>March, 1951 to most recent</w:t>
        </w:r>
      </w:hyperlink>
      <w:r w:rsidRPr="001D5327">
        <w:t>. Wellington: Ministry for Primary Industries. Retrieved 1 March 2024.</w:t>
      </w:r>
    </w:p>
    <w:p w14:paraId="697737FE" w14:textId="77777777" w:rsidR="00E0181F" w:rsidRPr="001D5327" w:rsidRDefault="00E0181F" w:rsidP="00E0181F">
      <w:pPr>
        <w:pStyle w:val="References"/>
      </w:pPr>
      <w:r w:rsidRPr="001D5327">
        <w:t xml:space="preserve">Ministry for Primary Industries. 2024b. </w:t>
      </w:r>
      <w:hyperlink r:id="rId217" w:history="1">
        <w:r w:rsidRPr="001D5327">
          <w:rPr>
            <w:rStyle w:val="Hyperlink"/>
            <w:i/>
            <w:iCs/>
          </w:rPr>
          <w:t>Wood processing data: Quarterly production, stock and roundwood removals, June 2024 quarter production</w:t>
        </w:r>
      </w:hyperlink>
      <w:r w:rsidRPr="001D5327">
        <w:t>. Wellington: Ministry for Primary Industries. Retrieved 15 August 2024.</w:t>
      </w:r>
    </w:p>
    <w:p w14:paraId="1DABFDEB" w14:textId="77777777" w:rsidR="00E0181F" w:rsidRPr="001D5327" w:rsidRDefault="00E0181F" w:rsidP="00E0181F">
      <w:pPr>
        <w:pStyle w:val="References"/>
      </w:pPr>
      <w:r w:rsidRPr="001D5327">
        <w:t xml:space="preserve">Ministry for Primary Industries. 2024c. </w:t>
      </w:r>
      <w:hyperlink r:id="rId218" w:history="1">
        <w:r w:rsidRPr="001D5327">
          <w:rPr>
            <w:rStyle w:val="Hyperlink"/>
            <w:i/>
            <w:iCs/>
          </w:rPr>
          <w:t>Wood Product Markets: Quarterly trade, June 2024 quarterly exports</w:t>
        </w:r>
      </w:hyperlink>
      <w:r w:rsidRPr="001D5327">
        <w:t>.</w:t>
      </w:r>
      <w:r w:rsidRPr="001D5327">
        <w:rPr>
          <w:i/>
        </w:rPr>
        <w:t xml:space="preserve"> </w:t>
      </w:r>
      <w:r w:rsidRPr="001D5327">
        <w:t>Retrieved 14 November 2024.</w:t>
      </w:r>
    </w:p>
    <w:p w14:paraId="6A38D066" w14:textId="77777777" w:rsidR="00E0181F" w:rsidRPr="001D5327" w:rsidRDefault="00E0181F" w:rsidP="00E0181F">
      <w:pPr>
        <w:pStyle w:val="References"/>
      </w:pPr>
      <w:r w:rsidRPr="001D5327">
        <w:t xml:space="preserve">Ministry for the Environment. 2006. </w:t>
      </w:r>
      <w:hyperlink r:id="rId219" w:history="1">
        <w:r w:rsidRPr="001D5327">
          <w:rPr>
            <w:rStyle w:val="Hyperlink"/>
            <w:i/>
            <w:iCs/>
          </w:rPr>
          <w:t>New Zealand’s Initial Report under the Kyoto Protocol</w:t>
        </w:r>
      </w:hyperlink>
      <w:r w:rsidRPr="001D5327">
        <w:t>. Wellington: Ministry for the Environment. Retrieved 14 July 2011.</w:t>
      </w:r>
    </w:p>
    <w:p w14:paraId="209FC375" w14:textId="77777777" w:rsidR="00E0181F" w:rsidRPr="001D5327" w:rsidRDefault="00E0181F" w:rsidP="00E0181F">
      <w:pPr>
        <w:pStyle w:val="References"/>
      </w:pPr>
      <w:r w:rsidRPr="001D5327">
        <w:t xml:space="preserve">Ministry for the Environment. 2012. </w:t>
      </w:r>
      <w:r w:rsidRPr="001D5327">
        <w:rPr>
          <w:i/>
        </w:rPr>
        <w:t>Land Use and Carbon Analysis System: Satellite imagery interpretation guide for land use classes</w:t>
      </w:r>
      <w:r w:rsidRPr="001D5327">
        <w:t xml:space="preserve"> (2nd edn). Wellington: Ministry for the Environment.</w:t>
      </w:r>
    </w:p>
    <w:p w14:paraId="2C1A1049" w14:textId="77777777" w:rsidR="00E0181F" w:rsidRPr="001D5327" w:rsidRDefault="00E0181F" w:rsidP="00E0181F">
      <w:pPr>
        <w:pStyle w:val="References"/>
        <w:rPr>
          <w:szCs w:val="20"/>
        </w:rPr>
      </w:pPr>
      <w:r w:rsidRPr="001D5327">
        <w:rPr>
          <w:szCs w:val="20"/>
        </w:rPr>
        <w:t xml:space="preserve">Ministry for the Environment and Stats NZ. 2017. </w:t>
      </w:r>
      <w:hyperlink r:id="rId220" w:history="1">
        <w:r w:rsidRPr="001D5327">
          <w:rPr>
            <w:rStyle w:val="Hyperlink"/>
            <w:i/>
            <w:szCs w:val="20"/>
          </w:rPr>
          <w:t>New Zealand’s Environmental Reporting Series: Our fresh water 2017</w:t>
        </w:r>
      </w:hyperlink>
      <w:r w:rsidRPr="001D5327">
        <w:rPr>
          <w:szCs w:val="20"/>
        </w:rPr>
        <w:t>. Retrieved 16 February 2024.</w:t>
      </w:r>
    </w:p>
    <w:p w14:paraId="7EEF7D82" w14:textId="77777777" w:rsidR="00E0181F" w:rsidRPr="001D5327" w:rsidRDefault="00E0181F" w:rsidP="00E0181F">
      <w:pPr>
        <w:pStyle w:val="References"/>
        <w:rPr>
          <w:szCs w:val="20"/>
        </w:rPr>
      </w:pPr>
      <w:r w:rsidRPr="001D5327">
        <w:rPr>
          <w:szCs w:val="20"/>
        </w:rPr>
        <w:t xml:space="preserve">Ministry for the Environment and Stats NZ. 2018. </w:t>
      </w:r>
      <w:hyperlink r:id="rId221" w:history="1">
        <w:r w:rsidRPr="001D5327">
          <w:rPr>
            <w:rStyle w:val="Hyperlink"/>
            <w:i/>
            <w:szCs w:val="20"/>
          </w:rPr>
          <w:t>New Zealand’s Environmental Reporting Series: Our land 2018</w:t>
        </w:r>
      </w:hyperlink>
      <w:r w:rsidRPr="001D5327">
        <w:rPr>
          <w:szCs w:val="20"/>
        </w:rPr>
        <w:t>. Retrieved 16 February 2024.</w:t>
      </w:r>
    </w:p>
    <w:p w14:paraId="44AEDEE2" w14:textId="77777777" w:rsidR="00E0181F" w:rsidRPr="001D5327" w:rsidRDefault="00E0181F" w:rsidP="00E0181F">
      <w:pPr>
        <w:pStyle w:val="References"/>
      </w:pPr>
      <w:r w:rsidRPr="001D5327">
        <w:t>Paul TSH, Beets PN, Kimberley MO. Unpublished. Carbon Stocks in New Zealand’s Post-1989 Natural Forest: Analysis of the 2018/2019 forest inventory data. Contract report prepared for the Ministry for the Environment by the New Zealand Forest Research Institute Ltd (trading as Scion) in 2020.</w:t>
      </w:r>
    </w:p>
    <w:p w14:paraId="03A96B48" w14:textId="77777777" w:rsidR="00E0181F" w:rsidRPr="001D5327" w:rsidRDefault="00E0181F" w:rsidP="00E0181F">
      <w:pPr>
        <w:pStyle w:val="References"/>
        <w:rPr>
          <w:szCs w:val="20"/>
        </w:rPr>
      </w:pPr>
      <w:r w:rsidRPr="001D5327">
        <w:rPr>
          <w:szCs w:val="20"/>
        </w:rPr>
        <w:t xml:space="preserve">Paul TSH, Kimberley MO, Beets PN. 2021. Natural forests in New Zealand: A large terrestrial carbon pool in a national state of equilibrium. </w:t>
      </w:r>
      <w:r w:rsidRPr="001D5327">
        <w:rPr>
          <w:i/>
          <w:iCs/>
          <w:szCs w:val="20"/>
        </w:rPr>
        <w:t xml:space="preserve">Forest Ecosystems </w:t>
      </w:r>
      <w:r w:rsidRPr="001D5327">
        <w:rPr>
          <w:szCs w:val="20"/>
        </w:rPr>
        <w:t>8(1): 1–21.</w:t>
      </w:r>
    </w:p>
    <w:p w14:paraId="15856135" w14:textId="77777777" w:rsidR="00E0181F" w:rsidRPr="001D5327" w:rsidRDefault="00E0181F" w:rsidP="00E0181F">
      <w:pPr>
        <w:pStyle w:val="References"/>
        <w:rPr>
          <w:szCs w:val="20"/>
        </w:rPr>
      </w:pPr>
      <w:r w:rsidRPr="001D5327">
        <w:rPr>
          <w:szCs w:val="20"/>
        </w:rPr>
        <w:t xml:space="preserve">Paul TSH, Wakelin SJ, Dodunski C. 2024. </w:t>
      </w:r>
      <w:r w:rsidRPr="001D5327">
        <w:rPr>
          <w:i/>
          <w:iCs/>
          <w:szCs w:val="20"/>
        </w:rPr>
        <w:t>The National Forest Inventory 2018–2022 Analysis: Yield tables and carbon stocks in planted forests in New Zealand based on a five-year inventory cycle</w:t>
      </w:r>
      <w:r w:rsidRPr="001D5327">
        <w:rPr>
          <w:szCs w:val="20"/>
        </w:rPr>
        <w:t xml:space="preserve">. Contract report prepared for the Ministry for the Environment by New Zealand Forest Research Institute Ltd (trading as Scion). Rotorua: Scion. </w:t>
      </w:r>
    </w:p>
    <w:p w14:paraId="38EEDCA3" w14:textId="77777777" w:rsidR="00E0181F" w:rsidRPr="001D5327" w:rsidDel="00EA06F5" w:rsidRDefault="00E0181F" w:rsidP="00E0181F">
      <w:pPr>
        <w:pStyle w:val="References"/>
        <w:rPr>
          <w:szCs w:val="20"/>
        </w:rPr>
      </w:pPr>
      <w:r w:rsidRPr="001D5327">
        <w:rPr>
          <w:szCs w:val="20"/>
        </w:rPr>
        <w:lastRenderedPageBreak/>
        <w:t xml:space="preserve">Payton IJ, Pearce HG. 2009. </w:t>
      </w:r>
      <w:r w:rsidRPr="001D5327">
        <w:rPr>
          <w:iCs/>
          <w:szCs w:val="20"/>
        </w:rPr>
        <w:t>Fire-induced Changes to the Vegetation of Tall-tussock (</w:t>
      </w:r>
      <w:r w:rsidRPr="001D5327">
        <w:rPr>
          <w:i/>
          <w:szCs w:val="20"/>
        </w:rPr>
        <w:t>Chionochloa rigida</w:t>
      </w:r>
      <w:r w:rsidRPr="001D5327">
        <w:rPr>
          <w:iCs/>
          <w:szCs w:val="20"/>
        </w:rPr>
        <w:t>) Grassland Ecosystems</w:t>
      </w:r>
      <w:r w:rsidRPr="001D5327">
        <w:rPr>
          <w:i/>
          <w:szCs w:val="20"/>
        </w:rPr>
        <w:t>.</w:t>
      </w:r>
      <w:r w:rsidRPr="001D5327">
        <w:rPr>
          <w:szCs w:val="20"/>
        </w:rPr>
        <w:t xml:space="preserve"> </w:t>
      </w:r>
      <w:r w:rsidRPr="001D5327">
        <w:rPr>
          <w:i/>
          <w:iCs/>
          <w:szCs w:val="20"/>
        </w:rPr>
        <w:t>Science for Conservation 290</w:t>
      </w:r>
      <w:r w:rsidRPr="001D5327">
        <w:rPr>
          <w:szCs w:val="20"/>
        </w:rPr>
        <w:t>. Wellington: Department of Conservation.</w:t>
      </w:r>
    </w:p>
    <w:p w14:paraId="3E931D66" w14:textId="77777777" w:rsidR="00E0181F" w:rsidRPr="001D5327" w:rsidRDefault="00E0181F" w:rsidP="00E0181F">
      <w:pPr>
        <w:pStyle w:val="References"/>
        <w:rPr>
          <w:szCs w:val="20"/>
        </w:rPr>
      </w:pPr>
      <w:r w:rsidRPr="001D5327">
        <w:rPr>
          <w:szCs w:val="20"/>
        </w:rPr>
        <w:t xml:space="preserve">Robertson KA. 1998. Loss of organic matter and carbon during slash burns in New Zealand exotic forests. </w:t>
      </w:r>
      <w:r w:rsidRPr="001D5327">
        <w:rPr>
          <w:i/>
          <w:szCs w:val="20"/>
        </w:rPr>
        <w:t>New Zealand Journal of Forestry Science</w:t>
      </w:r>
      <w:r w:rsidRPr="001D5327">
        <w:rPr>
          <w:szCs w:val="20"/>
        </w:rPr>
        <w:t xml:space="preserve"> 28(2): 221–241.</w:t>
      </w:r>
    </w:p>
    <w:p w14:paraId="2CDBB722" w14:textId="77777777" w:rsidR="00E0181F" w:rsidRPr="001D5327" w:rsidRDefault="00E0181F" w:rsidP="00E0181F">
      <w:pPr>
        <w:pStyle w:val="References"/>
        <w:rPr>
          <w:szCs w:val="20"/>
        </w:rPr>
      </w:pPr>
      <w:r w:rsidRPr="001D5327">
        <w:rPr>
          <w:szCs w:val="20"/>
        </w:rPr>
        <w:t xml:space="preserve">Thomas S, Hume E, Fraser T, Curtin D. 2011. </w:t>
      </w:r>
      <w:r w:rsidRPr="001D5327">
        <w:rPr>
          <w:i/>
          <w:szCs w:val="20"/>
        </w:rPr>
        <w:t>Factors and Activity Data to Estimate Nitrous Oxide Emissions from Cropping Systems, and Stubble and Tussock Burning</w:t>
      </w:r>
      <w:r w:rsidRPr="001D5327">
        <w:rPr>
          <w:szCs w:val="20"/>
        </w:rPr>
        <w:t>. Report prepared for the Ministry of Agriculture and Forestry by Plant and Food Research (formerly Crop and Food Research) technical paper no. 2012/16. Wellington: Ministry of Agriculture and Forestry.</w:t>
      </w:r>
    </w:p>
    <w:p w14:paraId="040D6E78" w14:textId="77777777" w:rsidR="00E0181F" w:rsidRPr="001D5327" w:rsidRDefault="00E0181F" w:rsidP="00E0181F">
      <w:pPr>
        <w:pStyle w:val="References"/>
        <w:rPr>
          <w:szCs w:val="20"/>
        </w:rPr>
      </w:pPr>
      <w:r w:rsidRPr="001D5327">
        <w:rPr>
          <w:szCs w:val="20"/>
        </w:rPr>
        <w:t xml:space="preserve">Trotter C, MacKay A. Unpublished. </w:t>
      </w:r>
      <w:r w:rsidRPr="001D5327">
        <w:rPr>
          <w:iCs/>
          <w:szCs w:val="20"/>
        </w:rPr>
        <w:t>Potential Forest Land</w:t>
      </w:r>
      <w:r w:rsidRPr="001D5327">
        <w:rPr>
          <w:szCs w:val="20"/>
        </w:rPr>
        <w:t>. Contract report 04/05-0410-L prepared for Landcare Research New Zealand Ltd.</w:t>
      </w:r>
    </w:p>
    <w:p w14:paraId="1253A047" w14:textId="77777777" w:rsidR="00E0181F" w:rsidRPr="001D5327" w:rsidRDefault="00E0181F" w:rsidP="00E0181F">
      <w:pPr>
        <w:pStyle w:val="References"/>
        <w:rPr>
          <w:szCs w:val="20"/>
        </w:rPr>
      </w:pPr>
      <w:r w:rsidRPr="001D5327">
        <w:rPr>
          <w:szCs w:val="20"/>
        </w:rPr>
        <w:t>UNFCCC. 2014</w:t>
      </w:r>
      <w:r w:rsidRPr="001D5327">
        <w:rPr>
          <w:i/>
          <w:szCs w:val="20"/>
        </w:rPr>
        <w:t xml:space="preserve">. </w:t>
      </w:r>
      <w:r w:rsidRPr="001D5327">
        <w:rPr>
          <w:szCs w:val="20"/>
        </w:rPr>
        <w:t>FCCC/CP/2013/10/Add.3.</w:t>
      </w:r>
      <w:r w:rsidRPr="001D5327">
        <w:rPr>
          <w:i/>
          <w:szCs w:val="20"/>
        </w:rPr>
        <w:t xml:space="preserve"> </w:t>
      </w:r>
      <w:r w:rsidRPr="001D5327">
        <w:rPr>
          <w:iCs/>
          <w:szCs w:val="20"/>
        </w:rPr>
        <w:t>Report of the Conference of the Parties on its nineteenth session, held in Warsaw from 11 to 23 November 2013: Addendum – Part 2: Action taken by the Conference of the Parties at its nineteenth session</w:t>
      </w:r>
      <w:r w:rsidRPr="001D5327">
        <w:rPr>
          <w:szCs w:val="20"/>
        </w:rPr>
        <w:t>.</w:t>
      </w:r>
    </w:p>
    <w:p w14:paraId="2D387D7D" w14:textId="77777777" w:rsidR="00E0181F" w:rsidRPr="001D5327" w:rsidRDefault="00E0181F" w:rsidP="00E0181F">
      <w:pPr>
        <w:pStyle w:val="References"/>
        <w:rPr>
          <w:szCs w:val="20"/>
        </w:rPr>
      </w:pPr>
      <w:r w:rsidRPr="001D5327">
        <w:rPr>
          <w:szCs w:val="20"/>
        </w:rPr>
        <w:t>UNFCCC. 2018. FCCC/ARR/2017/NZL. Report of the individual review of the annual submission of New Zealand submitted in 2017. Centralised Review.</w:t>
      </w:r>
    </w:p>
    <w:p w14:paraId="6B32F900" w14:textId="77777777" w:rsidR="00E0181F" w:rsidRPr="001D5327" w:rsidRDefault="00E0181F" w:rsidP="00E0181F">
      <w:pPr>
        <w:pStyle w:val="References"/>
        <w:rPr>
          <w:szCs w:val="20"/>
        </w:rPr>
      </w:pPr>
      <w:bookmarkStart w:id="2806" w:name="_Hlk61859390"/>
      <w:r w:rsidRPr="001D5327">
        <w:rPr>
          <w:szCs w:val="20"/>
        </w:rPr>
        <w:t>UNFCCC. 2020. FCCC/ARR/2019/NZL. Report of the individual review of the annual submission of New Zealand submitted in 2019. In-country Review.</w:t>
      </w:r>
    </w:p>
    <w:p w14:paraId="1D8777FA" w14:textId="77777777" w:rsidR="00E0181F" w:rsidRPr="001D5327" w:rsidRDefault="00E0181F" w:rsidP="00E0181F">
      <w:pPr>
        <w:pStyle w:val="References"/>
        <w:rPr>
          <w:szCs w:val="20"/>
        </w:rPr>
      </w:pPr>
      <w:r w:rsidRPr="001D5327">
        <w:rPr>
          <w:szCs w:val="20"/>
        </w:rPr>
        <w:t>UNFCCC. 2023. FCCC/ARR/2022/NZL. Report of the individual review of the annual submission of New Zealand submitted in 2022. Centralised Review.</w:t>
      </w:r>
    </w:p>
    <w:bookmarkEnd w:id="2806"/>
    <w:p w14:paraId="711278C6" w14:textId="77777777" w:rsidR="00E0181F" w:rsidRPr="001D5327" w:rsidRDefault="00E0181F" w:rsidP="00E0181F">
      <w:pPr>
        <w:pStyle w:val="References"/>
      </w:pPr>
      <w:r w:rsidRPr="001D5327">
        <w:t xml:space="preserve">Wakelin SJ. Unpublished(a). Scientific Research Underpinning New Zealand’s Carbon Inventory in Planted Forests. Objective 9 – UNFCCC planted forest carbon inventory methodology. Milestone 2 </w:t>
      </w:r>
      <w:r w:rsidRPr="001D5327">
        <w:br/>
        <w:t>– Review of shrubland clearance assumptions in the national carbon inventory. Contract report prepared for the Ministry for the Environment by New Zealand Forest Research Institute Ltd (trading as Scion) in 2004.</w:t>
      </w:r>
    </w:p>
    <w:p w14:paraId="6CB044A7" w14:textId="77777777" w:rsidR="00E0181F" w:rsidRPr="001D5327" w:rsidRDefault="00E0181F" w:rsidP="00E0181F">
      <w:pPr>
        <w:pStyle w:val="References"/>
        <w:rPr>
          <w:szCs w:val="20"/>
        </w:rPr>
      </w:pPr>
      <w:r w:rsidRPr="001D5327">
        <w:rPr>
          <w:szCs w:val="20"/>
        </w:rPr>
        <w:t xml:space="preserve">Wakelin SJ. Unpublished(b). </w:t>
      </w:r>
      <w:r w:rsidRPr="001D5327">
        <w:rPr>
          <w:iCs/>
          <w:szCs w:val="20"/>
        </w:rPr>
        <w:t>Review of LULUCF Biomass Burning Assumptions in New Zealand’s Greenhouse Gas Inventory</w:t>
      </w:r>
      <w:r w:rsidRPr="001D5327">
        <w:rPr>
          <w:szCs w:val="20"/>
        </w:rPr>
        <w:t>. Contract report prepared for the Ministry for the Environment by Ensis in 2006.</w:t>
      </w:r>
    </w:p>
    <w:p w14:paraId="4146BD45" w14:textId="77777777" w:rsidR="00E0181F" w:rsidRPr="001D5327" w:rsidRDefault="00E0181F" w:rsidP="00E0181F">
      <w:pPr>
        <w:pStyle w:val="References"/>
        <w:rPr>
          <w:szCs w:val="20"/>
        </w:rPr>
      </w:pPr>
      <w:r w:rsidRPr="001D5327">
        <w:rPr>
          <w:szCs w:val="20"/>
        </w:rPr>
        <w:t xml:space="preserve">Wakelin SJ. Unpublished(c). </w:t>
      </w:r>
      <w:r w:rsidRPr="001D5327">
        <w:rPr>
          <w:iCs/>
          <w:szCs w:val="20"/>
        </w:rPr>
        <w:t>Apportioning Wildfire Emissions to Forest Sub-categories in the National Greenhouse Gas Inventory</w:t>
      </w:r>
      <w:r w:rsidRPr="001D5327">
        <w:rPr>
          <w:szCs w:val="20"/>
        </w:rPr>
        <w:t>. Contract report prepared for the Ministry for the Environment by New Zealand Forest Research Institute Ltd (trading as Scion) in 2011.</w:t>
      </w:r>
    </w:p>
    <w:p w14:paraId="51D7CA9F" w14:textId="77777777" w:rsidR="00E0181F" w:rsidRPr="001D5327" w:rsidRDefault="00E0181F" w:rsidP="00E0181F">
      <w:pPr>
        <w:pStyle w:val="References"/>
        <w:rPr>
          <w:szCs w:val="20"/>
        </w:rPr>
      </w:pPr>
      <w:r w:rsidRPr="001D5327">
        <w:rPr>
          <w:szCs w:val="20"/>
        </w:rPr>
        <w:t xml:space="preserve">Wakelin SJ. Unpublished(d). </w:t>
      </w:r>
      <w:r w:rsidRPr="001D5327">
        <w:rPr>
          <w:iCs/>
          <w:szCs w:val="20"/>
        </w:rPr>
        <w:t>Controlled Biomass Burning Emissions for the 2011 Greenhouse Gas Inventory</w:t>
      </w:r>
      <w:r w:rsidRPr="001D5327">
        <w:rPr>
          <w:szCs w:val="20"/>
        </w:rPr>
        <w:t>. Contract report prepared for the Ministry for the Environment by New Zealand Forest Research Institute Ltd (trading as Scion) in 2012.</w:t>
      </w:r>
    </w:p>
    <w:p w14:paraId="5E850556" w14:textId="77777777" w:rsidR="00E0181F" w:rsidRPr="001D5327" w:rsidRDefault="00E0181F" w:rsidP="00E0181F">
      <w:pPr>
        <w:pStyle w:val="References"/>
        <w:rPr>
          <w:szCs w:val="20"/>
        </w:rPr>
      </w:pPr>
      <w:r w:rsidRPr="001D5327">
        <w:rPr>
          <w:szCs w:val="20"/>
        </w:rPr>
        <w:t>Wakelin SJ. Unpublished(e). Review of Emissions from Prescribed Burning of Standing Vegetation in New Zealand. Contract report prepared for the Ministry for the Environment by New Zealand Forest Research Institute Ltd (trading as Scion) in 2018.</w:t>
      </w:r>
    </w:p>
    <w:p w14:paraId="302A8A56" w14:textId="77777777" w:rsidR="00E0181F" w:rsidRPr="001D5327" w:rsidRDefault="00E0181F" w:rsidP="00E0181F">
      <w:pPr>
        <w:pStyle w:val="References"/>
        <w:rPr>
          <w:szCs w:val="20"/>
        </w:rPr>
      </w:pPr>
      <w:r w:rsidRPr="001D5327">
        <w:rPr>
          <w:rFonts w:cs="Calibri"/>
        </w:rPr>
        <w:t xml:space="preserve">Wakelin SJ. Unpublished(f). </w:t>
      </w:r>
      <w:r w:rsidRPr="001D5327">
        <w:rPr>
          <w:rFonts w:cs="Calibri"/>
          <w:iCs/>
        </w:rPr>
        <w:t>Annual updating of the Harvested Wood Products carbon accounting model</w:t>
      </w:r>
      <w:r w:rsidRPr="001D5327">
        <w:rPr>
          <w:rFonts w:cs="Calibri"/>
        </w:rPr>
        <w:t>. Contract report prepared for the Ministry for the Environment by New Zealand Forest Research Institute Ltd (trading as Scion) in 2023.</w:t>
      </w:r>
    </w:p>
    <w:p w14:paraId="6B09D3C4" w14:textId="77777777" w:rsidR="00E0181F" w:rsidRPr="001D5327" w:rsidRDefault="00E0181F" w:rsidP="00E0181F">
      <w:pPr>
        <w:pStyle w:val="References"/>
        <w:rPr>
          <w:szCs w:val="20"/>
        </w:rPr>
      </w:pPr>
      <w:r w:rsidRPr="001D5327">
        <w:rPr>
          <w:szCs w:val="20"/>
        </w:rPr>
        <w:t xml:space="preserve">Wakelin SJ, Beets PN. Unpublished. </w:t>
      </w:r>
      <w:r w:rsidRPr="001D5327">
        <w:rPr>
          <w:iCs/>
          <w:szCs w:val="20"/>
        </w:rPr>
        <w:t>Emission Factors for Managed and Unmanaged Grassland with Woody Biomass</w:t>
      </w:r>
      <w:r w:rsidRPr="001D5327">
        <w:rPr>
          <w:szCs w:val="20"/>
        </w:rPr>
        <w:t>. Contract report prepared for the Ministry for the Environment by New Zealand Forest Research Institute Ltd (trading as Scion) in 2013.</w:t>
      </w:r>
    </w:p>
    <w:p w14:paraId="730DEDD3" w14:textId="77777777" w:rsidR="00E0181F" w:rsidRPr="001D5327" w:rsidRDefault="00E0181F" w:rsidP="00E0181F">
      <w:pPr>
        <w:pStyle w:val="References"/>
        <w:rPr>
          <w:szCs w:val="20"/>
        </w:rPr>
      </w:pPr>
      <w:r w:rsidRPr="001D5327">
        <w:rPr>
          <w:szCs w:val="20"/>
        </w:rPr>
        <w:t xml:space="preserve">Wakelin SJ, Clifford VR, Anderson SAJ, Pearce HG. Unpublished. </w:t>
      </w:r>
      <w:r w:rsidRPr="001D5327">
        <w:rPr>
          <w:iCs/>
          <w:szCs w:val="20"/>
        </w:rPr>
        <w:t>Review of LULUCF Non-carbon Emissions in New Zealand’s Greenhouse Gas Inventory</w:t>
      </w:r>
      <w:r w:rsidRPr="001D5327">
        <w:rPr>
          <w:szCs w:val="20"/>
        </w:rPr>
        <w:t>. Contract report 17342 prepared for Ministry for the Environment by New Zealand Forest Research Institute Ltd (trading as Scion) in 2009.</w:t>
      </w:r>
    </w:p>
    <w:p w14:paraId="7869BFF2" w14:textId="77777777" w:rsidR="00E0181F" w:rsidRPr="001D5327" w:rsidRDefault="00E0181F" w:rsidP="00E0181F">
      <w:pPr>
        <w:pStyle w:val="References"/>
        <w:rPr>
          <w:szCs w:val="20"/>
        </w:rPr>
      </w:pPr>
      <w:r w:rsidRPr="001D5327">
        <w:rPr>
          <w:szCs w:val="20"/>
        </w:rPr>
        <w:t>Wakelin SJ, Kimberley M. Unpublished. Harvested Wood Products Model for UNFCCC and Kyoto Protocol Reporting. Contract report prepared for the Ministry for the Environment by New Zealand Forest Research Institute Ltd (trading as Scion) in 2017.</w:t>
      </w:r>
    </w:p>
    <w:p w14:paraId="0BF59057" w14:textId="77777777" w:rsidR="00E0181F" w:rsidRPr="001D5327" w:rsidRDefault="00E0181F" w:rsidP="00E0181F">
      <w:pPr>
        <w:pStyle w:val="References"/>
        <w:rPr>
          <w:szCs w:val="20"/>
        </w:rPr>
      </w:pPr>
      <w:r w:rsidRPr="001D5327">
        <w:rPr>
          <w:szCs w:val="20"/>
        </w:rPr>
        <w:lastRenderedPageBreak/>
        <w:t xml:space="preserve">Wakelin SJ, Searles N, Lawrence D, Paul TSH. 2020. Estimating New Zealand’s harvested wood products carbon stocks and stock changes. </w:t>
      </w:r>
      <w:r w:rsidRPr="001D5327">
        <w:rPr>
          <w:i/>
          <w:iCs/>
          <w:szCs w:val="20"/>
        </w:rPr>
        <w:t>Carbon Balance and Management</w:t>
      </w:r>
      <w:r w:rsidRPr="001D5327">
        <w:rPr>
          <w:szCs w:val="20"/>
        </w:rPr>
        <w:t xml:space="preserve"> 15(10). </w:t>
      </w:r>
    </w:p>
    <w:p w14:paraId="66AF22F5" w14:textId="77777777" w:rsidR="00E0181F" w:rsidRPr="001D5327" w:rsidRDefault="00E0181F" w:rsidP="00E0181F">
      <w:pPr>
        <w:pStyle w:val="References"/>
        <w:rPr>
          <w:szCs w:val="20"/>
        </w:rPr>
      </w:pPr>
      <w:r w:rsidRPr="001D5327">
        <w:rPr>
          <w:szCs w:val="20"/>
        </w:rPr>
        <w:t>Watts D. Unpublished. Land Use Backcasting: Data and methodology. Wellington: Ministry for the Environment.</w:t>
      </w:r>
    </w:p>
    <w:p w14:paraId="67DD0A89" w14:textId="77777777" w:rsidR="00E0181F" w:rsidRPr="001D5327" w:rsidRDefault="00E0181F" w:rsidP="00E0181F">
      <w:pPr>
        <w:pStyle w:val="References"/>
        <w:rPr>
          <w:szCs w:val="20"/>
        </w:rPr>
      </w:pPr>
      <w:r w:rsidRPr="001D5327">
        <w:rPr>
          <w:szCs w:val="20"/>
        </w:rPr>
        <w:t xml:space="preserve">Wekesa A. 2022. </w:t>
      </w:r>
      <w:hyperlink r:id="rId222" w:history="1">
        <w:r w:rsidRPr="001D5327">
          <w:rPr>
            <w:rStyle w:val="Hyperlink"/>
            <w:szCs w:val="20"/>
          </w:rPr>
          <w:t>The Estimation and Modelling of Carbon Stocks from Harvested Wood Products in New Zealand</w:t>
        </w:r>
      </w:hyperlink>
      <w:r w:rsidRPr="001D5327">
        <w:rPr>
          <w:szCs w:val="20"/>
        </w:rPr>
        <w:t>. Doctoral thesis, University of Canterbury. Retrieved 24 February 2023.</w:t>
      </w:r>
    </w:p>
    <w:p w14:paraId="25EA1B70" w14:textId="77777777" w:rsidR="00E0181F" w:rsidRPr="001D5327" w:rsidRDefault="00E0181F" w:rsidP="00E0181F">
      <w:pPr>
        <w:pStyle w:val="References"/>
        <w:rPr>
          <w:szCs w:val="20"/>
        </w:rPr>
      </w:pPr>
      <w:r w:rsidRPr="001D5327">
        <w:rPr>
          <w:rFonts w:asciiTheme="minorHAnsi" w:hAnsiTheme="minorHAnsi" w:cstheme="minorHAnsi"/>
          <w:szCs w:val="20"/>
        </w:rPr>
        <w:t>Wekesa, A, Manley</w:t>
      </w:r>
      <w:r w:rsidRPr="001D5327">
        <w:rPr>
          <w:szCs w:val="20"/>
        </w:rPr>
        <w:t xml:space="preserve">, B, Evison, D. 2022. </w:t>
      </w:r>
      <w:hyperlink r:id="rId223" w:history="1">
        <w:r w:rsidRPr="001D5327">
          <w:rPr>
            <w:rStyle w:val="Hyperlink"/>
            <w:i/>
            <w:iCs/>
            <w:szCs w:val="20"/>
          </w:rPr>
          <w:t>Improved Data on Harvested Wood Products</w:t>
        </w:r>
      </w:hyperlink>
      <w:r w:rsidRPr="001D5327">
        <w:rPr>
          <w:szCs w:val="20"/>
        </w:rPr>
        <w:t xml:space="preserve">. Wellington: Ministry for Primary Industries. Retrieved </w:t>
      </w:r>
      <w:r w:rsidRPr="001D5327">
        <w:t>1 August 2023</w:t>
      </w:r>
      <w:r w:rsidRPr="001D5327">
        <w:rPr>
          <w:szCs w:val="20"/>
        </w:rPr>
        <w:t>.</w:t>
      </w:r>
    </w:p>
    <w:p w14:paraId="212B6038" w14:textId="77777777" w:rsidR="00E0181F" w:rsidRPr="001D5327" w:rsidRDefault="00E0181F" w:rsidP="00E0181F">
      <w:pPr>
        <w:pStyle w:val="References"/>
      </w:pPr>
    </w:p>
    <w:p w14:paraId="18171798" w14:textId="77777777" w:rsidR="00E0181F" w:rsidRPr="001D5327" w:rsidRDefault="00E0181F" w:rsidP="00E0181F">
      <w:pPr>
        <w:pStyle w:val="BodyText"/>
      </w:pPr>
    </w:p>
    <w:p w14:paraId="48F0CE20" w14:textId="77777777" w:rsidR="00E0181F" w:rsidRPr="001D5327" w:rsidRDefault="00E0181F" w:rsidP="00E0181F">
      <w:pPr>
        <w:sectPr w:rsidR="00E0181F" w:rsidRPr="001D5327" w:rsidSect="00E0181F">
          <w:footerReference w:type="default" r:id="rId224"/>
          <w:pgSz w:w="11907" w:h="16840" w:code="9"/>
          <w:pgMar w:top="1418" w:right="1701" w:bottom="1418" w:left="1701" w:header="567" w:footer="567" w:gutter="0"/>
          <w:cols w:space="720"/>
        </w:sectPr>
      </w:pPr>
    </w:p>
    <w:p w14:paraId="04FC453A" w14:textId="77777777" w:rsidR="00BC0FD7" w:rsidRPr="001D5327" w:rsidRDefault="00BC0FD7" w:rsidP="00BC0FD7">
      <w:pPr>
        <w:pStyle w:val="Heading1"/>
      </w:pPr>
      <w:bookmarkStart w:id="2807" w:name="_Toc194312039"/>
      <w:bookmarkStart w:id="2808" w:name="chapter-7-waste"/>
      <w:r w:rsidRPr="001D5327">
        <w:lastRenderedPageBreak/>
        <w:t>Chapter 7: Waste</w:t>
      </w:r>
      <w:bookmarkEnd w:id="2807"/>
    </w:p>
    <w:p w14:paraId="5CF86B0E" w14:textId="77777777" w:rsidR="00BC0FD7" w:rsidRPr="001D5327" w:rsidRDefault="00BC0FD7" w:rsidP="00952BF1">
      <w:pPr>
        <w:pStyle w:val="Heading2"/>
        <w:spacing w:before="120"/>
      </w:pPr>
      <w:bookmarkStart w:id="2809" w:name="_Toc194312040"/>
      <w:r w:rsidRPr="001D5327">
        <w:t xml:space="preserve">7.1 </w:t>
      </w:r>
      <w:r w:rsidRPr="001D5327">
        <w:tab/>
        <w:t>Sector overview</w:t>
      </w:r>
      <w:bookmarkEnd w:id="2809"/>
    </w:p>
    <w:p w14:paraId="412FDFA3" w14:textId="77777777" w:rsidR="00BC0FD7" w:rsidRPr="001D5327" w:rsidRDefault="00BC0FD7" w:rsidP="00BC0FD7">
      <w:pPr>
        <w:pStyle w:val="Heading3"/>
        <w:spacing w:before="240"/>
      </w:pPr>
      <w:bookmarkStart w:id="2810" w:name="the-waste-sector-in-new-zealand"/>
      <w:r w:rsidRPr="001D5327">
        <w:t xml:space="preserve">7.1.1 </w:t>
      </w:r>
      <w:r w:rsidRPr="001D5327">
        <w:tab/>
        <w:t>The Waste sector in New Zealand</w:t>
      </w:r>
    </w:p>
    <w:p w14:paraId="64A34B1A" w14:textId="1B7DED24" w:rsidR="00BC0FD7" w:rsidRPr="001D5327" w:rsidRDefault="00BC0FD7" w:rsidP="00BC0FD7">
      <w:pPr>
        <w:pStyle w:val="BodyText"/>
      </w:pPr>
      <w:r w:rsidRPr="001D5327">
        <w:t>In 2023, the Waste sector contributed 3.8 per cent of New Zealand’s gross greenhouse gas emissions, most of which was biogenic methane (CH</w:t>
      </w:r>
      <w:r w:rsidRPr="001D5327">
        <w:rPr>
          <w:vertAlign w:val="subscript"/>
        </w:rPr>
        <w:t>4</w:t>
      </w:r>
      <w:r w:rsidRPr="001D5327">
        <w:t>) from municipal landfills. The sector’s emissions came from solid waste disposal, biological treatment of solid waste, incineration and</w:t>
      </w:r>
      <w:r w:rsidR="00D96935" w:rsidRPr="001D5327">
        <w:t> </w:t>
      </w:r>
      <w:r w:rsidRPr="001D5327">
        <w:t xml:space="preserve">open burning, and wastewater treatment and discharge. </w:t>
      </w:r>
    </w:p>
    <w:p w14:paraId="67850AF2" w14:textId="004BDFD6" w:rsidR="00BC0FD7" w:rsidRPr="001D5327" w:rsidRDefault="00BC0FD7" w:rsidP="00BC0FD7">
      <w:pPr>
        <w:pStyle w:val="BodyText"/>
      </w:pPr>
      <w:r w:rsidRPr="001D5327">
        <w:t>In New Zealand, most solid waste is disposed to land making it the largest source of waste emissions accounting for 77.4 per cent of the sector’s emissions as of 2023. The majority of the</w:t>
      </w:r>
      <w:r w:rsidR="00952BF1" w:rsidRPr="001D5327">
        <w:t> </w:t>
      </w:r>
      <w:r w:rsidRPr="001D5327">
        <w:t>country’s household and commercial waste is placed in managed municipal landfills. Before 2010, some household waste was also disposed of in unmanaged or uncategorised sites. Unmanaged sites include numerous smaller landfills, including those located on farms and those used for the disposal of construction and demolition materials or industrial waste. One major exception to disposal to land is the management of farm waste, of which half is estimated to be disposed of by open burning. Figure 7.1.1 shows the sources of and disposal practices for solid waste in New Zealand.</w:t>
      </w:r>
    </w:p>
    <w:p w14:paraId="7601D255" w14:textId="77777777" w:rsidR="00BC0FD7" w:rsidRPr="001D5327" w:rsidRDefault="00BC0FD7" w:rsidP="00BC0FD7">
      <w:pPr>
        <w:pStyle w:val="BodyText"/>
      </w:pPr>
      <w:r w:rsidRPr="001D5327">
        <w:t>Emissions from composting activities are included and account for 2.8 per cent of the sector’s emissions. There is currently one large-scale anaerobic digestion plant processing municipal organic waste in New Zealand, which started operating towards the end of 2022. No other emission sources for direct greenhouse gases are applicable to New Zealand.</w:t>
      </w:r>
    </w:p>
    <w:p w14:paraId="3EEF00B6" w14:textId="77777777" w:rsidR="00BC0FD7" w:rsidRPr="001D5327" w:rsidRDefault="00BC0FD7" w:rsidP="00BC0FD7">
      <w:pPr>
        <w:pStyle w:val="BodyText"/>
      </w:pPr>
      <w:r w:rsidRPr="001D5327">
        <w:t>Incineration and open burning made up a small portion of the sector’s emissions, 6.1 per cent. Municipal waste is not incinerated in New Zealand. Incineration is used only on a small scale, mainly for hazardous waste, clinical waste and sewage sludge, and has declined over time due to environmental regulation and the availability of other disposal options.</w:t>
      </w:r>
    </w:p>
    <w:p w14:paraId="71FB2D71" w14:textId="77777777" w:rsidR="00BC0FD7" w:rsidRPr="001D5327" w:rsidRDefault="00BC0FD7" w:rsidP="00BC0FD7">
      <w:pPr>
        <w:pStyle w:val="BodyText"/>
      </w:pPr>
      <w:r w:rsidRPr="001D5327">
        <w:t>Most wastewater treatment in New Zealand is aerobic and includes domestic and industrial wastewater, all releasing CH</w:t>
      </w:r>
      <w:r w:rsidRPr="001D5327">
        <w:rPr>
          <w:vertAlign w:val="subscript"/>
        </w:rPr>
        <w:t>4</w:t>
      </w:r>
      <w:r w:rsidRPr="001D5327">
        <w:t xml:space="preserve"> emissions. It contributed to 13.8 per cent of the sector’s CH</w:t>
      </w:r>
      <w:r w:rsidRPr="001D5327">
        <w:rPr>
          <w:vertAlign w:val="subscript"/>
        </w:rPr>
        <w:t xml:space="preserve">4 </w:t>
      </w:r>
      <w:r w:rsidRPr="001D5327">
        <w:t>emissions. Methane emissions from domestic wastewater are mainly from rural septic tank usage. Wastewater emissions are also produced by some municipal treatment plants that use semi-aerobic processes, and from industries in New Zealand, in particular, the meat and the pulp and paper industries.</w:t>
      </w:r>
    </w:p>
    <w:p w14:paraId="4C0B3466" w14:textId="77777777" w:rsidR="00BC0FD7" w:rsidRPr="001D5327" w:rsidRDefault="00BC0FD7" w:rsidP="00BC0FD7">
      <w:pPr>
        <w:pStyle w:val="BodyText"/>
      </w:pPr>
      <w:r w:rsidRPr="001D5327">
        <w:t>In 2023, the sector’s emissions decreased by 11.0 per cent from 1990. This is a result of several government policies including the introduction of a levy on the disposal of waste to municipal and non-municipal landfills in 2009 via the Waste Minimisation Act 2008, the inclusion of most municipal landfills in the New Zealand Emissions Trading Scheme (NZ ETS), and resource consent requirements for certain landfills.</w:t>
      </w:r>
    </w:p>
    <w:p w14:paraId="64E5F9B4" w14:textId="54AF12A6" w:rsidR="00BC0FD7" w:rsidRPr="001D5327" w:rsidRDefault="00BC0FD7" w:rsidP="00BC0FD7">
      <w:pPr>
        <w:pStyle w:val="BodyText"/>
        <w:rPr>
          <w:rFonts w:asciiTheme="minorHAnsi" w:eastAsiaTheme="minorHAnsi" w:hAnsiTheme="minorHAnsi" w:cstheme="majorHAnsi"/>
          <w:szCs w:val="24"/>
          <w:lang w:eastAsia="en-US"/>
        </w:rPr>
      </w:pPr>
      <w:r w:rsidRPr="001D5327">
        <w:rPr>
          <w:spacing w:val="-2"/>
        </w:rPr>
        <w:t>The Government has reaffirmed its commitment to working with the sector to reduce emissions</w:t>
      </w:r>
      <w:r w:rsidRPr="001D5327">
        <w:t xml:space="preserve"> through the second emissions reduction plan (Ministry for the Environment, 2024). In 2024, the Ministry for the Environment published this plan, outlining the actions required to meet New Zealand’s emissions budget for 2026–30. Chapter 13 of the plan specifically addresses measures for the waste sector, and any resulting impacts will be reflected in future greenhouse gas inventories.</w:t>
      </w:r>
      <w:r w:rsidR="001023C6" w:rsidRPr="001D5327">
        <w:t xml:space="preserve"> </w:t>
      </w:r>
    </w:p>
    <w:p w14:paraId="65A9679F" w14:textId="77777777" w:rsidR="00BC0FD7" w:rsidRPr="001D5327" w:rsidRDefault="00BC0FD7" w:rsidP="00BC0FD7">
      <w:pPr>
        <w:pStyle w:val="BodyText"/>
      </w:pPr>
      <w:r w:rsidRPr="001D5327">
        <w:lastRenderedPageBreak/>
        <w:t>New Zealand reports emissions from Tokelau, which is a dependent territory of New Zealand. Due to the application of different methods and the complexity of integrating emissions within the main sectors, Tokelau emissions are reported for all activities under the ‘Other’ sector of the Inventory. Therefore, all emissions reported in this sector exclude Tokelau. Please refer to chapter 8 and annex 7 for details of methods applied and the emissions for Tokelau.</w:t>
      </w:r>
    </w:p>
    <w:p w14:paraId="2EF93AEB" w14:textId="77777777" w:rsidR="00BC0FD7" w:rsidRPr="001D5327" w:rsidRDefault="00BC0FD7" w:rsidP="00BC0FD7">
      <w:pPr>
        <w:pStyle w:val="Figure"/>
      </w:pPr>
      <w:bookmarkStart w:id="2811" w:name="_Toc194674878"/>
      <w:r w:rsidRPr="001D5327">
        <w:t>Figure 7.1.1</w:t>
      </w:r>
      <w:r w:rsidRPr="001D5327">
        <w:tab/>
        <w:t>Sources of and disposal practices for solid waste in New Zealand</w:t>
      </w:r>
      <w:bookmarkEnd w:id="2811"/>
    </w:p>
    <w:p w14:paraId="2A562263" w14:textId="77777777" w:rsidR="00BC0FD7" w:rsidRPr="001D5327" w:rsidRDefault="00BC0FD7" w:rsidP="00BC0FD7">
      <w:pPr>
        <w:pStyle w:val="BodyText"/>
      </w:pPr>
      <w:r w:rsidRPr="001D5327">
        <w:rPr>
          <w:noProof/>
        </w:rPr>
        <w:drawing>
          <wp:inline distT="0" distB="0" distL="0" distR="0" wp14:anchorId="5EC72266" wp14:editId="3E8B1DB3">
            <wp:extent cx="5397500" cy="2797629"/>
            <wp:effectExtent l="0" t="0" r="0" b="3175"/>
            <wp:docPr id="73969121" name="Picture"/>
            <wp:cNvGraphicFramePr/>
            <a:graphic xmlns:a="http://schemas.openxmlformats.org/drawingml/2006/main">
              <a:graphicData uri="http://schemas.openxmlformats.org/drawingml/2006/picture">
                <pic:pic xmlns:pic="http://schemas.openxmlformats.org/drawingml/2006/picture">
                  <pic:nvPicPr>
                    <pic:cNvPr id="25" name="Picture" descr="images/fig_7_1_1.png"/>
                    <pic:cNvPicPr>
                      <a:picLocks noChangeAspect="1" noChangeArrowheads="1"/>
                    </pic:cNvPicPr>
                  </pic:nvPicPr>
                  <pic:blipFill>
                    <a:blip r:embed="rId225"/>
                    <a:stretch>
                      <a:fillRect/>
                    </a:stretch>
                  </pic:blipFill>
                  <pic:spPr bwMode="auto">
                    <a:xfrm>
                      <a:off x="0" y="0"/>
                      <a:ext cx="5399190" cy="2798505"/>
                    </a:xfrm>
                    <a:prstGeom prst="rect">
                      <a:avLst/>
                    </a:prstGeom>
                    <a:noFill/>
                    <a:ln w="9525">
                      <a:noFill/>
                      <a:headEnd/>
                      <a:tailEnd/>
                    </a:ln>
                  </pic:spPr>
                </pic:pic>
              </a:graphicData>
            </a:graphic>
          </wp:inline>
        </w:drawing>
      </w:r>
    </w:p>
    <w:bookmarkEnd w:id="2810"/>
    <w:p w14:paraId="457201B6" w14:textId="79FF2108" w:rsidR="00BC0FD7" w:rsidRPr="001D5327" w:rsidRDefault="00BC0FD7" w:rsidP="00BC0FD7">
      <w:pPr>
        <w:pStyle w:val="Heading3"/>
      </w:pPr>
      <w:r w:rsidRPr="001D5327">
        <w:t xml:space="preserve">7.1.2 </w:t>
      </w:r>
      <w:r w:rsidR="00B53183" w:rsidRPr="001D5327">
        <w:tab/>
      </w:r>
      <w:r w:rsidRPr="001D5327">
        <w:t>Emissions summary</w:t>
      </w:r>
    </w:p>
    <w:p w14:paraId="41B8837A" w14:textId="77777777" w:rsidR="00BC0FD7" w:rsidRPr="001D5327" w:rsidRDefault="00BC0FD7" w:rsidP="00BC0FD7">
      <w:pPr>
        <w:pStyle w:val="BodyText"/>
      </w:pPr>
      <w:r w:rsidRPr="001D5327">
        <w:t>The Waste sector in New Zealand produces mainly CH</w:t>
      </w:r>
      <w:r w:rsidRPr="001D5327">
        <w:rPr>
          <w:vertAlign w:val="subscript"/>
        </w:rPr>
        <w:t>4</w:t>
      </w:r>
      <w:r w:rsidRPr="001D5327">
        <w:t xml:space="preserve"> (91.9 per cent) followed by nitrous oxide (N</w:t>
      </w:r>
      <w:r w:rsidRPr="001D5327">
        <w:rPr>
          <w:vertAlign w:val="subscript"/>
        </w:rPr>
        <w:t>2</w:t>
      </w:r>
      <w:r w:rsidRPr="001D5327">
        <w:t>O) (5.3 per cent) and carbon dioxide (CO</w:t>
      </w:r>
      <w:r w:rsidRPr="001D5327">
        <w:rPr>
          <w:vertAlign w:val="subscript"/>
        </w:rPr>
        <w:t>2</w:t>
      </w:r>
      <w:r w:rsidRPr="001D5327">
        <w:t>) emissions (2.8 per cent). The Waste sector produces 7.3 per cent of gross CH</w:t>
      </w:r>
      <w:r w:rsidRPr="001D5327">
        <w:rPr>
          <w:vertAlign w:val="subscript"/>
        </w:rPr>
        <w:t>4</w:t>
      </w:r>
      <w:r w:rsidRPr="001D5327">
        <w:t xml:space="preserve"> emissions in New Zealand. There are also emissions of CO</w:t>
      </w:r>
      <w:r w:rsidRPr="001D5327">
        <w:rPr>
          <w:vertAlign w:val="subscript"/>
        </w:rPr>
        <w:t>2</w:t>
      </w:r>
      <w:r w:rsidRPr="001D5327">
        <w:t xml:space="preserve"> from the disposal of solid waste, but these are of biogenic origin and are not reported.</w:t>
      </w:r>
    </w:p>
    <w:p w14:paraId="5E98A96C" w14:textId="77777777" w:rsidR="00BC0FD7" w:rsidRPr="001D5327" w:rsidRDefault="00BC0FD7" w:rsidP="00BC0FD7">
      <w:pPr>
        <w:pStyle w:val="Heading5"/>
      </w:pPr>
      <w:r w:rsidRPr="001D5327">
        <w:t>2023</w:t>
      </w:r>
    </w:p>
    <w:p w14:paraId="21A886BA" w14:textId="5025C093" w:rsidR="00BC0FD7" w:rsidRPr="001D5327" w:rsidRDefault="00BC0FD7" w:rsidP="00BC0FD7">
      <w:pPr>
        <w:pStyle w:val="BodyText"/>
      </w:pPr>
      <w:r w:rsidRPr="001D5327">
        <w:t>In 2023, emissions from the Waste sector contributed 2,916.6 kilotonnes carbon dioxide equivalent (kt CO</w:t>
      </w:r>
      <w:r w:rsidRPr="001D5327">
        <w:rPr>
          <w:vertAlign w:val="subscript"/>
        </w:rPr>
        <w:t>2</w:t>
      </w:r>
      <w:r w:rsidRPr="001D5327">
        <w:t>-e) or 3.8 per cent of New Zealand’s gross greenhouse gas emissions. The</w:t>
      </w:r>
      <w:r w:rsidR="00B53183" w:rsidRPr="001D5327">
        <w:t> </w:t>
      </w:r>
      <w:r w:rsidRPr="001D5327">
        <w:t xml:space="preserve">largest source category is </w:t>
      </w:r>
      <w:r w:rsidRPr="001D5327">
        <w:rPr>
          <w:i/>
          <w:iCs/>
        </w:rPr>
        <w:t>Solid waste disposal</w:t>
      </w:r>
      <w:r w:rsidRPr="001D5327">
        <w:t>, as shown in table 7.1.1.</w:t>
      </w:r>
    </w:p>
    <w:p w14:paraId="59455606" w14:textId="77777777" w:rsidR="00BC0FD7" w:rsidRPr="001D5327" w:rsidRDefault="00BC0FD7" w:rsidP="00BC0FD7">
      <w:pPr>
        <w:pStyle w:val="Heading5"/>
      </w:pPr>
      <w:r w:rsidRPr="001D5327">
        <w:t>1990–2023</w:t>
      </w:r>
    </w:p>
    <w:p w14:paraId="540216D2" w14:textId="77777777" w:rsidR="00BC0FD7" w:rsidRPr="001D5327" w:rsidRDefault="00BC0FD7" w:rsidP="00BC0FD7">
      <w:pPr>
        <w:pStyle w:val="BodyText"/>
      </w:pPr>
      <w:r w:rsidRPr="001D5327">
        <w:t>In 2023, emissions from the Waste sector decreased by 11.0 per cent (361.0 kt CO</w:t>
      </w:r>
      <w:r w:rsidRPr="001D5327">
        <w:rPr>
          <w:vertAlign w:val="subscript"/>
        </w:rPr>
        <w:t>2</w:t>
      </w:r>
      <w:r w:rsidRPr="001D5327">
        <w:t>-e), from 3,277.6 kt CO</w:t>
      </w:r>
      <w:r w:rsidRPr="001D5327">
        <w:rPr>
          <w:vertAlign w:val="subscript"/>
        </w:rPr>
        <w:t>2</w:t>
      </w:r>
      <w:r w:rsidRPr="001D5327">
        <w:t xml:space="preserve">-e in 1990. </w:t>
      </w:r>
    </w:p>
    <w:p w14:paraId="6F324CAE" w14:textId="77777777" w:rsidR="00BC0FD7" w:rsidRPr="001D5327" w:rsidRDefault="00BC0FD7" w:rsidP="00BC0FD7">
      <w:pPr>
        <w:pStyle w:val="BodyText"/>
      </w:pPr>
      <w:r w:rsidRPr="001D5327">
        <w:t>Annual emissions peaked at 3,830.2 kt CO</w:t>
      </w:r>
      <w:r w:rsidRPr="001D5327">
        <w:rPr>
          <w:vertAlign w:val="subscript"/>
        </w:rPr>
        <w:t>2</w:t>
      </w:r>
      <w:r w:rsidRPr="001D5327">
        <w:t>-e in 2002 and have generally been in decline since that time. Growth in population and economic activity since 1990 has resulted in increasing volumes of solid waste and wastewater for the whole of the time series. Ongoing improvements in the management of solid waste disposal at municipal landfills have meant total Waste sector emissions have been trending down since 2005, despite increasing volumes of solid waste and wastewater. The reduction in emissions is primarily the result of increased CH</w:t>
      </w:r>
      <w:r w:rsidRPr="001D5327">
        <w:rPr>
          <w:vertAlign w:val="subscript"/>
        </w:rPr>
        <w:t>4</w:t>
      </w:r>
      <w:r w:rsidRPr="001D5327">
        <w:t xml:space="preserve"> recovery through the installation of landfill gas (LFG) capture systems, driven by National Environmental Standards for Air Quality introduced in 2004 and by the inclusion of the waste sector in the NZ ETS in 2013. These legislative tools have been complemented by </w:t>
      </w:r>
      <w:r w:rsidRPr="001D5327">
        <w:lastRenderedPageBreak/>
        <w:t>local government efforts to improve kerbside collections, including for organic waste, across the country, and by a central government waste work programme that includes product stewardship, plastic phase-outs and investment in resource recovery infrastructure for organic materials. Trends in annual emissions are shown in chapter 2, figure 2.2.11 and in figure 7.1.2 and figure 7.1.3.</w:t>
      </w:r>
    </w:p>
    <w:p w14:paraId="77B4999B" w14:textId="77777777" w:rsidR="00BC0FD7" w:rsidRPr="001D5327" w:rsidRDefault="00BC0FD7" w:rsidP="00BC0FD7">
      <w:pPr>
        <w:pStyle w:val="Heading5"/>
      </w:pPr>
      <w:r w:rsidRPr="001D5327">
        <w:t>2022–2023</w:t>
      </w:r>
    </w:p>
    <w:p w14:paraId="6675CCD0" w14:textId="2C32A3E6" w:rsidR="00BC0FD7" w:rsidRPr="001D5327" w:rsidRDefault="00BC0FD7" w:rsidP="00BC0FD7">
      <w:pPr>
        <w:pStyle w:val="BodyText"/>
      </w:pPr>
      <w:r w:rsidRPr="001D5327">
        <w:t>Between 2022 and 2023, emissions from the Waste sector decreased by 0.7 per cent (20.5 kt CO</w:t>
      </w:r>
      <w:r w:rsidRPr="001D5327">
        <w:rPr>
          <w:vertAlign w:val="subscript"/>
        </w:rPr>
        <w:t>2</w:t>
      </w:r>
      <w:r w:rsidRPr="001D5327">
        <w:t>-e). This decrease is largely the result of decreases in CH</w:t>
      </w:r>
      <w:r w:rsidRPr="001D5327">
        <w:rPr>
          <w:vertAlign w:val="subscript"/>
        </w:rPr>
        <w:t>4</w:t>
      </w:r>
      <w:r w:rsidRPr="001D5327">
        <w:t xml:space="preserve"> emissions in the </w:t>
      </w:r>
      <w:r w:rsidRPr="001D5327">
        <w:rPr>
          <w:i/>
          <w:iCs/>
        </w:rPr>
        <w:t>Managed waste disposal site</w:t>
      </w:r>
      <w:r w:rsidR="005D3E2B">
        <w:rPr>
          <w:i/>
          <w:iCs/>
        </w:rPr>
        <w:t>s</w:t>
      </w:r>
      <w:r w:rsidRPr="001D5327">
        <w:t xml:space="preserve"> category mainly due to increasing LFG capture and changes in the composition of waste, with a reduction in the proportion of garden, food and paper waste disposed to those sites.</w:t>
      </w:r>
    </w:p>
    <w:p w14:paraId="503F2AFE" w14:textId="77777777" w:rsidR="00BC0FD7" w:rsidRPr="001D5327" w:rsidRDefault="00BC0FD7" w:rsidP="00BC0FD7">
      <w:pPr>
        <w:pStyle w:val="Table"/>
      </w:pPr>
      <w:bookmarkStart w:id="2812" w:name="_Toc194241797"/>
      <w:r w:rsidRPr="001D5327">
        <w:t xml:space="preserve">Table 7.1.1 </w:t>
      </w:r>
      <w:r w:rsidRPr="001D5327">
        <w:tab/>
        <w:t xml:space="preserve">New Zealand’s greenhouse gas emissions for the Waste sector by source category in </w:t>
      </w:r>
      <w:r w:rsidRPr="001D5327">
        <w:rPr>
          <w:bCs/>
        </w:rPr>
        <w:t>1990</w:t>
      </w:r>
      <w:r w:rsidRPr="001D5327">
        <w:t> and </w:t>
      </w:r>
      <w:r w:rsidRPr="001D5327">
        <w:rPr>
          <w:bCs/>
        </w:rPr>
        <w:t>2023</w:t>
      </w:r>
      <w:bookmarkEnd w:id="2812"/>
    </w:p>
    <w:tbl>
      <w:tblPr>
        <w:tblW w:w="8499" w:type="dxa"/>
        <w:tblBorders>
          <w:top w:val="single" w:sz="4" w:space="0" w:color="1B556B" w:themeColor="text2"/>
          <w:bottom w:val="single" w:sz="4" w:space="0" w:color="1B556B" w:themeColor="text2"/>
          <w:insideH w:val="single" w:sz="4" w:space="0" w:color="1B556B" w:themeColor="text2"/>
        </w:tblBorders>
        <w:tblLook w:val="0420" w:firstRow="1" w:lastRow="0" w:firstColumn="0" w:lastColumn="0" w:noHBand="0" w:noVBand="1"/>
      </w:tblPr>
      <w:tblGrid>
        <w:gridCol w:w="3257"/>
        <w:gridCol w:w="795"/>
        <w:gridCol w:w="795"/>
        <w:gridCol w:w="1635"/>
        <w:gridCol w:w="969"/>
        <w:gridCol w:w="524"/>
        <w:gridCol w:w="524"/>
      </w:tblGrid>
      <w:tr w:rsidR="00BC0FD7" w:rsidRPr="001D5327" w14:paraId="46040F13" w14:textId="77777777" w:rsidTr="00D11AC9">
        <w:trPr>
          <w:tblHeader/>
        </w:trPr>
        <w:tc>
          <w:tcPr>
            <w:tcW w:w="0" w:type="auto"/>
            <w:shd w:val="clear" w:color="auto" w:fill="1B556B"/>
            <w:tcMar>
              <w:top w:w="0" w:type="dxa"/>
              <w:left w:w="85" w:type="dxa"/>
              <w:bottom w:w="0" w:type="dxa"/>
              <w:right w:w="85" w:type="dxa"/>
            </w:tcMar>
          </w:tcPr>
          <w:p w14:paraId="22612D8A"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 xml:space="preserve"> </w:t>
            </w:r>
          </w:p>
        </w:tc>
        <w:tc>
          <w:tcPr>
            <w:tcW w:w="0" w:type="auto"/>
            <w:gridSpan w:val="2"/>
            <w:shd w:val="clear" w:color="auto" w:fill="1B556B"/>
            <w:tcMar>
              <w:top w:w="0" w:type="dxa"/>
              <w:left w:w="85" w:type="dxa"/>
              <w:bottom w:w="0" w:type="dxa"/>
              <w:right w:w="85" w:type="dxa"/>
            </w:tcMar>
          </w:tcPr>
          <w:p w14:paraId="051CC3C1"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Emissions (kt CO₂-e)</w:t>
            </w:r>
          </w:p>
        </w:tc>
        <w:tc>
          <w:tcPr>
            <w:tcW w:w="0" w:type="auto"/>
            <w:shd w:val="clear" w:color="auto" w:fill="1B556B"/>
            <w:tcMar>
              <w:top w:w="0" w:type="dxa"/>
              <w:left w:w="85" w:type="dxa"/>
              <w:bottom w:w="0" w:type="dxa"/>
              <w:right w:w="85" w:type="dxa"/>
            </w:tcMar>
          </w:tcPr>
          <w:p w14:paraId="3B8E7491"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Difference (kt CO₂-e)</w:t>
            </w:r>
          </w:p>
        </w:tc>
        <w:tc>
          <w:tcPr>
            <w:tcW w:w="0" w:type="auto"/>
            <w:shd w:val="clear" w:color="auto" w:fill="1B556B"/>
            <w:tcMar>
              <w:top w:w="0" w:type="dxa"/>
              <w:left w:w="85" w:type="dxa"/>
              <w:bottom w:w="0" w:type="dxa"/>
              <w:right w:w="85" w:type="dxa"/>
            </w:tcMar>
          </w:tcPr>
          <w:p w14:paraId="631AB404"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Change (%)</w:t>
            </w:r>
          </w:p>
        </w:tc>
        <w:tc>
          <w:tcPr>
            <w:tcW w:w="0" w:type="auto"/>
            <w:gridSpan w:val="2"/>
            <w:shd w:val="clear" w:color="auto" w:fill="1B556B"/>
            <w:tcMar>
              <w:top w:w="0" w:type="dxa"/>
              <w:left w:w="85" w:type="dxa"/>
              <w:bottom w:w="0" w:type="dxa"/>
              <w:right w:w="85" w:type="dxa"/>
            </w:tcMar>
          </w:tcPr>
          <w:p w14:paraId="1278F963" w14:textId="77777777" w:rsidR="00BC0FD7" w:rsidRPr="001D5327" w:rsidRDefault="00BC0FD7" w:rsidP="00D11AC9">
            <w:pPr>
              <w:pStyle w:val="TableTextBold"/>
              <w:spacing w:before="40" w:after="40"/>
              <w:jc w:val="center"/>
              <w:rPr>
                <w:noProof w:val="0"/>
                <w:color w:val="FFFFFF" w:themeColor="background1"/>
              </w:rPr>
            </w:pPr>
            <w:r w:rsidRPr="001D5327">
              <w:rPr>
                <w:rFonts w:eastAsia="Calibri"/>
                <w:noProof w:val="0"/>
                <w:color w:val="FFFFFF" w:themeColor="background1"/>
              </w:rPr>
              <w:t>Share (%)</w:t>
            </w:r>
          </w:p>
        </w:tc>
      </w:tr>
      <w:tr w:rsidR="00BC0FD7" w:rsidRPr="001D5327" w14:paraId="27571759" w14:textId="77777777" w:rsidTr="00D11AC9">
        <w:tc>
          <w:tcPr>
            <w:tcW w:w="0" w:type="auto"/>
            <w:shd w:val="clear" w:color="auto" w:fill="FFFFFF"/>
            <w:tcMar>
              <w:top w:w="0" w:type="dxa"/>
              <w:left w:w="85" w:type="dxa"/>
              <w:bottom w:w="0" w:type="dxa"/>
              <w:right w:w="85" w:type="dxa"/>
            </w:tcMar>
          </w:tcPr>
          <w:p w14:paraId="24C32A04" w14:textId="77777777" w:rsidR="00BC0FD7" w:rsidRPr="001D5327" w:rsidRDefault="00BC0FD7" w:rsidP="00D11AC9">
            <w:pPr>
              <w:pStyle w:val="Tableboldblue"/>
            </w:pPr>
            <w:r w:rsidRPr="001D5327">
              <w:t>Source category</w:t>
            </w:r>
          </w:p>
        </w:tc>
        <w:tc>
          <w:tcPr>
            <w:tcW w:w="0" w:type="auto"/>
            <w:shd w:val="clear" w:color="auto" w:fill="FFFFFF"/>
            <w:tcMar>
              <w:top w:w="0" w:type="dxa"/>
              <w:left w:w="85" w:type="dxa"/>
              <w:bottom w:w="0" w:type="dxa"/>
              <w:right w:w="85" w:type="dxa"/>
            </w:tcMar>
          </w:tcPr>
          <w:p w14:paraId="6E2F9452" w14:textId="77777777" w:rsidR="00BC0FD7" w:rsidRPr="001D5327" w:rsidRDefault="00BC0FD7" w:rsidP="00B53183">
            <w:pPr>
              <w:pStyle w:val="Tableboldblue"/>
              <w:jc w:val="right"/>
            </w:pPr>
            <w:r w:rsidRPr="001D5327">
              <w:t>1990</w:t>
            </w:r>
          </w:p>
        </w:tc>
        <w:tc>
          <w:tcPr>
            <w:tcW w:w="0" w:type="auto"/>
            <w:shd w:val="clear" w:color="auto" w:fill="FFFFFF"/>
            <w:tcMar>
              <w:top w:w="0" w:type="dxa"/>
              <w:left w:w="85" w:type="dxa"/>
              <w:bottom w:w="0" w:type="dxa"/>
              <w:right w:w="85" w:type="dxa"/>
            </w:tcMar>
          </w:tcPr>
          <w:p w14:paraId="325A08D3" w14:textId="77777777" w:rsidR="00BC0FD7" w:rsidRPr="001D5327" w:rsidRDefault="00BC0FD7" w:rsidP="00B53183">
            <w:pPr>
              <w:pStyle w:val="Tableboldblue"/>
              <w:jc w:val="right"/>
            </w:pPr>
            <w:r w:rsidRPr="001D5327">
              <w:t>2023</w:t>
            </w:r>
          </w:p>
        </w:tc>
        <w:tc>
          <w:tcPr>
            <w:tcW w:w="0" w:type="auto"/>
            <w:shd w:val="clear" w:color="auto" w:fill="FFFFFF"/>
            <w:tcMar>
              <w:top w:w="0" w:type="dxa"/>
              <w:left w:w="85" w:type="dxa"/>
              <w:bottom w:w="0" w:type="dxa"/>
              <w:right w:w="85" w:type="dxa"/>
            </w:tcMar>
          </w:tcPr>
          <w:p w14:paraId="43114405" w14:textId="77777777" w:rsidR="00BC0FD7" w:rsidRPr="001D5327" w:rsidRDefault="00BC0FD7" w:rsidP="00B53183">
            <w:pPr>
              <w:pStyle w:val="Tableboldblue"/>
              <w:jc w:val="right"/>
            </w:pPr>
            <w:r w:rsidRPr="001D5327">
              <w:t>1990–2023</w:t>
            </w:r>
          </w:p>
        </w:tc>
        <w:tc>
          <w:tcPr>
            <w:tcW w:w="0" w:type="auto"/>
            <w:shd w:val="clear" w:color="auto" w:fill="FFFFFF"/>
            <w:tcMar>
              <w:top w:w="0" w:type="dxa"/>
              <w:left w:w="85" w:type="dxa"/>
              <w:bottom w:w="0" w:type="dxa"/>
              <w:right w:w="85" w:type="dxa"/>
            </w:tcMar>
          </w:tcPr>
          <w:p w14:paraId="086B4498" w14:textId="77777777" w:rsidR="00BC0FD7" w:rsidRPr="001D5327" w:rsidRDefault="00BC0FD7" w:rsidP="00B53183">
            <w:pPr>
              <w:pStyle w:val="Tableboldblue"/>
              <w:jc w:val="right"/>
            </w:pPr>
            <w:r w:rsidRPr="001D5327">
              <w:t>1990–2023</w:t>
            </w:r>
          </w:p>
        </w:tc>
        <w:tc>
          <w:tcPr>
            <w:tcW w:w="0" w:type="auto"/>
            <w:shd w:val="clear" w:color="auto" w:fill="FFFFFF"/>
            <w:tcMar>
              <w:top w:w="0" w:type="dxa"/>
              <w:left w:w="85" w:type="dxa"/>
              <w:bottom w:w="0" w:type="dxa"/>
              <w:right w:w="85" w:type="dxa"/>
            </w:tcMar>
          </w:tcPr>
          <w:p w14:paraId="1633275B" w14:textId="77777777" w:rsidR="00BC0FD7" w:rsidRPr="001D5327" w:rsidRDefault="00BC0FD7" w:rsidP="00B53183">
            <w:pPr>
              <w:pStyle w:val="Tableboldblue"/>
              <w:jc w:val="right"/>
            </w:pPr>
            <w:r w:rsidRPr="001D5327">
              <w:t>1990</w:t>
            </w:r>
          </w:p>
        </w:tc>
        <w:tc>
          <w:tcPr>
            <w:tcW w:w="0" w:type="auto"/>
            <w:shd w:val="clear" w:color="auto" w:fill="FFFFFF"/>
            <w:tcMar>
              <w:top w:w="0" w:type="dxa"/>
              <w:left w:w="85" w:type="dxa"/>
              <w:bottom w:w="0" w:type="dxa"/>
              <w:right w:w="85" w:type="dxa"/>
            </w:tcMar>
          </w:tcPr>
          <w:p w14:paraId="43798103" w14:textId="77777777" w:rsidR="00BC0FD7" w:rsidRPr="001D5327" w:rsidRDefault="00BC0FD7" w:rsidP="00B53183">
            <w:pPr>
              <w:pStyle w:val="Tableboldblue"/>
              <w:jc w:val="right"/>
            </w:pPr>
            <w:r w:rsidRPr="001D5327">
              <w:t>2023</w:t>
            </w:r>
          </w:p>
        </w:tc>
      </w:tr>
      <w:tr w:rsidR="00BC0FD7" w:rsidRPr="001D5327" w14:paraId="02FC553F" w14:textId="77777777" w:rsidTr="00D11AC9">
        <w:tc>
          <w:tcPr>
            <w:tcW w:w="0" w:type="auto"/>
            <w:shd w:val="clear" w:color="auto" w:fill="FFFFFF"/>
            <w:tcMar>
              <w:top w:w="0" w:type="dxa"/>
              <w:left w:w="85" w:type="dxa"/>
              <w:bottom w:w="0" w:type="dxa"/>
              <w:right w:w="85" w:type="dxa"/>
            </w:tcMar>
          </w:tcPr>
          <w:p w14:paraId="53278134" w14:textId="77777777" w:rsidR="00BC0FD7" w:rsidRPr="001D5327" w:rsidRDefault="00BC0FD7" w:rsidP="00D11AC9">
            <w:pPr>
              <w:pStyle w:val="TableText"/>
              <w:spacing w:before="40" w:after="40"/>
            </w:pPr>
            <w:r w:rsidRPr="001D5327">
              <w:rPr>
                <w:rFonts w:eastAsia="Calibri"/>
              </w:rPr>
              <w:t>Solid waste disposal (5.A)</w:t>
            </w:r>
          </w:p>
        </w:tc>
        <w:tc>
          <w:tcPr>
            <w:tcW w:w="0" w:type="auto"/>
            <w:shd w:val="clear" w:color="auto" w:fill="FFFFFF"/>
            <w:tcMar>
              <w:top w:w="0" w:type="dxa"/>
              <w:left w:w="85" w:type="dxa"/>
              <w:bottom w:w="0" w:type="dxa"/>
              <w:right w:w="85" w:type="dxa"/>
            </w:tcMar>
          </w:tcPr>
          <w:p w14:paraId="2D9499DC" w14:textId="77777777" w:rsidR="00BC0FD7" w:rsidRPr="001D5327" w:rsidRDefault="00BC0FD7" w:rsidP="00B53183">
            <w:pPr>
              <w:pStyle w:val="TableText"/>
              <w:spacing w:before="40" w:after="40"/>
              <w:jc w:val="right"/>
            </w:pPr>
            <w:r w:rsidRPr="001D5327">
              <w:rPr>
                <w:rFonts w:eastAsia="Calibri"/>
              </w:rPr>
              <w:t>2,630.4</w:t>
            </w:r>
          </w:p>
        </w:tc>
        <w:tc>
          <w:tcPr>
            <w:tcW w:w="0" w:type="auto"/>
            <w:shd w:val="clear" w:color="auto" w:fill="FFFFFF"/>
            <w:tcMar>
              <w:top w:w="0" w:type="dxa"/>
              <w:left w:w="85" w:type="dxa"/>
              <w:bottom w:w="0" w:type="dxa"/>
              <w:right w:w="85" w:type="dxa"/>
            </w:tcMar>
          </w:tcPr>
          <w:p w14:paraId="38DF4AF7" w14:textId="77777777" w:rsidR="00BC0FD7" w:rsidRPr="001D5327" w:rsidRDefault="00BC0FD7" w:rsidP="00B53183">
            <w:pPr>
              <w:pStyle w:val="TableText"/>
              <w:spacing w:before="40" w:after="40"/>
              <w:jc w:val="right"/>
            </w:pPr>
            <w:r w:rsidRPr="001D5327">
              <w:rPr>
                <w:rFonts w:eastAsia="Calibri"/>
              </w:rPr>
              <w:t>2,256.8</w:t>
            </w:r>
          </w:p>
        </w:tc>
        <w:tc>
          <w:tcPr>
            <w:tcW w:w="0" w:type="auto"/>
            <w:shd w:val="clear" w:color="auto" w:fill="FFFFFF"/>
            <w:tcMar>
              <w:top w:w="0" w:type="dxa"/>
              <w:left w:w="85" w:type="dxa"/>
              <w:bottom w:w="0" w:type="dxa"/>
              <w:right w:w="85" w:type="dxa"/>
            </w:tcMar>
          </w:tcPr>
          <w:p w14:paraId="694BA87D" w14:textId="6213DC8D" w:rsidR="00BC0FD7" w:rsidRPr="001D5327" w:rsidRDefault="0070503C" w:rsidP="00B53183">
            <w:pPr>
              <w:pStyle w:val="TableText"/>
              <w:spacing w:before="40" w:after="40"/>
              <w:jc w:val="right"/>
            </w:pPr>
            <w:r>
              <w:rPr>
                <w:rFonts w:eastAsia="Calibri"/>
              </w:rPr>
              <w:t>-</w:t>
            </w:r>
            <w:r w:rsidR="00BC0FD7" w:rsidRPr="001D5327">
              <w:rPr>
                <w:rFonts w:eastAsia="Calibri"/>
              </w:rPr>
              <w:t>373.7</w:t>
            </w:r>
          </w:p>
        </w:tc>
        <w:tc>
          <w:tcPr>
            <w:tcW w:w="0" w:type="auto"/>
            <w:shd w:val="clear" w:color="auto" w:fill="FFFFFF"/>
            <w:tcMar>
              <w:top w:w="0" w:type="dxa"/>
              <w:left w:w="85" w:type="dxa"/>
              <w:bottom w:w="0" w:type="dxa"/>
              <w:right w:w="85" w:type="dxa"/>
            </w:tcMar>
          </w:tcPr>
          <w:p w14:paraId="168BBD8C" w14:textId="509063C7" w:rsidR="00BC0FD7" w:rsidRPr="001D5327" w:rsidRDefault="0070503C" w:rsidP="00B53183">
            <w:pPr>
              <w:pStyle w:val="TableText"/>
              <w:spacing w:before="40" w:after="40"/>
              <w:jc w:val="right"/>
            </w:pPr>
            <w:r>
              <w:rPr>
                <w:rFonts w:eastAsia="Calibri"/>
              </w:rPr>
              <w:t>-</w:t>
            </w:r>
            <w:r w:rsidR="00BC0FD7" w:rsidRPr="001D5327">
              <w:rPr>
                <w:rFonts w:eastAsia="Calibri"/>
              </w:rPr>
              <w:t>14.2</w:t>
            </w:r>
          </w:p>
        </w:tc>
        <w:tc>
          <w:tcPr>
            <w:tcW w:w="0" w:type="auto"/>
            <w:shd w:val="clear" w:color="auto" w:fill="FFFFFF"/>
            <w:tcMar>
              <w:top w:w="0" w:type="dxa"/>
              <w:left w:w="85" w:type="dxa"/>
              <w:bottom w:w="0" w:type="dxa"/>
              <w:right w:w="85" w:type="dxa"/>
            </w:tcMar>
          </w:tcPr>
          <w:p w14:paraId="09F35A30" w14:textId="77777777" w:rsidR="00BC0FD7" w:rsidRPr="001D5327" w:rsidRDefault="00BC0FD7" w:rsidP="00B53183">
            <w:pPr>
              <w:pStyle w:val="TableText"/>
              <w:spacing w:before="40" w:after="40"/>
              <w:jc w:val="right"/>
            </w:pPr>
            <w:r w:rsidRPr="001D5327">
              <w:rPr>
                <w:rFonts w:eastAsia="Calibri"/>
              </w:rPr>
              <w:t>80.3</w:t>
            </w:r>
          </w:p>
        </w:tc>
        <w:tc>
          <w:tcPr>
            <w:tcW w:w="0" w:type="auto"/>
            <w:shd w:val="clear" w:color="auto" w:fill="FFFFFF"/>
            <w:tcMar>
              <w:top w:w="0" w:type="dxa"/>
              <w:left w:w="85" w:type="dxa"/>
              <w:bottom w:w="0" w:type="dxa"/>
              <w:right w:w="85" w:type="dxa"/>
            </w:tcMar>
          </w:tcPr>
          <w:p w14:paraId="57D78B00" w14:textId="77777777" w:rsidR="00BC0FD7" w:rsidRPr="001D5327" w:rsidRDefault="00BC0FD7" w:rsidP="00B53183">
            <w:pPr>
              <w:pStyle w:val="TableText"/>
              <w:spacing w:before="40" w:after="40"/>
              <w:jc w:val="right"/>
            </w:pPr>
            <w:r w:rsidRPr="001D5327">
              <w:rPr>
                <w:rFonts w:eastAsia="Calibri"/>
              </w:rPr>
              <w:t>77.4</w:t>
            </w:r>
          </w:p>
        </w:tc>
      </w:tr>
      <w:tr w:rsidR="00BC0FD7" w:rsidRPr="001D5327" w14:paraId="66AA319E" w14:textId="77777777" w:rsidTr="00D11AC9">
        <w:tc>
          <w:tcPr>
            <w:tcW w:w="0" w:type="auto"/>
            <w:shd w:val="clear" w:color="auto" w:fill="FFFFFF"/>
            <w:tcMar>
              <w:top w:w="0" w:type="dxa"/>
              <w:left w:w="85" w:type="dxa"/>
              <w:bottom w:w="0" w:type="dxa"/>
              <w:right w:w="85" w:type="dxa"/>
            </w:tcMar>
          </w:tcPr>
          <w:p w14:paraId="255F07FD" w14:textId="77777777" w:rsidR="00BC0FD7" w:rsidRPr="001D5327" w:rsidRDefault="00BC0FD7" w:rsidP="00D11AC9">
            <w:pPr>
              <w:pStyle w:val="TableText"/>
              <w:spacing w:before="40" w:after="40"/>
            </w:pPr>
            <w:r w:rsidRPr="001D5327">
              <w:rPr>
                <w:rFonts w:eastAsia="Calibri"/>
              </w:rPr>
              <w:t>Biological treatment of solid waste (5.B)</w:t>
            </w:r>
          </w:p>
        </w:tc>
        <w:tc>
          <w:tcPr>
            <w:tcW w:w="0" w:type="auto"/>
            <w:shd w:val="clear" w:color="auto" w:fill="FFFFFF"/>
            <w:tcMar>
              <w:top w:w="0" w:type="dxa"/>
              <w:left w:w="85" w:type="dxa"/>
              <w:bottom w:w="0" w:type="dxa"/>
              <w:right w:w="85" w:type="dxa"/>
            </w:tcMar>
          </w:tcPr>
          <w:p w14:paraId="49C22DEF" w14:textId="77777777" w:rsidR="00BC0FD7" w:rsidRPr="001D5327" w:rsidRDefault="00BC0FD7" w:rsidP="00B53183">
            <w:pPr>
              <w:pStyle w:val="TableText"/>
              <w:spacing w:before="40" w:after="40"/>
              <w:jc w:val="right"/>
            </w:pPr>
            <w:r w:rsidRPr="001D5327">
              <w:rPr>
                <w:rFonts w:eastAsia="Calibri"/>
              </w:rPr>
              <w:t>4.8</w:t>
            </w:r>
          </w:p>
        </w:tc>
        <w:tc>
          <w:tcPr>
            <w:tcW w:w="0" w:type="auto"/>
            <w:shd w:val="clear" w:color="auto" w:fill="FFFFFF"/>
            <w:tcMar>
              <w:top w:w="0" w:type="dxa"/>
              <w:left w:w="85" w:type="dxa"/>
              <w:bottom w:w="0" w:type="dxa"/>
              <w:right w:w="85" w:type="dxa"/>
            </w:tcMar>
          </w:tcPr>
          <w:p w14:paraId="3968FD12" w14:textId="77777777" w:rsidR="00BC0FD7" w:rsidRPr="001D5327" w:rsidRDefault="00BC0FD7" w:rsidP="00B53183">
            <w:pPr>
              <w:pStyle w:val="TableText"/>
              <w:spacing w:before="40" w:after="40"/>
              <w:jc w:val="right"/>
            </w:pPr>
            <w:r w:rsidRPr="001D5327">
              <w:rPr>
                <w:rFonts w:eastAsia="Calibri"/>
              </w:rPr>
              <w:t>81.6</w:t>
            </w:r>
          </w:p>
        </w:tc>
        <w:tc>
          <w:tcPr>
            <w:tcW w:w="0" w:type="auto"/>
            <w:shd w:val="clear" w:color="auto" w:fill="FFFFFF"/>
            <w:tcMar>
              <w:top w:w="0" w:type="dxa"/>
              <w:left w:w="85" w:type="dxa"/>
              <w:bottom w:w="0" w:type="dxa"/>
              <w:right w:w="85" w:type="dxa"/>
            </w:tcMar>
          </w:tcPr>
          <w:p w14:paraId="0BC16DD0" w14:textId="77777777" w:rsidR="00BC0FD7" w:rsidRPr="001D5327" w:rsidRDefault="00BC0FD7" w:rsidP="00B53183">
            <w:pPr>
              <w:pStyle w:val="TableText"/>
              <w:spacing w:before="40" w:after="40"/>
              <w:jc w:val="right"/>
            </w:pPr>
            <w:r w:rsidRPr="001D5327">
              <w:rPr>
                <w:rFonts w:eastAsia="Calibri"/>
              </w:rPr>
              <w:t>76.8</w:t>
            </w:r>
          </w:p>
        </w:tc>
        <w:tc>
          <w:tcPr>
            <w:tcW w:w="0" w:type="auto"/>
            <w:shd w:val="clear" w:color="auto" w:fill="FFFFFF"/>
            <w:tcMar>
              <w:top w:w="0" w:type="dxa"/>
              <w:left w:w="85" w:type="dxa"/>
              <w:bottom w:w="0" w:type="dxa"/>
              <w:right w:w="85" w:type="dxa"/>
            </w:tcMar>
          </w:tcPr>
          <w:p w14:paraId="169E88FA" w14:textId="77777777" w:rsidR="00BC0FD7" w:rsidRPr="001D5327" w:rsidRDefault="00BC0FD7" w:rsidP="00B53183">
            <w:pPr>
              <w:pStyle w:val="TableText"/>
              <w:spacing w:before="40" w:after="40"/>
              <w:jc w:val="right"/>
            </w:pPr>
            <w:r w:rsidRPr="001D5327">
              <w:rPr>
                <w:rFonts w:eastAsia="Calibri"/>
              </w:rPr>
              <w:t>1,598.3</w:t>
            </w:r>
          </w:p>
        </w:tc>
        <w:tc>
          <w:tcPr>
            <w:tcW w:w="0" w:type="auto"/>
            <w:shd w:val="clear" w:color="auto" w:fill="FFFFFF"/>
            <w:tcMar>
              <w:top w:w="0" w:type="dxa"/>
              <w:left w:w="85" w:type="dxa"/>
              <w:bottom w:w="0" w:type="dxa"/>
              <w:right w:w="85" w:type="dxa"/>
            </w:tcMar>
          </w:tcPr>
          <w:p w14:paraId="5AF98C13" w14:textId="77777777" w:rsidR="00BC0FD7" w:rsidRPr="001D5327" w:rsidRDefault="00BC0FD7" w:rsidP="00B53183">
            <w:pPr>
              <w:pStyle w:val="TableText"/>
              <w:spacing w:before="40" w:after="40"/>
              <w:jc w:val="right"/>
            </w:pPr>
            <w:r w:rsidRPr="001D5327">
              <w:rPr>
                <w:rFonts w:eastAsia="Calibri"/>
              </w:rPr>
              <w:t>0.1</w:t>
            </w:r>
          </w:p>
        </w:tc>
        <w:tc>
          <w:tcPr>
            <w:tcW w:w="0" w:type="auto"/>
            <w:shd w:val="clear" w:color="auto" w:fill="FFFFFF"/>
            <w:tcMar>
              <w:top w:w="0" w:type="dxa"/>
              <w:left w:w="85" w:type="dxa"/>
              <w:bottom w:w="0" w:type="dxa"/>
              <w:right w:w="85" w:type="dxa"/>
            </w:tcMar>
          </w:tcPr>
          <w:p w14:paraId="327FAA04" w14:textId="77777777" w:rsidR="00BC0FD7" w:rsidRPr="001D5327" w:rsidRDefault="00BC0FD7" w:rsidP="00B53183">
            <w:pPr>
              <w:pStyle w:val="TableText"/>
              <w:spacing w:before="40" w:after="40"/>
              <w:jc w:val="right"/>
            </w:pPr>
            <w:r w:rsidRPr="001D5327">
              <w:rPr>
                <w:rFonts w:eastAsia="Calibri"/>
              </w:rPr>
              <w:t>2.8</w:t>
            </w:r>
          </w:p>
        </w:tc>
      </w:tr>
      <w:tr w:rsidR="00BC0FD7" w:rsidRPr="001D5327" w14:paraId="7C9EFE63" w14:textId="77777777" w:rsidTr="00D11AC9">
        <w:tc>
          <w:tcPr>
            <w:tcW w:w="0" w:type="auto"/>
            <w:shd w:val="clear" w:color="auto" w:fill="FFFFFF"/>
            <w:tcMar>
              <w:top w:w="0" w:type="dxa"/>
              <w:left w:w="85" w:type="dxa"/>
              <w:bottom w:w="0" w:type="dxa"/>
              <w:right w:w="85" w:type="dxa"/>
            </w:tcMar>
          </w:tcPr>
          <w:p w14:paraId="2A3E7642" w14:textId="77777777" w:rsidR="00BC0FD7" w:rsidRPr="001D5327" w:rsidRDefault="00BC0FD7" w:rsidP="00D11AC9">
            <w:pPr>
              <w:pStyle w:val="TableText"/>
              <w:spacing w:before="40" w:after="40"/>
            </w:pPr>
            <w:r w:rsidRPr="001D5327">
              <w:rPr>
                <w:rFonts w:eastAsia="Calibri"/>
              </w:rPr>
              <w:t>Incineration and open burning of waste (5.C)</w:t>
            </w:r>
          </w:p>
        </w:tc>
        <w:tc>
          <w:tcPr>
            <w:tcW w:w="0" w:type="auto"/>
            <w:shd w:val="clear" w:color="auto" w:fill="FFFFFF"/>
            <w:tcMar>
              <w:top w:w="0" w:type="dxa"/>
              <w:left w:w="85" w:type="dxa"/>
              <w:bottom w:w="0" w:type="dxa"/>
              <w:right w:w="85" w:type="dxa"/>
            </w:tcMar>
          </w:tcPr>
          <w:p w14:paraId="394B7F1E" w14:textId="77777777" w:rsidR="00BC0FD7" w:rsidRPr="001D5327" w:rsidRDefault="00BC0FD7" w:rsidP="00B53183">
            <w:pPr>
              <w:pStyle w:val="TableText"/>
              <w:spacing w:before="40" w:after="40"/>
              <w:jc w:val="right"/>
            </w:pPr>
            <w:r w:rsidRPr="001D5327">
              <w:rPr>
                <w:rFonts w:eastAsia="Calibri"/>
              </w:rPr>
              <w:t>319</w:t>
            </w:r>
          </w:p>
        </w:tc>
        <w:tc>
          <w:tcPr>
            <w:tcW w:w="0" w:type="auto"/>
            <w:shd w:val="clear" w:color="auto" w:fill="FFFFFF"/>
            <w:tcMar>
              <w:top w:w="0" w:type="dxa"/>
              <w:left w:w="85" w:type="dxa"/>
              <w:bottom w:w="0" w:type="dxa"/>
              <w:right w:w="85" w:type="dxa"/>
            </w:tcMar>
          </w:tcPr>
          <w:p w14:paraId="20588422" w14:textId="77777777" w:rsidR="00BC0FD7" w:rsidRPr="001D5327" w:rsidRDefault="00BC0FD7" w:rsidP="00B53183">
            <w:pPr>
              <w:pStyle w:val="TableText"/>
              <w:spacing w:before="40" w:after="40"/>
              <w:jc w:val="right"/>
            </w:pPr>
            <w:r w:rsidRPr="001D5327">
              <w:rPr>
                <w:rFonts w:eastAsia="Calibri"/>
              </w:rPr>
              <w:t>176.9</w:t>
            </w:r>
          </w:p>
        </w:tc>
        <w:tc>
          <w:tcPr>
            <w:tcW w:w="0" w:type="auto"/>
            <w:shd w:val="clear" w:color="auto" w:fill="FFFFFF"/>
            <w:tcMar>
              <w:top w:w="0" w:type="dxa"/>
              <w:left w:w="85" w:type="dxa"/>
              <w:bottom w:w="0" w:type="dxa"/>
              <w:right w:w="85" w:type="dxa"/>
            </w:tcMar>
          </w:tcPr>
          <w:p w14:paraId="7ED1C4D8" w14:textId="06EB1CE4" w:rsidR="00BC0FD7" w:rsidRPr="001D5327" w:rsidRDefault="0070503C" w:rsidP="00B53183">
            <w:pPr>
              <w:pStyle w:val="TableText"/>
              <w:spacing w:before="40" w:after="40"/>
              <w:jc w:val="right"/>
            </w:pPr>
            <w:r>
              <w:rPr>
                <w:rFonts w:eastAsia="Calibri"/>
              </w:rPr>
              <w:t>-</w:t>
            </w:r>
            <w:r w:rsidR="00BC0FD7" w:rsidRPr="001D5327">
              <w:rPr>
                <w:rFonts w:eastAsia="Calibri"/>
              </w:rPr>
              <w:t>142.1</w:t>
            </w:r>
          </w:p>
        </w:tc>
        <w:tc>
          <w:tcPr>
            <w:tcW w:w="0" w:type="auto"/>
            <w:shd w:val="clear" w:color="auto" w:fill="FFFFFF"/>
            <w:tcMar>
              <w:top w:w="0" w:type="dxa"/>
              <w:left w:w="85" w:type="dxa"/>
              <w:bottom w:w="0" w:type="dxa"/>
              <w:right w:w="85" w:type="dxa"/>
            </w:tcMar>
          </w:tcPr>
          <w:p w14:paraId="50799106" w14:textId="53C301C0" w:rsidR="00BC0FD7" w:rsidRPr="001D5327" w:rsidRDefault="0070503C" w:rsidP="00B53183">
            <w:pPr>
              <w:pStyle w:val="TableText"/>
              <w:spacing w:before="40" w:after="40"/>
              <w:jc w:val="right"/>
            </w:pPr>
            <w:r>
              <w:rPr>
                <w:rFonts w:eastAsia="Calibri"/>
              </w:rPr>
              <w:t>-</w:t>
            </w:r>
            <w:r w:rsidR="00BC0FD7" w:rsidRPr="001D5327">
              <w:rPr>
                <w:rFonts w:eastAsia="Calibri"/>
              </w:rPr>
              <w:t>44.5</w:t>
            </w:r>
          </w:p>
        </w:tc>
        <w:tc>
          <w:tcPr>
            <w:tcW w:w="0" w:type="auto"/>
            <w:shd w:val="clear" w:color="auto" w:fill="FFFFFF"/>
            <w:tcMar>
              <w:top w:w="0" w:type="dxa"/>
              <w:left w:w="85" w:type="dxa"/>
              <w:bottom w:w="0" w:type="dxa"/>
              <w:right w:w="85" w:type="dxa"/>
            </w:tcMar>
          </w:tcPr>
          <w:p w14:paraId="62BD6513" w14:textId="77777777" w:rsidR="00BC0FD7" w:rsidRPr="001D5327" w:rsidRDefault="00BC0FD7" w:rsidP="00B53183">
            <w:pPr>
              <w:pStyle w:val="TableText"/>
              <w:spacing w:before="40" w:after="40"/>
              <w:jc w:val="right"/>
            </w:pPr>
            <w:r w:rsidRPr="001D5327">
              <w:rPr>
                <w:rFonts w:eastAsia="Calibri"/>
              </w:rPr>
              <w:t>9.7</w:t>
            </w:r>
          </w:p>
        </w:tc>
        <w:tc>
          <w:tcPr>
            <w:tcW w:w="0" w:type="auto"/>
            <w:shd w:val="clear" w:color="auto" w:fill="FFFFFF"/>
            <w:tcMar>
              <w:top w:w="0" w:type="dxa"/>
              <w:left w:w="85" w:type="dxa"/>
              <w:bottom w:w="0" w:type="dxa"/>
              <w:right w:w="85" w:type="dxa"/>
            </w:tcMar>
          </w:tcPr>
          <w:p w14:paraId="16DB7833" w14:textId="77777777" w:rsidR="00BC0FD7" w:rsidRPr="001D5327" w:rsidRDefault="00BC0FD7" w:rsidP="00B53183">
            <w:pPr>
              <w:pStyle w:val="TableText"/>
              <w:spacing w:before="40" w:after="40"/>
              <w:jc w:val="right"/>
            </w:pPr>
            <w:r w:rsidRPr="001D5327">
              <w:rPr>
                <w:rFonts w:eastAsia="Calibri"/>
              </w:rPr>
              <w:t>6.1</w:t>
            </w:r>
          </w:p>
        </w:tc>
      </w:tr>
      <w:tr w:rsidR="00BC0FD7" w:rsidRPr="001D5327" w14:paraId="7C15A973" w14:textId="77777777" w:rsidTr="00D11AC9">
        <w:tc>
          <w:tcPr>
            <w:tcW w:w="0" w:type="auto"/>
            <w:shd w:val="clear" w:color="auto" w:fill="FFFFFF"/>
            <w:tcMar>
              <w:top w:w="0" w:type="dxa"/>
              <w:left w:w="85" w:type="dxa"/>
              <w:bottom w:w="0" w:type="dxa"/>
              <w:right w:w="85" w:type="dxa"/>
            </w:tcMar>
          </w:tcPr>
          <w:p w14:paraId="7A920F34" w14:textId="77777777" w:rsidR="00BC0FD7" w:rsidRPr="001D5327" w:rsidRDefault="00BC0FD7" w:rsidP="00D11AC9">
            <w:pPr>
              <w:pStyle w:val="TableText"/>
              <w:spacing w:before="40" w:after="40"/>
            </w:pPr>
            <w:r w:rsidRPr="001D5327">
              <w:rPr>
                <w:rFonts w:eastAsia="Calibri"/>
              </w:rPr>
              <w:t>Wastewater treatment and discharge (5.D)</w:t>
            </w:r>
          </w:p>
        </w:tc>
        <w:tc>
          <w:tcPr>
            <w:tcW w:w="0" w:type="auto"/>
            <w:shd w:val="clear" w:color="auto" w:fill="FFFFFF"/>
            <w:tcMar>
              <w:top w:w="0" w:type="dxa"/>
              <w:left w:w="85" w:type="dxa"/>
              <w:bottom w:w="0" w:type="dxa"/>
              <w:right w:w="85" w:type="dxa"/>
            </w:tcMar>
          </w:tcPr>
          <w:p w14:paraId="505E25D1" w14:textId="77777777" w:rsidR="00BC0FD7" w:rsidRPr="001D5327" w:rsidRDefault="00BC0FD7" w:rsidP="00B53183">
            <w:pPr>
              <w:pStyle w:val="TableText"/>
              <w:spacing w:before="40" w:after="40"/>
              <w:jc w:val="right"/>
            </w:pPr>
            <w:r w:rsidRPr="001D5327">
              <w:rPr>
                <w:rFonts w:eastAsia="Calibri"/>
              </w:rPr>
              <w:t>323.3</w:t>
            </w:r>
          </w:p>
        </w:tc>
        <w:tc>
          <w:tcPr>
            <w:tcW w:w="0" w:type="auto"/>
            <w:shd w:val="clear" w:color="auto" w:fill="FFFFFF"/>
            <w:tcMar>
              <w:top w:w="0" w:type="dxa"/>
              <w:left w:w="85" w:type="dxa"/>
              <w:bottom w:w="0" w:type="dxa"/>
              <w:right w:w="85" w:type="dxa"/>
            </w:tcMar>
          </w:tcPr>
          <w:p w14:paraId="46DD9A5E" w14:textId="77777777" w:rsidR="00BC0FD7" w:rsidRPr="001D5327" w:rsidRDefault="00BC0FD7" w:rsidP="00B53183">
            <w:pPr>
              <w:pStyle w:val="TableText"/>
              <w:spacing w:before="40" w:after="40"/>
              <w:jc w:val="right"/>
            </w:pPr>
            <w:r w:rsidRPr="001D5327">
              <w:rPr>
                <w:rFonts w:eastAsia="Calibri"/>
              </w:rPr>
              <w:t>401.3</w:t>
            </w:r>
          </w:p>
        </w:tc>
        <w:tc>
          <w:tcPr>
            <w:tcW w:w="0" w:type="auto"/>
            <w:shd w:val="clear" w:color="auto" w:fill="FFFFFF"/>
            <w:tcMar>
              <w:top w:w="0" w:type="dxa"/>
              <w:left w:w="85" w:type="dxa"/>
              <w:bottom w:w="0" w:type="dxa"/>
              <w:right w:w="85" w:type="dxa"/>
            </w:tcMar>
          </w:tcPr>
          <w:p w14:paraId="3E77E104" w14:textId="77777777" w:rsidR="00BC0FD7" w:rsidRPr="001D5327" w:rsidRDefault="00BC0FD7" w:rsidP="00B53183">
            <w:pPr>
              <w:pStyle w:val="TableText"/>
              <w:spacing w:before="40" w:after="40"/>
              <w:jc w:val="right"/>
            </w:pPr>
            <w:r w:rsidRPr="001D5327">
              <w:rPr>
                <w:rFonts w:eastAsia="Calibri"/>
              </w:rPr>
              <w:t>77.9</w:t>
            </w:r>
          </w:p>
        </w:tc>
        <w:tc>
          <w:tcPr>
            <w:tcW w:w="0" w:type="auto"/>
            <w:shd w:val="clear" w:color="auto" w:fill="FFFFFF"/>
            <w:tcMar>
              <w:top w:w="0" w:type="dxa"/>
              <w:left w:w="85" w:type="dxa"/>
              <w:bottom w:w="0" w:type="dxa"/>
              <w:right w:w="85" w:type="dxa"/>
            </w:tcMar>
          </w:tcPr>
          <w:p w14:paraId="18001A44" w14:textId="77777777" w:rsidR="00BC0FD7" w:rsidRPr="001D5327" w:rsidRDefault="00BC0FD7" w:rsidP="00B53183">
            <w:pPr>
              <w:pStyle w:val="TableText"/>
              <w:spacing w:before="40" w:after="40"/>
              <w:jc w:val="right"/>
            </w:pPr>
            <w:r w:rsidRPr="001D5327">
              <w:rPr>
                <w:rFonts w:eastAsia="Calibri"/>
              </w:rPr>
              <w:t>24.1</w:t>
            </w:r>
          </w:p>
        </w:tc>
        <w:tc>
          <w:tcPr>
            <w:tcW w:w="0" w:type="auto"/>
            <w:shd w:val="clear" w:color="auto" w:fill="FFFFFF"/>
            <w:tcMar>
              <w:top w:w="0" w:type="dxa"/>
              <w:left w:w="85" w:type="dxa"/>
              <w:bottom w:w="0" w:type="dxa"/>
              <w:right w:w="85" w:type="dxa"/>
            </w:tcMar>
          </w:tcPr>
          <w:p w14:paraId="56FC64F0" w14:textId="77777777" w:rsidR="00BC0FD7" w:rsidRPr="001D5327" w:rsidRDefault="00BC0FD7" w:rsidP="00B53183">
            <w:pPr>
              <w:pStyle w:val="TableText"/>
              <w:spacing w:before="40" w:after="40"/>
              <w:jc w:val="right"/>
            </w:pPr>
            <w:r w:rsidRPr="001D5327">
              <w:rPr>
                <w:rFonts w:eastAsia="Calibri"/>
              </w:rPr>
              <w:t>9.9</w:t>
            </w:r>
          </w:p>
        </w:tc>
        <w:tc>
          <w:tcPr>
            <w:tcW w:w="0" w:type="auto"/>
            <w:shd w:val="clear" w:color="auto" w:fill="FFFFFF"/>
            <w:tcMar>
              <w:top w:w="0" w:type="dxa"/>
              <w:left w:w="85" w:type="dxa"/>
              <w:bottom w:w="0" w:type="dxa"/>
              <w:right w:w="85" w:type="dxa"/>
            </w:tcMar>
          </w:tcPr>
          <w:p w14:paraId="2BB93AE8" w14:textId="77777777" w:rsidR="00BC0FD7" w:rsidRPr="001D5327" w:rsidRDefault="00BC0FD7" w:rsidP="00B53183">
            <w:pPr>
              <w:pStyle w:val="TableText"/>
              <w:spacing w:before="40" w:after="40"/>
              <w:jc w:val="right"/>
            </w:pPr>
            <w:r w:rsidRPr="001D5327">
              <w:rPr>
                <w:rFonts w:eastAsia="Calibri"/>
              </w:rPr>
              <w:t>13.8</w:t>
            </w:r>
          </w:p>
        </w:tc>
      </w:tr>
      <w:tr w:rsidR="00BC0FD7" w:rsidRPr="001D5327" w14:paraId="42D88C11" w14:textId="77777777" w:rsidTr="00D11AC9">
        <w:tc>
          <w:tcPr>
            <w:tcW w:w="0" w:type="auto"/>
            <w:shd w:val="clear" w:color="auto" w:fill="FFFFFF"/>
            <w:tcMar>
              <w:top w:w="0" w:type="dxa"/>
              <w:left w:w="85" w:type="dxa"/>
              <w:bottom w:w="0" w:type="dxa"/>
              <w:right w:w="85" w:type="dxa"/>
            </w:tcMar>
          </w:tcPr>
          <w:p w14:paraId="66129271" w14:textId="77777777" w:rsidR="00BC0FD7" w:rsidRPr="001D5327" w:rsidRDefault="00BC0FD7" w:rsidP="00D11AC9">
            <w:pPr>
              <w:pStyle w:val="Tableboldblue"/>
            </w:pPr>
            <w:r w:rsidRPr="001D5327">
              <w:t>Waste sector total</w:t>
            </w:r>
          </w:p>
        </w:tc>
        <w:tc>
          <w:tcPr>
            <w:tcW w:w="0" w:type="auto"/>
            <w:shd w:val="clear" w:color="auto" w:fill="FFFFFF"/>
            <w:tcMar>
              <w:top w:w="0" w:type="dxa"/>
              <w:left w:w="85" w:type="dxa"/>
              <w:bottom w:w="0" w:type="dxa"/>
              <w:right w:w="85" w:type="dxa"/>
            </w:tcMar>
          </w:tcPr>
          <w:p w14:paraId="7188E804" w14:textId="15675EEF" w:rsidR="00BC0FD7" w:rsidRPr="001D5327" w:rsidRDefault="00BC0FD7" w:rsidP="00B53183">
            <w:pPr>
              <w:pStyle w:val="Tableboldblue"/>
              <w:jc w:val="right"/>
            </w:pPr>
            <w:r w:rsidRPr="001D5327">
              <w:t>3</w:t>
            </w:r>
            <w:r w:rsidR="00CB46D4">
              <w:t>,</w:t>
            </w:r>
            <w:r w:rsidRPr="001D5327">
              <w:t>277.6</w:t>
            </w:r>
          </w:p>
        </w:tc>
        <w:tc>
          <w:tcPr>
            <w:tcW w:w="0" w:type="auto"/>
            <w:shd w:val="clear" w:color="auto" w:fill="FFFFFF"/>
            <w:tcMar>
              <w:top w:w="0" w:type="dxa"/>
              <w:left w:w="85" w:type="dxa"/>
              <w:bottom w:w="0" w:type="dxa"/>
              <w:right w:w="85" w:type="dxa"/>
            </w:tcMar>
          </w:tcPr>
          <w:p w14:paraId="2C39E208" w14:textId="39B1BBFC" w:rsidR="00BC0FD7" w:rsidRPr="001D5327" w:rsidRDefault="00BC0FD7" w:rsidP="00B53183">
            <w:pPr>
              <w:pStyle w:val="Tableboldblue"/>
              <w:jc w:val="right"/>
            </w:pPr>
            <w:r w:rsidRPr="001D5327">
              <w:t>2</w:t>
            </w:r>
            <w:r w:rsidR="00CB46D4">
              <w:t>,</w:t>
            </w:r>
            <w:r w:rsidRPr="001D5327">
              <w:t>916.6</w:t>
            </w:r>
          </w:p>
        </w:tc>
        <w:tc>
          <w:tcPr>
            <w:tcW w:w="0" w:type="auto"/>
            <w:shd w:val="clear" w:color="auto" w:fill="FFFFFF"/>
            <w:tcMar>
              <w:top w:w="0" w:type="dxa"/>
              <w:left w:w="85" w:type="dxa"/>
              <w:bottom w:w="0" w:type="dxa"/>
              <w:right w:w="85" w:type="dxa"/>
            </w:tcMar>
          </w:tcPr>
          <w:p w14:paraId="43A11B0E" w14:textId="25B4507D" w:rsidR="00BC0FD7" w:rsidRPr="001D5327" w:rsidRDefault="0070503C" w:rsidP="00B53183">
            <w:pPr>
              <w:pStyle w:val="Tableboldblue"/>
              <w:jc w:val="right"/>
            </w:pPr>
            <w:r>
              <w:t>-</w:t>
            </w:r>
            <w:r w:rsidR="00BC0FD7" w:rsidRPr="001D5327">
              <w:t>361.0</w:t>
            </w:r>
          </w:p>
        </w:tc>
        <w:tc>
          <w:tcPr>
            <w:tcW w:w="0" w:type="auto"/>
            <w:shd w:val="clear" w:color="auto" w:fill="FFFFFF"/>
            <w:tcMar>
              <w:top w:w="0" w:type="dxa"/>
              <w:left w:w="85" w:type="dxa"/>
              <w:bottom w:w="0" w:type="dxa"/>
              <w:right w:w="85" w:type="dxa"/>
            </w:tcMar>
          </w:tcPr>
          <w:p w14:paraId="1697D33C" w14:textId="0DE06A7B" w:rsidR="00BC0FD7" w:rsidRPr="001D5327" w:rsidRDefault="0070503C" w:rsidP="00B53183">
            <w:pPr>
              <w:pStyle w:val="Tableboldblue"/>
              <w:jc w:val="right"/>
            </w:pPr>
            <w:r>
              <w:t>-</w:t>
            </w:r>
            <w:r w:rsidR="00BC0FD7" w:rsidRPr="001D5327">
              <w:t>11.0</w:t>
            </w:r>
          </w:p>
        </w:tc>
        <w:tc>
          <w:tcPr>
            <w:tcW w:w="0" w:type="auto"/>
            <w:shd w:val="clear" w:color="auto" w:fill="FFFFFF"/>
            <w:tcMar>
              <w:top w:w="0" w:type="dxa"/>
              <w:left w:w="85" w:type="dxa"/>
              <w:bottom w:w="0" w:type="dxa"/>
              <w:right w:w="85" w:type="dxa"/>
            </w:tcMar>
          </w:tcPr>
          <w:p w14:paraId="598F74E5" w14:textId="3C625BE6" w:rsidR="00BC0FD7" w:rsidRPr="001D5327" w:rsidRDefault="0070503C" w:rsidP="00B53183">
            <w:pPr>
              <w:pStyle w:val="Tableboldblue"/>
              <w:jc w:val="right"/>
            </w:pPr>
            <w:r>
              <w:t>-</w:t>
            </w:r>
          </w:p>
        </w:tc>
        <w:tc>
          <w:tcPr>
            <w:tcW w:w="0" w:type="auto"/>
            <w:shd w:val="clear" w:color="auto" w:fill="FFFFFF"/>
            <w:tcMar>
              <w:top w:w="0" w:type="dxa"/>
              <w:left w:w="85" w:type="dxa"/>
              <w:bottom w:w="0" w:type="dxa"/>
              <w:right w:w="85" w:type="dxa"/>
            </w:tcMar>
          </w:tcPr>
          <w:p w14:paraId="6F8455B2" w14:textId="692E7D3A" w:rsidR="00BC0FD7" w:rsidRPr="001D5327" w:rsidRDefault="0070503C" w:rsidP="00B53183">
            <w:pPr>
              <w:pStyle w:val="Tableboldblue"/>
              <w:jc w:val="right"/>
            </w:pPr>
            <w:r>
              <w:t>-</w:t>
            </w:r>
          </w:p>
        </w:tc>
      </w:tr>
    </w:tbl>
    <w:p w14:paraId="08825281" w14:textId="77777777" w:rsidR="00BC0FD7" w:rsidRPr="001D5327" w:rsidRDefault="00BC0FD7" w:rsidP="00BC0FD7">
      <w:pPr>
        <w:pStyle w:val="Noteundertable"/>
      </w:pPr>
      <w:r w:rsidRPr="001D5327">
        <w:rPr>
          <w:b/>
          <w:bCs/>
        </w:rPr>
        <w:t>Note:</w:t>
      </w:r>
      <w:r w:rsidRPr="001D5327">
        <w:t xml:space="preserve"> Percentages presented are calculated from unrounded values. Columns may not total due to rounding.</w:t>
      </w:r>
    </w:p>
    <w:p w14:paraId="0AA3C8AD" w14:textId="77777777" w:rsidR="00BC0FD7" w:rsidRPr="001D5327" w:rsidRDefault="00BC0FD7" w:rsidP="00D96935">
      <w:pPr>
        <w:pStyle w:val="Figure"/>
        <w:spacing w:before="240"/>
      </w:pPr>
      <w:bookmarkStart w:id="2813" w:name="_Toc194674879"/>
      <w:r w:rsidRPr="001D5327">
        <w:t xml:space="preserve">Figure 7.1.2 </w:t>
      </w:r>
      <w:r w:rsidRPr="001D5327">
        <w:tab/>
        <w:t xml:space="preserve">Profile of emissions from New Zealand’s Waste sector by source category from </w:t>
      </w:r>
      <w:r w:rsidRPr="001D5327">
        <w:rPr>
          <w:bCs/>
        </w:rPr>
        <w:t>1990</w:t>
      </w:r>
      <w:r w:rsidRPr="001D5327">
        <w:t> to </w:t>
      </w:r>
      <w:r w:rsidRPr="001D5327">
        <w:rPr>
          <w:bCs/>
        </w:rPr>
        <w:t>2023</w:t>
      </w:r>
      <w:bookmarkEnd w:id="2813"/>
    </w:p>
    <w:p w14:paraId="485655F6" w14:textId="77777777" w:rsidR="00BC0FD7" w:rsidRPr="001D5327" w:rsidRDefault="00BC0FD7" w:rsidP="00BC0FD7">
      <w:pPr>
        <w:pStyle w:val="BodyText"/>
      </w:pPr>
      <w:r w:rsidRPr="001D5327">
        <w:rPr>
          <w:noProof/>
        </w:rPr>
        <w:drawing>
          <wp:inline distT="0" distB="0" distL="0" distR="0" wp14:anchorId="72735A7C" wp14:editId="4E633365">
            <wp:extent cx="5418380" cy="2999015"/>
            <wp:effectExtent l="0" t="0" r="0" b="0"/>
            <wp:docPr id="778233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6">
                      <a:extLst>
                        <a:ext uri="{28A0092B-C50C-407E-A947-70E740481C1C}">
                          <a14:useLocalDpi xmlns:a14="http://schemas.microsoft.com/office/drawing/2010/main" val="0"/>
                        </a:ext>
                      </a:extLst>
                    </a:blip>
                    <a:srcRect t="2265" b="8590"/>
                    <a:stretch/>
                  </pic:blipFill>
                  <pic:spPr bwMode="auto">
                    <a:xfrm>
                      <a:off x="0" y="0"/>
                      <a:ext cx="5445684" cy="3014128"/>
                    </a:xfrm>
                    <a:prstGeom prst="rect">
                      <a:avLst/>
                    </a:prstGeom>
                    <a:noFill/>
                    <a:ln>
                      <a:noFill/>
                    </a:ln>
                    <a:extLst>
                      <a:ext uri="{53640926-AAD7-44D8-BBD7-CCE9431645EC}">
                        <a14:shadowObscured xmlns:a14="http://schemas.microsoft.com/office/drawing/2010/main"/>
                      </a:ext>
                    </a:extLst>
                  </pic:spPr>
                </pic:pic>
              </a:graphicData>
            </a:graphic>
          </wp:inline>
        </w:drawing>
      </w:r>
    </w:p>
    <w:p w14:paraId="332C924A" w14:textId="77777777" w:rsidR="00BC0FD7" w:rsidRPr="001D5327" w:rsidRDefault="00BC0FD7" w:rsidP="00BC0FD7">
      <w:pPr>
        <w:pStyle w:val="Figure"/>
        <w:spacing w:after="80"/>
      </w:pPr>
      <w:bookmarkStart w:id="2814" w:name="_Toc194674880"/>
      <w:r w:rsidRPr="001D5327">
        <w:lastRenderedPageBreak/>
        <w:t xml:space="preserve">Figure 7.1.3 </w:t>
      </w:r>
      <w:r w:rsidRPr="001D5327">
        <w:tab/>
        <w:t xml:space="preserve">New Zealand’s emissions from the Waste sector by source category, from </w:t>
      </w:r>
      <w:r w:rsidRPr="001D5327">
        <w:rPr>
          <w:bCs/>
        </w:rPr>
        <w:t>1990</w:t>
      </w:r>
      <w:r w:rsidRPr="001D5327">
        <w:t> to </w:t>
      </w:r>
      <w:r w:rsidRPr="001D5327">
        <w:rPr>
          <w:bCs/>
        </w:rPr>
        <w:t>2023</w:t>
      </w:r>
      <w:bookmarkEnd w:id="2814"/>
    </w:p>
    <w:p w14:paraId="4FF4E524" w14:textId="77777777" w:rsidR="00BC0FD7" w:rsidRPr="001D5327" w:rsidRDefault="00BC0FD7" w:rsidP="00BC0FD7">
      <w:pPr>
        <w:pStyle w:val="BodyText"/>
        <w:spacing w:after="0"/>
        <w:jc w:val="center"/>
      </w:pPr>
      <w:bookmarkStart w:id="2815" w:name="Xfa42449e806fcf6a112d3c25ee820409e286d8a"/>
      <w:r w:rsidRPr="001D5327">
        <w:rPr>
          <w:noProof/>
        </w:rPr>
        <w:drawing>
          <wp:inline distT="0" distB="0" distL="0" distR="0" wp14:anchorId="4EB77658" wp14:editId="40DFF9ED">
            <wp:extent cx="5092700" cy="3606800"/>
            <wp:effectExtent l="0" t="0" r="8255" b="4445"/>
            <wp:docPr id="33" name="Picture" descr="A graph with text and numbers&#10;&#10;AI-generated content may be incorrect."/>
            <wp:cNvGraphicFramePr/>
            <a:graphic xmlns:a="http://schemas.openxmlformats.org/drawingml/2006/main">
              <a:graphicData uri="http://schemas.openxmlformats.org/drawingml/2006/picture">
                <pic:pic xmlns:pic="http://schemas.openxmlformats.org/drawingml/2006/picture">
                  <pic:nvPicPr>
                    <pic:cNvPr id="33" name="Picture" descr="A graph with text and numbers&#10;&#10;AI-generated content may be incorrect."/>
                    <pic:cNvPicPr>
                      <a:picLocks noChangeAspect="1" noChangeArrowheads="1"/>
                    </pic:cNvPicPr>
                  </pic:nvPicPr>
                  <pic:blipFill rotWithShape="1">
                    <a:blip r:embed="rId227"/>
                    <a:srcRect b="1082"/>
                    <a:stretch/>
                  </pic:blipFill>
                  <pic:spPr bwMode="auto">
                    <a:xfrm>
                      <a:off x="0" y="0"/>
                      <a:ext cx="5092700" cy="3606800"/>
                    </a:xfrm>
                    <a:prstGeom prst="rect">
                      <a:avLst/>
                    </a:prstGeom>
                    <a:noFill/>
                    <a:ln>
                      <a:noFill/>
                    </a:ln>
                    <a:extLst>
                      <a:ext uri="{53640926-AAD7-44D8-BBD7-CCE9431645EC}">
                        <a14:shadowObscured xmlns:a14="http://schemas.microsoft.com/office/drawing/2010/main"/>
                      </a:ext>
                    </a:extLst>
                  </pic:spPr>
                </pic:pic>
              </a:graphicData>
            </a:graphic>
          </wp:inline>
        </w:drawing>
      </w:r>
    </w:p>
    <w:p w14:paraId="01078221" w14:textId="77777777" w:rsidR="00BC0FD7" w:rsidRPr="001D5327" w:rsidRDefault="00BC0FD7" w:rsidP="00BC0FD7">
      <w:pPr>
        <w:pStyle w:val="Heading3"/>
      </w:pPr>
      <w:r w:rsidRPr="001D5327">
        <w:t xml:space="preserve">7.1.3 </w:t>
      </w:r>
      <w:r w:rsidRPr="001D5327">
        <w:tab/>
        <w:t>Key categories for Waste sector emissions</w:t>
      </w:r>
    </w:p>
    <w:p w14:paraId="1817DC9F" w14:textId="77777777" w:rsidR="00BC0FD7" w:rsidRPr="001D5327" w:rsidRDefault="00BC0FD7" w:rsidP="00BC0FD7">
      <w:pPr>
        <w:pStyle w:val="BodyText"/>
      </w:pPr>
      <w:r w:rsidRPr="001D5327">
        <w:t>Details of New Zealand’s key category analysis are in chapter 1, section 1.4. The key categories in the Waste sector are listed in table 7.1.2.</w:t>
      </w:r>
    </w:p>
    <w:p w14:paraId="66776ED1" w14:textId="77777777" w:rsidR="00BC0FD7" w:rsidRPr="001D5327" w:rsidRDefault="00BC0FD7" w:rsidP="00BC0FD7">
      <w:pPr>
        <w:pStyle w:val="Table"/>
      </w:pPr>
      <w:bookmarkStart w:id="2816" w:name="_Toc194241798"/>
      <w:r w:rsidRPr="001D5327">
        <w:t xml:space="preserve">Table 7.1.2 </w:t>
      </w:r>
      <w:r w:rsidRPr="001D5327">
        <w:tab/>
        <w:t>Key categories in the Waste sector</w:t>
      </w:r>
      <w:bookmarkEnd w:id="2816"/>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702"/>
        <w:gridCol w:w="4053"/>
        <w:gridCol w:w="509"/>
        <w:gridCol w:w="2230"/>
      </w:tblGrid>
      <w:tr w:rsidR="00BC0FD7" w:rsidRPr="001D5327" w14:paraId="4E8E503D" w14:textId="77777777" w:rsidTr="00D11AC9">
        <w:trPr>
          <w:tblHeader/>
        </w:trPr>
        <w:tc>
          <w:tcPr>
            <w:tcW w:w="0" w:type="auto"/>
            <w:shd w:val="clear" w:color="auto" w:fill="1B556B"/>
            <w:tcMar>
              <w:top w:w="0" w:type="dxa"/>
              <w:left w:w="85" w:type="dxa"/>
              <w:bottom w:w="0" w:type="dxa"/>
              <w:right w:w="85" w:type="dxa"/>
            </w:tcMar>
            <w:vAlign w:val="center"/>
          </w:tcPr>
          <w:p w14:paraId="0EE32FF8"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CRF category code</w:t>
            </w:r>
          </w:p>
        </w:tc>
        <w:tc>
          <w:tcPr>
            <w:tcW w:w="0" w:type="auto"/>
            <w:shd w:val="clear" w:color="auto" w:fill="1B556B"/>
            <w:tcMar>
              <w:top w:w="0" w:type="dxa"/>
              <w:left w:w="85" w:type="dxa"/>
              <w:bottom w:w="0" w:type="dxa"/>
              <w:right w:w="85" w:type="dxa"/>
            </w:tcMar>
            <w:vAlign w:val="center"/>
          </w:tcPr>
          <w:p w14:paraId="3CB3E568"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IPCC category</w:t>
            </w:r>
          </w:p>
        </w:tc>
        <w:tc>
          <w:tcPr>
            <w:tcW w:w="0" w:type="auto"/>
            <w:shd w:val="clear" w:color="auto" w:fill="1B556B"/>
            <w:tcMar>
              <w:top w:w="0" w:type="dxa"/>
              <w:left w:w="85" w:type="dxa"/>
              <w:bottom w:w="0" w:type="dxa"/>
              <w:right w:w="85" w:type="dxa"/>
            </w:tcMar>
            <w:vAlign w:val="center"/>
          </w:tcPr>
          <w:p w14:paraId="5C7495FB"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Gas</w:t>
            </w:r>
          </w:p>
        </w:tc>
        <w:tc>
          <w:tcPr>
            <w:tcW w:w="0" w:type="auto"/>
            <w:shd w:val="clear" w:color="auto" w:fill="1B556B"/>
            <w:tcMar>
              <w:top w:w="0" w:type="dxa"/>
              <w:left w:w="85" w:type="dxa"/>
              <w:bottom w:w="0" w:type="dxa"/>
              <w:right w:w="85" w:type="dxa"/>
            </w:tcMar>
            <w:vAlign w:val="center"/>
          </w:tcPr>
          <w:p w14:paraId="7FAA97CB"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Criteria for identification</w:t>
            </w:r>
          </w:p>
        </w:tc>
      </w:tr>
      <w:tr w:rsidR="00BC0FD7" w:rsidRPr="001D5327" w14:paraId="178157BD" w14:textId="77777777" w:rsidTr="00D11AC9">
        <w:tc>
          <w:tcPr>
            <w:tcW w:w="0" w:type="auto"/>
            <w:shd w:val="clear" w:color="auto" w:fill="FFFFFF"/>
            <w:tcMar>
              <w:top w:w="0" w:type="dxa"/>
              <w:left w:w="85" w:type="dxa"/>
              <w:bottom w:w="0" w:type="dxa"/>
              <w:right w:w="85" w:type="dxa"/>
            </w:tcMar>
          </w:tcPr>
          <w:p w14:paraId="44A919FD" w14:textId="77777777" w:rsidR="00BC0FD7" w:rsidRPr="001D5327" w:rsidRDefault="00BC0FD7" w:rsidP="00D11AC9">
            <w:pPr>
              <w:pStyle w:val="TableText"/>
              <w:spacing w:before="40" w:after="40"/>
            </w:pPr>
            <w:r w:rsidRPr="001D5327">
              <w:t>5.A.</w:t>
            </w:r>
          </w:p>
        </w:tc>
        <w:tc>
          <w:tcPr>
            <w:tcW w:w="0" w:type="auto"/>
            <w:shd w:val="clear" w:color="auto" w:fill="FFFFFF"/>
            <w:tcMar>
              <w:top w:w="0" w:type="dxa"/>
              <w:left w:w="85" w:type="dxa"/>
              <w:bottom w:w="0" w:type="dxa"/>
              <w:right w:w="85" w:type="dxa"/>
            </w:tcMar>
          </w:tcPr>
          <w:p w14:paraId="2656D2FB" w14:textId="6316E66A" w:rsidR="00BC0FD7" w:rsidRPr="001D5327" w:rsidRDefault="00BC0FD7" w:rsidP="00D11AC9">
            <w:pPr>
              <w:pStyle w:val="TableText"/>
              <w:spacing w:before="40" w:after="40"/>
            </w:pPr>
            <w:r w:rsidRPr="001D5327">
              <w:t xml:space="preserve">Waste </w:t>
            </w:r>
            <w:r w:rsidR="00AF1F4D" w:rsidRPr="001D5327">
              <w:t>–</w:t>
            </w:r>
            <w:r w:rsidRPr="001D5327">
              <w:t xml:space="preserve"> Solid waste disposal</w:t>
            </w:r>
          </w:p>
        </w:tc>
        <w:tc>
          <w:tcPr>
            <w:tcW w:w="0" w:type="auto"/>
            <w:shd w:val="clear" w:color="auto" w:fill="FFFFFF"/>
            <w:tcMar>
              <w:top w:w="0" w:type="dxa"/>
              <w:left w:w="85" w:type="dxa"/>
              <w:bottom w:w="0" w:type="dxa"/>
              <w:right w:w="85" w:type="dxa"/>
            </w:tcMar>
          </w:tcPr>
          <w:p w14:paraId="6BE8B961" w14:textId="77777777" w:rsidR="00BC0FD7" w:rsidRPr="001D5327" w:rsidRDefault="00BC0FD7" w:rsidP="00D11AC9">
            <w:pPr>
              <w:pStyle w:val="TableText"/>
              <w:spacing w:before="40" w:after="40"/>
            </w:pPr>
            <w:r w:rsidRPr="001D5327">
              <w:t>CH</w:t>
            </w:r>
            <w:r w:rsidRPr="001D5327">
              <w:rPr>
                <w:vertAlign w:val="subscript"/>
              </w:rPr>
              <w:t>4</w:t>
            </w:r>
          </w:p>
        </w:tc>
        <w:tc>
          <w:tcPr>
            <w:tcW w:w="0" w:type="auto"/>
            <w:shd w:val="clear" w:color="auto" w:fill="FFFFFF"/>
            <w:tcMar>
              <w:top w:w="0" w:type="dxa"/>
              <w:left w:w="85" w:type="dxa"/>
              <w:bottom w:w="0" w:type="dxa"/>
              <w:right w:w="85" w:type="dxa"/>
            </w:tcMar>
          </w:tcPr>
          <w:p w14:paraId="5A1CA20B" w14:textId="77777777" w:rsidR="00BC0FD7" w:rsidRPr="001D5327" w:rsidRDefault="00BC0FD7" w:rsidP="00D11AC9">
            <w:pPr>
              <w:pStyle w:val="TableText"/>
              <w:spacing w:before="40" w:after="40"/>
            </w:pPr>
            <w:r w:rsidRPr="001D5327">
              <w:t>L1, T1</w:t>
            </w:r>
          </w:p>
        </w:tc>
      </w:tr>
      <w:tr w:rsidR="00BC0FD7" w:rsidRPr="001D5327" w14:paraId="1859F6BF" w14:textId="77777777" w:rsidTr="00D11AC9">
        <w:tc>
          <w:tcPr>
            <w:tcW w:w="0" w:type="auto"/>
            <w:shd w:val="clear" w:color="auto" w:fill="FFFFFF"/>
            <w:tcMar>
              <w:top w:w="0" w:type="dxa"/>
              <w:left w:w="85" w:type="dxa"/>
              <w:bottom w:w="0" w:type="dxa"/>
              <w:right w:w="85" w:type="dxa"/>
            </w:tcMar>
          </w:tcPr>
          <w:p w14:paraId="580FBC09" w14:textId="77777777" w:rsidR="00BC0FD7" w:rsidRPr="001D5327" w:rsidRDefault="00BC0FD7" w:rsidP="00D11AC9">
            <w:pPr>
              <w:pStyle w:val="TableText"/>
              <w:spacing w:before="40" w:after="40"/>
            </w:pPr>
            <w:r w:rsidRPr="001D5327">
              <w:t>5.C.</w:t>
            </w:r>
          </w:p>
        </w:tc>
        <w:tc>
          <w:tcPr>
            <w:tcW w:w="0" w:type="auto"/>
            <w:shd w:val="clear" w:color="auto" w:fill="FFFFFF"/>
            <w:tcMar>
              <w:top w:w="0" w:type="dxa"/>
              <w:left w:w="85" w:type="dxa"/>
              <w:bottom w:w="0" w:type="dxa"/>
              <w:right w:w="85" w:type="dxa"/>
            </w:tcMar>
          </w:tcPr>
          <w:p w14:paraId="6EAD7EF5" w14:textId="09F2AAB6" w:rsidR="00BC0FD7" w:rsidRPr="001D5327" w:rsidRDefault="00BC0FD7" w:rsidP="00D11AC9">
            <w:pPr>
              <w:pStyle w:val="TableText"/>
              <w:spacing w:before="40" w:after="40"/>
            </w:pPr>
            <w:r w:rsidRPr="001D5327">
              <w:t xml:space="preserve">Waste </w:t>
            </w:r>
            <w:r w:rsidR="00AF1F4D" w:rsidRPr="001D5327">
              <w:t>–</w:t>
            </w:r>
            <w:r w:rsidRPr="001D5327">
              <w:t xml:space="preserve"> Incineration and open burning of waste</w:t>
            </w:r>
          </w:p>
        </w:tc>
        <w:tc>
          <w:tcPr>
            <w:tcW w:w="0" w:type="auto"/>
            <w:shd w:val="clear" w:color="auto" w:fill="FFFFFF"/>
            <w:tcMar>
              <w:top w:w="0" w:type="dxa"/>
              <w:left w:w="85" w:type="dxa"/>
              <w:bottom w:w="0" w:type="dxa"/>
              <w:right w:w="85" w:type="dxa"/>
            </w:tcMar>
          </w:tcPr>
          <w:p w14:paraId="10EC671B" w14:textId="77777777" w:rsidR="00BC0FD7" w:rsidRPr="001D5327" w:rsidRDefault="00BC0FD7" w:rsidP="00D11AC9">
            <w:pPr>
              <w:pStyle w:val="TableText"/>
              <w:spacing w:before="40" w:after="40"/>
            </w:pPr>
            <w:r w:rsidRPr="001D5327">
              <w:t>CO</w:t>
            </w:r>
            <w:r w:rsidRPr="001D5327">
              <w:rPr>
                <w:vertAlign w:val="subscript"/>
              </w:rPr>
              <w:t>2</w:t>
            </w:r>
          </w:p>
        </w:tc>
        <w:tc>
          <w:tcPr>
            <w:tcW w:w="0" w:type="auto"/>
            <w:shd w:val="clear" w:color="auto" w:fill="FFFFFF"/>
            <w:tcMar>
              <w:top w:w="0" w:type="dxa"/>
              <w:left w:w="85" w:type="dxa"/>
              <w:bottom w:w="0" w:type="dxa"/>
              <w:right w:w="85" w:type="dxa"/>
            </w:tcMar>
          </w:tcPr>
          <w:p w14:paraId="583C3213" w14:textId="77777777" w:rsidR="00BC0FD7" w:rsidRPr="001D5327" w:rsidRDefault="00BC0FD7" w:rsidP="00D11AC9">
            <w:pPr>
              <w:pStyle w:val="TableText"/>
              <w:spacing w:before="40" w:after="40"/>
            </w:pPr>
            <w:r w:rsidRPr="001D5327">
              <w:t>T1</w:t>
            </w:r>
          </w:p>
        </w:tc>
      </w:tr>
      <w:tr w:rsidR="00BC0FD7" w:rsidRPr="001D5327" w14:paraId="50698970" w14:textId="77777777" w:rsidTr="00D11AC9">
        <w:tc>
          <w:tcPr>
            <w:tcW w:w="0" w:type="auto"/>
            <w:shd w:val="clear" w:color="auto" w:fill="FFFFFF"/>
            <w:tcMar>
              <w:top w:w="0" w:type="dxa"/>
              <w:left w:w="85" w:type="dxa"/>
              <w:bottom w:w="0" w:type="dxa"/>
              <w:right w:w="85" w:type="dxa"/>
            </w:tcMar>
          </w:tcPr>
          <w:p w14:paraId="4E5BA9D2" w14:textId="77777777" w:rsidR="00BC0FD7" w:rsidRPr="001D5327" w:rsidRDefault="00BC0FD7" w:rsidP="00D11AC9">
            <w:pPr>
              <w:pStyle w:val="TableText"/>
              <w:spacing w:before="40" w:after="40"/>
            </w:pPr>
            <w:r w:rsidRPr="001D5327">
              <w:t>5.D.</w:t>
            </w:r>
          </w:p>
        </w:tc>
        <w:tc>
          <w:tcPr>
            <w:tcW w:w="0" w:type="auto"/>
            <w:shd w:val="clear" w:color="auto" w:fill="FFFFFF"/>
            <w:tcMar>
              <w:top w:w="0" w:type="dxa"/>
              <w:left w:w="85" w:type="dxa"/>
              <w:bottom w:w="0" w:type="dxa"/>
              <w:right w:w="85" w:type="dxa"/>
            </w:tcMar>
          </w:tcPr>
          <w:p w14:paraId="2D8EAC1D" w14:textId="349D13E9" w:rsidR="00BC0FD7" w:rsidRPr="001D5327" w:rsidRDefault="00BC0FD7" w:rsidP="00D11AC9">
            <w:pPr>
              <w:pStyle w:val="TableText"/>
              <w:spacing w:before="40" w:after="40"/>
            </w:pPr>
            <w:r w:rsidRPr="001D5327">
              <w:t xml:space="preserve">Waste </w:t>
            </w:r>
            <w:r w:rsidR="00AF1F4D" w:rsidRPr="001D5327">
              <w:t>–</w:t>
            </w:r>
            <w:r w:rsidRPr="001D5327">
              <w:t xml:space="preserve"> Wastewater treatment and discharge</w:t>
            </w:r>
          </w:p>
        </w:tc>
        <w:tc>
          <w:tcPr>
            <w:tcW w:w="0" w:type="auto"/>
            <w:shd w:val="clear" w:color="auto" w:fill="FFFFFF"/>
            <w:tcMar>
              <w:top w:w="0" w:type="dxa"/>
              <w:left w:w="85" w:type="dxa"/>
              <w:bottom w:w="0" w:type="dxa"/>
              <w:right w:w="85" w:type="dxa"/>
            </w:tcMar>
          </w:tcPr>
          <w:p w14:paraId="556DB1AC" w14:textId="77777777" w:rsidR="00BC0FD7" w:rsidRPr="001D5327" w:rsidRDefault="00BC0FD7" w:rsidP="00D11AC9">
            <w:pPr>
              <w:pStyle w:val="TableText"/>
              <w:spacing w:before="40" w:after="40"/>
            </w:pPr>
            <w:r w:rsidRPr="001D5327">
              <w:t>CH</w:t>
            </w:r>
            <w:r w:rsidRPr="001D5327">
              <w:rPr>
                <w:vertAlign w:val="subscript"/>
              </w:rPr>
              <w:t>4</w:t>
            </w:r>
          </w:p>
        </w:tc>
        <w:tc>
          <w:tcPr>
            <w:tcW w:w="0" w:type="auto"/>
            <w:shd w:val="clear" w:color="auto" w:fill="FFFFFF"/>
            <w:tcMar>
              <w:top w:w="0" w:type="dxa"/>
              <w:left w:w="85" w:type="dxa"/>
              <w:bottom w:w="0" w:type="dxa"/>
              <w:right w:w="85" w:type="dxa"/>
            </w:tcMar>
          </w:tcPr>
          <w:p w14:paraId="6C45E4DB" w14:textId="77777777" w:rsidR="00BC0FD7" w:rsidRPr="001D5327" w:rsidRDefault="00BC0FD7" w:rsidP="00D11AC9">
            <w:pPr>
              <w:pStyle w:val="TableText"/>
              <w:spacing w:before="40" w:after="40"/>
            </w:pPr>
            <w:r w:rsidRPr="001D5327">
              <w:t>L1</w:t>
            </w:r>
          </w:p>
        </w:tc>
      </w:tr>
    </w:tbl>
    <w:p w14:paraId="7BCA6C78" w14:textId="77777777" w:rsidR="00BC0FD7" w:rsidRPr="001D5327" w:rsidRDefault="00BC0FD7" w:rsidP="00BC0FD7">
      <w:pPr>
        <w:pStyle w:val="Noteundertable"/>
      </w:pPr>
      <w:r w:rsidRPr="001D5327">
        <w:rPr>
          <w:b/>
          <w:bCs/>
        </w:rPr>
        <w:t>Note:</w:t>
      </w:r>
      <w:r w:rsidRPr="001D5327">
        <w:t xml:space="preserve"> </w:t>
      </w:r>
      <w:r w:rsidRPr="001D5327">
        <w:tab/>
        <w:t>L1 means a key category is identified under the level analysis – approach 1, and T1 is trend analysis – approach 1. See chapter 1, for more information.</w:t>
      </w:r>
    </w:p>
    <w:p w14:paraId="1FB02F2E" w14:textId="77777777" w:rsidR="00BC0FD7" w:rsidRPr="001D5327" w:rsidRDefault="00BC0FD7" w:rsidP="00BC0FD7">
      <w:pPr>
        <w:pStyle w:val="Heading3"/>
        <w:spacing w:before="240"/>
      </w:pPr>
      <w:bookmarkStart w:id="2817" w:name="X3d7ebec223af44d93c735d31f59b1b4f613c843"/>
      <w:bookmarkEnd w:id="2815"/>
      <w:r w:rsidRPr="001D5327">
        <w:t xml:space="preserve">7.1.4 </w:t>
      </w:r>
      <w:r w:rsidRPr="001D5327">
        <w:tab/>
        <w:t>Methodological issues for the Waste sector</w:t>
      </w:r>
    </w:p>
    <w:p w14:paraId="450ECDA7" w14:textId="77777777" w:rsidR="00BC0FD7" w:rsidRPr="001D5327" w:rsidRDefault="00BC0FD7" w:rsidP="00BC0FD7">
      <w:pPr>
        <w:pStyle w:val="BodyText"/>
      </w:pPr>
      <w:r w:rsidRPr="001D5327">
        <w:t xml:space="preserve">New Zealand uses Tier 2 methodologies for estimating emissions from the </w:t>
      </w:r>
      <w:r w:rsidRPr="001D5327">
        <w:rPr>
          <w:i/>
          <w:iCs/>
        </w:rPr>
        <w:t>Solid waste disposal </w:t>
      </w:r>
      <w:r w:rsidRPr="00437374">
        <w:t>source</w:t>
      </w:r>
      <w:r w:rsidRPr="001D5327">
        <w:t xml:space="preserve"> category, which is a key category, and for some wastewater emissions. Tier 1 methodologies are used to estimate other emissions from the Waste sector.</w:t>
      </w:r>
    </w:p>
    <w:p w14:paraId="63F4669E" w14:textId="77777777" w:rsidR="00BC0FD7" w:rsidRPr="001D5327" w:rsidRDefault="00BC0FD7" w:rsidP="00BC0FD7">
      <w:pPr>
        <w:pStyle w:val="BodyText"/>
      </w:pPr>
      <w:r w:rsidRPr="001D5327">
        <w:t>Activity data have come from a variety of sources. Municipal solid waste disposal data were obtained from mandatory reporting under the Waste Minimisation Act 2008 and the NZ ETS for the years available (2010 onwards). Non-municipal waste disposal data were also derived from mandatory reporting under the Act from 2022 onwards. For all other sources, activity data were collected through targeted surveys. Interpolation based on gross domestic product (GDP) or population is used for other years.</w:t>
      </w:r>
    </w:p>
    <w:p w14:paraId="3211AB44" w14:textId="77777777" w:rsidR="00BC0FD7" w:rsidRPr="001D5327" w:rsidRDefault="00BC0FD7" w:rsidP="00BC0FD7">
      <w:pPr>
        <w:pStyle w:val="BodyText"/>
      </w:pPr>
      <w:r w:rsidRPr="001D5327">
        <w:t>Human population and animal production statistics provided by Stats NZ are also used for estimating emissions from the Waste sector.</w:t>
      </w:r>
    </w:p>
    <w:p w14:paraId="6AE430CF" w14:textId="77777777" w:rsidR="00BC0FD7" w:rsidRPr="001D5327" w:rsidRDefault="00BC0FD7" w:rsidP="00BC0FD7">
      <w:pPr>
        <w:pStyle w:val="BodyText"/>
        <w:spacing w:before="100" w:after="100"/>
      </w:pPr>
      <w:r w:rsidRPr="001D5327">
        <w:lastRenderedPageBreak/>
        <w:t>Country-specific emission factors have been used where available, including parameters for municipal waste (Eunomia, unpublished(a)) and for treatment of some types of industrial wastewater (Cardno, unpublished).</w:t>
      </w:r>
    </w:p>
    <w:p w14:paraId="4F315E9F" w14:textId="77777777" w:rsidR="00BC0FD7" w:rsidRPr="001D5327" w:rsidRDefault="00BC0FD7" w:rsidP="00537FA1">
      <w:pPr>
        <w:pStyle w:val="BodyText"/>
        <w:spacing w:before="40" w:after="100"/>
      </w:pPr>
      <w:r w:rsidRPr="001D5327">
        <w:t>Specific methodological issues are discussed under each source category in this chapter.</w:t>
      </w:r>
    </w:p>
    <w:bookmarkEnd w:id="2817"/>
    <w:p w14:paraId="3407E97B" w14:textId="77777777" w:rsidR="00BC0FD7" w:rsidRPr="001D5327" w:rsidRDefault="00BC0FD7" w:rsidP="002603A7">
      <w:pPr>
        <w:pStyle w:val="Heading3"/>
        <w:spacing w:before="180"/>
      </w:pPr>
      <w:r w:rsidRPr="001D5327">
        <w:t xml:space="preserve">7.1.5 </w:t>
      </w:r>
      <w:r w:rsidRPr="001D5327">
        <w:tab/>
        <w:t>Uncertainties</w:t>
      </w:r>
    </w:p>
    <w:p w14:paraId="2E94E6DB" w14:textId="77777777" w:rsidR="00BC0FD7" w:rsidRPr="001D5327" w:rsidRDefault="00BC0FD7" w:rsidP="00BC0FD7">
      <w:pPr>
        <w:pStyle w:val="BodyText"/>
        <w:spacing w:before="100" w:after="100"/>
      </w:pPr>
      <w:r w:rsidRPr="001D5327">
        <w:t xml:space="preserve">The uncertainties for emission estimates are discussed under each category in this chapter. For </w:t>
      </w:r>
      <w:r w:rsidRPr="001D5327">
        <w:rPr>
          <w:spacing w:val="-2"/>
        </w:rPr>
        <w:t>most sources, they conform to the default scale of uncertainties in the 2006 Intergovernmental</w:t>
      </w:r>
      <w:r w:rsidRPr="001D5327">
        <w:t xml:space="preserve"> Panel on Climate Change (IPCC) Guidelines (IPCC, 2006a). Higher uncertainties are reported for wastewater going into rivers and seawater due to uncertainty in the emission factors associated with indirect N</w:t>
      </w:r>
      <w:r w:rsidRPr="001D5327">
        <w:rPr>
          <w:vertAlign w:val="subscript"/>
        </w:rPr>
        <w:t>2</w:t>
      </w:r>
      <w:r w:rsidRPr="001D5327">
        <w:t>O emissions.</w:t>
      </w:r>
    </w:p>
    <w:p w14:paraId="21692ADD" w14:textId="77777777" w:rsidR="00BC0FD7" w:rsidRPr="001D5327" w:rsidRDefault="00BC0FD7" w:rsidP="002603A7">
      <w:pPr>
        <w:pStyle w:val="Heading3"/>
        <w:spacing w:before="180"/>
      </w:pPr>
      <w:r w:rsidRPr="001D5327">
        <w:t xml:space="preserve">7.1.6 </w:t>
      </w:r>
      <w:r w:rsidRPr="001D5327">
        <w:tab/>
        <w:t>Verification</w:t>
      </w:r>
    </w:p>
    <w:p w14:paraId="5A9E28D0" w14:textId="04C4730B" w:rsidR="00BC0FD7" w:rsidRPr="001D5327" w:rsidRDefault="00BC0FD7" w:rsidP="00BC0FD7">
      <w:pPr>
        <w:pStyle w:val="BodyText"/>
        <w:spacing w:before="100" w:after="100"/>
      </w:pPr>
      <w:r w:rsidRPr="001D5327">
        <w:t>Where available, data from different sources were used for verification. All municipal and non</w:t>
      </w:r>
      <w:r w:rsidR="00AF1F4D" w:rsidRPr="001D5327">
        <w:noBreakHyphen/>
      </w:r>
      <w:r w:rsidRPr="001D5327">
        <w:t>municipal landfills report their activity data either monthly, quarterly or annually under the requirements of the Waste Minimisation Act 2008. In addition, most municipal landfills also report activity data and estimated emissions (by mass balance) under the NZ ETS. These data sources are used as primary sources or for verification, as appropriate.</w:t>
      </w:r>
    </w:p>
    <w:p w14:paraId="0090AD2D" w14:textId="77777777" w:rsidR="00BC0FD7" w:rsidRPr="001D5327" w:rsidRDefault="00BC0FD7" w:rsidP="002603A7">
      <w:pPr>
        <w:pStyle w:val="Heading3"/>
        <w:spacing w:before="180"/>
      </w:pPr>
      <w:r w:rsidRPr="001D5327">
        <w:t xml:space="preserve">7.1.7 </w:t>
      </w:r>
      <w:r w:rsidRPr="001D5327">
        <w:tab/>
        <w:t>Recalculations and improvements</w:t>
      </w:r>
    </w:p>
    <w:p w14:paraId="49504341" w14:textId="6223E589" w:rsidR="00BC0FD7" w:rsidRPr="001D5327" w:rsidRDefault="00BC0FD7" w:rsidP="00BC0FD7">
      <w:pPr>
        <w:pStyle w:val="BodyText"/>
        <w:spacing w:after="100"/>
      </w:pPr>
      <w:r w:rsidRPr="001D5327">
        <w:t>Improvements and recalculations made to estimates in the Waste sector have resulted in</w:t>
      </w:r>
      <w:r w:rsidR="00CF401F" w:rsidRPr="001D5327">
        <w:t> </w:t>
      </w:r>
      <w:r w:rsidRPr="001D5327">
        <w:t>a</w:t>
      </w:r>
      <w:r w:rsidR="00CF401F" w:rsidRPr="001D5327">
        <w:t> </w:t>
      </w:r>
      <w:r w:rsidRPr="001D5327">
        <w:t>24.8 per cent (1,079.2 kt CO</w:t>
      </w:r>
      <w:r w:rsidRPr="001D5327">
        <w:rPr>
          <w:vertAlign w:val="subscript"/>
        </w:rPr>
        <w:t>2</w:t>
      </w:r>
      <w:r w:rsidRPr="001D5327">
        <w:t>-e) decrease in emissions in 1990 and a 15.9 per cent (555.6 kt</w:t>
      </w:r>
      <w:r w:rsidR="00CF401F" w:rsidRPr="001D5327">
        <w:t> </w:t>
      </w:r>
      <w:r w:rsidRPr="001D5327">
        <w:t>CO</w:t>
      </w:r>
      <w:r w:rsidRPr="001D5327">
        <w:rPr>
          <w:vertAlign w:val="subscript"/>
        </w:rPr>
        <w:t>2</w:t>
      </w:r>
      <w:r w:rsidRPr="001D5327">
        <w:t>-e) decrease in emissions in 2022.</w:t>
      </w:r>
    </w:p>
    <w:p w14:paraId="2730FF64" w14:textId="77777777" w:rsidR="00BC0FD7" w:rsidRPr="001D5327" w:rsidRDefault="00BC0FD7" w:rsidP="00BC0FD7">
      <w:pPr>
        <w:pStyle w:val="BodyText"/>
        <w:spacing w:after="100"/>
        <w:rPr>
          <w:lang w:eastAsia="en-US"/>
        </w:rPr>
      </w:pPr>
      <w:r w:rsidRPr="001D5327">
        <w:rPr>
          <w:lang w:eastAsia="en-US"/>
        </w:rPr>
        <w:t>For the 2025 submission, three source categories have undergone significant updates:</w:t>
      </w:r>
    </w:p>
    <w:p w14:paraId="1DC2580D" w14:textId="19175C78" w:rsidR="00BC0FD7" w:rsidRPr="001D5327" w:rsidRDefault="00BC0FD7" w:rsidP="00BC0FD7">
      <w:pPr>
        <w:pStyle w:val="Bullet"/>
        <w:spacing w:after="100"/>
        <w:rPr>
          <w:lang w:eastAsia="en-US"/>
        </w:rPr>
      </w:pPr>
      <w:r w:rsidRPr="001D5327">
        <w:rPr>
          <w:i/>
          <w:iCs/>
          <w:lang w:eastAsia="en-US"/>
        </w:rPr>
        <w:t>Managed waste disposal sites</w:t>
      </w:r>
      <w:r w:rsidRPr="0043609B">
        <w:rPr>
          <w:i/>
          <w:iCs/>
          <w:lang w:eastAsia="en-US"/>
        </w:rPr>
        <w:t xml:space="preserve"> </w:t>
      </w:r>
      <w:r w:rsidR="0043609B" w:rsidRPr="0043609B">
        <w:rPr>
          <w:i/>
          <w:iCs/>
          <w:lang w:eastAsia="en-US"/>
        </w:rPr>
        <w:t xml:space="preserve">– Anaerobic </w:t>
      </w:r>
      <w:r w:rsidRPr="001D5327">
        <w:rPr>
          <w:lang w:eastAsia="en-US"/>
        </w:rPr>
        <w:t>(5.A.1): Updates have been made to emission factors and parameters, incorporating revised data on waste composition, the fraction of CH</w:t>
      </w:r>
      <w:r w:rsidRPr="001D5327">
        <w:rPr>
          <w:vertAlign w:val="subscript"/>
          <w:lang w:eastAsia="en-US"/>
        </w:rPr>
        <w:t>4</w:t>
      </w:r>
      <w:r w:rsidRPr="001D5327">
        <w:rPr>
          <w:lang w:eastAsia="en-US"/>
        </w:rPr>
        <w:t xml:space="preserve"> in LFG, CH</w:t>
      </w:r>
      <w:r w:rsidRPr="001D5327">
        <w:rPr>
          <w:vertAlign w:val="subscript"/>
          <w:lang w:eastAsia="en-US"/>
        </w:rPr>
        <w:t>4</w:t>
      </w:r>
      <w:r w:rsidRPr="001D5327">
        <w:rPr>
          <w:lang w:eastAsia="en-US"/>
        </w:rPr>
        <w:t xml:space="preserve"> generation rates and LFG recovery rates. These updates have been included in the Inventory to address three outstanding expert review recommendations from the 2022 assessment and review report (UNFCCC, 2023).</w:t>
      </w:r>
    </w:p>
    <w:p w14:paraId="2ADF85EE" w14:textId="67092F3C" w:rsidR="001B5199" w:rsidRPr="001D5327" w:rsidRDefault="00BC0FD7" w:rsidP="00C36378">
      <w:pPr>
        <w:pStyle w:val="Bullet"/>
        <w:spacing w:after="100"/>
        <w:rPr>
          <w:lang w:eastAsia="en-US"/>
        </w:rPr>
      </w:pPr>
      <w:r w:rsidRPr="001D5327">
        <w:rPr>
          <w:i/>
          <w:iCs/>
          <w:lang w:eastAsia="en-US"/>
        </w:rPr>
        <w:t xml:space="preserve">Unmanaged waste disposal sites </w:t>
      </w:r>
      <w:r w:rsidRPr="001D5327">
        <w:rPr>
          <w:lang w:eastAsia="en-US"/>
        </w:rPr>
        <w:t>(5.A.2): Newly available activity and composition data, along with methodological improvements, have been incorporated into this category. Since 2022, non-municipal landfills are now required to monitor and report the waste they accept as part of the waste levy requirements under the Waste Minimisation Act 2008. Methodological adjustments were implemented to correct overestimations in previous submissions and to align with domestic landfill classifications for non-municipal landfills</w:t>
      </w:r>
      <w:r w:rsidR="00770EB5">
        <w:rPr>
          <w:lang w:eastAsia="en-US"/>
        </w:rPr>
        <w:t>**</w:t>
      </w:r>
      <w:r w:rsidRPr="001D5327">
        <w:rPr>
          <w:lang w:eastAsia="en-US"/>
        </w:rPr>
        <w:t>.</w:t>
      </w:r>
    </w:p>
    <w:p w14:paraId="1F7C9AF7" w14:textId="377BF87A" w:rsidR="00537FA1" w:rsidRDefault="00BC0FD7" w:rsidP="001462A4">
      <w:pPr>
        <w:pStyle w:val="Bullet"/>
        <w:spacing w:after="100"/>
        <w:rPr>
          <w:lang w:eastAsia="en-US"/>
        </w:rPr>
      </w:pPr>
      <w:r w:rsidRPr="001D5327">
        <w:rPr>
          <w:i/>
          <w:iCs/>
          <w:lang w:eastAsia="en-US"/>
        </w:rPr>
        <w:t>Anaerobic digestion</w:t>
      </w:r>
      <w:r w:rsidR="00AA239D" w:rsidRPr="00AA239D">
        <w:t xml:space="preserve"> </w:t>
      </w:r>
      <w:r w:rsidR="00AA239D" w:rsidRPr="00AA239D">
        <w:rPr>
          <w:i/>
          <w:iCs/>
          <w:lang w:eastAsia="en-US"/>
        </w:rPr>
        <w:t>at biogas facilities</w:t>
      </w:r>
      <w:r w:rsidRPr="001D5327">
        <w:rPr>
          <w:i/>
          <w:iCs/>
          <w:lang w:eastAsia="en-US"/>
        </w:rPr>
        <w:t xml:space="preserve"> </w:t>
      </w:r>
      <w:r w:rsidRPr="001D5327">
        <w:rPr>
          <w:lang w:eastAsia="en-US"/>
        </w:rPr>
        <w:t xml:space="preserve">(5.B.2): For the first time, activity data and methodologies for the </w:t>
      </w:r>
      <w:r w:rsidRPr="001D5327">
        <w:rPr>
          <w:i/>
          <w:iCs/>
          <w:lang w:eastAsia="en-US"/>
        </w:rPr>
        <w:t>Anaerobic digestion</w:t>
      </w:r>
      <w:r w:rsidRPr="001D5327">
        <w:rPr>
          <w:lang w:eastAsia="en-US"/>
        </w:rPr>
        <w:t xml:space="preserve"> category are included in this submission.</w:t>
      </w:r>
      <w:r w:rsidR="001462A4">
        <w:rPr>
          <w:lang w:eastAsia="en-US"/>
        </w:rPr>
        <w:t xml:space="preserve"> </w:t>
      </w:r>
      <w:r w:rsidRPr="001D5327">
        <w:rPr>
          <w:lang w:eastAsia="en-US"/>
        </w:rPr>
        <w:t>These updates account for the commissioning of New Zealand’s first large-scale food waste-to-bioenergy anaerobic digestion plant, which began operating in October 2022.</w:t>
      </w:r>
      <w:r w:rsidRPr="001D5327">
        <w:rPr>
          <w:rStyle w:val="FootnoteReference"/>
          <w:lang w:eastAsia="en-US"/>
        </w:rPr>
        <w:footnoteReference w:id="52"/>
      </w:r>
      <w:r w:rsidRPr="001D5327">
        <w:rPr>
          <w:lang w:eastAsia="en-US"/>
        </w:rPr>
        <w:t xml:space="preserve"> The facility is projected to process approximately 75,000 tonnes of food scraps annually.</w:t>
      </w:r>
    </w:p>
    <w:p w14:paraId="2B8C8D26" w14:textId="1E05F6FE" w:rsidR="00537FA1" w:rsidRDefault="00283128">
      <w:pPr>
        <w:rPr>
          <w:lang w:eastAsia="en-US"/>
        </w:rPr>
      </w:pPr>
      <w:r>
        <w:rPr>
          <w:noProof/>
        </w:rPr>
        <mc:AlternateContent>
          <mc:Choice Requires="wps">
            <w:drawing>
              <wp:anchor distT="45720" distB="45720" distL="114300" distR="114300" simplePos="0" relativeHeight="251662336" behindDoc="0" locked="0" layoutInCell="1" allowOverlap="1" wp14:anchorId="314AF7D4" wp14:editId="00CA8456">
                <wp:simplePos x="0" y="0"/>
                <wp:positionH relativeFrom="margin">
                  <wp:align>left</wp:align>
                </wp:positionH>
                <wp:positionV relativeFrom="margin">
                  <wp:posOffset>7875435</wp:posOffset>
                </wp:positionV>
                <wp:extent cx="5688280" cy="771896"/>
                <wp:effectExtent l="0" t="0" r="8255" b="9525"/>
                <wp:wrapNone/>
                <wp:docPr id="9938249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280" cy="771896"/>
                        </a:xfrm>
                        <a:prstGeom prst="rect">
                          <a:avLst/>
                        </a:prstGeom>
                        <a:solidFill>
                          <a:srgbClr val="FFFFFF"/>
                        </a:solidFill>
                        <a:ln w="9525">
                          <a:noFill/>
                          <a:miter lim="800000"/>
                          <a:headEnd/>
                          <a:tailEnd/>
                        </a:ln>
                      </wps:spPr>
                      <wps:txbx>
                        <w:txbxContent>
                          <w:p w14:paraId="4C6F172F" w14:textId="50ACE3D5" w:rsidR="001B5199" w:rsidRPr="001462A4" w:rsidRDefault="001B5199" w:rsidP="001462A4">
                            <w:pPr>
                              <w:ind w:left="142" w:hanging="284"/>
                              <w:rPr>
                                <w:sz w:val="16"/>
                                <w:szCs w:val="16"/>
                              </w:rPr>
                            </w:pPr>
                            <w:r w:rsidRPr="001462A4">
                              <w:rPr>
                                <w:sz w:val="16"/>
                                <w:szCs w:val="16"/>
                              </w:rPr>
                              <w:t>*</w:t>
                            </w:r>
                            <w:r w:rsidR="002603A7">
                              <w:rPr>
                                <w:sz w:val="16"/>
                                <w:szCs w:val="16"/>
                              </w:rPr>
                              <w:t>*</w:t>
                            </w:r>
                            <w:r w:rsidRPr="001462A4">
                              <w:rPr>
                                <w:sz w:val="16"/>
                                <w:szCs w:val="16"/>
                              </w:rPr>
                              <w:t xml:space="preserve">    </w:t>
                            </w:r>
                            <w:r w:rsidRPr="00537FA1">
                              <w:rPr>
                                <w:sz w:val="18"/>
                                <w:szCs w:val="18"/>
                              </w:rPr>
                              <w:t>After the Inventory was finalised, a potential underestimate of emissions was identified in a Waste sector category (</w:t>
                            </w:r>
                            <w:r w:rsidRPr="00537FA1">
                              <w:rPr>
                                <w:i/>
                                <w:iCs/>
                                <w:sz w:val="18"/>
                                <w:szCs w:val="18"/>
                              </w:rPr>
                              <w:t>Unmanaged waste disposal sites</w:t>
                            </w:r>
                            <w:r w:rsidRPr="00537FA1">
                              <w:rPr>
                                <w:sz w:val="18"/>
                                <w:szCs w:val="18"/>
                              </w:rPr>
                              <w:t>). Preliminary analysis suggests that this may revise the decrease in Waste sector emissions from 11 per cent to 7 per cent between 1990 and 2023</w:t>
                            </w:r>
                            <w:r w:rsidR="001E7C4A">
                              <w:rPr>
                                <w:sz w:val="18"/>
                                <w:szCs w:val="18"/>
                              </w:rPr>
                              <w:t>,</w:t>
                            </w:r>
                            <w:r w:rsidRPr="00537FA1">
                              <w:rPr>
                                <w:sz w:val="18"/>
                                <w:szCs w:val="18"/>
                              </w:rPr>
                              <w:t xml:space="preserve"> and from 0.7 per cent to 0.5 per cent between 2022 and 2023. However</w:t>
                            </w:r>
                            <w:r w:rsidR="00645489">
                              <w:rPr>
                                <w:sz w:val="18"/>
                                <w:szCs w:val="18"/>
                              </w:rPr>
                              <w:t>,</w:t>
                            </w:r>
                            <w:r w:rsidRPr="00537FA1">
                              <w:rPr>
                                <w:sz w:val="18"/>
                                <w:szCs w:val="18"/>
                              </w:rPr>
                              <w:t xml:space="preserve"> the impact on New Zealand's overall emissions totals is expected to be minor.</w:t>
                            </w:r>
                            <w:r w:rsidR="001462A4" w:rsidRPr="00537FA1">
                              <w:rPr>
                                <w:sz w:val="18"/>
                                <w:szCs w:val="18"/>
                              </w:rPr>
                              <w:t xml:space="preserve"> </w:t>
                            </w:r>
                            <w:r w:rsidR="008A2FDA">
                              <w:rPr>
                                <w:sz w:val="18"/>
                                <w:szCs w:val="18"/>
                              </w:rPr>
                              <w:br/>
                            </w:r>
                            <w:r w:rsidRPr="00537FA1">
                              <w:rPr>
                                <w:sz w:val="18"/>
                                <w:szCs w:val="18"/>
                              </w:rPr>
                              <w:t>Any adjustments will be made in future submissions, once a full review has been completed.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4AF7D4" id="_x0000_s1027" type="#_x0000_t202" style="position:absolute;margin-left:0;margin-top:620.1pt;width:447.9pt;height:60.8pt;z-index:251662336;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" stroked="f">
                <v:textbox>
                  <w:txbxContent>
                    <w:p w14:paraId="4C6F172F" w14:textId="50ACE3D5" w:rsidR="001B5199" w:rsidRPr="001462A4" w:rsidRDefault="001B5199" w:rsidP="001462A4">
                      <w:pPr>
                        <w:ind w:left="142" w:hanging="284"/>
                        <w:rPr>
                          <w:sz w:val="16"/>
                          <w:szCs w:val="16"/>
                        </w:rPr>
                      </w:pPr>
                      <w:r w:rsidRPr="001462A4">
                        <w:rPr>
                          <w:sz w:val="16"/>
                          <w:szCs w:val="16"/>
                        </w:rPr>
                        <w:t>*</w:t>
                      </w:r>
                      <w:r w:rsidR="002603A7">
                        <w:rPr>
                          <w:sz w:val="16"/>
                          <w:szCs w:val="16"/>
                        </w:rPr>
                        <w:t>*</w:t>
                      </w:r>
                      <w:r w:rsidRPr="001462A4">
                        <w:rPr>
                          <w:sz w:val="16"/>
                          <w:szCs w:val="16"/>
                        </w:rPr>
                        <w:t xml:space="preserve">    </w:t>
                      </w:r>
                      <w:r w:rsidRPr="00537FA1">
                        <w:rPr>
                          <w:sz w:val="18"/>
                          <w:szCs w:val="18"/>
                        </w:rPr>
                        <w:t>After the Inventory was finalised, a potential underestimate of emissions was identified in a Waste sector category (</w:t>
                      </w:r>
                      <w:r w:rsidRPr="00537FA1">
                        <w:rPr>
                          <w:i/>
                          <w:iCs/>
                          <w:sz w:val="18"/>
                          <w:szCs w:val="18"/>
                        </w:rPr>
                        <w:t>Unmanaged waste disposal sites</w:t>
                      </w:r>
                      <w:r w:rsidRPr="00537FA1">
                        <w:rPr>
                          <w:sz w:val="18"/>
                          <w:szCs w:val="18"/>
                        </w:rPr>
                        <w:t>). Preliminary analysis suggests that this may revise the decrease in Waste sector emissions from 11 per cent to 7 per cent between 1990 and 2023</w:t>
                      </w:r>
                      <w:r w:rsidR="001E7C4A">
                        <w:rPr>
                          <w:sz w:val="18"/>
                          <w:szCs w:val="18"/>
                        </w:rPr>
                        <w:t>,</w:t>
                      </w:r>
                      <w:r w:rsidRPr="00537FA1">
                        <w:rPr>
                          <w:sz w:val="18"/>
                          <w:szCs w:val="18"/>
                        </w:rPr>
                        <w:t xml:space="preserve"> and from 0.7 per cent to 0.5 per cent between 2022 and 2023. However</w:t>
                      </w:r>
                      <w:r w:rsidR="00645489">
                        <w:rPr>
                          <w:sz w:val="18"/>
                          <w:szCs w:val="18"/>
                        </w:rPr>
                        <w:t>,</w:t>
                      </w:r>
                      <w:r w:rsidRPr="00537FA1">
                        <w:rPr>
                          <w:sz w:val="18"/>
                          <w:szCs w:val="18"/>
                        </w:rPr>
                        <w:t xml:space="preserve"> the impact on New Zealand's overall emissions totals is expected to be minor.</w:t>
                      </w:r>
                      <w:r w:rsidR="001462A4" w:rsidRPr="00537FA1">
                        <w:rPr>
                          <w:sz w:val="18"/>
                          <w:szCs w:val="18"/>
                        </w:rPr>
                        <w:t xml:space="preserve"> </w:t>
                      </w:r>
                      <w:r w:rsidR="008A2FDA">
                        <w:rPr>
                          <w:sz w:val="18"/>
                          <w:szCs w:val="18"/>
                        </w:rPr>
                        <w:br/>
                      </w:r>
                      <w:r w:rsidRPr="00537FA1">
                        <w:rPr>
                          <w:sz w:val="18"/>
                          <w:szCs w:val="18"/>
                        </w:rPr>
                        <w:t>Any adjustments will be made in future submissions, once a full review has been completed.</w:t>
                      </w:r>
                    </w:p>
                  </w:txbxContent>
                </v:textbox>
                <w10:wrap anchorx="margin" anchory="margin"/>
              </v:shape>
            </w:pict>
          </mc:Fallback>
        </mc:AlternateContent>
      </w:r>
      <w:r w:rsidR="008A2FDA">
        <w:rPr>
          <w:noProof/>
        </w:rPr>
        <mc:AlternateContent>
          <mc:Choice Requires="wps">
            <w:drawing>
              <wp:anchor distT="0" distB="0" distL="114300" distR="114300" simplePos="0" relativeHeight="251663360" behindDoc="0" locked="0" layoutInCell="1" allowOverlap="1" wp14:anchorId="6E6CFF78" wp14:editId="5C918A9F">
                <wp:simplePos x="0" y="0"/>
                <wp:positionH relativeFrom="margin">
                  <wp:align>left</wp:align>
                </wp:positionH>
                <wp:positionV relativeFrom="paragraph">
                  <wp:posOffset>173990</wp:posOffset>
                </wp:positionV>
                <wp:extent cx="1533525" cy="0"/>
                <wp:effectExtent l="0" t="0" r="0" b="0"/>
                <wp:wrapNone/>
                <wp:docPr id="2019778527" name="Straight Connector 4"/>
                <wp:cNvGraphicFramePr/>
                <a:graphic xmlns:a="http://schemas.openxmlformats.org/drawingml/2006/main">
                  <a:graphicData uri="http://schemas.microsoft.com/office/word/2010/wordprocessingShape">
                    <wps:wsp>
                      <wps:cNvCnPr/>
                      <wps:spPr>
                        <a:xfrm>
                          <a:off x="0" y="0"/>
                          <a:ext cx="15335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21925E6" id="Straight Connector 4" o:spid="_x0000_s1026" style="position:absolute;z-index:251663360;visibility:visible;mso-wrap-style:square;mso-wrap-distance-left:9pt;mso-wrap-distance-top:0;mso-wrap-distance-right:9pt;mso-wrap-distance-bottom:0;mso-position-horizontal:left;mso-position-horizontal-relative:margin;mso-position-vertical:absolute;mso-position-vertical-relative:text" from="0,13.7pt" to="120.7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" strokecolor="black [3200]" strokeweight=".5pt">
                <v:stroke joinstyle="miter"/>
                <w10:wrap anchorx="margin"/>
              </v:line>
            </w:pict>
          </mc:Fallback>
        </mc:AlternateContent>
      </w:r>
      <w:r w:rsidR="00537FA1">
        <w:rPr>
          <w:lang w:eastAsia="en-US"/>
        </w:rPr>
        <w:br w:type="page"/>
      </w:r>
    </w:p>
    <w:p w14:paraId="0A51B7D2" w14:textId="53A0CC18" w:rsidR="00BC0FD7" w:rsidRPr="001D5327" w:rsidRDefault="00BC0FD7" w:rsidP="00537FA1">
      <w:pPr>
        <w:pStyle w:val="BodyText"/>
        <w:rPr>
          <w:lang w:eastAsia="en-US"/>
        </w:rPr>
      </w:pPr>
      <w:r w:rsidRPr="001D5327">
        <w:lastRenderedPageBreak/>
        <w:t>Further details can be found under methodological issues within this chapter for each source category and in chapter 10.</w:t>
      </w:r>
    </w:p>
    <w:p w14:paraId="7C05AEB4" w14:textId="77777777" w:rsidR="00BC0FD7" w:rsidRPr="001D5327" w:rsidRDefault="00BC0FD7" w:rsidP="00BC0FD7">
      <w:pPr>
        <w:pStyle w:val="Heading3"/>
      </w:pPr>
      <w:r w:rsidRPr="001D5327">
        <w:t xml:space="preserve">7.1.8 </w:t>
      </w:r>
      <w:r w:rsidRPr="001D5327">
        <w:tab/>
        <w:t>Quality-assurance/quality-control (QA/QC) processes</w:t>
      </w:r>
    </w:p>
    <w:p w14:paraId="010C312C" w14:textId="77777777" w:rsidR="00BC0FD7" w:rsidRPr="001D5327" w:rsidRDefault="00BC0FD7" w:rsidP="00BC0FD7">
      <w:pPr>
        <w:pStyle w:val="BodyText"/>
      </w:pPr>
      <w:r w:rsidRPr="001D5327">
        <w:t>Figure 7.1.4 shows a flow diagram for data in the Waste sector, including quality-assurance and quality-control processes. Tier 1 quality checks were carried out on all data for key categories in this sector.</w:t>
      </w:r>
    </w:p>
    <w:p w14:paraId="4BC7092D" w14:textId="77777777" w:rsidR="00BC0FD7" w:rsidRPr="001D5327" w:rsidRDefault="00BC0FD7" w:rsidP="00BC0FD7">
      <w:pPr>
        <w:pStyle w:val="Figure"/>
      </w:pPr>
      <w:bookmarkStart w:id="2818" w:name="_Toc194674881"/>
      <w:r w:rsidRPr="001D5327">
        <w:t xml:space="preserve">Figure 7.1.4 </w:t>
      </w:r>
      <w:r w:rsidRPr="001D5327">
        <w:tab/>
        <w:t>Tier 1 quality checks for the Waste sector</w:t>
      </w:r>
      <w:bookmarkEnd w:id="2818"/>
    </w:p>
    <w:p w14:paraId="2DB7D2ED" w14:textId="77777777" w:rsidR="00BC0FD7" w:rsidRPr="001D5327" w:rsidRDefault="00BC0FD7" w:rsidP="00BC0FD7">
      <w:pPr>
        <w:pStyle w:val="BodyText"/>
        <w:jc w:val="center"/>
      </w:pPr>
      <w:r w:rsidRPr="001D5327">
        <w:rPr>
          <w:noProof/>
        </w:rPr>
        <w:drawing>
          <wp:inline distT="0" distB="0" distL="0" distR="0" wp14:anchorId="1A156DE7" wp14:editId="0E520557">
            <wp:extent cx="4429497" cy="2638425"/>
            <wp:effectExtent l="0" t="0" r="9525" b="0"/>
            <wp:docPr id="45" name="Picture"/>
            <wp:cNvGraphicFramePr/>
            <a:graphic xmlns:a="http://schemas.openxmlformats.org/drawingml/2006/main">
              <a:graphicData uri="http://schemas.openxmlformats.org/drawingml/2006/picture">
                <pic:pic xmlns:pic="http://schemas.openxmlformats.org/drawingml/2006/picture">
                  <pic:nvPicPr>
                    <pic:cNvPr id="46" name="Picture" descr="images/fig_7_1_4.png"/>
                    <pic:cNvPicPr>
                      <a:picLocks noChangeAspect="1" noChangeArrowheads="1"/>
                    </pic:cNvPicPr>
                  </pic:nvPicPr>
                  <pic:blipFill>
                    <a:blip r:embed="rId228"/>
                    <a:stretch>
                      <a:fillRect/>
                    </a:stretch>
                  </pic:blipFill>
                  <pic:spPr bwMode="auto">
                    <a:xfrm>
                      <a:off x="0" y="0"/>
                      <a:ext cx="4433623" cy="2640883"/>
                    </a:xfrm>
                    <a:prstGeom prst="rect">
                      <a:avLst/>
                    </a:prstGeom>
                    <a:noFill/>
                    <a:ln w="9525">
                      <a:noFill/>
                      <a:headEnd/>
                      <a:tailEnd/>
                    </a:ln>
                  </pic:spPr>
                </pic:pic>
              </a:graphicData>
            </a:graphic>
          </wp:inline>
        </w:drawing>
      </w:r>
    </w:p>
    <w:p w14:paraId="0023894C" w14:textId="77777777" w:rsidR="00BC0FD7" w:rsidRPr="001D5327" w:rsidRDefault="00BC0FD7" w:rsidP="00BC0FD7">
      <w:pPr>
        <w:pStyle w:val="Heading2"/>
      </w:pPr>
      <w:bookmarkStart w:id="2819" w:name="_Toc194312041"/>
      <w:bookmarkStart w:id="2820" w:name="solid-waste-disposal-5.a"/>
      <w:r w:rsidRPr="001D5327">
        <w:t xml:space="preserve">7.2 </w:t>
      </w:r>
      <w:r w:rsidRPr="001D5327">
        <w:tab/>
        <w:t>Solid waste disposal (5.A)</w:t>
      </w:r>
      <w:bookmarkEnd w:id="2819"/>
    </w:p>
    <w:p w14:paraId="6E56C8C0" w14:textId="77777777" w:rsidR="00BC0FD7" w:rsidRPr="001D5327" w:rsidRDefault="00BC0FD7" w:rsidP="00BC0FD7">
      <w:pPr>
        <w:pStyle w:val="Heading3"/>
        <w:spacing w:before="240"/>
      </w:pPr>
      <w:r w:rsidRPr="001D5327">
        <w:t xml:space="preserve">7.2.1 </w:t>
      </w:r>
      <w:r w:rsidRPr="001D5327">
        <w:tab/>
        <w:t>Description</w:t>
      </w:r>
    </w:p>
    <w:p w14:paraId="12606B09" w14:textId="77777777" w:rsidR="00BC0FD7" w:rsidRPr="001D5327" w:rsidRDefault="00BC0FD7" w:rsidP="00BC0FD7">
      <w:pPr>
        <w:pStyle w:val="BodyText"/>
      </w:pPr>
      <w:r w:rsidRPr="001D5327">
        <w:rPr>
          <w:spacing w:val="-2"/>
        </w:rPr>
        <w:t>In New Zealand, the majority of solid waste from household, industrial and commercial sectors</w:t>
      </w:r>
      <w:r w:rsidRPr="001D5327">
        <w:rPr>
          <w:rStyle w:val="FootnoteReference"/>
          <w:spacing w:val="-2"/>
        </w:rPr>
        <w:footnoteReference w:id="53"/>
      </w:r>
      <w:r w:rsidRPr="001D5327">
        <w:rPr>
          <w:spacing w:val="-2"/>
        </w:rPr>
        <w:t xml:space="preserve"> is disposed of in landfills. However, approximately half of the farm waste is disposed of through</w:t>
      </w:r>
      <w:r w:rsidRPr="001D5327">
        <w:t xml:space="preserve"> open burning. The primary types of landfill sites in New Zealand are:</w:t>
      </w:r>
    </w:p>
    <w:p w14:paraId="17F6EEBF" w14:textId="77777777" w:rsidR="00BC0FD7" w:rsidRPr="001D5327" w:rsidRDefault="00BC0FD7" w:rsidP="00407428">
      <w:pPr>
        <w:pStyle w:val="Numberedparagraph"/>
        <w:numPr>
          <w:ilvl w:val="0"/>
          <w:numId w:val="25"/>
        </w:numPr>
        <w:tabs>
          <w:tab w:val="left" w:pos="567"/>
        </w:tabs>
      </w:pPr>
      <w:r w:rsidRPr="001D5327">
        <w:t>municipal landfills (Class 1): these primarily accept household and commercial waste but also handle industrial and other types of solid waste</w:t>
      </w:r>
    </w:p>
    <w:p w14:paraId="7731CAE2" w14:textId="5B0B4254" w:rsidR="00BC0FD7" w:rsidRPr="001D5327" w:rsidRDefault="00BC0FD7" w:rsidP="00BC0FD7">
      <w:pPr>
        <w:pStyle w:val="Numberedparagraph"/>
        <w:tabs>
          <w:tab w:val="left" w:pos="567"/>
        </w:tabs>
      </w:pPr>
      <w:r w:rsidRPr="001D5327">
        <w:t>non-municipal landfills (Classes 2, 3–4, 5 and industrial monofills): these significant landfills predominantly accept construction and demolition, commercial, inert and industrial waste</w:t>
      </w:r>
    </w:p>
    <w:p w14:paraId="4C413477" w14:textId="0EE1B7F0" w:rsidR="00BC0FD7" w:rsidRPr="001D5327" w:rsidRDefault="00BC0FD7" w:rsidP="00BC0FD7">
      <w:pPr>
        <w:pStyle w:val="Numberedparagraph"/>
        <w:tabs>
          <w:tab w:val="left" w:pos="567"/>
        </w:tabs>
      </w:pPr>
      <w:r w:rsidRPr="001D5327">
        <w:t>farm fills: these are used for the disposal of both household and farm waste, in addition to</w:t>
      </w:r>
      <w:r w:rsidR="005B1345" w:rsidRPr="001D5327">
        <w:t> </w:t>
      </w:r>
      <w:r w:rsidRPr="001D5327">
        <w:t>the common practice of open burning on farms</w:t>
      </w:r>
    </w:p>
    <w:p w14:paraId="7C869683" w14:textId="766A4EE6" w:rsidR="00BC0FD7" w:rsidRPr="001D5327" w:rsidRDefault="00BC0FD7" w:rsidP="00BC0FD7">
      <w:pPr>
        <w:pStyle w:val="BodyText"/>
        <w:rPr>
          <w:lang w:eastAsia="en-US"/>
        </w:rPr>
      </w:pPr>
      <w:r w:rsidRPr="001D5327">
        <w:t>These landfill categories correspond to the Inventory categories outlined in table 7.2.1. All operational municipal landfill sites are managed according to IPCC Guidelines (IPCC, 2006a). However, emissions from uncategorised municipal landfills, which were operational before 2010, continue occurring due to first order decay.</w:t>
      </w:r>
    </w:p>
    <w:p w14:paraId="52492543" w14:textId="77777777" w:rsidR="00BC0FD7" w:rsidRPr="001D5327" w:rsidRDefault="00BC0FD7" w:rsidP="00BC0FD7">
      <w:pPr>
        <w:pStyle w:val="Table"/>
      </w:pPr>
      <w:bookmarkStart w:id="2821" w:name="_Toc194241799"/>
      <w:r w:rsidRPr="001D5327">
        <w:lastRenderedPageBreak/>
        <w:t xml:space="preserve">Table 7.2.1 </w:t>
      </w:r>
      <w:r w:rsidRPr="001D5327">
        <w:tab/>
        <w:t>Landfill emissions in the common reporting tables</w:t>
      </w:r>
      <w:bookmarkEnd w:id="2821"/>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701"/>
        <w:gridCol w:w="2694"/>
        <w:gridCol w:w="4099"/>
      </w:tblGrid>
      <w:tr w:rsidR="00BC0FD7" w:rsidRPr="001D5327" w14:paraId="048F5A5E" w14:textId="77777777" w:rsidTr="00D11AC9">
        <w:trPr>
          <w:tblHeader/>
        </w:trPr>
        <w:tc>
          <w:tcPr>
            <w:tcW w:w="1701" w:type="dxa"/>
            <w:shd w:val="clear" w:color="auto" w:fill="1B556B"/>
            <w:tcMar>
              <w:top w:w="0" w:type="dxa"/>
              <w:left w:w="85" w:type="dxa"/>
              <w:bottom w:w="0" w:type="dxa"/>
              <w:right w:w="85" w:type="dxa"/>
            </w:tcMar>
            <w:vAlign w:val="bottom"/>
          </w:tcPr>
          <w:p w14:paraId="5B2756FA" w14:textId="77777777" w:rsidR="00BC0FD7" w:rsidRPr="001D5327" w:rsidRDefault="00BC0FD7" w:rsidP="00D0411F">
            <w:pPr>
              <w:pStyle w:val="TableTextBold"/>
              <w:spacing w:before="40" w:after="30"/>
              <w:rPr>
                <w:noProof w:val="0"/>
                <w:color w:val="FFFFFF" w:themeColor="background1"/>
              </w:rPr>
            </w:pPr>
            <w:r w:rsidRPr="001D5327">
              <w:rPr>
                <w:rFonts w:eastAsia="Calibri"/>
                <w:noProof w:val="0"/>
                <w:color w:val="FFFFFF" w:themeColor="background1"/>
              </w:rPr>
              <w:t>CRF category code</w:t>
            </w:r>
          </w:p>
        </w:tc>
        <w:tc>
          <w:tcPr>
            <w:tcW w:w="2694" w:type="dxa"/>
            <w:shd w:val="clear" w:color="auto" w:fill="1B556B"/>
            <w:tcMar>
              <w:top w:w="0" w:type="dxa"/>
              <w:left w:w="85" w:type="dxa"/>
              <w:bottom w:w="0" w:type="dxa"/>
              <w:right w:w="85" w:type="dxa"/>
            </w:tcMar>
            <w:vAlign w:val="bottom"/>
          </w:tcPr>
          <w:p w14:paraId="0F409448" w14:textId="77777777" w:rsidR="00BC0FD7" w:rsidRPr="001D5327" w:rsidRDefault="00BC0FD7" w:rsidP="00D0411F">
            <w:pPr>
              <w:pStyle w:val="TableTextBold"/>
              <w:spacing w:before="40" w:after="30"/>
              <w:rPr>
                <w:noProof w:val="0"/>
                <w:color w:val="FFFFFF" w:themeColor="background1"/>
              </w:rPr>
            </w:pPr>
            <w:r w:rsidRPr="001D5327">
              <w:rPr>
                <w:rFonts w:eastAsia="Calibri"/>
                <w:noProof w:val="0"/>
                <w:color w:val="FFFFFF" w:themeColor="background1"/>
              </w:rPr>
              <w:t>Landfill type using New Zealand terminology</w:t>
            </w:r>
          </w:p>
        </w:tc>
        <w:tc>
          <w:tcPr>
            <w:tcW w:w="4099" w:type="dxa"/>
            <w:shd w:val="clear" w:color="auto" w:fill="1B556B"/>
            <w:tcMar>
              <w:top w:w="0" w:type="dxa"/>
              <w:left w:w="85" w:type="dxa"/>
              <w:bottom w:w="0" w:type="dxa"/>
              <w:right w:w="85" w:type="dxa"/>
            </w:tcMar>
            <w:vAlign w:val="bottom"/>
          </w:tcPr>
          <w:p w14:paraId="3B85515E" w14:textId="77777777" w:rsidR="00BC0FD7" w:rsidRPr="001D5327" w:rsidRDefault="00BC0FD7" w:rsidP="00D0411F">
            <w:pPr>
              <w:pStyle w:val="TableTextBold"/>
              <w:spacing w:before="40" w:after="30"/>
              <w:rPr>
                <w:noProof w:val="0"/>
                <w:color w:val="FFFFFF" w:themeColor="background1"/>
              </w:rPr>
            </w:pPr>
            <w:r w:rsidRPr="001D5327">
              <w:rPr>
                <w:rFonts w:eastAsia="Calibri"/>
                <w:noProof w:val="0"/>
                <w:color w:val="FFFFFF" w:themeColor="background1"/>
              </w:rPr>
              <w:t>Comment</w:t>
            </w:r>
          </w:p>
        </w:tc>
      </w:tr>
      <w:tr w:rsidR="00BC0FD7" w:rsidRPr="001D5327" w14:paraId="75EB9255" w14:textId="77777777" w:rsidTr="00D11AC9">
        <w:tc>
          <w:tcPr>
            <w:tcW w:w="1701" w:type="dxa"/>
            <w:shd w:val="clear" w:color="auto" w:fill="FFFFFF"/>
            <w:tcMar>
              <w:top w:w="0" w:type="dxa"/>
              <w:left w:w="85" w:type="dxa"/>
              <w:bottom w:w="0" w:type="dxa"/>
              <w:right w:w="85" w:type="dxa"/>
            </w:tcMar>
          </w:tcPr>
          <w:p w14:paraId="0A8A8C1D" w14:textId="77777777" w:rsidR="00BC0FD7" w:rsidRPr="001D5327" w:rsidRDefault="00BC0FD7" w:rsidP="00D0411F">
            <w:pPr>
              <w:pStyle w:val="TableText"/>
              <w:spacing w:before="40" w:after="30"/>
            </w:pPr>
            <w:r w:rsidRPr="001D5327">
              <w:rPr>
                <w:rFonts w:eastAsia="Calibri"/>
              </w:rPr>
              <w:t>5.A.1.a (Anaerobic)</w:t>
            </w:r>
          </w:p>
        </w:tc>
        <w:tc>
          <w:tcPr>
            <w:tcW w:w="2694" w:type="dxa"/>
            <w:shd w:val="clear" w:color="auto" w:fill="FFFFFF"/>
            <w:tcMar>
              <w:top w:w="0" w:type="dxa"/>
              <w:left w:w="85" w:type="dxa"/>
              <w:bottom w:w="0" w:type="dxa"/>
              <w:right w:w="85" w:type="dxa"/>
            </w:tcMar>
          </w:tcPr>
          <w:p w14:paraId="002DDE59" w14:textId="77777777" w:rsidR="00BC0FD7" w:rsidRPr="001D5327" w:rsidRDefault="00BC0FD7" w:rsidP="00D0411F">
            <w:pPr>
              <w:pStyle w:val="TableText"/>
              <w:spacing w:before="40" w:after="30"/>
            </w:pPr>
            <w:r w:rsidRPr="001D5327">
              <w:rPr>
                <w:rFonts w:eastAsia="Calibri"/>
              </w:rPr>
              <w:t>Managed municipal landfills (Class 1)</w:t>
            </w:r>
          </w:p>
        </w:tc>
        <w:tc>
          <w:tcPr>
            <w:tcW w:w="4099" w:type="dxa"/>
            <w:shd w:val="clear" w:color="auto" w:fill="FFFFFF"/>
            <w:tcMar>
              <w:top w:w="0" w:type="dxa"/>
              <w:left w:w="85" w:type="dxa"/>
              <w:bottom w:w="0" w:type="dxa"/>
              <w:right w:w="85" w:type="dxa"/>
            </w:tcMar>
          </w:tcPr>
          <w:p w14:paraId="7AB7BD71" w14:textId="77777777" w:rsidR="00BC0FD7" w:rsidRPr="001D5327" w:rsidRDefault="00BC0FD7" w:rsidP="00D0411F">
            <w:pPr>
              <w:pStyle w:val="TableText"/>
              <w:spacing w:before="40" w:after="30"/>
            </w:pPr>
            <w:r w:rsidRPr="001D5327">
              <w:rPr>
                <w:rFonts w:eastAsia="Calibri"/>
              </w:rPr>
              <w:t>Includes all currently operational municipal landfill sites and all sites with gas recovery</w:t>
            </w:r>
          </w:p>
        </w:tc>
      </w:tr>
      <w:tr w:rsidR="00BC0FD7" w:rsidRPr="001D5327" w14:paraId="4C6DDD6F" w14:textId="77777777" w:rsidTr="00D11AC9">
        <w:tc>
          <w:tcPr>
            <w:tcW w:w="1701" w:type="dxa"/>
            <w:shd w:val="clear" w:color="auto" w:fill="FFFFFF"/>
            <w:tcMar>
              <w:top w:w="0" w:type="dxa"/>
              <w:left w:w="85" w:type="dxa"/>
              <w:bottom w:w="0" w:type="dxa"/>
              <w:right w:w="85" w:type="dxa"/>
            </w:tcMar>
          </w:tcPr>
          <w:p w14:paraId="6959BFE3" w14:textId="77777777" w:rsidR="00BC0FD7" w:rsidRPr="001D5327" w:rsidRDefault="00BC0FD7" w:rsidP="00D0411F">
            <w:pPr>
              <w:pStyle w:val="TableText"/>
              <w:spacing w:before="40" w:after="30"/>
            </w:pPr>
            <w:r w:rsidRPr="001D5327">
              <w:rPr>
                <w:rFonts w:eastAsia="Calibri"/>
              </w:rPr>
              <w:t>5.A.1.b (Semi-aerobic)</w:t>
            </w:r>
          </w:p>
        </w:tc>
        <w:tc>
          <w:tcPr>
            <w:tcW w:w="2694" w:type="dxa"/>
            <w:shd w:val="clear" w:color="auto" w:fill="FFFFFF"/>
            <w:tcMar>
              <w:top w:w="0" w:type="dxa"/>
              <w:left w:w="85" w:type="dxa"/>
              <w:bottom w:w="0" w:type="dxa"/>
              <w:right w:w="85" w:type="dxa"/>
            </w:tcMar>
          </w:tcPr>
          <w:p w14:paraId="33234ECB" w14:textId="77777777" w:rsidR="00BC0FD7" w:rsidRPr="001D5327" w:rsidRDefault="00BC0FD7" w:rsidP="00D0411F">
            <w:pPr>
              <w:pStyle w:val="TableText"/>
              <w:spacing w:before="40" w:after="30"/>
            </w:pPr>
            <w:r w:rsidRPr="001D5327">
              <w:rPr>
                <w:rFonts w:eastAsia="Calibri"/>
              </w:rPr>
              <w:t>–</w:t>
            </w:r>
          </w:p>
        </w:tc>
        <w:tc>
          <w:tcPr>
            <w:tcW w:w="4099" w:type="dxa"/>
            <w:shd w:val="clear" w:color="auto" w:fill="FFFFFF"/>
            <w:tcMar>
              <w:top w:w="0" w:type="dxa"/>
              <w:left w:w="85" w:type="dxa"/>
              <w:bottom w:w="0" w:type="dxa"/>
              <w:right w:w="85" w:type="dxa"/>
            </w:tcMar>
          </w:tcPr>
          <w:p w14:paraId="6C9287BA" w14:textId="77777777" w:rsidR="00BC0FD7" w:rsidRPr="001D5327" w:rsidRDefault="00BC0FD7" w:rsidP="00D0411F">
            <w:pPr>
              <w:pStyle w:val="TableText"/>
              <w:spacing w:before="40" w:after="30"/>
            </w:pPr>
            <w:r w:rsidRPr="001D5327">
              <w:rPr>
                <w:rFonts w:eastAsia="Calibri"/>
              </w:rPr>
              <w:t>No semi-aerobic landfill sites identified in New Zealand</w:t>
            </w:r>
          </w:p>
        </w:tc>
      </w:tr>
      <w:tr w:rsidR="00BC0FD7" w:rsidRPr="001D5327" w14:paraId="72BD34DD" w14:textId="77777777" w:rsidTr="00D11AC9">
        <w:tc>
          <w:tcPr>
            <w:tcW w:w="1701" w:type="dxa"/>
            <w:shd w:val="clear" w:color="auto" w:fill="FFFFFF"/>
            <w:tcMar>
              <w:top w:w="0" w:type="dxa"/>
              <w:left w:w="85" w:type="dxa"/>
              <w:bottom w:w="0" w:type="dxa"/>
              <w:right w:w="85" w:type="dxa"/>
            </w:tcMar>
          </w:tcPr>
          <w:p w14:paraId="2DD4D6B3" w14:textId="77777777" w:rsidR="00BC0FD7" w:rsidRPr="001D5327" w:rsidRDefault="00BC0FD7" w:rsidP="00D0411F">
            <w:pPr>
              <w:pStyle w:val="TableText"/>
              <w:spacing w:before="40" w:after="30"/>
            </w:pPr>
            <w:r w:rsidRPr="001D5327">
              <w:rPr>
                <w:rFonts w:eastAsia="Calibri"/>
              </w:rPr>
              <w:t>5.A.2 (Unmanaged)</w:t>
            </w:r>
          </w:p>
        </w:tc>
        <w:tc>
          <w:tcPr>
            <w:tcW w:w="2694" w:type="dxa"/>
            <w:shd w:val="clear" w:color="auto" w:fill="FFFFFF"/>
            <w:tcMar>
              <w:top w:w="0" w:type="dxa"/>
              <w:left w:w="85" w:type="dxa"/>
              <w:bottom w:w="0" w:type="dxa"/>
              <w:right w:w="85" w:type="dxa"/>
            </w:tcMar>
          </w:tcPr>
          <w:p w14:paraId="593D4FAB" w14:textId="77777777" w:rsidR="00BC0FD7" w:rsidRPr="001D5327" w:rsidRDefault="00BC0FD7" w:rsidP="00D0411F">
            <w:pPr>
              <w:pStyle w:val="TableText"/>
              <w:spacing w:before="40" w:after="30"/>
            </w:pPr>
            <w:r w:rsidRPr="001D5327">
              <w:rPr>
                <w:rFonts w:eastAsia="Calibri"/>
              </w:rPr>
              <w:t>Non-municipal landfills (Classes 2–5)</w:t>
            </w:r>
          </w:p>
        </w:tc>
        <w:tc>
          <w:tcPr>
            <w:tcW w:w="4099" w:type="dxa"/>
            <w:shd w:val="clear" w:color="auto" w:fill="FFFFFF"/>
            <w:tcMar>
              <w:top w:w="0" w:type="dxa"/>
              <w:left w:w="85" w:type="dxa"/>
              <w:bottom w:w="0" w:type="dxa"/>
              <w:right w:w="85" w:type="dxa"/>
            </w:tcMar>
          </w:tcPr>
          <w:p w14:paraId="20262745" w14:textId="77777777" w:rsidR="00BC0FD7" w:rsidRPr="001D5327" w:rsidRDefault="00BC0FD7" w:rsidP="00D0411F">
            <w:pPr>
              <w:pStyle w:val="TableText"/>
              <w:spacing w:before="40" w:after="30"/>
            </w:pPr>
            <w:r w:rsidRPr="001D5327">
              <w:rPr>
                <w:rFonts w:eastAsia="Calibri"/>
              </w:rPr>
              <w:t>Includes industrial monofills</w:t>
            </w:r>
          </w:p>
        </w:tc>
      </w:tr>
      <w:tr w:rsidR="00BC0FD7" w:rsidRPr="001D5327" w14:paraId="1ED6C9C0" w14:textId="77777777" w:rsidTr="00D11AC9">
        <w:tc>
          <w:tcPr>
            <w:tcW w:w="1701" w:type="dxa"/>
            <w:shd w:val="clear" w:color="auto" w:fill="FFFFFF"/>
            <w:tcMar>
              <w:top w:w="0" w:type="dxa"/>
              <w:left w:w="85" w:type="dxa"/>
              <w:bottom w:w="0" w:type="dxa"/>
              <w:right w:w="85" w:type="dxa"/>
            </w:tcMar>
          </w:tcPr>
          <w:p w14:paraId="5FA20855" w14:textId="77777777" w:rsidR="00BC0FD7" w:rsidRPr="001D5327" w:rsidRDefault="00BC0FD7" w:rsidP="00D0411F">
            <w:pPr>
              <w:pStyle w:val="TableText"/>
              <w:spacing w:before="40" w:after="30"/>
            </w:pPr>
            <w:r w:rsidRPr="001D5327">
              <w:rPr>
                <w:rFonts w:eastAsia="Calibri"/>
              </w:rPr>
              <w:t>5.A.2 (Unmanaged)</w:t>
            </w:r>
          </w:p>
        </w:tc>
        <w:tc>
          <w:tcPr>
            <w:tcW w:w="2694" w:type="dxa"/>
            <w:shd w:val="clear" w:color="auto" w:fill="FFFFFF"/>
            <w:tcMar>
              <w:top w:w="0" w:type="dxa"/>
              <w:left w:w="85" w:type="dxa"/>
              <w:bottom w:w="0" w:type="dxa"/>
              <w:right w:w="85" w:type="dxa"/>
            </w:tcMar>
          </w:tcPr>
          <w:p w14:paraId="66267D11" w14:textId="77777777" w:rsidR="00BC0FD7" w:rsidRPr="001D5327" w:rsidRDefault="00BC0FD7" w:rsidP="00D0411F">
            <w:pPr>
              <w:pStyle w:val="TableText"/>
              <w:spacing w:before="40" w:after="30"/>
            </w:pPr>
            <w:r w:rsidRPr="001D5327">
              <w:rPr>
                <w:rFonts w:eastAsia="Calibri"/>
              </w:rPr>
              <w:t>Farm fills</w:t>
            </w:r>
          </w:p>
        </w:tc>
        <w:tc>
          <w:tcPr>
            <w:tcW w:w="4099" w:type="dxa"/>
            <w:shd w:val="clear" w:color="auto" w:fill="FFFFFF"/>
            <w:tcMar>
              <w:top w:w="0" w:type="dxa"/>
              <w:left w:w="85" w:type="dxa"/>
              <w:bottom w:w="0" w:type="dxa"/>
              <w:right w:w="85" w:type="dxa"/>
            </w:tcMar>
          </w:tcPr>
          <w:p w14:paraId="6D98ED5C" w14:textId="77777777" w:rsidR="00BC0FD7" w:rsidRPr="001D5327" w:rsidRDefault="00BC0FD7" w:rsidP="00D0411F">
            <w:pPr>
              <w:pStyle w:val="TableText"/>
              <w:spacing w:before="40" w:after="30"/>
            </w:pPr>
            <w:r w:rsidRPr="001D5327">
              <w:rPr>
                <w:rFonts w:eastAsia="Calibri"/>
              </w:rPr>
              <w:t>Disposal to land of about half of farm waste</w:t>
            </w:r>
          </w:p>
        </w:tc>
      </w:tr>
      <w:tr w:rsidR="00BC0FD7" w:rsidRPr="001D5327" w14:paraId="51A6B505" w14:textId="77777777" w:rsidTr="00D11AC9">
        <w:tc>
          <w:tcPr>
            <w:tcW w:w="1701" w:type="dxa"/>
            <w:shd w:val="clear" w:color="auto" w:fill="FFFFFF"/>
            <w:tcMar>
              <w:top w:w="0" w:type="dxa"/>
              <w:left w:w="85" w:type="dxa"/>
              <w:bottom w:w="0" w:type="dxa"/>
              <w:right w:w="85" w:type="dxa"/>
            </w:tcMar>
          </w:tcPr>
          <w:p w14:paraId="310690CF" w14:textId="77777777" w:rsidR="00BC0FD7" w:rsidRPr="001D5327" w:rsidRDefault="00BC0FD7" w:rsidP="00D0411F">
            <w:pPr>
              <w:pStyle w:val="TableText"/>
              <w:spacing w:before="40" w:after="30"/>
            </w:pPr>
            <w:r w:rsidRPr="001D5327">
              <w:rPr>
                <w:rFonts w:eastAsia="Calibri"/>
              </w:rPr>
              <w:t>5.A.3 (Uncategorised)</w:t>
            </w:r>
          </w:p>
        </w:tc>
        <w:tc>
          <w:tcPr>
            <w:tcW w:w="2694" w:type="dxa"/>
            <w:shd w:val="clear" w:color="auto" w:fill="FFFFFF"/>
            <w:tcMar>
              <w:top w:w="0" w:type="dxa"/>
              <w:left w:w="85" w:type="dxa"/>
              <w:bottom w:w="0" w:type="dxa"/>
              <w:right w:w="85" w:type="dxa"/>
            </w:tcMar>
          </w:tcPr>
          <w:p w14:paraId="63EE28AB" w14:textId="77777777" w:rsidR="00BC0FD7" w:rsidRPr="001D5327" w:rsidRDefault="00BC0FD7" w:rsidP="00D0411F">
            <w:pPr>
              <w:pStyle w:val="TableText"/>
              <w:spacing w:before="40" w:after="30"/>
            </w:pPr>
            <w:r w:rsidRPr="001D5327">
              <w:rPr>
                <w:rFonts w:eastAsia="Calibri"/>
              </w:rPr>
              <w:t>Other municipal landfills (now closed)</w:t>
            </w:r>
          </w:p>
        </w:tc>
        <w:tc>
          <w:tcPr>
            <w:tcW w:w="4099" w:type="dxa"/>
            <w:shd w:val="clear" w:color="auto" w:fill="FFFFFF"/>
            <w:tcMar>
              <w:top w:w="0" w:type="dxa"/>
              <w:left w:w="85" w:type="dxa"/>
              <w:bottom w:w="0" w:type="dxa"/>
              <w:right w:w="85" w:type="dxa"/>
            </w:tcMar>
          </w:tcPr>
          <w:p w14:paraId="429B0F4C" w14:textId="77777777" w:rsidR="00BC0FD7" w:rsidRPr="001D5327" w:rsidRDefault="00BC0FD7" w:rsidP="00D0411F">
            <w:pPr>
              <w:pStyle w:val="TableText"/>
              <w:spacing w:before="40" w:after="30"/>
            </w:pPr>
            <w:r w:rsidRPr="001D5327">
              <w:rPr>
                <w:rFonts w:eastAsia="Calibri"/>
              </w:rPr>
              <w:t>While disposal is prior to 2010 only, emissions continue to be reported due to decay over time</w:t>
            </w:r>
          </w:p>
        </w:tc>
      </w:tr>
    </w:tbl>
    <w:p w14:paraId="037B5590" w14:textId="77777777" w:rsidR="00BC0FD7" w:rsidRPr="001D5327" w:rsidRDefault="00BC0FD7" w:rsidP="00D0411F">
      <w:pPr>
        <w:pStyle w:val="BodyText"/>
        <w:spacing w:before="240" w:after="100"/>
      </w:pPr>
      <w:r w:rsidRPr="001D5327">
        <w:t>Since 1990, a range of initiatives have been implemented to improve solid waste management practices in New Zealand, including:</w:t>
      </w:r>
    </w:p>
    <w:p w14:paraId="2D8E3980" w14:textId="77777777" w:rsidR="00BC0FD7" w:rsidRPr="001D5327" w:rsidRDefault="00BC0FD7" w:rsidP="00D0411F">
      <w:pPr>
        <w:pStyle w:val="Bullet"/>
        <w:spacing w:after="100"/>
      </w:pPr>
      <w:r w:rsidRPr="001D5327">
        <w:t>resource consent requirements: all municipal landfills must meet the conditions set under the Resource Management Act 1991</w:t>
      </w:r>
    </w:p>
    <w:p w14:paraId="4440A237" w14:textId="77777777" w:rsidR="00BC0FD7" w:rsidRPr="001D5327" w:rsidRDefault="00BC0FD7" w:rsidP="00D0411F">
      <w:pPr>
        <w:pStyle w:val="Bullet"/>
        <w:spacing w:after="100"/>
      </w:pPr>
      <w:r w:rsidRPr="001D5327">
        <w:t>National Environmental Standards for Air Quality (2004): enacted under the Resource Management Act 1991, these standards require large landfills to capture LFG, significantly increasing the adoption of LFG recovery technology</w:t>
      </w:r>
    </w:p>
    <w:p w14:paraId="7E9BF317" w14:textId="77777777" w:rsidR="00BC0FD7" w:rsidRPr="001D5327" w:rsidRDefault="00BC0FD7" w:rsidP="00D0411F">
      <w:pPr>
        <w:pStyle w:val="Bullet"/>
        <w:spacing w:after="100"/>
      </w:pPr>
      <w:r w:rsidRPr="001D5327">
        <w:t>New Zealand Waste Strategy: initially published in 2002 and updated in 2010 and 2023, this strategic document provides guidance for local governments and the waste sector (Ministry for the Environment, 2002a, 2010, 2023</w:t>
      </w:r>
      <w:r w:rsidRPr="001D5327">
        <w:rPr>
          <w:rStyle w:val="FootnoteReference"/>
        </w:rPr>
        <w:footnoteReference w:id="54"/>
      </w:r>
      <w:r w:rsidRPr="001D5327">
        <w:t>).</w:t>
      </w:r>
    </w:p>
    <w:p w14:paraId="3FC9B4C3" w14:textId="77777777" w:rsidR="00BC0FD7" w:rsidRPr="001D5327" w:rsidRDefault="00BC0FD7" w:rsidP="00D0411F">
      <w:pPr>
        <w:pStyle w:val="Bullet"/>
        <w:spacing w:after="100"/>
      </w:pPr>
      <w:r w:rsidRPr="001D5327">
        <w:t>Solid Waste Analysis Protocol (2002): this protocol, updated in 2022, provides a consistent system for classifying, sampling and estimating the composition of solid waste (Ministry for the Environment, 2002b)</w:t>
      </w:r>
    </w:p>
    <w:p w14:paraId="38287CF9" w14:textId="77777777" w:rsidR="00BC0FD7" w:rsidRPr="001D5327" w:rsidRDefault="00BC0FD7" w:rsidP="00D0411F">
      <w:pPr>
        <w:pStyle w:val="Bullet"/>
        <w:spacing w:after="100"/>
      </w:pPr>
      <w:r w:rsidRPr="001D5327">
        <w:t>Waste Minimisation Act 2008: this Act introduced a levy on the disposal of municipal solid waste disposal, initially set at NZ$10 per tonne in 2009 and progressively increased to NZ$60 per tonne by July 2024. Since 2022, the levy has also applied to non-municipal landfills. Additionally, from 1 July 2024, new waste data regulations came into effect under the Waste Minimisation Act 2008</w:t>
      </w:r>
    </w:p>
    <w:p w14:paraId="044F3806" w14:textId="77777777" w:rsidR="00BC0FD7" w:rsidRPr="001D5327" w:rsidRDefault="00BC0FD7" w:rsidP="00D0411F">
      <w:pPr>
        <w:pStyle w:val="Bullet"/>
        <w:spacing w:after="100"/>
      </w:pPr>
      <w:r w:rsidRPr="001D5327">
        <w:t>local government waste management plans: under the Waste Minimisation Act 2008, local governments are required to prepare waste management and minimisation plans every six years, supported by funding for waste minimisation services.</w:t>
      </w:r>
    </w:p>
    <w:p w14:paraId="6E24F04E" w14:textId="34153D9F" w:rsidR="00BC0FD7" w:rsidRPr="001D5327" w:rsidRDefault="00BC0FD7" w:rsidP="00D0411F">
      <w:pPr>
        <w:pStyle w:val="BodyText"/>
        <w:spacing w:before="100" w:after="100"/>
      </w:pPr>
      <w:r w:rsidRPr="001D5327">
        <w:t>In addition, most municipal landfills are now mandatory participants in the NZ ETS, with obligations to report and surrender emission units for CH</w:t>
      </w:r>
      <w:r w:rsidRPr="001D5327">
        <w:rPr>
          <w:vertAlign w:val="subscript"/>
        </w:rPr>
        <w:t>4</w:t>
      </w:r>
      <w:r w:rsidRPr="001D5327">
        <w:t xml:space="preserve"> emissions, estimated through mass</w:t>
      </w:r>
      <w:r w:rsidR="00D3663D" w:rsidRPr="001D5327">
        <w:t> </w:t>
      </w:r>
      <w:r w:rsidRPr="001D5327">
        <w:t>balance methods.</w:t>
      </w:r>
    </w:p>
    <w:p w14:paraId="1A23CE09" w14:textId="7ECC4443" w:rsidR="00BC0FD7" w:rsidRPr="001D5327" w:rsidRDefault="00BC0FD7" w:rsidP="00D0411F">
      <w:pPr>
        <w:pStyle w:val="BodyText"/>
        <w:spacing w:before="100" w:after="100"/>
      </w:pPr>
      <w:r w:rsidRPr="001D5327">
        <w:t xml:space="preserve">These initiatives have led to significant improvements in waste management since 1990. Many small, poorly located and substandard municipal landfills have been closed, with municipalities </w:t>
      </w:r>
      <w:r w:rsidRPr="001D5327">
        <w:rPr>
          <w:spacing w:val="-2"/>
        </w:rPr>
        <w:t>now relying on larger, more modern regional facilities. In 2023, there were 40 active</w:t>
      </w:r>
      <w:r w:rsidRPr="001D5327">
        <w:rPr>
          <w:rStyle w:val="FootnoteReference"/>
          <w:spacing w:val="-2"/>
        </w:rPr>
        <w:footnoteReference w:id="55"/>
      </w:r>
      <w:r w:rsidRPr="001D5327">
        <w:rPr>
          <w:spacing w:val="-2"/>
        </w:rPr>
        <w:t xml:space="preserve"> municipal</w:t>
      </w:r>
      <w:r w:rsidRPr="001D5327">
        <w:t xml:space="preserve"> </w:t>
      </w:r>
      <w:r w:rsidRPr="001D5327">
        <w:rPr>
          <w:spacing w:val="-2"/>
        </w:rPr>
        <w:t>landfill sites, a significant reduction from 327 in 1995 and 563 in 1971. This shift has been driven by the policy initiatives outlined above, which have encouraged consolidation into fewer, better-managed landfills. The overall volume of waste disposed of in landfills has increased over time, largely due to population growth, especially in non-municipal fills (see</w:t>
      </w:r>
      <w:r w:rsidR="00D3663D" w:rsidRPr="001D5327">
        <w:rPr>
          <w:spacing w:val="-2"/>
        </w:rPr>
        <w:t> </w:t>
      </w:r>
      <w:r w:rsidRPr="001D5327">
        <w:rPr>
          <w:spacing w:val="-2"/>
        </w:rPr>
        <w:t>table 7.2.3 and table 7.2.4). The increased disposal activity and reduction in the number of landfills means the operating facilities are larger</w:t>
      </w:r>
      <w:r w:rsidRPr="001D5327">
        <w:t>.</w:t>
      </w:r>
    </w:p>
    <w:p w14:paraId="6AA3DFBF" w14:textId="77777777" w:rsidR="00BC0FD7" w:rsidRPr="001D5327" w:rsidRDefault="00BC0FD7" w:rsidP="00BC0FD7">
      <w:pPr>
        <w:pStyle w:val="BodyText"/>
      </w:pPr>
      <w:r w:rsidRPr="001D5327">
        <w:lastRenderedPageBreak/>
        <w:t>Non-municipal landfills and farm fills are required to comply with regional policies and plans under the Resource Management Act 1991. Historically, these facilities were not required to monitor or report the waste they accepted, nor were they required to pay the waste levy or participate in the NZ ETS. However, since July 2022, non-municipal landfills have been included in the waste levy system.</w:t>
      </w:r>
    </w:p>
    <w:p w14:paraId="2BCB903C" w14:textId="77777777" w:rsidR="00BC0FD7" w:rsidRPr="001D5327" w:rsidRDefault="00BC0FD7" w:rsidP="00BC0FD7">
      <w:pPr>
        <w:pStyle w:val="BodyText"/>
      </w:pPr>
      <w:r w:rsidRPr="001D5327">
        <w:t xml:space="preserve">In 2023, the </w:t>
      </w:r>
      <w:r w:rsidRPr="001D5327">
        <w:rPr>
          <w:i/>
          <w:iCs/>
        </w:rPr>
        <w:t>Solid waste disposal</w:t>
      </w:r>
      <w:r w:rsidRPr="001D5327">
        <w:t xml:space="preserve"> source category contributed 2,256.8 kt CO</w:t>
      </w:r>
      <w:r w:rsidRPr="001D5327">
        <w:rPr>
          <w:vertAlign w:val="subscript"/>
        </w:rPr>
        <w:t>2</w:t>
      </w:r>
      <w:r w:rsidRPr="001D5327">
        <w:t xml:space="preserve">-e (77.4 per cent) of total emissions from the Waste sector. Emissions from </w:t>
      </w:r>
      <w:r w:rsidRPr="001D5327">
        <w:rPr>
          <w:i/>
          <w:iCs/>
        </w:rPr>
        <w:t>Solid waste disposal</w:t>
      </w:r>
      <w:r w:rsidRPr="001D5327">
        <w:t xml:space="preserve"> in 2023 were 373.7 kt CO</w:t>
      </w:r>
      <w:r w:rsidRPr="001D5327">
        <w:rPr>
          <w:vertAlign w:val="subscript"/>
        </w:rPr>
        <w:t>2</w:t>
      </w:r>
      <w:r w:rsidRPr="001D5327">
        <w:t>-e (14.2 per cent) below the 1990 level of 2,630.4 kt CO</w:t>
      </w:r>
      <w:r w:rsidRPr="001D5327">
        <w:rPr>
          <w:vertAlign w:val="subscript"/>
        </w:rPr>
        <w:t>2</w:t>
      </w:r>
      <w:r w:rsidRPr="001D5327">
        <w:t>-e. While there is year-to-year variation, this net decrease is the result of two trends. First, population and economic growth have driven ongoing increases in the total amount of municipal waste generated. Secondly, changing composition over time and improved landfill management practices, particularly LFG recovery, have offset this increase, resulting in emissions peaking in 2002.</w:t>
      </w:r>
    </w:p>
    <w:p w14:paraId="3B690C36" w14:textId="77777777" w:rsidR="00BC0FD7" w:rsidRPr="001D5327" w:rsidRDefault="00BC0FD7" w:rsidP="00BC0FD7">
      <w:pPr>
        <w:pStyle w:val="BodyText"/>
      </w:pPr>
      <w:r w:rsidRPr="001D5327">
        <w:t xml:space="preserve">Methane emissions from </w:t>
      </w:r>
      <w:r w:rsidRPr="001D5327">
        <w:rPr>
          <w:i/>
          <w:iCs/>
        </w:rPr>
        <w:t>Solid waste disposal</w:t>
      </w:r>
      <w:r w:rsidRPr="001D5327">
        <w:t xml:space="preserve"> were identified as a key category in the 2023 level assessment and trend assessment.</w:t>
      </w:r>
    </w:p>
    <w:p w14:paraId="48065938" w14:textId="77777777" w:rsidR="00BC0FD7" w:rsidRPr="001D5327" w:rsidRDefault="00BC0FD7" w:rsidP="00BC0FD7">
      <w:pPr>
        <w:pStyle w:val="Heading3"/>
      </w:pPr>
      <w:r w:rsidRPr="001D5327">
        <w:t xml:space="preserve">7.2.2 </w:t>
      </w:r>
      <w:r w:rsidRPr="001D5327">
        <w:tab/>
        <w:t>Methodological issues</w:t>
      </w:r>
    </w:p>
    <w:p w14:paraId="36999EDF" w14:textId="77777777" w:rsidR="00BC0FD7" w:rsidRPr="001D5327" w:rsidRDefault="00BC0FD7" w:rsidP="00BC0FD7">
      <w:pPr>
        <w:pStyle w:val="Heading4"/>
      </w:pPr>
      <w:r w:rsidRPr="001D5327">
        <w:t>Choice of activity data</w:t>
      </w:r>
    </w:p>
    <w:p w14:paraId="3E70AF92" w14:textId="77777777" w:rsidR="00BC0FD7" w:rsidRPr="001D5327" w:rsidRDefault="00BC0FD7" w:rsidP="00BC0FD7">
      <w:pPr>
        <w:pStyle w:val="BodyText"/>
      </w:pPr>
      <w:r w:rsidRPr="001D5327">
        <w:t xml:space="preserve">The quality and availability of activity data for </w:t>
      </w:r>
      <w:r w:rsidRPr="001D5327">
        <w:rPr>
          <w:i/>
          <w:iCs/>
        </w:rPr>
        <w:t>Solid waste disposal</w:t>
      </w:r>
      <w:r w:rsidRPr="001D5327">
        <w:t xml:space="preserve"> vary significantly. For municipal landfills prior to 2010, data were primarily derived from occasional surveys, rather than consistent annual data collection. Since 2010, however, high-quality activity data have been reported monthly and annually through the waste levy system.</w:t>
      </w:r>
    </w:p>
    <w:p w14:paraId="040C56B9" w14:textId="77777777" w:rsidR="00BC0FD7" w:rsidRPr="001D5327" w:rsidRDefault="00BC0FD7" w:rsidP="00BC0FD7">
      <w:pPr>
        <w:pStyle w:val="BodyText"/>
        <w:rPr>
          <w:lang w:eastAsia="en-US"/>
        </w:rPr>
      </w:pPr>
      <w:r w:rsidRPr="001D5327">
        <w:t>For non-municipal landfills, activity data used in this report were sourced exclusively from the levy system, replacing previous survey-based data collection, which was of limited quality and led to significant overestimations.</w:t>
      </w:r>
    </w:p>
    <w:p w14:paraId="6867B326" w14:textId="77777777" w:rsidR="00BC0FD7" w:rsidRPr="001D5327" w:rsidRDefault="00BC0FD7" w:rsidP="00BC0FD7">
      <w:pPr>
        <w:pStyle w:val="Heading5"/>
      </w:pPr>
      <w:bookmarkStart w:id="2822" w:name="municipal-landfills-5.a.1.a-and-5.a.3"/>
      <w:r w:rsidRPr="001D5327">
        <w:t>Municipal landfills (5.A.1.a and 5.A.3)</w:t>
      </w:r>
    </w:p>
    <w:p w14:paraId="6D509EA1" w14:textId="77777777" w:rsidR="00BC0FD7" w:rsidRPr="001D5327" w:rsidRDefault="00BC0FD7" w:rsidP="00BC0FD7">
      <w:pPr>
        <w:pStyle w:val="BodyText"/>
      </w:pPr>
      <w:r w:rsidRPr="001D5327">
        <w:t>Annual waste placement data for municipal landfills have been estimated using the following methods:</w:t>
      </w:r>
    </w:p>
    <w:p w14:paraId="48E280EC" w14:textId="77777777" w:rsidR="00BC0FD7" w:rsidRPr="001D5327" w:rsidRDefault="00BC0FD7" w:rsidP="00BC0FD7">
      <w:pPr>
        <w:pStyle w:val="Bullet"/>
      </w:pPr>
      <w:r w:rsidRPr="001D5327">
        <w:t>back-casting from a 1982 national survey, using real (inflation-adjusted) GDP, for the years before 1982</w:t>
      </w:r>
    </w:p>
    <w:p w14:paraId="3478B015" w14:textId="77777777" w:rsidR="00BC0FD7" w:rsidRPr="001D5327" w:rsidRDefault="00BC0FD7" w:rsidP="00BC0FD7">
      <w:pPr>
        <w:pStyle w:val="Bullet"/>
      </w:pPr>
      <w:r w:rsidRPr="001D5327">
        <w:t>national surveys conducted in 1982, 1995, 1998, 2002 and 2006</w:t>
      </w:r>
    </w:p>
    <w:p w14:paraId="1507E102" w14:textId="77777777" w:rsidR="00BC0FD7" w:rsidRPr="001D5327" w:rsidRDefault="00BC0FD7" w:rsidP="00BC0FD7">
      <w:pPr>
        <w:pStyle w:val="Bullet"/>
      </w:pPr>
      <w:r w:rsidRPr="001D5327">
        <w:t>linear interpolation for the years between these surveys</w:t>
      </w:r>
    </w:p>
    <w:p w14:paraId="6A4FD939" w14:textId="77777777" w:rsidR="00BC0FD7" w:rsidRPr="001D5327" w:rsidRDefault="00BC0FD7" w:rsidP="00BC0FD7">
      <w:pPr>
        <w:pStyle w:val="Bullet"/>
      </w:pPr>
      <w:r w:rsidRPr="001D5327">
        <w:t>linear interpolation for the years 2007 to 2009</w:t>
      </w:r>
    </w:p>
    <w:p w14:paraId="144D5533" w14:textId="77777777" w:rsidR="00BC0FD7" w:rsidRPr="001D5327" w:rsidRDefault="00BC0FD7" w:rsidP="00BC0FD7">
      <w:pPr>
        <w:pStyle w:val="Bullet"/>
      </w:pPr>
      <w:r w:rsidRPr="001D5327">
        <w:t>annual data collected under the Waste Minimisation Act 2008 since 2010.</w:t>
      </w:r>
    </w:p>
    <w:p w14:paraId="75CA31CF" w14:textId="77777777" w:rsidR="00BC0FD7" w:rsidRPr="001D5327" w:rsidRDefault="00BC0FD7" w:rsidP="00BC0FD7">
      <w:pPr>
        <w:pStyle w:val="BodyText"/>
      </w:pPr>
      <w:r w:rsidRPr="001D5327">
        <w:t>A regression analysis established that there was a correlation between real GDP and the amount of waste landfilled up to 2002. The transition from national surveys to using data collected under the Waste Minimisation Act 2008 involves linear interpolation. Other methods were explored, but this approach gave the most robust estimates (Eunomia Research and Consulting and Waste Not Consulting, unpublished).</w:t>
      </w:r>
    </w:p>
    <w:p w14:paraId="68E5B973" w14:textId="77777777" w:rsidR="00BC0FD7" w:rsidRPr="001D5327" w:rsidRDefault="00BC0FD7" w:rsidP="00BC0FD7">
      <w:pPr>
        <w:pStyle w:val="BodyText"/>
      </w:pPr>
      <w:r w:rsidRPr="001D5327">
        <w:t>Additional data for landfill emissions were collected through a 2009 survey (SKM, unpublished(b)) of 25 landfills operating at the time, all of which either had or planned to install LFG recovery systems by 2012. These sites provided annual waste placement data.</w:t>
      </w:r>
    </w:p>
    <w:p w14:paraId="5008564E" w14:textId="77777777" w:rsidR="00BC0FD7" w:rsidRPr="001D5327" w:rsidRDefault="00BC0FD7" w:rsidP="00BC0FD7">
      <w:pPr>
        <w:pStyle w:val="BodyText"/>
      </w:pPr>
      <w:r w:rsidRPr="001D5327">
        <w:lastRenderedPageBreak/>
        <w:t>While some of these landfills have since closed and no longer accept waste, they continue to generate CH₄ emissions. Since 2009, one large landfill has opened and an existing site installed an LFG recovery system in 2018. These sites are included in the emissions estimates.</w:t>
      </w:r>
    </w:p>
    <w:p w14:paraId="6AE3CCE5" w14:textId="77777777" w:rsidR="00BC0FD7" w:rsidRPr="001D5327" w:rsidRDefault="00BC0FD7" w:rsidP="00BC0FD7">
      <w:pPr>
        <w:pStyle w:val="BodyText"/>
      </w:pPr>
      <w:r w:rsidRPr="001D5327">
        <w:t>From 2010 onwards, all municipal landfills report waste placement volumes under the Waste Minimisation Act 2008. The number of managed landfills is detailed in table 7.2.2.</w:t>
      </w:r>
    </w:p>
    <w:p w14:paraId="40384FDF" w14:textId="77777777" w:rsidR="00BC0FD7" w:rsidRPr="001D5327" w:rsidRDefault="00BC0FD7" w:rsidP="00BC0FD7">
      <w:pPr>
        <w:pStyle w:val="Table"/>
      </w:pPr>
      <w:bookmarkStart w:id="2823" w:name="_Toc194241800"/>
      <w:r w:rsidRPr="001D5327">
        <w:t xml:space="preserve">Table 7.2.2 </w:t>
      </w:r>
      <w:r w:rsidRPr="001D5327">
        <w:tab/>
        <w:t xml:space="preserve">Landfill categories in </w:t>
      </w:r>
      <w:r w:rsidRPr="001D5327">
        <w:rPr>
          <w:bCs/>
        </w:rPr>
        <w:t>2023</w:t>
      </w:r>
      <w:bookmarkEnd w:id="2823"/>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704"/>
        <w:gridCol w:w="1972"/>
        <w:gridCol w:w="2233"/>
        <w:gridCol w:w="585"/>
      </w:tblGrid>
      <w:tr w:rsidR="00BC0FD7" w:rsidRPr="001D5327" w14:paraId="5AD345E3" w14:textId="77777777" w:rsidTr="00D11AC9">
        <w:trPr>
          <w:tblHeader/>
        </w:trPr>
        <w:tc>
          <w:tcPr>
            <w:tcW w:w="0" w:type="auto"/>
            <w:shd w:val="clear" w:color="auto" w:fill="1B556B"/>
            <w:tcMar>
              <w:top w:w="0" w:type="dxa"/>
              <w:left w:w="85" w:type="dxa"/>
              <w:bottom w:w="0" w:type="dxa"/>
              <w:right w:w="85" w:type="dxa"/>
            </w:tcMar>
          </w:tcPr>
          <w:p w14:paraId="4B5D0064"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Landfill type</w:t>
            </w:r>
          </w:p>
        </w:tc>
        <w:tc>
          <w:tcPr>
            <w:tcW w:w="0" w:type="auto"/>
            <w:shd w:val="clear" w:color="auto" w:fill="1B556B"/>
            <w:tcMar>
              <w:top w:w="0" w:type="dxa"/>
              <w:left w:w="85" w:type="dxa"/>
              <w:bottom w:w="0" w:type="dxa"/>
              <w:right w:w="85" w:type="dxa"/>
            </w:tcMar>
          </w:tcPr>
          <w:p w14:paraId="49E4E920"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Sites with LFG recovery</w:t>
            </w:r>
          </w:p>
        </w:tc>
        <w:tc>
          <w:tcPr>
            <w:tcW w:w="0" w:type="auto"/>
            <w:shd w:val="clear" w:color="auto" w:fill="1B556B"/>
            <w:tcMar>
              <w:top w:w="0" w:type="dxa"/>
              <w:left w:w="85" w:type="dxa"/>
              <w:bottom w:w="0" w:type="dxa"/>
              <w:right w:w="85" w:type="dxa"/>
            </w:tcMar>
          </w:tcPr>
          <w:p w14:paraId="6DD04092"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Sites without LFG recovery</w:t>
            </w:r>
          </w:p>
        </w:tc>
        <w:tc>
          <w:tcPr>
            <w:tcW w:w="0" w:type="auto"/>
            <w:shd w:val="clear" w:color="auto" w:fill="1B556B"/>
            <w:tcMar>
              <w:top w:w="0" w:type="dxa"/>
              <w:left w:w="85" w:type="dxa"/>
              <w:bottom w:w="0" w:type="dxa"/>
              <w:right w:w="85" w:type="dxa"/>
            </w:tcMar>
          </w:tcPr>
          <w:p w14:paraId="694A19F9"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Total</w:t>
            </w:r>
          </w:p>
        </w:tc>
      </w:tr>
      <w:tr w:rsidR="00BC0FD7" w:rsidRPr="001D5327" w14:paraId="387EC806" w14:textId="77777777" w:rsidTr="00D11AC9">
        <w:tc>
          <w:tcPr>
            <w:tcW w:w="0" w:type="auto"/>
            <w:shd w:val="clear" w:color="auto" w:fill="FFFFFF" w:themeFill="background1"/>
            <w:tcMar>
              <w:top w:w="0" w:type="dxa"/>
              <w:left w:w="85" w:type="dxa"/>
              <w:bottom w:w="0" w:type="dxa"/>
              <w:right w:w="85" w:type="dxa"/>
            </w:tcMar>
          </w:tcPr>
          <w:p w14:paraId="762D0CE6" w14:textId="77777777" w:rsidR="00BC0FD7" w:rsidRPr="001D5327" w:rsidRDefault="00BC0FD7" w:rsidP="00D11AC9">
            <w:pPr>
              <w:pStyle w:val="TableText"/>
              <w:spacing w:before="40" w:after="40"/>
            </w:pPr>
            <w:r w:rsidRPr="001D5327">
              <w:rPr>
                <w:rFonts w:eastAsia="Calibri"/>
              </w:rPr>
              <w:t>Open landfills under the NZ ETS and waste levy</w:t>
            </w:r>
          </w:p>
        </w:tc>
        <w:tc>
          <w:tcPr>
            <w:tcW w:w="0" w:type="auto"/>
            <w:shd w:val="clear" w:color="auto" w:fill="FFFFFF" w:themeFill="background1"/>
            <w:tcMar>
              <w:top w:w="0" w:type="dxa"/>
              <w:left w:w="85" w:type="dxa"/>
              <w:bottom w:w="0" w:type="dxa"/>
              <w:right w:w="85" w:type="dxa"/>
            </w:tcMar>
          </w:tcPr>
          <w:p w14:paraId="3954C1ED" w14:textId="77777777" w:rsidR="00BC0FD7" w:rsidRPr="001D5327" w:rsidRDefault="00BC0FD7" w:rsidP="00D11AC9">
            <w:pPr>
              <w:pStyle w:val="TableText"/>
              <w:spacing w:before="40" w:after="40"/>
              <w:jc w:val="right"/>
            </w:pPr>
            <w:r w:rsidRPr="001D5327">
              <w:rPr>
                <w:rFonts w:eastAsia="Calibri"/>
                <w:color w:val="000000"/>
              </w:rPr>
              <w:t>17</w:t>
            </w:r>
          </w:p>
        </w:tc>
        <w:tc>
          <w:tcPr>
            <w:tcW w:w="0" w:type="auto"/>
            <w:shd w:val="clear" w:color="auto" w:fill="FFFFFF" w:themeFill="background1"/>
            <w:tcMar>
              <w:top w:w="0" w:type="dxa"/>
              <w:left w:w="85" w:type="dxa"/>
              <w:bottom w:w="0" w:type="dxa"/>
              <w:right w:w="85" w:type="dxa"/>
            </w:tcMar>
          </w:tcPr>
          <w:p w14:paraId="03A06A02" w14:textId="77777777" w:rsidR="00BC0FD7" w:rsidRPr="001D5327" w:rsidRDefault="00BC0FD7" w:rsidP="00D11AC9">
            <w:pPr>
              <w:pStyle w:val="TableText"/>
              <w:spacing w:before="40" w:after="40"/>
              <w:jc w:val="right"/>
            </w:pPr>
            <w:r w:rsidRPr="001D5327">
              <w:rPr>
                <w:rFonts w:eastAsia="Calibri"/>
                <w:color w:val="000000"/>
              </w:rPr>
              <w:t>23</w:t>
            </w:r>
          </w:p>
        </w:tc>
        <w:tc>
          <w:tcPr>
            <w:tcW w:w="0" w:type="auto"/>
            <w:shd w:val="clear" w:color="auto" w:fill="FFFFFF" w:themeFill="background1"/>
            <w:tcMar>
              <w:top w:w="0" w:type="dxa"/>
              <w:left w:w="85" w:type="dxa"/>
              <w:bottom w:w="0" w:type="dxa"/>
              <w:right w:w="85" w:type="dxa"/>
            </w:tcMar>
          </w:tcPr>
          <w:p w14:paraId="3C0F7816" w14:textId="77777777" w:rsidR="00BC0FD7" w:rsidRPr="001D5327" w:rsidRDefault="00BC0FD7" w:rsidP="00D11AC9">
            <w:pPr>
              <w:pStyle w:val="TableText"/>
              <w:spacing w:before="40" w:after="40"/>
              <w:jc w:val="right"/>
            </w:pPr>
            <w:r w:rsidRPr="001D5327">
              <w:rPr>
                <w:rFonts w:eastAsia="Calibri"/>
                <w:color w:val="000000"/>
              </w:rPr>
              <w:t>40</w:t>
            </w:r>
          </w:p>
        </w:tc>
      </w:tr>
      <w:tr w:rsidR="00BC0FD7" w:rsidRPr="001D5327" w14:paraId="3E7A145D" w14:textId="77777777" w:rsidTr="00D11AC9">
        <w:tc>
          <w:tcPr>
            <w:tcW w:w="0" w:type="auto"/>
            <w:shd w:val="clear" w:color="auto" w:fill="FFFFFF" w:themeFill="background1"/>
            <w:tcMar>
              <w:top w:w="0" w:type="dxa"/>
              <w:left w:w="85" w:type="dxa"/>
              <w:bottom w:w="0" w:type="dxa"/>
              <w:right w:w="85" w:type="dxa"/>
            </w:tcMar>
          </w:tcPr>
          <w:p w14:paraId="72CC5476" w14:textId="77777777" w:rsidR="00BC0FD7" w:rsidRPr="001D5327" w:rsidRDefault="00BC0FD7" w:rsidP="00D11AC9">
            <w:pPr>
              <w:pStyle w:val="TableText"/>
              <w:spacing w:before="40" w:after="40"/>
            </w:pPr>
            <w:r w:rsidRPr="001D5327">
              <w:rPr>
                <w:rFonts w:eastAsia="Calibri"/>
                <w:color w:val="000000"/>
              </w:rPr>
              <w:t>Closed landfills (still emitting)</w:t>
            </w:r>
          </w:p>
        </w:tc>
        <w:tc>
          <w:tcPr>
            <w:tcW w:w="0" w:type="auto"/>
            <w:shd w:val="clear" w:color="auto" w:fill="FFFFFF" w:themeFill="background1"/>
            <w:tcMar>
              <w:top w:w="0" w:type="dxa"/>
              <w:left w:w="85" w:type="dxa"/>
              <w:bottom w:w="0" w:type="dxa"/>
              <w:right w:w="85" w:type="dxa"/>
            </w:tcMar>
          </w:tcPr>
          <w:p w14:paraId="23D11B3F" w14:textId="77777777" w:rsidR="00BC0FD7" w:rsidRPr="001D5327" w:rsidRDefault="00BC0FD7" w:rsidP="00D11AC9">
            <w:pPr>
              <w:pStyle w:val="TableText"/>
              <w:spacing w:before="40" w:after="40"/>
              <w:jc w:val="right"/>
            </w:pPr>
            <w:r w:rsidRPr="001D5327">
              <w:rPr>
                <w:rFonts w:eastAsia="Calibri"/>
                <w:color w:val="000000"/>
              </w:rPr>
              <w:t>10</w:t>
            </w:r>
          </w:p>
        </w:tc>
        <w:tc>
          <w:tcPr>
            <w:tcW w:w="0" w:type="auto"/>
            <w:shd w:val="clear" w:color="auto" w:fill="FFFFFF" w:themeFill="background1"/>
            <w:tcMar>
              <w:top w:w="0" w:type="dxa"/>
              <w:left w:w="85" w:type="dxa"/>
              <w:bottom w:w="0" w:type="dxa"/>
              <w:right w:w="85" w:type="dxa"/>
            </w:tcMar>
          </w:tcPr>
          <w:p w14:paraId="280EF46A" w14:textId="77777777" w:rsidR="00BC0FD7" w:rsidRPr="001D5327" w:rsidRDefault="00BC0FD7" w:rsidP="00D11AC9">
            <w:pPr>
              <w:pStyle w:val="TableText"/>
              <w:spacing w:before="40" w:after="40"/>
              <w:jc w:val="right"/>
            </w:pPr>
            <w:r w:rsidRPr="001D5327">
              <w:rPr>
                <w:rFonts w:eastAsia="Calibri"/>
              </w:rPr>
              <w:t>16</w:t>
            </w:r>
          </w:p>
        </w:tc>
        <w:tc>
          <w:tcPr>
            <w:tcW w:w="0" w:type="auto"/>
            <w:shd w:val="clear" w:color="auto" w:fill="FFFFFF" w:themeFill="background1"/>
            <w:tcMar>
              <w:top w:w="0" w:type="dxa"/>
              <w:left w:w="85" w:type="dxa"/>
              <w:bottom w:w="0" w:type="dxa"/>
              <w:right w:w="85" w:type="dxa"/>
            </w:tcMar>
          </w:tcPr>
          <w:p w14:paraId="60C346A5" w14:textId="77777777" w:rsidR="00BC0FD7" w:rsidRPr="001D5327" w:rsidRDefault="00BC0FD7" w:rsidP="00D11AC9">
            <w:pPr>
              <w:pStyle w:val="TableText"/>
              <w:spacing w:before="40" w:after="40"/>
              <w:jc w:val="right"/>
            </w:pPr>
            <w:r w:rsidRPr="001D5327">
              <w:rPr>
                <w:rFonts w:eastAsia="Calibri"/>
              </w:rPr>
              <w:t>26</w:t>
            </w:r>
          </w:p>
        </w:tc>
      </w:tr>
      <w:tr w:rsidR="00BC0FD7" w:rsidRPr="001D5327" w14:paraId="5CE5B5D9" w14:textId="77777777" w:rsidTr="00D11AC9">
        <w:tc>
          <w:tcPr>
            <w:tcW w:w="0" w:type="auto"/>
            <w:shd w:val="clear" w:color="auto" w:fill="FFFFFF" w:themeFill="background1"/>
            <w:tcMar>
              <w:top w:w="0" w:type="dxa"/>
              <w:left w:w="85" w:type="dxa"/>
              <w:bottom w:w="0" w:type="dxa"/>
              <w:right w:w="85" w:type="dxa"/>
            </w:tcMar>
          </w:tcPr>
          <w:p w14:paraId="6C6C0741" w14:textId="77777777" w:rsidR="00BC0FD7" w:rsidRPr="001D5327" w:rsidRDefault="00BC0FD7" w:rsidP="00D11AC9">
            <w:pPr>
              <w:pStyle w:val="TableText"/>
              <w:spacing w:before="40" w:after="40"/>
            </w:pPr>
            <w:r w:rsidRPr="001D5327">
              <w:rPr>
                <w:rFonts w:eastAsia="Calibri"/>
                <w:color w:val="000000"/>
              </w:rPr>
              <w:t>Total</w:t>
            </w:r>
          </w:p>
        </w:tc>
        <w:tc>
          <w:tcPr>
            <w:tcW w:w="0" w:type="auto"/>
            <w:shd w:val="clear" w:color="auto" w:fill="FFFFFF" w:themeFill="background1"/>
            <w:tcMar>
              <w:top w:w="0" w:type="dxa"/>
              <w:left w:w="85" w:type="dxa"/>
              <w:bottom w:w="0" w:type="dxa"/>
              <w:right w:w="85" w:type="dxa"/>
            </w:tcMar>
          </w:tcPr>
          <w:p w14:paraId="075F2FCB" w14:textId="77777777" w:rsidR="00BC0FD7" w:rsidRPr="001D5327" w:rsidRDefault="00BC0FD7" w:rsidP="00D11AC9">
            <w:pPr>
              <w:pStyle w:val="TableText"/>
              <w:spacing w:before="40" w:after="40"/>
              <w:jc w:val="right"/>
            </w:pPr>
            <w:r w:rsidRPr="001D5327">
              <w:rPr>
                <w:rFonts w:eastAsia="Calibri"/>
                <w:color w:val="000000"/>
              </w:rPr>
              <w:t>27</w:t>
            </w:r>
          </w:p>
        </w:tc>
        <w:tc>
          <w:tcPr>
            <w:tcW w:w="0" w:type="auto"/>
            <w:shd w:val="clear" w:color="auto" w:fill="FFFFFF" w:themeFill="background1"/>
            <w:tcMar>
              <w:top w:w="0" w:type="dxa"/>
              <w:left w:w="85" w:type="dxa"/>
              <w:bottom w:w="0" w:type="dxa"/>
              <w:right w:w="85" w:type="dxa"/>
            </w:tcMar>
          </w:tcPr>
          <w:p w14:paraId="69B936DD" w14:textId="77777777" w:rsidR="00BC0FD7" w:rsidRPr="001D5327" w:rsidRDefault="00BC0FD7" w:rsidP="00D11AC9">
            <w:pPr>
              <w:pStyle w:val="TableText"/>
              <w:spacing w:before="40" w:after="40"/>
              <w:jc w:val="right"/>
            </w:pPr>
            <w:r w:rsidRPr="001D5327">
              <w:rPr>
                <w:rFonts w:eastAsia="Calibri"/>
              </w:rPr>
              <w:t>39</w:t>
            </w:r>
          </w:p>
        </w:tc>
        <w:tc>
          <w:tcPr>
            <w:tcW w:w="0" w:type="auto"/>
            <w:shd w:val="clear" w:color="auto" w:fill="FFFFFF" w:themeFill="background1"/>
            <w:tcMar>
              <w:top w:w="0" w:type="dxa"/>
              <w:left w:w="85" w:type="dxa"/>
              <w:bottom w:w="0" w:type="dxa"/>
              <w:right w:w="85" w:type="dxa"/>
            </w:tcMar>
          </w:tcPr>
          <w:p w14:paraId="017ABE5D" w14:textId="77777777" w:rsidR="00BC0FD7" w:rsidRPr="001D5327" w:rsidRDefault="00BC0FD7" w:rsidP="00D11AC9">
            <w:pPr>
              <w:pStyle w:val="TableText"/>
              <w:spacing w:before="40" w:after="40"/>
              <w:jc w:val="right"/>
            </w:pPr>
            <w:r w:rsidRPr="001D5327">
              <w:rPr>
                <w:rFonts w:eastAsia="Calibri"/>
              </w:rPr>
              <w:t>66</w:t>
            </w:r>
          </w:p>
        </w:tc>
      </w:tr>
    </w:tbl>
    <w:p w14:paraId="737E2B49" w14:textId="77777777" w:rsidR="00BC0FD7" w:rsidRPr="001D5327" w:rsidRDefault="00BC0FD7" w:rsidP="00BC0FD7">
      <w:pPr>
        <w:pStyle w:val="Noteundertable"/>
      </w:pPr>
      <w:r w:rsidRPr="001D5327">
        <w:rPr>
          <w:b/>
          <w:bCs/>
        </w:rPr>
        <w:t>Note:</w:t>
      </w:r>
      <w:r w:rsidRPr="001D5327">
        <w:t xml:space="preserve"> LFG = landfill gas; NZ ETS = New Zealand Emissions Trading Scheme.</w:t>
      </w:r>
    </w:p>
    <w:p w14:paraId="4A4F7293" w14:textId="77777777" w:rsidR="00BC0FD7" w:rsidRPr="001D5327" w:rsidRDefault="00BC0FD7" w:rsidP="00BC0FD7">
      <w:pPr>
        <w:pStyle w:val="BodyText"/>
      </w:pPr>
      <w:r w:rsidRPr="001D5327">
        <w:t xml:space="preserve">For the period from 1950 to 1995, waste placement at </w:t>
      </w:r>
      <w:r w:rsidRPr="001D5327">
        <w:rPr>
          <w:i/>
          <w:iCs/>
        </w:rPr>
        <w:t>Uncategorised waste disposal sites</w:t>
      </w:r>
      <w:r w:rsidRPr="001D5327">
        <w:t xml:space="preserve"> (5.A.3) is estimated as a fixed fraction (10 per cent) of the difference between the national total and sites with LFG recovery, as shown in the equation below:</w:t>
      </w:r>
    </w:p>
    <w:p w14:paraId="64EB5056" w14:textId="77777777" w:rsidR="00BC0FD7" w:rsidRPr="001D5327" w:rsidRDefault="00BC0FD7" w:rsidP="00BC0FD7">
      <w:pPr>
        <w:pStyle w:val="BodyText"/>
        <w:rPr>
          <w:rFonts w:ascii="Cambria Math" w:hAnsi="Cambria Math"/>
        </w:rPr>
      </w:pPr>
      <m:oMathPara>
        <m:oMathParaPr>
          <m:jc m:val="center"/>
        </m:oMathParaPr>
        <m:oMath>
          <m:r>
            <m:rPr>
              <m:nor/>
            </m:rPr>
            <w:rPr>
              <w:rFonts w:ascii="Cambria Math" w:hAnsi="Cambria Math"/>
            </w:rPr>
            <m:t>disposal</m:t>
          </m:r>
          <m:r>
            <w:rPr>
              <w:rFonts w:ascii="Cambria Math" w:hAnsi="Cambria Math"/>
            </w:rPr>
            <m:t> </m:t>
          </m:r>
          <m:r>
            <m:rPr>
              <m:nor/>
            </m:rPr>
            <w:rPr>
              <w:rFonts w:ascii="Cambria Math" w:hAnsi="Cambria Math"/>
            </w:rPr>
            <m:t>for</m:t>
          </m:r>
          <m:r>
            <w:rPr>
              <w:rFonts w:ascii="Cambria Math" w:hAnsi="Cambria Math"/>
            </w:rPr>
            <m:t> 5</m:t>
          </m:r>
          <m:r>
            <m:rPr>
              <m:sty m:val="p"/>
            </m:rPr>
            <w:rPr>
              <w:rFonts w:ascii="Cambria Math" w:hAnsi="Cambria Math"/>
            </w:rPr>
            <m:t>.</m:t>
          </m:r>
          <m:r>
            <w:rPr>
              <w:rFonts w:ascii="Cambria Math" w:hAnsi="Cambria Math"/>
            </w:rPr>
            <m:t>A.3</m:t>
          </m:r>
          <m:r>
            <m:rPr>
              <m:sty m:val="p"/>
            </m:rPr>
            <w:rPr>
              <w:rFonts w:ascii="Cambria Math" w:hAnsi="Cambria Math"/>
            </w:rPr>
            <m:t>=</m:t>
          </m:r>
          <m:r>
            <w:rPr>
              <w:rFonts w:ascii="Cambria Math" w:hAnsi="Cambria Math"/>
            </w:rPr>
            <m:t> 10</m:t>
          </m:r>
          <m:r>
            <m:rPr>
              <m:sty m:val="p"/>
            </m:rPr>
            <w:rPr>
              <w:rFonts w:ascii="Cambria Math" w:hAnsi="Cambria Math"/>
            </w:rPr>
            <m:t>%×</m:t>
          </m:r>
          <m:d>
            <m:dPr>
              <m:ctrlPr>
                <w:rPr>
                  <w:rFonts w:ascii="Cambria Math" w:hAnsi="Cambria Math"/>
                </w:rPr>
              </m:ctrlPr>
            </m:dPr>
            <m:e>
              <m:r>
                <m:rPr>
                  <m:nor/>
                </m:rPr>
                <w:rPr>
                  <w:rFonts w:ascii="Cambria Math" w:hAnsi="Cambria Math"/>
                </w:rPr>
                <m:t>national</m:t>
              </m:r>
              <m:r>
                <w:rPr>
                  <w:rFonts w:ascii="Cambria Math" w:hAnsi="Cambria Math"/>
                </w:rPr>
                <m:t> </m:t>
              </m:r>
              <m:r>
                <m:rPr>
                  <m:nor/>
                </m:rPr>
                <w:rPr>
                  <w:rFonts w:ascii="Cambria Math" w:hAnsi="Cambria Math"/>
                </w:rPr>
                <m:t>total</m:t>
              </m:r>
              <m:r>
                <m:rPr>
                  <m:sty m:val="p"/>
                </m:rPr>
                <w:rPr>
                  <w:rFonts w:ascii="Cambria Math" w:hAnsi="Cambria Math"/>
                </w:rPr>
                <m:t>-</m:t>
              </m:r>
              <m:r>
                <m:rPr>
                  <m:nor/>
                </m:rPr>
                <w:rPr>
                  <w:rFonts w:ascii="Cambria Math" w:hAnsi="Cambria Math"/>
                </w:rPr>
                <m:t>disposal</m:t>
              </m:r>
              <m:r>
                <w:rPr>
                  <w:rFonts w:ascii="Cambria Math" w:hAnsi="Cambria Math"/>
                </w:rPr>
                <m:t> </m:t>
              </m:r>
              <m:r>
                <m:rPr>
                  <m:nor/>
                </m:rPr>
                <w:rPr>
                  <w:rFonts w:ascii="Cambria Math" w:hAnsi="Cambria Math"/>
                </w:rPr>
                <m:t>for</m:t>
              </m:r>
              <m:r>
                <w:rPr>
                  <w:rFonts w:ascii="Cambria Math" w:hAnsi="Cambria Math"/>
                </w:rPr>
                <m:t> </m:t>
              </m:r>
              <m:r>
                <m:rPr>
                  <m:nor/>
                </m:rPr>
                <w:rPr>
                  <w:rFonts w:ascii="Cambria Math" w:hAnsi="Cambria Math"/>
                </w:rPr>
                <m:t>LFG</m:t>
              </m:r>
              <m:r>
                <w:rPr>
                  <w:rFonts w:ascii="Cambria Math" w:hAnsi="Cambria Math"/>
                </w:rPr>
                <m:t> </m:t>
              </m:r>
              <m:r>
                <m:rPr>
                  <m:nor/>
                </m:rPr>
                <w:rPr>
                  <w:rFonts w:ascii="Cambria Math" w:hAnsi="Cambria Math"/>
                </w:rPr>
                <m:t>sites</m:t>
              </m:r>
            </m:e>
          </m:d>
        </m:oMath>
      </m:oMathPara>
    </w:p>
    <w:p w14:paraId="3275D267" w14:textId="77777777" w:rsidR="00BC0FD7" w:rsidRPr="001D5327" w:rsidRDefault="00BC0FD7" w:rsidP="00BC0FD7">
      <w:pPr>
        <w:pStyle w:val="BodyText"/>
      </w:pPr>
      <w:r w:rsidRPr="001D5327">
        <w:t>Between 1995 and 2010, the 10 per cent fraction gradually declines to zero. From 2010 onwards, activity data for uncategorised sites are reported as ‘not occurring’.</w:t>
      </w:r>
    </w:p>
    <w:p w14:paraId="6D15871E" w14:textId="77777777" w:rsidR="00BC0FD7" w:rsidRPr="001D5327" w:rsidRDefault="00BC0FD7" w:rsidP="00BC0FD7">
      <w:pPr>
        <w:pStyle w:val="BodyText"/>
      </w:pPr>
      <w:r w:rsidRPr="001D5327">
        <w:t>Waste placement from 1950 to 2023 is presented in table 7.2.3. Landfill sites that have had LFG recovery systems at any point since 1950 are categorised as ‘sites with LFG recovery’, even though no sites had such systems before 1985.</w:t>
      </w:r>
    </w:p>
    <w:p w14:paraId="6DED7199" w14:textId="77777777" w:rsidR="00BC0FD7" w:rsidRPr="001D5327" w:rsidRDefault="00BC0FD7" w:rsidP="00BC0FD7">
      <w:pPr>
        <w:pStyle w:val="Table"/>
      </w:pPr>
      <w:bookmarkStart w:id="2824" w:name="_Toc194241801"/>
      <w:r w:rsidRPr="001D5327">
        <w:t xml:space="preserve">Table 7.2.3 </w:t>
      </w:r>
      <w:r w:rsidRPr="001D5327">
        <w:tab/>
        <w:t>Solid waste deposited to municipal and uncategorised landfills, from 1950 to </w:t>
      </w:r>
      <w:r w:rsidRPr="001D5327">
        <w:rPr>
          <w:bCs/>
        </w:rPr>
        <w:t>2023</w:t>
      </w:r>
      <w:bookmarkEnd w:id="2824"/>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583"/>
        <w:gridCol w:w="2339"/>
        <w:gridCol w:w="2606"/>
        <w:gridCol w:w="2049"/>
        <w:gridCol w:w="917"/>
      </w:tblGrid>
      <w:tr w:rsidR="00BC0FD7" w:rsidRPr="001D5327" w14:paraId="2EDC09A6" w14:textId="77777777" w:rsidTr="00D11AC9">
        <w:trPr>
          <w:tblHeader/>
        </w:trPr>
        <w:tc>
          <w:tcPr>
            <w:tcW w:w="0" w:type="auto"/>
            <w:shd w:val="clear" w:color="auto" w:fill="1B556B"/>
            <w:tcMar>
              <w:top w:w="0" w:type="dxa"/>
              <w:left w:w="85" w:type="dxa"/>
              <w:bottom w:w="0" w:type="dxa"/>
              <w:right w:w="85" w:type="dxa"/>
            </w:tcMar>
          </w:tcPr>
          <w:p w14:paraId="492BE368"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Year</w:t>
            </w:r>
          </w:p>
        </w:tc>
        <w:tc>
          <w:tcPr>
            <w:tcW w:w="0" w:type="auto"/>
            <w:shd w:val="clear" w:color="auto" w:fill="1B556B"/>
            <w:tcMar>
              <w:top w:w="0" w:type="dxa"/>
              <w:left w:w="85" w:type="dxa"/>
              <w:bottom w:w="0" w:type="dxa"/>
              <w:right w:w="85" w:type="dxa"/>
            </w:tcMar>
          </w:tcPr>
          <w:p w14:paraId="33BFEB1E"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Sites with LFG recovery (kt)</w:t>
            </w:r>
          </w:p>
        </w:tc>
        <w:tc>
          <w:tcPr>
            <w:tcW w:w="0" w:type="auto"/>
            <w:shd w:val="clear" w:color="auto" w:fill="1B556B"/>
            <w:tcMar>
              <w:top w:w="0" w:type="dxa"/>
              <w:left w:w="85" w:type="dxa"/>
              <w:bottom w:w="0" w:type="dxa"/>
              <w:right w:w="85" w:type="dxa"/>
            </w:tcMar>
          </w:tcPr>
          <w:p w14:paraId="64ABABAC"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Sites without LFG recovery (kt)</w:t>
            </w:r>
          </w:p>
        </w:tc>
        <w:tc>
          <w:tcPr>
            <w:tcW w:w="0" w:type="auto"/>
            <w:shd w:val="clear" w:color="auto" w:fill="1B556B"/>
            <w:tcMar>
              <w:top w:w="0" w:type="dxa"/>
              <w:left w:w="85" w:type="dxa"/>
              <w:bottom w:w="0" w:type="dxa"/>
              <w:right w:w="85" w:type="dxa"/>
            </w:tcMar>
          </w:tcPr>
          <w:p w14:paraId="28E5D428"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Uncategorised sites (kt)</w:t>
            </w:r>
          </w:p>
        </w:tc>
        <w:tc>
          <w:tcPr>
            <w:tcW w:w="0" w:type="auto"/>
            <w:shd w:val="clear" w:color="auto" w:fill="1B556B"/>
            <w:tcMar>
              <w:top w:w="0" w:type="dxa"/>
              <w:left w:w="85" w:type="dxa"/>
              <w:bottom w:w="0" w:type="dxa"/>
              <w:right w:w="85" w:type="dxa"/>
            </w:tcMar>
          </w:tcPr>
          <w:p w14:paraId="1408C0E0"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Total (kt)</w:t>
            </w:r>
          </w:p>
        </w:tc>
      </w:tr>
      <w:tr w:rsidR="00BC0FD7" w:rsidRPr="001D5327" w14:paraId="092523B8" w14:textId="77777777" w:rsidTr="00D11AC9">
        <w:tc>
          <w:tcPr>
            <w:tcW w:w="0" w:type="auto"/>
            <w:shd w:val="clear" w:color="auto" w:fill="FFFFFF"/>
            <w:tcMar>
              <w:top w:w="0" w:type="dxa"/>
              <w:left w:w="85" w:type="dxa"/>
              <w:bottom w:w="0" w:type="dxa"/>
              <w:right w:w="85" w:type="dxa"/>
            </w:tcMar>
          </w:tcPr>
          <w:p w14:paraId="4A6AE897"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1950</w:t>
            </w:r>
          </w:p>
        </w:tc>
        <w:tc>
          <w:tcPr>
            <w:tcW w:w="0" w:type="auto"/>
            <w:shd w:val="clear" w:color="auto" w:fill="FFFFFF"/>
            <w:tcMar>
              <w:top w:w="0" w:type="dxa"/>
              <w:left w:w="85" w:type="dxa"/>
              <w:bottom w:w="0" w:type="dxa"/>
              <w:right w:w="85" w:type="dxa"/>
            </w:tcMar>
          </w:tcPr>
          <w:p w14:paraId="0269C70B" w14:textId="77777777" w:rsidR="00BC0FD7" w:rsidRPr="001D5327" w:rsidRDefault="00BC0FD7" w:rsidP="00D11AC9">
            <w:pPr>
              <w:pStyle w:val="TableText"/>
              <w:spacing w:before="40" w:after="40"/>
              <w:jc w:val="right"/>
            </w:pPr>
            <w:r w:rsidRPr="001D5327">
              <w:rPr>
                <w:rFonts w:eastAsia="Calibri" w:cs="Calibri"/>
                <w:color w:val="000000"/>
                <w:szCs w:val="16"/>
              </w:rPr>
              <w:t>33.7</w:t>
            </w:r>
          </w:p>
        </w:tc>
        <w:tc>
          <w:tcPr>
            <w:tcW w:w="0" w:type="auto"/>
            <w:shd w:val="clear" w:color="auto" w:fill="FFFFFF"/>
            <w:tcMar>
              <w:top w:w="0" w:type="dxa"/>
              <w:left w:w="85" w:type="dxa"/>
              <w:bottom w:w="0" w:type="dxa"/>
              <w:right w:w="85" w:type="dxa"/>
            </w:tcMar>
          </w:tcPr>
          <w:p w14:paraId="2F05B0D6" w14:textId="77777777" w:rsidR="00BC0FD7" w:rsidRPr="001D5327" w:rsidRDefault="00BC0FD7" w:rsidP="00D11AC9">
            <w:pPr>
              <w:pStyle w:val="TableText"/>
              <w:spacing w:before="40" w:after="40"/>
              <w:jc w:val="right"/>
            </w:pPr>
            <w:r w:rsidRPr="001D5327">
              <w:rPr>
                <w:rFonts w:eastAsia="Calibri" w:cs="Calibri"/>
                <w:color w:val="000000"/>
                <w:szCs w:val="16"/>
              </w:rPr>
              <w:t>74.7</w:t>
            </w:r>
          </w:p>
        </w:tc>
        <w:tc>
          <w:tcPr>
            <w:tcW w:w="0" w:type="auto"/>
            <w:shd w:val="clear" w:color="auto" w:fill="FFFFFF"/>
            <w:tcMar>
              <w:top w:w="0" w:type="dxa"/>
              <w:left w:w="85" w:type="dxa"/>
              <w:bottom w:w="0" w:type="dxa"/>
              <w:right w:w="85" w:type="dxa"/>
            </w:tcMar>
          </w:tcPr>
          <w:p w14:paraId="085DD24C" w14:textId="77777777" w:rsidR="00BC0FD7" w:rsidRPr="001D5327" w:rsidRDefault="00BC0FD7" w:rsidP="00D11AC9">
            <w:pPr>
              <w:pStyle w:val="TableText"/>
              <w:spacing w:before="40" w:after="40"/>
              <w:jc w:val="right"/>
            </w:pPr>
            <w:r w:rsidRPr="001D5327">
              <w:rPr>
                <w:rFonts w:eastAsia="Calibri" w:cs="Calibri"/>
                <w:color w:val="000000"/>
                <w:szCs w:val="16"/>
              </w:rPr>
              <w:t>8.3</w:t>
            </w:r>
          </w:p>
        </w:tc>
        <w:tc>
          <w:tcPr>
            <w:tcW w:w="0" w:type="auto"/>
            <w:shd w:val="clear" w:color="auto" w:fill="FFFFFF"/>
            <w:tcMar>
              <w:top w:w="0" w:type="dxa"/>
              <w:left w:w="85" w:type="dxa"/>
              <w:bottom w:w="0" w:type="dxa"/>
              <w:right w:w="85" w:type="dxa"/>
            </w:tcMar>
          </w:tcPr>
          <w:p w14:paraId="12595BD8" w14:textId="77777777" w:rsidR="00BC0FD7" w:rsidRPr="001D5327" w:rsidRDefault="00BC0FD7" w:rsidP="00D11AC9">
            <w:pPr>
              <w:pStyle w:val="TableText"/>
              <w:spacing w:before="40" w:after="40"/>
              <w:jc w:val="right"/>
            </w:pPr>
            <w:r w:rsidRPr="001D5327">
              <w:rPr>
                <w:rFonts w:eastAsia="Calibri" w:cs="Calibri"/>
                <w:color w:val="000000"/>
                <w:szCs w:val="16"/>
              </w:rPr>
              <w:t>116.6</w:t>
            </w:r>
          </w:p>
        </w:tc>
      </w:tr>
      <w:tr w:rsidR="00BC0FD7" w:rsidRPr="001D5327" w14:paraId="019005BF" w14:textId="77777777" w:rsidTr="00D11AC9">
        <w:tc>
          <w:tcPr>
            <w:tcW w:w="0" w:type="auto"/>
            <w:shd w:val="clear" w:color="auto" w:fill="FFFFFF"/>
            <w:tcMar>
              <w:top w:w="0" w:type="dxa"/>
              <w:left w:w="85" w:type="dxa"/>
              <w:bottom w:w="0" w:type="dxa"/>
              <w:right w:w="85" w:type="dxa"/>
            </w:tcMar>
          </w:tcPr>
          <w:p w14:paraId="70D810CC"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1951</w:t>
            </w:r>
          </w:p>
        </w:tc>
        <w:tc>
          <w:tcPr>
            <w:tcW w:w="0" w:type="auto"/>
            <w:shd w:val="clear" w:color="auto" w:fill="FFFFFF"/>
            <w:tcMar>
              <w:top w:w="0" w:type="dxa"/>
              <w:left w:w="85" w:type="dxa"/>
              <w:bottom w:w="0" w:type="dxa"/>
              <w:right w:w="85" w:type="dxa"/>
            </w:tcMar>
          </w:tcPr>
          <w:p w14:paraId="2C0962D6" w14:textId="77777777" w:rsidR="00BC0FD7" w:rsidRPr="001D5327" w:rsidRDefault="00BC0FD7" w:rsidP="00D11AC9">
            <w:pPr>
              <w:pStyle w:val="TableText"/>
              <w:spacing w:before="40" w:after="40"/>
              <w:jc w:val="right"/>
            </w:pPr>
            <w:r w:rsidRPr="001D5327">
              <w:rPr>
                <w:rFonts w:eastAsia="Calibri" w:cs="Calibri"/>
                <w:color w:val="000000"/>
                <w:szCs w:val="16"/>
              </w:rPr>
              <w:t>77.5</w:t>
            </w:r>
          </w:p>
        </w:tc>
        <w:tc>
          <w:tcPr>
            <w:tcW w:w="0" w:type="auto"/>
            <w:shd w:val="clear" w:color="auto" w:fill="FFFFFF"/>
            <w:tcMar>
              <w:top w:w="0" w:type="dxa"/>
              <w:left w:w="85" w:type="dxa"/>
              <w:bottom w:w="0" w:type="dxa"/>
              <w:right w:w="85" w:type="dxa"/>
            </w:tcMar>
          </w:tcPr>
          <w:p w14:paraId="7F2187FA" w14:textId="77777777" w:rsidR="00BC0FD7" w:rsidRPr="001D5327" w:rsidRDefault="00BC0FD7" w:rsidP="00D11AC9">
            <w:pPr>
              <w:pStyle w:val="TableText"/>
              <w:spacing w:before="40" w:after="40"/>
              <w:jc w:val="right"/>
            </w:pPr>
            <w:r w:rsidRPr="001D5327">
              <w:rPr>
                <w:rFonts w:eastAsia="Calibri" w:cs="Calibri"/>
                <w:color w:val="000000"/>
                <w:szCs w:val="16"/>
              </w:rPr>
              <w:t>164.7</w:t>
            </w:r>
          </w:p>
        </w:tc>
        <w:tc>
          <w:tcPr>
            <w:tcW w:w="0" w:type="auto"/>
            <w:shd w:val="clear" w:color="auto" w:fill="FFFFFF"/>
            <w:tcMar>
              <w:top w:w="0" w:type="dxa"/>
              <w:left w:w="85" w:type="dxa"/>
              <w:bottom w:w="0" w:type="dxa"/>
              <w:right w:w="85" w:type="dxa"/>
            </w:tcMar>
          </w:tcPr>
          <w:p w14:paraId="446A72AA" w14:textId="77777777" w:rsidR="00BC0FD7" w:rsidRPr="001D5327" w:rsidRDefault="00BC0FD7" w:rsidP="00D11AC9">
            <w:pPr>
              <w:pStyle w:val="TableText"/>
              <w:spacing w:before="40" w:after="40"/>
              <w:jc w:val="right"/>
            </w:pPr>
            <w:r w:rsidRPr="001D5327">
              <w:rPr>
                <w:rFonts w:eastAsia="Calibri" w:cs="Calibri"/>
                <w:color w:val="000000"/>
                <w:szCs w:val="16"/>
              </w:rPr>
              <w:t>18.3</w:t>
            </w:r>
          </w:p>
        </w:tc>
        <w:tc>
          <w:tcPr>
            <w:tcW w:w="0" w:type="auto"/>
            <w:shd w:val="clear" w:color="auto" w:fill="FFFFFF"/>
            <w:tcMar>
              <w:top w:w="0" w:type="dxa"/>
              <w:left w:w="85" w:type="dxa"/>
              <w:bottom w:w="0" w:type="dxa"/>
              <w:right w:w="85" w:type="dxa"/>
            </w:tcMar>
          </w:tcPr>
          <w:p w14:paraId="42BDAC83" w14:textId="77777777" w:rsidR="00BC0FD7" w:rsidRPr="001D5327" w:rsidRDefault="00BC0FD7" w:rsidP="00D11AC9">
            <w:pPr>
              <w:pStyle w:val="TableText"/>
              <w:spacing w:before="40" w:after="40"/>
              <w:jc w:val="right"/>
            </w:pPr>
            <w:r w:rsidRPr="001D5327">
              <w:rPr>
                <w:rFonts w:eastAsia="Calibri" w:cs="Calibri"/>
                <w:color w:val="000000"/>
                <w:szCs w:val="16"/>
              </w:rPr>
              <w:t>260.6</w:t>
            </w:r>
          </w:p>
        </w:tc>
      </w:tr>
      <w:tr w:rsidR="00BC0FD7" w:rsidRPr="001D5327" w14:paraId="45F23B8F" w14:textId="77777777" w:rsidTr="00D11AC9">
        <w:tc>
          <w:tcPr>
            <w:tcW w:w="0" w:type="auto"/>
            <w:shd w:val="clear" w:color="auto" w:fill="FFFFFF"/>
            <w:tcMar>
              <w:top w:w="0" w:type="dxa"/>
              <w:left w:w="85" w:type="dxa"/>
              <w:bottom w:w="0" w:type="dxa"/>
              <w:right w:w="85" w:type="dxa"/>
            </w:tcMar>
          </w:tcPr>
          <w:p w14:paraId="0D390FEF"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1952</w:t>
            </w:r>
          </w:p>
        </w:tc>
        <w:tc>
          <w:tcPr>
            <w:tcW w:w="0" w:type="auto"/>
            <w:shd w:val="clear" w:color="auto" w:fill="FFFFFF"/>
            <w:tcMar>
              <w:top w:w="0" w:type="dxa"/>
              <w:left w:w="85" w:type="dxa"/>
              <w:bottom w:w="0" w:type="dxa"/>
              <w:right w:w="85" w:type="dxa"/>
            </w:tcMar>
          </w:tcPr>
          <w:p w14:paraId="6125095B" w14:textId="77777777" w:rsidR="00BC0FD7" w:rsidRPr="001D5327" w:rsidRDefault="00BC0FD7" w:rsidP="00D11AC9">
            <w:pPr>
              <w:pStyle w:val="TableText"/>
              <w:spacing w:before="40" w:after="40"/>
              <w:jc w:val="right"/>
            </w:pPr>
            <w:r w:rsidRPr="001D5327">
              <w:rPr>
                <w:rFonts w:eastAsia="Calibri" w:cs="Calibri"/>
                <w:color w:val="000000"/>
                <w:szCs w:val="16"/>
              </w:rPr>
              <w:t>77.5</w:t>
            </w:r>
          </w:p>
        </w:tc>
        <w:tc>
          <w:tcPr>
            <w:tcW w:w="0" w:type="auto"/>
            <w:shd w:val="clear" w:color="auto" w:fill="FFFFFF"/>
            <w:tcMar>
              <w:top w:w="0" w:type="dxa"/>
              <w:left w:w="85" w:type="dxa"/>
              <w:bottom w:w="0" w:type="dxa"/>
              <w:right w:w="85" w:type="dxa"/>
            </w:tcMar>
          </w:tcPr>
          <w:p w14:paraId="64E4E2FA" w14:textId="77777777" w:rsidR="00BC0FD7" w:rsidRPr="001D5327" w:rsidRDefault="00BC0FD7" w:rsidP="00D11AC9">
            <w:pPr>
              <w:pStyle w:val="TableText"/>
              <w:spacing w:before="40" w:after="40"/>
              <w:jc w:val="right"/>
            </w:pPr>
            <w:r w:rsidRPr="001D5327">
              <w:rPr>
                <w:rFonts w:eastAsia="Calibri" w:cs="Calibri"/>
                <w:color w:val="000000"/>
                <w:szCs w:val="16"/>
              </w:rPr>
              <w:t>118.7</w:t>
            </w:r>
          </w:p>
        </w:tc>
        <w:tc>
          <w:tcPr>
            <w:tcW w:w="0" w:type="auto"/>
            <w:shd w:val="clear" w:color="auto" w:fill="FFFFFF"/>
            <w:tcMar>
              <w:top w:w="0" w:type="dxa"/>
              <w:left w:w="85" w:type="dxa"/>
              <w:bottom w:w="0" w:type="dxa"/>
              <w:right w:w="85" w:type="dxa"/>
            </w:tcMar>
          </w:tcPr>
          <w:p w14:paraId="3BE47D2B" w14:textId="77777777" w:rsidR="00BC0FD7" w:rsidRPr="001D5327" w:rsidRDefault="00BC0FD7" w:rsidP="00D11AC9">
            <w:pPr>
              <w:pStyle w:val="TableText"/>
              <w:spacing w:before="40" w:after="40"/>
              <w:jc w:val="right"/>
            </w:pPr>
            <w:r w:rsidRPr="001D5327">
              <w:rPr>
                <w:rFonts w:eastAsia="Calibri" w:cs="Calibri"/>
                <w:color w:val="000000"/>
                <w:szCs w:val="16"/>
              </w:rPr>
              <w:t>13.2</w:t>
            </w:r>
          </w:p>
        </w:tc>
        <w:tc>
          <w:tcPr>
            <w:tcW w:w="0" w:type="auto"/>
            <w:shd w:val="clear" w:color="auto" w:fill="FFFFFF"/>
            <w:tcMar>
              <w:top w:w="0" w:type="dxa"/>
              <w:left w:w="85" w:type="dxa"/>
              <w:bottom w:w="0" w:type="dxa"/>
              <w:right w:w="85" w:type="dxa"/>
            </w:tcMar>
          </w:tcPr>
          <w:p w14:paraId="47A2A71F" w14:textId="77777777" w:rsidR="00BC0FD7" w:rsidRPr="001D5327" w:rsidRDefault="00BC0FD7" w:rsidP="00D11AC9">
            <w:pPr>
              <w:pStyle w:val="TableText"/>
              <w:spacing w:before="40" w:after="40"/>
              <w:jc w:val="right"/>
            </w:pPr>
            <w:r w:rsidRPr="001D5327">
              <w:rPr>
                <w:rFonts w:eastAsia="Calibri" w:cs="Calibri"/>
                <w:color w:val="000000"/>
                <w:szCs w:val="16"/>
              </w:rPr>
              <w:t>209.4</w:t>
            </w:r>
          </w:p>
        </w:tc>
      </w:tr>
      <w:tr w:rsidR="00BC0FD7" w:rsidRPr="001D5327" w14:paraId="66ABC940" w14:textId="77777777" w:rsidTr="00D11AC9">
        <w:tc>
          <w:tcPr>
            <w:tcW w:w="0" w:type="auto"/>
            <w:shd w:val="clear" w:color="auto" w:fill="FFFFFF"/>
            <w:tcMar>
              <w:top w:w="0" w:type="dxa"/>
              <w:left w:w="85" w:type="dxa"/>
              <w:bottom w:w="0" w:type="dxa"/>
              <w:right w:w="85" w:type="dxa"/>
            </w:tcMar>
          </w:tcPr>
          <w:p w14:paraId="78E3BAFB"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1953</w:t>
            </w:r>
          </w:p>
        </w:tc>
        <w:tc>
          <w:tcPr>
            <w:tcW w:w="0" w:type="auto"/>
            <w:shd w:val="clear" w:color="auto" w:fill="FFFFFF"/>
            <w:tcMar>
              <w:top w:w="0" w:type="dxa"/>
              <w:left w:w="85" w:type="dxa"/>
              <w:bottom w:w="0" w:type="dxa"/>
              <w:right w:w="85" w:type="dxa"/>
            </w:tcMar>
          </w:tcPr>
          <w:p w14:paraId="53892DD0" w14:textId="77777777" w:rsidR="00BC0FD7" w:rsidRPr="001D5327" w:rsidRDefault="00BC0FD7" w:rsidP="00D11AC9">
            <w:pPr>
              <w:pStyle w:val="TableText"/>
              <w:spacing w:before="40" w:after="40"/>
              <w:jc w:val="right"/>
            </w:pPr>
            <w:r w:rsidRPr="001D5327">
              <w:rPr>
                <w:rFonts w:eastAsia="Calibri" w:cs="Calibri"/>
                <w:color w:val="000000"/>
                <w:szCs w:val="16"/>
              </w:rPr>
              <w:t>77.5</w:t>
            </w:r>
          </w:p>
        </w:tc>
        <w:tc>
          <w:tcPr>
            <w:tcW w:w="0" w:type="auto"/>
            <w:shd w:val="clear" w:color="auto" w:fill="FFFFFF"/>
            <w:tcMar>
              <w:top w:w="0" w:type="dxa"/>
              <w:left w:w="85" w:type="dxa"/>
              <w:bottom w:w="0" w:type="dxa"/>
              <w:right w:w="85" w:type="dxa"/>
            </w:tcMar>
          </w:tcPr>
          <w:p w14:paraId="50AF5D80" w14:textId="77777777" w:rsidR="00BC0FD7" w:rsidRPr="001D5327" w:rsidRDefault="00BC0FD7" w:rsidP="00D11AC9">
            <w:pPr>
              <w:pStyle w:val="TableText"/>
              <w:spacing w:before="40" w:after="40"/>
              <w:jc w:val="right"/>
            </w:pPr>
            <w:r w:rsidRPr="001D5327">
              <w:rPr>
                <w:rFonts w:eastAsia="Calibri" w:cs="Calibri"/>
                <w:color w:val="000000"/>
                <w:szCs w:val="16"/>
              </w:rPr>
              <w:t>127.3</w:t>
            </w:r>
          </w:p>
        </w:tc>
        <w:tc>
          <w:tcPr>
            <w:tcW w:w="0" w:type="auto"/>
            <w:shd w:val="clear" w:color="auto" w:fill="FFFFFF"/>
            <w:tcMar>
              <w:top w:w="0" w:type="dxa"/>
              <w:left w:w="85" w:type="dxa"/>
              <w:bottom w:w="0" w:type="dxa"/>
              <w:right w:w="85" w:type="dxa"/>
            </w:tcMar>
          </w:tcPr>
          <w:p w14:paraId="72A2E8A4" w14:textId="77777777" w:rsidR="00BC0FD7" w:rsidRPr="001D5327" w:rsidRDefault="00BC0FD7" w:rsidP="00D11AC9">
            <w:pPr>
              <w:pStyle w:val="TableText"/>
              <w:spacing w:before="40" w:after="40"/>
              <w:jc w:val="right"/>
            </w:pPr>
            <w:r w:rsidRPr="001D5327">
              <w:rPr>
                <w:rFonts w:eastAsia="Calibri" w:cs="Calibri"/>
                <w:color w:val="000000"/>
                <w:szCs w:val="16"/>
              </w:rPr>
              <w:t>14.1</w:t>
            </w:r>
          </w:p>
        </w:tc>
        <w:tc>
          <w:tcPr>
            <w:tcW w:w="0" w:type="auto"/>
            <w:shd w:val="clear" w:color="auto" w:fill="FFFFFF"/>
            <w:tcMar>
              <w:top w:w="0" w:type="dxa"/>
              <w:left w:w="85" w:type="dxa"/>
              <w:bottom w:w="0" w:type="dxa"/>
              <w:right w:w="85" w:type="dxa"/>
            </w:tcMar>
          </w:tcPr>
          <w:p w14:paraId="6EC3C00E" w14:textId="77777777" w:rsidR="00BC0FD7" w:rsidRPr="001D5327" w:rsidRDefault="00BC0FD7" w:rsidP="00D11AC9">
            <w:pPr>
              <w:pStyle w:val="TableText"/>
              <w:spacing w:before="40" w:after="40"/>
              <w:jc w:val="right"/>
            </w:pPr>
            <w:r w:rsidRPr="001D5327">
              <w:rPr>
                <w:rFonts w:eastAsia="Calibri" w:cs="Calibri"/>
                <w:color w:val="000000"/>
                <w:szCs w:val="16"/>
              </w:rPr>
              <w:t>219</w:t>
            </w:r>
          </w:p>
        </w:tc>
      </w:tr>
      <w:tr w:rsidR="00BC0FD7" w:rsidRPr="001D5327" w14:paraId="13A70254" w14:textId="77777777" w:rsidTr="00D11AC9">
        <w:tc>
          <w:tcPr>
            <w:tcW w:w="0" w:type="auto"/>
            <w:shd w:val="clear" w:color="auto" w:fill="FFFFFF"/>
            <w:tcMar>
              <w:top w:w="0" w:type="dxa"/>
              <w:left w:w="85" w:type="dxa"/>
              <w:bottom w:w="0" w:type="dxa"/>
              <w:right w:w="85" w:type="dxa"/>
            </w:tcMar>
          </w:tcPr>
          <w:p w14:paraId="6754994E"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1954</w:t>
            </w:r>
          </w:p>
        </w:tc>
        <w:tc>
          <w:tcPr>
            <w:tcW w:w="0" w:type="auto"/>
            <w:shd w:val="clear" w:color="auto" w:fill="FFFFFF"/>
            <w:tcMar>
              <w:top w:w="0" w:type="dxa"/>
              <w:left w:w="85" w:type="dxa"/>
              <w:bottom w:w="0" w:type="dxa"/>
              <w:right w:w="85" w:type="dxa"/>
            </w:tcMar>
          </w:tcPr>
          <w:p w14:paraId="338A253F" w14:textId="77777777" w:rsidR="00BC0FD7" w:rsidRPr="001D5327" w:rsidRDefault="00BC0FD7" w:rsidP="00D11AC9">
            <w:pPr>
              <w:pStyle w:val="TableText"/>
              <w:spacing w:before="40" w:after="40"/>
              <w:jc w:val="right"/>
            </w:pPr>
            <w:r w:rsidRPr="001D5327">
              <w:rPr>
                <w:rFonts w:eastAsia="Calibri" w:cs="Calibri"/>
                <w:color w:val="000000"/>
                <w:szCs w:val="16"/>
              </w:rPr>
              <w:t>77.5</w:t>
            </w:r>
          </w:p>
        </w:tc>
        <w:tc>
          <w:tcPr>
            <w:tcW w:w="0" w:type="auto"/>
            <w:shd w:val="clear" w:color="auto" w:fill="FFFFFF"/>
            <w:tcMar>
              <w:top w:w="0" w:type="dxa"/>
              <w:left w:w="85" w:type="dxa"/>
              <w:bottom w:w="0" w:type="dxa"/>
              <w:right w:w="85" w:type="dxa"/>
            </w:tcMar>
          </w:tcPr>
          <w:p w14:paraId="55C3A88B" w14:textId="77777777" w:rsidR="00BC0FD7" w:rsidRPr="001D5327" w:rsidRDefault="00BC0FD7" w:rsidP="00D11AC9">
            <w:pPr>
              <w:pStyle w:val="TableText"/>
              <w:spacing w:before="40" w:after="40"/>
              <w:jc w:val="right"/>
            </w:pPr>
            <w:r w:rsidRPr="001D5327">
              <w:rPr>
                <w:rFonts w:eastAsia="Calibri" w:cs="Calibri"/>
                <w:color w:val="000000"/>
                <w:szCs w:val="16"/>
              </w:rPr>
              <w:t>195.3</w:t>
            </w:r>
          </w:p>
        </w:tc>
        <w:tc>
          <w:tcPr>
            <w:tcW w:w="0" w:type="auto"/>
            <w:shd w:val="clear" w:color="auto" w:fill="FFFFFF"/>
            <w:tcMar>
              <w:top w:w="0" w:type="dxa"/>
              <w:left w:w="85" w:type="dxa"/>
              <w:bottom w:w="0" w:type="dxa"/>
              <w:right w:w="85" w:type="dxa"/>
            </w:tcMar>
          </w:tcPr>
          <w:p w14:paraId="4E25C159" w14:textId="77777777" w:rsidR="00BC0FD7" w:rsidRPr="001D5327" w:rsidRDefault="00BC0FD7" w:rsidP="00D11AC9">
            <w:pPr>
              <w:pStyle w:val="TableText"/>
              <w:spacing w:before="40" w:after="40"/>
              <w:jc w:val="right"/>
            </w:pPr>
            <w:r w:rsidRPr="001D5327">
              <w:rPr>
                <w:rFonts w:eastAsia="Calibri" w:cs="Calibri"/>
                <w:color w:val="000000"/>
                <w:szCs w:val="16"/>
              </w:rPr>
              <w:t>21.7</w:t>
            </w:r>
          </w:p>
        </w:tc>
        <w:tc>
          <w:tcPr>
            <w:tcW w:w="0" w:type="auto"/>
            <w:shd w:val="clear" w:color="auto" w:fill="FFFFFF"/>
            <w:tcMar>
              <w:top w:w="0" w:type="dxa"/>
              <w:left w:w="85" w:type="dxa"/>
              <w:bottom w:w="0" w:type="dxa"/>
              <w:right w:w="85" w:type="dxa"/>
            </w:tcMar>
          </w:tcPr>
          <w:p w14:paraId="19775FE8" w14:textId="77777777" w:rsidR="00BC0FD7" w:rsidRPr="001D5327" w:rsidRDefault="00BC0FD7" w:rsidP="00D11AC9">
            <w:pPr>
              <w:pStyle w:val="TableText"/>
              <w:spacing w:before="40" w:after="40"/>
              <w:jc w:val="right"/>
            </w:pPr>
            <w:r w:rsidRPr="001D5327">
              <w:rPr>
                <w:rFonts w:eastAsia="Calibri" w:cs="Calibri"/>
                <w:color w:val="000000"/>
                <w:szCs w:val="16"/>
              </w:rPr>
              <w:t>294.5</w:t>
            </w:r>
          </w:p>
        </w:tc>
      </w:tr>
      <w:tr w:rsidR="00BC0FD7" w:rsidRPr="001D5327" w14:paraId="1F1F5EAF" w14:textId="77777777" w:rsidTr="00D11AC9">
        <w:tc>
          <w:tcPr>
            <w:tcW w:w="0" w:type="auto"/>
            <w:shd w:val="clear" w:color="auto" w:fill="FFFFFF"/>
            <w:tcMar>
              <w:top w:w="0" w:type="dxa"/>
              <w:left w:w="85" w:type="dxa"/>
              <w:bottom w:w="0" w:type="dxa"/>
              <w:right w:w="85" w:type="dxa"/>
            </w:tcMar>
          </w:tcPr>
          <w:p w14:paraId="09110917"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1955</w:t>
            </w:r>
          </w:p>
        </w:tc>
        <w:tc>
          <w:tcPr>
            <w:tcW w:w="0" w:type="auto"/>
            <w:shd w:val="clear" w:color="auto" w:fill="FFFFFF"/>
            <w:tcMar>
              <w:top w:w="0" w:type="dxa"/>
              <w:left w:w="85" w:type="dxa"/>
              <w:bottom w:w="0" w:type="dxa"/>
              <w:right w:w="85" w:type="dxa"/>
            </w:tcMar>
          </w:tcPr>
          <w:p w14:paraId="6D967026" w14:textId="77777777" w:rsidR="00BC0FD7" w:rsidRPr="001D5327" w:rsidRDefault="00BC0FD7" w:rsidP="00D11AC9">
            <w:pPr>
              <w:pStyle w:val="TableText"/>
              <w:spacing w:before="40" w:after="40"/>
              <w:jc w:val="right"/>
            </w:pPr>
            <w:r w:rsidRPr="001D5327">
              <w:rPr>
                <w:rFonts w:eastAsia="Calibri" w:cs="Calibri"/>
                <w:color w:val="000000"/>
                <w:szCs w:val="16"/>
              </w:rPr>
              <w:t>181.7</w:t>
            </w:r>
          </w:p>
        </w:tc>
        <w:tc>
          <w:tcPr>
            <w:tcW w:w="0" w:type="auto"/>
            <w:shd w:val="clear" w:color="auto" w:fill="FFFFFF"/>
            <w:tcMar>
              <w:top w:w="0" w:type="dxa"/>
              <w:left w:w="85" w:type="dxa"/>
              <w:bottom w:w="0" w:type="dxa"/>
              <w:right w:w="85" w:type="dxa"/>
            </w:tcMar>
          </w:tcPr>
          <w:p w14:paraId="3F5955DE" w14:textId="77777777" w:rsidR="00BC0FD7" w:rsidRPr="001D5327" w:rsidRDefault="00BC0FD7" w:rsidP="00D11AC9">
            <w:pPr>
              <w:pStyle w:val="TableText"/>
              <w:spacing w:before="40" w:after="40"/>
              <w:jc w:val="right"/>
            </w:pPr>
            <w:r w:rsidRPr="001D5327">
              <w:rPr>
                <w:rFonts w:eastAsia="Calibri" w:cs="Calibri"/>
                <w:color w:val="000000"/>
                <w:szCs w:val="16"/>
              </w:rPr>
              <w:t>180.3</w:t>
            </w:r>
          </w:p>
        </w:tc>
        <w:tc>
          <w:tcPr>
            <w:tcW w:w="0" w:type="auto"/>
            <w:shd w:val="clear" w:color="auto" w:fill="FFFFFF"/>
            <w:tcMar>
              <w:top w:w="0" w:type="dxa"/>
              <w:left w:w="85" w:type="dxa"/>
              <w:bottom w:w="0" w:type="dxa"/>
              <w:right w:w="85" w:type="dxa"/>
            </w:tcMar>
          </w:tcPr>
          <w:p w14:paraId="61400D6C" w14:textId="08F2FDEE" w:rsidR="00BC0FD7" w:rsidRPr="001D5327" w:rsidRDefault="00BC0FD7" w:rsidP="00D11AC9">
            <w:pPr>
              <w:pStyle w:val="TableText"/>
              <w:spacing w:before="40" w:after="40"/>
              <w:jc w:val="right"/>
            </w:pPr>
            <w:r w:rsidRPr="001D5327">
              <w:rPr>
                <w:rFonts w:eastAsia="Calibri" w:cs="Calibri"/>
                <w:color w:val="000000"/>
                <w:szCs w:val="16"/>
              </w:rPr>
              <w:t>20</w:t>
            </w:r>
            <w:r w:rsidR="005E0DF1">
              <w:rPr>
                <w:rFonts w:eastAsia="Calibri" w:cs="Calibri"/>
                <w:color w:val="000000"/>
                <w:szCs w:val="16"/>
              </w:rPr>
              <w:t>.0</w:t>
            </w:r>
          </w:p>
        </w:tc>
        <w:tc>
          <w:tcPr>
            <w:tcW w:w="0" w:type="auto"/>
            <w:shd w:val="clear" w:color="auto" w:fill="FFFFFF"/>
            <w:tcMar>
              <w:top w:w="0" w:type="dxa"/>
              <w:left w:w="85" w:type="dxa"/>
              <w:bottom w:w="0" w:type="dxa"/>
              <w:right w:w="85" w:type="dxa"/>
            </w:tcMar>
          </w:tcPr>
          <w:p w14:paraId="714FD806" w14:textId="77777777" w:rsidR="00BC0FD7" w:rsidRPr="001D5327" w:rsidRDefault="00BC0FD7" w:rsidP="00D11AC9">
            <w:pPr>
              <w:pStyle w:val="TableText"/>
              <w:spacing w:before="40" w:after="40"/>
              <w:jc w:val="right"/>
            </w:pPr>
            <w:r w:rsidRPr="001D5327">
              <w:rPr>
                <w:rFonts w:eastAsia="Calibri" w:cs="Calibri"/>
                <w:color w:val="000000"/>
                <w:szCs w:val="16"/>
              </w:rPr>
              <w:t>382.1</w:t>
            </w:r>
          </w:p>
        </w:tc>
      </w:tr>
      <w:tr w:rsidR="00BC0FD7" w:rsidRPr="001D5327" w14:paraId="767C8D3A" w14:textId="77777777" w:rsidTr="00D11AC9">
        <w:tc>
          <w:tcPr>
            <w:tcW w:w="0" w:type="auto"/>
            <w:shd w:val="clear" w:color="auto" w:fill="FFFFFF"/>
            <w:tcMar>
              <w:top w:w="0" w:type="dxa"/>
              <w:left w:w="85" w:type="dxa"/>
              <w:bottom w:w="0" w:type="dxa"/>
              <w:right w:w="85" w:type="dxa"/>
            </w:tcMar>
          </w:tcPr>
          <w:p w14:paraId="118026D6"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1956</w:t>
            </w:r>
          </w:p>
        </w:tc>
        <w:tc>
          <w:tcPr>
            <w:tcW w:w="0" w:type="auto"/>
            <w:shd w:val="clear" w:color="auto" w:fill="FFFFFF"/>
            <w:tcMar>
              <w:top w:w="0" w:type="dxa"/>
              <w:left w:w="85" w:type="dxa"/>
              <w:bottom w:w="0" w:type="dxa"/>
              <w:right w:w="85" w:type="dxa"/>
            </w:tcMar>
          </w:tcPr>
          <w:p w14:paraId="7C5E8940" w14:textId="77777777" w:rsidR="00BC0FD7" w:rsidRPr="001D5327" w:rsidRDefault="00BC0FD7" w:rsidP="00D11AC9">
            <w:pPr>
              <w:pStyle w:val="TableText"/>
              <w:spacing w:before="40" w:after="40"/>
              <w:jc w:val="right"/>
            </w:pPr>
            <w:r w:rsidRPr="001D5327">
              <w:rPr>
                <w:rFonts w:eastAsia="Calibri" w:cs="Calibri"/>
                <w:color w:val="000000"/>
                <w:szCs w:val="16"/>
              </w:rPr>
              <w:t>181.7</w:t>
            </w:r>
          </w:p>
        </w:tc>
        <w:tc>
          <w:tcPr>
            <w:tcW w:w="0" w:type="auto"/>
            <w:shd w:val="clear" w:color="auto" w:fill="FFFFFF"/>
            <w:tcMar>
              <w:top w:w="0" w:type="dxa"/>
              <w:left w:w="85" w:type="dxa"/>
              <w:bottom w:w="0" w:type="dxa"/>
              <w:right w:w="85" w:type="dxa"/>
            </w:tcMar>
          </w:tcPr>
          <w:p w14:paraId="51C44E37" w14:textId="77777777" w:rsidR="00BC0FD7" w:rsidRPr="001D5327" w:rsidRDefault="00BC0FD7" w:rsidP="00D11AC9">
            <w:pPr>
              <w:pStyle w:val="TableText"/>
              <w:spacing w:before="40" w:after="40"/>
              <w:jc w:val="right"/>
            </w:pPr>
            <w:r w:rsidRPr="001D5327">
              <w:rPr>
                <w:rFonts w:eastAsia="Calibri" w:cs="Calibri"/>
                <w:color w:val="000000"/>
                <w:szCs w:val="16"/>
              </w:rPr>
              <w:t>202.7</w:t>
            </w:r>
          </w:p>
        </w:tc>
        <w:tc>
          <w:tcPr>
            <w:tcW w:w="0" w:type="auto"/>
            <w:shd w:val="clear" w:color="auto" w:fill="FFFFFF"/>
            <w:tcMar>
              <w:top w:w="0" w:type="dxa"/>
              <w:left w:w="85" w:type="dxa"/>
              <w:bottom w:w="0" w:type="dxa"/>
              <w:right w:w="85" w:type="dxa"/>
            </w:tcMar>
          </w:tcPr>
          <w:p w14:paraId="72F97875" w14:textId="77777777" w:rsidR="00BC0FD7" w:rsidRPr="001D5327" w:rsidRDefault="00BC0FD7" w:rsidP="00D11AC9">
            <w:pPr>
              <w:pStyle w:val="TableText"/>
              <w:spacing w:before="40" w:after="40"/>
              <w:jc w:val="right"/>
            </w:pPr>
            <w:r w:rsidRPr="001D5327">
              <w:rPr>
                <w:rFonts w:eastAsia="Calibri" w:cs="Calibri"/>
                <w:color w:val="000000"/>
                <w:szCs w:val="16"/>
              </w:rPr>
              <w:t>22.5</w:t>
            </w:r>
          </w:p>
        </w:tc>
        <w:tc>
          <w:tcPr>
            <w:tcW w:w="0" w:type="auto"/>
            <w:shd w:val="clear" w:color="auto" w:fill="FFFFFF"/>
            <w:tcMar>
              <w:top w:w="0" w:type="dxa"/>
              <w:left w:w="85" w:type="dxa"/>
              <w:bottom w:w="0" w:type="dxa"/>
              <w:right w:w="85" w:type="dxa"/>
            </w:tcMar>
          </w:tcPr>
          <w:p w14:paraId="678F1098" w14:textId="77777777" w:rsidR="00BC0FD7" w:rsidRPr="001D5327" w:rsidRDefault="00BC0FD7" w:rsidP="00D11AC9">
            <w:pPr>
              <w:pStyle w:val="TableText"/>
              <w:spacing w:before="40" w:after="40"/>
              <w:jc w:val="right"/>
            </w:pPr>
            <w:r w:rsidRPr="001D5327">
              <w:rPr>
                <w:rFonts w:eastAsia="Calibri" w:cs="Calibri"/>
                <w:color w:val="000000"/>
                <w:szCs w:val="16"/>
              </w:rPr>
              <w:t>407</w:t>
            </w:r>
          </w:p>
        </w:tc>
      </w:tr>
      <w:tr w:rsidR="00BC0FD7" w:rsidRPr="001D5327" w14:paraId="5E5D2B86" w14:textId="77777777" w:rsidTr="00D11AC9">
        <w:tc>
          <w:tcPr>
            <w:tcW w:w="0" w:type="auto"/>
            <w:shd w:val="clear" w:color="auto" w:fill="FFFFFF"/>
            <w:tcMar>
              <w:top w:w="0" w:type="dxa"/>
              <w:left w:w="85" w:type="dxa"/>
              <w:bottom w:w="0" w:type="dxa"/>
              <w:right w:w="85" w:type="dxa"/>
            </w:tcMar>
          </w:tcPr>
          <w:p w14:paraId="2342ED7F"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1957</w:t>
            </w:r>
          </w:p>
        </w:tc>
        <w:tc>
          <w:tcPr>
            <w:tcW w:w="0" w:type="auto"/>
            <w:shd w:val="clear" w:color="auto" w:fill="FFFFFF"/>
            <w:tcMar>
              <w:top w:w="0" w:type="dxa"/>
              <w:left w:w="85" w:type="dxa"/>
              <w:bottom w:w="0" w:type="dxa"/>
              <w:right w:w="85" w:type="dxa"/>
            </w:tcMar>
          </w:tcPr>
          <w:p w14:paraId="599DEBB0" w14:textId="77777777" w:rsidR="00BC0FD7" w:rsidRPr="001D5327" w:rsidRDefault="00BC0FD7" w:rsidP="00D11AC9">
            <w:pPr>
              <w:pStyle w:val="TableText"/>
              <w:spacing w:before="40" w:after="40"/>
              <w:jc w:val="right"/>
            </w:pPr>
            <w:r w:rsidRPr="001D5327">
              <w:rPr>
                <w:rFonts w:eastAsia="Calibri" w:cs="Calibri"/>
                <w:color w:val="000000"/>
                <w:szCs w:val="16"/>
              </w:rPr>
              <w:t>181.7</w:t>
            </w:r>
          </w:p>
        </w:tc>
        <w:tc>
          <w:tcPr>
            <w:tcW w:w="0" w:type="auto"/>
            <w:shd w:val="clear" w:color="auto" w:fill="FFFFFF"/>
            <w:tcMar>
              <w:top w:w="0" w:type="dxa"/>
              <w:left w:w="85" w:type="dxa"/>
              <w:bottom w:w="0" w:type="dxa"/>
              <w:right w:w="85" w:type="dxa"/>
            </w:tcMar>
          </w:tcPr>
          <w:p w14:paraId="1A67B4E1" w14:textId="77777777" w:rsidR="00BC0FD7" w:rsidRPr="001D5327" w:rsidRDefault="00BC0FD7" w:rsidP="00D11AC9">
            <w:pPr>
              <w:pStyle w:val="TableText"/>
              <w:spacing w:before="40" w:after="40"/>
              <w:jc w:val="right"/>
            </w:pPr>
            <w:r w:rsidRPr="001D5327">
              <w:rPr>
                <w:rFonts w:eastAsia="Calibri" w:cs="Calibri"/>
                <w:color w:val="000000"/>
                <w:szCs w:val="16"/>
              </w:rPr>
              <w:t>241.8</w:t>
            </w:r>
          </w:p>
        </w:tc>
        <w:tc>
          <w:tcPr>
            <w:tcW w:w="0" w:type="auto"/>
            <w:shd w:val="clear" w:color="auto" w:fill="FFFFFF"/>
            <w:tcMar>
              <w:top w:w="0" w:type="dxa"/>
              <w:left w:w="85" w:type="dxa"/>
              <w:bottom w:w="0" w:type="dxa"/>
              <w:right w:w="85" w:type="dxa"/>
            </w:tcMar>
          </w:tcPr>
          <w:p w14:paraId="1792CB78" w14:textId="77777777" w:rsidR="00BC0FD7" w:rsidRPr="001D5327" w:rsidRDefault="00BC0FD7" w:rsidP="00D11AC9">
            <w:pPr>
              <w:pStyle w:val="TableText"/>
              <w:spacing w:before="40" w:after="40"/>
              <w:jc w:val="right"/>
            </w:pPr>
            <w:r w:rsidRPr="001D5327">
              <w:rPr>
                <w:rFonts w:eastAsia="Calibri" w:cs="Calibri"/>
                <w:color w:val="000000"/>
                <w:szCs w:val="16"/>
              </w:rPr>
              <w:t>26.9</w:t>
            </w:r>
          </w:p>
        </w:tc>
        <w:tc>
          <w:tcPr>
            <w:tcW w:w="0" w:type="auto"/>
            <w:shd w:val="clear" w:color="auto" w:fill="FFFFFF"/>
            <w:tcMar>
              <w:top w:w="0" w:type="dxa"/>
              <w:left w:w="85" w:type="dxa"/>
              <w:bottom w:w="0" w:type="dxa"/>
              <w:right w:w="85" w:type="dxa"/>
            </w:tcMar>
          </w:tcPr>
          <w:p w14:paraId="7594891E" w14:textId="77777777" w:rsidR="00BC0FD7" w:rsidRPr="001D5327" w:rsidRDefault="00BC0FD7" w:rsidP="00D11AC9">
            <w:pPr>
              <w:pStyle w:val="TableText"/>
              <w:spacing w:before="40" w:after="40"/>
              <w:jc w:val="right"/>
            </w:pPr>
            <w:r w:rsidRPr="001D5327">
              <w:rPr>
                <w:rFonts w:eastAsia="Calibri" w:cs="Calibri"/>
                <w:color w:val="000000"/>
                <w:szCs w:val="16"/>
              </w:rPr>
              <w:t>450.4</w:t>
            </w:r>
          </w:p>
        </w:tc>
      </w:tr>
      <w:tr w:rsidR="00BC0FD7" w:rsidRPr="001D5327" w14:paraId="5995DF07" w14:textId="77777777" w:rsidTr="00D11AC9">
        <w:tc>
          <w:tcPr>
            <w:tcW w:w="0" w:type="auto"/>
            <w:shd w:val="clear" w:color="auto" w:fill="FFFFFF"/>
            <w:tcMar>
              <w:top w:w="0" w:type="dxa"/>
              <w:left w:w="85" w:type="dxa"/>
              <w:bottom w:w="0" w:type="dxa"/>
              <w:right w:w="85" w:type="dxa"/>
            </w:tcMar>
          </w:tcPr>
          <w:p w14:paraId="375B959D"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1958</w:t>
            </w:r>
          </w:p>
        </w:tc>
        <w:tc>
          <w:tcPr>
            <w:tcW w:w="0" w:type="auto"/>
            <w:shd w:val="clear" w:color="auto" w:fill="FFFFFF"/>
            <w:tcMar>
              <w:top w:w="0" w:type="dxa"/>
              <w:left w:w="85" w:type="dxa"/>
              <w:bottom w:w="0" w:type="dxa"/>
              <w:right w:w="85" w:type="dxa"/>
            </w:tcMar>
          </w:tcPr>
          <w:p w14:paraId="4F876B05" w14:textId="77777777" w:rsidR="00BC0FD7" w:rsidRPr="001D5327" w:rsidRDefault="00BC0FD7" w:rsidP="00D11AC9">
            <w:pPr>
              <w:pStyle w:val="TableText"/>
              <w:spacing w:before="40" w:after="40"/>
              <w:jc w:val="right"/>
            </w:pPr>
            <w:r w:rsidRPr="001D5327">
              <w:rPr>
                <w:rFonts w:eastAsia="Calibri" w:cs="Calibri"/>
                <w:color w:val="000000"/>
                <w:szCs w:val="16"/>
              </w:rPr>
              <w:t>181.7</w:t>
            </w:r>
          </w:p>
        </w:tc>
        <w:tc>
          <w:tcPr>
            <w:tcW w:w="0" w:type="auto"/>
            <w:shd w:val="clear" w:color="auto" w:fill="FFFFFF"/>
            <w:tcMar>
              <w:top w:w="0" w:type="dxa"/>
              <w:left w:w="85" w:type="dxa"/>
              <w:bottom w:w="0" w:type="dxa"/>
              <w:right w:w="85" w:type="dxa"/>
            </w:tcMar>
          </w:tcPr>
          <w:p w14:paraId="1921877E" w14:textId="77777777" w:rsidR="00BC0FD7" w:rsidRPr="001D5327" w:rsidRDefault="00BC0FD7" w:rsidP="00D11AC9">
            <w:pPr>
              <w:pStyle w:val="TableText"/>
              <w:spacing w:before="40" w:after="40"/>
              <w:jc w:val="right"/>
            </w:pPr>
            <w:r w:rsidRPr="001D5327">
              <w:rPr>
                <w:rFonts w:eastAsia="Calibri" w:cs="Calibri"/>
                <w:color w:val="000000"/>
                <w:szCs w:val="16"/>
              </w:rPr>
              <w:t>267.1</w:t>
            </w:r>
          </w:p>
        </w:tc>
        <w:tc>
          <w:tcPr>
            <w:tcW w:w="0" w:type="auto"/>
            <w:shd w:val="clear" w:color="auto" w:fill="FFFFFF"/>
            <w:tcMar>
              <w:top w:w="0" w:type="dxa"/>
              <w:left w:w="85" w:type="dxa"/>
              <w:bottom w:w="0" w:type="dxa"/>
              <w:right w:w="85" w:type="dxa"/>
            </w:tcMar>
          </w:tcPr>
          <w:p w14:paraId="3657BD19" w14:textId="77777777" w:rsidR="00BC0FD7" w:rsidRPr="001D5327" w:rsidRDefault="00BC0FD7" w:rsidP="00D11AC9">
            <w:pPr>
              <w:pStyle w:val="TableText"/>
              <w:spacing w:before="40" w:after="40"/>
              <w:jc w:val="right"/>
            </w:pPr>
            <w:r w:rsidRPr="001D5327">
              <w:rPr>
                <w:rFonts w:eastAsia="Calibri" w:cs="Calibri"/>
                <w:color w:val="000000"/>
                <w:szCs w:val="16"/>
              </w:rPr>
              <w:t>29.7</w:t>
            </w:r>
          </w:p>
        </w:tc>
        <w:tc>
          <w:tcPr>
            <w:tcW w:w="0" w:type="auto"/>
            <w:shd w:val="clear" w:color="auto" w:fill="FFFFFF"/>
            <w:tcMar>
              <w:top w:w="0" w:type="dxa"/>
              <w:left w:w="85" w:type="dxa"/>
              <w:bottom w:w="0" w:type="dxa"/>
              <w:right w:w="85" w:type="dxa"/>
            </w:tcMar>
          </w:tcPr>
          <w:p w14:paraId="5EFE3721" w14:textId="77777777" w:rsidR="00BC0FD7" w:rsidRPr="001D5327" w:rsidRDefault="00BC0FD7" w:rsidP="00D11AC9">
            <w:pPr>
              <w:pStyle w:val="TableText"/>
              <w:spacing w:before="40" w:after="40"/>
              <w:jc w:val="right"/>
            </w:pPr>
            <w:r w:rsidRPr="001D5327">
              <w:rPr>
                <w:rFonts w:eastAsia="Calibri" w:cs="Calibri"/>
                <w:color w:val="000000"/>
                <w:szCs w:val="16"/>
              </w:rPr>
              <w:t>478.5</w:t>
            </w:r>
          </w:p>
        </w:tc>
      </w:tr>
      <w:tr w:rsidR="00BC0FD7" w:rsidRPr="001D5327" w14:paraId="245224D7" w14:textId="77777777" w:rsidTr="00D11AC9">
        <w:tc>
          <w:tcPr>
            <w:tcW w:w="0" w:type="auto"/>
            <w:shd w:val="clear" w:color="auto" w:fill="FFFFFF"/>
            <w:tcMar>
              <w:top w:w="0" w:type="dxa"/>
              <w:left w:w="85" w:type="dxa"/>
              <w:bottom w:w="0" w:type="dxa"/>
              <w:right w:w="85" w:type="dxa"/>
            </w:tcMar>
          </w:tcPr>
          <w:p w14:paraId="6599FAEA"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1959</w:t>
            </w:r>
          </w:p>
        </w:tc>
        <w:tc>
          <w:tcPr>
            <w:tcW w:w="0" w:type="auto"/>
            <w:shd w:val="clear" w:color="auto" w:fill="FFFFFF"/>
            <w:tcMar>
              <w:top w:w="0" w:type="dxa"/>
              <w:left w:w="85" w:type="dxa"/>
              <w:bottom w:w="0" w:type="dxa"/>
              <w:right w:w="85" w:type="dxa"/>
            </w:tcMar>
          </w:tcPr>
          <w:p w14:paraId="5F3BC802" w14:textId="77777777" w:rsidR="00BC0FD7" w:rsidRPr="001D5327" w:rsidRDefault="00BC0FD7" w:rsidP="00D11AC9">
            <w:pPr>
              <w:pStyle w:val="TableText"/>
              <w:spacing w:before="40" w:after="40"/>
              <w:jc w:val="right"/>
            </w:pPr>
            <w:r w:rsidRPr="001D5327">
              <w:rPr>
                <w:rFonts w:eastAsia="Calibri" w:cs="Calibri"/>
                <w:color w:val="000000"/>
                <w:szCs w:val="16"/>
              </w:rPr>
              <w:t>181.7</w:t>
            </w:r>
          </w:p>
        </w:tc>
        <w:tc>
          <w:tcPr>
            <w:tcW w:w="0" w:type="auto"/>
            <w:shd w:val="clear" w:color="auto" w:fill="FFFFFF"/>
            <w:tcMar>
              <w:top w:w="0" w:type="dxa"/>
              <w:left w:w="85" w:type="dxa"/>
              <w:bottom w:w="0" w:type="dxa"/>
              <w:right w:w="85" w:type="dxa"/>
            </w:tcMar>
          </w:tcPr>
          <w:p w14:paraId="1374EF3D" w14:textId="77777777" w:rsidR="00BC0FD7" w:rsidRPr="001D5327" w:rsidRDefault="00BC0FD7" w:rsidP="00D11AC9">
            <w:pPr>
              <w:pStyle w:val="TableText"/>
              <w:spacing w:before="40" w:after="40"/>
              <w:jc w:val="right"/>
            </w:pPr>
            <w:r w:rsidRPr="001D5327">
              <w:rPr>
                <w:rFonts w:eastAsia="Calibri" w:cs="Calibri"/>
                <w:color w:val="000000"/>
                <w:szCs w:val="16"/>
              </w:rPr>
              <w:t>281.5</w:t>
            </w:r>
          </w:p>
        </w:tc>
        <w:tc>
          <w:tcPr>
            <w:tcW w:w="0" w:type="auto"/>
            <w:shd w:val="clear" w:color="auto" w:fill="FFFFFF"/>
            <w:tcMar>
              <w:top w:w="0" w:type="dxa"/>
              <w:left w:w="85" w:type="dxa"/>
              <w:bottom w:w="0" w:type="dxa"/>
              <w:right w:w="85" w:type="dxa"/>
            </w:tcMar>
          </w:tcPr>
          <w:p w14:paraId="080AA9F7" w14:textId="77777777" w:rsidR="00BC0FD7" w:rsidRPr="001D5327" w:rsidRDefault="00BC0FD7" w:rsidP="00D11AC9">
            <w:pPr>
              <w:pStyle w:val="TableText"/>
              <w:spacing w:before="40" w:after="40"/>
              <w:jc w:val="right"/>
            </w:pPr>
            <w:r w:rsidRPr="001D5327">
              <w:rPr>
                <w:rFonts w:eastAsia="Calibri" w:cs="Calibri"/>
                <w:color w:val="000000"/>
                <w:szCs w:val="16"/>
              </w:rPr>
              <w:t>31.3</w:t>
            </w:r>
          </w:p>
        </w:tc>
        <w:tc>
          <w:tcPr>
            <w:tcW w:w="0" w:type="auto"/>
            <w:shd w:val="clear" w:color="auto" w:fill="FFFFFF"/>
            <w:tcMar>
              <w:top w:w="0" w:type="dxa"/>
              <w:left w:w="85" w:type="dxa"/>
              <w:bottom w:w="0" w:type="dxa"/>
              <w:right w:w="85" w:type="dxa"/>
            </w:tcMar>
          </w:tcPr>
          <w:p w14:paraId="1C27220E" w14:textId="77777777" w:rsidR="00BC0FD7" w:rsidRPr="001D5327" w:rsidRDefault="00BC0FD7" w:rsidP="00D11AC9">
            <w:pPr>
              <w:pStyle w:val="TableText"/>
              <w:spacing w:before="40" w:after="40"/>
              <w:jc w:val="right"/>
            </w:pPr>
            <w:r w:rsidRPr="001D5327">
              <w:rPr>
                <w:rFonts w:eastAsia="Calibri" w:cs="Calibri"/>
                <w:color w:val="000000"/>
                <w:szCs w:val="16"/>
              </w:rPr>
              <w:t>494.5</w:t>
            </w:r>
          </w:p>
        </w:tc>
      </w:tr>
      <w:tr w:rsidR="00BC0FD7" w:rsidRPr="001D5327" w14:paraId="37BEE8E7" w14:textId="77777777" w:rsidTr="00D11AC9">
        <w:tc>
          <w:tcPr>
            <w:tcW w:w="0" w:type="auto"/>
            <w:shd w:val="clear" w:color="auto" w:fill="FFFFFF"/>
            <w:tcMar>
              <w:top w:w="0" w:type="dxa"/>
              <w:left w:w="85" w:type="dxa"/>
              <w:bottom w:w="0" w:type="dxa"/>
              <w:right w:w="85" w:type="dxa"/>
            </w:tcMar>
          </w:tcPr>
          <w:p w14:paraId="7E5C16F5"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1960</w:t>
            </w:r>
          </w:p>
        </w:tc>
        <w:tc>
          <w:tcPr>
            <w:tcW w:w="0" w:type="auto"/>
            <w:shd w:val="clear" w:color="auto" w:fill="FFFFFF"/>
            <w:tcMar>
              <w:top w:w="0" w:type="dxa"/>
              <w:left w:w="85" w:type="dxa"/>
              <w:bottom w:w="0" w:type="dxa"/>
              <w:right w:w="85" w:type="dxa"/>
            </w:tcMar>
          </w:tcPr>
          <w:p w14:paraId="2DE9A074" w14:textId="77777777" w:rsidR="00BC0FD7" w:rsidRPr="001D5327" w:rsidRDefault="00BC0FD7" w:rsidP="00D11AC9">
            <w:pPr>
              <w:pStyle w:val="TableText"/>
              <w:spacing w:before="40" w:after="40"/>
              <w:jc w:val="right"/>
            </w:pPr>
            <w:r w:rsidRPr="001D5327">
              <w:rPr>
                <w:rFonts w:eastAsia="Calibri" w:cs="Calibri"/>
                <w:color w:val="000000"/>
                <w:szCs w:val="16"/>
              </w:rPr>
              <w:t>181.7</w:t>
            </w:r>
          </w:p>
        </w:tc>
        <w:tc>
          <w:tcPr>
            <w:tcW w:w="0" w:type="auto"/>
            <w:shd w:val="clear" w:color="auto" w:fill="FFFFFF"/>
            <w:tcMar>
              <w:top w:w="0" w:type="dxa"/>
              <w:left w:w="85" w:type="dxa"/>
              <w:bottom w:w="0" w:type="dxa"/>
              <w:right w:w="85" w:type="dxa"/>
            </w:tcMar>
          </w:tcPr>
          <w:p w14:paraId="76BD47E5" w14:textId="77777777" w:rsidR="00BC0FD7" w:rsidRPr="001D5327" w:rsidRDefault="00BC0FD7" w:rsidP="00D11AC9">
            <w:pPr>
              <w:pStyle w:val="TableText"/>
              <w:spacing w:before="40" w:after="40"/>
              <w:jc w:val="right"/>
            </w:pPr>
            <w:r w:rsidRPr="001D5327">
              <w:rPr>
                <w:rFonts w:eastAsia="Calibri" w:cs="Calibri"/>
                <w:color w:val="000000"/>
                <w:szCs w:val="16"/>
              </w:rPr>
              <w:t>349.3</w:t>
            </w:r>
          </w:p>
        </w:tc>
        <w:tc>
          <w:tcPr>
            <w:tcW w:w="0" w:type="auto"/>
            <w:shd w:val="clear" w:color="auto" w:fill="FFFFFF"/>
            <w:tcMar>
              <w:top w:w="0" w:type="dxa"/>
              <w:left w:w="85" w:type="dxa"/>
              <w:bottom w:w="0" w:type="dxa"/>
              <w:right w:w="85" w:type="dxa"/>
            </w:tcMar>
          </w:tcPr>
          <w:p w14:paraId="567C2084" w14:textId="77777777" w:rsidR="00BC0FD7" w:rsidRPr="001D5327" w:rsidRDefault="00BC0FD7" w:rsidP="00D11AC9">
            <w:pPr>
              <w:pStyle w:val="TableText"/>
              <w:spacing w:before="40" w:after="40"/>
              <w:jc w:val="right"/>
            </w:pPr>
            <w:r w:rsidRPr="001D5327">
              <w:rPr>
                <w:rFonts w:eastAsia="Calibri" w:cs="Calibri"/>
                <w:color w:val="000000"/>
                <w:szCs w:val="16"/>
              </w:rPr>
              <w:t>38.8</w:t>
            </w:r>
          </w:p>
        </w:tc>
        <w:tc>
          <w:tcPr>
            <w:tcW w:w="0" w:type="auto"/>
            <w:shd w:val="clear" w:color="auto" w:fill="FFFFFF"/>
            <w:tcMar>
              <w:top w:w="0" w:type="dxa"/>
              <w:left w:w="85" w:type="dxa"/>
              <w:bottom w:w="0" w:type="dxa"/>
              <w:right w:w="85" w:type="dxa"/>
            </w:tcMar>
          </w:tcPr>
          <w:p w14:paraId="72F83966" w14:textId="77777777" w:rsidR="00BC0FD7" w:rsidRPr="001D5327" w:rsidRDefault="00BC0FD7" w:rsidP="00D11AC9">
            <w:pPr>
              <w:pStyle w:val="TableText"/>
              <w:spacing w:before="40" w:after="40"/>
              <w:jc w:val="right"/>
            </w:pPr>
            <w:r w:rsidRPr="001D5327">
              <w:rPr>
                <w:rFonts w:eastAsia="Calibri" w:cs="Calibri"/>
                <w:color w:val="000000"/>
                <w:szCs w:val="16"/>
              </w:rPr>
              <w:t>569.9</w:t>
            </w:r>
          </w:p>
        </w:tc>
      </w:tr>
      <w:tr w:rsidR="00BC0FD7" w:rsidRPr="001D5327" w14:paraId="070C167D" w14:textId="77777777" w:rsidTr="00D11AC9">
        <w:tc>
          <w:tcPr>
            <w:tcW w:w="0" w:type="auto"/>
            <w:shd w:val="clear" w:color="auto" w:fill="FFFFFF"/>
            <w:tcMar>
              <w:top w:w="0" w:type="dxa"/>
              <w:left w:w="85" w:type="dxa"/>
              <w:bottom w:w="0" w:type="dxa"/>
              <w:right w:w="85" w:type="dxa"/>
            </w:tcMar>
          </w:tcPr>
          <w:p w14:paraId="31F9C0A8"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1961</w:t>
            </w:r>
          </w:p>
        </w:tc>
        <w:tc>
          <w:tcPr>
            <w:tcW w:w="0" w:type="auto"/>
            <w:shd w:val="clear" w:color="auto" w:fill="FFFFFF"/>
            <w:tcMar>
              <w:top w:w="0" w:type="dxa"/>
              <w:left w:w="85" w:type="dxa"/>
              <w:bottom w:w="0" w:type="dxa"/>
              <w:right w:w="85" w:type="dxa"/>
            </w:tcMar>
          </w:tcPr>
          <w:p w14:paraId="5560C598" w14:textId="77777777" w:rsidR="00BC0FD7" w:rsidRPr="001D5327" w:rsidRDefault="00BC0FD7" w:rsidP="00D11AC9">
            <w:pPr>
              <w:pStyle w:val="TableText"/>
              <w:spacing w:before="40" w:after="40"/>
              <w:jc w:val="right"/>
            </w:pPr>
            <w:r w:rsidRPr="001D5327">
              <w:rPr>
                <w:rFonts w:eastAsia="Calibri" w:cs="Calibri"/>
                <w:color w:val="000000"/>
                <w:szCs w:val="16"/>
              </w:rPr>
              <w:t>181.7</w:t>
            </w:r>
          </w:p>
        </w:tc>
        <w:tc>
          <w:tcPr>
            <w:tcW w:w="0" w:type="auto"/>
            <w:shd w:val="clear" w:color="auto" w:fill="FFFFFF"/>
            <w:tcMar>
              <w:top w:w="0" w:type="dxa"/>
              <w:left w:w="85" w:type="dxa"/>
              <w:bottom w:w="0" w:type="dxa"/>
              <w:right w:w="85" w:type="dxa"/>
            </w:tcMar>
          </w:tcPr>
          <w:p w14:paraId="7C894CE1" w14:textId="77777777" w:rsidR="00BC0FD7" w:rsidRPr="001D5327" w:rsidRDefault="00BC0FD7" w:rsidP="00D11AC9">
            <w:pPr>
              <w:pStyle w:val="TableText"/>
              <w:spacing w:before="40" w:after="40"/>
              <w:jc w:val="right"/>
            </w:pPr>
            <w:r w:rsidRPr="001D5327">
              <w:rPr>
                <w:rFonts w:eastAsia="Calibri" w:cs="Calibri"/>
                <w:color w:val="000000"/>
                <w:szCs w:val="16"/>
              </w:rPr>
              <w:t>438.5</w:t>
            </w:r>
          </w:p>
        </w:tc>
        <w:tc>
          <w:tcPr>
            <w:tcW w:w="0" w:type="auto"/>
            <w:shd w:val="clear" w:color="auto" w:fill="FFFFFF"/>
            <w:tcMar>
              <w:top w:w="0" w:type="dxa"/>
              <w:left w:w="85" w:type="dxa"/>
              <w:bottom w:w="0" w:type="dxa"/>
              <w:right w:w="85" w:type="dxa"/>
            </w:tcMar>
          </w:tcPr>
          <w:p w14:paraId="3A574CD3" w14:textId="77777777" w:rsidR="00BC0FD7" w:rsidRPr="001D5327" w:rsidRDefault="00BC0FD7" w:rsidP="00D11AC9">
            <w:pPr>
              <w:pStyle w:val="TableText"/>
              <w:spacing w:before="40" w:after="40"/>
              <w:jc w:val="right"/>
            </w:pPr>
            <w:r w:rsidRPr="001D5327">
              <w:rPr>
                <w:rFonts w:eastAsia="Calibri" w:cs="Calibri"/>
                <w:color w:val="000000"/>
                <w:szCs w:val="16"/>
              </w:rPr>
              <w:t>48.7</w:t>
            </w:r>
          </w:p>
        </w:tc>
        <w:tc>
          <w:tcPr>
            <w:tcW w:w="0" w:type="auto"/>
            <w:shd w:val="clear" w:color="auto" w:fill="FFFFFF"/>
            <w:tcMar>
              <w:top w:w="0" w:type="dxa"/>
              <w:left w:w="85" w:type="dxa"/>
              <w:bottom w:w="0" w:type="dxa"/>
              <w:right w:w="85" w:type="dxa"/>
            </w:tcMar>
          </w:tcPr>
          <w:p w14:paraId="422B0282" w14:textId="77777777" w:rsidR="00BC0FD7" w:rsidRPr="001D5327" w:rsidRDefault="00BC0FD7" w:rsidP="00D11AC9">
            <w:pPr>
              <w:pStyle w:val="TableText"/>
              <w:spacing w:before="40" w:after="40"/>
              <w:jc w:val="right"/>
            </w:pPr>
            <w:r w:rsidRPr="001D5327">
              <w:rPr>
                <w:rFonts w:eastAsia="Calibri" w:cs="Calibri"/>
                <w:color w:val="000000"/>
                <w:szCs w:val="16"/>
              </w:rPr>
              <w:t>668.9</w:t>
            </w:r>
          </w:p>
        </w:tc>
      </w:tr>
      <w:tr w:rsidR="00BC0FD7" w:rsidRPr="001D5327" w14:paraId="0F600A17" w14:textId="77777777" w:rsidTr="00D11AC9">
        <w:tc>
          <w:tcPr>
            <w:tcW w:w="0" w:type="auto"/>
            <w:shd w:val="clear" w:color="auto" w:fill="FFFFFF"/>
            <w:tcMar>
              <w:top w:w="0" w:type="dxa"/>
              <w:left w:w="85" w:type="dxa"/>
              <w:bottom w:w="0" w:type="dxa"/>
              <w:right w:w="85" w:type="dxa"/>
            </w:tcMar>
          </w:tcPr>
          <w:p w14:paraId="75C7640B"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1962</w:t>
            </w:r>
          </w:p>
        </w:tc>
        <w:tc>
          <w:tcPr>
            <w:tcW w:w="0" w:type="auto"/>
            <w:shd w:val="clear" w:color="auto" w:fill="FFFFFF"/>
            <w:tcMar>
              <w:top w:w="0" w:type="dxa"/>
              <w:left w:w="85" w:type="dxa"/>
              <w:bottom w:w="0" w:type="dxa"/>
              <w:right w:w="85" w:type="dxa"/>
            </w:tcMar>
          </w:tcPr>
          <w:p w14:paraId="7D55E165" w14:textId="77777777" w:rsidR="00BC0FD7" w:rsidRPr="001D5327" w:rsidRDefault="00BC0FD7" w:rsidP="00D11AC9">
            <w:pPr>
              <w:pStyle w:val="TableText"/>
              <w:spacing w:before="40" w:after="40"/>
              <w:jc w:val="right"/>
            </w:pPr>
            <w:r w:rsidRPr="001D5327">
              <w:rPr>
                <w:rFonts w:eastAsia="Calibri" w:cs="Calibri"/>
                <w:color w:val="000000"/>
                <w:szCs w:val="16"/>
              </w:rPr>
              <w:t>181.7</w:t>
            </w:r>
          </w:p>
        </w:tc>
        <w:tc>
          <w:tcPr>
            <w:tcW w:w="0" w:type="auto"/>
            <w:shd w:val="clear" w:color="auto" w:fill="FFFFFF"/>
            <w:tcMar>
              <w:top w:w="0" w:type="dxa"/>
              <w:left w:w="85" w:type="dxa"/>
              <w:bottom w:w="0" w:type="dxa"/>
              <w:right w:w="85" w:type="dxa"/>
            </w:tcMar>
          </w:tcPr>
          <w:p w14:paraId="62B4D301" w14:textId="77777777" w:rsidR="00BC0FD7" w:rsidRPr="001D5327" w:rsidRDefault="00BC0FD7" w:rsidP="00D11AC9">
            <w:pPr>
              <w:pStyle w:val="TableText"/>
              <w:spacing w:before="40" w:after="40"/>
              <w:jc w:val="right"/>
            </w:pPr>
            <w:r w:rsidRPr="001D5327">
              <w:rPr>
                <w:rFonts w:eastAsia="Calibri" w:cs="Calibri"/>
                <w:color w:val="000000"/>
                <w:szCs w:val="16"/>
              </w:rPr>
              <w:t>447.2</w:t>
            </w:r>
          </w:p>
        </w:tc>
        <w:tc>
          <w:tcPr>
            <w:tcW w:w="0" w:type="auto"/>
            <w:shd w:val="clear" w:color="auto" w:fill="FFFFFF"/>
            <w:tcMar>
              <w:top w:w="0" w:type="dxa"/>
              <w:left w:w="85" w:type="dxa"/>
              <w:bottom w:w="0" w:type="dxa"/>
              <w:right w:w="85" w:type="dxa"/>
            </w:tcMar>
          </w:tcPr>
          <w:p w14:paraId="4E0FBC2F" w14:textId="77777777" w:rsidR="00BC0FD7" w:rsidRPr="001D5327" w:rsidRDefault="00BC0FD7" w:rsidP="00D11AC9">
            <w:pPr>
              <w:pStyle w:val="TableText"/>
              <w:spacing w:before="40" w:after="40"/>
              <w:jc w:val="right"/>
            </w:pPr>
            <w:r w:rsidRPr="001D5327">
              <w:rPr>
                <w:rFonts w:eastAsia="Calibri" w:cs="Calibri"/>
                <w:color w:val="000000"/>
                <w:szCs w:val="16"/>
              </w:rPr>
              <w:t>49.7</w:t>
            </w:r>
          </w:p>
        </w:tc>
        <w:tc>
          <w:tcPr>
            <w:tcW w:w="0" w:type="auto"/>
            <w:shd w:val="clear" w:color="auto" w:fill="FFFFFF"/>
            <w:tcMar>
              <w:top w:w="0" w:type="dxa"/>
              <w:left w:w="85" w:type="dxa"/>
              <w:bottom w:w="0" w:type="dxa"/>
              <w:right w:w="85" w:type="dxa"/>
            </w:tcMar>
          </w:tcPr>
          <w:p w14:paraId="4CB3235A" w14:textId="77777777" w:rsidR="00BC0FD7" w:rsidRPr="001D5327" w:rsidRDefault="00BC0FD7" w:rsidP="00D11AC9">
            <w:pPr>
              <w:pStyle w:val="TableText"/>
              <w:spacing w:before="40" w:after="40"/>
              <w:jc w:val="right"/>
            </w:pPr>
            <w:r w:rsidRPr="001D5327">
              <w:rPr>
                <w:rFonts w:eastAsia="Calibri" w:cs="Calibri"/>
                <w:color w:val="000000"/>
                <w:szCs w:val="16"/>
              </w:rPr>
              <w:t>678.6</w:t>
            </w:r>
          </w:p>
        </w:tc>
      </w:tr>
      <w:tr w:rsidR="00BC0FD7" w:rsidRPr="001D5327" w14:paraId="50F273CC" w14:textId="77777777" w:rsidTr="00D11AC9">
        <w:tc>
          <w:tcPr>
            <w:tcW w:w="0" w:type="auto"/>
            <w:shd w:val="clear" w:color="auto" w:fill="FFFFFF"/>
            <w:tcMar>
              <w:top w:w="0" w:type="dxa"/>
              <w:left w:w="85" w:type="dxa"/>
              <w:bottom w:w="0" w:type="dxa"/>
              <w:right w:w="85" w:type="dxa"/>
            </w:tcMar>
          </w:tcPr>
          <w:p w14:paraId="726FD863"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1963</w:t>
            </w:r>
          </w:p>
        </w:tc>
        <w:tc>
          <w:tcPr>
            <w:tcW w:w="0" w:type="auto"/>
            <w:shd w:val="clear" w:color="auto" w:fill="FFFFFF"/>
            <w:tcMar>
              <w:top w:w="0" w:type="dxa"/>
              <w:left w:w="85" w:type="dxa"/>
              <w:bottom w:w="0" w:type="dxa"/>
              <w:right w:w="85" w:type="dxa"/>
            </w:tcMar>
          </w:tcPr>
          <w:p w14:paraId="47CD4B78" w14:textId="77777777" w:rsidR="00BC0FD7" w:rsidRPr="001D5327" w:rsidRDefault="00BC0FD7" w:rsidP="00D11AC9">
            <w:pPr>
              <w:pStyle w:val="TableText"/>
              <w:spacing w:before="40" w:after="40"/>
              <w:jc w:val="right"/>
            </w:pPr>
            <w:r w:rsidRPr="001D5327">
              <w:rPr>
                <w:rFonts w:eastAsia="Calibri" w:cs="Calibri"/>
                <w:color w:val="000000"/>
                <w:szCs w:val="16"/>
              </w:rPr>
              <w:t>447.9</w:t>
            </w:r>
          </w:p>
        </w:tc>
        <w:tc>
          <w:tcPr>
            <w:tcW w:w="0" w:type="auto"/>
            <w:shd w:val="clear" w:color="auto" w:fill="FFFFFF"/>
            <w:tcMar>
              <w:top w:w="0" w:type="dxa"/>
              <w:left w:w="85" w:type="dxa"/>
              <w:bottom w:w="0" w:type="dxa"/>
              <w:right w:w="85" w:type="dxa"/>
            </w:tcMar>
          </w:tcPr>
          <w:p w14:paraId="29D51E06" w14:textId="77777777" w:rsidR="00BC0FD7" w:rsidRPr="001D5327" w:rsidRDefault="00BC0FD7" w:rsidP="00D11AC9">
            <w:pPr>
              <w:pStyle w:val="TableText"/>
              <w:spacing w:before="40" w:after="40"/>
              <w:jc w:val="right"/>
            </w:pPr>
            <w:r w:rsidRPr="001D5327">
              <w:rPr>
                <w:rFonts w:eastAsia="Calibri" w:cs="Calibri"/>
                <w:color w:val="000000"/>
                <w:szCs w:val="16"/>
              </w:rPr>
              <w:t>297.3</w:t>
            </w:r>
          </w:p>
        </w:tc>
        <w:tc>
          <w:tcPr>
            <w:tcW w:w="0" w:type="auto"/>
            <w:shd w:val="clear" w:color="auto" w:fill="FFFFFF"/>
            <w:tcMar>
              <w:top w:w="0" w:type="dxa"/>
              <w:left w:w="85" w:type="dxa"/>
              <w:bottom w:w="0" w:type="dxa"/>
              <w:right w:w="85" w:type="dxa"/>
            </w:tcMar>
          </w:tcPr>
          <w:p w14:paraId="6FEDA771" w14:textId="33606E61" w:rsidR="00BC0FD7" w:rsidRPr="001D5327" w:rsidRDefault="00BC0FD7" w:rsidP="00D11AC9">
            <w:pPr>
              <w:pStyle w:val="TableText"/>
              <w:spacing w:before="40" w:after="40"/>
              <w:jc w:val="right"/>
            </w:pPr>
            <w:r w:rsidRPr="001D5327">
              <w:rPr>
                <w:rFonts w:eastAsia="Calibri" w:cs="Calibri"/>
                <w:color w:val="000000"/>
                <w:szCs w:val="16"/>
              </w:rPr>
              <w:t>33</w:t>
            </w:r>
            <w:r w:rsidR="005E0DF1">
              <w:rPr>
                <w:rFonts w:eastAsia="Calibri" w:cs="Calibri"/>
                <w:color w:val="000000"/>
                <w:szCs w:val="16"/>
              </w:rPr>
              <w:t>.</w:t>
            </w:r>
            <w:r w:rsidR="009965FC">
              <w:rPr>
                <w:rFonts w:eastAsia="Calibri" w:cs="Calibri"/>
                <w:color w:val="000000"/>
                <w:szCs w:val="16"/>
              </w:rPr>
              <w:t>0</w:t>
            </w:r>
          </w:p>
        </w:tc>
        <w:tc>
          <w:tcPr>
            <w:tcW w:w="0" w:type="auto"/>
            <w:shd w:val="clear" w:color="auto" w:fill="FFFFFF"/>
            <w:tcMar>
              <w:top w:w="0" w:type="dxa"/>
              <w:left w:w="85" w:type="dxa"/>
              <w:bottom w:w="0" w:type="dxa"/>
              <w:right w:w="85" w:type="dxa"/>
            </w:tcMar>
          </w:tcPr>
          <w:p w14:paraId="0B3D7D09" w14:textId="77777777" w:rsidR="00BC0FD7" w:rsidRPr="001D5327" w:rsidRDefault="00BC0FD7" w:rsidP="00D11AC9">
            <w:pPr>
              <w:pStyle w:val="TableText"/>
              <w:spacing w:before="40" w:after="40"/>
              <w:jc w:val="right"/>
            </w:pPr>
            <w:r w:rsidRPr="001D5327">
              <w:rPr>
                <w:rFonts w:eastAsia="Calibri" w:cs="Calibri"/>
                <w:color w:val="000000"/>
                <w:szCs w:val="16"/>
              </w:rPr>
              <w:t>778.2</w:t>
            </w:r>
          </w:p>
        </w:tc>
      </w:tr>
      <w:tr w:rsidR="00BC0FD7" w:rsidRPr="001D5327" w14:paraId="281AAA65" w14:textId="77777777" w:rsidTr="00D11AC9">
        <w:tc>
          <w:tcPr>
            <w:tcW w:w="0" w:type="auto"/>
            <w:shd w:val="clear" w:color="auto" w:fill="FFFFFF"/>
            <w:tcMar>
              <w:top w:w="0" w:type="dxa"/>
              <w:left w:w="85" w:type="dxa"/>
              <w:bottom w:w="0" w:type="dxa"/>
              <w:right w:w="85" w:type="dxa"/>
            </w:tcMar>
          </w:tcPr>
          <w:p w14:paraId="0051356D"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1964</w:t>
            </w:r>
          </w:p>
        </w:tc>
        <w:tc>
          <w:tcPr>
            <w:tcW w:w="0" w:type="auto"/>
            <w:shd w:val="clear" w:color="auto" w:fill="FFFFFF"/>
            <w:tcMar>
              <w:top w:w="0" w:type="dxa"/>
              <w:left w:w="85" w:type="dxa"/>
              <w:bottom w:w="0" w:type="dxa"/>
              <w:right w:w="85" w:type="dxa"/>
            </w:tcMar>
          </w:tcPr>
          <w:p w14:paraId="467B41AE" w14:textId="77777777" w:rsidR="00BC0FD7" w:rsidRPr="001D5327" w:rsidRDefault="00BC0FD7" w:rsidP="00D11AC9">
            <w:pPr>
              <w:pStyle w:val="TableText"/>
              <w:spacing w:before="40" w:after="40"/>
              <w:jc w:val="right"/>
            </w:pPr>
            <w:r w:rsidRPr="001D5327">
              <w:rPr>
                <w:rFonts w:eastAsia="Calibri" w:cs="Calibri"/>
                <w:color w:val="000000"/>
                <w:szCs w:val="16"/>
              </w:rPr>
              <w:t>447.9</w:t>
            </w:r>
          </w:p>
        </w:tc>
        <w:tc>
          <w:tcPr>
            <w:tcW w:w="0" w:type="auto"/>
            <w:shd w:val="clear" w:color="auto" w:fill="FFFFFF"/>
            <w:tcMar>
              <w:top w:w="0" w:type="dxa"/>
              <w:left w:w="85" w:type="dxa"/>
              <w:bottom w:w="0" w:type="dxa"/>
              <w:right w:w="85" w:type="dxa"/>
            </w:tcMar>
          </w:tcPr>
          <w:p w14:paraId="01939B10" w14:textId="77777777" w:rsidR="00BC0FD7" w:rsidRPr="001D5327" w:rsidRDefault="00BC0FD7" w:rsidP="00D11AC9">
            <w:pPr>
              <w:pStyle w:val="TableText"/>
              <w:spacing w:before="40" w:after="40"/>
              <w:jc w:val="right"/>
            </w:pPr>
            <w:r w:rsidRPr="001D5327">
              <w:rPr>
                <w:rFonts w:eastAsia="Calibri" w:cs="Calibri"/>
                <w:color w:val="000000"/>
                <w:szCs w:val="16"/>
              </w:rPr>
              <w:t>369.1</w:t>
            </w:r>
          </w:p>
        </w:tc>
        <w:tc>
          <w:tcPr>
            <w:tcW w:w="0" w:type="auto"/>
            <w:shd w:val="clear" w:color="auto" w:fill="FFFFFF"/>
            <w:tcMar>
              <w:top w:w="0" w:type="dxa"/>
              <w:left w:w="85" w:type="dxa"/>
              <w:bottom w:w="0" w:type="dxa"/>
              <w:right w:w="85" w:type="dxa"/>
            </w:tcMar>
          </w:tcPr>
          <w:p w14:paraId="16B0776D" w14:textId="1ECF23DF" w:rsidR="00BC0FD7" w:rsidRPr="001D5327" w:rsidRDefault="00BC0FD7" w:rsidP="00D11AC9">
            <w:pPr>
              <w:pStyle w:val="TableText"/>
              <w:spacing w:before="40" w:after="40"/>
              <w:jc w:val="right"/>
            </w:pPr>
            <w:r w:rsidRPr="001D5327">
              <w:rPr>
                <w:rFonts w:eastAsia="Calibri" w:cs="Calibri"/>
                <w:color w:val="000000"/>
                <w:szCs w:val="16"/>
              </w:rPr>
              <w:t>41</w:t>
            </w:r>
            <w:r w:rsidR="009965FC">
              <w:rPr>
                <w:rFonts w:eastAsia="Calibri" w:cs="Calibri"/>
                <w:color w:val="000000"/>
                <w:szCs w:val="16"/>
              </w:rPr>
              <w:t>.0</w:t>
            </w:r>
          </w:p>
        </w:tc>
        <w:tc>
          <w:tcPr>
            <w:tcW w:w="0" w:type="auto"/>
            <w:shd w:val="clear" w:color="auto" w:fill="FFFFFF"/>
            <w:tcMar>
              <w:top w:w="0" w:type="dxa"/>
              <w:left w:w="85" w:type="dxa"/>
              <w:bottom w:w="0" w:type="dxa"/>
              <w:right w:w="85" w:type="dxa"/>
            </w:tcMar>
          </w:tcPr>
          <w:p w14:paraId="0AE25670" w14:textId="77777777" w:rsidR="00BC0FD7" w:rsidRPr="001D5327" w:rsidRDefault="00BC0FD7" w:rsidP="00D11AC9">
            <w:pPr>
              <w:pStyle w:val="TableText"/>
              <w:spacing w:before="40" w:after="40"/>
              <w:jc w:val="right"/>
            </w:pPr>
            <w:r w:rsidRPr="001D5327">
              <w:rPr>
                <w:rFonts w:eastAsia="Calibri" w:cs="Calibri"/>
                <w:color w:val="000000"/>
                <w:szCs w:val="16"/>
              </w:rPr>
              <w:t>858</w:t>
            </w:r>
          </w:p>
        </w:tc>
      </w:tr>
      <w:tr w:rsidR="00BC0FD7" w:rsidRPr="001D5327" w14:paraId="48F7A5B7" w14:textId="77777777" w:rsidTr="00D11AC9">
        <w:tc>
          <w:tcPr>
            <w:tcW w:w="0" w:type="auto"/>
            <w:shd w:val="clear" w:color="auto" w:fill="FFFFFF"/>
            <w:tcMar>
              <w:top w:w="0" w:type="dxa"/>
              <w:left w:w="85" w:type="dxa"/>
              <w:bottom w:w="0" w:type="dxa"/>
              <w:right w:w="85" w:type="dxa"/>
            </w:tcMar>
          </w:tcPr>
          <w:p w14:paraId="22079A28"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1965</w:t>
            </w:r>
          </w:p>
        </w:tc>
        <w:tc>
          <w:tcPr>
            <w:tcW w:w="0" w:type="auto"/>
            <w:shd w:val="clear" w:color="auto" w:fill="FFFFFF"/>
            <w:tcMar>
              <w:top w:w="0" w:type="dxa"/>
              <w:left w:w="85" w:type="dxa"/>
              <w:bottom w:w="0" w:type="dxa"/>
              <w:right w:w="85" w:type="dxa"/>
            </w:tcMar>
          </w:tcPr>
          <w:p w14:paraId="18B1A7DE" w14:textId="77777777" w:rsidR="00BC0FD7" w:rsidRPr="001D5327" w:rsidRDefault="00BC0FD7" w:rsidP="00D11AC9">
            <w:pPr>
              <w:pStyle w:val="TableText"/>
              <w:spacing w:before="40" w:after="40"/>
              <w:jc w:val="right"/>
            </w:pPr>
            <w:r w:rsidRPr="001D5327">
              <w:rPr>
                <w:rFonts w:eastAsia="Calibri" w:cs="Calibri"/>
                <w:color w:val="000000"/>
                <w:szCs w:val="16"/>
              </w:rPr>
              <w:t>447.9</w:t>
            </w:r>
          </w:p>
        </w:tc>
        <w:tc>
          <w:tcPr>
            <w:tcW w:w="0" w:type="auto"/>
            <w:shd w:val="clear" w:color="auto" w:fill="FFFFFF"/>
            <w:tcMar>
              <w:top w:w="0" w:type="dxa"/>
              <w:left w:w="85" w:type="dxa"/>
              <w:bottom w:w="0" w:type="dxa"/>
              <w:right w:w="85" w:type="dxa"/>
            </w:tcMar>
          </w:tcPr>
          <w:p w14:paraId="7281BBBC" w14:textId="77777777" w:rsidR="00BC0FD7" w:rsidRPr="001D5327" w:rsidRDefault="00BC0FD7" w:rsidP="00D11AC9">
            <w:pPr>
              <w:pStyle w:val="TableText"/>
              <w:spacing w:before="40" w:after="40"/>
              <w:jc w:val="right"/>
            </w:pPr>
            <w:r w:rsidRPr="001D5327">
              <w:rPr>
                <w:rFonts w:eastAsia="Calibri" w:cs="Calibri"/>
                <w:color w:val="000000"/>
                <w:szCs w:val="16"/>
              </w:rPr>
              <w:t>477.2</w:t>
            </w:r>
          </w:p>
        </w:tc>
        <w:tc>
          <w:tcPr>
            <w:tcW w:w="0" w:type="auto"/>
            <w:shd w:val="clear" w:color="auto" w:fill="FFFFFF"/>
            <w:tcMar>
              <w:top w:w="0" w:type="dxa"/>
              <w:left w:w="85" w:type="dxa"/>
              <w:bottom w:w="0" w:type="dxa"/>
              <w:right w:w="85" w:type="dxa"/>
            </w:tcMar>
          </w:tcPr>
          <w:p w14:paraId="760C19CF" w14:textId="0F5A9C3D" w:rsidR="00BC0FD7" w:rsidRPr="001D5327" w:rsidRDefault="00BC0FD7" w:rsidP="00D11AC9">
            <w:pPr>
              <w:pStyle w:val="TableText"/>
              <w:spacing w:before="40" w:after="40"/>
              <w:jc w:val="right"/>
            </w:pPr>
            <w:r w:rsidRPr="001D5327">
              <w:rPr>
                <w:rFonts w:eastAsia="Calibri" w:cs="Calibri"/>
                <w:color w:val="000000"/>
                <w:szCs w:val="16"/>
              </w:rPr>
              <w:t>53</w:t>
            </w:r>
            <w:r w:rsidR="009965FC">
              <w:rPr>
                <w:rFonts w:eastAsia="Calibri" w:cs="Calibri"/>
                <w:color w:val="000000"/>
                <w:szCs w:val="16"/>
              </w:rPr>
              <w:t>.0</w:t>
            </w:r>
          </w:p>
        </w:tc>
        <w:tc>
          <w:tcPr>
            <w:tcW w:w="0" w:type="auto"/>
            <w:shd w:val="clear" w:color="auto" w:fill="FFFFFF"/>
            <w:tcMar>
              <w:top w:w="0" w:type="dxa"/>
              <w:left w:w="85" w:type="dxa"/>
              <w:bottom w:w="0" w:type="dxa"/>
              <w:right w:w="85" w:type="dxa"/>
            </w:tcMar>
          </w:tcPr>
          <w:p w14:paraId="49472232" w14:textId="77777777" w:rsidR="00BC0FD7" w:rsidRPr="001D5327" w:rsidRDefault="00BC0FD7" w:rsidP="00D11AC9">
            <w:pPr>
              <w:pStyle w:val="TableText"/>
              <w:spacing w:before="40" w:after="40"/>
              <w:jc w:val="right"/>
            </w:pPr>
            <w:r w:rsidRPr="001D5327">
              <w:rPr>
                <w:rFonts w:eastAsia="Calibri" w:cs="Calibri"/>
                <w:color w:val="000000"/>
                <w:szCs w:val="16"/>
              </w:rPr>
              <w:t>978.1</w:t>
            </w:r>
          </w:p>
        </w:tc>
      </w:tr>
      <w:tr w:rsidR="00BC0FD7" w:rsidRPr="001D5327" w14:paraId="79E100F4" w14:textId="77777777" w:rsidTr="00D11AC9">
        <w:tc>
          <w:tcPr>
            <w:tcW w:w="0" w:type="auto"/>
            <w:shd w:val="clear" w:color="auto" w:fill="FFFFFF"/>
            <w:tcMar>
              <w:top w:w="0" w:type="dxa"/>
              <w:left w:w="85" w:type="dxa"/>
              <w:bottom w:w="0" w:type="dxa"/>
              <w:right w:w="85" w:type="dxa"/>
            </w:tcMar>
          </w:tcPr>
          <w:p w14:paraId="5F9D373E"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1966</w:t>
            </w:r>
          </w:p>
        </w:tc>
        <w:tc>
          <w:tcPr>
            <w:tcW w:w="0" w:type="auto"/>
            <w:shd w:val="clear" w:color="auto" w:fill="FFFFFF"/>
            <w:tcMar>
              <w:top w:w="0" w:type="dxa"/>
              <w:left w:w="85" w:type="dxa"/>
              <w:bottom w:w="0" w:type="dxa"/>
              <w:right w:w="85" w:type="dxa"/>
            </w:tcMar>
          </w:tcPr>
          <w:p w14:paraId="2D5D3697" w14:textId="77777777" w:rsidR="00BC0FD7" w:rsidRPr="001D5327" w:rsidRDefault="00BC0FD7" w:rsidP="00D11AC9">
            <w:pPr>
              <w:pStyle w:val="TableText"/>
              <w:spacing w:before="40" w:after="40"/>
              <w:jc w:val="right"/>
            </w:pPr>
            <w:r w:rsidRPr="001D5327">
              <w:rPr>
                <w:rFonts w:eastAsia="Calibri" w:cs="Calibri"/>
                <w:color w:val="000000"/>
                <w:szCs w:val="16"/>
              </w:rPr>
              <w:t>447.9</w:t>
            </w:r>
          </w:p>
        </w:tc>
        <w:tc>
          <w:tcPr>
            <w:tcW w:w="0" w:type="auto"/>
            <w:shd w:val="clear" w:color="auto" w:fill="FFFFFF"/>
            <w:tcMar>
              <w:top w:w="0" w:type="dxa"/>
              <w:left w:w="85" w:type="dxa"/>
              <w:bottom w:w="0" w:type="dxa"/>
              <w:right w:w="85" w:type="dxa"/>
            </w:tcMar>
          </w:tcPr>
          <w:p w14:paraId="6C041C5D" w14:textId="77777777" w:rsidR="00BC0FD7" w:rsidRPr="001D5327" w:rsidRDefault="00BC0FD7" w:rsidP="00D11AC9">
            <w:pPr>
              <w:pStyle w:val="TableText"/>
              <w:spacing w:before="40" w:after="40"/>
              <w:jc w:val="right"/>
            </w:pPr>
            <w:r w:rsidRPr="001D5327">
              <w:rPr>
                <w:rFonts w:eastAsia="Calibri" w:cs="Calibri"/>
                <w:color w:val="000000"/>
                <w:szCs w:val="16"/>
              </w:rPr>
              <w:t>566.8</w:t>
            </w:r>
          </w:p>
        </w:tc>
        <w:tc>
          <w:tcPr>
            <w:tcW w:w="0" w:type="auto"/>
            <w:shd w:val="clear" w:color="auto" w:fill="FFFFFF"/>
            <w:tcMar>
              <w:top w:w="0" w:type="dxa"/>
              <w:left w:w="85" w:type="dxa"/>
              <w:bottom w:w="0" w:type="dxa"/>
              <w:right w:w="85" w:type="dxa"/>
            </w:tcMar>
          </w:tcPr>
          <w:p w14:paraId="74C10FFF" w14:textId="08404B07" w:rsidR="00BC0FD7" w:rsidRPr="001D5327" w:rsidRDefault="00BC0FD7" w:rsidP="00D11AC9">
            <w:pPr>
              <w:pStyle w:val="TableText"/>
              <w:spacing w:before="40" w:after="40"/>
              <w:jc w:val="right"/>
            </w:pPr>
            <w:r w:rsidRPr="001D5327">
              <w:rPr>
                <w:rFonts w:eastAsia="Calibri" w:cs="Calibri"/>
                <w:color w:val="000000"/>
                <w:szCs w:val="16"/>
              </w:rPr>
              <w:t>63</w:t>
            </w:r>
            <w:r w:rsidR="009965FC">
              <w:rPr>
                <w:rFonts w:eastAsia="Calibri" w:cs="Calibri"/>
                <w:color w:val="000000"/>
                <w:szCs w:val="16"/>
              </w:rPr>
              <w:t>.0</w:t>
            </w:r>
          </w:p>
        </w:tc>
        <w:tc>
          <w:tcPr>
            <w:tcW w:w="0" w:type="auto"/>
            <w:shd w:val="clear" w:color="auto" w:fill="FFFFFF"/>
            <w:tcMar>
              <w:top w:w="0" w:type="dxa"/>
              <w:left w:w="85" w:type="dxa"/>
              <w:bottom w:w="0" w:type="dxa"/>
              <w:right w:w="85" w:type="dxa"/>
            </w:tcMar>
          </w:tcPr>
          <w:p w14:paraId="2D8F9F5A" w14:textId="77777777" w:rsidR="00BC0FD7" w:rsidRPr="001D5327" w:rsidRDefault="00BC0FD7" w:rsidP="00D11AC9">
            <w:pPr>
              <w:pStyle w:val="TableText"/>
              <w:spacing w:before="40" w:after="40"/>
              <w:jc w:val="right"/>
            </w:pPr>
            <w:r w:rsidRPr="001D5327">
              <w:rPr>
                <w:rFonts w:eastAsia="Calibri" w:cs="Calibri"/>
                <w:color w:val="000000"/>
                <w:szCs w:val="16"/>
              </w:rPr>
              <w:t>1,077.6</w:t>
            </w:r>
          </w:p>
        </w:tc>
      </w:tr>
      <w:tr w:rsidR="00BC0FD7" w:rsidRPr="001D5327" w14:paraId="426652B3" w14:textId="77777777" w:rsidTr="00D11AC9">
        <w:tc>
          <w:tcPr>
            <w:tcW w:w="0" w:type="auto"/>
            <w:shd w:val="clear" w:color="auto" w:fill="FFFFFF"/>
            <w:tcMar>
              <w:top w:w="0" w:type="dxa"/>
              <w:left w:w="85" w:type="dxa"/>
              <w:bottom w:w="0" w:type="dxa"/>
              <w:right w:w="85" w:type="dxa"/>
            </w:tcMar>
          </w:tcPr>
          <w:p w14:paraId="47EE98DC"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1967</w:t>
            </w:r>
          </w:p>
        </w:tc>
        <w:tc>
          <w:tcPr>
            <w:tcW w:w="0" w:type="auto"/>
            <w:shd w:val="clear" w:color="auto" w:fill="FFFFFF"/>
            <w:tcMar>
              <w:top w:w="0" w:type="dxa"/>
              <w:left w:w="85" w:type="dxa"/>
              <w:bottom w:w="0" w:type="dxa"/>
              <w:right w:w="85" w:type="dxa"/>
            </w:tcMar>
          </w:tcPr>
          <w:p w14:paraId="276B1274" w14:textId="77777777" w:rsidR="00BC0FD7" w:rsidRPr="001D5327" w:rsidRDefault="00BC0FD7" w:rsidP="00D11AC9">
            <w:pPr>
              <w:pStyle w:val="TableText"/>
              <w:spacing w:before="40" w:after="40"/>
              <w:jc w:val="right"/>
            </w:pPr>
            <w:r w:rsidRPr="001D5327">
              <w:rPr>
                <w:rFonts w:eastAsia="Calibri" w:cs="Calibri"/>
                <w:color w:val="000000"/>
                <w:szCs w:val="16"/>
              </w:rPr>
              <w:t>495.8</w:t>
            </w:r>
          </w:p>
        </w:tc>
        <w:tc>
          <w:tcPr>
            <w:tcW w:w="0" w:type="auto"/>
            <w:shd w:val="clear" w:color="auto" w:fill="FFFFFF"/>
            <w:tcMar>
              <w:top w:w="0" w:type="dxa"/>
              <w:left w:w="85" w:type="dxa"/>
              <w:bottom w:w="0" w:type="dxa"/>
              <w:right w:w="85" w:type="dxa"/>
            </w:tcMar>
          </w:tcPr>
          <w:p w14:paraId="51AFC082" w14:textId="77777777" w:rsidR="00BC0FD7" w:rsidRPr="001D5327" w:rsidRDefault="00BC0FD7" w:rsidP="00D11AC9">
            <w:pPr>
              <w:pStyle w:val="TableText"/>
              <w:spacing w:before="40" w:after="40"/>
              <w:jc w:val="right"/>
            </w:pPr>
            <w:r w:rsidRPr="001D5327">
              <w:rPr>
                <w:rFonts w:eastAsia="Calibri" w:cs="Calibri"/>
                <w:color w:val="000000"/>
                <w:szCs w:val="16"/>
              </w:rPr>
              <w:t>486</w:t>
            </w:r>
          </w:p>
        </w:tc>
        <w:tc>
          <w:tcPr>
            <w:tcW w:w="0" w:type="auto"/>
            <w:shd w:val="clear" w:color="auto" w:fill="FFFFFF"/>
            <w:tcMar>
              <w:top w:w="0" w:type="dxa"/>
              <w:left w:w="85" w:type="dxa"/>
              <w:bottom w:w="0" w:type="dxa"/>
              <w:right w:w="85" w:type="dxa"/>
            </w:tcMar>
          </w:tcPr>
          <w:p w14:paraId="5E79294B" w14:textId="603276D1" w:rsidR="00BC0FD7" w:rsidRPr="001D5327" w:rsidRDefault="00BC0FD7" w:rsidP="00D11AC9">
            <w:pPr>
              <w:pStyle w:val="TableText"/>
              <w:spacing w:before="40" w:after="40"/>
              <w:jc w:val="right"/>
            </w:pPr>
            <w:r w:rsidRPr="001D5327">
              <w:rPr>
                <w:rFonts w:eastAsia="Calibri" w:cs="Calibri"/>
                <w:color w:val="000000"/>
                <w:szCs w:val="16"/>
              </w:rPr>
              <w:t>54</w:t>
            </w:r>
            <w:r w:rsidR="009965FC">
              <w:rPr>
                <w:rFonts w:eastAsia="Calibri" w:cs="Calibri"/>
                <w:color w:val="000000"/>
                <w:szCs w:val="16"/>
              </w:rPr>
              <w:t>.0</w:t>
            </w:r>
          </w:p>
        </w:tc>
        <w:tc>
          <w:tcPr>
            <w:tcW w:w="0" w:type="auto"/>
            <w:shd w:val="clear" w:color="auto" w:fill="FFFFFF"/>
            <w:tcMar>
              <w:top w:w="0" w:type="dxa"/>
              <w:left w:w="85" w:type="dxa"/>
              <w:bottom w:w="0" w:type="dxa"/>
              <w:right w:w="85" w:type="dxa"/>
            </w:tcMar>
          </w:tcPr>
          <w:p w14:paraId="69321BED" w14:textId="77777777" w:rsidR="00BC0FD7" w:rsidRPr="001D5327" w:rsidRDefault="00BC0FD7" w:rsidP="00D11AC9">
            <w:pPr>
              <w:pStyle w:val="TableText"/>
              <w:spacing w:before="40" w:after="40"/>
              <w:jc w:val="right"/>
            </w:pPr>
            <w:r w:rsidRPr="001D5327">
              <w:rPr>
                <w:rFonts w:eastAsia="Calibri" w:cs="Calibri"/>
                <w:color w:val="000000"/>
                <w:szCs w:val="16"/>
              </w:rPr>
              <w:t>1,035.8</w:t>
            </w:r>
          </w:p>
        </w:tc>
      </w:tr>
      <w:tr w:rsidR="00BC0FD7" w:rsidRPr="001D5327" w14:paraId="15DAB988" w14:textId="77777777" w:rsidTr="00D11AC9">
        <w:tc>
          <w:tcPr>
            <w:tcW w:w="0" w:type="auto"/>
            <w:shd w:val="clear" w:color="auto" w:fill="FFFFFF"/>
            <w:tcMar>
              <w:top w:w="0" w:type="dxa"/>
              <w:left w:w="85" w:type="dxa"/>
              <w:bottom w:w="0" w:type="dxa"/>
              <w:right w:w="85" w:type="dxa"/>
            </w:tcMar>
          </w:tcPr>
          <w:p w14:paraId="6A7F83AD"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1968</w:t>
            </w:r>
          </w:p>
        </w:tc>
        <w:tc>
          <w:tcPr>
            <w:tcW w:w="0" w:type="auto"/>
            <w:shd w:val="clear" w:color="auto" w:fill="FFFFFF"/>
            <w:tcMar>
              <w:top w:w="0" w:type="dxa"/>
              <w:left w:w="85" w:type="dxa"/>
              <w:bottom w:w="0" w:type="dxa"/>
              <w:right w:w="85" w:type="dxa"/>
            </w:tcMar>
          </w:tcPr>
          <w:p w14:paraId="38EB7E35" w14:textId="77777777" w:rsidR="00BC0FD7" w:rsidRPr="001D5327" w:rsidRDefault="00BC0FD7" w:rsidP="00D11AC9">
            <w:pPr>
              <w:pStyle w:val="TableText"/>
              <w:spacing w:before="40" w:after="40"/>
              <w:jc w:val="right"/>
            </w:pPr>
            <w:r w:rsidRPr="001D5327">
              <w:rPr>
                <w:rFonts w:eastAsia="Calibri" w:cs="Calibri"/>
                <w:color w:val="000000"/>
                <w:szCs w:val="16"/>
              </w:rPr>
              <w:t>495.8</w:t>
            </w:r>
          </w:p>
        </w:tc>
        <w:tc>
          <w:tcPr>
            <w:tcW w:w="0" w:type="auto"/>
            <w:shd w:val="clear" w:color="auto" w:fill="FFFFFF"/>
            <w:tcMar>
              <w:top w:w="0" w:type="dxa"/>
              <w:left w:w="85" w:type="dxa"/>
              <w:bottom w:w="0" w:type="dxa"/>
              <w:right w:w="85" w:type="dxa"/>
            </w:tcMar>
          </w:tcPr>
          <w:p w14:paraId="3D55827B" w14:textId="77777777" w:rsidR="00BC0FD7" w:rsidRPr="001D5327" w:rsidRDefault="00BC0FD7" w:rsidP="00D11AC9">
            <w:pPr>
              <w:pStyle w:val="TableText"/>
              <w:spacing w:before="40" w:after="40"/>
              <w:jc w:val="right"/>
            </w:pPr>
            <w:r w:rsidRPr="001D5327">
              <w:rPr>
                <w:rFonts w:eastAsia="Calibri" w:cs="Calibri"/>
                <w:color w:val="000000"/>
                <w:szCs w:val="16"/>
              </w:rPr>
              <w:t>485.2</w:t>
            </w:r>
          </w:p>
        </w:tc>
        <w:tc>
          <w:tcPr>
            <w:tcW w:w="0" w:type="auto"/>
            <w:shd w:val="clear" w:color="auto" w:fill="FFFFFF"/>
            <w:tcMar>
              <w:top w:w="0" w:type="dxa"/>
              <w:left w:w="85" w:type="dxa"/>
              <w:bottom w:w="0" w:type="dxa"/>
              <w:right w:w="85" w:type="dxa"/>
            </w:tcMar>
          </w:tcPr>
          <w:p w14:paraId="147B909D" w14:textId="77777777" w:rsidR="00BC0FD7" w:rsidRPr="001D5327" w:rsidRDefault="00BC0FD7" w:rsidP="00D11AC9">
            <w:pPr>
              <w:pStyle w:val="TableText"/>
              <w:spacing w:before="40" w:after="40"/>
              <w:jc w:val="right"/>
            </w:pPr>
            <w:r w:rsidRPr="001D5327">
              <w:rPr>
                <w:rFonts w:eastAsia="Calibri" w:cs="Calibri"/>
                <w:color w:val="000000"/>
                <w:szCs w:val="16"/>
              </w:rPr>
              <w:t>53.9</w:t>
            </w:r>
          </w:p>
        </w:tc>
        <w:tc>
          <w:tcPr>
            <w:tcW w:w="0" w:type="auto"/>
            <w:shd w:val="clear" w:color="auto" w:fill="FFFFFF"/>
            <w:tcMar>
              <w:top w:w="0" w:type="dxa"/>
              <w:left w:w="85" w:type="dxa"/>
              <w:bottom w:w="0" w:type="dxa"/>
              <w:right w:w="85" w:type="dxa"/>
            </w:tcMar>
          </w:tcPr>
          <w:p w14:paraId="63678809" w14:textId="77777777" w:rsidR="00BC0FD7" w:rsidRPr="001D5327" w:rsidRDefault="00BC0FD7" w:rsidP="00D11AC9">
            <w:pPr>
              <w:pStyle w:val="TableText"/>
              <w:spacing w:before="40" w:after="40"/>
              <w:jc w:val="right"/>
            </w:pPr>
            <w:r w:rsidRPr="001D5327">
              <w:rPr>
                <w:rFonts w:eastAsia="Calibri" w:cs="Calibri"/>
                <w:color w:val="000000"/>
                <w:szCs w:val="16"/>
              </w:rPr>
              <w:t>1,034.9</w:t>
            </w:r>
          </w:p>
        </w:tc>
      </w:tr>
      <w:tr w:rsidR="00BC0FD7" w:rsidRPr="001D5327" w14:paraId="355487AE" w14:textId="77777777" w:rsidTr="00D11AC9">
        <w:tc>
          <w:tcPr>
            <w:tcW w:w="0" w:type="auto"/>
            <w:shd w:val="clear" w:color="auto" w:fill="FFFFFF"/>
            <w:tcMar>
              <w:top w:w="0" w:type="dxa"/>
              <w:left w:w="85" w:type="dxa"/>
              <w:bottom w:w="0" w:type="dxa"/>
              <w:right w:w="85" w:type="dxa"/>
            </w:tcMar>
          </w:tcPr>
          <w:p w14:paraId="030C5E57"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1969</w:t>
            </w:r>
          </w:p>
        </w:tc>
        <w:tc>
          <w:tcPr>
            <w:tcW w:w="0" w:type="auto"/>
            <w:shd w:val="clear" w:color="auto" w:fill="FFFFFF"/>
            <w:tcMar>
              <w:top w:w="0" w:type="dxa"/>
              <w:left w:w="85" w:type="dxa"/>
              <w:bottom w:w="0" w:type="dxa"/>
              <w:right w:w="85" w:type="dxa"/>
            </w:tcMar>
          </w:tcPr>
          <w:p w14:paraId="0C8BF179" w14:textId="77777777" w:rsidR="00BC0FD7" w:rsidRPr="001D5327" w:rsidRDefault="00BC0FD7" w:rsidP="00D11AC9">
            <w:pPr>
              <w:pStyle w:val="TableText"/>
              <w:spacing w:before="40" w:after="40"/>
              <w:jc w:val="right"/>
            </w:pPr>
            <w:r w:rsidRPr="001D5327">
              <w:rPr>
                <w:rFonts w:eastAsia="Calibri" w:cs="Calibri"/>
                <w:color w:val="000000"/>
                <w:szCs w:val="16"/>
              </w:rPr>
              <w:t>495.8</w:t>
            </w:r>
          </w:p>
        </w:tc>
        <w:tc>
          <w:tcPr>
            <w:tcW w:w="0" w:type="auto"/>
            <w:shd w:val="clear" w:color="auto" w:fill="FFFFFF"/>
            <w:tcMar>
              <w:top w:w="0" w:type="dxa"/>
              <w:left w:w="85" w:type="dxa"/>
              <w:bottom w:w="0" w:type="dxa"/>
              <w:right w:w="85" w:type="dxa"/>
            </w:tcMar>
          </w:tcPr>
          <w:p w14:paraId="6FBB5578" w14:textId="77777777" w:rsidR="00BC0FD7" w:rsidRPr="001D5327" w:rsidRDefault="00BC0FD7" w:rsidP="00D11AC9">
            <w:pPr>
              <w:pStyle w:val="TableText"/>
              <w:spacing w:before="40" w:after="40"/>
              <w:jc w:val="right"/>
            </w:pPr>
            <w:r w:rsidRPr="001D5327">
              <w:rPr>
                <w:rFonts w:eastAsia="Calibri" w:cs="Calibri"/>
                <w:color w:val="000000"/>
                <w:szCs w:val="16"/>
              </w:rPr>
              <w:t>489.1</w:t>
            </w:r>
          </w:p>
        </w:tc>
        <w:tc>
          <w:tcPr>
            <w:tcW w:w="0" w:type="auto"/>
            <w:shd w:val="clear" w:color="auto" w:fill="FFFFFF"/>
            <w:tcMar>
              <w:top w:w="0" w:type="dxa"/>
              <w:left w:w="85" w:type="dxa"/>
              <w:bottom w:w="0" w:type="dxa"/>
              <w:right w:w="85" w:type="dxa"/>
            </w:tcMar>
          </w:tcPr>
          <w:p w14:paraId="00CADB5E" w14:textId="77777777" w:rsidR="00BC0FD7" w:rsidRPr="001D5327" w:rsidRDefault="00BC0FD7" w:rsidP="00D11AC9">
            <w:pPr>
              <w:pStyle w:val="TableText"/>
              <w:spacing w:before="40" w:after="40"/>
              <w:jc w:val="right"/>
            </w:pPr>
            <w:r w:rsidRPr="001D5327">
              <w:rPr>
                <w:rFonts w:eastAsia="Calibri" w:cs="Calibri"/>
                <w:color w:val="000000"/>
                <w:szCs w:val="16"/>
              </w:rPr>
              <w:t>54.3</w:t>
            </w:r>
          </w:p>
        </w:tc>
        <w:tc>
          <w:tcPr>
            <w:tcW w:w="0" w:type="auto"/>
            <w:shd w:val="clear" w:color="auto" w:fill="FFFFFF"/>
            <w:tcMar>
              <w:top w:w="0" w:type="dxa"/>
              <w:left w:w="85" w:type="dxa"/>
              <w:bottom w:w="0" w:type="dxa"/>
              <w:right w:w="85" w:type="dxa"/>
            </w:tcMar>
          </w:tcPr>
          <w:p w14:paraId="014E5661" w14:textId="77777777" w:rsidR="00BC0FD7" w:rsidRPr="001D5327" w:rsidRDefault="00BC0FD7" w:rsidP="00D11AC9">
            <w:pPr>
              <w:pStyle w:val="TableText"/>
              <w:spacing w:before="40" w:after="40"/>
              <w:jc w:val="right"/>
            </w:pPr>
            <w:r w:rsidRPr="001D5327">
              <w:rPr>
                <w:rFonts w:eastAsia="Calibri" w:cs="Calibri"/>
                <w:color w:val="000000"/>
                <w:szCs w:val="16"/>
              </w:rPr>
              <w:t>1,039.2</w:t>
            </w:r>
          </w:p>
        </w:tc>
      </w:tr>
      <w:tr w:rsidR="00BC0FD7" w:rsidRPr="001D5327" w14:paraId="062C31D4" w14:textId="77777777" w:rsidTr="00D11AC9">
        <w:tc>
          <w:tcPr>
            <w:tcW w:w="0" w:type="auto"/>
            <w:shd w:val="clear" w:color="auto" w:fill="FFFFFF"/>
            <w:tcMar>
              <w:top w:w="0" w:type="dxa"/>
              <w:left w:w="85" w:type="dxa"/>
              <w:bottom w:w="0" w:type="dxa"/>
              <w:right w:w="85" w:type="dxa"/>
            </w:tcMar>
          </w:tcPr>
          <w:p w14:paraId="06E5E548"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1970</w:t>
            </w:r>
          </w:p>
        </w:tc>
        <w:tc>
          <w:tcPr>
            <w:tcW w:w="0" w:type="auto"/>
            <w:shd w:val="clear" w:color="auto" w:fill="FFFFFF"/>
            <w:tcMar>
              <w:top w:w="0" w:type="dxa"/>
              <w:left w:w="85" w:type="dxa"/>
              <w:bottom w:w="0" w:type="dxa"/>
              <w:right w:w="85" w:type="dxa"/>
            </w:tcMar>
          </w:tcPr>
          <w:p w14:paraId="3C99B5CA" w14:textId="77777777" w:rsidR="00BC0FD7" w:rsidRPr="001D5327" w:rsidRDefault="00BC0FD7" w:rsidP="00D11AC9">
            <w:pPr>
              <w:pStyle w:val="TableText"/>
              <w:spacing w:before="40" w:after="40"/>
              <w:jc w:val="right"/>
            </w:pPr>
            <w:r w:rsidRPr="001D5327">
              <w:rPr>
                <w:rFonts w:eastAsia="Calibri" w:cs="Calibri"/>
                <w:color w:val="000000"/>
                <w:szCs w:val="16"/>
              </w:rPr>
              <w:t>654.1</w:t>
            </w:r>
          </w:p>
        </w:tc>
        <w:tc>
          <w:tcPr>
            <w:tcW w:w="0" w:type="auto"/>
            <w:shd w:val="clear" w:color="auto" w:fill="FFFFFF"/>
            <w:tcMar>
              <w:top w:w="0" w:type="dxa"/>
              <w:left w:w="85" w:type="dxa"/>
              <w:bottom w:w="0" w:type="dxa"/>
              <w:right w:w="85" w:type="dxa"/>
            </w:tcMar>
          </w:tcPr>
          <w:p w14:paraId="6FDFD22C" w14:textId="77777777" w:rsidR="00BC0FD7" w:rsidRPr="001D5327" w:rsidRDefault="00BC0FD7" w:rsidP="00D11AC9">
            <w:pPr>
              <w:pStyle w:val="TableText"/>
              <w:spacing w:before="40" w:after="40"/>
              <w:jc w:val="right"/>
            </w:pPr>
            <w:r w:rsidRPr="001D5327">
              <w:rPr>
                <w:rFonts w:eastAsia="Calibri" w:cs="Calibri"/>
                <w:color w:val="000000"/>
                <w:szCs w:val="16"/>
              </w:rPr>
              <w:t>497.4</w:t>
            </w:r>
          </w:p>
        </w:tc>
        <w:tc>
          <w:tcPr>
            <w:tcW w:w="0" w:type="auto"/>
            <w:shd w:val="clear" w:color="auto" w:fill="FFFFFF"/>
            <w:tcMar>
              <w:top w:w="0" w:type="dxa"/>
              <w:left w:w="85" w:type="dxa"/>
              <w:bottom w:w="0" w:type="dxa"/>
              <w:right w:w="85" w:type="dxa"/>
            </w:tcMar>
          </w:tcPr>
          <w:p w14:paraId="788EC496" w14:textId="77777777" w:rsidR="00BC0FD7" w:rsidRPr="001D5327" w:rsidRDefault="00BC0FD7" w:rsidP="00D11AC9">
            <w:pPr>
              <w:pStyle w:val="TableText"/>
              <w:spacing w:before="40" w:after="40"/>
              <w:jc w:val="right"/>
            </w:pPr>
            <w:r w:rsidRPr="001D5327">
              <w:rPr>
                <w:rFonts w:eastAsia="Calibri" w:cs="Calibri"/>
                <w:color w:val="000000"/>
                <w:szCs w:val="16"/>
              </w:rPr>
              <w:t>55.3</w:t>
            </w:r>
          </w:p>
        </w:tc>
        <w:tc>
          <w:tcPr>
            <w:tcW w:w="0" w:type="auto"/>
            <w:shd w:val="clear" w:color="auto" w:fill="FFFFFF"/>
            <w:tcMar>
              <w:top w:w="0" w:type="dxa"/>
              <w:left w:w="85" w:type="dxa"/>
              <w:bottom w:w="0" w:type="dxa"/>
              <w:right w:w="85" w:type="dxa"/>
            </w:tcMar>
          </w:tcPr>
          <w:p w14:paraId="1818B032" w14:textId="77777777" w:rsidR="00BC0FD7" w:rsidRPr="001D5327" w:rsidRDefault="00BC0FD7" w:rsidP="00D11AC9">
            <w:pPr>
              <w:pStyle w:val="TableText"/>
              <w:spacing w:before="40" w:after="40"/>
              <w:jc w:val="right"/>
            </w:pPr>
            <w:r w:rsidRPr="001D5327">
              <w:rPr>
                <w:rFonts w:eastAsia="Calibri" w:cs="Calibri"/>
                <w:color w:val="000000"/>
                <w:szCs w:val="16"/>
              </w:rPr>
              <w:t>1,206.9</w:t>
            </w:r>
          </w:p>
        </w:tc>
      </w:tr>
      <w:tr w:rsidR="00BC0FD7" w:rsidRPr="001D5327" w14:paraId="252DB2A0" w14:textId="77777777" w:rsidTr="00D11AC9">
        <w:tc>
          <w:tcPr>
            <w:tcW w:w="0" w:type="auto"/>
            <w:shd w:val="clear" w:color="auto" w:fill="FFFFFF"/>
            <w:tcMar>
              <w:top w:w="0" w:type="dxa"/>
              <w:left w:w="85" w:type="dxa"/>
              <w:bottom w:w="0" w:type="dxa"/>
              <w:right w:w="85" w:type="dxa"/>
            </w:tcMar>
          </w:tcPr>
          <w:p w14:paraId="68804650"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lastRenderedPageBreak/>
              <w:t>1971</w:t>
            </w:r>
          </w:p>
        </w:tc>
        <w:tc>
          <w:tcPr>
            <w:tcW w:w="0" w:type="auto"/>
            <w:shd w:val="clear" w:color="auto" w:fill="FFFFFF"/>
            <w:tcMar>
              <w:top w:w="0" w:type="dxa"/>
              <w:left w:w="85" w:type="dxa"/>
              <w:bottom w:w="0" w:type="dxa"/>
              <w:right w:w="85" w:type="dxa"/>
            </w:tcMar>
          </w:tcPr>
          <w:p w14:paraId="1C166306" w14:textId="77777777" w:rsidR="00BC0FD7" w:rsidRPr="001D5327" w:rsidRDefault="00BC0FD7" w:rsidP="00D11AC9">
            <w:pPr>
              <w:pStyle w:val="TableText"/>
              <w:spacing w:before="40" w:after="40"/>
              <w:jc w:val="right"/>
            </w:pPr>
            <w:r w:rsidRPr="001D5327">
              <w:rPr>
                <w:rFonts w:eastAsia="Calibri" w:cs="Calibri"/>
                <w:color w:val="000000"/>
                <w:szCs w:val="16"/>
              </w:rPr>
              <w:t>654.1</w:t>
            </w:r>
          </w:p>
        </w:tc>
        <w:tc>
          <w:tcPr>
            <w:tcW w:w="0" w:type="auto"/>
            <w:shd w:val="clear" w:color="auto" w:fill="FFFFFF"/>
            <w:tcMar>
              <w:top w:w="0" w:type="dxa"/>
              <w:left w:w="85" w:type="dxa"/>
              <w:bottom w:w="0" w:type="dxa"/>
              <w:right w:w="85" w:type="dxa"/>
            </w:tcMar>
          </w:tcPr>
          <w:p w14:paraId="21E1AF9A" w14:textId="77777777" w:rsidR="00BC0FD7" w:rsidRPr="001D5327" w:rsidRDefault="00BC0FD7" w:rsidP="00D11AC9">
            <w:pPr>
              <w:pStyle w:val="TableText"/>
              <w:spacing w:before="40" w:after="40"/>
              <w:jc w:val="right"/>
            </w:pPr>
            <w:r w:rsidRPr="001D5327">
              <w:rPr>
                <w:rFonts w:eastAsia="Calibri" w:cs="Calibri"/>
                <w:color w:val="000000"/>
                <w:szCs w:val="16"/>
              </w:rPr>
              <w:t>554.4</w:t>
            </w:r>
          </w:p>
        </w:tc>
        <w:tc>
          <w:tcPr>
            <w:tcW w:w="0" w:type="auto"/>
            <w:shd w:val="clear" w:color="auto" w:fill="FFFFFF"/>
            <w:tcMar>
              <w:top w:w="0" w:type="dxa"/>
              <w:left w:w="85" w:type="dxa"/>
              <w:bottom w:w="0" w:type="dxa"/>
              <w:right w:w="85" w:type="dxa"/>
            </w:tcMar>
          </w:tcPr>
          <w:p w14:paraId="6A1A794A" w14:textId="77777777" w:rsidR="00BC0FD7" w:rsidRPr="001D5327" w:rsidRDefault="00BC0FD7" w:rsidP="00D11AC9">
            <w:pPr>
              <w:pStyle w:val="TableText"/>
              <w:spacing w:before="40" w:after="40"/>
              <w:jc w:val="right"/>
            </w:pPr>
            <w:r w:rsidRPr="001D5327">
              <w:rPr>
                <w:rFonts w:eastAsia="Calibri" w:cs="Calibri"/>
                <w:color w:val="000000"/>
                <w:szCs w:val="16"/>
              </w:rPr>
              <w:t>61.6</w:t>
            </w:r>
          </w:p>
        </w:tc>
        <w:tc>
          <w:tcPr>
            <w:tcW w:w="0" w:type="auto"/>
            <w:shd w:val="clear" w:color="auto" w:fill="FFFFFF"/>
            <w:tcMar>
              <w:top w:w="0" w:type="dxa"/>
              <w:left w:w="85" w:type="dxa"/>
              <w:bottom w:w="0" w:type="dxa"/>
              <w:right w:w="85" w:type="dxa"/>
            </w:tcMar>
          </w:tcPr>
          <w:p w14:paraId="14ABFDA0" w14:textId="77777777" w:rsidR="00BC0FD7" w:rsidRPr="001D5327" w:rsidRDefault="00BC0FD7" w:rsidP="00D11AC9">
            <w:pPr>
              <w:pStyle w:val="TableText"/>
              <w:spacing w:before="40" w:after="40"/>
              <w:jc w:val="right"/>
            </w:pPr>
            <w:r w:rsidRPr="001D5327">
              <w:rPr>
                <w:rFonts w:eastAsia="Calibri" w:cs="Calibri"/>
                <w:color w:val="000000"/>
                <w:szCs w:val="16"/>
              </w:rPr>
              <w:t>1,270.1</w:t>
            </w:r>
          </w:p>
        </w:tc>
      </w:tr>
      <w:tr w:rsidR="00BC0FD7" w:rsidRPr="001D5327" w14:paraId="1DF6970E" w14:textId="77777777" w:rsidTr="00D11AC9">
        <w:tc>
          <w:tcPr>
            <w:tcW w:w="0" w:type="auto"/>
            <w:shd w:val="clear" w:color="auto" w:fill="FFFFFF"/>
            <w:tcMar>
              <w:top w:w="0" w:type="dxa"/>
              <w:left w:w="85" w:type="dxa"/>
              <w:bottom w:w="0" w:type="dxa"/>
              <w:right w:w="85" w:type="dxa"/>
            </w:tcMar>
          </w:tcPr>
          <w:p w14:paraId="652A733F"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1972</w:t>
            </w:r>
          </w:p>
        </w:tc>
        <w:tc>
          <w:tcPr>
            <w:tcW w:w="0" w:type="auto"/>
            <w:shd w:val="clear" w:color="auto" w:fill="FFFFFF"/>
            <w:tcMar>
              <w:top w:w="0" w:type="dxa"/>
              <w:left w:w="85" w:type="dxa"/>
              <w:bottom w:w="0" w:type="dxa"/>
              <w:right w:w="85" w:type="dxa"/>
            </w:tcMar>
          </w:tcPr>
          <w:p w14:paraId="289430E6" w14:textId="77777777" w:rsidR="00BC0FD7" w:rsidRPr="001D5327" w:rsidRDefault="00BC0FD7" w:rsidP="00D11AC9">
            <w:pPr>
              <w:pStyle w:val="TableText"/>
              <w:spacing w:before="40" w:after="40"/>
              <w:jc w:val="right"/>
            </w:pPr>
            <w:r w:rsidRPr="001D5327">
              <w:rPr>
                <w:rFonts w:eastAsia="Calibri" w:cs="Calibri"/>
                <w:color w:val="000000"/>
                <w:szCs w:val="16"/>
              </w:rPr>
              <w:t>672.5</w:t>
            </w:r>
          </w:p>
        </w:tc>
        <w:tc>
          <w:tcPr>
            <w:tcW w:w="0" w:type="auto"/>
            <w:shd w:val="clear" w:color="auto" w:fill="FFFFFF"/>
            <w:tcMar>
              <w:top w:w="0" w:type="dxa"/>
              <w:left w:w="85" w:type="dxa"/>
              <w:bottom w:w="0" w:type="dxa"/>
              <w:right w:w="85" w:type="dxa"/>
            </w:tcMar>
          </w:tcPr>
          <w:p w14:paraId="5824A871" w14:textId="77777777" w:rsidR="00BC0FD7" w:rsidRPr="001D5327" w:rsidRDefault="00BC0FD7" w:rsidP="00D11AC9">
            <w:pPr>
              <w:pStyle w:val="TableText"/>
              <w:spacing w:before="40" w:after="40"/>
              <w:jc w:val="right"/>
            </w:pPr>
            <w:r w:rsidRPr="001D5327">
              <w:rPr>
                <w:rFonts w:eastAsia="Calibri" w:cs="Calibri"/>
                <w:color w:val="000000"/>
                <w:szCs w:val="16"/>
              </w:rPr>
              <w:t>746.9</w:t>
            </w:r>
          </w:p>
        </w:tc>
        <w:tc>
          <w:tcPr>
            <w:tcW w:w="0" w:type="auto"/>
            <w:shd w:val="clear" w:color="auto" w:fill="FFFFFF"/>
            <w:tcMar>
              <w:top w:w="0" w:type="dxa"/>
              <w:left w:w="85" w:type="dxa"/>
              <w:bottom w:w="0" w:type="dxa"/>
              <w:right w:w="85" w:type="dxa"/>
            </w:tcMar>
          </w:tcPr>
          <w:p w14:paraId="115EDC6F" w14:textId="5AE17B0C" w:rsidR="00BC0FD7" w:rsidRPr="001D5327" w:rsidRDefault="00BC0FD7" w:rsidP="00D11AC9">
            <w:pPr>
              <w:pStyle w:val="TableText"/>
              <w:spacing w:before="40" w:after="40"/>
              <w:jc w:val="right"/>
            </w:pPr>
            <w:r w:rsidRPr="001D5327">
              <w:rPr>
                <w:rFonts w:eastAsia="Calibri" w:cs="Calibri"/>
                <w:color w:val="000000"/>
                <w:szCs w:val="16"/>
              </w:rPr>
              <w:t>83</w:t>
            </w:r>
            <w:r w:rsidR="009965FC">
              <w:rPr>
                <w:rFonts w:eastAsia="Calibri" w:cs="Calibri"/>
                <w:color w:val="000000"/>
                <w:szCs w:val="16"/>
              </w:rPr>
              <w:t>.0</w:t>
            </w:r>
          </w:p>
        </w:tc>
        <w:tc>
          <w:tcPr>
            <w:tcW w:w="0" w:type="auto"/>
            <w:shd w:val="clear" w:color="auto" w:fill="FFFFFF"/>
            <w:tcMar>
              <w:top w:w="0" w:type="dxa"/>
              <w:left w:w="85" w:type="dxa"/>
              <w:bottom w:w="0" w:type="dxa"/>
              <w:right w:w="85" w:type="dxa"/>
            </w:tcMar>
          </w:tcPr>
          <w:p w14:paraId="7F3B3895" w14:textId="77777777" w:rsidR="00BC0FD7" w:rsidRPr="001D5327" w:rsidRDefault="00BC0FD7" w:rsidP="00D11AC9">
            <w:pPr>
              <w:pStyle w:val="TableText"/>
              <w:spacing w:before="40" w:after="40"/>
              <w:jc w:val="right"/>
            </w:pPr>
            <w:r w:rsidRPr="001D5327">
              <w:rPr>
                <w:rFonts w:eastAsia="Calibri" w:cs="Calibri"/>
                <w:color w:val="000000"/>
                <w:szCs w:val="16"/>
              </w:rPr>
              <w:t>1,502.5</w:t>
            </w:r>
          </w:p>
        </w:tc>
      </w:tr>
      <w:tr w:rsidR="00BC0FD7" w:rsidRPr="001D5327" w14:paraId="06790397" w14:textId="77777777" w:rsidTr="00D11AC9">
        <w:tc>
          <w:tcPr>
            <w:tcW w:w="0" w:type="auto"/>
            <w:shd w:val="clear" w:color="auto" w:fill="FFFFFF"/>
            <w:tcMar>
              <w:top w:w="0" w:type="dxa"/>
              <w:left w:w="85" w:type="dxa"/>
              <w:bottom w:w="0" w:type="dxa"/>
              <w:right w:w="85" w:type="dxa"/>
            </w:tcMar>
          </w:tcPr>
          <w:p w14:paraId="180DAF5B"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1973</w:t>
            </w:r>
          </w:p>
        </w:tc>
        <w:tc>
          <w:tcPr>
            <w:tcW w:w="0" w:type="auto"/>
            <w:shd w:val="clear" w:color="auto" w:fill="FFFFFF"/>
            <w:tcMar>
              <w:top w:w="0" w:type="dxa"/>
              <w:left w:w="85" w:type="dxa"/>
              <w:bottom w:w="0" w:type="dxa"/>
              <w:right w:w="85" w:type="dxa"/>
            </w:tcMar>
          </w:tcPr>
          <w:p w14:paraId="600D0388" w14:textId="77777777" w:rsidR="00BC0FD7" w:rsidRPr="001D5327" w:rsidRDefault="00BC0FD7" w:rsidP="00D11AC9">
            <w:pPr>
              <w:pStyle w:val="TableText"/>
              <w:spacing w:before="40" w:after="40"/>
              <w:jc w:val="right"/>
            </w:pPr>
            <w:r w:rsidRPr="001D5327">
              <w:rPr>
                <w:rFonts w:eastAsia="Calibri" w:cs="Calibri"/>
                <w:color w:val="000000"/>
                <w:szCs w:val="16"/>
              </w:rPr>
              <w:t>672.5</w:t>
            </w:r>
          </w:p>
        </w:tc>
        <w:tc>
          <w:tcPr>
            <w:tcW w:w="0" w:type="auto"/>
            <w:shd w:val="clear" w:color="auto" w:fill="FFFFFF"/>
            <w:tcMar>
              <w:top w:w="0" w:type="dxa"/>
              <w:left w:w="85" w:type="dxa"/>
              <w:bottom w:w="0" w:type="dxa"/>
              <w:right w:w="85" w:type="dxa"/>
            </w:tcMar>
          </w:tcPr>
          <w:p w14:paraId="6E4D7190" w14:textId="77777777" w:rsidR="00BC0FD7" w:rsidRPr="001D5327" w:rsidRDefault="00BC0FD7" w:rsidP="00D11AC9">
            <w:pPr>
              <w:pStyle w:val="TableText"/>
              <w:spacing w:before="40" w:after="40"/>
              <w:jc w:val="right"/>
            </w:pPr>
            <w:r w:rsidRPr="001D5327">
              <w:rPr>
                <w:rFonts w:eastAsia="Calibri" w:cs="Calibri"/>
                <w:color w:val="000000"/>
                <w:szCs w:val="16"/>
              </w:rPr>
              <w:t>889.1</w:t>
            </w:r>
          </w:p>
        </w:tc>
        <w:tc>
          <w:tcPr>
            <w:tcW w:w="0" w:type="auto"/>
            <w:shd w:val="clear" w:color="auto" w:fill="FFFFFF"/>
            <w:tcMar>
              <w:top w:w="0" w:type="dxa"/>
              <w:left w:w="85" w:type="dxa"/>
              <w:bottom w:w="0" w:type="dxa"/>
              <w:right w:w="85" w:type="dxa"/>
            </w:tcMar>
          </w:tcPr>
          <w:p w14:paraId="2C0A9680" w14:textId="77777777" w:rsidR="00BC0FD7" w:rsidRPr="001D5327" w:rsidRDefault="00BC0FD7" w:rsidP="00D11AC9">
            <w:pPr>
              <w:pStyle w:val="TableText"/>
              <w:spacing w:before="40" w:after="40"/>
              <w:jc w:val="right"/>
            </w:pPr>
            <w:r w:rsidRPr="001D5327">
              <w:rPr>
                <w:rFonts w:eastAsia="Calibri" w:cs="Calibri"/>
                <w:color w:val="000000"/>
                <w:szCs w:val="16"/>
              </w:rPr>
              <w:t>98.8</w:t>
            </w:r>
          </w:p>
        </w:tc>
        <w:tc>
          <w:tcPr>
            <w:tcW w:w="0" w:type="auto"/>
            <w:shd w:val="clear" w:color="auto" w:fill="FFFFFF"/>
            <w:tcMar>
              <w:top w:w="0" w:type="dxa"/>
              <w:left w:w="85" w:type="dxa"/>
              <w:bottom w:w="0" w:type="dxa"/>
              <w:right w:w="85" w:type="dxa"/>
            </w:tcMar>
          </w:tcPr>
          <w:p w14:paraId="2D3C89A3" w14:textId="77777777" w:rsidR="00BC0FD7" w:rsidRPr="001D5327" w:rsidRDefault="00BC0FD7" w:rsidP="00D11AC9">
            <w:pPr>
              <w:pStyle w:val="TableText"/>
              <w:spacing w:before="40" w:after="40"/>
              <w:jc w:val="right"/>
            </w:pPr>
            <w:r w:rsidRPr="001D5327">
              <w:rPr>
                <w:rFonts w:eastAsia="Calibri" w:cs="Calibri"/>
                <w:color w:val="000000"/>
                <w:szCs w:val="16"/>
              </w:rPr>
              <w:t>1,660.4</w:t>
            </w:r>
          </w:p>
        </w:tc>
      </w:tr>
      <w:tr w:rsidR="00BC0FD7" w:rsidRPr="001D5327" w14:paraId="3E8DC429" w14:textId="77777777" w:rsidTr="00D11AC9">
        <w:tc>
          <w:tcPr>
            <w:tcW w:w="0" w:type="auto"/>
            <w:shd w:val="clear" w:color="auto" w:fill="FFFFFF"/>
            <w:tcMar>
              <w:top w:w="0" w:type="dxa"/>
              <w:left w:w="85" w:type="dxa"/>
              <w:bottom w:w="0" w:type="dxa"/>
              <w:right w:w="85" w:type="dxa"/>
            </w:tcMar>
          </w:tcPr>
          <w:p w14:paraId="6B8B755F"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1974</w:t>
            </w:r>
          </w:p>
        </w:tc>
        <w:tc>
          <w:tcPr>
            <w:tcW w:w="0" w:type="auto"/>
            <w:shd w:val="clear" w:color="auto" w:fill="FFFFFF"/>
            <w:tcMar>
              <w:top w:w="0" w:type="dxa"/>
              <w:left w:w="85" w:type="dxa"/>
              <w:bottom w:w="0" w:type="dxa"/>
              <w:right w:w="85" w:type="dxa"/>
            </w:tcMar>
          </w:tcPr>
          <w:p w14:paraId="60229C38" w14:textId="77777777" w:rsidR="00BC0FD7" w:rsidRPr="001D5327" w:rsidRDefault="00BC0FD7" w:rsidP="00D11AC9">
            <w:pPr>
              <w:pStyle w:val="TableText"/>
              <w:spacing w:before="40" w:after="40"/>
              <w:jc w:val="right"/>
            </w:pPr>
            <w:r w:rsidRPr="001D5327">
              <w:rPr>
                <w:rFonts w:eastAsia="Calibri" w:cs="Calibri"/>
                <w:color w:val="000000"/>
                <w:szCs w:val="16"/>
              </w:rPr>
              <w:t>844.5</w:t>
            </w:r>
          </w:p>
        </w:tc>
        <w:tc>
          <w:tcPr>
            <w:tcW w:w="0" w:type="auto"/>
            <w:shd w:val="clear" w:color="auto" w:fill="FFFFFF"/>
            <w:tcMar>
              <w:top w:w="0" w:type="dxa"/>
              <w:left w:w="85" w:type="dxa"/>
              <w:bottom w:w="0" w:type="dxa"/>
              <w:right w:w="85" w:type="dxa"/>
            </w:tcMar>
          </w:tcPr>
          <w:p w14:paraId="2AD000F6" w14:textId="77777777" w:rsidR="00BC0FD7" w:rsidRPr="001D5327" w:rsidRDefault="00BC0FD7" w:rsidP="00D11AC9">
            <w:pPr>
              <w:pStyle w:val="TableText"/>
              <w:spacing w:before="40" w:after="40"/>
              <w:jc w:val="right"/>
            </w:pPr>
            <w:r w:rsidRPr="001D5327">
              <w:rPr>
                <w:rFonts w:eastAsia="Calibri" w:cs="Calibri"/>
                <w:color w:val="000000"/>
                <w:szCs w:val="16"/>
              </w:rPr>
              <w:t>839.4</w:t>
            </w:r>
          </w:p>
        </w:tc>
        <w:tc>
          <w:tcPr>
            <w:tcW w:w="0" w:type="auto"/>
            <w:shd w:val="clear" w:color="auto" w:fill="FFFFFF"/>
            <w:tcMar>
              <w:top w:w="0" w:type="dxa"/>
              <w:left w:w="85" w:type="dxa"/>
              <w:bottom w:w="0" w:type="dxa"/>
              <w:right w:w="85" w:type="dxa"/>
            </w:tcMar>
          </w:tcPr>
          <w:p w14:paraId="08C1B76F" w14:textId="77777777" w:rsidR="00BC0FD7" w:rsidRPr="001D5327" w:rsidRDefault="00BC0FD7" w:rsidP="00D11AC9">
            <w:pPr>
              <w:pStyle w:val="TableText"/>
              <w:spacing w:before="40" w:after="40"/>
              <w:jc w:val="right"/>
            </w:pPr>
            <w:r w:rsidRPr="001D5327">
              <w:rPr>
                <w:rFonts w:eastAsia="Calibri" w:cs="Calibri"/>
                <w:color w:val="000000"/>
                <w:szCs w:val="16"/>
              </w:rPr>
              <w:t>93.3</w:t>
            </w:r>
          </w:p>
        </w:tc>
        <w:tc>
          <w:tcPr>
            <w:tcW w:w="0" w:type="auto"/>
            <w:shd w:val="clear" w:color="auto" w:fill="FFFFFF"/>
            <w:tcMar>
              <w:top w:w="0" w:type="dxa"/>
              <w:left w:w="85" w:type="dxa"/>
              <w:bottom w:w="0" w:type="dxa"/>
              <w:right w:w="85" w:type="dxa"/>
            </w:tcMar>
          </w:tcPr>
          <w:p w14:paraId="0AA6DD8B" w14:textId="77777777" w:rsidR="00BC0FD7" w:rsidRPr="001D5327" w:rsidRDefault="00BC0FD7" w:rsidP="00D11AC9">
            <w:pPr>
              <w:pStyle w:val="TableText"/>
              <w:spacing w:before="40" w:after="40"/>
              <w:jc w:val="right"/>
            </w:pPr>
            <w:r w:rsidRPr="001D5327">
              <w:rPr>
                <w:rFonts w:eastAsia="Calibri" w:cs="Calibri"/>
                <w:color w:val="000000"/>
                <w:szCs w:val="16"/>
              </w:rPr>
              <w:t>1,777.1</w:t>
            </w:r>
          </w:p>
        </w:tc>
      </w:tr>
      <w:tr w:rsidR="00BC0FD7" w:rsidRPr="001D5327" w14:paraId="47F76626" w14:textId="77777777" w:rsidTr="00D11AC9">
        <w:tc>
          <w:tcPr>
            <w:tcW w:w="0" w:type="auto"/>
            <w:shd w:val="clear" w:color="auto" w:fill="FFFFFF"/>
            <w:tcMar>
              <w:top w:w="0" w:type="dxa"/>
              <w:left w:w="85" w:type="dxa"/>
              <w:bottom w:w="0" w:type="dxa"/>
              <w:right w:w="85" w:type="dxa"/>
            </w:tcMar>
          </w:tcPr>
          <w:p w14:paraId="5FAB283E"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1975</w:t>
            </w:r>
          </w:p>
        </w:tc>
        <w:tc>
          <w:tcPr>
            <w:tcW w:w="0" w:type="auto"/>
            <w:shd w:val="clear" w:color="auto" w:fill="FFFFFF"/>
            <w:tcMar>
              <w:top w:w="0" w:type="dxa"/>
              <w:left w:w="85" w:type="dxa"/>
              <w:bottom w:w="0" w:type="dxa"/>
              <w:right w:w="85" w:type="dxa"/>
            </w:tcMar>
          </w:tcPr>
          <w:p w14:paraId="4433BA13" w14:textId="77777777" w:rsidR="00BC0FD7" w:rsidRPr="001D5327" w:rsidRDefault="00BC0FD7" w:rsidP="00D11AC9">
            <w:pPr>
              <w:pStyle w:val="TableText"/>
              <w:spacing w:before="40" w:after="40"/>
              <w:jc w:val="right"/>
            </w:pPr>
            <w:r w:rsidRPr="001D5327">
              <w:rPr>
                <w:rFonts w:eastAsia="Calibri" w:cs="Calibri"/>
                <w:color w:val="000000"/>
                <w:szCs w:val="16"/>
              </w:rPr>
              <w:t>844.5</w:t>
            </w:r>
          </w:p>
        </w:tc>
        <w:tc>
          <w:tcPr>
            <w:tcW w:w="0" w:type="auto"/>
            <w:shd w:val="clear" w:color="auto" w:fill="FFFFFF"/>
            <w:tcMar>
              <w:top w:w="0" w:type="dxa"/>
              <w:left w:w="85" w:type="dxa"/>
              <w:bottom w:w="0" w:type="dxa"/>
              <w:right w:w="85" w:type="dxa"/>
            </w:tcMar>
          </w:tcPr>
          <w:p w14:paraId="0F7645CB" w14:textId="77777777" w:rsidR="00BC0FD7" w:rsidRPr="001D5327" w:rsidRDefault="00BC0FD7" w:rsidP="00D11AC9">
            <w:pPr>
              <w:pStyle w:val="TableText"/>
              <w:spacing w:before="40" w:after="40"/>
              <w:jc w:val="right"/>
            </w:pPr>
            <w:r w:rsidRPr="001D5327">
              <w:rPr>
                <w:rFonts w:eastAsia="Calibri" w:cs="Calibri"/>
                <w:color w:val="000000"/>
                <w:szCs w:val="16"/>
              </w:rPr>
              <w:t>736.6</w:t>
            </w:r>
          </w:p>
        </w:tc>
        <w:tc>
          <w:tcPr>
            <w:tcW w:w="0" w:type="auto"/>
            <w:shd w:val="clear" w:color="auto" w:fill="FFFFFF"/>
            <w:tcMar>
              <w:top w:w="0" w:type="dxa"/>
              <w:left w:w="85" w:type="dxa"/>
              <w:bottom w:w="0" w:type="dxa"/>
              <w:right w:w="85" w:type="dxa"/>
            </w:tcMar>
          </w:tcPr>
          <w:p w14:paraId="47603CE2" w14:textId="77777777" w:rsidR="00BC0FD7" w:rsidRPr="001D5327" w:rsidRDefault="00BC0FD7" w:rsidP="00D11AC9">
            <w:pPr>
              <w:pStyle w:val="TableText"/>
              <w:spacing w:before="40" w:after="40"/>
              <w:jc w:val="right"/>
            </w:pPr>
            <w:r w:rsidRPr="001D5327">
              <w:rPr>
                <w:rFonts w:eastAsia="Calibri" w:cs="Calibri"/>
                <w:color w:val="000000"/>
                <w:szCs w:val="16"/>
              </w:rPr>
              <w:t>81.8</w:t>
            </w:r>
          </w:p>
        </w:tc>
        <w:tc>
          <w:tcPr>
            <w:tcW w:w="0" w:type="auto"/>
            <w:shd w:val="clear" w:color="auto" w:fill="FFFFFF"/>
            <w:tcMar>
              <w:top w:w="0" w:type="dxa"/>
              <w:left w:w="85" w:type="dxa"/>
              <w:bottom w:w="0" w:type="dxa"/>
              <w:right w:w="85" w:type="dxa"/>
            </w:tcMar>
          </w:tcPr>
          <w:p w14:paraId="520C9686" w14:textId="77777777" w:rsidR="00BC0FD7" w:rsidRPr="001D5327" w:rsidRDefault="00BC0FD7" w:rsidP="00D11AC9">
            <w:pPr>
              <w:pStyle w:val="TableText"/>
              <w:spacing w:before="40" w:after="40"/>
              <w:jc w:val="right"/>
            </w:pPr>
            <w:r w:rsidRPr="001D5327">
              <w:rPr>
                <w:rFonts w:eastAsia="Calibri" w:cs="Calibri"/>
                <w:color w:val="000000"/>
                <w:szCs w:val="16"/>
              </w:rPr>
              <w:t>1,662.9</w:t>
            </w:r>
          </w:p>
        </w:tc>
      </w:tr>
      <w:tr w:rsidR="00BC0FD7" w:rsidRPr="001D5327" w14:paraId="28A44DFF" w14:textId="77777777" w:rsidTr="00D11AC9">
        <w:tc>
          <w:tcPr>
            <w:tcW w:w="0" w:type="auto"/>
            <w:shd w:val="clear" w:color="auto" w:fill="FFFFFF"/>
            <w:tcMar>
              <w:top w:w="0" w:type="dxa"/>
              <w:left w:w="85" w:type="dxa"/>
              <w:bottom w:w="0" w:type="dxa"/>
              <w:right w:w="85" w:type="dxa"/>
            </w:tcMar>
          </w:tcPr>
          <w:p w14:paraId="7916A6FA"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1976</w:t>
            </w:r>
          </w:p>
        </w:tc>
        <w:tc>
          <w:tcPr>
            <w:tcW w:w="0" w:type="auto"/>
            <w:shd w:val="clear" w:color="auto" w:fill="FFFFFF"/>
            <w:tcMar>
              <w:top w:w="0" w:type="dxa"/>
              <w:left w:w="85" w:type="dxa"/>
              <w:bottom w:w="0" w:type="dxa"/>
              <w:right w:w="85" w:type="dxa"/>
            </w:tcMar>
          </w:tcPr>
          <w:p w14:paraId="7510C997" w14:textId="77777777" w:rsidR="00BC0FD7" w:rsidRPr="001D5327" w:rsidRDefault="00BC0FD7" w:rsidP="00D11AC9">
            <w:pPr>
              <w:pStyle w:val="TableText"/>
              <w:spacing w:before="40" w:after="40"/>
              <w:jc w:val="right"/>
            </w:pPr>
            <w:r w:rsidRPr="001D5327">
              <w:rPr>
                <w:rFonts w:eastAsia="Calibri" w:cs="Calibri"/>
                <w:color w:val="000000"/>
                <w:szCs w:val="16"/>
              </w:rPr>
              <w:t>984.9</w:t>
            </w:r>
          </w:p>
        </w:tc>
        <w:tc>
          <w:tcPr>
            <w:tcW w:w="0" w:type="auto"/>
            <w:shd w:val="clear" w:color="auto" w:fill="FFFFFF"/>
            <w:tcMar>
              <w:top w:w="0" w:type="dxa"/>
              <w:left w:w="85" w:type="dxa"/>
              <w:bottom w:w="0" w:type="dxa"/>
              <w:right w:w="85" w:type="dxa"/>
            </w:tcMar>
          </w:tcPr>
          <w:p w14:paraId="2012A0F7" w14:textId="77777777" w:rsidR="00BC0FD7" w:rsidRPr="001D5327" w:rsidRDefault="00BC0FD7" w:rsidP="00D11AC9">
            <w:pPr>
              <w:pStyle w:val="TableText"/>
              <w:spacing w:before="40" w:after="40"/>
              <w:jc w:val="right"/>
            </w:pPr>
            <w:r w:rsidRPr="001D5327">
              <w:rPr>
                <w:rFonts w:eastAsia="Calibri" w:cs="Calibri"/>
                <w:color w:val="000000"/>
                <w:szCs w:val="16"/>
              </w:rPr>
              <w:t>578.2</w:t>
            </w:r>
          </w:p>
        </w:tc>
        <w:tc>
          <w:tcPr>
            <w:tcW w:w="0" w:type="auto"/>
            <w:shd w:val="clear" w:color="auto" w:fill="FFFFFF"/>
            <w:tcMar>
              <w:top w:w="0" w:type="dxa"/>
              <w:left w:w="85" w:type="dxa"/>
              <w:bottom w:w="0" w:type="dxa"/>
              <w:right w:w="85" w:type="dxa"/>
            </w:tcMar>
          </w:tcPr>
          <w:p w14:paraId="05B5E7FE" w14:textId="77777777" w:rsidR="00BC0FD7" w:rsidRPr="001D5327" w:rsidRDefault="00BC0FD7" w:rsidP="00D11AC9">
            <w:pPr>
              <w:pStyle w:val="TableText"/>
              <w:spacing w:before="40" w:after="40"/>
              <w:jc w:val="right"/>
            </w:pPr>
            <w:r w:rsidRPr="001D5327">
              <w:rPr>
                <w:rFonts w:eastAsia="Calibri" w:cs="Calibri"/>
                <w:color w:val="000000"/>
                <w:szCs w:val="16"/>
              </w:rPr>
              <w:t>64.2</w:t>
            </w:r>
          </w:p>
        </w:tc>
        <w:tc>
          <w:tcPr>
            <w:tcW w:w="0" w:type="auto"/>
            <w:shd w:val="clear" w:color="auto" w:fill="FFFFFF"/>
            <w:tcMar>
              <w:top w:w="0" w:type="dxa"/>
              <w:left w:w="85" w:type="dxa"/>
              <w:bottom w:w="0" w:type="dxa"/>
              <w:right w:w="85" w:type="dxa"/>
            </w:tcMar>
          </w:tcPr>
          <w:p w14:paraId="2E91C0F5" w14:textId="77777777" w:rsidR="00BC0FD7" w:rsidRPr="001D5327" w:rsidRDefault="00BC0FD7" w:rsidP="00D11AC9">
            <w:pPr>
              <w:pStyle w:val="TableText"/>
              <w:spacing w:before="40" w:after="40"/>
              <w:jc w:val="right"/>
            </w:pPr>
            <w:r w:rsidRPr="001D5327">
              <w:rPr>
                <w:rFonts w:eastAsia="Calibri" w:cs="Calibri"/>
                <w:color w:val="000000"/>
                <w:szCs w:val="16"/>
              </w:rPr>
              <w:t>1,627.4</w:t>
            </w:r>
          </w:p>
        </w:tc>
      </w:tr>
      <w:tr w:rsidR="00BC0FD7" w:rsidRPr="001D5327" w14:paraId="00B1E779" w14:textId="77777777" w:rsidTr="00D11AC9">
        <w:tc>
          <w:tcPr>
            <w:tcW w:w="0" w:type="auto"/>
            <w:shd w:val="clear" w:color="auto" w:fill="FFFFFF"/>
            <w:tcMar>
              <w:top w:w="0" w:type="dxa"/>
              <w:left w:w="85" w:type="dxa"/>
              <w:bottom w:w="0" w:type="dxa"/>
              <w:right w:w="85" w:type="dxa"/>
            </w:tcMar>
          </w:tcPr>
          <w:p w14:paraId="4251050E"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1977</w:t>
            </w:r>
          </w:p>
        </w:tc>
        <w:tc>
          <w:tcPr>
            <w:tcW w:w="0" w:type="auto"/>
            <w:shd w:val="clear" w:color="auto" w:fill="FFFFFF"/>
            <w:tcMar>
              <w:top w:w="0" w:type="dxa"/>
              <w:left w:w="85" w:type="dxa"/>
              <w:bottom w:w="0" w:type="dxa"/>
              <w:right w:w="85" w:type="dxa"/>
            </w:tcMar>
          </w:tcPr>
          <w:p w14:paraId="393BC6A0" w14:textId="77777777" w:rsidR="00BC0FD7" w:rsidRPr="001D5327" w:rsidRDefault="00BC0FD7" w:rsidP="00D11AC9">
            <w:pPr>
              <w:pStyle w:val="TableText"/>
              <w:spacing w:before="40" w:after="40"/>
              <w:jc w:val="right"/>
            </w:pPr>
            <w:r w:rsidRPr="001D5327">
              <w:rPr>
                <w:rFonts w:eastAsia="Calibri" w:cs="Calibri"/>
                <w:color w:val="000000"/>
                <w:szCs w:val="16"/>
              </w:rPr>
              <w:t>984.9</w:t>
            </w:r>
          </w:p>
        </w:tc>
        <w:tc>
          <w:tcPr>
            <w:tcW w:w="0" w:type="auto"/>
            <w:shd w:val="clear" w:color="auto" w:fill="FFFFFF"/>
            <w:tcMar>
              <w:top w:w="0" w:type="dxa"/>
              <w:left w:w="85" w:type="dxa"/>
              <w:bottom w:w="0" w:type="dxa"/>
              <w:right w:w="85" w:type="dxa"/>
            </w:tcMar>
          </w:tcPr>
          <w:p w14:paraId="453FA81D" w14:textId="77777777" w:rsidR="00BC0FD7" w:rsidRPr="001D5327" w:rsidRDefault="00BC0FD7" w:rsidP="00D11AC9">
            <w:pPr>
              <w:pStyle w:val="TableText"/>
              <w:spacing w:before="40" w:after="40"/>
              <w:jc w:val="right"/>
            </w:pPr>
            <w:r w:rsidRPr="001D5327">
              <w:rPr>
                <w:rFonts w:eastAsia="Calibri" w:cs="Calibri"/>
                <w:color w:val="000000"/>
                <w:szCs w:val="16"/>
              </w:rPr>
              <w:t>713</w:t>
            </w:r>
          </w:p>
        </w:tc>
        <w:tc>
          <w:tcPr>
            <w:tcW w:w="0" w:type="auto"/>
            <w:shd w:val="clear" w:color="auto" w:fill="FFFFFF"/>
            <w:tcMar>
              <w:top w:w="0" w:type="dxa"/>
              <w:left w:w="85" w:type="dxa"/>
              <w:bottom w:w="0" w:type="dxa"/>
              <w:right w:w="85" w:type="dxa"/>
            </w:tcMar>
          </w:tcPr>
          <w:p w14:paraId="36213F05" w14:textId="77777777" w:rsidR="00BC0FD7" w:rsidRPr="001D5327" w:rsidRDefault="00BC0FD7" w:rsidP="00D11AC9">
            <w:pPr>
              <w:pStyle w:val="TableText"/>
              <w:spacing w:before="40" w:after="40"/>
              <w:jc w:val="right"/>
            </w:pPr>
            <w:r w:rsidRPr="001D5327">
              <w:rPr>
                <w:rFonts w:eastAsia="Calibri" w:cs="Calibri"/>
                <w:color w:val="000000"/>
                <w:szCs w:val="16"/>
              </w:rPr>
              <w:t>79.2</w:t>
            </w:r>
          </w:p>
        </w:tc>
        <w:tc>
          <w:tcPr>
            <w:tcW w:w="0" w:type="auto"/>
            <w:shd w:val="clear" w:color="auto" w:fill="FFFFFF"/>
            <w:tcMar>
              <w:top w:w="0" w:type="dxa"/>
              <w:left w:w="85" w:type="dxa"/>
              <w:bottom w:w="0" w:type="dxa"/>
              <w:right w:w="85" w:type="dxa"/>
            </w:tcMar>
          </w:tcPr>
          <w:p w14:paraId="347B7E88" w14:textId="77777777" w:rsidR="00BC0FD7" w:rsidRPr="001D5327" w:rsidRDefault="00BC0FD7" w:rsidP="00D11AC9">
            <w:pPr>
              <w:pStyle w:val="TableText"/>
              <w:spacing w:before="40" w:after="40"/>
              <w:jc w:val="right"/>
            </w:pPr>
            <w:r w:rsidRPr="001D5327">
              <w:rPr>
                <w:rFonts w:eastAsia="Calibri" w:cs="Calibri"/>
                <w:color w:val="000000"/>
                <w:szCs w:val="16"/>
              </w:rPr>
              <w:t>1,777.2</w:t>
            </w:r>
          </w:p>
        </w:tc>
      </w:tr>
      <w:tr w:rsidR="00BC0FD7" w:rsidRPr="001D5327" w14:paraId="4CAD114A" w14:textId="77777777" w:rsidTr="00D11AC9">
        <w:tc>
          <w:tcPr>
            <w:tcW w:w="0" w:type="auto"/>
            <w:shd w:val="clear" w:color="auto" w:fill="FFFFFF"/>
            <w:tcMar>
              <w:top w:w="0" w:type="dxa"/>
              <w:left w:w="85" w:type="dxa"/>
              <w:bottom w:w="0" w:type="dxa"/>
              <w:right w:w="85" w:type="dxa"/>
            </w:tcMar>
          </w:tcPr>
          <w:p w14:paraId="4409CC0C"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1978</w:t>
            </w:r>
          </w:p>
        </w:tc>
        <w:tc>
          <w:tcPr>
            <w:tcW w:w="0" w:type="auto"/>
            <w:shd w:val="clear" w:color="auto" w:fill="FFFFFF"/>
            <w:tcMar>
              <w:top w:w="0" w:type="dxa"/>
              <w:left w:w="85" w:type="dxa"/>
              <w:bottom w:w="0" w:type="dxa"/>
              <w:right w:w="85" w:type="dxa"/>
            </w:tcMar>
          </w:tcPr>
          <w:p w14:paraId="46E5BFF4" w14:textId="77777777" w:rsidR="00BC0FD7" w:rsidRPr="001D5327" w:rsidRDefault="00BC0FD7" w:rsidP="00D11AC9">
            <w:pPr>
              <w:pStyle w:val="TableText"/>
              <w:spacing w:before="40" w:after="40"/>
              <w:jc w:val="right"/>
            </w:pPr>
            <w:r w:rsidRPr="001D5327">
              <w:rPr>
                <w:rFonts w:eastAsia="Calibri" w:cs="Calibri"/>
                <w:color w:val="000000"/>
                <w:szCs w:val="16"/>
              </w:rPr>
              <w:t>984.9</w:t>
            </w:r>
          </w:p>
        </w:tc>
        <w:tc>
          <w:tcPr>
            <w:tcW w:w="0" w:type="auto"/>
            <w:shd w:val="clear" w:color="auto" w:fill="FFFFFF"/>
            <w:tcMar>
              <w:top w:w="0" w:type="dxa"/>
              <w:left w:w="85" w:type="dxa"/>
              <w:bottom w:w="0" w:type="dxa"/>
              <w:right w:w="85" w:type="dxa"/>
            </w:tcMar>
          </w:tcPr>
          <w:p w14:paraId="7701BF8A" w14:textId="77777777" w:rsidR="00BC0FD7" w:rsidRPr="001D5327" w:rsidRDefault="00BC0FD7" w:rsidP="00D11AC9">
            <w:pPr>
              <w:pStyle w:val="TableText"/>
              <w:spacing w:before="40" w:after="40"/>
              <w:jc w:val="right"/>
            </w:pPr>
            <w:r w:rsidRPr="001D5327">
              <w:rPr>
                <w:rFonts w:eastAsia="Calibri" w:cs="Calibri"/>
                <w:color w:val="000000"/>
                <w:szCs w:val="16"/>
              </w:rPr>
              <w:t>588.6</w:t>
            </w:r>
          </w:p>
        </w:tc>
        <w:tc>
          <w:tcPr>
            <w:tcW w:w="0" w:type="auto"/>
            <w:shd w:val="clear" w:color="auto" w:fill="FFFFFF"/>
            <w:tcMar>
              <w:top w:w="0" w:type="dxa"/>
              <w:left w:w="85" w:type="dxa"/>
              <w:bottom w:w="0" w:type="dxa"/>
              <w:right w:w="85" w:type="dxa"/>
            </w:tcMar>
          </w:tcPr>
          <w:p w14:paraId="191E116A" w14:textId="77777777" w:rsidR="00BC0FD7" w:rsidRPr="001D5327" w:rsidRDefault="00BC0FD7" w:rsidP="00D11AC9">
            <w:pPr>
              <w:pStyle w:val="TableText"/>
              <w:spacing w:before="40" w:after="40"/>
              <w:jc w:val="right"/>
            </w:pPr>
            <w:r w:rsidRPr="001D5327">
              <w:rPr>
                <w:rFonts w:eastAsia="Calibri" w:cs="Calibri"/>
                <w:color w:val="000000"/>
                <w:szCs w:val="16"/>
              </w:rPr>
              <w:t>65.4</w:t>
            </w:r>
          </w:p>
        </w:tc>
        <w:tc>
          <w:tcPr>
            <w:tcW w:w="0" w:type="auto"/>
            <w:shd w:val="clear" w:color="auto" w:fill="FFFFFF"/>
            <w:tcMar>
              <w:top w:w="0" w:type="dxa"/>
              <w:left w:w="85" w:type="dxa"/>
              <w:bottom w:w="0" w:type="dxa"/>
              <w:right w:w="85" w:type="dxa"/>
            </w:tcMar>
          </w:tcPr>
          <w:p w14:paraId="318EC1C9" w14:textId="77777777" w:rsidR="00BC0FD7" w:rsidRPr="001D5327" w:rsidRDefault="00BC0FD7" w:rsidP="00D11AC9">
            <w:pPr>
              <w:pStyle w:val="TableText"/>
              <w:spacing w:before="40" w:after="40"/>
              <w:jc w:val="right"/>
            </w:pPr>
            <w:r w:rsidRPr="001D5327">
              <w:rPr>
                <w:rFonts w:eastAsia="Calibri" w:cs="Calibri"/>
                <w:color w:val="000000"/>
                <w:szCs w:val="16"/>
              </w:rPr>
              <w:t>1,639.0</w:t>
            </w:r>
          </w:p>
        </w:tc>
      </w:tr>
      <w:tr w:rsidR="00BC0FD7" w:rsidRPr="001D5327" w14:paraId="21D7214F" w14:textId="77777777" w:rsidTr="00D11AC9">
        <w:tc>
          <w:tcPr>
            <w:tcW w:w="0" w:type="auto"/>
            <w:shd w:val="clear" w:color="auto" w:fill="FFFFFF"/>
            <w:tcMar>
              <w:top w:w="0" w:type="dxa"/>
              <w:left w:w="85" w:type="dxa"/>
              <w:bottom w:w="0" w:type="dxa"/>
              <w:right w:w="85" w:type="dxa"/>
            </w:tcMar>
          </w:tcPr>
          <w:p w14:paraId="267D127C"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1979</w:t>
            </w:r>
          </w:p>
        </w:tc>
        <w:tc>
          <w:tcPr>
            <w:tcW w:w="0" w:type="auto"/>
            <w:shd w:val="clear" w:color="auto" w:fill="FFFFFF"/>
            <w:tcMar>
              <w:top w:w="0" w:type="dxa"/>
              <w:left w:w="85" w:type="dxa"/>
              <w:bottom w:w="0" w:type="dxa"/>
              <w:right w:w="85" w:type="dxa"/>
            </w:tcMar>
          </w:tcPr>
          <w:p w14:paraId="273AE748" w14:textId="77777777" w:rsidR="00BC0FD7" w:rsidRPr="001D5327" w:rsidRDefault="00BC0FD7" w:rsidP="00D11AC9">
            <w:pPr>
              <w:pStyle w:val="TableText"/>
              <w:spacing w:before="40" w:after="40"/>
              <w:jc w:val="right"/>
            </w:pPr>
            <w:r w:rsidRPr="001D5327">
              <w:rPr>
                <w:rFonts w:eastAsia="Calibri" w:cs="Calibri"/>
                <w:color w:val="000000"/>
                <w:szCs w:val="16"/>
              </w:rPr>
              <w:t>984.9</w:t>
            </w:r>
          </w:p>
        </w:tc>
        <w:tc>
          <w:tcPr>
            <w:tcW w:w="0" w:type="auto"/>
            <w:shd w:val="clear" w:color="auto" w:fill="FFFFFF"/>
            <w:tcMar>
              <w:top w:w="0" w:type="dxa"/>
              <w:left w:w="85" w:type="dxa"/>
              <w:bottom w:w="0" w:type="dxa"/>
              <w:right w:w="85" w:type="dxa"/>
            </w:tcMar>
          </w:tcPr>
          <w:p w14:paraId="19C76C88" w14:textId="77777777" w:rsidR="00BC0FD7" w:rsidRPr="001D5327" w:rsidRDefault="00BC0FD7" w:rsidP="00D11AC9">
            <w:pPr>
              <w:pStyle w:val="TableText"/>
              <w:spacing w:before="40" w:after="40"/>
              <w:jc w:val="right"/>
            </w:pPr>
            <w:r w:rsidRPr="001D5327">
              <w:rPr>
                <w:rFonts w:eastAsia="Calibri" w:cs="Calibri"/>
                <w:color w:val="000000"/>
                <w:szCs w:val="16"/>
              </w:rPr>
              <w:t>581.8</w:t>
            </w:r>
          </w:p>
        </w:tc>
        <w:tc>
          <w:tcPr>
            <w:tcW w:w="0" w:type="auto"/>
            <w:shd w:val="clear" w:color="auto" w:fill="FFFFFF"/>
            <w:tcMar>
              <w:top w:w="0" w:type="dxa"/>
              <w:left w:w="85" w:type="dxa"/>
              <w:bottom w:w="0" w:type="dxa"/>
              <w:right w:w="85" w:type="dxa"/>
            </w:tcMar>
          </w:tcPr>
          <w:p w14:paraId="129B59CD" w14:textId="77777777" w:rsidR="00BC0FD7" w:rsidRPr="001D5327" w:rsidRDefault="00BC0FD7" w:rsidP="00D11AC9">
            <w:pPr>
              <w:pStyle w:val="TableText"/>
              <w:spacing w:before="40" w:after="40"/>
              <w:jc w:val="right"/>
            </w:pPr>
            <w:r w:rsidRPr="001D5327">
              <w:rPr>
                <w:rFonts w:eastAsia="Calibri" w:cs="Calibri"/>
                <w:color w:val="000000"/>
                <w:szCs w:val="16"/>
              </w:rPr>
              <w:t>64.6</w:t>
            </w:r>
          </w:p>
        </w:tc>
        <w:tc>
          <w:tcPr>
            <w:tcW w:w="0" w:type="auto"/>
            <w:shd w:val="clear" w:color="auto" w:fill="FFFFFF"/>
            <w:tcMar>
              <w:top w:w="0" w:type="dxa"/>
              <w:left w:w="85" w:type="dxa"/>
              <w:bottom w:w="0" w:type="dxa"/>
              <w:right w:w="85" w:type="dxa"/>
            </w:tcMar>
          </w:tcPr>
          <w:p w14:paraId="6CD0D062" w14:textId="77777777" w:rsidR="00BC0FD7" w:rsidRPr="001D5327" w:rsidRDefault="00BC0FD7" w:rsidP="00D11AC9">
            <w:pPr>
              <w:pStyle w:val="TableText"/>
              <w:spacing w:before="40" w:after="40"/>
              <w:jc w:val="right"/>
            </w:pPr>
            <w:r w:rsidRPr="001D5327">
              <w:rPr>
                <w:rFonts w:eastAsia="Calibri" w:cs="Calibri"/>
                <w:color w:val="000000"/>
                <w:szCs w:val="16"/>
              </w:rPr>
              <w:t>1,631.4</w:t>
            </w:r>
          </w:p>
        </w:tc>
      </w:tr>
      <w:tr w:rsidR="00BC0FD7" w:rsidRPr="001D5327" w14:paraId="7DB8247F" w14:textId="77777777" w:rsidTr="00D11AC9">
        <w:tc>
          <w:tcPr>
            <w:tcW w:w="0" w:type="auto"/>
            <w:shd w:val="clear" w:color="auto" w:fill="FFFFFF"/>
            <w:tcMar>
              <w:top w:w="0" w:type="dxa"/>
              <w:left w:w="85" w:type="dxa"/>
              <w:bottom w:w="0" w:type="dxa"/>
              <w:right w:w="85" w:type="dxa"/>
            </w:tcMar>
          </w:tcPr>
          <w:p w14:paraId="5525A824"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1980</w:t>
            </w:r>
          </w:p>
        </w:tc>
        <w:tc>
          <w:tcPr>
            <w:tcW w:w="0" w:type="auto"/>
            <w:shd w:val="clear" w:color="auto" w:fill="FFFFFF"/>
            <w:tcMar>
              <w:top w:w="0" w:type="dxa"/>
              <w:left w:w="85" w:type="dxa"/>
              <w:bottom w:w="0" w:type="dxa"/>
              <w:right w:w="85" w:type="dxa"/>
            </w:tcMar>
          </w:tcPr>
          <w:p w14:paraId="20B0621E" w14:textId="77777777" w:rsidR="00BC0FD7" w:rsidRPr="001D5327" w:rsidRDefault="00BC0FD7" w:rsidP="00D11AC9">
            <w:pPr>
              <w:pStyle w:val="TableText"/>
              <w:spacing w:before="40" w:after="40"/>
              <w:jc w:val="right"/>
            </w:pPr>
            <w:r w:rsidRPr="001D5327">
              <w:rPr>
                <w:rFonts w:eastAsia="Calibri" w:cs="Calibri"/>
                <w:color w:val="000000"/>
                <w:szCs w:val="16"/>
              </w:rPr>
              <w:t>984.9</w:t>
            </w:r>
          </w:p>
        </w:tc>
        <w:tc>
          <w:tcPr>
            <w:tcW w:w="0" w:type="auto"/>
            <w:shd w:val="clear" w:color="auto" w:fill="FFFFFF"/>
            <w:tcMar>
              <w:top w:w="0" w:type="dxa"/>
              <w:left w:w="85" w:type="dxa"/>
              <w:bottom w:w="0" w:type="dxa"/>
              <w:right w:w="85" w:type="dxa"/>
            </w:tcMar>
          </w:tcPr>
          <w:p w14:paraId="29B0E819" w14:textId="77777777" w:rsidR="00BC0FD7" w:rsidRPr="001D5327" w:rsidRDefault="00BC0FD7" w:rsidP="00D11AC9">
            <w:pPr>
              <w:pStyle w:val="TableText"/>
              <w:spacing w:before="40" w:after="40"/>
              <w:jc w:val="right"/>
            </w:pPr>
            <w:r w:rsidRPr="001D5327">
              <w:rPr>
                <w:rFonts w:eastAsia="Calibri" w:cs="Calibri"/>
                <w:color w:val="000000"/>
                <w:szCs w:val="16"/>
              </w:rPr>
              <w:t>572.1</w:t>
            </w:r>
          </w:p>
        </w:tc>
        <w:tc>
          <w:tcPr>
            <w:tcW w:w="0" w:type="auto"/>
            <w:shd w:val="clear" w:color="auto" w:fill="FFFFFF"/>
            <w:tcMar>
              <w:top w:w="0" w:type="dxa"/>
              <w:left w:w="85" w:type="dxa"/>
              <w:bottom w:w="0" w:type="dxa"/>
              <w:right w:w="85" w:type="dxa"/>
            </w:tcMar>
          </w:tcPr>
          <w:p w14:paraId="02C4E0B3" w14:textId="77777777" w:rsidR="00BC0FD7" w:rsidRPr="001D5327" w:rsidRDefault="00BC0FD7" w:rsidP="00D11AC9">
            <w:pPr>
              <w:pStyle w:val="TableText"/>
              <w:spacing w:before="40" w:after="40"/>
              <w:jc w:val="right"/>
            </w:pPr>
            <w:r w:rsidRPr="001D5327">
              <w:rPr>
                <w:rFonts w:eastAsia="Calibri" w:cs="Calibri"/>
                <w:color w:val="000000"/>
                <w:szCs w:val="16"/>
              </w:rPr>
              <w:t>63.6</w:t>
            </w:r>
          </w:p>
        </w:tc>
        <w:tc>
          <w:tcPr>
            <w:tcW w:w="0" w:type="auto"/>
            <w:shd w:val="clear" w:color="auto" w:fill="FFFFFF"/>
            <w:tcMar>
              <w:top w:w="0" w:type="dxa"/>
              <w:left w:w="85" w:type="dxa"/>
              <w:bottom w:w="0" w:type="dxa"/>
              <w:right w:w="85" w:type="dxa"/>
            </w:tcMar>
          </w:tcPr>
          <w:p w14:paraId="55ECEFCB" w14:textId="77777777" w:rsidR="00BC0FD7" w:rsidRPr="001D5327" w:rsidRDefault="00BC0FD7" w:rsidP="00D11AC9">
            <w:pPr>
              <w:pStyle w:val="TableText"/>
              <w:spacing w:before="40" w:after="40"/>
              <w:jc w:val="right"/>
            </w:pPr>
            <w:r w:rsidRPr="001D5327">
              <w:rPr>
                <w:rFonts w:eastAsia="Calibri" w:cs="Calibri"/>
                <w:color w:val="000000"/>
                <w:szCs w:val="16"/>
              </w:rPr>
              <w:t>1,620.6</w:t>
            </w:r>
          </w:p>
        </w:tc>
      </w:tr>
      <w:tr w:rsidR="00BC0FD7" w:rsidRPr="001D5327" w14:paraId="193AE3BC" w14:textId="77777777" w:rsidTr="00D11AC9">
        <w:tc>
          <w:tcPr>
            <w:tcW w:w="0" w:type="auto"/>
            <w:shd w:val="clear" w:color="auto" w:fill="FFFFFF"/>
            <w:tcMar>
              <w:top w:w="0" w:type="dxa"/>
              <w:left w:w="85" w:type="dxa"/>
              <w:bottom w:w="0" w:type="dxa"/>
              <w:right w:w="85" w:type="dxa"/>
            </w:tcMar>
          </w:tcPr>
          <w:p w14:paraId="1C5D269B"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1981</w:t>
            </w:r>
          </w:p>
        </w:tc>
        <w:tc>
          <w:tcPr>
            <w:tcW w:w="0" w:type="auto"/>
            <w:shd w:val="clear" w:color="auto" w:fill="FFFFFF"/>
            <w:tcMar>
              <w:top w:w="0" w:type="dxa"/>
              <w:left w:w="85" w:type="dxa"/>
              <w:bottom w:w="0" w:type="dxa"/>
              <w:right w:w="85" w:type="dxa"/>
            </w:tcMar>
          </w:tcPr>
          <w:p w14:paraId="3C9ED58F" w14:textId="77777777" w:rsidR="00BC0FD7" w:rsidRPr="001D5327" w:rsidRDefault="00BC0FD7" w:rsidP="00D11AC9">
            <w:pPr>
              <w:pStyle w:val="TableText"/>
              <w:spacing w:before="40" w:after="40"/>
              <w:jc w:val="right"/>
            </w:pPr>
            <w:r w:rsidRPr="001D5327">
              <w:rPr>
                <w:rFonts w:eastAsia="Calibri" w:cs="Calibri"/>
                <w:color w:val="000000"/>
                <w:szCs w:val="16"/>
              </w:rPr>
              <w:t>984.9</w:t>
            </w:r>
          </w:p>
        </w:tc>
        <w:tc>
          <w:tcPr>
            <w:tcW w:w="0" w:type="auto"/>
            <w:shd w:val="clear" w:color="auto" w:fill="FFFFFF"/>
            <w:tcMar>
              <w:top w:w="0" w:type="dxa"/>
              <w:left w:w="85" w:type="dxa"/>
              <w:bottom w:w="0" w:type="dxa"/>
              <w:right w:w="85" w:type="dxa"/>
            </w:tcMar>
          </w:tcPr>
          <w:p w14:paraId="3473B334" w14:textId="77777777" w:rsidR="00BC0FD7" w:rsidRPr="001D5327" w:rsidRDefault="00BC0FD7" w:rsidP="00D11AC9">
            <w:pPr>
              <w:pStyle w:val="TableText"/>
              <w:spacing w:before="40" w:after="40"/>
              <w:jc w:val="right"/>
            </w:pPr>
            <w:r w:rsidRPr="001D5327">
              <w:rPr>
                <w:rFonts w:eastAsia="Calibri" w:cs="Calibri"/>
                <w:color w:val="000000"/>
                <w:szCs w:val="16"/>
              </w:rPr>
              <w:t>581.8</w:t>
            </w:r>
          </w:p>
        </w:tc>
        <w:tc>
          <w:tcPr>
            <w:tcW w:w="0" w:type="auto"/>
            <w:shd w:val="clear" w:color="auto" w:fill="FFFFFF"/>
            <w:tcMar>
              <w:top w:w="0" w:type="dxa"/>
              <w:left w:w="85" w:type="dxa"/>
              <w:bottom w:w="0" w:type="dxa"/>
              <w:right w:w="85" w:type="dxa"/>
            </w:tcMar>
          </w:tcPr>
          <w:p w14:paraId="55AEAD14" w14:textId="77777777" w:rsidR="00BC0FD7" w:rsidRPr="001D5327" w:rsidRDefault="00BC0FD7" w:rsidP="00D11AC9">
            <w:pPr>
              <w:pStyle w:val="TableText"/>
              <w:spacing w:before="40" w:after="40"/>
              <w:jc w:val="right"/>
            </w:pPr>
            <w:r w:rsidRPr="001D5327">
              <w:rPr>
                <w:rFonts w:eastAsia="Calibri" w:cs="Calibri"/>
                <w:color w:val="000000"/>
                <w:szCs w:val="16"/>
              </w:rPr>
              <w:t>64.6</w:t>
            </w:r>
          </w:p>
        </w:tc>
        <w:tc>
          <w:tcPr>
            <w:tcW w:w="0" w:type="auto"/>
            <w:shd w:val="clear" w:color="auto" w:fill="FFFFFF"/>
            <w:tcMar>
              <w:top w:w="0" w:type="dxa"/>
              <w:left w:w="85" w:type="dxa"/>
              <w:bottom w:w="0" w:type="dxa"/>
              <w:right w:w="85" w:type="dxa"/>
            </w:tcMar>
          </w:tcPr>
          <w:p w14:paraId="2932B447" w14:textId="77777777" w:rsidR="00BC0FD7" w:rsidRPr="001D5327" w:rsidRDefault="00BC0FD7" w:rsidP="00D11AC9">
            <w:pPr>
              <w:pStyle w:val="TableText"/>
              <w:spacing w:before="40" w:after="40"/>
              <w:jc w:val="right"/>
            </w:pPr>
            <w:r w:rsidRPr="001D5327">
              <w:rPr>
                <w:rFonts w:eastAsia="Calibri" w:cs="Calibri"/>
                <w:color w:val="000000"/>
                <w:szCs w:val="16"/>
              </w:rPr>
              <w:t>1,631.4</w:t>
            </w:r>
          </w:p>
        </w:tc>
      </w:tr>
      <w:tr w:rsidR="00BC0FD7" w:rsidRPr="001D5327" w14:paraId="7FC6B1D2" w14:textId="77777777" w:rsidTr="00D11AC9">
        <w:tc>
          <w:tcPr>
            <w:tcW w:w="0" w:type="auto"/>
            <w:shd w:val="clear" w:color="auto" w:fill="FFFFFF"/>
            <w:tcMar>
              <w:top w:w="0" w:type="dxa"/>
              <w:left w:w="85" w:type="dxa"/>
              <w:bottom w:w="0" w:type="dxa"/>
              <w:right w:w="85" w:type="dxa"/>
            </w:tcMar>
          </w:tcPr>
          <w:p w14:paraId="033F51E8"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1982</w:t>
            </w:r>
          </w:p>
        </w:tc>
        <w:tc>
          <w:tcPr>
            <w:tcW w:w="0" w:type="auto"/>
            <w:shd w:val="clear" w:color="auto" w:fill="FFFFFF"/>
            <w:tcMar>
              <w:top w:w="0" w:type="dxa"/>
              <w:left w:w="85" w:type="dxa"/>
              <w:bottom w:w="0" w:type="dxa"/>
              <w:right w:w="85" w:type="dxa"/>
            </w:tcMar>
          </w:tcPr>
          <w:p w14:paraId="2F35E402" w14:textId="77777777" w:rsidR="00BC0FD7" w:rsidRPr="001D5327" w:rsidRDefault="00BC0FD7" w:rsidP="00D11AC9">
            <w:pPr>
              <w:pStyle w:val="TableText"/>
              <w:spacing w:before="40" w:after="40"/>
              <w:jc w:val="right"/>
            </w:pPr>
            <w:r w:rsidRPr="001D5327">
              <w:rPr>
                <w:rFonts w:eastAsia="Calibri" w:cs="Calibri"/>
                <w:color w:val="000000"/>
                <w:szCs w:val="16"/>
              </w:rPr>
              <w:t>984.9</w:t>
            </w:r>
          </w:p>
        </w:tc>
        <w:tc>
          <w:tcPr>
            <w:tcW w:w="0" w:type="auto"/>
            <w:shd w:val="clear" w:color="auto" w:fill="FFFFFF"/>
            <w:tcMar>
              <w:top w:w="0" w:type="dxa"/>
              <w:left w:w="85" w:type="dxa"/>
              <w:bottom w:w="0" w:type="dxa"/>
              <w:right w:w="85" w:type="dxa"/>
            </w:tcMar>
          </w:tcPr>
          <w:p w14:paraId="4178F972" w14:textId="77777777" w:rsidR="00BC0FD7" w:rsidRPr="001D5327" w:rsidRDefault="00BC0FD7" w:rsidP="00D11AC9">
            <w:pPr>
              <w:pStyle w:val="TableText"/>
              <w:spacing w:before="40" w:after="40"/>
              <w:jc w:val="right"/>
            </w:pPr>
            <w:r w:rsidRPr="001D5327">
              <w:rPr>
                <w:rFonts w:eastAsia="Calibri" w:cs="Calibri"/>
                <w:color w:val="000000"/>
                <w:szCs w:val="16"/>
              </w:rPr>
              <w:t>937.7</w:t>
            </w:r>
          </w:p>
        </w:tc>
        <w:tc>
          <w:tcPr>
            <w:tcW w:w="0" w:type="auto"/>
            <w:shd w:val="clear" w:color="auto" w:fill="FFFFFF"/>
            <w:tcMar>
              <w:top w:w="0" w:type="dxa"/>
              <w:left w:w="85" w:type="dxa"/>
              <w:bottom w:w="0" w:type="dxa"/>
              <w:right w:w="85" w:type="dxa"/>
            </w:tcMar>
          </w:tcPr>
          <w:p w14:paraId="5906574A" w14:textId="77777777" w:rsidR="00BC0FD7" w:rsidRPr="001D5327" w:rsidRDefault="00BC0FD7" w:rsidP="00D11AC9">
            <w:pPr>
              <w:pStyle w:val="TableText"/>
              <w:spacing w:before="40" w:after="40"/>
              <w:jc w:val="right"/>
            </w:pPr>
            <w:r w:rsidRPr="001D5327">
              <w:rPr>
                <w:rFonts w:eastAsia="Calibri" w:cs="Calibri"/>
                <w:color w:val="000000"/>
                <w:szCs w:val="16"/>
              </w:rPr>
              <w:t>104.2</w:t>
            </w:r>
          </w:p>
        </w:tc>
        <w:tc>
          <w:tcPr>
            <w:tcW w:w="0" w:type="auto"/>
            <w:shd w:val="clear" w:color="auto" w:fill="FFFFFF"/>
            <w:tcMar>
              <w:top w:w="0" w:type="dxa"/>
              <w:left w:w="85" w:type="dxa"/>
              <w:bottom w:w="0" w:type="dxa"/>
              <w:right w:w="85" w:type="dxa"/>
            </w:tcMar>
          </w:tcPr>
          <w:p w14:paraId="634F99A8" w14:textId="77777777" w:rsidR="00BC0FD7" w:rsidRPr="001D5327" w:rsidRDefault="00BC0FD7" w:rsidP="00D11AC9">
            <w:pPr>
              <w:pStyle w:val="TableText"/>
              <w:spacing w:before="40" w:after="40"/>
              <w:jc w:val="right"/>
            </w:pPr>
            <w:r w:rsidRPr="001D5327">
              <w:rPr>
                <w:rFonts w:eastAsia="Calibri" w:cs="Calibri"/>
                <w:color w:val="000000"/>
                <w:szCs w:val="16"/>
              </w:rPr>
              <w:t>2,026.8</w:t>
            </w:r>
          </w:p>
        </w:tc>
      </w:tr>
      <w:tr w:rsidR="00BC0FD7" w:rsidRPr="001D5327" w14:paraId="191935A7" w14:textId="77777777" w:rsidTr="00D11AC9">
        <w:tc>
          <w:tcPr>
            <w:tcW w:w="0" w:type="auto"/>
            <w:shd w:val="clear" w:color="auto" w:fill="FFFFFF"/>
            <w:tcMar>
              <w:top w:w="0" w:type="dxa"/>
              <w:left w:w="85" w:type="dxa"/>
              <w:bottom w:w="0" w:type="dxa"/>
              <w:right w:w="85" w:type="dxa"/>
            </w:tcMar>
          </w:tcPr>
          <w:p w14:paraId="04A0C5CC"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1983</w:t>
            </w:r>
          </w:p>
        </w:tc>
        <w:tc>
          <w:tcPr>
            <w:tcW w:w="0" w:type="auto"/>
            <w:shd w:val="clear" w:color="auto" w:fill="FFFFFF"/>
            <w:tcMar>
              <w:top w:w="0" w:type="dxa"/>
              <w:left w:w="85" w:type="dxa"/>
              <w:bottom w:w="0" w:type="dxa"/>
              <w:right w:w="85" w:type="dxa"/>
            </w:tcMar>
          </w:tcPr>
          <w:p w14:paraId="26D0C401" w14:textId="77777777" w:rsidR="00BC0FD7" w:rsidRPr="001D5327" w:rsidRDefault="00BC0FD7" w:rsidP="00D11AC9">
            <w:pPr>
              <w:pStyle w:val="TableText"/>
              <w:spacing w:before="40" w:after="40"/>
              <w:jc w:val="right"/>
            </w:pPr>
            <w:r w:rsidRPr="001D5327">
              <w:rPr>
                <w:rFonts w:eastAsia="Calibri" w:cs="Calibri"/>
                <w:color w:val="000000"/>
                <w:szCs w:val="16"/>
              </w:rPr>
              <w:t>984.9</w:t>
            </w:r>
          </w:p>
        </w:tc>
        <w:tc>
          <w:tcPr>
            <w:tcW w:w="0" w:type="auto"/>
            <w:shd w:val="clear" w:color="auto" w:fill="FFFFFF"/>
            <w:tcMar>
              <w:top w:w="0" w:type="dxa"/>
              <w:left w:w="85" w:type="dxa"/>
              <w:bottom w:w="0" w:type="dxa"/>
              <w:right w:w="85" w:type="dxa"/>
            </w:tcMar>
          </w:tcPr>
          <w:p w14:paraId="31FC2A3D" w14:textId="77777777" w:rsidR="00BC0FD7" w:rsidRPr="001D5327" w:rsidRDefault="00BC0FD7" w:rsidP="00D11AC9">
            <w:pPr>
              <w:pStyle w:val="TableText"/>
              <w:spacing w:before="40" w:after="40"/>
              <w:jc w:val="right"/>
            </w:pPr>
            <w:r w:rsidRPr="001D5327">
              <w:rPr>
                <w:rFonts w:eastAsia="Calibri" w:cs="Calibri"/>
                <w:color w:val="000000"/>
                <w:szCs w:val="16"/>
              </w:rPr>
              <w:t>1,017.6</w:t>
            </w:r>
          </w:p>
        </w:tc>
        <w:tc>
          <w:tcPr>
            <w:tcW w:w="0" w:type="auto"/>
            <w:shd w:val="clear" w:color="auto" w:fill="FFFFFF"/>
            <w:tcMar>
              <w:top w:w="0" w:type="dxa"/>
              <w:left w:w="85" w:type="dxa"/>
              <w:bottom w:w="0" w:type="dxa"/>
              <w:right w:w="85" w:type="dxa"/>
            </w:tcMar>
          </w:tcPr>
          <w:p w14:paraId="31ED31C4" w14:textId="77777777" w:rsidR="00BC0FD7" w:rsidRPr="001D5327" w:rsidRDefault="00BC0FD7" w:rsidP="00D11AC9">
            <w:pPr>
              <w:pStyle w:val="TableText"/>
              <w:spacing w:before="40" w:after="40"/>
              <w:jc w:val="right"/>
            </w:pPr>
            <w:r w:rsidRPr="001D5327">
              <w:rPr>
                <w:rFonts w:eastAsia="Calibri" w:cs="Calibri"/>
                <w:color w:val="000000"/>
                <w:szCs w:val="16"/>
              </w:rPr>
              <w:t>113.1</w:t>
            </w:r>
          </w:p>
        </w:tc>
        <w:tc>
          <w:tcPr>
            <w:tcW w:w="0" w:type="auto"/>
            <w:shd w:val="clear" w:color="auto" w:fill="FFFFFF"/>
            <w:tcMar>
              <w:top w:w="0" w:type="dxa"/>
              <w:left w:w="85" w:type="dxa"/>
              <w:bottom w:w="0" w:type="dxa"/>
              <w:right w:w="85" w:type="dxa"/>
            </w:tcMar>
          </w:tcPr>
          <w:p w14:paraId="739AEA3E" w14:textId="77777777" w:rsidR="00BC0FD7" w:rsidRPr="001D5327" w:rsidRDefault="00BC0FD7" w:rsidP="00D11AC9">
            <w:pPr>
              <w:pStyle w:val="TableText"/>
              <w:spacing w:before="40" w:after="40"/>
              <w:jc w:val="right"/>
            </w:pPr>
            <w:r w:rsidRPr="001D5327">
              <w:rPr>
                <w:rFonts w:eastAsia="Calibri" w:cs="Calibri"/>
                <w:color w:val="000000"/>
                <w:szCs w:val="16"/>
              </w:rPr>
              <w:t>2,115.7</w:t>
            </w:r>
          </w:p>
        </w:tc>
      </w:tr>
      <w:tr w:rsidR="00BC0FD7" w:rsidRPr="001D5327" w14:paraId="6A92C40A" w14:textId="77777777" w:rsidTr="00D11AC9">
        <w:tc>
          <w:tcPr>
            <w:tcW w:w="0" w:type="auto"/>
            <w:shd w:val="clear" w:color="auto" w:fill="FFFFFF"/>
            <w:tcMar>
              <w:top w:w="0" w:type="dxa"/>
              <w:left w:w="85" w:type="dxa"/>
              <w:bottom w:w="0" w:type="dxa"/>
              <w:right w:w="85" w:type="dxa"/>
            </w:tcMar>
          </w:tcPr>
          <w:p w14:paraId="772BF525"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1984</w:t>
            </w:r>
          </w:p>
        </w:tc>
        <w:tc>
          <w:tcPr>
            <w:tcW w:w="0" w:type="auto"/>
            <w:shd w:val="clear" w:color="auto" w:fill="FFFFFF"/>
            <w:tcMar>
              <w:top w:w="0" w:type="dxa"/>
              <w:left w:w="85" w:type="dxa"/>
              <w:bottom w:w="0" w:type="dxa"/>
              <w:right w:w="85" w:type="dxa"/>
            </w:tcMar>
          </w:tcPr>
          <w:p w14:paraId="6C689675" w14:textId="77777777" w:rsidR="00BC0FD7" w:rsidRPr="001D5327" w:rsidRDefault="00BC0FD7" w:rsidP="00D11AC9">
            <w:pPr>
              <w:pStyle w:val="TableText"/>
              <w:spacing w:before="40" w:after="40"/>
              <w:jc w:val="right"/>
            </w:pPr>
            <w:r w:rsidRPr="001D5327">
              <w:rPr>
                <w:rFonts w:eastAsia="Calibri" w:cs="Calibri"/>
                <w:color w:val="000000"/>
                <w:szCs w:val="16"/>
              </w:rPr>
              <w:t>1,156.5</w:t>
            </w:r>
          </w:p>
        </w:tc>
        <w:tc>
          <w:tcPr>
            <w:tcW w:w="0" w:type="auto"/>
            <w:shd w:val="clear" w:color="auto" w:fill="FFFFFF"/>
            <w:tcMar>
              <w:top w:w="0" w:type="dxa"/>
              <w:left w:w="85" w:type="dxa"/>
              <w:bottom w:w="0" w:type="dxa"/>
              <w:right w:w="85" w:type="dxa"/>
            </w:tcMar>
          </w:tcPr>
          <w:p w14:paraId="0360F6D3" w14:textId="77777777" w:rsidR="00BC0FD7" w:rsidRPr="001D5327" w:rsidRDefault="00BC0FD7" w:rsidP="00D11AC9">
            <w:pPr>
              <w:pStyle w:val="TableText"/>
              <w:spacing w:before="40" w:after="40"/>
              <w:jc w:val="right"/>
            </w:pPr>
            <w:r w:rsidRPr="001D5327">
              <w:rPr>
                <w:rFonts w:eastAsia="Calibri" w:cs="Calibri"/>
                <w:color w:val="000000"/>
                <w:szCs w:val="16"/>
              </w:rPr>
              <w:t>943.2</w:t>
            </w:r>
          </w:p>
        </w:tc>
        <w:tc>
          <w:tcPr>
            <w:tcW w:w="0" w:type="auto"/>
            <w:shd w:val="clear" w:color="auto" w:fill="FFFFFF"/>
            <w:tcMar>
              <w:top w:w="0" w:type="dxa"/>
              <w:left w:w="85" w:type="dxa"/>
              <w:bottom w:w="0" w:type="dxa"/>
              <w:right w:w="85" w:type="dxa"/>
            </w:tcMar>
          </w:tcPr>
          <w:p w14:paraId="39E9BAEB" w14:textId="77777777" w:rsidR="00BC0FD7" w:rsidRPr="001D5327" w:rsidRDefault="00BC0FD7" w:rsidP="00D11AC9">
            <w:pPr>
              <w:pStyle w:val="TableText"/>
              <w:spacing w:before="40" w:after="40"/>
              <w:jc w:val="right"/>
            </w:pPr>
            <w:r w:rsidRPr="001D5327">
              <w:rPr>
                <w:rFonts w:eastAsia="Calibri" w:cs="Calibri"/>
                <w:color w:val="000000"/>
                <w:szCs w:val="16"/>
              </w:rPr>
              <w:t>104.8</w:t>
            </w:r>
          </w:p>
        </w:tc>
        <w:tc>
          <w:tcPr>
            <w:tcW w:w="0" w:type="auto"/>
            <w:shd w:val="clear" w:color="auto" w:fill="FFFFFF"/>
            <w:tcMar>
              <w:top w:w="0" w:type="dxa"/>
              <w:left w:w="85" w:type="dxa"/>
              <w:bottom w:w="0" w:type="dxa"/>
              <w:right w:w="85" w:type="dxa"/>
            </w:tcMar>
          </w:tcPr>
          <w:p w14:paraId="56B4A109" w14:textId="77777777" w:rsidR="00BC0FD7" w:rsidRPr="001D5327" w:rsidRDefault="00BC0FD7" w:rsidP="00D11AC9">
            <w:pPr>
              <w:pStyle w:val="TableText"/>
              <w:spacing w:before="40" w:after="40"/>
              <w:jc w:val="right"/>
            </w:pPr>
            <w:r w:rsidRPr="001D5327">
              <w:rPr>
                <w:rFonts w:eastAsia="Calibri" w:cs="Calibri"/>
                <w:color w:val="000000"/>
                <w:szCs w:val="16"/>
              </w:rPr>
              <w:t>2,204.5</w:t>
            </w:r>
          </w:p>
        </w:tc>
      </w:tr>
      <w:tr w:rsidR="00BC0FD7" w:rsidRPr="001D5327" w14:paraId="7558A410" w14:textId="77777777" w:rsidTr="00D11AC9">
        <w:tc>
          <w:tcPr>
            <w:tcW w:w="0" w:type="auto"/>
            <w:shd w:val="clear" w:color="auto" w:fill="FFFFFF"/>
            <w:tcMar>
              <w:top w:w="0" w:type="dxa"/>
              <w:left w:w="85" w:type="dxa"/>
              <w:bottom w:w="0" w:type="dxa"/>
              <w:right w:w="85" w:type="dxa"/>
            </w:tcMar>
          </w:tcPr>
          <w:p w14:paraId="1B779172"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1985</w:t>
            </w:r>
          </w:p>
        </w:tc>
        <w:tc>
          <w:tcPr>
            <w:tcW w:w="0" w:type="auto"/>
            <w:shd w:val="clear" w:color="auto" w:fill="FFFFFF"/>
            <w:tcMar>
              <w:top w:w="0" w:type="dxa"/>
              <w:left w:w="85" w:type="dxa"/>
              <w:bottom w:w="0" w:type="dxa"/>
              <w:right w:w="85" w:type="dxa"/>
            </w:tcMar>
          </w:tcPr>
          <w:p w14:paraId="551385C6" w14:textId="77777777" w:rsidR="00BC0FD7" w:rsidRPr="001D5327" w:rsidRDefault="00BC0FD7" w:rsidP="00D11AC9">
            <w:pPr>
              <w:pStyle w:val="TableText"/>
              <w:spacing w:before="40" w:after="40"/>
              <w:jc w:val="right"/>
            </w:pPr>
            <w:r w:rsidRPr="001D5327">
              <w:rPr>
                <w:rFonts w:eastAsia="Calibri" w:cs="Calibri"/>
                <w:color w:val="000000"/>
                <w:szCs w:val="16"/>
              </w:rPr>
              <w:t>1,259.1</w:t>
            </w:r>
          </w:p>
        </w:tc>
        <w:tc>
          <w:tcPr>
            <w:tcW w:w="0" w:type="auto"/>
            <w:shd w:val="clear" w:color="auto" w:fill="FFFFFF"/>
            <w:tcMar>
              <w:top w:w="0" w:type="dxa"/>
              <w:left w:w="85" w:type="dxa"/>
              <w:bottom w:w="0" w:type="dxa"/>
              <w:right w:w="85" w:type="dxa"/>
            </w:tcMar>
          </w:tcPr>
          <w:p w14:paraId="68FFE215" w14:textId="77777777" w:rsidR="00BC0FD7" w:rsidRPr="001D5327" w:rsidRDefault="00BC0FD7" w:rsidP="00D11AC9">
            <w:pPr>
              <w:pStyle w:val="TableText"/>
              <w:spacing w:before="40" w:after="40"/>
              <w:jc w:val="right"/>
            </w:pPr>
            <w:r w:rsidRPr="001D5327">
              <w:rPr>
                <w:rFonts w:eastAsia="Calibri" w:cs="Calibri"/>
                <w:color w:val="000000"/>
                <w:szCs w:val="16"/>
              </w:rPr>
              <w:t>930.9</w:t>
            </w:r>
          </w:p>
        </w:tc>
        <w:tc>
          <w:tcPr>
            <w:tcW w:w="0" w:type="auto"/>
            <w:shd w:val="clear" w:color="auto" w:fill="FFFFFF"/>
            <w:tcMar>
              <w:top w:w="0" w:type="dxa"/>
              <w:left w:w="85" w:type="dxa"/>
              <w:bottom w:w="0" w:type="dxa"/>
              <w:right w:w="85" w:type="dxa"/>
            </w:tcMar>
          </w:tcPr>
          <w:p w14:paraId="3B9121B6" w14:textId="77777777" w:rsidR="00BC0FD7" w:rsidRPr="001D5327" w:rsidRDefault="00BC0FD7" w:rsidP="00D11AC9">
            <w:pPr>
              <w:pStyle w:val="TableText"/>
              <w:spacing w:before="40" w:after="40"/>
              <w:jc w:val="right"/>
            </w:pPr>
            <w:r w:rsidRPr="001D5327">
              <w:rPr>
                <w:rFonts w:eastAsia="Calibri" w:cs="Calibri"/>
                <w:color w:val="000000"/>
                <w:szCs w:val="16"/>
              </w:rPr>
              <w:t>103.4</w:t>
            </w:r>
          </w:p>
        </w:tc>
        <w:tc>
          <w:tcPr>
            <w:tcW w:w="0" w:type="auto"/>
            <w:shd w:val="clear" w:color="auto" w:fill="FFFFFF"/>
            <w:tcMar>
              <w:top w:w="0" w:type="dxa"/>
              <w:left w:w="85" w:type="dxa"/>
              <w:bottom w:w="0" w:type="dxa"/>
              <w:right w:w="85" w:type="dxa"/>
            </w:tcMar>
          </w:tcPr>
          <w:p w14:paraId="49C7140A" w14:textId="77777777" w:rsidR="00BC0FD7" w:rsidRPr="001D5327" w:rsidRDefault="00BC0FD7" w:rsidP="00D11AC9">
            <w:pPr>
              <w:pStyle w:val="TableText"/>
              <w:spacing w:before="40" w:after="40"/>
              <w:jc w:val="right"/>
            </w:pPr>
            <w:r w:rsidRPr="001D5327">
              <w:rPr>
                <w:rFonts w:eastAsia="Calibri" w:cs="Calibri"/>
                <w:color w:val="000000"/>
                <w:szCs w:val="16"/>
              </w:rPr>
              <w:t>2,293.4</w:t>
            </w:r>
          </w:p>
        </w:tc>
      </w:tr>
      <w:tr w:rsidR="00BC0FD7" w:rsidRPr="001D5327" w14:paraId="39B05557" w14:textId="77777777" w:rsidTr="00D11AC9">
        <w:tc>
          <w:tcPr>
            <w:tcW w:w="0" w:type="auto"/>
            <w:shd w:val="clear" w:color="auto" w:fill="FFFFFF"/>
            <w:tcMar>
              <w:top w:w="0" w:type="dxa"/>
              <w:left w:w="85" w:type="dxa"/>
              <w:bottom w:w="0" w:type="dxa"/>
              <w:right w:w="85" w:type="dxa"/>
            </w:tcMar>
          </w:tcPr>
          <w:p w14:paraId="649AF13F"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1986</w:t>
            </w:r>
          </w:p>
        </w:tc>
        <w:tc>
          <w:tcPr>
            <w:tcW w:w="0" w:type="auto"/>
            <w:shd w:val="clear" w:color="auto" w:fill="FFFFFF"/>
            <w:tcMar>
              <w:top w:w="0" w:type="dxa"/>
              <w:left w:w="85" w:type="dxa"/>
              <w:bottom w:w="0" w:type="dxa"/>
              <w:right w:w="85" w:type="dxa"/>
            </w:tcMar>
          </w:tcPr>
          <w:p w14:paraId="2725EC68" w14:textId="77777777" w:rsidR="00BC0FD7" w:rsidRPr="001D5327" w:rsidRDefault="00BC0FD7" w:rsidP="00D11AC9">
            <w:pPr>
              <w:pStyle w:val="TableText"/>
              <w:spacing w:before="40" w:after="40"/>
              <w:jc w:val="right"/>
            </w:pPr>
            <w:r w:rsidRPr="001D5327">
              <w:rPr>
                <w:rFonts w:eastAsia="Calibri" w:cs="Calibri"/>
                <w:color w:val="000000"/>
                <w:szCs w:val="16"/>
              </w:rPr>
              <w:t>1,259.1</w:t>
            </w:r>
          </w:p>
        </w:tc>
        <w:tc>
          <w:tcPr>
            <w:tcW w:w="0" w:type="auto"/>
            <w:shd w:val="clear" w:color="auto" w:fill="FFFFFF"/>
            <w:tcMar>
              <w:top w:w="0" w:type="dxa"/>
              <w:left w:w="85" w:type="dxa"/>
              <w:bottom w:w="0" w:type="dxa"/>
              <w:right w:w="85" w:type="dxa"/>
            </w:tcMar>
          </w:tcPr>
          <w:p w14:paraId="74EB288C" w14:textId="77777777" w:rsidR="00BC0FD7" w:rsidRPr="001D5327" w:rsidRDefault="00BC0FD7" w:rsidP="00D11AC9">
            <w:pPr>
              <w:pStyle w:val="TableText"/>
              <w:spacing w:before="40" w:after="40"/>
              <w:jc w:val="right"/>
            </w:pPr>
            <w:r w:rsidRPr="001D5327">
              <w:rPr>
                <w:rFonts w:eastAsia="Calibri" w:cs="Calibri"/>
                <w:color w:val="000000"/>
                <w:szCs w:val="16"/>
              </w:rPr>
              <w:t>1,010.9</w:t>
            </w:r>
          </w:p>
        </w:tc>
        <w:tc>
          <w:tcPr>
            <w:tcW w:w="0" w:type="auto"/>
            <w:shd w:val="clear" w:color="auto" w:fill="FFFFFF"/>
            <w:tcMar>
              <w:top w:w="0" w:type="dxa"/>
              <w:left w:w="85" w:type="dxa"/>
              <w:bottom w:w="0" w:type="dxa"/>
              <w:right w:w="85" w:type="dxa"/>
            </w:tcMar>
          </w:tcPr>
          <w:p w14:paraId="7C7F69BC" w14:textId="77777777" w:rsidR="00BC0FD7" w:rsidRPr="001D5327" w:rsidRDefault="00BC0FD7" w:rsidP="00D11AC9">
            <w:pPr>
              <w:pStyle w:val="TableText"/>
              <w:spacing w:before="40" w:after="40"/>
              <w:jc w:val="right"/>
            </w:pPr>
            <w:r w:rsidRPr="001D5327">
              <w:rPr>
                <w:rFonts w:eastAsia="Calibri" w:cs="Calibri"/>
                <w:color w:val="000000"/>
                <w:szCs w:val="16"/>
              </w:rPr>
              <w:t>112.3</w:t>
            </w:r>
          </w:p>
        </w:tc>
        <w:tc>
          <w:tcPr>
            <w:tcW w:w="0" w:type="auto"/>
            <w:shd w:val="clear" w:color="auto" w:fill="FFFFFF"/>
            <w:tcMar>
              <w:top w:w="0" w:type="dxa"/>
              <w:left w:w="85" w:type="dxa"/>
              <w:bottom w:w="0" w:type="dxa"/>
              <w:right w:w="85" w:type="dxa"/>
            </w:tcMar>
          </w:tcPr>
          <w:p w14:paraId="3F083A46" w14:textId="77777777" w:rsidR="00BC0FD7" w:rsidRPr="001D5327" w:rsidRDefault="00BC0FD7" w:rsidP="00D11AC9">
            <w:pPr>
              <w:pStyle w:val="TableText"/>
              <w:spacing w:before="40" w:after="40"/>
              <w:jc w:val="right"/>
            </w:pPr>
            <w:r w:rsidRPr="001D5327">
              <w:rPr>
                <w:rFonts w:eastAsia="Calibri" w:cs="Calibri"/>
                <w:color w:val="000000"/>
                <w:szCs w:val="16"/>
              </w:rPr>
              <w:t>2,382.3</w:t>
            </w:r>
          </w:p>
        </w:tc>
      </w:tr>
      <w:tr w:rsidR="00BC0FD7" w:rsidRPr="001D5327" w14:paraId="6CDEB6E5" w14:textId="77777777" w:rsidTr="00D11AC9">
        <w:tc>
          <w:tcPr>
            <w:tcW w:w="0" w:type="auto"/>
            <w:shd w:val="clear" w:color="auto" w:fill="FFFFFF"/>
            <w:tcMar>
              <w:top w:w="0" w:type="dxa"/>
              <w:left w:w="85" w:type="dxa"/>
              <w:bottom w:w="0" w:type="dxa"/>
              <w:right w:w="85" w:type="dxa"/>
            </w:tcMar>
          </w:tcPr>
          <w:p w14:paraId="3CC6B024"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1987</w:t>
            </w:r>
          </w:p>
        </w:tc>
        <w:tc>
          <w:tcPr>
            <w:tcW w:w="0" w:type="auto"/>
            <w:shd w:val="clear" w:color="auto" w:fill="FFFFFF"/>
            <w:tcMar>
              <w:top w:w="0" w:type="dxa"/>
              <w:left w:w="85" w:type="dxa"/>
              <w:bottom w:w="0" w:type="dxa"/>
              <w:right w:w="85" w:type="dxa"/>
            </w:tcMar>
          </w:tcPr>
          <w:p w14:paraId="2D601E22" w14:textId="77777777" w:rsidR="00BC0FD7" w:rsidRPr="001D5327" w:rsidRDefault="00BC0FD7" w:rsidP="00D11AC9">
            <w:pPr>
              <w:pStyle w:val="TableText"/>
              <w:spacing w:before="40" w:after="40"/>
              <w:jc w:val="right"/>
            </w:pPr>
            <w:r w:rsidRPr="001D5327">
              <w:rPr>
                <w:rFonts w:eastAsia="Calibri" w:cs="Calibri"/>
                <w:color w:val="000000"/>
                <w:szCs w:val="16"/>
              </w:rPr>
              <w:t>1,342.7</w:t>
            </w:r>
          </w:p>
        </w:tc>
        <w:tc>
          <w:tcPr>
            <w:tcW w:w="0" w:type="auto"/>
            <w:shd w:val="clear" w:color="auto" w:fill="FFFFFF"/>
            <w:tcMar>
              <w:top w:w="0" w:type="dxa"/>
              <w:left w:w="85" w:type="dxa"/>
              <w:bottom w:w="0" w:type="dxa"/>
              <w:right w:w="85" w:type="dxa"/>
            </w:tcMar>
          </w:tcPr>
          <w:p w14:paraId="5B70DC03" w14:textId="77777777" w:rsidR="00BC0FD7" w:rsidRPr="001D5327" w:rsidRDefault="00BC0FD7" w:rsidP="00D11AC9">
            <w:pPr>
              <w:pStyle w:val="TableText"/>
              <w:spacing w:before="40" w:after="40"/>
              <w:jc w:val="right"/>
            </w:pPr>
            <w:r w:rsidRPr="001D5327">
              <w:rPr>
                <w:rFonts w:eastAsia="Calibri" w:cs="Calibri"/>
                <w:color w:val="000000"/>
                <w:szCs w:val="16"/>
              </w:rPr>
              <w:t>1,015.6</w:t>
            </w:r>
          </w:p>
        </w:tc>
        <w:tc>
          <w:tcPr>
            <w:tcW w:w="0" w:type="auto"/>
            <w:shd w:val="clear" w:color="auto" w:fill="FFFFFF"/>
            <w:tcMar>
              <w:top w:w="0" w:type="dxa"/>
              <w:left w:w="85" w:type="dxa"/>
              <w:bottom w:w="0" w:type="dxa"/>
              <w:right w:w="85" w:type="dxa"/>
            </w:tcMar>
          </w:tcPr>
          <w:p w14:paraId="13B53AE1" w14:textId="77777777" w:rsidR="00BC0FD7" w:rsidRPr="001D5327" w:rsidRDefault="00BC0FD7" w:rsidP="00D11AC9">
            <w:pPr>
              <w:pStyle w:val="TableText"/>
              <w:spacing w:before="40" w:after="40"/>
              <w:jc w:val="right"/>
            </w:pPr>
            <w:r w:rsidRPr="001D5327">
              <w:rPr>
                <w:rFonts w:eastAsia="Calibri" w:cs="Calibri"/>
                <w:color w:val="000000"/>
                <w:szCs w:val="16"/>
              </w:rPr>
              <w:t>112.8</w:t>
            </w:r>
          </w:p>
        </w:tc>
        <w:tc>
          <w:tcPr>
            <w:tcW w:w="0" w:type="auto"/>
            <w:shd w:val="clear" w:color="auto" w:fill="FFFFFF"/>
            <w:tcMar>
              <w:top w:w="0" w:type="dxa"/>
              <w:left w:w="85" w:type="dxa"/>
              <w:bottom w:w="0" w:type="dxa"/>
              <w:right w:w="85" w:type="dxa"/>
            </w:tcMar>
          </w:tcPr>
          <w:p w14:paraId="2AA090C6" w14:textId="77777777" w:rsidR="00BC0FD7" w:rsidRPr="001D5327" w:rsidRDefault="00BC0FD7" w:rsidP="00D11AC9">
            <w:pPr>
              <w:pStyle w:val="TableText"/>
              <w:spacing w:before="40" w:after="40"/>
              <w:jc w:val="right"/>
            </w:pPr>
            <w:r w:rsidRPr="001D5327">
              <w:rPr>
                <w:rFonts w:eastAsia="Calibri" w:cs="Calibri"/>
                <w:color w:val="000000"/>
                <w:szCs w:val="16"/>
              </w:rPr>
              <w:t>2,471.1</w:t>
            </w:r>
          </w:p>
        </w:tc>
      </w:tr>
      <w:tr w:rsidR="00BC0FD7" w:rsidRPr="001D5327" w14:paraId="5E7B6795" w14:textId="77777777" w:rsidTr="00D11AC9">
        <w:tc>
          <w:tcPr>
            <w:tcW w:w="0" w:type="auto"/>
            <w:shd w:val="clear" w:color="auto" w:fill="FFFFFF"/>
            <w:tcMar>
              <w:top w:w="0" w:type="dxa"/>
              <w:left w:w="85" w:type="dxa"/>
              <w:bottom w:w="0" w:type="dxa"/>
              <w:right w:w="85" w:type="dxa"/>
            </w:tcMar>
          </w:tcPr>
          <w:p w14:paraId="371B6D85"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1988</w:t>
            </w:r>
          </w:p>
        </w:tc>
        <w:tc>
          <w:tcPr>
            <w:tcW w:w="0" w:type="auto"/>
            <w:shd w:val="clear" w:color="auto" w:fill="FFFFFF"/>
            <w:tcMar>
              <w:top w:w="0" w:type="dxa"/>
              <w:left w:w="85" w:type="dxa"/>
              <w:bottom w:w="0" w:type="dxa"/>
              <w:right w:w="85" w:type="dxa"/>
            </w:tcMar>
          </w:tcPr>
          <w:p w14:paraId="32456ABF" w14:textId="77777777" w:rsidR="00BC0FD7" w:rsidRPr="001D5327" w:rsidRDefault="00BC0FD7" w:rsidP="00D11AC9">
            <w:pPr>
              <w:pStyle w:val="TableText"/>
              <w:spacing w:before="40" w:after="40"/>
              <w:jc w:val="right"/>
            </w:pPr>
            <w:r w:rsidRPr="001D5327">
              <w:rPr>
                <w:rFonts w:eastAsia="Calibri" w:cs="Calibri"/>
                <w:color w:val="000000"/>
                <w:szCs w:val="16"/>
              </w:rPr>
              <w:t>1,432.6</w:t>
            </w:r>
          </w:p>
        </w:tc>
        <w:tc>
          <w:tcPr>
            <w:tcW w:w="0" w:type="auto"/>
            <w:shd w:val="clear" w:color="auto" w:fill="FFFFFF"/>
            <w:tcMar>
              <w:top w:w="0" w:type="dxa"/>
              <w:left w:w="85" w:type="dxa"/>
              <w:bottom w:w="0" w:type="dxa"/>
              <w:right w:w="85" w:type="dxa"/>
            </w:tcMar>
          </w:tcPr>
          <w:p w14:paraId="2C1CFCA7" w14:textId="77777777" w:rsidR="00BC0FD7" w:rsidRPr="001D5327" w:rsidRDefault="00BC0FD7" w:rsidP="00D11AC9">
            <w:pPr>
              <w:pStyle w:val="TableText"/>
              <w:spacing w:before="40" w:after="40"/>
              <w:jc w:val="right"/>
            </w:pPr>
            <w:r w:rsidRPr="001D5327">
              <w:rPr>
                <w:rFonts w:eastAsia="Calibri" w:cs="Calibri"/>
                <w:color w:val="000000"/>
                <w:szCs w:val="16"/>
              </w:rPr>
              <w:t>1,014.7</w:t>
            </w:r>
          </w:p>
        </w:tc>
        <w:tc>
          <w:tcPr>
            <w:tcW w:w="0" w:type="auto"/>
            <w:shd w:val="clear" w:color="auto" w:fill="FFFFFF"/>
            <w:tcMar>
              <w:top w:w="0" w:type="dxa"/>
              <w:left w:w="85" w:type="dxa"/>
              <w:bottom w:w="0" w:type="dxa"/>
              <w:right w:w="85" w:type="dxa"/>
            </w:tcMar>
          </w:tcPr>
          <w:p w14:paraId="6F154F48" w14:textId="77777777" w:rsidR="00BC0FD7" w:rsidRPr="001D5327" w:rsidRDefault="00BC0FD7" w:rsidP="00D11AC9">
            <w:pPr>
              <w:pStyle w:val="TableText"/>
              <w:spacing w:before="40" w:after="40"/>
              <w:jc w:val="right"/>
            </w:pPr>
            <w:r w:rsidRPr="001D5327">
              <w:rPr>
                <w:rFonts w:eastAsia="Calibri" w:cs="Calibri"/>
                <w:color w:val="000000"/>
                <w:szCs w:val="16"/>
              </w:rPr>
              <w:t>112.7</w:t>
            </w:r>
          </w:p>
        </w:tc>
        <w:tc>
          <w:tcPr>
            <w:tcW w:w="0" w:type="auto"/>
            <w:shd w:val="clear" w:color="auto" w:fill="FFFFFF"/>
            <w:tcMar>
              <w:top w:w="0" w:type="dxa"/>
              <w:left w:w="85" w:type="dxa"/>
              <w:bottom w:w="0" w:type="dxa"/>
              <w:right w:w="85" w:type="dxa"/>
            </w:tcMar>
          </w:tcPr>
          <w:p w14:paraId="1F8F7B56" w14:textId="77777777" w:rsidR="00BC0FD7" w:rsidRPr="001D5327" w:rsidRDefault="00BC0FD7" w:rsidP="00D11AC9">
            <w:pPr>
              <w:pStyle w:val="TableText"/>
              <w:spacing w:before="40" w:after="40"/>
              <w:jc w:val="right"/>
            </w:pPr>
            <w:r w:rsidRPr="001D5327">
              <w:rPr>
                <w:rFonts w:eastAsia="Calibri" w:cs="Calibri"/>
                <w:color w:val="000000"/>
                <w:szCs w:val="16"/>
              </w:rPr>
              <w:t>2,560.0</w:t>
            </w:r>
          </w:p>
        </w:tc>
      </w:tr>
      <w:tr w:rsidR="00BC0FD7" w:rsidRPr="001D5327" w14:paraId="37BD9D08" w14:textId="77777777" w:rsidTr="00D11AC9">
        <w:tc>
          <w:tcPr>
            <w:tcW w:w="0" w:type="auto"/>
            <w:shd w:val="clear" w:color="auto" w:fill="FFFFFF"/>
            <w:tcMar>
              <w:top w:w="0" w:type="dxa"/>
              <w:left w:w="85" w:type="dxa"/>
              <w:bottom w:w="0" w:type="dxa"/>
              <w:right w:w="85" w:type="dxa"/>
            </w:tcMar>
          </w:tcPr>
          <w:p w14:paraId="3F41BB10"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1989</w:t>
            </w:r>
          </w:p>
        </w:tc>
        <w:tc>
          <w:tcPr>
            <w:tcW w:w="0" w:type="auto"/>
            <w:shd w:val="clear" w:color="auto" w:fill="FFFFFF"/>
            <w:tcMar>
              <w:top w:w="0" w:type="dxa"/>
              <w:left w:w="85" w:type="dxa"/>
              <w:bottom w:w="0" w:type="dxa"/>
              <w:right w:w="85" w:type="dxa"/>
            </w:tcMar>
          </w:tcPr>
          <w:p w14:paraId="57B218EC" w14:textId="77777777" w:rsidR="00BC0FD7" w:rsidRPr="001D5327" w:rsidRDefault="00BC0FD7" w:rsidP="00D11AC9">
            <w:pPr>
              <w:pStyle w:val="TableText"/>
              <w:spacing w:before="40" w:after="40"/>
              <w:jc w:val="right"/>
            </w:pPr>
            <w:r w:rsidRPr="001D5327">
              <w:rPr>
                <w:rFonts w:eastAsia="Calibri" w:cs="Calibri"/>
                <w:color w:val="000000"/>
                <w:szCs w:val="16"/>
              </w:rPr>
              <w:t>1,432.6</w:t>
            </w:r>
          </w:p>
        </w:tc>
        <w:tc>
          <w:tcPr>
            <w:tcW w:w="0" w:type="auto"/>
            <w:shd w:val="clear" w:color="auto" w:fill="FFFFFF"/>
            <w:tcMar>
              <w:top w:w="0" w:type="dxa"/>
              <w:left w:w="85" w:type="dxa"/>
              <w:bottom w:w="0" w:type="dxa"/>
              <w:right w:w="85" w:type="dxa"/>
            </w:tcMar>
          </w:tcPr>
          <w:p w14:paraId="6672F3D8" w14:textId="77777777" w:rsidR="00BC0FD7" w:rsidRPr="001D5327" w:rsidRDefault="00BC0FD7" w:rsidP="00D11AC9">
            <w:pPr>
              <w:pStyle w:val="TableText"/>
              <w:spacing w:before="40" w:after="40"/>
              <w:jc w:val="right"/>
            </w:pPr>
            <w:r w:rsidRPr="001D5327">
              <w:rPr>
                <w:rFonts w:eastAsia="Calibri" w:cs="Calibri"/>
                <w:color w:val="000000"/>
                <w:szCs w:val="16"/>
              </w:rPr>
              <w:t>1,094.7</w:t>
            </w:r>
          </w:p>
        </w:tc>
        <w:tc>
          <w:tcPr>
            <w:tcW w:w="0" w:type="auto"/>
            <w:shd w:val="clear" w:color="auto" w:fill="FFFFFF"/>
            <w:tcMar>
              <w:top w:w="0" w:type="dxa"/>
              <w:left w:w="85" w:type="dxa"/>
              <w:bottom w:w="0" w:type="dxa"/>
              <w:right w:w="85" w:type="dxa"/>
            </w:tcMar>
          </w:tcPr>
          <w:p w14:paraId="630184B3" w14:textId="77777777" w:rsidR="00BC0FD7" w:rsidRPr="001D5327" w:rsidRDefault="00BC0FD7" w:rsidP="00D11AC9">
            <w:pPr>
              <w:pStyle w:val="TableText"/>
              <w:spacing w:before="40" w:after="40"/>
              <w:jc w:val="right"/>
            </w:pPr>
            <w:r w:rsidRPr="001D5327">
              <w:rPr>
                <w:rFonts w:eastAsia="Calibri" w:cs="Calibri"/>
                <w:color w:val="000000"/>
                <w:szCs w:val="16"/>
              </w:rPr>
              <w:t>121.6</w:t>
            </w:r>
          </w:p>
        </w:tc>
        <w:tc>
          <w:tcPr>
            <w:tcW w:w="0" w:type="auto"/>
            <w:shd w:val="clear" w:color="auto" w:fill="FFFFFF"/>
            <w:tcMar>
              <w:top w:w="0" w:type="dxa"/>
              <w:left w:w="85" w:type="dxa"/>
              <w:bottom w:w="0" w:type="dxa"/>
              <w:right w:w="85" w:type="dxa"/>
            </w:tcMar>
          </w:tcPr>
          <w:p w14:paraId="4C4CC20F" w14:textId="77777777" w:rsidR="00BC0FD7" w:rsidRPr="001D5327" w:rsidRDefault="00BC0FD7" w:rsidP="00D11AC9">
            <w:pPr>
              <w:pStyle w:val="TableText"/>
              <w:spacing w:before="40" w:after="40"/>
              <w:jc w:val="right"/>
            </w:pPr>
            <w:r w:rsidRPr="001D5327">
              <w:rPr>
                <w:rFonts w:eastAsia="Calibri" w:cs="Calibri"/>
                <w:color w:val="000000"/>
                <w:szCs w:val="16"/>
              </w:rPr>
              <w:t>2,648.9</w:t>
            </w:r>
          </w:p>
        </w:tc>
      </w:tr>
      <w:tr w:rsidR="00BC0FD7" w:rsidRPr="001D5327" w14:paraId="57CD898F" w14:textId="77777777" w:rsidTr="00D11AC9">
        <w:tc>
          <w:tcPr>
            <w:tcW w:w="0" w:type="auto"/>
            <w:shd w:val="clear" w:color="auto" w:fill="FFFFFF"/>
            <w:tcMar>
              <w:top w:w="0" w:type="dxa"/>
              <w:left w:w="85" w:type="dxa"/>
              <w:bottom w:w="0" w:type="dxa"/>
              <w:right w:w="85" w:type="dxa"/>
            </w:tcMar>
          </w:tcPr>
          <w:p w14:paraId="003DFEBF"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1990</w:t>
            </w:r>
          </w:p>
        </w:tc>
        <w:tc>
          <w:tcPr>
            <w:tcW w:w="0" w:type="auto"/>
            <w:shd w:val="clear" w:color="auto" w:fill="FFFFFF"/>
            <w:tcMar>
              <w:top w:w="0" w:type="dxa"/>
              <w:left w:w="85" w:type="dxa"/>
              <w:bottom w:w="0" w:type="dxa"/>
              <w:right w:w="85" w:type="dxa"/>
            </w:tcMar>
          </w:tcPr>
          <w:p w14:paraId="656299C2" w14:textId="77777777" w:rsidR="00BC0FD7" w:rsidRPr="001D5327" w:rsidRDefault="00BC0FD7" w:rsidP="00D11AC9">
            <w:pPr>
              <w:pStyle w:val="TableText"/>
              <w:spacing w:before="40" w:after="40"/>
              <w:jc w:val="right"/>
            </w:pPr>
            <w:r w:rsidRPr="001D5327">
              <w:rPr>
                <w:rFonts w:eastAsia="Calibri" w:cs="Calibri"/>
                <w:color w:val="000000"/>
                <w:szCs w:val="16"/>
              </w:rPr>
              <w:t>1,432.6</w:t>
            </w:r>
          </w:p>
        </w:tc>
        <w:tc>
          <w:tcPr>
            <w:tcW w:w="0" w:type="auto"/>
            <w:shd w:val="clear" w:color="auto" w:fill="FFFFFF"/>
            <w:tcMar>
              <w:top w:w="0" w:type="dxa"/>
              <w:left w:w="85" w:type="dxa"/>
              <w:bottom w:w="0" w:type="dxa"/>
              <w:right w:w="85" w:type="dxa"/>
            </w:tcMar>
          </w:tcPr>
          <w:p w14:paraId="12B1A669" w14:textId="77777777" w:rsidR="00BC0FD7" w:rsidRPr="001D5327" w:rsidRDefault="00BC0FD7" w:rsidP="00D11AC9">
            <w:pPr>
              <w:pStyle w:val="TableText"/>
              <w:spacing w:before="40" w:after="40"/>
              <w:jc w:val="right"/>
            </w:pPr>
            <w:r w:rsidRPr="001D5327">
              <w:rPr>
                <w:rFonts w:eastAsia="Calibri" w:cs="Calibri"/>
                <w:color w:val="000000"/>
                <w:szCs w:val="16"/>
              </w:rPr>
              <w:t>1,174.7</w:t>
            </w:r>
          </w:p>
        </w:tc>
        <w:tc>
          <w:tcPr>
            <w:tcW w:w="0" w:type="auto"/>
            <w:shd w:val="clear" w:color="auto" w:fill="FFFFFF"/>
            <w:tcMar>
              <w:top w:w="0" w:type="dxa"/>
              <w:left w:w="85" w:type="dxa"/>
              <w:bottom w:w="0" w:type="dxa"/>
              <w:right w:w="85" w:type="dxa"/>
            </w:tcMar>
          </w:tcPr>
          <w:p w14:paraId="4449C078" w14:textId="77777777" w:rsidR="00BC0FD7" w:rsidRPr="001D5327" w:rsidRDefault="00BC0FD7" w:rsidP="00D11AC9">
            <w:pPr>
              <w:pStyle w:val="TableText"/>
              <w:spacing w:before="40" w:after="40"/>
              <w:jc w:val="right"/>
            </w:pPr>
            <w:r w:rsidRPr="001D5327">
              <w:rPr>
                <w:rFonts w:eastAsia="Calibri" w:cs="Calibri"/>
                <w:color w:val="000000"/>
                <w:szCs w:val="16"/>
              </w:rPr>
              <w:t>130.5</w:t>
            </w:r>
          </w:p>
        </w:tc>
        <w:tc>
          <w:tcPr>
            <w:tcW w:w="0" w:type="auto"/>
            <w:shd w:val="clear" w:color="auto" w:fill="FFFFFF"/>
            <w:tcMar>
              <w:top w:w="0" w:type="dxa"/>
              <w:left w:w="85" w:type="dxa"/>
              <w:bottom w:w="0" w:type="dxa"/>
              <w:right w:w="85" w:type="dxa"/>
            </w:tcMar>
          </w:tcPr>
          <w:p w14:paraId="5C698985" w14:textId="77777777" w:rsidR="00BC0FD7" w:rsidRPr="001D5327" w:rsidRDefault="00BC0FD7" w:rsidP="00D11AC9">
            <w:pPr>
              <w:pStyle w:val="TableText"/>
              <w:spacing w:before="40" w:after="40"/>
              <w:jc w:val="right"/>
            </w:pPr>
            <w:r w:rsidRPr="001D5327">
              <w:rPr>
                <w:rFonts w:eastAsia="Calibri" w:cs="Calibri"/>
                <w:color w:val="000000"/>
                <w:szCs w:val="16"/>
              </w:rPr>
              <w:t>2,737.8</w:t>
            </w:r>
          </w:p>
        </w:tc>
      </w:tr>
      <w:tr w:rsidR="00BC0FD7" w:rsidRPr="001D5327" w14:paraId="1031B011" w14:textId="77777777" w:rsidTr="00D11AC9">
        <w:tc>
          <w:tcPr>
            <w:tcW w:w="0" w:type="auto"/>
            <w:shd w:val="clear" w:color="auto" w:fill="FFFFFF"/>
            <w:tcMar>
              <w:top w:w="0" w:type="dxa"/>
              <w:left w:w="85" w:type="dxa"/>
              <w:bottom w:w="0" w:type="dxa"/>
              <w:right w:w="85" w:type="dxa"/>
            </w:tcMar>
          </w:tcPr>
          <w:p w14:paraId="03230F6A"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1991</w:t>
            </w:r>
          </w:p>
        </w:tc>
        <w:tc>
          <w:tcPr>
            <w:tcW w:w="0" w:type="auto"/>
            <w:shd w:val="clear" w:color="auto" w:fill="FFFFFF"/>
            <w:tcMar>
              <w:top w:w="0" w:type="dxa"/>
              <w:left w:w="85" w:type="dxa"/>
              <w:bottom w:w="0" w:type="dxa"/>
              <w:right w:w="85" w:type="dxa"/>
            </w:tcMar>
          </w:tcPr>
          <w:p w14:paraId="73130E87" w14:textId="77777777" w:rsidR="00BC0FD7" w:rsidRPr="001D5327" w:rsidRDefault="00BC0FD7" w:rsidP="00D11AC9">
            <w:pPr>
              <w:pStyle w:val="TableText"/>
              <w:spacing w:before="40" w:after="40"/>
              <w:jc w:val="right"/>
            </w:pPr>
            <w:r w:rsidRPr="001D5327">
              <w:rPr>
                <w:rFonts w:eastAsia="Calibri" w:cs="Calibri"/>
                <w:color w:val="000000"/>
                <w:szCs w:val="16"/>
              </w:rPr>
              <w:t>1,432.6</w:t>
            </w:r>
          </w:p>
        </w:tc>
        <w:tc>
          <w:tcPr>
            <w:tcW w:w="0" w:type="auto"/>
            <w:shd w:val="clear" w:color="auto" w:fill="FFFFFF"/>
            <w:tcMar>
              <w:top w:w="0" w:type="dxa"/>
              <w:left w:w="85" w:type="dxa"/>
              <w:bottom w:w="0" w:type="dxa"/>
              <w:right w:w="85" w:type="dxa"/>
            </w:tcMar>
          </w:tcPr>
          <w:p w14:paraId="3D2133A7" w14:textId="77777777" w:rsidR="00BC0FD7" w:rsidRPr="001D5327" w:rsidRDefault="00BC0FD7" w:rsidP="00D11AC9">
            <w:pPr>
              <w:pStyle w:val="TableText"/>
              <w:spacing w:before="40" w:after="40"/>
              <w:jc w:val="right"/>
            </w:pPr>
            <w:r w:rsidRPr="001D5327">
              <w:rPr>
                <w:rFonts w:eastAsia="Calibri" w:cs="Calibri"/>
                <w:color w:val="000000"/>
                <w:szCs w:val="16"/>
              </w:rPr>
              <w:t>1,254.7</w:t>
            </w:r>
          </w:p>
        </w:tc>
        <w:tc>
          <w:tcPr>
            <w:tcW w:w="0" w:type="auto"/>
            <w:shd w:val="clear" w:color="auto" w:fill="FFFFFF"/>
            <w:tcMar>
              <w:top w:w="0" w:type="dxa"/>
              <w:left w:w="85" w:type="dxa"/>
              <w:bottom w:w="0" w:type="dxa"/>
              <w:right w:w="85" w:type="dxa"/>
            </w:tcMar>
          </w:tcPr>
          <w:p w14:paraId="3DC759B8" w14:textId="77777777" w:rsidR="00BC0FD7" w:rsidRPr="001D5327" w:rsidRDefault="00BC0FD7" w:rsidP="00D11AC9">
            <w:pPr>
              <w:pStyle w:val="TableText"/>
              <w:spacing w:before="40" w:after="40"/>
              <w:jc w:val="right"/>
            </w:pPr>
            <w:r w:rsidRPr="001D5327">
              <w:rPr>
                <w:rFonts w:eastAsia="Calibri" w:cs="Calibri"/>
                <w:color w:val="000000"/>
                <w:szCs w:val="16"/>
              </w:rPr>
              <w:t>139.4</w:t>
            </w:r>
          </w:p>
        </w:tc>
        <w:tc>
          <w:tcPr>
            <w:tcW w:w="0" w:type="auto"/>
            <w:shd w:val="clear" w:color="auto" w:fill="FFFFFF"/>
            <w:tcMar>
              <w:top w:w="0" w:type="dxa"/>
              <w:left w:w="85" w:type="dxa"/>
              <w:bottom w:w="0" w:type="dxa"/>
              <w:right w:w="85" w:type="dxa"/>
            </w:tcMar>
          </w:tcPr>
          <w:p w14:paraId="23C9CFB2" w14:textId="77777777" w:rsidR="00BC0FD7" w:rsidRPr="001D5327" w:rsidRDefault="00BC0FD7" w:rsidP="00D11AC9">
            <w:pPr>
              <w:pStyle w:val="TableText"/>
              <w:spacing w:before="40" w:after="40"/>
              <w:jc w:val="right"/>
            </w:pPr>
            <w:r w:rsidRPr="001D5327">
              <w:rPr>
                <w:rFonts w:eastAsia="Calibri" w:cs="Calibri"/>
                <w:color w:val="000000"/>
                <w:szCs w:val="16"/>
              </w:rPr>
              <w:t>2,826.6</w:t>
            </w:r>
          </w:p>
        </w:tc>
      </w:tr>
      <w:tr w:rsidR="00BC0FD7" w:rsidRPr="001D5327" w14:paraId="3F356262" w14:textId="77777777" w:rsidTr="00D11AC9">
        <w:tc>
          <w:tcPr>
            <w:tcW w:w="0" w:type="auto"/>
            <w:shd w:val="clear" w:color="auto" w:fill="FFFFFF"/>
            <w:tcMar>
              <w:top w:w="0" w:type="dxa"/>
              <w:left w:w="85" w:type="dxa"/>
              <w:bottom w:w="0" w:type="dxa"/>
              <w:right w:w="85" w:type="dxa"/>
            </w:tcMar>
          </w:tcPr>
          <w:p w14:paraId="5D3C2BD4"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1992</w:t>
            </w:r>
          </w:p>
        </w:tc>
        <w:tc>
          <w:tcPr>
            <w:tcW w:w="0" w:type="auto"/>
            <w:shd w:val="clear" w:color="auto" w:fill="FFFFFF"/>
            <w:tcMar>
              <w:top w:w="0" w:type="dxa"/>
              <w:left w:w="85" w:type="dxa"/>
              <w:bottom w:w="0" w:type="dxa"/>
              <w:right w:w="85" w:type="dxa"/>
            </w:tcMar>
          </w:tcPr>
          <w:p w14:paraId="686A51EF" w14:textId="77777777" w:rsidR="00BC0FD7" w:rsidRPr="001D5327" w:rsidRDefault="00BC0FD7" w:rsidP="00D11AC9">
            <w:pPr>
              <w:pStyle w:val="TableText"/>
              <w:spacing w:before="40" w:after="40"/>
              <w:jc w:val="right"/>
            </w:pPr>
            <w:r w:rsidRPr="001D5327">
              <w:rPr>
                <w:rFonts w:eastAsia="Calibri" w:cs="Calibri"/>
                <w:color w:val="000000"/>
                <w:szCs w:val="16"/>
              </w:rPr>
              <w:t>1,432.6</w:t>
            </w:r>
          </w:p>
        </w:tc>
        <w:tc>
          <w:tcPr>
            <w:tcW w:w="0" w:type="auto"/>
            <w:shd w:val="clear" w:color="auto" w:fill="FFFFFF"/>
            <w:tcMar>
              <w:top w:w="0" w:type="dxa"/>
              <w:left w:w="85" w:type="dxa"/>
              <w:bottom w:w="0" w:type="dxa"/>
              <w:right w:w="85" w:type="dxa"/>
            </w:tcMar>
          </w:tcPr>
          <w:p w14:paraId="51D62992" w14:textId="77777777" w:rsidR="00BC0FD7" w:rsidRPr="001D5327" w:rsidRDefault="00BC0FD7" w:rsidP="00D11AC9">
            <w:pPr>
              <w:pStyle w:val="TableText"/>
              <w:spacing w:before="40" w:after="40"/>
              <w:jc w:val="right"/>
            </w:pPr>
            <w:r w:rsidRPr="001D5327">
              <w:rPr>
                <w:rFonts w:eastAsia="Calibri" w:cs="Calibri"/>
                <w:color w:val="000000"/>
                <w:szCs w:val="16"/>
              </w:rPr>
              <w:t>1,334.7</w:t>
            </w:r>
          </w:p>
        </w:tc>
        <w:tc>
          <w:tcPr>
            <w:tcW w:w="0" w:type="auto"/>
            <w:shd w:val="clear" w:color="auto" w:fill="FFFFFF"/>
            <w:tcMar>
              <w:top w:w="0" w:type="dxa"/>
              <w:left w:w="85" w:type="dxa"/>
              <w:bottom w:w="0" w:type="dxa"/>
              <w:right w:w="85" w:type="dxa"/>
            </w:tcMar>
          </w:tcPr>
          <w:p w14:paraId="2005A786" w14:textId="77777777" w:rsidR="00BC0FD7" w:rsidRPr="001D5327" w:rsidRDefault="00BC0FD7" w:rsidP="00D11AC9">
            <w:pPr>
              <w:pStyle w:val="TableText"/>
              <w:spacing w:before="40" w:after="40"/>
              <w:jc w:val="right"/>
            </w:pPr>
            <w:r w:rsidRPr="001D5327">
              <w:rPr>
                <w:rFonts w:eastAsia="Calibri" w:cs="Calibri"/>
                <w:color w:val="000000"/>
                <w:szCs w:val="16"/>
              </w:rPr>
              <w:t>148.3</w:t>
            </w:r>
          </w:p>
        </w:tc>
        <w:tc>
          <w:tcPr>
            <w:tcW w:w="0" w:type="auto"/>
            <w:shd w:val="clear" w:color="auto" w:fill="FFFFFF"/>
            <w:tcMar>
              <w:top w:w="0" w:type="dxa"/>
              <w:left w:w="85" w:type="dxa"/>
              <w:bottom w:w="0" w:type="dxa"/>
              <w:right w:w="85" w:type="dxa"/>
            </w:tcMar>
          </w:tcPr>
          <w:p w14:paraId="13F87F39" w14:textId="77777777" w:rsidR="00BC0FD7" w:rsidRPr="001D5327" w:rsidRDefault="00BC0FD7" w:rsidP="00D11AC9">
            <w:pPr>
              <w:pStyle w:val="TableText"/>
              <w:spacing w:before="40" w:after="40"/>
              <w:jc w:val="right"/>
            </w:pPr>
            <w:r w:rsidRPr="001D5327">
              <w:rPr>
                <w:rFonts w:eastAsia="Calibri" w:cs="Calibri"/>
                <w:color w:val="000000"/>
                <w:szCs w:val="16"/>
              </w:rPr>
              <w:t>2,915.5</w:t>
            </w:r>
          </w:p>
        </w:tc>
      </w:tr>
      <w:tr w:rsidR="00BC0FD7" w:rsidRPr="001D5327" w14:paraId="5D030882" w14:textId="77777777" w:rsidTr="00D11AC9">
        <w:tc>
          <w:tcPr>
            <w:tcW w:w="0" w:type="auto"/>
            <w:shd w:val="clear" w:color="auto" w:fill="FFFFFF"/>
            <w:tcMar>
              <w:top w:w="0" w:type="dxa"/>
              <w:left w:w="85" w:type="dxa"/>
              <w:bottom w:w="0" w:type="dxa"/>
              <w:right w:w="85" w:type="dxa"/>
            </w:tcMar>
          </w:tcPr>
          <w:p w14:paraId="7E0C17AC"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1993</w:t>
            </w:r>
          </w:p>
        </w:tc>
        <w:tc>
          <w:tcPr>
            <w:tcW w:w="0" w:type="auto"/>
            <w:shd w:val="clear" w:color="auto" w:fill="FFFFFF"/>
            <w:tcMar>
              <w:top w:w="0" w:type="dxa"/>
              <w:left w:w="85" w:type="dxa"/>
              <w:bottom w:w="0" w:type="dxa"/>
              <w:right w:w="85" w:type="dxa"/>
            </w:tcMar>
          </w:tcPr>
          <w:p w14:paraId="30F52C07" w14:textId="77777777" w:rsidR="00BC0FD7" w:rsidRPr="001D5327" w:rsidRDefault="00BC0FD7" w:rsidP="00D11AC9">
            <w:pPr>
              <w:pStyle w:val="TableText"/>
              <w:spacing w:before="40" w:after="40"/>
              <w:jc w:val="right"/>
            </w:pPr>
            <w:r w:rsidRPr="001D5327">
              <w:rPr>
                <w:rFonts w:eastAsia="Calibri" w:cs="Calibri"/>
                <w:color w:val="000000"/>
                <w:szCs w:val="16"/>
              </w:rPr>
              <w:t>1,650.5</w:t>
            </w:r>
          </w:p>
        </w:tc>
        <w:tc>
          <w:tcPr>
            <w:tcW w:w="0" w:type="auto"/>
            <w:shd w:val="clear" w:color="auto" w:fill="FFFFFF"/>
            <w:tcMar>
              <w:top w:w="0" w:type="dxa"/>
              <w:left w:w="85" w:type="dxa"/>
              <w:bottom w:w="0" w:type="dxa"/>
              <w:right w:w="85" w:type="dxa"/>
            </w:tcMar>
          </w:tcPr>
          <w:p w14:paraId="48A6DCD6" w14:textId="77777777" w:rsidR="00BC0FD7" w:rsidRPr="001D5327" w:rsidRDefault="00BC0FD7" w:rsidP="00D11AC9">
            <w:pPr>
              <w:pStyle w:val="TableText"/>
              <w:spacing w:before="40" w:after="40"/>
              <w:jc w:val="right"/>
            </w:pPr>
            <w:r w:rsidRPr="001D5327">
              <w:rPr>
                <w:rFonts w:eastAsia="Calibri" w:cs="Calibri"/>
                <w:color w:val="000000"/>
                <w:szCs w:val="16"/>
              </w:rPr>
              <w:t>1,218.5</w:t>
            </w:r>
          </w:p>
        </w:tc>
        <w:tc>
          <w:tcPr>
            <w:tcW w:w="0" w:type="auto"/>
            <w:shd w:val="clear" w:color="auto" w:fill="FFFFFF"/>
            <w:tcMar>
              <w:top w:w="0" w:type="dxa"/>
              <w:left w:w="85" w:type="dxa"/>
              <w:bottom w:w="0" w:type="dxa"/>
              <w:right w:w="85" w:type="dxa"/>
            </w:tcMar>
          </w:tcPr>
          <w:p w14:paraId="4472E4D8" w14:textId="77777777" w:rsidR="00BC0FD7" w:rsidRPr="001D5327" w:rsidRDefault="00BC0FD7" w:rsidP="00D11AC9">
            <w:pPr>
              <w:pStyle w:val="TableText"/>
              <w:spacing w:before="40" w:after="40"/>
              <w:jc w:val="right"/>
            </w:pPr>
            <w:r w:rsidRPr="001D5327">
              <w:rPr>
                <w:rFonts w:eastAsia="Calibri" w:cs="Calibri"/>
                <w:color w:val="000000"/>
                <w:szCs w:val="16"/>
              </w:rPr>
              <w:t>135.4</w:t>
            </w:r>
          </w:p>
        </w:tc>
        <w:tc>
          <w:tcPr>
            <w:tcW w:w="0" w:type="auto"/>
            <w:shd w:val="clear" w:color="auto" w:fill="FFFFFF"/>
            <w:tcMar>
              <w:top w:w="0" w:type="dxa"/>
              <w:left w:w="85" w:type="dxa"/>
              <w:bottom w:w="0" w:type="dxa"/>
              <w:right w:w="85" w:type="dxa"/>
            </w:tcMar>
          </w:tcPr>
          <w:p w14:paraId="06C209EA" w14:textId="77777777" w:rsidR="00BC0FD7" w:rsidRPr="001D5327" w:rsidRDefault="00BC0FD7" w:rsidP="00D11AC9">
            <w:pPr>
              <w:pStyle w:val="TableText"/>
              <w:spacing w:before="40" w:after="40"/>
              <w:jc w:val="right"/>
            </w:pPr>
            <w:r w:rsidRPr="001D5327">
              <w:rPr>
                <w:rFonts w:eastAsia="Calibri" w:cs="Calibri"/>
                <w:color w:val="000000"/>
                <w:szCs w:val="16"/>
              </w:rPr>
              <w:t>3,004.4</w:t>
            </w:r>
          </w:p>
        </w:tc>
      </w:tr>
      <w:tr w:rsidR="00BC0FD7" w:rsidRPr="001D5327" w14:paraId="37EC9F82" w14:textId="77777777" w:rsidTr="00D11AC9">
        <w:tc>
          <w:tcPr>
            <w:tcW w:w="0" w:type="auto"/>
            <w:shd w:val="clear" w:color="auto" w:fill="FFFFFF"/>
            <w:tcMar>
              <w:top w:w="0" w:type="dxa"/>
              <w:left w:w="85" w:type="dxa"/>
              <w:bottom w:w="0" w:type="dxa"/>
              <w:right w:w="85" w:type="dxa"/>
            </w:tcMar>
          </w:tcPr>
          <w:p w14:paraId="586A4D66"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1994</w:t>
            </w:r>
          </w:p>
        </w:tc>
        <w:tc>
          <w:tcPr>
            <w:tcW w:w="0" w:type="auto"/>
            <w:shd w:val="clear" w:color="auto" w:fill="FFFFFF"/>
            <w:tcMar>
              <w:top w:w="0" w:type="dxa"/>
              <w:left w:w="85" w:type="dxa"/>
              <w:bottom w:w="0" w:type="dxa"/>
              <w:right w:w="85" w:type="dxa"/>
            </w:tcMar>
          </w:tcPr>
          <w:p w14:paraId="01282AA9" w14:textId="77777777" w:rsidR="00BC0FD7" w:rsidRPr="001D5327" w:rsidRDefault="00BC0FD7" w:rsidP="00D11AC9">
            <w:pPr>
              <w:pStyle w:val="TableText"/>
              <w:spacing w:before="40" w:after="40"/>
              <w:jc w:val="right"/>
            </w:pPr>
            <w:r w:rsidRPr="001D5327">
              <w:rPr>
                <w:rFonts w:eastAsia="Calibri" w:cs="Calibri"/>
                <w:color w:val="000000"/>
                <w:szCs w:val="16"/>
              </w:rPr>
              <w:t>1,687.5</w:t>
            </w:r>
          </w:p>
        </w:tc>
        <w:tc>
          <w:tcPr>
            <w:tcW w:w="0" w:type="auto"/>
            <w:shd w:val="clear" w:color="auto" w:fill="FFFFFF"/>
            <w:tcMar>
              <w:top w:w="0" w:type="dxa"/>
              <w:left w:w="85" w:type="dxa"/>
              <w:bottom w:w="0" w:type="dxa"/>
              <w:right w:w="85" w:type="dxa"/>
            </w:tcMar>
          </w:tcPr>
          <w:p w14:paraId="7CF93862" w14:textId="77777777" w:rsidR="00BC0FD7" w:rsidRPr="001D5327" w:rsidRDefault="00BC0FD7" w:rsidP="00D11AC9">
            <w:pPr>
              <w:pStyle w:val="TableText"/>
              <w:spacing w:before="40" w:after="40"/>
              <w:jc w:val="right"/>
            </w:pPr>
            <w:r w:rsidRPr="001D5327">
              <w:rPr>
                <w:rFonts w:eastAsia="Calibri" w:cs="Calibri"/>
                <w:color w:val="000000"/>
                <w:szCs w:val="16"/>
              </w:rPr>
              <w:t>1,265.2</w:t>
            </w:r>
          </w:p>
        </w:tc>
        <w:tc>
          <w:tcPr>
            <w:tcW w:w="0" w:type="auto"/>
            <w:shd w:val="clear" w:color="auto" w:fill="FFFFFF"/>
            <w:tcMar>
              <w:top w:w="0" w:type="dxa"/>
              <w:left w:w="85" w:type="dxa"/>
              <w:bottom w:w="0" w:type="dxa"/>
              <w:right w:w="85" w:type="dxa"/>
            </w:tcMar>
          </w:tcPr>
          <w:p w14:paraId="7FF50122" w14:textId="77777777" w:rsidR="00BC0FD7" w:rsidRPr="001D5327" w:rsidRDefault="00BC0FD7" w:rsidP="00D11AC9">
            <w:pPr>
              <w:pStyle w:val="TableText"/>
              <w:spacing w:before="40" w:after="40"/>
              <w:jc w:val="right"/>
            </w:pPr>
            <w:r w:rsidRPr="001D5327">
              <w:rPr>
                <w:rFonts w:eastAsia="Calibri" w:cs="Calibri"/>
                <w:color w:val="000000"/>
                <w:szCs w:val="16"/>
              </w:rPr>
              <w:t>140.6</w:t>
            </w:r>
          </w:p>
        </w:tc>
        <w:tc>
          <w:tcPr>
            <w:tcW w:w="0" w:type="auto"/>
            <w:shd w:val="clear" w:color="auto" w:fill="FFFFFF"/>
            <w:tcMar>
              <w:top w:w="0" w:type="dxa"/>
              <w:left w:w="85" w:type="dxa"/>
              <w:bottom w:w="0" w:type="dxa"/>
              <w:right w:w="85" w:type="dxa"/>
            </w:tcMar>
          </w:tcPr>
          <w:p w14:paraId="7539728E" w14:textId="77777777" w:rsidR="00BC0FD7" w:rsidRPr="001D5327" w:rsidRDefault="00BC0FD7" w:rsidP="00D11AC9">
            <w:pPr>
              <w:pStyle w:val="TableText"/>
              <w:spacing w:before="40" w:after="40"/>
              <w:jc w:val="right"/>
            </w:pPr>
            <w:r w:rsidRPr="001D5327">
              <w:rPr>
                <w:rFonts w:eastAsia="Calibri" w:cs="Calibri"/>
                <w:color w:val="000000"/>
                <w:szCs w:val="16"/>
              </w:rPr>
              <w:t>3,093.2</w:t>
            </w:r>
          </w:p>
        </w:tc>
      </w:tr>
      <w:tr w:rsidR="00BC0FD7" w:rsidRPr="001D5327" w14:paraId="2F3C0C15" w14:textId="77777777" w:rsidTr="00D11AC9">
        <w:tc>
          <w:tcPr>
            <w:tcW w:w="0" w:type="auto"/>
            <w:shd w:val="clear" w:color="auto" w:fill="FFFFFF"/>
            <w:tcMar>
              <w:top w:w="0" w:type="dxa"/>
              <w:left w:w="85" w:type="dxa"/>
              <w:bottom w:w="0" w:type="dxa"/>
              <w:right w:w="85" w:type="dxa"/>
            </w:tcMar>
          </w:tcPr>
          <w:p w14:paraId="0BB003B0"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1995</w:t>
            </w:r>
          </w:p>
        </w:tc>
        <w:tc>
          <w:tcPr>
            <w:tcW w:w="0" w:type="auto"/>
            <w:shd w:val="clear" w:color="auto" w:fill="FFFFFF"/>
            <w:tcMar>
              <w:top w:w="0" w:type="dxa"/>
              <w:left w:w="85" w:type="dxa"/>
              <w:bottom w:w="0" w:type="dxa"/>
              <w:right w:w="85" w:type="dxa"/>
            </w:tcMar>
          </w:tcPr>
          <w:p w14:paraId="7A8A3905" w14:textId="77777777" w:rsidR="00BC0FD7" w:rsidRPr="001D5327" w:rsidRDefault="00BC0FD7" w:rsidP="00D11AC9">
            <w:pPr>
              <w:pStyle w:val="TableText"/>
              <w:spacing w:before="40" w:after="40"/>
              <w:jc w:val="right"/>
            </w:pPr>
            <w:r w:rsidRPr="001D5327">
              <w:rPr>
                <w:rFonts w:eastAsia="Calibri" w:cs="Calibri"/>
                <w:color w:val="000000"/>
                <w:szCs w:val="16"/>
              </w:rPr>
              <w:t>1,687.5</w:t>
            </w:r>
          </w:p>
        </w:tc>
        <w:tc>
          <w:tcPr>
            <w:tcW w:w="0" w:type="auto"/>
            <w:shd w:val="clear" w:color="auto" w:fill="FFFFFF"/>
            <w:tcMar>
              <w:top w:w="0" w:type="dxa"/>
              <w:left w:w="85" w:type="dxa"/>
              <w:bottom w:w="0" w:type="dxa"/>
              <w:right w:w="85" w:type="dxa"/>
            </w:tcMar>
          </w:tcPr>
          <w:p w14:paraId="23BA7CF7" w14:textId="77777777" w:rsidR="00BC0FD7" w:rsidRPr="001D5327" w:rsidRDefault="00BC0FD7" w:rsidP="00D11AC9">
            <w:pPr>
              <w:pStyle w:val="TableText"/>
              <w:spacing w:before="40" w:after="40"/>
              <w:jc w:val="right"/>
            </w:pPr>
            <w:r w:rsidRPr="001D5327">
              <w:rPr>
                <w:rFonts w:eastAsia="Calibri" w:cs="Calibri"/>
                <w:color w:val="000000"/>
                <w:szCs w:val="16"/>
              </w:rPr>
              <w:t>1,345.2</w:t>
            </w:r>
          </w:p>
        </w:tc>
        <w:tc>
          <w:tcPr>
            <w:tcW w:w="0" w:type="auto"/>
            <w:shd w:val="clear" w:color="auto" w:fill="FFFFFF"/>
            <w:tcMar>
              <w:top w:w="0" w:type="dxa"/>
              <w:left w:w="85" w:type="dxa"/>
              <w:bottom w:w="0" w:type="dxa"/>
              <w:right w:w="85" w:type="dxa"/>
            </w:tcMar>
          </w:tcPr>
          <w:p w14:paraId="4458C4DB" w14:textId="77777777" w:rsidR="00BC0FD7" w:rsidRPr="001D5327" w:rsidRDefault="00BC0FD7" w:rsidP="00D11AC9">
            <w:pPr>
              <w:pStyle w:val="TableText"/>
              <w:spacing w:before="40" w:after="40"/>
              <w:jc w:val="right"/>
            </w:pPr>
            <w:r w:rsidRPr="001D5327">
              <w:rPr>
                <w:rFonts w:eastAsia="Calibri" w:cs="Calibri"/>
                <w:color w:val="000000"/>
                <w:szCs w:val="16"/>
              </w:rPr>
              <w:t>149.5</w:t>
            </w:r>
          </w:p>
        </w:tc>
        <w:tc>
          <w:tcPr>
            <w:tcW w:w="0" w:type="auto"/>
            <w:shd w:val="clear" w:color="auto" w:fill="FFFFFF"/>
            <w:tcMar>
              <w:top w:w="0" w:type="dxa"/>
              <w:left w:w="85" w:type="dxa"/>
              <w:bottom w:w="0" w:type="dxa"/>
              <w:right w:w="85" w:type="dxa"/>
            </w:tcMar>
          </w:tcPr>
          <w:p w14:paraId="1C84D715" w14:textId="77777777" w:rsidR="00BC0FD7" w:rsidRPr="001D5327" w:rsidRDefault="00BC0FD7" w:rsidP="00D11AC9">
            <w:pPr>
              <w:pStyle w:val="TableText"/>
              <w:spacing w:before="40" w:after="40"/>
              <w:jc w:val="right"/>
            </w:pPr>
            <w:r w:rsidRPr="001D5327">
              <w:rPr>
                <w:rFonts w:eastAsia="Calibri" w:cs="Calibri"/>
                <w:color w:val="000000"/>
                <w:szCs w:val="16"/>
              </w:rPr>
              <w:t>3,182.1</w:t>
            </w:r>
          </w:p>
        </w:tc>
      </w:tr>
      <w:tr w:rsidR="00BC0FD7" w:rsidRPr="001D5327" w14:paraId="2EFB004F" w14:textId="77777777" w:rsidTr="00D11AC9">
        <w:tc>
          <w:tcPr>
            <w:tcW w:w="0" w:type="auto"/>
            <w:shd w:val="clear" w:color="auto" w:fill="FFFFFF"/>
            <w:tcMar>
              <w:top w:w="0" w:type="dxa"/>
              <w:left w:w="85" w:type="dxa"/>
              <w:bottom w:w="0" w:type="dxa"/>
              <w:right w:w="85" w:type="dxa"/>
            </w:tcMar>
          </w:tcPr>
          <w:p w14:paraId="2DA85819"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1996</w:t>
            </w:r>
          </w:p>
        </w:tc>
        <w:tc>
          <w:tcPr>
            <w:tcW w:w="0" w:type="auto"/>
            <w:shd w:val="clear" w:color="auto" w:fill="FFFFFF"/>
            <w:tcMar>
              <w:top w:w="0" w:type="dxa"/>
              <w:left w:w="85" w:type="dxa"/>
              <w:bottom w:w="0" w:type="dxa"/>
              <w:right w:w="85" w:type="dxa"/>
            </w:tcMar>
          </w:tcPr>
          <w:p w14:paraId="2E488216" w14:textId="77777777" w:rsidR="00BC0FD7" w:rsidRPr="001D5327" w:rsidRDefault="00BC0FD7" w:rsidP="00D11AC9">
            <w:pPr>
              <w:pStyle w:val="TableText"/>
              <w:spacing w:before="40" w:after="40"/>
              <w:jc w:val="right"/>
            </w:pPr>
            <w:r w:rsidRPr="001D5327">
              <w:rPr>
                <w:rFonts w:eastAsia="Calibri" w:cs="Calibri"/>
                <w:color w:val="000000"/>
                <w:szCs w:val="16"/>
              </w:rPr>
              <w:t>1,735.0</w:t>
            </w:r>
          </w:p>
        </w:tc>
        <w:tc>
          <w:tcPr>
            <w:tcW w:w="0" w:type="auto"/>
            <w:shd w:val="clear" w:color="auto" w:fill="FFFFFF"/>
            <w:tcMar>
              <w:top w:w="0" w:type="dxa"/>
              <w:left w:w="85" w:type="dxa"/>
              <w:bottom w:w="0" w:type="dxa"/>
              <w:right w:w="85" w:type="dxa"/>
            </w:tcMar>
          </w:tcPr>
          <w:p w14:paraId="2EB35904" w14:textId="77777777" w:rsidR="00BC0FD7" w:rsidRPr="001D5327" w:rsidRDefault="00BC0FD7" w:rsidP="00D11AC9">
            <w:pPr>
              <w:pStyle w:val="TableText"/>
              <w:spacing w:before="40" w:after="40"/>
              <w:jc w:val="right"/>
            </w:pPr>
            <w:r w:rsidRPr="001D5327">
              <w:rPr>
                <w:rFonts w:eastAsia="Calibri" w:cs="Calibri"/>
                <w:color w:val="000000"/>
                <w:szCs w:val="16"/>
              </w:rPr>
              <w:t>1,186.0</w:t>
            </w:r>
          </w:p>
        </w:tc>
        <w:tc>
          <w:tcPr>
            <w:tcW w:w="0" w:type="auto"/>
            <w:shd w:val="clear" w:color="auto" w:fill="FFFFFF"/>
            <w:tcMar>
              <w:top w:w="0" w:type="dxa"/>
              <w:left w:w="85" w:type="dxa"/>
              <w:bottom w:w="0" w:type="dxa"/>
              <w:right w:w="85" w:type="dxa"/>
            </w:tcMar>
          </w:tcPr>
          <w:p w14:paraId="316AABD2" w14:textId="77777777" w:rsidR="00BC0FD7" w:rsidRPr="001D5327" w:rsidRDefault="00BC0FD7" w:rsidP="00D11AC9">
            <w:pPr>
              <w:pStyle w:val="TableText"/>
              <w:spacing w:before="40" w:after="40"/>
              <w:jc w:val="right"/>
            </w:pPr>
            <w:r w:rsidRPr="001D5327">
              <w:rPr>
                <w:rFonts w:eastAsia="Calibri" w:cs="Calibri"/>
                <w:color w:val="000000"/>
                <w:szCs w:val="16"/>
              </w:rPr>
              <w:t>122.1</w:t>
            </w:r>
          </w:p>
        </w:tc>
        <w:tc>
          <w:tcPr>
            <w:tcW w:w="0" w:type="auto"/>
            <w:shd w:val="clear" w:color="auto" w:fill="FFFFFF"/>
            <w:tcMar>
              <w:top w:w="0" w:type="dxa"/>
              <w:left w:w="85" w:type="dxa"/>
              <w:bottom w:w="0" w:type="dxa"/>
              <w:right w:w="85" w:type="dxa"/>
            </w:tcMar>
          </w:tcPr>
          <w:p w14:paraId="644E680F" w14:textId="77777777" w:rsidR="00BC0FD7" w:rsidRPr="001D5327" w:rsidRDefault="00BC0FD7" w:rsidP="00D11AC9">
            <w:pPr>
              <w:pStyle w:val="TableText"/>
              <w:spacing w:before="40" w:after="40"/>
              <w:jc w:val="right"/>
            </w:pPr>
            <w:r w:rsidRPr="001D5327">
              <w:rPr>
                <w:rFonts w:eastAsia="Calibri" w:cs="Calibri"/>
                <w:color w:val="000000"/>
                <w:szCs w:val="16"/>
              </w:rPr>
              <w:t>3,043.1</w:t>
            </w:r>
          </w:p>
        </w:tc>
      </w:tr>
      <w:tr w:rsidR="00BC0FD7" w:rsidRPr="001D5327" w14:paraId="2BAC389F" w14:textId="77777777" w:rsidTr="00D11AC9">
        <w:tc>
          <w:tcPr>
            <w:tcW w:w="0" w:type="auto"/>
            <w:shd w:val="clear" w:color="auto" w:fill="FFFFFF"/>
            <w:tcMar>
              <w:top w:w="0" w:type="dxa"/>
              <w:left w:w="85" w:type="dxa"/>
              <w:bottom w:w="0" w:type="dxa"/>
              <w:right w:w="85" w:type="dxa"/>
            </w:tcMar>
          </w:tcPr>
          <w:p w14:paraId="6E47B003"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1997</w:t>
            </w:r>
          </w:p>
        </w:tc>
        <w:tc>
          <w:tcPr>
            <w:tcW w:w="0" w:type="auto"/>
            <w:shd w:val="clear" w:color="auto" w:fill="FFFFFF"/>
            <w:tcMar>
              <w:top w:w="0" w:type="dxa"/>
              <w:left w:w="85" w:type="dxa"/>
              <w:bottom w:w="0" w:type="dxa"/>
              <w:right w:w="85" w:type="dxa"/>
            </w:tcMar>
          </w:tcPr>
          <w:p w14:paraId="4F3850B6" w14:textId="77777777" w:rsidR="00BC0FD7" w:rsidRPr="001D5327" w:rsidRDefault="00BC0FD7" w:rsidP="00D11AC9">
            <w:pPr>
              <w:pStyle w:val="TableText"/>
              <w:spacing w:before="40" w:after="40"/>
              <w:jc w:val="right"/>
            </w:pPr>
            <w:r w:rsidRPr="001D5327">
              <w:rPr>
                <w:rFonts w:eastAsia="Calibri" w:cs="Calibri"/>
                <w:color w:val="000000"/>
                <w:szCs w:val="16"/>
              </w:rPr>
              <w:t>1,671.2</w:t>
            </w:r>
          </w:p>
        </w:tc>
        <w:tc>
          <w:tcPr>
            <w:tcW w:w="0" w:type="auto"/>
            <w:shd w:val="clear" w:color="auto" w:fill="FFFFFF"/>
            <w:tcMar>
              <w:top w:w="0" w:type="dxa"/>
              <w:left w:w="85" w:type="dxa"/>
              <w:bottom w:w="0" w:type="dxa"/>
              <w:right w:w="85" w:type="dxa"/>
            </w:tcMar>
          </w:tcPr>
          <w:p w14:paraId="3E7D2611" w14:textId="77777777" w:rsidR="00BC0FD7" w:rsidRPr="001D5327" w:rsidRDefault="00BC0FD7" w:rsidP="00D11AC9">
            <w:pPr>
              <w:pStyle w:val="TableText"/>
              <w:spacing w:before="40" w:after="40"/>
              <w:jc w:val="right"/>
            </w:pPr>
            <w:r w:rsidRPr="001D5327">
              <w:rPr>
                <w:rFonts w:eastAsia="Calibri" w:cs="Calibri"/>
                <w:color w:val="000000"/>
                <w:szCs w:val="16"/>
              </w:rPr>
              <w:t>1,126.0</w:t>
            </w:r>
          </w:p>
        </w:tc>
        <w:tc>
          <w:tcPr>
            <w:tcW w:w="0" w:type="auto"/>
            <w:shd w:val="clear" w:color="auto" w:fill="FFFFFF"/>
            <w:tcMar>
              <w:top w:w="0" w:type="dxa"/>
              <w:left w:w="85" w:type="dxa"/>
              <w:bottom w:w="0" w:type="dxa"/>
              <w:right w:w="85" w:type="dxa"/>
            </w:tcMar>
          </w:tcPr>
          <w:p w14:paraId="622A2CBF" w14:textId="77777777" w:rsidR="00BC0FD7" w:rsidRPr="001D5327" w:rsidRDefault="00BC0FD7" w:rsidP="00D11AC9">
            <w:pPr>
              <w:pStyle w:val="TableText"/>
              <w:spacing w:before="40" w:after="40"/>
              <w:jc w:val="right"/>
            </w:pPr>
            <w:r w:rsidRPr="001D5327">
              <w:rPr>
                <w:rFonts w:eastAsia="Calibri" w:cs="Calibri"/>
                <w:color w:val="000000"/>
                <w:szCs w:val="16"/>
              </w:rPr>
              <w:t>106.8</w:t>
            </w:r>
          </w:p>
        </w:tc>
        <w:tc>
          <w:tcPr>
            <w:tcW w:w="0" w:type="auto"/>
            <w:shd w:val="clear" w:color="auto" w:fill="FFFFFF"/>
            <w:tcMar>
              <w:top w:w="0" w:type="dxa"/>
              <w:left w:w="85" w:type="dxa"/>
              <w:bottom w:w="0" w:type="dxa"/>
              <w:right w:w="85" w:type="dxa"/>
            </w:tcMar>
          </w:tcPr>
          <w:p w14:paraId="07037BAC" w14:textId="77777777" w:rsidR="00BC0FD7" w:rsidRPr="001D5327" w:rsidRDefault="00BC0FD7" w:rsidP="00D11AC9">
            <w:pPr>
              <w:pStyle w:val="TableText"/>
              <w:spacing w:before="40" w:after="40"/>
              <w:jc w:val="right"/>
            </w:pPr>
            <w:r w:rsidRPr="001D5327">
              <w:rPr>
                <w:rFonts w:eastAsia="Calibri" w:cs="Calibri"/>
                <w:color w:val="000000"/>
                <w:szCs w:val="16"/>
              </w:rPr>
              <w:t>2,904.1</w:t>
            </w:r>
          </w:p>
        </w:tc>
      </w:tr>
      <w:tr w:rsidR="00BC0FD7" w:rsidRPr="001D5327" w14:paraId="1CA9C88E" w14:textId="77777777" w:rsidTr="00D11AC9">
        <w:tc>
          <w:tcPr>
            <w:tcW w:w="0" w:type="auto"/>
            <w:shd w:val="clear" w:color="auto" w:fill="FFFFFF"/>
            <w:tcMar>
              <w:top w:w="0" w:type="dxa"/>
              <w:left w:w="85" w:type="dxa"/>
              <w:bottom w:w="0" w:type="dxa"/>
              <w:right w:w="85" w:type="dxa"/>
            </w:tcMar>
          </w:tcPr>
          <w:p w14:paraId="0904FC03"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1998</w:t>
            </w:r>
          </w:p>
        </w:tc>
        <w:tc>
          <w:tcPr>
            <w:tcW w:w="0" w:type="auto"/>
            <w:shd w:val="clear" w:color="auto" w:fill="FFFFFF"/>
            <w:tcMar>
              <w:top w:w="0" w:type="dxa"/>
              <w:left w:w="85" w:type="dxa"/>
              <w:bottom w:w="0" w:type="dxa"/>
              <w:right w:w="85" w:type="dxa"/>
            </w:tcMar>
          </w:tcPr>
          <w:p w14:paraId="1F44C72C" w14:textId="77777777" w:rsidR="00BC0FD7" w:rsidRPr="001D5327" w:rsidRDefault="00BC0FD7" w:rsidP="00D11AC9">
            <w:pPr>
              <w:pStyle w:val="TableText"/>
              <w:spacing w:before="40" w:after="40"/>
              <w:jc w:val="right"/>
            </w:pPr>
            <w:r w:rsidRPr="001D5327">
              <w:rPr>
                <w:rFonts w:eastAsia="Calibri" w:cs="Calibri"/>
                <w:color w:val="000000"/>
                <w:szCs w:val="16"/>
              </w:rPr>
              <w:t>1,605.0</w:t>
            </w:r>
          </w:p>
        </w:tc>
        <w:tc>
          <w:tcPr>
            <w:tcW w:w="0" w:type="auto"/>
            <w:shd w:val="clear" w:color="auto" w:fill="FFFFFF"/>
            <w:tcMar>
              <w:top w:w="0" w:type="dxa"/>
              <w:left w:w="85" w:type="dxa"/>
              <w:bottom w:w="0" w:type="dxa"/>
              <w:right w:w="85" w:type="dxa"/>
            </w:tcMar>
          </w:tcPr>
          <w:p w14:paraId="2C99B2C9" w14:textId="77777777" w:rsidR="00BC0FD7" w:rsidRPr="001D5327" w:rsidRDefault="00BC0FD7" w:rsidP="00D11AC9">
            <w:pPr>
              <w:pStyle w:val="TableText"/>
              <w:spacing w:before="40" w:after="40"/>
              <w:jc w:val="right"/>
            </w:pPr>
            <w:r w:rsidRPr="001D5327">
              <w:rPr>
                <w:rFonts w:eastAsia="Calibri" w:cs="Calibri"/>
                <w:color w:val="000000"/>
                <w:szCs w:val="16"/>
              </w:rPr>
              <w:t>1,067.2</w:t>
            </w:r>
          </w:p>
        </w:tc>
        <w:tc>
          <w:tcPr>
            <w:tcW w:w="0" w:type="auto"/>
            <w:shd w:val="clear" w:color="auto" w:fill="FFFFFF"/>
            <w:tcMar>
              <w:top w:w="0" w:type="dxa"/>
              <w:left w:w="85" w:type="dxa"/>
              <w:bottom w:w="0" w:type="dxa"/>
              <w:right w:w="85" w:type="dxa"/>
            </w:tcMar>
          </w:tcPr>
          <w:p w14:paraId="1F6C8DA8" w14:textId="77777777" w:rsidR="00BC0FD7" w:rsidRPr="001D5327" w:rsidRDefault="00BC0FD7" w:rsidP="00D11AC9">
            <w:pPr>
              <w:pStyle w:val="TableText"/>
              <w:spacing w:before="40" w:after="40"/>
              <w:jc w:val="right"/>
            </w:pPr>
            <w:r w:rsidRPr="001D5327">
              <w:rPr>
                <w:rFonts w:eastAsia="Calibri" w:cs="Calibri"/>
                <w:color w:val="000000"/>
                <w:szCs w:val="16"/>
              </w:rPr>
              <w:t>92.8</w:t>
            </w:r>
          </w:p>
        </w:tc>
        <w:tc>
          <w:tcPr>
            <w:tcW w:w="0" w:type="auto"/>
            <w:shd w:val="clear" w:color="auto" w:fill="FFFFFF"/>
            <w:tcMar>
              <w:top w:w="0" w:type="dxa"/>
              <w:left w:w="85" w:type="dxa"/>
              <w:bottom w:w="0" w:type="dxa"/>
              <w:right w:w="85" w:type="dxa"/>
            </w:tcMar>
          </w:tcPr>
          <w:p w14:paraId="22832832" w14:textId="77777777" w:rsidR="00BC0FD7" w:rsidRPr="001D5327" w:rsidRDefault="00BC0FD7" w:rsidP="00D11AC9">
            <w:pPr>
              <w:pStyle w:val="TableText"/>
              <w:spacing w:before="40" w:after="40"/>
              <w:jc w:val="right"/>
            </w:pPr>
            <w:r w:rsidRPr="001D5327">
              <w:rPr>
                <w:rFonts w:eastAsia="Calibri" w:cs="Calibri"/>
                <w:color w:val="000000"/>
                <w:szCs w:val="16"/>
              </w:rPr>
              <w:t>2,765.0</w:t>
            </w:r>
          </w:p>
        </w:tc>
      </w:tr>
      <w:tr w:rsidR="00BC0FD7" w:rsidRPr="001D5327" w14:paraId="2E90C800" w14:textId="77777777" w:rsidTr="00D11AC9">
        <w:tc>
          <w:tcPr>
            <w:tcW w:w="0" w:type="auto"/>
            <w:shd w:val="clear" w:color="auto" w:fill="FFFFFF"/>
            <w:tcMar>
              <w:top w:w="0" w:type="dxa"/>
              <w:left w:w="85" w:type="dxa"/>
              <w:bottom w:w="0" w:type="dxa"/>
              <w:right w:w="85" w:type="dxa"/>
            </w:tcMar>
          </w:tcPr>
          <w:p w14:paraId="387FA084"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1999</w:t>
            </w:r>
          </w:p>
        </w:tc>
        <w:tc>
          <w:tcPr>
            <w:tcW w:w="0" w:type="auto"/>
            <w:shd w:val="clear" w:color="auto" w:fill="FFFFFF"/>
            <w:tcMar>
              <w:top w:w="0" w:type="dxa"/>
              <w:left w:w="85" w:type="dxa"/>
              <w:bottom w:w="0" w:type="dxa"/>
              <w:right w:w="85" w:type="dxa"/>
            </w:tcMar>
          </w:tcPr>
          <w:p w14:paraId="133DB2E2" w14:textId="77777777" w:rsidR="00BC0FD7" w:rsidRPr="001D5327" w:rsidRDefault="00BC0FD7" w:rsidP="00D11AC9">
            <w:pPr>
              <w:pStyle w:val="TableText"/>
              <w:spacing w:before="40" w:after="40"/>
              <w:jc w:val="right"/>
            </w:pPr>
            <w:r w:rsidRPr="001D5327">
              <w:rPr>
                <w:rFonts w:eastAsia="Calibri" w:cs="Calibri"/>
                <w:color w:val="000000"/>
                <w:szCs w:val="16"/>
              </w:rPr>
              <w:t>1,605.0</w:t>
            </w:r>
          </w:p>
        </w:tc>
        <w:tc>
          <w:tcPr>
            <w:tcW w:w="0" w:type="auto"/>
            <w:shd w:val="clear" w:color="auto" w:fill="FFFFFF"/>
            <w:tcMar>
              <w:top w:w="0" w:type="dxa"/>
              <w:left w:w="85" w:type="dxa"/>
              <w:bottom w:w="0" w:type="dxa"/>
              <w:right w:w="85" w:type="dxa"/>
            </w:tcMar>
          </w:tcPr>
          <w:p w14:paraId="41045427" w14:textId="77777777" w:rsidR="00BC0FD7" w:rsidRPr="001D5327" w:rsidRDefault="00BC0FD7" w:rsidP="00D11AC9">
            <w:pPr>
              <w:pStyle w:val="TableText"/>
              <w:spacing w:before="40" w:after="40"/>
              <w:jc w:val="right"/>
            </w:pPr>
            <w:r w:rsidRPr="001D5327">
              <w:rPr>
                <w:rFonts w:eastAsia="Calibri" w:cs="Calibri"/>
                <w:color w:val="000000"/>
                <w:szCs w:val="16"/>
              </w:rPr>
              <w:t>1,134.5</w:t>
            </w:r>
          </w:p>
        </w:tc>
        <w:tc>
          <w:tcPr>
            <w:tcW w:w="0" w:type="auto"/>
            <w:shd w:val="clear" w:color="auto" w:fill="FFFFFF"/>
            <w:tcMar>
              <w:top w:w="0" w:type="dxa"/>
              <w:left w:w="85" w:type="dxa"/>
              <w:bottom w:w="0" w:type="dxa"/>
              <w:right w:w="85" w:type="dxa"/>
            </w:tcMar>
          </w:tcPr>
          <w:p w14:paraId="5E1D4404" w14:textId="77777777" w:rsidR="00BC0FD7" w:rsidRPr="001D5327" w:rsidRDefault="00BC0FD7" w:rsidP="00D11AC9">
            <w:pPr>
              <w:pStyle w:val="TableText"/>
              <w:spacing w:before="40" w:after="40"/>
              <w:jc w:val="right"/>
            </w:pPr>
            <w:r w:rsidRPr="001D5327">
              <w:rPr>
                <w:rFonts w:eastAsia="Calibri" w:cs="Calibri"/>
                <w:color w:val="000000"/>
                <w:szCs w:val="16"/>
              </w:rPr>
              <w:t>89.8</w:t>
            </w:r>
          </w:p>
        </w:tc>
        <w:tc>
          <w:tcPr>
            <w:tcW w:w="0" w:type="auto"/>
            <w:shd w:val="clear" w:color="auto" w:fill="FFFFFF"/>
            <w:tcMar>
              <w:top w:w="0" w:type="dxa"/>
              <w:left w:w="85" w:type="dxa"/>
              <w:bottom w:w="0" w:type="dxa"/>
              <w:right w:w="85" w:type="dxa"/>
            </w:tcMar>
          </w:tcPr>
          <w:p w14:paraId="23C74437" w14:textId="77777777" w:rsidR="00BC0FD7" w:rsidRPr="001D5327" w:rsidRDefault="00BC0FD7" w:rsidP="00D11AC9">
            <w:pPr>
              <w:pStyle w:val="TableText"/>
              <w:spacing w:before="40" w:after="40"/>
              <w:jc w:val="right"/>
            </w:pPr>
            <w:r w:rsidRPr="001D5327">
              <w:rPr>
                <w:rFonts w:eastAsia="Calibri" w:cs="Calibri"/>
                <w:color w:val="000000"/>
                <w:szCs w:val="16"/>
              </w:rPr>
              <w:t>2,829.3</w:t>
            </w:r>
          </w:p>
        </w:tc>
      </w:tr>
      <w:tr w:rsidR="00BC0FD7" w:rsidRPr="001D5327" w14:paraId="52FA444F" w14:textId="77777777" w:rsidTr="00D11AC9">
        <w:tc>
          <w:tcPr>
            <w:tcW w:w="0" w:type="auto"/>
            <w:shd w:val="clear" w:color="auto" w:fill="FFFFFF"/>
            <w:tcMar>
              <w:top w:w="0" w:type="dxa"/>
              <w:left w:w="85" w:type="dxa"/>
              <w:bottom w:w="0" w:type="dxa"/>
              <w:right w:w="85" w:type="dxa"/>
            </w:tcMar>
          </w:tcPr>
          <w:p w14:paraId="03556F90"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2000</w:t>
            </w:r>
          </w:p>
        </w:tc>
        <w:tc>
          <w:tcPr>
            <w:tcW w:w="0" w:type="auto"/>
            <w:shd w:val="clear" w:color="auto" w:fill="FFFFFF"/>
            <w:tcMar>
              <w:top w:w="0" w:type="dxa"/>
              <w:left w:w="85" w:type="dxa"/>
              <w:bottom w:w="0" w:type="dxa"/>
              <w:right w:w="85" w:type="dxa"/>
            </w:tcMar>
          </w:tcPr>
          <w:p w14:paraId="7FA58654" w14:textId="77777777" w:rsidR="00BC0FD7" w:rsidRPr="001D5327" w:rsidRDefault="00BC0FD7" w:rsidP="00D11AC9">
            <w:pPr>
              <w:pStyle w:val="TableText"/>
              <w:spacing w:before="40" w:after="40"/>
              <w:jc w:val="right"/>
            </w:pPr>
            <w:r w:rsidRPr="001D5327">
              <w:rPr>
                <w:rFonts w:eastAsia="Calibri" w:cs="Calibri"/>
                <w:color w:val="000000"/>
                <w:szCs w:val="16"/>
              </w:rPr>
              <w:t>1,605.0</w:t>
            </w:r>
          </w:p>
        </w:tc>
        <w:tc>
          <w:tcPr>
            <w:tcW w:w="0" w:type="auto"/>
            <w:shd w:val="clear" w:color="auto" w:fill="FFFFFF"/>
            <w:tcMar>
              <w:top w:w="0" w:type="dxa"/>
              <w:left w:w="85" w:type="dxa"/>
              <w:bottom w:w="0" w:type="dxa"/>
              <w:right w:w="85" w:type="dxa"/>
            </w:tcMar>
          </w:tcPr>
          <w:p w14:paraId="0C1F4C5E" w14:textId="77777777" w:rsidR="00BC0FD7" w:rsidRPr="001D5327" w:rsidRDefault="00BC0FD7" w:rsidP="00D11AC9">
            <w:pPr>
              <w:pStyle w:val="TableText"/>
              <w:spacing w:before="40" w:after="40"/>
              <w:jc w:val="right"/>
            </w:pPr>
            <w:r w:rsidRPr="001D5327">
              <w:rPr>
                <w:rFonts w:eastAsia="Calibri" w:cs="Calibri"/>
                <w:color w:val="000000"/>
                <w:szCs w:val="16"/>
              </w:rPr>
              <w:t>1,202.6</w:t>
            </w:r>
          </w:p>
        </w:tc>
        <w:tc>
          <w:tcPr>
            <w:tcW w:w="0" w:type="auto"/>
            <w:shd w:val="clear" w:color="auto" w:fill="FFFFFF"/>
            <w:tcMar>
              <w:top w:w="0" w:type="dxa"/>
              <w:left w:w="85" w:type="dxa"/>
              <w:bottom w:w="0" w:type="dxa"/>
              <w:right w:w="85" w:type="dxa"/>
            </w:tcMar>
          </w:tcPr>
          <w:p w14:paraId="27C16254" w14:textId="77777777" w:rsidR="00BC0FD7" w:rsidRPr="001D5327" w:rsidRDefault="00BC0FD7" w:rsidP="00D11AC9">
            <w:pPr>
              <w:pStyle w:val="TableText"/>
              <w:spacing w:before="40" w:after="40"/>
              <w:jc w:val="right"/>
            </w:pPr>
            <w:r w:rsidRPr="001D5327">
              <w:rPr>
                <w:rFonts w:eastAsia="Calibri" w:cs="Calibri"/>
                <w:color w:val="000000"/>
                <w:szCs w:val="16"/>
              </w:rPr>
              <w:t>85.9</w:t>
            </w:r>
          </w:p>
        </w:tc>
        <w:tc>
          <w:tcPr>
            <w:tcW w:w="0" w:type="auto"/>
            <w:shd w:val="clear" w:color="auto" w:fill="FFFFFF"/>
            <w:tcMar>
              <w:top w:w="0" w:type="dxa"/>
              <w:left w:w="85" w:type="dxa"/>
              <w:bottom w:w="0" w:type="dxa"/>
              <w:right w:w="85" w:type="dxa"/>
            </w:tcMar>
          </w:tcPr>
          <w:p w14:paraId="40E6027D" w14:textId="77777777" w:rsidR="00BC0FD7" w:rsidRPr="001D5327" w:rsidRDefault="00BC0FD7" w:rsidP="00D11AC9">
            <w:pPr>
              <w:pStyle w:val="TableText"/>
              <w:spacing w:before="40" w:after="40"/>
              <w:jc w:val="right"/>
            </w:pPr>
            <w:r w:rsidRPr="001D5327">
              <w:rPr>
                <w:rFonts w:eastAsia="Calibri" w:cs="Calibri"/>
                <w:color w:val="000000"/>
                <w:szCs w:val="16"/>
              </w:rPr>
              <w:t>2,893.5</w:t>
            </w:r>
          </w:p>
        </w:tc>
      </w:tr>
      <w:tr w:rsidR="00BC0FD7" w:rsidRPr="001D5327" w14:paraId="21160ED1" w14:textId="77777777" w:rsidTr="00D11AC9">
        <w:tc>
          <w:tcPr>
            <w:tcW w:w="0" w:type="auto"/>
            <w:shd w:val="clear" w:color="auto" w:fill="FFFFFF"/>
            <w:tcMar>
              <w:top w:w="0" w:type="dxa"/>
              <w:left w:w="85" w:type="dxa"/>
              <w:bottom w:w="0" w:type="dxa"/>
              <w:right w:w="85" w:type="dxa"/>
            </w:tcMar>
          </w:tcPr>
          <w:p w14:paraId="661B6ECD"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2001</w:t>
            </w:r>
          </w:p>
        </w:tc>
        <w:tc>
          <w:tcPr>
            <w:tcW w:w="0" w:type="auto"/>
            <w:shd w:val="clear" w:color="auto" w:fill="FFFFFF"/>
            <w:tcMar>
              <w:top w:w="0" w:type="dxa"/>
              <w:left w:w="85" w:type="dxa"/>
              <w:bottom w:w="0" w:type="dxa"/>
              <w:right w:w="85" w:type="dxa"/>
            </w:tcMar>
          </w:tcPr>
          <w:p w14:paraId="4576A216" w14:textId="77777777" w:rsidR="00BC0FD7" w:rsidRPr="001D5327" w:rsidRDefault="00BC0FD7" w:rsidP="00D11AC9">
            <w:pPr>
              <w:pStyle w:val="TableText"/>
              <w:spacing w:before="40" w:after="40"/>
              <w:jc w:val="right"/>
            </w:pPr>
            <w:r w:rsidRPr="001D5327">
              <w:rPr>
                <w:rFonts w:eastAsia="Calibri" w:cs="Calibri"/>
                <w:color w:val="000000"/>
                <w:szCs w:val="16"/>
              </w:rPr>
              <w:t>1,748.3</w:t>
            </w:r>
          </w:p>
        </w:tc>
        <w:tc>
          <w:tcPr>
            <w:tcW w:w="0" w:type="auto"/>
            <w:shd w:val="clear" w:color="auto" w:fill="FFFFFF"/>
            <w:tcMar>
              <w:top w:w="0" w:type="dxa"/>
              <w:left w:w="85" w:type="dxa"/>
              <w:bottom w:w="0" w:type="dxa"/>
              <w:right w:w="85" w:type="dxa"/>
            </w:tcMar>
          </w:tcPr>
          <w:p w14:paraId="73350A3E" w14:textId="77777777" w:rsidR="00BC0FD7" w:rsidRPr="001D5327" w:rsidRDefault="00BC0FD7" w:rsidP="00D11AC9">
            <w:pPr>
              <w:pStyle w:val="TableText"/>
              <w:spacing w:before="40" w:after="40"/>
              <w:jc w:val="right"/>
            </w:pPr>
            <w:r w:rsidRPr="001D5327">
              <w:rPr>
                <w:rFonts w:eastAsia="Calibri" w:cs="Calibri"/>
                <w:color w:val="000000"/>
                <w:szCs w:val="16"/>
              </w:rPr>
              <w:t>1,136.9</w:t>
            </w:r>
          </w:p>
        </w:tc>
        <w:tc>
          <w:tcPr>
            <w:tcW w:w="0" w:type="auto"/>
            <w:shd w:val="clear" w:color="auto" w:fill="FFFFFF"/>
            <w:tcMar>
              <w:top w:w="0" w:type="dxa"/>
              <w:left w:w="85" w:type="dxa"/>
              <w:bottom w:w="0" w:type="dxa"/>
              <w:right w:w="85" w:type="dxa"/>
            </w:tcMar>
          </w:tcPr>
          <w:p w14:paraId="54D6EE13" w14:textId="77777777" w:rsidR="00BC0FD7" w:rsidRPr="001D5327" w:rsidRDefault="00BC0FD7" w:rsidP="00D11AC9">
            <w:pPr>
              <w:pStyle w:val="TableText"/>
              <w:spacing w:before="40" w:after="40"/>
              <w:jc w:val="right"/>
            </w:pPr>
            <w:r w:rsidRPr="001D5327">
              <w:rPr>
                <w:rFonts w:eastAsia="Calibri" w:cs="Calibri"/>
                <w:color w:val="000000"/>
                <w:szCs w:val="16"/>
              </w:rPr>
              <w:t>72.6</w:t>
            </w:r>
          </w:p>
        </w:tc>
        <w:tc>
          <w:tcPr>
            <w:tcW w:w="0" w:type="auto"/>
            <w:shd w:val="clear" w:color="auto" w:fill="FFFFFF"/>
            <w:tcMar>
              <w:top w:w="0" w:type="dxa"/>
              <w:left w:w="85" w:type="dxa"/>
              <w:bottom w:w="0" w:type="dxa"/>
              <w:right w:w="85" w:type="dxa"/>
            </w:tcMar>
          </w:tcPr>
          <w:p w14:paraId="54782AFD" w14:textId="77777777" w:rsidR="00BC0FD7" w:rsidRPr="001D5327" w:rsidRDefault="00BC0FD7" w:rsidP="00D11AC9">
            <w:pPr>
              <w:pStyle w:val="TableText"/>
              <w:spacing w:before="40" w:after="40"/>
              <w:jc w:val="right"/>
            </w:pPr>
            <w:r w:rsidRPr="001D5327">
              <w:rPr>
                <w:rFonts w:eastAsia="Calibri" w:cs="Calibri"/>
                <w:color w:val="000000"/>
                <w:szCs w:val="16"/>
              </w:rPr>
              <w:t>2,957.8</w:t>
            </w:r>
          </w:p>
        </w:tc>
      </w:tr>
      <w:tr w:rsidR="00BC0FD7" w:rsidRPr="001D5327" w14:paraId="75346AAF" w14:textId="77777777" w:rsidTr="00D11AC9">
        <w:tc>
          <w:tcPr>
            <w:tcW w:w="0" w:type="auto"/>
            <w:shd w:val="clear" w:color="auto" w:fill="FFFFFF"/>
            <w:tcMar>
              <w:top w:w="0" w:type="dxa"/>
              <w:left w:w="85" w:type="dxa"/>
              <w:bottom w:w="0" w:type="dxa"/>
              <w:right w:w="85" w:type="dxa"/>
            </w:tcMar>
          </w:tcPr>
          <w:p w14:paraId="664338C5"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2002</w:t>
            </w:r>
          </w:p>
        </w:tc>
        <w:tc>
          <w:tcPr>
            <w:tcW w:w="0" w:type="auto"/>
            <w:shd w:val="clear" w:color="auto" w:fill="FFFFFF"/>
            <w:tcMar>
              <w:top w:w="0" w:type="dxa"/>
              <w:left w:w="85" w:type="dxa"/>
              <w:bottom w:w="0" w:type="dxa"/>
              <w:right w:w="85" w:type="dxa"/>
            </w:tcMar>
          </w:tcPr>
          <w:p w14:paraId="3BE5DD65" w14:textId="77777777" w:rsidR="00BC0FD7" w:rsidRPr="001D5327" w:rsidRDefault="00BC0FD7" w:rsidP="00D11AC9">
            <w:pPr>
              <w:pStyle w:val="TableText"/>
              <w:spacing w:before="40" w:after="40"/>
              <w:jc w:val="right"/>
            </w:pPr>
            <w:r w:rsidRPr="001D5327">
              <w:rPr>
                <w:rFonts w:eastAsia="Calibri" w:cs="Calibri"/>
                <w:color w:val="000000"/>
                <w:szCs w:val="16"/>
              </w:rPr>
              <w:t>1,797.0</w:t>
            </w:r>
          </w:p>
        </w:tc>
        <w:tc>
          <w:tcPr>
            <w:tcW w:w="0" w:type="auto"/>
            <w:shd w:val="clear" w:color="auto" w:fill="FFFFFF"/>
            <w:tcMar>
              <w:top w:w="0" w:type="dxa"/>
              <w:left w:w="85" w:type="dxa"/>
              <w:bottom w:w="0" w:type="dxa"/>
              <w:right w:w="85" w:type="dxa"/>
            </w:tcMar>
          </w:tcPr>
          <w:p w14:paraId="7C6B40E2" w14:textId="77777777" w:rsidR="00BC0FD7" w:rsidRPr="001D5327" w:rsidRDefault="00BC0FD7" w:rsidP="00D11AC9">
            <w:pPr>
              <w:pStyle w:val="TableText"/>
              <w:spacing w:before="40" w:after="40"/>
              <w:jc w:val="right"/>
            </w:pPr>
            <w:r w:rsidRPr="001D5327">
              <w:rPr>
                <w:rFonts w:eastAsia="Calibri" w:cs="Calibri"/>
                <w:color w:val="000000"/>
                <w:szCs w:val="16"/>
              </w:rPr>
              <w:t>1,159.7</w:t>
            </w:r>
          </w:p>
        </w:tc>
        <w:tc>
          <w:tcPr>
            <w:tcW w:w="0" w:type="auto"/>
            <w:shd w:val="clear" w:color="auto" w:fill="FFFFFF"/>
            <w:tcMar>
              <w:top w:w="0" w:type="dxa"/>
              <w:left w:w="85" w:type="dxa"/>
              <w:bottom w:w="0" w:type="dxa"/>
              <w:right w:w="85" w:type="dxa"/>
            </w:tcMar>
          </w:tcPr>
          <w:p w14:paraId="39A50C19" w14:textId="77777777" w:rsidR="00BC0FD7" w:rsidRPr="001D5327" w:rsidRDefault="00BC0FD7" w:rsidP="00D11AC9">
            <w:pPr>
              <w:pStyle w:val="TableText"/>
              <w:spacing w:before="40" w:after="40"/>
              <w:jc w:val="right"/>
            </w:pPr>
            <w:r w:rsidRPr="001D5327">
              <w:rPr>
                <w:rFonts w:eastAsia="Calibri" w:cs="Calibri"/>
                <w:color w:val="000000"/>
                <w:szCs w:val="16"/>
              </w:rPr>
              <w:t>65.3</w:t>
            </w:r>
          </w:p>
        </w:tc>
        <w:tc>
          <w:tcPr>
            <w:tcW w:w="0" w:type="auto"/>
            <w:shd w:val="clear" w:color="auto" w:fill="FFFFFF"/>
            <w:tcMar>
              <w:top w:w="0" w:type="dxa"/>
              <w:left w:w="85" w:type="dxa"/>
              <w:bottom w:w="0" w:type="dxa"/>
              <w:right w:w="85" w:type="dxa"/>
            </w:tcMar>
          </w:tcPr>
          <w:p w14:paraId="0BCDE770" w14:textId="77777777" w:rsidR="00BC0FD7" w:rsidRPr="001D5327" w:rsidRDefault="00BC0FD7" w:rsidP="00D11AC9">
            <w:pPr>
              <w:pStyle w:val="TableText"/>
              <w:spacing w:before="40" w:after="40"/>
              <w:jc w:val="right"/>
            </w:pPr>
            <w:r w:rsidRPr="001D5327">
              <w:rPr>
                <w:rFonts w:eastAsia="Calibri" w:cs="Calibri"/>
                <w:color w:val="000000"/>
                <w:szCs w:val="16"/>
              </w:rPr>
              <w:t>3,022.0</w:t>
            </w:r>
          </w:p>
        </w:tc>
      </w:tr>
      <w:tr w:rsidR="00BC0FD7" w:rsidRPr="001D5327" w14:paraId="6551AA40" w14:textId="77777777" w:rsidTr="00D11AC9">
        <w:tc>
          <w:tcPr>
            <w:tcW w:w="0" w:type="auto"/>
            <w:shd w:val="clear" w:color="auto" w:fill="FFFFFF"/>
            <w:tcMar>
              <w:top w:w="0" w:type="dxa"/>
              <w:left w:w="85" w:type="dxa"/>
              <w:bottom w:w="0" w:type="dxa"/>
              <w:right w:w="85" w:type="dxa"/>
            </w:tcMar>
          </w:tcPr>
          <w:p w14:paraId="76EDA1D9"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2003</w:t>
            </w:r>
          </w:p>
        </w:tc>
        <w:tc>
          <w:tcPr>
            <w:tcW w:w="0" w:type="auto"/>
            <w:shd w:val="clear" w:color="auto" w:fill="FFFFFF"/>
            <w:tcMar>
              <w:top w:w="0" w:type="dxa"/>
              <w:left w:w="85" w:type="dxa"/>
              <w:bottom w:w="0" w:type="dxa"/>
              <w:right w:w="85" w:type="dxa"/>
            </w:tcMar>
          </w:tcPr>
          <w:p w14:paraId="1566FFCA" w14:textId="77777777" w:rsidR="00BC0FD7" w:rsidRPr="001D5327" w:rsidRDefault="00BC0FD7" w:rsidP="00D11AC9">
            <w:pPr>
              <w:pStyle w:val="TableText"/>
              <w:spacing w:before="40" w:after="40"/>
              <w:jc w:val="right"/>
            </w:pPr>
            <w:r w:rsidRPr="001D5327">
              <w:rPr>
                <w:rFonts w:eastAsia="Calibri" w:cs="Calibri"/>
                <w:color w:val="000000"/>
                <w:szCs w:val="16"/>
              </w:rPr>
              <w:t>1,694.9</w:t>
            </w:r>
          </w:p>
        </w:tc>
        <w:tc>
          <w:tcPr>
            <w:tcW w:w="0" w:type="auto"/>
            <w:shd w:val="clear" w:color="auto" w:fill="FFFFFF"/>
            <w:tcMar>
              <w:top w:w="0" w:type="dxa"/>
              <w:left w:w="85" w:type="dxa"/>
              <w:bottom w:w="0" w:type="dxa"/>
              <w:right w:w="85" w:type="dxa"/>
            </w:tcMar>
          </w:tcPr>
          <w:p w14:paraId="2B6FA8E6" w14:textId="77777777" w:rsidR="00BC0FD7" w:rsidRPr="001D5327" w:rsidRDefault="00BC0FD7" w:rsidP="00D11AC9">
            <w:pPr>
              <w:pStyle w:val="TableText"/>
              <w:spacing w:before="40" w:after="40"/>
              <w:jc w:val="right"/>
            </w:pPr>
            <w:r w:rsidRPr="001D5327">
              <w:rPr>
                <w:rFonts w:eastAsia="Calibri" w:cs="Calibri"/>
                <w:color w:val="000000"/>
                <w:szCs w:val="16"/>
              </w:rPr>
              <w:t>1,297.1</w:t>
            </w:r>
          </w:p>
        </w:tc>
        <w:tc>
          <w:tcPr>
            <w:tcW w:w="0" w:type="auto"/>
            <w:shd w:val="clear" w:color="auto" w:fill="FFFFFF"/>
            <w:tcMar>
              <w:top w:w="0" w:type="dxa"/>
              <w:left w:w="85" w:type="dxa"/>
              <w:bottom w:w="0" w:type="dxa"/>
              <w:right w:w="85" w:type="dxa"/>
            </w:tcMar>
          </w:tcPr>
          <w:p w14:paraId="75AF4217" w14:textId="77777777" w:rsidR="00BC0FD7" w:rsidRPr="001D5327" w:rsidRDefault="00BC0FD7" w:rsidP="00D11AC9">
            <w:pPr>
              <w:pStyle w:val="TableText"/>
              <w:spacing w:before="40" w:after="40"/>
              <w:jc w:val="right"/>
            </w:pPr>
            <w:r w:rsidRPr="001D5327">
              <w:rPr>
                <w:rFonts w:eastAsia="Calibri" w:cs="Calibri"/>
                <w:color w:val="000000"/>
                <w:szCs w:val="16"/>
              </w:rPr>
              <w:t>63.5</w:t>
            </w:r>
          </w:p>
        </w:tc>
        <w:tc>
          <w:tcPr>
            <w:tcW w:w="0" w:type="auto"/>
            <w:shd w:val="clear" w:color="auto" w:fill="FFFFFF"/>
            <w:tcMar>
              <w:top w:w="0" w:type="dxa"/>
              <w:left w:w="85" w:type="dxa"/>
              <w:bottom w:w="0" w:type="dxa"/>
              <w:right w:w="85" w:type="dxa"/>
            </w:tcMar>
          </w:tcPr>
          <w:p w14:paraId="5F875195" w14:textId="77777777" w:rsidR="00BC0FD7" w:rsidRPr="001D5327" w:rsidRDefault="00BC0FD7" w:rsidP="00D11AC9">
            <w:pPr>
              <w:pStyle w:val="TableText"/>
              <w:spacing w:before="40" w:after="40"/>
              <w:jc w:val="right"/>
            </w:pPr>
            <w:r w:rsidRPr="001D5327">
              <w:rPr>
                <w:rFonts w:eastAsia="Calibri" w:cs="Calibri"/>
                <w:color w:val="000000"/>
                <w:szCs w:val="16"/>
              </w:rPr>
              <w:t>3,055.5</w:t>
            </w:r>
          </w:p>
        </w:tc>
      </w:tr>
      <w:tr w:rsidR="00BC0FD7" w:rsidRPr="001D5327" w14:paraId="1615C9FA" w14:textId="77777777" w:rsidTr="00D11AC9">
        <w:tc>
          <w:tcPr>
            <w:tcW w:w="0" w:type="auto"/>
            <w:shd w:val="clear" w:color="auto" w:fill="FFFFFF"/>
            <w:tcMar>
              <w:top w:w="0" w:type="dxa"/>
              <w:left w:w="85" w:type="dxa"/>
              <w:bottom w:w="0" w:type="dxa"/>
              <w:right w:w="85" w:type="dxa"/>
            </w:tcMar>
          </w:tcPr>
          <w:p w14:paraId="08FD5363"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2004</w:t>
            </w:r>
          </w:p>
        </w:tc>
        <w:tc>
          <w:tcPr>
            <w:tcW w:w="0" w:type="auto"/>
            <w:shd w:val="clear" w:color="auto" w:fill="FFFFFF"/>
            <w:tcMar>
              <w:top w:w="0" w:type="dxa"/>
              <w:left w:w="85" w:type="dxa"/>
              <w:bottom w:w="0" w:type="dxa"/>
              <w:right w:w="85" w:type="dxa"/>
            </w:tcMar>
          </w:tcPr>
          <w:p w14:paraId="7974B349" w14:textId="77777777" w:rsidR="00BC0FD7" w:rsidRPr="001D5327" w:rsidRDefault="00BC0FD7" w:rsidP="00D11AC9">
            <w:pPr>
              <w:pStyle w:val="TableText"/>
              <w:spacing w:before="40" w:after="40"/>
              <w:jc w:val="right"/>
            </w:pPr>
            <w:r w:rsidRPr="001D5327">
              <w:rPr>
                <w:rFonts w:eastAsia="Calibri" w:cs="Calibri"/>
                <w:color w:val="000000"/>
                <w:szCs w:val="16"/>
              </w:rPr>
              <w:t>1,746.2</w:t>
            </w:r>
          </w:p>
        </w:tc>
        <w:tc>
          <w:tcPr>
            <w:tcW w:w="0" w:type="auto"/>
            <w:shd w:val="clear" w:color="auto" w:fill="FFFFFF"/>
            <w:tcMar>
              <w:top w:w="0" w:type="dxa"/>
              <w:left w:w="85" w:type="dxa"/>
              <w:bottom w:w="0" w:type="dxa"/>
              <w:right w:w="85" w:type="dxa"/>
            </w:tcMar>
          </w:tcPr>
          <w:p w14:paraId="0D0EEBD0" w14:textId="77777777" w:rsidR="00BC0FD7" w:rsidRPr="001D5327" w:rsidRDefault="00BC0FD7" w:rsidP="00D11AC9">
            <w:pPr>
              <w:pStyle w:val="TableText"/>
              <w:spacing w:before="40" w:after="40"/>
              <w:jc w:val="right"/>
            </w:pPr>
            <w:r w:rsidRPr="001D5327">
              <w:rPr>
                <w:rFonts w:eastAsia="Calibri" w:cs="Calibri"/>
                <w:color w:val="000000"/>
                <w:szCs w:val="16"/>
              </w:rPr>
              <w:t>1,289.1</w:t>
            </w:r>
          </w:p>
        </w:tc>
        <w:tc>
          <w:tcPr>
            <w:tcW w:w="0" w:type="auto"/>
            <w:shd w:val="clear" w:color="auto" w:fill="FFFFFF"/>
            <w:tcMar>
              <w:top w:w="0" w:type="dxa"/>
              <w:left w:w="85" w:type="dxa"/>
              <w:bottom w:w="0" w:type="dxa"/>
              <w:right w:w="85" w:type="dxa"/>
            </w:tcMar>
          </w:tcPr>
          <w:p w14:paraId="10793A72" w14:textId="77777777" w:rsidR="00BC0FD7" w:rsidRPr="001D5327" w:rsidRDefault="00BC0FD7" w:rsidP="00D11AC9">
            <w:pPr>
              <w:pStyle w:val="TableText"/>
              <w:spacing w:before="40" w:after="40"/>
              <w:jc w:val="right"/>
            </w:pPr>
            <w:r w:rsidRPr="001D5327">
              <w:rPr>
                <w:rFonts w:eastAsia="Calibri" w:cs="Calibri"/>
                <w:color w:val="000000"/>
                <w:szCs w:val="16"/>
              </w:rPr>
              <w:t>53.7</w:t>
            </w:r>
          </w:p>
        </w:tc>
        <w:tc>
          <w:tcPr>
            <w:tcW w:w="0" w:type="auto"/>
            <w:shd w:val="clear" w:color="auto" w:fill="FFFFFF"/>
            <w:tcMar>
              <w:top w:w="0" w:type="dxa"/>
              <w:left w:w="85" w:type="dxa"/>
              <w:bottom w:w="0" w:type="dxa"/>
              <w:right w:w="85" w:type="dxa"/>
            </w:tcMar>
          </w:tcPr>
          <w:p w14:paraId="15C3DD84" w14:textId="77777777" w:rsidR="00BC0FD7" w:rsidRPr="001D5327" w:rsidRDefault="00BC0FD7" w:rsidP="00D11AC9">
            <w:pPr>
              <w:pStyle w:val="TableText"/>
              <w:spacing w:before="40" w:after="40"/>
              <w:jc w:val="right"/>
            </w:pPr>
            <w:r w:rsidRPr="001D5327">
              <w:rPr>
                <w:rFonts w:eastAsia="Calibri" w:cs="Calibri"/>
                <w:color w:val="000000"/>
                <w:szCs w:val="16"/>
              </w:rPr>
              <w:t>3,089.0</w:t>
            </w:r>
          </w:p>
        </w:tc>
      </w:tr>
      <w:tr w:rsidR="00BC0FD7" w:rsidRPr="001D5327" w14:paraId="4CB2226B" w14:textId="77777777" w:rsidTr="00D11AC9">
        <w:tc>
          <w:tcPr>
            <w:tcW w:w="0" w:type="auto"/>
            <w:shd w:val="clear" w:color="auto" w:fill="FFFFFF"/>
            <w:tcMar>
              <w:top w:w="0" w:type="dxa"/>
              <w:left w:w="85" w:type="dxa"/>
              <w:bottom w:w="0" w:type="dxa"/>
              <w:right w:w="85" w:type="dxa"/>
            </w:tcMar>
          </w:tcPr>
          <w:p w14:paraId="5CF23810"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2005</w:t>
            </w:r>
          </w:p>
        </w:tc>
        <w:tc>
          <w:tcPr>
            <w:tcW w:w="0" w:type="auto"/>
            <w:shd w:val="clear" w:color="auto" w:fill="FFFFFF"/>
            <w:tcMar>
              <w:top w:w="0" w:type="dxa"/>
              <w:left w:w="85" w:type="dxa"/>
              <w:bottom w:w="0" w:type="dxa"/>
              <w:right w:w="85" w:type="dxa"/>
            </w:tcMar>
          </w:tcPr>
          <w:p w14:paraId="535D9926" w14:textId="77777777" w:rsidR="00BC0FD7" w:rsidRPr="001D5327" w:rsidRDefault="00BC0FD7" w:rsidP="00D11AC9">
            <w:pPr>
              <w:pStyle w:val="TableText"/>
              <w:spacing w:before="40" w:after="40"/>
              <w:jc w:val="right"/>
            </w:pPr>
            <w:r w:rsidRPr="001D5327">
              <w:rPr>
                <w:rFonts w:eastAsia="Calibri" w:cs="Calibri"/>
                <w:color w:val="000000"/>
                <w:szCs w:val="16"/>
              </w:rPr>
              <w:t>1,954.3</w:t>
            </w:r>
          </w:p>
        </w:tc>
        <w:tc>
          <w:tcPr>
            <w:tcW w:w="0" w:type="auto"/>
            <w:shd w:val="clear" w:color="auto" w:fill="FFFFFF"/>
            <w:tcMar>
              <w:top w:w="0" w:type="dxa"/>
              <w:left w:w="85" w:type="dxa"/>
              <w:bottom w:w="0" w:type="dxa"/>
              <w:right w:w="85" w:type="dxa"/>
            </w:tcMar>
          </w:tcPr>
          <w:p w14:paraId="48C930C1" w14:textId="77777777" w:rsidR="00BC0FD7" w:rsidRPr="001D5327" w:rsidRDefault="00BC0FD7" w:rsidP="00D11AC9">
            <w:pPr>
              <w:pStyle w:val="TableText"/>
              <w:spacing w:before="40" w:after="40"/>
              <w:jc w:val="right"/>
            </w:pPr>
            <w:r w:rsidRPr="001D5327">
              <w:rPr>
                <w:rFonts w:eastAsia="Calibri" w:cs="Calibri"/>
                <w:color w:val="000000"/>
                <w:szCs w:val="16"/>
              </w:rPr>
              <w:t>1,129.2</w:t>
            </w:r>
          </w:p>
        </w:tc>
        <w:tc>
          <w:tcPr>
            <w:tcW w:w="0" w:type="auto"/>
            <w:shd w:val="clear" w:color="auto" w:fill="FFFFFF"/>
            <w:tcMar>
              <w:top w:w="0" w:type="dxa"/>
              <w:left w:w="85" w:type="dxa"/>
              <w:bottom w:w="0" w:type="dxa"/>
              <w:right w:w="85" w:type="dxa"/>
            </w:tcMar>
          </w:tcPr>
          <w:p w14:paraId="69602FCE" w14:textId="77777777" w:rsidR="00BC0FD7" w:rsidRPr="001D5327" w:rsidRDefault="00BC0FD7" w:rsidP="00D11AC9">
            <w:pPr>
              <w:pStyle w:val="TableText"/>
              <w:spacing w:before="40" w:after="40"/>
              <w:jc w:val="right"/>
            </w:pPr>
            <w:r w:rsidRPr="001D5327">
              <w:rPr>
                <w:rFonts w:eastAsia="Calibri" w:cs="Calibri"/>
                <w:color w:val="000000"/>
                <w:szCs w:val="16"/>
              </w:rPr>
              <w:t>38.9</w:t>
            </w:r>
          </w:p>
        </w:tc>
        <w:tc>
          <w:tcPr>
            <w:tcW w:w="0" w:type="auto"/>
            <w:shd w:val="clear" w:color="auto" w:fill="FFFFFF"/>
            <w:tcMar>
              <w:top w:w="0" w:type="dxa"/>
              <w:left w:w="85" w:type="dxa"/>
              <w:bottom w:w="0" w:type="dxa"/>
              <w:right w:w="85" w:type="dxa"/>
            </w:tcMar>
          </w:tcPr>
          <w:p w14:paraId="2A16EDEB" w14:textId="77777777" w:rsidR="00BC0FD7" w:rsidRPr="001D5327" w:rsidRDefault="00BC0FD7" w:rsidP="00D11AC9">
            <w:pPr>
              <w:pStyle w:val="TableText"/>
              <w:spacing w:before="40" w:after="40"/>
              <w:jc w:val="right"/>
            </w:pPr>
            <w:r w:rsidRPr="001D5327">
              <w:rPr>
                <w:rFonts w:eastAsia="Calibri" w:cs="Calibri"/>
                <w:color w:val="000000"/>
                <w:szCs w:val="16"/>
              </w:rPr>
              <w:t>3,122.5</w:t>
            </w:r>
          </w:p>
        </w:tc>
      </w:tr>
      <w:tr w:rsidR="00BC0FD7" w:rsidRPr="001D5327" w14:paraId="61250E75" w14:textId="77777777" w:rsidTr="00D11AC9">
        <w:tc>
          <w:tcPr>
            <w:tcW w:w="0" w:type="auto"/>
            <w:shd w:val="clear" w:color="auto" w:fill="FFFFFF"/>
            <w:tcMar>
              <w:top w:w="0" w:type="dxa"/>
              <w:left w:w="85" w:type="dxa"/>
              <w:bottom w:w="0" w:type="dxa"/>
              <w:right w:w="85" w:type="dxa"/>
            </w:tcMar>
          </w:tcPr>
          <w:p w14:paraId="68DF38BD"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2006</w:t>
            </w:r>
          </w:p>
        </w:tc>
        <w:tc>
          <w:tcPr>
            <w:tcW w:w="0" w:type="auto"/>
            <w:shd w:val="clear" w:color="auto" w:fill="FFFFFF"/>
            <w:tcMar>
              <w:top w:w="0" w:type="dxa"/>
              <w:left w:w="85" w:type="dxa"/>
              <w:bottom w:w="0" w:type="dxa"/>
              <w:right w:w="85" w:type="dxa"/>
            </w:tcMar>
          </w:tcPr>
          <w:p w14:paraId="56908AA4" w14:textId="77777777" w:rsidR="00BC0FD7" w:rsidRPr="001D5327" w:rsidRDefault="00BC0FD7" w:rsidP="00D11AC9">
            <w:pPr>
              <w:pStyle w:val="TableText"/>
              <w:spacing w:before="40" w:after="40"/>
              <w:jc w:val="right"/>
            </w:pPr>
            <w:r w:rsidRPr="001D5327">
              <w:rPr>
                <w:rFonts w:eastAsia="Calibri" w:cs="Calibri"/>
                <w:color w:val="000000"/>
                <w:szCs w:val="16"/>
              </w:rPr>
              <w:t>2,384.2</w:t>
            </w:r>
          </w:p>
        </w:tc>
        <w:tc>
          <w:tcPr>
            <w:tcW w:w="0" w:type="auto"/>
            <w:shd w:val="clear" w:color="auto" w:fill="FFFFFF"/>
            <w:tcMar>
              <w:top w:w="0" w:type="dxa"/>
              <w:left w:w="85" w:type="dxa"/>
              <w:bottom w:w="0" w:type="dxa"/>
              <w:right w:w="85" w:type="dxa"/>
            </w:tcMar>
          </w:tcPr>
          <w:p w14:paraId="0223A992" w14:textId="77777777" w:rsidR="00BC0FD7" w:rsidRPr="001D5327" w:rsidRDefault="00BC0FD7" w:rsidP="00D11AC9">
            <w:pPr>
              <w:pStyle w:val="TableText"/>
              <w:spacing w:before="40" w:after="40"/>
              <w:jc w:val="right"/>
            </w:pPr>
            <w:r w:rsidRPr="001D5327">
              <w:rPr>
                <w:rFonts w:eastAsia="Calibri" w:cs="Calibri"/>
                <w:color w:val="000000"/>
                <w:szCs w:val="16"/>
              </w:rPr>
              <w:t>751.2</w:t>
            </w:r>
          </w:p>
        </w:tc>
        <w:tc>
          <w:tcPr>
            <w:tcW w:w="0" w:type="auto"/>
            <w:shd w:val="clear" w:color="auto" w:fill="FFFFFF"/>
            <w:tcMar>
              <w:top w:w="0" w:type="dxa"/>
              <w:left w:w="85" w:type="dxa"/>
              <w:bottom w:w="0" w:type="dxa"/>
              <w:right w:w="85" w:type="dxa"/>
            </w:tcMar>
          </w:tcPr>
          <w:p w14:paraId="2D2D0069" w14:textId="77777777" w:rsidR="00BC0FD7" w:rsidRPr="001D5327" w:rsidRDefault="00BC0FD7" w:rsidP="00D11AC9">
            <w:pPr>
              <w:pStyle w:val="TableText"/>
              <w:spacing w:before="40" w:after="40"/>
              <w:jc w:val="right"/>
            </w:pPr>
            <w:r w:rsidRPr="001D5327">
              <w:rPr>
                <w:rFonts w:eastAsia="Calibri" w:cs="Calibri"/>
                <w:color w:val="000000"/>
                <w:szCs w:val="16"/>
              </w:rPr>
              <w:t>20.6</w:t>
            </w:r>
          </w:p>
        </w:tc>
        <w:tc>
          <w:tcPr>
            <w:tcW w:w="0" w:type="auto"/>
            <w:shd w:val="clear" w:color="auto" w:fill="FFFFFF"/>
            <w:tcMar>
              <w:top w:w="0" w:type="dxa"/>
              <w:left w:w="85" w:type="dxa"/>
              <w:bottom w:w="0" w:type="dxa"/>
              <w:right w:w="85" w:type="dxa"/>
            </w:tcMar>
          </w:tcPr>
          <w:p w14:paraId="327582BB" w14:textId="77777777" w:rsidR="00BC0FD7" w:rsidRPr="001D5327" w:rsidRDefault="00BC0FD7" w:rsidP="00D11AC9">
            <w:pPr>
              <w:pStyle w:val="TableText"/>
              <w:spacing w:before="40" w:after="40"/>
              <w:jc w:val="right"/>
            </w:pPr>
            <w:r w:rsidRPr="001D5327">
              <w:rPr>
                <w:rFonts w:eastAsia="Calibri" w:cs="Calibri"/>
                <w:color w:val="000000"/>
                <w:szCs w:val="16"/>
              </w:rPr>
              <w:t>3,156.0</w:t>
            </w:r>
          </w:p>
        </w:tc>
      </w:tr>
      <w:tr w:rsidR="00BC0FD7" w:rsidRPr="001D5327" w14:paraId="60041542" w14:textId="77777777" w:rsidTr="00D11AC9">
        <w:tc>
          <w:tcPr>
            <w:tcW w:w="0" w:type="auto"/>
            <w:shd w:val="clear" w:color="auto" w:fill="FFFFFF"/>
            <w:tcMar>
              <w:top w:w="0" w:type="dxa"/>
              <w:left w:w="85" w:type="dxa"/>
              <w:bottom w:w="0" w:type="dxa"/>
              <w:right w:w="85" w:type="dxa"/>
            </w:tcMar>
          </w:tcPr>
          <w:p w14:paraId="65A88621"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2007</w:t>
            </w:r>
          </w:p>
        </w:tc>
        <w:tc>
          <w:tcPr>
            <w:tcW w:w="0" w:type="auto"/>
            <w:shd w:val="clear" w:color="auto" w:fill="FFFFFF"/>
            <w:tcMar>
              <w:top w:w="0" w:type="dxa"/>
              <w:left w:w="85" w:type="dxa"/>
              <w:bottom w:w="0" w:type="dxa"/>
              <w:right w:w="85" w:type="dxa"/>
            </w:tcMar>
          </w:tcPr>
          <w:p w14:paraId="0D2E81D9" w14:textId="77777777" w:rsidR="00BC0FD7" w:rsidRPr="001D5327" w:rsidRDefault="00BC0FD7" w:rsidP="00D11AC9">
            <w:pPr>
              <w:pStyle w:val="TableText"/>
              <w:spacing w:before="40" w:after="40"/>
              <w:jc w:val="right"/>
            </w:pPr>
            <w:r w:rsidRPr="001D5327">
              <w:rPr>
                <w:rFonts w:eastAsia="Calibri" w:cs="Calibri"/>
                <w:color w:val="000000"/>
                <w:szCs w:val="16"/>
              </w:rPr>
              <w:t>2,244.9</w:t>
            </w:r>
          </w:p>
        </w:tc>
        <w:tc>
          <w:tcPr>
            <w:tcW w:w="0" w:type="auto"/>
            <w:shd w:val="clear" w:color="auto" w:fill="FFFFFF"/>
            <w:tcMar>
              <w:top w:w="0" w:type="dxa"/>
              <w:left w:w="85" w:type="dxa"/>
              <w:bottom w:w="0" w:type="dxa"/>
              <w:right w:w="85" w:type="dxa"/>
            </w:tcMar>
          </w:tcPr>
          <w:p w14:paraId="4C381DD9" w14:textId="77777777" w:rsidR="00BC0FD7" w:rsidRPr="001D5327" w:rsidRDefault="00BC0FD7" w:rsidP="00D11AC9">
            <w:pPr>
              <w:pStyle w:val="TableText"/>
              <w:spacing w:before="40" w:after="40"/>
              <w:jc w:val="right"/>
            </w:pPr>
            <w:r w:rsidRPr="001D5327">
              <w:rPr>
                <w:rFonts w:eastAsia="Calibri" w:cs="Calibri"/>
                <w:color w:val="000000"/>
                <w:szCs w:val="16"/>
              </w:rPr>
              <w:t>739.8</w:t>
            </w:r>
          </w:p>
        </w:tc>
        <w:tc>
          <w:tcPr>
            <w:tcW w:w="0" w:type="auto"/>
            <w:shd w:val="clear" w:color="auto" w:fill="FFFFFF"/>
            <w:tcMar>
              <w:top w:w="0" w:type="dxa"/>
              <w:left w:w="85" w:type="dxa"/>
              <w:bottom w:w="0" w:type="dxa"/>
              <w:right w:w="85" w:type="dxa"/>
            </w:tcMar>
          </w:tcPr>
          <w:p w14:paraId="1FDDFAA1" w14:textId="77777777" w:rsidR="00BC0FD7" w:rsidRPr="001D5327" w:rsidRDefault="00BC0FD7" w:rsidP="00D11AC9">
            <w:pPr>
              <w:pStyle w:val="TableText"/>
              <w:spacing w:before="40" w:after="40"/>
              <w:jc w:val="right"/>
            </w:pPr>
            <w:r w:rsidRPr="001D5327">
              <w:rPr>
                <w:rFonts w:eastAsia="Calibri" w:cs="Calibri"/>
                <w:color w:val="000000"/>
                <w:szCs w:val="16"/>
              </w:rPr>
              <w:t>15.1</w:t>
            </w:r>
          </w:p>
        </w:tc>
        <w:tc>
          <w:tcPr>
            <w:tcW w:w="0" w:type="auto"/>
            <w:shd w:val="clear" w:color="auto" w:fill="FFFFFF"/>
            <w:tcMar>
              <w:top w:w="0" w:type="dxa"/>
              <w:left w:w="85" w:type="dxa"/>
              <w:bottom w:w="0" w:type="dxa"/>
              <w:right w:w="85" w:type="dxa"/>
            </w:tcMar>
          </w:tcPr>
          <w:p w14:paraId="21E4C270" w14:textId="77777777" w:rsidR="00BC0FD7" w:rsidRPr="001D5327" w:rsidRDefault="00BC0FD7" w:rsidP="00D11AC9">
            <w:pPr>
              <w:pStyle w:val="TableText"/>
              <w:spacing w:before="40" w:after="40"/>
              <w:jc w:val="right"/>
            </w:pPr>
            <w:r w:rsidRPr="001D5327">
              <w:rPr>
                <w:rFonts w:eastAsia="Calibri" w:cs="Calibri"/>
                <w:color w:val="000000"/>
                <w:szCs w:val="16"/>
              </w:rPr>
              <w:t>2,999.8</w:t>
            </w:r>
          </w:p>
        </w:tc>
      </w:tr>
      <w:tr w:rsidR="00BC0FD7" w:rsidRPr="001D5327" w14:paraId="26ADB273" w14:textId="77777777" w:rsidTr="00D11AC9">
        <w:tc>
          <w:tcPr>
            <w:tcW w:w="0" w:type="auto"/>
            <w:shd w:val="clear" w:color="auto" w:fill="FFFFFF"/>
            <w:tcMar>
              <w:top w:w="0" w:type="dxa"/>
              <w:left w:w="85" w:type="dxa"/>
              <w:bottom w:w="0" w:type="dxa"/>
              <w:right w:w="85" w:type="dxa"/>
            </w:tcMar>
          </w:tcPr>
          <w:p w14:paraId="17B06543"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2008</w:t>
            </w:r>
          </w:p>
        </w:tc>
        <w:tc>
          <w:tcPr>
            <w:tcW w:w="0" w:type="auto"/>
            <w:shd w:val="clear" w:color="auto" w:fill="FFFFFF"/>
            <w:tcMar>
              <w:top w:w="0" w:type="dxa"/>
              <w:left w:w="85" w:type="dxa"/>
              <w:bottom w:w="0" w:type="dxa"/>
              <w:right w:w="85" w:type="dxa"/>
            </w:tcMar>
          </w:tcPr>
          <w:p w14:paraId="65297E79" w14:textId="77777777" w:rsidR="00BC0FD7" w:rsidRPr="001D5327" w:rsidRDefault="00BC0FD7" w:rsidP="00D11AC9">
            <w:pPr>
              <w:pStyle w:val="TableText"/>
              <w:spacing w:before="40" w:after="40"/>
              <w:jc w:val="right"/>
            </w:pPr>
            <w:r w:rsidRPr="001D5327">
              <w:rPr>
                <w:rFonts w:eastAsia="Calibri" w:cs="Calibri"/>
                <w:color w:val="000000"/>
                <w:szCs w:val="16"/>
              </w:rPr>
              <w:t>2,189.3</w:t>
            </w:r>
          </w:p>
        </w:tc>
        <w:tc>
          <w:tcPr>
            <w:tcW w:w="0" w:type="auto"/>
            <w:shd w:val="clear" w:color="auto" w:fill="FFFFFF"/>
            <w:tcMar>
              <w:top w:w="0" w:type="dxa"/>
              <w:left w:w="85" w:type="dxa"/>
              <w:bottom w:w="0" w:type="dxa"/>
              <w:right w:w="85" w:type="dxa"/>
            </w:tcMar>
          </w:tcPr>
          <w:p w14:paraId="03E5DE93" w14:textId="77777777" w:rsidR="00BC0FD7" w:rsidRPr="001D5327" w:rsidRDefault="00BC0FD7" w:rsidP="00D11AC9">
            <w:pPr>
              <w:pStyle w:val="TableText"/>
              <w:spacing w:before="40" w:after="40"/>
              <w:jc w:val="right"/>
            </w:pPr>
            <w:r w:rsidRPr="001D5327">
              <w:rPr>
                <w:rFonts w:eastAsia="Calibri" w:cs="Calibri"/>
                <w:color w:val="000000"/>
                <w:szCs w:val="16"/>
              </w:rPr>
              <w:t>645.4</w:t>
            </w:r>
          </w:p>
        </w:tc>
        <w:tc>
          <w:tcPr>
            <w:tcW w:w="0" w:type="auto"/>
            <w:shd w:val="clear" w:color="auto" w:fill="FFFFFF"/>
            <w:tcMar>
              <w:top w:w="0" w:type="dxa"/>
              <w:left w:w="85" w:type="dxa"/>
              <w:bottom w:w="0" w:type="dxa"/>
              <w:right w:w="85" w:type="dxa"/>
            </w:tcMar>
          </w:tcPr>
          <w:p w14:paraId="24984F1F" w14:textId="77777777" w:rsidR="00BC0FD7" w:rsidRPr="001D5327" w:rsidRDefault="00BC0FD7" w:rsidP="00D11AC9">
            <w:pPr>
              <w:pStyle w:val="TableText"/>
              <w:spacing w:before="40" w:after="40"/>
              <w:jc w:val="right"/>
            </w:pPr>
            <w:r w:rsidRPr="001D5327">
              <w:rPr>
                <w:rFonts w:eastAsia="Calibri" w:cs="Calibri"/>
                <w:color w:val="000000"/>
                <w:szCs w:val="16"/>
              </w:rPr>
              <w:t>8.7</w:t>
            </w:r>
          </w:p>
        </w:tc>
        <w:tc>
          <w:tcPr>
            <w:tcW w:w="0" w:type="auto"/>
            <w:shd w:val="clear" w:color="auto" w:fill="FFFFFF"/>
            <w:tcMar>
              <w:top w:w="0" w:type="dxa"/>
              <w:left w:w="85" w:type="dxa"/>
              <w:bottom w:w="0" w:type="dxa"/>
              <w:right w:w="85" w:type="dxa"/>
            </w:tcMar>
          </w:tcPr>
          <w:p w14:paraId="02202810" w14:textId="77777777" w:rsidR="00BC0FD7" w:rsidRPr="001D5327" w:rsidRDefault="00BC0FD7" w:rsidP="00D11AC9">
            <w:pPr>
              <w:pStyle w:val="TableText"/>
              <w:spacing w:before="40" w:after="40"/>
              <w:jc w:val="right"/>
            </w:pPr>
            <w:r w:rsidRPr="001D5327">
              <w:rPr>
                <w:rFonts w:eastAsia="Calibri" w:cs="Calibri"/>
                <w:color w:val="000000"/>
                <w:szCs w:val="16"/>
              </w:rPr>
              <w:t>2,843.5</w:t>
            </w:r>
          </w:p>
        </w:tc>
      </w:tr>
      <w:tr w:rsidR="00BC0FD7" w:rsidRPr="001D5327" w14:paraId="59046267" w14:textId="77777777" w:rsidTr="00D11AC9">
        <w:tc>
          <w:tcPr>
            <w:tcW w:w="0" w:type="auto"/>
            <w:shd w:val="clear" w:color="auto" w:fill="FFFFFF"/>
            <w:tcMar>
              <w:top w:w="0" w:type="dxa"/>
              <w:left w:w="85" w:type="dxa"/>
              <w:bottom w:w="0" w:type="dxa"/>
              <w:right w:w="85" w:type="dxa"/>
            </w:tcMar>
          </w:tcPr>
          <w:p w14:paraId="70A3A7F0"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2009</w:t>
            </w:r>
          </w:p>
        </w:tc>
        <w:tc>
          <w:tcPr>
            <w:tcW w:w="0" w:type="auto"/>
            <w:shd w:val="clear" w:color="auto" w:fill="FFFFFF"/>
            <w:tcMar>
              <w:top w:w="0" w:type="dxa"/>
              <w:left w:w="85" w:type="dxa"/>
              <w:bottom w:w="0" w:type="dxa"/>
              <w:right w:w="85" w:type="dxa"/>
            </w:tcMar>
          </w:tcPr>
          <w:p w14:paraId="516EA1F1" w14:textId="77777777" w:rsidR="00BC0FD7" w:rsidRPr="001D5327" w:rsidRDefault="00BC0FD7" w:rsidP="00D11AC9">
            <w:pPr>
              <w:pStyle w:val="TableText"/>
              <w:spacing w:before="40" w:after="40"/>
              <w:jc w:val="right"/>
            </w:pPr>
            <w:r w:rsidRPr="001D5327">
              <w:rPr>
                <w:rFonts w:eastAsia="Calibri" w:cs="Calibri"/>
                <w:color w:val="000000"/>
                <w:szCs w:val="16"/>
              </w:rPr>
              <w:t>2,143.9</w:t>
            </w:r>
          </w:p>
        </w:tc>
        <w:tc>
          <w:tcPr>
            <w:tcW w:w="0" w:type="auto"/>
            <w:shd w:val="clear" w:color="auto" w:fill="FFFFFF"/>
            <w:tcMar>
              <w:top w:w="0" w:type="dxa"/>
              <w:left w:w="85" w:type="dxa"/>
              <w:bottom w:w="0" w:type="dxa"/>
              <w:right w:w="85" w:type="dxa"/>
            </w:tcMar>
          </w:tcPr>
          <w:p w14:paraId="1C4768DA" w14:textId="77777777" w:rsidR="00BC0FD7" w:rsidRPr="001D5327" w:rsidRDefault="00BC0FD7" w:rsidP="00D11AC9">
            <w:pPr>
              <w:pStyle w:val="TableText"/>
              <w:spacing w:before="40" w:after="40"/>
              <w:jc w:val="right"/>
            </w:pPr>
            <w:r w:rsidRPr="001D5327">
              <w:rPr>
                <w:rFonts w:eastAsia="Calibri" w:cs="Calibri"/>
                <w:color w:val="000000"/>
                <w:szCs w:val="16"/>
              </w:rPr>
              <w:t>539.8</w:t>
            </w:r>
          </w:p>
        </w:tc>
        <w:tc>
          <w:tcPr>
            <w:tcW w:w="0" w:type="auto"/>
            <w:shd w:val="clear" w:color="auto" w:fill="FFFFFF"/>
            <w:tcMar>
              <w:top w:w="0" w:type="dxa"/>
              <w:left w:w="85" w:type="dxa"/>
              <w:bottom w:w="0" w:type="dxa"/>
              <w:right w:w="85" w:type="dxa"/>
            </w:tcMar>
          </w:tcPr>
          <w:p w14:paraId="7A8E45EA" w14:textId="77777777" w:rsidR="00BC0FD7" w:rsidRPr="001D5327" w:rsidRDefault="00BC0FD7" w:rsidP="00D11AC9">
            <w:pPr>
              <w:pStyle w:val="TableText"/>
              <w:spacing w:before="40" w:after="40"/>
              <w:jc w:val="right"/>
            </w:pPr>
            <w:r w:rsidRPr="001D5327">
              <w:rPr>
                <w:rFonts w:eastAsia="Calibri" w:cs="Calibri"/>
                <w:color w:val="000000"/>
                <w:szCs w:val="16"/>
              </w:rPr>
              <w:t>3.6</w:t>
            </w:r>
          </w:p>
        </w:tc>
        <w:tc>
          <w:tcPr>
            <w:tcW w:w="0" w:type="auto"/>
            <w:shd w:val="clear" w:color="auto" w:fill="FFFFFF"/>
            <w:tcMar>
              <w:top w:w="0" w:type="dxa"/>
              <w:left w:w="85" w:type="dxa"/>
              <w:bottom w:w="0" w:type="dxa"/>
              <w:right w:w="85" w:type="dxa"/>
            </w:tcMar>
          </w:tcPr>
          <w:p w14:paraId="3F1D103A" w14:textId="77777777" w:rsidR="00BC0FD7" w:rsidRPr="001D5327" w:rsidRDefault="00BC0FD7" w:rsidP="00D11AC9">
            <w:pPr>
              <w:pStyle w:val="TableText"/>
              <w:spacing w:before="40" w:after="40"/>
              <w:jc w:val="right"/>
            </w:pPr>
            <w:r w:rsidRPr="001D5327">
              <w:rPr>
                <w:rFonts w:eastAsia="Calibri" w:cs="Calibri"/>
                <w:color w:val="000000"/>
                <w:szCs w:val="16"/>
              </w:rPr>
              <w:t>2,687.2</w:t>
            </w:r>
          </w:p>
        </w:tc>
      </w:tr>
      <w:tr w:rsidR="00BC0FD7" w:rsidRPr="001D5327" w14:paraId="62454872" w14:textId="77777777" w:rsidTr="00D11AC9">
        <w:tc>
          <w:tcPr>
            <w:tcW w:w="0" w:type="auto"/>
            <w:shd w:val="clear" w:color="auto" w:fill="FFFFFF"/>
            <w:tcMar>
              <w:top w:w="0" w:type="dxa"/>
              <w:left w:w="85" w:type="dxa"/>
              <w:bottom w:w="0" w:type="dxa"/>
              <w:right w:w="85" w:type="dxa"/>
            </w:tcMar>
          </w:tcPr>
          <w:p w14:paraId="183FE163"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2010</w:t>
            </w:r>
          </w:p>
        </w:tc>
        <w:tc>
          <w:tcPr>
            <w:tcW w:w="0" w:type="auto"/>
            <w:shd w:val="clear" w:color="auto" w:fill="FFFFFF"/>
            <w:tcMar>
              <w:top w:w="0" w:type="dxa"/>
              <w:left w:w="85" w:type="dxa"/>
              <w:bottom w:w="0" w:type="dxa"/>
              <w:right w:w="85" w:type="dxa"/>
            </w:tcMar>
          </w:tcPr>
          <w:p w14:paraId="65B64FE1" w14:textId="77777777" w:rsidR="00BC0FD7" w:rsidRPr="001D5327" w:rsidRDefault="00BC0FD7" w:rsidP="00D11AC9">
            <w:pPr>
              <w:pStyle w:val="TableText"/>
              <w:spacing w:before="40" w:after="40"/>
              <w:jc w:val="right"/>
            </w:pPr>
            <w:r w:rsidRPr="001D5327">
              <w:rPr>
                <w:rFonts w:eastAsia="Calibri" w:cs="Calibri"/>
                <w:color w:val="000000"/>
                <w:szCs w:val="16"/>
              </w:rPr>
              <w:t>2,338.7</w:t>
            </w:r>
          </w:p>
        </w:tc>
        <w:tc>
          <w:tcPr>
            <w:tcW w:w="0" w:type="auto"/>
            <w:shd w:val="clear" w:color="auto" w:fill="FFFFFF"/>
            <w:tcMar>
              <w:top w:w="0" w:type="dxa"/>
              <w:left w:w="85" w:type="dxa"/>
              <w:bottom w:w="0" w:type="dxa"/>
              <w:right w:w="85" w:type="dxa"/>
            </w:tcMar>
          </w:tcPr>
          <w:p w14:paraId="1E235E6E" w14:textId="77777777" w:rsidR="00BC0FD7" w:rsidRPr="001D5327" w:rsidRDefault="00BC0FD7" w:rsidP="00D11AC9">
            <w:pPr>
              <w:pStyle w:val="TableText"/>
              <w:spacing w:before="40" w:after="40"/>
              <w:jc w:val="right"/>
            </w:pPr>
            <w:r w:rsidRPr="001D5327">
              <w:rPr>
                <w:rFonts w:eastAsia="Calibri" w:cs="Calibri"/>
                <w:color w:val="000000"/>
                <w:szCs w:val="16"/>
              </w:rPr>
              <w:t>193.8</w:t>
            </w:r>
          </w:p>
        </w:tc>
        <w:tc>
          <w:tcPr>
            <w:tcW w:w="0" w:type="auto"/>
            <w:shd w:val="clear" w:color="auto" w:fill="FFFFFF"/>
            <w:tcMar>
              <w:top w:w="0" w:type="dxa"/>
              <w:left w:w="85" w:type="dxa"/>
              <w:bottom w:w="0" w:type="dxa"/>
              <w:right w:w="85" w:type="dxa"/>
            </w:tcMar>
          </w:tcPr>
          <w:p w14:paraId="4DEA66D2" w14:textId="77777777" w:rsidR="00BC0FD7" w:rsidRPr="001D5327" w:rsidRDefault="00BC0FD7" w:rsidP="00D11AC9">
            <w:pPr>
              <w:pStyle w:val="TableText"/>
              <w:spacing w:before="40" w:after="40"/>
              <w:jc w:val="right"/>
            </w:pPr>
            <w:r w:rsidRPr="001D5327">
              <w:rPr>
                <w:rFonts w:eastAsia="Calibri" w:cs="Calibri"/>
                <w:color w:val="000000"/>
                <w:szCs w:val="16"/>
              </w:rPr>
              <w:t>NO</w:t>
            </w:r>
          </w:p>
        </w:tc>
        <w:tc>
          <w:tcPr>
            <w:tcW w:w="0" w:type="auto"/>
            <w:shd w:val="clear" w:color="auto" w:fill="FFFFFF"/>
            <w:tcMar>
              <w:top w:w="0" w:type="dxa"/>
              <w:left w:w="85" w:type="dxa"/>
              <w:bottom w:w="0" w:type="dxa"/>
              <w:right w:w="85" w:type="dxa"/>
            </w:tcMar>
          </w:tcPr>
          <w:p w14:paraId="34775D5B" w14:textId="77777777" w:rsidR="00BC0FD7" w:rsidRPr="001D5327" w:rsidRDefault="00BC0FD7" w:rsidP="00D11AC9">
            <w:pPr>
              <w:pStyle w:val="TableText"/>
              <w:spacing w:before="40" w:after="40"/>
              <w:jc w:val="right"/>
            </w:pPr>
            <w:r w:rsidRPr="001D5327">
              <w:rPr>
                <w:rFonts w:eastAsia="Calibri" w:cs="Calibri"/>
                <w:color w:val="000000"/>
                <w:szCs w:val="16"/>
              </w:rPr>
              <w:t>2,532.5</w:t>
            </w:r>
          </w:p>
        </w:tc>
      </w:tr>
      <w:tr w:rsidR="00BC0FD7" w:rsidRPr="001D5327" w14:paraId="5B2E14BD" w14:textId="77777777" w:rsidTr="00D11AC9">
        <w:tc>
          <w:tcPr>
            <w:tcW w:w="0" w:type="auto"/>
            <w:shd w:val="clear" w:color="auto" w:fill="FFFFFF"/>
            <w:tcMar>
              <w:top w:w="0" w:type="dxa"/>
              <w:left w:w="85" w:type="dxa"/>
              <w:bottom w:w="0" w:type="dxa"/>
              <w:right w:w="85" w:type="dxa"/>
            </w:tcMar>
          </w:tcPr>
          <w:p w14:paraId="16F915D5"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2011</w:t>
            </w:r>
          </w:p>
        </w:tc>
        <w:tc>
          <w:tcPr>
            <w:tcW w:w="0" w:type="auto"/>
            <w:shd w:val="clear" w:color="auto" w:fill="FFFFFF"/>
            <w:tcMar>
              <w:top w:w="0" w:type="dxa"/>
              <w:left w:w="85" w:type="dxa"/>
              <w:bottom w:w="0" w:type="dxa"/>
              <w:right w:w="85" w:type="dxa"/>
            </w:tcMar>
          </w:tcPr>
          <w:p w14:paraId="6CC74CBD" w14:textId="77777777" w:rsidR="00BC0FD7" w:rsidRPr="001D5327" w:rsidRDefault="00BC0FD7" w:rsidP="00D11AC9">
            <w:pPr>
              <w:pStyle w:val="TableText"/>
              <w:spacing w:before="40" w:after="40"/>
              <w:jc w:val="right"/>
            </w:pPr>
            <w:r w:rsidRPr="001D5327">
              <w:rPr>
                <w:rFonts w:eastAsia="Calibri" w:cs="Calibri"/>
                <w:color w:val="000000"/>
                <w:szCs w:val="16"/>
              </w:rPr>
              <w:t>2,330.1</w:t>
            </w:r>
          </w:p>
        </w:tc>
        <w:tc>
          <w:tcPr>
            <w:tcW w:w="0" w:type="auto"/>
            <w:shd w:val="clear" w:color="auto" w:fill="FFFFFF"/>
            <w:tcMar>
              <w:top w:w="0" w:type="dxa"/>
              <w:left w:w="85" w:type="dxa"/>
              <w:bottom w:w="0" w:type="dxa"/>
              <w:right w:w="85" w:type="dxa"/>
            </w:tcMar>
          </w:tcPr>
          <w:p w14:paraId="34D7EFFD" w14:textId="77777777" w:rsidR="00BC0FD7" w:rsidRPr="001D5327" w:rsidRDefault="00BC0FD7" w:rsidP="00D11AC9">
            <w:pPr>
              <w:pStyle w:val="TableText"/>
              <w:spacing w:before="40" w:after="40"/>
              <w:jc w:val="right"/>
            </w:pPr>
            <w:r w:rsidRPr="001D5327">
              <w:rPr>
                <w:rFonts w:eastAsia="Calibri" w:cs="Calibri"/>
                <w:color w:val="000000"/>
                <w:szCs w:val="16"/>
              </w:rPr>
              <w:t>182.4</w:t>
            </w:r>
          </w:p>
        </w:tc>
        <w:tc>
          <w:tcPr>
            <w:tcW w:w="0" w:type="auto"/>
            <w:shd w:val="clear" w:color="auto" w:fill="FFFFFF"/>
            <w:tcMar>
              <w:top w:w="0" w:type="dxa"/>
              <w:left w:w="85" w:type="dxa"/>
              <w:bottom w:w="0" w:type="dxa"/>
              <w:right w:w="85" w:type="dxa"/>
            </w:tcMar>
          </w:tcPr>
          <w:p w14:paraId="5B1E842A" w14:textId="77777777" w:rsidR="00BC0FD7" w:rsidRPr="001D5327" w:rsidRDefault="00BC0FD7" w:rsidP="00D11AC9">
            <w:pPr>
              <w:pStyle w:val="TableText"/>
              <w:spacing w:before="40" w:after="40"/>
              <w:jc w:val="right"/>
            </w:pPr>
            <w:r w:rsidRPr="001D5327">
              <w:rPr>
                <w:rFonts w:eastAsia="Calibri" w:cs="Calibri"/>
                <w:color w:val="000000"/>
                <w:szCs w:val="16"/>
              </w:rPr>
              <w:t>NO</w:t>
            </w:r>
          </w:p>
        </w:tc>
        <w:tc>
          <w:tcPr>
            <w:tcW w:w="0" w:type="auto"/>
            <w:shd w:val="clear" w:color="auto" w:fill="FFFFFF"/>
            <w:tcMar>
              <w:top w:w="0" w:type="dxa"/>
              <w:left w:w="85" w:type="dxa"/>
              <w:bottom w:w="0" w:type="dxa"/>
              <w:right w:w="85" w:type="dxa"/>
            </w:tcMar>
          </w:tcPr>
          <w:p w14:paraId="3CC1357F" w14:textId="77777777" w:rsidR="00BC0FD7" w:rsidRPr="001D5327" w:rsidRDefault="00BC0FD7" w:rsidP="00D11AC9">
            <w:pPr>
              <w:pStyle w:val="TableText"/>
              <w:spacing w:before="40" w:after="40"/>
              <w:jc w:val="right"/>
            </w:pPr>
            <w:r w:rsidRPr="001D5327">
              <w:rPr>
                <w:rFonts w:eastAsia="Calibri" w:cs="Calibri"/>
                <w:color w:val="000000"/>
                <w:szCs w:val="16"/>
              </w:rPr>
              <w:t>2,512.5</w:t>
            </w:r>
          </w:p>
        </w:tc>
      </w:tr>
      <w:tr w:rsidR="00BC0FD7" w:rsidRPr="001D5327" w14:paraId="1A3AF551" w14:textId="77777777" w:rsidTr="00D11AC9">
        <w:tc>
          <w:tcPr>
            <w:tcW w:w="0" w:type="auto"/>
            <w:shd w:val="clear" w:color="auto" w:fill="FFFFFF"/>
            <w:tcMar>
              <w:top w:w="0" w:type="dxa"/>
              <w:left w:w="85" w:type="dxa"/>
              <w:bottom w:w="0" w:type="dxa"/>
              <w:right w:w="85" w:type="dxa"/>
            </w:tcMar>
          </w:tcPr>
          <w:p w14:paraId="11DE7B11"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2012</w:t>
            </w:r>
          </w:p>
        </w:tc>
        <w:tc>
          <w:tcPr>
            <w:tcW w:w="0" w:type="auto"/>
            <w:shd w:val="clear" w:color="auto" w:fill="FFFFFF"/>
            <w:tcMar>
              <w:top w:w="0" w:type="dxa"/>
              <w:left w:w="85" w:type="dxa"/>
              <w:bottom w:w="0" w:type="dxa"/>
              <w:right w:w="85" w:type="dxa"/>
            </w:tcMar>
          </w:tcPr>
          <w:p w14:paraId="1F23FDF0" w14:textId="77777777" w:rsidR="00BC0FD7" w:rsidRPr="001D5327" w:rsidRDefault="00BC0FD7" w:rsidP="00D11AC9">
            <w:pPr>
              <w:pStyle w:val="TableText"/>
              <w:spacing w:before="40" w:after="40"/>
              <w:jc w:val="right"/>
            </w:pPr>
            <w:r w:rsidRPr="001D5327">
              <w:rPr>
                <w:rFonts w:eastAsia="Calibri" w:cs="Calibri"/>
                <w:color w:val="000000"/>
                <w:szCs w:val="16"/>
              </w:rPr>
              <w:t>2,335.8</w:t>
            </w:r>
          </w:p>
        </w:tc>
        <w:tc>
          <w:tcPr>
            <w:tcW w:w="0" w:type="auto"/>
            <w:shd w:val="clear" w:color="auto" w:fill="FFFFFF"/>
            <w:tcMar>
              <w:top w:w="0" w:type="dxa"/>
              <w:left w:w="85" w:type="dxa"/>
              <w:bottom w:w="0" w:type="dxa"/>
              <w:right w:w="85" w:type="dxa"/>
            </w:tcMar>
          </w:tcPr>
          <w:p w14:paraId="42D1B3F5" w14:textId="77777777" w:rsidR="00BC0FD7" w:rsidRPr="001D5327" w:rsidRDefault="00BC0FD7" w:rsidP="00D11AC9">
            <w:pPr>
              <w:pStyle w:val="TableText"/>
              <w:spacing w:before="40" w:after="40"/>
              <w:jc w:val="right"/>
            </w:pPr>
            <w:r w:rsidRPr="001D5327">
              <w:rPr>
                <w:rFonts w:eastAsia="Calibri" w:cs="Calibri"/>
                <w:color w:val="000000"/>
                <w:szCs w:val="16"/>
              </w:rPr>
              <w:t>179.1</w:t>
            </w:r>
          </w:p>
        </w:tc>
        <w:tc>
          <w:tcPr>
            <w:tcW w:w="0" w:type="auto"/>
            <w:shd w:val="clear" w:color="auto" w:fill="FFFFFF"/>
            <w:tcMar>
              <w:top w:w="0" w:type="dxa"/>
              <w:left w:w="85" w:type="dxa"/>
              <w:bottom w:w="0" w:type="dxa"/>
              <w:right w:w="85" w:type="dxa"/>
            </w:tcMar>
          </w:tcPr>
          <w:p w14:paraId="01F19AB2" w14:textId="77777777" w:rsidR="00BC0FD7" w:rsidRPr="001D5327" w:rsidRDefault="00BC0FD7" w:rsidP="00D11AC9">
            <w:pPr>
              <w:pStyle w:val="TableText"/>
              <w:spacing w:before="40" w:after="40"/>
              <w:jc w:val="right"/>
            </w:pPr>
            <w:r w:rsidRPr="001D5327">
              <w:rPr>
                <w:rFonts w:eastAsia="Calibri" w:cs="Calibri"/>
                <w:color w:val="000000"/>
                <w:szCs w:val="16"/>
              </w:rPr>
              <w:t>NO</w:t>
            </w:r>
          </w:p>
        </w:tc>
        <w:tc>
          <w:tcPr>
            <w:tcW w:w="0" w:type="auto"/>
            <w:shd w:val="clear" w:color="auto" w:fill="FFFFFF"/>
            <w:tcMar>
              <w:top w:w="0" w:type="dxa"/>
              <w:left w:w="85" w:type="dxa"/>
              <w:bottom w:w="0" w:type="dxa"/>
              <w:right w:w="85" w:type="dxa"/>
            </w:tcMar>
          </w:tcPr>
          <w:p w14:paraId="2CC8463A" w14:textId="77777777" w:rsidR="00BC0FD7" w:rsidRPr="001D5327" w:rsidRDefault="00BC0FD7" w:rsidP="00D11AC9">
            <w:pPr>
              <w:pStyle w:val="TableText"/>
              <w:spacing w:before="40" w:after="40"/>
              <w:jc w:val="right"/>
            </w:pPr>
            <w:r w:rsidRPr="001D5327">
              <w:rPr>
                <w:rFonts w:eastAsia="Calibri" w:cs="Calibri"/>
                <w:color w:val="000000"/>
                <w:szCs w:val="16"/>
              </w:rPr>
              <w:t>2,515.0</w:t>
            </w:r>
          </w:p>
        </w:tc>
      </w:tr>
      <w:tr w:rsidR="00BC0FD7" w:rsidRPr="001D5327" w14:paraId="619DDBDC" w14:textId="77777777" w:rsidTr="00D11AC9">
        <w:tc>
          <w:tcPr>
            <w:tcW w:w="0" w:type="auto"/>
            <w:shd w:val="clear" w:color="auto" w:fill="FFFFFF"/>
            <w:tcMar>
              <w:top w:w="0" w:type="dxa"/>
              <w:left w:w="85" w:type="dxa"/>
              <w:bottom w:w="0" w:type="dxa"/>
              <w:right w:w="85" w:type="dxa"/>
            </w:tcMar>
          </w:tcPr>
          <w:p w14:paraId="62E1F186"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2013</w:t>
            </w:r>
          </w:p>
        </w:tc>
        <w:tc>
          <w:tcPr>
            <w:tcW w:w="0" w:type="auto"/>
            <w:shd w:val="clear" w:color="auto" w:fill="FFFFFF"/>
            <w:tcMar>
              <w:top w:w="0" w:type="dxa"/>
              <w:left w:w="85" w:type="dxa"/>
              <w:bottom w:w="0" w:type="dxa"/>
              <w:right w:w="85" w:type="dxa"/>
            </w:tcMar>
          </w:tcPr>
          <w:p w14:paraId="10FB9E5D" w14:textId="77777777" w:rsidR="00BC0FD7" w:rsidRPr="001D5327" w:rsidRDefault="00BC0FD7" w:rsidP="00D11AC9">
            <w:pPr>
              <w:pStyle w:val="TableText"/>
              <w:spacing w:before="40" w:after="40"/>
              <w:jc w:val="right"/>
            </w:pPr>
            <w:r w:rsidRPr="001D5327">
              <w:rPr>
                <w:rFonts w:eastAsia="Calibri" w:cs="Calibri"/>
                <w:color w:val="000000"/>
                <w:szCs w:val="16"/>
              </w:rPr>
              <w:t>2,524.2</w:t>
            </w:r>
          </w:p>
        </w:tc>
        <w:tc>
          <w:tcPr>
            <w:tcW w:w="0" w:type="auto"/>
            <w:shd w:val="clear" w:color="auto" w:fill="FFFFFF"/>
            <w:tcMar>
              <w:top w:w="0" w:type="dxa"/>
              <w:left w:w="85" w:type="dxa"/>
              <w:bottom w:w="0" w:type="dxa"/>
              <w:right w:w="85" w:type="dxa"/>
            </w:tcMar>
          </w:tcPr>
          <w:p w14:paraId="1FF712DB" w14:textId="77777777" w:rsidR="00BC0FD7" w:rsidRPr="001D5327" w:rsidRDefault="00BC0FD7" w:rsidP="00D11AC9">
            <w:pPr>
              <w:pStyle w:val="TableText"/>
              <w:spacing w:before="40" w:after="40"/>
              <w:jc w:val="right"/>
            </w:pPr>
            <w:r w:rsidRPr="001D5327">
              <w:rPr>
                <w:rFonts w:eastAsia="Calibri" w:cs="Calibri"/>
                <w:color w:val="000000"/>
                <w:szCs w:val="16"/>
              </w:rPr>
              <w:t>161.2</w:t>
            </w:r>
          </w:p>
        </w:tc>
        <w:tc>
          <w:tcPr>
            <w:tcW w:w="0" w:type="auto"/>
            <w:shd w:val="clear" w:color="auto" w:fill="FFFFFF"/>
            <w:tcMar>
              <w:top w:w="0" w:type="dxa"/>
              <w:left w:w="85" w:type="dxa"/>
              <w:bottom w:w="0" w:type="dxa"/>
              <w:right w:w="85" w:type="dxa"/>
            </w:tcMar>
          </w:tcPr>
          <w:p w14:paraId="649B1075" w14:textId="77777777" w:rsidR="00BC0FD7" w:rsidRPr="001D5327" w:rsidRDefault="00BC0FD7" w:rsidP="00D11AC9">
            <w:pPr>
              <w:pStyle w:val="TableText"/>
              <w:spacing w:before="40" w:after="40"/>
              <w:jc w:val="right"/>
            </w:pPr>
            <w:r w:rsidRPr="001D5327">
              <w:rPr>
                <w:rFonts w:eastAsia="Calibri" w:cs="Calibri"/>
                <w:color w:val="000000"/>
                <w:szCs w:val="16"/>
              </w:rPr>
              <w:t>NO</w:t>
            </w:r>
          </w:p>
        </w:tc>
        <w:tc>
          <w:tcPr>
            <w:tcW w:w="0" w:type="auto"/>
            <w:shd w:val="clear" w:color="auto" w:fill="FFFFFF"/>
            <w:tcMar>
              <w:top w:w="0" w:type="dxa"/>
              <w:left w:w="85" w:type="dxa"/>
              <w:bottom w:w="0" w:type="dxa"/>
              <w:right w:w="85" w:type="dxa"/>
            </w:tcMar>
          </w:tcPr>
          <w:p w14:paraId="2BD33B7C" w14:textId="77777777" w:rsidR="00BC0FD7" w:rsidRPr="001D5327" w:rsidRDefault="00BC0FD7" w:rsidP="00D11AC9">
            <w:pPr>
              <w:pStyle w:val="TableText"/>
              <w:spacing w:before="40" w:after="40"/>
              <w:jc w:val="right"/>
            </w:pPr>
            <w:r w:rsidRPr="001D5327">
              <w:rPr>
                <w:rFonts w:eastAsia="Calibri" w:cs="Calibri"/>
                <w:color w:val="000000"/>
                <w:szCs w:val="16"/>
              </w:rPr>
              <w:t>2,685.4</w:t>
            </w:r>
          </w:p>
        </w:tc>
      </w:tr>
      <w:tr w:rsidR="00BC0FD7" w:rsidRPr="001D5327" w14:paraId="0E542759" w14:textId="77777777" w:rsidTr="00D11AC9">
        <w:tc>
          <w:tcPr>
            <w:tcW w:w="0" w:type="auto"/>
            <w:shd w:val="clear" w:color="auto" w:fill="FFFFFF"/>
            <w:tcMar>
              <w:top w:w="0" w:type="dxa"/>
              <w:left w:w="85" w:type="dxa"/>
              <w:bottom w:w="0" w:type="dxa"/>
              <w:right w:w="85" w:type="dxa"/>
            </w:tcMar>
          </w:tcPr>
          <w:p w14:paraId="000882A2"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2014</w:t>
            </w:r>
          </w:p>
        </w:tc>
        <w:tc>
          <w:tcPr>
            <w:tcW w:w="0" w:type="auto"/>
            <w:shd w:val="clear" w:color="auto" w:fill="FFFFFF"/>
            <w:tcMar>
              <w:top w:w="0" w:type="dxa"/>
              <w:left w:w="85" w:type="dxa"/>
              <w:bottom w:w="0" w:type="dxa"/>
              <w:right w:w="85" w:type="dxa"/>
            </w:tcMar>
          </w:tcPr>
          <w:p w14:paraId="6188300E" w14:textId="77777777" w:rsidR="00BC0FD7" w:rsidRPr="001D5327" w:rsidRDefault="00BC0FD7" w:rsidP="00D11AC9">
            <w:pPr>
              <w:pStyle w:val="TableText"/>
              <w:spacing w:before="40" w:after="40"/>
              <w:jc w:val="right"/>
            </w:pPr>
            <w:r w:rsidRPr="001D5327">
              <w:rPr>
                <w:rFonts w:eastAsia="Calibri" w:cs="Calibri"/>
                <w:color w:val="000000"/>
                <w:szCs w:val="16"/>
              </w:rPr>
              <w:t>2,776.8</w:t>
            </w:r>
          </w:p>
        </w:tc>
        <w:tc>
          <w:tcPr>
            <w:tcW w:w="0" w:type="auto"/>
            <w:shd w:val="clear" w:color="auto" w:fill="FFFFFF"/>
            <w:tcMar>
              <w:top w:w="0" w:type="dxa"/>
              <w:left w:w="85" w:type="dxa"/>
              <w:bottom w:w="0" w:type="dxa"/>
              <w:right w:w="85" w:type="dxa"/>
            </w:tcMar>
          </w:tcPr>
          <w:p w14:paraId="40A87390" w14:textId="77777777" w:rsidR="00BC0FD7" w:rsidRPr="001D5327" w:rsidRDefault="00BC0FD7" w:rsidP="00D11AC9">
            <w:pPr>
              <w:pStyle w:val="TableText"/>
              <w:spacing w:before="40" w:after="40"/>
              <w:jc w:val="right"/>
            </w:pPr>
            <w:r w:rsidRPr="001D5327">
              <w:rPr>
                <w:rFonts w:eastAsia="Calibri" w:cs="Calibri"/>
                <w:color w:val="000000"/>
                <w:szCs w:val="16"/>
              </w:rPr>
              <w:t>156.2</w:t>
            </w:r>
          </w:p>
        </w:tc>
        <w:tc>
          <w:tcPr>
            <w:tcW w:w="0" w:type="auto"/>
            <w:shd w:val="clear" w:color="auto" w:fill="FFFFFF"/>
            <w:tcMar>
              <w:top w:w="0" w:type="dxa"/>
              <w:left w:w="85" w:type="dxa"/>
              <w:bottom w:w="0" w:type="dxa"/>
              <w:right w:w="85" w:type="dxa"/>
            </w:tcMar>
          </w:tcPr>
          <w:p w14:paraId="196620B3" w14:textId="77777777" w:rsidR="00BC0FD7" w:rsidRPr="001D5327" w:rsidRDefault="00BC0FD7" w:rsidP="00D11AC9">
            <w:pPr>
              <w:pStyle w:val="TableText"/>
              <w:spacing w:before="40" w:after="40"/>
              <w:jc w:val="right"/>
            </w:pPr>
            <w:r w:rsidRPr="001D5327">
              <w:rPr>
                <w:rFonts w:eastAsia="Calibri" w:cs="Calibri"/>
                <w:color w:val="000000"/>
                <w:szCs w:val="16"/>
              </w:rPr>
              <w:t>NO</w:t>
            </w:r>
          </w:p>
        </w:tc>
        <w:tc>
          <w:tcPr>
            <w:tcW w:w="0" w:type="auto"/>
            <w:shd w:val="clear" w:color="auto" w:fill="FFFFFF"/>
            <w:tcMar>
              <w:top w:w="0" w:type="dxa"/>
              <w:left w:w="85" w:type="dxa"/>
              <w:bottom w:w="0" w:type="dxa"/>
              <w:right w:w="85" w:type="dxa"/>
            </w:tcMar>
          </w:tcPr>
          <w:p w14:paraId="7E012E24" w14:textId="77777777" w:rsidR="00BC0FD7" w:rsidRPr="001D5327" w:rsidRDefault="00BC0FD7" w:rsidP="00D11AC9">
            <w:pPr>
              <w:pStyle w:val="TableText"/>
              <w:spacing w:before="40" w:after="40"/>
              <w:jc w:val="right"/>
            </w:pPr>
            <w:r w:rsidRPr="001D5327">
              <w:rPr>
                <w:rFonts w:eastAsia="Calibri" w:cs="Calibri"/>
                <w:color w:val="000000"/>
                <w:szCs w:val="16"/>
              </w:rPr>
              <w:t>2,933.1</w:t>
            </w:r>
          </w:p>
        </w:tc>
      </w:tr>
      <w:tr w:rsidR="00BC0FD7" w:rsidRPr="001D5327" w14:paraId="5CA90B25" w14:textId="77777777" w:rsidTr="00D11AC9">
        <w:tc>
          <w:tcPr>
            <w:tcW w:w="0" w:type="auto"/>
            <w:shd w:val="clear" w:color="auto" w:fill="FFFFFF"/>
            <w:tcMar>
              <w:top w:w="0" w:type="dxa"/>
              <w:left w:w="85" w:type="dxa"/>
              <w:bottom w:w="0" w:type="dxa"/>
              <w:right w:w="85" w:type="dxa"/>
            </w:tcMar>
          </w:tcPr>
          <w:p w14:paraId="4D763602"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2015</w:t>
            </w:r>
          </w:p>
        </w:tc>
        <w:tc>
          <w:tcPr>
            <w:tcW w:w="0" w:type="auto"/>
            <w:shd w:val="clear" w:color="auto" w:fill="FFFFFF"/>
            <w:tcMar>
              <w:top w:w="0" w:type="dxa"/>
              <w:left w:w="85" w:type="dxa"/>
              <w:bottom w:w="0" w:type="dxa"/>
              <w:right w:w="85" w:type="dxa"/>
            </w:tcMar>
          </w:tcPr>
          <w:p w14:paraId="4B02B8CD" w14:textId="7C9E3FA1" w:rsidR="00BC0FD7" w:rsidRPr="001D5327" w:rsidRDefault="00BC0FD7" w:rsidP="00D11AC9">
            <w:pPr>
              <w:pStyle w:val="TableText"/>
              <w:spacing w:before="40" w:after="40"/>
              <w:jc w:val="right"/>
            </w:pPr>
            <w:r w:rsidRPr="001D5327">
              <w:rPr>
                <w:rFonts w:eastAsia="Calibri" w:cs="Calibri"/>
                <w:color w:val="000000"/>
                <w:szCs w:val="16"/>
              </w:rPr>
              <w:t>3</w:t>
            </w:r>
            <w:r w:rsidR="0045575D">
              <w:rPr>
                <w:rFonts w:eastAsia="Calibri" w:cs="Calibri"/>
                <w:color w:val="000000"/>
                <w:szCs w:val="16"/>
              </w:rPr>
              <w:t>,</w:t>
            </w:r>
            <w:r w:rsidRPr="001D5327">
              <w:rPr>
                <w:rFonts w:eastAsia="Calibri" w:cs="Calibri"/>
                <w:color w:val="000000"/>
                <w:szCs w:val="16"/>
              </w:rPr>
              <w:t>053.9</w:t>
            </w:r>
          </w:p>
        </w:tc>
        <w:tc>
          <w:tcPr>
            <w:tcW w:w="0" w:type="auto"/>
            <w:shd w:val="clear" w:color="auto" w:fill="FFFFFF"/>
            <w:tcMar>
              <w:top w:w="0" w:type="dxa"/>
              <w:left w:w="85" w:type="dxa"/>
              <w:bottom w:w="0" w:type="dxa"/>
              <w:right w:w="85" w:type="dxa"/>
            </w:tcMar>
          </w:tcPr>
          <w:p w14:paraId="427874A7" w14:textId="77777777" w:rsidR="00BC0FD7" w:rsidRPr="001D5327" w:rsidRDefault="00BC0FD7" w:rsidP="00D11AC9">
            <w:pPr>
              <w:pStyle w:val="TableText"/>
              <w:spacing w:before="40" w:after="40"/>
              <w:jc w:val="right"/>
            </w:pPr>
            <w:r w:rsidRPr="001D5327">
              <w:rPr>
                <w:rFonts w:eastAsia="Calibri" w:cs="Calibri"/>
                <w:color w:val="000000"/>
                <w:szCs w:val="16"/>
              </w:rPr>
              <w:t>168.5</w:t>
            </w:r>
          </w:p>
        </w:tc>
        <w:tc>
          <w:tcPr>
            <w:tcW w:w="0" w:type="auto"/>
            <w:shd w:val="clear" w:color="auto" w:fill="FFFFFF"/>
            <w:tcMar>
              <w:top w:w="0" w:type="dxa"/>
              <w:left w:w="85" w:type="dxa"/>
              <w:bottom w:w="0" w:type="dxa"/>
              <w:right w:w="85" w:type="dxa"/>
            </w:tcMar>
          </w:tcPr>
          <w:p w14:paraId="221FFEE4" w14:textId="77777777" w:rsidR="00BC0FD7" w:rsidRPr="001D5327" w:rsidRDefault="00BC0FD7" w:rsidP="00D11AC9">
            <w:pPr>
              <w:pStyle w:val="TableText"/>
              <w:spacing w:before="40" w:after="40"/>
              <w:jc w:val="right"/>
            </w:pPr>
            <w:r w:rsidRPr="001D5327">
              <w:rPr>
                <w:rFonts w:eastAsia="Calibri" w:cs="Calibri"/>
                <w:color w:val="000000"/>
                <w:szCs w:val="16"/>
              </w:rPr>
              <w:t>NO</w:t>
            </w:r>
          </w:p>
        </w:tc>
        <w:tc>
          <w:tcPr>
            <w:tcW w:w="0" w:type="auto"/>
            <w:shd w:val="clear" w:color="auto" w:fill="FFFFFF"/>
            <w:tcMar>
              <w:top w:w="0" w:type="dxa"/>
              <w:left w:w="85" w:type="dxa"/>
              <w:bottom w:w="0" w:type="dxa"/>
              <w:right w:w="85" w:type="dxa"/>
            </w:tcMar>
          </w:tcPr>
          <w:p w14:paraId="40822A99" w14:textId="77777777" w:rsidR="00BC0FD7" w:rsidRPr="001D5327" w:rsidRDefault="00BC0FD7" w:rsidP="00D11AC9">
            <w:pPr>
              <w:pStyle w:val="TableText"/>
              <w:spacing w:before="40" w:after="40"/>
              <w:jc w:val="right"/>
            </w:pPr>
            <w:r w:rsidRPr="001D5327">
              <w:rPr>
                <w:rFonts w:eastAsia="Calibri" w:cs="Calibri"/>
                <w:color w:val="000000"/>
                <w:szCs w:val="16"/>
              </w:rPr>
              <w:t>3222.4</w:t>
            </w:r>
          </w:p>
        </w:tc>
      </w:tr>
      <w:tr w:rsidR="00BC0FD7" w:rsidRPr="001D5327" w14:paraId="023C613D" w14:textId="77777777" w:rsidTr="00D11AC9">
        <w:tc>
          <w:tcPr>
            <w:tcW w:w="0" w:type="auto"/>
            <w:shd w:val="clear" w:color="auto" w:fill="FFFFFF"/>
            <w:tcMar>
              <w:top w:w="0" w:type="dxa"/>
              <w:left w:w="85" w:type="dxa"/>
              <w:bottom w:w="0" w:type="dxa"/>
              <w:right w:w="85" w:type="dxa"/>
            </w:tcMar>
          </w:tcPr>
          <w:p w14:paraId="5C1D62EE"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2016</w:t>
            </w:r>
          </w:p>
        </w:tc>
        <w:tc>
          <w:tcPr>
            <w:tcW w:w="0" w:type="auto"/>
            <w:shd w:val="clear" w:color="auto" w:fill="FFFFFF"/>
            <w:tcMar>
              <w:top w:w="0" w:type="dxa"/>
              <w:left w:w="85" w:type="dxa"/>
              <w:bottom w:w="0" w:type="dxa"/>
              <w:right w:w="85" w:type="dxa"/>
            </w:tcMar>
          </w:tcPr>
          <w:p w14:paraId="6E693227" w14:textId="77777777" w:rsidR="00BC0FD7" w:rsidRPr="001D5327" w:rsidRDefault="00BC0FD7" w:rsidP="00D11AC9">
            <w:pPr>
              <w:pStyle w:val="TableText"/>
              <w:spacing w:before="40" w:after="40"/>
              <w:jc w:val="right"/>
            </w:pPr>
            <w:r w:rsidRPr="001D5327">
              <w:rPr>
                <w:rFonts w:eastAsia="Calibri" w:cs="Calibri"/>
                <w:color w:val="000000"/>
                <w:szCs w:val="16"/>
              </w:rPr>
              <w:t>3,232.9</w:t>
            </w:r>
          </w:p>
        </w:tc>
        <w:tc>
          <w:tcPr>
            <w:tcW w:w="0" w:type="auto"/>
            <w:shd w:val="clear" w:color="auto" w:fill="FFFFFF"/>
            <w:tcMar>
              <w:top w:w="0" w:type="dxa"/>
              <w:left w:w="85" w:type="dxa"/>
              <w:bottom w:w="0" w:type="dxa"/>
              <w:right w:w="85" w:type="dxa"/>
            </w:tcMar>
          </w:tcPr>
          <w:p w14:paraId="54B5FF5F" w14:textId="77777777" w:rsidR="00BC0FD7" w:rsidRPr="001D5327" w:rsidRDefault="00BC0FD7" w:rsidP="00D11AC9">
            <w:pPr>
              <w:pStyle w:val="TableText"/>
              <w:spacing w:before="40" w:after="40"/>
              <w:jc w:val="right"/>
            </w:pPr>
            <w:r w:rsidRPr="001D5327">
              <w:rPr>
                <w:rFonts w:eastAsia="Calibri" w:cs="Calibri"/>
                <w:color w:val="000000"/>
                <w:szCs w:val="16"/>
              </w:rPr>
              <w:t>172.1</w:t>
            </w:r>
          </w:p>
        </w:tc>
        <w:tc>
          <w:tcPr>
            <w:tcW w:w="0" w:type="auto"/>
            <w:shd w:val="clear" w:color="auto" w:fill="FFFFFF"/>
            <w:tcMar>
              <w:top w:w="0" w:type="dxa"/>
              <w:left w:w="85" w:type="dxa"/>
              <w:bottom w:w="0" w:type="dxa"/>
              <w:right w:w="85" w:type="dxa"/>
            </w:tcMar>
          </w:tcPr>
          <w:p w14:paraId="6512CD6E" w14:textId="77777777" w:rsidR="00BC0FD7" w:rsidRPr="001D5327" w:rsidRDefault="00BC0FD7" w:rsidP="00D11AC9">
            <w:pPr>
              <w:pStyle w:val="TableText"/>
              <w:spacing w:before="40" w:after="40"/>
              <w:jc w:val="right"/>
            </w:pPr>
            <w:r w:rsidRPr="001D5327">
              <w:rPr>
                <w:rFonts w:eastAsia="Calibri" w:cs="Calibri"/>
                <w:color w:val="000000"/>
                <w:szCs w:val="16"/>
              </w:rPr>
              <w:t>NO</w:t>
            </w:r>
          </w:p>
        </w:tc>
        <w:tc>
          <w:tcPr>
            <w:tcW w:w="0" w:type="auto"/>
            <w:shd w:val="clear" w:color="auto" w:fill="FFFFFF"/>
            <w:tcMar>
              <w:top w:w="0" w:type="dxa"/>
              <w:left w:w="85" w:type="dxa"/>
              <w:bottom w:w="0" w:type="dxa"/>
              <w:right w:w="85" w:type="dxa"/>
            </w:tcMar>
          </w:tcPr>
          <w:p w14:paraId="1D5FE0B6" w14:textId="77777777" w:rsidR="00BC0FD7" w:rsidRPr="001D5327" w:rsidRDefault="00BC0FD7" w:rsidP="00D11AC9">
            <w:pPr>
              <w:pStyle w:val="TableText"/>
              <w:spacing w:before="40" w:after="40"/>
              <w:jc w:val="right"/>
            </w:pPr>
            <w:r w:rsidRPr="001D5327">
              <w:rPr>
                <w:rFonts w:eastAsia="Calibri" w:cs="Calibri"/>
                <w:color w:val="000000"/>
                <w:szCs w:val="16"/>
              </w:rPr>
              <w:t>3,404.9</w:t>
            </w:r>
          </w:p>
        </w:tc>
      </w:tr>
      <w:tr w:rsidR="00BC0FD7" w:rsidRPr="001D5327" w14:paraId="17440619" w14:textId="77777777" w:rsidTr="00D11AC9">
        <w:tc>
          <w:tcPr>
            <w:tcW w:w="0" w:type="auto"/>
            <w:shd w:val="clear" w:color="auto" w:fill="FFFFFF"/>
            <w:tcMar>
              <w:top w:w="0" w:type="dxa"/>
              <w:left w:w="85" w:type="dxa"/>
              <w:bottom w:w="0" w:type="dxa"/>
              <w:right w:w="85" w:type="dxa"/>
            </w:tcMar>
          </w:tcPr>
          <w:p w14:paraId="616B20B3"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2017</w:t>
            </w:r>
          </w:p>
        </w:tc>
        <w:tc>
          <w:tcPr>
            <w:tcW w:w="0" w:type="auto"/>
            <w:shd w:val="clear" w:color="auto" w:fill="FFFFFF"/>
            <w:tcMar>
              <w:top w:w="0" w:type="dxa"/>
              <w:left w:w="85" w:type="dxa"/>
              <w:bottom w:w="0" w:type="dxa"/>
              <w:right w:w="85" w:type="dxa"/>
            </w:tcMar>
          </w:tcPr>
          <w:p w14:paraId="65D24E11" w14:textId="77777777" w:rsidR="00BC0FD7" w:rsidRPr="001D5327" w:rsidRDefault="00BC0FD7" w:rsidP="00D11AC9">
            <w:pPr>
              <w:pStyle w:val="TableText"/>
              <w:spacing w:before="40" w:after="40"/>
              <w:jc w:val="right"/>
            </w:pPr>
            <w:r w:rsidRPr="001D5327">
              <w:rPr>
                <w:rFonts w:eastAsia="Calibri" w:cs="Calibri"/>
                <w:color w:val="000000"/>
                <w:szCs w:val="16"/>
              </w:rPr>
              <w:t>3,349.1</w:t>
            </w:r>
          </w:p>
        </w:tc>
        <w:tc>
          <w:tcPr>
            <w:tcW w:w="0" w:type="auto"/>
            <w:shd w:val="clear" w:color="auto" w:fill="FFFFFF"/>
            <w:tcMar>
              <w:top w:w="0" w:type="dxa"/>
              <w:left w:w="85" w:type="dxa"/>
              <w:bottom w:w="0" w:type="dxa"/>
              <w:right w:w="85" w:type="dxa"/>
            </w:tcMar>
          </w:tcPr>
          <w:p w14:paraId="5009C741" w14:textId="77777777" w:rsidR="00BC0FD7" w:rsidRPr="001D5327" w:rsidRDefault="00BC0FD7" w:rsidP="00D11AC9">
            <w:pPr>
              <w:pStyle w:val="TableText"/>
              <w:spacing w:before="40" w:after="40"/>
              <w:jc w:val="right"/>
            </w:pPr>
            <w:r w:rsidRPr="001D5327">
              <w:rPr>
                <w:rFonts w:eastAsia="Calibri" w:cs="Calibri"/>
                <w:color w:val="000000"/>
                <w:szCs w:val="16"/>
              </w:rPr>
              <w:t>145.2</w:t>
            </w:r>
          </w:p>
        </w:tc>
        <w:tc>
          <w:tcPr>
            <w:tcW w:w="0" w:type="auto"/>
            <w:shd w:val="clear" w:color="auto" w:fill="FFFFFF"/>
            <w:tcMar>
              <w:top w:w="0" w:type="dxa"/>
              <w:left w:w="85" w:type="dxa"/>
              <w:bottom w:w="0" w:type="dxa"/>
              <w:right w:w="85" w:type="dxa"/>
            </w:tcMar>
          </w:tcPr>
          <w:p w14:paraId="222DE3BA" w14:textId="77777777" w:rsidR="00BC0FD7" w:rsidRPr="001D5327" w:rsidRDefault="00BC0FD7" w:rsidP="00D11AC9">
            <w:pPr>
              <w:pStyle w:val="TableText"/>
              <w:spacing w:before="40" w:after="40"/>
              <w:jc w:val="right"/>
            </w:pPr>
            <w:r w:rsidRPr="001D5327">
              <w:rPr>
                <w:rFonts w:eastAsia="Calibri" w:cs="Calibri"/>
                <w:color w:val="000000"/>
                <w:szCs w:val="16"/>
              </w:rPr>
              <w:t>NO</w:t>
            </w:r>
          </w:p>
        </w:tc>
        <w:tc>
          <w:tcPr>
            <w:tcW w:w="0" w:type="auto"/>
            <w:shd w:val="clear" w:color="auto" w:fill="FFFFFF"/>
            <w:tcMar>
              <w:top w:w="0" w:type="dxa"/>
              <w:left w:w="85" w:type="dxa"/>
              <w:bottom w:w="0" w:type="dxa"/>
              <w:right w:w="85" w:type="dxa"/>
            </w:tcMar>
          </w:tcPr>
          <w:p w14:paraId="55862B9D" w14:textId="77777777" w:rsidR="00BC0FD7" w:rsidRPr="001D5327" w:rsidRDefault="00BC0FD7" w:rsidP="00D11AC9">
            <w:pPr>
              <w:pStyle w:val="TableText"/>
              <w:spacing w:before="40" w:after="40"/>
              <w:jc w:val="right"/>
            </w:pPr>
            <w:r w:rsidRPr="001D5327">
              <w:rPr>
                <w:rFonts w:eastAsia="Calibri" w:cs="Calibri"/>
                <w:color w:val="000000"/>
                <w:szCs w:val="16"/>
              </w:rPr>
              <w:t>3,494.3</w:t>
            </w:r>
          </w:p>
        </w:tc>
      </w:tr>
      <w:tr w:rsidR="00BC0FD7" w:rsidRPr="001D5327" w14:paraId="087751F2" w14:textId="77777777" w:rsidTr="00D11AC9">
        <w:tc>
          <w:tcPr>
            <w:tcW w:w="0" w:type="auto"/>
            <w:shd w:val="clear" w:color="auto" w:fill="FFFFFF"/>
            <w:tcMar>
              <w:top w:w="0" w:type="dxa"/>
              <w:left w:w="85" w:type="dxa"/>
              <w:bottom w:w="0" w:type="dxa"/>
              <w:right w:w="85" w:type="dxa"/>
            </w:tcMar>
          </w:tcPr>
          <w:p w14:paraId="27AA9B51"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2018</w:t>
            </w:r>
          </w:p>
        </w:tc>
        <w:tc>
          <w:tcPr>
            <w:tcW w:w="0" w:type="auto"/>
            <w:shd w:val="clear" w:color="auto" w:fill="FFFFFF"/>
            <w:tcMar>
              <w:top w:w="0" w:type="dxa"/>
              <w:left w:w="85" w:type="dxa"/>
              <w:bottom w:w="0" w:type="dxa"/>
              <w:right w:w="85" w:type="dxa"/>
            </w:tcMar>
          </w:tcPr>
          <w:p w14:paraId="571528AC" w14:textId="77777777" w:rsidR="00BC0FD7" w:rsidRPr="001D5327" w:rsidRDefault="00BC0FD7" w:rsidP="00D11AC9">
            <w:pPr>
              <w:pStyle w:val="TableText"/>
              <w:spacing w:before="40" w:after="40"/>
              <w:jc w:val="right"/>
            </w:pPr>
            <w:r w:rsidRPr="001D5327">
              <w:rPr>
                <w:rFonts w:eastAsia="Calibri" w:cs="Calibri"/>
                <w:color w:val="000000"/>
                <w:szCs w:val="16"/>
              </w:rPr>
              <w:t>3,610.1</w:t>
            </w:r>
          </w:p>
        </w:tc>
        <w:tc>
          <w:tcPr>
            <w:tcW w:w="0" w:type="auto"/>
            <w:shd w:val="clear" w:color="auto" w:fill="FFFFFF"/>
            <w:tcMar>
              <w:top w:w="0" w:type="dxa"/>
              <w:left w:w="85" w:type="dxa"/>
              <w:bottom w:w="0" w:type="dxa"/>
              <w:right w:w="85" w:type="dxa"/>
            </w:tcMar>
          </w:tcPr>
          <w:p w14:paraId="61C63BCE" w14:textId="77777777" w:rsidR="00BC0FD7" w:rsidRPr="001D5327" w:rsidRDefault="00BC0FD7" w:rsidP="00D11AC9">
            <w:pPr>
              <w:pStyle w:val="TableText"/>
              <w:spacing w:before="40" w:after="40"/>
              <w:jc w:val="right"/>
            </w:pPr>
            <w:r w:rsidRPr="001D5327">
              <w:rPr>
                <w:rFonts w:eastAsia="Calibri" w:cs="Calibri"/>
                <w:color w:val="000000"/>
                <w:szCs w:val="16"/>
              </w:rPr>
              <w:t>95.1</w:t>
            </w:r>
          </w:p>
        </w:tc>
        <w:tc>
          <w:tcPr>
            <w:tcW w:w="0" w:type="auto"/>
            <w:shd w:val="clear" w:color="auto" w:fill="FFFFFF"/>
            <w:tcMar>
              <w:top w:w="0" w:type="dxa"/>
              <w:left w:w="85" w:type="dxa"/>
              <w:bottom w:w="0" w:type="dxa"/>
              <w:right w:w="85" w:type="dxa"/>
            </w:tcMar>
          </w:tcPr>
          <w:p w14:paraId="0CF12834" w14:textId="77777777" w:rsidR="00BC0FD7" w:rsidRPr="001D5327" w:rsidRDefault="00BC0FD7" w:rsidP="00D11AC9">
            <w:pPr>
              <w:pStyle w:val="TableText"/>
              <w:spacing w:before="40" w:after="40"/>
              <w:jc w:val="right"/>
            </w:pPr>
            <w:r w:rsidRPr="001D5327">
              <w:rPr>
                <w:rFonts w:eastAsia="Calibri" w:cs="Calibri"/>
                <w:color w:val="000000"/>
                <w:szCs w:val="16"/>
              </w:rPr>
              <w:t>NO</w:t>
            </w:r>
          </w:p>
        </w:tc>
        <w:tc>
          <w:tcPr>
            <w:tcW w:w="0" w:type="auto"/>
            <w:shd w:val="clear" w:color="auto" w:fill="FFFFFF"/>
            <w:tcMar>
              <w:top w:w="0" w:type="dxa"/>
              <w:left w:w="85" w:type="dxa"/>
              <w:bottom w:w="0" w:type="dxa"/>
              <w:right w:w="85" w:type="dxa"/>
            </w:tcMar>
          </w:tcPr>
          <w:p w14:paraId="1AA0089E" w14:textId="77777777" w:rsidR="00BC0FD7" w:rsidRPr="001D5327" w:rsidRDefault="00BC0FD7" w:rsidP="00D11AC9">
            <w:pPr>
              <w:pStyle w:val="TableText"/>
              <w:spacing w:before="40" w:after="40"/>
              <w:jc w:val="right"/>
            </w:pPr>
            <w:r w:rsidRPr="001D5327">
              <w:rPr>
                <w:rFonts w:eastAsia="Calibri" w:cs="Calibri"/>
                <w:color w:val="000000"/>
                <w:szCs w:val="16"/>
              </w:rPr>
              <w:t>3,705.3</w:t>
            </w:r>
          </w:p>
        </w:tc>
      </w:tr>
      <w:tr w:rsidR="00BC0FD7" w:rsidRPr="001D5327" w14:paraId="73DDF8CF" w14:textId="77777777" w:rsidTr="00D11AC9">
        <w:tc>
          <w:tcPr>
            <w:tcW w:w="0" w:type="auto"/>
            <w:shd w:val="clear" w:color="auto" w:fill="FFFFFF"/>
            <w:tcMar>
              <w:top w:w="0" w:type="dxa"/>
              <w:left w:w="85" w:type="dxa"/>
              <w:bottom w:w="0" w:type="dxa"/>
              <w:right w:w="85" w:type="dxa"/>
            </w:tcMar>
          </w:tcPr>
          <w:p w14:paraId="648F5B66"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lastRenderedPageBreak/>
              <w:t>2019</w:t>
            </w:r>
          </w:p>
        </w:tc>
        <w:tc>
          <w:tcPr>
            <w:tcW w:w="0" w:type="auto"/>
            <w:shd w:val="clear" w:color="auto" w:fill="FFFFFF"/>
            <w:tcMar>
              <w:top w:w="0" w:type="dxa"/>
              <w:left w:w="85" w:type="dxa"/>
              <w:bottom w:w="0" w:type="dxa"/>
              <w:right w:w="85" w:type="dxa"/>
            </w:tcMar>
          </w:tcPr>
          <w:p w14:paraId="6AB23184" w14:textId="77777777" w:rsidR="00BC0FD7" w:rsidRPr="001D5327" w:rsidRDefault="00BC0FD7" w:rsidP="00D11AC9">
            <w:pPr>
              <w:pStyle w:val="TableText"/>
              <w:spacing w:before="40" w:after="40"/>
              <w:jc w:val="right"/>
            </w:pPr>
            <w:r w:rsidRPr="001D5327">
              <w:rPr>
                <w:rFonts w:eastAsia="Calibri" w:cs="Calibri"/>
                <w:color w:val="000000"/>
                <w:szCs w:val="16"/>
              </w:rPr>
              <w:t>3,405.8</w:t>
            </w:r>
          </w:p>
        </w:tc>
        <w:tc>
          <w:tcPr>
            <w:tcW w:w="0" w:type="auto"/>
            <w:shd w:val="clear" w:color="auto" w:fill="FFFFFF"/>
            <w:tcMar>
              <w:top w:w="0" w:type="dxa"/>
              <w:left w:w="85" w:type="dxa"/>
              <w:bottom w:w="0" w:type="dxa"/>
              <w:right w:w="85" w:type="dxa"/>
            </w:tcMar>
          </w:tcPr>
          <w:p w14:paraId="51229082" w14:textId="77777777" w:rsidR="00BC0FD7" w:rsidRPr="001D5327" w:rsidRDefault="00BC0FD7" w:rsidP="00D11AC9">
            <w:pPr>
              <w:pStyle w:val="TableText"/>
              <w:spacing w:before="40" w:after="40"/>
              <w:jc w:val="right"/>
            </w:pPr>
            <w:r w:rsidRPr="001D5327">
              <w:rPr>
                <w:rFonts w:eastAsia="Calibri" w:cs="Calibri"/>
                <w:color w:val="000000"/>
                <w:szCs w:val="16"/>
              </w:rPr>
              <w:t>92.4</w:t>
            </w:r>
          </w:p>
        </w:tc>
        <w:tc>
          <w:tcPr>
            <w:tcW w:w="0" w:type="auto"/>
            <w:shd w:val="clear" w:color="auto" w:fill="FFFFFF"/>
            <w:tcMar>
              <w:top w:w="0" w:type="dxa"/>
              <w:left w:w="85" w:type="dxa"/>
              <w:bottom w:w="0" w:type="dxa"/>
              <w:right w:w="85" w:type="dxa"/>
            </w:tcMar>
          </w:tcPr>
          <w:p w14:paraId="360EB939" w14:textId="77777777" w:rsidR="00BC0FD7" w:rsidRPr="001D5327" w:rsidRDefault="00BC0FD7" w:rsidP="00D11AC9">
            <w:pPr>
              <w:pStyle w:val="TableText"/>
              <w:spacing w:before="40" w:after="40"/>
              <w:jc w:val="right"/>
            </w:pPr>
            <w:r w:rsidRPr="001D5327">
              <w:rPr>
                <w:rFonts w:eastAsia="Calibri" w:cs="Calibri"/>
                <w:color w:val="000000"/>
                <w:szCs w:val="16"/>
              </w:rPr>
              <w:t>NO</w:t>
            </w:r>
          </w:p>
        </w:tc>
        <w:tc>
          <w:tcPr>
            <w:tcW w:w="0" w:type="auto"/>
            <w:shd w:val="clear" w:color="auto" w:fill="FFFFFF"/>
            <w:tcMar>
              <w:top w:w="0" w:type="dxa"/>
              <w:left w:w="85" w:type="dxa"/>
              <w:bottom w:w="0" w:type="dxa"/>
              <w:right w:w="85" w:type="dxa"/>
            </w:tcMar>
          </w:tcPr>
          <w:p w14:paraId="6DE48C0E" w14:textId="77777777" w:rsidR="00BC0FD7" w:rsidRPr="001D5327" w:rsidRDefault="00BC0FD7" w:rsidP="00D11AC9">
            <w:pPr>
              <w:pStyle w:val="TableText"/>
              <w:spacing w:before="40" w:after="40"/>
              <w:jc w:val="right"/>
            </w:pPr>
            <w:r w:rsidRPr="001D5327">
              <w:rPr>
                <w:rFonts w:eastAsia="Calibri" w:cs="Calibri"/>
                <w:color w:val="000000"/>
                <w:szCs w:val="16"/>
              </w:rPr>
              <w:t>3,498.2</w:t>
            </w:r>
          </w:p>
        </w:tc>
      </w:tr>
      <w:tr w:rsidR="00BC0FD7" w:rsidRPr="001D5327" w14:paraId="6B7AC0E9" w14:textId="77777777" w:rsidTr="00D11AC9">
        <w:tc>
          <w:tcPr>
            <w:tcW w:w="0" w:type="auto"/>
            <w:shd w:val="clear" w:color="auto" w:fill="FFFFFF"/>
            <w:tcMar>
              <w:top w:w="0" w:type="dxa"/>
              <w:left w:w="85" w:type="dxa"/>
              <w:bottom w:w="0" w:type="dxa"/>
              <w:right w:w="85" w:type="dxa"/>
            </w:tcMar>
          </w:tcPr>
          <w:p w14:paraId="259F03A1"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2020</w:t>
            </w:r>
          </w:p>
        </w:tc>
        <w:tc>
          <w:tcPr>
            <w:tcW w:w="0" w:type="auto"/>
            <w:shd w:val="clear" w:color="auto" w:fill="FFFFFF"/>
            <w:tcMar>
              <w:top w:w="0" w:type="dxa"/>
              <w:left w:w="85" w:type="dxa"/>
              <w:bottom w:w="0" w:type="dxa"/>
              <w:right w:w="85" w:type="dxa"/>
            </w:tcMar>
          </w:tcPr>
          <w:p w14:paraId="605AF6A7" w14:textId="77777777" w:rsidR="00BC0FD7" w:rsidRPr="001D5327" w:rsidRDefault="00BC0FD7" w:rsidP="00D11AC9">
            <w:pPr>
              <w:pStyle w:val="TableText"/>
              <w:spacing w:before="40" w:after="40"/>
              <w:jc w:val="right"/>
            </w:pPr>
            <w:r w:rsidRPr="001D5327">
              <w:rPr>
                <w:rFonts w:eastAsia="Calibri" w:cs="Calibri"/>
                <w:color w:val="000000"/>
                <w:szCs w:val="16"/>
              </w:rPr>
              <w:t>3,297.5</w:t>
            </w:r>
          </w:p>
        </w:tc>
        <w:tc>
          <w:tcPr>
            <w:tcW w:w="0" w:type="auto"/>
            <w:shd w:val="clear" w:color="auto" w:fill="FFFFFF"/>
            <w:tcMar>
              <w:top w:w="0" w:type="dxa"/>
              <w:left w:w="85" w:type="dxa"/>
              <w:bottom w:w="0" w:type="dxa"/>
              <w:right w:w="85" w:type="dxa"/>
            </w:tcMar>
          </w:tcPr>
          <w:p w14:paraId="1CB5433B" w14:textId="77777777" w:rsidR="00BC0FD7" w:rsidRPr="001D5327" w:rsidRDefault="00BC0FD7" w:rsidP="00D11AC9">
            <w:pPr>
              <w:pStyle w:val="TableText"/>
              <w:spacing w:before="40" w:after="40"/>
              <w:jc w:val="right"/>
            </w:pPr>
            <w:r w:rsidRPr="001D5327">
              <w:rPr>
                <w:rFonts w:eastAsia="Calibri" w:cs="Calibri"/>
                <w:color w:val="000000"/>
                <w:szCs w:val="16"/>
              </w:rPr>
              <w:t>85.8</w:t>
            </w:r>
          </w:p>
        </w:tc>
        <w:tc>
          <w:tcPr>
            <w:tcW w:w="0" w:type="auto"/>
            <w:shd w:val="clear" w:color="auto" w:fill="FFFFFF"/>
            <w:tcMar>
              <w:top w:w="0" w:type="dxa"/>
              <w:left w:w="85" w:type="dxa"/>
              <w:bottom w:w="0" w:type="dxa"/>
              <w:right w:w="85" w:type="dxa"/>
            </w:tcMar>
          </w:tcPr>
          <w:p w14:paraId="70E0EAC0" w14:textId="77777777" w:rsidR="00BC0FD7" w:rsidRPr="001D5327" w:rsidRDefault="00BC0FD7" w:rsidP="00D11AC9">
            <w:pPr>
              <w:pStyle w:val="TableText"/>
              <w:spacing w:before="40" w:after="40"/>
              <w:jc w:val="right"/>
            </w:pPr>
            <w:r w:rsidRPr="001D5327">
              <w:rPr>
                <w:rFonts w:eastAsia="Calibri" w:cs="Calibri"/>
                <w:color w:val="000000"/>
                <w:szCs w:val="16"/>
              </w:rPr>
              <w:t>NO</w:t>
            </w:r>
          </w:p>
        </w:tc>
        <w:tc>
          <w:tcPr>
            <w:tcW w:w="0" w:type="auto"/>
            <w:shd w:val="clear" w:color="auto" w:fill="FFFFFF"/>
            <w:tcMar>
              <w:top w:w="0" w:type="dxa"/>
              <w:left w:w="85" w:type="dxa"/>
              <w:bottom w:w="0" w:type="dxa"/>
              <w:right w:w="85" w:type="dxa"/>
            </w:tcMar>
          </w:tcPr>
          <w:p w14:paraId="7F9AAA0D" w14:textId="77777777" w:rsidR="00BC0FD7" w:rsidRPr="001D5327" w:rsidRDefault="00BC0FD7" w:rsidP="00D11AC9">
            <w:pPr>
              <w:pStyle w:val="TableText"/>
              <w:spacing w:before="40" w:after="40"/>
              <w:jc w:val="right"/>
            </w:pPr>
            <w:r w:rsidRPr="001D5327">
              <w:rPr>
                <w:rFonts w:eastAsia="Calibri" w:cs="Calibri"/>
                <w:color w:val="000000"/>
                <w:szCs w:val="16"/>
              </w:rPr>
              <w:t>3,383.3</w:t>
            </w:r>
          </w:p>
        </w:tc>
      </w:tr>
      <w:tr w:rsidR="00BC0FD7" w:rsidRPr="001D5327" w14:paraId="74EF7660" w14:textId="77777777" w:rsidTr="00D11AC9">
        <w:tc>
          <w:tcPr>
            <w:tcW w:w="0" w:type="auto"/>
            <w:shd w:val="clear" w:color="auto" w:fill="FFFFFF"/>
            <w:tcMar>
              <w:top w:w="0" w:type="dxa"/>
              <w:left w:w="85" w:type="dxa"/>
              <w:bottom w:w="0" w:type="dxa"/>
              <w:right w:w="85" w:type="dxa"/>
            </w:tcMar>
          </w:tcPr>
          <w:p w14:paraId="5F47A527"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2021</w:t>
            </w:r>
          </w:p>
        </w:tc>
        <w:tc>
          <w:tcPr>
            <w:tcW w:w="0" w:type="auto"/>
            <w:shd w:val="clear" w:color="auto" w:fill="FFFFFF"/>
            <w:tcMar>
              <w:top w:w="0" w:type="dxa"/>
              <w:left w:w="85" w:type="dxa"/>
              <w:bottom w:w="0" w:type="dxa"/>
              <w:right w:w="85" w:type="dxa"/>
            </w:tcMar>
          </w:tcPr>
          <w:p w14:paraId="5A97A268" w14:textId="77777777" w:rsidR="00BC0FD7" w:rsidRPr="001D5327" w:rsidRDefault="00BC0FD7" w:rsidP="00D11AC9">
            <w:pPr>
              <w:pStyle w:val="TableText"/>
              <w:spacing w:before="40" w:after="40"/>
              <w:jc w:val="right"/>
            </w:pPr>
            <w:r w:rsidRPr="001D5327">
              <w:rPr>
                <w:rFonts w:eastAsia="Calibri" w:cs="Calibri"/>
                <w:color w:val="000000"/>
                <w:szCs w:val="16"/>
              </w:rPr>
              <w:t>3,425.4</w:t>
            </w:r>
          </w:p>
        </w:tc>
        <w:tc>
          <w:tcPr>
            <w:tcW w:w="0" w:type="auto"/>
            <w:shd w:val="clear" w:color="auto" w:fill="FFFFFF"/>
            <w:tcMar>
              <w:top w:w="0" w:type="dxa"/>
              <w:left w:w="85" w:type="dxa"/>
              <w:bottom w:w="0" w:type="dxa"/>
              <w:right w:w="85" w:type="dxa"/>
            </w:tcMar>
          </w:tcPr>
          <w:p w14:paraId="063E5670" w14:textId="77777777" w:rsidR="00BC0FD7" w:rsidRPr="001D5327" w:rsidRDefault="00BC0FD7" w:rsidP="00D11AC9">
            <w:pPr>
              <w:pStyle w:val="TableText"/>
              <w:spacing w:before="40" w:after="40"/>
              <w:jc w:val="right"/>
            </w:pPr>
            <w:r w:rsidRPr="001D5327">
              <w:rPr>
                <w:rFonts w:eastAsia="Calibri" w:cs="Calibri"/>
                <w:color w:val="000000"/>
                <w:szCs w:val="16"/>
              </w:rPr>
              <w:t>112.3</w:t>
            </w:r>
          </w:p>
        </w:tc>
        <w:tc>
          <w:tcPr>
            <w:tcW w:w="0" w:type="auto"/>
            <w:shd w:val="clear" w:color="auto" w:fill="FFFFFF"/>
            <w:tcMar>
              <w:top w:w="0" w:type="dxa"/>
              <w:left w:w="85" w:type="dxa"/>
              <w:bottom w:w="0" w:type="dxa"/>
              <w:right w:w="85" w:type="dxa"/>
            </w:tcMar>
          </w:tcPr>
          <w:p w14:paraId="2086B452" w14:textId="77777777" w:rsidR="00BC0FD7" w:rsidRPr="001D5327" w:rsidRDefault="00BC0FD7" w:rsidP="00D11AC9">
            <w:pPr>
              <w:pStyle w:val="TableText"/>
              <w:spacing w:before="40" w:after="40"/>
              <w:jc w:val="right"/>
            </w:pPr>
            <w:r w:rsidRPr="001D5327">
              <w:rPr>
                <w:rFonts w:eastAsia="Calibri" w:cs="Calibri"/>
                <w:color w:val="000000"/>
                <w:szCs w:val="16"/>
              </w:rPr>
              <w:t>NO</w:t>
            </w:r>
          </w:p>
        </w:tc>
        <w:tc>
          <w:tcPr>
            <w:tcW w:w="0" w:type="auto"/>
            <w:shd w:val="clear" w:color="auto" w:fill="FFFFFF"/>
            <w:tcMar>
              <w:top w:w="0" w:type="dxa"/>
              <w:left w:w="85" w:type="dxa"/>
              <w:bottom w:w="0" w:type="dxa"/>
              <w:right w:w="85" w:type="dxa"/>
            </w:tcMar>
          </w:tcPr>
          <w:p w14:paraId="6AC07904" w14:textId="77777777" w:rsidR="00BC0FD7" w:rsidRPr="001D5327" w:rsidRDefault="00BC0FD7" w:rsidP="00D11AC9">
            <w:pPr>
              <w:pStyle w:val="TableText"/>
              <w:spacing w:before="40" w:after="40"/>
              <w:jc w:val="right"/>
            </w:pPr>
            <w:r w:rsidRPr="001D5327">
              <w:rPr>
                <w:rFonts w:eastAsia="Calibri" w:cs="Calibri"/>
                <w:color w:val="000000"/>
                <w:szCs w:val="16"/>
              </w:rPr>
              <w:t>3,537.7</w:t>
            </w:r>
          </w:p>
        </w:tc>
      </w:tr>
      <w:tr w:rsidR="00BC0FD7" w:rsidRPr="001D5327" w14:paraId="7F66F358" w14:textId="77777777" w:rsidTr="00D11AC9">
        <w:tc>
          <w:tcPr>
            <w:tcW w:w="0" w:type="auto"/>
            <w:shd w:val="clear" w:color="auto" w:fill="FFFFFF"/>
            <w:tcMar>
              <w:top w:w="0" w:type="dxa"/>
              <w:left w:w="85" w:type="dxa"/>
              <w:bottom w:w="0" w:type="dxa"/>
              <w:right w:w="85" w:type="dxa"/>
            </w:tcMar>
          </w:tcPr>
          <w:p w14:paraId="219D3E9B"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2022</w:t>
            </w:r>
          </w:p>
        </w:tc>
        <w:tc>
          <w:tcPr>
            <w:tcW w:w="0" w:type="auto"/>
            <w:shd w:val="clear" w:color="auto" w:fill="FFFFFF"/>
            <w:tcMar>
              <w:top w:w="0" w:type="dxa"/>
              <w:left w:w="85" w:type="dxa"/>
              <w:bottom w:w="0" w:type="dxa"/>
              <w:right w:w="85" w:type="dxa"/>
            </w:tcMar>
          </w:tcPr>
          <w:p w14:paraId="2877925B" w14:textId="77777777" w:rsidR="00BC0FD7" w:rsidRPr="001D5327" w:rsidRDefault="00BC0FD7" w:rsidP="00D11AC9">
            <w:pPr>
              <w:pStyle w:val="TableText"/>
              <w:spacing w:before="40" w:after="40"/>
              <w:jc w:val="right"/>
            </w:pPr>
            <w:r w:rsidRPr="001D5327">
              <w:rPr>
                <w:rFonts w:eastAsia="Calibri" w:cs="Calibri"/>
                <w:color w:val="000000"/>
                <w:szCs w:val="16"/>
              </w:rPr>
              <w:t>3,472.4</w:t>
            </w:r>
          </w:p>
        </w:tc>
        <w:tc>
          <w:tcPr>
            <w:tcW w:w="0" w:type="auto"/>
            <w:shd w:val="clear" w:color="auto" w:fill="FFFFFF"/>
            <w:tcMar>
              <w:top w:w="0" w:type="dxa"/>
              <w:left w:w="85" w:type="dxa"/>
              <w:bottom w:w="0" w:type="dxa"/>
              <w:right w:w="85" w:type="dxa"/>
            </w:tcMar>
          </w:tcPr>
          <w:p w14:paraId="0E3682EE" w14:textId="77777777" w:rsidR="00BC0FD7" w:rsidRPr="001D5327" w:rsidRDefault="00BC0FD7" w:rsidP="00D11AC9">
            <w:pPr>
              <w:pStyle w:val="TableText"/>
              <w:spacing w:before="40" w:after="40"/>
              <w:jc w:val="right"/>
            </w:pPr>
            <w:r w:rsidRPr="001D5327">
              <w:rPr>
                <w:rFonts w:eastAsia="Calibri" w:cs="Calibri"/>
                <w:color w:val="000000"/>
                <w:szCs w:val="16"/>
              </w:rPr>
              <w:t>127.8</w:t>
            </w:r>
          </w:p>
        </w:tc>
        <w:tc>
          <w:tcPr>
            <w:tcW w:w="0" w:type="auto"/>
            <w:shd w:val="clear" w:color="auto" w:fill="FFFFFF"/>
            <w:tcMar>
              <w:top w:w="0" w:type="dxa"/>
              <w:left w:w="85" w:type="dxa"/>
              <w:bottom w:w="0" w:type="dxa"/>
              <w:right w:w="85" w:type="dxa"/>
            </w:tcMar>
          </w:tcPr>
          <w:p w14:paraId="5C499E14" w14:textId="77777777" w:rsidR="00BC0FD7" w:rsidRPr="001D5327" w:rsidRDefault="00BC0FD7" w:rsidP="00D11AC9">
            <w:pPr>
              <w:pStyle w:val="TableText"/>
              <w:spacing w:before="40" w:after="40"/>
              <w:jc w:val="right"/>
            </w:pPr>
            <w:r w:rsidRPr="001D5327">
              <w:rPr>
                <w:rFonts w:eastAsia="Calibri" w:cs="Calibri"/>
                <w:color w:val="000000"/>
                <w:szCs w:val="16"/>
              </w:rPr>
              <w:t>NO</w:t>
            </w:r>
          </w:p>
        </w:tc>
        <w:tc>
          <w:tcPr>
            <w:tcW w:w="0" w:type="auto"/>
            <w:shd w:val="clear" w:color="auto" w:fill="FFFFFF"/>
            <w:tcMar>
              <w:top w:w="0" w:type="dxa"/>
              <w:left w:w="85" w:type="dxa"/>
              <w:bottom w:w="0" w:type="dxa"/>
              <w:right w:w="85" w:type="dxa"/>
            </w:tcMar>
          </w:tcPr>
          <w:p w14:paraId="0F425942" w14:textId="77777777" w:rsidR="00BC0FD7" w:rsidRPr="001D5327" w:rsidRDefault="00BC0FD7" w:rsidP="00D11AC9">
            <w:pPr>
              <w:pStyle w:val="TableText"/>
              <w:spacing w:before="40" w:after="40"/>
              <w:jc w:val="right"/>
            </w:pPr>
            <w:r w:rsidRPr="001D5327">
              <w:rPr>
                <w:rFonts w:eastAsia="Calibri" w:cs="Calibri"/>
                <w:color w:val="000000"/>
                <w:szCs w:val="16"/>
              </w:rPr>
              <w:t>3,600.2</w:t>
            </w:r>
          </w:p>
        </w:tc>
      </w:tr>
      <w:tr w:rsidR="00BC0FD7" w:rsidRPr="001D5327" w14:paraId="4DF91C85" w14:textId="77777777" w:rsidTr="00D11AC9">
        <w:tc>
          <w:tcPr>
            <w:tcW w:w="0" w:type="auto"/>
            <w:shd w:val="clear" w:color="auto" w:fill="FFFFFF"/>
            <w:tcMar>
              <w:top w:w="0" w:type="dxa"/>
              <w:left w:w="85" w:type="dxa"/>
              <w:bottom w:w="0" w:type="dxa"/>
              <w:right w:w="85" w:type="dxa"/>
            </w:tcMar>
          </w:tcPr>
          <w:p w14:paraId="2B9263EB" w14:textId="77777777" w:rsidR="00BC0FD7" w:rsidRPr="001D5327" w:rsidRDefault="00BC0FD7" w:rsidP="00D11AC9">
            <w:pPr>
              <w:pStyle w:val="TableTextBold"/>
              <w:spacing w:before="40" w:after="40"/>
              <w:rPr>
                <w:noProof w:val="0"/>
              </w:rPr>
            </w:pPr>
            <w:r w:rsidRPr="001D5327">
              <w:rPr>
                <w:rFonts w:eastAsia="Calibri" w:cs="Calibri"/>
                <w:noProof w:val="0"/>
                <w:color w:val="1B556B"/>
                <w:szCs w:val="16"/>
              </w:rPr>
              <w:t>2023</w:t>
            </w:r>
          </w:p>
        </w:tc>
        <w:tc>
          <w:tcPr>
            <w:tcW w:w="0" w:type="auto"/>
            <w:shd w:val="clear" w:color="auto" w:fill="FFFFFF"/>
            <w:tcMar>
              <w:top w:w="0" w:type="dxa"/>
              <w:left w:w="85" w:type="dxa"/>
              <w:bottom w:w="0" w:type="dxa"/>
              <w:right w:w="85" w:type="dxa"/>
            </w:tcMar>
          </w:tcPr>
          <w:p w14:paraId="2A0FE60B" w14:textId="77777777" w:rsidR="00BC0FD7" w:rsidRPr="001D5327" w:rsidRDefault="00BC0FD7" w:rsidP="00D11AC9">
            <w:pPr>
              <w:pStyle w:val="TableText"/>
              <w:spacing w:before="40" w:after="40"/>
              <w:jc w:val="right"/>
            </w:pPr>
            <w:r w:rsidRPr="001D5327">
              <w:rPr>
                <w:rFonts w:eastAsia="Calibri" w:cs="Calibri"/>
                <w:color w:val="000000"/>
                <w:szCs w:val="16"/>
              </w:rPr>
              <w:t>3,371.2</w:t>
            </w:r>
          </w:p>
        </w:tc>
        <w:tc>
          <w:tcPr>
            <w:tcW w:w="0" w:type="auto"/>
            <w:shd w:val="clear" w:color="auto" w:fill="FFFFFF"/>
            <w:tcMar>
              <w:top w:w="0" w:type="dxa"/>
              <w:left w:w="85" w:type="dxa"/>
              <w:bottom w:w="0" w:type="dxa"/>
              <w:right w:w="85" w:type="dxa"/>
            </w:tcMar>
          </w:tcPr>
          <w:p w14:paraId="3EF90C43" w14:textId="77777777" w:rsidR="00BC0FD7" w:rsidRPr="001D5327" w:rsidRDefault="00BC0FD7" w:rsidP="00D11AC9">
            <w:pPr>
              <w:pStyle w:val="TableText"/>
              <w:spacing w:before="40" w:after="40"/>
              <w:jc w:val="right"/>
            </w:pPr>
            <w:r w:rsidRPr="001D5327">
              <w:rPr>
                <w:rFonts w:eastAsia="Calibri" w:cs="Calibri"/>
                <w:color w:val="000000"/>
                <w:szCs w:val="16"/>
              </w:rPr>
              <w:t>139.1</w:t>
            </w:r>
          </w:p>
        </w:tc>
        <w:tc>
          <w:tcPr>
            <w:tcW w:w="0" w:type="auto"/>
            <w:shd w:val="clear" w:color="auto" w:fill="FFFFFF"/>
            <w:tcMar>
              <w:top w:w="0" w:type="dxa"/>
              <w:left w:w="85" w:type="dxa"/>
              <w:bottom w:w="0" w:type="dxa"/>
              <w:right w:w="85" w:type="dxa"/>
            </w:tcMar>
          </w:tcPr>
          <w:p w14:paraId="73583F21" w14:textId="77777777" w:rsidR="00BC0FD7" w:rsidRPr="001D5327" w:rsidRDefault="00BC0FD7" w:rsidP="00D11AC9">
            <w:pPr>
              <w:pStyle w:val="TableText"/>
              <w:spacing w:before="40" w:after="40"/>
              <w:jc w:val="right"/>
            </w:pPr>
            <w:r w:rsidRPr="001D5327">
              <w:rPr>
                <w:rFonts w:eastAsia="Calibri" w:cs="Calibri"/>
                <w:color w:val="000000"/>
                <w:szCs w:val="16"/>
              </w:rPr>
              <w:t>NO</w:t>
            </w:r>
          </w:p>
        </w:tc>
        <w:tc>
          <w:tcPr>
            <w:tcW w:w="0" w:type="auto"/>
            <w:shd w:val="clear" w:color="auto" w:fill="FFFFFF"/>
            <w:tcMar>
              <w:top w:w="0" w:type="dxa"/>
              <w:left w:w="85" w:type="dxa"/>
              <w:bottom w:w="0" w:type="dxa"/>
              <w:right w:w="85" w:type="dxa"/>
            </w:tcMar>
          </w:tcPr>
          <w:p w14:paraId="1B7AB832" w14:textId="77777777" w:rsidR="00BC0FD7" w:rsidRPr="001D5327" w:rsidRDefault="00BC0FD7" w:rsidP="00D11AC9">
            <w:pPr>
              <w:pStyle w:val="TableText"/>
              <w:spacing w:before="40" w:after="40"/>
              <w:jc w:val="right"/>
            </w:pPr>
            <w:r w:rsidRPr="001D5327">
              <w:rPr>
                <w:rFonts w:eastAsia="Calibri" w:cs="Calibri"/>
                <w:color w:val="000000"/>
                <w:szCs w:val="16"/>
              </w:rPr>
              <w:t>3,510.3</w:t>
            </w:r>
          </w:p>
        </w:tc>
      </w:tr>
    </w:tbl>
    <w:p w14:paraId="68C809A8" w14:textId="77777777" w:rsidR="00BC0FD7" w:rsidRPr="001D5327" w:rsidRDefault="00BC0FD7" w:rsidP="00BC0FD7">
      <w:pPr>
        <w:pStyle w:val="Noteundertable"/>
      </w:pPr>
      <w:r w:rsidRPr="001D5327">
        <w:rPr>
          <w:b/>
          <w:bCs/>
        </w:rPr>
        <w:t>Note:</w:t>
      </w:r>
      <w:r w:rsidRPr="001D5327">
        <w:t xml:space="preserve"> LFG = landfill gas; NO = not occurring. Columns may not total due to rounding.</w:t>
      </w:r>
    </w:p>
    <w:p w14:paraId="5D276F16" w14:textId="77777777" w:rsidR="00BC0FD7" w:rsidRPr="001D5327" w:rsidRDefault="00BC0FD7" w:rsidP="00BC0FD7">
      <w:pPr>
        <w:pStyle w:val="Heading5"/>
      </w:pPr>
      <w:bookmarkStart w:id="2825" w:name="X9a4fc03142a4dae83e3a755d1b7c253538508f5"/>
      <w:bookmarkEnd w:id="2822"/>
      <w:r w:rsidRPr="001D5327">
        <w:t>Non-municipal landfills and farm fills (5.A.2)</w:t>
      </w:r>
    </w:p>
    <w:p w14:paraId="4CDD7EE6" w14:textId="77777777" w:rsidR="00BC0FD7" w:rsidRPr="001D5327" w:rsidRDefault="00BC0FD7" w:rsidP="00BC0FD7">
      <w:pPr>
        <w:pStyle w:val="BodyText"/>
        <w:rPr>
          <w:lang w:eastAsia="en-US"/>
        </w:rPr>
      </w:pPr>
      <w:r w:rsidRPr="001D5327">
        <w:rPr>
          <w:rFonts w:asciiTheme="minorHAnsi" w:eastAsiaTheme="minorHAnsi" w:hAnsiTheme="minorHAnsi" w:cstheme="majorHAnsi"/>
          <w:szCs w:val="24"/>
          <w:lang w:eastAsia="en-US"/>
        </w:rPr>
        <w:t>Non-municipal landfills primarily accept construction and demolition, inert and industrial waste. While household waste is not intended to be accepted, some may receive incidental amounts of green waste or putrescibles. These landfills are categorised under the Waste Disposal Levy as follows:</w:t>
      </w:r>
    </w:p>
    <w:p w14:paraId="685A2A93" w14:textId="77777777" w:rsidR="00BC0FD7" w:rsidRPr="001D5327" w:rsidRDefault="00BC0FD7" w:rsidP="00BC0FD7">
      <w:pPr>
        <w:pStyle w:val="Bullet"/>
      </w:pPr>
      <w:r w:rsidRPr="001D5327">
        <w:t>Class 2: Construction and demolition disposal facilities</w:t>
      </w:r>
    </w:p>
    <w:p w14:paraId="66202E41" w14:textId="77777777" w:rsidR="00BC0FD7" w:rsidRPr="001D5327" w:rsidRDefault="00BC0FD7" w:rsidP="00BC0FD7">
      <w:pPr>
        <w:pStyle w:val="Bullet"/>
      </w:pPr>
      <w:r w:rsidRPr="001D5327">
        <w:t>Class 3–4: Controlled fill facilities, receiving inert waste material from construction and demolition including earthworks</w:t>
      </w:r>
    </w:p>
    <w:p w14:paraId="7B9B602E" w14:textId="77777777" w:rsidR="00BC0FD7" w:rsidRPr="001D5327" w:rsidRDefault="00BC0FD7" w:rsidP="00BC0FD7">
      <w:pPr>
        <w:pStyle w:val="Bullet"/>
      </w:pPr>
      <w:r w:rsidRPr="001D5327">
        <w:t>Class 5: Cleanfill facilities, receiving natural excavated material such as clay, soil and rock</w:t>
      </w:r>
    </w:p>
    <w:p w14:paraId="12C5CC7C" w14:textId="77777777" w:rsidR="00BC0FD7" w:rsidRPr="001D5327" w:rsidRDefault="00BC0FD7" w:rsidP="00BC0FD7">
      <w:pPr>
        <w:pStyle w:val="Bullet"/>
      </w:pPr>
      <w:r w:rsidRPr="001D5327">
        <w:t>industrial monofills: Waste from a single industrial process.</w:t>
      </w:r>
    </w:p>
    <w:p w14:paraId="4942699E" w14:textId="77777777" w:rsidR="00BC0FD7" w:rsidRPr="001D5327" w:rsidRDefault="00BC0FD7" w:rsidP="00BC0FD7">
      <w:pPr>
        <w:pStyle w:val="BodyText"/>
        <w:rPr>
          <w:rFonts w:asciiTheme="minorHAnsi" w:eastAsiaTheme="minorHAnsi" w:hAnsiTheme="minorHAnsi" w:cstheme="majorHAnsi"/>
          <w:szCs w:val="24"/>
          <w:lang w:eastAsia="en-US"/>
        </w:rPr>
      </w:pPr>
      <w:r w:rsidRPr="001D5327">
        <w:rPr>
          <w:rFonts w:asciiTheme="minorHAnsi" w:eastAsiaTheme="minorHAnsi" w:hAnsiTheme="minorHAnsi" w:cstheme="majorHAnsi"/>
          <w:szCs w:val="24"/>
          <w:lang w:eastAsia="en-US"/>
        </w:rPr>
        <w:t>In previous submissions, activity data for non-municipal landfills were derived from a limited number of facilities, obtained through direct contact with landfill operators and regional councils. Large data gaps were addressed by correlating waste quantities with regional GDP. However, mandatory reporting under the Waste Minimisation Act 2008 has improved data collection. As of January 2022, Class 2 landfills began reporting waste volumes, with other landfill classes starting in January 2023. These data revealed that earlier estimates for non-municipal landfills significantly underestimated disposal volumes, particularly for Class 3–4, Class 5 and industrial monofills.</w:t>
      </w:r>
    </w:p>
    <w:p w14:paraId="13DAB18F" w14:textId="77777777" w:rsidR="00BC0FD7" w:rsidRPr="001D5327" w:rsidRDefault="00BC0FD7" w:rsidP="00BC0FD7">
      <w:pPr>
        <w:pStyle w:val="BodyText"/>
      </w:pPr>
      <w:r w:rsidRPr="001D5327">
        <w:rPr>
          <w:rFonts w:asciiTheme="minorHAnsi" w:eastAsiaTheme="minorHAnsi" w:hAnsiTheme="minorHAnsi" w:cstheme="majorHAnsi"/>
          <w:szCs w:val="24"/>
          <w:lang w:eastAsia="en-US"/>
        </w:rPr>
        <w:t>A regression analysis demonstrated a strong correlation between real GDP and waste volumes. Consequently, real GDP is now used as a proxy to estimate waste disposal volumes since 1950, relying exclusively on data collected through the levy. Waste quantities are calculated for each landfill class and aggregated to provide a national total.</w:t>
      </w:r>
    </w:p>
    <w:p w14:paraId="47DA88A6" w14:textId="77777777" w:rsidR="00BC0FD7" w:rsidRPr="001D5327" w:rsidRDefault="00BC0FD7" w:rsidP="00BC0FD7">
      <w:pPr>
        <w:pStyle w:val="BodyText"/>
      </w:pPr>
      <w:r w:rsidRPr="001D5327">
        <w:t>Farm fills are used to dispose of various farming wastes, including scrap metal, timber, plastic wraps, batteries and demolition materials. Farmers may also dispose of household waste, green waste, offal and crops.</w:t>
      </w:r>
    </w:p>
    <w:p w14:paraId="25B93002" w14:textId="63062670" w:rsidR="00BC0FD7" w:rsidRPr="001D5327" w:rsidRDefault="00BC0FD7" w:rsidP="00BC0FD7">
      <w:pPr>
        <w:pStyle w:val="BodyText"/>
      </w:pPr>
      <w:r w:rsidRPr="001D5327">
        <w:t>The data used to estimate activity and emissions from farm fills stem from surveys conducted in the Canterbury region (2012 to 2013) and in the Waikato and Bay of Plenty regions (2014)</w:t>
      </w:r>
      <w:r w:rsidR="00071546" w:rsidRPr="001D5327">
        <w:t> </w:t>
      </w:r>
      <w:r w:rsidRPr="001D5327">
        <w:rPr>
          <w:spacing w:val="-2"/>
        </w:rPr>
        <w:t>(GHD, 2013, 2014; Tonkin and Taylor Ltd, unpublished(b)). These survey results were extrapolated to estimate national waste quantities based on the number of farms in each region and year. Farming practices across the country are similar, so this extrapolation is unlikely to introduce significant bias. However, the sample size is limited, and changes in farm</w:t>
      </w:r>
      <w:r w:rsidR="00071546" w:rsidRPr="001D5327">
        <w:rPr>
          <w:spacing w:val="-2"/>
        </w:rPr>
        <w:t> </w:t>
      </w:r>
      <w:r w:rsidRPr="001D5327">
        <w:rPr>
          <w:spacing w:val="-2"/>
        </w:rPr>
        <w:t>sizes and waste disposal practices (e.g., the introduction of the levy) have not been fully accounted for</w:t>
      </w:r>
      <w:r w:rsidRPr="001D5327">
        <w:t>.</w:t>
      </w:r>
    </w:p>
    <w:p w14:paraId="4C737F30" w14:textId="77777777" w:rsidR="00BC0FD7" w:rsidRPr="001D5327" w:rsidRDefault="00BC0FD7" w:rsidP="00BC0FD7">
      <w:pPr>
        <w:pStyle w:val="BodyText"/>
      </w:pPr>
      <w:r w:rsidRPr="001D5327">
        <w:t>Waste quantities were averaged for surveyed farm types: dairy, livestock, arable, viticulture and other horticulture. These regional estimates were combined to provide a national total, with adjustments for differences in farm type prevalence over time (Tonkin and Taylor Ltd, unpublished(b)).</w:t>
      </w:r>
    </w:p>
    <w:p w14:paraId="05E332B3" w14:textId="77777777" w:rsidR="00BC0FD7" w:rsidRPr="001D5327" w:rsidRDefault="00BC0FD7" w:rsidP="00BC0FD7">
      <w:pPr>
        <w:pStyle w:val="BodyText"/>
      </w:pPr>
      <w:r w:rsidRPr="001D5327">
        <w:lastRenderedPageBreak/>
        <w:t>The number and type of farms were estimated using data from the Agriculture Production Survey, ensuring consistency with data from the Agriculture sector, including livestock numbers.</w:t>
      </w:r>
    </w:p>
    <w:p w14:paraId="781CC3D5" w14:textId="77777777" w:rsidR="00BC0FD7" w:rsidRPr="001D5327" w:rsidRDefault="00BC0FD7" w:rsidP="00BC0FD7">
      <w:pPr>
        <w:pStyle w:val="BodyText"/>
      </w:pPr>
      <w:r w:rsidRPr="001D5327">
        <w:t>A key update in the 2021 submission was the revision of farm waste disposal methods. It was assumed that farm waste is evenly split between disposal in farm fills and open burning, with each method accounting for 47 per cent of the total, while 6 per cent is disposed of by other means. This contrasts with previous submissions, which assumed open burning accounted for only 2 per cent of farm waste, based on a 2013 report from Tonkin and Taylor Ltd (unpublished(b)) suggesting that most farm waste was buried. However, open burning is a prevalent practice in New Zealand, supported by frequent complaints to regional councils and survey findings from GHD (2013, 2014), which indicated that almost every farm has a burn pile or similar setup.</w:t>
      </w:r>
    </w:p>
    <w:p w14:paraId="0291B52C" w14:textId="77777777" w:rsidR="00BC0FD7" w:rsidRPr="001D5327" w:rsidRDefault="00BC0FD7" w:rsidP="00BC0FD7">
      <w:pPr>
        <w:pStyle w:val="BodyText"/>
      </w:pPr>
      <w:r w:rsidRPr="001D5327">
        <w:t>Because wood waste constitutes a large proportion of CH</w:t>
      </w:r>
      <w:r w:rsidRPr="001D5327">
        <w:rPr>
          <w:vertAlign w:val="subscript"/>
        </w:rPr>
        <w:t>4</w:t>
      </w:r>
      <w:r w:rsidRPr="001D5327">
        <w:t xml:space="preserve"> emissions from farm fills, it is crucial to account for wood waste that is burned rather than buried. This balanced approach will be reviewed once more precise data become available.</w:t>
      </w:r>
    </w:p>
    <w:p w14:paraId="2AE016F4" w14:textId="77777777" w:rsidR="00BC0FD7" w:rsidRPr="001D5327" w:rsidRDefault="00BC0FD7" w:rsidP="00BC0FD7">
      <w:pPr>
        <w:pStyle w:val="BodyText"/>
      </w:pPr>
      <w:r w:rsidRPr="001D5327">
        <w:t>In 2022, Eunomia (unpublished(c)) consulted experts nationwide and confirmed that the assumption of an even split between burial and burning remains valid.</w:t>
      </w:r>
    </w:p>
    <w:p w14:paraId="71DD4A6F" w14:textId="705E6465" w:rsidR="00BC0FD7" w:rsidRPr="001D5327" w:rsidRDefault="00BC0FD7" w:rsidP="00BC0FD7">
      <w:pPr>
        <w:pStyle w:val="BodyText"/>
      </w:pPr>
      <w:r w:rsidRPr="001D5327">
        <w:t>Table 7.2.4 presents the waste placement data for farm fills (excluding open burning or other</w:t>
      </w:r>
      <w:r w:rsidR="006F3FA1" w:rsidRPr="001D5327">
        <w:t> </w:t>
      </w:r>
      <w:r w:rsidRPr="001D5327">
        <w:t>disposal methods) and non-municipal landfills from the beginning of the model in 1950</w:t>
      </w:r>
      <w:r w:rsidR="006F3FA1" w:rsidRPr="001D5327">
        <w:t> </w:t>
      </w:r>
      <w:r w:rsidRPr="001D5327">
        <w:t>to 2023.</w:t>
      </w:r>
    </w:p>
    <w:p w14:paraId="517D7338" w14:textId="77777777" w:rsidR="00BC0FD7" w:rsidRPr="001D5327" w:rsidRDefault="00BC0FD7" w:rsidP="00BC0FD7">
      <w:pPr>
        <w:pStyle w:val="Table"/>
      </w:pPr>
      <w:bookmarkStart w:id="2826" w:name="_Toc194241802"/>
      <w:r w:rsidRPr="001D5327">
        <w:t xml:space="preserve">Table 7.2.4 </w:t>
      </w:r>
      <w:r w:rsidRPr="001D5327">
        <w:tab/>
        <w:t>Solid waste deposited to unmanaged landfills, from 1950 to </w:t>
      </w:r>
      <w:r w:rsidRPr="001D5327">
        <w:rPr>
          <w:bCs/>
        </w:rPr>
        <w:t>2023</w:t>
      </w:r>
      <w:bookmarkEnd w:id="2826"/>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786"/>
        <w:gridCol w:w="1660"/>
        <w:gridCol w:w="3132"/>
        <w:gridCol w:w="2916"/>
      </w:tblGrid>
      <w:tr w:rsidR="00BC0FD7" w:rsidRPr="001D5327" w14:paraId="02614A79" w14:textId="77777777" w:rsidTr="00D11AC9">
        <w:trPr>
          <w:tblHeader/>
        </w:trPr>
        <w:tc>
          <w:tcPr>
            <w:tcW w:w="0" w:type="auto"/>
            <w:shd w:val="clear" w:color="auto" w:fill="1B556B"/>
            <w:tcMar>
              <w:top w:w="0" w:type="dxa"/>
              <w:left w:w="85" w:type="dxa"/>
              <w:bottom w:w="0" w:type="dxa"/>
              <w:right w:w="85" w:type="dxa"/>
            </w:tcMar>
          </w:tcPr>
          <w:p w14:paraId="54B9FE97"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Year</w:t>
            </w:r>
          </w:p>
        </w:tc>
        <w:tc>
          <w:tcPr>
            <w:tcW w:w="0" w:type="auto"/>
            <w:shd w:val="clear" w:color="auto" w:fill="1B556B"/>
            <w:tcMar>
              <w:top w:w="0" w:type="dxa"/>
              <w:left w:w="85" w:type="dxa"/>
              <w:bottom w:w="0" w:type="dxa"/>
              <w:right w:w="85" w:type="dxa"/>
            </w:tcMar>
          </w:tcPr>
          <w:p w14:paraId="7E68B920"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Farm fills (kt)</w:t>
            </w:r>
          </w:p>
        </w:tc>
        <w:tc>
          <w:tcPr>
            <w:tcW w:w="0" w:type="auto"/>
            <w:shd w:val="clear" w:color="auto" w:fill="1B556B"/>
            <w:tcMar>
              <w:top w:w="0" w:type="dxa"/>
              <w:left w:w="85" w:type="dxa"/>
              <w:bottom w:w="0" w:type="dxa"/>
              <w:right w:w="85" w:type="dxa"/>
            </w:tcMar>
          </w:tcPr>
          <w:p w14:paraId="1292EB67"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Non-municipal landfills (kt)</w:t>
            </w:r>
          </w:p>
        </w:tc>
        <w:tc>
          <w:tcPr>
            <w:tcW w:w="0" w:type="auto"/>
            <w:shd w:val="clear" w:color="auto" w:fill="1B556B"/>
            <w:tcMar>
              <w:top w:w="0" w:type="dxa"/>
              <w:left w:w="85" w:type="dxa"/>
              <w:bottom w:w="0" w:type="dxa"/>
              <w:right w:w="85" w:type="dxa"/>
            </w:tcMar>
          </w:tcPr>
          <w:p w14:paraId="295D7BC0"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Total waste disposed (kt)</w:t>
            </w:r>
          </w:p>
        </w:tc>
      </w:tr>
      <w:tr w:rsidR="00BC0FD7" w:rsidRPr="001D5327" w14:paraId="79433760" w14:textId="77777777" w:rsidTr="00D11AC9">
        <w:tc>
          <w:tcPr>
            <w:tcW w:w="0" w:type="auto"/>
            <w:shd w:val="clear" w:color="auto" w:fill="FFFFFF"/>
            <w:tcMar>
              <w:top w:w="0" w:type="dxa"/>
              <w:left w:w="85" w:type="dxa"/>
              <w:bottom w:w="0" w:type="dxa"/>
              <w:right w:w="85" w:type="dxa"/>
            </w:tcMar>
          </w:tcPr>
          <w:p w14:paraId="6972AFA3"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1950</w:t>
            </w:r>
          </w:p>
        </w:tc>
        <w:tc>
          <w:tcPr>
            <w:tcW w:w="0" w:type="auto"/>
            <w:shd w:val="clear" w:color="auto" w:fill="FFFFFF"/>
            <w:tcMar>
              <w:top w:w="0" w:type="dxa"/>
              <w:left w:w="85" w:type="dxa"/>
              <w:bottom w:w="0" w:type="dxa"/>
              <w:right w:w="85" w:type="dxa"/>
            </w:tcMar>
          </w:tcPr>
          <w:p w14:paraId="6FC8FC72"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853.9</w:t>
            </w:r>
          </w:p>
        </w:tc>
        <w:tc>
          <w:tcPr>
            <w:tcW w:w="0" w:type="auto"/>
            <w:shd w:val="clear" w:color="auto" w:fill="FFFFFF"/>
            <w:tcMar>
              <w:top w:w="0" w:type="dxa"/>
              <w:left w:w="85" w:type="dxa"/>
              <w:bottom w:w="0" w:type="dxa"/>
              <w:right w:w="85" w:type="dxa"/>
            </w:tcMar>
          </w:tcPr>
          <w:p w14:paraId="0C899867"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3,664.1</w:t>
            </w:r>
          </w:p>
        </w:tc>
        <w:tc>
          <w:tcPr>
            <w:tcW w:w="0" w:type="auto"/>
            <w:shd w:val="clear" w:color="auto" w:fill="FFFFFF"/>
            <w:tcMar>
              <w:top w:w="0" w:type="dxa"/>
              <w:left w:w="85" w:type="dxa"/>
              <w:bottom w:w="0" w:type="dxa"/>
              <w:right w:w="85" w:type="dxa"/>
            </w:tcMar>
          </w:tcPr>
          <w:p w14:paraId="15A86BF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4,518.0</w:t>
            </w:r>
          </w:p>
        </w:tc>
      </w:tr>
      <w:tr w:rsidR="00BC0FD7" w:rsidRPr="001D5327" w14:paraId="69DE6C07" w14:textId="77777777" w:rsidTr="00D11AC9">
        <w:tc>
          <w:tcPr>
            <w:tcW w:w="0" w:type="auto"/>
            <w:shd w:val="clear" w:color="auto" w:fill="FFFFFF"/>
            <w:tcMar>
              <w:top w:w="0" w:type="dxa"/>
              <w:left w:w="85" w:type="dxa"/>
              <w:bottom w:w="0" w:type="dxa"/>
              <w:right w:w="85" w:type="dxa"/>
            </w:tcMar>
          </w:tcPr>
          <w:p w14:paraId="22B04ABF"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1951</w:t>
            </w:r>
          </w:p>
        </w:tc>
        <w:tc>
          <w:tcPr>
            <w:tcW w:w="0" w:type="auto"/>
            <w:shd w:val="clear" w:color="auto" w:fill="FFFFFF"/>
            <w:tcMar>
              <w:top w:w="0" w:type="dxa"/>
              <w:left w:w="85" w:type="dxa"/>
              <w:bottom w:w="0" w:type="dxa"/>
              <w:right w:w="85" w:type="dxa"/>
            </w:tcMar>
          </w:tcPr>
          <w:p w14:paraId="60305860"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853.4</w:t>
            </w:r>
          </w:p>
        </w:tc>
        <w:tc>
          <w:tcPr>
            <w:tcW w:w="0" w:type="auto"/>
            <w:shd w:val="clear" w:color="auto" w:fill="FFFFFF"/>
            <w:tcMar>
              <w:top w:w="0" w:type="dxa"/>
              <w:left w:w="85" w:type="dxa"/>
              <w:bottom w:w="0" w:type="dxa"/>
              <w:right w:w="85" w:type="dxa"/>
            </w:tcMar>
          </w:tcPr>
          <w:p w14:paraId="39BB56A8"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3,798.5</w:t>
            </w:r>
          </w:p>
        </w:tc>
        <w:tc>
          <w:tcPr>
            <w:tcW w:w="0" w:type="auto"/>
            <w:shd w:val="clear" w:color="auto" w:fill="FFFFFF"/>
            <w:tcMar>
              <w:top w:w="0" w:type="dxa"/>
              <w:left w:w="85" w:type="dxa"/>
              <w:bottom w:w="0" w:type="dxa"/>
              <w:right w:w="85" w:type="dxa"/>
            </w:tcMar>
          </w:tcPr>
          <w:p w14:paraId="62F84791"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4,651.9</w:t>
            </w:r>
          </w:p>
        </w:tc>
      </w:tr>
      <w:tr w:rsidR="00BC0FD7" w:rsidRPr="001D5327" w14:paraId="58CCF795" w14:textId="77777777" w:rsidTr="00D11AC9">
        <w:tc>
          <w:tcPr>
            <w:tcW w:w="0" w:type="auto"/>
            <w:shd w:val="clear" w:color="auto" w:fill="FFFFFF"/>
            <w:tcMar>
              <w:top w:w="0" w:type="dxa"/>
              <w:left w:w="85" w:type="dxa"/>
              <w:bottom w:w="0" w:type="dxa"/>
              <w:right w:w="85" w:type="dxa"/>
            </w:tcMar>
          </w:tcPr>
          <w:p w14:paraId="14E32708"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1952</w:t>
            </w:r>
          </w:p>
        </w:tc>
        <w:tc>
          <w:tcPr>
            <w:tcW w:w="0" w:type="auto"/>
            <w:shd w:val="clear" w:color="auto" w:fill="FFFFFF"/>
            <w:tcMar>
              <w:top w:w="0" w:type="dxa"/>
              <w:left w:w="85" w:type="dxa"/>
              <w:bottom w:w="0" w:type="dxa"/>
              <w:right w:w="85" w:type="dxa"/>
            </w:tcMar>
          </w:tcPr>
          <w:p w14:paraId="695D1341"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853.9</w:t>
            </w:r>
          </w:p>
        </w:tc>
        <w:tc>
          <w:tcPr>
            <w:tcW w:w="0" w:type="auto"/>
            <w:shd w:val="clear" w:color="auto" w:fill="FFFFFF"/>
            <w:tcMar>
              <w:top w:w="0" w:type="dxa"/>
              <w:left w:w="85" w:type="dxa"/>
              <w:bottom w:w="0" w:type="dxa"/>
              <w:right w:w="85" w:type="dxa"/>
            </w:tcMar>
          </w:tcPr>
          <w:p w14:paraId="32B88B0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3,937.9</w:t>
            </w:r>
          </w:p>
        </w:tc>
        <w:tc>
          <w:tcPr>
            <w:tcW w:w="0" w:type="auto"/>
            <w:shd w:val="clear" w:color="auto" w:fill="FFFFFF"/>
            <w:tcMar>
              <w:top w:w="0" w:type="dxa"/>
              <w:left w:w="85" w:type="dxa"/>
              <w:bottom w:w="0" w:type="dxa"/>
              <w:right w:w="85" w:type="dxa"/>
            </w:tcMar>
          </w:tcPr>
          <w:p w14:paraId="6CBAE415"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4,791.8</w:t>
            </w:r>
          </w:p>
        </w:tc>
      </w:tr>
      <w:tr w:rsidR="00BC0FD7" w:rsidRPr="001D5327" w14:paraId="0902AB60" w14:textId="77777777" w:rsidTr="00D11AC9">
        <w:tc>
          <w:tcPr>
            <w:tcW w:w="0" w:type="auto"/>
            <w:shd w:val="clear" w:color="auto" w:fill="FFFFFF"/>
            <w:tcMar>
              <w:top w:w="0" w:type="dxa"/>
              <w:left w:w="85" w:type="dxa"/>
              <w:bottom w:w="0" w:type="dxa"/>
              <w:right w:w="85" w:type="dxa"/>
            </w:tcMar>
          </w:tcPr>
          <w:p w14:paraId="4A42F601"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1953</w:t>
            </w:r>
          </w:p>
        </w:tc>
        <w:tc>
          <w:tcPr>
            <w:tcW w:w="0" w:type="auto"/>
            <w:shd w:val="clear" w:color="auto" w:fill="FFFFFF"/>
            <w:tcMar>
              <w:top w:w="0" w:type="dxa"/>
              <w:left w:w="85" w:type="dxa"/>
              <w:bottom w:w="0" w:type="dxa"/>
              <w:right w:w="85" w:type="dxa"/>
            </w:tcMar>
          </w:tcPr>
          <w:p w14:paraId="05E46D4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856.2</w:t>
            </w:r>
          </w:p>
        </w:tc>
        <w:tc>
          <w:tcPr>
            <w:tcW w:w="0" w:type="auto"/>
            <w:shd w:val="clear" w:color="auto" w:fill="FFFFFF"/>
            <w:tcMar>
              <w:top w:w="0" w:type="dxa"/>
              <w:left w:w="85" w:type="dxa"/>
              <w:bottom w:w="0" w:type="dxa"/>
              <w:right w:w="85" w:type="dxa"/>
            </w:tcMar>
          </w:tcPr>
          <w:p w14:paraId="27408892"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4,082.3</w:t>
            </w:r>
          </w:p>
        </w:tc>
        <w:tc>
          <w:tcPr>
            <w:tcW w:w="0" w:type="auto"/>
            <w:shd w:val="clear" w:color="auto" w:fill="FFFFFF"/>
            <w:tcMar>
              <w:top w:w="0" w:type="dxa"/>
              <w:left w:w="85" w:type="dxa"/>
              <w:bottom w:w="0" w:type="dxa"/>
              <w:right w:w="85" w:type="dxa"/>
            </w:tcMar>
          </w:tcPr>
          <w:p w14:paraId="71C40BB9"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4,938.5</w:t>
            </w:r>
          </w:p>
        </w:tc>
      </w:tr>
      <w:tr w:rsidR="00BC0FD7" w:rsidRPr="001D5327" w14:paraId="05CB27DD" w14:textId="77777777" w:rsidTr="00D11AC9">
        <w:tc>
          <w:tcPr>
            <w:tcW w:w="0" w:type="auto"/>
            <w:shd w:val="clear" w:color="auto" w:fill="FFFFFF"/>
            <w:tcMar>
              <w:top w:w="0" w:type="dxa"/>
              <w:left w:w="85" w:type="dxa"/>
              <w:bottom w:w="0" w:type="dxa"/>
              <w:right w:w="85" w:type="dxa"/>
            </w:tcMar>
          </w:tcPr>
          <w:p w14:paraId="46753C65"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1954</w:t>
            </w:r>
          </w:p>
        </w:tc>
        <w:tc>
          <w:tcPr>
            <w:tcW w:w="0" w:type="auto"/>
            <w:shd w:val="clear" w:color="auto" w:fill="FFFFFF"/>
            <w:tcMar>
              <w:top w:w="0" w:type="dxa"/>
              <w:left w:w="85" w:type="dxa"/>
              <w:bottom w:w="0" w:type="dxa"/>
              <w:right w:w="85" w:type="dxa"/>
            </w:tcMar>
          </w:tcPr>
          <w:p w14:paraId="1A9AC337"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867.2</w:t>
            </w:r>
          </w:p>
        </w:tc>
        <w:tc>
          <w:tcPr>
            <w:tcW w:w="0" w:type="auto"/>
            <w:shd w:val="clear" w:color="auto" w:fill="FFFFFF"/>
            <w:tcMar>
              <w:top w:w="0" w:type="dxa"/>
              <w:left w:w="85" w:type="dxa"/>
              <w:bottom w:w="0" w:type="dxa"/>
              <w:right w:w="85" w:type="dxa"/>
            </w:tcMar>
          </w:tcPr>
          <w:p w14:paraId="3E3FC44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4,231.8</w:t>
            </w:r>
          </w:p>
        </w:tc>
        <w:tc>
          <w:tcPr>
            <w:tcW w:w="0" w:type="auto"/>
            <w:shd w:val="clear" w:color="auto" w:fill="FFFFFF"/>
            <w:tcMar>
              <w:top w:w="0" w:type="dxa"/>
              <w:left w:w="85" w:type="dxa"/>
              <w:bottom w:w="0" w:type="dxa"/>
              <w:right w:w="85" w:type="dxa"/>
            </w:tcMar>
          </w:tcPr>
          <w:p w14:paraId="2F59096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5,099.1</w:t>
            </w:r>
          </w:p>
        </w:tc>
      </w:tr>
      <w:tr w:rsidR="00BC0FD7" w:rsidRPr="001D5327" w14:paraId="3019E663" w14:textId="77777777" w:rsidTr="00D11AC9">
        <w:tc>
          <w:tcPr>
            <w:tcW w:w="0" w:type="auto"/>
            <w:shd w:val="clear" w:color="auto" w:fill="FFFFFF"/>
            <w:tcMar>
              <w:top w:w="0" w:type="dxa"/>
              <w:left w:w="85" w:type="dxa"/>
              <w:bottom w:w="0" w:type="dxa"/>
              <w:right w:w="85" w:type="dxa"/>
            </w:tcMar>
          </w:tcPr>
          <w:p w14:paraId="5DC50287"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1955</w:t>
            </w:r>
          </w:p>
        </w:tc>
        <w:tc>
          <w:tcPr>
            <w:tcW w:w="0" w:type="auto"/>
            <w:shd w:val="clear" w:color="auto" w:fill="FFFFFF"/>
            <w:tcMar>
              <w:top w:w="0" w:type="dxa"/>
              <w:left w:w="85" w:type="dxa"/>
              <w:bottom w:w="0" w:type="dxa"/>
              <w:right w:w="85" w:type="dxa"/>
            </w:tcMar>
          </w:tcPr>
          <w:p w14:paraId="69FEEC8D"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873.9</w:t>
            </w:r>
          </w:p>
        </w:tc>
        <w:tc>
          <w:tcPr>
            <w:tcW w:w="0" w:type="auto"/>
            <w:shd w:val="clear" w:color="auto" w:fill="FFFFFF"/>
            <w:tcMar>
              <w:top w:w="0" w:type="dxa"/>
              <w:left w:w="85" w:type="dxa"/>
              <w:bottom w:w="0" w:type="dxa"/>
              <w:right w:w="85" w:type="dxa"/>
            </w:tcMar>
          </w:tcPr>
          <w:p w14:paraId="73C5D28F"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4,386.8</w:t>
            </w:r>
          </w:p>
        </w:tc>
        <w:tc>
          <w:tcPr>
            <w:tcW w:w="0" w:type="auto"/>
            <w:shd w:val="clear" w:color="auto" w:fill="FFFFFF"/>
            <w:tcMar>
              <w:top w:w="0" w:type="dxa"/>
              <w:left w:w="85" w:type="dxa"/>
              <w:bottom w:w="0" w:type="dxa"/>
              <w:right w:w="85" w:type="dxa"/>
            </w:tcMar>
          </w:tcPr>
          <w:p w14:paraId="072BA307"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5,260.7</w:t>
            </w:r>
          </w:p>
        </w:tc>
      </w:tr>
      <w:tr w:rsidR="00BC0FD7" w:rsidRPr="001D5327" w14:paraId="46CBB54B" w14:textId="77777777" w:rsidTr="00D11AC9">
        <w:tc>
          <w:tcPr>
            <w:tcW w:w="0" w:type="auto"/>
            <w:shd w:val="clear" w:color="auto" w:fill="FFFFFF"/>
            <w:tcMar>
              <w:top w:w="0" w:type="dxa"/>
              <w:left w:w="85" w:type="dxa"/>
              <w:bottom w:w="0" w:type="dxa"/>
              <w:right w:w="85" w:type="dxa"/>
            </w:tcMar>
          </w:tcPr>
          <w:p w14:paraId="6CA82932"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1956</w:t>
            </w:r>
          </w:p>
        </w:tc>
        <w:tc>
          <w:tcPr>
            <w:tcW w:w="0" w:type="auto"/>
            <w:shd w:val="clear" w:color="auto" w:fill="FFFFFF"/>
            <w:tcMar>
              <w:top w:w="0" w:type="dxa"/>
              <w:left w:w="85" w:type="dxa"/>
              <w:bottom w:w="0" w:type="dxa"/>
              <w:right w:w="85" w:type="dxa"/>
            </w:tcMar>
          </w:tcPr>
          <w:p w14:paraId="0A415D1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801.1</w:t>
            </w:r>
          </w:p>
        </w:tc>
        <w:tc>
          <w:tcPr>
            <w:tcW w:w="0" w:type="auto"/>
            <w:shd w:val="clear" w:color="auto" w:fill="FFFFFF"/>
            <w:tcMar>
              <w:top w:w="0" w:type="dxa"/>
              <w:left w:w="85" w:type="dxa"/>
              <w:bottom w:w="0" w:type="dxa"/>
              <w:right w:w="85" w:type="dxa"/>
            </w:tcMar>
          </w:tcPr>
          <w:p w14:paraId="089C69C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4,547.4</w:t>
            </w:r>
          </w:p>
        </w:tc>
        <w:tc>
          <w:tcPr>
            <w:tcW w:w="0" w:type="auto"/>
            <w:shd w:val="clear" w:color="auto" w:fill="FFFFFF"/>
            <w:tcMar>
              <w:top w:w="0" w:type="dxa"/>
              <w:left w:w="85" w:type="dxa"/>
              <w:bottom w:w="0" w:type="dxa"/>
              <w:right w:w="85" w:type="dxa"/>
            </w:tcMar>
          </w:tcPr>
          <w:p w14:paraId="739218B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5,348.5</w:t>
            </w:r>
          </w:p>
        </w:tc>
      </w:tr>
      <w:tr w:rsidR="00BC0FD7" w:rsidRPr="001D5327" w14:paraId="4DE4AFD1" w14:textId="77777777" w:rsidTr="00D11AC9">
        <w:tc>
          <w:tcPr>
            <w:tcW w:w="0" w:type="auto"/>
            <w:shd w:val="clear" w:color="auto" w:fill="FFFFFF"/>
            <w:tcMar>
              <w:top w:w="0" w:type="dxa"/>
              <w:left w:w="85" w:type="dxa"/>
              <w:bottom w:w="0" w:type="dxa"/>
              <w:right w:w="85" w:type="dxa"/>
            </w:tcMar>
          </w:tcPr>
          <w:p w14:paraId="0FF6E5BA"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1957</w:t>
            </w:r>
          </w:p>
        </w:tc>
        <w:tc>
          <w:tcPr>
            <w:tcW w:w="0" w:type="auto"/>
            <w:shd w:val="clear" w:color="auto" w:fill="FFFFFF"/>
            <w:tcMar>
              <w:top w:w="0" w:type="dxa"/>
              <w:left w:w="85" w:type="dxa"/>
              <w:bottom w:w="0" w:type="dxa"/>
              <w:right w:w="85" w:type="dxa"/>
            </w:tcMar>
          </w:tcPr>
          <w:p w14:paraId="0DD7BE21"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800.2</w:t>
            </w:r>
          </w:p>
        </w:tc>
        <w:tc>
          <w:tcPr>
            <w:tcW w:w="0" w:type="auto"/>
            <w:shd w:val="clear" w:color="auto" w:fill="FFFFFF"/>
            <w:tcMar>
              <w:top w:w="0" w:type="dxa"/>
              <w:left w:w="85" w:type="dxa"/>
              <w:bottom w:w="0" w:type="dxa"/>
              <w:right w:w="85" w:type="dxa"/>
            </w:tcMar>
          </w:tcPr>
          <w:p w14:paraId="28A5BC40"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4,713.8</w:t>
            </w:r>
          </w:p>
        </w:tc>
        <w:tc>
          <w:tcPr>
            <w:tcW w:w="0" w:type="auto"/>
            <w:shd w:val="clear" w:color="auto" w:fill="FFFFFF"/>
            <w:tcMar>
              <w:top w:w="0" w:type="dxa"/>
              <w:left w:w="85" w:type="dxa"/>
              <w:bottom w:w="0" w:type="dxa"/>
              <w:right w:w="85" w:type="dxa"/>
            </w:tcMar>
          </w:tcPr>
          <w:p w14:paraId="7933A8EE"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5,513.9</w:t>
            </w:r>
          </w:p>
        </w:tc>
      </w:tr>
      <w:tr w:rsidR="00BC0FD7" w:rsidRPr="001D5327" w14:paraId="4E491D50" w14:textId="77777777" w:rsidTr="00D11AC9">
        <w:tc>
          <w:tcPr>
            <w:tcW w:w="0" w:type="auto"/>
            <w:shd w:val="clear" w:color="auto" w:fill="FFFFFF"/>
            <w:tcMar>
              <w:top w:w="0" w:type="dxa"/>
              <w:left w:w="85" w:type="dxa"/>
              <w:bottom w:w="0" w:type="dxa"/>
              <w:right w:w="85" w:type="dxa"/>
            </w:tcMar>
          </w:tcPr>
          <w:p w14:paraId="5939BA6B"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1958</w:t>
            </w:r>
          </w:p>
        </w:tc>
        <w:tc>
          <w:tcPr>
            <w:tcW w:w="0" w:type="auto"/>
            <w:shd w:val="clear" w:color="auto" w:fill="FFFFFF"/>
            <w:tcMar>
              <w:top w:w="0" w:type="dxa"/>
              <w:left w:w="85" w:type="dxa"/>
              <w:bottom w:w="0" w:type="dxa"/>
              <w:right w:w="85" w:type="dxa"/>
            </w:tcMar>
          </w:tcPr>
          <w:p w14:paraId="16B17E61"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785.2</w:t>
            </w:r>
          </w:p>
        </w:tc>
        <w:tc>
          <w:tcPr>
            <w:tcW w:w="0" w:type="auto"/>
            <w:shd w:val="clear" w:color="auto" w:fill="FFFFFF"/>
            <w:tcMar>
              <w:top w:w="0" w:type="dxa"/>
              <w:left w:w="85" w:type="dxa"/>
              <w:bottom w:w="0" w:type="dxa"/>
              <w:right w:w="85" w:type="dxa"/>
            </w:tcMar>
          </w:tcPr>
          <w:p w14:paraId="324A0B1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4,886.1</w:t>
            </w:r>
          </w:p>
        </w:tc>
        <w:tc>
          <w:tcPr>
            <w:tcW w:w="0" w:type="auto"/>
            <w:shd w:val="clear" w:color="auto" w:fill="FFFFFF"/>
            <w:tcMar>
              <w:top w:w="0" w:type="dxa"/>
              <w:left w:w="85" w:type="dxa"/>
              <w:bottom w:w="0" w:type="dxa"/>
              <w:right w:w="85" w:type="dxa"/>
            </w:tcMar>
          </w:tcPr>
          <w:p w14:paraId="5D98E9A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5,671.4</w:t>
            </w:r>
          </w:p>
        </w:tc>
      </w:tr>
      <w:tr w:rsidR="00BC0FD7" w:rsidRPr="001D5327" w14:paraId="523486CE" w14:textId="77777777" w:rsidTr="00D11AC9">
        <w:tc>
          <w:tcPr>
            <w:tcW w:w="0" w:type="auto"/>
            <w:shd w:val="clear" w:color="auto" w:fill="FFFFFF"/>
            <w:tcMar>
              <w:top w:w="0" w:type="dxa"/>
              <w:left w:w="85" w:type="dxa"/>
              <w:bottom w:w="0" w:type="dxa"/>
              <w:right w:w="85" w:type="dxa"/>
            </w:tcMar>
          </w:tcPr>
          <w:p w14:paraId="65F657E2"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1959</w:t>
            </w:r>
          </w:p>
        </w:tc>
        <w:tc>
          <w:tcPr>
            <w:tcW w:w="0" w:type="auto"/>
            <w:shd w:val="clear" w:color="auto" w:fill="FFFFFF"/>
            <w:tcMar>
              <w:top w:w="0" w:type="dxa"/>
              <w:left w:w="85" w:type="dxa"/>
              <w:bottom w:w="0" w:type="dxa"/>
              <w:right w:w="85" w:type="dxa"/>
            </w:tcMar>
          </w:tcPr>
          <w:p w14:paraId="3696606E"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788.3</w:t>
            </w:r>
          </w:p>
        </w:tc>
        <w:tc>
          <w:tcPr>
            <w:tcW w:w="0" w:type="auto"/>
            <w:shd w:val="clear" w:color="auto" w:fill="FFFFFF"/>
            <w:tcMar>
              <w:top w:w="0" w:type="dxa"/>
              <w:left w:w="85" w:type="dxa"/>
              <w:bottom w:w="0" w:type="dxa"/>
              <w:right w:w="85" w:type="dxa"/>
            </w:tcMar>
          </w:tcPr>
          <w:p w14:paraId="41FE21F2"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5,064.7</w:t>
            </w:r>
          </w:p>
        </w:tc>
        <w:tc>
          <w:tcPr>
            <w:tcW w:w="0" w:type="auto"/>
            <w:shd w:val="clear" w:color="auto" w:fill="FFFFFF"/>
            <w:tcMar>
              <w:top w:w="0" w:type="dxa"/>
              <w:left w:w="85" w:type="dxa"/>
              <w:bottom w:w="0" w:type="dxa"/>
              <w:right w:w="85" w:type="dxa"/>
            </w:tcMar>
          </w:tcPr>
          <w:p w14:paraId="4D690D6A"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5,853.0</w:t>
            </w:r>
          </w:p>
        </w:tc>
      </w:tr>
      <w:tr w:rsidR="00BC0FD7" w:rsidRPr="001D5327" w14:paraId="3EAAD99A" w14:textId="77777777" w:rsidTr="00D11AC9">
        <w:tc>
          <w:tcPr>
            <w:tcW w:w="0" w:type="auto"/>
            <w:shd w:val="clear" w:color="auto" w:fill="FFFFFF"/>
            <w:tcMar>
              <w:top w:w="0" w:type="dxa"/>
              <w:left w:w="85" w:type="dxa"/>
              <w:bottom w:w="0" w:type="dxa"/>
              <w:right w:w="85" w:type="dxa"/>
            </w:tcMar>
          </w:tcPr>
          <w:p w14:paraId="44246ADF"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1960</w:t>
            </w:r>
          </w:p>
        </w:tc>
        <w:tc>
          <w:tcPr>
            <w:tcW w:w="0" w:type="auto"/>
            <w:shd w:val="clear" w:color="auto" w:fill="FFFFFF"/>
            <w:tcMar>
              <w:top w:w="0" w:type="dxa"/>
              <w:left w:w="85" w:type="dxa"/>
              <w:bottom w:w="0" w:type="dxa"/>
              <w:right w:w="85" w:type="dxa"/>
            </w:tcMar>
          </w:tcPr>
          <w:p w14:paraId="4424C547"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727.6</w:t>
            </w:r>
          </w:p>
        </w:tc>
        <w:tc>
          <w:tcPr>
            <w:tcW w:w="0" w:type="auto"/>
            <w:shd w:val="clear" w:color="auto" w:fill="FFFFFF"/>
            <w:tcMar>
              <w:top w:w="0" w:type="dxa"/>
              <w:left w:w="85" w:type="dxa"/>
              <w:bottom w:w="0" w:type="dxa"/>
              <w:right w:w="85" w:type="dxa"/>
            </w:tcMar>
          </w:tcPr>
          <w:p w14:paraId="51B10D95"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5,249.7</w:t>
            </w:r>
          </w:p>
        </w:tc>
        <w:tc>
          <w:tcPr>
            <w:tcW w:w="0" w:type="auto"/>
            <w:shd w:val="clear" w:color="auto" w:fill="FFFFFF"/>
            <w:tcMar>
              <w:top w:w="0" w:type="dxa"/>
              <w:left w:w="85" w:type="dxa"/>
              <w:bottom w:w="0" w:type="dxa"/>
              <w:right w:w="85" w:type="dxa"/>
            </w:tcMar>
          </w:tcPr>
          <w:p w14:paraId="1062F056"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5,977.3</w:t>
            </w:r>
          </w:p>
        </w:tc>
      </w:tr>
      <w:tr w:rsidR="00BC0FD7" w:rsidRPr="001D5327" w14:paraId="591EE9C5" w14:textId="77777777" w:rsidTr="00D11AC9">
        <w:tc>
          <w:tcPr>
            <w:tcW w:w="0" w:type="auto"/>
            <w:shd w:val="clear" w:color="auto" w:fill="FFFFFF"/>
            <w:tcMar>
              <w:top w:w="0" w:type="dxa"/>
              <w:left w:w="85" w:type="dxa"/>
              <w:bottom w:w="0" w:type="dxa"/>
              <w:right w:w="85" w:type="dxa"/>
            </w:tcMar>
          </w:tcPr>
          <w:p w14:paraId="3B6AB1ED"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1961</w:t>
            </w:r>
          </w:p>
        </w:tc>
        <w:tc>
          <w:tcPr>
            <w:tcW w:w="0" w:type="auto"/>
            <w:shd w:val="clear" w:color="auto" w:fill="FFFFFF"/>
            <w:tcMar>
              <w:top w:w="0" w:type="dxa"/>
              <w:left w:w="85" w:type="dxa"/>
              <w:bottom w:w="0" w:type="dxa"/>
              <w:right w:w="85" w:type="dxa"/>
            </w:tcMar>
          </w:tcPr>
          <w:p w14:paraId="0738A7C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692.0</w:t>
            </w:r>
          </w:p>
        </w:tc>
        <w:tc>
          <w:tcPr>
            <w:tcW w:w="0" w:type="auto"/>
            <w:shd w:val="clear" w:color="auto" w:fill="FFFFFF"/>
            <w:tcMar>
              <w:top w:w="0" w:type="dxa"/>
              <w:left w:w="85" w:type="dxa"/>
              <w:bottom w:w="0" w:type="dxa"/>
              <w:right w:w="85" w:type="dxa"/>
            </w:tcMar>
          </w:tcPr>
          <w:p w14:paraId="2389D04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5,441.4</w:t>
            </w:r>
          </w:p>
        </w:tc>
        <w:tc>
          <w:tcPr>
            <w:tcW w:w="0" w:type="auto"/>
            <w:shd w:val="clear" w:color="auto" w:fill="FFFFFF"/>
            <w:tcMar>
              <w:top w:w="0" w:type="dxa"/>
              <w:left w:w="85" w:type="dxa"/>
              <w:bottom w:w="0" w:type="dxa"/>
              <w:right w:w="85" w:type="dxa"/>
            </w:tcMar>
          </w:tcPr>
          <w:p w14:paraId="790893E6"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6,133.4</w:t>
            </w:r>
          </w:p>
        </w:tc>
      </w:tr>
      <w:tr w:rsidR="00BC0FD7" w:rsidRPr="001D5327" w14:paraId="545CC097" w14:textId="77777777" w:rsidTr="00D11AC9">
        <w:tc>
          <w:tcPr>
            <w:tcW w:w="0" w:type="auto"/>
            <w:shd w:val="clear" w:color="auto" w:fill="FFFFFF"/>
            <w:tcMar>
              <w:top w:w="0" w:type="dxa"/>
              <w:left w:w="85" w:type="dxa"/>
              <w:bottom w:w="0" w:type="dxa"/>
              <w:right w:w="85" w:type="dxa"/>
            </w:tcMar>
          </w:tcPr>
          <w:p w14:paraId="11FB174A"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1962</w:t>
            </w:r>
          </w:p>
        </w:tc>
        <w:tc>
          <w:tcPr>
            <w:tcW w:w="0" w:type="auto"/>
            <w:shd w:val="clear" w:color="auto" w:fill="FFFFFF"/>
            <w:tcMar>
              <w:top w:w="0" w:type="dxa"/>
              <w:left w:w="85" w:type="dxa"/>
              <w:bottom w:w="0" w:type="dxa"/>
              <w:right w:w="85" w:type="dxa"/>
            </w:tcMar>
          </w:tcPr>
          <w:p w14:paraId="68B93ADC"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688.1</w:t>
            </w:r>
          </w:p>
        </w:tc>
        <w:tc>
          <w:tcPr>
            <w:tcW w:w="0" w:type="auto"/>
            <w:shd w:val="clear" w:color="auto" w:fill="FFFFFF"/>
            <w:tcMar>
              <w:top w:w="0" w:type="dxa"/>
              <w:left w:w="85" w:type="dxa"/>
              <w:bottom w:w="0" w:type="dxa"/>
              <w:right w:w="85" w:type="dxa"/>
            </w:tcMar>
          </w:tcPr>
          <w:p w14:paraId="251406F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5,640.0</w:t>
            </w:r>
          </w:p>
        </w:tc>
        <w:tc>
          <w:tcPr>
            <w:tcW w:w="0" w:type="auto"/>
            <w:shd w:val="clear" w:color="auto" w:fill="FFFFFF"/>
            <w:tcMar>
              <w:top w:w="0" w:type="dxa"/>
              <w:left w:w="85" w:type="dxa"/>
              <w:bottom w:w="0" w:type="dxa"/>
              <w:right w:w="85" w:type="dxa"/>
            </w:tcMar>
          </w:tcPr>
          <w:p w14:paraId="0C5C84B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6,328.1</w:t>
            </w:r>
          </w:p>
        </w:tc>
      </w:tr>
      <w:tr w:rsidR="00BC0FD7" w:rsidRPr="001D5327" w14:paraId="73228342" w14:textId="77777777" w:rsidTr="00D11AC9">
        <w:tc>
          <w:tcPr>
            <w:tcW w:w="0" w:type="auto"/>
            <w:shd w:val="clear" w:color="auto" w:fill="FFFFFF"/>
            <w:tcMar>
              <w:top w:w="0" w:type="dxa"/>
              <w:left w:w="85" w:type="dxa"/>
              <w:bottom w:w="0" w:type="dxa"/>
              <w:right w:w="85" w:type="dxa"/>
            </w:tcMar>
          </w:tcPr>
          <w:p w14:paraId="055545B6"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1963</w:t>
            </w:r>
          </w:p>
        </w:tc>
        <w:tc>
          <w:tcPr>
            <w:tcW w:w="0" w:type="auto"/>
            <w:shd w:val="clear" w:color="auto" w:fill="FFFFFF"/>
            <w:tcMar>
              <w:top w:w="0" w:type="dxa"/>
              <w:left w:w="85" w:type="dxa"/>
              <w:bottom w:w="0" w:type="dxa"/>
              <w:right w:w="85" w:type="dxa"/>
            </w:tcMar>
          </w:tcPr>
          <w:p w14:paraId="33601D5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683.7</w:t>
            </w:r>
          </w:p>
        </w:tc>
        <w:tc>
          <w:tcPr>
            <w:tcW w:w="0" w:type="auto"/>
            <w:shd w:val="clear" w:color="auto" w:fill="FFFFFF"/>
            <w:tcMar>
              <w:top w:w="0" w:type="dxa"/>
              <w:left w:w="85" w:type="dxa"/>
              <w:bottom w:w="0" w:type="dxa"/>
              <w:right w:w="85" w:type="dxa"/>
            </w:tcMar>
          </w:tcPr>
          <w:p w14:paraId="0951DA90"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5,845.7</w:t>
            </w:r>
          </w:p>
        </w:tc>
        <w:tc>
          <w:tcPr>
            <w:tcW w:w="0" w:type="auto"/>
            <w:shd w:val="clear" w:color="auto" w:fill="FFFFFF"/>
            <w:tcMar>
              <w:top w:w="0" w:type="dxa"/>
              <w:left w:w="85" w:type="dxa"/>
              <w:bottom w:w="0" w:type="dxa"/>
              <w:right w:w="85" w:type="dxa"/>
            </w:tcMar>
          </w:tcPr>
          <w:p w14:paraId="243A7EE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6,529.4</w:t>
            </w:r>
          </w:p>
        </w:tc>
      </w:tr>
      <w:tr w:rsidR="00BC0FD7" w:rsidRPr="001D5327" w14:paraId="2B3E67AE" w14:textId="77777777" w:rsidTr="00D11AC9">
        <w:tc>
          <w:tcPr>
            <w:tcW w:w="0" w:type="auto"/>
            <w:shd w:val="clear" w:color="auto" w:fill="FFFFFF"/>
            <w:tcMar>
              <w:top w:w="0" w:type="dxa"/>
              <w:left w:w="85" w:type="dxa"/>
              <w:bottom w:w="0" w:type="dxa"/>
              <w:right w:w="85" w:type="dxa"/>
            </w:tcMar>
          </w:tcPr>
          <w:p w14:paraId="0E126F0B"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1964</w:t>
            </w:r>
          </w:p>
        </w:tc>
        <w:tc>
          <w:tcPr>
            <w:tcW w:w="0" w:type="auto"/>
            <w:shd w:val="clear" w:color="auto" w:fill="FFFFFF"/>
            <w:tcMar>
              <w:top w:w="0" w:type="dxa"/>
              <w:left w:w="85" w:type="dxa"/>
              <w:bottom w:w="0" w:type="dxa"/>
              <w:right w:w="85" w:type="dxa"/>
            </w:tcMar>
          </w:tcPr>
          <w:p w14:paraId="743ABA68"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678.1</w:t>
            </w:r>
          </w:p>
        </w:tc>
        <w:tc>
          <w:tcPr>
            <w:tcW w:w="0" w:type="auto"/>
            <w:shd w:val="clear" w:color="auto" w:fill="FFFFFF"/>
            <w:tcMar>
              <w:top w:w="0" w:type="dxa"/>
              <w:left w:w="85" w:type="dxa"/>
              <w:bottom w:w="0" w:type="dxa"/>
              <w:right w:w="85" w:type="dxa"/>
            </w:tcMar>
          </w:tcPr>
          <w:p w14:paraId="0C0E179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6,058.8</w:t>
            </w:r>
          </w:p>
        </w:tc>
        <w:tc>
          <w:tcPr>
            <w:tcW w:w="0" w:type="auto"/>
            <w:shd w:val="clear" w:color="auto" w:fill="FFFFFF"/>
            <w:tcMar>
              <w:top w:w="0" w:type="dxa"/>
              <w:left w:w="85" w:type="dxa"/>
              <w:bottom w:w="0" w:type="dxa"/>
              <w:right w:w="85" w:type="dxa"/>
            </w:tcMar>
          </w:tcPr>
          <w:p w14:paraId="13AB3C8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6,736.9</w:t>
            </w:r>
          </w:p>
        </w:tc>
      </w:tr>
      <w:tr w:rsidR="00BC0FD7" w:rsidRPr="001D5327" w14:paraId="59074AEB" w14:textId="77777777" w:rsidTr="00D11AC9">
        <w:tc>
          <w:tcPr>
            <w:tcW w:w="0" w:type="auto"/>
            <w:shd w:val="clear" w:color="auto" w:fill="FFFFFF"/>
            <w:tcMar>
              <w:top w:w="0" w:type="dxa"/>
              <w:left w:w="85" w:type="dxa"/>
              <w:bottom w:w="0" w:type="dxa"/>
              <w:right w:w="85" w:type="dxa"/>
            </w:tcMar>
          </w:tcPr>
          <w:p w14:paraId="141C471F"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1965</w:t>
            </w:r>
          </w:p>
        </w:tc>
        <w:tc>
          <w:tcPr>
            <w:tcW w:w="0" w:type="auto"/>
            <w:shd w:val="clear" w:color="auto" w:fill="FFFFFF"/>
            <w:tcMar>
              <w:top w:w="0" w:type="dxa"/>
              <w:left w:w="85" w:type="dxa"/>
              <w:bottom w:w="0" w:type="dxa"/>
              <w:right w:w="85" w:type="dxa"/>
            </w:tcMar>
          </w:tcPr>
          <w:p w14:paraId="1BE119A0"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666.5</w:t>
            </w:r>
          </w:p>
        </w:tc>
        <w:tc>
          <w:tcPr>
            <w:tcW w:w="0" w:type="auto"/>
            <w:shd w:val="clear" w:color="auto" w:fill="FFFFFF"/>
            <w:tcMar>
              <w:top w:w="0" w:type="dxa"/>
              <w:left w:w="85" w:type="dxa"/>
              <w:bottom w:w="0" w:type="dxa"/>
              <w:right w:w="85" w:type="dxa"/>
            </w:tcMar>
          </w:tcPr>
          <w:p w14:paraId="25A0CCC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6,279.5</w:t>
            </w:r>
          </w:p>
        </w:tc>
        <w:tc>
          <w:tcPr>
            <w:tcW w:w="0" w:type="auto"/>
            <w:shd w:val="clear" w:color="auto" w:fill="FFFFFF"/>
            <w:tcMar>
              <w:top w:w="0" w:type="dxa"/>
              <w:left w:w="85" w:type="dxa"/>
              <w:bottom w:w="0" w:type="dxa"/>
              <w:right w:w="85" w:type="dxa"/>
            </w:tcMar>
          </w:tcPr>
          <w:p w14:paraId="24DD4E08"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6,946.0</w:t>
            </w:r>
          </w:p>
        </w:tc>
      </w:tr>
      <w:tr w:rsidR="00BC0FD7" w:rsidRPr="001D5327" w14:paraId="63818794" w14:textId="77777777" w:rsidTr="00D11AC9">
        <w:tc>
          <w:tcPr>
            <w:tcW w:w="0" w:type="auto"/>
            <w:shd w:val="clear" w:color="auto" w:fill="FFFFFF"/>
            <w:tcMar>
              <w:top w:w="0" w:type="dxa"/>
              <w:left w:w="85" w:type="dxa"/>
              <w:bottom w:w="0" w:type="dxa"/>
              <w:right w:w="85" w:type="dxa"/>
            </w:tcMar>
          </w:tcPr>
          <w:p w14:paraId="07D1F430"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1966</w:t>
            </w:r>
          </w:p>
        </w:tc>
        <w:tc>
          <w:tcPr>
            <w:tcW w:w="0" w:type="auto"/>
            <w:shd w:val="clear" w:color="auto" w:fill="FFFFFF"/>
            <w:tcMar>
              <w:top w:w="0" w:type="dxa"/>
              <w:left w:w="85" w:type="dxa"/>
              <w:bottom w:w="0" w:type="dxa"/>
              <w:right w:w="85" w:type="dxa"/>
            </w:tcMar>
          </w:tcPr>
          <w:p w14:paraId="1C918E9C"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661.1</w:t>
            </w:r>
          </w:p>
        </w:tc>
        <w:tc>
          <w:tcPr>
            <w:tcW w:w="0" w:type="auto"/>
            <w:shd w:val="clear" w:color="auto" w:fill="FFFFFF"/>
            <w:tcMar>
              <w:top w:w="0" w:type="dxa"/>
              <w:left w:w="85" w:type="dxa"/>
              <w:bottom w:w="0" w:type="dxa"/>
              <w:right w:w="85" w:type="dxa"/>
            </w:tcMar>
          </w:tcPr>
          <w:p w14:paraId="1718C0D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6,508.2</w:t>
            </w:r>
          </w:p>
        </w:tc>
        <w:tc>
          <w:tcPr>
            <w:tcW w:w="0" w:type="auto"/>
            <w:shd w:val="clear" w:color="auto" w:fill="FFFFFF"/>
            <w:tcMar>
              <w:top w:w="0" w:type="dxa"/>
              <w:left w:w="85" w:type="dxa"/>
              <w:bottom w:w="0" w:type="dxa"/>
              <w:right w:w="85" w:type="dxa"/>
            </w:tcMar>
          </w:tcPr>
          <w:p w14:paraId="2BAB3E4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7,169.3</w:t>
            </w:r>
          </w:p>
        </w:tc>
      </w:tr>
      <w:tr w:rsidR="00BC0FD7" w:rsidRPr="001D5327" w14:paraId="38925C01" w14:textId="77777777" w:rsidTr="00D11AC9">
        <w:tc>
          <w:tcPr>
            <w:tcW w:w="0" w:type="auto"/>
            <w:shd w:val="clear" w:color="auto" w:fill="FFFFFF"/>
            <w:tcMar>
              <w:top w:w="0" w:type="dxa"/>
              <w:left w:w="85" w:type="dxa"/>
              <w:bottom w:w="0" w:type="dxa"/>
              <w:right w:w="85" w:type="dxa"/>
            </w:tcMar>
          </w:tcPr>
          <w:p w14:paraId="7B3B2BC7"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1967</w:t>
            </w:r>
          </w:p>
        </w:tc>
        <w:tc>
          <w:tcPr>
            <w:tcW w:w="0" w:type="auto"/>
            <w:shd w:val="clear" w:color="auto" w:fill="FFFFFF"/>
            <w:tcMar>
              <w:top w:w="0" w:type="dxa"/>
              <w:left w:w="85" w:type="dxa"/>
              <w:bottom w:w="0" w:type="dxa"/>
              <w:right w:w="85" w:type="dxa"/>
            </w:tcMar>
          </w:tcPr>
          <w:p w14:paraId="280B6A87"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644.8</w:t>
            </w:r>
          </w:p>
        </w:tc>
        <w:tc>
          <w:tcPr>
            <w:tcW w:w="0" w:type="auto"/>
            <w:shd w:val="clear" w:color="auto" w:fill="FFFFFF"/>
            <w:tcMar>
              <w:top w:w="0" w:type="dxa"/>
              <w:left w:w="85" w:type="dxa"/>
              <w:bottom w:w="0" w:type="dxa"/>
              <w:right w:w="85" w:type="dxa"/>
            </w:tcMar>
          </w:tcPr>
          <w:p w14:paraId="590292FC"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6,745.1</w:t>
            </w:r>
          </w:p>
        </w:tc>
        <w:tc>
          <w:tcPr>
            <w:tcW w:w="0" w:type="auto"/>
            <w:shd w:val="clear" w:color="auto" w:fill="FFFFFF"/>
            <w:tcMar>
              <w:top w:w="0" w:type="dxa"/>
              <w:left w:w="85" w:type="dxa"/>
              <w:bottom w:w="0" w:type="dxa"/>
              <w:right w:w="85" w:type="dxa"/>
            </w:tcMar>
          </w:tcPr>
          <w:p w14:paraId="52CDB47F"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7,389.9</w:t>
            </w:r>
          </w:p>
        </w:tc>
      </w:tr>
      <w:tr w:rsidR="00BC0FD7" w:rsidRPr="001D5327" w14:paraId="578CEBAF" w14:textId="77777777" w:rsidTr="00D11AC9">
        <w:tc>
          <w:tcPr>
            <w:tcW w:w="0" w:type="auto"/>
            <w:shd w:val="clear" w:color="auto" w:fill="FFFFFF"/>
            <w:tcMar>
              <w:top w:w="0" w:type="dxa"/>
              <w:left w:w="85" w:type="dxa"/>
              <w:bottom w:w="0" w:type="dxa"/>
              <w:right w:w="85" w:type="dxa"/>
            </w:tcMar>
          </w:tcPr>
          <w:p w14:paraId="61E07378"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1968</w:t>
            </w:r>
          </w:p>
        </w:tc>
        <w:tc>
          <w:tcPr>
            <w:tcW w:w="0" w:type="auto"/>
            <w:shd w:val="clear" w:color="auto" w:fill="FFFFFF"/>
            <w:tcMar>
              <w:top w:w="0" w:type="dxa"/>
              <w:left w:w="85" w:type="dxa"/>
              <w:bottom w:w="0" w:type="dxa"/>
              <w:right w:w="85" w:type="dxa"/>
            </w:tcMar>
          </w:tcPr>
          <w:p w14:paraId="7ABAAC0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632.4</w:t>
            </w:r>
          </w:p>
        </w:tc>
        <w:tc>
          <w:tcPr>
            <w:tcW w:w="0" w:type="auto"/>
            <w:shd w:val="clear" w:color="auto" w:fill="FFFFFF"/>
            <w:tcMar>
              <w:top w:w="0" w:type="dxa"/>
              <w:left w:w="85" w:type="dxa"/>
              <w:bottom w:w="0" w:type="dxa"/>
              <w:right w:w="85" w:type="dxa"/>
            </w:tcMar>
          </w:tcPr>
          <w:p w14:paraId="66660518"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6,990.4</w:t>
            </w:r>
          </w:p>
        </w:tc>
        <w:tc>
          <w:tcPr>
            <w:tcW w:w="0" w:type="auto"/>
            <w:shd w:val="clear" w:color="auto" w:fill="FFFFFF"/>
            <w:tcMar>
              <w:top w:w="0" w:type="dxa"/>
              <w:left w:w="85" w:type="dxa"/>
              <w:bottom w:w="0" w:type="dxa"/>
              <w:right w:w="85" w:type="dxa"/>
            </w:tcMar>
          </w:tcPr>
          <w:p w14:paraId="72DE5C6E"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7,622.9</w:t>
            </w:r>
          </w:p>
        </w:tc>
      </w:tr>
      <w:tr w:rsidR="00BC0FD7" w:rsidRPr="001D5327" w14:paraId="33E1B33B" w14:textId="77777777" w:rsidTr="00D11AC9">
        <w:tc>
          <w:tcPr>
            <w:tcW w:w="0" w:type="auto"/>
            <w:shd w:val="clear" w:color="auto" w:fill="FFFFFF"/>
            <w:tcMar>
              <w:top w:w="0" w:type="dxa"/>
              <w:left w:w="85" w:type="dxa"/>
              <w:bottom w:w="0" w:type="dxa"/>
              <w:right w:w="85" w:type="dxa"/>
            </w:tcMar>
          </w:tcPr>
          <w:p w14:paraId="543A7F00"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1969</w:t>
            </w:r>
          </w:p>
        </w:tc>
        <w:tc>
          <w:tcPr>
            <w:tcW w:w="0" w:type="auto"/>
            <w:shd w:val="clear" w:color="auto" w:fill="FFFFFF"/>
            <w:tcMar>
              <w:top w:w="0" w:type="dxa"/>
              <w:left w:w="85" w:type="dxa"/>
              <w:bottom w:w="0" w:type="dxa"/>
              <w:right w:w="85" w:type="dxa"/>
            </w:tcMar>
          </w:tcPr>
          <w:p w14:paraId="6327087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627.8</w:t>
            </w:r>
          </w:p>
        </w:tc>
        <w:tc>
          <w:tcPr>
            <w:tcW w:w="0" w:type="auto"/>
            <w:shd w:val="clear" w:color="auto" w:fill="FFFFFF"/>
            <w:tcMar>
              <w:top w:w="0" w:type="dxa"/>
              <w:left w:w="85" w:type="dxa"/>
              <w:bottom w:w="0" w:type="dxa"/>
              <w:right w:w="85" w:type="dxa"/>
            </w:tcMar>
          </w:tcPr>
          <w:p w14:paraId="6B7C21B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7,244.6</w:t>
            </w:r>
          </w:p>
        </w:tc>
        <w:tc>
          <w:tcPr>
            <w:tcW w:w="0" w:type="auto"/>
            <w:shd w:val="clear" w:color="auto" w:fill="FFFFFF"/>
            <w:tcMar>
              <w:top w:w="0" w:type="dxa"/>
              <w:left w:w="85" w:type="dxa"/>
              <w:bottom w:w="0" w:type="dxa"/>
              <w:right w:w="85" w:type="dxa"/>
            </w:tcMar>
          </w:tcPr>
          <w:p w14:paraId="1426E9BD"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7,872.4</w:t>
            </w:r>
          </w:p>
        </w:tc>
      </w:tr>
      <w:tr w:rsidR="00BC0FD7" w:rsidRPr="001D5327" w14:paraId="4D29BC31" w14:textId="77777777" w:rsidTr="00D11AC9">
        <w:tc>
          <w:tcPr>
            <w:tcW w:w="0" w:type="auto"/>
            <w:shd w:val="clear" w:color="auto" w:fill="FFFFFF"/>
            <w:tcMar>
              <w:top w:w="0" w:type="dxa"/>
              <w:left w:w="85" w:type="dxa"/>
              <w:bottom w:w="0" w:type="dxa"/>
              <w:right w:w="85" w:type="dxa"/>
            </w:tcMar>
          </w:tcPr>
          <w:p w14:paraId="74A5A16B"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1970</w:t>
            </w:r>
          </w:p>
        </w:tc>
        <w:tc>
          <w:tcPr>
            <w:tcW w:w="0" w:type="auto"/>
            <w:shd w:val="clear" w:color="auto" w:fill="FFFFFF"/>
            <w:tcMar>
              <w:top w:w="0" w:type="dxa"/>
              <w:left w:w="85" w:type="dxa"/>
              <w:bottom w:w="0" w:type="dxa"/>
              <w:right w:w="85" w:type="dxa"/>
            </w:tcMar>
          </w:tcPr>
          <w:p w14:paraId="112E6E8D"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617.9</w:t>
            </w:r>
          </w:p>
        </w:tc>
        <w:tc>
          <w:tcPr>
            <w:tcW w:w="0" w:type="auto"/>
            <w:shd w:val="clear" w:color="auto" w:fill="FFFFFF"/>
            <w:tcMar>
              <w:top w:w="0" w:type="dxa"/>
              <w:left w:w="85" w:type="dxa"/>
              <w:bottom w:w="0" w:type="dxa"/>
              <w:right w:w="85" w:type="dxa"/>
            </w:tcMar>
          </w:tcPr>
          <w:p w14:paraId="3D53C142"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7,507.9</w:t>
            </w:r>
          </w:p>
        </w:tc>
        <w:tc>
          <w:tcPr>
            <w:tcW w:w="0" w:type="auto"/>
            <w:shd w:val="clear" w:color="auto" w:fill="FFFFFF"/>
            <w:tcMar>
              <w:top w:w="0" w:type="dxa"/>
              <w:left w:w="85" w:type="dxa"/>
              <w:bottom w:w="0" w:type="dxa"/>
              <w:right w:w="85" w:type="dxa"/>
            </w:tcMar>
          </w:tcPr>
          <w:p w14:paraId="5129D6FE"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8,125.8</w:t>
            </w:r>
          </w:p>
        </w:tc>
      </w:tr>
      <w:tr w:rsidR="00BC0FD7" w:rsidRPr="001D5327" w14:paraId="5025EEC7" w14:textId="77777777" w:rsidTr="00D11AC9">
        <w:tc>
          <w:tcPr>
            <w:tcW w:w="0" w:type="auto"/>
            <w:shd w:val="clear" w:color="auto" w:fill="FFFFFF"/>
            <w:tcMar>
              <w:top w:w="0" w:type="dxa"/>
              <w:left w:w="85" w:type="dxa"/>
              <w:bottom w:w="0" w:type="dxa"/>
              <w:right w:w="85" w:type="dxa"/>
            </w:tcMar>
          </w:tcPr>
          <w:p w14:paraId="55258F8C"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1971</w:t>
            </w:r>
          </w:p>
        </w:tc>
        <w:tc>
          <w:tcPr>
            <w:tcW w:w="0" w:type="auto"/>
            <w:shd w:val="clear" w:color="auto" w:fill="FFFFFF"/>
            <w:tcMar>
              <w:top w:w="0" w:type="dxa"/>
              <w:left w:w="85" w:type="dxa"/>
              <w:bottom w:w="0" w:type="dxa"/>
              <w:right w:w="85" w:type="dxa"/>
            </w:tcMar>
          </w:tcPr>
          <w:p w14:paraId="1D00CF58"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613.6</w:t>
            </w:r>
          </w:p>
        </w:tc>
        <w:tc>
          <w:tcPr>
            <w:tcW w:w="0" w:type="auto"/>
            <w:shd w:val="clear" w:color="auto" w:fill="FFFFFF"/>
            <w:tcMar>
              <w:top w:w="0" w:type="dxa"/>
              <w:left w:w="85" w:type="dxa"/>
              <w:bottom w:w="0" w:type="dxa"/>
              <w:right w:w="85" w:type="dxa"/>
            </w:tcMar>
          </w:tcPr>
          <w:p w14:paraId="431F2282"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7,780.6</w:t>
            </w:r>
          </w:p>
        </w:tc>
        <w:tc>
          <w:tcPr>
            <w:tcW w:w="0" w:type="auto"/>
            <w:shd w:val="clear" w:color="auto" w:fill="FFFFFF"/>
            <w:tcMar>
              <w:top w:w="0" w:type="dxa"/>
              <w:left w:w="85" w:type="dxa"/>
              <w:bottom w:w="0" w:type="dxa"/>
              <w:right w:w="85" w:type="dxa"/>
            </w:tcMar>
          </w:tcPr>
          <w:p w14:paraId="1C7BB04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8,394.2</w:t>
            </w:r>
          </w:p>
        </w:tc>
      </w:tr>
      <w:tr w:rsidR="00BC0FD7" w:rsidRPr="001D5327" w14:paraId="2345F361" w14:textId="77777777" w:rsidTr="00D11AC9">
        <w:tc>
          <w:tcPr>
            <w:tcW w:w="0" w:type="auto"/>
            <w:shd w:val="clear" w:color="auto" w:fill="FFFFFF"/>
            <w:tcMar>
              <w:top w:w="0" w:type="dxa"/>
              <w:left w:w="85" w:type="dxa"/>
              <w:bottom w:w="0" w:type="dxa"/>
              <w:right w:w="85" w:type="dxa"/>
            </w:tcMar>
          </w:tcPr>
          <w:p w14:paraId="5A462C79"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1972</w:t>
            </w:r>
          </w:p>
        </w:tc>
        <w:tc>
          <w:tcPr>
            <w:tcW w:w="0" w:type="auto"/>
            <w:shd w:val="clear" w:color="auto" w:fill="FFFFFF"/>
            <w:tcMar>
              <w:top w:w="0" w:type="dxa"/>
              <w:left w:w="85" w:type="dxa"/>
              <w:bottom w:w="0" w:type="dxa"/>
              <w:right w:w="85" w:type="dxa"/>
            </w:tcMar>
          </w:tcPr>
          <w:p w14:paraId="5124F22D"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593.8</w:t>
            </w:r>
          </w:p>
        </w:tc>
        <w:tc>
          <w:tcPr>
            <w:tcW w:w="0" w:type="auto"/>
            <w:shd w:val="clear" w:color="auto" w:fill="FFFFFF"/>
            <w:tcMar>
              <w:top w:w="0" w:type="dxa"/>
              <w:left w:w="85" w:type="dxa"/>
              <w:bottom w:w="0" w:type="dxa"/>
              <w:right w:w="85" w:type="dxa"/>
            </w:tcMar>
          </w:tcPr>
          <w:p w14:paraId="116B887C"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8,063.0</w:t>
            </w:r>
          </w:p>
        </w:tc>
        <w:tc>
          <w:tcPr>
            <w:tcW w:w="0" w:type="auto"/>
            <w:shd w:val="clear" w:color="auto" w:fill="FFFFFF"/>
            <w:tcMar>
              <w:top w:w="0" w:type="dxa"/>
              <w:left w:w="85" w:type="dxa"/>
              <w:bottom w:w="0" w:type="dxa"/>
              <w:right w:w="85" w:type="dxa"/>
            </w:tcMar>
          </w:tcPr>
          <w:p w14:paraId="655FB23E"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8,656.9</w:t>
            </w:r>
          </w:p>
        </w:tc>
      </w:tr>
      <w:tr w:rsidR="00BC0FD7" w:rsidRPr="001D5327" w14:paraId="5E1368E2" w14:textId="77777777" w:rsidTr="00D11AC9">
        <w:tc>
          <w:tcPr>
            <w:tcW w:w="0" w:type="auto"/>
            <w:shd w:val="clear" w:color="auto" w:fill="FFFFFF"/>
            <w:tcMar>
              <w:top w:w="0" w:type="dxa"/>
              <w:left w:w="85" w:type="dxa"/>
              <w:bottom w:w="0" w:type="dxa"/>
              <w:right w:w="85" w:type="dxa"/>
            </w:tcMar>
          </w:tcPr>
          <w:p w14:paraId="4D969792"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lastRenderedPageBreak/>
              <w:t>1973</w:t>
            </w:r>
          </w:p>
        </w:tc>
        <w:tc>
          <w:tcPr>
            <w:tcW w:w="0" w:type="auto"/>
            <w:shd w:val="clear" w:color="auto" w:fill="FFFFFF"/>
            <w:tcMar>
              <w:top w:w="0" w:type="dxa"/>
              <w:left w:w="85" w:type="dxa"/>
              <w:bottom w:w="0" w:type="dxa"/>
              <w:right w:w="85" w:type="dxa"/>
            </w:tcMar>
          </w:tcPr>
          <w:p w14:paraId="254192E2"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597.7</w:t>
            </w:r>
          </w:p>
        </w:tc>
        <w:tc>
          <w:tcPr>
            <w:tcW w:w="0" w:type="auto"/>
            <w:shd w:val="clear" w:color="auto" w:fill="FFFFFF"/>
            <w:tcMar>
              <w:top w:w="0" w:type="dxa"/>
              <w:left w:w="85" w:type="dxa"/>
              <w:bottom w:w="0" w:type="dxa"/>
              <w:right w:w="85" w:type="dxa"/>
            </w:tcMar>
          </w:tcPr>
          <w:p w14:paraId="5FACAF95"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8,355.6</w:t>
            </w:r>
          </w:p>
        </w:tc>
        <w:tc>
          <w:tcPr>
            <w:tcW w:w="0" w:type="auto"/>
            <w:shd w:val="clear" w:color="auto" w:fill="FFFFFF"/>
            <w:tcMar>
              <w:top w:w="0" w:type="dxa"/>
              <w:left w:w="85" w:type="dxa"/>
              <w:bottom w:w="0" w:type="dxa"/>
              <w:right w:w="85" w:type="dxa"/>
            </w:tcMar>
          </w:tcPr>
          <w:p w14:paraId="7ED8CBE7"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8,953.3</w:t>
            </w:r>
          </w:p>
        </w:tc>
      </w:tr>
      <w:tr w:rsidR="00BC0FD7" w:rsidRPr="001D5327" w14:paraId="3E74F704" w14:textId="77777777" w:rsidTr="00D11AC9">
        <w:tc>
          <w:tcPr>
            <w:tcW w:w="0" w:type="auto"/>
            <w:shd w:val="clear" w:color="auto" w:fill="FFFFFF"/>
            <w:tcMar>
              <w:top w:w="0" w:type="dxa"/>
              <w:left w:w="85" w:type="dxa"/>
              <w:bottom w:w="0" w:type="dxa"/>
              <w:right w:w="85" w:type="dxa"/>
            </w:tcMar>
          </w:tcPr>
          <w:p w14:paraId="29AB8BA2"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1974</w:t>
            </w:r>
          </w:p>
        </w:tc>
        <w:tc>
          <w:tcPr>
            <w:tcW w:w="0" w:type="auto"/>
            <w:shd w:val="clear" w:color="auto" w:fill="FFFFFF"/>
            <w:tcMar>
              <w:top w:w="0" w:type="dxa"/>
              <w:left w:w="85" w:type="dxa"/>
              <w:bottom w:w="0" w:type="dxa"/>
              <w:right w:w="85" w:type="dxa"/>
            </w:tcMar>
          </w:tcPr>
          <w:p w14:paraId="35187E0C"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600.1</w:t>
            </w:r>
          </w:p>
        </w:tc>
        <w:tc>
          <w:tcPr>
            <w:tcW w:w="0" w:type="auto"/>
            <w:shd w:val="clear" w:color="auto" w:fill="FFFFFF"/>
            <w:tcMar>
              <w:top w:w="0" w:type="dxa"/>
              <w:left w:w="85" w:type="dxa"/>
              <w:bottom w:w="0" w:type="dxa"/>
              <w:right w:w="85" w:type="dxa"/>
            </w:tcMar>
          </w:tcPr>
          <w:p w14:paraId="07A8750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8,658.6</w:t>
            </w:r>
          </w:p>
        </w:tc>
        <w:tc>
          <w:tcPr>
            <w:tcW w:w="0" w:type="auto"/>
            <w:shd w:val="clear" w:color="auto" w:fill="FFFFFF"/>
            <w:tcMar>
              <w:top w:w="0" w:type="dxa"/>
              <w:left w:w="85" w:type="dxa"/>
              <w:bottom w:w="0" w:type="dxa"/>
              <w:right w:w="85" w:type="dxa"/>
            </w:tcMar>
          </w:tcPr>
          <w:p w14:paraId="649EE2F0"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9,258.8</w:t>
            </w:r>
          </w:p>
        </w:tc>
      </w:tr>
      <w:tr w:rsidR="00BC0FD7" w:rsidRPr="001D5327" w14:paraId="51DE7F84" w14:textId="77777777" w:rsidTr="00D11AC9">
        <w:tc>
          <w:tcPr>
            <w:tcW w:w="0" w:type="auto"/>
            <w:shd w:val="clear" w:color="auto" w:fill="FFFFFF"/>
            <w:tcMar>
              <w:top w:w="0" w:type="dxa"/>
              <w:left w:w="85" w:type="dxa"/>
              <w:bottom w:w="0" w:type="dxa"/>
              <w:right w:w="85" w:type="dxa"/>
            </w:tcMar>
          </w:tcPr>
          <w:p w14:paraId="28352886"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1975</w:t>
            </w:r>
          </w:p>
        </w:tc>
        <w:tc>
          <w:tcPr>
            <w:tcW w:w="0" w:type="auto"/>
            <w:shd w:val="clear" w:color="auto" w:fill="FFFFFF"/>
            <w:tcMar>
              <w:top w:w="0" w:type="dxa"/>
              <w:left w:w="85" w:type="dxa"/>
              <w:bottom w:w="0" w:type="dxa"/>
              <w:right w:w="85" w:type="dxa"/>
            </w:tcMar>
          </w:tcPr>
          <w:p w14:paraId="1A606EE1"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634.3</w:t>
            </w:r>
          </w:p>
        </w:tc>
        <w:tc>
          <w:tcPr>
            <w:tcW w:w="0" w:type="auto"/>
            <w:shd w:val="clear" w:color="auto" w:fill="FFFFFF"/>
            <w:tcMar>
              <w:top w:w="0" w:type="dxa"/>
              <w:left w:w="85" w:type="dxa"/>
              <w:bottom w:w="0" w:type="dxa"/>
              <w:right w:w="85" w:type="dxa"/>
            </w:tcMar>
          </w:tcPr>
          <w:p w14:paraId="008A6B2F"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8,972.5</w:t>
            </w:r>
          </w:p>
        </w:tc>
        <w:tc>
          <w:tcPr>
            <w:tcW w:w="0" w:type="auto"/>
            <w:shd w:val="clear" w:color="auto" w:fill="FFFFFF"/>
            <w:tcMar>
              <w:top w:w="0" w:type="dxa"/>
              <w:left w:w="85" w:type="dxa"/>
              <w:bottom w:w="0" w:type="dxa"/>
              <w:right w:w="85" w:type="dxa"/>
            </w:tcMar>
          </w:tcPr>
          <w:p w14:paraId="593E9B7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9,606.7</w:t>
            </w:r>
          </w:p>
        </w:tc>
      </w:tr>
      <w:tr w:rsidR="00BC0FD7" w:rsidRPr="001D5327" w14:paraId="790FAE25" w14:textId="77777777" w:rsidTr="00D11AC9">
        <w:tc>
          <w:tcPr>
            <w:tcW w:w="0" w:type="auto"/>
            <w:shd w:val="clear" w:color="auto" w:fill="FFFFFF"/>
            <w:tcMar>
              <w:top w:w="0" w:type="dxa"/>
              <w:left w:w="85" w:type="dxa"/>
              <w:bottom w:w="0" w:type="dxa"/>
              <w:right w:w="85" w:type="dxa"/>
            </w:tcMar>
          </w:tcPr>
          <w:p w14:paraId="5FCED01B"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1976</w:t>
            </w:r>
          </w:p>
        </w:tc>
        <w:tc>
          <w:tcPr>
            <w:tcW w:w="0" w:type="auto"/>
            <w:shd w:val="clear" w:color="auto" w:fill="FFFFFF"/>
            <w:tcMar>
              <w:top w:w="0" w:type="dxa"/>
              <w:left w:w="85" w:type="dxa"/>
              <w:bottom w:w="0" w:type="dxa"/>
              <w:right w:w="85" w:type="dxa"/>
            </w:tcMar>
          </w:tcPr>
          <w:p w14:paraId="1C127DE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641.0</w:t>
            </w:r>
          </w:p>
        </w:tc>
        <w:tc>
          <w:tcPr>
            <w:tcW w:w="0" w:type="auto"/>
            <w:shd w:val="clear" w:color="auto" w:fill="FFFFFF"/>
            <w:tcMar>
              <w:top w:w="0" w:type="dxa"/>
              <w:left w:w="85" w:type="dxa"/>
              <w:bottom w:w="0" w:type="dxa"/>
              <w:right w:w="85" w:type="dxa"/>
            </w:tcMar>
          </w:tcPr>
          <w:p w14:paraId="0C7464C1"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9,297.5</w:t>
            </w:r>
          </w:p>
        </w:tc>
        <w:tc>
          <w:tcPr>
            <w:tcW w:w="0" w:type="auto"/>
            <w:shd w:val="clear" w:color="auto" w:fill="FFFFFF"/>
            <w:tcMar>
              <w:top w:w="0" w:type="dxa"/>
              <w:left w:w="85" w:type="dxa"/>
              <w:bottom w:w="0" w:type="dxa"/>
              <w:right w:w="85" w:type="dxa"/>
            </w:tcMar>
          </w:tcPr>
          <w:p w14:paraId="6849FA2E"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9,938.5</w:t>
            </w:r>
          </w:p>
        </w:tc>
      </w:tr>
      <w:tr w:rsidR="00BC0FD7" w:rsidRPr="001D5327" w14:paraId="24D7DFCA" w14:textId="77777777" w:rsidTr="00D11AC9">
        <w:tc>
          <w:tcPr>
            <w:tcW w:w="0" w:type="auto"/>
            <w:shd w:val="clear" w:color="auto" w:fill="FFFFFF"/>
            <w:tcMar>
              <w:top w:w="0" w:type="dxa"/>
              <w:left w:w="85" w:type="dxa"/>
              <w:bottom w:w="0" w:type="dxa"/>
              <w:right w:w="85" w:type="dxa"/>
            </w:tcMar>
          </w:tcPr>
          <w:p w14:paraId="6998AFCF"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1977</w:t>
            </w:r>
          </w:p>
        </w:tc>
        <w:tc>
          <w:tcPr>
            <w:tcW w:w="0" w:type="auto"/>
            <w:shd w:val="clear" w:color="auto" w:fill="FFFFFF"/>
            <w:tcMar>
              <w:top w:w="0" w:type="dxa"/>
              <w:left w:w="85" w:type="dxa"/>
              <w:bottom w:w="0" w:type="dxa"/>
              <w:right w:w="85" w:type="dxa"/>
            </w:tcMar>
          </w:tcPr>
          <w:p w14:paraId="219D8778"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648.5</w:t>
            </w:r>
          </w:p>
        </w:tc>
        <w:tc>
          <w:tcPr>
            <w:tcW w:w="0" w:type="auto"/>
            <w:shd w:val="clear" w:color="auto" w:fill="FFFFFF"/>
            <w:tcMar>
              <w:top w:w="0" w:type="dxa"/>
              <w:left w:w="85" w:type="dxa"/>
              <w:bottom w:w="0" w:type="dxa"/>
              <w:right w:w="85" w:type="dxa"/>
            </w:tcMar>
          </w:tcPr>
          <w:p w14:paraId="3362D652"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9,634.2</w:t>
            </w:r>
          </w:p>
        </w:tc>
        <w:tc>
          <w:tcPr>
            <w:tcW w:w="0" w:type="auto"/>
            <w:shd w:val="clear" w:color="auto" w:fill="FFFFFF"/>
            <w:tcMar>
              <w:top w:w="0" w:type="dxa"/>
              <w:left w:w="85" w:type="dxa"/>
              <w:bottom w:w="0" w:type="dxa"/>
              <w:right w:w="85" w:type="dxa"/>
            </w:tcMar>
          </w:tcPr>
          <w:p w14:paraId="71C4C57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10,282.7</w:t>
            </w:r>
          </w:p>
        </w:tc>
      </w:tr>
      <w:tr w:rsidR="00BC0FD7" w:rsidRPr="001D5327" w14:paraId="0ACC55A2" w14:textId="77777777" w:rsidTr="00D11AC9">
        <w:tc>
          <w:tcPr>
            <w:tcW w:w="0" w:type="auto"/>
            <w:shd w:val="clear" w:color="auto" w:fill="FFFFFF"/>
            <w:tcMar>
              <w:top w:w="0" w:type="dxa"/>
              <w:left w:w="85" w:type="dxa"/>
              <w:bottom w:w="0" w:type="dxa"/>
              <w:right w:w="85" w:type="dxa"/>
            </w:tcMar>
          </w:tcPr>
          <w:p w14:paraId="08B10A8C"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1978</w:t>
            </w:r>
          </w:p>
        </w:tc>
        <w:tc>
          <w:tcPr>
            <w:tcW w:w="0" w:type="auto"/>
            <w:shd w:val="clear" w:color="auto" w:fill="FFFFFF"/>
            <w:tcMar>
              <w:top w:w="0" w:type="dxa"/>
              <w:left w:w="85" w:type="dxa"/>
              <w:bottom w:w="0" w:type="dxa"/>
              <w:right w:w="85" w:type="dxa"/>
            </w:tcMar>
          </w:tcPr>
          <w:p w14:paraId="0AEE5F40"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656.4</w:t>
            </w:r>
          </w:p>
        </w:tc>
        <w:tc>
          <w:tcPr>
            <w:tcW w:w="0" w:type="auto"/>
            <w:shd w:val="clear" w:color="auto" w:fill="FFFFFF"/>
            <w:tcMar>
              <w:top w:w="0" w:type="dxa"/>
              <w:left w:w="85" w:type="dxa"/>
              <w:bottom w:w="0" w:type="dxa"/>
              <w:right w:w="85" w:type="dxa"/>
            </w:tcMar>
          </w:tcPr>
          <w:p w14:paraId="75C8CB2D"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9,982.8</w:t>
            </w:r>
          </w:p>
        </w:tc>
        <w:tc>
          <w:tcPr>
            <w:tcW w:w="0" w:type="auto"/>
            <w:shd w:val="clear" w:color="auto" w:fill="FFFFFF"/>
            <w:tcMar>
              <w:top w:w="0" w:type="dxa"/>
              <w:left w:w="85" w:type="dxa"/>
              <w:bottom w:w="0" w:type="dxa"/>
              <w:right w:w="85" w:type="dxa"/>
            </w:tcMar>
          </w:tcPr>
          <w:p w14:paraId="33276EA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10,639.2</w:t>
            </w:r>
          </w:p>
        </w:tc>
      </w:tr>
      <w:tr w:rsidR="00BC0FD7" w:rsidRPr="001D5327" w14:paraId="29D07C48" w14:textId="77777777" w:rsidTr="00D11AC9">
        <w:tc>
          <w:tcPr>
            <w:tcW w:w="0" w:type="auto"/>
            <w:shd w:val="clear" w:color="auto" w:fill="FFFFFF"/>
            <w:tcMar>
              <w:top w:w="0" w:type="dxa"/>
              <w:left w:w="85" w:type="dxa"/>
              <w:bottom w:w="0" w:type="dxa"/>
              <w:right w:w="85" w:type="dxa"/>
            </w:tcMar>
          </w:tcPr>
          <w:p w14:paraId="5BFDE956"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1979</w:t>
            </w:r>
          </w:p>
        </w:tc>
        <w:tc>
          <w:tcPr>
            <w:tcW w:w="0" w:type="auto"/>
            <w:shd w:val="clear" w:color="auto" w:fill="FFFFFF"/>
            <w:tcMar>
              <w:top w:w="0" w:type="dxa"/>
              <w:left w:w="85" w:type="dxa"/>
              <w:bottom w:w="0" w:type="dxa"/>
              <w:right w:w="85" w:type="dxa"/>
            </w:tcMar>
          </w:tcPr>
          <w:p w14:paraId="36ED7F01"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666.3</w:t>
            </w:r>
          </w:p>
        </w:tc>
        <w:tc>
          <w:tcPr>
            <w:tcW w:w="0" w:type="auto"/>
            <w:shd w:val="clear" w:color="auto" w:fill="FFFFFF"/>
            <w:tcMar>
              <w:top w:w="0" w:type="dxa"/>
              <w:left w:w="85" w:type="dxa"/>
              <w:bottom w:w="0" w:type="dxa"/>
              <w:right w:w="85" w:type="dxa"/>
            </w:tcMar>
          </w:tcPr>
          <w:p w14:paraId="502E1F61"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10,014.6</w:t>
            </w:r>
          </w:p>
        </w:tc>
        <w:tc>
          <w:tcPr>
            <w:tcW w:w="0" w:type="auto"/>
            <w:shd w:val="clear" w:color="auto" w:fill="FFFFFF"/>
            <w:tcMar>
              <w:top w:w="0" w:type="dxa"/>
              <w:left w:w="85" w:type="dxa"/>
              <w:bottom w:w="0" w:type="dxa"/>
              <w:right w:w="85" w:type="dxa"/>
            </w:tcMar>
          </w:tcPr>
          <w:p w14:paraId="1476BA29"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10,680.9</w:t>
            </w:r>
          </w:p>
        </w:tc>
      </w:tr>
      <w:tr w:rsidR="00BC0FD7" w:rsidRPr="001D5327" w14:paraId="2476A998" w14:textId="77777777" w:rsidTr="00D11AC9">
        <w:tc>
          <w:tcPr>
            <w:tcW w:w="0" w:type="auto"/>
            <w:shd w:val="clear" w:color="auto" w:fill="FFFFFF"/>
            <w:tcMar>
              <w:top w:w="0" w:type="dxa"/>
              <w:left w:w="85" w:type="dxa"/>
              <w:bottom w:w="0" w:type="dxa"/>
              <w:right w:w="85" w:type="dxa"/>
            </w:tcMar>
          </w:tcPr>
          <w:p w14:paraId="3E3C9146"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1980</w:t>
            </w:r>
          </w:p>
        </w:tc>
        <w:tc>
          <w:tcPr>
            <w:tcW w:w="0" w:type="auto"/>
            <w:shd w:val="clear" w:color="auto" w:fill="FFFFFF"/>
            <w:tcMar>
              <w:top w:w="0" w:type="dxa"/>
              <w:left w:w="85" w:type="dxa"/>
              <w:bottom w:w="0" w:type="dxa"/>
              <w:right w:w="85" w:type="dxa"/>
            </w:tcMar>
          </w:tcPr>
          <w:p w14:paraId="349E1055"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676.3</w:t>
            </w:r>
          </w:p>
        </w:tc>
        <w:tc>
          <w:tcPr>
            <w:tcW w:w="0" w:type="auto"/>
            <w:shd w:val="clear" w:color="auto" w:fill="FFFFFF"/>
            <w:tcMar>
              <w:top w:w="0" w:type="dxa"/>
              <w:left w:w="85" w:type="dxa"/>
              <w:bottom w:w="0" w:type="dxa"/>
              <w:right w:w="85" w:type="dxa"/>
            </w:tcMar>
          </w:tcPr>
          <w:p w14:paraId="2EE567E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10,234.1</w:t>
            </w:r>
          </w:p>
        </w:tc>
        <w:tc>
          <w:tcPr>
            <w:tcW w:w="0" w:type="auto"/>
            <w:shd w:val="clear" w:color="auto" w:fill="FFFFFF"/>
            <w:tcMar>
              <w:top w:w="0" w:type="dxa"/>
              <w:left w:w="85" w:type="dxa"/>
              <w:bottom w:w="0" w:type="dxa"/>
              <w:right w:w="85" w:type="dxa"/>
            </w:tcMar>
          </w:tcPr>
          <w:p w14:paraId="31D0707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10,910.4</w:t>
            </w:r>
          </w:p>
        </w:tc>
      </w:tr>
      <w:tr w:rsidR="00BC0FD7" w:rsidRPr="001D5327" w14:paraId="70B59B28" w14:textId="77777777" w:rsidTr="00D11AC9">
        <w:tc>
          <w:tcPr>
            <w:tcW w:w="0" w:type="auto"/>
            <w:shd w:val="clear" w:color="auto" w:fill="FFFFFF"/>
            <w:tcMar>
              <w:top w:w="0" w:type="dxa"/>
              <w:left w:w="85" w:type="dxa"/>
              <w:bottom w:w="0" w:type="dxa"/>
              <w:right w:w="85" w:type="dxa"/>
            </w:tcMar>
          </w:tcPr>
          <w:p w14:paraId="7755006F"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1981</w:t>
            </w:r>
          </w:p>
        </w:tc>
        <w:tc>
          <w:tcPr>
            <w:tcW w:w="0" w:type="auto"/>
            <w:shd w:val="clear" w:color="auto" w:fill="FFFFFF"/>
            <w:tcMar>
              <w:top w:w="0" w:type="dxa"/>
              <w:left w:w="85" w:type="dxa"/>
              <w:bottom w:w="0" w:type="dxa"/>
              <w:right w:w="85" w:type="dxa"/>
            </w:tcMar>
          </w:tcPr>
          <w:p w14:paraId="12FEA8D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685.8</w:t>
            </w:r>
          </w:p>
        </w:tc>
        <w:tc>
          <w:tcPr>
            <w:tcW w:w="0" w:type="auto"/>
            <w:shd w:val="clear" w:color="auto" w:fill="FFFFFF"/>
            <w:tcMar>
              <w:top w:w="0" w:type="dxa"/>
              <w:left w:w="85" w:type="dxa"/>
              <w:bottom w:w="0" w:type="dxa"/>
              <w:right w:w="85" w:type="dxa"/>
            </w:tcMar>
          </w:tcPr>
          <w:p w14:paraId="4E9F5BED"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10,365.5</w:t>
            </w:r>
          </w:p>
        </w:tc>
        <w:tc>
          <w:tcPr>
            <w:tcW w:w="0" w:type="auto"/>
            <w:shd w:val="clear" w:color="auto" w:fill="FFFFFF"/>
            <w:tcMar>
              <w:top w:w="0" w:type="dxa"/>
              <w:left w:w="85" w:type="dxa"/>
              <w:bottom w:w="0" w:type="dxa"/>
              <w:right w:w="85" w:type="dxa"/>
            </w:tcMar>
          </w:tcPr>
          <w:p w14:paraId="5296728E"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11,051.4</w:t>
            </w:r>
          </w:p>
        </w:tc>
      </w:tr>
      <w:tr w:rsidR="00BC0FD7" w:rsidRPr="001D5327" w14:paraId="60404F6F" w14:textId="77777777" w:rsidTr="00D11AC9">
        <w:tc>
          <w:tcPr>
            <w:tcW w:w="0" w:type="auto"/>
            <w:shd w:val="clear" w:color="auto" w:fill="FFFFFF"/>
            <w:tcMar>
              <w:top w:w="0" w:type="dxa"/>
              <w:left w:w="85" w:type="dxa"/>
              <w:bottom w:w="0" w:type="dxa"/>
              <w:right w:w="85" w:type="dxa"/>
            </w:tcMar>
          </w:tcPr>
          <w:p w14:paraId="020E4B1D"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1982</w:t>
            </w:r>
          </w:p>
        </w:tc>
        <w:tc>
          <w:tcPr>
            <w:tcW w:w="0" w:type="auto"/>
            <w:shd w:val="clear" w:color="auto" w:fill="FFFFFF"/>
            <w:tcMar>
              <w:top w:w="0" w:type="dxa"/>
              <w:left w:w="85" w:type="dxa"/>
              <w:bottom w:w="0" w:type="dxa"/>
              <w:right w:w="85" w:type="dxa"/>
            </w:tcMar>
          </w:tcPr>
          <w:p w14:paraId="79645B7E"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699.2</w:t>
            </w:r>
          </w:p>
        </w:tc>
        <w:tc>
          <w:tcPr>
            <w:tcW w:w="0" w:type="auto"/>
            <w:shd w:val="clear" w:color="auto" w:fill="FFFFFF"/>
            <w:tcMar>
              <w:top w:w="0" w:type="dxa"/>
              <w:left w:w="85" w:type="dxa"/>
              <w:bottom w:w="0" w:type="dxa"/>
              <w:right w:w="85" w:type="dxa"/>
            </w:tcMar>
          </w:tcPr>
          <w:p w14:paraId="1A16E751"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10,848.1</w:t>
            </w:r>
          </w:p>
        </w:tc>
        <w:tc>
          <w:tcPr>
            <w:tcW w:w="0" w:type="auto"/>
            <w:shd w:val="clear" w:color="auto" w:fill="FFFFFF"/>
            <w:tcMar>
              <w:top w:w="0" w:type="dxa"/>
              <w:left w:w="85" w:type="dxa"/>
              <w:bottom w:w="0" w:type="dxa"/>
              <w:right w:w="85" w:type="dxa"/>
            </w:tcMar>
          </w:tcPr>
          <w:p w14:paraId="7BB4C040"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11,547.3</w:t>
            </w:r>
          </w:p>
        </w:tc>
      </w:tr>
      <w:tr w:rsidR="00BC0FD7" w:rsidRPr="001D5327" w14:paraId="5B402468" w14:textId="77777777" w:rsidTr="00D11AC9">
        <w:tc>
          <w:tcPr>
            <w:tcW w:w="0" w:type="auto"/>
            <w:shd w:val="clear" w:color="auto" w:fill="FFFFFF"/>
            <w:tcMar>
              <w:top w:w="0" w:type="dxa"/>
              <w:left w:w="85" w:type="dxa"/>
              <w:bottom w:w="0" w:type="dxa"/>
              <w:right w:w="85" w:type="dxa"/>
            </w:tcMar>
          </w:tcPr>
          <w:p w14:paraId="1E343CA7"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1983</w:t>
            </w:r>
          </w:p>
        </w:tc>
        <w:tc>
          <w:tcPr>
            <w:tcW w:w="0" w:type="auto"/>
            <w:shd w:val="clear" w:color="auto" w:fill="FFFFFF"/>
            <w:tcMar>
              <w:top w:w="0" w:type="dxa"/>
              <w:left w:w="85" w:type="dxa"/>
              <w:bottom w:w="0" w:type="dxa"/>
              <w:right w:w="85" w:type="dxa"/>
            </w:tcMar>
          </w:tcPr>
          <w:p w14:paraId="550798A6"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716.4</w:t>
            </w:r>
          </w:p>
        </w:tc>
        <w:tc>
          <w:tcPr>
            <w:tcW w:w="0" w:type="auto"/>
            <w:shd w:val="clear" w:color="auto" w:fill="FFFFFF"/>
            <w:tcMar>
              <w:top w:w="0" w:type="dxa"/>
              <w:left w:w="85" w:type="dxa"/>
              <w:bottom w:w="0" w:type="dxa"/>
              <w:right w:w="85" w:type="dxa"/>
            </w:tcMar>
          </w:tcPr>
          <w:p w14:paraId="1F780B2C"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10,948.9</w:t>
            </w:r>
          </w:p>
        </w:tc>
        <w:tc>
          <w:tcPr>
            <w:tcW w:w="0" w:type="auto"/>
            <w:shd w:val="clear" w:color="auto" w:fill="FFFFFF"/>
            <w:tcMar>
              <w:top w:w="0" w:type="dxa"/>
              <w:left w:w="85" w:type="dxa"/>
              <w:bottom w:w="0" w:type="dxa"/>
              <w:right w:w="85" w:type="dxa"/>
            </w:tcMar>
          </w:tcPr>
          <w:p w14:paraId="5B515BE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11,665.3</w:t>
            </w:r>
          </w:p>
        </w:tc>
      </w:tr>
      <w:tr w:rsidR="00BC0FD7" w:rsidRPr="001D5327" w14:paraId="607411C1" w14:textId="77777777" w:rsidTr="00D11AC9">
        <w:tc>
          <w:tcPr>
            <w:tcW w:w="0" w:type="auto"/>
            <w:shd w:val="clear" w:color="auto" w:fill="FFFFFF"/>
            <w:tcMar>
              <w:top w:w="0" w:type="dxa"/>
              <w:left w:w="85" w:type="dxa"/>
              <w:bottom w:w="0" w:type="dxa"/>
              <w:right w:w="85" w:type="dxa"/>
            </w:tcMar>
          </w:tcPr>
          <w:p w14:paraId="46C1820C"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1984</w:t>
            </w:r>
          </w:p>
        </w:tc>
        <w:tc>
          <w:tcPr>
            <w:tcW w:w="0" w:type="auto"/>
            <w:shd w:val="clear" w:color="auto" w:fill="FFFFFF"/>
            <w:tcMar>
              <w:top w:w="0" w:type="dxa"/>
              <w:left w:w="85" w:type="dxa"/>
              <w:bottom w:w="0" w:type="dxa"/>
              <w:right w:w="85" w:type="dxa"/>
            </w:tcMar>
          </w:tcPr>
          <w:p w14:paraId="08A6DF27"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724.8</w:t>
            </w:r>
          </w:p>
        </w:tc>
        <w:tc>
          <w:tcPr>
            <w:tcW w:w="0" w:type="auto"/>
            <w:shd w:val="clear" w:color="auto" w:fill="FFFFFF"/>
            <w:tcMar>
              <w:top w:w="0" w:type="dxa"/>
              <w:left w:w="85" w:type="dxa"/>
              <w:bottom w:w="0" w:type="dxa"/>
              <w:right w:w="85" w:type="dxa"/>
            </w:tcMar>
          </w:tcPr>
          <w:p w14:paraId="04CB980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11,331.2</w:t>
            </w:r>
          </w:p>
        </w:tc>
        <w:tc>
          <w:tcPr>
            <w:tcW w:w="0" w:type="auto"/>
            <w:shd w:val="clear" w:color="auto" w:fill="FFFFFF"/>
            <w:tcMar>
              <w:top w:w="0" w:type="dxa"/>
              <w:left w:w="85" w:type="dxa"/>
              <w:bottom w:w="0" w:type="dxa"/>
              <w:right w:w="85" w:type="dxa"/>
            </w:tcMar>
          </w:tcPr>
          <w:p w14:paraId="1193717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12,056.0</w:t>
            </w:r>
          </w:p>
        </w:tc>
      </w:tr>
      <w:tr w:rsidR="00BC0FD7" w:rsidRPr="001D5327" w14:paraId="75CF3B7A" w14:textId="77777777" w:rsidTr="00D11AC9">
        <w:tc>
          <w:tcPr>
            <w:tcW w:w="0" w:type="auto"/>
            <w:shd w:val="clear" w:color="auto" w:fill="FFFFFF"/>
            <w:tcMar>
              <w:top w:w="0" w:type="dxa"/>
              <w:left w:w="85" w:type="dxa"/>
              <w:bottom w:w="0" w:type="dxa"/>
              <w:right w:w="85" w:type="dxa"/>
            </w:tcMar>
          </w:tcPr>
          <w:p w14:paraId="5FDA162B"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1985</w:t>
            </w:r>
          </w:p>
        </w:tc>
        <w:tc>
          <w:tcPr>
            <w:tcW w:w="0" w:type="auto"/>
            <w:shd w:val="clear" w:color="auto" w:fill="FFFFFF"/>
            <w:tcMar>
              <w:top w:w="0" w:type="dxa"/>
              <w:left w:w="85" w:type="dxa"/>
              <w:bottom w:w="0" w:type="dxa"/>
              <w:right w:w="85" w:type="dxa"/>
            </w:tcMar>
          </w:tcPr>
          <w:p w14:paraId="4C914F87"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745.4</w:t>
            </w:r>
          </w:p>
        </w:tc>
        <w:tc>
          <w:tcPr>
            <w:tcW w:w="0" w:type="auto"/>
            <w:shd w:val="clear" w:color="auto" w:fill="FFFFFF"/>
            <w:tcMar>
              <w:top w:w="0" w:type="dxa"/>
              <w:left w:w="85" w:type="dxa"/>
              <w:bottom w:w="0" w:type="dxa"/>
              <w:right w:w="85" w:type="dxa"/>
            </w:tcMar>
          </w:tcPr>
          <w:p w14:paraId="7DA4DB0F"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11,874.3</w:t>
            </w:r>
          </w:p>
        </w:tc>
        <w:tc>
          <w:tcPr>
            <w:tcW w:w="0" w:type="auto"/>
            <w:shd w:val="clear" w:color="auto" w:fill="FFFFFF"/>
            <w:tcMar>
              <w:top w:w="0" w:type="dxa"/>
              <w:left w:w="85" w:type="dxa"/>
              <w:bottom w:w="0" w:type="dxa"/>
              <w:right w:w="85" w:type="dxa"/>
            </w:tcMar>
          </w:tcPr>
          <w:p w14:paraId="3874D9A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12,619.7</w:t>
            </w:r>
          </w:p>
        </w:tc>
      </w:tr>
      <w:tr w:rsidR="00BC0FD7" w:rsidRPr="001D5327" w14:paraId="4C35637A" w14:textId="77777777" w:rsidTr="00D11AC9">
        <w:tc>
          <w:tcPr>
            <w:tcW w:w="0" w:type="auto"/>
            <w:shd w:val="clear" w:color="auto" w:fill="FFFFFF"/>
            <w:tcMar>
              <w:top w:w="0" w:type="dxa"/>
              <w:left w:w="85" w:type="dxa"/>
              <w:bottom w:w="0" w:type="dxa"/>
              <w:right w:w="85" w:type="dxa"/>
            </w:tcMar>
          </w:tcPr>
          <w:p w14:paraId="2A29A6AA"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1986</w:t>
            </w:r>
          </w:p>
        </w:tc>
        <w:tc>
          <w:tcPr>
            <w:tcW w:w="0" w:type="auto"/>
            <w:shd w:val="clear" w:color="auto" w:fill="FFFFFF"/>
            <w:tcMar>
              <w:top w:w="0" w:type="dxa"/>
              <w:left w:w="85" w:type="dxa"/>
              <w:bottom w:w="0" w:type="dxa"/>
              <w:right w:w="85" w:type="dxa"/>
            </w:tcMar>
          </w:tcPr>
          <w:p w14:paraId="1AEB9E9A"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755.0</w:t>
            </w:r>
          </w:p>
        </w:tc>
        <w:tc>
          <w:tcPr>
            <w:tcW w:w="0" w:type="auto"/>
            <w:shd w:val="clear" w:color="auto" w:fill="FFFFFF"/>
            <w:tcMar>
              <w:top w:w="0" w:type="dxa"/>
              <w:left w:w="85" w:type="dxa"/>
              <w:bottom w:w="0" w:type="dxa"/>
              <w:right w:w="85" w:type="dxa"/>
            </w:tcMar>
          </w:tcPr>
          <w:p w14:paraId="5C30416D"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12,066.1</w:t>
            </w:r>
          </w:p>
        </w:tc>
        <w:tc>
          <w:tcPr>
            <w:tcW w:w="0" w:type="auto"/>
            <w:shd w:val="clear" w:color="auto" w:fill="FFFFFF"/>
            <w:tcMar>
              <w:top w:w="0" w:type="dxa"/>
              <w:left w:w="85" w:type="dxa"/>
              <w:bottom w:w="0" w:type="dxa"/>
              <w:right w:w="85" w:type="dxa"/>
            </w:tcMar>
          </w:tcPr>
          <w:p w14:paraId="424AD760"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12,821.1</w:t>
            </w:r>
          </w:p>
        </w:tc>
      </w:tr>
      <w:tr w:rsidR="00BC0FD7" w:rsidRPr="001D5327" w14:paraId="134195BD" w14:textId="77777777" w:rsidTr="00D11AC9">
        <w:tc>
          <w:tcPr>
            <w:tcW w:w="0" w:type="auto"/>
            <w:shd w:val="clear" w:color="auto" w:fill="FFFFFF"/>
            <w:tcMar>
              <w:top w:w="0" w:type="dxa"/>
              <w:left w:w="85" w:type="dxa"/>
              <w:bottom w:w="0" w:type="dxa"/>
              <w:right w:w="85" w:type="dxa"/>
            </w:tcMar>
          </w:tcPr>
          <w:p w14:paraId="373624D9"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1987</w:t>
            </w:r>
          </w:p>
        </w:tc>
        <w:tc>
          <w:tcPr>
            <w:tcW w:w="0" w:type="auto"/>
            <w:shd w:val="clear" w:color="auto" w:fill="FFFFFF"/>
            <w:tcMar>
              <w:top w:w="0" w:type="dxa"/>
              <w:left w:w="85" w:type="dxa"/>
              <w:bottom w:w="0" w:type="dxa"/>
              <w:right w:w="85" w:type="dxa"/>
            </w:tcMar>
          </w:tcPr>
          <w:p w14:paraId="33307765"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764.2</w:t>
            </w:r>
          </w:p>
        </w:tc>
        <w:tc>
          <w:tcPr>
            <w:tcW w:w="0" w:type="auto"/>
            <w:shd w:val="clear" w:color="auto" w:fill="FFFFFF"/>
            <w:tcMar>
              <w:top w:w="0" w:type="dxa"/>
              <w:left w:w="85" w:type="dxa"/>
              <w:bottom w:w="0" w:type="dxa"/>
              <w:right w:w="85" w:type="dxa"/>
            </w:tcMar>
          </w:tcPr>
          <w:p w14:paraId="65611A02"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12,392.7</w:t>
            </w:r>
          </w:p>
        </w:tc>
        <w:tc>
          <w:tcPr>
            <w:tcW w:w="0" w:type="auto"/>
            <w:shd w:val="clear" w:color="auto" w:fill="FFFFFF"/>
            <w:tcMar>
              <w:top w:w="0" w:type="dxa"/>
              <w:left w:w="85" w:type="dxa"/>
              <w:bottom w:w="0" w:type="dxa"/>
              <w:right w:w="85" w:type="dxa"/>
            </w:tcMar>
          </w:tcPr>
          <w:p w14:paraId="592FA108"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13,156.9</w:t>
            </w:r>
          </w:p>
        </w:tc>
      </w:tr>
      <w:tr w:rsidR="00BC0FD7" w:rsidRPr="001D5327" w14:paraId="30EC8FEF" w14:textId="77777777" w:rsidTr="00D11AC9">
        <w:tc>
          <w:tcPr>
            <w:tcW w:w="0" w:type="auto"/>
            <w:shd w:val="clear" w:color="auto" w:fill="FFFFFF"/>
            <w:tcMar>
              <w:top w:w="0" w:type="dxa"/>
              <w:left w:w="85" w:type="dxa"/>
              <w:bottom w:w="0" w:type="dxa"/>
              <w:right w:w="85" w:type="dxa"/>
            </w:tcMar>
          </w:tcPr>
          <w:p w14:paraId="561A215E"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1988</w:t>
            </w:r>
          </w:p>
        </w:tc>
        <w:tc>
          <w:tcPr>
            <w:tcW w:w="0" w:type="auto"/>
            <w:shd w:val="clear" w:color="auto" w:fill="FFFFFF"/>
            <w:tcMar>
              <w:top w:w="0" w:type="dxa"/>
              <w:left w:w="85" w:type="dxa"/>
              <w:bottom w:w="0" w:type="dxa"/>
              <w:right w:w="85" w:type="dxa"/>
            </w:tcMar>
          </w:tcPr>
          <w:p w14:paraId="437EE558"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776.1</w:t>
            </w:r>
          </w:p>
        </w:tc>
        <w:tc>
          <w:tcPr>
            <w:tcW w:w="0" w:type="auto"/>
            <w:shd w:val="clear" w:color="auto" w:fill="FFFFFF"/>
            <w:tcMar>
              <w:top w:w="0" w:type="dxa"/>
              <w:left w:w="85" w:type="dxa"/>
              <w:bottom w:w="0" w:type="dxa"/>
              <w:right w:w="85" w:type="dxa"/>
            </w:tcMar>
          </w:tcPr>
          <w:p w14:paraId="763144C5"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12,513.0</w:t>
            </w:r>
          </w:p>
        </w:tc>
        <w:tc>
          <w:tcPr>
            <w:tcW w:w="0" w:type="auto"/>
            <w:shd w:val="clear" w:color="auto" w:fill="FFFFFF"/>
            <w:tcMar>
              <w:top w:w="0" w:type="dxa"/>
              <w:left w:w="85" w:type="dxa"/>
              <w:bottom w:w="0" w:type="dxa"/>
              <w:right w:w="85" w:type="dxa"/>
            </w:tcMar>
          </w:tcPr>
          <w:p w14:paraId="5B2837A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13,289.1</w:t>
            </w:r>
          </w:p>
        </w:tc>
      </w:tr>
      <w:tr w:rsidR="00BC0FD7" w:rsidRPr="001D5327" w14:paraId="017444D5" w14:textId="77777777" w:rsidTr="00D11AC9">
        <w:tc>
          <w:tcPr>
            <w:tcW w:w="0" w:type="auto"/>
            <w:shd w:val="clear" w:color="auto" w:fill="FFFFFF"/>
            <w:tcMar>
              <w:top w:w="0" w:type="dxa"/>
              <w:left w:w="85" w:type="dxa"/>
              <w:bottom w:w="0" w:type="dxa"/>
              <w:right w:w="85" w:type="dxa"/>
            </w:tcMar>
          </w:tcPr>
          <w:p w14:paraId="7E5AA47A"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1989</w:t>
            </w:r>
          </w:p>
        </w:tc>
        <w:tc>
          <w:tcPr>
            <w:tcW w:w="0" w:type="auto"/>
            <w:shd w:val="clear" w:color="auto" w:fill="FFFFFF"/>
            <w:tcMar>
              <w:top w:w="0" w:type="dxa"/>
              <w:left w:w="85" w:type="dxa"/>
              <w:bottom w:w="0" w:type="dxa"/>
              <w:right w:w="85" w:type="dxa"/>
            </w:tcMar>
          </w:tcPr>
          <w:p w14:paraId="7664E8A8"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782.0</w:t>
            </w:r>
          </w:p>
        </w:tc>
        <w:tc>
          <w:tcPr>
            <w:tcW w:w="0" w:type="auto"/>
            <w:shd w:val="clear" w:color="auto" w:fill="FFFFFF"/>
            <w:tcMar>
              <w:top w:w="0" w:type="dxa"/>
              <w:left w:w="85" w:type="dxa"/>
              <w:bottom w:w="0" w:type="dxa"/>
              <w:right w:w="85" w:type="dxa"/>
            </w:tcMar>
          </w:tcPr>
          <w:p w14:paraId="183E7D7A"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12,468.6</w:t>
            </w:r>
          </w:p>
        </w:tc>
        <w:tc>
          <w:tcPr>
            <w:tcW w:w="0" w:type="auto"/>
            <w:shd w:val="clear" w:color="auto" w:fill="FFFFFF"/>
            <w:tcMar>
              <w:top w:w="0" w:type="dxa"/>
              <w:left w:w="85" w:type="dxa"/>
              <w:bottom w:w="0" w:type="dxa"/>
              <w:right w:w="85" w:type="dxa"/>
            </w:tcMar>
          </w:tcPr>
          <w:p w14:paraId="30608252"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13,250.7</w:t>
            </w:r>
          </w:p>
        </w:tc>
      </w:tr>
      <w:tr w:rsidR="00BC0FD7" w:rsidRPr="001D5327" w14:paraId="7B23A64B" w14:textId="77777777" w:rsidTr="00D11AC9">
        <w:tc>
          <w:tcPr>
            <w:tcW w:w="0" w:type="auto"/>
            <w:shd w:val="clear" w:color="auto" w:fill="FFFFFF"/>
            <w:tcMar>
              <w:top w:w="0" w:type="dxa"/>
              <w:left w:w="85" w:type="dxa"/>
              <w:bottom w:w="0" w:type="dxa"/>
              <w:right w:w="85" w:type="dxa"/>
            </w:tcMar>
          </w:tcPr>
          <w:p w14:paraId="648145F7"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1990</w:t>
            </w:r>
          </w:p>
        </w:tc>
        <w:tc>
          <w:tcPr>
            <w:tcW w:w="0" w:type="auto"/>
            <w:shd w:val="clear" w:color="auto" w:fill="FFFFFF"/>
            <w:tcMar>
              <w:top w:w="0" w:type="dxa"/>
              <w:left w:w="85" w:type="dxa"/>
              <w:bottom w:w="0" w:type="dxa"/>
              <w:right w:w="85" w:type="dxa"/>
            </w:tcMar>
          </w:tcPr>
          <w:p w14:paraId="4E66037A"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769.1</w:t>
            </w:r>
          </w:p>
        </w:tc>
        <w:tc>
          <w:tcPr>
            <w:tcW w:w="0" w:type="auto"/>
            <w:shd w:val="clear" w:color="auto" w:fill="FFFFFF"/>
            <w:tcMar>
              <w:top w:w="0" w:type="dxa"/>
              <w:left w:w="85" w:type="dxa"/>
              <w:bottom w:w="0" w:type="dxa"/>
              <w:right w:w="85" w:type="dxa"/>
            </w:tcMar>
          </w:tcPr>
          <w:p w14:paraId="3AA03018"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12,488.8</w:t>
            </w:r>
          </w:p>
        </w:tc>
        <w:tc>
          <w:tcPr>
            <w:tcW w:w="0" w:type="auto"/>
            <w:shd w:val="clear" w:color="auto" w:fill="FFFFFF"/>
            <w:tcMar>
              <w:top w:w="0" w:type="dxa"/>
              <w:left w:w="85" w:type="dxa"/>
              <w:bottom w:w="0" w:type="dxa"/>
              <w:right w:w="85" w:type="dxa"/>
            </w:tcMar>
          </w:tcPr>
          <w:p w14:paraId="2E61DB37"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13,257.9</w:t>
            </w:r>
          </w:p>
        </w:tc>
      </w:tr>
      <w:tr w:rsidR="00BC0FD7" w:rsidRPr="001D5327" w14:paraId="491C1947" w14:textId="77777777" w:rsidTr="00D11AC9">
        <w:tc>
          <w:tcPr>
            <w:tcW w:w="0" w:type="auto"/>
            <w:shd w:val="clear" w:color="auto" w:fill="FFFFFF"/>
            <w:tcMar>
              <w:top w:w="0" w:type="dxa"/>
              <w:left w:w="85" w:type="dxa"/>
              <w:bottom w:w="0" w:type="dxa"/>
              <w:right w:w="85" w:type="dxa"/>
            </w:tcMar>
          </w:tcPr>
          <w:p w14:paraId="21AF78DE"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1991</w:t>
            </w:r>
          </w:p>
        </w:tc>
        <w:tc>
          <w:tcPr>
            <w:tcW w:w="0" w:type="auto"/>
            <w:shd w:val="clear" w:color="auto" w:fill="FFFFFF"/>
            <w:tcMar>
              <w:top w:w="0" w:type="dxa"/>
              <w:left w:w="85" w:type="dxa"/>
              <w:bottom w:w="0" w:type="dxa"/>
              <w:right w:w="85" w:type="dxa"/>
            </w:tcMar>
          </w:tcPr>
          <w:p w14:paraId="63BCAC98"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763.4</w:t>
            </w:r>
          </w:p>
        </w:tc>
        <w:tc>
          <w:tcPr>
            <w:tcW w:w="0" w:type="auto"/>
            <w:shd w:val="clear" w:color="auto" w:fill="FFFFFF"/>
            <w:tcMar>
              <w:top w:w="0" w:type="dxa"/>
              <w:left w:w="85" w:type="dxa"/>
              <w:bottom w:w="0" w:type="dxa"/>
              <w:right w:w="85" w:type="dxa"/>
            </w:tcMar>
          </w:tcPr>
          <w:p w14:paraId="58363C27"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12,507.9</w:t>
            </w:r>
          </w:p>
        </w:tc>
        <w:tc>
          <w:tcPr>
            <w:tcW w:w="0" w:type="auto"/>
            <w:shd w:val="clear" w:color="auto" w:fill="FFFFFF"/>
            <w:tcMar>
              <w:top w:w="0" w:type="dxa"/>
              <w:left w:w="85" w:type="dxa"/>
              <w:bottom w:w="0" w:type="dxa"/>
              <w:right w:w="85" w:type="dxa"/>
            </w:tcMar>
          </w:tcPr>
          <w:p w14:paraId="33AE847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13,271.2</w:t>
            </w:r>
          </w:p>
        </w:tc>
      </w:tr>
      <w:tr w:rsidR="00BC0FD7" w:rsidRPr="001D5327" w14:paraId="664183B9" w14:textId="77777777" w:rsidTr="00D11AC9">
        <w:tc>
          <w:tcPr>
            <w:tcW w:w="0" w:type="auto"/>
            <w:shd w:val="clear" w:color="auto" w:fill="FFFFFF"/>
            <w:tcMar>
              <w:top w:w="0" w:type="dxa"/>
              <w:left w:w="85" w:type="dxa"/>
              <w:bottom w:w="0" w:type="dxa"/>
              <w:right w:w="85" w:type="dxa"/>
            </w:tcMar>
          </w:tcPr>
          <w:p w14:paraId="5602890A"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1992</w:t>
            </w:r>
          </w:p>
        </w:tc>
        <w:tc>
          <w:tcPr>
            <w:tcW w:w="0" w:type="auto"/>
            <w:shd w:val="clear" w:color="auto" w:fill="FFFFFF"/>
            <w:tcMar>
              <w:top w:w="0" w:type="dxa"/>
              <w:left w:w="85" w:type="dxa"/>
              <w:bottom w:w="0" w:type="dxa"/>
              <w:right w:w="85" w:type="dxa"/>
            </w:tcMar>
          </w:tcPr>
          <w:p w14:paraId="3A50331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754.2</w:t>
            </w:r>
          </w:p>
        </w:tc>
        <w:tc>
          <w:tcPr>
            <w:tcW w:w="0" w:type="auto"/>
            <w:shd w:val="clear" w:color="auto" w:fill="FFFFFF"/>
            <w:tcMar>
              <w:top w:w="0" w:type="dxa"/>
              <w:left w:w="85" w:type="dxa"/>
              <w:bottom w:w="0" w:type="dxa"/>
              <w:right w:w="85" w:type="dxa"/>
            </w:tcMar>
          </w:tcPr>
          <w:p w14:paraId="31C45611"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12,371.5</w:t>
            </w:r>
          </w:p>
        </w:tc>
        <w:tc>
          <w:tcPr>
            <w:tcW w:w="0" w:type="auto"/>
            <w:shd w:val="clear" w:color="auto" w:fill="FFFFFF"/>
            <w:tcMar>
              <w:top w:w="0" w:type="dxa"/>
              <w:left w:w="85" w:type="dxa"/>
              <w:bottom w:w="0" w:type="dxa"/>
              <w:right w:w="85" w:type="dxa"/>
            </w:tcMar>
          </w:tcPr>
          <w:p w14:paraId="54268ECF"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13,125.7</w:t>
            </w:r>
          </w:p>
        </w:tc>
      </w:tr>
      <w:tr w:rsidR="00BC0FD7" w:rsidRPr="001D5327" w14:paraId="0D464AD2" w14:textId="77777777" w:rsidTr="00D11AC9">
        <w:tc>
          <w:tcPr>
            <w:tcW w:w="0" w:type="auto"/>
            <w:shd w:val="clear" w:color="auto" w:fill="FFFFFF"/>
            <w:tcMar>
              <w:top w:w="0" w:type="dxa"/>
              <w:left w:w="85" w:type="dxa"/>
              <w:bottom w:w="0" w:type="dxa"/>
              <w:right w:w="85" w:type="dxa"/>
            </w:tcMar>
          </w:tcPr>
          <w:p w14:paraId="7A6738F4"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1993</w:t>
            </w:r>
          </w:p>
        </w:tc>
        <w:tc>
          <w:tcPr>
            <w:tcW w:w="0" w:type="auto"/>
            <w:shd w:val="clear" w:color="auto" w:fill="FFFFFF"/>
            <w:tcMar>
              <w:top w:w="0" w:type="dxa"/>
              <w:left w:w="85" w:type="dxa"/>
              <w:bottom w:w="0" w:type="dxa"/>
              <w:right w:w="85" w:type="dxa"/>
            </w:tcMar>
          </w:tcPr>
          <w:p w14:paraId="6500E64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769.3</w:t>
            </w:r>
          </w:p>
        </w:tc>
        <w:tc>
          <w:tcPr>
            <w:tcW w:w="0" w:type="auto"/>
            <w:shd w:val="clear" w:color="auto" w:fill="FFFFFF"/>
            <w:tcMar>
              <w:top w:w="0" w:type="dxa"/>
              <w:left w:w="85" w:type="dxa"/>
              <w:bottom w:w="0" w:type="dxa"/>
              <w:right w:w="85" w:type="dxa"/>
            </w:tcMar>
          </w:tcPr>
          <w:p w14:paraId="6E8FBC9C"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12,506.9</w:t>
            </w:r>
          </w:p>
        </w:tc>
        <w:tc>
          <w:tcPr>
            <w:tcW w:w="0" w:type="auto"/>
            <w:shd w:val="clear" w:color="auto" w:fill="FFFFFF"/>
            <w:tcMar>
              <w:top w:w="0" w:type="dxa"/>
              <w:left w:w="85" w:type="dxa"/>
              <w:bottom w:w="0" w:type="dxa"/>
              <w:right w:w="85" w:type="dxa"/>
            </w:tcMar>
          </w:tcPr>
          <w:p w14:paraId="1B43A60F"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13,276.2</w:t>
            </w:r>
          </w:p>
        </w:tc>
      </w:tr>
      <w:tr w:rsidR="00BC0FD7" w:rsidRPr="001D5327" w14:paraId="61E49C10" w14:textId="77777777" w:rsidTr="00D11AC9">
        <w:tc>
          <w:tcPr>
            <w:tcW w:w="0" w:type="auto"/>
            <w:shd w:val="clear" w:color="auto" w:fill="FFFFFF"/>
            <w:tcMar>
              <w:top w:w="0" w:type="dxa"/>
              <w:left w:w="85" w:type="dxa"/>
              <w:bottom w:w="0" w:type="dxa"/>
              <w:right w:w="85" w:type="dxa"/>
            </w:tcMar>
          </w:tcPr>
          <w:p w14:paraId="5CB104B2"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1994</w:t>
            </w:r>
          </w:p>
        </w:tc>
        <w:tc>
          <w:tcPr>
            <w:tcW w:w="0" w:type="auto"/>
            <w:shd w:val="clear" w:color="auto" w:fill="FFFFFF"/>
            <w:tcMar>
              <w:top w:w="0" w:type="dxa"/>
              <w:left w:w="85" w:type="dxa"/>
              <w:bottom w:w="0" w:type="dxa"/>
              <w:right w:w="85" w:type="dxa"/>
            </w:tcMar>
          </w:tcPr>
          <w:p w14:paraId="0E0E1987"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659.9</w:t>
            </w:r>
          </w:p>
        </w:tc>
        <w:tc>
          <w:tcPr>
            <w:tcW w:w="0" w:type="auto"/>
            <w:shd w:val="clear" w:color="auto" w:fill="FFFFFF"/>
            <w:tcMar>
              <w:top w:w="0" w:type="dxa"/>
              <w:left w:w="85" w:type="dxa"/>
              <w:bottom w:w="0" w:type="dxa"/>
              <w:right w:w="85" w:type="dxa"/>
            </w:tcMar>
          </w:tcPr>
          <w:p w14:paraId="4DF602FE"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13,306.2</w:t>
            </w:r>
          </w:p>
        </w:tc>
        <w:tc>
          <w:tcPr>
            <w:tcW w:w="0" w:type="auto"/>
            <w:shd w:val="clear" w:color="auto" w:fill="FFFFFF"/>
            <w:tcMar>
              <w:top w:w="0" w:type="dxa"/>
              <w:left w:w="85" w:type="dxa"/>
              <w:bottom w:w="0" w:type="dxa"/>
              <w:right w:w="85" w:type="dxa"/>
            </w:tcMar>
          </w:tcPr>
          <w:p w14:paraId="71DDB7E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13,966.1</w:t>
            </w:r>
          </w:p>
        </w:tc>
      </w:tr>
      <w:tr w:rsidR="00BC0FD7" w:rsidRPr="001D5327" w14:paraId="39887698" w14:textId="77777777" w:rsidTr="00D11AC9">
        <w:tc>
          <w:tcPr>
            <w:tcW w:w="0" w:type="auto"/>
            <w:shd w:val="clear" w:color="auto" w:fill="FFFFFF"/>
            <w:tcMar>
              <w:top w:w="0" w:type="dxa"/>
              <w:left w:w="85" w:type="dxa"/>
              <w:bottom w:w="0" w:type="dxa"/>
              <w:right w:w="85" w:type="dxa"/>
            </w:tcMar>
          </w:tcPr>
          <w:p w14:paraId="1A4403EE"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1995</w:t>
            </w:r>
          </w:p>
        </w:tc>
        <w:tc>
          <w:tcPr>
            <w:tcW w:w="0" w:type="auto"/>
            <w:shd w:val="clear" w:color="auto" w:fill="FFFFFF"/>
            <w:tcMar>
              <w:top w:w="0" w:type="dxa"/>
              <w:left w:w="85" w:type="dxa"/>
              <w:bottom w:w="0" w:type="dxa"/>
              <w:right w:w="85" w:type="dxa"/>
            </w:tcMar>
          </w:tcPr>
          <w:p w14:paraId="3E578D70"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653.3</w:t>
            </w:r>
          </w:p>
        </w:tc>
        <w:tc>
          <w:tcPr>
            <w:tcW w:w="0" w:type="auto"/>
            <w:shd w:val="clear" w:color="auto" w:fill="FFFFFF"/>
            <w:tcMar>
              <w:top w:w="0" w:type="dxa"/>
              <w:left w:w="85" w:type="dxa"/>
              <w:bottom w:w="0" w:type="dxa"/>
              <w:right w:w="85" w:type="dxa"/>
            </w:tcMar>
          </w:tcPr>
          <w:p w14:paraId="3FD9E292"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13,987.3</w:t>
            </w:r>
          </w:p>
        </w:tc>
        <w:tc>
          <w:tcPr>
            <w:tcW w:w="0" w:type="auto"/>
            <w:shd w:val="clear" w:color="auto" w:fill="FFFFFF"/>
            <w:tcMar>
              <w:top w:w="0" w:type="dxa"/>
              <w:left w:w="85" w:type="dxa"/>
              <w:bottom w:w="0" w:type="dxa"/>
              <w:right w:w="85" w:type="dxa"/>
            </w:tcMar>
          </w:tcPr>
          <w:p w14:paraId="24D5CF8F"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14,640.7</w:t>
            </w:r>
          </w:p>
        </w:tc>
      </w:tr>
      <w:tr w:rsidR="00BC0FD7" w:rsidRPr="001D5327" w14:paraId="43CF5740" w14:textId="77777777" w:rsidTr="00D11AC9">
        <w:tc>
          <w:tcPr>
            <w:tcW w:w="0" w:type="auto"/>
            <w:shd w:val="clear" w:color="auto" w:fill="FFFFFF"/>
            <w:tcMar>
              <w:top w:w="0" w:type="dxa"/>
              <w:left w:w="85" w:type="dxa"/>
              <w:bottom w:w="0" w:type="dxa"/>
              <w:right w:w="85" w:type="dxa"/>
            </w:tcMar>
          </w:tcPr>
          <w:p w14:paraId="433A704C"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1996</w:t>
            </w:r>
          </w:p>
        </w:tc>
        <w:tc>
          <w:tcPr>
            <w:tcW w:w="0" w:type="auto"/>
            <w:shd w:val="clear" w:color="auto" w:fill="FFFFFF"/>
            <w:tcMar>
              <w:top w:w="0" w:type="dxa"/>
              <w:left w:w="85" w:type="dxa"/>
              <w:bottom w:w="0" w:type="dxa"/>
              <w:right w:w="85" w:type="dxa"/>
            </w:tcMar>
          </w:tcPr>
          <w:p w14:paraId="33F2ED99"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627.7</w:t>
            </w:r>
          </w:p>
        </w:tc>
        <w:tc>
          <w:tcPr>
            <w:tcW w:w="0" w:type="auto"/>
            <w:shd w:val="clear" w:color="auto" w:fill="FFFFFF"/>
            <w:tcMar>
              <w:top w:w="0" w:type="dxa"/>
              <w:left w:w="85" w:type="dxa"/>
              <w:bottom w:w="0" w:type="dxa"/>
              <w:right w:w="85" w:type="dxa"/>
            </w:tcMar>
          </w:tcPr>
          <w:p w14:paraId="0991E632"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14,647.9</w:t>
            </w:r>
          </w:p>
        </w:tc>
        <w:tc>
          <w:tcPr>
            <w:tcW w:w="0" w:type="auto"/>
            <w:shd w:val="clear" w:color="auto" w:fill="FFFFFF"/>
            <w:tcMar>
              <w:top w:w="0" w:type="dxa"/>
              <w:left w:w="85" w:type="dxa"/>
              <w:bottom w:w="0" w:type="dxa"/>
              <w:right w:w="85" w:type="dxa"/>
            </w:tcMar>
          </w:tcPr>
          <w:p w14:paraId="3D38B6F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15,275.6</w:t>
            </w:r>
          </w:p>
        </w:tc>
      </w:tr>
      <w:tr w:rsidR="00BC0FD7" w:rsidRPr="001D5327" w14:paraId="3CDFED58" w14:textId="77777777" w:rsidTr="00D11AC9">
        <w:tc>
          <w:tcPr>
            <w:tcW w:w="0" w:type="auto"/>
            <w:shd w:val="clear" w:color="auto" w:fill="FFFFFF"/>
            <w:tcMar>
              <w:top w:w="0" w:type="dxa"/>
              <w:left w:w="85" w:type="dxa"/>
              <w:bottom w:w="0" w:type="dxa"/>
              <w:right w:w="85" w:type="dxa"/>
            </w:tcMar>
          </w:tcPr>
          <w:p w14:paraId="04531D54"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1997</w:t>
            </w:r>
          </w:p>
        </w:tc>
        <w:tc>
          <w:tcPr>
            <w:tcW w:w="0" w:type="auto"/>
            <w:shd w:val="clear" w:color="auto" w:fill="FFFFFF"/>
            <w:tcMar>
              <w:top w:w="0" w:type="dxa"/>
              <w:left w:w="85" w:type="dxa"/>
              <w:bottom w:w="0" w:type="dxa"/>
              <w:right w:w="85" w:type="dxa"/>
            </w:tcMar>
          </w:tcPr>
          <w:p w14:paraId="0398C249"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674.1</w:t>
            </w:r>
          </w:p>
        </w:tc>
        <w:tc>
          <w:tcPr>
            <w:tcW w:w="0" w:type="auto"/>
            <w:shd w:val="clear" w:color="auto" w:fill="FFFFFF"/>
            <w:tcMar>
              <w:top w:w="0" w:type="dxa"/>
              <w:left w:w="85" w:type="dxa"/>
              <w:bottom w:w="0" w:type="dxa"/>
              <w:right w:w="85" w:type="dxa"/>
            </w:tcMar>
          </w:tcPr>
          <w:p w14:paraId="166228CA"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15,176.7</w:t>
            </w:r>
          </w:p>
        </w:tc>
        <w:tc>
          <w:tcPr>
            <w:tcW w:w="0" w:type="auto"/>
            <w:shd w:val="clear" w:color="auto" w:fill="FFFFFF"/>
            <w:tcMar>
              <w:top w:w="0" w:type="dxa"/>
              <w:left w:w="85" w:type="dxa"/>
              <w:bottom w:w="0" w:type="dxa"/>
              <w:right w:w="85" w:type="dxa"/>
            </w:tcMar>
          </w:tcPr>
          <w:p w14:paraId="4EC37EAF"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15,850.8</w:t>
            </w:r>
          </w:p>
        </w:tc>
      </w:tr>
      <w:tr w:rsidR="00BC0FD7" w:rsidRPr="001D5327" w14:paraId="74D60324" w14:textId="77777777" w:rsidTr="00D11AC9">
        <w:tc>
          <w:tcPr>
            <w:tcW w:w="0" w:type="auto"/>
            <w:shd w:val="clear" w:color="auto" w:fill="FFFFFF"/>
            <w:tcMar>
              <w:top w:w="0" w:type="dxa"/>
              <w:left w:w="85" w:type="dxa"/>
              <w:bottom w:w="0" w:type="dxa"/>
              <w:right w:w="85" w:type="dxa"/>
            </w:tcMar>
          </w:tcPr>
          <w:p w14:paraId="75A126C7"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1998</w:t>
            </w:r>
          </w:p>
        </w:tc>
        <w:tc>
          <w:tcPr>
            <w:tcW w:w="0" w:type="auto"/>
            <w:shd w:val="clear" w:color="auto" w:fill="FFFFFF"/>
            <w:tcMar>
              <w:top w:w="0" w:type="dxa"/>
              <w:left w:w="85" w:type="dxa"/>
              <w:bottom w:w="0" w:type="dxa"/>
              <w:right w:w="85" w:type="dxa"/>
            </w:tcMar>
          </w:tcPr>
          <w:p w14:paraId="42598A0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720.4</w:t>
            </w:r>
          </w:p>
        </w:tc>
        <w:tc>
          <w:tcPr>
            <w:tcW w:w="0" w:type="auto"/>
            <w:shd w:val="clear" w:color="auto" w:fill="FFFFFF"/>
            <w:tcMar>
              <w:top w:w="0" w:type="dxa"/>
              <w:left w:w="85" w:type="dxa"/>
              <w:bottom w:w="0" w:type="dxa"/>
              <w:right w:w="85" w:type="dxa"/>
            </w:tcMar>
          </w:tcPr>
          <w:p w14:paraId="0010A0AF"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15,492.4</w:t>
            </w:r>
          </w:p>
        </w:tc>
        <w:tc>
          <w:tcPr>
            <w:tcW w:w="0" w:type="auto"/>
            <w:shd w:val="clear" w:color="auto" w:fill="FFFFFF"/>
            <w:tcMar>
              <w:top w:w="0" w:type="dxa"/>
              <w:left w:w="85" w:type="dxa"/>
              <w:bottom w:w="0" w:type="dxa"/>
              <w:right w:w="85" w:type="dxa"/>
            </w:tcMar>
          </w:tcPr>
          <w:p w14:paraId="18F11C4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16,212.8</w:t>
            </w:r>
          </w:p>
        </w:tc>
      </w:tr>
      <w:tr w:rsidR="00BC0FD7" w:rsidRPr="001D5327" w14:paraId="0DA7CD06" w14:textId="77777777" w:rsidTr="00D11AC9">
        <w:tc>
          <w:tcPr>
            <w:tcW w:w="0" w:type="auto"/>
            <w:shd w:val="clear" w:color="auto" w:fill="FFFFFF"/>
            <w:tcMar>
              <w:top w:w="0" w:type="dxa"/>
              <w:left w:w="85" w:type="dxa"/>
              <w:bottom w:w="0" w:type="dxa"/>
              <w:right w:w="85" w:type="dxa"/>
            </w:tcMar>
          </w:tcPr>
          <w:p w14:paraId="51436A8A"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1999</w:t>
            </w:r>
          </w:p>
        </w:tc>
        <w:tc>
          <w:tcPr>
            <w:tcW w:w="0" w:type="auto"/>
            <w:shd w:val="clear" w:color="auto" w:fill="FFFFFF"/>
            <w:tcMar>
              <w:top w:w="0" w:type="dxa"/>
              <w:left w:w="85" w:type="dxa"/>
              <w:bottom w:w="0" w:type="dxa"/>
              <w:right w:w="85" w:type="dxa"/>
            </w:tcMar>
          </w:tcPr>
          <w:p w14:paraId="225B1E81"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766.8</w:t>
            </w:r>
          </w:p>
        </w:tc>
        <w:tc>
          <w:tcPr>
            <w:tcW w:w="0" w:type="auto"/>
            <w:shd w:val="clear" w:color="auto" w:fill="FFFFFF"/>
            <w:tcMar>
              <w:top w:w="0" w:type="dxa"/>
              <w:left w:w="85" w:type="dxa"/>
              <w:bottom w:w="0" w:type="dxa"/>
              <w:right w:w="85" w:type="dxa"/>
            </w:tcMar>
          </w:tcPr>
          <w:p w14:paraId="1CAE03B2"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15,625.5</w:t>
            </w:r>
          </w:p>
        </w:tc>
        <w:tc>
          <w:tcPr>
            <w:tcW w:w="0" w:type="auto"/>
            <w:shd w:val="clear" w:color="auto" w:fill="FFFFFF"/>
            <w:tcMar>
              <w:top w:w="0" w:type="dxa"/>
              <w:left w:w="85" w:type="dxa"/>
              <w:bottom w:w="0" w:type="dxa"/>
              <w:right w:w="85" w:type="dxa"/>
            </w:tcMar>
          </w:tcPr>
          <w:p w14:paraId="5AD08C6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16,392.3</w:t>
            </w:r>
          </w:p>
        </w:tc>
      </w:tr>
      <w:tr w:rsidR="00BC0FD7" w:rsidRPr="001D5327" w14:paraId="0BB516A1" w14:textId="77777777" w:rsidTr="00D11AC9">
        <w:tc>
          <w:tcPr>
            <w:tcW w:w="0" w:type="auto"/>
            <w:shd w:val="clear" w:color="auto" w:fill="FFFFFF"/>
            <w:tcMar>
              <w:top w:w="0" w:type="dxa"/>
              <w:left w:w="85" w:type="dxa"/>
              <w:bottom w:w="0" w:type="dxa"/>
              <w:right w:w="85" w:type="dxa"/>
            </w:tcMar>
          </w:tcPr>
          <w:p w14:paraId="79712516"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2000</w:t>
            </w:r>
          </w:p>
        </w:tc>
        <w:tc>
          <w:tcPr>
            <w:tcW w:w="0" w:type="auto"/>
            <w:shd w:val="clear" w:color="auto" w:fill="FFFFFF"/>
            <w:tcMar>
              <w:top w:w="0" w:type="dxa"/>
              <w:left w:w="85" w:type="dxa"/>
              <w:bottom w:w="0" w:type="dxa"/>
              <w:right w:w="85" w:type="dxa"/>
            </w:tcMar>
          </w:tcPr>
          <w:p w14:paraId="04A8A8E5"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733.8</w:t>
            </w:r>
          </w:p>
        </w:tc>
        <w:tc>
          <w:tcPr>
            <w:tcW w:w="0" w:type="auto"/>
            <w:shd w:val="clear" w:color="auto" w:fill="FFFFFF"/>
            <w:tcMar>
              <w:top w:w="0" w:type="dxa"/>
              <w:left w:w="85" w:type="dxa"/>
              <w:bottom w:w="0" w:type="dxa"/>
              <w:right w:w="85" w:type="dxa"/>
            </w:tcMar>
          </w:tcPr>
          <w:p w14:paraId="5563FBE2"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16,465.5</w:t>
            </w:r>
          </w:p>
        </w:tc>
        <w:tc>
          <w:tcPr>
            <w:tcW w:w="0" w:type="auto"/>
            <w:shd w:val="clear" w:color="auto" w:fill="FFFFFF"/>
            <w:tcMar>
              <w:top w:w="0" w:type="dxa"/>
              <w:left w:w="85" w:type="dxa"/>
              <w:bottom w:w="0" w:type="dxa"/>
              <w:right w:w="85" w:type="dxa"/>
            </w:tcMar>
          </w:tcPr>
          <w:p w14:paraId="77C2EAC2"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17,199.3</w:t>
            </w:r>
          </w:p>
        </w:tc>
      </w:tr>
      <w:tr w:rsidR="00BC0FD7" w:rsidRPr="001D5327" w14:paraId="4C778507" w14:textId="77777777" w:rsidTr="00D11AC9">
        <w:tc>
          <w:tcPr>
            <w:tcW w:w="0" w:type="auto"/>
            <w:shd w:val="clear" w:color="auto" w:fill="FFFFFF"/>
            <w:tcMar>
              <w:top w:w="0" w:type="dxa"/>
              <w:left w:w="85" w:type="dxa"/>
              <w:bottom w:w="0" w:type="dxa"/>
              <w:right w:w="85" w:type="dxa"/>
            </w:tcMar>
          </w:tcPr>
          <w:p w14:paraId="3D31E599"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2001</w:t>
            </w:r>
          </w:p>
        </w:tc>
        <w:tc>
          <w:tcPr>
            <w:tcW w:w="0" w:type="auto"/>
            <w:shd w:val="clear" w:color="auto" w:fill="FFFFFF"/>
            <w:tcMar>
              <w:top w:w="0" w:type="dxa"/>
              <w:left w:w="85" w:type="dxa"/>
              <w:bottom w:w="0" w:type="dxa"/>
              <w:right w:w="85" w:type="dxa"/>
            </w:tcMar>
          </w:tcPr>
          <w:p w14:paraId="3E41E085"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700.8</w:t>
            </w:r>
          </w:p>
        </w:tc>
        <w:tc>
          <w:tcPr>
            <w:tcW w:w="0" w:type="auto"/>
            <w:shd w:val="clear" w:color="auto" w:fill="FFFFFF"/>
            <w:tcMar>
              <w:top w:w="0" w:type="dxa"/>
              <w:left w:w="85" w:type="dxa"/>
              <w:bottom w:w="0" w:type="dxa"/>
              <w:right w:w="85" w:type="dxa"/>
            </w:tcMar>
          </w:tcPr>
          <w:p w14:paraId="004F222A"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16,938.1</w:t>
            </w:r>
          </w:p>
        </w:tc>
        <w:tc>
          <w:tcPr>
            <w:tcW w:w="0" w:type="auto"/>
            <w:shd w:val="clear" w:color="auto" w:fill="FFFFFF"/>
            <w:tcMar>
              <w:top w:w="0" w:type="dxa"/>
              <w:left w:w="85" w:type="dxa"/>
              <w:bottom w:w="0" w:type="dxa"/>
              <w:right w:w="85" w:type="dxa"/>
            </w:tcMar>
          </w:tcPr>
          <w:p w14:paraId="76DE628C"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17,638.9</w:t>
            </w:r>
          </w:p>
        </w:tc>
      </w:tr>
      <w:tr w:rsidR="00BC0FD7" w:rsidRPr="001D5327" w14:paraId="542F3C0F" w14:textId="77777777" w:rsidTr="00D11AC9">
        <w:tc>
          <w:tcPr>
            <w:tcW w:w="0" w:type="auto"/>
            <w:shd w:val="clear" w:color="auto" w:fill="FFFFFF"/>
            <w:tcMar>
              <w:top w:w="0" w:type="dxa"/>
              <w:left w:w="85" w:type="dxa"/>
              <w:bottom w:w="0" w:type="dxa"/>
              <w:right w:w="85" w:type="dxa"/>
            </w:tcMar>
          </w:tcPr>
          <w:p w14:paraId="203742A0"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2002</w:t>
            </w:r>
          </w:p>
        </w:tc>
        <w:tc>
          <w:tcPr>
            <w:tcW w:w="0" w:type="auto"/>
            <w:shd w:val="clear" w:color="auto" w:fill="FFFFFF"/>
            <w:tcMar>
              <w:top w:w="0" w:type="dxa"/>
              <w:left w:w="85" w:type="dxa"/>
              <w:bottom w:w="0" w:type="dxa"/>
              <w:right w:w="85" w:type="dxa"/>
            </w:tcMar>
          </w:tcPr>
          <w:p w14:paraId="0303A8E1"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667.8</w:t>
            </w:r>
          </w:p>
        </w:tc>
        <w:tc>
          <w:tcPr>
            <w:tcW w:w="0" w:type="auto"/>
            <w:shd w:val="clear" w:color="auto" w:fill="FFFFFF"/>
            <w:tcMar>
              <w:top w:w="0" w:type="dxa"/>
              <w:left w:w="85" w:type="dxa"/>
              <w:bottom w:w="0" w:type="dxa"/>
              <w:right w:w="85" w:type="dxa"/>
            </w:tcMar>
          </w:tcPr>
          <w:p w14:paraId="3E726E6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17,516.0</w:t>
            </w:r>
          </w:p>
        </w:tc>
        <w:tc>
          <w:tcPr>
            <w:tcW w:w="0" w:type="auto"/>
            <w:shd w:val="clear" w:color="auto" w:fill="FFFFFF"/>
            <w:tcMar>
              <w:top w:w="0" w:type="dxa"/>
              <w:left w:w="85" w:type="dxa"/>
              <w:bottom w:w="0" w:type="dxa"/>
              <w:right w:w="85" w:type="dxa"/>
            </w:tcMar>
          </w:tcPr>
          <w:p w14:paraId="4702DEEE"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18,183.8</w:t>
            </w:r>
          </w:p>
        </w:tc>
      </w:tr>
      <w:tr w:rsidR="00BC0FD7" w:rsidRPr="001D5327" w14:paraId="44189B1E" w14:textId="77777777" w:rsidTr="00D11AC9">
        <w:tc>
          <w:tcPr>
            <w:tcW w:w="0" w:type="auto"/>
            <w:shd w:val="clear" w:color="auto" w:fill="FFFFFF"/>
            <w:tcMar>
              <w:top w:w="0" w:type="dxa"/>
              <w:left w:w="85" w:type="dxa"/>
              <w:bottom w:w="0" w:type="dxa"/>
              <w:right w:w="85" w:type="dxa"/>
            </w:tcMar>
          </w:tcPr>
          <w:p w14:paraId="331FDEFF"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2003</w:t>
            </w:r>
          </w:p>
        </w:tc>
        <w:tc>
          <w:tcPr>
            <w:tcW w:w="0" w:type="auto"/>
            <w:shd w:val="clear" w:color="auto" w:fill="FFFFFF"/>
            <w:tcMar>
              <w:top w:w="0" w:type="dxa"/>
              <w:left w:w="85" w:type="dxa"/>
              <w:bottom w:w="0" w:type="dxa"/>
              <w:right w:w="85" w:type="dxa"/>
            </w:tcMar>
          </w:tcPr>
          <w:p w14:paraId="68BAA46A"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627.5</w:t>
            </w:r>
          </w:p>
        </w:tc>
        <w:tc>
          <w:tcPr>
            <w:tcW w:w="0" w:type="auto"/>
            <w:shd w:val="clear" w:color="auto" w:fill="FFFFFF"/>
            <w:tcMar>
              <w:top w:w="0" w:type="dxa"/>
              <w:left w:w="85" w:type="dxa"/>
              <w:bottom w:w="0" w:type="dxa"/>
              <w:right w:w="85" w:type="dxa"/>
            </w:tcMar>
          </w:tcPr>
          <w:p w14:paraId="5B427729"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18,341.6</w:t>
            </w:r>
          </w:p>
        </w:tc>
        <w:tc>
          <w:tcPr>
            <w:tcW w:w="0" w:type="auto"/>
            <w:shd w:val="clear" w:color="auto" w:fill="FFFFFF"/>
            <w:tcMar>
              <w:top w:w="0" w:type="dxa"/>
              <w:left w:w="85" w:type="dxa"/>
              <w:bottom w:w="0" w:type="dxa"/>
              <w:right w:w="85" w:type="dxa"/>
            </w:tcMar>
          </w:tcPr>
          <w:p w14:paraId="1FE2350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18,969.1</w:t>
            </w:r>
          </w:p>
        </w:tc>
      </w:tr>
      <w:tr w:rsidR="00BC0FD7" w:rsidRPr="001D5327" w14:paraId="0AAA8BC5" w14:textId="77777777" w:rsidTr="00D11AC9">
        <w:tc>
          <w:tcPr>
            <w:tcW w:w="0" w:type="auto"/>
            <w:shd w:val="clear" w:color="auto" w:fill="FFFFFF"/>
            <w:tcMar>
              <w:top w:w="0" w:type="dxa"/>
              <w:left w:w="85" w:type="dxa"/>
              <w:bottom w:w="0" w:type="dxa"/>
              <w:right w:w="85" w:type="dxa"/>
            </w:tcMar>
          </w:tcPr>
          <w:p w14:paraId="7F039E5E"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2004</w:t>
            </w:r>
          </w:p>
        </w:tc>
        <w:tc>
          <w:tcPr>
            <w:tcW w:w="0" w:type="auto"/>
            <w:shd w:val="clear" w:color="auto" w:fill="FFFFFF"/>
            <w:tcMar>
              <w:top w:w="0" w:type="dxa"/>
              <w:left w:w="85" w:type="dxa"/>
              <w:bottom w:w="0" w:type="dxa"/>
              <w:right w:w="85" w:type="dxa"/>
            </w:tcMar>
          </w:tcPr>
          <w:p w14:paraId="48DF7F7F"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632.3</w:t>
            </w:r>
          </w:p>
        </w:tc>
        <w:tc>
          <w:tcPr>
            <w:tcW w:w="0" w:type="auto"/>
            <w:shd w:val="clear" w:color="auto" w:fill="FFFFFF"/>
            <w:tcMar>
              <w:top w:w="0" w:type="dxa"/>
              <w:left w:w="85" w:type="dxa"/>
              <w:bottom w:w="0" w:type="dxa"/>
              <w:right w:w="85" w:type="dxa"/>
            </w:tcMar>
          </w:tcPr>
          <w:p w14:paraId="412B150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19,209.0</w:t>
            </w:r>
          </w:p>
        </w:tc>
        <w:tc>
          <w:tcPr>
            <w:tcW w:w="0" w:type="auto"/>
            <w:shd w:val="clear" w:color="auto" w:fill="FFFFFF"/>
            <w:tcMar>
              <w:top w:w="0" w:type="dxa"/>
              <w:left w:w="85" w:type="dxa"/>
              <w:bottom w:w="0" w:type="dxa"/>
              <w:right w:w="85" w:type="dxa"/>
            </w:tcMar>
          </w:tcPr>
          <w:p w14:paraId="2CD1E0D1"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19,841.4</w:t>
            </w:r>
          </w:p>
        </w:tc>
      </w:tr>
      <w:tr w:rsidR="00BC0FD7" w:rsidRPr="001D5327" w14:paraId="3F1B4975" w14:textId="77777777" w:rsidTr="00D11AC9">
        <w:tc>
          <w:tcPr>
            <w:tcW w:w="0" w:type="auto"/>
            <w:shd w:val="clear" w:color="auto" w:fill="FFFFFF"/>
            <w:tcMar>
              <w:top w:w="0" w:type="dxa"/>
              <w:left w:w="85" w:type="dxa"/>
              <w:bottom w:w="0" w:type="dxa"/>
              <w:right w:w="85" w:type="dxa"/>
            </w:tcMar>
          </w:tcPr>
          <w:p w14:paraId="4BC0AFE0"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2005</w:t>
            </w:r>
          </w:p>
        </w:tc>
        <w:tc>
          <w:tcPr>
            <w:tcW w:w="0" w:type="auto"/>
            <w:shd w:val="clear" w:color="auto" w:fill="FFFFFF"/>
            <w:tcMar>
              <w:top w:w="0" w:type="dxa"/>
              <w:left w:w="85" w:type="dxa"/>
              <w:bottom w:w="0" w:type="dxa"/>
              <w:right w:w="85" w:type="dxa"/>
            </w:tcMar>
          </w:tcPr>
          <w:p w14:paraId="3A27FDC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613.1</w:t>
            </w:r>
          </w:p>
        </w:tc>
        <w:tc>
          <w:tcPr>
            <w:tcW w:w="0" w:type="auto"/>
            <w:shd w:val="clear" w:color="auto" w:fill="FFFFFF"/>
            <w:tcMar>
              <w:top w:w="0" w:type="dxa"/>
              <w:left w:w="85" w:type="dxa"/>
              <w:bottom w:w="0" w:type="dxa"/>
              <w:right w:w="85" w:type="dxa"/>
            </w:tcMar>
          </w:tcPr>
          <w:p w14:paraId="2B3F166E"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19,994.3</w:t>
            </w:r>
          </w:p>
        </w:tc>
        <w:tc>
          <w:tcPr>
            <w:tcW w:w="0" w:type="auto"/>
            <w:shd w:val="clear" w:color="auto" w:fill="FFFFFF"/>
            <w:tcMar>
              <w:top w:w="0" w:type="dxa"/>
              <w:left w:w="85" w:type="dxa"/>
              <w:bottom w:w="0" w:type="dxa"/>
              <w:right w:w="85" w:type="dxa"/>
            </w:tcMar>
          </w:tcPr>
          <w:p w14:paraId="2E4C45B7"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20,607.4</w:t>
            </w:r>
          </w:p>
        </w:tc>
      </w:tr>
      <w:tr w:rsidR="00BC0FD7" w:rsidRPr="001D5327" w14:paraId="37A1AA3A" w14:textId="77777777" w:rsidTr="00D11AC9">
        <w:tc>
          <w:tcPr>
            <w:tcW w:w="0" w:type="auto"/>
            <w:shd w:val="clear" w:color="auto" w:fill="FFFFFF"/>
            <w:tcMar>
              <w:top w:w="0" w:type="dxa"/>
              <w:left w:w="85" w:type="dxa"/>
              <w:bottom w:w="0" w:type="dxa"/>
              <w:right w:w="85" w:type="dxa"/>
            </w:tcMar>
          </w:tcPr>
          <w:p w14:paraId="14DDEE64"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2006</w:t>
            </w:r>
          </w:p>
        </w:tc>
        <w:tc>
          <w:tcPr>
            <w:tcW w:w="0" w:type="auto"/>
            <w:shd w:val="clear" w:color="auto" w:fill="FFFFFF"/>
            <w:tcMar>
              <w:top w:w="0" w:type="dxa"/>
              <w:left w:w="85" w:type="dxa"/>
              <w:bottom w:w="0" w:type="dxa"/>
              <w:right w:w="85" w:type="dxa"/>
            </w:tcMar>
          </w:tcPr>
          <w:p w14:paraId="210F207C"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614.6</w:t>
            </w:r>
          </w:p>
        </w:tc>
        <w:tc>
          <w:tcPr>
            <w:tcW w:w="0" w:type="auto"/>
            <w:shd w:val="clear" w:color="auto" w:fill="FFFFFF"/>
            <w:tcMar>
              <w:top w:w="0" w:type="dxa"/>
              <w:left w:w="85" w:type="dxa"/>
              <w:bottom w:w="0" w:type="dxa"/>
              <w:right w:w="85" w:type="dxa"/>
            </w:tcMar>
          </w:tcPr>
          <w:p w14:paraId="5C5E0AB0"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20,664.8</w:t>
            </w:r>
          </w:p>
        </w:tc>
        <w:tc>
          <w:tcPr>
            <w:tcW w:w="0" w:type="auto"/>
            <w:shd w:val="clear" w:color="auto" w:fill="FFFFFF"/>
            <w:tcMar>
              <w:top w:w="0" w:type="dxa"/>
              <w:left w:w="85" w:type="dxa"/>
              <w:bottom w:w="0" w:type="dxa"/>
              <w:right w:w="85" w:type="dxa"/>
            </w:tcMar>
          </w:tcPr>
          <w:p w14:paraId="1ECCF362"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21,279.4</w:t>
            </w:r>
          </w:p>
        </w:tc>
      </w:tr>
      <w:tr w:rsidR="00BC0FD7" w:rsidRPr="001D5327" w14:paraId="55519F55" w14:textId="77777777" w:rsidTr="00D11AC9">
        <w:tc>
          <w:tcPr>
            <w:tcW w:w="0" w:type="auto"/>
            <w:shd w:val="clear" w:color="auto" w:fill="FFFFFF"/>
            <w:tcMar>
              <w:top w:w="0" w:type="dxa"/>
              <w:left w:w="85" w:type="dxa"/>
              <w:bottom w:w="0" w:type="dxa"/>
              <w:right w:w="85" w:type="dxa"/>
            </w:tcMar>
          </w:tcPr>
          <w:p w14:paraId="500C52AE"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2007</w:t>
            </w:r>
          </w:p>
        </w:tc>
        <w:tc>
          <w:tcPr>
            <w:tcW w:w="0" w:type="auto"/>
            <w:shd w:val="clear" w:color="auto" w:fill="FFFFFF"/>
            <w:tcMar>
              <w:top w:w="0" w:type="dxa"/>
              <w:left w:w="85" w:type="dxa"/>
              <w:bottom w:w="0" w:type="dxa"/>
              <w:right w:w="85" w:type="dxa"/>
            </w:tcMar>
          </w:tcPr>
          <w:p w14:paraId="03CCAE5D"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602.7</w:t>
            </w:r>
          </w:p>
        </w:tc>
        <w:tc>
          <w:tcPr>
            <w:tcW w:w="0" w:type="auto"/>
            <w:shd w:val="clear" w:color="auto" w:fill="FFFFFF"/>
            <w:tcMar>
              <w:top w:w="0" w:type="dxa"/>
              <w:left w:w="85" w:type="dxa"/>
              <w:bottom w:w="0" w:type="dxa"/>
              <w:right w:w="85" w:type="dxa"/>
            </w:tcMar>
          </w:tcPr>
          <w:p w14:paraId="5E49CE65"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21,239.1</w:t>
            </w:r>
          </w:p>
        </w:tc>
        <w:tc>
          <w:tcPr>
            <w:tcW w:w="0" w:type="auto"/>
            <w:shd w:val="clear" w:color="auto" w:fill="FFFFFF"/>
            <w:tcMar>
              <w:top w:w="0" w:type="dxa"/>
              <w:left w:w="85" w:type="dxa"/>
              <w:bottom w:w="0" w:type="dxa"/>
              <w:right w:w="85" w:type="dxa"/>
            </w:tcMar>
          </w:tcPr>
          <w:p w14:paraId="507FE3C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21,841.8</w:t>
            </w:r>
          </w:p>
        </w:tc>
      </w:tr>
      <w:tr w:rsidR="00BC0FD7" w:rsidRPr="001D5327" w14:paraId="38A9BB0D" w14:textId="77777777" w:rsidTr="00D11AC9">
        <w:tc>
          <w:tcPr>
            <w:tcW w:w="0" w:type="auto"/>
            <w:shd w:val="clear" w:color="auto" w:fill="FFFFFF"/>
            <w:tcMar>
              <w:top w:w="0" w:type="dxa"/>
              <w:left w:w="85" w:type="dxa"/>
              <w:bottom w:w="0" w:type="dxa"/>
              <w:right w:w="85" w:type="dxa"/>
            </w:tcMar>
          </w:tcPr>
          <w:p w14:paraId="375A6482"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2008</w:t>
            </w:r>
          </w:p>
        </w:tc>
        <w:tc>
          <w:tcPr>
            <w:tcW w:w="0" w:type="auto"/>
            <w:shd w:val="clear" w:color="auto" w:fill="FFFFFF"/>
            <w:tcMar>
              <w:top w:w="0" w:type="dxa"/>
              <w:left w:w="85" w:type="dxa"/>
              <w:bottom w:w="0" w:type="dxa"/>
              <w:right w:w="85" w:type="dxa"/>
            </w:tcMar>
          </w:tcPr>
          <w:p w14:paraId="21CEA6E5"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576.4</w:t>
            </w:r>
          </w:p>
        </w:tc>
        <w:tc>
          <w:tcPr>
            <w:tcW w:w="0" w:type="auto"/>
            <w:shd w:val="clear" w:color="auto" w:fill="FFFFFF"/>
            <w:tcMar>
              <w:top w:w="0" w:type="dxa"/>
              <w:left w:w="85" w:type="dxa"/>
              <w:bottom w:w="0" w:type="dxa"/>
              <w:right w:w="85" w:type="dxa"/>
            </w:tcMar>
          </w:tcPr>
          <w:p w14:paraId="0FE5669A"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21,887.0</w:t>
            </w:r>
          </w:p>
        </w:tc>
        <w:tc>
          <w:tcPr>
            <w:tcW w:w="0" w:type="auto"/>
            <w:shd w:val="clear" w:color="auto" w:fill="FFFFFF"/>
            <w:tcMar>
              <w:top w:w="0" w:type="dxa"/>
              <w:left w:w="85" w:type="dxa"/>
              <w:bottom w:w="0" w:type="dxa"/>
              <w:right w:w="85" w:type="dxa"/>
            </w:tcMar>
          </w:tcPr>
          <w:p w14:paraId="6E9DD96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22,463.4</w:t>
            </w:r>
          </w:p>
        </w:tc>
      </w:tr>
      <w:tr w:rsidR="00BC0FD7" w:rsidRPr="001D5327" w14:paraId="29B01F38" w14:textId="77777777" w:rsidTr="00D11AC9">
        <w:tc>
          <w:tcPr>
            <w:tcW w:w="0" w:type="auto"/>
            <w:shd w:val="clear" w:color="auto" w:fill="FFFFFF"/>
            <w:tcMar>
              <w:top w:w="0" w:type="dxa"/>
              <w:left w:w="85" w:type="dxa"/>
              <w:bottom w:w="0" w:type="dxa"/>
              <w:right w:w="85" w:type="dxa"/>
            </w:tcMar>
          </w:tcPr>
          <w:p w14:paraId="6279C6F3"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2009</w:t>
            </w:r>
          </w:p>
        </w:tc>
        <w:tc>
          <w:tcPr>
            <w:tcW w:w="0" w:type="auto"/>
            <w:shd w:val="clear" w:color="auto" w:fill="FFFFFF"/>
            <w:tcMar>
              <w:top w:w="0" w:type="dxa"/>
              <w:left w:w="85" w:type="dxa"/>
              <w:bottom w:w="0" w:type="dxa"/>
              <w:right w:w="85" w:type="dxa"/>
            </w:tcMar>
          </w:tcPr>
          <w:p w14:paraId="74D2415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564.3</w:t>
            </w:r>
          </w:p>
        </w:tc>
        <w:tc>
          <w:tcPr>
            <w:tcW w:w="0" w:type="auto"/>
            <w:shd w:val="clear" w:color="auto" w:fill="FFFFFF"/>
            <w:tcMar>
              <w:top w:w="0" w:type="dxa"/>
              <w:left w:w="85" w:type="dxa"/>
              <w:bottom w:w="0" w:type="dxa"/>
              <w:right w:w="85" w:type="dxa"/>
            </w:tcMar>
          </w:tcPr>
          <w:p w14:paraId="41210051"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21,615.6</w:t>
            </w:r>
          </w:p>
        </w:tc>
        <w:tc>
          <w:tcPr>
            <w:tcW w:w="0" w:type="auto"/>
            <w:shd w:val="clear" w:color="auto" w:fill="FFFFFF"/>
            <w:tcMar>
              <w:top w:w="0" w:type="dxa"/>
              <w:left w:w="85" w:type="dxa"/>
              <w:bottom w:w="0" w:type="dxa"/>
              <w:right w:w="85" w:type="dxa"/>
            </w:tcMar>
          </w:tcPr>
          <w:p w14:paraId="2A16044F"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22,179.9</w:t>
            </w:r>
          </w:p>
        </w:tc>
      </w:tr>
      <w:tr w:rsidR="00BC0FD7" w:rsidRPr="001D5327" w14:paraId="1BB5725A" w14:textId="77777777" w:rsidTr="00D11AC9">
        <w:tc>
          <w:tcPr>
            <w:tcW w:w="0" w:type="auto"/>
            <w:shd w:val="clear" w:color="auto" w:fill="FFFFFF"/>
            <w:tcMar>
              <w:top w:w="0" w:type="dxa"/>
              <w:left w:w="85" w:type="dxa"/>
              <w:bottom w:w="0" w:type="dxa"/>
              <w:right w:w="85" w:type="dxa"/>
            </w:tcMar>
          </w:tcPr>
          <w:p w14:paraId="64AA7CFC"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2010</w:t>
            </w:r>
          </w:p>
        </w:tc>
        <w:tc>
          <w:tcPr>
            <w:tcW w:w="0" w:type="auto"/>
            <w:shd w:val="clear" w:color="auto" w:fill="FFFFFF"/>
            <w:tcMar>
              <w:top w:w="0" w:type="dxa"/>
              <w:left w:w="85" w:type="dxa"/>
              <w:bottom w:w="0" w:type="dxa"/>
              <w:right w:w="85" w:type="dxa"/>
            </w:tcMar>
          </w:tcPr>
          <w:p w14:paraId="7B89C0FC"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569.8</w:t>
            </w:r>
          </w:p>
        </w:tc>
        <w:tc>
          <w:tcPr>
            <w:tcW w:w="0" w:type="auto"/>
            <w:shd w:val="clear" w:color="auto" w:fill="FFFFFF"/>
            <w:tcMar>
              <w:top w:w="0" w:type="dxa"/>
              <w:left w:w="85" w:type="dxa"/>
              <w:bottom w:w="0" w:type="dxa"/>
              <w:right w:w="85" w:type="dxa"/>
            </w:tcMar>
          </w:tcPr>
          <w:p w14:paraId="6EBD83E6"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21,604.4</w:t>
            </w:r>
          </w:p>
        </w:tc>
        <w:tc>
          <w:tcPr>
            <w:tcW w:w="0" w:type="auto"/>
            <w:shd w:val="clear" w:color="auto" w:fill="FFFFFF"/>
            <w:tcMar>
              <w:top w:w="0" w:type="dxa"/>
              <w:left w:w="85" w:type="dxa"/>
              <w:bottom w:w="0" w:type="dxa"/>
              <w:right w:w="85" w:type="dxa"/>
            </w:tcMar>
          </w:tcPr>
          <w:p w14:paraId="7779EE3C"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22,174.3</w:t>
            </w:r>
          </w:p>
        </w:tc>
      </w:tr>
      <w:tr w:rsidR="00BC0FD7" w:rsidRPr="001D5327" w14:paraId="6B5F706E" w14:textId="77777777" w:rsidTr="00D11AC9">
        <w:tc>
          <w:tcPr>
            <w:tcW w:w="0" w:type="auto"/>
            <w:shd w:val="clear" w:color="auto" w:fill="FFFFFF"/>
            <w:tcMar>
              <w:top w:w="0" w:type="dxa"/>
              <w:left w:w="85" w:type="dxa"/>
              <w:bottom w:w="0" w:type="dxa"/>
              <w:right w:w="85" w:type="dxa"/>
            </w:tcMar>
          </w:tcPr>
          <w:p w14:paraId="1AF0B898"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2011</w:t>
            </w:r>
          </w:p>
        </w:tc>
        <w:tc>
          <w:tcPr>
            <w:tcW w:w="0" w:type="auto"/>
            <w:shd w:val="clear" w:color="auto" w:fill="FFFFFF"/>
            <w:tcMar>
              <w:top w:w="0" w:type="dxa"/>
              <w:left w:w="85" w:type="dxa"/>
              <w:bottom w:w="0" w:type="dxa"/>
              <w:right w:w="85" w:type="dxa"/>
            </w:tcMar>
          </w:tcPr>
          <w:p w14:paraId="1FE66727"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552.1</w:t>
            </w:r>
          </w:p>
        </w:tc>
        <w:tc>
          <w:tcPr>
            <w:tcW w:w="0" w:type="auto"/>
            <w:shd w:val="clear" w:color="auto" w:fill="FFFFFF"/>
            <w:tcMar>
              <w:top w:w="0" w:type="dxa"/>
              <w:left w:w="85" w:type="dxa"/>
              <w:bottom w:w="0" w:type="dxa"/>
              <w:right w:w="85" w:type="dxa"/>
            </w:tcMar>
          </w:tcPr>
          <w:p w14:paraId="65100507"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21,916.5</w:t>
            </w:r>
          </w:p>
        </w:tc>
        <w:tc>
          <w:tcPr>
            <w:tcW w:w="0" w:type="auto"/>
            <w:shd w:val="clear" w:color="auto" w:fill="FFFFFF"/>
            <w:tcMar>
              <w:top w:w="0" w:type="dxa"/>
              <w:left w:w="85" w:type="dxa"/>
              <w:bottom w:w="0" w:type="dxa"/>
              <w:right w:w="85" w:type="dxa"/>
            </w:tcMar>
          </w:tcPr>
          <w:p w14:paraId="329DD0C9"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22,468.6</w:t>
            </w:r>
          </w:p>
        </w:tc>
      </w:tr>
      <w:tr w:rsidR="00BC0FD7" w:rsidRPr="001D5327" w14:paraId="1C9E0541" w14:textId="77777777" w:rsidTr="00D11AC9">
        <w:tc>
          <w:tcPr>
            <w:tcW w:w="0" w:type="auto"/>
            <w:shd w:val="clear" w:color="auto" w:fill="FFFFFF"/>
            <w:tcMar>
              <w:top w:w="0" w:type="dxa"/>
              <w:left w:w="85" w:type="dxa"/>
              <w:bottom w:w="0" w:type="dxa"/>
              <w:right w:w="85" w:type="dxa"/>
            </w:tcMar>
          </w:tcPr>
          <w:p w14:paraId="47691BC1"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2012</w:t>
            </w:r>
          </w:p>
        </w:tc>
        <w:tc>
          <w:tcPr>
            <w:tcW w:w="0" w:type="auto"/>
            <w:shd w:val="clear" w:color="auto" w:fill="FFFFFF"/>
            <w:tcMar>
              <w:top w:w="0" w:type="dxa"/>
              <w:left w:w="85" w:type="dxa"/>
              <w:bottom w:w="0" w:type="dxa"/>
              <w:right w:w="85" w:type="dxa"/>
            </w:tcMar>
          </w:tcPr>
          <w:p w14:paraId="265A9541"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553.5</w:t>
            </w:r>
          </w:p>
        </w:tc>
        <w:tc>
          <w:tcPr>
            <w:tcW w:w="0" w:type="auto"/>
            <w:shd w:val="clear" w:color="auto" w:fill="FFFFFF"/>
            <w:tcMar>
              <w:top w:w="0" w:type="dxa"/>
              <w:left w:w="85" w:type="dxa"/>
              <w:bottom w:w="0" w:type="dxa"/>
              <w:right w:w="85" w:type="dxa"/>
            </w:tcMar>
          </w:tcPr>
          <w:p w14:paraId="7C1CA5CB"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22,407.8</w:t>
            </w:r>
          </w:p>
        </w:tc>
        <w:tc>
          <w:tcPr>
            <w:tcW w:w="0" w:type="auto"/>
            <w:shd w:val="clear" w:color="auto" w:fill="FFFFFF"/>
            <w:tcMar>
              <w:top w:w="0" w:type="dxa"/>
              <w:left w:w="85" w:type="dxa"/>
              <w:bottom w:w="0" w:type="dxa"/>
              <w:right w:w="85" w:type="dxa"/>
            </w:tcMar>
          </w:tcPr>
          <w:p w14:paraId="72114C0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22,961.3</w:t>
            </w:r>
          </w:p>
        </w:tc>
      </w:tr>
      <w:tr w:rsidR="00BC0FD7" w:rsidRPr="001D5327" w14:paraId="7FFF0357" w14:textId="77777777" w:rsidTr="00D11AC9">
        <w:tc>
          <w:tcPr>
            <w:tcW w:w="0" w:type="auto"/>
            <w:shd w:val="clear" w:color="auto" w:fill="FFFFFF"/>
            <w:tcMar>
              <w:top w:w="0" w:type="dxa"/>
              <w:left w:w="85" w:type="dxa"/>
              <w:bottom w:w="0" w:type="dxa"/>
              <w:right w:w="85" w:type="dxa"/>
            </w:tcMar>
          </w:tcPr>
          <w:p w14:paraId="753C5352"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2013</w:t>
            </w:r>
          </w:p>
        </w:tc>
        <w:tc>
          <w:tcPr>
            <w:tcW w:w="0" w:type="auto"/>
            <w:shd w:val="clear" w:color="auto" w:fill="FFFFFF"/>
            <w:tcMar>
              <w:top w:w="0" w:type="dxa"/>
              <w:left w:w="85" w:type="dxa"/>
              <w:bottom w:w="0" w:type="dxa"/>
              <w:right w:w="85" w:type="dxa"/>
            </w:tcMar>
          </w:tcPr>
          <w:p w14:paraId="26556049"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539.5</w:t>
            </w:r>
          </w:p>
        </w:tc>
        <w:tc>
          <w:tcPr>
            <w:tcW w:w="0" w:type="auto"/>
            <w:shd w:val="clear" w:color="auto" w:fill="FFFFFF"/>
            <w:tcMar>
              <w:top w:w="0" w:type="dxa"/>
              <w:left w:w="85" w:type="dxa"/>
              <w:bottom w:w="0" w:type="dxa"/>
              <w:right w:w="85" w:type="dxa"/>
            </w:tcMar>
          </w:tcPr>
          <w:p w14:paraId="345B8EC9"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22,920.3</w:t>
            </w:r>
          </w:p>
        </w:tc>
        <w:tc>
          <w:tcPr>
            <w:tcW w:w="0" w:type="auto"/>
            <w:shd w:val="clear" w:color="auto" w:fill="FFFFFF"/>
            <w:tcMar>
              <w:top w:w="0" w:type="dxa"/>
              <w:left w:w="85" w:type="dxa"/>
              <w:bottom w:w="0" w:type="dxa"/>
              <w:right w:w="85" w:type="dxa"/>
            </w:tcMar>
          </w:tcPr>
          <w:p w14:paraId="37818CB0"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23,459.9</w:t>
            </w:r>
          </w:p>
        </w:tc>
      </w:tr>
      <w:tr w:rsidR="00BC0FD7" w:rsidRPr="001D5327" w14:paraId="60C56124" w14:textId="77777777" w:rsidTr="00D11AC9">
        <w:tc>
          <w:tcPr>
            <w:tcW w:w="0" w:type="auto"/>
            <w:shd w:val="clear" w:color="auto" w:fill="FFFFFF"/>
            <w:tcMar>
              <w:top w:w="0" w:type="dxa"/>
              <w:left w:w="85" w:type="dxa"/>
              <w:bottom w:w="0" w:type="dxa"/>
              <w:right w:w="85" w:type="dxa"/>
            </w:tcMar>
          </w:tcPr>
          <w:p w14:paraId="753024C7"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2014</w:t>
            </w:r>
          </w:p>
        </w:tc>
        <w:tc>
          <w:tcPr>
            <w:tcW w:w="0" w:type="auto"/>
            <w:shd w:val="clear" w:color="auto" w:fill="FFFFFF"/>
            <w:tcMar>
              <w:top w:w="0" w:type="dxa"/>
              <w:left w:w="85" w:type="dxa"/>
              <w:bottom w:w="0" w:type="dxa"/>
              <w:right w:w="85" w:type="dxa"/>
            </w:tcMar>
          </w:tcPr>
          <w:p w14:paraId="52FFD00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540.1</w:t>
            </w:r>
          </w:p>
        </w:tc>
        <w:tc>
          <w:tcPr>
            <w:tcW w:w="0" w:type="auto"/>
            <w:shd w:val="clear" w:color="auto" w:fill="FFFFFF"/>
            <w:tcMar>
              <w:top w:w="0" w:type="dxa"/>
              <w:left w:w="85" w:type="dxa"/>
              <w:bottom w:w="0" w:type="dxa"/>
              <w:right w:w="85" w:type="dxa"/>
            </w:tcMar>
          </w:tcPr>
          <w:p w14:paraId="3ADC0EAF"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23,552.7</w:t>
            </w:r>
          </w:p>
        </w:tc>
        <w:tc>
          <w:tcPr>
            <w:tcW w:w="0" w:type="auto"/>
            <w:shd w:val="clear" w:color="auto" w:fill="FFFFFF"/>
            <w:tcMar>
              <w:top w:w="0" w:type="dxa"/>
              <w:left w:w="85" w:type="dxa"/>
              <w:bottom w:w="0" w:type="dxa"/>
              <w:right w:w="85" w:type="dxa"/>
            </w:tcMar>
          </w:tcPr>
          <w:p w14:paraId="272C124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24,092.8</w:t>
            </w:r>
          </w:p>
        </w:tc>
      </w:tr>
      <w:tr w:rsidR="00BC0FD7" w:rsidRPr="001D5327" w14:paraId="4CCF43DF" w14:textId="77777777" w:rsidTr="00D11AC9">
        <w:tc>
          <w:tcPr>
            <w:tcW w:w="0" w:type="auto"/>
            <w:shd w:val="clear" w:color="auto" w:fill="FFFFFF"/>
            <w:tcMar>
              <w:top w:w="0" w:type="dxa"/>
              <w:left w:w="85" w:type="dxa"/>
              <w:bottom w:w="0" w:type="dxa"/>
              <w:right w:w="85" w:type="dxa"/>
            </w:tcMar>
          </w:tcPr>
          <w:p w14:paraId="0F2C82E4"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2015</w:t>
            </w:r>
          </w:p>
        </w:tc>
        <w:tc>
          <w:tcPr>
            <w:tcW w:w="0" w:type="auto"/>
            <w:shd w:val="clear" w:color="auto" w:fill="FFFFFF"/>
            <w:tcMar>
              <w:top w:w="0" w:type="dxa"/>
              <w:left w:w="85" w:type="dxa"/>
              <w:bottom w:w="0" w:type="dxa"/>
              <w:right w:w="85" w:type="dxa"/>
            </w:tcMar>
          </w:tcPr>
          <w:p w14:paraId="39A60C0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526.1</w:t>
            </w:r>
          </w:p>
        </w:tc>
        <w:tc>
          <w:tcPr>
            <w:tcW w:w="0" w:type="auto"/>
            <w:shd w:val="clear" w:color="auto" w:fill="FFFFFF"/>
            <w:tcMar>
              <w:top w:w="0" w:type="dxa"/>
              <w:left w:w="85" w:type="dxa"/>
              <w:bottom w:w="0" w:type="dxa"/>
              <w:right w:w="85" w:type="dxa"/>
            </w:tcMar>
          </w:tcPr>
          <w:p w14:paraId="3227CF38"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24,437.3</w:t>
            </w:r>
          </w:p>
        </w:tc>
        <w:tc>
          <w:tcPr>
            <w:tcW w:w="0" w:type="auto"/>
            <w:shd w:val="clear" w:color="auto" w:fill="FFFFFF"/>
            <w:tcMar>
              <w:top w:w="0" w:type="dxa"/>
              <w:left w:w="85" w:type="dxa"/>
              <w:bottom w:w="0" w:type="dxa"/>
              <w:right w:w="85" w:type="dxa"/>
            </w:tcMar>
          </w:tcPr>
          <w:p w14:paraId="3C45620C"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24,963.3</w:t>
            </w:r>
          </w:p>
        </w:tc>
      </w:tr>
      <w:tr w:rsidR="00BC0FD7" w:rsidRPr="001D5327" w14:paraId="1D9CA6A3" w14:textId="77777777" w:rsidTr="00D11AC9">
        <w:tc>
          <w:tcPr>
            <w:tcW w:w="0" w:type="auto"/>
            <w:shd w:val="clear" w:color="auto" w:fill="FFFFFF"/>
            <w:tcMar>
              <w:top w:w="0" w:type="dxa"/>
              <w:left w:w="85" w:type="dxa"/>
              <w:bottom w:w="0" w:type="dxa"/>
              <w:right w:w="85" w:type="dxa"/>
            </w:tcMar>
          </w:tcPr>
          <w:p w14:paraId="466B8FDD"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2016</w:t>
            </w:r>
          </w:p>
        </w:tc>
        <w:tc>
          <w:tcPr>
            <w:tcW w:w="0" w:type="auto"/>
            <w:shd w:val="clear" w:color="auto" w:fill="FFFFFF"/>
            <w:tcMar>
              <w:top w:w="0" w:type="dxa"/>
              <w:left w:w="85" w:type="dxa"/>
              <w:bottom w:w="0" w:type="dxa"/>
              <w:right w:w="85" w:type="dxa"/>
            </w:tcMar>
          </w:tcPr>
          <w:p w14:paraId="277AE090"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528.2</w:t>
            </w:r>
          </w:p>
        </w:tc>
        <w:tc>
          <w:tcPr>
            <w:tcW w:w="0" w:type="auto"/>
            <w:shd w:val="clear" w:color="auto" w:fill="FFFFFF"/>
            <w:tcMar>
              <w:top w:w="0" w:type="dxa"/>
              <w:left w:w="85" w:type="dxa"/>
              <w:bottom w:w="0" w:type="dxa"/>
              <w:right w:w="85" w:type="dxa"/>
            </w:tcMar>
          </w:tcPr>
          <w:p w14:paraId="3005AE88"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25,345.1</w:t>
            </w:r>
          </w:p>
        </w:tc>
        <w:tc>
          <w:tcPr>
            <w:tcW w:w="0" w:type="auto"/>
            <w:shd w:val="clear" w:color="auto" w:fill="FFFFFF"/>
            <w:tcMar>
              <w:top w:w="0" w:type="dxa"/>
              <w:left w:w="85" w:type="dxa"/>
              <w:bottom w:w="0" w:type="dxa"/>
              <w:right w:w="85" w:type="dxa"/>
            </w:tcMar>
          </w:tcPr>
          <w:p w14:paraId="6505766A"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25,873.4</w:t>
            </w:r>
          </w:p>
        </w:tc>
      </w:tr>
      <w:tr w:rsidR="00BC0FD7" w:rsidRPr="001D5327" w14:paraId="2BB1120F" w14:textId="77777777" w:rsidTr="00D11AC9">
        <w:tc>
          <w:tcPr>
            <w:tcW w:w="0" w:type="auto"/>
            <w:shd w:val="clear" w:color="auto" w:fill="FFFFFF"/>
            <w:tcMar>
              <w:top w:w="0" w:type="dxa"/>
              <w:left w:w="85" w:type="dxa"/>
              <w:bottom w:w="0" w:type="dxa"/>
              <w:right w:w="85" w:type="dxa"/>
            </w:tcMar>
          </w:tcPr>
          <w:p w14:paraId="1DB184CC"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2017</w:t>
            </w:r>
          </w:p>
        </w:tc>
        <w:tc>
          <w:tcPr>
            <w:tcW w:w="0" w:type="auto"/>
            <w:shd w:val="clear" w:color="auto" w:fill="FFFFFF"/>
            <w:tcMar>
              <w:top w:w="0" w:type="dxa"/>
              <w:left w:w="85" w:type="dxa"/>
              <w:bottom w:w="0" w:type="dxa"/>
              <w:right w:w="85" w:type="dxa"/>
            </w:tcMar>
          </w:tcPr>
          <w:p w14:paraId="3E4047D2"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498.7</w:t>
            </w:r>
          </w:p>
        </w:tc>
        <w:tc>
          <w:tcPr>
            <w:tcW w:w="0" w:type="auto"/>
            <w:shd w:val="clear" w:color="auto" w:fill="FFFFFF"/>
            <w:tcMar>
              <w:top w:w="0" w:type="dxa"/>
              <w:left w:w="85" w:type="dxa"/>
              <w:bottom w:w="0" w:type="dxa"/>
              <w:right w:w="85" w:type="dxa"/>
            </w:tcMar>
          </w:tcPr>
          <w:p w14:paraId="43102898"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26,293.2</w:t>
            </w:r>
          </w:p>
        </w:tc>
        <w:tc>
          <w:tcPr>
            <w:tcW w:w="0" w:type="auto"/>
            <w:shd w:val="clear" w:color="auto" w:fill="FFFFFF"/>
            <w:tcMar>
              <w:top w:w="0" w:type="dxa"/>
              <w:left w:w="85" w:type="dxa"/>
              <w:bottom w:w="0" w:type="dxa"/>
              <w:right w:w="85" w:type="dxa"/>
            </w:tcMar>
          </w:tcPr>
          <w:p w14:paraId="5DF218DF"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26,791.9</w:t>
            </w:r>
          </w:p>
        </w:tc>
      </w:tr>
      <w:tr w:rsidR="00BC0FD7" w:rsidRPr="001D5327" w14:paraId="091E195A" w14:textId="77777777" w:rsidTr="00D11AC9">
        <w:tc>
          <w:tcPr>
            <w:tcW w:w="0" w:type="auto"/>
            <w:shd w:val="clear" w:color="auto" w:fill="FFFFFF"/>
            <w:tcMar>
              <w:top w:w="0" w:type="dxa"/>
              <w:left w:w="85" w:type="dxa"/>
              <w:bottom w:w="0" w:type="dxa"/>
              <w:right w:w="85" w:type="dxa"/>
            </w:tcMar>
          </w:tcPr>
          <w:p w14:paraId="430E8445"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2018</w:t>
            </w:r>
          </w:p>
        </w:tc>
        <w:tc>
          <w:tcPr>
            <w:tcW w:w="0" w:type="auto"/>
            <w:shd w:val="clear" w:color="auto" w:fill="FFFFFF"/>
            <w:tcMar>
              <w:top w:w="0" w:type="dxa"/>
              <w:left w:w="85" w:type="dxa"/>
              <w:bottom w:w="0" w:type="dxa"/>
              <w:right w:w="85" w:type="dxa"/>
            </w:tcMar>
          </w:tcPr>
          <w:p w14:paraId="1EF51519"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483.8</w:t>
            </w:r>
          </w:p>
        </w:tc>
        <w:tc>
          <w:tcPr>
            <w:tcW w:w="0" w:type="auto"/>
            <w:shd w:val="clear" w:color="auto" w:fill="FFFFFF"/>
            <w:tcMar>
              <w:top w:w="0" w:type="dxa"/>
              <w:left w:w="85" w:type="dxa"/>
              <w:bottom w:w="0" w:type="dxa"/>
              <w:right w:w="85" w:type="dxa"/>
            </w:tcMar>
          </w:tcPr>
          <w:p w14:paraId="3B37253E"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27,186.7</w:t>
            </w:r>
          </w:p>
        </w:tc>
        <w:tc>
          <w:tcPr>
            <w:tcW w:w="0" w:type="auto"/>
            <w:shd w:val="clear" w:color="auto" w:fill="FFFFFF"/>
            <w:tcMar>
              <w:top w:w="0" w:type="dxa"/>
              <w:left w:w="85" w:type="dxa"/>
              <w:bottom w:w="0" w:type="dxa"/>
              <w:right w:w="85" w:type="dxa"/>
            </w:tcMar>
          </w:tcPr>
          <w:p w14:paraId="4D9C881A"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27,670.5</w:t>
            </w:r>
          </w:p>
        </w:tc>
      </w:tr>
      <w:tr w:rsidR="00BC0FD7" w:rsidRPr="001D5327" w14:paraId="15715311" w14:textId="77777777" w:rsidTr="00D11AC9">
        <w:tc>
          <w:tcPr>
            <w:tcW w:w="0" w:type="auto"/>
            <w:shd w:val="clear" w:color="auto" w:fill="FFFFFF"/>
            <w:tcMar>
              <w:top w:w="0" w:type="dxa"/>
              <w:left w:w="85" w:type="dxa"/>
              <w:bottom w:w="0" w:type="dxa"/>
              <w:right w:w="85" w:type="dxa"/>
            </w:tcMar>
          </w:tcPr>
          <w:p w14:paraId="62BF453F"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2019</w:t>
            </w:r>
          </w:p>
        </w:tc>
        <w:tc>
          <w:tcPr>
            <w:tcW w:w="0" w:type="auto"/>
            <w:shd w:val="clear" w:color="auto" w:fill="FFFFFF"/>
            <w:tcMar>
              <w:top w:w="0" w:type="dxa"/>
              <w:left w:w="85" w:type="dxa"/>
              <w:bottom w:w="0" w:type="dxa"/>
              <w:right w:w="85" w:type="dxa"/>
            </w:tcMar>
          </w:tcPr>
          <w:p w14:paraId="5ED05A86"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472.4</w:t>
            </w:r>
          </w:p>
        </w:tc>
        <w:tc>
          <w:tcPr>
            <w:tcW w:w="0" w:type="auto"/>
            <w:shd w:val="clear" w:color="auto" w:fill="FFFFFF"/>
            <w:tcMar>
              <w:top w:w="0" w:type="dxa"/>
              <w:left w:w="85" w:type="dxa"/>
              <w:bottom w:w="0" w:type="dxa"/>
              <w:right w:w="85" w:type="dxa"/>
            </w:tcMar>
          </w:tcPr>
          <w:p w14:paraId="7A2DC24F"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28,140.2</w:t>
            </w:r>
          </w:p>
        </w:tc>
        <w:tc>
          <w:tcPr>
            <w:tcW w:w="0" w:type="auto"/>
            <w:shd w:val="clear" w:color="auto" w:fill="FFFFFF"/>
            <w:tcMar>
              <w:top w:w="0" w:type="dxa"/>
              <w:left w:w="85" w:type="dxa"/>
              <w:bottom w:w="0" w:type="dxa"/>
              <w:right w:w="85" w:type="dxa"/>
            </w:tcMar>
          </w:tcPr>
          <w:p w14:paraId="488445A9"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28,612.6</w:t>
            </w:r>
          </w:p>
        </w:tc>
      </w:tr>
      <w:tr w:rsidR="00BC0FD7" w:rsidRPr="001D5327" w14:paraId="08BB4A8C" w14:textId="77777777" w:rsidTr="00D11AC9">
        <w:tc>
          <w:tcPr>
            <w:tcW w:w="0" w:type="auto"/>
            <w:shd w:val="clear" w:color="auto" w:fill="FFFFFF"/>
            <w:tcMar>
              <w:top w:w="0" w:type="dxa"/>
              <w:left w:w="85" w:type="dxa"/>
              <w:bottom w:w="0" w:type="dxa"/>
              <w:right w:w="85" w:type="dxa"/>
            </w:tcMar>
          </w:tcPr>
          <w:p w14:paraId="378C7184"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2020</w:t>
            </w:r>
          </w:p>
        </w:tc>
        <w:tc>
          <w:tcPr>
            <w:tcW w:w="0" w:type="auto"/>
            <w:shd w:val="clear" w:color="auto" w:fill="FFFFFF"/>
            <w:tcMar>
              <w:top w:w="0" w:type="dxa"/>
              <w:left w:w="85" w:type="dxa"/>
              <w:bottom w:w="0" w:type="dxa"/>
              <w:right w:w="85" w:type="dxa"/>
            </w:tcMar>
          </w:tcPr>
          <w:p w14:paraId="21EBB397"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470.0</w:t>
            </w:r>
          </w:p>
        </w:tc>
        <w:tc>
          <w:tcPr>
            <w:tcW w:w="0" w:type="auto"/>
            <w:shd w:val="clear" w:color="auto" w:fill="FFFFFF"/>
            <w:tcMar>
              <w:top w:w="0" w:type="dxa"/>
              <w:left w:w="85" w:type="dxa"/>
              <w:bottom w:w="0" w:type="dxa"/>
              <w:right w:w="85" w:type="dxa"/>
            </w:tcMar>
          </w:tcPr>
          <w:p w14:paraId="6A556B2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28,806.8</w:t>
            </w:r>
          </w:p>
        </w:tc>
        <w:tc>
          <w:tcPr>
            <w:tcW w:w="0" w:type="auto"/>
            <w:shd w:val="clear" w:color="auto" w:fill="FFFFFF"/>
            <w:tcMar>
              <w:top w:w="0" w:type="dxa"/>
              <w:left w:w="85" w:type="dxa"/>
              <w:bottom w:w="0" w:type="dxa"/>
              <w:right w:w="85" w:type="dxa"/>
            </w:tcMar>
          </w:tcPr>
          <w:p w14:paraId="69FC224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29,276.8</w:t>
            </w:r>
          </w:p>
        </w:tc>
      </w:tr>
      <w:tr w:rsidR="00BC0FD7" w:rsidRPr="001D5327" w14:paraId="0F8B6D28" w14:textId="77777777" w:rsidTr="00D11AC9">
        <w:tc>
          <w:tcPr>
            <w:tcW w:w="0" w:type="auto"/>
            <w:shd w:val="clear" w:color="auto" w:fill="FFFFFF"/>
            <w:tcMar>
              <w:top w:w="0" w:type="dxa"/>
              <w:left w:w="85" w:type="dxa"/>
              <w:bottom w:w="0" w:type="dxa"/>
              <w:right w:w="85" w:type="dxa"/>
            </w:tcMar>
          </w:tcPr>
          <w:p w14:paraId="1427870C"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lastRenderedPageBreak/>
              <w:t>2021</w:t>
            </w:r>
          </w:p>
        </w:tc>
        <w:tc>
          <w:tcPr>
            <w:tcW w:w="0" w:type="auto"/>
            <w:shd w:val="clear" w:color="auto" w:fill="FFFFFF"/>
            <w:tcMar>
              <w:top w:w="0" w:type="dxa"/>
              <w:left w:w="85" w:type="dxa"/>
              <w:bottom w:w="0" w:type="dxa"/>
              <w:right w:w="85" w:type="dxa"/>
            </w:tcMar>
          </w:tcPr>
          <w:p w14:paraId="4B7494F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474.3</w:t>
            </w:r>
          </w:p>
        </w:tc>
        <w:tc>
          <w:tcPr>
            <w:tcW w:w="0" w:type="auto"/>
            <w:shd w:val="clear" w:color="auto" w:fill="FFFFFF"/>
            <w:tcMar>
              <w:top w:w="0" w:type="dxa"/>
              <w:left w:w="85" w:type="dxa"/>
              <w:bottom w:w="0" w:type="dxa"/>
              <w:right w:w="85" w:type="dxa"/>
            </w:tcMar>
          </w:tcPr>
          <w:p w14:paraId="528313F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28,691.3</w:t>
            </w:r>
          </w:p>
        </w:tc>
        <w:tc>
          <w:tcPr>
            <w:tcW w:w="0" w:type="auto"/>
            <w:shd w:val="clear" w:color="auto" w:fill="FFFFFF"/>
            <w:tcMar>
              <w:top w:w="0" w:type="dxa"/>
              <w:left w:w="85" w:type="dxa"/>
              <w:bottom w:w="0" w:type="dxa"/>
              <w:right w:w="85" w:type="dxa"/>
            </w:tcMar>
          </w:tcPr>
          <w:p w14:paraId="09A16424"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29,165.5</w:t>
            </w:r>
          </w:p>
        </w:tc>
      </w:tr>
      <w:tr w:rsidR="00BC0FD7" w:rsidRPr="001D5327" w14:paraId="2D243D9C" w14:textId="77777777" w:rsidTr="00D11AC9">
        <w:tc>
          <w:tcPr>
            <w:tcW w:w="0" w:type="auto"/>
            <w:shd w:val="clear" w:color="auto" w:fill="FFFFFF"/>
            <w:tcMar>
              <w:top w:w="0" w:type="dxa"/>
              <w:left w:w="85" w:type="dxa"/>
              <w:bottom w:w="0" w:type="dxa"/>
              <w:right w:w="85" w:type="dxa"/>
            </w:tcMar>
          </w:tcPr>
          <w:p w14:paraId="72E75438" w14:textId="77777777" w:rsidR="00BC0FD7" w:rsidRPr="001D5327" w:rsidRDefault="00BC0FD7" w:rsidP="00D11AC9">
            <w:pPr>
              <w:pStyle w:val="TableText"/>
              <w:spacing w:before="40" w:after="40"/>
              <w:rPr>
                <w:rFonts w:cs="Calibri"/>
                <w:b/>
                <w:szCs w:val="16"/>
              </w:rPr>
            </w:pPr>
            <w:r w:rsidRPr="001D5327">
              <w:rPr>
                <w:rFonts w:eastAsia="Calibri" w:cs="Calibri"/>
                <w:b/>
                <w:color w:val="1B556B"/>
                <w:szCs w:val="16"/>
              </w:rPr>
              <w:t>2022</w:t>
            </w:r>
          </w:p>
        </w:tc>
        <w:tc>
          <w:tcPr>
            <w:tcW w:w="0" w:type="auto"/>
            <w:shd w:val="clear" w:color="auto" w:fill="FFFFFF"/>
            <w:tcMar>
              <w:top w:w="0" w:type="dxa"/>
              <w:left w:w="85" w:type="dxa"/>
              <w:bottom w:w="0" w:type="dxa"/>
              <w:right w:w="85" w:type="dxa"/>
            </w:tcMar>
          </w:tcPr>
          <w:p w14:paraId="2F96ED7E"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449.9</w:t>
            </w:r>
          </w:p>
        </w:tc>
        <w:tc>
          <w:tcPr>
            <w:tcW w:w="0" w:type="auto"/>
            <w:shd w:val="clear" w:color="auto" w:fill="FFFFFF"/>
            <w:tcMar>
              <w:top w:w="0" w:type="dxa"/>
              <w:left w:w="85" w:type="dxa"/>
              <w:bottom w:w="0" w:type="dxa"/>
              <w:right w:w="85" w:type="dxa"/>
            </w:tcMar>
          </w:tcPr>
          <w:p w14:paraId="4C21CC12"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30,003.7</w:t>
            </w:r>
          </w:p>
        </w:tc>
        <w:tc>
          <w:tcPr>
            <w:tcW w:w="0" w:type="auto"/>
            <w:shd w:val="clear" w:color="auto" w:fill="FFFFFF"/>
            <w:tcMar>
              <w:top w:w="0" w:type="dxa"/>
              <w:left w:w="85" w:type="dxa"/>
              <w:bottom w:w="0" w:type="dxa"/>
              <w:right w:w="85" w:type="dxa"/>
            </w:tcMar>
          </w:tcPr>
          <w:p w14:paraId="479EAB73" w14:textId="77777777" w:rsidR="00BC0FD7" w:rsidRPr="001D5327" w:rsidRDefault="00BC0FD7" w:rsidP="00D11AC9">
            <w:pPr>
              <w:pStyle w:val="TableText"/>
              <w:spacing w:before="40" w:after="40"/>
              <w:jc w:val="right"/>
              <w:rPr>
                <w:rFonts w:cs="Calibri"/>
                <w:szCs w:val="16"/>
              </w:rPr>
            </w:pPr>
            <w:r w:rsidRPr="001D5327">
              <w:rPr>
                <w:rFonts w:eastAsia="Calibri" w:cs="Calibri"/>
                <w:color w:val="000000"/>
                <w:szCs w:val="16"/>
              </w:rPr>
              <w:t>30,453.6</w:t>
            </w:r>
          </w:p>
        </w:tc>
      </w:tr>
      <w:tr w:rsidR="00BC0FD7" w:rsidRPr="001D5327" w14:paraId="0FD8100E" w14:textId="77777777" w:rsidTr="00D11AC9">
        <w:tc>
          <w:tcPr>
            <w:tcW w:w="0" w:type="auto"/>
            <w:shd w:val="clear" w:color="auto" w:fill="FFFFFF"/>
            <w:tcMar>
              <w:top w:w="0" w:type="dxa"/>
              <w:left w:w="85" w:type="dxa"/>
              <w:bottom w:w="0" w:type="dxa"/>
              <w:right w:w="85" w:type="dxa"/>
            </w:tcMar>
          </w:tcPr>
          <w:p w14:paraId="625C538D" w14:textId="77777777" w:rsidR="00BC0FD7" w:rsidRPr="001D5327" w:rsidRDefault="00BC0FD7" w:rsidP="00D11AC9">
            <w:pPr>
              <w:pStyle w:val="TableText"/>
              <w:spacing w:before="40" w:after="40"/>
              <w:rPr>
                <w:rFonts w:eastAsia="Calibri" w:cs="Calibri"/>
                <w:b/>
                <w:color w:val="1B556B"/>
                <w:szCs w:val="16"/>
              </w:rPr>
            </w:pPr>
            <w:r w:rsidRPr="001D5327">
              <w:rPr>
                <w:rFonts w:eastAsia="Calibri" w:cs="Calibri"/>
                <w:b/>
                <w:color w:val="1B556B"/>
                <w:szCs w:val="16"/>
              </w:rPr>
              <w:t>2023</w:t>
            </w:r>
          </w:p>
        </w:tc>
        <w:tc>
          <w:tcPr>
            <w:tcW w:w="0" w:type="auto"/>
            <w:shd w:val="clear" w:color="auto" w:fill="FFFFFF"/>
            <w:tcMar>
              <w:top w:w="0" w:type="dxa"/>
              <w:left w:w="85" w:type="dxa"/>
              <w:bottom w:w="0" w:type="dxa"/>
              <w:right w:w="85" w:type="dxa"/>
            </w:tcMar>
          </w:tcPr>
          <w:p w14:paraId="0AFE25D0" w14:textId="77777777" w:rsidR="00BC0FD7" w:rsidRPr="001D5327" w:rsidRDefault="00BC0FD7" w:rsidP="00D11AC9">
            <w:pPr>
              <w:pStyle w:val="TableText"/>
              <w:spacing w:before="40" w:after="40"/>
              <w:jc w:val="right"/>
              <w:rPr>
                <w:rFonts w:eastAsia="Calibri" w:cs="Calibri"/>
                <w:color w:val="000000"/>
                <w:szCs w:val="16"/>
              </w:rPr>
            </w:pPr>
            <w:r w:rsidRPr="001D5327">
              <w:rPr>
                <w:rFonts w:eastAsia="Calibri" w:cs="Calibri"/>
                <w:color w:val="000000"/>
                <w:szCs w:val="16"/>
              </w:rPr>
              <w:t>441.6</w:t>
            </w:r>
          </w:p>
        </w:tc>
        <w:tc>
          <w:tcPr>
            <w:tcW w:w="0" w:type="auto"/>
            <w:shd w:val="clear" w:color="auto" w:fill="FFFFFF"/>
            <w:tcMar>
              <w:top w:w="0" w:type="dxa"/>
              <w:left w:w="85" w:type="dxa"/>
              <w:bottom w:w="0" w:type="dxa"/>
              <w:right w:w="85" w:type="dxa"/>
            </w:tcMar>
          </w:tcPr>
          <w:p w14:paraId="52FD4B04" w14:textId="77777777" w:rsidR="00BC0FD7" w:rsidRPr="001D5327" w:rsidRDefault="00BC0FD7" w:rsidP="00D11AC9">
            <w:pPr>
              <w:pStyle w:val="TableText"/>
              <w:spacing w:before="40" w:after="40"/>
              <w:jc w:val="right"/>
              <w:rPr>
                <w:rFonts w:eastAsia="Calibri" w:cs="Calibri"/>
                <w:color w:val="000000"/>
                <w:szCs w:val="16"/>
              </w:rPr>
            </w:pPr>
            <w:r w:rsidRPr="001D5327">
              <w:rPr>
                <w:rFonts w:eastAsia="Calibri" w:cs="Calibri"/>
                <w:color w:val="000000"/>
                <w:szCs w:val="16"/>
              </w:rPr>
              <w:t>30,852.7</w:t>
            </w:r>
          </w:p>
        </w:tc>
        <w:tc>
          <w:tcPr>
            <w:tcW w:w="0" w:type="auto"/>
            <w:shd w:val="clear" w:color="auto" w:fill="FFFFFF"/>
            <w:tcMar>
              <w:top w:w="0" w:type="dxa"/>
              <w:left w:w="85" w:type="dxa"/>
              <w:bottom w:w="0" w:type="dxa"/>
              <w:right w:w="85" w:type="dxa"/>
            </w:tcMar>
          </w:tcPr>
          <w:p w14:paraId="5A33C9F8" w14:textId="77777777" w:rsidR="00BC0FD7" w:rsidRPr="001D5327" w:rsidRDefault="00BC0FD7" w:rsidP="00D11AC9">
            <w:pPr>
              <w:pStyle w:val="TableText"/>
              <w:spacing w:before="40" w:after="40"/>
              <w:jc w:val="right"/>
              <w:rPr>
                <w:rFonts w:eastAsia="Calibri" w:cs="Calibri"/>
                <w:color w:val="000000"/>
                <w:szCs w:val="16"/>
              </w:rPr>
            </w:pPr>
            <w:r w:rsidRPr="001D5327">
              <w:rPr>
                <w:rFonts w:eastAsia="Calibri" w:cs="Calibri"/>
                <w:color w:val="000000"/>
                <w:szCs w:val="16"/>
              </w:rPr>
              <w:t>31,294.3</w:t>
            </w:r>
          </w:p>
        </w:tc>
      </w:tr>
    </w:tbl>
    <w:p w14:paraId="6EEC9E35" w14:textId="77777777" w:rsidR="00BC0FD7" w:rsidRPr="001D5327" w:rsidRDefault="00BC0FD7" w:rsidP="00BC0FD7">
      <w:pPr>
        <w:pStyle w:val="Noteundertable"/>
      </w:pPr>
      <w:r w:rsidRPr="001D5327">
        <w:rPr>
          <w:b/>
          <w:bCs/>
        </w:rPr>
        <w:t>Note:</w:t>
      </w:r>
      <w:r w:rsidRPr="001D5327">
        <w:t xml:space="preserve"> </w:t>
      </w:r>
      <w:r w:rsidRPr="001D5327">
        <w:tab/>
        <w:t>Columns may not total due to rounding. It is assumed that an equal and additional amount of farm waste that is buried in farm fills is burned (see section 7.4).</w:t>
      </w:r>
    </w:p>
    <w:bookmarkEnd w:id="2825"/>
    <w:p w14:paraId="067E4F25" w14:textId="77777777" w:rsidR="00BC0FD7" w:rsidRPr="001D5327" w:rsidRDefault="00BC0FD7" w:rsidP="00BC0FD7">
      <w:pPr>
        <w:pStyle w:val="Heading4"/>
      </w:pPr>
      <w:r w:rsidRPr="001D5327">
        <w:t>Choice of methods</w:t>
      </w:r>
    </w:p>
    <w:p w14:paraId="36AEE388" w14:textId="77777777" w:rsidR="00BC0FD7" w:rsidRPr="001D5327" w:rsidRDefault="00BC0FD7" w:rsidP="00BC0FD7">
      <w:pPr>
        <w:pStyle w:val="BodyText"/>
        <w:spacing w:before="100" w:after="100"/>
      </w:pPr>
      <w:r w:rsidRPr="001D5327">
        <w:t>Estimations of CH</w:t>
      </w:r>
      <w:r w:rsidRPr="001D5327">
        <w:rPr>
          <w:vertAlign w:val="subscript"/>
        </w:rPr>
        <w:t>4</w:t>
      </w:r>
      <w:r w:rsidRPr="001D5327">
        <w:t xml:space="preserve"> emissions from </w:t>
      </w:r>
      <w:r w:rsidRPr="001D5327">
        <w:rPr>
          <w:i/>
          <w:iCs/>
        </w:rPr>
        <w:t>Solid waste disposal</w:t>
      </w:r>
      <w:r w:rsidRPr="001D5327">
        <w:t xml:space="preserve"> to land were calculated using the first order decay (FOD) model, in accordance with the Tier 2 method outlined in the 2006 IPCC Guidelines (IPCC, 2006a). This method assumes that the degradable organic component in waste decays slowly through decades, during which CH</w:t>
      </w:r>
      <w:r w:rsidRPr="001D5327">
        <w:rPr>
          <w:vertAlign w:val="subscript"/>
        </w:rPr>
        <w:t>4</w:t>
      </w:r>
      <w:r w:rsidRPr="001D5327">
        <w:t xml:space="preserve"> and CO</w:t>
      </w:r>
      <w:r w:rsidRPr="001D5327">
        <w:rPr>
          <w:vertAlign w:val="subscript"/>
        </w:rPr>
        <w:t>2</w:t>
      </w:r>
      <w:r w:rsidRPr="001D5327">
        <w:t xml:space="preserve"> are formed.</w:t>
      </w:r>
    </w:p>
    <w:p w14:paraId="6E5BAEDF" w14:textId="77777777" w:rsidR="00BC0FD7" w:rsidRPr="001D5327" w:rsidRDefault="00BC0FD7" w:rsidP="00BC0FD7">
      <w:pPr>
        <w:pStyle w:val="Heading5"/>
        <w:spacing w:before="180"/>
      </w:pPr>
      <w:bookmarkStart w:id="2827" w:name="municipal-landfills-5.a.1.a"/>
      <w:r w:rsidRPr="001D5327">
        <w:t>Municipal landfills (5.A.1.a)</w:t>
      </w:r>
    </w:p>
    <w:p w14:paraId="4E509261" w14:textId="77777777" w:rsidR="00BC0FD7" w:rsidRPr="001D5327" w:rsidRDefault="00BC0FD7" w:rsidP="00BC0FD7">
      <w:pPr>
        <w:pStyle w:val="BodyText"/>
        <w:spacing w:before="100" w:after="100"/>
        <w:rPr>
          <w:rFonts w:eastAsiaTheme="minorHAnsi" w:cstheme="majorHAnsi"/>
          <w:szCs w:val="24"/>
          <w:lang w:eastAsia="en-US"/>
        </w:rPr>
      </w:pPr>
      <w:r w:rsidRPr="001D5327">
        <w:rPr>
          <w:rFonts w:eastAsiaTheme="minorHAnsi" w:cstheme="majorHAnsi"/>
          <w:spacing w:val="-2"/>
          <w:szCs w:val="24"/>
          <w:lang w:eastAsia="en-US"/>
        </w:rPr>
        <w:t>Municipal landfills employ a multi-phase FOD model consistent with the IPCC (2006a) Guidelines</w:t>
      </w:r>
      <w:r w:rsidRPr="001D5327">
        <w:rPr>
          <w:rFonts w:eastAsiaTheme="minorHAnsi" w:cstheme="majorHAnsi"/>
          <w:szCs w:val="24"/>
          <w:lang w:eastAsia="en-US"/>
        </w:rPr>
        <w:t>, using country-specific parameters.</w:t>
      </w:r>
    </w:p>
    <w:p w14:paraId="040C6656" w14:textId="77777777" w:rsidR="00BC0FD7" w:rsidRPr="001D5327" w:rsidRDefault="00BC0FD7" w:rsidP="00BC0FD7">
      <w:pPr>
        <w:pStyle w:val="BodyText"/>
        <w:spacing w:before="100" w:after="100"/>
      </w:pPr>
      <w:r w:rsidRPr="001D5327">
        <w:t>For each of the 27 landfill sites that had LFG recovery at any point, the multi-phase FOD model has been applied to estimate CH₄ emissions. This model incorporates site-specific data, such as waste placement volumes, decay rates (k-values) based on local climate conditions, and LFG recovery efficiency rates that reflect the landfill’s operational status (either open or closed). These 27 sites, still operational, account for approximately 90 per cent of the waste disposed at municipal landfills, as shown in table 7.2.3.</w:t>
      </w:r>
    </w:p>
    <w:p w14:paraId="6ABEB593" w14:textId="26AC0938" w:rsidR="00BC0FD7" w:rsidRPr="001D5327" w:rsidRDefault="00BC0FD7" w:rsidP="00BC0FD7">
      <w:pPr>
        <w:pStyle w:val="BodyText"/>
        <w:spacing w:before="100" w:after="100"/>
        <w:rPr>
          <w:spacing w:val="-2"/>
        </w:rPr>
      </w:pPr>
      <w:r w:rsidRPr="001D5327">
        <w:t>Municipal waste at sites outside of these 27 landfills is typically disposed of in smaller landfills</w:t>
      </w:r>
      <w:r w:rsidR="006F3FA1" w:rsidRPr="001D5327">
        <w:t xml:space="preserve"> </w:t>
      </w:r>
      <w:r w:rsidRPr="001D5327">
        <w:t>that have never had gas recovery systems. In 1990, more than 300 such sites existed, and by 2023, approximately 23 were still in operation. This number includes very small sites serving small and remote communities. The FOD model has also been applied to estimate the total CH</w:t>
      </w:r>
      <w:r w:rsidRPr="001D5327">
        <w:rPr>
          <w:vertAlign w:val="subscript"/>
        </w:rPr>
        <w:t>4</w:t>
      </w:r>
      <w:r w:rsidRPr="001D5327">
        <w:t xml:space="preserve"> emissions from these landfills as a whole, using the same approach as the sites with LFG </w:t>
      </w:r>
      <w:r w:rsidRPr="001D5327">
        <w:rPr>
          <w:spacing w:val="-2"/>
        </w:rPr>
        <w:t>recovery, except that all of these sites are assumed to have a wet climate and zero LFG recovery.</w:t>
      </w:r>
    </w:p>
    <w:p w14:paraId="3148BB6B" w14:textId="77777777" w:rsidR="00BC0FD7" w:rsidRPr="001D5327" w:rsidRDefault="00BC0FD7" w:rsidP="00BC0FD7">
      <w:pPr>
        <w:pStyle w:val="Heading5"/>
        <w:spacing w:before="180"/>
      </w:pPr>
      <w:bookmarkStart w:id="2828" w:name="X579238e0c28a6a45a0403081429b8235dd38f71"/>
      <w:bookmarkEnd w:id="2827"/>
      <w:r w:rsidRPr="001D5327">
        <w:t>Non-municipal landfills and farm fills (5.A.2)</w:t>
      </w:r>
    </w:p>
    <w:p w14:paraId="4E4ACABE" w14:textId="207A8C86" w:rsidR="00BC0FD7" w:rsidRPr="001D5327" w:rsidRDefault="00BC0FD7" w:rsidP="00BC0FD7">
      <w:pPr>
        <w:pStyle w:val="BodyText"/>
        <w:spacing w:before="100" w:after="100"/>
      </w:pPr>
      <w:r w:rsidRPr="001D5327">
        <w:t>Most non-municipal landfills and privately owned industrial landfills are permitted to receive inert materials, though some may also receive up to 5 per cent to 10 per cent green waste, depending on local resource consent conditions. Construction and demolition landfills and some industrial monofills may receive a wider range and/or a higher proportion of organic materials. Limited information is available regarding the historical management practices at</w:t>
      </w:r>
      <w:r w:rsidR="00EC0FF4" w:rsidRPr="001D5327">
        <w:t> </w:t>
      </w:r>
      <w:r w:rsidRPr="001D5327">
        <w:t>these sites. The FOD model has been applied to estimate total CH₄ emissions from non</w:t>
      </w:r>
      <w:r w:rsidR="00EC0FF4" w:rsidRPr="001D5327">
        <w:noBreakHyphen/>
      </w:r>
      <w:r w:rsidRPr="001D5327">
        <w:t>municipal landfills.</w:t>
      </w:r>
    </w:p>
    <w:p w14:paraId="2650B0D1" w14:textId="77777777" w:rsidR="00BC0FD7" w:rsidRPr="001D5327" w:rsidRDefault="00BC0FD7" w:rsidP="00BC0FD7">
      <w:pPr>
        <w:pStyle w:val="BodyText"/>
        <w:spacing w:before="100" w:after="100"/>
      </w:pPr>
      <w:r w:rsidRPr="001D5327">
        <w:t>For farm fills, the FOD model has been used to estimate CH₄ emissions based on the proportion of farm waste landfilled. Survey data on waste composition from dairy, livestock, arable and viticulture farms (GHD, 2013, 2014) were used to determine weighted average values for the degradable organic carbon (DOC) content of waste from these farming sectors. Data for viticulture and arable farms were used to estimate the DOC content for other horticultural farm types (GHD, 2013).</w:t>
      </w:r>
    </w:p>
    <w:bookmarkEnd w:id="2828"/>
    <w:p w14:paraId="009C1AF2" w14:textId="77777777" w:rsidR="00BC0FD7" w:rsidRPr="001D5327" w:rsidRDefault="00BC0FD7" w:rsidP="00BC0FD7">
      <w:pPr>
        <w:pStyle w:val="Heading4"/>
      </w:pPr>
      <w:r w:rsidRPr="001D5327">
        <w:lastRenderedPageBreak/>
        <w:t>Choice of emission factors and parameters</w:t>
      </w:r>
    </w:p>
    <w:p w14:paraId="7FC2614B" w14:textId="77777777" w:rsidR="00BC0FD7" w:rsidRPr="001D5327" w:rsidRDefault="00BC0FD7" w:rsidP="00BC0FD7">
      <w:pPr>
        <w:pStyle w:val="Heading5"/>
        <w:spacing w:before="200"/>
      </w:pPr>
      <w:bookmarkStart w:id="2829" w:name="municipal-landfills-5.a.1.a-1"/>
      <w:r w:rsidRPr="001D5327">
        <w:t>Municipal landfills (5.A.1.a)</w:t>
      </w:r>
    </w:p>
    <w:p w14:paraId="5F1B80F7" w14:textId="77777777" w:rsidR="00BC0FD7" w:rsidRPr="001D5327" w:rsidRDefault="00BC0FD7" w:rsidP="00BC0FD7">
      <w:pPr>
        <w:pStyle w:val="Heading6"/>
        <w:spacing w:before="200"/>
      </w:pPr>
      <w:bookmarkStart w:id="2830" w:name="waste-composition"/>
      <w:r w:rsidRPr="001D5327">
        <w:t>Waste composition</w:t>
      </w:r>
    </w:p>
    <w:p w14:paraId="3D2F7FBD" w14:textId="77777777" w:rsidR="00BC0FD7" w:rsidRPr="001D5327" w:rsidRDefault="00BC0FD7" w:rsidP="00BC0FD7">
      <w:pPr>
        <w:pStyle w:val="BodyText"/>
        <w:spacing w:before="100" w:after="100"/>
        <w:rPr>
          <w:lang w:eastAsia="en-US"/>
        </w:rPr>
      </w:pPr>
      <w:r w:rsidRPr="001D5327">
        <w:t>Many municipal landfills in New Zealand accept both commercial and industrial waste, in addition to household waste. However, there is insufficient data to determine the exact proportion of waste disposed of at municipal landfills that originates from commercial and industrial sources. While government regulations requiring disposal facility operators to report the source of waste they receive were agreed upon in 2023, these regulations came into effect in 2024, and the first full set of data will be available in 2025. Where composition surveys have been conducted at sites that accept commercial and industrial waste, these data have been incorporated into the overall waste composition estimates.</w:t>
      </w:r>
    </w:p>
    <w:p w14:paraId="624440BD" w14:textId="77777777" w:rsidR="00BC0FD7" w:rsidRPr="001D5327" w:rsidRDefault="00BC0FD7" w:rsidP="00BC0FD7">
      <w:pPr>
        <w:pStyle w:val="BodyText"/>
        <w:spacing w:before="100" w:after="100"/>
      </w:pPr>
      <w:r w:rsidRPr="001D5327">
        <w:t>Waste composition estimates have been derived from national surveys conducted in 1995 and 2004 (Ministry for the Environment, 1997; Waste Not Consulting, unpublished(a)). Further estimates have been made for the years 2006, 2008, 2012, 2016, 2018 to 2019 and 2021 to 2023, based on individual landfill surveys (Eunomia, unpublished(a), unpublished (d); MWH, 2017; Waste Not Consulting, unpublished(b), unpublished(c)). These surveys were conducted using the Solid Waste Analysis Protocol (Ministry for the Environment, 2002b), adapted to landfill type, to ensure consistent sampling and analysis methodologies. The 2018 surveys, conducted by territorial authorities at 18 disposal facilities and transfer stations, covered 66 per cent of the total waste disposed of at the surveyed municipal landfills that year.</w:t>
      </w:r>
    </w:p>
    <w:p w14:paraId="6F746CA5" w14:textId="77777777" w:rsidR="00BC0FD7" w:rsidRPr="001D5327" w:rsidRDefault="00BC0FD7" w:rsidP="00BC0FD7">
      <w:pPr>
        <w:pStyle w:val="BodyText"/>
        <w:spacing w:before="100" w:after="100"/>
      </w:pPr>
      <w:r w:rsidRPr="001D5327">
        <w:t>No reliable waste composition data are available for the period prior to 1995. For the years 1950 to 1994, the 1995 survey data were used, with adjustments made to account for the introduction of disposable nappies in the 1960s (Eunomia Research and Consulting and Waste Not Consulting, unpublished). Linear interpolation was applied for the years between survey years, and waste composition from 2018 onwards is assumed to be consistent with the 2018 data. Additional individual landfill surveys conducted after 2018 were used to refine the composition estimates, though the impact of these adjustments was minimal.</w:t>
      </w:r>
    </w:p>
    <w:p w14:paraId="6078FBE9" w14:textId="77777777" w:rsidR="00BC0FD7" w:rsidRPr="001D5327" w:rsidRDefault="00BC0FD7" w:rsidP="00BC0FD7">
      <w:pPr>
        <w:pStyle w:val="BodyText"/>
        <w:spacing w:before="100" w:after="100"/>
      </w:pPr>
      <w:r w:rsidRPr="001D5327">
        <w:t>Table 7.2.5 presents the estimated waste composition data for the period from 1950 to 2023, which have been applied to all municipal landfills.</w:t>
      </w:r>
    </w:p>
    <w:p w14:paraId="1C651128" w14:textId="77777777" w:rsidR="00BC0FD7" w:rsidRPr="001D5327" w:rsidRDefault="00BC0FD7" w:rsidP="00BC0FD7">
      <w:pPr>
        <w:pStyle w:val="Table"/>
      </w:pPr>
      <w:bookmarkStart w:id="2831" w:name="_Toc194241803"/>
      <w:r w:rsidRPr="001D5327">
        <w:t xml:space="preserve">Table 7.2.5 </w:t>
      </w:r>
      <w:r w:rsidRPr="001D5327">
        <w:tab/>
        <w:t>Estimated composition of waste disposed to municipal landfills, from 1950 to </w:t>
      </w:r>
      <w:r w:rsidRPr="001D5327">
        <w:rPr>
          <w:bCs/>
        </w:rPr>
        <w:t>2023</w:t>
      </w:r>
      <w:bookmarkEnd w:id="2831"/>
    </w:p>
    <w:tbl>
      <w:tblPr>
        <w:tblW w:w="8505" w:type="dxa"/>
        <w:tblBorders>
          <w:top w:val="single" w:sz="4" w:space="0" w:color="1B556B"/>
          <w:bottom w:val="single" w:sz="4" w:space="0" w:color="1B556B"/>
          <w:insideH w:val="single" w:sz="4" w:space="0" w:color="1B556B"/>
        </w:tblBorders>
        <w:tblLayout w:type="fixed"/>
        <w:tblCellMar>
          <w:left w:w="85" w:type="dxa"/>
          <w:right w:w="85" w:type="dxa"/>
        </w:tblCellMar>
        <w:tblLook w:val="0420" w:firstRow="1" w:lastRow="0" w:firstColumn="0" w:lastColumn="0" w:noHBand="0" w:noVBand="1"/>
      </w:tblPr>
      <w:tblGrid>
        <w:gridCol w:w="910"/>
        <w:gridCol w:w="626"/>
        <w:gridCol w:w="740"/>
        <w:gridCol w:w="683"/>
        <w:gridCol w:w="756"/>
        <w:gridCol w:w="819"/>
        <w:gridCol w:w="756"/>
        <w:gridCol w:w="756"/>
        <w:gridCol w:w="694"/>
        <w:gridCol w:w="1765"/>
      </w:tblGrid>
      <w:tr w:rsidR="00EC0FF4" w:rsidRPr="001D5327" w14:paraId="04A46A9E" w14:textId="77777777" w:rsidTr="00EC0FF4">
        <w:trPr>
          <w:tblHeader/>
        </w:trPr>
        <w:tc>
          <w:tcPr>
            <w:tcW w:w="907" w:type="dxa"/>
            <w:shd w:val="clear" w:color="auto" w:fill="1B556B"/>
            <w:tcMar>
              <w:top w:w="0" w:type="dxa"/>
              <w:left w:w="85" w:type="dxa"/>
              <w:bottom w:w="0" w:type="dxa"/>
              <w:right w:w="85" w:type="dxa"/>
            </w:tcMar>
            <w:vAlign w:val="bottom"/>
          </w:tcPr>
          <w:p w14:paraId="6C4FFA81" w14:textId="77777777" w:rsidR="00BC0FD7" w:rsidRPr="001D5327" w:rsidRDefault="00BC0FD7" w:rsidP="00D11AC9">
            <w:pPr>
              <w:pStyle w:val="TableText"/>
              <w:spacing w:before="30" w:after="30"/>
              <w:rPr>
                <w:b/>
                <w:bCs/>
                <w:color w:val="FFFFFF" w:themeColor="background1"/>
                <w:szCs w:val="16"/>
              </w:rPr>
            </w:pPr>
            <w:r w:rsidRPr="001D5327">
              <w:rPr>
                <w:rFonts w:eastAsia="Calibri"/>
                <w:b/>
                <w:bCs/>
                <w:color w:val="FFFFFF" w:themeColor="background1"/>
                <w:szCs w:val="16"/>
              </w:rPr>
              <w:t>Year</w:t>
            </w:r>
          </w:p>
        </w:tc>
        <w:tc>
          <w:tcPr>
            <w:tcW w:w="624" w:type="dxa"/>
            <w:shd w:val="clear" w:color="auto" w:fill="1B556B"/>
            <w:tcMar>
              <w:top w:w="0" w:type="dxa"/>
              <w:left w:w="85" w:type="dxa"/>
              <w:bottom w:w="0" w:type="dxa"/>
              <w:right w:w="85" w:type="dxa"/>
            </w:tcMar>
            <w:vAlign w:val="bottom"/>
          </w:tcPr>
          <w:p w14:paraId="534A11EF" w14:textId="77777777" w:rsidR="00BC0FD7" w:rsidRPr="001D5327" w:rsidRDefault="00BC0FD7" w:rsidP="00D11AC9">
            <w:pPr>
              <w:pStyle w:val="TableText"/>
              <w:spacing w:before="30" w:after="30"/>
              <w:jc w:val="right"/>
              <w:rPr>
                <w:b/>
                <w:bCs/>
                <w:color w:val="FFFFFF" w:themeColor="background1"/>
                <w:szCs w:val="16"/>
              </w:rPr>
            </w:pPr>
            <w:r w:rsidRPr="001D5327">
              <w:rPr>
                <w:rFonts w:eastAsia="Calibri"/>
                <w:b/>
                <w:bCs/>
                <w:color w:val="FFFFFF" w:themeColor="background1"/>
                <w:szCs w:val="16"/>
              </w:rPr>
              <w:t>Food (%)</w:t>
            </w:r>
          </w:p>
        </w:tc>
        <w:tc>
          <w:tcPr>
            <w:tcW w:w="737" w:type="dxa"/>
            <w:shd w:val="clear" w:color="auto" w:fill="1B556B"/>
            <w:tcMar>
              <w:top w:w="0" w:type="dxa"/>
              <w:left w:w="85" w:type="dxa"/>
              <w:bottom w:w="0" w:type="dxa"/>
              <w:right w:w="85" w:type="dxa"/>
            </w:tcMar>
            <w:vAlign w:val="bottom"/>
          </w:tcPr>
          <w:p w14:paraId="5B9EED64" w14:textId="77777777" w:rsidR="00BC0FD7" w:rsidRPr="001D5327" w:rsidRDefault="00BC0FD7" w:rsidP="00D11AC9">
            <w:pPr>
              <w:pStyle w:val="TableText"/>
              <w:spacing w:before="30" w:after="30"/>
              <w:jc w:val="right"/>
              <w:rPr>
                <w:b/>
                <w:bCs/>
                <w:color w:val="FFFFFF" w:themeColor="background1"/>
                <w:szCs w:val="16"/>
              </w:rPr>
            </w:pPr>
            <w:r w:rsidRPr="001D5327">
              <w:rPr>
                <w:rFonts w:eastAsia="Calibri"/>
                <w:b/>
                <w:bCs/>
                <w:color w:val="FFFFFF" w:themeColor="background1"/>
                <w:szCs w:val="16"/>
              </w:rPr>
              <w:t>Garden (%)</w:t>
            </w:r>
          </w:p>
        </w:tc>
        <w:tc>
          <w:tcPr>
            <w:tcW w:w="680" w:type="dxa"/>
            <w:shd w:val="clear" w:color="auto" w:fill="1B556B"/>
            <w:tcMar>
              <w:top w:w="0" w:type="dxa"/>
              <w:left w:w="85" w:type="dxa"/>
              <w:bottom w:w="0" w:type="dxa"/>
              <w:right w:w="85" w:type="dxa"/>
            </w:tcMar>
            <w:vAlign w:val="bottom"/>
          </w:tcPr>
          <w:p w14:paraId="7B0600EC" w14:textId="77777777" w:rsidR="00BC0FD7" w:rsidRPr="001D5327" w:rsidRDefault="00BC0FD7" w:rsidP="00D11AC9">
            <w:pPr>
              <w:pStyle w:val="TableText"/>
              <w:spacing w:before="30" w:after="30"/>
              <w:jc w:val="right"/>
              <w:rPr>
                <w:b/>
                <w:bCs/>
                <w:color w:val="FFFFFF" w:themeColor="background1"/>
                <w:szCs w:val="16"/>
              </w:rPr>
            </w:pPr>
            <w:r w:rsidRPr="001D5327">
              <w:rPr>
                <w:rFonts w:eastAsia="Calibri"/>
                <w:b/>
                <w:bCs/>
                <w:color w:val="FFFFFF" w:themeColor="background1"/>
                <w:szCs w:val="16"/>
              </w:rPr>
              <w:t>Paper (%)</w:t>
            </w:r>
          </w:p>
        </w:tc>
        <w:tc>
          <w:tcPr>
            <w:tcW w:w="753" w:type="dxa"/>
            <w:shd w:val="clear" w:color="auto" w:fill="1B556B"/>
            <w:tcMar>
              <w:top w:w="0" w:type="dxa"/>
              <w:left w:w="85" w:type="dxa"/>
              <w:bottom w:w="0" w:type="dxa"/>
              <w:right w:w="85" w:type="dxa"/>
            </w:tcMar>
            <w:vAlign w:val="bottom"/>
          </w:tcPr>
          <w:p w14:paraId="305E57A5" w14:textId="77777777" w:rsidR="00BC0FD7" w:rsidRPr="001D5327" w:rsidRDefault="00BC0FD7" w:rsidP="00D11AC9">
            <w:pPr>
              <w:pStyle w:val="TableText"/>
              <w:spacing w:before="30" w:after="30"/>
              <w:jc w:val="right"/>
              <w:rPr>
                <w:b/>
                <w:bCs/>
                <w:color w:val="FFFFFF" w:themeColor="background1"/>
                <w:szCs w:val="16"/>
              </w:rPr>
            </w:pPr>
            <w:r w:rsidRPr="001D5327">
              <w:rPr>
                <w:rFonts w:eastAsia="Calibri"/>
                <w:b/>
                <w:bCs/>
                <w:color w:val="FFFFFF" w:themeColor="background1"/>
                <w:szCs w:val="16"/>
              </w:rPr>
              <w:t>Wood (%)</w:t>
            </w:r>
          </w:p>
        </w:tc>
        <w:tc>
          <w:tcPr>
            <w:tcW w:w="816" w:type="dxa"/>
            <w:shd w:val="clear" w:color="auto" w:fill="1B556B"/>
            <w:tcMar>
              <w:top w:w="0" w:type="dxa"/>
              <w:left w:w="85" w:type="dxa"/>
              <w:bottom w:w="0" w:type="dxa"/>
              <w:right w:w="85" w:type="dxa"/>
            </w:tcMar>
            <w:vAlign w:val="bottom"/>
          </w:tcPr>
          <w:p w14:paraId="2E551CCD" w14:textId="77777777" w:rsidR="00BC0FD7" w:rsidRPr="001D5327" w:rsidRDefault="00BC0FD7" w:rsidP="00D11AC9">
            <w:pPr>
              <w:pStyle w:val="TableText"/>
              <w:spacing w:before="30" w:after="30"/>
              <w:jc w:val="right"/>
              <w:rPr>
                <w:b/>
                <w:bCs/>
                <w:color w:val="FFFFFF" w:themeColor="background1"/>
                <w:szCs w:val="16"/>
              </w:rPr>
            </w:pPr>
            <w:r w:rsidRPr="001D5327">
              <w:rPr>
                <w:rFonts w:eastAsia="Calibri"/>
                <w:b/>
                <w:bCs/>
                <w:color w:val="FFFFFF" w:themeColor="background1"/>
                <w:szCs w:val="16"/>
              </w:rPr>
              <w:t>Textile (%)</w:t>
            </w:r>
          </w:p>
        </w:tc>
        <w:tc>
          <w:tcPr>
            <w:tcW w:w="753" w:type="dxa"/>
            <w:shd w:val="clear" w:color="auto" w:fill="1B556B"/>
            <w:tcMar>
              <w:top w:w="0" w:type="dxa"/>
              <w:left w:w="85" w:type="dxa"/>
              <w:bottom w:w="0" w:type="dxa"/>
              <w:right w:w="85" w:type="dxa"/>
            </w:tcMar>
            <w:vAlign w:val="bottom"/>
          </w:tcPr>
          <w:p w14:paraId="123E9F5F" w14:textId="77777777" w:rsidR="00BC0FD7" w:rsidRPr="001D5327" w:rsidRDefault="00BC0FD7" w:rsidP="00D11AC9">
            <w:pPr>
              <w:pStyle w:val="TableText"/>
              <w:spacing w:before="30" w:after="30"/>
              <w:jc w:val="right"/>
              <w:rPr>
                <w:b/>
                <w:bCs/>
                <w:color w:val="FFFFFF" w:themeColor="background1"/>
                <w:szCs w:val="16"/>
              </w:rPr>
            </w:pPr>
            <w:r w:rsidRPr="001D5327">
              <w:rPr>
                <w:rFonts w:eastAsia="Calibri"/>
                <w:b/>
                <w:bCs/>
                <w:color w:val="FFFFFF" w:themeColor="background1"/>
                <w:szCs w:val="16"/>
              </w:rPr>
              <w:t>Nappies (%)</w:t>
            </w:r>
          </w:p>
        </w:tc>
        <w:tc>
          <w:tcPr>
            <w:tcW w:w="753" w:type="dxa"/>
            <w:shd w:val="clear" w:color="auto" w:fill="1B556B"/>
            <w:tcMar>
              <w:top w:w="0" w:type="dxa"/>
              <w:left w:w="85" w:type="dxa"/>
              <w:bottom w:w="0" w:type="dxa"/>
              <w:right w:w="85" w:type="dxa"/>
            </w:tcMar>
            <w:vAlign w:val="bottom"/>
          </w:tcPr>
          <w:p w14:paraId="0774AA26" w14:textId="77777777" w:rsidR="00BC0FD7" w:rsidRPr="001D5327" w:rsidRDefault="00BC0FD7" w:rsidP="00D11AC9">
            <w:pPr>
              <w:pStyle w:val="TableText"/>
              <w:spacing w:before="30" w:after="30"/>
              <w:jc w:val="right"/>
              <w:rPr>
                <w:b/>
                <w:bCs/>
                <w:color w:val="FFFFFF" w:themeColor="background1"/>
                <w:szCs w:val="16"/>
              </w:rPr>
            </w:pPr>
            <w:r w:rsidRPr="001D5327">
              <w:rPr>
                <w:rFonts w:eastAsia="Calibri"/>
                <w:b/>
                <w:bCs/>
                <w:color w:val="FFFFFF" w:themeColor="background1"/>
                <w:szCs w:val="16"/>
              </w:rPr>
              <w:t>Sludge (%)</w:t>
            </w:r>
          </w:p>
        </w:tc>
        <w:tc>
          <w:tcPr>
            <w:tcW w:w="691" w:type="dxa"/>
            <w:shd w:val="clear" w:color="auto" w:fill="1B556B"/>
            <w:tcMar>
              <w:top w:w="0" w:type="dxa"/>
              <w:left w:w="85" w:type="dxa"/>
              <w:bottom w:w="0" w:type="dxa"/>
              <w:right w:w="85" w:type="dxa"/>
            </w:tcMar>
            <w:vAlign w:val="bottom"/>
          </w:tcPr>
          <w:p w14:paraId="21B034D8" w14:textId="77777777" w:rsidR="00BC0FD7" w:rsidRPr="001D5327" w:rsidRDefault="00BC0FD7" w:rsidP="00D11AC9">
            <w:pPr>
              <w:pStyle w:val="TableText"/>
              <w:spacing w:before="30" w:after="30"/>
              <w:jc w:val="right"/>
              <w:rPr>
                <w:b/>
                <w:bCs/>
                <w:color w:val="FFFFFF" w:themeColor="background1"/>
                <w:szCs w:val="16"/>
              </w:rPr>
            </w:pPr>
            <w:r w:rsidRPr="001D5327">
              <w:rPr>
                <w:rFonts w:eastAsia="Calibri"/>
                <w:b/>
                <w:bCs/>
                <w:color w:val="FFFFFF" w:themeColor="background1"/>
                <w:szCs w:val="16"/>
              </w:rPr>
              <w:t>Inert (%)</w:t>
            </w:r>
          </w:p>
        </w:tc>
        <w:tc>
          <w:tcPr>
            <w:tcW w:w="1758" w:type="dxa"/>
            <w:shd w:val="clear" w:color="auto" w:fill="1B556B"/>
            <w:tcMar>
              <w:top w:w="0" w:type="dxa"/>
              <w:left w:w="85" w:type="dxa"/>
              <w:bottom w:w="0" w:type="dxa"/>
              <w:right w:w="85" w:type="dxa"/>
            </w:tcMar>
            <w:vAlign w:val="bottom"/>
          </w:tcPr>
          <w:p w14:paraId="7FE80F6B" w14:textId="77777777" w:rsidR="00BC0FD7" w:rsidRPr="001D5327" w:rsidRDefault="00BC0FD7" w:rsidP="00D11AC9">
            <w:pPr>
              <w:pStyle w:val="TableText"/>
              <w:spacing w:before="30" w:after="30"/>
              <w:rPr>
                <w:b/>
                <w:bCs/>
                <w:color w:val="FFFFFF" w:themeColor="background1"/>
                <w:szCs w:val="16"/>
              </w:rPr>
            </w:pPr>
            <w:r w:rsidRPr="001D5327">
              <w:rPr>
                <w:rFonts w:eastAsia="Calibri"/>
                <w:b/>
                <w:bCs/>
                <w:color w:val="FFFFFF" w:themeColor="background1"/>
                <w:szCs w:val="16"/>
              </w:rPr>
              <w:t>Notes</w:t>
            </w:r>
          </w:p>
        </w:tc>
      </w:tr>
      <w:tr w:rsidR="00EC0FF4" w:rsidRPr="001D5327" w14:paraId="7ECCD742" w14:textId="77777777" w:rsidTr="00EC0FF4">
        <w:tc>
          <w:tcPr>
            <w:tcW w:w="907" w:type="dxa"/>
            <w:shd w:val="clear" w:color="auto" w:fill="FFFFFF" w:themeFill="background1"/>
            <w:tcMar>
              <w:top w:w="0" w:type="dxa"/>
              <w:left w:w="85" w:type="dxa"/>
              <w:bottom w:w="0" w:type="dxa"/>
              <w:right w:w="85" w:type="dxa"/>
            </w:tcMar>
          </w:tcPr>
          <w:p w14:paraId="329AF4DC" w14:textId="77777777" w:rsidR="00BC0FD7" w:rsidRPr="001D5327" w:rsidRDefault="00BC0FD7" w:rsidP="00D11AC9">
            <w:pPr>
              <w:pStyle w:val="TableText"/>
              <w:spacing w:before="30" w:after="30"/>
              <w:rPr>
                <w:b/>
                <w:bCs/>
                <w:szCs w:val="16"/>
              </w:rPr>
            </w:pPr>
            <w:r w:rsidRPr="001D5327">
              <w:rPr>
                <w:rFonts w:eastAsia="Calibri"/>
                <w:b/>
                <w:bCs/>
                <w:color w:val="1B556B"/>
                <w:szCs w:val="16"/>
              </w:rPr>
              <w:t>1950–60</w:t>
            </w:r>
          </w:p>
        </w:tc>
        <w:tc>
          <w:tcPr>
            <w:tcW w:w="624" w:type="dxa"/>
            <w:shd w:val="clear" w:color="auto" w:fill="FFFFFF" w:themeFill="background1"/>
            <w:tcMar>
              <w:top w:w="0" w:type="dxa"/>
              <w:left w:w="85" w:type="dxa"/>
              <w:bottom w:w="0" w:type="dxa"/>
              <w:right w:w="85" w:type="dxa"/>
            </w:tcMar>
          </w:tcPr>
          <w:p w14:paraId="7DB05E01" w14:textId="77777777" w:rsidR="00BC0FD7" w:rsidRPr="001D5327" w:rsidRDefault="00BC0FD7" w:rsidP="00D11AC9">
            <w:pPr>
              <w:pStyle w:val="TableText"/>
              <w:spacing w:before="30" w:after="30"/>
              <w:jc w:val="right"/>
              <w:rPr>
                <w:szCs w:val="16"/>
              </w:rPr>
            </w:pPr>
            <w:r w:rsidRPr="001D5327">
              <w:rPr>
                <w:szCs w:val="16"/>
              </w:rPr>
              <w:t>17.2</w:t>
            </w:r>
          </w:p>
        </w:tc>
        <w:tc>
          <w:tcPr>
            <w:tcW w:w="737" w:type="dxa"/>
            <w:shd w:val="clear" w:color="auto" w:fill="FFFFFF" w:themeFill="background1"/>
            <w:tcMar>
              <w:top w:w="0" w:type="dxa"/>
              <w:left w:w="85" w:type="dxa"/>
              <w:bottom w:w="0" w:type="dxa"/>
              <w:right w:w="85" w:type="dxa"/>
            </w:tcMar>
          </w:tcPr>
          <w:p w14:paraId="72135481" w14:textId="77777777" w:rsidR="00BC0FD7" w:rsidRPr="001D5327" w:rsidRDefault="00BC0FD7" w:rsidP="00D11AC9">
            <w:pPr>
              <w:pStyle w:val="TableText"/>
              <w:spacing w:before="30" w:after="30"/>
              <w:jc w:val="right"/>
              <w:rPr>
                <w:szCs w:val="16"/>
              </w:rPr>
            </w:pPr>
            <w:r w:rsidRPr="001D5327">
              <w:rPr>
                <w:szCs w:val="16"/>
              </w:rPr>
              <w:t>11.0</w:t>
            </w:r>
          </w:p>
        </w:tc>
        <w:tc>
          <w:tcPr>
            <w:tcW w:w="680" w:type="dxa"/>
            <w:shd w:val="clear" w:color="auto" w:fill="FFFFFF" w:themeFill="background1"/>
            <w:tcMar>
              <w:top w:w="0" w:type="dxa"/>
              <w:left w:w="85" w:type="dxa"/>
              <w:bottom w:w="0" w:type="dxa"/>
              <w:right w:w="85" w:type="dxa"/>
            </w:tcMar>
          </w:tcPr>
          <w:p w14:paraId="6A9DDAB6" w14:textId="77777777" w:rsidR="00BC0FD7" w:rsidRPr="001D5327" w:rsidRDefault="00BC0FD7" w:rsidP="00D11AC9">
            <w:pPr>
              <w:pStyle w:val="TableText"/>
              <w:spacing w:before="30" w:after="30"/>
              <w:jc w:val="right"/>
              <w:rPr>
                <w:szCs w:val="16"/>
              </w:rPr>
            </w:pPr>
            <w:r w:rsidRPr="001D5327">
              <w:rPr>
                <w:szCs w:val="16"/>
              </w:rPr>
              <w:t>16.3</w:t>
            </w:r>
          </w:p>
        </w:tc>
        <w:tc>
          <w:tcPr>
            <w:tcW w:w="753" w:type="dxa"/>
            <w:shd w:val="clear" w:color="auto" w:fill="FFFFFF" w:themeFill="background1"/>
            <w:tcMar>
              <w:top w:w="0" w:type="dxa"/>
              <w:left w:w="85" w:type="dxa"/>
              <w:bottom w:w="0" w:type="dxa"/>
              <w:right w:w="85" w:type="dxa"/>
            </w:tcMar>
          </w:tcPr>
          <w:p w14:paraId="44DC7014" w14:textId="77777777" w:rsidR="00BC0FD7" w:rsidRPr="001D5327" w:rsidRDefault="00BC0FD7" w:rsidP="00D11AC9">
            <w:pPr>
              <w:pStyle w:val="TableText"/>
              <w:spacing w:before="30" w:after="30"/>
              <w:jc w:val="right"/>
              <w:rPr>
                <w:szCs w:val="16"/>
              </w:rPr>
            </w:pPr>
            <w:r w:rsidRPr="001D5327">
              <w:rPr>
                <w:szCs w:val="16"/>
              </w:rPr>
              <w:t>7.1</w:t>
            </w:r>
          </w:p>
        </w:tc>
        <w:tc>
          <w:tcPr>
            <w:tcW w:w="816" w:type="dxa"/>
            <w:shd w:val="clear" w:color="auto" w:fill="FFFFFF" w:themeFill="background1"/>
            <w:tcMar>
              <w:top w:w="0" w:type="dxa"/>
              <w:left w:w="85" w:type="dxa"/>
              <w:bottom w:w="0" w:type="dxa"/>
              <w:right w:w="85" w:type="dxa"/>
            </w:tcMar>
          </w:tcPr>
          <w:p w14:paraId="57C481B0" w14:textId="77777777" w:rsidR="00BC0FD7" w:rsidRPr="001D5327" w:rsidRDefault="00BC0FD7" w:rsidP="00D11AC9">
            <w:pPr>
              <w:pStyle w:val="TableText"/>
              <w:spacing w:before="30" w:after="30"/>
              <w:jc w:val="right"/>
              <w:rPr>
                <w:szCs w:val="16"/>
              </w:rPr>
            </w:pPr>
            <w:r w:rsidRPr="001D5327">
              <w:rPr>
                <w:szCs w:val="16"/>
              </w:rPr>
              <w:t>0.5</w:t>
            </w:r>
          </w:p>
        </w:tc>
        <w:tc>
          <w:tcPr>
            <w:tcW w:w="753" w:type="dxa"/>
            <w:shd w:val="clear" w:color="auto" w:fill="FFFFFF" w:themeFill="background1"/>
            <w:tcMar>
              <w:top w:w="0" w:type="dxa"/>
              <w:left w:w="85" w:type="dxa"/>
              <w:bottom w:w="0" w:type="dxa"/>
              <w:right w:w="85" w:type="dxa"/>
            </w:tcMar>
          </w:tcPr>
          <w:p w14:paraId="28B00F49" w14:textId="77777777" w:rsidR="00BC0FD7" w:rsidRPr="001D5327" w:rsidRDefault="00BC0FD7" w:rsidP="00D11AC9">
            <w:pPr>
              <w:pStyle w:val="TableText"/>
              <w:spacing w:before="30" w:after="30"/>
              <w:jc w:val="right"/>
              <w:rPr>
                <w:szCs w:val="16"/>
              </w:rPr>
            </w:pPr>
            <w:r w:rsidRPr="001D5327">
              <w:rPr>
                <w:szCs w:val="16"/>
              </w:rPr>
              <w:t>0.0</w:t>
            </w:r>
          </w:p>
        </w:tc>
        <w:tc>
          <w:tcPr>
            <w:tcW w:w="753" w:type="dxa"/>
            <w:shd w:val="clear" w:color="auto" w:fill="FFFFFF" w:themeFill="background1"/>
            <w:tcMar>
              <w:top w:w="0" w:type="dxa"/>
              <w:left w:w="85" w:type="dxa"/>
              <w:bottom w:w="0" w:type="dxa"/>
              <w:right w:w="85" w:type="dxa"/>
            </w:tcMar>
          </w:tcPr>
          <w:p w14:paraId="05472EE7" w14:textId="77777777" w:rsidR="00BC0FD7" w:rsidRPr="001D5327" w:rsidRDefault="00BC0FD7" w:rsidP="00D11AC9">
            <w:pPr>
              <w:pStyle w:val="TableText"/>
              <w:spacing w:before="30" w:after="30"/>
              <w:jc w:val="right"/>
              <w:rPr>
                <w:szCs w:val="16"/>
              </w:rPr>
            </w:pPr>
            <w:r w:rsidRPr="001D5327">
              <w:rPr>
                <w:szCs w:val="16"/>
              </w:rPr>
              <w:t>2.9</w:t>
            </w:r>
          </w:p>
        </w:tc>
        <w:tc>
          <w:tcPr>
            <w:tcW w:w="691" w:type="dxa"/>
            <w:shd w:val="clear" w:color="auto" w:fill="FFFFFF" w:themeFill="background1"/>
            <w:tcMar>
              <w:top w:w="0" w:type="dxa"/>
              <w:left w:w="85" w:type="dxa"/>
              <w:bottom w:w="0" w:type="dxa"/>
              <w:right w:w="85" w:type="dxa"/>
            </w:tcMar>
          </w:tcPr>
          <w:p w14:paraId="16DEFD0E" w14:textId="77777777" w:rsidR="00BC0FD7" w:rsidRPr="001D5327" w:rsidRDefault="00BC0FD7" w:rsidP="00D11AC9">
            <w:pPr>
              <w:pStyle w:val="TableText"/>
              <w:spacing w:before="30" w:after="30"/>
              <w:jc w:val="right"/>
              <w:rPr>
                <w:szCs w:val="16"/>
              </w:rPr>
            </w:pPr>
            <w:r w:rsidRPr="001D5327">
              <w:rPr>
                <w:szCs w:val="16"/>
              </w:rPr>
              <w:t>45.0</w:t>
            </w:r>
          </w:p>
        </w:tc>
        <w:tc>
          <w:tcPr>
            <w:tcW w:w="1758" w:type="dxa"/>
            <w:shd w:val="clear" w:color="auto" w:fill="FFFFFF" w:themeFill="background1"/>
            <w:tcMar>
              <w:top w:w="0" w:type="dxa"/>
              <w:left w:w="85" w:type="dxa"/>
              <w:bottom w:w="0" w:type="dxa"/>
              <w:right w:w="85" w:type="dxa"/>
            </w:tcMar>
          </w:tcPr>
          <w:p w14:paraId="039ED137" w14:textId="77777777" w:rsidR="00BC0FD7" w:rsidRPr="001D5327" w:rsidRDefault="00BC0FD7" w:rsidP="00D11AC9">
            <w:pPr>
              <w:pStyle w:val="TableText"/>
              <w:spacing w:before="30" w:after="30"/>
              <w:rPr>
                <w:szCs w:val="16"/>
              </w:rPr>
            </w:pPr>
            <w:r w:rsidRPr="001D5327">
              <w:rPr>
                <w:szCs w:val="16"/>
              </w:rPr>
              <w:t>No nappies</w:t>
            </w:r>
          </w:p>
        </w:tc>
      </w:tr>
      <w:tr w:rsidR="00EC0FF4" w:rsidRPr="001D5327" w14:paraId="43C94E2F" w14:textId="77777777" w:rsidTr="00EC0FF4">
        <w:tc>
          <w:tcPr>
            <w:tcW w:w="907" w:type="dxa"/>
            <w:shd w:val="clear" w:color="auto" w:fill="FFFFFF" w:themeFill="background1"/>
            <w:tcMar>
              <w:top w:w="0" w:type="dxa"/>
              <w:left w:w="85" w:type="dxa"/>
              <w:bottom w:w="0" w:type="dxa"/>
              <w:right w:w="85" w:type="dxa"/>
            </w:tcMar>
          </w:tcPr>
          <w:p w14:paraId="136B0C98" w14:textId="77777777" w:rsidR="00BC0FD7" w:rsidRPr="001D5327" w:rsidRDefault="00BC0FD7" w:rsidP="00D11AC9">
            <w:pPr>
              <w:pStyle w:val="TableText"/>
              <w:spacing w:before="30" w:after="30"/>
              <w:rPr>
                <w:b/>
                <w:bCs/>
                <w:szCs w:val="16"/>
              </w:rPr>
            </w:pPr>
            <w:r w:rsidRPr="001D5327">
              <w:rPr>
                <w:rFonts w:eastAsia="Calibri"/>
                <w:b/>
                <w:bCs/>
                <w:color w:val="1B556B"/>
                <w:szCs w:val="16"/>
              </w:rPr>
              <w:t>1961–69</w:t>
            </w:r>
          </w:p>
        </w:tc>
        <w:tc>
          <w:tcPr>
            <w:tcW w:w="624" w:type="dxa"/>
            <w:shd w:val="clear" w:color="auto" w:fill="FFFFFF" w:themeFill="background1"/>
            <w:tcMar>
              <w:top w:w="0" w:type="dxa"/>
              <w:left w:w="85" w:type="dxa"/>
              <w:bottom w:w="0" w:type="dxa"/>
              <w:right w:w="85" w:type="dxa"/>
            </w:tcMar>
          </w:tcPr>
          <w:p w14:paraId="0CCEE263" w14:textId="77777777" w:rsidR="00BC0FD7" w:rsidRPr="001D5327" w:rsidRDefault="00BC0FD7" w:rsidP="00D11AC9">
            <w:pPr>
              <w:pStyle w:val="TableText"/>
              <w:spacing w:before="30" w:after="30"/>
              <w:jc w:val="right"/>
              <w:rPr>
                <w:szCs w:val="16"/>
              </w:rPr>
            </w:pPr>
            <w:r w:rsidRPr="001D5327">
              <w:rPr>
                <w:szCs w:val="16"/>
              </w:rPr>
              <w:t>17.2</w:t>
            </w:r>
          </w:p>
        </w:tc>
        <w:tc>
          <w:tcPr>
            <w:tcW w:w="737" w:type="dxa"/>
            <w:shd w:val="clear" w:color="auto" w:fill="FFFFFF" w:themeFill="background1"/>
            <w:tcMar>
              <w:top w:w="0" w:type="dxa"/>
              <w:left w:w="85" w:type="dxa"/>
              <w:bottom w:w="0" w:type="dxa"/>
              <w:right w:w="85" w:type="dxa"/>
            </w:tcMar>
          </w:tcPr>
          <w:p w14:paraId="77CFA828" w14:textId="77777777" w:rsidR="00BC0FD7" w:rsidRPr="001D5327" w:rsidRDefault="00BC0FD7" w:rsidP="00D11AC9">
            <w:pPr>
              <w:pStyle w:val="TableText"/>
              <w:spacing w:before="30" w:after="30"/>
              <w:jc w:val="right"/>
              <w:rPr>
                <w:szCs w:val="16"/>
              </w:rPr>
            </w:pPr>
            <w:r w:rsidRPr="001D5327">
              <w:rPr>
                <w:szCs w:val="16"/>
              </w:rPr>
              <w:t>11.0</w:t>
            </w:r>
          </w:p>
        </w:tc>
        <w:tc>
          <w:tcPr>
            <w:tcW w:w="680" w:type="dxa"/>
            <w:shd w:val="clear" w:color="auto" w:fill="FFFFFF" w:themeFill="background1"/>
            <w:tcMar>
              <w:top w:w="0" w:type="dxa"/>
              <w:left w:w="85" w:type="dxa"/>
              <w:bottom w:w="0" w:type="dxa"/>
              <w:right w:w="85" w:type="dxa"/>
            </w:tcMar>
          </w:tcPr>
          <w:p w14:paraId="74730F92" w14:textId="77777777" w:rsidR="00BC0FD7" w:rsidRPr="001D5327" w:rsidRDefault="00BC0FD7" w:rsidP="00D11AC9">
            <w:pPr>
              <w:pStyle w:val="TableText"/>
              <w:spacing w:before="30" w:after="30"/>
              <w:jc w:val="right"/>
              <w:rPr>
                <w:szCs w:val="16"/>
              </w:rPr>
            </w:pPr>
            <w:r w:rsidRPr="001D5327">
              <w:rPr>
                <w:szCs w:val="16"/>
              </w:rPr>
              <w:t>16.3</w:t>
            </w:r>
          </w:p>
        </w:tc>
        <w:tc>
          <w:tcPr>
            <w:tcW w:w="753" w:type="dxa"/>
            <w:shd w:val="clear" w:color="auto" w:fill="FFFFFF" w:themeFill="background1"/>
            <w:tcMar>
              <w:top w:w="0" w:type="dxa"/>
              <w:left w:w="85" w:type="dxa"/>
              <w:bottom w:w="0" w:type="dxa"/>
              <w:right w:w="85" w:type="dxa"/>
            </w:tcMar>
          </w:tcPr>
          <w:p w14:paraId="7D295CC8" w14:textId="77777777" w:rsidR="00BC0FD7" w:rsidRPr="001D5327" w:rsidRDefault="00BC0FD7" w:rsidP="00D11AC9">
            <w:pPr>
              <w:pStyle w:val="TableText"/>
              <w:spacing w:before="30" w:after="30"/>
              <w:jc w:val="right"/>
              <w:rPr>
                <w:szCs w:val="16"/>
              </w:rPr>
            </w:pPr>
            <w:r w:rsidRPr="001D5327">
              <w:rPr>
                <w:szCs w:val="16"/>
              </w:rPr>
              <w:t>7.1</w:t>
            </w:r>
          </w:p>
        </w:tc>
        <w:tc>
          <w:tcPr>
            <w:tcW w:w="816" w:type="dxa"/>
            <w:shd w:val="clear" w:color="auto" w:fill="FFFFFF" w:themeFill="background1"/>
            <w:tcMar>
              <w:top w:w="0" w:type="dxa"/>
              <w:left w:w="85" w:type="dxa"/>
              <w:bottom w:w="0" w:type="dxa"/>
              <w:right w:w="85" w:type="dxa"/>
            </w:tcMar>
          </w:tcPr>
          <w:p w14:paraId="36D95187" w14:textId="77777777" w:rsidR="00BC0FD7" w:rsidRPr="001D5327" w:rsidRDefault="00BC0FD7" w:rsidP="00D11AC9">
            <w:pPr>
              <w:pStyle w:val="TableText"/>
              <w:spacing w:before="30" w:after="30"/>
              <w:jc w:val="right"/>
              <w:rPr>
                <w:szCs w:val="16"/>
              </w:rPr>
            </w:pPr>
            <w:r w:rsidRPr="001D5327">
              <w:rPr>
                <w:szCs w:val="16"/>
              </w:rPr>
              <w:t>0.5</w:t>
            </w:r>
          </w:p>
        </w:tc>
        <w:tc>
          <w:tcPr>
            <w:tcW w:w="753" w:type="dxa"/>
            <w:shd w:val="clear" w:color="auto" w:fill="FFFFFF" w:themeFill="background1"/>
            <w:tcMar>
              <w:top w:w="0" w:type="dxa"/>
              <w:left w:w="85" w:type="dxa"/>
              <w:bottom w:w="0" w:type="dxa"/>
              <w:right w:w="85" w:type="dxa"/>
            </w:tcMar>
          </w:tcPr>
          <w:p w14:paraId="4A197F09" w14:textId="77777777" w:rsidR="00BC0FD7" w:rsidRPr="001D5327" w:rsidRDefault="00BC0FD7" w:rsidP="00D11AC9">
            <w:pPr>
              <w:pStyle w:val="TableText"/>
              <w:spacing w:before="30" w:after="30"/>
              <w:jc w:val="right"/>
              <w:rPr>
                <w:szCs w:val="16"/>
              </w:rPr>
            </w:pPr>
            <w:r w:rsidRPr="001D5327">
              <w:rPr>
                <w:szCs w:val="16"/>
              </w:rPr>
              <w:t>1.0</w:t>
            </w:r>
          </w:p>
        </w:tc>
        <w:tc>
          <w:tcPr>
            <w:tcW w:w="753" w:type="dxa"/>
            <w:shd w:val="clear" w:color="auto" w:fill="FFFFFF" w:themeFill="background1"/>
            <w:tcMar>
              <w:top w:w="0" w:type="dxa"/>
              <w:left w:w="85" w:type="dxa"/>
              <w:bottom w:w="0" w:type="dxa"/>
              <w:right w:w="85" w:type="dxa"/>
            </w:tcMar>
          </w:tcPr>
          <w:p w14:paraId="4F2B51B0" w14:textId="77777777" w:rsidR="00BC0FD7" w:rsidRPr="001D5327" w:rsidRDefault="00BC0FD7" w:rsidP="00D11AC9">
            <w:pPr>
              <w:pStyle w:val="TableText"/>
              <w:spacing w:before="30" w:after="30"/>
              <w:jc w:val="right"/>
              <w:rPr>
                <w:szCs w:val="16"/>
              </w:rPr>
            </w:pPr>
            <w:r w:rsidRPr="001D5327">
              <w:rPr>
                <w:szCs w:val="16"/>
              </w:rPr>
              <w:t>2.9</w:t>
            </w:r>
          </w:p>
        </w:tc>
        <w:tc>
          <w:tcPr>
            <w:tcW w:w="691" w:type="dxa"/>
            <w:shd w:val="clear" w:color="auto" w:fill="FFFFFF" w:themeFill="background1"/>
            <w:tcMar>
              <w:top w:w="0" w:type="dxa"/>
              <w:left w:w="85" w:type="dxa"/>
              <w:bottom w:w="0" w:type="dxa"/>
              <w:right w:w="85" w:type="dxa"/>
            </w:tcMar>
          </w:tcPr>
          <w:p w14:paraId="4BE9A979" w14:textId="77777777" w:rsidR="00BC0FD7" w:rsidRPr="001D5327" w:rsidRDefault="00BC0FD7" w:rsidP="00D11AC9">
            <w:pPr>
              <w:pStyle w:val="TableText"/>
              <w:spacing w:before="30" w:after="30"/>
              <w:jc w:val="right"/>
              <w:rPr>
                <w:szCs w:val="16"/>
              </w:rPr>
            </w:pPr>
            <w:r w:rsidRPr="001D5327">
              <w:rPr>
                <w:szCs w:val="16"/>
              </w:rPr>
              <w:t>44.0</w:t>
            </w:r>
          </w:p>
        </w:tc>
        <w:tc>
          <w:tcPr>
            <w:tcW w:w="1758" w:type="dxa"/>
            <w:shd w:val="clear" w:color="auto" w:fill="FFFFFF" w:themeFill="background1"/>
            <w:tcMar>
              <w:top w:w="0" w:type="dxa"/>
              <w:left w:w="85" w:type="dxa"/>
              <w:bottom w:w="0" w:type="dxa"/>
              <w:right w:w="85" w:type="dxa"/>
            </w:tcMar>
          </w:tcPr>
          <w:p w14:paraId="5E176D4F" w14:textId="77777777" w:rsidR="00BC0FD7" w:rsidRPr="001D5327" w:rsidRDefault="00BC0FD7" w:rsidP="00D11AC9">
            <w:pPr>
              <w:pStyle w:val="TableText"/>
              <w:spacing w:before="30" w:after="30"/>
              <w:rPr>
                <w:szCs w:val="16"/>
              </w:rPr>
            </w:pPr>
            <w:r w:rsidRPr="001D5327">
              <w:rPr>
                <w:szCs w:val="16"/>
              </w:rPr>
              <w:t>Based on interpolation</w:t>
            </w:r>
          </w:p>
        </w:tc>
      </w:tr>
      <w:tr w:rsidR="00EC0FF4" w:rsidRPr="001D5327" w14:paraId="709BDADD" w14:textId="77777777" w:rsidTr="00EC0FF4">
        <w:tc>
          <w:tcPr>
            <w:tcW w:w="907" w:type="dxa"/>
            <w:shd w:val="clear" w:color="auto" w:fill="FFFFFF" w:themeFill="background1"/>
            <w:tcMar>
              <w:top w:w="0" w:type="dxa"/>
              <w:left w:w="85" w:type="dxa"/>
              <w:bottom w:w="0" w:type="dxa"/>
              <w:right w:w="85" w:type="dxa"/>
            </w:tcMar>
          </w:tcPr>
          <w:p w14:paraId="1CC93CCA" w14:textId="77777777" w:rsidR="00BC0FD7" w:rsidRPr="001D5327" w:rsidRDefault="00BC0FD7" w:rsidP="00D11AC9">
            <w:pPr>
              <w:pStyle w:val="TableText"/>
              <w:spacing w:before="30" w:after="30"/>
              <w:rPr>
                <w:b/>
                <w:bCs/>
                <w:szCs w:val="16"/>
              </w:rPr>
            </w:pPr>
            <w:r w:rsidRPr="001D5327">
              <w:rPr>
                <w:rFonts w:eastAsia="Calibri"/>
                <w:b/>
                <w:bCs/>
                <w:color w:val="1B556B"/>
                <w:szCs w:val="16"/>
              </w:rPr>
              <w:t>1970–79</w:t>
            </w:r>
          </w:p>
        </w:tc>
        <w:tc>
          <w:tcPr>
            <w:tcW w:w="624" w:type="dxa"/>
            <w:shd w:val="clear" w:color="auto" w:fill="FFFFFF" w:themeFill="background1"/>
            <w:tcMar>
              <w:top w:w="0" w:type="dxa"/>
              <w:left w:w="85" w:type="dxa"/>
              <w:bottom w:w="0" w:type="dxa"/>
              <w:right w:w="85" w:type="dxa"/>
            </w:tcMar>
          </w:tcPr>
          <w:p w14:paraId="6F2DD172" w14:textId="77777777" w:rsidR="00BC0FD7" w:rsidRPr="001D5327" w:rsidRDefault="00BC0FD7" w:rsidP="00D11AC9">
            <w:pPr>
              <w:pStyle w:val="TableText"/>
              <w:spacing w:before="30" w:after="30"/>
              <w:jc w:val="right"/>
              <w:rPr>
                <w:szCs w:val="16"/>
              </w:rPr>
            </w:pPr>
            <w:r w:rsidRPr="001D5327">
              <w:rPr>
                <w:szCs w:val="16"/>
              </w:rPr>
              <w:t>17.2</w:t>
            </w:r>
          </w:p>
        </w:tc>
        <w:tc>
          <w:tcPr>
            <w:tcW w:w="737" w:type="dxa"/>
            <w:shd w:val="clear" w:color="auto" w:fill="FFFFFF" w:themeFill="background1"/>
            <w:tcMar>
              <w:top w:w="0" w:type="dxa"/>
              <w:left w:w="85" w:type="dxa"/>
              <w:bottom w:w="0" w:type="dxa"/>
              <w:right w:w="85" w:type="dxa"/>
            </w:tcMar>
          </w:tcPr>
          <w:p w14:paraId="4BC8E7DE" w14:textId="77777777" w:rsidR="00BC0FD7" w:rsidRPr="001D5327" w:rsidRDefault="00BC0FD7" w:rsidP="00D11AC9">
            <w:pPr>
              <w:pStyle w:val="TableText"/>
              <w:spacing w:before="30" w:after="30"/>
              <w:jc w:val="right"/>
              <w:rPr>
                <w:szCs w:val="16"/>
              </w:rPr>
            </w:pPr>
            <w:r w:rsidRPr="001D5327">
              <w:rPr>
                <w:szCs w:val="16"/>
              </w:rPr>
              <w:t>11.0</w:t>
            </w:r>
          </w:p>
        </w:tc>
        <w:tc>
          <w:tcPr>
            <w:tcW w:w="680" w:type="dxa"/>
            <w:shd w:val="clear" w:color="auto" w:fill="FFFFFF" w:themeFill="background1"/>
            <w:tcMar>
              <w:top w:w="0" w:type="dxa"/>
              <w:left w:w="85" w:type="dxa"/>
              <w:bottom w:w="0" w:type="dxa"/>
              <w:right w:w="85" w:type="dxa"/>
            </w:tcMar>
          </w:tcPr>
          <w:p w14:paraId="75740763" w14:textId="77777777" w:rsidR="00BC0FD7" w:rsidRPr="001D5327" w:rsidRDefault="00BC0FD7" w:rsidP="00D11AC9">
            <w:pPr>
              <w:pStyle w:val="TableText"/>
              <w:spacing w:before="30" w:after="30"/>
              <w:jc w:val="right"/>
              <w:rPr>
                <w:szCs w:val="16"/>
              </w:rPr>
            </w:pPr>
            <w:r w:rsidRPr="001D5327">
              <w:rPr>
                <w:szCs w:val="16"/>
              </w:rPr>
              <w:t>16.3</w:t>
            </w:r>
          </w:p>
        </w:tc>
        <w:tc>
          <w:tcPr>
            <w:tcW w:w="753" w:type="dxa"/>
            <w:shd w:val="clear" w:color="auto" w:fill="FFFFFF" w:themeFill="background1"/>
            <w:tcMar>
              <w:top w:w="0" w:type="dxa"/>
              <w:left w:w="85" w:type="dxa"/>
              <w:bottom w:w="0" w:type="dxa"/>
              <w:right w:w="85" w:type="dxa"/>
            </w:tcMar>
          </w:tcPr>
          <w:p w14:paraId="7F4C55B3" w14:textId="77777777" w:rsidR="00BC0FD7" w:rsidRPr="001D5327" w:rsidRDefault="00BC0FD7" w:rsidP="00D11AC9">
            <w:pPr>
              <w:pStyle w:val="TableText"/>
              <w:spacing w:before="30" w:after="30"/>
              <w:jc w:val="right"/>
              <w:rPr>
                <w:szCs w:val="16"/>
              </w:rPr>
            </w:pPr>
            <w:r w:rsidRPr="001D5327">
              <w:rPr>
                <w:szCs w:val="16"/>
              </w:rPr>
              <w:t>7.1</w:t>
            </w:r>
          </w:p>
        </w:tc>
        <w:tc>
          <w:tcPr>
            <w:tcW w:w="816" w:type="dxa"/>
            <w:shd w:val="clear" w:color="auto" w:fill="FFFFFF" w:themeFill="background1"/>
            <w:tcMar>
              <w:top w:w="0" w:type="dxa"/>
              <w:left w:w="85" w:type="dxa"/>
              <w:bottom w:w="0" w:type="dxa"/>
              <w:right w:w="85" w:type="dxa"/>
            </w:tcMar>
          </w:tcPr>
          <w:p w14:paraId="2E80B43B" w14:textId="77777777" w:rsidR="00BC0FD7" w:rsidRPr="001D5327" w:rsidRDefault="00BC0FD7" w:rsidP="00D11AC9">
            <w:pPr>
              <w:pStyle w:val="TableText"/>
              <w:spacing w:before="30" w:after="30"/>
              <w:jc w:val="right"/>
              <w:rPr>
                <w:szCs w:val="16"/>
              </w:rPr>
            </w:pPr>
            <w:r w:rsidRPr="001D5327">
              <w:rPr>
                <w:szCs w:val="16"/>
              </w:rPr>
              <w:t>0.5</w:t>
            </w:r>
          </w:p>
        </w:tc>
        <w:tc>
          <w:tcPr>
            <w:tcW w:w="753" w:type="dxa"/>
            <w:shd w:val="clear" w:color="auto" w:fill="FFFFFF" w:themeFill="background1"/>
            <w:tcMar>
              <w:top w:w="0" w:type="dxa"/>
              <w:left w:w="85" w:type="dxa"/>
              <w:bottom w:w="0" w:type="dxa"/>
              <w:right w:w="85" w:type="dxa"/>
            </w:tcMar>
          </w:tcPr>
          <w:p w14:paraId="1A8F0D2F" w14:textId="77777777" w:rsidR="00BC0FD7" w:rsidRPr="001D5327" w:rsidRDefault="00BC0FD7" w:rsidP="00D11AC9">
            <w:pPr>
              <w:pStyle w:val="TableText"/>
              <w:spacing w:before="30" w:after="30"/>
              <w:jc w:val="right"/>
              <w:rPr>
                <w:szCs w:val="16"/>
              </w:rPr>
            </w:pPr>
            <w:r w:rsidRPr="001D5327">
              <w:rPr>
                <w:szCs w:val="16"/>
              </w:rPr>
              <w:t>2.0</w:t>
            </w:r>
          </w:p>
        </w:tc>
        <w:tc>
          <w:tcPr>
            <w:tcW w:w="753" w:type="dxa"/>
            <w:shd w:val="clear" w:color="auto" w:fill="FFFFFF" w:themeFill="background1"/>
            <w:tcMar>
              <w:top w:w="0" w:type="dxa"/>
              <w:left w:w="85" w:type="dxa"/>
              <w:bottom w:w="0" w:type="dxa"/>
              <w:right w:w="85" w:type="dxa"/>
            </w:tcMar>
          </w:tcPr>
          <w:p w14:paraId="7CF97E11" w14:textId="77777777" w:rsidR="00BC0FD7" w:rsidRPr="001D5327" w:rsidRDefault="00BC0FD7" w:rsidP="00D11AC9">
            <w:pPr>
              <w:pStyle w:val="TableText"/>
              <w:spacing w:before="30" w:after="30"/>
              <w:jc w:val="right"/>
              <w:rPr>
                <w:szCs w:val="16"/>
              </w:rPr>
            </w:pPr>
            <w:r w:rsidRPr="001D5327">
              <w:rPr>
                <w:szCs w:val="16"/>
              </w:rPr>
              <w:t>2.9</w:t>
            </w:r>
          </w:p>
        </w:tc>
        <w:tc>
          <w:tcPr>
            <w:tcW w:w="691" w:type="dxa"/>
            <w:shd w:val="clear" w:color="auto" w:fill="FFFFFF" w:themeFill="background1"/>
            <w:tcMar>
              <w:top w:w="0" w:type="dxa"/>
              <w:left w:w="85" w:type="dxa"/>
              <w:bottom w:w="0" w:type="dxa"/>
              <w:right w:w="85" w:type="dxa"/>
            </w:tcMar>
          </w:tcPr>
          <w:p w14:paraId="0A6642A6" w14:textId="77777777" w:rsidR="00BC0FD7" w:rsidRPr="001D5327" w:rsidRDefault="00BC0FD7" w:rsidP="00D11AC9">
            <w:pPr>
              <w:pStyle w:val="TableText"/>
              <w:spacing w:before="30" w:after="30"/>
              <w:jc w:val="right"/>
              <w:rPr>
                <w:szCs w:val="16"/>
              </w:rPr>
            </w:pPr>
            <w:r w:rsidRPr="001D5327">
              <w:rPr>
                <w:szCs w:val="16"/>
              </w:rPr>
              <w:t>43.0</w:t>
            </w:r>
          </w:p>
        </w:tc>
        <w:tc>
          <w:tcPr>
            <w:tcW w:w="1758" w:type="dxa"/>
            <w:shd w:val="clear" w:color="auto" w:fill="FFFFFF" w:themeFill="background1"/>
            <w:tcMar>
              <w:top w:w="0" w:type="dxa"/>
              <w:left w:w="85" w:type="dxa"/>
              <w:bottom w:w="0" w:type="dxa"/>
              <w:right w:w="85" w:type="dxa"/>
            </w:tcMar>
          </w:tcPr>
          <w:p w14:paraId="10178026" w14:textId="77777777" w:rsidR="00BC0FD7" w:rsidRPr="001D5327" w:rsidRDefault="00BC0FD7" w:rsidP="00D11AC9">
            <w:pPr>
              <w:pStyle w:val="TableText"/>
              <w:spacing w:before="30" w:after="30"/>
              <w:rPr>
                <w:szCs w:val="16"/>
              </w:rPr>
            </w:pPr>
            <w:r w:rsidRPr="001D5327">
              <w:rPr>
                <w:szCs w:val="16"/>
              </w:rPr>
              <w:t>Interpolation</w:t>
            </w:r>
          </w:p>
        </w:tc>
      </w:tr>
      <w:tr w:rsidR="00EC0FF4" w:rsidRPr="001D5327" w14:paraId="0A10E55A" w14:textId="77777777" w:rsidTr="00EC0FF4">
        <w:tc>
          <w:tcPr>
            <w:tcW w:w="907" w:type="dxa"/>
            <w:shd w:val="clear" w:color="auto" w:fill="FFFFFF" w:themeFill="background1"/>
            <w:tcMar>
              <w:top w:w="0" w:type="dxa"/>
              <w:left w:w="85" w:type="dxa"/>
              <w:bottom w:w="0" w:type="dxa"/>
              <w:right w:w="85" w:type="dxa"/>
            </w:tcMar>
          </w:tcPr>
          <w:p w14:paraId="26283ECE" w14:textId="77777777" w:rsidR="00BC0FD7" w:rsidRPr="001D5327" w:rsidRDefault="00BC0FD7" w:rsidP="00D11AC9">
            <w:pPr>
              <w:pStyle w:val="TableText"/>
              <w:spacing w:before="30" w:after="30"/>
              <w:rPr>
                <w:b/>
                <w:bCs/>
                <w:szCs w:val="16"/>
              </w:rPr>
            </w:pPr>
            <w:r w:rsidRPr="001D5327">
              <w:rPr>
                <w:rFonts w:eastAsia="Calibri"/>
                <w:b/>
                <w:bCs/>
                <w:color w:val="1B556B"/>
                <w:szCs w:val="16"/>
              </w:rPr>
              <w:t>1980–94</w:t>
            </w:r>
          </w:p>
        </w:tc>
        <w:tc>
          <w:tcPr>
            <w:tcW w:w="624" w:type="dxa"/>
            <w:shd w:val="clear" w:color="auto" w:fill="FFFFFF" w:themeFill="background1"/>
            <w:tcMar>
              <w:top w:w="0" w:type="dxa"/>
              <w:left w:w="85" w:type="dxa"/>
              <w:bottom w:w="0" w:type="dxa"/>
              <w:right w:w="85" w:type="dxa"/>
            </w:tcMar>
          </w:tcPr>
          <w:p w14:paraId="70FE3BAD" w14:textId="77777777" w:rsidR="00BC0FD7" w:rsidRPr="001D5327" w:rsidRDefault="00BC0FD7" w:rsidP="00D11AC9">
            <w:pPr>
              <w:pStyle w:val="TableText"/>
              <w:spacing w:before="30" w:after="30"/>
              <w:jc w:val="right"/>
              <w:rPr>
                <w:szCs w:val="16"/>
              </w:rPr>
            </w:pPr>
            <w:r w:rsidRPr="001D5327">
              <w:rPr>
                <w:szCs w:val="16"/>
              </w:rPr>
              <w:t>17.2</w:t>
            </w:r>
          </w:p>
        </w:tc>
        <w:tc>
          <w:tcPr>
            <w:tcW w:w="737" w:type="dxa"/>
            <w:shd w:val="clear" w:color="auto" w:fill="FFFFFF" w:themeFill="background1"/>
            <w:tcMar>
              <w:top w:w="0" w:type="dxa"/>
              <w:left w:w="85" w:type="dxa"/>
              <w:bottom w:w="0" w:type="dxa"/>
              <w:right w:w="85" w:type="dxa"/>
            </w:tcMar>
          </w:tcPr>
          <w:p w14:paraId="644449B1" w14:textId="77777777" w:rsidR="00BC0FD7" w:rsidRPr="001D5327" w:rsidRDefault="00BC0FD7" w:rsidP="00D11AC9">
            <w:pPr>
              <w:pStyle w:val="TableText"/>
              <w:spacing w:before="30" w:after="30"/>
              <w:jc w:val="right"/>
              <w:rPr>
                <w:szCs w:val="16"/>
              </w:rPr>
            </w:pPr>
            <w:r w:rsidRPr="001D5327">
              <w:rPr>
                <w:szCs w:val="16"/>
              </w:rPr>
              <w:t>11.0</w:t>
            </w:r>
          </w:p>
        </w:tc>
        <w:tc>
          <w:tcPr>
            <w:tcW w:w="680" w:type="dxa"/>
            <w:shd w:val="clear" w:color="auto" w:fill="FFFFFF" w:themeFill="background1"/>
            <w:tcMar>
              <w:top w:w="0" w:type="dxa"/>
              <w:left w:w="85" w:type="dxa"/>
              <w:bottom w:w="0" w:type="dxa"/>
              <w:right w:w="85" w:type="dxa"/>
            </w:tcMar>
          </w:tcPr>
          <w:p w14:paraId="2ACBF03B" w14:textId="77777777" w:rsidR="00BC0FD7" w:rsidRPr="001D5327" w:rsidRDefault="00BC0FD7" w:rsidP="00D11AC9">
            <w:pPr>
              <w:pStyle w:val="TableText"/>
              <w:spacing w:before="30" w:after="30"/>
              <w:jc w:val="right"/>
              <w:rPr>
                <w:szCs w:val="16"/>
              </w:rPr>
            </w:pPr>
            <w:r w:rsidRPr="001D5327">
              <w:rPr>
                <w:szCs w:val="16"/>
              </w:rPr>
              <w:t>16.3</w:t>
            </w:r>
          </w:p>
        </w:tc>
        <w:tc>
          <w:tcPr>
            <w:tcW w:w="753" w:type="dxa"/>
            <w:shd w:val="clear" w:color="auto" w:fill="FFFFFF" w:themeFill="background1"/>
            <w:tcMar>
              <w:top w:w="0" w:type="dxa"/>
              <w:left w:w="85" w:type="dxa"/>
              <w:bottom w:w="0" w:type="dxa"/>
              <w:right w:w="85" w:type="dxa"/>
            </w:tcMar>
          </w:tcPr>
          <w:p w14:paraId="6CCBD49B" w14:textId="77777777" w:rsidR="00BC0FD7" w:rsidRPr="001D5327" w:rsidRDefault="00BC0FD7" w:rsidP="00D11AC9">
            <w:pPr>
              <w:pStyle w:val="TableText"/>
              <w:spacing w:before="30" w:after="30"/>
              <w:jc w:val="right"/>
              <w:rPr>
                <w:szCs w:val="16"/>
              </w:rPr>
            </w:pPr>
            <w:r w:rsidRPr="001D5327">
              <w:rPr>
                <w:szCs w:val="16"/>
              </w:rPr>
              <w:t>7.1</w:t>
            </w:r>
          </w:p>
        </w:tc>
        <w:tc>
          <w:tcPr>
            <w:tcW w:w="816" w:type="dxa"/>
            <w:shd w:val="clear" w:color="auto" w:fill="FFFFFF" w:themeFill="background1"/>
            <w:tcMar>
              <w:top w:w="0" w:type="dxa"/>
              <w:left w:w="85" w:type="dxa"/>
              <w:bottom w:w="0" w:type="dxa"/>
              <w:right w:w="85" w:type="dxa"/>
            </w:tcMar>
          </w:tcPr>
          <w:p w14:paraId="62A841F5" w14:textId="77777777" w:rsidR="00BC0FD7" w:rsidRPr="001D5327" w:rsidRDefault="00BC0FD7" w:rsidP="00D11AC9">
            <w:pPr>
              <w:pStyle w:val="TableText"/>
              <w:spacing w:before="30" w:after="30"/>
              <w:jc w:val="right"/>
              <w:rPr>
                <w:szCs w:val="16"/>
              </w:rPr>
            </w:pPr>
            <w:r w:rsidRPr="001D5327">
              <w:rPr>
                <w:szCs w:val="16"/>
              </w:rPr>
              <w:t>0.5</w:t>
            </w:r>
          </w:p>
        </w:tc>
        <w:tc>
          <w:tcPr>
            <w:tcW w:w="753" w:type="dxa"/>
            <w:shd w:val="clear" w:color="auto" w:fill="FFFFFF" w:themeFill="background1"/>
            <w:tcMar>
              <w:top w:w="0" w:type="dxa"/>
              <w:left w:w="85" w:type="dxa"/>
              <w:bottom w:w="0" w:type="dxa"/>
              <w:right w:w="85" w:type="dxa"/>
            </w:tcMar>
          </w:tcPr>
          <w:p w14:paraId="6BF73363" w14:textId="77777777" w:rsidR="00BC0FD7" w:rsidRPr="001D5327" w:rsidRDefault="00BC0FD7" w:rsidP="00D11AC9">
            <w:pPr>
              <w:pStyle w:val="TableText"/>
              <w:spacing w:before="30" w:after="30"/>
              <w:jc w:val="right"/>
              <w:rPr>
                <w:szCs w:val="16"/>
              </w:rPr>
            </w:pPr>
            <w:r w:rsidRPr="001D5327">
              <w:rPr>
                <w:szCs w:val="16"/>
              </w:rPr>
              <w:t>2.7</w:t>
            </w:r>
          </w:p>
        </w:tc>
        <w:tc>
          <w:tcPr>
            <w:tcW w:w="753" w:type="dxa"/>
            <w:shd w:val="clear" w:color="auto" w:fill="FFFFFF" w:themeFill="background1"/>
            <w:tcMar>
              <w:top w:w="0" w:type="dxa"/>
              <w:left w:w="85" w:type="dxa"/>
              <w:bottom w:w="0" w:type="dxa"/>
              <w:right w:w="85" w:type="dxa"/>
            </w:tcMar>
          </w:tcPr>
          <w:p w14:paraId="057B3F93" w14:textId="77777777" w:rsidR="00BC0FD7" w:rsidRPr="001D5327" w:rsidRDefault="00BC0FD7" w:rsidP="00D11AC9">
            <w:pPr>
              <w:pStyle w:val="TableText"/>
              <w:spacing w:before="30" w:after="30"/>
              <w:jc w:val="right"/>
              <w:rPr>
                <w:szCs w:val="16"/>
              </w:rPr>
            </w:pPr>
            <w:r w:rsidRPr="001D5327">
              <w:rPr>
                <w:szCs w:val="16"/>
              </w:rPr>
              <w:t>2.9</w:t>
            </w:r>
          </w:p>
        </w:tc>
        <w:tc>
          <w:tcPr>
            <w:tcW w:w="691" w:type="dxa"/>
            <w:shd w:val="clear" w:color="auto" w:fill="FFFFFF" w:themeFill="background1"/>
            <w:tcMar>
              <w:top w:w="0" w:type="dxa"/>
              <w:left w:w="85" w:type="dxa"/>
              <w:bottom w:w="0" w:type="dxa"/>
              <w:right w:w="85" w:type="dxa"/>
            </w:tcMar>
          </w:tcPr>
          <w:p w14:paraId="64429F60" w14:textId="77777777" w:rsidR="00BC0FD7" w:rsidRPr="001D5327" w:rsidRDefault="00BC0FD7" w:rsidP="00D11AC9">
            <w:pPr>
              <w:pStyle w:val="TableText"/>
              <w:spacing w:before="30" w:after="30"/>
              <w:jc w:val="right"/>
              <w:rPr>
                <w:szCs w:val="16"/>
              </w:rPr>
            </w:pPr>
            <w:r w:rsidRPr="001D5327">
              <w:rPr>
                <w:szCs w:val="16"/>
              </w:rPr>
              <w:t>42.3</w:t>
            </w:r>
          </w:p>
        </w:tc>
        <w:tc>
          <w:tcPr>
            <w:tcW w:w="1758" w:type="dxa"/>
            <w:shd w:val="clear" w:color="auto" w:fill="FFFFFF" w:themeFill="background1"/>
            <w:tcMar>
              <w:top w:w="0" w:type="dxa"/>
              <w:left w:w="85" w:type="dxa"/>
              <w:bottom w:w="0" w:type="dxa"/>
              <w:right w:w="85" w:type="dxa"/>
            </w:tcMar>
          </w:tcPr>
          <w:p w14:paraId="6AE90FD2" w14:textId="77777777" w:rsidR="00BC0FD7" w:rsidRPr="001D5327" w:rsidRDefault="00BC0FD7" w:rsidP="00D11AC9">
            <w:pPr>
              <w:pStyle w:val="TableText"/>
              <w:spacing w:before="30" w:after="30"/>
              <w:rPr>
                <w:szCs w:val="16"/>
              </w:rPr>
            </w:pPr>
            <w:r w:rsidRPr="001D5327">
              <w:rPr>
                <w:szCs w:val="16"/>
              </w:rPr>
              <w:t>As for 1995</w:t>
            </w:r>
          </w:p>
        </w:tc>
      </w:tr>
      <w:tr w:rsidR="00EC0FF4" w:rsidRPr="001D5327" w14:paraId="3EF71FFC" w14:textId="77777777" w:rsidTr="00EC0FF4">
        <w:tc>
          <w:tcPr>
            <w:tcW w:w="907" w:type="dxa"/>
            <w:shd w:val="clear" w:color="auto" w:fill="FFFFFF" w:themeFill="background1"/>
            <w:tcMar>
              <w:top w:w="0" w:type="dxa"/>
              <w:left w:w="85" w:type="dxa"/>
              <w:bottom w:w="0" w:type="dxa"/>
              <w:right w:w="85" w:type="dxa"/>
            </w:tcMar>
          </w:tcPr>
          <w:p w14:paraId="453B5D20" w14:textId="42A993E8" w:rsidR="00BC0FD7" w:rsidRPr="001D5327" w:rsidRDefault="00BC0FD7" w:rsidP="00D11AC9">
            <w:pPr>
              <w:pStyle w:val="TableText"/>
              <w:spacing w:before="30" w:after="30"/>
              <w:rPr>
                <w:b/>
                <w:bCs/>
                <w:szCs w:val="16"/>
              </w:rPr>
            </w:pPr>
            <w:r w:rsidRPr="001D5327">
              <w:rPr>
                <w:rFonts w:eastAsia="Calibri"/>
                <w:b/>
                <w:bCs/>
                <w:color w:val="1B556B"/>
                <w:szCs w:val="16"/>
              </w:rPr>
              <w:t>1995–</w:t>
            </w:r>
            <w:r w:rsidR="00EC0FF4" w:rsidRPr="001D5327">
              <w:rPr>
                <w:rFonts w:eastAsia="Calibri"/>
                <w:b/>
                <w:bCs/>
                <w:color w:val="1B556B"/>
                <w:szCs w:val="16"/>
              </w:rPr>
              <w:t>20</w:t>
            </w:r>
            <w:r w:rsidRPr="001D5327">
              <w:rPr>
                <w:rFonts w:eastAsia="Calibri"/>
                <w:b/>
                <w:bCs/>
                <w:color w:val="1B556B"/>
                <w:szCs w:val="16"/>
              </w:rPr>
              <w:t>03</w:t>
            </w:r>
          </w:p>
        </w:tc>
        <w:tc>
          <w:tcPr>
            <w:tcW w:w="624" w:type="dxa"/>
            <w:shd w:val="clear" w:color="auto" w:fill="FFFFFF" w:themeFill="background1"/>
            <w:tcMar>
              <w:top w:w="0" w:type="dxa"/>
              <w:left w:w="85" w:type="dxa"/>
              <w:bottom w:w="0" w:type="dxa"/>
              <w:right w:w="85" w:type="dxa"/>
            </w:tcMar>
          </w:tcPr>
          <w:p w14:paraId="11706DA5" w14:textId="77777777" w:rsidR="00BC0FD7" w:rsidRPr="001D5327" w:rsidRDefault="00BC0FD7" w:rsidP="00D11AC9">
            <w:pPr>
              <w:pStyle w:val="TableText"/>
              <w:spacing w:before="30" w:after="30"/>
              <w:jc w:val="right"/>
              <w:rPr>
                <w:szCs w:val="16"/>
              </w:rPr>
            </w:pPr>
            <w:r w:rsidRPr="001D5327">
              <w:rPr>
                <w:szCs w:val="16"/>
              </w:rPr>
              <w:t>17.2</w:t>
            </w:r>
          </w:p>
        </w:tc>
        <w:tc>
          <w:tcPr>
            <w:tcW w:w="737" w:type="dxa"/>
            <w:shd w:val="clear" w:color="auto" w:fill="FFFFFF" w:themeFill="background1"/>
            <w:tcMar>
              <w:top w:w="0" w:type="dxa"/>
              <w:left w:w="85" w:type="dxa"/>
              <w:bottom w:w="0" w:type="dxa"/>
              <w:right w:w="85" w:type="dxa"/>
            </w:tcMar>
          </w:tcPr>
          <w:p w14:paraId="212AFE54" w14:textId="77777777" w:rsidR="00BC0FD7" w:rsidRPr="001D5327" w:rsidRDefault="00BC0FD7" w:rsidP="00D11AC9">
            <w:pPr>
              <w:pStyle w:val="TableText"/>
              <w:spacing w:before="30" w:after="30"/>
              <w:jc w:val="right"/>
              <w:rPr>
                <w:szCs w:val="16"/>
              </w:rPr>
            </w:pPr>
            <w:r w:rsidRPr="001D5327">
              <w:rPr>
                <w:szCs w:val="16"/>
              </w:rPr>
              <w:t>11.0</w:t>
            </w:r>
          </w:p>
        </w:tc>
        <w:tc>
          <w:tcPr>
            <w:tcW w:w="680" w:type="dxa"/>
            <w:shd w:val="clear" w:color="auto" w:fill="FFFFFF" w:themeFill="background1"/>
            <w:tcMar>
              <w:top w:w="0" w:type="dxa"/>
              <w:left w:w="85" w:type="dxa"/>
              <w:bottom w:w="0" w:type="dxa"/>
              <w:right w:w="85" w:type="dxa"/>
            </w:tcMar>
          </w:tcPr>
          <w:p w14:paraId="096B9684" w14:textId="77777777" w:rsidR="00BC0FD7" w:rsidRPr="001D5327" w:rsidRDefault="00BC0FD7" w:rsidP="00D11AC9">
            <w:pPr>
              <w:pStyle w:val="TableText"/>
              <w:spacing w:before="30" w:after="30"/>
              <w:jc w:val="right"/>
              <w:rPr>
                <w:szCs w:val="16"/>
              </w:rPr>
            </w:pPr>
            <w:r w:rsidRPr="001D5327">
              <w:rPr>
                <w:szCs w:val="16"/>
              </w:rPr>
              <w:t>16.3</w:t>
            </w:r>
          </w:p>
        </w:tc>
        <w:tc>
          <w:tcPr>
            <w:tcW w:w="753" w:type="dxa"/>
            <w:shd w:val="clear" w:color="auto" w:fill="FFFFFF" w:themeFill="background1"/>
            <w:tcMar>
              <w:top w:w="0" w:type="dxa"/>
              <w:left w:w="85" w:type="dxa"/>
              <w:bottom w:w="0" w:type="dxa"/>
              <w:right w:w="85" w:type="dxa"/>
            </w:tcMar>
          </w:tcPr>
          <w:p w14:paraId="7F79E9B1" w14:textId="77777777" w:rsidR="00BC0FD7" w:rsidRPr="001D5327" w:rsidRDefault="00BC0FD7" w:rsidP="00D11AC9">
            <w:pPr>
              <w:pStyle w:val="TableText"/>
              <w:spacing w:before="30" w:after="30"/>
              <w:jc w:val="right"/>
              <w:rPr>
                <w:szCs w:val="16"/>
              </w:rPr>
            </w:pPr>
            <w:r w:rsidRPr="001D5327">
              <w:rPr>
                <w:szCs w:val="16"/>
              </w:rPr>
              <w:t>7.1</w:t>
            </w:r>
          </w:p>
        </w:tc>
        <w:tc>
          <w:tcPr>
            <w:tcW w:w="816" w:type="dxa"/>
            <w:shd w:val="clear" w:color="auto" w:fill="FFFFFF" w:themeFill="background1"/>
            <w:tcMar>
              <w:top w:w="0" w:type="dxa"/>
              <w:left w:w="85" w:type="dxa"/>
              <w:bottom w:w="0" w:type="dxa"/>
              <w:right w:w="85" w:type="dxa"/>
            </w:tcMar>
          </w:tcPr>
          <w:p w14:paraId="03071DCC" w14:textId="77777777" w:rsidR="00BC0FD7" w:rsidRPr="001D5327" w:rsidRDefault="00BC0FD7" w:rsidP="00D11AC9">
            <w:pPr>
              <w:pStyle w:val="TableText"/>
              <w:spacing w:before="30" w:after="30"/>
              <w:jc w:val="right"/>
              <w:rPr>
                <w:szCs w:val="16"/>
              </w:rPr>
            </w:pPr>
            <w:r w:rsidRPr="001D5327">
              <w:rPr>
                <w:szCs w:val="16"/>
              </w:rPr>
              <w:t>0.5</w:t>
            </w:r>
          </w:p>
        </w:tc>
        <w:tc>
          <w:tcPr>
            <w:tcW w:w="753" w:type="dxa"/>
            <w:shd w:val="clear" w:color="auto" w:fill="FFFFFF" w:themeFill="background1"/>
            <w:tcMar>
              <w:top w:w="0" w:type="dxa"/>
              <w:left w:w="85" w:type="dxa"/>
              <w:bottom w:w="0" w:type="dxa"/>
              <w:right w:w="85" w:type="dxa"/>
            </w:tcMar>
          </w:tcPr>
          <w:p w14:paraId="430EBD34" w14:textId="77777777" w:rsidR="00BC0FD7" w:rsidRPr="001D5327" w:rsidRDefault="00BC0FD7" w:rsidP="00D11AC9">
            <w:pPr>
              <w:pStyle w:val="TableText"/>
              <w:spacing w:before="30" w:after="30"/>
              <w:jc w:val="right"/>
              <w:rPr>
                <w:szCs w:val="16"/>
              </w:rPr>
            </w:pPr>
            <w:r w:rsidRPr="001D5327">
              <w:rPr>
                <w:szCs w:val="16"/>
              </w:rPr>
              <w:t>2.7</w:t>
            </w:r>
          </w:p>
        </w:tc>
        <w:tc>
          <w:tcPr>
            <w:tcW w:w="753" w:type="dxa"/>
            <w:shd w:val="clear" w:color="auto" w:fill="FFFFFF" w:themeFill="background1"/>
            <w:tcMar>
              <w:top w:w="0" w:type="dxa"/>
              <w:left w:w="85" w:type="dxa"/>
              <w:bottom w:w="0" w:type="dxa"/>
              <w:right w:w="85" w:type="dxa"/>
            </w:tcMar>
          </w:tcPr>
          <w:p w14:paraId="277D402C" w14:textId="77777777" w:rsidR="00BC0FD7" w:rsidRPr="001D5327" w:rsidRDefault="00BC0FD7" w:rsidP="00D11AC9">
            <w:pPr>
              <w:pStyle w:val="TableText"/>
              <w:spacing w:before="30" w:after="30"/>
              <w:jc w:val="right"/>
              <w:rPr>
                <w:szCs w:val="16"/>
              </w:rPr>
            </w:pPr>
            <w:r w:rsidRPr="001D5327">
              <w:rPr>
                <w:szCs w:val="16"/>
              </w:rPr>
              <w:t>2.9</w:t>
            </w:r>
          </w:p>
        </w:tc>
        <w:tc>
          <w:tcPr>
            <w:tcW w:w="691" w:type="dxa"/>
            <w:shd w:val="clear" w:color="auto" w:fill="FFFFFF" w:themeFill="background1"/>
            <w:tcMar>
              <w:top w:w="0" w:type="dxa"/>
              <w:left w:w="85" w:type="dxa"/>
              <w:bottom w:w="0" w:type="dxa"/>
              <w:right w:w="85" w:type="dxa"/>
            </w:tcMar>
          </w:tcPr>
          <w:p w14:paraId="0B139F05" w14:textId="77777777" w:rsidR="00BC0FD7" w:rsidRPr="001D5327" w:rsidRDefault="00BC0FD7" w:rsidP="00D11AC9">
            <w:pPr>
              <w:pStyle w:val="TableText"/>
              <w:spacing w:before="30" w:after="30"/>
              <w:jc w:val="right"/>
              <w:rPr>
                <w:szCs w:val="16"/>
              </w:rPr>
            </w:pPr>
            <w:r w:rsidRPr="001D5327">
              <w:rPr>
                <w:szCs w:val="16"/>
              </w:rPr>
              <w:t>42.3</w:t>
            </w:r>
          </w:p>
        </w:tc>
        <w:tc>
          <w:tcPr>
            <w:tcW w:w="1758" w:type="dxa"/>
            <w:shd w:val="clear" w:color="auto" w:fill="FFFFFF" w:themeFill="background1"/>
            <w:tcMar>
              <w:top w:w="0" w:type="dxa"/>
              <w:left w:w="85" w:type="dxa"/>
              <w:bottom w:w="0" w:type="dxa"/>
              <w:right w:w="85" w:type="dxa"/>
            </w:tcMar>
          </w:tcPr>
          <w:p w14:paraId="0AC83DCA" w14:textId="77777777" w:rsidR="00BC0FD7" w:rsidRPr="001D5327" w:rsidRDefault="00BC0FD7" w:rsidP="00D11AC9">
            <w:pPr>
              <w:pStyle w:val="TableText"/>
              <w:spacing w:before="30" w:after="30"/>
              <w:rPr>
                <w:szCs w:val="16"/>
              </w:rPr>
            </w:pPr>
            <w:r w:rsidRPr="001D5327">
              <w:rPr>
                <w:szCs w:val="16"/>
              </w:rPr>
              <w:t>National survey</w:t>
            </w:r>
          </w:p>
        </w:tc>
      </w:tr>
      <w:tr w:rsidR="00EC0FF4" w:rsidRPr="001D5327" w14:paraId="23396B7F" w14:textId="77777777" w:rsidTr="00EC0FF4">
        <w:tc>
          <w:tcPr>
            <w:tcW w:w="907" w:type="dxa"/>
            <w:shd w:val="clear" w:color="auto" w:fill="FFFFFF" w:themeFill="background1"/>
            <w:tcMar>
              <w:top w:w="0" w:type="dxa"/>
              <w:left w:w="85" w:type="dxa"/>
              <w:bottom w:w="0" w:type="dxa"/>
              <w:right w:w="85" w:type="dxa"/>
            </w:tcMar>
          </w:tcPr>
          <w:p w14:paraId="2992E9D4" w14:textId="77777777" w:rsidR="00BC0FD7" w:rsidRPr="001D5327" w:rsidRDefault="00BC0FD7" w:rsidP="00D11AC9">
            <w:pPr>
              <w:pStyle w:val="TableText"/>
              <w:spacing w:before="30" w:after="30"/>
              <w:rPr>
                <w:b/>
                <w:bCs/>
                <w:szCs w:val="16"/>
              </w:rPr>
            </w:pPr>
            <w:r w:rsidRPr="001D5327">
              <w:rPr>
                <w:rFonts w:eastAsia="Calibri"/>
                <w:b/>
                <w:bCs/>
                <w:color w:val="1B556B"/>
                <w:szCs w:val="16"/>
              </w:rPr>
              <w:t>2004</w:t>
            </w:r>
          </w:p>
        </w:tc>
        <w:tc>
          <w:tcPr>
            <w:tcW w:w="624" w:type="dxa"/>
            <w:shd w:val="clear" w:color="auto" w:fill="FFFFFF" w:themeFill="background1"/>
            <w:tcMar>
              <w:top w:w="0" w:type="dxa"/>
              <w:left w:w="85" w:type="dxa"/>
              <w:bottom w:w="0" w:type="dxa"/>
              <w:right w:w="85" w:type="dxa"/>
            </w:tcMar>
          </w:tcPr>
          <w:p w14:paraId="04213758" w14:textId="77777777" w:rsidR="00BC0FD7" w:rsidRPr="001D5327" w:rsidRDefault="00BC0FD7" w:rsidP="00D11AC9">
            <w:pPr>
              <w:pStyle w:val="TableText"/>
              <w:spacing w:before="30" w:after="30"/>
              <w:jc w:val="right"/>
              <w:rPr>
                <w:szCs w:val="16"/>
              </w:rPr>
            </w:pPr>
            <w:r w:rsidRPr="001D5327">
              <w:rPr>
                <w:szCs w:val="16"/>
              </w:rPr>
              <w:t>14.1</w:t>
            </w:r>
          </w:p>
        </w:tc>
        <w:tc>
          <w:tcPr>
            <w:tcW w:w="737" w:type="dxa"/>
            <w:shd w:val="clear" w:color="auto" w:fill="FFFFFF" w:themeFill="background1"/>
            <w:tcMar>
              <w:top w:w="0" w:type="dxa"/>
              <w:left w:w="85" w:type="dxa"/>
              <w:bottom w:w="0" w:type="dxa"/>
              <w:right w:w="85" w:type="dxa"/>
            </w:tcMar>
          </w:tcPr>
          <w:p w14:paraId="0954EFD5" w14:textId="77777777" w:rsidR="00BC0FD7" w:rsidRPr="001D5327" w:rsidRDefault="00BC0FD7" w:rsidP="00D11AC9">
            <w:pPr>
              <w:pStyle w:val="TableText"/>
              <w:spacing w:before="30" w:after="30"/>
              <w:jc w:val="right"/>
              <w:rPr>
                <w:szCs w:val="16"/>
              </w:rPr>
            </w:pPr>
            <w:r w:rsidRPr="001D5327">
              <w:rPr>
                <w:szCs w:val="16"/>
              </w:rPr>
              <w:t>9.2</w:t>
            </w:r>
          </w:p>
        </w:tc>
        <w:tc>
          <w:tcPr>
            <w:tcW w:w="680" w:type="dxa"/>
            <w:shd w:val="clear" w:color="auto" w:fill="FFFFFF" w:themeFill="background1"/>
            <w:tcMar>
              <w:top w:w="0" w:type="dxa"/>
              <w:left w:w="85" w:type="dxa"/>
              <w:bottom w:w="0" w:type="dxa"/>
              <w:right w:w="85" w:type="dxa"/>
            </w:tcMar>
          </w:tcPr>
          <w:p w14:paraId="1A816F16" w14:textId="77777777" w:rsidR="00BC0FD7" w:rsidRPr="001D5327" w:rsidRDefault="00BC0FD7" w:rsidP="00D11AC9">
            <w:pPr>
              <w:pStyle w:val="TableText"/>
              <w:spacing w:before="30" w:after="30"/>
              <w:jc w:val="right"/>
              <w:rPr>
                <w:szCs w:val="16"/>
              </w:rPr>
            </w:pPr>
            <w:r w:rsidRPr="001D5327">
              <w:rPr>
                <w:szCs w:val="16"/>
              </w:rPr>
              <w:t>14.9</w:t>
            </w:r>
          </w:p>
        </w:tc>
        <w:tc>
          <w:tcPr>
            <w:tcW w:w="753" w:type="dxa"/>
            <w:shd w:val="clear" w:color="auto" w:fill="FFFFFF" w:themeFill="background1"/>
            <w:tcMar>
              <w:top w:w="0" w:type="dxa"/>
              <w:left w:w="85" w:type="dxa"/>
              <w:bottom w:w="0" w:type="dxa"/>
              <w:right w:w="85" w:type="dxa"/>
            </w:tcMar>
          </w:tcPr>
          <w:p w14:paraId="728F5503" w14:textId="77777777" w:rsidR="00BC0FD7" w:rsidRPr="001D5327" w:rsidRDefault="00BC0FD7" w:rsidP="00D11AC9">
            <w:pPr>
              <w:pStyle w:val="TableText"/>
              <w:spacing w:before="30" w:after="30"/>
              <w:jc w:val="right"/>
              <w:rPr>
                <w:szCs w:val="16"/>
              </w:rPr>
            </w:pPr>
            <w:r w:rsidRPr="001D5327">
              <w:rPr>
                <w:szCs w:val="16"/>
              </w:rPr>
              <w:t>13.9</w:t>
            </w:r>
          </w:p>
        </w:tc>
        <w:tc>
          <w:tcPr>
            <w:tcW w:w="816" w:type="dxa"/>
            <w:shd w:val="clear" w:color="auto" w:fill="FFFFFF" w:themeFill="background1"/>
            <w:tcMar>
              <w:top w:w="0" w:type="dxa"/>
              <w:left w:w="85" w:type="dxa"/>
              <w:bottom w:w="0" w:type="dxa"/>
              <w:right w:w="85" w:type="dxa"/>
            </w:tcMar>
          </w:tcPr>
          <w:p w14:paraId="7FBD52DD" w14:textId="77777777" w:rsidR="00BC0FD7" w:rsidRPr="001D5327" w:rsidRDefault="00BC0FD7" w:rsidP="00D11AC9">
            <w:pPr>
              <w:pStyle w:val="TableText"/>
              <w:spacing w:before="30" w:after="30"/>
              <w:jc w:val="right"/>
              <w:rPr>
                <w:szCs w:val="16"/>
              </w:rPr>
            </w:pPr>
            <w:r w:rsidRPr="001D5327">
              <w:rPr>
                <w:szCs w:val="16"/>
              </w:rPr>
              <w:t>3.9</w:t>
            </w:r>
          </w:p>
        </w:tc>
        <w:tc>
          <w:tcPr>
            <w:tcW w:w="753" w:type="dxa"/>
            <w:shd w:val="clear" w:color="auto" w:fill="FFFFFF" w:themeFill="background1"/>
            <w:tcMar>
              <w:top w:w="0" w:type="dxa"/>
              <w:left w:w="85" w:type="dxa"/>
              <w:bottom w:w="0" w:type="dxa"/>
              <w:right w:w="85" w:type="dxa"/>
            </w:tcMar>
          </w:tcPr>
          <w:p w14:paraId="1D20F561" w14:textId="77777777" w:rsidR="00BC0FD7" w:rsidRPr="001D5327" w:rsidRDefault="00BC0FD7" w:rsidP="00D11AC9">
            <w:pPr>
              <w:pStyle w:val="TableText"/>
              <w:spacing w:before="30" w:after="30"/>
              <w:jc w:val="right"/>
              <w:rPr>
                <w:szCs w:val="16"/>
              </w:rPr>
            </w:pPr>
            <w:r w:rsidRPr="001D5327">
              <w:rPr>
                <w:szCs w:val="16"/>
              </w:rPr>
              <w:t>2.7</w:t>
            </w:r>
          </w:p>
        </w:tc>
        <w:tc>
          <w:tcPr>
            <w:tcW w:w="753" w:type="dxa"/>
            <w:shd w:val="clear" w:color="auto" w:fill="FFFFFF" w:themeFill="background1"/>
            <w:tcMar>
              <w:top w:w="0" w:type="dxa"/>
              <w:left w:w="85" w:type="dxa"/>
              <w:bottom w:w="0" w:type="dxa"/>
              <w:right w:w="85" w:type="dxa"/>
            </w:tcMar>
          </w:tcPr>
          <w:p w14:paraId="14723EEA" w14:textId="77777777" w:rsidR="00BC0FD7" w:rsidRPr="001D5327" w:rsidRDefault="00BC0FD7" w:rsidP="00D11AC9">
            <w:pPr>
              <w:pStyle w:val="TableText"/>
              <w:spacing w:before="30" w:after="30"/>
              <w:jc w:val="right"/>
              <w:rPr>
                <w:szCs w:val="16"/>
              </w:rPr>
            </w:pPr>
            <w:r w:rsidRPr="001D5327">
              <w:rPr>
                <w:szCs w:val="16"/>
              </w:rPr>
              <w:t>2.9</w:t>
            </w:r>
          </w:p>
        </w:tc>
        <w:tc>
          <w:tcPr>
            <w:tcW w:w="691" w:type="dxa"/>
            <w:shd w:val="clear" w:color="auto" w:fill="FFFFFF" w:themeFill="background1"/>
            <w:tcMar>
              <w:top w:w="0" w:type="dxa"/>
              <w:left w:w="85" w:type="dxa"/>
              <w:bottom w:w="0" w:type="dxa"/>
              <w:right w:w="85" w:type="dxa"/>
            </w:tcMar>
          </w:tcPr>
          <w:p w14:paraId="7DE46514" w14:textId="77777777" w:rsidR="00BC0FD7" w:rsidRPr="001D5327" w:rsidRDefault="00BC0FD7" w:rsidP="00D11AC9">
            <w:pPr>
              <w:pStyle w:val="TableText"/>
              <w:spacing w:before="30" w:after="30"/>
              <w:jc w:val="right"/>
              <w:rPr>
                <w:szCs w:val="16"/>
              </w:rPr>
            </w:pPr>
            <w:r w:rsidRPr="001D5327">
              <w:rPr>
                <w:szCs w:val="16"/>
              </w:rPr>
              <w:t>38.4</w:t>
            </w:r>
          </w:p>
        </w:tc>
        <w:tc>
          <w:tcPr>
            <w:tcW w:w="1758" w:type="dxa"/>
            <w:shd w:val="clear" w:color="auto" w:fill="FFFFFF" w:themeFill="background1"/>
            <w:tcMar>
              <w:top w:w="0" w:type="dxa"/>
              <w:left w:w="85" w:type="dxa"/>
              <w:bottom w:w="0" w:type="dxa"/>
              <w:right w:w="85" w:type="dxa"/>
            </w:tcMar>
          </w:tcPr>
          <w:p w14:paraId="3E06BACF" w14:textId="77777777" w:rsidR="00BC0FD7" w:rsidRPr="001D5327" w:rsidRDefault="00BC0FD7" w:rsidP="00D11AC9">
            <w:pPr>
              <w:pStyle w:val="TableText"/>
              <w:spacing w:before="30" w:after="30"/>
              <w:rPr>
                <w:szCs w:val="16"/>
              </w:rPr>
            </w:pPr>
            <w:r w:rsidRPr="001D5327">
              <w:rPr>
                <w:szCs w:val="16"/>
              </w:rPr>
              <w:t>National survey</w:t>
            </w:r>
          </w:p>
        </w:tc>
      </w:tr>
      <w:tr w:rsidR="00EC0FF4" w:rsidRPr="001D5327" w14:paraId="18602C1E" w14:textId="77777777" w:rsidTr="00EC0FF4">
        <w:tc>
          <w:tcPr>
            <w:tcW w:w="907" w:type="dxa"/>
            <w:shd w:val="clear" w:color="auto" w:fill="FFFFFF" w:themeFill="background1"/>
            <w:tcMar>
              <w:top w:w="0" w:type="dxa"/>
              <w:left w:w="85" w:type="dxa"/>
              <w:bottom w:w="0" w:type="dxa"/>
              <w:right w:w="85" w:type="dxa"/>
            </w:tcMar>
          </w:tcPr>
          <w:p w14:paraId="6CDDA7DF" w14:textId="77777777" w:rsidR="00BC0FD7" w:rsidRPr="001D5327" w:rsidRDefault="00BC0FD7" w:rsidP="00D11AC9">
            <w:pPr>
              <w:pStyle w:val="TableText"/>
              <w:spacing w:before="30" w:after="30"/>
              <w:rPr>
                <w:b/>
                <w:bCs/>
                <w:szCs w:val="16"/>
              </w:rPr>
            </w:pPr>
            <w:r w:rsidRPr="001D5327">
              <w:rPr>
                <w:rFonts w:eastAsia="Calibri"/>
                <w:b/>
                <w:bCs/>
                <w:color w:val="1B556B"/>
                <w:szCs w:val="16"/>
              </w:rPr>
              <w:t>2005</w:t>
            </w:r>
          </w:p>
        </w:tc>
        <w:tc>
          <w:tcPr>
            <w:tcW w:w="624" w:type="dxa"/>
            <w:shd w:val="clear" w:color="auto" w:fill="FFFFFF" w:themeFill="background1"/>
            <w:tcMar>
              <w:top w:w="0" w:type="dxa"/>
              <w:left w:w="85" w:type="dxa"/>
              <w:bottom w:w="0" w:type="dxa"/>
              <w:right w:w="85" w:type="dxa"/>
            </w:tcMar>
          </w:tcPr>
          <w:p w14:paraId="0E7E13D2" w14:textId="77777777" w:rsidR="00BC0FD7" w:rsidRPr="001D5327" w:rsidRDefault="00BC0FD7" w:rsidP="00D11AC9">
            <w:pPr>
              <w:pStyle w:val="TableText"/>
              <w:spacing w:before="30" w:after="30"/>
              <w:jc w:val="right"/>
              <w:rPr>
                <w:szCs w:val="16"/>
              </w:rPr>
            </w:pPr>
            <w:r w:rsidRPr="001D5327">
              <w:rPr>
                <w:szCs w:val="16"/>
              </w:rPr>
              <w:t>14.9</w:t>
            </w:r>
          </w:p>
        </w:tc>
        <w:tc>
          <w:tcPr>
            <w:tcW w:w="737" w:type="dxa"/>
            <w:shd w:val="clear" w:color="auto" w:fill="FFFFFF" w:themeFill="background1"/>
            <w:tcMar>
              <w:top w:w="0" w:type="dxa"/>
              <w:left w:w="85" w:type="dxa"/>
              <w:bottom w:w="0" w:type="dxa"/>
              <w:right w:w="85" w:type="dxa"/>
            </w:tcMar>
          </w:tcPr>
          <w:p w14:paraId="15CB11DE" w14:textId="77777777" w:rsidR="00BC0FD7" w:rsidRPr="001D5327" w:rsidRDefault="00BC0FD7" w:rsidP="00D11AC9">
            <w:pPr>
              <w:pStyle w:val="TableText"/>
              <w:spacing w:before="30" w:after="30"/>
              <w:jc w:val="right"/>
              <w:rPr>
                <w:szCs w:val="16"/>
              </w:rPr>
            </w:pPr>
            <w:r w:rsidRPr="001D5327">
              <w:rPr>
                <w:szCs w:val="16"/>
              </w:rPr>
              <w:t>9.2</w:t>
            </w:r>
          </w:p>
        </w:tc>
        <w:tc>
          <w:tcPr>
            <w:tcW w:w="680" w:type="dxa"/>
            <w:shd w:val="clear" w:color="auto" w:fill="FFFFFF" w:themeFill="background1"/>
            <w:tcMar>
              <w:top w:w="0" w:type="dxa"/>
              <w:left w:w="85" w:type="dxa"/>
              <w:bottom w:w="0" w:type="dxa"/>
              <w:right w:w="85" w:type="dxa"/>
            </w:tcMar>
          </w:tcPr>
          <w:p w14:paraId="2A793C6E" w14:textId="77777777" w:rsidR="00BC0FD7" w:rsidRPr="001D5327" w:rsidRDefault="00BC0FD7" w:rsidP="00D11AC9">
            <w:pPr>
              <w:pStyle w:val="TableText"/>
              <w:spacing w:before="30" w:after="30"/>
              <w:jc w:val="right"/>
              <w:rPr>
                <w:szCs w:val="16"/>
              </w:rPr>
            </w:pPr>
            <w:r w:rsidRPr="001D5327">
              <w:rPr>
                <w:szCs w:val="16"/>
              </w:rPr>
              <w:t>13.4</w:t>
            </w:r>
          </w:p>
        </w:tc>
        <w:tc>
          <w:tcPr>
            <w:tcW w:w="753" w:type="dxa"/>
            <w:shd w:val="clear" w:color="auto" w:fill="FFFFFF" w:themeFill="background1"/>
            <w:tcMar>
              <w:top w:w="0" w:type="dxa"/>
              <w:left w:w="85" w:type="dxa"/>
              <w:bottom w:w="0" w:type="dxa"/>
              <w:right w:w="85" w:type="dxa"/>
            </w:tcMar>
          </w:tcPr>
          <w:p w14:paraId="08100615" w14:textId="77777777" w:rsidR="00BC0FD7" w:rsidRPr="001D5327" w:rsidRDefault="00BC0FD7" w:rsidP="00D11AC9">
            <w:pPr>
              <w:pStyle w:val="TableText"/>
              <w:spacing w:before="30" w:after="30"/>
              <w:jc w:val="right"/>
              <w:rPr>
                <w:szCs w:val="16"/>
              </w:rPr>
            </w:pPr>
            <w:r w:rsidRPr="001D5327">
              <w:rPr>
                <w:szCs w:val="16"/>
              </w:rPr>
              <w:t>13.4</w:t>
            </w:r>
          </w:p>
        </w:tc>
        <w:tc>
          <w:tcPr>
            <w:tcW w:w="816" w:type="dxa"/>
            <w:shd w:val="clear" w:color="auto" w:fill="FFFFFF" w:themeFill="background1"/>
            <w:tcMar>
              <w:top w:w="0" w:type="dxa"/>
              <w:left w:w="85" w:type="dxa"/>
              <w:bottom w:w="0" w:type="dxa"/>
              <w:right w:w="85" w:type="dxa"/>
            </w:tcMar>
          </w:tcPr>
          <w:p w14:paraId="69C5F6FE" w14:textId="77777777" w:rsidR="00BC0FD7" w:rsidRPr="001D5327" w:rsidRDefault="00BC0FD7" w:rsidP="00D11AC9">
            <w:pPr>
              <w:pStyle w:val="TableText"/>
              <w:spacing w:before="30" w:after="30"/>
              <w:jc w:val="right"/>
              <w:rPr>
                <w:szCs w:val="16"/>
              </w:rPr>
            </w:pPr>
            <w:r w:rsidRPr="001D5327">
              <w:rPr>
                <w:szCs w:val="16"/>
              </w:rPr>
              <w:t>3.9</w:t>
            </w:r>
          </w:p>
        </w:tc>
        <w:tc>
          <w:tcPr>
            <w:tcW w:w="753" w:type="dxa"/>
            <w:shd w:val="clear" w:color="auto" w:fill="FFFFFF" w:themeFill="background1"/>
            <w:tcMar>
              <w:top w:w="0" w:type="dxa"/>
              <w:left w:w="85" w:type="dxa"/>
              <w:bottom w:w="0" w:type="dxa"/>
              <w:right w:w="85" w:type="dxa"/>
            </w:tcMar>
          </w:tcPr>
          <w:p w14:paraId="6AA16449" w14:textId="77777777" w:rsidR="00BC0FD7" w:rsidRPr="001D5327" w:rsidRDefault="00BC0FD7" w:rsidP="00D11AC9">
            <w:pPr>
              <w:pStyle w:val="TableText"/>
              <w:spacing w:before="30" w:after="30"/>
              <w:jc w:val="right"/>
              <w:rPr>
                <w:szCs w:val="16"/>
              </w:rPr>
            </w:pPr>
            <w:r w:rsidRPr="001D5327">
              <w:rPr>
                <w:szCs w:val="16"/>
              </w:rPr>
              <w:t>2.9</w:t>
            </w:r>
          </w:p>
        </w:tc>
        <w:tc>
          <w:tcPr>
            <w:tcW w:w="753" w:type="dxa"/>
            <w:shd w:val="clear" w:color="auto" w:fill="FFFFFF" w:themeFill="background1"/>
            <w:tcMar>
              <w:top w:w="0" w:type="dxa"/>
              <w:left w:w="85" w:type="dxa"/>
              <w:bottom w:w="0" w:type="dxa"/>
              <w:right w:w="85" w:type="dxa"/>
            </w:tcMar>
          </w:tcPr>
          <w:p w14:paraId="4C912194" w14:textId="77777777" w:rsidR="00BC0FD7" w:rsidRPr="001D5327" w:rsidRDefault="00BC0FD7" w:rsidP="00D11AC9">
            <w:pPr>
              <w:pStyle w:val="TableText"/>
              <w:spacing w:before="30" w:after="30"/>
              <w:jc w:val="right"/>
              <w:rPr>
                <w:szCs w:val="16"/>
              </w:rPr>
            </w:pPr>
            <w:r w:rsidRPr="001D5327">
              <w:rPr>
                <w:szCs w:val="16"/>
              </w:rPr>
              <w:t>2.9</w:t>
            </w:r>
          </w:p>
        </w:tc>
        <w:tc>
          <w:tcPr>
            <w:tcW w:w="691" w:type="dxa"/>
            <w:shd w:val="clear" w:color="auto" w:fill="FFFFFF" w:themeFill="background1"/>
            <w:tcMar>
              <w:top w:w="0" w:type="dxa"/>
              <w:left w:w="85" w:type="dxa"/>
              <w:bottom w:w="0" w:type="dxa"/>
              <w:right w:w="85" w:type="dxa"/>
            </w:tcMar>
          </w:tcPr>
          <w:p w14:paraId="76C21B88" w14:textId="77777777" w:rsidR="00BC0FD7" w:rsidRPr="001D5327" w:rsidRDefault="00BC0FD7" w:rsidP="00D11AC9">
            <w:pPr>
              <w:pStyle w:val="TableText"/>
              <w:spacing w:before="30" w:after="30"/>
              <w:jc w:val="right"/>
              <w:rPr>
                <w:szCs w:val="16"/>
              </w:rPr>
            </w:pPr>
            <w:r w:rsidRPr="001D5327">
              <w:rPr>
                <w:szCs w:val="16"/>
              </w:rPr>
              <w:t>39.4</w:t>
            </w:r>
          </w:p>
        </w:tc>
        <w:tc>
          <w:tcPr>
            <w:tcW w:w="1758" w:type="dxa"/>
            <w:shd w:val="clear" w:color="auto" w:fill="FFFFFF" w:themeFill="background1"/>
            <w:tcMar>
              <w:top w:w="0" w:type="dxa"/>
              <w:left w:w="85" w:type="dxa"/>
              <w:bottom w:w="0" w:type="dxa"/>
              <w:right w:w="85" w:type="dxa"/>
            </w:tcMar>
          </w:tcPr>
          <w:p w14:paraId="0FA71869" w14:textId="77777777" w:rsidR="00BC0FD7" w:rsidRPr="001D5327" w:rsidRDefault="00BC0FD7" w:rsidP="00D11AC9">
            <w:pPr>
              <w:pStyle w:val="TableText"/>
              <w:spacing w:before="30" w:after="30"/>
              <w:rPr>
                <w:szCs w:val="16"/>
              </w:rPr>
            </w:pPr>
            <w:r w:rsidRPr="001D5327">
              <w:rPr>
                <w:szCs w:val="16"/>
              </w:rPr>
              <w:t>Based on interpolation</w:t>
            </w:r>
          </w:p>
        </w:tc>
      </w:tr>
      <w:tr w:rsidR="00EC0FF4" w:rsidRPr="001D5327" w14:paraId="611FFF41" w14:textId="77777777" w:rsidTr="00EC0FF4">
        <w:tc>
          <w:tcPr>
            <w:tcW w:w="907" w:type="dxa"/>
            <w:shd w:val="clear" w:color="auto" w:fill="FFFFFF" w:themeFill="background1"/>
            <w:tcMar>
              <w:top w:w="0" w:type="dxa"/>
              <w:left w:w="85" w:type="dxa"/>
              <w:bottom w:w="0" w:type="dxa"/>
              <w:right w:w="85" w:type="dxa"/>
            </w:tcMar>
          </w:tcPr>
          <w:p w14:paraId="3C8948AD" w14:textId="77777777" w:rsidR="00BC0FD7" w:rsidRPr="001D5327" w:rsidRDefault="00BC0FD7" w:rsidP="00D11AC9">
            <w:pPr>
              <w:pStyle w:val="TableText"/>
              <w:spacing w:before="30" w:after="30"/>
              <w:rPr>
                <w:b/>
                <w:bCs/>
                <w:szCs w:val="16"/>
              </w:rPr>
            </w:pPr>
            <w:r w:rsidRPr="001D5327">
              <w:rPr>
                <w:rFonts w:eastAsia="Calibri"/>
                <w:b/>
                <w:bCs/>
                <w:color w:val="1B556B"/>
                <w:szCs w:val="16"/>
              </w:rPr>
              <w:t>2006</w:t>
            </w:r>
          </w:p>
        </w:tc>
        <w:tc>
          <w:tcPr>
            <w:tcW w:w="624" w:type="dxa"/>
            <w:shd w:val="clear" w:color="auto" w:fill="FFFFFF" w:themeFill="background1"/>
            <w:tcMar>
              <w:top w:w="0" w:type="dxa"/>
              <w:left w:w="85" w:type="dxa"/>
              <w:bottom w:w="0" w:type="dxa"/>
              <w:right w:w="85" w:type="dxa"/>
            </w:tcMar>
          </w:tcPr>
          <w:p w14:paraId="79B5DD26" w14:textId="77777777" w:rsidR="00BC0FD7" w:rsidRPr="001D5327" w:rsidRDefault="00BC0FD7" w:rsidP="00D11AC9">
            <w:pPr>
              <w:pStyle w:val="TableText"/>
              <w:spacing w:before="30" w:after="30"/>
              <w:jc w:val="right"/>
              <w:rPr>
                <w:szCs w:val="16"/>
              </w:rPr>
            </w:pPr>
            <w:r w:rsidRPr="001D5327">
              <w:rPr>
                <w:szCs w:val="16"/>
              </w:rPr>
              <w:t>15.6</w:t>
            </w:r>
          </w:p>
        </w:tc>
        <w:tc>
          <w:tcPr>
            <w:tcW w:w="737" w:type="dxa"/>
            <w:shd w:val="clear" w:color="auto" w:fill="FFFFFF" w:themeFill="background1"/>
            <w:tcMar>
              <w:top w:w="0" w:type="dxa"/>
              <w:left w:w="85" w:type="dxa"/>
              <w:bottom w:w="0" w:type="dxa"/>
              <w:right w:w="85" w:type="dxa"/>
            </w:tcMar>
          </w:tcPr>
          <w:p w14:paraId="50F205DF" w14:textId="77777777" w:rsidR="00BC0FD7" w:rsidRPr="001D5327" w:rsidRDefault="00BC0FD7" w:rsidP="00D11AC9">
            <w:pPr>
              <w:pStyle w:val="TableText"/>
              <w:spacing w:before="30" w:after="30"/>
              <w:jc w:val="right"/>
              <w:rPr>
                <w:szCs w:val="16"/>
              </w:rPr>
            </w:pPr>
            <w:r w:rsidRPr="001D5327">
              <w:rPr>
                <w:szCs w:val="16"/>
              </w:rPr>
              <w:t>9.3</w:t>
            </w:r>
          </w:p>
        </w:tc>
        <w:tc>
          <w:tcPr>
            <w:tcW w:w="680" w:type="dxa"/>
            <w:shd w:val="clear" w:color="auto" w:fill="FFFFFF" w:themeFill="background1"/>
            <w:tcMar>
              <w:top w:w="0" w:type="dxa"/>
              <w:left w:w="85" w:type="dxa"/>
              <w:bottom w:w="0" w:type="dxa"/>
              <w:right w:w="85" w:type="dxa"/>
            </w:tcMar>
          </w:tcPr>
          <w:p w14:paraId="6FD81AA5" w14:textId="77777777" w:rsidR="00BC0FD7" w:rsidRPr="001D5327" w:rsidRDefault="00BC0FD7" w:rsidP="00D11AC9">
            <w:pPr>
              <w:pStyle w:val="TableText"/>
              <w:spacing w:before="30" w:after="30"/>
              <w:jc w:val="right"/>
              <w:rPr>
                <w:szCs w:val="16"/>
              </w:rPr>
            </w:pPr>
            <w:r w:rsidRPr="001D5327">
              <w:rPr>
                <w:szCs w:val="16"/>
              </w:rPr>
              <w:t>12.0</w:t>
            </w:r>
          </w:p>
        </w:tc>
        <w:tc>
          <w:tcPr>
            <w:tcW w:w="753" w:type="dxa"/>
            <w:shd w:val="clear" w:color="auto" w:fill="FFFFFF" w:themeFill="background1"/>
            <w:tcMar>
              <w:top w:w="0" w:type="dxa"/>
              <w:left w:w="85" w:type="dxa"/>
              <w:bottom w:w="0" w:type="dxa"/>
              <w:right w:w="85" w:type="dxa"/>
            </w:tcMar>
          </w:tcPr>
          <w:p w14:paraId="50831597" w14:textId="77777777" w:rsidR="00BC0FD7" w:rsidRPr="001D5327" w:rsidRDefault="00BC0FD7" w:rsidP="00D11AC9">
            <w:pPr>
              <w:pStyle w:val="TableText"/>
              <w:spacing w:before="30" w:after="30"/>
              <w:jc w:val="right"/>
              <w:rPr>
                <w:szCs w:val="16"/>
              </w:rPr>
            </w:pPr>
            <w:r w:rsidRPr="001D5327">
              <w:rPr>
                <w:szCs w:val="16"/>
              </w:rPr>
              <w:t>13.0</w:t>
            </w:r>
          </w:p>
        </w:tc>
        <w:tc>
          <w:tcPr>
            <w:tcW w:w="816" w:type="dxa"/>
            <w:shd w:val="clear" w:color="auto" w:fill="FFFFFF" w:themeFill="background1"/>
            <w:tcMar>
              <w:top w:w="0" w:type="dxa"/>
              <w:left w:w="85" w:type="dxa"/>
              <w:bottom w:w="0" w:type="dxa"/>
              <w:right w:w="85" w:type="dxa"/>
            </w:tcMar>
          </w:tcPr>
          <w:p w14:paraId="4FE02031" w14:textId="77777777" w:rsidR="00BC0FD7" w:rsidRPr="001D5327" w:rsidRDefault="00BC0FD7" w:rsidP="00D11AC9">
            <w:pPr>
              <w:pStyle w:val="TableText"/>
              <w:spacing w:before="30" w:after="30"/>
              <w:jc w:val="right"/>
              <w:rPr>
                <w:szCs w:val="16"/>
              </w:rPr>
            </w:pPr>
            <w:r w:rsidRPr="001D5327">
              <w:rPr>
                <w:szCs w:val="16"/>
              </w:rPr>
              <w:t>3.9</w:t>
            </w:r>
          </w:p>
        </w:tc>
        <w:tc>
          <w:tcPr>
            <w:tcW w:w="753" w:type="dxa"/>
            <w:shd w:val="clear" w:color="auto" w:fill="FFFFFF" w:themeFill="background1"/>
            <w:tcMar>
              <w:top w:w="0" w:type="dxa"/>
              <w:left w:w="85" w:type="dxa"/>
              <w:bottom w:w="0" w:type="dxa"/>
              <w:right w:w="85" w:type="dxa"/>
            </w:tcMar>
          </w:tcPr>
          <w:p w14:paraId="643FC593" w14:textId="77777777" w:rsidR="00BC0FD7" w:rsidRPr="001D5327" w:rsidRDefault="00BC0FD7" w:rsidP="00D11AC9">
            <w:pPr>
              <w:pStyle w:val="TableText"/>
              <w:spacing w:before="30" w:after="30"/>
              <w:jc w:val="right"/>
              <w:rPr>
                <w:szCs w:val="16"/>
              </w:rPr>
            </w:pPr>
            <w:r w:rsidRPr="001D5327">
              <w:rPr>
                <w:szCs w:val="16"/>
              </w:rPr>
              <w:t>3.0</w:t>
            </w:r>
          </w:p>
        </w:tc>
        <w:tc>
          <w:tcPr>
            <w:tcW w:w="753" w:type="dxa"/>
            <w:shd w:val="clear" w:color="auto" w:fill="FFFFFF" w:themeFill="background1"/>
            <w:tcMar>
              <w:top w:w="0" w:type="dxa"/>
              <w:left w:w="85" w:type="dxa"/>
              <w:bottom w:w="0" w:type="dxa"/>
              <w:right w:w="85" w:type="dxa"/>
            </w:tcMar>
          </w:tcPr>
          <w:p w14:paraId="7D8B8711" w14:textId="77777777" w:rsidR="00BC0FD7" w:rsidRPr="001D5327" w:rsidRDefault="00BC0FD7" w:rsidP="00D11AC9">
            <w:pPr>
              <w:pStyle w:val="TableText"/>
              <w:spacing w:before="30" w:after="30"/>
              <w:jc w:val="right"/>
              <w:rPr>
                <w:szCs w:val="16"/>
              </w:rPr>
            </w:pPr>
            <w:r w:rsidRPr="001D5327">
              <w:rPr>
                <w:szCs w:val="16"/>
              </w:rPr>
              <w:t>2.9</w:t>
            </w:r>
          </w:p>
        </w:tc>
        <w:tc>
          <w:tcPr>
            <w:tcW w:w="691" w:type="dxa"/>
            <w:shd w:val="clear" w:color="auto" w:fill="FFFFFF" w:themeFill="background1"/>
            <w:tcMar>
              <w:top w:w="0" w:type="dxa"/>
              <w:left w:w="85" w:type="dxa"/>
              <w:bottom w:w="0" w:type="dxa"/>
              <w:right w:w="85" w:type="dxa"/>
            </w:tcMar>
          </w:tcPr>
          <w:p w14:paraId="6CC9A23E" w14:textId="77777777" w:rsidR="00BC0FD7" w:rsidRPr="001D5327" w:rsidRDefault="00BC0FD7" w:rsidP="00D11AC9">
            <w:pPr>
              <w:pStyle w:val="TableText"/>
              <w:spacing w:before="30" w:after="30"/>
              <w:jc w:val="right"/>
              <w:rPr>
                <w:szCs w:val="16"/>
              </w:rPr>
            </w:pPr>
            <w:r w:rsidRPr="001D5327">
              <w:rPr>
                <w:szCs w:val="16"/>
              </w:rPr>
              <w:t>40.4</w:t>
            </w:r>
          </w:p>
        </w:tc>
        <w:tc>
          <w:tcPr>
            <w:tcW w:w="1758" w:type="dxa"/>
            <w:shd w:val="clear" w:color="auto" w:fill="FFFFFF" w:themeFill="background1"/>
            <w:tcMar>
              <w:top w:w="0" w:type="dxa"/>
              <w:left w:w="85" w:type="dxa"/>
              <w:bottom w:w="0" w:type="dxa"/>
              <w:right w:w="85" w:type="dxa"/>
            </w:tcMar>
          </w:tcPr>
          <w:p w14:paraId="0E620329" w14:textId="77777777" w:rsidR="00BC0FD7" w:rsidRPr="001D5327" w:rsidDel="3709AE17" w:rsidRDefault="00BC0FD7" w:rsidP="00D11AC9">
            <w:pPr>
              <w:pStyle w:val="TableText"/>
              <w:spacing w:before="30" w:after="30"/>
              <w:rPr>
                <w:szCs w:val="16"/>
              </w:rPr>
            </w:pPr>
            <w:r w:rsidRPr="001D5327">
              <w:rPr>
                <w:szCs w:val="16"/>
              </w:rPr>
              <w:t>Based on survey data</w:t>
            </w:r>
          </w:p>
        </w:tc>
      </w:tr>
      <w:tr w:rsidR="00EC0FF4" w:rsidRPr="001D5327" w14:paraId="0EF50E98" w14:textId="77777777" w:rsidTr="00EC0FF4">
        <w:tc>
          <w:tcPr>
            <w:tcW w:w="907" w:type="dxa"/>
            <w:shd w:val="clear" w:color="auto" w:fill="FFFFFF" w:themeFill="background1"/>
            <w:tcMar>
              <w:top w:w="0" w:type="dxa"/>
              <w:left w:w="85" w:type="dxa"/>
              <w:bottom w:w="0" w:type="dxa"/>
              <w:right w:w="85" w:type="dxa"/>
            </w:tcMar>
          </w:tcPr>
          <w:p w14:paraId="239045C5" w14:textId="77777777" w:rsidR="00BC0FD7" w:rsidRPr="001D5327" w:rsidRDefault="00BC0FD7" w:rsidP="00D11AC9">
            <w:pPr>
              <w:pStyle w:val="TableText"/>
              <w:spacing w:before="30" w:after="30"/>
              <w:rPr>
                <w:b/>
                <w:bCs/>
                <w:szCs w:val="16"/>
              </w:rPr>
            </w:pPr>
            <w:r w:rsidRPr="001D5327">
              <w:rPr>
                <w:rFonts w:eastAsia="Calibri"/>
                <w:b/>
                <w:bCs/>
                <w:color w:val="1B556B"/>
                <w:szCs w:val="16"/>
              </w:rPr>
              <w:t>2007</w:t>
            </w:r>
          </w:p>
        </w:tc>
        <w:tc>
          <w:tcPr>
            <w:tcW w:w="624" w:type="dxa"/>
            <w:shd w:val="clear" w:color="auto" w:fill="FFFFFF" w:themeFill="background1"/>
            <w:tcMar>
              <w:top w:w="0" w:type="dxa"/>
              <w:left w:w="85" w:type="dxa"/>
              <w:bottom w:w="0" w:type="dxa"/>
              <w:right w:w="85" w:type="dxa"/>
            </w:tcMar>
          </w:tcPr>
          <w:p w14:paraId="70D15248" w14:textId="77777777" w:rsidR="00BC0FD7" w:rsidRPr="001D5327" w:rsidRDefault="00BC0FD7" w:rsidP="00D11AC9">
            <w:pPr>
              <w:pStyle w:val="TableText"/>
              <w:spacing w:before="30" w:after="30"/>
              <w:jc w:val="right"/>
              <w:rPr>
                <w:szCs w:val="16"/>
              </w:rPr>
            </w:pPr>
            <w:r w:rsidRPr="001D5327">
              <w:rPr>
                <w:szCs w:val="16"/>
              </w:rPr>
              <w:t>16.4</w:t>
            </w:r>
          </w:p>
        </w:tc>
        <w:tc>
          <w:tcPr>
            <w:tcW w:w="737" w:type="dxa"/>
            <w:shd w:val="clear" w:color="auto" w:fill="FFFFFF" w:themeFill="background1"/>
            <w:tcMar>
              <w:top w:w="0" w:type="dxa"/>
              <w:left w:w="85" w:type="dxa"/>
              <w:bottom w:w="0" w:type="dxa"/>
              <w:right w:w="85" w:type="dxa"/>
            </w:tcMar>
          </w:tcPr>
          <w:p w14:paraId="294E8B72" w14:textId="77777777" w:rsidR="00BC0FD7" w:rsidRPr="001D5327" w:rsidRDefault="00BC0FD7" w:rsidP="00D11AC9">
            <w:pPr>
              <w:pStyle w:val="TableText"/>
              <w:spacing w:before="30" w:after="30"/>
              <w:jc w:val="right"/>
              <w:rPr>
                <w:szCs w:val="16"/>
              </w:rPr>
            </w:pPr>
            <w:r w:rsidRPr="001D5327">
              <w:rPr>
                <w:szCs w:val="16"/>
              </w:rPr>
              <w:t>9.3</w:t>
            </w:r>
          </w:p>
        </w:tc>
        <w:tc>
          <w:tcPr>
            <w:tcW w:w="680" w:type="dxa"/>
            <w:shd w:val="clear" w:color="auto" w:fill="FFFFFF" w:themeFill="background1"/>
            <w:tcMar>
              <w:top w:w="0" w:type="dxa"/>
              <w:left w:w="85" w:type="dxa"/>
              <w:bottom w:w="0" w:type="dxa"/>
              <w:right w:w="85" w:type="dxa"/>
            </w:tcMar>
          </w:tcPr>
          <w:p w14:paraId="45484E7C" w14:textId="77777777" w:rsidR="00BC0FD7" w:rsidRPr="001D5327" w:rsidRDefault="00BC0FD7" w:rsidP="00D11AC9">
            <w:pPr>
              <w:pStyle w:val="TableText"/>
              <w:spacing w:before="30" w:after="30"/>
              <w:jc w:val="right"/>
              <w:rPr>
                <w:szCs w:val="16"/>
              </w:rPr>
            </w:pPr>
            <w:r w:rsidRPr="001D5327">
              <w:rPr>
                <w:szCs w:val="16"/>
              </w:rPr>
              <w:t>10.5</w:t>
            </w:r>
          </w:p>
        </w:tc>
        <w:tc>
          <w:tcPr>
            <w:tcW w:w="753" w:type="dxa"/>
            <w:shd w:val="clear" w:color="auto" w:fill="FFFFFF" w:themeFill="background1"/>
            <w:tcMar>
              <w:top w:w="0" w:type="dxa"/>
              <w:left w:w="85" w:type="dxa"/>
              <w:bottom w:w="0" w:type="dxa"/>
              <w:right w:w="85" w:type="dxa"/>
            </w:tcMar>
          </w:tcPr>
          <w:p w14:paraId="01F7BC20" w14:textId="77777777" w:rsidR="00BC0FD7" w:rsidRPr="001D5327" w:rsidRDefault="00BC0FD7" w:rsidP="00D11AC9">
            <w:pPr>
              <w:pStyle w:val="TableText"/>
              <w:spacing w:before="30" w:after="30"/>
              <w:jc w:val="right"/>
              <w:rPr>
                <w:szCs w:val="16"/>
              </w:rPr>
            </w:pPr>
            <w:r w:rsidRPr="001D5327">
              <w:rPr>
                <w:szCs w:val="16"/>
              </w:rPr>
              <w:t>12.5</w:t>
            </w:r>
          </w:p>
        </w:tc>
        <w:tc>
          <w:tcPr>
            <w:tcW w:w="816" w:type="dxa"/>
            <w:shd w:val="clear" w:color="auto" w:fill="FFFFFF" w:themeFill="background1"/>
            <w:tcMar>
              <w:top w:w="0" w:type="dxa"/>
              <w:left w:w="85" w:type="dxa"/>
              <w:bottom w:w="0" w:type="dxa"/>
              <w:right w:w="85" w:type="dxa"/>
            </w:tcMar>
          </w:tcPr>
          <w:p w14:paraId="17F8B945" w14:textId="77777777" w:rsidR="00BC0FD7" w:rsidRPr="001D5327" w:rsidRDefault="00BC0FD7" w:rsidP="00D11AC9">
            <w:pPr>
              <w:pStyle w:val="TableText"/>
              <w:spacing w:before="30" w:after="30"/>
              <w:jc w:val="right"/>
              <w:rPr>
                <w:szCs w:val="16"/>
              </w:rPr>
            </w:pPr>
            <w:r w:rsidRPr="001D5327">
              <w:rPr>
                <w:szCs w:val="16"/>
              </w:rPr>
              <w:t>3.9</w:t>
            </w:r>
          </w:p>
        </w:tc>
        <w:tc>
          <w:tcPr>
            <w:tcW w:w="753" w:type="dxa"/>
            <w:shd w:val="clear" w:color="auto" w:fill="FFFFFF" w:themeFill="background1"/>
            <w:tcMar>
              <w:top w:w="0" w:type="dxa"/>
              <w:left w:w="85" w:type="dxa"/>
              <w:bottom w:w="0" w:type="dxa"/>
              <w:right w:w="85" w:type="dxa"/>
            </w:tcMar>
          </w:tcPr>
          <w:p w14:paraId="3BE854E6" w14:textId="77777777" w:rsidR="00BC0FD7" w:rsidRPr="001D5327" w:rsidRDefault="00BC0FD7" w:rsidP="00D11AC9">
            <w:pPr>
              <w:pStyle w:val="TableText"/>
              <w:spacing w:before="30" w:after="30"/>
              <w:jc w:val="right"/>
              <w:rPr>
                <w:szCs w:val="16"/>
              </w:rPr>
            </w:pPr>
            <w:r w:rsidRPr="001D5327">
              <w:rPr>
                <w:szCs w:val="16"/>
              </w:rPr>
              <w:t>3.2</w:t>
            </w:r>
          </w:p>
        </w:tc>
        <w:tc>
          <w:tcPr>
            <w:tcW w:w="753" w:type="dxa"/>
            <w:shd w:val="clear" w:color="auto" w:fill="FFFFFF" w:themeFill="background1"/>
            <w:tcMar>
              <w:top w:w="0" w:type="dxa"/>
              <w:left w:w="85" w:type="dxa"/>
              <w:bottom w:w="0" w:type="dxa"/>
              <w:right w:w="85" w:type="dxa"/>
            </w:tcMar>
          </w:tcPr>
          <w:p w14:paraId="5B0DDB50" w14:textId="77777777" w:rsidR="00BC0FD7" w:rsidRPr="001D5327" w:rsidRDefault="00BC0FD7" w:rsidP="00D11AC9">
            <w:pPr>
              <w:pStyle w:val="TableText"/>
              <w:spacing w:before="30" w:after="30"/>
              <w:jc w:val="right"/>
              <w:rPr>
                <w:szCs w:val="16"/>
              </w:rPr>
            </w:pPr>
            <w:r w:rsidRPr="001D5327">
              <w:rPr>
                <w:szCs w:val="16"/>
              </w:rPr>
              <w:t>2.9</w:t>
            </w:r>
          </w:p>
        </w:tc>
        <w:tc>
          <w:tcPr>
            <w:tcW w:w="691" w:type="dxa"/>
            <w:shd w:val="clear" w:color="auto" w:fill="FFFFFF" w:themeFill="background1"/>
            <w:tcMar>
              <w:top w:w="0" w:type="dxa"/>
              <w:left w:w="85" w:type="dxa"/>
              <w:bottom w:w="0" w:type="dxa"/>
              <w:right w:w="85" w:type="dxa"/>
            </w:tcMar>
          </w:tcPr>
          <w:p w14:paraId="3DA36B26" w14:textId="77777777" w:rsidR="00BC0FD7" w:rsidRPr="001D5327" w:rsidRDefault="00BC0FD7" w:rsidP="00D11AC9">
            <w:pPr>
              <w:pStyle w:val="TableText"/>
              <w:spacing w:before="30" w:after="30"/>
              <w:jc w:val="right"/>
              <w:rPr>
                <w:szCs w:val="16"/>
              </w:rPr>
            </w:pPr>
            <w:r w:rsidRPr="001D5327">
              <w:rPr>
                <w:szCs w:val="16"/>
              </w:rPr>
              <w:t>41.4</w:t>
            </w:r>
          </w:p>
        </w:tc>
        <w:tc>
          <w:tcPr>
            <w:tcW w:w="1758" w:type="dxa"/>
            <w:shd w:val="clear" w:color="auto" w:fill="FFFFFF" w:themeFill="background1"/>
            <w:tcMar>
              <w:top w:w="0" w:type="dxa"/>
              <w:left w:w="85" w:type="dxa"/>
              <w:bottom w:w="0" w:type="dxa"/>
              <w:right w:w="85" w:type="dxa"/>
            </w:tcMar>
          </w:tcPr>
          <w:p w14:paraId="4152578A" w14:textId="77777777" w:rsidR="00BC0FD7" w:rsidRPr="001D5327" w:rsidRDefault="00BC0FD7" w:rsidP="00D11AC9">
            <w:pPr>
              <w:pStyle w:val="TableText"/>
              <w:spacing w:before="30" w:after="30"/>
              <w:rPr>
                <w:szCs w:val="16"/>
              </w:rPr>
            </w:pPr>
            <w:r w:rsidRPr="001D5327">
              <w:rPr>
                <w:szCs w:val="16"/>
              </w:rPr>
              <w:t>Based on interpolation</w:t>
            </w:r>
          </w:p>
        </w:tc>
      </w:tr>
      <w:tr w:rsidR="00EC0FF4" w:rsidRPr="001D5327" w14:paraId="6409660A" w14:textId="77777777" w:rsidTr="00EC0FF4">
        <w:tc>
          <w:tcPr>
            <w:tcW w:w="907" w:type="dxa"/>
            <w:shd w:val="clear" w:color="auto" w:fill="FFFFFF" w:themeFill="background1"/>
            <w:tcMar>
              <w:top w:w="0" w:type="dxa"/>
              <w:left w:w="85" w:type="dxa"/>
              <w:bottom w:w="0" w:type="dxa"/>
              <w:right w:w="85" w:type="dxa"/>
            </w:tcMar>
          </w:tcPr>
          <w:p w14:paraId="6A3D9F4E" w14:textId="77777777" w:rsidR="00BC0FD7" w:rsidRPr="001D5327" w:rsidRDefault="00BC0FD7" w:rsidP="00D11AC9">
            <w:pPr>
              <w:pStyle w:val="TableText"/>
              <w:spacing w:before="30" w:after="30"/>
              <w:rPr>
                <w:b/>
                <w:bCs/>
                <w:szCs w:val="16"/>
              </w:rPr>
            </w:pPr>
            <w:r w:rsidRPr="001D5327">
              <w:rPr>
                <w:rFonts w:eastAsia="Calibri"/>
                <w:b/>
                <w:bCs/>
                <w:color w:val="1B556B"/>
                <w:szCs w:val="16"/>
              </w:rPr>
              <w:t>2008</w:t>
            </w:r>
          </w:p>
        </w:tc>
        <w:tc>
          <w:tcPr>
            <w:tcW w:w="624" w:type="dxa"/>
            <w:shd w:val="clear" w:color="auto" w:fill="FFFFFF" w:themeFill="background1"/>
            <w:tcMar>
              <w:top w:w="0" w:type="dxa"/>
              <w:left w:w="85" w:type="dxa"/>
              <w:bottom w:w="0" w:type="dxa"/>
              <w:right w:w="85" w:type="dxa"/>
            </w:tcMar>
          </w:tcPr>
          <w:p w14:paraId="5915551E" w14:textId="77777777" w:rsidR="00BC0FD7" w:rsidRPr="001D5327" w:rsidRDefault="00BC0FD7" w:rsidP="00D11AC9">
            <w:pPr>
              <w:pStyle w:val="TableText"/>
              <w:spacing w:before="30" w:after="30"/>
              <w:jc w:val="right"/>
              <w:rPr>
                <w:szCs w:val="16"/>
              </w:rPr>
            </w:pPr>
            <w:r w:rsidRPr="001D5327">
              <w:rPr>
                <w:szCs w:val="16"/>
              </w:rPr>
              <w:t>17.1</w:t>
            </w:r>
          </w:p>
        </w:tc>
        <w:tc>
          <w:tcPr>
            <w:tcW w:w="737" w:type="dxa"/>
            <w:shd w:val="clear" w:color="auto" w:fill="FFFFFF" w:themeFill="background1"/>
            <w:tcMar>
              <w:top w:w="0" w:type="dxa"/>
              <w:left w:w="85" w:type="dxa"/>
              <w:bottom w:w="0" w:type="dxa"/>
              <w:right w:w="85" w:type="dxa"/>
            </w:tcMar>
          </w:tcPr>
          <w:p w14:paraId="226F3B50" w14:textId="77777777" w:rsidR="00BC0FD7" w:rsidRPr="001D5327" w:rsidRDefault="00BC0FD7" w:rsidP="00D11AC9">
            <w:pPr>
              <w:pStyle w:val="TableText"/>
              <w:spacing w:before="30" w:after="30"/>
              <w:jc w:val="right"/>
              <w:rPr>
                <w:szCs w:val="16"/>
              </w:rPr>
            </w:pPr>
            <w:r w:rsidRPr="001D5327">
              <w:rPr>
                <w:szCs w:val="16"/>
              </w:rPr>
              <w:t>9.4</w:t>
            </w:r>
          </w:p>
        </w:tc>
        <w:tc>
          <w:tcPr>
            <w:tcW w:w="680" w:type="dxa"/>
            <w:shd w:val="clear" w:color="auto" w:fill="FFFFFF" w:themeFill="background1"/>
            <w:tcMar>
              <w:top w:w="0" w:type="dxa"/>
              <w:left w:w="85" w:type="dxa"/>
              <w:bottom w:w="0" w:type="dxa"/>
              <w:right w:w="85" w:type="dxa"/>
            </w:tcMar>
          </w:tcPr>
          <w:p w14:paraId="2043369E" w14:textId="77777777" w:rsidR="00BC0FD7" w:rsidRPr="001D5327" w:rsidRDefault="00BC0FD7" w:rsidP="00D11AC9">
            <w:pPr>
              <w:pStyle w:val="TableText"/>
              <w:spacing w:before="30" w:after="30"/>
              <w:jc w:val="right"/>
              <w:rPr>
                <w:szCs w:val="16"/>
              </w:rPr>
            </w:pPr>
            <w:r w:rsidRPr="001D5327">
              <w:rPr>
                <w:szCs w:val="16"/>
              </w:rPr>
              <w:t>9.0</w:t>
            </w:r>
          </w:p>
        </w:tc>
        <w:tc>
          <w:tcPr>
            <w:tcW w:w="753" w:type="dxa"/>
            <w:shd w:val="clear" w:color="auto" w:fill="FFFFFF" w:themeFill="background1"/>
            <w:tcMar>
              <w:top w:w="0" w:type="dxa"/>
              <w:left w:w="85" w:type="dxa"/>
              <w:bottom w:w="0" w:type="dxa"/>
              <w:right w:w="85" w:type="dxa"/>
            </w:tcMar>
          </w:tcPr>
          <w:p w14:paraId="4D931AF9" w14:textId="77777777" w:rsidR="00BC0FD7" w:rsidRPr="001D5327" w:rsidRDefault="00BC0FD7" w:rsidP="00D11AC9">
            <w:pPr>
              <w:pStyle w:val="TableText"/>
              <w:spacing w:before="30" w:after="30"/>
              <w:jc w:val="right"/>
              <w:rPr>
                <w:szCs w:val="16"/>
              </w:rPr>
            </w:pPr>
            <w:r w:rsidRPr="001D5327">
              <w:rPr>
                <w:szCs w:val="16"/>
              </w:rPr>
              <w:t>12.0</w:t>
            </w:r>
          </w:p>
        </w:tc>
        <w:tc>
          <w:tcPr>
            <w:tcW w:w="816" w:type="dxa"/>
            <w:shd w:val="clear" w:color="auto" w:fill="FFFFFF" w:themeFill="background1"/>
            <w:tcMar>
              <w:top w:w="0" w:type="dxa"/>
              <w:left w:w="85" w:type="dxa"/>
              <w:bottom w:w="0" w:type="dxa"/>
              <w:right w:w="85" w:type="dxa"/>
            </w:tcMar>
          </w:tcPr>
          <w:p w14:paraId="1F7E988D" w14:textId="77777777" w:rsidR="00BC0FD7" w:rsidRPr="001D5327" w:rsidRDefault="00BC0FD7" w:rsidP="00D11AC9">
            <w:pPr>
              <w:pStyle w:val="TableText"/>
              <w:spacing w:before="30" w:after="30"/>
              <w:jc w:val="right"/>
              <w:rPr>
                <w:szCs w:val="16"/>
              </w:rPr>
            </w:pPr>
            <w:r w:rsidRPr="001D5327">
              <w:rPr>
                <w:szCs w:val="16"/>
              </w:rPr>
              <w:t>3.8</w:t>
            </w:r>
          </w:p>
        </w:tc>
        <w:tc>
          <w:tcPr>
            <w:tcW w:w="753" w:type="dxa"/>
            <w:shd w:val="clear" w:color="auto" w:fill="FFFFFF" w:themeFill="background1"/>
            <w:tcMar>
              <w:top w:w="0" w:type="dxa"/>
              <w:left w:w="85" w:type="dxa"/>
              <w:bottom w:w="0" w:type="dxa"/>
              <w:right w:w="85" w:type="dxa"/>
            </w:tcMar>
          </w:tcPr>
          <w:p w14:paraId="56AF27BF" w14:textId="77777777" w:rsidR="00BC0FD7" w:rsidRPr="001D5327" w:rsidRDefault="00BC0FD7" w:rsidP="00D11AC9">
            <w:pPr>
              <w:pStyle w:val="TableText"/>
              <w:spacing w:before="30" w:after="30"/>
              <w:jc w:val="right"/>
              <w:rPr>
                <w:szCs w:val="16"/>
              </w:rPr>
            </w:pPr>
            <w:r w:rsidRPr="001D5327">
              <w:rPr>
                <w:szCs w:val="16"/>
              </w:rPr>
              <w:t>3.3</w:t>
            </w:r>
          </w:p>
        </w:tc>
        <w:tc>
          <w:tcPr>
            <w:tcW w:w="753" w:type="dxa"/>
            <w:shd w:val="clear" w:color="auto" w:fill="FFFFFF" w:themeFill="background1"/>
            <w:tcMar>
              <w:top w:w="0" w:type="dxa"/>
              <w:left w:w="85" w:type="dxa"/>
              <w:bottom w:w="0" w:type="dxa"/>
              <w:right w:w="85" w:type="dxa"/>
            </w:tcMar>
          </w:tcPr>
          <w:p w14:paraId="1894B204" w14:textId="77777777" w:rsidR="00BC0FD7" w:rsidRPr="001D5327" w:rsidRDefault="00BC0FD7" w:rsidP="00D11AC9">
            <w:pPr>
              <w:pStyle w:val="TableText"/>
              <w:spacing w:before="30" w:after="30"/>
              <w:jc w:val="right"/>
              <w:rPr>
                <w:szCs w:val="16"/>
              </w:rPr>
            </w:pPr>
            <w:r w:rsidRPr="001D5327">
              <w:rPr>
                <w:szCs w:val="16"/>
              </w:rPr>
              <w:t>2.9</w:t>
            </w:r>
          </w:p>
        </w:tc>
        <w:tc>
          <w:tcPr>
            <w:tcW w:w="691" w:type="dxa"/>
            <w:shd w:val="clear" w:color="auto" w:fill="FFFFFF" w:themeFill="background1"/>
            <w:tcMar>
              <w:top w:w="0" w:type="dxa"/>
              <w:left w:w="85" w:type="dxa"/>
              <w:bottom w:w="0" w:type="dxa"/>
              <w:right w:w="85" w:type="dxa"/>
            </w:tcMar>
          </w:tcPr>
          <w:p w14:paraId="1B7DFEF3" w14:textId="77777777" w:rsidR="00BC0FD7" w:rsidRPr="001D5327" w:rsidRDefault="00BC0FD7" w:rsidP="00D11AC9">
            <w:pPr>
              <w:pStyle w:val="TableText"/>
              <w:spacing w:before="30" w:after="30"/>
              <w:jc w:val="right"/>
              <w:rPr>
                <w:szCs w:val="16"/>
              </w:rPr>
            </w:pPr>
            <w:r w:rsidRPr="001D5327">
              <w:rPr>
                <w:szCs w:val="16"/>
              </w:rPr>
              <w:t>42.4</w:t>
            </w:r>
          </w:p>
        </w:tc>
        <w:tc>
          <w:tcPr>
            <w:tcW w:w="1758" w:type="dxa"/>
            <w:shd w:val="clear" w:color="auto" w:fill="FFFFFF" w:themeFill="background1"/>
            <w:tcMar>
              <w:top w:w="0" w:type="dxa"/>
              <w:left w:w="85" w:type="dxa"/>
              <w:bottom w:w="0" w:type="dxa"/>
              <w:right w:w="85" w:type="dxa"/>
            </w:tcMar>
          </w:tcPr>
          <w:p w14:paraId="4BAA6C4B" w14:textId="77777777" w:rsidR="00BC0FD7" w:rsidRPr="001D5327" w:rsidRDefault="00BC0FD7" w:rsidP="00D11AC9">
            <w:pPr>
              <w:pStyle w:val="TableText"/>
              <w:spacing w:before="30" w:after="30"/>
              <w:rPr>
                <w:szCs w:val="16"/>
              </w:rPr>
            </w:pPr>
            <w:r w:rsidRPr="001D5327">
              <w:rPr>
                <w:szCs w:val="16"/>
              </w:rPr>
              <w:t>Based on survey data</w:t>
            </w:r>
          </w:p>
        </w:tc>
      </w:tr>
      <w:tr w:rsidR="00EC0FF4" w:rsidRPr="001D5327" w14:paraId="6E536389" w14:textId="77777777" w:rsidTr="00EC0FF4">
        <w:tc>
          <w:tcPr>
            <w:tcW w:w="907" w:type="dxa"/>
            <w:shd w:val="clear" w:color="auto" w:fill="FFFFFF" w:themeFill="background1"/>
            <w:tcMar>
              <w:top w:w="0" w:type="dxa"/>
              <w:left w:w="85" w:type="dxa"/>
              <w:bottom w:w="0" w:type="dxa"/>
              <w:right w:w="85" w:type="dxa"/>
            </w:tcMar>
          </w:tcPr>
          <w:p w14:paraId="579C83F2" w14:textId="77777777" w:rsidR="00BC0FD7" w:rsidRPr="001D5327" w:rsidRDefault="00BC0FD7" w:rsidP="00D11AC9">
            <w:pPr>
              <w:pStyle w:val="TableText"/>
              <w:spacing w:before="30" w:after="30"/>
              <w:rPr>
                <w:b/>
                <w:bCs/>
                <w:szCs w:val="16"/>
              </w:rPr>
            </w:pPr>
            <w:r w:rsidRPr="001D5327">
              <w:rPr>
                <w:rFonts w:eastAsia="Calibri"/>
                <w:b/>
                <w:bCs/>
                <w:color w:val="1B556B"/>
                <w:szCs w:val="16"/>
              </w:rPr>
              <w:t>2009</w:t>
            </w:r>
          </w:p>
        </w:tc>
        <w:tc>
          <w:tcPr>
            <w:tcW w:w="624" w:type="dxa"/>
            <w:shd w:val="clear" w:color="auto" w:fill="FFFFFF" w:themeFill="background1"/>
            <w:tcMar>
              <w:top w:w="0" w:type="dxa"/>
              <w:left w:w="85" w:type="dxa"/>
              <w:bottom w:w="0" w:type="dxa"/>
              <w:right w:w="85" w:type="dxa"/>
            </w:tcMar>
          </w:tcPr>
          <w:p w14:paraId="2A7EAD7D" w14:textId="77777777" w:rsidR="00BC0FD7" w:rsidRPr="001D5327" w:rsidRDefault="00BC0FD7" w:rsidP="00D11AC9">
            <w:pPr>
              <w:pStyle w:val="TableText"/>
              <w:spacing w:before="30" w:after="30"/>
              <w:jc w:val="right"/>
              <w:rPr>
                <w:szCs w:val="16"/>
              </w:rPr>
            </w:pPr>
            <w:r w:rsidRPr="001D5327">
              <w:rPr>
                <w:szCs w:val="16"/>
              </w:rPr>
              <w:t>17.0</w:t>
            </w:r>
          </w:p>
        </w:tc>
        <w:tc>
          <w:tcPr>
            <w:tcW w:w="737" w:type="dxa"/>
            <w:shd w:val="clear" w:color="auto" w:fill="FFFFFF" w:themeFill="background1"/>
            <w:tcMar>
              <w:top w:w="0" w:type="dxa"/>
              <w:left w:w="85" w:type="dxa"/>
              <w:bottom w:w="0" w:type="dxa"/>
              <w:right w:w="85" w:type="dxa"/>
            </w:tcMar>
          </w:tcPr>
          <w:p w14:paraId="58D24E54" w14:textId="77777777" w:rsidR="00BC0FD7" w:rsidRPr="001D5327" w:rsidRDefault="00BC0FD7" w:rsidP="00D11AC9">
            <w:pPr>
              <w:pStyle w:val="TableText"/>
              <w:spacing w:before="30" w:after="30"/>
              <w:jc w:val="right"/>
              <w:rPr>
                <w:szCs w:val="16"/>
              </w:rPr>
            </w:pPr>
            <w:r w:rsidRPr="001D5327">
              <w:rPr>
                <w:szCs w:val="16"/>
              </w:rPr>
              <w:t>9.1</w:t>
            </w:r>
          </w:p>
        </w:tc>
        <w:tc>
          <w:tcPr>
            <w:tcW w:w="680" w:type="dxa"/>
            <w:shd w:val="clear" w:color="auto" w:fill="FFFFFF" w:themeFill="background1"/>
            <w:tcMar>
              <w:top w:w="0" w:type="dxa"/>
              <w:left w:w="85" w:type="dxa"/>
              <w:bottom w:w="0" w:type="dxa"/>
              <w:right w:w="85" w:type="dxa"/>
            </w:tcMar>
          </w:tcPr>
          <w:p w14:paraId="1713D604" w14:textId="77777777" w:rsidR="00BC0FD7" w:rsidRPr="001D5327" w:rsidRDefault="00BC0FD7" w:rsidP="00D11AC9">
            <w:pPr>
              <w:pStyle w:val="TableText"/>
              <w:spacing w:before="30" w:after="30"/>
              <w:jc w:val="right"/>
              <w:rPr>
                <w:szCs w:val="16"/>
              </w:rPr>
            </w:pPr>
            <w:r w:rsidRPr="001D5327">
              <w:rPr>
                <w:szCs w:val="16"/>
              </w:rPr>
              <w:t>9.4</w:t>
            </w:r>
          </w:p>
        </w:tc>
        <w:tc>
          <w:tcPr>
            <w:tcW w:w="753" w:type="dxa"/>
            <w:shd w:val="clear" w:color="auto" w:fill="FFFFFF" w:themeFill="background1"/>
            <w:tcMar>
              <w:top w:w="0" w:type="dxa"/>
              <w:left w:w="85" w:type="dxa"/>
              <w:bottom w:w="0" w:type="dxa"/>
              <w:right w:w="85" w:type="dxa"/>
            </w:tcMar>
          </w:tcPr>
          <w:p w14:paraId="6F0627B3" w14:textId="77777777" w:rsidR="00BC0FD7" w:rsidRPr="001D5327" w:rsidRDefault="00BC0FD7" w:rsidP="00D11AC9">
            <w:pPr>
              <w:pStyle w:val="TableText"/>
              <w:spacing w:before="30" w:after="30"/>
              <w:jc w:val="right"/>
              <w:rPr>
                <w:szCs w:val="16"/>
              </w:rPr>
            </w:pPr>
            <w:r w:rsidRPr="001D5327">
              <w:rPr>
                <w:szCs w:val="16"/>
              </w:rPr>
              <w:t>12.0</w:t>
            </w:r>
          </w:p>
        </w:tc>
        <w:tc>
          <w:tcPr>
            <w:tcW w:w="816" w:type="dxa"/>
            <w:shd w:val="clear" w:color="auto" w:fill="FFFFFF" w:themeFill="background1"/>
            <w:tcMar>
              <w:top w:w="0" w:type="dxa"/>
              <w:left w:w="85" w:type="dxa"/>
              <w:bottom w:w="0" w:type="dxa"/>
              <w:right w:w="85" w:type="dxa"/>
            </w:tcMar>
          </w:tcPr>
          <w:p w14:paraId="5A2DEC78" w14:textId="77777777" w:rsidR="00BC0FD7" w:rsidRPr="001D5327" w:rsidRDefault="00BC0FD7" w:rsidP="00D11AC9">
            <w:pPr>
              <w:pStyle w:val="TableText"/>
              <w:spacing w:before="30" w:after="30"/>
              <w:jc w:val="right"/>
              <w:rPr>
                <w:szCs w:val="16"/>
              </w:rPr>
            </w:pPr>
            <w:r w:rsidRPr="001D5327">
              <w:rPr>
                <w:szCs w:val="16"/>
              </w:rPr>
              <w:t>4.3</w:t>
            </w:r>
          </w:p>
        </w:tc>
        <w:tc>
          <w:tcPr>
            <w:tcW w:w="753" w:type="dxa"/>
            <w:shd w:val="clear" w:color="auto" w:fill="FFFFFF" w:themeFill="background1"/>
            <w:tcMar>
              <w:top w:w="0" w:type="dxa"/>
              <w:left w:w="85" w:type="dxa"/>
              <w:bottom w:w="0" w:type="dxa"/>
              <w:right w:w="85" w:type="dxa"/>
            </w:tcMar>
          </w:tcPr>
          <w:p w14:paraId="2ED5ADE8" w14:textId="77777777" w:rsidR="00BC0FD7" w:rsidRPr="001D5327" w:rsidRDefault="00BC0FD7" w:rsidP="00D11AC9">
            <w:pPr>
              <w:pStyle w:val="TableText"/>
              <w:spacing w:before="30" w:after="30"/>
              <w:jc w:val="right"/>
              <w:rPr>
                <w:szCs w:val="16"/>
              </w:rPr>
            </w:pPr>
            <w:r w:rsidRPr="001D5327">
              <w:rPr>
                <w:szCs w:val="16"/>
              </w:rPr>
              <w:t>3.2</w:t>
            </w:r>
          </w:p>
        </w:tc>
        <w:tc>
          <w:tcPr>
            <w:tcW w:w="753" w:type="dxa"/>
            <w:shd w:val="clear" w:color="auto" w:fill="FFFFFF" w:themeFill="background1"/>
            <w:tcMar>
              <w:top w:w="0" w:type="dxa"/>
              <w:left w:w="85" w:type="dxa"/>
              <w:bottom w:w="0" w:type="dxa"/>
              <w:right w:w="85" w:type="dxa"/>
            </w:tcMar>
          </w:tcPr>
          <w:p w14:paraId="567D6FDA" w14:textId="77777777" w:rsidR="00BC0FD7" w:rsidRPr="001D5327" w:rsidRDefault="00BC0FD7" w:rsidP="00D11AC9">
            <w:pPr>
              <w:pStyle w:val="TableText"/>
              <w:spacing w:before="30" w:after="30"/>
              <w:jc w:val="right"/>
              <w:rPr>
                <w:szCs w:val="16"/>
              </w:rPr>
            </w:pPr>
            <w:r w:rsidRPr="001D5327">
              <w:rPr>
                <w:szCs w:val="16"/>
              </w:rPr>
              <w:t>3.2</w:t>
            </w:r>
          </w:p>
        </w:tc>
        <w:tc>
          <w:tcPr>
            <w:tcW w:w="691" w:type="dxa"/>
            <w:shd w:val="clear" w:color="auto" w:fill="FFFFFF" w:themeFill="background1"/>
            <w:tcMar>
              <w:top w:w="0" w:type="dxa"/>
              <w:left w:w="85" w:type="dxa"/>
              <w:bottom w:w="0" w:type="dxa"/>
              <w:right w:w="85" w:type="dxa"/>
            </w:tcMar>
          </w:tcPr>
          <w:p w14:paraId="2538DE7B" w14:textId="77777777" w:rsidR="00BC0FD7" w:rsidRPr="001D5327" w:rsidRDefault="00BC0FD7" w:rsidP="00D11AC9">
            <w:pPr>
              <w:pStyle w:val="TableText"/>
              <w:spacing w:before="30" w:after="30"/>
              <w:jc w:val="right"/>
              <w:rPr>
                <w:szCs w:val="16"/>
              </w:rPr>
            </w:pPr>
            <w:r w:rsidRPr="001D5327">
              <w:rPr>
                <w:szCs w:val="16"/>
              </w:rPr>
              <w:t>41.8</w:t>
            </w:r>
          </w:p>
        </w:tc>
        <w:tc>
          <w:tcPr>
            <w:tcW w:w="1758" w:type="dxa"/>
            <w:shd w:val="clear" w:color="auto" w:fill="FFFFFF" w:themeFill="background1"/>
            <w:tcMar>
              <w:top w:w="0" w:type="dxa"/>
              <w:left w:w="85" w:type="dxa"/>
              <w:bottom w:w="0" w:type="dxa"/>
              <w:right w:w="85" w:type="dxa"/>
            </w:tcMar>
          </w:tcPr>
          <w:p w14:paraId="11BBD7D3" w14:textId="77777777" w:rsidR="00BC0FD7" w:rsidRPr="001D5327" w:rsidRDefault="00BC0FD7" w:rsidP="00D11AC9">
            <w:pPr>
              <w:pStyle w:val="TableText"/>
              <w:spacing w:before="30" w:after="30"/>
              <w:rPr>
                <w:szCs w:val="16"/>
              </w:rPr>
            </w:pPr>
            <w:r w:rsidRPr="001D5327">
              <w:rPr>
                <w:szCs w:val="16"/>
              </w:rPr>
              <w:t>Based on interpolation</w:t>
            </w:r>
          </w:p>
        </w:tc>
      </w:tr>
      <w:tr w:rsidR="00EC0FF4" w:rsidRPr="001D5327" w14:paraId="34738296" w14:textId="77777777" w:rsidTr="00EC0FF4">
        <w:tc>
          <w:tcPr>
            <w:tcW w:w="907" w:type="dxa"/>
            <w:shd w:val="clear" w:color="auto" w:fill="FFFFFF" w:themeFill="background1"/>
            <w:tcMar>
              <w:top w:w="0" w:type="dxa"/>
              <w:left w:w="85" w:type="dxa"/>
              <w:bottom w:w="0" w:type="dxa"/>
              <w:right w:w="85" w:type="dxa"/>
            </w:tcMar>
          </w:tcPr>
          <w:p w14:paraId="101E6D38" w14:textId="77777777" w:rsidR="00BC0FD7" w:rsidRPr="001D5327" w:rsidRDefault="00BC0FD7" w:rsidP="00D11AC9">
            <w:pPr>
              <w:pStyle w:val="TableText"/>
              <w:spacing w:before="30" w:after="30"/>
              <w:rPr>
                <w:b/>
                <w:bCs/>
                <w:szCs w:val="16"/>
              </w:rPr>
            </w:pPr>
            <w:r w:rsidRPr="001D5327">
              <w:rPr>
                <w:rFonts w:eastAsia="Calibri"/>
                <w:b/>
                <w:bCs/>
                <w:color w:val="1B556B"/>
                <w:szCs w:val="16"/>
              </w:rPr>
              <w:t>2010</w:t>
            </w:r>
          </w:p>
        </w:tc>
        <w:tc>
          <w:tcPr>
            <w:tcW w:w="624" w:type="dxa"/>
            <w:shd w:val="clear" w:color="auto" w:fill="FFFFFF" w:themeFill="background1"/>
            <w:tcMar>
              <w:top w:w="0" w:type="dxa"/>
              <w:left w:w="85" w:type="dxa"/>
              <w:bottom w:w="0" w:type="dxa"/>
              <w:right w:w="85" w:type="dxa"/>
            </w:tcMar>
          </w:tcPr>
          <w:p w14:paraId="7A50A6ED" w14:textId="77777777" w:rsidR="00BC0FD7" w:rsidRPr="001D5327" w:rsidRDefault="00BC0FD7" w:rsidP="00D11AC9">
            <w:pPr>
              <w:pStyle w:val="TableText"/>
              <w:spacing w:before="30" w:after="30"/>
              <w:jc w:val="right"/>
              <w:rPr>
                <w:szCs w:val="16"/>
              </w:rPr>
            </w:pPr>
            <w:r w:rsidRPr="001D5327">
              <w:rPr>
                <w:szCs w:val="16"/>
              </w:rPr>
              <w:t>16.9</w:t>
            </w:r>
          </w:p>
        </w:tc>
        <w:tc>
          <w:tcPr>
            <w:tcW w:w="737" w:type="dxa"/>
            <w:shd w:val="clear" w:color="auto" w:fill="FFFFFF" w:themeFill="background1"/>
            <w:tcMar>
              <w:top w:w="0" w:type="dxa"/>
              <w:left w:w="85" w:type="dxa"/>
              <w:bottom w:w="0" w:type="dxa"/>
              <w:right w:w="85" w:type="dxa"/>
            </w:tcMar>
          </w:tcPr>
          <w:p w14:paraId="0320CB09" w14:textId="77777777" w:rsidR="00BC0FD7" w:rsidRPr="001D5327" w:rsidRDefault="00BC0FD7" w:rsidP="00D11AC9">
            <w:pPr>
              <w:pStyle w:val="TableText"/>
              <w:spacing w:before="30" w:after="30"/>
              <w:jc w:val="right"/>
              <w:rPr>
                <w:szCs w:val="16"/>
              </w:rPr>
            </w:pPr>
            <w:r w:rsidRPr="001D5327">
              <w:rPr>
                <w:szCs w:val="16"/>
              </w:rPr>
              <w:t>8.9</w:t>
            </w:r>
          </w:p>
        </w:tc>
        <w:tc>
          <w:tcPr>
            <w:tcW w:w="680" w:type="dxa"/>
            <w:shd w:val="clear" w:color="auto" w:fill="FFFFFF" w:themeFill="background1"/>
            <w:tcMar>
              <w:top w:w="0" w:type="dxa"/>
              <w:left w:w="85" w:type="dxa"/>
              <w:bottom w:w="0" w:type="dxa"/>
              <w:right w:w="85" w:type="dxa"/>
            </w:tcMar>
          </w:tcPr>
          <w:p w14:paraId="1C19D257" w14:textId="77777777" w:rsidR="00BC0FD7" w:rsidRPr="001D5327" w:rsidRDefault="00BC0FD7" w:rsidP="00D11AC9">
            <w:pPr>
              <w:pStyle w:val="TableText"/>
              <w:spacing w:before="30" w:after="30"/>
              <w:jc w:val="right"/>
              <w:rPr>
                <w:szCs w:val="16"/>
              </w:rPr>
            </w:pPr>
            <w:r w:rsidRPr="001D5327">
              <w:rPr>
                <w:szCs w:val="16"/>
              </w:rPr>
              <w:t>9.8</w:t>
            </w:r>
          </w:p>
        </w:tc>
        <w:tc>
          <w:tcPr>
            <w:tcW w:w="753" w:type="dxa"/>
            <w:shd w:val="clear" w:color="auto" w:fill="FFFFFF" w:themeFill="background1"/>
            <w:tcMar>
              <w:top w:w="0" w:type="dxa"/>
              <w:left w:w="85" w:type="dxa"/>
              <w:bottom w:w="0" w:type="dxa"/>
              <w:right w:w="85" w:type="dxa"/>
            </w:tcMar>
          </w:tcPr>
          <w:p w14:paraId="25A724AF" w14:textId="77777777" w:rsidR="00BC0FD7" w:rsidRPr="001D5327" w:rsidRDefault="00BC0FD7" w:rsidP="00D11AC9">
            <w:pPr>
              <w:pStyle w:val="TableText"/>
              <w:spacing w:before="30" w:after="30"/>
              <w:jc w:val="right"/>
              <w:rPr>
                <w:szCs w:val="16"/>
              </w:rPr>
            </w:pPr>
            <w:r w:rsidRPr="001D5327">
              <w:rPr>
                <w:szCs w:val="16"/>
              </w:rPr>
              <w:t>11.9</w:t>
            </w:r>
          </w:p>
        </w:tc>
        <w:tc>
          <w:tcPr>
            <w:tcW w:w="816" w:type="dxa"/>
            <w:shd w:val="clear" w:color="auto" w:fill="FFFFFF" w:themeFill="background1"/>
            <w:tcMar>
              <w:top w:w="0" w:type="dxa"/>
              <w:left w:w="85" w:type="dxa"/>
              <w:bottom w:w="0" w:type="dxa"/>
              <w:right w:w="85" w:type="dxa"/>
            </w:tcMar>
          </w:tcPr>
          <w:p w14:paraId="18370639" w14:textId="77777777" w:rsidR="00BC0FD7" w:rsidRPr="001D5327" w:rsidRDefault="00BC0FD7" w:rsidP="00D11AC9">
            <w:pPr>
              <w:pStyle w:val="TableText"/>
              <w:spacing w:before="30" w:after="30"/>
              <w:jc w:val="right"/>
              <w:rPr>
                <w:szCs w:val="16"/>
              </w:rPr>
            </w:pPr>
            <w:r w:rsidRPr="001D5327">
              <w:rPr>
                <w:szCs w:val="16"/>
              </w:rPr>
              <w:t>4.7</w:t>
            </w:r>
          </w:p>
        </w:tc>
        <w:tc>
          <w:tcPr>
            <w:tcW w:w="753" w:type="dxa"/>
            <w:shd w:val="clear" w:color="auto" w:fill="FFFFFF" w:themeFill="background1"/>
            <w:tcMar>
              <w:top w:w="0" w:type="dxa"/>
              <w:left w:w="85" w:type="dxa"/>
              <w:bottom w:w="0" w:type="dxa"/>
              <w:right w:w="85" w:type="dxa"/>
            </w:tcMar>
          </w:tcPr>
          <w:p w14:paraId="11F67879" w14:textId="77777777" w:rsidR="00BC0FD7" w:rsidRPr="001D5327" w:rsidRDefault="00BC0FD7" w:rsidP="00D11AC9">
            <w:pPr>
              <w:pStyle w:val="TableText"/>
              <w:spacing w:before="30" w:after="30"/>
              <w:jc w:val="right"/>
              <w:rPr>
                <w:szCs w:val="16"/>
              </w:rPr>
            </w:pPr>
            <w:r w:rsidRPr="001D5327">
              <w:rPr>
                <w:szCs w:val="16"/>
              </w:rPr>
              <w:t>3.2</w:t>
            </w:r>
          </w:p>
        </w:tc>
        <w:tc>
          <w:tcPr>
            <w:tcW w:w="753" w:type="dxa"/>
            <w:shd w:val="clear" w:color="auto" w:fill="FFFFFF" w:themeFill="background1"/>
            <w:tcMar>
              <w:top w:w="0" w:type="dxa"/>
              <w:left w:w="85" w:type="dxa"/>
              <w:bottom w:w="0" w:type="dxa"/>
              <w:right w:w="85" w:type="dxa"/>
            </w:tcMar>
          </w:tcPr>
          <w:p w14:paraId="3778838A" w14:textId="77777777" w:rsidR="00BC0FD7" w:rsidRPr="001D5327" w:rsidRDefault="00BC0FD7" w:rsidP="00D11AC9">
            <w:pPr>
              <w:pStyle w:val="TableText"/>
              <w:spacing w:before="30" w:after="30"/>
              <w:jc w:val="right"/>
              <w:rPr>
                <w:szCs w:val="16"/>
              </w:rPr>
            </w:pPr>
            <w:r w:rsidRPr="001D5327">
              <w:rPr>
                <w:szCs w:val="16"/>
              </w:rPr>
              <w:t>3.4</w:t>
            </w:r>
          </w:p>
        </w:tc>
        <w:tc>
          <w:tcPr>
            <w:tcW w:w="691" w:type="dxa"/>
            <w:shd w:val="clear" w:color="auto" w:fill="FFFFFF" w:themeFill="background1"/>
            <w:tcMar>
              <w:top w:w="0" w:type="dxa"/>
              <w:left w:w="85" w:type="dxa"/>
              <w:bottom w:w="0" w:type="dxa"/>
              <w:right w:w="85" w:type="dxa"/>
            </w:tcMar>
          </w:tcPr>
          <w:p w14:paraId="255B06D9" w14:textId="77777777" w:rsidR="00BC0FD7" w:rsidRPr="001D5327" w:rsidRDefault="00BC0FD7" w:rsidP="00D11AC9">
            <w:pPr>
              <w:pStyle w:val="TableText"/>
              <w:spacing w:before="30" w:after="30"/>
              <w:jc w:val="right"/>
              <w:rPr>
                <w:szCs w:val="16"/>
              </w:rPr>
            </w:pPr>
            <w:r w:rsidRPr="001D5327">
              <w:rPr>
                <w:szCs w:val="16"/>
              </w:rPr>
              <w:t>41.1</w:t>
            </w:r>
          </w:p>
        </w:tc>
        <w:tc>
          <w:tcPr>
            <w:tcW w:w="1758" w:type="dxa"/>
            <w:shd w:val="clear" w:color="auto" w:fill="FFFFFF" w:themeFill="background1"/>
            <w:tcMar>
              <w:top w:w="0" w:type="dxa"/>
              <w:left w:w="85" w:type="dxa"/>
              <w:bottom w:w="0" w:type="dxa"/>
              <w:right w:w="85" w:type="dxa"/>
            </w:tcMar>
          </w:tcPr>
          <w:p w14:paraId="302271C6" w14:textId="77777777" w:rsidR="00BC0FD7" w:rsidRPr="001D5327" w:rsidRDefault="00BC0FD7" w:rsidP="00D11AC9">
            <w:pPr>
              <w:pStyle w:val="TableText"/>
              <w:spacing w:before="30" w:after="30"/>
              <w:rPr>
                <w:szCs w:val="16"/>
              </w:rPr>
            </w:pPr>
            <w:r w:rsidRPr="001D5327">
              <w:rPr>
                <w:szCs w:val="16"/>
              </w:rPr>
              <w:t>Based on interpolation</w:t>
            </w:r>
          </w:p>
        </w:tc>
      </w:tr>
      <w:tr w:rsidR="00EC0FF4" w:rsidRPr="001D5327" w14:paraId="258F93AA" w14:textId="77777777" w:rsidTr="00EC0FF4">
        <w:tc>
          <w:tcPr>
            <w:tcW w:w="907" w:type="dxa"/>
            <w:shd w:val="clear" w:color="auto" w:fill="FFFFFF" w:themeFill="background1"/>
            <w:tcMar>
              <w:top w:w="0" w:type="dxa"/>
              <w:left w:w="85" w:type="dxa"/>
              <w:bottom w:w="0" w:type="dxa"/>
              <w:right w:w="85" w:type="dxa"/>
            </w:tcMar>
          </w:tcPr>
          <w:p w14:paraId="4E657D2C" w14:textId="77777777" w:rsidR="00BC0FD7" w:rsidRPr="001D5327" w:rsidRDefault="00BC0FD7" w:rsidP="00D11AC9">
            <w:pPr>
              <w:pStyle w:val="TableText"/>
              <w:spacing w:before="30" w:after="30"/>
              <w:rPr>
                <w:b/>
                <w:bCs/>
                <w:szCs w:val="16"/>
              </w:rPr>
            </w:pPr>
            <w:r w:rsidRPr="001D5327">
              <w:rPr>
                <w:rFonts w:eastAsia="Calibri"/>
                <w:b/>
                <w:bCs/>
                <w:color w:val="1B556B"/>
                <w:szCs w:val="16"/>
              </w:rPr>
              <w:t>2011</w:t>
            </w:r>
          </w:p>
        </w:tc>
        <w:tc>
          <w:tcPr>
            <w:tcW w:w="624" w:type="dxa"/>
            <w:shd w:val="clear" w:color="auto" w:fill="FFFFFF" w:themeFill="background1"/>
            <w:tcMar>
              <w:top w:w="0" w:type="dxa"/>
              <w:left w:w="85" w:type="dxa"/>
              <w:bottom w:w="0" w:type="dxa"/>
              <w:right w:w="85" w:type="dxa"/>
            </w:tcMar>
          </w:tcPr>
          <w:p w14:paraId="267FE22B" w14:textId="77777777" w:rsidR="00BC0FD7" w:rsidRPr="001D5327" w:rsidRDefault="00BC0FD7" w:rsidP="00D11AC9">
            <w:pPr>
              <w:pStyle w:val="TableText"/>
              <w:spacing w:before="30" w:after="30"/>
              <w:jc w:val="right"/>
              <w:rPr>
                <w:szCs w:val="16"/>
              </w:rPr>
            </w:pPr>
            <w:r w:rsidRPr="001D5327">
              <w:rPr>
                <w:szCs w:val="16"/>
              </w:rPr>
              <w:t>16.9</w:t>
            </w:r>
          </w:p>
        </w:tc>
        <w:tc>
          <w:tcPr>
            <w:tcW w:w="737" w:type="dxa"/>
            <w:shd w:val="clear" w:color="auto" w:fill="FFFFFF" w:themeFill="background1"/>
            <w:tcMar>
              <w:top w:w="0" w:type="dxa"/>
              <w:left w:w="85" w:type="dxa"/>
              <w:bottom w:w="0" w:type="dxa"/>
              <w:right w:w="85" w:type="dxa"/>
            </w:tcMar>
          </w:tcPr>
          <w:p w14:paraId="131455A7" w14:textId="77777777" w:rsidR="00BC0FD7" w:rsidRPr="001D5327" w:rsidRDefault="00BC0FD7" w:rsidP="00D11AC9">
            <w:pPr>
              <w:pStyle w:val="TableText"/>
              <w:spacing w:before="30" w:after="30"/>
              <w:jc w:val="right"/>
              <w:rPr>
                <w:szCs w:val="16"/>
              </w:rPr>
            </w:pPr>
            <w:r w:rsidRPr="001D5327">
              <w:rPr>
                <w:szCs w:val="16"/>
              </w:rPr>
              <w:t>8.6</w:t>
            </w:r>
          </w:p>
        </w:tc>
        <w:tc>
          <w:tcPr>
            <w:tcW w:w="680" w:type="dxa"/>
            <w:shd w:val="clear" w:color="auto" w:fill="FFFFFF" w:themeFill="background1"/>
            <w:tcMar>
              <w:top w:w="0" w:type="dxa"/>
              <w:left w:w="85" w:type="dxa"/>
              <w:bottom w:w="0" w:type="dxa"/>
              <w:right w:w="85" w:type="dxa"/>
            </w:tcMar>
          </w:tcPr>
          <w:p w14:paraId="0E26ACD5" w14:textId="77777777" w:rsidR="00BC0FD7" w:rsidRPr="001D5327" w:rsidRDefault="00BC0FD7" w:rsidP="00D11AC9">
            <w:pPr>
              <w:pStyle w:val="TableText"/>
              <w:spacing w:before="30" w:after="30"/>
              <w:jc w:val="right"/>
              <w:rPr>
                <w:szCs w:val="16"/>
              </w:rPr>
            </w:pPr>
            <w:r w:rsidRPr="001D5327">
              <w:rPr>
                <w:szCs w:val="16"/>
              </w:rPr>
              <w:t>10.3</w:t>
            </w:r>
          </w:p>
        </w:tc>
        <w:tc>
          <w:tcPr>
            <w:tcW w:w="753" w:type="dxa"/>
            <w:shd w:val="clear" w:color="auto" w:fill="FFFFFF" w:themeFill="background1"/>
            <w:tcMar>
              <w:top w:w="0" w:type="dxa"/>
              <w:left w:w="85" w:type="dxa"/>
              <w:bottom w:w="0" w:type="dxa"/>
              <w:right w:w="85" w:type="dxa"/>
            </w:tcMar>
          </w:tcPr>
          <w:p w14:paraId="7CC10D97" w14:textId="77777777" w:rsidR="00BC0FD7" w:rsidRPr="001D5327" w:rsidRDefault="00BC0FD7" w:rsidP="00D11AC9">
            <w:pPr>
              <w:pStyle w:val="TableText"/>
              <w:spacing w:before="30" w:after="30"/>
              <w:jc w:val="right"/>
              <w:rPr>
                <w:szCs w:val="16"/>
              </w:rPr>
            </w:pPr>
            <w:r w:rsidRPr="001D5327">
              <w:rPr>
                <w:szCs w:val="16"/>
              </w:rPr>
              <w:t>11.9</w:t>
            </w:r>
          </w:p>
        </w:tc>
        <w:tc>
          <w:tcPr>
            <w:tcW w:w="816" w:type="dxa"/>
            <w:shd w:val="clear" w:color="auto" w:fill="FFFFFF" w:themeFill="background1"/>
            <w:tcMar>
              <w:top w:w="0" w:type="dxa"/>
              <w:left w:w="85" w:type="dxa"/>
              <w:bottom w:w="0" w:type="dxa"/>
              <w:right w:w="85" w:type="dxa"/>
            </w:tcMar>
          </w:tcPr>
          <w:p w14:paraId="15334C20" w14:textId="77777777" w:rsidR="00BC0FD7" w:rsidRPr="001D5327" w:rsidRDefault="00BC0FD7" w:rsidP="00D11AC9">
            <w:pPr>
              <w:pStyle w:val="TableText"/>
              <w:spacing w:before="30" w:after="30"/>
              <w:jc w:val="right"/>
              <w:rPr>
                <w:szCs w:val="16"/>
              </w:rPr>
            </w:pPr>
            <w:r w:rsidRPr="001D5327">
              <w:rPr>
                <w:szCs w:val="16"/>
              </w:rPr>
              <w:t>5.2</w:t>
            </w:r>
          </w:p>
        </w:tc>
        <w:tc>
          <w:tcPr>
            <w:tcW w:w="753" w:type="dxa"/>
            <w:shd w:val="clear" w:color="auto" w:fill="FFFFFF" w:themeFill="background1"/>
            <w:tcMar>
              <w:top w:w="0" w:type="dxa"/>
              <w:left w:w="85" w:type="dxa"/>
              <w:bottom w:w="0" w:type="dxa"/>
              <w:right w:w="85" w:type="dxa"/>
            </w:tcMar>
          </w:tcPr>
          <w:p w14:paraId="6BFC1B40" w14:textId="77777777" w:rsidR="00BC0FD7" w:rsidRPr="001D5327" w:rsidRDefault="00BC0FD7" w:rsidP="00D11AC9">
            <w:pPr>
              <w:pStyle w:val="TableText"/>
              <w:spacing w:before="30" w:after="30"/>
              <w:jc w:val="right"/>
              <w:rPr>
                <w:szCs w:val="16"/>
              </w:rPr>
            </w:pPr>
            <w:r w:rsidRPr="001D5327">
              <w:rPr>
                <w:szCs w:val="16"/>
              </w:rPr>
              <w:t>3.1</w:t>
            </w:r>
          </w:p>
        </w:tc>
        <w:tc>
          <w:tcPr>
            <w:tcW w:w="753" w:type="dxa"/>
            <w:shd w:val="clear" w:color="auto" w:fill="FFFFFF" w:themeFill="background1"/>
            <w:tcMar>
              <w:top w:w="0" w:type="dxa"/>
              <w:left w:w="85" w:type="dxa"/>
              <w:bottom w:w="0" w:type="dxa"/>
              <w:right w:w="85" w:type="dxa"/>
            </w:tcMar>
          </w:tcPr>
          <w:p w14:paraId="41AE45DC" w14:textId="77777777" w:rsidR="00BC0FD7" w:rsidRPr="001D5327" w:rsidRDefault="00BC0FD7" w:rsidP="00D11AC9">
            <w:pPr>
              <w:pStyle w:val="TableText"/>
              <w:spacing w:before="30" w:after="30"/>
              <w:jc w:val="right"/>
              <w:rPr>
                <w:szCs w:val="16"/>
              </w:rPr>
            </w:pPr>
            <w:r w:rsidRPr="001D5327">
              <w:rPr>
                <w:szCs w:val="16"/>
              </w:rPr>
              <w:t>3.7</w:t>
            </w:r>
          </w:p>
        </w:tc>
        <w:tc>
          <w:tcPr>
            <w:tcW w:w="691" w:type="dxa"/>
            <w:shd w:val="clear" w:color="auto" w:fill="FFFFFF" w:themeFill="background1"/>
            <w:tcMar>
              <w:top w:w="0" w:type="dxa"/>
              <w:left w:w="85" w:type="dxa"/>
              <w:bottom w:w="0" w:type="dxa"/>
              <w:right w:w="85" w:type="dxa"/>
            </w:tcMar>
          </w:tcPr>
          <w:p w14:paraId="55BADA11" w14:textId="77777777" w:rsidR="00BC0FD7" w:rsidRPr="001D5327" w:rsidRDefault="00BC0FD7" w:rsidP="00D11AC9">
            <w:pPr>
              <w:pStyle w:val="TableText"/>
              <w:spacing w:before="30" w:after="30"/>
              <w:jc w:val="right"/>
              <w:rPr>
                <w:szCs w:val="16"/>
              </w:rPr>
            </w:pPr>
            <w:r w:rsidRPr="001D5327">
              <w:rPr>
                <w:szCs w:val="16"/>
              </w:rPr>
              <w:t>40.5</w:t>
            </w:r>
          </w:p>
        </w:tc>
        <w:tc>
          <w:tcPr>
            <w:tcW w:w="1758" w:type="dxa"/>
            <w:shd w:val="clear" w:color="auto" w:fill="FFFFFF" w:themeFill="background1"/>
            <w:tcMar>
              <w:top w:w="0" w:type="dxa"/>
              <w:left w:w="85" w:type="dxa"/>
              <w:bottom w:w="0" w:type="dxa"/>
              <w:right w:w="85" w:type="dxa"/>
            </w:tcMar>
          </w:tcPr>
          <w:p w14:paraId="7C4CB383" w14:textId="77777777" w:rsidR="00BC0FD7" w:rsidRPr="001D5327" w:rsidRDefault="00BC0FD7" w:rsidP="00D11AC9">
            <w:pPr>
              <w:pStyle w:val="TableText"/>
              <w:spacing w:before="30" w:after="30"/>
              <w:rPr>
                <w:szCs w:val="16"/>
              </w:rPr>
            </w:pPr>
            <w:r w:rsidRPr="001D5327">
              <w:rPr>
                <w:szCs w:val="16"/>
              </w:rPr>
              <w:t>Based on interpolation</w:t>
            </w:r>
          </w:p>
        </w:tc>
      </w:tr>
      <w:tr w:rsidR="00EC0FF4" w:rsidRPr="001D5327" w14:paraId="130F92F5" w14:textId="77777777" w:rsidTr="00EC0FF4">
        <w:tc>
          <w:tcPr>
            <w:tcW w:w="907" w:type="dxa"/>
            <w:shd w:val="clear" w:color="auto" w:fill="FFFFFF" w:themeFill="background1"/>
            <w:tcMar>
              <w:top w:w="0" w:type="dxa"/>
              <w:left w:w="85" w:type="dxa"/>
              <w:bottom w:w="0" w:type="dxa"/>
              <w:right w:w="85" w:type="dxa"/>
            </w:tcMar>
          </w:tcPr>
          <w:p w14:paraId="1020A9F7" w14:textId="77777777" w:rsidR="00BC0FD7" w:rsidRPr="001D5327" w:rsidRDefault="00BC0FD7" w:rsidP="00D11AC9">
            <w:pPr>
              <w:pStyle w:val="TableText"/>
              <w:spacing w:before="30" w:after="30"/>
              <w:rPr>
                <w:b/>
                <w:bCs/>
                <w:szCs w:val="16"/>
              </w:rPr>
            </w:pPr>
            <w:r w:rsidRPr="001D5327">
              <w:rPr>
                <w:rFonts w:eastAsia="Calibri"/>
                <w:b/>
                <w:bCs/>
                <w:color w:val="1B556B"/>
                <w:szCs w:val="16"/>
              </w:rPr>
              <w:t>2012</w:t>
            </w:r>
          </w:p>
        </w:tc>
        <w:tc>
          <w:tcPr>
            <w:tcW w:w="624" w:type="dxa"/>
            <w:shd w:val="clear" w:color="auto" w:fill="FFFFFF" w:themeFill="background1"/>
            <w:tcMar>
              <w:top w:w="0" w:type="dxa"/>
              <w:left w:w="85" w:type="dxa"/>
              <w:bottom w:w="0" w:type="dxa"/>
              <w:right w:w="85" w:type="dxa"/>
            </w:tcMar>
          </w:tcPr>
          <w:p w14:paraId="50252DF7" w14:textId="77777777" w:rsidR="00BC0FD7" w:rsidRPr="001D5327" w:rsidRDefault="00BC0FD7" w:rsidP="00D11AC9">
            <w:pPr>
              <w:pStyle w:val="TableText"/>
              <w:spacing w:before="30" w:after="30"/>
              <w:jc w:val="right"/>
              <w:rPr>
                <w:szCs w:val="16"/>
              </w:rPr>
            </w:pPr>
            <w:r w:rsidRPr="001D5327">
              <w:rPr>
                <w:szCs w:val="16"/>
              </w:rPr>
              <w:t>16.8</w:t>
            </w:r>
          </w:p>
        </w:tc>
        <w:tc>
          <w:tcPr>
            <w:tcW w:w="737" w:type="dxa"/>
            <w:shd w:val="clear" w:color="auto" w:fill="FFFFFF" w:themeFill="background1"/>
            <w:tcMar>
              <w:top w:w="0" w:type="dxa"/>
              <w:left w:w="85" w:type="dxa"/>
              <w:bottom w:w="0" w:type="dxa"/>
              <w:right w:w="85" w:type="dxa"/>
            </w:tcMar>
          </w:tcPr>
          <w:p w14:paraId="3D613047" w14:textId="77777777" w:rsidR="00BC0FD7" w:rsidRPr="001D5327" w:rsidRDefault="00BC0FD7" w:rsidP="00D11AC9">
            <w:pPr>
              <w:pStyle w:val="TableText"/>
              <w:spacing w:before="30" w:after="30"/>
              <w:jc w:val="right"/>
              <w:rPr>
                <w:szCs w:val="16"/>
              </w:rPr>
            </w:pPr>
            <w:r w:rsidRPr="001D5327">
              <w:rPr>
                <w:szCs w:val="16"/>
              </w:rPr>
              <w:t>8.3</w:t>
            </w:r>
          </w:p>
        </w:tc>
        <w:tc>
          <w:tcPr>
            <w:tcW w:w="680" w:type="dxa"/>
            <w:shd w:val="clear" w:color="auto" w:fill="FFFFFF" w:themeFill="background1"/>
            <w:tcMar>
              <w:top w:w="0" w:type="dxa"/>
              <w:left w:w="85" w:type="dxa"/>
              <w:bottom w:w="0" w:type="dxa"/>
              <w:right w:w="85" w:type="dxa"/>
            </w:tcMar>
          </w:tcPr>
          <w:p w14:paraId="5485DB93" w14:textId="77777777" w:rsidR="00BC0FD7" w:rsidRPr="001D5327" w:rsidRDefault="00BC0FD7" w:rsidP="00D11AC9">
            <w:pPr>
              <w:pStyle w:val="TableText"/>
              <w:spacing w:before="30" w:after="30"/>
              <w:jc w:val="right"/>
              <w:rPr>
                <w:szCs w:val="16"/>
              </w:rPr>
            </w:pPr>
            <w:r w:rsidRPr="001D5327">
              <w:rPr>
                <w:szCs w:val="16"/>
              </w:rPr>
              <w:t>10.7</w:t>
            </w:r>
          </w:p>
        </w:tc>
        <w:tc>
          <w:tcPr>
            <w:tcW w:w="753" w:type="dxa"/>
            <w:shd w:val="clear" w:color="auto" w:fill="FFFFFF" w:themeFill="background1"/>
            <w:tcMar>
              <w:top w:w="0" w:type="dxa"/>
              <w:left w:w="85" w:type="dxa"/>
              <w:bottom w:w="0" w:type="dxa"/>
              <w:right w:w="85" w:type="dxa"/>
            </w:tcMar>
          </w:tcPr>
          <w:p w14:paraId="2E4570B1" w14:textId="77777777" w:rsidR="00BC0FD7" w:rsidRPr="001D5327" w:rsidRDefault="00BC0FD7" w:rsidP="00D11AC9">
            <w:pPr>
              <w:pStyle w:val="TableText"/>
              <w:spacing w:before="30" w:after="30"/>
              <w:jc w:val="right"/>
              <w:rPr>
                <w:szCs w:val="16"/>
              </w:rPr>
            </w:pPr>
            <w:r w:rsidRPr="001D5327">
              <w:rPr>
                <w:szCs w:val="16"/>
              </w:rPr>
              <w:t>11.9</w:t>
            </w:r>
          </w:p>
        </w:tc>
        <w:tc>
          <w:tcPr>
            <w:tcW w:w="816" w:type="dxa"/>
            <w:shd w:val="clear" w:color="auto" w:fill="FFFFFF" w:themeFill="background1"/>
            <w:tcMar>
              <w:top w:w="0" w:type="dxa"/>
              <w:left w:w="85" w:type="dxa"/>
              <w:bottom w:w="0" w:type="dxa"/>
              <w:right w:w="85" w:type="dxa"/>
            </w:tcMar>
          </w:tcPr>
          <w:p w14:paraId="39010B6C" w14:textId="77777777" w:rsidR="00BC0FD7" w:rsidRPr="001D5327" w:rsidRDefault="00BC0FD7" w:rsidP="00D11AC9">
            <w:pPr>
              <w:pStyle w:val="TableText"/>
              <w:spacing w:before="30" w:after="30"/>
              <w:jc w:val="right"/>
              <w:rPr>
                <w:szCs w:val="16"/>
              </w:rPr>
            </w:pPr>
            <w:r w:rsidRPr="001D5327">
              <w:rPr>
                <w:szCs w:val="16"/>
              </w:rPr>
              <w:t>5.6</w:t>
            </w:r>
          </w:p>
        </w:tc>
        <w:tc>
          <w:tcPr>
            <w:tcW w:w="753" w:type="dxa"/>
            <w:shd w:val="clear" w:color="auto" w:fill="FFFFFF" w:themeFill="background1"/>
            <w:tcMar>
              <w:top w:w="0" w:type="dxa"/>
              <w:left w:w="85" w:type="dxa"/>
              <w:bottom w:w="0" w:type="dxa"/>
              <w:right w:w="85" w:type="dxa"/>
            </w:tcMar>
          </w:tcPr>
          <w:p w14:paraId="781FEEE5" w14:textId="77777777" w:rsidR="00BC0FD7" w:rsidRPr="001D5327" w:rsidRDefault="00BC0FD7" w:rsidP="00D11AC9">
            <w:pPr>
              <w:pStyle w:val="TableText"/>
              <w:spacing w:before="30" w:after="30"/>
              <w:jc w:val="right"/>
              <w:rPr>
                <w:szCs w:val="16"/>
              </w:rPr>
            </w:pPr>
            <w:r w:rsidRPr="001D5327">
              <w:rPr>
                <w:szCs w:val="16"/>
              </w:rPr>
              <w:t>3.0</w:t>
            </w:r>
          </w:p>
        </w:tc>
        <w:tc>
          <w:tcPr>
            <w:tcW w:w="753" w:type="dxa"/>
            <w:shd w:val="clear" w:color="auto" w:fill="FFFFFF" w:themeFill="background1"/>
            <w:tcMar>
              <w:top w:w="0" w:type="dxa"/>
              <w:left w:w="85" w:type="dxa"/>
              <w:bottom w:w="0" w:type="dxa"/>
              <w:right w:w="85" w:type="dxa"/>
            </w:tcMar>
          </w:tcPr>
          <w:p w14:paraId="7C1CBE06" w14:textId="77777777" w:rsidR="00BC0FD7" w:rsidRPr="001D5327" w:rsidRDefault="00BC0FD7" w:rsidP="00D11AC9">
            <w:pPr>
              <w:pStyle w:val="TableText"/>
              <w:spacing w:before="30" w:after="30"/>
              <w:jc w:val="right"/>
              <w:rPr>
                <w:szCs w:val="16"/>
              </w:rPr>
            </w:pPr>
            <w:r w:rsidRPr="001D5327">
              <w:rPr>
                <w:szCs w:val="16"/>
              </w:rPr>
              <w:t>3.9</w:t>
            </w:r>
          </w:p>
        </w:tc>
        <w:tc>
          <w:tcPr>
            <w:tcW w:w="691" w:type="dxa"/>
            <w:shd w:val="clear" w:color="auto" w:fill="FFFFFF" w:themeFill="background1"/>
            <w:tcMar>
              <w:top w:w="0" w:type="dxa"/>
              <w:left w:w="85" w:type="dxa"/>
              <w:bottom w:w="0" w:type="dxa"/>
              <w:right w:w="85" w:type="dxa"/>
            </w:tcMar>
          </w:tcPr>
          <w:p w14:paraId="75B2EFAD" w14:textId="77777777" w:rsidR="00BC0FD7" w:rsidRPr="001D5327" w:rsidRDefault="00BC0FD7" w:rsidP="00D11AC9">
            <w:pPr>
              <w:pStyle w:val="TableText"/>
              <w:spacing w:before="30" w:after="30"/>
              <w:jc w:val="right"/>
              <w:rPr>
                <w:szCs w:val="16"/>
              </w:rPr>
            </w:pPr>
            <w:r w:rsidRPr="001D5327">
              <w:rPr>
                <w:szCs w:val="16"/>
              </w:rPr>
              <w:t>39.9</w:t>
            </w:r>
          </w:p>
        </w:tc>
        <w:tc>
          <w:tcPr>
            <w:tcW w:w="1758" w:type="dxa"/>
            <w:shd w:val="clear" w:color="auto" w:fill="FFFFFF" w:themeFill="background1"/>
            <w:tcMar>
              <w:top w:w="0" w:type="dxa"/>
              <w:left w:w="85" w:type="dxa"/>
              <w:bottom w:w="0" w:type="dxa"/>
              <w:right w:w="85" w:type="dxa"/>
            </w:tcMar>
          </w:tcPr>
          <w:p w14:paraId="6CA1B7A8" w14:textId="77777777" w:rsidR="00BC0FD7" w:rsidRPr="001D5327" w:rsidRDefault="00BC0FD7" w:rsidP="00D11AC9">
            <w:pPr>
              <w:pStyle w:val="TableText"/>
              <w:spacing w:before="30" w:after="30"/>
              <w:rPr>
                <w:szCs w:val="16"/>
              </w:rPr>
            </w:pPr>
            <w:r w:rsidRPr="001D5327">
              <w:rPr>
                <w:szCs w:val="16"/>
              </w:rPr>
              <w:t>Based on survey data</w:t>
            </w:r>
          </w:p>
        </w:tc>
      </w:tr>
      <w:tr w:rsidR="00EC0FF4" w:rsidRPr="001D5327" w14:paraId="3B3B3DD5" w14:textId="77777777" w:rsidTr="00EC0FF4">
        <w:tc>
          <w:tcPr>
            <w:tcW w:w="907" w:type="dxa"/>
            <w:shd w:val="clear" w:color="auto" w:fill="FFFFFF" w:themeFill="background1"/>
            <w:tcMar>
              <w:top w:w="0" w:type="dxa"/>
              <w:left w:w="85" w:type="dxa"/>
              <w:bottom w:w="0" w:type="dxa"/>
              <w:right w:w="85" w:type="dxa"/>
            </w:tcMar>
          </w:tcPr>
          <w:p w14:paraId="57857C45" w14:textId="77777777" w:rsidR="00BC0FD7" w:rsidRPr="001D5327" w:rsidRDefault="00BC0FD7" w:rsidP="00D11AC9">
            <w:pPr>
              <w:pStyle w:val="TableText"/>
              <w:spacing w:before="30" w:after="30"/>
              <w:rPr>
                <w:b/>
                <w:bCs/>
                <w:szCs w:val="16"/>
              </w:rPr>
            </w:pPr>
            <w:r w:rsidRPr="001D5327">
              <w:rPr>
                <w:rFonts w:eastAsia="Calibri"/>
                <w:b/>
                <w:bCs/>
                <w:color w:val="1B556B"/>
                <w:szCs w:val="16"/>
              </w:rPr>
              <w:t>2013</w:t>
            </w:r>
          </w:p>
        </w:tc>
        <w:tc>
          <w:tcPr>
            <w:tcW w:w="624" w:type="dxa"/>
            <w:shd w:val="clear" w:color="auto" w:fill="FFFFFF" w:themeFill="background1"/>
            <w:tcMar>
              <w:top w:w="0" w:type="dxa"/>
              <w:left w:w="85" w:type="dxa"/>
              <w:bottom w:w="0" w:type="dxa"/>
              <w:right w:w="85" w:type="dxa"/>
            </w:tcMar>
          </w:tcPr>
          <w:p w14:paraId="36FD56E8" w14:textId="77777777" w:rsidR="00BC0FD7" w:rsidRPr="001D5327" w:rsidRDefault="00BC0FD7" w:rsidP="00D11AC9">
            <w:pPr>
              <w:pStyle w:val="TableText"/>
              <w:spacing w:before="30" w:after="30"/>
              <w:jc w:val="right"/>
              <w:rPr>
                <w:szCs w:val="16"/>
              </w:rPr>
            </w:pPr>
            <w:r w:rsidRPr="001D5327">
              <w:rPr>
                <w:szCs w:val="16"/>
              </w:rPr>
              <w:t>15.5</w:t>
            </w:r>
          </w:p>
        </w:tc>
        <w:tc>
          <w:tcPr>
            <w:tcW w:w="737" w:type="dxa"/>
            <w:shd w:val="clear" w:color="auto" w:fill="FFFFFF" w:themeFill="background1"/>
            <w:tcMar>
              <w:top w:w="0" w:type="dxa"/>
              <w:left w:w="85" w:type="dxa"/>
              <w:bottom w:w="0" w:type="dxa"/>
              <w:right w:w="85" w:type="dxa"/>
            </w:tcMar>
          </w:tcPr>
          <w:p w14:paraId="2FFBD514" w14:textId="77777777" w:rsidR="00BC0FD7" w:rsidRPr="001D5327" w:rsidRDefault="00BC0FD7" w:rsidP="00D11AC9">
            <w:pPr>
              <w:pStyle w:val="TableText"/>
              <w:spacing w:before="30" w:after="30"/>
              <w:jc w:val="right"/>
              <w:rPr>
                <w:szCs w:val="16"/>
              </w:rPr>
            </w:pPr>
            <w:r w:rsidRPr="001D5327">
              <w:rPr>
                <w:szCs w:val="16"/>
              </w:rPr>
              <w:t>7.9</w:t>
            </w:r>
          </w:p>
        </w:tc>
        <w:tc>
          <w:tcPr>
            <w:tcW w:w="680" w:type="dxa"/>
            <w:shd w:val="clear" w:color="auto" w:fill="FFFFFF" w:themeFill="background1"/>
            <w:tcMar>
              <w:top w:w="0" w:type="dxa"/>
              <w:left w:w="85" w:type="dxa"/>
              <w:bottom w:w="0" w:type="dxa"/>
              <w:right w:w="85" w:type="dxa"/>
            </w:tcMar>
          </w:tcPr>
          <w:p w14:paraId="6B2A2F16" w14:textId="77777777" w:rsidR="00BC0FD7" w:rsidRPr="001D5327" w:rsidRDefault="00BC0FD7" w:rsidP="00D11AC9">
            <w:pPr>
              <w:pStyle w:val="TableText"/>
              <w:spacing w:before="30" w:after="30"/>
              <w:jc w:val="right"/>
              <w:rPr>
                <w:szCs w:val="16"/>
              </w:rPr>
            </w:pPr>
            <w:r w:rsidRPr="001D5327">
              <w:rPr>
                <w:szCs w:val="16"/>
              </w:rPr>
              <w:t>9.9</w:t>
            </w:r>
          </w:p>
        </w:tc>
        <w:tc>
          <w:tcPr>
            <w:tcW w:w="753" w:type="dxa"/>
            <w:shd w:val="clear" w:color="auto" w:fill="FFFFFF" w:themeFill="background1"/>
            <w:tcMar>
              <w:top w:w="0" w:type="dxa"/>
              <w:left w:w="85" w:type="dxa"/>
              <w:bottom w:w="0" w:type="dxa"/>
              <w:right w:w="85" w:type="dxa"/>
            </w:tcMar>
          </w:tcPr>
          <w:p w14:paraId="4C5D627E" w14:textId="77777777" w:rsidR="00BC0FD7" w:rsidRPr="001D5327" w:rsidRDefault="00BC0FD7" w:rsidP="00D11AC9">
            <w:pPr>
              <w:pStyle w:val="TableText"/>
              <w:spacing w:before="30" w:after="30"/>
              <w:jc w:val="right"/>
              <w:rPr>
                <w:szCs w:val="16"/>
              </w:rPr>
            </w:pPr>
            <w:r w:rsidRPr="001D5327">
              <w:rPr>
                <w:szCs w:val="16"/>
              </w:rPr>
              <w:t>12.0</w:t>
            </w:r>
          </w:p>
        </w:tc>
        <w:tc>
          <w:tcPr>
            <w:tcW w:w="816" w:type="dxa"/>
            <w:shd w:val="clear" w:color="auto" w:fill="FFFFFF" w:themeFill="background1"/>
            <w:tcMar>
              <w:top w:w="0" w:type="dxa"/>
              <w:left w:w="85" w:type="dxa"/>
              <w:bottom w:w="0" w:type="dxa"/>
              <w:right w:w="85" w:type="dxa"/>
            </w:tcMar>
          </w:tcPr>
          <w:p w14:paraId="35984D39" w14:textId="77777777" w:rsidR="00BC0FD7" w:rsidRPr="001D5327" w:rsidRDefault="00BC0FD7" w:rsidP="00D11AC9">
            <w:pPr>
              <w:pStyle w:val="TableText"/>
              <w:spacing w:before="30" w:after="30"/>
              <w:jc w:val="right"/>
              <w:rPr>
                <w:szCs w:val="16"/>
              </w:rPr>
            </w:pPr>
            <w:r w:rsidRPr="001D5327">
              <w:rPr>
                <w:szCs w:val="16"/>
              </w:rPr>
              <w:t>5.5</w:t>
            </w:r>
          </w:p>
        </w:tc>
        <w:tc>
          <w:tcPr>
            <w:tcW w:w="753" w:type="dxa"/>
            <w:shd w:val="clear" w:color="auto" w:fill="FFFFFF" w:themeFill="background1"/>
            <w:tcMar>
              <w:top w:w="0" w:type="dxa"/>
              <w:left w:w="85" w:type="dxa"/>
              <w:bottom w:w="0" w:type="dxa"/>
              <w:right w:w="85" w:type="dxa"/>
            </w:tcMar>
          </w:tcPr>
          <w:p w14:paraId="2ED74831" w14:textId="77777777" w:rsidR="00BC0FD7" w:rsidRPr="001D5327" w:rsidRDefault="00BC0FD7" w:rsidP="00D11AC9">
            <w:pPr>
              <w:pStyle w:val="TableText"/>
              <w:spacing w:before="30" w:after="30"/>
              <w:jc w:val="right"/>
              <w:rPr>
                <w:szCs w:val="16"/>
              </w:rPr>
            </w:pPr>
            <w:r w:rsidRPr="001D5327">
              <w:rPr>
                <w:szCs w:val="16"/>
              </w:rPr>
              <w:t>2.9</w:t>
            </w:r>
          </w:p>
        </w:tc>
        <w:tc>
          <w:tcPr>
            <w:tcW w:w="753" w:type="dxa"/>
            <w:shd w:val="clear" w:color="auto" w:fill="FFFFFF" w:themeFill="background1"/>
            <w:tcMar>
              <w:top w:w="0" w:type="dxa"/>
              <w:left w:w="85" w:type="dxa"/>
              <w:bottom w:w="0" w:type="dxa"/>
              <w:right w:w="85" w:type="dxa"/>
            </w:tcMar>
          </w:tcPr>
          <w:p w14:paraId="13F95A64" w14:textId="77777777" w:rsidR="00BC0FD7" w:rsidRPr="001D5327" w:rsidRDefault="00BC0FD7" w:rsidP="00D11AC9">
            <w:pPr>
              <w:pStyle w:val="TableText"/>
              <w:spacing w:before="30" w:after="30"/>
              <w:jc w:val="right"/>
              <w:rPr>
                <w:szCs w:val="16"/>
              </w:rPr>
            </w:pPr>
            <w:r w:rsidRPr="001D5327">
              <w:rPr>
                <w:szCs w:val="16"/>
              </w:rPr>
              <w:t>3.6</w:t>
            </w:r>
          </w:p>
        </w:tc>
        <w:tc>
          <w:tcPr>
            <w:tcW w:w="691" w:type="dxa"/>
            <w:shd w:val="clear" w:color="auto" w:fill="FFFFFF" w:themeFill="background1"/>
            <w:tcMar>
              <w:top w:w="0" w:type="dxa"/>
              <w:left w:w="85" w:type="dxa"/>
              <w:bottom w:w="0" w:type="dxa"/>
              <w:right w:w="85" w:type="dxa"/>
            </w:tcMar>
          </w:tcPr>
          <w:p w14:paraId="600D78F4" w14:textId="77777777" w:rsidR="00BC0FD7" w:rsidRPr="001D5327" w:rsidRDefault="00BC0FD7" w:rsidP="00D11AC9">
            <w:pPr>
              <w:pStyle w:val="TableText"/>
              <w:spacing w:before="30" w:after="30"/>
              <w:jc w:val="right"/>
              <w:rPr>
                <w:szCs w:val="16"/>
              </w:rPr>
            </w:pPr>
            <w:r w:rsidRPr="001D5327">
              <w:rPr>
                <w:szCs w:val="16"/>
              </w:rPr>
              <w:t>42.8</w:t>
            </w:r>
          </w:p>
        </w:tc>
        <w:tc>
          <w:tcPr>
            <w:tcW w:w="1758" w:type="dxa"/>
            <w:shd w:val="clear" w:color="auto" w:fill="FFFFFF" w:themeFill="background1"/>
            <w:tcMar>
              <w:top w:w="0" w:type="dxa"/>
              <w:left w:w="85" w:type="dxa"/>
              <w:bottom w:w="0" w:type="dxa"/>
              <w:right w:w="85" w:type="dxa"/>
            </w:tcMar>
          </w:tcPr>
          <w:p w14:paraId="7FE6258B" w14:textId="77777777" w:rsidR="00BC0FD7" w:rsidRPr="001D5327" w:rsidRDefault="00BC0FD7" w:rsidP="00D11AC9">
            <w:pPr>
              <w:pStyle w:val="TableText"/>
              <w:spacing w:before="30" w:after="30"/>
              <w:rPr>
                <w:szCs w:val="16"/>
              </w:rPr>
            </w:pPr>
            <w:r w:rsidRPr="001D5327">
              <w:rPr>
                <w:szCs w:val="16"/>
              </w:rPr>
              <w:t>Based on interpolation</w:t>
            </w:r>
          </w:p>
        </w:tc>
      </w:tr>
      <w:tr w:rsidR="00EC0FF4" w:rsidRPr="001D5327" w14:paraId="093F59D5" w14:textId="77777777" w:rsidTr="00EC0FF4">
        <w:tc>
          <w:tcPr>
            <w:tcW w:w="907" w:type="dxa"/>
            <w:shd w:val="clear" w:color="auto" w:fill="FFFFFF" w:themeFill="background1"/>
            <w:tcMar>
              <w:top w:w="0" w:type="dxa"/>
              <w:left w:w="85" w:type="dxa"/>
              <w:bottom w:w="0" w:type="dxa"/>
              <w:right w:w="85" w:type="dxa"/>
            </w:tcMar>
          </w:tcPr>
          <w:p w14:paraId="6ABFE36D" w14:textId="77777777" w:rsidR="00BC0FD7" w:rsidRPr="001D5327" w:rsidRDefault="00BC0FD7" w:rsidP="00D11AC9">
            <w:pPr>
              <w:pStyle w:val="TableText"/>
              <w:spacing w:before="30" w:after="30"/>
              <w:rPr>
                <w:b/>
                <w:bCs/>
                <w:szCs w:val="16"/>
              </w:rPr>
            </w:pPr>
            <w:r w:rsidRPr="001D5327">
              <w:rPr>
                <w:rFonts w:eastAsia="Calibri"/>
                <w:b/>
                <w:bCs/>
                <w:color w:val="1B556B"/>
                <w:szCs w:val="16"/>
              </w:rPr>
              <w:lastRenderedPageBreak/>
              <w:t>2014</w:t>
            </w:r>
          </w:p>
        </w:tc>
        <w:tc>
          <w:tcPr>
            <w:tcW w:w="624" w:type="dxa"/>
            <w:shd w:val="clear" w:color="auto" w:fill="FFFFFF" w:themeFill="background1"/>
            <w:tcMar>
              <w:top w:w="0" w:type="dxa"/>
              <w:left w:w="85" w:type="dxa"/>
              <w:bottom w:w="0" w:type="dxa"/>
              <w:right w:w="85" w:type="dxa"/>
            </w:tcMar>
          </w:tcPr>
          <w:p w14:paraId="5E84BEA3" w14:textId="77777777" w:rsidR="00BC0FD7" w:rsidRPr="001D5327" w:rsidRDefault="00BC0FD7" w:rsidP="00D11AC9">
            <w:pPr>
              <w:pStyle w:val="TableText"/>
              <w:spacing w:before="30" w:after="30"/>
              <w:jc w:val="right"/>
              <w:rPr>
                <w:szCs w:val="16"/>
              </w:rPr>
            </w:pPr>
            <w:r w:rsidRPr="001D5327">
              <w:rPr>
                <w:szCs w:val="16"/>
              </w:rPr>
              <w:t>14.2</w:t>
            </w:r>
          </w:p>
        </w:tc>
        <w:tc>
          <w:tcPr>
            <w:tcW w:w="737" w:type="dxa"/>
            <w:shd w:val="clear" w:color="auto" w:fill="FFFFFF" w:themeFill="background1"/>
            <w:tcMar>
              <w:top w:w="0" w:type="dxa"/>
              <w:left w:w="85" w:type="dxa"/>
              <w:bottom w:w="0" w:type="dxa"/>
              <w:right w:w="85" w:type="dxa"/>
            </w:tcMar>
          </w:tcPr>
          <w:p w14:paraId="25925E97" w14:textId="77777777" w:rsidR="00BC0FD7" w:rsidRPr="001D5327" w:rsidRDefault="00BC0FD7" w:rsidP="00D11AC9">
            <w:pPr>
              <w:pStyle w:val="TableText"/>
              <w:spacing w:before="30" w:after="30"/>
              <w:jc w:val="right"/>
              <w:rPr>
                <w:szCs w:val="16"/>
              </w:rPr>
            </w:pPr>
            <w:r w:rsidRPr="001D5327">
              <w:rPr>
                <w:szCs w:val="16"/>
              </w:rPr>
              <w:t>7.5</w:t>
            </w:r>
          </w:p>
        </w:tc>
        <w:tc>
          <w:tcPr>
            <w:tcW w:w="680" w:type="dxa"/>
            <w:shd w:val="clear" w:color="auto" w:fill="FFFFFF" w:themeFill="background1"/>
            <w:tcMar>
              <w:top w:w="0" w:type="dxa"/>
              <w:left w:w="85" w:type="dxa"/>
              <w:bottom w:w="0" w:type="dxa"/>
              <w:right w:w="85" w:type="dxa"/>
            </w:tcMar>
          </w:tcPr>
          <w:p w14:paraId="7B43857E" w14:textId="77777777" w:rsidR="00BC0FD7" w:rsidRPr="001D5327" w:rsidRDefault="00BC0FD7" w:rsidP="00D11AC9">
            <w:pPr>
              <w:pStyle w:val="TableText"/>
              <w:spacing w:before="30" w:after="30"/>
              <w:jc w:val="right"/>
              <w:rPr>
                <w:szCs w:val="16"/>
              </w:rPr>
            </w:pPr>
            <w:r w:rsidRPr="001D5327">
              <w:rPr>
                <w:szCs w:val="16"/>
              </w:rPr>
              <w:t>9.1</w:t>
            </w:r>
          </w:p>
        </w:tc>
        <w:tc>
          <w:tcPr>
            <w:tcW w:w="753" w:type="dxa"/>
            <w:shd w:val="clear" w:color="auto" w:fill="FFFFFF" w:themeFill="background1"/>
            <w:tcMar>
              <w:top w:w="0" w:type="dxa"/>
              <w:left w:w="85" w:type="dxa"/>
              <w:bottom w:w="0" w:type="dxa"/>
              <w:right w:w="85" w:type="dxa"/>
            </w:tcMar>
          </w:tcPr>
          <w:p w14:paraId="68652D47" w14:textId="77777777" w:rsidR="00BC0FD7" w:rsidRPr="001D5327" w:rsidRDefault="00BC0FD7" w:rsidP="00D11AC9">
            <w:pPr>
              <w:pStyle w:val="TableText"/>
              <w:spacing w:before="30" w:after="30"/>
              <w:jc w:val="right"/>
              <w:rPr>
                <w:szCs w:val="16"/>
              </w:rPr>
            </w:pPr>
            <w:r w:rsidRPr="001D5327">
              <w:rPr>
                <w:szCs w:val="16"/>
              </w:rPr>
              <w:t>12.1</w:t>
            </w:r>
          </w:p>
        </w:tc>
        <w:tc>
          <w:tcPr>
            <w:tcW w:w="816" w:type="dxa"/>
            <w:shd w:val="clear" w:color="auto" w:fill="FFFFFF" w:themeFill="background1"/>
            <w:tcMar>
              <w:top w:w="0" w:type="dxa"/>
              <w:left w:w="85" w:type="dxa"/>
              <w:bottom w:w="0" w:type="dxa"/>
              <w:right w:w="85" w:type="dxa"/>
            </w:tcMar>
          </w:tcPr>
          <w:p w14:paraId="0C86FC66" w14:textId="77777777" w:rsidR="00BC0FD7" w:rsidRPr="001D5327" w:rsidRDefault="00BC0FD7" w:rsidP="00D11AC9">
            <w:pPr>
              <w:pStyle w:val="TableText"/>
              <w:spacing w:before="30" w:after="30"/>
              <w:jc w:val="right"/>
              <w:rPr>
                <w:szCs w:val="16"/>
              </w:rPr>
            </w:pPr>
            <w:r w:rsidRPr="001D5327">
              <w:rPr>
                <w:szCs w:val="16"/>
              </w:rPr>
              <w:t>5.4</w:t>
            </w:r>
          </w:p>
        </w:tc>
        <w:tc>
          <w:tcPr>
            <w:tcW w:w="753" w:type="dxa"/>
            <w:shd w:val="clear" w:color="auto" w:fill="FFFFFF" w:themeFill="background1"/>
            <w:tcMar>
              <w:top w:w="0" w:type="dxa"/>
              <w:left w:w="85" w:type="dxa"/>
              <w:bottom w:w="0" w:type="dxa"/>
              <w:right w:w="85" w:type="dxa"/>
            </w:tcMar>
          </w:tcPr>
          <w:p w14:paraId="318D9558" w14:textId="77777777" w:rsidR="00BC0FD7" w:rsidRPr="001D5327" w:rsidRDefault="00BC0FD7" w:rsidP="00D11AC9">
            <w:pPr>
              <w:pStyle w:val="TableText"/>
              <w:spacing w:before="30" w:after="30"/>
              <w:jc w:val="right"/>
              <w:rPr>
                <w:szCs w:val="16"/>
              </w:rPr>
            </w:pPr>
            <w:r w:rsidRPr="001D5327">
              <w:rPr>
                <w:szCs w:val="16"/>
              </w:rPr>
              <w:t>2.8</w:t>
            </w:r>
          </w:p>
        </w:tc>
        <w:tc>
          <w:tcPr>
            <w:tcW w:w="753" w:type="dxa"/>
            <w:shd w:val="clear" w:color="auto" w:fill="FFFFFF" w:themeFill="background1"/>
            <w:tcMar>
              <w:top w:w="0" w:type="dxa"/>
              <w:left w:w="85" w:type="dxa"/>
              <w:bottom w:w="0" w:type="dxa"/>
              <w:right w:w="85" w:type="dxa"/>
            </w:tcMar>
          </w:tcPr>
          <w:p w14:paraId="1FA724F7" w14:textId="77777777" w:rsidR="00BC0FD7" w:rsidRPr="001D5327" w:rsidRDefault="00BC0FD7" w:rsidP="00D11AC9">
            <w:pPr>
              <w:pStyle w:val="TableText"/>
              <w:spacing w:before="30" w:after="30"/>
              <w:jc w:val="right"/>
              <w:rPr>
                <w:szCs w:val="16"/>
              </w:rPr>
            </w:pPr>
            <w:r w:rsidRPr="001D5327">
              <w:rPr>
                <w:szCs w:val="16"/>
              </w:rPr>
              <w:t>3.2</w:t>
            </w:r>
          </w:p>
        </w:tc>
        <w:tc>
          <w:tcPr>
            <w:tcW w:w="691" w:type="dxa"/>
            <w:shd w:val="clear" w:color="auto" w:fill="FFFFFF" w:themeFill="background1"/>
            <w:tcMar>
              <w:top w:w="0" w:type="dxa"/>
              <w:left w:w="85" w:type="dxa"/>
              <w:bottom w:w="0" w:type="dxa"/>
              <w:right w:w="85" w:type="dxa"/>
            </w:tcMar>
          </w:tcPr>
          <w:p w14:paraId="6A41E2F5" w14:textId="77777777" w:rsidR="00BC0FD7" w:rsidRPr="001D5327" w:rsidRDefault="00BC0FD7" w:rsidP="00D11AC9">
            <w:pPr>
              <w:pStyle w:val="TableText"/>
              <w:spacing w:before="30" w:after="30"/>
              <w:jc w:val="right"/>
              <w:rPr>
                <w:szCs w:val="16"/>
              </w:rPr>
            </w:pPr>
            <w:r w:rsidRPr="001D5327">
              <w:rPr>
                <w:szCs w:val="16"/>
              </w:rPr>
              <w:t>45.7</w:t>
            </w:r>
          </w:p>
        </w:tc>
        <w:tc>
          <w:tcPr>
            <w:tcW w:w="1758" w:type="dxa"/>
            <w:shd w:val="clear" w:color="auto" w:fill="FFFFFF" w:themeFill="background1"/>
            <w:tcMar>
              <w:top w:w="0" w:type="dxa"/>
              <w:left w:w="85" w:type="dxa"/>
              <w:bottom w:w="0" w:type="dxa"/>
              <w:right w:w="85" w:type="dxa"/>
            </w:tcMar>
          </w:tcPr>
          <w:p w14:paraId="7CACB8ED" w14:textId="77777777" w:rsidR="00BC0FD7" w:rsidRPr="001D5327" w:rsidRDefault="00BC0FD7" w:rsidP="00D11AC9">
            <w:pPr>
              <w:pStyle w:val="TableText"/>
              <w:spacing w:before="30" w:after="30"/>
              <w:rPr>
                <w:szCs w:val="16"/>
              </w:rPr>
            </w:pPr>
            <w:r w:rsidRPr="001D5327">
              <w:rPr>
                <w:szCs w:val="16"/>
              </w:rPr>
              <w:t>Based on interpolation</w:t>
            </w:r>
          </w:p>
        </w:tc>
      </w:tr>
      <w:tr w:rsidR="00EC0FF4" w:rsidRPr="001D5327" w14:paraId="2EE78A8B" w14:textId="77777777" w:rsidTr="00EC0FF4">
        <w:tc>
          <w:tcPr>
            <w:tcW w:w="907" w:type="dxa"/>
            <w:shd w:val="clear" w:color="auto" w:fill="FFFFFF" w:themeFill="background1"/>
            <w:tcMar>
              <w:top w:w="0" w:type="dxa"/>
              <w:left w:w="85" w:type="dxa"/>
              <w:bottom w:w="0" w:type="dxa"/>
              <w:right w:w="85" w:type="dxa"/>
            </w:tcMar>
          </w:tcPr>
          <w:p w14:paraId="5E65EC10" w14:textId="77777777" w:rsidR="00BC0FD7" w:rsidRPr="001D5327" w:rsidRDefault="00BC0FD7" w:rsidP="00D11AC9">
            <w:pPr>
              <w:pStyle w:val="TableText"/>
              <w:spacing w:before="30" w:after="30"/>
              <w:rPr>
                <w:b/>
                <w:bCs/>
                <w:szCs w:val="16"/>
              </w:rPr>
            </w:pPr>
            <w:r w:rsidRPr="001D5327">
              <w:rPr>
                <w:rFonts w:eastAsia="Calibri"/>
                <w:b/>
                <w:bCs/>
                <w:color w:val="1B556B"/>
                <w:szCs w:val="16"/>
              </w:rPr>
              <w:t>2015</w:t>
            </w:r>
          </w:p>
        </w:tc>
        <w:tc>
          <w:tcPr>
            <w:tcW w:w="624" w:type="dxa"/>
            <w:shd w:val="clear" w:color="auto" w:fill="FFFFFF" w:themeFill="background1"/>
            <w:tcMar>
              <w:top w:w="0" w:type="dxa"/>
              <w:left w:w="85" w:type="dxa"/>
              <w:bottom w:w="0" w:type="dxa"/>
              <w:right w:w="85" w:type="dxa"/>
            </w:tcMar>
          </w:tcPr>
          <w:p w14:paraId="071DF7AF" w14:textId="77777777" w:rsidR="00BC0FD7" w:rsidRPr="001D5327" w:rsidRDefault="00BC0FD7" w:rsidP="00D11AC9">
            <w:pPr>
              <w:pStyle w:val="TableText"/>
              <w:spacing w:before="30" w:after="30"/>
              <w:jc w:val="right"/>
              <w:rPr>
                <w:szCs w:val="16"/>
              </w:rPr>
            </w:pPr>
            <w:r w:rsidRPr="001D5327">
              <w:rPr>
                <w:szCs w:val="16"/>
              </w:rPr>
              <w:t>12.9</w:t>
            </w:r>
          </w:p>
        </w:tc>
        <w:tc>
          <w:tcPr>
            <w:tcW w:w="737" w:type="dxa"/>
            <w:shd w:val="clear" w:color="auto" w:fill="FFFFFF" w:themeFill="background1"/>
            <w:tcMar>
              <w:top w:w="0" w:type="dxa"/>
              <w:left w:w="85" w:type="dxa"/>
              <w:bottom w:w="0" w:type="dxa"/>
              <w:right w:w="85" w:type="dxa"/>
            </w:tcMar>
          </w:tcPr>
          <w:p w14:paraId="23B3AE32" w14:textId="77777777" w:rsidR="00BC0FD7" w:rsidRPr="001D5327" w:rsidRDefault="00BC0FD7" w:rsidP="00D11AC9">
            <w:pPr>
              <w:pStyle w:val="TableText"/>
              <w:spacing w:before="30" w:after="30"/>
              <w:jc w:val="right"/>
              <w:rPr>
                <w:szCs w:val="16"/>
              </w:rPr>
            </w:pPr>
            <w:r w:rsidRPr="001D5327">
              <w:rPr>
                <w:szCs w:val="16"/>
              </w:rPr>
              <w:t>7.0</w:t>
            </w:r>
          </w:p>
        </w:tc>
        <w:tc>
          <w:tcPr>
            <w:tcW w:w="680" w:type="dxa"/>
            <w:shd w:val="clear" w:color="auto" w:fill="FFFFFF" w:themeFill="background1"/>
            <w:tcMar>
              <w:top w:w="0" w:type="dxa"/>
              <w:left w:w="85" w:type="dxa"/>
              <w:bottom w:w="0" w:type="dxa"/>
              <w:right w:w="85" w:type="dxa"/>
            </w:tcMar>
          </w:tcPr>
          <w:p w14:paraId="3F2E81CA" w14:textId="77777777" w:rsidR="00BC0FD7" w:rsidRPr="001D5327" w:rsidRDefault="00BC0FD7" w:rsidP="00D11AC9">
            <w:pPr>
              <w:pStyle w:val="TableText"/>
              <w:spacing w:before="30" w:after="30"/>
              <w:jc w:val="right"/>
              <w:rPr>
                <w:szCs w:val="16"/>
              </w:rPr>
            </w:pPr>
            <w:r w:rsidRPr="001D5327">
              <w:rPr>
                <w:szCs w:val="16"/>
              </w:rPr>
              <w:t>8.3</w:t>
            </w:r>
          </w:p>
        </w:tc>
        <w:tc>
          <w:tcPr>
            <w:tcW w:w="753" w:type="dxa"/>
            <w:shd w:val="clear" w:color="auto" w:fill="FFFFFF" w:themeFill="background1"/>
            <w:tcMar>
              <w:top w:w="0" w:type="dxa"/>
              <w:left w:w="85" w:type="dxa"/>
              <w:bottom w:w="0" w:type="dxa"/>
              <w:right w:w="85" w:type="dxa"/>
            </w:tcMar>
          </w:tcPr>
          <w:p w14:paraId="7636031D" w14:textId="77777777" w:rsidR="00BC0FD7" w:rsidRPr="001D5327" w:rsidRDefault="00BC0FD7" w:rsidP="00D11AC9">
            <w:pPr>
              <w:pStyle w:val="TableText"/>
              <w:spacing w:before="30" w:after="30"/>
              <w:jc w:val="right"/>
              <w:rPr>
                <w:szCs w:val="16"/>
              </w:rPr>
            </w:pPr>
            <w:r w:rsidRPr="001D5327">
              <w:rPr>
                <w:szCs w:val="16"/>
              </w:rPr>
              <w:t>12.2</w:t>
            </w:r>
          </w:p>
        </w:tc>
        <w:tc>
          <w:tcPr>
            <w:tcW w:w="816" w:type="dxa"/>
            <w:shd w:val="clear" w:color="auto" w:fill="FFFFFF" w:themeFill="background1"/>
            <w:tcMar>
              <w:top w:w="0" w:type="dxa"/>
              <w:left w:w="85" w:type="dxa"/>
              <w:bottom w:w="0" w:type="dxa"/>
              <w:right w:w="85" w:type="dxa"/>
            </w:tcMar>
          </w:tcPr>
          <w:p w14:paraId="11225C7C" w14:textId="77777777" w:rsidR="00BC0FD7" w:rsidRPr="001D5327" w:rsidRDefault="00BC0FD7" w:rsidP="00D11AC9">
            <w:pPr>
              <w:pStyle w:val="TableText"/>
              <w:spacing w:before="30" w:after="30"/>
              <w:jc w:val="right"/>
              <w:rPr>
                <w:szCs w:val="16"/>
              </w:rPr>
            </w:pPr>
            <w:r w:rsidRPr="001D5327">
              <w:rPr>
                <w:szCs w:val="16"/>
              </w:rPr>
              <w:t>5.3</w:t>
            </w:r>
          </w:p>
        </w:tc>
        <w:tc>
          <w:tcPr>
            <w:tcW w:w="753" w:type="dxa"/>
            <w:shd w:val="clear" w:color="auto" w:fill="FFFFFF" w:themeFill="background1"/>
            <w:tcMar>
              <w:top w:w="0" w:type="dxa"/>
              <w:left w:w="85" w:type="dxa"/>
              <w:bottom w:w="0" w:type="dxa"/>
              <w:right w:w="85" w:type="dxa"/>
            </w:tcMar>
          </w:tcPr>
          <w:p w14:paraId="6E42B8B7" w14:textId="77777777" w:rsidR="00BC0FD7" w:rsidRPr="001D5327" w:rsidRDefault="00BC0FD7" w:rsidP="00D11AC9">
            <w:pPr>
              <w:pStyle w:val="TableText"/>
              <w:spacing w:before="30" w:after="30"/>
              <w:jc w:val="right"/>
              <w:rPr>
                <w:szCs w:val="16"/>
              </w:rPr>
            </w:pPr>
            <w:r w:rsidRPr="001D5327">
              <w:rPr>
                <w:szCs w:val="16"/>
              </w:rPr>
              <w:t>2.7</w:t>
            </w:r>
          </w:p>
        </w:tc>
        <w:tc>
          <w:tcPr>
            <w:tcW w:w="753" w:type="dxa"/>
            <w:shd w:val="clear" w:color="auto" w:fill="FFFFFF" w:themeFill="background1"/>
            <w:tcMar>
              <w:top w:w="0" w:type="dxa"/>
              <w:left w:w="85" w:type="dxa"/>
              <w:bottom w:w="0" w:type="dxa"/>
              <w:right w:w="85" w:type="dxa"/>
            </w:tcMar>
          </w:tcPr>
          <w:p w14:paraId="10B5431D" w14:textId="77777777" w:rsidR="00BC0FD7" w:rsidRPr="001D5327" w:rsidRDefault="00BC0FD7" w:rsidP="00D11AC9">
            <w:pPr>
              <w:pStyle w:val="TableText"/>
              <w:spacing w:before="30" w:after="30"/>
              <w:jc w:val="right"/>
              <w:rPr>
                <w:szCs w:val="16"/>
              </w:rPr>
            </w:pPr>
            <w:r w:rsidRPr="001D5327">
              <w:rPr>
                <w:szCs w:val="16"/>
              </w:rPr>
              <w:t>2.9</w:t>
            </w:r>
          </w:p>
        </w:tc>
        <w:tc>
          <w:tcPr>
            <w:tcW w:w="691" w:type="dxa"/>
            <w:shd w:val="clear" w:color="auto" w:fill="FFFFFF" w:themeFill="background1"/>
            <w:tcMar>
              <w:top w:w="0" w:type="dxa"/>
              <w:left w:w="85" w:type="dxa"/>
              <w:bottom w:w="0" w:type="dxa"/>
              <w:right w:w="85" w:type="dxa"/>
            </w:tcMar>
          </w:tcPr>
          <w:p w14:paraId="14DC621D" w14:textId="77777777" w:rsidR="00BC0FD7" w:rsidRPr="001D5327" w:rsidRDefault="00BC0FD7" w:rsidP="00D11AC9">
            <w:pPr>
              <w:pStyle w:val="TableText"/>
              <w:spacing w:before="30" w:after="30"/>
              <w:jc w:val="right"/>
              <w:rPr>
                <w:szCs w:val="16"/>
              </w:rPr>
            </w:pPr>
            <w:r w:rsidRPr="001D5327">
              <w:rPr>
                <w:szCs w:val="16"/>
              </w:rPr>
              <w:t>48.6</w:t>
            </w:r>
          </w:p>
        </w:tc>
        <w:tc>
          <w:tcPr>
            <w:tcW w:w="1758" w:type="dxa"/>
            <w:shd w:val="clear" w:color="auto" w:fill="FFFFFF" w:themeFill="background1"/>
            <w:tcMar>
              <w:top w:w="0" w:type="dxa"/>
              <w:left w:w="85" w:type="dxa"/>
              <w:bottom w:w="0" w:type="dxa"/>
              <w:right w:w="85" w:type="dxa"/>
            </w:tcMar>
          </w:tcPr>
          <w:p w14:paraId="65ACBD50" w14:textId="77777777" w:rsidR="00BC0FD7" w:rsidRPr="001D5327" w:rsidRDefault="00BC0FD7" w:rsidP="00D11AC9">
            <w:pPr>
              <w:pStyle w:val="TableText"/>
              <w:spacing w:before="30" w:after="30"/>
              <w:rPr>
                <w:szCs w:val="16"/>
              </w:rPr>
            </w:pPr>
            <w:r w:rsidRPr="001D5327">
              <w:rPr>
                <w:szCs w:val="16"/>
              </w:rPr>
              <w:t>Based on interpolation</w:t>
            </w:r>
          </w:p>
        </w:tc>
      </w:tr>
      <w:tr w:rsidR="00EC0FF4" w:rsidRPr="001D5327" w14:paraId="78F49FC9" w14:textId="77777777" w:rsidTr="00EC0FF4">
        <w:tc>
          <w:tcPr>
            <w:tcW w:w="907" w:type="dxa"/>
            <w:shd w:val="clear" w:color="auto" w:fill="FFFFFF" w:themeFill="background1"/>
            <w:tcMar>
              <w:top w:w="0" w:type="dxa"/>
              <w:left w:w="85" w:type="dxa"/>
              <w:bottom w:w="0" w:type="dxa"/>
              <w:right w:w="85" w:type="dxa"/>
            </w:tcMar>
          </w:tcPr>
          <w:p w14:paraId="03BAC03B" w14:textId="77777777" w:rsidR="00BC0FD7" w:rsidRPr="001D5327" w:rsidRDefault="00BC0FD7" w:rsidP="00D11AC9">
            <w:pPr>
              <w:pStyle w:val="TableText"/>
              <w:spacing w:before="30" w:after="30"/>
              <w:rPr>
                <w:b/>
                <w:bCs/>
                <w:szCs w:val="16"/>
              </w:rPr>
            </w:pPr>
            <w:r w:rsidRPr="001D5327">
              <w:rPr>
                <w:rFonts w:eastAsia="Calibri"/>
                <w:b/>
                <w:bCs/>
                <w:color w:val="1B556B"/>
                <w:szCs w:val="16"/>
              </w:rPr>
              <w:t>2016</w:t>
            </w:r>
          </w:p>
        </w:tc>
        <w:tc>
          <w:tcPr>
            <w:tcW w:w="624" w:type="dxa"/>
            <w:shd w:val="clear" w:color="auto" w:fill="FFFFFF" w:themeFill="background1"/>
            <w:tcMar>
              <w:top w:w="0" w:type="dxa"/>
              <w:left w:w="85" w:type="dxa"/>
              <w:bottom w:w="0" w:type="dxa"/>
              <w:right w:w="85" w:type="dxa"/>
            </w:tcMar>
          </w:tcPr>
          <w:p w14:paraId="2E6D40B8" w14:textId="77777777" w:rsidR="00BC0FD7" w:rsidRPr="001D5327" w:rsidRDefault="00BC0FD7" w:rsidP="00D11AC9">
            <w:pPr>
              <w:pStyle w:val="TableText"/>
              <w:spacing w:before="30" w:after="30"/>
              <w:jc w:val="right"/>
              <w:rPr>
                <w:szCs w:val="16"/>
              </w:rPr>
            </w:pPr>
            <w:r w:rsidRPr="001D5327">
              <w:rPr>
                <w:szCs w:val="16"/>
              </w:rPr>
              <w:t>11.6</w:t>
            </w:r>
          </w:p>
        </w:tc>
        <w:tc>
          <w:tcPr>
            <w:tcW w:w="737" w:type="dxa"/>
            <w:shd w:val="clear" w:color="auto" w:fill="FFFFFF" w:themeFill="background1"/>
            <w:tcMar>
              <w:top w:w="0" w:type="dxa"/>
              <w:left w:w="85" w:type="dxa"/>
              <w:bottom w:w="0" w:type="dxa"/>
              <w:right w:w="85" w:type="dxa"/>
            </w:tcMar>
          </w:tcPr>
          <w:p w14:paraId="3058AFE8" w14:textId="77777777" w:rsidR="00BC0FD7" w:rsidRPr="001D5327" w:rsidRDefault="00BC0FD7" w:rsidP="00D11AC9">
            <w:pPr>
              <w:pStyle w:val="TableText"/>
              <w:spacing w:before="30" w:after="30"/>
              <w:jc w:val="right"/>
              <w:rPr>
                <w:szCs w:val="16"/>
              </w:rPr>
            </w:pPr>
            <w:r w:rsidRPr="001D5327">
              <w:rPr>
                <w:szCs w:val="16"/>
              </w:rPr>
              <w:t>6.6</w:t>
            </w:r>
          </w:p>
        </w:tc>
        <w:tc>
          <w:tcPr>
            <w:tcW w:w="680" w:type="dxa"/>
            <w:shd w:val="clear" w:color="auto" w:fill="FFFFFF" w:themeFill="background1"/>
            <w:tcMar>
              <w:top w:w="0" w:type="dxa"/>
              <w:left w:w="85" w:type="dxa"/>
              <w:bottom w:w="0" w:type="dxa"/>
              <w:right w:w="85" w:type="dxa"/>
            </w:tcMar>
          </w:tcPr>
          <w:p w14:paraId="556121AF" w14:textId="77777777" w:rsidR="00BC0FD7" w:rsidRPr="001D5327" w:rsidRDefault="00BC0FD7" w:rsidP="00D11AC9">
            <w:pPr>
              <w:pStyle w:val="TableText"/>
              <w:spacing w:before="30" w:after="30"/>
              <w:jc w:val="right"/>
              <w:rPr>
                <w:szCs w:val="16"/>
              </w:rPr>
            </w:pPr>
            <w:r w:rsidRPr="001D5327">
              <w:rPr>
                <w:szCs w:val="16"/>
              </w:rPr>
              <w:t>7.5</w:t>
            </w:r>
          </w:p>
        </w:tc>
        <w:tc>
          <w:tcPr>
            <w:tcW w:w="753" w:type="dxa"/>
            <w:shd w:val="clear" w:color="auto" w:fill="FFFFFF" w:themeFill="background1"/>
            <w:tcMar>
              <w:top w:w="0" w:type="dxa"/>
              <w:left w:w="85" w:type="dxa"/>
              <w:bottom w:w="0" w:type="dxa"/>
              <w:right w:w="85" w:type="dxa"/>
            </w:tcMar>
          </w:tcPr>
          <w:p w14:paraId="0A561E94" w14:textId="77777777" w:rsidR="00BC0FD7" w:rsidRPr="001D5327" w:rsidRDefault="00BC0FD7" w:rsidP="00D11AC9">
            <w:pPr>
              <w:pStyle w:val="TableText"/>
              <w:spacing w:before="30" w:after="30"/>
              <w:jc w:val="right"/>
              <w:rPr>
                <w:szCs w:val="16"/>
              </w:rPr>
            </w:pPr>
            <w:r w:rsidRPr="001D5327">
              <w:rPr>
                <w:szCs w:val="16"/>
              </w:rPr>
              <w:t>12.4</w:t>
            </w:r>
          </w:p>
        </w:tc>
        <w:tc>
          <w:tcPr>
            <w:tcW w:w="816" w:type="dxa"/>
            <w:shd w:val="clear" w:color="auto" w:fill="FFFFFF" w:themeFill="background1"/>
            <w:tcMar>
              <w:top w:w="0" w:type="dxa"/>
              <w:left w:w="85" w:type="dxa"/>
              <w:bottom w:w="0" w:type="dxa"/>
              <w:right w:w="85" w:type="dxa"/>
            </w:tcMar>
          </w:tcPr>
          <w:p w14:paraId="24DFCBBD" w14:textId="77777777" w:rsidR="00BC0FD7" w:rsidRPr="001D5327" w:rsidRDefault="00BC0FD7" w:rsidP="00D11AC9">
            <w:pPr>
              <w:pStyle w:val="TableText"/>
              <w:spacing w:before="30" w:after="30"/>
              <w:jc w:val="right"/>
              <w:rPr>
                <w:szCs w:val="16"/>
              </w:rPr>
            </w:pPr>
            <w:r w:rsidRPr="001D5327">
              <w:rPr>
                <w:szCs w:val="16"/>
              </w:rPr>
              <w:t>5.2</w:t>
            </w:r>
          </w:p>
        </w:tc>
        <w:tc>
          <w:tcPr>
            <w:tcW w:w="753" w:type="dxa"/>
            <w:shd w:val="clear" w:color="auto" w:fill="FFFFFF" w:themeFill="background1"/>
            <w:tcMar>
              <w:top w:w="0" w:type="dxa"/>
              <w:left w:w="85" w:type="dxa"/>
              <w:bottom w:w="0" w:type="dxa"/>
              <w:right w:w="85" w:type="dxa"/>
            </w:tcMar>
          </w:tcPr>
          <w:p w14:paraId="3897DF70" w14:textId="77777777" w:rsidR="00BC0FD7" w:rsidRPr="001D5327" w:rsidRDefault="00BC0FD7" w:rsidP="00D11AC9">
            <w:pPr>
              <w:pStyle w:val="TableText"/>
              <w:spacing w:before="30" w:after="30"/>
              <w:jc w:val="right"/>
              <w:rPr>
                <w:szCs w:val="16"/>
              </w:rPr>
            </w:pPr>
            <w:r w:rsidRPr="001D5327">
              <w:rPr>
                <w:szCs w:val="16"/>
              </w:rPr>
              <w:t>2.6</w:t>
            </w:r>
          </w:p>
        </w:tc>
        <w:tc>
          <w:tcPr>
            <w:tcW w:w="753" w:type="dxa"/>
            <w:shd w:val="clear" w:color="auto" w:fill="FFFFFF" w:themeFill="background1"/>
            <w:tcMar>
              <w:top w:w="0" w:type="dxa"/>
              <w:left w:w="85" w:type="dxa"/>
              <w:bottom w:w="0" w:type="dxa"/>
              <w:right w:w="85" w:type="dxa"/>
            </w:tcMar>
          </w:tcPr>
          <w:p w14:paraId="356393FF" w14:textId="77777777" w:rsidR="00BC0FD7" w:rsidRPr="001D5327" w:rsidRDefault="00BC0FD7" w:rsidP="00D11AC9">
            <w:pPr>
              <w:pStyle w:val="TableText"/>
              <w:spacing w:before="30" w:after="30"/>
              <w:jc w:val="right"/>
              <w:rPr>
                <w:szCs w:val="16"/>
              </w:rPr>
            </w:pPr>
            <w:r w:rsidRPr="001D5327">
              <w:rPr>
                <w:szCs w:val="16"/>
              </w:rPr>
              <w:t>2.6</w:t>
            </w:r>
          </w:p>
        </w:tc>
        <w:tc>
          <w:tcPr>
            <w:tcW w:w="691" w:type="dxa"/>
            <w:shd w:val="clear" w:color="auto" w:fill="FFFFFF" w:themeFill="background1"/>
            <w:tcMar>
              <w:top w:w="0" w:type="dxa"/>
              <w:left w:w="85" w:type="dxa"/>
              <w:bottom w:w="0" w:type="dxa"/>
              <w:right w:w="85" w:type="dxa"/>
            </w:tcMar>
          </w:tcPr>
          <w:p w14:paraId="48315BFA" w14:textId="77777777" w:rsidR="00BC0FD7" w:rsidRPr="001D5327" w:rsidRDefault="00BC0FD7" w:rsidP="00D11AC9">
            <w:pPr>
              <w:pStyle w:val="TableText"/>
              <w:spacing w:before="30" w:after="30"/>
              <w:jc w:val="right"/>
              <w:rPr>
                <w:szCs w:val="16"/>
              </w:rPr>
            </w:pPr>
            <w:r w:rsidRPr="001D5327">
              <w:rPr>
                <w:szCs w:val="16"/>
              </w:rPr>
              <w:t>51.5</w:t>
            </w:r>
          </w:p>
        </w:tc>
        <w:tc>
          <w:tcPr>
            <w:tcW w:w="1758" w:type="dxa"/>
            <w:shd w:val="clear" w:color="auto" w:fill="FFFFFF" w:themeFill="background1"/>
            <w:tcMar>
              <w:top w:w="0" w:type="dxa"/>
              <w:left w:w="85" w:type="dxa"/>
              <w:bottom w:w="0" w:type="dxa"/>
              <w:right w:w="85" w:type="dxa"/>
            </w:tcMar>
          </w:tcPr>
          <w:p w14:paraId="28A26475" w14:textId="77777777" w:rsidR="00BC0FD7" w:rsidRPr="001D5327" w:rsidRDefault="00BC0FD7" w:rsidP="00D11AC9">
            <w:pPr>
              <w:pStyle w:val="TableText"/>
              <w:spacing w:before="30" w:after="30"/>
              <w:rPr>
                <w:szCs w:val="16"/>
              </w:rPr>
            </w:pPr>
            <w:r w:rsidRPr="001D5327">
              <w:rPr>
                <w:szCs w:val="16"/>
              </w:rPr>
              <w:t>Based on survey data</w:t>
            </w:r>
          </w:p>
        </w:tc>
      </w:tr>
      <w:tr w:rsidR="00EC0FF4" w:rsidRPr="001D5327" w14:paraId="23E53668" w14:textId="77777777" w:rsidTr="00EC0FF4">
        <w:tc>
          <w:tcPr>
            <w:tcW w:w="907" w:type="dxa"/>
            <w:shd w:val="clear" w:color="auto" w:fill="FFFFFF" w:themeFill="background1"/>
            <w:tcMar>
              <w:top w:w="0" w:type="dxa"/>
              <w:left w:w="85" w:type="dxa"/>
              <w:bottom w:w="0" w:type="dxa"/>
              <w:right w:w="85" w:type="dxa"/>
            </w:tcMar>
          </w:tcPr>
          <w:p w14:paraId="5BA2E691" w14:textId="77777777" w:rsidR="00BC0FD7" w:rsidRPr="001D5327" w:rsidRDefault="00BC0FD7" w:rsidP="00D11AC9">
            <w:pPr>
              <w:pStyle w:val="TableText"/>
              <w:spacing w:before="30" w:after="30"/>
              <w:rPr>
                <w:b/>
                <w:bCs/>
                <w:szCs w:val="16"/>
              </w:rPr>
            </w:pPr>
            <w:r w:rsidRPr="001D5327">
              <w:rPr>
                <w:rFonts w:eastAsia="Calibri"/>
                <w:b/>
                <w:bCs/>
                <w:color w:val="1B556B"/>
                <w:szCs w:val="16"/>
              </w:rPr>
              <w:t>2017</w:t>
            </w:r>
          </w:p>
        </w:tc>
        <w:tc>
          <w:tcPr>
            <w:tcW w:w="624" w:type="dxa"/>
            <w:shd w:val="clear" w:color="auto" w:fill="FFFFFF" w:themeFill="background1"/>
            <w:tcMar>
              <w:top w:w="0" w:type="dxa"/>
              <w:left w:w="85" w:type="dxa"/>
              <w:bottom w:w="0" w:type="dxa"/>
              <w:right w:w="85" w:type="dxa"/>
            </w:tcMar>
          </w:tcPr>
          <w:p w14:paraId="13742EF5" w14:textId="77777777" w:rsidR="00BC0FD7" w:rsidRPr="001D5327" w:rsidRDefault="00BC0FD7" w:rsidP="00D11AC9">
            <w:pPr>
              <w:pStyle w:val="TableText"/>
              <w:spacing w:before="30" w:after="30"/>
              <w:jc w:val="right"/>
              <w:rPr>
                <w:szCs w:val="16"/>
              </w:rPr>
            </w:pPr>
            <w:r w:rsidRPr="001D5327">
              <w:rPr>
                <w:szCs w:val="16"/>
              </w:rPr>
              <w:t>10.3</w:t>
            </w:r>
          </w:p>
        </w:tc>
        <w:tc>
          <w:tcPr>
            <w:tcW w:w="737" w:type="dxa"/>
            <w:shd w:val="clear" w:color="auto" w:fill="FFFFFF" w:themeFill="background1"/>
            <w:tcMar>
              <w:top w:w="0" w:type="dxa"/>
              <w:left w:w="85" w:type="dxa"/>
              <w:bottom w:w="0" w:type="dxa"/>
              <w:right w:w="85" w:type="dxa"/>
            </w:tcMar>
          </w:tcPr>
          <w:p w14:paraId="6B3A1E28" w14:textId="77777777" w:rsidR="00BC0FD7" w:rsidRPr="001D5327" w:rsidRDefault="00BC0FD7" w:rsidP="00D11AC9">
            <w:pPr>
              <w:pStyle w:val="TableText"/>
              <w:spacing w:before="30" w:after="30"/>
              <w:jc w:val="right"/>
              <w:rPr>
                <w:szCs w:val="16"/>
              </w:rPr>
            </w:pPr>
            <w:r w:rsidRPr="001D5327">
              <w:rPr>
                <w:szCs w:val="16"/>
              </w:rPr>
              <w:t>6.2</w:t>
            </w:r>
          </w:p>
        </w:tc>
        <w:tc>
          <w:tcPr>
            <w:tcW w:w="680" w:type="dxa"/>
            <w:shd w:val="clear" w:color="auto" w:fill="FFFFFF" w:themeFill="background1"/>
            <w:tcMar>
              <w:top w:w="0" w:type="dxa"/>
              <w:left w:w="85" w:type="dxa"/>
              <w:bottom w:w="0" w:type="dxa"/>
              <w:right w:w="85" w:type="dxa"/>
            </w:tcMar>
          </w:tcPr>
          <w:p w14:paraId="2FA3C45E" w14:textId="77777777" w:rsidR="00BC0FD7" w:rsidRPr="001D5327" w:rsidRDefault="00BC0FD7" w:rsidP="00D11AC9">
            <w:pPr>
              <w:pStyle w:val="TableText"/>
              <w:spacing w:before="30" w:after="30"/>
              <w:jc w:val="right"/>
              <w:rPr>
                <w:szCs w:val="16"/>
              </w:rPr>
            </w:pPr>
            <w:r w:rsidRPr="001D5327">
              <w:rPr>
                <w:szCs w:val="16"/>
              </w:rPr>
              <w:t>6.7</w:t>
            </w:r>
          </w:p>
        </w:tc>
        <w:tc>
          <w:tcPr>
            <w:tcW w:w="753" w:type="dxa"/>
            <w:shd w:val="clear" w:color="auto" w:fill="FFFFFF" w:themeFill="background1"/>
            <w:tcMar>
              <w:top w:w="0" w:type="dxa"/>
              <w:left w:w="85" w:type="dxa"/>
              <w:bottom w:w="0" w:type="dxa"/>
              <w:right w:w="85" w:type="dxa"/>
            </w:tcMar>
          </w:tcPr>
          <w:p w14:paraId="38B109EA" w14:textId="77777777" w:rsidR="00BC0FD7" w:rsidRPr="001D5327" w:rsidRDefault="00BC0FD7" w:rsidP="00D11AC9">
            <w:pPr>
              <w:pStyle w:val="TableText"/>
              <w:spacing w:before="30" w:after="30"/>
              <w:jc w:val="right"/>
              <w:rPr>
                <w:szCs w:val="16"/>
              </w:rPr>
            </w:pPr>
            <w:r w:rsidRPr="001D5327">
              <w:rPr>
                <w:szCs w:val="16"/>
              </w:rPr>
              <w:t>12.5</w:t>
            </w:r>
          </w:p>
        </w:tc>
        <w:tc>
          <w:tcPr>
            <w:tcW w:w="816" w:type="dxa"/>
            <w:shd w:val="clear" w:color="auto" w:fill="FFFFFF" w:themeFill="background1"/>
            <w:tcMar>
              <w:top w:w="0" w:type="dxa"/>
              <w:left w:w="85" w:type="dxa"/>
              <w:bottom w:w="0" w:type="dxa"/>
              <w:right w:w="85" w:type="dxa"/>
            </w:tcMar>
          </w:tcPr>
          <w:p w14:paraId="7AD61F96" w14:textId="77777777" w:rsidR="00BC0FD7" w:rsidRPr="001D5327" w:rsidRDefault="00BC0FD7" w:rsidP="00D11AC9">
            <w:pPr>
              <w:pStyle w:val="TableText"/>
              <w:spacing w:before="30" w:after="30"/>
              <w:jc w:val="right"/>
              <w:rPr>
                <w:szCs w:val="16"/>
              </w:rPr>
            </w:pPr>
            <w:r w:rsidRPr="001D5327">
              <w:rPr>
                <w:szCs w:val="16"/>
              </w:rPr>
              <w:t>5.1</w:t>
            </w:r>
          </w:p>
        </w:tc>
        <w:tc>
          <w:tcPr>
            <w:tcW w:w="753" w:type="dxa"/>
            <w:shd w:val="clear" w:color="auto" w:fill="FFFFFF" w:themeFill="background1"/>
            <w:tcMar>
              <w:top w:w="0" w:type="dxa"/>
              <w:left w:w="85" w:type="dxa"/>
              <w:bottom w:w="0" w:type="dxa"/>
              <w:right w:w="85" w:type="dxa"/>
            </w:tcMar>
          </w:tcPr>
          <w:p w14:paraId="0386A592" w14:textId="77777777" w:rsidR="00BC0FD7" w:rsidRPr="001D5327" w:rsidRDefault="00BC0FD7" w:rsidP="00D11AC9">
            <w:pPr>
              <w:pStyle w:val="TableText"/>
              <w:spacing w:before="30" w:after="30"/>
              <w:jc w:val="right"/>
              <w:rPr>
                <w:szCs w:val="16"/>
              </w:rPr>
            </w:pPr>
            <w:r w:rsidRPr="001D5327">
              <w:rPr>
                <w:szCs w:val="16"/>
              </w:rPr>
              <w:t>2.6</w:t>
            </w:r>
          </w:p>
        </w:tc>
        <w:tc>
          <w:tcPr>
            <w:tcW w:w="753" w:type="dxa"/>
            <w:shd w:val="clear" w:color="auto" w:fill="FFFFFF" w:themeFill="background1"/>
            <w:tcMar>
              <w:top w:w="0" w:type="dxa"/>
              <w:left w:w="85" w:type="dxa"/>
              <w:bottom w:w="0" w:type="dxa"/>
              <w:right w:w="85" w:type="dxa"/>
            </w:tcMar>
          </w:tcPr>
          <w:p w14:paraId="5F8A910D" w14:textId="77777777" w:rsidR="00BC0FD7" w:rsidRPr="001D5327" w:rsidRDefault="00BC0FD7" w:rsidP="00D11AC9">
            <w:pPr>
              <w:pStyle w:val="TableText"/>
              <w:spacing w:before="30" w:after="30"/>
              <w:jc w:val="right"/>
              <w:rPr>
                <w:szCs w:val="16"/>
              </w:rPr>
            </w:pPr>
            <w:r w:rsidRPr="001D5327">
              <w:rPr>
                <w:szCs w:val="16"/>
              </w:rPr>
              <w:t>2.3</w:t>
            </w:r>
          </w:p>
        </w:tc>
        <w:tc>
          <w:tcPr>
            <w:tcW w:w="691" w:type="dxa"/>
            <w:shd w:val="clear" w:color="auto" w:fill="FFFFFF" w:themeFill="background1"/>
            <w:tcMar>
              <w:top w:w="0" w:type="dxa"/>
              <w:left w:w="85" w:type="dxa"/>
              <w:bottom w:w="0" w:type="dxa"/>
              <w:right w:w="85" w:type="dxa"/>
            </w:tcMar>
          </w:tcPr>
          <w:p w14:paraId="61EB96B5" w14:textId="77777777" w:rsidR="00BC0FD7" w:rsidRPr="001D5327" w:rsidRDefault="00BC0FD7" w:rsidP="00D11AC9">
            <w:pPr>
              <w:pStyle w:val="TableText"/>
              <w:spacing w:before="30" w:after="30"/>
              <w:jc w:val="right"/>
              <w:rPr>
                <w:szCs w:val="16"/>
              </w:rPr>
            </w:pPr>
            <w:r w:rsidRPr="001D5327">
              <w:rPr>
                <w:szCs w:val="16"/>
              </w:rPr>
              <w:t>54.4</w:t>
            </w:r>
          </w:p>
        </w:tc>
        <w:tc>
          <w:tcPr>
            <w:tcW w:w="1758" w:type="dxa"/>
            <w:shd w:val="clear" w:color="auto" w:fill="FFFFFF" w:themeFill="background1"/>
            <w:tcMar>
              <w:top w:w="0" w:type="dxa"/>
              <w:left w:w="85" w:type="dxa"/>
              <w:bottom w:w="0" w:type="dxa"/>
              <w:right w:w="85" w:type="dxa"/>
            </w:tcMar>
          </w:tcPr>
          <w:p w14:paraId="260188AE" w14:textId="77777777" w:rsidR="00BC0FD7" w:rsidRPr="001D5327" w:rsidRDefault="00BC0FD7" w:rsidP="00D11AC9">
            <w:pPr>
              <w:pStyle w:val="TableText"/>
              <w:spacing w:before="30" w:after="30"/>
              <w:rPr>
                <w:szCs w:val="16"/>
              </w:rPr>
            </w:pPr>
            <w:r w:rsidRPr="001D5327">
              <w:rPr>
                <w:szCs w:val="16"/>
              </w:rPr>
              <w:t>Based on interpolation</w:t>
            </w:r>
          </w:p>
        </w:tc>
      </w:tr>
      <w:tr w:rsidR="00EC0FF4" w:rsidRPr="001D5327" w14:paraId="21B334BF" w14:textId="77777777" w:rsidTr="00EC0FF4">
        <w:tc>
          <w:tcPr>
            <w:tcW w:w="907" w:type="dxa"/>
            <w:shd w:val="clear" w:color="auto" w:fill="FFFFFF" w:themeFill="background1"/>
            <w:tcMar>
              <w:top w:w="0" w:type="dxa"/>
              <w:left w:w="85" w:type="dxa"/>
              <w:bottom w:w="0" w:type="dxa"/>
              <w:right w:w="85" w:type="dxa"/>
            </w:tcMar>
          </w:tcPr>
          <w:p w14:paraId="2B64FA4A" w14:textId="77777777" w:rsidR="00BC0FD7" w:rsidRPr="001D5327" w:rsidRDefault="00BC0FD7" w:rsidP="00D11AC9">
            <w:pPr>
              <w:pStyle w:val="TableText"/>
              <w:spacing w:before="30" w:after="30"/>
              <w:rPr>
                <w:b/>
                <w:bCs/>
                <w:szCs w:val="16"/>
              </w:rPr>
            </w:pPr>
            <w:r w:rsidRPr="001D5327">
              <w:rPr>
                <w:rFonts w:eastAsia="Calibri"/>
                <w:b/>
                <w:bCs/>
                <w:color w:val="1B556B"/>
                <w:szCs w:val="16"/>
              </w:rPr>
              <w:t>2018</w:t>
            </w:r>
          </w:p>
        </w:tc>
        <w:tc>
          <w:tcPr>
            <w:tcW w:w="624" w:type="dxa"/>
            <w:shd w:val="clear" w:color="auto" w:fill="FFFFFF" w:themeFill="background1"/>
            <w:tcMar>
              <w:top w:w="0" w:type="dxa"/>
              <w:left w:w="85" w:type="dxa"/>
              <w:bottom w:w="0" w:type="dxa"/>
              <w:right w:w="85" w:type="dxa"/>
            </w:tcMar>
          </w:tcPr>
          <w:p w14:paraId="5BE2BFCC" w14:textId="77777777" w:rsidR="00BC0FD7" w:rsidRPr="001D5327" w:rsidRDefault="00BC0FD7" w:rsidP="00D11AC9">
            <w:pPr>
              <w:pStyle w:val="TableText"/>
              <w:spacing w:before="30" w:after="30"/>
              <w:jc w:val="right"/>
              <w:rPr>
                <w:szCs w:val="16"/>
              </w:rPr>
            </w:pPr>
            <w:r w:rsidRPr="001D5327">
              <w:rPr>
                <w:szCs w:val="16"/>
              </w:rPr>
              <w:t>9.0</w:t>
            </w:r>
          </w:p>
        </w:tc>
        <w:tc>
          <w:tcPr>
            <w:tcW w:w="737" w:type="dxa"/>
            <w:shd w:val="clear" w:color="auto" w:fill="FFFFFF" w:themeFill="background1"/>
            <w:tcMar>
              <w:top w:w="0" w:type="dxa"/>
              <w:left w:w="85" w:type="dxa"/>
              <w:bottom w:w="0" w:type="dxa"/>
              <w:right w:w="85" w:type="dxa"/>
            </w:tcMar>
          </w:tcPr>
          <w:p w14:paraId="24E4E9ED" w14:textId="77777777" w:rsidR="00BC0FD7" w:rsidRPr="001D5327" w:rsidRDefault="00BC0FD7" w:rsidP="00D11AC9">
            <w:pPr>
              <w:pStyle w:val="TableText"/>
              <w:spacing w:before="30" w:after="30"/>
              <w:jc w:val="right"/>
              <w:rPr>
                <w:szCs w:val="16"/>
              </w:rPr>
            </w:pPr>
            <w:r w:rsidRPr="001D5327">
              <w:rPr>
                <w:szCs w:val="16"/>
              </w:rPr>
              <w:t>5.7</w:t>
            </w:r>
          </w:p>
        </w:tc>
        <w:tc>
          <w:tcPr>
            <w:tcW w:w="680" w:type="dxa"/>
            <w:shd w:val="clear" w:color="auto" w:fill="FFFFFF" w:themeFill="background1"/>
            <w:tcMar>
              <w:top w:w="0" w:type="dxa"/>
              <w:left w:w="85" w:type="dxa"/>
              <w:bottom w:w="0" w:type="dxa"/>
              <w:right w:w="85" w:type="dxa"/>
            </w:tcMar>
          </w:tcPr>
          <w:p w14:paraId="7CEEE363" w14:textId="77777777" w:rsidR="00BC0FD7" w:rsidRPr="001D5327" w:rsidRDefault="00BC0FD7" w:rsidP="00D11AC9">
            <w:pPr>
              <w:pStyle w:val="TableText"/>
              <w:spacing w:before="30" w:after="30"/>
              <w:jc w:val="right"/>
              <w:rPr>
                <w:szCs w:val="16"/>
              </w:rPr>
            </w:pPr>
            <w:r w:rsidRPr="001D5327">
              <w:rPr>
                <w:szCs w:val="16"/>
              </w:rPr>
              <w:t>5.9</w:t>
            </w:r>
          </w:p>
        </w:tc>
        <w:tc>
          <w:tcPr>
            <w:tcW w:w="753" w:type="dxa"/>
            <w:shd w:val="clear" w:color="auto" w:fill="FFFFFF" w:themeFill="background1"/>
            <w:tcMar>
              <w:top w:w="0" w:type="dxa"/>
              <w:left w:w="85" w:type="dxa"/>
              <w:bottom w:w="0" w:type="dxa"/>
              <w:right w:w="85" w:type="dxa"/>
            </w:tcMar>
          </w:tcPr>
          <w:p w14:paraId="7396594D" w14:textId="77777777" w:rsidR="00BC0FD7" w:rsidRPr="001D5327" w:rsidRDefault="00BC0FD7" w:rsidP="00D11AC9">
            <w:pPr>
              <w:pStyle w:val="TableText"/>
              <w:spacing w:before="30" w:after="30"/>
              <w:jc w:val="right"/>
              <w:rPr>
                <w:szCs w:val="16"/>
              </w:rPr>
            </w:pPr>
            <w:r w:rsidRPr="001D5327">
              <w:rPr>
                <w:szCs w:val="16"/>
              </w:rPr>
              <w:t>12.6</w:t>
            </w:r>
          </w:p>
        </w:tc>
        <w:tc>
          <w:tcPr>
            <w:tcW w:w="816" w:type="dxa"/>
            <w:shd w:val="clear" w:color="auto" w:fill="FFFFFF" w:themeFill="background1"/>
            <w:tcMar>
              <w:top w:w="0" w:type="dxa"/>
              <w:left w:w="85" w:type="dxa"/>
              <w:bottom w:w="0" w:type="dxa"/>
              <w:right w:w="85" w:type="dxa"/>
            </w:tcMar>
          </w:tcPr>
          <w:p w14:paraId="69ECE76A" w14:textId="77777777" w:rsidR="00BC0FD7" w:rsidRPr="001D5327" w:rsidRDefault="00BC0FD7" w:rsidP="00D11AC9">
            <w:pPr>
              <w:pStyle w:val="TableText"/>
              <w:spacing w:before="30" w:after="30"/>
              <w:jc w:val="right"/>
              <w:rPr>
                <w:szCs w:val="16"/>
              </w:rPr>
            </w:pPr>
            <w:r w:rsidRPr="001D5327">
              <w:rPr>
                <w:szCs w:val="16"/>
              </w:rPr>
              <w:t>5.0</w:t>
            </w:r>
          </w:p>
        </w:tc>
        <w:tc>
          <w:tcPr>
            <w:tcW w:w="753" w:type="dxa"/>
            <w:shd w:val="clear" w:color="auto" w:fill="FFFFFF" w:themeFill="background1"/>
            <w:tcMar>
              <w:top w:w="0" w:type="dxa"/>
              <w:left w:w="85" w:type="dxa"/>
              <w:bottom w:w="0" w:type="dxa"/>
              <w:right w:w="85" w:type="dxa"/>
            </w:tcMar>
          </w:tcPr>
          <w:p w14:paraId="4076C4DE" w14:textId="77777777" w:rsidR="00BC0FD7" w:rsidRPr="001D5327" w:rsidRDefault="00BC0FD7" w:rsidP="00D11AC9">
            <w:pPr>
              <w:pStyle w:val="TableText"/>
              <w:spacing w:before="30" w:after="30"/>
              <w:jc w:val="right"/>
              <w:rPr>
                <w:szCs w:val="16"/>
              </w:rPr>
            </w:pPr>
            <w:r w:rsidRPr="001D5327">
              <w:rPr>
                <w:szCs w:val="16"/>
              </w:rPr>
              <w:t>2.5</w:t>
            </w:r>
          </w:p>
        </w:tc>
        <w:tc>
          <w:tcPr>
            <w:tcW w:w="753" w:type="dxa"/>
            <w:shd w:val="clear" w:color="auto" w:fill="FFFFFF" w:themeFill="background1"/>
            <w:tcMar>
              <w:top w:w="0" w:type="dxa"/>
              <w:left w:w="85" w:type="dxa"/>
              <w:bottom w:w="0" w:type="dxa"/>
              <w:right w:w="85" w:type="dxa"/>
            </w:tcMar>
          </w:tcPr>
          <w:p w14:paraId="276B600D" w14:textId="77777777" w:rsidR="00BC0FD7" w:rsidRPr="001D5327" w:rsidRDefault="00BC0FD7" w:rsidP="00D11AC9">
            <w:pPr>
              <w:pStyle w:val="TableText"/>
              <w:spacing w:before="30" w:after="30"/>
              <w:jc w:val="right"/>
              <w:rPr>
                <w:szCs w:val="16"/>
              </w:rPr>
            </w:pPr>
            <w:r w:rsidRPr="001D5327">
              <w:rPr>
                <w:szCs w:val="16"/>
              </w:rPr>
              <w:t>1.9</w:t>
            </w:r>
          </w:p>
        </w:tc>
        <w:tc>
          <w:tcPr>
            <w:tcW w:w="691" w:type="dxa"/>
            <w:shd w:val="clear" w:color="auto" w:fill="FFFFFF" w:themeFill="background1"/>
            <w:tcMar>
              <w:top w:w="0" w:type="dxa"/>
              <w:left w:w="85" w:type="dxa"/>
              <w:bottom w:w="0" w:type="dxa"/>
              <w:right w:w="85" w:type="dxa"/>
            </w:tcMar>
          </w:tcPr>
          <w:p w14:paraId="5D509FAC" w14:textId="77777777" w:rsidR="00BC0FD7" w:rsidRPr="001D5327" w:rsidRDefault="00BC0FD7" w:rsidP="00D11AC9">
            <w:pPr>
              <w:pStyle w:val="TableText"/>
              <w:spacing w:before="30" w:after="30"/>
              <w:jc w:val="right"/>
              <w:rPr>
                <w:szCs w:val="16"/>
              </w:rPr>
            </w:pPr>
            <w:r w:rsidRPr="001D5327">
              <w:rPr>
                <w:szCs w:val="16"/>
              </w:rPr>
              <w:t>57.3</w:t>
            </w:r>
          </w:p>
        </w:tc>
        <w:tc>
          <w:tcPr>
            <w:tcW w:w="1758" w:type="dxa"/>
            <w:shd w:val="clear" w:color="auto" w:fill="FFFFFF" w:themeFill="background1"/>
            <w:tcMar>
              <w:top w:w="0" w:type="dxa"/>
              <w:left w:w="85" w:type="dxa"/>
              <w:bottom w:w="0" w:type="dxa"/>
              <w:right w:w="85" w:type="dxa"/>
            </w:tcMar>
          </w:tcPr>
          <w:p w14:paraId="790A783A" w14:textId="77777777" w:rsidR="00BC0FD7" w:rsidRPr="001D5327" w:rsidRDefault="00BC0FD7" w:rsidP="00D11AC9">
            <w:pPr>
              <w:pStyle w:val="TableText"/>
              <w:spacing w:before="30" w:after="30"/>
              <w:rPr>
                <w:szCs w:val="16"/>
              </w:rPr>
            </w:pPr>
            <w:r w:rsidRPr="001D5327">
              <w:rPr>
                <w:szCs w:val="16"/>
              </w:rPr>
              <w:t>Based on survey data</w:t>
            </w:r>
          </w:p>
        </w:tc>
      </w:tr>
      <w:tr w:rsidR="00EC0FF4" w:rsidRPr="001D5327" w14:paraId="6D86E079" w14:textId="77777777" w:rsidTr="00EC0FF4">
        <w:tc>
          <w:tcPr>
            <w:tcW w:w="907" w:type="dxa"/>
            <w:shd w:val="clear" w:color="auto" w:fill="FFFFFF" w:themeFill="background1"/>
            <w:tcMar>
              <w:top w:w="0" w:type="dxa"/>
              <w:left w:w="85" w:type="dxa"/>
              <w:bottom w:w="0" w:type="dxa"/>
              <w:right w:w="85" w:type="dxa"/>
            </w:tcMar>
          </w:tcPr>
          <w:p w14:paraId="72FB379C" w14:textId="77777777" w:rsidR="00BC0FD7" w:rsidRPr="001D5327" w:rsidRDefault="00BC0FD7" w:rsidP="00D11AC9">
            <w:pPr>
              <w:pStyle w:val="TableText"/>
              <w:spacing w:before="30" w:after="30"/>
              <w:rPr>
                <w:b/>
                <w:bCs/>
                <w:szCs w:val="16"/>
              </w:rPr>
            </w:pPr>
            <w:r w:rsidRPr="001D5327">
              <w:rPr>
                <w:rFonts w:eastAsia="Calibri"/>
                <w:b/>
                <w:bCs/>
                <w:color w:val="1B556B"/>
                <w:szCs w:val="16"/>
              </w:rPr>
              <w:t>2019</w:t>
            </w:r>
          </w:p>
        </w:tc>
        <w:tc>
          <w:tcPr>
            <w:tcW w:w="624" w:type="dxa"/>
            <w:shd w:val="clear" w:color="auto" w:fill="FFFFFF" w:themeFill="background1"/>
            <w:tcMar>
              <w:top w:w="0" w:type="dxa"/>
              <w:left w:w="85" w:type="dxa"/>
              <w:bottom w:w="0" w:type="dxa"/>
              <w:right w:w="85" w:type="dxa"/>
            </w:tcMar>
          </w:tcPr>
          <w:p w14:paraId="2A914CAA" w14:textId="77777777" w:rsidR="00BC0FD7" w:rsidRPr="001D5327" w:rsidRDefault="00BC0FD7" w:rsidP="00D11AC9">
            <w:pPr>
              <w:pStyle w:val="TableText"/>
              <w:spacing w:before="30" w:after="30"/>
              <w:jc w:val="right"/>
              <w:rPr>
                <w:szCs w:val="16"/>
              </w:rPr>
            </w:pPr>
            <w:r w:rsidRPr="001D5327">
              <w:rPr>
                <w:szCs w:val="16"/>
              </w:rPr>
              <w:t>9.0</w:t>
            </w:r>
          </w:p>
        </w:tc>
        <w:tc>
          <w:tcPr>
            <w:tcW w:w="737" w:type="dxa"/>
            <w:shd w:val="clear" w:color="auto" w:fill="FFFFFF" w:themeFill="background1"/>
            <w:tcMar>
              <w:top w:w="0" w:type="dxa"/>
              <w:left w:w="85" w:type="dxa"/>
              <w:bottom w:w="0" w:type="dxa"/>
              <w:right w:w="85" w:type="dxa"/>
            </w:tcMar>
          </w:tcPr>
          <w:p w14:paraId="2336EC4D" w14:textId="77777777" w:rsidR="00BC0FD7" w:rsidRPr="001D5327" w:rsidRDefault="00BC0FD7" w:rsidP="00D11AC9">
            <w:pPr>
              <w:pStyle w:val="TableText"/>
              <w:spacing w:before="30" w:after="30"/>
              <w:jc w:val="right"/>
              <w:rPr>
                <w:szCs w:val="16"/>
              </w:rPr>
            </w:pPr>
            <w:r w:rsidRPr="001D5327">
              <w:rPr>
                <w:szCs w:val="16"/>
              </w:rPr>
              <w:t>5.7</w:t>
            </w:r>
          </w:p>
        </w:tc>
        <w:tc>
          <w:tcPr>
            <w:tcW w:w="680" w:type="dxa"/>
            <w:shd w:val="clear" w:color="auto" w:fill="FFFFFF" w:themeFill="background1"/>
            <w:tcMar>
              <w:top w:w="0" w:type="dxa"/>
              <w:left w:w="85" w:type="dxa"/>
              <w:bottom w:w="0" w:type="dxa"/>
              <w:right w:w="85" w:type="dxa"/>
            </w:tcMar>
          </w:tcPr>
          <w:p w14:paraId="0D1417F3" w14:textId="77777777" w:rsidR="00BC0FD7" w:rsidRPr="001D5327" w:rsidRDefault="00BC0FD7" w:rsidP="00D11AC9">
            <w:pPr>
              <w:pStyle w:val="TableText"/>
              <w:spacing w:before="30" w:after="30"/>
              <w:jc w:val="right"/>
              <w:rPr>
                <w:szCs w:val="16"/>
              </w:rPr>
            </w:pPr>
            <w:r w:rsidRPr="001D5327">
              <w:rPr>
                <w:szCs w:val="16"/>
              </w:rPr>
              <w:t>5.9</w:t>
            </w:r>
          </w:p>
        </w:tc>
        <w:tc>
          <w:tcPr>
            <w:tcW w:w="753" w:type="dxa"/>
            <w:shd w:val="clear" w:color="auto" w:fill="FFFFFF" w:themeFill="background1"/>
            <w:tcMar>
              <w:top w:w="0" w:type="dxa"/>
              <w:left w:w="85" w:type="dxa"/>
              <w:bottom w:w="0" w:type="dxa"/>
              <w:right w:w="85" w:type="dxa"/>
            </w:tcMar>
          </w:tcPr>
          <w:p w14:paraId="56E76DD0" w14:textId="77777777" w:rsidR="00BC0FD7" w:rsidRPr="001D5327" w:rsidRDefault="00BC0FD7" w:rsidP="00D11AC9">
            <w:pPr>
              <w:pStyle w:val="TableText"/>
              <w:spacing w:before="30" w:after="30"/>
              <w:jc w:val="right"/>
              <w:rPr>
                <w:szCs w:val="16"/>
              </w:rPr>
            </w:pPr>
            <w:r w:rsidRPr="001D5327">
              <w:rPr>
                <w:szCs w:val="16"/>
              </w:rPr>
              <w:t>12.6</w:t>
            </w:r>
          </w:p>
        </w:tc>
        <w:tc>
          <w:tcPr>
            <w:tcW w:w="816" w:type="dxa"/>
            <w:shd w:val="clear" w:color="auto" w:fill="FFFFFF" w:themeFill="background1"/>
            <w:tcMar>
              <w:top w:w="0" w:type="dxa"/>
              <w:left w:w="85" w:type="dxa"/>
              <w:bottom w:w="0" w:type="dxa"/>
              <w:right w:w="85" w:type="dxa"/>
            </w:tcMar>
          </w:tcPr>
          <w:p w14:paraId="076CA8AC" w14:textId="77777777" w:rsidR="00BC0FD7" w:rsidRPr="001D5327" w:rsidRDefault="00BC0FD7" w:rsidP="00D11AC9">
            <w:pPr>
              <w:pStyle w:val="TableText"/>
              <w:spacing w:before="30" w:after="30"/>
              <w:jc w:val="right"/>
              <w:rPr>
                <w:szCs w:val="16"/>
              </w:rPr>
            </w:pPr>
            <w:r w:rsidRPr="001D5327">
              <w:rPr>
                <w:szCs w:val="16"/>
              </w:rPr>
              <w:t>5.0</w:t>
            </w:r>
          </w:p>
        </w:tc>
        <w:tc>
          <w:tcPr>
            <w:tcW w:w="753" w:type="dxa"/>
            <w:shd w:val="clear" w:color="auto" w:fill="FFFFFF" w:themeFill="background1"/>
            <w:tcMar>
              <w:top w:w="0" w:type="dxa"/>
              <w:left w:w="85" w:type="dxa"/>
              <w:bottom w:w="0" w:type="dxa"/>
              <w:right w:w="85" w:type="dxa"/>
            </w:tcMar>
          </w:tcPr>
          <w:p w14:paraId="6E8F755F" w14:textId="77777777" w:rsidR="00BC0FD7" w:rsidRPr="001D5327" w:rsidRDefault="00BC0FD7" w:rsidP="00D11AC9">
            <w:pPr>
              <w:pStyle w:val="TableText"/>
              <w:spacing w:before="30" w:after="30"/>
              <w:jc w:val="right"/>
              <w:rPr>
                <w:szCs w:val="16"/>
              </w:rPr>
            </w:pPr>
            <w:r w:rsidRPr="001D5327">
              <w:rPr>
                <w:szCs w:val="16"/>
              </w:rPr>
              <w:t>2.5</w:t>
            </w:r>
          </w:p>
        </w:tc>
        <w:tc>
          <w:tcPr>
            <w:tcW w:w="753" w:type="dxa"/>
            <w:shd w:val="clear" w:color="auto" w:fill="FFFFFF" w:themeFill="background1"/>
            <w:tcMar>
              <w:top w:w="0" w:type="dxa"/>
              <w:left w:w="85" w:type="dxa"/>
              <w:bottom w:w="0" w:type="dxa"/>
              <w:right w:w="85" w:type="dxa"/>
            </w:tcMar>
          </w:tcPr>
          <w:p w14:paraId="1096A1C5" w14:textId="77777777" w:rsidR="00BC0FD7" w:rsidRPr="001D5327" w:rsidRDefault="00BC0FD7" w:rsidP="00D11AC9">
            <w:pPr>
              <w:pStyle w:val="TableText"/>
              <w:spacing w:before="30" w:after="30"/>
              <w:jc w:val="right"/>
              <w:rPr>
                <w:szCs w:val="16"/>
              </w:rPr>
            </w:pPr>
            <w:r w:rsidRPr="001D5327">
              <w:rPr>
                <w:szCs w:val="16"/>
              </w:rPr>
              <w:t>1.9</w:t>
            </w:r>
          </w:p>
        </w:tc>
        <w:tc>
          <w:tcPr>
            <w:tcW w:w="691" w:type="dxa"/>
            <w:shd w:val="clear" w:color="auto" w:fill="FFFFFF" w:themeFill="background1"/>
            <w:tcMar>
              <w:top w:w="0" w:type="dxa"/>
              <w:left w:w="85" w:type="dxa"/>
              <w:bottom w:w="0" w:type="dxa"/>
              <w:right w:w="85" w:type="dxa"/>
            </w:tcMar>
          </w:tcPr>
          <w:p w14:paraId="7DC8B78A" w14:textId="77777777" w:rsidR="00BC0FD7" w:rsidRPr="001D5327" w:rsidRDefault="00BC0FD7" w:rsidP="00D11AC9">
            <w:pPr>
              <w:pStyle w:val="TableText"/>
              <w:spacing w:before="30" w:after="30"/>
              <w:jc w:val="right"/>
              <w:rPr>
                <w:szCs w:val="16"/>
              </w:rPr>
            </w:pPr>
            <w:r w:rsidRPr="001D5327">
              <w:rPr>
                <w:szCs w:val="16"/>
              </w:rPr>
              <w:t>57.3</w:t>
            </w:r>
          </w:p>
        </w:tc>
        <w:tc>
          <w:tcPr>
            <w:tcW w:w="1758" w:type="dxa"/>
            <w:shd w:val="clear" w:color="auto" w:fill="FFFFFF" w:themeFill="background1"/>
            <w:tcMar>
              <w:top w:w="0" w:type="dxa"/>
              <w:left w:w="85" w:type="dxa"/>
              <w:bottom w:w="0" w:type="dxa"/>
              <w:right w:w="85" w:type="dxa"/>
            </w:tcMar>
          </w:tcPr>
          <w:p w14:paraId="18361316" w14:textId="77777777" w:rsidR="00BC0FD7" w:rsidRPr="001D5327" w:rsidRDefault="00BC0FD7" w:rsidP="00D11AC9">
            <w:pPr>
              <w:pStyle w:val="TableText"/>
              <w:spacing w:before="30" w:after="30"/>
              <w:rPr>
                <w:szCs w:val="16"/>
              </w:rPr>
            </w:pPr>
            <w:r w:rsidRPr="001D5327">
              <w:rPr>
                <w:szCs w:val="16"/>
              </w:rPr>
              <w:t>Based on survey data</w:t>
            </w:r>
          </w:p>
        </w:tc>
      </w:tr>
      <w:tr w:rsidR="00EC0FF4" w:rsidRPr="001D5327" w14:paraId="273F3483" w14:textId="77777777" w:rsidTr="00EC0FF4">
        <w:tc>
          <w:tcPr>
            <w:tcW w:w="907" w:type="dxa"/>
            <w:shd w:val="clear" w:color="auto" w:fill="FFFFFF" w:themeFill="background1"/>
            <w:tcMar>
              <w:top w:w="0" w:type="dxa"/>
              <w:left w:w="85" w:type="dxa"/>
              <w:bottom w:w="0" w:type="dxa"/>
              <w:right w:w="85" w:type="dxa"/>
            </w:tcMar>
          </w:tcPr>
          <w:p w14:paraId="6A5E659C" w14:textId="77777777" w:rsidR="00BC0FD7" w:rsidRPr="001D5327" w:rsidRDefault="00BC0FD7" w:rsidP="00D11AC9">
            <w:pPr>
              <w:pStyle w:val="TableText"/>
              <w:spacing w:before="30" w:after="30"/>
              <w:rPr>
                <w:b/>
                <w:bCs/>
                <w:szCs w:val="16"/>
              </w:rPr>
            </w:pPr>
            <w:r w:rsidRPr="001D5327">
              <w:rPr>
                <w:rFonts w:eastAsia="Calibri"/>
                <w:b/>
                <w:bCs/>
                <w:color w:val="1B556B"/>
                <w:szCs w:val="16"/>
              </w:rPr>
              <w:t>2020</w:t>
            </w:r>
          </w:p>
        </w:tc>
        <w:tc>
          <w:tcPr>
            <w:tcW w:w="624" w:type="dxa"/>
            <w:shd w:val="clear" w:color="auto" w:fill="FFFFFF" w:themeFill="background1"/>
            <w:tcMar>
              <w:top w:w="0" w:type="dxa"/>
              <w:left w:w="85" w:type="dxa"/>
              <w:bottom w:w="0" w:type="dxa"/>
              <w:right w:w="85" w:type="dxa"/>
            </w:tcMar>
          </w:tcPr>
          <w:p w14:paraId="426D01FD" w14:textId="77777777" w:rsidR="00BC0FD7" w:rsidRPr="001D5327" w:rsidRDefault="00BC0FD7" w:rsidP="00D11AC9">
            <w:pPr>
              <w:pStyle w:val="TableText"/>
              <w:spacing w:before="30" w:after="30"/>
              <w:jc w:val="right"/>
              <w:rPr>
                <w:szCs w:val="16"/>
              </w:rPr>
            </w:pPr>
            <w:r w:rsidRPr="001D5327">
              <w:rPr>
                <w:szCs w:val="16"/>
              </w:rPr>
              <w:t>9.0</w:t>
            </w:r>
          </w:p>
        </w:tc>
        <w:tc>
          <w:tcPr>
            <w:tcW w:w="737" w:type="dxa"/>
            <w:shd w:val="clear" w:color="auto" w:fill="FFFFFF" w:themeFill="background1"/>
            <w:tcMar>
              <w:top w:w="0" w:type="dxa"/>
              <w:left w:w="85" w:type="dxa"/>
              <w:bottom w:w="0" w:type="dxa"/>
              <w:right w:w="85" w:type="dxa"/>
            </w:tcMar>
          </w:tcPr>
          <w:p w14:paraId="6AF22B76" w14:textId="77777777" w:rsidR="00BC0FD7" w:rsidRPr="001D5327" w:rsidRDefault="00BC0FD7" w:rsidP="00D11AC9">
            <w:pPr>
              <w:pStyle w:val="TableText"/>
              <w:spacing w:before="30" w:after="30"/>
              <w:jc w:val="right"/>
              <w:rPr>
                <w:szCs w:val="16"/>
              </w:rPr>
            </w:pPr>
            <w:r w:rsidRPr="001D5327">
              <w:rPr>
                <w:szCs w:val="16"/>
              </w:rPr>
              <w:t>5.7</w:t>
            </w:r>
          </w:p>
        </w:tc>
        <w:tc>
          <w:tcPr>
            <w:tcW w:w="680" w:type="dxa"/>
            <w:shd w:val="clear" w:color="auto" w:fill="FFFFFF" w:themeFill="background1"/>
            <w:tcMar>
              <w:top w:w="0" w:type="dxa"/>
              <w:left w:w="85" w:type="dxa"/>
              <w:bottom w:w="0" w:type="dxa"/>
              <w:right w:w="85" w:type="dxa"/>
            </w:tcMar>
          </w:tcPr>
          <w:p w14:paraId="677A44ED" w14:textId="77777777" w:rsidR="00BC0FD7" w:rsidRPr="001D5327" w:rsidRDefault="00BC0FD7" w:rsidP="00D11AC9">
            <w:pPr>
              <w:pStyle w:val="TableText"/>
              <w:spacing w:before="30" w:after="30"/>
              <w:jc w:val="right"/>
              <w:rPr>
                <w:szCs w:val="16"/>
              </w:rPr>
            </w:pPr>
            <w:r w:rsidRPr="001D5327">
              <w:rPr>
                <w:szCs w:val="16"/>
              </w:rPr>
              <w:t>5.9</w:t>
            </w:r>
          </w:p>
        </w:tc>
        <w:tc>
          <w:tcPr>
            <w:tcW w:w="753" w:type="dxa"/>
            <w:shd w:val="clear" w:color="auto" w:fill="FFFFFF" w:themeFill="background1"/>
            <w:tcMar>
              <w:top w:w="0" w:type="dxa"/>
              <w:left w:w="85" w:type="dxa"/>
              <w:bottom w:w="0" w:type="dxa"/>
              <w:right w:w="85" w:type="dxa"/>
            </w:tcMar>
          </w:tcPr>
          <w:p w14:paraId="58B32A10" w14:textId="77777777" w:rsidR="00BC0FD7" w:rsidRPr="001D5327" w:rsidRDefault="00BC0FD7" w:rsidP="00D11AC9">
            <w:pPr>
              <w:pStyle w:val="TableText"/>
              <w:spacing w:before="30" w:after="30"/>
              <w:jc w:val="right"/>
              <w:rPr>
                <w:szCs w:val="16"/>
              </w:rPr>
            </w:pPr>
            <w:r w:rsidRPr="001D5327">
              <w:rPr>
                <w:szCs w:val="16"/>
              </w:rPr>
              <w:t>12.6</w:t>
            </w:r>
          </w:p>
        </w:tc>
        <w:tc>
          <w:tcPr>
            <w:tcW w:w="816" w:type="dxa"/>
            <w:shd w:val="clear" w:color="auto" w:fill="FFFFFF" w:themeFill="background1"/>
            <w:tcMar>
              <w:top w:w="0" w:type="dxa"/>
              <w:left w:w="85" w:type="dxa"/>
              <w:bottom w:w="0" w:type="dxa"/>
              <w:right w:w="85" w:type="dxa"/>
            </w:tcMar>
          </w:tcPr>
          <w:p w14:paraId="6C618C37" w14:textId="77777777" w:rsidR="00BC0FD7" w:rsidRPr="001D5327" w:rsidRDefault="00BC0FD7" w:rsidP="00D11AC9">
            <w:pPr>
              <w:pStyle w:val="TableText"/>
              <w:spacing w:before="30" w:after="30"/>
              <w:jc w:val="right"/>
              <w:rPr>
                <w:szCs w:val="16"/>
              </w:rPr>
            </w:pPr>
            <w:r w:rsidRPr="001D5327">
              <w:rPr>
                <w:szCs w:val="16"/>
              </w:rPr>
              <w:t>5.0</w:t>
            </w:r>
          </w:p>
        </w:tc>
        <w:tc>
          <w:tcPr>
            <w:tcW w:w="753" w:type="dxa"/>
            <w:shd w:val="clear" w:color="auto" w:fill="FFFFFF" w:themeFill="background1"/>
            <w:tcMar>
              <w:top w:w="0" w:type="dxa"/>
              <w:left w:w="85" w:type="dxa"/>
              <w:bottom w:w="0" w:type="dxa"/>
              <w:right w:w="85" w:type="dxa"/>
            </w:tcMar>
          </w:tcPr>
          <w:p w14:paraId="754D031A" w14:textId="77777777" w:rsidR="00BC0FD7" w:rsidRPr="001D5327" w:rsidRDefault="00BC0FD7" w:rsidP="00D11AC9">
            <w:pPr>
              <w:pStyle w:val="TableText"/>
              <w:spacing w:before="30" w:after="30"/>
              <w:jc w:val="right"/>
              <w:rPr>
                <w:szCs w:val="16"/>
              </w:rPr>
            </w:pPr>
            <w:r w:rsidRPr="001D5327">
              <w:rPr>
                <w:szCs w:val="16"/>
              </w:rPr>
              <w:t>2.5</w:t>
            </w:r>
          </w:p>
        </w:tc>
        <w:tc>
          <w:tcPr>
            <w:tcW w:w="753" w:type="dxa"/>
            <w:shd w:val="clear" w:color="auto" w:fill="FFFFFF" w:themeFill="background1"/>
            <w:tcMar>
              <w:top w:w="0" w:type="dxa"/>
              <w:left w:w="85" w:type="dxa"/>
              <w:bottom w:w="0" w:type="dxa"/>
              <w:right w:w="85" w:type="dxa"/>
            </w:tcMar>
          </w:tcPr>
          <w:p w14:paraId="267CF6A8" w14:textId="77777777" w:rsidR="00BC0FD7" w:rsidRPr="001D5327" w:rsidRDefault="00BC0FD7" w:rsidP="00D11AC9">
            <w:pPr>
              <w:pStyle w:val="TableText"/>
              <w:spacing w:before="30" w:after="30"/>
              <w:jc w:val="right"/>
              <w:rPr>
                <w:szCs w:val="16"/>
              </w:rPr>
            </w:pPr>
            <w:r w:rsidRPr="001D5327">
              <w:rPr>
                <w:szCs w:val="16"/>
              </w:rPr>
              <w:t>1.9</w:t>
            </w:r>
          </w:p>
        </w:tc>
        <w:tc>
          <w:tcPr>
            <w:tcW w:w="691" w:type="dxa"/>
            <w:shd w:val="clear" w:color="auto" w:fill="FFFFFF" w:themeFill="background1"/>
            <w:tcMar>
              <w:top w:w="0" w:type="dxa"/>
              <w:left w:w="85" w:type="dxa"/>
              <w:bottom w:w="0" w:type="dxa"/>
              <w:right w:w="85" w:type="dxa"/>
            </w:tcMar>
          </w:tcPr>
          <w:p w14:paraId="230F4866" w14:textId="77777777" w:rsidR="00BC0FD7" w:rsidRPr="001D5327" w:rsidRDefault="00BC0FD7" w:rsidP="00D11AC9">
            <w:pPr>
              <w:pStyle w:val="TableText"/>
              <w:spacing w:before="30" w:after="30"/>
              <w:jc w:val="right"/>
              <w:rPr>
                <w:szCs w:val="16"/>
              </w:rPr>
            </w:pPr>
            <w:r w:rsidRPr="001D5327">
              <w:rPr>
                <w:szCs w:val="16"/>
              </w:rPr>
              <w:t>57.3</w:t>
            </w:r>
          </w:p>
        </w:tc>
        <w:tc>
          <w:tcPr>
            <w:tcW w:w="1758" w:type="dxa"/>
            <w:shd w:val="clear" w:color="auto" w:fill="FFFFFF" w:themeFill="background1"/>
            <w:tcMar>
              <w:top w:w="0" w:type="dxa"/>
              <w:left w:w="85" w:type="dxa"/>
              <w:bottom w:w="0" w:type="dxa"/>
              <w:right w:w="85" w:type="dxa"/>
            </w:tcMar>
          </w:tcPr>
          <w:p w14:paraId="1C5941D4" w14:textId="77777777" w:rsidR="00BC0FD7" w:rsidRPr="001D5327" w:rsidRDefault="00BC0FD7" w:rsidP="00D11AC9">
            <w:pPr>
              <w:pStyle w:val="TableText"/>
              <w:spacing w:before="30" w:after="30"/>
              <w:rPr>
                <w:szCs w:val="16"/>
              </w:rPr>
            </w:pPr>
            <w:r w:rsidRPr="001D5327">
              <w:rPr>
                <w:szCs w:val="16"/>
              </w:rPr>
              <w:t>Assumed same as 2019</w:t>
            </w:r>
          </w:p>
        </w:tc>
      </w:tr>
      <w:tr w:rsidR="00EC0FF4" w:rsidRPr="001D5327" w14:paraId="3CC669E9" w14:textId="77777777" w:rsidTr="00EC0FF4">
        <w:tc>
          <w:tcPr>
            <w:tcW w:w="907" w:type="dxa"/>
            <w:shd w:val="clear" w:color="auto" w:fill="FFFFFF" w:themeFill="background1"/>
            <w:tcMar>
              <w:top w:w="0" w:type="dxa"/>
              <w:left w:w="85" w:type="dxa"/>
              <w:bottom w:w="0" w:type="dxa"/>
              <w:right w:w="85" w:type="dxa"/>
            </w:tcMar>
          </w:tcPr>
          <w:p w14:paraId="3ECE5EE8" w14:textId="77777777" w:rsidR="00BC0FD7" w:rsidRPr="001D5327" w:rsidRDefault="00BC0FD7" w:rsidP="00D11AC9">
            <w:pPr>
              <w:pStyle w:val="TableText"/>
              <w:spacing w:before="30" w:after="30"/>
              <w:rPr>
                <w:b/>
                <w:bCs/>
                <w:szCs w:val="16"/>
              </w:rPr>
            </w:pPr>
            <w:r w:rsidRPr="001D5327">
              <w:rPr>
                <w:rFonts w:eastAsia="Calibri"/>
                <w:b/>
                <w:bCs/>
                <w:color w:val="1B556B"/>
                <w:szCs w:val="16"/>
              </w:rPr>
              <w:t>2021</w:t>
            </w:r>
          </w:p>
        </w:tc>
        <w:tc>
          <w:tcPr>
            <w:tcW w:w="624" w:type="dxa"/>
            <w:shd w:val="clear" w:color="auto" w:fill="FFFFFF" w:themeFill="background1"/>
            <w:tcMar>
              <w:top w:w="0" w:type="dxa"/>
              <w:left w:w="85" w:type="dxa"/>
              <w:bottom w:w="0" w:type="dxa"/>
              <w:right w:w="85" w:type="dxa"/>
            </w:tcMar>
          </w:tcPr>
          <w:p w14:paraId="0E1BB18B" w14:textId="77777777" w:rsidR="00BC0FD7" w:rsidRPr="001D5327" w:rsidRDefault="00BC0FD7" w:rsidP="00D11AC9">
            <w:pPr>
              <w:pStyle w:val="TableText"/>
              <w:spacing w:before="30" w:after="30"/>
              <w:jc w:val="right"/>
              <w:rPr>
                <w:szCs w:val="16"/>
              </w:rPr>
            </w:pPr>
            <w:r w:rsidRPr="001D5327">
              <w:rPr>
                <w:szCs w:val="16"/>
              </w:rPr>
              <w:t>9.0</w:t>
            </w:r>
          </w:p>
        </w:tc>
        <w:tc>
          <w:tcPr>
            <w:tcW w:w="737" w:type="dxa"/>
            <w:shd w:val="clear" w:color="auto" w:fill="FFFFFF" w:themeFill="background1"/>
            <w:tcMar>
              <w:top w:w="0" w:type="dxa"/>
              <w:left w:w="85" w:type="dxa"/>
              <w:bottom w:w="0" w:type="dxa"/>
              <w:right w:w="85" w:type="dxa"/>
            </w:tcMar>
          </w:tcPr>
          <w:p w14:paraId="5776CB01" w14:textId="77777777" w:rsidR="00BC0FD7" w:rsidRPr="001D5327" w:rsidRDefault="00BC0FD7" w:rsidP="00D11AC9">
            <w:pPr>
              <w:pStyle w:val="TableText"/>
              <w:spacing w:before="30" w:after="30"/>
              <w:jc w:val="right"/>
              <w:rPr>
                <w:szCs w:val="16"/>
              </w:rPr>
            </w:pPr>
            <w:r w:rsidRPr="001D5327">
              <w:rPr>
                <w:szCs w:val="16"/>
              </w:rPr>
              <w:t>5.7</w:t>
            </w:r>
          </w:p>
        </w:tc>
        <w:tc>
          <w:tcPr>
            <w:tcW w:w="680" w:type="dxa"/>
            <w:shd w:val="clear" w:color="auto" w:fill="FFFFFF" w:themeFill="background1"/>
            <w:tcMar>
              <w:top w:w="0" w:type="dxa"/>
              <w:left w:w="85" w:type="dxa"/>
              <w:bottom w:w="0" w:type="dxa"/>
              <w:right w:w="85" w:type="dxa"/>
            </w:tcMar>
          </w:tcPr>
          <w:p w14:paraId="0356D755" w14:textId="77777777" w:rsidR="00BC0FD7" w:rsidRPr="001D5327" w:rsidRDefault="00BC0FD7" w:rsidP="00D11AC9">
            <w:pPr>
              <w:pStyle w:val="TableText"/>
              <w:spacing w:before="30" w:after="30"/>
              <w:jc w:val="right"/>
              <w:rPr>
                <w:szCs w:val="16"/>
              </w:rPr>
            </w:pPr>
            <w:r w:rsidRPr="001D5327">
              <w:rPr>
                <w:szCs w:val="16"/>
              </w:rPr>
              <w:t>5.9</w:t>
            </w:r>
          </w:p>
        </w:tc>
        <w:tc>
          <w:tcPr>
            <w:tcW w:w="753" w:type="dxa"/>
            <w:shd w:val="clear" w:color="auto" w:fill="FFFFFF" w:themeFill="background1"/>
            <w:tcMar>
              <w:top w:w="0" w:type="dxa"/>
              <w:left w:w="85" w:type="dxa"/>
              <w:bottom w:w="0" w:type="dxa"/>
              <w:right w:w="85" w:type="dxa"/>
            </w:tcMar>
          </w:tcPr>
          <w:p w14:paraId="358F95EC" w14:textId="77777777" w:rsidR="00BC0FD7" w:rsidRPr="001D5327" w:rsidRDefault="00BC0FD7" w:rsidP="00D11AC9">
            <w:pPr>
              <w:pStyle w:val="TableText"/>
              <w:spacing w:before="30" w:after="30"/>
              <w:jc w:val="right"/>
              <w:rPr>
                <w:szCs w:val="16"/>
              </w:rPr>
            </w:pPr>
            <w:r w:rsidRPr="001D5327">
              <w:rPr>
                <w:szCs w:val="16"/>
              </w:rPr>
              <w:t>12.6</w:t>
            </w:r>
          </w:p>
        </w:tc>
        <w:tc>
          <w:tcPr>
            <w:tcW w:w="816" w:type="dxa"/>
            <w:shd w:val="clear" w:color="auto" w:fill="FFFFFF" w:themeFill="background1"/>
            <w:tcMar>
              <w:top w:w="0" w:type="dxa"/>
              <w:left w:w="85" w:type="dxa"/>
              <w:bottom w:w="0" w:type="dxa"/>
              <w:right w:w="85" w:type="dxa"/>
            </w:tcMar>
          </w:tcPr>
          <w:p w14:paraId="6077417E" w14:textId="77777777" w:rsidR="00BC0FD7" w:rsidRPr="001D5327" w:rsidRDefault="00BC0FD7" w:rsidP="00D11AC9">
            <w:pPr>
              <w:pStyle w:val="TableText"/>
              <w:spacing w:before="30" w:after="30"/>
              <w:jc w:val="right"/>
              <w:rPr>
                <w:szCs w:val="16"/>
              </w:rPr>
            </w:pPr>
            <w:r w:rsidRPr="001D5327">
              <w:rPr>
                <w:szCs w:val="16"/>
              </w:rPr>
              <w:t>5.0</w:t>
            </w:r>
          </w:p>
        </w:tc>
        <w:tc>
          <w:tcPr>
            <w:tcW w:w="753" w:type="dxa"/>
            <w:shd w:val="clear" w:color="auto" w:fill="FFFFFF" w:themeFill="background1"/>
            <w:tcMar>
              <w:top w:w="0" w:type="dxa"/>
              <w:left w:w="85" w:type="dxa"/>
              <w:bottom w:w="0" w:type="dxa"/>
              <w:right w:w="85" w:type="dxa"/>
            </w:tcMar>
          </w:tcPr>
          <w:p w14:paraId="5A1878E8" w14:textId="77777777" w:rsidR="00BC0FD7" w:rsidRPr="001D5327" w:rsidRDefault="00BC0FD7" w:rsidP="00D11AC9">
            <w:pPr>
              <w:pStyle w:val="TableText"/>
              <w:spacing w:before="30" w:after="30"/>
              <w:jc w:val="right"/>
              <w:rPr>
                <w:szCs w:val="16"/>
              </w:rPr>
            </w:pPr>
            <w:r w:rsidRPr="001D5327">
              <w:rPr>
                <w:szCs w:val="16"/>
              </w:rPr>
              <w:t>2.5</w:t>
            </w:r>
          </w:p>
        </w:tc>
        <w:tc>
          <w:tcPr>
            <w:tcW w:w="753" w:type="dxa"/>
            <w:shd w:val="clear" w:color="auto" w:fill="FFFFFF" w:themeFill="background1"/>
            <w:tcMar>
              <w:top w:w="0" w:type="dxa"/>
              <w:left w:w="85" w:type="dxa"/>
              <w:bottom w:w="0" w:type="dxa"/>
              <w:right w:w="85" w:type="dxa"/>
            </w:tcMar>
          </w:tcPr>
          <w:p w14:paraId="77E338F7" w14:textId="77777777" w:rsidR="00BC0FD7" w:rsidRPr="001D5327" w:rsidRDefault="00BC0FD7" w:rsidP="00D11AC9">
            <w:pPr>
              <w:pStyle w:val="TableText"/>
              <w:spacing w:before="30" w:after="30"/>
              <w:jc w:val="right"/>
              <w:rPr>
                <w:szCs w:val="16"/>
              </w:rPr>
            </w:pPr>
            <w:r w:rsidRPr="001D5327">
              <w:rPr>
                <w:szCs w:val="16"/>
              </w:rPr>
              <w:t>1.9</w:t>
            </w:r>
          </w:p>
        </w:tc>
        <w:tc>
          <w:tcPr>
            <w:tcW w:w="691" w:type="dxa"/>
            <w:shd w:val="clear" w:color="auto" w:fill="FFFFFF" w:themeFill="background1"/>
            <w:tcMar>
              <w:top w:w="0" w:type="dxa"/>
              <w:left w:w="85" w:type="dxa"/>
              <w:bottom w:w="0" w:type="dxa"/>
              <w:right w:w="85" w:type="dxa"/>
            </w:tcMar>
          </w:tcPr>
          <w:p w14:paraId="630D5004" w14:textId="77777777" w:rsidR="00BC0FD7" w:rsidRPr="001D5327" w:rsidRDefault="00BC0FD7" w:rsidP="00D11AC9">
            <w:pPr>
              <w:pStyle w:val="TableText"/>
              <w:spacing w:before="30" w:after="30"/>
              <w:jc w:val="right"/>
              <w:rPr>
                <w:szCs w:val="16"/>
              </w:rPr>
            </w:pPr>
            <w:r w:rsidRPr="001D5327">
              <w:rPr>
                <w:szCs w:val="16"/>
              </w:rPr>
              <w:t>57.3</w:t>
            </w:r>
          </w:p>
        </w:tc>
        <w:tc>
          <w:tcPr>
            <w:tcW w:w="1758" w:type="dxa"/>
            <w:shd w:val="clear" w:color="auto" w:fill="FFFFFF" w:themeFill="background1"/>
            <w:tcMar>
              <w:top w:w="0" w:type="dxa"/>
              <w:left w:w="85" w:type="dxa"/>
              <w:bottom w:w="0" w:type="dxa"/>
              <w:right w:w="85" w:type="dxa"/>
            </w:tcMar>
          </w:tcPr>
          <w:p w14:paraId="10C3A610" w14:textId="77777777" w:rsidR="00BC0FD7" w:rsidRPr="001D5327" w:rsidRDefault="00BC0FD7" w:rsidP="00D11AC9">
            <w:pPr>
              <w:pStyle w:val="TableText"/>
              <w:spacing w:before="30" w:after="30"/>
              <w:rPr>
                <w:szCs w:val="16"/>
              </w:rPr>
            </w:pPr>
            <w:r w:rsidRPr="001D5327">
              <w:rPr>
                <w:szCs w:val="16"/>
              </w:rPr>
              <w:t>Based on survey data</w:t>
            </w:r>
          </w:p>
        </w:tc>
      </w:tr>
      <w:tr w:rsidR="00EC0FF4" w:rsidRPr="001D5327" w14:paraId="6382C021" w14:textId="77777777" w:rsidTr="00EC0FF4">
        <w:tc>
          <w:tcPr>
            <w:tcW w:w="907" w:type="dxa"/>
            <w:shd w:val="clear" w:color="auto" w:fill="FFFFFF" w:themeFill="background1"/>
            <w:tcMar>
              <w:top w:w="0" w:type="dxa"/>
              <w:left w:w="85" w:type="dxa"/>
              <w:bottom w:w="0" w:type="dxa"/>
              <w:right w:w="85" w:type="dxa"/>
            </w:tcMar>
          </w:tcPr>
          <w:p w14:paraId="22D9EF08" w14:textId="77777777" w:rsidR="00BC0FD7" w:rsidRPr="001D5327" w:rsidRDefault="00BC0FD7" w:rsidP="00D11AC9">
            <w:pPr>
              <w:pStyle w:val="TableText"/>
              <w:spacing w:before="30" w:after="30"/>
              <w:rPr>
                <w:b/>
                <w:bCs/>
                <w:szCs w:val="16"/>
              </w:rPr>
            </w:pPr>
            <w:r w:rsidRPr="001D5327">
              <w:rPr>
                <w:rFonts w:eastAsia="Calibri"/>
                <w:b/>
                <w:bCs/>
                <w:color w:val="1B556B"/>
                <w:szCs w:val="16"/>
              </w:rPr>
              <w:t>2022</w:t>
            </w:r>
          </w:p>
        </w:tc>
        <w:tc>
          <w:tcPr>
            <w:tcW w:w="624" w:type="dxa"/>
            <w:shd w:val="clear" w:color="auto" w:fill="FFFFFF" w:themeFill="background1"/>
            <w:tcMar>
              <w:top w:w="0" w:type="dxa"/>
              <w:left w:w="85" w:type="dxa"/>
              <w:bottom w:w="0" w:type="dxa"/>
              <w:right w:w="85" w:type="dxa"/>
            </w:tcMar>
          </w:tcPr>
          <w:p w14:paraId="1DB3C227" w14:textId="77777777" w:rsidR="00BC0FD7" w:rsidRPr="001D5327" w:rsidRDefault="00BC0FD7" w:rsidP="00D11AC9">
            <w:pPr>
              <w:pStyle w:val="TableText"/>
              <w:spacing w:before="30" w:after="30"/>
              <w:jc w:val="right"/>
              <w:rPr>
                <w:szCs w:val="16"/>
              </w:rPr>
            </w:pPr>
            <w:r w:rsidRPr="001D5327">
              <w:rPr>
                <w:szCs w:val="16"/>
              </w:rPr>
              <w:t>9.0</w:t>
            </w:r>
          </w:p>
        </w:tc>
        <w:tc>
          <w:tcPr>
            <w:tcW w:w="737" w:type="dxa"/>
            <w:shd w:val="clear" w:color="auto" w:fill="FFFFFF" w:themeFill="background1"/>
            <w:tcMar>
              <w:top w:w="0" w:type="dxa"/>
              <w:left w:w="85" w:type="dxa"/>
              <w:bottom w:w="0" w:type="dxa"/>
              <w:right w:w="85" w:type="dxa"/>
            </w:tcMar>
          </w:tcPr>
          <w:p w14:paraId="142C0725" w14:textId="77777777" w:rsidR="00BC0FD7" w:rsidRPr="001D5327" w:rsidRDefault="00BC0FD7" w:rsidP="00D11AC9">
            <w:pPr>
              <w:pStyle w:val="TableText"/>
              <w:spacing w:before="30" w:after="30"/>
              <w:jc w:val="right"/>
              <w:rPr>
                <w:szCs w:val="16"/>
              </w:rPr>
            </w:pPr>
            <w:r w:rsidRPr="001D5327">
              <w:rPr>
                <w:szCs w:val="16"/>
              </w:rPr>
              <w:t>5.7</w:t>
            </w:r>
          </w:p>
        </w:tc>
        <w:tc>
          <w:tcPr>
            <w:tcW w:w="680" w:type="dxa"/>
            <w:shd w:val="clear" w:color="auto" w:fill="FFFFFF" w:themeFill="background1"/>
            <w:tcMar>
              <w:top w:w="0" w:type="dxa"/>
              <w:left w:w="85" w:type="dxa"/>
              <w:bottom w:w="0" w:type="dxa"/>
              <w:right w:w="85" w:type="dxa"/>
            </w:tcMar>
          </w:tcPr>
          <w:p w14:paraId="781ADA06" w14:textId="77777777" w:rsidR="00BC0FD7" w:rsidRPr="001D5327" w:rsidRDefault="00BC0FD7" w:rsidP="00D11AC9">
            <w:pPr>
              <w:pStyle w:val="TableText"/>
              <w:spacing w:before="30" w:after="30"/>
              <w:jc w:val="right"/>
              <w:rPr>
                <w:szCs w:val="16"/>
              </w:rPr>
            </w:pPr>
            <w:r w:rsidRPr="001D5327">
              <w:rPr>
                <w:szCs w:val="16"/>
              </w:rPr>
              <w:t>5.9</w:t>
            </w:r>
          </w:p>
        </w:tc>
        <w:tc>
          <w:tcPr>
            <w:tcW w:w="753" w:type="dxa"/>
            <w:shd w:val="clear" w:color="auto" w:fill="FFFFFF" w:themeFill="background1"/>
            <w:tcMar>
              <w:top w:w="0" w:type="dxa"/>
              <w:left w:w="85" w:type="dxa"/>
              <w:bottom w:w="0" w:type="dxa"/>
              <w:right w:w="85" w:type="dxa"/>
            </w:tcMar>
          </w:tcPr>
          <w:p w14:paraId="392B123D" w14:textId="77777777" w:rsidR="00BC0FD7" w:rsidRPr="001D5327" w:rsidRDefault="00BC0FD7" w:rsidP="00D11AC9">
            <w:pPr>
              <w:pStyle w:val="TableText"/>
              <w:spacing w:before="30" w:after="30"/>
              <w:jc w:val="right"/>
              <w:rPr>
                <w:szCs w:val="16"/>
              </w:rPr>
            </w:pPr>
            <w:r w:rsidRPr="001D5327">
              <w:rPr>
                <w:szCs w:val="16"/>
              </w:rPr>
              <w:t>12.6</w:t>
            </w:r>
          </w:p>
        </w:tc>
        <w:tc>
          <w:tcPr>
            <w:tcW w:w="816" w:type="dxa"/>
            <w:shd w:val="clear" w:color="auto" w:fill="FFFFFF" w:themeFill="background1"/>
            <w:tcMar>
              <w:top w:w="0" w:type="dxa"/>
              <w:left w:w="85" w:type="dxa"/>
              <w:bottom w:w="0" w:type="dxa"/>
              <w:right w:w="85" w:type="dxa"/>
            </w:tcMar>
          </w:tcPr>
          <w:p w14:paraId="446783F4" w14:textId="77777777" w:rsidR="00BC0FD7" w:rsidRPr="001D5327" w:rsidRDefault="00BC0FD7" w:rsidP="00D11AC9">
            <w:pPr>
              <w:pStyle w:val="TableText"/>
              <w:spacing w:before="30" w:after="30"/>
              <w:jc w:val="right"/>
              <w:rPr>
                <w:szCs w:val="16"/>
              </w:rPr>
            </w:pPr>
            <w:r w:rsidRPr="001D5327">
              <w:rPr>
                <w:szCs w:val="16"/>
              </w:rPr>
              <w:t>5.0</w:t>
            </w:r>
          </w:p>
        </w:tc>
        <w:tc>
          <w:tcPr>
            <w:tcW w:w="753" w:type="dxa"/>
            <w:shd w:val="clear" w:color="auto" w:fill="FFFFFF" w:themeFill="background1"/>
            <w:tcMar>
              <w:top w:w="0" w:type="dxa"/>
              <w:left w:w="85" w:type="dxa"/>
              <w:bottom w:w="0" w:type="dxa"/>
              <w:right w:w="85" w:type="dxa"/>
            </w:tcMar>
          </w:tcPr>
          <w:p w14:paraId="523E00A8" w14:textId="77777777" w:rsidR="00BC0FD7" w:rsidRPr="001D5327" w:rsidRDefault="00BC0FD7" w:rsidP="00D11AC9">
            <w:pPr>
              <w:pStyle w:val="TableText"/>
              <w:spacing w:before="30" w:after="30"/>
              <w:jc w:val="right"/>
              <w:rPr>
                <w:szCs w:val="16"/>
              </w:rPr>
            </w:pPr>
            <w:r w:rsidRPr="001D5327">
              <w:rPr>
                <w:szCs w:val="16"/>
              </w:rPr>
              <w:t>2.5</w:t>
            </w:r>
          </w:p>
        </w:tc>
        <w:tc>
          <w:tcPr>
            <w:tcW w:w="753" w:type="dxa"/>
            <w:shd w:val="clear" w:color="auto" w:fill="FFFFFF" w:themeFill="background1"/>
            <w:tcMar>
              <w:top w:w="0" w:type="dxa"/>
              <w:left w:w="85" w:type="dxa"/>
              <w:bottom w:w="0" w:type="dxa"/>
              <w:right w:w="85" w:type="dxa"/>
            </w:tcMar>
          </w:tcPr>
          <w:p w14:paraId="2FABFEC8" w14:textId="77777777" w:rsidR="00BC0FD7" w:rsidRPr="001D5327" w:rsidRDefault="00BC0FD7" w:rsidP="00D11AC9">
            <w:pPr>
              <w:pStyle w:val="TableText"/>
              <w:spacing w:before="30" w:after="30"/>
              <w:jc w:val="right"/>
              <w:rPr>
                <w:szCs w:val="16"/>
              </w:rPr>
            </w:pPr>
            <w:r w:rsidRPr="001D5327">
              <w:rPr>
                <w:szCs w:val="16"/>
              </w:rPr>
              <w:t>1.9</w:t>
            </w:r>
          </w:p>
        </w:tc>
        <w:tc>
          <w:tcPr>
            <w:tcW w:w="691" w:type="dxa"/>
            <w:shd w:val="clear" w:color="auto" w:fill="FFFFFF" w:themeFill="background1"/>
            <w:tcMar>
              <w:top w:w="0" w:type="dxa"/>
              <w:left w:w="85" w:type="dxa"/>
              <w:bottom w:w="0" w:type="dxa"/>
              <w:right w:w="85" w:type="dxa"/>
            </w:tcMar>
          </w:tcPr>
          <w:p w14:paraId="7459F8A6" w14:textId="77777777" w:rsidR="00BC0FD7" w:rsidRPr="001D5327" w:rsidRDefault="00BC0FD7" w:rsidP="00D11AC9">
            <w:pPr>
              <w:pStyle w:val="TableText"/>
              <w:spacing w:before="30" w:after="30"/>
              <w:jc w:val="right"/>
              <w:rPr>
                <w:szCs w:val="16"/>
              </w:rPr>
            </w:pPr>
            <w:r w:rsidRPr="001D5327">
              <w:rPr>
                <w:szCs w:val="16"/>
              </w:rPr>
              <w:t>57.3</w:t>
            </w:r>
          </w:p>
        </w:tc>
        <w:tc>
          <w:tcPr>
            <w:tcW w:w="1758" w:type="dxa"/>
            <w:shd w:val="clear" w:color="auto" w:fill="FFFFFF" w:themeFill="background1"/>
            <w:tcMar>
              <w:top w:w="0" w:type="dxa"/>
              <w:left w:w="85" w:type="dxa"/>
              <w:bottom w:w="0" w:type="dxa"/>
              <w:right w:w="85" w:type="dxa"/>
            </w:tcMar>
          </w:tcPr>
          <w:p w14:paraId="3AA4E8C6" w14:textId="77777777" w:rsidR="00BC0FD7" w:rsidRPr="001D5327" w:rsidRDefault="00BC0FD7" w:rsidP="00D11AC9">
            <w:pPr>
              <w:pStyle w:val="TableText"/>
              <w:spacing w:before="30" w:after="30"/>
              <w:rPr>
                <w:szCs w:val="16"/>
              </w:rPr>
            </w:pPr>
            <w:r w:rsidRPr="001D5327">
              <w:rPr>
                <w:szCs w:val="16"/>
              </w:rPr>
              <w:t>Based on survey data</w:t>
            </w:r>
          </w:p>
        </w:tc>
      </w:tr>
      <w:tr w:rsidR="00EC0FF4" w:rsidRPr="001D5327" w14:paraId="1C64AE3D" w14:textId="77777777" w:rsidTr="00EC0FF4">
        <w:tc>
          <w:tcPr>
            <w:tcW w:w="907" w:type="dxa"/>
            <w:shd w:val="clear" w:color="auto" w:fill="FFFFFF" w:themeFill="background1"/>
            <w:tcMar>
              <w:top w:w="0" w:type="dxa"/>
              <w:left w:w="85" w:type="dxa"/>
              <w:bottom w:w="0" w:type="dxa"/>
              <w:right w:w="85" w:type="dxa"/>
            </w:tcMar>
          </w:tcPr>
          <w:p w14:paraId="2A11A7C7" w14:textId="77777777" w:rsidR="00BC0FD7" w:rsidRPr="001D5327" w:rsidRDefault="00BC0FD7" w:rsidP="00D11AC9">
            <w:pPr>
              <w:pStyle w:val="TableText"/>
              <w:spacing w:before="30" w:after="30"/>
              <w:rPr>
                <w:b/>
                <w:bCs/>
                <w:szCs w:val="16"/>
              </w:rPr>
            </w:pPr>
            <w:r w:rsidRPr="001D5327">
              <w:rPr>
                <w:rFonts w:eastAsia="Calibri"/>
                <w:b/>
                <w:bCs/>
                <w:color w:val="1B556B"/>
                <w:szCs w:val="16"/>
              </w:rPr>
              <w:t>2023</w:t>
            </w:r>
          </w:p>
        </w:tc>
        <w:tc>
          <w:tcPr>
            <w:tcW w:w="624" w:type="dxa"/>
            <w:shd w:val="clear" w:color="auto" w:fill="FFFFFF" w:themeFill="background1"/>
            <w:tcMar>
              <w:top w:w="0" w:type="dxa"/>
              <w:left w:w="85" w:type="dxa"/>
              <w:bottom w:w="0" w:type="dxa"/>
              <w:right w:w="85" w:type="dxa"/>
            </w:tcMar>
          </w:tcPr>
          <w:p w14:paraId="025E4574" w14:textId="77777777" w:rsidR="00BC0FD7" w:rsidRPr="001D5327" w:rsidRDefault="00BC0FD7" w:rsidP="00D11AC9">
            <w:pPr>
              <w:pStyle w:val="TableText"/>
              <w:spacing w:before="30" w:after="30"/>
              <w:jc w:val="right"/>
              <w:rPr>
                <w:szCs w:val="16"/>
              </w:rPr>
            </w:pPr>
            <w:r w:rsidRPr="001D5327">
              <w:rPr>
                <w:szCs w:val="16"/>
              </w:rPr>
              <w:t>9.0</w:t>
            </w:r>
          </w:p>
        </w:tc>
        <w:tc>
          <w:tcPr>
            <w:tcW w:w="737" w:type="dxa"/>
            <w:shd w:val="clear" w:color="auto" w:fill="FFFFFF" w:themeFill="background1"/>
            <w:tcMar>
              <w:top w:w="0" w:type="dxa"/>
              <w:left w:w="85" w:type="dxa"/>
              <w:bottom w:w="0" w:type="dxa"/>
              <w:right w:w="85" w:type="dxa"/>
            </w:tcMar>
          </w:tcPr>
          <w:p w14:paraId="759B238B" w14:textId="77777777" w:rsidR="00BC0FD7" w:rsidRPr="001D5327" w:rsidRDefault="00BC0FD7" w:rsidP="00D11AC9">
            <w:pPr>
              <w:pStyle w:val="TableText"/>
              <w:spacing w:before="30" w:after="30"/>
              <w:jc w:val="right"/>
              <w:rPr>
                <w:szCs w:val="16"/>
              </w:rPr>
            </w:pPr>
            <w:r w:rsidRPr="001D5327">
              <w:rPr>
                <w:szCs w:val="16"/>
              </w:rPr>
              <w:t>5.7</w:t>
            </w:r>
          </w:p>
        </w:tc>
        <w:tc>
          <w:tcPr>
            <w:tcW w:w="680" w:type="dxa"/>
            <w:shd w:val="clear" w:color="auto" w:fill="FFFFFF" w:themeFill="background1"/>
            <w:tcMar>
              <w:top w:w="0" w:type="dxa"/>
              <w:left w:w="85" w:type="dxa"/>
              <w:bottom w:w="0" w:type="dxa"/>
              <w:right w:w="85" w:type="dxa"/>
            </w:tcMar>
          </w:tcPr>
          <w:p w14:paraId="5BAF7260" w14:textId="77777777" w:rsidR="00BC0FD7" w:rsidRPr="001D5327" w:rsidRDefault="00BC0FD7" w:rsidP="00D11AC9">
            <w:pPr>
              <w:pStyle w:val="TableText"/>
              <w:spacing w:before="30" w:after="30"/>
              <w:jc w:val="right"/>
              <w:rPr>
                <w:szCs w:val="16"/>
              </w:rPr>
            </w:pPr>
            <w:r w:rsidRPr="001D5327">
              <w:rPr>
                <w:szCs w:val="16"/>
              </w:rPr>
              <w:t>5.9</w:t>
            </w:r>
          </w:p>
        </w:tc>
        <w:tc>
          <w:tcPr>
            <w:tcW w:w="753" w:type="dxa"/>
            <w:shd w:val="clear" w:color="auto" w:fill="FFFFFF" w:themeFill="background1"/>
            <w:tcMar>
              <w:top w:w="0" w:type="dxa"/>
              <w:left w:w="85" w:type="dxa"/>
              <w:bottom w:w="0" w:type="dxa"/>
              <w:right w:w="85" w:type="dxa"/>
            </w:tcMar>
          </w:tcPr>
          <w:p w14:paraId="74C3A669" w14:textId="77777777" w:rsidR="00BC0FD7" w:rsidRPr="001D5327" w:rsidRDefault="00BC0FD7" w:rsidP="00D11AC9">
            <w:pPr>
              <w:pStyle w:val="TableText"/>
              <w:spacing w:before="30" w:after="30"/>
              <w:jc w:val="right"/>
              <w:rPr>
                <w:szCs w:val="16"/>
              </w:rPr>
            </w:pPr>
            <w:r w:rsidRPr="001D5327">
              <w:rPr>
                <w:szCs w:val="16"/>
              </w:rPr>
              <w:t>12.6</w:t>
            </w:r>
          </w:p>
        </w:tc>
        <w:tc>
          <w:tcPr>
            <w:tcW w:w="816" w:type="dxa"/>
            <w:shd w:val="clear" w:color="auto" w:fill="FFFFFF" w:themeFill="background1"/>
            <w:tcMar>
              <w:top w:w="0" w:type="dxa"/>
              <w:left w:w="85" w:type="dxa"/>
              <w:bottom w:w="0" w:type="dxa"/>
              <w:right w:w="85" w:type="dxa"/>
            </w:tcMar>
          </w:tcPr>
          <w:p w14:paraId="10D40CAC" w14:textId="77777777" w:rsidR="00BC0FD7" w:rsidRPr="001D5327" w:rsidRDefault="00BC0FD7" w:rsidP="00D11AC9">
            <w:pPr>
              <w:pStyle w:val="TableText"/>
              <w:spacing w:before="30" w:after="30"/>
              <w:jc w:val="right"/>
              <w:rPr>
                <w:szCs w:val="16"/>
              </w:rPr>
            </w:pPr>
            <w:r w:rsidRPr="001D5327">
              <w:rPr>
                <w:szCs w:val="16"/>
              </w:rPr>
              <w:t>5.0</w:t>
            </w:r>
          </w:p>
        </w:tc>
        <w:tc>
          <w:tcPr>
            <w:tcW w:w="753" w:type="dxa"/>
            <w:shd w:val="clear" w:color="auto" w:fill="FFFFFF" w:themeFill="background1"/>
            <w:tcMar>
              <w:top w:w="0" w:type="dxa"/>
              <w:left w:w="85" w:type="dxa"/>
              <w:bottom w:w="0" w:type="dxa"/>
              <w:right w:w="85" w:type="dxa"/>
            </w:tcMar>
          </w:tcPr>
          <w:p w14:paraId="31F6E625" w14:textId="77777777" w:rsidR="00BC0FD7" w:rsidRPr="001D5327" w:rsidRDefault="00BC0FD7" w:rsidP="00D11AC9">
            <w:pPr>
              <w:pStyle w:val="TableText"/>
              <w:spacing w:before="30" w:after="30"/>
              <w:jc w:val="right"/>
              <w:rPr>
                <w:szCs w:val="16"/>
              </w:rPr>
            </w:pPr>
            <w:r w:rsidRPr="001D5327">
              <w:rPr>
                <w:szCs w:val="16"/>
              </w:rPr>
              <w:t>2.5</w:t>
            </w:r>
          </w:p>
        </w:tc>
        <w:tc>
          <w:tcPr>
            <w:tcW w:w="753" w:type="dxa"/>
            <w:shd w:val="clear" w:color="auto" w:fill="FFFFFF" w:themeFill="background1"/>
            <w:tcMar>
              <w:top w:w="0" w:type="dxa"/>
              <w:left w:w="85" w:type="dxa"/>
              <w:bottom w:w="0" w:type="dxa"/>
              <w:right w:w="85" w:type="dxa"/>
            </w:tcMar>
          </w:tcPr>
          <w:p w14:paraId="67E7F41A" w14:textId="77777777" w:rsidR="00BC0FD7" w:rsidRPr="001D5327" w:rsidRDefault="00BC0FD7" w:rsidP="00D11AC9">
            <w:pPr>
              <w:pStyle w:val="TableText"/>
              <w:spacing w:before="30" w:after="30"/>
              <w:jc w:val="right"/>
              <w:rPr>
                <w:szCs w:val="16"/>
              </w:rPr>
            </w:pPr>
            <w:r w:rsidRPr="001D5327">
              <w:rPr>
                <w:szCs w:val="16"/>
              </w:rPr>
              <w:t>1.9</w:t>
            </w:r>
          </w:p>
        </w:tc>
        <w:tc>
          <w:tcPr>
            <w:tcW w:w="691" w:type="dxa"/>
            <w:shd w:val="clear" w:color="auto" w:fill="FFFFFF" w:themeFill="background1"/>
            <w:tcMar>
              <w:top w:w="0" w:type="dxa"/>
              <w:left w:w="85" w:type="dxa"/>
              <w:bottom w:w="0" w:type="dxa"/>
              <w:right w:w="85" w:type="dxa"/>
            </w:tcMar>
          </w:tcPr>
          <w:p w14:paraId="488C8168" w14:textId="77777777" w:rsidR="00BC0FD7" w:rsidRPr="001D5327" w:rsidRDefault="00BC0FD7" w:rsidP="00D11AC9">
            <w:pPr>
              <w:pStyle w:val="TableText"/>
              <w:spacing w:before="30" w:after="30"/>
              <w:jc w:val="right"/>
              <w:rPr>
                <w:szCs w:val="16"/>
              </w:rPr>
            </w:pPr>
            <w:r w:rsidRPr="001D5327">
              <w:rPr>
                <w:szCs w:val="16"/>
              </w:rPr>
              <w:t>57.3</w:t>
            </w:r>
          </w:p>
        </w:tc>
        <w:tc>
          <w:tcPr>
            <w:tcW w:w="1758" w:type="dxa"/>
            <w:shd w:val="clear" w:color="auto" w:fill="FFFFFF" w:themeFill="background1"/>
            <w:tcMar>
              <w:top w:w="0" w:type="dxa"/>
              <w:left w:w="85" w:type="dxa"/>
              <w:bottom w:w="0" w:type="dxa"/>
              <w:right w:w="85" w:type="dxa"/>
            </w:tcMar>
          </w:tcPr>
          <w:p w14:paraId="514D4534" w14:textId="77777777" w:rsidR="00BC0FD7" w:rsidRPr="001D5327" w:rsidRDefault="00BC0FD7" w:rsidP="00D11AC9">
            <w:pPr>
              <w:pStyle w:val="TableText"/>
              <w:spacing w:before="30" w:after="30"/>
              <w:rPr>
                <w:szCs w:val="16"/>
              </w:rPr>
            </w:pPr>
            <w:r w:rsidRPr="001D5327">
              <w:rPr>
                <w:szCs w:val="16"/>
              </w:rPr>
              <w:t>Based on survey data</w:t>
            </w:r>
          </w:p>
        </w:tc>
      </w:tr>
    </w:tbl>
    <w:p w14:paraId="5D7D2589" w14:textId="77777777" w:rsidR="00BC0FD7" w:rsidRPr="001D5327" w:rsidRDefault="00BC0FD7" w:rsidP="00BC0FD7">
      <w:pPr>
        <w:pStyle w:val="BodyText"/>
        <w:spacing w:before="240" w:after="100"/>
      </w:pPr>
      <w:r w:rsidRPr="001D5327">
        <w:t>Changes in waste composition over time result in varying amounts of decomposable degradable organic carbon (DDOC) being introduced into landfills. See table 7.2.6 for the specific values used for DDOC and other relevant variables.</w:t>
      </w:r>
    </w:p>
    <w:p w14:paraId="2515EEA2" w14:textId="77777777" w:rsidR="00BC0FD7" w:rsidRPr="001D5327" w:rsidRDefault="00BC0FD7" w:rsidP="00BC0FD7">
      <w:pPr>
        <w:pStyle w:val="Heading6"/>
        <w:spacing w:before="180"/>
      </w:pPr>
      <w:bookmarkStart w:id="2832" w:name="Xde5f86123d5b1c6488ba174a8cdadcc583b2b20"/>
      <w:bookmarkEnd w:id="2830"/>
      <w:r w:rsidRPr="001D5327">
        <w:t>Methane correction factor, oxidation factor and fraction of methane in landfill gas (F)</w:t>
      </w:r>
    </w:p>
    <w:p w14:paraId="55708BFA" w14:textId="77777777" w:rsidR="00BC0FD7" w:rsidRPr="001D5327" w:rsidRDefault="00BC0FD7" w:rsidP="003F76CE">
      <w:pPr>
        <w:pStyle w:val="BodyText"/>
        <w:spacing w:before="100" w:after="100"/>
      </w:pPr>
      <w:r w:rsidRPr="001D5327">
        <w:t>The CH</w:t>
      </w:r>
      <w:r w:rsidRPr="001D5327">
        <w:rPr>
          <w:vertAlign w:val="subscript"/>
        </w:rPr>
        <w:t>4</w:t>
      </w:r>
      <w:r w:rsidRPr="001D5327">
        <w:t xml:space="preserve"> correction factor used is 1.0 for all managed landfill sites, both landfills with LFG recovery and those without. A default IPCC oxidation factor of 10 per cent has been applied to these sites.</w:t>
      </w:r>
    </w:p>
    <w:p w14:paraId="59B6C877" w14:textId="77777777" w:rsidR="00BC0FD7" w:rsidRPr="001D5327" w:rsidRDefault="00BC0FD7" w:rsidP="00BC0FD7">
      <w:pPr>
        <w:pStyle w:val="BodyText"/>
        <w:spacing w:before="100" w:after="100"/>
      </w:pPr>
      <w:r w:rsidRPr="001D5327">
        <w:t>For sites other than managed landfills, where the mix of shallow and deep disposal areas is unknown, a survey conducted in 1971 estimated that larger operational sites at the time were approximately half deep (over 5 metres) and half shallow. The application of cover material at these sites was also variable. Therefore, for uncategorised landfills, a CH</w:t>
      </w:r>
      <w:r w:rsidRPr="001D5327">
        <w:rPr>
          <w:vertAlign w:val="subscript"/>
        </w:rPr>
        <w:t>4</w:t>
      </w:r>
      <w:r w:rsidRPr="001D5327">
        <w:t xml:space="preserve"> correction factor of 0.6 and an oxidation factor of zero have been applied.</w:t>
      </w:r>
    </w:p>
    <w:p w14:paraId="5435647B" w14:textId="77777777" w:rsidR="00BC0FD7" w:rsidRPr="001D5327" w:rsidRDefault="00BC0FD7" w:rsidP="00BC0FD7">
      <w:pPr>
        <w:pStyle w:val="BodyText"/>
        <w:spacing w:before="100" w:after="100"/>
      </w:pPr>
      <w:r w:rsidRPr="001D5327">
        <w:t>The fraction of CH</w:t>
      </w:r>
      <w:r w:rsidRPr="001D5327">
        <w:rPr>
          <w:vertAlign w:val="subscript"/>
        </w:rPr>
        <w:t>4</w:t>
      </w:r>
      <w:r w:rsidRPr="001D5327">
        <w:t xml:space="preserve"> in LFG (F) is set at 50 per cent for both municipal and uncategorised landfills. This value was revised from a previous estimate of 57 per cent, which was based on LFG monitoring data from the United Kingdom. This earlier value was assumed to be applicable due to similarities in landfill management practices between New Zealand and the United Kingdom. However, it was decided that, in the absence of country-specific analyses to account for CO</w:t>
      </w:r>
      <w:r w:rsidRPr="001D5327">
        <w:rPr>
          <w:vertAlign w:val="subscript"/>
        </w:rPr>
        <w:t>2</w:t>
      </w:r>
      <w:r w:rsidRPr="001D5327">
        <w:t xml:space="preserve"> absorption in seepage water, the default IPCC value will be used for the fraction of CH</w:t>
      </w:r>
      <w:r w:rsidRPr="001D5327">
        <w:rPr>
          <w:vertAlign w:val="subscript"/>
        </w:rPr>
        <w:t>4</w:t>
      </w:r>
      <w:r w:rsidRPr="001D5327">
        <w:t xml:space="preserve"> in LFG.</w:t>
      </w:r>
    </w:p>
    <w:p w14:paraId="1F5CA810" w14:textId="77777777" w:rsidR="00BC0FD7" w:rsidRPr="001D5327" w:rsidRDefault="00BC0FD7" w:rsidP="00BC0FD7">
      <w:pPr>
        <w:pStyle w:val="Heading6"/>
        <w:spacing w:before="180"/>
      </w:pPr>
      <w:bookmarkStart w:id="2833" w:name="methane-generation-rates"/>
      <w:bookmarkEnd w:id="2832"/>
      <w:r w:rsidRPr="001D5327">
        <w:t>Methane generation rates</w:t>
      </w:r>
    </w:p>
    <w:p w14:paraId="40A83E70" w14:textId="77777777" w:rsidR="00BC0FD7" w:rsidRPr="001D5327" w:rsidRDefault="00BC0FD7" w:rsidP="003F76CE">
      <w:pPr>
        <w:pStyle w:val="BodyText"/>
        <w:spacing w:before="100" w:after="100"/>
        <w:rPr>
          <w:lang w:eastAsia="en-US"/>
        </w:rPr>
      </w:pPr>
      <w:r w:rsidRPr="001D5327">
        <w:rPr>
          <w:rFonts w:asciiTheme="minorHAnsi" w:eastAsiaTheme="minorHAnsi" w:hAnsiTheme="minorHAnsi" w:cstheme="majorHAnsi"/>
          <w:szCs w:val="24"/>
          <w:lang w:eastAsia="en-US"/>
        </w:rPr>
        <w:t>The parameters used to determine the quantity and rate of CH</w:t>
      </w:r>
      <w:r w:rsidRPr="001D5327">
        <w:rPr>
          <w:rFonts w:asciiTheme="minorHAnsi" w:eastAsiaTheme="minorHAnsi" w:hAnsiTheme="minorHAnsi" w:cstheme="majorHAnsi"/>
          <w:szCs w:val="24"/>
          <w:vertAlign w:val="subscript"/>
          <w:lang w:eastAsia="en-US"/>
        </w:rPr>
        <w:t>4</w:t>
      </w:r>
      <w:r w:rsidRPr="001D5327">
        <w:rPr>
          <w:rFonts w:asciiTheme="minorHAnsi" w:eastAsiaTheme="minorHAnsi" w:hAnsiTheme="minorHAnsi" w:cstheme="majorHAnsi"/>
          <w:szCs w:val="24"/>
          <w:lang w:eastAsia="en-US"/>
        </w:rPr>
        <w:t xml:space="preserve"> generation are provided in the study by Eunomia (unpublished(a)). Table 7.2.6 outlines these parameters in detail.</w:t>
      </w:r>
    </w:p>
    <w:p w14:paraId="11701340" w14:textId="77777777" w:rsidR="00BC0FD7" w:rsidRPr="001D5327" w:rsidRDefault="00BC0FD7" w:rsidP="00BC0FD7">
      <w:pPr>
        <w:pStyle w:val="Table"/>
      </w:pPr>
      <w:bookmarkStart w:id="2834" w:name="_Toc194241804"/>
      <w:r w:rsidRPr="001D5327">
        <w:t xml:space="preserve">Table 7.2.6 </w:t>
      </w:r>
      <w:r w:rsidRPr="001D5327">
        <w:tab/>
        <w:t>Parameters by waste type that determine the quantity and rate of methane generation</w:t>
      </w:r>
      <w:bookmarkEnd w:id="2834"/>
    </w:p>
    <w:tbl>
      <w:tblPr>
        <w:tblW w:w="5000" w:type="pct"/>
        <w:jc w:val="center"/>
        <w:tblBorders>
          <w:top w:val="single" w:sz="4" w:space="0" w:color="1B556B"/>
          <w:bottom w:val="single" w:sz="4" w:space="0" w:color="1B556B"/>
          <w:insideH w:val="single" w:sz="4" w:space="0" w:color="1B556B"/>
        </w:tblBorders>
        <w:tblLook w:val="0420" w:firstRow="1" w:lastRow="0" w:firstColumn="0" w:lastColumn="0" w:noHBand="0" w:noVBand="1"/>
      </w:tblPr>
      <w:tblGrid>
        <w:gridCol w:w="1701"/>
        <w:gridCol w:w="562"/>
        <w:gridCol w:w="720"/>
        <w:gridCol w:w="608"/>
        <w:gridCol w:w="624"/>
        <w:gridCol w:w="2789"/>
        <w:gridCol w:w="774"/>
        <w:gridCol w:w="727"/>
      </w:tblGrid>
      <w:tr w:rsidR="00BC0FD7" w:rsidRPr="001D5327" w14:paraId="34286F95" w14:textId="77777777" w:rsidTr="00D11AC9">
        <w:trPr>
          <w:tblHeader/>
          <w:jc w:val="center"/>
        </w:trPr>
        <w:tc>
          <w:tcPr>
            <w:tcW w:w="1701" w:type="dxa"/>
            <w:shd w:val="clear" w:color="auto" w:fill="1B556B"/>
            <w:tcMar>
              <w:top w:w="0" w:type="dxa"/>
              <w:left w:w="85" w:type="dxa"/>
              <w:bottom w:w="0" w:type="dxa"/>
              <w:right w:w="85" w:type="dxa"/>
            </w:tcMar>
          </w:tcPr>
          <w:p w14:paraId="139F3972" w14:textId="77777777" w:rsidR="00BC0FD7" w:rsidRPr="001D5327" w:rsidRDefault="00BC0FD7" w:rsidP="00D11AC9">
            <w:pPr>
              <w:pStyle w:val="TableText"/>
              <w:spacing w:before="30" w:after="30"/>
              <w:rPr>
                <w:b/>
                <w:bCs/>
                <w:color w:val="FFFFFF" w:themeColor="background1"/>
              </w:rPr>
            </w:pPr>
            <w:r w:rsidRPr="001D5327">
              <w:rPr>
                <w:rFonts w:eastAsia="Calibri"/>
                <w:b/>
                <w:bCs/>
                <w:color w:val="FFFFFF" w:themeColor="background1"/>
              </w:rPr>
              <w:t>Parameter</w:t>
            </w:r>
          </w:p>
        </w:tc>
        <w:tc>
          <w:tcPr>
            <w:tcW w:w="0" w:type="auto"/>
            <w:shd w:val="clear" w:color="auto" w:fill="1B556B"/>
            <w:tcMar>
              <w:top w:w="0" w:type="dxa"/>
              <w:left w:w="85" w:type="dxa"/>
              <w:bottom w:w="0" w:type="dxa"/>
              <w:right w:w="85" w:type="dxa"/>
            </w:tcMar>
          </w:tcPr>
          <w:p w14:paraId="5E6B90EC" w14:textId="77777777" w:rsidR="00BC0FD7" w:rsidRPr="001D5327" w:rsidRDefault="00BC0FD7" w:rsidP="00D11AC9">
            <w:pPr>
              <w:pStyle w:val="TableText"/>
              <w:spacing w:before="30" w:after="30"/>
              <w:jc w:val="right"/>
              <w:rPr>
                <w:b/>
                <w:bCs/>
                <w:color w:val="FFFFFF" w:themeColor="background1"/>
              </w:rPr>
            </w:pPr>
            <w:r w:rsidRPr="001D5327">
              <w:rPr>
                <w:rFonts w:eastAsia="Calibri"/>
                <w:b/>
                <w:bCs/>
                <w:color w:val="FFFFFF" w:themeColor="background1"/>
              </w:rPr>
              <w:t>Food</w:t>
            </w:r>
          </w:p>
        </w:tc>
        <w:tc>
          <w:tcPr>
            <w:tcW w:w="0" w:type="auto"/>
            <w:shd w:val="clear" w:color="auto" w:fill="1B556B"/>
            <w:tcMar>
              <w:top w:w="0" w:type="dxa"/>
              <w:left w:w="85" w:type="dxa"/>
              <w:bottom w:w="0" w:type="dxa"/>
              <w:right w:w="85" w:type="dxa"/>
            </w:tcMar>
          </w:tcPr>
          <w:p w14:paraId="5FA384A6" w14:textId="77777777" w:rsidR="00BC0FD7" w:rsidRPr="001D5327" w:rsidRDefault="00BC0FD7" w:rsidP="00D11AC9">
            <w:pPr>
              <w:pStyle w:val="TableText"/>
              <w:spacing w:before="30" w:after="30"/>
              <w:jc w:val="right"/>
              <w:rPr>
                <w:b/>
                <w:bCs/>
                <w:color w:val="FFFFFF" w:themeColor="background1"/>
              </w:rPr>
            </w:pPr>
            <w:r w:rsidRPr="001D5327">
              <w:rPr>
                <w:rFonts w:eastAsia="Calibri"/>
                <w:b/>
                <w:bCs/>
                <w:color w:val="FFFFFF" w:themeColor="background1"/>
              </w:rPr>
              <w:t>Garden</w:t>
            </w:r>
          </w:p>
        </w:tc>
        <w:tc>
          <w:tcPr>
            <w:tcW w:w="0" w:type="auto"/>
            <w:shd w:val="clear" w:color="auto" w:fill="1B556B"/>
            <w:tcMar>
              <w:top w:w="0" w:type="dxa"/>
              <w:left w:w="85" w:type="dxa"/>
              <w:bottom w:w="0" w:type="dxa"/>
              <w:right w:w="85" w:type="dxa"/>
            </w:tcMar>
          </w:tcPr>
          <w:p w14:paraId="1F24C91F" w14:textId="77777777" w:rsidR="00BC0FD7" w:rsidRPr="001D5327" w:rsidRDefault="00BC0FD7" w:rsidP="00D11AC9">
            <w:pPr>
              <w:pStyle w:val="TableText"/>
              <w:spacing w:before="30" w:after="30"/>
              <w:jc w:val="right"/>
              <w:rPr>
                <w:b/>
                <w:bCs/>
                <w:color w:val="FFFFFF" w:themeColor="background1"/>
              </w:rPr>
            </w:pPr>
            <w:r w:rsidRPr="001D5327">
              <w:rPr>
                <w:rFonts w:eastAsia="Calibri"/>
                <w:b/>
                <w:bCs/>
                <w:color w:val="FFFFFF" w:themeColor="background1"/>
              </w:rPr>
              <w:t>Paper</w:t>
            </w:r>
          </w:p>
        </w:tc>
        <w:tc>
          <w:tcPr>
            <w:tcW w:w="0" w:type="auto"/>
            <w:shd w:val="clear" w:color="auto" w:fill="1B556B"/>
            <w:tcMar>
              <w:top w:w="0" w:type="dxa"/>
              <w:left w:w="85" w:type="dxa"/>
              <w:bottom w:w="0" w:type="dxa"/>
              <w:right w:w="85" w:type="dxa"/>
            </w:tcMar>
          </w:tcPr>
          <w:p w14:paraId="6144648E" w14:textId="77777777" w:rsidR="00BC0FD7" w:rsidRPr="001D5327" w:rsidRDefault="00BC0FD7" w:rsidP="00D11AC9">
            <w:pPr>
              <w:pStyle w:val="TableText"/>
              <w:spacing w:before="30" w:after="30"/>
              <w:jc w:val="right"/>
              <w:rPr>
                <w:b/>
                <w:bCs/>
                <w:color w:val="FFFFFF" w:themeColor="background1"/>
              </w:rPr>
            </w:pPr>
            <w:r w:rsidRPr="001D5327">
              <w:rPr>
                <w:rFonts w:eastAsia="Calibri"/>
                <w:b/>
                <w:bCs/>
                <w:color w:val="FFFFFF" w:themeColor="background1"/>
              </w:rPr>
              <w:t>Wood</w:t>
            </w:r>
          </w:p>
        </w:tc>
        <w:tc>
          <w:tcPr>
            <w:tcW w:w="0" w:type="auto"/>
            <w:shd w:val="clear" w:color="auto" w:fill="1B556B"/>
            <w:tcMar>
              <w:top w:w="0" w:type="dxa"/>
              <w:left w:w="85" w:type="dxa"/>
              <w:bottom w:w="0" w:type="dxa"/>
              <w:right w:w="85" w:type="dxa"/>
            </w:tcMar>
          </w:tcPr>
          <w:p w14:paraId="17D28191" w14:textId="77777777" w:rsidR="00BC0FD7" w:rsidRPr="001D5327" w:rsidRDefault="00BC0FD7" w:rsidP="00D11AC9">
            <w:pPr>
              <w:pStyle w:val="TableText"/>
              <w:spacing w:before="30" w:after="30"/>
              <w:jc w:val="right"/>
              <w:rPr>
                <w:b/>
                <w:bCs/>
                <w:color w:val="FFFFFF" w:themeColor="background1"/>
              </w:rPr>
            </w:pPr>
            <w:r w:rsidRPr="001D5327">
              <w:rPr>
                <w:rFonts w:eastAsia="Calibri"/>
                <w:b/>
                <w:bCs/>
                <w:color w:val="FFFFFF" w:themeColor="background1"/>
              </w:rPr>
              <w:t>Textile</w:t>
            </w:r>
          </w:p>
        </w:tc>
        <w:tc>
          <w:tcPr>
            <w:tcW w:w="0" w:type="auto"/>
            <w:shd w:val="clear" w:color="auto" w:fill="1B556B"/>
            <w:tcMar>
              <w:top w:w="0" w:type="dxa"/>
              <w:left w:w="85" w:type="dxa"/>
              <w:bottom w:w="0" w:type="dxa"/>
              <w:right w:w="85" w:type="dxa"/>
            </w:tcMar>
          </w:tcPr>
          <w:p w14:paraId="01C15353" w14:textId="77777777" w:rsidR="00BC0FD7" w:rsidRPr="001D5327" w:rsidRDefault="00BC0FD7" w:rsidP="00D11AC9">
            <w:pPr>
              <w:pStyle w:val="TableText"/>
              <w:spacing w:before="30" w:after="30"/>
              <w:jc w:val="right"/>
              <w:rPr>
                <w:b/>
                <w:bCs/>
                <w:color w:val="FFFFFF" w:themeColor="background1"/>
              </w:rPr>
            </w:pPr>
            <w:r w:rsidRPr="001D5327">
              <w:rPr>
                <w:rFonts w:eastAsia="Calibri"/>
                <w:b/>
                <w:bCs/>
                <w:color w:val="FFFFFF" w:themeColor="background1"/>
              </w:rPr>
              <w:t>Nappies</w:t>
            </w:r>
          </w:p>
        </w:tc>
        <w:tc>
          <w:tcPr>
            <w:tcW w:w="0" w:type="auto"/>
            <w:shd w:val="clear" w:color="auto" w:fill="1B556B"/>
            <w:tcMar>
              <w:top w:w="0" w:type="dxa"/>
              <w:left w:w="85" w:type="dxa"/>
              <w:bottom w:w="0" w:type="dxa"/>
              <w:right w:w="85" w:type="dxa"/>
            </w:tcMar>
          </w:tcPr>
          <w:p w14:paraId="70A63ABE" w14:textId="77777777" w:rsidR="00BC0FD7" w:rsidRPr="001D5327" w:rsidRDefault="00BC0FD7" w:rsidP="00D11AC9">
            <w:pPr>
              <w:pStyle w:val="TableText"/>
              <w:spacing w:before="30" w:after="30"/>
              <w:jc w:val="right"/>
              <w:rPr>
                <w:b/>
                <w:bCs/>
                <w:color w:val="FFFFFF" w:themeColor="background1"/>
              </w:rPr>
            </w:pPr>
            <w:r w:rsidRPr="001D5327">
              <w:rPr>
                <w:rFonts w:eastAsia="Calibri"/>
                <w:b/>
                <w:bCs/>
                <w:color w:val="FFFFFF" w:themeColor="background1"/>
              </w:rPr>
              <w:t>Sludge</w:t>
            </w:r>
            <w:r w:rsidRPr="001D5327">
              <w:rPr>
                <w:rFonts w:eastAsia="Calibri"/>
                <w:b/>
                <w:bCs/>
                <w:color w:val="FFFFFF" w:themeColor="background1"/>
                <w:vertAlign w:val="superscript"/>
              </w:rPr>
              <w:t>b</w:t>
            </w:r>
          </w:p>
        </w:tc>
      </w:tr>
      <w:tr w:rsidR="00BC0FD7" w:rsidRPr="001D5327" w14:paraId="36CA0CE9" w14:textId="77777777" w:rsidTr="00D11AC9">
        <w:trPr>
          <w:jc w:val="center"/>
        </w:trPr>
        <w:tc>
          <w:tcPr>
            <w:tcW w:w="1701" w:type="dxa"/>
            <w:shd w:val="clear" w:color="auto" w:fill="FFFFFF"/>
            <w:tcMar>
              <w:top w:w="0" w:type="dxa"/>
              <w:left w:w="85" w:type="dxa"/>
              <w:bottom w:w="0" w:type="dxa"/>
              <w:right w:w="85" w:type="dxa"/>
            </w:tcMar>
          </w:tcPr>
          <w:p w14:paraId="0E4D688B" w14:textId="77777777" w:rsidR="00BC0FD7" w:rsidRPr="001D5327" w:rsidRDefault="00BC0FD7" w:rsidP="00D11AC9">
            <w:pPr>
              <w:pStyle w:val="TableText"/>
              <w:spacing w:before="30" w:after="30"/>
            </w:pPr>
            <w:r w:rsidRPr="001D5327">
              <w:rPr>
                <w:rFonts w:eastAsia="Calibri"/>
                <w:color w:val="000000"/>
              </w:rPr>
              <w:t>DDOC</w:t>
            </w:r>
          </w:p>
        </w:tc>
        <w:tc>
          <w:tcPr>
            <w:tcW w:w="0" w:type="auto"/>
            <w:shd w:val="clear" w:color="auto" w:fill="FFFFFF"/>
            <w:tcMar>
              <w:top w:w="0" w:type="dxa"/>
              <w:left w:w="85" w:type="dxa"/>
              <w:bottom w:w="0" w:type="dxa"/>
              <w:right w:w="85" w:type="dxa"/>
            </w:tcMar>
          </w:tcPr>
          <w:p w14:paraId="4AB065ED" w14:textId="77777777" w:rsidR="00BC0FD7" w:rsidRPr="001D5327" w:rsidRDefault="00BC0FD7" w:rsidP="00D11AC9">
            <w:pPr>
              <w:pStyle w:val="TableText"/>
              <w:spacing w:before="30" w:after="30"/>
              <w:jc w:val="right"/>
            </w:pPr>
            <w:r w:rsidRPr="001D5327">
              <w:rPr>
                <w:rFonts w:eastAsia="Calibri"/>
                <w:color w:val="000000"/>
              </w:rPr>
              <w:t>0.11</w:t>
            </w:r>
            <w:r w:rsidRPr="001D5327">
              <w:rPr>
                <w:rFonts w:eastAsia="Calibri"/>
                <w:color w:val="000000"/>
                <w:sz w:val="20"/>
                <w:szCs w:val="20"/>
                <w:vertAlign w:val="superscript"/>
              </w:rPr>
              <w:t>a</w:t>
            </w:r>
          </w:p>
        </w:tc>
        <w:tc>
          <w:tcPr>
            <w:tcW w:w="0" w:type="auto"/>
            <w:shd w:val="clear" w:color="auto" w:fill="FFFFFF"/>
            <w:tcMar>
              <w:top w:w="0" w:type="dxa"/>
              <w:left w:w="85" w:type="dxa"/>
              <w:bottom w:w="0" w:type="dxa"/>
              <w:right w:w="85" w:type="dxa"/>
            </w:tcMar>
          </w:tcPr>
          <w:p w14:paraId="6C430F3C" w14:textId="77777777" w:rsidR="00BC0FD7" w:rsidRPr="001D5327" w:rsidRDefault="00BC0FD7" w:rsidP="00D11AC9">
            <w:pPr>
              <w:pStyle w:val="TableText"/>
              <w:spacing w:before="30" w:after="30"/>
              <w:jc w:val="right"/>
            </w:pPr>
            <w:r w:rsidRPr="001D5327">
              <w:rPr>
                <w:rFonts w:eastAsia="Calibri"/>
                <w:color w:val="000000"/>
              </w:rPr>
              <w:t>0.09</w:t>
            </w:r>
          </w:p>
        </w:tc>
        <w:tc>
          <w:tcPr>
            <w:tcW w:w="0" w:type="auto"/>
            <w:shd w:val="clear" w:color="auto" w:fill="FFFFFF"/>
            <w:tcMar>
              <w:top w:w="0" w:type="dxa"/>
              <w:left w:w="85" w:type="dxa"/>
              <w:bottom w:w="0" w:type="dxa"/>
              <w:right w:w="85" w:type="dxa"/>
            </w:tcMar>
          </w:tcPr>
          <w:p w14:paraId="63AC5E57" w14:textId="77777777" w:rsidR="00BC0FD7" w:rsidRPr="001D5327" w:rsidRDefault="00BC0FD7" w:rsidP="00D11AC9">
            <w:pPr>
              <w:pStyle w:val="TableText"/>
              <w:spacing w:before="30" w:after="30"/>
              <w:jc w:val="right"/>
            </w:pPr>
            <w:r w:rsidRPr="001D5327">
              <w:rPr>
                <w:rFonts w:eastAsia="Calibri"/>
                <w:color w:val="000000"/>
              </w:rPr>
              <w:t>0.16</w:t>
            </w:r>
          </w:p>
        </w:tc>
        <w:tc>
          <w:tcPr>
            <w:tcW w:w="0" w:type="auto"/>
            <w:shd w:val="clear" w:color="auto" w:fill="FFFFFF"/>
            <w:tcMar>
              <w:top w:w="0" w:type="dxa"/>
              <w:left w:w="85" w:type="dxa"/>
              <w:bottom w:w="0" w:type="dxa"/>
              <w:right w:w="85" w:type="dxa"/>
            </w:tcMar>
          </w:tcPr>
          <w:p w14:paraId="66AC1F06" w14:textId="77777777" w:rsidR="00BC0FD7" w:rsidRPr="001D5327" w:rsidRDefault="00BC0FD7" w:rsidP="00D11AC9">
            <w:pPr>
              <w:pStyle w:val="TableText"/>
              <w:spacing w:before="30" w:after="30"/>
              <w:jc w:val="right"/>
            </w:pPr>
            <w:r w:rsidRPr="001D5327">
              <w:rPr>
                <w:rFonts w:eastAsia="Calibri"/>
                <w:color w:val="000000"/>
              </w:rPr>
              <w:t>0.06</w:t>
            </w:r>
          </w:p>
        </w:tc>
        <w:tc>
          <w:tcPr>
            <w:tcW w:w="0" w:type="auto"/>
            <w:shd w:val="clear" w:color="auto" w:fill="FFFFFF"/>
            <w:tcMar>
              <w:top w:w="0" w:type="dxa"/>
              <w:left w:w="85" w:type="dxa"/>
              <w:bottom w:w="0" w:type="dxa"/>
              <w:right w:w="85" w:type="dxa"/>
            </w:tcMar>
          </w:tcPr>
          <w:p w14:paraId="742F06D6" w14:textId="77777777" w:rsidR="00BC0FD7" w:rsidRPr="001D5327" w:rsidRDefault="00BC0FD7" w:rsidP="00D11AC9">
            <w:pPr>
              <w:pStyle w:val="TableText"/>
              <w:spacing w:before="30" w:after="30"/>
              <w:jc w:val="right"/>
            </w:pPr>
            <w:r w:rsidRPr="001D5327">
              <w:rPr>
                <w:rFonts w:eastAsia="Calibri"/>
                <w:color w:val="000000"/>
              </w:rPr>
              <w:t>0.20 (1950s) to 0.08 (2020 onwards)</w:t>
            </w:r>
          </w:p>
        </w:tc>
        <w:tc>
          <w:tcPr>
            <w:tcW w:w="0" w:type="auto"/>
            <w:shd w:val="clear" w:color="auto" w:fill="FFFFFF"/>
            <w:tcMar>
              <w:top w:w="0" w:type="dxa"/>
              <w:left w:w="85" w:type="dxa"/>
              <w:bottom w:w="0" w:type="dxa"/>
              <w:right w:w="85" w:type="dxa"/>
            </w:tcMar>
          </w:tcPr>
          <w:p w14:paraId="4B2641E4" w14:textId="77777777" w:rsidR="00BC0FD7" w:rsidRPr="001D5327" w:rsidRDefault="00BC0FD7" w:rsidP="00D11AC9">
            <w:pPr>
              <w:pStyle w:val="TableText"/>
              <w:spacing w:before="30" w:after="30"/>
              <w:jc w:val="right"/>
            </w:pPr>
            <w:r w:rsidRPr="001D5327">
              <w:rPr>
                <w:rFonts w:eastAsia="Calibri"/>
                <w:color w:val="000000"/>
              </w:rPr>
              <w:t>0.04</w:t>
            </w:r>
          </w:p>
        </w:tc>
        <w:tc>
          <w:tcPr>
            <w:tcW w:w="0" w:type="auto"/>
            <w:shd w:val="clear" w:color="auto" w:fill="FFFFFF"/>
            <w:tcMar>
              <w:top w:w="0" w:type="dxa"/>
              <w:left w:w="85" w:type="dxa"/>
              <w:bottom w:w="0" w:type="dxa"/>
              <w:right w:w="85" w:type="dxa"/>
            </w:tcMar>
          </w:tcPr>
          <w:p w14:paraId="15BAB54D" w14:textId="77777777" w:rsidR="00BC0FD7" w:rsidRPr="001D5327" w:rsidRDefault="00BC0FD7" w:rsidP="00D11AC9">
            <w:pPr>
              <w:pStyle w:val="TableText"/>
              <w:spacing w:before="30" w:after="30"/>
              <w:jc w:val="right"/>
            </w:pPr>
            <w:r w:rsidRPr="001D5327">
              <w:rPr>
                <w:rFonts w:eastAsia="Calibri"/>
                <w:color w:val="000000"/>
              </w:rPr>
              <w:t>0.025</w:t>
            </w:r>
          </w:p>
        </w:tc>
      </w:tr>
      <w:tr w:rsidR="00BC0FD7" w:rsidRPr="001D5327" w14:paraId="16BE4091" w14:textId="77777777" w:rsidTr="00D11AC9">
        <w:trPr>
          <w:jc w:val="center"/>
        </w:trPr>
        <w:tc>
          <w:tcPr>
            <w:tcW w:w="1701" w:type="dxa"/>
            <w:shd w:val="clear" w:color="auto" w:fill="FFFFFF"/>
            <w:tcMar>
              <w:top w:w="0" w:type="dxa"/>
              <w:left w:w="85" w:type="dxa"/>
              <w:bottom w:w="0" w:type="dxa"/>
              <w:right w:w="85" w:type="dxa"/>
            </w:tcMar>
          </w:tcPr>
          <w:p w14:paraId="005E1A7E" w14:textId="77777777" w:rsidR="00BC0FD7" w:rsidRPr="001D5327" w:rsidRDefault="00BC0FD7" w:rsidP="00D11AC9">
            <w:pPr>
              <w:pStyle w:val="TableText"/>
              <w:spacing w:before="30" w:after="30"/>
            </w:pPr>
            <w:r w:rsidRPr="001D5327">
              <w:rPr>
                <w:rFonts w:eastAsia="Calibri"/>
                <w:color w:val="000000"/>
              </w:rPr>
              <w:t>DOCf</w:t>
            </w:r>
            <w:r w:rsidRPr="001D5327">
              <w:rPr>
                <w:rFonts w:eastAsia="Calibri"/>
                <w:color w:val="000000"/>
                <w:vertAlign w:val="superscript"/>
              </w:rPr>
              <w:t>c</w:t>
            </w:r>
          </w:p>
        </w:tc>
        <w:tc>
          <w:tcPr>
            <w:tcW w:w="0" w:type="auto"/>
            <w:shd w:val="clear" w:color="auto" w:fill="FFFFFF"/>
            <w:tcMar>
              <w:top w:w="0" w:type="dxa"/>
              <w:left w:w="85" w:type="dxa"/>
              <w:bottom w:w="0" w:type="dxa"/>
              <w:right w:w="85" w:type="dxa"/>
            </w:tcMar>
          </w:tcPr>
          <w:p w14:paraId="352B1111" w14:textId="77777777" w:rsidR="00BC0FD7" w:rsidRPr="001D5327" w:rsidRDefault="00BC0FD7" w:rsidP="00D11AC9">
            <w:pPr>
              <w:pStyle w:val="TableText"/>
              <w:spacing w:before="30" w:after="30"/>
              <w:jc w:val="right"/>
            </w:pPr>
            <w:r w:rsidRPr="001D5327">
              <w:rPr>
                <w:rFonts w:eastAsia="Calibri"/>
                <w:color w:val="000000"/>
              </w:rPr>
              <w:t>0.7</w:t>
            </w:r>
          </w:p>
        </w:tc>
        <w:tc>
          <w:tcPr>
            <w:tcW w:w="0" w:type="auto"/>
            <w:shd w:val="clear" w:color="auto" w:fill="FFFFFF"/>
            <w:tcMar>
              <w:top w:w="0" w:type="dxa"/>
              <w:left w:w="85" w:type="dxa"/>
              <w:bottom w:w="0" w:type="dxa"/>
              <w:right w:w="85" w:type="dxa"/>
            </w:tcMar>
          </w:tcPr>
          <w:p w14:paraId="503A82FB" w14:textId="77777777" w:rsidR="00BC0FD7" w:rsidRPr="001D5327" w:rsidRDefault="00BC0FD7" w:rsidP="00D11AC9">
            <w:pPr>
              <w:pStyle w:val="TableText"/>
              <w:spacing w:before="30" w:after="30"/>
              <w:jc w:val="right"/>
            </w:pPr>
            <w:r w:rsidRPr="001D5327">
              <w:rPr>
                <w:rFonts w:eastAsia="Calibri"/>
                <w:color w:val="000000"/>
              </w:rPr>
              <w:t>0.56</w:t>
            </w:r>
          </w:p>
        </w:tc>
        <w:tc>
          <w:tcPr>
            <w:tcW w:w="0" w:type="auto"/>
            <w:shd w:val="clear" w:color="auto" w:fill="FFFFFF"/>
            <w:tcMar>
              <w:top w:w="0" w:type="dxa"/>
              <w:left w:w="85" w:type="dxa"/>
              <w:bottom w:w="0" w:type="dxa"/>
              <w:right w:w="85" w:type="dxa"/>
            </w:tcMar>
          </w:tcPr>
          <w:p w14:paraId="6FBFBC2F" w14:textId="77777777" w:rsidR="00BC0FD7" w:rsidRPr="001D5327" w:rsidRDefault="00BC0FD7" w:rsidP="00D11AC9">
            <w:pPr>
              <w:pStyle w:val="TableText"/>
              <w:spacing w:before="30" w:after="30"/>
              <w:jc w:val="right"/>
            </w:pPr>
            <w:r w:rsidRPr="001D5327">
              <w:rPr>
                <w:rFonts w:eastAsia="Calibri"/>
                <w:color w:val="000000"/>
              </w:rPr>
              <w:t>0.5</w:t>
            </w:r>
          </w:p>
        </w:tc>
        <w:tc>
          <w:tcPr>
            <w:tcW w:w="0" w:type="auto"/>
            <w:shd w:val="clear" w:color="auto" w:fill="FFFFFF"/>
            <w:tcMar>
              <w:top w:w="0" w:type="dxa"/>
              <w:left w:w="85" w:type="dxa"/>
              <w:bottom w:w="0" w:type="dxa"/>
              <w:right w:w="85" w:type="dxa"/>
            </w:tcMar>
          </w:tcPr>
          <w:p w14:paraId="29A35195" w14:textId="77777777" w:rsidR="00BC0FD7" w:rsidRPr="001D5327" w:rsidRDefault="00BC0FD7" w:rsidP="00D11AC9">
            <w:pPr>
              <w:pStyle w:val="TableText"/>
              <w:spacing w:before="30" w:after="30"/>
              <w:jc w:val="right"/>
            </w:pPr>
            <w:r w:rsidRPr="001D5327">
              <w:rPr>
                <w:rFonts w:eastAsia="Calibri"/>
                <w:color w:val="000000"/>
              </w:rPr>
              <w:t>0.14</w:t>
            </w:r>
          </w:p>
        </w:tc>
        <w:tc>
          <w:tcPr>
            <w:tcW w:w="0" w:type="auto"/>
            <w:shd w:val="clear" w:color="auto" w:fill="FFFFFF"/>
            <w:tcMar>
              <w:top w:w="0" w:type="dxa"/>
              <w:left w:w="85" w:type="dxa"/>
              <w:bottom w:w="0" w:type="dxa"/>
              <w:right w:w="85" w:type="dxa"/>
            </w:tcMar>
          </w:tcPr>
          <w:p w14:paraId="797D9A5E" w14:textId="77777777" w:rsidR="00BC0FD7" w:rsidRPr="001D5327" w:rsidRDefault="00BC0FD7" w:rsidP="00D11AC9">
            <w:pPr>
              <w:pStyle w:val="TableText"/>
              <w:spacing w:before="30" w:after="30"/>
              <w:jc w:val="right"/>
            </w:pPr>
            <w:r w:rsidRPr="001D5327">
              <w:rPr>
                <w:rFonts w:eastAsia="Calibri"/>
                <w:color w:val="000000"/>
              </w:rPr>
              <w:t>0.5</w:t>
            </w:r>
          </w:p>
        </w:tc>
        <w:tc>
          <w:tcPr>
            <w:tcW w:w="0" w:type="auto"/>
            <w:shd w:val="clear" w:color="auto" w:fill="FFFFFF"/>
            <w:tcMar>
              <w:top w:w="0" w:type="dxa"/>
              <w:left w:w="85" w:type="dxa"/>
              <w:bottom w:w="0" w:type="dxa"/>
              <w:right w:w="85" w:type="dxa"/>
            </w:tcMar>
          </w:tcPr>
          <w:p w14:paraId="6297EECC" w14:textId="77777777" w:rsidR="00BC0FD7" w:rsidRPr="001D5327" w:rsidRDefault="00BC0FD7" w:rsidP="00D11AC9">
            <w:pPr>
              <w:pStyle w:val="TableText"/>
              <w:spacing w:before="30" w:after="30"/>
              <w:jc w:val="right"/>
            </w:pPr>
            <w:r w:rsidRPr="001D5327">
              <w:rPr>
                <w:rFonts w:eastAsia="Calibri"/>
                <w:color w:val="000000"/>
              </w:rPr>
              <w:t>0.5</w:t>
            </w:r>
          </w:p>
        </w:tc>
        <w:tc>
          <w:tcPr>
            <w:tcW w:w="0" w:type="auto"/>
            <w:shd w:val="clear" w:color="auto" w:fill="FFFFFF"/>
            <w:tcMar>
              <w:top w:w="0" w:type="dxa"/>
              <w:left w:w="85" w:type="dxa"/>
              <w:bottom w:w="0" w:type="dxa"/>
              <w:right w:w="85" w:type="dxa"/>
            </w:tcMar>
          </w:tcPr>
          <w:p w14:paraId="79B1029D" w14:textId="77777777" w:rsidR="00BC0FD7" w:rsidRPr="001D5327" w:rsidRDefault="00BC0FD7" w:rsidP="00D11AC9">
            <w:pPr>
              <w:pStyle w:val="TableText"/>
              <w:spacing w:before="30" w:after="30"/>
              <w:jc w:val="right"/>
            </w:pPr>
            <w:r w:rsidRPr="001D5327">
              <w:rPr>
                <w:rFonts w:eastAsia="Calibri"/>
                <w:color w:val="000000"/>
              </w:rPr>
              <w:t>0.5</w:t>
            </w:r>
          </w:p>
        </w:tc>
      </w:tr>
      <w:tr w:rsidR="00BC0FD7" w:rsidRPr="001D5327" w14:paraId="5AABD68F" w14:textId="77777777" w:rsidTr="00D11AC9">
        <w:trPr>
          <w:jc w:val="center"/>
        </w:trPr>
        <w:tc>
          <w:tcPr>
            <w:tcW w:w="1701" w:type="dxa"/>
            <w:shd w:val="clear" w:color="auto" w:fill="FFFFFF"/>
            <w:tcMar>
              <w:top w:w="0" w:type="dxa"/>
              <w:left w:w="85" w:type="dxa"/>
              <w:bottom w:w="0" w:type="dxa"/>
              <w:right w:w="85" w:type="dxa"/>
            </w:tcMar>
          </w:tcPr>
          <w:p w14:paraId="1BBFB426" w14:textId="77777777" w:rsidR="00BC0FD7" w:rsidRPr="001D5327" w:rsidRDefault="00BC0FD7" w:rsidP="00D11AC9">
            <w:pPr>
              <w:pStyle w:val="TableText"/>
              <w:spacing w:before="30" w:after="30"/>
            </w:pPr>
            <w:r w:rsidRPr="001D5327">
              <w:rPr>
                <w:rFonts w:eastAsia="Calibri"/>
                <w:color w:val="000000"/>
              </w:rPr>
              <w:t>DOC (=DDOC/DOCf)</w:t>
            </w:r>
          </w:p>
        </w:tc>
        <w:tc>
          <w:tcPr>
            <w:tcW w:w="0" w:type="auto"/>
            <w:shd w:val="clear" w:color="auto" w:fill="FFFFFF"/>
            <w:tcMar>
              <w:top w:w="0" w:type="dxa"/>
              <w:left w:w="85" w:type="dxa"/>
              <w:bottom w:w="0" w:type="dxa"/>
              <w:right w:w="85" w:type="dxa"/>
            </w:tcMar>
          </w:tcPr>
          <w:p w14:paraId="246ED57F" w14:textId="77777777" w:rsidR="00BC0FD7" w:rsidRPr="001D5327" w:rsidRDefault="00BC0FD7" w:rsidP="00D11AC9">
            <w:pPr>
              <w:pStyle w:val="TableText"/>
              <w:spacing w:before="30" w:after="30"/>
              <w:jc w:val="right"/>
            </w:pPr>
            <w:r w:rsidRPr="001D5327">
              <w:rPr>
                <w:rFonts w:eastAsia="Calibri"/>
                <w:color w:val="000000"/>
              </w:rPr>
              <w:t>0.16</w:t>
            </w:r>
          </w:p>
        </w:tc>
        <w:tc>
          <w:tcPr>
            <w:tcW w:w="0" w:type="auto"/>
            <w:shd w:val="clear" w:color="auto" w:fill="FFFFFF"/>
            <w:tcMar>
              <w:top w:w="0" w:type="dxa"/>
              <w:left w:w="85" w:type="dxa"/>
              <w:bottom w:w="0" w:type="dxa"/>
              <w:right w:w="85" w:type="dxa"/>
            </w:tcMar>
          </w:tcPr>
          <w:p w14:paraId="4B012BBF" w14:textId="77777777" w:rsidR="00BC0FD7" w:rsidRPr="001D5327" w:rsidRDefault="00BC0FD7" w:rsidP="00D11AC9">
            <w:pPr>
              <w:pStyle w:val="TableText"/>
              <w:spacing w:before="30" w:after="30"/>
              <w:jc w:val="right"/>
            </w:pPr>
            <w:r w:rsidRPr="001D5327">
              <w:rPr>
                <w:rFonts w:eastAsia="Calibri"/>
                <w:color w:val="000000"/>
              </w:rPr>
              <w:t>0.16</w:t>
            </w:r>
          </w:p>
        </w:tc>
        <w:tc>
          <w:tcPr>
            <w:tcW w:w="0" w:type="auto"/>
            <w:shd w:val="clear" w:color="auto" w:fill="FFFFFF"/>
            <w:tcMar>
              <w:top w:w="0" w:type="dxa"/>
              <w:left w:w="85" w:type="dxa"/>
              <w:bottom w:w="0" w:type="dxa"/>
              <w:right w:w="85" w:type="dxa"/>
            </w:tcMar>
          </w:tcPr>
          <w:p w14:paraId="06F82A96" w14:textId="77777777" w:rsidR="00BC0FD7" w:rsidRPr="001D5327" w:rsidRDefault="00BC0FD7" w:rsidP="00D11AC9">
            <w:pPr>
              <w:pStyle w:val="TableText"/>
              <w:spacing w:before="30" w:after="30"/>
              <w:jc w:val="right"/>
            </w:pPr>
            <w:r w:rsidRPr="001D5327">
              <w:rPr>
                <w:rFonts w:eastAsia="Calibri"/>
                <w:color w:val="000000"/>
              </w:rPr>
              <w:t>0.32</w:t>
            </w:r>
          </w:p>
        </w:tc>
        <w:tc>
          <w:tcPr>
            <w:tcW w:w="0" w:type="auto"/>
            <w:shd w:val="clear" w:color="auto" w:fill="FFFFFF"/>
            <w:tcMar>
              <w:top w:w="0" w:type="dxa"/>
              <w:left w:w="85" w:type="dxa"/>
              <w:bottom w:w="0" w:type="dxa"/>
              <w:right w:w="85" w:type="dxa"/>
            </w:tcMar>
          </w:tcPr>
          <w:p w14:paraId="79867B0E" w14:textId="77777777" w:rsidR="00BC0FD7" w:rsidRPr="001D5327" w:rsidRDefault="00BC0FD7" w:rsidP="00D11AC9">
            <w:pPr>
              <w:pStyle w:val="TableText"/>
              <w:spacing w:before="30" w:after="30"/>
              <w:jc w:val="right"/>
            </w:pPr>
            <w:r w:rsidRPr="001D5327">
              <w:rPr>
                <w:rFonts w:eastAsia="Calibri"/>
                <w:color w:val="000000"/>
              </w:rPr>
              <w:t>0.43</w:t>
            </w:r>
          </w:p>
        </w:tc>
        <w:tc>
          <w:tcPr>
            <w:tcW w:w="0" w:type="auto"/>
            <w:shd w:val="clear" w:color="auto" w:fill="FFFFFF"/>
            <w:tcMar>
              <w:top w:w="0" w:type="dxa"/>
              <w:left w:w="85" w:type="dxa"/>
              <w:bottom w:w="0" w:type="dxa"/>
              <w:right w:w="85" w:type="dxa"/>
            </w:tcMar>
          </w:tcPr>
          <w:p w14:paraId="372BBBA0" w14:textId="77777777" w:rsidR="00BC0FD7" w:rsidRPr="001D5327" w:rsidRDefault="00BC0FD7" w:rsidP="00D11AC9">
            <w:pPr>
              <w:pStyle w:val="TableText"/>
              <w:spacing w:before="30" w:after="30"/>
              <w:jc w:val="right"/>
            </w:pPr>
            <w:r w:rsidRPr="001D5327">
              <w:rPr>
                <w:rFonts w:eastAsia="Calibri"/>
                <w:color w:val="000000"/>
              </w:rPr>
              <w:t>0.40 (1950s) to 0.16 (2020 onwards) </w:t>
            </w:r>
          </w:p>
        </w:tc>
        <w:tc>
          <w:tcPr>
            <w:tcW w:w="0" w:type="auto"/>
            <w:shd w:val="clear" w:color="auto" w:fill="FFFFFF"/>
            <w:tcMar>
              <w:top w:w="0" w:type="dxa"/>
              <w:left w:w="85" w:type="dxa"/>
              <w:bottom w:w="0" w:type="dxa"/>
              <w:right w:w="85" w:type="dxa"/>
            </w:tcMar>
          </w:tcPr>
          <w:p w14:paraId="23C9C690" w14:textId="77777777" w:rsidR="00BC0FD7" w:rsidRPr="001D5327" w:rsidRDefault="00BC0FD7" w:rsidP="00D11AC9">
            <w:pPr>
              <w:pStyle w:val="TableText"/>
              <w:spacing w:before="30" w:after="30"/>
              <w:jc w:val="right"/>
            </w:pPr>
            <w:r w:rsidRPr="001D5327">
              <w:rPr>
                <w:rFonts w:eastAsia="Calibri"/>
                <w:color w:val="000000"/>
              </w:rPr>
              <w:t>0.08</w:t>
            </w:r>
          </w:p>
        </w:tc>
        <w:tc>
          <w:tcPr>
            <w:tcW w:w="0" w:type="auto"/>
            <w:shd w:val="clear" w:color="auto" w:fill="FFFFFF"/>
            <w:tcMar>
              <w:top w:w="0" w:type="dxa"/>
              <w:left w:w="85" w:type="dxa"/>
              <w:bottom w:w="0" w:type="dxa"/>
              <w:right w:w="85" w:type="dxa"/>
            </w:tcMar>
          </w:tcPr>
          <w:p w14:paraId="0ED34933" w14:textId="77777777" w:rsidR="00BC0FD7" w:rsidRPr="001D5327" w:rsidRDefault="00BC0FD7" w:rsidP="00D11AC9">
            <w:pPr>
              <w:pStyle w:val="TableText"/>
              <w:spacing w:before="30" w:after="30"/>
              <w:jc w:val="right"/>
            </w:pPr>
            <w:r w:rsidRPr="001D5327">
              <w:rPr>
                <w:rFonts w:eastAsia="Calibri"/>
                <w:color w:val="000000"/>
              </w:rPr>
              <w:t>0.05</w:t>
            </w:r>
          </w:p>
        </w:tc>
      </w:tr>
      <w:tr w:rsidR="00BC0FD7" w:rsidRPr="001D5327" w14:paraId="72D9DC84" w14:textId="77777777" w:rsidTr="00D11AC9">
        <w:trPr>
          <w:jc w:val="center"/>
        </w:trPr>
        <w:tc>
          <w:tcPr>
            <w:tcW w:w="1701" w:type="dxa"/>
            <w:shd w:val="clear" w:color="auto" w:fill="FFFFFF"/>
            <w:tcMar>
              <w:top w:w="0" w:type="dxa"/>
              <w:left w:w="85" w:type="dxa"/>
              <w:bottom w:w="0" w:type="dxa"/>
              <w:right w:w="85" w:type="dxa"/>
            </w:tcMar>
          </w:tcPr>
          <w:p w14:paraId="0D530C29" w14:textId="77777777" w:rsidR="00BC0FD7" w:rsidRPr="001D5327" w:rsidRDefault="00BC0FD7" w:rsidP="00D11AC9">
            <w:pPr>
              <w:pStyle w:val="TableText"/>
              <w:spacing w:before="30" w:after="30"/>
            </w:pPr>
            <w:r w:rsidRPr="001D5327">
              <w:rPr>
                <w:rFonts w:eastAsia="Calibri"/>
                <w:color w:val="000000"/>
              </w:rPr>
              <w:t xml:space="preserve">k-value wet sites </w:t>
            </w:r>
            <w:r w:rsidRPr="001D5327">
              <w:rPr>
                <w:rFonts w:eastAsia="Calibri"/>
                <w:color w:val="000000"/>
              </w:rPr>
              <w:br/>
              <w:t>(&gt;700 mm rain/year)</w:t>
            </w:r>
          </w:p>
        </w:tc>
        <w:tc>
          <w:tcPr>
            <w:tcW w:w="0" w:type="auto"/>
            <w:shd w:val="clear" w:color="auto" w:fill="FFFFFF"/>
            <w:tcMar>
              <w:top w:w="0" w:type="dxa"/>
              <w:left w:w="85" w:type="dxa"/>
              <w:bottom w:w="0" w:type="dxa"/>
              <w:right w:w="85" w:type="dxa"/>
            </w:tcMar>
          </w:tcPr>
          <w:p w14:paraId="46063D10" w14:textId="77777777" w:rsidR="00BC0FD7" w:rsidRPr="001D5327" w:rsidRDefault="00BC0FD7" w:rsidP="00D11AC9">
            <w:pPr>
              <w:pStyle w:val="TableText"/>
              <w:spacing w:before="30" w:after="30"/>
              <w:jc w:val="right"/>
            </w:pPr>
            <w:r w:rsidRPr="001D5327">
              <w:rPr>
                <w:rFonts w:eastAsia="Calibri"/>
                <w:color w:val="000000"/>
              </w:rPr>
              <w:t>0.19</w:t>
            </w:r>
          </w:p>
        </w:tc>
        <w:tc>
          <w:tcPr>
            <w:tcW w:w="0" w:type="auto"/>
            <w:shd w:val="clear" w:color="auto" w:fill="FFFFFF"/>
            <w:tcMar>
              <w:top w:w="0" w:type="dxa"/>
              <w:left w:w="85" w:type="dxa"/>
              <w:bottom w:w="0" w:type="dxa"/>
              <w:right w:w="85" w:type="dxa"/>
            </w:tcMar>
          </w:tcPr>
          <w:p w14:paraId="7861632E" w14:textId="77777777" w:rsidR="00BC0FD7" w:rsidRPr="001D5327" w:rsidRDefault="00BC0FD7" w:rsidP="00D11AC9">
            <w:pPr>
              <w:pStyle w:val="TableText"/>
              <w:spacing w:before="30" w:after="30"/>
              <w:jc w:val="right"/>
            </w:pPr>
            <w:r w:rsidRPr="001D5327">
              <w:rPr>
                <w:rFonts w:eastAsia="Calibri"/>
                <w:color w:val="000000"/>
              </w:rPr>
              <w:t>0.1</w:t>
            </w:r>
          </w:p>
        </w:tc>
        <w:tc>
          <w:tcPr>
            <w:tcW w:w="0" w:type="auto"/>
            <w:shd w:val="clear" w:color="auto" w:fill="FFFFFF"/>
            <w:tcMar>
              <w:top w:w="0" w:type="dxa"/>
              <w:left w:w="85" w:type="dxa"/>
              <w:bottom w:w="0" w:type="dxa"/>
              <w:right w:w="85" w:type="dxa"/>
            </w:tcMar>
          </w:tcPr>
          <w:p w14:paraId="4B26C9C8" w14:textId="77777777" w:rsidR="00BC0FD7" w:rsidRPr="001D5327" w:rsidRDefault="00BC0FD7" w:rsidP="00D11AC9">
            <w:pPr>
              <w:pStyle w:val="TableText"/>
              <w:spacing w:before="30" w:after="30"/>
              <w:jc w:val="right"/>
            </w:pPr>
            <w:r w:rsidRPr="001D5327">
              <w:rPr>
                <w:rFonts w:eastAsia="Calibri"/>
                <w:color w:val="000000"/>
              </w:rPr>
              <w:t>0.06</w:t>
            </w:r>
          </w:p>
        </w:tc>
        <w:tc>
          <w:tcPr>
            <w:tcW w:w="0" w:type="auto"/>
            <w:shd w:val="clear" w:color="auto" w:fill="FFFFFF"/>
            <w:tcMar>
              <w:top w:w="0" w:type="dxa"/>
              <w:left w:w="85" w:type="dxa"/>
              <w:bottom w:w="0" w:type="dxa"/>
              <w:right w:w="85" w:type="dxa"/>
            </w:tcMar>
          </w:tcPr>
          <w:p w14:paraId="2A17D10E" w14:textId="77777777" w:rsidR="00BC0FD7" w:rsidRPr="001D5327" w:rsidRDefault="00BC0FD7" w:rsidP="00D11AC9">
            <w:pPr>
              <w:pStyle w:val="TableText"/>
              <w:spacing w:before="30" w:after="30"/>
              <w:jc w:val="right"/>
            </w:pPr>
            <w:r w:rsidRPr="001D5327">
              <w:rPr>
                <w:rFonts w:eastAsia="Calibri"/>
                <w:color w:val="000000"/>
              </w:rPr>
              <w:t>0.03</w:t>
            </w:r>
          </w:p>
        </w:tc>
        <w:tc>
          <w:tcPr>
            <w:tcW w:w="0" w:type="auto"/>
            <w:shd w:val="clear" w:color="auto" w:fill="FFFFFF"/>
            <w:tcMar>
              <w:top w:w="0" w:type="dxa"/>
              <w:left w:w="85" w:type="dxa"/>
              <w:bottom w:w="0" w:type="dxa"/>
              <w:right w:w="85" w:type="dxa"/>
            </w:tcMar>
          </w:tcPr>
          <w:p w14:paraId="6EBBBFEE" w14:textId="77777777" w:rsidR="00BC0FD7" w:rsidRPr="001D5327" w:rsidRDefault="00BC0FD7" w:rsidP="00D11AC9">
            <w:pPr>
              <w:pStyle w:val="TableText"/>
              <w:spacing w:before="30" w:after="30"/>
              <w:jc w:val="right"/>
            </w:pPr>
            <w:r w:rsidRPr="001D5327">
              <w:rPr>
                <w:rFonts w:eastAsia="Calibri"/>
                <w:color w:val="000000"/>
              </w:rPr>
              <w:t>0.06</w:t>
            </w:r>
          </w:p>
        </w:tc>
        <w:tc>
          <w:tcPr>
            <w:tcW w:w="0" w:type="auto"/>
            <w:shd w:val="clear" w:color="auto" w:fill="FFFFFF"/>
            <w:tcMar>
              <w:top w:w="0" w:type="dxa"/>
              <w:left w:w="85" w:type="dxa"/>
              <w:bottom w:w="0" w:type="dxa"/>
              <w:right w:w="85" w:type="dxa"/>
            </w:tcMar>
          </w:tcPr>
          <w:p w14:paraId="33BEEFFE" w14:textId="77777777" w:rsidR="00BC0FD7" w:rsidRPr="001D5327" w:rsidRDefault="00BC0FD7" w:rsidP="00D11AC9">
            <w:pPr>
              <w:pStyle w:val="TableText"/>
              <w:spacing w:before="30" w:after="30"/>
              <w:jc w:val="right"/>
            </w:pPr>
            <w:r w:rsidRPr="001D5327">
              <w:rPr>
                <w:rFonts w:eastAsia="Calibri"/>
                <w:color w:val="000000"/>
              </w:rPr>
              <w:t>0.06</w:t>
            </w:r>
          </w:p>
        </w:tc>
        <w:tc>
          <w:tcPr>
            <w:tcW w:w="0" w:type="auto"/>
            <w:shd w:val="clear" w:color="auto" w:fill="FFFFFF"/>
            <w:tcMar>
              <w:top w:w="0" w:type="dxa"/>
              <w:left w:w="85" w:type="dxa"/>
              <w:bottom w:w="0" w:type="dxa"/>
              <w:right w:w="85" w:type="dxa"/>
            </w:tcMar>
          </w:tcPr>
          <w:p w14:paraId="3F09B7B8" w14:textId="77777777" w:rsidR="00BC0FD7" w:rsidRPr="001D5327" w:rsidRDefault="00BC0FD7" w:rsidP="00D11AC9">
            <w:pPr>
              <w:pStyle w:val="TableText"/>
              <w:spacing w:before="30" w:after="30"/>
              <w:jc w:val="right"/>
            </w:pPr>
            <w:r w:rsidRPr="001D5327">
              <w:rPr>
                <w:rFonts w:eastAsia="Calibri"/>
                <w:color w:val="000000"/>
              </w:rPr>
              <w:t>0.19</w:t>
            </w:r>
          </w:p>
        </w:tc>
      </w:tr>
      <w:tr w:rsidR="00BC0FD7" w:rsidRPr="001D5327" w14:paraId="2D41711B" w14:textId="77777777" w:rsidTr="00D11AC9">
        <w:trPr>
          <w:jc w:val="center"/>
        </w:trPr>
        <w:tc>
          <w:tcPr>
            <w:tcW w:w="1701" w:type="dxa"/>
            <w:shd w:val="clear" w:color="auto" w:fill="FFFFFF"/>
            <w:tcMar>
              <w:top w:w="0" w:type="dxa"/>
              <w:left w:w="85" w:type="dxa"/>
              <w:bottom w:w="0" w:type="dxa"/>
              <w:right w:w="85" w:type="dxa"/>
            </w:tcMar>
          </w:tcPr>
          <w:p w14:paraId="2AEDA984" w14:textId="77777777" w:rsidR="00BC0FD7" w:rsidRPr="001D5327" w:rsidRDefault="00BC0FD7" w:rsidP="00D11AC9">
            <w:pPr>
              <w:pStyle w:val="TableText"/>
              <w:spacing w:before="30" w:after="30"/>
            </w:pPr>
            <w:r w:rsidRPr="001D5327">
              <w:rPr>
                <w:rFonts w:eastAsia="Calibri"/>
                <w:color w:val="000000"/>
              </w:rPr>
              <w:t>k-value dry sites</w:t>
            </w:r>
          </w:p>
        </w:tc>
        <w:tc>
          <w:tcPr>
            <w:tcW w:w="0" w:type="auto"/>
            <w:shd w:val="clear" w:color="auto" w:fill="FFFFFF"/>
            <w:tcMar>
              <w:top w:w="0" w:type="dxa"/>
              <w:left w:w="85" w:type="dxa"/>
              <w:bottom w:w="0" w:type="dxa"/>
              <w:right w:w="85" w:type="dxa"/>
            </w:tcMar>
          </w:tcPr>
          <w:p w14:paraId="7A8D06A4" w14:textId="77777777" w:rsidR="00BC0FD7" w:rsidRPr="001D5327" w:rsidRDefault="00BC0FD7" w:rsidP="00D11AC9">
            <w:pPr>
              <w:pStyle w:val="TableText"/>
              <w:spacing w:before="30" w:after="30"/>
              <w:jc w:val="right"/>
            </w:pPr>
            <w:r w:rsidRPr="001D5327">
              <w:rPr>
                <w:rFonts w:eastAsia="Calibri"/>
                <w:color w:val="000000"/>
              </w:rPr>
              <w:t>0.06</w:t>
            </w:r>
          </w:p>
        </w:tc>
        <w:tc>
          <w:tcPr>
            <w:tcW w:w="0" w:type="auto"/>
            <w:shd w:val="clear" w:color="auto" w:fill="FFFFFF"/>
            <w:tcMar>
              <w:top w:w="0" w:type="dxa"/>
              <w:left w:w="85" w:type="dxa"/>
              <w:bottom w:w="0" w:type="dxa"/>
              <w:right w:w="85" w:type="dxa"/>
            </w:tcMar>
          </w:tcPr>
          <w:p w14:paraId="0F44ABAE" w14:textId="77777777" w:rsidR="00BC0FD7" w:rsidRPr="001D5327" w:rsidRDefault="00BC0FD7" w:rsidP="00D11AC9">
            <w:pPr>
              <w:pStyle w:val="TableText"/>
              <w:spacing w:before="30" w:after="30"/>
              <w:jc w:val="right"/>
            </w:pPr>
            <w:r w:rsidRPr="001D5327">
              <w:rPr>
                <w:rFonts w:eastAsia="Calibri"/>
                <w:color w:val="000000"/>
              </w:rPr>
              <w:t>0.05</w:t>
            </w:r>
          </w:p>
        </w:tc>
        <w:tc>
          <w:tcPr>
            <w:tcW w:w="0" w:type="auto"/>
            <w:shd w:val="clear" w:color="auto" w:fill="FFFFFF"/>
            <w:tcMar>
              <w:top w:w="0" w:type="dxa"/>
              <w:left w:w="85" w:type="dxa"/>
              <w:bottom w:w="0" w:type="dxa"/>
              <w:right w:w="85" w:type="dxa"/>
            </w:tcMar>
          </w:tcPr>
          <w:p w14:paraId="587AED7A" w14:textId="77777777" w:rsidR="00BC0FD7" w:rsidRPr="001D5327" w:rsidRDefault="00BC0FD7" w:rsidP="00D11AC9">
            <w:pPr>
              <w:pStyle w:val="TableText"/>
              <w:spacing w:before="30" w:after="30"/>
              <w:jc w:val="right"/>
            </w:pPr>
            <w:r w:rsidRPr="001D5327">
              <w:rPr>
                <w:rFonts w:eastAsia="Calibri"/>
                <w:color w:val="000000"/>
              </w:rPr>
              <w:t>0.04</w:t>
            </w:r>
          </w:p>
        </w:tc>
        <w:tc>
          <w:tcPr>
            <w:tcW w:w="0" w:type="auto"/>
            <w:shd w:val="clear" w:color="auto" w:fill="FFFFFF"/>
            <w:tcMar>
              <w:top w:w="0" w:type="dxa"/>
              <w:left w:w="85" w:type="dxa"/>
              <w:bottom w:w="0" w:type="dxa"/>
              <w:right w:w="85" w:type="dxa"/>
            </w:tcMar>
          </w:tcPr>
          <w:p w14:paraId="7EF55528" w14:textId="77777777" w:rsidR="00BC0FD7" w:rsidRPr="001D5327" w:rsidRDefault="00BC0FD7" w:rsidP="00D11AC9">
            <w:pPr>
              <w:pStyle w:val="TableText"/>
              <w:spacing w:before="30" w:after="30"/>
              <w:jc w:val="right"/>
            </w:pPr>
            <w:r w:rsidRPr="001D5327">
              <w:rPr>
                <w:rFonts w:eastAsia="Calibri"/>
                <w:color w:val="000000"/>
              </w:rPr>
              <w:t>0.02</w:t>
            </w:r>
          </w:p>
        </w:tc>
        <w:tc>
          <w:tcPr>
            <w:tcW w:w="0" w:type="auto"/>
            <w:shd w:val="clear" w:color="auto" w:fill="FFFFFF"/>
            <w:tcMar>
              <w:top w:w="0" w:type="dxa"/>
              <w:left w:w="85" w:type="dxa"/>
              <w:bottom w:w="0" w:type="dxa"/>
              <w:right w:w="85" w:type="dxa"/>
            </w:tcMar>
          </w:tcPr>
          <w:p w14:paraId="24D0D8B1" w14:textId="77777777" w:rsidR="00BC0FD7" w:rsidRPr="001D5327" w:rsidRDefault="00BC0FD7" w:rsidP="00D11AC9">
            <w:pPr>
              <w:pStyle w:val="TableText"/>
              <w:spacing w:before="30" w:after="30"/>
              <w:jc w:val="right"/>
            </w:pPr>
            <w:r w:rsidRPr="001D5327">
              <w:rPr>
                <w:rFonts w:eastAsia="Calibri"/>
                <w:color w:val="000000"/>
              </w:rPr>
              <w:t>0.04</w:t>
            </w:r>
          </w:p>
        </w:tc>
        <w:tc>
          <w:tcPr>
            <w:tcW w:w="0" w:type="auto"/>
            <w:shd w:val="clear" w:color="auto" w:fill="FFFFFF"/>
            <w:tcMar>
              <w:top w:w="0" w:type="dxa"/>
              <w:left w:w="85" w:type="dxa"/>
              <w:bottom w:w="0" w:type="dxa"/>
              <w:right w:w="85" w:type="dxa"/>
            </w:tcMar>
          </w:tcPr>
          <w:p w14:paraId="7B15CD32" w14:textId="77777777" w:rsidR="00BC0FD7" w:rsidRPr="001D5327" w:rsidRDefault="00BC0FD7" w:rsidP="00D11AC9">
            <w:pPr>
              <w:pStyle w:val="TableText"/>
              <w:spacing w:before="30" w:after="30"/>
              <w:jc w:val="right"/>
            </w:pPr>
            <w:r w:rsidRPr="001D5327">
              <w:rPr>
                <w:rFonts w:eastAsia="Calibri"/>
                <w:color w:val="000000"/>
              </w:rPr>
              <w:t>0.04</w:t>
            </w:r>
          </w:p>
        </w:tc>
        <w:tc>
          <w:tcPr>
            <w:tcW w:w="0" w:type="auto"/>
            <w:shd w:val="clear" w:color="auto" w:fill="FFFFFF"/>
            <w:tcMar>
              <w:top w:w="0" w:type="dxa"/>
              <w:left w:w="85" w:type="dxa"/>
              <w:bottom w:w="0" w:type="dxa"/>
              <w:right w:w="85" w:type="dxa"/>
            </w:tcMar>
          </w:tcPr>
          <w:p w14:paraId="0E6E01A3" w14:textId="77777777" w:rsidR="00BC0FD7" w:rsidRPr="001D5327" w:rsidRDefault="00BC0FD7" w:rsidP="00D11AC9">
            <w:pPr>
              <w:pStyle w:val="TableText"/>
              <w:spacing w:before="30" w:after="30"/>
              <w:jc w:val="right"/>
            </w:pPr>
            <w:r w:rsidRPr="001D5327">
              <w:rPr>
                <w:rFonts w:eastAsia="Calibri"/>
                <w:color w:val="000000"/>
              </w:rPr>
              <w:t>0.19</w:t>
            </w:r>
          </w:p>
        </w:tc>
      </w:tr>
    </w:tbl>
    <w:p w14:paraId="429CD6B3" w14:textId="77777777" w:rsidR="00BC0FD7" w:rsidRPr="001D5327" w:rsidRDefault="00BC0FD7" w:rsidP="00BC0FD7">
      <w:pPr>
        <w:pStyle w:val="Noteundertable"/>
        <w:spacing w:after="0"/>
      </w:pPr>
      <w:r w:rsidRPr="001D5327">
        <w:rPr>
          <w:b/>
          <w:bCs/>
        </w:rPr>
        <w:t>Note:</w:t>
      </w:r>
      <w:r w:rsidRPr="001D5327">
        <w:t xml:space="preserve"> </w:t>
      </w:r>
      <w:r w:rsidRPr="001D5327">
        <w:tab/>
        <w:t>DDOC = decomposable degradable organic carbon; DOC = degradable organic carbon; DOCf = DOC fraction. All parameters are from Eunomia (unpublished(a)) except: (a) DDOC for food is from IPCC (2019); (b) all values for sludge are from IPCC (2006a) default wet temperate; and (c) all DOCf values are from IPCC (2019) except for garden waste (Eunomia, unpublished(a)).</w:t>
      </w:r>
    </w:p>
    <w:p w14:paraId="15E56C38" w14:textId="77777777" w:rsidR="00BC0FD7" w:rsidRPr="001D5327" w:rsidRDefault="00BC0FD7" w:rsidP="00BC0FD7">
      <w:pPr>
        <w:pStyle w:val="BodyText"/>
        <w:spacing w:after="100"/>
      </w:pPr>
      <w:r w:rsidRPr="001D5327">
        <w:lastRenderedPageBreak/>
        <w:t>Eunomia (unpublished(a)) recommended the use of DOC fraction (DOCf) values that align with the 2019 IPCC refinement to the 2006 Guidelines, with one adjustment for garden waste to account for the presence of woody branches (IPCC, 2019). DOC values are derived from the ratio of DDOC to DOCf, rather than being explicitly provided. The DDOC values for all materials differ from the IPCC (2006a) defaults, reflecting global trends in material characteristics.</w:t>
      </w:r>
    </w:p>
    <w:p w14:paraId="1D7555FF" w14:textId="77777777" w:rsidR="00BC0FD7" w:rsidRPr="001D5327" w:rsidRDefault="00BC0FD7" w:rsidP="00BC0FD7">
      <w:pPr>
        <w:pStyle w:val="Bullet"/>
        <w:spacing w:after="100"/>
      </w:pPr>
      <w:r w:rsidRPr="001D5327">
        <w:t>For food waste, the most appropriate DDOC is the IPCC default (IPCC, 2019).</w:t>
      </w:r>
    </w:p>
    <w:p w14:paraId="3970CD36" w14:textId="77777777" w:rsidR="00BC0FD7" w:rsidRPr="001D5327" w:rsidRDefault="00BC0FD7" w:rsidP="00BC0FD7">
      <w:pPr>
        <w:pStyle w:val="Bullet"/>
        <w:spacing w:after="100"/>
      </w:pPr>
      <w:r w:rsidRPr="001D5327">
        <w:t>For paper, the DDOC is lower than the IPCC (2006a) default to reflect the more resistant types of paper (such as magazines and newsprint), which degrade more slowly due to their high lignin content.</w:t>
      </w:r>
    </w:p>
    <w:p w14:paraId="377D6596" w14:textId="77777777" w:rsidR="00BC0FD7" w:rsidRPr="001D5327" w:rsidRDefault="00BC0FD7" w:rsidP="00BC0FD7">
      <w:pPr>
        <w:pStyle w:val="Bullet"/>
        <w:spacing w:after="100"/>
      </w:pPr>
      <w:r w:rsidRPr="001D5327">
        <w:t>For wood, the DDOC is specific to New Zealand and significantly lower than the IPCC (2006a) defaults but closer to the values from the 2019 IPCC refinement to the 2006 Guidelines (IPCC, 2019). This adjustment accounts for the mix of treated and untreated wood disposed of in New Zealand landfills, as well as the varying degradability of these materials.</w:t>
      </w:r>
    </w:p>
    <w:p w14:paraId="60AF0495" w14:textId="77777777" w:rsidR="00BC0FD7" w:rsidRPr="001D5327" w:rsidRDefault="00BC0FD7" w:rsidP="00BC0FD7">
      <w:pPr>
        <w:pStyle w:val="Bullet"/>
        <w:spacing w:after="100"/>
      </w:pPr>
      <w:r w:rsidRPr="001D5327">
        <w:t>For textiles, DDOC values are adjusted to reflect the increasing prevalence of synthetic fibres over time.</w:t>
      </w:r>
    </w:p>
    <w:p w14:paraId="354FA0D8" w14:textId="77777777" w:rsidR="00BC0FD7" w:rsidRPr="001D5327" w:rsidRDefault="00BC0FD7" w:rsidP="00BC0FD7">
      <w:pPr>
        <w:pStyle w:val="Bullet"/>
        <w:spacing w:after="100"/>
      </w:pPr>
      <w:r w:rsidRPr="001D5327">
        <w:t>For nappies, DDOC is set lower than the IPCC default, which is based on the Swedish anaerobic digestion model, because there is no specific source or justification for the default in the IPCC methodology.</w:t>
      </w:r>
    </w:p>
    <w:p w14:paraId="4ADA5AB5" w14:textId="77777777" w:rsidR="00BC0FD7" w:rsidRPr="001D5327" w:rsidRDefault="00BC0FD7" w:rsidP="00BC0FD7">
      <w:pPr>
        <w:pStyle w:val="BodyText"/>
        <w:spacing w:after="100"/>
      </w:pPr>
      <w:r w:rsidRPr="001D5327">
        <w:t xml:space="preserve">Decay rates (k-values) are determined by climate and material composition, using the IPCC default values (2006a). While the k-values used in the past four submissions of the Inventory were derived from Eunomia (unpublished(a)), it was decided to revert to the default IPCC values, due to the limited number of site-specific models available to calibrate decay rate performance accurately. </w:t>
      </w:r>
    </w:p>
    <w:p w14:paraId="35D69C3C" w14:textId="77777777" w:rsidR="00BC0FD7" w:rsidRPr="001D5327" w:rsidRDefault="00BC0FD7" w:rsidP="00BC0FD7">
      <w:pPr>
        <w:pStyle w:val="Heading6"/>
      </w:pPr>
      <w:bookmarkStart w:id="2835" w:name="gas-recovery"/>
      <w:bookmarkEnd w:id="2833"/>
      <w:r w:rsidRPr="001D5327">
        <w:t>Methane recovery</w:t>
      </w:r>
    </w:p>
    <w:p w14:paraId="05347268" w14:textId="77777777" w:rsidR="00BC0FD7" w:rsidRPr="001D5327" w:rsidRDefault="00BC0FD7" w:rsidP="00BC0FD7">
      <w:pPr>
        <w:pStyle w:val="BodyText"/>
      </w:pPr>
      <w:r w:rsidRPr="001D5327">
        <w:t>Country-specific CH</w:t>
      </w:r>
      <w:r w:rsidRPr="001D5327">
        <w:rPr>
          <w:vertAlign w:val="subscript"/>
        </w:rPr>
        <w:t>4</w:t>
      </w:r>
      <w:r w:rsidRPr="001D5327">
        <w:t xml:space="preserve"> recovery rates were gathered from a range of open and closed facilities, varying in size from small to large. These data were provided to the Ministry for the Environment through a voluntary survey conducted in 2024. To estimate LFG collection efficiency for each site, several assumptions were made regarding the following parameters.</w:t>
      </w:r>
    </w:p>
    <w:p w14:paraId="4815B3A2" w14:textId="77777777" w:rsidR="00BC0FD7" w:rsidRPr="001D5327" w:rsidRDefault="00BC0FD7" w:rsidP="00BC0FD7">
      <w:pPr>
        <w:pStyle w:val="Bullet"/>
      </w:pPr>
      <w:r w:rsidRPr="001D5327">
        <w:t>Gas capture cover type and capture rate: Coverage values for all sites were derived from the survey data. For sites that provided comprehensive data, site-specific recovery rates were applied. For non-participatory landfills or those that did not provide sufficient quality data, a default recovery rate of 20 per cent was applied, based on IPCC default values. Assumed capture rates (without losses) for each cover type were estimated based on international LFG modelling (Gregory, 2017).</w:t>
      </w:r>
    </w:p>
    <w:p w14:paraId="03991C01" w14:textId="4FB30557" w:rsidR="00BC0FD7" w:rsidRPr="001D5327" w:rsidRDefault="00BC0FD7" w:rsidP="00BC0FD7">
      <w:pPr>
        <w:pStyle w:val="Bullet"/>
        <w:rPr>
          <w:lang w:eastAsia="en-US"/>
        </w:rPr>
      </w:pPr>
      <w:r w:rsidRPr="001D5327">
        <w:rPr>
          <w:lang w:eastAsia="en-US"/>
        </w:rPr>
        <w:t>Capture rate losses: Assumptions were made regarding loss rates at each site’s LFG system at different stages of its life cycle. A 10 per cent loss in capture rate was assumed once gas</w:t>
      </w:r>
      <w:r w:rsidR="003F76CE" w:rsidRPr="001D5327">
        <w:rPr>
          <w:lang w:eastAsia="en-US"/>
        </w:rPr>
        <w:t> </w:t>
      </w:r>
      <w:r w:rsidRPr="001D5327">
        <w:rPr>
          <w:lang w:eastAsia="en-US"/>
        </w:rPr>
        <w:t>collection begins but before flaring is introduced. This loss increases to 10 per cent to 20</w:t>
      </w:r>
      <w:r w:rsidR="003F76CE" w:rsidRPr="001D5327">
        <w:rPr>
          <w:lang w:eastAsia="en-US"/>
        </w:rPr>
        <w:t> </w:t>
      </w:r>
      <w:r w:rsidRPr="001D5327">
        <w:rPr>
          <w:lang w:eastAsia="en-US"/>
        </w:rPr>
        <w:t>per cent after flaring starts. After LFG collection ceases (assumed to be 15 years after flaring begins), the loss rate drops to zero.</w:t>
      </w:r>
    </w:p>
    <w:p w14:paraId="23D41726" w14:textId="77777777" w:rsidR="00BC0FD7" w:rsidRPr="001D5327" w:rsidRDefault="00BC0FD7" w:rsidP="00BC0FD7">
      <w:pPr>
        <w:pStyle w:val="Bullet"/>
        <w:rPr>
          <w:lang w:eastAsia="en-US"/>
        </w:rPr>
      </w:pPr>
      <w:r w:rsidRPr="001D5327">
        <w:rPr>
          <w:lang w:eastAsia="en-US"/>
        </w:rPr>
        <w:t>Cover type losses after filling: Expert judgement was applied to assumptions regarding the transition from operational areas to permanently capped areas once landfill operations cease. It is assumed that operational areas reduce by 100 per cent (to 0 hectares) in the year following the cessation of operations. The area covered by temporary caps is expected to decrease to zero over time, while the area covered by permanent caps is expected to increase to 100 per cent.</w:t>
      </w:r>
    </w:p>
    <w:p w14:paraId="1A88DCE8" w14:textId="77777777" w:rsidR="00BC0FD7" w:rsidRPr="001D5327" w:rsidRDefault="00BC0FD7" w:rsidP="00BC0FD7">
      <w:pPr>
        <w:pStyle w:val="Bullet"/>
        <w:rPr>
          <w:lang w:eastAsia="en-US"/>
        </w:rPr>
      </w:pPr>
      <w:r w:rsidRPr="001D5327">
        <w:rPr>
          <w:lang w:eastAsia="en-US"/>
        </w:rPr>
        <w:lastRenderedPageBreak/>
        <w:t>Capture rate before operations: A capture rate of 0 per cent is assumed before the implementation of LFG systems.</w:t>
      </w:r>
    </w:p>
    <w:p w14:paraId="0F8F6A6E" w14:textId="77777777" w:rsidR="00BC0FD7" w:rsidRPr="001D5327" w:rsidRDefault="00BC0FD7" w:rsidP="00BC0FD7">
      <w:pPr>
        <w:pStyle w:val="BodyText"/>
      </w:pPr>
      <w:r w:rsidRPr="001D5327">
        <w:t>In general, higher recovery rates are associated with modern, large and well-managed facilities that have more efficient systems compared with other sites. While the Ministry for the Environment aims to collect additional country-specific capture data regularly, to revise these assumptions, it is important to note these data cannot be made publicly available because they are commercially sensitive.</w:t>
      </w:r>
    </w:p>
    <w:p w14:paraId="0BF2AFA4" w14:textId="77777777" w:rsidR="00BC0FD7" w:rsidRPr="001D5327" w:rsidRDefault="00BC0FD7" w:rsidP="00BC0FD7">
      <w:pPr>
        <w:pStyle w:val="Heading6"/>
      </w:pPr>
      <w:bookmarkStart w:id="2836" w:name="summary-of-parameters-used"/>
      <w:bookmarkEnd w:id="2835"/>
      <w:r w:rsidRPr="001D5327">
        <w:t>Summary of parameters used</w:t>
      </w:r>
    </w:p>
    <w:p w14:paraId="7848EA76" w14:textId="77777777" w:rsidR="00BC0FD7" w:rsidRPr="001D5327" w:rsidRDefault="00BC0FD7" w:rsidP="00BC0FD7">
      <w:pPr>
        <w:pStyle w:val="BodyText"/>
      </w:pPr>
      <w:r w:rsidRPr="001D5327">
        <w:t>Table 7.2.7 summarises the parameter values applied for estimating CH</w:t>
      </w:r>
      <w:r w:rsidRPr="001D5327">
        <w:rPr>
          <w:vertAlign w:val="subscript"/>
        </w:rPr>
        <w:t>4</w:t>
      </w:r>
      <w:r w:rsidRPr="001D5327">
        <w:t xml:space="preserve"> emissions for solid waste disposed to municipal landfills.</w:t>
      </w:r>
    </w:p>
    <w:p w14:paraId="2057A070" w14:textId="77777777" w:rsidR="00BC0FD7" w:rsidRPr="001D5327" w:rsidRDefault="00BC0FD7" w:rsidP="00BC0FD7">
      <w:pPr>
        <w:pStyle w:val="Table"/>
      </w:pPr>
      <w:bookmarkStart w:id="2837" w:name="_Toc194241805"/>
      <w:r w:rsidRPr="001D5327">
        <w:t xml:space="preserve">Table 7.2.7 </w:t>
      </w:r>
      <w:r w:rsidRPr="001D5327">
        <w:tab/>
        <w:t>Summary of parameters for municipal landfills</w:t>
      </w:r>
      <w:bookmarkEnd w:id="2837"/>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694"/>
        <w:gridCol w:w="2126"/>
        <w:gridCol w:w="1417"/>
        <w:gridCol w:w="2257"/>
      </w:tblGrid>
      <w:tr w:rsidR="00BC0FD7" w:rsidRPr="001D5327" w14:paraId="5EC2ECCE" w14:textId="77777777" w:rsidTr="00D11AC9">
        <w:trPr>
          <w:tblHeader/>
        </w:trPr>
        <w:tc>
          <w:tcPr>
            <w:tcW w:w="2694" w:type="dxa"/>
            <w:shd w:val="clear" w:color="auto" w:fill="1B556B"/>
            <w:tcMar>
              <w:top w:w="0" w:type="dxa"/>
              <w:left w:w="85" w:type="dxa"/>
              <w:bottom w:w="0" w:type="dxa"/>
              <w:right w:w="85" w:type="dxa"/>
            </w:tcMar>
          </w:tcPr>
          <w:p w14:paraId="5CB2ADFF"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Parameter</w:t>
            </w:r>
          </w:p>
        </w:tc>
        <w:tc>
          <w:tcPr>
            <w:tcW w:w="2126" w:type="dxa"/>
            <w:shd w:val="clear" w:color="auto" w:fill="1B556B"/>
            <w:tcMar>
              <w:top w:w="0" w:type="dxa"/>
              <w:left w:w="85" w:type="dxa"/>
              <w:bottom w:w="0" w:type="dxa"/>
              <w:right w:w="85" w:type="dxa"/>
            </w:tcMar>
          </w:tcPr>
          <w:p w14:paraId="4DC9EA26"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Values</w:t>
            </w:r>
          </w:p>
        </w:tc>
        <w:tc>
          <w:tcPr>
            <w:tcW w:w="1417" w:type="dxa"/>
            <w:shd w:val="clear" w:color="auto" w:fill="1B556B"/>
            <w:tcMar>
              <w:top w:w="0" w:type="dxa"/>
              <w:left w:w="85" w:type="dxa"/>
              <w:bottom w:w="0" w:type="dxa"/>
              <w:right w:w="85" w:type="dxa"/>
            </w:tcMar>
          </w:tcPr>
          <w:p w14:paraId="56289DD4"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Source</w:t>
            </w:r>
          </w:p>
        </w:tc>
        <w:tc>
          <w:tcPr>
            <w:tcW w:w="2257" w:type="dxa"/>
            <w:shd w:val="clear" w:color="auto" w:fill="1B556B"/>
            <w:tcMar>
              <w:top w:w="0" w:type="dxa"/>
              <w:left w:w="85" w:type="dxa"/>
              <w:bottom w:w="0" w:type="dxa"/>
              <w:right w:w="85" w:type="dxa"/>
            </w:tcMar>
          </w:tcPr>
          <w:p w14:paraId="6F3BA8AD"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Reference</w:t>
            </w:r>
          </w:p>
        </w:tc>
      </w:tr>
      <w:tr w:rsidR="00BC0FD7" w:rsidRPr="001D5327" w14:paraId="0A5475B4" w14:textId="77777777" w:rsidTr="00D11AC9">
        <w:tc>
          <w:tcPr>
            <w:tcW w:w="2694" w:type="dxa"/>
            <w:shd w:val="clear" w:color="auto" w:fill="FFFFFF"/>
            <w:tcMar>
              <w:top w:w="0" w:type="dxa"/>
              <w:left w:w="85" w:type="dxa"/>
              <w:bottom w:w="0" w:type="dxa"/>
              <w:right w:w="85" w:type="dxa"/>
            </w:tcMar>
          </w:tcPr>
          <w:p w14:paraId="770393B1" w14:textId="77777777" w:rsidR="00BC0FD7" w:rsidRPr="001D5327" w:rsidRDefault="00BC0FD7" w:rsidP="00D11AC9">
            <w:pPr>
              <w:pStyle w:val="Tableboldblue"/>
            </w:pPr>
            <w:r w:rsidRPr="001D5327">
              <w:t>Managed landfills</w:t>
            </w:r>
          </w:p>
        </w:tc>
        <w:tc>
          <w:tcPr>
            <w:tcW w:w="2126" w:type="dxa"/>
            <w:shd w:val="clear" w:color="auto" w:fill="FFFFFF"/>
            <w:tcMar>
              <w:top w:w="0" w:type="dxa"/>
              <w:left w:w="85" w:type="dxa"/>
              <w:bottom w:w="0" w:type="dxa"/>
              <w:right w:w="85" w:type="dxa"/>
            </w:tcMar>
          </w:tcPr>
          <w:p w14:paraId="5F45ECFA" w14:textId="77777777" w:rsidR="00BC0FD7" w:rsidRPr="001D5327" w:rsidRDefault="00BC0FD7" w:rsidP="00D11AC9">
            <w:pPr>
              <w:pStyle w:val="Tableboldblue"/>
            </w:pPr>
          </w:p>
        </w:tc>
        <w:tc>
          <w:tcPr>
            <w:tcW w:w="1417" w:type="dxa"/>
            <w:shd w:val="clear" w:color="auto" w:fill="FFFFFF"/>
            <w:tcMar>
              <w:top w:w="0" w:type="dxa"/>
              <w:left w:w="85" w:type="dxa"/>
              <w:bottom w:w="0" w:type="dxa"/>
              <w:right w:w="85" w:type="dxa"/>
            </w:tcMar>
          </w:tcPr>
          <w:p w14:paraId="18A12071" w14:textId="77777777" w:rsidR="00BC0FD7" w:rsidRPr="001D5327" w:rsidRDefault="00BC0FD7" w:rsidP="00D11AC9">
            <w:pPr>
              <w:pStyle w:val="Tableboldblue"/>
            </w:pPr>
          </w:p>
        </w:tc>
        <w:tc>
          <w:tcPr>
            <w:tcW w:w="2257" w:type="dxa"/>
            <w:shd w:val="clear" w:color="auto" w:fill="FFFFFF"/>
            <w:tcMar>
              <w:top w:w="0" w:type="dxa"/>
              <w:left w:w="85" w:type="dxa"/>
              <w:bottom w:w="0" w:type="dxa"/>
              <w:right w:w="85" w:type="dxa"/>
            </w:tcMar>
          </w:tcPr>
          <w:p w14:paraId="78665EEC" w14:textId="77777777" w:rsidR="00BC0FD7" w:rsidRPr="001D5327" w:rsidRDefault="00BC0FD7" w:rsidP="00D11AC9">
            <w:pPr>
              <w:pStyle w:val="Tableboldblue"/>
            </w:pPr>
          </w:p>
        </w:tc>
      </w:tr>
      <w:tr w:rsidR="00BC0FD7" w:rsidRPr="001D5327" w14:paraId="66598956" w14:textId="77777777" w:rsidTr="00D11AC9">
        <w:tc>
          <w:tcPr>
            <w:tcW w:w="2694" w:type="dxa"/>
            <w:shd w:val="clear" w:color="auto" w:fill="FFFFFF"/>
            <w:tcMar>
              <w:top w:w="0" w:type="dxa"/>
              <w:left w:w="85" w:type="dxa"/>
              <w:bottom w:w="0" w:type="dxa"/>
              <w:right w:w="85" w:type="dxa"/>
            </w:tcMar>
          </w:tcPr>
          <w:p w14:paraId="65343881" w14:textId="77777777" w:rsidR="00BC0FD7" w:rsidRPr="001D5327" w:rsidRDefault="00BC0FD7" w:rsidP="00D11AC9">
            <w:pPr>
              <w:pStyle w:val="TableText"/>
              <w:spacing w:before="40" w:after="40"/>
            </w:pPr>
            <w:r w:rsidRPr="001D5327">
              <w:rPr>
                <w:rFonts w:eastAsia="Calibri"/>
              </w:rPr>
              <w:t>k-value (by waste type and rainfall)</w:t>
            </w:r>
          </w:p>
        </w:tc>
        <w:tc>
          <w:tcPr>
            <w:tcW w:w="2126" w:type="dxa"/>
            <w:shd w:val="clear" w:color="auto" w:fill="FFFFFF"/>
            <w:tcMar>
              <w:top w:w="0" w:type="dxa"/>
              <w:left w:w="85" w:type="dxa"/>
              <w:bottom w:w="0" w:type="dxa"/>
              <w:right w:w="85" w:type="dxa"/>
            </w:tcMar>
          </w:tcPr>
          <w:p w14:paraId="1F689CF5" w14:textId="77777777" w:rsidR="00BC0FD7" w:rsidRPr="001D5327" w:rsidRDefault="00BC0FD7" w:rsidP="00D11AC9">
            <w:pPr>
              <w:pStyle w:val="TableText"/>
              <w:spacing w:before="40" w:after="40"/>
            </w:pPr>
            <w:r w:rsidRPr="001D5327">
              <w:rPr>
                <w:rFonts w:eastAsia="Calibri"/>
              </w:rPr>
              <w:t>0.030–0.185</w:t>
            </w:r>
          </w:p>
        </w:tc>
        <w:tc>
          <w:tcPr>
            <w:tcW w:w="1417" w:type="dxa"/>
            <w:shd w:val="clear" w:color="auto" w:fill="FFFFFF"/>
            <w:tcMar>
              <w:top w:w="0" w:type="dxa"/>
              <w:left w:w="85" w:type="dxa"/>
              <w:bottom w:w="0" w:type="dxa"/>
              <w:right w:w="85" w:type="dxa"/>
            </w:tcMar>
          </w:tcPr>
          <w:p w14:paraId="0B5A32A8" w14:textId="77777777" w:rsidR="00BC0FD7" w:rsidRPr="001D5327" w:rsidRDefault="00BC0FD7" w:rsidP="00D11AC9">
            <w:pPr>
              <w:pStyle w:val="TableText"/>
              <w:spacing w:before="40" w:after="40"/>
            </w:pPr>
            <w:r w:rsidRPr="001D5327">
              <w:rPr>
                <w:rFonts w:eastAsia="Calibri"/>
              </w:rPr>
              <w:t>IPCC default</w:t>
            </w:r>
          </w:p>
        </w:tc>
        <w:tc>
          <w:tcPr>
            <w:tcW w:w="2257" w:type="dxa"/>
            <w:shd w:val="clear" w:color="auto" w:fill="FFFFFF"/>
            <w:tcMar>
              <w:top w:w="0" w:type="dxa"/>
              <w:left w:w="85" w:type="dxa"/>
              <w:bottom w:w="0" w:type="dxa"/>
              <w:right w:w="85" w:type="dxa"/>
            </w:tcMar>
          </w:tcPr>
          <w:p w14:paraId="1E560DBB" w14:textId="77777777" w:rsidR="00BC0FD7" w:rsidRPr="001D5327" w:rsidRDefault="00BC0FD7" w:rsidP="00D11AC9">
            <w:pPr>
              <w:pStyle w:val="TableText"/>
              <w:spacing w:before="40" w:after="40"/>
            </w:pPr>
            <w:r w:rsidRPr="001D5327">
              <w:rPr>
                <w:rFonts w:eastAsia="Calibri"/>
              </w:rPr>
              <w:t>IPCC (2006a)</w:t>
            </w:r>
          </w:p>
        </w:tc>
      </w:tr>
      <w:tr w:rsidR="00BC0FD7" w:rsidRPr="001D5327" w14:paraId="44CFB553" w14:textId="77777777" w:rsidTr="00D11AC9">
        <w:tc>
          <w:tcPr>
            <w:tcW w:w="2694" w:type="dxa"/>
            <w:shd w:val="clear" w:color="auto" w:fill="FFFFFF"/>
            <w:tcMar>
              <w:top w:w="0" w:type="dxa"/>
              <w:left w:w="85" w:type="dxa"/>
              <w:bottom w:w="0" w:type="dxa"/>
              <w:right w:w="85" w:type="dxa"/>
            </w:tcMar>
          </w:tcPr>
          <w:p w14:paraId="13F6903F" w14:textId="77777777" w:rsidR="00BC0FD7" w:rsidRPr="001D5327" w:rsidRDefault="00BC0FD7" w:rsidP="00D11AC9">
            <w:pPr>
              <w:pStyle w:val="TableText"/>
              <w:spacing w:before="40" w:after="40"/>
            </w:pPr>
            <w:r w:rsidRPr="001D5327">
              <w:rPr>
                <w:rFonts w:eastAsia="Calibri"/>
              </w:rPr>
              <w:t>Methane correction factor</w:t>
            </w:r>
          </w:p>
        </w:tc>
        <w:tc>
          <w:tcPr>
            <w:tcW w:w="2126" w:type="dxa"/>
            <w:shd w:val="clear" w:color="auto" w:fill="FFFFFF"/>
            <w:tcMar>
              <w:top w:w="0" w:type="dxa"/>
              <w:left w:w="85" w:type="dxa"/>
              <w:bottom w:w="0" w:type="dxa"/>
              <w:right w:w="85" w:type="dxa"/>
            </w:tcMar>
          </w:tcPr>
          <w:p w14:paraId="750878DB" w14:textId="77777777" w:rsidR="00BC0FD7" w:rsidRPr="001D5327" w:rsidRDefault="00BC0FD7" w:rsidP="00D11AC9">
            <w:pPr>
              <w:pStyle w:val="TableText"/>
              <w:spacing w:before="40" w:after="40"/>
            </w:pPr>
            <w:r w:rsidRPr="001D5327">
              <w:rPr>
                <w:rFonts w:eastAsia="Calibri"/>
              </w:rPr>
              <w:t>1</w:t>
            </w:r>
          </w:p>
        </w:tc>
        <w:tc>
          <w:tcPr>
            <w:tcW w:w="1417" w:type="dxa"/>
            <w:shd w:val="clear" w:color="auto" w:fill="FFFFFF"/>
            <w:tcMar>
              <w:top w:w="0" w:type="dxa"/>
              <w:left w:w="85" w:type="dxa"/>
              <w:bottom w:w="0" w:type="dxa"/>
              <w:right w:w="85" w:type="dxa"/>
            </w:tcMar>
          </w:tcPr>
          <w:p w14:paraId="61115DB2" w14:textId="77777777" w:rsidR="00BC0FD7" w:rsidRPr="001D5327" w:rsidRDefault="00BC0FD7" w:rsidP="00D11AC9">
            <w:pPr>
              <w:pStyle w:val="TableText"/>
              <w:spacing w:before="40" w:after="40"/>
            </w:pPr>
            <w:r w:rsidRPr="001D5327">
              <w:rPr>
                <w:rFonts w:eastAsia="Calibri"/>
              </w:rPr>
              <w:t>IPCC default</w:t>
            </w:r>
          </w:p>
        </w:tc>
        <w:tc>
          <w:tcPr>
            <w:tcW w:w="2257" w:type="dxa"/>
            <w:shd w:val="clear" w:color="auto" w:fill="FFFFFF"/>
            <w:tcMar>
              <w:top w:w="0" w:type="dxa"/>
              <w:left w:w="85" w:type="dxa"/>
              <w:bottom w:w="0" w:type="dxa"/>
              <w:right w:w="85" w:type="dxa"/>
            </w:tcMar>
          </w:tcPr>
          <w:p w14:paraId="7244647B" w14:textId="77777777" w:rsidR="00BC0FD7" w:rsidRPr="001D5327" w:rsidRDefault="00BC0FD7" w:rsidP="00D11AC9">
            <w:pPr>
              <w:pStyle w:val="TableText"/>
              <w:spacing w:before="40" w:after="40"/>
            </w:pPr>
            <w:r w:rsidRPr="001D5327">
              <w:rPr>
                <w:rFonts w:eastAsia="Calibri"/>
              </w:rPr>
              <w:t>IPCC (2006a)</w:t>
            </w:r>
          </w:p>
        </w:tc>
      </w:tr>
      <w:tr w:rsidR="00BC0FD7" w:rsidRPr="001D5327" w14:paraId="779D499C" w14:textId="77777777" w:rsidTr="00D11AC9">
        <w:tc>
          <w:tcPr>
            <w:tcW w:w="2694" w:type="dxa"/>
            <w:shd w:val="clear" w:color="auto" w:fill="FFFFFF"/>
            <w:tcMar>
              <w:top w:w="0" w:type="dxa"/>
              <w:left w:w="85" w:type="dxa"/>
              <w:bottom w:w="0" w:type="dxa"/>
              <w:right w:w="85" w:type="dxa"/>
            </w:tcMar>
          </w:tcPr>
          <w:p w14:paraId="6F6C07B1" w14:textId="77777777" w:rsidR="00BC0FD7" w:rsidRPr="001D5327" w:rsidRDefault="00BC0FD7" w:rsidP="00D11AC9">
            <w:pPr>
              <w:pStyle w:val="TableText"/>
              <w:spacing w:before="40" w:after="40"/>
            </w:pPr>
            <w:r w:rsidRPr="001D5327">
              <w:rPr>
                <w:rFonts w:eastAsia="Calibri"/>
              </w:rPr>
              <w:t>Oxidation factor</w:t>
            </w:r>
          </w:p>
        </w:tc>
        <w:tc>
          <w:tcPr>
            <w:tcW w:w="2126" w:type="dxa"/>
            <w:shd w:val="clear" w:color="auto" w:fill="FFFFFF"/>
            <w:tcMar>
              <w:top w:w="0" w:type="dxa"/>
              <w:left w:w="85" w:type="dxa"/>
              <w:bottom w:w="0" w:type="dxa"/>
              <w:right w:w="85" w:type="dxa"/>
            </w:tcMar>
          </w:tcPr>
          <w:p w14:paraId="1E7009A3" w14:textId="77777777" w:rsidR="00BC0FD7" w:rsidRPr="001D5327" w:rsidRDefault="00BC0FD7" w:rsidP="00D11AC9">
            <w:pPr>
              <w:pStyle w:val="TableText"/>
              <w:spacing w:before="40" w:after="40"/>
            </w:pPr>
            <w:r w:rsidRPr="001D5327">
              <w:rPr>
                <w:rFonts w:eastAsia="Calibri"/>
              </w:rPr>
              <w:t>10 per cent</w:t>
            </w:r>
          </w:p>
        </w:tc>
        <w:tc>
          <w:tcPr>
            <w:tcW w:w="1417" w:type="dxa"/>
            <w:shd w:val="clear" w:color="auto" w:fill="FFFFFF"/>
            <w:tcMar>
              <w:top w:w="0" w:type="dxa"/>
              <w:left w:w="85" w:type="dxa"/>
              <w:bottom w:w="0" w:type="dxa"/>
              <w:right w:w="85" w:type="dxa"/>
            </w:tcMar>
          </w:tcPr>
          <w:p w14:paraId="4B2E8144" w14:textId="77777777" w:rsidR="00BC0FD7" w:rsidRPr="001D5327" w:rsidRDefault="00BC0FD7" w:rsidP="00D11AC9">
            <w:pPr>
              <w:pStyle w:val="TableText"/>
              <w:spacing w:before="40" w:after="40"/>
            </w:pPr>
            <w:r w:rsidRPr="001D5327">
              <w:rPr>
                <w:rFonts w:eastAsia="Calibri"/>
              </w:rPr>
              <w:t>IPCC default</w:t>
            </w:r>
          </w:p>
        </w:tc>
        <w:tc>
          <w:tcPr>
            <w:tcW w:w="2257" w:type="dxa"/>
            <w:shd w:val="clear" w:color="auto" w:fill="FFFFFF"/>
            <w:tcMar>
              <w:top w:w="0" w:type="dxa"/>
              <w:left w:w="85" w:type="dxa"/>
              <w:bottom w:w="0" w:type="dxa"/>
              <w:right w:w="85" w:type="dxa"/>
            </w:tcMar>
          </w:tcPr>
          <w:p w14:paraId="5221D961" w14:textId="77777777" w:rsidR="00BC0FD7" w:rsidRPr="001D5327" w:rsidRDefault="00BC0FD7" w:rsidP="00D11AC9">
            <w:pPr>
              <w:pStyle w:val="TableText"/>
              <w:spacing w:before="40" w:after="40"/>
            </w:pPr>
            <w:r w:rsidRPr="001D5327">
              <w:rPr>
                <w:rFonts w:eastAsia="Calibri"/>
              </w:rPr>
              <w:t>IPCC (2006a)</w:t>
            </w:r>
          </w:p>
        </w:tc>
      </w:tr>
      <w:tr w:rsidR="00BC0FD7" w:rsidRPr="001D5327" w14:paraId="6E28B7A0" w14:textId="77777777" w:rsidTr="00D11AC9">
        <w:tc>
          <w:tcPr>
            <w:tcW w:w="2694" w:type="dxa"/>
            <w:shd w:val="clear" w:color="auto" w:fill="FFFFFF"/>
            <w:tcMar>
              <w:top w:w="0" w:type="dxa"/>
              <w:left w:w="85" w:type="dxa"/>
              <w:bottom w:w="0" w:type="dxa"/>
              <w:right w:w="85" w:type="dxa"/>
            </w:tcMar>
          </w:tcPr>
          <w:p w14:paraId="681DCAAC" w14:textId="77777777" w:rsidR="00BC0FD7" w:rsidRPr="001D5327" w:rsidRDefault="00BC0FD7" w:rsidP="00D11AC9">
            <w:pPr>
              <w:pStyle w:val="TableText"/>
              <w:spacing w:before="40" w:after="40"/>
            </w:pPr>
            <w:r w:rsidRPr="001D5327">
              <w:rPr>
                <w:rFonts w:eastAsia="Calibri"/>
              </w:rPr>
              <w:t>Recovery efficiency</w:t>
            </w:r>
          </w:p>
        </w:tc>
        <w:tc>
          <w:tcPr>
            <w:tcW w:w="2126" w:type="dxa"/>
            <w:shd w:val="clear" w:color="auto" w:fill="FFFFFF"/>
            <w:tcMar>
              <w:top w:w="0" w:type="dxa"/>
              <w:left w:w="85" w:type="dxa"/>
              <w:bottom w:w="0" w:type="dxa"/>
              <w:right w:w="85" w:type="dxa"/>
            </w:tcMar>
          </w:tcPr>
          <w:p w14:paraId="59F522FE" w14:textId="77777777" w:rsidR="00BC0FD7" w:rsidRPr="001D5327" w:rsidRDefault="00BC0FD7" w:rsidP="00D11AC9">
            <w:pPr>
              <w:pStyle w:val="TableText"/>
              <w:spacing w:before="40" w:after="40"/>
            </w:pPr>
            <w:r w:rsidRPr="001D5327">
              <w:rPr>
                <w:rFonts w:eastAsia="Calibri"/>
              </w:rPr>
              <w:t xml:space="preserve">30–80 per cent (site specific) </w:t>
            </w:r>
            <w:r w:rsidRPr="001D5327">
              <w:rPr>
                <w:rFonts w:eastAsia="Calibri"/>
              </w:rPr>
              <w:br/>
              <w:t>0 per cent (no recovery)</w:t>
            </w:r>
          </w:p>
        </w:tc>
        <w:tc>
          <w:tcPr>
            <w:tcW w:w="1417" w:type="dxa"/>
            <w:shd w:val="clear" w:color="auto" w:fill="FFFFFF"/>
            <w:tcMar>
              <w:top w:w="0" w:type="dxa"/>
              <w:left w:w="85" w:type="dxa"/>
              <w:bottom w:w="0" w:type="dxa"/>
              <w:right w:w="85" w:type="dxa"/>
            </w:tcMar>
          </w:tcPr>
          <w:p w14:paraId="2C4C4371" w14:textId="77777777" w:rsidR="00BC0FD7" w:rsidRPr="001D5327" w:rsidRDefault="00BC0FD7" w:rsidP="00D11AC9">
            <w:pPr>
              <w:pStyle w:val="TableText"/>
              <w:spacing w:before="40" w:after="40"/>
            </w:pPr>
            <w:r w:rsidRPr="001D5327">
              <w:rPr>
                <w:rFonts w:eastAsia="Calibri"/>
              </w:rPr>
              <w:t>Site specific</w:t>
            </w:r>
          </w:p>
        </w:tc>
        <w:tc>
          <w:tcPr>
            <w:tcW w:w="2257" w:type="dxa"/>
            <w:shd w:val="clear" w:color="auto" w:fill="FFFFFF"/>
            <w:tcMar>
              <w:top w:w="0" w:type="dxa"/>
              <w:left w:w="85" w:type="dxa"/>
              <w:bottom w:w="0" w:type="dxa"/>
              <w:right w:w="85" w:type="dxa"/>
            </w:tcMar>
          </w:tcPr>
          <w:p w14:paraId="04C3FF60" w14:textId="77777777" w:rsidR="00BC0FD7" w:rsidRPr="001D5327" w:rsidRDefault="00BC0FD7" w:rsidP="00D11AC9">
            <w:pPr>
              <w:pStyle w:val="TableText"/>
              <w:spacing w:before="40" w:after="40"/>
            </w:pPr>
            <w:r w:rsidRPr="001D5327">
              <w:rPr>
                <w:rFonts w:eastAsia="Calibri"/>
              </w:rPr>
              <w:t>Eunomia (unpublished(d))</w:t>
            </w:r>
          </w:p>
        </w:tc>
      </w:tr>
      <w:tr w:rsidR="00BC0FD7" w:rsidRPr="001D5327" w14:paraId="1875F2C2" w14:textId="77777777" w:rsidTr="00D11AC9">
        <w:tc>
          <w:tcPr>
            <w:tcW w:w="2694" w:type="dxa"/>
            <w:shd w:val="clear" w:color="auto" w:fill="FFFFFF"/>
            <w:tcMar>
              <w:top w:w="0" w:type="dxa"/>
              <w:left w:w="85" w:type="dxa"/>
              <w:bottom w:w="0" w:type="dxa"/>
              <w:right w:w="85" w:type="dxa"/>
            </w:tcMar>
          </w:tcPr>
          <w:p w14:paraId="2B196658" w14:textId="77777777" w:rsidR="00BC0FD7" w:rsidRPr="001D5327" w:rsidRDefault="00BC0FD7" w:rsidP="00D11AC9">
            <w:pPr>
              <w:pStyle w:val="TableText"/>
              <w:spacing w:before="40" w:after="40"/>
            </w:pPr>
            <w:r w:rsidRPr="001D5327">
              <w:rPr>
                <w:rFonts w:eastAsia="Calibri"/>
              </w:rPr>
              <w:t>DDOC (kt C/kt waste) </w:t>
            </w:r>
          </w:p>
        </w:tc>
        <w:tc>
          <w:tcPr>
            <w:tcW w:w="2126" w:type="dxa"/>
            <w:shd w:val="clear" w:color="auto" w:fill="FFFFFF"/>
            <w:tcMar>
              <w:top w:w="0" w:type="dxa"/>
              <w:left w:w="85" w:type="dxa"/>
              <w:bottom w:w="0" w:type="dxa"/>
              <w:right w:w="85" w:type="dxa"/>
            </w:tcMar>
          </w:tcPr>
          <w:p w14:paraId="08780322" w14:textId="77777777" w:rsidR="00BC0FD7" w:rsidRPr="001D5327" w:rsidRDefault="00BC0FD7" w:rsidP="00D11AC9">
            <w:pPr>
              <w:pStyle w:val="TableText"/>
              <w:spacing w:before="40" w:after="40"/>
            </w:pPr>
            <w:r w:rsidRPr="001D5327">
              <w:rPr>
                <w:rFonts w:eastAsia="Calibri"/>
              </w:rPr>
              <w:t>0.05–0.43</w:t>
            </w:r>
          </w:p>
        </w:tc>
        <w:tc>
          <w:tcPr>
            <w:tcW w:w="1417" w:type="dxa"/>
            <w:shd w:val="clear" w:color="auto" w:fill="FFFFFF"/>
            <w:tcMar>
              <w:top w:w="0" w:type="dxa"/>
              <w:left w:w="85" w:type="dxa"/>
              <w:bottom w:w="0" w:type="dxa"/>
              <w:right w:w="85" w:type="dxa"/>
            </w:tcMar>
          </w:tcPr>
          <w:p w14:paraId="7F1CD590" w14:textId="77777777" w:rsidR="00BC0FD7" w:rsidRPr="001D5327" w:rsidRDefault="00BC0FD7" w:rsidP="00D11AC9">
            <w:pPr>
              <w:pStyle w:val="TableText"/>
              <w:spacing w:before="40" w:after="40"/>
            </w:pPr>
            <w:r w:rsidRPr="001D5327">
              <w:rPr>
                <w:rFonts w:eastAsia="Calibri"/>
              </w:rPr>
              <w:t>Country specific</w:t>
            </w:r>
          </w:p>
        </w:tc>
        <w:tc>
          <w:tcPr>
            <w:tcW w:w="2257" w:type="dxa"/>
            <w:shd w:val="clear" w:color="auto" w:fill="FFFFFF"/>
            <w:tcMar>
              <w:top w:w="0" w:type="dxa"/>
              <w:left w:w="85" w:type="dxa"/>
              <w:bottom w:w="0" w:type="dxa"/>
              <w:right w:w="85" w:type="dxa"/>
            </w:tcMar>
          </w:tcPr>
          <w:p w14:paraId="1039E795" w14:textId="77777777" w:rsidR="00BC0FD7" w:rsidRPr="001D5327" w:rsidRDefault="00BC0FD7" w:rsidP="00D11AC9">
            <w:pPr>
              <w:pStyle w:val="TableText"/>
              <w:spacing w:before="40" w:after="40"/>
            </w:pPr>
            <w:r w:rsidRPr="001D5327">
              <w:rPr>
                <w:rFonts w:eastAsia="Calibri"/>
              </w:rPr>
              <w:t>Eunomia (unpublished(a)), IPCC (2006a)</w:t>
            </w:r>
          </w:p>
        </w:tc>
      </w:tr>
      <w:tr w:rsidR="00BC0FD7" w:rsidRPr="001D5327" w14:paraId="60245234" w14:textId="77777777" w:rsidTr="00D11AC9">
        <w:tc>
          <w:tcPr>
            <w:tcW w:w="2694" w:type="dxa"/>
            <w:shd w:val="clear" w:color="auto" w:fill="FFFFFF"/>
            <w:tcMar>
              <w:top w:w="0" w:type="dxa"/>
              <w:left w:w="85" w:type="dxa"/>
              <w:bottom w:w="0" w:type="dxa"/>
              <w:right w:w="85" w:type="dxa"/>
            </w:tcMar>
          </w:tcPr>
          <w:p w14:paraId="7FEEB5B8" w14:textId="77777777" w:rsidR="00BC0FD7" w:rsidRPr="001D5327" w:rsidRDefault="00BC0FD7" w:rsidP="00D11AC9">
            <w:pPr>
              <w:pStyle w:val="TableText"/>
              <w:spacing w:before="40" w:after="40"/>
            </w:pPr>
            <w:r w:rsidRPr="001D5327">
              <w:rPr>
                <w:rFonts w:eastAsia="Calibri"/>
              </w:rPr>
              <w:t>DOCf that decomposes</w:t>
            </w:r>
          </w:p>
        </w:tc>
        <w:tc>
          <w:tcPr>
            <w:tcW w:w="2126" w:type="dxa"/>
            <w:shd w:val="clear" w:color="auto" w:fill="FFFFFF"/>
            <w:tcMar>
              <w:top w:w="0" w:type="dxa"/>
              <w:left w:w="85" w:type="dxa"/>
              <w:bottom w:w="0" w:type="dxa"/>
              <w:right w:w="85" w:type="dxa"/>
            </w:tcMar>
          </w:tcPr>
          <w:p w14:paraId="03BE4B5C" w14:textId="77777777" w:rsidR="00BC0FD7" w:rsidRPr="001D5327" w:rsidRDefault="00BC0FD7" w:rsidP="00D11AC9">
            <w:pPr>
              <w:pStyle w:val="TableText"/>
              <w:spacing w:before="40" w:after="40"/>
            </w:pPr>
            <w:r w:rsidRPr="001D5327">
              <w:rPr>
                <w:rFonts w:eastAsia="Calibri"/>
              </w:rPr>
              <w:t>0.14–0.7</w:t>
            </w:r>
          </w:p>
        </w:tc>
        <w:tc>
          <w:tcPr>
            <w:tcW w:w="1417" w:type="dxa"/>
            <w:shd w:val="clear" w:color="auto" w:fill="FFFFFF"/>
            <w:tcMar>
              <w:top w:w="0" w:type="dxa"/>
              <w:left w:w="85" w:type="dxa"/>
              <w:bottom w:w="0" w:type="dxa"/>
              <w:right w:w="85" w:type="dxa"/>
            </w:tcMar>
          </w:tcPr>
          <w:p w14:paraId="365DB11C" w14:textId="77777777" w:rsidR="00BC0FD7" w:rsidRPr="001D5327" w:rsidRDefault="00BC0FD7" w:rsidP="00D11AC9">
            <w:pPr>
              <w:pStyle w:val="TableText"/>
              <w:spacing w:before="40" w:after="40"/>
            </w:pPr>
            <w:r w:rsidRPr="001D5327">
              <w:rPr>
                <w:rFonts w:eastAsia="Calibri"/>
              </w:rPr>
              <w:t>Country specific</w:t>
            </w:r>
          </w:p>
        </w:tc>
        <w:tc>
          <w:tcPr>
            <w:tcW w:w="2257" w:type="dxa"/>
            <w:shd w:val="clear" w:color="auto" w:fill="FFFFFF"/>
            <w:tcMar>
              <w:top w:w="0" w:type="dxa"/>
              <w:left w:w="85" w:type="dxa"/>
              <w:bottom w:w="0" w:type="dxa"/>
              <w:right w:w="85" w:type="dxa"/>
            </w:tcMar>
          </w:tcPr>
          <w:p w14:paraId="43604AD9" w14:textId="77777777" w:rsidR="00BC0FD7" w:rsidRPr="001D5327" w:rsidRDefault="00BC0FD7" w:rsidP="00D11AC9">
            <w:pPr>
              <w:pStyle w:val="TableText"/>
              <w:spacing w:before="40" w:after="40"/>
            </w:pPr>
            <w:r w:rsidRPr="001D5327">
              <w:rPr>
                <w:rFonts w:eastAsia="Calibri"/>
              </w:rPr>
              <w:t>Eunomia (unpublished(a)), IPCC (2006a)</w:t>
            </w:r>
          </w:p>
        </w:tc>
      </w:tr>
      <w:tr w:rsidR="00BC0FD7" w:rsidRPr="001D5327" w14:paraId="3B14962F" w14:textId="77777777" w:rsidTr="00D11AC9">
        <w:tc>
          <w:tcPr>
            <w:tcW w:w="2694" w:type="dxa"/>
            <w:shd w:val="clear" w:color="auto" w:fill="FFFFFF"/>
            <w:tcMar>
              <w:top w:w="0" w:type="dxa"/>
              <w:left w:w="85" w:type="dxa"/>
              <w:bottom w:w="0" w:type="dxa"/>
              <w:right w:w="85" w:type="dxa"/>
            </w:tcMar>
          </w:tcPr>
          <w:p w14:paraId="6C7279E4" w14:textId="77777777" w:rsidR="00BC0FD7" w:rsidRPr="001D5327" w:rsidRDefault="00BC0FD7" w:rsidP="00D11AC9">
            <w:pPr>
              <w:pStyle w:val="TableText"/>
              <w:spacing w:before="40" w:after="40"/>
            </w:pPr>
            <w:r w:rsidRPr="001D5327">
              <w:rPr>
                <w:rFonts w:eastAsia="Calibri"/>
              </w:rPr>
              <w:t>Fraction of methane in landfill gas (F)</w:t>
            </w:r>
          </w:p>
        </w:tc>
        <w:tc>
          <w:tcPr>
            <w:tcW w:w="2126" w:type="dxa"/>
            <w:shd w:val="clear" w:color="auto" w:fill="FFFFFF"/>
            <w:tcMar>
              <w:top w:w="0" w:type="dxa"/>
              <w:left w:w="85" w:type="dxa"/>
              <w:bottom w:w="0" w:type="dxa"/>
              <w:right w:w="85" w:type="dxa"/>
            </w:tcMar>
          </w:tcPr>
          <w:p w14:paraId="7EBB1A55" w14:textId="77777777" w:rsidR="00BC0FD7" w:rsidRPr="001D5327" w:rsidRDefault="00BC0FD7" w:rsidP="00D11AC9">
            <w:pPr>
              <w:pStyle w:val="TableText"/>
              <w:spacing w:before="40" w:after="40"/>
            </w:pPr>
            <w:r w:rsidRPr="001D5327">
              <w:rPr>
                <w:rFonts w:eastAsia="Calibri"/>
              </w:rPr>
              <w:t>0.5</w:t>
            </w:r>
          </w:p>
        </w:tc>
        <w:tc>
          <w:tcPr>
            <w:tcW w:w="1417" w:type="dxa"/>
            <w:shd w:val="clear" w:color="auto" w:fill="FFFFFF"/>
            <w:tcMar>
              <w:top w:w="0" w:type="dxa"/>
              <w:left w:w="85" w:type="dxa"/>
              <w:bottom w:w="0" w:type="dxa"/>
              <w:right w:w="85" w:type="dxa"/>
            </w:tcMar>
          </w:tcPr>
          <w:p w14:paraId="6AEE2E7B" w14:textId="77777777" w:rsidR="00BC0FD7" w:rsidRPr="001D5327" w:rsidRDefault="00BC0FD7" w:rsidP="00D11AC9">
            <w:pPr>
              <w:pStyle w:val="TableText"/>
              <w:spacing w:before="40" w:after="40"/>
            </w:pPr>
            <w:r w:rsidRPr="001D5327">
              <w:rPr>
                <w:rFonts w:eastAsia="Calibri"/>
              </w:rPr>
              <w:t>Country specific</w:t>
            </w:r>
          </w:p>
        </w:tc>
        <w:tc>
          <w:tcPr>
            <w:tcW w:w="2257" w:type="dxa"/>
            <w:shd w:val="clear" w:color="auto" w:fill="FFFFFF"/>
            <w:tcMar>
              <w:top w:w="0" w:type="dxa"/>
              <w:left w:w="85" w:type="dxa"/>
              <w:bottom w:w="0" w:type="dxa"/>
              <w:right w:w="85" w:type="dxa"/>
            </w:tcMar>
          </w:tcPr>
          <w:p w14:paraId="4E7A0B69" w14:textId="77777777" w:rsidR="00BC0FD7" w:rsidRPr="001D5327" w:rsidRDefault="00BC0FD7" w:rsidP="00D11AC9">
            <w:pPr>
              <w:pStyle w:val="TableText"/>
              <w:spacing w:before="40" w:after="40"/>
            </w:pPr>
            <w:r w:rsidRPr="001D5327">
              <w:rPr>
                <w:rFonts w:eastAsia="Calibri"/>
              </w:rPr>
              <w:t>IPCC (2006a)</w:t>
            </w:r>
          </w:p>
        </w:tc>
      </w:tr>
      <w:tr w:rsidR="00BC0FD7" w:rsidRPr="001D5327" w14:paraId="727F20CD" w14:textId="77777777" w:rsidTr="00D11AC9">
        <w:tc>
          <w:tcPr>
            <w:tcW w:w="2694" w:type="dxa"/>
            <w:shd w:val="clear" w:color="auto" w:fill="FFFFFF"/>
            <w:tcMar>
              <w:top w:w="0" w:type="dxa"/>
              <w:left w:w="85" w:type="dxa"/>
              <w:bottom w:w="0" w:type="dxa"/>
              <w:right w:w="85" w:type="dxa"/>
            </w:tcMar>
          </w:tcPr>
          <w:p w14:paraId="1FD25727" w14:textId="77777777" w:rsidR="00BC0FD7" w:rsidRPr="001D5327" w:rsidRDefault="00BC0FD7" w:rsidP="00D11AC9">
            <w:pPr>
              <w:pStyle w:val="Tableboldblue"/>
            </w:pPr>
            <w:r w:rsidRPr="001D5327">
              <w:t>Uncategorised landfills</w:t>
            </w:r>
          </w:p>
        </w:tc>
        <w:tc>
          <w:tcPr>
            <w:tcW w:w="2126" w:type="dxa"/>
            <w:shd w:val="clear" w:color="auto" w:fill="FFFFFF"/>
            <w:tcMar>
              <w:top w:w="0" w:type="dxa"/>
              <w:left w:w="85" w:type="dxa"/>
              <w:bottom w:w="0" w:type="dxa"/>
              <w:right w:w="85" w:type="dxa"/>
            </w:tcMar>
          </w:tcPr>
          <w:p w14:paraId="636630FB" w14:textId="77777777" w:rsidR="00BC0FD7" w:rsidRPr="001D5327" w:rsidRDefault="00BC0FD7" w:rsidP="00D11AC9">
            <w:pPr>
              <w:pStyle w:val="Tableboldblue"/>
            </w:pPr>
          </w:p>
        </w:tc>
        <w:tc>
          <w:tcPr>
            <w:tcW w:w="1417" w:type="dxa"/>
            <w:shd w:val="clear" w:color="auto" w:fill="FFFFFF"/>
            <w:tcMar>
              <w:top w:w="0" w:type="dxa"/>
              <w:left w:w="85" w:type="dxa"/>
              <w:bottom w:w="0" w:type="dxa"/>
              <w:right w:w="85" w:type="dxa"/>
            </w:tcMar>
          </w:tcPr>
          <w:p w14:paraId="627207C4" w14:textId="77777777" w:rsidR="00BC0FD7" w:rsidRPr="001D5327" w:rsidRDefault="00BC0FD7" w:rsidP="00D11AC9">
            <w:pPr>
              <w:pStyle w:val="Tableboldblue"/>
            </w:pPr>
          </w:p>
        </w:tc>
        <w:tc>
          <w:tcPr>
            <w:tcW w:w="2257" w:type="dxa"/>
            <w:shd w:val="clear" w:color="auto" w:fill="FFFFFF"/>
            <w:tcMar>
              <w:top w:w="0" w:type="dxa"/>
              <w:left w:w="85" w:type="dxa"/>
              <w:bottom w:w="0" w:type="dxa"/>
              <w:right w:w="85" w:type="dxa"/>
            </w:tcMar>
          </w:tcPr>
          <w:p w14:paraId="4BA0CA56" w14:textId="77777777" w:rsidR="00BC0FD7" w:rsidRPr="001D5327" w:rsidRDefault="00BC0FD7" w:rsidP="00D11AC9">
            <w:pPr>
              <w:pStyle w:val="Tableboldblue"/>
            </w:pPr>
          </w:p>
        </w:tc>
      </w:tr>
      <w:tr w:rsidR="00BC0FD7" w:rsidRPr="001D5327" w14:paraId="31A17A80" w14:textId="77777777" w:rsidTr="00D11AC9">
        <w:tc>
          <w:tcPr>
            <w:tcW w:w="2694" w:type="dxa"/>
            <w:shd w:val="clear" w:color="auto" w:fill="FFFFFF"/>
            <w:tcMar>
              <w:top w:w="0" w:type="dxa"/>
              <w:left w:w="85" w:type="dxa"/>
              <w:bottom w:w="0" w:type="dxa"/>
              <w:right w:w="85" w:type="dxa"/>
            </w:tcMar>
          </w:tcPr>
          <w:p w14:paraId="121A5754" w14:textId="77777777" w:rsidR="00BC0FD7" w:rsidRPr="001D5327" w:rsidRDefault="00BC0FD7" w:rsidP="00D11AC9">
            <w:pPr>
              <w:pStyle w:val="TableText"/>
              <w:spacing w:before="40" w:after="40"/>
            </w:pPr>
            <w:r w:rsidRPr="001D5327">
              <w:rPr>
                <w:rFonts w:eastAsia="Calibri"/>
              </w:rPr>
              <w:t>k-value (multi-phase by waste type)</w:t>
            </w:r>
          </w:p>
        </w:tc>
        <w:tc>
          <w:tcPr>
            <w:tcW w:w="2126" w:type="dxa"/>
            <w:shd w:val="clear" w:color="auto" w:fill="FFFFFF"/>
            <w:tcMar>
              <w:top w:w="0" w:type="dxa"/>
              <w:left w:w="85" w:type="dxa"/>
              <w:bottom w:w="0" w:type="dxa"/>
              <w:right w:w="85" w:type="dxa"/>
            </w:tcMar>
          </w:tcPr>
          <w:p w14:paraId="1794F8ED" w14:textId="77777777" w:rsidR="00BC0FD7" w:rsidRPr="001D5327" w:rsidRDefault="00BC0FD7" w:rsidP="00D11AC9">
            <w:pPr>
              <w:pStyle w:val="TableText"/>
              <w:spacing w:before="40" w:after="40"/>
            </w:pPr>
            <w:r w:rsidRPr="001D5327">
              <w:rPr>
                <w:rFonts w:eastAsia="Calibri"/>
              </w:rPr>
              <w:t>0.030–0.185</w:t>
            </w:r>
          </w:p>
        </w:tc>
        <w:tc>
          <w:tcPr>
            <w:tcW w:w="1417" w:type="dxa"/>
            <w:shd w:val="clear" w:color="auto" w:fill="FFFFFF"/>
            <w:tcMar>
              <w:top w:w="0" w:type="dxa"/>
              <w:left w:w="85" w:type="dxa"/>
              <w:bottom w:w="0" w:type="dxa"/>
              <w:right w:w="85" w:type="dxa"/>
            </w:tcMar>
          </w:tcPr>
          <w:p w14:paraId="491E538B" w14:textId="77777777" w:rsidR="00BC0FD7" w:rsidRPr="001D5327" w:rsidRDefault="00BC0FD7" w:rsidP="00D11AC9">
            <w:pPr>
              <w:pStyle w:val="TableText"/>
              <w:spacing w:before="40" w:after="40"/>
            </w:pPr>
            <w:r w:rsidRPr="001D5327">
              <w:rPr>
                <w:rFonts w:eastAsia="Calibri"/>
              </w:rPr>
              <w:t>IPCC default</w:t>
            </w:r>
          </w:p>
        </w:tc>
        <w:tc>
          <w:tcPr>
            <w:tcW w:w="2257" w:type="dxa"/>
            <w:shd w:val="clear" w:color="auto" w:fill="FFFFFF"/>
            <w:tcMar>
              <w:top w:w="0" w:type="dxa"/>
              <w:left w:w="85" w:type="dxa"/>
              <w:bottom w:w="0" w:type="dxa"/>
              <w:right w:w="85" w:type="dxa"/>
            </w:tcMar>
          </w:tcPr>
          <w:p w14:paraId="2B77E539" w14:textId="77777777" w:rsidR="00BC0FD7" w:rsidRPr="001D5327" w:rsidRDefault="00BC0FD7" w:rsidP="00D11AC9">
            <w:pPr>
              <w:pStyle w:val="TableText"/>
              <w:spacing w:before="40" w:after="40"/>
            </w:pPr>
            <w:r w:rsidRPr="001D5327">
              <w:rPr>
                <w:rFonts w:eastAsia="Calibri"/>
              </w:rPr>
              <w:t>IPCC (2006a)</w:t>
            </w:r>
          </w:p>
        </w:tc>
      </w:tr>
      <w:tr w:rsidR="00BC0FD7" w:rsidRPr="001D5327" w14:paraId="12B9DE64" w14:textId="77777777" w:rsidTr="00D11AC9">
        <w:tc>
          <w:tcPr>
            <w:tcW w:w="2694" w:type="dxa"/>
            <w:shd w:val="clear" w:color="auto" w:fill="FFFFFF"/>
            <w:tcMar>
              <w:top w:w="0" w:type="dxa"/>
              <w:left w:w="85" w:type="dxa"/>
              <w:bottom w:w="0" w:type="dxa"/>
              <w:right w:w="85" w:type="dxa"/>
            </w:tcMar>
          </w:tcPr>
          <w:p w14:paraId="1AE53C38" w14:textId="77777777" w:rsidR="00BC0FD7" w:rsidRPr="001D5327" w:rsidRDefault="00BC0FD7" w:rsidP="00D11AC9">
            <w:pPr>
              <w:pStyle w:val="TableText"/>
              <w:spacing w:before="40" w:after="40"/>
            </w:pPr>
            <w:r w:rsidRPr="001D5327">
              <w:rPr>
                <w:rFonts w:eastAsia="Calibri"/>
              </w:rPr>
              <w:t>Methane correction factor</w:t>
            </w:r>
          </w:p>
        </w:tc>
        <w:tc>
          <w:tcPr>
            <w:tcW w:w="2126" w:type="dxa"/>
            <w:shd w:val="clear" w:color="auto" w:fill="FFFFFF"/>
            <w:tcMar>
              <w:top w:w="0" w:type="dxa"/>
              <w:left w:w="85" w:type="dxa"/>
              <w:bottom w:w="0" w:type="dxa"/>
              <w:right w:w="85" w:type="dxa"/>
            </w:tcMar>
          </w:tcPr>
          <w:p w14:paraId="67440144" w14:textId="77777777" w:rsidR="00BC0FD7" w:rsidRPr="001D5327" w:rsidRDefault="00BC0FD7" w:rsidP="00D11AC9">
            <w:pPr>
              <w:pStyle w:val="TableText"/>
              <w:spacing w:before="40" w:after="40"/>
            </w:pPr>
            <w:r w:rsidRPr="001D5327">
              <w:rPr>
                <w:rFonts w:eastAsia="Calibri"/>
              </w:rPr>
              <w:t>0.6</w:t>
            </w:r>
          </w:p>
        </w:tc>
        <w:tc>
          <w:tcPr>
            <w:tcW w:w="1417" w:type="dxa"/>
            <w:shd w:val="clear" w:color="auto" w:fill="FFFFFF"/>
            <w:tcMar>
              <w:top w:w="0" w:type="dxa"/>
              <w:left w:w="85" w:type="dxa"/>
              <w:bottom w:w="0" w:type="dxa"/>
              <w:right w:w="85" w:type="dxa"/>
            </w:tcMar>
          </w:tcPr>
          <w:p w14:paraId="36F16E23" w14:textId="77777777" w:rsidR="00BC0FD7" w:rsidRPr="001D5327" w:rsidRDefault="00BC0FD7" w:rsidP="00D11AC9">
            <w:pPr>
              <w:pStyle w:val="TableText"/>
              <w:spacing w:before="40" w:after="40"/>
            </w:pPr>
            <w:r w:rsidRPr="001D5327">
              <w:rPr>
                <w:rFonts w:eastAsia="Calibri"/>
              </w:rPr>
              <w:t>IPCC default</w:t>
            </w:r>
          </w:p>
        </w:tc>
        <w:tc>
          <w:tcPr>
            <w:tcW w:w="2257" w:type="dxa"/>
            <w:shd w:val="clear" w:color="auto" w:fill="FFFFFF"/>
            <w:tcMar>
              <w:top w:w="0" w:type="dxa"/>
              <w:left w:w="85" w:type="dxa"/>
              <w:bottom w:w="0" w:type="dxa"/>
              <w:right w:w="85" w:type="dxa"/>
            </w:tcMar>
          </w:tcPr>
          <w:p w14:paraId="671B05C9" w14:textId="77777777" w:rsidR="00BC0FD7" w:rsidRPr="001D5327" w:rsidRDefault="00BC0FD7" w:rsidP="00D11AC9">
            <w:pPr>
              <w:pStyle w:val="TableText"/>
              <w:spacing w:before="40" w:after="40"/>
            </w:pPr>
            <w:r w:rsidRPr="001D5327">
              <w:rPr>
                <w:rFonts w:eastAsia="Calibri"/>
              </w:rPr>
              <w:t>IPCC (2006a)</w:t>
            </w:r>
          </w:p>
        </w:tc>
      </w:tr>
      <w:tr w:rsidR="00BC0FD7" w:rsidRPr="001D5327" w14:paraId="1EDB6BEF" w14:textId="77777777" w:rsidTr="00D11AC9">
        <w:tc>
          <w:tcPr>
            <w:tcW w:w="2694" w:type="dxa"/>
            <w:shd w:val="clear" w:color="auto" w:fill="FFFFFF"/>
            <w:tcMar>
              <w:top w:w="0" w:type="dxa"/>
              <w:left w:w="85" w:type="dxa"/>
              <w:bottom w:w="0" w:type="dxa"/>
              <w:right w:w="85" w:type="dxa"/>
            </w:tcMar>
          </w:tcPr>
          <w:p w14:paraId="7F956B28" w14:textId="77777777" w:rsidR="00BC0FD7" w:rsidRPr="001D5327" w:rsidRDefault="00BC0FD7" w:rsidP="00D11AC9">
            <w:pPr>
              <w:pStyle w:val="TableText"/>
              <w:spacing w:before="40" w:after="40"/>
            </w:pPr>
            <w:r w:rsidRPr="001D5327">
              <w:rPr>
                <w:rFonts w:eastAsia="Calibri"/>
              </w:rPr>
              <w:t>Oxidation factor</w:t>
            </w:r>
          </w:p>
        </w:tc>
        <w:tc>
          <w:tcPr>
            <w:tcW w:w="2126" w:type="dxa"/>
            <w:shd w:val="clear" w:color="auto" w:fill="FFFFFF"/>
            <w:tcMar>
              <w:top w:w="0" w:type="dxa"/>
              <w:left w:w="85" w:type="dxa"/>
              <w:bottom w:w="0" w:type="dxa"/>
              <w:right w:w="85" w:type="dxa"/>
            </w:tcMar>
          </w:tcPr>
          <w:p w14:paraId="223CCCA7" w14:textId="77777777" w:rsidR="00BC0FD7" w:rsidRPr="001D5327" w:rsidRDefault="00BC0FD7" w:rsidP="00D11AC9">
            <w:pPr>
              <w:pStyle w:val="TableText"/>
              <w:spacing w:before="40" w:after="40"/>
            </w:pPr>
            <w:r w:rsidRPr="001D5327">
              <w:rPr>
                <w:rFonts w:eastAsia="Calibri"/>
              </w:rPr>
              <w:t>0</w:t>
            </w:r>
          </w:p>
        </w:tc>
        <w:tc>
          <w:tcPr>
            <w:tcW w:w="1417" w:type="dxa"/>
            <w:shd w:val="clear" w:color="auto" w:fill="FFFFFF"/>
            <w:tcMar>
              <w:top w:w="0" w:type="dxa"/>
              <w:left w:w="85" w:type="dxa"/>
              <w:bottom w:w="0" w:type="dxa"/>
              <w:right w:w="85" w:type="dxa"/>
            </w:tcMar>
          </w:tcPr>
          <w:p w14:paraId="1183E488" w14:textId="77777777" w:rsidR="00BC0FD7" w:rsidRPr="001D5327" w:rsidRDefault="00BC0FD7" w:rsidP="00D11AC9">
            <w:pPr>
              <w:pStyle w:val="TableText"/>
              <w:spacing w:before="40" w:after="40"/>
            </w:pPr>
            <w:r w:rsidRPr="001D5327">
              <w:rPr>
                <w:rFonts w:eastAsia="Calibri"/>
              </w:rPr>
              <w:t>IPCC default</w:t>
            </w:r>
          </w:p>
        </w:tc>
        <w:tc>
          <w:tcPr>
            <w:tcW w:w="2257" w:type="dxa"/>
            <w:shd w:val="clear" w:color="auto" w:fill="FFFFFF"/>
            <w:tcMar>
              <w:top w:w="0" w:type="dxa"/>
              <w:left w:w="85" w:type="dxa"/>
              <w:bottom w:w="0" w:type="dxa"/>
              <w:right w:w="85" w:type="dxa"/>
            </w:tcMar>
          </w:tcPr>
          <w:p w14:paraId="0BE30249" w14:textId="77777777" w:rsidR="00BC0FD7" w:rsidRPr="001D5327" w:rsidRDefault="00BC0FD7" w:rsidP="00D11AC9">
            <w:pPr>
              <w:pStyle w:val="TableText"/>
              <w:spacing w:before="40" w:after="40"/>
            </w:pPr>
            <w:r w:rsidRPr="001D5327">
              <w:rPr>
                <w:rFonts w:eastAsia="Calibri"/>
              </w:rPr>
              <w:t>IPCC (2006a)</w:t>
            </w:r>
          </w:p>
        </w:tc>
      </w:tr>
      <w:tr w:rsidR="00BC0FD7" w:rsidRPr="001D5327" w14:paraId="4417DAAD" w14:textId="77777777" w:rsidTr="00D11AC9">
        <w:tc>
          <w:tcPr>
            <w:tcW w:w="2694" w:type="dxa"/>
            <w:shd w:val="clear" w:color="auto" w:fill="FFFFFF"/>
            <w:tcMar>
              <w:top w:w="0" w:type="dxa"/>
              <w:left w:w="85" w:type="dxa"/>
              <w:bottom w:w="0" w:type="dxa"/>
              <w:right w:w="85" w:type="dxa"/>
            </w:tcMar>
          </w:tcPr>
          <w:p w14:paraId="62C87941" w14:textId="77777777" w:rsidR="00BC0FD7" w:rsidRPr="001D5327" w:rsidRDefault="00BC0FD7" w:rsidP="00D11AC9">
            <w:pPr>
              <w:pStyle w:val="TableText"/>
              <w:spacing w:before="40" w:after="40"/>
            </w:pPr>
            <w:r w:rsidRPr="001D5327">
              <w:rPr>
                <w:rFonts w:eastAsia="Calibri"/>
              </w:rPr>
              <w:t>DOC (kt C/kt waste) (by waste type)</w:t>
            </w:r>
          </w:p>
        </w:tc>
        <w:tc>
          <w:tcPr>
            <w:tcW w:w="2126" w:type="dxa"/>
            <w:shd w:val="clear" w:color="auto" w:fill="FFFFFF"/>
            <w:tcMar>
              <w:top w:w="0" w:type="dxa"/>
              <w:left w:w="85" w:type="dxa"/>
              <w:bottom w:w="0" w:type="dxa"/>
              <w:right w:w="85" w:type="dxa"/>
            </w:tcMar>
          </w:tcPr>
          <w:p w14:paraId="3FE08CC1" w14:textId="77777777" w:rsidR="00BC0FD7" w:rsidRPr="001D5327" w:rsidRDefault="00BC0FD7" w:rsidP="00D11AC9">
            <w:pPr>
              <w:pStyle w:val="TableText"/>
              <w:spacing w:before="40" w:after="40"/>
            </w:pPr>
            <w:r w:rsidRPr="001D5327">
              <w:rPr>
                <w:rFonts w:eastAsia="Calibri"/>
              </w:rPr>
              <w:t>0.15–0.43</w:t>
            </w:r>
          </w:p>
        </w:tc>
        <w:tc>
          <w:tcPr>
            <w:tcW w:w="1417" w:type="dxa"/>
            <w:shd w:val="clear" w:color="auto" w:fill="FFFFFF"/>
            <w:tcMar>
              <w:top w:w="0" w:type="dxa"/>
              <w:left w:w="85" w:type="dxa"/>
              <w:bottom w:w="0" w:type="dxa"/>
              <w:right w:w="85" w:type="dxa"/>
            </w:tcMar>
          </w:tcPr>
          <w:p w14:paraId="24848F4C" w14:textId="77777777" w:rsidR="00BC0FD7" w:rsidRPr="001D5327" w:rsidRDefault="00BC0FD7" w:rsidP="00D11AC9">
            <w:pPr>
              <w:pStyle w:val="TableText"/>
              <w:spacing w:before="40" w:after="40"/>
            </w:pPr>
            <w:r w:rsidRPr="001D5327">
              <w:rPr>
                <w:rFonts w:eastAsia="Calibri"/>
              </w:rPr>
              <w:t>IPCC default</w:t>
            </w:r>
          </w:p>
        </w:tc>
        <w:tc>
          <w:tcPr>
            <w:tcW w:w="2257" w:type="dxa"/>
            <w:shd w:val="clear" w:color="auto" w:fill="FFFFFF"/>
            <w:tcMar>
              <w:top w:w="0" w:type="dxa"/>
              <w:left w:w="85" w:type="dxa"/>
              <w:bottom w:w="0" w:type="dxa"/>
              <w:right w:w="85" w:type="dxa"/>
            </w:tcMar>
          </w:tcPr>
          <w:p w14:paraId="0C7A1F85" w14:textId="77777777" w:rsidR="00BC0FD7" w:rsidRPr="001D5327" w:rsidRDefault="00BC0FD7" w:rsidP="00D11AC9">
            <w:pPr>
              <w:pStyle w:val="TableText"/>
              <w:spacing w:before="40" w:after="40"/>
            </w:pPr>
            <w:r w:rsidRPr="001D5327">
              <w:rPr>
                <w:rFonts w:eastAsia="Calibri"/>
              </w:rPr>
              <w:t>IPCC (2006a)</w:t>
            </w:r>
          </w:p>
        </w:tc>
      </w:tr>
      <w:tr w:rsidR="00BC0FD7" w:rsidRPr="001D5327" w14:paraId="528F7070" w14:textId="77777777" w:rsidTr="00D11AC9">
        <w:tc>
          <w:tcPr>
            <w:tcW w:w="2694" w:type="dxa"/>
            <w:shd w:val="clear" w:color="auto" w:fill="FFFFFF"/>
            <w:tcMar>
              <w:top w:w="0" w:type="dxa"/>
              <w:left w:w="85" w:type="dxa"/>
              <w:bottom w:w="0" w:type="dxa"/>
              <w:right w:w="85" w:type="dxa"/>
            </w:tcMar>
          </w:tcPr>
          <w:p w14:paraId="622D02E0" w14:textId="77777777" w:rsidR="00BC0FD7" w:rsidRPr="001D5327" w:rsidRDefault="00BC0FD7" w:rsidP="00D11AC9">
            <w:pPr>
              <w:pStyle w:val="TableText"/>
              <w:spacing w:before="40" w:after="40"/>
            </w:pPr>
            <w:r w:rsidRPr="001D5327">
              <w:rPr>
                <w:rFonts w:eastAsia="Calibri"/>
              </w:rPr>
              <w:t>DOCf that decomposes</w:t>
            </w:r>
          </w:p>
        </w:tc>
        <w:tc>
          <w:tcPr>
            <w:tcW w:w="2126" w:type="dxa"/>
            <w:shd w:val="clear" w:color="auto" w:fill="FFFFFF"/>
            <w:tcMar>
              <w:top w:w="0" w:type="dxa"/>
              <w:left w:w="85" w:type="dxa"/>
              <w:bottom w:w="0" w:type="dxa"/>
              <w:right w:w="85" w:type="dxa"/>
            </w:tcMar>
          </w:tcPr>
          <w:p w14:paraId="73D43805" w14:textId="77777777" w:rsidR="00BC0FD7" w:rsidRPr="001D5327" w:rsidRDefault="00BC0FD7" w:rsidP="00D11AC9">
            <w:pPr>
              <w:pStyle w:val="TableText"/>
              <w:spacing w:before="40" w:after="40"/>
            </w:pPr>
            <w:r w:rsidRPr="001D5327">
              <w:rPr>
                <w:rFonts w:eastAsia="Calibri"/>
              </w:rPr>
              <w:t>0.5</w:t>
            </w:r>
          </w:p>
        </w:tc>
        <w:tc>
          <w:tcPr>
            <w:tcW w:w="1417" w:type="dxa"/>
            <w:shd w:val="clear" w:color="auto" w:fill="FFFFFF"/>
            <w:tcMar>
              <w:top w:w="0" w:type="dxa"/>
              <w:left w:w="85" w:type="dxa"/>
              <w:bottom w:w="0" w:type="dxa"/>
              <w:right w:w="85" w:type="dxa"/>
            </w:tcMar>
          </w:tcPr>
          <w:p w14:paraId="2F760031" w14:textId="77777777" w:rsidR="00BC0FD7" w:rsidRPr="001D5327" w:rsidRDefault="00BC0FD7" w:rsidP="00D11AC9">
            <w:pPr>
              <w:pStyle w:val="TableText"/>
              <w:spacing w:before="40" w:after="40"/>
            </w:pPr>
            <w:r w:rsidRPr="001D5327">
              <w:rPr>
                <w:rFonts w:eastAsia="Calibri"/>
              </w:rPr>
              <w:t>IPCC default</w:t>
            </w:r>
          </w:p>
        </w:tc>
        <w:tc>
          <w:tcPr>
            <w:tcW w:w="2257" w:type="dxa"/>
            <w:shd w:val="clear" w:color="auto" w:fill="FFFFFF"/>
            <w:tcMar>
              <w:top w:w="0" w:type="dxa"/>
              <w:left w:w="85" w:type="dxa"/>
              <w:bottom w:w="0" w:type="dxa"/>
              <w:right w:w="85" w:type="dxa"/>
            </w:tcMar>
          </w:tcPr>
          <w:p w14:paraId="5CF232B0" w14:textId="77777777" w:rsidR="00BC0FD7" w:rsidRPr="001D5327" w:rsidRDefault="00BC0FD7" w:rsidP="00D11AC9">
            <w:pPr>
              <w:pStyle w:val="TableText"/>
              <w:spacing w:before="40" w:after="40"/>
            </w:pPr>
            <w:r w:rsidRPr="001D5327">
              <w:rPr>
                <w:rFonts w:eastAsia="Calibri"/>
              </w:rPr>
              <w:t>IPCC (2006a)</w:t>
            </w:r>
          </w:p>
        </w:tc>
      </w:tr>
      <w:tr w:rsidR="00BC0FD7" w:rsidRPr="001D5327" w14:paraId="3D25A36D" w14:textId="77777777" w:rsidTr="00D11AC9">
        <w:tc>
          <w:tcPr>
            <w:tcW w:w="2694" w:type="dxa"/>
            <w:shd w:val="clear" w:color="auto" w:fill="FFFFFF"/>
            <w:tcMar>
              <w:top w:w="0" w:type="dxa"/>
              <w:left w:w="85" w:type="dxa"/>
              <w:bottom w:w="0" w:type="dxa"/>
              <w:right w:w="85" w:type="dxa"/>
            </w:tcMar>
          </w:tcPr>
          <w:p w14:paraId="63D9651B" w14:textId="77777777" w:rsidR="00BC0FD7" w:rsidRPr="001D5327" w:rsidRDefault="00BC0FD7" w:rsidP="00D11AC9">
            <w:pPr>
              <w:pStyle w:val="TableText"/>
              <w:spacing w:before="40" w:after="40"/>
            </w:pPr>
            <w:r w:rsidRPr="001D5327">
              <w:rPr>
                <w:rFonts w:eastAsia="Calibri"/>
              </w:rPr>
              <w:t>Fraction of methane in landfill gas (F)</w:t>
            </w:r>
          </w:p>
        </w:tc>
        <w:tc>
          <w:tcPr>
            <w:tcW w:w="2126" w:type="dxa"/>
            <w:shd w:val="clear" w:color="auto" w:fill="FFFFFF"/>
            <w:tcMar>
              <w:top w:w="0" w:type="dxa"/>
              <w:left w:w="85" w:type="dxa"/>
              <w:bottom w:w="0" w:type="dxa"/>
              <w:right w:w="85" w:type="dxa"/>
            </w:tcMar>
          </w:tcPr>
          <w:p w14:paraId="2608B6A5" w14:textId="77777777" w:rsidR="00BC0FD7" w:rsidRPr="001D5327" w:rsidRDefault="00BC0FD7" w:rsidP="00D11AC9">
            <w:pPr>
              <w:pStyle w:val="TableText"/>
              <w:spacing w:before="40" w:after="40"/>
            </w:pPr>
            <w:r w:rsidRPr="001D5327">
              <w:rPr>
                <w:rFonts w:eastAsia="Calibri"/>
              </w:rPr>
              <w:t>0.5</w:t>
            </w:r>
          </w:p>
        </w:tc>
        <w:tc>
          <w:tcPr>
            <w:tcW w:w="1417" w:type="dxa"/>
            <w:shd w:val="clear" w:color="auto" w:fill="FFFFFF"/>
            <w:tcMar>
              <w:top w:w="0" w:type="dxa"/>
              <w:left w:w="85" w:type="dxa"/>
              <w:bottom w:w="0" w:type="dxa"/>
              <w:right w:w="85" w:type="dxa"/>
            </w:tcMar>
          </w:tcPr>
          <w:p w14:paraId="375398C1" w14:textId="77777777" w:rsidR="00BC0FD7" w:rsidRPr="001D5327" w:rsidRDefault="00BC0FD7" w:rsidP="00D11AC9">
            <w:pPr>
              <w:pStyle w:val="TableText"/>
              <w:spacing w:before="40" w:after="40"/>
            </w:pPr>
            <w:r w:rsidRPr="001D5327">
              <w:rPr>
                <w:rFonts w:eastAsia="Calibri"/>
              </w:rPr>
              <w:t>IPCC default</w:t>
            </w:r>
          </w:p>
        </w:tc>
        <w:tc>
          <w:tcPr>
            <w:tcW w:w="2257" w:type="dxa"/>
            <w:shd w:val="clear" w:color="auto" w:fill="FFFFFF"/>
            <w:tcMar>
              <w:top w:w="0" w:type="dxa"/>
              <w:left w:w="85" w:type="dxa"/>
              <w:bottom w:w="0" w:type="dxa"/>
              <w:right w:w="85" w:type="dxa"/>
            </w:tcMar>
          </w:tcPr>
          <w:p w14:paraId="1D180286" w14:textId="77777777" w:rsidR="00BC0FD7" w:rsidRPr="001D5327" w:rsidRDefault="00BC0FD7" w:rsidP="00D11AC9">
            <w:pPr>
              <w:pStyle w:val="TableText"/>
              <w:spacing w:before="40" w:after="40"/>
            </w:pPr>
            <w:r w:rsidRPr="001D5327">
              <w:rPr>
                <w:rFonts w:eastAsia="Calibri"/>
              </w:rPr>
              <w:t>IPCC (2006a)</w:t>
            </w:r>
          </w:p>
        </w:tc>
      </w:tr>
      <w:tr w:rsidR="00BC0FD7" w:rsidRPr="001D5327" w14:paraId="3536DE7F" w14:textId="77777777" w:rsidTr="00D11AC9">
        <w:tc>
          <w:tcPr>
            <w:tcW w:w="2694" w:type="dxa"/>
            <w:shd w:val="clear" w:color="auto" w:fill="FFFFFF"/>
            <w:tcMar>
              <w:top w:w="0" w:type="dxa"/>
              <w:left w:w="85" w:type="dxa"/>
              <w:bottom w:w="0" w:type="dxa"/>
              <w:right w:w="85" w:type="dxa"/>
            </w:tcMar>
          </w:tcPr>
          <w:p w14:paraId="67FB50C8" w14:textId="77777777" w:rsidR="00BC0FD7" w:rsidRPr="001D5327" w:rsidRDefault="00BC0FD7" w:rsidP="00D11AC9">
            <w:pPr>
              <w:pStyle w:val="Tableboldblue"/>
            </w:pPr>
            <w:r w:rsidRPr="001D5327">
              <w:t>All landfill sites</w:t>
            </w:r>
          </w:p>
        </w:tc>
        <w:tc>
          <w:tcPr>
            <w:tcW w:w="2126" w:type="dxa"/>
            <w:shd w:val="clear" w:color="auto" w:fill="FFFFFF"/>
            <w:tcMar>
              <w:top w:w="0" w:type="dxa"/>
              <w:left w:w="85" w:type="dxa"/>
              <w:bottom w:w="0" w:type="dxa"/>
              <w:right w:w="85" w:type="dxa"/>
            </w:tcMar>
          </w:tcPr>
          <w:p w14:paraId="2F56EDBC" w14:textId="77777777" w:rsidR="00BC0FD7" w:rsidRPr="001D5327" w:rsidRDefault="00BC0FD7" w:rsidP="00D11AC9">
            <w:pPr>
              <w:pStyle w:val="Tableboldblue"/>
            </w:pPr>
          </w:p>
        </w:tc>
        <w:tc>
          <w:tcPr>
            <w:tcW w:w="1417" w:type="dxa"/>
            <w:shd w:val="clear" w:color="auto" w:fill="FFFFFF"/>
            <w:tcMar>
              <w:top w:w="0" w:type="dxa"/>
              <w:left w:w="85" w:type="dxa"/>
              <w:bottom w:w="0" w:type="dxa"/>
              <w:right w:w="85" w:type="dxa"/>
            </w:tcMar>
          </w:tcPr>
          <w:p w14:paraId="34EB2069" w14:textId="77777777" w:rsidR="00BC0FD7" w:rsidRPr="001D5327" w:rsidRDefault="00BC0FD7" w:rsidP="00D11AC9">
            <w:pPr>
              <w:pStyle w:val="Tableboldblue"/>
            </w:pPr>
          </w:p>
        </w:tc>
        <w:tc>
          <w:tcPr>
            <w:tcW w:w="2257" w:type="dxa"/>
            <w:shd w:val="clear" w:color="auto" w:fill="FFFFFF"/>
            <w:tcMar>
              <w:top w:w="0" w:type="dxa"/>
              <w:left w:w="85" w:type="dxa"/>
              <w:bottom w:w="0" w:type="dxa"/>
              <w:right w:w="85" w:type="dxa"/>
            </w:tcMar>
          </w:tcPr>
          <w:p w14:paraId="3B473130" w14:textId="77777777" w:rsidR="00BC0FD7" w:rsidRPr="001D5327" w:rsidRDefault="00BC0FD7" w:rsidP="00D11AC9">
            <w:pPr>
              <w:pStyle w:val="Tableboldblue"/>
            </w:pPr>
          </w:p>
        </w:tc>
      </w:tr>
      <w:tr w:rsidR="00BC0FD7" w:rsidRPr="001D5327" w14:paraId="686003F8" w14:textId="77777777" w:rsidTr="00D11AC9">
        <w:tc>
          <w:tcPr>
            <w:tcW w:w="2694" w:type="dxa"/>
            <w:shd w:val="clear" w:color="auto" w:fill="FFFFFF"/>
            <w:tcMar>
              <w:top w:w="0" w:type="dxa"/>
              <w:left w:w="85" w:type="dxa"/>
              <w:bottom w:w="0" w:type="dxa"/>
              <w:right w:w="85" w:type="dxa"/>
            </w:tcMar>
          </w:tcPr>
          <w:p w14:paraId="150282BC" w14:textId="77777777" w:rsidR="00BC0FD7" w:rsidRPr="001D5327" w:rsidRDefault="00BC0FD7" w:rsidP="00D11AC9">
            <w:pPr>
              <w:pStyle w:val="TableText"/>
              <w:spacing w:before="40" w:after="40"/>
            </w:pPr>
            <w:r w:rsidRPr="001D5327">
              <w:rPr>
                <w:rFonts w:eastAsia="Calibri"/>
              </w:rPr>
              <w:t>Starting year</w:t>
            </w:r>
          </w:p>
        </w:tc>
        <w:tc>
          <w:tcPr>
            <w:tcW w:w="2126" w:type="dxa"/>
            <w:shd w:val="clear" w:color="auto" w:fill="FFFFFF"/>
            <w:tcMar>
              <w:top w:w="0" w:type="dxa"/>
              <w:left w:w="85" w:type="dxa"/>
              <w:bottom w:w="0" w:type="dxa"/>
              <w:right w:w="85" w:type="dxa"/>
            </w:tcMar>
          </w:tcPr>
          <w:p w14:paraId="1C5E1C8C" w14:textId="77777777" w:rsidR="00BC0FD7" w:rsidRPr="001D5327" w:rsidRDefault="00BC0FD7" w:rsidP="00D11AC9">
            <w:pPr>
              <w:pStyle w:val="TableText"/>
              <w:spacing w:before="40" w:after="40"/>
            </w:pPr>
            <w:r w:rsidRPr="001D5327">
              <w:rPr>
                <w:rFonts w:eastAsia="Calibri"/>
              </w:rPr>
              <w:t>1950</w:t>
            </w:r>
          </w:p>
        </w:tc>
        <w:tc>
          <w:tcPr>
            <w:tcW w:w="1417" w:type="dxa"/>
            <w:shd w:val="clear" w:color="auto" w:fill="FFFFFF"/>
            <w:tcMar>
              <w:top w:w="0" w:type="dxa"/>
              <w:left w:w="85" w:type="dxa"/>
              <w:bottom w:w="0" w:type="dxa"/>
              <w:right w:w="85" w:type="dxa"/>
            </w:tcMar>
          </w:tcPr>
          <w:p w14:paraId="6179EDD1" w14:textId="77777777" w:rsidR="00BC0FD7" w:rsidRPr="001D5327" w:rsidRDefault="00BC0FD7" w:rsidP="00D11AC9">
            <w:pPr>
              <w:pStyle w:val="TableText"/>
              <w:spacing w:before="40" w:after="40"/>
            </w:pPr>
            <w:r w:rsidRPr="001D5327">
              <w:rPr>
                <w:rFonts w:eastAsia="Calibri"/>
              </w:rPr>
              <w:t>IPCC default</w:t>
            </w:r>
          </w:p>
        </w:tc>
        <w:tc>
          <w:tcPr>
            <w:tcW w:w="2257" w:type="dxa"/>
            <w:shd w:val="clear" w:color="auto" w:fill="FFFFFF"/>
            <w:tcMar>
              <w:top w:w="0" w:type="dxa"/>
              <w:left w:w="85" w:type="dxa"/>
              <w:bottom w:w="0" w:type="dxa"/>
              <w:right w:w="85" w:type="dxa"/>
            </w:tcMar>
          </w:tcPr>
          <w:p w14:paraId="1DA5454B" w14:textId="77777777" w:rsidR="00BC0FD7" w:rsidRPr="001D5327" w:rsidRDefault="00BC0FD7" w:rsidP="00D11AC9">
            <w:pPr>
              <w:pStyle w:val="TableText"/>
              <w:spacing w:before="40" w:after="40"/>
            </w:pPr>
            <w:r w:rsidRPr="001D5327">
              <w:rPr>
                <w:rFonts w:eastAsia="Calibri"/>
              </w:rPr>
              <w:t>IPCC (2006a)</w:t>
            </w:r>
          </w:p>
        </w:tc>
      </w:tr>
      <w:tr w:rsidR="00BC0FD7" w:rsidRPr="001D5327" w14:paraId="20410036" w14:textId="77777777" w:rsidTr="00D11AC9">
        <w:tc>
          <w:tcPr>
            <w:tcW w:w="2694" w:type="dxa"/>
            <w:shd w:val="clear" w:color="auto" w:fill="FFFFFF"/>
            <w:tcMar>
              <w:top w:w="0" w:type="dxa"/>
              <w:left w:w="85" w:type="dxa"/>
              <w:bottom w:w="0" w:type="dxa"/>
              <w:right w:w="85" w:type="dxa"/>
            </w:tcMar>
          </w:tcPr>
          <w:p w14:paraId="46852400" w14:textId="77777777" w:rsidR="00BC0FD7" w:rsidRPr="001D5327" w:rsidRDefault="00BC0FD7" w:rsidP="00D11AC9">
            <w:pPr>
              <w:pStyle w:val="TableText"/>
              <w:spacing w:before="40" w:after="40"/>
            </w:pPr>
            <w:r w:rsidRPr="001D5327">
              <w:rPr>
                <w:rFonts w:eastAsia="Calibri"/>
              </w:rPr>
              <w:t>Delay time</w:t>
            </w:r>
          </w:p>
        </w:tc>
        <w:tc>
          <w:tcPr>
            <w:tcW w:w="2126" w:type="dxa"/>
            <w:shd w:val="clear" w:color="auto" w:fill="FFFFFF"/>
            <w:tcMar>
              <w:top w:w="0" w:type="dxa"/>
              <w:left w:w="85" w:type="dxa"/>
              <w:bottom w:w="0" w:type="dxa"/>
              <w:right w:w="85" w:type="dxa"/>
            </w:tcMar>
          </w:tcPr>
          <w:p w14:paraId="7CC2E4D8" w14:textId="77777777" w:rsidR="00BC0FD7" w:rsidRPr="001D5327" w:rsidRDefault="00BC0FD7" w:rsidP="00D11AC9">
            <w:pPr>
              <w:pStyle w:val="TableText"/>
              <w:spacing w:before="40" w:after="40"/>
            </w:pPr>
            <w:r w:rsidRPr="001D5327">
              <w:rPr>
                <w:rFonts w:eastAsia="Calibri"/>
              </w:rPr>
              <w:t>6 months</w:t>
            </w:r>
          </w:p>
        </w:tc>
        <w:tc>
          <w:tcPr>
            <w:tcW w:w="1417" w:type="dxa"/>
            <w:shd w:val="clear" w:color="auto" w:fill="FFFFFF"/>
            <w:tcMar>
              <w:top w:w="0" w:type="dxa"/>
              <w:left w:w="85" w:type="dxa"/>
              <w:bottom w:w="0" w:type="dxa"/>
              <w:right w:w="85" w:type="dxa"/>
            </w:tcMar>
          </w:tcPr>
          <w:p w14:paraId="5BD2324C" w14:textId="77777777" w:rsidR="00BC0FD7" w:rsidRPr="001D5327" w:rsidRDefault="00BC0FD7" w:rsidP="00D11AC9">
            <w:pPr>
              <w:pStyle w:val="TableText"/>
              <w:spacing w:before="40" w:after="40"/>
            </w:pPr>
            <w:r w:rsidRPr="001D5327">
              <w:rPr>
                <w:rFonts w:eastAsia="Calibri"/>
              </w:rPr>
              <w:t>IPCC default</w:t>
            </w:r>
          </w:p>
        </w:tc>
        <w:tc>
          <w:tcPr>
            <w:tcW w:w="2257" w:type="dxa"/>
            <w:shd w:val="clear" w:color="auto" w:fill="FFFFFF"/>
            <w:tcMar>
              <w:top w:w="0" w:type="dxa"/>
              <w:left w:w="85" w:type="dxa"/>
              <w:bottom w:w="0" w:type="dxa"/>
              <w:right w:w="85" w:type="dxa"/>
            </w:tcMar>
          </w:tcPr>
          <w:p w14:paraId="29E062F4" w14:textId="77777777" w:rsidR="00BC0FD7" w:rsidRPr="001D5327" w:rsidRDefault="00BC0FD7" w:rsidP="00D11AC9">
            <w:pPr>
              <w:pStyle w:val="TableText"/>
              <w:spacing w:before="40" w:after="40"/>
            </w:pPr>
            <w:r w:rsidRPr="001D5327">
              <w:rPr>
                <w:rFonts w:eastAsia="Calibri"/>
              </w:rPr>
              <w:t>IPCC (2006a)</w:t>
            </w:r>
          </w:p>
        </w:tc>
      </w:tr>
    </w:tbl>
    <w:p w14:paraId="78B1DBB9" w14:textId="77777777" w:rsidR="00BC0FD7" w:rsidRPr="001D5327" w:rsidRDefault="00BC0FD7" w:rsidP="00BC0FD7">
      <w:pPr>
        <w:pStyle w:val="Noteundertable"/>
      </w:pPr>
      <w:r w:rsidRPr="001D5327">
        <w:rPr>
          <w:b/>
          <w:bCs/>
        </w:rPr>
        <w:t>Note:</w:t>
      </w:r>
      <w:r w:rsidRPr="001D5327">
        <w:t xml:space="preserve"> </w:t>
      </w:r>
      <w:r w:rsidRPr="001D5327">
        <w:tab/>
        <w:t>DDOC = decomposable degradable organic carbon; DOC = degradable organic carbon; DOCf = DOC fraction; IPCC = Intergovernmental Panel on Climate Change.</w:t>
      </w:r>
    </w:p>
    <w:p w14:paraId="5A474CAE" w14:textId="77777777" w:rsidR="00BC0FD7" w:rsidRPr="001D5327" w:rsidRDefault="00BC0FD7" w:rsidP="00BC0FD7">
      <w:pPr>
        <w:pStyle w:val="Heading5"/>
      </w:pPr>
      <w:bookmarkStart w:id="2838" w:name="X60b6e25d43b75b4fc56e9238df3dc1e0e335de8"/>
      <w:bookmarkEnd w:id="2829"/>
      <w:bookmarkEnd w:id="2836"/>
      <w:r w:rsidRPr="001D5327">
        <w:t>Non-municipal landfills and farm fills (5.A.2)</w:t>
      </w:r>
    </w:p>
    <w:p w14:paraId="7C558E71" w14:textId="77777777" w:rsidR="00BC0FD7" w:rsidRPr="001D5327" w:rsidRDefault="00BC0FD7" w:rsidP="00BC0FD7">
      <w:pPr>
        <w:pStyle w:val="Heading6"/>
      </w:pPr>
      <w:bookmarkStart w:id="2839" w:name="waste-composition-1"/>
      <w:r w:rsidRPr="001D5327">
        <w:t>Waste composition</w:t>
      </w:r>
    </w:p>
    <w:p w14:paraId="79468014" w14:textId="1267F8B0" w:rsidR="00BC0FD7" w:rsidRPr="001D5327" w:rsidRDefault="00BC0FD7" w:rsidP="00BC0FD7">
      <w:pPr>
        <w:pStyle w:val="BodyText"/>
      </w:pPr>
      <w:r w:rsidRPr="001D5327">
        <w:t>Waste composition estimates for non-municipal landfills (Class 2–5 landfills and industrial monofills) are derived from voluntary waste survey data compiled in 2024 (Eunomia, unpublished(d)) and expert judgement. The waste survey follows the updated version of the Solid Waste Analysis Protocol (Ministry for the Environment, 2002b), adapted to non</w:t>
      </w:r>
      <w:r w:rsidR="00A82473" w:rsidRPr="001D5327">
        <w:noBreakHyphen/>
      </w:r>
      <w:r w:rsidRPr="001D5327">
        <w:t>municipal landfills, and the waste categories were mapped to the corresponding IPCC waste types (IPCC, 2006a).</w:t>
      </w:r>
    </w:p>
    <w:p w14:paraId="20AC895C" w14:textId="77777777" w:rsidR="00BC0FD7" w:rsidRPr="001D5327" w:rsidRDefault="00BC0FD7" w:rsidP="00BC0FD7">
      <w:pPr>
        <w:pStyle w:val="BodyText"/>
      </w:pPr>
      <w:r w:rsidRPr="001D5327">
        <w:lastRenderedPageBreak/>
        <w:t>The primary waste types disposed of in non-municipal landfills include soil, rubble, concrete, wood and green waste. Custom DOC values were applied (Eunomia, u</w:t>
      </w:r>
      <w:r w:rsidRPr="001D5327">
        <w:rPr>
          <w:rFonts w:cs="Calibri"/>
        </w:rPr>
        <w:t>npublished(</w:t>
      </w:r>
      <w:r w:rsidRPr="001D5327">
        <w:t>c)), with the exception of rubber and sludge, which used the IPCC default values. Wood waste, which uses a custom DDOC value, consists largely of wood processing waste. Studies have shown that this type of waste contains a higher lignin content, which breaks down more slowly and less completely (Eunomia, unpublished(a)), leading to lower CH</w:t>
      </w:r>
      <w:r w:rsidRPr="001D5327">
        <w:rPr>
          <w:vertAlign w:val="subscript"/>
        </w:rPr>
        <w:t>4</w:t>
      </w:r>
      <w:r w:rsidRPr="001D5327">
        <w:t xml:space="preserve"> generation.</w:t>
      </w:r>
    </w:p>
    <w:p w14:paraId="161E5F46" w14:textId="77777777" w:rsidR="00BC0FD7" w:rsidRPr="001D5327" w:rsidRDefault="00BC0FD7" w:rsidP="00BC0FD7">
      <w:pPr>
        <w:pStyle w:val="BodyText"/>
      </w:pPr>
      <w:r w:rsidRPr="001D5327">
        <w:t>For farm fills, the DOC for bulk municipal solid waste is applied to some farm waste, based on results from the non-natural rural waste survey (GHD, 2013). This approach is appropriate because the farm waste is expected to be a mixture of domestic refuse, inert materials (e.g., scrap metal and glass) and waste specific to the farming activities. Because this mixture is similar to municipal solid waste, using the DOC values for bulk municipal solid waste is considered suitable (Tonkin and Taylor Ltd, unpublished(b)).</w:t>
      </w:r>
    </w:p>
    <w:p w14:paraId="2639B388" w14:textId="77777777" w:rsidR="00BC0FD7" w:rsidRPr="001D5327" w:rsidRDefault="00BC0FD7" w:rsidP="00BC0FD7">
      <w:pPr>
        <w:pStyle w:val="Heading6"/>
      </w:pPr>
      <w:bookmarkStart w:id="2840" w:name="other-parameters"/>
      <w:bookmarkEnd w:id="2839"/>
      <w:r w:rsidRPr="001D5327">
        <w:t>Other parameters</w:t>
      </w:r>
    </w:p>
    <w:p w14:paraId="0EA93D9A" w14:textId="77777777" w:rsidR="00BC0FD7" w:rsidRPr="001D5327" w:rsidRDefault="00BC0FD7" w:rsidP="00BC0FD7">
      <w:pPr>
        <w:pStyle w:val="BodyText"/>
      </w:pPr>
      <w:r w:rsidRPr="001D5327">
        <w:t>The majority of non-municipal landfills and farm fills are shallow, with less than 5 metres depth of waste. These are estimated to account for 90 per cent of the waste disposed, with a CH</w:t>
      </w:r>
      <w:r w:rsidRPr="001D5327">
        <w:rPr>
          <w:vertAlign w:val="subscript"/>
        </w:rPr>
        <w:t>4</w:t>
      </w:r>
      <w:r w:rsidRPr="001D5327">
        <w:t xml:space="preserve"> correction factor value of 0.4. The other 10 per cent (approximately) goes to fills that are assumed to be:</w:t>
      </w:r>
    </w:p>
    <w:p w14:paraId="0DAD0495" w14:textId="77777777" w:rsidR="00BC0FD7" w:rsidRPr="001D5327" w:rsidRDefault="00BC0FD7" w:rsidP="00BC0FD7">
      <w:pPr>
        <w:pStyle w:val="Bullet"/>
      </w:pPr>
      <w:r w:rsidRPr="001D5327">
        <w:t>for non-municipal landfills, an unknown mix that would have an average CH</w:t>
      </w:r>
      <w:r w:rsidRPr="001D5327">
        <w:rPr>
          <w:vertAlign w:val="subscript"/>
        </w:rPr>
        <w:t>4</w:t>
      </w:r>
      <w:r w:rsidRPr="001D5327">
        <w:t xml:space="preserve"> correction factor value of 0.6; this gives an overall average of 0.42 for these sites</w:t>
      </w:r>
    </w:p>
    <w:p w14:paraId="41956E1E" w14:textId="77777777" w:rsidR="00BC0FD7" w:rsidRPr="001D5327" w:rsidRDefault="00BC0FD7" w:rsidP="00BC0FD7">
      <w:pPr>
        <w:pStyle w:val="Bullet"/>
      </w:pPr>
      <w:r w:rsidRPr="001D5327">
        <w:t>for farm fills with deeper pits that have an average depth greater than 5 metres, the CH</w:t>
      </w:r>
      <w:r w:rsidRPr="001D5327">
        <w:rPr>
          <w:vertAlign w:val="subscript"/>
        </w:rPr>
        <w:t>4</w:t>
      </w:r>
      <w:r w:rsidRPr="001D5327">
        <w:t xml:space="preserve"> correction factor value is 0.8 and the average for all farm fills is 0.44.</w:t>
      </w:r>
    </w:p>
    <w:p w14:paraId="1CAE5243" w14:textId="77777777" w:rsidR="00BC0FD7" w:rsidRPr="001D5327" w:rsidRDefault="00BC0FD7" w:rsidP="00BC0FD7">
      <w:pPr>
        <w:pStyle w:val="BodyText"/>
      </w:pPr>
      <w:r w:rsidRPr="001D5327">
        <w:t>Default k-values for a wet temperate climate are used. No oxidation is assumed to occur in the cover for these unmanaged sites.</w:t>
      </w:r>
    </w:p>
    <w:p w14:paraId="66969440" w14:textId="77777777" w:rsidR="00BC0FD7" w:rsidRPr="001D5327" w:rsidRDefault="00BC0FD7" w:rsidP="00BC0FD7">
      <w:pPr>
        <w:pStyle w:val="Heading6"/>
      </w:pPr>
      <w:bookmarkStart w:id="2841" w:name="summary-of-parameters-used-1"/>
      <w:bookmarkEnd w:id="2840"/>
      <w:r w:rsidRPr="001D5327">
        <w:t>Summary of parameters used</w:t>
      </w:r>
    </w:p>
    <w:p w14:paraId="39C25921" w14:textId="77777777" w:rsidR="00BC0FD7" w:rsidRPr="001D5327" w:rsidRDefault="00BC0FD7" w:rsidP="00BC0FD7">
      <w:pPr>
        <w:pStyle w:val="BodyText"/>
      </w:pPr>
      <w:r w:rsidRPr="001D5327">
        <w:t>Table 7.2.8 summarises the parameter values applied for estimating CH</w:t>
      </w:r>
      <w:r w:rsidRPr="001D5327">
        <w:rPr>
          <w:vertAlign w:val="subscript"/>
        </w:rPr>
        <w:t>4</w:t>
      </w:r>
      <w:r w:rsidRPr="001D5327">
        <w:t xml:space="preserve"> emissions for solid waste disposed to non-municipal landfills and farm fills.</w:t>
      </w:r>
    </w:p>
    <w:p w14:paraId="6FE226D2" w14:textId="77777777" w:rsidR="00BC0FD7" w:rsidRPr="001D5327" w:rsidRDefault="00BC0FD7" w:rsidP="00BC0FD7">
      <w:pPr>
        <w:pStyle w:val="Table"/>
      </w:pPr>
      <w:bookmarkStart w:id="2842" w:name="_Toc194241806"/>
      <w:r w:rsidRPr="001D5327">
        <w:t>Table 7.2.8</w:t>
      </w:r>
      <w:r w:rsidRPr="001D5327">
        <w:tab/>
        <w:t>Summary of parameters for non-municipal landfills and farm fills</w:t>
      </w:r>
      <w:bookmarkEnd w:id="2842"/>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743"/>
        <w:gridCol w:w="1141"/>
        <w:gridCol w:w="1409"/>
        <w:gridCol w:w="3201"/>
      </w:tblGrid>
      <w:tr w:rsidR="00BC0FD7" w:rsidRPr="001D5327" w14:paraId="4C759231" w14:textId="77777777" w:rsidTr="00D11AC9">
        <w:trPr>
          <w:tblHeader/>
        </w:trPr>
        <w:tc>
          <w:tcPr>
            <w:tcW w:w="0" w:type="auto"/>
            <w:shd w:val="clear" w:color="auto" w:fill="1B556B"/>
            <w:tcMar>
              <w:top w:w="0" w:type="dxa"/>
              <w:left w:w="85" w:type="dxa"/>
              <w:bottom w:w="0" w:type="dxa"/>
              <w:right w:w="85" w:type="dxa"/>
            </w:tcMar>
          </w:tcPr>
          <w:p w14:paraId="51F82C57" w14:textId="77777777" w:rsidR="00BC0FD7" w:rsidRPr="001D5327" w:rsidRDefault="00BC0FD7" w:rsidP="00D11AC9">
            <w:pPr>
              <w:pStyle w:val="TableText"/>
              <w:spacing w:before="40" w:after="40"/>
              <w:rPr>
                <w:rFonts w:cs="Calibri"/>
                <w:b/>
                <w:bCs/>
                <w:color w:val="FFFFFF" w:themeColor="background1"/>
                <w:szCs w:val="16"/>
              </w:rPr>
            </w:pPr>
            <w:r w:rsidRPr="001D5327">
              <w:rPr>
                <w:rFonts w:eastAsia="Calibri" w:cs="Calibri"/>
                <w:b/>
                <w:bCs/>
                <w:color w:val="FFFFFF" w:themeColor="background1"/>
                <w:szCs w:val="16"/>
              </w:rPr>
              <w:t>Parameter</w:t>
            </w:r>
          </w:p>
        </w:tc>
        <w:tc>
          <w:tcPr>
            <w:tcW w:w="0" w:type="auto"/>
            <w:shd w:val="clear" w:color="auto" w:fill="1B556B"/>
            <w:tcMar>
              <w:top w:w="0" w:type="dxa"/>
              <w:left w:w="85" w:type="dxa"/>
              <w:bottom w:w="0" w:type="dxa"/>
              <w:right w:w="85" w:type="dxa"/>
            </w:tcMar>
          </w:tcPr>
          <w:p w14:paraId="38C9EEBB" w14:textId="77777777" w:rsidR="00BC0FD7" w:rsidRPr="001D5327" w:rsidRDefault="00BC0FD7" w:rsidP="00D11AC9">
            <w:pPr>
              <w:pStyle w:val="TableText"/>
              <w:spacing w:before="40" w:after="40"/>
              <w:rPr>
                <w:rFonts w:cs="Calibri"/>
                <w:b/>
                <w:bCs/>
                <w:color w:val="FFFFFF" w:themeColor="background1"/>
                <w:szCs w:val="16"/>
              </w:rPr>
            </w:pPr>
            <w:r w:rsidRPr="001D5327">
              <w:rPr>
                <w:rFonts w:eastAsia="Calibri" w:cs="Calibri"/>
                <w:b/>
                <w:bCs/>
                <w:color w:val="FFFFFF" w:themeColor="background1"/>
                <w:szCs w:val="16"/>
              </w:rPr>
              <w:t>Values</w:t>
            </w:r>
          </w:p>
        </w:tc>
        <w:tc>
          <w:tcPr>
            <w:tcW w:w="0" w:type="auto"/>
            <w:shd w:val="clear" w:color="auto" w:fill="1B556B"/>
            <w:tcMar>
              <w:top w:w="0" w:type="dxa"/>
              <w:left w:w="85" w:type="dxa"/>
              <w:bottom w:w="0" w:type="dxa"/>
              <w:right w:w="85" w:type="dxa"/>
            </w:tcMar>
          </w:tcPr>
          <w:p w14:paraId="35D84FB4" w14:textId="77777777" w:rsidR="00BC0FD7" w:rsidRPr="001D5327" w:rsidRDefault="00BC0FD7" w:rsidP="00D11AC9">
            <w:pPr>
              <w:pStyle w:val="TableText"/>
              <w:spacing w:before="40" w:after="40"/>
              <w:rPr>
                <w:rFonts w:cs="Calibri"/>
                <w:b/>
                <w:bCs/>
                <w:color w:val="FFFFFF" w:themeColor="background1"/>
                <w:szCs w:val="16"/>
              </w:rPr>
            </w:pPr>
            <w:r w:rsidRPr="001D5327">
              <w:rPr>
                <w:rFonts w:eastAsia="Calibri" w:cs="Calibri"/>
                <w:b/>
                <w:bCs/>
                <w:color w:val="FFFFFF" w:themeColor="background1"/>
                <w:szCs w:val="16"/>
              </w:rPr>
              <w:t>Source</w:t>
            </w:r>
          </w:p>
        </w:tc>
        <w:tc>
          <w:tcPr>
            <w:tcW w:w="0" w:type="auto"/>
            <w:shd w:val="clear" w:color="auto" w:fill="1B556B"/>
            <w:tcMar>
              <w:top w:w="0" w:type="dxa"/>
              <w:left w:w="85" w:type="dxa"/>
              <w:bottom w:w="0" w:type="dxa"/>
              <w:right w:w="85" w:type="dxa"/>
            </w:tcMar>
          </w:tcPr>
          <w:p w14:paraId="46768914" w14:textId="77777777" w:rsidR="00BC0FD7" w:rsidRPr="001D5327" w:rsidRDefault="00BC0FD7" w:rsidP="00D11AC9">
            <w:pPr>
              <w:pStyle w:val="TableText"/>
              <w:spacing w:before="40" w:after="40"/>
              <w:rPr>
                <w:rFonts w:cs="Calibri"/>
                <w:b/>
                <w:bCs/>
                <w:color w:val="FFFFFF" w:themeColor="background1"/>
                <w:szCs w:val="16"/>
              </w:rPr>
            </w:pPr>
            <w:r w:rsidRPr="001D5327">
              <w:rPr>
                <w:rFonts w:eastAsia="Calibri" w:cs="Calibri"/>
                <w:b/>
                <w:bCs/>
                <w:color w:val="FFFFFF" w:themeColor="background1"/>
                <w:szCs w:val="16"/>
              </w:rPr>
              <w:t>Reference</w:t>
            </w:r>
          </w:p>
        </w:tc>
      </w:tr>
      <w:tr w:rsidR="00BC0FD7" w:rsidRPr="001D5327" w14:paraId="603199E0" w14:textId="77777777" w:rsidTr="00D11AC9">
        <w:tc>
          <w:tcPr>
            <w:tcW w:w="0" w:type="auto"/>
            <w:shd w:val="clear" w:color="auto" w:fill="FFFFFF"/>
            <w:tcMar>
              <w:top w:w="0" w:type="dxa"/>
              <w:left w:w="85" w:type="dxa"/>
              <w:bottom w:w="0" w:type="dxa"/>
              <w:right w:w="85" w:type="dxa"/>
            </w:tcMar>
          </w:tcPr>
          <w:p w14:paraId="5576380B" w14:textId="77777777" w:rsidR="00BC0FD7" w:rsidRPr="001D5327" w:rsidRDefault="00BC0FD7" w:rsidP="00D11AC9">
            <w:pPr>
              <w:pStyle w:val="Tableboldblue"/>
            </w:pPr>
            <w:r w:rsidRPr="001D5327">
              <w:t>Non-municipal landfills</w:t>
            </w:r>
          </w:p>
        </w:tc>
        <w:tc>
          <w:tcPr>
            <w:tcW w:w="0" w:type="auto"/>
            <w:shd w:val="clear" w:color="auto" w:fill="FFFFFF"/>
            <w:tcMar>
              <w:top w:w="0" w:type="dxa"/>
              <w:left w:w="85" w:type="dxa"/>
              <w:bottom w:w="0" w:type="dxa"/>
              <w:right w:w="85" w:type="dxa"/>
            </w:tcMar>
          </w:tcPr>
          <w:p w14:paraId="3350DA75" w14:textId="77777777" w:rsidR="00BC0FD7" w:rsidRPr="001D5327" w:rsidRDefault="00BC0FD7" w:rsidP="00D11AC9">
            <w:pPr>
              <w:pStyle w:val="Tableboldblue"/>
            </w:pPr>
          </w:p>
        </w:tc>
        <w:tc>
          <w:tcPr>
            <w:tcW w:w="0" w:type="auto"/>
            <w:shd w:val="clear" w:color="auto" w:fill="FFFFFF"/>
            <w:tcMar>
              <w:top w:w="0" w:type="dxa"/>
              <w:left w:w="85" w:type="dxa"/>
              <w:bottom w:w="0" w:type="dxa"/>
              <w:right w:w="85" w:type="dxa"/>
            </w:tcMar>
          </w:tcPr>
          <w:p w14:paraId="3FD999E3" w14:textId="77777777" w:rsidR="00BC0FD7" w:rsidRPr="001D5327" w:rsidRDefault="00BC0FD7" w:rsidP="00D11AC9">
            <w:pPr>
              <w:pStyle w:val="Tableboldblue"/>
            </w:pPr>
          </w:p>
        </w:tc>
        <w:tc>
          <w:tcPr>
            <w:tcW w:w="0" w:type="auto"/>
            <w:shd w:val="clear" w:color="auto" w:fill="FFFFFF"/>
            <w:tcMar>
              <w:top w:w="0" w:type="dxa"/>
              <w:left w:w="85" w:type="dxa"/>
              <w:bottom w:w="0" w:type="dxa"/>
              <w:right w:w="85" w:type="dxa"/>
            </w:tcMar>
          </w:tcPr>
          <w:p w14:paraId="19F17C13" w14:textId="77777777" w:rsidR="00BC0FD7" w:rsidRPr="001D5327" w:rsidRDefault="00BC0FD7" w:rsidP="00D11AC9">
            <w:pPr>
              <w:pStyle w:val="Tableboldblue"/>
            </w:pPr>
          </w:p>
        </w:tc>
      </w:tr>
      <w:tr w:rsidR="00BC0FD7" w:rsidRPr="001D5327" w14:paraId="32187CEF" w14:textId="77777777" w:rsidTr="00D11AC9">
        <w:tc>
          <w:tcPr>
            <w:tcW w:w="0" w:type="auto"/>
            <w:shd w:val="clear" w:color="auto" w:fill="FFFFFF"/>
            <w:tcMar>
              <w:top w:w="0" w:type="dxa"/>
              <w:left w:w="85" w:type="dxa"/>
              <w:bottom w:w="0" w:type="dxa"/>
              <w:right w:w="85" w:type="dxa"/>
            </w:tcMar>
          </w:tcPr>
          <w:p w14:paraId="69E91052" w14:textId="77777777" w:rsidR="00BC0FD7" w:rsidRPr="001D5327" w:rsidRDefault="00BC0FD7" w:rsidP="00D11AC9">
            <w:pPr>
              <w:pStyle w:val="TableText"/>
              <w:spacing w:before="40" w:after="40"/>
              <w:rPr>
                <w:rFonts w:cs="Calibri"/>
                <w:szCs w:val="16"/>
              </w:rPr>
            </w:pPr>
            <w:r w:rsidRPr="001D5327">
              <w:rPr>
                <w:rFonts w:eastAsia="Calibri" w:cs="Calibri"/>
                <w:szCs w:val="16"/>
              </w:rPr>
              <w:t>k-value</w:t>
            </w:r>
          </w:p>
        </w:tc>
        <w:tc>
          <w:tcPr>
            <w:tcW w:w="0" w:type="auto"/>
            <w:shd w:val="clear" w:color="auto" w:fill="FFFFFF"/>
            <w:tcMar>
              <w:top w:w="0" w:type="dxa"/>
              <w:left w:w="85" w:type="dxa"/>
              <w:bottom w:w="0" w:type="dxa"/>
              <w:right w:w="85" w:type="dxa"/>
            </w:tcMar>
          </w:tcPr>
          <w:p w14:paraId="2D2413D9" w14:textId="77777777" w:rsidR="00BC0FD7" w:rsidRPr="001D5327" w:rsidRDefault="00BC0FD7" w:rsidP="00D11AC9">
            <w:pPr>
              <w:pStyle w:val="TableText"/>
              <w:spacing w:before="40" w:after="40"/>
              <w:rPr>
                <w:rFonts w:cs="Calibri"/>
                <w:szCs w:val="16"/>
              </w:rPr>
            </w:pPr>
            <w:r w:rsidRPr="001D5327">
              <w:rPr>
                <w:rFonts w:eastAsia="Calibri" w:cs="Calibri"/>
                <w:szCs w:val="16"/>
              </w:rPr>
              <w:t>0.030–0.185</w:t>
            </w:r>
          </w:p>
        </w:tc>
        <w:tc>
          <w:tcPr>
            <w:tcW w:w="0" w:type="auto"/>
            <w:shd w:val="clear" w:color="auto" w:fill="FFFFFF"/>
            <w:tcMar>
              <w:top w:w="0" w:type="dxa"/>
              <w:left w:w="85" w:type="dxa"/>
              <w:bottom w:w="0" w:type="dxa"/>
              <w:right w:w="85" w:type="dxa"/>
            </w:tcMar>
          </w:tcPr>
          <w:p w14:paraId="5C1A418C" w14:textId="77777777" w:rsidR="00BC0FD7" w:rsidRPr="001D5327" w:rsidRDefault="00BC0FD7" w:rsidP="00D11AC9">
            <w:pPr>
              <w:pStyle w:val="TableText"/>
              <w:spacing w:before="40" w:after="40"/>
              <w:rPr>
                <w:rFonts w:cs="Calibri"/>
                <w:szCs w:val="16"/>
              </w:rPr>
            </w:pPr>
            <w:r w:rsidRPr="001D5327">
              <w:rPr>
                <w:rFonts w:eastAsia="Calibri" w:cs="Calibri"/>
                <w:szCs w:val="16"/>
              </w:rPr>
              <w:t>IPCC default</w:t>
            </w:r>
          </w:p>
        </w:tc>
        <w:tc>
          <w:tcPr>
            <w:tcW w:w="0" w:type="auto"/>
            <w:shd w:val="clear" w:color="auto" w:fill="FFFFFF"/>
            <w:tcMar>
              <w:top w:w="0" w:type="dxa"/>
              <w:left w:w="85" w:type="dxa"/>
              <w:bottom w:w="0" w:type="dxa"/>
              <w:right w:w="85" w:type="dxa"/>
            </w:tcMar>
          </w:tcPr>
          <w:p w14:paraId="76519044" w14:textId="77777777" w:rsidR="00BC0FD7" w:rsidRPr="001D5327" w:rsidRDefault="00BC0FD7" w:rsidP="00D11AC9">
            <w:pPr>
              <w:pStyle w:val="TableText"/>
              <w:spacing w:before="40" w:after="40"/>
              <w:rPr>
                <w:rFonts w:cs="Calibri"/>
                <w:szCs w:val="16"/>
              </w:rPr>
            </w:pPr>
            <w:r w:rsidRPr="001D5327">
              <w:rPr>
                <w:rFonts w:eastAsia="Calibri" w:cs="Calibri"/>
                <w:szCs w:val="16"/>
              </w:rPr>
              <w:t>IPCC (2006a)</w:t>
            </w:r>
          </w:p>
        </w:tc>
      </w:tr>
      <w:tr w:rsidR="00BC0FD7" w:rsidRPr="001D5327" w14:paraId="2F085444" w14:textId="77777777" w:rsidTr="00D11AC9">
        <w:tc>
          <w:tcPr>
            <w:tcW w:w="0" w:type="auto"/>
            <w:shd w:val="clear" w:color="auto" w:fill="FFFFFF"/>
            <w:tcMar>
              <w:top w:w="0" w:type="dxa"/>
              <w:left w:w="85" w:type="dxa"/>
              <w:bottom w:w="0" w:type="dxa"/>
              <w:right w:w="85" w:type="dxa"/>
            </w:tcMar>
          </w:tcPr>
          <w:p w14:paraId="707DBCF4" w14:textId="77777777" w:rsidR="00BC0FD7" w:rsidRPr="001D5327" w:rsidRDefault="00BC0FD7" w:rsidP="00D11AC9">
            <w:pPr>
              <w:pStyle w:val="TableText"/>
              <w:spacing w:before="40" w:after="40"/>
              <w:rPr>
                <w:rFonts w:cs="Calibri"/>
                <w:szCs w:val="16"/>
              </w:rPr>
            </w:pPr>
            <w:r w:rsidRPr="001D5327">
              <w:rPr>
                <w:rFonts w:eastAsia="Calibri" w:cs="Calibri"/>
                <w:szCs w:val="16"/>
              </w:rPr>
              <w:t>Methane correction factor</w:t>
            </w:r>
          </w:p>
        </w:tc>
        <w:tc>
          <w:tcPr>
            <w:tcW w:w="0" w:type="auto"/>
            <w:shd w:val="clear" w:color="auto" w:fill="FFFFFF"/>
            <w:tcMar>
              <w:top w:w="0" w:type="dxa"/>
              <w:left w:w="85" w:type="dxa"/>
              <w:bottom w:w="0" w:type="dxa"/>
              <w:right w:w="85" w:type="dxa"/>
            </w:tcMar>
          </w:tcPr>
          <w:p w14:paraId="22C6DE92" w14:textId="77777777" w:rsidR="00BC0FD7" w:rsidRPr="001D5327" w:rsidRDefault="00BC0FD7" w:rsidP="00D11AC9">
            <w:pPr>
              <w:pStyle w:val="TableText"/>
              <w:spacing w:before="40" w:after="40"/>
              <w:rPr>
                <w:rFonts w:cs="Calibri"/>
                <w:szCs w:val="16"/>
              </w:rPr>
            </w:pPr>
            <w:r w:rsidRPr="001D5327">
              <w:rPr>
                <w:rFonts w:eastAsia="Calibri" w:cs="Calibri"/>
                <w:szCs w:val="16"/>
              </w:rPr>
              <w:t>0.42</w:t>
            </w:r>
          </w:p>
        </w:tc>
        <w:tc>
          <w:tcPr>
            <w:tcW w:w="0" w:type="auto"/>
            <w:shd w:val="clear" w:color="auto" w:fill="FFFFFF"/>
            <w:tcMar>
              <w:top w:w="0" w:type="dxa"/>
              <w:left w:w="85" w:type="dxa"/>
              <w:bottom w:w="0" w:type="dxa"/>
              <w:right w:w="85" w:type="dxa"/>
            </w:tcMar>
          </w:tcPr>
          <w:p w14:paraId="42553951" w14:textId="77777777" w:rsidR="00BC0FD7" w:rsidRPr="001D5327" w:rsidRDefault="00BC0FD7" w:rsidP="00D11AC9">
            <w:pPr>
              <w:pStyle w:val="TableText"/>
              <w:spacing w:before="40" w:after="40"/>
              <w:rPr>
                <w:rFonts w:cs="Calibri"/>
                <w:szCs w:val="16"/>
              </w:rPr>
            </w:pPr>
            <w:r w:rsidRPr="001D5327">
              <w:rPr>
                <w:rFonts w:eastAsia="Calibri" w:cs="Calibri"/>
                <w:szCs w:val="16"/>
              </w:rPr>
              <w:t>Country specific</w:t>
            </w:r>
          </w:p>
        </w:tc>
        <w:tc>
          <w:tcPr>
            <w:tcW w:w="0" w:type="auto"/>
            <w:shd w:val="clear" w:color="auto" w:fill="FFFFFF"/>
            <w:tcMar>
              <w:top w:w="0" w:type="dxa"/>
              <w:left w:w="85" w:type="dxa"/>
              <w:bottom w:w="0" w:type="dxa"/>
              <w:right w:w="85" w:type="dxa"/>
            </w:tcMar>
          </w:tcPr>
          <w:p w14:paraId="5A84ADB1" w14:textId="77777777" w:rsidR="00BC0FD7" w:rsidRPr="001D5327" w:rsidRDefault="00BC0FD7" w:rsidP="00D11AC9">
            <w:pPr>
              <w:pStyle w:val="TableText"/>
              <w:spacing w:before="40" w:after="40"/>
              <w:rPr>
                <w:rFonts w:cs="Calibri"/>
                <w:szCs w:val="16"/>
              </w:rPr>
            </w:pPr>
            <w:r w:rsidRPr="001D5327">
              <w:rPr>
                <w:rFonts w:eastAsia="Calibri" w:cs="Calibri"/>
                <w:szCs w:val="16"/>
              </w:rPr>
              <w:t>Tonkin and Taylor Ltd (unpublished(b))</w:t>
            </w:r>
          </w:p>
        </w:tc>
      </w:tr>
      <w:tr w:rsidR="00BC0FD7" w:rsidRPr="001D5327" w14:paraId="3B48515B" w14:textId="77777777" w:rsidTr="00D11AC9">
        <w:tc>
          <w:tcPr>
            <w:tcW w:w="0" w:type="auto"/>
            <w:shd w:val="clear" w:color="auto" w:fill="FFFFFF"/>
            <w:tcMar>
              <w:top w:w="0" w:type="dxa"/>
              <w:left w:w="85" w:type="dxa"/>
              <w:bottom w:w="0" w:type="dxa"/>
              <w:right w:w="85" w:type="dxa"/>
            </w:tcMar>
          </w:tcPr>
          <w:p w14:paraId="6D957CEE" w14:textId="77777777" w:rsidR="00BC0FD7" w:rsidRPr="001D5327" w:rsidRDefault="00BC0FD7" w:rsidP="00D11AC9">
            <w:pPr>
              <w:pStyle w:val="TableText"/>
              <w:spacing w:before="40" w:after="40"/>
              <w:rPr>
                <w:rFonts w:cs="Calibri"/>
                <w:szCs w:val="16"/>
              </w:rPr>
            </w:pPr>
            <w:r w:rsidRPr="001D5327">
              <w:rPr>
                <w:rFonts w:eastAsia="Calibri" w:cs="Calibri"/>
                <w:szCs w:val="16"/>
              </w:rPr>
              <w:t>DOC (kt C/kt waste)</w:t>
            </w:r>
          </w:p>
        </w:tc>
        <w:tc>
          <w:tcPr>
            <w:tcW w:w="0" w:type="auto"/>
            <w:shd w:val="clear" w:color="auto" w:fill="FFFFFF"/>
            <w:tcMar>
              <w:top w:w="0" w:type="dxa"/>
              <w:left w:w="85" w:type="dxa"/>
              <w:bottom w:w="0" w:type="dxa"/>
              <w:right w:w="85" w:type="dxa"/>
            </w:tcMar>
          </w:tcPr>
          <w:p w14:paraId="1AE6BA90" w14:textId="77777777" w:rsidR="00BC0FD7" w:rsidRPr="001D5327" w:rsidRDefault="00BC0FD7" w:rsidP="00D11AC9">
            <w:pPr>
              <w:pStyle w:val="TableText"/>
              <w:spacing w:before="40" w:after="40"/>
              <w:rPr>
                <w:rFonts w:cs="Calibri"/>
                <w:szCs w:val="16"/>
              </w:rPr>
            </w:pPr>
            <w:r w:rsidRPr="001D5327">
              <w:rPr>
                <w:rFonts w:eastAsia="Calibri" w:cs="Calibri"/>
                <w:szCs w:val="16"/>
              </w:rPr>
              <w:t>0.04–0.39</w:t>
            </w:r>
          </w:p>
        </w:tc>
        <w:tc>
          <w:tcPr>
            <w:tcW w:w="0" w:type="auto"/>
            <w:shd w:val="clear" w:color="auto" w:fill="FFFFFF"/>
            <w:tcMar>
              <w:top w:w="0" w:type="dxa"/>
              <w:left w:w="85" w:type="dxa"/>
              <w:bottom w:w="0" w:type="dxa"/>
              <w:right w:w="85" w:type="dxa"/>
            </w:tcMar>
          </w:tcPr>
          <w:p w14:paraId="208FE2C8" w14:textId="77777777" w:rsidR="00BC0FD7" w:rsidRPr="001D5327" w:rsidRDefault="00BC0FD7" w:rsidP="00D11AC9">
            <w:pPr>
              <w:pStyle w:val="TableText"/>
              <w:spacing w:before="40" w:after="40"/>
              <w:rPr>
                <w:rFonts w:cs="Calibri"/>
                <w:szCs w:val="16"/>
              </w:rPr>
            </w:pPr>
            <w:r w:rsidRPr="001D5327">
              <w:rPr>
                <w:rFonts w:eastAsia="Calibri" w:cs="Calibri"/>
                <w:szCs w:val="16"/>
              </w:rPr>
              <w:t>Country specific</w:t>
            </w:r>
          </w:p>
        </w:tc>
        <w:tc>
          <w:tcPr>
            <w:tcW w:w="0" w:type="auto"/>
            <w:shd w:val="clear" w:color="auto" w:fill="FFFFFF"/>
            <w:tcMar>
              <w:top w:w="0" w:type="dxa"/>
              <w:left w:w="85" w:type="dxa"/>
              <w:bottom w:w="0" w:type="dxa"/>
              <w:right w:w="85" w:type="dxa"/>
            </w:tcMar>
          </w:tcPr>
          <w:p w14:paraId="4AFBDC89" w14:textId="77777777" w:rsidR="00BC0FD7" w:rsidRPr="001D5327" w:rsidRDefault="00BC0FD7" w:rsidP="00D11AC9">
            <w:pPr>
              <w:pStyle w:val="TableText"/>
              <w:spacing w:before="40" w:after="40"/>
              <w:rPr>
                <w:rFonts w:cs="Calibri"/>
                <w:szCs w:val="16"/>
              </w:rPr>
            </w:pPr>
            <w:r w:rsidRPr="001D5327">
              <w:rPr>
                <w:rFonts w:eastAsia="Calibri" w:cs="Calibri"/>
                <w:szCs w:val="16"/>
              </w:rPr>
              <w:t>Eunomia (unpublished(c)), IPCC (2006a)</w:t>
            </w:r>
          </w:p>
        </w:tc>
      </w:tr>
      <w:tr w:rsidR="00BC0FD7" w:rsidRPr="001D5327" w14:paraId="584B6FBF" w14:textId="77777777" w:rsidTr="00D11AC9">
        <w:tc>
          <w:tcPr>
            <w:tcW w:w="0" w:type="auto"/>
            <w:shd w:val="clear" w:color="auto" w:fill="FFFFFF"/>
            <w:tcMar>
              <w:top w:w="0" w:type="dxa"/>
              <w:left w:w="85" w:type="dxa"/>
              <w:bottom w:w="0" w:type="dxa"/>
              <w:right w:w="85" w:type="dxa"/>
            </w:tcMar>
          </w:tcPr>
          <w:p w14:paraId="6065E4E0" w14:textId="77777777" w:rsidR="00BC0FD7" w:rsidRPr="001D5327" w:rsidRDefault="00BC0FD7" w:rsidP="00D11AC9">
            <w:pPr>
              <w:pStyle w:val="Tableboldblue"/>
            </w:pPr>
            <w:r w:rsidRPr="001D5327">
              <w:t>Farm fills</w:t>
            </w:r>
          </w:p>
        </w:tc>
        <w:tc>
          <w:tcPr>
            <w:tcW w:w="0" w:type="auto"/>
            <w:shd w:val="clear" w:color="auto" w:fill="FFFFFF"/>
            <w:tcMar>
              <w:top w:w="0" w:type="dxa"/>
              <w:left w:w="85" w:type="dxa"/>
              <w:bottom w:w="0" w:type="dxa"/>
              <w:right w:w="85" w:type="dxa"/>
            </w:tcMar>
          </w:tcPr>
          <w:p w14:paraId="400A56E4" w14:textId="77777777" w:rsidR="00BC0FD7" w:rsidRPr="001D5327" w:rsidRDefault="00BC0FD7" w:rsidP="00D11AC9">
            <w:pPr>
              <w:pStyle w:val="Tableboldblue"/>
            </w:pPr>
          </w:p>
        </w:tc>
        <w:tc>
          <w:tcPr>
            <w:tcW w:w="0" w:type="auto"/>
            <w:shd w:val="clear" w:color="auto" w:fill="FFFFFF"/>
            <w:tcMar>
              <w:top w:w="0" w:type="dxa"/>
              <w:left w:w="85" w:type="dxa"/>
              <w:bottom w:w="0" w:type="dxa"/>
              <w:right w:w="85" w:type="dxa"/>
            </w:tcMar>
          </w:tcPr>
          <w:p w14:paraId="67B449C9" w14:textId="77777777" w:rsidR="00BC0FD7" w:rsidRPr="001D5327" w:rsidRDefault="00BC0FD7" w:rsidP="00D11AC9">
            <w:pPr>
              <w:pStyle w:val="Tableboldblue"/>
            </w:pPr>
          </w:p>
        </w:tc>
        <w:tc>
          <w:tcPr>
            <w:tcW w:w="0" w:type="auto"/>
            <w:shd w:val="clear" w:color="auto" w:fill="FFFFFF"/>
            <w:tcMar>
              <w:top w:w="0" w:type="dxa"/>
              <w:left w:w="85" w:type="dxa"/>
              <w:bottom w:w="0" w:type="dxa"/>
              <w:right w:w="85" w:type="dxa"/>
            </w:tcMar>
          </w:tcPr>
          <w:p w14:paraId="0A7F7F83" w14:textId="77777777" w:rsidR="00BC0FD7" w:rsidRPr="001D5327" w:rsidRDefault="00BC0FD7" w:rsidP="00D11AC9">
            <w:pPr>
              <w:pStyle w:val="Tableboldblue"/>
            </w:pPr>
          </w:p>
        </w:tc>
      </w:tr>
      <w:tr w:rsidR="00BC0FD7" w:rsidRPr="001D5327" w14:paraId="0FA07600" w14:textId="77777777" w:rsidTr="00D11AC9">
        <w:tc>
          <w:tcPr>
            <w:tcW w:w="0" w:type="auto"/>
            <w:shd w:val="clear" w:color="auto" w:fill="FFFFFF"/>
            <w:tcMar>
              <w:top w:w="0" w:type="dxa"/>
              <w:left w:w="85" w:type="dxa"/>
              <w:bottom w:w="0" w:type="dxa"/>
              <w:right w:w="85" w:type="dxa"/>
            </w:tcMar>
          </w:tcPr>
          <w:p w14:paraId="610AE433" w14:textId="77777777" w:rsidR="00BC0FD7" w:rsidRPr="001D5327" w:rsidRDefault="00BC0FD7" w:rsidP="00D11AC9">
            <w:pPr>
              <w:pStyle w:val="TableText"/>
              <w:spacing w:before="40" w:after="40"/>
              <w:rPr>
                <w:rFonts w:cs="Calibri"/>
                <w:szCs w:val="16"/>
              </w:rPr>
            </w:pPr>
            <w:r w:rsidRPr="001D5327">
              <w:rPr>
                <w:rFonts w:eastAsia="Calibri" w:cs="Calibri"/>
                <w:szCs w:val="16"/>
              </w:rPr>
              <w:t>k-value</w:t>
            </w:r>
          </w:p>
        </w:tc>
        <w:tc>
          <w:tcPr>
            <w:tcW w:w="0" w:type="auto"/>
            <w:shd w:val="clear" w:color="auto" w:fill="FFFFFF"/>
            <w:tcMar>
              <w:top w:w="0" w:type="dxa"/>
              <w:left w:w="85" w:type="dxa"/>
              <w:bottom w:w="0" w:type="dxa"/>
              <w:right w:w="85" w:type="dxa"/>
            </w:tcMar>
          </w:tcPr>
          <w:p w14:paraId="79E1755B" w14:textId="77777777" w:rsidR="00BC0FD7" w:rsidRPr="001D5327" w:rsidRDefault="00BC0FD7" w:rsidP="00D11AC9">
            <w:pPr>
              <w:pStyle w:val="TableText"/>
              <w:spacing w:before="40" w:after="40"/>
              <w:rPr>
                <w:rFonts w:cs="Calibri"/>
                <w:szCs w:val="16"/>
              </w:rPr>
            </w:pPr>
            <w:r w:rsidRPr="001D5327">
              <w:rPr>
                <w:rFonts w:eastAsia="Calibri" w:cs="Calibri"/>
                <w:szCs w:val="16"/>
              </w:rPr>
              <w:t>0.09</w:t>
            </w:r>
          </w:p>
        </w:tc>
        <w:tc>
          <w:tcPr>
            <w:tcW w:w="0" w:type="auto"/>
            <w:shd w:val="clear" w:color="auto" w:fill="FFFFFF"/>
            <w:tcMar>
              <w:top w:w="0" w:type="dxa"/>
              <w:left w:w="85" w:type="dxa"/>
              <w:bottom w:w="0" w:type="dxa"/>
              <w:right w:w="85" w:type="dxa"/>
            </w:tcMar>
          </w:tcPr>
          <w:p w14:paraId="5960156D" w14:textId="77777777" w:rsidR="00BC0FD7" w:rsidRPr="001D5327" w:rsidRDefault="00BC0FD7" w:rsidP="00D11AC9">
            <w:pPr>
              <w:pStyle w:val="TableText"/>
              <w:spacing w:before="40" w:after="40"/>
              <w:rPr>
                <w:rFonts w:cs="Calibri"/>
                <w:szCs w:val="16"/>
              </w:rPr>
            </w:pPr>
            <w:r w:rsidRPr="001D5327">
              <w:rPr>
                <w:rFonts w:eastAsia="Calibri" w:cs="Calibri"/>
                <w:szCs w:val="16"/>
              </w:rPr>
              <w:t>IPCC default</w:t>
            </w:r>
          </w:p>
        </w:tc>
        <w:tc>
          <w:tcPr>
            <w:tcW w:w="0" w:type="auto"/>
            <w:shd w:val="clear" w:color="auto" w:fill="FFFFFF"/>
            <w:tcMar>
              <w:top w:w="0" w:type="dxa"/>
              <w:left w:w="85" w:type="dxa"/>
              <w:bottom w:w="0" w:type="dxa"/>
              <w:right w:w="85" w:type="dxa"/>
            </w:tcMar>
          </w:tcPr>
          <w:p w14:paraId="5622C9B1" w14:textId="77777777" w:rsidR="00BC0FD7" w:rsidRPr="001D5327" w:rsidRDefault="00BC0FD7" w:rsidP="00D11AC9">
            <w:pPr>
              <w:pStyle w:val="TableText"/>
              <w:spacing w:before="40" w:after="40"/>
              <w:rPr>
                <w:rFonts w:cs="Calibri"/>
                <w:szCs w:val="16"/>
              </w:rPr>
            </w:pPr>
            <w:r w:rsidRPr="001D5327">
              <w:rPr>
                <w:rFonts w:eastAsia="Calibri" w:cs="Calibri"/>
                <w:szCs w:val="16"/>
              </w:rPr>
              <w:t>IPCC (2006a)</w:t>
            </w:r>
          </w:p>
        </w:tc>
      </w:tr>
      <w:tr w:rsidR="00BC0FD7" w:rsidRPr="001D5327" w14:paraId="2378D549" w14:textId="77777777" w:rsidTr="00D11AC9">
        <w:tc>
          <w:tcPr>
            <w:tcW w:w="0" w:type="auto"/>
            <w:shd w:val="clear" w:color="auto" w:fill="FFFFFF"/>
            <w:tcMar>
              <w:top w:w="0" w:type="dxa"/>
              <w:left w:w="85" w:type="dxa"/>
              <w:bottom w:w="0" w:type="dxa"/>
              <w:right w:w="85" w:type="dxa"/>
            </w:tcMar>
          </w:tcPr>
          <w:p w14:paraId="19DBAAA8" w14:textId="77777777" w:rsidR="00BC0FD7" w:rsidRPr="001D5327" w:rsidRDefault="00BC0FD7" w:rsidP="00D11AC9">
            <w:pPr>
              <w:pStyle w:val="TableText"/>
              <w:spacing w:before="40" w:after="40"/>
              <w:rPr>
                <w:rFonts w:cs="Calibri"/>
                <w:szCs w:val="16"/>
              </w:rPr>
            </w:pPr>
            <w:r w:rsidRPr="001D5327">
              <w:rPr>
                <w:rFonts w:eastAsia="Calibri" w:cs="Calibri"/>
                <w:szCs w:val="16"/>
              </w:rPr>
              <w:t>Methane correction factor</w:t>
            </w:r>
          </w:p>
        </w:tc>
        <w:tc>
          <w:tcPr>
            <w:tcW w:w="0" w:type="auto"/>
            <w:shd w:val="clear" w:color="auto" w:fill="FFFFFF"/>
            <w:tcMar>
              <w:top w:w="0" w:type="dxa"/>
              <w:left w:w="85" w:type="dxa"/>
              <w:bottom w:w="0" w:type="dxa"/>
              <w:right w:w="85" w:type="dxa"/>
            </w:tcMar>
          </w:tcPr>
          <w:p w14:paraId="1B2E9B8B" w14:textId="77777777" w:rsidR="00BC0FD7" w:rsidRPr="001D5327" w:rsidRDefault="00BC0FD7" w:rsidP="00D11AC9">
            <w:pPr>
              <w:pStyle w:val="TableText"/>
              <w:spacing w:before="40" w:after="40"/>
              <w:rPr>
                <w:rFonts w:cs="Calibri"/>
                <w:szCs w:val="16"/>
              </w:rPr>
            </w:pPr>
            <w:r w:rsidRPr="001D5327">
              <w:rPr>
                <w:rFonts w:eastAsia="Calibri" w:cs="Calibri"/>
                <w:szCs w:val="16"/>
              </w:rPr>
              <w:t>0.44</w:t>
            </w:r>
          </w:p>
        </w:tc>
        <w:tc>
          <w:tcPr>
            <w:tcW w:w="0" w:type="auto"/>
            <w:shd w:val="clear" w:color="auto" w:fill="FFFFFF"/>
            <w:tcMar>
              <w:top w:w="0" w:type="dxa"/>
              <w:left w:w="85" w:type="dxa"/>
              <w:bottom w:w="0" w:type="dxa"/>
              <w:right w:w="85" w:type="dxa"/>
            </w:tcMar>
          </w:tcPr>
          <w:p w14:paraId="6611D2EC" w14:textId="77777777" w:rsidR="00BC0FD7" w:rsidRPr="001D5327" w:rsidRDefault="00BC0FD7" w:rsidP="00D11AC9">
            <w:pPr>
              <w:pStyle w:val="TableText"/>
              <w:spacing w:before="40" w:after="40"/>
              <w:rPr>
                <w:rFonts w:cs="Calibri"/>
                <w:szCs w:val="16"/>
              </w:rPr>
            </w:pPr>
            <w:r w:rsidRPr="001D5327">
              <w:rPr>
                <w:rFonts w:eastAsia="Calibri" w:cs="Calibri"/>
                <w:szCs w:val="16"/>
              </w:rPr>
              <w:t>Country specific</w:t>
            </w:r>
          </w:p>
        </w:tc>
        <w:tc>
          <w:tcPr>
            <w:tcW w:w="0" w:type="auto"/>
            <w:shd w:val="clear" w:color="auto" w:fill="FFFFFF"/>
            <w:tcMar>
              <w:top w:w="0" w:type="dxa"/>
              <w:left w:w="85" w:type="dxa"/>
              <w:bottom w:w="0" w:type="dxa"/>
              <w:right w:w="85" w:type="dxa"/>
            </w:tcMar>
          </w:tcPr>
          <w:p w14:paraId="54D5A71D" w14:textId="77777777" w:rsidR="00BC0FD7" w:rsidRPr="001D5327" w:rsidRDefault="00BC0FD7" w:rsidP="00D11AC9">
            <w:pPr>
              <w:pStyle w:val="TableText"/>
              <w:spacing w:before="40" w:after="40"/>
              <w:rPr>
                <w:rFonts w:cs="Calibri"/>
                <w:szCs w:val="16"/>
              </w:rPr>
            </w:pPr>
            <w:r w:rsidRPr="001D5327">
              <w:rPr>
                <w:rFonts w:eastAsia="Calibri" w:cs="Calibri"/>
                <w:szCs w:val="16"/>
              </w:rPr>
              <w:t>Tonkin and Taylor Ltd (unpublished(b))</w:t>
            </w:r>
          </w:p>
        </w:tc>
      </w:tr>
      <w:tr w:rsidR="00BC0FD7" w:rsidRPr="001D5327" w14:paraId="313876BF" w14:textId="77777777" w:rsidTr="00D11AC9">
        <w:tc>
          <w:tcPr>
            <w:tcW w:w="0" w:type="auto"/>
            <w:shd w:val="clear" w:color="auto" w:fill="FFFFFF"/>
            <w:tcMar>
              <w:top w:w="0" w:type="dxa"/>
              <w:left w:w="85" w:type="dxa"/>
              <w:bottom w:w="0" w:type="dxa"/>
              <w:right w:w="85" w:type="dxa"/>
            </w:tcMar>
          </w:tcPr>
          <w:p w14:paraId="6D9B0B83" w14:textId="77777777" w:rsidR="00BC0FD7" w:rsidRPr="001D5327" w:rsidRDefault="00BC0FD7" w:rsidP="00D11AC9">
            <w:pPr>
              <w:pStyle w:val="TableText"/>
              <w:spacing w:before="40" w:after="40"/>
              <w:rPr>
                <w:rFonts w:cs="Calibri"/>
                <w:szCs w:val="16"/>
              </w:rPr>
            </w:pPr>
            <w:r w:rsidRPr="001D5327">
              <w:rPr>
                <w:rFonts w:eastAsia="Calibri" w:cs="Calibri"/>
                <w:szCs w:val="16"/>
              </w:rPr>
              <w:t>DOC (kt C/kt waste)</w:t>
            </w:r>
          </w:p>
        </w:tc>
        <w:tc>
          <w:tcPr>
            <w:tcW w:w="0" w:type="auto"/>
            <w:shd w:val="clear" w:color="auto" w:fill="FFFFFF"/>
            <w:tcMar>
              <w:top w:w="0" w:type="dxa"/>
              <w:left w:w="85" w:type="dxa"/>
              <w:bottom w:w="0" w:type="dxa"/>
              <w:right w:w="85" w:type="dxa"/>
            </w:tcMar>
          </w:tcPr>
          <w:p w14:paraId="7015910E" w14:textId="77777777" w:rsidR="00BC0FD7" w:rsidRPr="001D5327" w:rsidRDefault="00BC0FD7" w:rsidP="00D11AC9">
            <w:pPr>
              <w:pStyle w:val="TableText"/>
              <w:spacing w:before="40" w:after="40"/>
              <w:rPr>
                <w:rFonts w:cs="Calibri"/>
                <w:szCs w:val="16"/>
              </w:rPr>
            </w:pPr>
            <w:r w:rsidRPr="001D5327">
              <w:rPr>
                <w:rFonts w:eastAsia="Calibri" w:cs="Calibri"/>
                <w:szCs w:val="16"/>
              </w:rPr>
              <w:t>0.214–0.331</w:t>
            </w:r>
          </w:p>
        </w:tc>
        <w:tc>
          <w:tcPr>
            <w:tcW w:w="0" w:type="auto"/>
            <w:shd w:val="clear" w:color="auto" w:fill="FFFFFF"/>
            <w:tcMar>
              <w:top w:w="0" w:type="dxa"/>
              <w:left w:w="85" w:type="dxa"/>
              <w:bottom w:w="0" w:type="dxa"/>
              <w:right w:w="85" w:type="dxa"/>
            </w:tcMar>
          </w:tcPr>
          <w:p w14:paraId="066AB8A8" w14:textId="77777777" w:rsidR="00BC0FD7" w:rsidRPr="001D5327" w:rsidRDefault="00BC0FD7" w:rsidP="00D11AC9">
            <w:pPr>
              <w:pStyle w:val="TableText"/>
              <w:spacing w:before="40" w:after="40"/>
              <w:rPr>
                <w:rFonts w:cs="Calibri"/>
                <w:szCs w:val="16"/>
              </w:rPr>
            </w:pPr>
            <w:r w:rsidRPr="001D5327">
              <w:rPr>
                <w:rFonts w:eastAsia="Calibri" w:cs="Calibri"/>
                <w:szCs w:val="16"/>
              </w:rPr>
              <w:t>Country specific</w:t>
            </w:r>
          </w:p>
        </w:tc>
        <w:tc>
          <w:tcPr>
            <w:tcW w:w="0" w:type="auto"/>
            <w:shd w:val="clear" w:color="auto" w:fill="FFFFFF"/>
            <w:tcMar>
              <w:top w:w="0" w:type="dxa"/>
              <w:left w:w="85" w:type="dxa"/>
              <w:bottom w:w="0" w:type="dxa"/>
              <w:right w:w="85" w:type="dxa"/>
            </w:tcMar>
          </w:tcPr>
          <w:p w14:paraId="473AAE2B" w14:textId="77777777" w:rsidR="00BC0FD7" w:rsidRPr="001D5327" w:rsidRDefault="00BC0FD7" w:rsidP="00D11AC9">
            <w:pPr>
              <w:pStyle w:val="TableText"/>
              <w:spacing w:before="40" w:after="40"/>
              <w:rPr>
                <w:rFonts w:cs="Calibri"/>
                <w:szCs w:val="16"/>
              </w:rPr>
            </w:pPr>
            <w:r w:rsidRPr="001D5327">
              <w:rPr>
                <w:rFonts w:eastAsia="Calibri" w:cs="Calibri"/>
                <w:szCs w:val="16"/>
              </w:rPr>
              <w:t>GHD (2013, 2014)</w:t>
            </w:r>
          </w:p>
        </w:tc>
      </w:tr>
      <w:tr w:rsidR="00BC0FD7" w:rsidRPr="001D5327" w14:paraId="70D5F77E" w14:textId="77777777" w:rsidTr="00D11AC9">
        <w:tc>
          <w:tcPr>
            <w:tcW w:w="0" w:type="auto"/>
            <w:shd w:val="clear" w:color="auto" w:fill="FFFFFF"/>
            <w:tcMar>
              <w:top w:w="0" w:type="dxa"/>
              <w:left w:w="85" w:type="dxa"/>
              <w:bottom w:w="0" w:type="dxa"/>
              <w:right w:w="85" w:type="dxa"/>
            </w:tcMar>
          </w:tcPr>
          <w:p w14:paraId="5E305008" w14:textId="77777777" w:rsidR="00BC0FD7" w:rsidRPr="001D5327" w:rsidRDefault="00BC0FD7" w:rsidP="00D11AC9">
            <w:pPr>
              <w:pStyle w:val="Tableboldblue"/>
            </w:pPr>
            <w:r w:rsidRPr="001D5327">
              <w:t>All sites</w:t>
            </w:r>
          </w:p>
        </w:tc>
        <w:tc>
          <w:tcPr>
            <w:tcW w:w="0" w:type="auto"/>
            <w:shd w:val="clear" w:color="auto" w:fill="FFFFFF"/>
            <w:tcMar>
              <w:top w:w="0" w:type="dxa"/>
              <w:left w:w="85" w:type="dxa"/>
              <w:bottom w:w="0" w:type="dxa"/>
              <w:right w:w="85" w:type="dxa"/>
            </w:tcMar>
          </w:tcPr>
          <w:p w14:paraId="7E7B2A27" w14:textId="77777777" w:rsidR="00BC0FD7" w:rsidRPr="001D5327" w:rsidRDefault="00BC0FD7" w:rsidP="00D11AC9">
            <w:pPr>
              <w:pStyle w:val="Tableboldblue"/>
            </w:pPr>
          </w:p>
        </w:tc>
        <w:tc>
          <w:tcPr>
            <w:tcW w:w="0" w:type="auto"/>
            <w:shd w:val="clear" w:color="auto" w:fill="FFFFFF"/>
            <w:tcMar>
              <w:top w:w="0" w:type="dxa"/>
              <w:left w:w="85" w:type="dxa"/>
              <w:bottom w:w="0" w:type="dxa"/>
              <w:right w:w="85" w:type="dxa"/>
            </w:tcMar>
          </w:tcPr>
          <w:p w14:paraId="560D25E9" w14:textId="77777777" w:rsidR="00BC0FD7" w:rsidRPr="001D5327" w:rsidRDefault="00BC0FD7" w:rsidP="00D11AC9">
            <w:pPr>
              <w:pStyle w:val="Tableboldblue"/>
            </w:pPr>
          </w:p>
        </w:tc>
        <w:tc>
          <w:tcPr>
            <w:tcW w:w="0" w:type="auto"/>
            <w:shd w:val="clear" w:color="auto" w:fill="FFFFFF"/>
            <w:tcMar>
              <w:top w:w="0" w:type="dxa"/>
              <w:left w:w="85" w:type="dxa"/>
              <w:bottom w:w="0" w:type="dxa"/>
              <w:right w:w="85" w:type="dxa"/>
            </w:tcMar>
          </w:tcPr>
          <w:p w14:paraId="51742C57" w14:textId="77777777" w:rsidR="00BC0FD7" w:rsidRPr="001D5327" w:rsidRDefault="00BC0FD7" w:rsidP="00D11AC9">
            <w:pPr>
              <w:pStyle w:val="Tableboldblue"/>
            </w:pPr>
          </w:p>
        </w:tc>
      </w:tr>
      <w:tr w:rsidR="00BC0FD7" w:rsidRPr="001D5327" w14:paraId="0075BEB8" w14:textId="77777777" w:rsidTr="00D11AC9">
        <w:tc>
          <w:tcPr>
            <w:tcW w:w="0" w:type="auto"/>
            <w:shd w:val="clear" w:color="auto" w:fill="FFFFFF"/>
            <w:tcMar>
              <w:top w:w="0" w:type="dxa"/>
              <w:left w:w="85" w:type="dxa"/>
              <w:bottom w:w="0" w:type="dxa"/>
              <w:right w:w="85" w:type="dxa"/>
            </w:tcMar>
          </w:tcPr>
          <w:p w14:paraId="5B84A092" w14:textId="77777777" w:rsidR="00BC0FD7" w:rsidRPr="001D5327" w:rsidRDefault="00BC0FD7" w:rsidP="00D11AC9">
            <w:pPr>
              <w:pStyle w:val="TableText"/>
              <w:spacing w:before="40" w:after="40"/>
              <w:rPr>
                <w:rFonts w:cs="Calibri"/>
                <w:szCs w:val="16"/>
              </w:rPr>
            </w:pPr>
            <w:r w:rsidRPr="001D5327">
              <w:rPr>
                <w:rFonts w:eastAsia="Calibri" w:cs="Calibri"/>
                <w:szCs w:val="16"/>
              </w:rPr>
              <w:t>Oxidation factor</w:t>
            </w:r>
          </w:p>
        </w:tc>
        <w:tc>
          <w:tcPr>
            <w:tcW w:w="0" w:type="auto"/>
            <w:shd w:val="clear" w:color="auto" w:fill="FFFFFF"/>
            <w:tcMar>
              <w:top w:w="0" w:type="dxa"/>
              <w:left w:w="85" w:type="dxa"/>
              <w:bottom w:w="0" w:type="dxa"/>
              <w:right w:w="85" w:type="dxa"/>
            </w:tcMar>
          </w:tcPr>
          <w:p w14:paraId="0A10EE5D" w14:textId="77777777" w:rsidR="00BC0FD7" w:rsidRPr="001D5327" w:rsidRDefault="00BC0FD7" w:rsidP="00D11AC9">
            <w:pPr>
              <w:pStyle w:val="TableText"/>
              <w:spacing w:before="40" w:after="40"/>
              <w:rPr>
                <w:rFonts w:cs="Calibri"/>
                <w:szCs w:val="16"/>
              </w:rPr>
            </w:pPr>
            <w:r w:rsidRPr="001D5327">
              <w:rPr>
                <w:rFonts w:eastAsia="Calibri" w:cs="Calibri"/>
                <w:szCs w:val="16"/>
              </w:rPr>
              <w:t>0</w:t>
            </w:r>
          </w:p>
        </w:tc>
        <w:tc>
          <w:tcPr>
            <w:tcW w:w="0" w:type="auto"/>
            <w:shd w:val="clear" w:color="auto" w:fill="FFFFFF"/>
            <w:tcMar>
              <w:top w:w="0" w:type="dxa"/>
              <w:left w:w="85" w:type="dxa"/>
              <w:bottom w:w="0" w:type="dxa"/>
              <w:right w:w="85" w:type="dxa"/>
            </w:tcMar>
          </w:tcPr>
          <w:p w14:paraId="469519C9" w14:textId="77777777" w:rsidR="00BC0FD7" w:rsidRPr="001D5327" w:rsidRDefault="00BC0FD7" w:rsidP="00D11AC9">
            <w:pPr>
              <w:pStyle w:val="TableText"/>
              <w:spacing w:before="40" w:after="40"/>
              <w:rPr>
                <w:rFonts w:cs="Calibri"/>
                <w:szCs w:val="16"/>
              </w:rPr>
            </w:pPr>
            <w:r w:rsidRPr="001D5327">
              <w:rPr>
                <w:rFonts w:eastAsia="Calibri" w:cs="Calibri"/>
                <w:szCs w:val="16"/>
              </w:rPr>
              <w:t>IPCC default</w:t>
            </w:r>
          </w:p>
        </w:tc>
        <w:tc>
          <w:tcPr>
            <w:tcW w:w="0" w:type="auto"/>
            <w:shd w:val="clear" w:color="auto" w:fill="FFFFFF"/>
            <w:tcMar>
              <w:top w:w="0" w:type="dxa"/>
              <w:left w:w="85" w:type="dxa"/>
              <w:bottom w:w="0" w:type="dxa"/>
              <w:right w:w="85" w:type="dxa"/>
            </w:tcMar>
          </w:tcPr>
          <w:p w14:paraId="610B101B" w14:textId="77777777" w:rsidR="00BC0FD7" w:rsidRPr="001D5327" w:rsidRDefault="00BC0FD7" w:rsidP="00D11AC9">
            <w:pPr>
              <w:pStyle w:val="TableText"/>
              <w:spacing w:before="40" w:after="40"/>
              <w:rPr>
                <w:rFonts w:cs="Calibri"/>
                <w:szCs w:val="16"/>
              </w:rPr>
            </w:pPr>
            <w:r w:rsidRPr="001D5327">
              <w:rPr>
                <w:rFonts w:eastAsia="Calibri" w:cs="Calibri"/>
                <w:szCs w:val="16"/>
              </w:rPr>
              <w:t>IPCC (2006a)</w:t>
            </w:r>
          </w:p>
        </w:tc>
      </w:tr>
      <w:tr w:rsidR="00BC0FD7" w:rsidRPr="001D5327" w14:paraId="78FFB060" w14:textId="77777777" w:rsidTr="00D11AC9">
        <w:tc>
          <w:tcPr>
            <w:tcW w:w="0" w:type="auto"/>
            <w:shd w:val="clear" w:color="auto" w:fill="FFFFFF"/>
            <w:tcMar>
              <w:top w:w="0" w:type="dxa"/>
              <w:left w:w="85" w:type="dxa"/>
              <w:bottom w:w="0" w:type="dxa"/>
              <w:right w:w="85" w:type="dxa"/>
            </w:tcMar>
          </w:tcPr>
          <w:p w14:paraId="40224354" w14:textId="77777777" w:rsidR="00BC0FD7" w:rsidRPr="001D5327" w:rsidRDefault="00BC0FD7" w:rsidP="00D11AC9">
            <w:pPr>
              <w:pStyle w:val="TableText"/>
              <w:spacing w:before="40" w:after="40"/>
              <w:rPr>
                <w:rFonts w:cs="Calibri"/>
                <w:szCs w:val="16"/>
              </w:rPr>
            </w:pPr>
            <w:r w:rsidRPr="001D5327">
              <w:rPr>
                <w:rFonts w:eastAsia="Calibri" w:cs="Calibri"/>
                <w:szCs w:val="16"/>
              </w:rPr>
              <w:t>Starting year</w:t>
            </w:r>
          </w:p>
        </w:tc>
        <w:tc>
          <w:tcPr>
            <w:tcW w:w="0" w:type="auto"/>
            <w:shd w:val="clear" w:color="auto" w:fill="FFFFFF"/>
            <w:tcMar>
              <w:top w:w="0" w:type="dxa"/>
              <w:left w:w="85" w:type="dxa"/>
              <w:bottom w:w="0" w:type="dxa"/>
              <w:right w:w="85" w:type="dxa"/>
            </w:tcMar>
          </w:tcPr>
          <w:p w14:paraId="7D7DC6FA" w14:textId="77777777" w:rsidR="00BC0FD7" w:rsidRPr="001D5327" w:rsidRDefault="00BC0FD7" w:rsidP="00D11AC9">
            <w:pPr>
              <w:pStyle w:val="TableText"/>
              <w:spacing w:before="40" w:after="40"/>
              <w:rPr>
                <w:rFonts w:cs="Calibri"/>
                <w:szCs w:val="16"/>
              </w:rPr>
            </w:pPr>
            <w:r w:rsidRPr="001D5327">
              <w:rPr>
                <w:rFonts w:eastAsia="Calibri" w:cs="Calibri"/>
                <w:szCs w:val="16"/>
              </w:rPr>
              <w:t>1950</w:t>
            </w:r>
          </w:p>
        </w:tc>
        <w:tc>
          <w:tcPr>
            <w:tcW w:w="0" w:type="auto"/>
            <w:shd w:val="clear" w:color="auto" w:fill="FFFFFF"/>
            <w:tcMar>
              <w:top w:w="0" w:type="dxa"/>
              <w:left w:w="85" w:type="dxa"/>
              <w:bottom w:w="0" w:type="dxa"/>
              <w:right w:w="85" w:type="dxa"/>
            </w:tcMar>
          </w:tcPr>
          <w:p w14:paraId="5D476BD7" w14:textId="77777777" w:rsidR="00BC0FD7" w:rsidRPr="001D5327" w:rsidRDefault="00BC0FD7" w:rsidP="00D11AC9">
            <w:pPr>
              <w:pStyle w:val="TableText"/>
              <w:spacing w:before="40" w:after="40"/>
              <w:rPr>
                <w:rFonts w:cs="Calibri"/>
                <w:szCs w:val="16"/>
              </w:rPr>
            </w:pPr>
            <w:r w:rsidRPr="001D5327">
              <w:rPr>
                <w:rFonts w:eastAsia="Calibri" w:cs="Calibri"/>
                <w:szCs w:val="16"/>
              </w:rPr>
              <w:t>IPCC default</w:t>
            </w:r>
          </w:p>
        </w:tc>
        <w:tc>
          <w:tcPr>
            <w:tcW w:w="0" w:type="auto"/>
            <w:shd w:val="clear" w:color="auto" w:fill="FFFFFF"/>
            <w:tcMar>
              <w:top w:w="0" w:type="dxa"/>
              <w:left w:w="85" w:type="dxa"/>
              <w:bottom w:w="0" w:type="dxa"/>
              <w:right w:w="85" w:type="dxa"/>
            </w:tcMar>
          </w:tcPr>
          <w:p w14:paraId="1800FD3C" w14:textId="77777777" w:rsidR="00BC0FD7" w:rsidRPr="001D5327" w:rsidRDefault="00BC0FD7" w:rsidP="00D11AC9">
            <w:pPr>
              <w:pStyle w:val="TableText"/>
              <w:spacing w:before="40" w:after="40"/>
              <w:rPr>
                <w:rFonts w:cs="Calibri"/>
                <w:szCs w:val="16"/>
              </w:rPr>
            </w:pPr>
            <w:r w:rsidRPr="001D5327">
              <w:rPr>
                <w:rFonts w:eastAsia="Calibri" w:cs="Calibri"/>
                <w:szCs w:val="16"/>
              </w:rPr>
              <w:t>IPCC (2006a)</w:t>
            </w:r>
          </w:p>
        </w:tc>
      </w:tr>
      <w:tr w:rsidR="00BC0FD7" w:rsidRPr="001D5327" w14:paraId="2A00996A" w14:textId="77777777" w:rsidTr="00D11AC9">
        <w:tc>
          <w:tcPr>
            <w:tcW w:w="0" w:type="auto"/>
            <w:shd w:val="clear" w:color="auto" w:fill="FFFFFF"/>
            <w:tcMar>
              <w:top w:w="0" w:type="dxa"/>
              <w:left w:w="85" w:type="dxa"/>
              <w:bottom w:w="0" w:type="dxa"/>
              <w:right w:w="85" w:type="dxa"/>
            </w:tcMar>
          </w:tcPr>
          <w:p w14:paraId="041E3AF4" w14:textId="77777777" w:rsidR="00BC0FD7" w:rsidRPr="001D5327" w:rsidRDefault="00BC0FD7" w:rsidP="00D11AC9">
            <w:pPr>
              <w:pStyle w:val="TableText"/>
              <w:spacing w:before="40" w:after="40"/>
              <w:rPr>
                <w:rFonts w:cs="Calibri"/>
                <w:szCs w:val="16"/>
              </w:rPr>
            </w:pPr>
            <w:r w:rsidRPr="001D5327">
              <w:rPr>
                <w:rFonts w:eastAsia="Calibri" w:cs="Calibri"/>
                <w:szCs w:val="16"/>
              </w:rPr>
              <w:t>Delay time</w:t>
            </w:r>
          </w:p>
        </w:tc>
        <w:tc>
          <w:tcPr>
            <w:tcW w:w="0" w:type="auto"/>
            <w:shd w:val="clear" w:color="auto" w:fill="FFFFFF"/>
            <w:tcMar>
              <w:top w:w="0" w:type="dxa"/>
              <w:left w:w="85" w:type="dxa"/>
              <w:bottom w:w="0" w:type="dxa"/>
              <w:right w:w="85" w:type="dxa"/>
            </w:tcMar>
          </w:tcPr>
          <w:p w14:paraId="16C861A8" w14:textId="77777777" w:rsidR="00BC0FD7" w:rsidRPr="001D5327" w:rsidRDefault="00BC0FD7" w:rsidP="00D11AC9">
            <w:pPr>
              <w:pStyle w:val="TableText"/>
              <w:spacing w:before="40" w:after="40"/>
              <w:rPr>
                <w:rFonts w:cs="Calibri"/>
                <w:szCs w:val="16"/>
              </w:rPr>
            </w:pPr>
            <w:r w:rsidRPr="001D5327">
              <w:rPr>
                <w:rFonts w:eastAsia="Calibri" w:cs="Calibri"/>
                <w:szCs w:val="16"/>
              </w:rPr>
              <w:t>6 months</w:t>
            </w:r>
          </w:p>
        </w:tc>
        <w:tc>
          <w:tcPr>
            <w:tcW w:w="0" w:type="auto"/>
            <w:shd w:val="clear" w:color="auto" w:fill="FFFFFF"/>
            <w:tcMar>
              <w:top w:w="0" w:type="dxa"/>
              <w:left w:w="85" w:type="dxa"/>
              <w:bottom w:w="0" w:type="dxa"/>
              <w:right w:w="85" w:type="dxa"/>
            </w:tcMar>
          </w:tcPr>
          <w:p w14:paraId="20573AA8" w14:textId="77777777" w:rsidR="00BC0FD7" w:rsidRPr="001D5327" w:rsidRDefault="00BC0FD7" w:rsidP="00D11AC9">
            <w:pPr>
              <w:pStyle w:val="TableText"/>
              <w:spacing w:before="40" w:after="40"/>
              <w:rPr>
                <w:rFonts w:cs="Calibri"/>
                <w:szCs w:val="16"/>
              </w:rPr>
            </w:pPr>
            <w:r w:rsidRPr="001D5327">
              <w:rPr>
                <w:rFonts w:eastAsia="Calibri" w:cs="Calibri"/>
                <w:szCs w:val="16"/>
              </w:rPr>
              <w:t>IPCC default</w:t>
            </w:r>
          </w:p>
        </w:tc>
        <w:tc>
          <w:tcPr>
            <w:tcW w:w="0" w:type="auto"/>
            <w:shd w:val="clear" w:color="auto" w:fill="FFFFFF"/>
            <w:tcMar>
              <w:top w:w="0" w:type="dxa"/>
              <w:left w:w="85" w:type="dxa"/>
              <w:bottom w:w="0" w:type="dxa"/>
              <w:right w:w="85" w:type="dxa"/>
            </w:tcMar>
          </w:tcPr>
          <w:p w14:paraId="4D720397" w14:textId="77777777" w:rsidR="00BC0FD7" w:rsidRPr="001D5327" w:rsidRDefault="00BC0FD7" w:rsidP="00D11AC9">
            <w:pPr>
              <w:pStyle w:val="TableText"/>
              <w:spacing w:before="40" w:after="40"/>
              <w:rPr>
                <w:rFonts w:cs="Calibri"/>
                <w:szCs w:val="16"/>
              </w:rPr>
            </w:pPr>
            <w:r w:rsidRPr="001D5327">
              <w:rPr>
                <w:rFonts w:eastAsia="Calibri" w:cs="Calibri"/>
                <w:szCs w:val="16"/>
              </w:rPr>
              <w:t>IPCC (2006a)</w:t>
            </w:r>
          </w:p>
        </w:tc>
      </w:tr>
      <w:tr w:rsidR="00BC0FD7" w:rsidRPr="001D5327" w14:paraId="05027A29" w14:textId="77777777" w:rsidTr="00D11AC9">
        <w:tc>
          <w:tcPr>
            <w:tcW w:w="0" w:type="auto"/>
            <w:shd w:val="clear" w:color="auto" w:fill="FFFFFF"/>
            <w:tcMar>
              <w:top w:w="0" w:type="dxa"/>
              <w:left w:w="85" w:type="dxa"/>
              <w:bottom w:w="0" w:type="dxa"/>
              <w:right w:w="85" w:type="dxa"/>
            </w:tcMar>
          </w:tcPr>
          <w:p w14:paraId="740A3E03" w14:textId="77777777" w:rsidR="00BC0FD7" w:rsidRPr="001D5327" w:rsidRDefault="00BC0FD7" w:rsidP="00D11AC9">
            <w:pPr>
              <w:pStyle w:val="TableText"/>
              <w:spacing w:before="40" w:after="40"/>
              <w:rPr>
                <w:rFonts w:cs="Calibri"/>
                <w:szCs w:val="16"/>
              </w:rPr>
            </w:pPr>
            <w:r w:rsidRPr="001D5327">
              <w:rPr>
                <w:rFonts w:eastAsia="Calibri" w:cs="Calibri"/>
                <w:szCs w:val="16"/>
              </w:rPr>
              <w:t>Fraction of DOC that decomposes</w:t>
            </w:r>
          </w:p>
        </w:tc>
        <w:tc>
          <w:tcPr>
            <w:tcW w:w="0" w:type="auto"/>
            <w:shd w:val="clear" w:color="auto" w:fill="FFFFFF"/>
            <w:tcMar>
              <w:top w:w="0" w:type="dxa"/>
              <w:left w:w="85" w:type="dxa"/>
              <w:bottom w:w="0" w:type="dxa"/>
              <w:right w:w="85" w:type="dxa"/>
            </w:tcMar>
          </w:tcPr>
          <w:p w14:paraId="47F9F65F" w14:textId="77777777" w:rsidR="00BC0FD7" w:rsidRPr="001D5327" w:rsidRDefault="00BC0FD7" w:rsidP="00D11AC9">
            <w:pPr>
              <w:pStyle w:val="TableText"/>
              <w:spacing w:before="40" w:after="40"/>
              <w:rPr>
                <w:rFonts w:cs="Calibri"/>
                <w:szCs w:val="16"/>
              </w:rPr>
            </w:pPr>
            <w:r w:rsidRPr="001D5327">
              <w:rPr>
                <w:rFonts w:eastAsia="Calibri" w:cs="Calibri"/>
                <w:szCs w:val="16"/>
              </w:rPr>
              <w:t>0.5</w:t>
            </w:r>
          </w:p>
        </w:tc>
        <w:tc>
          <w:tcPr>
            <w:tcW w:w="0" w:type="auto"/>
            <w:shd w:val="clear" w:color="auto" w:fill="FFFFFF"/>
            <w:tcMar>
              <w:top w:w="0" w:type="dxa"/>
              <w:left w:w="85" w:type="dxa"/>
              <w:bottom w:w="0" w:type="dxa"/>
              <w:right w:w="85" w:type="dxa"/>
            </w:tcMar>
          </w:tcPr>
          <w:p w14:paraId="5B6D68F6" w14:textId="77777777" w:rsidR="00BC0FD7" w:rsidRPr="001D5327" w:rsidRDefault="00BC0FD7" w:rsidP="00D11AC9">
            <w:pPr>
              <w:pStyle w:val="TableText"/>
              <w:spacing w:before="40" w:after="40"/>
              <w:rPr>
                <w:rFonts w:cs="Calibri"/>
                <w:szCs w:val="16"/>
              </w:rPr>
            </w:pPr>
            <w:r w:rsidRPr="001D5327">
              <w:rPr>
                <w:rFonts w:eastAsia="Calibri" w:cs="Calibri"/>
                <w:szCs w:val="16"/>
              </w:rPr>
              <w:t>IPCC default</w:t>
            </w:r>
          </w:p>
        </w:tc>
        <w:tc>
          <w:tcPr>
            <w:tcW w:w="0" w:type="auto"/>
            <w:shd w:val="clear" w:color="auto" w:fill="FFFFFF"/>
            <w:tcMar>
              <w:top w:w="0" w:type="dxa"/>
              <w:left w:w="85" w:type="dxa"/>
              <w:bottom w:w="0" w:type="dxa"/>
              <w:right w:w="85" w:type="dxa"/>
            </w:tcMar>
          </w:tcPr>
          <w:p w14:paraId="0F608607" w14:textId="77777777" w:rsidR="00BC0FD7" w:rsidRPr="001D5327" w:rsidRDefault="00BC0FD7" w:rsidP="00D11AC9">
            <w:pPr>
              <w:pStyle w:val="TableText"/>
              <w:spacing w:before="40" w:after="40"/>
              <w:rPr>
                <w:rFonts w:cs="Calibri"/>
                <w:szCs w:val="16"/>
              </w:rPr>
            </w:pPr>
            <w:r w:rsidRPr="001D5327">
              <w:rPr>
                <w:rFonts w:eastAsia="Calibri" w:cs="Calibri"/>
                <w:szCs w:val="16"/>
              </w:rPr>
              <w:t>IPCC (2006a)</w:t>
            </w:r>
          </w:p>
        </w:tc>
      </w:tr>
      <w:tr w:rsidR="00BC0FD7" w:rsidRPr="001D5327" w14:paraId="2683D27B" w14:textId="77777777" w:rsidTr="00D11AC9">
        <w:tc>
          <w:tcPr>
            <w:tcW w:w="0" w:type="auto"/>
            <w:shd w:val="clear" w:color="auto" w:fill="FFFFFF"/>
            <w:tcMar>
              <w:top w:w="0" w:type="dxa"/>
              <w:left w:w="85" w:type="dxa"/>
              <w:bottom w:w="0" w:type="dxa"/>
              <w:right w:w="85" w:type="dxa"/>
            </w:tcMar>
          </w:tcPr>
          <w:p w14:paraId="4B153289" w14:textId="77777777" w:rsidR="00BC0FD7" w:rsidRPr="001D5327" w:rsidRDefault="00BC0FD7" w:rsidP="00D11AC9">
            <w:pPr>
              <w:pStyle w:val="TableText"/>
              <w:spacing w:before="40" w:after="40"/>
              <w:rPr>
                <w:rFonts w:cs="Calibri"/>
                <w:szCs w:val="16"/>
              </w:rPr>
            </w:pPr>
            <w:r w:rsidRPr="001D5327">
              <w:rPr>
                <w:rFonts w:eastAsia="Calibri" w:cs="Calibri"/>
                <w:szCs w:val="16"/>
              </w:rPr>
              <w:t>Fraction of CH₄ in gas</w:t>
            </w:r>
          </w:p>
        </w:tc>
        <w:tc>
          <w:tcPr>
            <w:tcW w:w="0" w:type="auto"/>
            <w:shd w:val="clear" w:color="auto" w:fill="FFFFFF"/>
            <w:tcMar>
              <w:top w:w="0" w:type="dxa"/>
              <w:left w:w="85" w:type="dxa"/>
              <w:bottom w:w="0" w:type="dxa"/>
              <w:right w:w="85" w:type="dxa"/>
            </w:tcMar>
          </w:tcPr>
          <w:p w14:paraId="0740A217" w14:textId="77777777" w:rsidR="00BC0FD7" w:rsidRPr="001D5327" w:rsidRDefault="00BC0FD7" w:rsidP="00D11AC9">
            <w:pPr>
              <w:pStyle w:val="TableText"/>
              <w:spacing w:before="40" w:after="40"/>
              <w:rPr>
                <w:rFonts w:cs="Calibri"/>
                <w:szCs w:val="16"/>
              </w:rPr>
            </w:pPr>
            <w:r w:rsidRPr="001D5327">
              <w:rPr>
                <w:rFonts w:eastAsia="Calibri" w:cs="Calibri"/>
                <w:szCs w:val="16"/>
              </w:rPr>
              <w:t>0.5</w:t>
            </w:r>
          </w:p>
        </w:tc>
        <w:tc>
          <w:tcPr>
            <w:tcW w:w="0" w:type="auto"/>
            <w:shd w:val="clear" w:color="auto" w:fill="FFFFFF"/>
            <w:tcMar>
              <w:top w:w="0" w:type="dxa"/>
              <w:left w:w="85" w:type="dxa"/>
              <w:bottom w:w="0" w:type="dxa"/>
              <w:right w:w="85" w:type="dxa"/>
            </w:tcMar>
          </w:tcPr>
          <w:p w14:paraId="55970A8C" w14:textId="77777777" w:rsidR="00BC0FD7" w:rsidRPr="001D5327" w:rsidRDefault="00BC0FD7" w:rsidP="00D11AC9">
            <w:pPr>
              <w:pStyle w:val="TableText"/>
              <w:spacing w:before="40" w:after="40"/>
              <w:rPr>
                <w:rFonts w:cs="Calibri"/>
                <w:szCs w:val="16"/>
              </w:rPr>
            </w:pPr>
            <w:r w:rsidRPr="001D5327">
              <w:rPr>
                <w:rFonts w:eastAsia="Calibri" w:cs="Calibri"/>
                <w:szCs w:val="16"/>
              </w:rPr>
              <w:t>IPCC default</w:t>
            </w:r>
          </w:p>
        </w:tc>
        <w:tc>
          <w:tcPr>
            <w:tcW w:w="0" w:type="auto"/>
            <w:shd w:val="clear" w:color="auto" w:fill="FFFFFF"/>
            <w:tcMar>
              <w:top w:w="0" w:type="dxa"/>
              <w:left w:w="85" w:type="dxa"/>
              <w:bottom w:w="0" w:type="dxa"/>
              <w:right w:w="85" w:type="dxa"/>
            </w:tcMar>
          </w:tcPr>
          <w:p w14:paraId="1E7C6D8F" w14:textId="77777777" w:rsidR="00BC0FD7" w:rsidRPr="001D5327" w:rsidRDefault="00BC0FD7" w:rsidP="00D11AC9">
            <w:pPr>
              <w:pStyle w:val="TableText"/>
              <w:spacing w:before="40" w:after="40"/>
              <w:rPr>
                <w:rFonts w:cs="Calibri"/>
                <w:szCs w:val="16"/>
              </w:rPr>
            </w:pPr>
            <w:r w:rsidRPr="001D5327">
              <w:rPr>
                <w:rFonts w:eastAsia="Calibri" w:cs="Calibri"/>
                <w:szCs w:val="16"/>
              </w:rPr>
              <w:t>IPCC (2006a)</w:t>
            </w:r>
          </w:p>
        </w:tc>
      </w:tr>
    </w:tbl>
    <w:p w14:paraId="2A2E6FC2" w14:textId="77777777" w:rsidR="00BC0FD7" w:rsidRPr="001D5327" w:rsidRDefault="00BC0FD7" w:rsidP="00BC0FD7">
      <w:pPr>
        <w:pStyle w:val="Noteundertable"/>
      </w:pPr>
      <w:r w:rsidRPr="001D5327">
        <w:rPr>
          <w:b/>
          <w:bCs/>
        </w:rPr>
        <w:t>Note:</w:t>
      </w:r>
      <w:r w:rsidRPr="001D5327">
        <w:t xml:space="preserve"> DOC = degradable organic carbon.</w:t>
      </w:r>
    </w:p>
    <w:bookmarkEnd w:id="2838"/>
    <w:bookmarkEnd w:id="2841"/>
    <w:p w14:paraId="52822C5C" w14:textId="77777777" w:rsidR="00BC0FD7" w:rsidRPr="001D5327" w:rsidRDefault="00BC0FD7" w:rsidP="00BC0FD7">
      <w:pPr>
        <w:pStyle w:val="Heading3"/>
      </w:pPr>
      <w:r w:rsidRPr="001D5327">
        <w:lastRenderedPageBreak/>
        <w:t xml:space="preserve">7.2.3 </w:t>
      </w:r>
      <w:r w:rsidRPr="001D5327">
        <w:tab/>
        <w:t>Uncertainty assessment and time-series consistency</w:t>
      </w:r>
    </w:p>
    <w:p w14:paraId="66EC98D1" w14:textId="77777777" w:rsidR="00BC0FD7" w:rsidRPr="001D5327" w:rsidRDefault="00BC0FD7" w:rsidP="00BC0FD7">
      <w:pPr>
        <w:pStyle w:val="Heading4"/>
      </w:pPr>
      <w:r w:rsidRPr="001D5327">
        <w:t>Uncertainties</w:t>
      </w:r>
    </w:p>
    <w:p w14:paraId="1DAF6A23" w14:textId="77777777" w:rsidR="00BC0FD7" w:rsidRPr="001D5327" w:rsidRDefault="00BC0FD7" w:rsidP="00BC0FD7">
      <w:pPr>
        <w:pStyle w:val="BodyText"/>
      </w:pPr>
      <w:r w:rsidRPr="001D5327">
        <w:t xml:space="preserve">For emission factors and activity data used for most of the </w:t>
      </w:r>
      <w:r w:rsidRPr="001D5327">
        <w:rPr>
          <w:i/>
          <w:iCs/>
        </w:rPr>
        <w:t>Solid waste disposal</w:t>
      </w:r>
      <w:r w:rsidRPr="001D5327">
        <w:t xml:space="preserve"> category, the uncertainty estimate is ±40 per cent (see table 7.2.9). This is consistent with the ranges provided in the 2006 IPCC Guidelines (IPCC, 2006a).</w:t>
      </w:r>
    </w:p>
    <w:p w14:paraId="6D877CE1" w14:textId="77777777" w:rsidR="00BC0FD7" w:rsidRPr="001D5327" w:rsidRDefault="00BC0FD7" w:rsidP="00BC0FD7">
      <w:pPr>
        <w:pStyle w:val="BodyText"/>
      </w:pPr>
      <w:r w:rsidRPr="001D5327">
        <w:t>For managed municipal landfills, the emission factor uncertainty is set at this level because, while better-quality parameters are used in this category, most of the parameters are based on international data and are not site specific.</w:t>
      </w:r>
    </w:p>
    <w:p w14:paraId="01CEBE7A" w14:textId="77777777" w:rsidR="00BC0FD7" w:rsidRPr="001D5327" w:rsidRDefault="00BC0FD7" w:rsidP="00BC0FD7">
      <w:pPr>
        <w:pStyle w:val="BodyText"/>
      </w:pPr>
      <w:r w:rsidRPr="001D5327">
        <w:t>For non-municipal landfills, the uncertainty in activity data is estimated to be ±90 per cent. While country-specific activity data are now available for non-municipal landfills, these are limited to a few reporting years. However, this uncertainty is expected to decrease as more data are reported in the coming years. In contrast, information on the volume of waste disposed of in farm fills remains limited due to the informal nature of their management.</w:t>
      </w:r>
    </w:p>
    <w:p w14:paraId="736DEFCF" w14:textId="77777777" w:rsidR="00BC0FD7" w:rsidRPr="001D5327" w:rsidRDefault="00BC0FD7" w:rsidP="00BC0FD7">
      <w:pPr>
        <w:pStyle w:val="BodyText"/>
      </w:pPr>
      <w:r w:rsidRPr="001D5327">
        <w:t>For farm fills, the uncertainty in activity data is estimated to be ±140 per cent. Information on the amount of waste placed in these sites is limited, given the nature of the management of such fills.</w:t>
      </w:r>
    </w:p>
    <w:p w14:paraId="5B95DFD2" w14:textId="77777777" w:rsidR="00BC0FD7" w:rsidRPr="001D5327" w:rsidRDefault="00BC0FD7" w:rsidP="00BC0FD7">
      <w:pPr>
        <w:pStyle w:val="BodyText"/>
      </w:pPr>
      <w:r w:rsidRPr="001D5327">
        <w:t xml:space="preserve">The overall uncertainty in activity data for </w:t>
      </w:r>
      <w:r w:rsidRPr="001D5327">
        <w:rPr>
          <w:i/>
          <w:iCs/>
        </w:rPr>
        <w:t>Solid waste disposal</w:t>
      </w:r>
      <w:r w:rsidRPr="001D5327">
        <w:t xml:space="preserve"> is calculated using approach 1</w:t>
      </w:r>
      <w:r w:rsidRPr="001D5327">
        <w:rPr>
          <w:rStyle w:val="FootnoteReference"/>
        </w:rPr>
        <w:footnoteReference w:id="56"/>
      </w:r>
      <w:r w:rsidRPr="001D5327">
        <w:t xml:space="preserve"> for adding uncertainties together. The overall uncertainty in the emission factor is set as the same as the uncertainty for the underlying categories because they are consistent.</w:t>
      </w:r>
    </w:p>
    <w:p w14:paraId="1FB8635E" w14:textId="77777777" w:rsidR="00BC0FD7" w:rsidRPr="001D5327" w:rsidRDefault="00BC0FD7" w:rsidP="00BC0FD7">
      <w:pPr>
        <w:pStyle w:val="Table"/>
      </w:pPr>
      <w:bookmarkStart w:id="2843" w:name="_Toc194241807"/>
      <w:r w:rsidRPr="001D5327">
        <w:t xml:space="preserve">Table 7.2.9 </w:t>
      </w:r>
      <w:r w:rsidRPr="001D5327">
        <w:tab/>
        <w:t xml:space="preserve">Uncertainty in emissions from </w:t>
      </w:r>
      <w:r w:rsidRPr="001D5327">
        <w:rPr>
          <w:i/>
          <w:iCs/>
        </w:rPr>
        <w:t>Solid waste disposal</w:t>
      </w:r>
      <w:bookmarkEnd w:id="2843"/>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258"/>
        <w:gridCol w:w="2473"/>
        <w:gridCol w:w="2763"/>
      </w:tblGrid>
      <w:tr w:rsidR="00BC0FD7" w:rsidRPr="001D5327" w14:paraId="6814CD9E" w14:textId="77777777" w:rsidTr="00D11AC9">
        <w:trPr>
          <w:tblHeader/>
        </w:trPr>
        <w:tc>
          <w:tcPr>
            <w:tcW w:w="0" w:type="auto"/>
            <w:shd w:val="clear" w:color="auto" w:fill="1B556B"/>
            <w:tcMar>
              <w:top w:w="0" w:type="dxa"/>
              <w:left w:w="85" w:type="dxa"/>
              <w:bottom w:w="0" w:type="dxa"/>
              <w:right w:w="85" w:type="dxa"/>
            </w:tcMar>
          </w:tcPr>
          <w:p w14:paraId="7FC8CC16"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Emissions category</w:t>
            </w:r>
          </w:p>
        </w:tc>
        <w:tc>
          <w:tcPr>
            <w:tcW w:w="0" w:type="auto"/>
            <w:shd w:val="clear" w:color="auto" w:fill="1B556B"/>
            <w:tcMar>
              <w:top w:w="0" w:type="dxa"/>
              <w:left w:w="85" w:type="dxa"/>
              <w:bottom w:w="0" w:type="dxa"/>
              <w:right w:w="85" w:type="dxa"/>
            </w:tcMar>
          </w:tcPr>
          <w:p w14:paraId="554A5802"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tcPr>
          <w:p w14:paraId="201F33D9"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emission factors (%)</w:t>
            </w:r>
          </w:p>
        </w:tc>
      </w:tr>
      <w:tr w:rsidR="00BC0FD7" w:rsidRPr="001D5327" w14:paraId="5D9E0249" w14:textId="77777777" w:rsidTr="00D11AC9">
        <w:tc>
          <w:tcPr>
            <w:tcW w:w="0" w:type="auto"/>
            <w:shd w:val="clear" w:color="auto" w:fill="FFFFFF"/>
            <w:tcMar>
              <w:top w:w="0" w:type="dxa"/>
              <w:left w:w="85" w:type="dxa"/>
              <w:bottom w:w="0" w:type="dxa"/>
              <w:right w:w="85" w:type="dxa"/>
            </w:tcMar>
          </w:tcPr>
          <w:p w14:paraId="012112AD" w14:textId="77777777" w:rsidR="00BC0FD7" w:rsidRPr="001D5327" w:rsidRDefault="00BC0FD7" w:rsidP="00D11AC9">
            <w:pPr>
              <w:pStyle w:val="TableText"/>
              <w:spacing w:before="40" w:after="40"/>
            </w:pPr>
            <w:r w:rsidRPr="001D5327">
              <w:rPr>
                <w:rFonts w:eastAsia="Calibri"/>
              </w:rPr>
              <w:t>Managed landfills</w:t>
            </w:r>
          </w:p>
        </w:tc>
        <w:tc>
          <w:tcPr>
            <w:tcW w:w="0" w:type="auto"/>
            <w:shd w:val="clear" w:color="auto" w:fill="FFFFFF"/>
            <w:tcMar>
              <w:top w:w="0" w:type="dxa"/>
              <w:left w:w="85" w:type="dxa"/>
              <w:bottom w:w="0" w:type="dxa"/>
              <w:right w:w="85" w:type="dxa"/>
            </w:tcMar>
          </w:tcPr>
          <w:p w14:paraId="6CD61604" w14:textId="77777777" w:rsidR="00BC0FD7" w:rsidRPr="001D5327" w:rsidRDefault="00BC0FD7" w:rsidP="00D11AC9">
            <w:pPr>
              <w:pStyle w:val="TableText"/>
              <w:spacing w:before="40" w:after="40"/>
              <w:jc w:val="right"/>
            </w:pPr>
            <w:r w:rsidRPr="001D5327">
              <w:rPr>
                <w:rFonts w:eastAsia="Calibri"/>
              </w:rPr>
              <w:t>±40</w:t>
            </w:r>
          </w:p>
        </w:tc>
        <w:tc>
          <w:tcPr>
            <w:tcW w:w="0" w:type="auto"/>
            <w:shd w:val="clear" w:color="auto" w:fill="FFFFFF"/>
            <w:tcMar>
              <w:top w:w="0" w:type="dxa"/>
              <w:left w:w="85" w:type="dxa"/>
              <w:bottom w:w="0" w:type="dxa"/>
              <w:right w:w="85" w:type="dxa"/>
            </w:tcMar>
          </w:tcPr>
          <w:p w14:paraId="6C1786DF" w14:textId="77777777" w:rsidR="00BC0FD7" w:rsidRPr="001D5327" w:rsidRDefault="00BC0FD7" w:rsidP="00D11AC9">
            <w:pPr>
              <w:pStyle w:val="TableText"/>
              <w:spacing w:before="40" w:after="40"/>
              <w:jc w:val="right"/>
            </w:pPr>
            <w:r w:rsidRPr="001D5327">
              <w:rPr>
                <w:rFonts w:eastAsia="Calibri"/>
              </w:rPr>
              <w:t>±40</w:t>
            </w:r>
          </w:p>
        </w:tc>
      </w:tr>
      <w:tr w:rsidR="00BC0FD7" w:rsidRPr="001D5327" w14:paraId="2BF6E6E4" w14:textId="77777777" w:rsidTr="00D11AC9">
        <w:tc>
          <w:tcPr>
            <w:tcW w:w="0" w:type="auto"/>
            <w:shd w:val="clear" w:color="auto" w:fill="FFFFFF"/>
            <w:tcMar>
              <w:top w:w="0" w:type="dxa"/>
              <w:left w:w="85" w:type="dxa"/>
              <w:bottom w:w="0" w:type="dxa"/>
              <w:right w:w="85" w:type="dxa"/>
            </w:tcMar>
          </w:tcPr>
          <w:p w14:paraId="11CA8C4E" w14:textId="77777777" w:rsidR="00BC0FD7" w:rsidRPr="001D5327" w:rsidRDefault="00BC0FD7" w:rsidP="00D11AC9">
            <w:pPr>
              <w:pStyle w:val="TableText"/>
              <w:spacing w:before="40" w:after="40"/>
            </w:pPr>
            <w:r w:rsidRPr="001D5327">
              <w:rPr>
                <w:rFonts w:eastAsia="Calibri"/>
              </w:rPr>
              <w:t>Unmanaged landfills (Class 2–5)</w:t>
            </w:r>
          </w:p>
        </w:tc>
        <w:tc>
          <w:tcPr>
            <w:tcW w:w="0" w:type="auto"/>
            <w:shd w:val="clear" w:color="auto" w:fill="FFFFFF"/>
            <w:tcMar>
              <w:top w:w="0" w:type="dxa"/>
              <w:left w:w="85" w:type="dxa"/>
              <w:bottom w:w="0" w:type="dxa"/>
              <w:right w:w="85" w:type="dxa"/>
            </w:tcMar>
          </w:tcPr>
          <w:p w14:paraId="22754163" w14:textId="77777777" w:rsidR="00BC0FD7" w:rsidRPr="001D5327" w:rsidRDefault="00BC0FD7" w:rsidP="00D11AC9">
            <w:pPr>
              <w:pStyle w:val="TableText"/>
              <w:spacing w:before="40" w:after="40"/>
              <w:jc w:val="right"/>
            </w:pPr>
            <w:r w:rsidRPr="001D5327">
              <w:rPr>
                <w:rFonts w:eastAsia="Calibri"/>
              </w:rPr>
              <w:t>±90</w:t>
            </w:r>
          </w:p>
        </w:tc>
        <w:tc>
          <w:tcPr>
            <w:tcW w:w="0" w:type="auto"/>
            <w:shd w:val="clear" w:color="auto" w:fill="FFFFFF"/>
            <w:tcMar>
              <w:top w:w="0" w:type="dxa"/>
              <w:left w:w="85" w:type="dxa"/>
              <w:bottom w:w="0" w:type="dxa"/>
              <w:right w:w="85" w:type="dxa"/>
            </w:tcMar>
          </w:tcPr>
          <w:p w14:paraId="075A3D86" w14:textId="77777777" w:rsidR="00BC0FD7" w:rsidRPr="001D5327" w:rsidRDefault="00BC0FD7" w:rsidP="00D11AC9">
            <w:pPr>
              <w:pStyle w:val="TableText"/>
              <w:spacing w:before="40" w:after="40"/>
              <w:jc w:val="right"/>
            </w:pPr>
            <w:r w:rsidRPr="001D5327">
              <w:rPr>
                <w:rFonts w:eastAsia="Calibri"/>
              </w:rPr>
              <w:t>±40</w:t>
            </w:r>
          </w:p>
        </w:tc>
      </w:tr>
      <w:tr w:rsidR="00BC0FD7" w:rsidRPr="001D5327" w14:paraId="4CE306CD" w14:textId="77777777" w:rsidTr="00D11AC9">
        <w:tc>
          <w:tcPr>
            <w:tcW w:w="0" w:type="auto"/>
            <w:shd w:val="clear" w:color="auto" w:fill="FFFFFF"/>
            <w:tcMar>
              <w:top w:w="0" w:type="dxa"/>
              <w:left w:w="85" w:type="dxa"/>
              <w:bottom w:w="0" w:type="dxa"/>
              <w:right w:w="85" w:type="dxa"/>
            </w:tcMar>
          </w:tcPr>
          <w:p w14:paraId="3A048EEC" w14:textId="77777777" w:rsidR="00BC0FD7" w:rsidRPr="001D5327" w:rsidRDefault="00BC0FD7" w:rsidP="00D11AC9">
            <w:pPr>
              <w:pStyle w:val="TableText"/>
              <w:spacing w:before="40" w:after="40"/>
              <w:rPr>
                <w:rFonts w:eastAsia="Calibri"/>
              </w:rPr>
            </w:pPr>
            <w:r w:rsidRPr="001D5327">
              <w:rPr>
                <w:rFonts w:eastAsia="Calibri"/>
              </w:rPr>
              <w:t>Unmanaged landfills (farm fills)</w:t>
            </w:r>
          </w:p>
        </w:tc>
        <w:tc>
          <w:tcPr>
            <w:tcW w:w="0" w:type="auto"/>
            <w:shd w:val="clear" w:color="auto" w:fill="FFFFFF"/>
            <w:tcMar>
              <w:top w:w="0" w:type="dxa"/>
              <w:left w:w="85" w:type="dxa"/>
              <w:bottom w:w="0" w:type="dxa"/>
              <w:right w:w="85" w:type="dxa"/>
            </w:tcMar>
          </w:tcPr>
          <w:p w14:paraId="5BEBC242" w14:textId="77777777" w:rsidR="00BC0FD7" w:rsidRPr="001D5327" w:rsidRDefault="00BC0FD7" w:rsidP="00D11AC9">
            <w:pPr>
              <w:pStyle w:val="TableText"/>
              <w:spacing w:before="40" w:after="40"/>
              <w:jc w:val="right"/>
              <w:rPr>
                <w:rFonts w:eastAsia="Calibri"/>
              </w:rPr>
            </w:pPr>
            <w:r w:rsidRPr="001D5327">
              <w:rPr>
                <w:rFonts w:eastAsia="Calibri"/>
              </w:rPr>
              <w:t>±140</w:t>
            </w:r>
          </w:p>
        </w:tc>
        <w:tc>
          <w:tcPr>
            <w:tcW w:w="0" w:type="auto"/>
            <w:shd w:val="clear" w:color="auto" w:fill="FFFFFF"/>
            <w:tcMar>
              <w:top w:w="0" w:type="dxa"/>
              <w:left w:w="85" w:type="dxa"/>
              <w:bottom w:w="0" w:type="dxa"/>
              <w:right w:w="85" w:type="dxa"/>
            </w:tcMar>
          </w:tcPr>
          <w:p w14:paraId="7E884599" w14:textId="77777777" w:rsidR="00BC0FD7" w:rsidRPr="001D5327" w:rsidRDefault="00BC0FD7" w:rsidP="00D11AC9">
            <w:pPr>
              <w:pStyle w:val="TableText"/>
              <w:spacing w:before="40" w:after="40"/>
              <w:jc w:val="right"/>
              <w:rPr>
                <w:rFonts w:eastAsia="Calibri"/>
              </w:rPr>
            </w:pPr>
            <w:r w:rsidRPr="001D5327">
              <w:rPr>
                <w:rFonts w:eastAsia="Calibri"/>
              </w:rPr>
              <w:t>±40</w:t>
            </w:r>
          </w:p>
        </w:tc>
      </w:tr>
      <w:tr w:rsidR="00BC0FD7" w:rsidRPr="001D5327" w14:paraId="1B9BD4B0" w14:textId="77777777" w:rsidTr="00D11AC9">
        <w:tc>
          <w:tcPr>
            <w:tcW w:w="0" w:type="auto"/>
            <w:shd w:val="clear" w:color="auto" w:fill="FFFFFF"/>
            <w:tcMar>
              <w:top w:w="0" w:type="dxa"/>
              <w:left w:w="85" w:type="dxa"/>
              <w:bottom w:w="0" w:type="dxa"/>
              <w:right w:w="85" w:type="dxa"/>
            </w:tcMar>
          </w:tcPr>
          <w:p w14:paraId="3C88C901" w14:textId="77777777" w:rsidR="00BC0FD7" w:rsidRPr="001D5327" w:rsidRDefault="00BC0FD7" w:rsidP="00D11AC9">
            <w:pPr>
              <w:pStyle w:val="TableText"/>
              <w:spacing w:before="40" w:after="40"/>
            </w:pPr>
            <w:r w:rsidRPr="001D5327">
              <w:rPr>
                <w:rFonts w:eastAsia="Calibri"/>
              </w:rPr>
              <w:t>Uncategorised landfills</w:t>
            </w:r>
          </w:p>
        </w:tc>
        <w:tc>
          <w:tcPr>
            <w:tcW w:w="0" w:type="auto"/>
            <w:shd w:val="clear" w:color="auto" w:fill="FFFFFF"/>
            <w:tcMar>
              <w:top w:w="0" w:type="dxa"/>
              <w:left w:w="85" w:type="dxa"/>
              <w:bottom w:w="0" w:type="dxa"/>
              <w:right w:w="85" w:type="dxa"/>
            </w:tcMar>
          </w:tcPr>
          <w:p w14:paraId="6693FFBB" w14:textId="77777777" w:rsidR="00BC0FD7" w:rsidRPr="001D5327" w:rsidRDefault="00BC0FD7" w:rsidP="00D11AC9">
            <w:pPr>
              <w:pStyle w:val="TableText"/>
              <w:spacing w:before="40" w:after="40"/>
              <w:jc w:val="right"/>
            </w:pPr>
            <w:r w:rsidRPr="001D5327">
              <w:rPr>
                <w:rFonts w:eastAsia="Calibri"/>
              </w:rPr>
              <w:t>±40</w:t>
            </w:r>
          </w:p>
        </w:tc>
        <w:tc>
          <w:tcPr>
            <w:tcW w:w="0" w:type="auto"/>
            <w:shd w:val="clear" w:color="auto" w:fill="FFFFFF"/>
            <w:tcMar>
              <w:top w:w="0" w:type="dxa"/>
              <w:left w:w="85" w:type="dxa"/>
              <w:bottom w:w="0" w:type="dxa"/>
              <w:right w:w="85" w:type="dxa"/>
            </w:tcMar>
          </w:tcPr>
          <w:p w14:paraId="56C69701" w14:textId="77777777" w:rsidR="00BC0FD7" w:rsidRPr="001D5327" w:rsidRDefault="00BC0FD7" w:rsidP="00D11AC9">
            <w:pPr>
              <w:pStyle w:val="TableText"/>
              <w:spacing w:before="40" w:after="40"/>
              <w:jc w:val="right"/>
            </w:pPr>
            <w:r w:rsidRPr="001D5327">
              <w:rPr>
                <w:rFonts w:eastAsia="Calibri"/>
              </w:rPr>
              <w:t>±40</w:t>
            </w:r>
          </w:p>
        </w:tc>
      </w:tr>
      <w:tr w:rsidR="00BC0FD7" w:rsidRPr="001D5327" w14:paraId="7F9AFF0B" w14:textId="77777777" w:rsidTr="00D11AC9">
        <w:tc>
          <w:tcPr>
            <w:tcW w:w="0" w:type="auto"/>
            <w:shd w:val="clear" w:color="auto" w:fill="FFFFFF"/>
            <w:tcMar>
              <w:top w:w="0" w:type="dxa"/>
              <w:left w:w="85" w:type="dxa"/>
              <w:bottom w:w="0" w:type="dxa"/>
              <w:right w:w="85" w:type="dxa"/>
            </w:tcMar>
          </w:tcPr>
          <w:p w14:paraId="443B16D0" w14:textId="77777777" w:rsidR="00BC0FD7" w:rsidRPr="001D5327" w:rsidRDefault="00BC0FD7" w:rsidP="00D11AC9">
            <w:pPr>
              <w:pStyle w:val="Tableboldblue"/>
            </w:pPr>
            <w:r w:rsidRPr="001D5327">
              <w:t>Overall uncertainty in methane emissions</w:t>
            </w:r>
          </w:p>
        </w:tc>
        <w:tc>
          <w:tcPr>
            <w:tcW w:w="0" w:type="auto"/>
            <w:shd w:val="clear" w:color="auto" w:fill="FFFFFF"/>
            <w:tcMar>
              <w:top w:w="0" w:type="dxa"/>
              <w:left w:w="85" w:type="dxa"/>
              <w:bottom w:w="0" w:type="dxa"/>
              <w:right w:w="85" w:type="dxa"/>
            </w:tcMar>
          </w:tcPr>
          <w:p w14:paraId="29E71037" w14:textId="77777777" w:rsidR="00BC0FD7" w:rsidRPr="001D5327" w:rsidRDefault="00BC0FD7" w:rsidP="002A512A">
            <w:pPr>
              <w:pStyle w:val="Tableboldblue"/>
              <w:jc w:val="right"/>
            </w:pPr>
            <w:r w:rsidRPr="001D5327">
              <w:t>±79.9</w:t>
            </w:r>
          </w:p>
        </w:tc>
        <w:tc>
          <w:tcPr>
            <w:tcW w:w="0" w:type="auto"/>
            <w:shd w:val="clear" w:color="auto" w:fill="FFFFFF"/>
            <w:tcMar>
              <w:top w:w="0" w:type="dxa"/>
              <w:left w:w="85" w:type="dxa"/>
              <w:bottom w:w="0" w:type="dxa"/>
              <w:right w:w="85" w:type="dxa"/>
            </w:tcMar>
          </w:tcPr>
          <w:p w14:paraId="2065E1FA" w14:textId="77777777" w:rsidR="00BC0FD7" w:rsidRPr="001D5327" w:rsidRDefault="00BC0FD7" w:rsidP="002A512A">
            <w:pPr>
              <w:pStyle w:val="Tableboldblue"/>
              <w:jc w:val="right"/>
            </w:pPr>
            <w:r w:rsidRPr="001D5327">
              <w:t>±40</w:t>
            </w:r>
          </w:p>
        </w:tc>
      </w:tr>
    </w:tbl>
    <w:p w14:paraId="78375748" w14:textId="77777777" w:rsidR="00BC0FD7" w:rsidRPr="001D5327" w:rsidRDefault="00BC0FD7" w:rsidP="00BC0FD7">
      <w:pPr>
        <w:pStyle w:val="Heading4"/>
        <w:spacing w:before="360"/>
      </w:pPr>
      <w:r w:rsidRPr="001D5327">
        <w:t>Time-series consistency</w:t>
      </w:r>
    </w:p>
    <w:p w14:paraId="7E1C62F5" w14:textId="437C7395" w:rsidR="00BC0FD7" w:rsidRPr="001D5327" w:rsidRDefault="00BC0FD7" w:rsidP="00BC0FD7">
      <w:pPr>
        <w:pStyle w:val="BodyText"/>
      </w:pPr>
      <w:r w:rsidRPr="001D5327">
        <w:rPr>
          <w:spacing w:val="-2"/>
        </w:rPr>
        <w:t>As a result of substantial changes in waste disposal practices over time, the basis for calculating emissions has changed significantly. Notable changes include closure of the majority of the smaller landfill sites that were operating in 1990, the move to waste levy and</w:t>
      </w:r>
      <w:r w:rsidRPr="001D5327">
        <w:t xml:space="preserve"> NZ ETS reporting, and the ongoing improvement in the quality and completeness of activity data for </w:t>
      </w:r>
      <w:r w:rsidRPr="001D5327">
        <w:rPr>
          <w:i/>
          <w:iCs/>
        </w:rPr>
        <w:t>Solid waste</w:t>
      </w:r>
      <w:r w:rsidR="00733A5D" w:rsidRPr="001D5327">
        <w:rPr>
          <w:i/>
          <w:iCs/>
        </w:rPr>
        <w:t> </w:t>
      </w:r>
      <w:r w:rsidRPr="001D5327">
        <w:rPr>
          <w:i/>
          <w:iCs/>
        </w:rPr>
        <w:t>disposal</w:t>
      </w:r>
      <w:r w:rsidRPr="001D5327">
        <w:t>. These changes have occurred gradually and affect CH</w:t>
      </w:r>
      <w:r w:rsidRPr="001D5327">
        <w:rPr>
          <w:vertAlign w:val="subscript"/>
        </w:rPr>
        <w:t>4</w:t>
      </w:r>
      <w:r w:rsidRPr="001D5327">
        <w:t xml:space="preserve"> emissions over a long period. Therefore, there is little effect on the apparent consistency of data or the implied emission factors.</w:t>
      </w:r>
    </w:p>
    <w:p w14:paraId="220D504F" w14:textId="77777777" w:rsidR="00BC0FD7" w:rsidRPr="001D5327" w:rsidRDefault="00BC0FD7" w:rsidP="00BC0FD7">
      <w:pPr>
        <w:pStyle w:val="Heading3"/>
      </w:pPr>
      <w:r w:rsidRPr="001D5327">
        <w:t xml:space="preserve">7.2.4 </w:t>
      </w:r>
      <w:r w:rsidRPr="001D5327">
        <w:tab/>
        <w:t>Category-specific QA/QC verification</w:t>
      </w:r>
    </w:p>
    <w:p w14:paraId="73CEB18D" w14:textId="77777777" w:rsidR="00BC0FD7" w:rsidRPr="001D5327" w:rsidRDefault="00BC0FD7" w:rsidP="00BC0FD7">
      <w:pPr>
        <w:pStyle w:val="BodyText"/>
      </w:pPr>
      <w:r w:rsidRPr="001D5327">
        <w:rPr>
          <w:i/>
          <w:iCs/>
        </w:rPr>
        <w:t>Solid waste disposal</w:t>
      </w:r>
      <w:r w:rsidRPr="001D5327">
        <w:t xml:space="preserve"> is a key category. In the preparation of this submission, the data for this category underwent Tier 1 quality checks.</w:t>
      </w:r>
    </w:p>
    <w:p w14:paraId="5B7E59AB" w14:textId="77777777" w:rsidR="00BC0FD7" w:rsidRPr="001D5327" w:rsidRDefault="00BC0FD7" w:rsidP="00BC0FD7">
      <w:pPr>
        <w:pStyle w:val="Heading3"/>
      </w:pPr>
      <w:r w:rsidRPr="001D5327">
        <w:lastRenderedPageBreak/>
        <w:t xml:space="preserve">7.2.5 </w:t>
      </w:r>
      <w:r w:rsidRPr="001D5327">
        <w:tab/>
        <w:t>Category-specific recalculations</w:t>
      </w:r>
    </w:p>
    <w:p w14:paraId="1942E13F" w14:textId="03E994DE" w:rsidR="00BC0FD7" w:rsidRPr="001D5327" w:rsidRDefault="00BC0FD7" w:rsidP="00BC0FD7">
      <w:pPr>
        <w:pStyle w:val="BodyText"/>
        <w:rPr>
          <w:rFonts w:asciiTheme="minorHAnsi" w:eastAsiaTheme="minorHAnsi" w:hAnsiTheme="minorHAnsi" w:cstheme="majorHAnsi"/>
          <w:szCs w:val="24"/>
          <w:lang w:eastAsia="en-US"/>
        </w:rPr>
      </w:pPr>
      <w:r w:rsidRPr="001D5327">
        <w:rPr>
          <w:rFonts w:asciiTheme="minorHAnsi" w:eastAsiaTheme="minorHAnsi" w:hAnsiTheme="minorHAnsi" w:cstheme="majorHAnsi"/>
          <w:szCs w:val="24"/>
          <w:lang w:eastAsia="en-US"/>
        </w:rPr>
        <w:t xml:space="preserve">Significant recalculations are included in the 2025 submission. Updates to the </w:t>
      </w:r>
      <w:r w:rsidRPr="001D5327">
        <w:rPr>
          <w:rFonts w:asciiTheme="minorHAnsi" w:eastAsiaTheme="minorHAnsi" w:hAnsiTheme="minorHAnsi" w:cstheme="majorHAnsi"/>
          <w:i/>
          <w:iCs/>
          <w:szCs w:val="24"/>
          <w:lang w:eastAsia="en-US"/>
        </w:rPr>
        <w:t>Managed waste disposal sites</w:t>
      </w:r>
      <w:r w:rsidR="00FE7190" w:rsidRPr="0043609B">
        <w:rPr>
          <w:i/>
          <w:iCs/>
          <w:lang w:eastAsia="en-US"/>
        </w:rPr>
        <w:t xml:space="preserve"> – Anaerobic</w:t>
      </w:r>
      <w:r w:rsidRPr="001D5327">
        <w:rPr>
          <w:rFonts w:asciiTheme="minorHAnsi" w:eastAsiaTheme="minorHAnsi" w:hAnsiTheme="minorHAnsi" w:cstheme="majorHAnsi"/>
          <w:szCs w:val="24"/>
          <w:lang w:eastAsia="en-US"/>
        </w:rPr>
        <w:t xml:space="preserve"> (5.A.1.a) include:</w:t>
      </w:r>
    </w:p>
    <w:p w14:paraId="35C7E57C" w14:textId="77777777" w:rsidR="00BC0FD7" w:rsidRPr="001D5327" w:rsidRDefault="00BC0FD7" w:rsidP="00BC0FD7">
      <w:pPr>
        <w:pStyle w:val="Bullet"/>
        <w:rPr>
          <w:rFonts w:eastAsiaTheme="minorHAnsi"/>
          <w:lang w:eastAsia="en-US"/>
        </w:rPr>
      </w:pPr>
      <w:r w:rsidRPr="001D5327">
        <w:rPr>
          <w:rFonts w:eastAsiaTheme="minorHAnsi"/>
          <w:lang w:eastAsia="en-US"/>
        </w:rPr>
        <w:t>adoption of country-specific CH₄ recovery rates, derived from measurements at municipal landfills with gas capture systems</w:t>
      </w:r>
    </w:p>
    <w:p w14:paraId="50BB9758" w14:textId="77777777" w:rsidR="00BC0FD7" w:rsidRPr="001D5327" w:rsidRDefault="00BC0FD7" w:rsidP="00BC0FD7">
      <w:pPr>
        <w:pStyle w:val="Bullet"/>
        <w:rPr>
          <w:rFonts w:eastAsiaTheme="minorHAnsi"/>
          <w:lang w:eastAsia="en-US"/>
        </w:rPr>
      </w:pPr>
      <w:r w:rsidRPr="001D5327">
        <w:rPr>
          <w:rFonts w:eastAsiaTheme="minorHAnsi"/>
          <w:lang w:eastAsia="en-US"/>
        </w:rPr>
        <w:t>updates to waste composition values based on recent site-specific measurements</w:t>
      </w:r>
    </w:p>
    <w:p w14:paraId="47A9E7E1" w14:textId="77777777" w:rsidR="00BC0FD7" w:rsidRPr="001D5327" w:rsidRDefault="00BC0FD7" w:rsidP="00BC0FD7">
      <w:pPr>
        <w:pStyle w:val="Bullet"/>
        <w:rPr>
          <w:rFonts w:eastAsiaTheme="minorHAnsi"/>
          <w:lang w:eastAsia="en-US"/>
        </w:rPr>
      </w:pPr>
      <w:r w:rsidRPr="001D5327">
        <w:rPr>
          <w:rFonts w:eastAsiaTheme="minorHAnsi"/>
          <w:lang w:eastAsia="en-US"/>
        </w:rPr>
        <w:t xml:space="preserve">revisions to decay rates (k-values) and the fraction of CH₄ in </w:t>
      </w:r>
      <w:r w:rsidRPr="001D5327">
        <w:t>LFG</w:t>
      </w:r>
      <w:r w:rsidRPr="001D5327">
        <w:rPr>
          <w:rFonts w:eastAsiaTheme="minorHAnsi"/>
          <w:lang w:eastAsia="en-US"/>
        </w:rPr>
        <w:t xml:space="preserve"> (F) returning to the default IPCC values.</w:t>
      </w:r>
    </w:p>
    <w:p w14:paraId="5C318591" w14:textId="45A3F1BD" w:rsidR="00BC0FD7" w:rsidRPr="001D5327" w:rsidRDefault="00BC0FD7" w:rsidP="00BC0FD7">
      <w:pPr>
        <w:pStyle w:val="BodyText"/>
        <w:rPr>
          <w:rFonts w:asciiTheme="minorHAnsi" w:eastAsiaTheme="minorHAnsi" w:hAnsiTheme="minorHAnsi" w:cstheme="majorHAnsi"/>
          <w:szCs w:val="24"/>
          <w:lang w:eastAsia="en-US"/>
        </w:rPr>
      </w:pPr>
      <w:r w:rsidRPr="001D5327">
        <w:rPr>
          <w:rFonts w:asciiTheme="minorHAnsi" w:eastAsiaTheme="minorHAnsi" w:hAnsiTheme="minorHAnsi" w:cstheme="majorHAnsi"/>
          <w:szCs w:val="24"/>
          <w:lang w:eastAsia="en-US"/>
        </w:rPr>
        <w:t xml:space="preserve">Updates to the </w:t>
      </w:r>
      <w:r w:rsidRPr="001D5327">
        <w:rPr>
          <w:rFonts w:asciiTheme="minorHAnsi" w:eastAsiaTheme="minorHAnsi" w:hAnsiTheme="minorHAnsi" w:cstheme="majorHAnsi"/>
          <w:i/>
          <w:iCs/>
          <w:szCs w:val="24"/>
          <w:lang w:eastAsia="en-US"/>
        </w:rPr>
        <w:t>Unmanaged waste disposal sites</w:t>
      </w:r>
      <w:r w:rsidR="00220683" w:rsidRPr="0043609B">
        <w:rPr>
          <w:i/>
          <w:iCs/>
          <w:lang w:eastAsia="en-US"/>
        </w:rPr>
        <w:t xml:space="preserve"> </w:t>
      </w:r>
      <w:r w:rsidRPr="001D5327">
        <w:rPr>
          <w:rFonts w:asciiTheme="minorHAnsi" w:eastAsiaTheme="minorHAnsi" w:hAnsiTheme="minorHAnsi" w:cstheme="majorHAnsi"/>
          <w:szCs w:val="24"/>
          <w:lang w:eastAsia="en-US"/>
        </w:rPr>
        <w:t>(5.A.</w:t>
      </w:r>
      <w:r w:rsidR="003201B5">
        <w:rPr>
          <w:rFonts w:asciiTheme="minorHAnsi" w:eastAsiaTheme="minorHAnsi" w:hAnsiTheme="minorHAnsi" w:cstheme="majorHAnsi"/>
          <w:szCs w:val="24"/>
          <w:lang w:eastAsia="en-US"/>
        </w:rPr>
        <w:t>2</w:t>
      </w:r>
      <w:r w:rsidRPr="001D5327">
        <w:rPr>
          <w:rFonts w:asciiTheme="minorHAnsi" w:eastAsiaTheme="minorHAnsi" w:hAnsiTheme="minorHAnsi" w:cstheme="majorHAnsi"/>
          <w:szCs w:val="24"/>
          <w:lang w:eastAsia="en-US"/>
        </w:rPr>
        <w:t>) include:</w:t>
      </w:r>
    </w:p>
    <w:p w14:paraId="72DDFBEA" w14:textId="77777777" w:rsidR="00BC0FD7" w:rsidRPr="001D5327" w:rsidRDefault="00BC0FD7" w:rsidP="00BC0FD7">
      <w:pPr>
        <w:pStyle w:val="Bullet"/>
        <w:rPr>
          <w:rFonts w:eastAsiaTheme="minorHAnsi"/>
          <w:spacing w:val="-2"/>
          <w:lang w:eastAsia="en-US"/>
        </w:rPr>
      </w:pPr>
      <w:r w:rsidRPr="001D5327">
        <w:rPr>
          <w:rFonts w:eastAsiaTheme="minorHAnsi"/>
          <w:spacing w:val="-2"/>
          <w:lang w:eastAsia="en-US"/>
        </w:rPr>
        <w:t>adoption of country-specific activity data based on reporting through the waste levy system</w:t>
      </w:r>
    </w:p>
    <w:p w14:paraId="491643F5" w14:textId="77777777" w:rsidR="00BC0FD7" w:rsidRPr="001D5327" w:rsidRDefault="00BC0FD7" w:rsidP="00BC0FD7">
      <w:pPr>
        <w:pStyle w:val="Bullet"/>
        <w:rPr>
          <w:rFonts w:eastAsiaTheme="minorHAnsi"/>
          <w:lang w:eastAsia="en-US"/>
        </w:rPr>
      </w:pPr>
      <w:r w:rsidRPr="001D5327">
        <w:rPr>
          <w:rFonts w:eastAsiaTheme="minorHAnsi"/>
          <w:lang w:eastAsia="en-US"/>
        </w:rPr>
        <w:t>revisions to the previous model to incorporate New Zealand's landfill site classifications</w:t>
      </w:r>
    </w:p>
    <w:p w14:paraId="7639E2E5" w14:textId="77777777" w:rsidR="00BC0FD7" w:rsidRPr="001D5327" w:rsidRDefault="00BC0FD7" w:rsidP="00BC0FD7">
      <w:pPr>
        <w:pStyle w:val="Bullet"/>
        <w:rPr>
          <w:rFonts w:eastAsiaTheme="minorHAnsi"/>
          <w:lang w:eastAsia="en-US"/>
        </w:rPr>
      </w:pPr>
      <w:r w:rsidRPr="001D5327">
        <w:rPr>
          <w:rFonts w:eastAsiaTheme="minorHAnsi"/>
          <w:lang w:eastAsia="en-US"/>
        </w:rPr>
        <w:t>implementation of trend extrapolation techniques using recent data obtained through the levy system.</w:t>
      </w:r>
    </w:p>
    <w:p w14:paraId="25C263AE" w14:textId="77777777" w:rsidR="00BC0FD7" w:rsidRPr="001D5327" w:rsidRDefault="00BC0FD7" w:rsidP="00BC0FD7">
      <w:pPr>
        <w:pStyle w:val="BodyText"/>
        <w:rPr>
          <w:rFonts w:asciiTheme="minorHAnsi" w:eastAsiaTheme="minorHAnsi" w:hAnsiTheme="minorHAnsi" w:cstheme="majorHAnsi"/>
          <w:szCs w:val="24"/>
          <w:lang w:eastAsia="en-US"/>
        </w:rPr>
      </w:pPr>
      <w:r w:rsidRPr="001D5327">
        <w:rPr>
          <w:rFonts w:asciiTheme="minorHAnsi" w:eastAsiaTheme="minorHAnsi" w:hAnsiTheme="minorHAnsi" w:cstheme="majorHAnsi"/>
          <w:spacing w:val="-2"/>
          <w:szCs w:val="24"/>
          <w:lang w:eastAsia="en-US"/>
        </w:rPr>
        <w:t>As a result of these changes, emissions have been reduced by 1,078.3 kt CO₂-e in 1990 and by 556.2 kt CO₂-e in 2022. Detailed descriptions of these recalculations are provided in chapter 10</w:t>
      </w:r>
      <w:r w:rsidRPr="001D5327">
        <w:rPr>
          <w:rFonts w:asciiTheme="minorHAnsi" w:eastAsiaTheme="minorHAnsi" w:hAnsiTheme="minorHAnsi" w:cstheme="majorHAnsi"/>
          <w:szCs w:val="24"/>
          <w:lang w:eastAsia="en-US"/>
        </w:rPr>
        <w:t>.</w:t>
      </w:r>
    </w:p>
    <w:p w14:paraId="2D76C0AF" w14:textId="77777777" w:rsidR="00BC0FD7" w:rsidRPr="001D5327" w:rsidRDefault="00BC0FD7" w:rsidP="00BC0FD7">
      <w:pPr>
        <w:pStyle w:val="Heading3"/>
      </w:pPr>
      <w:r w:rsidRPr="001D5327">
        <w:t xml:space="preserve">7.2.6 </w:t>
      </w:r>
      <w:r w:rsidRPr="001D5327">
        <w:tab/>
        <w:t>Category-specific planned improvements</w:t>
      </w:r>
    </w:p>
    <w:p w14:paraId="3FCAD570" w14:textId="77777777" w:rsidR="00BC0FD7" w:rsidRPr="001D5327" w:rsidRDefault="00BC0FD7" w:rsidP="00BC0FD7">
      <w:pPr>
        <w:pStyle w:val="BodyText"/>
        <w:rPr>
          <w:lang w:eastAsia="en-US"/>
        </w:rPr>
      </w:pPr>
      <w:r w:rsidRPr="001D5327">
        <w:t xml:space="preserve">Two areas within the </w:t>
      </w:r>
      <w:r w:rsidRPr="001D5327">
        <w:rPr>
          <w:i/>
          <w:iCs/>
        </w:rPr>
        <w:t>Solid waste disposal</w:t>
      </w:r>
      <w:r w:rsidRPr="001D5327">
        <w:t xml:space="preserve"> category are being considered for future improvements.</w:t>
      </w:r>
    </w:p>
    <w:p w14:paraId="636AF7B0" w14:textId="77777777" w:rsidR="00BC0FD7" w:rsidRPr="001D5327" w:rsidRDefault="00BC0FD7" w:rsidP="00BC0FD7">
      <w:pPr>
        <w:pStyle w:val="Bullet"/>
      </w:pPr>
      <w:r w:rsidRPr="001D5327">
        <w:t>Solid waste management data surveys are currently being conducted as part of the National Waste Data Reporting Programme, with results expected in 2025. The findings will enhance understanding of solid waste generation, treatment methods (including recycling, composting, incineration and disposal) and how these practices influence the composition of solid waste.</w:t>
      </w:r>
    </w:p>
    <w:p w14:paraId="19ACF827" w14:textId="77777777" w:rsidR="00BC0FD7" w:rsidRPr="001D5327" w:rsidRDefault="00BC0FD7" w:rsidP="00BC0FD7">
      <w:pPr>
        <w:pStyle w:val="Bullet"/>
      </w:pPr>
      <w:r w:rsidRPr="001D5327">
        <w:t>Emissions of carbon monoxide, nitrogen oxides and non-methane volatile organic compounds from landfills have not been estimated in this or previous submissions. These emissions are considered likely to be immaterial, but the inventory agency will consider estimating them for future submissions. This improvement will depend on the availability of budget, resources and data.</w:t>
      </w:r>
    </w:p>
    <w:p w14:paraId="1BB8A226" w14:textId="77777777" w:rsidR="00BC0FD7" w:rsidRPr="001D5327" w:rsidRDefault="00BC0FD7" w:rsidP="00BC0FD7">
      <w:pPr>
        <w:pStyle w:val="Heading2"/>
      </w:pPr>
      <w:bookmarkStart w:id="2844" w:name="_Toc194312042"/>
      <w:bookmarkStart w:id="2845" w:name="biological-treatment-of-solid-waste-5.b"/>
      <w:bookmarkEnd w:id="2820"/>
      <w:r w:rsidRPr="001D5327">
        <w:t xml:space="preserve">7.3 </w:t>
      </w:r>
      <w:r w:rsidRPr="001D5327">
        <w:tab/>
        <w:t>Biological treatment of solid waste (5.B)</w:t>
      </w:r>
      <w:bookmarkEnd w:id="2844"/>
    </w:p>
    <w:p w14:paraId="15314534" w14:textId="77777777" w:rsidR="00BC0FD7" w:rsidRPr="001D5327" w:rsidRDefault="00BC0FD7" w:rsidP="00BC0FD7">
      <w:pPr>
        <w:pStyle w:val="Heading3"/>
        <w:spacing w:before="240"/>
      </w:pPr>
      <w:r w:rsidRPr="001D5327">
        <w:t xml:space="preserve">7.3.1 </w:t>
      </w:r>
      <w:r w:rsidRPr="001D5327">
        <w:tab/>
        <w:t>Description</w:t>
      </w:r>
    </w:p>
    <w:p w14:paraId="1E38949D" w14:textId="77777777" w:rsidR="00BC0FD7" w:rsidRPr="001D5327" w:rsidRDefault="00BC0FD7" w:rsidP="00BC0FD7">
      <w:pPr>
        <w:pStyle w:val="BodyText"/>
      </w:pPr>
      <w:r w:rsidRPr="001D5327">
        <w:t>New Zealand has experienced an increase in commercial-scale composting of solid waste in recent years. Anecdotal evidence also suggests a rise in household and community-scale composting, in some cases supported by local government waste minimisation programmes, like the Compost Collective.</w:t>
      </w:r>
      <w:r w:rsidRPr="001D5327">
        <w:rPr>
          <w:rStyle w:val="FootnoteReference"/>
        </w:rPr>
        <w:footnoteReference w:id="57"/>
      </w:r>
      <w:r w:rsidRPr="001D5327">
        <w:t xml:space="preserve"> These initiatives educate and empower communities to adopt composting practices. Emissions from composting were first reported in the 2019 submission under category 5.B.1. </w:t>
      </w:r>
    </w:p>
    <w:p w14:paraId="7BAA11C4" w14:textId="77777777" w:rsidR="00BC0FD7" w:rsidRPr="001D5327" w:rsidRDefault="00BC0FD7" w:rsidP="00BC0FD7">
      <w:pPr>
        <w:pStyle w:val="BodyText"/>
      </w:pPr>
      <w:r w:rsidRPr="001D5327">
        <w:lastRenderedPageBreak/>
        <w:t>In October 2022, the country’s first large-scale anaerobic digestion plant commenced operations, with the capacity to process up to 75,000 tonnes of food scraps annually. Apart from this, no other forms of biological treatment of solid waste are currently practised in New Zealand.</w:t>
      </w:r>
    </w:p>
    <w:p w14:paraId="46787806" w14:textId="77777777" w:rsidR="00BC0FD7" w:rsidRPr="001D5327" w:rsidRDefault="00BC0FD7" w:rsidP="00BC0FD7">
      <w:pPr>
        <w:pStyle w:val="BodyText"/>
      </w:pPr>
      <w:r w:rsidRPr="001D5327">
        <w:t xml:space="preserve">In 2023, </w:t>
      </w:r>
      <w:r w:rsidRPr="001D5327">
        <w:rPr>
          <w:i/>
          <w:iCs/>
        </w:rPr>
        <w:t>Biological treatment of solid waste</w:t>
      </w:r>
      <w:r w:rsidRPr="001D5327">
        <w:t xml:space="preserve"> accounted for 81.6 kt CO</w:t>
      </w:r>
      <w:r w:rsidRPr="001D5327">
        <w:rPr>
          <w:vertAlign w:val="subscript"/>
        </w:rPr>
        <w:t>2</w:t>
      </w:r>
      <w:r w:rsidRPr="001D5327">
        <w:t>-e (2.8 per cent) of Waste sector emissions. This was an increase of 76.8 kt CO</w:t>
      </w:r>
      <w:r w:rsidRPr="001D5327">
        <w:rPr>
          <w:vertAlign w:val="subscript"/>
        </w:rPr>
        <w:t>2</w:t>
      </w:r>
      <w:r w:rsidRPr="001D5327">
        <w:t>-e (1,598.3 per cent) above the 1990 level of 4.8 and an increase of 5.1 kt CO</w:t>
      </w:r>
      <w:r w:rsidRPr="001D5327">
        <w:rPr>
          <w:vertAlign w:val="subscript"/>
        </w:rPr>
        <w:t>2</w:t>
      </w:r>
      <w:r w:rsidRPr="001D5327">
        <w:t>-e (6.7 per cent) from 2022.</w:t>
      </w:r>
    </w:p>
    <w:p w14:paraId="16A166B5" w14:textId="77777777" w:rsidR="00BC0FD7" w:rsidRPr="001D5327" w:rsidRDefault="00BC0FD7" w:rsidP="00BC0FD7">
      <w:pPr>
        <w:pStyle w:val="Heading3"/>
      </w:pPr>
      <w:r w:rsidRPr="001D5327">
        <w:t xml:space="preserve">7.3.2 </w:t>
      </w:r>
      <w:r w:rsidRPr="001D5327">
        <w:tab/>
        <w:t>Methodological issues</w:t>
      </w:r>
    </w:p>
    <w:p w14:paraId="48EDF024" w14:textId="77777777" w:rsidR="00BC0FD7" w:rsidRPr="001D5327" w:rsidRDefault="00BC0FD7" w:rsidP="002A512A">
      <w:pPr>
        <w:pStyle w:val="Heading4"/>
        <w:spacing w:before="180"/>
      </w:pPr>
      <w:r w:rsidRPr="001D5327">
        <w:t>Choice of activity data</w:t>
      </w:r>
    </w:p>
    <w:p w14:paraId="6B226C5E" w14:textId="77777777" w:rsidR="00BC0FD7" w:rsidRPr="001D5327" w:rsidRDefault="00BC0FD7" w:rsidP="00BC0FD7">
      <w:pPr>
        <w:pStyle w:val="Heading5"/>
        <w:spacing w:before="160"/>
      </w:pPr>
      <w:r w:rsidRPr="001D5327">
        <w:t>Composting (5.B.1.)</w:t>
      </w:r>
    </w:p>
    <w:p w14:paraId="22A44371" w14:textId="77777777" w:rsidR="00BC0FD7" w:rsidRPr="001D5327" w:rsidRDefault="00BC0FD7" w:rsidP="00BC0FD7">
      <w:pPr>
        <w:pStyle w:val="BodyText"/>
      </w:pPr>
      <w:r w:rsidRPr="001D5327">
        <w:t>Activity data for composting are estimated using expert judgement, with reference to evidence of commercial-scale composting operating across New Zealand. In 1990, it is estimated that an equivalent of 1 per cent of total municipal solid waste was composted (see the total solid waste reported in table 7.2.3). Between 1991 and 2008, composting activity was assumed to have grown by 2 per cent per annum. From 2009 to 2018, grow rates were estimated to have increased significantly (ranging from 10 per cent to 40 per cent per annum), to align with reported volumes for 2019 (Eunomia, unpublished(b)), reflecting the expansion of commercial-scale composting. Activity data for composting can be derived from table 7.2.3 using this description.</w:t>
      </w:r>
    </w:p>
    <w:p w14:paraId="12BC121B" w14:textId="77777777" w:rsidR="00BC0FD7" w:rsidRPr="001D5327" w:rsidRDefault="00BC0FD7" w:rsidP="00BC0FD7">
      <w:pPr>
        <w:pStyle w:val="BodyText"/>
      </w:pPr>
      <w:r w:rsidRPr="001D5327">
        <w:t xml:space="preserve">The decreasing proportion of food and garden waste disposed of in managed landfills between 2012 and 2018 (see table 7.2.5) is consistent with the trend towards increased composting, though casualty has not been established. </w:t>
      </w:r>
    </w:p>
    <w:p w14:paraId="540F574C" w14:textId="11B27EA8" w:rsidR="00BC0FD7" w:rsidRPr="001D5327" w:rsidRDefault="00BC0FD7" w:rsidP="00BC0FD7">
      <w:pPr>
        <w:pStyle w:val="Heading5"/>
      </w:pPr>
      <w:r w:rsidRPr="001D5327">
        <w:t>Anaerobic digestion (5.B.2)</w:t>
      </w:r>
    </w:p>
    <w:p w14:paraId="6B94CF01" w14:textId="77777777" w:rsidR="00BC0FD7" w:rsidRPr="001D5327" w:rsidRDefault="00BC0FD7" w:rsidP="00BC0FD7">
      <w:pPr>
        <w:pStyle w:val="BodyText"/>
        <w:rPr>
          <w:i/>
          <w:iCs/>
        </w:rPr>
      </w:pPr>
      <w:r w:rsidRPr="001D5327">
        <w:rPr>
          <w:lang w:eastAsia="en-US"/>
        </w:rPr>
        <w:t>New Zealand’s first large-scale anaerobic digestion plant, located in Reporoa in the central North Island, began operations in October 2022.</w:t>
      </w:r>
      <w:r w:rsidRPr="001D5327">
        <w:rPr>
          <w:rStyle w:val="FootnoteReference"/>
          <w:lang w:eastAsia="en-US"/>
        </w:rPr>
        <w:footnoteReference w:id="58"/>
      </w:r>
      <w:r w:rsidRPr="001D5327">
        <w:rPr>
          <w:lang w:eastAsia="en-US"/>
        </w:rPr>
        <w:t xml:space="preserve"> The facility is projected to process up to 75,000 tonnes of food scraps annually at full capacity, generating energy in the form of electricity, heat and biogas.</w:t>
      </w:r>
    </w:p>
    <w:p w14:paraId="46D655BF" w14:textId="77777777" w:rsidR="00BC0FD7" w:rsidRPr="001D5327" w:rsidRDefault="00BC0FD7" w:rsidP="00BC0FD7">
      <w:pPr>
        <w:pStyle w:val="BodyText"/>
      </w:pPr>
      <w:r w:rsidRPr="001D5327">
        <w:t xml:space="preserve">Waste volumes processed at the facility were provided by the plant operator for the years since the plant has been functioning. In its first year of operation (from October 2022), 792 tonnes of wet waste were processed, increasing to 29,473 tonnes in 2023, marking a growth of 3,621 per cent. </w:t>
      </w:r>
    </w:p>
    <w:p w14:paraId="27A447F2" w14:textId="77777777" w:rsidR="00BC0FD7" w:rsidRPr="001D5327" w:rsidRDefault="00BC0FD7" w:rsidP="00BC0FD7">
      <w:pPr>
        <w:pStyle w:val="Heading4"/>
      </w:pPr>
      <w:r w:rsidRPr="001D5327">
        <w:t>Choice of methods</w:t>
      </w:r>
    </w:p>
    <w:p w14:paraId="6468D44C" w14:textId="77777777" w:rsidR="00BC0FD7" w:rsidRPr="001D5327" w:rsidRDefault="00BC0FD7" w:rsidP="00BC0FD7">
      <w:pPr>
        <w:pStyle w:val="BodyText"/>
      </w:pPr>
      <w:r w:rsidRPr="001D5327">
        <w:t xml:space="preserve">Direct emissions from </w:t>
      </w:r>
      <w:r w:rsidRPr="001D5327">
        <w:rPr>
          <w:i/>
          <w:iCs/>
        </w:rPr>
        <w:t>Composting</w:t>
      </w:r>
      <w:r w:rsidRPr="001D5327">
        <w:t xml:space="preserve"> and </w:t>
      </w:r>
      <w:r w:rsidRPr="001D5327">
        <w:rPr>
          <w:i/>
          <w:iCs/>
        </w:rPr>
        <w:t>Anaerobic digestion</w:t>
      </w:r>
      <w:r w:rsidRPr="001D5327">
        <w:t xml:space="preserve"> are estimated using the Tier 1 default methodology outlined in the 2006 IPCC Guidelines (IPCC, 2006a). </w:t>
      </w:r>
    </w:p>
    <w:p w14:paraId="24A54918" w14:textId="77777777" w:rsidR="00BC0FD7" w:rsidRPr="001D5327" w:rsidRDefault="00BC0FD7" w:rsidP="00BC0FD7">
      <w:pPr>
        <w:pStyle w:val="BodyText"/>
      </w:pPr>
      <w:r w:rsidRPr="001D5327">
        <w:t>Default CH</w:t>
      </w:r>
      <w:r w:rsidRPr="001D5327">
        <w:rPr>
          <w:vertAlign w:val="subscript"/>
        </w:rPr>
        <w:t>4</w:t>
      </w:r>
      <w:r w:rsidRPr="001D5327">
        <w:t xml:space="preserve"> emission factors already account for CH</w:t>
      </w:r>
      <w:r w:rsidRPr="001D5327">
        <w:rPr>
          <w:vertAlign w:val="subscript"/>
        </w:rPr>
        <w:t>4</w:t>
      </w:r>
      <w:r w:rsidRPr="001D5327">
        <w:t xml:space="preserve"> recovery in </w:t>
      </w:r>
      <w:r w:rsidRPr="001D5327">
        <w:rPr>
          <w:i/>
          <w:iCs/>
        </w:rPr>
        <w:t>Anaerobic digestion</w:t>
      </w:r>
      <w:r w:rsidRPr="001D5327">
        <w:t>, while default N</w:t>
      </w:r>
      <w:r w:rsidRPr="001D5327">
        <w:rPr>
          <w:vertAlign w:val="subscript"/>
        </w:rPr>
        <w:t>2</w:t>
      </w:r>
      <w:r w:rsidRPr="001D5327">
        <w:t>O emission factors are assumed negligible and are not estimated (IPCC, 2006a).</w:t>
      </w:r>
    </w:p>
    <w:p w14:paraId="73F1DD41" w14:textId="77777777" w:rsidR="00BC0FD7" w:rsidRPr="001D5327" w:rsidRDefault="00BC0FD7" w:rsidP="00BC0FD7">
      <w:pPr>
        <w:pStyle w:val="Heading4"/>
      </w:pPr>
      <w:r w:rsidRPr="001D5327">
        <w:lastRenderedPageBreak/>
        <w:t>Choice of emission factors</w:t>
      </w:r>
    </w:p>
    <w:p w14:paraId="20C20804" w14:textId="77777777" w:rsidR="00BC0FD7" w:rsidRPr="001D5327" w:rsidRDefault="00BC0FD7" w:rsidP="00BC0FD7">
      <w:pPr>
        <w:pStyle w:val="BodyText"/>
        <w:spacing w:before="100" w:after="100"/>
      </w:pPr>
      <w:r w:rsidRPr="001D5327">
        <w:t>IPCC default parameters are used, as detailed in table 7.3.1.</w:t>
      </w:r>
    </w:p>
    <w:p w14:paraId="4EBA4F9A" w14:textId="6CE60724" w:rsidR="00BC0FD7" w:rsidRPr="001D5327" w:rsidRDefault="00BC0FD7" w:rsidP="00BC0FD7">
      <w:pPr>
        <w:pStyle w:val="Table"/>
      </w:pPr>
      <w:bookmarkStart w:id="2846" w:name="_Toc194241808"/>
      <w:r w:rsidRPr="001D5327">
        <w:t xml:space="preserve">Table 7.3.1 </w:t>
      </w:r>
      <w:r w:rsidRPr="001D5327">
        <w:tab/>
        <w:t xml:space="preserve">Emission factors applied to estimate emissions from </w:t>
      </w:r>
      <w:r w:rsidRPr="001D5327">
        <w:rPr>
          <w:i/>
          <w:iCs/>
        </w:rPr>
        <w:t xml:space="preserve">Composting </w:t>
      </w:r>
      <w:r w:rsidRPr="001D5327">
        <w:t>and</w:t>
      </w:r>
      <w:r w:rsidRPr="001D5327">
        <w:rPr>
          <w:i/>
          <w:iCs/>
        </w:rPr>
        <w:t xml:space="preserve"> Anaerobic</w:t>
      </w:r>
      <w:r w:rsidR="00943B8A" w:rsidRPr="001D5327">
        <w:rPr>
          <w:i/>
          <w:iCs/>
        </w:rPr>
        <w:t> </w:t>
      </w:r>
      <w:r w:rsidRPr="001D5327">
        <w:rPr>
          <w:i/>
          <w:iCs/>
        </w:rPr>
        <w:t>digestion</w:t>
      </w:r>
      <w:bookmarkEnd w:id="2846"/>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526"/>
        <w:gridCol w:w="3075"/>
        <w:gridCol w:w="1893"/>
      </w:tblGrid>
      <w:tr w:rsidR="00BC0FD7" w:rsidRPr="001D5327" w14:paraId="6E10C65D" w14:textId="77777777" w:rsidTr="00D11AC9">
        <w:trPr>
          <w:tblHeader/>
        </w:trPr>
        <w:tc>
          <w:tcPr>
            <w:tcW w:w="0" w:type="auto"/>
            <w:shd w:val="clear" w:color="auto" w:fill="1B556B"/>
            <w:tcMar>
              <w:top w:w="0" w:type="dxa"/>
              <w:left w:w="85" w:type="dxa"/>
              <w:bottom w:w="0" w:type="dxa"/>
              <w:right w:w="85" w:type="dxa"/>
            </w:tcMar>
            <w:vAlign w:val="center"/>
          </w:tcPr>
          <w:p w14:paraId="5C8CB217"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 xml:space="preserve">Emissions category </w:t>
            </w:r>
          </w:p>
        </w:tc>
        <w:tc>
          <w:tcPr>
            <w:tcW w:w="0" w:type="auto"/>
            <w:shd w:val="clear" w:color="auto" w:fill="1B556B"/>
            <w:tcMar>
              <w:top w:w="0" w:type="dxa"/>
              <w:left w:w="85" w:type="dxa"/>
              <w:bottom w:w="0" w:type="dxa"/>
              <w:right w:w="85" w:type="dxa"/>
            </w:tcMar>
            <w:vAlign w:val="center"/>
          </w:tcPr>
          <w:p w14:paraId="1C9912D2"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Emission factor (g/kg)</w:t>
            </w:r>
          </w:p>
        </w:tc>
        <w:tc>
          <w:tcPr>
            <w:tcW w:w="0" w:type="auto"/>
            <w:shd w:val="clear" w:color="auto" w:fill="1B556B"/>
            <w:tcMar>
              <w:top w:w="0" w:type="dxa"/>
              <w:left w:w="85" w:type="dxa"/>
              <w:bottom w:w="0" w:type="dxa"/>
              <w:right w:w="85" w:type="dxa"/>
            </w:tcMar>
            <w:vAlign w:val="center"/>
          </w:tcPr>
          <w:p w14:paraId="3773BC6F"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Source</w:t>
            </w:r>
          </w:p>
        </w:tc>
      </w:tr>
      <w:tr w:rsidR="00BC0FD7" w:rsidRPr="001D5327" w14:paraId="04494211" w14:textId="77777777" w:rsidTr="00D11AC9">
        <w:tc>
          <w:tcPr>
            <w:tcW w:w="0" w:type="auto"/>
            <w:shd w:val="clear" w:color="auto" w:fill="FFFFFF"/>
            <w:tcMar>
              <w:top w:w="0" w:type="dxa"/>
              <w:left w:w="85" w:type="dxa"/>
              <w:bottom w:w="0" w:type="dxa"/>
              <w:right w:w="85" w:type="dxa"/>
            </w:tcMar>
            <w:vAlign w:val="center"/>
          </w:tcPr>
          <w:p w14:paraId="1496C809" w14:textId="77777777" w:rsidR="00BC0FD7" w:rsidRPr="001D5327" w:rsidRDefault="00BC0FD7" w:rsidP="00D11AC9">
            <w:pPr>
              <w:pStyle w:val="TableText"/>
              <w:spacing w:before="40" w:after="40"/>
            </w:pPr>
            <w:r w:rsidRPr="001D5327">
              <w:rPr>
                <w:color w:val="000000"/>
              </w:rPr>
              <w:t>Compost (CH</w:t>
            </w:r>
            <w:r w:rsidRPr="001D5327">
              <w:rPr>
                <w:color w:val="000000"/>
                <w:vertAlign w:val="subscript"/>
              </w:rPr>
              <w:t>4</w:t>
            </w:r>
            <w:r w:rsidRPr="001D5327">
              <w:rPr>
                <w:color w:val="000000"/>
              </w:rPr>
              <w:t>)</w:t>
            </w:r>
          </w:p>
        </w:tc>
        <w:tc>
          <w:tcPr>
            <w:tcW w:w="0" w:type="auto"/>
            <w:shd w:val="clear" w:color="auto" w:fill="FFFFFF"/>
            <w:tcMar>
              <w:top w:w="0" w:type="dxa"/>
              <w:left w:w="85" w:type="dxa"/>
              <w:bottom w:w="0" w:type="dxa"/>
              <w:right w:w="85" w:type="dxa"/>
            </w:tcMar>
            <w:vAlign w:val="center"/>
          </w:tcPr>
          <w:p w14:paraId="7784CA9F" w14:textId="77777777" w:rsidR="00BC0FD7" w:rsidRPr="001D5327" w:rsidRDefault="00BC0FD7" w:rsidP="00D11AC9">
            <w:pPr>
              <w:pStyle w:val="TableText"/>
              <w:spacing w:before="40" w:after="40"/>
              <w:jc w:val="right"/>
            </w:pPr>
            <w:r w:rsidRPr="001D5327">
              <w:rPr>
                <w:color w:val="000000"/>
              </w:rPr>
              <w:t>4.0</w:t>
            </w:r>
          </w:p>
        </w:tc>
        <w:tc>
          <w:tcPr>
            <w:tcW w:w="0" w:type="auto"/>
            <w:shd w:val="clear" w:color="auto" w:fill="FFFFFF"/>
            <w:tcMar>
              <w:top w:w="0" w:type="dxa"/>
              <w:left w:w="85" w:type="dxa"/>
              <w:bottom w:w="0" w:type="dxa"/>
              <w:right w:w="85" w:type="dxa"/>
            </w:tcMar>
            <w:vAlign w:val="center"/>
          </w:tcPr>
          <w:p w14:paraId="3C5E2F4C" w14:textId="77777777" w:rsidR="00BC0FD7" w:rsidRPr="001D5327" w:rsidRDefault="00BC0FD7" w:rsidP="00D11AC9">
            <w:pPr>
              <w:pStyle w:val="TableText"/>
              <w:spacing w:before="40" w:after="40"/>
              <w:jc w:val="right"/>
            </w:pPr>
            <w:r w:rsidRPr="001D5327">
              <w:rPr>
                <w:color w:val="000000"/>
              </w:rPr>
              <w:t>IPCC (2006a)</w:t>
            </w:r>
          </w:p>
        </w:tc>
      </w:tr>
      <w:tr w:rsidR="00BC0FD7" w:rsidRPr="001D5327" w14:paraId="36CBBABD" w14:textId="77777777" w:rsidTr="00D11AC9">
        <w:tc>
          <w:tcPr>
            <w:tcW w:w="0" w:type="auto"/>
            <w:shd w:val="clear" w:color="auto" w:fill="FFFFFF"/>
            <w:tcMar>
              <w:top w:w="0" w:type="dxa"/>
              <w:left w:w="85" w:type="dxa"/>
              <w:bottom w:w="0" w:type="dxa"/>
              <w:right w:w="85" w:type="dxa"/>
            </w:tcMar>
            <w:vAlign w:val="center"/>
          </w:tcPr>
          <w:p w14:paraId="09783649" w14:textId="77777777" w:rsidR="00BC0FD7" w:rsidRPr="001D5327" w:rsidRDefault="00BC0FD7" w:rsidP="00D11AC9">
            <w:pPr>
              <w:pStyle w:val="TableText"/>
              <w:spacing w:before="40" w:after="40"/>
              <w:rPr>
                <w:rFonts w:eastAsia="Calibri"/>
                <w:color w:val="000000"/>
              </w:rPr>
            </w:pPr>
            <w:r w:rsidRPr="001D5327">
              <w:rPr>
                <w:color w:val="000000"/>
              </w:rPr>
              <w:t>Anaerobic digestion (CH</w:t>
            </w:r>
            <w:r w:rsidRPr="001D5327">
              <w:rPr>
                <w:color w:val="000000"/>
                <w:vertAlign w:val="subscript"/>
              </w:rPr>
              <w:t>4</w:t>
            </w:r>
            <w:r w:rsidRPr="001D5327">
              <w:rPr>
                <w:color w:val="000000"/>
              </w:rPr>
              <w:t>)</w:t>
            </w:r>
          </w:p>
        </w:tc>
        <w:tc>
          <w:tcPr>
            <w:tcW w:w="0" w:type="auto"/>
            <w:shd w:val="clear" w:color="auto" w:fill="FFFFFF"/>
            <w:tcMar>
              <w:top w:w="0" w:type="dxa"/>
              <w:left w:w="85" w:type="dxa"/>
              <w:bottom w:w="0" w:type="dxa"/>
              <w:right w:w="85" w:type="dxa"/>
            </w:tcMar>
            <w:vAlign w:val="center"/>
          </w:tcPr>
          <w:p w14:paraId="63C73328" w14:textId="77777777" w:rsidR="00BC0FD7" w:rsidRPr="001D5327" w:rsidRDefault="00BC0FD7" w:rsidP="00D11AC9">
            <w:pPr>
              <w:pStyle w:val="TableText"/>
              <w:spacing w:before="40" w:after="40"/>
              <w:jc w:val="right"/>
              <w:rPr>
                <w:rFonts w:eastAsia="Calibri"/>
                <w:color w:val="000000"/>
              </w:rPr>
            </w:pPr>
            <w:r w:rsidRPr="001D5327">
              <w:rPr>
                <w:color w:val="000000"/>
              </w:rPr>
              <w:t>0.8</w:t>
            </w:r>
          </w:p>
        </w:tc>
        <w:tc>
          <w:tcPr>
            <w:tcW w:w="0" w:type="auto"/>
            <w:shd w:val="clear" w:color="auto" w:fill="FFFFFF"/>
            <w:tcMar>
              <w:top w:w="0" w:type="dxa"/>
              <w:left w:w="85" w:type="dxa"/>
              <w:bottom w:w="0" w:type="dxa"/>
              <w:right w:w="85" w:type="dxa"/>
            </w:tcMar>
            <w:vAlign w:val="center"/>
          </w:tcPr>
          <w:p w14:paraId="6C027EEA" w14:textId="77777777" w:rsidR="00BC0FD7" w:rsidRPr="001D5327" w:rsidRDefault="00BC0FD7" w:rsidP="00D11AC9">
            <w:pPr>
              <w:pStyle w:val="TableText"/>
              <w:spacing w:before="40" w:after="40"/>
              <w:jc w:val="right"/>
              <w:rPr>
                <w:rFonts w:eastAsia="Calibri"/>
                <w:color w:val="000000"/>
              </w:rPr>
            </w:pPr>
            <w:r w:rsidRPr="001D5327">
              <w:rPr>
                <w:color w:val="000000"/>
              </w:rPr>
              <w:t>IPCC (2006a)</w:t>
            </w:r>
          </w:p>
        </w:tc>
      </w:tr>
      <w:tr w:rsidR="00BC0FD7" w:rsidRPr="001D5327" w14:paraId="1EA25BC5" w14:textId="77777777" w:rsidTr="00D11AC9">
        <w:tc>
          <w:tcPr>
            <w:tcW w:w="0" w:type="auto"/>
            <w:shd w:val="clear" w:color="auto" w:fill="FFFFFF"/>
            <w:tcMar>
              <w:top w:w="0" w:type="dxa"/>
              <w:left w:w="85" w:type="dxa"/>
              <w:bottom w:w="0" w:type="dxa"/>
              <w:right w:w="85" w:type="dxa"/>
            </w:tcMar>
            <w:vAlign w:val="center"/>
          </w:tcPr>
          <w:p w14:paraId="40C7B582" w14:textId="77777777" w:rsidR="00BC0FD7" w:rsidRPr="001D5327" w:rsidRDefault="00BC0FD7" w:rsidP="00D11AC9">
            <w:pPr>
              <w:pStyle w:val="TableText"/>
              <w:spacing w:before="40" w:after="40"/>
            </w:pPr>
            <w:r w:rsidRPr="001D5327">
              <w:rPr>
                <w:color w:val="000000"/>
              </w:rPr>
              <w:t>Compost (N</w:t>
            </w:r>
            <w:r w:rsidRPr="001D5327">
              <w:rPr>
                <w:color w:val="000000"/>
                <w:vertAlign w:val="subscript"/>
              </w:rPr>
              <w:t>2</w:t>
            </w:r>
            <w:r w:rsidRPr="001D5327">
              <w:rPr>
                <w:color w:val="000000"/>
              </w:rPr>
              <w:t>O)</w:t>
            </w:r>
          </w:p>
        </w:tc>
        <w:tc>
          <w:tcPr>
            <w:tcW w:w="0" w:type="auto"/>
            <w:shd w:val="clear" w:color="auto" w:fill="FFFFFF"/>
            <w:tcMar>
              <w:top w:w="0" w:type="dxa"/>
              <w:left w:w="85" w:type="dxa"/>
              <w:bottom w:w="0" w:type="dxa"/>
              <w:right w:w="85" w:type="dxa"/>
            </w:tcMar>
            <w:vAlign w:val="center"/>
          </w:tcPr>
          <w:p w14:paraId="488B15B1" w14:textId="77777777" w:rsidR="00BC0FD7" w:rsidRPr="001D5327" w:rsidRDefault="00BC0FD7" w:rsidP="00D11AC9">
            <w:pPr>
              <w:pStyle w:val="TableText"/>
              <w:spacing w:before="40" w:after="40"/>
              <w:jc w:val="right"/>
            </w:pPr>
            <w:r w:rsidRPr="001D5327">
              <w:rPr>
                <w:color w:val="000000"/>
              </w:rPr>
              <w:t>0.24</w:t>
            </w:r>
          </w:p>
        </w:tc>
        <w:tc>
          <w:tcPr>
            <w:tcW w:w="0" w:type="auto"/>
            <w:shd w:val="clear" w:color="auto" w:fill="FFFFFF"/>
            <w:tcMar>
              <w:top w:w="0" w:type="dxa"/>
              <w:left w:w="85" w:type="dxa"/>
              <w:bottom w:w="0" w:type="dxa"/>
              <w:right w:w="85" w:type="dxa"/>
            </w:tcMar>
            <w:vAlign w:val="center"/>
          </w:tcPr>
          <w:p w14:paraId="1ACBFC7F" w14:textId="77777777" w:rsidR="00BC0FD7" w:rsidRPr="001D5327" w:rsidRDefault="00BC0FD7" w:rsidP="00D11AC9">
            <w:pPr>
              <w:pStyle w:val="TableText"/>
              <w:spacing w:before="40" w:after="40"/>
              <w:jc w:val="right"/>
            </w:pPr>
            <w:r w:rsidRPr="001D5327">
              <w:rPr>
                <w:color w:val="000000"/>
              </w:rPr>
              <w:t>IPCC (2006a)</w:t>
            </w:r>
          </w:p>
        </w:tc>
      </w:tr>
      <w:tr w:rsidR="00BC0FD7" w:rsidRPr="001D5327" w14:paraId="5EC33F22" w14:textId="77777777" w:rsidTr="00D11AC9">
        <w:tc>
          <w:tcPr>
            <w:tcW w:w="0" w:type="auto"/>
            <w:shd w:val="clear" w:color="auto" w:fill="FFFFFF"/>
            <w:tcMar>
              <w:top w:w="0" w:type="dxa"/>
              <w:left w:w="85" w:type="dxa"/>
              <w:bottom w:w="0" w:type="dxa"/>
              <w:right w:w="85" w:type="dxa"/>
            </w:tcMar>
            <w:vAlign w:val="center"/>
          </w:tcPr>
          <w:p w14:paraId="55A760EB" w14:textId="77777777" w:rsidR="00BC0FD7" w:rsidRPr="001D5327" w:rsidRDefault="00BC0FD7" w:rsidP="00D11AC9">
            <w:pPr>
              <w:pStyle w:val="TableText"/>
              <w:spacing w:before="40" w:after="40"/>
              <w:rPr>
                <w:rFonts w:eastAsia="Calibri"/>
                <w:color w:val="000000"/>
              </w:rPr>
            </w:pPr>
            <w:r w:rsidRPr="001D5327">
              <w:rPr>
                <w:color w:val="000000"/>
              </w:rPr>
              <w:t>Anaerobic digestion (N</w:t>
            </w:r>
            <w:r w:rsidRPr="001D5327">
              <w:rPr>
                <w:color w:val="000000"/>
                <w:vertAlign w:val="subscript"/>
              </w:rPr>
              <w:t>2</w:t>
            </w:r>
            <w:r w:rsidRPr="001D5327">
              <w:rPr>
                <w:color w:val="000000"/>
              </w:rPr>
              <w:t>O)</w:t>
            </w:r>
          </w:p>
        </w:tc>
        <w:tc>
          <w:tcPr>
            <w:tcW w:w="0" w:type="auto"/>
            <w:shd w:val="clear" w:color="auto" w:fill="FFFFFF"/>
            <w:tcMar>
              <w:top w:w="0" w:type="dxa"/>
              <w:left w:w="85" w:type="dxa"/>
              <w:bottom w:w="0" w:type="dxa"/>
              <w:right w:w="85" w:type="dxa"/>
            </w:tcMar>
            <w:vAlign w:val="center"/>
          </w:tcPr>
          <w:p w14:paraId="113DF4BC" w14:textId="77777777" w:rsidR="00BC0FD7" w:rsidRPr="001D5327" w:rsidRDefault="00BC0FD7" w:rsidP="00D11AC9">
            <w:pPr>
              <w:pStyle w:val="TableText"/>
              <w:spacing w:before="40" w:after="40"/>
              <w:jc w:val="right"/>
              <w:rPr>
                <w:rFonts w:eastAsia="Calibri"/>
                <w:color w:val="000000"/>
              </w:rPr>
            </w:pPr>
            <w:r w:rsidRPr="001D5327">
              <w:rPr>
                <w:color w:val="000000"/>
              </w:rPr>
              <w:t>Assumed negligible</w:t>
            </w:r>
          </w:p>
        </w:tc>
        <w:tc>
          <w:tcPr>
            <w:tcW w:w="0" w:type="auto"/>
            <w:shd w:val="clear" w:color="auto" w:fill="FFFFFF"/>
            <w:tcMar>
              <w:top w:w="0" w:type="dxa"/>
              <w:left w:w="85" w:type="dxa"/>
              <w:bottom w:w="0" w:type="dxa"/>
              <w:right w:w="85" w:type="dxa"/>
            </w:tcMar>
            <w:vAlign w:val="center"/>
          </w:tcPr>
          <w:p w14:paraId="10E29037" w14:textId="77777777" w:rsidR="00BC0FD7" w:rsidRPr="001D5327" w:rsidRDefault="00BC0FD7" w:rsidP="00D11AC9">
            <w:pPr>
              <w:pStyle w:val="TableText"/>
              <w:spacing w:before="40" w:after="40"/>
              <w:jc w:val="right"/>
              <w:rPr>
                <w:rFonts w:eastAsia="Calibri"/>
                <w:color w:val="000000"/>
              </w:rPr>
            </w:pPr>
            <w:r w:rsidRPr="001D5327">
              <w:rPr>
                <w:color w:val="000000"/>
              </w:rPr>
              <w:t>IPCC (2006a)</w:t>
            </w:r>
          </w:p>
        </w:tc>
      </w:tr>
    </w:tbl>
    <w:p w14:paraId="0359DB30" w14:textId="77777777" w:rsidR="00BC0FD7" w:rsidRPr="001D5327" w:rsidRDefault="00BC0FD7" w:rsidP="00BC0FD7">
      <w:pPr>
        <w:pStyle w:val="BodyText"/>
        <w:spacing w:before="240"/>
      </w:pPr>
      <w:r w:rsidRPr="001D5327">
        <w:t>The emission factors are sourced from table 4.1, chapter 4 of volume 5 of the 2006 IPCC Guidelines (IPCC, 2006a).</w:t>
      </w:r>
    </w:p>
    <w:p w14:paraId="293A8021" w14:textId="77777777" w:rsidR="00BC0FD7" w:rsidRPr="001D5327" w:rsidRDefault="00BC0FD7" w:rsidP="00853FF7">
      <w:pPr>
        <w:pStyle w:val="Heading3"/>
        <w:spacing w:before="240"/>
      </w:pPr>
      <w:r w:rsidRPr="001D5327">
        <w:t xml:space="preserve">7.3.3 </w:t>
      </w:r>
      <w:r w:rsidRPr="001D5327">
        <w:tab/>
        <w:t>Uncertainty assessment and time-series consistency</w:t>
      </w:r>
    </w:p>
    <w:p w14:paraId="44523499" w14:textId="77777777" w:rsidR="00BC0FD7" w:rsidRPr="001D5327" w:rsidRDefault="00BC0FD7" w:rsidP="00E72A1F">
      <w:pPr>
        <w:pStyle w:val="Heading4"/>
        <w:spacing w:before="180"/>
      </w:pPr>
      <w:r w:rsidRPr="001D5327">
        <w:t>Uncertainties</w:t>
      </w:r>
    </w:p>
    <w:p w14:paraId="20B8BDC8" w14:textId="77777777" w:rsidR="00BC0FD7" w:rsidRPr="001D5327" w:rsidRDefault="00BC0FD7" w:rsidP="00BC0FD7">
      <w:pPr>
        <w:pStyle w:val="BodyText"/>
        <w:spacing w:before="100" w:after="100"/>
      </w:pPr>
      <w:r w:rsidRPr="001D5327">
        <w:t xml:space="preserve">In accordance with the 2006 IPCC Guidelines (IPCC, 2006a), uncertainties in activity data can exceed ±&gt;100 per cent when data quality is poor or limited. For </w:t>
      </w:r>
      <w:r w:rsidRPr="001D5327">
        <w:rPr>
          <w:i/>
          <w:iCs/>
        </w:rPr>
        <w:t>Composting</w:t>
      </w:r>
      <w:r w:rsidRPr="001D5327">
        <w:t xml:space="preserve">, an uncertainty of ±100 per cent is applied, reflecting the limited availability of high-quality data. For </w:t>
      </w:r>
      <w:r w:rsidRPr="001D5327">
        <w:rPr>
          <w:i/>
          <w:iCs/>
        </w:rPr>
        <w:t>Anaerobic digestion</w:t>
      </w:r>
      <w:r w:rsidRPr="001D5327">
        <w:t>, an uncertainty in activity data of ±90 per cent has been estimated, consistent with the approach used for the municipal and non-municipal landfill subcategories, because data were obtained directly from the facility operator.</w:t>
      </w:r>
    </w:p>
    <w:p w14:paraId="6A556038" w14:textId="54A6057F" w:rsidR="00BC0FD7" w:rsidRPr="001D5327" w:rsidRDefault="00BC0FD7" w:rsidP="00BC0FD7">
      <w:pPr>
        <w:pStyle w:val="BodyText"/>
        <w:spacing w:before="100" w:after="100"/>
      </w:pPr>
      <w:r w:rsidRPr="001D5327">
        <w:t>Uncertainties in emission factors are derived from the variability of the emission factors relative to the IPCC default (IPCC, 2006a). For composting and anaerobic digestion, the default CH</w:t>
      </w:r>
      <w:r w:rsidRPr="001D5327">
        <w:rPr>
          <w:vertAlign w:val="subscript"/>
        </w:rPr>
        <w:t>4</w:t>
      </w:r>
      <w:r w:rsidRPr="001D5327">
        <w:t xml:space="preserve"> emission factor has an uncertainty of approximately ±100 per cent. The N</w:t>
      </w:r>
      <w:r w:rsidRPr="001D5327">
        <w:rPr>
          <w:vertAlign w:val="subscript"/>
        </w:rPr>
        <w:t>2</w:t>
      </w:r>
      <w:r w:rsidRPr="001D5327">
        <w:t xml:space="preserve">O emission factor for composting exhibits a range of +150 per cent to </w:t>
      </w:r>
      <w:r w:rsidR="0070503C">
        <w:t>-</w:t>
      </w:r>
      <w:r w:rsidRPr="001D5327">
        <w:t>75 per cent, so the uncertainty is given as ±150 per cent. In contrast, the N</w:t>
      </w:r>
      <w:r w:rsidRPr="001D5327">
        <w:rPr>
          <w:vertAlign w:val="subscript"/>
        </w:rPr>
        <w:t>2</w:t>
      </w:r>
      <w:r w:rsidRPr="001D5327">
        <w:t xml:space="preserve">O emission factor for anaerobic digestion is considered negligible, and its uncertainty is reported as ‘not applicable’. </w:t>
      </w:r>
    </w:p>
    <w:p w14:paraId="685937E2" w14:textId="77777777" w:rsidR="00BC0FD7" w:rsidRPr="001D5327" w:rsidRDefault="00BC0FD7" w:rsidP="00BC0FD7">
      <w:pPr>
        <w:pStyle w:val="BodyText"/>
        <w:spacing w:before="100" w:after="100"/>
        <w:rPr>
          <w:lang w:eastAsia="en-US"/>
        </w:rPr>
      </w:pPr>
      <w:r w:rsidRPr="001D5327">
        <w:t xml:space="preserve">Table 7.3.2 summarises the uncertainties associated with </w:t>
      </w:r>
      <w:r w:rsidRPr="001D5327">
        <w:rPr>
          <w:i/>
          <w:iCs/>
        </w:rPr>
        <w:t>Composting</w:t>
      </w:r>
      <w:r w:rsidRPr="001D5327">
        <w:t xml:space="preserve"> and </w:t>
      </w:r>
      <w:r w:rsidRPr="001D5327">
        <w:rPr>
          <w:i/>
          <w:iCs/>
        </w:rPr>
        <w:t>Anaerobic digestion</w:t>
      </w:r>
      <w:r w:rsidRPr="001D5327">
        <w:t>.</w:t>
      </w:r>
    </w:p>
    <w:p w14:paraId="41C1B663" w14:textId="77777777" w:rsidR="00BC0FD7" w:rsidRPr="001D5327" w:rsidRDefault="00BC0FD7" w:rsidP="00BC0FD7">
      <w:pPr>
        <w:pStyle w:val="Table"/>
      </w:pPr>
      <w:bookmarkStart w:id="2847" w:name="_Toc194241809"/>
      <w:r w:rsidRPr="001D5327">
        <w:t xml:space="preserve">Table 7.3.2 </w:t>
      </w:r>
      <w:r w:rsidRPr="001D5327">
        <w:tab/>
        <w:t xml:space="preserve">Uncertainty in emissions from </w:t>
      </w:r>
      <w:r w:rsidRPr="001D5327">
        <w:rPr>
          <w:i/>
          <w:iCs/>
        </w:rPr>
        <w:t>Composting and Anaerobic digestion</w:t>
      </w:r>
      <w:bookmarkEnd w:id="2847"/>
    </w:p>
    <w:tbl>
      <w:tblPr>
        <w:tblW w:w="5000" w:type="pct"/>
        <w:jc w:val="center"/>
        <w:tblBorders>
          <w:top w:val="single" w:sz="4" w:space="0" w:color="1B556B"/>
          <w:bottom w:val="single" w:sz="4" w:space="0" w:color="1B556B"/>
          <w:insideH w:val="single" w:sz="4" w:space="0" w:color="1B556B"/>
        </w:tblBorders>
        <w:tblLook w:val="0420" w:firstRow="1" w:lastRow="0" w:firstColumn="0" w:lastColumn="0" w:noHBand="0" w:noVBand="1"/>
      </w:tblPr>
      <w:tblGrid>
        <w:gridCol w:w="2403"/>
        <w:gridCol w:w="2882"/>
        <w:gridCol w:w="3220"/>
      </w:tblGrid>
      <w:tr w:rsidR="00BC0FD7" w:rsidRPr="001D5327" w14:paraId="5DFD0F93" w14:textId="77777777" w:rsidTr="00D11AC9">
        <w:trPr>
          <w:tblHeader/>
          <w:jc w:val="center"/>
        </w:trPr>
        <w:tc>
          <w:tcPr>
            <w:tcW w:w="0" w:type="auto"/>
            <w:shd w:val="clear" w:color="auto" w:fill="1B556B"/>
            <w:tcMar>
              <w:top w:w="0" w:type="dxa"/>
              <w:left w:w="85" w:type="dxa"/>
              <w:bottom w:w="0" w:type="dxa"/>
              <w:right w:w="85" w:type="dxa"/>
            </w:tcMar>
          </w:tcPr>
          <w:p w14:paraId="3F7ED346"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Emissions category</w:t>
            </w:r>
          </w:p>
        </w:tc>
        <w:tc>
          <w:tcPr>
            <w:tcW w:w="0" w:type="auto"/>
            <w:shd w:val="clear" w:color="auto" w:fill="1B556B"/>
            <w:tcMar>
              <w:top w:w="0" w:type="dxa"/>
              <w:left w:w="85" w:type="dxa"/>
              <w:bottom w:w="0" w:type="dxa"/>
              <w:right w:w="85" w:type="dxa"/>
            </w:tcMar>
          </w:tcPr>
          <w:p w14:paraId="7F7C0010"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tcPr>
          <w:p w14:paraId="531B6BA2"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emission factors (%)</w:t>
            </w:r>
          </w:p>
        </w:tc>
      </w:tr>
      <w:tr w:rsidR="00BC0FD7" w:rsidRPr="001D5327" w14:paraId="0A939F6F" w14:textId="77777777" w:rsidTr="00D11AC9">
        <w:trPr>
          <w:jc w:val="center"/>
        </w:trPr>
        <w:tc>
          <w:tcPr>
            <w:tcW w:w="0" w:type="auto"/>
            <w:shd w:val="clear" w:color="auto" w:fill="FFFFFF"/>
            <w:tcMar>
              <w:top w:w="0" w:type="dxa"/>
              <w:left w:w="85" w:type="dxa"/>
              <w:bottom w:w="0" w:type="dxa"/>
              <w:right w:w="85" w:type="dxa"/>
            </w:tcMar>
          </w:tcPr>
          <w:p w14:paraId="504B5F8E" w14:textId="77777777" w:rsidR="00BC0FD7" w:rsidRPr="001D5327" w:rsidRDefault="00BC0FD7" w:rsidP="00D11AC9">
            <w:pPr>
              <w:pStyle w:val="TableText"/>
              <w:spacing w:before="40" w:after="40"/>
            </w:pPr>
            <w:r w:rsidRPr="001D5327">
              <w:rPr>
                <w:rFonts w:eastAsia="Calibri"/>
                <w:color w:val="000000"/>
              </w:rPr>
              <w:t>Composting (CH₄)</w:t>
            </w:r>
          </w:p>
        </w:tc>
        <w:tc>
          <w:tcPr>
            <w:tcW w:w="0" w:type="auto"/>
            <w:shd w:val="clear" w:color="auto" w:fill="FFFFFF"/>
            <w:tcMar>
              <w:top w:w="0" w:type="dxa"/>
              <w:left w:w="85" w:type="dxa"/>
              <w:bottom w:w="0" w:type="dxa"/>
              <w:right w:w="85" w:type="dxa"/>
            </w:tcMar>
          </w:tcPr>
          <w:p w14:paraId="769DACAA" w14:textId="77777777" w:rsidR="00BC0FD7" w:rsidRPr="001D5327" w:rsidRDefault="00BC0FD7" w:rsidP="00D11AC9">
            <w:pPr>
              <w:pStyle w:val="TableText"/>
              <w:spacing w:before="40" w:after="40"/>
              <w:jc w:val="right"/>
            </w:pPr>
            <w:r w:rsidRPr="001D5327">
              <w:rPr>
                <w:rFonts w:eastAsia="Calibri"/>
                <w:color w:val="000000"/>
              </w:rPr>
              <w:t>±100</w:t>
            </w:r>
          </w:p>
        </w:tc>
        <w:tc>
          <w:tcPr>
            <w:tcW w:w="0" w:type="auto"/>
            <w:shd w:val="clear" w:color="auto" w:fill="FFFFFF"/>
            <w:tcMar>
              <w:top w:w="0" w:type="dxa"/>
              <w:left w:w="85" w:type="dxa"/>
              <w:bottom w:w="0" w:type="dxa"/>
              <w:right w:w="85" w:type="dxa"/>
            </w:tcMar>
          </w:tcPr>
          <w:p w14:paraId="19F5ED0C" w14:textId="77777777" w:rsidR="00BC0FD7" w:rsidRPr="001D5327" w:rsidRDefault="00BC0FD7" w:rsidP="00D11AC9">
            <w:pPr>
              <w:pStyle w:val="TableText"/>
              <w:spacing w:before="40" w:after="40"/>
              <w:jc w:val="right"/>
            </w:pPr>
            <w:r w:rsidRPr="001D5327">
              <w:rPr>
                <w:rFonts w:eastAsia="Calibri"/>
                <w:color w:val="000000"/>
              </w:rPr>
              <w:t>±100</w:t>
            </w:r>
          </w:p>
        </w:tc>
      </w:tr>
      <w:tr w:rsidR="00BC0FD7" w:rsidRPr="001D5327" w14:paraId="025C37E2" w14:textId="77777777" w:rsidTr="00D11AC9">
        <w:trPr>
          <w:jc w:val="center"/>
        </w:trPr>
        <w:tc>
          <w:tcPr>
            <w:tcW w:w="0" w:type="auto"/>
            <w:shd w:val="clear" w:color="auto" w:fill="FFFFFF"/>
            <w:tcMar>
              <w:top w:w="0" w:type="dxa"/>
              <w:left w:w="85" w:type="dxa"/>
              <w:bottom w:w="0" w:type="dxa"/>
              <w:right w:w="85" w:type="dxa"/>
            </w:tcMar>
          </w:tcPr>
          <w:p w14:paraId="5C581008" w14:textId="77777777" w:rsidR="00BC0FD7" w:rsidRPr="001D5327" w:rsidRDefault="00BC0FD7" w:rsidP="00D11AC9">
            <w:pPr>
              <w:pStyle w:val="TableText"/>
              <w:spacing w:before="40" w:after="40"/>
            </w:pPr>
            <w:r w:rsidRPr="001D5327">
              <w:rPr>
                <w:rFonts w:eastAsia="Calibri"/>
                <w:color w:val="000000"/>
              </w:rPr>
              <w:t>Composting (N₂O)</w:t>
            </w:r>
          </w:p>
        </w:tc>
        <w:tc>
          <w:tcPr>
            <w:tcW w:w="0" w:type="auto"/>
            <w:shd w:val="clear" w:color="auto" w:fill="FFFFFF"/>
            <w:tcMar>
              <w:top w:w="0" w:type="dxa"/>
              <w:left w:w="85" w:type="dxa"/>
              <w:bottom w:w="0" w:type="dxa"/>
              <w:right w:w="85" w:type="dxa"/>
            </w:tcMar>
          </w:tcPr>
          <w:p w14:paraId="396BF147" w14:textId="77777777" w:rsidR="00BC0FD7" w:rsidRPr="001D5327" w:rsidRDefault="00BC0FD7" w:rsidP="00D11AC9">
            <w:pPr>
              <w:pStyle w:val="TableText"/>
              <w:spacing w:before="40" w:after="40"/>
              <w:jc w:val="right"/>
            </w:pPr>
            <w:r w:rsidRPr="001D5327">
              <w:rPr>
                <w:rFonts w:eastAsia="Calibri"/>
                <w:color w:val="000000"/>
              </w:rPr>
              <w:t>±100</w:t>
            </w:r>
          </w:p>
        </w:tc>
        <w:tc>
          <w:tcPr>
            <w:tcW w:w="0" w:type="auto"/>
            <w:shd w:val="clear" w:color="auto" w:fill="FFFFFF"/>
            <w:tcMar>
              <w:top w:w="0" w:type="dxa"/>
              <w:left w:w="85" w:type="dxa"/>
              <w:bottom w:w="0" w:type="dxa"/>
              <w:right w:w="85" w:type="dxa"/>
            </w:tcMar>
          </w:tcPr>
          <w:p w14:paraId="7D13F99F" w14:textId="77777777" w:rsidR="00BC0FD7" w:rsidRPr="001D5327" w:rsidRDefault="00BC0FD7" w:rsidP="00D11AC9">
            <w:pPr>
              <w:pStyle w:val="TableText"/>
              <w:spacing w:before="40" w:after="40"/>
              <w:jc w:val="right"/>
            </w:pPr>
            <w:r w:rsidRPr="001D5327">
              <w:rPr>
                <w:rFonts w:eastAsia="Calibri"/>
                <w:color w:val="000000"/>
              </w:rPr>
              <w:t>±150</w:t>
            </w:r>
          </w:p>
        </w:tc>
      </w:tr>
      <w:tr w:rsidR="00BC0FD7" w:rsidRPr="001D5327" w14:paraId="10E639B9" w14:textId="77777777" w:rsidTr="00D11AC9">
        <w:trPr>
          <w:jc w:val="center"/>
        </w:trPr>
        <w:tc>
          <w:tcPr>
            <w:tcW w:w="0" w:type="auto"/>
            <w:shd w:val="clear" w:color="auto" w:fill="FFFFFF"/>
            <w:tcMar>
              <w:top w:w="0" w:type="dxa"/>
              <w:left w:w="85" w:type="dxa"/>
              <w:bottom w:w="0" w:type="dxa"/>
              <w:right w:w="85" w:type="dxa"/>
            </w:tcMar>
          </w:tcPr>
          <w:p w14:paraId="26D89AF7" w14:textId="77777777" w:rsidR="00BC0FD7" w:rsidRPr="001D5327" w:rsidRDefault="00BC0FD7" w:rsidP="00D11AC9">
            <w:pPr>
              <w:pStyle w:val="TableText"/>
              <w:spacing w:before="40" w:after="40"/>
              <w:rPr>
                <w:rFonts w:eastAsia="Calibri"/>
                <w:color w:val="000000"/>
              </w:rPr>
            </w:pPr>
            <w:r w:rsidRPr="001D5327">
              <w:rPr>
                <w:rFonts w:eastAsia="Calibri"/>
                <w:color w:val="000000"/>
              </w:rPr>
              <w:t>Anaerobic digestion (CH</w:t>
            </w:r>
            <w:r w:rsidRPr="001D5327">
              <w:rPr>
                <w:rFonts w:eastAsia="Calibri"/>
                <w:color w:val="000000"/>
                <w:vertAlign w:val="subscript"/>
              </w:rPr>
              <w:t>4</w:t>
            </w:r>
            <w:r w:rsidRPr="001D5327">
              <w:rPr>
                <w:rFonts w:eastAsia="Calibri"/>
                <w:color w:val="000000"/>
              </w:rPr>
              <w:t>)</w:t>
            </w:r>
          </w:p>
        </w:tc>
        <w:tc>
          <w:tcPr>
            <w:tcW w:w="0" w:type="auto"/>
            <w:shd w:val="clear" w:color="auto" w:fill="FFFFFF"/>
            <w:tcMar>
              <w:top w:w="0" w:type="dxa"/>
              <w:left w:w="85" w:type="dxa"/>
              <w:bottom w:w="0" w:type="dxa"/>
              <w:right w:w="85" w:type="dxa"/>
            </w:tcMar>
          </w:tcPr>
          <w:p w14:paraId="5EBDC29C" w14:textId="77777777" w:rsidR="00BC0FD7" w:rsidRPr="001D5327" w:rsidRDefault="00BC0FD7" w:rsidP="00D11AC9">
            <w:pPr>
              <w:pStyle w:val="TableText"/>
              <w:spacing w:before="40" w:after="40"/>
              <w:jc w:val="right"/>
              <w:rPr>
                <w:rFonts w:eastAsia="Calibri"/>
                <w:color w:val="000000"/>
              </w:rPr>
            </w:pPr>
            <w:r w:rsidRPr="001D5327">
              <w:rPr>
                <w:rFonts w:eastAsia="Calibri"/>
                <w:color w:val="000000"/>
              </w:rPr>
              <w:t>±90</w:t>
            </w:r>
          </w:p>
        </w:tc>
        <w:tc>
          <w:tcPr>
            <w:tcW w:w="0" w:type="auto"/>
            <w:shd w:val="clear" w:color="auto" w:fill="FFFFFF"/>
            <w:tcMar>
              <w:top w:w="0" w:type="dxa"/>
              <w:left w:w="85" w:type="dxa"/>
              <w:bottom w:w="0" w:type="dxa"/>
              <w:right w:w="85" w:type="dxa"/>
            </w:tcMar>
          </w:tcPr>
          <w:p w14:paraId="30DFB317" w14:textId="77777777" w:rsidR="00BC0FD7" w:rsidRPr="001D5327" w:rsidRDefault="00BC0FD7" w:rsidP="00D11AC9">
            <w:pPr>
              <w:pStyle w:val="TableText"/>
              <w:spacing w:before="40" w:after="40"/>
              <w:jc w:val="right"/>
              <w:rPr>
                <w:rFonts w:eastAsia="Calibri"/>
                <w:color w:val="000000"/>
              </w:rPr>
            </w:pPr>
            <w:r w:rsidRPr="001D5327">
              <w:rPr>
                <w:rFonts w:eastAsia="Calibri"/>
                <w:color w:val="000000"/>
              </w:rPr>
              <w:t>±100</w:t>
            </w:r>
          </w:p>
        </w:tc>
      </w:tr>
      <w:tr w:rsidR="00BC0FD7" w:rsidRPr="001D5327" w14:paraId="797C2EED" w14:textId="77777777" w:rsidTr="00D11AC9">
        <w:trPr>
          <w:jc w:val="center"/>
        </w:trPr>
        <w:tc>
          <w:tcPr>
            <w:tcW w:w="0" w:type="auto"/>
            <w:shd w:val="clear" w:color="auto" w:fill="FFFFFF"/>
            <w:tcMar>
              <w:top w:w="0" w:type="dxa"/>
              <w:left w:w="85" w:type="dxa"/>
              <w:bottom w:w="0" w:type="dxa"/>
              <w:right w:w="85" w:type="dxa"/>
            </w:tcMar>
          </w:tcPr>
          <w:p w14:paraId="6B4122CE" w14:textId="77777777" w:rsidR="00BC0FD7" w:rsidRPr="001D5327" w:rsidRDefault="00BC0FD7" w:rsidP="00D11AC9">
            <w:pPr>
              <w:pStyle w:val="TableText"/>
              <w:spacing w:before="40" w:after="40"/>
              <w:rPr>
                <w:rFonts w:eastAsia="Calibri"/>
                <w:color w:val="000000"/>
              </w:rPr>
            </w:pPr>
            <w:r w:rsidRPr="001D5327">
              <w:rPr>
                <w:rFonts w:eastAsia="Calibri"/>
                <w:color w:val="000000"/>
              </w:rPr>
              <w:t>Anaerobic digestion (N</w:t>
            </w:r>
            <w:r w:rsidRPr="001D5327">
              <w:rPr>
                <w:rFonts w:eastAsia="Calibri"/>
                <w:color w:val="000000"/>
                <w:vertAlign w:val="subscript"/>
              </w:rPr>
              <w:t>2</w:t>
            </w:r>
            <w:r w:rsidRPr="001D5327">
              <w:rPr>
                <w:rFonts w:eastAsia="Calibri"/>
                <w:color w:val="000000"/>
              </w:rPr>
              <w:t>O)</w:t>
            </w:r>
          </w:p>
        </w:tc>
        <w:tc>
          <w:tcPr>
            <w:tcW w:w="0" w:type="auto"/>
            <w:shd w:val="clear" w:color="auto" w:fill="FFFFFF"/>
            <w:tcMar>
              <w:top w:w="0" w:type="dxa"/>
              <w:left w:w="85" w:type="dxa"/>
              <w:bottom w:w="0" w:type="dxa"/>
              <w:right w:w="85" w:type="dxa"/>
            </w:tcMar>
          </w:tcPr>
          <w:p w14:paraId="3CE1264F" w14:textId="77777777" w:rsidR="00BC0FD7" w:rsidRPr="001D5327" w:rsidRDefault="00BC0FD7" w:rsidP="00D11AC9">
            <w:pPr>
              <w:pStyle w:val="TableText"/>
              <w:spacing w:before="40" w:after="40"/>
              <w:jc w:val="right"/>
              <w:rPr>
                <w:rFonts w:eastAsia="Calibri"/>
                <w:color w:val="000000"/>
              </w:rPr>
            </w:pPr>
            <w:r w:rsidRPr="001D5327">
              <w:rPr>
                <w:rFonts w:eastAsia="Calibri"/>
                <w:color w:val="000000"/>
              </w:rPr>
              <w:t>NA</w:t>
            </w:r>
          </w:p>
        </w:tc>
        <w:tc>
          <w:tcPr>
            <w:tcW w:w="0" w:type="auto"/>
            <w:shd w:val="clear" w:color="auto" w:fill="FFFFFF"/>
            <w:tcMar>
              <w:top w:w="0" w:type="dxa"/>
              <w:left w:w="85" w:type="dxa"/>
              <w:bottom w:w="0" w:type="dxa"/>
              <w:right w:w="85" w:type="dxa"/>
            </w:tcMar>
          </w:tcPr>
          <w:p w14:paraId="248766B7" w14:textId="77777777" w:rsidR="00BC0FD7" w:rsidRPr="001D5327" w:rsidRDefault="00BC0FD7" w:rsidP="00D11AC9">
            <w:pPr>
              <w:pStyle w:val="TableText"/>
              <w:spacing w:before="40" w:after="40"/>
              <w:jc w:val="right"/>
              <w:rPr>
                <w:rFonts w:eastAsia="Calibri"/>
                <w:color w:val="000000"/>
              </w:rPr>
            </w:pPr>
            <w:r w:rsidRPr="001D5327">
              <w:rPr>
                <w:rFonts w:eastAsia="Calibri"/>
                <w:color w:val="000000"/>
              </w:rPr>
              <w:t>NA</w:t>
            </w:r>
          </w:p>
        </w:tc>
      </w:tr>
    </w:tbl>
    <w:p w14:paraId="2C213FFF" w14:textId="77777777" w:rsidR="00BC0FD7" w:rsidRPr="001D5327" w:rsidRDefault="00BC0FD7" w:rsidP="00BC0FD7">
      <w:pPr>
        <w:pStyle w:val="Noteundertable"/>
      </w:pPr>
      <w:r w:rsidRPr="001D5327">
        <w:rPr>
          <w:b/>
          <w:bCs/>
        </w:rPr>
        <w:t>Note:</w:t>
      </w:r>
      <w:r w:rsidRPr="001D5327">
        <w:t xml:space="preserve"> NA = not applicable.</w:t>
      </w:r>
    </w:p>
    <w:p w14:paraId="12A0E3E5" w14:textId="77777777" w:rsidR="00BC0FD7" w:rsidRPr="001D5327" w:rsidRDefault="00BC0FD7" w:rsidP="00E72A1F">
      <w:pPr>
        <w:pStyle w:val="Heading4"/>
        <w:spacing w:before="180"/>
      </w:pPr>
      <w:r w:rsidRPr="001D5327">
        <w:t>Time-series consistency</w:t>
      </w:r>
    </w:p>
    <w:p w14:paraId="41537BE4" w14:textId="77777777" w:rsidR="00BC0FD7" w:rsidRPr="001D5327" w:rsidRDefault="00BC0FD7" w:rsidP="00BC0FD7">
      <w:pPr>
        <w:pStyle w:val="BodyText"/>
        <w:spacing w:before="100" w:after="100"/>
      </w:pPr>
      <w:r w:rsidRPr="001D5327">
        <w:t>Time-series consistency is maintained by applying consistent models and parameters across the entire reporting period.</w:t>
      </w:r>
    </w:p>
    <w:p w14:paraId="3AC4C068" w14:textId="77777777" w:rsidR="00BC0FD7" w:rsidRPr="001D5327" w:rsidRDefault="00BC0FD7" w:rsidP="00853FF7">
      <w:pPr>
        <w:pStyle w:val="Heading3"/>
        <w:spacing w:before="240"/>
      </w:pPr>
      <w:r w:rsidRPr="001D5327">
        <w:t xml:space="preserve">7.3.4 </w:t>
      </w:r>
      <w:r w:rsidRPr="001D5327">
        <w:tab/>
        <w:t>Category-specific QA/QC and verification</w:t>
      </w:r>
    </w:p>
    <w:p w14:paraId="291622CF" w14:textId="77777777" w:rsidR="00BC0FD7" w:rsidRPr="001D5327" w:rsidRDefault="00BC0FD7" w:rsidP="00BC0FD7">
      <w:pPr>
        <w:pStyle w:val="BodyText"/>
        <w:spacing w:before="100" w:after="100"/>
      </w:pPr>
      <w:r w:rsidRPr="001D5327">
        <w:t xml:space="preserve">Given the relatively small contributions of these emissions, basic quality-assurance and quality-control checks were applied. Detailed quality-assurance and quality-control efforts for the Waste sector are primarily focused on categories such as </w:t>
      </w:r>
      <w:r w:rsidRPr="001D5327">
        <w:rPr>
          <w:i/>
          <w:iCs/>
        </w:rPr>
        <w:t>Solid waste disposal</w:t>
      </w:r>
      <w:r w:rsidRPr="001D5327">
        <w:t xml:space="preserve"> to land and </w:t>
      </w:r>
      <w:r w:rsidRPr="001D5327">
        <w:rPr>
          <w:i/>
          <w:iCs/>
        </w:rPr>
        <w:t>Wastewater treatment and discharge</w:t>
      </w:r>
      <w:r w:rsidRPr="001D5327">
        <w:t>.</w:t>
      </w:r>
    </w:p>
    <w:p w14:paraId="51422E8C" w14:textId="77777777" w:rsidR="00BC0FD7" w:rsidRPr="001D5327" w:rsidRDefault="00BC0FD7" w:rsidP="00BC0FD7">
      <w:pPr>
        <w:pStyle w:val="Heading3"/>
      </w:pPr>
      <w:r w:rsidRPr="001D5327">
        <w:lastRenderedPageBreak/>
        <w:t xml:space="preserve">7.3.5 </w:t>
      </w:r>
      <w:r w:rsidRPr="001D5327">
        <w:tab/>
        <w:t>Category-specific recalculations</w:t>
      </w:r>
    </w:p>
    <w:p w14:paraId="73009868" w14:textId="77777777" w:rsidR="00BC0FD7" w:rsidRPr="001D5327" w:rsidRDefault="00BC0FD7" w:rsidP="00BC0FD7">
      <w:pPr>
        <w:pStyle w:val="BodyText"/>
      </w:pPr>
      <w:r w:rsidRPr="001D5327">
        <w:t xml:space="preserve">Emissions from </w:t>
      </w:r>
      <w:r w:rsidRPr="001D5327">
        <w:rPr>
          <w:i/>
          <w:iCs/>
        </w:rPr>
        <w:t>Composting</w:t>
      </w:r>
      <w:r w:rsidRPr="001D5327">
        <w:t xml:space="preserve"> (5.B.1.a) have not changed in 1990 and 2022, compared with the previous submission. No recalculations have been conducted for </w:t>
      </w:r>
      <w:r w:rsidRPr="001D5327">
        <w:rPr>
          <w:i/>
          <w:iCs/>
        </w:rPr>
        <w:t>Anaerobic digestion</w:t>
      </w:r>
      <w:r w:rsidRPr="001D5327">
        <w:t>, because this is the first year of reporting this category.</w:t>
      </w:r>
    </w:p>
    <w:p w14:paraId="78E3CF08" w14:textId="77777777" w:rsidR="00BC0FD7" w:rsidRPr="001D5327" w:rsidRDefault="00BC0FD7" w:rsidP="00BC0FD7">
      <w:pPr>
        <w:pStyle w:val="Heading3"/>
      </w:pPr>
      <w:r w:rsidRPr="001D5327">
        <w:t xml:space="preserve">7.3.6 </w:t>
      </w:r>
      <w:r w:rsidRPr="001D5327">
        <w:tab/>
        <w:t>Category-specific planned improvements</w:t>
      </w:r>
    </w:p>
    <w:p w14:paraId="568A4C7B" w14:textId="77777777" w:rsidR="00BC0FD7" w:rsidRPr="001D5327" w:rsidRDefault="00BC0FD7" w:rsidP="00BC0FD7">
      <w:pPr>
        <w:pStyle w:val="BodyText"/>
      </w:pPr>
      <w:r w:rsidRPr="001D5327">
        <w:t xml:space="preserve">No specific improvements are currently planned for the </w:t>
      </w:r>
      <w:r w:rsidRPr="001D5327">
        <w:rPr>
          <w:i/>
          <w:iCs/>
        </w:rPr>
        <w:t>Composting</w:t>
      </w:r>
      <w:r w:rsidRPr="001D5327">
        <w:t xml:space="preserve"> and </w:t>
      </w:r>
      <w:r w:rsidRPr="001D5327">
        <w:rPr>
          <w:i/>
          <w:iCs/>
        </w:rPr>
        <w:t>Anaerobic digestion</w:t>
      </w:r>
      <w:r w:rsidRPr="001D5327">
        <w:t xml:space="preserve"> source categories.</w:t>
      </w:r>
    </w:p>
    <w:p w14:paraId="12A4FE27" w14:textId="77777777" w:rsidR="00BC0FD7" w:rsidRPr="001D5327" w:rsidRDefault="00BC0FD7" w:rsidP="00BC0FD7">
      <w:pPr>
        <w:pStyle w:val="Heading2"/>
      </w:pPr>
      <w:bookmarkStart w:id="2848" w:name="_Toc194312043"/>
      <w:bookmarkStart w:id="2849" w:name="X4f2eb840ef6efa4b4133eb3374d048d378818bb"/>
      <w:bookmarkEnd w:id="2845"/>
      <w:r w:rsidRPr="001D5327">
        <w:t xml:space="preserve">7.4 </w:t>
      </w:r>
      <w:r w:rsidRPr="001D5327">
        <w:tab/>
        <w:t>Incineration and open burning of waste (5.C)</w:t>
      </w:r>
      <w:bookmarkEnd w:id="2848"/>
    </w:p>
    <w:p w14:paraId="5EB6CE1F" w14:textId="77777777" w:rsidR="00BC0FD7" w:rsidRPr="001D5327" w:rsidRDefault="00BC0FD7" w:rsidP="00BC0FD7">
      <w:pPr>
        <w:pStyle w:val="Heading3"/>
        <w:spacing w:before="240"/>
      </w:pPr>
      <w:r w:rsidRPr="001D5327">
        <w:t xml:space="preserve">7.4.1 </w:t>
      </w:r>
      <w:r w:rsidRPr="001D5327">
        <w:tab/>
        <w:t>Description</w:t>
      </w:r>
    </w:p>
    <w:p w14:paraId="260E5EB2" w14:textId="77777777" w:rsidR="00BC0FD7" w:rsidRPr="001D5327" w:rsidRDefault="00BC0FD7" w:rsidP="00BC0FD7">
      <w:pPr>
        <w:pStyle w:val="BodyText"/>
      </w:pPr>
      <w:r w:rsidRPr="001D5327">
        <w:rPr>
          <w:spacing w:val="-2"/>
        </w:rPr>
        <w:t>There is no incineration of municipal waste in New Zealand for energy production or otherwise</w:t>
      </w:r>
      <w:r w:rsidRPr="001D5327">
        <w:t>. Incineration is used on a small scale for disposal of clinical waste, hazardous wastes and sewage sludge. The practice of incinerating clinical waste has declined through the time series, due to more stringent environmental regulation and the use of alternative technologies such as sterilisation. In the context of New Zealand’s greenhouse gas inventory, the term ‘clinical wastes’ refers to a combination of clinical, medical and quarantine wastes.</w:t>
      </w:r>
    </w:p>
    <w:p w14:paraId="10538791" w14:textId="7B4D3705" w:rsidR="00BC0FD7" w:rsidRPr="001D5327" w:rsidRDefault="00BC0FD7" w:rsidP="00BC0FD7">
      <w:pPr>
        <w:pStyle w:val="BodyText"/>
      </w:pPr>
      <w:r w:rsidRPr="001D5327">
        <w:t>Waste incineration is regulated under the Resource Management Act 1991. In addition, in</w:t>
      </w:r>
      <w:r w:rsidR="00DA37CD" w:rsidRPr="001D5327">
        <w:t> </w:t>
      </w:r>
      <w:r w:rsidRPr="001D5327">
        <w:t>2004, a national environmental standard was introduced that required consents for all existing</w:t>
      </w:r>
      <w:r w:rsidR="0004086D" w:rsidRPr="001D5327">
        <w:t> </w:t>
      </w:r>
      <w:r w:rsidRPr="001D5327">
        <w:t>low-temperature incinerators, such as those historically used in schools and sometimes in hospitals.</w:t>
      </w:r>
    </w:p>
    <w:p w14:paraId="6F84824A" w14:textId="77777777" w:rsidR="00BC0FD7" w:rsidRPr="001D5327" w:rsidRDefault="00BC0FD7" w:rsidP="00BC0FD7">
      <w:pPr>
        <w:pStyle w:val="BodyText"/>
      </w:pPr>
      <w:r w:rsidRPr="001D5327">
        <w:t>There is no open burning of waste at municipal or non-municipal landfill facilities in New Zealand. It is common for farms to practise open burning of rural waste (GHD, 2014) and, while limited information is available on the extent of the practice, emissions from open burning are reported here. It is assumed an equal amount of farm waste that is buried (see table 7.2.4) is burned.</w:t>
      </w:r>
    </w:p>
    <w:p w14:paraId="49874F10" w14:textId="7318824D" w:rsidR="00BC0FD7" w:rsidRPr="001D5327" w:rsidRDefault="00BC0FD7" w:rsidP="00BC0FD7">
      <w:pPr>
        <w:pStyle w:val="BodyText"/>
      </w:pPr>
      <w:r w:rsidRPr="001D5327">
        <w:t>On its website, the Ministry of Education indicates that waste incineration is still practised in a small number of primary schools located in remote rural areas. Although information is not available on the exact number of schools practising waste incineration, it is estimated that around 10 per cent of the total number of schools in New Zealand still incinerate their waste production (P Guiney, Ministry of Education, pers. comm., 4 December 2019). Emissions from</w:t>
      </w:r>
      <w:r w:rsidR="00DA37CD" w:rsidRPr="001D5327">
        <w:t> </w:t>
      </w:r>
      <w:r w:rsidRPr="001D5327">
        <w:t>this source are not estimated for this submission and are reported as ‘not estimated’. See</w:t>
      </w:r>
      <w:r w:rsidR="00DA37CD" w:rsidRPr="001D5327">
        <w:t> </w:t>
      </w:r>
      <w:r w:rsidRPr="001D5327">
        <w:t>chapter 1, section 1.7, for more information.</w:t>
      </w:r>
    </w:p>
    <w:p w14:paraId="66F0EE27" w14:textId="084ACB35" w:rsidR="00BC0FD7" w:rsidRPr="001D5327" w:rsidRDefault="00BC0FD7" w:rsidP="00BC0FD7">
      <w:pPr>
        <w:pStyle w:val="BodyText"/>
      </w:pPr>
      <w:r w:rsidRPr="001D5327">
        <w:t>Where data are available, the burning of waste materials, including waste oil, wood chips and</w:t>
      </w:r>
      <w:r w:rsidR="00DA37CD" w:rsidRPr="001D5327">
        <w:t> </w:t>
      </w:r>
      <w:r w:rsidRPr="001D5327">
        <w:t xml:space="preserve">tyres for fuelling boilers and cement kilns, is reported under the Energy sector in the </w:t>
      </w:r>
      <w:r w:rsidRPr="001D5327">
        <w:rPr>
          <w:i/>
          <w:iCs/>
        </w:rPr>
        <w:t>Manufacturing industries and construction</w:t>
      </w:r>
      <w:r w:rsidRPr="001D5327">
        <w:t xml:space="preserve"> category.</w:t>
      </w:r>
    </w:p>
    <w:p w14:paraId="43ED4A19" w14:textId="77777777" w:rsidR="00BC0FD7" w:rsidRPr="001D5327" w:rsidRDefault="00BC0FD7" w:rsidP="00BC0FD7">
      <w:pPr>
        <w:pStyle w:val="BodyText"/>
      </w:pPr>
      <w:r w:rsidRPr="001D5327">
        <w:t xml:space="preserve">In 2023, </w:t>
      </w:r>
      <w:r w:rsidRPr="001D5327">
        <w:rPr>
          <w:i/>
          <w:iCs/>
        </w:rPr>
        <w:t>Incineration and open burning of waste</w:t>
      </w:r>
      <w:r w:rsidRPr="001D5327">
        <w:t xml:space="preserve"> accounted for 176.9 kt CO</w:t>
      </w:r>
      <w:r w:rsidRPr="001D5327">
        <w:rPr>
          <w:vertAlign w:val="subscript"/>
        </w:rPr>
        <w:t>2</w:t>
      </w:r>
      <w:r w:rsidRPr="001D5327">
        <w:t>-e (6.1 per cent) of Waste sector emissions (see table 7.4.1). This was a decrease of 142.1 kt CO</w:t>
      </w:r>
      <w:r w:rsidRPr="001D5327">
        <w:rPr>
          <w:vertAlign w:val="subscript"/>
        </w:rPr>
        <w:t>2</w:t>
      </w:r>
      <w:r w:rsidRPr="001D5327">
        <w:t>-e (44.5 per cent) below the 1990 level of 319.0 kt CO</w:t>
      </w:r>
      <w:r w:rsidRPr="001D5327">
        <w:rPr>
          <w:vertAlign w:val="subscript"/>
        </w:rPr>
        <w:t>2</w:t>
      </w:r>
      <w:r w:rsidRPr="001D5327">
        <w:t>-e, and a decrease of 3.3 kt CO</w:t>
      </w:r>
      <w:r w:rsidRPr="001D5327">
        <w:rPr>
          <w:vertAlign w:val="subscript"/>
        </w:rPr>
        <w:t>2</w:t>
      </w:r>
      <w:r w:rsidRPr="001D5327">
        <w:t>-e (1.8) from 2022.</w:t>
      </w:r>
    </w:p>
    <w:p w14:paraId="01408B8F" w14:textId="77777777" w:rsidR="00BC0FD7" w:rsidRPr="001D5327" w:rsidRDefault="00BC0FD7" w:rsidP="00BC0FD7">
      <w:pPr>
        <w:pStyle w:val="Table"/>
      </w:pPr>
      <w:bookmarkStart w:id="2850" w:name="_Toc194241810"/>
      <w:r w:rsidRPr="001D5327">
        <w:lastRenderedPageBreak/>
        <w:t xml:space="preserve">Table 7.4.1 </w:t>
      </w:r>
      <w:r w:rsidRPr="001D5327">
        <w:tab/>
        <w:t xml:space="preserve">Emissions from </w:t>
      </w:r>
      <w:r w:rsidRPr="001D5327">
        <w:rPr>
          <w:i/>
          <w:iCs/>
        </w:rPr>
        <w:t>Incineration and open burning of waste</w:t>
      </w:r>
      <w:r w:rsidRPr="001D5327">
        <w:t xml:space="preserve"> (5.C)</w:t>
      </w:r>
      <w:bookmarkEnd w:id="2850"/>
    </w:p>
    <w:tbl>
      <w:tblPr>
        <w:tblW w:w="5000" w:type="pct"/>
        <w:jc w:val="center"/>
        <w:tblBorders>
          <w:top w:val="single" w:sz="4" w:space="0" w:color="1B556B"/>
          <w:bottom w:val="single" w:sz="4" w:space="0" w:color="1B556B"/>
          <w:insideH w:val="single" w:sz="4" w:space="0" w:color="1B556B"/>
        </w:tblBorders>
        <w:tblLook w:val="0420" w:firstRow="1" w:lastRow="0" w:firstColumn="0" w:lastColumn="0" w:noHBand="0" w:noVBand="1"/>
      </w:tblPr>
      <w:tblGrid>
        <w:gridCol w:w="1981"/>
        <w:gridCol w:w="1135"/>
        <w:gridCol w:w="1136"/>
        <w:gridCol w:w="2552"/>
        <w:gridCol w:w="1701"/>
      </w:tblGrid>
      <w:tr w:rsidR="00BC0FD7" w:rsidRPr="001D5327" w14:paraId="40A02500" w14:textId="77777777" w:rsidTr="001662F0">
        <w:trPr>
          <w:tblHeader/>
          <w:jc w:val="center"/>
        </w:trPr>
        <w:tc>
          <w:tcPr>
            <w:tcW w:w="1165" w:type="pct"/>
            <w:shd w:val="clear" w:color="auto" w:fill="1B556B"/>
            <w:tcMar>
              <w:top w:w="0" w:type="dxa"/>
              <w:left w:w="85" w:type="dxa"/>
              <w:bottom w:w="0" w:type="dxa"/>
              <w:right w:w="85" w:type="dxa"/>
            </w:tcMar>
          </w:tcPr>
          <w:p w14:paraId="2436A4B3"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 xml:space="preserve"> </w:t>
            </w:r>
          </w:p>
        </w:tc>
        <w:tc>
          <w:tcPr>
            <w:tcW w:w="1335" w:type="pct"/>
            <w:gridSpan w:val="2"/>
            <w:shd w:val="clear" w:color="auto" w:fill="1B556B"/>
            <w:tcMar>
              <w:top w:w="0" w:type="dxa"/>
              <w:left w:w="85" w:type="dxa"/>
              <w:bottom w:w="0" w:type="dxa"/>
              <w:right w:w="85" w:type="dxa"/>
            </w:tcMar>
          </w:tcPr>
          <w:p w14:paraId="5F591FE6" w14:textId="52B3D1DD" w:rsidR="00BC0FD7" w:rsidRPr="001D5327" w:rsidRDefault="00BC0FD7" w:rsidP="00D11AC9">
            <w:pPr>
              <w:pStyle w:val="TableTextBold"/>
              <w:spacing w:before="40" w:after="40"/>
              <w:jc w:val="center"/>
              <w:rPr>
                <w:noProof w:val="0"/>
                <w:color w:val="FFFFFF" w:themeColor="background1"/>
              </w:rPr>
            </w:pPr>
            <w:r w:rsidRPr="001D5327">
              <w:rPr>
                <w:rFonts w:eastAsia="Calibri"/>
                <w:noProof w:val="0"/>
                <w:color w:val="FFFFFF" w:themeColor="background1"/>
              </w:rPr>
              <w:t>Emissions (kt CO₂-e)</w:t>
            </w:r>
            <w:r w:rsidR="007C645B">
              <w:rPr>
                <w:rFonts w:eastAsia="Calibri"/>
                <w:noProof w:val="0"/>
                <w:color w:val="FFFFFF" w:themeColor="background1"/>
              </w:rPr>
              <w:t xml:space="preserve"> </w:t>
            </w:r>
            <w:r w:rsidR="0020530A">
              <w:rPr>
                <w:rFonts w:eastAsia="Calibri"/>
                <w:noProof w:val="0"/>
                <w:color w:val="FFFFFF" w:themeColor="background1"/>
              </w:rPr>
              <w:t>1990–2023</w:t>
            </w:r>
          </w:p>
        </w:tc>
        <w:tc>
          <w:tcPr>
            <w:tcW w:w="1500" w:type="pct"/>
            <w:shd w:val="clear" w:color="auto" w:fill="1B556B"/>
            <w:tcMar>
              <w:top w:w="0" w:type="dxa"/>
              <w:left w:w="85" w:type="dxa"/>
              <w:bottom w:w="0" w:type="dxa"/>
              <w:right w:w="85" w:type="dxa"/>
            </w:tcMar>
          </w:tcPr>
          <w:p w14:paraId="79299AB9" w14:textId="0A9A185B" w:rsidR="0020530A" w:rsidRPr="001D5327" w:rsidRDefault="00BC0FD7" w:rsidP="0020530A">
            <w:pPr>
              <w:pStyle w:val="TableTextBold"/>
              <w:spacing w:before="40" w:after="40"/>
              <w:jc w:val="right"/>
              <w:rPr>
                <w:noProof w:val="0"/>
                <w:color w:val="FFFFFF" w:themeColor="background1"/>
              </w:rPr>
            </w:pPr>
            <w:r w:rsidRPr="001D5327">
              <w:rPr>
                <w:rFonts w:eastAsia="Calibri"/>
                <w:noProof w:val="0"/>
                <w:color w:val="FFFFFF" w:themeColor="background1"/>
              </w:rPr>
              <w:t>Difference (kt CO₂-e)</w:t>
            </w:r>
            <w:r w:rsidR="0020530A">
              <w:rPr>
                <w:rFonts w:eastAsia="Calibri"/>
                <w:noProof w:val="0"/>
                <w:color w:val="FFFFFF" w:themeColor="background1"/>
              </w:rPr>
              <w:t xml:space="preserve"> </w:t>
            </w:r>
            <w:r w:rsidR="0020530A">
              <w:rPr>
                <w:noProof w:val="0"/>
                <w:color w:val="FFFFFF" w:themeColor="background1"/>
              </w:rPr>
              <w:t>1990–2023</w:t>
            </w:r>
          </w:p>
        </w:tc>
        <w:tc>
          <w:tcPr>
            <w:tcW w:w="1000" w:type="pct"/>
            <w:shd w:val="clear" w:color="auto" w:fill="1B556B"/>
            <w:tcMar>
              <w:top w:w="0" w:type="dxa"/>
              <w:left w:w="85" w:type="dxa"/>
              <w:bottom w:w="0" w:type="dxa"/>
              <w:right w:w="85" w:type="dxa"/>
            </w:tcMar>
          </w:tcPr>
          <w:p w14:paraId="4C219D66" w14:textId="06F7CB64"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Change (%)</w:t>
            </w:r>
            <w:r w:rsidR="0020530A">
              <w:rPr>
                <w:rFonts w:eastAsia="Calibri"/>
                <w:noProof w:val="0"/>
                <w:color w:val="FFFFFF" w:themeColor="background1"/>
              </w:rPr>
              <w:t xml:space="preserve"> </w:t>
            </w:r>
            <w:r w:rsidR="0020530A" w:rsidRPr="0020530A">
              <w:rPr>
                <w:rFonts w:eastAsia="Calibri"/>
                <w:noProof w:val="0"/>
                <w:color w:val="FFFFFF" w:themeColor="background1"/>
              </w:rPr>
              <w:t>1990–2023</w:t>
            </w:r>
          </w:p>
        </w:tc>
      </w:tr>
      <w:tr w:rsidR="00BC0FD7" w:rsidRPr="001D5327" w14:paraId="2DA83345" w14:textId="77777777" w:rsidTr="001662F0">
        <w:trPr>
          <w:jc w:val="center"/>
        </w:trPr>
        <w:tc>
          <w:tcPr>
            <w:tcW w:w="1165" w:type="pct"/>
            <w:shd w:val="clear" w:color="auto" w:fill="FFFFFF"/>
            <w:tcMar>
              <w:top w:w="0" w:type="dxa"/>
              <w:left w:w="85" w:type="dxa"/>
              <w:bottom w:w="0" w:type="dxa"/>
              <w:right w:w="85" w:type="dxa"/>
            </w:tcMar>
          </w:tcPr>
          <w:p w14:paraId="5AB84DC3" w14:textId="77777777" w:rsidR="00BC0FD7" w:rsidRPr="001D5327" w:rsidRDefault="00BC0FD7" w:rsidP="00D11AC9">
            <w:pPr>
              <w:pStyle w:val="Tableboldblue"/>
            </w:pPr>
            <w:r w:rsidRPr="001D5327">
              <w:t>Source category</w:t>
            </w:r>
          </w:p>
        </w:tc>
        <w:tc>
          <w:tcPr>
            <w:tcW w:w="667" w:type="pct"/>
            <w:shd w:val="clear" w:color="auto" w:fill="FFFFFF"/>
            <w:tcMar>
              <w:top w:w="0" w:type="dxa"/>
              <w:left w:w="85" w:type="dxa"/>
              <w:bottom w:w="0" w:type="dxa"/>
              <w:right w:w="85" w:type="dxa"/>
            </w:tcMar>
          </w:tcPr>
          <w:p w14:paraId="6B8C06BB" w14:textId="33F6B430" w:rsidR="00BC0FD7" w:rsidRPr="001D5327" w:rsidRDefault="00BC0FD7" w:rsidP="00F06699">
            <w:pPr>
              <w:pStyle w:val="Tableboldblue"/>
              <w:jc w:val="right"/>
            </w:pPr>
          </w:p>
        </w:tc>
        <w:tc>
          <w:tcPr>
            <w:tcW w:w="667" w:type="pct"/>
            <w:shd w:val="clear" w:color="auto" w:fill="FFFFFF"/>
            <w:tcMar>
              <w:top w:w="0" w:type="dxa"/>
              <w:left w:w="85" w:type="dxa"/>
              <w:bottom w:w="0" w:type="dxa"/>
              <w:right w:w="85" w:type="dxa"/>
            </w:tcMar>
          </w:tcPr>
          <w:p w14:paraId="75EB2C6A" w14:textId="2561CCB3" w:rsidR="00BC0FD7" w:rsidRPr="001D5327" w:rsidRDefault="00BC0FD7" w:rsidP="00F06699">
            <w:pPr>
              <w:pStyle w:val="Tableboldblue"/>
              <w:jc w:val="right"/>
            </w:pPr>
          </w:p>
        </w:tc>
        <w:tc>
          <w:tcPr>
            <w:tcW w:w="1500" w:type="pct"/>
            <w:shd w:val="clear" w:color="auto" w:fill="FFFFFF"/>
            <w:tcMar>
              <w:top w:w="0" w:type="dxa"/>
              <w:left w:w="85" w:type="dxa"/>
              <w:bottom w:w="0" w:type="dxa"/>
              <w:right w:w="85" w:type="dxa"/>
            </w:tcMar>
          </w:tcPr>
          <w:p w14:paraId="5A13E1B5" w14:textId="6CCA3BB7" w:rsidR="00BC0FD7" w:rsidRPr="001D5327" w:rsidRDefault="00BC0FD7" w:rsidP="00F06699">
            <w:pPr>
              <w:pStyle w:val="Tableboldblue"/>
              <w:jc w:val="right"/>
            </w:pPr>
          </w:p>
        </w:tc>
        <w:tc>
          <w:tcPr>
            <w:tcW w:w="1000" w:type="pct"/>
            <w:shd w:val="clear" w:color="auto" w:fill="FFFFFF"/>
            <w:tcMar>
              <w:top w:w="0" w:type="dxa"/>
              <w:left w:w="85" w:type="dxa"/>
              <w:bottom w:w="0" w:type="dxa"/>
              <w:right w:w="85" w:type="dxa"/>
            </w:tcMar>
          </w:tcPr>
          <w:p w14:paraId="47C6B8B1" w14:textId="6B426283" w:rsidR="00BC0FD7" w:rsidRPr="001D5327" w:rsidRDefault="00BC0FD7" w:rsidP="00F06699">
            <w:pPr>
              <w:pStyle w:val="Tableboldblue"/>
              <w:jc w:val="right"/>
            </w:pPr>
          </w:p>
        </w:tc>
      </w:tr>
      <w:tr w:rsidR="00BC0FD7" w:rsidRPr="001D5327" w14:paraId="5793639C" w14:textId="77777777" w:rsidTr="001662F0">
        <w:trPr>
          <w:jc w:val="center"/>
        </w:trPr>
        <w:tc>
          <w:tcPr>
            <w:tcW w:w="1165" w:type="pct"/>
            <w:shd w:val="clear" w:color="auto" w:fill="FFFFFF"/>
            <w:tcMar>
              <w:top w:w="0" w:type="dxa"/>
              <w:left w:w="85" w:type="dxa"/>
              <w:bottom w:w="0" w:type="dxa"/>
              <w:right w:w="85" w:type="dxa"/>
            </w:tcMar>
          </w:tcPr>
          <w:p w14:paraId="28C3B728" w14:textId="77777777" w:rsidR="00BC0FD7" w:rsidRPr="001D5327" w:rsidRDefault="00BC0FD7" w:rsidP="00D11AC9">
            <w:pPr>
              <w:pStyle w:val="TableText"/>
              <w:spacing w:before="40" w:after="40"/>
            </w:pPr>
            <w:r w:rsidRPr="001D5327">
              <w:rPr>
                <w:rFonts w:eastAsia="Calibri"/>
              </w:rPr>
              <w:t>Incineration (5.C.1)</w:t>
            </w:r>
          </w:p>
        </w:tc>
        <w:tc>
          <w:tcPr>
            <w:tcW w:w="667" w:type="pct"/>
            <w:shd w:val="clear" w:color="auto" w:fill="FFFFFF"/>
            <w:tcMar>
              <w:top w:w="0" w:type="dxa"/>
              <w:left w:w="85" w:type="dxa"/>
              <w:bottom w:w="0" w:type="dxa"/>
              <w:right w:w="85" w:type="dxa"/>
            </w:tcMar>
          </w:tcPr>
          <w:p w14:paraId="7756523E" w14:textId="77777777" w:rsidR="00BC0FD7" w:rsidRPr="001D5327" w:rsidRDefault="00BC0FD7" w:rsidP="00F06699">
            <w:pPr>
              <w:pStyle w:val="TableText"/>
              <w:spacing w:before="40" w:after="40"/>
              <w:jc w:val="right"/>
            </w:pPr>
            <w:r w:rsidRPr="001D5327">
              <w:rPr>
                <w:rFonts w:eastAsia="Calibri"/>
              </w:rPr>
              <w:t>14.3</w:t>
            </w:r>
          </w:p>
        </w:tc>
        <w:tc>
          <w:tcPr>
            <w:tcW w:w="667" w:type="pct"/>
            <w:shd w:val="clear" w:color="auto" w:fill="FFFFFF"/>
            <w:tcMar>
              <w:top w:w="0" w:type="dxa"/>
              <w:left w:w="85" w:type="dxa"/>
              <w:bottom w:w="0" w:type="dxa"/>
              <w:right w:w="85" w:type="dxa"/>
            </w:tcMar>
          </w:tcPr>
          <w:p w14:paraId="459E1720" w14:textId="77777777" w:rsidR="00BC0FD7" w:rsidRPr="001D5327" w:rsidRDefault="00BC0FD7" w:rsidP="00F06699">
            <w:pPr>
              <w:pStyle w:val="TableText"/>
              <w:spacing w:before="40" w:after="40"/>
              <w:jc w:val="right"/>
            </w:pPr>
            <w:r w:rsidRPr="001D5327">
              <w:rPr>
                <w:rFonts w:eastAsia="Calibri"/>
              </w:rPr>
              <w:t>2</w:t>
            </w:r>
          </w:p>
        </w:tc>
        <w:tc>
          <w:tcPr>
            <w:tcW w:w="1500" w:type="pct"/>
            <w:shd w:val="clear" w:color="auto" w:fill="FFFFFF"/>
            <w:tcMar>
              <w:top w:w="0" w:type="dxa"/>
              <w:left w:w="85" w:type="dxa"/>
              <w:bottom w:w="0" w:type="dxa"/>
              <w:right w:w="85" w:type="dxa"/>
            </w:tcMar>
          </w:tcPr>
          <w:p w14:paraId="5CE9F12D" w14:textId="77E6C812" w:rsidR="00BC0FD7" w:rsidRPr="001D5327" w:rsidRDefault="0070503C" w:rsidP="00F06699">
            <w:pPr>
              <w:pStyle w:val="TableText"/>
              <w:spacing w:before="40" w:after="40"/>
              <w:jc w:val="right"/>
            </w:pPr>
            <w:r>
              <w:rPr>
                <w:rFonts w:eastAsia="Calibri"/>
              </w:rPr>
              <w:t>-</w:t>
            </w:r>
            <w:r w:rsidR="00BC0FD7" w:rsidRPr="001D5327">
              <w:rPr>
                <w:rFonts w:eastAsia="Calibri"/>
              </w:rPr>
              <w:t>12.3</w:t>
            </w:r>
          </w:p>
        </w:tc>
        <w:tc>
          <w:tcPr>
            <w:tcW w:w="1000" w:type="pct"/>
            <w:shd w:val="clear" w:color="auto" w:fill="FFFFFF"/>
            <w:tcMar>
              <w:top w:w="0" w:type="dxa"/>
              <w:left w:w="85" w:type="dxa"/>
              <w:bottom w:w="0" w:type="dxa"/>
              <w:right w:w="85" w:type="dxa"/>
            </w:tcMar>
          </w:tcPr>
          <w:p w14:paraId="15D6414A" w14:textId="00B9DB75" w:rsidR="00BC0FD7" w:rsidRPr="001D5327" w:rsidRDefault="0070503C" w:rsidP="00F06699">
            <w:pPr>
              <w:pStyle w:val="TableText"/>
              <w:spacing w:before="40" w:after="40"/>
              <w:jc w:val="right"/>
            </w:pPr>
            <w:r>
              <w:rPr>
                <w:rFonts w:eastAsia="Calibri"/>
              </w:rPr>
              <w:t>-</w:t>
            </w:r>
            <w:r w:rsidR="00BC0FD7" w:rsidRPr="001D5327">
              <w:rPr>
                <w:rFonts w:eastAsia="Calibri"/>
              </w:rPr>
              <w:t>86.2</w:t>
            </w:r>
          </w:p>
        </w:tc>
      </w:tr>
      <w:tr w:rsidR="00BC0FD7" w:rsidRPr="001D5327" w14:paraId="75F15881" w14:textId="77777777" w:rsidTr="001662F0">
        <w:trPr>
          <w:jc w:val="center"/>
        </w:trPr>
        <w:tc>
          <w:tcPr>
            <w:tcW w:w="1165" w:type="pct"/>
            <w:shd w:val="clear" w:color="auto" w:fill="FFFFFF"/>
            <w:tcMar>
              <w:top w:w="0" w:type="dxa"/>
              <w:left w:w="85" w:type="dxa"/>
              <w:bottom w:w="0" w:type="dxa"/>
              <w:right w:w="85" w:type="dxa"/>
            </w:tcMar>
          </w:tcPr>
          <w:p w14:paraId="4C614C8F" w14:textId="77777777" w:rsidR="00BC0FD7" w:rsidRPr="001D5327" w:rsidRDefault="00BC0FD7" w:rsidP="00D11AC9">
            <w:pPr>
              <w:pStyle w:val="TableText"/>
              <w:spacing w:before="40" w:after="40"/>
            </w:pPr>
            <w:r w:rsidRPr="001D5327">
              <w:rPr>
                <w:rFonts w:eastAsia="Calibri"/>
              </w:rPr>
              <w:t>Open burning (5.C.2)</w:t>
            </w:r>
          </w:p>
        </w:tc>
        <w:tc>
          <w:tcPr>
            <w:tcW w:w="667" w:type="pct"/>
            <w:shd w:val="clear" w:color="auto" w:fill="FFFFFF"/>
            <w:tcMar>
              <w:top w:w="0" w:type="dxa"/>
              <w:left w:w="85" w:type="dxa"/>
              <w:bottom w:w="0" w:type="dxa"/>
              <w:right w:w="85" w:type="dxa"/>
            </w:tcMar>
          </w:tcPr>
          <w:p w14:paraId="4BC2F193" w14:textId="77777777" w:rsidR="00BC0FD7" w:rsidRPr="001D5327" w:rsidRDefault="00BC0FD7" w:rsidP="00F06699">
            <w:pPr>
              <w:pStyle w:val="TableText"/>
              <w:spacing w:before="40" w:after="40"/>
              <w:jc w:val="right"/>
            </w:pPr>
            <w:r w:rsidRPr="001D5327">
              <w:rPr>
                <w:rFonts w:eastAsia="Calibri"/>
              </w:rPr>
              <w:t>304.8</w:t>
            </w:r>
          </w:p>
        </w:tc>
        <w:tc>
          <w:tcPr>
            <w:tcW w:w="667" w:type="pct"/>
            <w:shd w:val="clear" w:color="auto" w:fill="FFFFFF"/>
            <w:tcMar>
              <w:top w:w="0" w:type="dxa"/>
              <w:left w:w="85" w:type="dxa"/>
              <w:bottom w:w="0" w:type="dxa"/>
              <w:right w:w="85" w:type="dxa"/>
            </w:tcMar>
          </w:tcPr>
          <w:p w14:paraId="10BA7643" w14:textId="77777777" w:rsidR="00BC0FD7" w:rsidRPr="001D5327" w:rsidRDefault="00BC0FD7" w:rsidP="00F06699">
            <w:pPr>
              <w:pStyle w:val="TableText"/>
              <w:spacing w:before="40" w:after="40"/>
              <w:jc w:val="right"/>
            </w:pPr>
            <w:r w:rsidRPr="001D5327">
              <w:rPr>
                <w:rFonts w:eastAsia="Calibri"/>
              </w:rPr>
              <w:t>175</w:t>
            </w:r>
          </w:p>
        </w:tc>
        <w:tc>
          <w:tcPr>
            <w:tcW w:w="1500" w:type="pct"/>
            <w:shd w:val="clear" w:color="auto" w:fill="FFFFFF"/>
            <w:tcMar>
              <w:top w:w="0" w:type="dxa"/>
              <w:left w:w="85" w:type="dxa"/>
              <w:bottom w:w="0" w:type="dxa"/>
              <w:right w:w="85" w:type="dxa"/>
            </w:tcMar>
          </w:tcPr>
          <w:p w14:paraId="5C57A45B" w14:textId="1D24AC89" w:rsidR="00BC0FD7" w:rsidRPr="001D5327" w:rsidRDefault="0070503C" w:rsidP="00F06699">
            <w:pPr>
              <w:pStyle w:val="TableText"/>
              <w:spacing w:before="40" w:after="40"/>
              <w:jc w:val="right"/>
            </w:pPr>
            <w:r>
              <w:rPr>
                <w:rFonts w:eastAsia="Calibri"/>
              </w:rPr>
              <w:t>-</w:t>
            </w:r>
            <w:r w:rsidR="00BC0FD7" w:rsidRPr="001D5327">
              <w:rPr>
                <w:rFonts w:eastAsia="Calibri"/>
              </w:rPr>
              <w:t>129.8</w:t>
            </w:r>
          </w:p>
        </w:tc>
        <w:tc>
          <w:tcPr>
            <w:tcW w:w="1000" w:type="pct"/>
            <w:shd w:val="clear" w:color="auto" w:fill="FFFFFF"/>
            <w:tcMar>
              <w:top w:w="0" w:type="dxa"/>
              <w:left w:w="85" w:type="dxa"/>
              <w:bottom w:w="0" w:type="dxa"/>
              <w:right w:w="85" w:type="dxa"/>
            </w:tcMar>
          </w:tcPr>
          <w:p w14:paraId="294923DB" w14:textId="2F49EB32" w:rsidR="00BC0FD7" w:rsidRPr="001D5327" w:rsidRDefault="0070503C" w:rsidP="00F06699">
            <w:pPr>
              <w:pStyle w:val="TableText"/>
              <w:spacing w:before="40" w:after="40"/>
              <w:jc w:val="right"/>
            </w:pPr>
            <w:r>
              <w:rPr>
                <w:rFonts w:eastAsia="Calibri"/>
              </w:rPr>
              <w:t>-</w:t>
            </w:r>
            <w:r w:rsidR="00BC0FD7" w:rsidRPr="001D5327">
              <w:rPr>
                <w:rFonts w:eastAsia="Calibri"/>
              </w:rPr>
              <w:t>42.6</w:t>
            </w:r>
          </w:p>
        </w:tc>
      </w:tr>
      <w:tr w:rsidR="00BC0FD7" w:rsidRPr="001D5327" w14:paraId="4DE51E8E" w14:textId="77777777" w:rsidTr="001662F0">
        <w:trPr>
          <w:jc w:val="center"/>
        </w:trPr>
        <w:tc>
          <w:tcPr>
            <w:tcW w:w="1165" w:type="pct"/>
            <w:shd w:val="clear" w:color="auto" w:fill="FFFFFF"/>
            <w:tcMar>
              <w:top w:w="0" w:type="dxa"/>
              <w:left w:w="85" w:type="dxa"/>
              <w:bottom w:w="0" w:type="dxa"/>
              <w:right w:w="85" w:type="dxa"/>
            </w:tcMar>
          </w:tcPr>
          <w:p w14:paraId="46DD45CC" w14:textId="77777777" w:rsidR="00BC0FD7" w:rsidRPr="001D5327" w:rsidRDefault="00BC0FD7" w:rsidP="00D11AC9">
            <w:pPr>
              <w:pStyle w:val="Tableboldblue"/>
            </w:pPr>
            <w:r w:rsidRPr="001D5327">
              <w:t>Total (5.C)</w:t>
            </w:r>
          </w:p>
        </w:tc>
        <w:tc>
          <w:tcPr>
            <w:tcW w:w="667" w:type="pct"/>
            <w:shd w:val="clear" w:color="auto" w:fill="FFFFFF"/>
            <w:tcMar>
              <w:top w:w="0" w:type="dxa"/>
              <w:left w:w="85" w:type="dxa"/>
              <w:bottom w:w="0" w:type="dxa"/>
              <w:right w:w="85" w:type="dxa"/>
            </w:tcMar>
          </w:tcPr>
          <w:p w14:paraId="31CB838B" w14:textId="77777777" w:rsidR="00BC0FD7" w:rsidRPr="001D5327" w:rsidRDefault="00BC0FD7" w:rsidP="00F06699">
            <w:pPr>
              <w:pStyle w:val="Tableboldblue"/>
              <w:jc w:val="right"/>
            </w:pPr>
            <w:r w:rsidRPr="001D5327">
              <w:t>319</w:t>
            </w:r>
          </w:p>
        </w:tc>
        <w:tc>
          <w:tcPr>
            <w:tcW w:w="667" w:type="pct"/>
            <w:shd w:val="clear" w:color="auto" w:fill="FFFFFF"/>
            <w:tcMar>
              <w:top w:w="0" w:type="dxa"/>
              <w:left w:w="85" w:type="dxa"/>
              <w:bottom w:w="0" w:type="dxa"/>
              <w:right w:w="85" w:type="dxa"/>
            </w:tcMar>
          </w:tcPr>
          <w:p w14:paraId="67823C91" w14:textId="77777777" w:rsidR="00BC0FD7" w:rsidRPr="001D5327" w:rsidRDefault="00BC0FD7" w:rsidP="00F06699">
            <w:pPr>
              <w:pStyle w:val="Tableboldblue"/>
              <w:jc w:val="right"/>
            </w:pPr>
            <w:r w:rsidRPr="001D5327">
              <w:t>176.9</w:t>
            </w:r>
          </w:p>
        </w:tc>
        <w:tc>
          <w:tcPr>
            <w:tcW w:w="1500" w:type="pct"/>
            <w:shd w:val="clear" w:color="auto" w:fill="FFFFFF"/>
            <w:tcMar>
              <w:top w:w="0" w:type="dxa"/>
              <w:left w:w="85" w:type="dxa"/>
              <w:bottom w:w="0" w:type="dxa"/>
              <w:right w:w="85" w:type="dxa"/>
            </w:tcMar>
          </w:tcPr>
          <w:p w14:paraId="0A5A750C" w14:textId="7D82849F" w:rsidR="00BC0FD7" w:rsidRPr="001D5327" w:rsidRDefault="0070503C" w:rsidP="00F06699">
            <w:pPr>
              <w:pStyle w:val="Tableboldblue"/>
              <w:jc w:val="right"/>
            </w:pPr>
            <w:r>
              <w:t>-</w:t>
            </w:r>
            <w:r w:rsidR="00BC0FD7" w:rsidRPr="001D5327">
              <w:t>142.1</w:t>
            </w:r>
          </w:p>
        </w:tc>
        <w:tc>
          <w:tcPr>
            <w:tcW w:w="1000" w:type="pct"/>
            <w:shd w:val="clear" w:color="auto" w:fill="FFFFFF"/>
            <w:tcMar>
              <w:top w:w="0" w:type="dxa"/>
              <w:left w:w="85" w:type="dxa"/>
              <w:bottom w:w="0" w:type="dxa"/>
              <w:right w:w="85" w:type="dxa"/>
            </w:tcMar>
          </w:tcPr>
          <w:p w14:paraId="4B491630" w14:textId="4F81FB1E" w:rsidR="00BC0FD7" w:rsidRPr="001D5327" w:rsidRDefault="0070503C" w:rsidP="00F06699">
            <w:pPr>
              <w:pStyle w:val="Tableboldblue"/>
              <w:jc w:val="right"/>
            </w:pPr>
            <w:r>
              <w:t>-</w:t>
            </w:r>
            <w:r w:rsidR="00BC0FD7" w:rsidRPr="001D5327">
              <w:t>44.5</w:t>
            </w:r>
          </w:p>
        </w:tc>
      </w:tr>
    </w:tbl>
    <w:p w14:paraId="69D215BC" w14:textId="77777777" w:rsidR="00BC0FD7" w:rsidRPr="001D5327" w:rsidRDefault="00BC0FD7" w:rsidP="00BC0FD7">
      <w:pPr>
        <w:pStyle w:val="Noteundertable"/>
      </w:pPr>
      <w:r w:rsidRPr="001D5327">
        <w:rPr>
          <w:b/>
          <w:bCs/>
        </w:rPr>
        <w:t>Note:</w:t>
      </w:r>
      <w:r w:rsidRPr="001D5327">
        <w:t xml:space="preserve"> Percentages presented are calculated from unrounded values.</w:t>
      </w:r>
    </w:p>
    <w:p w14:paraId="3B98B992" w14:textId="77777777" w:rsidR="00BC0FD7" w:rsidRPr="001D5327" w:rsidRDefault="00BC0FD7" w:rsidP="00BC0FD7">
      <w:pPr>
        <w:pStyle w:val="BodyText"/>
      </w:pPr>
      <w:r w:rsidRPr="001D5327">
        <w:t xml:space="preserve">Carbon dioxide emissions from the </w:t>
      </w:r>
      <w:r w:rsidRPr="001D5327">
        <w:rPr>
          <w:i/>
          <w:iCs/>
        </w:rPr>
        <w:t>Incineration and open burning of waste</w:t>
      </w:r>
      <w:r w:rsidRPr="001D5327">
        <w:t xml:space="preserve"> source category were identified as a key category in the 2023 trend assessment.</w:t>
      </w:r>
    </w:p>
    <w:p w14:paraId="6D13DB92" w14:textId="269700C0" w:rsidR="00BC0FD7" w:rsidRPr="001D5327" w:rsidRDefault="00BC0FD7" w:rsidP="00BC0FD7">
      <w:pPr>
        <w:pStyle w:val="Heading3"/>
      </w:pPr>
      <w:r w:rsidRPr="001D5327">
        <w:t xml:space="preserve">7.4.2 </w:t>
      </w:r>
      <w:r w:rsidR="00F06699" w:rsidRPr="001D5327">
        <w:tab/>
      </w:r>
      <w:r w:rsidRPr="001D5327">
        <w:t>Methodological issues</w:t>
      </w:r>
    </w:p>
    <w:p w14:paraId="2DDB5F75" w14:textId="77777777" w:rsidR="00BC0FD7" w:rsidRPr="001D5327" w:rsidRDefault="00BC0FD7" w:rsidP="00F06699">
      <w:pPr>
        <w:pStyle w:val="Heading4"/>
        <w:spacing w:before="180"/>
      </w:pPr>
      <w:r w:rsidRPr="001D5327">
        <w:t>Choice of activity data</w:t>
      </w:r>
    </w:p>
    <w:p w14:paraId="53E9E93D" w14:textId="35F600B1" w:rsidR="00BC0FD7" w:rsidRPr="001D5327" w:rsidRDefault="00AB670C" w:rsidP="00F06699">
      <w:pPr>
        <w:pStyle w:val="Heading5"/>
        <w:spacing w:before="180"/>
      </w:pPr>
      <w:bookmarkStart w:id="2851" w:name="incineration-5.c.1"/>
      <w:r>
        <w:t>Waste i</w:t>
      </w:r>
      <w:r w:rsidR="00BC0FD7" w:rsidRPr="001D5327">
        <w:t>ncineration (5.C.1)</w:t>
      </w:r>
    </w:p>
    <w:p w14:paraId="4FA5ABEA" w14:textId="77777777" w:rsidR="00BC0FD7" w:rsidRPr="001D5327" w:rsidRDefault="00BC0FD7" w:rsidP="00BC0FD7">
      <w:pPr>
        <w:pStyle w:val="BodyText"/>
      </w:pPr>
      <w:r w:rsidRPr="001D5327">
        <w:t>Limited information was available from individual site operators on the amount of waste burned between 1990 and 2008. For most sites, these activity data needed to be inferred because the only evidence available was the capacity of equipment and the amounts allowed by consent conditions. For the years after 2008, it has generally been assumed that facilities are continuing in operation at the same rates, in the absence of better information.</w:t>
      </w:r>
    </w:p>
    <w:p w14:paraId="21C11949" w14:textId="77777777" w:rsidR="00BC0FD7" w:rsidRPr="001D5327" w:rsidRDefault="00BC0FD7" w:rsidP="00BC0FD7">
      <w:pPr>
        <w:pStyle w:val="BodyText"/>
      </w:pPr>
      <w:r w:rsidRPr="001D5327">
        <w:t>Table 7.4.2 presents activity data for incineration.</w:t>
      </w:r>
    </w:p>
    <w:p w14:paraId="07F3C0DE" w14:textId="77777777" w:rsidR="00BC0FD7" w:rsidRPr="001D5327" w:rsidRDefault="00BC0FD7" w:rsidP="00BC0FD7">
      <w:pPr>
        <w:pStyle w:val="Table"/>
      </w:pPr>
      <w:bookmarkStart w:id="2852" w:name="_Toc194241811"/>
      <w:r w:rsidRPr="001D5327">
        <w:t xml:space="preserve">Table 7.4.2 </w:t>
      </w:r>
      <w:r w:rsidRPr="001D5327">
        <w:tab/>
        <w:t xml:space="preserve">Amounts of waste incinerated, from </w:t>
      </w:r>
      <w:r w:rsidRPr="001D5327">
        <w:rPr>
          <w:bCs/>
        </w:rPr>
        <w:t>1990</w:t>
      </w:r>
      <w:r w:rsidRPr="001D5327">
        <w:t> to </w:t>
      </w:r>
      <w:r w:rsidRPr="001D5327">
        <w:rPr>
          <w:bCs/>
        </w:rPr>
        <w:t>2023</w:t>
      </w:r>
      <w:bookmarkEnd w:id="2852"/>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604"/>
        <w:gridCol w:w="1720"/>
        <w:gridCol w:w="1998"/>
        <w:gridCol w:w="1728"/>
        <w:gridCol w:w="2444"/>
      </w:tblGrid>
      <w:tr w:rsidR="00BC0FD7" w:rsidRPr="001D5327" w14:paraId="44ED1971" w14:textId="77777777" w:rsidTr="00D11AC9">
        <w:trPr>
          <w:tblHeader/>
        </w:trPr>
        <w:tc>
          <w:tcPr>
            <w:tcW w:w="0" w:type="auto"/>
            <w:shd w:val="clear" w:color="auto" w:fill="1B556B"/>
            <w:tcMar>
              <w:top w:w="0" w:type="dxa"/>
              <w:left w:w="85" w:type="dxa"/>
              <w:bottom w:w="0" w:type="dxa"/>
              <w:right w:w="85" w:type="dxa"/>
            </w:tcMar>
          </w:tcPr>
          <w:p w14:paraId="2D3AB2BB"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Year</w:t>
            </w:r>
          </w:p>
        </w:tc>
        <w:tc>
          <w:tcPr>
            <w:tcW w:w="0" w:type="auto"/>
            <w:shd w:val="clear" w:color="auto" w:fill="1B556B"/>
            <w:tcMar>
              <w:top w:w="0" w:type="dxa"/>
              <w:left w:w="85" w:type="dxa"/>
              <w:bottom w:w="0" w:type="dxa"/>
              <w:right w:w="85" w:type="dxa"/>
            </w:tcMar>
          </w:tcPr>
          <w:p w14:paraId="3FE77E9C"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Clinical wastes (kt)</w:t>
            </w:r>
          </w:p>
        </w:tc>
        <w:tc>
          <w:tcPr>
            <w:tcW w:w="0" w:type="auto"/>
            <w:shd w:val="clear" w:color="auto" w:fill="1B556B"/>
            <w:tcMar>
              <w:top w:w="0" w:type="dxa"/>
              <w:left w:w="85" w:type="dxa"/>
              <w:bottom w:w="0" w:type="dxa"/>
              <w:right w:w="85" w:type="dxa"/>
            </w:tcMar>
          </w:tcPr>
          <w:p w14:paraId="2EF0F5DF"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Hazardous wastes (kt)</w:t>
            </w:r>
          </w:p>
        </w:tc>
        <w:tc>
          <w:tcPr>
            <w:tcW w:w="0" w:type="auto"/>
            <w:shd w:val="clear" w:color="auto" w:fill="1B556B"/>
            <w:tcMar>
              <w:top w:w="0" w:type="dxa"/>
              <w:left w:w="85" w:type="dxa"/>
              <w:bottom w:w="0" w:type="dxa"/>
              <w:right w:w="85" w:type="dxa"/>
            </w:tcMar>
          </w:tcPr>
          <w:p w14:paraId="6D1545A0"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Sewage sludge (kt)</w:t>
            </w:r>
          </w:p>
        </w:tc>
        <w:tc>
          <w:tcPr>
            <w:tcW w:w="0" w:type="auto"/>
            <w:shd w:val="clear" w:color="auto" w:fill="1B556B"/>
            <w:tcMar>
              <w:top w:w="0" w:type="dxa"/>
              <w:left w:w="85" w:type="dxa"/>
              <w:bottom w:w="0" w:type="dxa"/>
              <w:right w:w="85" w:type="dxa"/>
            </w:tcMar>
          </w:tcPr>
          <w:p w14:paraId="641CEE41"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Total waste incinerated (kt)</w:t>
            </w:r>
          </w:p>
        </w:tc>
      </w:tr>
      <w:tr w:rsidR="00BC0FD7" w:rsidRPr="001D5327" w14:paraId="5C269128" w14:textId="77777777" w:rsidTr="00D11AC9">
        <w:tc>
          <w:tcPr>
            <w:tcW w:w="0" w:type="auto"/>
            <w:shd w:val="clear" w:color="auto" w:fill="FFFFFF"/>
            <w:tcMar>
              <w:top w:w="0" w:type="dxa"/>
              <w:left w:w="85" w:type="dxa"/>
              <w:bottom w:w="0" w:type="dxa"/>
              <w:right w:w="85" w:type="dxa"/>
            </w:tcMar>
          </w:tcPr>
          <w:p w14:paraId="56F5D81F" w14:textId="77777777" w:rsidR="00BC0FD7" w:rsidRPr="001D5327" w:rsidRDefault="00BC0FD7" w:rsidP="00D11AC9">
            <w:pPr>
              <w:pStyle w:val="TableText"/>
              <w:spacing w:before="40" w:after="40"/>
              <w:rPr>
                <w:b/>
              </w:rPr>
            </w:pPr>
            <w:r w:rsidRPr="001D5327">
              <w:rPr>
                <w:rFonts w:eastAsia="Calibri"/>
                <w:b/>
                <w:color w:val="1B556B"/>
              </w:rPr>
              <w:t>1990</w:t>
            </w:r>
          </w:p>
        </w:tc>
        <w:tc>
          <w:tcPr>
            <w:tcW w:w="0" w:type="auto"/>
            <w:shd w:val="clear" w:color="auto" w:fill="FFFFFF"/>
            <w:tcMar>
              <w:top w:w="0" w:type="dxa"/>
              <w:left w:w="85" w:type="dxa"/>
              <w:bottom w:w="0" w:type="dxa"/>
              <w:right w:w="85" w:type="dxa"/>
            </w:tcMar>
          </w:tcPr>
          <w:p w14:paraId="3070EF76" w14:textId="77777777" w:rsidR="00BC0FD7" w:rsidRPr="001D5327" w:rsidRDefault="00BC0FD7" w:rsidP="00D11AC9">
            <w:pPr>
              <w:pStyle w:val="TableText"/>
              <w:spacing w:before="40" w:after="40"/>
              <w:jc w:val="right"/>
            </w:pPr>
            <w:r w:rsidRPr="001D5327">
              <w:rPr>
                <w:rFonts w:eastAsia="Calibri"/>
                <w:color w:val="000000"/>
              </w:rPr>
              <w:t>21.5</w:t>
            </w:r>
          </w:p>
        </w:tc>
        <w:tc>
          <w:tcPr>
            <w:tcW w:w="0" w:type="auto"/>
            <w:shd w:val="clear" w:color="auto" w:fill="FFFFFF"/>
            <w:tcMar>
              <w:top w:w="0" w:type="dxa"/>
              <w:left w:w="85" w:type="dxa"/>
              <w:bottom w:w="0" w:type="dxa"/>
              <w:right w:w="85" w:type="dxa"/>
            </w:tcMar>
          </w:tcPr>
          <w:p w14:paraId="779F3F4E"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334C9171" w14:textId="77777777" w:rsidR="00BC0FD7" w:rsidRPr="001D5327" w:rsidRDefault="00BC0FD7" w:rsidP="00D11AC9">
            <w:pPr>
              <w:pStyle w:val="TableText"/>
              <w:spacing w:before="40" w:after="40"/>
              <w:jc w:val="right"/>
            </w:pPr>
            <w:r w:rsidRPr="001D5327">
              <w:rPr>
                <w:rFonts w:eastAsia="Calibri"/>
                <w:color w:val="000000"/>
              </w:rPr>
              <w:t>4.4</w:t>
            </w:r>
          </w:p>
        </w:tc>
        <w:tc>
          <w:tcPr>
            <w:tcW w:w="0" w:type="auto"/>
            <w:shd w:val="clear" w:color="auto" w:fill="FFFFFF"/>
            <w:tcMar>
              <w:top w:w="0" w:type="dxa"/>
              <w:left w:w="85" w:type="dxa"/>
              <w:bottom w:w="0" w:type="dxa"/>
              <w:right w:w="85" w:type="dxa"/>
            </w:tcMar>
          </w:tcPr>
          <w:p w14:paraId="1B746A81" w14:textId="77777777" w:rsidR="00BC0FD7" w:rsidRPr="001D5327" w:rsidRDefault="00BC0FD7" w:rsidP="00D11AC9">
            <w:pPr>
              <w:pStyle w:val="TableText"/>
              <w:spacing w:before="40" w:after="40"/>
              <w:jc w:val="right"/>
            </w:pPr>
            <w:r w:rsidRPr="001D5327">
              <w:rPr>
                <w:rFonts w:eastAsia="Calibri"/>
                <w:color w:val="000000"/>
              </w:rPr>
              <w:t>26.2</w:t>
            </w:r>
          </w:p>
        </w:tc>
      </w:tr>
      <w:tr w:rsidR="00BC0FD7" w:rsidRPr="001D5327" w14:paraId="6F9088CB" w14:textId="77777777" w:rsidTr="00D11AC9">
        <w:tc>
          <w:tcPr>
            <w:tcW w:w="0" w:type="auto"/>
            <w:shd w:val="clear" w:color="auto" w:fill="FFFFFF"/>
            <w:tcMar>
              <w:top w:w="0" w:type="dxa"/>
              <w:left w:w="85" w:type="dxa"/>
              <w:bottom w:w="0" w:type="dxa"/>
              <w:right w:w="85" w:type="dxa"/>
            </w:tcMar>
          </w:tcPr>
          <w:p w14:paraId="4E9B9182" w14:textId="77777777" w:rsidR="00BC0FD7" w:rsidRPr="001D5327" w:rsidRDefault="00BC0FD7" w:rsidP="00D11AC9">
            <w:pPr>
              <w:pStyle w:val="TableText"/>
              <w:spacing w:before="40" w:after="40"/>
              <w:rPr>
                <w:b/>
              </w:rPr>
            </w:pPr>
            <w:r w:rsidRPr="001D5327">
              <w:rPr>
                <w:rFonts w:eastAsia="Calibri"/>
                <w:b/>
                <w:color w:val="1B556B"/>
              </w:rPr>
              <w:t>1991</w:t>
            </w:r>
          </w:p>
        </w:tc>
        <w:tc>
          <w:tcPr>
            <w:tcW w:w="0" w:type="auto"/>
            <w:shd w:val="clear" w:color="auto" w:fill="FFFFFF"/>
            <w:tcMar>
              <w:top w:w="0" w:type="dxa"/>
              <w:left w:w="85" w:type="dxa"/>
              <w:bottom w:w="0" w:type="dxa"/>
              <w:right w:w="85" w:type="dxa"/>
            </w:tcMar>
          </w:tcPr>
          <w:p w14:paraId="412A0A3C" w14:textId="77777777" w:rsidR="00BC0FD7" w:rsidRPr="001D5327" w:rsidRDefault="00BC0FD7" w:rsidP="00D11AC9">
            <w:pPr>
              <w:pStyle w:val="TableText"/>
              <w:spacing w:before="40" w:after="40"/>
              <w:jc w:val="right"/>
            </w:pPr>
            <w:r w:rsidRPr="001D5327">
              <w:rPr>
                <w:rFonts w:eastAsia="Calibri"/>
                <w:color w:val="000000"/>
              </w:rPr>
              <w:t>21.5</w:t>
            </w:r>
          </w:p>
        </w:tc>
        <w:tc>
          <w:tcPr>
            <w:tcW w:w="0" w:type="auto"/>
            <w:shd w:val="clear" w:color="auto" w:fill="FFFFFF"/>
            <w:tcMar>
              <w:top w:w="0" w:type="dxa"/>
              <w:left w:w="85" w:type="dxa"/>
              <w:bottom w:w="0" w:type="dxa"/>
              <w:right w:w="85" w:type="dxa"/>
            </w:tcMar>
          </w:tcPr>
          <w:p w14:paraId="04D769C1"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5700CF4D" w14:textId="77777777" w:rsidR="00BC0FD7" w:rsidRPr="001D5327" w:rsidRDefault="00BC0FD7" w:rsidP="00D11AC9">
            <w:pPr>
              <w:pStyle w:val="TableText"/>
              <w:spacing w:before="40" w:after="40"/>
              <w:jc w:val="right"/>
            </w:pPr>
            <w:r w:rsidRPr="001D5327">
              <w:rPr>
                <w:rFonts w:eastAsia="Calibri"/>
                <w:color w:val="000000"/>
              </w:rPr>
              <w:t>4.4</w:t>
            </w:r>
          </w:p>
        </w:tc>
        <w:tc>
          <w:tcPr>
            <w:tcW w:w="0" w:type="auto"/>
            <w:shd w:val="clear" w:color="auto" w:fill="FFFFFF"/>
            <w:tcMar>
              <w:top w:w="0" w:type="dxa"/>
              <w:left w:w="85" w:type="dxa"/>
              <w:bottom w:w="0" w:type="dxa"/>
              <w:right w:w="85" w:type="dxa"/>
            </w:tcMar>
          </w:tcPr>
          <w:p w14:paraId="551DB408" w14:textId="77777777" w:rsidR="00BC0FD7" w:rsidRPr="001D5327" w:rsidRDefault="00BC0FD7" w:rsidP="00D11AC9">
            <w:pPr>
              <w:pStyle w:val="TableText"/>
              <w:spacing w:before="40" w:after="40"/>
              <w:jc w:val="right"/>
            </w:pPr>
            <w:r w:rsidRPr="001D5327">
              <w:rPr>
                <w:rFonts w:eastAsia="Calibri"/>
                <w:color w:val="000000"/>
              </w:rPr>
              <w:t>26.2</w:t>
            </w:r>
          </w:p>
        </w:tc>
      </w:tr>
      <w:tr w:rsidR="00BC0FD7" w:rsidRPr="001D5327" w14:paraId="0F6A03DA" w14:textId="77777777" w:rsidTr="00D11AC9">
        <w:tc>
          <w:tcPr>
            <w:tcW w:w="0" w:type="auto"/>
            <w:shd w:val="clear" w:color="auto" w:fill="FFFFFF"/>
            <w:tcMar>
              <w:top w:w="0" w:type="dxa"/>
              <w:left w:w="85" w:type="dxa"/>
              <w:bottom w:w="0" w:type="dxa"/>
              <w:right w:w="85" w:type="dxa"/>
            </w:tcMar>
          </w:tcPr>
          <w:p w14:paraId="16DCD78C" w14:textId="77777777" w:rsidR="00BC0FD7" w:rsidRPr="001D5327" w:rsidRDefault="00BC0FD7" w:rsidP="00D11AC9">
            <w:pPr>
              <w:pStyle w:val="TableText"/>
              <w:spacing w:before="40" w:after="40"/>
              <w:rPr>
                <w:b/>
              </w:rPr>
            </w:pPr>
            <w:r w:rsidRPr="001D5327">
              <w:rPr>
                <w:rFonts w:eastAsia="Calibri"/>
                <w:b/>
                <w:color w:val="1B556B"/>
              </w:rPr>
              <w:t>1992</w:t>
            </w:r>
          </w:p>
        </w:tc>
        <w:tc>
          <w:tcPr>
            <w:tcW w:w="0" w:type="auto"/>
            <w:shd w:val="clear" w:color="auto" w:fill="FFFFFF"/>
            <w:tcMar>
              <w:top w:w="0" w:type="dxa"/>
              <w:left w:w="85" w:type="dxa"/>
              <w:bottom w:w="0" w:type="dxa"/>
              <w:right w:w="85" w:type="dxa"/>
            </w:tcMar>
          </w:tcPr>
          <w:p w14:paraId="3145DCD1" w14:textId="77777777" w:rsidR="00BC0FD7" w:rsidRPr="001D5327" w:rsidRDefault="00BC0FD7" w:rsidP="00D11AC9">
            <w:pPr>
              <w:pStyle w:val="TableText"/>
              <w:spacing w:before="40" w:after="40"/>
              <w:jc w:val="right"/>
            </w:pPr>
            <w:r w:rsidRPr="001D5327">
              <w:rPr>
                <w:rFonts w:eastAsia="Calibri"/>
                <w:color w:val="000000"/>
              </w:rPr>
              <w:t>21.5</w:t>
            </w:r>
          </w:p>
        </w:tc>
        <w:tc>
          <w:tcPr>
            <w:tcW w:w="0" w:type="auto"/>
            <w:shd w:val="clear" w:color="auto" w:fill="FFFFFF"/>
            <w:tcMar>
              <w:top w:w="0" w:type="dxa"/>
              <w:left w:w="85" w:type="dxa"/>
              <w:bottom w:w="0" w:type="dxa"/>
              <w:right w:w="85" w:type="dxa"/>
            </w:tcMar>
          </w:tcPr>
          <w:p w14:paraId="6035184A"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6FF1AAF8" w14:textId="77777777" w:rsidR="00BC0FD7" w:rsidRPr="001D5327" w:rsidRDefault="00BC0FD7" w:rsidP="00D11AC9">
            <w:pPr>
              <w:pStyle w:val="TableText"/>
              <w:spacing w:before="40" w:after="40"/>
              <w:jc w:val="right"/>
            </w:pPr>
            <w:r w:rsidRPr="001D5327">
              <w:rPr>
                <w:rFonts w:eastAsia="Calibri"/>
                <w:color w:val="000000"/>
              </w:rPr>
              <w:t>4.4</w:t>
            </w:r>
          </w:p>
        </w:tc>
        <w:tc>
          <w:tcPr>
            <w:tcW w:w="0" w:type="auto"/>
            <w:shd w:val="clear" w:color="auto" w:fill="FFFFFF"/>
            <w:tcMar>
              <w:top w:w="0" w:type="dxa"/>
              <w:left w:w="85" w:type="dxa"/>
              <w:bottom w:w="0" w:type="dxa"/>
              <w:right w:w="85" w:type="dxa"/>
            </w:tcMar>
          </w:tcPr>
          <w:p w14:paraId="2538CF00" w14:textId="77777777" w:rsidR="00BC0FD7" w:rsidRPr="001D5327" w:rsidRDefault="00BC0FD7" w:rsidP="00D11AC9">
            <w:pPr>
              <w:pStyle w:val="TableText"/>
              <w:spacing w:before="40" w:after="40"/>
              <w:jc w:val="right"/>
            </w:pPr>
            <w:r w:rsidRPr="001D5327">
              <w:rPr>
                <w:rFonts w:eastAsia="Calibri"/>
                <w:color w:val="000000"/>
              </w:rPr>
              <w:t>26.2</w:t>
            </w:r>
          </w:p>
        </w:tc>
      </w:tr>
      <w:tr w:rsidR="00BC0FD7" w:rsidRPr="001D5327" w14:paraId="28E236FC" w14:textId="77777777" w:rsidTr="00D11AC9">
        <w:tc>
          <w:tcPr>
            <w:tcW w:w="0" w:type="auto"/>
            <w:shd w:val="clear" w:color="auto" w:fill="FFFFFF"/>
            <w:tcMar>
              <w:top w:w="0" w:type="dxa"/>
              <w:left w:w="85" w:type="dxa"/>
              <w:bottom w:w="0" w:type="dxa"/>
              <w:right w:w="85" w:type="dxa"/>
            </w:tcMar>
          </w:tcPr>
          <w:p w14:paraId="7122754B" w14:textId="77777777" w:rsidR="00BC0FD7" w:rsidRPr="001D5327" w:rsidRDefault="00BC0FD7" w:rsidP="00D11AC9">
            <w:pPr>
              <w:pStyle w:val="TableText"/>
              <w:spacing w:before="40" w:after="40"/>
              <w:rPr>
                <w:b/>
              </w:rPr>
            </w:pPr>
            <w:r w:rsidRPr="001D5327">
              <w:rPr>
                <w:rFonts w:eastAsia="Calibri"/>
                <w:b/>
                <w:color w:val="1B556B"/>
              </w:rPr>
              <w:t>1993</w:t>
            </w:r>
          </w:p>
        </w:tc>
        <w:tc>
          <w:tcPr>
            <w:tcW w:w="0" w:type="auto"/>
            <w:shd w:val="clear" w:color="auto" w:fill="FFFFFF"/>
            <w:tcMar>
              <w:top w:w="0" w:type="dxa"/>
              <w:left w:w="85" w:type="dxa"/>
              <w:bottom w:w="0" w:type="dxa"/>
              <w:right w:w="85" w:type="dxa"/>
            </w:tcMar>
          </w:tcPr>
          <w:p w14:paraId="51FAB9CD" w14:textId="77777777" w:rsidR="00BC0FD7" w:rsidRPr="001D5327" w:rsidRDefault="00BC0FD7" w:rsidP="00D11AC9">
            <w:pPr>
              <w:pStyle w:val="TableText"/>
              <w:spacing w:before="40" w:after="40"/>
              <w:jc w:val="right"/>
            </w:pPr>
            <w:r w:rsidRPr="001D5327">
              <w:rPr>
                <w:rFonts w:eastAsia="Calibri"/>
                <w:color w:val="000000"/>
              </w:rPr>
              <w:t>21.3</w:t>
            </w:r>
          </w:p>
        </w:tc>
        <w:tc>
          <w:tcPr>
            <w:tcW w:w="0" w:type="auto"/>
            <w:shd w:val="clear" w:color="auto" w:fill="FFFFFF"/>
            <w:tcMar>
              <w:top w:w="0" w:type="dxa"/>
              <w:left w:w="85" w:type="dxa"/>
              <w:bottom w:w="0" w:type="dxa"/>
              <w:right w:w="85" w:type="dxa"/>
            </w:tcMar>
          </w:tcPr>
          <w:p w14:paraId="1AB6DB8B"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741136D0" w14:textId="77777777" w:rsidR="00BC0FD7" w:rsidRPr="001D5327" w:rsidRDefault="00BC0FD7" w:rsidP="00D11AC9">
            <w:pPr>
              <w:pStyle w:val="TableText"/>
              <w:spacing w:before="40" w:after="40"/>
              <w:jc w:val="right"/>
            </w:pPr>
            <w:r w:rsidRPr="001D5327">
              <w:rPr>
                <w:rFonts w:eastAsia="Calibri"/>
                <w:color w:val="000000"/>
              </w:rPr>
              <w:t>4.4</w:t>
            </w:r>
          </w:p>
        </w:tc>
        <w:tc>
          <w:tcPr>
            <w:tcW w:w="0" w:type="auto"/>
            <w:shd w:val="clear" w:color="auto" w:fill="FFFFFF"/>
            <w:tcMar>
              <w:top w:w="0" w:type="dxa"/>
              <w:left w:w="85" w:type="dxa"/>
              <w:bottom w:w="0" w:type="dxa"/>
              <w:right w:w="85" w:type="dxa"/>
            </w:tcMar>
          </w:tcPr>
          <w:p w14:paraId="5370C92A" w14:textId="77777777" w:rsidR="00BC0FD7" w:rsidRPr="001D5327" w:rsidRDefault="00BC0FD7" w:rsidP="00D11AC9">
            <w:pPr>
              <w:pStyle w:val="TableText"/>
              <w:spacing w:before="40" w:after="40"/>
              <w:jc w:val="right"/>
            </w:pPr>
            <w:r w:rsidRPr="001D5327">
              <w:rPr>
                <w:rFonts w:eastAsia="Calibri"/>
                <w:color w:val="000000"/>
              </w:rPr>
              <w:t>26.0</w:t>
            </w:r>
          </w:p>
        </w:tc>
      </w:tr>
      <w:tr w:rsidR="00BC0FD7" w:rsidRPr="001D5327" w14:paraId="690B8F40" w14:textId="77777777" w:rsidTr="00D11AC9">
        <w:tc>
          <w:tcPr>
            <w:tcW w:w="0" w:type="auto"/>
            <w:shd w:val="clear" w:color="auto" w:fill="FFFFFF"/>
            <w:tcMar>
              <w:top w:w="0" w:type="dxa"/>
              <w:left w:w="85" w:type="dxa"/>
              <w:bottom w:w="0" w:type="dxa"/>
              <w:right w:w="85" w:type="dxa"/>
            </w:tcMar>
          </w:tcPr>
          <w:p w14:paraId="09643C83" w14:textId="77777777" w:rsidR="00BC0FD7" w:rsidRPr="001D5327" w:rsidRDefault="00BC0FD7" w:rsidP="00D11AC9">
            <w:pPr>
              <w:pStyle w:val="TableText"/>
              <w:spacing w:before="40" w:after="40"/>
              <w:rPr>
                <w:b/>
              </w:rPr>
            </w:pPr>
            <w:r w:rsidRPr="001D5327">
              <w:rPr>
                <w:rFonts w:eastAsia="Calibri"/>
                <w:b/>
                <w:color w:val="1B556B"/>
              </w:rPr>
              <w:t>1994</w:t>
            </w:r>
          </w:p>
        </w:tc>
        <w:tc>
          <w:tcPr>
            <w:tcW w:w="0" w:type="auto"/>
            <w:shd w:val="clear" w:color="auto" w:fill="FFFFFF"/>
            <w:tcMar>
              <w:top w:w="0" w:type="dxa"/>
              <w:left w:w="85" w:type="dxa"/>
              <w:bottom w:w="0" w:type="dxa"/>
              <w:right w:w="85" w:type="dxa"/>
            </w:tcMar>
          </w:tcPr>
          <w:p w14:paraId="657234B2" w14:textId="77777777" w:rsidR="00BC0FD7" w:rsidRPr="001D5327" w:rsidRDefault="00BC0FD7" w:rsidP="00D11AC9">
            <w:pPr>
              <w:pStyle w:val="TableText"/>
              <w:spacing w:before="40" w:after="40"/>
              <w:jc w:val="right"/>
            </w:pPr>
            <w:r w:rsidRPr="001D5327">
              <w:rPr>
                <w:rFonts w:eastAsia="Calibri"/>
                <w:color w:val="000000"/>
              </w:rPr>
              <w:t>21.3</w:t>
            </w:r>
          </w:p>
        </w:tc>
        <w:tc>
          <w:tcPr>
            <w:tcW w:w="0" w:type="auto"/>
            <w:shd w:val="clear" w:color="auto" w:fill="FFFFFF"/>
            <w:tcMar>
              <w:top w:w="0" w:type="dxa"/>
              <w:left w:w="85" w:type="dxa"/>
              <w:bottom w:w="0" w:type="dxa"/>
              <w:right w:w="85" w:type="dxa"/>
            </w:tcMar>
          </w:tcPr>
          <w:p w14:paraId="695C78F6"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1B996F94" w14:textId="77777777" w:rsidR="00BC0FD7" w:rsidRPr="001D5327" w:rsidRDefault="00BC0FD7" w:rsidP="00D11AC9">
            <w:pPr>
              <w:pStyle w:val="TableText"/>
              <w:spacing w:before="40" w:after="40"/>
              <w:jc w:val="right"/>
            </w:pPr>
            <w:r w:rsidRPr="001D5327">
              <w:rPr>
                <w:rFonts w:eastAsia="Calibri"/>
                <w:color w:val="000000"/>
              </w:rPr>
              <w:t>4.4</w:t>
            </w:r>
          </w:p>
        </w:tc>
        <w:tc>
          <w:tcPr>
            <w:tcW w:w="0" w:type="auto"/>
            <w:shd w:val="clear" w:color="auto" w:fill="FFFFFF"/>
            <w:tcMar>
              <w:top w:w="0" w:type="dxa"/>
              <w:left w:w="85" w:type="dxa"/>
              <w:bottom w:w="0" w:type="dxa"/>
              <w:right w:w="85" w:type="dxa"/>
            </w:tcMar>
          </w:tcPr>
          <w:p w14:paraId="685A3E0E" w14:textId="77777777" w:rsidR="00BC0FD7" w:rsidRPr="001D5327" w:rsidRDefault="00BC0FD7" w:rsidP="00D11AC9">
            <w:pPr>
              <w:pStyle w:val="TableText"/>
              <w:spacing w:before="40" w:after="40"/>
              <w:jc w:val="right"/>
            </w:pPr>
            <w:r w:rsidRPr="001D5327">
              <w:rPr>
                <w:rFonts w:eastAsia="Calibri"/>
                <w:color w:val="000000"/>
              </w:rPr>
              <w:t>26.0</w:t>
            </w:r>
          </w:p>
        </w:tc>
      </w:tr>
      <w:tr w:rsidR="00BC0FD7" w:rsidRPr="001D5327" w14:paraId="2710AF62" w14:textId="77777777" w:rsidTr="00D11AC9">
        <w:tc>
          <w:tcPr>
            <w:tcW w:w="0" w:type="auto"/>
            <w:shd w:val="clear" w:color="auto" w:fill="FFFFFF"/>
            <w:tcMar>
              <w:top w:w="0" w:type="dxa"/>
              <w:left w:w="85" w:type="dxa"/>
              <w:bottom w:w="0" w:type="dxa"/>
              <w:right w:w="85" w:type="dxa"/>
            </w:tcMar>
          </w:tcPr>
          <w:p w14:paraId="7B83873A" w14:textId="77777777" w:rsidR="00BC0FD7" w:rsidRPr="001D5327" w:rsidRDefault="00BC0FD7" w:rsidP="00D11AC9">
            <w:pPr>
              <w:pStyle w:val="TableText"/>
              <w:spacing w:before="40" w:after="40"/>
              <w:rPr>
                <w:b/>
              </w:rPr>
            </w:pPr>
            <w:r w:rsidRPr="001D5327">
              <w:rPr>
                <w:rFonts w:eastAsia="Calibri"/>
                <w:b/>
                <w:color w:val="1B556B"/>
              </w:rPr>
              <w:t>1995</w:t>
            </w:r>
          </w:p>
        </w:tc>
        <w:tc>
          <w:tcPr>
            <w:tcW w:w="0" w:type="auto"/>
            <w:shd w:val="clear" w:color="auto" w:fill="FFFFFF"/>
            <w:tcMar>
              <w:top w:w="0" w:type="dxa"/>
              <w:left w:w="85" w:type="dxa"/>
              <w:bottom w:w="0" w:type="dxa"/>
              <w:right w:w="85" w:type="dxa"/>
            </w:tcMar>
          </w:tcPr>
          <w:p w14:paraId="7FE7BB5F" w14:textId="77777777" w:rsidR="00BC0FD7" w:rsidRPr="001D5327" w:rsidRDefault="00BC0FD7" w:rsidP="00D11AC9">
            <w:pPr>
              <w:pStyle w:val="TableText"/>
              <w:spacing w:before="40" w:after="40"/>
              <w:jc w:val="right"/>
            </w:pPr>
            <w:r w:rsidRPr="001D5327">
              <w:rPr>
                <w:rFonts w:eastAsia="Calibri"/>
                <w:color w:val="000000"/>
              </w:rPr>
              <w:t>21.0</w:t>
            </w:r>
          </w:p>
        </w:tc>
        <w:tc>
          <w:tcPr>
            <w:tcW w:w="0" w:type="auto"/>
            <w:shd w:val="clear" w:color="auto" w:fill="FFFFFF"/>
            <w:tcMar>
              <w:top w:w="0" w:type="dxa"/>
              <w:left w:w="85" w:type="dxa"/>
              <w:bottom w:w="0" w:type="dxa"/>
              <w:right w:w="85" w:type="dxa"/>
            </w:tcMar>
          </w:tcPr>
          <w:p w14:paraId="780C1CBA"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03B6F719" w14:textId="77777777" w:rsidR="00BC0FD7" w:rsidRPr="001D5327" w:rsidRDefault="00BC0FD7" w:rsidP="00D11AC9">
            <w:pPr>
              <w:pStyle w:val="TableText"/>
              <w:spacing w:before="40" w:after="40"/>
              <w:jc w:val="right"/>
            </w:pPr>
            <w:r w:rsidRPr="001D5327">
              <w:rPr>
                <w:rFonts w:eastAsia="Calibri"/>
                <w:color w:val="000000"/>
              </w:rPr>
              <w:t>4.4</w:t>
            </w:r>
          </w:p>
        </w:tc>
        <w:tc>
          <w:tcPr>
            <w:tcW w:w="0" w:type="auto"/>
            <w:shd w:val="clear" w:color="auto" w:fill="FFFFFF"/>
            <w:tcMar>
              <w:top w:w="0" w:type="dxa"/>
              <w:left w:w="85" w:type="dxa"/>
              <w:bottom w:w="0" w:type="dxa"/>
              <w:right w:w="85" w:type="dxa"/>
            </w:tcMar>
          </w:tcPr>
          <w:p w14:paraId="1D32205F" w14:textId="77777777" w:rsidR="00BC0FD7" w:rsidRPr="001D5327" w:rsidRDefault="00BC0FD7" w:rsidP="00D11AC9">
            <w:pPr>
              <w:pStyle w:val="TableText"/>
              <w:spacing w:before="40" w:after="40"/>
              <w:jc w:val="right"/>
            </w:pPr>
            <w:r w:rsidRPr="001D5327">
              <w:rPr>
                <w:rFonts w:eastAsia="Calibri"/>
                <w:color w:val="000000"/>
              </w:rPr>
              <w:t>25.7</w:t>
            </w:r>
          </w:p>
        </w:tc>
      </w:tr>
      <w:tr w:rsidR="00BC0FD7" w:rsidRPr="001D5327" w14:paraId="4EDBE869" w14:textId="77777777" w:rsidTr="00D11AC9">
        <w:tc>
          <w:tcPr>
            <w:tcW w:w="0" w:type="auto"/>
            <w:shd w:val="clear" w:color="auto" w:fill="FFFFFF"/>
            <w:tcMar>
              <w:top w:w="0" w:type="dxa"/>
              <w:left w:w="85" w:type="dxa"/>
              <w:bottom w:w="0" w:type="dxa"/>
              <w:right w:w="85" w:type="dxa"/>
            </w:tcMar>
          </w:tcPr>
          <w:p w14:paraId="46251865" w14:textId="77777777" w:rsidR="00BC0FD7" w:rsidRPr="001D5327" w:rsidRDefault="00BC0FD7" w:rsidP="00D11AC9">
            <w:pPr>
              <w:pStyle w:val="TableText"/>
              <w:spacing w:before="40" w:after="40"/>
              <w:rPr>
                <w:b/>
              </w:rPr>
            </w:pPr>
            <w:r w:rsidRPr="001D5327">
              <w:rPr>
                <w:rFonts w:eastAsia="Calibri"/>
                <w:b/>
                <w:color w:val="1B556B"/>
              </w:rPr>
              <w:t>1996</w:t>
            </w:r>
          </w:p>
        </w:tc>
        <w:tc>
          <w:tcPr>
            <w:tcW w:w="0" w:type="auto"/>
            <w:shd w:val="clear" w:color="auto" w:fill="FFFFFF"/>
            <w:tcMar>
              <w:top w:w="0" w:type="dxa"/>
              <w:left w:w="85" w:type="dxa"/>
              <w:bottom w:w="0" w:type="dxa"/>
              <w:right w:w="85" w:type="dxa"/>
            </w:tcMar>
          </w:tcPr>
          <w:p w14:paraId="1825B3B5" w14:textId="77777777" w:rsidR="00BC0FD7" w:rsidRPr="001D5327" w:rsidRDefault="00BC0FD7" w:rsidP="00D11AC9">
            <w:pPr>
              <w:pStyle w:val="TableText"/>
              <w:spacing w:before="40" w:after="40"/>
              <w:jc w:val="right"/>
            </w:pPr>
            <w:r w:rsidRPr="001D5327">
              <w:rPr>
                <w:rFonts w:eastAsia="Calibri"/>
                <w:color w:val="000000"/>
              </w:rPr>
              <w:t>20.3</w:t>
            </w:r>
          </w:p>
        </w:tc>
        <w:tc>
          <w:tcPr>
            <w:tcW w:w="0" w:type="auto"/>
            <w:shd w:val="clear" w:color="auto" w:fill="FFFFFF"/>
            <w:tcMar>
              <w:top w:w="0" w:type="dxa"/>
              <w:left w:w="85" w:type="dxa"/>
              <w:bottom w:w="0" w:type="dxa"/>
              <w:right w:w="85" w:type="dxa"/>
            </w:tcMar>
          </w:tcPr>
          <w:p w14:paraId="796BF87F"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3E2926DC" w14:textId="77777777" w:rsidR="00BC0FD7" w:rsidRPr="001D5327" w:rsidRDefault="00BC0FD7" w:rsidP="00D11AC9">
            <w:pPr>
              <w:pStyle w:val="TableText"/>
              <w:spacing w:before="40" w:after="40"/>
              <w:jc w:val="right"/>
            </w:pPr>
            <w:r w:rsidRPr="001D5327">
              <w:rPr>
                <w:rFonts w:eastAsia="Calibri"/>
                <w:color w:val="000000"/>
              </w:rPr>
              <w:t>4.4</w:t>
            </w:r>
          </w:p>
        </w:tc>
        <w:tc>
          <w:tcPr>
            <w:tcW w:w="0" w:type="auto"/>
            <w:shd w:val="clear" w:color="auto" w:fill="FFFFFF"/>
            <w:tcMar>
              <w:top w:w="0" w:type="dxa"/>
              <w:left w:w="85" w:type="dxa"/>
              <w:bottom w:w="0" w:type="dxa"/>
              <w:right w:w="85" w:type="dxa"/>
            </w:tcMar>
          </w:tcPr>
          <w:p w14:paraId="4BC4902D" w14:textId="77777777" w:rsidR="00BC0FD7" w:rsidRPr="001D5327" w:rsidRDefault="00BC0FD7" w:rsidP="00D11AC9">
            <w:pPr>
              <w:pStyle w:val="TableText"/>
              <w:spacing w:before="40" w:after="40"/>
              <w:jc w:val="right"/>
            </w:pPr>
            <w:r w:rsidRPr="001D5327">
              <w:rPr>
                <w:rFonts w:eastAsia="Calibri"/>
                <w:color w:val="000000"/>
              </w:rPr>
              <w:t>25.0</w:t>
            </w:r>
          </w:p>
        </w:tc>
      </w:tr>
      <w:tr w:rsidR="00BC0FD7" w:rsidRPr="001D5327" w14:paraId="5E21F565" w14:textId="77777777" w:rsidTr="00D11AC9">
        <w:tc>
          <w:tcPr>
            <w:tcW w:w="0" w:type="auto"/>
            <w:shd w:val="clear" w:color="auto" w:fill="FFFFFF"/>
            <w:tcMar>
              <w:top w:w="0" w:type="dxa"/>
              <w:left w:w="85" w:type="dxa"/>
              <w:bottom w:w="0" w:type="dxa"/>
              <w:right w:w="85" w:type="dxa"/>
            </w:tcMar>
          </w:tcPr>
          <w:p w14:paraId="656FEAB8" w14:textId="77777777" w:rsidR="00BC0FD7" w:rsidRPr="001D5327" w:rsidRDefault="00BC0FD7" w:rsidP="00D11AC9">
            <w:pPr>
              <w:pStyle w:val="TableText"/>
              <w:spacing w:before="40" w:after="40"/>
              <w:rPr>
                <w:b/>
              </w:rPr>
            </w:pPr>
            <w:r w:rsidRPr="001D5327">
              <w:rPr>
                <w:rFonts w:eastAsia="Calibri"/>
                <w:b/>
                <w:color w:val="1B556B"/>
              </w:rPr>
              <w:t>1997</w:t>
            </w:r>
          </w:p>
        </w:tc>
        <w:tc>
          <w:tcPr>
            <w:tcW w:w="0" w:type="auto"/>
            <w:shd w:val="clear" w:color="auto" w:fill="FFFFFF"/>
            <w:tcMar>
              <w:top w:w="0" w:type="dxa"/>
              <w:left w:w="85" w:type="dxa"/>
              <w:bottom w:w="0" w:type="dxa"/>
              <w:right w:w="85" w:type="dxa"/>
            </w:tcMar>
          </w:tcPr>
          <w:p w14:paraId="118C883D" w14:textId="77777777" w:rsidR="00BC0FD7" w:rsidRPr="001D5327" w:rsidRDefault="00BC0FD7" w:rsidP="00D11AC9">
            <w:pPr>
              <w:pStyle w:val="TableText"/>
              <w:spacing w:before="40" w:after="40"/>
              <w:jc w:val="right"/>
            </w:pPr>
            <w:r w:rsidRPr="001D5327">
              <w:rPr>
                <w:rFonts w:eastAsia="Calibri"/>
                <w:color w:val="000000"/>
              </w:rPr>
              <w:t>20.3</w:t>
            </w:r>
          </w:p>
        </w:tc>
        <w:tc>
          <w:tcPr>
            <w:tcW w:w="0" w:type="auto"/>
            <w:shd w:val="clear" w:color="auto" w:fill="FFFFFF"/>
            <w:tcMar>
              <w:top w:w="0" w:type="dxa"/>
              <w:left w:w="85" w:type="dxa"/>
              <w:bottom w:w="0" w:type="dxa"/>
              <w:right w:w="85" w:type="dxa"/>
            </w:tcMar>
          </w:tcPr>
          <w:p w14:paraId="57533525"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2E2AB3FE" w14:textId="77777777" w:rsidR="00BC0FD7" w:rsidRPr="001D5327" w:rsidRDefault="00BC0FD7" w:rsidP="00D11AC9">
            <w:pPr>
              <w:pStyle w:val="TableText"/>
              <w:spacing w:before="40" w:after="40"/>
              <w:jc w:val="right"/>
            </w:pPr>
            <w:r w:rsidRPr="001D5327">
              <w:rPr>
                <w:rFonts w:eastAsia="Calibri"/>
                <w:color w:val="000000"/>
              </w:rPr>
              <w:t>4.4</w:t>
            </w:r>
          </w:p>
        </w:tc>
        <w:tc>
          <w:tcPr>
            <w:tcW w:w="0" w:type="auto"/>
            <w:shd w:val="clear" w:color="auto" w:fill="FFFFFF"/>
            <w:tcMar>
              <w:top w:w="0" w:type="dxa"/>
              <w:left w:w="85" w:type="dxa"/>
              <w:bottom w:w="0" w:type="dxa"/>
              <w:right w:w="85" w:type="dxa"/>
            </w:tcMar>
          </w:tcPr>
          <w:p w14:paraId="3747F22A" w14:textId="77777777" w:rsidR="00BC0FD7" w:rsidRPr="001D5327" w:rsidRDefault="00BC0FD7" w:rsidP="00D11AC9">
            <w:pPr>
              <w:pStyle w:val="TableText"/>
              <w:spacing w:before="40" w:after="40"/>
              <w:jc w:val="right"/>
            </w:pPr>
            <w:r w:rsidRPr="001D5327">
              <w:rPr>
                <w:rFonts w:eastAsia="Calibri"/>
                <w:color w:val="000000"/>
              </w:rPr>
              <w:t>25.0</w:t>
            </w:r>
          </w:p>
        </w:tc>
      </w:tr>
      <w:tr w:rsidR="00BC0FD7" w:rsidRPr="001D5327" w14:paraId="649A5CB5" w14:textId="77777777" w:rsidTr="00D11AC9">
        <w:tc>
          <w:tcPr>
            <w:tcW w:w="0" w:type="auto"/>
            <w:shd w:val="clear" w:color="auto" w:fill="FFFFFF"/>
            <w:tcMar>
              <w:top w:w="0" w:type="dxa"/>
              <w:left w:w="85" w:type="dxa"/>
              <w:bottom w:w="0" w:type="dxa"/>
              <w:right w:w="85" w:type="dxa"/>
            </w:tcMar>
          </w:tcPr>
          <w:p w14:paraId="57D0101D" w14:textId="77777777" w:rsidR="00BC0FD7" w:rsidRPr="001D5327" w:rsidRDefault="00BC0FD7" w:rsidP="00D11AC9">
            <w:pPr>
              <w:pStyle w:val="TableText"/>
              <w:spacing w:before="40" w:after="40"/>
              <w:rPr>
                <w:b/>
              </w:rPr>
            </w:pPr>
            <w:r w:rsidRPr="001D5327">
              <w:rPr>
                <w:rFonts w:eastAsia="Calibri"/>
                <w:b/>
                <w:color w:val="1B556B"/>
              </w:rPr>
              <w:t>1998</w:t>
            </w:r>
          </w:p>
        </w:tc>
        <w:tc>
          <w:tcPr>
            <w:tcW w:w="0" w:type="auto"/>
            <w:shd w:val="clear" w:color="auto" w:fill="FFFFFF"/>
            <w:tcMar>
              <w:top w:w="0" w:type="dxa"/>
              <w:left w:w="85" w:type="dxa"/>
              <w:bottom w:w="0" w:type="dxa"/>
              <w:right w:w="85" w:type="dxa"/>
            </w:tcMar>
          </w:tcPr>
          <w:p w14:paraId="6406FC01" w14:textId="77777777" w:rsidR="00BC0FD7" w:rsidRPr="001D5327" w:rsidRDefault="00BC0FD7" w:rsidP="00D11AC9">
            <w:pPr>
              <w:pStyle w:val="TableText"/>
              <w:spacing w:before="40" w:after="40"/>
              <w:jc w:val="right"/>
            </w:pPr>
            <w:r w:rsidRPr="001D5327">
              <w:rPr>
                <w:rFonts w:eastAsia="Calibri"/>
                <w:color w:val="000000"/>
              </w:rPr>
              <w:t>20.0</w:t>
            </w:r>
          </w:p>
        </w:tc>
        <w:tc>
          <w:tcPr>
            <w:tcW w:w="0" w:type="auto"/>
            <w:shd w:val="clear" w:color="auto" w:fill="FFFFFF"/>
            <w:tcMar>
              <w:top w:w="0" w:type="dxa"/>
              <w:left w:w="85" w:type="dxa"/>
              <w:bottom w:w="0" w:type="dxa"/>
              <w:right w:w="85" w:type="dxa"/>
            </w:tcMar>
          </w:tcPr>
          <w:p w14:paraId="7AFE9989"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1455218C" w14:textId="77777777" w:rsidR="00BC0FD7" w:rsidRPr="001D5327" w:rsidRDefault="00BC0FD7" w:rsidP="00D11AC9">
            <w:pPr>
              <w:pStyle w:val="TableText"/>
              <w:spacing w:before="40" w:after="40"/>
              <w:jc w:val="right"/>
            </w:pPr>
            <w:r w:rsidRPr="001D5327">
              <w:rPr>
                <w:rFonts w:eastAsia="Calibri"/>
                <w:color w:val="000000"/>
              </w:rPr>
              <w:t>4.4</w:t>
            </w:r>
          </w:p>
        </w:tc>
        <w:tc>
          <w:tcPr>
            <w:tcW w:w="0" w:type="auto"/>
            <w:shd w:val="clear" w:color="auto" w:fill="FFFFFF"/>
            <w:tcMar>
              <w:top w:w="0" w:type="dxa"/>
              <w:left w:w="85" w:type="dxa"/>
              <w:bottom w:w="0" w:type="dxa"/>
              <w:right w:w="85" w:type="dxa"/>
            </w:tcMar>
          </w:tcPr>
          <w:p w14:paraId="20F4A63E" w14:textId="77777777" w:rsidR="00BC0FD7" w:rsidRPr="001D5327" w:rsidRDefault="00BC0FD7" w:rsidP="00D11AC9">
            <w:pPr>
              <w:pStyle w:val="TableText"/>
              <w:spacing w:before="40" w:after="40"/>
              <w:jc w:val="right"/>
            </w:pPr>
            <w:r w:rsidRPr="001D5327">
              <w:rPr>
                <w:rFonts w:eastAsia="Calibri"/>
                <w:color w:val="000000"/>
              </w:rPr>
              <w:t>24.7</w:t>
            </w:r>
          </w:p>
        </w:tc>
      </w:tr>
      <w:tr w:rsidR="00BC0FD7" w:rsidRPr="001D5327" w14:paraId="116FA2E8" w14:textId="77777777" w:rsidTr="00D11AC9">
        <w:tc>
          <w:tcPr>
            <w:tcW w:w="0" w:type="auto"/>
            <w:shd w:val="clear" w:color="auto" w:fill="FFFFFF"/>
            <w:tcMar>
              <w:top w:w="0" w:type="dxa"/>
              <w:left w:w="85" w:type="dxa"/>
              <w:bottom w:w="0" w:type="dxa"/>
              <w:right w:w="85" w:type="dxa"/>
            </w:tcMar>
          </w:tcPr>
          <w:p w14:paraId="10E370D6" w14:textId="77777777" w:rsidR="00BC0FD7" w:rsidRPr="001D5327" w:rsidRDefault="00BC0FD7" w:rsidP="00D11AC9">
            <w:pPr>
              <w:pStyle w:val="TableText"/>
              <w:spacing w:before="40" w:after="40"/>
              <w:rPr>
                <w:b/>
              </w:rPr>
            </w:pPr>
            <w:r w:rsidRPr="001D5327">
              <w:rPr>
                <w:rFonts w:eastAsia="Calibri"/>
                <w:b/>
                <w:color w:val="1B556B"/>
              </w:rPr>
              <w:t>1999</w:t>
            </w:r>
          </w:p>
        </w:tc>
        <w:tc>
          <w:tcPr>
            <w:tcW w:w="0" w:type="auto"/>
            <w:shd w:val="clear" w:color="auto" w:fill="FFFFFF"/>
            <w:tcMar>
              <w:top w:w="0" w:type="dxa"/>
              <w:left w:w="85" w:type="dxa"/>
              <w:bottom w:w="0" w:type="dxa"/>
              <w:right w:w="85" w:type="dxa"/>
            </w:tcMar>
          </w:tcPr>
          <w:p w14:paraId="006C767F" w14:textId="77777777" w:rsidR="00BC0FD7" w:rsidRPr="001D5327" w:rsidRDefault="00BC0FD7" w:rsidP="00D11AC9">
            <w:pPr>
              <w:pStyle w:val="TableText"/>
              <w:spacing w:before="40" w:after="40"/>
              <w:jc w:val="right"/>
            </w:pPr>
            <w:r w:rsidRPr="001D5327">
              <w:rPr>
                <w:rFonts w:eastAsia="Calibri"/>
                <w:color w:val="000000"/>
              </w:rPr>
              <w:t>18.9</w:t>
            </w:r>
          </w:p>
        </w:tc>
        <w:tc>
          <w:tcPr>
            <w:tcW w:w="0" w:type="auto"/>
            <w:shd w:val="clear" w:color="auto" w:fill="FFFFFF"/>
            <w:tcMar>
              <w:top w:w="0" w:type="dxa"/>
              <w:left w:w="85" w:type="dxa"/>
              <w:bottom w:w="0" w:type="dxa"/>
              <w:right w:w="85" w:type="dxa"/>
            </w:tcMar>
          </w:tcPr>
          <w:p w14:paraId="5C0A94D1"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1CFBF5FD" w14:textId="77777777" w:rsidR="00BC0FD7" w:rsidRPr="001D5327" w:rsidRDefault="00BC0FD7" w:rsidP="00D11AC9">
            <w:pPr>
              <w:pStyle w:val="TableText"/>
              <w:spacing w:before="40" w:after="40"/>
              <w:jc w:val="right"/>
            </w:pPr>
            <w:r w:rsidRPr="001D5327">
              <w:rPr>
                <w:rFonts w:eastAsia="Calibri"/>
                <w:color w:val="000000"/>
              </w:rPr>
              <w:t>4.4</w:t>
            </w:r>
          </w:p>
        </w:tc>
        <w:tc>
          <w:tcPr>
            <w:tcW w:w="0" w:type="auto"/>
            <w:shd w:val="clear" w:color="auto" w:fill="FFFFFF"/>
            <w:tcMar>
              <w:top w:w="0" w:type="dxa"/>
              <w:left w:w="85" w:type="dxa"/>
              <w:bottom w:w="0" w:type="dxa"/>
              <w:right w:w="85" w:type="dxa"/>
            </w:tcMar>
          </w:tcPr>
          <w:p w14:paraId="0918A49C" w14:textId="77777777" w:rsidR="00BC0FD7" w:rsidRPr="001D5327" w:rsidRDefault="00BC0FD7" w:rsidP="00D11AC9">
            <w:pPr>
              <w:pStyle w:val="TableText"/>
              <w:spacing w:before="40" w:after="40"/>
              <w:jc w:val="right"/>
            </w:pPr>
            <w:r w:rsidRPr="001D5327">
              <w:rPr>
                <w:rFonts w:eastAsia="Calibri"/>
                <w:color w:val="000000"/>
              </w:rPr>
              <w:t>23.6</w:t>
            </w:r>
          </w:p>
        </w:tc>
      </w:tr>
      <w:tr w:rsidR="00BC0FD7" w:rsidRPr="001D5327" w14:paraId="4A3F08C5" w14:textId="77777777" w:rsidTr="00D11AC9">
        <w:tc>
          <w:tcPr>
            <w:tcW w:w="0" w:type="auto"/>
            <w:shd w:val="clear" w:color="auto" w:fill="FFFFFF"/>
            <w:tcMar>
              <w:top w:w="0" w:type="dxa"/>
              <w:left w:w="85" w:type="dxa"/>
              <w:bottom w:w="0" w:type="dxa"/>
              <w:right w:w="85" w:type="dxa"/>
            </w:tcMar>
          </w:tcPr>
          <w:p w14:paraId="02C95489" w14:textId="77777777" w:rsidR="00BC0FD7" w:rsidRPr="001D5327" w:rsidRDefault="00BC0FD7" w:rsidP="00D11AC9">
            <w:pPr>
              <w:pStyle w:val="TableText"/>
              <w:spacing w:before="40" w:after="40"/>
              <w:rPr>
                <w:b/>
              </w:rPr>
            </w:pPr>
            <w:r w:rsidRPr="001D5327">
              <w:rPr>
                <w:rFonts w:eastAsia="Calibri"/>
                <w:b/>
                <w:color w:val="1B556B"/>
              </w:rPr>
              <w:t>2000</w:t>
            </w:r>
          </w:p>
        </w:tc>
        <w:tc>
          <w:tcPr>
            <w:tcW w:w="0" w:type="auto"/>
            <w:shd w:val="clear" w:color="auto" w:fill="FFFFFF"/>
            <w:tcMar>
              <w:top w:w="0" w:type="dxa"/>
              <w:left w:w="85" w:type="dxa"/>
              <w:bottom w:w="0" w:type="dxa"/>
              <w:right w:w="85" w:type="dxa"/>
            </w:tcMar>
          </w:tcPr>
          <w:p w14:paraId="00BCAC5E" w14:textId="77777777" w:rsidR="00BC0FD7" w:rsidRPr="001D5327" w:rsidRDefault="00BC0FD7" w:rsidP="00D11AC9">
            <w:pPr>
              <w:pStyle w:val="TableText"/>
              <w:spacing w:before="40" w:after="40"/>
              <w:jc w:val="right"/>
            </w:pPr>
            <w:r w:rsidRPr="001D5327">
              <w:rPr>
                <w:rFonts w:eastAsia="Calibri"/>
                <w:color w:val="000000"/>
              </w:rPr>
              <w:t>17.8</w:t>
            </w:r>
          </w:p>
        </w:tc>
        <w:tc>
          <w:tcPr>
            <w:tcW w:w="0" w:type="auto"/>
            <w:shd w:val="clear" w:color="auto" w:fill="FFFFFF"/>
            <w:tcMar>
              <w:top w:w="0" w:type="dxa"/>
              <w:left w:w="85" w:type="dxa"/>
              <w:bottom w:w="0" w:type="dxa"/>
              <w:right w:w="85" w:type="dxa"/>
            </w:tcMar>
          </w:tcPr>
          <w:p w14:paraId="612D4626"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20E912E4" w14:textId="77777777" w:rsidR="00BC0FD7" w:rsidRPr="001D5327" w:rsidRDefault="00BC0FD7" w:rsidP="00D11AC9">
            <w:pPr>
              <w:pStyle w:val="TableText"/>
              <w:spacing w:before="40" w:after="40"/>
              <w:jc w:val="right"/>
            </w:pPr>
            <w:r w:rsidRPr="001D5327">
              <w:rPr>
                <w:rFonts w:eastAsia="Calibri"/>
                <w:color w:val="000000"/>
              </w:rPr>
              <w:t>4.4</w:t>
            </w:r>
          </w:p>
        </w:tc>
        <w:tc>
          <w:tcPr>
            <w:tcW w:w="0" w:type="auto"/>
            <w:shd w:val="clear" w:color="auto" w:fill="FFFFFF"/>
            <w:tcMar>
              <w:top w:w="0" w:type="dxa"/>
              <w:left w:w="85" w:type="dxa"/>
              <w:bottom w:w="0" w:type="dxa"/>
              <w:right w:w="85" w:type="dxa"/>
            </w:tcMar>
          </w:tcPr>
          <w:p w14:paraId="28867B90" w14:textId="77777777" w:rsidR="00BC0FD7" w:rsidRPr="001D5327" w:rsidRDefault="00BC0FD7" w:rsidP="00D11AC9">
            <w:pPr>
              <w:pStyle w:val="TableText"/>
              <w:spacing w:before="40" w:after="40"/>
              <w:jc w:val="right"/>
            </w:pPr>
            <w:r w:rsidRPr="001D5327">
              <w:rPr>
                <w:rFonts w:eastAsia="Calibri"/>
                <w:color w:val="000000"/>
              </w:rPr>
              <w:t>22.4</w:t>
            </w:r>
          </w:p>
        </w:tc>
      </w:tr>
      <w:tr w:rsidR="00BC0FD7" w:rsidRPr="001D5327" w14:paraId="2A2FB752" w14:textId="77777777" w:rsidTr="00D11AC9">
        <w:tc>
          <w:tcPr>
            <w:tcW w:w="0" w:type="auto"/>
            <w:shd w:val="clear" w:color="auto" w:fill="FFFFFF"/>
            <w:tcMar>
              <w:top w:w="0" w:type="dxa"/>
              <w:left w:w="85" w:type="dxa"/>
              <w:bottom w:w="0" w:type="dxa"/>
              <w:right w:w="85" w:type="dxa"/>
            </w:tcMar>
          </w:tcPr>
          <w:p w14:paraId="6F405604" w14:textId="77777777" w:rsidR="00BC0FD7" w:rsidRPr="001D5327" w:rsidRDefault="00BC0FD7" w:rsidP="00D11AC9">
            <w:pPr>
              <w:pStyle w:val="TableText"/>
              <w:spacing w:before="40" w:after="40"/>
              <w:rPr>
                <w:b/>
              </w:rPr>
            </w:pPr>
            <w:r w:rsidRPr="001D5327">
              <w:rPr>
                <w:rFonts w:eastAsia="Calibri"/>
                <w:b/>
                <w:color w:val="1B556B"/>
              </w:rPr>
              <w:t>2001</w:t>
            </w:r>
          </w:p>
        </w:tc>
        <w:tc>
          <w:tcPr>
            <w:tcW w:w="0" w:type="auto"/>
            <w:shd w:val="clear" w:color="auto" w:fill="FFFFFF"/>
            <w:tcMar>
              <w:top w:w="0" w:type="dxa"/>
              <w:left w:w="85" w:type="dxa"/>
              <w:bottom w:w="0" w:type="dxa"/>
              <w:right w:w="85" w:type="dxa"/>
            </w:tcMar>
          </w:tcPr>
          <w:p w14:paraId="1230B93D" w14:textId="77777777" w:rsidR="00BC0FD7" w:rsidRPr="001D5327" w:rsidRDefault="00BC0FD7" w:rsidP="00D11AC9">
            <w:pPr>
              <w:pStyle w:val="TableText"/>
              <w:spacing w:before="40" w:after="40"/>
              <w:jc w:val="right"/>
            </w:pPr>
            <w:r w:rsidRPr="001D5327">
              <w:rPr>
                <w:rFonts w:eastAsia="Calibri"/>
                <w:color w:val="000000"/>
              </w:rPr>
              <w:t>9.3</w:t>
            </w:r>
          </w:p>
        </w:tc>
        <w:tc>
          <w:tcPr>
            <w:tcW w:w="0" w:type="auto"/>
            <w:shd w:val="clear" w:color="auto" w:fill="FFFFFF"/>
            <w:tcMar>
              <w:top w:w="0" w:type="dxa"/>
              <w:left w:w="85" w:type="dxa"/>
              <w:bottom w:w="0" w:type="dxa"/>
              <w:right w:w="85" w:type="dxa"/>
            </w:tcMar>
          </w:tcPr>
          <w:p w14:paraId="723F0E48"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7813D80A" w14:textId="77777777" w:rsidR="00BC0FD7" w:rsidRPr="001D5327" w:rsidRDefault="00BC0FD7" w:rsidP="00D11AC9">
            <w:pPr>
              <w:pStyle w:val="TableText"/>
              <w:spacing w:before="40" w:after="40"/>
              <w:jc w:val="right"/>
            </w:pPr>
            <w:r w:rsidRPr="001D5327">
              <w:rPr>
                <w:rFonts w:eastAsia="Calibri"/>
                <w:color w:val="000000"/>
              </w:rPr>
              <w:t>4.4</w:t>
            </w:r>
          </w:p>
        </w:tc>
        <w:tc>
          <w:tcPr>
            <w:tcW w:w="0" w:type="auto"/>
            <w:shd w:val="clear" w:color="auto" w:fill="FFFFFF"/>
            <w:tcMar>
              <w:top w:w="0" w:type="dxa"/>
              <w:left w:w="85" w:type="dxa"/>
              <w:bottom w:w="0" w:type="dxa"/>
              <w:right w:w="85" w:type="dxa"/>
            </w:tcMar>
          </w:tcPr>
          <w:p w14:paraId="2C53E973" w14:textId="77777777" w:rsidR="00BC0FD7" w:rsidRPr="001D5327" w:rsidRDefault="00BC0FD7" w:rsidP="00D11AC9">
            <w:pPr>
              <w:pStyle w:val="TableText"/>
              <w:spacing w:before="40" w:after="40"/>
              <w:jc w:val="right"/>
            </w:pPr>
            <w:r w:rsidRPr="001D5327">
              <w:rPr>
                <w:rFonts w:eastAsia="Calibri"/>
                <w:color w:val="000000"/>
              </w:rPr>
              <w:t>13.9</w:t>
            </w:r>
          </w:p>
        </w:tc>
      </w:tr>
      <w:tr w:rsidR="00BC0FD7" w:rsidRPr="001D5327" w14:paraId="46A19AE1" w14:textId="77777777" w:rsidTr="00D11AC9">
        <w:tc>
          <w:tcPr>
            <w:tcW w:w="0" w:type="auto"/>
            <w:shd w:val="clear" w:color="auto" w:fill="FFFFFF"/>
            <w:tcMar>
              <w:top w:w="0" w:type="dxa"/>
              <w:left w:w="85" w:type="dxa"/>
              <w:bottom w:w="0" w:type="dxa"/>
              <w:right w:w="85" w:type="dxa"/>
            </w:tcMar>
          </w:tcPr>
          <w:p w14:paraId="039896C4" w14:textId="77777777" w:rsidR="00BC0FD7" w:rsidRPr="001D5327" w:rsidRDefault="00BC0FD7" w:rsidP="00D11AC9">
            <w:pPr>
              <w:pStyle w:val="TableText"/>
              <w:spacing w:before="40" w:after="40"/>
              <w:rPr>
                <w:b/>
              </w:rPr>
            </w:pPr>
            <w:r w:rsidRPr="001D5327">
              <w:rPr>
                <w:rFonts w:eastAsia="Calibri"/>
                <w:b/>
                <w:color w:val="1B556B"/>
              </w:rPr>
              <w:t>2002</w:t>
            </w:r>
          </w:p>
        </w:tc>
        <w:tc>
          <w:tcPr>
            <w:tcW w:w="0" w:type="auto"/>
            <w:shd w:val="clear" w:color="auto" w:fill="FFFFFF"/>
            <w:tcMar>
              <w:top w:w="0" w:type="dxa"/>
              <w:left w:w="85" w:type="dxa"/>
              <w:bottom w:w="0" w:type="dxa"/>
              <w:right w:w="85" w:type="dxa"/>
            </w:tcMar>
          </w:tcPr>
          <w:p w14:paraId="0FDC85BE" w14:textId="77777777" w:rsidR="00BC0FD7" w:rsidRPr="001D5327" w:rsidRDefault="00BC0FD7" w:rsidP="00D11AC9">
            <w:pPr>
              <w:pStyle w:val="TableText"/>
              <w:spacing w:before="40" w:after="40"/>
              <w:jc w:val="right"/>
            </w:pPr>
            <w:r w:rsidRPr="001D5327">
              <w:rPr>
                <w:rFonts w:eastAsia="Calibri"/>
                <w:color w:val="000000"/>
              </w:rPr>
              <w:t>8.2</w:t>
            </w:r>
          </w:p>
        </w:tc>
        <w:tc>
          <w:tcPr>
            <w:tcW w:w="0" w:type="auto"/>
            <w:shd w:val="clear" w:color="auto" w:fill="FFFFFF"/>
            <w:tcMar>
              <w:top w:w="0" w:type="dxa"/>
              <w:left w:w="85" w:type="dxa"/>
              <w:bottom w:w="0" w:type="dxa"/>
              <w:right w:w="85" w:type="dxa"/>
            </w:tcMar>
          </w:tcPr>
          <w:p w14:paraId="1A0387C4"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147C3775" w14:textId="77777777" w:rsidR="00BC0FD7" w:rsidRPr="001D5327" w:rsidRDefault="00BC0FD7" w:rsidP="00D11AC9">
            <w:pPr>
              <w:pStyle w:val="TableText"/>
              <w:spacing w:before="40" w:after="40"/>
              <w:jc w:val="right"/>
            </w:pPr>
            <w:r w:rsidRPr="001D5327">
              <w:rPr>
                <w:rFonts w:eastAsia="Calibri"/>
                <w:color w:val="000000"/>
              </w:rPr>
              <w:t>4.4</w:t>
            </w:r>
          </w:p>
        </w:tc>
        <w:tc>
          <w:tcPr>
            <w:tcW w:w="0" w:type="auto"/>
            <w:shd w:val="clear" w:color="auto" w:fill="FFFFFF"/>
            <w:tcMar>
              <w:top w:w="0" w:type="dxa"/>
              <w:left w:w="85" w:type="dxa"/>
              <w:bottom w:w="0" w:type="dxa"/>
              <w:right w:w="85" w:type="dxa"/>
            </w:tcMar>
          </w:tcPr>
          <w:p w14:paraId="7C684164" w14:textId="77777777" w:rsidR="00BC0FD7" w:rsidRPr="001D5327" w:rsidRDefault="00BC0FD7" w:rsidP="00D11AC9">
            <w:pPr>
              <w:pStyle w:val="TableText"/>
              <w:spacing w:before="40" w:after="40"/>
              <w:jc w:val="right"/>
            </w:pPr>
            <w:r w:rsidRPr="001D5327">
              <w:rPr>
                <w:rFonts w:eastAsia="Calibri"/>
                <w:color w:val="000000"/>
              </w:rPr>
              <w:t>12.9</w:t>
            </w:r>
          </w:p>
        </w:tc>
      </w:tr>
      <w:tr w:rsidR="00BC0FD7" w:rsidRPr="001D5327" w14:paraId="71DD4C49" w14:textId="77777777" w:rsidTr="00D11AC9">
        <w:tc>
          <w:tcPr>
            <w:tcW w:w="0" w:type="auto"/>
            <w:shd w:val="clear" w:color="auto" w:fill="FFFFFF"/>
            <w:tcMar>
              <w:top w:w="0" w:type="dxa"/>
              <w:left w:w="85" w:type="dxa"/>
              <w:bottom w:w="0" w:type="dxa"/>
              <w:right w:w="85" w:type="dxa"/>
            </w:tcMar>
          </w:tcPr>
          <w:p w14:paraId="40BF85D3" w14:textId="77777777" w:rsidR="00BC0FD7" w:rsidRPr="001D5327" w:rsidRDefault="00BC0FD7" w:rsidP="00D11AC9">
            <w:pPr>
              <w:pStyle w:val="TableText"/>
              <w:spacing w:before="40" w:after="40"/>
              <w:rPr>
                <w:b/>
              </w:rPr>
            </w:pPr>
            <w:r w:rsidRPr="001D5327">
              <w:rPr>
                <w:rFonts w:eastAsia="Calibri"/>
                <w:b/>
                <w:color w:val="1B556B"/>
              </w:rPr>
              <w:t>2003</w:t>
            </w:r>
          </w:p>
        </w:tc>
        <w:tc>
          <w:tcPr>
            <w:tcW w:w="0" w:type="auto"/>
            <w:shd w:val="clear" w:color="auto" w:fill="FFFFFF"/>
            <w:tcMar>
              <w:top w:w="0" w:type="dxa"/>
              <w:left w:w="85" w:type="dxa"/>
              <w:bottom w:w="0" w:type="dxa"/>
              <w:right w:w="85" w:type="dxa"/>
            </w:tcMar>
          </w:tcPr>
          <w:p w14:paraId="0E7DD290" w14:textId="77777777" w:rsidR="00BC0FD7" w:rsidRPr="001D5327" w:rsidRDefault="00BC0FD7" w:rsidP="00D11AC9">
            <w:pPr>
              <w:pStyle w:val="TableText"/>
              <w:spacing w:before="40" w:after="40"/>
              <w:jc w:val="right"/>
            </w:pPr>
            <w:r w:rsidRPr="001D5327">
              <w:rPr>
                <w:rFonts w:eastAsia="Calibri"/>
                <w:color w:val="000000"/>
              </w:rPr>
              <w:t>7.3</w:t>
            </w:r>
          </w:p>
        </w:tc>
        <w:tc>
          <w:tcPr>
            <w:tcW w:w="0" w:type="auto"/>
            <w:shd w:val="clear" w:color="auto" w:fill="FFFFFF"/>
            <w:tcMar>
              <w:top w:w="0" w:type="dxa"/>
              <w:left w:w="85" w:type="dxa"/>
              <w:bottom w:w="0" w:type="dxa"/>
              <w:right w:w="85" w:type="dxa"/>
            </w:tcMar>
          </w:tcPr>
          <w:p w14:paraId="0C0388CD"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7EA3D392" w14:textId="77777777" w:rsidR="00BC0FD7" w:rsidRPr="001D5327" w:rsidRDefault="00BC0FD7" w:rsidP="00D11AC9">
            <w:pPr>
              <w:pStyle w:val="TableText"/>
              <w:spacing w:before="40" w:after="40"/>
              <w:jc w:val="right"/>
            </w:pPr>
            <w:r w:rsidRPr="001D5327">
              <w:rPr>
                <w:rFonts w:eastAsia="Calibri"/>
                <w:color w:val="000000"/>
              </w:rPr>
              <w:t>4.4</w:t>
            </w:r>
          </w:p>
        </w:tc>
        <w:tc>
          <w:tcPr>
            <w:tcW w:w="0" w:type="auto"/>
            <w:shd w:val="clear" w:color="auto" w:fill="FFFFFF"/>
            <w:tcMar>
              <w:top w:w="0" w:type="dxa"/>
              <w:left w:w="85" w:type="dxa"/>
              <w:bottom w:w="0" w:type="dxa"/>
              <w:right w:w="85" w:type="dxa"/>
            </w:tcMar>
          </w:tcPr>
          <w:p w14:paraId="6DF88398" w14:textId="77777777" w:rsidR="00BC0FD7" w:rsidRPr="001D5327" w:rsidRDefault="00BC0FD7" w:rsidP="00D11AC9">
            <w:pPr>
              <w:pStyle w:val="TableText"/>
              <w:spacing w:before="40" w:after="40"/>
              <w:jc w:val="right"/>
            </w:pPr>
            <w:r w:rsidRPr="001D5327">
              <w:rPr>
                <w:rFonts w:eastAsia="Calibri"/>
                <w:color w:val="000000"/>
              </w:rPr>
              <w:t>12.0</w:t>
            </w:r>
          </w:p>
        </w:tc>
      </w:tr>
      <w:tr w:rsidR="00BC0FD7" w:rsidRPr="001D5327" w14:paraId="3AAE75D7" w14:textId="77777777" w:rsidTr="00D11AC9">
        <w:tc>
          <w:tcPr>
            <w:tcW w:w="0" w:type="auto"/>
            <w:shd w:val="clear" w:color="auto" w:fill="FFFFFF"/>
            <w:tcMar>
              <w:top w:w="0" w:type="dxa"/>
              <w:left w:w="85" w:type="dxa"/>
              <w:bottom w:w="0" w:type="dxa"/>
              <w:right w:w="85" w:type="dxa"/>
            </w:tcMar>
          </w:tcPr>
          <w:p w14:paraId="51C48647" w14:textId="77777777" w:rsidR="00BC0FD7" w:rsidRPr="001D5327" w:rsidRDefault="00BC0FD7" w:rsidP="00D11AC9">
            <w:pPr>
              <w:pStyle w:val="TableText"/>
              <w:spacing w:before="40" w:after="40"/>
              <w:rPr>
                <w:b/>
              </w:rPr>
            </w:pPr>
            <w:r w:rsidRPr="001D5327">
              <w:rPr>
                <w:rFonts w:eastAsia="Calibri"/>
                <w:b/>
                <w:color w:val="1B556B"/>
              </w:rPr>
              <w:t>2004</w:t>
            </w:r>
          </w:p>
        </w:tc>
        <w:tc>
          <w:tcPr>
            <w:tcW w:w="0" w:type="auto"/>
            <w:shd w:val="clear" w:color="auto" w:fill="FFFFFF"/>
            <w:tcMar>
              <w:top w:w="0" w:type="dxa"/>
              <w:left w:w="85" w:type="dxa"/>
              <w:bottom w:w="0" w:type="dxa"/>
              <w:right w:w="85" w:type="dxa"/>
            </w:tcMar>
          </w:tcPr>
          <w:p w14:paraId="7B603213" w14:textId="77777777" w:rsidR="00BC0FD7" w:rsidRPr="001D5327" w:rsidRDefault="00BC0FD7" w:rsidP="00D11AC9">
            <w:pPr>
              <w:pStyle w:val="TableText"/>
              <w:spacing w:before="40" w:after="40"/>
              <w:jc w:val="right"/>
            </w:pPr>
            <w:r w:rsidRPr="001D5327">
              <w:rPr>
                <w:rFonts w:eastAsia="Calibri"/>
                <w:color w:val="000000"/>
              </w:rPr>
              <w:t>7.2</w:t>
            </w:r>
          </w:p>
        </w:tc>
        <w:tc>
          <w:tcPr>
            <w:tcW w:w="0" w:type="auto"/>
            <w:shd w:val="clear" w:color="auto" w:fill="FFFFFF"/>
            <w:tcMar>
              <w:top w:w="0" w:type="dxa"/>
              <w:left w:w="85" w:type="dxa"/>
              <w:bottom w:w="0" w:type="dxa"/>
              <w:right w:w="85" w:type="dxa"/>
            </w:tcMar>
          </w:tcPr>
          <w:p w14:paraId="346DEC67"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7812FBAA" w14:textId="77777777" w:rsidR="00BC0FD7" w:rsidRPr="001D5327" w:rsidRDefault="00BC0FD7" w:rsidP="00D11AC9">
            <w:pPr>
              <w:pStyle w:val="TableText"/>
              <w:spacing w:before="40" w:after="40"/>
              <w:jc w:val="right"/>
            </w:pPr>
            <w:r w:rsidRPr="001D5327">
              <w:rPr>
                <w:rFonts w:eastAsia="Calibri"/>
                <w:color w:val="000000"/>
              </w:rPr>
              <w:t>4.4</w:t>
            </w:r>
          </w:p>
        </w:tc>
        <w:tc>
          <w:tcPr>
            <w:tcW w:w="0" w:type="auto"/>
            <w:shd w:val="clear" w:color="auto" w:fill="FFFFFF"/>
            <w:tcMar>
              <w:top w:w="0" w:type="dxa"/>
              <w:left w:w="85" w:type="dxa"/>
              <w:bottom w:w="0" w:type="dxa"/>
              <w:right w:w="85" w:type="dxa"/>
            </w:tcMar>
          </w:tcPr>
          <w:p w14:paraId="0B4D9735" w14:textId="77777777" w:rsidR="00BC0FD7" w:rsidRPr="001D5327" w:rsidRDefault="00BC0FD7" w:rsidP="00D11AC9">
            <w:pPr>
              <w:pStyle w:val="TableText"/>
              <w:spacing w:before="40" w:after="40"/>
              <w:jc w:val="right"/>
            </w:pPr>
            <w:r w:rsidRPr="001D5327">
              <w:rPr>
                <w:rFonts w:eastAsia="Calibri"/>
                <w:color w:val="000000"/>
              </w:rPr>
              <w:t>11.9</w:t>
            </w:r>
          </w:p>
        </w:tc>
      </w:tr>
      <w:tr w:rsidR="00BC0FD7" w:rsidRPr="001D5327" w14:paraId="18195D1F" w14:textId="77777777" w:rsidTr="00D11AC9">
        <w:tc>
          <w:tcPr>
            <w:tcW w:w="0" w:type="auto"/>
            <w:shd w:val="clear" w:color="auto" w:fill="FFFFFF"/>
            <w:tcMar>
              <w:top w:w="0" w:type="dxa"/>
              <w:left w:w="85" w:type="dxa"/>
              <w:bottom w:w="0" w:type="dxa"/>
              <w:right w:w="85" w:type="dxa"/>
            </w:tcMar>
          </w:tcPr>
          <w:p w14:paraId="51EB8BAD" w14:textId="77777777" w:rsidR="00BC0FD7" w:rsidRPr="001D5327" w:rsidRDefault="00BC0FD7" w:rsidP="00D11AC9">
            <w:pPr>
              <w:pStyle w:val="TableText"/>
              <w:spacing w:before="40" w:after="40"/>
              <w:rPr>
                <w:b/>
              </w:rPr>
            </w:pPr>
            <w:r w:rsidRPr="001D5327">
              <w:rPr>
                <w:rFonts w:eastAsia="Calibri"/>
                <w:b/>
                <w:color w:val="1B556B"/>
              </w:rPr>
              <w:t>2005</w:t>
            </w:r>
          </w:p>
        </w:tc>
        <w:tc>
          <w:tcPr>
            <w:tcW w:w="0" w:type="auto"/>
            <w:shd w:val="clear" w:color="auto" w:fill="FFFFFF"/>
            <w:tcMar>
              <w:top w:w="0" w:type="dxa"/>
              <w:left w:w="85" w:type="dxa"/>
              <w:bottom w:w="0" w:type="dxa"/>
              <w:right w:w="85" w:type="dxa"/>
            </w:tcMar>
          </w:tcPr>
          <w:p w14:paraId="545A4C21" w14:textId="77777777" w:rsidR="00BC0FD7" w:rsidRPr="001D5327" w:rsidRDefault="00BC0FD7" w:rsidP="00D11AC9">
            <w:pPr>
              <w:pStyle w:val="TableText"/>
              <w:spacing w:before="40" w:after="40"/>
              <w:jc w:val="right"/>
            </w:pPr>
            <w:r w:rsidRPr="001D5327">
              <w:rPr>
                <w:rFonts w:eastAsia="Calibri"/>
                <w:color w:val="000000"/>
              </w:rPr>
              <w:t>5.3</w:t>
            </w:r>
          </w:p>
        </w:tc>
        <w:tc>
          <w:tcPr>
            <w:tcW w:w="0" w:type="auto"/>
            <w:shd w:val="clear" w:color="auto" w:fill="FFFFFF"/>
            <w:tcMar>
              <w:top w:w="0" w:type="dxa"/>
              <w:left w:w="85" w:type="dxa"/>
              <w:bottom w:w="0" w:type="dxa"/>
              <w:right w:w="85" w:type="dxa"/>
            </w:tcMar>
          </w:tcPr>
          <w:p w14:paraId="2727777D"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301FC6A9" w14:textId="77777777" w:rsidR="00BC0FD7" w:rsidRPr="001D5327" w:rsidRDefault="00BC0FD7" w:rsidP="00D11AC9">
            <w:pPr>
              <w:pStyle w:val="TableText"/>
              <w:spacing w:before="40" w:after="40"/>
              <w:jc w:val="right"/>
            </w:pPr>
            <w:r w:rsidRPr="001D5327">
              <w:rPr>
                <w:rFonts w:eastAsia="Calibri"/>
                <w:color w:val="000000"/>
              </w:rPr>
              <w:t>4.4</w:t>
            </w:r>
          </w:p>
        </w:tc>
        <w:tc>
          <w:tcPr>
            <w:tcW w:w="0" w:type="auto"/>
            <w:shd w:val="clear" w:color="auto" w:fill="FFFFFF"/>
            <w:tcMar>
              <w:top w:w="0" w:type="dxa"/>
              <w:left w:w="85" w:type="dxa"/>
              <w:bottom w:w="0" w:type="dxa"/>
              <w:right w:w="85" w:type="dxa"/>
            </w:tcMar>
          </w:tcPr>
          <w:p w14:paraId="4E15097A" w14:textId="77777777" w:rsidR="00BC0FD7" w:rsidRPr="001D5327" w:rsidRDefault="00BC0FD7" w:rsidP="00D11AC9">
            <w:pPr>
              <w:pStyle w:val="TableText"/>
              <w:spacing w:before="40" w:after="40"/>
              <w:jc w:val="right"/>
            </w:pPr>
            <w:r w:rsidRPr="001D5327">
              <w:rPr>
                <w:rFonts w:eastAsia="Calibri"/>
                <w:color w:val="000000"/>
              </w:rPr>
              <w:t>10.0</w:t>
            </w:r>
          </w:p>
        </w:tc>
      </w:tr>
      <w:tr w:rsidR="00BC0FD7" w:rsidRPr="001D5327" w14:paraId="018FD68E" w14:textId="77777777" w:rsidTr="00D11AC9">
        <w:tc>
          <w:tcPr>
            <w:tcW w:w="0" w:type="auto"/>
            <w:shd w:val="clear" w:color="auto" w:fill="FFFFFF"/>
            <w:tcMar>
              <w:top w:w="0" w:type="dxa"/>
              <w:left w:w="85" w:type="dxa"/>
              <w:bottom w:w="0" w:type="dxa"/>
              <w:right w:w="85" w:type="dxa"/>
            </w:tcMar>
          </w:tcPr>
          <w:p w14:paraId="201632E6" w14:textId="77777777" w:rsidR="00BC0FD7" w:rsidRPr="001D5327" w:rsidRDefault="00BC0FD7" w:rsidP="00D11AC9">
            <w:pPr>
              <w:pStyle w:val="TableText"/>
              <w:spacing w:before="40" w:after="40"/>
              <w:rPr>
                <w:b/>
              </w:rPr>
            </w:pPr>
            <w:r w:rsidRPr="001D5327">
              <w:rPr>
                <w:rFonts w:eastAsia="Calibri"/>
                <w:b/>
                <w:color w:val="1B556B"/>
              </w:rPr>
              <w:t>2006</w:t>
            </w:r>
          </w:p>
        </w:tc>
        <w:tc>
          <w:tcPr>
            <w:tcW w:w="0" w:type="auto"/>
            <w:shd w:val="clear" w:color="auto" w:fill="FFFFFF"/>
            <w:tcMar>
              <w:top w:w="0" w:type="dxa"/>
              <w:left w:w="85" w:type="dxa"/>
              <w:bottom w:w="0" w:type="dxa"/>
              <w:right w:w="85" w:type="dxa"/>
            </w:tcMar>
          </w:tcPr>
          <w:p w14:paraId="0EAB63B8" w14:textId="77777777" w:rsidR="00BC0FD7" w:rsidRPr="001D5327" w:rsidRDefault="00BC0FD7" w:rsidP="00D11AC9">
            <w:pPr>
              <w:pStyle w:val="TableText"/>
              <w:spacing w:before="40" w:after="40"/>
              <w:jc w:val="right"/>
            </w:pPr>
            <w:r w:rsidRPr="001D5327">
              <w:rPr>
                <w:rFonts w:eastAsia="Calibri"/>
                <w:color w:val="000000"/>
              </w:rPr>
              <w:t>3.2</w:t>
            </w:r>
          </w:p>
        </w:tc>
        <w:tc>
          <w:tcPr>
            <w:tcW w:w="0" w:type="auto"/>
            <w:shd w:val="clear" w:color="auto" w:fill="FFFFFF"/>
            <w:tcMar>
              <w:top w:w="0" w:type="dxa"/>
              <w:left w:w="85" w:type="dxa"/>
              <w:bottom w:w="0" w:type="dxa"/>
              <w:right w:w="85" w:type="dxa"/>
            </w:tcMar>
          </w:tcPr>
          <w:p w14:paraId="601D4C3B"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5F024AB9" w14:textId="77777777" w:rsidR="00BC0FD7" w:rsidRPr="001D5327" w:rsidRDefault="00BC0FD7" w:rsidP="00D11AC9">
            <w:pPr>
              <w:pStyle w:val="TableText"/>
              <w:spacing w:before="40" w:after="40"/>
              <w:jc w:val="right"/>
            </w:pPr>
            <w:r w:rsidRPr="001D5327">
              <w:rPr>
                <w:rFonts w:eastAsia="Calibri"/>
                <w:color w:val="000000"/>
              </w:rPr>
              <w:t>4.4</w:t>
            </w:r>
          </w:p>
        </w:tc>
        <w:tc>
          <w:tcPr>
            <w:tcW w:w="0" w:type="auto"/>
            <w:shd w:val="clear" w:color="auto" w:fill="FFFFFF"/>
            <w:tcMar>
              <w:top w:w="0" w:type="dxa"/>
              <w:left w:w="85" w:type="dxa"/>
              <w:bottom w:w="0" w:type="dxa"/>
              <w:right w:w="85" w:type="dxa"/>
            </w:tcMar>
          </w:tcPr>
          <w:p w14:paraId="75F98C7F" w14:textId="77777777" w:rsidR="00BC0FD7" w:rsidRPr="001D5327" w:rsidRDefault="00BC0FD7" w:rsidP="00D11AC9">
            <w:pPr>
              <w:pStyle w:val="TableText"/>
              <w:spacing w:before="40" w:after="40"/>
              <w:jc w:val="right"/>
            </w:pPr>
            <w:r w:rsidRPr="001D5327">
              <w:rPr>
                <w:rFonts w:eastAsia="Calibri"/>
                <w:color w:val="000000"/>
              </w:rPr>
              <w:t>7.9</w:t>
            </w:r>
          </w:p>
        </w:tc>
      </w:tr>
      <w:tr w:rsidR="00BC0FD7" w:rsidRPr="001D5327" w14:paraId="5C089C13" w14:textId="77777777" w:rsidTr="00D11AC9">
        <w:tc>
          <w:tcPr>
            <w:tcW w:w="0" w:type="auto"/>
            <w:shd w:val="clear" w:color="auto" w:fill="FFFFFF"/>
            <w:tcMar>
              <w:top w:w="0" w:type="dxa"/>
              <w:left w:w="85" w:type="dxa"/>
              <w:bottom w:w="0" w:type="dxa"/>
              <w:right w:w="85" w:type="dxa"/>
            </w:tcMar>
          </w:tcPr>
          <w:p w14:paraId="0626C727" w14:textId="77777777" w:rsidR="00BC0FD7" w:rsidRPr="001D5327" w:rsidRDefault="00BC0FD7" w:rsidP="00D11AC9">
            <w:pPr>
              <w:pStyle w:val="TableText"/>
              <w:spacing w:before="40" w:after="40"/>
              <w:rPr>
                <w:b/>
              </w:rPr>
            </w:pPr>
            <w:r w:rsidRPr="001D5327">
              <w:rPr>
                <w:rFonts w:eastAsia="Calibri"/>
                <w:b/>
                <w:color w:val="1B556B"/>
              </w:rPr>
              <w:t>2007</w:t>
            </w:r>
          </w:p>
        </w:tc>
        <w:tc>
          <w:tcPr>
            <w:tcW w:w="0" w:type="auto"/>
            <w:shd w:val="clear" w:color="auto" w:fill="FFFFFF"/>
            <w:tcMar>
              <w:top w:w="0" w:type="dxa"/>
              <w:left w:w="85" w:type="dxa"/>
              <w:bottom w:w="0" w:type="dxa"/>
              <w:right w:w="85" w:type="dxa"/>
            </w:tcMar>
          </w:tcPr>
          <w:p w14:paraId="18B2D42D" w14:textId="77777777" w:rsidR="00BC0FD7" w:rsidRPr="001D5327" w:rsidRDefault="00BC0FD7" w:rsidP="00D11AC9">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1F827961"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6B774D31" w14:textId="77777777" w:rsidR="00BC0FD7" w:rsidRPr="001D5327" w:rsidRDefault="00BC0FD7" w:rsidP="00D11AC9">
            <w:pPr>
              <w:pStyle w:val="TableText"/>
              <w:spacing w:before="40" w:after="40"/>
              <w:jc w:val="right"/>
            </w:pPr>
            <w:r w:rsidRPr="001D5327">
              <w:rPr>
                <w:rFonts w:eastAsia="Calibri"/>
                <w:color w:val="000000"/>
              </w:rPr>
              <w:t>4.4</w:t>
            </w:r>
          </w:p>
        </w:tc>
        <w:tc>
          <w:tcPr>
            <w:tcW w:w="0" w:type="auto"/>
            <w:shd w:val="clear" w:color="auto" w:fill="FFFFFF"/>
            <w:tcMar>
              <w:top w:w="0" w:type="dxa"/>
              <w:left w:w="85" w:type="dxa"/>
              <w:bottom w:w="0" w:type="dxa"/>
              <w:right w:w="85" w:type="dxa"/>
            </w:tcMar>
          </w:tcPr>
          <w:p w14:paraId="5AD943BD" w14:textId="77777777" w:rsidR="00BC0FD7" w:rsidRPr="001D5327" w:rsidRDefault="00BC0FD7" w:rsidP="00D11AC9">
            <w:pPr>
              <w:pStyle w:val="TableText"/>
              <w:spacing w:before="40" w:after="40"/>
              <w:jc w:val="right"/>
            </w:pPr>
            <w:r w:rsidRPr="001D5327">
              <w:rPr>
                <w:rFonts w:eastAsia="Calibri"/>
                <w:color w:val="000000"/>
              </w:rPr>
              <w:t>5.3</w:t>
            </w:r>
          </w:p>
        </w:tc>
      </w:tr>
      <w:tr w:rsidR="00BC0FD7" w:rsidRPr="001D5327" w14:paraId="17961269" w14:textId="77777777" w:rsidTr="00D11AC9">
        <w:tc>
          <w:tcPr>
            <w:tcW w:w="0" w:type="auto"/>
            <w:shd w:val="clear" w:color="auto" w:fill="FFFFFF"/>
            <w:tcMar>
              <w:top w:w="0" w:type="dxa"/>
              <w:left w:w="85" w:type="dxa"/>
              <w:bottom w:w="0" w:type="dxa"/>
              <w:right w:w="85" w:type="dxa"/>
            </w:tcMar>
          </w:tcPr>
          <w:p w14:paraId="51586CC1" w14:textId="77777777" w:rsidR="00BC0FD7" w:rsidRPr="001D5327" w:rsidRDefault="00BC0FD7" w:rsidP="00D11AC9">
            <w:pPr>
              <w:pStyle w:val="TableText"/>
              <w:spacing w:before="40" w:after="40"/>
              <w:rPr>
                <w:b/>
              </w:rPr>
            </w:pPr>
            <w:r w:rsidRPr="001D5327">
              <w:rPr>
                <w:rFonts w:eastAsia="Calibri"/>
                <w:b/>
                <w:color w:val="1B556B"/>
              </w:rPr>
              <w:t>2008</w:t>
            </w:r>
          </w:p>
        </w:tc>
        <w:tc>
          <w:tcPr>
            <w:tcW w:w="0" w:type="auto"/>
            <w:shd w:val="clear" w:color="auto" w:fill="FFFFFF"/>
            <w:tcMar>
              <w:top w:w="0" w:type="dxa"/>
              <w:left w:w="85" w:type="dxa"/>
              <w:bottom w:w="0" w:type="dxa"/>
              <w:right w:w="85" w:type="dxa"/>
            </w:tcMar>
          </w:tcPr>
          <w:p w14:paraId="4850F883" w14:textId="77777777" w:rsidR="00BC0FD7" w:rsidRPr="001D5327" w:rsidRDefault="00BC0FD7" w:rsidP="00D11AC9">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655A8F9B"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5E441B3A" w14:textId="77777777" w:rsidR="00BC0FD7" w:rsidRPr="001D5327" w:rsidRDefault="00BC0FD7" w:rsidP="00D11AC9">
            <w:pPr>
              <w:pStyle w:val="TableText"/>
              <w:spacing w:before="40" w:after="40"/>
              <w:jc w:val="right"/>
            </w:pPr>
            <w:r w:rsidRPr="001D5327">
              <w:rPr>
                <w:rFonts w:eastAsia="Calibri"/>
                <w:color w:val="000000"/>
              </w:rPr>
              <w:t>4.5</w:t>
            </w:r>
          </w:p>
        </w:tc>
        <w:tc>
          <w:tcPr>
            <w:tcW w:w="0" w:type="auto"/>
            <w:shd w:val="clear" w:color="auto" w:fill="FFFFFF"/>
            <w:tcMar>
              <w:top w:w="0" w:type="dxa"/>
              <w:left w:w="85" w:type="dxa"/>
              <w:bottom w:w="0" w:type="dxa"/>
              <w:right w:w="85" w:type="dxa"/>
            </w:tcMar>
          </w:tcPr>
          <w:p w14:paraId="75D56BD0" w14:textId="77777777" w:rsidR="00BC0FD7" w:rsidRPr="001D5327" w:rsidRDefault="00BC0FD7" w:rsidP="00D11AC9">
            <w:pPr>
              <w:pStyle w:val="TableText"/>
              <w:spacing w:before="40" w:after="40"/>
              <w:jc w:val="right"/>
            </w:pPr>
            <w:r w:rsidRPr="001D5327">
              <w:rPr>
                <w:rFonts w:eastAsia="Calibri"/>
                <w:color w:val="000000"/>
              </w:rPr>
              <w:t>5.4</w:t>
            </w:r>
          </w:p>
        </w:tc>
      </w:tr>
      <w:tr w:rsidR="00BC0FD7" w:rsidRPr="001D5327" w14:paraId="6AFE91F0" w14:textId="77777777" w:rsidTr="00D11AC9">
        <w:tc>
          <w:tcPr>
            <w:tcW w:w="0" w:type="auto"/>
            <w:shd w:val="clear" w:color="auto" w:fill="FFFFFF"/>
            <w:tcMar>
              <w:top w:w="0" w:type="dxa"/>
              <w:left w:w="85" w:type="dxa"/>
              <w:bottom w:w="0" w:type="dxa"/>
              <w:right w:w="85" w:type="dxa"/>
            </w:tcMar>
          </w:tcPr>
          <w:p w14:paraId="734D05C1" w14:textId="77777777" w:rsidR="00BC0FD7" w:rsidRPr="001D5327" w:rsidRDefault="00BC0FD7" w:rsidP="00D11AC9">
            <w:pPr>
              <w:pStyle w:val="TableText"/>
              <w:spacing w:before="40" w:after="40"/>
              <w:rPr>
                <w:b/>
              </w:rPr>
            </w:pPr>
            <w:r w:rsidRPr="001D5327">
              <w:rPr>
                <w:rFonts w:eastAsia="Calibri"/>
                <w:b/>
                <w:color w:val="1B556B"/>
              </w:rPr>
              <w:t>2009</w:t>
            </w:r>
          </w:p>
        </w:tc>
        <w:tc>
          <w:tcPr>
            <w:tcW w:w="0" w:type="auto"/>
            <w:shd w:val="clear" w:color="auto" w:fill="FFFFFF"/>
            <w:tcMar>
              <w:top w:w="0" w:type="dxa"/>
              <w:left w:w="85" w:type="dxa"/>
              <w:bottom w:w="0" w:type="dxa"/>
              <w:right w:w="85" w:type="dxa"/>
            </w:tcMar>
          </w:tcPr>
          <w:p w14:paraId="6CE2C57B" w14:textId="77777777" w:rsidR="00BC0FD7" w:rsidRPr="001D5327" w:rsidRDefault="00BC0FD7" w:rsidP="00D11AC9">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52BEF000"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020A14A2" w14:textId="77777777" w:rsidR="00BC0FD7" w:rsidRPr="001D5327" w:rsidRDefault="00BC0FD7" w:rsidP="00D11AC9">
            <w:pPr>
              <w:pStyle w:val="TableText"/>
              <w:spacing w:before="40" w:after="40"/>
              <w:jc w:val="right"/>
            </w:pPr>
            <w:r w:rsidRPr="001D5327">
              <w:rPr>
                <w:rFonts w:eastAsia="Calibri"/>
                <w:color w:val="000000"/>
              </w:rPr>
              <w:t>4.5</w:t>
            </w:r>
          </w:p>
        </w:tc>
        <w:tc>
          <w:tcPr>
            <w:tcW w:w="0" w:type="auto"/>
            <w:shd w:val="clear" w:color="auto" w:fill="FFFFFF"/>
            <w:tcMar>
              <w:top w:w="0" w:type="dxa"/>
              <w:left w:w="85" w:type="dxa"/>
              <w:bottom w:w="0" w:type="dxa"/>
              <w:right w:w="85" w:type="dxa"/>
            </w:tcMar>
          </w:tcPr>
          <w:p w14:paraId="57C63C27" w14:textId="77777777" w:rsidR="00BC0FD7" w:rsidRPr="001D5327" w:rsidRDefault="00BC0FD7" w:rsidP="00D11AC9">
            <w:pPr>
              <w:pStyle w:val="TableText"/>
              <w:spacing w:before="40" w:after="40"/>
              <w:jc w:val="right"/>
            </w:pPr>
            <w:r w:rsidRPr="001D5327">
              <w:rPr>
                <w:rFonts w:eastAsia="Calibri"/>
                <w:color w:val="000000"/>
              </w:rPr>
              <w:t>5.4</w:t>
            </w:r>
          </w:p>
        </w:tc>
      </w:tr>
      <w:tr w:rsidR="00BC0FD7" w:rsidRPr="001D5327" w14:paraId="30EBB32D" w14:textId="77777777" w:rsidTr="00D11AC9">
        <w:tc>
          <w:tcPr>
            <w:tcW w:w="0" w:type="auto"/>
            <w:shd w:val="clear" w:color="auto" w:fill="FFFFFF"/>
            <w:tcMar>
              <w:top w:w="0" w:type="dxa"/>
              <w:left w:w="85" w:type="dxa"/>
              <w:bottom w:w="0" w:type="dxa"/>
              <w:right w:w="85" w:type="dxa"/>
            </w:tcMar>
          </w:tcPr>
          <w:p w14:paraId="43319900" w14:textId="77777777" w:rsidR="00BC0FD7" w:rsidRPr="001D5327" w:rsidRDefault="00BC0FD7" w:rsidP="00D11AC9">
            <w:pPr>
              <w:pStyle w:val="TableText"/>
              <w:spacing w:before="40" w:after="40"/>
              <w:rPr>
                <w:b/>
              </w:rPr>
            </w:pPr>
            <w:r w:rsidRPr="001D5327">
              <w:rPr>
                <w:rFonts w:eastAsia="Calibri"/>
                <w:b/>
                <w:color w:val="1B556B"/>
              </w:rPr>
              <w:t>2010</w:t>
            </w:r>
          </w:p>
        </w:tc>
        <w:tc>
          <w:tcPr>
            <w:tcW w:w="0" w:type="auto"/>
            <w:shd w:val="clear" w:color="auto" w:fill="FFFFFF"/>
            <w:tcMar>
              <w:top w:w="0" w:type="dxa"/>
              <w:left w:w="85" w:type="dxa"/>
              <w:bottom w:w="0" w:type="dxa"/>
              <w:right w:w="85" w:type="dxa"/>
            </w:tcMar>
          </w:tcPr>
          <w:p w14:paraId="60C775BB" w14:textId="77777777" w:rsidR="00BC0FD7" w:rsidRPr="001D5327" w:rsidRDefault="00BC0FD7" w:rsidP="00D11AC9">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5EFC73E1"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15F65CA0" w14:textId="77777777" w:rsidR="00BC0FD7" w:rsidRPr="001D5327" w:rsidRDefault="00BC0FD7" w:rsidP="00D11AC9">
            <w:pPr>
              <w:pStyle w:val="TableText"/>
              <w:spacing w:before="40" w:after="40"/>
              <w:jc w:val="right"/>
            </w:pPr>
            <w:r w:rsidRPr="001D5327">
              <w:rPr>
                <w:rFonts w:eastAsia="Calibri"/>
                <w:color w:val="000000"/>
              </w:rPr>
              <w:t>4.5</w:t>
            </w:r>
          </w:p>
        </w:tc>
        <w:tc>
          <w:tcPr>
            <w:tcW w:w="0" w:type="auto"/>
            <w:shd w:val="clear" w:color="auto" w:fill="FFFFFF"/>
            <w:tcMar>
              <w:top w:w="0" w:type="dxa"/>
              <w:left w:w="85" w:type="dxa"/>
              <w:bottom w:w="0" w:type="dxa"/>
              <w:right w:w="85" w:type="dxa"/>
            </w:tcMar>
          </w:tcPr>
          <w:p w14:paraId="274C3075" w14:textId="77777777" w:rsidR="00BC0FD7" w:rsidRPr="001D5327" w:rsidRDefault="00BC0FD7" w:rsidP="00D11AC9">
            <w:pPr>
              <w:pStyle w:val="TableText"/>
              <w:spacing w:before="40" w:after="40"/>
              <w:jc w:val="right"/>
            </w:pPr>
            <w:r w:rsidRPr="001D5327">
              <w:rPr>
                <w:rFonts w:eastAsia="Calibri"/>
                <w:color w:val="000000"/>
              </w:rPr>
              <w:t>5.4</w:t>
            </w:r>
          </w:p>
        </w:tc>
      </w:tr>
      <w:tr w:rsidR="00BC0FD7" w:rsidRPr="001D5327" w14:paraId="73C1D295" w14:textId="77777777" w:rsidTr="00D11AC9">
        <w:tc>
          <w:tcPr>
            <w:tcW w:w="0" w:type="auto"/>
            <w:shd w:val="clear" w:color="auto" w:fill="FFFFFF"/>
            <w:tcMar>
              <w:top w:w="0" w:type="dxa"/>
              <w:left w:w="85" w:type="dxa"/>
              <w:bottom w:w="0" w:type="dxa"/>
              <w:right w:w="85" w:type="dxa"/>
            </w:tcMar>
          </w:tcPr>
          <w:p w14:paraId="5D458170" w14:textId="77777777" w:rsidR="00BC0FD7" w:rsidRPr="001D5327" w:rsidRDefault="00BC0FD7" w:rsidP="00D11AC9">
            <w:pPr>
              <w:pStyle w:val="TableText"/>
              <w:spacing w:before="40" w:after="40"/>
              <w:rPr>
                <w:b/>
              </w:rPr>
            </w:pPr>
            <w:r w:rsidRPr="001D5327">
              <w:rPr>
                <w:rFonts w:eastAsia="Calibri"/>
                <w:b/>
                <w:color w:val="1B556B"/>
              </w:rPr>
              <w:t>2011</w:t>
            </w:r>
          </w:p>
        </w:tc>
        <w:tc>
          <w:tcPr>
            <w:tcW w:w="0" w:type="auto"/>
            <w:shd w:val="clear" w:color="auto" w:fill="FFFFFF"/>
            <w:tcMar>
              <w:top w:w="0" w:type="dxa"/>
              <w:left w:w="85" w:type="dxa"/>
              <w:bottom w:w="0" w:type="dxa"/>
              <w:right w:w="85" w:type="dxa"/>
            </w:tcMar>
          </w:tcPr>
          <w:p w14:paraId="4E839973" w14:textId="77777777" w:rsidR="00BC0FD7" w:rsidRPr="001D5327" w:rsidRDefault="00BC0FD7" w:rsidP="00D11AC9">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29A2C2F8"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641E770A" w14:textId="77777777" w:rsidR="00BC0FD7" w:rsidRPr="001D5327" w:rsidRDefault="00BC0FD7" w:rsidP="00D11AC9">
            <w:pPr>
              <w:pStyle w:val="TableText"/>
              <w:spacing w:before="40" w:after="40"/>
              <w:jc w:val="right"/>
            </w:pPr>
            <w:r w:rsidRPr="001D5327">
              <w:rPr>
                <w:rFonts w:eastAsia="Calibri"/>
                <w:color w:val="000000"/>
              </w:rPr>
              <w:t>4.5</w:t>
            </w:r>
          </w:p>
        </w:tc>
        <w:tc>
          <w:tcPr>
            <w:tcW w:w="0" w:type="auto"/>
            <w:shd w:val="clear" w:color="auto" w:fill="FFFFFF"/>
            <w:tcMar>
              <w:top w:w="0" w:type="dxa"/>
              <w:left w:w="85" w:type="dxa"/>
              <w:bottom w:w="0" w:type="dxa"/>
              <w:right w:w="85" w:type="dxa"/>
            </w:tcMar>
          </w:tcPr>
          <w:p w14:paraId="7FC99764" w14:textId="77777777" w:rsidR="00BC0FD7" w:rsidRPr="001D5327" w:rsidRDefault="00BC0FD7" w:rsidP="00D11AC9">
            <w:pPr>
              <w:pStyle w:val="TableText"/>
              <w:spacing w:before="40" w:after="40"/>
              <w:jc w:val="right"/>
            </w:pPr>
            <w:r w:rsidRPr="001D5327">
              <w:rPr>
                <w:rFonts w:eastAsia="Calibri"/>
                <w:color w:val="000000"/>
              </w:rPr>
              <w:t>5.4</w:t>
            </w:r>
          </w:p>
        </w:tc>
      </w:tr>
      <w:tr w:rsidR="00BC0FD7" w:rsidRPr="001D5327" w14:paraId="698174CF" w14:textId="77777777" w:rsidTr="00D11AC9">
        <w:tc>
          <w:tcPr>
            <w:tcW w:w="0" w:type="auto"/>
            <w:shd w:val="clear" w:color="auto" w:fill="FFFFFF"/>
            <w:tcMar>
              <w:top w:w="0" w:type="dxa"/>
              <w:left w:w="85" w:type="dxa"/>
              <w:bottom w:w="0" w:type="dxa"/>
              <w:right w:w="85" w:type="dxa"/>
            </w:tcMar>
          </w:tcPr>
          <w:p w14:paraId="6DB896B0" w14:textId="77777777" w:rsidR="00BC0FD7" w:rsidRPr="001D5327" w:rsidRDefault="00BC0FD7" w:rsidP="00D11AC9">
            <w:pPr>
              <w:pStyle w:val="TableText"/>
              <w:spacing w:before="40" w:after="40"/>
              <w:rPr>
                <w:b/>
              </w:rPr>
            </w:pPr>
            <w:r w:rsidRPr="001D5327">
              <w:rPr>
                <w:rFonts w:eastAsia="Calibri"/>
                <w:b/>
                <w:color w:val="1B556B"/>
              </w:rPr>
              <w:lastRenderedPageBreak/>
              <w:t>2012</w:t>
            </w:r>
          </w:p>
        </w:tc>
        <w:tc>
          <w:tcPr>
            <w:tcW w:w="0" w:type="auto"/>
            <w:shd w:val="clear" w:color="auto" w:fill="FFFFFF"/>
            <w:tcMar>
              <w:top w:w="0" w:type="dxa"/>
              <w:left w:w="85" w:type="dxa"/>
              <w:bottom w:w="0" w:type="dxa"/>
              <w:right w:w="85" w:type="dxa"/>
            </w:tcMar>
          </w:tcPr>
          <w:p w14:paraId="5D79C1D1" w14:textId="77777777" w:rsidR="00BC0FD7" w:rsidRPr="001D5327" w:rsidRDefault="00BC0FD7" w:rsidP="00D11AC9">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230D4DB6"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506B1057" w14:textId="77777777" w:rsidR="00BC0FD7" w:rsidRPr="001D5327" w:rsidRDefault="00BC0FD7" w:rsidP="00D11AC9">
            <w:pPr>
              <w:pStyle w:val="TableText"/>
              <w:spacing w:before="40" w:after="40"/>
              <w:jc w:val="right"/>
            </w:pPr>
            <w:r w:rsidRPr="001D5327">
              <w:rPr>
                <w:rFonts w:eastAsia="Calibri"/>
                <w:color w:val="000000"/>
              </w:rPr>
              <w:t>4.5</w:t>
            </w:r>
          </w:p>
        </w:tc>
        <w:tc>
          <w:tcPr>
            <w:tcW w:w="0" w:type="auto"/>
            <w:shd w:val="clear" w:color="auto" w:fill="FFFFFF"/>
            <w:tcMar>
              <w:top w:w="0" w:type="dxa"/>
              <w:left w:w="85" w:type="dxa"/>
              <w:bottom w:w="0" w:type="dxa"/>
              <w:right w:w="85" w:type="dxa"/>
            </w:tcMar>
          </w:tcPr>
          <w:p w14:paraId="365EAF8D" w14:textId="77777777" w:rsidR="00BC0FD7" w:rsidRPr="001D5327" w:rsidRDefault="00BC0FD7" w:rsidP="00D11AC9">
            <w:pPr>
              <w:pStyle w:val="TableText"/>
              <w:spacing w:before="40" w:after="40"/>
              <w:jc w:val="right"/>
            </w:pPr>
            <w:r w:rsidRPr="001D5327">
              <w:rPr>
                <w:rFonts w:eastAsia="Calibri"/>
                <w:color w:val="000000"/>
              </w:rPr>
              <w:t>5.4</w:t>
            </w:r>
          </w:p>
        </w:tc>
      </w:tr>
      <w:tr w:rsidR="00BC0FD7" w:rsidRPr="001D5327" w14:paraId="332C5DCC" w14:textId="77777777" w:rsidTr="00D11AC9">
        <w:tc>
          <w:tcPr>
            <w:tcW w:w="0" w:type="auto"/>
            <w:shd w:val="clear" w:color="auto" w:fill="FFFFFF"/>
            <w:tcMar>
              <w:top w:w="0" w:type="dxa"/>
              <w:left w:w="85" w:type="dxa"/>
              <w:bottom w:w="0" w:type="dxa"/>
              <w:right w:w="85" w:type="dxa"/>
            </w:tcMar>
          </w:tcPr>
          <w:p w14:paraId="266B1912" w14:textId="77777777" w:rsidR="00BC0FD7" w:rsidRPr="001D5327" w:rsidRDefault="00BC0FD7" w:rsidP="00D11AC9">
            <w:pPr>
              <w:pStyle w:val="TableText"/>
              <w:spacing w:before="40" w:after="40"/>
              <w:rPr>
                <w:b/>
              </w:rPr>
            </w:pPr>
            <w:r w:rsidRPr="001D5327">
              <w:rPr>
                <w:rFonts w:eastAsia="Calibri"/>
                <w:b/>
                <w:color w:val="1B556B"/>
              </w:rPr>
              <w:t>2013</w:t>
            </w:r>
          </w:p>
        </w:tc>
        <w:tc>
          <w:tcPr>
            <w:tcW w:w="0" w:type="auto"/>
            <w:shd w:val="clear" w:color="auto" w:fill="FFFFFF"/>
            <w:tcMar>
              <w:top w:w="0" w:type="dxa"/>
              <w:left w:w="85" w:type="dxa"/>
              <w:bottom w:w="0" w:type="dxa"/>
              <w:right w:w="85" w:type="dxa"/>
            </w:tcMar>
          </w:tcPr>
          <w:p w14:paraId="75AD8248" w14:textId="77777777" w:rsidR="00BC0FD7" w:rsidRPr="001D5327" w:rsidRDefault="00BC0FD7" w:rsidP="00D11AC9">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1C6BED95"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7386367B" w14:textId="77777777" w:rsidR="00BC0FD7" w:rsidRPr="001D5327" w:rsidRDefault="00BC0FD7" w:rsidP="00D11AC9">
            <w:pPr>
              <w:pStyle w:val="TableText"/>
              <w:spacing w:before="40" w:after="40"/>
              <w:jc w:val="right"/>
            </w:pPr>
            <w:r w:rsidRPr="001D5327">
              <w:rPr>
                <w:rFonts w:eastAsia="Calibri"/>
                <w:color w:val="000000"/>
              </w:rPr>
              <w:t>4.5</w:t>
            </w:r>
          </w:p>
        </w:tc>
        <w:tc>
          <w:tcPr>
            <w:tcW w:w="0" w:type="auto"/>
            <w:shd w:val="clear" w:color="auto" w:fill="FFFFFF"/>
            <w:tcMar>
              <w:top w:w="0" w:type="dxa"/>
              <w:left w:w="85" w:type="dxa"/>
              <w:bottom w:w="0" w:type="dxa"/>
              <w:right w:w="85" w:type="dxa"/>
            </w:tcMar>
          </w:tcPr>
          <w:p w14:paraId="7EE50637" w14:textId="77777777" w:rsidR="00BC0FD7" w:rsidRPr="001D5327" w:rsidRDefault="00BC0FD7" w:rsidP="00D11AC9">
            <w:pPr>
              <w:pStyle w:val="TableText"/>
              <w:spacing w:before="40" w:after="40"/>
              <w:jc w:val="right"/>
            </w:pPr>
            <w:r w:rsidRPr="001D5327">
              <w:rPr>
                <w:rFonts w:eastAsia="Calibri"/>
                <w:color w:val="000000"/>
              </w:rPr>
              <w:t>5.4</w:t>
            </w:r>
          </w:p>
        </w:tc>
      </w:tr>
      <w:tr w:rsidR="00BC0FD7" w:rsidRPr="001D5327" w14:paraId="6450EE16" w14:textId="77777777" w:rsidTr="00D11AC9">
        <w:tc>
          <w:tcPr>
            <w:tcW w:w="0" w:type="auto"/>
            <w:shd w:val="clear" w:color="auto" w:fill="FFFFFF"/>
            <w:tcMar>
              <w:top w:w="0" w:type="dxa"/>
              <w:left w:w="85" w:type="dxa"/>
              <w:bottom w:w="0" w:type="dxa"/>
              <w:right w:w="85" w:type="dxa"/>
            </w:tcMar>
          </w:tcPr>
          <w:p w14:paraId="481731A7" w14:textId="77777777" w:rsidR="00BC0FD7" w:rsidRPr="001D5327" w:rsidRDefault="00BC0FD7" w:rsidP="00D11AC9">
            <w:pPr>
              <w:pStyle w:val="TableText"/>
              <w:spacing w:before="40" w:after="40"/>
              <w:rPr>
                <w:b/>
              </w:rPr>
            </w:pPr>
            <w:r w:rsidRPr="001D5327">
              <w:rPr>
                <w:rFonts w:eastAsia="Calibri"/>
                <w:b/>
                <w:color w:val="1B556B"/>
              </w:rPr>
              <w:t>2014</w:t>
            </w:r>
          </w:p>
        </w:tc>
        <w:tc>
          <w:tcPr>
            <w:tcW w:w="0" w:type="auto"/>
            <w:shd w:val="clear" w:color="auto" w:fill="FFFFFF"/>
            <w:tcMar>
              <w:top w:w="0" w:type="dxa"/>
              <w:left w:w="85" w:type="dxa"/>
              <w:bottom w:w="0" w:type="dxa"/>
              <w:right w:w="85" w:type="dxa"/>
            </w:tcMar>
          </w:tcPr>
          <w:p w14:paraId="3CD8A5A4" w14:textId="77777777" w:rsidR="00BC0FD7" w:rsidRPr="001D5327" w:rsidRDefault="00BC0FD7" w:rsidP="00D11AC9">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5E57537A"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572A536C" w14:textId="77777777" w:rsidR="00BC0FD7" w:rsidRPr="001D5327" w:rsidRDefault="00BC0FD7" w:rsidP="00D11AC9">
            <w:pPr>
              <w:pStyle w:val="TableText"/>
              <w:spacing w:before="40" w:after="40"/>
              <w:jc w:val="right"/>
            </w:pPr>
            <w:r w:rsidRPr="001D5327">
              <w:rPr>
                <w:rFonts w:eastAsia="Calibri"/>
                <w:color w:val="000000"/>
              </w:rPr>
              <w:t>4.5</w:t>
            </w:r>
          </w:p>
        </w:tc>
        <w:tc>
          <w:tcPr>
            <w:tcW w:w="0" w:type="auto"/>
            <w:shd w:val="clear" w:color="auto" w:fill="FFFFFF"/>
            <w:tcMar>
              <w:top w:w="0" w:type="dxa"/>
              <w:left w:w="85" w:type="dxa"/>
              <w:bottom w:w="0" w:type="dxa"/>
              <w:right w:w="85" w:type="dxa"/>
            </w:tcMar>
          </w:tcPr>
          <w:p w14:paraId="0DCF49DA" w14:textId="77777777" w:rsidR="00BC0FD7" w:rsidRPr="001D5327" w:rsidRDefault="00BC0FD7" w:rsidP="00D11AC9">
            <w:pPr>
              <w:pStyle w:val="TableText"/>
              <w:spacing w:before="40" w:after="40"/>
              <w:jc w:val="right"/>
            </w:pPr>
            <w:r w:rsidRPr="001D5327">
              <w:rPr>
                <w:rFonts w:eastAsia="Calibri"/>
                <w:color w:val="000000"/>
              </w:rPr>
              <w:t>5.4</w:t>
            </w:r>
          </w:p>
        </w:tc>
      </w:tr>
      <w:tr w:rsidR="00BC0FD7" w:rsidRPr="001D5327" w14:paraId="4B9EA346" w14:textId="77777777" w:rsidTr="00D11AC9">
        <w:tc>
          <w:tcPr>
            <w:tcW w:w="0" w:type="auto"/>
            <w:shd w:val="clear" w:color="auto" w:fill="FFFFFF"/>
            <w:tcMar>
              <w:top w:w="0" w:type="dxa"/>
              <w:left w:w="85" w:type="dxa"/>
              <w:bottom w:w="0" w:type="dxa"/>
              <w:right w:w="85" w:type="dxa"/>
            </w:tcMar>
          </w:tcPr>
          <w:p w14:paraId="0FCA9D2F" w14:textId="77777777" w:rsidR="00BC0FD7" w:rsidRPr="001D5327" w:rsidRDefault="00BC0FD7" w:rsidP="00D11AC9">
            <w:pPr>
              <w:pStyle w:val="TableText"/>
              <w:spacing w:before="40" w:after="40"/>
              <w:rPr>
                <w:b/>
              </w:rPr>
            </w:pPr>
            <w:r w:rsidRPr="001D5327">
              <w:rPr>
                <w:rFonts w:eastAsia="Calibri"/>
                <w:b/>
                <w:color w:val="1B556B"/>
              </w:rPr>
              <w:t>2015</w:t>
            </w:r>
          </w:p>
        </w:tc>
        <w:tc>
          <w:tcPr>
            <w:tcW w:w="0" w:type="auto"/>
            <w:shd w:val="clear" w:color="auto" w:fill="FFFFFF"/>
            <w:tcMar>
              <w:top w:w="0" w:type="dxa"/>
              <w:left w:w="85" w:type="dxa"/>
              <w:bottom w:w="0" w:type="dxa"/>
              <w:right w:w="85" w:type="dxa"/>
            </w:tcMar>
          </w:tcPr>
          <w:p w14:paraId="6AFCC9B8" w14:textId="77777777" w:rsidR="00BC0FD7" w:rsidRPr="001D5327" w:rsidRDefault="00BC0FD7" w:rsidP="00D11AC9">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7ED39A24"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16CD527D" w14:textId="77777777" w:rsidR="00BC0FD7" w:rsidRPr="001D5327" w:rsidRDefault="00BC0FD7" w:rsidP="00D11AC9">
            <w:pPr>
              <w:pStyle w:val="TableText"/>
              <w:spacing w:before="40" w:after="40"/>
              <w:jc w:val="right"/>
            </w:pPr>
            <w:r w:rsidRPr="001D5327">
              <w:rPr>
                <w:rFonts w:eastAsia="Calibri"/>
                <w:color w:val="000000"/>
              </w:rPr>
              <w:t>4.5</w:t>
            </w:r>
          </w:p>
        </w:tc>
        <w:tc>
          <w:tcPr>
            <w:tcW w:w="0" w:type="auto"/>
            <w:shd w:val="clear" w:color="auto" w:fill="FFFFFF"/>
            <w:tcMar>
              <w:top w:w="0" w:type="dxa"/>
              <w:left w:w="85" w:type="dxa"/>
              <w:bottom w:w="0" w:type="dxa"/>
              <w:right w:w="85" w:type="dxa"/>
            </w:tcMar>
          </w:tcPr>
          <w:p w14:paraId="5DE23F2E" w14:textId="77777777" w:rsidR="00BC0FD7" w:rsidRPr="001D5327" w:rsidRDefault="00BC0FD7" w:rsidP="00D11AC9">
            <w:pPr>
              <w:pStyle w:val="TableText"/>
              <w:spacing w:before="40" w:after="40"/>
              <w:jc w:val="right"/>
            </w:pPr>
            <w:r w:rsidRPr="001D5327">
              <w:rPr>
                <w:rFonts w:eastAsia="Calibri"/>
                <w:color w:val="000000"/>
              </w:rPr>
              <w:t>5.4</w:t>
            </w:r>
          </w:p>
        </w:tc>
      </w:tr>
      <w:tr w:rsidR="00BC0FD7" w:rsidRPr="001D5327" w14:paraId="4AB1A2A4" w14:textId="77777777" w:rsidTr="00D11AC9">
        <w:tc>
          <w:tcPr>
            <w:tcW w:w="0" w:type="auto"/>
            <w:shd w:val="clear" w:color="auto" w:fill="FFFFFF"/>
            <w:tcMar>
              <w:top w:w="0" w:type="dxa"/>
              <w:left w:w="85" w:type="dxa"/>
              <w:bottom w:w="0" w:type="dxa"/>
              <w:right w:w="85" w:type="dxa"/>
            </w:tcMar>
          </w:tcPr>
          <w:p w14:paraId="1FEA8CEC" w14:textId="77777777" w:rsidR="00BC0FD7" w:rsidRPr="001D5327" w:rsidRDefault="00BC0FD7" w:rsidP="00D11AC9">
            <w:pPr>
              <w:pStyle w:val="TableText"/>
              <w:spacing w:before="40" w:after="40"/>
              <w:rPr>
                <w:b/>
              </w:rPr>
            </w:pPr>
            <w:r w:rsidRPr="001D5327">
              <w:rPr>
                <w:rFonts w:eastAsia="Calibri"/>
                <w:b/>
                <w:color w:val="1B556B"/>
              </w:rPr>
              <w:t>2016</w:t>
            </w:r>
          </w:p>
        </w:tc>
        <w:tc>
          <w:tcPr>
            <w:tcW w:w="0" w:type="auto"/>
            <w:shd w:val="clear" w:color="auto" w:fill="FFFFFF"/>
            <w:tcMar>
              <w:top w:w="0" w:type="dxa"/>
              <w:left w:w="85" w:type="dxa"/>
              <w:bottom w:w="0" w:type="dxa"/>
              <w:right w:w="85" w:type="dxa"/>
            </w:tcMar>
          </w:tcPr>
          <w:p w14:paraId="042D0112" w14:textId="77777777" w:rsidR="00BC0FD7" w:rsidRPr="001D5327" w:rsidRDefault="00BC0FD7" w:rsidP="00D11AC9">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4D8EC004"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7869474B" w14:textId="77777777" w:rsidR="00BC0FD7" w:rsidRPr="001D5327" w:rsidRDefault="00BC0FD7" w:rsidP="00D11AC9">
            <w:pPr>
              <w:pStyle w:val="TableText"/>
              <w:spacing w:before="40" w:after="40"/>
              <w:jc w:val="right"/>
            </w:pPr>
            <w:r w:rsidRPr="001D5327">
              <w:rPr>
                <w:rFonts w:eastAsia="Calibri"/>
                <w:color w:val="000000"/>
              </w:rPr>
              <w:t>4.5</w:t>
            </w:r>
          </w:p>
        </w:tc>
        <w:tc>
          <w:tcPr>
            <w:tcW w:w="0" w:type="auto"/>
            <w:shd w:val="clear" w:color="auto" w:fill="FFFFFF"/>
            <w:tcMar>
              <w:top w:w="0" w:type="dxa"/>
              <w:left w:w="85" w:type="dxa"/>
              <w:bottom w:w="0" w:type="dxa"/>
              <w:right w:w="85" w:type="dxa"/>
            </w:tcMar>
          </w:tcPr>
          <w:p w14:paraId="79E11362" w14:textId="77777777" w:rsidR="00BC0FD7" w:rsidRPr="001D5327" w:rsidRDefault="00BC0FD7" w:rsidP="00D11AC9">
            <w:pPr>
              <w:pStyle w:val="TableText"/>
              <w:spacing w:before="40" w:after="40"/>
              <w:jc w:val="right"/>
            </w:pPr>
            <w:r w:rsidRPr="001D5327">
              <w:rPr>
                <w:rFonts w:eastAsia="Calibri"/>
                <w:color w:val="000000"/>
              </w:rPr>
              <w:t>5.4</w:t>
            </w:r>
          </w:p>
        </w:tc>
      </w:tr>
      <w:tr w:rsidR="00BC0FD7" w:rsidRPr="001D5327" w14:paraId="01F2BD6B" w14:textId="77777777" w:rsidTr="00D11AC9">
        <w:tc>
          <w:tcPr>
            <w:tcW w:w="0" w:type="auto"/>
            <w:shd w:val="clear" w:color="auto" w:fill="FFFFFF"/>
            <w:tcMar>
              <w:top w:w="0" w:type="dxa"/>
              <w:left w:w="85" w:type="dxa"/>
              <w:bottom w:w="0" w:type="dxa"/>
              <w:right w:w="85" w:type="dxa"/>
            </w:tcMar>
          </w:tcPr>
          <w:p w14:paraId="1BB95A27" w14:textId="77777777" w:rsidR="00BC0FD7" w:rsidRPr="001D5327" w:rsidRDefault="00BC0FD7" w:rsidP="00D11AC9">
            <w:pPr>
              <w:pStyle w:val="TableText"/>
              <w:spacing w:before="40" w:after="40"/>
              <w:rPr>
                <w:b/>
              </w:rPr>
            </w:pPr>
            <w:r w:rsidRPr="001D5327">
              <w:rPr>
                <w:rFonts w:eastAsia="Calibri"/>
                <w:b/>
                <w:color w:val="1B556B"/>
              </w:rPr>
              <w:t>2017</w:t>
            </w:r>
          </w:p>
        </w:tc>
        <w:tc>
          <w:tcPr>
            <w:tcW w:w="0" w:type="auto"/>
            <w:shd w:val="clear" w:color="auto" w:fill="FFFFFF"/>
            <w:tcMar>
              <w:top w:w="0" w:type="dxa"/>
              <w:left w:w="85" w:type="dxa"/>
              <w:bottom w:w="0" w:type="dxa"/>
              <w:right w:w="85" w:type="dxa"/>
            </w:tcMar>
          </w:tcPr>
          <w:p w14:paraId="30C44536" w14:textId="77777777" w:rsidR="00BC0FD7" w:rsidRPr="001D5327" w:rsidRDefault="00BC0FD7" w:rsidP="00D11AC9">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74A0078C"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3A4E8B62" w14:textId="77777777" w:rsidR="00BC0FD7" w:rsidRPr="001D5327" w:rsidRDefault="00BC0FD7" w:rsidP="00D11AC9">
            <w:pPr>
              <w:pStyle w:val="TableText"/>
              <w:spacing w:before="40" w:after="40"/>
              <w:jc w:val="right"/>
            </w:pPr>
            <w:r w:rsidRPr="001D5327">
              <w:rPr>
                <w:rFonts w:eastAsia="Calibri"/>
                <w:color w:val="000000"/>
              </w:rPr>
              <w:t>4.5</w:t>
            </w:r>
          </w:p>
        </w:tc>
        <w:tc>
          <w:tcPr>
            <w:tcW w:w="0" w:type="auto"/>
            <w:shd w:val="clear" w:color="auto" w:fill="FFFFFF"/>
            <w:tcMar>
              <w:top w:w="0" w:type="dxa"/>
              <w:left w:w="85" w:type="dxa"/>
              <w:bottom w:w="0" w:type="dxa"/>
              <w:right w:w="85" w:type="dxa"/>
            </w:tcMar>
          </w:tcPr>
          <w:p w14:paraId="7245FC73" w14:textId="77777777" w:rsidR="00BC0FD7" w:rsidRPr="001D5327" w:rsidRDefault="00BC0FD7" w:rsidP="00D11AC9">
            <w:pPr>
              <w:pStyle w:val="TableText"/>
              <w:spacing w:before="40" w:after="40"/>
              <w:jc w:val="right"/>
            </w:pPr>
            <w:r w:rsidRPr="001D5327">
              <w:rPr>
                <w:rFonts w:eastAsia="Calibri"/>
                <w:color w:val="000000"/>
              </w:rPr>
              <w:t>5.4</w:t>
            </w:r>
          </w:p>
        </w:tc>
      </w:tr>
      <w:tr w:rsidR="00BC0FD7" w:rsidRPr="001D5327" w14:paraId="434E5E0B" w14:textId="77777777" w:rsidTr="00D11AC9">
        <w:tc>
          <w:tcPr>
            <w:tcW w:w="0" w:type="auto"/>
            <w:shd w:val="clear" w:color="auto" w:fill="FFFFFF"/>
            <w:tcMar>
              <w:top w:w="0" w:type="dxa"/>
              <w:left w:w="85" w:type="dxa"/>
              <w:bottom w:w="0" w:type="dxa"/>
              <w:right w:w="85" w:type="dxa"/>
            </w:tcMar>
          </w:tcPr>
          <w:p w14:paraId="58596C3D" w14:textId="77777777" w:rsidR="00BC0FD7" w:rsidRPr="001D5327" w:rsidRDefault="00BC0FD7" w:rsidP="00D11AC9">
            <w:pPr>
              <w:pStyle w:val="TableText"/>
              <w:spacing w:before="40" w:after="40"/>
              <w:rPr>
                <w:b/>
              </w:rPr>
            </w:pPr>
            <w:r w:rsidRPr="001D5327">
              <w:rPr>
                <w:rFonts w:eastAsia="Calibri"/>
                <w:b/>
                <w:color w:val="1B556B"/>
              </w:rPr>
              <w:t>2018</w:t>
            </w:r>
          </w:p>
        </w:tc>
        <w:tc>
          <w:tcPr>
            <w:tcW w:w="0" w:type="auto"/>
            <w:shd w:val="clear" w:color="auto" w:fill="FFFFFF"/>
            <w:tcMar>
              <w:top w:w="0" w:type="dxa"/>
              <w:left w:w="85" w:type="dxa"/>
              <w:bottom w:w="0" w:type="dxa"/>
              <w:right w:w="85" w:type="dxa"/>
            </w:tcMar>
          </w:tcPr>
          <w:p w14:paraId="799A4D1B" w14:textId="77777777" w:rsidR="00BC0FD7" w:rsidRPr="001D5327" w:rsidRDefault="00BC0FD7" w:rsidP="00D11AC9">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2F8CF9B3"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4E54094A" w14:textId="77777777" w:rsidR="00BC0FD7" w:rsidRPr="001D5327" w:rsidRDefault="00BC0FD7" w:rsidP="00D11AC9">
            <w:pPr>
              <w:pStyle w:val="TableText"/>
              <w:spacing w:before="40" w:after="40"/>
              <w:jc w:val="right"/>
            </w:pPr>
            <w:r w:rsidRPr="001D5327">
              <w:rPr>
                <w:rFonts w:eastAsia="Calibri"/>
                <w:color w:val="000000"/>
              </w:rPr>
              <w:t>4.5</w:t>
            </w:r>
          </w:p>
        </w:tc>
        <w:tc>
          <w:tcPr>
            <w:tcW w:w="0" w:type="auto"/>
            <w:shd w:val="clear" w:color="auto" w:fill="FFFFFF"/>
            <w:tcMar>
              <w:top w:w="0" w:type="dxa"/>
              <w:left w:w="85" w:type="dxa"/>
              <w:bottom w:w="0" w:type="dxa"/>
              <w:right w:w="85" w:type="dxa"/>
            </w:tcMar>
          </w:tcPr>
          <w:p w14:paraId="08F53DBE" w14:textId="77777777" w:rsidR="00BC0FD7" w:rsidRPr="001D5327" w:rsidRDefault="00BC0FD7" w:rsidP="00D11AC9">
            <w:pPr>
              <w:pStyle w:val="TableText"/>
              <w:spacing w:before="40" w:after="40"/>
              <w:jc w:val="right"/>
            </w:pPr>
            <w:r w:rsidRPr="001D5327">
              <w:rPr>
                <w:rFonts w:eastAsia="Calibri"/>
                <w:color w:val="000000"/>
              </w:rPr>
              <w:t>5.4</w:t>
            </w:r>
          </w:p>
        </w:tc>
      </w:tr>
      <w:tr w:rsidR="00BC0FD7" w:rsidRPr="001D5327" w14:paraId="1EAEF35B" w14:textId="77777777" w:rsidTr="00D11AC9">
        <w:tc>
          <w:tcPr>
            <w:tcW w:w="0" w:type="auto"/>
            <w:shd w:val="clear" w:color="auto" w:fill="FFFFFF"/>
            <w:tcMar>
              <w:top w:w="0" w:type="dxa"/>
              <w:left w:w="85" w:type="dxa"/>
              <w:bottom w:w="0" w:type="dxa"/>
              <w:right w:w="85" w:type="dxa"/>
            </w:tcMar>
          </w:tcPr>
          <w:p w14:paraId="307A926E" w14:textId="77777777" w:rsidR="00BC0FD7" w:rsidRPr="001D5327" w:rsidRDefault="00BC0FD7" w:rsidP="00D11AC9">
            <w:pPr>
              <w:pStyle w:val="TableText"/>
              <w:spacing w:before="40" w:after="40"/>
              <w:rPr>
                <w:b/>
              </w:rPr>
            </w:pPr>
            <w:r w:rsidRPr="001D5327">
              <w:rPr>
                <w:rFonts w:eastAsia="Calibri"/>
                <w:b/>
                <w:color w:val="1B556B"/>
              </w:rPr>
              <w:t>2019</w:t>
            </w:r>
          </w:p>
        </w:tc>
        <w:tc>
          <w:tcPr>
            <w:tcW w:w="0" w:type="auto"/>
            <w:shd w:val="clear" w:color="auto" w:fill="FFFFFF"/>
            <w:tcMar>
              <w:top w:w="0" w:type="dxa"/>
              <w:left w:w="85" w:type="dxa"/>
              <w:bottom w:w="0" w:type="dxa"/>
              <w:right w:w="85" w:type="dxa"/>
            </w:tcMar>
          </w:tcPr>
          <w:p w14:paraId="695055E8" w14:textId="77777777" w:rsidR="00BC0FD7" w:rsidRPr="001D5327" w:rsidRDefault="00BC0FD7" w:rsidP="00D11AC9">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49FC9E37"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7B4E8443" w14:textId="77777777" w:rsidR="00BC0FD7" w:rsidRPr="001D5327" w:rsidRDefault="00BC0FD7" w:rsidP="00D11AC9">
            <w:pPr>
              <w:pStyle w:val="TableText"/>
              <w:spacing w:before="40" w:after="40"/>
              <w:jc w:val="right"/>
            </w:pPr>
            <w:r w:rsidRPr="001D5327">
              <w:rPr>
                <w:rFonts w:eastAsia="Calibri"/>
                <w:color w:val="000000"/>
              </w:rPr>
              <w:t>4.5</w:t>
            </w:r>
          </w:p>
        </w:tc>
        <w:tc>
          <w:tcPr>
            <w:tcW w:w="0" w:type="auto"/>
            <w:shd w:val="clear" w:color="auto" w:fill="FFFFFF"/>
            <w:tcMar>
              <w:top w:w="0" w:type="dxa"/>
              <w:left w:w="85" w:type="dxa"/>
              <w:bottom w:w="0" w:type="dxa"/>
              <w:right w:w="85" w:type="dxa"/>
            </w:tcMar>
          </w:tcPr>
          <w:p w14:paraId="0E34E7D8" w14:textId="77777777" w:rsidR="00BC0FD7" w:rsidRPr="001D5327" w:rsidRDefault="00BC0FD7" w:rsidP="00D11AC9">
            <w:pPr>
              <w:pStyle w:val="TableText"/>
              <w:spacing w:before="40" w:after="40"/>
              <w:jc w:val="right"/>
            </w:pPr>
            <w:r w:rsidRPr="001D5327">
              <w:rPr>
                <w:rFonts w:eastAsia="Calibri"/>
                <w:color w:val="000000"/>
              </w:rPr>
              <w:t>5.4</w:t>
            </w:r>
          </w:p>
        </w:tc>
      </w:tr>
      <w:tr w:rsidR="00BC0FD7" w:rsidRPr="001D5327" w14:paraId="0FC8481C" w14:textId="77777777" w:rsidTr="00D11AC9">
        <w:tc>
          <w:tcPr>
            <w:tcW w:w="0" w:type="auto"/>
            <w:shd w:val="clear" w:color="auto" w:fill="FFFFFF"/>
            <w:tcMar>
              <w:top w:w="0" w:type="dxa"/>
              <w:left w:w="85" w:type="dxa"/>
              <w:bottom w:w="0" w:type="dxa"/>
              <w:right w:w="85" w:type="dxa"/>
            </w:tcMar>
          </w:tcPr>
          <w:p w14:paraId="38BAB224" w14:textId="77777777" w:rsidR="00BC0FD7" w:rsidRPr="001D5327" w:rsidRDefault="00BC0FD7" w:rsidP="00D11AC9">
            <w:pPr>
              <w:pStyle w:val="TableText"/>
              <w:spacing w:before="40" w:after="40"/>
              <w:rPr>
                <w:b/>
              </w:rPr>
            </w:pPr>
            <w:r w:rsidRPr="001D5327">
              <w:rPr>
                <w:rFonts w:eastAsia="Calibri"/>
                <w:b/>
                <w:color w:val="1B556B"/>
              </w:rPr>
              <w:t>2020</w:t>
            </w:r>
          </w:p>
        </w:tc>
        <w:tc>
          <w:tcPr>
            <w:tcW w:w="0" w:type="auto"/>
            <w:shd w:val="clear" w:color="auto" w:fill="FFFFFF"/>
            <w:tcMar>
              <w:top w:w="0" w:type="dxa"/>
              <w:left w:w="85" w:type="dxa"/>
              <w:bottom w:w="0" w:type="dxa"/>
              <w:right w:w="85" w:type="dxa"/>
            </w:tcMar>
          </w:tcPr>
          <w:p w14:paraId="6D50DEE0" w14:textId="77777777" w:rsidR="00BC0FD7" w:rsidRPr="001D5327" w:rsidRDefault="00BC0FD7" w:rsidP="00D11AC9">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5283225F"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0BCA7F0A" w14:textId="77777777" w:rsidR="00BC0FD7" w:rsidRPr="001D5327" w:rsidRDefault="00BC0FD7" w:rsidP="00D11AC9">
            <w:pPr>
              <w:pStyle w:val="TableText"/>
              <w:spacing w:before="40" w:after="40"/>
              <w:jc w:val="right"/>
            </w:pPr>
            <w:r w:rsidRPr="001D5327">
              <w:rPr>
                <w:rFonts w:eastAsia="Calibri"/>
                <w:color w:val="000000"/>
              </w:rPr>
              <w:t>4.5</w:t>
            </w:r>
          </w:p>
        </w:tc>
        <w:tc>
          <w:tcPr>
            <w:tcW w:w="0" w:type="auto"/>
            <w:shd w:val="clear" w:color="auto" w:fill="FFFFFF"/>
            <w:tcMar>
              <w:top w:w="0" w:type="dxa"/>
              <w:left w:w="85" w:type="dxa"/>
              <w:bottom w:w="0" w:type="dxa"/>
              <w:right w:w="85" w:type="dxa"/>
            </w:tcMar>
          </w:tcPr>
          <w:p w14:paraId="72786504" w14:textId="77777777" w:rsidR="00BC0FD7" w:rsidRPr="001D5327" w:rsidRDefault="00BC0FD7" w:rsidP="00D11AC9">
            <w:pPr>
              <w:pStyle w:val="TableText"/>
              <w:spacing w:before="40" w:after="40"/>
              <w:jc w:val="right"/>
            </w:pPr>
            <w:r w:rsidRPr="001D5327">
              <w:rPr>
                <w:rFonts w:eastAsia="Calibri"/>
                <w:color w:val="000000"/>
              </w:rPr>
              <w:t>5.4</w:t>
            </w:r>
          </w:p>
        </w:tc>
      </w:tr>
      <w:tr w:rsidR="00BC0FD7" w:rsidRPr="001D5327" w14:paraId="7A3DFA32" w14:textId="77777777" w:rsidTr="00D11AC9">
        <w:tc>
          <w:tcPr>
            <w:tcW w:w="0" w:type="auto"/>
            <w:shd w:val="clear" w:color="auto" w:fill="FFFFFF"/>
            <w:tcMar>
              <w:top w:w="0" w:type="dxa"/>
              <w:left w:w="85" w:type="dxa"/>
              <w:bottom w:w="0" w:type="dxa"/>
              <w:right w:w="85" w:type="dxa"/>
            </w:tcMar>
          </w:tcPr>
          <w:p w14:paraId="1183252E" w14:textId="77777777" w:rsidR="00BC0FD7" w:rsidRPr="001D5327" w:rsidRDefault="00BC0FD7" w:rsidP="00D11AC9">
            <w:pPr>
              <w:pStyle w:val="TableText"/>
              <w:spacing w:before="40" w:after="40"/>
              <w:rPr>
                <w:b/>
              </w:rPr>
            </w:pPr>
            <w:r w:rsidRPr="001D5327">
              <w:rPr>
                <w:rFonts w:eastAsia="Calibri"/>
                <w:b/>
                <w:color w:val="1B556B"/>
              </w:rPr>
              <w:t>2021</w:t>
            </w:r>
          </w:p>
        </w:tc>
        <w:tc>
          <w:tcPr>
            <w:tcW w:w="0" w:type="auto"/>
            <w:shd w:val="clear" w:color="auto" w:fill="FFFFFF"/>
            <w:tcMar>
              <w:top w:w="0" w:type="dxa"/>
              <w:left w:w="85" w:type="dxa"/>
              <w:bottom w:w="0" w:type="dxa"/>
              <w:right w:w="85" w:type="dxa"/>
            </w:tcMar>
          </w:tcPr>
          <w:p w14:paraId="6F36025E" w14:textId="77777777" w:rsidR="00BC0FD7" w:rsidRPr="001D5327" w:rsidRDefault="00BC0FD7" w:rsidP="00D11AC9">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0605B3E2"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23D28F97" w14:textId="77777777" w:rsidR="00BC0FD7" w:rsidRPr="001D5327" w:rsidRDefault="00BC0FD7" w:rsidP="00D11AC9">
            <w:pPr>
              <w:pStyle w:val="TableText"/>
              <w:spacing w:before="40" w:after="40"/>
              <w:jc w:val="right"/>
            </w:pPr>
            <w:r w:rsidRPr="001D5327">
              <w:rPr>
                <w:rFonts w:eastAsia="Calibri"/>
                <w:color w:val="000000"/>
              </w:rPr>
              <w:t>4.5</w:t>
            </w:r>
          </w:p>
        </w:tc>
        <w:tc>
          <w:tcPr>
            <w:tcW w:w="0" w:type="auto"/>
            <w:shd w:val="clear" w:color="auto" w:fill="FFFFFF"/>
            <w:tcMar>
              <w:top w:w="0" w:type="dxa"/>
              <w:left w:w="85" w:type="dxa"/>
              <w:bottom w:w="0" w:type="dxa"/>
              <w:right w:w="85" w:type="dxa"/>
            </w:tcMar>
          </w:tcPr>
          <w:p w14:paraId="5FDB46F4" w14:textId="77777777" w:rsidR="00BC0FD7" w:rsidRPr="001D5327" w:rsidRDefault="00BC0FD7" w:rsidP="00D11AC9">
            <w:pPr>
              <w:pStyle w:val="TableText"/>
              <w:spacing w:before="40" w:after="40"/>
              <w:jc w:val="right"/>
            </w:pPr>
            <w:r w:rsidRPr="001D5327">
              <w:rPr>
                <w:rFonts w:eastAsia="Calibri"/>
                <w:color w:val="000000"/>
              </w:rPr>
              <w:t>5.4</w:t>
            </w:r>
          </w:p>
        </w:tc>
      </w:tr>
      <w:tr w:rsidR="00BC0FD7" w:rsidRPr="001D5327" w14:paraId="3221E1C4" w14:textId="77777777" w:rsidTr="00D11AC9">
        <w:tc>
          <w:tcPr>
            <w:tcW w:w="0" w:type="auto"/>
            <w:shd w:val="clear" w:color="auto" w:fill="FFFFFF"/>
            <w:tcMar>
              <w:top w:w="0" w:type="dxa"/>
              <w:left w:w="85" w:type="dxa"/>
              <w:bottom w:w="0" w:type="dxa"/>
              <w:right w:w="85" w:type="dxa"/>
            </w:tcMar>
          </w:tcPr>
          <w:p w14:paraId="36B43E29" w14:textId="77777777" w:rsidR="00BC0FD7" w:rsidRPr="001D5327" w:rsidRDefault="00BC0FD7" w:rsidP="00D11AC9">
            <w:pPr>
              <w:pStyle w:val="TableText"/>
              <w:spacing w:before="40" w:after="40"/>
              <w:rPr>
                <w:b/>
              </w:rPr>
            </w:pPr>
            <w:r w:rsidRPr="001D5327">
              <w:rPr>
                <w:rFonts w:eastAsia="Calibri"/>
                <w:b/>
                <w:color w:val="1B556B"/>
              </w:rPr>
              <w:t>2022</w:t>
            </w:r>
          </w:p>
        </w:tc>
        <w:tc>
          <w:tcPr>
            <w:tcW w:w="0" w:type="auto"/>
            <w:shd w:val="clear" w:color="auto" w:fill="FFFFFF"/>
            <w:tcMar>
              <w:top w:w="0" w:type="dxa"/>
              <w:left w:w="85" w:type="dxa"/>
              <w:bottom w:w="0" w:type="dxa"/>
              <w:right w:w="85" w:type="dxa"/>
            </w:tcMar>
          </w:tcPr>
          <w:p w14:paraId="3BC1773F" w14:textId="77777777" w:rsidR="00BC0FD7" w:rsidRPr="001D5327" w:rsidRDefault="00BC0FD7" w:rsidP="00D11AC9">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08088940"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4A861C2A" w14:textId="77777777" w:rsidR="00BC0FD7" w:rsidRPr="001D5327" w:rsidRDefault="00BC0FD7" w:rsidP="00D11AC9">
            <w:pPr>
              <w:pStyle w:val="TableText"/>
              <w:spacing w:before="40" w:after="40"/>
              <w:jc w:val="right"/>
            </w:pPr>
            <w:r w:rsidRPr="001D5327">
              <w:rPr>
                <w:rFonts w:eastAsia="Calibri"/>
                <w:color w:val="000000"/>
              </w:rPr>
              <w:t>4.5</w:t>
            </w:r>
          </w:p>
        </w:tc>
        <w:tc>
          <w:tcPr>
            <w:tcW w:w="0" w:type="auto"/>
            <w:shd w:val="clear" w:color="auto" w:fill="FFFFFF"/>
            <w:tcMar>
              <w:top w:w="0" w:type="dxa"/>
              <w:left w:w="85" w:type="dxa"/>
              <w:bottom w:w="0" w:type="dxa"/>
              <w:right w:w="85" w:type="dxa"/>
            </w:tcMar>
          </w:tcPr>
          <w:p w14:paraId="15F34EC7" w14:textId="77777777" w:rsidR="00BC0FD7" w:rsidRPr="001D5327" w:rsidRDefault="00BC0FD7" w:rsidP="00D11AC9">
            <w:pPr>
              <w:pStyle w:val="TableText"/>
              <w:spacing w:before="40" w:after="40"/>
              <w:jc w:val="right"/>
            </w:pPr>
            <w:r w:rsidRPr="001D5327">
              <w:rPr>
                <w:rFonts w:eastAsia="Calibri"/>
                <w:color w:val="000000"/>
              </w:rPr>
              <w:t>5.4</w:t>
            </w:r>
          </w:p>
        </w:tc>
      </w:tr>
      <w:tr w:rsidR="00BC0FD7" w:rsidRPr="001D5327" w14:paraId="33869AD7" w14:textId="77777777" w:rsidTr="00D11AC9">
        <w:tc>
          <w:tcPr>
            <w:tcW w:w="0" w:type="auto"/>
            <w:shd w:val="clear" w:color="auto" w:fill="FFFFFF"/>
            <w:tcMar>
              <w:top w:w="0" w:type="dxa"/>
              <w:left w:w="85" w:type="dxa"/>
              <w:bottom w:w="0" w:type="dxa"/>
              <w:right w:w="85" w:type="dxa"/>
            </w:tcMar>
          </w:tcPr>
          <w:p w14:paraId="58DEDBE4" w14:textId="77777777" w:rsidR="00BC0FD7" w:rsidRPr="001D5327" w:rsidRDefault="00BC0FD7" w:rsidP="00D11AC9">
            <w:pPr>
              <w:pStyle w:val="TableText"/>
              <w:spacing w:before="40" w:after="40"/>
              <w:rPr>
                <w:b/>
              </w:rPr>
            </w:pPr>
            <w:r w:rsidRPr="001D5327">
              <w:rPr>
                <w:rFonts w:eastAsia="Calibri"/>
                <w:b/>
                <w:color w:val="1B556B"/>
              </w:rPr>
              <w:t>2023</w:t>
            </w:r>
          </w:p>
        </w:tc>
        <w:tc>
          <w:tcPr>
            <w:tcW w:w="0" w:type="auto"/>
            <w:shd w:val="clear" w:color="auto" w:fill="FFFFFF"/>
            <w:tcMar>
              <w:top w:w="0" w:type="dxa"/>
              <w:left w:w="85" w:type="dxa"/>
              <w:bottom w:w="0" w:type="dxa"/>
              <w:right w:w="85" w:type="dxa"/>
            </w:tcMar>
          </w:tcPr>
          <w:p w14:paraId="78A6A2CD" w14:textId="77777777" w:rsidR="00BC0FD7" w:rsidRPr="001D5327" w:rsidRDefault="00BC0FD7" w:rsidP="00D11AC9">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2BC07EAC" w14:textId="77777777" w:rsidR="00BC0FD7" w:rsidRPr="001D5327" w:rsidRDefault="00BC0FD7" w:rsidP="00D11AC9">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12C84B0D" w14:textId="77777777" w:rsidR="00BC0FD7" w:rsidRPr="001D5327" w:rsidRDefault="00BC0FD7" w:rsidP="00D11AC9">
            <w:pPr>
              <w:pStyle w:val="TableText"/>
              <w:spacing w:before="40" w:after="40"/>
              <w:jc w:val="right"/>
            </w:pPr>
            <w:r w:rsidRPr="001D5327">
              <w:rPr>
                <w:rFonts w:eastAsia="Calibri"/>
                <w:color w:val="000000"/>
              </w:rPr>
              <w:t>4.5</w:t>
            </w:r>
          </w:p>
        </w:tc>
        <w:tc>
          <w:tcPr>
            <w:tcW w:w="0" w:type="auto"/>
            <w:shd w:val="clear" w:color="auto" w:fill="FFFFFF"/>
            <w:tcMar>
              <w:top w:w="0" w:type="dxa"/>
              <w:left w:w="85" w:type="dxa"/>
              <w:bottom w:w="0" w:type="dxa"/>
              <w:right w:w="85" w:type="dxa"/>
            </w:tcMar>
          </w:tcPr>
          <w:p w14:paraId="28F3FEE7" w14:textId="77777777" w:rsidR="00BC0FD7" w:rsidRPr="001D5327" w:rsidRDefault="00BC0FD7" w:rsidP="00D11AC9">
            <w:pPr>
              <w:pStyle w:val="TableText"/>
              <w:spacing w:before="40" w:after="40"/>
              <w:jc w:val="right"/>
            </w:pPr>
            <w:r w:rsidRPr="001D5327">
              <w:rPr>
                <w:rFonts w:eastAsia="Calibri"/>
                <w:color w:val="000000"/>
              </w:rPr>
              <w:t>5.4</w:t>
            </w:r>
          </w:p>
        </w:tc>
      </w:tr>
    </w:tbl>
    <w:p w14:paraId="4DEF096A" w14:textId="77777777" w:rsidR="00BC0FD7" w:rsidRPr="001D5327" w:rsidRDefault="00BC0FD7" w:rsidP="00BC0FD7">
      <w:pPr>
        <w:pStyle w:val="Noteundertable"/>
      </w:pPr>
      <w:r w:rsidRPr="001D5327">
        <w:rPr>
          <w:b/>
          <w:bCs/>
        </w:rPr>
        <w:t>Note:</w:t>
      </w:r>
      <w:r w:rsidRPr="001D5327">
        <w:t xml:space="preserve"> Columns may not total due to rounding.</w:t>
      </w:r>
    </w:p>
    <w:p w14:paraId="66490325" w14:textId="77777777" w:rsidR="00BC0FD7" w:rsidRPr="001D5327" w:rsidRDefault="00BC0FD7" w:rsidP="00BC0FD7">
      <w:pPr>
        <w:pStyle w:val="Heading5"/>
      </w:pPr>
      <w:bookmarkStart w:id="2853" w:name="open-burning-of-waste-5.c.2"/>
      <w:bookmarkEnd w:id="2851"/>
      <w:r w:rsidRPr="001D5327">
        <w:t>Open burning of waste (5.C.2)</w:t>
      </w:r>
    </w:p>
    <w:p w14:paraId="1A0A81E7" w14:textId="77777777" w:rsidR="00BC0FD7" w:rsidRPr="001D5327" w:rsidRDefault="00BC0FD7" w:rsidP="00BC0FD7">
      <w:pPr>
        <w:pStyle w:val="BodyText"/>
      </w:pPr>
      <w:r w:rsidRPr="001D5327">
        <w:t>Little information is available on the quantities of farm wastes burned. A change introduced in the 2021 submission is that the methods of disposal of farm waste are evenly split between disposal to land in farm fills and disposal by open burning, at 47 per cent farm fills, 47 per cent open burning and 6 per cent other.</w:t>
      </w:r>
    </w:p>
    <w:p w14:paraId="20263E22" w14:textId="77777777" w:rsidR="00BC0FD7" w:rsidRPr="001D5327" w:rsidRDefault="00BC0FD7" w:rsidP="00BC0FD7">
      <w:pPr>
        <w:pStyle w:val="BodyText"/>
      </w:pPr>
      <w:r w:rsidRPr="001D5327">
        <w:t>Refer to section 7.2.2 for a discussion on farm waste landfilling and open burning. In summary, because open burning is a significant and common practice (GHD, 2013, 2014) it is being considered to be equal in volume to disposal to land. The amount of waste disposed to farm fills reported in table 7.2.4 is additional and equal to the amount that is disposed by open burning.</w:t>
      </w:r>
    </w:p>
    <w:bookmarkEnd w:id="2853"/>
    <w:p w14:paraId="762A4F34" w14:textId="77777777" w:rsidR="00BC0FD7" w:rsidRPr="001D5327" w:rsidRDefault="00BC0FD7" w:rsidP="00BC0FD7">
      <w:pPr>
        <w:pStyle w:val="Heading4"/>
      </w:pPr>
      <w:r w:rsidRPr="001D5327">
        <w:t>Choice of methods</w:t>
      </w:r>
    </w:p>
    <w:p w14:paraId="502D6837" w14:textId="757E6780" w:rsidR="00BC0FD7" w:rsidRPr="001D5327" w:rsidRDefault="007C405A" w:rsidP="00BC0FD7">
      <w:pPr>
        <w:pStyle w:val="Heading5"/>
      </w:pPr>
      <w:bookmarkStart w:id="2854" w:name="incineration-5.c.1-1"/>
      <w:r>
        <w:t>Waste i</w:t>
      </w:r>
      <w:r w:rsidR="00BC0FD7" w:rsidRPr="001D5327">
        <w:t>ncineration (5.C.1)</w:t>
      </w:r>
    </w:p>
    <w:p w14:paraId="7903D63A" w14:textId="77777777" w:rsidR="00BC0FD7" w:rsidRPr="001D5327" w:rsidRDefault="00BC0FD7" w:rsidP="00BC0FD7">
      <w:pPr>
        <w:pStyle w:val="BodyText"/>
      </w:pPr>
      <w:r w:rsidRPr="001D5327">
        <w:t>Estimates of direct emissions from the incineration of waste are made using the default Tier 1 methodology (IPCC, 2006a). The data used were collected and collated in 2007, and the sources used included information previously collected for purposes of air quality regulation and consent data from regional councils and site operators (SKM, unpublished(a)).</w:t>
      </w:r>
    </w:p>
    <w:p w14:paraId="233E5D84" w14:textId="77777777" w:rsidR="00BC0FD7" w:rsidRPr="001D5327" w:rsidRDefault="00BC0FD7" w:rsidP="00BC0FD7">
      <w:pPr>
        <w:pStyle w:val="Heading5"/>
      </w:pPr>
      <w:bookmarkStart w:id="2855" w:name="open-burning-of-waste-5.c.2-1"/>
      <w:bookmarkEnd w:id="2854"/>
      <w:r w:rsidRPr="001D5327">
        <w:t>Open burning of waste (5.C.2)</w:t>
      </w:r>
    </w:p>
    <w:p w14:paraId="2A9660E7" w14:textId="77777777" w:rsidR="00BC0FD7" w:rsidRPr="001D5327" w:rsidRDefault="00BC0FD7" w:rsidP="00BC0FD7">
      <w:pPr>
        <w:pStyle w:val="BodyText"/>
      </w:pPr>
      <w:r w:rsidRPr="001D5327">
        <w:t>Estimates of direct emissions from the open burning of rural waste are made using the default Tier 1 methodology (IPCC, 2006a). Farm waste comprises a mix of household and other wastes, which have a composition and diversity similar to general municipal solid waste (Tonkin and Taylor Ltd, unpublished(b)). Therefore, emissions from CH</w:t>
      </w:r>
      <w:r w:rsidRPr="001D5327">
        <w:rPr>
          <w:vertAlign w:val="subscript"/>
        </w:rPr>
        <w:t>4</w:t>
      </w:r>
      <w:r w:rsidRPr="001D5327">
        <w:t xml:space="preserve"> and N</w:t>
      </w:r>
      <w:r w:rsidRPr="001D5327">
        <w:rPr>
          <w:vertAlign w:val="subscript"/>
        </w:rPr>
        <w:t>2</w:t>
      </w:r>
      <w:r w:rsidRPr="001D5327">
        <w:t>O were estimated using default emission factors for bulk municipal solid waste.</w:t>
      </w:r>
    </w:p>
    <w:p w14:paraId="6610507D" w14:textId="77777777" w:rsidR="00BC0FD7" w:rsidRPr="001D5327" w:rsidRDefault="00BC0FD7" w:rsidP="00BC0FD7">
      <w:pPr>
        <w:pStyle w:val="BodyText"/>
      </w:pPr>
      <w:r w:rsidRPr="001D5327">
        <w:t>Emissions of CO</w:t>
      </w:r>
      <w:r w:rsidRPr="001D5327">
        <w:rPr>
          <w:vertAlign w:val="subscript"/>
        </w:rPr>
        <w:t>2</w:t>
      </w:r>
      <w:r w:rsidRPr="001D5327">
        <w:t xml:space="preserve"> were calculated using the same composition of farm waste as is landfilled, for consistency. Table 7.4.3 shows the parameters that determine dry-matter content, total carbon content and fossil carbon content (IPCC defaults), which are then weighted against composition.</w:t>
      </w:r>
    </w:p>
    <w:p w14:paraId="1AECABB2" w14:textId="77777777" w:rsidR="00BC0FD7" w:rsidRPr="001D5327" w:rsidRDefault="00BC0FD7" w:rsidP="00BC0FD7">
      <w:pPr>
        <w:pStyle w:val="Table"/>
      </w:pPr>
      <w:bookmarkStart w:id="2856" w:name="_Toc194241812"/>
      <w:r w:rsidRPr="001D5327">
        <w:lastRenderedPageBreak/>
        <w:t xml:space="preserve">Table 7.4.3 </w:t>
      </w:r>
      <w:r w:rsidRPr="001D5327">
        <w:tab/>
        <w:t>Values applied to estimate carbon dioxide emissions from open burning of rural waste</w:t>
      </w:r>
      <w:bookmarkEnd w:id="2856"/>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812"/>
        <w:gridCol w:w="1013"/>
        <w:gridCol w:w="1275"/>
        <w:gridCol w:w="1559"/>
        <w:gridCol w:w="1835"/>
      </w:tblGrid>
      <w:tr w:rsidR="00BC0FD7" w:rsidRPr="001D5327" w14:paraId="466BB8C7" w14:textId="77777777" w:rsidTr="00DA37CD">
        <w:trPr>
          <w:tblHeader/>
        </w:trPr>
        <w:tc>
          <w:tcPr>
            <w:tcW w:w="2813" w:type="dxa"/>
            <w:shd w:val="clear" w:color="auto" w:fill="1B556B"/>
            <w:tcMar>
              <w:top w:w="0" w:type="dxa"/>
              <w:left w:w="85" w:type="dxa"/>
              <w:bottom w:w="0" w:type="dxa"/>
              <w:right w:w="85" w:type="dxa"/>
            </w:tcMar>
            <w:vAlign w:val="bottom"/>
          </w:tcPr>
          <w:p w14:paraId="04838ECE" w14:textId="77777777" w:rsidR="00BC0FD7" w:rsidRPr="001D5327" w:rsidRDefault="00BC0FD7" w:rsidP="00DA37CD">
            <w:pPr>
              <w:pStyle w:val="TableTextBold"/>
              <w:spacing w:before="40" w:after="40"/>
              <w:rPr>
                <w:noProof w:val="0"/>
                <w:color w:val="FFFFFF" w:themeColor="background1"/>
              </w:rPr>
            </w:pPr>
            <w:r w:rsidRPr="001D5327">
              <w:rPr>
                <w:rFonts w:eastAsia="Calibri"/>
                <w:noProof w:val="0"/>
                <w:color w:val="FFFFFF" w:themeColor="background1"/>
              </w:rPr>
              <w:t>Waste type</w:t>
            </w:r>
          </w:p>
        </w:tc>
        <w:tc>
          <w:tcPr>
            <w:tcW w:w="1010" w:type="dxa"/>
            <w:shd w:val="clear" w:color="auto" w:fill="1B556B"/>
            <w:tcMar>
              <w:top w:w="0" w:type="dxa"/>
              <w:left w:w="85" w:type="dxa"/>
              <w:bottom w:w="0" w:type="dxa"/>
              <w:right w:w="85" w:type="dxa"/>
            </w:tcMar>
            <w:vAlign w:val="bottom"/>
          </w:tcPr>
          <w:p w14:paraId="460A1EB9" w14:textId="77777777" w:rsidR="00BC0FD7" w:rsidRPr="001D5327" w:rsidRDefault="00BC0FD7" w:rsidP="00DA37CD">
            <w:pPr>
              <w:pStyle w:val="TableTextBold"/>
              <w:spacing w:before="40" w:after="40"/>
              <w:jc w:val="right"/>
              <w:rPr>
                <w:noProof w:val="0"/>
                <w:color w:val="FFFFFF" w:themeColor="background1"/>
              </w:rPr>
            </w:pPr>
            <w:r w:rsidRPr="001D5327">
              <w:rPr>
                <w:rFonts w:eastAsia="Calibri"/>
                <w:noProof w:val="0"/>
                <w:color w:val="FFFFFF" w:themeColor="background1"/>
              </w:rPr>
              <w:t>Composition (%)</w:t>
            </w:r>
          </w:p>
        </w:tc>
        <w:tc>
          <w:tcPr>
            <w:tcW w:w="1275" w:type="dxa"/>
            <w:shd w:val="clear" w:color="auto" w:fill="1B556B"/>
            <w:tcMar>
              <w:top w:w="0" w:type="dxa"/>
              <w:left w:w="85" w:type="dxa"/>
              <w:bottom w:w="0" w:type="dxa"/>
              <w:right w:w="85" w:type="dxa"/>
            </w:tcMar>
            <w:vAlign w:val="bottom"/>
          </w:tcPr>
          <w:p w14:paraId="0D49674B" w14:textId="77777777" w:rsidR="00BC0FD7" w:rsidRPr="001D5327" w:rsidRDefault="00BC0FD7" w:rsidP="00DA37CD">
            <w:pPr>
              <w:pStyle w:val="TableTextBold"/>
              <w:spacing w:before="40" w:after="40"/>
              <w:jc w:val="right"/>
              <w:rPr>
                <w:noProof w:val="0"/>
                <w:color w:val="FFFFFF" w:themeColor="background1"/>
              </w:rPr>
            </w:pPr>
            <w:r w:rsidRPr="001D5327">
              <w:rPr>
                <w:rFonts w:eastAsia="Calibri"/>
                <w:noProof w:val="0"/>
                <w:color w:val="FFFFFF" w:themeColor="background1"/>
              </w:rPr>
              <w:t>Dry-matter content (%)</w:t>
            </w:r>
          </w:p>
        </w:tc>
        <w:tc>
          <w:tcPr>
            <w:tcW w:w="1560" w:type="dxa"/>
            <w:shd w:val="clear" w:color="auto" w:fill="1B556B"/>
            <w:tcMar>
              <w:top w:w="0" w:type="dxa"/>
              <w:left w:w="85" w:type="dxa"/>
              <w:bottom w:w="0" w:type="dxa"/>
              <w:right w:w="85" w:type="dxa"/>
            </w:tcMar>
            <w:vAlign w:val="bottom"/>
          </w:tcPr>
          <w:p w14:paraId="540C51AE" w14:textId="77777777" w:rsidR="00BC0FD7" w:rsidRPr="001D5327" w:rsidRDefault="00BC0FD7" w:rsidP="00DA37CD">
            <w:pPr>
              <w:pStyle w:val="TableTextBold"/>
              <w:spacing w:before="40" w:after="40"/>
              <w:jc w:val="right"/>
              <w:rPr>
                <w:noProof w:val="0"/>
                <w:color w:val="FFFFFF" w:themeColor="background1"/>
              </w:rPr>
            </w:pPr>
            <w:r w:rsidRPr="001D5327">
              <w:rPr>
                <w:rFonts w:eastAsia="Calibri"/>
                <w:noProof w:val="0"/>
                <w:color w:val="FFFFFF" w:themeColor="background1"/>
              </w:rPr>
              <w:t>Total carbon content (%)</w:t>
            </w:r>
          </w:p>
        </w:tc>
        <w:tc>
          <w:tcPr>
            <w:tcW w:w="1836" w:type="dxa"/>
            <w:shd w:val="clear" w:color="auto" w:fill="1B556B"/>
            <w:tcMar>
              <w:top w:w="0" w:type="dxa"/>
              <w:left w:w="85" w:type="dxa"/>
              <w:bottom w:w="0" w:type="dxa"/>
              <w:right w:w="85" w:type="dxa"/>
            </w:tcMar>
            <w:vAlign w:val="bottom"/>
          </w:tcPr>
          <w:p w14:paraId="77A66B35" w14:textId="77777777" w:rsidR="00BC0FD7" w:rsidRPr="001D5327" w:rsidRDefault="00BC0FD7" w:rsidP="00DA37CD">
            <w:pPr>
              <w:pStyle w:val="TableTextBold"/>
              <w:spacing w:before="40" w:after="40"/>
              <w:jc w:val="right"/>
              <w:rPr>
                <w:noProof w:val="0"/>
                <w:color w:val="FFFFFF" w:themeColor="background1"/>
              </w:rPr>
            </w:pPr>
            <w:r w:rsidRPr="001D5327">
              <w:rPr>
                <w:rFonts w:eastAsia="Calibri"/>
                <w:noProof w:val="0"/>
                <w:color w:val="FFFFFF" w:themeColor="background1"/>
              </w:rPr>
              <w:t>Fossil carbon content of total carbon (%)</w:t>
            </w:r>
          </w:p>
        </w:tc>
      </w:tr>
      <w:tr w:rsidR="00BC0FD7" w:rsidRPr="001D5327" w14:paraId="7791EFA8" w14:textId="77777777" w:rsidTr="00DA37CD">
        <w:tc>
          <w:tcPr>
            <w:tcW w:w="2813" w:type="dxa"/>
            <w:shd w:val="clear" w:color="auto" w:fill="FFFFFF"/>
            <w:tcMar>
              <w:top w:w="0" w:type="dxa"/>
              <w:left w:w="85" w:type="dxa"/>
              <w:bottom w:w="0" w:type="dxa"/>
              <w:right w:w="85" w:type="dxa"/>
            </w:tcMar>
          </w:tcPr>
          <w:p w14:paraId="2D9C931E" w14:textId="77777777" w:rsidR="00BC0FD7" w:rsidRPr="001D5327" w:rsidRDefault="00BC0FD7" w:rsidP="00DA37CD">
            <w:pPr>
              <w:pStyle w:val="TableText"/>
              <w:spacing w:before="40" w:after="40"/>
            </w:pPr>
            <w:r w:rsidRPr="001D5327">
              <w:rPr>
                <w:rFonts w:eastAsia="Calibri"/>
                <w:color w:val="000000"/>
              </w:rPr>
              <w:t>Paper/card</w:t>
            </w:r>
          </w:p>
        </w:tc>
        <w:tc>
          <w:tcPr>
            <w:tcW w:w="1010" w:type="dxa"/>
            <w:shd w:val="clear" w:color="auto" w:fill="FFFFFF"/>
            <w:tcMar>
              <w:top w:w="0" w:type="dxa"/>
              <w:left w:w="85" w:type="dxa"/>
              <w:bottom w:w="0" w:type="dxa"/>
              <w:right w:w="85" w:type="dxa"/>
            </w:tcMar>
          </w:tcPr>
          <w:p w14:paraId="6AC4C428" w14:textId="77777777" w:rsidR="00BC0FD7" w:rsidRPr="001D5327" w:rsidRDefault="00BC0FD7" w:rsidP="00DA37CD">
            <w:pPr>
              <w:pStyle w:val="TableText"/>
              <w:spacing w:before="40" w:after="40"/>
              <w:jc w:val="right"/>
            </w:pPr>
            <w:r w:rsidRPr="001D5327">
              <w:rPr>
                <w:rFonts w:eastAsia="Calibri"/>
                <w:color w:val="000000"/>
              </w:rPr>
              <w:t>1</w:t>
            </w:r>
          </w:p>
        </w:tc>
        <w:tc>
          <w:tcPr>
            <w:tcW w:w="1275" w:type="dxa"/>
            <w:shd w:val="clear" w:color="auto" w:fill="FFFFFF"/>
            <w:tcMar>
              <w:top w:w="0" w:type="dxa"/>
              <w:left w:w="85" w:type="dxa"/>
              <w:bottom w:w="0" w:type="dxa"/>
              <w:right w:w="85" w:type="dxa"/>
            </w:tcMar>
          </w:tcPr>
          <w:p w14:paraId="19A61FB4" w14:textId="77777777" w:rsidR="00BC0FD7" w:rsidRPr="001D5327" w:rsidRDefault="00BC0FD7" w:rsidP="00DA37CD">
            <w:pPr>
              <w:pStyle w:val="TableText"/>
              <w:spacing w:before="40" w:after="40"/>
              <w:jc w:val="right"/>
            </w:pPr>
            <w:r w:rsidRPr="001D5327">
              <w:rPr>
                <w:rFonts w:eastAsia="Calibri"/>
                <w:color w:val="000000"/>
              </w:rPr>
              <w:t>90</w:t>
            </w:r>
          </w:p>
        </w:tc>
        <w:tc>
          <w:tcPr>
            <w:tcW w:w="1560" w:type="dxa"/>
            <w:shd w:val="clear" w:color="auto" w:fill="FFFFFF"/>
            <w:tcMar>
              <w:top w:w="0" w:type="dxa"/>
              <w:left w:w="85" w:type="dxa"/>
              <w:bottom w:w="0" w:type="dxa"/>
              <w:right w:w="85" w:type="dxa"/>
            </w:tcMar>
          </w:tcPr>
          <w:p w14:paraId="151B08E5" w14:textId="77777777" w:rsidR="00BC0FD7" w:rsidRPr="001D5327" w:rsidRDefault="00BC0FD7" w:rsidP="00DA37CD">
            <w:pPr>
              <w:pStyle w:val="TableText"/>
              <w:spacing w:before="40" w:after="40"/>
              <w:jc w:val="right"/>
            </w:pPr>
            <w:r w:rsidRPr="001D5327">
              <w:rPr>
                <w:rFonts w:eastAsia="Calibri"/>
                <w:color w:val="000000"/>
              </w:rPr>
              <w:t>46</w:t>
            </w:r>
          </w:p>
        </w:tc>
        <w:tc>
          <w:tcPr>
            <w:tcW w:w="1836" w:type="dxa"/>
            <w:shd w:val="clear" w:color="auto" w:fill="FFFFFF"/>
            <w:tcMar>
              <w:top w:w="0" w:type="dxa"/>
              <w:left w:w="85" w:type="dxa"/>
              <w:bottom w:w="0" w:type="dxa"/>
              <w:right w:w="85" w:type="dxa"/>
            </w:tcMar>
          </w:tcPr>
          <w:p w14:paraId="4930FE20" w14:textId="77777777" w:rsidR="00BC0FD7" w:rsidRPr="001D5327" w:rsidRDefault="00BC0FD7" w:rsidP="00DA37CD">
            <w:pPr>
              <w:pStyle w:val="TableText"/>
              <w:spacing w:before="40" w:after="40"/>
              <w:jc w:val="right"/>
            </w:pPr>
            <w:r w:rsidRPr="001D5327">
              <w:rPr>
                <w:rFonts w:eastAsia="Calibri"/>
                <w:color w:val="000000"/>
              </w:rPr>
              <w:t>1</w:t>
            </w:r>
          </w:p>
        </w:tc>
      </w:tr>
      <w:tr w:rsidR="00BC0FD7" w:rsidRPr="001D5327" w14:paraId="0B026E42" w14:textId="77777777" w:rsidTr="00DA37CD">
        <w:tc>
          <w:tcPr>
            <w:tcW w:w="2813" w:type="dxa"/>
            <w:shd w:val="clear" w:color="auto" w:fill="FFFFFF"/>
            <w:tcMar>
              <w:top w:w="0" w:type="dxa"/>
              <w:left w:w="85" w:type="dxa"/>
              <w:bottom w:w="0" w:type="dxa"/>
              <w:right w:w="85" w:type="dxa"/>
            </w:tcMar>
          </w:tcPr>
          <w:p w14:paraId="34A3FEA9" w14:textId="77777777" w:rsidR="00BC0FD7" w:rsidRPr="001D5327" w:rsidRDefault="00BC0FD7" w:rsidP="00DA37CD">
            <w:pPr>
              <w:pStyle w:val="TableText"/>
              <w:spacing w:before="40" w:after="40"/>
            </w:pPr>
            <w:r w:rsidRPr="001D5327">
              <w:rPr>
                <w:rFonts w:eastAsia="Calibri"/>
                <w:color w:val="000000"/>
              </w:rPr>
              <w:t>Textiles</w:t>
            </w:r>
          </w:p>
        </w:tc>
        <w:tc>
          <w:tcPr>
            <w:tcW w:w="1010" w:type="dxa"/>
            <w:shd w:val="clear" w:color="auto" w:fill="FFFFFF"/>
            <w:tcMar>
              <w:top w:w="0" w:type="dxa"/>
              <w:left w:w="85" w:type="dxa"/>
              <w:bottom w:w="0" w:type="dxa"/>
              <w:right w:w="85" w:type="dxa"/>
            </w:tcMar>
          </w:tcPr>
          <w:p w14:paraId="126D7256" w14:textId="77777777" w:rsidR="00BC0FD7" w:rsidRPr="001D5327" w:rsidRDefault="00BC0FD7" w:rsidP="00DA37CD">
            <w:pPr>
              <w:pStyle w:val="TableText"/>
              <w:spacing w:before="40" w:after="40"/>
              <w:jc w:val="right"/>
            </w:pPr>
            <w:r w:rsidRPr="001D5327">
              <w:rPr>
                <w:rFonts w:eastAsia="Calibri"/>
                <w:color w:val="000000"/>
              </w:rPr>
              <w:t>19.7</w:t>
            </w:r>
          </w:p>
        </w:tc>
        <w:tc>
          <w:tcPr>
            <w:tcW w:w="1275" w:type="dxa"/>
            <w:shd w:val="clear" w:color="auto" w:fill="FFFFFF"/>
            <w:tcMar>
              <w:top w:w="0" w:type="dxa"/>
              <w:left w:w="85" w:type="dxa"/>
              <w:bottom w:w="0" w:type="dxa"/>
              <w:right w:w="85" w:type="dxa"/>
            </w:tcMar>
          </w:tcPr>
          <w:p w14:paraId="0BC81806" w14:textId="77777777" w:rsidR="00BC0FD7" w:rsidRPr="001D5327" w:rsidRDefault="00BC0FD7" w:rsidP="00DA37CD">
            <w:pPr>
              <w:pStyle w:val="TableText"/>
              <w:spacing w:before="40" w:after="40"/>
              <w:jc w:val="right"/>
            </w:pPr>
            <w:r w:rsidRPr="001D5327">
              <w:rPr>
                <w:rFonts w:eastAsia="Calibri"/>
                <w:color w:val="000000"/>
              </w:rPr>
              <w:t>80</w:t>
            </w:r>
          </w:p>
        </w:tc>
        <w:tc>
          <w:tcPr>
            <w:tcW w:w="1560" w:type="dxa"/>
            <w:shd w:val="clear" w:color="auto" w:fill="FFFFFF"/>
            <w:tcMar>
              <w:top w:w="0" w:type="dxa"/>
              <w:left w:w="85" w:type="dxa"/>
              <w:bottom w:w="0" w:type="dxa"/>
              <w:right w:w="85" w:type="dxa"/>
            </w:tcMar>
          </w:tcPr>
          <w:p w14:paraId="164E5C4C" w14:textId="77777777" w:rsidR="00BC0FD7" w:rsidRPr="001D5327" w:rsidRDefault="00BC0FD7" w:rsidP="00DA37CD">
            <w:pPr>
              <w:pStyle w:val="TableText"/>
              <w:spacing w:before="40" w:after="40"/>
              <w:jc w:val="right"/>
            </w:pPr>
            <w:r w:rsidRPr="001D5327">
              <w:rPr>
                <w:rFonts w:eastAsia="Calibri"/>
                <w:color w:val="000000"/>
              </w:rPr>
              <w:t>50</w:t>
            </w:r>
          </w:p>
        </w:tc>
        <w:tc>
          <w:tcPr>
            <w:tcW w:w="1836" w:type="dxa"/>
            <w:shd w:val="clear" w:color="auto" w:fill="FFFFFF"/>
            <w:tcMar>
              <w:top w:w="0" w:type="dxa"/>
              <w:left w:w="85" w:type="dxa"/>
              <w:bottom w:w="0" w:type="dxa"/>
              <w:right w:w="85" w:type="dxa"/>
            </w:tcMar>
          </w:tcPr>
          <w:p w14:paraId="57379956" w14:textId="77777777" w:rsidR="00BC0FD7" w:rsidRPr="001D5327" w:rsidRDefault="00BC0FD7" w:rsidP="00DA37CD">
            <w:pPr>
              <w:pStyle w:val="TableText"/>
              <w:spacing w:before="40" w:after="40"/>
              <w:jc w:val="right"/>
            </w:pPr>
            <w:r w:rsidRPr="001D5327">
              <w:rPr>
                <w:rFonts w:eastAsia="Calibri"/>
                <w:color w:val="000000"/>
              </w:rPr>
              <w:t>20</w:t>
            </w:r>
          </w:p>
        </w:tc>
      </w:tr>
      <w:tr w:rsidR="00BC0FD7" w:rsidRPr="001D5327" w14:paraId="4C6DA693" w14:textId="77777777" w:rsidTr="00DA37CD">
        <w:tc>
          <w:tcPr>
            <w:tcW w:w="2813" w:type="dxa"/>
            <w:shd w:val="clear" w:color="auto" w:fill="FFFFFF"/>
            <w:tcMar>
              <w:top w:w="0" w:type="dxa"/>
              <w:left w:w="85" w:type="dxa"/>
              <w:bottom w:w="0" w:type="dxa"/>
              <w:right w:w="85" w:type="dxa"/>
            </w:tcMar>
          </w:tcPr>
          <w:p w14:paraId="774C90AC" w14:textId="77777777" w:rsidR="00BC0FD7" w:rsidRPr="001D5327" w:rsidRDefault="00BC0FD7" w:rsidP="00DA37CD">
            <w:pPr>
              <w:pStyle w:val="TableText"/>
              <w:spacing w:before="40" w:after="40"/>
            </w:pPr>
            <w:r w:rsidRPr="001D5327">
              <w:rPr>
                <w:rFonts w:eastAsia="Calibri"/>
                <w:color w:val="000000"/>
              </w:rPr>
              <w:t>Food waste</w:t>
            </w:r>
          </w:p>
        </w:tc>
        <w:tc>
          <w:tcPr>
            <w:tcW w:w="1010" w:type="dxa"/>
            <w:shd w:val="clear" w:color="auto" w:fill="FFFFFF"/>
            <w:tcMar>
              <w:top w:w="0" w:type="dxa"/>
              <w:left w:w="85" w:type="dxa"/>
              <w:bottom w:w="0" w:type="dxa"/>
              <w:right w:w="85" w:type="dxa"/>
            </w:tcMar>
          </w:tcPr>
          <w:p w14:paraId="4F570740" w14:textId="77777777" w:rsidR="00BC0FD7" w:rsidRPr="001D5327" w:rsidRDefault="00BC0FD7" w:rsidP="00DA37CD">
            <w:pPr>
              <w:pStyle w:val="TableText"/>
              <w:spacing w:before="40" w:after="40"/>
              <w:jc w:val="right"/>
            </w:pPr>
            <w:r w:rsidRPr="001D5327">
              <w:rPr>
                <w:rFonts w:eastAsia="Calibri"/>
                <w:color w:val="000000"/>
              </w:rPr>
              <w:t>15.1</w:t>
            </w:r>
          </w:p>
        </w:tc>
        <w:tc>
          <w:tcPr>
            <w:tcW w:w="1275" w:type="dxa"/>
            <w:shd w:val="clear" w:color="auto" w:fill="FFFFFF"/>
            <w:tcMar>
              <w:top w:w="0" w:type="dxa"/>
              <w:left w:w="85" w:type="dxa"/>
              <w:bottom w:w="0" w:type="dxa"/>
              <w:right w:w="85" w:type="dxa"/>
            </w:tcMar>
          </w:tcPr>
          <w:p w14:paraId="58BE0A53" w14:textId="77777777" w:rsidR="00BC0FD7" w:rsidRPr="001D5327" w:rsidRDefault="00BC0FD7" w:rsidP="00DA37CD">
            <w:pPr>
              <w:pStyle w:val="TableText"/>
              <w:spacing w:before="40" w:after="40"/>
              <w:jc w:val="right"/>
            </w:pPr>
            <w:r w:rsidRPr="001D5327">
              <w:rPr>
                <w:rFonts w:eastAsia="Calibri"/>
                <w:color w:val="000000"/>
              </w:rPr>
              <w:t>40</w:t>
            </w:r>
          </w:p>
        </w:tc>
        <w:tc>
          <w:tcPr>
            <w:tcW w:w="1560" w:type="dxa"/>
            <w:shd w:val="clear" w:color="auto" w:fill="FFFFFF"/>
            <w:tcMar>
              <w:top w:w="0" w:type="dxa"/>
              <w:left w:w="85" w:type="dxa"/>
              <w:bottom w:w="0" w:type="dxa"/>
              <w:right w:w="85" w:type="dxa"/>
            </w:tcMar>
          </w:tcPr>
          <w:p w14:paraId="0D9EF775" w14:textId="77777777" w:rsidR="00BC0FD7" w:rsidRPr="001D5327" w:rsidRDefault="00BC0FD7" w:rsidP="00DA37CD">
            <w:pPr>
              <w:pStyle w:val="TableText"/>
              <w:spacing w:before="40" w:after="40"/>
              <w:jc w:val="right"/>
            </w:pPr>
            <w:r w:rsidRPr="001D5327">
              <w:rPr>
                <w:rFonts w:eastAsia="Calibri"/>
                <w:color w:val="000000"/>
              </w:rPr>
              <w:t>38</w:t>
            </w:r>
          </w:p>
        </w:tc>
        <w:tc>
          <w:tcPr>
            <w:tcW w:w="1836" w:type="dxa"/>
            <w:shd w:val="clear" w:color="auto" w:fill="FFFFFF"/>
            <w:tcMar>
              <w:top w:w="0" w:type="dxa"/>
              <w:left w:w="85" w:type="dxa"/>
              <w:bottom w:w="0" w:type="dxa"/>
              <w:right w:w="85" w:type="dxa"/>
            </w:tcMar>
          </w:tcPr>
          <w:p w14:paraId="26880D29" w14:textId="77777777" w:rsidR="00BC0FD7" w:rsidRPr="001D5327" w:rsidRDefault="00BC0FD7" w:rsidP="00DA37CD">
            <w:pPr>
              <w:pStyle w:val="TableText"/>
              <w:spacing w:before="40" w:after="40"/>
              <w:jc w:val="right"/>
            </w:pPr>
            <w:r w:rsidRPr="001D5327">
              <w:rPr>
                <w:rFonts w:eastAsia="Calibri"/>
                <w:color w:val="000000"/>
              </w:rPr>
              <w:t>0</w:t>
            </w:r>
          </w:p>
        </w:tc>
      </w:tr>
      <w:tr w:rsidR="00BC0FD7" w:rsidRPr="001D5327" w14:paraId="61354020" w14:textId="77777777" w:rsidTr="00DA37CD">
        <w:tc>
          <w:tcPr>
            <w:tcW w:w="2813" w:type="dxa"/>
            <w:shd w:val="clear" w:color="auto" w:fill="FFFFFF"/>
            <w:tcMar>
              <w:top w:w="0" w:type="dxa"/>
              <w:left w:w="85" w:type="dxa"/>
              <w:bottom w:w="0" w:type="dxa"/>
              <w:right w:w="85" w:type="dxa"/>
            </w:tcMar>
          </w:tcPr>
          <w:p w14:paraId="259C3696" w14:textId="77777777" w:rsidR="00BC0FD7" w:rsidRPr="001D5327" w:rsidRDefault="00BC0FD7" w:rsidP="00DA37CD">
            <w:pPr>
              <w:pStyle w:val="TableText"/>
              <w:spacing w:before="40" w:after="40"/>
            </w:pPr>
            <w:r w:rsidRPr="001D5327">
              <w:rPr>
                <w:rFonts w:eastAsia="Calibri"/>
                <w:color w:val="000000"/>
              </w:rPr>
              <w:t>Wood</w:t>
            </w:r>
          </w:p>
        </w:tc>
        <w:tc>
          <w:tcPr>
            <w:tcW w:w="1010" w:type="dxa"/>
            <w:shd w:val="clear" w:color="auto" w:fill="FFFFFF"/>
            <w:tcMar>
              <w:top w:w="0" w:type="dxa"/>
              <w:left w:w="85" w:type="dxa"/>
              <w:bottom w:w="0" w:type="dxa"/>
              <w:right w:w="85" w:type="dxa"/>
            </w:tcMar>
          </w:tcPr>
          <w:p w14:paraId="74E6E285" w14:textId="77777777" w:rsidR="00BC0FD7" w:rsidRPr="001D5327" w:rsidRDefault="00BC0FD7" w:rsidP="00DA37CD">
            <w:pPr>
              <w:pStyle w:val="TableText"/>
              <w:spacing w:before="40" w:after="40"/>
              <w:jc w:val="right"/>
            </w:pPr>
            <w:r w:rsidRPr="001D5327">
              <w:rPr>
                <w:rFonts w:eastAsia="Calibri"/>
                <w:color w:val="000000"/>
              </w:rPr>
              <w:t>41</w:t>
            </w:r>
          </w:p>
        </w:tc>
        <w:tc>
          <w:tcPr>
            <w:tcW w:w="1275" w:type="dxa"/>
            <w:shd w:val="clear" w:color="auto" w:fill="FFFFFF"/>
            <w:tcMar>
              <w:top w:w="0" w:type="dxa"/>
              <w:left w:w="85" w:type="dxa"/>
              <w:bottom w:w="0" w:type="dxa"/>
              <w:right w:w="85" w:type="dxa"/>
            </w:tcMar>
          </w:tcPr>
          <w:p w14:paraId="588CF3D6" w14:textId="77777777" w:rsidR="00BC0FD7" w:rsidRPr="001D5327" w:rsidRDefault="00BC0FD7" w:rsidP="00DA37CD">
            <w:pPr>
              <w:pStyle w:val="TableText"/>
              <w:spacing w:before="40" w:after="40"/>
              <w:jc w:val="right"/>
            </w:pPr>
            <w:r w:rsidRPr="001D5327">
              <w:rPr>
                <w:rFonts w:eastAsia="Calibri"/>
                <w:color w:val="000000"/>
              </w:rPr>
              <w:t>85</w:t>
            </w:r>
          </w:p>
        </w:tc>
        <w:tc>
          <w:tcPr>
            <w:tcW w:w="1560" w:type="dxa"/>
            <w:shd w:val="clear" w:color="auto" w:fill="FFFFFF"/>
            <w:tcMar>
              <w:top w:w="0" w:type="dxa"/>
              <w:left w:w="85" w:type="dxa"/>
              <w:bottom w:w="0" w:type="dxa"/>
              <w:right w:w="85" w:type="dxa"/>
            </w:tcMar>
          </w:tcPr>
          <w:p w14:paraId="32734BC2" w14:textId="77777777" w:rsidR="00BC0FD7" w:rsidRPr="001D5327" w:rsidRDefault="00BC0FD7" w:rsidP="00DA37CD">
            <w:pPr>
              <w:pStyle w:val="TableText"/>
              <w:spacing w:before="40" w:after="40"/>
              <w:jc w:val="right"/>
            </w:pPr>
            <w:r w:rsidRPr="001D5327">
              <w:rPr>
                <w:rFonts w:eastAsia="Calibri"/>
                <w:color w:val="000000"/>
              </w:rPr>
              <w:t>50</w:t>
            </w:r>
          </w:p>
        </w:tc>
        <w:tc>
          <w:tcPr>
            <w:tcW w:w="1836" w:type="dxa"/>
            <w:shd w:val="clear" w:color="auto" w:fill="FFFFFF"/>
            <w:tcMar>
              <w:top w:w="0" w:type="dxa"/>
              <w:left w:w="85" w:type="dxa"/>
              <w:bottom w:w="0" w:type="dxa"/>
              <w:right w:w="85" w:type="dxa"/>
            </w:tcMar>
          </w:tcPr>
          <w:p w14:paraId="0C2E245A" w14:textId="77777777" w:rsidR="00BC0FD7" w:rsidRPr="001D5327" w:rsidRDefault="00BC0FD7" w:rsidP="00DA37CD">
            <w:pPr>
              <w:pStyle w:val="TableText"/>
              <w:spacing w:before="40" w:after="40"/>
              <w:jc w:val="right"/>
            </w:pPr>
            <w:r w:rsidRPr="001D5327">
              <w:rPr>
                <w:rFonts w:eastAsia="Calibri"/>
                <w:color w:val="000000"/>
              </w:rPr>
              <w:t>0</w:t>
            </w:r>
          </w:p>
        </w:tc>
      </w:tr>
      <w:tr w:rsidR="00BC0FD7" w:rsidRPr="001D5327" w14:paraId="5272BBFB" w14:textId="77777777" w:rsidTr="00DA37CD">
        <w:tc>
          <w:tcPr>
            <w:tcW w:w="2813" w:type="dxa"/>
            <w:shd w:val="clear" w:color="auto" w:fill="FFFFFF"/>
            <w:tcMar>
              <w:top w:w="0" w:type="dxa"/>
              <w:left w:w="85" w:type="dxa"/>
              <w:bottom w:w="0" w:type="dxa"/>
              <w:right w:w="85" w:type="dxa"/>
            </w:tcMar>
          </w:tcPr>
          <w:p w14:paraId="52E9E4A4" w14:textId="77777777" w:rsidR="00BC0FD7" w:rsidRPr="001D5327" w:rsidRDefault="00BC0FD7" w:rsidP="00DA37CD">
            <w:pPr>
              <w:pStyle w:val="TableText"/>
              <w:spacing w:before="40" w:after="40"/>
            </w:pPr>
            <w:r w:rsidRPr="001D5327">
              <w:rPr>
                <w:rFonts w:eastAsia="Calibri"/>
                <w:color w:val="000000"/>
              </w:rPr>
              <w:t>Garden and park waste</w:t>
            </w:r>
          </w:p>
        </w:tc>
        <w:tc>
          <w:tcPr>
            <w:tcW w:w="1010" w:type="dxa"/>
            <w:shd w:val="clear" w:color="auto" w:fill="FFFFFF"/>
            <w:tcMar>
              <w:top w:w="0" w:type="dxa"/>
              <w:left w:w="85" w:type="dxa"/>
              <w:bottom w:w="0" w:type="dxa"/>
              <w:right w:w="85" w:type="dxa"/>
            </w:tcMar>
          </w:tcPr>
          <w:p w14:paraId="71F53952" w14:textId="77777777" w:rsidR="00BC0FD7" w:rsidRPr="001D5327" w:rsidRDefault="00BC0FD7" w:rsidP="00DA37CD">
            <w:pPr>
              <w:pStyle w:val="TableText"/>
              <w:spacing w:before="40" w:after="40"/>
              <w:jc w:val="right"/>
            </w:pPr>
            <w:r w:rsidRPr="001D5327">
              <w:rPr>
                <w:rFonts w:eastAsia="Calibri"/>
                <w:color w:val="000000"/>
              </w:rPr>
              <w:t>NA</w:t>
            </w:r>
          </w:p>
        </w:tc>
        <w:tc>
          <w:tcPr>
            <w:tcW w:w="1275" w:type="dxa"/>
            <w:shd w:val="clear" w:color="auto" w:fill="FFFFFF"/>
            <w:tcMar>
              <w:top w:w="0" w:type="dxa"/>
              <w:left w:w="85" w:type="dxa"/>
              <w:bottom w:w="0" w:type="dxa"/>
              <w:right w:w="85" w:type="dxa"/>
            </w:tcMar>
          </w:tcPr>
          <w:p w14:paraId="67A50582" w14:textId="77777777" w:rsidR="00BC0FD7" w:rsidRPr="001D5327" w:rsidRDefault="00BC0FD7" w:rsidP="00DA37CD">
            <w:pPr>
              <w:pStyle w:val="TableText"/>
              <w:spacing w:before="40" w:after="40"/>
              <w:jc w:val="right"/>
            </w:pPr>
            <w:r w:rsidRPr="001D5327">
              <w:rPr>
                <w:rFonts w:eastAsia="Calibri"/>
                <w:color w:val="000000"/>
              </w:rPr>
              <w:t>40</w:t>
            </w:r>
          </w:p>
        </w:tc>
        <w:tc>
          <w:tcPr>
            <w:tcW w:w="1560" w:type="dxa"/>
            <w:shd w:val="clear" w:color="auto" w:fill="FFFFFF"/>
            <w:tcMar>
              <w:top w:w="0" w:type="dxa"/>
              <w:left w:w="85" w:type="dxa"/>
              <w:bottom w:w="0" w:type="dxa"/>
              <w:right w:w="85" w:type="dxa"/>
            </w:tcMar>
          </w:tcPr>
          <w:p w14:paraId="40D13CD8" w14:textId="77777777" w:rsidR="00BC0FD7" w:rsidRPr="001D5327" w:rsidRDefault="00BC0FD7" w:rsidP="00DA37CD">
            <w:pPr>
              <w:pStyle w:val="TableText"/>
              <w:spacing w:before="40" w:after="40"/>
              <w:jc w:val="right"/>
            </w:pPr>
            <w:r w:rsidRPr="001D5327">
              <w:rPr>
                <w:rFonts w:eastAsia="Calibri"/>
                <w:color w:val="000000"/>
              </w:rPr>
              <w:t>49</w:t>
            </w:r>
          </w:p>
        </w:tc>
        <w:tc>
          <w:tcPr>
            <w:tcW w:w="1836" w:type="dxa"/>
            <w:shd w:val="clear" w:color="auto" w:fill="FFFFFF"/>
            <w:tcMar>
              <w:top w:w="0" w:type="dxa"/>
              <w:left w:w="85" w:type="dxa"/>
              <w:bottom w:w="0" w:type="dxa"/>
              <w:right w:w="85" w:type="dxa"/>
            </w:tcMar>
          </w:tcPr>
          <w:p w14:paraId="36180489" w14:textId="77777777" w:rsidR="00BC0FD7" w:rsidRPr="001D5327" w:rsidRDefault="00BC0FD7" w:rsidP="00DA37CD">
            <w:pPr>
              <w:pStyle w:val="TableText"/>
              <w:spacing w:before="40" w:after="40"/>
              <w:jc w:val="right"/>
            </w:pPr>
            <w:r w:rsidRPr="001D5327">
              <w:rPr>
                <w:rFonts w:eastAsia="Calibri"/>
                <w:color w:val="000000"/>
              </w:rPr>
              <w:t>0</w:t>
            </w:r>
          </w:p>
        </w:tc>
      </w:tr>
      <w:tr w:rsidR="00BC0FD7" w:rsidRPr="001D5327" w14:paraId="3F78C370" w14:textId="77777777" w:rsidTr="00DA37CD">
        <w:tc>
          <w:tcPr>
            <w:tcW w:w="2813" w:type="dxa"/>
            <w:shd w:val="clear" w:color="auto" w:fill="FFFFFF"/>
            <w:tcMar>
              <w:top w:w="0" w:type="dxa"/>
              <w:left w:w="85" w:type="dxa"/>
              <w:bottom w:w="0" w:type="dxa"/>
              <w:right w:w="85" w:type="dxa"/>
            </w:tcMar>
          </w:tcPr>
          <w:p w14:paraId="16A27F93" w14:textId="77777777" w:rsidR="00BC0FD7" w:rsidRPr="001D5327" w:rsidRDefault="00BC0FD7" w:rsidP="00DA37CD">
            <w:pPr>
              <w:pStyle w:val="TableText"/>
              <w:spacing w:before="40" w:after="40"/>
            </w:pPr>
            <w:r w:rsidRPr="001D5327">
              <w:rPr>
                <w:rFonts w:eastAsia="Calibri"/>
                <w:color w:val="000000"/>
              </w:rPr>
              <w:t>Nappies</w:t>
            </w:r>
          </w:p>
        </w:tc>
        <w:tc>
          <w:tcPr>
            <w:tcW w:w="1010" w:type="dxa"/>
            <w:shd w:val="clear" w:color="auto" w:fill="FFFFFF"/>
            <w:tcMar>
              <w:top w:w="0" w:type="dxa"/>
              <w:left w:w="85" w:type="dxa"/>
              <w:bottom w:w="0" w:type="dxa"/>
              <w:right w:w="85" w:type="dxa"/>
            </w:tcMar>
          </w:tcPr>
          <w:p w14:paraId="7304F9C0" w14:textId="77777777" w:rsidR="00BC0FD7" w:rsidRPr="001D5327" w:rsidRDefault="00BC0FD7" w:rsidP="00DA37CD">
            <w:pPr>
              <w:pStyle w:val="TableText"/>
              <w:spacing w:before="40" w:after="40"/>
              <w:jc w:val="right"/>
            </w:pPr>
            <w:r w:rsidRPr="001D5327">
              <w:rPr>
                <w:rFonts w:eastAsia="Calibri"/>
                <w:color w:val="000000"/>
              </w:rPr>
              <w:t>NA</w:t>
            </w:r>
          </w:p>
        </w:tc>
        <w:tc>
          <w:tcPr>
            <w:tcW w:w="1275" w:type="dxa"/>
            <w:shd w:val="clear" w:color="auto" w:fill="FFFFFF"/>
            <w:tcMar>
              <w:top w:w="0" w:type="dxa"/>
              <w:left w:w="85" w:type="dxa"/>
              <w:bottom w:w="0" w:type="dxa"/>
              <w:right w:w="85" w:type="dxa"/>
            </w:tcMar>
          </w:tcPr>
          <w:p w14:paraId="20EE224E" w14:textId="77777777" w:rsidR="00BC0FD7" w:rsidRPr="001D5327" w:rsidRDefault="00BC0FD7" w:rsidP="00DA37CD">
            <w:pPr>
              <w:pStyle w:val="TableText"/>
              <w:spacing w:before="40" w:after="40"/>
              <w:jc w:val="right"/>
            </w:pPr>
            <w:r w:rsidRPr="001D5327">
              <w:rPr>
                <w:rFonts w:eastAsia="Calibri"/>
                <w:color w:val="000000"/>
              </w:rPr>
              <w:t>40</w:t>
            </w:r>
          </w:p>
        </w:tc>
        <w:tc>
          <w:tcPr>
            <w:tcW w:w="1560" w:type="dxa"/>
            <w:shd w:val="clear" w:color="auto" w:fill="FFFFFF"/>
            <w:tcMar>
              <w:top w:w="0" w:type="dxa"/>
              <w:left w:w="85" w:type="dxa"/>
              <w:bottom w:w="0" w:type="dxa"/>
              <w:right w:w="85" w:type="dxa"/>
            </w:tcMar>
          </w:tcPr>
          <w:p w14:paraId="6AA6BF02" w14:textId="77777777" w:rsidR="00BC0FD7" w:rsidRPr="001D5327" w:rsidRDefault="00BC0FD7" w:rsidP="00DA37CD">
            <w:pPr>
              <w:pStyle w:val="TableText"/>
              <w:spacing w:before="40" w:after="40"/>
              <w:jc w:val="right"/>
            </w:pPr>
            <w:r w:rsidRPr="001D5327">
              <w:rPr>
                <w:rFonts w:eastAsia="Calibri"/>
                <w:color w:val="000000"/>
              </w:rPr>
              <w:t>70</w:t>
            </w:r>
          </w:p>
        </w:tc>
        <w:tc>
          <w:tcPr>
            <w:tcW w:w="1836" w:type="dxa"/>
            <w:shd w:val="clear" w:color="auto" w:fill="FFFFFF"/>
            <w:tcMar>
              <w:top w:w="0" w:type="dxa"/>
              <w:left w:w="85" w:type="dxa"/>
              <w:bottom w:w="0" w:type="dxa"/>
              <w:right w:w="85" w:type="dxa"/>
            </w:tcMar>
          </w:tcPr>
          <w:p w14:paraId="19FAA42B" w14:textId="77777777" w:rsidR="00BC0FD7" w:rsidRPr="001D5327" w:rsidRDefault="00BC0FD7" w:rsidP="00DA37CD">
            <w:pPr>
              <w:pStyle w:val="TableText"/>
              <w:spacing w:before="40" w:after="40"/>
              <w:jc w:val="right"/>
            </w:pPr>
            <w:r w:rsidRPr="001D5327">
              <w:rPr>
                <w:rFonts w:eastAsia="Calibri"/>
                <w:color w:val="000000"/>
              </w:rPr>
              <w:t>10</w:t>
            </w:r>
          </w:p>
        </w:tc>
      </w:tr>
      <w:tr w:rsidR="00BC0FD7" w:rsidRPr="001D5327" w14:paraId="642E0100" w14:textId="77777777" w:rsidTr="00DA37CD">
        <w:tc>
          <w:tcPr>
            <w:tcW w:w="2813" w:type="dxa"/>
            <w:shd w:val="clear" w:color="auto" w:fill="FFFFFF"/>
            <w:tcMar>
              <w:top w:w="0" w:type="dxa"/>
              <w:left w:w="85" w:type="dxa"/>
              <w:bottom w:w="0" w:type="dxa"/>
              <w:right w:w="85" w:type="dxa"/>
            </w:tcMar>
          </w:tcPr>
          <w:p w14:paraId="16EE73E9" w14:textId="77777777" w:rsidR="00BC0FD7" w:rsidRPr="001D5327" w:rsidRDefault="00BC0FD7" w:rsidP="00DA37CD">
            <w:pPr>
              <w:pStyle w:val="TableText"/>
              <w:spacing w:before="40" w:after="40"/>
            </w:pPr>
            <w:r w:rsidRPr="001D5327">
              <w:rPr>
                <w:rFonts w:eastAsia="Calibri"/>
                <w:color w:val="000000"/>
              </w:rPr>
              <w:t>Rubber and leather</w:t>
            </w:r>
          </w:p>
        </w:tc>
        <w:tc>
          <w:tcPr>
            <w:tcW w:w="1010" w:type="dxa"/>
            <w:shd w:val="clear" w:color="auto" w:fill="FFFFFF"/>
            <w:tcMar>
              <w:top w:w="0" w:type="dxa"/>
              <w:left w:w="85" w:type="dxa"/>
              <w:bottom w:w="0" w:type="dxa"/>
              <w:right w:w="85" w:type="dxa"/>
            </w:tcMar>
          </w:tcPr>
          <w:p w14:paraId="54E16B6A" w14:textId="77777777" w:rsidR="00BC0FD7" w:rsidRPr="001D5327" w:rsidRDefault="00BC0FD7" w:rsidP="00DA37CD">
            <w:pPr>
              <w:pStyle w:val="TableText"/>
              <w:spacing w:before="40" w:after="40"/>
              <w:jc w:val="right"/>
            </w:pPr>
            <w:r w:rsidRPr="001D5327">
              <w:rPr>
                <w:rFonts w:eastAsia="Calibri"/>
                <w:color w:val="000000"/>
              </w:rPr>
              <w:t>0.3</w:t>
            </w:r>
          </w:p>
        </w:tc>
        <w:tc>
          <w:tcPr>
            <w:tcW w:w="1275" w:type="dxa"/>
            <w:shd w:val="clear" w:color="auto" w:fill="FFFFFF"/>
            <w:tcMar>
              <w:top w:w="0" w:type="dxa"/>
              <w:left w:w="85" w:type="dxa"/>
              <w:bottom w:w="0" w:type="dxa"/>
              <w:right w:w="85" w:type="dxa"/>
            </w:tcMar>
          </w:tcPr>
          <w:p w14:paraId="66E29D11" w14:textId="77777777" w:rsidR="00BC0FD7" w:rsidRPr="001D5327" w:rsidRDefault="00BC0FD7" w:rsidP="00DA37CD">
            <w:pPr>
              <w:pStyle w:val="TableText"/>
              <w:spacing w:before="40" w:after="40"/>
              <w:jc w:val="right"/>
            </w:pPr>
            <w:r w:rsidRPr="001D5327">
              <w:rPr>
                <w:rFonts w:eastAsia="Calibri"/>
                <w:color w:val="000000"/>
              </w:rPr>
              <w:t>84</w:t>
            </w:r>
          </w:p>
        </w:tc>
        <w:tc>
          <w:tcPr>
            <w:tcW w:w="1560" w:type="dxa"/>
            <w:shd w:val="clear" w:color="auto" w:fill="FFFFFF"/>
            <w:tcMar>
              <w:top w:w="0" w:type="dxa"/>
              <w:left w:w="85" w:type="dxa"/>
              <w:bottom w:w="0" w:type="dxa"/>
              <w:right w:w="85" w:type="dxa"/>
            </w:tcMar>
          </w:tcPr>
          <w:p w14:paraId="1EB09408" w14:textId="77777777" w:rsidR="00BC0FD7" w:rsidRPr="001D5327" w:rsidRDefault="00BC0FD7" w:rsidP="00DA37CD">
            <w:pPr>
              <w:pStyle w:val="TableText"/>
              <w:spacing w:before="40" w:after="40"/>
              <w:jc w:val="right"/>
            </w:pPr>
            <w:r w:rsidRPr="001D5327">
              <w:rPr>
                <w:rFonts w:eastAsia="Calibri"/>
                <w:color w:val="000000"/>
              </w:rPr>
              <w:t>67</w:t>
            </w:r>
          </w:p>
        </w:tc>
        <w:tc>
          <w:tcPr>
            <w:tcW w:w="1836" w:type="dxa"/>
            <w:shd w:val="clear" w:color="auto" w:fill="FFFFFF"/>
            <w:tcMar>
              <w:top w:w="0" w:type="dxa"/>
              <w:left w:w="85" w:type="dxa"/>
              <w:bottom w:w="0" w:type="dxa"/>
              <w:right w:w="85" w:type="dxa"/>
            </w:tcMar>
          </w:tcPr>
          <w:p w14:paraId="772BBE3C" w14:textId="77777777" w:rsidR="00BC0FD7" w:rsidRPr="001D5327" w:rsidRDefault="00BC0FD7" w:rsidP="00DA37CD">
            <w:pPr>
              <w:pStyle w:val="TableText"/>
              <w:spacing w:before="40" w:after="40"/>
              <w:jc w:val="right"/>
            </w:pPr>
            <w:r w:rsidRPr="001D5327">
              <w:rPr>
                <w:rFonts w:eastAsia="Calibri"/>
                <w:color w:val="000000"/>
              </w:rPr>
              <w:t>20</w:t>
            </w:r>
          </w:p>
        </w:tc>
      </w:tr>
      <w:tr w:rsidR="00BC0FD7" w:rsidRPr="001D5327" w14:paraId="78B9A8F8" w14:textId="77777777" w:rsidTr="00DA37CD">
        <w:tc>
          <w:tcPr>
            <w:tcW w:w="2813" w:type="dxa"/>
            <w:shd w:val="clear" w:color="auto" w:fill="FFFFFF"/>
            <w:tcMar>
              <w:top w:w="0" w:type="dxa"/>
              <w:left w:w="85" w:type="dxa"/>
              <w:bottom w:w="0" w:type="dxa"/>
              <w:right w:w="85" w:type="dxa"/>
            </w:tcMar>
          </w:tcPr>
          <w:p w14:paraId="53E94AEB" w14:textId="77777777" w:rsidR="00BC0FD7" w:rsidRPr="001D5327" w:rsidRDefault="00BC0FD7" w:rsidP="00DA37CD">
            <w:pPr>
              <w:pStyle w:val="TableText"/>
              <w:spacing w:before="40" w:after="40"/>
            </w:pPr>
            <w:r w:rsidRPr="001D5327">
              <w:rPr>
                <w:rFonts w:eastAsia="Calibri"/>
                <w:color w:val="000000"/>
              </w:rPr>
              <w:t>Plastics</w:t>
            </w:r>
          </w:p>
        </w:tc>
        <w:tc>
          <w:tcPr>
            <w:tcW w:w="1010" w:type="dxa"/>
            <w:shd w:val="clear" w:color="auto" w:fill="FFFFFF"/>
            <w:tcMar>
              <w:top w:w="0" w:type="dxa"/>
              <w:left w:w="85" w:type="dxa"/>
              <w:bottom w:w="0" w:type="dxa"/>
              <w:right w:w="85" w:type="dxa"/>
            </w:tcMar>
          </w:tcPr>
          <w:p w14:paraId="37EC051E" w14:textId="77777777" w:rsidR="00BC0FD7" w:rsidRPr="001D5327" w:rsidRDefault="00BC0FD7" w:rsidP="00DA37CD">
            <w:pPr>
              <w:pStyle w:val="TableText"/>
              <w:spacing w:before="40" w:after="40"/>
              <w:jc w:val="right"/>
            </w:pPr>
            <w:r w:rsidRPr="001D5327">
              <w:rPr>
                <w:rFonts w:eastAsia="Calibri"/>
                <w:color w:val="000000"/>
              </w:rPr>
              <w:t>10.4</w:t>
            </w:r>
          </w:p>
        </w:tc>
        <w:tc>
          <w:tcPr>
            <w:tcW w:w="1275" w:type="dxa"/>
            <w:shd w:val="clear" w:color="auto" w:fill="FFFFFF"/>
            <w:tcMar>
              <w:top w:w="0" w:type="dxa"/>
              <w:left w:w="85" w:type="dxa"/>
              <w:bottom w:w="0" w:type="dxa"/>
              <w:right w:w="85" w:type="dxa"/>
            </w:tcMar>
          </w:tcPr>
          <w:p w14:paraId="748D3161" w14:textId="77777777" w:rsidR="00BC0FD7" w:rsidRPr="001D5327" w:rsidRDefault="00BC0FD7" w:rsidP="00DA37CD">
            <w:pPr>
              <w:pStyle w:val="TableText"/>
              <w:spacing w:before="40" w:after="40"/>
              <w:jc w:val="right"/>
            </w:pPr>
            <w:r w:rsidRPr="001D5327">
              <w:rPr>
                <w:rFonts w:eastAsia="Calibri"/>
                <w:color w:val="000000"/>
              </w:rPr>
              <w:t>100</w:t>
            </w:r>
          </w:p>
        </w:tc>
        <w:tc>
          <w:tcPr>
            <w:tcW w:w="1560" w:type="dxa"/>
            <w:shd w:val="clear" w:color="auto" w:fill="FFFFFF"/>
            <w:tcMar>
              <w:top w:w="0" w:type="dxa"/>
              <w:left w:w="85" w:type="dxa"/>
              <w:bottom w:w="0" w:type="dxa"/>
              <w:right w:w="85" w:type="dxa"/>
            </w:tcMar>
          </w:tcPr>
          <w:p w14:paraId="67AC3C23" w14:textId="77777777" w:rsidR="00BC0FD7" w:rsidRPr="001D5327" w:rsidRDefault="00BC0FD7" w:rsidP="00DA37CD">
            <w:pPr>
              <w:pStyle w:val="TableText"/>
              <w:spacing w:before="40" w:after="40"/>
              <w:jc w:val="right"/>
            </w:pPr>
            <w:r w:rsidRPr="001D5327">
              <w:rPr>
                <w:rFonts w:eastAsia="Calibri"/>
                <w:color w:val="000000"/>
              </w:rPr>
              <w:t>75</w:t>
            </w:r>
          </w:p>
        </w:tc>
        <w:tc>
          <w:tcPr>
            <w:tcW w:w="1836" w:type="dxa"/>
            <w:shd w:val="clear" w:color="auto" w:fill="FFFFFF"/>
            <w:tcMar>
              <w:top w:w="0" w:type="dxa"/>
              <w:left w:w="85" w:type="dxa"/>
              <w:bottom w:w="0" w:type="dxa"/>
              <w:right w:w="85" w:type="dxa"/>
            </w:tcMar>
          </w:tcPr>
          <w:p w14:paraId="558C0C1D" w14:textId="77777777" w:rsidR="00BC0FD7" w:rsidRPr="001D5327" w:rsidRDefault="00BC0FD7" w:rsidP="00DA37CD">
            <w:pPr>
              <w:pStyle w:val="TableText"/>
              <w:spacing w:before="40" w:after="40"/>
              <w:jc w:val="right"/>
            </w:pPr>
            <w:r w:rsidRPr="001D5327">
              <w:rPr>
                <w:rFonts w:eastAsia="Calibri"/>
                <w:color w:val="000000"/>
              </w:rPr>
              <w:t>100</w:t>
            </w:r>
          </w:p>
        </w:tc>
      </w:tr>
      <w:tr w:rsidR="00BC0FD7" w:rsidRPr="001D5327" w14:paraId="65E73DF8" w14:textId="77777777" w:rsidTr="00DA37CD">
        <w:tc>
          <w:tcPr>
            <w:tcW w:w="2813" w:type="dxa"/>
            <w:shd w:val="clear" w:color="auto" w:fill="FFFFFF"/>
            <w:tcMar>
              <w:top w:w="0" w:type="dxa"/>
              <w:left w:w="85" w:type="dxa"/>
              <w:bottom w:w="0" w:type="dxa"/>
              <w:right w:w="85" w:type="dxa"/>
            </w:tcMar>
          </w:tcPr>
          <w:p w14:paraId="05943CA4" w14:textId="77777777" w:rsidR="00BC0FD7" w:rsidRPr="001D5327" w:rsidRDefault="00BC0FD7" w:rsidP="00DA37CD">
            <w:pPr>
              <w:pStyle w:val="TableText"/>
              <w:spacing w:before="40" w:after="40"/>
            </w:pPr>
            <w:r w:rsidRPr="001D5327">
              <w:rPr>
                <w:rFonts w:eastAsia="Calibri"/>
                <w:color w:val="000000"/>
              </w:rPr>
              <w:t>Metal</w:t>
            </w:r>
          </w:p>
        </w:tc>
        <w:tc>
          <w:tcPr>
            <w:tcW w:w="1010" w:type="dxa"/>
            <w:shd w:val="clear" w:color="auto" w:fill="FFFFFF"/>
            <w:tcMar>
              <w:top w:w="0" w:type="dxa"/>
              <w:left w:w="85" w:type="dxa"/>
              <w:bottom w:w="0" w:type="dxa"/>
              <w:right w:w="85" w:type="dxa"/>
            </w:tcMar>
          </w:tcPr>
          <w:p w14:paraId="22E70D83" w14:textId="77777777" w:rsidR="00BC0FD7" w:rsidRPr="001D5327" w:rsidRDefault="00BC0FD7" w:rsidP="00DA37CD">
            <w:pPr>
              <w:pStyle w:val="TableText"/>
              <w:spacing w:before="40" w:after="40"/>
              <w:jc w:val="right"/>
            </w:pPr>
            <w:r w:rsidRPr="001D5327">
              <w:rPr>
                <w:rFonts w:eastAsia="Calibri"/>
                <w:color w:val="000000"/>
              </w:rPr>
              <w:t>2.4</w:t>
            </w:r>
          </w:p>
        </w:tc>
        <w:tc>
          <w:tcPr>
            <w:tcW w:w="1275" w:type="dxa"/>
            <w:shd w:val="clear" w:color="auto" w:fill="FFFFFF"/>
            <w:tcMar>
              <w:top w:w="0" w:type="dxa"/>
              <w:left w:w="85" w:type="dxa"/>
              <w:bottom w:w="0" w:type="dxa"/>
              <w:right w:w="85" w:type="dxa"/>
            </w:tcMar>
          </w:tcPr>
          <w:p w14:paraId="14FE1B55" w14:textId="77777777" w:rsidR="00BC0FD7" w:rsidRPr="001D5327" w:rsidRDefault="00BC0FD7" w:rsidP="00DA37CD">
            <w:pPr>
              <w:pStyle w:val="TableText"/>
              <w:spacing w:before="40" w:after="40"/>
              <w:jc w:val="right"/>
            </w:pPr>
            <w:r w:rsidRPr="001D5327">
              <w:rPr>
                <w:rFonts w:eastAsia="Calibri"/>
                <w:color w:val="000000"/>
              </w:rPr>
              <w:t>100</w:t>
            </w:r>
          </w:p>
        </w:tc>
        <w:tc>
          <w:tcPr>
            <w:tcW w:w="1560" w:type="dxa"/>
            <w:shd w:val="clear" w:color="auto" w:fill="FFFFFF"/>
            <w:tcMar>
              <w:top w:w="0" w:type="dxa"/>
              <w:left w:w="85" w:type="dxa"/>
              <w:bottom w:w="0" w:type="dxa"/>
              <w:right w:w="85" w:type="dxa"/>
            </w:tcMar>
          </w:tcPr>
          <w:p w14:paraId="736B3CF4" w14:textId="77777777" w:rsidR="00BC0FD7" w:rsidRPr="001D5327" w:rsidRDefault="00BC0FD7" w:rsidP="00DA37CD">
            <w:pPr>
              <w:pStyle w:val="TableText"/>
              <w:spacing w:before="40" w:after="40"/>
              <w:jc w:val="right"/>
            </w:pPr>
            <w:r w:rsidRPr="001D5327">
              <w:rPr>
                <w:rFonts w:eastAsia="Calibri"/>
                <w:color w:val="000000"/>
              </w:rPr>
              <w:t>NA</w:t>
            </w:r>
          </w:p>
        </w:tc>
        <w:tc>
          <w:tcPr>
            <w:tcW w:w="1836" w:type="dxa"/>
            <w:shd w:val="clear" w:color="auto" w:fill="FFFFFF"/>
            <w:tcMar>
              <w:top w:w="0" w:type="dxa"/>
              <w:left w:w="85" w:type="dxa"/>
              <w:bottom w:w="0" w:type="dxa"/>
              <w:right w:w="85" w:type="dxa"/>
            </w:tcMar>
          </w:tcPr>
          <w:p w14:paraId="740E5BDE" w14:textId="77777777" w:rsidR="00BC0FD7" w:rsidRPr="001D5327" w:rsidRDefault="00BC0FD7" w:rsidP="00DA37CD">
            <w:pPr>
              <w:pStyle w:val="TableText"/>
              <w:spacing w:before="40" w:after="40"/>
              <w:jc w:val="right"/>
            </w:pPr>
            <w:r w:rsidRPr="001D5327">
              <w:rPr>
                <w:rFonts w:eastAsia="Calibri"/>
                <w:color w:val="000000"/>
              </w:rPr>
              <w:t>NA</w:t>
            </w:r>
          </w:p>
        </w:tc>
      </w:tr>
      <w:tr w:rsidR="00BC0FD7" w:rsidRPr="001D5327" w14:paraId="47210EBF" w14:textId="77777777" w:rsidTr="00DA37CD">
        <w:tc>
          <w:tcPr>
            <w:tcW w:w="2813" w:type="dxa"/>
            <w:shd w:val="clear" w:color="auto" w:fill="FFFFFF"/>
            <w:tcMar>
              <w:top w:w="0" w:type="dxa"/>
              <w:left w:w="85" w:type="dxa"/>
              <w:bottom w:w="0" w:type="dxa"/>
              <w:right w:w="85" w:type="dxa"/>
            </w:tcMar>
          </w:tcPr>
          <w:p w14:paraId="734149B4" w14:textId="77777777" w:rsidR="00BC0FD7" w:rsidRPr="001D5327" w:rsidRDefault="00BC0FD7" w:rsidP="00DA37CD">
            <w:pPr>
              <w:pStyle w:val="TableText"/>
              <w:spacing w:before="40" w:after="40"/>
            </w:pPr>
            <w:r w:rsidRPr="001D5327">
              <w:rPr>
                <w:rFonts w:eastAsia="Calibri"/>
                <w:color w:val="000000"/>
              </w:rPr>
              <w:t>Glass</w:t>
            </w:r>
          </w:p>
        </w:tc>
        <w:tc>
          <w:tcPr>
            <w:tcW w:w="1010" w:type="dxa"/>
            <w:shd w:val="clear" w:color="auto" w:fill="FFFFFF"/>
            <w:tcMar>
              <w:top w:w="0" w:type="dxa"/>
              <w:left w:w="85" w:type="dxa"/>
              <w:bottom w:w="0" w:type="dxa"/>
              <w:right w:w="85" w:type="dxa"/>
            </w:tcMar>
          </w:tcPr>
          <w:p w14:paraId="2AB56CD6" w14:textId="77777777" w:rsidR="00BC0FD7" w:rsidRPr="001D5327" w:rsidRDefault="00BC0FD7" w:rsidP="00DA37CD">
            <w:pPr>
              <w:pStyle w:val="TableText"/>
              <w:spacing w:before="40" w:after="40"/>
              <w:jc w:val="right"/>
            </w:pPr>
            <w:r w:rsidRPr="001D5327">
              <w:rPr>
                <w:rFonts w:eastAsia="Calibri"/>
                <w:color w:val="000000"/>
              </w:rPr>
              <w:t>0.4</w:t>
            </w:r>
          </w:p>
        </w:tc>
        <w:tc>
          <w:tcPr>
            <w:tcW w:w="1275" w:type="dxa"/>
            <w:shd w:val="clear" w:color="auto" w:fill="FFFFFF"/>
            <w:tcMar>
              <w:top w:w="0" w:type="dxa"/>
              <w:left w:w="85" w:type="dxa"/>
              <w:bottom w:w="0" w:type="dxa"/>
              <w:right w:w="85" w:type="dxa"/>
            </w:tcMar>
          </w:tcPr>
          <w:p w14:paraId="0D1D1DB2" w14:textId="77777777" w:rsidR="00BC0FD7" w:rsidRPr="001D5327" w:rsidRDefault="00BC0FD7" w:rsidP="00DA37CD">
            <w:pPr>
              <w:pStyle w:val="TableText"/>
              <w:spacing w:before="40" w:after="40"/>
              <w:jc w:val="right"/>
            </w:pPr>
            <w:r w:rsidRPr="001D5327">
              <w:rPr>
                <w:rFonts w:eastAsia="Calibri"/>
                <w:color w:val="000000"/>
              </w:rPr>
              <w:t>100</w:t>
            </w:r>
          </w:p>
        </w:tc>
        <w:tc>
          <w:tcPr>
            <w:tcW w:w="1560" w:type="dxa"/>
            <w:shd w:val="clear" w:color="auto" w:fill="FFFFFF"/>
            <w:tcMar>
              <w:top w:w="0" w:type="dxa"/>
              <w:left w:w="85" w:type="dxa"/>
              <w:bottom w:w="0" w:type="dxa"/>
              <w:right w:w="85" w:type="dxa"/>
            </w:tcMar>
          </w:tcPr>
          <w:p w14:paraId="3108E1DF" w14:textId="77777777" w:rsidR="00BC0FD7" w:rsidRPr="001D5327" w:rsidRDefault="00BC0FD7" w:rsidP="00DA37CD">
            <w:pPr>
              <w:pStyle w:val="TableText"/>
              <w:spacing w:before="40" w:after="40"/>
              <w:jc w:val="right"/>
            </w:pPr>
            <w:r w:rsidRPr="001D5327">
              <w:rPr>
                <w:rFonts w:eastAsia="Calibri"/>
                <w:color w:val="000000"/>
              </w:rPr>
              <w:t>NA</w:t>
            </w:r>
          </w:p>
        </w:tc>
        <w:tc>
          <w:tcPr>
            <w:tcW w:w="1836" w:type="dxa"/>
            <w:shd w:val="clear" w:color="auto" w:fill="FFFFFF"/>
            <w:tcMar>
              <w:top w:w="0" w:type="dxa"/>
              <w:left w:w="85" w:type="dxa"/>
              <w:bottom w:w="0" w:type="dxa"/>
              <w:right w:w="85" w:type="dxa"/>
            </w:tcMar>
          </w:tcPr>
          <w:p w14:paraId="3CCE084C" w14:textId="77777777" w:rsidR="00BC0FD7" w:rsidRPr="001D5327" w:rsidRDefault="00BC0FD7" w:rsidP="00DA37CD">
            <w:pPr>
              <w:pStyle w:val="TableText"/>
              <w:spacing w:before="40" w:after="40"/>
              <w:jc w:val="right"/>
            </w:pPr>
            <w:r w:rsidRPr="001D5327">
              <w:rPr>
                <w:rFonts w:eastAsia="Calibri"/>
                <w:color w:val="000000"/>
              </w:rPr>
              <w:t>NA</w:t>
            </w:r>
          </w:p>
        </w:tc>
      </w:tr>
      <w:tr w:rsidR="00BC0FD7" w:rsidRPr="001D5327" w14:paraId="77ACB1AC" w14:textId="77777777" w:rsidTr="00DA37CD">
        <w:tc>
          <w:tcPr>
            <w:tcW w:w="2813" w:type="dxa"/>
            <w:shd w:val="clear" w:color="auto" w:fill="FFFFFF"/>
            <w:tcMar>
              <w:top w:w="0" w:type="dxa"/>
              <w:left w:w="85" w:type="dxa"/>
              <w:bottom w:w="0" w:type="dxa"/>
              <w:right w:w="85" w:type="dxa"/>
            </w:tcMar>
          </w:tcPr>
          <w:p w14:paraId="5A3F85A2" w14:textId="77777777" w:rsidR="00BC0FD7" w:rsidRPr="001D5327" w:rsidRDefault="00BC0FD7" w:rsidP="00DA37CD">
            <w:pPr>
              <w:pStyle w:val="TableText"/>
              <w:spacing w:before="40" w:after="40"/>
            </w:pPr>
            <w:r w:rsidRPr="001D5327">
              <w:rPr>
                <w:rFonts w:eastAsia="Calibri"/>
                <w:color w:val="000000"/>
              </w:rPr>
              <w:t>Other, inert</w:t>
            </w:r>
          </w:p>
        </w:tc>
        <w:tc>
          <w:tcPr>
            <w:tcW w:w="1010" w:type="dxa"/>
            <w:shd w:val="clear" w:color="auto" w:fill="FFFFFF"/>
            <w:tcMar>
              <w:top w:w="0" w:type="dxa"/>
              <w:left w:w="85" w:type="dxa"/>
              <w:bottom w:w="0" w:type="dxa"/>
              <w:right w:w="85" w:type="dxa"/>
            </w:tcMar>
          </w:tcPr>
          <w:p w14:paraId="51F6864C" w14:textId="77777777" w:rsidR="00BC0FD7" w:rsidRPr="001D5327" w:rsidRDefault="00BC0FD7" w:rsidP="00DA37CD">
            <w:pPr>
              <w:pStyle w:val="TableText"/>
              <w:spacing w:before="40" w:after="40"/>
              <w:jc w:val="right"/>
            </w:pPr>
            <w:r w:rsidRPr="001D5327">
              <w:rPr>
                <w:rFonts w:eastAsia="Calibri"/>
                <w:color w:val="000000"/>
              </w:rPr>
              <w:t>9.6</w:t>
            </w:r>
          </w:p>
        </w:tc>
        <w:tc>
          <w:tcPr>
            <w:tcW w:w="1275" w:type="dxa"/>
            <w:shd w:val="clear" w:color="auto" w:fill="FFFFFF"/>
            <w:tcMar>
              <w:top w:w="0" w:type="dxa"/>
              <w:left w:w="85" w:type="dxa"/>
              <w:bottom w:w="0" w:type="dxa"/>
              <w:right w:w="85" w:type="dxa"/>
            </w:tcMar>
          </w:tcPr>
          <w:p w14:paraId="798AE168" w14:textId="77777777" w:rsidR="00BC0FD7" w:rsidRPr="001D5327" w:rsidRDefault="00BC0FD7" w:rsidP="00DA37CD">
            <w:pPr>
              <w:pStyle w:val="TableText"/>
              <w:spacing w:before="40" w:after="40"/>
              <w:jc w:val="right"/>
            </w:pPr>
            <w:r w:rsidRPr="001D5327">
              <w:rPr>
                <w:rFonts w:eastAsia="Calibri"/>
                <w:color w:val="000000"/>
              </w:rPr>
              <w:t>90</w:t>
            </w:r>
          </w:p>
        </w:tc>
        <w:tc>
          <w:tcPr>
            <w:tcW w:w="1560" w:type="dxa"/>
            <w:shd w:val="clear" w:color="auto" w:fill="FFFFFF"/>
            <w:tcMar>
              <w:top w:w="0" w:type="dxa"/>
              <w:left w:w="85" w:type="dxa"/>
              <w:bottom w:w="0" w:type="dxa"/>
              <w:right w:w="85" w:type="dxa"/>
            </w:tcMar>
          </w:tcPr>
          <w:p w14:paraId="5FF63DC7" w14:textId="77777777" w:rsidR="00BC0FD7" w:rsidRPr="001D5327" w:rsidRDefault="00BC0FD7" w:rsidP="00DA37CD">
            <w:pPr>
              <w:pStyle w:val="TableText"/>
              <w:spacing w:before="40" w:after="40"/>
              <w:jc w:val="right"/>
            </w:pPr>
            <w:r w:rsidRPr="001D5327">
              <w:rPr>
                <w:rFonts w:eastAsia="Calibri"/>
                <w:color w:val="000000"/>
              </w:rPr>
              <w:t>3</w:t>
            </w:r>
          </w:p>
        </w:tc>
        <w:tc>
          <w:tcPr>
            <w:tcW w:w="1836" w:type="dxa"/>
            <w:shd w:val="clear" w:color="auto" w:fill="FFFFFF"/>
            <w:tcMar>
              <w:top w:w="0" w:type="dxa"/>
              <w:left w:w="85" w:type="dxa"/>
              <w:bottom w:w="0" w:type="dxa"/>
              <w:right w:w="85" w:type="dxa"/>
            </w:tcMar>
          </w:tcPr>
          <w:p w14:paraId="04ACE3D2" w14:textId="77777777" w:rsidR="00BC0FD7" w:rsidRPr="001D5327" w:rsidRDefault="00BC0FD7" w:rsidP="00DA37CD">
            <w:pPr>
              <w:pStyle w:val="TableText"/>
              <w:spacing w:before="40" w:after="40"/>
              <w:jc w:val="right"/>
            </w:pPr>
            <w:r w:rsidRPr="001D5327">
              <w:rPr>
                <w:rFonts w:eastAsia="Calibri"/>
                <w:color w:val="000000"/>
              </w:rPr>
              <w:t>100</w:t>
            </w:r>
          </w:p>
        </w:tc>
      </w:tr>
      <w:tr w:rsidR="00BC0FD7" w:rsidRPr="001D5327" w14:paraId="13874371" w14:textId="77777777" w:rsidTr="00DA37CD">
        <w:tc>
          <w:tcPr>
            <w:tcW w:w="2813" w:type="dxa"/>
            <w:shd w:val="clear" w:color="auto" w:fill="FFFFFF"/>
            <w:tcMar>
              <w:top w:w="0" w:type="dxa"/>
              <w:left w:w="85" w:type="dxa"/>
              <w:bottom w:w="0" w:type="dxa"/>
              <w:right w:w="85" w:type="dxa"/>
            </w:tcMar>
          </w:tcPr>
          <w:p w14:paraId="37291124" w14:textId="77777777" w:rsidR="00BC0FD7" w:rsidRPr="001D5327" w:rsidRDefault="00BC0FD7" w:rsidP="00DA37CD">
            <w:pPr>
              <w:pStyle w:val="Tableboldblue"/>
              <w:spacing w:before="40" w:after="40"/>
            </w:pPr>
            <w:r w:rsidRPr="001D5327">
              <w:t>Weighted average</w:t>
            </w:r>
          </w:p>
        </w:tc>
        <w:tc>
          <w:tcPr>
            <w:tcW w:w="1010" w:type="dxa"/>
            <w:shd w:val="clear" w:color="auto" w:fill="FFFFFF"/>
            <w:tcMar>
              <w:top w:w="0" w:type="dxa"/>
              <w:left w:w="85" w:type="dxa"/>
              <w:bottom w:w="0" w:type="dxa"/>
              <w:right w:w="85" w:type="dxa"/>
            </w:tcMar>
          </w:tcPr>
          <w:p w14:paraId="3D835D15" w14:textId="77777777" w:rsidR="00BC0FD7" w:rsidRPr="001D5327" w:rsidRDefault="00BC0FD7" w:rsidP="00DA37CD">
            <w:pPr>
              <w:pStyle w:val="Tableboldblue"/>
              <w:spacing w:before="40" w:after="40"/>
              <w:jc w:val="right"/>
            </w:pPr>
            <w:r w:rsidRPr="001D5327">
              <w:t>NA</w:t>
            </w:r>
          </w:p>
        </w:tc>
        <w:tc>
          <w:tcPr>
            <w:tcW w:w="1275" w:type="dxa"/>
            <w:shd w:val="clear" w:color="auto" w:fill="FFFFFF"/>
            <w:tcMar>
              <w:top w:w="0" w:type="dxa"/>
              <w:left w:w="85" w:type="dxa"/>
              <w:bottom w:w="0" w:type="dxa"/>
              <w:right w:w="85" w:type="dxa"/>
            </w:tcMar>
          </w:tcPr>
          <w:p w14:paraId="7396C1A6" w14:textId="77777777" w:rsidR="00BC0FD7" w:rsidRPr="001D5327" w:rsidRDefault="00BC0FD7" w:rsidP="00DA37CD">
            <w:pPr>
              <w:pStyle w:val="Tableboldblue"/>
              <w:spacing w:before="40" w:after="40"/>
              <w:jc w:val="right"/>
            </w:pPr>
            <w:r w:rsidRPr="001D5327">
              <w:t>79.7</w:t>
            </w:r>
          </w:p>
        </w:tc>
        <w:tc>
          <w:tcPr>
            <w:tcW w:w="1560" w:type="dxa"/>
            <w:shd w:val="clear" w:color="auto" w:fill="FFFFFF"/>
            <w:tcMar>
              <w:top w:w="0" w:type="dxa"/>
              <w:left w:w="85" w:type="dxa"/>
              <w:bottom w:w="0" w:type="dxa"/>
              <w:right w:w="85" w:type="dxa"/>
            </w:tcMar>
          </w:tcPr>
          <w:p w14:paraId="798FE108" w14:textId="77777777" w:rsidR="00BC0FD7" w:rsidRPr="001D5327" w:rsidRDefault="00BC0FD7" w:rsidP="00DA37CD">
            <w:pPr>
              <w:pStyle w:val="Tableboldblue"/>
              <w:spacing w:before="40" w:after="40"/>
              <w:jc w:val="right"/>
            </w:pPr>
            <w:r w:rsidRPr="001D5327">
              <w:t>44.8</w:t>
            </w:r>
          </w:p>
        </w:tc>
        <w:tc>
          <w:tcPr>
            <w:tcW w:w="1836" w:type="dxa"/>
            <w:shd w:val="clear" w:color="auto" w:fill="FFFFFF"/>
            <w:tcMar>
              <w:top w:w="0" w:type="dxa"/>
              <w:left w:w="85" w:type="dxa"/>
              <w:bottom w:w="0" w:type="dxa"/>
              <w:right w:w="85" w:type="dxa"/>
            </w:tcMar>
          </w:tcPr>
          <w:p w14:paraId="1FB8E71F" w14:textId="77777777" w:rsidR="00BC0FD7" w:rsidRPr="001D5327" w:rsidRDefault="00BC0FD7" w:rsidP="00DA37CD">
            <w:pPr>
              <w:pStyle w:val="Tableboldblue"/>
              <w:spacing w:before="40" w:after="40"/>
              <w:jc w:val="right"/>
            </w:pPr>
            <w:r w:rsidRPr="001D5327">
              <w:t>24</w:t>
            </w:r>
          </w:p>
        </w:tc>
      </w:tr>
    </w:tbl>
    <w:p w14:paraId="4732FBD9" w14:textId="77777777" w:rsidR="00BC0FD7" w:rsidRPr="001D5327" w:rsidRDefault="00BC0FD7" w:rsidP="00BC0FD7">
      <w:pPr>
        <w:pStyle w:val="Noteundertable"/>
      </w:pPr>
      <w:r w:rsidRPr="001D5327">
        <w:t>Source: Dry-matter content, total carbon content and fossil carbon content values are from table 2.4 in IPCC, 2006a</w:t>
      </w:r>
    </w:p>
    <w:p w14:paraId="09F49DB6" w14:textId="77777777" w:rsidR="00BC0FD7" w:rsidRPr="001D5327" w:rsidRDefault="00BC0FD7" w:rsidP="00BC0FD7">
      <w:pPr>
        <w:pStyle w:val="Noteundertable"/>
        <w:spacing w:before="0"/>
      </w:pPr>
      <w:r w:rsidRPr="001D5327">
        <w:rPr>
          <w:b/>
          <w:bCs/>
        </w:rPr>
        <w:t>Note:</w:t>
      </w:r>
      <w:r w:rsidRPr="001D5327">
        <w:t xml:space="preserve"> NA = not applicable.</w:t>
      </w:r>
    </w:p>
    <w:bookmarkEnd w:id="2855"/>
    <w:p w14:paraId="0852F57C" w14:textId="77777777" w:rsidR="00BC0FD7" w:rsidRPr="001D5327" w:rsidRDefault="00BC0FD7" w:rsidP="00BC0FD7">
      <w:pPr>
        <w:pStyle w:val="Heading4"/>
      </w:pPr>
      <w:r w:rsidRPr="001D5327">
        <w:t>Choice of emission factors</w:t>
      </w:r>
    </w:p>
    <w:p w14:paraId="71A04985" w14:textId="5D165655" w:rsidR="00BC0FD7" w:rsidRPr="001D5327" w:rsidRDefault="009A568A" w:rsidP="00BC0FD7">
      <w:pPr>
        <w:pStyle w:val="Heading5"/>
      </w:pPr>
      <w:bookmarkStart w:id="2857" w:name="incineration-5.c.1-2"/>
      <w:r>
        <w:t>Waste i</w:t>
      </w:r>
      <w:r w:rsidR="00BC0FD7" w:rsidRPr="001D5327">
        <w:t>ncineration (5.C.1)</w:t>
      </w:r>
    </w:p>
    <w:p w14:paraId="2D316B5A" w14:textId="77777777" w:rsidR="00BC0FD7" w:rsidRPr="001D5327" w:rsidRDefault="00BC0FD7" w:rsidP="00BC0FD7">
      <w:pPr>
        <w:pStyle w:val="BodyText"/>
      </w:pPr>
      <w:r w:rsidRPr="001D5327">
        <w:t>The parameters used to calculate emissions from incineration are detailed in table 7.4.4.</w:t>
      </w:r>
    </w:p>
    <w:p w14:paraId="5BF0353C" w14:textId="77777777" w:rsidR="00BC0FD7" w:rsidRPr="001D5327" w:rsidRDefault="00BC0FD7" w:rsidP="00BC0FD7">
      <w:pPr>
        <w:pStyle w:val="Table"/>
      </w:pPr>
      <w:bookmarkStart w:id="2858" w:name="_Toc194241813"/>
      <w:r w:rsidRPr="001D5327">
        <w:t xml:space="preserve">Table 7.4.4 </w:t>
      </w:r>
      <w:r w:rsidRPr="001D5327">
        <w:tab/>
        <w:t xml:space="preserve">Parameter values applied to estimate emissions from </w:t>
      </w:r>
      <w:r w:rsidRPr="001D5327">
        <w:rPr>
          <w:i/>
          <w:iCs/>
        </w:rPr>
        <w:t>Incineration</w:t>
      </w:r>
      <w:bookmarkEnd w:id="2858"/>
    </w:p>
    <w:tbl>
      <w:tblPr>
        <w:tblW w:w="8494" w:type="dxa"/>
        <w:tblBorders>
          <w:top w:val="single" w:sz="4" w:space="0" w:color="1B556B"/>
          <w:bottom w:val="single" w:sz="4" w:space="0" w:color="1B556B"/>
          <w:insideH w:val="single" w:sz="4" w:space="0" w:color="1B556B"/>
        </w:tblBorders>
        <w:tblLayout w:type="fixed"/>
        <w:tblCellMar>
          <w:left w:w="85" w:type="dxa"/>
          <w:right w:w="85" w:type="dxa"/>
        </w:tblCellMar>
        <w:tblLook w:val="0420" w:firstRow="1" w:lastRow="0" w:firstColumn="0" w:lastColumn="0" w:noHBand="0" w:noVBand="1"/>
      </w:tblPr>
      <w:tblGrid>
        <w:gridCol w:w="2999"/>
        <w:gridCol w:w="1327"/>
        <w:gridCol w:w="1616"/>
        <w:gridCol w:w="1096"/>
        <w:gridCol w:w="1456"/>
      </w:tblGrid>
      <w:tr w:rsidR="00BC0FD7" w:rsidRPr="001D5327" w14:paraId="61A19201" w14:textId="77777777" w:rsidTr="00DA37CD">
        <w:trPr>
          <w:tblHeader/>
        </w:trPr>
        <w:tc>
          <w:tcPr>
            <w:tcW w:w="2948" w:type="dxa"/>
            <w:shd w:val="clear" w:color="auto" w:fill="1B556B"/>
            <w:tcMar>
              <w:top w:w="0" w:type="dxa"/>
              <w:left w:w="85" w:type="dxa"/>
              <w:bottom w:w="0" w:type="dxa"/>
              <w:right w:w="85" w:type="dxa"/>
            </w:tcMar>
            <w:vAlign w:val="bottom"/>
          </w:tcPr>
          <w:p w14:paraId="29371AF6"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Parameter</w:t>
            </w:r>
          </w:p>
        </w:tc>
        <w:tc>
          <w:tcPr>
            <w:tcW w:w="1304" w:type="dxa"/>
            <w:shd w:val="clear" w:color="auto" w:fill="1B556B"/>
            <w:tcMar>
              <w:top w:w="0" w:type="dxa"/>
              <w:left w:w="85" w:type="dxa"/>
              <w:bottom w:w="0" w:type="dxa"/>
              <w:right w:w="85" w:type="dxa"/>
            </w:tcMar>
            <w:vAlign w:val="bottom"/>
          </w:tcPr>
          <w:p w14:paraId="421212E1"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Hazardous waste</w:t>
            </w:r>
          </w:p>
        </w:tc>
        <w:tc>
          <w:tcPr>
            <w:tcW w:w="1588" w:type="dxa"/>
            <w:shd w:val="clear" w:color="auto" w:fill="1B556B"/>
            <w:tcMar>
              <w:top w:w="0" w:type="dxa"/>
              <w:left w:w="85" w:type="dxa"/>
              <w:bottom w:w="0" w:type="dxa"/>
              <w:right w:w="85" w:type="dxa"/>
            </w:tcMar>
            <w:vAlign w:val="bottom"/>
          </w:tcPr>
          <w:p w14:paraId="4A6B0E77"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Clinical wastes</w:t>
            </w:r>
          </w:p>
        </w:tc>
        <w:tc>
          <w:tcPr>
            <w:tcW w:w="1077" w:type="dxa"/>
            <w:shd w:val="clear" w:color="auto" w:fill="1B556B"/>
            <w:tcMar>
              <w:top w:w="0" w:type="dxa"/>
              <w:left w:w="85" w:type="dxa"/>
              <w:bottom w:w="0" w:type="dxa"/>
              <w:right w:w="85" w:type="dxa"/>
            </w:tcMar>
            <w:vAlign w:val="bottom"/>
          </w:tcPr>
          <w:p w14:paraId="0816C513"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Sewage sludge</w:t>
            </w:r>
          </w:p>
        </w:tc>
        <w:tc>
          <w:tcPr>
            <w:tcW w:w="1431" w:type="dxa"/>
            <w:shd w:val="clear" w:color="auto" w:fill="1B556B"/>
            <w:tcMar>
              <w:top w:w="0" w:type="dxa"/>
              <w:left w:w="85" w:type="dxa"/>
              <w:bottom w:w="0" w:type="dxa"/>
              <w:right w:w="85" w:type="dxa"/>
            </w:tcMar>
            <w:vAlign w:val="bottom"/>
          </w:tcPr>
          <w:p w14:paraId="6C931535"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Source</w:t>
            </w:r>
          </w:p>
        </w:tc>
      </w:tr>
      <w:tr w:rsidR="00BC0FD7" w:rsidRPr="001D5327" w14:paraId="344C27A7" w14:textId="77777777" w:rsidTr="00DA37CD">
        <w:tc>
          <w:tcPr>
            <w:tcW w:w="2948" w:type="dxa"/>
            <w:shd w:val="clear" w:color="auto" w:fill="FFFFFF"/>
            <w:tcMar>
              <w:top w:w="0" w:type="dxa"/>
              <w:left w:w="85" w:type="dxa"/>
              <w:bottom w:w="0" w:type="dxa"/>
              <w:right w:w="85" w:type="dxa"/>
            </w:tcMar>
          </w:tcPr>
          <w:p w14:paraId="0E6B2508" w14:textId="77777777" w:rsidR="00BC0FD7" w:rsidRPr="001D5327" w:rsidRDefault="00BC0FD7" w:rsidP="00D11AC9">
            <w:pPr>
              <w:pStyle w:val="TableText"/>
              <w:spacing w:before="40" w:after="40"/>
            </w:pPr>
            <w:r w:rsidRPr="001D5327">
              <w:rPr>
                <w:rFonts w:eastAsia="Calibri"/>
                <w:color w:val="000000"/>
              </w:rPr>
              <w:t>Dry-matter content in waste (%)</w:t>
            </w:r>
          </w:p>
        </w:tc>
        <w:tc>
          <w:tcPr>
            <w:tcW w:w="1304" w:type="dxa"/>
            <w:shd w:val="clear" w:color="auto" w:fill="FFFFFF"/>
            <w:tcMar>
              <w:top w:w="0" w:type="dxa"/>
              <w:left w:w="85" w:type="dxa"/>
              <w:bottom w:w="0" w:type="dxa"/>
              <w:right w:w="85" w:type="dxa"/>
            </w:tcMar>
          </w:tcPr>
          <w:p w14:paraId="3F785044" w14:textId="77777777" w:rsidR="00BC0FD7" w:rsidRPr="001D5327" w:rsidRDefault="00BC0FD7" w:rsidP="00D11AC9">
            <w:pPr>
              <w:pStyle w:val="TableText"/>
              <w:spacing w:before="40" w:after="40"/>
            </w:pPr>
            <w:r w:rsidRPr="001D5327">
              <w:rPr>
                <w:rFonts w:eastAsia="Calibri"/>
                <w:color w:val="000000"/>
              </w:rPr>
              <w:t xml:space="preserve">50 </w:t>
            </w:r>
            <w:r w:rsidRPr="001D5327">
              <w:rPr>
                <w:rFonts w:eastAsia="Calibri"/>
                <w:color w:val="000000"/>
              </w:rPr>
              <w:br/>
              <w:t>(table 2.6)</w:t>
            </w:r>
          </w:p>
        </w:tc>
        <w:tc>
          <w:tcPr>
            <w:tcW w:w="1588" w:type="dxa"/>
            <w:shd w:val="clear" w:color="auto" w:fill="FFFFFF"/>
            <w:tcMar>
              <w:top w:w="0" w:type="dxa"/>
              <w:left w:w="85" w:type="dxa"/>
              <w:bottom w:w="0" w:type="dxa"/>
              <w:right w:w="85" w:type="dxa"/>
            </w:tcMar>
          </w:tcPr>
          <w:p w14:paraId="05AC0890" w14:textId="77777777" w:rsidR="00BC0FD7" w:rsidRPr="001D5327" w:rsidRDefault="00BC0FD7" w:rsidP="00D11AC9">
            <w:pPr>
              <w:pStyle w:val="TableText"/>
              <w:spacing w:before="40" w:after="40"/>
            </w:pPr>
            <w:r w:rsidRPr="001D5327">
              <w:rPr>
                <w:rFonts w:eastAsia="Calibri"/>
                <w:color w:val="000000"/>
              </w:rPr>
              <w:t xml:space="preserve">65 </w:t>
            </w:r>
            <w:r w:rsidRPr="001D5327">
              <w:rPr>
                <w:rFonts w:eastAsia="Calibri"/>
                <w:color w:val="000000"/>
              </w:rPr>
              <w:br/>
              <w:t>(table 2.6)</w:t>
            </w:r>
          </w:p>
        </w:tc>
        <w:tc>
          <w:tcPr>
            <w:tcW w:w="1077" w:type="dxa"/>
            <w:shd w:val="clear" w:color="auto" w:fill="FFFFFF"/>
            <w:tcMar>
              <w:top w:w="0" w:type="dxa"/>
              <w:left w:w="85" w:type="dxa"/>
              <w:bottom w:w="0" w:type="dxa"/>
              <w:right w:w="85" w:type="dxa"/>
            </w:tcMar>
          </w:tcPr>
          <w:p w14:paraId="33D13735" w14:textId="77777777" w:rsidR="00BC0FD7" w:rsidRPr="001D5327" w:rsidRDefault="00BC0FD7" w:rsidP="00D11AC9">
            <w:pPr>
              <w:pStyle w:val="TableText"/>
              <w:spacing w:before="40" w:after="40"/>
            </w:pPr>
            <w:r w:rsidRPr="001D5327">
              <w:rPr>
                <w:rFonts w:eastAsia="Calibri"/>
                <w:color w:val="000000"/>
              </w:rPr>
              <w:t xml:space="preserve">10 </w:t>
            </w:r>
            <w:r w:rsidRPr="001D5327">
              <w:rPr>
                <w:rFonts w:eastAsia="Calibri"/>
                <w:color w:val="000000"/>
              </w:rPr>
              <w:br/>
              <w:t>(section 2.3.2)</w:t>
            </w:r>
          </w:p>
        </w:tc>
        <w:tc>
          <w:tcPr>
            <w:tcW w:w="1431" w:type="dxa"/>
            <w:shd w:val="clear" w:color="auto" w:fill="FFFFFF"/>
            <w:tcMar>
              <w:top w:w="0" w:type="dxa"/>
              <w:left w:w="85" w:type="dxa"/>
              <w:bottom w:w="0" w:type="dxa"/>
              <w:right w:w="85" w:type="dxa"/>
            </w:tcMar>
          </w:tcPr>
          <w:p w14:paraId="7C3FBD3F" w14:textId="77777777" w:rsidR="00BC0FD7" w:rsidRPr="001D5327" w:rsidRDefault="00BC0FD7" w:rsidP="00D11AC9">
            <w:pPr>
              <w:pStyle w:val="TableText"/>
              <w:spacing w:before="40" w:after="40"/>
            </w:pPr>
            <w:r w:rsidRPr="001D5327">
              <w:rPr>
                <w:rFonts w:eastAsia="Calibri"/>
                <w:color w:val="000000"/>
              </w:rPr>
              <w:t>IPCC (2006a)</w:t>
            </w:r>
          </w:p>
        </w:tc>
      </w:tr>
      <w:tr w:rsidR="00BC0FD7" w:rsidRPr="001D5327" w14:paraId="72598A56" w14:textId="77777777" w:rsidTr="00DA37CD">
        <w:tc>
          <w:tcPr>
            <w:tcW w:w="2948" w:type="dxa"/>
            <w:shd w:val="clear" w:color="auto" w:fill="FFFFFF"/>
            <w:tcMar>
              <w:top w:w="0" w:type="dxa"/>
              <w:left w:w="85" w:type="dxa"/>
              <w:bottom w:w="0" w:type="dxa"/>
              <w:right w:w="85" w:type="dxa"/>
            </w:tcMar>
          </w:tcPr>
          <w:p w14:paraId="6899FE9E" w14:textId="77777777" w:rsidR="00BC0FD7" w:rsidRPr="001D5327" w:rsidRDefault="00BC0FD7" w:rsidP="00D11AC9">
            <w:pPr>
              <w:pStyle w:val="TableText"/>
              <w:spacing w:before="40" w:after="40"/>
            </w:pPr>
            <w:r w:rsidRPr="001D5327">
              <w:rPr>
                <w:rFonts w:eastAsia="Calibri"/>
                <w:color w:val="000000"/>
              </w:rPr>
              <w:t>Fraction of carbon</w:t>
            </w:r>
          </w:p>
        </w:tc>
        <w:tc>
          <w:tcPr>
            <w:tcW w:w="1304" w:type="dxa"/>
            <w:shd w:val="clear" w:color="auto" w:fill="FFFFFF"/>
            <w:tcMar>
              <w:top w:w="0" w:type="dxa"/>
              <w:left w:w="85" w:type="dxa"/>
              <w:bottom w:w="0" w:type="dxa"/>
              <w:right w:w="85" w:type="dxa"/>
            </w:tcMar>
          </w:tcPr>
          <w:p w14:paraId="76C9E224" w14:textId="77777777" w:rsidR="00BC0FD7" w:rsidRPr="001D5327" w:rsidRDefault="00BC0FD7" w:rsidP="00D11AC9">
            <w:pPr>
              <w:pStyle w:val="TableText"/>
              <w:spacing w:before="40" w:after="40"/>
            </w:pPr>
            <w:r w:rsidRPr="001D5327">
              <w:rPr>
                <w:rFonts w:eastAsia="Calibri"/>
                <w:color w:val="000000"/>
              </w:rPr>
              <w:t xml:space="preserve">0.275 (wet) </w:t>
            </w:r>
            <w:r w:rsidRPr="001D5327">
              <w:rPr>
                <w:rFonts w:eastAsia="Calibri"/>
                <w:color w:val="000000"/>
              </w:rPr>
              <w:br/>
              <w:t>(table 2.6)</w:t>
            </w:r>
          </w:p>
        </w:tc>
        <w:tc>
          <w:tcPr>
            <w:tcW w:w="1588" w:type="dxa"/>
            <w:shd w:val="clear" w:color="auto" w:fill="FFFFFF"/>
            <w:tcMar>
              <w:top w:w="0" w:type="dxa"/>
              <w:left w:w="85" w:type="dxa"/>
              <w:bottom w:w="0" w:type="dxa"/>
              <w:right w:w="85" w:type="dxa"/>
            </w:tcMar>
          </w:tcPr>
          <w:p w14:paraId="39F56AC0" w14:textId="77777777" w:rsidR="00BC0FD7" w:rsidRPr="001D5327" w:rsidRDefault="00BC0FD7" w:rsidP="00D11AC9">
            <w:pPr>
              <w:pStyle w:val="TableText"/>
              <w:spacing w:before="40" w:after="40"/>
            </w:pPr>
            <w:r w:rsidRPr="001D5327">
              <w:rPr>
                <w:rFonts w:eastAsia="Calibri"/>
                <w:color w:val="000000"/>
              </w:rPr>
              <w:t xml:space="preserve">0.6 (dry) </w:t>
            </w:r>
            <w:r w:rsidRPr="001D5327">
              <w:rPr>
                <w:rFonts w:eastAsia="Calibri"/>
                <w:color w:val="000000"/>
              </w:rPr>
              <w:br/>
              <w:t>(table 5.2)</w:t>
            </w:r>
          </w:p>
        </w:tc>
        <w:tc>
          <w:tcPr>
            <w:tcW w:w="1077" w:type="dxa"/>
            <w:shd w:val="clear" w:color="auto" w:fill="FFFFFF"/>
            <w:tcMar>
              <w:top w:w="0" w:type="dxa"/>
              <w:left w:w="85" w:type="dxa"/>
              <w:bottom w:w="0" w:type="dxa"/>
              <w:right w:w="85" w:type="dxa"/>
            </w:tcMar>
          </w:tcPr>
          <w:p w14:paraId="170D2257" w14:textId="77777777" w:rsidR="00BC0FD7" w:rsidRPr="001D5327" w:rsidRDefault="00BC0FD7" w:rsidP="00D11AC9">
            <w:pPr>
              <w:pStyle w:val="TableText"/>
              <w:spacing w:before="40" w:after="40"/>
            </w:pPr>
            <w:r w:rsidRPr="001D5327">
              <w:rPr>
                <w:rFonts w:eastAsia="Calibri"/>
                <w:color w:val="000000"/>
              </w:rPr>
              <w:t xml:space="preserve">0.45 (dry) </w:t>
            </w:r>
            <w:r w:rsidRPr="001D5327">
              <w:rPr>
                <w:rFonts w:eastAsia="Calibri"/>
                <w:color w:val="000000"/>
              </w:rPr>
              <w:br/>
              <w:t>(table 5.2)</w:t>
            </w:r>
          </w:p>
        </w:tc>
        <w:tc>
          <w:tcPr>
            <w:tcW w:w="1431" w:type="dxa"/>
            <w:shd w:val="clear" w:color="auto" w:fill="FFFFFF"/>
            <w:tcMar>
              <w:top w:w="0" w:type="dxa"/>
              <w:left w:w="85" w:type="dxa"/>
              <w:bottom w:w="0" w:type="dxa"/>
              <w:right w:w="85" w:type="dxa"/>
            </w:tcMar>
          </w:tcPr>
          <w:p w14:paraId="6DEB2E3B" w14:textId="77777777" w:rsidR="00BC0FD7" w:rsidRPr="001D5327" w:rsidRDefault="00BC0FD7" w:rsidP="00D11AC9">
            <w:pPr>
              <w:pStyle w:val="TableText"/>
              <w:spacing w:before="40" w:after="40"/>
            </w:pPr>
            <w:r w:rsidRPr="001D5327">
              <w:rPr>
                <w:rFonts w:eastAsia="Calibri"/>
                <w:color w:val="000000"/>
              </w:rPr>
              <w:t>IPCC (2006a)</w:t>
            </w:r>
          </w:p>
        </w:tc>
      </w:tr>
      <w:tr w:rsidR="00BC0FD7" w:rsidRPr="001D5327" w14:paraId="3E17B0D9" w14:textId="77777777" w:rsidTr="00DA37CD">
        <w:tc>
          <w:tcPr>
            <w:tcW w:w="2948" w:type="dxa"/>
            <w:shd w:val="clear" w:color="auto" w:fill="FFFFFF"/>
            <w:tcMar>
              <w:top w:w="0" w:type="dxa"/>
              <w:left w:w="85" w:type="dxa"/>
              <w:bottom w:w="0" w:type="dxa"/>
              <w:right w:w="85" w:type="dxa"/>
            </w:tcMar>
          </w:tcPr>
          <w:p w14:paraId="701CFDA6" w14:textId="77777777" w:rsidR="00BC0FD7" w:rsidRPr="001D5327" w:rsidRDefault="00BC0FD7" w:rsidP="00D11AC9">
            <w:pPr>
              <w:pStyle w:val="TableText"/>
              <w:spacing w:before="40" w:after="40"/>
            </w:pPr>
            <w:r w:rsidRPr="001D5327">
              <w:rPr>
                <w:rFonts w:eastAsia="Calibri"/>
                <w:color w:val="000000"/>
              </w:rPr>
              <w:t>Fraction of fossil carbon in total carbon</w:t>
            </w:r>
          </w:p>
        </w:tc>
        <w:tc>
          <w:tcPr>
            <w:tcW w:w="1304" w:type="dxa"/>
            <w:shd w:val="clear" w:color="auto" w:fill="FFFFFF"/>
            <w:tcMar>
              <w:top w:w="0" w:type="dxa"/>
              <w:left w:w="85" w:type="dxa"/>
              <w:bottom w:w="0" w:type="dxa"/>
              <w:right w:w="85" w:type="dxa"/>
            </w:tcMar>
          </w:tcPr>
          <w:p w14:paraId="233BC59D" w14:textId="77777777" w:rsidR="00BC0FD7" w:rsidRPr="001D5327" w:rsidRDefault="00BC0FD7" w:rsidP="00D11AC9">
            <w:pPr>
              <w:pStyle w:val="TableText"/>
              <w:spacing w:before="40" w:after="40"/>
            </w:pPr>
            <w:r w:rsidRPr="001D5327">
              <w:rPr>
                <w:rFonts w:eastAsia="Calibri"/>
                <w:color w:val="000000"/>
              </w:rPr>
              <w:t xml:space="preserve">1 </w:t>
            </w:r>
            <w:r w:rsidRPr="001D5327">
              <w:rPr>
                <w:rFonts w:eastAsia="Calibri"/>
                <w:color w:val="000000"/>
              </w:rPr>
              <w:br/>
              <w:t>(table 2.6)</w:t>
            </w:r>
          </w:p>
        </w:tc>
        <w:tc>
          <w:tcPr>
            <w:tcW w:w="1588" w:type="dxa"/>
            <w:shd w:val="clear" w:color="auto" w:fill="FFFFFF"/>
            <w:tcMar>
              <w:top w:w="0" w:type="dxa"/>
              <w:left w:w="85" w:type="dxa"/>
              <w:bottom w:w="0" w:type="dxa"/>
              <w:right w:w="85" w:type="dxa"/>
            </w:tcMar>
          </w:tcPr>
          <w:p w14:paraId="4718D8B3" w14:textId="77777777" w:rsidR="00BC0FD7" w:rsidRPr="001D5327" w:rsidRDefault="00BC0FD7" w:rsidP="00D11AC9">
            <w:pPr>
              <w:pStyle w:val="TableText"/>
              <w:spacing w:before="40" w:after="40"/>
            </w:pPr>
            <w:r w:rsidRPr="001D5327">
              <w:rPr>
                <w:rFonts w:eastAsia="Calibri"/>
                <w:color w:val="000000"/>
              </w:rPr>
              <w:t xml:space="preserve">0.4 </w:t>
            </w:r>
            <w:r w:rsidRPr="001D5327">
              <w:rPr>
                <w:rFonts w:eastAsia="Calibri"/>
                <w:color w:val="000000"/>
              </w:rPr>
              <w:br/>
              <w:t>(table 5.2)</w:t>
            </w:r>
          </w:p>
        </w:tc>
        <w:tc>
          <w:tcPr>
            <w:tcW w:w="1077" w:type="dxa"/>
            <w:shd w:val="clear" w:color="auto" w:fill="FFFFFF"/>
            <w:tcMar>
              <w:top w:w="0" w:type="dxa"/>
              <w:left w:w="85" w:type="dxa"/>
              <w:bottom w:w="0" w:type="dxa"/>
              <w:right w:w="85" w:type="dxa"/>
            </w:tcMar>
          </w:tcPr>
          <w:p w14:paraId="1F3E1B81" w14:textId="77777777" w:rsidR="00BC0FD7" w:rsidRPr="001D5327" w:rsidRDefault="00BC0FD7" w:rsidP="00D11AC9">
            <w:pPr>
              <w:pStyle w:val="TableText"/>
              <w:spacing w:before="40" w:after="40"/>
            </w:pPr>
            <w:r w:rsidRPr="001D5327">
              <w:rPr>
                <w:rFonts w:eastAsia="Calibri"/>
                <w:color w:val="000000"/>
              </w:rPr>
              <w:t xml:space="preserve">0 </w:t>
            </w:r>
            <w:r w:rsidRPr="001D5327">
              <w:rPr>
                <w:rFonts w:eastAsia="Calibri"/>
                <w:color w:val="000000"/>
              </w:rPr>
              <w:br/>
              <w:t>(table 5.2)</w:t>
            </w:r>
          </w:p>
        </w:tc>
        <w:tc>
          <w:tcPr>
            <w:tcW w:w="1431" w:type="dxa"/>
            <w:shd w:val="clear" w:color="auto" w:fill="FFFFFF"/>
            <w:tcMar>
              <w:top w:w="0" w:type="dxa"/>
              <w:left w:w="85" w:type="dxa"/>
              <w:bottom w:w="0" w:type="dxa"/>
              <w:right w:w="85" w:type="dxa"/>
            </w:tcMar>
          </w:tcPr>
          <w:p w14:paraId="2CB1DA7D" w14:textId="77777777" w:rsidR="00BC0FD7" w:rsidRPr="001D5327" w:rsidRDefault="00BC0FD7" w:rsidP="00D11AC9">
            <w:pPr>
              <w:pStyle w:val="TableText"/>
              <w:spacing w:before="40" w:after="40"/>
            </w:pPr>
            <w:r w:rsidRPr="001D5327">
              <w:rPr>
                <w:rFonts w:eastAsia="Calibri"/>
                <w:color w:val="000000"/>
              </w:rPr>
              <w:t>IPCC (2006a)</w:t>
            </w:r>
          </w:p>
        </w:tc>
      </w:tr>
      <w:tr w:rsidR="00BC0FD7" w:rsidRPr="001D5327" w14:paraId="510D0F50" w14:textId="77777777" w:rsidTr="00DA37CD">
        <w:tc>
          <w:tcPr>
            <w:tcW w:w="2948" w:type="dxa"/>
            <w:shd w:val="clear" w:color="auto" w:fill="FFFFFF"/>
            <w:tcMar>
              <w:top w:w="0" w:type="dxa"/>
              <w:left w:w="85" w:type="dxa"/>
              <w:bottom w:w="0" w:type="dxa"/>
              <w:right w:w="85" w:type="dxa"/>
            </w:tcMar>
          </w:tcPr>
          <w:p w14:paraId="2DE83A97" w14:textId="77777777" w:rsidR="00BC0FD7" w:rsidRPr="001D5327" w:rsidRDefault="00BC0FD7" w:rsidP="00D11AC9">
            <w:pPr>
              <w:pStyle w:val="TableText"/>
              <w:spacing w:before="40" w:after="40"/>
            </w:pPr>
            <w:r w:rsidRPr="001D5327">
              <w:rPr>
                <w:rFonts w:eastAsia="Calibri"/>
                <w:color w:val="000000"/>
              </w:rPr>
              <w:t>Oxidation factor</w:t>
            </w:r>
          </w:p>
        </w:tc>
        <w:tc>
          <w:tcPr>
            <w:tcW w:w="1304" w:type="dxa"/>
            <w:shd w:val="clear" w:color="auto" w:fill="FFFFFF"/>
            <w:tcMar>
              <w:top w:w="0" w:type="dxa"/>
              <w:left w:w="85" w:type="dxa"/>
              <w:bottom w:w="0" w:type="dxa"/>
              <w:right w:w="85" w:type="dxa"/>
            </w:tcMar>
          </w:tcPr>
          <w:p w14:paraId="411C90D1" w14:textId="77777777" w:rsidR="00BC0FD7" w:rsidRPr="001D5327" w:rsidRDefault="00BC0FD7" w:rsidP="00D11AC9">
            <w:pPr>
              <w:pStyle w:val="TableText"/>
              <w:spacing w:before="40" w:after="40"/>
            </w:pPr>
            <w:r w:rsidRPr="001D5327">
              <w:rPr>
                <w:rFonts w:eastAsia="Calibri"/>
                <w:color w:val="000000"/>
              </w:rPr>
              <w:t>1</w:t>
            </w:r>
          </w:p>
        </w:tc>
        <w:tc>
          <w:tcPr>
            <w:tcW w:w="1588" w:type="dxa"/>
            <w:shd w:val="clear" w:color="auto" w:fill="FFFFFF"/>
            <w:tcMar>
              <w:top w:w="0" w:type="dxa"/>
              <w:left w:w="85" w:type="dxa"/>
              <w:bottom w:w="0" w:type="dxa"/>
              <w:right w:w="85" w:type="dxa"/>
            </w:tcMar>
          </w:tcPr>
          <w:p w14:paraId="7FEC7338" w14:textId="77777777" w:rsidR="00BC0FD7" w:rsidRPr="001D5327" w:rsidRDefault="00BC0FD7" w:rsidP="00D11AC9">
            <w:pPr>
              <w:pStyle w:val="TableText"/>
              <w:spacing w:before="40" w:after="40"/>
            </w:pPr>
            <w:r w:rsidRPr="001D5327">
              <w:rPr>
                <w:rFonts w:eastAsia="Calibri"/>
                <w:color w:val="000000"/>
              </w:rPr>
              <w:t>1</w:t>
            </w:r>
          </w:p>
        </w:tc>
        <w:tc>
          <w:tcPr>
            <w:tcW w:w="1077" w:type="dxa"/>
            <w:shd w:val="clear" w:color="auto" w:fill="FFFFFF"/>
            <w:tcMar>
              <w:top w:w="0" w:type="dxa"/>
              <w:left w:w="85" w:type="dxa"/>
              <w:bottom w:w="0" w:type="dxa"/>
              <w:right w:w="85" w:type="dxa"/>
            </w:tcMar>
          </w:tcPr>
          <w:p w14:paraId="2D0D2E9F" w14:textId="77777777" w:rsidR="00BC0FD7" w:rsidRPr="001D5327" w:rsidRDefault="00BC0FD7" w:rsidP="00D11AC9">
            <w:pPr>
              <w:pStyle w:val="TableText"/>
              <w:spacing w:before="40" w:after="40"/>
            </w:pPr>
            <w:r w:rsidRPr="001D5327">
              <w:rPr>
                <w:rFonts w:eastAsia="Calibri"/>
                <w:color w:val="000000"/>
              </w:rPr>
              <w:t>1</w:t>
            </w:r>
          </w:p>
        </w:tc>
        <w:tc>
          <w:tcPr>
            <w:tcW w:w="1431" w:type="dxa"/>
            <w:shd w:val="clear" w:color="auto" w:fill="FFFFFF"/>
            <w:tcMar>
              <w:top w:w="0" w:type="dxa"/>
              <w:left w:w="85" w:type="dxa"/>
              <w:bottom w:w="0" w:type="dxa"/>
              <w:right w:w="85" w:type="dxa"/>
            </w:tcMar>
          </w:tcPr>
          <w:p w14:paraId="6DC2463A" w14:textId="77777777" w:rsidR="00BC0FD7" w:rsidRPr="001D5327" w:rsidRDefault="00BC0FD7" w:rsidP="00D11AC9">
            <w:pPr>
              <w:pStyle w:val="TableText"/>
              <w:spacing w:before="40" w:after="40"/>
            </w:pPr>
            <w:r w:rsidRPr="001D5327">
              <w:rPr>
                <w:rFonts w:eastAsia="Calibri"/>
                <w:color w:val="000000"/>
              </w:rPr>
              <w:t>IPCC (2006a), table 5.2</w:t>
            </w:r>
          </w:p>
        </w:tc>
      </w:tr>
      <w:tr w:rsidR="00BC0FD7" w:rsidRPr="001D5327" w14:paraId="76033B66" w14:textId="77777777" w:rsidTr="00DA37CD">
        <w:tc>
          <w:tcPr>
            <w:tcW w:w="2948" w:type="dxa"/>
            <w:shd w:val="clear" w:color="auto" w:fill="FFFFFF"/>
            <w:tcMar>
              <w:top w:w="0" w:type="dxa"/>
              <w:left w:w="85" w:type="dxa"/>
              <w:bottom w:w="0" w:type="dxa"/>
              <w:right w:w="85" w:type="dxa"/>
            </w:tcMar>
          </w:tcPr>
          <w:p w14:paraId="7D114DCB" w14:textId="77777777" w:rsidR="00BC0FD7" w:rsidRPr="001D5327" w:rsidRDefault="00BC0FD7" w:rsidP="00D11AC9">
            <w:pPr>
              <w:pStyle w:val="TableText"/>
              <w:spacing w:before="40" w:after="40"/>
            </w:pPr>
            <w:r w:rsidRPr="001D5327">
              <w:rPr>
                <w:rFonts w:eastAsia="Calibri"/>
                <w:color w:val="000000"/>
              </w:rPr>
              <w:t>Molar ratio to convert from carbon to carbon dioxide</w:t>
            </w:r>
          </w:p>
        </w:tc>
        <w:tc>
          <w:tcPr>
            <w:tcW w:w="1304" w:type="dxa"/>
            <w:shd w:val="clear" w:color="auto" w:fill="FFFFFF"/>
            <w:tcMar>
              <w:top w:w="0" w:type="dxa"/>
              <w:left w:w="85" w:type="dxa"/>
              <w:bottom w:w="0" w:type="dxa"/>
              <w:right w:w="85" w:type="dxa"/>
            </w:tcMar>
          </w:tcPr>
          <w:p w14:paraId="1BE26DDE" w14:textId="77777777" w:rsidR="00BC0FD7" w:rsidRPr="001D5327" w:rsidRDefault="00BC0FD7" w:rsidP="00D11AC9">
            <w:pPr>
              <w:pStyle w:val="TableText"/>
              <w:spacing w:before="40" w:after="40"/>
            </w:pPr>
            <w:r w:rsidRPr="001D5327">
              <w:rPr>
                <w:rFonts w:eastAsia="Calibri"/>
                <w:color w:val="000000"/>
              </w:rPr>
              <w:t>44/12</w:t>
            </w:r>
          </w:p>
        </w:tc>
        <w:tc>
          <w:tcPr>
            <w:tcW w:w="1588" w:type="dxa"/>
            <w:shd w:val="clear" w:color="auto" w:fill="FFFFFF"/>
            <w:tcMar>
              <w:top w:w="0" w:type="dxa"/>
              <w:left w:w="85" w:type="dxa"/>
              <w:bottom w:w="0" w:type="dxa"/>
              <w:right w:w="85" w:type="dxa"/>
            </w:tcMar>
          </w:tcPr>
          <w:p w14:paraId="589DA0B5" w14:textId="77777777" w:rsidR="00BC0FD7" w:rsidRPr="001D5327" w:rsidRDefault="00BC0FD7" w:rsidP="00D11AC9">
            <w:pPr>
              <w:pStyle w:val="TableText"/>
              <w:spacing w:before="40" w:after="40"/>
            </w:pPr>
            <w:r w:rsidRPr="001D5327">
              <w:rPr>
                <w:rFonts w:eastAsia="Calibri"/>
                <w:color w:val="000000"/>
              </w:rPr>
              <w:t>44/12</w:t>
            </w:r>
          </w:p>
        </w:tc>
        <w:tc>
          <w:tcPr>
            <w:tcW w:w="1077" w:type="dxa"/>
            <w:shd w:val="clear" w:color="auto" w:fill="FFFFFF"/>
            <w:tcMar>
              <w:top w:w="0" w:type="dxa"/>
              <w:left w:w="85" w:type="dxa"/>
              <w:bottom w:w="0" w:type="dxa"/>
              <w:right w:w="85" w:type="dxa"/>
            </w:tcMar>
          </w:tcPr>
          <w:p w14:paraId="322B2F66" w14:textId="77777777" w:rsidR="00BC0FD7" w:rsidRPr="001D5327" w:rsidRDefault="00BC0FD7" w:rsidP="00D11AC9">
            <w:pPr>
              <w:pStyle w:val="TableText"/>
              <w:spacing w:before="40" w:after="40"/>
            </w:pPr>
            <w:r w:rsidRPr="001D5327">
              <w:rPr>
                <w:rFonts w:eastAsia="Calibri"/>
                <w:color w:val="000000"/>
              </w:rPr>
              <w:t>44/12</w:t>
            </w:r>
          </w:p>
        </w:tc>
        <w:tc>
          <w:tcPr>
            <w:tcW w:w="1431" w:type="dxa"/>
            <w:shd w:val="clear" w:color="auto" w:fill="FFFFFF"/>
            <w:tcMar>
              <w:top w:w="0" w:type="dxa"/>
              <w:left w:w="85" w:type="dxa"/>
              <w:bottom w:w="0" w:type="dxa"/>
              <w:right w:w="85" w:type="dxa"/>
            </w:tcMar>
          </w:tcPr>
          <w:p w14:paraId="3DC62842" w14:textId="77777777" w:rsidR="00BC0FD7" w:rsidRPr="001D5327" w:rsidRDefault="00BC0FD7" w:rsidP="00D11AC9">
            <w:pPr>
              <w:pStyle w:val="TableText"/>
              <w:spacing w:before="40" w:after="40"/>
            </w:pPr>
          </w:p>
        </w:tc>
      </w:tr>
      <w:tr w:rsidR="00BC0FD7" w:rsidRPr="001D5327" w14:paraId="621C7BC2" w14:textId="77777777" w:rsidTr="00DA37CD">
        <w:tc>
          <w:tcPr>
            <w:tcW w:w="2948" w:type="dxa"/>
            <w:shd w:val="clear" w:color="auto" w:fill="FFFFFF"/>
            <w:tcMar>
              <w:top w:w="0" w:type="dxa"/>
              <w:left w:w="85" w:type="dxa"/>
              <w:bottom w:w="0" w:type="dxa"/>
              <w:right w:w="85" w:type="dxa"/>
            </w:tcMar>
          </w:tcPr>
          <w:p w14:paraId="750AA692" w14:textId="77777777" w:rsidR="00BC0FD7" w:rsidRPr="001D5327" w:rsidRDefault="00BC0FD7" w:rsidP="00D11AC9">
            <w:pPr>
              <w:pStyle w:val="TableText"/>
              <w:spacing w:before="40" w:after="40"/>
            </w:pPr>
            <w:r w:rsidRPr="001D5327">
              <w:rPr>
                <w:rFonts w:eastAsia="Calibri"/>
                <w:color w:val="000000"/>
              </w:rPr>
              <w:t>Overall carbon dioxide emission factor (kg/kt)</w:t>
            </w:r>
          </w:p>
        </w:tc>
        <w:tc>
          <w:tcPr>
            <w:tcW w:w="1304" w:type="dxa"/>
            <w:shd w:val="clear" w:color="auto" w:fill="FFFFFF"/>
            <w:tcMar>
              <w:top w:w="0" w:type="dxa"/>
              <w:left w:w="85" w:type="dxa"/>
              <w:bottom w:w="0" w:type="dxa"/>
              <w:right w:w="85" w:type="dxa"/>
            </w:tcMar>
          </w:tcPr>
          <w:p w14:paraId="34A52C3F" w14:textId="77777777" w:rsidR="00BC0FD7" w:rsidRPr="001D5327" w:rsidRDefault="00BC0FD7" w:rsidP="00D11AC9">
            <w:pPr>
              <w:pStyle w:val="TableText"/>
              <w:spacing w:before="40" w:after="40"/>
            </w:pPr>
            <w:r w:rsidRPr="001D5327">
              <w:rPr>
                <w:rFonts w:eastAsia="Calibri"/>
                <w:color w:val="000000"/>
              </w:rPr>
              <w:t>0.5</w:t>
            </w:r>
          </w:p>
        </w:tc>
        <w:tc>
          <w:tcPr>
            <w:tcW w:w="1588" w:type="dxa"/>
            <w:shd w:val="clear" w:color="auto" w:fill="FFFFFF"/>
            <w:tcMar>
              <w:top w:w="0" w:type="dxa"/>
              <w:left w:w="85" w:type="dxa"/>
              <w:bottom w:w="0" w:type="dxa"/>
              <w:right w:w="85" w:type="dxa"/>
            </w:tcMar>
          </w:tcPr>
          <w:p w14:paraId="3F9F3472" w14:textId="77777777" w:rsidR="00BC0FD7" w:rsidRPr="001D5327" w:rsidRDefault="00BC0FD7" w:rsidP="00D11AC9">
            <w:pPr>
              <w:pStyle w:val="TableText"/>
              <w:spacing w:before="40" w:after="40"/>
            </w:pPr>
            <w:r w:rsidRPr="001D5327">
              <w:rPr>
                <w:rFonts w:eastAsia="Calibri"/>
                <w:color w:val="000000"/>
              </w:rPr>
              <w:t>0.57</w:t>
            </w:r>
          </w:p>
        </w:tc>
        <w:tc>
          <w:tcPr>
            <w:tcW w:w="1077" w:type="dxa"/>
            <w:shd w:val="clear" w:color="auto" w:fill="FFFFFF"/>
            <w:tcMar>
              <w:top w:w="0" w:type="dxa"/>
              <w:left w:w="85" w:type="dxa"/>
              <w:bottom w:w="0" w:type="dxa"/>
              <w:right w:w="85" w:type="dxa"/>
            </w:tcMar>
          </w:tcPr>
          <w:p w14:paraId="59ABBECC" w14:textId="77777777" w:rsidR="00BC0FD7" w:rsidRPr="001D5327" w:rsidRDefault="00BC0FD7" w:rsidP="00D11AC9">
            <w:pPr>
              <w:pStyle w:val="TableText"/>
              <w:spacing w:before="40" w:after="40"/>
            </w:pPr>
            <w:r w:rsidRPr="001D5327">
              <w:rPr>
                <w:rFonts w:eastAsia="Calibri"/>
                <w:color w:val="000000"/>
              </w:rPr>
              <w:t>0.16</w:t>
            </w:r>
          </w:p>
        </w:tc>
        <w:tc>
          <w:tcPr>
            <w:tcW w:w="1431" w:type="dxa"/>
            <w:shd w:val="clear" w:color="auto" w:fill="FFFFFF"/>
            <w:tcMar>
              <w:top w:w="0" w:type="dxa"/>
              <w:left w:w="85" w:type="dxa"/>
              <w:bottom w:w="0" w:type="dxa"/>
              <w:right w:w="85" w:type="dxa"/>
            </w:tcMar>
          </w:tcPr>
          <w:p w14:paraId="2CC37998" w14:textId="77777777" w:rsidR="00BC0FD7" w:rsidRPr="001D5327" w:rsidRDefault="00BC0FD7" w:rsidP="00D11AC9">
            <w:pPr>
              <w:pStyle w:val="TableText"/>
              <w:spacing w:before="40" w:after="40"/>
            </w:pPr>
          </w:p>
        </w:tc>
      </w:tr>
      <w:tr w:rsidR="00BC0FD7" w:rsidRPr="001D5327" w14:paraId="297FC9A5" w14:textId="77777777" w:rsidTr="00DA37CD">
        <w:tc>
          <w:tcPr>
            <w:tcW w:w="2948" w:type="dxa"/>
            <w:shd w:val="clear" w:color="auto" w:fill="FFFFFF"/>
            <w:tcMar>
              <w:top w:w="0" w:type="dxa"/>
              <w:left w:w="85" w:type="dxa"/>
              <w:bottom w:w="0" w:type="dxa"/>
              <w:right w:w="85" w:type="dxa"/>
            </w:tcMar>
          </w:tcPr>
          <w:p w14:paraId="79C49C83" w14:textId="77777777" w:rsidR="00BC0FD7" w:rsidRPr="001D5327" w:rsidRDefault="00BC0FD7" w:rsidP="00D11AC9">
            <w:pPr>
              <w:pStyle w:val="TableText"/>
              <w:spacing w:before="40" w:after="40"/>
            </w:pPr>
            <w:r w:rsidRPr="001D5327">
              <w:rPr>
                <w:rFonts w:eastAsia="Calibri"/>
                <w:color w:val="000000"/>
              </w:rPr>
              <w:t>Methane emission factor (kg/kt) as directly referenced</w:t>
            </w:r>
          </w:p>
        </w:tc>
        <w:tc>
          <w:tcPr>
            <w:tcW w:w="1304" w:type="dxa"/>
            <w:shd w:val="clear" w:color="auto" w:fill="FFFFFF"/>
            <w:tcMar>
              <w:top w:w="0" w:type="dxa"/>
              <w:left w:w="85" w:type="dxa"/>
              <w:bottom w:w="0" w:type="dxa"/>
              <w:right w:w="85" w:type="dxa"/>
            </w:tcMar>
          </w:tcPr>
          <w:p w14:paraId="06B54208" w14:textId="77777777" w:rsidR="00BC0FD7" w:rsidRPr="001D5327" w:rsidRDefault="00BC0FD7" w:rsidP="00D11AC9">
            <w:pPr>
              <w:pStyle w:val="TableText"/>
              <w:spacing w:before="40" w:after="40"/>
            </w:pPr>
            <w:r w:rsidRPr="001D5327">
              <w:rPr>
                <w:rFonts w:eastAsia="Calibri"/>
                <w:color w:val="000000"/>
              </w:rPr>
              <w:t>NA</w:t>
            </w:r>
          </w:p>
        </w:tc>
        <w:tc>
          <w:tcPr>
            <w:tcW w:w="1588" w:type="dxa"/>
            <w:shd w:val="clear" w:color="auto" w:fill="FFFFFF"/>
            <w:tcMar>
              <w:top w:w="0" w:type="dxa"/>
              <w:left w:w="85" w:type="dxa"/>
              <w:bottom w:w="0" w:type="dxa"/>
              <w:right w:w="85" w:type="dxa"/>
            </w:tcMar>
          </w:tcPr>
          <w:p w14:paraId="72B2EADF" w14:textId="77777777" w:rsidR="00BC0FD7" w:rsidRPr="001D5327" w:rsidRDefault="00BC0FD7" w:rsidP="00D11AC9">
            <w:pPr>
              <w:pStyle w:val="TableText"/>
              <w:spacing w:before="40" w:after="40"/>
            </w:pPr>
            <w:r w:rsidRPr="001D5327">
              <w:rPr>
                <w:rFonts w:eastAsia="Calibri"/>
                <w:color w:val="000000"/>
              </w:rPr>
              <w:t>NA</w:t>
            </w:r>
          </w:p>
        </w:tc>
        <w:tc>
          <w:tcPr>
            <w:tcW w:w="1077" w:type="dxa"/>
            <w:shd w:val="clear" w:color="auto" w:fill="FFFFFF"/>
            <w:tcMar>
              <w:top w:w="0" w:type="dxa"/>
              <w:left w:w="85" w:type="dxa"/>
              <w:bottom w:w="0" w:type="dxa"/>
              <w:right w:w="85" w:type="dxa"/>
            </w:tcMar>
          </w:tcPr>
          <w:p w14:paraId="54E94F2B" w14:textId="77777777" w:rsidR="00BC0FD7" w:rsidRPr="001D5327" w:rsidRDefault="00BC0FD7" w:rsidP="00D11AC9">
            <w:pPr>
              <w:pStyle w:val="TableText"/>
              <w:spacing w:before="40" w:after="40"/>
            </w:pPr>
            <w:r w:rsidRPr="001D5327">
              <w:rPr>
                <w:rFonts w:eastAsia="Calibri"/>
                <w:color w:val="000000"/>
              </w:rPr>
              <w:t xml:space="preserve">9.7 </w:t>
            </w:r>
            <w:r w:rsidRPr="001D5327">
              <w:rPr>
                <w:rFonts w:eastAsia="Calibri"/>
                <w:color w:val="000000"/>
              </w:rPr>
              <w:br/>
              <w:t>(section 5.4.2)</w:t>
            </w:r>
          </w:p>
        </w:tc>
        <w:tc>
          <w:tcPr>
            <w:tcW w:w="1431" w:type="dxa"/>
            <w:shd w:val="clear" w:color="auto" w:fill="FFFFFF"/>
            <w:tcMar>
              <w:top w:w="0" w:type="dxa"/>
              <w:left w:w="85" w:type="dxa"/>
              <w:bottom w:w="0" w:type="dxa"/>
              <w:right w:w="85" w:type="dxa"/>
            </w:tcMar>
          </w:tcPr>
          <w:p w14:paraId="158EFCAA" w14:textId="77777777" w:rsidR="00BC0FD7" w:rsidRPr="001D5327" w:rsidRDefault="00BC0FD7" w:rsidP="00D11AC9">
            <w:pPr>
              <w:pStyle w:val="TableText"/>
              <w:spacing w:before="40" w:after="40"/>
            </w:pPr>
            <w:r w:rsidRPr="001D5327">
              <w:rPr>
                <w:rFonts w:eastAsia="Calibri"/>
                <w:color w:val="000000"/>
              </w:rPr>
              <w:t>IPCC (2006a)</w:t>
            </w:r>
          </w:p>
        </w:tc>
      </w:tr>
      <w:tr w:rsidR="00BC0FD7" w:rsidRPr="001D5327" w14:paraId="44FFAAF9" w14:textId="77777777" w:rsidTr="00DA37CD">
        <w:tc>
          <w:tcPr>
            <w:tcW w:w="2948" w:type="dxa"/>
            <w:shd w:val="clear" w:color="auto" w:fill="FFFFFF"/>
            <w:tcMar>
              <w:top w:w="0" w:type="dxa"/>
              <w:left w:w="85" w:type="dxa"/>
              <w:bottom w:w="0" w:type="dxa"/>
              <w:right w:w="85" w:type="dxa"/>
            </w:tcMar>
          </w:tcPr>
          <w:p w14:paraId="26678826" w14:textId="77777777" w:rsidR="00BC0FD7" w:rsidRPr="001D5327" w:rsidRDefault="00BC0FD7" w:rsidP="00D11AC9">
            <w:pPr>
              <w:pStyle w:val="TableText"/>
              <w:spacing w:before="40" w:after="40"/>
            </w:pPr>
            <w:r w:rsidRPr="001D5327">
              <w:rPr>
                <w:rFonts w:eastAsia="Calibri"/>
                <w:color w:val="000000"/>
              </w:rPr>
              <w:t>Methane energy factor (kg gas/TJ)</w:t>
            </w:r>
          </w:p>
        </w:tc>
        <w:tc>
          <w:tcPr>
            <w:tcW w:w="1304" w:type="dxa"/>
            <w:shd w:val="clear" w:color="auto" w:fill="FFFFFF"/>
            <w:tcMar>
              <w:top w:w="0" w:type="dxa"/>
              <w:left w:w="85" w:type="dxa"/>
              <w:bottom w:w="0" w:type="dxa"/>
              <w:right w:w="85" w:type="dxa"/>
            </w:tcMar>
          </w:tcPr>
          <w:p w14:paraId="6CDEDF09" w14:textId="77777777" w:rsidR="00BC0FD7" w:rsidRPr="001D5327" w:rsidRDefault="00BC0FD7" w:rsidP="00D11AC9">
            <w:pPr>
              <w:pStyle w:val="TableText"/>
              <w:spacing w:before="40" w:after="40"/>
            </w:pPr>
            <w:r w:rsidRPr="001D5327">
              <w:rPr>
                <w:rFonts w:eastAsia="Calibri"/>
                <w:color w:val="000000"/>
              </w:rPr>
              <w:t xml:space="preserve">30 </w:t>
            </w:r>
            <w:r w:rsidRPr="001D5327">
              <w:rPr>
                <w:rFonts w:eastAsia="Calibri"/>
                <w:color w:val="000000"/>
              </w:rPr>
              <w:br/>
              <w:t>(table 2.3, Industrial wastes)</w:t>
            </w:r>
          </w:p>
        </w:tc>
        <w:tc>
          <w:tcPr>
            <w:tcW w:w="1588" w:type="dxa"/>
            <w:shd w:val="clear" w:color="auto" w:fill="FFFFFF"/>
            <w:tcMar>
              <w:top w:w="0" w:type="dxa"/>
              <w:left w:w="85" w:type="dxa"/>
              <w:bottom w:w="0" w:type="dxa"/>
              <w:right w:w="85" w:type="dxa"/>
            </w:tcMar>
          </w:tcPr>
          <w:p w14:paraId="3D1F562E" w14:textId="77777777" w:rsidR="00BC0FD7" w:rsidRPr="001D5327" w:rsidRDefault="00BC0FD7" w:rsidP="00D11AC9">
            <w:pPr>
              <w:pStyle w:val="TableText"/>
              <w:spacing w:before="40" w:after="40"/>
            </w:pPr>
            <w:r w:rsidRPr="001D5327">
              <w:rPr>
                <w:rFonts w:eastAsia="Calibri"/>
                <w:color w:val="000000"/>
              </w:rPr>
              <w:t xml:space="preserve">300 </w:t>
            </w:r>
            <w:r w:rsidRPr="001D5327">
              <w:rPr>
                <w:rFonts w:eastAsia="Calibri"/>
                <w:color w:val="000000"/>
              </w:rPr>
              <w:br/>
              <w:t>(table 2.4, Municipal/ Industrial wastes)</w:t>
            </w:r>
          </w:p>
        </w:tc>
        <w:tc>
          <w:tcPr>
            <w:tcW w:w="1077" w:type="dxa"/>
            <w:shd w:val="clear" w:color="auto" w:fill="FFFFFF"/>
            <w:tcMar>
              <w:top w:w="0" w:type="dxa"/>
              <w:left w:w="85" w:type="dxa"/>
              <w:bottom w:w="0" w:type="dxa"/>
              <w:right w:w="85" w:type="dxa"/>
            </w:tcMar>
          </w:tcPr>
          <w:p w14:paraId="7639EA90" w14:textId="77777777" w:rsidR="00BC0FD7" w:rsidRPr="001D5327" w:rsidRDefault="00BC0FD7" w:rsidP="00D11AC9">
            <w:pPr>
              <w:pStyle w:val="TableText"/>
              <w:spacing w:before="40" w:after="40"/>
            </w:pPr>
            <w:r w:rsidRPr="001D5327">
              <w:rPr>
                <w:rFonts w:eastAsia="Calibri"/>
                <w:color w:val="000000"/>
              </w:rPr>
              <w:t>NA</w:t>
            </w:r>
          </w:p>
        </w:tc>
        <w:tc>
          <w:tcPr>
            <w:tcW w:w="1431" w:type="dxa"/>
            <w:shd w:val="clear" w:color="auto" w:fill="FFFFFF"/>
            <w:tcMar>
              <w:top w:w="0" w:type="dxa"/>
              <w:left w:w="85" w:type="dxa"/>
              <w:bottom w:w="0" w:type="dxa"/>
              <w:right w:w="85" w:type="dxa"/>
            </w:tcMar>
          </w:tcPr>
          <w:p w14:paraId="26E89DEF" w14:textId="77777777" w:rsidR="00BC0FD7" w:rsidRPr="001D5327" w:rsidRDefault="00BC0FD7" w:rsidP="00D11AC9">
            <w:pPr>
              <w:pStyle w:val="TableText"/>
              <w:spacing w:before="40" w:after="40"/>
            </w:pPr>
            <w:r w:rsidRPr="001D5327">
              <w:rPr>
                <w:rFonts w:eastAsia="Calibri"/>
                <w:color w:val="000000"/>
              </w:rPr>
              <w:t>IPCC (2006b)</w:t>
            </w:r>
          </w:p>
        </w:tc>
      </w:tr>
      <w:tr w:rsidR="00BC0FD7" w:rsidRPr="001D5327" w14:paraId="34B0B8EF" w14:textId="77777777" w:rsidTr="00DA37CD">
        <w:tc>
          <w:tcPr>
            <w:tcW w:w="2948" w:type="dxa"/>
            <w:shd w:val="clear" w:color="auto" w:fill="FFFFFF"/>
            <w:tcMar>
              <w:top w:w="0" w:type="dxa"/>
              <w:left w:w="85" w:type="dxa"/>
              <w:bottom w:w="0" w:type="dxa"/>
              <w:right w:w="85" w:type="dxa"/>
            </w:tcMar>
          </w:tcPr>
          <w:p w14:paraId="1F4EE16F" w14:textId="77777777" w:rsidR="00BC0FD7" w:rsidRPr="001D5327" w:rsidRDefault="00BC0FD7" w:rsidP="00D11AC9">
            <w:pPr>
              <w:pStyle w:val="TableText"/>
              <w:spacing w:before="40" w:after="40"/>
            </w:pPr>
            <w:r w:rsidRPr="001D5327">
              <w:rPr>
                <w:rFonts w:eastAsia="Calibri"/>
                <w:color w:val="000000"/>
              </w:rPr>
              <w:t>Methane (MJ/kg waste)</w:t>
            </w:r>
          </w:p>
        </w:tc>
        <w:tc>
          <w:tcPr>
            <w:tcW w:w="1304" w:type="dxa"/>
            <w:shd w:val="clear" w:color="auto" w:fill="FFFFFF"/>
            <w:tcMar>
              <w:top w:w="0" w:type="dxa"/>
              <w:left w:w="85" w:type="dxa"/>
              <w:bottom w:w="0" w:type="dxa"/>
              <w:right w:w="85" w:type="dxa"/>
            </w:tcMar>
          </w:tcPr>
          <w:p w14:paraId="302B2409" w14:textId="77777777" w:rsidR="00BC0FD7" w:rsidRPr="001D5327" w:rsidRDefault="00BC0FD7" w:rsidP="00D11AC9">
            <w:pPr>
              <w:pStyle w:val="TableText"/>
              <w:spacing w:before="40" w:after="40"/>
            </w:pPr>
            <w:r w:rsidRPr="001D5327">
              <w:rPr>
                <w:rFonts w:eastAsia="Calibri"/>
                <w:color w:val="000000"/>
              </w:rPr>
              <w:t>12.8</w:t>
            </w:r>
          </w:p>
        </w:tc>
        <w:tc>
          <w:tcPr>
            <w:tcW w:w="1588" w:type="dxa"/>
            <w:shd w:val="clear" w:color="auto" w:fill="FFFFFF"/>
            <w:tcMar>
              <w:top w:w="0" w:type="dxa"/>
              <w:left w:w="85" w:type="dxa"/>
              <w:bottom w:w="0" w:type="dxa"/>
              <w:right w:w="85" w:type="dxa"/>
            </w:tcMar>
          </w:tcPr>
          <w:p w14:paraId="02123667" w14:textId="77777777" w:rsidR="00BC0FD7" w:rsidRPr="001D5327" w:rsidRDefault="00BC0FD7" w:rsidP="00D11AC9">
            <w:pPr>
              <w:pStyle w:val="TableText"/>
              <w:spacing w:before="40" w:after="40"/>
            </w:pPr>
            <w:r w:rsidRPr="001D5327">
              <w:rPr>
                <w:rFonts w:eastAsia="Calibri"/>
                <w:color w:val="000000"/>
              </w:rPr>
              <w:t>16.8</w:t>
            </w:r>
          </w:p>
        </w:tc>
        <w:tc>
          <w:tcPr>
            <w:tcW w:w="1077" w:type="dxa"/>
            <w:shd w:val="clear" w:color="auto" w:fill="FFFFFF"/>
            <w:tcMar>
              <w:top w:w="0" w:type="dxa"/>
              <w:left w:w="85" w:type="dxa"/>
              <w:bottom w:w="0" w:type="dxa"/>
              <w:right w:w="85" w:type="dxa"/>
            </w:tcMar>
          </w:tcPr>
          <w:p w14:paraId="0FBDCBB0" w14:textId="77777777" w:rsidR="00BC0FD7" w:rsidRPr="001D5327" w:rsidRDefault="00BC0FD7" w:rsidP="00D11AC9">
            <w:pPr>
              <w:pStyle w:val="TableText"/>
              <w:spacing w:before="40" w:after="40"/>
            </w:pPr>
            <w:r w:rsidRPr="001D5327">
              <w:rPr>
                <w:rFonts w:eastAsia="Calibri"/>
                <w:color w:val="000000"/>
              </w:rPr>
              <w:t>NA</w:t>
            </w:r>
          </w:p>
        </w:tc>
        <w:tc>
          <w:tcPr>
            <w:tcW w:w="1431" w:type="dxa"/>
            <w:shd w:val="clear" w:color="auto" w:fill="FFFFFF"/>
            <w:tcMar>
              <w:top w:w="0" w:type="dxa"/>
              <w:left w:w="85" w:type="dxa"/>
              <w:bottom w:w="0" w:type="dxa"/>
              <w:right w:w="85" w:type="dxa"/>
            </w:tcMar>
          </w:tcPr>
          <w:p w14:paraId="7F3BD03D" w14:textId="77777777" w:rsidR="00BC0FD7" w:rsidRPr="001D5327" w:rsidRDefault="00BC0FD7" w:rsidP="00D11AC9">
            <w:pPr>
              <w:pStyle w:val="TableText"/>
              <w:spacing w:before="40" w:after="40"/>
            </w:pPr>
            <w:r w:rsidRPr="001D5327">
              <w:rPr>
                <w:rFonts w:eastAsia="Calibri"/>
                <w:color w:val="000000"/>
              </w:rPr>
              <w:t>Ministry of Commerce (1993)</w:t>
            </w:r>
          </w:p>
        </w:tc>
      </w:tr>
      <w:tr w:rsidR="00BC0FD7" w:rsidRPr="001D5327" w14:paraId="0E7B9F29" w14:textId="77777777" w:rsidTr="00DA37CD">
        <w:tc>
          <w:tcPr>
            <w:tcW w:w="2948" w:type="dxa"/>
            <w:shd w:val="clear" w:color="auto" w:fill="FFFFFF"/>
            <w:tcMar>
              <w:top w:w="0" w:type="dxa"/>
              <w:left w:w="85" w:type="dxa"/>
              <w:bottom w:w="0" w:type="dxa"/>
              <w:right w:w="85" w:type="dxa"/>
            </w:tcMar>
          </w:tcPr>
          <w:p w14:paraId="7AB37D91" w14:textId="77777777" w:rsidR="00BC0FD7" w:rsidRPr="001D5327" w:rsidRDefault="00BC0FD7" w:rsidP="00D11AC9">
            <w:pPr>
              <w:pStyle w:val="TableText"/>
              <w:spacing w:before="40" w:after="40"/>
            </w:pPr>
            <w:r w:rsidRPr="001D5327">
              <w:rPr>
                <w:rFonts w:eastAsia="Calibri"/>
                <w:color w:val="000000"/>
              </w:rPr>
              <w:t>Methane emission factor (kg/kt) calculated as a quotient of the above parameters</w:t>
            </w:r>
          </w:p>
        </w:tc>
        <w:tc>
          <w:tcPr>
            <w:tcW w:w="1304" w:type="dxa"/>
            <w:shd w:val="clear" w:color="auto" w:fill="FFFFFF"/>
            <w:tcMar>
              <w:top w:w="0" w:type="dxa"/>
              <w:left w:w="85" w:type="dxa"/>
              <w:bottom w:w="0" w:type="dxa"/>
              <w:right w:w="85" w:type="dxa"/>
            </w:tcMar>
          </w:tcPr>
          <w:p w14:paraId="52E50E39" w14:textId="77777777" w:rsidR="00BC0FD7" w:rsidRPr="001D5327" w:rsidRDefault="00BC0FD7" w:rsidP="00D11AC9">
            <w:pPr>
              <w:pStyle w:val="TableText"/>
              <w:spacing w:before="40" w:after="40"/>
            </w:pPr>
            <w:r w:rsidRPr="001D5327">
              <w:rPr>
                <w:rFonts w:eastAsia="Calibri"/>
                <w:color w:val="000000"/>
              </w:rPr>
              <w:t>2.34</w:t>
            </w:r>
          </w:p>
        </w:tc>
        <w:tc>
          <w:tcPr>
            <w:tcW w:w="1588" w:type="dxa"/>
            <w:shd w:val="clear" w:color="auto" w:fill="FFFFFF"/>
            <w:tcMar>
              <w:top w:w="0" w:type="dxa"/>
              <w:left w:w="85" w:type="dxa"/>
              <w:bottom w:w="0" w:type="dxa"/>
              <w:right w:w="85" w:type="dxa"/>
            </w:tcMar>
          </w:tcPr>
          <w:p w14:paraId="385F85F0" w14:textId="77777777" w:rsidR="00BC0FD7" w:rsidRPr="001D5327" w:rsidRDefault="00BC0FD7" w:rsidP="00D11AC9">
            <w:pPr>
              <w:pStyle w:val="TableText"/>
              <w:spacing w:before="40" w:after="40"/>
            </w:pPr>
            <w:r w:rsidRPr="001D5327">
              <w:rPr>
                <w:rFonts w:eastAsia="Calibri"/>
                <w:color w:val="000000"/>
              </w:rPr>
              <w:t>17.86</w:t>
            </w:r>
          </w:p>
        </w:tc>
        <w:tc>
          <w:tcPr>
            <w:tcW w:w="1077" w:type="dxa"/>
            <w:shd w:val="clear" w:color="auto" w:fill="FFFFFF"/>
            <w:tcMar>
              <w:top w:w="0" w:type="dxa"/>
              <w:left w:w="85" w:type="dxa"/>
              <w:bottom w:w="0" w:type="dxa"/>
              <w:right w:w="85" w:type="dxa"/>
            </w:tcMar>
          </w:tcPr>
          <w:p w14:paraId="43A20AE0" w14:textId="77777777" w:rsidR="00BC0FD7" w:rsidRPr="001D5327" w:rsidRDefault="00BC0FD7" w:rsidP="00D11AC9">
            <w:pPr>
              <w:pStyle w:val="TableText"/>
              <w:spacing w:before="40" w:after="40"/>
            </w:pPr>
            <w:r w:rsidRPr="001D5327">
              <w:rPr>
                <w:rFonts w:eastAsia="Calibri"/>
                <w:color w:val="000000"/>
              </w:rPr>
              <w:t>NA</w:t>
            </w:r>
          </w:p>
        </w:tc>
        <w:tc>
          <w:tcPr>
            <w:tcW w:w="1431" w:type="dxa"/>
            <w:shd w:val="clear" w:color="auto" w:fill="FFFFFF"/>
            <w:tcMar>
              <w:top w:w="0" w:type="dxa"/>
              <w:left w:w="85" w:type="dxa"/>
              <w:bottom w:w="0" w:type="dxa"/>
              <w:right w:w="85" w:type="dxa"/>
            </w:tcMar>
          </w:tcPr>
          <w:p w14:paraId="3A88002D" w14:textId="77777777" w:rsidR="00BC0FD7" w:rsidRPr="001D5327" w:rsidRDefault="00BC0FD7" w:rsidP="00D11AC9">
            <w:pPr>
              <w:pStyle w:val="TableText"/>
              <w:spacing w:before="40" w:after="40"/>
            </w:pPr>
          </w:p>
        </w:tc>
      </w:tr>
      <w:tr w:rsidR="00BC0FD7" w:rsidRPr="001D5327" w14:paraId="774C1D2F" w14:textId="77777777" w:rsidTr="00DA37CD">
        <w:tc>
          <w:tcPr>
            <w:tcW w:w="2948" w:type="dxa"/>
            <w:shd w:val="clear" w:color="auto" w:fill="FFFFFF"/>
            <w:tcMar>
              <w:top w:w="0" w:type="dxa"/>
              <w:left w:w="85" w:type="dxa"/>
              <w:bottom w:w="0" w:type="dxa"/>
              <w:right w:w="85" w:type="dxa"/>
            </w:tcMar>
          </w:tcPr>
          <w:p w14:paraId="37958F15" w14:textId="77777777" w:rsidR="00BC0FD7" w:rsidRPr="001D5327" w:rsidRDefault="00BC0FD7" w:rsidP="00D11AC9">
            <w:pPr>
              <w:pStyle w:val="TableText"/>
              <w:spacing w:before="40" w:after="40"/>
            </w:pPr>
            <w:r w:rsidRPr="001D5327">
              <w:rPr>
                <w:rFonts w:eastAsia="Calibri"/>
                <w:color w:val="000000"/>
              </w:rPr>
              <w:t>Nitrous oxide emission factor (kg/kt)</w:t>
            </w:r>
          </w:p>
        </w:tc>
        <w:tc>
          <w:tcPr>
            <w:tcW w:w="1304" w:type="dxa"/>
            <w:shd w:val="clear" w:color="auto" w:fill="FFFFFF"/>
            <w:tcMar>
              <w:top w:w="0" w:type="dxa"/>
              <w:left w:w="85" w:type="dxa"/>
              <w:bottom w:w="0" w:type="dxa"/>
              <w:right w:w="85" w:type="dxa"/>
            </w:tcMar>
          </w:tcPr>
          <w:p w14:paraId="7F9EF264" w14:textId="77777777" w:rsidR="00BC0FD7" w:rsidRPr="001D5327" w:rsidRDefault="00BC0FD7" w:rsidP="00D11AC9">
            <w:pPr>
              <w:pStyle w:val="TableText"/>
              <w:spacing w:before="40" w:after="40"/>
            </w:pPr>
            <w:r w:rsidRPr="001D5327">
              <w:rPr>
                <w:rFonts w:eastAsia="Calibri"/>
                <w:color w:val="000000"/>
              </w:rPr>
              <w:t>100</w:t>
            </w:r>
          </w:p>
        </w:tc>
        <w:tc>
          <w:tcPr>
            <w:tcW w:w="1588" w:type="dxa"/>
            <w:shd w:val="clear" w:color="auto" w:fill="FFFFFF"/>
            <w:tcMar>
              <w:top w:w="0" w:type="dxa"/>
              <w:left w:w="85" w:type="dxa"/>
              <w:bottom w:w="0" w:type="dxa"/>
              <w:right w:w="85" w:type="dxa"/>
            </w:tcMar>
          </w:tcPr>
          <w:p w14:paraId="0FC5D766" w14:textId="77777777" w:rsidR="00BC0FD7" w:rsidRPr="001D5327" w:rsidRDefault="00BC0FD7" w:rsidP="00D11AC9">
            <w:pPr>
              <w:pStyle w:val="TableText"/>
              <w:spacing w:before="40" w:after="40"/>
            </w:pPr>
            <w:r w:rsidRPr="001D5327">
              <w:rPr>
                <w:rFonts w:eastAsia="Calibri"/>
                <w:color w:val="000000"/>
              </w:rPr>
              <w:t>60</w:t>
            </w:r>
          </w:p>
        </w:tc>
        <w:tc>
          <w:tcPr>
            <w:tcW w:w="1077" w:type="dxa"/>
            <w:shd w:val="clear" w:color="auto" w:fill="FFFFFF"/>
            <w:tcMar>
              <w:top w:w="0" w:type="dxa"/>
              <w:left w:w="85" w:type="dxa"/>
              <w:bottom w:w="0" w:type="dxa"/>
              <w:right w:w="85" w:type="dxa"/>
            </w:tcMar>
          </w:tcPr>
          <w:p w14:paraId="33E51B47" w14:textId="77777777" w:rsidR="00BC0FD7" w:rsidRPr="001D5327" w:rsidRDefault="00BC0FD7" w:rsidP="00D11AC9">
            <w:pPr>
              <w:pStyle w:val="TableText"/>
              <w:spacing w:before="40" w:after="40"/>
            </w:pPr>
            <w:r w:rsidRPr="001D5327">
              <w:rPr>
                <w:rFonts w:eastAsia="Calibri"/>
                <w:color w:val="000000"/>
              </w:rPr>
              <w:t>900</w:t>
            </w:r>
          </w:p>
        </w:tc>
        <w:tc>
          <w:tcPr>
            <w:tcW w:w="1431" w:type="dxa"/>
            <w:shd w:val="clear" w:color="auto" w:fill="FFFFFF"/>
            <w:tcMar>
              <w:top w:w="0" w:type="dxa"/>
              <w:left w:w="85" w:type="dxa"/>
              <w:bottom w:w="0" w:type="dxa"/>
              <w:right w:w="85" w:type="dxa"/>
            </w:tcMar>
          </w:tcPr>
          <w:p w14:paraId="7754479C" w14:textId="77777777" w:rsidR="00BC0FD7" w:rsidRPr="001D5327" w:rsidRDefault="00BC0FD7" w:rsidP="00D11AC9">
            <w:pPr>
              <w:pStyle w:val="TableText"/>
              <w:spacing w:before="40" w:after="40"/>
            </w:pPr>
            <w:r w:rsidRPr="001D5327">
              <w:rPr>
                <w:rFonts w:eastAsia="Calibri"/>
                <w:color w:val="000000"/>
              </w:rPr>
              <w:t>IPCC (2006b), table 5.6</w:t>
            </w:r>
          </w:p>
        </w:tc>
      </w:tr>
    </w:tbl>
    <w:p w14:paraId="3E089B78" w14:textId="77777777" w:rsidR="00BC0FD7" w:rsidRPr="001D5327" w:rsidRDefault="00BC0FD7" w:rsidP="00BC0FD7">
      <w:pPr>
        <w:pStyle w:val="Noteundertable"/>
      </w:pPr>
      <w:r w:rsidRPr="001D5327">
        <w:rPr>
          <w:b/>
          <w:bCs/>
        </w:rPr>
        <w:t>Note:</w:t>
      </w:r>
      <w:r w:rsidRPr="001D5327">
        <w:t xml:space="preserve"> NA = not applicable.</w:t>
      </w:r>
    </w:p>
    <w:p w14:paraId="6B412D1F" w14:textId="77777777" w:rsidR="00BC0FD7" w:rsidRPr="001D5327" w:rsidRDefault="00BC0FD7" w:rsidP="00BC0FD7">
      <w:pPr>
        <w:pStyle w:val="BodyText"/>
        <w:keepNext/>
      </w:pPr>
      <w:r w:rsidRPr="001D5327">
        <w:lastRenderedPageBreak/>
        <w:t>These parameters are as given in the 2006 IPCC Guidelines (IPCC, 2006a, 2006b), noting that:</w:t>
      </w:r>
    </w:p>
    <w:p w14:paraId="3E6CF8FF" w14:textId="77777777" w:rsidR="00BC0FD7" w:rsidRPr="001D5327" w:rsidRDefault="00BC0FD7" w:rsidP="00BC0FD7">
      <w:pPr>
        <w:pStyle w:val="Bullet"/>
      </w:pPr>
      <w:r w:rsidRPr="001D5327">
        <w:t>some parameters have been chosen as the closest available to the specific type of waste</w:t>
      </w:r>
    </w:p>
    <w:p w14:paraId="7599167D" w14:textId="77777777" w:rsidR="00BC0FD7" w:rsidRPr="001D5327" w:rsidRDefault="00BC0FD7" w:rsidP="00BC0FD7">
      <w:pPr>
        <w:pStyle w:val="Bullet"/>
      </w:pPr>
      <w:r w:rsidRPr="001D5327">
        <w:t>where a range is given, the mid-point is used</w:t>
      </w:r>
    </w:p>
    <w:p w14:paraId="0D00C109" w14:textId="0CA7ED32" w:rsidR="00BC0FD7" w:rsidRPr="001D5327" w:rsidRDefault="00BC0FD7" w:rsidP="00BC0FD7">
      <w:pPr>
        <w:pStyle w:val="Bullet"/>
      </w:pPr>
      <w:r w:rsidRPr="001D5327">
        <w:t>methane emission factors for hazardous and clinical waste (IPCC, 2006b) have been converted</w:t>
      </w:r>
      <w:r w:rsidR="00450CD0" w:rsidRPr="001D5327">
        <w:t xml:space="preserve"> </w:t>
      </w:r>
      <w:r w:rsidRPr="001D5327">
        <w:t xml:space="preserve">from a terajoule basis to a kt basis using factors from the </w:t>
      </w:r>
      <w:r w:rsidRPr="001D5327">
        <w:rPr>
          <w:i/>
          <w:iCs/>
        </w:rPr>
        <w:t xml:space="preserve">New Zealand Energy </w:t>
      </w:r>
      <w:r w:rsidRPr="001D5327">
        <w:rPr>
          <w:i/>
          <w:iCs/>
          <w:spacing w:val="-2"/>
        </w:rPr>
        <w:t>Information Handbook</w:t>
      </w:r>
      <w:r w:rsidRPr="001D5327">
        <w:rPr>
          <w:spacing w:val="-2"/>
        </w:rPr>
        <w:t xml:space="preserve"> (Ministry of Commerce, 1993), which only had gross calorific values</w:t>
      </w:r>
      <w:r w:rsidRPr="001D5327">
        <w:t>.</w:t>
      </w:r>
    </w:p>
    <w:p w14:paraId="70FA210D" w14:textId="77777777" w:rsidR="00BC0FD7" w:rsidRPr="001D5327" w:rsidRDefault="00BC0FD7" w:rsidP="00BC0FD7">
      <w:pPr>
        <w:pStyle w:val="BodyText"/>
      </w:pPr>
      <w:r w:rsidRPr="001D5327">
        <w:t>While the incineration of clinical waste has decreased over time, it remains a significant proportion of the material incinerated in New Zealand (SKM, unpublished(a)). There is no IPCC default category that specifies medical or quarantine waste. The composition of medical and quarantine wastes is closest to clinical waste, so the emission factors for clinical waste have been used and the activity data for these waste types are combined into the category for clinical wastes.</w:t>
      </w:r>
    </w:p>
    <w:p w14:paraId="46D2E50F" w14:textId="77777777" w:rsidR="00BC0FD7" w:rsidRPr="001D5327" w:rsidRDefault="00BC0FD7" w:rsidP="00BC0FD7">
      <w:pPr>
        <w:pStyle w:val="Heading5"/>
      </w:pPr>
      <w:bookmarkStart w:id="2859" w:name="open-burning-of-waste-5.c.2-2"/>
      <w:bookmarkEnd w:id="2857"/>
      <w:r w:rsidRPr="001D5327">
        <w:t>Open burning of waste (5.C.2)</w:t>
      </w:r>
    </w:p>
    <w:p w14:paraId="23AA5BAC" w14:textId="77777777" w:rsidR="00BC0FD7" w:rsidRPr="001D5327" w:rsidRDefault="00BC0FD7" w:rsidP="00BC0FD7">
      <w:pPr>
        <w:pStyle w:val="BodyText"/>
      </w:pPr>
      <w:r w:rsidRPr="001D5327">
        <w:t>Parameters are used as detailed in table 7.4.5.</w:t>
      </w:r>
    </w:p>
    <w:p w14:paraId="598BAC8D" w14:textId="77777777" w:rsidR="00BC0FD7" w:rsidRPr="001D5327" w:rsidRDefault="00BC0FD7" w:rsidP="00BC0FD7">
      <w:pPr>
        <w:pStyle w:val="Table"/>
      </w:pPr>
      <w:bookmarkStart w:id="2860" w:name="_Toc194241814"/>
      <w:r w:rsidRPr="001D5327">
        <w:t xml:space="preserve">Table 7.4.5 </w:t>
      </w:r>
      <w:r w:rsidRPr="001D5327">
        <w:tab/>
        <w:t xml:space="preserve">Parameters used to estimate emissions from </w:t>
      </w:r>
      <w:r w:rsidRPr="001D5327">
        <w:rPr>
          <w:i/>
          <w:iCs/>
        </w:rPr>
        <w:t>Open burning of waste</w:t>
      </w:r>
      <w:bookmarkEnd w:id="2860"/>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787"/>
        <w:gridCol w:w="829"/>
        <w:gridCol w:w="2878"/>
      </w:tblGrid>
      <w:tr w:rsidR="00BC0FD7" w:rsidRPr="001D5327" w14:paraId="5589B5CE" w14:textId="77777777" w:rsidTr="006E5BA2">
        <w:trPr>
          <w:tblHeader/>
        </w:trPr>
        <w:tc>
          <w:tcPr>
            <w:tcW w:w="0" w:type="auto"/>
            <w:shd w:val="clear" w:color="auto" w:fill="1B556B"/>
            <w:tcMar>
              <w:top w:w="0" w:type="dxa"/>
              <w:left w:w="85" w:type="dxa"/>
              <w:bottom w:w="0" w:type="dxa"/>
              <w:right w:w="85" w:type="dxa"/>
            </w:tcMar>
          </w:tcPr>
          <w:p w14:paraId="5E67799C" w14:textId="77777777" w:rsidR="00BC0FD7" w:rsidRPr="001D5327" w:rsidRDefault="00BC0FD7" w:rsidP="006E5BA2">
            <w:pPr>
              <w:pStyle w:val="TableTextBold"/>
              <w:spacing w:before="40" w:after="40"/>
              <w:rPr>
                <w:noProof w:val="0"/>
                <w:color w:val="FFFFFF" w:themeColor="background1"/>
              </w:rPr>
            </w:pPr>
            <w:r w:rsidRPr="001D5327">
              <w:rPr>
                <w:rFonts w:eastAsia="Calibri"/>
                <w:noProof w:val="0"/>
                <w:color w:val="FFFFFF" w:themeColor="background1"/>
              </w:rPr>
              <w:t>Parameter</w:t>
            </w:r>
          </w:p>
        </w:tc>
        <w:tc>
          <w:tcPr>
            <w:tcW w:w="0" w:type="auto"/>
            <w:shd w:val="clear" w:color="auto" w:fill="1B556B"/>
            <w:tcMar>
              <w:top w:w="0" w:type="dxa"/>
              <w:left w:w="85" w:type="dxa"/>
              <w:bottom w:w="0" w:type="dxa"/>
              <w:right w:w="85" w:type="dxa"/>
            </w:tcMar>
          </w:tcPr>
          <w:p w14:paraId="42B12E16" w14:textId="77777777" w:rsidR="00BC0FD7" w:rsidRPr="001D5327" w:rsidRDefault="00BC0FD7" w:rsidP="006E5BA2">
            <w:pPr>
              <w:pStyle w:val="TableTextBold"/>
              <w:spacing w:before="40" w:after="40"/>
              <w:jc w:val="right"/>
              <w:rPr>
                <w:noProof w:val="0"/>
                <w:color w:val="FFFFFF" w:themeColor="background1"/>
              </w:rPr>
            </w:pPr>
            <w:r w:rsidRPr="001D5327">
              <w:rPr>
                <w:rFonts w:eastAsia="Calibri"/>
                <w:noProof w:val="0"/>
                <w:color w:val="FFFFFF" w:themeColor="background1"/>
              </w:rPr>
              <w:t>Value</w:t>
            </w:r>
          </w:p>
        </w:tc>
        <w:tc>
          <w:tcPr>
            <w:tcW w:w="0" w:type="auto"/>
            <w:shd w:val="clear" w:color="auto" w:fill="1B556B"/>
            <w:tcMar>
              <w:top w:w="0" w:type="dxa"/>
              <w:left w:w="85" w:type="dxa"/>
              <w:bottom w:w="0" w:type="dxa"/>
              <w:right w:w="85" w:type="dxa"/>
            </w:tcMar>
          </w:tcPr>
          <w:p w14:paraId="2241E8B9" w14:textId="77777777" w:rsidR="00BC0FD7" w:rsidRPr="001D5327" w:rsidRDefault="00BC0FD7" w:rsidP="006E5BA2">
            <w:pPr>
              <w:pStyle w:val="TableTextBold"/>
              <w:spacing w:before="40" w:after="40"/>
              <w:rPr>
                <w:noProof w:val="0"/>
                <w:color w:val="FFFFFF" w:themeColor="background1"/>
              </w:rPr>
            </w:pPr>
            <w:r w:rsidRPr="001D5327">
              <w:rPr>
                <w:rFonts w:eastAsia="Calibri"/>
                <w:noProof w:val="0"/>
                <w:color w:val="FFFFFF" w:themeColor="background1"/>
              </w:rPr>
              <w:t>Source</w:t>
            </w:r>
          </w:p>
        </w:tc>
      </w:tr>
      <w:tr w:rsidR="00BC0FD7" w:rsidRPr="001D5327" w14:paraId="163FD91B" w14:textId="77777777" w:rsidTr="006E5BA2">
        <w:tc>
          <w:tcPr>
            <w:tcW w:w="0" w:type="auto"/>
            <w:shd w:val="clear" w:color="auto" w:fill="FFFFFF"/>
            <w:tcMar>
              <w:top w:w="0" w:type="dxa"/>
              <w:left w:w="85" w:type="dxa"/>
              <w:bottom w:w="0" w:type="dxa"/>
              <w:right w:w="85" w:type="dxa"/>
            </w:tcMar>
          </w:tcPr>
          <w:p w14:paraId="1F108D4F" w14:textId="77777777" w:rsidR="00BC0FD7" w:rsidRPr="001D5327" w:rsidRDefault="00BC0FD7" w:rsidP="006E5BA2">
            <w:pPr>
              <w:pStyle w:val="Tableboldblue"/>
              <w:spacing w:before="40" w:after="40"/>
            </w:pPr>
            <w:r w:rsidRPr="001D5327">
              <w:t>Carbon dioxide</w:t>
            </w:r>
          </w:p>
        </w:tc>
        <w:tc>
          <w:tcPr>
            <w:tcW w:w="0" w:type="auto"/>
            <w:shd w:val="clear" w:color="auto" w:fill="FFFFFF"/>
            <w:tcMar>
              <w:top w:w="0" w:type="dxa"/>
              <w:left w:w="85" w:type="dxa"/>
              <w:bottom w:w="0" w:type="dxa"/>
              <w:right w:w="85" w:type="dxa"/>
            </w:tcMar>
          </w:tcPr>
          <w:p w14:paraId="5909D1A3" w14:textId="77777777" w:rsidR="00BC0FD7" w:rsidRPr="001D5327" w:rsidRDefault="00BC0FD7" w:rsidP="006E5BA2">
            <w:pPr>
              <w:pStyle w:val="Tableboldblue"/>
              <w:spacing w:before="40" w:after="40"/>
              <w:jc w:val="right"/>
            </w:pPr>
          </w:p>
        </w:tc>
        <w:tc>
          <w:tcPr>
            <w:tcW w:w="0" w:type="auto"/>
            <w:shd w:val="clear" w:color="auto" w:fill="FFFFFF"/>
            <w:tcMar>
              <w:top w:w="0" w:type="dxa"/>
              <w:left w:w="85" w:type="dxa"/>
              <w:bottom w:w="0" w:type="dxa"/>
              <w:right w:w="85" w:type="dxa"/>
            </w:tcMar>
          </w:tcPr>
          <w:p w14:paraId="68BC2E0F" w14:textId="77777777" w:rsidR="00BC0FD7" w:rsidRPr="001D5327" w:rsidRDefault="00BC0FD7" w:rsidP="006E5BA2">
            <w:pPr>
              <w:pStyle w:val="Tableboldblue"/>
              <w:spacing w:before="40" w:after="40"/>
            </w:pPr>
          </w:p>
        </w:tc>
      </w:tr>
      <w:tr w:rsidR="00BC0FD7" w:rsidRPr="001D5327" w14:paraId="59618586" w14:textId="77777777" w:rsidTr="006E5BA2">
        <w:tc>
          <w:tcPr>
            <w:tcW w:w="0" w:type="auto"/>
            <w:shd w:val="clear" w:color="auto" w:fill="FFFFFF"/>
            <w:tcMar>
              <w:top w:w="0" w:type="dxa"/>
              <w:left w:w="85" w:type="dxa"/>
              <w:bottom w:w="0" w:type="dxa"/>
              <w:right w:w="85" w:type="dxa"/>
            </w:tcMar>
          </w:tcPr>
          <w:p w14:paraId="2A78AA9D" w14:textId="77777777" w:rsidR="00BC0FD7" w:rsidRPr="001D5327" w:rsidRDefault="00BC0FD7" w:rsidP="006E5BA2">
            <w:pPr>
              <w:pStyle w:val="TableText"/>
              <w:spacing w:before="40" w:after="40"/>
            </w:pPr>
            <w:r w:rsidRPr="001D5327">
              <w:rPr>
                <w:rFonts w:eastAsia="Calibri"/>
                <w:color w:val="000000"/>
              </w:rPr>
              <w:t>Dry-matter content (%)</w:t>
            </w:r>
          </w:p>
        </w:tc>
        <w:tc>
          <w:tcPr>
            <w:tcW w:w="0" w:type="auto"/>
            <w:shd w:val="clear" w:color="auto" w:fill="FFFFFF"/>
            <w:tcMar>
              <w:top w:w="0" w:type="dxa"/>
              <w:left w:w="85" w:type="dxa"/>
              <w:bottom w:w="0" w:type="dxa"/>
              <w:right w:w="85" w:type="dxa"/>
            </w:tcMar>
          </w:tcPr>
          <w:p w14:paraId="72361FA6" w14:textId="77777777" w:rsidR="00BC0FD7" w:rsidRPr="001D5327" w:rsidRDefault="00BC0FD7" w:rsidP="006E5BA2">
            <w:pPr>
              <w:pStyle w:val="TableText"/>
              <w:spacing w:before="40" w:after="40"/>
              <w:jc w:val="right"/>
            </w:pPr>
            <w:r w:rsidRPr="001D5327">
              <w:rPr>
                <w:rFonts w:eastAsia="Calibri"/>
                <w:color w:val="000000"/>
              </w:rPr>
              <w:t>79.7</w:t>
            </w:r>
          </w:p>
        </w:tc>
        <w:tc>
          <w:tcPr>
            <w:tcW w:w="0" w:type="auto"/>
            <w:shd w:val="clear" w:color="auto" w:fill="FFFFFF"/>
            <w:tcMar>
              <w:top w:w="0" w:type="dxa"/>
              <w:left w:w="85" w:type="dxa"/>
              <w:bottom w:w="0" w:type="dxa"/>
              <w:right w:w="85" w:type="dxa"/>
            </w:tcMar>
          </w:tcPr>
          <w:p w14:paraId="2169229C" w14:textId="77777777" w:rsidR="00BC0FD7" w:rsidRPr="001D5327" w:rsidRDefault="00BC0FD7" w:rsidP="006E5BA2">
            <w:pPr>
              <w:pStyle w:val="TableText"/>
              <w:spacing w:before="40" w:after="40"/>
            </w:pPr>
            <w:r w:rsidRPr="001D5327">
              <w:rPr>
                <w:rFonts w:eastAsia="Calibri"/>
                <w:color w:val="000000"/>
              </w:rPr>
              <w:t>Calculated (see table 7.4.3)</w:t>
            </w:r>
          </w:p>
        </w:tc>
      </w:tr>
      <w:tr w:rsidR="00BC0FD7" w:rsidRPr="001D5327" w14:paraId="47F700D9" w14:textId="77777777" w:rsidTr="006E5BA2">
        <w:tc>
          <w:tcPr>
            <w:tcW w:w="0" w:type="auto"/>
            <w:shd w:val="clear" w:color="auto" w:fill="FFFFFF"/>
            <w:tcMar>
              <w:top w:w="0" w:type="dxa"/>
              <w:left w:w="85" w:type="dxa"/>
              <w:bottom w:w="0" w:type="dxa"/>
              <w:right w:w="85" w:type="dxa"/>
            </w:tcMar>
          </w:tcPr>
          <w:p w14:paraId="0D4C5121" w14:textId="77777777" w:rsidR="00BC0FD7" w:rsidRPr="001D5327" w:rsidRDefault="00BC0FD7" w:rsidP="006E5BA2">
            <w:pPr>
              <w:pStyle w:val="TableText"/>
              <w:spacing w:before="40" w:after="40"/>
            </w:pPr>
            <w:r w:rsidRPr="001D5327">
              <w:rPr>
                <w:rFonts w:eastAsia="Calibri"/>
                <w:color w:val="000000"/>
              </w:rPr>
              <w:t>Total carbon content (%)</w:t>
            </w:r>
          </w:p>
        </w:tc>
        <w:tc>
          <w:tcPr>
            <w:tcW w:w="0" w:type="auto"/>
            <w:shd w:val="clear" w:color="auto" w:fill="FFFFFF"/>
            <w:tcMar>
              <w:top w:w="0" w:type="dxa"/>
              <w:left w:w="85" w:type="dxa"/>
              <w:bottom w:w="0" w:type="dxa"/>
              <w:right w:w="85" w:type="dxa"/>
            </w:tcMar>
          </w:tcPr>
          <w:p w14:paraId="43D12499" w14:textId="77777777" w:rsidR="00BC0FD7" w:rsidRPr="001D5327" w:rsidRDefault="00BC0FD7" w:rsidP="006E5BA2">
            <w:pPr>
              <w:pStyle w:val="TableText"/>
              <w:spacing w:before="40" w:after="40"/>
              <w:jc w:val="right"/>
            </w:pPr>
            <w:r w:rsidRPr="001D5327">
              <w:rPr>
                <w:rFonts w:eastAsia="Calibri"/>
                <w:color w:val="000000"/>
              </w:rPr>
              <w:t>44.8</w:t>
            </w:r>
          </w:p>
        </w:tc>
        <w:tc>
          <w:tcPr>
            <w:tcW w:w="0" w:type="auto"/>
            <w:shd w:val="clear" w:color="auto" w:fill="FFFFFF"/>
            <w:tcMar>
              <w:top w:w="0" w:type="dxa"/>
              <w:left w:w="85" w:type="dxa"/>
              <w:bottom w:w="0" w:type="dxa"/>
              <w:right w:w="85" w:type="dxa"/>
            </w:tcMar>
          </w:tcPr>
          <w:p w14:paraId="4975D19B" w14:textId="77777777" w:rsidR="00BC0FD7" w:rsidRPr="001D5327" w:rsidRDefault="00BC0FD7" w:rsidP="006E5BA2">
            <w:pPr>
              <w:pStyle w:val="TableText"/>
              <w:spacing w:before="40" w:after="40"/>
            </w:pPr>
            <w:r w:rsidRPr="001D5327">
              <w:rPr>
                <w:rFonts w:eastAsia="Calibri"/>
                <w:color w:val="000000"/>
              </w:rPr>
              <w:t>Calculated (see table 7.4.3)</w:t>
            </w:r>
          </w:p>
        </w:tc>
      </w:tr>
      <w:tr w:rsidR="00BC0FD7" w:rsidRPr="001D5327" w14:paraId="6FAF2B3E" w14:textId="77777777" w:rsidTr="006E5BA2">
        <w:tc>
          <w:tcPr>
            <w:tcW w:w="0" w:type="auto"/>
            <w:shd w:val="clear" w:color="auto" w:fill="FFFFFF"/>
            <w:tcMar>
              <w:top w:w="0" w:type="dxa"/>
              <w:left w:w="85" w:type="dxa"/>
              <w:bottom w:w="0" w:type="dxa"/>
              <w:right w:w="85" w:type="dxa"/>
            </w:tcMar>
          </w:tcPr>
          <w:p w14:paraId="69E860FE" w14:textId="77777777" w:rsidR="00BC0FD7" w:rsidRPr="001D5327" w:rsidRDefault="00BC0FD7" w:rsidP="006E5BA2">
            <w:pPr>
              <w:pStyle w:val="TableText"/>
              <w:spacing w:before="40" w:after="40"/>
            </w:pPr>
            <w:r w:rsidRPr="001D5327">
              <w:rPr>
                <w:rFonts w:eastAsia="Calibri"/>
                <w:color w:val="000000"/>
              </w:rPr>
              <w:t>Fossil carbon content (%)</w:t>
            </w:r>
          </w:p>
        </w:tc>
        <w:tc>
          <w:tcPr>
            <w:tcW w:w="0" w:type="auto"/>
            <w:shd w:val="clear" w:color="auto" w:fill="FFFFFF"/>
            <w:tcMar>
              <w:top w:w="0" w:type="dxa"/>
              <w:left w:w="85" w:type="dxa"/>
              <w:bottom w:w="0" w:type="dxa"/>
              <w:right w:w="85" w:type="dxa"/>
            </w:tcMar>
          </w:tcPr>
          <w:p w14:paraId="12DDDA26" w14:textId="77777777" w:rsidR="00BC0FD7" w:rsidRPr="001D5327" w:rsidRDefault="00BC0FD7" w:rsidP="006E5BA2">
            <w:pPr>
              <w:pStyle w:val="TableText"/>
              <w:spacing w:before="40" w:after="40"/>
              <w:jc w:val="right"/>
            </w:pPr>
            <w:r w:rsidRPr="001D5327">
              <w:rPr>
                <w:rFonts w:eastAsia="Calibri"/>
                <w:color w:val="000000"/>
              </w:rPr>
              <w:t>24</w:t>
            </w:r>
          </w:p>
        </w:tc>
        <w:tc>
          <w:tcPr>
            <w:tcW w:w="0" w:type="auto"/>
            <w:shd w:val="clear" w:color="auto" w:fill="FFFFFF"/>
            <w:tcMar>
              <w:top w:w="0" w:type="dxa"/>
              <w:left w:w="85" w:type="dxa"/>
              <w:bottom w:w="0" w:type="dxa"/>
              <w:right w:w="85" w:type="dxa"/>
            </w:tcMar>
          </w:tcPr>
          <w:p w14:paraId="6406B088" w14:textId="77777777" w:rsidR="00BC0FD7" w:rsidRPr="001D5327" w:rsidRDefault="00BC0FD7" w:rsidP="006E5BA2">
            <w:pPr>
              <w:pStyle w:val="TableText"/>
              <w:spacing w:before="40" w:after="40"/>
            </w:pPr>
            <w:r w:rsidRPr="001D5327">
              <w:rPr>
                <w:rFonts w:eastAsia="Calibri"/>
                <w:color w:val="000000"/>
              </w:rPr>
              <w:t>Calculated (see table 7.4.3)</w:t>
            </w:r>
          </w:p>
        </w:tc>
      </w:tr>
      <w:tr w:rsidR="00BC0FD7" w:rsidRPr="001D5327" w14:paraId="14A9C9EA" w14:textId="77777777" w:rsidTr="006E5BA2">
        <w:tc>
          <w:tcPr>
            <w:tcW w:w="0" w:type="auto"/>
            <w:shd w:val="clear" w:color="auto" w:fill="FFFFFF"/>
            <w:tcMar>
              <w:top w:w="0" w:type="dxa"/>
              <w:left w:w="85" w:type="dxa"/>
              <w:bottom w:w="0" w:type="dxa"/>
              <w:right w:w="85" w:type="dxa"/>
            </w:tcMar>
          </w:tcPr>
          <w:p w14:paraId="2E1AE18F" w14:textId="77777777" w:rsidR="00BC0FD7" w:rsidRPr="001D5327" w:rsidRDefault="00BC0FD7" w:rsidP="006E5BA2">
            <w:pPr>
              <w:pStyle w:val="TableText"/>
              <w:spacing w:before="40" w:after="40"/>
            </w:pPr>
            <w:r w:rsidRPr="001D5327">
              <w:rPr>
                <w:rFonts w:eastAsia="Calibri"/>
                <w:color w:val="000000"/>
              </w:rPr>
              <w:t>Oxidation factor (%)</w:t>
            </w:r>
          </w:p>
        </w:tc>
        <w:tc>
          <w:tcPr>
            <w:tcW w:w="0" w:type="auto"/>
            <w:shd w:val="clear" w:color="auto" w:fill="FFFFFF"/>
            <w:tcMar>
              <w:top w:w="0" w:type="dxa"/>
              <w:left w:w="85" w:type="dxa"/>
              <w:bottom w:w="0" w:type="dxa"/>
              <w:right w:w="85" w:type="dxa"/>
            </w:tcMar>
          </w:tcPr>
          <w:p w14:paraId="584C047D" w14:textId="77777777" w:rsidR="00BC0FD7" w:rsidRPr="001D5327" w:rsidRDefault="00BC0FD7" w:rsidP="006E5BA2">
            <w:pPr>
              <w:pStyle w:val="TableText"/>
              <w:spacing w:before="40" w:after="40"/>
              <w:jc w:val="right"/>
            </w:pPr>
            <w:r w:rsidRPr="001D5327">
              <w:rPr>
                <w:rFonts w:eastAsia="Calibri"/>
                <w:color w:val="000000"/>
              </w:rPr>
              <w:t>58</w:t>
            </w:r>
          </w:p>
        </w:tc>
        <w:tc>
          <w:tcPr>
            <w:tcW w:w="0" w:type="auto"/>
            <w:shd w:val="clear" w:color="auto" w:fill="FFFFFF"/>
            <w:tcMar>
              <w:top w:w="0" w:type="dxa"/>
              <w:left w:w="85" w:type="dxa"/>
              <w:bottom w:w="0" w:type="dxa"/>
              <w:right w:w="85" w:type="dxa"/>
            </w:tcMar>
          </w:tcPr>
          <w:p w14:paraId="77550B92" w14:textId="77777777" w:rsidR="00BC0FD7" w:rsidRPr="001D5327" w:rsidRDefault="00BC0FD7" w:rsidP="006E5BA2">
            <w:pPr>
              <w:pStyle w:val="TableText"/>
              <w:spacing w:before="40" w:after="40"/>
            </w:pPr>
            <w:r w:rsidRPr="001D5327">
              <w:rPr>
                <w:rFonts w:eastAsia="Calibri"/>
                <w:color w:val="000000"/>
              </w:rPr>
              <w:t>IPCC default</w:t>
            </w:r>
          </w:p>
        </w:tc>
      </w:tr>
      <w:tr w:rsidR="00BC0FD7" w:rsidRPr="001D5327" w14:paraId="1B0EEF8F" w14:textId="77777777" w:rsidTr="006E5BA2">
        <w:tc>
          <w:tcPr>
            <w:tcW w:w="0" w:type="auto"/>
            <w:shd w:val="clear" w:color="auto" w:fill="FFFFFF"/>
            <w:tcMar>
              <w:top w:w="0" w:type="dxa"/>
              <w:left w:w="85" w:type="dxa"/>
              <w:bottom w:w="0" w:type="dxa"/>
              <w:right w:w="85" w:type="dxa"/>
            </w:tcMar>
          </w:tcPr>
          <w:p w14:paraId="50B3E2CF" w14:textId="77777777" w:rsidR="00BC0FD7" w:rsidRPr="001D5327" w:rsidRDefault="00BC0FD7" w:rsidP="006E5BA2">
            <w:pPr>
              <w:pStyle w:val="TableText"/>
              <w:spacing w:before="40" w:after="40"/>
            </w:pPr>
            <w:r w:rsidRPr="001D5327">
              <w:rPr>
                <w:rFonts w:eastAsia="Calibri"/>
                <w:color w:val="000000"/>
              </w:rPr>
              <w:t>Conversion factor</w:t>
            </w:r>
          </w:p>
        </w:tc>
        <w:tc>
          <w:tcPr>
            <w:tcW w:w="0" w:type="auto"/>
            <w:shd w:val="clear" w:color="auto" w:fill="FFFFFF"/>
            <w:tcMar>
              <w:top w:w="0" w:type="dxa"/>
              <w:left w:w="85" w:type="dxa"/>
              <w:bottom w:w="0" w:type="dxa"/>
              <w:right w:w="85" w:type="dxa"/>
            </w:tcMar>
          </w:tcPr>
          <w:p w14:paraId="20110002" w14:textId="77777777" w:rsidR="00BC0FD7" w:rsidRPr="001D5327" w:rsidRDefault="00BC0FD7" w:rsidP="006E5BA2">
            <w:pPr>
              <w:pStyle w:val="TableText"/>
              <w:spacing w:before="40" w:after="40"/>
              <w:jc w:val="right"/>
            </w:pPr>
            <w:r w:rsidRPr="001D5327">
              <w:rPr>
                <w:rFonts w:eastAsia="Calibri"/>
                <w:color w:val="000000"/>
              </w:rPr>
              <w:t>44/12</w:t>
            </w:r>
          </w:p>
        </w:tc>
        <w:tc>
          <w:tcPr>
            <w:tcW w:w="0" w:type="auto"/>
            <w:shd w:val="clear" w:color="auto" w:fill="FFFFFF"/>
            <w:tcMar>
              <w:top w:w="0" w:type="dxa"/>
              <w:left w:w="85" w:type="dxa"/>
              <w:bottom w:w="0" w:type="dxa"/>
              <w:right w:w="85" w:type="dxa"/>
            </w:tcMar>
          </w:tcPr>
          <w:p w14:paraId="473A1A47" w14:textId="77777777" w:rsidR="00BC0FD7" w:rsidRPr="001D5327" w:rsidRDefault="00BC0FD7" w:rsidP="006E5BA2">
            <w:pPr>
              <w:pStyle w:val="TableText"/>
              <w:spacing w:before="40" w:after="40"/>
            </w:pPr>
          </w:p>
        </w:tc>
      </w:tr>
      <w:tr w:rsidR="00BC0FD7" w:rsidRPr="001D5327" w14:paraId="288F4897" w14:textId="77777777" w:rsidTr="006E5BA2">
        <w:tc>
          <w:tcPr>
            <w:tcW w:w="0" w:type="auto"/>
            <w:shd w:val="clear" w:color="auto" w:fill="FFFFFF"/>
            <w:tcMar>
              <w:top w:w="0" w:type="dxa"/>
              <w:left w:w="85" w:type="dxa"/>
              <w:bottom w:w="0" w:type="dxa"/>
              <w:right w:w="85" w:type="dxa"/>
            </w:tcMar>
          </w:tcPr>
          <w:p w14:paraId="27090BA8" w14:textId="77777777" w:rsidR="00BC0FD7" w:rsidRPr="001D5327" w:rsidRDefault="00BC0FD7" w:rsidP="006E5BA2">
            <w:pPr>
              <w:pStyle w:val="Tableboldblue"/>
              <w:spacing w:before="40" w:after="40"/>
            </w:pPr>
            <w:r w:rsidRPr="001D5327">
              <w:t>Other gases</w:t>
            </w:r>
          </w:p>
        </w:tc>
        <w:tc>
          <w:tcPr>
            <w:tcW w:w="0" w:type="auto"/>
            <w:shd w:val="clear" w:color="auto" w:fill="FFFFFF"/>
            <w:tcMar>
              <w:top w:w="0" w:type="dxa"/>
              <w:left w:w="85" w:type="dxa"/>
              <w:bottom w:w="0" w:type="dxa"/>
              <w:right w:w="85" w:type="dxa"/>
            </w:tcMar>
          </w:tcPr>
          <w:p w14:paraId="2110E32E" w14:textId="77777777" w:rsidR="00BC0FD7" w:rsidRPr="001D5327" w:rsidRDefault="00BC0FD7" w:rsidP="006E5BA2">
            <w:pPr>
              <w:pStyle w:val="Tableboldblue"/>
              <w:spacing w:before="40" w:after="40"/>
              <w:jc w:val="right"/>
            </w:pPr>
          </w:p>
        </w:tc>
        <w:tc>
          <w:tcPr>
            <w:tcW w:w="0" w:type="auto"/>
            <w:shd w:val="clear" w:color="auto" w:fill="FFFFFF"/>
            <w:tcMar>
              <w:top w:w="0" w:type="dxa"/>
              <w:left w:w="85" w:type="dxa"/>
              <w:bottom w:w="0" w:type="dxa"/>
              <w:right w:w="85" w:type="dxa"/>
            </w:tcMar>
          </w:tcPr>
          <w:p w14:paraId="1FE82990" w14:textId="77777777" w:rsidR="00BC0FD7" w:rsidRPr="001D5327" w:rsidRDefault="00BC0FD7" w:rsidP="006E5BA2">
            <w:pPr>
              <w:pStyle w:val="Tableboldblue"/>
              <w:spacing w:before="40" w:after="40"/>
            </w:pPr>
          </w:p>
        </w:tc>
      </w:tr>
      <w:tr w:rsidR="00BC0FD7" w:rsidRPr="001D5327" w14:paraId="61954382" w14:textId="77777777" w:rsidTr="006E5BA2">
        <w:tc>
          <w:tcPr>
            <w:tcW w:w="0" w:type="auto"/>
            <w:shd w:val="clear" w:color="auto" w:fill="FFFFFF"/>
            <w:tcMar>
              <w:top w:w="0" w:type="dxa"/>
              <w:left w:w="85" w:type="dxa"/>
              <w:bottom w:w="0" w:type="dxa"/>
              <w:right w:w="85" w:type="dxa"/>
            </w:tcMar>
          </w:tcPr>
          <w:p w14:paraId="1BE08314" w14:textId="77777777" w:rsidR="00BC0FD7" w:rsidRPr="001D5327" w:rsidRDefault="00BC0FD7" w:rsidP="006E5BA2">
            <w:pPr>
              <w:pStyle w:val="TableText"/>
              <w:spacing w:before="40" w:after="40"/>
            </w:pPr>
            <w:r w:rsidRPr="001D5327">
              <w:rPr>
                <w:rFonts w:eastAsia="Calibri"/>
                <w:color w:val="000000"/>
              </w:rPr>
              <w:t>Methane emission factor (kg/kt wet waste)</w:t>
            </w:r>
          </w:p>
        </w:tc>
        <w:tc>
          <w:tcPr>
            <w:tcW w:w="0" w:type="auto"/>
            <w:shd w:val="clear" w:color="auto" w:fill="FFFFFF"/>
            <w:tcMar>
              <w:top w:w="0" w:type="dxa"/>
              <w:left w:w="85" w:type="dxa"/>
              <w:bottom w:w="0" w:type="dxa"/>
              <w:right w:w="85" w:type="dxa"/>
            </w:tcMar>
          </w:tcPr>
          <w:p w14:paraId="0F114EEA" w14:textId="77777777" w:rsidR="00BC0FD7" w:rsidRPr="001D5327" w:rsidRDefault="00BC0FD7" w:rsidP="006E5BA2">
            <w:pPr>
              <w:pStyle w:val="TableText"/>
              <w:spacing w:before="40" w:after="40"/>
              <w:jc w:val="right"/>
            </w:pPr>
            <w:r w:rsidRPr="001D5327">
              <w:rPr>
                <w:rFonts w:eastAsia="Calibri"/>
                <w:color w:val="000000"/>
              </w:rPr>
              <w:t>6500</w:t>
            </w:r>
          </w:p>
        </w:tc>
        <w:tc>
          <w:tcPr>
            <w:tcW w:w="0" w:type="auto"/>
            <w:shd w:val="clear" w:color="auto" w:fill="FFFFFF"/>
            <w:tcMar>
              <w:top w:w="0" w:type="dxa"/>
              <w:left w:w="85" w:type="dxa"/>
              <w:bottom w:w="0" w:type="dxa"/>
              <w:right w:w="85" w:type="dxa"/>
            </w:tcMar>
          </w:tcPr>
          <w:p w14:paraId="260D26C6" w14:textId="77777777" w:rsidR="00BC0FD7" w:rsidRPr="001D5327" w:rsidRDefault="00BC0FD7" w:rsidP="006E5BA2">
            <w:pPr>
              <w:pStyle w:val="TableText"/>
              <w:spacing w:before="40" w:after="40"/>
            </w:pPr>
            <w:r w:rsidRPr="001D5327">
              <w:rPr>
                <w:rFonts w:eastAsia="Calibri"/>
                <w:color w:val="000000"/>
              </w:rPr>
              <w:t>IPCC default</w:t>
            </w:r>
          </w:p>
        </w:tc>
      </w:tr>
      <w:tr w:rsidR="00BC0FD7" w:rsidRPr="001D5327" w14:paraId="14BB6676" w14:textId="77777777" w:rsidTr="006E5BA2">
        <w:tc>
          <w:tcPr>
            <w:tcW w:w="0" w:type="auto"/>
            <w:shd w:val="clear" w:color="auto" w:fill="FFFFFF"/>
            <w:tcMar>
              <w:top w:w="0" w:type="dxa"/>
              <w:left w:w="85" w:type="dxa"/>
              <w:bottom w:w="0" w:type="dxa"/>
              <w:right w:w="85" w:type="dxa"/>
            </w:tcMar>
          </w:tcPr>
          <w:p w14:paraId="364BBA4E" w14:textId="77777777" w:rsidR="00BC0FD7" w:rsidRPr="001D5327" w:rsidRDefault="00BC0FD7" w:rsidP="006E5BA2">
            <w:pPr>
              <w:pStyle w:val="TableText"/>
              <w:spacing w:before="40" w:after="40"/>
            </w:pPr>
            <w:r w:rsidRPr="001D5327">
              <w:rPr>
                <w:rFonts w:eastAsia="Calibri"/>
                <w:color w:val="000000"/>
              </w:rPr>
              <w:t>Nitrous oxide emission factor (kg/kt dry waste)</w:t>
            </w:r>
          </w:p>
        </w:tc>
        <w:tc>
          <w:tcPr>
            <w:tcW w:w="0" w:type="auto"/>
            <w:shd w:val="clear" w:color="auto" w:fill="FFFFFF"/>
            <w:tcMar>
              <w:top w:w="0" w:type="dxa"/>
              <w:left w:w="85" w:type="dxa"/>
              <w:bottom w:w="0" w:type="dxa"/>
              <w:right w:w="85" w:type="dxa"/>
            </w:tcMar>
          </w:tcPr>
          <w:p w14:paraId="12370147" w14:textId="77777777" w:rsidR="00BC0FD7" w:rsidRPr="001D5327" w:rsidRDefault="00BC0FD7" w:rsidP="006E5BA2">
            <w:pPr>
              <w:pStyle w:val="TableText"/>
              <w:spacing w:before="40" w:after="40"/>
              <w:jc w:val="right"/>
            </w:pPr>
            <w:r w:rsidRPr="001D5327">
              <w:rPr>
                <w:rFonts w:eastAsia="Calibri"/>
                <w:color w:val="000000"/>
              </w:rPr>
              <w:t>150</w:t>
            </w:r>
          </w:p>
        </w:tc>
        <w:tc>
          <w:tcPr>
            <w:tcW w:w="0" w:type="auto"/>
            <w:shd w:val="clear" w:color="auto" w:fill="FFFFFF"/>
            <w:tcMar>
              <w:top w:w="0" w:type="dxa"/>
              <w:left w:w="85" w:type="dxa"/>
              <w:bottom w:w="0" w:type="dxa"/>
              <w:right w:w="85" w:type="dxa"/>
            </w:tcMar>
          </w:tcPr>
          <w:p w14:paraId="6338CA72" w14:textId="77777777" w:rsidR="00BC0FD7" w:rsidRPr="001D5327" w:rsidRDefault="00BC0FD7" w:rsidP="006E5BA2">
            <w:pPr>
              <w:pStyle w:val="TableText"/>
              <w:spacing w:before="40" w:after="40"/>
            </w:pPr>
            <w:r w:rsidRPr="001D5327">
              <w:rPr>
                <w:rFonts w:eastAsia="Calibri"/>
                <w:color w:val="000000"/>
              </w:rPr>
              <w:t>IPCC default</w:t>
            </w:r>
          </w:p>
        </w:tc>
      </w:tr>
    </w:tbl>
    <w:p w14:paraId="745677AF" w14:textId="77777777" w:rsidR="00BC0FD7" w:rsidRPr="001D5327" w:rsidRDefault="00BC0FD7" w:rsidP="00BC0FD7">
      <w:pPr>
        <w:pStyle w:val="BodyText"/>
        <w:spacing w:before="240"/>
      </w:pPr>
      <w:r w:rsidRPr="001D5327">
        <w:t>To calculate N</w:t>
      </w:r>
      <w:r w:rsidRPr="001D5327">
        <w:rPr>
          <w:vertAlign w:val="subscript"/>
        </w:rPr>
        <w:t>2</w:t>
      </w:r>
      <w:r w:rsidRPr="001D5327">
        <w:t>O emissions, the activity data are converted using the weighted average dry‑matter content in table 7.4.3 because the default emission factor is presented in terms of dry waste.</w:t>
      </w:r>
    </w:p>
    <w:bookmarkEnd w:id="2859"/>
    <w:p w14:paraId="343A64F8" w14:textId="77777777" w:rsidR="00BC0FD7" w:rsidRPr="001D5327" w:rsidRDefault="00BC0FD7" w:rsidP="00BC0FD7">
      <w:pPr>
        <w:pStyle w:val="Heading3"/>
      </w:pPr>
      <w:r w:rsidRPr="001D5327">
        <w:t xml:space="preserve">7.4.3 </w:t>
      </w:r>
      <w:r w:rsidRPr="001D5327">
        <w:tab/>
        <w:t>Uncertainty assessment and time-series consistency</w:t>
      </w:r>
    </w:p>
    <w:p w14:paraId="3F404341" w14:textId="77777777" w:rsidR="00BC0FD7" w:rsidRPr="001D5327" w:rsidRDefault="00BC0FD7" w:rsidP="00BC0FD7">
      <w:pPr>
        <w:pStyle w:val="Heading4"/>
      </w:pPr>
      <w:r w:rsidRPr="001D5327">
        <w:t>Uncertainties</w:t>
      </w:r>
    </w:p>
    <w:p w14:paraId="1F60E131" w14:textId="77777777" w:rsidR="00BC0FD7" w:rsidRPr="001D5327" w:rsidRDefault="00BC0FD7" w:rsidP="00BC0FD7">
      <w:pPr>
        <w:pStyle w:val="BodyText"/>
      </w:pPr>
      <w:r w:rsidRPr="001D5327">
        <w:t>Consistent with the IPCC recommendation for uncertainties relating to activity data (IPCC, 2006a), estimated uncertainty for the amount of wet waste incinerated ranges from ±10 per cent to ±50 per cent, and uncertainty of ±50 per cent is applied (see table 7.4.6).</w:t>
      </w:r>
    </w:p>
    <w:p w14:paraId="62ABE0B4" w14:textId="77777777" w:rsidR="00BC0FD7" w:rsidRPr="001D5327" w:rsidRDefault="00BC0FD7" w:rsidP="00BC0FD7">
      <w:pPr>
        <w:pStyle w:val="BodyText"/>
      </w:pPr>
      <w:r w:rsidRPr="001D5327">
        <w:t>The data collected for the composition of waste are not detailed. Therefore, following the recommendation for uncertainties relating to emission factors (IPCC, 2006a), the estimated uncertainty for default CO</w:t>
      </w:r>
      <w:r w:rsidRPr="001D5327">
        <w:rPr>
          <w:vertAlign w:val="subscript"/>
        </w:rPr>
        <w:t>2</w:t>
      </w:r>
      <w:r w:rsidRPr="001D5327">
        <w:t xml:space="preserve"> factors is ±40 per cent. Default factors used in the calculation of CH</w:t>
      </w:r>
      <w:r w:rsidRPr="001D5327">
        <w:rPr>
          <w:vertAlign w:val="subscript"/>
        </w:rPr>
        <w:t>4</w:t>
      </w:r>
      <w:r w:rsidRPr="001D5327">
        <w:t xml:space="preserve"> and N</w:t>
      </w:r>
      <w:r w:rsidRPr="001D5327">
        <w:rPr>
          <w:vertAlign w:val="subscript"/>
        </w:rPr>
        <w:t>2</w:t>
      </w:r>
      <w:r w:rsidRPr="001D5327">
        <w:t>O emissions have a much higher uncertainty (IPCC, 2006a); for this reason, the estimated uncertainty for default CH</w:t>
      </w:r>
      <w:r w:rsidRPr="001D5327">
        <w:rPr>
          <w:vertAlign w:val="subscript"/>
        </w:rPr>
        <w:t>4</w:t>
      </w:r>
      <w:r w:rsidRPr="001D5327">
        <w:t xml:space="preserve"> and N</w:t>
      </w:r>
      <w:r w:rsidRPr="001D5327">
        <w:rPr>
          <w:vertAlign w:val="subscript"/>
        </w:rPr>
        <w:t>2</w:t>
      </w:r>
      <w:r w:rsidRPr="001D5327">
        <w:t>O factors is ±100 per cent.</w:t>
      </w:r>
    </w:p>
    <w:p w14:paraId="76D8334D" w14:textId="77777777" w:rsidR="00BC0FD7" w:rsidRPr="001D5327" w:rsidRDefault="00BC0FD7" w:rsidP="00BC0FD7">
      <w:pPr>
        <w:pStyle w:val="Table"/>
      </w:pPr>
      <w:bookmarkStart w:id="2861" w:name="_Toc194241815"/>
      <w:r w:rsidRPr="001D5327">
        <w:lastRenderedPageBreak/>
        <w:t xml:space="preserve">Table 7.4.6 </w:t>
      </w:r>
      <w:r w:rsidRPr="001D5327">
        <w:tab/>
        <w:t xml:space="preserve">Uncertainty in emissions from </w:t>
      </w:r>
      <w:r w:rsidRPr="001D5327">
        <w:rPr>
          <w:i/>
          <w:iCs/>
        </w:rPr>
        <w:t>Incineration and open burning of waste</w:t>
      </w:r>
      <w:bookmarkEnd w:id="2861"/>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293"/>
        <w:gridCol w:w="2456"/>
        <w:gridCol w:w="2745"/>
      </w:tblGrid>
      <w:tr w:rsidR="00BC0FD7" w:rsidRPr="001D5327" w14:paraId="253A2021" w14:textId="77777777" w:rsidTr="00D868E6">
        <w:trPr>
          <w:tblHeader/>
        </w:trPr>
        <w:tc>
          <w:tcPr>
            <w:tcW w:w="0" w:type="auto"/>
            <w:shd w:val="clear" w:color="auto" w:fill="1B556B"/>
            <w:tcMar>
              <w:top w:w="0" w:type="dxa"/>
              <w:left w:w="85" w:type="dxa"/>
              <w:bottom w:w="0" w:type="dxa"/>
              <w:right w:w="85" w:type="dxa"/>
            </w:tcMar>
            <w:vAlign w:val="center"/>
          </w:tcPr>
          <w:p w14:paraId="5F350FF9" w14:textId="77777777" w:rsidR="00BC0FD7" w:rsidRPr="001D5327" w:rsidRDefault="00BC0FD7" w:rsidP="00D11AC9">
            <w:pPr>
              <w:pStyle w:val="TableText"/>
              <w:spacing w:before="40" w:after="40"/>
              <w:rPr>
                <w:b/>
                <w:bCs/>
                <w:color w:val="FFFFFF" w:themeColor="background1"/>
              </w:rPr>
            </w:pPr>
            <w:r w:rsidRPr="001D5327">
              <w:rPr>
                <w:rFonts w:eastAsia="Calibri"/>
                <w:b/>
                <w:bCs/>
                <w:color w:val="FFFFFF" w:themeColor="background1"/>
              </w:rPr>
              <w:t>Emissions category</w:t>
            </w:r>
          </w:p>
        </w:tc>
        <w:tc>
          <w:tcPr>
            <w:tcW w:w="0" w:type="auto"/>
            <w:shd w:val="clear" w:color="auto" w:fill="1B556B"/>
            <w:tcMar>
              <w:top w:w="0" w:type="dxa"/>
              <w:left w:w="85" w:type="dxa"/>
              <w:bottom w:w="0" w:type="dxa"/>
              <w:right w:w="85" w:type="dxa"/>
            </w:tcMar>
            <w:vAlign w:val="center"/>
          </w:tcPr>
          <w:p w14:paraId="11B2BF2B" w14:textId="77777777" w:rsidR="00BC0FD7" w:rsidRPr="001D5327" w:rsidRDefault="00BC0FD7" w:rsidP="00D11AC9">
            <w:pPr>
              <w:pStyle w:val="TableText"/>
              <w:spacing w:before="40" w:after="40"/>
              <w:jc w:val="right"/>
              <w:rPr>
                <w:b/>
                <w:bCs/>
                <w:color w:val="FFFFFF" w:themeColor="background1"/>
              </w:rPr>
            </w:pPr>
            <w:r w:rsidRPr="001D5327">
              <w:rPr>
                <w:rFonts w:eastAsia="Calibri"/>
                <w:b/>
                <w:bCs/>
                <w:color w:val="FFFFFF" w:themeColor="background1"/>
              </w:rPr>
              <w:t>Uncertainty in activity data (%)</w:t>
            </w:r>
          </w:p>
        </w:tc>
        <w:tc>
          <w:tcPr>
            <w:tcW w:w="0" w:type="auto"/>
            <w:shd w:val="clear" w:color="auto" w:fill="1B556B"/>
            <w:tcMar>
              <w:top w:w="0" w:type="dxa"/>
              <w:left w:w="85" w:type="dxa"/>
              <w:bottom w:w="0" w:type="dxa"/>
              <w:right w:w="85" w:type="dxa"/>
            </w:tcMar>
            <w:vAlign w:val="center"/>
          </w:tcPr>
          <w:p w14:paraId="115C83D4" w14:textId="77777777" w:rsidR="00BC0FD7" w:rsidRPr="001D5327" w:rsidRDefault="00BC0FD7" w:rsidP="00D11AC9">
            <w:pPr>
              <w:pStyle w:val="TableText"/>
              <w:spacing w:before="40" w:after="40"/>
              <w:jc w:val="right"/>
              <w:rPr>
                <w:b/>
                <w:bCs/>
                <w:color w:val="FFFFFF" w:themeColor="background1"/>
              </w:rPr>
            </w:pPr>
            <w:r w:rsidRPr="001D5327">
              <w:rPr>
                <w:rFonts w:eastAsia="Calibri"/>
                <w:b/>
                <w:bCs/>
                <w:color w:val="FFFFFF" w:themeColor="background1"/>
              </w:rPr>
              <w:t>Uncertainty in emission factors (%)</w:t>
            </w:r>
          </w:p>
        </w:tc>
      </w:tr>
      <w:tr w:rsidR="00BC0FD7" w:rsidRPr="001D5327" w14:paraId="1F316A7C" w14:textId="77777777" w:rsidTr="00D868E6">
        <w:tc>
          <w:tcPr>
            <w:tcW w:w="0" w:type="auto"/>
            <w:shd w:val="clear" w:color="auto" w:fill="FFFFFF"/>
            <w:tcMar>
              <w:top w:w="0" w:type="dxa"/>
              <w:left w:w="85" w:type="dxa"/>
              <w:bottom w:w="0" w:type="dxa"/>
              <w:right w:w="85" w:type="dxa"/>
            </w:tcMar>
            <w:vAlign w:val="center"/>
          </w:tcPr>
          <w:p w14:paraId="41EF49BC" w14:textId="77777777" w:rsidR="00BC0FD7" w:rsidRPr="001D5327" w:rsidRDefault="00BC0FD7" w:rsidP="00D11AC9">
            <w:pPr>
              <w:pStyle w:val="TableText"/>
              <w:spacing w:before="40" w:after="40"/>
            </w:pPr>
            <w:r w:rsidRPr="001D5327">
              <w:rPr>
                <w:rFonts w:eastAsia="Calibri"/>
                <w:color w:val="000000"/>
              </w:rPr>
              <w:t>Waste incineration and open burning (CO₂)</w:t>
            </w:r>
          </w:p>
        </w:tc>
        <w:tc>
          <w:tcPr>
            <w:tcW w:w="0" w:type="auto"/>
            <w:shd w:val="clear" w:color="auto" w:fill="FFFFFF"/>
            <w:tcMar>
              <w:top w:w="0" w:type="dxa"/>
              <w:left w:w="85" w:type="dxa"/>
              <w:bottom w:w="0" w:type="dxa"/>
              <w:right w:w="85" w:type="dxa"/>
            </w:tcMar>
            <w:vAlign w:val="center"/>
          </w:tcPr>
          <w:p w14:paraId="13EC9089" w14:textId="77777777" w:rsidR="00BC0FD7" w:rsidRPr="001D5327" w:rsidRDefault="00BC0FD7" w:rsidP="00D11AC9">
            <w:pPr>
              <w:pStyle w:val="TableText"/>
              <w:spacing w:before="40" w:after="40"/>
              <w:jc w:val="right"/>
            </w:pPr>
            <w:r w:rsidRPr="001D5327">
              <w:rPr>
                <w:rFonts w:eastAsia="Calibri"/>
                <w:color w:val="000000"/>
              </w:rPr>
              <w:t>±50</w:t>
            </w:r>
          </w:p>
        </w:tc>
        <w:tc>
          <w:tcPr>
            <w:tcW w:w="0" w:type="auto"/>
            <w:shd w:val="clear" w:color="auto" w:fill="FFFFFF"/>
            <w:tcMar>
              <w:top w:w="0" w:type="dxa"/>
              <w:left w:w="85" w:type="dxa"/>
              <w:bottom w:w="0" w:type="dxa"/>
              <w:right w:w="85" w:type="dxa"/>
            </w:tcMar>
            <w:vAlign w:val="center"/>
          </w:tcPr>
          <w:p w14:paraId="75718613" w14:textId="77777777" w:rsidR="00BC0FD7" w:rsidRPr="001D5327" w:rsidRDefault="00BC0FD7" w:rsidP="00D11AC9">
            <w:pPr>
              <w:pStyle w:val="TableText"/>
              <w:spacing w:before="40" w:after="40"/>
              <w:jc w:val="right"/>
            </w:pPr>
            <w:r w:rsidRPr="001D5327">
              <w:rPr>
                <w:rFonts w:eastAsia="Calibri"/>
                <w:color w:val="000000"/>
              </w:rPr>
              <w:t>±40</w:t>
            </w:r>
          </w:p>
        </w:tc>
      </w:tr>
      <w:tr w:rsidR="00BC0FD7" w:rsidRPr="001D5327" w14:paraId="1D4A69FD" w14:textId="77777777" w:rsidTr="00D868E6">
        <w:tc>
          <w:tcPr>
            <w:tcW w:w="0" w:type="auto"/>
            <w:shd w:val="clear" w:color="auto" w:fill="FFFFFF"/>
            <w:tcMar>
              <w:top w:w="0" w:type="dxa"/>
              <w:left w:w="85" w:type="dxa"/>
              <w:bottom w:w="0" w:type="dxa"/>
              <w:right w:w="85" w:type="dxa"/>
            </w:tcMar>
            <w:vAlign w:val="center"/>
          </w:tcPr>
          <w:p w14:paraId="45CED9F5" w14:textId="77777777" w:rsidR="00BC0FD7" w:rsidRPr="001D5327" w:rsidRDefault="00BC0FD7" w:rsidP="00D11AC9">
            <w:pPr>
              <w:pStyle w:val="TableText"/>
              <w:spacing w:before="40" w:after="40"/>
            </w:pPr>
            <w:r w:rsidRPr="001D5327">
              <w:rPr>
                <w:rFonts w:eastAsia="Calibri"/>
                <w:color w:val="000000"/>
              </w:rPr>
              <w:t>Waste incineration and open burning (CH₄)</w:t>
            </w:r>
          </w:p>
        </w:tc>
        <w:tc>
          <w:tcPr>
            <w:tcW w:w="0" w:type="auto"/>
            <w:shd w:val="clear" w:color="auto" w:fill="FFFFFF"/>
            <w:tcMar>
              <w:top w:w="0" w:type="dxa"/>
              <w:left w:w="85" w:type="dxa"/>
              <w:bottom w:w="0" w:type="dxa"/>
              <w:right w:w="85" w:type="dxa"/>
            </w:tcMar>
            <w:vAlign w:val="center"/>
          </w:tcPr>
          <w:p w14:paraId="2B8C6DB6" w14:textId="77777777" w:rsidR="00BC0FD7" w:rsidRPr="001D5327" w:rsidRDefault="00BC0FD7" w:rsidP="00D11AC9">
            <w:pPr>
              <w:pStyle w:val="TableText"/>
              <w:spacing w:before="40" w:after="40"/>
              <w:jc w:val="right"/>
            </w:pPr>
            <w:r w:rsidRPr="001D5327">
              <w:rPr>
                <w:rFonts w:eastAsia="Calibri"/>
                <w:color w:val="000000"/>
              </w:rPr>
              <w:t>±50</w:t>
            </w:r>
          </w:p>
        </w:tc>
        <w:tc>
          <w:tcPr>
            <w:tcW w:w="0" w:type="auto"/>
            <w:shd w:val="clear" w:color="auto" w:fill="FFFFFF"/>
            <w:tcMar>
              <w:top w:w="0" w:type="dxa"/>
              <w:left w:w="85" w:type="dxa"/>
              <w:bottom w:w="0" w:type="dxa"/>
              <w:right w:w="85" w:type="dxa"/>
            </w:tcMar>
            <w:vAlign w:val="center"/>
          </w:tcPr>
          <w:p w14:paraId="4559B390" w14:textId="77777777" w:rsidR="00BC0FD7" w:rsidRPr="001D5327" w:rsidRDefault="00BC0FD7" w:rsidP="00D11AC9">
            <w:pPr>
              <w:pStyle w:val="TableText"/>
              <w:spacing w:before="40" w:after="40"/>
              <w:jc w:val="right"/>
            </w:pPr>
            <w:r w:rsidRPr="001D5327">
              <w:rPr>
                <w:rFonts w:eastAsia="Calibri"/>
                <w:color w:val="000000"/>
              </w:rPr>
              <w:t>±100</w:t>
            </w:r>
          </w:p>
        </w:tc>
      </w:tr>
      <w:tr w:rsidR="00BC0FD7" w:rsidRPr="001D5327" w14:paraId="04034A90" w14:textId="77777777" w:rsidTr="00D868E6">
        <w:tc>
          <w:tcPr>
            <w:tcW w:w="0" w:type="auto"/>
            <w:shd w:val="clear" w:color="auto" w:fill="FFFFFF"/>
            <w:tcMar>
              <w:top w:w="0" w:type="dxa"/>
              <w:left w:w="85" w:type="dxa"/>
              <w:bottom w:w="0" w:type="dxa"/>
              <w:right w:w="85" w:type="dxa"/>
            </w:tcMar>
            <w:vAlign w:val="center"/>
          </w:tcPr>
          <w:p w14:paraId="4AD0DE1C" w14:textId="77777777" w:rsidR="00BC0FD7" w:rsidRPr="001D5327" w:rsidRDefault="00BC0FD7" w:rsidP="00D11AC9">
            <w:pPr>
              <w:pStyle w:val="TableText"/>
              <w:spacing w:before="40" w:after="40"/>
            </w:pPr>
            <w:r w:rsidRPr="001D5327">
              <w:rPr>
                <w:rFonts w:eastAsia="Calibri"/>
                <w:color w:val="000000"/>
              </w:rPr>
              <w:t>Waste incineration and open burning (N₂O)</w:t>
            </w:r>
          </w:p>
        </w:tc>
        <w:tc>
          <w:tcPr>
            <w:tcW w:w="0" w:type="auto"/>
            <w:shd w:val="clear" w:color="auto" w:fill="FFFFFF"/>
            <w:tcMar>
              <w:top w:w="0" w:type="dxa"/>
              <w:left w:w="85" w:type="dxa"/>
              <w:bottom w:w="0" w:type="dxa"/>
              <w:right w:w="85" w:type="dxa"/>
            </w:tcMar>
            <w:vAlign w:val="center"/>
          </w:tcPr>
          <w:p w14:paraId="49E5B1C9" w14:textId="77777777" w:rsidR="00BC0FD7" w:rsidRPr="001D5327" w:rsidRDefault="00BC0FD7" w:rsidP="00D11AC9">
            <w:pPr>
              <w:pStyle w:val="TableText"/>
              <w:spacing w:before="40" w:after="40"/>
              <w:jc w:val="right"/>
            </w:pPr>
            <w:r w:rsidRPr="001D5327">
              <w:rPr>
                <w:rFonts w:eastAsia="Calibri"/>
                <w:color w:val="000000"/>
              </w:rPr>
              <w:t>±50</w:t>
            </w:r>
          </w:p>
        </w:tc>
        <w:tc>
          <w:tcPr>
            <w:tcW w:w="0" w:type="auto"/>
            <w:shd w:val="clear" w:color="auto" w:fill="FFFFFF"/>
            <w:tcMar>
              <w:top w:w="0" w:type="dxa"/>
              <w:left w:w="85" w:type="dxa"/>
              <w:bottom w:w="0" w:type="dxa"/>
              <w:right w:w="85" w:type="dxa"/>
            </w:tcMar>
            <w:vAlign w:val="center"/>
          </w:tcPr>
          <w:p w14:paraId="0BE24F27" w14:textId="77777777" w:rsidR="00BC0FD7" w:rsidRPr="001D5327" w:rsidRDefault="00BC0FD7" w:rsidP="00D11AC9">
            <w:pPr>
              <w:pStyle w:val="TableText"/>
              <w:spacing w:before="40" w:after="40"/>
              <w:jc w:val="right"/>
            </w:pPr>
            <w:r w:rsidRPr="001D5327">
              <w:rPr>
                <w:rFonts w:eastAsia="Calibri"/>
                <w:color w:val="000000"/>
              </w:rPr>
              <w:t>±100</w:t>
            </w:r>
          </w:p>
        </w:tc>
      </w:tr>
    </w:tbl>
    <w:p w14:paraId="0D501D0E" w14:textId="77777777" w:rsidR="00BC0FD7" w:rsidRPr="001D5327" w:rsidRDefault="00BC0FD7" w:rsidP="00BC0FD7">
      <w:pPr>
        <w:pStyle w:val="Heading4"/>
        <w:spacing w:before="360"/>
      </w:pPr>
      <w:r w:rsidRPr="001D5327">
        <w:t>Time-series consistency</w:t>
      </w:r>
    </w:p>
    <w:p w14:paraId="5577520A" w14:textId="77777777" w:rsidR="00BC0FD7" w:rsidRPr="001D5327" w:rsidRDefault="00BC0FD7" w:rsidP="00BC0FD7">
      <w:pPr>
        <w:pStyle w:val="BodyText"/>
      </w:pPr>
      <w:r w:rsidRPr="001D5327">
        <w:t>Time-series consistency is ensured by the use of consistent models and parameters across the period. Where changes to methodologies or emission factors have occurred, a full time-series recalculation is conducted.</w:t>
      </w:r>
    </w:p>
    <w:p w14:paraId="5D932D10" w14:textId="77777777" w:rsidR="00BC0FD7" w:rsidRPr="001D5327" w:rsidRDefault="00BC0FD7" w:rsidP="00BC0FD7">
      <w:pPr>
        <w:pStyle w:val="Heading3"/>
      </w:pPr>
      <w:r w:rsidRPr="001D5327">
        <w:t xml:space="preserve">7.4.4 </w:t>
      </w:r>
      <w:r w:rsidRPr="001D5327">
        <w:tab/>
        <w:t>Category-specific QA/QC and verification</w:t>
      </w:r>
    </w:p>
    <w:p w14:paraId="72349A13" w14:textId="77777777" w:rsidR="00BC0FD7" w:rsidRPr="001D5327" w:rsidRDefault="00BC0FD7" w:rsidP="00BC0FD7">
      <w:pPr>
        <w:pStyle w:val="BodyText"/>
      </w:pPr>
      <w:r w:rsidRPr="001D5327">
        <w:t xml:space="preserve">Quality-assurance and quality-control checks are carried out where possible. Detailed quality-assurance and quality-control efforts for the Waste sector focus on the </w:t>
      </w:r>
      <w:r w:rsidRPr="001D5327">
        <w:rPr>
          <w:i/>
          <w:iCs/>
        </w:rPr>
        <w:t>Solid waste disposal</w:t>
      </w:r>
      <w:r w:rsidRPr="001D5327">
        <w:t xml:space="preserve"> to land and </w:t>
      </w:r>
      <w:r w:rsidRPr="001D5327">
        <w:rPr>
          <w:i/>
          <w:iCs/>
        </w:rPr>
        <w:t>Wastewater treatment and discharge</w:t>
      </w:r>
      <w:r w:rsidRPr="001D5327">
        <w:t xml:space="preserve"> categories. Activity data for the </w:t>
      </w:r>
      <w:r w:rsidRPr="001D5327">
        <w:rPr>
          <w:i/>
          <w:iCs/>
        </w:rPr>
        <w:t>Open burning of waste</w:t>
      </w:r>
      <w:r w:rsidRPr="001D5327">
        <w:t xml:space="preserve"> category are derived from the landfill data.</w:t>
      </w:r>
    </w:p>
    <w:p w14:paraId="6707ADE1" w14:textId="77777777" w:rsidR="00BC0FD7" w:rsidRPr="001D5327" w:rsidRDefault="00BC0FD7" w:rsidP="00BC0FD7">
      <w:pPr>
        <w:pStyle w:val="Heading3"/>
      </w:pPr>
      <w:r w:rsidRPr="001D5327">
        <w:t xml:space="preserve">7.4.5 </w:t>
      </w:r>
      <w:r w:rsidRPr="001D5327">
        <w:tab/>
        <w:t>Category-specific recalculations</w:t>
      </w:r>
    </w:p>
    <w:p w14:paraId="2CA68EFE" w14:textId="77777777" w:rsidR="00BC0FD7" w:rsidRPr="001D5327" w:rsidRDefault="00BC0FD7" w:rsidP="00BC0FD7">
      <w:pPr>
        <w:pStyle w:val="BodyText"/>
      </w:pPr>
      <w:r w:rsidRPr="001D5327">
        <w:rPr>
          <w:spacing w:val="-2"/>
        </w:rPr>
        <w:t xml:space="preserve">Emissions from </w:t>
      </w:r>
      <w:r w:rsidRPr="001D5327">
        <w:rPr>
          <w:i/>
          <w:iCs/>
          <w:spacing w:val="-2"/>
        </w:rPr>
        <w:t>Incineration</w:t>
      </w:r>
      <w:r w:rsidRPr="001D5327">
        <w:rPr>
          <w:spacing w:val="-2"/>
        </w:rPr>
        <w:t xml:space="preserve"> decreased by 0.3 kt CO</w:t>
      </w:r>
      <w:r w:rsidRPr="001D5327">
        <w:rPr>
          <w:spacing w:val="-2"/>
          <w:vertAlign w:val="subscript"/>
        </w:rPr>
        <w:t>2</w:t>
      </w:r>
      <w:r w:rsidRPr="001D5327">
        <w:rPr>
          <w:spacing w:val="-2"/>
        </w:rPr>
        <w:t>-e (2.3 per cent) in 1990 and by 0.3 kt CO</w:t>
      </w:r>
      <w:r w:rsidRPr="001D5327">
        <w:rPr>
          <w:spacing w:val="-2"/>
          <w:vertAlign w:val="subscript"/>
        </w:rPr>
        <w:t>2</w:t>
      </w:r>
      <w:r w:rsidRPr="001D5327">
        <w:rPr>
          <w:spacing w:val="-2"/>
        </w:rPr>
        <w:t>-e</w:t>
      </w:r>
      <w:r w:rsidRPr="001D5327">
        <w:t xml:space="preserve"> (14.8 per cent) in 2023.</w:t>
      </w:r>
      <w:r w:rsidRPr="001D5327">
        <w:rPr>
          <w:b/>
          <w:bCs/>
        </w:rPr>
        <w:t xml:space="preserve"> </w:t>
      </w:r>
      <w:r w:rsidRPr="001D5327">
        <w:t>This is due to adjustments to the fraction of carbon and fraction of fossil carbon in the total carbon.</w:t>
      </w:r>
    </w:p>
    <w:p w14:paraId="0CC88297" w14:textId="77777777" w:rsidR="00BC0FD7" w:rsidRPr="001D5327" w:rsidRDefault="00BC0FD7" w:rsidP="00BC0FD7">
      <w:pPr>
        <w:pStyle w:val="BodyText"/>
      </w:pPr>
      <w:r w:rsidRPr="001D5327">
        <w:t xml:space="preserve">Emissions from </w:t>
      </w:r>
      <w:r w:rsidRPr="001D5327">
        <w:rPr>
          <w:i/>
          <w:iCs/>
        </w:rPr>
        <w:t>Open burning of waste</w:t>
      </w:r>
      <w:r w:rsidRPr="001D5327">
        <w:t xml:space="preserve"> showed negligeable increases (&lt;0.00001 per cent) in 1990 and 2022. These are attributed to a minor reduction in the total number of farm holdings throughout the time series.</w:t>
      </w:r>
    </w:p>
    <w:p w14:paraId="034685F1" w14:textId="77777777" w:rsidR="00BC0FD7" w:rsidRPr="001D5327" w:rsidRDefault="00BC0FD7" w:rsidP="00BC0FD7">
      <w:pPr>
        <w:pStyle w:val="Heading3"/>
      </w:pPr>
      <w:r w:rsidRPr="001D5327">
        <w:t xml:space="preserve">7.4.6 </w:t>
      </w:r>
      <w:r w:rsidRPr="001D5327">
        <w:tab/>
        <w:t>Category-specific planned improvements</w:t>
      </w:r>
    </w:p>
    <w:p w14:paraId="438D3309" w14:textId="20A7C974" w:rsidR="00BC0FD7" w:rsidRPr="001D5327" w:rsidRDefault="00BC0FD7" w:rsidP="00BC0FD7">
      <w:pPr>
        <w:pStyle w:val="BodyText"/>
      </w:pPr>
      <w:r w:rsidRPr="001D5327">
        <w:t>No specific improvements are planned for this category. Over time, surveys by local authorities on disposal of waste in the farm sector may provide a better understanding of open burning in</w:t>
      </w:r>
      <w:r w:rsidR="000571B7" w:rsidRPr="001D5327">
        <w:t> </w:t>
      </w:r>
      <w:r w:rsidRPr="001D5327">
        <w:t>the farm sector. Further work is needed to understand the ratio of farm waste disposed to open burning or landfills. Anecdotal evidence suggests that incineration of medical waste may be occurring at lower volumes than is assumed (M Geesink, Northland District Health Board, pers. comm., 11 November 2020). Changes will be made when evidence becomes available to confirm this, noting that emissions from incineration are under 1 per cent of the Waste sector and that other incineration sources (eg, rural schools) are currently not estimated.</w:t>
      </w:r>
    </w:p>
    <w:p w14:paraId="1AEBBADD" w14:textId="77777777" w:rsidR="00BC0FD7" w:rsidRPr="001D5327" w:rsidRDefault="00BC0FD7" w:rsidP="00BC0FD7">
      <w:pPr>
        <w:pStyle w:val="Heading2"/>
      </w:pPr>
      <w:bookmarkStart w:id="2862" w:name="_Toc194312044"/>
      <w:bookmarkStart w:id="2863" w:name="wastewater-treatment-and-discharge-5.d"/>
      <w:bookmarkEnd w:id="2849"/>
      <w:r w:rsidRPr="001D5327">
        <w:t xml:space="preserve">7.5 </w:t>
      </w:r>
      <w:r w:rsidRPr="001D5327">
        <w:tab/>
        <w:t>Wastewater treatment and discharge (5.D)</w:t>
      </w:r>
      <w:bookmarkEnd w:id="2862"/>
    </w:p>
    <w:p w14:paraId="606C6B8D" w14:textId="77777777" w:rsidR="00BC0FD7" w:rsidRPr="001D5327" w:rsidRDefault="00BC0FD7" w:rsidP="00BC0FD7">
      <w:pPr>
        <w:pStyle w:val="Heading3"/>
        <w:spacing w:before="240"/>
      </w:pPr>
      <w:r w:rsidRPr="001D5327">
        <w:t xml:space="preserve">7.5.1 </w:t>
      </w:r>
      <w:r w:rsidRPr="001D5327">
        <w:tab/>
        <w:t>Description</w:t>
      </w:r>
    </w:p>
    <w:p w14:paraId="3A66F410" w14:textId="77777777" w:rsidR="00BC0FD7" w:rsidRPr="001D5327" w:rsidRDefault="00BC0FD7" w:rsidP="00BC0FD7">
      <w:pPr>
        <w:pStyle w:val="BodyText"/>
      </w:pPr>
      <w:r w:rsidRPr="001D5327">
        <w:t xml:space="preserve">In 2023, </w:t>
      </w:r>
      <w:r w:rsidRPr="001D5327">
        <w:rPr>
          <w:i/>
          <w:iCs/>
        </w:rPr>
        <w:t>Wastewater treatment and discharge</w:t>
      </w:r>
      <w:r w:rsidRPr="001D5327">
        <w:t xml:space="preserve"> contributed 401.3 kt CO</w:t>
      </w:r>
      <w:r w:rsidRPr="001D5327">
        <w:rPr>
          <w:vertAlign w:val="subscript"/>
        </w:rPr>
        <w:t>2</w:t>
      </w:r>
      <w:r w:rsidRPr="001D5327">
        <w:t>-e (13.8 per cent) of emissions from the Waste sector. This was an increase of 77.9 kt CO</w:t>
      </w:r>
      <w:r w:rsidRPr="001D5327">
        <w:rPr>
          <w:vertAlign w:val="subscript"/>
        </w:rPr>
        <w:t>2</w:t>
      </w:r>
      <w:r w:rsidRPr="001D5327">
        <w:t>-e (24.1 per cent) from the 1990 level of 323.3 kt CO</w:t>
      </w:r>
      <w:r w:rsidRPr="001D5327">
        <w:rPr>
          <w:vertAlign w:val="subscript"/>
        </w:rPr>
        <w:t>2</w:t>
      </w:r>
      <w:r w:rsidRPr="001D5327">
        <w:t>-e and is due to increases in the volume of industrial and domestic wastewater handled over this period.</w:t>
      </w:r>
    </w:p>
    <w:p w14:paraId="1AADDC9C" w14:textId="77777777" w:rsidR="00BC0FD7" w:rsidRPr="001D5327" w:rsidRDefault="00BC0FD7" w:rsidP="00BC0FD7">
      <w:pPr>
        <w:pStyle w:val="BodyText"/>
      </w:pPr>
      <w:r w:rsidRPr="001D5327">
        <w:lastRenderedPageBreak/>
        <w:t xml:space="preserve">Small amounts of industrial wastewater are applied as organic amendments to agricultural soils, as well as an extremely small amount of sewage sludge (van der Weerden et al., 2014). Any emissions from this practice are likely to be insignificant and are reported as ‘not estimated’ under the Agriculture sector (see chapter 5, section 5.5.2). Table 7.5.1 presents emissions from </w:t>
      </w:r>
      <w:r w:rsidRPr="001D5327">
        <w:rPr>
          <w:i/>
          <w:iCs/>
        </w:rPr>
        <w:t>Wastewater treatment and discharge</w:t>
      </w:r>
      <w:r w:rsidRPr="001D5327">
        <w:t>.</w:t>
      </w:r>
    </w:p>
    <w:p w14:paraId="1AF51B80" w14:textId="77777777" w:rsidR="00BC0FD7" w:rsidRPr="001D5327" w:rsidRDefault="00BC0FD7" w:rsidP="00BC0FD7">
      <w:pPr>
        <w:pStyle w:val="BodyText"/>
        <w:rPr>
          <w:spacing w:val="-2"/>
        </w:rPr>
      </w:pPr>
      <w:r w:rsidRPr="001D5327">
        <w:t xml:space="preserve">Sludge amounts are reported as ‘included elsewhere’ for domestic and industrial wastewater because most of the sludge is sent to landfills, and activity data and emissions from its disposal </w:t>
      </w:r>
      <w:r w:rsidRPr="001D5327">
        <w:rPr>
          <w:spacing w:val="-2"/>
        </w:rPr>
        <w:t xml:space="preserve">are reported in the </w:t>
      </w:r>
      <w:r w:rsidRPr="001D5327">
        <w:rPr>
          <w:i/>
          <w:iCs/>
          <w:spacing w:val="-2"/>
        </w:rPr>
        <w:t>Solid waste</w:t>
      </w:r>
      <w:r w:rsidRPr="001D5327">
        <w:rPr>
          <w:spacing w:val="-2"/>
        </w:rPr>
        <w:t xml:space="preserve"> </w:t>
      </w:r>
      <w:r w:rsidRPr="001D5327">
        <w:rPr>
          <w:i/>
          <w:iCs/>
          <w:spacing w:val="-2"/>
        </w:rPr>
        <w:t>disposal</w:t>
      </w:r>
      <w:r w:rsidRPr="001D5327">
        <w:rPr>
          <w:spacing w:val="-2"/>
        </w:rPr>
        <w:t xml:space="preserve"> source category (Tonkin and Taylor Ltd, unpublished(a)).</w:t>
      </w:r>
    </w:p>
    <w:p w14:paraId="482CB446" w14:textId="77777777" w:rsidR="00BC0FD7" w:rsidRPr="001D5327" w:rsidRDefault="00BC0FD7" w:rsidP="00BC0FD7">
      <w:pPr>
        <w:pStyle w:val="Table"/>
      </w:pPr>
      <w:bookmarkStart w:id="2864" w:name="_Toc194241816"/>
      <w:r w:rsidRPr="001D5327">
        <w:t xml:space="preserve">Table 7.5.1 </w:t>
      </w:r>
      <w:r w:rsidRPr="001D5327">
        <w:tab/>
        <w:t xml:space="preserve">Emissions from </w:t>
      </w:r>
      <w:r w:rsidRPr="001D5327">
        <w:rPr>
          <w:i/>
          <w:iCs/>
        </w:rPr>
        <w:t>Wastewater treatment and discharge</w:t>
      </w:r>
      <w:r w:rsidRPr="001D5327">
        <w:t xml:space="preserve"> (5.D)</w:t>
      </w:r>
      <w:bookmarkEnd w:id="2864"/>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117"/>
        <w:gridCol w:w="1162"/>
        <w:gridCol w:w="1162"/>
        <w:gridCol w:w="2368"/>
        <w:gridCol w:w="1685"/>
      </w:tblGrid>
      <w:tr w:rsidR="00BC0FD7" w:rsidRPr="001D5327" w14:paraId="24794E3A" w14:textId="77777777" w:rsidTr="00D868E6">
        <w:trPr>
          <w:tblHeader/>
        </w:trPr>
        <w:tc>
          <w:tcPr>
            <w:tcW w:w="0" w:type="auto"/>
            <w:shd w:val="clear" w:color="auto" w:fill="1B556B"/>
            <w:tcMar>
              <w:top w:w="0" w:type="dxa"/>
              <w:left w:w="85" w:type="dxa"/>
              <w:bottom w:w="0" w:type="dxa"/>
              <w:right w:w="85" w:type="dxa"/>
            </w:tcMar>
          </w:tcPr>
          <w:p w14:paraId="760CB2CD"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 xml:space="preserve"> </w:t>
            </w:r>
          </w:p>
        </w:tc>
        <w:tc>
          <w:tcPr>
            <w:tcW w:w="0" w:type="auto"/>
            <w:gridSpan w:val="2"/>
            <w:shd w:val="clear" w:color="auto" w:fill="1B556B"/>
            <w:tcMar>
              <w:top w:w="0" w:type="dxa"/>
              <w:left w:w="85" w:type="dxa"/>
              <w:bottom w:w="0" w:type="dxa"/>
              <w:right w:w="85" w:type="dxa"/>
            </w:tcMar>
          </w:tcPr>
          <w:p w14:paraId="6034465A" w14:textId="37F6AE05" w:rsidR="00BC0FD7" w:rsidRPr="001D5327" w:rsidRDefault="00BC0FD7" w:rsidP="00D11AC9">
            <w:pPr>
              <w:pStyle w:val="TableTextBold"/>
              <w:spacing w:before="40" w:after="40"/>
              <w:jc w:val="center"/>
              <w:rPr>
                <w:noProof w:val="0"/>
                <w:color w:val="FFFFFF" w:themeColor="background1"/>
              </w:rPr>
            </w:pPr>
            <w:r w:rsidRPr="001D5327">
              <w:rPr>
                <w:rFonts w:eastAsia="Calibri"/>
                <w:noProof w:val="0"/>
                <w:color w:val="FFFFFF" w:themeColor="background1"/>
              </w:rPr>
              <w:t>Emissions (kt CO₂-e)</w:t>
            </w:r>
            <w:r w:rsidR="00EF376B">
              <w:rPr>
                <w:rFonts w:eastAsia="Calibri"/>
                <w:noProof w:val="0"/>
                <w:color w:val="FFFFFF" w:themeColor="background1"/>
              </w:rPr>
              <w:t xml:space="preserve"> </w:t>
            </w:r>
            <w:r w:rsidR="00EF376B" w:rsidRPr="00EF376B">
              <w:rPr>
                <w:rFonts w:eastAsia="Calibri"/>
                <w:noProof w:val="0"/>
                <w:color w:val="FFFFFF" w:themeColor="background1"/>
              </w:rPr>
              <w:t>1990–2023</w:t>
            </w:r>
          </w:p>
        </w:tc>
        <w:tc>
          <w:tcPr>
            <w:tcW w:w="0" w:type="auto"/>
            <w:shd w:val="clear" w:color="auto" w:fill="1B556B"/>
            <w:tcMar>
              <w:top w:w="0" w:type="dxa"/>
              <w:left w:w="85" w:type="dxa"/>
              <w:bottom w:w="0" w:type="dxa"/>
              <w:right w:w="85" w:type="dxa"/>
            </w:tcMar>
          </w:tcPr>
          <w:p w14:paraId="507BC97B" w14:textId="49750E3C"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Difference (kt CO₂-e)</w:t>
            </w:r>
            <w:r w:rsidR="00EF376B">
              <w:rPr>
                <w:rFonts w:eastAsia="Calibri"/>
                <w:noProof w:val="0"/>
                <w:color w:val="FFFFFF" w:themeColor="background1"/>
              </w:rPr>
              <w:t xml:space="preserve"> </w:t>
            </w:r>
            <w:r w:rsidR="00EF376B" w:rsidRPr="00EF376B">
              <w:rPr>
                <w:rFonts w:eastAsia="Calibri"/>
                <w:noProof w:val="0"/>
                <w:color w:val="FFFFFF" w:themeColor="background1"/>
              </w:rPr>
              <w:t>1990–2023</w:t>
            </w:r>
          </w:p>
        </w:tc>
        <w:tc>
          <w:tcPr>
            <w:tcW w:w="0" w:type="auto"/>
            <w:shd w:val="clear" w:color="auto" w:fill="1B556B"/>
            <w:tcMar>
              <w:top w:w="0" w:type="dxa"/>
              <w:left w:w="85" w:type="dxa"/>
              <w:bottom w:w="0" w:type="dxa"/>
              <w:right w:w="85" w:type="dxa"/>
            </w:tcMar>
          </w:tcPr>
          <w:p w14:paraId="37ED44E8" w14:textId="46C6C3D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Change (%)</w:t>
            </w:r>
            <w:r w:rsidR="00EF376B" w:rsidRPr="00EF376B">
              <w:rPr>
                <w:rFonts w:eastAsia="Calibri"/>
                <w:noProof w:val="0"/>
                <w:color w:val="FFFFFF" w:themeColor="background1"/>
              </w:rPr>
              <w:t>1990–2023</w:t>
            </w:r>
          </w:p>
        </w:tc>
      </w:tr>
      <w:tr w:rsidR="00BC0FD7" w:rsidRPr="001D5327" w14:paraId="2C49353E" w14:textId="77777777" w:rsidTr="00D868E6">
        <w:tc>
          <w:tcPr>
            <w:tcW w:w="0" w:type="auto"/>
            <w:shd w:val="clear" w:color="auto" w:fill="FFFFFF"/>
            <w:tcMar>
              <w:top w:w="0" w:type="dxa"/>
              <w:left w:w="85" w:type="dxa"/>
              <w:bottom w:w="0" w:type="dxa"/>
              <w:right w:w="85" w:type="dxa"/>
            </w:tcMar>
          </w:tcPr>
          <w:p w14:paraId="5CBAC7A8" w14:textId="77777777" w:rsidR="00BC0FD7" w:rsidRPr="001D5327" w:rsidRDefault="00BC0FD7" w:rsidP="0082413B">
            <w:pPr>
              <w:pStyle w:val="Tableboldblue"/>
              <w:spacing w:before="40" w:after="40"/>
            </w:pPr>
            <w:r w:rsidRPr="001D5327">
              <w:t>Source category</w:t>
            </w:r>
          </w:p>
        </w:tc>
        <w:tc>
          <w:tcPr>
            <w:tcW w:w="0" w:type="auto"/>
            <w:shd w:val="clear" w:color="auto" w:fill="FFFFFF"/>
            <w:tcMar>
              <w:top w:w="0" w:type="dxa"/>
              <w:left w:w="85" w:type="dxa"/>
              <w:bottom w:w="0" w:type="dxa"/>
              <w:right w:w="85" w:type="dxa"/>
            </w:tcMar>
          </w:tcPr>
          <w:p w14:paraId="048A67E7" w14:textId="5FE85944" w:rsidR="00BC0FD7" w:rsidRPr="001D5327" w:rsidRDefault="00BC0FD7" w:rsidP="0082413B">
            <w:pPr>
              <w:pStyle w:val="Tableboldblue"/>
              <w:spacing w:before="40" w:after="40"/>
              <w:jc w:val="right"/>
            </w:pPr>
          </w:p>
        </w:tc>
        <w:tc>
          <w:tcPr>
            <w:tcW w:w="0" w:type="auto"/>
            <w:shd w:val="clear" w:color="auto" w:fill="FFFFFF"/>
            <w:tcMar>
              <w:top w:w="0" w:type="dxa"/>
              <w:left w:w="85" w:type="dxa"/>
              <w:bottom w:w="0" w:type="dxa"/>
              <w:right w:w="85" w:type="dxa"/>
            </w:tcMar>
          </w:tcPr>
          <w:p w14:paraId="4CC0C3A9" w14:textId="249E1715" w:rsidR="00BC0FD7" w:rsidRPr="001D5327" w:rsidRDefault="00BC0FD7" w:rsidP="0082413B">
            <w:pPr>
              <w:pStyle w:val="Tableboldblue"/>
              <w:spacing w:before="40" w:after="40"/>
              <w:jc w:val="right"/>
            </w:pPr>
          </w:p>
        </w:tc>
        <w:tc>
          <w:tcPr>
            <w:tcW w:w="0" w:type="auto"/>
            <w:shd w:val="clear" w:color="auto" w:fill="FFFFFF"/>
            <w:tcMar>
              <w:top w:w="0" w:type="dxa"/>
              <w:left w:w="85" w:type="dxa"/>
              <w:bottom w:w="0" w:type="dxa"/>
              <w:right w:w="85" w:type="dxa"/>
            </w:tcMar>
          </w:tcPr>
          <w:p w14:paraId="1A1F13D2" w14:textId="7744C748" w:rsidR="00BC0FD7" w:rsidRPr="001D5327" w:rsidRDefault="00BC0FD7" w:rsidP="0082413B">
            <w:pPr>
              <w:pStyle w:val="Tableboldblue"/>
              <w:spacing w:before="40" w:after="40"/>
              <w:jc w:val="right"/>
            </w:pPr>
          </w:p>
        </w:tc>
        <w:tc>
          <w:tcPr>
            <w:tcW w:w="0" w:type="auto"/>
            <w:shd w:val="clear" w:color="auto" w:fill="FFFFFF"/>
            <w:tcMar>
              <w:top w:w="0" w:type="dxa"/>
              <w:left w:w="85" w:type="dxa"/>
              <w:bottom w:w="0" w:type="dxa"/>
              <w:right w:w="85" w:type="dxa"/>
            </w:tcMar>
          </w:tcPr>
          <w:p w14:paraId="35482892" w14:textId="5253E353" w:rsidR="00BC0FD7" w:rsidRPr="001D5327" w:rsidRDefault="00BC0FD7" w:rsidP="0082413B">
            <w:pPr>
              <w:pStyle w:val="Tableboldblue"/>
              <w:spacing w:before="40" w:after="40"/>
              <w:jc w:val="right"/>
            </w:pPr>
          </w:p>
        </w:tc>
      </w:tr>
      <w:tr w:rsidR="00BC0FD7" w:rsidRPr="001D5327" w14:paraId="0F75C41C" w14:textId="77777777" w:rsidTr="00D868E6">
        <w:tc>
          <w:tcPr>
            <w:tcW w:w="0" w:type="auto"/>
            <w:shd w:val="clear" w:color="auto" w:fill="FFFFFF"/>
            <w:tcMar>
              <w:top w:w="0" w:type="dxa"/>
              <w:left w:w="85" w:type="dxa"/>
              <w:bottom w:w="0" w:type="dxa"/>
              <w:right w:w="85" w:type="dxa"/>
            </w:tcMar>
          </w:tcPr>
          <w:p w14:paraId="0F8C5AF3" w14:textId="77777777" w:rsidR="00BC0FD7" w:rsidRPr="001D5327" w:rsidRDefault="00BC0FD7" w:rsidP="0082413B">
            <w:pPr>
              <w:pStyle w:val="TableText"/>
              <w:spacing w:before="40" w:after="40"/>
            </w:pPr>
            <w:r w:rsidRPr="001D5327">
              <w:rPr>
                <w:rFonts w:eastAsia="Calibri"/>
                <w:color w:val="000000"/>
              </w:rPr>
              <w:t>Domestic wastewater (5.D.1)</w:t>
            </w:r>
          </w:p>
        </w:tc>
        <w:tc>
          <w:tcPr>
            <w:tcW w:w="0" w:type="auto"/>
            <w:shd w:val="clear" w:color="auto" w:fill="FFFFFF"/>
            <w:tcMar>
              <w:top w:w="0" w:type="dxa"/>
              <w:left w:w="85" w:type="dxa"/>
              <w:bottom w:w="0" w:type="dxa"/>
              <w:right w:w="85" w:type="dxa"/>
            </w:tcMar>
          </w:tcPr>
          <w:p w14:paraId="1689E470" w14:textId="77777777" w:rsidR="00BC0FD7" w:rsidRPr="001D5327" w:rsidRDefault="00BC0FD7" w:rsidP="0082413B">
            <w:pPr>
              <w:pStyle w:val="TableText"/>
              <w:spacing w:before="40" w:after="40"/>
              <w:jc w:val="right"/>
            </w:pPr>
            <w:r w:rsidRPr="001D5327">
              <w:rPr>
                <w:rFonts w:eastAsia="Calibri"/>
                <w:color w:val="000000"/>
              </w:rPr>
              <w:t>222.4</w:t>
            </w:r>
          </w:p>
        </w:tc>
        <w:tc>
          <w:tcPr>
            <w:tcW w:w="0" w:type="auto"/>
            <w:shd w:val="clear" w:color="auto" w:fill="FFFFFF"/>
            <w:tcMar>
              <w:top w:w="0" w:type="dxa"/>
              <w:left w:w="85" w:type="dxa"/>
              <w:bottom w:w="0" w:type="dxa"/>
              <w:right w:w="85" w:type="dxa"/>
            </w:tcMar>
          </w:tcPr>
          <w:p w14:paraId="430D4D17" w14:textId="77777777" w:rsidR="00BC0FD7" w:rsidRPr="001D5327" w:rsidRDefault="00BC0FD7" w:rsidP="0082413B">
            <w:pPr>
              <w:pStyle w:val="TableText"/>
              <w:spacing w:before="40" w:after="40"/>
              <w:jc w:val="right"/>
            </w:pPr>
            <w:r w:rsidRPr="001D5327">
              <w:rPr>
                <w:rFonts w:eastAsia="Calibri"/>
                <w:color w:val="000000"/>
              </w:rPr>
              <w:t>296.2</w:t>
            </w:r>
          </w:p>
        </w:tc>
        <w:tc>
          <w:tcPr>
            <w:tcW w:w="0" w:type="auto"/>
            <w:shd w:val="clear" w:color="auto" w:fill="FFFFFF"/>
            <w:tcMar>
              <w:top w:w="0" w:type="dxa"/>
              <w:left w:w="85" w:type="dxa"/>
              <w:bottom w:w="0" w:type="dxa"/>
              <w:right w:w="85" w:type="dxa"/>
            </w:tcMar>
          </w:tcPr>
          <w:p w14:paraId="7053523B" w14:textId="77777777" w:rsidR="00BC0FD7" w:rsidRPr="001D5327" w:rsidRDefault="00BC0FD7" w:rsidP="0082413B">
            <w:pPr>
              <w:pStyle w:val="TableText"/>
              <w:spacing w:before="40" w:after="40"/>
              <w:jc w:val="right"/>
            </w:pPr>
            <w:r w:rsidRPr="001D5327">
              <w:rPr>
                <w:rFonts w:eastAsia="Calibri"/>
                <w:color w:val="000000"/>
              </w:rPr>
              <w:t>73.8</w:t>
            </w:r>
          </w:p>
        </w:tc>
        <w:tc>
          <w:tcPr>
            <w:tcW w:w="0" w:type="auto"/>
            <w:shd w:val="clear" w:color="auto" w:fill="FFFFFF"/>
            <w:tcMar>
              <w:top w:w="0" w:type="dxa"/>
              <w:left w:w="85" w:type="dxa"/>
              <w:bottom w:w="0" w:type="dxa"/>
              <w:right w:w="85" w:type="dxa"/>
            </w:tcMar>
          </w:tcPr>
          <w:p w14:paraId="47868A55" w14:textId="77777777" w:rsidR="00BC0FD7" w:rsidRPr="001D5327" w:rsidRDefault="00BC0FD7" w:rsidP="0082413B">
            <w:pPr>
              <w:pStyle w:val="TableText"/>
              <w:spacing w:before="40" w:after="40"/>
              <w:jc w:val="right"/>
            </w:pPr>
            <w:r w:rsidRPr="001D5327">
              <w:rPr>
                <w:rFonts w:eastAsia="Calibri"/>
                <w:color w:val="000000"/>
              </w:rPr>
              <w:t>33.2</w:t>
            </w:r>
          </w:p>
        </w:tc>
      </w:tr>
      <w:tr w:rsidR="00BC0FD7" w:rsidRPr="001D5327" w14:paraId="00548991" w14:textId="77777777" w:rsidTr="00D868E6">
        <w:tc>
          <w:tcPr>
            <w:tcW w:w="0" w:type="auto"/>
            <w:shd w:val="clear" w:color="auto" w:fill="FFFFFF"/>
            <w:tcMar>
              <w:top w:w="0" w:type="dxa"/>
              <w:left w:w="85" w:type="dxa"/>
              <w:bottom w:w="0" w:type="dxa"/>
              <w:right w:w="85" w:type="dxa"/>
            </w:tcMar>
          </w:tcPr>
          <w:p w14:paraId="33F128DC" w14:textId="77777777" w:rsidR="00BC0FD7" w:rsidRPr="001D5327" w:rsidRDefault="00BC0FD7" w:rsidP="0082413B">
            <w:pPr>
              <w:pStyle w:val="TableText"/>
              <w:spacing w:before="40" w:after="40"/>
            </w:pPr>
            <w:r w:rsidRPr="001D5327">
              <w:rPr>
                <w:rFonts w:eastAsia="Calibri"/>
                <w:color w:val="000000"/>
              </w:rPr>
              <w:t>Industrial wastewater (5.D.2)</w:t>
            </w:r>
          </w:p>
        </w:tc>
        <w:tc>
          <w:tcPr>
            <w:tcW w:w="0" w:type="auto"/>
            <w:shd w:val="clear" w:color="auto" w:fill="FFFFFF"/>
            <w:tcMar>
              <w:top w:w="0" w:type="dxa"/>
              <w:left w:w="85" w:type="dxa"/>
              <w:bottom w:w="0" w:type="dxa"/>
              <w:right w:w="85" w:type="dxa"/>
            </w:tcMar>
          </w:tcPr>
          <w:p w14:paraId="45B94CB9" w14:textId="77777777" w:rsidR="00BC0FD7" w:rsidRPr="001D5327" w:rsidRDefault="00BC0FD7" w:rsidP="0082413B">
            <w:pPr>
              <w:pStyle w:val="TableText"/>
              <w:spacing w:before="40" w:after="40"/>
              <w:jc w:val="right"/>
            </w:pPr>
            <w:r w:rsidRPr="001D5327">
              <w:rPr>
                <w:rFonts w:eastAsia="Calibri"/>
                <w:color w:val="000000"/>
              </w:rPr>
              <w:t>100.9</w:t>
            </w:r>
          </w:p>
        </w:tc>
        <w:tc>
          <w:tcPr>
            <w:tcW w:w="0" w:type="auto"/>
            <w:shd w:val="clear" w:color="auto" w:fill="FFFFFF"/>
            <w:tcMar>
              <w:top w:w="0" w:type="dxa"/>
              <w:left w:w="85" w:type="dxa"/>
              <w:bottom w:w="0" w:type="dxa"/>
              <w:right w:w="85" w:type="dxa"/>
            </w:tcMar>
          </w:tcPr>
          <w:p w14:paraId="70C13603" w14:textId="77777777" w:rsidR="00BC0FD7" w:rsidRPr="001D5327" w:rsidRDefault="00BC0FD7" w:rsidP="0082413B">
            <w:pPr>
              <w:pStyle w:val="TableText"/>
              <w:spacing w:before="40" w:after="40"/>
              <w:jc w:val="right"/>
            </w:pPr>
            <w:r w:rsidRPr="001D5327">
              <w:rPr>
                <w:rFonts w:eastAsia="Calibri"/>
                <w:color w:val="000000"/>
              </w:rPr>
              <w:t>105.1</w:t>
            </w:r>
          </w:p>
        </w:tc>
        <w:tc>
          <w:tcPr>
            <w:tcW w:w="0" w:type="auto"/>
            <w:shd w:val="clear" w:color="auto" w:fill="FFFFFF"/>
            <w:tcMar>
              <w:top w:w="0" w:type="dxa"/>
              <w:left w:w="85" w:type="dxa"/>
              <w:bottom w:w="0" w:type="dxa"/>
              <w:right w:w="85" w:type="dxa"/>
            </w:tcMar>
          </w:tcPr>
          <w:p w14:paraId="3F420501" w14:textId="77777777" w:rsidR="00BC0FD7" w:rsidRPr="001D5327" w:rsidRDefault="00BC0FD7" w:rsidP="0082413B">
            <w:pPr>
              <w:pStyle w:val="TableText"/>
              <w:spacing w:before="40" w:after="40"/>
              <w:jc w:val="right"/>
            </w:pPr>
            <w:r w:rsidRPr="001D5327">
              <w:rPr>
                <w:rFonts w:eastAsia="Calibri"/>
                <w:color w:val="000000"/>
              </w:rPr>
              <w:t>4.2</w:t>
            </w:r>
          </w:p>
        </w:tc>
        <w:tc>
          <w:tcPr>
            <w:tcW w:w="0" w:type="auto"/>
            <w:shd w:val="clear" w:color="auto" w:fill="FFFFFF"/>
            <w:tcMar>
              <w:top w:w="0" w:type="dxa"/>
              <w:left w:w="85" w:type="dxa"/>
              <w:bottom w:w="0" w:type="dxa"/>
              <w:right w:w="85" w:type="dxa"/>
            </w:tcMar>
          </w:tcPr>
          <w:p w14:paraId="62C6D133" w14:textId="77777777" w:rsidR="00BC0FD7" w:rsidRPr="001D5327" w:rsidRDefault="00BC0FD7" w:rsidP="0082413B">
            <w:pPr>
              <w:pStyle w:val="TableText"/>
              <w:spacing w:before="40" w:after="40"/>
              <w:jc w:val="right"/>
            </w:pPr>
            <w:r w:rsidRPr="001D5327">
              <w:rPr>
                <w:rFonts w:eastAsia="Calibri"/>
                <w:color w:val="000000"/>
              </w:rPr>
              <w:t>4.1</w:t>
            </w:r>
          </w:p>
        </w:tc>
      </w:tr>
      <w:tr w:rsidR="00BC0FD7" w:rsidRPr="001D5327" w14:paraId="2450F37F" w14:textId="77777777" w:rsidTr="00D868E6">
        <w:tc>
          <w:tcPr>
            <w:tcW w:w="0" w:type="auto"/>
            <w:shd w:val="clear" w:color="auto" w:fill="FFFFFF"/>
            <w:tcMar>
              <w:top w:w="0" w:type="dxa"/>
              <w:left w:w="85" w:type="dxa"/>
              <w:bottom w:w="0" w:type="dxa"/>
              <w:right w:w="85" w:type="dxa"/>
            </w:tcMar>
          </w:tcPr>
          <w:p w14:paraId="462E32B4" w14:textId="77777777" w:rsidR="00BC0FD7" w:rsidRPr="001D5327" w:rsidRDefault="00BC0FD7" w:rsidP="0082413B">
            <w:pPr>
              <w:pStyle w:val="Tableboldblue"/>
              <w:spacing w:before="40" w:after="40"/>
            </w:pPr>
            <w:r w:rsidRPr="001D5327">
              <w:t>Total (5.D)</w:t>
            </w:r>
          </w:p>
        </w:tc>
        <w:tc>
          <w:tcPr>
            <w:tcW w:w="0" w:type="auto"/>
            <w:shd w:val="clear" w:color="auto" w:fill="FFFFFF"/>
            <w:tcMar>
              <w:top w:w="0" w:type="dxa"/>
              <w:left w:w="85" w:type="dxa"/>
              <w:bottom w:w="0" w:type="dxa"/>
              <w:right w:w="85" w:type="dxa"/>
            </w:tcMar>
          </w:tcPr>
          <w:p w14:paraId="755BF19D" w14:textId="77777777" w:rsidR="00BC0FD7" w:rsidRPr="001D5327" w:rsidRDefault="00BC0FD7" w:rsidP="0082413B">
            <w:pPr>
              <w:pStyle w:val="Tableboldblue"/>
              <w:spacing w:before="40" w:after="40"/>
              <w:jc w:val="right"/>
            </w:pPr>
            <w:r w:rsidRPr="001D5327">
              <w:t>323.3</w:t>
            </w:r>
          </w:p>
        </w:tc>
        <w:tc>
          <w:tcPr>
            <w:tcW w:w="0" w:type="auto"/>
            <w:shd w:val="clear" w:color="auto" w:fill="FFFFFF"/>
            <w:tcMar>
              <w:top w:w="0" w:type="dxa"/>
              <w:left w:w="85" w:type="dxa"/>
              <w:bottom w:w="0" w:type="dxa"/>
              <w:right w:w="85" w:type="dxa"/>
            </w:tcMar>
          </w:tcPr>
          <w:p w14:paraId="63511489" w14:textId="77777777" w:rsidR="00BC0FD7" w:rsidRPr="001D5327" w:rsidRDefault="00BC0FD7" w:rsidP="0082413B">
            <w:pPr>
              <w:pStyle w:val="Tableboldblue"/>
              <w:spacing w:before="40" w:after="40"/>
              <w:jc w:val="right"/>
            </w:pPr>
            <w:r w:rsidRPr="001D5327">
              <w:t>401.3</w:t>
            </w:r>
          </w:p>
        </w:tc>
        <w:tc>
          <w:tcPr>
            <w:tcW w:w="0" w:type="auto"/>
            <w:shd w:val="clear" w:color="auto" w:fill="FFFFFF"/>
            <w:tcMar>
              <w:top w:w="0" w:type="dxa"/>
              <w:left w:w="85" w:type="dxa"/>
              <w:bottom w:w="0" w:type="dxa"/>
              <w:right w:w="85" w:type="dxa"/>
            </w:tcMar>
          </w:tcPr>
          <w:p w14:paraId="388DB964" w14:textId="77777777" w:rsidR="00BC0FD7" w:rsidRPr="001D5327" w:rsidRDefault="00BC0FD7" w:rsidP="0082413B">
            <w:pPr>
              <w:pStyle w:val="Tableboldblue"/>
              <w:spacing w:before="40" w:after="40"/>
              <w:jc w:val="right"/>
            </w:pPr>
            <w:r w:rsidRPr="001D5327">
              <w:t>77.9</w:t>
            </w:r>
          </w:p>
        </w:tc>
        <w:tc>
          <w:tcPr>
            <w:tcW w:w="0" w:type="auto"/>
            <w:shd w:val="clear" w:color="auto" w:fill="FFFFFF"/>
            <w:tcMar>
              <w:top w:w="0" w:type="dxa"/>
              <w:left w:w="85" w:type="dxa"/>
              <w:bottom w:w="0" w:type="dxa"/>
              <w:right w:w="85" w:type="dxa"/>
            </w:tcMar>
          </w:tcPr>
          <w:p w14:paraId="300E0134" w14:textId="77777777" w:rsidR="00BC0FD7" w:rsidRPr="001D5327" w:rsidRDefault="00BC0FD7" w:rsidP="0082413B">
            <w:pPr>
              <w:pStyle w:val="Tableboldblue"/>
              <w:spacing w:before="40" w:after="40"/>
              <w:jc w:val="right"/>
            </w:pPr>
            <w:r w:rsidRPr="001D5327">
              <w:t>24.1</w:t>
            </w:r>
          </w:p>
        </w:tc>
      </w:tr>
    </w:tbl>
    <w:p w14:paraId="509A0D2D" w14:textId="77777777" w:rsidR="00BC0FD7" w:rsidRPr="001D5327" w:rsidRDefault="00BC0FD7" w:rsidP="00BC0FD7">
      <w:pPr>
        <w:pStyle w:val="Noteundertable"/>
      </w:pPr>
      <w:r w:rsidRPr="001D5327">
        <w:rPr>
          <w:b/>
          <w:bCs/>
        </w:rPr>
        <w:t>Note:</w:t>
      </w:r>
      <w:r w:rsidRPr="001D5327">
        <w:t xml:space="preserve"> Percentages presented are calculated from unrounded values.</w:t>
      </w:r>
    </w:p>
    <w:p w14:paraId="40F86079" w14:textId="77777777" w:rsidR="00BC0FD7" w:rsidRPr="001D5327" w:rsidRDefault="00BC0FD7" w:rsidP="00BC0FD7">
      <w:pPr>
        <w:pStyle w:val="BodyText"/>
      </w:pPr>
      <w:r w:rsidRPr="001D5327">
        <w:t xml:space="preserve">Methane emissions from the </w:t>
      </w:r>
      <w:r w:rsidRPr="001D5327">
        <w:rPr>
          <w:i/>
          <w:iCs/>
        </w:rPr>
        <w:t>Wastewater treatment and discharge</w:t>
      </w:r>
      <w:r w:rsidRPr="001D5327">
        <w:t xml:space="preserve"> source category were identified as a key category in the 2023 level assessment.</w:t>
      </w:r>
    </w:p>
    <w:p w14:paraId="1399D5BB" w14:textId="77777777" w:rsidR="00BC0FD7" w:rsidRPr="001D5327" w:rsidRDefault="00BC0FD7" w:rsidP="00BC0FD7">
      <w:pPr>
        <w:pStyle w:val="Heading5"/>
      </w:pPr>
      <w:bookmarkStart w:id="2865" w:name="domestic-wastewater-5.d.1"/>
      <w:r w:rsidRPr="001D5327">
        <w:t>Domestic wastewater (5.D.1)</w:t>
      </w:r>
    </w:p>
    <w:p w14:paraId="0FA91D43" w14:textId="77777777" w:rsidR="00BC0FD7" w:rsidRPr="001D5327" w:rsidRDefault="00BC0FD7" w:rsidP="00BC0FD7">
      <w:pPr>
        <w:pStyle w:val="BodyText"/>
      </w:pPr>
      <w:r w:rsidRPr="001D5327">
        <w:t>Wastewater from almost every town in New Zealand with a population over 1,000 is collected and treated in municipal wastewater treatment plants. There are approximately 317 municipal wastewater treatment plants in New Zealand and around a further 50 government or privately owned treatment plants serving populations of more than 1,000 people (SCS Wetherill Environmental, unpublished).</w:t>
      </w:r>
    </w:p>
    <w:p w14:paraId="65D43AE6" w14:textId="5748BBA7" w:rsidR="00BC0FD7" w:rsidRPr="001D5327" w:rsidRDefault="00BC0FD7" w:rsidP="00BC0FD7">
      <w:pPr>
        <w:pStyle w:val="BodyText"/>
      </w:pPr>
      <w:r w:rsidRPr="001D5327">
        <w:t>Although most of the wastewater treatment processes are aerobic, a significant number of wastewater treatment plants use partially anaerobic processes, such as oxidation ponds or septic tanks. Small communities and individual rural dwellings are served mainly by simple septic tanks. While the part of the population using septic tanks is small, compared with the national population, this treatment type produces the most CH</w:t>
      </w:r>
      <w:r w:rsidRPr="001D5327">
        <w:rPr>
          <w:vertAlign w:val="subscript"/>
        </w:rPr>
        <w:t>4</w:t>
      </w:r>
      <w:r w:rsidRPr="001D5327">
        <w:t xml:space="preserve"> emissions from domestic wastewater. This is because emissions from other treatment types are small or the CH</w:t>
      </w:r>
      <w:r w:rsidRPr="001D5327">
        <w:rPr>
          <w:vertAlign w:val="subscript"/>
        </w:rPr>
        <w:t>4</w:t>
      </w:r>
      <w:r w:rsidRPr="001D5327">
        <w:t xml:space="preserve"> is</w:t>
      </w:r>
      <w:r w:rsidR="000571B7" w:rsidRPr="001D5327">
        <w:t> </w:t>
      </w:r>
      <w:r w:rsidRPr="001D5327">
        <w:t>destroyed.</w:t>
      </w:r>
    </w:p>
    <w:p w14:paraId="19E4862A" w14:textId="77777777" w:rsidR="00BC0FD7" w:rsidRPr="001D5327" w:rsidRDefault="00BC0FD7" w:rsidP="00BC0FD7">
      <w:pPr>
        <w:pStyle w:val="Heading5"/>
      </w:pPr>
      <w:bookmarkStart w:id="2866" w:name="industrial-wastewater-5.d.2"/>
      <w:bookmarkEnd w:id="2865"/>
      <w:r w:rsidRPr="001D5327">
        <w:t>Industrial wastewater (5.D.2)</w:t>
      </w:r>
    </w:p>
    <w:p w14:paraId="6EFBAF5A" w14:textId="77777777" w:rsidR="00BC0FD7" w:rsidRPr="001D5327" w:rsidRDefault="00BC0FD7" w:rsidP="00BC0FD7">
      <w:pPr>
        <w:pStyle w:val="BodyText"/>
      </w:pPr>
      <w:r w:rsidRPr="001D5327">
        <w:t>The major sources of industrial wastewater in New Zealand are the meat and the pulp and paper industries. Most of the industrial wastewater treatment is aerobic, and most of the CH</w:t>
      </w:r>
      <w:r w:rsidRPr="001D5327">
        <w:rPr>
          <w:vertAlign w:val="subscript"/>
        </w:rPr>
        <w:t>4</w:t>
      </w:r>
      <w:r w:rsidRPr="001D5327">
        <w:t> generated from anaerobic treatment is flared.</w:t>
      </w:r>
    </w:p>
    <w:p w14:paraId="48831571" w14:textId="77777777" w:rsidR="00BC0FD7" w:rsidRPr="001D5327" w:rsidRDefault="00BC0FD7" w:rsidP="00BC0FD7">
      <w:pPr>
        <w:pStyle w:val="BodyText"/>
      </w:pPr>
      <w:r w:rsidRPr="001D5327">
        <w:t>In June 2015, the methodologies and input data used to calculate the industrial wastewater emissions were reviewed, to capture any changes in industry activity and ensure current best practice and knowledge were reflected (Cardno, unpublished). This is discussed further under section 7.5.2.</w:t>
      </w:r>
    </w:p>
    <w:bookmarkEnd w:id="2866"/>
    <w:p w14:paraId="67DA72BB" w14:textId="77777777" w:rsidR="00BC0FD7" w:rsidRPr="001D5327" w:rsidRDefault="00BC0FD7" w:rsidP="00BC0FD7">
      <w:pPr>
        <w:pStyle w:val="Heading3"/>
      </w:pPr>
      <w:r w:rsidRPr="001D5327">
        <w:lastRenderedPageBreak/>
        <w:t xml:space="preserve">7.5.2 </w:t>
      </w:r>
      <w:r w:rsidRPr="001D5327">
        <w:tab/>
        <w:t>Methodological issues</w:t>
      </w:r>
    </w:p>
    <w:p w14:paraId="4270523D" w14:textId="77777777" w:rsidR="00BC0FD7" w:rsidRPr="001D5327" w:rsidRDefault="00BC0FD7" w:rsidP="00BC0FD7">
      <w:pPr>
        <w:pStyle w:val="Heading4"/>
        <w:spacing w:before="180"/>
      </w:pPr>
      <w:r w:rsidRPr="001D5327">
        <w:t>Choice of activity data</w:t>
      </w:r>
    </w:p>
    <w:p w14:paraId="6A0FD3FC" w14:textId="77777777" w:rsidR="00BC0FD7" w:rsidRPr="001D5327" w:rsidRDefault="00BC0FD7" w:rsidP="00BC0FD7">
      <w:pPr>
        <w:pStyle w:val="Heading5"/>
        <w:spacing w:before="180"/>
      </w:pPr>
      <w:bookmarkStart w:id="2867" w:name="domestic-wastewater-5.d.1-1"/>
      <w:r w:rsidRPr="001D5327">
        <w:t>Domestic wastewater (5.D.1)</w:t>
      </w:r>
    </w:p>
    <w:p w14:paraId="7C4464FA" w14:textId="77777777" w:rsidR="00BC0FD7" w:rsidRPr="001D5327" w:rsidRDefault="00BC0FD7" w:rsidP="00BC0FD7">
      <w:pPr>
        <w:pStyle w:val="BodyText"/>
      </w:pPr>
      <w:r w:rsidRPr="001D5327">
        <w:t>Estimates for CH</w:t>
      </w:r>
      <w:r w:rsidRPr="001D5327">
        <w:rPr>
          <w:vertAlign w:val="subscript"/>
        </w:rPr>
        <w:t>4</w:t>
      </w:r>
      <w:r w:rsidRPr="001D5327">
        <w:t xml:space="preserve"> emissions are derived from combining the population connected to each treatment plant in New Zealand with the treatment methods for each plant (Beca Infrastructure Ltd, unpublished).</w:t>
      </w:r>
    </w:p>
    <w:p w14:paraId="66E2C361" w14:textId="77777777" w:rsidR="00BC0FD7" w:rsidRPr="001D5327" w:rsidRDefault="00BC0FD7" w:rsidP="00BC0FD7">
      <w:pPr>
        <w:pStyle w:val="BodyText"/>
      </w:pPr>
      <w:r w:rsidRPr="001D5327">
        <w:t>The population using each municipal treatment plant and an estimation of the population using septic tanks were determined (Beca Infrastructure Ltd, unpublished; SCS Wetherill Environmental, unpublished). Emissions from the wastewater treatment plants are calculated for 1997, 2001, 2006 and every year from 2013 onward. Emissions from the years before 1997 are calculated based on a fixed aggregate methane correction factor from 1997. Emissions from the remaining years are interpolated.</w:t>
      </w:r>
    </w:p>
    <w:p w14:paraId="246E441F" w14:textId="77777777" w:rsidR="00BC0FD7" w:rsidRPr="001D5327" w:rsidRDefault="00BC0FD7" w:rsidP="00BC0FD7">
      <w:pPr>
        <w:pStyle w:val="BodyText"/>
      </w:pPr>
      <w:r w:rsidRPr="001D5327">
        <w:t>Emissions are proportional to the population treated by each plant, and population data are updated based on the population growth rate of the district in which the plant is located, using the latest population data. This information is obtained from Stats NZ. For intermediate years, data are interpolated. Years before 1997 are driven by national population growth using the methane correction factor from 1997.</w:t>
      </w:r>
    </w:p>
    <w:p w14:paraId="3538119C" w14:textId="77777777" w:rsidR="00BC0FD7" w:rsidRPr="001D5327" w:rsidRDefault="00BC0FD7" w:rsidP="00BC0FD7">
      <w:pPr>
        <w:pStyle w:val="BodyText"/>
      </w:pPr>
      <w:r w:rsidRPr="001D5327">
        <w:t>In 2023, the population connected to treatment plants was estimated to be about 4.2 million. The connected population excludes people connected to rural septic tanks, estimated at 515,034 people in 2023, and approximately 57,268 people using other aerobic plants. The total population of New Zealand was 5.2 million, therefore, the remaining population of 369,961 people is not accounted for. This is a result of incomplete data on the wastewater treatment plants in New Zealand and the populations connected to each of these plants being estimated. To account for emissions from the remaining population, CH</w:t>
      </w:r>
      <w:r w:rsidRPr="001D5327">
        <w:rPr>
          <w:vertAlign w:val="subscript"/>
        </w:rPr>
        <w:t>4</w:t>
      </w:r>
      <w:r w:rsidRPr="001D5327">
        <w:t xml:space="preserve"> emissions for the </w:t>
      </w:r>
      <w:r w:rsidRPr="001D5327">
        <w:rPr>
          <w:i/>
          <w:iCs/>
        </w:rPr>
        <w:t>Domestic wastewater</w:t>
      </w:r>
      <w:r w:rsidRPr="001D5327">
        <w:t xml:space="preserve"> source category were scaled up proportionately based on the population for which emissions are known. An assumption is made to apply the average emission factor for wastewater treatment for this otherwise unaccounted-for population.</w:t>
      </w:r>
    </w:p>
    <w:p w14:paraId="430857ED" w14:textId="77777777" w:rsidR="00BC0FD7" w:rsidRPr="001D5327" w:rsidRDefault="00BC0FD7" w:rsidP="00BC0FD7">
      <w:pPr>
        <w:pStyle w:val="BodyText"/>
      </w:pPr>
      <w:r w:rsidRPr="001D5327">
        <w:t>Indirect N</w:t>
      </w:r>
      <w:r w:rsidRPr="001D5327">
        <w:rPr>
          <w:vertAlign w:val="subscript"/>
        </w:rPr>
        <w:t>2</w:t>
      </w:r>
      <w:r w:rsidRPr="001D5327">
        <w:t xml:space="preserve">O emissions from the disposal of treated domestic wastewater are estimated using per capita protein consumption and national population estimates, less the population using septic tanks because there is no liquid effluent from septic tanks. Activity data for </w:t>
      </w:r>
      <w:r w:rsidRPr="001D5327">
        <w:rPr>
          <w:i/>
          <w:iCs/>
        </w:rPr>
        <w:t>Domestic wastewater</w:t>
      </w:r>
      <w:r w:rsidRPr="001D5327">
        <w:t xml:space="preserve"> are reported in table 7.5.2. Also included in table 7.5.2 is an aggregate CH</w:t>
      </w:r>
      <w:r w:rsidRPr="001D5327">
        <w:rPr>
          <w:vertAlign w:val="subscript"/>
        </w:rPr>
        <w:t>4</w:t>
      </w:r>
      <w:r w:rsidRPr="001D5327">
        <w:t xml:space="preserve"> correction factor that is determined by the sum of the CH</w:t>
      </w:r>
      <w:r w:rsidRPr="001D5327">
        <w:rPr>
          <w:vertAlign w:val="subscript"/>
        </w:rPr>
        <w:t>4</w:t>
      </w:r>
      <w:r w:rsidRPr="001D5327">
        <w:t xml:space="preserve"> correction factor for various treatment types, weighted by the population served by each type.</w:t>
      </w:r>
    </w:p>
    <w:p w14:paraId="3221F92A" w14:textId="77777777" w:rsidR="00BC0FD7" w:rsidRPr="001D5327" w:rsidRDefault="00BC0FD7" w:rsidP="00BC0FD7">
      <w:pPr>
        <w:pStyle w:val="Table"/>
      </w:pPr>
      <w:bookmarkStart w:id="2868" w:name="_Toc194241817"/>
      <w:r w:rsidRPr="001D5327">
        <w:t xml:space="preserve">Table 7.5.2 </w:t>
      </w:r>
      <w:r w:rsidRPr="001D5327">
        <w:tab/>
        <w:t>Activity data and key factors for domestic wastewater from 1990 to 2023</w:t>
      </w:r>
      <w:bookmarkEnd w:id="2868"/>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528"/>
        <w:gridCol w:w="1607"/>
        <w:gridCol w:w="2808"/>
        <w:gridCol w:w="3551"/>
      </w:tblGrid>
      <w:tr w:rsidR="00BC0FD7" w:rsidRPr="001D5327" w14:paraId="35F553C8" w14:textId="77777777" w:rsidTr="006F6F93">
        <w:trPr>
          <w:tblHeader/>
        </w:trPr>
        <w:tc>
          <w:tcPr>
            <w:tcW w:w="0" w:type="auto"/>
            <w:shd w:val="clear" w:color="auto" w:fill="1B556B"/>
            <w:tcMar>
              <w:top w:w="0" w:type="dxa"/>
              <w:left w:w="85" w:type="dxa"/>
              <w:bottom w:w="0" w:type="dxa"/>
              <w:right w:w="85" w:type="dxa"/>
            </w:tcMar>
          </w:tcPr>
          <w:p w14:paraId="5C608078" w14:textId="77777777" w:rsidR="00BC0FD7" w:rsidRPr="001D5327" w:rsidRDefault="00BC0FD7" w:rsidP="00BA0D88">
            <w:pPr>
              <w:pStyle w:val="TableTextBold"/>
              <w:spacing w:before="40" w:after="40"/>
              <w:rPr>
                <w:noProof w:val="0"/>
                <w:color w:val="FFFFFF" w:themeColor="background1"/>
              </w:rPr>
            </w:pPr>
            <w:r w:rsidRPr="001D5327">
              <w:rPr>
                <w:rFonts w:eastAsia="Calibri"/>
                <w:noProof w:val="0"/>
                <w:color w:val="FFFFFF" w:themeColor="background1"/>
              </w:rPr>
              <w:t>Year</w:t>
            </w:r>
          </w:p>
        </w:tc>
        <w:tc>
          <w:tcPr>
            <w:tcW w:w="0" w:type="auto"/>
            <w:shd w:val="clear" w:color="auto" w:fill="1B556B"/>
            <w:tcMar>
              <w:top w:w="0" w:type="dxa"/>
              <w:left w:w="85" w:type="dxa"/>
              <w:bottom w:w="0" w:type="dxa"/>
              <w:right w:w="85" w:type="dxa"/>
            </w:tcMar>
          </w:tcPr>
          <w:p w14:paraId="7D2D6EFB" w14:textId="77777777" w:rsidR="00BC0FD7" w:rsidRPr="001D5327" w:rsidRDefault="00BC0FD7" w:rsidP="00BA0D88">
            <w:pPr>
              <w:pStyle w:val="TableTextBold"/>
              <w:spacing w:before="40" w:after="40"/>
              <w:jc w:val="right"/>
              <w:rPr>
                <w:noProof w:val="0"/>
                <w:color w:val="FFFFFF" w:themeColor="background1"/>
              </w:rPr>
            </w:pPr>
            <w:r w:rsidRPr="001D5327">
              <w:rPr>
                <w:rFonts w:eastAsia="Calibri"/>
                <w:noProof w:val="0"/>
                <w:color w:val="FFFFFF" w:themeColor="background1"/>
              </w:rPr>
              <w:t>National population</w:t>
            </w:r>
          </w:p>
        </w:tc>
        <w:tc>
          <w:tcPr>
            <w:tcW w:w="0" w:type="auto"/>
            <w:shd w:val="clear" w:color="auto" w:fill="1B556B"/>
            <w:tcMar>
              <w:top w:w="0" w:type="dxa"/>
              <w:left w:w="85" w:type="dxa"/>
              <w:bottom w:w="0" w:type="dxa"/>
              <w:right w:w="85" w:type="dxa"/>
            </w:tcMar>
          </w:tcPr>
          <w:p w14:paraId="530788E5" w14:textId="77777777" w:rsidR="00BC0FD7" w:rsidRPr="001D5327" w:rsidRDefault="00BC0FD7" w:rsidP="00BA0D88">
            <w:pPr>
              <w:pStyle w:val="TableTextBold"/>
              <w:spacing w:before="40" w:after="40"/>
              <w:jc w:val="right"/>
              <w:rPr>
                <w:noProof w:val="0"/>
                <w:color w:val="FFFFFF" w:themeColor="background1"/>
              </w:rPr>
            </w:pPr>
            <w:r w:rsidRPr="001D5327">
              <w:rPr>
                <w:rFonts w:eastAsia="Calibri"/>
                <w:noProof w:val="0"/>
                <w:color w:val="FFFFFF" w:themeColor="background1"/>
              </w:rPr>
              <w:t>Aggregate methane correction factor</w:t>
            </w:r>
          </w:p>
        </w:tc>
        <w:tc>
          <w:tcPr>
            <w:tcW w:w="0" w:type="auto"/>
            <w:shd w:val="clear" w:color="auto" w:fill="1B556B"/>
            <w:tcMar>
              <w:top w:w="0" w:type="dxa"/>
              <w:left w:w="85" w:type="dxa"/>
              <w:bottom w:w="0" w:type="dxa"/>
              <w:right w:w="85" w:type="dxa"/>
            </w:tcMar>
          </w:tcPr>
          <w:p w14:paraId="631BA0D1" w14:textId="77777777" w:rsidR="00BC0FD7" w:rsidRPr="001D5327" w:rsidRDefault="00BC0FD7" w:rsidP="00BA0D88">
            <w:pPr>
              <w:pStyle w:val="TableTextBold"/>
              <w:spacing w:before="40" w:after="40"/>
              <w:jc w:val="right"/>
              <w:rPr>
                <w:noProof w:val="0"/>
                <w:color w:val="FFFFFF" w:themeColor="background1"/>
              </w:rPr>
            </w:pPr>
            <w:r w:rsidRPr="001D5327">
              <w:rPr>
                <w:rFonts w:eastAsia="Calibri"/>
                <w:noProof w:val="0"/>
                <w:color w:val="FFFFFF" w:themeColor="background1"/>
              </w:rPr>
              <w:t>Domestic wastewater total organic product (kt)</w:t>
            </w:r>
          </w:p>
        </w:tc>
      </w:tr>
      <w:tr w:rsidR="00BC0FD7" w:rsidRPr="001D5327" w14:paraId="7B0D0072" w14:textId="77777777" w:rsidTr="006F6F93">
        <w:tc>
          <w:tcPr>
            <w:tcW w:w="0" w:type="auto"/>
            <w:shd w:val="clear" w:color="auto" w:fill="FFFFFF"/>
            <w:tcMar>
              <w:top w:w="0" w:type="dxa"/>
              <w:left w:w="85" w:type="dxa"/>
              <w:bottom w:w="0" w:type="dxa"/>
              <w:right w:w="85" w:type="dxa"/>
            </w:tcMar>
          </w:tcPr>
          <w:p w14:paraId="1F9C020A" w14:textId="77777777" w:rsidR="00BC0FD7" w:rsidRPr="001D5327" w:rsidRDefault="00BC0FD7" w:rsidP="00BA0D88">
            <w:pPr>
              <w:pStyle w:val="Tableboldblue"/>
              <w:spacing w:before="40" w:after="40"/>
            </w:pPr>
            <w:r w:rsidRPr="001D5327">
              <w:rPr>
                <w:color w:val="1B556B"/>
              </w:rPr>
              <w:t>1990</w:t>
            </w:r>
          </w:p>
        </w:tc>
        <w:tc>
          <w:tcPr>
            <w:tcW w:w="0" w:type="auto"/>
            <w:shd w:val="clear" w:color="auto" w:fill="FFFFFF"/>
            <w:tcMar>
              <w:top w:w="0" w:type="dxa"/>
              <w:left w:w="85" w:type="dxa"/>
              <w:bottom w:w="0" w:type="dxa"/>
              <w:right w:w="85" w:type="dxa"/>
            </w:tcMar>
          </w:tcPr>
          <w:p w14:paraId="3F070011" w14:textId="77777777" w:rsidR="00BC0FD7" w:rsidRPr="001D5327" w:rsidRDefault="00BC0FD7" w:rsidP="00BA0D88">
            <w:pPr>
              <w:pStyle w:val="TableText"/>
              <w:spacing w:before="40" w:after="40"/>
              <w:jc w:val="right"/>
            </w:pPr>
            <w:r w:rsidRPr="001D5327">
              <w:rPr>
                <w:rFonts w:eastAsia="Calibri"/>
                <w:color w:val="000000"/>
              </w:rPr>
              <w:t>3,410,400</w:t>
            </w:r>
          </w:p>
        </w:tc>
        <w:tc>
          <w:tcPr>
            <w:tcW w:w="0" w:type="auto"/>
            <w:shd w:val="clear" w:color="auto" w:fill="FFFFFF"/>
            <w:tcMar>
              <w:top w:w="0" w:type="dxa"/>
              <w:left w:w="85" w:type="dxa"/>
              <w:bottom w:w="0" w:type="dxa"/>
              <w:right w:w="85" w:type="dxa"/>
            </w:tcMar>
          </w:tcPr>
          <w:p w14:paraId="0A9A5C21" w14:textId="77777777" w:rsidR="00BC0FD7" w:rsidRPr="001D5327" w:rsidRDefault="00BC0FD7" w:rsidP="00BA0D88">
            <w:pPr>
              <w:pStyle w:val="TableText"/>
              <w:spacing w:before="40" w:after="40"/>
              <w:jc w:val="right"/>
            </w:pPr>
            <w:r w:rsidRPr="001D5327">
              <w:rPr>
                <w:rFonts w:eastAsia="Calibri"/>
                <w:color w:val="000000"/>
              </w:rPr>
              <w:t>Same as 1997</w:t>
            </w:r>
          </w:p>
        </w:tc>
        <w:tc>
          <w:tcPr>
            <w:tcW w:w="0" w:type="auto"/>
            <w:shd w:val="clear" w:color="auto" w:fill="FFFFFF"/>
            <w:tcMar>
              <w:top w:w="0" w:type="dxa"/>
              <w:left w:w="85" w:type="dxa"/>
              <w:bottom w:w="0" w:type="dxa"/>
              <w:right w:w="85" w:type="dxa"/>
            </w:tcMar>
          </w:tcPr>
          <w:p w14:paraId="5ECD0A32" w14:textId="77777777" w:rsidR="00BC0FD7" w:rsidRPr="001D5327" w:rsidRDefault="00BC0FD7" w:rsidP="00BA0D88">
            <w:pPr>
              <w:pStyle w:val="TableText"/>
              <w:spacing w:before="40" w:after="40"/>
              <w:jc w:val="right"/>
            </w:pPr>
            <w:r w:rsidRPr="001D5327">
              <w:rPr>
                <w:rFonts w:eastAsia="Calibri"/>
                <w:color w:val="000000"/>
              </w:rPr>
              <w:t>137.2</w:t>
            </w:r>
          </w:p>
        </w:tc>
      </w:tr>
      <w:tr w:rsidR="00BC0FD7" w:rsidRPr="001D5327" w14:paraId="50009DE2" w14:textId="77777777" w:rsidTr="006F6F93">
        <w:tc>
          <w:tcPr>
            <w:tcW w:w="0" w:type="auto"/>
            <w:shd w:val="clear" w:color="auto" w:fill="FFFFFF"/>
            <w:tcMar>
              <w:top w:w="0" w:type="dxa"/>
              <w:left w:w="85" w:type="dxa"/>
              <w:bottom w:w="0" w:type="dxa"/>
              <w:right w:w="85" w:type="dxa"/>
            </w:tcMar>
          </w:tcPr>
          <w:p w14:paraId="3CD6FEEA" w14:textId="77777777" w:rsidR="00BC0FD7" w:rsidRPr="001D5327" w:rsidRDefault="00BC0FD7" w:rsidP="00BA0D88">
            <w:pPr>
              <w:pStyle w:val="Tableboldblue"/>
              <w:spacing w:before="40" w:after="40"/>
            </w:pPr>
            <w:r w:rsidRPr="001D5327">
              <w:rPr>
                <w:color w:val="1B556B"/>
              </w:rPr>
              <w:t>1991</w:t>
            </w:r>
          </w:p>
        </w:tc>
        <w:tc>
          <w:tcPr>
            <w:tcW w:w="0" w:type="auto"/>
            <w:shd w:val="clear" w:color="auto" w:fill="FFFFFF"/>
            <w:tcMar>
              <w:top w:w="0" w:type="dxa"/>
              <w:left w:w="85" w:type="dxa"/>
              <w:bottom w:w="0" w:type="dxa"/>
              <w:right w:w="85" w:type="dxa"/>
            </w:tcMar>
          </w:tcPr>
          <w:p w14:paraId="1EFE2742" w14:textId="77777777" w:rsidR="00BC0FD7" w:rsidRPr="001D5327" w:rsidRDefault="00BC0FD7" w:rsidP="00BA0D88">
            <w:pPr>
              <w:pStyle w:val="TableText"/>
              <w:spacing w:before="40" w:after="40"/>
              <w:jc w:val="right"/>
            </w:pPr>
            <w:r w:rsidRPr="001D5327">
              <w:rPr>
                <w:rFonts w:eastAsia="Calibri"/>
                <w:color w:val="000000"/>
              </w:rPr>
              <w:t>3,516,000</w:t>
            </w:r>
          </w:p>
        </w:tc>
        <w:tc>
          <w:tcPr>
            <w:tcW w:w="0" w:type="auto"/>
            <w:shd w:val="clear" w:color="auto" w:fill="FFFFFF"/>
            <w:tcMar>
              <w:top w:w="0" w:type="dxa"/>
              <w:left w:w="85" w:type="dxa"/>
              <w:bottom w:w="0" w:type="dxa"/>
              <w:right w:w="85" w:type="dxa"/>
            </w:tcMar>
          </w:tcPr>
          <w:p w14:paraId="1734D70F" w14:textId="77777777" w:rsidR="00BC0FD7" w:rsidRPr="001D5327" w:rsidRDefault="00BC0FD7" w:rsidP="00BA0D88">
            <w:pPr>
              <w:pStyle w:val="TableText"/>
              <w:spacing w:before="40" w:after="40"/>
              <w:jc w:val="right"/>
            </w:pPr>
            <w:r w:rsidRPr="001D5327">
              <w:rPr>
                <w:rFonts w:eastAsia="Calibri"/>
                <w:color w:val="000000"/>
              </w:rPr>
              <w:t>Same as 1997</w:t>
            </w:r>
          </w:p>
        </w:tc>
        <w:tc>
          <w:tcPr>
            <w:tcW w:w="0" w:type="auto"/>
            <w:shd w:val="clear" w:color="auto" w:fill="FFFFFF"/>
            <w:tcMar>
              <w:top w:w="0" w:type="dxa"/>
              <w:left w:w="85" w:type="dxa"/>
              <w:bottom w:w="0" w:type="dxa"/>
              <w:right w:w="85" w:type="dxa"/>
            </w:tcMar>
          </w:tcPr>
          <w:p w14:paraId="612B2A3F" w14:textId="77777777" w:rsidR="00BC0FD7" w:rsidRPr="001D5327" w:rsidRDefault="00BC0FD7" w:rsidP="00BA0D88">
            <w:pPr>
              <w:pStyle w:val="TableText"/>
              <w:spacing w:before="40" w:after="40"/>
              <w:jc w:val="right"/>
            </w:pPr>
            <w:r w:rsidRPr="001D5327">
              <w:rPr>
                <w:rFonts w:eastAsia="Calibri"/>
                <w:color w:val="000000"/>
              </w:rPr>
              <w:t>141.7</w:t>
            </w:r>
          </w:p>
        </w:tc>
      </w:tr>
      <w:tr w:rsidR="00BC0FD7" w:rsidRPr="001D5327" w14:paraId="791CAEC6" w14:textId="77777777" w:rsidTr="006F6F93">
        <w:tc>
          <w:tcPr>
            <w:tcW w:w="0" w:type="auto"/>
            <w:shd w:val="clear" w:color="auto" w:fill="FFFFFF"/>
            <w:tcMar>
              <w:top w:w="0" w:type="dxa"/>
              <w:left w:w="85" w:type="dxa"/>
              <w:bottom w:w="0" w:type="dxa"/>
              <w:right w:w="85" w:type="dxa"/>
            </w:tcMar>
          </w:tcPr>
          <w:p w14:paraId="42B5CFA0" w14:textId="77777777" w:rsidR="00BC0FD7" w:rsidRPr="001D5327" w:rsidRDefault="00BC0FD7" w:rsidP="00BA0D88">
            <w:pPr>
              <w:pStyle w:val="Tableboldblue"/>
              <w:spacing w:before="40" w:after="40"/>
            </w:pPr>
            <w:r w:rsidRPr="001D5327">
              <w:rPr>
                <w:color w:val="1B556B"/>
              </w:rPr>
              <w:t>1992</w:t>
            </w:r>
          </w:p>
        </w:tc>
        <w:tc>
          <w:tcPr>
            <w:tcW w:w="0" w:type="auto"/>
            <w:shd w:val="clear" w:color="auto" w:fill="FFFFFF"/>
            <w:tcMar>
              <w:top w:w="0" w:type="dxa"/>
              <w:left w:w="85" w:type="dxa"/>
              <w:bottom w:w="0" w:type="dxa"/>
              <w:right w:w="85" w:type="dxa"/>
            </w:tcMar>
          </w:tcPr>
          <w:p w14:paraId="53EB15E0" w14:textId="77777777" w:rsidR="00BC0FD7" w:rsidRPr="001D5327" w:rsidRDefault="00BC0FD7" w:rsidP="00BA0D88">
            <w:pPr>
              <w:pStyle w:val="TableText"/>
              <w:spacing w:before="40" w:after="40"/>
              <w:jc w:val="right"/>
            </w:pPr>
            <w:r w:rsidRPr="001D5327">
              <w:rPr>
                <w:rFonts w:eastAsia="Calibri"/>
                <w:color w:val="000000"/>
              </w:rPr>
              <w:t>3,552,200</w:t>
            </w:r>
          </w:p>
        </w:tc>
        <w:tc>
          <w:tcPr>
            <w:tcW w:w="0" w:type="auto"/>
            <w:shd w:val="clear" w:color="auto" w:fill="FFFFFF"/>
            <w:tcMar>
              <w:top w:w="0" w:type="dxa"/>
              <w:left w:w="85" w:type="dxa"/>
              <w:bottom w:w="0" w:type="dxa"/>
              <w:right w:w="85" w:type="dxa"/>
            </w:tcMar>
          </w:tcPr>
          <w:p w14:paraId="7CB309AA" w14:textId="77777777" w:rsidR="00BC0FD7" w:rsidRPr="001D5327" w:rsidRDefault="00BC0FD7" w:rsidP="00BA0D88">
            <w:pPr>
              <w:pStyle w:val="TableText"/>
              <w:spacing w:before="40" w:after="40"/>
              <w:jc w:val="right"/>
            </w:pPr>
            <w:r w:rsidRPr="001D5327">
              <w:rPr>
                <w:rFonts w:eastAsia="Calibri"/>
                <w:color w:val="000000"/>
              </w:rPr>
              <w:t>Same as 1997</w:t>
            </w:r>
          </w:p>
        </w:tc>
        <w:tc>
          <w:tcPr>
            <w:tcW w:w="0" w:type="auto"/>
            <w:shd w:val="clear" w:color="auto" w:fill="FFFFFF"/>
            <w:tcMar>
              <w:top w:w="0" w:type="dxa"/>
              <w:left w:w="85" w:type="dxa"/>
              <w:bottom w:w="0" w:type="dxa"/>
              <w:right w:w="85" w:type="dxa"/>
            </w:tcMar>
          </w:tcPr>
          <w:p w14:paraId="7B86B00C" w14:textId="77777777" w:rsidR="00BC0FD7" w:rsidRPr="001D5327" w:rsidRDefault="00BC0FD7" w:rsidP="00BA0D88">
            <w:pPr>
              <w:pStyle w:val="TableText"/>
              <w:spacing w:before="40" w:after="40"/>
              <w:jc w:val="right"/>
            </w:pPr>
            <w:r w:rsidRPr="001D5327">
              <w:rPr>
                <w:rFonts w:eastAsia="Calibri"/>
                <w:color w:val="000000"/>
              </w:rPr>
              <w:t>143.5</w:t>
            </w:r>
          </w:p>
        </w:tc>
      </w:tr>
      <w:tr w:rsidR="00BC0FD7" w:rsidRPr="001D5327" w14:paraId="51BD571A" w14:textId="77777777" w:rsidTr="006F6F93">
        <w:tc>
          <w:tcPr>
            <w:tcW w:w="0" w:type="auto"/>
            <w:shd w:val="clear" w:color="auto" w:fill="FFFFFF"/>
            <w:tcMar>
              <w:top w:w="0" w:type="dxa"/>
              <w:left w:w="85" w:type="dxa"/>
              <w:bottom w:w="0" w:type="dxa"/>
              <w:right w:w="85" w:type="dxa"/>
            </w:tcMar>
          </w:tcPr>
          <w:p w14:paraId="5C69C9DB" w14:textId="77777777" w:rsidR="00BC0FD7" w:rsidRPr="001D5327" w:rsidRDefault="00BC0FD7" w:rsidP="00BA0D88">
            <w:pPr>
              <w:pStyle w:val="Tableboldblue"/>
              <w:spacing w:before="40" w:after="40"/>
            </w:pPr>
            <w:r w:rsidRPr="001D5327">
              <w:rPr>
                <w:color w:val="1B556B"/>
              </w:rPr>
              <w:t>1993</w:t>
            </w:r>
          </w:p>
        </w:tc>
        <w:tc>
          <w:tcPr>
            <w:tcW w:w="0" w:type="auto"/>
            <w:shd w:val="clear" w:color="auto" w:fill="FFFFFF"/>
            <w:tcMar>
              <w:top w:w="0" w:type="dxa"/>
              <w:left w:w="85" w:type="dxa"/>
              <w:bottom w:w="0" w:type="dxa"/>
              <w:right w:w="85" w:type="dxa"/>
            </w:tcMar>
          </w:tcPr>
          <w:p w14:paraId="6171AE00" w14:textId="77777777" w:rsidR="00BC0FD7" w:rsidRPr="001D5327" w:rsidRDefault="00BC0FD7" w:rsidP="00BA0D88">
            <w:pPr>
              <w:pStyle w:val="TableText"/>
              <w:spacing w:before="40" w:after="40"/>
              <w:jc w:val="right"/>
            </w:pPr>
            <w:r w:rsidRPr="001D5327">
              <w:rPr>
                <w:rFonts w:eastAsia="Calibri"/>
                <w:color w:val="000000"/>
              </w:rPr>
              <w:t>3,597,800</w:t>
            </w:r>
          </w:p>
        </w:tc>
        <w:tc>
          <w:tcPr>
            <w:tcW w:w="0" w:type="auto"/>
            <w:shd w:val="clear" w:color="auto" w:fill="FFFFFF"/>
            <w:tcMar>
              <w:top w:w="0" w:type="dxa"/>
              <w:left w:w="85" w:type="dxa"/>
              <w:bottom w:w="0" w:type="dxa"/>
              <w:right w:w="85" w:type="dxa"/>
            </w:tcMar>
          </w:tcPr>
          <w:p w14:paraId="612D0EDD" w14:textId="77777777" w:rsidR="00BC0FD7" w:rsidRPr="001D5327" w:rsidRDefault="00BC0FD7" w:rsidP="00BA0D88">
            <w:pPr>
              <w:pStyle w:val="TableText"/>
              <w:spacing w:before="40" w:after="40"/>
              <w:jc w:val="right"/>
            </w:pPr>
            <w:r w:rsidRPr="001D5327">
              <w:rPr>
                <w:rFonts w:eastAsia="Calibri"/>
                <w:color w:val="000000"/>
              </w:rPr>
              <w:t>Same as 1997</w:t>
            </w:r>
          </w:p>
        </w:tc>
        <w:tc>
          <w:tcPr>
            <w:tcW w:w="0" w:type="auto"/>
            <w:shd w:val="clear" w:color="auto" w:fill="FFFFFF"/>
            <w:tcMar>
              <w:top w:w="0" w:type="dxa"/>
              <w:left w:w="85" w:type="dxa"/>
              <w:bottom w:w="0" w:type="dxa"/>
              <w:right w:w="85" w:type="dxa"/>
            </w:tcMar>
          </w:tcPr>
          <w:p w14:paraId="18A01E76" w14:textId="77777777" w:rsidR="00BC0FD7" w:rsidRPr="001D5327" w:rsidRDefault="00BC0FD7" w:rsidP="00BA0D88">
            <w:pPr>
              <w:pStyle w:val="TableText"/>
              <w:spacing w:before="40" w:after="40"/>
              <w:jc w:val="right"/>
            </w:pPr>
            <w:r w:rsidRPr="001D5327">
              <w:rPr>
                <w:rFonts w:eastAsia="Calibri"/>
                <w:color w:val="000000"/>
              </w:rPr>
              <w:t>145.7</w:t>
            </w:r>
          </w:p>
        </w:tc>
      </w:tr>
      <w:tr w:rsidR="00BC0FD7" w:rsidRPr="001D5327" w14:paraId="453A0B0B" w14:textId="77777777" w:rsidTr="006F6F93">
        <w:tc>
          <w:tcPr>
            <w:tcW w:w="0" w:type="auto"/>
            <w:shd w:val="clear" w:color="auto" w:fill="FFFFFF"/>
            <w:tcMar>
              <w:top w:w="0" w:type="dxa"/>
              <w:left w:w="85" w:type="dxa"/>
              <w:bottom w:w="0" w:type="dxa"/>
              <w:right w:w="85" w:type="dxa"/>
            </w:tcMar>
          </w:tcPr>
          <w:p w14:paraId="67C37029" w14:textId="77777777" w:rsidR="00BC0FD7" w:rsidRPr="001D5327" w:rsidRDefault="00BC0FD7" w:rsidP="00BA0D88">
            <w:pPr>
              <w:pStyle w:val="Tableboldblue"/>
              <w:spacing w:before="40" w:after="40"/>
            </w:pPr>
            <w:r w:rsidRPr="001D5327">
              <w:rPr>
                <w:color w:val="1B556B"/>
              </w:rPr>
              <w:t>1994</w:t>
            </w:r>
          </w:p>
        </w:tc>
        <w:tc>
          <w:tcPr>
            <w:tcW w:w="0" w:type="auto"/>
            <w:shd w:val="clear" w:color="auto" w:fill="FFFFFF"/>
            <w:tcMar>
              <w:top w:w="0" w:type="dxa"/>
              <w:left w:w="85" w:type="dxa"/>
              <w:bottom w:w="0" w:type="dxa"/>
              <w:right w:w="85" w:type="dxa"/>
            </w:tcMar>
          </w:tcPr>
          <w:p w14:paraId="4FB2CE6D" w14:textId="77777777" w:rsidR="00BC0FD7" w:rsidRPr="001D5327" w:rsidRDefault="00BC0FD7" w:rsidP="00BA0D88">
            <w:pPr>
              <w:pStyle w:val="TableText"/>
              <w:spacing w:before="40" w:after="40"/>
              <w:jc w:val="right"/>
            </w:pPr>
            <w:r w:rsidRPr="001D5327">
              <w:rPr>
                <w:rFonts w:eastAsia="Calibri"/>
                <w:color w:val="000000"/>
              </w:rPr>
              <w:t>3,648,300</w:t>
            </w:r>
          </w:p>
        </w:tc>
        <w:tc>
          <w:tcPr>
            <w:tcW w:w="0" w:type="auto"/>
            <w:shd w:val="clear" w:color="auto" w:fill="FFFFFF"/>
            <w:tcMar>
              <w:top w:w="0" w:type="dxa"/>
              <w:left w:w="85" w:type="dxa"/>
              <w:bottom w:w="0" w:type="dxa"/>
              <w:right w:w="85" w:type="dxa"/>
            </w:tcMar>
          </w:tcPr>
          <w:p w14:paraId="19A61D44" w14:textId="77777777" w:rsidR="00BC0FD7" w:rsidRPr="001D5327" w:rsidRDefault="00BC0FD7" w:rsidP="00BA0D88">
            <w:pPr>
              <w:pStyle w:val="TableText"/>
              <w:spacing w:before="40" w:after="40"/>
              <w:jc w:val="right"/>
            </w:pPr>
            <w:r w:rsidRPr="001D5327">
              <w:rPr>
                <w:rFonts w:eastAsia="Calibri"/>
                <w:color w:val="000000"/>
              </w:rPr>
              <w:t>Same as 1997</w:t>
            </w:r>
          </w:p>
        </w:tc>
        <w:tc>
          <w:tcPr>
            <w:tcW w:w="0" w:type="auto"/>
            <w:shd w:val="clear" w:color="auto" w:fill="FFFFFF"/>
            <w:tcMar>
              <w:top w:w="0" w:type="dxa"/>
              <w:left w:w="85" w:type="dxa"/>
              <w:bottom w:w="0" w:type="dxa"/>
              <w:right w:w="85" w:type="dxa"/>
            </w:tcMar>
          </w:tcPr>
          <w:p w14:paraId="14BD823D" w14:textId="77777777" w:rsidR="00BC0FD7" w:rsidRPr="001D5327" w:rsidRDefault="00BC0FD7" w:rsidP="00BA0D88">
            <w:pPr>
              <w:pStyle w:val="TableText"/>
              <w:spacing w:before="40" w:after="40"/>
              <w:jc w:val="right"/>
            </w:pPr>
            <w:r w:rsidRPr="001D5327">
              <w:rPr>
                <w:rFonts w:eastAsia="Calibri"/>
                <w:color w:val="000000"/>
              </w:rPr>
              <w:t>148.2</w:t>
            </w:r>
          </w:p>
        </w:tc>
      </w:tr>
      <w:tr w:rsidR="00BC0FD7" w:rsidRPr="001D5327" w14:paraId="15B4FD25" w14:textId="77777777" w:rsidTr="006F6F93">
        <w:tc>
          <w:tcPr>
            <w:tcW w:w="0" w:type="auto"/>
            <w:shd w:val="clear" w:color="auto" w:fill="FFFFFF"/>
            <w:tcMar>
              <w:top w:w="0" w:type="dxa"/>
              <w:left w:w="85" w:type="dxa"/>
              <w:bottom w:w="0" w:type="dxa"/>
              <w:right w:w="85" w:type="dxa"/>
            </w:tcMar>
          </w:tcPr>
          <w:p w14:paraId="5EC67744" w14:textId="77777777" w:rsidR="00BC0FD7" w:rsidRPr="001D5327" w:rsidRDefault="00BC0FD7" w:rsidP="00BA0D88">
            <w:pPr>
              <w:pStyle w:val="Tableboldblue"/>
              <w:spacing w:before="40" w:after="40"/>
            </w:pPr>
            <w:r w:rsidRPr="001D5327">
              <w:rPr>
                <w:color w:val="1B556B"/>
              </w:rPr>
              <w:t>1995</w:t>
            </w:r>
          </w:p>
        </w:tc>
        <w:tc>
          <w:tcPr>
            <w:tcW w:w="0" w:type="auto"/>
            <w:shd w:val="clear" w:color="auto" w:fill="FFFFFF"/>
            <w:tcMar>
              <w:top w:w="0" w:type="dxa"/>
              <w:left w:w="85" w:type="dxa"/>
              <w:bottom w:w="0" w:type="dxa"/>
              <w:right w:w="85" w:type="dxa"/>
            </w:tcMar>
          </w:tcPr>
          <w:p w14:paraId="7EDA5679" w14:textId="77777777" w:rsidR="00BC0FD7" w:rsidRPr="001D5327" w:rsidRDefault="00BC0FD7" w:rsidP="00BA0D88">
            <w:pPr>
              <w:pStyle w:val="TableText"/>
              <w:spacing w:before="40" w:after="40"/>
              <w:jc w:val="right"/>
            </w:pPr>
            <w:r w:rsidRPr="001D5327">
              <w:rPr>
                <w:rFonts w:eastAsia="Calibri"/>
                <w:color w:val="000000"/>
              </w:rPr>
              <w:t>3,706,700</w:t>
            </w:r>
          </w:p>
        </w:tc>
        <w:tc>
          <w:tcPr>
            <w:tcW w:w="0" w:type="auto"/>
            <w:shd w:val="clear" w:color="auto" w:fill="FFFFFF"/>
            <w:tcMar>
              <w:top w:w="0" w:type="dxa"/>
              <w:left w:w="85" w:type="dxa"/>
              <w:bottom w:w="0" w:type="dxa"/>
              <w:right w:w="85" w:type="dxa"/>
            </w:tcMar>
          </w:tcPr>
          <w:p w14:paraId="193459F1" w14:textId="77777777" w:rsidR="00BC0FD7" w:rsidRPr="001D5327" w:rsidRDefault="00BC0FD7" w:rsidP="00BA0D88">
            <w:pPr>
              <w:pStyle w:val="TableText"/>
              <w:spacing w:before="40" w:after="40"/>
              <w:jc w:val="right"/>
            </w:pPr>
            <w:r w:rsidRPr="001D5327">
              <w:rPr>
                <w:rFonts w:eastAsia="Calibri"/>
                <w:color w:val="000000"/>
              </w:rPr>
              <w:t>Same as 1997</w:t>
            </w:r>
          </w:p>
        </w:tc>
        <w:tc>
          <w:tcPr>
            <w:tcW w:w="0" w:type="auto"/>
            <w:shd w:val="clear" w:color="auto" w:fill="FFFFFF"/>
            <w:tcMar>
              <w:top w:w="0" w:type="dxa"/>
              <w:left w:w="85" w:type="dxa"/>
              <w:bottom w:w="0" w:type="dxa"/>
              <w:right w:w="85" w:type="dxa"/>
            </w:tcMar>
          </w:tcPr>
          <w:p w14:paraId="086B414E" w14:textId="77777777" w:rsidR="00BC0FD7" w:rsidRPr="001D5327" w:rsidRDefault="00BC0FD7" w:rsidP="00BA0D88">
            <w:pPr>
              <w:pStyle w:val="TableText"/>
              <w:spacing w:before="40" w:after="40"/>
              <w:jc w:val="right"/>
            </w:pPr>
            <w:r w:rsidRPr="001D5327">
              <w:rPr>
                <w:rFonts w:eastAsia="Calibri"/>
                <w:color w:val="000000"/>
              </w:rPr>
              <w:t>150.9</w:t>
            </w:r>
          </w:p>
        </w:tc>
      </w:tr>
      <w:tr w:rsidR="00BC0FD7" w:rsidRPr="001D5327" w14:paraId="6453A74D" w14:textId="77777777" w:rsidTr="006F6F93">
        <w:tc>
          <w:tcPr>
            <w:tcW w:w="0" w:type="auto"/>
            <w:shd w:val="clear" w:color="auto" w:fill="FFFFFF"/>
            <w:tcMar>
              <w:top w:w="0" w:type="dxa"/>
              <w:left w:w="85" w:type="dxa"/>
              <w:bottom w:w="0" w:type="dxa"/>
              <w:right w:w="85" w:type="dxa"/>
            </w:tcMar>
          </w:tcPr>
          <w:p w14:paraId="5B602392" w14:textId="77777777" w:rsidR="00BC0FD7" w:rsidRPr="001D5327" w:rsidRDefault="00BC0FD7" w:rsidP="00BA0D88">
            <w:pPr>
              <w:pStyle w:val="Tableboldblue"/>
              <w:spacing w:before="40" w:after="40"/>
            </w:pPr>
            <w:r w:rsidRPr="001D5327">
              <w:rPr>
                <w:color w:val="1B556B"/>
              </w:rPr>
              <w:t>1996</w:t>
            </w:r>
          </w:p>
        </w:tc>
        <w:tc>
          <w:tcPr>
            <w:tcW w:w="0" w:type="auto"/>
            <w:shd w:val="clear" w:color="auto" w:fill="FFFFFF"/>
            <w:tcMar>
              <w:top w:w="0" w:type="dxa"/>
              <w:left w:w="85" w:type="dxa"/>
              <w:bottom w:w="0" w:type="dxa"/>
              <w:right w:w="85" w:type="dxa"/>
            </w:tcMar>
          </w:tcPr>
          <w:p w14:paraId="12417B8C" w14:textId="77777777" w:rsidR="00BC0FD7" w:rsidRPr="001D5327" w:rsidRDefault="00BC0FD7" w:rsidP="00BA0D88">
            <w:pPr>
              <w:pStyle w:val="TableText"/>
              <w:spacing w:before="40" w:after="40"/>
              <w:jc w:val="right"/>
            </w:pPr>
            <w:r w:rsidRPr="001D5327">
              <w:rPr>
                <w:rFonts w:eastAsia="Calibri"/>
                <w:color w:val="000000"/>
              </w:rPr>
              <w:t>3,762,300</w:t>
            </w:r>
          </w:p>
        </w:tc>
        <w:tc>
          <w:tcPr>
            <w:tcW w:w="0" w:type="auto"/>
            <w:shd w:val="clear" w:color="auto" w:fill="FFFFFF"/>
            <w:tcMar>
              <w:top w:w="0" w:type="dxa"/>
              <w:left w:w="85" w:type="dxa"/>
              <w:bottom w:w="0" w:type="dxa"/>
              <w:right w:w="85" w:type="dxa"/>
            </w:tcMar>
          </w:tcPr>
          <w:p w14:paraId="752D65B9" w14:textId="77777777" w:rsidR="00BC0FD7" w:rsidRPr="001D5327" w:rsidRDefault="00BC0FD7" w:rsidP="00BA0D88">
            <w:pPr>
              <w:pStyle w:val="TableText"/>
              <w:spacing w:before="40" w:after="40"/>
              <w:jc w:val="right"/>
            </w:pPr>
            <w:r w:rsidRPr="001D5327">
              <w:rPr>
                <w:rFonts w:eastAsia="Calibri"/>
                <w:color w:val="000000"/>
              </w:rPr>
              <w:t>Same as 1997</w:t>
            </w:r>
          </w:p>
        </w:tc>
        <w:tc>
          <w:tcPr>
            <w:tcW w:w="0" w:type="auto"/>
            <w:shd w:val="clear" w:color="auto" w:fill="FFFFFF"/>
            <w:tcMar>
              <w:top w:w="0" w:type="dxa"/>
              <w:left w:w="85" w:type="dxa"/>
              <w:bottom w:w="0" w:type="dxa"/>
              <w:right w:w="85" w:type="dxa"/>
            </w:tcMar>
          </w:tcPr>
          <w:p w14:paraId="69A46F6D" w14:textId="77777777" w:rsidR="00BC0FD7" w:rsidRPr="001D5327" w:rsidRDefault="00BC0FD7" w:rsidP="00BA0D88">
            <w:pPr>
              <w:pStyle w:val="TableText"/>
              <w:spacing w:before="40" w:after="40"/>
              <w:jc w:val="right"/>
            </w:pPr>
            <w:r w:rsidRPr="001D5327">
              <w:rPr>
                <w:rFonts w:eastAsia="Calibri"/>
                <w:color w:val="000000"/>
              </w:rPr>
              <w:t>153.5</w:t>
            </w:r>
          </w:p>
        </w:tc>
      </w:tr>
      <w:tr w:rsidR="00BC0FD7" w:rsidRPr="001D5327" w14:paraId="3D64F68D" w14:textId="77777777" w:rsidTr="006F6F93">
        <w:tc>
          <w:tcPr>
            <w:tcW w:w="0" w:type="auto"/>
            <w:shd w:val="clear" w:color="auto" w:fill="FFFFFF"/>
            <w:tcMar>
              <w:top w:w="0" w:type="dxa"/>
              <w:left w:w="85" w:type="dxa"/>
              <w:bottom w:w="0" w:type="dxa"/>
              <w:right w:w="85" w:type="dxa"/>
            </w:tcMar>
          </w:tcPr>
          <w:p w14:paraId="784614BA" w14:textId="77777777" w:rsidR="00BC0FD7" w:rsidRPr="001D5327" w:rsidRDefault="00BC0FD7" w:rsidP="00BA0D88">
            <w:pPr>
              <w:pStyle w:val="Tableboldblue"/>
              <w:spacing w:before="40" w:after="40"/>
            </w:pPr>
            <w:r w:rsidRPr="001D5327">
              <w:rPr>
                <w:color w:val="1B556B"/>
              </w:rPr>
              <w:t>1997</w:t>
            </w:r>
          </w:p>
        </w:tc>
        <w:tc>
          <w:tcPr>
            <w:tcW w:w="0" w:type="auto"/>
            <w:shd w:val="clear" w:color="auto" w:fill="FFFFFF"/>
            <w:tcMar>
              <w:top w:w="0" w:type="dxa"/>
              <w:left w:w="85" w:type="dxa"/>
              <w:bottom w:w="0" w:type="dxa"/>
              <w:right w:w="85" w:type="dxa"/>
            </w:tcMar>
          </w:tcPr>
          <w:p w14:paraId="33962905" w14:textId="77777777" w:rsidR="00BC0FD7" w:rsidRPr="001D5327" w:rsidRDefault="00BC0FD7" w:rsidP="00BA0D88">
            <w:pPr>
              <w:pStyle w:val="TableText"/>
              <w:spacing w:before="40" w:after="40"/>
              <w:jc w:val="right"/>
            </w:pPr>
            <w:r w:rsidRPr="001D5327">
              <w:rPr>
                <w:rFonts w:eastAsia="Calibri"/>
                <w:color w:val="000000"/>
              </w:rPr>
              <w:t>3,802,700</w:t>
            </w:r>
          </w:p>
        </w:tc>
        <w:tc>
          <w:tcPr>
            <w:tcW w:w="0" w:type="auto"/>
            <w:shd w:val="clear" w:color="auto" w:fill="FFFFFF"/>
            <w:tcMar>
              <w:top w:w="0" w:type="dxa"/>
              <w:left w:w="85" w:type="dxa"/>
              <w:bottom w:w="0" w:type="dxa"/>
              <w:right w:w="85" w:type="dxa"/>
            </w:tcMar>
          </w:tcPr>
          <w:p w14:paraId="22B06BA0" w14:textId="77777777" w:rsidR="00BC0FD7" w:rsidRPr="001D5327" w:rsidRDefault="00BC0FD7" w:rsidP="00BA0D88">
            <w:pPr>
              <w:pStyle w:val="TableText"/>
              <w:spacing w:before="40" w:after="40"/>
              <w:jc w:val="right"/>
            </w:pPr>
            <w:r w:rsidRPr="001D5327">
              <w:rPr>
                <w:rFonts w:eastAsia="Calibri"/>
                <w:color w:val="000000"/>
              </w:rPr>
              <w:t>0.0425</w:t>
            </w:r>
          </w:p>
        </w:tc>
        <w:tc>
          <w:tcPr>
            <w:tcW w:w="0" w:type="auto"/>
            <w:shd w:val="clear" w:color="auto" w:fill="FFFFFF"/>
            <w:tcMar>
              <w:top w:w="0" w:type="dxa"/>
              <w:left w:w="85" w:type="dxa"/>
              <w:bottom w:w="0" w:type="dxa"/>
              <w:right w:w="85" w:type="dxa"/>
            </w:tcMar>
          </w:tcPr>
          <w:p w14:paraId="651DA58D" w14:textId="77777777" w:rsidR="00BC0FD7" w:rsidRPr="001D5327" w:rsidRDefault="00BC0FD7" w:rsidP="00BA0D88">
            <w:pPr>
              <w:pStyle w:val="TableText"/>
              <w:spacing w:before="40" w:after="40"/>
              <w:jc w:val="right"/>
            </w:pPr>
            <w:r w:rsidRPr="001D5327">
              <w:rPr>
                <w:rFonts w:eastAsia="Calibri"/>
                <w:color w:val="000000"/>
              </w:rPr>
              <w:t>155.5</w:t>
            </w:r>
          </w:p>
        </w:tc>
      </w:tr>
      <w:tr w:rsidR="00BC0FD7" w:rsidRPr="001D5327" w14:paraId="6BF2D6B8" w14:textId="77777777" w:rsidTr="006F6F93">
        <w:tc>
          <w:tcPr>
            <w:tcW w:w="0" w:type="auto"/>
            <w:shd w:val="clear" w:color="auto" w:fill="FFFFFF"/>
            <w:tcMar>
              <w:top w:w="0" w:type="dxa"/>
              <w:left w:w="85" w:type="dxa"/>
              <w:bottom w:w="0" w:type="dxa"/>
              <w:right w:w="85" w:type="dxa"/>
            </w:tcMar>
          </w:tcPr>
          <w:p w14:paraId="65536160" w14:textId="77777777" w:rsidR="00BC0FD7" w:rsidRPr="001D5327" w:rsidRDefault="00BC0FD7" w:rsidP="00BA0D88">
            <w:pPr>
              <w:pStyle w:val="Tableboldblue"/>
              <w:spacing w:before="40" w:after="40"/>
            </w:pPr>
            <w:r w:rsidRPr="001D5327">
              <w:rPr>
                <w:color w:val="1B556B"/>
              </w:rPr>
              <w:t>1998</w:t>
            </w:r>
          </w:p>
        </w:tc>
        <w:tc>
          <w:tcPr>
            <w:tcW w:w="0" w:type="auto"/>
            <w:shd w:val="clear" w:color="auto" w:fill="FFFFFF"/>
            <w:tcMar>
              <w:top w:w="0" w:type="dxa"/>
              <w:left w:w="85" w:type="dxa"/>
              <w:bottom w:w="0" w:type="dxa"/>
              <w:right w:w="85" w:type="dxa"/>
            </w:tcMar>
          </w:tcPr>
          <w:p w14:paraId="4ACB9E21" w14:textId="77777777" w:rsidR="00BC0FD7" w:rsidRPr="001D5327" w:rsidRDefault="00BC0FD7" w:rsidP="00BA0D88">
            <w:pPr>
              <w:pStyle w:val="TableText"/>
              <w:spacing w:before="40" w:after="40"/>
              <w:jc w:val="right"/>
            </w:pPr>
            <w:r w:rsidRPr="001D5327">
              <w:rPr>
                <w:rFonts w:eastAsia="Calibri"/>
                <w:color w:val="000000"/>
              </w:rPr>
              <w:t>3,829,200</w:t>
            </w:r>
          </w:p>
        </w:tc>
        <w:tc>
          <w:tcPr>
            <w:tcW w:w="0" w:type="auto"/>
            <w:shd w:val="clear" w:color="auto" w:fill="FFFFFF"/>
            <w:tcMar>
              <w:top w:w="0" w:type="dxa"/>
              <w:left w:w="85" w:type="dxa"/>
              <w:bottom w:w="0" w:type="dxa"/>
              <w:right w:w="85" w:type="dxa"/>
            </w:tcMar>
          </w:tcPr>
          <w:p w14:paraId="007E344E" w14:textId="77777777" w:rsidR="00BC0FD7" w:rsidRPr="001D5327" w:rsidRDefault="00BC0FD7" w:rsidP="00BA0D88">
            <w:pPr>
              <w:pStyle w:val="TableText"/>
              <w:spacing w:before="40" w:after="40"/>
              <w:jc w:val="right"/>
            </w:pPr>
            <w:r w:rsidRPr="001D5327">
              <w:rPr>
                <w:rFonts w:eastAsia="Calibri"/>
                <w:color w:val="000000"/>
              </w:rPr>
              <w:t>Interpolated</w:t>
            </w:r>
          </w:p>
        </w:tc>
        <w:tc>
          <w:tcPr>
            <w:tcW w:w="0" w:type="auto"/>
            <w:shd w:val="clear" w:color="auto" w:fill="FFFFFF"/>
            <w:tcMar>
              <w:top w:w="0" w:type="dxa"/>
              <w:left w:w="85" w:type="dxa"/>
              <w:bottom w:w="0" w:type="dxa"/>
              <w:right w:w="85" w:type="dxa"/>
            </w:tcMar>
          </w:tcPr>
          <w:p w14:paraId="04A93F6C" w14:textId="77777777" w:rsidR="00BC0FD7" w:rsidRPr="001D5327" w:rsidRDefault="00BC0FD7" w:rsidP="00BA0D88">
            <w:pPr>
              <w:pStyle w:val="TableText"/>
              <w:spacing w:before="40" w:after="40"/>
              <w:jc w:val="right"/>
            </w:pPr>
            <w:r w:rsidRPr="001D5327">
              <w:rPr>
                <w:rFonts w:eastAsia="Calibri"/>
                <w:color w:val="000000"/>
              </w:rPr>
              <w:t>154.6</w:t>
            </w:r>
          </w:p>
        </w:tc>
      </w:tr>
      <w:tr w:rsidR="00BC0FD7" w:rsidRPr="001D5327" w14:paraId="360B3935" w14:textId="77777777" w:rsidTr="006F6F93">
        <w:tc>
          <w:tcPr>
            <w:tcW w:w="0" w:type="auto"/>
            <w:shd w:val="clear" w:color="auto" w:fill="FFFFFF"/>
            <w:tcMar>
              <w:top w:w="0" w:type="dxa"/>
              <w:left w:w="85" w:type="dxa"/>
              <w:bottom w:w="0" w:type="dxa"/>
              <w:right w:w="85" w:type="dxa"/>
            </w:tcMar>
          </w:tcPr>
          <w:p w14:paraId="5E2436ED" w14:textId="77777777" w:rsidR="00BC0FD7" w:rsidRPr="001D5327" w:rsidRDefault="00BC0FD7" w:rsidP="00BA0D88">
            <w:pPr>
              <w:pStyle w:val="Tableboldblue"/>
              <w:spacing w:before="40" w:after="40"/>
            </w:pPr>
            <w:r w:rsidRPr="001D5327">
              <w:rPr>
                <w:color w:val="1B556B"/>
              </w:rPr>
              <w:lastRenderedPageBreak/>
              <w:t>1999</w:t>
            </w:r>
          </w:p>
        </w:tc>
        <w:tc>
          <w:tcPr>
            <w:tcW w:w="0" w:type="auto"/>
            <w:shd w:val="clear" w:color="auto" w:fill="FFFFFF"/>
            <w:tcMar>
              <w:top w:w="0" w:type="dxa"/>
              <w:left w:w="85" w:type="dxa"/>
              <w:bottom w:w="0" w:type="dxa"/>
              <w:right w:w="85" w:type="dxa"/>
            </w:tcMar>
          </w:tcPr>
          <w:p w14:paraId="2E5C1A36" w14:textId="77777777" w:rsidR="00BC0FD7" w:rsidRPr="001D5327" w:rsidRDefault="00BC0FD7" w:rsidP="00BA0D88">
            <w:pPr>
              <w:pStyle w:val="TableText"/>
              <w:spacing w:before="40" w:after="40"/>
              <w:jc w:val="right"/>
            </w:pPr>
            <w:r w:rsidRPr="001D5327">
              <w:rPr>
                <w:rFonts w:eastAsia="Calibri"/>
                <w:color w:val="000000"/>
              </w:rPr>
              <w:t>3,851,100</w:t>
            </w:r>
          </w:p>
        </w:tc>
        <w:tc>
          <w:tcPr>
            <w:tcW w:w="0" w:type="auto"/>
            <w:shd w:val="clear" w:color="auto" w:fill="FFFFFF"/>
            <w:tcMar>
              <w:top w:w="0" w:type="dxa"/>
              <w:left w:w="85" w:type="dxa"/>
              <w:bottom w:w="0" w:type="dxa"/>
              <w:right w:w="85" w:type="dxa"/>
            </w:tcMar>
          </w:tcPr>
          <w:p w14:paraId="1E66439D" w14:textId="77777777" w:rsidR="00BC0FD7" w:rsidRPr="001D5327" w:rsidRDefault="00BC0FD7" w:rsidP="00BA0D88">
            <w:pPr>
              <w:pStyle w:val="TableText"/>
              <w:spacing w:before="40" w:after="40"/>
              <w:jc w:val="right"/>
            </w:pPr>
            <w:r w:rsidRPr="001D5327">
              <w:rPr>
                <w:rFonts w:eastAsia="Calibri"/>
                <w:color w:val="000000"/>
              </w:rPr>
              <w:t>Interpolated</w:t>
            </w:r>
          </w:p>
        </w:tc>
        <w:tc>
          <w:tcPr>
            <w:tcW w:w="0" w:type="auto"/>
            <w:shd w:val="clear" w:color="auto" w:fill="FFFFFF"/>
            <w:tcMar>
              <w:top w:w="0" w:type="dxa"/>
              <w:left w:w="85" w:type="dxa"/>
              <w:bottom w:w="0" w:type="dxa"/>
              <w:right w:w="85" w:type="dxa"/>
            </w:tcMar>
          </w:tcPr>
          <w:p w14:paraId="543CA823" w14:textId="77777777" w:rsidR="00BC0FD7" w:rsidRPr="001D5327" w:rsidRDefault="00BC0FD7" w:rsidP="00BA0D88">
            <w:pPr>
              <w:pStyle w:val="TableText"/>
              <w:spacing w:before="40" w:after="40"/>
              <w:jc w:val="right"/>
            </w:pPr>
            <w:r w:rsidRPr="001D5327">
              <w:rPr>
                <w:rFonts w:eastAsia="Calibri"/>
                <w:color w:val="000000"/>
              </w:rPr>
              <w:t>153.6</w:t>
            </w:r>
          </w:p>
        </w:tc>
      </w:tr>
      <w:tr w:rsidR="00BC0FD7" w:rsidRPr="001D5327" w14:paraId="4B815CAF" w14:textId="77777777" w:rsidTr="006F6F93">
        <w:tc>
          <w:tcPr>
            <w:tcW w:w="0" w:type="auto"/>
            <w:shd w:val="clear" w:color="auto" w:fill="FFFFFF"/>
            <w:tcMar>
              <w:top w:w="0" w:type="dxa"/>
              <w:left w:w="85" w:type="dxa"/>
              <w:bottom w:w="0" w:type="dxa"/>
              <w:right w:w="85" w:type="dxa"/>
            </w:tcMar>
          </w:tcPr>
          <w:p w14:paraId="679E6EB5" w14:textId="77777777" w:rsidR="00BC0FD7" w:rsidRPr="001D5327" w:rsidRDefault="00BC0FD7" w:rsidP="00BA0D88">
            <w:pPr>
              <w:pStyle w:val="Tableboldblue"/>
              <w:spacing w:before="40" w:after="40"/>
            </w:pPr>
            <w:r w:rsidRPr="001D5327">
              <w:rPr>
                <w:color w:val="1B556B"/>
              </w:rPr>
              <w:t>2000</w:t>
            </w:r>
          </w:p>
        </w:tc>
        <w:tc>
          <w:tcPr>
            <w:tcW w:w="0" w:type="auto"/>
            <w:shd w:val="clear" w:color="auto" w:fill="FFFFFF"/>
            <w:tcMar>
              <w:top w:w="0" w:type="dxa"/>
              <w:left w:w="85" w:type="dxa"/>
              <w:bottom w:w="0" w:type="dxa"/>
              <w:right w:w="85" w:type="dxa"/>
            </w:tcMar>
          </w:tcPr>
          <w:p w14:paraId="440A0865" w14:textId="77777777" w:rsidR="00BC0FD7" w:rsidRPr="001D5327" w:rsidRDefault="00BC0FD7" w:rsidP="00BA0D88">
            <w:pPr>
              <w:pStyle w:val="TableText"/>
              <w:spacing w:before="40" w:after="40"/>
              <w:jc w:val="right"/>
            </w:pPr>
            <w:r w:rsidRPr="001D5327">
              <w:rPr>
                <w:rFonts w:eastAsia="Calibri"/>
                <w:color w:val="000000"/>
              </w:rPr>
              <w:t>3,873,100</w:t>
            </w:r>
          </w:p>
        </w:tc>
        <w:tc>
          <w:tcPr>
            <w:tcW w:w="0" w:type="auto"/>
            <w:shd w:val="clear" w:color="auto" w:fill="FFFFFF"/>
            <w:tcMar>
              <w:top w:w="0" w:type="dxa"/>
              <w:left w:w="85" w:type="dxa"/>
              <w:bottom w:w="0" w:type="dxa"/>
              <w:right w:w="85" w:type="dxa"/>
            </w:tcMar>
          </w:tcPr>
          <w:p w14:paraId="4FF0E115" w14:textId="77777777" w:rsidR="00BC0FD7" w:rsidRPr="001D5327" w:rsidRDefault="00BC0FD7" w:rsidP="00BA0D88">
            <w:pPr>
              <w:pStyle w:val="TableText"/>
              <w:spacing w:before="40" w:after="40"/>
              <w:jc w:val="right"/>
            </w:pPr>
            <w:r w:rsidRPr="001D5327">
              <w:rPr>
                <w:rFonts w:eastAsia="Calibri"/>
                <w:color w:val="000000"/>
              </w:rPr>
              <w:t>Interpolated</w:t>
            </w:r>
          </w:p>
        </w:tc>
        <w:tc>
          <w:tcPr>
            <w:tcW w:w="0" w:type="auto"/>
            <w:shd w:val="clear" w:color="auto" w:fill="FFFFFF"/>
            <w:tcMar>
              <w:top w:w="0" w:type="dxa"/>
              <w:left w:w="85" w:type="dxa"/>
              <w:bottom w:w="0" w:type="dxa"/>
              <w:right w:w="85" w:type="dxa"/>
            </w:tcMar>
          </w:tcPr>
          <w:p w14:paraId="66F7CD06" w14:textId="77777777" w:rsidR="00BC0FD7" w:rsidRPr="001D5327" w:rsidRDefault="00BC0FD7" w:rsidP="00BA0D88">
            <w:pPr>
              <w:pStyle w:val="TableText"/>
              <w:spacing w:before="40" w:after="40"/>
              <w:jc w:val="right"/>
            </w:pPr>
            <w:r w:rsidRPr="001D5327">
              <w:rPr>
                <w:rFonts w:eastAsia="Calibri"/>
                <w:color w:val="000000"/>
              </w:rPr>
              <w:t>152.7</w:t>
            </w:r>
          </w:p>
        </w:tc>
      </w:tr>
      <w:tr w:rsidR="00BC0FD7" w:rsidRPr="001D5327" w14:paraId="4E67D219" w14:textId="77777777" w:rsidTr="006F6F93">
        <w:tc>
          <w:tcPr>
            <w:tcW w:w="0" w:type="auto"/>
            <w:shd w:val="clear" w:color="auto" w:fill="FFFFFF"/>
            <w:tcMar>
              <w:top w:w="0" w:type="dxa"/>
              <w:left w:w="85" w:type="dxa"/>
              <w:bottom w:w="0" w:type="dxa"/>
              <w:right w:w="85" w:type="dxa"/>
            </w:tcMar>
          </w:tcPr>
          <w:p w14:paraId="3CCD88EE" w14:textId="77777777" w:rsidR="00BC0FD7" w:rsidRPr="001D5327" w:rsidRDefault="00BC0FD7" w:rsidP="00BA0D88">
            <w:pPr>
              <w:pStyle w:val="Tableboldblue"/>
              <w:spacing w:before="40" w:after="40"/>
            </w:pPr>
            <w:r w:rsidRPr="001D5327">
              <w:rPr>
                <w:color w:val="1B556B"/>
              </w:rPr>
              <w:t>2001</w:t>
            </w:r>
          </w:p>
        </w:tc>
        <w:tc>
          <w:tcPr>
            <w:tcW w:w="0" w:type="auto"/>
            <w:shd w:val="clear" w:color="auto" w:fill="FFFFFF"/>
            <w:tcMar>
              <w:top w:w="0" w:type="dxa"/>
              <w:left w:w="85" w:type="dxa"/>
              <w:bottom w:w="0" w:type="dxa"/>
              <w:right w:w="85" w:type="dxa"/>
            </w:tcMar>
          </w:tcPr>
          <w:p w14:paraId="340AE6C2" w14:textId="77777777" w:rsidR="00BC0FD7" w:rsidRPr="001D5327" w:rsidRDefault="00BC0FD7" w:rsidP="00BA0D88">
            <w:pPr>
              <w:pStyle w:val="TableText"/>
              <w:spacing w:before="40" w:after="40"/>
              <w:jc w:val="right"/>
            </w:pPr>
            <w:r w:rsidRPr="001D5327">
              <w:rPr>
                <w:rFonts w:eastAsia="Calibri"/>
                <w:color w:val="000000"/>
              </w:rPr>
              <w:t>3,916,200</w:t>
            </w:r>
          </w:p>
        </w:tc>
        <w:tc>
          <w:tcPr>
            <w:tcW w:w="0" w:type="auto"/>
            <w:shd w:val="clear" w:color="auto" w:fill="FFFFFF"/>
            <w:tcMar>
              <w:top w:w="0" w:type="dxa"/>
              <w:left w:w="85" w:type="dxa"/>
              <w:bottom w:w="0" w:type="dxa"/>
              <w:right w:w="85" w:type="dxa"/>
            </w:tcMar>
          </w:tcPr>
          <w:p w14:paraId="21436138" w14:textId="77777777" w:rsidR="00BC0FD7" w:rsidRPr="001D5327" w:rsidRDefault="00BC0FD7" w:rsidP="00BA0D88">
            <w:pPr>
              <w:pStyle w:val="TableText"/>
              <w:spacing w:before="40" w:after="40"/>
              <w:jc w:val="right"/>
            </w:pPr>
            <w:r w:rsidRPr="001D5327">
              <w:rPr>
                <w:rFonts w:eastAsia="Calibri"/>
                <w:color w:val="000000"/>
              </w:rPr>
              <w:t>0.0378</w:t>
            </w:r>
          </w:p>
        </w:tc>
        <w:tc>
          <w:tcPr>
            <w:tcW w:w="0" w:type="auto"/>
            <w:shd w:val="clear" w:color="auto" w:fill="FFFFFF"/>
            <w:tcMar>
              <w:top w:w="0" w:type="dxa"/>
              <w:left w:w="85" w:type="dxa"/>
              <w:bottom w:w="0" w:type="dxa"/>
              <w:right w:w="85" w:type="dxa"/>
            </w:tcMar>
          </w:tcPr>
          <w:p w14:paraId="30F5526C" w14:textId="77777777" w:rsidR="00BC0FD7" w:rsidRPr="001D5327" w:rsidRDefault="00BC0FD7" w:rsidP="00BA0D88">
            <w:pPr>
              <w:pStyle w:val="TableText"/>
              <w:spacing w:before="40" w:after="40"/>
              <w:jc w:val="right"/>
            </w:pPr>
            <w:r w:rsidRPr="001D5327">
              <w:rPr>
                <w:rFonts w:eastAsia="Calibri"/>
                <w:color w:val="000000"/>
              </w:rPr>
              <w:t>151.7</w:t>
            </w:r>
          </w:p>
        </w:tc>
      </w:tr>
      <w:tr w:rsidR="00BC0FD7" w:rsidRPr="001D5327" w14:paraId="4F34EBCF" w14:textId="77777777" w:rsidTr="006F6F93">
        <w:tc>
          <w:tcPr>
            <w:tcW w:w="0" w:type="auto"/>
            <w:shd w:val="clear" w:color="auto" w:fill="FFFFFF"/>
            <w:tcMar>
              <w:top w:w="0" w:type="dxa"/>
              <w:left w:w="85" w:type="dxa"/>
              <w:bottom w:w="0" w:type="dxa"/>
              <w:right w:w="85" w:type="dxa"/>
            </w:tcMar>
          </w:tcPr>
          <w:p w14:paraId="7FF3F340" w14:textId="77777777" w:rsidR="00BC0FD7" w:rsidRPr="001D5327" w:rsidRDefault="00BC0FD7" w:rsidP="00BA0D88">
            <w:pPr>
              <w:pStyle w:val="Tableboldblue"/>
              <w:spacing w:before="40" w:after="40"/>
            </w:pPr>
            <w:r w:rsidRPr="001D5327">
              <w:rPr>
                <w:color w:val="1B556B"/>
              </w:rPr>
              <w:t>2002</w:t>
            </w:r>
          </w:p>
        </w:tc>
        <w:tc>
          <w:tcPr>
            <w:tcW w:w="0" w:type="auto"/>
            <w:shd w:val="clear" w:color="auto" w:fill="FFFFFF"/>
            <w:tcMar>
              <w:top w:w="0" w:type="dxa"/>
              <w:left w:w="85" w:type="dxa"/>
              <w:bottom w:w="0" w:type="dxa"/>
              <w:right w:w="85" w:type="dxa"/>
            </w:tcMar>
          </w:tcPr>
          <w:p w14:paraId="4CC7ED36" w14:textId="77777777" w:rsidR="00BC0FD7" w:rsidRPr="001D5327" w:rsidRDefault="00BC0FD7" w:rsidP="00BA0D88">
            <w:pPr>
              <w:pStyle w:val="TableText"/>
              <w:spacing w:before="40" w:after="40"/>
              <w:jc w:val="right"/>
            </w:pPr>
            <w:r w:rsidRPr="001D5327">
              <w:rPr>
                <w:rFonts w:eastAsia="Calibri"/>
                <w:color w:val="000000"/>
              </w:rPr>
              <w:t>3,989,500</w:t>
            </w:r>
          </w:p>
        </w:tc>
        <w:tc>
          <w:tcPr>
            <w:tcW w:w="0" w:type="auto"/>
            <w:shd w:val="clear" w:color="auto" w:fill="FFFFFF"/>
            <w:tcMar>
              <w:top w:w="0" w:type="dxa"/>
              <w:left w:w="85" w:type="dxa"/>
              <w:bottom w:w="0" w:type="dxa"/>
              <w:right w:w="85" w:type="dxa"/>
            </w:tcMar>
          </w:tcPr>
          <w:p w14:paraId="2CE42056" w14:textId="77777777" w:rsidR="00BC0FD7" w:rsidRPr="001D5327" w:rsidRDefault="00BC0FD7" w:rsidP="00BA0D88">
            <w:pPr>
              <w:pStyle w:val="TableText"/>
              <w:spacing w:before="40" w:after="40"/>
              <w:jc w:val="right"/>
            </w:pPr>
            <w:r w:rsidRPr="001D5327">
              <w:rPr>
                <w:rFonts w:eastAsia="Calibri"/>
                <w:color w:val="000000"/>
              </w:rPr>
              <w:t>Interpolated</w:t>
            </w:r>
          </w:p>
        </w:tc>
        <w:tc>
          <w:tcPr>
            <w:tcW w:w="0" w:type="auto"/>
            <w:shd w:val="clear" w:color="auto" w:fill="FFFFFF"/>
            <w:tcMar>
              <w:top w:w="0" w:type="dxa"/>
              <w:left w:w="85" w:type="dxa"/>
              <w:bottom w:w="0" w:type="dxa"/>
              <w:right w:w="85" w:type="dxa"/>
            </w:tcMar>
          </w:tcPr>
          <w:p w14:paraId="46B9566A" w14:textId="77777777" w:rsidR="00BC0FD7" w:rsidRPr="001D5327" w:rsidRDefault="00BC0FD7" w:rsidP="00BA0D88">
            <w:pPr>
              <w:pStyle w:val="TableText"/>
              <w:spacing w:before="40" w:after="40"/>
              <w:jc w:val="right"/>
            </w:pPr>
            <w:r w:rsidRPr="001D5327">
              <w:rPr>
                <w:rFonts w:eastAsia="Calibri"/>
                <w:color w:val="000000"/>
              </w:rPr>
              <w:t>155</w:t>
            </w:r>
          </w:p>
        </w:tc>
      </w:tr>
      <w:tr w:rsidR="00BC0FD7" w:rsidRPr="001D5327" w14:paraId="7D40618C" w14:textId="77777777" w:rsidTr="006F6F93">
        <w:tc>
          <w:tcPr>
            <w:tcW w:w="0" w:type="auto"/>
            <w:shd w:val="clear" w:color="auto" w:fill="FFFFFF"/>
            <w:tcMar>
              <w:top w:w="0" w:type="dxa"/>
              <w:left w:w="85" w:type="dxa"/>
              <w:bottom w:w="0" w:type="dxa"/>
              <w:right w:w="85" w:type="dxa"/>
            </w:tcMar>
          </w:tcPr>
          <w:p w14:paraId="3C475318" w14:textId="77777777" w:rsidR="00BC0FD7" w:rsidRPr="001D5327" w:rsidRDefault="00BC0FD7" w:rsidP="00BA0D88">
            <w:pPr>
              <w:pStyle w:val="Tableboldblue"/>
              <w:spacing w:before="40" w:after="40"/>
            </w:pPr>
            <w:r w:rsidRPr="001D5327">
              <w:rPr>
                <w:color w:val="1B556B"/>
              </w:rPr>
              <w:t>2003</w:t>
            </w:r>
          </w:p>
        </w:tc>
        <w:tc>
          <w:tcPr>
            <w:tcW w:w="0" w:type="auto"/>
            <w:shd w:val="clear" w:color="auto" w:fill="FFFFFF"/>
            <w:tcMar>
              <w:top w:w="0" w:type="dxa"/>
              <w:left w:w="85" w:type="dxa"/>
              <w:bottom w:w="0" w:type="dxa"/>
              <w:right w:w="85" w:type="dxa"/>
            </w:tcMar>
          </w:tcPr>
          <w:p w14:paraId="174B92F8" w14:textId="77777777" w:rsidR="00BC0FD7" w:rsidRPr="001D5327" w:rsidRDefault="00BC0FD7" w:rsidP="00BA0D88">
            <w:pPr>
              <w:pStyle w:val="TableText"/>
              <w:spacing w:before="40" w:after="40"/>
              <w:jc w:val="right"/>
            </w:pPr>
            <w:r w:rsidRPr="001D5327">
              <w:rPr>
                <w:rFonts w:eastAsia="Calibri"/>
                <w:color w:val="000000"/>
              </w:rPr>
              <w:t>4,061,600</w:t>
            </w:r>
          </w:p>
        </w:tc>
        <w:tc>
          <w:tcPr>
            <w:tcW w:w="0" w:type="auto"/>
            <w:shd w:val="clear" w:color="auto" w:fill="FFFFFF"/>
            <w:tcMar>
              <w:top w:w="0" w:type="dxa"/>
              <w:left w:w="85" w:type="dxa"/>
              <w:bottom w:w="0" w:type="dxa"/>
              <w:right w:w="85" w:type="dxa"/>
            </w:tcMar>
          </w:tcPr>
          <w:p w14:paraId="4951E000" w14:textId="77777777" w:rsidR="00BC0FD7" w:rsidRPr="001D5327" w:rsidRDefault="00BC0FD7" w:rsidP="00BA0D88">
            <w:pPr>
              <w:pStyle w:val="TableText"/>
              <w:spacing w:before="40" w:after="40"/>
              <w:jc w:val="right"/>
            </w:pPr>
            <w:r w:rsidRPr="001D5327">
              <w:rPr>
                <w:rFonts w:eastAsia="Calibri"/>
                <w:color w:val="000000"/>
              </w:rPr>
              <w:t>Interpolated</w:t>
            </w:r>
          </w:p>
        </w:tc>
        <w:tc>
          <w:tcPr>
            <w:tcW w:w="0" w:type="auto"/>
            <w:shd w:val="clear" w:color="auto" w:fill="FFFFFF"/>
            <w:tcMar>
              <w:top w:w="0" w:type="dxa"/>
              <w:left w:w="85" w:type="dxa"/>
              <w:bottom w:w="0" w:type="dxa"/>
              <w:right w:w="85" w:type="dxa"/>
            </w:tcMar>
          </w:tcPr>
          <w:p w14:paraId="650B4AC5" w14:textId="77777777" w:rsidR="00BC0FD7" w:rsidRPr="001D5327" w:rsidRDefault="00BC0FD7" w:rsidP="00BA0D88">
            <w:pPr>
              <w:pStyle w:val="TableText"/>
              <w:spacing w:before="40" w:after="40"/>
              <w:jc w:val="right"/>
            </w:pPr>
            <w:r w:rsidRPr="001D5327">
              <w:rPr>
                <w:rFonts w:eastAsia="Calibri"/>
                <w:color w:val="000000"/>
              </w:rPr>
              <w:t>158.4</w:t>
            </w:r>
          </w:p>
        </w:tc>
      </w:tr>
      <w:tr w:rsidR="00BC0FD7" w:rsidRPr="001D5327" w14:paraId="353B515A" w14:textId="77777777" w:rsidTr="006F6F93">
        <w:tc>
          <w:tcPr>
            <w:tcW w:w="0" w:type="auto"/>
            <w:shd w:val="clear" w:color="auto" w:fill="FFFFFF"/>
            <w:tcMar>
              <w:top w:w="0" w:type="dxa"/>
              <w:left w:w="85" w:type="dxa"/>
              <w:bottom w:w="0" w:type="dxa"/>
              <w:right w:w="85" w:type="dxa"/>
            </w:tcMar>
          </w:tcPr>
          <w:p w14:paraId="29EB2CF9" w14:textId="77777777" w:rsidR="00BC0FD7" w:rsidRPr="001D5327" w:rsidRDefault="00BC0FD7" w:rsidP="00BA0D88">
            <w:pPr>
              <w:pStyle w:val="Tableboldblue"/>
              <w:spacing w:before="40" w:after="40"/>
            </w:pPr>
            <w:r w:rsidRPr="001D5327">
              <w:rPr>
                <w:color w:val="1B556B"/>
              </w:rPr>
              <w:t>2004</w:t>
            </w:r>
          </w:p>
        </w:tc>
        <w:tc>
          <w:tcPr>
            <w:tcW w:w="0" w:type="auto"/>
            <w:shd w:val="clear" w:color="auto" w:fill="FFFFFF"/>
            <w:tcMar>
              <w:top w:w="0" w:type="dxa"/>
              <w:left w:w="85" w:type="dxa"/>
              <w:bottom w:w="0" w:type="dxa"/>
              <w:right w:w="85" w:type="dxa"/>
            </w:tcMar>
          </w:tcPr>
          <w:p w14:paraId="3E2922B3" w14:textId="77777777" w:rsidR="00BC0FD7" w:rsidRPr="001D5327" w:rsidRDefault="00BC0FD7" w:rsidP="00BA0D88">
            <w:pPr>
              <w:pStyle w:val="TableText"/>
              <w:spacing w:before="40" w:after="40"/>
              <w:jc w:val="right"/>
            </w:pPr>
            <w:r w:rsidRPr="001D5327">
              <w:rPr>
                <w:rFonts w:eastAsia="Calibri"/>
                <w:color w:val="000000"/>
              </w:rPr>
              <w:t>4,114,300</w:t>
            </w:r>
          </w:p>
        </w:tc>
        <w:tc>
          <w:tcPr>
            <w:tcW w:w="0" w:type="auto"/>
            <w:shd w:val="clear" w:color="auto" w:fill="FFFFFF"/>
            <w:tcMar>
              <w:top w:w="0" w:type="dxa"/>
              <w:left w:w="85" w:type="dxa"/>
              <w:bottom w:w="0" w:type="dxa"/>
              <w:right w:w="85" w:type="dxa"/>
            </w:tcMar>
          </w:tcPr>
          <w:p w14:paraId="4B25097D" w14:textId="77777777" w:rsidR="00BC0FD7" w:rsidRPr="001D5327" w:rsidRDefault="00BC0FD7" w:rsidP="00BA0D88">
            <w:pPr>
              <w:pStyle w:val="TableText"/>
              <w:spacing w:before="40" w:after="40"/>
              <w:jc w:val="right"/>
            </w:pPr>
            <w:r w:rsidRPr="001D5327">
              <w:rPr>
                <w:rFonts w:eastAsia="Calibri"/>
                <w:color w:val="000000"/>
              </w:rPr>
              <w:t>Interpolated</w:t>
            </w:r>
          </w:p>
        </w:tc>
        <w:tc>
          <w:tcPr>
            <w:tcW w:w="0" w:type="auto"/>
            <w:shd w:val="clear" w:color="auto" w:fill="FFFFFF"/>
            <w:tcMar>
              <w:top w:w="0" w:type="dxa"/>
              <w:left w:w="85" w:type="dxa"/>
              <w:bottom w:w="0" w:type="dxa"/>
              <w:right w:w="85" w:type="dxa"/>
            </w:tcMar>
          </w:tcPr>
          <w:p w14:paraId="66E9DFCB" w14:textId="77777777" w:rsidR="00BC0FD7" w:rsidRPr="001D5327" w:rsidRDefault="00BC0FD7" w:rsidP="00BA0D88">
            <w:pPr>
              <w:pStyle w:val="TableText"/>
              <w:spacing w:before="40" w:after="40"/>
              <w:jc w:val="right"/>
            </w:pPr>
            <w:r w:rsidRPr="001D5327">
              <w:rPr>
                <w:rFonts w:eastAsia="Calibri"/>
                <w:color w:val="000000"/>
              </w:rPr>
              <w:t>161.8</w:t>
            </w:r>
          </w:p>
        </w:tc>
      </w:tr>
      <w:tr w:rsidR="00BC0FD7" w:rsidRPr="001D5327" w14:paraId="313CE3ED" w14:textId="77777777" w:rsidTr="006F6F93">
        <w:tc>
          <w:tcPr>
            <w:tcW w:w="0" w:type="auto"/>
            <w:shd w:val="clear" w:color="auto" w:fill="FFFFFF"/>
            <w:tcMar>
              <w:top w:w="0" w:type="dxa"/>
              <w:left w:w="85" w:type="dxa"/>
              <w:bottom w:w="0" w:type="dxa"/>
              <w:right w:w="85" w:type="dxa"/>
            </w:tcMar>
          </w:tcPr>
          <w:p w14:paraId="3FACC509" w14:textId="77777777" w:rsidR="00BC0FD7" w:rsidRPr="001D5327" w:rsidRDefault="00BC0FD7" w:rsidP="00BA0D88">
            <w:pPr>
              <w:pStyle w:val="Tableboldblue"/>
              <w:spacing w:before="40" w:after="40"/>
            </w:pPr>
            <w:r w:rsidRPr="001D5327">
              <w:rPr>
                <w:color w:val="1B556B"/>
              </w:rPr>
              <w:t>2005</w:t>
            </w:r>
          </w:p>
        </w:tc>
        <w:tc>
          <w:tcPr>
            <w:tcW w:w="0" w:type="auto"/>
            <w:shd w:val="clear" w:color="auto" w:fill="FFFFFF"/>
            <w:tcMar>
              <w:top w:w="0" w:type="dxa"/>
              <w:left w:w="85" w:type="dxa"/>
              <w:bottom w:w="0" w:type="dxa"/>
              <w:right w:w="85" w:type="dxa"/>
            </w:tcMar>
          </w:tcPr>
          <w:p w14:paraId="620FADDA" w14:textId="77777777" w:rsidR="00BC0FD7" w:rsidRPr="001D5327" w:rsidRDefault="00BC0FD7" w:rsidP="00BA0D88">
            <w:pPr>
              <w:pStyle w:val="TableText"/>
              <w:spacing w:before="40" w:after="40"/>
              <w:jc w:val="right"/>
            </w:pPr>
            <w:r w:rsidRPr="001D5327">
              <w:rPr>
                <w:rFonts w:eastAsia="Calibri"/>
                <w:color w:val="000000"/>
              </w:rPr>
              <w:t>4,161,000</w:t>
            </w:r>
          </w:p>
        </w:tc>
        <w:tc>
          <w:tcPr>
            <w:tcW w:w="0" w:type="auto"/>
            <w:shd w:val="clear" w:color="auto" w:fill="FFFFFF"/>
            <w:tcMar>
              <w:top w:w="0" w:type="dxa"/>
              <w:left w:w="85" w:type="dxa"/>
              <w:bottom w:w="0" w:type="dxa"/>
              <w:right w:w="85" w:type="dxa"/>
            </w:tcMar>
          </w:tcPr>
          <w:p w14:paraId="0E8D7E42" w14:textId="77777777" w:rsidR="00BC0FD7" w:rsidRPr="001D5327" w:rsidRDefault="00BC0FD7" w:rsidP="00BA0D88">
            <w:pPr>
              <w:pStyle w:val="TableText"/>
              <w:spacing w:before="40" w:after="40"/>
              <w:jc w:val="right"/>
            </w:pPr>
            <w:r w:rsidRPr="001D5327">
              <w:rPr>
                <w:rFonts w:eastAsia="Calibri"/>
                <w:color w:val="000000"/>
              </w:rPr>
              <w:t>Interpolated</w:t>
            </w:r>
          </w:p>
        </w:tc>
        <w:tc>
          <w:tcPr>
            <w:tcW w:w="0" w:type="auto"/>
            <w:shd w:val="clear" w:color="auto" w:fill="FFFFFF"/>
            <w:tcMar>
              <w:top w:w="0" w:type="dxa"/>
              <w:left w:w="85" w:type="dxa"/>
              <w:bottom w:w="0" w:type="dxa"/>
              <w:right w:w="85" w:type="dxa"/>
            </w:tcMar>
          </w:tcPr>
          <w:p w14:paraId="65315954" w14:textId="77777777" w:rsidR="00BC0FD7" w:rsidRPr="001D5327" w:rsidRDefault="00BC0FD7" w:rsidP="00BA0D88">
            <w:pPr>
              <w:pStyle w:val="TableText"/>
              <w:spacing w:before="40" w:after="40"/>
              <w:jc w:val="right"/>
            </w:pPr>
            <w:r w:rsidRPr="001D5327">
              <w:rPr>
                <w:rFonts w:eastAsia="Calibri"/>
                <w:color w:val="000000"/>
              </w:rPr>
              <w:t>165.2</w:t>
            </w:r>
          </w:p>
        </w:tc>
      </w:tr>
      <w:tr w:rsidR="00BC0FD7" w:rsidRPr="001D5327" w14:paraId="35622028" w14:textId="77777777" w:rsidTr="006F6F93">
        <w:tc>
          <w:tcPr>
            <w:tcW w:w="0" w:type="auto"/>
            <w:shd w:val="clear" w:color="auto" w:fill="FFFFFF"/>
            <w:tcMar>
              <w:top w:w="0" w:type="dxa"/>
              <w:left w:w="85" w:type="dxa"/>
              <w:bottom w:w="0" w:type="dxa"/>
              <w:right w:w="85" w:type="dxa"/>
            </w:tcMar>
          </w:tcPr>
          <w:p w14:paraId="0800D0F8" w14:textId="77777777" w:rsidR="00BC0FD7" w:rsidRPr="001D5327" w:rsidRDefault="00BC0FD7" w:rsidP="00BA0D88">
            <w:pPr>
              <w:pStyle w:val="Tableboldblue"/>
              <w:spacing w:before="40" w:after="40"/>
            </w:pPr>
            <w:r w:rsidRPr="001D5327">
              <w:rPr>
                <w:color w:val="1B556B"/>
              </w:rPr>
              <w:t>2006</w:t>
            </w:r>
          </w:p>
        </w:tc>
        <w:tc>
          <w:tcPr>
            <w:tcW w:w="0" w:type="auto"/>
            <w:shd w:val="clear" w:color="auto" w:fill="FFFFFF"/>
            <w:tcMar>
              <w:top w:w="0" w:type="dxa"/>
              <w:left w:w="85" w:type="dxa"/>
              <w:bottom w:w="0" w:type="dxa"/>
              <w:right w:w="85" w:type="dxa"/>
            </w:tcMar>
          </w:tcPr>
          <w:p w14:paraId="225D73B7" w14:textId="77777777" w:rsidR="00BC0FD7" w:rsidRPr="001D5327" w:rsidRDefault="00BC0FD7" w:rsidP="00BA0D88">
            <w:pPr>
              <w:pStyle w:val="TableText"/>
              <w:spacing w:before="40" w:after="40"/>
              <w:jc w:val="right"/>
            </w:pPr>
            <w:r w:rsidRPr="001D5327">
              <w:rPr>
                <w:rFonts w:eastAsia="Calibri"/>
                <w:color w:val="000000"/>
              </w:rPr>
              <w:t>4,209,100</w:t>
            </w:r>
          </w:p>
        </w:tc>
        <w:tc>
          <w:tcPr>
            <w:tcW w:w="0" w:type="auto"/>
            <w:shd w:val="clear" w:color="auto" w:fill="FFFFFF"/>
            <w:tcMar>
              <w:top w:w="0" w:type="dxa"/>
              <w:left w:w="85" w:type="dxa"/>
              <w:bottom w:w="0" w:type="dxa"/>
              <w:right w:w="85" w:type="dxa"/>
            </w:tcMar>
          </w:tcPr>
          <w:p w14:paraId="762D011A" w14:textId="77777777" w:rsidR="00BC0FD7" w:rsidRPr="001D5327" w:rsidRDefault="00BC0FD7" w:rsidP="00BA0D88">
            <w:pPr>
              <w:pStyle w:val="TableText"/>
              <w:spacing w:before="40" w:after="40"/>
              <w:jc w:val="right"/>
            </w:pPr>
            <w:r w:rsidRPr="001D5327">
              <w:rPr>
                <w:rFonts w:eastAsia="Calibri"/>
                <w:color w:val="000000"/>
              </w:rPr>
              <w:t>0.032</w:t>
            </w:r>
          </w:p>
        </w:tc>
        <w:tc>
          <w:tcPr>
            <w:tcW w:w="0" w:type="auto"/>
            <w:shd w:val="clear" w:color="auto" w:fill="FFFFFF"/>
            <w:tcMar>
              <w:top w:w="0" w:type="dxa"/>
              <w:left w:w="85" w:type="dxa"/>
              <w:bottom w:w="0" w:type="dxa"/>
              <w:right w:w="85" w:type="dxa"/>
            </w:tcMar>
          </w:tcPr>
          <w:p w14:paraId="3790498B" w14:textId="77777777" w:rsidR="00BC0FD7" w:rsidRPr="001D5327" w:rsidRDefault="00BC0FD7" w:rsidP="00BA0D88">
            <w:pPr>
              <w:pStyle w:val="TableText"/>
              <w:spacing w:before="40" w:after="40"/>
              <w:jc w:val="right"/>
            </w:pPr>
            <w:r w:rsidRPr="001D5327">
              <w:rPr>
                <w:rFonts w:eastAsia="Calibri"/>
                <w:color w:val="000000"/>
              </w:rPr>
              <w:t>168</w:t>
            </w:r>
          </w:p>
        </w:tc>
      </w:tr>
      <w:tr w:rsidR="00BC0FD7" w:rsidRPr="001D5327" w14:paraId="3B29BB93" w14:textId="77777777" w:rsidTr="006F6F93">
        <w:tc>
          <w:tcPr>
            <w:tcW w:w="0" w:type="auto"/>
            <w:shd w:val="clear" w:color="auto" w:fill="FFFFFF"/>
            <w:tcMar>
              <w:top w:w="0" w:type="dxa"/>
              <w:left w:w="85" w:type="dxa"/>
              <w:bottom w:w="0" w:type="dxa"/>
              <w:right w:w="85" w:type="dxa"/>
            </w:tcMar>
          </w:tcPr>
          <w:p w14:paraId="10785D06" w14:textId="77777777" w:rsidR="00BC0FD7" w:rsidRPr="001D5327" w:rsidRDefault="00BC0FD7" w:rsidP="00BA0D88">
            <w:pPr>
              <w:pStyle w:val="Tableboldblue"/>
              <w:spacing w:before="40" w:after="40"/>
            </w:pPr>
            <w:r w:rsidRPr="001D5327">
              <w:rPr>
                <w:color w:val="1B556B"/>
              </w:rPr>
              <w:t>2007</w:t>
            </w:r>
          </w:p>
        </w:tc>
        <w:tc>
          <w:tcPr>
            <w:tcW w:w="0" w:type="auto"/>
            <w:shd w:val="clear" w:color="auto" w:fill="FFFFFF"/>
            <w:tcMar>
              <w:top w:w="0" w:type="dxa"/>
              <w:left w:w="85" w:type="dxa"/>
              <w:bottom w:w="0" w:type="dxa"/>
              <w:right w:w="85" w:type="dxa"/>
            </w:tcMar>
          </w:tcPr>
          <w:p w14:paraId="74957562" w14:textId="77777777" w:rsidR="00BC0FD7" w:rsidRPr="001D5327" w:rsidRDefault="00BC0FD7" w:rsidP="00BA0D88">
            <w:pPr>
              <w:pStyle w:val="TableText"/>
              <w:spacing w:before="40" w:after="40"/>
              <w:jc w:val="right"/>
            </w:pPr>
            <w:r w:rsidRPr="001D5327">
              <w:rPr>
                <w:rFonts w:eastAsia="Calibri"/>
                <w:color w:val="000000"/>
              </w:rPr>
              <w:t>4,245,700</w:t>
            </w:r>
          </w:p>
        </w:tc>
        <w:tc>
          <w:tcPr>
            <w:tcW w:w="0" w:type="auto"/>
            <w:shd w:val="clear" w:color="auto" w:fill="FFFFFF"/>
            <w:tcMar>
              <w:top w:w="0" w:type="dxa"/>
              <w:left w:w="85" w:type="dxa"/>
              <w:bottom w:w="0" w:type="dxa"/>
              <w:right w:w="85" w:type="dxa"/>
            </w:tcMar>
          </w:tcPr>
          <w:p w14:paraId="24C53860" w14:textId="77777777" w:rsidR="00BC0FD7" w:rsidRPr="001D5327" w:rsidRDefault="00BC0FD7" w:rsidP="00BA0D88">
            <w:pPr>
              <w:pStyle w:val="TableText"/>
              <w:spacing w:before="40" w:after="40"/>
              <w:jc w:val="right"/>
            </w:pPr>
            <w:r w:rsidRPr="001D5327">
              <w:rPr>
                <w:rFonts w:eastAsia="Calibri"/>
                <w:color w:val="000000"/>
              </w:rPr>
              <w:t>Interpolated</w:t>
            </w:r>
          </w:p>
        </w:tc>
        <w:tc>
          <w:tcPr>
            <w:tcW w:w="0" w:type="auto"/>
            <w:shd w:val="clear" w:color="auto" w:fill="FFFFFF"/>
            <w:tcMar>
              <w:top w:w="0" w:type="dxa"/>
              <w:left w:w="85" w:type="dxa"/>
              <w:bottom w:w="0" w:type="dxa"/>
              <w:right w:w="85" w:type="dxa"/>
            </w:tcMar>
          </w:tcPr>
          <w:p w14:paraId="3D107372" w14:textId="77777777" w:rsidR="00BC0FD7" w:rsidRPr="001D5327" w:rsidRDefault="00BC0FD7" w:rsidP="00BA0D88">
            <w:pPr>
              <w:pStyle w:val="TableText"/>
              <w:spacing w:before="40" w:after="40"/>
              <w:jc w:val="right"/>
            </w:pPr>
            <w:r w:rsidRPr="001D5327">
              <w:rPr>
                <w:rFonts w:eastAsia="Calibri"/>
                <w:color w:val="000000"/>
              </w:rPr>
              <w:t>170.5</w:t>
            </w:r>
          </w:p>
        </w:tc>
      </w:tr>
      <w:tr w:rsidR="00BC0FD7" w:rsidRPr="001D5327" w14:paraId="3A5BF98A" w14:textId="77777777" w:rsidTr="006F6F93">
        <w:tc>
          <w:tcPr>
            <w:tcW w:w="0" w:type="auto"/>
            <w:shd w:val="clear" w:color="auto" w:fill="FFFFFF"/>
            <w:tcMar>
              <w:top w:w="0" w:type="dxa"/>
              <w:left w:w="85" w:type="dxa"/>
              <w:bottom w:w="0" w:type="dxa"/>
              <w:right w:w="85" w:type="dxa"/>
            </w:tcMar>
          </w:tcPr>
          <w:p w14:paraId="4B0DC41A" w14:textId="77777777" w:rsidR="00BC0FD7" w:rsidRPr="001D5327" w:rsidRDefault="00BC0FD7" w:rsidP="00BA0D88">
            <w:pPr>
              <w:pStyle w:val="Tableboldblue"/>
              <w:spacing w:before="40" w:after="40"/>
            </w:pPr>
            <w:r w:rsidRPr="001D5327">
              <w:rPr>
                <w:color w:val="1B556B"/>
              </w:rPr>
              <w:t>2008</w:t>
            </w:r>
          </w:p>
        </w:tc>
        <w:tc>
          <w:tcPr>
            <w:tcW w:w="0" w:type="auto"/>
            <w:shd w:val="clear" w:color="auto" w:fill="FFFFFF"/>
            <w:tcMar>
              <w:top w:w="0" w:type="dxa"/>
              <w:left w:w="85" w:type="dxa"/>
              <w:bottom w:w="0" w:type="dxa"/>
              <w:right w:w="85" w:type="dxa"/>
            </w:tcMar>
          </w:tcPr>
          <w:p w14:paraId="6A290125" w14:textId="77777777" w:rsidR="00BC0FD7" w:rsidRPr="001D5327" w:rsidRDefault="00BC0FD7" w:rsidP="00BA0D88">
            <w:pPr>
              <w:pStyle w:val="TableText"/>
              <w:spacing w:before="40" w:after="40"/>
              <w:jc w:val="right"/>
            </w:pPr>
            <w:r w:rsidRPr="001D5327">
              <w:rPr>
                <w:rFonts w:eastAsia="Calibri"/>
                <w:color w:val="000000"/>
              </w:rPr>
              <w:t>4,280,300</w:t>
            </w:r>
          </w:p>
        </w:tc>
        <w:tc>
          <w:tcPr>
            <w:tcW w:w="0" w:type="auto"/>
            <w:shd w:val="clear" w:color="auto" w:fill="FFFFFF"/>
            <w:tcMar>
              <w:top w:w="0" w:type="dxa"/>
              <w:left w:w="85" w:type="dxa"/>
              <w:bottom w:w="0" w:type="dxa"/>
              <w:right w:w="85" w:type="dxa"/>
            </w:tcMar>
          </w:tcPr>
          <w:p w14:paraId="421DD144" w14:textId="77777777" w:rsidR="00BC0FD7" w:rsidRPr="001D5327" w:rsidRDefault="00BC0FD7" w:rsidP="00BA0D88">
            <w:pPr>
              <w:pStyle w:val="TableText"/>
              <w:spacing w:before="40" w:after="40"/>
              <w:jc w:val="right"/>
            </w:pPr>
            <w:r w:rsidRPr="001D5327">
              <w:rPr>
                <w:rFonts w:eastAsia="Calibri"/>
                <w:color w:val="000000"/>
              </w:rPr>
              <w:t>Interpolated</w:t>
            </w:r>
          </w:p>
        </w:tc>
        <w:tc>
          <w:tcPr>
            <w:tcW w:w="0" w:type="auto"/>
            <w:shd w:val="clear" w:color="auto" w:fill="FFFFFF"/>
            <w:tcMar>
              <w:top w:w="0" w:type="dxa"/>
              <w:left w:w="85" w:type="dxa"/>
              <w:bottom w:w="0" w:type="dxa"/>
              <w:right w:w="85" w:type="dxa"/>
            </w:tcMar>
          </w:tcPr>
          <w:p w14:paraId="0CF1FBF7" w14:textId="77777777" w:rsidR="00BC0FD7" w:rsidRPr="001D5327" w:rsidRDefault="00BC0FD7" w:rsidP="00BA0D88">
            <w:pPr>
              <w:pStyle w:val="TableText"/>
              <w:spacing w:before="40" w:after="40"/>
              <w:jc w:val="right"/>
            </w:pPr>
            <w:r w:rsidRPr="001D5327">
              <w:rPr>
                <w:rFonts w:eastAsia="Calibri"/>
                <w:color w:val="000000"/>
              </w:rPr>
              <w:t>172.3</w:t>
            </w:r>
          </w:p>
        </w:tc>
      </w:tr>
      <w:tr w:rsidR="00BC0FD7" w:rsidRPr="001D5327" w14:paraId="33DDB7B2" w14:textId="77777777" w:rsidTr="006F6F93">
        <w:tc>
          <w:tcPr>
            <w:tcW w:w="0" w:type="auto"/>
            <w:shd w:val="clear" w:color="auto" w:fill="FFFFFF"/>
            <w:tcMar>
              <w:top w:w="0" w:type="dxa"/>
              <w:left w:w="85" w:type="dxa"/>
              <w:bottom w:w="0" w:type="dxa"/>
              <w:right w:w="85" w:type="dxa"/>
            </w:tcMar>
          </w:tcPr>
          <w:p w14:paraId="7580EF8F" w14:textId="77777777" w:rsidR="00BC0FD7" w:rsidRPr="001D5327" w:rsidRDefault="00BC0FD7" w:rsidP="00BA0D88">
            <w:pPr>
              <w:pStyle w:val="Tableboldblue"/>
              <w:spacing w:before="40" w:after="40"/>
            </w:pPr>
            <w:r w:rsidRPr="001D5327">
              <w:rPr>
                <w:color w:val="1B556B"/>
              </w:rPr>
              <w:t>2009</w:t>
            </w:r>
          </w:p>
        </w:tc>
        <w:tc>
          <w:tcPr>
            <w:tcW w:w="0" w:type="auto"/>
            <w:shd w:val="clear" w:color="auto" w:fill="FFFFFF"/>
            <w:tcMar>
              <w:top w:w="0" w:type="dxa"/>
              <w:left w:w="85" w:type="dxa"/>
              <w:bottom w:w="0" w:type="dxa"/>
              <w:right w:w="85" w:type="dxa"/>
            </w:tcMar>
          </w:tcPr>
          <w:p w14:paraId="6E732547" w14:textId="77777777" w:rsidR="00BC0FD7" w:rsidRPr="001D5327" w:rsidRDefault="00BC0FD7" w:rsidP="00BA0D88">
            <w:pPr>
              <w:pStyle w:val="TableText"/>
              <w:spacing w:before="40" w:after="40"/>
              <w:jc w:val="right"/>
            </w:pPr>
            <w:r w:rsidRPr="001D5327">
              <w:rPr>
                <w:rFonts w:eastAsia="Calibri"/>
                <w:color w:val="000000"/>
              </w:rPr>
              <w:t>4,332,100</w:t>
            </w:r>
          </w:p>
        </w:tc>
        <w:tc>
          <w:tcPr>
            <w:tcW w:w="0" w:type="auto"/>
            <w:shd w:val="clear" w:color="auto" w:fill="FFFFFF"/>
            <w:tcMar>
              <w:top w:w="0" w:type="dxa"/>
              <w:left w:w="85" w:type="dxa"/>
              <w:bottom w:w="0" w:type="dxa"/>
              <w:right w:w="85" w:type="dxa"/>
            </w:tcMar>
          </w:tcPr>
          <w:p w14:paraId="5269F706" w14:textId="77777777" w:rsidR="00BC0FD7" w:rsidRPr="001D5327" w:rsidRDefault="00BC0FD7" w:rsidP="00BA0D88">
            <w:pPr>
              <w:pStyle w:val="TableText"/>
              <w:spacing w:before="40" w:after="40"/>
              <w:jc w:val="right"/>
            </w:pPr>
            <w:r w:rsidRPr="001D5327">
              <w:rPr>
                <w:rFonts w:eastAsia="Calibri"/>
                <w:color w:val="000000"/>
              </w:rPr>
              <w:t>Interpolated</w:t>
            </w:r>
          </w:p>
        </w:tc>
        <w:tc>
          <w:tcPr>
            <w:tcW w:w="0" w:type="auto"/>
            <w:shd w:val="clear" w:color="auto" w:fill="FFFFFF"/>
            <w:tcMar>
              <w:top w:w="0" w:type="dxa"/>
              <w:left w:w="85" w:type="dxa"/>
              <w:bottom w:w="0" w:type="dxa"/>
              <w:right w:w="85" w:type="dxa"/>
            </w:tcMar>
          </w:tcPr>
          <w:p w14:paraId="4636801D" w14:textId="77777777" w:rsidR="00BC0FD7" w:rsidRPr="001D5327" w:rsidRDefault="00BC0FD7" w:rsidP="00BA0D88">
            <w:pPr>
              <w:pStyle w:val="TableText"/>
              <w:spacing w:before="40" w:after="40"/>
              <w:jc w:val="right"/>
            </w:pPr>
            <w:r w:rsidRPr="001D5327">
              <w:rPr>
                <w:rFonts w:eastAsia="Calibri"/>
                <w:color w:val="000000"/>
              </w:rPr>
              <w:t>174.1</w:t>
            </w:r>
          </w:p>
        </w:tc>
      </w:tr>
      <w:tr w:rsidR="00BC0FD7" w:rsidRPr="001D5327" w14:paraId="62352663" w14:textId="77777777" w:rsidTr="006F6F93">
        <w:tc>
          <w:tcPr>
            <w:tcW w:w="0" w:type="auto"/>
            <w:shd w:val="clear" w:color="auto" w:fill="FFFFFF"/>
            <w:tcMar>
              <w:top w:w="0" w:type="dxa"/>
              <w:left w:w="85" w:type="dxa"/>
              <w:bottom w:w="0" w:type="dxa"/>
              <w:right w:w="85" w:type="dxa"/>
            </w:tcMar>
          </w:tcPr>
          <w:p w14:paraId="5BDCF55D" w14:textId="77777777" w:rsidR="00BC0FD7" w:rsidRPr="001D5327" w:rsidRDefault="00BC0FD7" w:rsidP="00BA0D88">
            <w:pPr>
              <w:pStyle w:val="Tableboldblue"/>
              <w:spacing w:before="40" w:after="40"/>
            </w:pPr>
            <w:r w:rsidRPr="001D5327">
              <w:rPr>
                <w:color w:val="1B556B"/>
              </w:rPr>
              <w:t>2010</w:t>
            </w:r>
          </w:p>
        </w:tc>
        <w:tc>
          <w:tcPr>
            <w:tcW w:w="0" w:type="auto"/>
            <w:shd w:val="clear" w:color="auto" w:fill="FFFFFF"/>
            <w:tcMar>
              <w:top w:w="0" w:type="dxa"/>
              <w:left w:w="85" w:type="dxa"/>
              <w:bottom w:w="0" w:type="dxa"/>
              <w:right w:w="85" w:type="dxa"/>
            </w:tcMar>
          </w:tcPr>
          <w:p w14:paraId="46BDD87C" w14:textId="77777777" w:rsidR="00BC0FD7" w:rsidRPr="001D5327" w:rsidRDefault="00BC0FD7" w:rsidP="00BA0D88">
            <w:pPr>
              <w:pStyle w:val="TableText"/>
              <w:spacing w:before="40" w:after="40"/>
              <w:jc w:val="right"/>
            </w:pPr>
            <w:r w:rsidRPr="001D5327">
              <w:rPr>
                <w:rFonts w:eastAsia="Calibri"/>
                <w:color w:val="000000"/>
              </w:rPr>
              <w:t>4,373,900</w:t>
            </w:r>
          </w:p>
        </w:tc>
        <w:tc>
          <w:tcPr>
            <w:tcW w:w="0" w:type="auto"/>
            <w:shd w:val="clear" w:color="auto" w:fill="FFFFFF"/>
            <w:tcMar>
              <w:top w:w="0" w:type="dxa"/>
              <w:left w:w="85" w:type="dxa"/>
              <w:bottom w:w="0" w:type="dxa"/>
              <w:right w:w="85" w:type="dxa"/>
            </w:tcMar>
          </w:tcPr>
          <w:p w14:paraId="7C26F5DE" w14:textId="77777777" w:rsidR="00BC0FD7" w:rsidRPr="001D5327" w:rsidRDefault="00BC0FD7" w:rsidP="00BA0D88">
            <w:pPr>
              <w:pStyle w:val="TableText"/>
              <w:spacing w:before="40" w:after="40"/>
              <w:jc w:val="right"/>
            </w:pPr>
            <w:r w:rsidRPr="001D5327">
              <w:rPr>
                <w:rFonts w:eastAsia="Calibri"/>
                <w:color w:val="000000"/>
              </w:rPr>
              <w:t>Interpolated</w:t>
            </w:r>
          </w:p>
        </w:tc>
        <w:tc>
          <w:tcPr>
            <w:tcW w:w="0" w:type="auto"/>
            <w:shd w:val="clear" w:color="auto" w:fill="FFFFFF"/>
            <w:tcMar>
              <w:top w:w="0" w:type="dxa"/>
              <w:left w:w="85" w:type="dxa"/>
              <w:bottom w:w="0" w:type="dxa"/>
              <w:right w:w="85" w:type="dxa"/>
            </w:tcMar>
          </w:tcPr>
          <w:p w14:paraId="7DB34A45" w14:textId="77777777" w:rsidR="00BC0FD7" w:rsidRPr="001D5327" w:rsidRDefault="00BC0FD7" w:rsidP="00BA0D88">
            <w:pPr>
              <w:pStyle w:val="TableText"/>
              <w:spacing w:before="40" w:after="40"/>
              <w:jc w:val="right"/>
            </w:pPr>
            <w:r w:rsidRPr="001D5327">
              <w:rPr>
                <w:rFonts w:eastAsia="Calibri"/>
                <w:color w:val="000000"/>
              </w:rPr>
              <w:t>175.9</w:t>
            </w:r>
          </w:p>
        </w:tc>
      </w:tr>
      <w:tr w:rsidR="00BC0FD7" w:rsidRPr="001D5327" w14:paraId="128DA0D5" w14:textId="77777777" w:rsidTr="006F6F93">
        <w:tc>
          <w:tcPr>
            <w:tcW w:w="0" w:type="auto"/>
            <w:shd w:val="clear" w:color="auto" w:fill="FFFFFF"/>
            <w:tcMar>
              <w:top w:w="0" w:type="dxa"/>
              <w:left w:w="85" w:type="dxa"/>
              <w:bottom w:w="0" w:type="dxa"/>
              <w:right w:w="85" w:type="dxa"/>
            </w:tcMar>
          </w:tcPr>
          <w:p w14:paraId="2C0E7E68" w14:textId="77777777" w:rsidR="00BC0FD7" w:rsidRPr="001D5327" w:rsidRDefault="00BC0FD7" w:rsidP="00BA0D88">
            <w:pPr>
              <w:pStyle w:val="Tableboldblue"/>
              <w:spacing w:before="40" w:after="40"/>
            </w:pPr>
            <w:r w:rsidRPr="001D5327">
              <w:rPr>
                <w:color w:val="1B556B"/>
              </w:rPr>
              <w:t>2011</w:t>
            </w:r>
          </w:p>
        </w:tc>
        <w:tc>
          <w:tcPr>
            <w:tcW w:w="0" w:type="auto"/>
            <w:shd w:val="clear" w:color="auto" w:fill="FFFFFF"/>
            <w:tcMar>
              <w:top w:w="0" w:type="dxa"/>
              <w:left w:w="85" w:type="dxa"/>
              <w:bottom w:w="0" w:type="dxa"/>
              <w:right w:w="85" w:type="dxa"/>
            </w:tcMar>
          </w:tcPr>
          <w:p w14:paraId="43141879" w14:textId="77777777" w:rsidR="00BC0FD7" w:rsidRPr="001D5327" w:rsidRDefault="00BC0FD7" w:rsidP="00BA0D88">
            <w:pPr>
              <w:pStyle w:val="TableText"/>
              <w:spacing w:before="40" w:after="40"/>
              <w:jc w:val="right"/>
            </w:pPr>
            <w:r w:rsidRPr="001D5327">
              <w:rPr>
                <w:rFonts w:eastAsia="Calibri"/>
                <w:color w:val="000000"/>
              </w:rPr>
              <w:t>4,399,400</w:t>
            </w:r>
          </w:p>
        </w:tc>
        <w:tc>
          <w:tcPr>
            <w:tcW w:w="0" w:type="auto"/>
            <w:shd w:val="clear" w:color="auto" w:fill="FFFFFF"/>
            <w:tcMar>
              <w:top w:w="0" w:type="dxa"/>
              <w:left w:w="85" w:type="dxa"/>
              <w:bottom w:w="0" w:type="dxa"/>
              <w:right w:w="85" w:type="dxa"/>
            </w:tcMar>
          </w:tcPr>
          <w:p w14:paraId="74FBB8BD" w14:textId="77777777" w:rsidR="00BC0FD7" w:rsidRPr="001D5327" w:rsidRDefault="00BC0FD7" w:rsidP="00BA0D88">
            <w:pPr>
              <w:pStyle w:val="TableText"/>
              <w:spacing w:before="40" w:after="40"/>
              <w:jc w:val="right"/>
            </w:pPr>
            <w:r w:rsidRPr="001D5327">
              <w:rPr>
                <w:rFonts w:eastAsia="Calibri"/>
                <w:color w:val="000000"/>
              </w:rPr>
              <w:t>Interpolated</w:t>
            </w:r>
          </w:p>
        </w:tc>
        <w:tc>
          <w:tcPr>
            <w:tcW w:w="0" w:type="auto"/>
            <w:shd w:val="clear" w:color="auto" w:fill="FFFFFF"/>
            <w:tcMar>
              <w:top w:w="0" w:type="dxa"/>
              <w:left w:w="85" w:type="dxa"/>
              <w:bottom w:w="0" w:type="dxa"/>
              <w:right w:w="85" w:type="dxa"/>
            </w:tcMar>
          </w:tcPr>
          <w:p w14:paraId="77EB223E" w14:textId="77777777" w:rsidR="00BC0FD7" w:rsidRPr="001D5327" w:rsidRDefault="00BC0FD7" w:rsidP="00BA0D88">
            <w:pPr>
              <w:pStyle w:val="TableText"/>
              <w:spacing w:before="40" w:after="40"/>
              <w:jc w:val="right"/>
            </w:pPr>
            <w:r w:rsidRPr="001D5327">
              <w:rPr>
                <w:rFonts w:eastAsia="Calibri"/>
                <w:color w:val="000000"/>
              </w:rPr>
              <w:t>177.8</w:t>
            </w:r>
          </w:p>
        </w:tc>
      </w:tr>
      <w:tr w:rsidR="00BC0FD7" w:rsidRPr="001D5327" w14:paraId="11BD4D70" w14:textId="77777777" w:rsidTr="006F6F93">
        <w:tc>
          <w:tcPr>
            <w:tcW w:w="0" w:type="auto"/>
            <w:shd w:val="clear" w:color="auto" w:fill="FFFFFF"/>
            <w:tcMar>
              <w:top w:w="0" w:type="dxa"/>
              <w:left w:w="85" w:type="dxa"/>
              <w:bottom w:w="0" w:type="dxa"/>
              <w:right w:w="85" w:type="dxa"/>
            </w:tcMar>
          </w:tcPr>
          <w:p w14:paraId="5E5FCC0A" w14:textId="77777777" w:rsidR="00BC0FD7" w:rsidRPr="001D5327" w:rsidRDefault="00BC0FD7" w:rsidP="00BA0D88">
            <w:pPr>
              <w:pStyle w:val="Tableboldblue"/>
              <w:spacing w:before="40" w:after="40"/>
            </w:pPr>
            <w:r w:rsidRPr="001D5327">
              <w:rPr>
                <w:color w:val="1B556B"/>
              </w:rPr>
              <w:t>2012</w:t>
            </w:r>
          </w:p>
        </w:tc>
        <w:tc>
          <w:tcPr>
            <w:tcW w:w="0" w:type="auto"/>
            <w:shd w:val="clear" w:color="auto" w:fill="FFFFFF"/>
            <w:tcMar>
              <w:top w:w="0" w:type="dxa"/>
              <w:left w:w="85" w:type="dxa"/>
              <w:bottom w:w="0" w:type="dxa"/>
              <w:right w:w="85" w:type="dxa"/>
            </w:tcMar>
          </w:tcPr>
          <w:p w14:paraId="1C239279" w14:textId="77777777" w:rsidR="00BC0FD7" w:rsidRPr="001D5327" w:rsidRDefault="00BC0FD7" w:rsidP="00BA0D88">
            <w:pPr>
              <w:pStyle w:val="TableText"/>
              <w:spacing w:before="40" w:after="40"/>
              <w:jc w:val="right"/>
            </w:pPr>
            <w:r w:rsidRPr="001D5327">
              <w:rPr>
                <w:rFonts w:eastAsia="Calibri"/>
                <w:color w:val="000000"/>
              </w:rPr>
              <w:t>4,425,900</w:t>
            </w:r>
          </w:p>
        </w:tc>
        <w:tc>
          <w:tcPr>
            <w:tcW w:w="0" w:type="auto"/>
            <w:shd w:val="clear" w:color="auto" w:fill="FFFFFF"/>
            <w:tcMar>
              <w:top w:w="0" w:type="dxa"/>
              <w:left w:w="85" w:type="dxa"/>
              <w:bottom w:w="0" w:type="dxa"/>
              <w:right w:w="85" w:type="dxa"/>
            </w:tcMar>
          </w:tcPr>
          <w:p w14:paraId="1BB6E295" w14:textId="77777777" w:rsidR="00BC0FD7" w:rsidRPr="001D5327" w:rsidRDefault="00BC0FD7" w:rsidP="00BA0D88">
            <w:pPr>
              <w:pStyle w:val="TableText"/>
              <w:spacing w:before="40" w:after="40"/>
              <w:jc w:val="right"/>
            </w:pPr>
            <w:r w:rsidRPr="001D5327">
              <w:rPr>
                <w:rFonts w:eastAsia="Calibri"/>
                <w:color w:val="000000"/>
              </w:rPr>
              <w:t>Interpolated</w:t>
            </w:r>
          </w:p>
        </w:tc>
        <w:tc>
          <w:tcPr>
            <w:tcW w:w="0" w:type="auto"/>
            <w:shd w:val="clear" w:color="auto" w:fill="FFFFFF"/>
            <w:tcMar>
              <w:top w:w="0" w:type="dxa"/>
              <w:left w:w="85" w:type="dxa"/>
              <w:bottom w:w="0" w:type="dxa"/>
              <w:right w:w="85" w:type="dxa"/>
            </w:tcMar>
          </w:tcPr>
          <w:p w14:paraId="521F3190" w14:textId="77777777" w:rsidR="00BC0FD7" w:rsidRPr="001D5327" w:rsidRDefault="00BC0FD7" w:rsidP="00BA0D88">
            <w:pPr>
              <w:pStyle w:val="TableText"/>
              <w:spacing w:before="40" w:after="40"/>
              <w:jc w:val="right"/>
            </w:pPr>
            <w:r w:rsidRPr="001D5327">
              <w:rPr>
                <w:rFonts w:eastAsia="Calibri"/>
                <w:color w:val="000000"/>
              </w:rPr>
              <w:t>179.7</w:t>
            </w:r>
          </w:p>
        </w:tc>
      </w:tr>
      <w:tr w:rsidR="00BC0FD7" w:rsidRPr="001D5327" w14:paraId="5DF62148" w14:textId="77777777" w:rsidTr="006F6F93">
        <w:tc>
          <w:tcPr>
            <w:tcW w:w="0" w:type="auto"/>
            <w:shd w:val="clear" w:color="auto" w:fill="FFFFFF"/>
            <w:tcMar>
              <w:top w:w="0" w:type="dxa"/>
              <w:left w:w="85" w:type="dxa"/>
              <w:bottom w:w="0" w:type="dxa"/>
              <w:right w:w="85" w:type="dxa"/>
            </w:tcMar>
          </w:tcPr>
          <w:p w14:paraId="26507949" w14:textId="77777777" w:rsidR="00BC0FD7" w:rsidRPr="001D5327" w:rsidRDefault="00BC0FD7" w:rsidP="00BA0D88">
            <w:pPr>
              <w:pStyle w:val="Tableboldblue"/>
              <w:spacing w:before="40" w:after="40"/>
            </w:pPr>
            <w:r w:rsidRPr="001D5327">
              <w:rPr>
                <w:color w:val="1B556B"/>
              </w:rPr>
              <w:t>2013</w:t>
            </w:r>
          </w:p>
        </w:tc>
        <w:tc>
          <w:tcPr>
            <w:tcW w:w="0" w:type="auto"/>
            <w:shd w:val="clear" w:color="auto" w:fill="FFFFFF"/>
            <w:tcMar>
              <w:top w:w="0" w:type="dxa"/>
              <w:left w:w="85" w:type="dxa"/>
              <w:bottom w:w="0" w:type="dxa"/>
              <w:right w:w="85" w:type="dxa"/>
            </w:tcMar>
          </w:tcPr>
          <w:p w14:paraId="7849B6D0" w14:textId="77777777" w:rsidR="00BC0FD7" w:rsidRPr="001D5327" w:rsidRDefault="00BC0FD7" w:rsidP="00BA0D88">
            <w:pPr>
              <w:pStyle w:val="TableText"/>
              <w:spacing w:before="40" w:after="40"/>
              <w:jc w:val="right"/>
            </w:pPr>
            <w:r w:rsidRPr="001D5327">
              <w:rPr>
                <w:rFonts w:eastAsia="Calibri"/>
                <w:color w:val="000000"/>
              </w:rPr>
              <w:t>4,477,400</w:t>
            </w:r>
          </w:p>
        </w:tc>
        <w:tc>
          <w:tcPr>
            <w:tcW w:w="0" w:type="auto"/>
            <w:shd w:val="clear" w:color="auto" w:fill="FFFFFF"/>
            <w:tcMar>
              <w:top w:w="0" w:type="dxa"/>
              <w:left w:w="85" w:type="dxa"/>
              <w:bottom w:w="0" w:type="dxa"/>
              <w:right w:w="85" w:type="dxa"/>
            </w:tcMar>
          </w:tcPr>
          <w:p w14:paraId="3EF74CD6" w14:textId="77777777" w:rsidR="00BC0FD7" w:rsidRPr="001D5327" w:rsidRDefault="00BC0FD7" w:rsidP="00BA0D88">
            <w:pPr>
              <w:pStyle w:val="TableText"/>
              <w:spacing w:before="40" w:after="40"/>
              <w:jc w:val="right"/>
            </w:pPr>
            <w:r w:rsidRPr="001D5327">
              <w:rPr>
                <w:rFonts w:eastAsia="Calibri"/>
                <w:color w:val="000000"/>
              </w:rPr>
              <w:t>0.0316</w:t>
            </w:r>
          </w:p>
        </w:tc>
        <w:tc>
          <w:tcPr>
            <w:tcW w:w="0" w:type="auto"/>
            <w:shd w:val="clear" w:color="auto" w:fill="FFFFFF"/>
            <w:tcMar>
              <w:top w:w="0" w:type="dxa"/>
              <w:left w:w="85" w:type="dxa"/>
              <w:bottom w:w="0" w:type="dxa"/>
              <w:right w:w="85" w:type="dxa"/>
            </w:tcMar>
          </w:tcPr>
          <w:p w14:paraId="304B9093" w14:textId="77777777" w:rsidR="00BC0FD7" w:rsidRPr="001D5327" w:rsidRDefault="00BC0FD7" w:rsidP="00BA0D88">
            <w:pPr>
              <w:pStyle w:val="TableText"/>
              <w:spacing w:before="40" w:after="40"/>
              <w:jc w:val="right"/>
            </w:pPr>
            <w:r w:rsidRPr="001D5327">
              <w:rPr>
                <w:rFonts w:eastAsia="Calibri"/>
                <w:color w:val="000000"/>
              </w:rPr>
              <w:t>181.7</w:t>
            </w:r>
          </w:p>
        </w:tc>
      </w:tr>
      <w:tr w:rsidR="00BC0FD7" w:rsidRPr="001D5327" w14:paraId="1F7F6855" w14:textId="77777777" w:rsidTr="006F6F93">
        <w:tc>
          <w:tcPr>
            <w:tcW w:w="0" w:type="auto"/>
            <w:shd w:val="clear" w:color="auto" w:fill="FFFFFF"/>
            <w:tcMar>
              <w:top w:w="0" w:type="dxa"/>
              <w:left w:w="85" w:type="dxa"/>
              <w:bottom w:w="0" w:type="dxa"/>
              <w:right w:w="85" w:type="dxa"/>
            </w:tcMar>
          </w:tcPr>
          <w:p w14:paraId="4667A4BE" w14:textId="77777777" w:rsidR="00BC0FD7" w:rsidRPr="001D5327" w:rsidRDefault="00BC0FD7" w:rsidP="00BA0D88">
            <w:pPr>
              <w:pStyle w:val="Tableboldblue"/>
              <w:spacing w:before="40" w:after="40"/>
            </w:pPr>
            <w:r w:rsidRPr="001D5327">
              <w:rPr>
                <w:color w:val="1B556B"/>
              </w:rPr>
              <w:t>2014</w:t>
            </w:r>
          </w:p>
        </w:tc>
        <w:tc>
          <w:tcPr>
            <w:tcW w:w="0" w:type="auto"/>
            <w:shd w:val="clear" w:color="auto" w:fill="FFFFFF"/>
            <w:tcMar>
              <w:top w:w="0" w:type="dxa"/>
              <w:left w:w="85" w:type="dxa"/>
              <w:bottom w:w="0" w:type="dxa"/>
              <w:right w:w="85" w:type="dxa"/>
            </w:tcMar>
          </w:tcPr>
          <w:p w14:paraId="1127E1D8" w14:textId="77777777" w:rsidR="00BC0FD7" w:rsidRPr="001D5327" w:rsidRDefault="00BC0FD7" w:rsidP="00BA0D88">
            <w:pPr>
              <w:pStyle w:val="TableText"/>
              <w:spacing w:before="40" w:after="40"/>
              <w:jc w:val="right"/>
            </w:pPr>
            <w:r w:rsidRPr="001D5327">
              <w:rPr>
                <w:rFonts w:eastAsia="Calibri"/>
                <w:color w:val="000000"/>
              </w:rPr>
              <w:t>4,564,400</w:t>
            </w:r>
          </w:p>
        </w:tc>
        <w:tc>
          <w:tcPr>
            <w:tcW w:w="0" w:type="auto"/>
            <w:shd w:val="clear" w:color="auto" w:fill="FFFFFF"/>
            <w:tcMar>
              <w:top w:w="0" w:type="dxa"/>
              <w:left w:w="85" w:type="dxa"/>
              <w:bottom w:w="0" w:type="dxa"/>
              <w:right w:w="85" w:type="dxa"/>
            </w:tcMar>
          </w:tcPr>
          <w:p w14:paraId="420FE69F" w14:textId="77777777" w:rsidR="00BC0FD7" w:rsidRPr="001D5327" w:rsidRDefault="00BC0FD7" w:rsidP="00BA0D88">
            <w:pPr>
              <w:pStyle w:val="TableText"/>
              <w:spacing w:before="40" w:after="40"/>
              <w:jc w:val="right"/>
            </w:pPr>
            <w:r w:rsidRPr="001D5327">
              <w:rPr>
                <w:rFonts w:eastAsia="Calibri"/>
                <w:color w:val="000000"/>
              </w:rPr>
              <w:t>0.0316</w:t>
            </w:r>
          </w:p>
        </w:tc>
        <w:tc>
          <w:tcPr>
            <w:tcW w:w="0" w:type="auto"/>
            <w:shd w:val="clear" w:color="auto" w:fill="FFFFFF"/>
            <w:tcMar>
              <w:top w:w="0" w:type="dxa"/>
              <w:left w:w="85" w:type="dxa"/>
              <w:bottom w:w="0" w:type="dxa"/>
              <w:right w:w="85" w:type="dxa"/>
            </w:tcMar>
          </w:tcPr>
          <w:p w14:paraId="770F42B7" w14:textId="77777777" w:rsidR="00BC0FD7" w:rsidRPr="001D5327" w:rsidRDefault="00BC0FD7" w:rsidP="00BA0D88">
            <w:pPr>
              <w:pStyle w:val="TableText"/>
              <w:spacing w:before="40" w:after="40"/>
              <w:jc w:val="right"/>
            </w:pPr>
            <w:r w:rsidRPr="001D5327">
              <w:rPr>
                <w:rFonts w:eastAsia="Calibri"/>
                <w:color w:val="000000"/>
              </w:rPr>
              <w:t>185.2</w:t>
            </w:r>
          </w:p>
        </w:tc>
      </w:tr>
      <w:tr w:rsidR="00BC0FD7" w:rsidRPr="001D5327" w14:paraId="0F132055" w14:textId="77777777" w:rsidTr="006F6F93">
        <w:tc>
          <w:tcPr>
            <w:tcW w:w="0" w:type="auto"/>
            <w:shd w:val="clear" w:color="auto" w:fill="FFFFFF"/>
            <w:tcMar>
              <w:top w:w="0" w:type="dxa"/>
              <w:left w:w="85" w:type="dxa"/>
              <w:bottom w:w="0" w:type="dxa"/>
              <w:right w:w="85" w:type="dxa"/>
            </w:tcMar>
          </w:tcPr>
          <w:p w14:paraId="75D25679" w14:textId="77777777" w:rsidR="00BC0FD7" w:rsidRPr="001D5327" w:rsidRDefault="00BC0FD7" w:rsidP="00BA0D88">
            <w:pPr>
              <w:pStyle w:val="Tableboldblue"/>
              <w:spacing w:before="40" w:after="40"/>
            </w:pPr>
            <w:r w:rsidRPr="001D5327">
              <w:rPr>
                <w:color w:val="1B556B"/>
              </w:rPr>
              <w:t>2015</w:t>
            </w:r>
          </w:p>
        </w:tc>
        <w:tc>
          <w:tcPr>
            <w:tcW w:w="0" w:type="auto"/>
            <w:shd w:val="clear" w:color="auto" w:fill="FFFFFF"/>
            <w:tcMar>
              <w:top w:w="0" w:type="dxa"/>
              <w:left w:w="85" w:type="dxa"/>
              <w:bottom w:w="0" w:type="dxa"/>
              <w:right w:w="85" w:type="dxa"/>
            </w:tcMar>
          </w:tcPr>
          <w:p w14:paraId="214C58BE" w14:textId="77777777" w:rsidR="00BC0FD7" w:rsidRPr="001D5327" w:rsidRDefault="00BC0FD7" w:rsidP="00BA0D88">
            <w:pPr>
              <w:pStyle w:val="TableText"/>
              <w:spacing w:before="40" w:after="40"/>
              <w:jc w:val="right"/>
            </w:pPr>
            <w:r w:rsidRPr="001D5327">
              <w:rPr>
                <w:rFonts w:eastAsia="Calibri"/>
                <w:color w:val="000000"/>
              </w:rPr>
              <w:t>4,663,700</w:t>
            </w:r>
          </w:p>
        </w:tc>
        <w:tc>
          <w:tcPr>
            <w:tcW w:w="0" w:type="auto"/>
            <w:shd w:val="clear" w:color="auto" w:fill="FFFFFF"/>
            <w:tcMar>
              <w:top w:w="0" w:type="dxa"/>
              <w:left w:w="85" w:type="dxa"/>
              <w:bottom w:w="0" w:type="dxa"/>
              <w:right w:w="85" w:type="dxa"/>
            </w:tcMar>
          </w:tcPr>
          <w:p w14:paraId="08F54360" w14:textId="77777777" w:rsidR="00BC0FD7" w:rsidRPr="001D5327" w:rsidRDefault="00BC0FD7" w:rsidP="00BA0D88">
            <w:pPr>
              <w:pStyle w:val="TableText"/>
              <w:spacing w:before="40" w:after="40"/>
              <w:jc w:val="right"/>
            </w:pPr>
            <w:r w:rsidRPr="001D5327">
              <w:rPr>
                <w:rFonts w:eastAsia="Calibri"/>
                <w:color w:val="000000"/>
              </w:rPr>
              <w:t>0.0318</w:t>
            </w:r>
          </w:p>
        </w:tc>
        <w:tc>
          <w:tcPr>
            <w:tcW w:w="0" w:type="auto"/>
            <w:shd w:val="clear" w:color="auto" w:fill="FFFFFF"/>
            <w:tcMar>
              <w:top w:w="0" w:type="dxa"/>
              <w:left w:w="85" w:type="dxa"/>
              <w:bottom w:w="0" w:type="dxa"/>
              <w:right w:w="85" w:type="dxa"/>
            </w:tcMar>
          </w:tcPr>
          <w:p w14:paraId="44265EE4" w14:textId="77777777" w:rsidR="00BC0FD7" w:rsidRPr="001D5327" w:rsidRDefault="00BC0FD7" w:rsidP="00BA0D88">
            <w:pPr>
              <w:pStyle w:val="TableText"/>
              <w:spacing w:before="40" w:after="40"/>
              <w:jc w:val="right"/>
            </w:pPr>
            <w:r w:rsidRPr="001D5327">
              <w:rPr>
                <w:rFonts w:eastAsia="Calibri"/>
                <w:color w:val="000000"/>
              </w:rPr>
              <w:t>189.2</w:t>
            </w:r>
          </w:p>
        </w:tc>
      </w:tr>
      <w:tr w:rsidR="00BC0FD7" w:rsidRPr="001D5327" w14:paraId="37D0621E" w14:textId="77777777" w:rsidTr="006F6F93">
        <w:tc>
          <w:tcPr>
            <w:tcW w:w="0" w:type="auto"/>
            <w:shd w:val="clear" w:color="auto" w:fill="FFFFFF"/>
            <w:tcMar>
              <w:top w:w="0" w:type="dxa"/>
              <w:left w:w="85" w:type="dxa"/>
              <w:bottom w:w="0" w:type="dxa"/>
              <w:right w:w="85" w:type="dxa"/>
            </w:tcMar>
          </w:tcPr>
          <w:p w14:paraId="6BCC05A3" w14:textId="77777777" w:rsidR="00BC0FD7" w:rsidRPr="001D5327" w:rsidRDefault="00BC0FD7" w:rsidP="00BA0D88">
            <w:pPr>
              <w:pStyle w:val="Tableboldblue"/>
              <w:spacing w:before="40" w:after="40"/>
            </w:pPr>
            <w:r w:rsidRPr="001D5327">
              <w:rPr>
                <w:color w:val="1B556B"/>
              </w:rPr>
              <w:t>2016</w:t>
            </w:r>
          </w:p>
        </w:tc>
        <w:tc>
          <w:tcPr>
            <w:tcW w:w="0" w:type="auto"/>
            <w:shd w:val="clear" w:color="auto" w:fill="FFFFFF"/>
            <w:tcMar>
              <w:top w:w="0" w:type="dxa"/>
              <w:left w:w="85" w:type="dxa"/>
              <w:bottom w:w="0" w:type="dxa"/>
              <w:right w:w="85" w:type="dxa"/>
            </w:tcMar>
          </w:tcPr>
          <w:p w14:paraId="0D01373A" w14:textId="77777777" w:rsidR="00BC0FD7" w:rsidRPr="001D5327" w:rsidRDefault="00BC0FD7" w:rsidP="00BA0D88">
            <w:pPr>
              <w:pStyle w:val="TableText"/>
              <w:spacing w:before="40" w:after="40"/>
              <w:jc w:val="right"/>
            </w:pPr>
            <w:r w:rsidRPr="001D5327">
              <w:rPr>
                <w:rFonts w:eastAsia="Calibri"/>
                <w:color w:val="000000"/>
              </w:rPr>
              <w:t>4,767,600</w:t>
            </w:r>
          </w:p>
        </w:tc>
        <w:tc>
          <w:tcPr>
            <w:tcW w:w="0" w:type="auto"/>
            <w:shd w:val="clear" w:color="auto" w:fill="FFFFFF"/>
            <w:tcMar>
              <w:top w:w="0" w:type="dxa"/>
              <w:left w:w="85" w:type="dxa"/>
              <w:bottom w:w="0" w:type="dxa"/>
              <w:right w:w="85" w:type="dxa"/>
            </w:tcMar>
          </w:tcPr>
          <w:p w14:paraId="02B06D0A" w14:textId="77777777" w:rsidR="00BC0FD7" w:rsidRPr="001D5327" w:rsidRDefault="00BC0FD7" w:rsidP="00BA0D88">
            <w:pPr>
              <w:pStyle w:val="TableText"/>
              <w:spacing w:before="40" w:after="40"/>
              <w:jc w:val="right"/>
            </w:pPr>
            <w:r w:rsidRPr="001D5327">
              <w:rPr>
                <w:rFonts w:eastAsia="Calibri"/>
                <w:color w:val="000000"/>
              </w:rPr>
              <w:t>0.0317</w:t>
            </w:r>
          </w:p>
        </w:tc>
        <w:tc>
          <w:tcPr>
            <w:tcW w:w="0" w:type="auto"/>
            <w:shd w:val="clear" w:color="auto" w:fill="FFFFFF"/>
            <w:tcMar>
              <w:top w:w="0" w:type="dxa"/>
              <w:left w:w="85" w:type="dxa"/>
              <w:bottom w:w="0" w:type="dxa"/>
              <w:right w:w="85" w:type="dxa"/>
            </w:tcMar>
          </w:tcPr>
          <w:p w14:paraId="4553B841" w14:textId="77777777" w:rsidR="00BC0FD7" w:rsidRPr="001D5327" w:rsidRDefault="00BC0FD7" w:rsidP="00BA0D88">
            <w:pPr>
              <w:pStyle w:val="TableText"/>
              <w:spacing w:before="40" w:after="40"/>
              <w:jc w:val="right"/>
            </w:pPr>
            <w:r w:rsidRPr="001D5327">
              <w:rPr>
                <w:rFonts w:eastAsia="Calibri"/>
                <w:color w:val="000000"/>
              </w:rPr>
              <w:t>193.3</w:t>
            </w:r>
          </w:p>
        </w:tc>
      </w:tr>
      <w:tr w:rsidR="00BC0FD7" w:rsidRPr="001D5327" w14:paraId="6BCC1454" w14:textId="77777777" w:rsidTr="006F6F93">
        <w:tc>
          <w:tcPr>
            <w:tcW w:w="0" w:type="auto"/>
            <w:shd w:val="clear" w:color="auto" w:fill="FFFFFF"/>
            <w:tcMar>
              <w:top w:w="0" w:type="dxa"/>
              <w:left w:w="85" w:type="dxa"/>
              <w:bottom w:w="0" w:type="dxa"/>
              <w:right w:w="85" w:type="dxa"/>
            </w:tcMar>
          </w:tcPr>
          <w:p w14:paraId="5050F4D6" w14:textId="77777777" w:rsidR="00BC0FD7" w:rsidRPr="001D5327" w:rsidRDefault="00BC0FD7" w:rsidP="00BA0D88">
            <w:pPr>
              <w:pStyle w:val="Tableboldblue"/>
              <w:spacing w:before="40" w:after="40"/>
            </w:pPr>
            <w:r w:rsidRPr="001D5327">
              <w:rPr>
                <w:color w:val="1B556B"/>
              </w:rPr>
              <w:t>2017</w:t>
            </w:r>
          </w:p>
        </w:tc>
        <w:tc>
          <w:tcPr>
            <w:tcW w:w="0" w:type="auto"/>
            <w:shd w:val="clear" w:color="auto" w:fill="FFFFFF"/>
            <w:tcMar>
              <w:top w:w="0" w:type="dxa"/>
              <w:left w:w="85" w:type="dxa"/>
              <w:bottom w:w="0" w:type="dxa"/>
              <w:right w:w="85" w:type="dxa"/>
            </w:tcMar>
          </w:tcPr>
          <w:p w14:paraId="4CCD8AB6" w14:textId="77777777" w:rsidR="00BC0FD7" w:rsidRPr="001D5327" w:rsidRDefault="00BC0FD7" w:rsidP="00BA0D88">
            <w:pPr>
              <w:pStyle w:val="TableText"/>
              <w:spacing w:before="40" w:after="40"/>
              <w:jc w:val="right"/>
            </w:pPr>
            <w:r w:rsidRPr="001D5327">
              <w:rPr>
                <w:rFonts w:eastAsia="Calibri"/>
                <w:color w:val="000000"/>
              </w:rPr>
              <w:t>4,859,500</w:t>
            </w:r>
          </w:p>
        </w:tc>
        <w:tc>
          <w:tcPr>
            <w:tcW w:w="0" w:type="auto"/>
            <w:shd w:val="clear" w:color="auto" w:fill="FFFFFF"/>
            <w:tcMar>
              <w:top w:w="0" w:type="dxa"/>
              <w:left w:w="85" w:type="dxa"/>
              <w:bottom w:w="0" w:type="dxa"/>
              <w:right w:w="85" w:type="dxa"/>
            </w:tcMar>
          </w:tcPr>
          <w:p w14:paraId="044F4136" w14:textId="77777777" w:rsidR="00BC0FD7" w:rsidRPr="001D5327" w:rsidRDefault="00BC0FD7" w:rsidP="00BA0D88">
            <w:pPr>
              <w:pStyle w:val="TableText"/>
              <w:spacing w:before="40" w:after="40"/>
              <w:jc w:val="right"/>
            </w:pPr>
            <w:r w:rsidRPr="001D5327">
              <w:rPr>
                <w:rFonts w:eastAsia="Calibri"/>
                <w:color w:val="000000"/>
              </w:rPr>
              <w:t>0.0318</w:t>
            </w:r>
          </w:p>
        </w:tc>
        <w:tc>
          <w:tcPr>
            <w:tcW w:w="0" w:type="auto"/>
            <w:shd w:val="clear" w:color="auto" w:fill="FFFFFF"/>
            <w:tcMar>
              <w:top w:w="0" w:type="dxa"/>
              <w:left w:w="85" w:type="dxa"/>
              <w:bottom w:w="0" w:type="dxa"/>
              <w:right w:w="85" w:type="dxa"/>
            </w:tcMar>
          </w:tcPr>
          <w:p w14:paraId="6F8566F7" w14:textId="77777777" w:rsidR="00BC0FD7" w:rsidRPr="001D5327" w:rsidRDefault="00BC0FD7" w:rsidP="00BA0D88">
            <w:pPr>
              <w:pStyle w:val="TableText"/>
              <w:spacing w:before="40" w:after="40"/>
              <w:jc w:val="right"/>
            </w:pPr>
            <w:r w:rsidRPr="001D5327">
              <w:rPr>
                <w:rFonts w:eastAsia="Calibri"/>
                <w:color w:val="000000"/>
              </w:rPr>
              <w:t>196.8</w:t>
            </w:r>
          </w:p>
        </w:tc>
      </w:tr>
      <w:tr w:rsidR="00BC0FD7" w:rsidRPr="001D5327" w14:paraId="7CA15795" w14:textId="77777777" w:rsidTr="006F6F93">
        <w:tc>
          <w:tcPr>
            <w:tcW w:w="0" w:type="auto"/>
            <w:shd w:val="clear" w:color="auto" w:fill="FFFFFF"/>
            <w:tcMar>
              <w:top w:w="0" w:type="dxa"/>
              <w:left w:w="85" w:type="dxa"/>
              <w:bottom w:w="0" w:type="dxa"/>
              <w:right w:w="85" w:type="dxa"/>
            </w:tcMar>
          </w:tcPr>
          <w:p w14:paraId="0F34CB70" w14:textId="77777777" w:rsidR="00BC0FD7" w:rsidRPr="001D5327" w:rsidRDefault="00BC0FD7" w:rsidP="00BA0D88">
            <w:pPr>
              <w:pStyle w:val="Tableboldblue"/>
              <w:spacing w:before="40" w:after="40"/>
            </w:pPr>
            <w:r w:rsidRPr="001D5327">
              <w:rPr>
                <w:color w:val="1B556B"/>
              </w:rPr>
              <w:t>2018</w:t>
            </w:r>
          </w:p>
        </w:tc>
        <w:tc>
          <w:tcPr>
            <w:tcW w:w="0" w:type="auto"/>
            <w:shd w:val="clear" w:color="auto" w:fill="FFFFFF"/>
            <w:tcMar>
              <w:top w:w="0" w:type="dxa"/>
              <w:left w:w="85" w:type="dxa"/>
              <w:bottom w:w="0" w:type="dxa"/>
              <w:right w:w="85" w:type="dxa"/>
            </w:tcMar>
          </w:tcPr>
          <w:p w14:paraId="776D30F8" w14:textId="77777777" w:rsidR="00BC0FD7" w:rsidRPr="001D5327" w:rsidRDefault="00BC0FD7" w:rsidP="00BA0D88">
            <w:pPr>
              <w:pStyle w:val="TableText"/>
              <w:spacing w:before="40" w:after="40"/>
              <w:jc w:val="right"/>
            </w:pPr>
            <w:r w:rsidRPr="001D5327">
              <w:rPr>
                <w:rFonts w:eastAsia="Calibri"/>
                <w:color w:val="000000"/>
              </w:rPr>
              <w:t>4,941,200</w:t>
            </w:r>
          </w:p>
        </w:tc>
        <w:tc>
          <w:tcPr>
            <w:tcW w:w="0" w:type="auto"/>
            <w:shd w:val="clear" w:color="auto" w:fill="FFFFFF"/>
            <w:tcMar>
              <w:top w:w="0" w:type="dxa"/>
              <w:left w:w="85" w:type="dxa"/>
              <w:bottom w:w="0" w:type="dxa"/>
              <w:right w:w="85" w:type="dxa"/>
            </w:tcMar>
          </w:tcPr>
          <w:p w14:paraId="32FC9D85" w14:textId="77777777" w:rsidR="00BC0FD7" w:rsidRPr="001D5327" w:rsidRDefault="00BC0FD7" w:rsidP="00BA0D88">
            <w:pPr>
              <w:pStyle w:val="TableText"/>
              <w:spacing w:before="40" w:after="40"/>
              <w:jc w:val="right"/>
            </w:pPr>
            <w:r w:rsidRPr="001D5327">
              <w:rPr>
                <w:rFonts w:eastAsia="Calibri"/>
                <w:color w:val="000000"/>
              </w:rPr>
              <w:t>0.0319</w:t>
            </w:r>
          </w:p>
        </w:tc>
        <w:tc>
          <w:tcPr>
            <w:tcW w:w="0" w:type="auto"/>
            <w:shd w:val="clear" w:color="auto" w:fill="FFFFFF"/>
            <w:tcMar>
              <w:top w:w="0" w:type="dxa"/>
              <w:left w:w="85" w:type="dxa"/>
              <w:bottom w:w="0" w:type="dxa"/>
              <w:right w:w="85" w:type="dxa"/>
            </w:tcMar>
          </w:tcPr>
          <w:p w14:paraId="2033C1DF" w14:textId="1E764126" w:rsidR="00BC0FD7" w:rsidRPr="001D5327" w:rsidRDefault="00BC0FD7" w:rsidP="00BA0D88">
            <w:pPr>
              <w:pStyle w:val="TableText"/>
              <w:spacing w:before="40" w:after="40"/>
              <w:jc w:val="right"/>
            </w:pPr>
            <w:r w:rsidRPr="001D5327">
              <w:rPr>
                <w:rFonts w:eastAsia="Calibri"/>
                <w:color w:val="000000"/>
              </w:rPr>
              <w:t>200.0</w:t>
            </w:r>
          </w:p>
        </w:tc>
      </w:tr>
      <w:tr w:rsidR="00BC0FD7" w:rsidRPr="001D5327" w14:paraId="635E25EB" w14:textId="77777777" w:rsidTr="006F6F93">
        <w:tc>
          <w:tcPr>
            <w:tcW w:w="0" w:type="auto"/>
            <w:shd w:val="clear" w:color="auto" w:fill="FFFFFF"/>
            <w:tcMar>
              <w:top w:w="0" w:type="dxa"/>
              <w:left w:w="85" w:type="dxa"/>
              <w:bottom w:w="0" w:type="dxa"/>
              <w:right w:w="85" w:type="dxa"/>
            </w:tcMar>
          </w:tcPr>
          <w:p w14:paraId="54A9EB95" w14:textId="77777777" w:rsidR="00BC0FD7" w:rsidRPr="001D5327" w:rsidRDefault="00BC0FD7" w:rsidP="00BA0D88">
            <w:pPr>
              <w:pStyle w:val="Tableboldblue"/>
              <w:spacing w:before="40" w:after="40"/>
            </w:pPr>
            <w:r w:rsidRPr="001D5327">
              <w:rPr>
                <w:color w:val="1B556B"/>
              </w:rPr>
              <w:t>2019</w:t>
            </w:r>
          </w:p>
        </w:tc>
        <w:tc>
          <w:tcPr>
            <w:tcW w:w="0" w:type="auto"/>
            <w:shd w:val="clear" w:color="auto" w:fill="FFFFFF"/>
            <w:tcMar>
              <w:top w:w="0" w:type="dxa"/>
              <w:left w:w="85" w:type="dxa"/>
              <w:bottom w:w="0" w:type="dxa"/>
              <w:right w:w="85" w:type="dxa"/>
            </w:tcMar>
          </w:tcPr>
          <w:p w14:paraId="15BFA818" w14:textId="77777777" w:rsidR="00BC0FD7" w:rsidRPr="001D5327" w:rsidRDefault="00BC0FD7" w:rsidP="00BA0D88">
            <w:pPr>
              <w:pStyle w:val="TableText"/>
              <w:spacing w:before="40" w:after="40"/>
              <w:jc w:val="right"/>
            </w:pPr>
            <w:r w:rsidRPr="001D5327">
              <w:rPr>
                <w:rFonts w:eastAsia="Calibri"/>
                <w:color w:val="000000"/>
              </w:rPr>
              <w:t>5,040,400</w:t>
            </w:r>
          </w:p>
        </w:tc>
        <w:tc>
          <w:tcPr>
            <w:tcW w:w="0" w:type="auto"/>
            <w:shd w:val="clear" w:color="auto" w:fill="FFFFFF"/>
            <w:tcMar>
              <w:top w:w="0" w:type="dxa"/>
              <w:left w:w="85" w:type="dxa"/>
              <w:bottom w:w="0" w:type="dxa"/>
              <w:right w:w="85" w:type="dxa"/>
            </w:tcMar>
          </w:tcPr>
          <w:p w14:paraId="74A068F2" w14:textId="77777777" w:rsidR="00BC0FD7" w:rsidRPr="001D5327" w:rsidRDefault="00BC0FD7" w:rsidP="00BA0D88">
            <w:pPr>
              <w:pStyle w:val="TableText"/>
              <w:spacing w:before="40" w:after="40"/>
              <w:jc w:val="right"/>
            </w:pPr>
            <w:r w:rsidRPr="001D5327">
              <w:rPr>
                <w:rFonts w:eastAsia="Calibri"/>
                <w:color w:val="000000"/>
              </w:rPr>
              <w:t>0.0321</w:t>
            </w:r>
          </w:p>
        </w:tc>
        <w:tc>
          <w:tcPr>
            <w:tcW w:w="0" w:type="auto"/>
            <w:shd w:val="clear" w:color="auto" w:fill="FFFFFF"/>
            <w:tcMar>
              <w:top w:w="0" w:type="dxa"/>
              <w:left w:w="85" w:type="dxa"/>
              <w:bottom w:w="0" w:type="dxa"/>
              <w:right w:w="85" w:type="dxa"/>
            </w:tcMar>
          </w:tcPr>
          <w:p w14:paraId="48E71003" w14:textId="77777777" w:rsidR="00BC0FD7" w:rsidRPr="001D5327" w:rsidRDefault="00BC0FD7" w:rsidP="00BA0D88">
            <w:pPr>
              <w:pStyle w:val="TableText"/>
              <w:spacing w:before="40" w:after="40"/>
              <w:jc w:val="right"/>
            </w:pPr>
            <w:r w:rsidRPr="001D5327">
              <w:rPr>
                <w:rFonts w:eastAsia="Calibri"/>
                <w:color w:val="000000"/>
              </w:rPr>
              <w:t>203.9</w:t>
            </w:r>
          </w:p>
        </w:tc>
      </w:tr>
      <w:tr w:rsidR="00BC0FD7" w:rsidRPr="001D5327" w14:paraId="006EE21E" w14:textId="77777777" w:rsidTr="006F6F93">
        <w:tc>
          <w:tcPr>
            <w:tcW w:w="0" w:type="auto"/>
            <w:shd w:val="clear" w:color="auto" w:fill="FFFFFF"/>
            <w:tcMar>
              <w:top w:w="0" w:type="dxa"/>
              <w:left w:w="85" w:type="dxa"/>
              <w:bottom w:w="0" w:type="dxa"/>
              <w:right w:w="85" w:type="dxa"/>
            </w:tcMar>
          </w:tcPr>
          <w:p w14:paraId="2DE1989D" w14:textId="77777777" w:rsidR="00BC0FD7" w:rsidRPr="001D5327" w:rsidRDefault="00BC0FD7" w:rsidP="00BA0D88">
            <w:pPr>
              <w:pStyle w:val="Tableboldblue"/>
              <w:spacing w:before="40" w:after="40"/>
            </w:pPr>
            <w:r w:rsidRPr="001D5327">
              <w:rPr>
                <w:color w:val="1B556B"/>
              </w:rPr>
              <w:t>2020</w:t>
            </w:r>
          </w:p>
        </w:tc>
        <w:tc>
          <w:tcPr>
            <w:tcW w:w="0" w:type="auto"/>
            <w:shd w:val="clear" w:color="auto" w:fill="FFFFFF"/>
            <w:tcMar>
              <w:top w:w="0" w:type="dxa"/>
              <w:left w:w="85" w:type="dxa"/>
              <w:bottom w:w="0" w:type="dxa"/>
              <w:right w:w="85" w:type="dxa"/>
            </w:tcMar>
          </w:tcPr>
          <w:p w14:paraId="42A89C9F" w14:textId="77777777" w:rsidR="00BC0FD7" w:rsidRPr="001D5327" w:rsidRDefault="00BC0FD7" w:rsidP="00BA0D88">
            <w:pPr>
              <w:pStyle w:val="TableText"/>
              <w:spacing w:before="40" w:after="40"/>
              <w:jc w:val="right"/>
            </w:pPr>
            <w:r w:rsidRPr="001D5327">
              <w:rPr>
                <w:rFonts w:eastAsia="Calibri"/>
                <w:color w:val="000000"/>
              </w:rPr>
              <w:t>5,103,700</w:t>
            </w:r>
          </w:p>
        </w:tc>
        <w:tc>
          <w:tcPr>
            <w:tcW w:w="0" w:type="auto"/>
            <w:shd w:val="clear" w:color="auto" w:fill="FFFFFF"/>
            <w:tcMar>
              <w:top w:w="0" w:type="dxa"/>
              <w:left w:w="85" w:type="dxa"/>
              <w:bottom w:w="0" w:type="dxa"/>
              <w:right w:w="85" w:type="dxa"/>
            </w:tcMar>
          </w:tcPr>
          <w:p w14:paraId="598D5494" w14:textId="77777777" w:rsidR="00BC0FD7" w:rsidRPr="001D5327" w:rsidRDefault="00BC0FD7" w:rsidP="00BA0D88">
            <w:pPr>
              <w:pStyle w:val="TableText"/>
              <w:spacing w:before="40" w:after="40"/>
              <w:jc w:val="right"/>
            </w:pPr>
            <w:r w:rsidRPr="001D5327">
              <w:rPr>
                <w:rFonts w:eastAsia="Calibri"/>
                <w:color w:val="000000"/>
              </w:rPr>
              <w:t>0.0321</w:t>
            </w:r>
          </w:p>
        </w:tc>
        <w:tc>
          <w:tcPr>
            <w:tcW w:w="0" w:type="auto"/>
            <w:shd w:val="clear" w:color="auto" w:fill="FFFFFF"/>
            <w:tcMar>
              <w:top w:w="0" w:type="dxa"/>
              <w:left w:w="85" w:type="dxa"/>
              <w:bottom w:w="0" w:type="dxa"/>
              <w:right w:w="85" w:type="dxa"/>
            </w:tcMar>
          </w:tcPr>
          <w:p w14:paraId="1DF2A349" w14:textId="77777777" w:rsidR="00BC0FD7" w:rsidRPr="001D5327" w:rsidRDefault="00BC0FD7" w:rsidP="00BA0D88">
            <w:pPr>
              <w:pStyle w:val="TableText"/>
              <w:spacing w:before="40" w:after="40"/>
              <w:jc w:val="right"/>
            </w:pPr>
            <w:r w:rsidRPr="001D5327">
              <w:rPr>
                <w:rFonts w:eastAsia="Calibri"/>
                <w:color w:val="000000"/>
              </w:rPr>
              <w:t>206.9</w:t>
            </w:r>
          </w:p>
        </w:tc>
      </w:tr>
      <w:tr w:rsidR="00BC0FD7" w:rsidRPr="001D5327" w14:paraId="0B2A1477" w14:textId="77777777" w:rsidTr="006F6F93">
        <w:tc>
          <w:tcPr>
            <w:tcW w:w="0" w:type="auto"/>
            <w:shd w:val="clear" w:color="auto" w:fill="FFFFFF"/>
            <w:tcMar>
              <w:top w:w="0" w:type="dxa"/>
              <w:left w:w="85" w:type="dxa"/>
              <w:bottom w:w="0" w:type="dxa"/>
              <w:right w:w="85" w:type="dxa"/>
            </w:tcMar>
          </w:tcPr>
          <w:p w14:paraId="38E54E06" w14:textId="77777777" w:rsidR="00BC0FD7" w:rsidRPr="001D5327" w:rsidRDefault="00BC0FD7" w:rsidP="00BA0D88">
            <w:pPr>
              <w:pStyle w:val="Tableboldblue"/>
              <w:spacing w:before="40" w:after="40"/>
            </w:pPr>
            <w:r w:rsidRPr="001D5327">
              <w:rPr>
                <w:color w:val="1B556B"/>
              </w:rPr>
              <w:t>2021</w:t>
            </w:r>
          </w:p>
        </w:tc>
        <w:tc>
          <w:tcPr>
            <w:tcW w:w="0" w:type="auto"/>
            <w:shd w:val="clear" w:color="auto" w:fill="FFFFFF"/>
            <w:tcMar>
              <w:top w:w="0" w:type="dxa"/>
              <w:left w:w="85" w:type="dxa"/>
              <w:bottom w:w="0" w:type="dxa"/>
              <w:right w:w="85" w:type="dxa"/>
            </w:tcMar>
          </w:tcPr>
          <w:p w14:paraId="4FEF0DB4" w14:textId="77777777" w:rsidR="00BC0FD7" w:rsidRPr="001D5327" w:rsidRDefault="00BC0FD7" w:rsidP="00BA0D88">
            <w:pPr>
              <w:pStyle w:val="TableText"/>
              <w:spacing w:before="40" w:after="40"/>
              <w:jc w:val="right"/>
            </w:pPr>
            <w:r w:rsidRPr="001D5327">
              <w:rPr>
                <w:rFonts w:eastAsia="Calibri"/>
                <w:color w:val="000000"/>
              </w:rPr>
              <w:t>5,116,500</w:t>
            </w:r>
          </w:p>
        </w:tc>
        <w:tc>
          <w:tcPr>
            <w:tcW w:w="0" w:type="auto"/>
            <w:shd w:val="clear" w:color="auto" w:fill="FFFFFF"/>
            <w:tcMar>
              <w:top w:w="0" w:type="dxa"/>
              <w:left w:w="85" w:type="dxa"/>
              <w:bottom w:w="0" w:type="dxa"/>
              <w:right w:w="85" w:type="dxa"/>
            </w:tcMar>
          </w:tcPr>
          <w:p w14:paraId="20ED894F" w14:textId="77777777" w:rsidR="00BC0FD7" w:rsidRPr="001D5327" w:rsidRDefault="00BC0FD7" w:rsidP="00BA0D88">
            <w:pPr>
              <w:pStyle w:val="TableText"/>
              <w:spacing w:before="40" w:after="40"/>
              <w:jc w:val="right"/>
            </w:pPr>
            <w:r w:rsidRPr="001D5327">
              <w:rPr>
                <w:rFonts w:eastAsia="Calibri"/>
                <w:color w:val="000000"/>
              </w:rPr>
              <w:t>0.0324</w:t>
            </w:r>
          </w:p>
        </w:tc>
        <w:tc>
          <w:tcPr>
            <w:tcW w:w="0" w:type="auto"/>
            <w:shd w:val="clear" w:color="auto" w:fill="FFFFFF"/>
            <w:tcMar>
              <w:top w:w="0" w:type="dxa"/>
              <w:left w:w="85" w:type="dxa"/>
              <w:bottom w:w="0" w:type="dxa"/>
              <w:right w:w="85" w:type="dxa"/>
            </w:tcMar>
          </w:tcPr>
          <w:p w14:paraId="53B96A26" w14:textId="77777777" w:rsidR="00BC0FD7" w:rsidRPr="001D5327" w:rsidRDefault="00BC0FD7" w:rsidP="00BA0D88">
            <w:pPr>
              <w:pStyle w:val="TableText"/>
              <w:spacing w:before="40" w:after="40"/>
              <w:jc w:val="right"/>
            </w:pPr>
            <w:r w:rsidRPr="001D5327">
              <w:rPr>
                <w:rFonts w:eastAsia="Calibri"/>
                <w:color w:val="000000"/>
              </w:rPr>
              <w:t>207.5</w:t>
            </w:r>
          </w:p>
        </w:tc>
      </w:tr>
      <w:tr w:rsidR="00BC0FD7" w:rsidRPr="001D5327" w14:paraId="7CCF8B3E" w14:textId="77777777" w:rsidTr="006F6F93">
        <w:tc>
          <w:tcPr>
            <w:tcW w:w="0" w:type="auto"/>
            <w:shd w:val="clear" w:color="auto" w:fill="FFFFFF"/>
            <w:tcMar>
              <w:top w:w="0" w:type="dxa"/>
              <w:left w:w="85" w:type="dxa"/>
              <w:bottom w:w="0" w:type="dxa"/>
              <w:right w:w="85" w:type="dxa"/>
            </w:tcMar>
          </w:tcPr>
          <w:p w14:paraId="685FD8D8" w14:textId="77777777" w:rsidR="00BC0FD7" w:rsidRPr="001D5327" w:rsidRDefault="00BC0FD7" w:rsidP="00BA0D88">
            <w:pPr>
              <w:pStyle w:val="Tableboldblue"/>
              <w:spacing w:before="40" w:after="40"/>
            </w:pPr>
            <w:r w:rsidRPr="001D5327">
              <w:rPr>
                <w:color w:val="1B556B"/>
              </w:rPr>
              <w:t>2022</w:t>
            </w:r>
          </w:p>
        </w:tc>
        <w:tc>
          <w:tcPr>
            <w:tcW w:w="0" w:type="auto"/>
            <w:shd w:val="clear" w:color="auto" w:fill="FFFFFF"/>
            <w:tcMar>
              <w:top w:w="0" w:type="dxa"/>
              <w:left w:w="85" w:type="dxa"/>
              <w:bottom w:w="0" w:type="dxa"/>
              <w:right w:w="85" w:type="dxa"/>
            </w:tcMar>
          </w:tcPr>
          <w:p w14:paraId="400EB87A" w14:textId="77777777" w:rsidR="00BC0FD7" w:rsidRPr="001D5327" w:rsidRDefault="00BC0FD7" w:rsidP="00BA0D88">
            <w:pPr>
              <w:pStyle w:val="TableText"/>
              <w:spacing w:before="40" w:after="40"/>
              <w:jc w:val="right"/>
            </w:pPr>
            <w:r w:rsidRPr="001D5327">
              <w:rPr>
                <w:rFonts w:eastAsia="Calibri"/>
                <w:color w:val="000000"/>
              </w:rPr>
              <w:t>5,160,600</w:t>
            </w:r>
          </w:p>
        </w:tc>
        <w:tc>
          <w:tcPr>
            <w:tcW w:w="0" w:type="auto"/>
            <w:shd w:val="clear" w:color="auto" w:fill="FFFFFF"/>
            <w:tcMar>
              <w:top w:w="0" w:type="dxa"/>
              <w:left w:w="85" w:type="dxa"/>
              <w:bottom w:w="0" w:type="dxa"/>
              <w:right w:w="85" w:type="dxa"/>
            </w:tcMar>
          </w:tcPr>
          <w:p w14:paraId="0FC7EA47" w14:textId="77777777" w:rsidR="00BC0FD7" w:rsidRPr="001D5327" w:rsidRDefault="00BC0FD7" w:rsidP="00BA0D88">
            <w:pPr>
              <w:pStyle w:val="TableText"/>
              <w:spacing w:before="40" w:after="40"/>
              <w:jc w:val="right"/>
            </w:pPr>
            <w:r w:rsidRPr="001D5327">
              <w:rPr>
                <w:rFonts w:eastAsia="Calibri"/>
                <w:color w:val="000000"/>
              </w:rPr>
              <w:t>0.0329</w:t>
            </w:r>
          </w:p>
        </w:tc>
        <w:tc>
          <w:tcPr>
            <w:tcW w:w="0" w:type="auto"/>
            <w:shd w:val="clear" w:color="auto" w:fill="FFFFFF"/>
            <w:tcMar>
              <w:top w:w="0" w:type="dxa"/>
              <w:left w:w="85" w:type="dxa"/>
              <w:bottom w:w="0" w:type="dxa"/>
              <w:right w:w="85" w:type="dxa"/>
            </w:tcMar>
          </w:tcPr>
          <w:p w14:paraId="037363FD" w14:textId="77777777" w:rsidR="00BC0FD7" w:rsidRPr="001D5327" w:rsidRDefault="00BC0FD7" w:rsidP="00BA0D88">
            <w:pPr>
              <w:pStyle w:val="TableText"/>
              <w:spacing w:before="40" w:after="40"/>
              <w:jc w:val="right"/>
            </w:pPr>
            <w:r w:rsidRPr="001D5327">
              <w:rPr>
                <w:rFonts w:eastAsia="Calibri"/>
                <w:color w:val="000000"/>
              </w:rPr>
              <w:t>209.1</w:t>
            </w:r>
          </w:p>
        </w:tc>
      </w:tr>
      <w:tr w:rsidR="00BC0FD7" w:rsidRPr="001D5327" w14:paraId="580F2612" w14:textId="77777777" w:rsidTr="006F6F93">
        <w:tc>
          <w:tcPr>
            <w:tcW w:w="0" w:type="auto"/>
            <w:shd w:val="clear" w:color="auto" w:fill="FFFFFF"/>
            <w:tcMar>
              <w:top w:w="0" w:type="dxa"/>
              <w:left w:w="85" w:type="dxa"/>
              <w:bottom w:w="0" w:type="dxa"/>
              <w:right w:w="85" w:type="dxa"/>
            </w:tcMar>
          </w:tcPr>
          <w:p w14:paraId="411DBB6A" w14:textId="77777777" w:rsidR="00BC0FD7" w:rsidRPr="001D5327" w:rsidRDefault="00BC0FD7" w:rsidP="00BA0D88">
            <w:pPr>
              <w:pStyle w:val="Tableboldblue"/>
              <w:spacing w:before="40" w:after="40"/>
            </w:pPr>
            <w:r w:rsidRPr="001D5327">
              <w:rPr>
                <w:color w:val="1B556B"/>
              </w:rPr>
              <w:t>2023</w:t>
            </w:r>
          </w:p>
        </w:tc>
        <w:tc>
          <w:tcPr>
            <w:tcW w:w="0" w:type="auto"/>
            <w:shd w:val="clear" w:color="auto" w:fill="FFFFFF"/>
            <w:tcMar>
              <w:top w:w="0" w:type="dxa"/>
              <w:left w:w="85" w:type="dxa"/>
              <w:bottom w:w="0" w:type="dxa"/>
              <w:right w:w="85" w:type="dxa"/>
            </w:tcMar>
          </w:tcPr>
          <w:p w14:paraId="2CABAEF2" w14:textId="77777777" w:rsidR="00BC0FD7" w:rsidRPr="001D5327" w:rsidRDefault="00BC0FD7" w:rsidP="00BA0D88">
            <w:pPr>
              <w:pStyle w:val="TableText"/>
              <w:spacing w:before="40" w:after="40"/>
              <w:jc w:val="right"/>
            </w:pPr>
            <w:r w:rsidRPr="001D5327">
              <w:rPr>
                <w:rFonts w:eastAsia="Calibri"/>
                <w:color w:val="000000"/>
              </w:rPr>
              <w:t>5,308,500</w:t>
            </w:r>
          </w:p>
        </w:tc>
        <w:tc>
          <w:tcPr>
            <w:tcW w:w="0" w:type="auto"/>
            <w:shd w:val="clear" w:color="auto" w:fill="FFFFFF"/>
            <w:tcMar>
              <w:top w:w="0" w:type="dxa"/>
              <w:left w:w="85" w:type="dxa"/>
              <w:bottom w:w="0" w:type="dxa"/>
              <w:right w:w="85" w:type="dxa"/>
            </w:tcMar>
          </w:tcPr>
          <w:p w14:paraId="516340CC" w14:textId="77777777" w:rsidR="00BC0FD7" w:rsidRPr="001D5327" w:rsidRDefault="00BC0FD7" w:rsidP="00BA0D88">
            <w:pPr>
              <w:pStyle w:val="TableText"/>
              <w:spacing w:before="40" w:after="40"/>
              <w:jc w:val="right"/>
            </w:pPr>
            <w:r w:rsidRPr="001D5327">
              <w:rPr>
                <w:rFonts w:eastAsia="Calibri"/>
                <w:color w:val="000000"/>
              </w:rPr>
              <w:t>0.0328</w:t>
            </w:r>
          </w:p>
        </w:tc>
        <w:tc>
          <w:tcPr>
            <w:tcW w:w="0" w:type="auto"/>
            <w:shd w:val="clear" w:color="auto" w:fill="FFFFFF"/>
            <w:tcMar>
              <w:top w:w="0" w:type="dxa"/>
              <w:left w:w="85" w:type="dxa"/>
              <w:bottom w:w="0" w:type="dxa"/>
              <w:right w:w="85" w:type="dxa"/>
            </w:tcMar>
          </w:tcPr>
          <w:p w14:paraId="67B9A581" w14:textId="77777777" w:rsidR="00BC0FD7" w:rsidRPr="001D5327" w:rsidRDefault="00BC0FD7" w:rsidP="00BA0D88">
            <w:pPr>
              <w:pStyle w:val="TableText"/>
              <w:spacing w:before="40" w:after="40"/>
              <w:jc w:val="right"/>
            </w:pPr>
            <w:r w:rsidRPr="001D5327">
              <w:rPr>
                <w:rFonts w:eastAsia="Calibri"/>
                <w:color w:val="000000"/>
              </w:rPr>
              <w:t>214.5</w:t>
            </w:r>
          </w:p>
        </w:tc>
      </w:tr>
    </w:tbl>
    <w:p w14:paraId="58346312" w14:textId="77777777" w:rsidR="00BC0FD7" w:rsidRPr="001D5327" w:rsidRDefault="00BC0FD7" w:rsidP="00BC0FD7">
      <w:pPr>
        <w:pStyle w:val="Heading5"/>
        <w:spacing w:before="360"/>
      </w:pPr>
      <w:bookmarkStart w:id="2869" w:name="industrial-wastewater-5.d.2-1"/>
      <w:bookmarkEnd w:id="2867"/>
      <w:r w:rsidRPr="001D5327">
        <w:t>Industrial wastewater (5.D.2)</w:t>
      </w:r>
    </w:p>
    <w:p w14:paraId="6CC97DE8" w14:textId="77777777" w:rsidR="00BC0FD7" w:rsidRPr="001D5327" w:rsidRDefault="00BC0FD7" w:rsidP="00BC0FD7">
      <w:pPr>
        <w:pStyle w:val="BodyText"/>
      </w:pPr>
      <w:r w:rsidRPr="001D5327">
        <w:t>The following industries are identified as having organic-rich wastewaters that are treated anaerobically (in order of significance): meat processing, pulp and paper, and other industries described below. Table 7.5.3 reports the activity data for the amount of total organic product in wastewater (TOW) across the main industries.</w:t>
      </w:r>
    </w:p>
    <w:p w14:paraId="08F01B5B" w14:textId="77777777" w:rsidR="00BC0FD7" w:rsidRPr="001D5327" w:rsidRDefault="00BC0FD7" w:rsidP="00BC0FD7">
      <w:pPr>
        <w:pStyle w:val="Table"/>
      </w:pPr>
      <w:bookmarkStart w:id="2870" w:name="_Toc194241818"/>
      <w:r w:rsidRPr="001D5327">
        <w:t xml:space="preserve">Table 7.5.3 </w:t>
      </w:r>
      <w:r w:rsidRPr="001D5327">
        <w:tab/>
        <w:t>Total organic product producing methane from industrial wastewater, from 1990 to 2023</w:t>
      </w:r>
      <w:bookmarkEnd w:id="2870"/>
    </w:p>
    <w:tbl>
      <w:tblPr>
        <w:tblW w:w="8494"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495"/>
        <w:gridCol w:w="1825"/>
        <w:gridCol w:w="2351"/>
        <w:gridCol w:w="2133"/>
        <w:gridCol w:w="1690"/>
      </w:tblGrid>
      <w:tr w:rsidR="00BC0FD7" w:rsidRPr="001D5327" w14:paraId="1070D6E3" w14:textId="77777777" w:rsidTr="006F6F93">
        <w:trPr>
          <w:tblHeader/>
        </w:trPr>
        <w:tc>
          <w:tcPr>
            <w:tcW w:w="0" w:type="auto"/>
            <w:shd w:val="clear" w:color="auto" w:fill="1B556B"/>
            <w:tcMar>
              <w:top w:w="0" w:type="dxa"/>
              <w:left w:w="85" w:type="dxa"/>
              <w:bottom w:w="0" w:type="dxa"/>
              <w:right w:w="85" w:type="dxa"/>
            </w:tcMar>
            <w:vAlign w:val="bottom"/>
          </w:tcPr>
          <w:p w14:paraId="7E561F16" w14:textId="77777777" w:rsidR="00BC0FD7" w:rsidRPr="001D5327" w:rsidRDefault="00BC0FD7" w:rsidP="00BA0D88">
            <w:pPr>
              <w:pStyle w:val="TableTextBold"/>
              <w:spacing w:before="40" w:after="40"/>
              <w:rPr>
                <w:rFonts w:cs="Calibri"/>
                <w:noProof w:val="0"/>
                <w:color w:val="FFFFFF" w:themeColor="background1"/>
                <w:szCs w:val="16"/>
              </w:rPr>
            </w:pPr>
            <w:r w:rsidRPr="001D5327">
              <w:rPr>
                <w:rFonts w:eastAsia="Calibri" w:cs="Calibri"/>
                <w:noProof w:val="0"/>
                <w:color w:val="FFFFFF" w:themeColor="background1"/>
                <w:szCs w:val="16"/>
              </w:rPr>
              <w:t>Year</w:t>
            </w:r>
          </w:p>
        </w:tc>
        <w:tc>
          <w:tcPr>
            <w:tcW w:w="0" w:type="auto"/>
            <w:shd w:val="clear" w:color="auto" w:fill="1B556B"/>
            <w:tcMar>
              <w:top w:w="0" w:type="dxa"/>
              <w:left w:w="85" w:type="dxa"/>
              <w:bottom w:w="0" w:type="dxa"/>
              <w:right w:w="85" w:type="dxa"/>
            </w:tcMar>
            <w:vAlign w:val="bottom"/>
          </w:tcPr>
          <w:p w14:paraId="48F39590" w14:textId="77777777" w:rsidR="00BC0FD7" w:rsidRPr="001D5327" w:rsidRDefault="00BC0FD7" w:rsidP="00BA0D88">
            <w:pPr>
              <w:pStyle w:val="TableTextBold"/>
              <w:spacing w:before="40" w:after="40"/>
              <w:jc w:val="right"/>
              <w:rPr>
                <w:rFonts w:cs="Calibri"/>
                <w:noProof w:val="0"/>
                <w:color w:val="FFFFFF" w:themeColor="background1"/>
                <w:szCs w:val="16"/>
              </w:rPr>
            </w:pPr>
            <w:r w:rsidRPr="001D5327">
              <w:rPr>
                <w:rFonts w:eastAsia="Calibri" w:cs="Calibri"/>
                <w:noProof w:val="0"/>
                <w:color w:val="FFFFFF" w:themeColor="background1"/>
                <w:szCs w:val="16"/>
              </w:rPr>
              <w:t>Meat industries TOW (kt)</w:t>
            </w:r>
          </w:p>
        </w:tc>
        <w:tc>
          <w:tcPr>
            <w:tcW w:w="0" w:type="auto"/>
            <w:shd w:val="clear" w:color="auto" w:fill="1B556B"/>
            <w:tcMar>
              <w:top w:w="0" w:type="dxa"/>
              <w:left w:w="85" w:type="dxa"/>
              <w:bottom w:w="0" w:type="dxa"/>
              <w:right w:w="85" w:type="dxa"/>
            </w:tcMar>
            <w:vAlign w:val="bottom"/>
          </w:tcPr>
          <w:p w14:paraId="43BD97D8" w14:textId="77777777" w:rsidR="00BC0FD7" w:rsidRPr="001D5327" w:rsidRDefault="00BC0FD7" w:rsidP="00BA0D88">
            <w:pPr>
              <w:pStyle w:val="TableTextBold"/>
              <w:spacing w:before="40" w:after="40"/>
              <w:jc w:val="right"/>
              <w:rPr>
                <w:rFonts w:cs="Calibri"/>
                <w:noProof w:val="0"/>
                <w:color w:val="FFFFFF" w:themeColor="background1"/>
                <w:szCs w:val="16"/>
              </w:rPr>
            </w:pPr>
            <w:r w:rsidRPr="001D5327">
              <w:rPr>
                <w:rFonts w:eastAsia="Calibri" w:cs="Calibri"/>
                <w:noProof w:val="0"/>
                <w:color w:val="FFFFFF" w:themeColor="background1"/>
                <w:szCs w:val="16"/>
              </w:rPr>
              <w:t>Pulp and paper industry TOW (kt)</w:t>
            </w:r>
          </w:p>
        </w:tc>
        <w:tc>
          <w:tcPr>
            <w:tcW w:w="2133" w:type="dxa"/>
            <w:shd w:val="clear" w:color="auto" w:fill="1B556B"/>
            <w:tcMar>
              <w:top w:w="0" w:type="dxa"/>
              <w:left w:w="85" w:type="dxa"/>
              <w:bottom w:w="0" w:type="dxa"/>
              <w:right w:w="85" w:type="dxa"/>
            </w:tcMar>
            <w:vAlign w:val="bottom"/>
          </w:tcPr>
          <w:p w14:paraId="5B770DD6" w14:textId="307DE707" w:rsidR="00BC0FD7" w:rsidRPr="001D5327" w:rsidRDefault="00BC0FD7" w:rsidP="00BA0D88">
            <w:pPr>
              <w:pStyle w:val="TableTextBold"/>
              <w:spacing w:before="40" w:after="40"/>
              <w:jc w:val="right"/>
              <w:rPr>
                <w:rFonts w:cs="Calibri"/>
                <w:noProof w:val="0"/>
                <w:color w:val="FFFFFF" w:themeColor="background1"/>
                <w:szCs w:val="16"/>
              </w:rPr>
            </w:pPr>
            <w:r w:rsidRPr="001D5327">
              <w:rPr>
                <w:rFonts w:eastAsia="Calibri" w:cs="Calibri"/>
                <w:noProof w:val="0"/>
                <w:color w:val="FFFFFF" w:themeColor="background1"/>
                <w:szCs w:val="16"/>
              </w:rPr>
              <w:t>All other industries TOW </w:t>
            </w:r>
            <w:r w:rsidR="00F225F0" w:rsidRPr="001D5327">
              <w:rPr>
                <w:rFonts w:eastAsia="Calibri" w:cs="Calibri"/>
                <w:noProof w:val="0"/>
                <w:color w:val="FFFFFF" w:themeColor="background1"/>
                <w:szCs w:val="16"/>
              </w:rPr>
              <w:br/>
            </w:r>
            <w:r w:rsidRPr="001D5327">
              <w:rPr>
                <w:rFonts w:eastAsia="Calibri" w:cs="Calibri"/>
                <w:noProof w:val="0"/>
                <w:color w:val="FFFFFF" w:themeColor="background1"/>
                <w:szCs w:val="16"/>
              </w:rPr>
              <w:t>(kt)</w:t>
            </w:r>
          </w:p>
        </w:tc>
        <w:tc>
          <w:tcPr>
            <w:tcW w:w="1690" w:type="dxa"/>
            <w:shd w:val="clear" w:color="auto" w:fill="1B556B"/>
            <w:tcMar>
              <w:top w:w="0" w:type="dxa"/>
              <w:left w:w="85" w:type="dxa"/>
              <w:bottom w:w="0" w:type="dxa"/>
              <w:right w:w="85" w:type="dxa"/>
            </w:tcMar>
            <w:vAlign w:val="bottom"/>
          </w:tcPr>
          <w:p w14:paraId="015AB8D1" w14:textId="77777777" w:rsidR="00BC0FD7" w:rsidRPr="001D5327" w:rsidRDefault="00BC0FD7" w:rsidP="00BA0D88">
            <w:pPr>
              <w:pStyle w:val="TableTextBold"/>
              <w:spacing w:before="40" w:after="40"/>
              <w:jc w:val="right"/>
              <w:rPr>
                <w:rFonts w:cs="Calibri"/>
                <w:noProof w:val="0"/>
                <w:color w:val="FFFFFF" w:themeColor="background1"/>
                <w:szCs w:val="16"/>
              </w:rPr>
            </w:pPr>
            <w:r w:rsidRPr="001D5327">
              <w:rPr>
                <w:rFonts w:eastAsia="Calibri" w:cs="Calibri"/>
                <w:noProof w:val="0"/>
                <w:color w:val="FFFFFF" w:themeColor="background1"/>
                <w:szCs w:val="16"/>
              </w:rPr>
              <w:t>Total industrial TOW (kt)</w:t>
            </w:r>
          </w:p>
        </w:tc>
      </w:tr>
      <w:tr w:rsidR="00BC0FD7" w:rsidRPr="001D5327" w14:paraId="78FD04E7" w14:textId="77777777" w:rsidTr="006F6F93">
        <w:tc>
          <w:tcPr>
            <w:tcW w:w="0" w:type="auto"/>
            <w:shd w:val="clear" w:color="auto" w:fill="FFFFFF"/>
            <w:tcMar>
              <w:top w:w="0" w:type="dxa"/>
              <w:left w:w="85" w:type="dxa"/>
              <w:bottom w:w="0" w:type="dxa"/>
              <w:right w:w="85" w:type="dxa"/>
            </w:tcMar>
          </w:tcPr>
          <w:p w14:paraId="53F07557" w14:textId="77777777" w:rsidR="00BC0FD7" w:rsidRPr="001D5327" w:rsidRDefault="00BC0FD7" w:rsidP="00BA0D88">
            <w:pPr>
              <w:pStyle w:val="Tableboldblue"/>
              <w:spacing w:before="40" w:after="40"/>
              <w:rPr>
                <w:rFonts w:cs="Calibri"/>
                <w:szCs w:val="16"/>
              </w:rPr>
            </w:pPr>
            <w:r w:rsidRPr="001D5327">
              <w:rPr>
                <w:rFonts w:cs="Calibri"/>
                <w:color w:val="1B556B"/>
                <w:szCs w:val="16"/>
              </w:rPr>
              <w:t>1990</w:t>
            </w:r>
          </w:p>
        </w:tc>
        <w:tc>
          <w:tcPr>
            <w:tcW w:w="0" w:type="auto"/>
            <w:shd w:val="clear" w:color="auto" w:fill="FFFFFF"/>
            <w:tcMar>
              <w:top w:w="0" w:type="dxa"/>
              <w:left w:w="85" w:type="dxa"/>
              <w:bottom w:w="0" w:type="dxa"/>
              <w:right w:w="85" w:type="dxa"/>
            </w:tcMar>
          </w:tcPr>
          <w:p w14:paraId="4AD27CC2"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55.6</w:t>
            </w:r>
          </w:p>
        </w:tc>
        <w:tc>
          <w:tcPr>
            <w:tcW w:w="0" w:type="auto"/>
            <w:shd w:val="clear" w:color="auto" w:fill="FFFFFF"/>
            <w:tcMar>
              <w:top w:w="0" w:type="dxa"/>
              <w:left w:w="85" w:type="dxa"/>
              <w:bottom w:w="0" w:type="dxa"/>
              <w:right w:w="85" w:type="dxa"/>
            </w:tcMar>
          </w:tcPr>
          <w:p w14:paraId="08090116"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76.7</w:t>
            </w:r>
          </w:p>
        </w:tc>
        <w:tc>
          <w:tcPr>
            <w:tcW w:w="2133" w:type="dxa"/>
            <w:shd w:val="clear" w:color="auto" w:fill="FFFFFF"/>
            <w:tcMar>
              <w:top w:w="0" w:type="dxa"/>
              <w:left w:w="85" w:type="dxa"/>
              <w:bottom w:w="0" w:type="dxa"/>
              <w:right w:w="85" w:type="dxa"/>
            </w:tcMar>
          </w:tcPr>
          <w:p w14:paraId="5C7B5DF7"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20.2</w:t>
            </w:r>
          </w:p>
        </w:tc>
        <w:tc>
          <w:tcPr>
            <w:tcW w:w="1690" w:type="dxa"/>
            <w:shd w:val="clear" w:color="auto" w:fill="FFFFFF"/>
            <w:tcMar>
              <w:top w:w="0" w:type="dxa"/>
              <w:left w:w="85" w:type="dxa"/>
              <w:bottom w:w="0" w:type="dxa"/>
              <w:right w:w="85" w:type="dxa"/>
            </w:tcMar>
          </w:tcPr>
          <w:p w14:paraId="03D0B6AF"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152.5</w:t>
            </w:r>
          </w:p>
        </w:tc>
      </w:tr>
      <w:tr w:rsidR="00BC0FD7" w:rsidRPr="001D5327" w14:paraId="429F1FDA" w14:textId="77777777" w:rsidTr="006F6F93">
        <w:tc>
          <w:tcPr>
            <w:tcW w:w="0" w:type="auto"/>
            <w:shd w:val="clear" w:color="auto" w:fill="FFFFFF"/>
            <w:tcMar>
              <w:top w:w="0" w:type="dxa"/>
              <w:left w:w="85" w:type="dxa"/>
              <w:bottom w:w="0" w:type="dxa"/>
              <w:right w:w="85" w:type="dxa"/>
            </w:tcMar>
          </w:tcPr>
          <w:p w14:paraId="1DB20E00" w14:textId="77777777" w:rsidR="00BC0FD7" w:rsidRPr="001D5327" w:rsidRDefault="00BC0FD7" w:rsidP="00BA0D88">
            <w:pPr>
              <w:pStyle w:val="Tableboldblue"/>
              <w:spacing w:before="40" w:after="40"/>
              <w:rPr>
                <w:rFonts w:cs="Calibri"/>
                <w:szCs w:val="16"/>
              </w:rPr>
            </w:pPr>
            <w:r w:rsidRPr="001D5327">
              <w:rPr>
                <w:rFonts w:cs="Calibri"/>
                <w:color w:val="1B556B"/>
                <w:szCs w:val="16"/>
              </w:rPr>
              <w:t>1991</w:t>
            </w:r>
          </w:p>
        </w:tc>
        <w:tc>
          <w:tcPr>
            <w:tcW w:w="0" w:type="auto"/>
            <w:shd w:val="clear" w:color="auto" w:fill="FFFFFF"/>
            <w:tcMar>
              <w:top w:w="0" w:type="dxa"/>
              <w:left w:w="85" w:type="dxa"/>
              <w:bottom w:w="0" w:type="dxa"/>
              <w:right w:w="85" w:type="dxa"/>
            </w:tcMar>
          </w:tcPr>
          <w:p w14:paraId="52CFE80C"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59.2</w:t>
            </w:r>
          </w:p>
        </w:tc>
        <w:tc>
          <w:tcPr>
            <w:tcW w:w="0" w:type="auto"/>
            <w:shd w:val="clear" w:color="auto" w:fill="FFFFFF"/>
            <w:tcMar>
              <w:top w:w="0" w:type="dxa"/>
              <w:left w:w="85" w:type="dxa"/>
              <w:bottom w:w="0" w:type="dxa"/>
              <w:right w:w="85" w:type="dxa"/>
            </w:tcMar>
          </w:tcPr>
          <w:p w14:paraId="0D05EA3B"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76.3</w:t>
            </w:r>
          </w:p>
        </w:tc>
        <w:tc>
          <w:tcPr>
            <w:tcW w:w="2133" w:type="dxa"/>
            <w:shd w:val="clear" w:color="auto" w:fill="FFFFFF"/>
            <w:tcMar>
              <w:top w:w="0" w:type="dxa"/>
              <w:left w:w="85" w:type="dxa"/>
              <w:bottom w:w="0" w:type="dxa"/>
              <w:right w:w="85" w:type="dxa"/>
            </w:tcMar>
          </w:tcPr>
          <w:p w14:paraId="36F7930E"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18.8</w:t>
            </w:r>
          </w:p>
        </w:tc>
        <w:tc>
          <w:tcPr>
            <w:tcW w:w="1690" w:type="dxa"/>
            <w:shd w:val="clear" w:color="auto" w:fill="FFFFFF"/>
            <w:tcMar>
              <w:top w:w="0" w:type="dxa"/>
              <w:left w:w="85" w:type="dxa"/>
              <w:bottom w:w="0" w:type="dxa"/>
              <w:right w:w="85" w:type="dxa"/>
            </w:tcMar>
          </w:tcPr>
          <w:p w14:paraId="52D14DB6"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154.2</w:t>
            </w:r>
          </w:p>
        </w:tc>
      </w:tr>
      <w:tr w:rsidR="00BC0FD7" w:rsidRPr="001D5327" w14:paraId="63ADE6A8" w14:textId="77777777" w:rsidTr="006F6F93">
        <w:tc>
          <w:tcPr>
            <w:tcW w:w="0" w:type="auto"/>
            <w:shd w:val="clear" w:color="auto" w:fill="FFFFFF"/>
            <w:tcMar>
              <w:top w:w="0" w:type="dxa"/>
              <w:left w:w="85" w:type="dxa"/>
              <w:bottom w:w="0" w:type="dxa"/>
              <w:right w:w="85" w:type="dxa"/>
            </w:tcMar>
          </w:tcPr>
          <w:p w14:paraId="6D95B4C6" w14:textId="77777777" w:rsidR="00BC0FD7" w:rsidRPr="001D5327" w:rsidRDefault="00BC0FD7" w:rsidP="00BA0D88">
            <w:pPr>
              <w:pStyle w:val="Tableboldblue"/>
              <w:spacing w:before="40" w:after="40"/>
              <w:rPr>
                <w:rFonts w:cs="Calibri"/>
                <w:szCs w:val="16"/>
              </w:rPr>
            </w:pPr>
            <w:r w:rsidRPr="001D5327">
              <w:rPr>
                <w:rFonts w:cs="Calibri"/>
                <w:color w:val="1B556B"/>
                <w:szCs w:val="16"/>
              </w:rPr>
              <w:t>1992</w:t>
            </w:r>
          </w:p>
        </w:tc>
        <w:tc>
          <w:tcPr>
            <w:tcW w:w="0" w:type="auto"/>
            <w:shd w:val="clear" w:color="auto" w:fill="FFFFFF"/>
            <w:tcMar>
              <w:top w:w="0" w:type="dxa"/>
              <w:left w:w="85" w:type="dxa"/>
              <w:bottom w:w="0" w:type="dxa"/>
              <w:right w:w="85" w:type="dxa"/>
            </w:tcMar>
          </w:tcPr>
          <w:p w14:paraId="2345142E"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64.1</w:t>
            </w:r>
          </w:p>
        </w:tc>
        <w:tc>
          <w:tcPr>
            <w:tcW w:w="0" w:type="auto"/>
            <w:shd w:val="clear" w:color="auto" w:fill="FFFFFF"/>
            <w:tcMar>
              <w:top w:w="0" w:type="dxa"/>
              <w:left w:w="85" w:type="dxa"/>
              <w:bottom w:w="0" w:type="dxa"/>
              <w:right w:w="85" w:type="dxa"/>
            </w:tcMar>
          </w:tcPr>
          <w:p w14:paraId="2C23F31E"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72.7</w:t>
            </w:r>
          </w:p>
        </w:tc>
        <w:tc>
          <w:tcPr>
            <w:tcW w:w="2133" w:type="dxa"/>
            <w:shd w:val="clear" w:color="auto" w:fill="FFFFFF"/>
            <w:tcMar>
              <w:top w:w="0" w:type="dxa"/>
              <w:left w:w="85" w:type="dxa"/>
              <w:bottom w:w="0" w:type="dxa"/>
              <w:right w:w="85" w:type="dxa"/>
            </w:tcMar>
          </w:tcPr>
          <w:p w14:paraId="7A328788"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17.2</w:t>
            </w:r>
          </w:p>
        </w:tc>
        <w:tc>
          <w:tcPr>
            <w:tcW w:w="1690" w:type="dxa"/>
            <w:shd w:val="clear" w:color="auto" w:fill="FFFFFF"/>
            <w:tcMar>
              <w:top w:w="0" w:type="dxa"/>
              <w:left w:w="85" w:type="dxa"/>
              <w:bottom w:w="0" w:type="dxa"/>
              <w:right w:w="85" w:type="dxa"/>
            </w:tcMar>
          </w:tcPr>
          <w:p w14:paraId="7F86711A"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154.1</w:t>
            </w:r>
          </w:p>
        </w:tc>
      </w:tr>
      <w:tr w:rsidR="00BC0FD7" w:rsidRPr="001D5327" w14:paraId="70A2C4A6" w14:textId="77777777" w:rsidTr="006F6F93">
        <w:tc>
          <w:tcPr>
            <w:tcW w:w="0" w:type="auto"/>
            <w:shd w:val="clear" w:color="auto" w:fill="FFFFFF"/>
            <w:tcMar>
              <w:top w:w="0" w:type="dxa"/>
              <w:left w:w="85" w:type="dxa"/>
              <w:bottom w:w="0" w:type="dxa"/>
              <w:right w:w="85" w:type="dxa"/>
            </w:tcMar>
          </w:tcPr>
          <w:p w14:paraId="2176B0BF" w14:textId="77777777" w:rsidR="00BC0FD7" w:rsidRPr="001D5327" w:rsidRDefault="00BC0FD7" w:rsidP="00BA0D88">
            <w:pPr>
              <w:pStyle w:val="Tableboldblue"/>
              <w:spacing w:before="40" w:after="40"/>
              <w:rPr>
                <w:rFonts w:cs="Calibri"/>
                <w:szCs w:val="16"/>
              </w:rPr>
            </w:pPr>
            <w:r w:rsidRPr="001D5327">
              <w:rPr>
                <w:rFonts w:cs="Calibri"/>
                <w:color w:val="1B556B"/>
                <w:szCs w:val="16"/>
              </w:rPr>
              <w:t>1993</w:t>
            </w:r>
          </w:p>
        </w:tc>
        <w:tc>
          <w:tcPr>
            <w:tcW w:w="0" w:type="auto"/>
            <w:shd w:val="clear" w:color="auto" w:fill="FFFFFF"/>
            <w:tcMar>
              <w:top w:w="0" w:type="dxa"/>
              <w:left w:w="85" w:type="dxa"/>
              <w:bottom w:w="0" w:type="dxa"/>
              <w:right w:w="85" w:type="dxa"/>
            </w:tcMar>
          </w:tcPr>
          <w:p w14:paraId="61675093"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59.3</w:t>
            </w:r>
          </w:p>
        </w:tc>
        <w:tc>
          <w:tcPr>
            <w:tcW w:w="0" w:type="auto"/>
            <w:shd w:val="clear" w:color="auto" w:fill="FFFFFF"/>
            <w:tcMar>
              <w:top w:w="0" w:type="dxa"/>
              <w:left w:w="85" w:type="dxa"/>
              <w:bottom w:w="0" w:type="dxa"/>
              <w:right w:w="85" w:type="dxa"/>
            </w:tcMar>
          </w:tcPr>
          <w:p w14:paraId="538AF24A"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79.3</w:t>
            </w:r>
          </w:p>
        </w:tc>
        <w:tc>
          <w:tcPr>
            <w:tcW w:w="2133" w:type="dxa"/>
            <w:shd w:val="clear" w:color="auto" w:fill="FFFFFF"/>
            <w:tcMar>
              <w:top w:w="0" w:type="dxa"/>
              <w:left w:w="85" w:type="dxa"/>
              <w:bottom w:w="0" w:type="dxa"/>
              <w:right w:w="85" w:type="dxa"/>
            </w:tcMar>
          </w:tcPr>
          <w:p w14:paraId="147DE763"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15.7</w:t>
            </w:r>
          </w:p>
        </w:tc>
        <w:tc>
          <w:tcPr>
            <w:tcW w:w="1690" w:type="dxa"/>
            <w:shd w:val="clear" w:color="auto" w:fill="FFFFFF"/>
            <w:tcMar>
              <w:top w:w="0" w:type="dxa"/>
              <w:left w:w="85" w:type="dxa"/>
              <w:bottom w:w="0" w:type="dxa"/>
              <w:right w:w="85" w:type="dxa"/>
            </w:tcMar>
          </w:tcPr>
          <w:p w14:paraId="3D228706"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154.3</w:t>
            </w:r>
          </w:p>
        </w:tc>
      </w:tr>
      <w:tr w:rsidR="00BC0FD7" w:rsidRPr="001D5327" w14:paraId="0F02F5FA" w14:textId="77777777" w:rsidTr="006F6F93">
        <w:tc>
          <w:tcPr>
            <w:tcW w:w="0" w:type="auto"/>
            <w:shd w:val="clear" w:color="auto" w:fill="FFFFFF"/>
            <w:tcMar>
              <w:top w:w="0" w:type="dxa"/>
              <w:left w:w="85" w:type="dxa"/>
              <w:bottom w:w="0" w:type="dxa"/>
              <w:right w:w="85" w:type="dxa"/>
            </w:tcMar>
          </w:tcPr>
          <w:p w14:paraId="2F5EFB7B" w14:textId="77777777" w:rsidR="00BC0FD7" w:rsidRPr="001D5327" w:rsidRDefault="00BC0FD7" w:rsidP="00BA0D88">
            <w:pPr>
              <w:pStyle w:val="Tableboldblue"/>
              <w:spacing w:before="40" w:after="40"/>
              <w:rPr>
                <w:rFonts w:cs="Calibri"/>
                <w:szCs w:val="16"/>
              </w:rPr>
            </w:pPr>
            <w:r w:rsidRPr="001D5327">
              <w:rPr>
                <w:rFonts w:cs="Calibri"/>
                <w:color w:val="1B556B"/>
                <w:szCs w:val="16"/>
              </w:rPr>
              <w:t>1994</w:t>
            </w:r>
          </w:p>
        </w:tc>
        <w:tc>
          <w:tcPr>
            <w:tcW w:w="0" w:type="auto"/>
            <w:shd w:val="clear" w:color="auto" w:fill="FFFFFF"/>
            <w:tcMar>
              <w:top w:w="0" w:type="dxa"/>
              <w:left w:w="85" w:type="dxa"/>
              <w:bottom w:w="0" w:type="dxa"/>
              <w:right w:w="85" w:type="dxa"/>
            </w:tcMar>
          </w:tcPr>
          <w:p w14:paraId="69E27C2A"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62.1</w:t>
            </w:r>
          </w:p>
        </w:tc>
        <w:tc>
          <w:tcPr>
            <w:tcW w:w="0" w:type="auto"/>
            <w:shd w:val="clear" w:color="auto" w:fill="FFFFFF"/>
            <w:tcMar>
              <w:top w:w="0" w:type="dxa"/>
              <w:left w:w="85" w:type="dxa"/>
              <w:bottom w:w="0" w:type="dxa"/>
              <w:right w:w="85" w:type="dxa"/>
            </w:tcMar>
          </w:tcPr>
          <w:p w14:paraId="30C25956"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80.0</w:t>
            </w:r>
          </w:p>
        </w:tc>
        <w:tc>
          <w:tcPr>
            <w:tcW w:w="2133" w:type="dxa"/>
            <w:shd w:val="clear" w:color="auto" w:fill="FFFFFF"/>
            <w:tcMar>
              <w:top w:w="0" w:type="dxa"/>
              <w:left w:w="85" w:type="dxa"/>
              <w:bottom w:w="0" w:type="dxa"/>
              <w:right w:w="85" w:type="dxa"/>
            </w:tcMar>
          </w:tcPr>
          <w:p w14:paraId="2AE9F84F"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14.4</w:t>
            </w:r>
          </w:p>
        </w:tc>
        <w:tc>
          <w:tcPr>
            <w:tcW w:w="1690" w:type="dxa"/>
            <w:shd w:val="clear" w:color="auto" w:fill="FFFFFF"/>
            <w:tcMar>
              <w:top w:w="0" w:type="dxa"/>
              <w:left w:w="85" w:type="dxa"/>
              <w:bottom w:w="0" w:type="dxa"/>
              <w:right w:w="85" w:type="dxa"/>
            </w:tcMar>
          </w:tcPr>
          <w:p w14:paraId="6CE7ADC9"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156.5</w:t>
            </w:r>
          </w:p>
        </w:tc>
      </w:tr>
      <w:tr w:rsidR="00BC0FD7" w:rsidRPr="001D5327" w14:paraId="4A605416" w14:textId="77777777" w:rsidTr="006F6F93">
        <w:tc>
          <w:tcPr>
            <w:tcW w:w="0" w:type="auto"/>
            <w:shd w:val="clear" w:color="auto" w:fill="FFFFFF"/>
            <w:tcMar>
              <w:top w:w="0" w:type="dxa"/>
              <w:left w:w="85" w:type="dxa"/>
              <w:bottom w:w="0" w:type="dxa"/>
              <w:right w:w="85" w:type="dxa"/>
            </w:tcMar>
          </w:tcPr>
          <w:p w14:paraId="7FA33854" w14:textId="77777777" w:rsidR="00BC0FD7" w:rsidRPr="001D5327" w:rsidRDefault="00BC0FD7" w:rsidP="00BA0D88">
            <w:pPr>
              <w:pStyle w:val="Tableboldblue"/>
              <w:spacing w:before="40" w:after="40"/>
              <w:rPr>
                <w:rFonts w:cs="Calibri"/>
                <w:szCs w:val="16"/>
              </w:rPr>
            </w:pPr>
            <w:r w:rsidRPr="001D5327">
              <w:rPr>
                <w:rFonts w:cs="Calibri"/>
                <w:color w:val="1B556B"/>
                <w:szCs w:val="16"/>
              </w:rPr>
              <w:t>1995</w:t>
            </w:r>
          </w:p>
        </w:tc>
        <w:tc>
          <w:tcPr>
            <w:tcW w:w="0" w:type="auto"/>
            <w:shd w:val="clear" w:color="auto" w:fill="FFFFFF"/>
            <w:tcMar>
              <w:top w:w="0" w:type="dxa"/>
              <w:left w:w="85" w:type="dxa"/>
              <w:bottom w:w="0" w:type="dxa"/>
              <w:right w:w="85" w:type="dxa"/>
            </w:tcMar>
          </w:tcPr>
          <w:p w14:paraId="33B4FDC8"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64.5</w:t>
            </w:r>
          </w:p>
        </w:tc>
        <w:tc>
          <w:tcPr>
            <w:tcW w:w="0" w:type="auto"/>
            <w:shd w:val="clear" w:color="auto" w:fill="FFFFFF"/>
            <w:tcMar>
              <w:top w:w="0" w:type="dxa"/>
              <w:left w:w="85" w:type="dxa"/>
              <w:bottom w:w="0" w:type="dxa"/>
              <w:right w:w="85" w:type="dxa"/>
            </w:tcMar>
          </w:tcPr>
          <w:p w14:paraId="4178A085"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83.3</w:t>
            </w:r>
          </w:p>
        </w:tc>
        <w:tc>
          <w:tcPr>
            <w:tcW w:w="2133" w:type="dxa"/>
            <w:shd w:val="clear" w:color="auto" w:fill="FFFFFF"/>
            <w:tcMar>
              <w:top w:w="0" w:type="dxa"/>
              <w:left w:w="85" w:type="dxa"/>
              <w:bottom w:w="0" w:type="dxa"/>
              <w:right w:w="85" w:type="dxa"/>
            </w:tcMar>
          </w:tcPr>
          <w:p w14:paraId="4BB2F75E"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13.3</w:t>
            </w:r>
          </w:p>
        </w:tc>
        <w:tc>
          <w:tcPr>
            <w:tcW w:w="1690" w:type="dxa"/>
            <w:shd w:val="clear" w:color="auto" w:fill="FFFFFF"/>
            <w:tcMar>
              <w:top w:w="0" w:type="dxa"/>
              <w:left w:w="85" w:type="dxa"/>
              <w:bottom w:w="0" w:type="dxa"/>
              <w:right w:w="85" w:type="dxa"/>
            </w:tcMar>
          </w:tcPr>
          <w:p w14:paraId="2BC89DF4"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161.1</w:t>
            </w:r>
          </w:p>
        </w:tc>
      </w:tr>
      <w:tr w:rsidR="00BC0FD7" w:rsidRPr="001D5327" w14:paraId="639B5EF2" w14:textId="77777777" w:rsidTr="006F6F93">
        <w:tc>
          <w:tcPr>
            <w:tcW w:w="0" w:type="auto"/>
            <w:shd w:val="clear" w:color="auto" w:fill="FFFFFF"/>
            <w:tcMar>
              <w:top w:w="0" w:type="dxa"/>
              <w:left w:w="85" w:type="dxa"/>
              <w:bottom w:w="0" w:type="dxa"/>
              <w:right w:w="85" w:type="dxa"/>
            </w:tcMar>
          </w:tcPr>
          <w:p w14:paraId="6C869D8A" w14:textId="77777777" w:rsidR="00BC0FD7" w:rsidRPr="001D5327" w:rsidRDefault="00BC0FD7" w:rsidP="00BA0D88">
            <w:pPr>
              <w:pStyle w:val="Tableboldblue"/>
              <w:spacing w:before="40" w:after="40"/>
              <w:rPr>
                <w:rFonts w:cs="Calibri"/>
                <w:szCs w:val="16"/>
              </w:rPr>
            </w:pPr>
            <w:r w:rsidRPr="001D5327">
              <w:rPr>
                <w:rFonts w:cs="Calibri"/>
                <w:color w:val="1B556B"/>
                <w:szCs w:val="16"/>
              </w:rPr>
              <w:t>1996</w:t>
            </w:r>
          </w:p>
        </w:tc>
        <w:tc>
          <w:tcPr>
            <w:tcW w:w="0" w:type="auto"/>
            <w:shd w:val="clear" w:color="auto" w:fill="FFFFFF"/>
            <w:tcMar>
              <w:top w:w="0" w:type="dxa"/>
              <w:left w:w="85" w:type="dxa"/>
              <w:bottom w:w="0" w:type="dxa"/>
              <w:right w:w="85" w:type="dxa"/>
            </w:tcMar>
          </w:tcPr>
          <w:p w14:paraId="0356B744"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65.7</w:t>
            </w:r>
          </w:p>
        </w:tc>
        <w:tc>
          <w:tcPr>
            <w:tcW w:w="0" w:type="auto"/>
            <w:shd w:val="clear" w:color="auto" w:fill="FFFFFF"/>
            <w:tcMar>
              <w:top w:w="0" w:type="dxa"/>
              <w:left w:w="85" w:type="dxa"/>
              <w:bottom w:w="0" w:type="dxa"/>
              <w:right w:w="85" w:type="dxa"/>
            </w:tcMar>
          </w:tcPr>
          <w:p w14:paraId="30C15032"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79.9</w:t>
            </w:r>
          </w:p>
        </w:tc>
        <w:tc>
          <w:tcPr>
            <w:tcW w:w="2133" w:type="dxa"/>
            <w:shd w:val="clear" w:color="auto" w:fill="FFFFFF"/>
            <w:tcMar>
              <w:top w:w="0" w:type="dxa"/>
              <w:left w:w="85" w:type="dxa"/>
              <w:bottom w:w="0" w:type="dxa"/>
              <w:right w:w="85" w:type="dxa"/>
            </w:tcMar>
          </w:tcPr>
          <w:p w14:paraId="032E5341"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11.9</w:t>
            </w:r>
          </w:p>
        </w:tc>
        <w:tc>
          <w:tcPr>
            <w:tcW w:w="1690" w:type="dxa"/>
            <w:shd w:val="clear" w:color="auto" w:fill="FFFFFF"/>
            <w:tcMar>
              <w:top w:w="0" w:type="dxa"/>
              <w:left w:w="85" w:type="dxa"/>
              <w:bottom w:w="0" w:type="dxa"/>
              <w:right w:w="85" w:type="dxa"/>
            </w:tcMar>
          </w:tcPr>
          <w:p w14:paraId="233C83DC"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157.6</w:t>
            </w:r>
          </w:p>
        </w:tc>
      </w:tr>
      <w:tr w:rsidR="00BC0FD7" w:rsidRPr="001D5327" w14:paraId="53719B55" w14:textId="77777777" w:rsidTr="006F6F93">
        <w:tc>
          <w:tcPr>
            <w:tcW w:w="0" w:type="auto"/>
            <w:shd w:val="clear" w:color="auto" w:fill="FFFFFF"/>
            <w:tcMar>
              <w:top w:w="0" w:type="dxa"/>
              <w:left w:w="85" w:type="dxa"/>
              <w:bottom w:w="0" w:type="dxa"/>
              <w:right w:w="85" w:type="dxa"/>
            </w:tcMar>
          </w:tcPr>
          <w:p w14:paraId="5A965A74" w14:textId="77777777" w:rsidR="00BC0FD7" w:rsidRPr="001D5327" w:rsidRDefault="00BC0FD7" w:rsidP="00BA0D88">
            <w:pPr>
              <w:pStyle w:val="Tableboldblue"/>
              <w:spacing w:before="40" w:after="40"/>
              <w:rPr>
                <w:rFonts w:cs="Calibri"/>
                <w:szCs w:val="16"/>
              </w:rPr>
            </w:pPr>
            <w:r w:rsidRPr="001D5327">
              <w:rPr>
                <w:rFonts w:cs="Calibri"/>
                <w:color w:val="1B556B"/>
                <w:szCs w:val="16"/>
              </w:rPr>
              <w:t>1997</w:t>
            </w:r>
          </w:p>
        </w:tc>
        <w:tc>
          <w:tcPr>
            <w:tcW w:w="0" w:type="auto"/>
            <w:shd w:val="clear" w:color="auto" w:fill="FFFFFF"/>
            <w:tcMar>
              <w:top w:w="0" w:type="dxa"/>
              <w:left w:w="85" w:type="dxa"/>
              <w:bottom w:w="0" w:type="dxa"/>
              <w:right w:w="85" w:type="dxa"/>
            </w:tcMar>
          </w:tcPr>
          <w:p w14:paraId="55190D99"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66.6</w:t>
            </w:r>
          </w:p>
        </w:tc>
        <w:tc>
          <w:tcPr>
            <w:tcW w:w="0" w:type="auto"/>
            <w:shd w:val="clear" w:color="auto" w:fill="FFFFFF"/>
            <w:tcMar>
              <w:top w:w="0" w:type="dxa"/>
              <w:left w:w="85" w:type="dxa"/>
              <w:bottom w:w="0" w:type="dxa"/>
              <w:right w:w="85" w:type="dxa"/>
            </w:tcMar>
          </w:tcPr>
          <w:p w14:paraId="3D2B9148"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82.7</w:t>
            </w:r>
          </w:p>
        </w:tc>
        <w:tc>
          <w:tcPr>
            <w:tcW w:w="2133" w:type="dxa"/>
            <w:shd w:val="clear" w:color="auto" w:fill="FFFFFF"/>
            <w:tcMar>
              <w:top w:w="0" w:type="dxa"/>
              <w:left w:w="85" w:type="dxa"/>
              <w:bottom w:w="0" w:type="dxa"/>
              <w:right w:w="85" w:type="dxa"/>
            </w:tcMar>
          </w:tcPr>
          <w:p w14:paraId="4B7143CF"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10.3</w:t>
            </w:r>
          </w:p>
        </w:tc>
        <w:tc>
          <w:tcPr>
            <w:tcW w:w="1690" w:type="dxa"/>
            <w:shd w:val="clear" w:color="auto" w:fill="FFFFFF"/>
            <w:tcMar>
              <w:top w:w="0" w:type="dxa"/>
              <w:left w:w="85" w:type="dxa"/>
              <w:bottom w:w="0" w:type="dxa"/>
              <w:right w:w="85" w:type="dxa"/>
            </w:tcMar>
          </w:tcPr>
          <w:p w14:paraId="53432F12"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159.7</w:t>
            </w:r>
          </w:p>
        </w:tc>
      </w:tr>
      <w:tr w:rsidR="00BC0FD7" w:rsidRPr="001D5327" w14:paraId="4671C040" w14:textId="77777777" w:rsidTr="006F6F93">
        <w:tc>
          <w:tcPr>
            <w:tcW w:w="0" w:type="auto"/>
            <w:shd w:val="clear" w:color="auto" w:fill="FFFFFF"/>
            <w:tcMar>
              <w:top w:w="0" w:type="dxa"/>
              <w:left w:w="85" w:type="dxa"/>
              <w:bottom w:w="0" w:type="dxa"/>
              <w:right w:w="85" w:type="dxa"/>
            </w:tcMar>
          </w:tcPr>
          <w:p w14:paraId="4860E4E5" w14:textId="77777777" w:rsidR="00BC0FD7" w:rsidRPr="001D5327" w:rsidRDefault="00BC0FD7" w:rsidP="00BA0D88">
            <w:pPr>
              <w:pStyle w:val="Tableboldblue"/>
              <w:spacing w:before="40" w:after="40"/>
              <w:rPr>
                <w:rFonts w:cs="Calibri"/>
                <w:szCs w:val="16"/>
              </w:rPr>
            </w:pPr>
            <w:r w:rsidRPr="001D5327">
              <w:rPr>
                <w:rFonts w:cs="Calibri"/>
                <w:color w:val="1B556B"/>
                <w:szCs w:val="16"/>
              </w:rPr>
              <w:t>1998</w:t>
            </w:r>
          </w:p>
        </w:tc>
        <w:tc>
          <w:tcPr>
            <w:tcW w:w="0" w:type="auto"/>
            <w:shd w:val="clear" w:color="auto" w:fill="FFFFFF"/>
            <w:tcMar>
              <w:top w:w="0" w:type="dxa"/>
              <w:left w:w="85" w:type="dxa"/>
              <w:bottom w:w="0" w:type="dxa"/>
              <w:right w:w="85" w:type="dxa"/>
            </w:tcMar>
          </w:tcPr>
          <w:p w14:paraId="4839F6F0"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68.7</w:t>
            </w:r>
          </w:p>
        </w:tc>
        <w:tc>
          <w:tcPr>
            <w:tcW w:w="0" w:type="auto"/>
            <w:shd w:val="clear" w:color="auto" w:fill="FFFFFF"/>
            <w:tcMar>
              <w:top w:w="0" w:type="dxa"/>
              <w:left w:w="85" w:type="dxa"/>
              <w:bottom w:w="0" w:type="dxa"/>
              <w:right w:w="85" w:type="dxa"/>
            </w:tcMar>
          </w:tcPr>
          <w:p w14:paraId="72C3358B"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81.1</w:t>
            </w:r>
          </w:p>
        </w:tc>
        <w:tc>
          <w:tcPr>
            <w:tcW w:w="2133" w:type="dxa"/>
            <w:shd w:val="clear" w:color="auto" w:fill="FFFFFF"/>
            <w:tcMar>
              <w:top w:w="0" w:type="dxa"/>
              <w:left w:w="85" w:type="dxa"/>
              <w:bottom w:w="0" w:type="dxa"/>
              <w:right w:w="85" w:type="dxa"/>
            </w:tcMar>
          </w:tcPr>
          <w:p w14:paraId="45EA05F7"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9.2</w:t>
            </w:r>
          </w:p>
        </w:tc>
        <w:tc>
          <w:tcPr>
            <w:tcW w:w="1690" w:type="dxa"/>
            <w:shd w:val="clear" w:color="auto" w:fill="FFFFFF"/>
            <w:tcMar>
              <w:top w:w="0" w:type="dxa"/>
              <w:left w:w="85" w:type="dxa"/>
              <w:bottom w:w="0" w:type="dxa"/>
              <w:right w:w="85" w:type="dxa"/>
            </w:tcMar>
          </w:tcPr>
          <w:p w14:paraId="3DF3A0EF"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158.9</w:t>
            </w:r>
          </w:p>
        </w:tc>
      </w:tr>
      <w:tr w:rsidR="00BC0FD7" w:rsidRPr="001D5327" w14:paraId="6FA79D73" w14:textId="77777777" w:rsidTr="006F6F93">
        <w:tc>
          <w:tcPr>
            <w:tcW w:w="0" w:type="auto"/>
            <w:shd w:val="clear" w:color="auto" w:fill="FFFFFF"/>
            <w:tcMar>
              <w:top w:w="0" w:type="dxa"/>
              <w:left w:w="85" w:type="dxa"/>
              <w:bottom w:w="0" w:type="dxa"/>
              <w:right w:w="85" w:type="dxa"/>
            </w:tcMar>
          </w:tcPr>
          <w:p w14:paraId="14E91F69" w14:textId="77777777" w:rsidR="00BC0FD7" w:rsidRPr="001D5327" w:rsidRDefault="00BC0FD7" w:rsidP="00BA0D88">
            <w:pPr>
              <w:pStyle w:val="Tableboldblue"/>
              <w:spacing w:before="40" w:after="40"/>
              <w:rPr>
                <w:rFonts w:cs="Calibri"/>
                <w:szCs w:val="16"/>
              </w:rPr>
            </w:pPr>
            <w:r w:rsidRPr="001D5327">
              <w:rPr>
                <w:rFonts w:cs="Calibri"/>
                <w:color w:val="1B556B"/>
                <w:szCs w:val="16"/>
              </w:rPr>
              <w:t>1999</w:t>
            </w:r>
          </w:p>
        </w:tc>
        <w:tc>
          <w:tcPr>
            <w:tcW w:w="0" w:type="auto"/>
            <w:shd w:val="clear" w:color="auto" w:fill="FFFFFF"/>
            <w:tcMar>
              <w:top w:w="0" w:type="dxa"/>
              <w:left w:w="85" w:type="dxa"/>
              <w:bottom w:w="0" w:type="dxa"/>
              <w:right w:w="85" w:type="dxa"/>
            </w:tcMar>
          </w:tcPr>
          <w:p w14:paraId="4E66AF8C"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61.4</w:t>
            </w:r>
          </w:p>
        </w:tc>
        <w:tc>
          <w:tcPr>
            <w:tcW w:w="0" w:type="auto"/>
            <w:shd w:val="clear" w:color="auto" w:fill="FFFFFF"/>
            <w:tcMar>
              <w:top w:w="0" w:type="dxa"/>
              <w:left w:w="85" w:type="dxa"/>
              <w:bottom w:w="0" w:type="dxa"/>
              <w:right w:w="85" w:type="dxa"/>
            </w:tcMar>
          </w:tcPr>
          <w:p w14:paraId="546974BC"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81.9</w:t>
            </w:r>
          </w:p>
        </w:tc>
        <w:tc>
          <w:tcPr>
            <w:tcW w:w="2133" w:type="dxa"/>
            <w:shd w:val="clear" w:color="auto" w:fill="FFFFFF"/>
            <w:tcMar>
              <w:top w:w="0" w:type="dxa"/>
              <w:left w:w="85" w:type="dxa"/>
              <w:bottom w:w="0" w:type="dxa"/>
              <w:right w:w="85" w:type="dxa"/>
            </w:tcMar>
          </w:tcPr>
          <w:p w14:paraId="6CB03932"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7.8</w:t>
            </w:r>
          </w:p>
        </w:tc>
        <w:tc>
          <w:tcPr>
            <w:tcW w:w="1690" w:type="dxa"/>
            <w:shd w:val="clear" w:color="auto" w:fill="FFFFFF"/>
            <w:tcMar>
              <w:top w:w="0" w:type="dxa"/>
              <w:left w:w="85" w:type="dxa"/>
              <w:bottom w:w="0" w:type="dxa"/>
              <w:right w:w="85" w:type="dxa"/>
            </w:tcMar>
          </w:tcPr>
          <w:p w14:paraId="3F8F1864"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151.1</w:t>
            </w:r>
          </w:p>
        </w:tc>
      </w:tr>
      <w:tr w:rsidR="00BC0FD7" w:rsidRPr="001D5327" w14:paraId="55617C79" w14:textId="77777777" w:rsidTr="006F6F93">
        <w:tc>
          <w:tcPr>
            <w:tcW w:w="0" w:type="auto"/>
            <w:shd w:val="clear" w:color="auto" w:fill="FFFFFF"/>
            <w:tcMar>
              <w:top w:w="0" w:type="dxa"/>
              <w:left w:w="85" w:type="dxa"/>
              <w:bottom w:w="0" w:type="dxa"/>
              <w:right w:w="85" w:type="dxa"/>
            </w:tcMar>
          </w:tcPr>
          <w:p w14:paraId="0C503EEA" w14:textId="77777777" w:rsidR="00BC0FD7" w:rsidRPr="001D5327" w:rsidRDefault="00BC0FD7" w:rsidP="00BA0D88">
            <w:pPr>
              <w:pStyle w:val="Tableboldblue"/>
              <w:spacing w:before="40" w:after="40"/>
              <w:rPr>
                <w:rFonts w:cs="Calibri"/>
                <w:szCs w:val="16"/>
              </w:rPr>
            </w:pPr>
            <w:r w:rsidRPr="001D5327">
              <w:rPr>
                <w:rFonts w:cs="Calibri"/>
                <w:color w:val="1B556B"/>
                <w:szCs w:val="16"/>
              </w:rPr>
              <w:t>2000</w:t>
            </w:r>
          </w:p>
        </w:tc>
        <w:tc>
          <w:tcPr>
            <w:tcW w:w="0" w:type="auto"/>
            <w:shd w:val="clear" w:color="auto" w:fill="FFFFFF"/>
            <w:tcMar>
              <w:top w:w="0" w:type="dxa"/>
              <w:left w:w="85" w:type="dxa"/>
              <w:bottom w:w="0" w:type="dxa"/>
              <w:right w:w="85" w:type="dxa"/>
            </w:tcMar>
          </w:tcPr>
          <w:p w14:paraId="7D8A4D7A"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65.8</w:t>
            </w:r>
          </w:p>
        </w:tc>
        <w:tc>
          <w:tcPr>
            <w:tcW w:w="0" w:type="auto"/>
            <w:shd w:val="clear" w:color="auto" w:fill="FFFFFF"/>
            <w:tcMar>
              <w:top w:w="0" w:type="dxa"/>
              <w:left w:w="85" w:type="dxa"/>
              <w:bottom w:w="0" w:type="dxa"/>
              <w:right w:w="85" w:type="dxa"/>
            </w:tcMar>
          </w:tcPr>
          <w:p w14:paraId="3DCB438C"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89.4</w:t>
            </w:r>
          </w:p>
        </w:tc>
        <w:tc>
          <w:tcPr>
            <w:tcW w:w="2133" w:type="dxa"/>
            <w:shd w:val="clear" w:color="auto" w:fill="FFFFFF"/>
            <w:tcMar>
              <w:top w:w="0" w:type="dxa"/>
              <w:left w:w="85" w:type="dxa"/>
              <w:bottom w:w="0" w:type="dxa"/>
              <w:right w:w="85" w:type="dxa"/>
            </w:tcMar>
          </w:tcPr>
          <w:p w14:paraId="39EB2003"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6.4</w:t>
            </w:r>
          </w:p>
        </w:tc>
        <w:tc>
          <w:tcPr>
            <w:tcW w:w="1690" w:type="dxa"/>
            <w:shd w:val="clear" w:color="auto" w:fill="FFFFFF"/>
            <w:tcMar>
              <w:top w:w="0" w:type="dxa"/>
              <w:left w:w="85" w:type="dxa"/>
              <w:bottom w:w="0" w:type="dxa"/>
              <w:right w:w="85" w:type="dxa"/>
            </w:tcMar>
          </w:tcPr>
          <w:p w14:paraId="0C37D7E1"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161.6</w:t>
            </w:r>
          </w:p>
        </w:tc>
      </w:tr>
      <w:tr w:rsidR="00BC0FD7" w:rsidRPr="001D5327" w14:paraId="4D6F3F89" w14:textId="77777777" w:rsidTr="006F6F93">
        <w:tc>
          <w:tcPr>
            <w:tcW w:w="0" w:type="auto"/>
            <w:shd w:val="clear" w:color="auto" w:fill="FFFFFF"/>
            <w:tcMar>
              <w:top w:w="0" w:type="dxa"/>
              <w:left w:w="85" w:type="dxa"/>
              <w:bottom w:w="0" w:type="dxa"/>
              <w:right w:w="85" w:type="dxa"/>
            </w:tcMar>
          </w:tcPr>
          <w:p w14:paraId="17F10E78" w14:textId="77777777" w:rsidR="00BC0FD7" w:rsidRPr="001D5327" w:rsidRDefault="00BC0FD7" w:rsidP="00BA0D88">
            <w:pPr>
              <w:pStyle w:val="Tableboldblue"/>
              <w:spacing w:before="40" w:after="40"/>
              <w:rPr>
                <w:rFonts w:cs="Calibri"/>
                <w:szCs w:val="16"/>
              </w:rPr>
            </w:pPr>
            <w:r w:rsidRPr="001D5327">
              <w:rPr>
                <w:rFonts w:cs="Calibri"/>
                <w:color w:val="1B556B"/>
                <w:szCs w:val="16"/>
              </w:rPr>
              <w:t>2001</w:t>
            </w:r>
          </w:p>
        </w:tc>
        <w:tc>
          <w:tcPr>
            <w:tcW w:w="0" w:type="auto"/>
            <w:shd w:val="clear" w:color="auto" w:fill="FFFFFF"/>
            <w:tcMar>
              <w:top w:w="0" w:type="dxa"/>
              <w:left w:w="85" w:type="dxa"/>
              <w:bottom w:w="0" w:type="dxa"/>
              <w:right w:w="85" w:type="dxa"/>
            </w:tcMar>
          </w:tcPr>
          <w:p w14:paraId="15C4C346"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67.7</w:t>
            </w:r>
          </w:p>
        </w:tc>
        <w:tc>
          <w:tcPr>
            <w:tcW w:w="0" w:type="auto"/>
            <w:shd w:val="clear" w:color="auto" w:fill="FFFFFF"/>
            <w:tcMar>
              <w:top w:w="0" w:type="dxa"/>
              <w:left w:w="85" w:type="dxa"/>
              <w:bottom w:w="0" w:type="dxa"/>
              <w:right w:w="85" w:type="dxa"/>
            </w:tcMar>
          </w:tcPr>
          <w:p w14:paraId="38841851"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84.2</w:t>
            </w:r>
          </w:p>
        </w:tc>
        <w:tc>
          <w:tcPr>
            <w:tcW w:w="2133" w:type="dxa"/>
            <w:shd w:val="clear" w:color="auto" w:fill="FFFFFF"/>
            <w:tcMar>
              <w:top w:w="0" w:type="dxa"/>
              <w:left w:w="85" w:type="dxa"/>
              <w:bottom w:w="0" w:type="dxa"/>
              <w:right w:w="85" w:type="dxa"/>
            </w:tcMar>
          </w:tcPr>
          <w:p w14:paraId="3EA5A4A2"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4.9</w:t>
            </w:r>
          </w:p>
        </w:tc>
        <w:tc>
          <w:tcPr>
            <w:tcW w:w="1690" w:type="dxa"/>
            <w:shd w:val="clear" w:color="auto" w:fill="FFFFFF"/>
            <w:tcMar>
              <w:top w:w="0" w:type="dxa"/>
              <w:left w:w="85" w:type="dxa"/>
              <w:bottom w:w="0" w:type="dxa"/>
              <w:right w:w="85" w:type="dxa"/>
            </w:tcMar>
          </w:tcPr>
          <w:p w14:paraId="73A9A015"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156.8</w:t>
            </w:r>
          </w:p>
        </w:tc>
      </w:tr>
      <w:tr w:rsidR="00BC0FD7" w:rsidRPr="001D5327" w14:paraId="0DAE1FFB" w14:textId="77777777" w:rsidTr="006F6F93">
        <w:tc>
          <w:tcPr>
            <w:tcW w:w="0" w:type="auto"/>
            <w:shd w:val="clear" w:color="auto" w:fill="FFFFFF"/>
            <w:tcMar>
              <w:top w:w="0" w:type="dxa"/>
              <w:left w:w="85" w:type="dxa"/>
              <w:bottom w:w="0" w:type="dxa"/>
              <w:right w:w="85" w:type="dxa"/>
            </w:tcMar>
          </w:tcPr>
          <w:p w14:paraId="3FE558FD" w14:textId="77777777" w:rsidR="00BC0FD7" w:rsidRPr="001D5327" w:rsidRDefault="00BC0FD7" w:rsidP="00BA0D88">
            <w:pPr>
              <w:pStyle w:val="Tableboldblue"/>
              <w:spacing w:before="40" w:after="40"/>
              <w:rPr>
                <w:rFonts w:cs="Calibri"/>
                <w:szCs w:val="16"/>
              </w:rPr>
            </w:pPr>
            <w:r w:rsidRPr="001D5327">
              <w:rPr>
                <w:rFonts w:cs="Calibri"/>
                <w:color w:val="1B556B"/>
                <w:szCs w:val="16"/>
              </w:rPr>
              <w:lastRenderedPageBreak/>
              <w:t>2002</w:t>
            </w:r>
          </w:p>
        </w:tc>
        <w:tc>
          <w:tcPr>
            <w:tcW w:w="0" w:type="auto"/>
            <w:shd w:val="clear" w:color="auto" w:fill="FFFFFF"/>
            <w:tcMar>
              <w:top w:w="0" w:type="dxa"/>
              <w:left w:w="85" w:type="dxa"/>
              <w:bottom w:w="0" w:type="dxa"/>
              <w:right w:w="85" w:type="dxa"/>
            </w:tcMar>
          </w:tcPr>
          <w:p w14:paraId="5C93C32A"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65.0</w:t>
            </w:r>
          </w:p>
        </w:tc>
        <w:tc>
          <w:tcPr>
            <w:tcW w:w="0" w:type="auto"/>
            <w:shd w:val="clear" w:color="auto" w:fill="FFFFFF"/>
            <w:tcMar>
              <w:top w:w="0" w:type="dxa"/>
              <w:left w:w="85" w:type="dxa"/>
              <w:bottom w:w="0" w:type="dxa"/>
              <w:right w:w="85" w:type="dxa"/>
            </w:tcMar>
          </w:tcPr>
          <w:p w14:paraId="2BB3199F"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87.1</w:t>
            </w:r>
          </w:p>
        </w:tc>
        <w:tc>
          <w:tcPr>
            <w:tcW w:w="2133" w:type="dxa"/>
            <w:shd w:val="clear" w:color="auto" w:fill="FFFFFF"/>
            <w:tcMar>
              <w:top w:w="0" w:type="dxa"/>
              <w:left w:w="85" w:type="dxa"/>
              <w:bottom w:w="0" w:type="dxa"/>
              <w:right w:w="85" w:type="dxa"/>
            </w:tcMar>
          </w:tcPr>
          <w:p w14:paraId="10EAA9CD"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5.5</w:t>
            </w:r>
          </w:p>
        </w:tc>
        <w:tc>
          <w:tcPr>
            <w:tcW w:w="1690" w:type="dxa"/>
            <w:shd w:val="clear" w:color="auto" w:fill="FFFFFF"/>
            <w:tcMar>
              <w:top w:w="0" w:type="dxa"/>
              <w:left w:w="85" w:type="dxa"/>
              <w:bottom w:w="0" w:type="dxa"/>
              <w:right w:w="85" w:type="dxa"/>
            </w:tcMar>
          </w:tcPr>
          <w:p w14:paraId="1580EA6D"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157.6</w:t>
            </w:r>
          </w:p>
        </w:tc>
      </w:tr>
      <w:tr w:rsidR="00BC0FD7" w:rsidRPr="001D5327" w14:paraId="734DF831" w14:textId="77777777" w:rsidTr="006F6F93">
        <w:tc>
          <w:tcPr>
            <w:tcW w:w="0" w:type="auto"/>
            <w:shd w:val="clear" w:color="auto" w:fill="FFFFFF"/>
            <w:tcMar>
              <w:top w:w="0" w:type="dxa"/>
              <w:left w:w="85" w:type="dxa"/>
              <w:bottom w:w="0" w:type="dxa"/>
              <w:right w:w="85" w:type="dxa"/>
            </w:tcMar>
          </w:tcPr>
          <w:p w14:paraId="6C0DA57D" w14:textId="77777777" w:rsidR="00BC0FD7" w:rsidRPr="001D5327" w:rsidRDefault="00BC0FD7" w:rsidP="00BA0D88">
            <w:pPr>
              <w:pStyle w:val="Tableboldblue"/>
              <w:spacing w:before="40" w:after="40"/>
              <w:rPr>
                <w:rFonts w:cs="Calibri"/>
                <w:szCs w:val="16"/>
              </w:rPr>
            </w:pPr>
            <w:r w:rsidRPr="001D5327">
              <w:rPr>
                <w:rFonts w:cs="Calibri"/>
                <w:color w:val="1B556B"/>
                <w:szCs w:val="16"/>
              </w:rPr>
              <w:t>2003</w:t>
            </w:r>
          </w:p>
        </w:tc>
        <w:tc>
          <w:tcPr>
            <w:tcW w:w="0" w:type="auto"/>
            <w:shd w:val="clear" w:color="auto" w:fill="FFFFFF"/>
            <w:tcMar>
              <w:top w:w="0" w:type="dxa"/>
              <w:left w:w="85" w:type="dxa"/>
              <w:bottom w:w="0" w:type="dxa"/>
              <w:right w:w="85" w:type="dxa"/>
            </w:tcMar>
          </w:tcPr>
          <w:p w14:paraId="6292AD49"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70.1</w:t>
            </w:r>
          </w:p>
        </w:tc>
        <w:tc>
          <w:tcPr>
            <w:tcW w:w="0" w:type="auto"/>
            <w:shd w:val="clear" w:color="auto" w:fill="FFFFFF"/>
            <w:tcMar>
              <w:top w:w="0" w:type="dxa"/>
              <w:left w:w="85" w:type="dxa"/>
              <w:bottom w:w="0" w:type="dxa"/>
              <w:right w:w="85" w:type="dxa"/>
            </w:tcMar>
          </w:tcPr>
          <w:p w14:paraId="300EB38B"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80.2</w:t>
            </w:r>
          </w:p>
        </w:tc>
        <w:tc>
          <w:tcPr>
            <w:tcW w:w="2133" w:type="dxa"/>
            <w:shd w:val="clear" w:color="auto" w:fill="FFFFFF"/>
            <w:tcMar>
              <w:top w:w="0" w:type="dxa"/>
              <w:left w:w="85" w:type="dxa"/>
              <w:bottom w:w="0" w:type="dxa"/>
              <w:right w:w="85" w:type="dxa"/>
            </w:tcMar>
          </w:tcPr>
          <w:p w14:paraId="3F0AB629"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5.0</w:t>
            </w:r>
          </w:p>
        </w:tc>
        <w:tc>
          <w:tcPr>
            <w:tcW w:w="1690" w:type="dxa"/>
            <w:shd w:val="clear" w:color="auto" w:fill="FFFFFF"/>
            <w:tcMar>
              <w:top w:w="0" w:type="dxa"/>
              <w:left w:w="85" w:type="dxa"/>
              <w:bottom w:w="0" w:type="dxa"/>
              <w:right w:w="85" w:type="dxa"/>
            </w:tcMar>
          </w:tcPr>
          <w:p w14:paraId="18FB147F"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155.3</w:t>
            </w:r>
          </w:p>
        </w:tc>
      </w:tr>
      <w:tr w:rsidR="00BC0FD7" w:rsidRPr="001D5327" w14:paraId="244C16A8" w14:textId="77777777" w:rsidTr="006F6F93">
        <w:tc>
          <w:tcPr>
            <w:tcW w:w="0" w:type="auto"/>
            <w:shd w:val="clear" w:color="auto" w:fill="FFFFFF"/>
            <w:tcMar>
              <w:top w:w="0" w:type="dxa"/>
              <w:left w:w="85" w:type="dxa"/>
              <w:bottom w:w="0" w:type="dxa"/>
              <w:right w:w="85" w:type="dxa"/>
            </w:tcMar>
          </w:tcPr>
          <w:p w14:paraId="11376883" w14:textId="77777777" w:rsidR="00BC0FD7" w:rsidRPr="001D5327" w:rsidRDefault="00BC0FD7" w:rsidP="00BA0D88">
            <w:pPr>
              <w:pStyle w:val="Tableboldblue"/>
              <w:spacing w:before="40" w:after="40"/>
              <w:rPr>
                <w:rFonts w:cs="Calibri"/>
                <w:szCs w:val="16"/>
              </w:rPr>
            </w:pPr>
            <w:r w:rsidRPr="001D5327">
              <w:rPr>
                <w:rFonts w:cs="Calibri"/>
                <w:color w:val="1B556B"/>
                <w:szCs w:val="16"/>
              </w:rPr>
              <w:t>2004</w:t>
            </w:r>
          </w:p>
        </w:tc>
        <w:tc>
          <w:tcPr>
            <w:tcW w:w="0" w:type="auto"/>
            <w:shd w:val="clear" w:color="auto" w:fill="FFFFFF"/>
            <w:tcMar>
              <w:top w:w="0" w:type="dxa"/>
              <w:left w:w="85" w:type="dxa"/>
              <w:bottom w:w="0" w:type="dxa"/>
              <w:right w:w="85" w:type="dxa"/>
            </w:tcMar>
          </w:tcPr>
          <w:p w14:paraId="15B1350C"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73.8</w:t>
            </w:r>
          </w:p>
        </w:tc>
        <w:tc>
          <w:tcPr>
            <w:tcW w:w="0" w:type="auto"/>
            <w:shd w:val="clear" w:color="auto" w:fill="FFFFFF"/>
            <w:tcMar>
              <w:top w:w="0" w:type="dxa"/>
              <w:left w:w="85" w:type="dxa"/>
              <w:bottom w:w="0" w:type="dxa"/>
              <w:right w:w="85" w:type="dxa"/>
            </w:tcMar>
          </w:tcPr>
          <w:p w14:paraId="4A4CBD77"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90.5</w:t>
            </w:r>
          </w:p>
        </w:tc>
        <w:tc>
          <w:tcPr>
            <w:tcW w:w="2133" w:type="dxa"/>
            <w:shd w:val="clear" w:color="auto" w:fill="FFFFFF"/>
            <w:tcMar>
              <w:top w:w="0" w:type="dxa"/>
              <w:left w:w="85" w:type="dxa"/>
              <w:bottom w:w="0" w:type="dxa"/>
              <w:right w:w="85" w:type="dxa"/>
            </w:tcMar>
          </w:tcPr>
          <w:p w14:paraId="7D0D493B"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6.1</w:t>
            </w:r>
          </w:p>
        </w:tc>
        <w:tc>
          <w:tcPr>
            <w:tcW w:w="1690" w:type="dxa"/>
            <w:shd w:val="clear" w:color="auto" w:fill="FFFFFF"/>
            <w:tcMar>
              <w:top w:w="0" w:type="dxa"/>
              <w:left w:w="85" w:type="dxa"/>
              <w:bottom w:w="0" w:type="dxa"/>
              <w:right w:w="85" w:type="dxa"/>
            </w:tcMar>
          </w:tcPr>
          <w:p w14:paraId="01BF55D2"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170.5</w:t>
            </w:r>
          </w:p>
        </w:tc>
      </w:tr>
      <w:tr w:rsidR="00BC0FD7" w:rsidRPr="001D5327" w14:paraId="3D08E20F" w14:textId="77777777" w:rsidTr="006F6F93">
        <w:tc>
          <w:tcPr>
            <w:tcW w:w="0" w:type="auto"/>
            <w:shd w:val="clear" w:color="auto" w:fill="FFFFFF"/>
            <w:tcMar>
              <w:top w:w="0" w:type="dxa"/>
              <w:left w:w="85" w:type="dxa"/>
              <w:bottom w:w="0" w:type="dxa"/>
              <w:right w:w="85" w:type="dxa"/>
            </w:tcMar>
          </w:tcPr>
          <w:p w14:paraId="160DFBCF" w14:textId="77777777" w:rsidR="00BC0FD7" w:rsidRPr="001D5327" w:rsidRDefault="00BC0FD7" w:rsidP="00BA0D88">
            <w:pPr>
              <w:pStyle w:val="Tableboldblue"/>
              <w:spacing w:before="40" w:after="40"/>
              <w:rPr>
                <w:rFonts w:cs="Calibri"/>
                <w:szCs w:val="16"/>
              </w:rPr>
            </w:pPr>
            <w:r w:rsidRPr="001D5327">
              <w:rPr>
                <w:rFonts w:cs="Calibri"/>
                <w:color w:val="1B556B"/>
                <w:szCs w:val="16"/>
              </w:rPr>
              <w:t>2005</w:t>
            </w:r>
          </w:p>
        </w:tc>
        <w:tc>
          <w:tcPr>
            <w:tcW w:w="0" w:type="auto"/>
            <w:shd w:val="clear" w:color="auto" w:fill="FFFFFF"/>
            <w:tcMar>
              <w:top w:w="0" w:type="dxa"/>
              <w:left w:w="85" w:type="dxa"/>
              <w:bottom w:w="0" w:type="dxa"/>
              <w:right w:w="85" w:type="dxa"/>
            </w:tcMar>
          </w:tcPr>
          <w:p w14:paraId="3181F756"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72.6</w:t>
            </w:r>
          </w:p>
        </w:tc>
        <w:tc>
          <w:tcPr>
            <w:tcW w:w="0" w:type="auto"/>
            <w:shd w:val="clear" w:color="auto" w:fill="FFFFFF"/>
            <w:tcMar>
              <w:top w:w="0" w:type="dxa"/>
              <w:left w:w="85" w:type="dxa"/>
              <w:bottom w:w="0" w:type="dxa"/>
              <w:right w:w="85" w:type="dxa"/>
            </w:tcMar>
          </w:tcPr>
          <w:p w14:paraId="61FA6E7D"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91.9</w:t>
            </w:r>
          </w:p>
        </w:tc>
        <w:tc>
          <w:tcPr>
            <w:tcW w:w="2133" w:type="dxa"/>
            <w:shd w:val="clear" w:color="auto" w:fill="FFFFFF"/>
            <w:tcMar>
              <w:top w:w="0" w:type="dxa"/>
              <w:left w:w="85" w:type="dxa"/>
              <w:bottom w:w="0" w:type="dxa"/>
              <w:right w:w="85" w:type="dxa"/>
            </w:tcMar>
          </w:tcPr>
          <w:p w14:paraId="5F6D9FDA"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5.9</w:t>
            </w:r>
          </w:p>
        </w:tc>
        <w:tc>
          <w:tcPr>
            <w:tcW w:w="1690" w:type="dxa"/>
            <w:shd w:val="clear" w:color="auto" w:fill="FFFFFF"/>
            <w:tcMar>
              <w:top w:w="0" w:type="dxa"/>
              <w:left w:w="85" w:type="dxa"/>
              <w:bottom w:w="0" w:type="dxa"/>
              <w:right w:w="85" w:type="dxa"/>
            </w:tcMar>
          </w:tcPr>
          <w:p w14:paraId="0B9A645C"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170.4</w:t>
            </w:r>
          </w:p>
        </w:tc>
      </w:tr>
      <w:tr w:rsidR="00BC0FD7" w:rsidRPr="001D5327" w14:paraId="34783214" w14:textId="77777777" w:rsidTr="006F6F93">
        <w:tc>
          <w:tcPr>
            <w:tcW w:w="0" w:type="auto"/>
            <w:shd w:val="clear" w:color="auto" w:fill="FFFFFF"/>
            <w:tcMar>
              <w:top w:w="0" w:type="dxa"/>
              <w:left w:w="85" w:type="dxa"/>
              <w:bottom w:w="0" w:type="dxa"/>
              <w:right w:w="85" w:type="dxa"/>
            </w:tcMar>
          </w:tcPr>
          <w:p w14:paraId="18D51B9D" w14:textId="77777777" w:rsidR="00BC0FD7" w:rsidRPr="001D5327" w:rsidRDefault="00BC0FD7" w:rsidP="00BA0D88">
            <w:pPr>
              <w:pStyle w:val="Tableboldblue"/>
              <w:spacing w:before="40" w:after="40"/>
              <w:rPr>
                <w:rFonts w:cs="Calibri"/>
                <w:szCs w:val="16"/>
              </w:rPr>
            </w:pPr>
            <w:r w:rsidRPr="001D5327">
              <w:rPr>
                <w:rFonts w:cs="Calibri"/>
                <w:color w:val="1B556B"/>
                <w:szCs w:val="16"/>
              </w:rPr>
              <w:t>2006</w:t>
            </w:r>
          </w:p>
        </w:tc>
        <w:tc>
          <w:tcPr>
            <w:tcW w:w="0" w:type="auto"/>
            <w:shd w:val="clear" w:color="auto" w:fill="FFFFFF"/>
            <w:tcMar>
              <w:top w:w="0" w:type="dxa"/>
              <w:left w:w="85" w:type="dxa"/>
              <w:bottom w:w="0" w:type="dxa"/>
              <w:right w:w="85" w:type="dxa"/>
            </w:tcMar>
          </w:tcPr>
          <w:p w14:paraId="4291186C"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71.3</w:t>
            </w:r>
          </w:p>
        </w:tc>
        <w:tc>
          <w:tcPr>
            <w:tcW w:w="0" w:type="auto"/>
            <w:shd w:val="clear" w:color="auto" w:fill="FFFFFF"/>
            <w:tcMar>
              <w:top w:w="0" w:type="dxa"/>
              <w:left w:w="85" w:type="dxa"/>
              <w:bottom w:w="0" w:type="dxa"/>
              <w:right w:w="85" w:type="dxa"/>
            </w:tcMar>
          </w:tcPr>
          <w:p w14:paraId="5362BE86"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86.5</w:t>
            </w:r>
          </w:p>
        </w:tc>
        <w:tc>
          <w:tcPr>
            <w:tcW w:w="2133" w:type="dxa"/>
            <w:shd w:val="clear" w:color="auto" w:fill="FFFFFF"/>
            <w:tcMar>
              <w:top w:w="0" w:type="dxa"/>
              <w:left w:w="85" w:type="dxa"/>
              <w:bottom w:w="0" w:type="dxa"/>
              <w:right w:w="85" w:type="dxa"/>
            </w:tcMar>
          </w:tcPr>
          <w:p w14:paraId="0E340BFA"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6.4</w:t>
            </w:r>
          </w:p>
        </w:tc>
        <w:tc>
          <w:tcPr>
            <w:tcW w:w="1690" w:type="dxa"/>
            <w:shd w:val="clear" w:color="auto" w:fill="FFFFFF"/>
            <w:tcMar>
              <w:top w:w="0" w:type="dxa"/>
              <w:left w:w="85" w:type="dxa"/>
              <w:bottom w:w="0" w:type="dxa"/>
              <w:right w:w="85" w:type="dxa"/>
            </w:tcMar>
          </w:tcPr>
          <w:p w14:paraId="7DBC1B81"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164.3</w:t>
            </w:r>
          </w:p>
        </w:tc>
      </w:tr>
      <w:tr w:rsidR="00BC0FD7" w:rsidRPr="001D5327" w14:paraId="5B4E6FCF" w14:textId="77777777" w:rsidTr="006F6F93">
        <w:tc>
          <w:tcPr>
            <w:tcW w:w="0" w:type="auto"/>
            <w:shd w:val="clear" w:color="auto" w:fill="FFFFFF"/>
            <w:tcMar>
              <w:top w:w="0" w:type="dxa"/>
              <w:left w:w="85" w:type="dxa"/>
              <w:bottom w:w="0" w:type="dxa"/>
              <w:right w:w="85" w:type="dxa"/>
            </w:tcMar>
          </w:tcPr>
          <w:p w14:paraId="0225F9D1" w14:textId="77777777" w:rsidR="00BC0FD7" w:rsidRPr="001D5327" w:rsidRDefault="00BC0FD7" w:rsidP="00BA0D88">
            <w:pPr>
              <w:pStyle w:val="Tableboldblue"/>
              <w:spacing w:before="40" w:after="40"/>
              <w:rPr>
                <w:rFonts w:cs="Calibri"/>
                <w:szCs w:val="16"/>
              </w:rPr>
            </w:pPr>
            <w:r w:rsidRPr="001D5327">
              <w:rPr>
                <w:rFonts w:cs="Calibri"/>
                <w:color w:val="1B556B"/>
                <w:szCs w:val="16"/>
              </w:rPr>
              <w:t>2007</w:t>
            </w:r>
          </w:p>
        </w:tc>
        <w:tc>
          <w:tcPr>
            <w:tcW w:w="0" w:type="auto"/>
            <w:shd w:val="clear" w:color="auto" w:fill="FFFFFF"/>
            <w:tcMar>
              <w:top w:w="0" w:type="dxa"/>
              <w:left w:w="85" w:type="dxa"/>
              <w:bottom w:w="0" w:type="dxa"/>
              <w:right w:w="85" w:type="dxa"/>
            </w:tcMar>
          </w:tcPr>
          <w:p w14:paraId="05ED8485"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72.5</w:t>
            </w:r>
          </w:p>
        </w:tc>
        <w:tc>
          <w:tcPr>
            <w:tcW w:w="0" w:type="auto"/>
            <w:shd w:val="clear" w:color="auto" w:fill="FFFFFF"/>
            <w:tcMar>
              <w:top w:w="0" w:type="dxa"/>
              <w:left w:w="85" w:type="dxa"/>
              <w:bottom w:w="0" w:type="dxa"/>
              <w:right w:w="85" w:type="dxa"/>
            </w:tcMar>
          </w:tcPr>
          <w:p w14:paraId="0401A1A3"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86.7</w:t>
            </w:r>
          </w:p>
        </w:tc>
        <w:tc>
          <w:tcPr>
            <w:tcW w:w="2133" w:type="dxa"/>
            <w:shd w:val="clear" w:color="auto" w:fill="FFFFFF"/>
            <w:tcMar>
              <w:top w:w="0" w:type="dxa"/>
              <w:left w:w="85" w:type="dxa"/>
              <w:bottom w:w="0" w:type="dxa"/>
              <w:right w:w="85" w:type="dxa"/>
            </w:tcMar>
          </w:tcPr>
          <w:p w14:paraId="4DA2A0FA"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6.7</w:t>
            </w:r>
          </w:p>
        </w:tc>
        <w:tc>
          <w:tcPr>
            <w:tcW w:w="1690" w:type="dxa"/>
            <w:shd w:val="clear" w:color="auto" w:fill="FFFFFF"/>
            <w:tcMar>
              <w:top w:w="0" w:type="dxa"/>
              <w:left w:w="85" w:type="dxa"/>
              <w:bottom w:w="0" w:type="dxa"/>
              <w:right w:w="85" w:type="dxa"/>
            </w:tcMar>
          </w:tcPr>
          <w:p w14:paraId="73067F4C"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166.0</w:t>
            </w:r>
          </w:p>
        </w:tc>
      </w:tr>
      <w:tr w:rsidR="00BC0FD7" w:rsidRPr="001D5327" w14:paraId="1ACD638C" w14:textId="77777777" w:rsidTr="006F6F93">
        <w:tc>
          <w:tcPr>
            <w:tcW w:w="0" w:type="auto"/>
            <w:shd w:val="clear" w:color="auto" w:fill="FFFFFF"/>
            <w:tcMar>
              <w:top w:w="0" w:type="dxa"/>
              <w:left w:w="85" w:type="dxa"/>
              <w:bottom w:w="0" w:type="dxa"/>
              <w:right w:w="85" w:type="dxa"/>
            </w:tcMar>
          </w:tcPr>
          <w:p w14:paraId="6B2432EF" w14:textId="77777777" w:rsidR="00BC0FD7" w:rsidRPr="001D5327" w:rsidRDefault="00BC0FD7" w:rsidP="00BA0D88">
            <w:pPr>
              <w:pStyle w:val="Tableboldblue"/>
              <w:spacing w:before="40" w:after="40"/>
              <w:rPr>
                <w:rFonts w:cs="Calibri"/>
                <w:szCs w:val="16"/>
              </w:rPr>
            </w:pPr>
            <w:r w:rsidRPr="001D5327">
              <w:rPr>
                <w:rFonts w:cs="Calibri"/>
                <w:color w:val="1B556B"/>
                <w:szCs w:val="16"/>
              </w:rPr>
              <w:t>2008</w:t>
            </w:r>
          </w:p>
        </w:tc>
        <w:tc>
          <w:tcPr>
            <w:tcW w:w="0" w:type="auto"/>
            <w:shd w:val="clear" w:color="auto" w:fill="FFFFFF"/>
            <w:tcMar>
              <w:top w:w="0" w:type="dxa"/>
              <w:left w:w="85" w:type="dxa"/>
              <w:bottom w:w="0" w:type="dxa"/>
              <w:right w:w="85" w:type="dxa"/>
            </w:tcMar>
          </w:tcPr>
          <w:p w14:paraId="66C2F9C0"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72.8</w:t>
            </w:r>
          </w:p>
        </w:tc>
        <w:tc>
          <w:tcPr>
            <w:tcW w:w="0" w:type="auto"/>
            <w:shd w:val="clear" w:color="auto" w:fill="FFFFFF"/>
            <w:tcMar>
              <w:top w:w="0" w:type="dxa"/>
              <w:left w:w="85" w:type="dxa"/>
              <w:bottom w:w="0" w:type="dxa"/>
              <w:right w:w="85" w:type="dxa"/>
            </w:tcMar>
          </w:tcPr>
          <w:p w14:paraId="60F42F90"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85.8</w:t>
            </w:r>
          </w:p>
        </w:tc>
        <w:tc>
          <w:tcPr>
            <w:tcW w:w="2133" w:type="dxa"/>
            <w:shd w:val="clear" w:color="auto" w:fill="FFFFFF"/>
            <w:tcMar>
              <w:top w:w="0" w:type="dxa"/>
              <w:left w:w="85" w:type="dxa"/>
              <w:bottom w:w="0" w:type="dxa"/>
              <w:right w:w="85" w:type="dxa"/>
            </w:tcMar>
          </w:tcPr>
          <w:p w14:paraId="12D187F9"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7.7</w:t>
            </w:r>
          </w:p>
        </w:tc>
        <w:tc>
          <w:tcPr>
            <w:tcW w:w="1690" w:type="dxa"/>
            <w:shd w:val="clear" w:color="auto" w:fill="FFFFFF"/>
            <w:tcMar>
              <w:top w:w="0" w:type="dxa"/>
              <w:left w:w="85" w:type="dxa"/>
              <w:bottom w:w="0" w:type="dxa"/>
              <w:right w:w="85" w:type="dxa"/>
            </w:tcMar>
          </w:tcPr>
          <w:p w14:paraId="0B5A1B13"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166.2</w:t>
            </w:r>
          </w:p>
        </w:tc>
      </w:tr>
      <w:tr w:rsidR="00BC0FD7" w:rsidRPr="001D5327" w14:paraId="515A958E" w14:textId="77777777" w:rsidTr="006F6F93">
        <w:tc>
          <w:tcPr>
            <w:tcW w:w="0" w:type="auto"/>
            <w:shd w:val="clear" w:color="auto" w:fill="FFFFFF"/>
            <w:tcMar>
              <w:top w:w="0" w:type="dxa"/>
              <w:left w:w="85" w:type="dxa"/>
              <w:bottom w:w="0" w:type="dxa"/>
              <w:right w:w="85" w:type="dxa"/>
            </w:tcMar>
          </w:tcPr>
          <w:p w14:paraId="5470BBD0" w14:textId="77777777" w:rsidR="00BC0FD7" w:rsidRPr="001D5327" w:rsidRDefault="00BC0FD7" w:rsidP="00BA0D88">
            <w:pPr>
              <w:pStyle w:val="Tableboldblue"/>
              <w:spacing w:before="40" w:after="40"/>
              <w:rPr>
                <w:rFonts w:cs="Calibri"/>
                <w:szCs w:val="16"/>
              </w:rPr>
            </w:pPr>
            <w:r w:rsidRPr="001D5327">
              <w:rPr>
                <w:rFonts w:cs="Calibri"/>
                <w:color w:val="1B556B"/>
                <w:szCs w:val="16"/>
              </w:rPr>
              <w:t>2009</w:t>
            </w:r>
          </w:p>
        </w:tc>
        <w:tc>
          <w:tcPr>
            <w:tcW w:w="0" w:type="auto"/>
            <w:shd w:val="clear" w:color="auto" w:fill="FFFFFF"/>
            <w:tcMar>
              <w:top w:w="0" w:type="dxa"/>
              <w:left w:w="85" w:type="dxa"/>
              <w:bottom w:w="0" w:type="dxa"/>
              <w:right w:w="85" w:type="dxa"/>
            </w:tcMar>
          </w:tcPr>
          <w:p w14:paraId="03E1FF1F"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68.3</w:t>
            </w:r>
          </w:p>
        </w:tc>
        <w:tc>
          <w:tcPr>
            <w:tcW w:w="0" w:type="auto"/>
            <w:shd w:val="clear" w:color="auto" w:fill="FFFFFF"/>
            <w:tcMar>
              <w:top w:w="0" w:type="dxa"/>
              <w:left w:w="85" w:type="dxa"/>
              <w:bottom w:w="0" w:type="dxa"/>
              <w:right w:w="85" w:type="dxa"/>
            </w:tcMar>
          </w:tcPr>
          <w:p w14:paraId="1004F299"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87.0</w:t>
            </w:r>
          </w:p>
        </w:tc>
        <w:tc>
          <w:tcPr>
            <w:tcW w:w="2133" w:type="dxa"/>
            <w:shd w:val="clear" w:color="auto" w:fill="FFFFFF"/>
            <w:tcMar>
              <w:top w:w="0" w:type="dxa"/>
              <w:left w:w="85" w:type="dxa"/>
              <w:bottom w:w="0" w:type="dxa"/>
              <w:right w:w="85" w:type="dxa"/>
            </w:tcMar>
          </w:tcPr>
          <w:p w14:paraId="28DBA31D"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7.7</w:t>
            </w:r>
          </w:p>
        </w:tc>
        <w:tc>
          <w:tcPr>
            <w:tcW w:w="1690" w:type="dxa"/>
            <w:shd w:val="clear" w:color="auto" w:fill="FFFFFF"/>
            <w:tcMar>
              <w:top w:w="0" w:type="dxa"/>
              <w:left w:w="85" w:type="dxa"/>
              <w:bottom w:w="0" w:type="dxa"/>
              <w:right w:w="85" w:type="dxa"/>
            </w:tcMar>
          </w:tcPr>
          <w:p w14:paraId="0D0D469C"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163.0</w:t>
            </w:r>
          </w:p>
        </w:tc>
      </w:tr>
      <w:tr w:rsidR="00BC0FD7" w:rsidRPr="001D5327" w14:paraId="016B6FDB" w14:textId="77777777" w:rsidTr="006F6F93">
        <w:tc>
          <w:tcPr>
            <w:tcW w:w="0" w:type="auto"/>
            <w:shd w:val="clear" w:color="auto" w:fill="FFFFFF"/>
            <w:tcMar>
              <w:top w:w="0" w:type="dxa"/>
              <w:left w:w="85" w:type="dxa"/>
              <w:bottom w:w="0" w:type="dxa"/>
              <w:right w:w="85" w:type="dxa"/>
            </w:tcMar>
          </w:tcPr>
          <w:p w14:paraId="1B283BFC" w14:textId="77777777" w:rsidR="00BC0FD7" w:rsidRPr="001D5327" w:rsidRDefault="00BC0FD7" w:rsidP="00BA0D88">
            <w:pPr>
              <w:pStyle w:val="Tableboldblue"/>
              <w:spacing w:before="40" w:after="40"/>
              <w:rPr>
                <w:rFonts w:cs="Calibri"/>
                <w:szCs w:val="16"/>
              </w:rPr>
            </w:pPr>
            <w:r w:rsidRPr="001D5327">
              <w:rPr>
                <w:rFonts w:cs="Calibri"/>
                <w:color w:val="1B556B"/>
                <w:szCs w:val="16"/>
              </w:rPr>
              <w:t>2010</w:t>
            </w:r>
          </w:p>
        </w:tc>
        <w:tc>
          <w:tcPr>
            <w:tcW w:w="0" w:type="auto"/>
            <w:shd w:val="clear" w:color="auto" w:fill="FFFFFF"/>
            <w:tcMar>
              <w:top w:w="0" w:type="dxa"/>
              <w:left w:w="85" w:type="dxa"/>
              <w:bottom w:w="0" w:type="dxa"/>
              <w:right w:w="85" w:type="dxa"/>
            </w:tcMar>
          </w:tcPr>
          <w:p w14:paraId="7191EC64"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66.6</w:t>
            </w:r>
          </w:p>
        </w:tc>
        <w:tc>
          <w:tcPr>
            <w:tcW w:w="0" w:type="auto"/>
            <w:shd w:val="clear" w:color="auto" w:fill="FFFFFF"/>
            <w:tcMar>
              <w:top w:w="0" w:type="dxa"/>
              <w:left w:w="85" w:type="dxa"/>
              <w:bottom w:w="0" w:type="dxa"/>
              <w:right w:w="85" w:type="dxa"/>
            </w:tcMar>
          </w:tcPr>
          <w:p w14:paraId="06269ADD"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91.2</w:t>
            </w:r>
          </w:p>
        </w:tc>
        <w:tc>
          <w:tcPr>
            <w:tcW w:w="2133" w:type="dxa"/>
            <w:shd w:val="clear" w:color="auto" w:fill="FFFFFF"/>
            <w:tcMar>
              <w:top w:w="0" w:type="dxa"/>
              <w:left w:w="85" w:type="dxa"/>
              <w:bottom w:w="0" w:type="dxa"/>
              <w:right w:w="85" w:type="dxa"/>
            </w:tcMar>
          </w:tcPr>
          <w:p w14:paraId="120FBE5F"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7.5</w:t>
            </w:r>
          </w:p>
        </w:tc>
        <w:tc>
          <w:tcPr>
            <w:tcW w:w="1690" w:type="dxa"/>
            <w:shd w:val="clear" w:color="auto" w:fill="FFFFFF"/>
            <w:tcMar>
              <w:top w:w="0" w:type="dxa"/>
              <w:left w:w="85" w:type="dxa"/>
              <w:bottom w:w="0" w:type="dxa"/>
              <w:right w:w="85" w:type="dxa"/>
            </w:tcMar>
          </w:tcPr>
          <w:p w14:paraId="0106EAD4"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165.3</w:t>
            </w:r>
          </w:p>
        </w:tc>
      </w:tr>
      <w:tr w:rsidR="00BC0FD7" w:rsidRPr="001D5327" w14:paraId="13225C59" w14:textId="77777777" w:rsidTr="006F6F93">
        <w:tc>
          <w:tcPr>
            <w:tcW w:w="0" w:type="auto"/>
            <w:shd w:val="clear" w:color="auto" w:fill="FFFFFF"/>
            <w:tcMar>
              <w:top w:w="0" w:type="dxa"/>
              <w:left w:w="85" w:type="dxa"/>
              <w:bottom w:w="0" w:type="dxa"/>
              <w:right w:w="85" w:type="dxa"/>
            </w:tcMar>
          </w:tcPr>
          <w:p w14:paraId="11AED7D0" w14:textId="77777777" w:rsidR="00BC0FD7" w:rsidRPr="001D5327" w:rsidRDefault="00BC0FD7" w:rsidP="00BA0D88">
            <w:pPr>
              <w:pStyle w:val="Tableboldblue"/>
              <w:spacing w:before="40" w:after="40"/>
              <w:rPr>
                <w:rFonts w:cs="Calibri"/>
                <w:szCs w:val="16"/>
              </w:rPr>
            </w:pPr>
            <w:r w:rsidRPr="001D5327">
              <w:rPr>
                <w:rFonts w:cs="Calibri"/>
                <w:color w:val="1B556B"/>
                <w:szCs w:val="16"/>
              </w:rPr>
              <w:t>2011</w:t>
            </w:r>
          </w:p>
        </w:tc>
        <w:tc>
          <w:tcPr>
            <w:tcW w:w="0" w:type="auto"/>
            <w:shd w:val="clear" w:color="auto" w:fill="FFFFFF"/>
            <w:tcMar>
              <w:top w:w="0" w:type="dxa"/>
              <w:left w:w="85" w:type="dxa"/>
              <w:bottom w:w="0" w:type="dxa"/>
              <w:right w:w="85" w:type="dxa"/>
            </w:tcMar>
          </w:tcPr>
          <w:p w14:paraId="7B9A0ED3"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65.6</w:t>
            </w:r>
          </w:p>
        </w:tc>
        <w:tc>
          <w:tcPr>
            <w:tcW w:w="0" w:type="auto"/>
            <w:shd w:val="clear" w:color="auto" w:fill="FFFFFF"/>
            <w:tcMar>
              <w:top w:w="0" w:type="dxa"/>
              <w:left w:w="85" w:type="dxa"/>
              <w:bottom w:w="0" w:type="dxa"/>
              <w:right w:w="85" w:type="dxa"/>
            </w:tcMar>
          </w:tcPr>
          <w:p w14:paraId="6037B86A"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87.9</w:t>
            </w:r>
          </w:p>
        </w:tc>
        <w:tc>
          <w:tcPr>
            <w:tcW w:w="2133" w:type="dxa"/>
            <w:shd w:val="clear" w:color="auto" w:fill="FFFFFF"/>
            <w:tcMar>
              <w:top w:w="0" w:type="dxa"/>
              <w:left w:w="85" w:type="dxa"/>
              <w:bottom w:w="0" w:type="dxa"/>
              <w:right w:w="85" w:type="dxa"/>
            </w:tcMar>
          </w:tcPr>
          <w:p w14:paraId="54AA9133"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4.1</w:t>
            </w:r>
          </w:p>
        </w:tc>
        <w:tc>
          <w:tcPr>
            <w:tcW w:w="1690" w:type="dxa"/>
            <w:shd w:val="clear" w:color="auto" w:fill="FFFFFF"/>
            <w:tcMar>
              <w:top w:w="0" w:type="dxa"/>
              <w:left w:w="85" w:type="dxa"/>
              <w:bottom w:w="0" w:type="dxa"/>
              <w:right w:w="85" w:type="dxa"/>
            </w:tcMar>
          </w:tcPr>
          <w:p w14:paraId="2E913170"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157.6</w:t>
            </w:r>
          </w:p>
        </w:tc>
      </w:tr>
      <w:tr w:rsidR="00BC0FD7" w:rsidRPr="001D5327" w14:paraId="753074E3" w14:textId="77777777" w:rsidTr="006F6F93">
        <w:tc>
          <w:tcPr>
            <w:tcW w:w="0" w:type="auto"/>
            <w:shd w:val="clear" w:color="auto" w:fill="FFFFFF"/>
            <w:tcMar>
              <w:top w:w="0" w:type="dxa"/>
              <w:left w:w="85" w:type="dxa"/>
              <w:bottom w:w="0" w:type="dxa"/>
              <w:right w:w="85" w:type="dxa"/>
            </w:tcMar>
          </w:tcPr>
          <w:p w14:paraId="283D80D3" w14:textId="77777777" w:rsidR="00BC0FD7" w:rsidRPr="001D5327" w:rsidRDefault="00BC0FD7" w:rsidP="00BA0D88">
            <w:pPr>
              <w:pStyle w:val="Tableboldblue"/>
              <w:spacing w:before="40" w:after="40"/>
              <w:rPr>
                <w:rFonts w:cs="Calibri"/>
                <w:szCs w:val="16"/>
              </w:rPr>
            </w:pPr>
            <w:r w:rsidRPr="001D5327">
              <w:rPr>
                <w:rFonts w:cs="Calibri"/>
                <w:color w:val="1B556B"/>
                <w:szCs w:val="16"/>
              </w:rPr>
              <w:t>2012</w:t>
            </w:r>
          </w:p>
        </w:tc>
        <w:tc>
          <w:tcPr>
            <w:tcW w:w="0" w:type="auto"/>
            <w:shd w:val="clear" w:color="auto" w:fill="FFFFFF"/>
            <w:tcMar>
              <w:top w:w="0" w:type="dxa"/>
              <w:left w:w="85" w:type="dxa"/>
              <w:bottom w:w="0" w:type="dxa"/>
              <w:right w:w="85" w:type="dxa"/>
            </w:tcMar>
          </w:tcPr>
          <w:p w14:paraId="5A83E4DC"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65.7</w:t>
            </w:r>
          </w:p>
        </w:tc>
        <w:tc>
          <w:tcPr>
            <w:tcW w:w="0" w:type="auto"/>
            <w:shd w:val="clear" w:color="auto" w:fill="FFFFFF"/>
            <w:tcMar>
              <w:top w:w="0" w:type="dxa"/>
              <w:left w:w="85" w:type="dxa"/>
              <w:bottom w:w="0" w:type="dxa"/>
              <w:right w:w="85" w:type="dxa"/>
            </w:tcMar>
          </w:tcPr>
          <w:p w14:paraId="10EFAD55"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84.9</w:t>
            </w:r>
          </w:p>
        </w:tc>
        <w:tc>
          <w:tcPr>
            <w:tcW w:w="2133" w:type="dxa"/>
            <w:shd w:val="clear" w:color="auto" w:fill="FFFFFF"/>
            <w:tcMar>
              <w:top w:w="0" w:type="dxa"/>
              <w:left w:w="85" w:type="dxa"/>
              <w:bottom w:w="0" w:type="dxa"/>
              <w:right w:w="85" w:type="dxa"/>
            </w:tcMar>
          </w:tcPr>
          <w:p w14:paraId="55D94E73"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3.3</w:t>
            </w:r>
          </w:p>
        </w:tc>
        <w:tc>
          <w:tcPr>
            <w:tcW w:w="1690" w:type="dxa"/>
            <w:shd w:val="clear" w:color="auto" w:fill="FFFFFF"/>
            <w:tcMar>
              <w:top w:w="0" w:type="dxa"/>
              <w:left w:w="85" w:type="dxa"/>
              <w:bottom w:w="0" w:type="dxa"/>
              <w:right w:w="85" w:type="dxa"/>
            </w:tcMar>
          </w:tcPr>
          <w:p w14:paraId="0CA370F1"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153.9</w:t>
            </w:r>
          </w:p>
        </w:tc>
      </w:tr>
      <w:tr w:rsidR="00BC0FD7" w:rsidRPr="001D5327" w14:paraId="3FE6B8E8" w14:textId="77777777" w:rsidTr="006F6F93">
        <w:tc>
          <w:tcPr>
            <w:tcW w:w="0" w:type="auto"/>
            <w:shd w:val="clear" w:color="auto" w:fill="FFFFFF"/>
            <w:tcMar>
              <w:top w:w="0" w:type="dxa"/>
              <w:left w:w="85" w:type="dxa"/>
              <w:bottom w:w="0" w:type="dxa"/>
              <w:right w:w="85" w:type="dxa"/>
            </w:tcMar>
          </w:tcPr>
          <w:p w14:paraId="5F01102A" w14:textId="77777777" w:rsidR="00BC0FD7" w:rsidRPr="001D5327" w:rsidRDefault="00BC0FD7" w:rsidP="00BA0D88">
            <w:pPr>
              <w:pStyle w:val="Tableboldblue"/>
              <w:spacing w:before="40" w:after="40"/>
              <w:rPr>
                <w:rFonts w:cs="Calibri"/>
                <w:szCs w:val="16"/>
              </w:rPr>
            </w:pPr>
            <w:r w:rsidRPr="001D5327">
              <w:rPr>
                <w:rFonts w:cs="Calibri"/>
                <w:color w:val="1B556B"/>
                <w:szCs w:val="16"/>
              </w:rPr>
              <w:t>2013</w:t>
            </w:r>
          </w:p>
        </w:tc>
        <w:tc>
          <w:tcPr>
            <w:tcW w:w="0" w:type="auto"/>
            <w:shd w:val="clear" w:color="auto" w:fill="FFFFFF"/>
            <w:tcMar>
              <w:top w:w="0" w:type="dxa"/>
              <w:left w:w="85" w:type="dxa"/>
              <w:bottom w:w="0" w:type="dxa"/>
              <w:right w:w="85" w:type="dxa"/>
            </w:tcMar>
          </w:tcPr>
          <w:p w14:paraId="46D60415"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67.9</w:t>
            </w:r>
          </w:p>
        </w:tc>
        <w:tc>
          <w:tcPr>
            <w:tcW w:w="0" w:type="auto"/>
            <w:shd w:val="clear" w:color="auto" w:fill="FFFFFF"/>
            <w:tcMar>
              <w:top w:w="0" w:type="dxa"/>
              <w:left w:w="85" w:type="dxa"/>
              <w:bottom w:w="0" w:type="dxa"/>
              <w:right w:w="85" w:type="dxa"/>
            </w:tcMar>
          </w:tcPr>
          <w:p w14:paraId="1B6777E4"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79.1</w:t>
            </w:r>
          </w:p>
        </w:tc>
        <w:tc>
          <w:tcPr>
            <w:tcW w:w="2133" w:type="dxa"/>
            <w:shd w:val="clear" w:color="auto" w:fill="FFFFFF"/>
            <w:tcMar>
              <w:top w:w="0" w:type="dxa"/>
              <w:left w:w="85" w:type="dxa"/>
              <w:bottom w:w="0" w:type="dxa"/>
              <w:right w:w="85" w:type="dxa"/>
            </w:tcMar>
          </w:tcPr>
          <w:p w14:paraId="6B6F2CA2"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4.3</w:t>
            </w:r>
          </w:p>
        </w:tc>
        <w:tc>
          <w:tcPr>
            <w:tcW w:w="1690" w:type="dxa"/>
            <w:shd w:val="clear" w:color="auto" w:fill="FFFFFF"/>
            <w:tcMar>
              <w:top w:w="0" w:type="dxa"/>
              <w:left w:w="85" w:type="dxa"/>
              <w:bottom w:w="0" w:type="dxa"/>
              <w:right w:w="85" w:type="dxa"/>
            </w:tcMar>
          </w:tcPr>
          <w:p w14:paraId="231035A5"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151.3</w:t>
            </w:r>
          </w:p>
        </w:tc>
      </w:tr>
      <w:tr w:rsidR="00BC0FD7" w:rsidRPr="001D5327" w14:paraId="08011653" w14:textId="77777777" w:rsidTr="006F6F93">
        <w:tc>
          <w:tcPr>
            <w:tcW w:w="0" w:type="auto"/>
            <w:shd w:val="clear" w:color="auto" w:fill="FFFFFF"/>
            <w:tcMar>
              <w:top w:w="0" w:type="dxa"/>
              <w:left w:w="85" w:type="dxa"/>
              <w:bottom w:w="0" w:type="dxa"/>
              <w:right w:w="85" w:type="dxa"/>
            </w:tcMar>
          </w:tcPr>
          <w:p w14:paraId="11507E71" w14:textId="77777777" w:rsidR="00BC0FD7" w:rsidRPr="001D5327" w:rsidRDefault="00BC0FD7" w:rsidP="00BA0D88">
            <w:pPr>
              <w:pStyle w:val="Tableboldblue"/>
              <w:spacing w:before="40" w:after="40"/>
              <w:rPr>
                <w:rFonts w:cs="Calibri"/>
                <w:szCs w:val="16"/>
              </w:rPr>
            </w:pPr>
            <w:r w:rsidRPr="001D5327">
              <w:rPr>
                <w:rFonts w:cs="Calibri"/>
                <w:color w:val="1B556B"/>
                <w:szCs w:val="16"/>
              </w:rPr>
              <w:t>2014</w:t>
            </w:r>
          </w:p>
        </w:tc>
        <w:tc>
          <w:tcPr>
            <w:tcW w:w="0" w:type="auto"/>
            <w:shd w:val="clear" w:color="auto" w:fill="FFFFFF"/>
            <w:tcMar>
              <w:top w:w="0" w:type="dxa"/>
              <w:left w:w="85" w:type="dxa"/>
              <w:bottom w:w="0" w:type="dxa"/>
              <w:right w:w="85" w:type="dxa"/>
            </w:tcMar>
          </w:tcPr>
          <w:p w14:paraId="580F6694"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68.7</w:t>
            </w:r>
          </w:p>
        </w:tc>
        <w:tc>
          <w:tcPr>
            <w:tcW w:w="0" w:type="auto"/>
            <w:shd w:val="clear" w:color="auto" w:fill="FFFFFF"/>
            <w:tcMar>
              <w:top w:w="0" w:type="dxa"/>
              <w:left w:w="85" w:type="dxa"/>
              <w:bottom w:w="0" w:type="dxa"/>
              <w:right w:w="85" w:type="dxa"/>
            </w:tcMar>
          </w:tcPr>
          <w:p w14:paraId="61DF1813"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77.5</w:t>
            </w:r>
          </w:p>
        </w:tc>
        <w:tc>
          <w:tcPr>
            <w:tcW w:w="2133" w:type="dxa"/>
            <w:shd w:val="clear" w:color="auto" w:fill="FFFFFF"/>
            <w:tcMar>
              <w:top w:w="0" w:type="dxa"/>
              <w:left w:w="85" w:type="dxa"/>
              <w:bottom w:w="0" w:type="dxa"/>
              <w:right w:w="85" w:type="dxa"/>
            </w:tcMar>
          </w:tcPr>
          <w:p w14:paraId="46AB88B6"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5.5</w:t>
            </w:r>
          </w:p>
        </w:tc>
        <w:tc>
          <w:tcPr>
            <w:tcW w:w="1690" w:type="dxa"/>
            <w:shd w:val="clear" w:color="auto" w:fill="FFFFFF"/>
            <w:tcMar>
              <w:top w:w="0" w:type="dxa"/>
              <w:left w:w="85" w:type="dxa"/>
              <w:bottom w:w="0" w:type="dxa"/>
              <w:right w:w="85" w:type="dxa"/>
            </w:tcMar>
          </w:tcPr>
          <w:p w14:paraId="3DA898F7"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151.8</w:t>
            </w:r>
          </w:p>
        </w:tc>
      </w:tr>
      <w:tr w:rsidR="00BC0FD7" w:rsidRPr="001D5327" w14:paraId="311E450D" w14:textId="77777777" w:rsidTr="006F6F93">
        <w:tc>
          <w:tcPr>
            <w:tcW w:w="0" w:type="auto"/>
            <w:shd w:val="clear" w:color="auto" w:fill="FFFFFF"/>
            <w:tcMar>
              <w:top w:w="0" w:type="dxa"/>
              <w:left w:w="85" w:type="dxa"/>
              <w:bottom w:w="0" w:type="dxa"/>
              <w:right w:w="85" w:type="dxa"/>
            </w:tcMar>
          </w:tcPr>
          <w:p w14:paraId="2CC2126B" w14:textId="77777777" w:rsidR="00BC0FD7" w:rsidRPr="001D5327" w:rsidRDefault="00BC0FD7" w:rsidP="00BA0D88">
            <w:pPr>
              <w:pStyle w:val="Tableboldblue"/>
              <w:spacing w:before="40" w:after="40"/>
              <w:rPr>
                <w:rFonts w:cs="Calibri"/>
                <w:szCs w:val="16"/>
              </w:rPr>
            </w:pPr>
            <w:r w:rsidRPr="001D5327">
              <w:rPr>
                <w:rFonts w:cs="Calibri"/>
                <w:color w:val="1B556B"/>
                <w:szCs w:val="16"/>
              </w:rPr>
              <w:t>2015</w:t>
            </w:r>
          </w:p>
        </w:tc>
        <w:tc>
          <w:tcPr>
            <w:tcW w:w="0" w:type="auto"/>
            <w:shd w:val="clear" w:color="auto" w:fill="FFFFFF"/>
            <w:tcMar>
              <w:top w:w="0" w:type="dxa"/>
              <w:left w:w="85" w:type="dxa"/>
              <w:bottom w:w="0" w:type="dxa"/>
              <w:right w:w="85" w:type="dxa"/>
            </w:tcMar>
          </w:tcPr>
          <w:p w14:paraId="2C49696A"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72.4</w:t>
            </w:r>
          </w:p>
        </w:tc>
        <w:tc>
          <w:tcPr>
            <w:tcW w:w="0" w:type="auto"/>
            <w:shd w:val="clear" w:color="auto" w:fill="FFFFFF"/>
            <w:tcMar>
              <w:top w:w="0" w:type="dxa"/>
              <w:left w:w="85" w:type="dxa"/>
              <w:bottom w:w="0" w:type="dxa"/>
              <w:right w:w="85" w:type="dxa"/>
            </w:tcMar>
          </w:tcPr>
          <w:p w14:paraId="175DD97B"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78.6</w:t>
            </w:r>
          </w:p>
        </w:tc>
        <w:tc>
          <w:tcPr>
            <w:tcW w:w="2133" w:type="dxa"/>
            <w:shd w:val="clear" w:color="auto" w:fill="FFFFFF"/>
            <w:tcMar>
              <w:top w:w="0" w:type="dxa"/>
              <w:left w:w="85" w:type="dxa"/>
              <w:bottom w:w="0" w:type="dxa"/>
              <w:right w:w="85" w:type="dxa"/>
            </w:tcMar>
          </w:tcPr>
          <w:p w14:paraId="066D1296"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4.0</w:t>
            </w:r>
          </w:p>
        </w:tc>
        <w:tc>
          <w:tcPr>
            <w:tcW w:w="1690" w:type="dxa"/>
            <w:shd w:val="clear" w:color="auto" w:fill="FFFFFF"/>
            <w:tcMar>
              <w:top w:w="0" w:type="dxa"/>
              <w:left w:w="85" w:type="dxa"/>
              <w:bottom w:w="0" w:type="dxa"/>
              <w:right w:w="85" w:type="dxa"/>
            </w:tcMar>
          </w:tcPr>
          <w:p w14:paraId="216EC23C"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155.0</w:t>
            </w:r>
          </w:p>
        </w:tc>
      </w:tr>
      <w:tr w:rsidR="00BC0FD7" w:rsidRPr="001D5327" w14:paraId="28ED1FB7" w14:textId="77777777" w:rsidTr="006F6F93">
        <w:tc>
          <w:tcPr>
            <w:tcW w:w="0" w:type="auto"/>
            <w:shd w:val="clear" w:color="auto" w:fill="FFFFFF"/>
            <w:tcMar>
              <w:top w:w="0" w:type="dxa"/>
              <w:left w:w="85" w:type="dxa"/>
              <w:bottom w:w="0" w:type="dxa"/>
              <w:right w:w="85" w:type="dxa"/>
            </w:tcMar>
          </w:tcPr>
          <w:p w14:paraId="714BC19C" w14:textId="77777777" w:rsidR="00BC0FD7" w:rsidRPr="001D5327" w:rsidRDefault="00BC0FD7" w:rsidP="00BA0D88">
            <w:pPr>
              <w:pStyle w:val="Tableboldblue"/>
              <w:spacing w:before="40" w:after="40"/>
              <w:rPr>
                <w:rFonts w:cs="Calibri"/>
                <w:szCs w:val="16"/>
              </w:rPr>
            </w:pPr>
            <w:r w:rsidRPr="001D5327">
              <w:rPr>
                <w:rFonts w:cs="Calibri"/>
                <w:color w:val="1B556B"/>
                <w:szCs w:val="16"/>
              </w:rPr>
              <w:t>2016</w:t>
            </w:r>
          </w:p>
        </w:tc>
        <w:tc>
          <w:tcPr>
            <w:tcW w:w="0" w:type="auto"/>
            <w:shd w:val="clear" w:color="auto" w:fill="FFFFFF"/>
            <w:tcMar>
              <w:top w:w="0" w:type="dxa"/>
              <w:left w:w="85" w:type="dxa"/>
              <w:bottom w:w="0" w:type="dxa"/>
              <w:right w:w="85" w:type="dxa"/>
            </w:tcMar>
          </w:tcPr>
          <w:p w14:paraId="024F7F3A"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69.2</w:t>
            </w:r>
          </w:p>
        </w:tc>
        <w:tc>
          <w:tcPr>
            <w:tcW w:w="0" w:type="auto"/>
            <w:shd w:val="clear" w:color="auto" w:fill="FFFFFF"/>
            <w:tcMar>
              <w:top w:w="0" w:type="dxa"/>
              <w:left w:w="85" w:type="dxa"/>
              <w:bottom w:w="0" w:type="dxa"/>
              <w:right w:w="85" w:type="dxa"/>
            </w:tcMar>
          </w:tcPr>
          <w:p w14:paraId="3ED089CB"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78.4</w:t>
            </w:r>
          </w:p>
        </w:tc>
        <w:tc>
          <w:tcPr>
            <w:tcW w:w="2133" w:type="dxa"/>
            <w:shd w:val="clear" w:color="auto" w:fill="FFFFFF"/>
            <w:tcMar>
              <w:top w:w="0" w:type="dxa"/>
              <w:left w:w="85" w:type="dxa"/>
              <w:bottom w:w="0" w:type="dxa"/>
              <w:right w:w="85" w:type="dxa"/>
            </w:tcMar>
          </w:tcPr>
          <w:p w14:paraId="614313A7"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5.4</w:t>
            </w:r>
          </w:p>
        </w:tc>
        <w:tc>
          <w:tcPr>
            <w:tcW w:w="1690" w:type="dxa"/>
            <w:shd w:val="clear" w:color="auto" w:fill="FFFFFF"/>
            <w:tcMar>
              <w:top w:w="0" w:type="dxa"/>
              <w:left w:w="85" w:type="dxa"/>
              <w:bottom w:w="0" w:type="dxa"/>
              <w:right w:w="85" w:type="dxa"/>
            </w:tcMar>
          </w:tcPr>
          <w:p w14:paraId="6555D584"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153.0</w:t>
            </w:r>
          </w:p>
        </w:tc>
      </w:tr>
      <w:tr w:rsidR="00BC0FD7" w:rsidRPr="001D5327" w14:paraId="09FDF9B2" w14:textId="77777777" w:rsidTr="006F6F93">
        <w:tc>
          <w:tcPr>
            <w:tcW w:w="0" w:type="auto"/>
            <w:shd w:val="clear" w:color="auto" w:fill="FFFFFF"/>
            <w:tcMar>
              <w:top w:w="0" w:type="dxa"/>
              <w:left w:w="85" w:type="dxa"/>
              <w:bottom w:w="0" w:type="dxa"/>
              <w:right w:w="85" w:type="dxa"/>
            </w:tcMar>
          </w:tcPr>
          <w:p w14:paraId="2BE68580" w14:textId="77777777" w:rsidR="00BC0FD7" w:rsidRPr="001D5327" w:rsidRDefault="00BC0FD7" w:rsidP="00BA0D88">
            <w:pPr>
              <w:pStyle w:val="Tableboldblue"/>
              <w:spacing w:before="40" w:after="40"/>
              <w:rPr>
                <w:rFonts w:cs="Calibri"/>
                <w:szCs w:val="16"/>
              </w:rPr>
            </w:pPr>
            <w:r w:rsidRPr="001D5327">
              <w:rPr>
                <w:rFonts w:cs="Calibri"/>
                <w:color w:val="1B556B"/>
                <w:szCs w:val="16"/>
              </w:rPr>
              <w:t>2017</w:t>
            </w:r>
          </w:p>
        </w:tc>
        <w:tc>
          <w:tcPr>
            <w:tcW w:w="0" w:type="auto"/>
            <w:shd w:val="clear" w:color="auto" w:fill="FFFFFF"/>
            <w:tcMar>
              <w:top w:w="0" w:type="dxa"/>
              <w:left w:w="85" w:type="dxa"/>
              <w:bottom w:w="0" w:type="dxa"/>
              <w:right w:w="85" w:type="dxa"/>
            </w:tcMar>
          </w:tcPr>
          <w:p w14:paraId="459C470E"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71.2</w:t>
            </w:r>
          </w:p>
        </w:tc>
        <w:tc>
          <w:tcPr>
            <w:tcW w:w="0" w:type="auto"/>
            <w:shd w:val="clear" w:color="auto" w:fill="FFFFFF"/>
            <w:tcMar>
              <w:top w:w="0" w:type="dxa"/>
              <w:left w:w="85" w:type="dxa"/>
              <w:bottom w:w="0" w:type="dxa"/>
              <w:right w:w="85" w:type="dxa"/>
            </w:tcMar>
          </w:tcPr>
          <w:p w14:paraId="175ECFD6"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78.6</w:t>
            </w:r>
          </w:p>
        </w:tc>
        <w:tc>
          <w:tcPr>
            <w:tcW w:w="2133" w:type="dxa"/>
            <w:shd w:val="clear" w:color="auto" w:fill="FFFFFF"/>
            <w:tcMar>
              <w:top w:w="0" w:type="dxa"/>
              <w:left w:w="85" w:type="dxa"/>
              <w:bottom w:w="0" w:type="dxa"/>
              <w:right w:w="85" w:type="dxa"/>
            </w:tcMar>
          </w:tcPr>
          <w:p w14:paraId="2B57FFDD"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4.9</w:t>
            </w:r>
          </w:p>
        </w:tc>
        <w:tc>
          <w:tcPr>
            <w:tcW w:w="1690" w:type="dxa"/>
            <w:shd w:val="clear" w:color="auto" w:fill="FFFFFF"/>
            <w:tcMar>
              <w:top w:w="0" w:type="dxa"/>
              <w:left w:w="85" w:type="dxa"/>
              <w:bottom w:w="0" w:type="dxa"/>
              <w:right w:w="85" w:type="dxa"/>
            </w:tcMar>
          </w:tcPr>
          <w:p w14:paraId="69FF80D2"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154.7</w:t>
            </w:r>
          </w:p>
        </w:tc>
      </w:tr>
      <w:tr w:rsidR="00BC0FD7" w:rsidRPr="001D5327" w14:paraId="23DB691E" w14:textId="77777777" w:rsidTr="006F6F93">
        <w:tc>
          <w:tcPr>
            <w:tcW w:w="0" w:type="auto"/>
            <w:shd w:val="clear" w:color="auto" w:fill="FFFFFF"/>
            <w:tcMar>
              <w:top w:w="0" w:type="dxa"/>
              <w:left w:w="85" w:type="dxa"/>
              <w:bottom w:w="0" w:type="dxa"/>
              <w:right w:w="85" w:type="dxa"/>
            </w:tcMar>
          </w:tcPr>
          <w:p w14:paraId="6F60C960" w14:textId="77777777" w:rsidR="00BC0FD7" w:rsidRPr="001D5327" w:rsidRDefault="00BC0FD7" w:rsidP="00BA0D88">
            <w:pPr>
              <w:pStyle w:val="Tableboldblue"/>
              <w:spacing w:before="40" w:after="40"/>
              <w:rPr>
                <w:rFonts w:cs="Calibri"/>
                <w:szCs w:val="16"/>
              </w:rPr>
            </w:pPr>
            <w:r w:rsidRPr="001D5327">
              <w:rPr>
                <w:rFonts w:cs="Calibri"/>
                <w:color w:val="1B556B"/>
                <w:szCs w:val="16"/>
              </w:rPr>
              <w:t>2018</w:t>
            </w:r>
          </w:p>
        </w:tc>
        <w:tc>
          <w:tcPr>
            <w:tcW w:w="0" w:type="auto"/>
            <w:shd w:val="clear" w:color="auto" w:fill="FFFFFF"/>
            <w:tcMar>
              <w:top w:w="0" w:type="dxa"/>
              <w:left w:w="85" w:type="dxa"/>
              <w:bottom w:w="0" w:type="dxa"/>
              <w:right w:w="85" w:type="dxa"/>
            </w:tcMar>
          </w:tcPr>
          <w:p w14:paraId="6F1A4C0D"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72.7</w:t>
            </w:r>
          </w:p>
        </w:tc>
        <w:tc>
          <w:tcPr>
            <w:tcW w:w="0" w:type="auto"/>
            <w:shd w:val="clear" w:color="auto" w:fill="FFFFFF"/>
            <w:tcMar>
              <w:top w:w="0" w:type="dxa"/>
              <w:left w:w="85" w:type="dxa"/>
              <w:bottom w:w="0" w:type="dxa"/>
              <w:right w:w="85" w:type="dxa"/>
            </w:tcMar>
          </w:tcPr>
          <w:p w14:paraId="5EE48961"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77.2</w:t>
            </w:r>
          </w:p>
        </w:tc>
        <w:tc>
          <w:tcPr>
            <w:tcW w:w="2133" w:type="dxa"/>
            <w:shd w:val="clear" w:color="auto" w:fill="FFFFFF"/>
            <w:tcMar>
              <w:top w:w="0" w:type="dxa"/>
              <w:left w:w="85" w:type="dxa"/>
              <w:bottom w:w="0" w:type="dxa"/>
              <w:right w:w="85" w:type="dxa"/>
            </w:tcMar>
          </w:tcPr>
          <w:p w14:paraId="0077356B"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5.2</w:t>
            </w:r>
          </w:p>
        </w:tc>
        <w:tc>
          <w:tcPr>
            <w:tcW w:w="1690" w:type="dxa"/>
            <w:shd w:val="clear" w:color="auto" w:fill="FFFFFF"/>
            <w:tcMar>
              <w:top w:w="0" w:type="dxa"/>
              <w:left w:w="85" w:type="dxa"/>
              <w:bottom w:w="0" w:type="dxa"/>
              <w:right w:w="85" w:type="dxa"/>
            </w:tcMar>
          </w:tcPr>
          <w:p w14:paraId="784901EA"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155.2</w:t>
            </w:r>
          </w:p>
        </w:tc>
      </w:tr>
      <w:tr w:rsidR="00BC0FD7" w:rsidRPr="001D5327" w14:paraId="52888D67" w14:textId="77777777" w:rsidTr="006F6F93">
        <w:tc>
          <w:tcPr>
            <w:tcW w:w="0" w:type="auto"/>
            <w:shd w:val="clear" w:color="auto" w:fill="FFFFFF"/>
            <w:tcMar>
              <w:top w:w="0" w:type="dxa"/>
              <w:left w:w="85" w:type="dxa"/>
              <w:bottom w:w="0" w:type="dxa"/>
              <w:right w:w="85" w:type="dxa"/>
            </w:tcMar>
          </w:tcPr>
          <w:p w14:paraId="335C73B3" w14:textId="77777777" w:rsidR="00BC0FD7" w:rsidRPr="001D5327" w:rsidRDefault="00BC0FD7" w:rsidP="00BA0D88">
            <w:pPr>
              <w:pStyle w:val="Tableboldblue"/>
              <w:spacing w:before="40" w:after="40"/>
              <w:rPr>
                <w:rFonts w:cs="Calibri"/>
                <w:szCs w:val="16"/>
              </w:rPr>
            </w:pPr>
            <w:r w:rsidRPr="001D5327">
              <w:rPr>
                <w:rFonts w:cs="Calibri"/>
                <w:color w:val="1B556B"/>
                <w:szCs w:val="16"/>
              </w:rPr>
              <w:t>2019</w:t>
            </w:r>
          </w:p>
        </w:tc>
        <w:tc>
          <w:tcPr>
            <w:tcW w:w="0" w:type="auto"/>
            <w:shd w:val="clear" w:color="auto" w:fill="FFFFFF"/>
            <w:tcMar>
              <w:top w:w="0" w:type="dxa"/>
              <w:left w:w="85" w:type="dxa"/>
              <w:bottom w:w="0" w:type="dxa"/>
              <w:right w:w="85" w:type="dxa"/>
            </w:tcMar>
          </w:tcPr>
          <w:p w14:paraId="7CCF5EA9"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73.0</w:t>
            </w:r>
          </w:p>
        </w:tc>
        <w:tc>
          <w:tcPr>
            <w:tcW w:w="0" w:type="auto"/>
            <w:shd w:val="clear" w:color="auto" w:fill="FFFFFF"/>
            <w:tcMar>
              <w:top w:w="0" w:type="dxa"/>
              <w:left w:w="85" w:type="dxa"/>
              <w:bottom w:w="0" w:type="dxa"/>
              <w:right w:w="85" w:type="dxa"/>
            </w:tcMar>
          </w:tcPr>
          <w:p w14:paraId="3A6F61EC"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77.7</w:t>
            </w:r>
          </w:p>
        </w:tc>
        <w:tc>
          <w:tcPr>
            <w:tcW w:w="2133" w:type="dxa"/>
            <w:shd w:val="clear" w:color="auto" w:fill="FFFFFF"/>
            <w:tcMar>
              <w:top w:w="0" w:type="dxa"/>
              <w:left w:w="85" w:type="dxa"/>
              <w:bottom w:w="0" w:type="dxa"/>
              <w:right w:w="85" w:type="dxa"/>
            </w:tcMar>
          </w:tcPr>
          <w:p w14:paraId="5E0C5D32"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5.1</w:t>
            </w:r>
          </w:p>
        </w:tc>
        <w:tc>
          <w:tcPr>
            <w:tcW w:w="1690" w:type="dxa"/>
            <w:shd w:val="clear" w:color="auto" w:fill="FFFFFF"/>
            <w:tcMar>
              <w:top w:w="0" w:type="dxa"/>
              <w:left w:w="85" w:type="dxa"/>
              <w:bottom w:w="0" w:type="dxa"/>
              <w:right w:w="85" w:type="dxa"/>
            </w:tcMar>
          </w:tcPr>
          <w:p w14:paraId="1B60256D"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155.8</w:t>
            </w:r>
          </w:p>
        </w:tc>
      </w:tr>
      <w:tr w:rsidR="00BC0FD7" w:rsidRPr="001D5327" w14:paraId="15ABDFBC" w14:textId="77777777" w:rsidTr="006F6F93">
        <w:tc>
          <w:tcPr>
            <w:tcW w:w="0" w:type="auto"/>
            <w:shd w:val="clear" w:color="auto" w:fill="FFFFFF"/>
            <w:tcMar>
              <w:top w:w="0" w:type="dxa"/>
              <w:left w:w="85" w:type="dxa"/>
              <w:bottom w:w="0" w:type="dxa"/>
              <w:right w:w="85" w:type="dxa"/>
            </w:tcMar>
          </w:tcPr>
          <w:p w14:paraId="5BA59B35" w14:textId="77777777" w:rsidR="00BC0FD7" w:rsidRPr="001D5327" w:rsidRDefault="00BC0FD7" w:rsidP="00BA0D88">
            <w:pPr>
              <w:pStyle w:val="Tableboldblue"/>
              <w:spacing w:before="40" w:after="40"/>
              <w:rPr>
                <w:rFonts w:cs="Calibri"/>
                <w:szCs w:val="16"/>
              </w:rPr>
            </w:pPr>
            <w:r w:rsidRPr="001D5327">
              <w:rPr>
                <w:rFonts w:cs="Calibri"/>
                <w:color w:val="1B556B"/>
                <w:szCs w:val="16"/>
              </w:rPr>
              <w:t>2020</w:t>
            </w:r>
          </w:p>
        </w:tc>
        <w:tc>
          <w:tcPr>
            <w:tcW w:w="0" w:type="auto"/>
            <w:shd w:val="clear" w:color="auto" w:fill="FFFFFF"/>
            <w:tcMar>
              <w:top w:w="0" w:type="dxa"/>
              <w:left w:w="85" w:type="dxa"/>
              <w:bottom w:w="0" w:type="dxa"/>
              <w:right w:w="85" w:type="dxa"/>
            </w:tcMar>
          </w:tcPr>
          <w:p w14:paraId="7B402494"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73.8</w:t>
            </w:r>
          </w:p>
        </w:tc>
        <w:tc>
          <w:tcPr>
            <w:tcW w:w="0" w:type="auto"/>
            <w:shd w:val="clear" w:color="auto" w:fill="FFFFFF"/>
            <w:tcMar>
              <w:top w:w="0" w:type="dxa"/>
              <w:left w:w="85" w:type="dxa"/>
              <w:bottom w:w="0" w:type="dxa"/>
              <w:right w:w="85" w:type="dxa"/>
            </w:tcMar>
          </w:tcPr>
          <w:p w14:paraId="66C84A48"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71.8</w:t>
            </w:r>
          </w:p>
        </w:tc>
        <w:tc>
          <w:tcPr>
            <w:tcW w:w="2133" w:type="dxa"/>
            <w:shd w:val="clear" w:color="auto" w:fill="FFFFFF"/>
            <w:tcMar>
              <w:top w:w="0" w:type="dxa"/>
              <w:left w:w="85" w:type="dxa"/>
              <w:bottom w:w="0" w:type="dxa"/>
              <w:right w:w="85" w:type="dxa"/>
            </w:tcMar>
          </w:tcPr>
          <w:p w14:paraId="2CD6AA90"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5.7</w:t>
            </w:r>
          </w:p>
        </w:tc>
        <w:tc>
          <w:tcPr>
            <w:tcW w:w="1690" w:type="dxa"/>
            <w:shd w:val="clear" w:color="auto" w:fill="FFFFFF"/>
            <w:tcMar>
              <w:top w:w="0" w:type="dxa"/>
              <w:left w:w="85" w:type="dxa"/>
              <w:bottom w:w="0" w:type="dxa"/>
              <w:right w:w="85" w:type="dxa"/>
            </w:tcMar>
          </w:tcPr>
          <w:p w14:paraId="425A1A33"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151.2</w:t>
            </w:r>
          </w:p>
        </w:tc>
      </w:tr>
      <w:tr w:rsidR="00BC0FD7" w:rsidRPr="001D5327" w14:paraId="0D0D8F58" w14:textId="77777777" w:rsidTr="006F6F93">
        <w:tc>
          <w:tcPr>
            <w:tcW w:w="0" w:type="auto"/>
            <w:shd w:val="clear" w:color="auto" w:fill="FFFFFF"/>
            <w:tcMar>
              <w:top w:w="0" w:type="dxa"/>
              <w:left w:w="85" w:type="dxa"/>
              <w:bottom w:w="0" w:type="dxa"/>
              <w:right w:w="85" w:type="dxa"/>
            </w:tcMar>
          </w:tcPr>
          <w:p w14:paraId="7DB2F487" w14:textId="77777777" w:rsidR="00BC0FD7" w:rsidRPr="001D5327" w:rsidRDefault="00BC0FD7" w:rsidP="00BA0D88">
            <w:pPr>
              <w:pStyle w:val="Tableboldblue"/>
              <w:spacing w:before="40" w:after="40"/>
              <w:rPr>
                <w:rFonts w:cs="Calibri"/>
                <w:szCs w:val="16"/>
              </w:rPr>
            </w:pPr>
            <w:r w:rsidRPr="001D5327">
              <w:rPr>
                <w:rFonts w:cs="Calibri"/>
                <w:color w:val="1B556B"/>
                <w:szCs w:val="16"/>
              </w:rPr>
              <w:t>2021</w:t>
            </w:r>
          </w:p>
        </w:tc>
        <w:tc>
          <w:tcPr>
            <w:tcW w:w="0" w:type="auto"/>
            <w:shd w:val="clear" w:color="auto" w:fill="FFFFFF"/>
            <w:tcMar>
              <w:top w:w="0" w:type="dxa"/>
              <w:left w:w="85" w:type="dxa"/>
              <w:bottom w:w="0" w:type="dxa"/>
              <w:right w:w="85" w:type="dxa"/>
            </w:tcMar>
          </w:tcPr>
          <w:p w14:paraId="555BD8F3"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74.6</w:t>
            </w:r>
          </w:p>
        </w:tc>
        <w:tc>
          <w:tcPr>
            <w:tcW w:w="0" w:type="auto"/>
            <w:shd w:val="clear" w:color="auto" w:fill="FFFFFF"/>
            <w:tcMar>
              <w:top w:w="0" w:type="dxa"/>
              <w:left w:w="85" w:type="dxa"/>
              <w:bottom w:w="0" w:type="dxa"/>
              <w:right w:w="85" w:type="dxa"/>
            </w:tcMar>
          </w:tcPr>
          <w:p w14:paraId="3F9ED07F"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68.2</w:t>
            </w:r>
          </w:p>
        </w:tc>
        <w:tc>
          <w:tcPr>
            <w:tcW w:w="2133" w:type="dxa"/>
            <w:shd w:val="clear" w:color="auto" w:fill="FFFFFF"/>
            <w:tcMar>
              <w:top w:w="0" w:type="dxa"/>
              <w:left w:w="85" w:type="dxa"/>
              <w:bottom w:w="0" w:type="dxa"/>
              <w:right w:w="85" w:type="dxa"/>
            </w:tcMar>
          </w:tcPr>
          <w:p w14:paraId="4AB17965"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4.6</w:t>
            </w:r>
          </w:p>
        </w:tc>
        <w:tc>
          <w:tcPr>
            <w:tcW w:w="1690" w:type="dxa"/>
            <w:shd w:val="clear" w:color="auto" w:fill="FFFFFF"/>
            <w:tcMar>
              <w:top w:w="0" w:type="dxa"/>
              <w:left w:w="85" w:type="dxa"/>
              <w:bottom w:w="0" w:type="dxa"/>
              <w:right w:w="85" w:type="dxa"/>
            </w:tcMar>
          </w:tcPr>
          <w:p w14:paraId="158AE8B1"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147.4</w:t>
            </w:r>
          </w:p>
        </w:tc>
      </w:tr>
      <w:tr w:rsidR="00BC0FD7" w:rsidRPr="001D5327" w14:paraId="71A540A2" w14:textId="77777777" w:rsidTr="006F6F93">
        <w:tc>
          <w:tcPr>
            <w:tcW w:w="0" w:type="auto"/>
            <w:shd w:val="clear" w:color="auto" w:fill="FFFFFF"/>
            <w:tcMar>
              <w:top w:w="0" w:type="dxa"/>
              <w:left w:w="85" w:type="dxa"/>
              <w:bottom w:w="0" w:type="dxa"/>
              <w:right w:w="85" w:type="dxa"/>
            </w:tcMar>
          </w:tcPr>
          <w:p w14:paraId="5C40C98E" w14:textId="77777777" w:rsidR="00BC0FD7" w:rsidRPr="001D5327" w:rsidRDefault="00BC0FD7" w:rsidP="00BA0D88">
            <w:pPr>
              <w:pStyle w:val="Tableboldblue"/>
              <w:spacing w:before="40" w:after="40"/>
              <w:rPr>
                <w:rFonts w:cs="Calibri"/>
                <w:szCs w:val="16"/>
              </w:rPr>
            </w:pPr>
            <w:r w:rsidRPr="001D5327">
              <w:rPr>
                <w:rFonts w:cs="Calibri"/>
                <w:color w:val="1B556B"/>
                <w:szCs w:val="16"/>
              </w:rPr>
              <w:t>2022</w:t>
            </w:r>
          </w:p>
        </w:tc>
        <w:tc>
          <w:tcPr>
            <w:tcW w:w="0" w:type="auto"/>
            <w:shd w:val="clear" w:color="auto" w:fill="FFFFFF"/>
            <w:tcMar>
              <w:top w:w="0" w:type="dxa"/>
              <w:left w:w="85" w:type="dxa"/>
              <w:bottom w:w="0" w:type="dxa"/>
              <w:right w:w="85" w:type="dxa"/>
            </w:tcMar>
          </w:tcPr>
          <w:p w14:paraId="3C813B55"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72.7</w:t>
            </w:r>
          </w:p>
        </w:tc>
        <w:tc>
          <w:tcPr>
            <w:tcW w:w="0" w:type="auto"/>
            <w:shd w:val="clear" w:color="auto" w:fill="FFFFFF"/>
            <w:tcMar>
              <w:top w:w="0" w:type="dxa"/>
              <w:left w:w="85" w:type="dxa"/>
              <w:bottom w:w="0" w:type="dxa"/>
              <w:right w:w="85" w:type="dxa"/>
            </w:tcMar>
          </w:tcPr>
          <w:p w14:paraId="44CDF130"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61.0</w:t>
            </w:r>
          </w:p>
        </w:tc>
        <w:tc>
          <w:tcPr>
            <w:tcW w:w="2133" w:type="dxa"/>
            <w:shd w:val="clear" w:color="auto" w:fill="FFFFFF"/>
            <w:tcMar>
              <w:top w:w="0" w:type="dxa"/>
              <w:left w:w="85" w:type="dxa"/>
              <w:bottom w:w="0" w:type="dxa"/>
              <w:right w:w="85" w:type="dxa"/>
            </w:tcMar>
          </w:tcPr>
          <w:p w14:paraId="2BAA98F4"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6.6</w:t>
            </w:r>
          </w:p>
        </w:tc>
        <w:tc>
          <w:tcPr>
            <w:tcW w:w="1690" w:type="dxa"/>
            <w:shd w:val="clear" w:color="auto" w:fill="FFFFFF"/>
            <w:tcMar>
              <w:top w:w="0" w:type="dxa"/>
              <w:left w:w="85" w:type="dxa"/>
              <w:bottom w:w="0" w:type="dxa"/>
              <w:right w:w="85" w:type="dxa"/>
            </w:tcMar>
          </w:tcPr>
          <w:p w14:paraId="4ABA8C4D"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140.3</w:t>
            </w:r>
          </w:p>
        </w:tc>
      </w:tr>
      <w:tr w:rsidR="00BC0FD7" w:rsidRPr="001D5327" w14:paraId="31F716B8" w14:textId="77777777" w:rsidTr="006F6F93">
        <w:tc>
          <w:tcPr>
            <w:tcW w:w="0" w:type="auto"/>
            <w:shd w:val="clear" w:color="auto" w:fill="FFFFFF"/>
            <w:tcMar>
              <w:top w:w="0" w:type="dxa"/>
              <w:left w:w="85" w:type="dxa"/>
              <w:bottom w:w="0" w:type="dxa"/>
              <w:right w:w="85" w:type="dxa"/>
            </w:tcMar>
          </w:tcPr>
          <w:p w14:paraId="6BAD7ECF" w14:textId="77777777" w:rsidR="00BC0FD7" w:rsidRPr="001D5327" w:rsidRDefault="00BC0FD7" w:rsidP="00BA0D88">
            <w:pPr>
              <w:pStyle w:val="Tableboldblue"/>
              <w:spacing w:before="40" w:after="40"/>
              <w:rPr>
                <w:rFonts w:cs="Calibri"/>
                <w:szCs w:val="16"/>
              </w:rPr>
            </w:pPr>
            <w:r w:rsidRPr="001D5327">
              <w:rPr>
                <w:rFonts w:cs="Calibri"/>
                <w:color w:val="1B556B"/>
                <w:szCs w:val="16"/>
              </w:rPr>
              <w:t>2023</w:t>
            </w:r>
          </w:p>
        </w:tc>
        <w:tc>
          <w:tcPr>
            <w:tcW w:w="0" w:type="auto"/>
            <w:shd w:val="clear" w:color="auto" w:fill="FFFFFF"/>
            <w:tcMar>
              <w:top w:w="0" w:type="dxa"/>
              <w:left w:w="85" w:type="dxa"/>
              <w:bottom w:w="0" w:type="dxa"/>
              <w:right w:w="85" w:type="dxa"/>
            </w:tcMar>
          </w:tcPr>
          <w:p w14:paraId="79E6C40E"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74.2</w:t>
            </w:r>
          </w:p>
        </w:tc>
        <w:tc>
          <w:tcPr>
            <w:tcW w:w="0" w:type="auto"/>
            <w:shd w:val="clear" w:color="auto" w:fill="FFFFFF"/>
            <w:tcMar>
              <w:top w:w="0" w:type="dxa"/>
              <w:left w:w="85" w:type="dxa"/>
              <w:bottom w:w="0" w:type="dxa"/>
              <w:right w:w="85" w:type="dxa"/>
            </w:tcMar>
          </w:tcPr>
          <w:p w14:paraId="24FC4CD7"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50.6</w:t>
            </w:r>
          </w:p>
        </w:tc>
        <w:tc>
          <w:tcPr>
            <w:tcW w:w="2133" w:type="dxa"/>
            <w:shd w:val="clear" w:color="auto" w:fill="FFFFFF"/>
            <w:tcMar>
              <w:top w:w="0" w:type="dxa"/>
              <w:left w:w="85" w:type="dxa"/>
              <w:bottom w:w="0" w:type="dxa"/>
              <w:right w:w="85" w:type="dxa"/>
            </w:tcMar>
          </w:tcPr>
          <w:p w14:paraId="7E1CA267"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6.2</w:t>
            </w:r>
          </w:p>
        </w:tc>
        <w:tc>
          <w:tcPr>
            <w:tcW w:w="1690" w:type="dxa"/>
            <w:shd w:val="clear" w:color="auto" w:fill="FFFFFF"/>
            <w:tcMar>
              <w:top w:w="0" w:type="dxa"/>
              <w:left w:w="85" w:type="dxa"/>
              <w:bottom w:w="0" w:type="dxa"/>
              <w:right w:w="85" w:type="dxa"/>
            </w:tcMar>
          </w:tcPr>
          <w:p w14:paraId="2B8F4281" w14:textId="77777777" w:rsidR="00BC0FD7" w:rsidRPr="001D5327" w:rsidRDefault="00BC0FD7" w:rsidP="00BA0D88">
            <w:pPr>
              <w:pStyle w:val="TableText"/>
              <w:spacing w:before="40" w:after="40"/>
              <w:jc w:val="right"/>
              <w:rPr>
                <w:rFonts w:cs="Calibri"/>
                <w:szCs w:val="16"/>
              </w:rPr>
            </w:pPr>
            <w:r w:rsidRPr="001D5327">
              <w:rPr>
                <w:rFonts w:eastAsia="Calibri" w:cs="Calibri"/>
                <w:color w:val="000000"/>
                <w:szCs w:val="16"/>
              </w:rPr>
              <w:t>131.0</w:t>
            </w:r>
          </w:p>
        </w:tc>
      </w:tr>
    </w:tbl>
    <w:p w14:paraId="6F2F7219" w14:textId="77777777" w:rsidR="00BC0FD7" w:rsidRPr="001D5327" w:rsidRDefault="00BC0FD7" w:rsidP="00BC0FD7">
      <w:pPr>
        <w:pStyle w:val="Noteundertable"/>
      </w:pPr>
      <w:r w:rsidRPr="001D5327">
        <w:rPr>
          <w:b/>
          <w:bCs/>
        </w:rPr>
        <w:t>Note:</w:t>
      </w:r>
      <w:r w:rsidRPr="001D5327">
        <w:t xml:space="preserve"> TOW = total organic product in wastewater. Columns may not total due to rounding.</w:t>
      </w:r>
    </w:p>
    <w:p w14:paraId="0A392072" w14:textId="77777777" w:rsidR="00BC0FD7" w:rsidRPr="001D5327" w:rsidRDefault="00BC0FD7" w:rsidP="00BC0FD7">
      <w:pPr>
        <w:pStyle w:val="BodyText"/>
        <w:rPr>
          <w:spacing w:val="-2"/>
        </w:rPr>
      </w:pPr>
      <w:r w:rsidRPr="001D5327">
        <w:rPr>
          <w:spacing w:val="-2"/>
        </w:rPr>
        <w:t>Table 7.5.4 reports the activity data for the total nitrogen in effluent from industrial wastewater.</w:t>
      </w:r>
    </w:p>
    <w:p w14:paraId="4C9E7687" w14:textId="77777777" w:rsidR="00BC0FD7" w:rsidRPr="001D5327" w:rsidRDefault="00BC0FD7" w:rsidP="00BC0FD7">
      <w:pPr>
        <w:pStyle w:val="Table"/>
      </w:pPr>
      <w:bookmarkStart w:id="2871" w:name="_Toc194241819"/>
      <w:r w:rsidRPr="001D5327">
        <w:t xml:space="preserve">Table 7.5.4 </w:t>
      </w:r>
      <w:r w:rsidRPr="001D5327">
        <w:tab/>
        <w:t>Nitrogen (N) in effluent from industrial wastewater, from 1990 to 2023</w:t>
      </w:r>
      <w:bookmarkEnd w:id="2871"/>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95"/>
        <w:gridCol w:w="2048"/>
        <w:gridCol w:w="1245"/>
        <w:gridCol w:w="1637"/>
        <w:gridCol w:w="1513"/>
        <w:gridCol w:w="1556"/>
      </w:tblGrid>
      <w:tr w:rsidR="009B2807" w:rsidRPr="001D5327" w14:paraId="5F12EB7B" w14:textId="77777777" w:rsidTr="004F1621">
        <w:trPr>
          <w:tblHeader/>
        </w:trPr>
        <w:tc>
          <w:tcPr>
            <w:tcW w:w="0" w:type="auto"/>
            <w:shd w:val="clear" w:color="auto" w:fill="1B556B"/>
            <w:tcMar>
              <w:top w:w="0" w:type="dxa"/>
              <w:left w:w="85" w:type="dxa"/>
              <w:bottom w:w="0" w:type="dxa"/>
              <w:right w:w="85" w:type="dxa"/>
            </w:tcMar>
            <w:vAlign w:val="bottom"/>
          </w:tcPr>
          <w:p w14:paraId="7635ECF6" w14:textId="77777777" w:rsidR="00BC0FD7" w:rsidRPr="001D5327" w:rsidRDefault="00BC0FD7" w:rsidP="009B2807">
            <w:pPr>
              <w:pStyle w:val="TableTextBold"/>
              <w:spacing w:before="40" w:after="40"/>
              <w:rPr>
                <w:noProof w:val="0"/>
                <w:color w:val="FFFFFF" w:themeColor="background1"/>
              </w:rPr>
            </w:pPr>
            <w:r w:rsidRPr="001D5327">
              <w:rPr>
                <w:rFonts w:eastAsia="Calibri"/>
                <w:noProof w:val="0"/>
                <w:color w:val="FFFFFF" w:themeColor="background1"/>
              </w:rPr>
              <w:t>Year</w:t>
            </w:r>
          </w:p>
        </w:tc>
        <w:tc>
          <w:tcPr>
            <w:tcW w:w="0" w:type="auto"/>
            <w:shd w:val="clear" w:color="auto" w:fill="1B556B"/>
            <w:tcMar>
              <w:top w:w="0" w:type="dxa"/>
              <w:left w:w="85" w:type="dxa"/>
              <w:bottom w:w="0" w:type="dxa"/>
              <w:right w:w="85" w:type="dxa"/>
            </w:tcMar>
            <w:vAlign w:val="bottom"/>
          </w:tcPr>
          <w:p w14:paraId="0DD083FE" w14:textId="77777777" w:rsidR="00BC0FD7" w:rsidRPr="001D5327" w:rsidRDefault="00BC0FD7" w:rsidP="009B2807">
            <w:pPr>
              <w:pStyle w:val="TableTextBold"/>
              <w:spacing w:before="40" w:after="40"/>
              <w:jc w:val="right"/>
              <w:rPr>
                <w:noProof w:val="0"/>
                <w:color w:val="FFFFFF" w:themeColor="background1"/>
              </w:rPr>
            </w:pPr>
            <w:r w:rsidRPr="001D5327">
              <w:rPr>
                <w:rFonts w:eastAsia="Calibri"/>
                <w:noProof w:val="0"/>
                <w:color w:val="FFFFFF" w:themeColor="background1"/>
              </w:rPr>
              <w:t>Meat industries (excl poultry) N in effluent (kt)</w:t>
            </w:r>
          </w:p>
        </w:tc>
        <w:tc>
          <w:tcPr>
            <w:tcW w:w="0" w:type="auto"/>
            <w:shd w:val="clear" w:color="auto" w:fill="1B556B"/>
            <w:tcMar>
              <w:top w:w="0" w:type="dxa"/>
              <w:left w:w="85" w:type="dxa"/>
              <w:bottom w:w="0" w:type="dxa"/>
              <w:right w:w="85" w:type="dxa"/>
            </w:tcMar>
            <w:vAlign w:val="bottom"/>
          </w:tcPr>
          <w:p w14:paraId="13646D09" w14:textId="77777777" w:rsidR="00BC0FD7" w:rsidRPr="001D5327" w:rsidRDefault="00BC0FD7" w:rsidP="009B2807">
            <w:pPr>
              <w:pStyle w:val="TableTextBold"/>
              <w:spacing w:before="40" w:after="40"/>
              <w:jc w:val="right"/>
              <w:rPr>
                <w:noProof w:val="0"/>
                <w:color w:val="FFFFFF" w:themeColor="background1"/>
              </w:rPr>
            </w:pPr>
            <w:r w:rsidRPr="001D5327">
              <w:rPr>
                <w:rFonts w:eastAsia="Calibri"/>
                <w:noProof w:val="0"/>
                <w:color w:val="FFFFFF" w:themeColor="background1"/>
              </w:rPr>
              <w:t>Poultry N in effluent (kt)</w:t>
            </w:r>
          </w:p>
        </w:tc>
        <w:tc>
          <w:tcPr>
            <w:tcW w:w="0" w:type="auto"/>
            <w:shd w:val="clear" w:color="auto" w:fill="1B556B"/>
            <w:tcMar>
              <w:top w:w="0" w:type="dxa"/>
              <w:left w:w="85" w:type="dxa"/>
              <w:bottom w:w="0" w:type="dxa"/>
              <w:right w:w="85" w:type="dxa"/>
            </w:tcMar>
            <w:vAlign w:val="bottom"/>
          </w:tcPr>
          <w:p w14:paraId="0EB7A9DF" w14:textId="77777777" w:rsidR="00BC0FD7" w:rsidRPr="001D5327" w:rsidRDefault="00BC0FD7" w:rsidP="009B2807">
            <w:pPr>
              <w:pStyle w:val="TableTextBold"/>
              <w:spacing w:before="40" w:after="40"/>
              <w:jc w:val="right"/>
              <w:rPr>
                <w:noProof w:val="0"/>
                <w:color w:val="FFFFFF" w:themeColor="background1"/>
              </w:rPr>
            </w:pPr>
            <w:r w:rsidRPr="001D5327">
              <w:rPr>
                <w:rFonts w:eastAsia="Calibri"/>
                <w:noProof w:val="0"/>
                <w:color w:val="FFFFFF" w:themeColor="background1"/>
              </w:rPr>
              <w:t>Dairy processing N in effluent (kt)</w:t>
            </w:r>
          </w:p>
        </w:tc>
        <w:tc>
          <w:tcPr>
            <w:tcW w:w="0" w:type="auto"/>
            <w:shd w:val="clear" w:color="auto" w:fill="1B556B"/>
            <w:tcMar>
              <w:top w:w="0" w:type="dxa"/>
              <w:left w:w="85" w:type="dxa"/>
              <w:bottom w:w="0" w:type="dxa"/>
              <w:right w:w="85" w:type="dxa"/>
            </w:tcMar>
            <w:vAlign w:val="bottom"/>
          </w:tcPr>
          <w:p w14:paraId="36FC7AF2" w14:textId="77777777" w:rsidR="00BC0FD7" w:rsidRPr="001D5327" w:rsidRDefault="00BC0FD7" w:rsidP="009B2807">
            <w:pPr>
              <w:pStyle w:val="TableTextBold"/>
              <w:spacing w:before="40" w:after="40"/>
              <w:jc w:val="right"/>
              <w:rPr>
                <w:noProof w:val="0"/>
                <w:color w:val="FFFFFF" w:themeColor="background1"/>
              </w:rPr>
            </w:pPr>
            <w:r w:rsidRPr="001D5327">
              <w:rPr>
                <w:rFonts w:eastAsia="Calibri"/>
                <w:noProof w:val="0"/>
                <w:color w:val="FFFFFF" w:themeColor="background1"/>
              </w:rPr>
              <w:t>Leather &amp; skins N in effluent (kt)</w:t>
            </w:r>
          </w:p>
        </w:tc>
        <w:tc>
          <w:tcPr>
            <w:tcW w:w="0" w:type="auto"/>
            <w:shd w:val="clear" w:color="auto" w:fill="1B556B"/>
            <w:tcMar>
              <w:top w:w="0" w:type="dxa"/>
              <w:left w:w="85" w:type="dxa"/>
              <w:bottom w:w="0" w:type="dxa"/>
              <w:right w:w="85" w:type="dxa"/>
            </w:tcMar>
            <w:vAlign w:val="bottom"/>
          </w:tcPr>
          <w:p w14:paraId="0F0572D4" w14:textId="77777777" w:rsidR="00BC0FD7" w:rsidRPr="001D5327" w:rsidRDefault="00BC0FD7" w:rsidP="009B2807">
            <w:pPr>
              <w:pStyle w:val="TableTextBold"/>
              <w:spacing w:before="40" w:after="40"/>
              <w:jc w:val="right"/>
              <w:rPr>
                <w:noProof w:val="0"/>
                <w:color w:val="FFFFFF" w:themeColor="background1"/>
              </w:rPr>
            </w:pPr>
            <w:r w:rsidRPr="001D5327">
              <w:rPr>
                <w:rFonts w:eastAsia="Calibri"/>
                <w:noProof w:val="0"/>
                <w:color w:val="FFFFFF" w:themeColor="background1"/>
              </w:rPr>
              <w:t>Total industrial N in effluent (kt)</w:t>
            </w:r>
          </w:p>
        </w:tc>
      </w:tr>
      <w:tr w:rsidR="009B2807" w:rsidRPr="001D5327" w14:paraId="1D5B89E3" w14:textId="77777777" w:rsidTr="004F1621">
        <w:tc>
          <w:tcPr>
            <w:tcW w:w="0" w:type="auto"/>
            <w:shd w:val="clear" w:color="auto" w:fill="FFFFFF"/>
            <w:tcMar>
              <w:top w:w="0" w:type="dxa"/>
              <w:left w:w="85" w:type="dxa"/>
              <w:bottom w:w="0" w:type="dxa"/>
              <w:right w:w="85" w:type="dxa"/>
            </w:tcMar>
          </w:tcPr>
          <w:p w14:paraId="73E0BDEC" w14:textId="77777777" w:rsidR="00BC0FD7" w:rsidRPr="001D5327" w:rsidRDefault="00BC0FD7" w:rsidP="009B2807">
            <w:pPr>
              <w:pStyle w:val="Tableboldblue"/>
              <w:spacing w:before="40" w:after="40"/>
            </w:pPr>
            <w:r w:rsidRPr="001D5327">
              <w:rPr>
                <w:color w:val="1B556B"/>
              </w:rPr>
              <w:t>1990</w:t>
            </w:r>
          </w:p>
        </w:tc>
        <w:tc>
          <w:tcPr>
            <w:tcW w:w="0" w:type="auto"/>
            <w:shd w:val="clear" w:color="auto" w:fill="FFFFFF"/>
            <w:tcMar>
              <w:top w:w="0" w:type="dxa"/>
              <w:left w:w="85" w:type="dxa"/>
              <w:bottom w:w="0" w:type="dxa"/>
              <w:right w:w="85" w:type="dxa"/>
            </w:tcMar>
          </w:tcPr>
          <w:p w14:paraId="0FE30AB0" w14:textId="77777777" w:rsidR="00BC0FD7" w:rsidRPr="001D5327" w:rsidRDefault="00BC0FD7" w:rsidP="009B2807">
            <w:pPr>
              <w:pStyle w:val="TableText"/>
              <w:spacing w:before="40" w:after="40"/>
              <w:jc w:val="right"/>
            </w:pPr>
            <w:r w:rsidRPr="001D5327">
              <w:rPr>
                <w:rFonts w:eastAsia="Calibri"/>
                <w:color w:val="000000"/>
              </w:rPr>
              <w:t>1.4</w:t>
            </w:r>
          </w:p>
        </w:tc>
        <w:tc>
          <w:tcPr>
            <w:tcW w:w="0" w:type="auto"/>
            <w:shd w:val="clear" w:color="auto" w:fill="FFFFFF"/>
            <w:tcMar>
              <w:top w:w="0" w:type="dxa"/>
              <w:left w:w="85" w:type="dxa"/>
              <w:bottom w:w="0" w:type="dxa"/>
              <w:right w:w="85" w:type="dxa"/>
            </w:tcMar>
          </w:tcPr>
          <w:p w14:paraId="141DB079" w14:textId="77777777" w:rsidR="00BC0FD7" w:rsidRPr="001D5327" w:rsidRDefault="00BC0FD7" w:rsidP="009B2807">
            <w:pPr>
              <w:pStyle w:val="TableText"/>
              <w:spacing w:before="40" w:after="40"/>
              <w:jc w:val="right"/>
            </w:pPr>
            <w:r w:rsidRPr="001D5327">
              <w:rPr>
                <w:rFonts w:eastAsia="Calibri"/>
                <w:color w:val="000000"/>
              </w:rPr>
              <w:t>0.1</w:t>
            </w:r>
          </w:p>
        </w:tc>
        <w:tc>
          <w:tcPr>
            <w:tcW w:w="0" w:type="auto"/>
            <w:shd w:val="clear" w:color="auto" w:fill="FFFFFF"/>
            <w:tcMar>
              <w:top w:w="0" w:type="dxa"/>
              <w:left w:w="85" w:type="dxa"/>
              <w:bottom w:w="0" w:type="dxa"/>
              <w:right w:w="85" w:type="dxa"/>
            </w:tcMar>
          </w:tcPr>
          <w:p w14:paraId="5207BDB7"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0E05F252" w14:textId="77777777" w:rsidR="00BC0FD7" w:rsidRPr="001D5327" w:rsidRDefault="00BC0FD7" w:rsidP="009B2807">
            <w:pPr>
              <w:pStyle w:val="TableText"/>
              <w:spacing w:before="40" w:after="40"/>
              <w:jc w:val="right"/>
            </w:pPr>
            <w:r w:rsidRPr="001D5327">
              <w:rPr>
                <w:rFonts w:eastAsia="Calibri"/>
                <w:color w:val="000000"/>
              </w:rPr>
              <w:t>1.2</w:t>
            </w:r>
          </w:p>
        </w:tc>
        <w:tc>
          <w:tcPr>
            <w:tcW w:w="0" w:type="auto"/>
            <w:shd w:val="clear" w:color="auto" w:fill="FFFFFF"/>
            <w:tcMar>
              <w:top w:w="0" w:type="dxa"/>
              <w:left w:w="85" w:type="dxa"/>
              <w:bottom w:w="0" w:type="dxa"/>
              <w:right w:w="85" w:type="dxa"/>
            </w:tcMar>
          </w:tcPr>
          <w:p w14:paraId="152DE94A" w14:textId="77777777" w:rsidR="00BC0FD7" w:rsidRPr="001D5327" w:rsidRDefault="00BC0FD7" w:rsidP="009B2807">
            <w:pPr>
              <w:pStyle w:val="TableText"/>
              <w:spacing w:before="40" w:after="40"/>
              <w:jc w:val="right"/>
            </w:pPr>
            <w:r w:rsidRPr="001D5327">
              <w:rPr>
                <w:rFonts w:eastAsia="Calibri"/>
                <w:color w:val="000000"/>
              </w:rPr>
              <w:t>2.8</w:t>
            </w:r>
          </w:p>
        </w:tc>
      </w:tr>
      <w:tr w:rsidR="009B2807" w:rsidRPr="001D5327" w14:paraId="31A2B9E7" w14:textId="77777777" w:rsidTr="004F1621">
        <w:tc>
          <w:tcPr>
            <w:tcW w:w="0" w:type="auto"/>
            <w:shd w:val="clear" w:color="auto" w:fill="FFFFFF"/>
            <w:tcMar>
              <w:top w:w="0" w:type="dxa"/>
              <w:left w:w="85" w:type="dxa"/>
              <w:bottom w:w="0" w:type="dxa"/>
              <w:right w:w="85" w:type="dxa"/>
            </w:tcMar>
          </w:tcPr>
          <w:p w14:paraId="5BC58050" w14:textId="77777777" w:rsidR="00BC0FD7" w:rsidRPr="001D5327" w:rsidRDefault="00BC0FD7" w:rsidP="009B2807">
            <w:pPr>
              <w:pStyle w:val="Tableboldblue"/>
              <w:spacing w:before="40" w:after="40"/>
            </w:pPr>
            <w:r w:rsidRPr="001D5327">
              <w:rPr>
                <w:color w:val="1B556B"/>
              </w:rPr>
              <w:t>1991</w:t>
            </w:r>
          </w:p>
        </w:tc>
        <w:tc>
          <w:tcPr>
            <w:tcW w:w="0" w:type="auto"/>
            <w:shd w:val="clear" w:color="auto" w:fill="FFFFFF"/>
            <w:tcMar>
              <w:top w:w="0" w:type="dxa"/>
              <w:left w:w="85" w:type="dxa"/>
              <w:bottom w:w="0" w:type="dxa"/>
              <w:right w:w="85" w:type="dxa"/>
            </w:tcMar>
          </w:tcPr>
          <w:p w14:paraId="42D85567" w14:textId="77777777" w:rsidR="00BC0FD7" w:rsidRPr="001D5327" w:rsidRDefault="00BC0FD7" w:rsidP="009B2807">
            <w:pPr>
              <w:pStyle w:val="TableText"/>
              <w:spacing w:before="40" w:after="40"/>
              <w:jc w:val="right"/>
            </w:pPr>
            <w:r w:rsidRPr="001D5327">
              <w:rPr>
                <w:rFonts w:eastAsia="Calibri"/>
                <w:color w:val="000000"/>
              </w:rPr>
              <w:t>1.5</w:t>
            </w:r>
          </w:p>
        </w:tc>
        <w:tc>
          <w:tcPr>
            <w:tcW w:w="0" w:type="auto"/>
            <w:shd w:val="clear" w:color="auto" w:fill="FFFFFF"/>
            <w:tcMar>
              <w:top w:w="0" w:type="dxa"/>
              <w:left w:w="85" w:type="dxa"/>
              <w:bottom w:w="0" w:type="dxa"/>
              <w:right w:w="85" w:type="dxa"/>
            </w:tcMar>
          </w:tcPr>
          <w:p w14:paraId="0051302E" w14:textId="77777777" w:rsidR="00BC0FD7" w:rsidRPr="001D5327" w:rsidRDefault="00BC0FD7" w:rsidP="009B2807">
            <w:pPr>
              <w:pStyle w:val="TableText"/>
              <w:spacing w:before="40" w:after="40"/>
              <w:jc w:val="right"/>
            </w:pPr>
            <w:r w:rsidRPr="001D5327">
              <w:rPr>
                <w:rFonts w:eastAsia="Calibri"/>
                <w:color w:val="000000"/>
              </w:rPr>
              <w:t>0.1</w:t>
            </w:r>
          </w:p>
        </w:tc>
        <w:tc>
          <w:tcPr>
            <w:tcW w:w="0" w:type="auto"/>
            <w:shd w:val="clear" w:color="auto" w:fill="FFFFFF"/>
            <w:tcMar>
              <w:top w:w="0" w:type="dxa"/>
              <w:left w:w="85" w:type="dxa"/>
              <w:bottom w:w="0" w:type="dxa"/>
              <w:right w:w="85" w:type="dxa"/>
            </w:tcMar>
          </w:tcPr>
          <w:p w14:paraId="45B20D6E"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5ABA220F" w14:textId="77777777" w:rsidR="00BC0FD7" w:rsidRPr="001D5327" w:rsidRDefault="00BC0FD7" w:rsidP="009B2807">
            <w:pPr>
              <w:pStyle w:val="TableText"/>
              <w:spacing w:before="40" w:after="40"/>
              <w:jc w:val="right"/>
            </w:pPr>
            <w:r w:rsidRPr="001D5327">
              <w:rPr>
                <w:rFonts w:eastAsia="Calibri"/>
                <w:color w:val="000000"/>
              </w:rPr>
              <w:t>1.2</w:t>
            </w:r>
          </w:p>
        </w:tc>
        <w:tc>
          <w:tcPr>
            <w:tcW w:w="0" w:type="auto"/>
            <w:shd w:val="clear" w:color="auto" w:fill="FFFFFF"/>
            <w:tcMar>
              <w:top w:w="0" w:type="dxa"/>
              <w:left w:w="85" w:type="dxa"/>
              <w:bottom w:w="0" w:type="dxa"/>
              <w:right w:w="85" w:type="dxa"/>
            </w:tcMar>
          </w:tcPr>
          <w:p w14:paraId="31B96D4C" w14:textId="77777777" w:rsidR="00BC0FD7" w:rsidRPr="001D5327" w:rsidRDefault="00BC0FD7" w:rsidP="009B2807">
            <w:pPr>
              <w:pStyle w:val="TableText"/>
              <w:spacing w:before="40" w:after="40"/>
              <w:jc w:val="right"/>
            </w:pPr>
            <w:r w:rsidRPr="001D5327">
              <w:rPr>
                <w:rFonts w:eastAsia="Calibri"/>
                <w:color w:val="000000"/>
              </w:rPr>
              <w:t>2.9</w:t>
            </w:r>
          </w:p>
        </w:tc>
      </w:tr>
      <w:tr w:rsidR="009B2807" w:rsidRPr="001D5327" w14:paraId="1AA4E624" w14:textId="77777777" w:rsidTr="004F1621">
        <w:tc>
          <w:tcPr>
            <w:tcW w:w="0" w:type="auto"/>
            <w:shd w:val="clear" w:color="auto" w:fill="FFFFFF"/>
            <w:tcMar>
              <w:top w:w="0" w:type="dxa"/>
              <w:left w:w="85" w:type="dxa"/>
              <w:bottom w:w="0" w:type="dxa"/>
              <w:right w:w="85" w:type="dxa"/>
            </w:tcMar>
          </w:tcPr>
          <w:p w14:paraId="4AC29CB9" w14:textId="77777777" w:rsidR="00BC0FD7" w:rsidRPr="001D5327" w:rsidRDefault="00BC0FD7" w:rsidP="009B2807">
            <w:pPr>
              <w:pStyle w:val="Tableboldblue"/>
              <w:spacing w:before="40" w:after="40"/>
            </w:pPr>
            <w:r w:rsidRPr="001D5327">
              <w:rPr>
                <w:color w:val="1B556B"/>
              </w:rPr>
              <w:t>1992</w:t>
            </w:r>
          </w:p>
        </w:tc>
        <w:tc>
          <w:tcPr>
            <w:tcW w:w="0" w:type="auto"/>
            <w:shd w:val="clear" w:color="auto" w:fill="FFFFFF"/>
            <w:tcMar>
              <w:top w:w="0" w:type="dxa"/>
              <w:left w:w="85" w:type="dxa"/>
              <w:bottom w:w="0" w:type="dxa"/>
              <w:right w:w="85" w:type="dxa"/>
            </w:tcMar>
          </w:tcPr>
          <w:p w14:paraId="27033BD3" w14:textId="77777777" w:rsidR="00BC0FD7" w:rsidRPr="001D5327" w:rsidRDefault="00BC0FD7" w:rsidP="009B2807">
            <w:pPr>
              <w:pStyle w:val="TableText"/>
              <w:spacing w:before="40" w:after="40"/>
              <w:jc w:val="right"/>
            </w:pPr>
            <w:r w:rsidRPr="001D5327">
              <w:rPr>
                <w:rFonts w:eastAsia="Calibri"/>
                <w:color w:val="000000"/>
              </w:rPr>
              <w:t>1.6</w:t>
            </w:r>
          </w:p>
        </w:tc>
        <w:tc>
          <w:tcPr>
            <w:tcW w:w="0" w:type="auto"/>
            <w:shd w:val="clear" w:color="auto" w:fill="FFFFFF"/>
            <w:tcMar>
              <w:top w:w="0" w:type="dxa"/>
              <w:left w:w="85" w:type="dxa"/>
              <w:bottom w:w="0" w:type="dxa"/>
              <w:right w:w="85" w:type="dxa"/>
            </w:tcMar>
          </w:tcPr>
          <w:p w14:paraId="421AE698" w14:textId="77777777" w:rsidR="00BC0FD7" w:rsidRPr="001D5327" w:rsidRDefault="00BC0FD7" w:rsidP="009B2807">
            <w:pPr>
              <w:pStyle w:val="TableText"/>
              <w:spacing w:before="40" w:after="40"/>
              <w:jc w:val="right"/>
            </w:pPr>
            <w:r w:rsidRPr="001D5327">
              <w:rPr>
                <w:rFonts w:eastAsia="Calibri"/>
                <w:color w:val="000000"/>
              </w:rPr>
              <w:t>0.1</w:t>
            </w:r>
          </w:p>
        </w:tc>
        <w:tc>
          <w:tcPr>
            <w:tcW w:w="0" w:type="auto"/>
            <w:shd w:val="clear" w:color="auto" w:fill="FFFFFF"/>
            <w:tcMar>
              <w:top w:w="0" w:type="dxa"/>
              <w:left w:w="85" w:type="dxa"/>
              <w:bottom w:w="0" w:type="dxa"/>
              <w:right w:w="85" w:type="dxa"/>
            </w:tcMar>
          </w:tcPr>
          <w:p w14:paraId="1D0D2000"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1B915E1E" w14:textId="77777777" w:rsidR="00BC0FD7" w:rsidRPr="001D5327" w:rsidRDefault="00BC0FD7" w:rsidP="009B2807">
            <w:pPr>
              <w:pStyle w:val="TableText"/>
              <w:spacing w:before="40" w:after="40"/>
              <w:jc w:val="right"/>
            </w:pPr>
            <w:r w:rsidRPr="001D5327">
              <w:rPr>
                <w:rFonts w:eastAsia="Calibri"/>
                <w:color w:val="000000"/>
              </w:rPr>
              <w:t>1.2</w:t>
            </w:r>
          </w:p>
        </w:tc>
        <w:tc>
          <w:tcPr>
            <w:tcW w:w="0" w:type="auto"/>
            <w:shd w:val="clear" w:color="auto" w:fill="FFFFFF"/>
            <w:tcMar>
              <w:top w:w="0" w:type="dxa"/>
              <w:left w:w="85" w:type="dxa"/>
              <w:bottom w:w="0" w:type="dxa"/>
              <w:right w:w="85" w:type="dxa"/>
            </w:tcMar>
          </w:tcPr>
          <w:p w14:paraId="32D46EA1" w14:textId="77777777" w:rsidR="00BC0FD7" w:rsidRPr="001D5327" w:rsidRDefault="00BC0FD7" w:rsidP="009B2807">
            <w:pPr>
              <w:pStyle w:val="TableText"/>
              <w:spacing w:before="40" w:after="40"/>
              <w:jc w:val="right"/>
            </w:pPr>
            <w:r w:rsidRPr="001D5327">
              <w:rPr>
                <w:rFonts w:eastAsia="Calibri"/>
                <w:color w:val="000000"/>
              </w:rPr>
              <w:t>3.1</w:t>
            </w:r>
          </w:p>
        </w:tc>
      </w:tr>
      <w:tr w:rsidR="009B2807" w:rsidRPr="001D5327" w14:paraId="1B945CA6" w14:textId="77777777" w:rsidTr="004F1621">
        <w:tc>
          <w:tcPr>
            <w:tcW w:w="0" w:type="auto"/>
            <w:shd w:val="clear" w:color="auto" w:fill="FFFFFF"/>
            <w:tcMar>
              <w:top w:w="0" w:type="dxa"/>
              <w:left w:w="85" w:type="dxa"/>
              <w:bottom w:w="0" w:type="dxa"/>
              <w:right w:w="85" w:type="dxa"/>
            </w:tcMar>
          </w:tcPr>
          <w:p w14:paraId="431DA9C7" w14:textId="77777777" w:rsidR="00BC0FD7" w:rsidRPr="001D5327" w:rsidRDefault="00BC0FD7" w:rsidP="009B2807">
            <w:pPr>
              <w:pStyle w:val="Tableboldblue"/>
              <w:spacing w:before="40" w:after="40"/>
            </w:pPr>
            <w:r w:rsidRPr="001D5327">
              <w:rPr>
                <w:color w:val="1B556B"/>
              </w:rPr>
              <w:t>1993</w:t>
            </w:r>
          </w:p>
        </w:tc>
        <w:tc>
          <w:tcPr>
            <w:tcW w:w="0" w:type="auto"/>
            <w:shd w:val="clear" w:color="auto" w:fill="FFFFFF"/>
            <w:tcMar>
              <w:top w:w="0" w:type="dxa"/>
              <w:left w:w="85" w:type="dxa"/>
              <w:bottom w:w="0" w:type="dxa"/>
              <w:right w:w="85" w:type="dxa"/>
            </w:tcMar>
          </w:tcPr>
          <w:p w14:paraId="640701B2" w14:textId="77777777" w:rsidR="00BC0FD7" w:rsidRPr="001D5327" w:rsidRDefault="00BC0FD7" w:rsidP="009B2807">
            <w:pPr>
              <w:pStyle w:val="TableText"/>
              <w:spacing w:before="40" w:after="40"/>
              <w:jc w:val="right"/>
            </w:pPr>
            <w:r w:rsidRPr="001D5327">
              <w:rPr>
                <w:rFonts w:eastAsia="Calibri"/>
                <w:color w:val="000000"/>
              </w:rPr>
              <w:t>1.4</w:t>
            </w:r>
          </w:p>
        </w:tc>
        <w:tc>
          <w:tcPr>
            <w:tcW w:w="0" w:type="auto"/>
            <w:shd w:val="clear" w:color="auto" w:fill="FFFFFF"/>
            <w:tcMar>
              <w:top w:w="0" w:type="dxa"/>
              <w:left w:w="85" w:type="dxa"/>
              <w:bottom w:w="0" w:type="dxa"/>
              <w:right w:w="85" w:type="dxa"/>
            </w:tcMar>
          </w:tcPr>
          <w:p w14:paraId="7BD8F1A9" w14:textId="77777777" w:rsidR="00BC0FD7" w:rsidRPr="001D5327" w:rsidRDefault="00BC0FD7" w:rsidP="009B2807">
            <w:pPr>
              <w:pStyle w:val="TableText"/>
              <w:spacing w:before="40" w:after="40"/>
              <w:jc w:val="right"/>
            </w:pPr>
            <w:r w:rsidRPr="001D5327">
              <w:rPr>
                <w:rFonts w:eastAsia="Calibri"/>
                <w:color w:val="000000"/>
              </w:rPr>
              <w:t>0.1</w:t>
            </w:r>
          </w:p>
        </w:tc>
        <w:tc>
          <w:tcPr>
            <w:tcW w:w="0" w:type="auto"/>
            <w:shd w:val="clear" w:color="auto" w:fill="FFFFFF"/>
            <w:tcMar>
              <w:top w:w="0" w:type="dxa"/>
              <w:left w:w="85" w:type="dxa"/>
              <w:bottom w:w="0" w:type="dxa"/>
              <w:right w:w="85" w:type="dxa"/>
            </w:tcMar>
          </w:tcPr>
          <w:p w14:paraId="4CBBE518"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5F509791" w14:textId="77777777" w:rsidR="00BC0FD7" w:rsidRPr="001D5327" w:rsidRDefault="00BC0FD7" w:rsidP="009B2807">
            <w:pPr>
              <w:pStyle w:val="TableText"/>
              <w:spacing w:before="40" w:after="40"/>
              <w:jc w:val="right"/>
            </w:pPr>
            <w:r w:rsidRPr="001D5327">
              <w:rPr>
                <w:rFonts w:eastAsia="Calibri"/>
                <w:color w:val="000000"/>
              </w:rPr>
              <w:t>1.2</w:t>
            </w:r>
          </w:p>
        </w:tc>
        <w:tc>
          <w:tcPr>
            <w:tcW w:w="0" w:type="auto"/>
            <w:shd w:val="clear" w:color="auto" w:fill="FFFFFF"/>
            <w:tcMar>
              <w:top w:w="0" w:type="dxa"/>
              <w:left w:w="85" w:type="dxa"/>
              <w:bottom w:w="0" w:type="dxa"/>
              <w:right w:w="85" w:type="dxa"/>
            </w:tcMar>
          </w:tcPr>
          <w:p w14:paraId="31D38B50" w14:textId="77777777" w:rsidR="00BC0FD7" w:rsidRPr="001D5327" w:rsidRDefault="00BC0FD7" w:rsidP="009B2807">
            <w:pPr>
              <w:pStyle w:val="TableText"/>
              <w:spacing w:before="40" w:after="40"/>
              <w:jc w:val="right"/>
            </w:pPr>
            <w:r w:rsidRPr="001D5327">
              <w:rPr>
                <w:rFonts w:eastAsia="Calibri"/>
                <w:color w:val="000000"/>
              </w:rPr>
              <w:t>2.9</w:t>
            </w:r>
          </w:p>
        </w:tc>
      </w:tr>
      <w:tr w:rsidR="009B2807" w:rsidRPr="001D5327" w14:paraId="39A04D6F" w14:textId="77777777" w:rsidTr="004F1621">
        <w:tc>
          <w:tcPr>
            <w:tcW w:w="0" w:type="auto"/>
            <w:shd w:val="clear" w:color="auto" w:fill="FFFFFF"/>
            <w:tcMar>
              <w:top w:w="0" w:type="dxa"/>
              <w:left w:w="85" w:type="dxa"/>
              <w:bottom w:w="0" w:type="dxa"/>
              <w:right w:w="85" w:type="dxa"/>
            </w:tcMar>
          </w:tcPr>
          <w:p w14:paraId="25B304F4" w14:textId="77777777" w:rsidR="00BC0FD7" w:rsidRPr="001D5327" w:rsidRDefault="00BC0FD7" w:rsidP="009B2807">
            <w:pPr>
              <w:pStyle w:val="Tableboldblue"/>
              <w:spacing w:before="40" w:after="40"/>
            </w:pPr>
            <w:r w:rsidRPr="001D5327">
              <w:rPr>
                <w:color w:val="1B556B"/>
              </w:rPr>
              <w:t>1994</w:t>
            </w:r>
          </w:p>
        </w:tc>
        <w:tc>
          <w:tcPr>
            <w:tcW w:w="0" w:type="auto"/>
            <w:shd w:val="clear" w:color="auto" w:fill="FFFFFF"/>
            <w:tcMar>
              <w:top w:w="0" w:type="dxa"/>
              <w:left w:w="85" w:type="dxa"/>
              <w:bottom w:w="0" w:type="dxa"/>
              <w:right w:w="85" w:type="dxa"/>
            </w:tcMar>
          </w:tcPr>
          <w:p w14:paraId="5FD1C467" w14:textId="77777777" w:rsidR="00BC0FD7" w:rsidRPr="001D5327" w:rsidRDefault="00BC0FD7" w:rsidP="009B2807">
            <w:pPr>
              <w:pStyle w:val="TableText"/>
              <w:spacing w:before="40" w:after="40"/>
              <w:jc w:val="right"/>
            </w:pPr>
            <w:r w:rsidRPr="001D5327">
              <w:rPr>
                <w:rFonts w:eastAsia="Calibri"/>
                <w:color w:val="000000"/>
              </w:rPr>
              <w:t>1.5</w:t>
            </w:r>
          </w:p>
        </w:tc>
        <w:tc>
          <w:tcPr>
            <w:tcW w:w="0" w:type="auto"/>
            <w:shd w:val="clear" w:color="auto" w:fill="FFFFFF"/>
            <w:tcMar>
              <w:top w:w="0" w:type="dxa"/>
              <w:left w:w="85" w:type="dxa"/>
              <w:bottom w:w="0" w:type="dxa"/>
              <w:right w:w="85" w:type="dxa"/>
            </w:tcMar>
          </w:tcPr>
          <w:p w14:paraId="0D68935D" w14:textId="77777777" w:rsidR="00BC0FD7" w:rsidRPr="001D5327" w:rsidRDefault="00BC0FD7" w:rsidP="009B2807">
            <w:pPr>
              <w:pStyle w:val="TableText"/>
              <w:spacing w:before="40" w:after="40"/>
              <w:jc w:val="right"/>
            </w:pPr>
            <w:r w:rsidRPr="001D5327">
              <w:rPr>
                <w:rFonts w:eastAsia="Calibri"/>
                <w:color w:val="000000"/>
              </w:rPr>
              <w:t>0.1</w:t>
            </w:r>
          </w:p>
        </w:tc>
        <w:tc>
          <w:tcPr>
            <w:tcW w:w="0" w:type="auto"/>
            <w:shd w:val="clear" w:color="auto" w:fill="FFFFFF"/>
            <w:tcMar>
              <w:top w:w="0" w:type="dxa"/>
              <w:left w:w="85" w:type="dxa"/>
              <w:bottom w:w="0" w:type="dxa"/>
              <w:right w:w="85" w:type="dxa"/>
            </w:tcMar>
          </w:tcPr>
          <w:p w14:paraId="7FEA187E"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52BAA570" w14:textId="77777777" w:rsidR="00BC0FD7" w:rsidRPr="001D5327" w:rsidRDefault="00BC0FD7" w:rsidP="009B2807">
            <w:pPr>
              <w:pStyle w:val="TableText"/>
              <w:spacing w:before="40" w:after="40"/>
              <w:jc w:val="right"/>
            </w:pPr>
            <w:r w:rsidRPr="001D5327">
              <w:rPr>
                <w:rFonts w:eastAsia="Calibri"/>
                <w:color w:val="000000"/>
              </w:rPr>
              <w:t>1.2</w:t>
            </w:r>
          </w:p>
        </w:tc>
        <w:tc>
          <w:tcPr>
            <w:tcW w:w="0" w:type="auto"/>
            <w:shd w:val="clear" w:color="auto" w:fill="FFFFFF"/>
            <w:tcMar>
              <w:top w:w="0" w:type="dxa"/>
              <w:left w:w="85" w:type="dxa"/>
              <w:bottom w:w="0" w:type="dxa"/>
              <w:right w:w="85" w:type="dxa"/>
            </w:tcMar>
          </w:tcPr>
          <w:p w14:paraId="5D69A9B4" w14:textId="77777777" w:rsidR="00BC0FD7" w:rsidRPr="001D5327" w:rsidRDefault="00BC0FD7" w:rsidP="009B2807">
            <w:pPr>
              <w:pStyle w:val="TableText"/>
              <w:spacing w:before="40" w:after="40"/>
              <w:jc w:val="right"/>
            </w:pPr>
            <w:r w:rsidRPr="001D5327">
              <w:rPr>
                <w:rFonts w:eastAsia="Calibri"/>
                <w:color w:val="000000"/>
              </w:rPr>
              <w:t>3.0</w:t>
            </w:r>
          </w:p>
        </w:tc>
      </w:tr>
      <w:tr w:rsidR="009B2807" w:rsidRPr="001D5327" w14:paraId="1043287D" w14:textId="77777777" w:rsidTr="004F1621">
        <w:tc>
          <w:tcPr>
            <w:tcW w:w="0" w:type="auto"/>
            <w:shd w:val="clear" w:color="auto" w:fill="FFFFFF"/>
            <w:tcMar>
              <w:top w:w="0" w:type="dxa"/>
              <w:left w:w="85" w:type="dxa"/>
              <w:bottom w:w="0" w:type="dxa"/>
              <w:right w:w="85" w:type="dxa"/>
            </w:tcMar>
          </w:tcPr>
          <w:p w14:paraId="55C77C81" w14:textId="77777777" w:rsidR="00BC0FD7" w:rsidRPr="001D5327" w:rsidRDefault="00BC0FD7" w:rsidP="009B2807">
            <w:pPr>
              <w:pStyle w:val="Tableboldblue"/>
              <w:spacing w:before="40" w:after="40"/>
            </w:pPr>
            <w:r w:rsidRPr="001D5327">
              <w:rPr>
                <w:color w:val="1B556B"/>
              </w:rPr>
              <w:t>1995</w:t>
            </w:r>
          </w:p>
        </w:tc>
        <w:tc>
          <w:tcPr>
            <w:tcW w:w="0" w:type="auto"/>
            <w:shd w:val="clear" w:color="auto" w:fill="FFFFFF"/>
            <w:tcMar>
              <w:top w:w="0" w:type="dxa"/>
              <w:left w:w="85" w:type="dxa"/>
              <w:bottom w:w="0" w:type="dxa"/>
              <w:right w:w="85" w:type="dxa"/>
            </w:tcMar>
          </w:tcPr>
          <w:p w14:paraId="61005141" w14:textId="77777777" w:rsidR="00BC0FD7" w:rsidRPr="001D5327" w:rsidRDefault="00BC0FD7" w:rsidP="009B2807">
            <w:pPr>
              <w:pStyle w:val="TableText"/>
              <w:spacing w:before="40" w:after="40"/>
              <w:jc w:val="right"/>
            </w:pPr>
            <w:r w:rsidRPr="001D5327">
              <w:rPr>
                <w:rFonts w:eastAsia="Calibri"/>
                <w:color w:val="000000"/>
              </w:rPr>
              <w:t>1.6</w:t>
            </w:r>
          </w:p>
        </w:tc>
        <w:tc>
          <w:tcPr>
            <w:tcW w:w="0" w:type="auto"/>
            <w:shd w:val="clear" w:color="auto" w:fill="FFFFFF"/>
            <w:tcMar>
              <w:top w:w="0" w:type="dxa"/>
              <w:left w:w="85" w:type="dxa"/>
              <w:bottom w:w="0" w:type="dxa"/>
              <w:right w:w="85" w:type="dxa"/>
            </w:tcMar>
          </w:tcPr>
          <w:p w14:paraId="643A1622" w14:textId="77777777" w:rsidR="00BC0FD7" w:rsidRPr="001D5327" w:rsidRDefault="00BC0FD7" w:rsidP="009B2807">
            <w:pPr>
              <w:pStyle w:val="TableText"/>
              <w:spacing w:before="40" w:after="40"/>
              <w:jc w:val="right"/>
            </w:pPr>
            <w:r w:rsidRPr="001D5327">
              <w:rPr>
                <w:rFonts w:eastAsia="Calibri"/>
                <w:color w:val="000000"/>
              </w:rPr>
              <w:t>0.1</w:t>
            </w:r>
          </w:p>
        </w:tc>
        <w:tc>
          <w:tcPr>
            <w:tcW w:w="0" w:type="auto"/>
            <w:shd w:val="clear" w:color="auto" w:fill="FFFFFF"/>
            <w:tcMar>
              <w:top w:w="0" w:type="dxa"/>
              <w:left w:w="85" w:type="dxa"/>
              <w:bottom w:w="0" w:type="dxa"/>
              <w:right w:w="85" w:type="dxa"/>
            </w:tcMar>
          </w:tcPr>
          <w:p w14:paraId="2370094B"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1C214E27" w14:textId="77777777" w:rsidR="00BC0FD7" w:rsidRPr="001D5327" w:rsidRDefault="00BC0FD7" w:rsidP="009B2807">
            <w:pPr>
              <w:pStyle w:val="TableText"/>
              <w:spacing w:before="40" w:after="40"/>
              <w:jc w:val="right"/>
            </w:pPr>
            <w:r w:rsidRPr="001D5327">
              <w:rPr>
                <w:rFonts w:eastAsia="Calibri"/>
                <w:color w:val="000000"/>
              </w:rPr>
              <w:t>1.2</w:t>
            </w:r>
          </w:p>
        </w:tc>
        <w:tc>
          <w:tcPr>
            <w:tcW w:w="0" w:type="auto"/>
            <w:shd w:val="clear" w:color="auto" w:fill="FFFFFF"/>
            <w:tcMar>
              <w:top w:w="0" w:type="dxa"/>
              <w:left w:w="85" w:type="dxa"/>
              <w:bottom w:w="0" w:type="dxa"/>
              <w:right w:w="85" w:type="dxa"/>
            </w:tcMar>
          </w:tcPr>
          <w:p w14:paraId="44BFE1B8" w14:textId="77777777" w:rsidR="00BC0FD7" w:rsidRPr="001D5327" w:rsidRDefault="00BC0FD7" w:rsidP="009B2807">
            <w:pPr>
              <w:pStyle w:val="TableText"/>
              <w:spacing w:before="40" w:after="40"/>
              <w:jc w:val="right"/>
            </w:pPr>
            <w:r w:rsidRPr="001D5327">
              <w:rPr>
                <w:rFonts w:eastAsia="Calibri"/>
                <w:color w:val="000000"/>
              </w:rPr>
              <w:t>3.1</w:t>
            </w:r>
          </w:p>
        </w:tc>
      </w:tr>
      <w:tr w:rsidR="009B2807" w:rsidRPr="001D5327" w14:paraId="1D78823C" w14:textId="77777777" w:rsidTr="004F1621">
        <w:tc>
          <w:tcPr>
            <w:tcW w:w="0" w:type="auto"/>
            <w:shd w:val="clear" w:color="auto" w:fill="FFFFFF"/>
            <w:tcMar>
              <w:top w:w="0" w:type="dxa"/>
              <w:left w:w="85" w:type="dxa"/>
              <w:bottom w:w="0" w:type="dxa"/>
              <w:right w:w="85" w:type="dxa"/>
            </w:tcMar>
          </w:tcPr>
          <w:p w14:paraId="7B74F250" w14:textId="77777777" w:rsidR="00BC0FD7" w:rsidRPr="001D5327" w:rsidRDefault="00BC0FD7" w:rsidP="009B2807">
            <w:pPr>
              <w:pStyle w:val="Tableboldblue"/>
              <w:spacing w:before="40" w:after="40"/>
            </w:pPr>
            <w:r w:rsidRPr="001D5327">
              <w:rPr>
                <w:color w:val="1B556B"/>
              </w:rPr>
              <w:t>1996</w:t>
            </w:r>
          </w:p>
        </w:tc>
        <w:tc>
          <w:tcPr>
            <w:tcW w:w="0" w:type="auto"/>
            <w:shd w:val="clear" w:color="auto" w:fill="FFFFFF"/>
            <w:tcMar>
              <w:top w:w="0" w:type="dxa"/>
              <w:left w:w="85" w:type="dxa"/>
              <w:bottom w:w="0" w:type="dxa"/>
              <w:right w:w="85" w:type="dxa"/>
            </w:tcMar>
          </w:tcPr>
          <w:p w14:paraId="5080DC06" w14:textId="77777777" w:rsidR="00BC0FD7" w:rsidRPr="001D5327" w:rsidRDefault="00BC0FD7" w:rsidP="009B2807">
            <w:pPr>
              <w:pStyle w:val="TableText"/>
              <w:spacing w:before="40" w:after="40"/>
              <w:jc w:val="right"/>
            </w:pPr>
            <w:r w:rsidRPr="001D5327">
              <w:rPr>
                <w:rFonts w:eastAsia="Calibri"/>
                <w:color w:val="000000"/>
              </w:rPr>
              <w:t>1.6</w:t>
            </w:r>
          </w:p>
        </w:tc>
        <w:tc>
          <w:tcPr>
            <w:tcW w:w="0" w:type="auto"/>
            <w:shd w:val="clear" w:color="auto" w:fill="FFFFFF"/>
            <w:tcMar>
              <w:top w:w="0" w:type="dxa"/>
              <w:left w:w="85" w:type="dxa"/>
              <w:bottom w:w="0" w:type="dxa"/>
              <w:right w:w="85" w:type="dxa"/>
            </w:tcMar>
          </w:tcPr>
          <w:p w14:paraId="7A85C0D8" w14:textId="77777777" w:rsidR="00BC0FD7" w:rsidRPr="001D5327" w:rsidRDefault="00BC0FD7" w:rsidP="009B2807">
            <w:pPr>
              <w:pStyle w:val="TableText"/>
              <w:spacing w:before="40" w:after="40"/>
              <w:jc w:val="right"/>
            </w:pPr>
            <w:r w:rsidRPr="001D5327">
              <w:rPr>
                <w:rFonts w:eastAsia="Calibri"/>
                <w:color w:val="000000"/>
              </w:rPr>
              <w:t>0.1</w:t>
            </w:r>
          </w:p>
        </w:tc>
        <w:tc>
          <w:tcPr>
            <w:tcW w:w="0" w:type="auto"/>
            <w:shd w:val="clear" w:color="auto" w:fill="FFFFFF"/>
            <w:tcMar>
              <w:top w:w="0" w:type="dxa"/>
              <w:left w:w="85" w:type="dxa"/>
              <w:bottom w:w="0" w:type="dxa"/>
              <w:right w:w="85" w:type="dxa"/>
            </w:tcMar>
          </w:tcPr>
          <w:p w14:paraId="78442988"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69FA4B67" w14:textId="77777777" w:rsidR="00BC0FD7" w:rsidRPr="001D5327" w:rsidRDefault="00BC0FD7" w:rsidP="009B2807">
            <w:pPr>
              <w:pStyle w:val="TableText"/>
              <w:spacing w:before="40" w:after="40"/>
              <w:jc w:val="right"/>
            </w:pPr>
            <w:r w:rsidRPr="001D5327">
              <w:rPr>
                <w:rFonts w:eastAsia="Calibri"/>
                <w:color w:val="000000"/>
              </w:rPr>
              <w:t>1.2</w:t>
            </w:r>
          </w:p>
        </w:tc>
        <w:tc>
          <w:tcPr>
            <w:tcW w:w="0" w:type="auto"/>
            <w:shd w:val="clear" w:color="auto" w:fill="FFFFFF"/>
            <w:tcMar>
              <w:top w:w="0" w:type="dxa"/>
              <w:left w:w="85" w:type="dxa"/>
              <w:bottom w:w="0" w:type="dxa"/>
              <w:right w:w="85" w:type="dxa"/>
            </w:tcMar>
          </w:tcPr>
          <w:p w14:paraId="422B9824" w14:textId="77777777" w:rsidR="00BC0FD7" w:rsidRPr="001D5327" w:rsidRDefault="00BC0FD7" w:rsidP="009B2807">
            <w:pPr>
              <w:pStyle w:val="TableText"/>
              <w:spacing w:before="40" w:after="40"/>
              <w:jc w:val="right"/>
            </w:pPr>
            <w:r w:rsidRPr="001D5327">
              <w:rPr>
                <w:rFonts w:eastAsia="Calibri"/>
                <w:color w:val="000000"/>
              </w:rPr>
              <w:t>3.2</w:t>
            </w:r>
          </w:p>
        </w:tc>
      </w:tr>
      <w:tr w:rsidR="009B2807" w:rsidRPr="001D5327" w14:paraId="526E3A1C" w14:textId="77777777" w:rsidTr="004F1621">
        <w:tc>
          <w:tcPr>
            <w:tcW w:w="0" w:type="auto"/>
            <w:shd w:val="clear" w:color="auto" w:fill="FFFFFF"/>
            <w:tcMar>
              <w:top w:w="0" w:type="dxa"/>
              <w:left w:w="85" w:type="dxa"/>
              <w:bottom w:w="0" w:type="dxa"/>
              <w:right w:w="85" w:type="dxa"/>
            </w:tcMar>
          </w:tcPr>
          <w:p w14:paraId="3328F384" w14:textId="77777777" w:rsidR="00BC0FD7" w:rsidRPr="001D5327" w:rsidRDefault="00BC0FD7" w:rsidP="009B2807">
            <w:pPr>
              <w:pStyle w:val="Tableboldblue"/>
              <w:spacing w:before="40" w:after="40"/>
            </w:pPr>
            <w:r w:rsidRPr="001D5327">
              <w:rPr>
                <w:color w:val="1B556B"/>
              </w:rPr>
              <w:t>1997</w:t>
            </w:r>
          </w:p>
        </w:tc>
        <w:tc>
          <w:tcPr>
            <w:tcW w:w="0" w:type="auto"/>
            <w:shd w:val="clear" w:color="auto" w:fill="FFFFFF"/>
            <w:tcMar>
              <w:top w:w="0" w:type="dxa"/>
              <w:left w:w="85" w:type="dxa"/>
              <w:bottom w:w="0" w:type="dxa"/>
              <w:right w:w="85" w:type="dxa"/>
            </w:tcMar>
          </w:tcPr>
          <w:p w14:paraId="4512DFE0" w14:textId="77777777" w:rsidR="00BC0FD7" w:rsidRPr="001D5327" w:rsidRDefault="00BC0FD7" w:rsidP="009B2807">
            <w:pPr>
              <w:pStyle w:val="TableText"/>
              <w:spacing w:before="40" w:after="40"/>
              <w:jc w:val="right"/>
            </w:pPr>
            <w:r w:rsidRPr="001D5327">
              <w:rPr>
                <w:rFonts w:eastAsia="Calibri"/>
                <w:color w:val="000000"/>
              </w:rPr>
              <w:t>1.6</w:t>
            </w:r>
          </w:p>
        </w:tc>
        <w:tc>
          <w:tcPr>
            <w:tcW w:w="0" w:type="auto"/>
            <w:shd w:val="clear" w:color="auto" w:fill="FFFFFF"/>
            <w:tcMar>
              <w:top w:w="0" w:type="dxa"/>
              <w:left w:w="85" w:type="dxa"/>
              <w:bottom w:w="0" w:type="dxa"/>
              <w:right w:w="85" w:type="dxa"/>
            </w:tcMar>
          </w:tcPr>
          <w:p w14:paraId="002374D0" w14:textId="77777777" w:rsidR="00BC0FD7" w:rsidRPr="001D5327" w:rsidRDefault="00BC0FD7" w:rsidP="009B2807">
            <w:pPr>
              <w:pStyle w:val="TableText"/>
              <w:spacing w:before="40" w:after="40"/>
              <w:jc w:val="right"/>
            </w:pPr>
            <w:r w:rsidRPr="001D5327">
              <w:rPr>
                <w:rFonts w:eastAsia="Calibri"/>
                <w:color w:val="000000"/>
              </w:rPr>
              <w:t>0.1</w:t>
            </w:r>
          </w:p>
        </w:tc>
        <w:tc>
          <w:tcPr>
            <w:tcW w:w="0" w:type="auto"/>
            <w:shd w:val="clear" w:color="auto" w:fill="FFFFFF"/>
            <w:tcMar>
              <w:top w:w="0" w:type="dxa"/>
              <w:left w:w="85" w:type="dxa"/>
              <w:bottom w:w="0" w:type="dxa"/>
              <w:right w:w="85" w:type="dxa"/>
            </w:tcMar>
          </w:tcPr>
          <w:p w14:paraId="6B44FA45"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50421770" w14:textId="77777777" w:rsidR="00BC0FD7" w:rsidRPr="001D5327" w:rsidRDefault="00BC0FD7" w:rsidP="009B2807">
            <w:pPr>
              <w:pStyle w:val="TableText"/>
              <w:spacing w:before="40" w:after="40"/>
              <w:jc w:val="right"/>
            </w:pPr>
            <w:r w:rsidRPr="001D5327">
              <w:rPr>
                <w:rFonts w:eastAsia="Calibri"/>
                <w:color w:val="000000"/>
              </w:rPr>
              <w:t>1.2</w:t>
            </w:r>
          </w:p>
        </w:tc>
        <w:tc>
          <w:tcPr>
            <w:tcW w:w="0" w:type="auto"/>
            <w:shd w:val="clear" w:color="auto" w:fill="FFFFFF"/>
            <w:tcMar>
              <w:top w:w="0" w:type="dxa"/>
              <w:left w:w="85" w:type="dxa"/>
              <w:bottom w:w="0" w:type="dxa"/>
              <w:right w:w="85" w:type="dxa"/>
            </w:tcMar>
          </w:tcPr>
          <w:p w14:paraId="1289FAFB" w14:textId="77777777" w:rsidR="00BC0FD7" w:rsidRPr="001D5327" w:rsidRDefault="00BC0FD7" w:rsidP="009B2807">
            <w:pPr>
              <w:pStyle w:val="TableText"/>
              <w:spacing w:before="40" w:after="40"/>
              <w:jc w:val="right"/>
            </w:pPr>
            <w:r w:rsidRPr="001D5327">
              <w:rPr>
                <w:rFonts w:eastAsia="Calibri"/>
                <w:color w:val="000000"/>
              </w:rPr>
              <w:t>3.2</w:t>
            </w:r>
          </w:p>
        </w:tc>
      </w:tr>
      <w:tr w:rsidR="009B2807" w:rsidRPr="001D5327" w14:paraId="48C8117F" w14:textId="77777777" w:rsidTr="004F1621">
        <w:tc>
          <w:tcPr>
            <w:tcW w:w="0" w:type="auto"/>
            <w:shd w:val="clear" w:color="auto" w:fill="FFFFFF"/>
            <w:tcMar>
              <w:top w:w="0" w:type="dxa"/>
              <w:left w:w="85" w:type="dxa"/>
              <w:bottom w:w="0" w:type="dxa"/>
              <w:right w:w="85" w:type="dxa"/>
            </w:tcMar>
          </w:tcPr>
          <w:p w14:paraId="69B83696" w14:textId="77777777" w:rsidR="00BC0FD7" w:rsidRPr="001D5327" w:rsidRDefault="00BC0FD7" w:rsidP="009B2807">
            <w:pPr>
              <w:pStyle w:val="Tableboldblue"/>
              <w:spacing w:before="40" w:after="40"/>
            </w:pPr>
            <w:r w:rsidRPr="001D5327">
              <w:rPr>
                <w:color w:val="1B556B"/>
              </w:rPr>
              <w:t>1998</w:t>
            </w:r>
          </w:p>
        </w:tc>
        <w:tc>
          <w:tcPr>
            <w:tcW w:w="0" w:type="auto"/>
            <w:shd w:val="clear" w:color="auto" w:fill="FFFFFF"/>
            <w:tcMar>
              <w:top w:w="0" w:type="dxa"/>
              <w:left w:w="85" w:type="dxa"/>
              <w:bottom w:w="0" w:type="dxa"/>
              <w:right w:w="85" w:type="dxa"/>
            </w:tcMar>
          </w:tcPr>
          <w:p w14:paraId="5B130057" w14:textId="77777777" w:rsidR="00BC0FD7" w:rsidRPr="001D5327" w:rsidRDefault="00BC0FD7" w:rsidP="009B2807">
            <w:pPr>
              <w:pStyle w:val="TableText"/>
              <w:spacing w:before="40" w:after="40"/>
              <w:jc w:val="right"/>
            </w:pPr>
            <w:r w:rsidRPr="001D5327">
              <w:rPr>
                <w:rFonts w:eastAsia="Calibri"/>
                <w:color w:val="000000"/>
              </w:rPr>
              <w:t>1.7</w:t>
            </w:r>
          </w:p>
        </w:tc>
        <w:tc>
          <w:tcPr>
            <w:tcW w:w="0" w:type="auto"/>
            <w:shd w:val="clear" w:color="auto" w:fill="FFFFFF"/>
            <w:tcMar>
              <w:top w:w="0" w:type="dxa"/>
              <w:left w:w="85" w:type="dxa"/>
              <w:bottom w:w="0" w:type="dxa"/>
              <w:right w:w="85" w:type="dxa"/>
            </w:tcMar>
          </w:tcPr>
          <w:p w14:paraId="0301005F" w14:textId="77777777" w:rsidR="00BC0FD7" w:rsidRPr="001D5327" w:rsidRDefault="00BC0FD7" w:rsidP="009B2807">
            <w:pPr>
              <w:pStyle w:val="TableText"/>
              <w:spacing w:before="40" w:after="40"/>
              <w:jc w:val="right"/>
            </w:pPr>
            <w:r w:rsidRPr="001D5327">
              <w:rPr>
                <w:rFonts w:eastAsia="Calibri"/>
                <w:color w:val="000000"/>
              </w:rPr>
              <w:t>0.1</w:t>
            </w:r>
          </w:p>
        </w:tc>
        <w:tc>
          <w:tcPr>
            <w:tcW w:w="0" w:type="auto"/>
            <w:shd w:val="clear" w:color="auto" w:fill="FFFFFF"/>
            <w:tcMar>
              <w:top w:w="0" w:type="dxa"/>
              <w:left w:w="85" w:type="dxa"/>
              <w:bottom w:w="0" w:type="dxa"/>
              <w:right w:w="85" w:type="dxa"/>
            </w:tcMar>
          </w:tcPr>
          <w:p w14:paraId="5877EC2A"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0BABF52F" w14:textId="77777777" w:rsidR="00BC0FD7" w:rsidRPr="001D5327" w:rsidRDefault="00BC0FD7" w:rsidP="009B2807">
            <w:pPr>
              <w:pStyle w:val="TableText"/>
              <w:spacing w:before="40" w:after="40"/>
              <w:jc w:val="right"/>
            </w:pPr>
            <w:r w:rsidRPr="001D5327">
              <w:rPr>
                <w:rFonts w:eastAsia="Calibri"/>
                <w:color w:val="000000"/>
              </w:rPr>
              <w:t>1.2</w:t>
            </w:r>
          </w:p>
        </w:tc>
        <w:tc>
          <w:tcPr>
            <w:tcW w:w="0" w:type="auto"/>
            <w:shd w:val="clear" w:color="auto" w:fill="FFFFFF"/>
            <w:tcMar>
              <w:top w:w="0" w:type="dxa"/>
              <w:left w:w="85" w:type="dxa"/>
              <w:bottom w:w="0" w:type="dxa"/>
              <w:right w:w="85" w:type="dxa"/>
            </w:tcMar>
          </w:tcPr>
          <w:p w14:paraId="5EE9C219" w14:textId="77777777" w:rsidR="00BC0FD7" w:rsidRPr="001D5327" w:rsidRDefault="00BC0FD7" w:rsidP="009B2807">
            <w:pPr>
              <w:pStyle w:val="TableText"/>
              <w:spacing w:before="40" w:after="40"/>
              <w:jc w:val="right"/>
            </w:pPr>
            <w:r w:rsidRPr="001D5327">
              <w:rPr>
                <w:rFonts w:eastAsia="Calibri"/>
                <w:color w:val="000000"/>
              </w:rPr>
              <w:t>3.2</w:t>
            </w:r>
          </w:p>
        </w:tc>
      </w:tr>
      <w:tr w:rsidR="009B2807" w:rsidRPr="001D5327" w14:paraId="4006C4BA" w14:textId="77777777" w:rsidTr="004F1621">
        <w:tc>
          <w:tcPr>
            <w:tcW w:w="0" w:type="auto"/>
            <w:shd w:val="clear" w:color="auto" w:fill="FFFFFF"/>
            <w:tcMar>
              <w:top w:w="0" w:type="dxa"/>
              <w:left w:w="85" w:type="dxa"/>
              <w:bottom w:w="0" w:type="dxa"/>
              <w:right w:w="85" w:type="dxa"/>
            </w:tcMar>
          </w:tcPr>
          <w:p w14:paraId="3E541BDD" w14:textId="77777777" w:rsidR="00BC0FD7" w:rsidRPr="001D5327" w:rsidRDefault="00BC0FD7" w:rsidP="009B2807">
            <w:pPr>
              <w:pStyle w:val="Tableboldblue"/>
              <w:spacing w:before="40" w:after="40"/>
            </w:pPr>
            <w:r w:rsidRPr="001D5327">
              <w:rPr>
                <w:color w:val="1B556B"/>
              </w:rPr>
              <w:t>1999</w:t>
            </w:r>
          </w:p>
        </w:tc>
        <w:tc>
          <w:tcPr>
            <w:tcW w:w="0" w:type="auto"/>
            <w:shd w:val="clear" w:color="auto" w:fill="FFFFFF"/>
            <w:tcMar>
              <w:top w:w="0" w:type="dxa"/>
              <w:left w:w="85" w:type="dxa"/>
              <w:bottom w:w="0" w:type="dxa"/>
              <w:right w:w="85" w:type="dxa"/>
            </w:tcMar>
          </w:tcPr>
          <w:p w14:paraId="3BBDC840" w14:textId="77777777" w:rsidR="00BC0FD7" w:rsidRPr="001D5327" w:rsidRDefault="00BC0FD7" w:rsidP="009B2807">
            <w:pPr>
              <w:pStyle w:val="TableText"/>
              <w:spacing w:before="40" w:after="40"/>
              <w:jc w:val="right"/>
            </w:pPr>
            <w:r w:rsidRPr="001D5327">
              <w:rPr>
                <w:rFonts w:eastAsia="Calibri"/>
                <w:color w:val="000000"/>
              </w:rPr>
              <w:t>1.5</w:t>
            </w:r>
          </w:p>
        </w:tc>
        <w:tc>
          <w:tcPr>
            <w:tcW w:w="0" w:type="auto"/>
            <w:shd w:val="clear" w:color="auto" w:fill="FFFFFF"/>
            <w:tcMar>
              <w:top w:w="0" w:type="dxa"/>
              <w:left w:w="85" w:type="dxa"/>
              <w:bottom w:w="0" w:type="dxa"/>
              <w:right w:w="85" w:type="dxa"/>
            </w:tcMar>
          </w:tcPr>
          <w:p w14:paraId="7AB8065B" w14:textId="77777777" w:rsidR="00BC0FD7" w:rsidRPr="001D5327" w:rsidRDefault="00BC0FD7" w:rsidP="009B2807">
            <w:pPr>
              <w:pStyle w:val="TableText"/>
              <w:spacing w:before="40" w:after="40"/>
              <w:jc w:val="right"/>
            </w:pPr>
            <w:r w:rsidRPr="001D5327">
              <w:rPr>
                <w:rFonts w:eastAsia="Calibri"/>
                <w:color w:val="000000"/>
              </w:rPr>
              <w:t>0.1</w:t>
            </w:r>
          </w:p>
        </w:tc>
        <w:tc>
          <w:tcPr>
            <w:tcW w:w="0" w:type="auto"/>
            <w:shd w:val="clear" w:color="auto" w:fill="FFFFFF"/>
            <w:tcMar>
              <w:top w:w="0" w:type="dxa"/>
              <w:left w:w="85" w:type="dxa"/>
              <w:bottom w:w="0" w:type="dxa"/>
              <w:right w:w="85" w:type="dxa"/>
            </w:tcMar>
          </w:tcPr>
          <w:p w14:paraId="00D8B95D" w14:textId="77777777" w:rsidR="00BC0FD7" w:rsidRPr="001D5327" w:rsidRDefault="00BC0FD7" w:rsidP="009B2807">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154BD245" w14:textId="77777777" w:rsidR="00BC0FD7" w:rsidRPr="001D5327" w:rsidRDefault="00BC0FD7" w:rsidP="009B2807">
            <w:pPr>
              <w:pStyle w:val="TableText"/>
              <w:spacing w:before="40" w:after="40"/>
              <w:jc w:val="right"/>
            </w:pPr>
            <w:r w:rsidRPr="001D5327">
              <w:rPr>
                <w:rFonts w:eastAsia="Calibri"/>
                <w:color w:val="000000"/>
              </w:rPr>
              <w:t>1.2</w:t>
            </w:r>
          </w:p>
        </w:tc>
        <w:tc>
          <w:tcPr>
            <w:tcW w:w="0" w:type="auto"/>
            <w:shd w:val="clear" w:color="auto" w:fill="FFFFFF"/>
            <w:tcMar>
              <w:top w:w="0" w:type="dxa"/>
              <w:left w:w="85" w:type="dxa"/>
              <w:bottom w:w="0" w:type="dxa"/>
              <w:right w:w="85" w:type="dxa"/>
            </w:tcMar>
          </w:tcPr>
          <w:p w14:paraId="18CE5E5D" w14:textId="77777777" w:rsidR="00BC0FD7" w:rsidRPr="001D5327" w:rsidRDefault="00BC0FD7" w:rsidP="009B2807">
            <w:pPr>
              <w:pStyle w:val="TableText"/>
              <w:spacing w:before="40" w:after="40"/>
              <w:jc w:val="right"/>
            </w:pPr>
            <w:r w:rsidRPr="001D5327">
              <w:rPr>
                <w:rFonts w:eastAsia="Calibri"/>
                <w:color w:val="000000"/>
              </w:rPr>
              <w:t>3.1</w:t>
            </w:r>
          </w:p>
        </w:tc>
      </w:tr>
      <w:tr w:rsidR="009B2807" w:rsidRPr="001D5327" w14:paraId="6DB2DD99" w14:textId="77777777" w:rsidTr="004F1621">
        <w:tc>
          <w:tcPr>
            <w:tcW w:w="0" w:type="auto"/>
            <w:shd w:val="clear" w:color="auto" w:fill="FFFFFF"/>
            <w:tcMar>
              <w:top w:w="0" w:type="dxa"/>
              <w:left w:w="85" w:type="dxa"/>
              <w:bottom w:w="0" w:type="dxa"/>
              <w:right w:w="85" w:type="dxa"/>
            </w:tcMar>
          </w:tcPr>
          <w:p w14:paraId="5EB5F8D6" w14:textId="77777777" w:rsidR="00BC0FD7" w:rsidRPr="001D5327" w:rsidRDefault="00BC0FD7" w:rsidP="009B2807">
            <w:pPr>
              <w:pStyle w:val="Tableboldblue"/>
              <w:spacing w:before="40" w:after="40"/>
            </w:pPr>
            <w:r w:rsidRPr="001D5327">
              <w:rPr>
                <w:color w:val="1B556B"/>
              </w:rPr>
              <w:t>2000</w:t>
            </w:r>
          </w:p>
        </w:tc>
        <w:tc>
          <w:tcPr>
            <w:tcW w:w="0" w:type="auto"/>
            <w:shd w:val="clear" w:color="auto" w:fill="FFFFFF"/>
            <w:tcMar>
              <w:top w:w="0" w:type="dxa"/>
              <w:left w:w="85" w:type="dxa"/>
              <w:bottom w:w="0" w:type="dxa"/>
              <w:right w:w="85" w:type="dxa"/>
            </w:tcMar>
          </w:tcPr>
          <w:p w14:paraId="06180310" w14:textId="77777777" w:rsidR="00BC0FD7" w:rsidRPr="001D5327" w:rsidRDefault="00BC0FD7" w:rsidP="009B2807">
            <w:pPr>
              <w:pStyle w:val="TableText"/>
              <w:spacing w:before="40" w:after="40"/>
              <w:jc w:val="right"/>
            </w:pPr>
            <w:r w:rsidRPr="001D5327">
              <w:rPr>
                <w:rFonts w:eastAsia="Calibri"/>
                <w:color w:val="000000"/>
              </w:rPr>
              <w:t>1.6</w:t>
            </w:r>
          </w:p>
        </w:tc>
        <w:tc>
          <w:tcPr>
            <w:tcW w:w="0" w:type="auto"/>
            <w:shd w:val="clear" w:color="auto" w:fill="FFFFFF"/>
            <w:tcMar>
              <w:top w:w="0" w:type="dxa"/>
              <w:left w:w="85" w:type="dxa"/>
              <w:bottom w:w="0" w:type="dxa"/>
              <w:right w:w="85" w:type="dxa"/>
            </w:tcMar>
          </w:tcPr>
          <w:p w14:paraId="623A1DB4" w14:textId="77777777" w:rsidR="00BC0FD7" w:rsidRPr="001D5327" w:rsidRDefault="00BC0FD7" w:rsidP="009B2807">
            <w:pPr>
              <w:pStyle w:val="TableText"/>
              <w:spacing w:before="40" w:after="40"/>
              <w:jc w:val="right"/>
            </w:pPr>
            <w:r w:rsidRPr="001D5327">
              <w:rPr>
                <w:rFonts w:eastAsia="Calibri"/>
                <w:color w:val="000000"/>
              </w:rPr>
              <w:t>0.1</w:t>
            </w:r>
          </w:p>
        </w:tc>
        <w:tc>
          <w:tcPr>
            <w:tcW w:w="0" w:type="auto"/>
            <w:shd w:val="clear" w:color="auto" w:fill="FFFFFF"/>
            <w:tcMar>
              <w:top w:w="0" w:type="dxa"/>
              <w:left w:w="85" w:type="dxa"/>
              <w:bottom w:w="0" w:type="dxa"/>
              <w:right w:w="85" w:type="dxa"/>
            </w:tcMar>
          </w:tcPr>
          <w:p w14:paraId="6A9278A0" w14:textId="77777777" w:rsidR="00BC0FD7" w:rsidRPr="001D5327" w:rsidRDefault="00BC0FD7" w:rsidP="009B2807">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102A8418" w14:textId="77777777" w:rsidR="00BC0FD7" w:rsidRPr="001D5327" w:rsidRDefault="00BC0FD7" w:rsidP="009B2807">
            <w:pPr>
              <w:pStyle w:val="TableText"/>
              <w:spacing w:before="40" w:after="40"/>
              <w:jc w:val="right"/>
            </w:pPr>
            <w:r w:rsidRPr="001D5327">
              <w:rPr>
                <w:rFonts w:eastAsia="Calibri"/>
                <w:color w:val="000000"/>
              </w:rPr>
              <w:t>1.2</w:t>
            </w:r>
          </w:p>
        </w:tc>
        <w:tc>
          <w:tcPr>
            <w:tcW w:w="0" w:type="auto"/>
            <w:shd w:val="clear" w:color="auto" w:fill="FFFFFF"/>
            <w:tcMar>
              <w:top w:w="0" w:type="dxa"/>
              <w:left w:w="85" w:type="dxa"/>
              <w:bottom w:w="0" w:type="dxa"/>
              <w:right w:w="85" w:type="dxa"/>
            </w:tcMar>
          </w:tcPr>
          <w:p w14:paraId="4A1A4AC2" w14:textId="77777777" w:rsidR="00BC0FD7" w:rsidRPr="001D5327" w:rsidRDefault="00BC0FD7" w:rsidP="009B2807">
            <w:pPr>
              <w:pStyle w:val="TableText"/>
              <w:spacing w:before="40" w:after="40"/>
              <w:jc w:val="right"/>
            </w:pPr>
            <w:r w:rsidRPr="001D5327">
              <w:rPr>
                <w:rFonts w:eastAsia="Calibri"/>
                <w:color w:val="000000"/>
              </w:rPr>
              <w:t>3.2</w:t>
            </w:r>
          </w:p>
        </w:tc>
      </w:tr>
      <w:tr w:rsidR="009B2807" w:rsidRPr="001D5327" w14:paraId="7E94996C" w14:textId="77777777" w:rsidTr="004F1621">
        <w:tc>
          <w:tcPr>
            <w:tcW w:w="0" w:type="auto"/>
            <w:shd w:val="clear" w:color="auto" w:fill="FFFFFF"/>
            <w:tcMar>
              <w:top w:w="0" w:type="dxa"/>
              <w:left w:w="85" w:type="dxa"/>
              <w:bottom w:w="0" w:type="dxa"/>
              <w:right w:w="85" w:type="dxa"/>
            </w:tcMar>
          </w:tcPr>
          <w:p w14:paraId="01EC30B8" w14:textId="77777777" w:rsidR="00BC0FD7" w:rsidRPr="001D5327" w:rsidRDefault="00BC0FD7" w:rsidP="009B2807">
            <w:pPr>
              <w:pStyle w:val="Tableboldblue"/>
              <w:spacing w:before="40" w:after="40"/>
            </w:pPr>
            <w:r w:rsidRPr="001D5327">
              <w:rPr>
                <w:color w:val="1B556B"/>
              </w:rPr>
              <w:t>2001</w:t>
            </w:r>
          </w:p>
        </w:tc>
        <w:tc>
          <w:tcPr>
            <w:tcW w:w="0" w:type="auto"/>
            <w:shd w:val="clear" w:color="auto" w:fill="FFFFFF"/>
            <w:tcMar>
              <w:top w:w="0" w:type="dxa"/>
              <w:left w:w="85" w:type="dxa"/>
              <w:bottom w:w="0" w:type="dxa"/>
              <w:right w:w="85" w:type="dxa"/>
            </w:tcMar>
          </w:tcPr>
          <w:p w14:paraId="5D15B951" w14:textId="77777777" w:rsidR="00BC0FD7" w:rsidRPr="001D5327" w:rsidRDefault="00BC0FD7" w:rsidP="009B2807">
            <w:pPr>
              <w:pStyle w:val="TableText"/>
              <w:spacing w:before="40" w:after="40"/>
              <w:jc w:val="right"/>
            </w:pPr>
            <w:r w:rsidRPr="001D5327">
              <w:rPr>
                <w:rFonts w:eastAsia="Calibri"/>
                <w:color w:val="000000"/>
              </w:rPr>
              <w:t>1.6</w:t>
            </w:r>
          </w:p>
        </w:tc>
        <w:tc>
          <w:tcPr>
            <w:tcW w:w="0" w:type="auto"/>
            <w:shd w:val="clear" w:color="auto" w:fill="FFFFFF"/>
            <w:tcMar>
              <w:top w:w="0" w:type="dxa"/>
              <w:left w:w="85" w:type="dxa"/>
              <w:bottom w:w="0" w:type="dxa"/>
              <w:right w:w="85" w:type="dxa"/>
            </w:tcMar>
          </w:tcPr>
          <w:p w14:paraId="2573344B" w14:textId="77777777" w:rsidR="00BC0FD7" w:rsidRPr="001D5327" w:rsidRDefault="00BC0FD7" w:rsidP="009B2807">
            <w:pPr>
              <w:pStyle w:val="TableText"/>
              <w:spacing w:before="40" w:after="40"/>
              <w:jc w:val="right"/>
            </w:pPr>
            <w:r w:rsidRPr="001D5327">
              <w:rPr>
                <w:rFonts w:eastAsia="Calibri"/>
                <w:color w:val="000000"/>
              </w:rPr>
              <w:t>0.1</w:t>
            </w:r>
          </w:p>
        </w:tc>
        <w:tc>
          <w:tcPr>
            <w:tcW w:w="0" w:type="auto"/>
            <w:shd w:val="clear" w:color="auto" w:fill="FFFFFF"/>
            <w:tcMar>
              <w:top w:w="0" w:type="dxa"/>
              <w:left w:w="85" w:type="dxa"/>
              <w:bottom w:w="0" w:type="dxa"/>
              <w:right w:w="85" w:type="dxa"/>
            </w:tcMar>
          </w:tcPr>
          <w:p w14:paraId="4FA9DFE3" w14:textId="77777777" w:rsidR="00BC0FD7" w:rsidRPr="001D5327" w:rsidRDefault="00BC0FD7" w:rsidP="009B2807">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42FEDB9C" w14:textId="77777777" w:rsidR="00BC0FD7" w:rsidRPr="001D5327" w:rsidRDefault="00BC0FD7" w:rsidP="009B2807">
            <w:pPr>
              <w:pStyle w:val="TableText"/>
              <w:spacing w:before="40" w:after="40"/>
              <w:jc w:val="right"/>
            </w:pPr>
            <w:r w:rsidRPr="001D5327">
              <w:rPr>
                <w:rFonts w:eastAsia="Calibri"/>
                <w:color w:val="000000"/>
              </w:rPr>
              <w:t>1.2</w:t>
            </w:r>
          </w:p>
        </w:tc>
        <w:tc>
          <w:tcPr>
            <w:tcW w:w="0" w:type="auto"/>
            <w:shd w:val="clear" w:color="auto" w:fill="FFFFFF"/>
            <w:tcMar>
              <w:top w:w="0" w:type="dxa"/>
              <w:left w:w="85" w:type="dxa"/>
              <w:bottom w:w="0" w:type="dxa"/>
              <w:right w:w="85" w:type="dxa"/>
            </w:tcMar>
          </w:tcPr>
          <w:p w14:paraId="463BC8D6" w14:textId="77777777" w:rsidR="00BC0FD7" w:rsidRPr="001D5327" w:rsidRDefault="00BC0FD7" w:rsidP="009B2807">
            <w:pPr>
              <w:pStyle w:val="TableText"/>
              <w:spacing w:before="40" w:after="40"/>
              <w:jc w:val="right"/>
            </w:pPr>
            <w:r w:rsidRPr="001D5327">
              <w:rPr>
                <w:rFonts w:eastAsia="Calibri"/>
                <w:color w:val="000000"/>
              </w:rPr>
              <w:t>3.3</w:t>
            </w:r>
          </w:p>
        </w:tc>
      </w:tr>
      <w:tr w:rsidR="009B2807" w:rsidRPr="001D5327" w14:paraId="1BF1F3A2" w14:textId="77777777" w:rsidTr="004F1621">
        <w:tc>
          <w:tcPr>
            <w:tcW w:w="0" w:type="auto"/>
            <w:shd w:val="clear" w:color="auto" w:fill="FFFFFF"/>
            <w:tcMar>
              <w:top w:w="0" w:type="dxa"/>
              <w:left w:w="85" w:type="dxa"/>
              <w:bottom w:w="0" w:type="dxa"/>
              <w:right w:w="85" w:type="dxa"/>
            </w:tcMar>
          </w:tcPr>
          <w:p w14:paraId="25CEC2B7" w14:textId="77777777" w:rsidR="00BC0FD7" w:rsidRPr="001D5327" w:rsidRDefault="00BC0FD7" w:rsidP="009B2807">
            <w:pPr>
              <w:pStyle w:val="Tableboldblue"/>
              <w:spacing w:before="40" w:after="40"/>
            </w:pPr>
            <w:r w:rsidRPr="001D5327">
              <w:rPr>
                <w:color w:val="1B556B"/>
              </w:rPr>
              <w:t>2002</w:t>
            </w:r>
          </w:p>
        </w:tc>
        <w:tc>
          <w:tcPr>
            <w:tcW w:w="0" w:type="auto"/>
            <w:shd w:val="clear" w:color="auto" w:fill="FFFFFF"/>
            <w:tcMar>
              <w:top w:w="0" w:type="dxa"/>
              <w:left w:w="85" w:type="dxa"/>
              <w:bottom w:w="0" w:type="dxa"/>
              <w:right w:w="85" w:type="dxa"/>
            </w:tcMar>
          </w:tcPr>
          <w:p w14:paraId="0810B156" w14:textId="77777777" w:rsidR="00BC0FD7" w:rsidRPr="001D5327" w:rsidRDefault="00BC0FD7" w:rsidP="009B2807">
            <w:pPr>
              <w:pStyle w:val="TableText"/>
              <w:spacing w:before="40" w:after="40"/>
              <w:jc w:val="right"/>
            </w:pPr>
            <w:r w:rsidRPr="001D5327">
              <w:rPr>
                <w:rFonts w:eastAsia="Calibri"/>
                <w:color w:val="000000"/>
              </w:rPr>
              <w:t>1.5</w:t>
            </w:r>
          </w:p>
        </w:tc>
        <w:tc>
          <w:tcPr>
            <w:tcW w:w="0" w:type="auto"/>
            <w:shd w:val="clear" w:color="auto" w:fill="FFFFFF"/>
            <w:tcMar>
              <w:top w:w="0" w:type="dxa"/>
              <w:left w:w="85" w:type="dxa"/>
              <w:bottom w:w="0" w:type="dxa"/>
              <w:right w:w="85" w:type="dxa"/>
            </w:tcMar>
          </w:tcPr>
          <w:p w14:paraId="036FF555"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79235D1F" w14:textId="77777777" w:rsidR="00BC0FD7" w:rsidRPr="001D5327" w:rsidRDefault="00BC0FD7" w:rsidP="009B2807">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5CB864A6"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28FA0DD9" w14:textId="77777777" w:rsidR="00BC0FD7" w:rsidRPr="001D5327" w:rsidRDefault="00BC0FD7" w:rsidP="009B2807">
            <w:pPr>
              <w:pStyle w:val="TableText"/>
              <w:spacing w:before="40" w:after="40"/>
              <w:jc w:val="right"/>
            </w:pPr>
            <w:r w:rsidRPr="001D5327">
              <w:rPr>
                <w:rFonts w:eastAsia="Calibri"/>
                <w:color w:val="000000"/>
              </w:rPr>
              <w:t>2.6</w:t>
            </w:r>
          </w:p>
        </w:tc>
      </w:tr>
      <w:tr w:rsidR="009B2807" w:rsidRPr="001D5327" w14:paraId="33A64A81" w14:textId="77777777" w:rsidTr="004F1621">
        <w:tc>
          <w:tcPr>
            <w:tcW w:w="0" w:type="auto"/>
            <w:shd w:val="clear" w:color="auto" w:fill="FFFFFF"/>
            <w:tcMar>
              <w:top w:w="0" w:type="dxa"/>
              <w:left w:w="85" w:type="dxa"/>
              <w:bottom w:w="0" w:type="dxa"/>
              <w:right w:w="85" w:type="dxa"/>
            </w:tcMar>
          </w:tcPr>
          <w:p w14:paraId="2C1C515D" w14:textId="77777777" w:rsidR="00BC0FD7" w:rsidRPr="001D5327" w:rsidRDefault="00BC0FD7" w:rsidP="009B2807">
            <w:pPr>
              <w:pStyle w:val="Tableboldblue"/>
              <w:spacing w:before="40" w:after="40"/>
            </w:pPr>
            <w:r w:rsidRPr="001D5327">
              <w:rPr>
                <w:color w:val="1B556B"/>
              </w:rPr>
              <w:t>2003</w:t>
            </w:r>
          </w:p>
        </w:tc>
        <w:tc>
          <w:tcPr>
            <w:tcW w:w="0" w:type="auto"/>
            <w:shd w:val="clear" w:color="auto" w:fill="FFFFFF"/>
            <w:tcMar>
              <w:top w:w="0" w:type="dxa"/>
              <w:left w:w="85" w:type="dxa"/>
              <w:bottom w:w="0" w:type="dxa"/>
              <w:right w:w="85" w:type="dxa"/>
            </w:tcMar>
          </w:tcPr>
          <w:p w14:paraId="556A2983" w14:textId="77777777" w:rsidR="00BC0FD7" w:rsidRPr="001D5327" w:rsidRDefault="00BC0FD7" w:rsidP="009B2807">
            <w:pPr>
              <w:pStyle w:val="TableText"/>
              <w:spacing w:before="40" w:after="40"/>
              <w:jc w:val="right"/>
            </w:pPr>
            <w:r w:rsidRPr="001D5327">
              <w:rPr>
                <w:rFonts w:eastAsia="Calibri"/>
                <w:color w:val="000000"/>
              </w:rPr>
              <w:t>1.6</w:t>
            </w:r>
          </w:p>
        </w:tc>
        <w:tc>
          <w:tcPr>
            <w:tcW w:w="0" w:type="auto"/>
            <w:shd w:val="clear" w:color="auto" w:fill="FFFFFF"/>
            <w:tcMar>
              <w:top w:w="0" w:type="dxa"/>
              <w:left w:w="85" w:type="dxa"/>
              <w:bottom w:w="0" w:type="dxa"/>
              <w:right w:w="85" w:type="dxa"/>
            </w:tcMar>
          </w:tcPr>
          <w:p w14:paraId="64C7606D"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4FCB2DA2" w14:textId="77777777" w:rsidR="00BC0FD7" w:rsidRPr="001D5327" w:rsidRDefault="00BC0FD7" w:rsidP="009B2807">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40A2793E"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34120DC0" w14:textId="77777777" w:rsidR="00BC0FD7" w:rsidRPr="001D5327" w:rsidRDefault="00BC0FD7" w:rsidP="009B2807">
            <w:pPr>
              <w:pStyle w:val="TableText"/>
              <w:spacing w:before="40" w:after="40"/>
              <w:jc w:val="right"/>
            </w:pPr>
            <w:r w:rsidRPr="001D5327">
              <w:rPr>
                <w:rFonts w:eastAsia="Calibri"/>
                <w:color w:val="000000"/>
              </w:rPr>
              <w:t>2.7</w:t>
            </w:r>
          </w:p>
        </w:tc>
      </w:tr>
      <w:tr w:rsidR="009B2807" w:rsidRPr="001D5327" w14:paraId="352F7724" w14:textId="77777777" w:rsidTr="004F1621">
        <w:tc>
          <w:tcPr>
            <w:tcW w:w="0" w:type="auto"/>
            <w:shd w:val="clear" w:color="auto" w:fill="FFFFFF"/>
            <w:tcMar>
              <w:top w:w="0" w:type="dxa"/>
              <w:left w:w="85" w:type="dxa"/>
              <w:bottom w:w="0" w:type="dxa"/>
              <w:right w:w="85" w:type="dxa"/>
            </w:tcMar>
          </w:tcPr>
          <w:p w14:paraId="0D8502D8" w14:textId="77777777" w:rsidR="00BC0FD7" w:rsidRPr="001D5327" w:rsidRDefault="00BC0FD7" w:rsidP="009B2807">
            <w:pPr>
              <w:pStyle w:val="Tableboldblue"/>
              <w:spacing w:before="40" w:after="40"/>
            </w:pPr>
            <w:r w:rsidRPr="001D5327">
              <w:rPr>
                <w:color w:val="1B556B"/>
              </w:rPr>
              <w:t>2004</w:t>
            </w:r>
          </w:p>
        </w:tc>
        <w:tc>
          <w:tcPr>
            <w:tcW w:w="0" w:type="auto"/>
            <w:shd w:val="clear" w:color="auto" w:fill="FFFFFF"/>
            <w:tcMar>
              <w:top w:w="0" w:type="dxa"/>
              <w:left w:w="85" w:type="dxa"/>
              <w:bottom w:w="0" w:type="dxa"/>
              <w:right w:w="85" w:type="dxa"/>
            </w:tcMar>
          </w:tcPr>
          <w:p w14:paraId="42CAD2FD" w14:textId="77777777" w:rsidR="00BC0FD7" w:rsidRPr="001D5327" w:rsidRDefault="00BC0FD7" w:rsidP="009B2807">
            <w:pPr>
              <w:pStyle w:val="TableText"/>
              <w:spacing w:before="40" w:after="40"/>
              <w:jc w:val="right"/>
            </w:pPr>
            <w:r w:rsidRPr="001D5327">
              <w:rPr>
                <w:rFonts w:eastAsia="Calibri"/>
                <w:color w:val="000000"/>
              </w:rPr>
              <w:t>1.7</w:t>
            </w:r>
          </w:p>
        </w:tc>
        <w:tc>
          <w:tcPr>
            <w:tcW w:w="0" w:type="auto"/>
            <w:shd w:val="clear" w:color="auto" w:fill="FFFFFF"/>
            <w:tcMar>
              <w:top w:w="0" w:type="dxa"/>
              <w:left w:w="85" w:type="dxa"/>
              <w:bottom w:w="0" w:type="dxa"/>
              <w:right w:w="85" w:type="dxa"/>
            </w:tcMar>
          </w:tcPr>
          <w:p w14:paraId="7A0D086D"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6109399A" w14:textId="77777777" w:rsidR="00BC0FD7" w:rsidRPr="001D5327" w:rsidRDefault="00BC0FD7" w:rsidP="009B2807">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39F3BA76"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564521D3" w14:textId="77777777" w:rsidR="00BC0FD7" w:rsidRPr="001D5327" w:rsidRDefault="00BC0FD7" w:rsidP="009B2807">
            <w:pPr>
              <w:pStyle w:val="TableText"/>
              <w:spacing w:before="40" w:after="40"/>
              <w:jc w:val="right"/>
            </w:pPr>
            <w:r w:rsidRPr="001D5327">
              <w:rPr>
                <w:rFonts w:eastAsia="Calibri"/>
                <w:color w:val="000000"/>
              </w:rPr>
              <w:t>2.8</w:t>
            </w:r>
          </w:p>
        </w:tc>
      </w:tr>
      <w:tr w:rsidR="009B2807" w:rsidRPr="001D5327" w14:paraId="1FA01A26" w14:textId="77777777" w:rsidTr="004F1621">
        <w:tc>
          <w:tcPr>
            <w:tcW w:w="0" w:type="auto"/>
            <w:shd w:val="clear" w:color="auto" w:fill="FFFFFF"/>
            <w:tcMar>
              <w:top w:w="0" w:type="dxa"/>
              <w:left w:w="85" w:type="dxa"/>
              <w:bottom w:w="0" w:type="dxa"/>
              <w:right w:w="85" w:type="dxa"/>
            </w:tcMar>
          </w:tcPr>
          <w:p w14:paraId="78FA7199" w14:textId="77777777" w:rsidR="00BC0FD7" w:rsidRPr="001D5327" w:rsidRDefault="00BC0FD7" w:rsidP="009B2807">
            <w:pPr>
              <w:pStyle w:val="Tableboldblue"/>
              <w:spacing w:before="40" w:after="40"/>
            </w:pPr>
            <w:r w:rsidRPr="001D5327">
              <w:rPr>
                <w:color w:val="1B556B"/>
              </w:rPr>
              <w:t>2005</w:t>
            </w:r>
          </w:p>
        </w:tc>
        <w:tc>
          <w:tcPr>
            <w:tcW w:w="0" w:type="auto"/>
            <w:shd w:val="clear" w:color="auto" w:fill="FFFFFF"/>
            <w:tcMar>
              <w:top w:w="0" w:type="dxa"/>
              <w:left w:w="85" w:type="dxa"/>
              <w:bottom w:w="0" w:type="dxa"/>
              <w:right w:w="85" w:type="dxa"/>
            </w:tcMar>
          </w:tcPr>
          <w:p w14:paraId="3AE4EC66" w14:textId="77777777" w:rsidR="00BC0FD7" w:rsidRPr="001D5327" w:rsidRDefault="00BC0FD7" w:rsidP="009B2807">
            <w:pPr>
              <w:pStyle w:val="TableText"/>
              <w:spacing w:before="40" w:after="40"/>
              <w:jc w:val="right"/>
            </w:pPr>
            <w:r w:rsidRPr="001D5327">
              <w:rPr>
                <w:rFonts w:eastAsia="Calibri"/>
                <w:color w:val="000000"/>
              </w:rPr>
              <w:t>1.7</w:t>
            </w:r>
          </w:p>
        </w:tc>
        <w:tc>
          <w:tcPr>
            <w:tcW w:w="0" w:type="auto"/>
            <w:shd w:val="clear" w:color="auto" w:fill="FFFFFF"/>
            <w:tcMar>
              <w:top w:w="0" w:type="dxa"/>
              <w:left w:w="85" w:type="dxa"/>
              <w:bottom w:w="0" w:type="dxa"/>
              <w:right w:w="85" w:type="dxa"/>
            </w:tcMar>
          </w:tcPr>
          <w:p w14:paraId="7B4DDB98"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74EE4E8D" w14:textId="77777777" w:rsidR="00BC0FD7" w:rsidRPr="001D5327" w:rsidRDefault="00BC0FD7" w:rsidP="009B2807">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75486CA2"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767C74F7" w14:textId="77777777" w:rsidR="00BC0FD7" w:rsidRPr="001D5327" w:rsidRDefault="00BC0FD7" w:rsidP="009B2807">
            <w:pPr>
              <w:pStyle w:val="TableText"/>
              <w:spacing w:before="40" w:after="40"/>
              <w:jc w:val="right"/>
            </w:pPr>
            <w:r w:rsidRPr="001D5327">
              <w:rPr>
                <w:rFonts w:eastAsia="Calibri"/>
                <w:color w:val="000000"/>
              </w:rPr>
              <w:t>2.8</w:t>
            </w:r>
          </w:p>
        </w:tc>
      </w:tr>
      <w:tr w:rsidR="009B2807" w:rsidRPr="001D5327" w14:paraId="24B98B30" w14:textId="77777777" w:rsidTr="004F1621">
        <w:tc>
          <w:tcPr>
            <w:tcW w:w="0" w:type="auto"/>
            <w:shd w:val="clear" w:color="auto" w:fill="FFFFFF"/>
            <w:tcMar>
              <w:top w:w="0" w:type="dxa"/>
              <w:left w:w="85" w:type="dxa"/>
              <w:bottom w:w="0" w:type="dxa"/>
              <w:right w:w="85" w:type="dxa"/>
            </w:tcMar>
          </w:tcPr>
          <w:p w14:paraId="5C17E55E" w14:textId="77777777" w:rsidR="00BC0FD7" w:rsidRPr="001D5327" w:rsidRDefault="00BC0FD7" w:rsidP="009B2807">
            <w:pPr>
              <w:pStyle w:val="Tableboldblue"/>
              <w:spacing w:before="40" w:after="40"/>
            </w:pPr>
            <w:r w:rsidRPr="001D5327">
              <w:rPr>
                <w:color w:val="1B556B"/>
              </w:rPr>
              <w:t>2006</w:t>
            </w:r>
          </w:p>
        </w:tc>
        <w:tc>
          <w:tcPr>
            <w:tcW w:w="0" w:type="auto"/>
            <w:shd w:val="clear" w:color="auto" w:fill="FFFFFF"/>
            <w:tcMar>
              <w:top w:w="0" w:type="dxa"/>
              <w:left w:w="85" w:type="dxa"/>
              <w:bottom w:w="0" w:type="dxa"/>
              <w:right w:w="85" w:type="dxa"/>
            </w:tcMar>
          </w:tcPr>
          <w:p w14:paraId="1BC71E84" w14:textId="77777777" w:rsidR="00BC0FD7" w:rsidRPr="001D5327" w:rsidRDefault="00BC0FD7" w:rsidP="009B2807">
            <w:pPr>
              <w:pStyle w:val="TableText"/>
              <w:spacing w:before="40" w:after="40"/>
              <w:jc w:val="right"/>
            </w:pPr>
            <w:r w:rsidRPr="001D5327">
              <w:rPr>
                <w:rFonts w:eastAsia="Calibri"/>
                <w:color w:val="000000"/>
              </w:rPr>
              <w:t>1.7</w:t>
            </w:r>
          </w:p>
        </w:tc>
        <w:tc>
          <w:tcPr>
            <w:tcW w:w="0" w:type="auto"/>
            <w:shd w:val="clear" w:color="auto" w:fill="FFFFFF"/>
            <w:tcMar>
              <w:top w:w="0" w:type="dxa"/>
              <w:left w:w="85" w:type="dxa"/>
              <w:bottom w:w="0" w:type="dxa"/>
              <w:right w:w="85" w:type="dxa"/>
            </w:tcMar>
          </w:tcPr>
          <w:p w14:paraId="40EA7FDA"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7F37961F" w14:textId="77777777" w:rsidR="00BC0FD7" w:rsidRPr="001D5327" w:rsidRDefault="00BC0FD7" w:rsidP="009B2807">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128731DA"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67904525" w14:textId="77777777" w:rsidR="00BC0FD7" w:rsidRPr="001D5327" w:rsidRDefault="00BC0FD7" w:rsidP="009B2807">
            <w:pPr>
              <w:pStyle w:val="TableText"/>
              <w:spacing w:before="40" w:after="40"/>
              <w:jc w:val="right"/>
            </w:pPr>
            <w:r w:rsidRPr="001D5327">
              <w:rPr>
                <w:rFonts w:eastAsia="Calibri"/>
                <w:color w:val="000000"/>
              </w:rPr>
              <w:t>2.8</w:t>
            </w:r>
          </w:p>
        </w:tc>
      </w:tr>
      <w:tr w:rsidR="009B2807" w:rsidRPr="001D5327" w14:paraId="1608DF10" w14:textId="77777777" w:rsidTr="004F1621">
        <w:tc>
          <w:tcPr>
            <w:tcW w:w="0" w:type="auto"/>
            <w:shd w:val="clear" w:color="auto" w:fill="FFFFFF"/>
            <w:tcMar>
              <w:top w:w="0" w:type="dxa"/>
              <w:left w:w="85" w:type="dxa"/>
              <w:bottom w:w="0" w:type="dxa"/>
              <w:right w:w="85" w:type="dxa"/>
            </w:tcMar>
          </w:tcPr>
          <w:p w14:paraId="7D1D75BE" w14:textId="77777777" w:rsidR="00BC0FD7" w:rsidRPr="001D5327" w:rsidRDefault="00BC0FD7" w:rsidP="009B2807">
            <w:pPr>
              <w:pStyle w:val="Tableboldblue"/>
              <w:spacing w:before="40" w:after="40"/>
            </w:pPr>
            <w:r w:rsidRPr="001D5327">
              <w:rPr>
                <w:color w:val="1B556B"/>
              </w:rPr>
              <w:t>2007</w:t>
            </w:r>
          </w:p>
        </w:tc>
        <w:tc>
          <w:tcPr>
            <w:tcW w:w="0" w:type="auto"/>
            <w:shd w:val="clear" w:color="auto" w:fill="FFFFFF"/>
            <w:tcMar>
              <w:top w:w="0" w:type="dxa"/>
              <w:left w:w="85" w:type="dxa"/>
              <w:bottom w:w="0" w:type="dxa"/>
              <w:right w:w="85" w:type="dxa"/>
            </w:tcMar>
          </w:tcPr>
          <w:p w14:paraId="6E3AFAE6" w14:textId="77777777" w:rsidR="00BC0FD7" w:rsidRPr="001D5327" w:rsidRDefault="00BC0FD7" w:rsidP="009B2807">
            <w:pPr>
              <w:pStyle w:val="TableText"/>
              <w:spacing w:before="40" w:after="40"/>
              <w:jc w:val="right"/>
            </w:pPr>
            <w:r w:rsidRPr="001D5327">
              <w:rPr>
                <w:rFonts w:eastAsia="Calibri"/>
                <w:color w:val="000000"/>
              </w:rPr>
              <w:t>1.7</w:t>
            </w:r>
          </w:p>
        </w:tc>
        <w:tc>
          <w:tcPr>
            <w:tcW w:w="0" w:type="auto"/>
            <w:shd w:val="clear" w:color="auto" w:fill="FFFFFF"/>
            <w:tcMar>
              <w:top w:w="0" w:type="dxa"/>
              <w:left w:w="85" w:type="dxa"/>
              <w:bottom w:w="0" w:type="dxa"/>
              <w:right w:w="85" w:type="dxa"/>
            </w:tcMar>
          </w:tcPr>
          <w:p w14:paraId="67B83393"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209F8F82" w14:textId="77777777" w:rsidR="00BC0FD7" w:rsidRPr="001D5327" w:rsidRDefault="00BC0FD7" w:rsidP="009B2807">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2451206E"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5755EA43" w14:textId="77777777" w:rsidR="00BC0FD7" w:rsidRPr="001D5327" w:rsidRDefault="00BC0FD7" w:rsidP="009B2807">
            <w:pPr>
              <w:pStyle w:val="TableText"/>
              <w:spacing w:before="40" w:after="40"/>
              <w:jc w:val="right"/>
            </w:pPr>
            <w:r w:rsidRPr="001D5327">
              <w:rPr>
                <w:rFonts w:eastAsia="Calibri"/>
                <w:color w:val="000000"/>
              </w:rPr>
              <w:t>2.8</w:t>
            </w:r>
          </w:p>
        </w:tc>
      </w:tr>
      <w:tr w:rsidR="009B2807" w:rsidRPr="001D5327" w14:paraId="12701481" w14:textId="77777777" w:rsidTr="004F1621">
        <w:tc>
          <w:tcPr>
            <w:tcW w:w="0" w:type="auto"/>
            <w:shd w:val="clear" w:color="auto" w:fill="FFFFFF"/>
            <w:tcMar>
              <w:top w:w="0" w:type="dxa"/>
              <w:left w:w="85" w:type="dxa"/>
              <w:bottom w:w="0" w:type="dxa"/>
              <w:right w:w="85" w:type="dxa"/>
            </w:tcMar>
          </w:tcPr>
          <w:p w14:paraId="6D6230AB" w14:textId="77777777" w:rsidR="00BC0FD7" w:rsidRPr="001D5327" w:rsidRDefault="00BC0FD7" w:rsidP="009B2807">
            <w:pPr>
              <w:pStyle w:val="Tableboldblue"/>
              <w:spacing w:before="40" w:after="40"/>
            </w:pPr>
            <w:r w:rsidRPr="001D5327">
              <w:rPr>
                <w:color w:val="1B556B"/>
              </w:rPr>
              <w:lastRenderedPageBreak/>
              <w:t>2008</w:t>
            </w:r>
          </w:p>
        </w:tc>
        <w:tc>
          <w:tcPr>
            <w:tcW w:w="0" w:type="auto"/>
            <w:shd w:val="clear" w:color="auto" w:fill="FFFFFF"/>
            <w:tcMar>
              <w:top w:w="0" w:type="dxa"/>
              <w:left w:w="85" w:type="dxa"/>
              <w:bottom w:w="0" w:type="dxa"/>
              <w:right w:w="85" w:type="dxa"/>
            </w:tcMar>
          </w:tcPr>
          <w:p w14:paraId="6AF1F160" w14:textId="77777777" w:rsidR="00BC0FD7" w:rsidRPr="001D5327" w:rsidRDefault="00BC0FD7" w:rsidP="009B2807">
            <w:pPr>
              <w:pStyle w:val="TableText"/>
              <w:spacing w:before="40" w:after="40"/>
              <w:jc w:val="right"/>
            </w:pPr>
            <w:r w:rsidRPr="001D5327">
              <w:rPr>
                <w:rFonts w:eastAsia="Calibri"/>
                <w:color w:val="000000"/>
              </w:rPr>
              <w:t>1.7</w:t>
            </w:r>
          </w:p>
        </w:tc>
        <w:tc>
          <w:tcPr>
            <w:tcW w:w="0" w:type="auto"/>
            <w:shd w:val="clear" w:color="auto" w:fill="FFFFFF"/>
            <w:tcMar>
              <w:top w:w="0" w:type="dxa"/>
              <w:left w:w="85" w:type="dxa"/>
              <w:bottom w:w="0" w:type="dxa"/>
              <w:right w:w="85" w:type="dxa"/>
            </w:tcMar>
          </w:tcPr>
          <w:p w14:paraId="5EC5E762"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694A9003" w14:textId="77777777" w:rsidR="00BC0FD7" w:rsidRPr="001D5327" w:rsidRDefault="00BC0FD7" w:rsidP="009B2807">
            <w:pPr>
              <w:pStyle w:val="TableText"/>
              <w:spacing w:before="40" w:after="40"/>
              <w:jc w:val="right"/>
            </w:pPr>
            <w:r w:rsidRPr="001D5327">
              <w:rPr>
                <w:rFonts w:eastAsia="Calibri"/>
                <w:color w:val="000000"/>
              </w:rPr>
              <w:t>0.4</w:t>
            </w:r>
          </w:p>
        </w:tc>
        <w:tc>
          <w:tcPr>
            <w:tcW w:w="0" w:type="auto"/>
            <w:shd w:val="clear" w:color="auto" w:fill="FFFFFF"/>
            <w:tcMar>
              <w:top w:w="0" w:type="dxa"/>
              <w:left w:w="85" w:type="dxa"/>
              <w:bottom w:w="0" w:type="dxa"/>
              <w:right w:w="85" w:type="dxa"/>
            </w:tcMar>
          </w:tcPr>
          <w:p w14:paraId="6C83B521"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13C89E5D" w14:textId="77777777" w:rsidR="00BC0FD7" w:rsidRPr="001D5327" w:rsidRDefault="00BC0FD7" w:rsidP="009B2807">
            <w:pPr>
              <w:pStyle w:val="TableText"/>
              <w:spacing w:before="40" w:after="40"/>
              <w:jc w:val="right"/>
            </w:pPr>
            <w:r w:rsidRPr="001D5327">
              <w:rPr>
                <w:rFonts w:eastAsia="Calibri"/>
                <w:color w:val="000000"/>
              </w:rPr>
              <w:t>2.8</w:t>
            </w:r>
          </w:p>
        </w:tc>
      </w:tr>
      <w:tr w:rsidR="009B2807" w:rsidRPr="001D5327" w14:paraId="2AD99A85" w14:textId="77777777" w:rsidTr="004F1621">
        <w:tc>
          <w:tcPr>
            <w:tcW w:w="0" w:type="auto"/>
            <w:shd w:val="clear" w:color="auto" w:fill="FFFFFF"/>
            <w:tcMar>
              <w:top w:w="0" w:type="dxa"/>
              <w:left w:w="85" w:type="dxa"/>
              <w:bottom w:w="0" w:type="dxa"/>
              <w:right w:w="85" w:type="dxa"/>
            </w:tcMar>
          </w:tcPr>
          <w:p w14:paraId="70CF4D9C" w14:textId="77777777" w:rsidR="00BC0FD7" w:rsidRPr="001D5327" w:rsidRDefault="00BC0FD7" w:rsidP="009B2807">
            <w:pPr>
              <w:pStyle w:val="Tableboldblue"/>
              <w:spacing w:before="40" w:after="40"/>
            </w:pPr>
            <w:r w:rsidRPr="001D5327">
              <w:rPr>
                <w:color w:val="1B556B"/>
              </w:rPr>
              <w:t>2009</w:t>
            </w:r>
          </w:p>
        </w:tc>
        <w:tc>
          <w:tcPr>
            <w:tcW w:w="0" w:type="auto"/>
            <w:shd w:val="clear" w:color="auto" w:fill="FFFFFF"/>
            <w:tcMar>
              <w:top w:w="0" w:type="dxa"/>
              <w:left w:w="85" w:type="dxa"/>
              <w:bottom w:w="0" w:type="dxa"/>
              <w:right w:w="85" w:type="dxa"/>
            </w:tcMar>
          </w:tcPr>
          <w:p w14:paraId="5BE15514" w14:textId="77777777" w:rsidR="00BC0FD7" w:rsidRPr="001D5327" w:rsidRDefault="00BC0FD7" w:rsidP="009B2807">
            <w:pPr>
              <w:pStyle w:val="TableText"/>
              <w:spacing w:before="40" w:after="40"/>
              <w:jc w:val="right"/>
            </w:pPr>
            <w:r w:rsidRPr="001D5327">
              <w:rPr>
                <w:rFonts w:eastAsia="Calibri"/>
                <w:color w:val="000000"/>
              </w:rPr>
              <w:t>1.6</w:t>
            </w:r>
          </w:p>
        </w:tc>
        <w:tc>
          <w:tcPr>
            <w:tcW w:w="0" w:type="auto"/>
            <w:shd w:val="clear" w:color="auto" w:fill="FFFFFF"/>
            <w:tcMar>
              <w:top w:w="0" w:type="dxa"/>
              <w:left w:w="85" w:type="dxa"/>
              <w:bottom w:w="0" w:type="dxa"/>
              <w:right w:w="85" w:type="dxa"/>
            </w:tcMar>
          </w:tcPr>
          <w:p w14:paraId="6E89C065"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35A6E49E" w14:textId="77777777" w:rsidR="00BC0FD7" w:rsidRPr="001D5327" w:rsidRDefault="00BC0FD7" w:rsidP="009B2807">
            <w:pPr>
              <w:pStyle w:val="TableText"/>
              <w:spacing w:before="40" w:after="40"/>
              <w:jc w:val="right"/>
            </w:pPr>
            <w:r w:rsidRPr="001D5327">
              <w:rPr>
                <w:rFonts w:eastAsia="Calibri"/>
                <w:color w:val="000000"/>
              </w:rPr>
              <w:t>0.4</w:t>
            </w:r>
          </w:p>
        </w:tc>
        <w:tc>
          <w:tcPr>
            <w:tcW w:w="0" w:type="auto"/>
            <w:shd w:val="clear" w:color="auto" w:fill="FFFFFF"/>
            <w:tcMar>
              <w:top w:w="0" w:type="dxa"/>
              <w:left w:w="85" w:type="dxa"/>
              <w:bottom w:w="0" w:type="dxa"/>
              <w:right w:w="85" w:type="dxa"/>
            </w:tcMar>
          </w:tcPr>
          <w:p w14:paraId="5E9D5A09"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559406E6" w14:textId="77777777" w:rsidR="00BC0FD7" w:rsidRPr="001D5327" w:rsidRDefault="00BC0FD7" w:rsidP="009B2807">
            <w:pPr>
              <w:pStyle w:val="TableText"/>
              <w:spacing w:before="40" w:after="40"/>
              <w:jc w:val="right"/>
            </w:pPr>
            <w:r w:rsidRPr="001D5327">
              <w:rPr>
                <w:rFonts w:eastAsia="Calibri"/>
                <w:color w:val="000000"/>
              </w:rPr>
              <w:t>2.7</w:t>
            </w:r>
          </w:p>
        </w:tc>
      </w:tr>
      <w:tr w:rsidR="009B2807" w:rsidRPr="001D5327" w14:paraId="331A8F8C" w14:textId="77777777" w:rsidTr="004F1621">
        <w:tc>
          <w:tcPr>
            <w:tcW w:w="0" w:type="auto"/>
            <w:shd w:val="clear" w:color="auto" w:fill="FFFFFF"/>
            <w:tcMar>
              <w:top w:w="0" w:type="dxa"/>
              <w:left w:w="85" w:type="dxa"/>
              <w:bottom w:w="0" w:type="dxa"/>
              <w:right w:w="85" w:type="dxa"/>
            </w:tcMar>
          </w:tcPr>
          <w:p w14:paraId="7909A88B" w14:textId="77777777" w:rsidR="00BC0FD7" w:rsidRPr="001D5327" w:rsidRDefault="00BC0FD7" w:rsidP="009B2807">
            <w:pPr>
              <w:pStyle w:val="Tableboldblue"/>
              <w:spacing w:before="40" w:after="40"/>
            </w:pPr>
            <w:r w:rsidRPr="001D5327">
              <w:rPr>
                <w:color w:val="1B556B"/>
              </w:rPr>
              <w:t>2010</w:t>
            </w:r>
          </w:p>
        </w:tc>
        <w:tc>
          <w:tcPr>
            <w:tcW w:w="0" w:type="auto"/>
            <w:shd w:val="clear" w:color="auto" w:fill="FFFFFF"/>
            <w:tcMar>
              <w:top w:w="0" w:type="dxa"/>
              <w:left w:w="85" w:type="dxa"/>
              <w:bottom w:w="0" w:type="dxa"/>
              <w:right w:w="85" w:type="dxa"/>
            </w:tcMar>
          </w:tcPr>
          <w:p w14:paraId="0293E099" w14:textId="77777777" w:rsidR="00BC0FD7" w:rsidRPr="001D5327" w:rsidRDefault="00BC0FD7" w:rsidP="009B2807">
            <w:pPr>
              <w:pStyle w:val="TableText"/>
              <w:spacing w:before="40" w:after="40"/>
              <w:jc w:val="right"/>
            </w:pPr>
            <w:r w:rsidRPr="001D5327">
              <w:rPr>
                <w:rFonts w:eastAsia="Calibri"/>
                <w:color w:val="000000"/>
              </w:rPr>
              <w:t>1.5</w:t>
            </w:r>
          </w:p>
        </w:tc>
        <w:tc>
          <w:tcPr>
            <w:tcW w:w="0" w:type="auto"/>
            <w:shd w:val="clear" w:color="auto" w:fill="FFFFFF"/>
            <w:tcMar>
              <w:top w:w="0" w:type="dxa"/>
              <w:left w:w="85" w:type="dxa"/>
              <w:bottom w:w="0" w:type="dxa"/>
              <w:right w:w="85" w:type="dxa"/>
            </w:tcMar>
          </w:tcPr>
          <w:p w14:paraId="7E1C0A0C"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14BA5E9B" w14:textId="77777777" w:rsidR="00BC0FD7" w:rsidRPr="001D5327" w:rsidRDefault="00BC0FD7" w:rsidP="009B2807">
            <w:pPr>
              <w:pStyle w:val="TableText"/>
              <w:spacing w:before="40" w:after="40"/>
              <w:jc w:val="right"/>
            </w:pPr>
            <w:r w:rsidRPr="001D5327">
              <w:rPr>
                <w:rFonts w:eastAsia="Calibri"/>
                <w:color w:val="000000"/>
              </w:rPr>
              <w:t>0.4</w:t>
            </w:r>
          </w:p>
        </w:tc>
        <w:tc>
          <w:tcPr>
            <w:tcW w:w="0" w:type="auto"/>
            <w:shd w:val="clear" w:color="auto" w:fill="FFFFFF"/>
            <w:tcMar>
              <w:top w:w="0" w:type="dxa"/>
              <w:left w:w="85" w:type="dxa"/>
              <w:bottom w:w="0" w:type="dxa"/>
              <w:right w:w="85" w:type="dxa"/>
            </w:tcMar>
          </w:tcPr>
          <w:p w14:paraId="4CCC2E9C"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5024E964" w14:textId="77777777" w:rsidR="00BC0FD7" w:rsidRPr="001D5327" w:rsidRDefault="00BC0FD7" w:rsidP="009B2807">
            <w:pPr>
              <w:pStyle w:val="TableText"/>
              <w:spacing w:before="40" w:after="40"/>
              <w:jc w:val="right"/>
            </w:pPr>
            <w:r w:rsidRPr="001D5327">
              <w:rPr>
                <w:rFonts w:eastAsia="Calibri"/>
                <w:color w:val="000000"/>
              </w:rPr>
              <w:t>2.7</w:t>
            </w:r>
          </w:p>
        </w:tc>
      </w:tr>
      <w:tr w:rsidR="009B2807" w:rsidRPr="001D5327" w14:paraId="70464804" w14:textId="77777777" w:rsidTr="004F1621">
        <w:tc>
          <w:tcPr>
            <w:tcW w:w="0" w:type="auto"/>
            <w:shd w:val="clear" w:color="auto" w:fill="FFFFFF"/>
            <w:tcMar>
              <w:top w:w="0" w:type="dxa"/>
              <w:left w:w="85" w:type="dxa"/>
              <w:bottom w:w="0" w:type="dxa"/>
              <w:right w:w="85" w:type="dxa"/>
            </w:tcMar>
          </w:tcPr>
          <w:p w14:paraId="1D01CF1E" w14:textId="77777777" w:rsidR="00BC0FD7" w:rsidRPr="001D5327" w:rsidRDefault="00BC0FD7" w:rsidP="009B2807">
            <w:pPr>
              <w:pStyle w:val="Tableboldblue"/>
              <w:spacing w:before="40" w:after="40"/>
            </w:pPr>
            <w:r w:rsidRPr="001D5327">
              <w:rPr>
                <w:color w:val="1B556B"/>
              </w:rPr>
              <w:t>2011</w:t>
            </w:r>
          </w:p>
        </w:tc>
        <w:tc>
          <w:tcPr>
            <w:tcW w:w="0" w:type="auto"/>
            <w:shd w:val="clear" w:color="auto" w:fill="FFFFFF"/>
            <w:tcMar>
              <w:top w:w="0" w:type="dxa"/>
              <w:left w:w="85" w:type="dxa"/>
              <w:bottom w:w="0" w:type="dxa"/>
              <w:right w:w="85" w:type="dxa"/>
            </w:tcMar>
          </w:tcPr>
          <w:p w14:paraId="697382E5" w14:textId="77777777" w:rsidR="00BC0FD7" w:rsidRPr="001D5327" w:rsidRDefault="00BC0FD7" w:rsidP="009B2807">
            <w:pPr>
              <w:pStyle w:val="TableText"/>
              <w:spacing w:before="40" w:after="40"/>
              <w:jc w:val="right"/>
            </w:pPr>
            <w:r w:rsidRPr="001D5327">
              <w:rPr>
                <w:rFonts w:eastAsia="Calibri"/>
                <w:color w:val="000000"/>
              </w:rPr>
              <w:t>1.5</w:t>
            </w:r>
          </w:p>
        </w:tc>
        <w:tc>
          <w:tcPr>
            <w:tcW w:w="0" w:type="auto"/>
            <w:shd w:val="clear" w:color="auto" w:fill="FFFFFF"/>
            <w:tcMar>
              <w:top w:w="0" w:type="dxa"/>
              <w:left w:w="85" w:type="dxa"/>
              <w:bottom w:w="0" w:type="dxa"/>
              <w:right w:w="85" w:type="dxa"/>
            </w:tcMar>
          </w:tcPr>
          <w:p w14:paraId="0F717299"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0E45FE2C" w14:textId="77777777" w:rsidR="00BC0FD7" w:rsidRPr="001D5327" w:rsidRDefault="00BC0FD7" w:rsidP="009B2807">
            <w:pPr>
              <w:pStyle w:val="TableText"/>
              <w:spacing w:before="40" w:after="40"/>
              <w:jc w:val="right"/>
            </w:pPr>
            <w:r w:rsidRPr="001D5327">
              <w:rPr>
                <w:rFonts w:eastAsia="Calibri"/>
                <w:color w:val="000000"/>
              </w:rPr>
              <w:t>0.4</w:t>
            </w:r>
          </w:p>
        </w:tc>
        <w:tc>
          <w:tcPr>
            <w:tcW w:w="0" w:type="auto"/>
            <w:shd w:val="clear" w:color="auto" w:fill="FFFFFF"/>
            <w:tcMar>
              <w:top w:w="0" w:type="dxa"/>
              <w:left w:w="85" w:type="dxa"/>
              <w:bottom w:w="0" w:type="dxa"/>
              <w:right w:w="85" w:type="dxa"/>
            </w:tcMar>
          </w:tcPr>
          <w:p w14:paraId="2E34A65E"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34DF2975" w14:textId="77777777" w:rsidR="00BC0FD7" w:rsidRPr="001D5327" w:rsidRDefault="00BC0FD7" w:rsidP="009B2807">
            <w:pPr>
              <w:pStyle w:val="TableText"/>
              <w:spacing w:before="40" w:after="40"/>
              <w:jc w:val="right"/>
            </w:pPr>
            <w:r w:rsidRPr="001D5327">
              <w:rPr>
                <w:rFonts w:eastAsia="Calibri"/>
                <w:color w:val="000000"/>
              </w:rPr>
              <w:t>2.7</w:t>
            </w:r>
          </w:p>
        </w:tc>
      </w:tr>
      <w:tr w:rsidR="009B2807" w:rsidRPr="001D5327" w14:paraId="5DF1F0BA" w14:textId="77777777" w:rsidTr="004F1621">
        <w:tc>
          <w:tcPr>
            <w:tcW w:w="0" w:type="auto"/>
            <w:shd w:val="clear" w:color="auto" w:fill="FFFFFF"/>
            <w:tcMar>
              <w:top w:w="0" w:type="dxa"/>
              <w:left w:w="85" w:type="dxa"/>
              <w:bottom w:w="0" w:type="dxa"/>
              <w:right w:w="85" w:type="dxa"/>
            </w:tcMar>
          </w:tcPr>
          <w:p w14:paraId="5345AB7A" w14:textId="77777777" w:rsidR="00BC0FD7" w:rsidRPr="001D5327" w:rsidRDefault="00BC0FD7" w:rsidP="009B2807">
            <w:pPr>
              <w:pStyle w:val="Tableboldblue"/>
              <w:spacing w:before="40" w:after="40"/>
            </w:pPr>
            <w:r w:rsidRPr="001D5327">
              <w:rPr>
                <w:color w:val="1B556B"/>
              </w:rPr>
              <w:t>2012</w:t>
            </w:r>
          </w:p>
        </w:tc>
        <w:tc>
          <w:tcPr>
            <w:tcW w:w="0" w:type="auto"/>
            <w:shd w:val="clear" w:color="auto" w:fill="FFFFFF"/>
            <w:tcMar>
              <w:top w:w="0" w:type="dxa"/>
              <w:left w:w="85" w:type="dxa"/>
              <w:bottom w:w="0" w:type="dxa"/>
              <w:right w:w="85" w:type="dxa"/>
            </w:tcMar>
          </w:tcPr>
          <w:p w14:paraId="32D0420F" w14:textId="77777777" w:rsidR="00BC0FD7" w:rsidRPr="001D5327" w:rsidRDefault="00BC0FD7" w:rsidP="009B2807">
            <w:pPr>
              <w:pStyle w:val="TableText"/>
              <w:spacing w:before="40" w:after="40"/>
              <w:jc w:val="right"/>
            </w:pPr>
            <w:r w:rsidRPr="001D5327">
              <w:rPr>
                <w:rFonts w:eastAsia="Calibri"/>
                <w:color w:val="000000"/>
              </w:rPr>
              <w:t>1.5</w:t>
            </w:r>
          </w:p>
        </w:tc>
        <w:tc>
          <w:tcPr>
            <w:tcW w:w="0" w:type="auto"/>
            <w:shd w:val="clear" w:color="auto" w:fill="FFFFFF"/>
            <w:tcMar>
              <w:top w:w="0" w:type="dxa"/>
              <w:left w:w="85" w:type="dxa"/>
              <w:bottom w:w="0" w:type="dxa"/>
              <w:right w:w="85" w:type="dxa"/>
            </w:tcMar>
          </w:tcPr>
          <w:p w14:paraId="7A831203"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1156F1C2" w14:textId="77777777" w:rsidR="00BC0FD7" w:rsidRPr="001D5327" w:rsidRDefault="00BC0FD7" w:rsidP="009B2807">
            <w:pPr>
              <w:pStyle w:val="TableText"/>
              <w:spacing w:before="40" w:after="40"/>
              <w:jc w:val="right"/>
            </w:pPr>
            <w:r w:rsidRPr="001D5327">
              <w:rPr>
                <w:rFonts w:eastAsia="Calibri"/>
                <w:color w:val="000000"/>
              </w:rPr>
              <w:t>0.4</w:t>
            </w:r>
          </w:p>
        </w:tc>
        <w:tc>
          <w:tcPr>
            <w:tcW w:w="0" w:type="auto"/>
            <w:shd w:val="clear" w:color="auto" w:fill="FFFFFF"/>
            <w:tcMar>
              <w:top w:w="0" w:type="dxa"/>
              <w:left w:w="85" w:type="dxa"/>
              <w:bottom w:w="0" w:type="dxa"/>
              <w:right w:w="85" w:type="dxa"/>
            </w:tcMar>
          </w:tcPr>
          <w:p w14:paraId="4F854BE9"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47BDF878" w14:textId="77777777" w:rsidR="00BC0FD7" w:rsidRPr="001D5327" w:rsidRDefault="00BC0FD7" w:rsidP="009B2807">
            <w:pPr>
              <w:pStyle w:val="TableText"/>
              <w:spacing w:before="40" w:after="40"/>
              <w:jc w:val="right"/>
            </w:pPr>
            <w:r w:rsidRPr="001D5327">
              <w:rPr>
                <w:rFonts w:eastAsia="Calibri"/>
                <w:color w:val="000000"/>
              </w:rPr>
              <w:t>2.7</w:t>
            </w:r>
          </w:p>
        </w:tc>
      </w:tr>
      <w:tr w:rsidR="009B2807" w:rsidRPr="001D5327" w14:paraId="1C3FA122" w14:textId="77777777" w:rsidTr="004F1621">
        <w:tc>
          <w:tcPr>
            <w:tcW w:w="0" w:type="auto"/>
            <w:shd w:val="clear" w:color="auto" w:fill="FFFFFF"/>
            <w:tcMar>
              <w:top w:w="0" w:type="dxa"/>
              <w:left w:w="85" w:type="dxa"/>
              <w:bottom w:w="0" w:type="dxa"/>
              <w:right w:w="85" w:type="dxa"/>
            </w:tcMar>
          </w:tcPr>
          <w:p w14:paraId="25AD074F" w14:textId="77777777" w:rsidR="00BC0FD7" w:rsidRPr="001D5327" w:rsidRDefault="00BC0FD7" w:rsidP="009B2807">
            <w:pPr>
              <w:pStyle w:val="Tableboldblue"/>
              <w:spacing w:before="40" w:after="40"/>
            </w:pPr>
            <w:r w:rsidRPr="001D5327">
              <w:rPr>
                <w:color w:val="1B556B"/>
              </w:rPr>
              <w:t>2013</w:t>
            </w:r>
          </w:p>
        </w:tc>
        <w:tc>
          <w:tcPr>
            <w:tcW w:w="0" w:type="auto"/>
            <w:shd w:val="clear" w:color="auto" w:fill="FFFFFF"/>
            <w:tcMar>
              <w:top w:w="0" w:type="dxa"/>
              <w:left w:w="85" w:type="dxa"/>
              <w:bottom w:w="0" w:type="dxa"/>
              <w:right w:w="85" w:type="dxa"/>
            </w:tcMar>
          </w:tcPr>
          <w:p w14:paraId="79FE1F36" w14:textId="77777777" w:rsidR="00BC0FD7" w:rsidRPr="001D5327" w:rsidRDefault="00BC0FD7" w:rsidP="009B2807">
            <w:pPr>
              <w:pStyle w:val="TableText"/>
              <w:spacing w:before="40" w:after="40"/>
              <w:jc w:val="right"/>
            </w:pPr>
            <w:r w:rsidRPr="001D5327">
              <w:rPr>
                <w:rFonts w:eastAsia="Calibri"/>
                <w:color w:val="000000"/>
              </w:rPr>
              <w:t>1.5</w:t>
            </w:r>
          </w:p>
        </w:tc>
        <w:tc>
          <w:tcPr>
            <w:tcW w:w="0" w:type="auto"/>
            <w:shd w:val="clear" w:color="auto" w:fill="FFFFFF"/>
            <w:tcMar>
              <w:top w:w="0" w:type="dxa"/>
              <w:left w:w="85" w:type="dxa"/>
              <w:bottom w:w="0" w:type="dxa"/>
              <w:right w:w="85" w:type="dxa"/>
            </w:tcMar>
          </w:tcPr>
          <w:p w14:paraId="25005FB1"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1A63D38F" w14:textId="77777777" w:rsidR="00BC0FD7" w:rsidRPr="001D5327" w:rsidRDefault="00BC0FD7" w:rsidP="009B2807">
            <w:pPr>
              <w:pStyle w:val="TableText"/>
              <w:spacing w:before="40" w:after="40"/>
              <w:jc w:val="right"/>
            </w:pPr>
            <w:r w:rsidRPr="001D5327">
              <w:rPr>
                <w:rFonts w:eastAsia="Calibri"/>
                <w:color w:val="000000"/>
              </w:rPr>
              <w:t>0.5</w:t>
            </w:r>
          </w:p>
        </w:tc>
        <w:tc>
          <w:tcPr>
            <w:tcW w:w="0" w:type="auto"/>
            <w:shd w:val="clear" w:color="auto" w:fill="FFFFFF"/>
            <w:tcMar>
              <w:top w:w="0" w:type="dxa"/>
              <w:left w:w="85" w:type="dxa"/>
              <w:bottom w:w="0" w:type="dxa"/>
              <w:right w:w="85" w:type="dxa"/>
            </w:tcMar>
          </w:tcPr>
          <w:p w14:paraId="02B7C8A7"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5F996EE1" w14:textId="77777777" w:rsidR="00BC0FD7" w:rsidRPr="001D5327" w:rsidRDefault="00BC0FD7" w:rsidP="009B2807">
            <w:pPr>
              <w:pStyle w:val="TableText"/>
              <w:spacing w:before="40" w:after="40"/>
              <w:jc w:val="right"/>
            </w:pPr>
            <w:r w:rsidRPr="001D5327">
              <w:rPr>
                <w:rFonts w:eastAsia="Calibri"/>
                <w:color w:val="000000"/>
              </w:rPr>
              <w:t>2.8</w:t>
            </w:r>
          </w:p>
        </w:tc>
      </w:tr>
      <w:tr w:rsidR="009B2807" w:rsidRPr="001D5327" w14:paraId="59C0BEBE" w14:textId="77777777" w:rsidTr="004F1621">
        <w:tc>
          <w:tcPr>
            <w:tcW w:w="0" w:type="auto"/>
            <w:shd w:val="clear" w:color="auto" w:fill="FFFFFF"/>
            <w:tcMar>
              <w:top w:w="0" w:type="dxa"/>
              <w:left w:w="85" w:type="dxa"/>
              <w:bottom w:w="0" w:type="dxa"/>
              <w:right w:w="85" w:type="dxa"/>
            </w:tcMar>
          </w:tcPr>
          <w:p w14:paraId="50155557" w14:textId="77777777" w:rsidR="00BC0FD7" w:rsidRPr="001D5327" w:rsidRDefault="00BC0FD7" w:rsidP="009B2807">
            <w:pPr>
              <w:pStyle w:val="Tableboldblue"/>
              <w:spacing w:before="40" w:after="40"/>
            </w:pPr>
            <w:r w:rsidRPr="001D5327">
              <w:rPr>
                <w:color w:val="1B556B"/>
              </w:rPr>
              <w:t>2014</w:t>
            </w:r>
          </w:p>
        </w:tc>
        <w:tc>
          <w:tcPr>
            <w:tcW w:w="0" w:type="auto"/>
            <w:shd w:val="clear" w:color="auto" w:fill="FFFFFF"/>
            <w:tcMar>
              <w:top w:w="0" w:type="dxa"/>
              <w:left w:w="85" w:type="dxa"/>
              <w:bottom w:w="0" w:type="dxa"/>
              <w:right w:w="85" w:type="dxa"/>
            </w:tcMar>
          </w:tcPr>
          <w:p w14:paraId="5D77C917" w14:textId="77777777" w:rsidR="00BC0FD7" w:rsidRPr="001D5327" w:rsidRDefault="00BC0FD7" w:rsidP="009B2807">
            <w:pPr>
              <w:pStyle w:val="TableText"/>
              <w:spacing w:before="40" w:after="40"/>
              <w:jc w:val="right"/>
            </w:pPr>
            <w:r w:rsidRPr="001D5327">
              <w:rPr>
                <w:rFonts w:eastAsia="Calibri"/>
                <w:color w:val="000000"/>
              </w:rPr>
              <w:t>1.5</w:t>
            </w:r>
          </w:p>
        </w:tc>
        <w:tc>
          <w:tcPr>
            <w:tcW w:w="0" w:type="auto"/>
            <w:shd w:val="clear" w:color="auto" w:fill="FFFFFF"/>
            <w:tcMar>
              <w:top w:w="0" w:type="dxa"/>
              <w:left w:w="85" w:type="dxa"/>
              <w:bottom w:w="0" w:type="dxa"/>
              <w:right w:w="85" w:type="dxa"/>
            </w:tcMar>
          </w:tcPr>
          <w:p w14:paraId="576A5311"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2501999B" w14:textId="77777777" w:rsidR="00BC0FD7" w:rsidRPr="001D5327" w:rsidRDefault="00BC0FD7" w:rsidP="009B2807">
            <w:pPr>
              <w:pStyle w:val="TableText"/>
              <w:spacing w:before="40" w:after="40"/>
              <w:jc w:val="right"/>
            </w:pPr>
            <w:r w:rsidRPr="001D5327">
              <w:rPr>
                <w:rFonts w:eastAsia="Calibri"/>
                <w:color w:val="000000"/>
              </w:rPr>
              <w:t>0.5</w:t>
            </w:r>
          </w:p>
        </w:tc>
        <w:tc>
          <w:tcPr>
            <w:tcW w:w="0" w:type="auto"/>
            <w:shd w:val="clear" w:color="auto" w:fill="FFFFFF"/>
            <w:tcMar>
              <w:top w:w="0" w:type="dxa"/>
              <w:left w:w="85" w:type="dxa"/>
              <w:bottom w:w="0" w:type="dxa"/>
              <w:right w:w="85" w:type="dxa"/>
            </w:tcMar>
          </w:tcPr>
          <w:p w14:paraId="496E8E66"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3159B6A6" w14:textId="77777777" w:rsidR="00BC0FD7" w:rsidRPr="001D5327" w:rsidRDefault="00BC0FD7" w:rsidP="009B2807">
            <w:pPr>
              <w:pStyle w:val="TableText"/>
              <w:spacing w:before="40" w:after="40"/>
              <w:jc w:val="right"/>
            </w:pPr>
            <w:r w:rsidRPr="001D5327">
              <w:rPr>
                <w:rFonts w:eastAsia="Calibri"/>
                <w:color w:val="000000"/>
              </w:rPr>
              <w:t>2.9</w:t>
            </w:r>
          </w:p>
        </w:tc>
      </w:tr>
      <w:tr w:rsidR="009B2807" w:rsidRPr="001D5327" w14:paraId="53335683" w14:textId="77777777" w:rsidTr="004F1621">
        <w:tc>
          <w:tcPr>
            <w:tcW w:w="0" w:type="auto"/>
            <w:shd w:val="clear" w:color="auto" w:fill="FFFFFF"/>
            <w:tcMar>
              <w:top w:w="0" w:type="dxa"/>
              <w:left w:w="85" w:type="dxa"/>
              <w:bottom w:w="0" w:type="dxa"/>
              <w:right w:w="85" w:type="dxa"/>
            </w:tcMar>
          </w:tcPr>
          <w:p w14:paraId="526260F4" w14:textId="77777777" w:rsidR="00BC0FD7" w:rsidRPr="001D5327" w:rsidRDefault="00BC0FD7" w:rsidP="009B2807">
            <w:pPr>
              <w:pStyle w:val="Tableboldblue"/>
              <w:spacing w:before="40" w:after="40"/>
            </w:pPr>
            <w:r w:rsidRPr="001D5327">
              <w:rPr>
                <w:color w:val="1B556B"/>
              </w:rPr>
              <w:t>2015</w:t>
            </w:r>
          </w:p>
        </w:tc>
        <w:tc>
          <w:tcPr>
            <w:tcW w:w="0" w:type="auto"/>
            <w:shd w:val="clear" w:color="auto" w:fill="FFFFFF"/>
            <w:tcMar>
              <w:top w:w="0" w:type="dxa"/>
              <w:left w:w="85" w:type="dxa"/>
              <w:bottom w:w="0" w:type="dxa"/>
              <w:right w:w="85" w:type="dxa"/>
            </w:tcMar>
          </w:tcPr>
          <w:p w14:paraId="232E59FE" w14:textId="77777777" w:rsidR="00BC0FD7" w:rsidRPr="001D5327" w:rsidRDefault="00BC0FD7" w:rsidP="009B2807">
            <w:pPr>
              <w:pStyle w:val="TableText"/>
              <w:spacing w:before="40" w:after="40"/>
              <w:jc w:val="right"/>
            </w:pPr>
            <w:r w:rsidRPr="001D5327">
              <w:rPr>
                <w:rFonts w:eastAsia="Calibri"/>
                <w:color w:val="000000"/>
              </w:rPr>
              <w:t>1.6</w:t>
            </w:r>
          </w:p>
        </w:tc>
        <w:tc>
          <w:tcPr>
            <w:tcW w:w="0" w:type="auto"/>
            <w:shd w:val="clear" w:color="auto" w:fill="FFFFFF"/>
            <w:tcMar>
              <w:top w:w="0" w:type="dxa"/>
              <w:left w:w="85" w:type="dxa"/>
              <w:bottom w:w="0" w:type="dxa"/>
              <w:right w:w="85" w:type="dxa"/>
            </w:tcMar>
          </w:tcPr>
          <w:p w14:paraId="443F2796" w14:textId="77777777" w:rsidR="00BC0FD7" w:rsidRPr="001D5327" w:rsidRDefault="00BC0FD7" w:rsidP="009B2807">
            <w:pPr>
              <w:pStyle w:val="TableText"/>
              <w:spacing w:before="40" w:after="40"/>
              <w:jc w:val="right"/>
            </w:pPr>
            <w:r w:rsidRPr="001D5327">
              <w:rPr>
                <w:rFonts w:eastAsia="Calibri"/>
                <w:color w:val="000000"/>
              </w:rPr>
              <w:t>0.2</w:t>
            </w:r>
          </w:p>
        </w:tc>
        <w:tc>
          <w:tcPr>
            <w:tcW w:w="0" w:type="auto"/>
            <w:shd w:val="clear" w:color="auto" w:fill="FFFFFF"/>
            <w:tcMar>
              <w:top w:w="0" w:type="dxa"/>
              <w:left w:w="85" w:type="dxa"/>
              <w:bottom w:w="0" w:type="dxa"/>
              <w:right w:w="85" w:type="dxa"/>
            </w:tcMar>
          </w:tcPr>
          <w:p w14:paraId="45DE75D1" w14:textId="77777777" w:rsidR="00BC0FD7" w:rsidRPr="001D5327" w:rsidRDefault="00BC0FD7" w:rsidP="009B2807">
            <w:pPr>
              <w:pStyle w:val="TableText"/>
              <w:spacing w:before="40" w:after="40"/>
              <w:jc w:val="right"/>
            </w:pPr>
            <w:r w:rsidRPr="001D5327">
              <w:rPr>
                <w:rFonts w:eastAsia="Calibri"/>
                <w:color w:val="000000"/>
              </w:rPr>
              <w:t>0.5</w:t>
            </w:r>
          </w:p>
        </w:tc>
        <w:tc>
          <w:tcPr>
            <w:tcW w:w="0" w:type="auto"/>
            <w:shd w:val="clear" w:color="auto" w:fill="FFFFFF"/>
            <w:tcMar>
              <w:top w:w="0" w:type="dxa"/>
              <w:left w:w="85" w:type="dxa"/>
              <w:bottom w:w="0" w:type="dxa"/>
              <w:right w:w="85" w:type="dxa"/>
            </w:tcMar>
          </w:tcPr>
          <w:p w14:paraId="025AA1FB"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6A04BF7F" w14:textId="77777777" w:rsidR="00BC0FD7" w:rsidRPr="001D5327" w:rsidRDefault="00BC0FD7" w:rsidP="009B2807">
            <w:pPr>
              <w:pStyle w:val="TableText"/>
              <w:spacing w:before="40" w:after="40"/>
              <w:jc w:val="right"/>
            </w:pPr>
            <w:r w:rsidRPr="001D5327">
              <w:rPr>
                <w:rFonts w:eastAsia="Calibri"/>
                <w:color w:val="000000"/>
              </w:rPr>
              <w:t>2.9</w:t>
            </w:r>
          </w:p>
        </w:tc>
      </w:tr>
      <w:tr w:rsidR="009B2807" w:rsidRPr="001D5327" w14:paraId="49E62A13" w14:textId="77777777" w:rsidTr="004F1621">
        <w:tc>
          <w:tcPr>
            <w:tcW w:w="0" w:type="auto"/>
            <w:shd w:val="clear" w:color="auto" w:fill="FFFFFF"/>
            <w:tcMar>
              <w:top w:w="0" w:type="dxa"/>
              <w:left w:w="85" w:type="dxa"/>
              <w:bottom w:w="0" w:type="dxa"/>
              <w:right w:w="85" w:type="dxa"/>
            </w:tcMar>
          </w:tcPr>
          <w:p w14:paraId="738AB53B" w14:textId="77777777" w:rsidR="00BC0FD7" w:rsidRPr="001D5327" w:rsidRDefault="00BC0FD7" w:rsidP="009B2807">
            <w:pPr>
              <w:pStyle w:val="Tableboldblue"/>
              <w:spacing w:before="40" w:after="40"/>
            </w:pPr>
            <w:r w:rsidRPr="001D5327">
              <w:rPr>
                <w:color w:val="1B556B"/>
              </w:rPr>
              <w:t>2016</w:t>
            </w:r>
          </w:p>
        </w:tc>
        <w:tc>
          <w:tcPr>
            <w:tcW w:w="0" w:type="auto"/>
            <w:shd w:val="clear" w:color="auto" w:fill="FFFFFF"/>
            <w:tcMar>
              <w:top w:w="0" w:type="dxa"/>
              <w:left w:w="85" w:type="dxa"/>
              <w:bottom w:w="0" w:type="dxa"/>
              <w:right w:w="85" w:type="dxa"/>
            </w:tcMar>
          </w:tcPr>
          <w:p w14:paraId="2B5789E0" w14:textId="77777777" w:rsidR="00BC0FD7" w:rsidRPr="001D5327" w:rsidRDefault="00BC0FD7" w:rsidP="009B2807">
            <w:pPr>
              <w:pStyle w:val="TableText"/>
              <w:spacing w:before="40" w:after="40"/>
              <w:jc w:val="right"/>
            </w:pPr>
            <w:r w:rsidRPr="001D5327">
              <w:rPr>
                <w:rFonts w:eastAsia="Calibri"/>
                <w:color w:val="000000"/>
              </w:rPr>
              <w:t>1.5</w:t>
            </w:r>
          </w:p>
        </w:tc>
        <w:tc>
          <w:tcPr>
            <w:tcW w:w="0" w:type="auto"/>
            <w:shd w:val="clear" w:color="auto" w:fill="FFFFFF"/>
            <w:tcMar>
              <w:top w:w="0" w:type="dxa"/>
              <w:left w:w="85" w:type="dxa"/>
              <w:bottom w:w="0" w:type="dxa"/>
              <w:right w:w="85" w:type="dxa"/>
            </w:tcMar>
          </w:tcPr>
          <w:p w14:paraId="58513083" w14:textId="77777777" w:rsidR="00BC0FD7" w:rsidRPr="001D5327" w:rsidRDefault="00BC0FD7" w:rsidP="009B2807">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3DBEFF23" w14:textId="77777777" w:rsidR="00BC0FD7" w:rsidRPr="001D5327" w:rsidRDefault="00BC0FD7" w:rsidP="009B2807">
            <w:pPr>
              <w:pStyle w:val="TableText"/>
              <w:spacing w:before="40" w:after="40"/>
              <w:jc w:val="right"/>
            </w:pPr>
            <w:r w:rsidRPr="001D5327">
              <w:rPr>
                <w:rFonts w:eastAsia="Calibri"/>
                <w:color w:val="000000"/>
              </w:rPr>
              <w:t>0.5</w:t>
            </w:r>
          </w:p>
        </w:tc>
        <w:tc>
          <w:tcPr>
            <w:tcW w:w="0" w:type="auto"/>
            <w:shd w:val="clear" w:color="auto" w:fill="FFFFFF"/>
            <w:tcMar>
              <w:top w:w="0" w:type="dxa"/>
              <w:left w:w="85" w:type="dxa"/>
              <w:bottom w:w="0" w:type="dxa"/>
              <w:right w:w="85" w:type="dxa"/>
            </w:tcMar>
          </w:tcPr>
          <w:p w14:paraId="634EAA9E"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5BF4657C" w14:textId="77777777" w:rsidR="00BC0FD7" w:rsidRPr="001D5327" w:rsidRDefault="00BC0FD7" w:rsidP="009B2807">
            <w:pPr>
              <w:pStyle w:val="TableText"/>
              <w:spacing w:before="40" w:after="40"/>
              <w:jc w:val="right"/>
            </w:pPr>
            <w:r w:rsidRPr="001D5327">
              <w:rPr>
                <w:rFonts w:eastAsia="Calibri"/>
                <w:color w:val="000000"/>
              </w:rPr>
              <w:t>2.9</w:t>
            </w:r>
          </w:p>
        </w:tc>
      </w:tr>
      <w:tr w:rsidR="009B2807" w:rsidRPr="001D5327" w14:paraId="1A7BB592" w14:textId="77777777" w:rsidTr="004F1621">
        <w:tc>
          <w:tcPr>
            <w:tcW w:w="0" w:type="auto"/>
            <w:shd w:val="clear" w:color="auto" w:fill="FFFFFF"/>
            <w:tcMar>
              <w:top w:w="0" w:type="dxa"/>
              <w:left w:w="85" w:type="dxa"/>
              <w:bottom w:w="0" w:type="dxa"/>
              <w:right w:w="85" w:type="dxa"/>
            </w:tcMar>
          </w:tcPr>
          <w:p w14:paraId="1DE9078D" w14:textId="77777777" w:rsidR="00BC0FD7" w:rsidRPr="001D5327" w:rsidRDefault="00BC0FD7" w:rsidP="009B2807">
            <w:pPr>
              <w:pStyle w:val="Tableboldblue"/>
              <w:spacing w:before="40" w:after="40"/>
            </w:pPr>
            <w:r w:rsidRPr="001D5327">
              <w:rPr>
                <w:color w:val="1B556B"/>
              </w:rPr>
              <w:t>2017</w:t>
            </w:r>
          </w:p>
        </w:tc>
        <w:tc>
          <w:tcPr>
            <w:tcW w:w="0" w:type="auto"/>
            <w:shd w:val="clear" w:color="auto" w:fill="FFFFFF"/>
            <w:tcMar>
              <w:top w:w="0" w:type="dxa"/>
              <w:left w:w="85" w:type="dxa"/>
              <w:bottom w:w="0" w:type="dxa"/>
              <w:right w:w="85" w:type="dxa"/>
            </w:tcMar>
          </w:tcPr>
          <w:p w14:paraId="0FD36E3D" w14:textId="77777777" w:rsidR="00BC0FD7" w:rsidRPr="001D5327" w:rsidRDefault="00BC0FD7" w:rsidP="009B2807">
            <w:pPr>
              <w:pStyle w:val="TableText"/>
              <w:spacing w:before="40" w:after="40"/>
              <w:jc w:val="right"/>
            </w:pPr>
            <w:r w:rsidRPr="001D5327">
              <w:rPr>
                <w:rFonts w:eastAsia="Calibri"/>
                <w:color w:val="000000"/>
              </w:rPr>
              <w:t>1.5</w:t>
            </w:r>
          </w:p>
        </w:tc>
        <w:tc>
          <w:tcPr>
            <w:tcW w:w="0" w:type="auto"/>
            <w:shd w:val="clear" w:color="auto" w:fill="FFFFFF"/>
            <w:tcMar>
              <w:top w:w="0" w:type="dxa"/>
              <w:left w:w="85" w:type="dxa"/>
              <w:bottom w:w="0" w:type="dxa"/>
              <w:right w:w="85" w:type="dxa"/>
            </w:tcMar>
          </w:tcPr>
          <w:p w14:paraId="3D38CE9C" w14:textId="77777777" w:rsidR="00BC0FD7" w:rsidRPr="001D5327" w:rsidRDefault="00BC0FD7" w:rsidP="009B2807">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475B1635" w14:textId="77777777" w:rsidR="00BC0FD7" w:rsidRPr="001D5327" w:rsidRDefault="00BC0FD7" w:rsidP="009B2807">
            <w:pPr>
              <w:pStyle w:val="TableText"/>
              <w:spacing w:before="40" w:after="40"/>
              <w:jc w:val="right"/>
            </w:pPr>
            <w:r w:rsidRPr="001D5327">
              <w:rPr>
                <w:rFonts w:eastAsia="Calibri"/>
                <w:color w:val="000000"/>
              </w:rPr>
              <w:t>0.5</w:t>
            </w:r>
          </w:p>
        </w:tc>
        <w:tc>
          <w:tcPr>
            <w:tcW w:w="0" w:type="auto"/>
            <w:shd w:val="clear" w:color="auto" w:fill="FFFFFF"/>
            <w:tcMar>
              <w:top w:w="0" w:type="dxa"/>
              <w:left w:w="85" w:type="dxa"/>
              <w:bottom w:w="0" w:type="dxa"/>
              <w:right w:w="85" w:type="dxa"/>
            </w:tcMar>
          </w:tcPr>
          <w:p w14:paraId="0C6FB970"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3529AA6C" w14:textId="77777777" w:rsidR="00BC0FD7" w:rsidRPr="001D5327" w:rsidRDefault="00BC0FD7" w:rsidP="009B2807">
            <w:pPr>
              <w:pStyle w:val="TableText"/>
              <w:spacing w:before="40" w:after="40"/>
              <w:jc w:val="right"/>
            </w:pPr>
            <w:r w:rsidRPr="001D5327">
              <w:rPr>
                <w:rFonts w:eastAsia="Calibri"/>
                <w:color w:val="000000"/>
              </w:rPr>
              <w:t>2.9</w:t>
            </w:r>
          </w:p>
        </w:tc>
      </w:tr>
      <w:tr w:rsidR="009B2807" w:rsidRPr="001D5327" w14:paraId="27AFD62F" w14:textId="77777777" w:rsidTr="004F1621">
        <w:tc>
          <w:tcPr>
            <w:tcW w:w="0" w:type="auto"/>
            <w:shd w:val="clear" w:color="auto" w:fill="FFFFFF"/>
            <w:tcMar>
              <w:top w:w="0" w:type="dxa"/>
              <w:left w:w="85" w:type="dxa"/>
              <w:bottom w:w="0" w:type="dxa"/>
              <w:right w:w="85" w:type="dxa"/>
            </w:tcMar>
          </w:tcPr>
          <w:p w14:paraId="16F16EB2" w14:textId="77777777" w:rsidR="00BC0FD7" w:rsidRPr="001D5327" w:rsidRDefault="00BC0FD7" w:rsidP="009B2807">
            <w:pPr>
              <w:pStyle w:val="Tableboldblue"/>
              <w:spacing w:before="40" w:after="40"/>
            </w:pPr>
            <w:r w:rsidRPr="001D5327">
              <w:rPr>
                <w:color w:val="1B556B"/>
              </w:rPr>
              <w:t>2018</w:t>
            </w:r>
          </w:p>
        </w:tc>
        <w:tc>
          <w:tcPr>
            <w:tcW w:w="0" w:type="auto"/>
            <w:shd w:val="clear" w:color="auto" w:fill="FFFFFF"/>
            <w:tcMar>
              <w:top w:w="0" w:type="dxa"/>
              <w:left w:w="85" w:type="dxa"/>
              <w:bottom w:w="0" w:type="dxa"/>
              <w:right w:w="85" w:type="dxa"/>
            </w:tcMar>
          </w:tcPr>
          <w:p w14:paraId="47304F2C" w14:textId="77777777" w:rsidR="00BC0FD7" w:rsidRPr="001D5327" w:rsidRDefault="00BC0FD7" w:rsidP="009B2807">
            <w:pPr>
              <w:pStyle w:val="TableText"/>
              <w:spacing w:before="40" w:after="40"/>
              <w:jc w:val="right"/>
            </w:pPr>
            <w:r w:rsidRPr="001D5327">
              <w:rPr>
                <w:rFonts w:eastAsia="Calibri"/>
                <w:color w:val="000000"/>
              </w:rPr>
              <w:t>1.6</w:t>
            </w:r>
          </w:p>
        </w:tc>
        <w:tc>
          <w:tcPr>
            <w:tcW w:w="0" w:type="auto"/>
            <w:shd w:val="clear" w:color="auto" w:fill="FFFFFF"/>
            <w:tcMar>
              <w:top w:w="0" w:type="dxa"/>
              <w:left w:w="85" w:type="dxa"/>
              <w:bottom w:w="0" w:type="dxa"/>
              <w:right w:w="85" w:type="dxa"/>
            </w:tcMar>
          </w:tcPr>
          <w:p w14:paraId="235A20C8" w14:textId="77777777" w:rsidR="00BC0FD7" w:rsidRPr="001D5327" w:rsidRDefault="00BC0FD7" w:rsidP="009B2807">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53A84B4F" w14:textId="77777777" w:rsidR="00BC0FD7" w:rsidRPr="001D5327" w:rsidRDefault="00BC0FD7" w:rsidP="009B2807">
            <w:pPr>
              <w:pStyle w:val="TableText"/>
              <w:spacing w:before="40" w:after="40"/>
              <w:jc w:val="right"/>
            </w:pPr>
            <w:r w:rsidRPr="001D5327">
              <w:rPr>
                <w:rFonts w:eastAsia="Calibri"/>
                <w:color w:val="000000"/>
              </w:rPr>
              <w:t>0.5</w:t>
            </w:r>
          </w:p>
        </w:tc>
        <w:tc>
          <w:tcPr>
            <w:tcW w:w="0" w:type="auto"/>
            <w:shd w:val="clear" w:color="auto" w:fill="FFFFFF"/>
            <w:tcMar>
              <w:top w:w="0" w:type="dxa"/>
              <w:left w:w="85" w:type="dxa"/>
              <w:bottom w:w="0" w:type="dxa"/>
              <w:right w:w="85" w:type="dxa"/>
            </w:tcMar>
          </w:tcPr>
          <w:p w14:paraId="7A5DE771"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7F84E0C5" w14:textId="77777777" w:rsidR="00BC0FD7" w:rsidRPr="001D5327" w:rsidRDefault="00BC0FD7" w:rsidP="009B2807">
            <w:pPr>
              <w:pStyle w:val="TableText"/>
              <w:spacing w:before="40" w:after="40"/>
              <w:jc w:val="right"/>
            </w:pPr>
            <w:r w:rsidRPr="001D5327">
              <w:rPr>
                <w:rFonts w:eastAsia="Calibri"/>
                <w:color w:val="000000"/>
              </w:rPr>
              <w:t>3.0</w:t>
            </w:r>
          </w:p>
        </w:tc>
      </w:tr>
      <w:tr w:rsidR="009B2807" w:rsidRPr="001D5327" w14:paraId="511E201A" w14:textId="77777777" w:rsidTr="004F1621">
        <w:tc>
          <w:tcPr>
            <w:tcW w:w="0" w:type="auto"/>
            <w:shd w:val="clear" w:color="auto" w:fill="FFFFFF"/>
            <w:tcMar>
              <w:top w:w="0" w:type="dxa"/>
              <w:left w:w="85" w:type="dxa"/>
              <w:bottom w:w="0" w:type="dxa"/>
              <w:right w:w="85" w:type="dxa"/>
            </w:tcMar>
          </w:tcPr>
          <w:p w14:paraId="1FB8A337" w14:textId="77777777" w:rsidR="00BC0FD7" w:rsidRPr="001D5327" w:rsidRDefault="00BC0FD7" w:rsidP="009B2807">
            <w:pPr>
              <w:pStyle w:val="Tableboldblue"/>
              <w:spacing w:before="40" w:after="40"/>
            </w:pPr>
            <w:r w:rsidRPr="001D5327">
              <w:rPr>
                <w:color w:val="1B556B"/>
              </w:rPr>
              <w:t>2019</w:t>
            </w:r>
          </w:p>
        </w:tc>
        <w:tc>
          <w:tcPr>
            <w:tcW w:w="0" w:type="auto"/>
            <w:shd w:val="clear" w:color="auto" w:fill="FFFFFF"/>
            <w:tcMar>
              <w:top w:w="0" w:type="dxa"/>
              <w:left w:w="85" w:type="dxa"/>
              <w:bottom w:w="0" w:type="dxa"/>
              <w:right w:w="85" w:type="dxa"/>
            </w:tcMar>
          </w:tcPr>
          <w:p w14:paraId="095A3C2A" w14:textId="77777777" w:rsidR="00BC0FD7" w:rsidRPr="001D5327" w:rsidRDefault="00BC0FD7" w:rsidP="009B2807">
            <w:pPr>
              <w:pStyle w:val="TableText"/>
              <w:spacing w:before="40" w:after="40"/>
              <w:jc w:val="right"/>
            </w:pPr>
            <w:r w:rsidRPr="001D5327">
              <w:rPr>
                <w:rFonts w:eastAsia="Calibri"/>
                <w:color w:val="000000"/>
              </w:rPr>
              <w:t>1.6</w:t>
            </w:r>
          </w:p>
        </w:tc>
        <w:tc>
          <w:tcPr>
            <w:tcW w:w="0" w:type="auto"/>
            <w:shd w:val="clear" w:color="auto" w:fill="FFFFFF"/>
            <w:tcMar>
              <w:top w:w="0" w:type="dxa"/>
              <w:left w:w="85" w:type="dxa"/>
              <w:bottom w:w="0" w:type="dxa"/>
              <w:right w:w="85" w:type="dxa"/>
            </w:tcMar>
          </w:tcPr>
          <w:p w14:paraId="65C2E029" w14:textId="77777777" w:rsidR="00BC0FD7" w:rsidRPr="001D5327" w:rsidRDefault="00BC0FD7" w:rsidP="009B2807">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001E7AFC" w14:textId="77777777" w:rsidR="00BC0FD7" w:rsidRPr="001D5327" w:rsidRDefault="00BC0FD7" w:rsidP="009B2807">
            <w:pPr>
              <w:pStyle w:val="TableText"/>
              <w:spacing w:before="40" w:after="40"/>
              <w:jc w:val="right"/>
            </w:pPr>
            <w:r w:rsidRPr="001D5327">
              <w:rPr>
                <w:rFonts w:eastAsia="Calibri"/>
                <w:color w:val="000000"/>
              </w:rPr>
              <w:t>0.5</w:t>
            </w:r>
          </w:p>
        </w:tc>
        <w:tc>
          <w:tcPr>
            <w:tcW w:w="0" w:type="auto"/>
            <w:shd w:val="clear" w:color="auto" w:fill="FFFFFF"/>
            <w:tcMar>
              <w:top w:w="0" w:type="dxa"/>
              <w:left w:w="85" w:type="dxa"/>
              <w:bottom w:w="0" w:type="dxa"/>
              <w:right w:w="85" w:type="dxa"/>
            </w:tcMar>
          </w:tcPr>
          <w:p w14:paraId="2C60D337"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1993AB44" w14:textId="77777777" w:rsidR="00BC0FD7" w:rsidRPr="001D5327" w:rsidRDefault="00BC0FD7" w:rsidP="009B2807">
            <w:pPr>
              <w:pStyle w:val="TableText"/>
              <w:spacing w:before="40" w:after="40"/>
              <w:jc w:val="right"/>
            </w:pPr>
            <w:r w:rsidRPr="001D5327">
              <w:rPr>
                <w:rFonts w:eastAsia="Calibri"/>
                <w:color w:val="000000"/>
              </w:rPr>
              <w:t>3.0</w:t>
            </w:r>
          </w:p>
        </w:tc>
      </w:tr>
      <w:tr w:rsidR="009B2807" w:rsidRPr="001D5327" w14:paraId="67045E7F" w14:textId="77777777" w:rsidTr="004F1621">
        <w:tc>
          <w:tcPr>
            <w:tcW w:w="0" w:type="auto"/>
            <w:shd w:val="clear" w:color="auto" w:fill="FFFFFF"/>
            <w:tcMar>
              <w:top w:w="0" w:type="dxa"/>
              <w:left w:w="85" w:type="dxa"/>
              <w:bottom w:w="0" w:type="dxa"/>
              <w:right w:w="85" w:type="dxa"/>
            </w:tcMar>
          </w:tcPr>
          <w:p w14:paraId="0BC25B77" w14:textId="77777777" w:rsidR="00BC0FD7" w:rsidRPr="001D5327" w:rsidRDefault="00BC0FD7" w:rsidP="009B2807">
            <w:pPr>
              <w:pStyle w:val="Tableboldblue"/>
              <w:spacing w:before="40" w:after="40"/>
            </w:pPr>
            <w:r w:rsidRPr="001D5327">
              <w:rPr>
                <w:color w:val="1B556B"/>
              </w:rPr>
              <w:t>2020</w:t>
            </w:r>
          </w:p>
        </w:tc>
        <w:tc>
          <w:tcPr>
            <w:tcW w:w="0" w:type="auto"/>
            <w:shd w:val="clear" w:color="auto" w:fill="FFFFFF"/>
            <w:tcMar>
              <w:top w:w="0" w:type="dxa"/>
              <w:left w:w="85" w:type="dxa"/>
              <w:bottom w:w="0" w:type="dxa"/>
              <w:right w:w="85" w:type="dxa"/>
            </w:tcMar>
          </w:tcPr>
          <w:p w14:paraId="3A3BABCA" w14:textId="77777777" w:rsidR="00BC0FD7" w:rsidRPr="001D5327" w:rsidRDefault="00BC0FD7" w:rsidP="009B2807">
            <w:pPr>
              <w:pStyle w:val="TableText"/>
              <w:spacing w:before="40" w:after="40"/>
              <w:jc w:val="right"/>
            </w:pPr>
            <w:r w:rsidRPr="001D5327">
              <w:rPr>
                <w:rFonts w:eastAsia="Calibri"/>
                <w:color w:val="000000"/>
              </w:rPr>
              <w:t>1.6</w:t>
            </w:r>
          </w:p>
        </w:tc>
        <w:tc>
          <w:tcPr>
            <w:tcW w:w="0" w:type="auto"/>
            <w:shd w:val="clear" w:color="auto" w:fill="FFFFFF"/>
            <w:tcMar>
              <w:top w:w="0" w:type="dxa"/>
              <w:left w:w="85" w:type="dxa"/>
              <w:bottom w:w="0" w:type="dxa"/>
              <w:right w:w="85" w:type="dxa"/>
            </w:tcMar>
          </w:tcPr>
          <w:p w14:paraId="1E3A29C5" w14:textId="77777777" w:rsidR="00BC0FD7" w:rsidRPr="001D5327" w:rsidRDefault="00BC0FD7" w:rsidP="009B2807">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386125B0" w14:textId="77777777" w:rsidR="00BC0FD7" w:rsidRPr="001D5327" w:rsidRDefault="00BC0FD7" w:rsidP="009B2807">
            <w:pPr>
              <w:pStyle w:val="TableText"/>
              <w:spacing w:before="40" w:after="40"/>
              <w:jc w:val="right"/>
            </w:pPr>
            <w:r w:rsidRPr="001D5327">
              <w:rPr>
                <w:rFonts w:eastAsia="Calibri"/>
                <w:color w:val="000000"/>
              </w:rPr>
              <w:t>0.5</w:t>
            </w:r>
          </w:p>
        </w:tc>
        <w:tc>
          <w:tcPr>
            <w:tcW w:w="0" w:type="auto"/>
            <w:shd w:val="clear" w:color="auto" w:fill="FFFFFF"/>
            <w:tcMar>
              <w:top w:w="0" w:type="dxa"/>
              <w:left w:w="85" w:type="dxa"/>
              <w:bottom w:w="0" w:type="dxa"/>
              <w:right w:w="85" w:type="dxa"/>
            </w:tcMar>
          </w:tcPr>
          <w:p w14:paraId="01EF907B"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5E86735B" w14:textId="77777777" w:rsidR="00BC0FD7" w:rsidRPr="001D5327" w:rsidRDefault="00BC0FD7" w:rsidP="009B2807">
            <w:pPr>
              <w:pStyle w:val="TableText"/>
              <w:spacing w:before="40" w:after="40"/>
              <w:jc w:val="right"/>
            </w:pPr>
            <w:r w:rsidRPr="001D5327">
              <w:rPr>
                <w:rFonts w:eastAsia="Calibri"/>
                <w:color w:val="000000"/>
              </w:rPr>
              <w:t>3.0</w:t>
            </w:r>
          </w:p>
        </w:tc>
      </w:tr>
      <w:tr w:rsidR="009B2807" w:rsidRPr="001D5327" w14:paraId="1E7594CD" w14:textId="77777777" w:rsidTr="004F1621">
        <w:tc>
          <w:tcPr>
            <w:tcW w:w="0" w:type="auto"/>
            <w:shd w:val="clear" w:color="auto" w:fill="FFFFFF"/>
            <w:tcMar>
              <w:top w:w="0" w:type="dxa"/>
              <w:left w:w="85" w:type="dxa"/>
              <w:bottom w:w="0" w:type="dxa"/>
              <w:right w:w="85" w:type="dxa"/>
            </w:tcMar>
          </w:tcPr>
          <w:p w14:paraId="2DAA2952" w14:textId="77777777" w:rsidR="00BC0FD7" w:rsidRPr="001D5327" w:rsidRDefault="00BC0FD7" w:rsidP="009B2807">
            <w:pPr>
              <w:pStyle w:val="Tableboldblue"/>
              <w:spacing w:before="40" w:after="40"/>
            </w:pPr>
            <w:r w:rsidRPr="001D5327">
              <w:rPr>
                <w:color w:val="1B556B"/>
              </w:rPr>
              <w:t>2021</w:t>
            </w:r>
          </w:p>
        </w:tc>
        <w:tc>
          <w:tcPr>
            <w:tcW w:w="0" w:type="auto"/>
            <w:shd w:val="clear" w:color="auto" w:fill="FFFFFF"/>
            <w:tcMar>
              <w:top w:w="0" w:type="dxa"/>
              <w:left w:w="85" w:type="dxa"/>
              <w:bottom w:w="0" w:type="dxa"/>
              <w:right w:w="85" w:type="dxa"/>
            </w:tcMar>
          </w:tcPr>
          <w:p w14:paraId="73FFF9F0" w14:textId="77777777" w:rsidR="00BC0FD7" w:rsidRPr="001D5327" w:rsidRDefault="00BC0FD7" w:rsidP="009B2807">
            <w:pPr>
              <w:pStyle w:val="TableText"/>
              <w:spacing w:before="40" w:after="40"/>
              <w:jc w:val="right"/>
            </w:pPr>
            <w:r w:rsidRPr="001D5327">
              <w:rPr>
                <w:rFonts w:eastAsia="Calibri"/>
                <w:color w:val="000000"/>
              </w:rPr>
              <w:t>1.6</w:t>
            </w:r>
          </w:p>
        </w:tc>
        <w:tc>
          <w:tcPr>
            <w:tcW w:w="0" w:type="auto"/>
            <w:shd w:val="clear" w:color="auto" w:fill="FFFFFF"/>
            <w:tcMar>
              <w:top w:w="0" w:type="dxa"/>
              <w:left w:w="85" w:type="dxa"/>
              <w:bottom w:w="0" w:type="dxa"/>
              <w:right w:w="85" w:type="dxa"/>
            </w:tcMar>
          </w:tcPr>
          <w:p w14:paraId="3E247382" w14:textId="77777777" w:rsidR="00BC0FD7" w:rsidRPr="001D5327" w:rsidRDefault="00BC0FD7" w:rsidP="009B2807">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17701DDE" w14:textId="77777777" w:rsidR="00BC0FD7" w:rsidRPr="001D5327" w:rsidRDefault="00BC0FD7" w:rsidP="009B2807">
            <w:pPr>
              <w:pStyle w:val="TableText"/>
              <w:spacing w:before="40" w:after="40"/>
              <w:jc w:val="right"/>
            </w:pPr>
            <w:r w:rsidRPr="001D5327">
              <w:rPr>
                <w:rFonts w:eastAsia="Calibri"/>
                <w:color w:val="000000"/>
              </w:rPr>
              <w:t>0.5</w:t>
            </w:r>
          </w:p>
        </w:tc>
        <w:tc>
          <w:tcPr>
            <w:tcW w:w="0" w:type="auto"/>
            <w:shd w:val="clear" w:color="auto" w:fill="FFFFFF"/>
            <w:tcMar>
              <w:top w:w="0" w:type="dxa"/>
              <w:left w:w="85" w:type="dxa"/>
              <w:bottom w:w="0" w:type="dxa"/>
              <w:right w:w="85" w:type="dxa"/>
            </w:tcMar>
          </w:tcPr>
          <w:p w14:paraId="433686BE"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1DDC109A" w14:textId="77777777" w:rsidR="00BC0FD7" w:rsidRPr="001D5327" w:rsidRDefault="00BC0FD7" w:rsidP="009B2807">
            <w:pPr>
              <w:pStyle w:val="TableText"/>
              <w:spacing w:before="40" w:after="40"/>
              <w:jc w:val="right"/>
            </w:pPr>
            <w:r w:rsidRPr="001D5327">
              <w:rPr>
                <w:rFonts w:eastAsia="Calibri"/>
                <w:color w:val="000000"/>
              </w:rPr>
              <w:t>3.0</w:t>
            </w:r>
          </w:p>
        </w:tc>
      </w:tr>
      <w:tr w:rsidR="009B2807" w:rsidRPr="001D5327" w14:paraId="622B48F4" w14:textId="77777777" w:rsidTr="004F1621">
        <w:tc>
          <w:tcPr>
            <w:tcW w:w="0" w:type="auto"/>
            <w:shd w:val="clear" w:color="auto" w:fill="FFFFFF"/>
            <w:tcMar>
              <w:top w:w="0" w:type="dxa"/>
              <w:left w:w="85" w:type="dxa"/>
              <w:bottom w:w="0" w:type="dxa"/>
              <w:right w:w="85" w:type="dxa"/>
            </w:tcMar>
          </w:tcPr>
          <w:p w14:paraId="1FDA406F" w14:textId="77777777" w:rsidR="00BC0FD7" w:rsidRPr="001D5327" w:rsidRDefault="00BC0FD7" w:rsidP="009B2807">
            <w:pPr>
              <w:pStyle w:val="Tableboldblue"/>
              <w:spacing w:before="40" w:after="40"/>
            </w:pPr>
            <w:r w:rsidRPr="001D5327">
              <w:rPr>
                <w:color w:val="1B556B"/>
              </w:rPr>
              <w:t>2022</w:t>
            </w:r>
          </w:p>
        </w:tc>
        <w:tc>
          <w:tcPr>
            <w:tcW w:w="0" w:type="auto"/>
            <w:shd w:val="clear" w:color="auto" w:fill="FFFFFF"/>
            <w:tcMar>
              <w:top w:w="0" w:type="dxa"/>
              <w:left w:w="85" w:type="dxa"/>
              <w:bottom w:w="0" w:type="dxa"/>
              <w:right w:w="85" w:type="dxa"/>
            </w:tcMar>
          </w:tcPr>
          <w:p w14:paraId="12E6B280" w14:textId="77777777" w:rsidR="00BC0FD7" w:rsidRPr="001D5327" w:rsidRDefault="00BC0FD7" w:rsidP="009B2807">
            <w:pPr>
              <w:pStyle w:val="TableText"/>
              <w:spacing w:before="40" w:after="40"/>
              <w:jc w:val="right"/>
            </w:pPr>
            <w:r w:rsidRPr="001D5327">
              <w:rPr>
                <w:rFonts w:eastAsia="Calibri"/>
                <w:color w:val="000000"/>
              </w:rPr>
              <w:t>1.6</w:t>
            </w:r>
          </w:p>
        </w:tc>
        <w:tc>
          <w:tcPr>
            <w:tcW w:w="0" w:type="auto"/>
            <w:shd w:val="clear" w:color="auto" w:fill="FFFFFF"/>
            <w:tcMar>
              <w:top w:w="0" w:type="dxa"/>
              <w:left w:w="85" w:type="dxa"/>
              <w:bottom w:w="0" w:type="dxa"/>
              <w:right w:w="85" w:type="dxa"/>
            </w:tcMar>
          </w:tcPr>
          <w:p w14:paraId="375A999D" w14:textId="77777777" w:rsidR="00BC0FD7" w:rsidRPr="001D5327" w:rsidRDefault="00BC0FD7" w:rsidP="009B2807">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29C3EFF5" w14:textId="77777777" w:rsidR="00BC0FD7" w:rsidRPr="001D5327" w:rsidRDefault="00BC0FD7" w:rsidP="009B2807">
            <w:pPr>
              <w:pStyle w:val="TableText"/>
              <w:spacing w:before="40" w:after="40"/>
              <w:jc w:val="right"/>
            </w:pPr>
            <w:r w:rsidRPr="001D5327">
              <w:rPr>
                <w:rFonts w:eastAsia="Calibri"/>
                <w:color w:val="000000"/>
              </w:rPr>
              <w:t>0.5</w:t>
            </w:r>
          </w:p>
        </w:tc>
        <w:tc>
          <w:tcPr>
            <w:tcW w:w="0" w:type="auto"/>
            <w:shd w:val="clear" w:color="auto" w:fill="FFFFFF"/>
            <w:tcMar>
              <w:top w:w="0" w:type="dxa"/>
              <w:left w:w="85" w:type="dxa"/>
              <w:bottom w:w="0" w:type="dxa"/>
              <w:right w:w="85" w:type="dxa"/>
            </w:tcMar>
          </w:tcPr>
          <w:p w14:paraId="5CD94E43"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179C4C64" w14:textId="77777777" w:rsidR="00BC0FD7" w:rsidRPr="001D5327" w:rsidRDefault="00BC0FD7" w:rsidP="009B2807">
            <w:pPr>
              <w:pStyle w:val="TableText"/>
              <w:spacing w:before="40" w:after="40"/>
              <w:jc w:val="right"/>
            </w:pPr>
            <w:r w:rsidRPr="001D5327">
              <w:rPr>
                <w:rFonts w:eastAsia="Calibri"/>
                <w:color w:val="000000"/>
              </w:rPr>
              <w:t>2.9</w:t>
            </w:r>
          </w:p>
        </w:tc>
      </w:tr>
      <w:tr w:rsidR="009B2807" w:rsidRPr="001D5327" w14:paraId="048E4C3B" w14:textId="77777777" w:rsidTr="004F1621">
        <w:tc>
          <w:tcPr>
            <w:tcW w:w="0" w:type="auto"/>
            <w:shd w:val="clear" w:color="auto" w:fill="FFFFFF"/>
            <w:tcMar>
              <w:top w:w="0" w:type="dxa"/>
              <w:left w:w="85" w:type="dxa"/>
              <w:bottom w:w="0" w:type="dxa"/>
              <w:right w:w="85" w:type="dxa"/>
            </w:tcMar>
          </w:tcPr>
          <w:p w14:paraId="319AB46C" w14:textId="77777777" w:rsidR="00BC0FD7" w:rsidRPr="001D5327" w:rsidRDefault="00BC0FD7" w:rsidP="009B2807">
            <w:pPr>
              <w:pStyle w:val="Tableboldblue"/>
              <w:spacing w:before="40" w:after="40"/>
            </w:pPr>
            <w:r w:rsidRPr="001D5327">
              <w:rPr>
                <w:color w:val="1B556B"/>
              </w:rPr>
              <w:t>2023</w:t>
            </w:r>
          </w:p>
        </w:tc>
        <w:tc>
          <w:tcPr>
            <w:tcW w:w="0" w:type="auto"/>
            <w:shd w:val="clear" w:color="auto" w:fill="FFFFFF"/>
            <w:tcMar>
              <w:top w:w="0" w:type="dxa"/>
              <w:left w:w="85" w:type="dxa"/>
              <w:bottom w:w="0" w:type="dxa"/>
              <w:right w:w="85" w:type="dxa"/>
            </w:tcMar>
          </w:tcPr>
          <w:p w14:paraId="17086FC6" w14:textId="77777777" w:rsidR="00BC0FD7" w:rsidRPr="001D5327" w:rsidRDefault="00BC0FD7" w:rsidP="009B2807">
            <w:pPr>
              <w:pStyle w:val="TableText"/>
              <w:spacing w:before="40" w:after="40"/>
              <w:jc w:val="right"/>
            </w:pPr>
            <w:r w:rsidRPr="001D5327">
              <w:rPr>
                <w:rFonts w:eastAsia="Calibri"/>
                <w:color w:val="000000"/>
              </w:rPr>
              <w:t>1.6</w:t>
            </w:r>
          </w:p>
        </w:tc>
        <w:tc>
          <w:tcPr>
            <w:tcW w:w="0" w:type="auto"/>
            <w:shd w:val="clear" w:color="auto" w:fill="FFFFFF"/>
            <w:tcMar>
              <w:top w:w="0" w:type="dxa"/>
              <w:left w:w="85" w:type="dxa"/>
              <w:bottom w:w="0" w:type="dxa"/>
              <w:right w:w="85" w:type="dxa"/>
            </w:tcMar>
          </w:tcPr>
          <w:p w14:paraId="39B4BEEB" w14:textId="77777777" w:rsidR="00BC0FD7" w:rsidRPr="001D5327" w:rsidRDefault="00BC0FD7" w:rsidP="009B2807">
            <w:pPr>
              <w:pStyle w:val="TableText"/>
              <w:spacing w:before="40" w:after="40"/>
              <w:jc w:val="right"/>
            </w:pPr>
            <w:r w:rsidRPr="001D5327">
              <w:rPr>
                <w:rFonts w:eastAsia="Calibri"/>
                <w:color w:val="000000"/>
              </w:rPr>
              <w:t>0.3</w:t>
            </w:r>
          </w:p>
        </w:tc>
        <w:tc>
          <w:tcPr>
            <w:tcW w:w="0" w:type="auto"/>
            <w:shd w:val="clear" w:color="auto" w:fill="FFFFFF"/>
            <w:tcMar>
              <w:top w:w="0" w:type="dxa"/>
              <w:left w:w="85" w:type="dxa"/>
              <w:bottom w:w="0" w:type="dxa"/>
              <w:right w:w="85" w:type="dxa"/>
            </w:tcMar>
          </w:tcPr>
          <w:p w14:paraId="660D1BDB" w14:textId="77777777" w:rsidR="00BC0FD7" w:rsidRPr="001D5327" w:rsidRDefault="00BC0FD7" w:rsidP="009B2807">
            <w:pPr>
              <w:pStyle w:val="TableText"/>
              <w:spacing w:before="40" w:after="40"/>
              <w:jc w:val="right"/>
            </w:pPr>
            <w:r w:rsidRPr="001D5327">
              <w:rPr>
                <w:rFonts w:eastAsia="Calibri"/>
                <w:color w:val="000000"/>
              </w:rPr>
              <w:t>0.5</w:t>
            </w:r>
          </w:p>
        </w:tc>
        <w:tc>
          <w:tcPr>
            <w:tcW w:w="0" w:type="auto"/>
            <w:shd w:val="clear" w:color="auto" w:fill="FFFFFF"/>
            <w:tcMar>
              <w:top w:w="0" w:type="dxa"/>
              <w:left w:w="85" w:type="dxa"/>
              <w:bottom w:w="0" w:type="dxa"/>
              <w:right w:w="85" w:type="dxa"/>
            </w:tcMar>
          </w:tcPr>
          <w:p w14:paraId="1FF27C46" w14:textId="77777777" w:rsidR="00BC0FD7" w:rsidRPr="001D5327" w:rsidRDefault="00BC0FD7" w:rsidP="009B2807">
            <w:pPr>
              <w:pStyle w:val="TableText"/>
              <w:spacing w:before="40" w:after="4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3496497F" w14:textId="77777777" w:rsidR="00BC0FD7" w:rsidRPr="001D5327" w:rsidRDefault="00BC0FD7" w:rsidP="009B2807">
            <w:pPr>
              <w:pStyle w:val="TableText"/>
              <w:spacing w:before="40" w:after="40"/>
              <w:jc w:val="right"/>
            </w:pPr>
            <w:r w:rsidRPr="001D5327">
              <w:rPr>
                <w:rFonts w:eastAsia="Calibri"/>
                <w:color w:val="000000"/>
              </w:rPr>
              <w:t>3.0</w:t>
            </w:r>
          </w:p>
        </w:tc>
      </w:tr>
    </w:tbl>
    <w:p w14:paraId="620F24A9" w14:textId="77777777" w:rsidR="00BC0FD7" w:rsidRPr="001D5327" w:rsidRDefault="00BC0FD7" w:rsidP="00BC0FD7">
      <w:pPr>
        <w:pStyle w:val="Noteundertable"/>
      </w:pPr>
      <w:r w:rsidRPr="001D5327">
        <w:rPr>
          <w:b/>
          <w:bCs/>
        </w:rPr>
        <w:t>Note:</w:t>
      </w:r>
      <w:r w:rsidRPr="001D5327">
        <w:t xml:space="preserve"> Columns may not total due to rounding.</w:t>
      </w:r>
    </w:p>
    <w:p w14:paraId="79FE4E31" w14:textId="77777777" w:rsidR="00BC0FD7" w:rsidRPr="001D5327" w:rsidRDefault="00BC0FD7" w:rsidP="009B2807">
      <w:pPr>
        <w:pStyle w:val="Heading5"/>
        <w:spacing w:before="180"/>
      </w:pPr>
      <w:bookmarkStart w:id="2872" w:name="meat-industry"/>
      <w:bookmarkEnd w:id="2869"/>
      <w:r w:rsidRPr="001D5327">
        <w:t>Meat industry</w:t>
      </w:r>
    </w:p>
    <w:p w14:paraId="2C0AB619" w14:textId="77777777" w:rsidR="00BC0FD7" w:rsidRPr="001D5327" w:rsidRDefault="00BC0FD7" w:rsidP="00BC0FD7">
      <w:pPr>
        <w:pStyle w:val="BodyText"/>
      </w:pPr>
      <w:r w:rsidRPr="001D5327">
        <w:t>Methane emissions from the meat industry are calculated from an estimate of the wastewater output from meat processing. This estimate is based on the total production (kills) from the different producers in the meat industry and uses data that is as consistent as possible with the data for kills used in the Agriculture sector.</w:t>
      </w:r>
    </w:p>
    <w:p w14:paraId="31F8A025" w14:textId="77777777" w:rsidR="00BC0FD7" w:rsidRPr="001D5327" w:rsidRDefault="00BC0FD7" w:rsidP="00BC0FD7">
      <w:pPr>
        <w:pStyle w:val="BodyText"/>
      </w:pPr>
      <w:r w:rsidRPr="001D5327">
        <w:t>Poultry processing is calculated separately from other meat processing because its fraction of waste treated in anaerobic ponds and the unit chemical oxygen demand (COD) load are higher than for other meat processing (Cardno, unpublished).</w:t>
      </w:r>
    </w:p>
    <w:p w14:paraId="2A2474B9" w14:textId="582D3C21" w:rsidR="00BC0FD7" w:rsidRPr="001D5327" w:rsidRDefault="00BC0FD7" w:rsidP="00BC0FD7">
      <w:pPr>
        <w:pStyle w:val="BodyText"/>
      </w:pPr>
      <w:r w:rsidRPr="001D5327">
        <w:t>Rendering loads are not separated out to simplify the inventory calculations because there are</w:t>
      </w:r>
      <w:r w:rsidR="009B2807" w:rsidRPr="001D5327">
        <w:t> </w:t>
      </w:r>
      <w:r w:rsidRPr="001D5327">
        <w:t>only a few standalone rendering plants in New Zealand, and the rest are combined with</w:t>
      </w:r>
      <w:r w:rsidR="004F1621" w:rsidRPr="001D5327">
        <w:t xml:space="preserve"> </w:t>
      </w:r>
      <w:r w:rsidRPr="001D5327">
        <w:t>meat processing plants. Therefore, the unit COD load only includes rendering operations (Cardno, unpublished).</w:t>
      </w:r>
    </w:p>
    <w:p w14:paraId="539EA969" w14:textId="77777777" w:rsidR="00BC0FD7" w:rsidRPr="001D5327" w:rsidRDefault="00BC0FD7" w:rsidP="00BC0FD7">
      <w:pPr>
        <w:pStyle w:val="BodyText"/>
      </w:pPr>
      <w:r w:rsidRPr="001D5327">
        <w:t>Nitrous oxide emissions from the meat industry are calculated using the same activity data as for CH</w:t>
      </w:r>
      <w:r w:rsidRPr="001D5327">
        <w:rPr>
          <w:vertAlign w:val="subscript"/>
        </w:rPr>
        <w:t>4</w:t>
      </w:r>
      <w:r w:rsidRPr="001D5327">
        <w:t xml:space="preserve"> emissions.</w:t>
      </w:r>
    </w:p>
    <w:p w14:paraId="08D5F092" w14:textId="77777777" w:rsidR="00BC0FD7" w:rsidRPr="001D5327" w:rsidRDefault="00BC0FD7" w:rsidP="00BC0FD7">
      <w:pPr>
        <w:pStyle w:val="Heading5"/>
      </w:pPr>
      <w:bookmarkStart w:id="2873" w:name="pulp-and-paper-industry"/>
      <w:bookmarkEnd w:id="2872"/>
      <w:r w:rsidRPr="001D5327">
        <w:t>Pulp and paper industry</w:t>
      </w:r>
    </w:p>
    <w:p w14:paraId="127AD933" w14:textId="77777777" w:rsidR="00BC0FD7" w:rsidRPr="001D5327" w:rsidRDefault="00BC0FD7" w:rsidP="00BC0FD7">
      <w:pPr>
        <w:pStyle w:val="BodyText"/>
      </w:pPr>
      <w:r w:rsidRPr="001D5327">
        <w:t>Estimated pulp and paper wastewater output is based on paper, paperboard and pulp production. This information is obtained from the Ministry for Primary Industries.</w:t>
      </w:r>
    </w:p>
    <w:p w14:paraId="0DEB29EF" w14:textId="77777777" w:rsidR="00BC0FD7" w:rsidRPr="001D5327" w:rsidRDefault="00BC0FD7" w:rsidP="00BC0FD7">
      <w:pPr>
        <w:pStyle w:val="Heading5"/>
      </w:pPr>
      <w:bookmarkStart w:id="2874" w:name="wine-industry"/>
      <w:bookmarkEnd w:id="2873"/>
      <w:r w:rsidRPr="001D5327">
        <w:t>Wine industry</w:t>
      </w:r>
    </w:p>
    <w:p w14:paraId="11B47657" w14:textId="77777777" w:rsidR="00BC0FD7" w:rsidRPr="001D5327" w:rsidRDefault="00BC0FD7" w:rsidP="00BC0FD7">
      <w:pPr>
        <w:pStyle w:val="BodyText"/>
      </w:pPr>
      <w:r w:rsidRPr="001D5327">
        <w:t>Methane emissions from wastewater for the wine industry are based on the outputs obtained from New Zealand Wine, which reports on the grape and wine sector. For the purpose of this assessment, an average industry wastewater discharge metric of 2.7 cubic metres of water per tonne of grapes processed is assumed. This value is derived from national data. Note that this value is significantly lower than IPCC default values (Beca Ltd, unpublished).</w:t>
      </w:r>
    </w:p>
    <w:p w14:paraId="532CAA24" w14:textId="77777777" w:rsidR="00BC0FD7" w:rsidRPr="001D5327" w:rsidRDefault="00BC0FD7" w:rsidP="00BC0FD7">
      <w:pPr>
        <w:pStyle w:val="Heading5"/>
      </w:pPr>
      <w:bookmarkStart w:id="2875" w:name="wool-scouring-industry"/>
      <w:bookmarkEnd w:id="2874"/>
      <w:r w:rsidRPr="001D5327">
        <w:lastRenderedPageBreak/>
        <w:t>Wool scouring industry</w:t>
      </w:r>
    </w:p>
    <w:p w14:paraId="73880C4E" w14:textId="77777777" w:rsidR="00BC0FD7" w:rsidRPr="001D5327" w:rsidRDefault="00BC0FD7" w:rsidP="00BC0FD7">
      <w:pPr>
        <w:pStyle w:val="BodyText"/>
      </w:pPr>
      <w:r w:rsidRPr="001D5327">
        <w:t>Methane emissions from wastewater for the wool scouring industry are based on the outputs obtained by SCS Wetherill Environmental (unpublished) for the years up to 2000. From 2001 to 2012, the SCS estimates have been prorated against the industry’s output data and applied to the output data for these years. After 2012, the wool scouring industry used only aerobic treatment of wastewater and, consequently, no emissions are reported for 2013 onwards (Beca Ltd, unpublished).</w:t>
      </w:r>
    </w:p>
    <w:p w14:paraId="454CF563" w14:textId="77777777" w:rsidR="00BC0FD7" w:rsidRPr="001D5327" w:rsidRDefault="00BC0FD7" w:rsidP="00BC0FD7">
      <w:pPr>
        <w:pStyle w:val="Heading5"/>
      </w:pPr>
      <w:bookmarkStart w:id="2876" w:name="dairy-processing-industry"/>
      <w:bookmarkEnd w:id="2875"/>
      <w:r w:rsidRPr="001D5327">
        <w:t>Dairy processing industry</w:t>
      </w:r>
    </w:p>
    <w:p w14:paraId="346EA3EB" w14:textId="77777777" w:rsidR="00BC0FD7" w:rsidRPr="001D5327" w:rsidRDefault="00BC0FD7" w:rsidP="00BC0FD7">
      <w:pPr>
        <w:pStyle w:val="BodyText"/>
      </w:pPr>
      <w:r w:rsidRPr="001D5327">
        <w:t>The dairy processing industry predominantly uses aerobic treatment. Only one factory uses anaerobic treatment. The emissions from the wastewater treatment process are recovered and most of the captured biogas (consisting of 55 per cent CH</w:t>
      </w:r>
      <w:r w:rsidRPr="001D5327">
        <w:rPr>
          <w:vertAlign w:val="subscript"/>
        </w:rPr>
        <w:t>4</w:t>
      </w:r>
      <w:r w:rsidRPr="001D5327">
        <w:t>) is used in boilers. The remainder is flared (Beca Infrastructure Ltd, unpublished). Emissions from the biogas recovered from the Tirau dairy processing plant (</w:t>
      </w:r>
      <w:r w:rsidRPr="001D5327">
        <w:rPr>
          <w:i/>
          <w:iCs/>
        </w:rPr>
        <w:t>Industrial wastewater</w:t>
      </w:r>
      <w:r w:rsidRPr="001D5327">
        <w:t xml:space="preserve">) for energy recovery are reported as ‘included elsewhere’ under the Waste sector, and actual emissions are reported in </w:t>
      </w:r>
      <w:r w:rsidRPr="001D5327">
        <w:rPr>
          <w:i/>
          <w:iCs/>
        </w:rPr>
        <w:t>1.A.2.e – Biomass</w:t>
      </w:r>
      <w:r w:rsidRPr="001D5327">
        <w:t xml:space="preserve"> under the Energy sector.</w:t>
      </w:r>
    </w:p>
    <w:p w14:paraId="139336C1" w14:textId="77777777" w:rsidR="00BC0FD7" w:rsidRPr="001D5327" w:rsidRDefault="00BC0FD7" w:rsidP="00BC0FD7">
      <w:pPr>
        <w:pStyle w:val="BodyText"/>
      </w:pPr>
      <w:r w:rsidRPr="001D5327">
        <w:t>Nitrous oxide emissions from dairy industry wastewater are included, based on the review of methods for industrial wastewater by Cardno (unpublished). Emission estimates are based on the total litres of milk processed, consistent with data reported under the Agriculture sector. The production data are then converted from litres to kilograms by multiplying by 1.031 (the weight of 1 litre of milk) for the activity data used in the emissions calculations.</w:t>
      </w:r>
    </w:p>
    <w:p w14:paraId="11A84F6D" w14:textId="77777777" w:rsidR="00BC0FD7" w:rsidRPr="001D5327" w:rsidRDefault="00BC0FD7" w:rsidP="00BC0FD7">
      <w:pPr>
        <w:pStyle w:val="Heading5"/>
      </w:pPr>
      <w:bookmarkStart w:id="2877" w:name="leather-and-skins-industry"/>
      <w:bookmarkEnd w:id="2876"/>
      <w:r w:rsidRPr="001D5327">
        <w:t>Leather and skins industry</w:t>
      </w:r>
    </w:p>
    <w:p w14:paraId="00FBBCC0" w14:textId="7CD70C2E" w:rsidR="00BC0FD7" w:rsidRPr="001D5327" w:rsidRDefault="00BC0FD7" w:rsidP="00BC0FD7">
      <w:pPr>
        <w:pStyle w:val="BodyText"/>
      </w:pPr>
      <w:r w:rsidRPr="001D5327">
        <w:t>Methane emissions from wastewater for the leather and skins industry, also known as</w:t>
      </w:r>
      <w:r w:rsidR="004F1621" w:rsidRPr="001D5327">
        <w:t xml:space="preserve"> </w:t>
      </w:r>
      <w:r w:rsidRPr="001D5327">
        <w:t>tanneries and fellmongers, are based on the outputs obtained by SCS Wetherill Environmental (unpublished) for the years up to 2001. From 2002, all wastewater from the tanneries is accounted for in domestic wastewater because all tanneries now discharge to the municipal wastewater system; however, some fellmongers still use aerobic treatment (Cardno, unpublished).</w:t>
      </w:r>
    </w:p>
    <w:p w14:paraId="5484D569" w14:textId="77777777" w:rsidR="00BC0FD7" w:rsidRPr="001D5327" w:rsidRDefault="00BC0FD7" w:rsidP="00BC0FD7">
      <w:pPr>
        <w:pStyle w:val="BodyText"/>
      </w:pPr>
      <w:r w:rsidRPr="001D5327">
        <w:t>Nitrous oxide emissions from wastewater for the leather and skins industry are based on the outputs obtained by SCS Wetherill Environmental (unpublished). Emissions reduced in 2002 to account for the tanneries that discharge entirely to the domestic system.</w:t>
      </w:r>
    </w:p>
    <w:bookmarkEnd w:id="2877"/>
    <w:p w14:paraId="06FBF7D0" w14:textId="77777777" w:rsidR="00BC0FD7" w:rsidRPr="001D5327" w:rsidRDefault="00BC0FD7" w:rsidP="00BC0FD7">
      <w:pPr>
        <w:pStyle w:val="Heading4"/>
      </w:pPr>
      <w:r w:rsidRPr="001D5327">
        <w:t>Choice of methods</w:t>
      </w:r>
    </w:p>
    <w:p w14:paraId="0B5E9D44" w14:textId="77777777" w:rsidR="00BC0FD7" w:rsidRPr="001D5327" w:rsidRDefault="00BC0FD7" w:rsidP="00BC0FD7">
      <w:pPr>
        <w:pStyle w:val="BodyText"/>
      </w:pPr>
      <w:r w:rsidRPr="001D5327">
        <w:t>Methods used to calculate emissions from wastewater handling are summarised in table 7.5.5. For domestic wastewater, the TOW is estimated for each individual treatment plant based on the population in the district served by the plant.</w:t>
      </w:r>
    </w:p>
    <w:p w14:paraId="47C3DDBE" w14:textId="77777777" w:rsidR="00BC0FD7" w:rsidRPr="001D5327" w:rsidRDefault="00BC0FD7" w:rsidP="00BC0FD7">
      <w:pPr>
        <w:pStyle w:val="Table"/>
      </w:pPr>
      <w:bookmarkStart w:id="2878" w:name="_Toc194241820"/>
      <w:r w:rsidRPr="001D5327">
        <w:t xml:space="preserve">Table 7.5.5 </w:t>
      </w:r>
      <w:r w:rsidRPr="001D5327">
        <w:tab/>
        <w:t>Methods used for calculating emissions from wastewater treatment</w:t>
      </w:r>
      <w:bookmarkEnd w:id="2878"/>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189"/>
        <w:gridCol w:w="433"/>
        <w:gridCol w:w="2120"/>
        <w:gridCol w:w="704"/>
        <w:gridCol w:w="3048"/>
      </w:tblGrid>
      <w:tr w:rsidR="00BC0FD7" w:rsidRPr="001D5327" w14:paraId="116AC5B4" w14:textId="77777777" w:rsidTr="003B14C0">
        <w:trPr>
          <w:tblHeader/>
        </w:trPr>
        <w:tc>
          <w:tcPr>
            <w:tcW w:w="0" w:type="auto"/>
            <w:shd w:val="clear" w:color="auto" w:fill="1B556B"/>
            <w:tcMar>
              <w:top w:w="0" w:type="dxa"/>
              <w:left w:w="85" w:type="dxa"/>
              <w:bottom w:w="0" w:type="dxa"/>
              <w:right w:w="85" w:type="dxa"/>
            </w:tcMar>
          </w:tcPr>
          <w:p w14:paraId="401EAA06" w14:textId="77777777" w:rsidR="00BC0FD7" w:rsidRPr="001D5327" w:rsidRDefault="00BC0FD7" w:rsidP="00D11AC9">
            <w:pPr>
              <w:pStyle w:val="TableText"/>
              <w:keepNext/>
              <w:spacing w:before="40" w:after="40"/>
              <w:rPr>
                <w:b/>
                <w:bCs/>
                <w:color w:val="FFFFFF" w:themeColor="background1"/>
              </w:rPr>
            </w:pPr>
            <w:r w:rsidRPr="001D5327">
              <w:rPr>
                <w:rFonts w:eastAsia="Calibri"/>
                <w:b/>
                <w:bCs/>
                <w:color w:val="FFFFFF" w:themeColor="background1"/>
              </w:rPr>
              <w:t>Emissions category</w:t>
            </w:r>
          </w:p>
        </w:tc>
        <w:tc>
          <w:tcPr>
            <w:tcW w:w="0" w:type="auto"/>
            <w:shd w:val="clear" w:color="auto" w:fill="1B556B"/>
            <w:tcMar>
              <w:top w:w="0" w:type="dxa"/>
              <w:left w:w="85" w:type="dxa"/>
              <w:bottom w:w="0" w:type="dxa"/>
              <w:right w:w="85" w:type="dxa"/>
            </w:tcMar>
          </w:tcPr>
          <w:p w14:paraId="736D8683" w14:textId="77777777" w:rsidR="00BC0FD7" w:rsidRPr="001D5327" w:rsidRDefault="00BC0FD7" w:rsidP="00D11AC9">
            <w:pPr>
              <w:pStyle w:val="TableText"/>
              <w:keepNext/>
              <w:spacing w:before="40" w:after="40"/>
              <w:rPr>
                <w:b/>
                <w:bCs/>
                <w:color w:val="FFFFFF" w:themeColor="background1"/>
              </w:rPr>
            </w:pPr>
            <w:r w:rsidRPr="001D5327">
              <w:rPr>
                <w:rFonts w:eastAsia="Calibri"/>
                <w:b/>
                <w:bCs/>
                <w:color w:val="FFFFFF" w:themeColor="background1"/>
              </w:rPr>
              <w:t>Gas</w:t>
            </w:r>
          </w:p>
        </w:tc>
        <w:tc>
          <w:tcPr>
            <w:tcW w:w="0" w:type="auto"/>
            <w:shd w:val="clear" w:color="auto" w:fill="1B556B"/>
            <w:tcMar>
              <w:top w:w="0" w:type="dxa"/>
              <w:left w:w="85" w:type="dxa"/>
              <w:bottom w:w="0" w:type="dxa"/>
              <w:right w:w="85" w:type="dxa"/>
            </w:tcMar>
          </w:tcPr>
          <w:p w14:paraId="4BCE43BA" w14:textId="77777777" w:rsidR="00BC0FD7" w:rsidRPr="001D5327" w:rsidRDefault="00BC0FD7" w:rsidP="00D11AC9">
            <w:pPr>
              <w:pStyle w:val="TableText"/>
              <w:keepNext/>
              <w:spacing w:before="40" w:after="40"/>
              <w:rPr>
                <w:b/>
                <w:bCs/>
                <w:color w:val="FFFFFF" w:themeColor="background1"/>
              </w:rPr>
            </w:pPr>
            <w:r w:rsidRPr="001D5327">
              <w:rPr>
                <w:rFonts w:eastAsia="Calibri"/>
                <w:b/>
                <w:bCs/>
                <w:color w:val="FFFFFF" w:themeColor="background1"/>
              </w:rPr>
              <w:t>Comment</w:t>
            </w:r>
          </w:p>
        </w:tc>
        <w:tc>
          <w:tcPr>
            <w:tcW w:w="0" w:type="auto"/>
            <w:shd w:val="clear" w:color="auto" w:fill="1B556B"/>
            <w:tcMar>
              <w:top w:w="0" w:type="dxa"/>
              <w:left w:w="85" w:type="dxa"/>
              <w:bottom w:w="0" w:type="dxa"/>
              <w:right w:w="85" w:type="dxa"/>
            </w:tcMar>
          </w:tcPr>
          <w:p w14:paraId="43092564" w14:textId="77777777" w:rsidR="00BC0FD7" w:rsidRPr="001D5327" w:rsidRDefault="00BC0FD7" w:rsidP="00D11AC9">
            <w:pPr>
              <w:pStyle w:val="TableText"/>
              <w:keepNext/>
              <w:spacing w:before="40" w:after="40"/>
              <w:rPr>
                <w:b/>
                <w:bCs/>
                <w:color w:val="FFFFFF" w:themeColor="background1"/>
              </w:rPr>
            </w:pPr>
            <w:r w:rsidRPr="001D5327">
              <w:rPr>
                <w:rFonts w:eastAsia="Calibri"/>
                <w:b/>
                <w:bCs/>
                <w:color w:val="FFFFFF" w:themeColor="background1"/>
              </w:rPr>
              <w:t>Method</w:t>
            </w:r>
          </w:p>
        </w:tc>
        <w:tc>
          <w:tcPr>
            <w:tcW w:w="0" w:type="auto"/>
            <w:shd w:val="clear" w:color="auto" w:fill="1B556B"/>
            <w:tcMar>
              <w:top w:w="0" w:type="dxa"/>
              <w:left w:w="85" w:type="dxa"/>
              <w:bottom w:w="0" w:type="dxa"/>
              <w:right w:w="85" w:type="dxa"/>
            </w:tcMar>
          </w:tcPr>
          <w:p w14:paraId="50EC399B" w14:textId="77777777" w:rsidR="00BC0FD7" w:rsidRPr="001D5327" w:rsidRDefault="00BC0FD7" w:rsidP="00D11AC9">
            <w:pPr>
              <w:pStyle w:val="TableText"/>
              <w:keepNext/>
              <w:spacing w:before="40" w:after="40"/>
              <w:rPr>
                <w:b/>
                <w:bCs/>
                <w:color w:val="FFFFFF" w:themeColor="background1"/>
              </w:rPr>
            </w:pPr>
            <w:r w:rsidRPr="001D5327">
              <w:rPr>
                <w:rFonts w:eastAsia="Calibri"/>
                <w:b/>
                <w:bCs/>
                <w:color w:val="FFFFFF" w:themeColor="background1"/>
              </w:rPr>
              <w:t>Source</w:t>
            </w:r>
          </w:p>
        </w:tc>
      </w:tr>
      <w:tr w:rsidR="00BC0FD7" w:rsidRPr="001D5327" w14:paraId="4DB305DA" w14:textId="77777777" w:rsidTr="003B14C0">
        <w:tc>
          <w:tcPr>
            <w:tcW w:w="0" w:type="auto"/>
            <w:shd w:val="clear" w:color="auto" w:fill="FFFFFF"/>
            <w:tcMar>
              <w:top w:w="0" w:type="dxa"/>
              <w:left w:w="85" w:type="dxa"/>
              <w:bottom w:w="0" w:type="dxa"/>
              <w:right w:w="85" w:type="dxa"/>
            </w:tcMar>
          </w:tcPr>
          <w:p w14:paraId="482F4E6D" w14:textId="77777777" w:rsidR="00BC0FD7" w:rsidRPr="001D5327" w:rsidRDefault="00BC0FD7" w:rsidP="00D11AC9">
            <w:pPr>
              <w:pStyle w:val="TableText"/>
              <w:keepNext/>
              <w:spacing w:before="40" w:after="40"/>
            </w:pPr>
            <w:r w:rsidRPr="001D5327">
              <w:rPr>
                <w:rFonts w:eastAsia="Calibri"/>
                <w:color w:val="000000"/>
              </w:rPr>
              <w:t>Domestic wastewater (5.D.1)</w:t>
            </w:r>
          </w:p>
        </w:tc>
        <w:tc>
          <w:tcPr>
            <w:tcW w:w="0" w:type="auto"/>
            <w:shd w:val="clear" w:color="auto" w:fill="FFFFFF"/>
            <w:tcMar>
              <w:top w:w="0" w:type="dxa"/>
              <w:left w:w="85" w:type="dxa"/>
              <w:bottom w:w="0" w:type="dxa"/>
              <w:right w:w="85" w:type="dxa"/>
            </w:tcMar>
          </w:tcPr>
          <w:p w14:paraId="59E082BD" w14:textId="77777777" w:rsidR="00BC0FD7" w:rsidRPr="001D5327" w:rsidRDefault="00BC0FD7" w:rsidP="00D11AC9">
            <w:pPr>
              <w:pStyle w:val="TableText"/>
              <w:keepNext/>
              <w:spacing w:before="40" w:after="40"/>
            </w:pPr>
            <w:r w:rsidRPr="001D5327">
              <w:rPr>
                <w:rFonts w:eastAsia="Calibri"/>
                <w:color w:val="000000"/>
              </w:rPr>
              <w:t>CH₄</w:t>
            </w:r>
          </w:p>
        </w:tc>
        <w:tc>
          <w:tcPr>
            <w:tcW w:w="0" w:type="auto"/>
            <w:shd w:val="clear" w:color="auto" w:fill="FFFFFF"/>
            <w:tcMar>
              <w:top w:w="0" w:type="dxa"/>
              <w:left w:w="85" w:type="dxa"/>
              <w:bottom w:w="0" w:type="dxa"/>
              <w:right w:w="85" w:type="dxa"/>
            </w:tcMar>
          </w:tcPr>
          <w:p w14:paraId="15047005" w14:textId="77777777" w:rsidR="00BC0FD7" w:rsidRPr="001D5327" w:rsidRDefault="00BC0FD7" w:rsidP="00D11AC9">
            <w:pPr>
              <w:pStyle w:val="TableText"/>
              <w:keepNext/>
              <w:spacing w:before="40" w:after="40"/>
            </w:pPr>
          </w:p>
        </w:tc>
        <w:tc>
          <w:tcPr>
            <w:tcW w:w="0" w:type="auto"/>
            <w:shd w:val="clear" w:color="auto" w:fill="FFFFFF"/>
            <w:tcMar>
              <w:top w:w="0" w:type="dxa"/>
              <w:left w:w="85" w:type="dxa"/>
              <w:bottom w:w="0" w:type="dxa"/>
              <w:right w:w="85" w:type="dxa"/>
            </w:tcMar>
          </w:tcPr>
          <w:p w14:paraId="664A1DBF" w14:textId="77777777" w:rsidR="00BC0FD7" w:rsidRPr="001D5327" w:rsidRDefault="00BC0FD7" w:rsidP="00D11AC9">
            <w:pPr>
              <w:pStyle w:val="TableText"/>
              <w:keepNext/>
              <w:spacing w:before="40" w:after="40"/>
            </w:pPr>
            <w:r w:rsidRPr="001D5327">
              <w:rPr>
                <w:rFonts w:eastAsia="Calibri"/>
                <w:color w:val="000000"/>
              </w:rPr>
              <w:t>Tier 2</w:t>
            </w:r>
          </w:p>
        </w:tc>
        <w:tc>
          <w:tcPr>
            <w:tcW w:w="0" w:type="auto"/>
            <w:shd w:val="clear" w:color="auto" w:fill="FFFFFF"/>
            <w:tcMar>
              <w:top w:w="0" w:type="dxa"/>
              <w:left w:w="85" w:type="dxa"/>
              <w:bottom w:w="0" w:type="dxa"/>
              <w:right w:w="85" w:type="dxa"/>
            </w:tcMar>
          </w:tcPr>
          <w:p w14:paraId="44640F7D" w14:textId="77777777" w:rsidR="00BC0FD7" w:rsidRPr="001D5327" w:rsidRDefault="00BC0FD7" w:rsidP="00D11AC9">
            <w:pPr>
              <w:pStyle w:val="TableText"/>
              <w:keepNext/>
              <w:spacing w:before="40" w:after="40"/>
            </w:pPr>
            <w:r w:rsidRPr="001D5327">
              <w:rPr>
                <w:rFonts w:eastAsia="Calibri"/>
                <w:color w:val="000000"/>
              </w:rPr>
              <w:t>SCS Wetherill Environmental (unpublished), Beca Infrastructure Ltd (unpublished)</w:t>
            </w:r>
          </w:p>
        </w:tc>
      </w:tr>
      <w:tr w:rsidR="00BC0FD7" w:rsidRPr="001D5327" w14:paraId="1FAAD1B5" w14:textId="77777777" w:rsidTr="003B14C0">
        <w:tc>
          <w:tcPr>
            <w:tcW w:w="0" w:type="auto"/>
            <w:shd w:val="clear" w:color="auto" w:fill="FFFFFF"/>
            <w:tcMar>
              <w:top w:w="0" w:type="dxa"/>
              <w:left w:w="85" w:type="dxa"/>
              <w:bottom w:w="0" w:type="dxa"/>
              <w:right w:w="85" w:type="dxa"/>
            </w:tcMar>
          </w:tcPr>
          <w:p w14:paraId="67F4550F" w14:textId="77777777" w:rsidR="00BC0FD7" w:rsidRPr="001D5327" w:rsidRDefault="00BC0FD7" w:rsidP="00D11AC9">
            <w:pPr>
              <w:pStyle w:val="TableText"/>
              <w:keepNext/>
              <w:spacing w:before="40" w:after="40"/>
            </w:pPr>
            <w:r w:rsidRPr="001D5327">
              <w:rPr>
                <w:rFonts w:eastAsia="Calibri"/>
                <w:color w:val="000000"/>
              </w:rPr>
              <w:t>Domestic wastewater (5.D.1)</w:t>
            </w:r>
          </w:p>
        </w:tc>
        <w:tc>
          <w:tcPr>
            <w:tcW w:w="0" w:type="auto"/>
            <w:shd w:val="clear" w:color="auto" w:fill="FFFFFF"/>
            <w:tcMar>
              <w:top w:w="0" w:type="dxa"/>
              <w:left w:w="85" w:type="dxa"/>
              <w:bottom w:w="0" w:type="dxa"/>
              <w:right w:w="85" w:type="dxa"/>
            </w:tcMar>
          </w:tcPr>
          <w:p w14:paraId="23700AA0" w14:textId="77777777" w:rsidR="00BC0FD7" w:rsidRPr="001D5327" w:rsidRDefault="00BC0FD7" w:rsidP="00D11AC9">
            <w:pPr>
              <w:pStyle w:val="TableText"/>
              <w:keepNext/>
              <w:spacing w:before="40" w:after="40"/>
            </w:pPr>
            <w:r w:rsidRPr="001D5327">
              <w:rPr>
                <w:rFonts w:eastAsia="Calibri"/>
                <w:color w:val="000000"/>
              </w:rPr>
              <w:t>N₂O</w:t>
            </w:r>
          </w:p>
        </w:tc>
        <w:tc>
          <w:tcPr>
            <w:tcW w:w="0" w:type="auto"/>
            <w:shd w:val="clear" w:color="auto" w:fill="FFFFFF"/>
            <w:tcMar>
              <w:top w:w="0" w:type="dxa"/>
              <w:left w:w="85" w:type="dxa"/>
              <w:bottom w:w="0" w:type="dxa"/>
              <w:right w:w="85" w:type="dxa"/>
            </w:tcMar>
          </w:tcPr>
          <w:p w14:paraId="1C545E5D" w14:textId="77777777" w:rsidR="00BC0FD7" w:rsidRPr="001D5327" w:rsidRDefault="00BC0FD7" w:rsidP="00D11AC9">
            <w:pPr>
              <w:pStyle w:val="TableText"/>
              <w:keepNext/>
              <w:spacing w:before="40" w:after="40"/>
            </w:pPr>
            <w:r w:rsidRPr="001D5327">
              <w:rPr>
                <w:rFonts w:eastAsia="Calibri"/>
                <w:color w:val="000000"/>
              </w:rPr>
              <w:t>Based on average per capita protein intake</w:t>
            </w:r>
          </w:p>
        </w:tc>
        <w:tc>
          <w:tcPr>
            <w:tcW w:w="0" w:type="auto"/>
            <w:shd w:val="clear" w:color="auto" w:fill="FFFFFF"/>
            <w:tcMar>
              <w:top w:w="0" w:type="dxa"/>
              <w:left w:w="85" w:type="dxa"/>
              <w:bottom w:w="0" w:type="dxa"/>
              <w:right w:w="85" w:type="dxa"/>
            </w:tcMar>
          </w:tcPr>
          <w:p w14:paraId="6BB4DF23" w14:textId="77777777" w:rsidR="00BC0FD7" w:rsidRPr="001D5327" w:rsidRDefault="00BC0FD7" w:rsidP="00D11AC9">
            <w:pPr>
              <w:pStyle w:val="TableText"/>
              <w:keepNext/>
              <w:spacing w:before="40" w:after="40"/>
            </w:pPr>
            <w:r w:rsidRPr="001D5327">
              <w:rPr>
                <w:rFonts w:eastAsia="Calibri"/>
                <w:color w:val="000000"/>
              </w:rPr>
              <w:t>Tier 1</w:t>
            </w:r>
          </w:p>
        </w:tc>
        <w:tc>
          <w:tcPr>
            <w:tcW w:w="0" w:type="auto"/>
            <w:shd w:val="clear" w:color="auto" w:fill="FFFFFF"/>
            <w:tcMar>
              <w:top w:w="0" w:type="dxa"/>
              <w:left w:w="85" w:type="dxa"/>
              <w:bottom w:w="0" w:type="dxa"/>
              <w:right w:w="85" w:type="dxa"/>
            </w:tcMar>
          </w:tcPr>
          <w:p w14:paraId="14E13B40" w14:textId="77777777" w:rsidR="00BC0FD7" w:rsidRPr="001D5327" w:rsidRDefault="00BC0FD7" w:rsidP="00D11AC9">
            <w:pPr>
              <w:pStyle w:val="TableText"/>
              <w:keepNext/>
              <w:spacing w:before="40" w:after="40"/>
            </w:pPr>
            <w:r w:rsidRPr="001D5327">
              <w:rPr>
                <w:rFonts w:eastAsia="Calibri"/>
                <w:color w:val="000000"/>
              </w:rPr>
              <w:t>IPCC (2006a)</w:t>
            </w:r>
          </w:p>
        </w:tc>
      </w:tr>
      <w:tr w:rsidR="00BC0FD7" w:rsidRPr="001D5327" w14:paraId="0D44CD1E" w14:textId="77777777" w:rsidTr="003B14C0">
        <w:tc>
          <w:tcPr>
            <w:tcW w:w="0" w:type="auto"/>
            <w:shd w:val="clear" w:color="auto" w:fill="FFFFFF"/>
            <w:tcMar>
              <w:top w:w="0" w:type="dxa"/>
              <w:left w:w="85" w:type="dxa"/>
              <w:bottom w:w="0" w:type="dxa"/>
              <w:right w:w="85" w:type="dxa"/>
            </w:tcMar>
          </w:tcPr>
          <w:p w14:paraId="773BBCDB" w14:textId="3A3A3244" w:rsidR="00BC0FD7" w:rsidRPr="001D5327" w:rsidRDefault="00BC0FD7" w:rsidP="00D11AC9">
            <w:pPr>
              <w:pStyle w:val="TableText"/>
              <w:spacing w:before="40" w:after="40"/>
            </w:pPr>
            <w:r w:rsidRPr="001D5327">
              <w:rPr>
                <w:rFonts w:eastAsia="Calibri"/>
                <w:color w:val="000000"/>
              </w:rPr>
              <w:t>Industrial wastewater (5.D.2) –</w:t>
            </w:r>
            <w:r w:rsidR="009B2807" w:rsidRPr="001D5327">
              <w:rPr>
                <w:rFonts w:eastAsia="Calibri"/>
                <w:color w:val="000000"/>
              </w:rPr>
              <w:t> </w:t>
            </w:r>
            <w:r w:rsidRPr="001D5327">
              <w:rPr>
                <w:rFonts w:eastAsia="Calibri"/>
                <w:color w:val="000000"/>
              </w:rPr>
              <w:t>Meat industry</w:t>
            </w:r>
          </w:p>
        </w:tc>
        <w:tc>
          <w:tcPr>
            <w:tcW w:w="0" w:type="auto"/>
            <w:shd w:val="clear" w:color="auto" w:fill="FFFFFF"/>
            <w:tcMar>
              <w:top w:w="0" w:type="dxa"/>
              <w:left w:w="85" w:type="dxa"/>
              <w:bottom w:w="0" w:type="dxa"/>
              <w:right w:w="85" w:type="dxa"/>
            </w:tcMar>
          </w:tcPr>
          <w:p w14:paraId="49C90EED" w14:textId="77777777" w:rsidR="00BC0FD7" w:rsidRPr="001D5327" w:rsidRDefault="00BC0FD7" w:rsidP="00D11AC9">
            <w:pPr>
              <w:pStyle w:val="TableText"/>
              <w:spacing w:before="40" w:after="40"/>
            </w:pPr>
            <w:r w:rsidRPr="001D5327">
              <w:rPr>
                <w:rFonts w:eastAsia="Calibri"/>
                <w:color w:val="000000"/>
              </w:rPr>
              <w:t>CH₄</w:t>
            </w:r>
          </w:p>
        </w:tc>
        <w:tc>
          <w:tcPr>
            <w:tcW w:w="0" w:type="auto"/>
            <w:shd w:val="clear" w:color="auto" w:fill="FFFFFF"/>
            <w:tcMar>
              <w:top w:w="0" w:type="dxa"/>
              <w:left w:w="85" w:type="dxa"/>
              <w:bottom w:w="0" w:type="dxa"/>
              <w:right w:w="85" w:type="dxa"/>
            </w:tcMar>
          </w:tcPr>
          <w:p w14:paraId="414E6D32" w14:textId="77777777" w:rsidR="00BC0FD7" w:rsidRPr="001D5327" w:rsidRDefault="00BC0FD7" w:rsidP="00D11AC9">
            <w:pPr>
              <w:pStyle w:val="TableText"/>
              <w:spacing w:before="40" w:after="40"/>
            </w:pPr>
          </w:p>
        </w:tc>
        <w:tc>
          <w:tcPr>
            <w:tcW w:w="0" w:type="auto"/>
            <w:shd w:val="clear" w:color="auto" w:fill="FFFFFF"/>
            <w:tcMar>
              <w:top w:w="0" w:type="dxa"/>
              <w:left w:w="85" w:type="dxa"/>
              <w:bottom w:w="0" w:type="dxa"/>
              <w:right w:w="85" w:type="dxa"/>
            </w:tcMar>
          </w:tcPr>
          <w:p w14:paraId="78BFDB7F" w14:textId="77777777" w:rsidR="00BC0FD7" w:rsidRPr="001D5327" w:rsidRDefault="00BC0FD7" w:rsidP="00D11AC9">
            <w:pPr>
              <w:pStyle w:val="TableText"/>
              <w:spacing w:before="40" w:after="40"/>
            </w:pPr>
            <w:r w:rsidRPr="001D5327">
              <w:rPr>
                <w:rFonts w:eastAsia="Calibri"/>
                <w:color w:val="000000"/>
              </w:rPr>
              <w:t>Tier 1</w:t>
            </w:r>
          </w:p>
        </w:tc>
        <w:tc>
          <w:tcPr>
            <w:tcW w:w="0" w:type="auto"/>
            <w:shd w:val="clear" w:color="auto" w:fill="FFFFFF"/>
            <w:tcMar>
              <w:top w:w="0" w:type="dxa"/>
              <w:left w:w="85" w:type="dxa"/>
              <w:bottom w:w="0" w:type="dxa"/>
              <w:right w:w="85" w:type="dxa"/>
            </w:tcMar>
          </w:tcPr>
          <w:p w14:paraId="73548A26" w14:textId="77777777" w:rsidR="00BC0FD7" w:rsidRPr="001D5327" w:rsidRDefault="00BC0FD7" w:rsidP="00D11AC9">
            <w:pPr>
              <w:pStyle w:val="TableText"/>
              <w:spacing w:before="40" w:after="40"/>
            </w:pPr>
            <w:r w:rsidRPr="001D5327">
              <w:rPr>
                <w:rFonts w:eastAsia="Calibri"/>
                <w:color w:val="000000"/>
              </w:rPr>
              <w:t>IPCC (2006a)</w:t>
            </w:r>
          </w:p>
        </w:tc>
      </w:tr>
      <w:tr w:rsidR="00BC0FD7" w:rsidRPr="001D5327" w14:paraId="2DC89137" w14:textId="77777777" w:rsidTr="003B14C0">
        <w:tc>
          <w:tcPr>
            <w:tcW w:w="0" w:type="auto"/>
            <w:shd w:val="clear" w:color="auto" w:fill="FFFFFF"/>
            <w:tcMar>
              <w:top w:w="0" w:type="dxa"/>
              <w:left w:w="85" w:type="dxa"/>
              <w:bottom w:w="0" w:type="dxa"/>
              <w:right w:w="85" w:type="dxa"/>
            </w:tcMar>
          </w:tcPr>
          <w:p w14:paraId="237DAE60" w14:textId="5A892AD0" w:rsidR="00BC0FD7" w:rsidRPr="001D5327" w:rsidRDefault="00BC0FD7" w:rsidP="00D11AC9">
            <w:pPr>
              <w:pStyle w:val="TableText"/>
              <w:spacing w:before="40" w:after="40"/>
            </w:pPr>
            <w:r w:rsidRPr="001D5327">
              <w:rPr>
                <w:rFonts w:eastAsia="Calibri"/>
                <w:color w:val="000000"/>
              </w:rPr>
              <w:t>Industrial wastewater (5.D.2) –</w:t>
            </w:r>
            <w:r w:rsidR="009B2807" w:rsidRPr="001D5327">
              <w:rPr>
                <w:rFonts w:eastAsia="Calibri"/>
                <w:color w:val="000000"/>
              </w:rPr>
              <w:t> </w:t>
            </w:r>
            <w:r w:rsidRPr="001D5327">
              <w:rPr>
                <w:rFonts w:eastAsia="Calibri"/>
                <w:color w:val="000000"/>
              </w:rPr>
              <w:t>Pulp and paper industry</w:t>
            </w:r>
          </w:p>
        </w:tc>
        <w:tc>
          <w:tcPr>
            <w:tcW w:w="0" w:type="auto"/>
            <w:shd w:val="clear" w:color="auto" w:fill="FFFFFF"/>
            <w:tcMar>
              <w:top w:w="0" w:type="dxa"/>
              <w:left w:w="85" w:type="dxa"/>
              <w:bottom w:w="0" w:type="dxa"/>
              <w:right w:w="85" w:type="dxa"/>
            </w:tcMar>
          </w:tcPr>
          <w:p w14:paraId="27974E60" w14:textId="77777777" w:rsidR="00BC0FD7" w:rsidRPr="001D5327" w:rsidRDefault="00BC0FD7" w:rsidP="00D11AC9">
            <w:pPr>
              <w:pStyle w:val="TableText"/>
              <w:spacing w:before="40" w:after="40"/>
            </w:pPr>
            <w:r w:rsidRPr="001D5327">
              <w:rPr>
                <w:rFonts w:eastAsia="Calibri"/>
                <w:color w:val="000000"/>
              </w:rPr>
              <w:t>CH₄</w:t>
            </w:r>
          </w:p>
        </w:tc>
        <w:tc>
          <w:tcPr>
            <w:tcW w:w="0" w:type="auto"/>
            <w:shd w:val="clear" w:color="auto" w:fill="FFFFFF"/>
            <w:tcMar>
              <w:top w:w="0" w:type="dxa"/>
              <w:left w:w="85" w:type="dxa"/>
              <w:bottom w:w="0" w:type="dxa"/>
              <w:right w:w="85" w:type="dxa"/>
            </w:tcMar>
          </w:tcPr>
          <w:p w14:paraId="72A686DF" w14:textId="77777777" w:rsidR="00BC0FD7" w:rsidRPr="001D5327" w:rsidRDefault="00BC0FD7" w:rsidP="00D11AC9">
            <w:pPr>
              <w:pStyle w:val="TableText"/>
              <w:spacing w:before="40" w:after="40"/>
            </w:pPr>
          </w:p>
        </w:tc>
        <w:tc>
          <w:tcPr>
            <w:tcW w:w="0" w:type="auto"/>
            <w:shd w:val="clear" w:color="auto" w:fill="FFFFFF"/>
            <w:tcMar>
              <w:top w:w="0" w:type="dxa"/>
              <w:left w:w="85" w:type="dxa"/>
              <w:bottom w:w="0" w:type="dxa"/>
              <w:right w:w="85" w:type="dxa"/>
            </w:tcMar>
          </w:tcPr>
          <w:p w14:paraId="79911C95" w14:textId="77777777" w:rsidR="00BC0FD7" w:rsidRPr="001D5327" w:rsidRDefault="00BC0FD7" w:rsidP="00D11AC9">
            <w:pPr>
              <w:pStyle w:val="TableText"/>
              <w:spacing w:before="40" w:after="40"/>
            </w:pPr>
            <w:r w:rsidRPr="001D5327">
              <w:rPr>
                <w:rFonts w:eastAsia="Calibri"/>
                <w:color w:val="000000"/>
              </w:rPr>
              <w:t>Tier 1</w:t>
            </w:r>
          </w:p>
        </w:tc>
        <w:tc>
          <w:tcPr>
            <w:tcW w:w="0" w:type="auto"/>
            <w:shd w:val="clear" w:color="auto" w:fill="FFFFFF"/>
            <w:tcMar>
              <w:top w:w="0" w:type="dxa"/>
              <w:left w:w="85" w:type="dxa"/>
              <w:bottom w:w="0" w:type="dxa"/>
              <w:right w:w="85" w:type="dxa"/>
            </w:tcMar>
          </w:tcPr>
          <w:p w14:paraId="4F027ED5" w14:textId="77777777" w:rsidR="00BC0FD7" w:rsidRPr="001D5327" w:rsidRDefault="00BC0FD7" w:rsidP="00D11AC9">
            <w:pPr>
              <w:pStyle w:val="TableText"/>
              <w:spacing w:before="40" w:after="40"/>
            </w:pPr>
            <w:r w:rsidRPr="001D5327">
              <w:rPr>
                <w:rFonts w:eastAsia="Calibri"/>
                <w:color w:val="000000"/>
              </w:rPr>
              <w:t>IPCC (2006a)</w:t>
            </w:r>
          </w:p>
        </w:tc>
      </w:tr>
      <w:tr w:rsidR="00BC0FD7" w:rsidRPr="001D5327" w14:paraId="3E8B2981" w14:textId="77777777" w:rsidTr="003B14C0">
        <w:tc>
          <w:tcPr>
            <w:tcW w:w="0" w:type="auto"/>
            <w:shd w:val="clear" w:color="auto" w:fill="FFFFFF"/>
            <w:tcMar>
              <w:top w:w="0" w:type="dxa"/>
              <w:left w:w="85" w:type="dxa"/>
              <w:bottom w:w="0" w:type="dxa"/>
              <w:right w:w="85" w:type="dxa"/>
            </w:tcMar>
          </w:tcPr>
          <w:p w14:paraId="0277AAAC" w14:textId="3591494D" w:rsidR="00BC0FD7" w:rsidRPr="001D5327" w:rsidRDefault="00BC0FD7" w:rsidP="00D11AC9">
            <w:pPr>
              <w:pStyle w:val="TableText"/>
              <w:spacing w:before="40" w:after="40"/>
            </w:pPr>
            <w:r w:rsidRPr="001D5327">
              <w:rPr>
                <w:rFonts w:eastAsia="Calibri"/>
                <w:color w:val="000000"/>
              </w:rPr>
              <w:lastRenderedPageBreak/>
              <w:t>Industrial wastewater (5.D.2) –</w:t>
            </w:r>
            <w:r w:rsidR="009B2807" w:rsidRPr="001D5327">
              <w:rPr>
                <w:rFonts w:eastAsia="Calibri"/>
                <w:color w:val="000000"/>
              </w:rPr>
              <w:t> </w:t>
            </w:r>
            <w:r w:rsidRPr="001D5327">
              <w:rPr>
                <w:rFonts w:eastAsia="Calibri"/>
                <w:color w:val="000000"/>
              </w:rPr>
              <w:t>Wine industry</w:t>
            </w:r>
          </w:p>
        </w:tc>
        <w:tc>
          <w:tcPr>
            <w:tcW w:w="0" w:type="auto"/>
            <w:shd w:val="clear" w:color="auto" w:fill="FFFFFF"/>
            <w:tcMar>
              <w:top w:w="0" w:type="dxa"/>
              <w:left w:w="85" w:type="dxa"/>
              <w:bottom w:w="0" w:type="dxa"/>
              <w:right w:w="85" w:type="dxa"/>
            </w:tcMar>
          </w:tcPr>
          <w:p w14:paraId="43DB4B19" w14:textId="77777777" w:rsidR="00BC0FD7" w:rsidRPr="001D5327" w:rsidRDefault="00BC0FD7" w:rsidP="00D11AC9">
            <w:pPr>
              <w:pStyle w:val="TableText"/>
              <w:spacing w:before="40" w:after="40"/>
            </w:pPr>
            <w:r w:rsidRPr="001D5327">
              <w:rPr>
                <w:rFonts w:eastAsia="Calibri"/>
                <w:color w:val="000000"/>
              </w:rPr>
              <w:t>CH₄</w:t>
            </w:r>
          </w:p>
        </w:tc>
        <w:tc>
          <w:tcPr>
            <w:tcW w:w="0" w:type="auto"/>
            <w:shd w:val="clear" w:color="auto" w:fill="FFFFFF"/>
            <w:tcMar>
              <w:top w:w="0" w:type="dxa"/>
              <w:left w:w="85" w:type="dxa"/>
              <w:bottom w:w="0" w:type="dxa"/>
              <w:right w:w="85" w:type="dxa"/>
            </w:tcMar>
          </w:tcPr>
          <w:p w14:paraId="4EDCC3EB" w14:textId="77777777" w:rsidR="00BC0FD7" w:rsidRPr="001D5327" w:rsidRDefault="00BC0FD7" w:rsidP="00D11AC9">
            <w:pPr>
              <w:pStyle w:val="TableText"/>
              <w:spacing w:before="40" w:after="40"/>
            </w:pPr>
          </w:p>
        </w:tc>
        <w:tc>
          <w:tcPr>
            <w:tcW w:w="0" w:type="auto"/>
            <w:shd w:val="clear" w:color="auto" w:fill="FFFFFF"/>
            <w:tcMar>
              <w:top w:w="0" w:type="dxa"/>
              <w:left w:w="85" w:type="dxa"/>
              <w:bottom w:w="0" w:type="dxa"/>
              <w:right w:w="85" w:type="dxa"/>
            </w:tcMar>
          </w:tcPr>
          <w:p w14:paraId="0654E3F1" w14:textId="77777777" w:rsidR="00BC0FD7" w:rsidRPr="001D5327" w:rsidRDefault="00BC0FD7" w:rsidP="00D11AC9">
            <w:pPr>
              <w:pStyle w:val="TableText"/>
              <w:spacing w:before="40" w:after="40"/>
            </w:pPr>
            <w:r w:rsidRPr="001D5327">
              <w:rPr>
                <w:rFonts w:eastAsia="Calibri"/>
                <w:color w:val="000000"/>
              </w:rPr>
              <w:t>Tier 2</w:t>
            </w:r>
          </w:p>
        </w:tc>
        <w:tc>
          <w:tcPr>
            <w:tcW w:w="0" w:type="auto"/>
            <w:shd w:val="clear" w:color="auto" w:fill="FFFFFF"/>
            <w:tcMar>
              <w:top w:w="0" w:type="dxa"/>
              <w:left w:w="85" w:type="dxa"/>
              <w:bottom w:w="0" w:type="dxa"/>
              <w:right w:w="85" w:type="dxa"/>
            </w:tcMar>
          </w:tcPr>
          <w:p w14:paraId="01B958AA" w14:textId="77777777" w:rsidR="00BC0FD7" w:rsidRPr="001D5327" w:rsidRDefault="00BC0FD7" w:rsidP="00D11AC9">
            <w:pPr>
              <w:pStyle w:val="TableText"/>
              <w:spacing w:before="40" w:after="40"/>
            </w:pPr>
            <w:r w:rsidRPr="001D5327">
              <w:rPr>
                <w:rFonts w:eastAsia="Calibri"/>
                <w:color w:val="000000"/>
              </w:rPr>
              <w:t>Beca Ltd (unpublished)</w:t>
            </w:r>
          </w:p>
        </w:tc>
      </w:tr>
      <w:tr w:rsidR="00BC0FD7" w:rsidRPr="001D5327" w14:paraId="5BA3CA64" w14:textId="77777777" w:rsidTr="003B14C0">
        <w:tc>
          <w:tcPr>
            <w:tcW w:w="0" w:type="auto"/>
            <w:shd w:val="clear" w:color="auto" w:fill="FFFFFF"/>
            <w:tcMar>
              <w:top w:w="0" w:type="dxa"/>
              <w:left w:w="85" w:type="dxa"/>
              <w:bottom w:w="0" w:type="dxa"/>
              <w:right w:w="85" w:type="dxa"/>
            </w:tcMar>
          </w:tcPr>
          <w:p w14:paraId="7BC41919" w14:textId="5B385F28" w:rsidR="00BC0FD7" w:rsidRPr="001D5327" w:rsidRDefault="00BC0FD7" w:rsidP="00D11AC9">
            <w:pPr>
              <w:pStyle w:val="TableText"/>
              <w:spacing w:before="40" w:after="40"/>
            </w:pPr>
            <w:r w:rsidRPr="001D5327">
              <w:rPr>
                <w:rFonts w:eastAsia="Calibri"/>
                <w:color w:val="000000"/>
              </w:rPr>
              <w:t>Industrial wastewater (5.D.2) –</w:t>
            </w:r>
            <w:r w:rsidR="009B2807" w:rsidRPr="001D5327">
              <w:rPr>
                <w:rFonts w:eastAsia="Calibri"/>
                <w:color w:val="000000"/>
              </w:rPr>
              <w:t> </w:t>
            </w:r>
            <w:r w:rsidRPr="001D5327">
              <w:rPr>
                <w:rFonts w:eastAsia="Calibri"/>
                <w:color w:val="000000"/>
              </w:rPr>
              <w:t>Wool scouring industry</w:t>
            </w:r>
          </w:p>
        </w:tc>
        <w:tc>
          <w:tcPr>
            <w:tcW w:w="0" w:type="auto"/>
            <w:shd w:val="clear" w:color="auto" w:fill="FFFFFF"/>
            <w:tcMar>
              <w:top w:w="0" w:type="dxa"/>
              <w:left w:w="85" w:type="dxa"/>
              <w:bottom w:w="0" w:type="dxa"/>
              <w:right w:w="85" w:type="dxa"/>
            </w:tcMar>
          </w:tcPr>
          <w:p w14:paraId="2D03BFC1" w14:textId="77777777" w:rsidR="00BC0FD7" w:rsidRPr="001D5327" w:rsidRDefault="00BC0FD7" w:rsidP="00D11AC9">
            <w:pPr>
              <w:pStyle w:val="TableText"/>
              <w:spacing w:before="40" w:after="40"/>
            </w:pPr>
            <w:r w:rsidRPr="001D5327">
              <w:rPr>
                <w:rFonts w:eastAsia="Calibri"/>
                <w:color w:val="000000"/>
              </w:rPr>
              <w:t>CH₄</w:t>
            </w:r>
          </w:p>
        </w:tc>
        <w:tc>
          <w:tcPr>
            <w:tcW w:w="0" w:type="auto"/>
            <w:shd w:val="clear" w:color="auto" w:fill="FFFFFF"/>
            <w:tcMar>
              <w:top w:w="0" w:type="dxa"/>
              <w:left w:w="85" w:type="dxa"/>
              <w:bottom w:w="0" w:type="dxa"/>
              <w:right w:w="85" w:type="dxa"/>
            </w:tcMar>
          </w:tcPr>
          <w:p w14:paraId="03E029B5" w14:textId="77777777" w:rsidR="00BC0FD7" w:rsidRPr="001D5327" w:rsidRDefault="00BC0FD7" w:rsidP="00D11AC9">
            <w:pPr>
              <w:pStyle w:val="TableText"/>
              <w:spacing w:before="40" w:after="40"/>
            </w:pPr>
          </w:p>
        </w:tc>
        <w:tc>
          <w:tcPr>
            <w:tcW w:w="0" w:type="auto"/>
            <w:shd w:val="clear" w:color="auto" w:fill="FFFFFF"/>
            <w:tcMar>
              <w:top w:w="0" w:type="dxa"/>
              <w:left w:w="85" w:type="dxa"/>
              <w:bottom w:w="0" w:type="dxa"/>
              <w:right w:w="85" w:type="dxa"/>
            </w:tcMar>
          </w:tcPr>
          <w:p w14:paraId="49ACA905" w14:textId="77777777" w:rsidR="00BC0FD7" w:rsidRPr="001D5327" w:rsidRDefault="00BC0FD7" w:rsidP="00D11AC9">
            <w:pPr>
              <w:pStyle w:val="TableText"/>
              <w:spacing w:before="40" w:after="40"/>
            </w:pPr>
            <w:r w:rsidRPr="001D5327">
              <w:rPr>
                <w:rFonts w:eastAsia="Calibri"/>
                <w:color w:val="000000"/>
              </w:rPr>
              <w:t>Tier 1</w:t>
            </w:r>
          </w:p>
        </w:tc>
        <w:tc>
          <w:tcPr>
            <w:tcW w:w="0" w:type="auto"/>
            <w:shd w:val="clear" w:color="auto" w:fill="FFFFFF"/>
            <w:tcMar>
              <w:top w:w="0" w:type="dxa"/>
              <w:left w:w="85" w:type="dxa"/>
              <w:bottom w:w="0" w:type="dxa"/>
              <w:right w:w="85" w:type="dxa"/>
            </w:tcMar>
          </w:tcPr>
          <w:p w14:paraId="7FDCFB5B" w14:textId="77777777" w:rsidR="00BC0FD7" w:rsidRPr="001D5327" w:rsidRDefault="00BC0FD7" w:rsidP="00D11AC9">
            <w:pPr>
              <w:pStyle w:val="TableText"/>
              <w:spacing w:before="40" w:after="40"/>
            </w:pPr>
            <w:r w:rsidRPr="001D5327">
              <w:rPr>
                <w:rFonts w:eastAsia="Calibri"/>
                <w:color w:val="000000"/>
              </w:rPr>
              <w:t>IPCC (2006a)</w:t>
            </w:r>
          </w:p>
        </w:tc>
      </w:tr>
      <w:tr w:rsidR="00BC0FD7" w:rsidRPr="001D5327" w14:paraId="6FC1B661" w14:textId="77777777" w:rsidTr="003B14C0">
        <w:tc>
          <w:tcPr>
            <w:tcW w:w="0" w:type="auto"/>
            <w:shd w:val="clear" w:color="auto" w:fill="FFFFFF"/>
            <w:tcMar>
              <w:top w:w="0" w:type="dxa"/>
              <w:left w:w="85" w:type="dxa"/>
              <w:bottom w:w="0" w:type="dxa"/>
              <w:right w:w="85" w:type="dxa"/>
            </w:tcMar>
          </w:tcPr>
          <w:p w14:paraId="359853BE" w14:textId="77777777" w:rsidR="00BC0FD7" w:rsidRPr="001D5327" w:rsidRDefault="00BC0FD7" w:rsidP="00D11AC9">
            <w:pPr>
              <w:pStyle w:val="TableText"/>
              <w:spacing w:before="40" w:after="40"/>
            </w:pPr>
            <w:r w:rsidRPr="001D5327">
              <w:rPr>
                <w:rFonts w:eastAsia="Calibri"/>
                <w:color w:val="000000"/>
              </w:rPr>
              <w:t>Industrial wastewater (5.D.2)</w:t>
            </w:r>
          </w:p>
        </w:tc>
        <w:tc>
          <w:tcPr>
            <w:tcW w:w="0" w:type="auto"/>
            <w:shd w:val="clear" w:color="auto" w:fill="FFFFFF"/>
            <w:tcMar>
              <w:top w:w="0" w:type="dxa"/>
              <w:left w:w="85" w:type="dxa"/>
              <w:bottom w:w="0" w:type="dxa"/>
              <w:right w:w="85" w:type="dxa"/>
            </w:tcMar>
          </w:tcPr>
          <w:p w14:paraId="2FD16BB4" w14:textId="77777777" w:rsidR="00BC0FD7" w:rsidRPr="001D5327" w:rsidRDefault="00BC0FD7" w:rsidP="00D11AC9">
            <w:pPr>
              <w:pStyle w:val="TableText"/>
              <w:spacing w:before="40" w:after="40"/>
            </w:pPr>
            <w:r w:rsidRPr="001D5327">
              <w:rPr>
                <w:rFonts w:eastAsia="Calibri"/>
                <w:color w:val="000000"/>
              </w:rPr>
              <w:t>N₂O</w:t>
            </w:r>
          </w:p>
        </w:tc>
        <w:tc>
          <w:tcPr>
            <w:tcW w:w="0" w:type="auto"/>
            <w:shd w:val="clear" w:color="auto" w:fill="FFFFFF"/>
            <w:tcMar>
              <w:top w:w="0" w:type="dxa"/>
              <w:left w:w="85" w:type="dxa"/>
              <w:bottom w:w="0" w:type="dxa"/>
              <w:right w:w="85" w:type="dxa"/>
            </w:tcMar>
          </w:tcPr>
          <w:p w14:paraId="101D9D67" w14:textId="77777777" w:rsidR="00BC0FD7" w:rsidRPr="001D5327" w:rsidRDefault="00BC0FD7" w:rsidP="00D11AC9">
            <w:pPr>
              <w:pStyle w:val="TableText"/>
              <w:spacing w:before="40" w:after="40"/>
            </w:pPr>
            <w:r w:rsidRPr="001D5327">
              <w:rPr>
                <w:rFonts w:eastAsia="Calibri"/>
                <w:color w:val="000000"/>
              </w:rPr>
              <w:t>Based on chemical oxygen demand from CH₄ emissions</w:t>
            </w:r>
          </w:p>
        </w:tc>
        <w:tc>
          <w:tcPr>
            <w:tcW w:w="0" w:type="auto"/>
            <w:shd w:val="clear" w:color="auto" w:fill="FFFFFF"/>
            <w:tcMar>
              <w:top w:w="0" w:type="dxa"/>
              <w:left w:w="85" w:type="dxa"/>
              <w:bottom w:w="0" w:type="dxa"/>
              <w:right w:w="85" w:type="dxa"/>
            </w:tcMar>
          </w:tcPr>
          <w:p w14:paraId="5B2C370F" w14:textId="77777777" w:rsidR="00BC0FD7" w:rsidRPr="001D5327" w:rsidRDefault="00BC0FD7" w:rsidP="00D11AC9">
            <w:pPr>
              <w:pStyle w:val="TableText"/>
              <w:spacing w:before="40" w:after="40"/>
            </w:pPr>
            <w:r w:rsidRPr="001D5327">
              <w:rPr>
                <w:rFonts w:eastAsia="Calibri"/>
                <w:color w:val="000000"/>
              </w:rPr>
              <w:t>Tier 2</w:t>
            </w:r>
          </w:p>
        </w:tc>
        <w:tc>
          <w:tcPr>
            <w:tcW w:w="0" w:type="auto"/>
            <w:shd w:val="clear" w:color="auto" w:fill="FFFFFF"/>
            <w:tcMar>
              <w:top w:w="0" w:type="dxa"/>
              <w:left w:w="85" w:type="dxa"/>
              <w:bottom w:w="0" w:type="dxa"/>
              <w:right w:w="85" w:type="dxa"/>
            </w:tcMar>
          </w:tcPr>
          <w:p w14:paraId="4A490E98" w14:textId="77777777" w:rsidR="00BC0FD7" w:rsidRPr="001D5327" w:rsidRDefault="00BC0FD7" w:rsidP="00D11AC9">
            <w:pPr>
              <w:pStyle w:val="TableText"/>
              <w:spacing w:before="40" w:after="40"/>
            </w:pPr>
            <w:r w:rsidRPr="001D5327">
              <w:rPr>
                <w:rFonts w:eastAsia="Calibri"/>
                <w:color w:val="000000"/>
              </w:rPr>
              <w:t>Cardno (unpublished)</w:t>
            </w:r>
          </w:p>
        </w:tc>
      </w:tr>
    </w:tbl>
    <w:p w14:paraId="757EAD48" w14:textId="77777777" w:rsidR="00BC0FD7" w:rsidRPr="001D5327" w:rsidRDefault="00BC0FD7" w:rsidP="00BC0FD7">
      <w:pPr>
        <w:pStyle w:val="Heading5"/>
        <w:spacing w:before="360"/>
      </w:pPr>
      <w:bookmarkStart w:id="2879" w:name="wine-industry-1"/>
      <w:r w:rsidRPr="001D5327">
        <w:t>Wine industry</w:t>
      </w:r>
    </w:p>
    <w:p w14:paraId="17CAA1B7" w14:textId="77777777" w:rsidR="00BC0FD7" w:rsidRPr="001D5327" w:rsidRDefault="00BC0FD7" w:rsidP="00BC0FD7">
      <w:pPr>
        <w:pStyle w:val="BodyText"/>
      </w:pPr>
      <w:r w:rsidRPr="001D5327">
        <w:t>A Tier 2 approach is used to estimate emissions from the wine industry. Information on the wastewater treatment practices of the industry was obtained from a survey (Beca Ltd, unpublished). Default values from the 2006 IPCC Guidelines (IPCC, 2006a) are used where New Zealand-specific information is not available.</w:t>
      </w:r>
    </w:p>
    <w:p w14:paraId="53AA9503" w14:textId="77777777" w:rsidR="00BC0FD7" w:rsidRPr="001D5327" w:rsidRDefault="00BC0FD7" w:rsidP="00BC0FD7">
      <w:pPr>
        <w:pStyle w:val="Heading5"/>
      </w:pPr>
      <w:bookmarkStart w:id="2880" w:name="nitrous-oxide-emissions"/>
      <w:bookmarkEnd w:id="2879"/>
      <w:r w:rsidRPr="001D5327">
        <w:t>Nitrous oxide emissions</w:t>
      </w:r>
    </w:p>
    <w:p w14:paraId="52238262" w14:textId="77777777" w:rsidR="00BC0FD7" w:rsidRPr="001D5327" w:rsidRDefault="00BC0FD7" w:rsidP="00BC0FD7">
      <w:pPr>
        <w:pStyle w:val="BodyText"/>
      </w:pPr>
      <w:r w:rsidRPr="001D5327">
        <w:t>Direct emissions of N</w:t>
      </w:r>
      <w:r w:rsidRPr="001D5327">
        <w:rPr>
          <w:vertAlign w:val="subscript"/>
        </w:rPr>
        <w:t>2</w:t>
      </w:r>
      <w:r w:rsidRPr="001D5327">
        <w:t>O from domestic wastewater plants are typically minor and only occur in advanced centralised treatment plants. Good practice guidelines (IPCC, 2006a) advise that the estimation of direct N</w:t>
      </w:r>
      <w:r w:rsidRPr="001D5327">
        <w:rPr>
          <w:vertAlign w:val="subscript"/>
        </w:rPr>
        <w:t>2</w:t>
      </w:r>
      <w:r w:rsidRPr="001D5327">
        <w:t>O emissions is only necessary where advanced centralised treatment plants account for a major proportion of wastewater treatment. Although one wastewater treatment plant in Auckland serves about a million people, direct N</w:t>
      </w:r>
      <w:r w:rsidRPr="001D5327">
        <w:rPr>
          <w:vertAlign w:val="subscript"/>
        </w:rPr>
        <w:t>2</w:t>
      </w:r>
      <w:r w:rsidRPr="001D5327">
        <w:t>O emissions are not estimated because they are likely to be small.</w:t>
      </w:r>
    </w:p>
    <w:p w14:paraId="374DD1D4" w14:textId="77777777" w:rsidR="00BC0FD7" w:rsidRPr="001D5327" w:rsidRDefault="00BC0FD7" w:rsidP="00BC0FD7">
      <w:pPr>
        <w:pStyle w:val="BodyText"/>
      </w:pPr>
      <w:r w:rsidRPr="001D5327">
        <w:t>However, indirect emissions of N</w:t>
      </w:r>
      <w:r w:rsidRPr="001D5327">
        <w:rPr>
          <w:vertAlign w:val="subscript"/>
        </w:rPr>
        <w:t>2</w:t>
      </w:r>
      <w:r w:rsidRPr="001D5327">
        <w:t>O may occur after disposal of effluent into waterways, lakes or the ocean. New Zealand reports indirect emissions of N</w:t>
      </w:r>
      <w:r w:rsidRPr="001D5327">
        <w:rPr>
          <w:vertAlign w:val="subscript"/>
        </w:rPr>
        <w:t>2</w:t>
      </w:r>
      <w:r w:rsidRPr="001D5327">
        <w:t>O from domestic wastewater.</w:t>
      </w:r>
    </w:p>
    <w:p w14:paraId="3F777EE4" w14:textId="77777777" w:rsidR="00BC0FD7" w:rsidRPr="001D5327" w:rsidRDefault="00BC0FD7" w:rsidP="00BC0FD7">
      <w:pPr>
        <w:pStyle w:val="BodyText"/>
      </w:pPr>
      <w:r w:rsidRPr="001D5327">
        <w:t>The 2006 IPCC Guidelines (IPCC, 2006a) indicate that, compared with domestic wastewater, the N</w:t>
      </w:r>
      <w:r w:rsidRPr="001D5327">
        <w:rPr>
          <w:vertAlign w:val="subscript"/>
        </w:rPr>
        <w:t>2</w:t>
      </w:r>
      <w:r w:rsidRPr="001D5327">
        <w:t>O emissions from industrial wastewater are believed to be insignificant. Yet, in New Zealand, these emissions have greater significance, because the meat and dairy processing industries produce nitrogen-rich wastewaters.</w:t>
      </w:r>
    </w:p>
    <w:p w14:paraId="664BD89A" w14:textId="5B100131" w:rsidR="00BC0FD7" w:rsidRPr="001D5327" w:rsidRDefault="00BC0FD7" w:rsidP="00BC0FD7">
      <w:pPr>
        <w:pStyle w:val="BodyText"/>
      </w:pPr>
      <w:r w:rsidRPr="001D5327">
        <w:t>The IPCC does not provide a method for calculating N</w:t>
      </w:r>
      <w:r w:rsidRPr="001D5327">
        <w:rPr>
          <w:vertAlign w:val="subscript"/>
        </w:rPr>
        <w:t>2</w:t>
      </w:r>
      <w:r w:rsidRPr="001D5327">
        <w:t>O emissions from industrial wastewater and, consequently, a New Zealand-derived method has been applied. The total nitrogen load is</w:t>
      </w:r>
      <w:r w:rsidR="009B2807" w:rsidRPr="001D5327">
        <w:t> </w:t>
      </w:r>
      <w:r w:rsidRPr="001D5327">
        <w:t>calculated by adopting the COD load, as determined in calculating CH</w:t>
      </w:r>
      <w:r w:rsidRPr="001D5327">
        <w:rPr>
          <w:vertAlign w:val="subscript"/>
        </w:rPr>
        <w:t>4</w:t>
      </w:r>
      <w:r w:rsidRPr="001D5327">
        <w:t xml:space="preserve"> emissions from the same wastewater and using an estimated ratio of COD to nitrogen in the wastewater for each of the different producers in the meat, dairy processing and leather and skins industries.</w:t>
      </w:r>
    </w:p>
    <w:bookmarkEnd w:id="2880"/>
    <w:p w14:paraId="06C17BBE" w14:textId="77777777" w:rsidR="00BC0FD7" w:rsidRPr="001D5327" w:rsidRDefault="00BC0FD7" w:rsidP="00BC0FD7">
      <w:pPr>
        <w:pStyle w:val="Heading4"/>
      </w:pPr>
      <w:r w:rsidRPr="001D5327">
        <w:t>Choice of emission factors</w:t>
      </w:r>
    </w:p>
    <w:p w14:paraId="47B4DBCC" w14:textId="77777777" w:rsidR="00BC0FD7" w:rsidRPr="001D5327" w:rsidRDefault="00BC0FD7" w:rsidP="00BC0FD7">
      <w:pPr>
        <w:pStyle w:val="Heading5"/>
        <w:spacing w:before="180"/>
      </w:pPr>
      <w:bookmarkStart w:id="2881" w:name="domestic-wastewater-5.d.1-2"/>
      <w:r w:rsidRPr="001D5327">
        <w:t>Domestic wastewater (5.D.1)</w:t>
      </w:r>
    </w:p>
    <w:p w14:paraId="00610EA9" w14:textId="77777777" w:rsidR="00BC0FD7" w:rsidRPr="001D5327" w:rsidRDefault="00BC0FD7" w:rsidP="00BC0FD7">
      <w:pPr>
        <w:pStyle w:val="Heading6"/>
        <w:spacing w:before="180"/>
      </w:pPr>
      <w:bookmarkStart w:id="2882" w:name="Xd5583ba6d1cbf8baf7c106a7a0a3d02cb92bd05"/>
      <w:r w:rsidRPr="001D5327">
        <w:t>Methane emissions from domestic wastewater treatment</w:t>
      </w:r>
    </w:p>
    <w:p w14:paraId="267C0BF0" w14:textId="77777777" w:rsidR="00BC0FD7" w:rsidRPr="001D5327" w:rsidRDefault="00BC0FD7" w:rsidP="00BC0FD7">
      <w:pPr>
        <w:pStyle w:val="BodyText"/>
      </w:pPr>
      <w:r w:rsidRPr="001D5327">
        <w:t>Table 7.5.6 summarises the parameter values applied for estimating CH</w:t>
      </w:r>
      <w:r w:rsidRPr="001D5327">
        <w:rPr>
          <w:vertAlign w:val="subscript"/>
        </w:rPr>
        <w:t>4</w:t>
      </w:r>
      <w:r w:rsidRPr="001D5327">
        <w:t xml:space="preserve"> emissions from domestic wastewater treatment.</w:t>
      </w:r>
    </w:p>
    <w:p w14:paraId="7FE2C5E9" w14:textId="77777777" w:rsidR="00BC0FD7" w:rsidRPr="001D5327" w:rsidRDefault="00BC0FD7" w:rsidP="00BC0FD7">
      <w:pPr>
        <w:pStyle w:val="Table"/>
      </w:pPr>
      <w:bookmarkStart w:id="2883" w:name="_Toc194241821"/>
      <w:r w:rsidRPr="001D5327">
        <w:lastRenderedPageBreak/>
        <w:t xml:space="preserve">Table 7.5.6 </w:t>
      </w:r>
      <w:r w:rsidRPr="001D5327">
        <w:tab/>
        <w:t>Parameter values applied by New Zealand for estimating methane emissions for domestic wastewater treatment</w:t>
      </w:r>
      <w:bookmarkEnd w:id="2883"/>
    </w:p>
    <w:tbl>
      <w:tblPr>
        <w:tblW w:w="8505"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3118"/>
        <w:gridCol w:w="1703"/>
        <w:gridCol w:w="1553"/>
        <w:gridCol w:w="2131"/>
      </w:tblGrid>
      <w:tr w:rsidR="00BC0FD7" w:rsidRPr="001D5327" w14:paraId="4CDE3E2A" w14:textId="77777777" w:rsidTr="008307A0">
        <w:trPr>
          <w:tblHeader/>
        </w:trPr>
        <w:tc>
          <w:tcPr>
            <w:tcW w:w="1833" w:type="pct"/>
            <w:shd w:val="clear" w:color="auto" w:fill="1B556B"/>
            <w:tcMar>
              <w:top w:w="0" w:type="dxa"/>
              <w:left w:w="85" w:type="dxa"/>
              <w:bottom w:w="0" w:type="dxa"/>
              <w:right w:w="85" w:type="dxa"/>
            </w:tcMar>
          </w:tcPr>
          <w:p w14:paraId="39CF6E10" w14:textId="77777777" w:rsidR="00BC0FD7" w:rsidRPr="001D5327" w:rsidRDefault="00BC0FD7" w:rsidP="009B2807">
            <w:pPr>
              <w:pStyle w:val="TableText"/>
              <w:keepNext/>
              <w:spacing w:before="40" w:after="40"/>
              <w:rPr>
                <w:b/>
                <w:bCs/>
                <w:color w:val="FFFFFF" w:themeColor="background1"/>
              </w:rPr>
            </w:pPr>
            <w:r w:rsidRPr="001D5327">
              <w:rPr>
                <w:rFonts w:eastAsia="Calibri"/>
                <w:b/>
                <w:bCs/>
                <w:color w:val="FFFFFF" w:themeColor="background1"/>
              </w:rPr>
              <w:t>Parameter</w:t>
            </w:r>
          </w:p>
        </w:tc>
        <w:tc>
          <w:tcPr>
            <w:tcW w:w="1001" w:type="pct"/>
            <w:shd w:val="clear" w:color="auto" w:fill="1B556B"/>
            <w:tcMar>
              <w:top w:w="0" w:type="dxa"/>
              <w:left w:w="85" w:type="dxa"/>
              <w:bottom w:w="0" w:type="dxa"/>
              <w:right w:w="85" w:type="dxa"/>
            </w:tcMar>
          </w:tcPr>
          <w:p w14:paraId="65BE1D5F" w14:textId="77777777" w:rsidR="00BC0FD7" w:rsidRPr="001D5327" w:rsidRDefault="00BC0FD7" w:rsidP="009B2807">
            <w:pPr>
              <w:pStyle w:val="TableText"/>
              <w:keepNext/>
              <w:spacing w:before="40" w:after="40"/>
              <w:rPr>
                <w:b/>
                <w:bCs/>
                <w:color w:val="FFFFFF" w:themeColor="background1"/>
              </w:rPr>
            </w:pPr>
            <w:r w:rsidRPr="001D5327">
              <w:rPr>
                <w:rFonts w:eastAsia="Calibri"/>
                <w:b/>
                <w:bCs/>
                <w:color w:val="FFFFFF" w:themeColor="background1"/>
              </w:rPr>
              <w:t>Value</w:t>
            </w:r>
          </w:p>
        </w:tc>
        <w:tc>
          <w:tcPr>
            <w:tcW w:w="913" w:type="pct"/>
            <w:shd w:val="clear" w:color="auto" w:fill="1B556B"/>
            <w:tcMar>
              <w:top w:w="0" w:type="dxa"/>
              <w:left w:w="85" w:type="dxa"/>
              <w:bottom w:w="0" w:type="dxa"/>
              <w:right w:w="85" w:type="dxa"/>
            </w:tcMar>
          </w:tcPr>
          <w:p w14:paraId="4979C33E" w14:textId="77777777" w:rsidR="00BC0FD7" w:rsidRPr="001D5327" w:rsidRDefault="00BC0FD7" w:rsidP="009B2807">
            <w:pPr>
              <w:pStyle w:val="TableText"/>
              <w:keepNext/>
              <w:spacing w:before="40" w:after="40"/>
              <w:rPr>
                <w:b/>
                <w:bCs/>
                <w:color w:val="FFFFFF" w:themeColor="background1"/>
              </w:rPr>
            </w:pPr>
            <w:r w:rsidRPr="001D5327">
              <w:rPr>
                <w:rFonts w:eastAsia="Calibri"/>
                <w:b/>
                <w:bCs/>
                <w:color w:val="FFFFFF" w:themeColor="background1"/>
              </w:rPr>
              <w:t>Source</w:t>
            </w:r>
          </w:p>
        </w:tc>
        <w:tc>
          <w:tcPr>
            <w:tcW w:w="1253" w:type="pct"/>
            <w:shd w:val="clear" w:color="auto" w:fill="1B556B"/>
            <w:tcMar>
              <w:top w:w="0" w:type="dxa"/>
              <w:left w:w="85" w:type="dxa"/>
              <w:bottom w:w="0" w:type="dxa"/>
              <w:right w:w="85" w:type="dxa"/>
            </w:tcMar>
          </w:tcPr>
          <w:p w14:paraId="5F43F36B" w14:textId="77777777" w:rsidR="00BC0FD7" w:rsidRPr="001D5327" w:rsidRDefault="00BC0FD7" w:rsidP="009B2807">
            <w:pPr>
              <w:pStyle w:val="TableText"/>
              <w:keepNext/>
              <w:spacing w:before="40" w:after="40"/>
              <w:rPr>
                <w:b/>
                <w:bCs/>
                <w:color w:val="FFFFFF" w:themeColor="background1"/>
              </w:rPr>
            </w:pPr>
            <w:r w:rsidRPr="001D5327">
              <w:rPr>
                <w:rFonts w:eastAsia="Calibri"/>
                <w:b/>
                <w:bCs/>
                <w:color w:val="FFFFFF" w:themeColor="background1"/>
              </w:rPr>
              <w:t>Reference</w:t>
            </w:r>
          </w:p>
        </w:tc>
      </w:tr>
      <w:tr w:rsidR="00BC0FD7" w:rsidRPr="001D5327" w14:paraId="726E73D3" w14:textId="77777777" w:rsidTr="008307A0">
        <w:tc>
          <w:tcPr>
            <w:tcW w:w="1833" w:type="pct"/>
            <w:shd w:val="clear" w:color="auto" w:fill="FFFFFF"/>
            <w:tcMar>
              <w:top w:w="0" w:type="dxa"/>
              <w:left w:w="85" w:type="dxa"/>
              <w:bottom w:w="0" w:type="dxa"/>
              <w:right w:w="85" w:type="dxa"/>
            </w:tcMar>
          </w:tcPr>
          <w:p w14:paraId="0503B97D" w14:textId="77777777" w:rsidR="00BC0FD7" w:rsidRPr="001D5327" w:rsidRDefault="00BC0FD7" w:rsidP="00A84EF0">
            <w:pPr>
              <w:pStyle w:val="Tableboldblue"/>
              <w:keepNext/>
              <w:spacing w:before="40" w:after="40"/>
            </w:pPr>
            <w:r w:rsidRPr="001D5327">
              <w:rPr>
                <w:rFonts w:eastAsia="Calibri"/>
              </w:rPr>
              <w:t>Methane correction factors</w:t>
            </w:r>
          </w:p>
        </w:tc>
        <w:tc>
          <w:tcPr>
            <w:tcW w:w="1001" w:type="pct"/>
            <w:shd w:val="clear" w:color="auto" w:fill="FFFFFF"/>
            <w:tcMar>
              <w:top w:w="0" w:type="dxa"/>
              <w:left w:w="85" w:type="dxa"/>
              <w:bottom w:w="0" w:type="dxa"/>
              <w:right w:w="85" w:type="dxa"/>
            </w:tcMar>
          </w:tcPr>
          <w:p w14:paraId="7AEF96EC" w14:textId="77777777" w:rsidR="00BC0FD7" w:rsidRPr="001D5327" w:rsidRDefault="00BC0FD7" w:rsidP="009B2807">
            <w:pPr>
              <w:pStyle w:val="TableText"/>
              <w:keepNext/>
              <w:spacing w:before="40" w:after="40"/>
            </w:pPr>
          </w:p>
        </w:tc>
        <w:tc>
          <w:tcPr>
            <w:tcW w:w="913" w:type="pct"/>
            <w:shd w:val="clear" w:color="auto" w:fill="FFFFFF"/>
            <w:tcMar>
              <w:top w:w="0" w:type="dxa"/>
              <w:left w:w="85" w:type="dxa"/>
              <w:bottom w:w="0" w:type="dxa"/>
              <w:right w:w="85" w:type="dxa"/>
            </w:tcMar>
          </w:tcPr>
          <w:p w14:paraId="547DC382" w14:textId="77777777" w:rsidR="00BC0FD7" w:rsidRPr="001D5327" w:rsidRDefault="00BC0FD7" w:rsidP="009B2807">
            <w:pPr>
              <w:pStyle w:val="TableText"/>
              <w:keepNext/>
              <w:spacing w:before="40" w:after="40"/>
            </w:pPr>
          </w:p>
        </w:tc>
        <w:tc>
          <w:tcPr>
            <w:tcW w:w="1253" w:type="pct"/>
            <w:shd w:val="clear" w:color="auto" w:fill="FFFFFF"/>
            <w:tcMar>
              <w:top w:w="0" w:type="dxa"/>
              <w:left w:w="85" w:type="dxa"/>
              <w:bottom w:w="0" w:type="dxa"/>
              <w:right w:w="85" w:type="dxa"/>
            </w:tcMar>
          </w:tcPr>
          <w:p w14:paraId="77C24217" w14:textId="77777777" w:rsidR="00BC0FD7" w:rsidRPr="001D5327" w:rsidRDefault="00BC0FD7" w:rsidP="009B2807">
            <w:pPr>
              <w:pStyle w:val="TableText"/>
              <w:keepNext/>
              <w:spacing w:before="40" w:after="40"/>
            </w:pPr>
          </w:p>
        </w:tc>
      </w:tr>
      <w:tr w:rsidR="00BC0FD7" w:rsidRPr="001D5327" w14:paraId="6F8D2384" w14:textId="77777777" w:rsidTr="008307A0">
        <w:tc>
          <w:tcPr>
            <w:tcW w:w="1833" w:type="pct"/>
            <w:shd w:val="clear" w:color="auto" w:fill="FFFFFF"/>
            <w:tcMar>
              <w:top w:w="0" w:type="dxa"/>
              <w:left w:w="85" w:type="dxa"/>
              <w:bottom w:w="0" w:type="dxa"/>
              <w:right w:w="85" w:type="dxa"/>
            </w:tcMar>
          </w:tcPr>
          <w:p w14:paraId="125E4F14" w14:textId="77777777" w:rsidR="00BC0FD7" w:rsidRPr="001D5327" w:rsidRDefault="00BC0FD7" w:rsidP="009B2807">
            <w:pPr>
              <w:pStyle w:val="TableText"/>
              <w:keepNext/>
              <w:spacing w:before="40" w:after="40"/>
            </w:pPr>
            <w:r w:rsidRPr="001D5327">
              <w:rPr>
                <w:rFonts w:eastAsia="Calibri"/>
                <w:color w:val="000000"/>
              </w:rPr>
              <w:t>Handling systems methane correction factor</w:t>
            </w:r>
          </w:p>
        </w:tc>
        <w:tc>
          <w:tcPr>
            <w:tcW w:w="1001" w:type="pct"/>
            <w:shd w:val="clear" w:color="auto" w:fill="FFFFFF"/>
            <w:tcMar>
              <w:top w:w="0" w:type="dxa"/>
              <w:left w:w="85" w:type="dxa"/>
              <w:bottom w:w="0" w:type="dxa"/>
              <w:right w:w="85" w:type="dxa"/>
            </w:tcMar>
          </w:tcPr>
          <w:p w14:paraId="470C7B9F" w14:textId="77777777" w:rsidR="00BC0FD7" w:rsidRPr="001D5327" w:rsidRDefault="00BC0FD7" w:rsidP="009B2807">
            <w:pPr>
              <w:pStyle w:val="TableText"/>
              <w:keepNext/>
              <w:spacing w:before="40" w:after="40"/>
            </w:pPr>
            <w:r w:rsidRPr="001D5327">
              <w:rPr>
                <w:rFonts w:eastAsia="Calibri"/>
                <w:color w:val="000000"/>
              </w:rPr>
              <w:t>Range of 0–0.65</w:t>
            </w:r>
          </w:p>
        </w:tc>
        <w:tc>
          <w:tcPr>
            <w:tcW w:w="913" w:type="pct"/>
            <w:shd w:val="clear" w:color="auto" w:fill="FFFFFF"/>
            <w:tcMar>
              <w:top w:w="0" w:type="dxa"/>
              <w:left w:w="85" w:type="dxa"/>
              <w:bottom w:w="0" w:type="dxa"/>
              <w:right w:w="85" w:type="dxa"/>
            </w:tcMar>
          </w:tcPr>
          <w:p w14:paraId="44EF55EF" w14:textId="77777777" w:rsidR="00BC0FD7" w:rsidRPr="001D5327" w:rsidRDefault="00BC0FD7" w:rsidP="009B2807">
            <w:pPr>
              <w:pStyle w:val="TableText"/>
              <w:keepNext/>
              <w:spacing w:before="40" w:after="40"/>
            </w:pPr>
            <w:r w:rsidRPr="001D5327">
              <w:rPr>
                <w:rFonts w:eastAsia="Calibri"/>
                <w:color w:val="000000"/>
              </w:rPr>
              <w:t>New Zealand specific</w:t>
            </w:r>
          </w:p>
        </w:tc>
        <w:tc>
          <w:tcPr>
            <w:tcW w:w="1253" w:type="pct"/>
            <w:shd w:val="clear" w:color="auto" w:fill="FFFFFF"/>
            <w:tcMar>
              <w:top w:w="0" w:type="dxa"/>
              <w:left w:w="85" w:type="dxa"/>
              <w:bottom w:w="0" w:type="dxa"/>
              <w:right w:w="85" w:type="dxa"/>
            </w:tcMar>
          </w:tcPr>
          <w:p w14:paraId="2CC07D21" w14:textId="77777777" w:rsidR="00BC0FD7" w:rsidRPr="001D5327" w:rsidRDefault="00BC0FD7" w:rsidP="009B2807">
            <w:pPr>
              <w:pStyle w:val="TableText"/>
              <w:keepNext/>
              <w:spacing w:before="40" w:after="40"/>
            </w:pPr>
            <w:r w:rsidRPr="001D5327">
              <w:rPr>
                <w:rFonts w:eastAsia="Calibri"/>
                <w:color w:val="000000"/>
              </w:rPr>
              <w:t>SCS Wetherill Environmental (unpublished)</w:t>
            </w:r>
          </w:p>
        </w:tc>
      </w:tr>
      <w:tr w:rsidR="00BC0FD7" w:rsidRPr="001D5327" w14:paraId="40FF7E16" w14:textId="77777777" w:rsidTr="008307A0">
        <w:tc>
          <w:tcPr>
            <w:tcW w:w="1833" w:type="pct"/>
            <w:shd w:val="clear" w:color="auto" w:fill="FFFFFF"/>
            <w:tcMar>
              <w:top w:w="0" w:type="dxa"/>
              <w:left w:w="85" w:type="dxa"/>
              <w:bottom w:w="0" w:type="dxa"/>
              <w:right w:w="85" w:type="dxa"/>
            </w:tcMar>
          </w:tcPr>
          <w:p w14:paraId="14987891" w14:textId="77777777" w:rsidR="00BC0FD7" w:rsidRPr="001D5327" w:rsidRDefault="00BC0FD7" w:rsidP="00D11AC9">
            <w:pPr>
              <w:pStyle w:val="TableText"/>
              <w:spacing w:before="40" w:after="40"/>
            </w:pPr>
            <w:r w:rsidRPr="001D5327">
              <w:rPr>
                <w:rFonts w:eastAsia="Calibri"/>
                <w:color w:val="000000"/>
              </w:rPr>
              <w:t>Aggregated methane correction factor</w:t>
            </w:r>
          </w:p>
        </w:tc>
        <w:tc>
          <w:tcPr>
            <w:tcW w:w="1001" w:type="pct"/>
            <w:shd w:val="clear" w:color="auto" w:fill="FFFFFF"/>
            <w:tcMar>
              <w:top w:w="0" w:type="dxa"/>
              <w:left w:w="85" w:type="dxa"/>
              <w:bottom w:w="0" w:type="dxa"/>
              <w:right w:w="85" w:type="dxa"/>
            </w:tcMar>
          </w:tcPr>
          <w:p w14:paraId="3855FEA9" w14:textId="77777777" w:rsidR="00BC0FD7" w:rsidRPr="001D5327" w:rsidRDefault="00BC0FD7" w:rsidP="00D11AC9">
            <w:pPr>
              <w:pStyle w:val="TableText"/>
              <w:spacing w:before="40" w:after="40"/>
            </w:pPr>
            <w:r w:rsidRPr="001D5327">
              <w:rPr>
                <w:rFonts w:eastAsia="Calibri"/>
                <w:color w:val="000000"/>
              </w:rPr>
              <w:t>Range of 0.032–0.043</w:t>
            </w:r>
          </w:p>
        </w:tc>
        <w:tc>
          <w:tcPr>
            <w:tcW w:w="913" w:type="pct"/>
            <w:shd w:val="clear" w:color="auto" w:fill="FFFFFF"/>
            <w:tcMar>
              <w:top w:w="0" w:type="dxa"/>
              <w:left w:w="85" w:type="dxa"/>
              <w:bottom w:w="0" w:type="dxa"/>
              <w:right w:w="85" w:type="dxa"/>
            </w:tcMar>
          </w:tcPr>
          <w:p w14:paraId="561764C5" w14:textId="77777777" w:rsidR="00BC0FD7" w:rsidRPr="001D5327" w:rsidRDefault="00BC0FD7" w:rsidP="00D11AC9">
            <w:pPr>
              <w:pStyle w:val="TableText"/>
              <w:spacing w:before="40" w:after="40"/>
            </w:pPr>
            <w:r w:rsidRPr="001D5327">
              <w:rPr>
                <w:rFonts w:eastAsia="Calibri"/>
                <w:color w:val="000000"/>
              </w:rPr>
              <w:t>New Zealand specific</w:t>
            </w:r>
          </w:p>
        </w:tc>
        <w:tc>
          <w:tcPr>
            <w:tcW w:w="1253" w:type="pct"/>
            <w:shd w:val="clear" w:color="auto" w:fill="FFFFFF"/>
            <w:tcMar>
              <w:top w:w="0" w:type="dxa"/>
              <w:left w:w="85" w:type="dxa"/>
              <w:bottom w:w="0" w:type="dxa"/>
              <w:right w:w="85" w:type="dxa"/>
            </w:tcMar>
          </w:tcPr>
          <w:p w14:paraId="5A81CF6D" w14:textId="77777777" w:rsidR="00BC0FD7" w:rsidRPr="001D5327" w:rsidRDefault="00BC0FD7" w:rsidP="00D11AC9">
            <w:pPr>
              <w:pStyle w:val="TableText"/>
              <w:spacing w:before="40" w:after="40"/>
            </w:pPr>
            <w:r w:rsidRPr="001D5327">
              <w:rPr>
                <w:rFonts w:eastAsia="Calibri"/>
                <w:color w:val="000000"/>
              </w:rPr>
              <w:t>SCS Wetherill Environmental (unpublished)</w:t>
            </w:r>
          </w:p>
        </w:tc>
      </w:tr>
      <w:tr w:rsidR="00BC0FD7" w:rsidRPr="001D5327" w14:paraId="499DA70A" w14:textId="77777777" w:rsidTr="008307A0">
        <w:tc>
          <w:tcPr>
            <w:tcW w:w="1833" w:type="pct"/>
            <w:shd w:val="clear" w:color="auto" w:fill="FFFFFF"/>
            <w:tcMar>
              <w:top w:w="0" w:type="dxa"/>
              <w:left w:w="85" w:type="dxa"/>
              <w:bottom w:w="0" w:type="dxa"/>
              <w:right w:w="85" w:type="dxa"/>
            </w:tcMar>
          </w:tcPr>
          <w:p w14:paraId="2494E4A4" w14:textId="77777777" w:rsidR="00BC0FD7" w:rsidRPr="001D5327" w:rsidRDefault="00BC0FD7" w:rsidP="00D11AC9">
            <w:pPr>
              <w:pStyle w:val="TableText"/>
              <w:spacing w:before="40" w:after="40"/>
            </w:pPr>
            <w:r w:rsidRPr="001D5327">
              <w:rPr>
                <w:rFonts w:eastAsia="Calibri"/>
                <w:color w:val="000000"/>
              </w:rPr>
              <w:t>BOD (kg BOD/person/year)</w:t>
            </w:r>
          </w:p>
        </w:tc>
        <w:tc>
          <w:tcPr>
            <w:tcW w:w="1001" w:type="pct"/>
            <w:shd w:val="clear" w:color="auto" w:fill="FFFFFF"/>
            <w:tcMar>
              <w:top w:w="0" w:type="dxa"/>
              <w:left w:w="85" w:type="dxa"/>
              <w:bottom w:w="0" w:type="dxa"/>
              <w:right w:w="85" w:type="dxa"/>
            </w:tcMar>
          </w:tcPr>
          <w:p w14:paraId="7F142876" w14:textId="77777777" w:rsidR="00BC0FD7" w:rsidRPr="001D5327" w:rsidRDefault="00BC0FD7" w:rsidP="00D11AC9">
            <w:pPr>
              <w:pStyle w:val="TableText"/>
              <w:spacing w:before="40" w:after="40"/>
            </w:pPr>
            <w:r w:rsidRPr="001D5327">
              <w:rPr>
                <w:rFonts w:eastAsia="Calibri"/>
                <w:color w:val="000000"/>
              </w:rPr>
              <w:t>26</w:t>
            </w:r>
          </w:p>
        </w:tc>
        <w:tc>
          <w:tcPr>
            <w:tcW w:w="913" w:type="pct"/>
            <w:shd w:val="clear" w:color="auto" w:fill="FFFFFF"/>
            <w:tcMar>
              <w:top w:w="0" w:type="dxa"/>
              <w:left w:w="85" w:type="dxa"/>
              <w:bottom w:w="0" w:type="dxa"/>
              <w:right w:w="85" w:type="dxa"/>
            </w:tcMar>
          </w:tcPr>
          <w:p w14:paraId="4361429C" w14:textId="77777777" w:rsidR="00BC0FD7" w:rsidRPr="001D5327" w:rsidRDefault="00BC0FD7" w:rsidP="00D11AC9">
            <w:pPr>
              <w:pStyle w:val="TableText"/>
              <w:spacing w:before="40" w:after="40"/>
            </w:pPr>
            <w:r w:rsidRPr="001D5327">
              <w:rPr>
                <w:rFonts w:eastAsia="Calibri"/>
                <w:color w:val="000000"/>
              </w:rPr>
              <w:t>New Zealand specific</w:t>
            </w:r>
          </w:p>
        </w:tc>
        <w:tc>
          <w:tcPr>
            <w:tcW w:w="1253" w:type="pct"/>
            <w:shd w:val="clear" w:color="auto" w:fill="FFFFFF"/>
            <w:tcMar>
              <w:top w:w="0" w:type="dxa"/>
              <w:left w:w="85" w:type="dxa"/>
              <w:bottom w:w="0" w:type="dxa"/>
              <w:right w:w="85" w:type="dxa"/>
            </w:tcMar>
          </w:tcPr>
          <w:p w14:paraId="05452B60" w14:textId="77777777" w:rsidR="00BC0FD7" w:rsidRPr="001D5327" w:rsidRDefault="00BC0FD7" w:rsidP="00D11AC9">
            <w:pPr>
              <w:pStyle w:val="TableText"/>
              <w:spacing w:before="40" w:after="40"/>
            </w:pPr>
            <w:r w:rsidRPr="001D5327">
              <w:rPr>
                <w:rFonts w:eastAsia="Calibri"/>
                <w:color w:val="000000"/>
              </w:rPr>
              <w:t>Beca Infrastructure Ltd (unpublished)</w:t>
            </w:r>
          </w:p>
        </w:tc>
      </w:tr>
      <w:tr w:rsidR="00BC0FD7" w:rsidRPr="001D5327" w14:paraId="6E6B0631" w14:textId="77777777" w:rsidTr="008307A0">
        <w:tc>
          <w:tcPr>
            <w:tcW w:w="1833" w:type="pct"/>
            <w:shd w:val="clear" w:color="auto" w:fill="FFFFFF"/>
            <w:tcMar>
              <w:top w:w="0" w:type="dxa"/>
              <w:left w:w="85" w:type="dxa"/>
              <w:bottom w:w="0" w:type="dxa"/>
              <w:right w:w="85" w:type="dxa"/>
            </w:tcMar>
          </w:tcPr>
          <w:p w14:paraId="401E0812" w14:textId="77777777" w:rsidR="00BC0FD7" w:rsidRPr="001D5327" w:rsidRDefault="00BC0FD7" w:rsidP="00D11AC9">
            <w:pPr>
              <w:pStyle w:val="TableText"/>
              <w:spacing w:before="40" w:after="40"/>
            </w:pPr>
            <w:r w:rsidRPr="001D5327">
              <w:rPr>
                <w:rFonts w:eastAsia="Calibri"/>
                <w:color w:val="000000"/>
              </w:rPr>
              <w:t>Correction factor for BOD</w:t>
            </w:r>
          </w:p>
        </w:tc>
        <w:tc>
          <w:tcPr>
            <w:tcW w:w="1001" w:type="pct"/>
            <w:shd w:val="clear" w:color="auto" w:fill="FFFFFF"/>
            <w:tcMar>
              <w:top w:w="0" w:type="dxa"/>
              <w:left w:w="85" w:type="dxa"/>
              <w:bottom w:w="0" w:type="dxa"/>
              <w:right w:w="85" w:type="dxa"/>
            </w:tcMar>
          </w:tcPr>
          <w:p w14:paraId="5B28616B" w14:textId="77777777" w:rsidR="00BC0FD7" w:rsidRPr="001D5327" w:rsidRDefault="00BC0FD7" w:rsidP="00D11AC9">
            <w:pPr>
              <w:pStyle w:val="TableText"/>
              <w:spacing w:before="40" w:after="40"/>
            </w:pPr>
            <w:r w:rsidRPr="001D5327">
              <w:rPr>
                <w:rFonts w:eastAsia="Calibri"/>
                <w:color w:val="000000"/>
              </w:rPr>
              <w:t>Range of 1.8–14.9</w:t>
            </w:r>
          </w:p>
        </w:tc>
        <w:tc>
          <w:tcPr>
            <w:tcW w:w="913" w:type="pct"/>
            <w:shd w:val="clear" w:color="auto" w:fill="FFFFFF"/>
            <w:tcMar>
              <w:top w:w="0" w:type="dxa"/>
              <w:left w:w="85" w:type="dxa"/>
              <w:bottom w:w="0" w:type="dxa"/>
              <w:right w:w="85" w:type="dxa"/>
            </w:tcMar>
          </w:tcPr>
          <w:p w14:paraId="372E3FA1" w14:textId="77777777" w:rsidR="00BC0FD7" w:rsidRPr="001D5327" w:rsidRDefault="00BC0FD7" w:rsidP="00D11AC9">
            <w:pPr>
              <w:pStyle w:val="TableText"/>
              <w:spacing w:before="40" w:after="40"/>
            </w:pPr>
            <w:r w:rsidRPr="001D5327">
              <w:rPr>
                <w:rFonts w:eastAsia="Calibri"/>
                <w:color w:val="000000"/>
              </w:rPr>
              <w:t>New Zealand specific</w:t>
            </w:r>
          </w:p>
        </w:tc>
        <w:tc>
          <w:tcPr>
            <w:tcW w:w="1253" w:type="pct"/>
            <w:shd w:val="clear" w:color="auto" w:fill="FFFFFF"/>
            <w:tcMar>
              <w:top w:w="0" w:type="dxa"/>
              <w:left w:w="85" w:type="dxa"/>
              <w:bottom w:w="0" w:type="dxa"/>
              <w:right w:w="85" w:type="dxa"/>
            </w:tcMar>
          </w:tcPr>
          <w:p w14:paraId="044BE3B3" w14:textId="77777777" w:rsidR="00BC0FD7" w:rsidRPr="001D5327" w:rsidRDefault="00BC0FD7" w:rsidP="00D11AC9">
            <w:pPr>
              <w:pStyle w:val="TableText"/>
              <w:spacing w:before="40" w:after="40"/>
            </w:pPr>
            <w:r w:rsidRPr="001D5327">
              <w:rPr>
                <w:rFonts w:eastAsia="Calibri"/>
                <w:color w:val="000000"/>
              </w:rPr>
              <w:t>Beca Infrastructure Ltd (unpublished)</w:t>
            </w:r>
          </w:p>
        </w:tc>
      </w:tr>
      <w:tr w:rsidR="00BC0FD7" w:rsidRPr="001D5327" w14:paraId="0C3052FD" w14:textId="77777777" w:rsidTr="008307A0">
        <w:tc>
          <w:tcPr>
            <w:tcW w:w="1833" w:type="pct"/>
            <w:shd w:val="clear" w:color="auto" w:fill="FFFFFF"/>
            <w:tcMar>
              <w:top w:w="0" w:type="dxa"/>
              <w:left w:w="85" w:type="dxa"/>
              <w:bottom w:w="0" w:type="dxa"/>
              <w:right w:w="85" w:type="dxa"/>
            </w:tcMar>
          </w:tcPr>
          <w:p w14:paraId="1AD98089" w14:textId="77777777" w:rsidR="00BC0FD7" w:rsidRPr="001D5327" w:rsidRDefault="00BC0FD7" w:rsidP="00D11AC9">
            <w:pPr>
              <w:pStyle w:val="TableText"/>
              <w:spacing w:before="40" w:after="40"/>
            </w:pPr>
            <w:r w:rsidRPr="001D5327">
              <w:rPr>
                <w:rFonts w:eastAsia="Calibri"/>
                <w:color w:val="000000"/>
              </w:rPr>
              <w:t>Maximum methane-producing capacity (kg CH₄/kg BOD)</w:t>
            </w:r>
          </w:p>
        </w:tc>
        <w:tc>
          <w:tcPr>
            <w:tcW w:w="1001" w:type="pct"/>
            <w:shd w:val="clear" w:color="auto" w:fill="FFFFFF"/>
            <w:tcMar>
              <w:top w:w="0" w:type="dxa"/>
              <w:left w:w="85" w:type="dxa"/>
              <w:bottom w:w="0" w:type="dxa"/>
              <w:right w:w="85" w:type="dxa"/>
            </w:tcMar>
          </w:tcPr>
          <w:p w14:paraId="2524CFA1" w14:textId="77777777" w:rsidR="00BC0FD7" w:rsidRPr="001D5327" w:rsidRDefault="00BC0FD7" w:rsidP="00D11AC9">
            <w:pPr>
              <w:pStyle w:val="TableText"/>
              <w:spacing w:before="40" w:after="40"/>
            </w:pPr>
            <w:r w:rsidRPr="001D5327">
              <w:rPr>
                <w:rFonts w:eastAsia="Calibri"/>
                <w:color w:val="000000"/>
              </w:rPr>
              <w:t>0.625</w:t>
            </w:r>
          </w:p>
        </w:tc>
        <w:tc>
          <w:tcPr>
            <w:tcW w:w="913" w:type="pct"/>
            <w:shd w:val="clear" w:color="auto" w:fill="FFFFFF"/>
            <w:tcMar>
              <w:top w:w="0" w:type="dxa"/>
              <w:left w:w="85" w:type="dxa"/>
              <w:bottom w:w="0" w:type="dxa"/>
              <w:right w:w="85" w:type="dxa"/>
            </w:tcMar>
          </w:tcPr>
          <w:p w14:paraId="103E0E63" w14:textId="77777777" w:rsidR="00BC0FD7" w:rsidRPr="001D5327" w:rsidRDefault="00BC0FD7" w:rsidP="00D11AC9">
            <w:pPr>
              <w:pStyle w:val="TableText"/>
              <w:spacing w:before="40" w:after="40"/>
            </w:pPr>
            <w:r w:rsidRPr="001D5327">
              <w:rPr>
                <w:rFonts w:eastAsia="Calibri"/>
                <w:color w:val="000000"/>
              </w:rPr>
              <w:t>New Zealand specific</w:t>
            </w:r>
          </w:p>
        </w:tc>
        <w:tc>
          <w:tcPr>
            <w:tcW w:w="1253" w:type="pct"/>
            <w:shd w:val="clear" w:color="auto" w:fill="FFFFFF"/>
            <w:tcMar>
              <w:top w:w="0" w:type="dxa"/>
              <w:left w:w="85" w:type="dxa"/>
              <w:bottom w:w="0" w:type="dxa"/>
              <w:right w:w="85" w:type="dxa"/>
            </w:tcMar>
          </w:tcPr>
          <w:p w14:paraId="37BA969A" w14:textId="77777777" w:rsidR="00BC0FD7" w:rsidRPr="001D5327" w:rsidRDefault="00BC0FD7" w:rsidP="00D11AC9">
            <w:pPr>
              <w:pStyle w:val="TableText"/>
              <w:spacing w:before="40" w:after="40"/>
            </w:pPr>
            <w:r w:rsidRPr="001D5327">
              <w:rPr>
                <w:rFonts w:eastAsia="Calibri"/>
                <w:color w:val="000000"/>
              </w:rPr>
              <w:t>SCS Wetherill Environmental (unpublished)</w:t>
            </w:r>
          </w:p>
        </w:tc>
      </w:tr>
    </w:tbl>
    <w:p w14:paraId="34EC5A80" w14:textId="77777777" w:rsidR="00BC0FD7" w:rsidRPr="001D5327" w:rsidRDefault="00BC0FD7" w:rsidP="00BC0FD7">
      <w:pPr>
        <w:pStyle w:val="Noteundertable"/>
      </w:pPr>
      <w:r w:rsidRPr="001D5327">
        <w:rPr>
          <w:b/>
          <w:bCs/>
        </w:rPr>
        <w:t>Note:</w:t>
      </w:r>
      <w:r w:rsidRPr="001D5327">
        <w:t xml:space="preserve"> BOD = biochemical oxygen demand.</w:t>
      </w:r>
    </w:p>
    <w:p w14:paraId="6A58A8E1" w14:textId="77777777" w:rsidR="00BC0FD7" w:rsidRPr="001D5327" w:rsidRDefault="00BC0FD7" w:rsidP="00BC0FD7">
      <w:pPr>
        <w:pStyle w:val="Heading6"/>
      </w:pPr>
      <w:bookmarkStart w:id="2884" w:name="X698e3d1972339c976269d4c73c660df246dc4e1"/>
      <w:bookmarkEnd w:id="2882"/>
      <w:r w:rsidRPr="001D5327">
        <w:t>Methane correction factors for handling systems</w:t>
      </w:r>
    </w:p>
    <w:p w14:paraId="6653AB69" w14:textId="77777777" w:rsidR="00BC0FD7" w:rsidRPr="001D5327" w:rsidRDefault="00BC0FD7" w:rsidP="00BC0FD7">
      <w:pPr>
        <w:pStyle w:val="BodyText"/>
      </w:pPr>
      <w:r w:rsidRPr="001D5327">
        <w:t>Methane correction factors for the different handling systems in New Zealand were estimated by SCS Wetherill Environmental (unpublished). These factors range from zero up to 0.65 for the different types of anaerobic treatment. The different treatment types are added together, weighted by the population for each type of treatment, to give an aggregated CH</w:t>
      </w:r>
      <w:r w:rsidRPr="001D5327">
        <w:rPr>
          <w:vertAlign w:val="subscript"/>
        </w:rPr>
        <w:t>4</w:t>
      </w:r>
      <w:r w:rsidRPr="001D5327">
        <w:t xml:space="preserve"> correction factor ranging between 0.032 and 0.043. Table 7.5.2 shows the aggregate CH</w:t>
      </w:r>
      <w:r w:rsidRPr="001D5327">
        <w:rPr>
          <w:vertAlign w:val="subscript"/>
        </w:rPr>
        <w:t>4</w:t>
      </w:r>
      <w:r w:rsidRPr="001D5327">
        <w:t xml:space="preserve"> correction factor applied across the time series.</w:t>
      </w:r>
    </w:p>
    <w:p w14:paraId="32E3B5A9" w14:textId="77777777" w:rsidR="00BC0FD7" w:rsidRPr="001D5327" w:rsidRDefault="00BC0FD7" w:rsidP="00BC0FD7">
      <w:pPr>
        <w:pStyle w:val="Heading6"/>
      </w:pPr>
      <w:bookmarkStart w:id="2885" w:name="adjustments-to-biochemical-oxygen-demand"/>
      <w:bookmarkEnd w:id="2884"/>
      <w:r w:rsidRPr="001D5327">
        <w:t>Adjustments to biochemical oxygen demand</w:t>
      </w:r>
    </w:p>
    <w:p w14:paraId="64BCD80E" w14:textId="29A08D2B" w:rsidR="00BC0FD7" w:rsidRPr="001D5327" w:rsidRDefault="00BC0FD7" w:rsidP="00BC0FD7">
      <w:pPr>
        <w:pStyle w:val="BodyText"/>
      </w:pPr>
      <w:r w:rsidRPr="001D5327">
        <w:t>New Zealand uses a value of 26 kilograms biochemical oxygen demand (BOD) per person per</w:t>
      </w:r>
      <w:r w:rsidR="009B2807" w:rsidRPr="001D5327">
        <w:t> </w:t>
      </w:r>
      <w:r w:rsidRPr="001D5327">
        <w:t>year. This is equivalent to the IPCC high-range default value for the Oceania region of about 70 grams per person per day (IPCC, 2006a). This value has been determined as a typical value for wastewater treatment methods adopted in New Zealand (Beca Infrastructure Ltd, unpublished).</w:t>
      </w:r>
    </w:p>
    <w:p w14:paraId="3BB96BC0" w14:textId="77777777" w:rsidR="00BC0FD7" w:rsidRPr="001D5327" w:rsidRDefault="00BC0FD7" w:rsidP="00BC0FD7">
      <w:pPr>
        <w:pStyle w:val="BodyText"/>
      </w:pPr>
      <w:r w:rsidRPr="001D5327">
        <w:t>This value has been increased by 25 per cent for most treatment plants, to allow for the additional wastewater that they take from commercial and industrial activity within the municipal area. Ten of the treatment plants have been identified as accepting much larger amounts of industrial and/or commercial wastewater. The correction factor for BOD for these plants ranges from 77 per cent to 1,390 per cent above the amount of domestic wastewater (Beca Infrastructure Ltd, unpublished). No adjustment to the BOD is made for septic tanks.</w:t>
      </w:r>
    </w:p>
    <w:p w14:paraId="53677659" w14:textId="77777777" w:rsidR="00BC0FD7" w:rsidRPr="001D5327" w:rsidRDefault="00BC0FD7" w:rsidP="00BC0FD7">
      <w:pPr>
        <w:pStyle w:val="Heading6"/>
      </w:pPr>
      <w:bookmarkStart w:id="2886" w:name="recovery"/>
      <w:bookmarkEnd w:id="2885"/>
      <w:r w:rsidRPr="001D5327">
        <w:t>Recovery</w:t>
      </w:r>
    </w:p>
    <w:p w14:paraId="433406C1" w14:textId="77777777" w:rsidR="00BC0FD7" w:rsidRPr="001D5327" w:rsidRDefault="00BC0FD7" w:rsidP="00BC0FD7">
      <w:pPr>
        <w:pStyle w:val="BodyText"/>
      </w:pPr>
      <w:r w:rsidRPr="001D5327">
        <w:t>Methane removal via flaring or for energy production is known to occur at eight plants in New Zealand. All CH</w:t>
      </w:r>
      <w:r w:rsidRPr="001D5327">
        <w:rPr>
          <w:vertAlign w:val="subscript"/>
        </w:rPr>
        <w:t>4</w:t>
      </w:r>
      <w:r w:rsidRPr="001D5327">
        <w:t xml:space="preserve"> generated at these plants is flared or used for energy production and, consequently, no CH</w:t>
      </w:r>
      <w:r w:rsidRPr="001D5327">
        <w:rPr>
          <w:vertAlign w:val="subscript"/>
        </w:rPr>
        <w:t>4</w:t>
      </w:r>
      <w:r w:rsidRPr="001D5327">
        <w:t xml:space="preserve"> emissions are reported for those plants (Beca Infrastructure Ltd, unpublished).</w:t>
      </w:r>
    </w:p>
    <w:p w14:paraId="3DF3EC76" w14:textId="77777777" w:rsidR="00BC0FD7" w:rsidRPr="001D5327" w:rsidRDefault="00BC0FD7" w:rsidP="00BC0FD7">
      <w:pPr>
        <w:pStyle w:val="Heading5"/>
      </w:pPr>
      <w:bookmarkStart w:id="2887" w:name="X6df5e7359f7d9ea7bbeae025ed840ba1935ac6e"/>
      <w:bookmarkEnd w:id="2881"/>
      <w:bookmarkEnd w:id="2886"/>
      <w:r w:rsidRPr="001D5327">
        <w:t>Nitrous oxide emissions from domestic wastewater</w:t>
      </w:r>
    </w:p>
    <w:p w14:paraId="51C3363F" w14:textId="77777777" w:rsidR="00BC0FD7" w:rsidRPr="001D5327" w:rsidRDefault="00BC0FD7" w:rsidP="00BC0FD7">
      <w:pPr>
        <w:pStyle w:val="BodyText"/>
      </w:pPr>
      <w:r w:rsidRPr="001D5327">
        <w:t>Table 7.5.7 summarises the parameter values applied for estimating N</w:t>
      </w:r>
      <w:r w:rsidRPr="001D5327">
        <w:rPr>
          <w:vertAlign w:val="subscript"/>
        </w:rPr>
        <w:t>2</w:t>
      </w:r>
      <w:r w:rsidRPr="001D5327">
        <w:t>O emissions from domestic and commercial wastewater treatment.</w:t>
      </w:r>
    </w:p>
    <w:p w14:paraId="4904DE63" w14:textId="77777777" w:rsidR="00BC0FD7" w:rsidRPr="001D5327" w:rsidRDefault="00BC0FD7" w:rsidP="00BC0FD7">
      <w:pPr>
        <w:pStyle w:val="Table"/>
      </w:pPr>
      <w:bookmarkStart w:id="2888" w:name="_Toc194241822"/>
      <w:r w:rsidRPr="001D5327">
        <w:lastRenderedPageBreak/>
        <w:t xml:space="preserve">Table 7.5.7 </w:t>
      </w:r>
      <w:r w:rsidRPr="001D5327">
        <w:tab/>
        <w:t>Parameter values applied by New Zealand for estimating nitrous oxide emissions from domestic and commercial wastewater treatment</w:t>
      </w:r>
      <w:bookmarkEnd w:id="2888"/>
    </w:p>
    <w:tbl>
      <w:tblPr>
        <w:tblW w:w="8494"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4248"/>
        <w:gridCol w:w="709"/>
        <w:gridCol w:w="1559"/>
        <w:gridCol w:w="1978"/>
      </w:tblGrid>
      <w:tr w:rsidR="00BC0FD7" w:rsidRPr="001D5327" w14:paraId="731BF01C" w14:textId="77777777" w:rsidTr="00F16D27">
        <w:trPr>
          <w:tblHeader/>
        </w:trPr>
        <w:tc>
          <w:tcPr>
            <w:tcW w:w="4248" w:type="dxa"/>
            <w:shd w:val="clear" w:color="auto" w:fill="1B556B"/>
            <w:tcMar>
              <w:top w:w="0" w:type="dxa"/>
              <w:left w:w="85" w:type="dxa"/>
              <w:bottom w:w="0" w:type="dxa"/>
              <w:right w:w="85" w:type="dxa"/>
            </w:tcMar>
          </w:tcPr>
          <w:p w14:paraId="5AD44B16" w14:textId="77777777" w:rsidR="00BC0FD7" w:rsidRPr="001D5327" w:rsidRDefault="00BC0FD7" w:rsidP="009B2807">
            <w:pPr>
              <w:pStyle w:val="TableText"/>
              <w:spacing w:before="40" w:after="40"/>
              <w:rPr>
                <w:b/>
                <w:bCs/>
                <w:color w:val="FFFFFF" w:themeColor="background1"/>
              </w:rPr>
            </w:pPr>
            <w:r w:rsidRPr="001D5327">
              <w:rPr>
                <w:rFonts w:eastAsia="Calibri"/>
                <w:b/>
                <w:bCs/>
                <w:color w:val="FFFFFF" w:themeColor="background1"/>
              </w:rPr>
              <w:t>Parameter</w:t>
            </w:r>
          </w:p>
        </w:tc>
        <w:tc>
          <w:tcPr>
            <w:tcW w:w="709" w:type="dxa"/>
            <w:shd w:val="clear" w:color="auto" w:fill="1B556B"/>
            <w:tcMar>
              <w:top w:w="0" w:type="dxa"/>
              <w:left w:w="85" w:type="dxa"/>
              <w:bottom w:w="0" w:type="dxa"/>
              <w:right w:w="85" w:type="dxa"/>
            </w:tcMar>
          </w:tcPr>
          <w:p w14:paraId="1D518401" w14:textId="77777777" w:rsidR="00BC0FD7" w:rsidRPr="001D5327" w:rsidRDefault="00BC0FD7" w:rsidP="009B2807">
            <w:pPr>
              <w:pStyle w:val="TableText"/>
              <w:spacing w:before="40" w:after="40"/>
              <w:jc w:val="right"/>
              <w:rPr>
                <w:b/>
                <w:bCs/>
                <w:color w:val="FFFFFF" w:themeColor="background1"/>
              </w:rPr>
            </w:pPr>
            <w:r w:rsidRPr="001D5327">
              <w:rPr>
                <w:rFonts w:eastAsia="Calibri"/>
                <w:b/>
                <w:bCs/>
                <w:color w:val="FFFFFF" w:themeColor="background1"/>
              </w:rPr>
              <w:t>Value</w:t>
            </w:r>
          </w:p>
        </w:tc>
        <w:tc>
          <w:tcPr>
            <w:tcW w:w="1559" w:type="dxa"/>
            <w:shd w:val="clear" w:color="auto" w:fill="1B556B"/>
            <w:tcMar>
              <w:top w:w="0" w:type="dxa"/>
              <w:left w:w="85" w:type="dxa"/>
              <w:bottom w:w="0" w:type="dxa"/>
              <w:right w:w="85" w:type="dxa"/>
            </w:tcMar>
          </w:tcPr>
          <w:p w14:paraId="5B41DB40" w14:textId="77777777" w:rsidR="00BC0FD7" w:rsidRPr="001D5327" w:rsidRDefault="00BC0FD7" w:rsidP="009B2807">
            <w:pPr>
              <w:pStyle w:val="TableText"/>
              <w:spacing w:before="40" w:after="40"/>
              <w:rPr>
                <w:b/>
                <w:bCs/>
                <w:color w:val="FFFFFF" w:themeColor="background1"/>
              </w:rPr>
            </w:pPr>
            <w:r w:rsidRPr="001D5327">
              <w:rPr>
                <w:rFonts w:eastAsia="Calibri"/>
                <w:b/>
                <w:bCs/>
                <w:color w:val="FFFFFF" w:themeColor="background1"/>
              </w:rPr>
              <w:t>Source</w:t>
            </w:r>
          </w:p>
        </w:tc>
        <w:tc>
          <w:tcPr>
            <w:tcW w:w="1978" w:type="dxa"/>
            <w:shd w:val="clear" w:color="auto" w:fill="1B556B"/>
            <w:tcMar>
              <w:top w:w="0" w:type="dxa"/>
              <w:left w:w="85" w:type="dxa"/>
              <w:bottom w:w="0" w:type="dxa"/>
              <w:right w:w="85" w:type="dxa"/>
            </w:tcMar>
          </w:tcPr>
          <w:p w14:paraId="08850BA2" w14:textId="77777777" w:rsidR="00BC0FD7" w:rsidRPr="001D5327" w:rsidRDefault="00BC0FD7" w:rsidP="009B2807">
            <w:pPr>
              <w:pStyle w:val="TableText"/>
              <w:spacing w:before="40" w:after="40"/>
              <w:rPr>
                <w:b/>
                <w:bCs/>
                <w:color w:val="FFFFFF" w:themeColor="background1"/>
              </w:rPr>
            </w:pPr>
            <w:r w:rsidRPr="001D5327">
              <w:rPr>
                <w:rFonts w:eastAsia="Calibri"/>
                <w:b/>
                <w:bCs/>
                <w:color w:val="FFFFFF" w:themeColor="background1"/>
              </w:rPr>
              <w:t>Reference</w:t>
            </w:r>
          </w:p>
        </w:tc>
      </w:tr>
      <w:tr w:rsidR="00BC0FD7" w:rsidRPr="001D5327" w14:paraId="7E9DA27A" w14:textId="77777777" w:rsidTr="00F16D27">
        <w:trPr>
          <w:trHeight w:val="283"/>
        </w:trPr>
        <w:tc>
          <w:tcPr>
            <w:tcW w:w="4248" w:type="dxa"/>
            <w:shd w:val="clear" w:color="auto" w:fill="FFFFFF"/>
            <w:tcMar>
              <w:top w:w="0" w:type="dxa"/>
              <w:left w:w="85" w:type="dxa"/>
              <w:bottom w:w="0" w:type="dxa"/>
              <w:right w:w="85" w:type="dxa"/>
            </w:tcMar>
          </w:tcPr>
          <w:p w14:paraId="11D74D19" w14:textId="77777777" w:rsidR="00BC0FD7" w:rsidRPr="001D5327" w:rsidRDefault="00BC0FD7" w:rsidP="009B2807">
            <w:pPr>
              <w:pStyle w:val="TableText"/>
              <w:spacing w:before="40" w:after="40"/>
            </w:pPr>
            <w:r w:rsidRPr="001D5327">
              <w:rPr>
                <w:rFonts w:eastAsia="Calibri"/>
                <w:color w:val="000000"/>
              </w:rPr>
              <w:t>Per capita protein consumption (kg/person/year)</w:t>
            </w:r>
          </w:p>
        </w:tc>
        <w:tc>
          <w:tcPr>
            <w:tcW w:w="709" w:type="dxa"/>
            <w:shd w:val="clear" w:color="auto" w:fill="FFFFFF"/>
            <w:tcMar>
              <w:top w:w="0" w:type="dxa"/>
              <w:left w:w="85" w:type="dxa"/>
              <w:bottom w:w="0" w:type="dxa"/>
              <w:right w:w="85" w:type="dxa"/>
            </w:tcMar>
          </w:tcPr>
          <w:p w14:paraId="0BB5735B" w14:textId="77777777" w:rsidR="00BC0FD7" w:rsidRPr="001D5327" w:rsidRDefault="00BC0FD7" w:rsidP="009B2807">
            <w:pPr>
              <w:pStyle w:val="TableText"/>
              <w:spacing w:before="40" w:after="40"/>
              <w:jc w:val="right"/>
            </w:pPr>
            <w:r w:rsidRPr="001D5327">
              <w:rPr>
                <w:rFonts w:eastAsia="Calibri"/>
                <w:color w:val="000000"/>
              </w:rPr>
              <w:t>36.135</w:t>
            </w:r>
          </w:p>
        </w:tc>
        <w:tc>
          <w:tcPr>
            <w:tcW w:w="1559" w:type="dxa"/>
            <w:shd w:val="clear" w:color="auto" w:fill="FFFFFF"/>
            <w:tcMar>
              <w:top w:w="0" w:type="dxa"/>
              <w:left w:w="85" w:type="dxa"/>
              <w:bottom w:w="0" w:type="dxa"/>
              <w:right w:w="85" w:type="dxa"/>
            </w:tcMar>
          </w:tcPr>
          <w:p w14:paraId="4B17112C" w14:textId="77777777" w:rsidR="00BC0FD7" w:rsidRPr="001D5327" w:rsidRDefault="00BC0FD7" w:rsidP="009B2807">
            <w:pPr>
              <w:pStyle w:val="TableText"/>
              <w:spacing w:before="40" w:after="40"/>
            </w:pPr>
            <w:r w:rsidRPr="001D5327">
              <w:rPr>
                <w:rFonts w:eastAsia="Calibri"/>
                <w:color w:val="000000"/>
              </w:rPr>
              <w:t>New Zealand specific</w:t>
            </w:r>
          </w:p>
        </w:tc>
        <w:tc>
          <w:tcPr>
            <w:tcW w:w="1978" w:type="dxa"/>
            <w:shd w:val="clear" w:color="auto" w:fill="FFFFFF"/>
            <w:tcMar>
              <w:top w:w="0" w:type="dxa"/>
              <w:left w:w="85" w:type="dxa"/>
              <w:bottom w:w="0" w:type="dxa"/>
              <w:right w:w="85" w:type="dxa"/>
            </w:tcMar>
          </w:tcPr>
          <w:p w14:paraId="4EFA97C8" w14:textId="77777777" w:rsidR="00BC0FD7" w:rsidRPr="001D5327" w:rsidRDefault="00BC0FD7" w:rsidP="009B2807">
            <w:pPr>
              <w:pStyle w:val="TableText"/>
              <w:spacing w:before="40" w:after="40"/>
            </w:pPr>
            <w:r w:rsidRPr="001D5327">
              <w:rPr>
                <w:rFonts w:eastAsia="Calibri"/>
                <w:color w:val="000000"/>
              </w:rPr>
              <w:t>Beca Infrastructure Ltd (unpublished)</w:t>
            </w:r>
          </w:p>
        </w:tc>
      </w:tr>
      <w:tr w:rsidR="00BC0FD7" w:rsidRPr="001D5327" w14:paraId="7E5C88BF" w14:textId="77777777" w:rsidTr="00F16D27">
        <w:trPr>
          <w:trHeight w:val="283"/>
        </w:trPr>
        <w:tc>
          <w:tcPr>
            <w:tcW w:w="4248" w:type="dxa"/>
            <w:shd w:val="clear" w:color="auto" w:fill="FFFFFF"/>
            <w:tcMar>
              <w:top w:w="0" w:type="dxa"/>
              <w:left w:w="85" w:type="dxa"/>
              <w:bottom w:w="0" w:type="dxa"/>
              <w:right w:w="85" w:type="dxa"/>
            </w:tcMar>
          </w:tcPr>
          <w:p w14:paraId="006F25D3" w14:textId="77777777" w:rsidR="00BC0FD7" w:rsidRPr="001D5327" w:rsidRDefault="00BC0FD7" w:rsidP="009B2807">
            <w:pPr>
              <w:pStyle w:val="TableText"/>
              <w:spacing w:before="40" w:after="40"/>
            </w:pPr>
            <w:r w:rsidRPr="001D5327">
              <w:rPr>
                <w:rFonts w:eastAsia="Calibri"/>
                <w:color w:val="000000"/>
              </w:rPr>
              <w:t>Fraction of nitrogen in protein</w:t>
            </w:r>
          </w:p>
        </w:tc>
        <w:tc>
          <w:tcPr>
            <w:tcW w:w="709" w:type="dxa"/>
            <w:shd w:val="clear" w:color="auto" w:fill="FFFFFF"/>
            <w:tcMar>
              <w:top w:w="0" w:type="dxa"/>
              <w:left w:w="85" w:type="dxa"/>
              <w:bottom w:w="0" w:type="dxa"/>
              <w:right w:w="85" w:type="dxa"/>
            </w:tcMar>
          </w:tcPr>
          <w:p w14:paraId="430ABABC" w14:textId="77777777" w:rsidR="00BC0FD7" w:rsidRPr="001D5327" w:rsidRDefault="00BC0FD7" w:rsidP="009B2807">
            <w:pPr>
              <w:pStyle w:val="TableText"/>
              <w:spacing w:before="40" w:after="40"/>
              <w:jc w:val="right"/>
            </w:pPr>
            <w:r w:rsidRPr="001D5327">
              <w:rPr>
                <w:rFonts w:eastAsia="Calibri"/>
                <w:color w:val="000000"/>
              </w:rPr>
              <w:t>0.16</w:t>
            </w:r>
          </w:p>
        </w:tc>
        <w:tc>
          <w:tcPr>
            <w:tcW w:w="1559" w:type="dxa"/>
            <w:shd w:val="clear" w:color="auto" w:fill="FFFFFF"/>
            <w:tcMar>
              <w:top w:w="0" w:type="dxa"/>
              <w:left w:w="85" w:type="dxa"/>
              <w:bottom w:w="0" w:type="dxa"/>
              <w:right w:w="85" w:type="dxa"/>
            </w:tcMar>
          </w:tcPr>
          <w:p w14:paraId="0DAAA926" w14:textId="77777777" w:rsidR="00BC0FD7" w:rsidRPr="001D5327" w:rsidRDefault="00BC0FD7" w:rsidP="009B2807">
            <w:pPr>
              <w:pStyle w:val="TableText"/>
              <w:spacing w:before="40" w:after="40"/>
            </w:pPr>
            <w:r w:rsidRPr="001D5327">
              <w:rPr>
                <w:rFonts w:eastAsia="Calibri"/>
                <w:color w:val="000000"/>
              </w:rPr>
              <w:t>IPCC default</w:t>
            </w:r>
          </w:p>
        </w:tc>
        <w:tc>
          <w:tcPr>
            <w:tcW w:w="1978" w:type="dxa"/>
            <w:shd w:val="clear" w:color="auto" w:fill="FFFFFF"/>
            <w:tcMar>
              <w:top w:w="0" w:type="dxa"/>
              <w:left w:w="85" w:type="dxa"/>
              <w:bottom w:w="0" w:type="dxa"/>
              <w:right w:w="85" w:type="dxa"/>
            </w:tcMar>
          </w:tcPr>
          <w:p w14:paraId="6727D67E" w14:textId="77777777" w:rsidR="00BC0FD7" w:rsidRPr="001D5327" w:rsidRDefault="00BC0FD7" w:rsidP="009B2807">
            <w:pPr>
              <w:pStyle w:val="TableText"/>
              <w:spacing w:before="40" w:after="40"/>
            </w:pPr>
            <w:r w:rsidRPr="001D5327">
              <w:rPr>
                <w:rFonts w:eastAsia="Calibri"/>
                <w:color w:val="000000"/>
              </w:rPr>
              <w:t>IPCC (2006a)</w:t>
            </w:r>
          </w:p>
        </w:tc>
      </w:tr>
      <w:tr w:rsidR="00BC0FD7" w:rsidRPr="001D5327" w14:paraId="68AEA273" w14:textId="77777777" w:rsidTr="00F16D27">
        <w:trPr>
          <w:trHeight w:val="283"/>
        </w:trPr>
        <w:tc>
          <w:tcPr>
            <w:tcW w:w="4248" w:type="dxa"/>
            <w:shd w:val="clear" w:color="auto" w:fill="FFFFFF"/>
            <w:tcMar>
              <w:top w:w="0" w:type="dxa"/>
              <w:left w:w="85" w:type="dxa"/>
              <w:bottom w:w="0" w:type="dxa"/>
              <w:right w:w="85" w:type="dxa"/>
            </w:tcMar>
          </w:tcPr>
          <w:p w14:paraId="3EF6F395" w14:textId="77777777" w:rsidR="00BC0FD7" w:rsidRPr="001D5327" w:rsidRDefault="00BC0FD7" w:rsidP="009B2807">
            <w:pPr>
              <w:pStyle w:val="TableText"/>
              <w:spacing w:before="40" w:after="40"/>
            </w:pPr>
            <w:r w:rsidRPr="001D5327">
              <w:rPr>
                <w:rFonts w:eastAsia="Calibri"/>
                <w:color w:val="000000"/>
              </w:rPr>
              <w:t>Fraction of non-consumed protein</w:t>
            </w:r>
          </w:p>
        </w:tc>
        <w:tc>
          <w:tcPr>
            <w:tcW w:w="709" w:type="dxa"/>
            <w:shd w:val="clear" w:color="auto" w:fill="FFFFFF"/>
            <w:tcMar>
              <w:top w:w="0" w:type="dxa"/>
              <w:left w:w="85" w:type="dxa"/>
              <w:bottom w:w="0" w:type="dxa"/>
              <w:right w:w="85" w:type="dxa"/>
            </w:tcMar>
          </w:tcPr>
          <w:p w14:paraId="22EB800F" w14:textId="77777777" w:rsidR="00BC0FD7" w:rsidRPr="001D5327" w:rsidRDefault="00BC0FD7" w:rsidP="009B2807">
            <w:pPr>
              <w:pStyle w:val="TableText"/>
              <w:spacing w:before="40" w:after="40"/>
              <w:jc w:val="right"/>
            </w:pPr>
            <w:r w:rsidRPr="001D5327">
              <w:rPr>
                <w:rFonts w:eastAsia="Calibri"/>
                <w:color w:val="000000"/>
              </w:rPr>
              <w:t>1.4</w:t>
            </w:r>
          </w:p>
        </w:tc>
        <w:tc>
          <w:tcPr>
            <w:tcW w:w="1559" w:type="dxa"/>
            <w:shd w:val="clear" w:color="auto" w:fill="FFFFFF"/>
            <w:tcMar>
              <w:top w:w="0" w:type="dxa"/>
              <w:left w:w="85" w:type="dxa"/>
              <w:bottom w:w="0" w:type="dxa"/>
              <w:right w:w="85" w:type="dxa"/>
            </w:tcMar>
          </w:tcPr>
          <w:p w14:paraId="3F9C8CA0" w14:textId="77777777" w:rsidR="00BC0FD7" w:rsidRPr="001D5327" w:rsidRDefault="00BC0FD7" w:rsidP="009B2807">
            <w:pPr>
              <w:pStyle w:val="TableText"/>
              <w:spacing w:before="40" w:after="40"/>
            </w:pPr>
            <w:r w:rsidRPr="001D5327">
              <w:rPr>
                <w:rFonts w:eastAsia="Calibri"/>
                <w:color w:val="000000"/>
              </w:rPr>
              <w:t>IPCC default</w:t>
            </w:r>
          </w:p>
        </w:tc>
        <w:tc>
          <w:tcPr>
            <w:tcW w:w="1978" w:type="dxa"/>
            <w:shd w:val="clear" w:color="auto" w:fill="FFFFFF"/>
            <w:tcMar>
              <w:top w:w="0" w:type="dxa"/>
              <w:left w:w="85" w:type="dxa"/>
              <w:bottom w:w="0" w:type="dxa"/>
              <w:right w:w="85" w:type="dxa"/>
            </w:tcMar>
          </w:tcPr>
          <w:p w14:paraId="73CBB368" w14:textId="77777777" w:rsidR="00BC0FD7" w:rsidRPr="001D5327" w:rsidRDefault="00BC0FD7" w:rsidP="009B2807">
            <w:pPr>
              <w:pStyle w:val="TableText"/>
              <w:spacing w:before="40" w:after="40"/>
            </w:pPr>
            <w:r w:rsidRPr="001D5327">
              <w:rPr>
                <w:rFonts w:eastAsia="Calibri"/>
                <w:color w:val="000000"/>
              </w:rPr>
              <w:t>IPCC (2006a)</w:t>
            </w:r>
          </w:p>
        </w:tc>
      </w:tr>
      <w:tr w:rsidR="00BC0FD7" w:rsidRPr="001D5327" w14:paraId="56C04E6B" w14:textId="77777777" w:rsidTr="00F16D27">
        <w:trPr>
          <w:trHeight w:val="283"/>
        </w:trPr>
        <w:tc>
          <w:tcPr>
            <w:tcW w:w="4248" w:type="dxa"/>
            <w:shd w:val="clear" w:color="auto" w:fill="FFFFFF"/>
            <w:tcMar>
              <w:top w:w="0" w:type="dxa"/>
              <w:left w:w="85" w:type="dxa"/>
              <w:bottom w:w="0" w:type="dxa"/>
              <w:right w:w="85" w:type="dxa"/>
            </w:tcMar>
          </w:tcPr>
          <w:p w14:paraId="0E9B17C8" w14:textId="77777777" w:rsidR="00BC0FD7" w:rsidRPr="001D5327" w:rsidRDefault="00BC0FD7" w:rsidP="009B2807">
            <w:pPr>
              <w:pStyle w:val="TableText"/>
              <w:spacing w:before="40" w:after="40"/>
            </w:pPr>
            <w:r w:rsidRPr="001D5327">
              <w:rPr>
                <w:rFonts w:eastAsia="Calibri"/>
                <w:color w:val="000000"/>
              </w:rPr>
              <w:t>Fraction of industrial and commercial co</w:t>
            </w:r>
            <w:r w:rsidRPr="001D5327">
              <w:rPr>
                <w:rFonts w:ascii="Cambria Math" w:eastAsia="Calibri" w:hAnsi="Cambria Math" w:cs="Cambria Math"/>
                <w:color w:val="000000"/>
              </w:rPr>
              <w:t>‑</w:t>
            </w:r>
            <w:r w:rsidRPr="001D5327">
              <w:rPr>
                <w:rFonts w:eastAsia="Calibri"/>
                <w:color w:val="000000"/>
              </w:rPr>
              <w:t>discharged protein</w:t>
            </w:r>
          </w:p>
        </w:tc>
        <w:tc>
          <w:tcPr>
            <w:tcW w:w="709" w:type="dxa"/>
            <w:shd w:val="clear" w:color="auto" w:fill="FFFFFF"/>
            <w:tcMar>
              <w:top w:w="0" w:type="dxa"/>
              <w:left w:w="85" w:type="dxa"/>
              <w:bottom w:w="0" w:type="dxa"/>
              <w:right w:w="85" w:type="dxa"/>
            </w:tcMar>
          </w:tcPr>
          <w:p w14:paraId="6EEC0CC0" w14:textId="77777777" w:rsidR="00BC0FD7" w:rsidRPr="001D5327" w:rsidRDefault="00BC0FD7" w:rsidP="009B2807">
            <w:pPr>
              <w:pStyle w:val="TableText"/>
              <w:spacing w:before="40" w:after="40"/>
              <w:jc w:val="right"/>
            </w:pPr>
            <w:r w:rsidRPr="001D5327">
              <w:rPr>
                <w:rFonts w:eastAsia="Calibri"/>
                <w:color w:val="000000"/>
              </w:rPr>
              <w:t>1.25</w:t>
            </w:r>
          </w:p>
        </w:tc>
        <w:tc>
          <w:tcPr>
            <w:tcW w:w="1559" w:type="dxa"/>
            <w:shd w:val="clear" w:color="auto" w:fill="FFFFFF"/>
            <w:tcMar>
              <w:top w:w="0" w:type="dxa"/>
              <w:left w:w="85" w:type="dxa"/>
              <w:bottom w:w="0" w:type="dxa"/>
              <w:right w:w="85" w:type="dxa"/>
            </w:tcMar>
          </w:tcPr>
          <w:p w14:paraId="70B20B52" w14:textId="77777777" w:rsidR="00BC0FD7" w:rsidRPr="001D5327" w:rsidRDefault="00BC0FD7" w:rsidP="009B2807">
            <w:pPr>
              <w:pStyle w:val="TableText"/>
              <w:spacing w:before="40" w:after="40"/>
            </w:pPr>
            <w:r w:rsidRPr="001D5327">
              <w:rPr>
                <w:rFonts w:eastAsia="Calibri"/>
                <w:color w:val="000000"/>
              </w:rPr>
              <w:t>IPCC default</w:t>
            </w:r>
          </w:p>
        </w:tc>
        <w:tc>
          <w:tcPr>
            <w:tcW w:w="1978" w:type="dxa"/>
            <w:shd w:val="clear" w:color="auto" w:fill="FFFFFF"/>
            <w:tcMar>
              <w:top w:w="0" w:type="dxa"/>
              <w:left w:w="85" w:type="dxa"/>
              <w:bottom w:w="0" w:type="dxa"/>
              <w:right w:w="85" w:type="dxa"/>
            </w:tcMar>
          </w:tcPr>
          <w:p w14:paraId="79694671" w14:textId="77777777" w:rsidR="00BC0FD7" w:rsidRPr="001D5327" w:rsidRDefault="00BC0FD7" w:rsidP="009B2807">
            <w:pPr>
              <w:pStyle w:val="TableText"/>
              <w:spacing w:before="40" w:after="40"/>
            </w:pPr>
            <w:r w:rsidRPr="001D5327">
              <w:rPr>
                <w:rFonts w:eastAsia="Calibri"/>
                <w:color w:val="000000"/>
              </w:rPr>
              <w:t>IPCC (2006a)</w:t>
            </w:r>
          </w:p>
        </w:tc>
      </w:tr>
      <w:tr w:rsidR="00BC0FD7" w:rsidRPr="001D5327" w14:paraId="5CA51E13" w14:textId="77777777" w:rsidTr="00F16D27">
        <w:trPr>
          <w:trHeight w:val="283"/>
        </w:trPr>
        <w:tc>
          <w:tcPr>
            <w:tcW w:w="4248" w:type="dxa"/>
            <w:shd w:val="clear" w:color="auto" w:fill="FFFFFF"/>
            <w:tcMar>
              <w:top w:w="0" w:type="dxa"/>
              <w:left w:w="85" w:type="dxa"/>
              <w:bottom w:w="0" w:type="dxa"/>
              <w:right w:w="85" w:type="dxa"/>
            </w:tcMar>
          </w:tcPr>
          <w:p w14:paraId="2A8D31F8" w14:textId="77777777" w:rsidR="00BC0FD7" w:rsidRPr="001D5327" w:rsidRDefault="00BC0FD7" w:rsidP="009B2807">
            <w:pPr>
              <w:pStyle w:val="TableText"/>
              <w:spacing w:before="40" w:after="40"/>
            </w:pPr>
            <w:r w:rsidRPr="001D5327">
              <w:rPr>
                <w:rFonts w:eastAsia="Calibri"/>
                <w:color w:val="000000"/>
              </w:rPr>
              <w:t>Nitrogen removed with sludge (kg)</w:t>
            </w:r>
          </w:p>
        </w:tc>
        <w:tc>
          <w:tcPr>
            <w:tcW w:w="709" w:type="dxa"/>
            <w:shd w:val="clear" w:color="auto" w:fill="FFFFFF"/>
            <w:tcMar>
              <w:top w:w="0" w:type="dxa"/>
              <w:left w:w="85" w:type="dxa"/>
              <w:bottom w:w="0" w:type="dxa"/>
              <w:right w:w="85" w:type="dxa"/>
            </w:tcMar>
          </w:tcPr>
          <w:p w14:paraId="05C2BB6F" w14:textId="77777777" w:rsidR="00BC0FD7" w:rsidRPr="001D5327" w:rsidRDefault="00BC0FD7" w:rsidP="009B2807">
            <w:pPr>
              <w:pStyle w:val="TableText"/>
              <w:spacing w:before="40" w:after="40"/>
              <w:jc w:val="right"/>
            </w:pPr>
            <w:r w:rsidRPr="001D5327">
              <w:rPr>
                <w:rFonts w:eastAsia="Calibri"/>
                <w:color w:val="000000"/>
              </w:rPr>
              <w:t>0</w:t>
            </w:r>
          </w:p>
        </w:tc>
        <w:tc>
          <w:tcPr>
            <w:tcW w:w="1559" w:type="dxa"/>
            <w:shd w:val="clear" w:color="auto" w:fill="FFFFFF"/>
            <w:tcMar>
              <w:top w:w="0" w:type="dxa"/>
              <w:left w:w="85" w:type="dxa"/>
              <w:bottom w:w="0" w:type="dxa"/>
              <w:right w:w="85" w:type="dxa"/>
            </w:tcMar>
          </w:tcPr>
          <w:p w14:paraId="1A9D379D" w14:textId="77777777" w:rsidR="00BC0FD7" w:rsidRPr="001D5327" w:rsidRDefault="00BC0FD7" w:rsidP="009B2807">
            <w:pPr>
              <w:pStyle w:val="TableText"/>
              <w:spacing w:before="40" w:after="40"/>
            </w:pPr>
            <w:r w:rsidRPr="001D5327">
              <w:rPr>
                <w:rFonts w:eastAsia="Calibri"/>
                <w:color w:val="000000"/>
              </w:rPr>
              <w:t>IPCC default</w:t>
            </w:r>
          </w:p>
        </w:tc>
        <w:tc>
          <w:tcPr>
            <w:tcW w:w="1978" w:type="dxa"/>
            <w:shd w:val="clear" w:color="auto" w:fill="FFFFFF"/>
            <w:tcMar>
              <w:top w:w="0" w:type="dxa"/>
              <w:left w:w="85" w:type="dxa"/>
              <w:bottom w:w="0" w:type="dxa"/>
              <w:right w:w="85" w:type="dxa"/>
            </w:tcMar>
          </w:tcPr>
          <w:p w14:paraId="1C6B54E9" w14:textId="77777777" w:rsidR="00BC0FD7" w:rsidRPr="001D5327" w:rsidRDefault="00BC0FD7" w:rsidP="009B2807">
            <w:pPr>
              <w:pStyle w:val="TableText"/>
              <w:spacing w:before="40" w:after="40"/>
            </w:pPr>
            <w:r w:rsidRPr="001D5327">
              <w:rPr>
                <w:rFonts w:eastAsia="Calibri"/>
                <w:color w:val="000000"/>
              </w:rPr>
              <w:t>IPCC (2006a)</w:t>
            </w:r>
          </w:p>
        </w:tc>
      </w:tr>
      <w:tr w:rsidR="00BC0FD7" w:rsidRPr="001D5327" w14:paraId="31CB32C2" w14:textId="77777777" w:rsidTr="00F16D27">
        <w:trPr>
          <w:trHeight w:val="283"/>
        </w:trPr>
        <w:tc>
          <w:tcPr>
            <w:tcW w:w="4248" w:type="dxa"/>
            <w:shd w:val="clear" w:color="auto" w:fill="FFFFFF"/>
            <w:tcMar>
              <w:top w:w="0" w:type="dxa"/>
              <w:left w:w="85" w:type="dxa"/>
              <w:bottom w:w="0" w:type="dxa"/>
              <w:right w:w="85" w:type="dxa"/>
            </w:tcMar>
          </w:tcPr>
          <w:p w14:paraId="457F97EB" w14:textId="77777777" w:rsidR="00BC0FD7" w:rsidRPr="001D5327" w:rsidRDefault="00BC0FD7" w:rsidP="009B2807">
            <w:pPr>
              <w:pStyle w:val="TableText"/>
              <w:spacing w:before="40" w:after="40"/>
            </w:pPr>
            <w:r w:rsidRPr="001D5327">
              <w:rPr>
                <w:rFonts w:eastAsia="Calibri"/>
                <w:color w:val="000000"/>
              </w:rPr>
              <w:t>Emission factor</w:t>
            </w:r>
          </w:p>
        </w:tc>
        <w:tc>
          <w:tcPr>
            <w:tcW w:w="709" w:type="dxa"/>
            <w:shd w:val="clear" w:color="auto" w:fill="FFFFFF"/>
            <w:tcMar>
              <w:top w:w="0" w:type="dxa"/>
              <w:left w:w="85" w:type="dxa"/>
              <w:bottom w:w="0" w:type="dxa"/>
              <w:right w:w="85" w:type="dxa"/>
            </w:tcMar>
          </w:tcPr>
          <w:p w14:paraId="4AF3E41E" w14:textId="77777777" w:rsidR="00BC0FD7" w:rsidRPr="001D5327" w:rsidRDefault="00BC0FD7" w:rsidP="009B2807">
            <w:pPr>
              <w:pStyle w:val="TableText"/>
              <w:spacing w:before="40" w:after="40"/>
              <w:jc w:val="right"/>
            </w:pPr>
            <w:r w:rsidRPr="001D5327">
              <w:rPr>
                <w:rFonts w:eastAsia="Calibri"/>
                <w:color w:val="000000"/>
              </w:rPr>
              <w:t>0.005</w:t>
            </w:r>
          </w:p>
        </w:tc>
        <w:tc>
          <w:tcPr>
            <w:tcW w:w="1559" w:type="dxa"/>
            <w:shd w:val="clear" w:color="auto" w:fill="FFFFFF"/>
            <w:tcMar>
              <w:top w:w="0" w:type="dxa"/>
              <w:left w:w="85" w:type="dxa"/>
              <w:bottom w:w="0" w:type="dxa"/>
              <w:right w:w="85" w:type="dxa"/>
            </w:tcMar>
          </w:tcPr>
          <w:p w14:paraId="09833343" w14:textId="77777777" w:rsidR="00BC0FD7" w:rsidRPr="001D5327" w:rsidRDefault="00BC0FD7" w:rsidP="009B2807">
            <w:pPr>
              <w:pStyle w:val="TableText"/>
              <w:spacing w:before="40" w:after="40"/>
            </w:pPr>
            <w:r w:rsidRPr="001D5327">
              <w:rPr>
                <w:rFonts w:eastAsia="Calibri"/>
                <w:color w:val="000000"/>
              </w:rPr>
              <w:t>IPCC default</w:t>
            </w:r>
          </w:p>
        </w:tc>
        <w:tc>
          <w:tcPr>
            <w:tcW w:w="1978" w:type="dxa"/>
            <w:shd w:val="clear" w:color="auto" w:fill="FFFFFF"/>
            <w:tcMar>
              <w:top w:w="0" w:type="dxa"/>
              <w:left w:w="85" w:type="dxa"/>
              <w:bottom w:w="0" w:type="dxa"/>
              <w:right w:w="85" w:type="dxa"/>
            </w:tcMar>
          </w:tcPr>
          <w:p w14:paraId="09523516" w14:textId="77777777" w:rsidR="00BC0FD7" w:rsidRPr="001D5327" w:rsidRDefault="00BC0FD7" w:rsidP="009B2807">
            <w:pPr>
              <w:pStyle w:val="TableText"/>
              <w:spacing w:before="40" w:after="40"/>
            </w:pPr>
            <w:r w:rsidRPr="001D5327">
              <w:rPr>
                <w:rFonts w:eastAsia="Calibri"/>
                <w:color w:val="000000"/>
              </w:rPr>
              <w:t>IPCC (2006a)</w:t>
            </w:r>
          </w:p>
        </w:tc>
      </w:tr>
      <w:tr w:rsidR="00BC0FD7" w:rsidRPr="001D5327" w14:paraId="4254F039" w14:textId="77777777" w:rsidTr="00F16D27">
        <w:trPr>
          <w:trHeight w:val="283"/>
        </w:trPr>
        <w:tc>
          <w:tcPr>
            <w:tcW w:w="4248" w:type="dxa"/>
            <w:shd w:val="clear" w:color="auto" w:fill="FFFFFF"/>
            <w:tcMar>
              <w:top w:w="0" w:type="dxa"/>
              <w:left w:w="85" w:type="dxa"/>
              <w:bottom w:w="0" w:type="dxa"/>
              <w:right w:w="85" w:type="dxa"/>
            </w:tcMar>
          </w:tcPr>
          <w:p w14:paraId="5B6704EE" w14:textId="77777777" w:rsidR="00BC0FD7" w:rsidRPr="001D5327" w:rsidRDefault="00BC0FD7" w:rsidP="009B2807">
            <w:pPr>
              <w:pStyle w:val="TableText"/>
              <w:spacing w:before="40" w:after="40"/>
            </w:pPr>
            <w:r w:rsidRPr="001D5327">
              <w:rPr>
                <w:rFonts w:eastAsia="Calibri"/>
                <w:color w:val="000000"/>
              </w:rPr>
              <w:t>Direct N₂O emissions from wastewater treatment plants</w:t>
            </w:r>
          </w:p>
        </w:tc>
        <w:tc>
          <w:tcPr>
            <w:tcW w:w="709" w:type="dxa"/>
            <w:shd w:val="clear" w:color="auto" w:fill="FFFFFF"/>
            <w:tcMar>
              <w:top w:w="0" w:type="dxa"/>
              <w:left w:w="85" w:type="dxa"/>
              <w:bottom w:w="0" w:type="dxa"/>
              <w:right w:w="85" w:type="dxa"/>
            </w:tcMar>
          </w:tcPr>
          <w:p w14:paraId="1A35111B" w14:textId="77777777" w:rsidR="00BC0FD7" w:rsidRPr="001D5327" w:rsidRDefault="00BC0FD7" w:rsidP="009B2807">
            <w:pPr>
              <w:pStyle w:val="TableText"/>
              <w:spacing w:before="40" w:after="40"/>
              <w:jc w:val="right"/>
            </w:pPr>
            <w:r w:rsidRPr="001D5327">
              <w:rPr>
                <w:rFonts w:eastAsia="Calibri"/>
                <w:color w:val="000000"/>
              </w:rPr>
              <w:t>0</w:t>
            </w:r>
          </w:p>
        </w:tc>
        <w:tc>
          <w:tcPr>
            <w:tcW w:w="1559" w:type="dxa"/>
            <w:shd w:val="clear" w:color="auto" w:fill="FFFFFF"/>
            <w:tcMar>
              <w:top w:w="0" w:type="dxa"/>
              <w:left w:w="85" w:type="dxa"/>
              <w:bottom w:w="0" w:type="dxa"/>
              <w:right w:w="85" w:type="dxa"/>
            </w:tcMar>
          </w:tcPr>
          <w:p w14:paraId="00DDE8D8" w14:textId="77777777" w:rsidR="00BC0FD7" w:rsidRPr="001D5327" w:rsidRDefault="00BC0FD7" w:rsidP="009B2807">
            <w:pPr>
              <w:pStyle w:val="TableText"/>
              <w:spacing w:before="40" w:after="40"/>
            </w:pPr>
            <w:r w:rsidRPr="001D5327">
              <w:rPr>
                <w:rFonts w:eastAsia="Calibri"/>
                <w:color w:val="000000"/>
              </w:rPr>
              <w:t>IPCC default</w:t>
            </w:r>
          </w:p>
        </w:tc>
        <w:tc>
          <w:tcPr>
            <w:tcW w:w="1978" w:type="dxa"/>
            <w:shd w:val="clear" w:color="auto" w:fill="FFFFFF"/>
            <w:tcMar>
              <w:top w:w="0" w:type="dxa"/>
              <w:left w:w="85" w:type="dxa"/>
              <w:bottom w:w="0" w:type="dxa"/>
              <w:right w:w="85" w:type="dxa"/>
            </w:tcMar>
          </w:tcPr>
          <w:p w14:paraId="5C3A4424" w14:textId="77777777" w:rsidR="00BC0FD7" w:rsidRPr="001D5327" w:rsidRDefault="00BC0FD7" w:rsidP="009B2807">
            <w:pPr>
              <w:pStyle w:val="TableText"/>
              <w:spacing w:before="40" w:after="40"/>
            </w:pPr>
            <w:r w:rsidRPr="001D5327">
              <w:rPr>
                <w:rFonts w:eastAsia="Calibri"/>
                <w:color w:val="000000"/>
              </w:rPr>
              <w:t>IPCC (2006a)</w:t>
            </w:r>
          </w:p>
        </w:tc>
      </w:tr>
    </w:tbl>
    <w:p w14:paraId="4F908329" w14:textId="77777777" w:rsidR="00BC0FD7" w:rsidRPr="001D5327" w:rsidRDefault="00BC0FD7" w:rsidP="00BC0FD7">
      <w:pPr>
        <w:pStyle w:val="BodyText"/>
        <w:spacing w:before="240"/>
      </w:pPr>
      <w:r w:rsidRPr="001D5327">
        <w:t>A value of 36.135 kilograms of protein per person per year is used. This figure was the maximum value reported by New Zealand to the Food and Agriculture Organization of the United Nations.</w:t>
      </w:r>
    </w:p>
    <w:p w14:paraId="7604AE88" w14:textId="77777777" w:rsidR="00BC0FD7" w:rsidRPr="001D5327" w:rsidRDefault="00BC0FD7" w:rsidP="00BC0FD7">
      <w:pPr>
        <w:pStyle w:val="Heading6"/>
      </w:pPr>
      <w:bookmarkStart w:id="2889" w:name="recovery-1"/>
      <w:r w:rsidRPr="001D5327">
        <w:t>Recovery</w:t>
      </w:r>
    </w:p>
    <w:p w14:paraId="2CA8942A" w14:textId="77777777" w:rsidR="00BC0FD7" w:rsidRPr="001D5327" w:rsidRDefault="00BC0FD7" w:rsidP="00BC0FD7">
      <w:pPr>
        <w:pStyle w:val="BodyText"/>
      </w:pPr>
      <w:r w:rsidRPr="001D5327">
        <w:t>There is no recovery of emissions reported for this source.</w:t>
      </w:r>
    </w:p>
    <w:p w14:paraId="5A48D35E" w14:textId="77777777" w:rsidR="00BC0FD7" w:rsidRPr="001D5327" w:rsidRDefault="00BC0FD7" w:rsidP="00BC0FD7">
      <w:pPr>
        <w:pStyle w:val="Heading4"/>
      </w:pPr>
      <w:bookmarkStart w:id="2890" w:name="industrial-wastewater-5.d.2-2"/>
      <w:bookmarkEnd w:id="2887"/>
      <w:bookmarkEnd w:id="2889"/>
      <w:r w:rsidRPr="001D5327">
        <w:t>Industrial wastewater (5.D.2)</w:t>
      </w:r>
    </w:p>
    <w:p w14:paraId="36E19B42" w14:textId="77777777" w:rsidR="00BC0FD7" w:rsidRPr="001D5327" w:rsidRDefault="00BC0FD7" w:rsidP="00BC0FD7">
      <w:pPr>
        <w:pStyle w:val="Heading5"/>
      </w:pPr>
      <w:bookmarkStart w:id="2891" w:name="Xb027ccc27a0528429fadaa4c67f957225579be4"/>
      <w:r w:rsidRPr="001D5327">
        <w:t>Methane emissions from industrial wastewater treatment – Meat industry</w:t>
      </w:r>
    </w:p>
    <w:p w14:paraId="080E1237" w14:textId="77777777" w:rsidR="00BC0FD7" w:rsidRPr="001D5327" w:rsidRDefault="00BC0FD7" w:rsidP="00BC0FD7">
      <w:pPr>
        <w:pStyle w:val="BodyText"/>
      </w:pPr>
      <w:r w:rsidRPr="001D5327">
        <w:t>Table 7.5.8 summarises the parameter values applied for estimating CH</w:t>
      </w:r>
      <w:r w:rsidRPr="001D5327">
        <w:rPr>
          <w:vertAlign w:val="subscript"/>
        </w:rPr>
        <w:t>4</w:t>
      </w:r>
      <w:r w:rsidRPr="001D5327">
        <w:t xml:space="preserve"> emissions from wastewater treatment by the meat industry.</w:t>
      </w:r>
    </w:p>
    <w:p w14:paraId="1EDD764A" w14:textId="374541BB" w:rsidR="00BC0FD7" w:rsidRPr="001D5327" w:rsidRDefault="00BC0FD7" w:rsidP="00BC0FD7">
      <w:pPr>
        <w:pStyle w:val="Table"/>
      </w:pPr>
      <w:bookmarkStart w:id="2892" w:name="_Toc194241823"/>
      <w:r w:rsidRPr="001D5327">
        <w:t xml:space="preserve">Table 7.5.8 </w:t>
      </w:r>
      <w:r w:rsidRPr="001D5327">
        <w:tab/>
        <w:t>Parameter values applied by New Zealand for estimating methane emissions from wastewater</w:t>
      </w:r>
      <w:r w:rsidR="009B2807" w:rsidRPr="001D5327">
        <w:t> </w:t>
      </w:r>
      <w:r w:rsidRPr="001D5327">
        <w:t>treatment by the meat industry</w:t>
      </w:r>
      <w:bookmarkEnd w:id="2892"/>
    </w:p>
    <w:tbl>
      <w:tblPr>
        <w:tblW w:w="5000" w:type="pct"/>
        <w:tblBorders>
          <w:top w:val="single" w:sz="4" w:space="0" w:color="1B556B"/>
          <w:bottom w:val="single" w:sz="4" w:space="0" w:color="1B556B"/>
          <w:insideH w:val="single" w:sz="4" w:space="0" w:color="1B556B"/>
        </w:tblBorders>
        <w:tblLook w:val="0420" w:firstRow="1" w:lastRow="0" w:firstColumn="0" w:lastColumn="0" w:noHBand="0" w:noVBand="1"/>
      </w:tblPr>
      <w:tblGrid>
        <w:gridCol w:w="2833"/>
        <w:gridCol w:w="1703"/>
        <w:gridCol w:w="1582"/>
        <w:gridCol w:w="2387"/>
      </w:tblGrid>
      <w:tr w:rsidR="00BC0FD7" w:rsidRPr="001D5327" w14:paraId="320723C7" w14:textId="77777777" w:rsidTr="00F16D27">
        <w:trPr>
          <w:tblHeader/>
        </w:trPr>
        <w:tc>
          <w:tcPr>
            <w:tcW w:w="1666" w:type="pct"/>
            <w:shd w:val="clear" w:color="auto" w:fill="1B556B"/>
            <w:tcMar>
              <w:top w:w="0" w:type="dxa"/>
              <w:left w:w="85" w:type="dxa"/>
              <w:bottom w:w="0" w:type="dxa"/>
              <w:right w:w="85" w:type="dxa"/>
            </w:tcMar>
          </w:tcPr>
          <w:p w14:paraId="310FB21A"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Parameter</w:t>
            </w:r>
          </w:p>
        </w:tc>
        <w:tc>
          <w:tcPr>
            <w:tcW w:w="1001" w:type="pct"/>
            <w:shd w:val="clear" w:color="auto" w:fill="1B556B"/>
            <w:tcMar>
              <w:top w:w="0" w:type="dxa"/>
              <w:left w:w="85" w:type="dxa"/>
              <w:bottom w:w="0" w:type="dxa"/>
              <w:right w:w="85" w:type="dxa"/>
            </w:tcMar>
          </w:tcPr>
          <w:p w14:paraId="42305248"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Value</w:t>
            </w:r>
          </w:p>
        </w:tc>
        <w:tc>
          <w:tcPr>
            <w:tcW w:w="930" w:type="pct"/>
            <w:shd w:val="clear" w:color="auto" w:fill="1B556B"/>
            <w:tcMar>
              <w:top w:w="0" w:type="dxa"/>
              <w:left w:w="85" w:type="dxa"/>
              <w:bottom w:w="0" w:type="dxa"/>
              <w:right w:w="85" w:type="dxa"/>
            </w:tcMar>
          </w:tcPr>
          <w:p w14:paraId="52D16EE5"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Source</w:t>
            </w:r>
          </w:p>
        </w:tc>
        <w:tc>
          <w:tcPr>
            <w:tcW w:w="0" w:type="auto"/>
            <w:shd w:val="clear" w:color="auto" w:fill="1B556B"/>
            <w:tcMar>
              <w:top w:w="0" w:type="dxa"/>
              <w:left w:w="85" w:type="dxa"/>
              <w:bottom w:w="0" w:type="dxa"/>
              <w:right w:w="85" w:type="dxa"/>
            </w:tcMar>
          </w:tcPr>
          <w:p w14:paraId="47981FC2"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Reference</w:t>
            </w:r>
          </w:p>
        </w:tc>
      </w:tr>
      <w:tr w:rsidR="00BC0FD7" w:rsidRPr="001D5327" w14:paraId="2151BF25" w14:textId="77777777" w:rsidTr="00F16D27">
        <w:trPr>
          <w:trHeight w:val="283"/>
        </w:trPr>
        <w:tc>
          <w:tcPr>
            <w:tcW w:w="1666" w:type="pct"/>
            <w:shd w:val="clear" w:color="auto" w:fill="FFFFFF"/>
            <w:tcMar>
              <w:top w:w="0" w:type="dxa"/>
              <w:left w:w="85" w:type="dxa"/>
              <w:bottom w:w="0" w:type="dxa"/>
              <w:right w:w="85" w:type="dxa"/>
            </w:tcMar>
          </w:tcPr>
          <w:p w14:paraId="56F45C03" w14:textId="77777777" w:rsidR="00BC0FD7" w:rsidRPr="001D5327" w:rsidRDefault="00BC0FD7" w:rsidP="00D11AC9">
            <w:pPr>
              <w:pStyle w:val="TableText"/>
              <w:spacing w:before="40" w:after="40"/>
            </w:pPr>
            <w:r w:rsidRPr="001D5327">
              <w:rPr>
                <w:rFonts w:eastAsia="Calibri"/>
                <w:color w:val="000000"/>
              </w:rPr>
              <w:t>Degradable organic component (kg COD/tonne of product)</w:t>
            </w:r>
          </w:p>
        </w:tc>
        <w:tc>
          <w:tcPr>
            <w:tcW w:w="1001" w:type="pct"/>
            <w:shd w:val="clear" w:color="auto" w:fill="FFFFFF"/>
            <w:tcMar>
              <w:top w:w="0" w:type="dxa"/>
              <w:left w:w="85" w:type="dxa"/>
              <w:bottom w:w="0" w:type="dxa"/>
              <w:right w:w="85" w:type="dxa"/>
            </w:tcMar>
          </w:tcPr>
          <w:p w14:paraId="777ACD4E" w14:textId="77777777" w:rsidR="00BC0FD7" w:rsidRPr="001D5327" w:rsidRDefault="00BC0FD7" w:rsidP="00D11AC9">
            <w:pPr>
              <w:pStyle w:val="TableText"/>
              <w:spacing w:before="40" w:after="40"/>
            </w:pPr>
            <w:r w:rsidRPr="001D5327">
              <w:rPr>
                <w:rFonts w:eastAsia="Calibri"/>
                <w:color w:val="000000"/>
              </w:rPr>
              <w:t>50</w:t>
            </w:r>
          </w:p>
        </w:tc>
        <w:tc>
          <w:tcPr>
            <w:tcW w:w="930" w:type="pct"/>
            <w:shd w:val="clear" w:color="auto" w:fill="FFFFFF"/>
            <w:tcMar>
              <w:top w:w="0" w:type="dxa"/>
              <w:left w:w="85" w:type="dxa"/>
              <w:bottom w:w="0" w:type="dxa"/>
              <w:right w:w="85" w:type="dxa"/>
            </w:tcMar>
          </w:tcPr>
          <w:p w14:paraId="3D2330F5" w14:textId="77777777" w:rsidR="00BC0FD7" w:rsidRPr="001D5327" w:rsidRDefault="00BC0FD7" w:rsidP="00D11AC9">
            <w:pPr>
              <w:pStyle w:val="TableText"/>
              <w:spacing w:before="40" w:after="40"/>
            </w:pPr>
            <w:r w:rsidRPr="001D5327">
              <w:rPr>
                <w:rFonts w:eastAsia="Calibri"/>
                <w:color w:val="000000"/>
              </w:rPr>
              <w:t>New Zealand specific</w:t>
            </w:r>
          </w:p>
        </w:tc>
        <w:tc>
          <w:tcPr>
            <w:tcW w:w="0" w:type="auto"/>
            <w:shd w:val="clear" w:color="auto" w:fill="FFFFFF"/>
            <w:tcMar>
              <w:top w:w="0" w:type="dxa"/>
              <w:left w:w="85" w:type="dxa"/>
              <w:bottom w:w="0" w:type="dxa"/>
              <w:right w:w="85" w:type="dxa"/>
            </w:tcMar>
          </w:tcPr>
          <w:p w14:paraId="0A19F828" w14:textId="77777777" w:rsidR="00BC0FD7" w:rsidRPr="001D5327" w:rsidRDefault="00BC0FD7" w:rsidP="00D11AC9">
            <w:pPr>
              <w:pStyle w:val="TableText"/>
              <w:spacing w:before="40" w:after="40"/>
            </w:pPr>
            <w:r w:rsidRPr="001D5327">
              <w:rPr>
                <w:rFonts w:eastAsia="Calibri"/>
                <w:color w:val="000000"/>
              </w:rPr>
              <w:t>SCS Wetherill Environmental (unpublished)</w:t>
            </w:r>
          </w:p>
        </w:tc>
      </w:tr>
      <w:tr w:rsidR="00BC0FD7" w:rsidRPr="001D5327" w14:paraId="13DD8B6D" w14:textId="77777777" w:rsidTr="00F16D27">
        <w:trPr>
          <w:trHeight w:val="283"/>
        </w:trPr>
        <w:tc>
          <w:tcPr>
            <w:tcW w:w="1666" w:type="pct"/>
            <w:shd w:val="clear" w:color="auto" w:fill="FFFFFF"/>
            <w:tcMar>
              <w:top w:w="0" w:type="dxa"/>
              <w:left w:w="85" w:type="dxa"/>
              <w:bottom w:w="0" w:type="dxa"/>
              <w:right w:w="85" w:type="dxa"/>
            </w:tcMar>
          </w:tcPr>
          <w:p w14:paraId="581EB326" w14:textId="77777777" w:rsidR="00BC0FD7" w:rsidRPr="001D5327" w:rsidRDefault="00BC0FD7" w:rsidP="00D11AC9">
            <w:pPr>
              <w:pStyle w:val="TableText"/>
              <w:spacing w:before="40" w:after="40"/>
            </w:pPr>
            <w:r w:rsidRPr="001D5327">
              <w:rPr>
                <w:rFonts w:eastAsia="Calibri"/>
                <w:color w:val="000000"/>
              </w:rPr>
              <w:t>Methane correction factor</w:t>
            </w:r>
          </w:p>
        </w:tc>
        <w:tc>
          <w:tcPr>
            <w:tcW w:w="1001" w:type="pct"/>
            <w:shd w:val="clear" w:color="auto" w:fill="FFFFFF"/>
            <w:tcMar>
              <w:top w:w="0" w:type="dxa"/>
              <w:left w:w="85" w:type="dxa"/>
              <w:bottom w:w="0" w:type="dxa"/>
              <w:right w:w="85" w:type="dxa"/>
            </w:tcMar>
          </w:tcPr>
          <w:p w14:paraId="2CCBA84D" w14:textId="77777777" w:rsidR="00BC0FD7" w:rsidRPr="001D5327" w:rsidRDefault="00BC0FD7" w:rsidP="00D11AC9">
            <w:pPr>
              <w:pStyle w:val="TableText"/>
              <w:spacing w:before="40" w:after="40"/>
            </w:pPr>
            <w:r w:rsidRPr="001D5327">
              <w:rPr>
                <w:rFonts w:eastAsia="Calibri"/>
                <w:color w:val="000000"/>
              </w:rPr>
              <w:t>Range of 0–0.55</w:t>
            </w:r>
          </w:p>
        </w:tc>
        <w:tc>
          <w:tcPr>
            <w:tcW w:w="930" w:type="pct"/>
            <w:shd w:val="clear" w:color="auto" w:fill="FFFFFF"/>
            <w:tcMar>
              <w:top w:w="0" w:type="dxa"/>
              <w:left w:w="85" w:type="dxa"/>
              <w:bottom w:w="0" w:type="dxa"/>
              <w:right w:w="85" w:type="dxa"/>
            </w:tcMar>
          </w:tcPr>
          <w:p w14:paraId="1C04503E" w14:textId="77777777" w:rsidR="00BC0FD7" w:rsidRPr="001D5327" w:rsidRDefault="00BC0FD7" w:rsidP="00D11AC9">
            <w:pPr>
              <w:pStyle w:val="TableText"/>
              <w:spacing w:before="40" w:after="40"/>
            </w:pPr>
            <w:r w:rsidRPr="001D5327">
              <w:rPr>
                <w:rFonts w:eastAsia="Calibri"/>
                <w:color w:val="000000"/>
              </w:rPr>
              <w:t>New Zealand specific</w:t>
            </w:r>
          </w:p>
        </w:tc>
        <w:tc>
          <w:tcPr>
            <w:tcW w:w="0" w:type="auto"/>
            <w:shd w:val="clear" w:color="auto" w:fill="FFFFFF"/>
            <w:tcMar>
              <w:top w:w="0" w:type="dxa"/>
              <w:left w:w="85" w:type="dxa"/>
              <w:bottom w:w="0" w:type="dxa"/>
              <w:right w:w="85" w:type="dxa"/>
            </w:tcMar>
          </w:tcPr>
          <w:p w14:paraId="6C870BD3" w14:textId="77777777" w:rsidR="00BC0FD7" w:rsidRPr="001D5327" w:rsidRDefault="00BC0FD7" w:rsidP="00D11AC9">
            <w:pPr>
              <w:pStyle w:val="TableText"/>
              <w:spacing w:before="40" w:after="40"/>
            </w:pPr>
            <w:r w:rsidRPr="001D5327">
              <w:rPr>
                <w:rFonts w:eastAsia="Calibri"/>
                <w:color w:val="000000"/>
              </w:rPr>
              <w:t>SCS Wetherill Environmental (unpublished)</w:t>
            </w:r>
          </w:p>
        </w:tc>
      </w:tr>
      <w:tr w:rsidR="00BC0FD7" w:rsidRPr="001D5327" w14:paraId="5BAA7949" w14:textId="77777777" w:rsidTr="00F16D27">
        <w:trPr>
          <w:trHeight w:val="283"/>
        </w:trPr>
        <w:tc>
          <w:tcPr>
            <w:tcW w:w="1666" w:type="pct"/>
            <w:shd w:val="clear" w:color="auto" w:fill="FFFFFF"/>
            <w:tcMar>
              <w:top w:w="0" w:type="dxa"/>
              <w:left w:w="85" w:type="dxa"/>
              <w:bottom w:w="0" w:type="dxa"/>
              <w:right w:w="85" w:type="dxa"/>
            </w:tcMar>
          </w:tcPr>
          <w:p w14:paraId="353A8C1F" w14:textId="77777777" w:rsidR="00BC0FD7" w:rsidRPr="001D5327" w:rsidRDefault="00BC0FD7" w:rsidP="00D11AC9">
            <w:pPr>
              <w:pStyle w:val="TableText"/>
              <w:spacing w:before="40" w:after="40"/>
            </w:pPr>
            <w:r w:rsidRPr="001D5327">
              <w:rPr>
                <w:rFonts w:eastAsia="Calibri"/>
                <w:color w:val="000000"/>
              </w:rPr>
              <w:t>Maximum methane-producing capacity (kg CH₄/kg COD)</w:t>
            </w:r>
          </w:p>
        </w:tc>
        <w:tc>
          <w:tcPr>
            <w:tcW w:w="1001" w:type="pct"/>
            <w:shd w:val="clear" w:color="auto" w:fill="FFFFFF"/>
            <w:tcMar>
              <w:top w:w="0" w:type="dxa"/>
              <w:left w:w="85" w:type="dxa"/>
              <w:bottom w:w="0" w:type="dxa"/>
              <w:right w:w="85" w:type="dxa"/>
            </w:tcMar>
          </w:tcPr>
          <w:p w14:paraId="221E4B98" w14:textId="77777777" w:rsidR="00BC0FD7" w:rsidRPr="001D5327" w:rsidRDefault="00BC0FD7" w:rsidP="00D11AC9">
            <w:pPr>
              <w:pStyle w:val="TableText"/>
              <w:spacing w:before="40" w:after="40"/>
            </w:pPr>
            <w:r w:rsidRPr="001D5327">
              <w:rPr>
                <w:rFonts w:eastAsia="Calibri"/>
                <w:color w:val="000000"/>
              </w:rPr>
              <w:t>0.25</w:t>
            </w:r>
          </w:p>
        </w:tc>
        <w:tc>
          <w:tcPr>
            <w:tcW w:w="930" w:type="pct"/>
            <w:shd w:val="clear" w:color="auto" w:fill="FFFFFF"/>
            <w:tcMar>
              <w:top w:w="0" w:type="dxa"/>
              <w:left w:w="85" w:type="dxa"/>
              <w:bottom w:w="0" w:type="dxa"/>
              <w:right w:w="85" w:type="dxa"/>
            </w:tcMar>
          </w:tcPr>
          <w:p w14:paraId="7F46C0E2" w14:textId="77777777" w:rsidR="00BC0FD7" w:rsidRPr="001D5327" w:rsidRDefault="00BC0FD7" w:rsidP="00D11AC9">
            <w:pPr>
              <w:pStyle w:val="TableText"/>
              <w:spacing w:before="40" w:after="40"/>
            </w:pPr>
            <w:r w:rsidRPr="001D5327">
              <w:rPr>
                <w:rFonts w:eastAsia="Calibri"/>
                <w:color w:val="000000"/>
              </w:rPr>
              <w:t>IPCC default</w:t>
            </w:r>
          </w:p>
        </w:tc>
        <w:tc>
          <w:tcPr>
            <w:tcW w:w="0" w:type="auto"/>
            <w:shd w:val="clear" w:color="auto" w:fill="FFFFFF"/>
            <w:tcMar>
              <w:top w:w="0" w:type="dxa"/>
              <w:left w:w="85" w:type="dxa"/>
              <w:bottom w:w="0" w:type="dxa"/>
              <w:right w:w="85" w:type="dxa"/>
            </w:tcMar>
          </w:tcPr>
          <w:p w14:paraId="5862A6EB" w14:textId="77777777" w:rsidR="00BC0FD7" w:rsidRPr="001D5327" w:rsidRDefault="00BC0FD7" w:rsidP="00D11AC9">
            <w:pPr>
              <w:pStyle w:val="TableText"/>
              <w:spacing w:before="40" w:after="40"/>
            </w:pPr>
            <w:r w:rsidRPr="001D5327">
              <w:rPr>
                <w:rFonts w:eastAsia="Calibri"/>
                <w:color w:val="000000"/>
              </w:rPr>
              <w:t>IPCC (2006a)</w:t>
            </w:r>
          </w:p>
        </w:tc>
      </w:tr>
      <w:tr w:rsidR="00BC0FD7" w:rsidRPr="001D5327" w14:paraId="2FB8B571" w14:textId="77777777" w:rsidTr="00F16D27">
        <w:trPr>
          <w:trHeight w:val="283"/>
        </w:trPr>
        <w:tc>
          <w:tcPr>
            <w:tcW w:w="1666" w:type="pct"/>
            <w:shd w:val="clear" w:color="auto" w:fill="FFFFFF"/>
            <w:tcMar>
              <w:top w:w="0" w:type="dxa"/>
              <w:left w:w="85" w:type="dxa"/>
              <w:bottom w:w="0" w:type="dxa"/>
              <w:right w:w="85" w:type="dxa"/>
            </w:tcMar>
          </w:tcPr>
          <w:p w14:paraId="35FBBF49" w14:textId="77777777" w:rsidR="00BC0FD7" w:rsidRPr="001D5327" w:rsidRDefault="00BC0FD7" w:rsidP="00D11AC9">
            <w:pPr>
              <w:pStyle w:val="TableText"/>
              <w:spacing w:before="40" w:after="40"/>
            </w:pPr>
            <w:r w:rsidRPr="001D5327">
              <w:rPr>
                <w:rFonts w:eastAsia="Calibri"/>
                <w:color w:val="000000"/>
              </w:rPr>
              <w:t>Overall emission factor</w:t>
            </w:r>
          </w:p>
        </w:tc>
        <w:tc>
          <w:tcPr>
            <w:tcW w:w="1001" w:type="pct"/>
            <w:shd w:val="clear" w:color="auto" w:fill="FFFFFF"/>
            <w:tcMar>
              <w:top w:w="0" w:type="dxa"/>
              <w:left w:w="85" w:type="dxa"/>
              <w:bottom w:w="0" w:type="dxa"/>
              <w:right w:w="85" w:type="dxa"/>
            </w:tcMar>
          </w:tcPr>
          <w:p w14:paraId="15E61E3A" w14:textId="77777777" w:rsidR="00BC0FD7" w:rsidRPr="001D5327" w:rsidRDefault="00BC0FD7" w:rsidP="00D11AC9">
            <w:pPr>
              <w:pStyle w:val="TableText"/>
              <w:spacing w:before="40" w:after="40"/>
            </w:pPr>
            <w:r w:rsidRPr="001D5327">
              <w:rPr>
                <w:rFonts w:eastAsia="Calibri"/>
                <w:color w:val="000000"/>
              </w:rPr>
              <w:t xml:space="preserve">0.036 (meat excluding poultry) </w:t>
            </w:r>
            <w:r w:rsidRPr="001D5327">
              <w:rPr>
                <w:rFonts w:eastAsia="Calibri"/>
                <w:color w:val="000000"/>
              </w:rPr>
              <w:br/>
              <w:t>0.0344 (poultry)</w:t>
            </w:r>
          </w:p>
        </w:tc>
        <w:tc>
          <w:tcPr>
            <w:tcW w:w="930" w:type="pct"/>
            <w:shd w:val="clear" w:color="auto" w:fill="FFFFFF"/>
            <w:tcMar>
              <w:top w:w="0" w:type="dxa"/>
              <w:left w:w="85" w:type="dxa"/>
              <w:bottom w:w="0" w:type="dxa"/>
              <w:right w:w="85" w:type="dxa"/>
            </w:tcMar>
          </w:tcPr>
          <w:p w14:paraId="38224E38" w14:textId="77777777" w:rsidR="00BC0FD7" w:rsidRPr="001D5327" w:rsidRDefault="00BC0FD7" w:rsidP="00D11AC9">
            <w:pPr>
              <w:pStyle w:val="TableText"/>
              <w:spacing w:before="40" w:after="40"/>
            </w:pPr>
            <w:r w:rsidRPr="001D5327">
              <w:rPr>
                <w:rFonts w:eastAsia="Calibri"/>
                <w:color w:val="000000"/>
              </w:rPr>
              <w:t>New Zealand specific</w:t>
            </w:r>
          </w:p>
        </w:tc>
        <w:tc>
          <w:tcPr>
            <w:tcW w:w="0" w:type="auto"/>
            <w:shd w:val="clear" w:color="auto" w:fill="FFFFFF"/>
            <w:tcMar>
              <w:top w:w="0" w:type="dxa"/>
              <w:left w:w="85" w:type="dxa"/>
              <w:bottom w:w="0" w:type="dxa"/>
              <w:right w:w="85" w:type="dxa"/>
            </w:tcMar>
          </w:tcPr>
          <w:p w14:paraId="171F8832" w14:textId="77777777" w:rsidR="00BC0FD7" w:rsidRPr="001D5327" w:rsidRDefault="00BC0FD7" w:rsidP="00D11AC9">
            <w:pPr>
              <w:pStyle w:val="TableText"/>
              <w:spacing w:before="40" w:after="40"/>
            </w:pPr>
            <w:r w:rsidRPr="001D5327">
              <w:rPr>
                <w:rFonts w:eastAsia="Calibri"/>
                <w:color w:val="000000"/>
              </w:rPr>
              <w:t>Cardno (unpublished)</w:t>
            </w:r>
          </w:p>
        </w:tc>
      </w:tr>
    </w:tbl>
    <w:p w14:paraId="5C156A45" w14:textId="77777777" w:rsidR="00BC0FD7" w:rsidRPr="001D5327" w:rsidRDefault="00BC0FD7" w:rsidP="00BC0FD7">
      <w:pPr>
        <w:pStyle w:val="Noteundertable"/>
      </w:pPr>
      <w:r w:rsidRPr="001D5327">
        <w:rPr>
          <w:b/>
          <w:bCs/>
        </w:rPr>
        <w:t>Note:</w:t>
      </w:r>
      <w:r w:rsidRPr="001D5327">
        <w:t xml:space="preserve"> COD = chemical oxygen demand.</w:t>
      </w:r>
    </w:p>
    <w:p w14:paraId="3C9AB813" w14:textId="77777777" w:rsidR="00BC0FD7" w:rsidRPr="001D5327" w:rsidRDefault="00BC0FD7" w:rsidP="00BC0FD7">
      <w:pPr>
        <w:pStyle w:val="Heading6"/>
      </w:pPr>
      <w:bookmarkStart w:id="2893" w:name="recovery-2"/>
      <w:r w:rsidRPr="001D5327">
        <w:t>Recovery</w:t>
      </w:r>
    </w:p>
    <w:p w14:paraId="16949708" w14:textId="77777777" w:rsidR="00BC0FD7" w:rsidRPr="001D5327" w:rsidRDefault="00BC0FD7" w:rsidP="00BC0FD7">
      <w:pPr>
        <w:pStyle w:val="BodyText"/>
      </w:pPr>
      <w:r w:rsidRPr="001D5327">
        <w:t>There is no recovery of emissions reported for this source.</w:t>
      </w:r>
    </w:p>
    <w:p w14:paraId="5D72D77C" w14:textId="77777777" w:rsidR="00BC0FD7" w:rsidRPr="001D5327" w:rsidRDefault="00BC0FD7" w:rsidP="00BC0FD7">
      <w:pPr>
        <w:pStyle w:val="Heading5"/>
      </w:pPr>
      <w:bookmarkStart w:id="2894" w:name="Xb0f87ab327284949166e160373d79028699348d"/>
      <w:bookmarkEnd w:id="2891"/>
      <w:bookmarkEnd w:id="2893"/>
      <w:r w:rsidRPr="001D5327">
        <w:t>Methane emissions from industrial wastewater treatment – Pulp and paper industry</w:t>
      </w:r>
    </w:p>
    <w:p w14:paraId="19C19820" w14:textId="77777777" w:rsidR="00BC0FD7" w:rsidRPr="001D5327" w:rsidRDefault="00BC0FD7" w:rsidP="00BC0FD7">
      <w:pPr>
        <w:pStyle w:val="BodyText"/>
      </w:pPr>
      <w:r w:rsidRPr="001D5327">
        <w:t>Table 7.5.9 summarises the parameter values applied for estimating CH</w:t>
      </w:r>
      <w:r w:rsidRPr="001D5327">
        <w:rPr>
          <w:vertAlign w:val="subscript"/>
        </w:rPr>
        <w:t>4</w:t>
      </w:r>
      <w:r w:rsidRPr="001D5327">
        <w:t xml:space="preserve"> emissions from wastewater treatment by the pulp and paper industry.</w:t>
      </w:r>
    </w:p>
    <w:p w14:paraId="32F5C291" w14:textId="77777777" w:rsidR="00BC0FD7" w:rsidRPr="001D5327" w:rsidRDefault="00BC0FD7" w:rsidP="00BC0FD7">
      <w:pPr>
        <w:pStyle w:val="Table"/>
      </w:pPr>
      <w:bookmarkStart w:id="2895" w:name="_Toc194241824"/>
      <w:r w:rsidRPr="001D5327">
        <w:lastRenderedPageBreak/>
        <w:t xml:space="preserve">Table 7.5.9 </w:t>
      </w:r>
      <w:r w:rsidRPr="001D5327">
        <w:tab/>
        <w:t>Parameter values applied by New Zealand for estimating methane emissions for wastewater treatment by the pulp and paper industry</w:t>
      </w:r>
      <w:bookmarkEnd w:id="2895"/>
    </w:p>
    <w:tbl>
      <w:tblPr>
        <w:tblW w:w="8494"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4064"/>
        <w:gridCol w:w="1145"/>
        <w:gridCol w:w="1574"/>
        <w:gridCol w:w="1711"/>
      </w:tblGrid>
      <w:tr w:rsidR="00BC0FD7" w:rsidRPr="001D5327" w14:paraId="50178CC2" w14:textId="77777777" w:rsidTr="00F16D27">
        <w:trPr>
          <w:tblHeader/>
        </w:trPr>
        <w:tc>
          <w:tcPr>
            <w:tcW w:w="4026" w:type="dxa"/>
            <w:shd w:val="clear" w:color="auto" w:fill="1B556B"/>
            <w:tcMar>
              <w:top w:w="0" w:type="dxa"/>
              <w:left w:w="85" w:type="dxa"/>
              <w:bottom w:w="0" w:type="dxa"/>
              <w:right w:w="85" w:type="dxa"/>
            </w:tcMar>
          </w:tcPr>
          <w:p w14:paraId="1935FE55"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Parameter</w:t>
            </w:r>
          </w:p>
        </w:tc>
        <w:tc>
          <w:tcPr>
            <w:tcW w:w="1134" w:type="dxa"/>
            <w:shd w:val="clear" w:color="auto" w:fill="1B556B"/>
            <w:tcMar>
              <w:top w:w="0" w:type="dxa"/>
              <w:left w:w="85" w:type="dxa"/>
              <w:bottom w:w="0" w:type="dxa"/>
              <w:right w:w="85" w:type="dxa"/>
            </w:tcMar>
          </w:tcPr>
          <w:p w14:paraId="476ACB8F"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Value</w:t>
            </w:r>
          </w:p>
        </w:tc>
        <w:tc>
          <w:tcPr>
            <w:tcW w:w="1559" w:type="dxa"/>
            <w:shd w:val="clear" w:color="auto" w:fill="1B556B"/>
            <w:tcMar>
              <w:top w:w="0" w:type="dxa"/>
              <w:left w:w="85" w:type="dxa"/>
              <w:bottom w:w="0" w:type="dxa"/>
              <w:right w:w="85" w:type="dxa"/>
            </w:tcMar>
          </w:tcPr>
          <w:p w14:paraId="67100E21"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Source</w:t>
            </w:r>
          </w:p>
        </w:tc>
        <w:tc>
          <w:tcPr>
            <w:tcW w:w="1695" w:type="dxa"/>
            <w:shd w:val="clear" w:color="auto" w:fill="1B556B"/>
            <w:tcMar>
              <w:top w:w="0" w:type="dxa"/>
              <w:left w:w="85" w:type="dxa"/>
              <w:bottom w:w="0" w:type="dxa"/>
              <w:right w:w="85" w:type="dxa"/>
            </w:tcMar>
          </w:tcPr>
          <w:p w14:paraId="6DFAF861"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Reference</w:t>
            </w:r>
          </w:p>
        </w:tc>
      </w:tr>
      <w:tr w:rsidR="00BC0FD7" w:rsidRPr="001D5327" w14:paraId="41FCFBAE" w14:textId="77777777" w:rsidTr="00F16D27">
        <w:tc>
          <w:tcPr>
            <w:tcW w:w="4026" w:type="dxa"/>
            <w:shd w:val="clear" w:color="auto" w:fill="FFFFFF"/>
            <w:tcMar>
              <w:top w:w="0" w:type="dxa"/>
              <w:left w:w="85" w:type="dxa"/>
              <w:bottom w:w="0" w:type="dxa"/>
              <w:right w:w="85" w:type="dxa"/>
            </w:tcMar>
          </w:tcPr>
          <w:p w14:paraId="327FE17E" w14:textId="77777777" w:rsidR="00BC0FD7" w:rsidRPr="001D5327" w:rsidRDefault="00BC0FD7" w:rsidP="00D11AC9">
            <w:pPr>
              <w:pStyle w:val="TableText"/>
              <w:spacing w:before="40" w:after="40"/>
            </w:pPr>
            <w:r w:rsidRPr="001D5327">
              <w:rPr>
                <w:rFonts w:eastAsia="Calibri"/>
                <w:color w:val="000000"/>
              </w:rPr>
              <w:t>Degradable organic component (kg COD/tonne of product)</w:t>
            </w:r>
          </w:p>
        </w:tc>
        <w:tc>
          <w:tcPr>
            <w:tcW w:w="1134" w:type="dxa"/>
            <w:shd w:val="clear" w:color="auto" w:fill="FFFFFF"/>
            <w:tcMar>
              <w:top w:w="0" w:type="dxa"/>
              <w:left w:w="85" w:type="dxa"/>
              <w:bottom w:w="0" w:type="dxa"/>
              <w:right w:w="85" w:type="dxa"/>
            </w:tcMar>
          </w:tcPr>
          <w:p w14:paraId="6EFA71A4" w14:textId="77777777" w:rsidR="00BC0FD7" w:rsidRPr="001D5327" w:rsidRDefault="00BC0FD7" w:rsidP="00D11AC9">
            <w:pPr>
              <w:pStyle w:val="TableText"/>
              <w:spacing w:before="40" w:after="40"/>
              <w:jc w:val="right"/>
            </w:pPr>
            <w:r w:rsidRPr="001D5327">
              <w:rPr>
                <w:rFonts w:eastAsia="Calibri"/>
                <w:color w:val="000000"/>
              </w:rPr>
              <w:t>36</w:t>
            </w:r>
          </w:p>
        </w:tc>
        <w:tc>
          <w:tcPr>
            <w:tcW w:w="1559" w:type="dxa"/>
            <w:shd w:val="clear" w:color="auto" w:fill="FFFFFF"/>
            <w:tcMar>
              <w:top w:w="0" w:type="dxa"/>
              <w:left w:w="85" w:type="dxa"/>
              <w:bottom w:w="0" w:type="dxa"/>
              <w:right w:w="85" w:type="dxa"/>
            </w:tcMar>
          </w:tcPr>
          <w:p w14:paraId="18E69CBD" w14:textId="77777777" w:rsidR="00BC0FD7" w:rsidRPr="001D5327" w:rsidRDefault="00BC0FD7" w:rsidP="00D11AC9">
            <w:pPr>
              <w:pStyle w:val="TableText"/>
              <w:spacing w:before="40" w:after="40"/>
            </w:pPr>
            <w:r w:rsidRPr="001D5327">
              <w:rPr>
                <w:rFonts w:eastAsia="Calibri"/>
                <w:color w:val="000000"/>
              </w:rPr>
              <w:t>New Zealand specific</w:t>
            </w:r>
          </w:p>
        </w:tc>
        <w:tc>
          <w:tcPr>
            <w:tcW w:w="1695" w:type="dxa"/>
            <w:shd w:val="clear" w:color="auto" w:fill="FFFFFF"/>
            <w:tcMar>
              <w:top w:w="0" w:type="dxa"/>
              <w:left w:w="85" w:type="dxa"/>
              <w:bottom w:w="0" w:type="dxa"/>
              <w:right w:w="85" w:type="dxa"/>
            </w:tcMar>
          </w:tcPr>
          <w:p w14:paraId="6217B163" w14:textId="77777777" w:rsidR="00BC0FD7" w:rsidRPr="001D5327" w:rsidRDefault="00BC0FD7" w:rsidP="00D11AC9">
            <w:pPr>
              <w:pStyle w:val="TableText"/>
              <w:spacing w:before="40" w:after="40"/>
            </w:pPr>
            <w:r w:rsidRPr="001D5327">
              <w:rPr>
                <w:rFonts w:eastAsia="Calibri"/>
                <w:color w:val="000000"/>
              </w:rPr>
              <w:t>Beca Infrastructure Ltd (unpublished)</w:t>
            </w:r>
          </w:p>
        </w:tc>
      </w:tr>
      <w:tr w:rsidR="00BC0FD7" w:rsidRPr="001D5327" w14:paraId="223F5C1F" w14:textId="77777777" w:rsidTr="00F16D27">
        <w:tc>
          <w:tcPr>
            <w:tcW w:w="4026" w:type="dxa"/>
            <w:shd w:val="clear" w:color="auto" w:fill="FFFFFF"/>
            <w:tcMar>
              <w:top w:w="0" w:type="dxa"/>
              <w:left w:w="85" w:type="dxa"/>
              <w:bottom w:w="0" w:type="dxa"/>
              <w:right w:w="85" w:type="dxa"/>
            </w:tcMar>
          </w:tcPr>
          <w:p w14:paraId="21501E73" w14:textId="77777777" w:rsidR="00BC0FD7" w:rsidRPr="001D5327" w:rsidRDefault="00BC0FD7" w:rsidP="00D11AC9">
            <w:pPr>
              <w:pStyle w:val="TableText"/>
              <w:spacing w:before="40" w:after="40"/>
            </w:pPr>
            <w:r w:rsidRPr="001D5327">
              <w:rPr>
                <w:rFonts w:eastAsia="Calibri"/>
                <w:color w:val="000000"/>
              </w:rPr>
              <w:t>Methane correction factor</w:t>
            </w:r>
          </w:p>
        </w:tc>
        <w:tc>
          <w:tcPr>
            <w:tcW w:w="1134" w:type="dxa"/>
            <w:shd w:val="clear" w:color="auto" w:fill="FFFFFF"/>
            <w:tcMar>
              <w:top w:w="0" w:type="dxa"/>
              <w:left w:w="85" w:type="dxa"/>
              <w:bottom w:w="0" w:type="dxa"/>
              <w:right w:w="85" w:type="dxa"/>
            </w:tcMar>
          </w:tcPr>
          <w:p w14:paraId="19ACEC42" w14:textId="77777777" w:rsidR="00BC0FD7" w:rsidRPr="001D5327" w:rsidRDefault="00BC0FD7" w:rsidP="00D11AC9">
            <w:pPr>
              <w:pStyle w:val="TableText"/>
              <w:spacing w:before="40" w:after="40"/>
              <w:jc w:val="right"/>
            </w:pPr>
            <w:r w:rsidRPr="001D5327">
              <w:rPr>
                <w:rFonts w:eastAsia="Calibri"/>
                <w:color w:val="000000"/>
              </w:rPr>
              <w:t>Range of 0–0.8</w:t>
            </w:r>
          </w:p>
        </w:tc>
        <w:tc>
          <w:tcPr>
            <w:tcW w:w="1559" w:type="dxa"/>
            <w:shd w:val="clear" w:color="auto" w:fill="FFFFFF"/>
            <w:tcMar>
              <w:top w:w="0" w:type="dxa"/>
              <w:left w:w="85" w:type="dxa"/>
              <w:bottom w:w="0" w:type="dxa"/>
              <w:right w:w="85" w:type="dxa"/>
            </w:tcMar>
          </w:tcPr>
          <w:p w14:paraId="19F06896" w14:textId="77777777" w:rsidR="00BC0FD7" w:rsidRPr="001D5327" w:rsidRDefault="00BC0FD7" w:rsidP="00D11AC9">
            <w:pPr>
              <w:pStyle w:val="TableText"/>
              <w:spacing w:before="40" w:after="40"/>
            </w:pPr>
            <w:r w:rsidRPr="001D5327">
              <w:rPr>
                <w:rFonts w:eastAsia="Calibri"/>
                <w:color w:val="000000"/>
              </w:rPr>
              <w:t>New Zealand specific</w:t>
            </w:r>
          </w:p>
        </w:tc>
        <w:tc>
          <w:tcPr>
            <w:tcW w:w="1695" w:type="dxa"/>
            <w:shd w:val="clear" w:color="auto" w:fill="FFFFFF"/>
            <w:tcMar>
              <w:top w:w="0" w:type="dxa"/>
              <w:left w:w="85" w:type="dxa"/>
              <w:bottom w:w="0" w:type="dxa"/>
              <w:right w:w="85" w:type="dxa"/>
            </w:tcMar>
          </w:tcPr>
          <w:p w14:paraId="36E8F658" w14:textId="77777777" w:rsidR="00BC0FD7" w:rsidRPr="001D5327" w:rsidRDefault="00BC0FD7" w:rsidP="00D11AC9">
            <w:pPr>
              <w:pStyle w:val="TableText"/>
              <w:spacing w:before="40" w:after="40"/>
            </w:pPr>
            <w:r w:rsidRPr="001D5327">
              <w:rPr>
                <w:rFonts w:eastAsia="Calibri"/>
                <w:color w:val="000000"/>
              </w:rPr>
              <w:t>Beca Infrastructure Ltd (unpublished)</w:t>
            </w:r>
          </w:p>
        </w:tc>
      </w:tr>
      <w:tr w:rsidR="00BC0FD7" w:rsidRPr="001D5327" w14:paraId="0FF2B821" w14:textId="77777777" w:rsidTr="00F16D27">
        <w:tc>
          <w:tcPr>
            <w:tcW w:w="4026" w:type="dxa"/>
            <w:shd w:val="clear" w:color="auto" w:fill="FFFFFF"/>
            <w:tcMar>
              <w:top w:w="0" w:type="dxa"/>
              <w:left w:w="85" w:type="dxa"/>
              <w:bottom w:w="0" w:type="dxa"/>
              <w:right w:w="85" w:type="dxa"/>
            </w:tcMar>
          </w:tcPr>
          <w:p w14:paraId="73BDD60B" w14:textId="77777777" w:rsidR="00BC0FD7" w:rsidRPr="001D5327" w:rsidRDefault="00BC0FD7" w:rsidP="00D11AC9">
            <w:pPr>
              <w:pStyle w:val="TableText"/>
              <w:spacing w:before="40" w:after="40"/>
            </w:pPr>
            <w:r w:rsidRPr="001D5327">
              <w:rPr>
                <w:rFonts w:eastAsia="Calibri"/>
                <w:color w:val="000000"/>
              </w:rPr>
              <w:t>Maximum methane-producing capacity (kg CH₄/kg COD)</w:t>
            </w:r>
          </w:p>
        </w:tc>
        <w:tc>
          <w:tcPr>
            <w:tcW w:w="1134" w:type="dxa"/>
            <w:shd w:val="clear" w:color="auto" w:fill="FFFFFF"/>
            <w:tcMar>
              <w:top w:w="0" w:type="dxa"/>
              <w:left w:w="85" w:type="dxa"/>
              <w:bottom w:w="0" w:type="dxa"/>
              <w:right w:w="85" w:type="dxa"/>
            </w:tcMar>
          </w:tcPr>
          <w:p w14:paraId="54C95A75" w14:textId="77777777" w:rsidR="00BC0FD7" w:rsidRPr="001D5327" w:rsidRDefault="00BC0FD7" w:rsidP="00D11AC9">
            <w:pPr>
              <w:pStyle w:val="TableText"/>
              <w:spacing w:before="40" w:after="40"/>
              <w:jc w:val="right"/>
            </w:pPr>
            <w:r w:rsidRPr="001D5327">
              <w:rPr>
                <w:rFonts w:eastAsia="Calibri"/>
                <w:color w:val="000000"/>
              </w:rPr>
              <w:t>0.25</w:t>
            </w:r>
          </w:p>
        </w:tc>
        <w:tc>
          <w:tcPr>
            <w:tcW w:w="1559" w:type="dxa"/>
            <w:shd w:val="clear" w:color="auto" w:fill="FFFFFF"/>
            <w:tcMar>
              <w:top w:w="0" w:type="dxa"/>
              <w:left w:w="85" w:type="dxa"/>
              <w:bottom w:w="0" w:type="dxa"/>
              <w:right w:w="85" w:type="dxa"/>
            </w:tcMar>
          </w:tcPr>
          <w:p w14:paraId="4BA01B16" w14:textId="77777777" w:rsidR="00BC0FD7" w:rsidRPr="001D5327" w:rsidRDefault="00BC0FD7" w:rsidP="00D11AC9">
            <w:pPr>
              <w:pStyle w:val="TableText"/>
              <w:spacing w:before="40" w:after="40"/>
            </w:pPr>
            <w:r w:rsidRPr="001D5327">
              <w:rPr>
                <w:rFonts w:eastAsia="Calibri"/>
                <w:color w:val="000000"/>
              </w:rPr>
              <w:t>IPCC default</w:t>
            </w:r>
          </w:p>
        </w:tc>
        <w:tc>
          <w:tcPr>
            <w:tcW w:w="1695" w:type="dxa"/>
            <w:shd w:val="clear" w:color="auto" w:fill="FFFFFF"/>
            <w:tcMar>
              <w:top w:w="0" w:type="dxa"/>
              <w:left w:w="85" w:type="dxa"/>
              <w:bottom w:w="0" w:type="dxa"/>
              <w:right w:w="85" w:type="dxa"/>
            </w:tcMar>
          </w:tcPr>
          <w:p w14:paraId="583BFA00" w14:textId="77777777" w:rsidR="00BC0FD7" w:rsidRPr="001D5327" w:rsidRDefault="00BC0FD7" w:rsidP="00D11AC9">
            <w:pPr>
              <w:pStyle w:val="TableText"/>
              <w:spacing w:before="40" w:after="40"/>
            </w:pPr>
            <w:r w:rsidRPr="001D5327">
              <w:rPr>
                <w:rFonts w:eastAsia="Calibri"/>
                <w:color w:val="000000"/>
              </w:rPr>
              <w:t>IPCC (2006a)</w:t>
            </w:r>
          </w:p>
        </w:tc>
      </w:tr>
      <w:tr w:rsidR="00BC0FD7" w:rsidRPr="001D5327" w14:paraId="0A223599" w14:textId="77777777" w:rsidTr="00F16D27">
        <w:tc>
          <w:tcPr>
            <w:tcW w:w="4026" w:type="dxa"/>
            <w:shd w:val="clear" w:color="auto" w:fill="FFFFFF"/>
            <w:tcMar>
              <w:top w:w="0" w:type="dxa"/>
              <w:left w:w="85" w:type="dxa"/>
              <w:bottom w:w="0" w:type="dxa"/>
              <w:right w:w="85" w:type="dxa"/>
            </w:tcMar>
          </w:tcPr>
          <w:p w14:paraId="6D8E9391" w14:textId="77777777" w:rsidR="00BC0FD7" w:rsidRPr="001D5327" w:rsidRDefault="00BC0FD7" w:rsidP="00D11AC9">
            <w:pPr>
              <w:pStyle w:val="TableText"/>
              <w:spacing w:before="40" w:after="40"/>
            </w:pPr>
            <w:r w:rsidRPr="001D5327">
              <w:rPr>
                <w:rFonts w:eastAsia="Calibri"/>
                <w:color w:val="000000"/>
              </w:rPr>
              <w:t>Overall emission factor</w:t>
            </w:r>
          </w:p>
        </w:tc>
        <w:tc>
          <w:tcPr>
            <w:tcW w:w="1134" w:type="dxa"/>
            <w:shd w:val="clear" w:color="auto" w:fill="FFFFFF"/>
            <w:tcMar>
              <w:top w:w="0" w:type="dxa"/>
              <w:left w:w="85" w:type="dxa"/>
              <w:bottom w:w="0" w:type="dxa"/>
              <w:right w:w="85" w:type="dxa"/>
            </w:tcMar>
          </w:tcPr>
          <w:p w14:paraId="11C009C1" w14:textId="77777777" w:rsidR="00BC0FD7" w:rsidRPr="001D5327" w:rsidRDefault="00BC0FD7" w:rsidP="00D11AC9">
            <w:pPr>
              <w:pStyle w:val="TableText"/>
              <w:spacing w:before="40" w:after="40"/>
              <w:jc w:val="right"/>
            </w:pPr>
            <w:r w:rsidRPr="001D5327">
              <w:rPr>
                <w:rFonts w:eastAsia="Calibri"/>
                <w:color w:val="000000"/>
              </w:rPr>
              <w:t>0.0117</w:t>
            </w:r>
          </w:p>
        </w:tc>
        <w:tc>
          <w:tcPr>
            <w:tcW w:w="1559" w:type="dxa"/>
            <w:shd w:val="clear" w:color="auto" w:fill="FFFFFF"/>
            <w:tcMar>
              <w:top w:w="0" w:type="dxa"/>
              <w:left w:w="85" w:type="dxa"/>
              <w:bottom w:w="0" w:type="dxa"/>
              <w:right w:w="85" w:type="dxa"/>
            </w:tcMar>
          </w:tcPr>
          <w:p w14:paraId="0F42F022" w14:textId="77777777" w:rsidR="00BC0FD7" w:rsidRPr="001D5327" w:rsidRDefault="00BC0FD7" w:rsidP="00D11AC9">
            <w:pPr>
              <w:pStyle w:val="TableText"/>
              <w:spacing w:before="40" w:after="40"/>
            </w:pPr>
            <w:r w:rsidRPr="001D5327">
              <w:rPr>
                <w:rFonts w:eastAsia="Calibri"/>
                <w:color w:val="000000"/>
              </w:rPr>
              <w:t>New Zealand specific</w:t>
            </w:r>
          </w:p>
        </w:tc>
        <w:tc>
          <w:tcPr>
            <w:tcW w:w="1695" w:type="dxa"/>
            <w:shd w:val="clear" w:color="auto" w:fill="FFFFFF"/>
            <w:tcMar>
              <w:top w:w="0" w:type="dxa"/>
              <w:left w:w="85" w:type="dxa"/>
              <w:bottom w:w="0" w:type="dxa"/>
              <w:right w:w="85" w:type="dxa"/>
            </w:tcMar>
          </w:tcPr>
          <w:p w14:paraId="1602F29D" w14:textId="77777777" w:rsidR="00BC0FD7" w:rsidRPr="001D5327" w:rsidRDefault="00BC0FD7" w:rsidP="00D11AC9">
            <w:pPr>
              <w:pStyle w:val="TableText"/>
              <w:spacing w:before="40" w:after="40"/>
            </w:pPr>
            <w:r w:rsidRPr="001D5327">
              <w:rPr>
                <w:rFonts w:eastAsia="Calibri"/>
                <w:color w:val="000000"/>
              </w:rPr>
              <w:t>Cardno (unpublished)</w:t>
            </w:r>
          </w:p>
        </w:tc>
      </w:tr>
    </w:tbl>
    <w:p w14:paraId="5D6EE9C6" w14:textId="77777777" w:rsidR="00BC0FD7" w:rsidRPr="001D5327" w:rsidRDefault="00BC0FD7" w:rsidP="00BC0FD7">
      <w:pPr>
        <w:pStyle w:val="Noteundertable"/>
      </w:pPr>
      <w:r w:rsidRPr="001D5327">
        <w:rPr>
          <w:b/>
          <w:bCs/>
        </w:rPr>
        <w:t>Note:</w:t>
      </w:r>
      <w:r w:rsidRPr="001D5327">
        <w:t xml:space="preserve"> COD = chemical oxygen demand.</w:t>
      </w:r>
    </w:p>
    <w:p w14:paraId="030B3DCE" w14:textId="77777777" w:rsidR="00BC0FD7" w:rsidRPr="001D5327" w:rsidRDefault="00BC0FD7" w:rsidP="00BC0FD7">
      <w:pPr>
        <w:pStyle w:val="Heading6"/>
      </w:pPr>
      <w:bookmarkStart w:id="2896" w:name="recovery-3"/>
      <w:r w:rsidRPr="001D5327">
        <w:t>Recovery</w:t>
      </w:r>
    </w:p>
    <w:p w14:paraId="614EB863" w14:textId="77777777" w:rsidR="00BC0FD7" w:rsidRPr="001D5327" w:rsidRDefault="00BC0FD7" w:rsidP="00BC0FD7">
      <w:pPr>
        <w:pStyle w:val="BodyText"/>
      </w:pPr>
      <w:r w:rsidRPr="001D5327">
        <w:t>There is no recovery of emissions reported for this source.</w:t>
      </w:r>
    </w:p>
    <w:p w14:paraId="2404A2C8" w14:textId="77777777" w:rsidR="00BC0FD7" w:rsidRPr="001D5327" w:rsidRDefault="00BC0FD7" w:rsidP="00BC0FD7">
      <w:pPr>
        <w:pStyle w:val="Heading5"/>
      </w:pPr>
      <w:bookmarkStart w:id="2897" w:name="X5488992b1bcc26c67c2161f3c767fe6715fed57"/>
      <w:bookmarkEnd w:id="2894"/>
      <w:bookmarkEnd w:id="2896"/>
      <w:r w:rsidRPr="001D5327">
        <w:t>Methane emissions from industrial wastewater treatment – Wine industry</w:t>
      </w:r>
    </w:p>
    <w:p w14:paraId="60E5A3F4" w14:textId="77777777" w:rsidR="00BC0FD7" w:rsidRPr="001D5327" w:rsidRDefault="00BC0FD7" w:rsidP="00BC0FD7">
      <w:pPr>
        <w:pStyle w:val="BodyText"/>
      </w:pPr>
      <w:r w:rsidRPr="001D5327">
        <w:t>Table 7.5.10 summarises the parameter values applied for estimating CH</w:t>
      </w:r>
      <w:r w:rsidRPr="001D5327">
        <w:rPr>
          <w:vertAlign w:val="subscript"/>
        </w:rPr>
        <w:t>4</w:t>
      </w:r>
      <w:r w:rsidRPr="001D5327">
        <w:t xml:space="preserve"> emissions from wastewater treatment by the wine industry.</w:t>
      </w:r>
    </w:p>
    <w:p w14:paraId="64CFA48D" w14:textId="6AD4BEAA" w:rsidR="00BC0FD7" w:rsidRPr="001D5327" w:rsidRDefault="00BC0FD7" w:rsidP="00BC0FD7">
      <w:pPr>
        <w:pStyle w:val="Table"/>
      </w:pPr>
      <w:bookmarkStart w:id="2898" w:name="_Toc194241825"/>
      <w:r w:rsidRPr="001D5327">
        <w:t xml:space="preserve">Table 7.5.10 </w:t>
      </w:r>
      <w:r w:rsidRPr="001D5327">
        <w:tab/>
        <w:t>Parameter values applied by New Zealand for estimating methane emissions for wastewater</w:t>
      </w:r>
      <w:r w:rsidR="009C2100" w:rsidRPr="001D5327">
        <w:t> </w:t>
      </w:r>
      <w:r w:rsidRPr="001D5327">
        <w:t>treatment by the wine industry</w:t>
      </w:r>
      <w:bookmarkEnd w:id="2898"/>
    </w:p>
    <w:tbl>
      <w:tblPr>
        <w:tblW w:w="8494"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4064"/>
        <w:gridCol w:w="1145"/>
        <w:gridCol w:w="1574"/>
        <w:gridCol w:w="1711"/>
      </w:tblGrid>
      <w:tr w:rsidR="00BC0FD7" w:rsidRPr="001D5327" w14:paraId="41257F0A" w14:textId="77777777" w:rsidTr="00F16D27">
        <w:trPr>
          <w:tblHeader/>
        </w:trPr>
        <w:tc>
          <w:tcPr>
            <w:tcW w:w="4026" w:type="dxa"/>
            <w:shd w:val="clear" w:color="auto" w:fill="1B556B"/>
            <w:tcMar>
              <w:top w:w="0" w:type="dxa"/>
              <w:left w:w="85" w:type="dxa"/>
              <w:bottom w:w="0" w:type="dxa"/>
              <w:right w:w="85" w:type="dxa"/>
            </w:tcMar>
          </w:tcPr>
          <w:p w14:paraId="0CE8980E"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Parameter</w:t>
            </w:r>
          </w:p>
        </w:tc>
        <w:tc>
          <w:tcPr>
            <w:tcW w:w="1134" w:type="dxa"/>
            <w:shd w:val="clear" w:color="auto" w:fill="1B556B"/>
            <w:tcMar>
              <w:top w:w="0" w:type="dxa"/>
              <w:left w:w="85" w:type="dxa"/>
              <w:bottom w:w="0" w:type="dxa"/>
              <w:right w:w="85" w:type="dxa"/>
            </w:tcMar>
          </w:tcPr>
          <w:p w14:paraId="521E1AF7"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Value</w:t>
            </w:r>
          </w:p>
        </w:tc>
        <w:tc>
          <w:tcPr>
            <w:tcW w:w="1559" w:type="dxa"/>
            <w:shd w:val="clear" w:color="auto" w:fill="1B556B"/>
            <w:tcMar>
              <w:top w:w="0" w:type="dxa"/>
              <w:left w:w="85" w:type="dxa"/>
              <w:bottom w:w="0" w:type="dxa"/>
              <w:right w:w="85" w:type="dxa"/>
            </w:tcMar>
          </w:tcPr>
          <w:p w14:paraId="67FD5350"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Source</w:t>
            </w:r>
          </w:p>
        </w:tc>
        <w:tc>
          <w:tcPr>
            <w:tcW w:w="1695" w:type="dxa"/>
            <w:shd w:val="clear" w:color="auto" w:fill="1B556B"/>
            <w:tcMar>
              <w:top w:w="0" w:type="dxa"/>
              <w:left w:w="85" w:type="dxa"/>
              <w:bottom w:w="0" w:type="dxa"/>
              <w:right w:w="85" w:type="dxa"/>
            </w:tcMar>
          </w:tcPr>
          <w:p w14:paraId="7C721F3E"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Reference</w:t>
            </w:r>
          </w:p>
        </w:tc>
      </w:tr>
      <w:tr w:rsidR="00BC0FD7" w:rsidRPr="001D5327" w14:paraId="67F65FE8" w14:textId="77777777" w:rsidTr="00F16D27">
        <w:tc>
          <w:tcPr>
            <w:tcW w:w="4026" w:type="dxa"/>
            <w:shd w:val="clear" w:color="auto" w:fill="FFFFFF"/>
            <w:tcMar>
              <w:top w:w="0" w:type="dxa"/>
              <w:left w:w="85" w:type="dxa"/>
              <w:bottom w:w="0" w:type="dxa"/>
              <w:right w:w="85" w:type="dxa"/>
            </w:tcMar>
          </w:tcPr>
          <w:p w14:paraId="568783AA" w14:textId="77777777" w:rsidR="00BC0FD7" w:rsidRPr="001D5327" w:rsidRDefault="00BC0FD7" w:rsidP="00D11AC9">
            <w:pPr>
              <w:pStyle w:val="TableText"/>
              <w:spacing w:before="40" w:after="40"/>
            </w:pPr>
            <w:r w:rsidRPr="001D5327">
              <w:rPr>
                <w:rFonts w:eastAsia="Calibri"/>
                <w:color w:val="000000"/>
              </w:rPr>
              <w:t>Degradable organic component (kg COD/tonne of product)</w:t>
            </w:r>
          </w:p>
        </w:tc>
        <w:tc>
          <w:tcPr>
            <w:tcW w:w="1134" w:type="dxa"/>
            <w:shd w:val="clear" w:color="auto" w:fill="FFFFFF"/>
            <w:tcMar>
              <w:top w:w="0" w:type="dxa"/>
              <w:left w:w="85" w:type="dxa"/>
              <w:bottom w:w="0" w:type="dxa"/>
              <w:right w:w="85" w:type="dxa"/>
            </w:tcMar>
          </w:tcPr>
          <w:p w14:paraId="27D2F337" w14:textId="77777777" w:rsidR="00BC0FD7" w:rsidRPr="001D5327" w:rsidRDefault="00BC0FD7" w:rsidP="00D11AC9">
            <w:pPr>
              <w:pStyle w:val="TableText"/>
              <w:spacing w:before="40" w:after="40"/>
              <w:jc w:val="right"/>
            </w:pPr>
            <w:r w:rsidRPr="001D5327">
              <w:rPr>
                <w:rFonts w:eastAsia="Calibri"/>
                <w:color w:val="000000"/>
              </w:rPr>
              <w:t>12.42</w:t>
            </w:r>
          </w:p>
        </w:tc>
        <w:tc>
          <w:tcPr>
            <w:tcW w:w="1559" w:type="dxa"/>
            <w:shd w:val="clear" w:color="auto" w:fill="FFFFFF"/>
            <w:tcMar>
              <w:top w:w="0" w:type="dxa"/>
              <w:left w:w="85" w:type="dxa"/>
              <w:bottom w:w="0" w:type="dxa"/>
              <w:right w:w="85" w:type="dxa"/>
            </w:tcMar>
          </w:tcPr>
          <w:p w14:paraId="62C95261" w14:textId="77777777" w:rsidR="00BC0FD7" w:rsidRPr="001D5327" w:rsidRDefault="00BC0FD7" w:rsidP="00D11AC9">
            <w:pPr>
              <w:pStyle w:val="TableText"/>
              <w:spacing w:before="40" w:after="40"/>
            </w:pPr>
            <w:r w:rsidRPr="001D5327">
              <w:rPr>
                <w:rFonts w:eastAsia="Calibri"/>
                <w:color w:val="000000"/>
              </w:rPr>
              <w:t>New Zealand specific</w:t>
            </w:r>
          </w:p>
        </w:tc>
        <w:tc>
          <w:tcPr>
            <w:tcW w:w="1695" w:type="dxa"/>
            <w:shd w:val="clear" w:color="auto" w:fill="FFFFFF"/>
            <w:tcMar>
              <w:top w:w="0" w:type="dxa"/>
              <w:left w:w="85" w:type="dxa"/>
              <w:bottom w:w="0" w:type="dxa"/>
              <w:right w:w="85" w:type="dxa"/>
            </w:tcMar>
          </w:tcPr>
          <w:p w14:paraId="606A456D" w14:textId="77777777" w:rsidR="00BC0FD7" w:rsidRPr="001D5327" w:rsidRDefault="00BC0FD7" w:rsidP="00D11AC9">
            <w:pPr>
              <w:pStyle w:val="TableText"/>
              <w:spacing w:before="40" w:after="40"/>
            </w:pPr>
            <w:r w:rsidRPr="001D5327">
              <w:rPr>
                <w:rFonts w:eastAsia="Calibri"/>
                <w:color w:val="000000"/>
              </w:rPr>
              <w:t>Beca Infrastructure Ltd (unpublished)</w:t>
            </w:r>
          </w:p>
        </w:tc>
      </w:tr>
      <w:tr w:rsidR="00BC0FD7" w:rsidRPr="001D5327" w14:paraId="65D6EB28" w14:textId="77777777" w:rsidTr="00F16D27">
        <w:tc>
          <w:tcPr>
            <w:tcW w:w="4026" w:type="dxa"/>
            <w:shd w:val="clear" w:color="auto" w:fill="FFFFFF"/>
            <w:tcMar>
              <w:top w:w="0" w:type="dxa"/>
              <w:left w:w="85" w:type="dxa"/>
              <w:bottom w:w="0" w:type="dxa"/>
              <w:right w:w="85" w:type="dxa"/>
            </w:tcMar>
          </w:tcPr>
          <w:p w14:paraId="71CA240A" w14:textId="77777777" w:rsidR="00BC0FD7" w:rsidRPr="001D5327" w:rsidRDefault="00BC0FD7" w:rsidP="00D11AC9">
            <w:pPr>
              <w:pStyle w:val="TableText"/>
              <w:spacing w:before="40" w:after="40"/>
            </w:pPr>
            <w:r w:rsidRPr="001D5327">
              <w:rPr>
                <w:rFonts w:eastAsia="Calibri"/>
                <w:color w:val="000000"/>
              </w:rPr>
              <w:t>Methane correction factor</w:t>
            </w:r>
          </w:p>
        </w:tc>
        <w:tc>
          <w:tcPr>
            <w:tcW w:w="1134" w:type="dxa"/>
            <w:shd w:val="clear" w:color="auto" w:fill="FFFFFF"/>
            <w:tcMar>
              <w:top w:w="0" w:type="dxa"/>
              <w:left w:w="85" w:type="dxa"/>
              <w:bottom w:w="0" w:type="dxa"/>
              <w:right w:w="85" w:type="dxa"/>
            </w:tcMar>
          </w:tcPr>
          <w:p w14:paraId="72D58EE3" w14:textId="77777777" w:rsidR="00BC0FD7" w:rsidRPr="001D5327" w:rsidRDefault="00BC0FD7" w:rsidP="00D11AC9">
            <w:pPr>
              <w:pStyle w:val="TableText"/>
              <w:spacing w:before="40" w:after="40"/>
              <w:jc w:val="right"/>
            </w:pPr>
            <w:r w:rsidRPr="001D5327">
              <w:rPr>
                <w:rFonts w:eastAsia="Calibri"/>
                <w:color w:val="000000"/>
              </w:rPr>
              <w:t>Range of 0–0.5</w:t>
            </w:r>
          </w:p>
        </w:tc>
        <w:tc>
          <w:tcPr>
            <w:tcW w:w="1559" w:type="dxa"/>
            <w:shd w:val="clear" w:color="auto" w:fill="FFFFFF"/>
            <w:tcMar>
              <w:top w:w="0" w:type="dxa"/>
              <w:left w:w="85" w:type="dxa"/>
              <w:bottom w:w="0" w:type="dxa"/>
              <w:right w:w="85" w:type="dxa"/>
            </w:tcMar>
          </w:tcPr>
          <w:p w14:paraId="05D79307" w14:textId="77777777" w:rsidR="00BC0FD7" w:rsidRPr="001D5327" w:rsidRDefault="00BC0FD7" w:rsidP="00D11AC9">
            <w:pPr>
              <w:pStyle w:val="TableText"/>
              <w:spacing w:before="40" w:after="40"/>
            </w:pPr>
            <w:r w:rsidRPr="001D5327">
              <w:rPr>
                <w:rFonts w:eastAsia="Calibri"/>
                <w:color w:val="000000"/>
              </w:rPr>
              <w:t>New Zealand specific</w:t>
            </w:r>
          </w:p>
        </w:tc>
        <w:tc>
          <w:tcPr>
            <w:tcW w:w="1695" w:type="dxa"/>
            <w:shd w:val="clear" w:color="auto" w:fill="FFFFFF"/>
            <w:tcMar>
              <w:top w:w="0" w:type="dxa"/>
              <w:left w:w="85" w:type="dxa"/>
              <w:bottom w:w="0" w:type="dxa"/>
              <w:right w:w="85" w:type="dxa"/>
            </w:tcMar>
          </w:tcPr>
          <w:p w14:paraId="3A30310F" w14:textId="77777777" w:rsidR="00BC0FD7" w:rsidRPr="001D5327" w:rsidRDefault="00BC0FD7" w:rsidP="00D11AC9">
            <w:pPr>
              <w:pStyle w:val="TableText"/>
              <w:spacing w:before="40" w:after="40"/>
            </w:pPr>
            <w:r w:rsidRPr="001D5327">
              <w:rPr>
                <w:rFonts w:eastAsia="Calibri"/>
                <w:color w:val="000000"/>
              </w:rPr>
              <w:t>Beca Infrastructure Ltd (unpublished)</w:t>
            </w:r>
          </w:p>
        </w:tc>
      </w:tr>
      <w:tr w:rsidR="00BC0FD7" w:rsidRPr="001D5327" w14:paraId="2A6848A5" w14:textId="77777777" w:rsidTr="00F16D27">
        <w:tc>
          <w:tcPr>
            <w:tcW w:w="4026" w:type="dxa"/>
            <w:shd w:val="clear" w:color="auto" w:fill="FFFFFF"/>
            <w:tcMar>
              <w:top w:w="0" w:type="dxa"/>
              <w:left w:w="85" w:type="dxa"/>
              <w:bottom w:w="0" w:type="dxa"/>
              <w:right w:w="85" w:type="dxa"/>
            </w:tcMar>
          </w:tcPr>
          <w:p w14:paraId="01084E27" w14:textId="77777777" w:rsidR="00BC0FD7" w:rsidRPr="001D5327" w:rsidRDefault="00BC0FD7" w:rsidP="00D11AC9">
            <w:pPr>
              <w:pStyle w:val="TableText"/>
              <w:spacing w:before="40" w:after="40"/>
            </w:pPr>
            <w:r w:rsidRPr="001D5327">
              <w:rPr>
                <w:rFonts w:eastAsia="Calibri"/>
                <w:color w:val="000000"/>
              </w:rPr>
              <w:t>Maximum methane-producing capacity (kg CH₄/kg COD)</w:t>
            </w:r>
          </w:p>
        </w:tc>
        <w:tc>
          <w:tcPr>
            <w:tcW w:w="1134" w:type="dxa"/>
            <w:shd w:val="clear" w:color="auto" w:fill="FFFFFF"/>
            <w:tcMar>
              <w:top w:w="0" w:type="dxa"/>
              <w:left w:w="85" w:type="dxa"/>
              <w:bottom w:w="0" w:type="dxa"/>
              <w:right w:w="85" w:type="dxa"/>
            </w:tcMar>
          </w:tcPr>
          <w:p w14:paraId="36AAE1DF" w14:textId="77777777" w:rsidR="00BC0FD7" w:rsidRPr="001D5327" w:rsidRDefault="00BC0FD7" w:rsidP="00D11AC9">
            <w:pPr>
              <w:pStyle w:val="TableText"/>
              <w:spacing w:before="40" w:after="40"/>
              <w:jc w:val="right"/>
            </w:pPr>
            <w:r w:rsidRPr="001D5327">
              <w:rPr>
                <w:rFonts w:eastAsia="Calibri"/>
                <w:color w:val="000000"/>
              </w:rPr>
              <w:t>0.25</w:t>
            </w:r>
          </w:p>
        </w:tc>
        <w:tc>
          <w:tcPr>
            <w:tcW w:w="1559" w:type="dxa"/>
            <w:shd w:val="clear" w:color="auto" w:fill="FFFFFF"/>
            <w:tcMar>
              <w:top w:w="0" w:type="dxa"/>
              <w:left w:w="85" w:type="dxa"/>
              <w:bottom w:w="0" w:type="dxa"/>
              <w:right w:w="85" w:type="dxa"/>
            </w:tcMar>
          </w:tcPr>
          <w:p w14:paraId="54A7E83A" w14:textId="77777777" w:rsidR="00BC0FD7" w:rsidRPr="001D5327" w:rsidRDefault="00BC0FD7" w:rsidP="00D11AC9">
            <w:pPr>
              <w:pStyle w:val="TableText"/>
              <w:spacing w:before="40" w:after="40"/>
            </w:pPr>
            <w:r w:rsidRPr="001D5327">
              <w:rPr>
                <w:rFonts w:eastAsia="Calibri"/>
                <w:color w:val="000000"/>
              </w:rPr>
              <w:t>IPCC default</w:t>
            </w:r>
          </w:p>
        </w:tc>
        <w:tc>
          <w:tcPr>
            <w:tcW w:w="1695" w:type="dxa"/>
            <w:shd w:val="clear" w:color="auto" w:fill="FFFFFF"/>
            <w:tcMar>
              <w:top w:w="0" w:type="dxa"/>
              <w:left w:w="85" w:type="dxa"/>
              <w:bottom w:w="0" w:type="dxa"/>
              <w:right w:w="85" w:type="dxa"/>
            </w:tcMar>
          </w:tcPr>
          <w:p w14:paraId="4884D18F" w14:textId="77777777" w:rsidR="00BC0FD7" w:rsidRPr="001D5327" w:rsidRDefault="00BC0FD7" w:rsidP="00D11AC9">
            <w:pPr>
              <w:pStyle w:val="TableText"/>
              <w:spacing w:before="40" w:after="40"/>
            </w:pPr>
            <w:r w:rsidRPr="001D5327">
              <w:rPr>
                <w:rFonts w:eastAsia="Calibri"/>
                <w:color w:val="000000"/>
              </w:rPr>
              <w:t>IPCC (2006a)</w:t>
            </w:r>
          </w:p>
        </w:tc>
      </w:tr>
      <w:tr w:rsidR="00BC0FD7" w:rsidRPr="001D5327" w14:paraId="204D4227" w14:textId="77777777" w:rsidTr="00F16D27">
        <w:tc>
          <w:tcPr>
            <w:tcW w:w="4026" w:type="dxa"/>
            <w:shd w:val="clear" w:color="auto" w:fill="FFFFFF"/>
            <w:tcMar>
              <w:top w:w="0" w:type="dxa"/>
              <w:left w:w="85" w:type="dxa"/>
              <w:bottom w:w="0" w:type="dxa"/>
              <w:right w:w="85" w:type="dxa"/>
            </w:tcMar>
          </w:tcPr>
          <w:p w14:paraId="7DB7B8C8" w14:textId="77777777" w:rsidR="00BC0FD7" w:rsidRPr="001D5327" w:rsidRDefault="00BC0FD7" w:rsidP="00D11AC9">
            <w:pPr>
              <w:pStyle w:val="TableText"/>
              <w:spacing w:before="40" w:after="40"/>
            </w:pPr>
            <w:r w:rsidRPr="001D5327">
              <w:rPr>
                <w:rFonts w:eastAsia="Calibri"/>
                <w:color w:val="000000"/>
              </w:rPr>
              <w:t>Overall emission factor</w:t>
            </w:r>
          </w:p>
        </w:tc>
        <w:tc>
          <w:tcPr>
            <w:tcW w:w="1134" w:type="dxa"/>
            <w:shd w:val="clear" w:color="auto" w:fill="FFFFFF"/>
            <w:tcMar>
              <w:top w:w="0" w:type="dxa"/>
              <w:left w:w="85" w:type="dxa"/>
              <w:bottom w:w="0" w:type="dxa"/>
              <w:right w:w="85" w:type="dxa"/>
            </w:tcMar>
          </w:tcPr>
          <w:p w14:paraId="0C38BE81" w14:textId="77777777" w:rsidR="00BC0FD7" w:rsidRPr="001D5327" w:rsidRDefault="00BC0FD7" w:rsidP="00D11AC9">
            <w:pPr>
              <w:pStyle w:val="TableText"/>
              <w:spacing w:before="40" w:after="40"/>
              <w:jc w:val="right"/>
            </w:pPr>
            <w:r w:rsidRPr="001D5327">
              <w:rPr>
                <w:rFonts w:eastAsia="Calibri"/>
                <w:color w:val="000000"/>
              </w:rPr>
              <w:t>0.0167</w:t>
            </w:r>
          </w:p>
        </w:tc>
        <w:tc>
          <w:tcPr>
            <w:tcW w:w="1559" w:type="dxa"/>
            <w:shd w:val="clear" w:color="auto" w:fill="FFFFFF"/>
            <w:tcMar>
              <w:top w:w="0" w:type="dxa"/>
              <w:left w:w="85" w:type="dxa"/>
              <w:bottom w:w="0" w:type="dxa"/>
              <w:right w:w="85" w:type="dxa"/>
            </w:tcMar>
          </w:tcPr>
          <w:p w14:paraId="77F1196D" w14:textId="77777777" w:rsidR="00BC0FD7" w:rsidRPr="001D5327" w:rsidRDefault="00BC0FD7" w:rsidP="00D11AC9">
            <w:pPr>
              <w:pStyle w:val="TableText"/>
              <w:spacing w:before="40" w:after="40"/>
            </w:pPr>
            <w:r w:rsidRPr="001D5327">
              <w:rPr>
                <w:rFonts w:eastAsia="Calibri"/>
                <w:color w:val="000000"/>
              </w:rPr>
              <w:t>New Zealand specific</w:t>
            </w:r>
          </w:p>
        </w:tc>
        <w:tc>
          <w:tcPr>
            <w:tcW w:w="1695" w:type="dxa"/>
            <w:shd w:val="clear" w:color="auto" w:fill="FFFFFF"/>
            <w:tcMar>
              <w:top w:w="0" w:type="dxa"/>
              <w:left w:w="85" w:type="dxa"/>
              <w:bottom w:w="0" w:type="dxa"/>
              <w:right w:w="85" w:type="dxa"/>
            </w:tcMar>
          </w:tcPr>
          <w:p w14:paraId="77695E22" w14:textId="77777777" w:rsidR="00BC0FD7" w:rsidRPr="001D5327" w:rsidRDefault="00BC0FD7" w:rsidP="00D11AC9">
            <w:pPr>
              <w:pStyle w:val="TableText"/>
              <w:spacing w:before="40" w:after="40"/>
            </w:pPr>
            <w:r w:rsidRPr="001D5327">
              <w:rPr>
                <w:rFonts w:eastAsia="Calibri"/>
                <w:color w:val="000000"/>
              </w:rPr>
              <w:t>Cardno (unpublished)</w:t>
            </w:r>
          </w:p>
        </w:tc>
      </w:tr>
    </w:tbl>
    <w:p w14:paraId="4EEF9920" w14:textId="77777777" w:rsidR="00BC0FD7" w:rsidRPr="001D5327" w:rsidRDefault="00BC0FD7" w:rsidP="00BC0FD7">
      <w:pPr>
        <w:pStyle w:val="Noteundertable"/>
      </w:pPr>
      <w:r w:rsidRPr="001D5327">
        <w:rPr>
          <w:b/>
          <w:bCs/>
        </w:rPr>
        <w:t>Note:</w:t>
      </w:r>
      <w:r w:rsidRPr="001D5327">
        <w:t xml:space="preserve"> COD = chemical oxygen demand.</w:t>
      </w:r>
    </w:p>
    <w:p w14:paraId="58D23AFD" w14:textId="77777777" w:rsidR="00BC0FD7" w:rsidRPr="001D5327" w:rsidRDefault="00BC0FD7" w:rsidP="00BC0FD7">
      <w:pPr>
        <w:pStyle w:val="Heading6"/>
      </w:pPr>
      <w:bookmarkStart w:id="2899" w:name="recovery-4"/>
      <w:r w:rsidRPr="001D5327">
        <w:t>Recovery</w:t>
      </w:r>
    </w:p>
    <w:p w14:paraId="142DD800" w14:textId="77777777" w:rsidR="00BC0FD7" w:rsidRPr="001D5327" w:rsidRDefault="00BC0FD7" w:rsidP="00BC0FD7">
      <w:pPr>
        <w:pStyle w:val="BodyText"/>
      </w:pPr>
      <w:r w:rsidRPr="001D5327">
        <w:t>There is no recovery of emissions reported for this source.</w:t>
      </w:r>
    </w:p>
    <w:p w14:paraId="3DC4348B" w14:textId="77777777" w:rsidR="00BC0FD7" w:rsidRPr="001D5327" w:rsidRDefault="00BC0FD7" w:rsidP="00BC0FD7">
      <w:pPr>
        <w:pStyle w:val="Heading5"/>
      </w:pPr>
      <w:bookmarkStart w:id="2900" w:name="X5a52bbb68da2cb296e8b721fd30922a71eebd28"/>
      <w:bookmarkEnd w:id="2897"/>
      <w:bookmarkEnd w:id="2899"/>
      <w:r w:rsidRPr="001D5327">
        <w:t>Methane emissions from industrial wastewater treatment – Wool scouring industry</w:t>
      </w:r>
    </w:p>
    <w:p w14:paraId="2B208958" w14:textId="77777777" w:rsidR="00BC0FD7" w:rsidRPr="001D5327" w:rsidRDefault="00BC0FD7" w:rsidP="00BC0FD7">
      <w:pPr>
        <w:pStyle w:val="BodyText"/>
      </w:pPr>
      <w:r w:rsidRPr="001D5327">
        <w:t>Table 7.5.11 summarises the parameter values applied for estimating CH</w:t>
      </w:r>
      <w:r w:rsidRPr="001D5327">
        <w:rPr>
          <w:vertAlign w:val="subscript"/>
        </w:rPr>
        <w:t>4</w:t>
      </w:r>
      <w:r w:rsidRPr="001D5327">
        <w:t xml:space="preserve"> emissions from wastewater treatment by the wool scouring industry.</w:t>
      </w:r>
    </w:p>
    <w:p w14:paraId="1A41CE70" w14:textId="5F4EAAAF" w:rsidR="00BC0FD7" w:rsidRPr="001D5327" w:rsidRDefault="00BC0FD7" w:rsidP="00BC0FD7">
      <w:pPr>
        <w:pStyle w:val="Table"/>
      </w:pPr>
      <w:bookmarkStart w:id="2901" w:name="_Toc194241826"/>
      <w:r w:rsidRPr="001D5327">
        <w:t xml:space="preserve">Table 7.5.11 </w:t>
      </w:r>
      <w:r w:rsidRPr="001D5327">
        <w:tab/>
        <w:t>Parameter values applied by New Zealand for estimating methane emissions for wastewater</w:t>
      </w:r>
      <w:r w:rsidR="009C2100" w:rsidRPr="001D5327">
        <w:t> </w:t>
      </w:r>
      <w:r w:rsidRPr="001D5327">
        <w:t>treatment by the wool scouring industry</w:t>
      </w:r>
      <w:bookmarkEnd w:id="2901"/>
    </w:p>
    <w:tbl>
      <w:tblPr>
        <w:tblW w:w="8494"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4196"/>
        <w:gridCol w:w="619"/>
        <w:gridCol w:w="1559"/>
        <w:gridCol w:w="2120"/>
      </w:tblGrid>
      <w:tr w:rsidR="00BC0FD7" w:rsidRPr="001D5327" w14:paraId="35DB201C" w14:textId="77777777" w:rsidTr="00F16D27">
        <w:trPr>
          <w:tblHeader/>
        </w:trPr>
        <w:tc>
          <w:tcPr>
            <w:tcW w:w="4196" w:type="dxa"/>
            <w:shd w:val="clear" w:color="auto" w:fill="1B556B"/>
            <w:tcMar>
              <w:top w:w="0" w:type="dxa"/>
              <w:left w:w="85" w:type="dxa"/>
              <w:bottom w:w="0" w:type="dxa"/>
              <w:right w:w="85" w:type="dxa"/>
            </w:tcMar>
          </w:tcPr>
          <w:p w14:paraId="69994D84"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Parameter</w:t>
            </w:r>
          </w:p>
        </w:tc>
        <w:tc>
          <w:tcPr>
            <w:tcW w:w="619" w:type="dxa"/>
            <w:shd w:val="clear" w:color="auto" w:fill="1B556B"/>
            <w:tcMar>
              <w:top w:w="0" w:type="dxa"/>
              <w:left w:w="85" w:type="dxa"/>
              <w:bottom w:w="0" w:type="dxa"/>
              <w:right w:w="85" w:type="dxa"/>
            </w:tcMar>
          </w:tcPr>
          <w:p w14:paraId="393FAEF3"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Value</w:t>
            </w:r>
          </w:p>
        </w:tc>
        <w:tc>
          <w:tcPr>
            <w:tcW w:w="1559" w:type="dxa"/>
            <w:shd w:val="clear" w:color="auto" w:fill="1B556B"/>
            <w:tcMar>
              <w:top w:w="0" w:type="dxa"/>
              <w:left w:w="85" w:type="dxa"/>
              <w:bottom w:w="0" w:type="dxa"/>
              <w:right w:w="85" w:type="dxa"/>
            </w:tcMar>
          </w:tcPr>
          <w:p w14:paraId="5B276CA1"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Source</w:t>
            </w:r>
          </w:p>
        </w:tc>
        <w:tc>
          <w:tcPr>
            <w:tcW w:w="2120" w:type="dxa"/>
            <w:shd w:val="clear" w:color="auto" w:fill="1B556B"/>
            <w:tcMar>
              <w:top w:w="0" w:type="dxa"/>
              <w:left w:w="85" w:type="dxa"/>
              <w:bottom w:w="0" w:type="dxa"/>
              <w:right w:w="85" w:type="dxa"/>
            </w:tcMar>
          </w:tcPr>
          <w:p w14:paraId="127F39DA"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Reference</w:t>
            </w:r>
          </w:p>
        </w:tc>
      </w:tr>
      <w:tr w:rsidR="00BC0FD7" w:rsidRPr="001D5327" w14:paraId="18D6DDC9" w14:textId="77777777" w:rsidTr="00F16D27">
        <w:tc>
          <w:tcPr>
            <w:tcW w:w="4196" w:type="dxa"/>
            <w:shd w:val="clear" w:color="auto" w:fill="FFFFFF"/>
            <w:tcMar>
              <w:top w:w="0" w:type="dxa"/>
              <w:left w:w="85" w:type="dxa"/>
              <w:bottom w:w="0" w:type="dxa"/>
              <w:right w:w="85" w:type="dxa"/>
            </w:tcMar>
          </w:tcPr>
          <w:p w14:paraId="326BA9B0" w14:textId="77777777" w:rsidR="00BC0FD7" w:rsidRPr="001D5327" w:rsidRDefault="00BC0FD7" w:rsidP="00D11AC9">
            <w:pPr>
              <w:pStyle w:val="TableText"/>
              <w:spacing w:before="40" w:after="40"/>
            </w:pPr>
            <w:r w:rsidRPr="001D5327">
              <w:rPr>
                <w:rFonts w:eastAsia="Calibri"/>
                <w:color w:val="000000"/>
              </w:rPr>
              <w:t>Degradable organic component (kg COD/tonne of product)</w:t>
            </w:r>
          </w:p>
        </w:tc>
        <w:tc>
          <w:tcPr>
            <w:tcW w:w="619" w:type="dxa"/>
            <w:shd w:val="clear" w:color="auto" w:fill="FFFFFF"/>
            <w:tcMar>
              <w:top w:w="0" w:type="dxa"/>
              <w:left w:w="85" w:type="dxa"/>
              <w:bottom w:w="0" w:type="dxa"/>
              <w:right w:w="85" w:type="dxa"/>
            </w:tcMar>
          </w:tcPr>
          <w:p w14:paraId="6759A4C5" w14:textId="77777777" w:rsidR="00BC0FD7" w:rsidRPr="001D5327" w:rsidRDefault="00BC0FD7" w:rsidP="00D11AC9">
            <w:pPr>
              <w:pStyle w:val="TableText"/>
              <w:spacing w:before="40" w:after="40"/>
            </w:pPr>
            <w:r w:rsidRPr="001D5327">
              <w:rPr>
                <w:rFonts w:eastAsia="Calibri"/>
                <w:color w:val="000000"/>
              </w:rPr>
              <w:t>22</w:t>
            </w:r>
          </w:p>
        </w:tc>
        <w:tc>
          <w:tcPr>
            <w:tcW w:w="1559" w:type="dxa"/>
            <w:shd w:val="clear" w:color="auto" w:fill="FFFFFF"/>
            <w:tcMar>
              <w:top w:w="0" w:type="dxa"/>
              <w:left w:w="85" w:type="dxa"/>
              <w:bottom w:w="0" w:type="dxa"/>
              <w:right w:w="85" w:type="dxa"/>
            </w:tcMar>
          </w:tcPr>
          <w:p w14:paraId="7512FF9E" w14:textId="77777777" w:rsidR="00BC0FD7" w:rsidRPr="001D5327" w:rsidRDefault="00BC0FD7" w:rsidP="00D11AC9">
            <w:pPr>
              <w:pStyle w:val="TableText"/>
              <w:spacing w:before="40" w:after="40"/>
            </w:pPr>
            <w:r w:rsidRPr="001D5327">
              <w:rPr>
                <w:rFonts w:eastAsia="Calibri"/>
                <w:color w:val="000000"/>
              </w:rPr>
              <w:t>New Zealand specific</w:t>
            </w:r>
          </w:p>
        </w:tc>
        <w:tc>
          <w:tcPr>
            <w:tcW w:w="2120" w:type="dxa"/>
            <w:shd w:val="clear" w:color="auto" w:fill="FFFFFF"/>
            <w:tcMar>
              <w:top w:w="0" w:type="dxa"/>
              <w:left w:w="85" w:type="dxa"/>
              <w:bottom w:w="0" w:type="dxa"/>
              <w:right w:w="85" w:type="dxa"/>
            </w:tcMar>
          </w:tcPr>
          <w:p w14:paraId="74E5395F" w14:textId="77777777" w:rsidR="00BC0FD7" w:rsidRPr="001D5327" w:rsidRDefault="00BC0FD7" w:rsidP="00D11AC9">
            <w:pPr>
              <w:pStyle w:val="TableText"/>
              <w:spacing w:before="40" w:after="40"/>
            </w:pPr>
            <w:r w:rsidRPr="001D5327">
              <w:rPr>
                <w:rFonts w:eastAsia="Calibri"/>
                <w:color w:val="000000"/>
              </w:rPr>
              <w:t>SCS Wetherill Environmental (unpublished)</w:t>
            </w:r>
          </w:p>
        </w:tc>
      </w:tr>
      <w:tr w:rsidR="00BC0FD7" w:rsidRPr="001D5327" w14:paraId="439D71AE" w14:textId="77777777" w:rsidTr="00F16D27">
        <w:tc>
          <w:tcPr>
            <w:tcW w:w="4196" w:type="dxa"/>
            <w:shd w:val="clear" w:color="auto" w:fill="FFFFFF"/>
            <w:tcMar>
              <w:top w:w="0" w:type="dxa"/>
              <w:left w:w="85" w:type="dxa"/>
              <w:bottom w:w="0" w:type="dxa"/>
              <w:right w:w="85" w:type="dxa"/>
            </w:tcMar>
          </w:tcPr>
          <w:p w14:paraId="06072DA2" w14:textId="77777777" w:rsidR="00BC0FD7" w:rsidRPr="001D5327" w:rsidRDefault="00BC0FD7" w:rsidP="00D11AC9">
            <w:pPr>
              <w:pStyle w:val="TableText"/>
              <w:spacing w:before="40" w:after="40"/>
            </w:pPr>
            <w:r w:rsidRPr="001D5327">
              <w:rPr>
                <w:rFonts w:eastAsia="Calibri"/>
                <w:color w:val="000000"/>
              </w:rPr>
              <w:t>Methane correction factor</w:t>
            </w:r>
          </w:p>
        </w:tc>
        <w:tc>
          <w:tcPr>
            <w:tcW w:w="619" w:type="dxa"/>
            <w:shd w:val="clear" w:color="auto" w:fill="FFFFFF"/>
            <w:tcMar>
              <w:top w:w="0" w:type="dxa"/>
              <w:left w:w="85" w:type="dxa"/>
              <w:bottom w:w="0" w:type="dxa"/>
              <w:right w:w="85" w:type="dxa"/>
            </w:tcMar>
          </w:tcPr>
          <w:p w14:paraId="5C6E4983" w14:textId="77777777" w:rsidR="00BC0FD7" w:rsidRPr="001D5327" w:rsidRDefault="00BC0FD7" w:rsidP="00D11AC9">
            <w:pPr>
              <w:pStyle w:val="TableText"/>
              <w:spacing w:before="40" w:after="40"/>
            </w:pPr>
            <w:r w:rsidRPr="001D5327">
              <w:rPr>
                <w:rFonts w:eastAsia="Calibri"/>
                <w:color w:val="000000"/>
              </w:rPr>
              <w:t>0.29</w:t>
            </w:r>
          </w:p>
        </w:tc>
        <w:tc>
          <w:tcPr>
            <w:tcW w:w="1559" w:type="dxa"/>
            <w:shd w:val="clear" w:color="auto" w:fill="FFFFFF"/>
            <w:tcMar>
              <w:top w:w="0" w:type="dxa"/>
              <w:left w:w="85" w:type="dxa"/>
              <w:bottom w:w="0" w:type="dxa"/>
              <w:right w:w="85" w:type="dxa"/>
            </w:tcMar>
          </w:tcPr>
          <w:p w14:paraId="0E070022" w14:textId="77777777" w:rsidR="00BC0FD7" w:rsidRPr="001D5327" w:rsidRDefault="00BC0FD7" w:rsidP="00D11AC9">
            <w:pPr>
              <w:pStyle w:val="TableText"/>
              <w:spacing w:before="40" w:after="40"/>
            </w:pPr>
            <w:r w:rsidRPr="001D5327">
              <w:rPr>
                <w:rFonts w:eastAsia="Calibri"/>
                <w:color w:val="000000"/>
              </w:rPr>
              <w:t>New Zealand specific</w:t>
            </w:r>
          </w:p>
        </w:tc>
        <w:tc>
          <w:tcPr>
            <w:tcW w:w="2120" w:type="dxa"/>
            <w:shd w:val="clear" w:color="auto" w:fill="FFFFFF"/>
            <w:tcMar>
              <w:top w:w="0" w:type="dxa"/>
              <w:left w:w="85" w:type="dxa"/>
              <w:bottom w:w="0" w:type="dxa"/>
              <w:right w:w="85" w:type="dxa"/>
            </w:tcMar>
          </w:tcPr>
          <w:p w14:paraId="3D9CCE27" w14:textId="77777777" w:rsidR="00BC0FD7" w:rsidRPr="001D5327" w:rsidRDefault="00BC0FD7" w:rsidP="00D11AC9">
            <w:pPr>
              <w:pStyle w:val="TableText"/>
              <w:spacing w:before="40" w:after="40"/>
            </w:pPr>
            <w:r w:rsidRPr="001D5327">
              <w:rPr>
                <w:rFonts w:eastAsia="Calibri"/>
                <w:color w:val="000000"/>
              </w:rPr>
              <w:t>SCS Wetherill Environmental (unpublished)</w:t>
            </w:r>
          </w:p>
        </w:tc>
      </w:tr>
      <w:tr w:rsidR="00BC0FD7" w:rsidRPr="001D5327" w14:paraId="526674BC" w14:textId="77777777" w:rsidTr="00F16D27">
        <w:tc>
          <w:tcPr>
            <w:tcW w:w="4196" w:type="dxa"/>
            <w:shd w:val="clear" w:color="auto" w:fill="FFFFFF"/>
            <w:tcMar>
              <w:top w:w="0" w:type="dxa"/>
              <w:left w:w="85" w:type="dxa"/>
              <w:bottom w:w="0" w:type="dxa"/>
              <w:right w:w="85" w:type="dxa"/>
            </w:tcMar>
          </w:tcPr>
          <w:p w14:paraId="0A1EECF1" w14:textId="77777777" w:rsidR="00BC0FD7" w:rsidRPr="001D5327" w:rsidRDefault="00BC0FD7" w:rsidP="00D11AC9">
            <w:pPr>
              <w:pStyle w:val="TableText"/>
              <w:spacing w:before="40" w:after="40"/>
            </w:pPr>
            <w:r w:rsidRPr="001D5327">
              <w:rPr>
                <w:rFonts w:eastAsia="Calibri"/>
                <w:color w:val="000000"/>
              </w:rPr>
              <w:t>Maximum methane-producing capacity (kg CH₄/kg COD)</w:t>
            </w:r>
          </w:p>
        </w:tc>
        <w:tc>
          <w:tcPr>
            <w:tcW w:w="619" w:type="dxa"/>
            <w:shd w:val="clear" w:color="auto" w:fill="FFFFFF"/>
            <w:tcMar>
              <w:top w:w="0" w:type="dxa"/>
              <w:left w:w="85" w:type="dxa"/>
              <w:bottom w:w="0" w:type="dxa"/>
              <w:right w:w="85" w:type="dxa"/>
            </w:tcMar>
          </w:tcPr>
          <w:p w14:paraId="5F748D06" w14:textId="77777777" w:rsidR="00BC0FD7" w:rsidRPr="001D5327" w:rsidRDefault="00BC0FD7" w:rsidP="00D11AC9">
            <w:pPr>
              <w:pStyle w:val="TableText"/>
              <w:spacing w:before="40" w:after="40"/>
            </w:pPr>
            <w:r w:rsidRPr="001D5327">
              <w:rPr>
                <w:rFonts w:eastAsia="Calibri"/>
                <w:color w:val="000000"/>
              </w:rPr>
              <w:t>0.25</w:t>
            </w:r>
          </w:p>
        </w:tc>
        <w:tc>
          <w:tcPr>
            <w:tcW w:w="1559" w:type="dxa"/>
            <w:shd w:val="clear" w:color="auto" w:fill="FFFFFF"/>
            <w:tcMar>
              <w:top w:w="0" w:type="dxa"/>
              <w:left w:w="85" w:type="dxa"/>
              <w:bottom w:w="0" w:type="dxa"/>
              <w:right w:w="85" w:type="dxa"/>
            </w:tcMar>
          </w:tcPr>
          <w:p w14:paraId="15531738" w14:textId="77777777" w:rsidR="00BC0FD7" w:rsidRPr="001D5327" w:rsidRDefault="00BC0FD7" w:rsidP="00D11AC9">
            <w:pPr>
              <w:pStyle w:val="TableText"/>
              <w:spacing w:before="40" w:after="40"/>
            </w:pPr>
            <w:r w:rsidRPr="001D5327">
              <w:rPr>
                <w:rFonts w:eastAsia="Calibri"/>
                <w:color w:val="000000"/>
              </w:rPr>
              <w:t>IPCC default</w:t>
            </w:r>
          </w:p>
        </w:tc>
        <w:tc>
          <w:tcPr>
            <w:tcW w:w="2120" w:type="dxa"/>
            <w:shd w:val="clear" w:color="auto" w:fill="FFFFFF"/>
            <w:tcMar>
              <w:top w:w="0" w:type="dxa"/>
              <w:left w:w="85" w:type="dxa"/>
              <w:bottom w:w="0" w:type="dxa"/>
              <w:right w:w="85" w:type="dxa"/>
            </w:tcMar>
          </w:tcPr>
          <w:p w14:paraId="2FAE725F" w14:textId="77777777" w:rsidR="00BC0FD7" w:rsidRPr="001D5327" w:rsidRDefault="00BC0FD7" w:rsidP="00D11AC9">
            <w:pPr>
              <w:pStyle w:val="TableText"/>
              <w:spacing w:before="40" w:after="40"/>
            </w:pPr>
            <w:r w:rsidRPr="001D5327">
              <w:rPr>
                <w:rFonts w:eastAsia="Calibri"/>
                <w:color w:val="000000"/>
              </w:rPr>
              <w:t>IPCC (2006a)</w:t>
            </w:r>
          </w:p>
        </w:tc>
      </w:tr>
      <w:tr w:rsidR="00BC0FD7" w:rsidRPr="001D5327" w14:paraId="2DC73DB3" w14:textId="77777777" w:rsidTr="00F16D27">
        <w:tc>
          <w:tcPr>
            <w:tcW w:w="4196" w:type="dxa"/>
            <w:shd w:val="clear" w:color="auto" w:fill="FFFFFF"/>
            <w:tcMar>
              <w:top w:w="0" w:type="dxa"/>
              <w:left w:w="85" w:type="dxa"/>
              <w:bottom w:w="0" w:type="dxa"/>
              <w:right w:w="85" w:type="dxa"/>
            </w:tcMar>
          </w:tcPr>
          <w:p w14:paraId="3F99426A" w14:textId="77777777" w:rsidR="00BC0FD7" w:rsidRPr="001D5327" w:rsidRDefault="00BC0FD7" w:rsidP="00D11AC9">
            <w:pPr>
              <w:pStyle w:val="TableText"/>
              <w:spacing w:before="40" w:after="40"/>
            </w:pPr>
            <w:r w:rsidRPr="001D5327">
              <w:rPr>
                <w:rFonts w:eastAsia="Calibri"/>
                <w:color w:val="000000"/>
              </w:rPr>
              <w:t>Overall emission factor</w:t>
            </w:r>
          </w:p>
        </w:tc>
        <w:tc>
          <w:tcPr>
            <w:tcW w:w="619" w:type="dxa"/>
            <w:shd w:val="clear" w:color="auto" w:fill="FFFFFF"/>
            <w:tcMar>
              <w:top w:w="0" w:type="dxa"/>
              <w:left w:w="85" w:type="dxa"/>
              <w:bottom w:w="0" w:type="dxa"/>
              <w:right w:w="85" w:type="dxa"/>
            </w:tcMar>
          </w:tcPr>
          <w:p w14:paraId="7595A87B" w14:textId="77777777" w:rsidR="00BC0FD7" w:rsidRPr="001D5327" w:rsidRDefault="00BC0FD7" w:rsidP="00D11AC9">
            <w:pPr>
              <w:pStyle w:val="TableText"/>
              <w:spacing w:before="40" w:after="40"/>
            </w:pPr>
            <w:r w:rsidRPr="001D5327">
              <w:rPr>
                <w:rFonts w:eastAsia="Calibri"/>
                <w:color w:val="000000"/>
              </w:rPr>
              <w:t>0.0065</w:t>
            </w:r>
          </w:p>
        </w:tc>
        <w:tc>
          <w:tcPr>
            <w:tcW w:w="1559" w:type="dxa"/>
            <w:shd w:val="clear" w:color="auto" w:fill="FFFFFF"/>
            <w:tcMar>
              <w:top w:w="0" w:type="dxa"/>
              <w:left w:w="85" w:type="dxa"/>
              <w:bottom w:w="0" w:type="dxa"/>
              <w:right w:w="85" w:type="dxa"/>
            </w:tcMar>
          </w:tcPr>
          <w:p w14:paraId="096D7DEF" w14:textId="77777777" w:rsidR="00BC0FD7" w:rsidRPr="001D5327" w:rsidRDefault="00BC0FD7" w:rsidP="00D11AC9">
            <w:pPr>
              <w:pStyle w:val="TableText"/>
              <w:spacing w:before="40" w:after="40"/>
            </w:pPr>
            <w:r w:rsidRPr="001D5327">
              <w:rPr>
                <w:rFonts w:eastAsia="Calibri"/>
                <w:color w:val="000000"/>
              </w:rPr>
              <w:t>New Zealand specific</w:t>
            </w:r>
          </w:p>
        </w:tc>
        <w:tc>
          <w:tcPr>
            <w:tcW w:w="2120" w:type="dxa"/>
            <w:shd w:val="clear" w:color="auto" w:fill="FFFFFF"/>
            <w:tcMar>
              <w:top w:w="0" w:type="dxa"/>
              <w:left w:w="85" w:type="dxa"/>
              <w:bottom w:w="0" w:type="dxa"/>
              <w:right w:w="85" w:type="dxa"/>
            </w:tcMar>
          </w:tcPr>
          <w:p w14:paraId="4884E80E" w14:textId="77777777" w:rsidR="00BC0FD7" w:rsidRPr="001D5327" w:rsidRDefault="00BC0FD7" w:rsidP="00D11AC9">
            <w:pPr>
              <w:pStyle w:val="TableText"/>
              <w:spacing w:before="40" w:after="40"/>
            </w:pPr>
            <w:r w:rsidRPr="001D5327">
              <w:rPr>
                <w:rFonts w:eastAsia="Calibri"/>
                <w:color w:val="000000"/>
              </w:rPr>
              <w:t>SCS Wetherill Environmental (unpublished)</w:t>
            </w:r>
          </w:p>
        </w:tc>
      </w:tr>
    </w:tbl>
    <w:p w14:paraId="4F96C2FC" w14:textId="77777777" w:rsidR="00BC0FD7" w:rsidRPr="001D5327" w:rsidRDefault="00BC0FD7" w:rsidP="00BC0FD7">
      <w:pPr>
        <w:pStyle w:val="Noteundertable"/>
      </w:pPr>
      <w:r w:rsidRPr="001D5327">
        <w:rPr>
          <w:b/>
          <w:bCs/>
        </w:rPr>
        <w:t>Note:</w:t>
      </w:r>
      <w:r w:rsidRPr="001D5327">
        <w:t xml:space="preserve"> COD = chemical oxygen demand.</w:t>
      </w:r>
    </w:p>
    <w:p w14:paraId="65C317E9" w14:textId="77777777" w:rsidR="00BC0FD7" w:rsidRPr="001D5327" w:rsidRDefault="00BC0FD7" w:rsidP="00BC0FD7">
      <w:pPr>
        <w:pStyle w:val="Heading6"/>
      </w:pPr>
      <w:bookmarkStart w:id="2902" w:name="recovery-5"/>
      <w:r w:rsidRPr="001D5327">
        <w:lastRenderedPageBreak/>
        <w:t>Recovery</w:t>
      </w:r>
    </w:p>
    <w:p w14:paraId="087921BC" w14:textId="77777777" w:rsidR="00BC0FD7" w:rsidRPr="001D5327" w:rsidRDefault="00BC0FD7" w:rsidP="00BC0FD7">
      <w:pPr>
        <w:pStyle w:val="BodyText"/>
      </w:pPr>
      <w:r w:rsidRPr="001D5327">
        <w:t>There is no recovery of emissions reported for this source.</w:t>
      </w:r>
    </w:p>
    <w:p w14:paraId="2A0FE5D7" w14:textId="77777777" w:rsidR="00BC0FD7" w:rsidRPr="001D5327" w:rsidRDefault="00BC0FD7" w:rsidP="00BC0FD7">
      <w:pPr>
        <w:pStyle w:val="Heading5"/>
      </w:pPr>
      <w:bookmarkStart w:id="2903" w:name="Xc1a340efd67d5eccc23ff934f22dc8335d4080f"/>
      <w:bookmarkEnd w:id="2900"/>
      <w:bookmarkEnd w:id="2902"/>
      <w:r w:rsidRPr="001D5327">
        <w:t>Methane emissions from industrial wastewater treatment – Leather and skins industry</w:t>
      </w:r>
    </w:p>
    <w:p w14:paraId="3EF139F4" w14:textId="77777777" w:rsidR="00BC0FD7" w:rsidRPr="001D5327" w:rsidRDefault="00BC0FD7" w:rsidP="00BC0FD7">
      <w:pPr>
        <w:pStyle w:val="BodyText"/>
      </w:pPr>
      <w:r w:rsidRPr="001D5327">
        <w:t>Table 7.5.12 summarises the parameter values applied for estimating CH</w:t>
      </w:r>
      <w:r w:rsidRPr="001D5327">
        <w:rPr>
          <w:vertAlign w:val="subscript"/>
        </w:rPr>
        <w:t>4</w:t>
      </w:r>
      <w:r w:rsidRPr="001D5327">
        <w:t xml:space="preserve"> emissions from wastewater treatment by the leather and skins industry.</w:t>
      </w:r>
    </w:p>
    <w:p w14:paraId="47491F1B" w14:textId="06BEAEA5" w:rsidR="00BC0FD7" w:rsidRPr="001D5327" w:rsidRDefault="00BC0FD7" w:rsidP="00BC0FD7">
      <w:pPr>
        <w:pStyle w:val="Table"/>
      </w:pPr>
      <w:bookmarkStart w:id="2904" w:name="_Toc194241827"/>
      <w:r w:rsidRPr="001D5327">
        <w:t xml:space="preserve">Table 7.5.12 </w:t>
      </w:r>
      <w:r w:rsidRPr="001D5327">
        <w:tab/>
        <w:t>Parameter values applied by New Zealand for estimating methane emissions for wastewater</w:t>
      </w:r>
      <w:r w:rsidR="009C2100" w:rsidRPr="001D5327">
        <w:t> </w:t>
      </w:r>
      <w:r w:rsidRPr="001D5327">
        <w:t>treatment by the leather and skins industry</w:t>
      </w:r>
      <w:bookmarkEnd w:id="2904"/>
    </w:p>
    <w:tbl>
      <w:tblPr>
        <w:tblW w:w="8494"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3433"/>
        <w:gridCol w:w="1382"/>
        <w:gridCol w:w="1559"/>
        <w:gridCol w:w="2120"/>
      </w:tblGrid>
      <w:tr w:rsidR="00BC0FD7" w:rsidRPr="001D5327" w14:paraId="45C71F58" w14:textId="77777777" w:rsidTr="00C3312C">
        <w:trPr>
          <w:tblHeader/>
        </w:trPr>
        <w:tc>
          <w:tcPr>
            <w:tcW w:w="0" w:type="auto"/>
            <w:shd w:val="clear" w:color="auto" w:fill="1B556B"/>
            <w:tcMar>
              <w:top w:w="0" w:type="dxa"/>
              <w:left w:w="85" w:type="dxa"/>
              <w:bottom w:w="0" w:type="dxa"/>
              <w:right w:w="85" w:type="dxa"/>
            </w:tcMar>
          </w:tcPr>
          <w:p w14:paraId="5B3B2400"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Parameter</w:t>
            </w:r>
          </w:p>
        </w:tc>
        <w:tc>
          <w:tcPr>
            <w:tcW w:w="1382" w:type="dxa"/>
            <w:shd w:val="clear" w:color="auto" w:fill="1B556B"/>
            <w:tcMar>
              <w:top w:w="0" w:type="dxa"/>
              <w:left w:w="85" w:type="dxa"/>
              <w:bottom w:w="0" w:type="dxa"/>
              <w:right w:w="85" w:type="dxa"/>
            </w:tcMar>
          </w:tcPr>
          <w:p w14:paraId="06E10200"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Value</w:t>
            </w:r>
          </w:p>
        </w:tc>
        <w:tc>
          <w:tcPr>
            <w:tcW w:w="1559" w:type="dxa"/>
            <w:shd w:val="clear" w:color="auto" w:fill="1B556B"/>
            <w:tcMar>
              <w:top w:w="0" w:type="dxa"/>
              <w:left w:w="85" w:type="dxa"/>
              <w:bottom w:w="0" w:type="dxa"/>
              <w:right w:w="85" w:type="dxa"/>
            </w:tcMar>
          </w:tcPr>
          <w:p w14:paraId="01165FFE"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Source</w:t>
            </w:r>
          </w:p>
        </w:tc>
        <w:tc>
          <w:tcPr>
            <w:tcW w:w="2120" w:type="dxa"/>
            <w:shd w:val="clear" w:color="auto" w:fill="1B556B"/>
            <w:tcMar>
              <w:top w:w="0" w:type="dxa"/>
              <w:left w:w="85" w:type="dxa"/>
              <w:bottom w:w="0" w:type="dxa"/>
              <w:right w:w="85" w:type="dxa"/>
            </w:tcMar>
          </w:tcPr>
          <w:p w14:paraId="526D4A45"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Reference</w:t>
            </w:r>
          </w:p>
        </w:tc>
      </w:tr>
      <w:tr w:rsidR="00BC0FD7" w:rsidRPr="001D5327" w14:paraId="561D6802" w14:textId="77777777" w:rsidTr="00C3312C">
        <w:tc>
          <w:tcPr>
            <w:tcW w:w="0" w:type="auto"/>
            <w:shd w:val="clear" w:color="auto" w:fill="FFFFFF"/>
            <w:tcMar>
              <w:top w:w="0" w:type="dxa"/>
              <w:left w:w="85" w:type="dxa"/>
              <w:bottom w:w="0" w:type="dxa"/>
              <w:right w:w="85" w:type="dxa"/>
            </w:tcMar>
          </w:tcPr>
          <w:p w14:paraId="030A55F4" w14:textId="77777777" w:rsidR="00BC0FD7" w:rsidRPr="001D5327" w:rsidRDefault="00BC0FD7" w:rsidP="00D11AC9">
            <w:pPr>
              <w:pStyle w:val="TableText"/>
              <w:spacing w:before="40" w:after="40"/>
            </w:pPr>
            <w:r w:rsidRPr="001D5327">
              <w:rPr>
                <w:rFonts w:eastAsia="Calibri"/>
                <w:color w:val="000000"/>
              </w:rPr>
              <w:t>Degradable organic component (kg COD/tonne of product)</w:t>
            </w:r>
          </w:p>
        </w:tc>
        <w:tc>
          <w:tcPr>
            <w:tcW w:w="1382" w:type="dxa"/>
            <w:shd w:val="clear" w:color="auto" w:fill="FFFFFF"/>
            <w:tcMar>
              <w:top w:w="0" w:type="dxa"/>
              <w:left w:w="85" w:type="dxa"/>
              <w:bottom w:w="0" w:type="dxa"/>
              <w:right w:w="85" w:type="dxa"/>
            </w:tcMar>
          </w:tcPr>
          <w:p w14:paraId="3E902318" w14:textId="77777777" w:rsidR="00BC0FD7" w:rsidRPr="001D5327" w:rsidRDefault="00BC0FD7" w:rsidP="00D11AC9">
            <w:pPr>
              <w:pStyle w:val="TableText"/>
              <w:spacing w:before="40" w:after="40"/>
              <w:jc w:val="right"/>
            </w:pPr>
            <w:r w:rsidRPr="001D5327">
              <w:rPr>
                <w:rFonts w:eastAsia="Calibri"/>
                <w:color w:val="000000"/>
              </w:rPr>
              <w:t>180</w:t>
            </w:r>
          </w:p>
        </w:tc>
        <w:tc>
          <w:tcPr>
            <w:tcW w:w="1559" w:type="dxa"/>
            <w:shd w:val="clear" w:color="auto" w:fill="FFFFFF"/>
            <w:tcMar>
              <w:top w:w="0" w:type="dxa"/>
              <w:left w:w="85" w:type="dxa"/>
              <w:bottom w:w="0" w:type="dxa"/>
              <w:right w:w="85" w:type="dxa"/>
            </w:tcMar>
          </w:tcPr>
          <w:p w14:paraId="3A9F2511" w14:textId="77777777" w:rsidR="00BC0FD7" w:rsidRPr="001D5327" w:rsidRDefault="00BC0FD7" w:rsidP="00D11AC9">
            <w:pPr>
              <w:pStyle w:val="TableText"/>
              <w:spacing w:before="40" w:after="40"/>
            </w:pPr>
            <w:r w:rsidRPr="001D5327">
              <w:rPr>
                <w:rFonts w:eastAsia="Calibri"/>
                <w:color w:val="000000"/>
              </w:rPr>
              <w:t>New Zealand specific</w:t>
            </w:r>
          </w:p>
        </w:tc>
        <w:tc>
          <w:tcPr>
            <w:tcW w:w="2120" w:type="dxa"/>
            <w:shd w:val="clear" w:color="auto" w:fill="FFFFFF"/>
            <w:tcMar>
              <w:top w:w="0" w:type="dxa"/>
              <w:left w:w="85" w:type="dxa"/>
              <w:bottom w:w="0" w:type="dxa"/>
              <w:right w:w="85" w:type="dxa"/>
            </w:tcMar>
          </w:tcPr>
          <w:p w14:paraId="065DC363" w14:textId="77777777" w:rsidR="00BC0FD7" w:rsidRPr="001D5327" w:rsidRDefault="00BC0FD7" w:rsidP="00D11AC9">
            <w:pPr>
              <w:pStyle w:val="TableText"/>
              <w:spacing w:before="40" w:after="40"/>
            </w:pPr>
            <w:r w:rsidRPr="001D5327">
              <w:rPr>
                <w:rFonts w:eastAsia="Calibri"/>
                <w:color w:val="000000"/>
              </w:rPr>
              <w:t>SCS Wetherill Environmental (unpublished)</w:t>
            </w:r>
          </w:p>
        </w:tc>
      </w:tr>
      <w:tr w:rsidR="00BC0FD7" w:rsidRPr="001D5327" w14:paraId="77879F2A" w14:textId="77777777" w:rsidTr="00C3312C">
        <w:tc>
          <w:tcPr>
            <w:tcW w:w="0" w:type="auto"/>
            <w:shd w:val="clear" w:color="auto" w:fill="FFFFFF"/>
            <w:tcMar>
              <w:top w:w="0" w:type="dxa"/>
              <w:left w:w="85" w:type="dxa"/>
              <w:bottom w:w="0" w:type="dxa"/>
              <w:right w:w="85" w:type="dxa"/>
            </w:tcMar>
          </w:tcPr>
          <w:p w14:paraId="412BF3A9" w14:textId="77777777" w:rsidR="00BC0FD7" w:rsidRPr="001D5327" w:rsidRDefault="00BC0FD7" w:rsidP="00D11AC9">
            <w:pPr>
              <w:pStyle w:val="TableText"/>
              <w:spacing w:before="40" w:after="40"/>
            </w:pPr>
            <w:r w:rsidRPr="001D5327">
              <w:rPr>
                <w:rFonts w:eastAsia="Calibri"/>
                <w:color w:val="000000"/>
              </w:rPr>
              <w:t>Methane correction factor</w:t>
            </w:r>
          </w:p>
        </w:tc>
        <w:tc>
          <w:tcPr>
            <w:tcW w:w="1382" w:type="dxa"/>
            <w:shd w:val="clear" w:color="auto" w:fill="FFFFFF"/>
            <w:tcMar>
              <w:top w:w="0" w:type="dxa"/>
              <w:left w:w="85" w:type="dxa"/>
              <w:bottom w:w="0" w:type="dxa"/>
              <w:right w:w="85" w:type="dxa"/>
            </w:tcMar>
          </w:tcPr>
          <w:p w14:paraId="4E2F798E" w14:textId="77777777" w:rsidR="00BC0FD7" w:rsidRPr="001D5327" w:rsidRDefault="00BC0FD7" w:rsidP="00D11AC9">
            <w:pPr>
              <w:pStyle w:val="TableText"/>
              <w:spacing w:before="40" w:after="40"/>
              <w:jc w:val="right"/>
            </w:pPr>
            <w:r w:rsidRPr="001D5327">
              <w:rPr>
                <w:rFonts w:eastAsia="Calibri"/>
                <w:color w:val="000000"/>
              </w:rPr>
              <w:t>Range of 0–0.55</w:t>
            </w:r>
          </w:p>
        </w:tc>
        <w:tc>
          <w:tcPr>
            <w:tcW w:w="1559" w:type="dxa"/>
            <w:shd w:val="clear" w:color="auto" w:fill="FFFFFF"/>
            <w:tcMar>
              <w:top w:w="0" w:type="dxa"/>
              <w:left w:w="85" w:type="dxa"/>
              <w:bottom w:w="0" w:type="dxa"/>
              <w:right w:w="85" w:type="dxa"/>
            </w:tcMar>
          </w:tcPr>
          <w:p w14:paraId="0E570A4A" w14:textId="77777777" w:rsidR="00BC0FD7" w:rsidRPr="001D5327" w:rsidRDefault="00BC0FD7" w:rsidP="00D11AC9">
            <w:pPr>
              <w:pStyle w:val="TableText"/>
              <w:spacing w:before="40" w:after="40"/>
            </w:pPr>
            <w:r w:rsidRPr="001D5327">
              <w:rPr>
                <w:rFonts w:eastAsia="Calibri"/>
                <w:color w:val="000000"/>
              </w:rPr>
              <w:t>New Zealand specific</w:t>
            </w:r>
          </w:p>
        </w:tc>
        <w:tc>
          <w:tcPr>
            <w:tcW w:w="2120" w:type="dxa"/>
            <w:shd w:val="clear" w:color="auto" w:fill="FFFFFF"/>
            <w:tcMar>
              <w:top w:w="0" w:type="dxa"/>
              <w:left w:w="85" w:type="dxa"/>
              <w:bottom w:w="0" w:type="dxa"/>
              <w:right w:w="85" w:type="dxa"/>
            </w:tcMar>
          </w:tcPr>
          <w:p w14:paraId="3C327A39" w14:textId="77777777" w:rsidR="00BC0FD7" w:rsidRPr="001D5327" w:rsidRDefault="00BC0FD7" w:rsidP="00D11AC9">
            <w:pPr>
              <w:pStyle w:val="TableText"/>
              <w:spacing w:before="40" w:after="40"/>
            </w:pPr>
            <w:r w:rsidRPr="001D5327">
              <w:rPr>
                <w:rFonts w:eastAsia="Calibri"/>
                <w:color w:val="000000"/>
              </w:rPr>
              <w:t>SCS Wetherill Environmental (unpublished)</w:t>
            </w:r>
          </w:p>
        </w:tc>
      </w:tr>
      <w:tr w:rsidR="00BC0FD7" w:rsidRPr="001D5327" w14:paraId="192DDA36" w14:textId="77777777" w:rsidTr="00C3312C">
        <w:tc>
          <w:tcPr>
            <w:tcW w:w="0" w:type="auto"/>
            <w:shd w:val="clear" w:color="auto" w:fill="FFFFFF"/>
            <w:tcMar>
              <w:top w:w="0" w:type="dxa"/>
              <w:left w:w="85" w:type="dxa"/>
              <w:bottom w:w="0" w:type="dxa"/>
              <w:right w:w="85" w:type="dxa"/>
            </w:tcMar>
          </w:tcPr>
          <w:p w14:paraId="28F212E2" w14:textId="77777777" w:rsidR="00BC0FD7" w:rsidRPr="001D5327" w:rsidRDefault="00BC0FD7" w:rsidP="00D11AC9">
            <w:pPr>
              <w:pStyle w:val="TableText"/>
              <w:spacing w:before="40" w:after="40"/>
            </w:pPr>
            <w:r w:rsidRPr="001D5327">
              <w:rPr>
                <w:rFonts w:eastAsia="Calibri"/>
                <w:color w:val="000000"/>
              </w:rPr>
              <w:t>Maximum methane-producing capacity (kg CH₄/kg COD)</w:t>
            </w:r>
          </w:p>
        </w:tc>
        <w:tc>
          <w:tcPr>
            <w:tcW w:w="1382" w:type="dxa"/>
            <w:shd w:val="clear" w:color="auto" w:fill="FFFFFF"/>
            <w:tcMar>
              <w:top w:w="0" w:type="dxa"/>
              <w:left w:w="85" w:type="dxa"/>
              <w:bottom w:w="0" w:type="dxa"/>
              <w:right w:w="85" w:type="dxa"/>
            </w:tcMar>
          </w:tcPr>
          <w:p w14:paraId="69CB2F0E" w14:textId="77777777" w:rsidR="00BC0FD7" w:rsidRPr="001D5327" w:rsidRDefault="00BC0FD7" w:rsidP="00D11AC9">
            <w:pPr>
              <w:pStyle w:val="TableText"/>
              <w:spacing w:before="40" w:after="40"/>
              <w:jc w:val="right"/>
            </w:pPr>
            <w:r w:rsidRPr="001D5327">
              <w:rPr>
                <w:rFonts w:eastAsia="Calibri"/>
                <w:color w:val="000000"/>
              </w:rPr>
              <w:t>0.25</w:t>
            </w:r>
          </w:p>
        </w:tc>
        <w:tc>
          <w:tcPr>
            <w:tcW w:w="1559" w:type="dxa"/>
            <w:shd w:val="clear" w:color="auto" w:fill="FFFFFF"/>
            <w:tcMar>
              <w:top w:w="0" w:type="dxa"/>
              <w:left w:w="85" w:type="dxa"/>
              <w:bottom w:w="0" w:type="dxa"/>
              <w:right w:w="85" w:type="dxa"/>
            </w:tcMar>
          </w:tcPr>
          <w:p w14:paraId="32D92CD0" w14:textId="77777777" w:rsidR="00BC0FD7" w:rsidRPr="001D5327" w:rsidRDefault="00BC0FD7" w:rsidP="00D11AC9">
            <w:pPr>
              <w:pStyle w:val="TableText"/>
              <w:spacing w:before="40" w:after="40"/>
            </w:pPr>
            <w:r w:rsidRPr="001D5327">
              <w:rPr>
                <w:rFonts w:eastAsia="Calibri"/>
                <w:color w:val="000000"/>
              </w:rPr>
              <w:t>IPCC default</w:t>
            </w:r>
          </w:p>
        </w:tc>
        <w:tc>
          <w:tcPr>
            <w:tcW w:w="2120" w:type="dxa"/>
            <w:shd w:val="clear" w:color="auto" w:fill="FFFFFF"/>
            <w:tcMar>
              <w:top w:w="0" w:type="dxa"/>
              <w:left w:w="85" w:type="dxa"/>
              <w:bottom w:w="0" w:type="dxa"/>
              <w:right w:w="85" w:type="dxa"/>
            </w:tcMar>
          </w:tcPr>
          <w:p w14:paraId="509903A6" w14:textId="77777777" w:rsidR="00BC0FD7" w:rsidRPr="001D5327" w:rsidRDefault="00BC0FD7" w:rsidP="00D11AC9">
            <w:pPr>
              <w:pStyle w:val="TableText"/>
              <w:spacing w:before="40" w:after="40"/>
            </w:pPr>
            <w:r w:rsidRPr="001D5327">
              <w:rPr>
                <w:rFonts w:eastAsia="Calibri"/>
                <w:color w:val="000000"/>
              </w:rPr>
              <w:t>IPCC (2006a)</w:t>
            </w:r>
          </w:p>
        </w:tc>
      </w:tr>
      <w:tr w:rsidR="00BC0FD7" w:rsidRPr="001D5327" w14:paraId="16D95FF1" w14:textId="77777777" w:rsidTr="00C3312C">
        <w:tc>
          <w:tcPr>
            <w:tcW w:w="0" w:type="auto"/>
            <w:shd w:val="clear" w:color="auto" w:fill="FFFFFF"/>
            <w:tcMar>
              <w:top w:w="0" w:type="dxa"/>
              <w:left w:w="85" w:type="dxa"/>
              <w:bottom w:w="0" w:type="dxa"/>
              <w:right w:w="85" w:type="dxa"/>
            </w:tcMar>
          </w:tcPr>
          <w:p w14:paraId="0F191A78" w14:textId="77777777" w:rsidR="00BC0FD7" w:rsidRPr="001D5327" w:rsidRDefault="00BC0FD7" w:rsidP="00D11AC9">
            <w:pPr>
              <w:pStyle w:val="TableText"/>
              <w:spacing w:before="40" w:after="40"/>
            </w:pPr>
            <w:r w:rsidRPr="001D5327">
              <w:rPr>
                <w:rFonts w:eastAsia="Calibri"/>
                <w:color w:val="000000"/>
              </w:rPr>
              <w:t>Overall emission factor</w:t>
            </w:r>
          </w:p>
        </w:tc>
        <w:tc>
          <w:tcPr>
            <w:tcW w:w="1382" w:type="dxa"/>
            <w:shd w:val="clear" w:color="auto" w:fill="FFFFFF"/>
            <w:tcMar>
              <w:top w:w="0" w:type="dxa"/>
              <w:left w:w="85" w:type="dxa"/>
              <w:bottom w:w="0" w:type="dxa"/>
              <w:right w:w="85" w:type="dxa"/>
            </w:tcMar>
          </w:tcPr>
          <w:p w14:paraId="511920B2" w14:textId="77777777" w:rsidR="00BC0FD7" w:rsidRPr="001D5327" w:rsidRDefault="00BC0FD7" w:rsidP="00D11AC9">
            <w:pPr>
              <w:pStyle w:val="TableText"/>
              <w:spacing w:before="40" w:after="40"/>
              <w:jc w:val="right"/>
            </w:pPr>
            <w:r w:rsidRPr="001D5327">
              <w:rPr>
                <w:rFonts w:eastAsia="Calibri"/>
                <w:color w:val="000000"/>
              </w:rPr>
              <w:t>0.0124</w:t>
            </w:r>
          </w:p>
        </w:tc>
        <w:tc>
          <w:tcPr>
            <w:tcW w:w="1559" w:type="dxa"/>
            <w:shd w:val="clear" w:color="auto" w:fill="FFFFFF"/>
            <w:tcMar>
              <w:top w:w="0" w:type="dxa"/>
              <w:left w:w="85" w:type="dxa"/>
              <w:bottom w:w="0" w:type="dxa"/>
              <w:right w:w="85" w:type="dxa"/>
            </w:tcMar>
          </w:tcPr>
          <w:p w14:paraId="4C0821DB" w14:textId="77777777" w:rsidR="00BC0FD7" w:rsidRPr="001D5327" w:rsidRDefault="00BC0FD7" w:rsidP="00D11AC9">
            <w:pPr>
              <w:pStyle w:val="TableText"/>
              <w:spacing w:before="40" w:after="40"/>
            </w:pPr>
            <w:r w:rsidRPr="001D5327">
              <w:rPr>
                <w:rFonts w:eastAsia="Calibri"/>
                <w:color w:val="000000"/>
              </w:rPr>
              <w:t>New Zealand specific</w:t>
            </w:r>
          </w:p>
        </w:tc>
        <w:tc>
          <w:tcPr>
            <w:tcW w:w="2120" w:type="dxa"/>
            <w:shd w:val="clear" w:color="auto" w:fill="FFFFFF"/>
            <w:tcMar>
              <w:top w:w="0" w:type="dxa"/>
              <w:left w:w="85" w:type="dxa"/>
              <w:bottom w:w="0" w:type="dxa"/>
              <w:right w:w="85" w:type="dxa"/>
            </w:tcMar>
          </w:tcPr>
          <w:p w14:paraId="6F07BC8D" w14:textId="77777777" w:rsidR="00BC0FD7" w:rsidRPr="001D5327" w:rsidRDefault="00BC0FD7" w:rsidP="00D11AC9">
            <w:pPr>
              <w:pStyle w:val="TableText"/>
              <w:spacing w:before="40" w:after="40"/>
            </w:pPr>
            <w:r w:rsidRPr="001D5327">
              <w:rPr>
                <w:rFonts w:eastAsia="Calibri"/>
                <w:color w:val="000000"/>
              </w:rPr>
              <w:t>SCS Wetherill Environmental (unpublished)</w:t>
            </w:r>
          </w:p>
        </w:tc>
      </w:tr>
    </w:tbl>
    <w:p w14:paraId="2C4257A0" w14:textId="77777777" w:rsidR="00BC0FD7" w:rsidRPr="001D5327" w:rsidRDefault="00BC0FD7" w:rsidP="00BC0FD7">
      <w:pPr>
        <w:pStyle w:val="Noteundertable"/>
      </w:pPr>
      <w:r w:rsidRPr="001D5327">
        <w:rPr>
          <w:b/>
          <w:bCs/>
        </w:rPr>
        <w:t>Note:</w:t>
      </w:r>
      <w:r w:rsidRPr="001D5327">
        <w:t xml:space="preserve"> COD = chemical oxygen demand.</w:t>
      </w:r>
    </w:p>
    <w:p w14:paraId="08285C03" w14:textId="77777777" w:rsidR="00BC0FD7" w:rsidRPr="001D5327" w:rsidRDefault="00BC0FD7" w:rsidP="00BC0FD7">
      <w:pPr>
        <w:pStyle w:val="Heading6"/>
      </w:pPr>
      <w:bookmarkStart w:id="2905" w:name="recovery-6"/>
      <w:r w:rsidRPr="001D5327">
        <w:t>Recovery</w:t>
      </w:r>
    </w:p>
    <w:p w14:paraId="0F5E8C20" w14:textId="77777777" w:rsidR="00BC0FD7" w:rsidRPr="001D5327" w:rsidRDefault="00BC0FD7" w:rsidP="00BC0FD7">
      <w:pPr>
        <w:pStyle w:val="BodyText"/>
      </w:pPr>
      <w:r w:rsidRPr="001D5327">
        <w:t>There is no recovery of emissions reported for this source.</w:t>
      </w:r>
    </w:p>
    <w:p w14:paraId="39326178" w14:textId="77777777" w:rsidR="00BC0FD7" w:rsidRPr="001D5327" w:rsidRDefault="00BC0FD7" w:rsidP="00BC0FD7">
      <w:pPr>
        <w:pStyle w:val="Heading5"/>
      </w:pPr>
      <w:bookmarkStart w:id="2906" w:name="Xe49511f11d376eec0be6644f93ad4abce330135"/>
      <w:bookmarkEnd w:id="2903"/>
      <w:bookmarkEnd w:id="2905"/>
      <w:r w:rsidRPr="001D5327">
        <w:t>Nitrous oxide emissions from industrial wastewater treatment – Meat industry</w:t>
      </w:r>
    </w:p>
    <w:p w14:paraId="5CD21B1F" w14:textId="77777777" w:rsidR="00BC0FD7" w:rsidRPr="001D5327" w:rsidRDefault="00BC0FD7" w:rsidP="00BC0FD7">
      <w:pPr>
        <w:pStyle w:val="BodyText"/>
      </w:pPr>
      <w:r w:rsidRPr="001D5327">
        <w:t>Table 7.5.13 summarises the parameter values applied for estimating N</w:t>
      </w:r>
      <w:r w:rsidRPr="001D5327">
        <w:rPr>
          <w:vertAlign w:val="subscript"/>
        </w:rPr>
        <w:t>2</w:t>
      </w:r>
      <w:r w:rsidRPr="001D5327">
        <w:t>O emissions from wastewater treatment by the meat industry.</w:t>
      </w:r>
    </w:p>
    <w:p w14:paraId="03676F00" w14:textId="69ED9318" w:rsidR="00BC0FD7" w:rsidRPr="001D5327" w:rsidRDefault="00BC0FD7" w:rsidP="00BC0FD7">
      <w:pPr>
        <w:pStyle w:val="Table"/>
      </w:pPr>
      <w:bookmarkStart w:id="2907" w:name="_Toc194241828"/>
      <w:r w:rsidRPr="001D5327">
        <w:t xml:space="preserve">Table 7.5.13 </w:t>
      </w:r>
      <w:r w:rsidRPr="001D5327">
        <w:tab/>
        <w:t>Parameter values applied by New Zealand for estimating nitrous oxide emissions for wastewater</w:t>
      </w:r>
      <w:r w:rsidR="009C2100" w:rsidRPr="001D5327">
        <w:t> </w:t>
      </w:r>
      <w:r w:rsidRPr="001D5327">
        <w:t>treatment for the meat industry</w:t>
      </w:r>
      <w:bookmarkEnd w:id="2907"/>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830"/>
        <w:gridCol w:w="1874"/>
        <w:gridCol w:w="1670"/>
        <w:gridCol w:w="2120"/>
      </w:tblGrid>
      <w:tr w:rsidR="00BC0FD7" w:rsidRPr="001D5327" w14:paraId="38631701" w14:textId="77777777" w:rsidTr="00C3312C">
        <w:trPr>
          <w:tblHeader/>
        </w:trPr>
        <w:tc>
          <w:tcPr>
            <w:tcW w:w="2830" w:type="dxa"/>
            <w:shd w:val="clear" w:color="auto" w:fill="1B556B"/>
            <w:tcMar>
              <w:top w:w="0" w:type="dxa"/>
              <w:left w:w="85" w:type="dxa"/>
              <w:bottom w:w="0" w:type="dxa"/>
              <w:right w:w="85" w:type="dxa"/>
            </w:tcMar>
          </w:tcPr>
          <w:p w14:paraId="3219F458" w14:textId="77777777" w:rsidR="00BC0FD7" w:rsidRPr="001D5327" w:rsidRDefault="00BC0FD7" w:rsidP="00D11AC9">
            <w:pPr>
              <w:pStyle w:val="TableText"/>
              <w:spacing w:before="40" w:after="40"/>
              <w:rPr>
                <w:b/>
                <w:bCs/>
                <w:color w:val="FFFFFF" w:themeColor="background1"/>
              </w:rPr>
            </w:pPr>
            <w:r w:rsidRPr="001D5327">
              <w:rPr>
                <w:rFonts w:eastAsia="Calibri"/>
                <w:b/>
                <w:bCs/>
                <w:color w:val="FFFFFF" w:themeColor="background1"/>
              </w:rPr>
              <w:t>Parameter</w:t>
            </w:r>
          </w:p>
        </w:tc>
        <w:tc>
          <w:tcPr>
            <w:tcW w:w="1874" w:type="dxa"/>
            <w:shd w:val="clear" w:color="auto" w:fill="1B556B"/>
            <w:tcMar>
              <w:top w:w="0" w:type="dxa"/>
              <w:left w:w="85" w:type="dxa"/>
              <w:bottom w:w="0" w:type="dxa"/>
              <w:right w:w="85" w:type="dxa"/>
            </w:tcMar>
          </w:tcPr>
          <w:p w14:paraId="28BFA74A" w14:textId="77777777" w:rsidR="00BC0FD7" w:rsidRPr="001D5327" w:rsidRDefault="00BC0FD7" w:rsidP="00D11AC9">
            <w:pPr>
              <w:pStyle w:val="TableText"/>
              <w:spacing w:before="40" w:after="40"/>
              <w:jc w:val="right"/>
              <w:rPr>
                <w:b/>
                <w:bCs/>
                <w:color w:val="FFFFFF" w:themeColor="background1"/>
              </w:rPr>
            </w:pPr>
            <w:r w:rsidRPr="001D5327">
              <w:rPr>
                <w:rFonts w:eastAsia="Calibri"/>
                <w:b/>
                <w:bCs/>
                <w:color w:val="FFFFFF" w:themeColor="background1"/>
              </w:rPr>
              <w:t>Value</w:t>
            </w:r>
          </w:p>
        </w:tc>
        <w:tc>
          <w:tcPr>
            <w:tcW w:w="1670" w:type="dxa"/>
            <w:shd w:val="clear" w:color="auto" w:fill="1B556B"/>
            <w:tcMar>
              <w:top w:w="0" w:type="dxa"/>
              <w:left w:w="85" w:type="dxa"/>
              <w:bottom w:w="0" w:type="dxa"/>
              <w:right w:w="85" w:type="dxa"/>
            </w:tcMar>
          </w:tcPr>
          <w:p w14:paraId="5B819B1F" w14:textId="77777777" w:rsidR="00BC0FD7" w:rsidRPr="001D5327" w:rsidRDefault="00BC0FD7" w:rsidP="00D11AC9">
            <w:pPr>
              <w:pStyle w:val="TableText"/>
              <w:spacing w:before="40" w:after="40"/>
              <w:rPr>
                <w:b/>
                <w:bCs/>
                <w:color w:val="FFFFFF" w:themeColor="background1"/>
              </w:rPr>
            </w:pPr>
            <w:r w:rsidRPr="001D5327">
              <w:rPr>
                <w:rFonts w:eastAsia="Calibri"/>
                <w:b/>
                <w:bCs/>
                <w:color w:val="FFFFFF" w:themeColor="background1"/>
              </w:rPr>
              <w:t>Source</w:t>
            </w:r>
          </w:p>
        </w:tc>
        <w:tc>
          <w:tcPr>
            <w:tcW w:w="2120" w:type="dxa"/>
            <w:shd w:val="clear" w:color="auto" w:fill="1B556B"/>
            <w:tcMar>
              <w:top w:w="0" w:type="dxa"/>
              <w:left w:w="85" w:type="dxa"/>
              <w:bottom w:w="0" w:type="dxa"/>
              <w:right w:w="85" w:type="dxa"/>
            </w:tcMar>
          </w:tcPr>
          <w:p w14:paraId="1628DAEB" w14:textId="77777777" w:rsidR="00BC0FD7" w:rsidRPr="001D5327" w:rsidRDefault="00BC0FD7" w:rsidP="00D11AC9">
            <w:pPr>
              <w:pStyle w:val="TableText"/>
              <w:spacing w:before="40" w:after="40"/>
              <w:rPr>
                <w:b/>
                <w:bCs/>
                <w:color w:val="FFFFFF" w:themeColor="background1"/>
              </w:rPr>
            </w:pPr>
            <w:r w:rsidRPr="001D5327">
              <w:rPr>
                <w:rFonts w:eastAsia="Calibri"/>
                <w:b/>
                <w:bCs/>
                <w:color w:val="FFFFFF" w:themeColor="background1"/>
              </w:rPr>
              <w:t>Reference</w:t>
            </w:r>
          </w:p>
        </w:tc>
      </w:tr>
      <w:tr w:rsidR="00BC0FD7" w:rsidRPr="001D5327" w14:paraId="7FA862EF" w14:textId="77777777" w:rsidTr="00C3312C">
        <w:tc>
          <w:tcPr>
            <w:tcW w:w="2830" w:type="dxa"/>
            <w:shd w:val="clear" w:color="auto" w:fill="FFFFFF"/>
            <w:tcMar>
              <w:top w:w="0" w:type="dxa"/>
              <w:left w:w="85" w:type="dxa"/>
              <w:bottom w:w="0" w:type="dxa"/>
              <w:right w:w="85" w:type="dxa"/>
            </w:tcMar>
          </w:tcPr>
          <w:p w14:paraId="4C764C97" w14:textId="77777777" w:rsidR="00BC0FD7" w:rsidRPr="001D5327" w:rsidRDefault="00BC0FD7" w:rsidP="00D11AC9">
            <w:pPr>
              <w:pStyle w:val="TableText"/>
              <w:spacing w:before="40" w:after="40"/>
            </w:pPr>
            <w:r w:rsidRPr="001D5327">
              <w:rPr>
                <w:rFonts w:eastAsia="Calibri"/>
                <w:color w:val="000000"/>
              </w:rPr>
              <w:t>Degradable organic component (kg COD/tonne of product)</w:t>
            </w:r>
          </w:p>
        </w:tc>
        <w:tc>
          <w:tcPr>
            <w:tcW w:w="1874" w:type="dxa"/>
            <w:shd w:val="clear" w:color="auto" w:fill="FFFFFF"/>
            <w:tcMar>
              <w:top w:w="0" w:type="dxa"/>
              <w:left w:w="85" w:type="dxa"/>
              <w:bottom w:w="0" w:type="dxa"/>
              <w:right w:w="85" w:type="dxa"/>
            </w:tcMar>
          </w:tcPr>
          <w:p w14:paraId="716524C7" w14:textId="77777777" w:rsidR="00BC0FD7" w:rsidRPr="001D5327" w:rsidRDefault="00BC0FD7" w:rsidP="00D11AC9">
            <w:pPr>
              <w:pStyle w:val="TableText"/>
              <w:spacing w:before="40" w:after="40"/>
              <w:jc w:val="right"/>
            </w:pPr>
            <w:r w:rsidRPr="001D5327">
              <w:rPr>
                <w:rFonts w:eastAsia="Calibri"/>
                <w:color w:val="000000"/>
              </w:rPr>
              <w:t>50</w:t>
            </w:r>
          </w:p>
        </w:tc>
        <w:tc>
          <w:tcPr>
            <w:tcW w:w="1670" w:type="dxa"/>
            <w:shd w:val="clear" w:color="auto" w:fill="FFFFFF"/>
            <w:tcMar>
              <w:top w:w="0" w:type="dxa"/>
              <w:left w:w="85" w:type="dxa"/>
              <w:bottom w:w="0" w:type="dxa"/>
              <w:right w:w="85" w:type="dxa"/>
            </w:tcMar>
          </w:tcPr>
          <w:p w14:paraId="5040E406" w14:textId="77777777" w:rsidR="00BC0FD7" w:rsidRPr="001D5327" w:rsidRDefault="00BC0FD7" w:rsidP="00D11AC9">
            <w:pPr>
              <w:pStyle w:val="TableText"/>
              <w:spacing w:before="40" w:after="40"/>
            </w:pPr>
            <w:r w:rsidRPr="001D5327">
              <w:rPr>
                <w:rFonts w:eastAsia="Calibri"/>
                <w:color w:val="000000"/>
              </w:rPr>
              <w:t>New Zealand specific</w:t>
            </w:r>
          </w:p>
        </w:tc>
        <w:tc>
          <w:tcPr>
            <w:tcW w:w="2120" w:type="dxa"/>
            <w:shd w:val="clear" w:color="auto" w:fill="FFFFFF"/>
            <w:tcMar>
              <w:top w:w="0" w:type="dxa"/>
              <w:left w:w="85" w:type="dxa"/>
              <w:bottom w:w="0" w:type="dxa"/>
              <w:right w:w="85" w:type="dxa"/>
            </w:tcMar>
          </w:tcPr>
          <w:p w14:paraId="64788C39" w14:textId="77777777" w:rsidR="00BC0FD7" w:rsidRPr="001D5327" w:rsidRDefault="00BC0FD7" w:rsidP="00D11AC9">
            <w:pPr>
              <w:pStyle w:val="TableText"/>
              <w:spacing w:before="40" w:after="40"/>
            </w:pPr>
            <w:r w:rsidRPr="001D5327">
              <w:rPr>
                <w:rFonts w:eastAsia="Calibri"/>
                <w:color w:val="000000"/>
              </w:rPr>
              <w:t>SCS Wetherill Environmental (unpublished)</w:t>
            </w:r>
          </w:p>
        </w:tc>
      </w:tr>
      <w:tr w:rsidR="00BC0FD7" w:rsidRPr="001D5327" w14:paraId="479B36C3" w14:textId="77777777" w:rsidTr="00C3312C">
        <w:tc>
          <w:tcPr>
            <w:tcW w:w="2830" w:type="dxa"/>
            <w:shd w:val="clear" w:color="auto" w:fill="FFFFFF"/>
            <w:tcMar>
              <w:top w:w="0" w:type="dxa"/>
              <w:left w:w="85" w:type="dxa"/>
              <w:bottom w:w="0" w:type="dxa"/>
              <w:right w:w="85" w:type="dxa"/>
            </w:tcMar>
          </w:tcPr>
          <w:p w14:paraId="79E8712B" w14:textId="77777777" w:rsidR="00BC0FD7" w:rsidRPr="001D5327" w:rsidRDefault="00BC0FD7" w:rsidP="00D11AC9">
            <w:pPr>
              <w:pStyle w:val="TableText"/>
              <w:spacing w:before="40" w:after="40"/>
            </w:pPr>
            <w:r w:rsidRPr="001D5327">
              <w:rPr>
                <w:rFonts w:eastAsia="Calibri"/>
                <w:color w:val="000000"/>
              </w:rPr>
              <w:t>Ratio of total nitrogen to biodegradable COD (TN:COD</w:t>
            </w:r>
            <w:r w:rsidRPr="001D5327">
              <w:rPr>
                <w:rFonts w:eastAsia="Calibri"/>
                <w:color w:val="000000"/>
                <w:vertAlign w:val="subscript"/>
              </w:rPr>
              <w:t>b</w:t>
            </w:r>
            <w:r w:rsidRPr="001D5327">
              <w:rPr>
                <w:rFonts w:eastAsia="Calibri"/>
                <w:color w:val="000000"/>
              </w:rPr>
              <w:t>)</w:t>
            </w:r>
          </w:p>
        </w:tc>
        <w:tc>
          <w:tcPr>
            <w:tcW w:w="1874" w:type="dxa"/>
            <w:shd w:val="clear" w:color="auto" w:fill="FFFFFF"/>
            <w:tcMar>
              <w:top w:w="0" w:type="dxa"/>
              <w:left w:w="85" w:type="dxa"/>
              <w:bottom w:w="0" w:type="dxa"/>
              <w:right w:w="85" w:type="dxa"/>
            </w:tcMar>
          </w:tcPr>
          <w:p w14:paraId="654A72AF" w14:textId="77777777" w:rsidR="00BC0FD7" w:rsidRPr="001D5327" w:rsidRDefault="00BC0FD7" w:rsidP="00D11AC9">
            <w:pPr>
              <w:pStyle w:val="TableText"/>
              <w:spacing w:before="40" w:after="40"/>
              <w:jc w:val="right"/>
            </w:pPr>
            <w:r w:rsidRPr="001D5327">
              <w:rPr>
                <w:rFonts w:eastAsia="Calibri"/>
                <w:color w:val="000000"/>
              </w:rPr>
              <w:t>0.09</w:t>
            </w:r>
          </w:p>
        </w:tc>
        <w:tc>
          <w:tcPr>
            <w:tcW w:w="1670" w:type="dxa"/>
            <w:shd w:val="clear" w:color="auto" w:fill="FFFFFF"/>
            <w:tcMar>
              <w:top w:w="0" w:type="dxa"/>
              <w:left w:w="85" w:type="dxa"/>
              <w:bottom w:w="0" w:type="dxa"/>
              <w:right w:w="85" w:type="dxa"/>
            </w:tcMar>
          </w:tcPr>
          <w:p w14:paraId="741E8B59" w14:textId="77777777" w:rsidR="00BC0FD7" w:rsidRPr="001D5327" w:rsidRDefault="00BC0FD7" w:rsidP="00D11AC9">
            <w:pPr>
              <w:pStyle w:val="TableText"/>
              <w:spacing w:before="40" w:after="40"/>
            </w:pPr>
            <w:r w:rsidRPr="001D5327">
              <w:rPr>
                <w:rFonts w:eastAsia="Calibri"/>
                <w:color w:val="000000"/>
              </w:rPr>
              <w:t>New Zealand specific</w:t>
            </w:r>
          </w:p>
        </w:tc>
        <w:tc>
          <w:tcPr>
            <w:tcW w:w="2120" w:type="dxa"/>
            <w:shd w:val="clear" w:color="auto" w:fill="FFFFFF"/>
            <w:tcMar>
              <w:top w:w="0" w:type="dxa"/>
              <w:left w:w="85" w:type="dxa"/>
              <w:bottom w:w="0" w:type="dxa"/>
              <w:right w:w="85" w:type="dxa"/>
            </w:tcMar>
          </w:tcPr>
          <w:p w14:paraId="52D4C520" w14:textId="77777777" w:rsidR="00BC0FD7" w:rsidRPr="001D5327" w:rsidRDefault="00BC0FD7" w:rsidP="00D11AC9">
            <w:pPr>
              <w:pStyle w:val="TableText"/>
              <w:spacing w:before="40" w:after="40"/>
            </w:pPr>
            <w:r w:rsidRPr="001D5327">
              <w:rPr>
                <w:rFonts w:eastAsia="Calibri"/>
                <w:color w:val="000000"/>
              </w:rPr>
              <w:t>Cardno (unpublished)</w:t>
            </w:r>
          </w:p>
        </w:tc>
      </w:tr>
      <w:tr w:rsidR="00BC0FD7" w:rsidRPr="001D5327" w14:paraId="0187D0CD" w14:textId="77777777" w:rsidTr="00C3312C">
        <w:tc>
          <w:tcPr>
            <w:tcW w:w="2830" w:type="dxa"/>
            <w:shd w:val="clear" w:color="auto" w:fill="FFFFFF"/>
            <w:tcMar>
              <w:top w:w="0" w:type="dxa"/>
              <w:left w:w="85" w:type="dxa"/>
              <w:bottom w:w="0" w:type="dxa"/>
              <w:right w:w="85" w:type="dxa"/>
            </w:tcMar>
          </w:tcPr>
          <w:p w14:paraId="2890C463" w14:textId="77777777" w:rsidR="00BC0FD7" w:rsidRPr="001D5327" w:rsidRDefault="00BC0FD7" w:rsidP="00D11AC9">
            <w:pPr>
              <w:pStyle w:val="TableText"/>
              <w:spacing w:before="40" w:after="40"/>
            </w:pPr>
            <w:r w:rsidRPr="001D5327">
              <w:rPr>
                <w:rFonts w:eastAsia="Calibri"/>
                <w:color w:val="000000"/>
              </w:rPr>
              <w:t>Overall emission factor</w:t>
            </w:r>
          </w:p>
        </w:tc>
        <w:tc>
          <w:tcPr>
            <w:tcW w:w="1874" w:type="dxa"/>
            <w:shd w:val="clear" w:color="auto" w:fill="FFFFFF"/>
            <w:tcMar>
              <w:top w:w="0" w:type="dxa"/>
              <w:left w:w="85" w:type="dxa"/>
              <w:bottom w:w="0" w:type="dxa"/>
              <w:right w:w="85" w:type="dxa"/>
            </w:tcMar>
          </w:tcPr>
          <w:p w14:paraId="54CAD2DE" w14:textId="77777777" w:rsidR="00BC0FD7" w:rsidRPr="001D5327" w:rsidRDefault="00BC0FD7" w:rsidP="00D11AC9">
            <w:pPr>
              <w:pStyle w:val="TableText"/>
              <w:spacing w:before="40" w:after="40"/>
              <w:jc w:val="right"/>
            </w:pPr>
            <w:r w:rsidRPr="001D5327">
              <w:rPr>
                <w:rFonts w:eastAsia="Calibri"/>
                <w:color w:val="000000"/>
              </w:rPr>
              <w:t>Range of 0.0013–0.0019</w:t>
            </w:r>
          </w:p>
        </w:tc>
        <w:tc>
          <w:tcPr>
            <w:tcW w:w="1670" w:type="dxa"/>
            <w:shd w:val="clear" w:color="auto" w:fill="FFFFFF"/>
            <w:tcMar>
              <w:top w:w="0" w:type="dxa"/>
              <w:left w:w="85" w:type="dxa"/>
              <w:bottom w:w="0" w:type="dxa"/>
              <w:right w:w="85" w:type="dxa"/>
            </w:tcMar>
          </w:tcPr>
          <w:p w14:paraId="040884BD" w14:textId="77777777" w:rsidR="00BC0FD7" w:rsidRPr="001D5327" w:rsidRDefault="00BC0FD7" w:rsidP="00D11AC9">
            <w:pPr>
              <w:pStyle w:val="TableText"/>
              <w:spacing w:before="40" w:after="40"/>
            </w:pPr>
            <w:r w:rsidRPr="001D5327">
              <w:rPr>
                <w:rFonts w:eastAsia="Calibri"/>
                <w:color w:val="000000"/>
              </w:rPr>
              <w:t>New Zealand specific</w:t>
            </w:r>
          </w:p>
        </w:tc>
        <w:tc>
          <w:tcPr>
            <w:tcW w:w="2120" w:type="dxa"/>
            <w:shd w:val="clear" w:color="auto" w:fill="FFFFFF"/>
            <w:tcMar>
              <w:top w:w="0" w:type="dxa"/>
              <w:left w:w="85" w:type="dxa"/>
              <w:bottom w:w="0" w:type="dxa"/>
              <w:right w:w="85" w:type="dxa"/>
            </w:tcMar>
          </w:tcPr>
          <w:p w14:paraId="55D90453" w14:textId="77777777" w:rsidR="00BC0FD7" w:rsidRPr="001D5327" w:rsidRDefault="00BC0FD7" w:rsidP="00D11AC9">
            <w:pPr>
              <w:pStyle w:val="TableText"/>
              <w:spacing w:before="40" w:after="40"/>
            </w:pPr>
            <w:r w:rsidRPr="001D5327">
              <w:rPr>
                <w:rFonts w:eastAsia="Calibri"/>
                <w:color w:val="000000"/>
              </w:rPr>
              <w:t>Cardno (unpublished)</w:t>
            </w:r>
          </w:p>
        </w:tc>
      </w:tr>
    </w:tbl>
    <w:p w14:paraId="52620A7C" w14:textId="71A0267B" w:rsidR="00BC0FD7" w:rsidRPr="001D5327" w:rsidRDefault="00BC0FD7" w:rsidP="00BC0FD7">
      <w:pPr>
        <w:pStyle w:val="Noteundertable"/>
      </w:pPr>
      <w:r w:rsidRPr="001D5327">
        <w:rPr>
          <w:b/>
          <w:bCs/>
        </w:rPr>
        <w:t>Note:</w:t>
      </w:r>
      <w:r w:rsidRPr="001D5327">
        <w:t xml:space="preserve"> COD = chemical oxygen demand; </w:t>
      </w:r>
      <w:r w:rsidR="00C3337F" w:rsidRPr="001D5327">
        <w:rPr>
          <w:rFonts w:eastAsia="Calibri"/>
          <w:color w:val="000000"/>
        </w:rPr>
        <w:t>COD</w:t>
      </w:r>
      <w:r w:rsidR="00C3337F" w:rsidRPr="001D5327">
        <w:rPr>
          <w:rFonts w:eastAsia="Calibri"/>
          <w:color w:val="000000"/>
          <w:vertAlign w:val="subscript"/>
        </w:rPr>
        <w:t>b</w:t>
      </w:r>
      <w:r w:rsidR="00C3337F">
        <w:t xml:space="preserve"> = </w:t>
      </w:r>
      <w:r w:rsidR="00CC0AAE" w:rsidRPr="00CC0AAE">
        <w:rPr>
          <w:rFonts w:eastAsia="Calibri"/>
          <w:color w:val="000000"/>
        </w:rPr>
        <w:t>COD of total biodegradable material</w:t>
      </w:r>
      <w:r w:rsidR="00C3337F">
        <w:rPr>
          <w:rFonts w:eastAsia="Calibri"/>
          <w:color w:val="000000"/>
        </w:rPr>
        <w:t>;</w:t>
      </w:r>
      <w:r w:rsidR="00C3337F" w:rsidRPr="001D5327">
        <w:t xml:space="preserve"> </w:t>
      </w:r>
      <w:r w:rsidRPr="001D5327">
        <w:t>TN = total nitrogen.</w:t>
      </w:r>
    </w:p>
    <w:p w14:paraId="163911DD" w14:textId="77777777" w:rsidR="00BC0FD7" w:rsidRPr="001D5327" w:rsidRDefault="00BC0FD7" w:rsidP="00BC0FD7">
      <w:pPr>
        <w:pStyle w:val="Heading6"/>
      </w:pPr>
      <w:bookmarkStart w:id="2908" w:name="recovery-7"/>
      <w:r w:rsidRPr="001D5327">
        <w:t>Recovery</w:t>
      </w:r>
    </w:p>
    <w:p w14:paraId="266F0FEC" w14:textId="77777777" w:rsidR="00BC0FD7" w:rsidRPr="001D5327" w:rsidRDefault="00BC0FD7" w:rsidP="00BC0FD7">
      <w:pPr>
        <w:pStyle w:val="BodyText"/>
      </w:pPr>
      <w:r w:rsidRPr="001D5327">
        <w:t>There is no recovery of emissions reported for this source.</w:t>
      </w:r>
    </w:p>
    <w:p w14:paraId="0DC292E6" w14:textId="77777777" w:rsidR="00BC0FD7" w:rsidRPr="001D5327" w:rsidRDefault="00BC0FD7" w:rsidP="00BC0FD7">
      <w:pPr>
        <w:pStyle w:val="Heading5"/>
      </w:pPr>
      <w:bookmarkStart w:id="2909" w:name="X5d86673037b98ba8b78ea95af024b5ec0c9825a"/>
      <w:bookmarkEnd w:id="2906"/>
      <w:bookmarkEnd w:id="2908"/>
      <w:r w:rsidRPr="001D5327">
        <w:t>Nitrous oxide emissions from industrial wastewater treatment – Dairy processing industry</w:t>
      </w:r>
    </w:p>
    <w:p w14:paraId="7C8A43F0" w14:textId="77777777" w:rsidR="00BC0FD7" w:rsidRPr="001D5327" w:rsidRDefault="00BC0FD7" w:rsidP="00BC0FD7">
      <w:pPr>
        <w:pStyle w:val="BodyText"/>
      </w:pPr>
      <w:r w:rsidRPr="001D5327">
        <w:t>Table 7.5.14 summarises the parameter values applied for estimating N</w:t>
      </w:r>
      <w:r w:rsidRPr="001D5327">
        <w:rPr>
          <w:vertAlign w:val="subscript"/>
        </w:rPr>
        <w:t>2</w:t>
      </w:r>
      <w:r w:rsidRPr="001D5327">
        <w:t>O emissions from wastewater treatment by the dairy processing industry.</w:t>
      </w:r>
    </w:p>
    <w:p w14:paraId="5F5D4BD7" w14:textId="77777777" w:rsidR="00BC0FD7" w:rsidRPr="001D5327" w:rsidRDefault="00BC0FD7" w:rsidP="00BC0FD7">
      <w:pPr>
        <w:pStyle w:val="Table"/>
      </w:pPr>
      <w:bookmarkStart w:id="2910" w:name="_Toc194241829"/>
      <w:r w:rsidRPr="001D5327">
        <w:lastRenderedPageBreak/>
        <w:t xml:space="preserve">Table 7.5.14 </w:t>
      </w:r>
      <w:r w:rsidRPr="001D5327">
        <w:tab/>
        <w:t>Parameter values applied by New Zealand for estimating nitrous oxide emissions for wastewater treatment for the dairy processing industry</w:t>
      </w:r>
      <w:bookmarkEnd w:id="2910"/>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392"/>
        <w:gridCol w:w="677"/>
        <w:gridCol w:w="1690"/>
        <w:gridCol w:w="1735"/>
      </w:tblGrid>
      <w:tr w:rsidR="00BC0FD7" w:rsidRPr="001D5327" w14:paraId="4152EC22" w14:textId="77777777" w:rsidTr="00C3312C">
        <w:trPr>
          <w:tblHeader/>
        </w:trPr>
        <w:tc>
          <w:tcPr>
            <w:tcW w:w="0" w:type="auto"/>
            <w:shd w:val="clear" w:color="auto" w:fill="1B556B"/>
            <w:tcMar>
              <w:top w:w="0" w:type="dxa"/>
              <w:left w:w="85" w:type="dxa"/>
              <w:bottom w:w="0" w:type="dxa"/>
              <w:right w:w="85" w:type="dxa"/>
            </w:tcMar>
          </w:tcPr>
          <w:p w14:paraId="1933687A" w14:textId="77777777" w:rsidR="00BC0FD7" w:rsidRPr="001D5327" w:rsidRDefault="00BC0FD7" w:rsidP="00D11AC9">
            <w:pPr>
              <w:pStyle w:val="TableTextBold"/>
              <w:keepNext/>
              <w:spacing w:before="40" w:after="40"/>
              <w:rPr>
                <w:noProof w:val="0"/>
                <w:color w:val="FFFFFF" w:themeColor="background1"/>
              </w:rPr>
            </w:pPr>
            <w:r w:rsidRPr="001D5327">
              <w:rPr>
                <w:rFonts w:eastAsia="Calibri"/>
                <w:noProof w:val="0"/>
                <w:color w:val="FFFFFF" w:themeColor="background1"/>
              </w:rPr>
              <w:t>Parameter</w:t>
            </w:r>
          </w:p>
        </w:tc>
        <w:tc>
          <w:tcPr>
            <w:tcW w:w="0" w:type="auto"/>
            <w:shd w:val="clear" w:color="auto" w:fill="1B556B"/>
            <w:tcMar>
              <w:top w:w="0" w:type="dxa"/>
              <w:left w:w="85" w:type="dxa"/>
              <w:bottom w:w="0" w:type="dxa"/>
              <w:right w:w="85" w:type="dxa"/>
            </w:tcMar>
          </w:tcPr>
          <w:p w14:paraId="643BBCFA" w14:textId="77777777" w:rsidR="00BC0FD7" w:rsidRPr="001D5327" w:rsidRDefault="00BC0FD7" w:rsidP="00D11AC9">
            <w:pPr>
              <w:pStyle w:val="TableTextBold"/>
              <w:keepNext/>
              <w:spacing w:before="40" w:after="40"/>
              <w:rPr>
                <w:noProof w:val="0"/>
                <w:color w:val="FFFFFF" w:themeColor="background1"/>
              </w:rPr>
            </w:pPr>
            <w:r w:rsidRPr="001D5327">
              <w:rPr>
                <w:rFonts w:eastAsia="Calibri"/>
                <w:noProof w:val="0"/>
                <w:color w:val="FFFFFF" w:themeColor="background1"/>
              </w:rPr>
              <w:t>Value</w:t>
            </w:r>
          </w:p>
        </w:tc>
        <w:tc>
          <w:tcPr>
            <w:tcW w:w="0" w:type="auto"/>
            <w:shd w:val="clear" w:color="auto" w:fill="1B556B"/>
            <w:tcMar>
              <w:top w:w="0" w:type="dxa"/>
              <w:left w:w="85" w:type="dxa"/>
              <w:bottom w:w="0" w:type="dxa"/>
              <w:right w:w="85" w:type="dxa"/>
            </w:tcMar>
          </w:tcPr>
          <w:p w14:paraId="62CDA68C" w14:textId="77777777" w:rsidR="00BC0FD7" w:rsidRPr="001D5327" w:rsidRDefault="00BC0FD7" w:rsidP="00D11AC9">
            <w:pPr>
              <w:pStyle w:val="TableTextBold"/>
              <w:keepNext/>
              <w:spacing w:before="40" w:after="40"/>
              <w:rPr>
                <w:noProof w:val="0"/>
                <w:color w:val="FFFFFF" w:themeColor="background1"/>
              </w:rPr>
            </w:pPr>
            <w:r w:rsidRPr="001D5327">
              <w:rPr>
                <w:rFonts w:eastAsia="Calibri"/>
                <w:noProof w:val="0"/>
                <w:color w:val="FFFFFF" w:themeColor="background1"/>
              </w:rPr>
              <w:t>Source</w:t>
            </w:r>
          </w:p>
        </w:tc>
        <w:tc>
          <w:tcPr>
            <w:tcW w:w="0" w:type="auto"/>
            <w:shd w:val="clear" w:color="auto" w:fill="1B556B"/>
            <w:tcMar>
              <w:top w:w="0" w:type="dxa"/>
              <w:left w:w="85" w:type="dxa"/>
              <w:bottom w:w="0" w:type="dxa"/>
              <w:right w:w="85" w:type="dxa"/>
            </w:tcMar>
          </w:tcPr>
          <w:p w14:paraId="067B4000" w14:textId="77777777" w:rsidR="00BC0FD7" w:rsidRPr="001D5327" w:rsidRDefault="00BC0FD7" w:rsidP="00D11AC9">
            <w:pPr>
              <w:pStyle w:val="TableTextBold"/>
              <w:keepNext/>
              <w:spacing w:before="40" w:after="40"/>
              <w:rPr>
                <w:noProof w:val="0"/>
                <w:color w:val="FFFFFF" w:themeColor="background1"/>
              </w:rPr>
            </w:pPr>
            <w:r w:rsidRPr="001D5327">
              <w:rPr>
                <w:rFonts w:eastAsia="Calibri"/>
                <w:noProof w:val="0"/>
                <w:color w:val="FFFFFF" w:themeColor="background1"/>
              </w:rPr>
              <w:t>Reference</w:t>
            </w:r>
          </w:p>
        </w:tc>
      </w:tr>
      <w:tr w:rsidR="00BC0FD7" w:rsidRPr="001D5327" w14:paraId="01BB581F" w14:textId="77777777" w:rsidTr="00C3312C">
        <w:tc>
          <w:tcPr>
            <w:tcW w:w="0" w:type="auto"/>
            <w:shd w:val="clear" w:color="auto" w:fill="FFFFFF"/>
            <w:tcMar>
              <w:top w:w="0" w:type="dxa"/>
              <w:left w:w="85" w:type="dxa"/>
              <w:bottom w:w="0" w:type="dxa"/>
              <w:right w:w="85" w:type="dxa"/>
            </w:tcMar>
          </w:tcPr>
          <w:p w14:paraId="2539ADAB" w14:textId="77777777" w:rsidR="00BC0FD7" w:rsidRPr="001D5327" w:rsidRDefault="00BC0FD7" w:rsidP="00D11AC9">
            <w:pPr>
              <w:pStyle w:val="TableText"/>
              <w:keepNext/>
              <w:spacing w:before="40" w:after="40"/>
            </w:pPr>
            <w:r w:rsidRPr="001D5327">
              <w:rPr>
                <w:rFonts w:eastAsia="Calibri"/>
                <w:color w:val="000000"/>
              </w:rPr>
              <w:t>Degradable organic component (kg COD/tonne of product)</w:t>
            </w:r>
          </w:p>
        </w:tc>
        <w:tc>
          <w:tcPr>
            <w:tcW w:w="0" w:type="auto"/>
            <w:shd w:val="clear" w:color="auto" w:fill="FFFFFF"/>
            <w:tcMar>
              <w:top w:w="0" w:type="dxa"/>
              <w:left w:w="85" w:type="dxa"/>
              <w:bottom w:w="0" w:type="dxa"/>
              <w:right w:w="85" w:type="dxa"/>
            </w:tcMar>
          </w:tcPr>
          <w:p w14:paraId="30C84061" w14:textId="77777777" w:rsidR="00BC0FD7" w:rsidRPr="001D5327" w:rsidRDefault="00BC0FD7" w:rsidP="00D11AC9">
            <w:pPr>
              <w:pStyle w:val="TableText"/>
              <w:keepNext/>
              <w:spacing w:before="40" w:after="40"/>
            </w:pPr>
            <w:r w:rsidRPr="001D5327">
              <w:rPr>
                <w:rFonts w:eastAsia="Calibri"/>
                <w:color w:val="000000"/>
              </w:rPr>
              <w:t>2</w:t>
            </w:r>
          </w:p>
        </w:tc>
        <w:tc>
          <w:tcPr>
            <w:tcW w:w="0" w:type="auto"/>
            <w:shd w:val="clear" w:color="auto" w:fill="FFFFFF"/>
            <w:tcMar>
              <w:top w:w="0" w:type="dxa"/>
              <w:left w:w="85" w:type="dxa"/>
              <w:bottom w:w="0" w:type="dxa"/>
              <w:right w:w="85" w:type="dxa"/>
            </w:tcMar>
          </w:tcPr>
          <w:p w14:paraId="0D5A991E" w14:textId="77777777" w:rsidR="00BC0FD7" w:rsidRPr="001D5327" w:rsidRDefault="00BC0FD7" w:rsidP="00D11AC9">
            <w:pPr>
              <w:pStyle w:val="TableText"/>
              <w:keepNext/>
              <w:spacing w:before="40" w:after="40"/>
            </w:pPr>
            <w:r w:rsidRPr="001D5327">
              <w:rPr>
                <w:rFonts w:eastAsia="Calibri"/>
                <w:color w:val="000000"/>
              </w:rPr>
              <w:t>New Zealand specific</w:t>
            </w:r>
          </w:p>
        </w:tc>
        <w:tc>
          <w:tcPr>
            <w:tcW w:w="0" w:type="auto"/>
            <w:shd w:val="clear" w:color="auto" w:fill="FFFFFF"/>
            <w:tcMar>
              <w:top w:w="0" w:type="dxa"/>
              <w:left w:w="85" w:type="dxa"/>
              <w:bottom w:w="0" w:type="dxa"/>
              <w:right w:w="85" w:type="dxa"/>
            </w:tcMar>
          </w:tcPr>
          <w:p w14:paraId="67B0B923" w14:textId="77777777" w:rsidR="00BC0FD7" w:rsidRPr="001D5327" w:rsidRDefault="00BC0FD7" w:rsidP="00D11AC9">
            <w:pPr>
              <w:pStyle w:val="TableText"/>
              <w:keepNext/>
              <w:spacing w:before="40" w:after="40"/>
            </w:pPr>
            <w:r w:rsidRPr="001D5327">
              <w:rPr>
                <w:rFonts w:eastAsia="Calibri"/>
                <w:color w:val="000000"/>
              </w:rPr>
              <w:t>Cardno (unpublished)</w:t>
            </w:r>
          </w:p>
        </w:tc>
      </w:tr>
      <w:tr w:rsidR="00BC0FD7" w:rsidRPr="001D5327" w14:paraId="5A34FE85" w14:textId="77777777" w:rsidTr="00C3312C">
        <w:tc>
          <w:tcPr>
            <w:tcW w:w="0" w:type="auto"/>
            <w:shd w:val="clear" w:color="auto" w:fill="FFFFFF"/>
            <w:tcMar>
              <w:top w:w="0" w:type="dxa"/>
              <w:left w:w="85" w:type="dxa"/>
              <w:bottom w:w="0" w:type="dxa"/>
              <w:right w:w="85" w:type="dxa"/>
            </w:tcMar>
          </w:tcPr>
          <w:p w14:paraId="0B306007" w14:textId="77777777" w:rsidR="00BC0FD7" w:rsidRPr="001D5327" w:rsidRDefault="00BC0FD7" w:rsidP="00D11AC9">
            <w:pPr>
              <w:pStyle w:val="TableText"/>
              <w:spacing w:before="40" w:after="40"/>
            </w:pPr>
            <w:r w:rsidRPr="001D5327">
              <w:rPr>
                <w:rFonts w:eastAsia="Calibri"/>
                <w:color w:val="000000"/>
              </w:rPr>
              <w:t>Ratio of total nitrogen to biodegradable COD (TN:COD</w:t>
            </w:r>
            <w:r w:rsidRPr="001D5327">
              <w:rPr>
                <w:rFonts w:eastAsia="Calibri"/>
                <w:color w:val="000000"/>
                <w:vertAlign w:val="subscript"/>
              </w:rPr>
              <w:t>b</w:t>
            </w:r>
            <w:r w:rsidRPr="001D5327">
              <w:rPr>
                <w:rFonts w:eastAsia="Calibri"/>
                <w:color w:val="000000"/>
              </w:rPr>
              <w:t>)</w:t>
            </w:r>
          </w:p>
        </w:tc>
        <w:tc>
          <w:tcPr>
            <w:tcW w:w="0" w:type="auto"/>
            <w:shd w:val="clear" w:color="auto" w:fill="FFFFFF"/>
            <w:tcMar>
              <w:top w:w="0" w:type="dxa"/>
              <w:left w:w="85" w:type="dxa"/>
              <w:bottom w:w="0" w:type="dxa"/>
              <w:right w:w="85" w:type="dxa"/>
            </w:tcMar>
          </w:tcPr>
          <w:p w14:paraId="59E099F3" w14:textId="77777777" w:rsidR="00BC0FD7" w:rsidRPr="001D5327" w:rsidRDefault="00BC0FD7" w:rsidP="00D11AC9">
            <w:pPr>
              <w:pStyle w:val="TableText"/>
              <w:spacing w:before="40" w:after="40"/>
            </w:pPr>
            <w:r w:rsidRPr="001D5327">
              <w:rPr>
                <w:rFonts w:eastAsia="Calibri"/>
                <w:color w:val="000000"/>
              </w:rPr>
              <w:t>0.044</w:t>
            </w:r>
          </w:p>
        </w:tc>
        <w:tc>
          <w:tcPr>
            <w:tcW w:w="0" w:type="auto"/>
            <w:shd w:val="clear" w:color="auto" w:fill="FFFFFF"/>
            <w:tcMar>
              <w:top w:w="0" w:type="dxa"/>
              <w:left w:w="85" w:type="dxa"/>
              <w:bottom w:w="0" w:type="dxa"/>
              <w:right w:w="85" w:type="dxa"/>
            </w:tcMar>
          </w:tcPr>
          <w:p w14:paraId="187EF2F6" w14:textId="77777777" w:rsidR="00BC0FD7" w:rsidRPr="001D5327" w:rsidRDefault="00BC0FD7" w:rsidP="00D11AC9">
            <w:pPr>
              <w:pStyle w:val="TableText"/>
              <w:spacing w:before="40" w:after="40"/>
            </w:pPr>
            <w:r w:rsidRPr="001D5327">
              <w:rPr>
                <w:rFonts w:eastAsia="Calibri"/>
                <w:color w:val="000000"/>
              </w:rPr>
              <w:t>New Zealand specific</w:t>
            </w:r>
          </w:p>
        </w:tc>
        <w:tc>
          <w:tcPr>
            <w:tcW w:w="0" w:type="auto"/>
            <w:shd w:val="clear" w:color="auto" w:fill="FFFFFF"/>
            <w:tcMar>
              <w:top w:w="0" w:type="dxa"/>
              <w:left w:w="85" w:type="dxa"/>
              <w:bottom w:w="0" w:type="dxa"/>
              <w:right w:w="85" w:type="dxa"/>
            </w:tcMar>
          </w:tcPr>
          <w:p w14:paraId="593B7CF1" w14:textId="77777777" w:rsidR="00BC0FD7" w:rsidRPr="001D5327" w:rsidRDefault="00BC0FD7" w:rsidP="00D11AC9">
            <w:pPr>
              <w:pStyle w:val="TableText"/>
              <w:spacing w:before="40" w:after="40"/>
            </w:pPr>
            <w:r w:rsidRPr="001D5327">
              <w:rPr>
                <w:rFonts w:eastAsia="Calibri"/>
                <w:color w:val="000000"/>
              </w:rPr>
              <w:t>Cardno (unpublished)</w:t>
            </w:r>
          </w:p>
        </w:tc>
      </w:tr>
      <w:tr w:rsidR="00BC0FD7" w:rsidRPr="001D5327" w14:paraId="1EEE8BAB" w14:textId="77777777" w:rsidTr="00C3312C">
        <w:tc>
          <w:tcPr>
            <w:tcW w:w="0" w:type="auto"/>
            <w:shd w:val="clear" w:color="auto" w:fill="FFFFFF"/>
            <w:tcMar>
              <w:top w:w="0" w:type="dxa"/>
              <w:left w:w="85" w:type="dxa"/>
              <w:bottom w:w="0" w:type="dxa"/>
              <w:right w:w="85" w:type="dxa"/>
            </w:tcMar>
          </w:tcPr>
          <w:p w14:paraId="3E150D68" w14:textId="77777777" w:rsidR="00BC0FD7" w:rsidRPr="001D5327" w:rsidRDefault="00BC0FD7" w:rsidP="00D11AC9">
            <w:pPr>
              <w:pStyle w:val="TableText"/>
              <w:spacing w:before="40" w:after="40"/>
            </w:pPr>
            <w:r w:rsidRPr="001D5327">
              <w:rPr>
                <w:rFonts w:eastAsia="Calibri"/>
                <w:color w:val="000000"/>
              </w:rPr>
              <w:t>Overall emission factor</w:t>
            </w:r>
          </w:p>
        </w:tc>
        <w:tc>
          <w:tcPr>
            <w:tcW w:w="0" w:type="auto"/>
            <w:shd w:val="clear" w:color="auto" w:fill="FFFFFF"/>
            <w:tcMar>
              <w:top w:w="0" w:type="dxa"/>
              <w:left w:w="85" w:type="dxa"/>
              <w:bottom w:w="0" w:type="dxa"/>
              <w:right w:w="85" w:type="dxa"/>
            </w:tcMar>
          </w:tcPr>
          <w:p w14:paraId="48B0277F" w14:textId="77777777" w:rsidR="00BC0FD7" w:rsidRPr="001D5327" w:rsidRDefault="00BC0FD7" w:rsidP="00D11AC9">
            <w:pPr>
              <w:pStyle w:val="TableText"/>
              <w:spacing w:before="40" w:after="40"/>
            </w:pPr>
            <w:r w:rsidRPr="001D5327">
              <w:rPr>
                <w:rFonts w:eastAsia="Calibri"/>
                <w:color w:val="000000"/>
              </w:rPr>
              <w:t>0.0028</w:t>
            </w:r>
          </w:p>
        </w:tc>
        <w:tc>
          <w:tcPr>
            <w:tcW w:w="0" w:type="auto"/>
            <w:shd w:val="clear" w:color="auto" w:fill="FFFFFF"/>
            <w:tcMar>
              <w:top w:w="0" w:type="dxa"/>
              <w:left w:w="85" w:type="dxa"/>
              <w:bottom w:w="0" w:type="dxa"/>
              <w:right w:w="85" w:type="dxa"/>
            </w:tcMar>
          </w:tcPr>
          <w:p w14:paraId="28E80F60" w14:textId="77777777" w:rsidR="00BC0FD7" w:rsidRPr="001D5327" w:rsidRDefault="00BC0FD7" w:rsidP="00D11AC9">
            <w:pPr>
              <w:pStyle w:val="TableText"/>
              <w:spacing w:before="40" w:after="40"/>
            </w:pPr>
            <w:r w:rsidRPr="001D5327">
              <w:rPr>
                <w:rFonts w:eastAsia="Calibri"/>
                <w:color w:val="000000"/>
              </w:rPr>
              <w:t>New Zealand specific</w:t>
            </w:r>
          </w:p>
        </w:tc>
        <w:tc>
          <w:tcPr>
            <w:tcW w:w="0" w:type="auto"/>
            <w:shd w:val="clear" w:color="auto" w:fill="FFFFFF"/>
            <w:tcMar>
              <w:top w:w="0" w:type="dxa"/>
              <w:left w:w="85" w:type="dxa"/>
              <w:bottom w:w="0" w:type="dxa"/>
              <w:right w:w="85" w:type="dxa"/>
            </w:tcMar>
          </w:tcPr>
          <w:p w14:paraId="69A2A05A" w14:textId="77777777" w:rsidR="00BC0FD7" w:rsidRPr="001D5327" w:rsidRDefault="00BC0FD7" w:rsidP="00D11AC9">
            <w:pPr>
              <w:pStyle w:val="TableText"/>
              <w:spacing w:before="40" w:after="40"/>
            </w:pPr>
            <w:r w:rsidRPr="001D5327">
              <w:rPr>
                <w:rFonts w:eastAsia="Calibri"/>
                <w:color w:val="000000"/>
              </w:rPr>
              <w:t>Cardno (unpublished)</w:t>
            </w:r>
          </w:p>
        </w:tc>
      </w:tr>
    </w:tbl>
    <w:p w14:paraId="4070D2F9" w14:textId="77777777" w:rsidR="00BC0FD7" w:rsidRPr="001D5327" w:rsidRDefault="00BC0FD7" w:rsidP="00BC0FD7">
      <w:pPr>
        <w:pStyle w:val="Noteundertable"/>
      </w:pPr>
      <w:r w:rsidRPr="001D5327">
        <w:rPr>
          <w:b/>
          <w:bCs/>
        </w:rPr>
        <w:t>Note:</w:t>
      </w:r>
      <w:r w:rsidRPr="001D5327">
        <w:t xml:space="preserve"> COD = chemical oxygen demand; TN = total nitrogen.</w:t>
      </w:r>
    </w:p>
    <w:p w14:paraId="435A689B" w14:textId="77777777" w:rsidR="00BC0FD7" w:rsidRPr="001D5327" w:rsidRDefault="00BC0FD7" w:rsidP="009C2100">
      <w:pPr>
        <w:pStyle w:val="Heading6"/>
        <w:spacing w:before="180"/>
      </w:pPr>
      <w:bookmarkStart w:id="2911" w:name="recovery-8"/>
      <w:r w:rsidRPr="001D5327">
        <w:t>Recovery</w:t>
      </w:r>
    </w:p>
    <w:p w14:paraId="7E6BED74" w14:textId="77777777" w:rsidR="00BC0FD7" w:rsidRPr="001D5327" w:rsidRDefault="00BC0FD7" w:rsidP="009C2100">
      <w:pPr>
        <w:pStyle w:val="BodyText"/>
        <w:spacing w:before="100" w:after="100"/>
      </w:pPr>
      <w:r w:rsidRPr="001D5327">
        <w:t>There is no recovery of emissions reported for this source.</w:t>
      </w:r>
    </w:p>
    <w:p w14:paraId="0D81719B" w14:textId="77777777" w:rsidR="00BC0FD7" w:rsidRPr="001D5327" w:rsidRDefault="00BC0FD7" w:rsidP="009C2100">
      <w:pPr>
        <w:pStyle w:val="Heading5"/>
        <w:spacing w:before="180"/>
      </w:pPr>
      <w:bookmarkStart w:id="2912" w:name="X8304ebedd37f21741b77165175d750c1cbc201b"/>
      <w:bookmarkEnd w:id="2909"/>
      <w:bookmarkEnd w:id="2911"/>
      <w:r w:rsidRPr="001D5327">
        <w:t>Nitrous oxide emissions from industrial wastewater treatment – Leather and skins industry</w:t>
      </w:r>
    </w:p>
    <w:p w14:paraId="39F00187" w14:textId="77777777" w:rsidR="00BC0FD7" w:rsidRPr="001D5327" w:rsidRDefault="00BC0FD7" w:rsidP="009C2100">
      <w:pPr>
        <w:pStyle w:val="BodyText"/>
        <w:spacing w:before="100" w:after="100"/>
      </w:pPr>
      <w:r w:rsidRPr="001D5327">
        <w:t>Table 7.5.15 summarises the parameter values applied for estimating N</w:t>
      </w:r>
      <w:r w:rsidRPr="001D5327">
        <w:rPr>
          <w:vertAlign w:val="subscript"/>
        </w:rPr>
        <w:t>2</w:t>
      </w:r>
      <w:r w:rsidRPr="001D5327">
        <w:t>O emissions from wastewater treatment by the leather and skins industry.</w:t>
      </w:r>
    </w:p>
    <w:p w14:paraId="4777770D" w14:textId="77777777" w:rsidR="00BC0FD7" w:rsidRPr="001D5327" w:rsidRDefault="00BC0FD7" w:rsidP="00BC0FD7">
      <w:pPr>
        <w:pStyle w:val="Table"/>
      </w:pPr>
      <w:bookmarkStart w:id="2913" w:name="_Toc194241830"/>
      <w:r w:rsidRPr="001D5327">
        <w:t xml:space="preserve">Table 7.5.15 </w:t>
      </w:r>
      <w:r w:rsidRPr="001D5327">
        <w:tab/>
        <w:t>Parameter values applied by New Zealand for estimating nitrous oxide emissions for wastewater treatment for the leather and skins industry</w:t>
      </w:r>
      <w:bookmarkEnd w:id="2913"/>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106"/>
        <w:gridCol w:w="709"/>
        <w:gridCol w:w="1559"/>
        <w:gridCol w:w="2120"/>
      </w:tblGrid>
      <w:tr w:rsidR="00BC0FD7" w:rsidRPr="001D5327" w14:paraId="0BBE63C7" w14:textId="77777777" w:rsidTr="00C3312C">
        <w:trPr>
          <w:tblHeader/>
        </w:trPr>
        <w:tc>
          <w:tcPr>
            <w:tcW w:w="4106" w:type="dxa"/>
            <w:shd w:val="clear" w:color="auto" w:fill="1B556B"/>
            <w:tcMar>
              <w:top w:w="0" w:type="dxa"/>
              <w:left w:w="85" w:type="dxa"/>
              <w:bottom w:w="0" w:type="dxa"/>
              <w:right w:w="85" w:type="dxa"/>
            </w:tcMar>
          </w:tcPr>
          <w:p w14:paraId="4D1F13D9"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Parameter</w:t>
            </w:r>
          </w:p>
        </w:tc>
        <w:tc>
          <w:tcPr>
            <w:tcW w:w="709" w:type="dxa"/>
            <w:shd w:val="clear" w:color="auto" w:fill="1B556B"/>
            <w:tcMar>
              <w:top w:w="0" w:type="dxa"/>
              <w:left w:w="85" w:type="dxa"/>
              <w:bottom w:w="0" w:type="dxa"/>
              <w:right w:w="85" w:type="dxa"/>
            </w:tcMar>
          </w:tcPr>
          <w:p w14:paraId="3C495BC7"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Value</w:t>
            </w:r>
          </w:p>
        </w:tc>
        <w:tc>
          <w:tcPr>
            <w:tcW w:w="1559" w:type="dxa"/>
            <w:shd w:val="clear" w:color="auto" w:fill="1B556B"/>
            <w:tcMar>
              <w:top w:w="0" w:type="dxa"/>
              <w:left w:w="85" w:type="dxa"/>
              <w:bottom w:w="0" w:type="dxa"/>
              <w:right w:w="85" w:type="dxa"/>
            </w:tcMar>
          </w:tcPr>
          <w:p w14:paraId="6552A301"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Source</w:t>
            </w:r>
          </w:p>
        </w:tc>
        <w:tc>
          <w:tcPr>
            <w:tcW w:w="2120" w:type="dxa"/>
            <w:shd w:val="clear" w:color="auto" w:fill="1B556B"/>
            <w:tcMar>
              <w:top w:w="0" w:type="dxa"/>
              <w:left w:w="85" w:type="dxa"/>
              <w:bottom w:w="0" w:type="dxa"/>
              <w:right w:w="85" w:type="dxa"/>
            </w:tcMar>
          </w:tcPr>
          <w:p w14:paraId="2E4442AB"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Reference</w:t>
            </w:r>
          </w:p>
        </w:tc>
      </w:tr>
      <w:tr w:rsidR="00BC0FD7" w:rsidRPr="001D5327" w14:paraId="4AC183F5" w14:textId="77777777" w:rsidTr="00C3312C">
        <w:tc>
          <w:tcPr>
            <w:tcW w:w="4106" w:type="dxa"/>
            <w:shd w:val="clear" w:color="auto" w:fill="FFFFFF"/>
            <w:tcMar>
              <w:top w:w="0" w:type="dxa"/>
              <w:left w:w="85" w:type="dxa"/>
              <w:bottom w:w="0" w:type="dxa"/>
              <w:right w:w="85" w:type="dxa"/>
            </w:tcMar>
          </w:tcPr>
          <w:p w14:paraId="220691FA" w14:textId="77777777" w:rsidR="00BC0FD7" w:rsidRPr="001D5327" w:rsidRDefault="00BC0FD7" w:rsidP="00D11AC9">
            <w:pPr>
              <w:pStyle w:val="TableText"/>
              <w:spacing w:before="40" w:after="40"/>
            </w:pPr>
            <w:r w:rsidRPr="001D5327">
              <w:rPr>
                <w:rFonts w:eastAsia="Calibri"/>
                <w:color w:val="000000"/>
              </w:rPr>
              <w:t>Degradable organic component (kg COD/tonne of product)</w:t>
            </w:r>
          </w:p>
        </w:tc>
        <w:tc>
          <w:tcPr>
            <w:tcW w:w="709" w:type="dxa"/>
            <w:shd w:val="clear" w:color="auto" w:fill="FFFFFF"/>
            <w:tcMar>
              <w:top w:w="0" w:type="dxa"/>
              <w:left w:w="85" w:type="dxa"/>
              <w:bottom w:w="0" w:type="dxa"/>
              <w:right w:w="85" w:type="dxa"/>
            </w:tcMar>
          </w:tcPr>
          <w:p w14:paraId="711ADEA3" w14:textId="77777777" w:rsidR="00BC0FD7" w:rsidRPr="001D5327" w:rsidRDefault="00BC0FD7" w:rsidP="00D11AC9">
            <w:pPr>
              <w:pStyle w:val="TableText"/>
              <w:spacing w:before="40" w:after="40"/>
              <w:jc w:val="right"/>
            </w:pPr>
            <w:r w:rsidRPr="001D5327">
              <w:rPr>
                <w:rFonts w:eastAsia="Calibri"/>
                <w:color w:val="000000"/>
              </w:rPr>
              <w:t>180</w:t>
            </w:r>
          </w:p>
        </w:tc>
        <w:tc>
          <w:tcPr>
            <w:tcW w:w="1559" w:type="dxa"/>
            <w:shd w:val="clear" w:color="auto" w:fill="FFFFFF"/>
            <w:tcMar>
              <w:top w:w="0" w:type="dxa"/>
              <w:left w:w="85" w:type="dxa"/>
              <w:bottom w:w="0" w:type="dxa"/>
              <w:right w:w="85" w:type="dxa"/>
            </w:tcMar>
          </w:tcPr>
          <w:p w14:paraId="2EDC039C" w14:textId="77777777" w:rsidR="00BC0FD7" w:rsidRPr="001D5327" w:rsidRDefault="00BC0FD7" w:rsidP="00D11AC9">
            <w:pPr>
              <w:pStyle w:val="TableText"/>
              <w:spacing w:before="40" w:after="40"/>
            </w:pPr>
            <w:r w:rsidRPr="001D5327">
              <w:rPr>
                <w:rFonts w:eastAsia="Calibri"/>
                <w:color w:val="000000"/>
              </w:rPr>
              <w:t>New Zealand specific</w:t>
            </w:r>
          </w:p>
        </w:tc>
        <w:tc>
          <w:tcPr>
            <w:tcW w:w="2120" w:type="dxa"/>
            <w:shd w:val="clear" w:color="auto" w:fill="FFFFFF"/>
            <w:tcMar>
              <w:top w:w="0" w:type="dxa"/>
              <w:left w:w="85" w:type="dxa"/>
              <w:bottom w:w="0" w:type="dxa"/>
              <w:right w:w="85" w:type="dxa"/>
            </w:tcMar>
          </w:tcPr>
          <w:p w14:paraId="49833CD5" w14:textId="77777777" w:rsidR="00BC0FD7" w:rsidRPr="001D5327" w:rsidRDefault="00BC0FD7" w:rsidP="00D11AC9">
            <w:pPr>
              <w:pStyle w:val="TableText"/>
              <w:spacing w:before="40" w:after="40"/>
            </w:pPr>
            <w:r w:rsidRPr="001D5327">
              <w:rPr>
                <w:rFonts w:eastAsia="Calibri"/>
                <w:color w:val="000000"/>
              </w:rPr>
              <w:t>SCS Wetherill Environmental (unpublished)</w:t>
            </w:r>
          </w:p>
        </w:tc>
      </w:tr>
      <w:tr w:rsidR="00BC0FD7" w:rsidRPr="001D5327" w14:paraId="16904369" w14:textId="77777777" w:rsidTr="00C3312C">
        <w:tc>
          <w:tcPr>
            <w:tcW w:w="4106" w:type="dxa"/>
            <w:shd w:val="clear" w:color="auto" w:fill="FFFFFF"/>
            <w:tcMar>
              <w:top w:w="0" w:type="dxa"/>
              <w:left w:w="85" w:type="dxa"/>
              <w:bottom w:w="0" w:type="dxa"/>
              <w:right w:w="85" w:type="dxa"/>
            </w:tcMar>
          </w:tcPr>
          <w:p w14:paraId="7CF019E7" w14:textId="77777777" w:rsidR="00BC0FD7" w:rsidRPr="001D5327" w:rsidRDefault="00BC0FD7" w:rsidP="00D11AC9">
            <w:pPr>
              <w:pStyle w:val="TableText"/>
              <w:spacing w:before="40" w:after="40"/>
            </w:pPr>
            <w:r w:rsidRPr="001D5327">
              <w:rPr>
                <w:rFonts w:eastAsia="Calibri"/>
                <w:color w:val="000000"/>
              </w:rPr>
              <w:t>Ratio of total nitrogen to biodegradable COD (TN:COD</w:t>
            </w:r>
            <w:r w:rsidRPr="001D5327">
              <w:rPr>
                <w:rFonts w:eastAsia="Calibri"/>
                <w:color w:val="000000"/>
                <w:vertAlign w:val="subscript"/>
              </w:rPr>
              <w:t>b</w:t>
            </w:r>
            <w:r w:rsidRPr="001D5327">
              <w:rPr>
                <w:rFonts w:eastAsia="Calibri"/>
                <w:color w:val="000000"/>
              </w:rPr>
              <w:t>)</w:t>
            </w:r>
          </w:p>
        </w:tc>
        <w:tc>
          <w:tcPr>
            <w:tcW w:w="709" w:type="dxa"/>
            <w:shd w:val="clear" w:color="auto" w:fill="FFFFFF"/>
            <w:tcMar>
              <w:top w:w="0" w:type="dxa"/>
              <w:left w:w="85" w:type="dxa"/>
              <w:bottom w:w="0" w:type="dxa"/>
              <w:right w:w="85" w:type="dxa"/>
            </w:tcMar>
          </w:tcPr>
          <w:p w14:paraId="221EB333" w14:textId="77777777" w:rsidR="00BC0FD7" w:rsidRPr="001D5327" w:rsidRDefault="00BC0FD7" w:rsidP="00D11AC9">
            <w:pPr>
              <w:pStyle w:val="TableText"/>
              <w:spacing w:before="40" w:after="40"/>
              <w:jc w:val="right"/>
            </w:pPr>
            <w:r w:rsidRPr="001D5327">
              <w:rPr>
                <w:rFonts w:eastAsia="Calibri"/>
                <w:color w:val="000000"/>
              </w:rPr>
              <w:t>0.08</w:t>
            </w:r>
          </w:p>
        </w:tc>
        <w:tc>
          <w:tcPr>
            <w:tcW w:w="1559" w:type="dxa"/>
            <w:shd w:val="clear" w:color="auto" w:fill="FFFFFF"/>
            <w:tcMar>
              <w:top w:w="0" w:type="dxa"/>
              <w:left w:w="85" w:type="dxa"/>
              <w:bottom w:w="0" w:type="dxa"/>
              <w:right w:w="85" w:type="dxa"/>
            </w:tcMar>
          </w:tcPr>
          <w:p w14:paraId="0ECD5DCF" w14:textId="77777777" w:rsidR="00BC0FD7" w:rsidRPr="001D5327" w:rsidRDefault="00BC0FD7" w:rsidP="00D11AC9">
            <w:pPr>
              <w:pStyle w:val="TableText"/>
              <w:spacing w:before="40" w:after="40"/>
            </w:pPr>
            <w:r w:rsidRPr="001D5327">
              <w:rPr>
                <w:rFonts w:eastAsia="Calibri"/>
                <w:color w:val="000000"/>
              </w:rPr>
              <w:t>New Zealand specific</w:t>
            </w:r>
          </w:p>
        </w:tc>
        <w:tc>
          <w:tcPr>
            <w:tcW w:w="2120" w:type="dxa"/>
            <w:shd w:val="clear" w:color="auto" w:fill="FFFFFF"/>
            <w:tcMar>
              <w:top w:w="0" w:type="dxa"/>
              <w:left w:w="85" w:type="dxa"/>
              <w:bottom w:w="0" w:type="dxa"/>
              <w:right w:w="85" w:type="dxa"/>
            </w:tcMar>
          </w:tcPr>
          <w:p w14:paraId="77947D1A" w14:textId="77777777" w:rsidR="00BC0FD7" w:rsidRPr="001D5327" w:rsidRDefault="00BC0FD7" w:rsidP="00D11AC9">
            <w:pPr>
              <w:pStyle w:val="TableText"/>
              <w:spacing w:before="40" w:after="40"/>
            </w:pPr>
            <w:r w:rsidRPr="001D5327">
              <w:rPr>
                <w:rFonts w:eastAsia="Calibri"/>
                <w:color w:val="000000"/>
              </w:rPr>
              <w:t>SCS Wetherill Environmental (unpublished)</w:t>
            </w:r>
          </w:p>
        </w:tc>
      </w:tr>
      <w:tr w:rsidR="00BC0FD7" w:rsidRPr="001D5327" w14:paraId="70405016" w14:textId="77777777" w:rsidTr="00C3312C">
        <w:tc>
          <w:tcPr>
            <w:tcW w:w="4106" w:type="dxa"/>
            <w:shd w:val="clear" w:color="auto" w:fill="FFFFFF"/>
            <w:tcMar>
              <w:top w:w="0" w:type="dxa"/>
              <w:left w:w="85" w:type="dxa"/>
              <w:bottom w:w="0" w:type="dxa"/>
              <w:right w:w="85" w:type="dxa"/>
            </w:tcMar>
          </w:tcPr>
          <w:p w14:paraId="3776DB74" w14:textId="77777777" w:rsidR="00BC0FD7" w:rsidRPr="001D5327" w:rsidRDefault="00BC0FD7" w:rsidP="00D11AC9">
            <w:pPr>
              <w:pStyle w:val="TableText"/>
              <w:spacing w:before="40" w:after="40"/>
            </w:pPr>
            <w:r w:rsidRPr="001D5327">
              <w:rPr>
                <w:rFonts w:eastAsia="Calibri"/>
                <w:color w:val="000000"/>
              </w:rPr>
              <w:t>Overall emission factor</w:t>
            </w:r>
          </w:p>
        </w:tc>
        <w:tc>
          <w:tcPr>
            <w:tcW w:w="709" w:type="dxa"/>
            <w:shd w:val="clear" w:color="auto" w:fill="FFFFFF"/>
            <w:tcMar>
              <w:top w:w="0" w:type="dxa"/>
              <w:left w:w="85" w:type="dxa"/>
              <w:bottom w:w="0" w:type="dxa"/>
              <w:right w:w="85" w:type="dxa"/>
            </w:tcMar>
          </w:tcPr>
          <w:p w14:paraId="65CDAF7B" w14:textId="77777777" w:rsidR="00BC0FD7" w:rsidRPr="001D5327" w:rsidRDefault="00BC0FD7" w:rsidP="00D11AC9">
            <w:pPr>
              <w:pStyle w:val="TableText"/>
              <w:spacing w:before="40" w:after="40"/>
              <w:jc w:val="right"/>
            </w:pPr>
            <w:r w:rsidRPr="001D5327">
              <w:rPr>
                <w:rFonts w:eastAsia="Calibri"/>
                <w:color w:val="000000"/>
              </w:rPr>
              <w:t>0.02</w:t>
            </w:r>
          </w:p>
        </w:tc>
        <w:tc>
          <w:tcPr>
            <w:tcW w:w="1559" w:type="dxa"/>
            <w:shd w:val="clear" w:color="auto" w:fill="FFFFFF"/>
            <w:tcMar>
              <w:top w:w="0" w:type="dxa"/>
              <w:left w:w="85" w:type="dxa"/>
              <w:bottom w:w="0" w:type="dxa"/>
              <w:right w:w="85" w:type="dxa"/>
            </w:tcMar>
          </w:tcPr>
          <w:p w14:paraId="1ED1E052" w14:textId="77777777" w:rsidR="00BC0FD7" w:rsidRPr="001D5327" w:rsidRDefault="00BC0FD7" w:rsidP="00D11AC9">
            <w:pPr>
              <w:pStyle w:val="TableText"/>
              <w:spacing w:before="40" w:after="40"/>
            </w:pPr>
            <w:r w:rsidRPr="001D5327">
              <w:rPr>
                <w:rFonts w:eastAsia="Calibri"/>
                <w:color w:val="000000"/>
              </w:rPr>
              <w:t>New Zealand specific</w:t>
            </w:r>
          </w:p>
        </w:tc>
        <w:tc>
          <w:tcPr>
            <w:tcW w:w="2120" w:type="dxa"/>
            <w:shd w:val="clear" w:color="auto" w:fill="FFFFFF"/>
            <w:tcMar>
              <w:top w:w="0" w:type="dxa"/>
              <w:left w:w="85" w:type="dxa"/>
              <w:bottom w:w="0" w:type="dxa"/>
              <w:right w:w="85" w:type="dxa"/>
            </w:tcMar>
          </w:tcPr>
          <w:p w14:paraId="74976D12" w14:textId="77777777" w:rsidR="00BC0FD7" w:rsidRPr="001D5327" w:rsidRDefault="00BC0FD7" w:rsidP="00D11AC9">
            <w:pPr>
              <w:pStyle w:val="TableText"/>
              <w:spacing w:before="40" w:after="40"/>
            </w:pPr>
            <w:r w:rsidRPr="001D5327">
              <w:rPr>
                <w:rFonts w:eastAsia="Calibri"/>
                <w:color w:val="000000"/>
              </w:rPr>
              <w:t>SCS Wetherill Environmental (unpublished)</w:t>
            </w:r>
          </w:p>
        </w:tc>
      </w:tr>
    </w:tbl>
    <w:p w14:paraId="6E4D4244" w14:textId="77777777" w:rsidR="00BC0FD7" w:rsidRPr="001D5327" w:rsidRDefault="00BC0FD7" w:rsidP="00BC0FD7">
      <w:pPr>
        <w:pStyle w:val="Noteundertable"/>
      </w:pPr>
      <w:r w:rsidRPr="001D5327">
        <w:rPr>
          <w:b/>
          <w:bCs/>
        </w:rPr>
        <w:t>Note:</w:t>
      </w:r>
      <w:r w:rsidRPr="001D5327">
        <w:t xml:space="preserve"> COD = chemical oxygen demand; TN = total nitrogen.</w:t>
      </w:r>
    </w:p>
    <w:p w14:paraId="24F428A9" w14:textId="77777777" w:rsidR="00BC0FD7" w:rsidRPr="001D5327" w:rsidRDefault="00BC0FD7" w:rsidP="009C2100">
      <w:pPr>
        <w:pStyle w:val="Heading6"/>
        <w:spacing w:before="180"/>
      </w:pPr>
      <w:bookmarkStart w:id="2914" w:name="recovery-9"/>
      <w:r w:rsidRPr="001D5327">
        <w:t>Recovery</w:t>
      </w:r>
    </w:p>
    <w:p w14:paraId="45C89BE8" w14:textId="77777777" w:rsidR="00BC0FD7" w:rsidRPr="001D5327" w:rsidRDefault="00BC0FD7" w:rsidP="009C2100">
      <w:pPr>
        <w:pStyle w:val="BodyText"/>
        <w:spacing w:before="100" w:after="100"/>
      </w:pPr>
      <w:r w:rsidRPr="001D5327">
        <w:t>There is no recovery of emissions reported for this source.</w:t>
      </w:r>
    </w:p>
    <w:bookmarkEnd w:id="2890"/>
    <w:bookmarkEnd w:id="2912"/>
    <w:bookmarkEnd w:id="2914"/>
    <w:p w14:paraId="3C11FC2E" w14:textId="77777777" w:rsidR="00BC0FD7" w:rsidRPr="001D5327" w:rsidRDefault="00BC0FD7" w:rsidP="00BC0FD7">
      <w:pPr>
        <w:pStyle w:val="Heading3"/>
      </w:pPr>
      <w:r w:rsidRPr="001D5327">
        <w:t xml:space="preserve">7.5.3 </w:t>
      </w:r>
      <w:r w:rsidRPr="001D5327">
        <w:tab/>
        <w:t>Uncertainty assessment and time-series consistency</w:t>
      </w:r>
    </w:p>
    <w:p w14:paraId="190455F1" w14:textId="77777777" w:rsidR="00BC0FD7" w:rsidRPr="001D5327" w:rsidRDefault="00BC0FD7" w:rsidP="009C2100">
      <w:pPr>
        <w:pStyle w:val="Heading4"/>
        <w:spacing w:before="180"/>
      </w:pPr>
      <w:r w:rsidRPr="001D5327">
        <w:t>Uncertainties</w:t>
      </w:r>
    </w:p>
    <w:p w14:paraId="5661C13C" w14:textId="77777777" w:rsidR="00BC0FD7" w:rsidRPr="001D5327" w:rsidRDefault="00BC0FD7" w:rsidP="00BC0FD7">
      <w:pPr>
        <w:pStyle w:val="Table"/>
        <w:spacing w:before="240"/>
      </w:pPr>
      <w:bookmarkStart w:id="2915" w:name="_Toc194241831"/>
      <w:r w:rsidRPr="001D5327">
        <w:t xml:space="preserve">Table 7.5.16 </w:t>
      </w:r>
      <w:r w:rsidRPr="001D5327">
        <w:tab/>
        <w:t>Uncertainty in emissions from wastewater</w:t>
      </w:r>
      <w:bookmarkEnd w:id="2915"/>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239"/>
        <w:gridCol w:w="2482"/>
        <w:gridCol w:w="2773"/>
      </w:tblGrid>
      <w:tr w:rsidR="00BC0FD7" w:rsidRPr="001D5327" w14:paraId="22A23F52" w14:textId="77777777" w:rsidTr="00C3312C">
        <w:trPr>
          <w:tblHeader/>
        </w:trPr>
        <w:tc>
          <w:tcPr>
            <w:tcW w:w="0" w:type="auto"/>
            <w:shd w:val="clear" w:color="auto" w:fill="1B556B"/>
            <w:tcMar>
              <w:top w:w="0" w:type="dxa"/>
              <w:left w:w="85" w:type="dxa"/>
              <w:bottom w:w="0" w:type="dxa"/>
              <w:right w:w="85" w:type="dxa"/>
            </w:tcMar>
          </w:tcPr>
          <w:p w14:paraId="7F3F0DF5" w14:textId="77777777" w:rsidR="00BC0FD7" w:rsidRPr="001D5327" w:rsidRDefault="00BC0FD7" w:rsidP="00D11AC9">
            <w:pPr>
              <w:pStyle w:val="TableTextBold"/>
              <w:spacing w:before="40" w:after="40"/>
              <w:rPr>
                <w:noProof w:val="0"/>
                <w:color w:val="FFFFFF" w:themeColor="background1"/>
              </w:rPr>
            </w:pPr>
            <w:r w:rsidRPr="001D5327">
              <w:rPr>
                <w:rFonts w:eastAsia="Calibri"/>
                <w:noProof w:val="0"/>
                <w:color w:val="FFFFFF" w:themeColor="background1"/>
              </w:rPr>
              <w:t>Emissions category</w:t>
            </w:r>
          </w:p>
        </w:tc>
        <w:tc>
          <w:tcPr>
            <w:tcW w:w="0" w:type="auto"/>
            <w:shd w:val="clear" w:color="auto" w:fill="1B556B"/>
            <w:tcMar>
              <w:top w:w="0" w:type="dxa"/>
              <w:left w:w="85" w:type="dxa"/>
              <w:bottom w:w="0" w:type="dxa"/>
              <w:right w:w="85" w:type="dxa"/>
            </w:tcMar>
          </w:tcPr>
          <w:p w14:paraId="3107772D"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tcPr>
          <w:p w14:paraId="0673C6E7" w14:textId="77777777" w:rsidR="00BC0FD7" w:rsidRPr="001D5327" w:rsidRDefault="00BC0FD7"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emission factors (%)</w:t>
            </w:r>
          </w:p>
        </w:tc>
      </w:tr>
      <w:tr w:rsidR="00BC0FD7" w:rsidRPr="001D5327" w14:paraId="3ECADBC9" w14:textId="77777777" w:rsidTr="00C3312C">
        <w:tc>
          <w:tcPr>
            <w:tcW w:w="0" w:type="auto"/>
            <w:shd w:val="clear" w:color="auto" w:fill="FFFFFF"/>
            <w:tcMar>
              <w:top w:w="0" w:type="dxa"/>
              <w:left w:w="85" w:type="dxa"/>
              <w:bottom w:w="0" w:type="dxa"/>
              <w:right w:w="85" w:type="dxa"/>
            </w:tcMar>
          </w:tcPr>
          <w:p w14:paraId="4563F77E" w14:textId="77777777" w:rsidR="00BC0FD7" w:rsidRPr="001D5327" w:rsidRDefault="00BC0FD7" w:rsidP="00D11AC9">
            <w:pPr>
              <w:pStyle w:val="TableText"/>
              <w:spacing w:before="40" w:after="40"/>
            </w:pPr>
            <w:r w:rsidRPr="001D5327">
              <w:rPr>
                <w:rFonts w:eastAsia="Calibri"/>
                <w:color w:val="000000"/>
              </w:rPr>
              <w:t>Domestic and industrial wastewater (CH₄)</w:t>
            </w:r>
          </w:p>
        </w:tc>
        <w:tc>
          <w:tcPr>
            <w:tcW w:w="0" w:type="auto"/>
            <w:shd w:val="clear" w:color="auto" w:fill="FFFFFF"/>
            <w:tcMar>
              <w:top w:w="0" w:type="dxa"/>
              <w:left w:w="85" w:type="dxa"/>
              <w:bottom w:w="0" w:type="dxa"/>
              <w:right w:w="85" w:type="dxa"/>
            </w:tcMar>
          </w:tcPr>
          <w:p w14:paraId="271A7A49" w14:textId="77777777" w:rsidR="00BC0FD7" w:rsidRPr="001D5327" w:rsidRDefault="00BC0FD7" w:rsidP="00D11AC9">
            <w:pPr>
              <w:pStyle w:val="TableText"/>
              <w:spacing w:before="40" w:after="40"/>
              <w:jc w:val="right"/>
            </w:pPr>
            <w:r w:rsidRPr="001D5327">
              <w:rPr>
                <w:rFonts w:eastAsia="Calibri"/>
                <w:color w:val="000000"/>
              </w:rPr>
              <w:t>±10</w:t>
            </w:r>
          </w:p>
        </w:tc>
        <w:tc>
          <w:tcPr>
            <w:tcW w:w="0" w:type="auto"/>
            <w:shd w:val="clear" w:color="auto" w:fill="FFFFFF"/>
            <w:tcMar>
              <w:top w:w="0" w:type="dxa"/>
              <w:left w:w="85" w:type="dxa"/>
              <w:bottom w:w="0" w:type="dxa"/>
              <w:right w:w="85" w:type="dxa"/>
            </w:tcMar>
          </w:tcPr>
          <w:p w14:paraId="3DD2105F" w14:textId="77777777" w:rsidR="00BC0FD7" w:rsidRPr="001D5327" w:rsidRDefault="00BC0FD7" w:rsidP="00D11AC9">
            <w:pPr>
              <w:pStyle w:val="TableText"/>
              <w:spacing w:before="40" w:after="40"/>
              <w:jc w:val="right"/>
            </w:pPr>
            <w:r w:rsidRPr="001D5327">
              <w:rPr>
                <w:rFonts w:eastAsia="Calibri"/>
                <w:color w:val="000000"/>
              </w:rPr>
              <w:t>±40</w:t>
            </w:r>
          </w:p>
        </w:tc>
      </w:tr>
      <w:tr w:rsidR="00BC0FD7" w:rsidRPr="001D5327" w14:paraId="4851F525" w14:textId="77777777" w:rsidTr="00C3312C">
        <w:tc>
          <w:tcPr>
            <w:tcW w:w="0" w:type="auto"/>
            <w:shd w:val="clear" w:color="auto" w:fill="FFFFFF"/>
            <w:tcMar>
              <w:top w:w="0" w:type="dxa"/>
              <w:left w:w="85" w:type="dxa"/>
              <w:bottom w:w="0" w:type="dxa"/>
              <w:right w:w="85" w:type="dxa"/>
            </w:tcMar>
          </w:tcPr>
          <w:p w14:paraId="075E8E9B" w14:textId="77777777" w:rsidR="00BC0FD7" w:rsidRPr="001D5327" w:rsidRDefault="00BC0FD7" w:rsidP="00D11AC9">
            <w:pPr>
              <w:pStyle w:val="TableText"/>
              <w:spacing w:before="40" w:after="40"/>
            </w:pPr>
            <w:r w:rsidRPr="001D5327">
              <w:rPr>
                <w:rFonts w:eastAsia="Calibri"/>
                <w:color w:val="000000"/>
              </w:rPr>
              <w:t>Domestic and industrial wastewater (N₂O)</w:t>
            </w:r>
          </w:p>
        </w:tc>
        <w:tc>
          <w:tcPr>
            <w:tcW w:w="0" w:type="auto"/>
            <w:shd w:val="clear" w:color="auto" w:fill="FFFFFF"/>
            <w:tcMar>
              <w:top w:w="0" w:type="dxa"/>
              <w:left w:w="85" w:type="dxa"/>
              <w:bottom w:w="0" w:type="dxa"/>
              <w:right w:w="85" w:type="dxa"/>
            </w:tcMar>
          </w:tcPr>
          <w:p w14:paraId="519188F4" w14:textId="77777777" w:rsidR="00BC0FD7" w:rsidRPr="001D5327" w:rsidRDefault="00BC0FD7" w:rsidP="00D11AC9">
            <w:pPr>
              <w:pStyle w:val="TableText"/>
              <w:spacing w:before="40" w:after="40"/>
              <w:jc w:val="right"/>
            </w:pPr>
            <w:r w:rsidRPr="001D5327">
              <w:rPr>
                <w:rFonts w:eastAsia="Calibri"/>
                <w:color w:val="000000"/>
              </w:rPr>
              <w:t>±10</w:t>
            </w:r>
          </w:p>
        </w:tc>
        <w:tc>
          <w:tcPr>
            <w:tcW w:w="0" w:type="auto"/>
            <w:shd w:val="clear" w:color="auto" w:fill="FFFFFF"/>
            <w:tcMar>
              <w:top w:w="0" w:type="dxa"/>
              <w:left w:w="85" w:type="dxa"/>
              <w:bottom w:w="0" w:type="dxa"/>
              <w:right w:w="85" w:type="dxa"/>
            </w:tcMar>
          </w:tcPr>
          <w:p w14:paraId="573FDEC4" w14:textId="77777777" w:rsidR="00BC0FD7" w:rsidRPr="001D5327" w:rsidRDefault="00BC0FD7" w:rsidP="00D11AC9">
            <w:pPr>
              <w:pStyle w:val="TableText"/>
              <w:spacing w:before="40" w:after="40"/>
              <w:jc w:val="right"/>
            </w:pPr>
            <w:r w:rsidRPr="001D5327">
              <w:rPr>
                <w:rFonts w:eastAsia="Calibri"/>
                <w:color w:val="000000"/>
              </w:rPr>
              <w:t>±90</w:t>
            </w:r>
          </w:p>
        </w:tc>
      </w:tr>
    </w:tbl>
    <w:p w14:paraId="0B367485" w14:textId="77777777" w:rsidR="00BC0FD7" w:rsidRPr="001D5327" w:rsidRDefault="00BC0FD7" w:rsidP="0054134B">
      <w:pPr>
        <w:pStyle w:val="Heading5"/>
        <w:spacing w:before="320"/>
      </w:pPr>
      <w:bookmarkStart w:id="2916" w:name="methane-emissions"/>
      <w:r w:rsidRPr="001D5327">
        <w:t>Methane emissions</w:t>
      </w:r>
    </w:p>
    <w:p w14:paraId="4320D142" w14:textId="77777777" w:rsidR="00BC0FD7" w:rsidRPr="001D5327" w:rsidRDefault="00BC0FD7" w:rsidP="009C2100">
      <w:pPr>
        <w:pStyle w:val="BodyText"/>
        <w:spacing w:before="100" w:after="100"/>
      </w:pPr>
      <w:r w:rsidRPr="001D5327">
        <w:t>The parameters used to estimate CH</w:t>
      </w:r>
      <w:r w:rsidRPr="001D5327">
        <w:rPr>
          <w:vertAlign w:val="subscript"/>
        </w:rPr>
        <w:t>4</w:t>
      </w:r>
      <w:r w:rsidRPr="001D5327">
        <w:t xml:space="preserve"> emissions from domestic and industrial wastewater (see table 7.5.16) have an estimated uncertainty of ±40 per cent (SCS Wetherill Environmental, unpublished). This stems from uncertainties in:</w:t>
      </w:r>
    </w:p>
    <w:p w14:paraId="5D089AA1" w14:textId="77777777" w:rsidR="00BC0FD7" w:rsidRPr="001D5327" w:rsidRDefault="00BC0FD7" w:rsidP="009C2100">
      <w:pPr>
        <w:pStyle w:val="Bullet"/>
        <w:spacing w:after="100"/>
        <w:rPr>
          <w:spacing w:val="-2"/>
        </w:rPr>
      </w:pPr>
      <w:r w:rsidRPr="001D5327">
        <w:rPr>
          <w:spacing w:val="-2"/>
        </w:rPr>
        <w:t>the factors used to calculate emissions from the different wastewater treatment processes</w:t>
      </w:r>
    </w:p>
    <w:p w14:paraId="2E210189" w14:textId="77777777" w:rsidR="00BC0FD7" w:rsidRPr="001D5327" w:rsidRDefault="00BC0FD7" w:rsidP="009C2100">
      <w:pPr>
        <w:pStyle w:val="Bullet"/>
        <w:spacing w:after="100"/>
      </w:pPr>
      <w:r w:rsidRPr="001D5327">
        <w:t>the quantities of wastewater handled by the different wastewater treatment plants</w:t>
      </w:r>
    </w:p>
    <w:p w14:paraId="43449F97" w14:textId="77777777" w:rsidR="00BC0FD7" w:rsidRPr="001D5327" w:rsidRDefault="00BC0FD7" w:rsidP="009C2100">
      <w:pPr>
        <w:pStyle w:val="Bullet"/>
        <w:spacing w:after="100"/>
      </w:pPr>
      <w:r w:rsidRPr="001D5327">
        <w:t>the accuracy and completeness of the data relating to each plant</w:t>
      </w:r>
    </w:p>
    <w:p w14:paraId="3AAB2DE3" w14:textId="77777777" w:rsidR="00BC0FD7" w:rsidRPr="001D5327" w:rsidRDefault="00BC0FD7" w:rsidP="009C2100">
      <w:pPr>
        <w:pStyle w:val="Bullet"/>
        <w:spacing w:after="100"/>
      </w:pPr>
      <w:r w:rsidRPr="001D5327">
        <w:t>the factors used to calculate the degradable organic content in the wastewater</w:t>
      </w:r>
    </w:p>
    <w:p w14:paraId="540C229F" w14:textId="77777777" w:rsidR="00BC0FD7" w:rsidRPr="001D5327" w:rsidRDefault="00BC0FD7" w:rsidP="00BC0FD7">
      <w:pPr>
        <w:pStyle w:val="Bullet"/>
      </w:pPr>
      <w:r w:rsidRPr="001D5327">
        <w:t>the wastewater treatment methods.</w:t>
      </w:r>
    </w:p>
    <w:p w14:paraId="709920B3" w14:textId="77777777" w:rsidR="00BC0FD7" w:rsidRPr="001D5327" w:rsidRDefault="00BC0FD7" w:rsidP="00BC0FD7">
      <w:pPr>
        <w:pStyle w:val="Heading5"/>
      </w:pPr>
      <w:bookmarkStart w:id="2917" w:name="nitrous-oxide-emissions-1"/>
      <w:bookmarkEnd w:id="2916"/>
      <w:r w:rsidRPr="001D5327">
        <w:lastRenderedPageBreak/>
        <w:t>Nitrous oxide emissions</w:t>
      </w:r>
    </w:p>
    <w:p w14:paraId="3D88654B" w14:textId="77777777" w:rsidR="00BC0FD7" w:rsidRPr="001D5327" w:rsidRDefault="00BC0FD7" w:rsidP="00BC0FD7">
      <w:pPr>
        <w:pStyle w:val="BodyText"/>
      </w:pPr>
      <w:r w:rsidRPr="001D5327">
        <w:t>Large uncertainties are associated with the IPCC default emission factors for N</w:t>
      </w:r>
      <w:r w:rsidRPr="001D5327">
        <w:rPr>
          <w:vertAlign w:val="subscript"/>
        </w:rPr>
        <w:t>2</w:t>
      </w:r>
      <w:r w:rsidRPr="001D5327">
        <w:t>O emissions from wastewater treatment effluent (IPCC, 2006a). The uncertainty is estimated to be ±90 per cent based on the ranges experienced in collecting and applying similar data internationally, and expert judgement on the application of this experience to New Zealand (Law et al., 2012).</w:t>
      </w:r>
    </w:p>
    <w:bookmarkEnd w:id="2917"/>
    <w:p w14:paraId="34A2C83C" w14:textId="77777777" w:rsidR="00BC0FD7" w:rsidRPr="001D5327" w:rsidRDefault="00BC0FD7" w:rsidP="00BC0FD7">
      <w:pPr>
        <w:pStyle w:val="Heading4"/>
      </w:pPr>
      <w:r w:rsidRPr="001D5327">
        <w:t>Time-series consistency</w:t>
      </w:r>
    </w:p>
    <w:p w14:paraId="63E88567" w14:textId="77777777" w:rsidR="00BC0FD7" w:rsidRPr="001D5327" w:rsidRDefault="00BC0FD7" w:rsidP="00BC0FD7">
      <w:pPr>
        <w:pStyle w:val="BodyText"/>
      </w:pPr>
      <w:r w:rsidRPr="001D5327">
        <w:t>Time-series consistency is ensured by the use of consistent models and parameters across the period. Where changes to methodologies or emission factors have occurred, the entire time series has been recalculated.</w:t>
      </w:r>
    </w:p>
    <w:p w14:paraId="6A52B7ED" w14:textId="77777777" w:rsidR="00BC0FD7" w:rsidRPr="001D5327" w:rsidRDefault="00BC0FD7" w:rsidP="00BC0FD7">
      <w:pPr>
        <w:pStyle w:val="Heading3"/>
      </w:pPr>
      <w:r w:rsidRPr="001D5327">
        <w:t xml:space="preserve">7.5.4 </w:t>
      </w:r>
      <w:r w:rsidRPr="001D5327">
        <w:tab/>
        <w:t>Category-specific QA/QC and verification</w:t>
      </w:r>
    </w:p>
    <w:p w14:paraId="0266F470" w14:textId="77777777" w:rsidR="00BC0FD7" w:rsidRPr="001D5327" w:rsidRDefault="00BC0FD7" w:rsidP="00BC0FD7">
      <w:pPr>
        <w:pStyle w:val="BodyText"/>
      </w:pPr>
      <w:r w:rsidRPr="001D5327">
        <w:t xml:space="preserve">In the preparation for this inventory submission, the data for the </w:t>
      </w:r>
      <w:r w:rsidRPr="001D5327">
        <w:rPr>
          <w:i/>
          <w:iCs/>
        </w:rPr>
        <w:t>Wastewater treatment and discharge</w:t>
      </w:r>
      <w:r w:rsidRPr="001D5327">
        <w:t xml:space="preserve"> category underwent Tier 1 quality checks.</w:t>
      </w:r>
    </w:p>
    <w:p w14:paraId="42BC3166" w14:textId="77777777" w:rsidR="00BC0FD7" w:rsidRPr="001D5327" w:rsidRDefault="00BC0FD7" w:rsidP="00BC0FD7">
      <w:pPr>
        <w:pStyle w:val="Heading3"/>
      </w:pPr>
      <w:r w:rsidRPr="001D5327">
        <w:t xml:space="preserve">7.5.5 </w:t>
      </w:r>
      <w:r w:rsidRPr="001D5327">
        <w:tab/>
        <w:t>Category-specific recalculations</w:t>
      </w:r>
    </w:p>
    <w:p w14:paraId="48BFDF30" w14:textId="77777777" w:rsidR="00BC0FD7" w:rsidRPr="001D5327" w:rsidRDefault="00BC0FD7" w:rsidP="00BC0FD7">
      <w:pPr>
        <w:pStyle w:val="Heading4"/>
      </w:pPr>
      <w:bookmarkStart w:id="2918" w:name="X5c9c54e7058d7078b7a5b4d3a53718bf553c884"/>
      <w:r w:rsidRPr="001D5327">
        <w:t>Emissions from domestic and industrial wastewater treatment</w:t>
      </w:r>
    </w:p>
    <w:p w14:paraId="03E209B6" w14:textId="77777777" w:rsidR="00BC0FD7" w:rsidRPr="001D5327" w:rsidRDefault="00BC0FD7" w:rsidP="00BC0FD7">
      <w:pPr>
        <w:pStyle w:val="BodyText"/>
      </w:pPr>
      <w:r w:rsidRPr="001D5327">
        <w:t xml:space="preserve">Emissions from </w:t>
      </w:r>
      <w:r w:rsidRPr="001D5327">
        <w:rPr>
          <w:i/>
          <w:iCs/>
        </w:rPr>
        <w:t>Domestic wastewater</w:t>
      </w:r>
      <w:r w:rsidRPr="001D5327">
        <w:t xml:space="preserve"> decreased by 0.5 kt CO</w:t>
      </w:r>
      <w:r w:rsidRPr="001D5327">
        <w:rPr>
          <w:vertAlign w:val="subscript"/>
        </w:rPr>
        <w:t>2</w:t>
      </w:r>
      <w:r w:rsidRPr="001D5327">
        <w:t>-e (0.2 per cent) in 1990 and increased by 1.0 kt CO</w:t>
      </w:r>
      <w:r w:rsidRPr="001D5327">
        <w:rPr>
          <w:vertAlign w:val="subscript"/>
        </w:rPr>
        <w:t>2</w:t>
      </w:r>
      <w:r w:rsidRPr="001D5327">
        <w:t xml:space="preserve">-e (0.3 per cent) in 2022. This is the result of revising population data using the latest estimates available and applying these consistently across the time series where possible. Emissions from </w:t>
      </w:r>
      <w:r w:rsidRPr="001D5327">
        <w:rPr>
          <w:i/>
          <w:iCs/>
        </w:rPr>
        <w:t>Industrial wastewater</w:t>
      </w:r>
      <w:r w:rsidRPr="001D5327">
        <w:t xml:space="preserve"> did not change in 1990 and 2022. More details on recalculations are provided in chapter 10.</w:t>
      </w:r>
    </w:p>
    <w:bookmarkEnd w:id="2918"/>
    <w:p w14:paraId="119B335B" w14:textId="77777777" w:rsidR="00BC0FD7" w:rsidRPr="001D5327" w:rsidRDefault="00BC0FD7" w:rsidP="00BC0FD7">
      <w:pPr>
        <w:pStyle w:val="Heading3"/>
      </w:pPr>
      <w:r w:rsidRPr="001D5327">
        <w:t xml:space="preserve">7.5.6 </w:t>
      </w:r>
      <w:r w:rsidRPr="001D5327">
        <w:tab/>
        <w:t>Category-specific planned improvements</w:t>
      </w:r>
    </w:p>
    <w:p w14:paraId="0A0DF24B" w14:textId="77777777" w:rsidR="00BC0FD7" w:rsidRPr="001D5327" w:rsidRDefault="00BC0FD7" w:rsidP="00BC0FD7">
      <w:pPr>
        <w:pStyle w:val="BodyText"/>
      </w:pPr>
      <w:r w:rsidRPr="001D5327">
        <w:t>No specific improvements are planned for this source category.</w:t>
      </w:r>
    </w:p>
    <w:p w14:paraId="5414DE9E" w14:textId="77777777" w:rsidR="00BC0FD7" w:rsidRPr="001D5327" w:rsidRDefault="00BC0FD7" w:rsidP="00BC0FD7">
      <w:pPr>
        <w:pStyle w:val="BodyText"/>
      </w:pPr>
      <w:r w:rsidRPr="001D5327">
        <w:br w:type="page"/>
      </w:r>
    </w:p>
    <w:p w14:paraId="3FAD3627" w14:textId="77777777" w:rsidR="00BC0FD7" w:rsidRPr="001D5327" w:rsidRDefault="00BC0FD7" w:rsidP="00BC0FD7">
      <w:pPr>
        <w:pStyle w:val="Heading2"/>
        <w:spacing w:after="360"/>
      </w:pPr>
      <w:bookmarkStart w:id="2919" w:name="_Toc194312045"/>
      <w:bookmarkStart w:id="2920" w:name="chapter-7-references"/>
      <w:bookmarkEnd w:id="2863"/>
      <w:r w:rsidRPr="001D5327">
        <w:lastRenderedPageBreak/>
        <w:t>Chapter 7: References</w:t>
      </w:r>
      <w:bookmarkEnd w:id="2919"/>
    </w:p>
    <w:p w14:paraId="73035F70" w14:textId="77777777" w:rsidR="00BC0FD7" w:rsidRPr="001D5327" w:rsidRDefault="00BC0FD7" w:rsidP="00BC0FD7">
      <w:pPr>
        <w:pStyle w:val="References"/>
      </w:pPr>
      <w:r w:rsidRPr="001D5327">
        <w:t>Beca Infrastructure Ltd. Unpublished. National Greenhouse Gas Inventory from Wastewater Treatment and Discharge. Report commissioned by the Ministry for the Environment in 2007.</w:t>
      </w:r>
    </w:p>
    <w:p w14:paraId="637153C1" w14:textId="77777777" w:rsidR="00BC0FD7" w:rsidRPr="001D5327" w:rsidRDefault="00BC0FD7" w:rsidP="00BC0FD7">
      <w:pPr>
        <w:pStyle w:val="References"/>
      </w:pPr>
      <w:r w:rsidRPr="001D5327">
        <w:t>Beca Ltd. Unpublished. Industrial Wastewater Greenhouse Gas (GHG) Estimates from the Pulp and Paper, Wool Scouring and Wine Industries for New Zealand’s GHG Inventory. Report commissioned by the Ministry for the Environment in 2013.</w:t>
      </w:r>
    </w:p>
    <w:p w14:paraId="0DA70DED" w14:textId="77777777" w:rsidR="00BC0FD7" w:rsidRPr="001D5327" w:rsidRDefault="00BC0FD7" w:rsidP="00BC0FD7">
      <w:pPr>
        <w:pStyle w:val="References"/>
      </w:pPr>
      <w:r w:rsidRPr="001D5327">
        <w:t>Cardno. Unpublished. Greenhouse Gas Emissions from Industrial Wastewater Treatment. Report commissioned by the Ministry for the Environment in 2015.</w:t>
      </w:r>
    </w:p>
    <w:p w14:paraId="5CCDE568" w14:textId="77777777" w:rsidR="00BC0FD7" w:rsidRPr="001D5327" w:rsidRDefault="00BC0FD7" w:rsidP="00BC0FD7">
      <w:pPr>
        <w:pStyle w:val="References"/>
      </w:pPr>
      <w:r w:rsidRPr="001D5327">
        <w:t>Eunomia Research and Consulting and Waste Not Consulting. Unpublished. Incorporating Waste Minimisation Act Data into New Zealand’s Greenhouse Gas Estimates. Report commissioned by the Ministry for the Environment in 2014.</w:t>
      </w:r>
    </w:p>
    <w:p w14:paraId="61E6BC58" w14:textId="77777777" w:rsidR="00BC0FD7" w:rsidRPr="001D5327" w:rsidRDefault="00BC0FD7" w:rsidP="00BC0FD7">
      <w:pPr>
        <w:pStyle w:val="References"/>
      </w:pPr>
      <w:r w:rsidRPr="001D5327">
        <w:t>Eunomia. Unpublished(a). Improvements to Estimates of Greenhouse Gas Emissions from Landfills. Report commissioned by the Ministry for the Environment in 2020.</w:t>
      </w:r>
    </w:p>
    <w:p w14:paraId="6BD45595" w14:textId="77777777" w:rsidR="00BC0FD7" w:rsidRPr="001D5327" w:rsidRDefault="00BC0FD7" w:rsidP="00BC0FD7">
      <w:pPr>
        <w:pStyle w:val="References"/>
      </w:pPr>
      <w:r w:rsidRPr="001D5327">
        <w:t>Eunomia. Unpublished(b). Data updated from National Resource Recovery Project situational analysis report (2019). Commissioned by the Ministry for the Environment in 2020.</w:t>
      </w:r>
    </w:p>
    <w:p w14:paraId="4BE41842" w14:textId="77777777" w:rsidR="00BC0FD7" w:rsidRPr="001D5327" w:rsidRDefault="00BC0FD7" w:rsidP="00BC0FD7">
      <w:pPr>
        <w:pStyle w:val="References"/>
      </w:pPr>
      <w:r w:rsidRPr="001D5327">
        <w:t>Eunomia. Unpublished(c). Waste Data Improvements for Non-Municipal Landfills and Farm Waste. Report commissioned by the Ministry for the Environment in 2022.</w:t>
      </w:r>
    </w:p>
    <w:p w14:paraId="088381CF" w14:textId="77777777" w:rsidR="00BC0FD7" w:rsidRPr="001D5327" w:rsidRDefault="00BC0FD7" w:rsidP="00BC0FD7">
      <w:pPr>
        <w:pStyle w:val="References"/>
      </w:pPr>
      <w:r w:rsidRPr="001D5327">
        <w:t>Eunomia. Unpublished(d). New Zealand’s National Recycling Rate: Options and estimates. Report commissioned by the Ministry for the Environment in 2024.</w:t>
      </w:r>
    </w:p>
    <w:p w14:paraId="38178FE8" w14:textId="77777777" w:rsidR="00BC0FD7" w:rsidRPr="001D5327" w:rsidRDefault="00BC0FD7" w:rsidP="00BC0FD7">
      <w:pPr>
        <w:pStyle w:val="References"/>
      </w:pPr>
      <w:r w:rsidRPr="001D5327">
        <w:t xml:space="preserve">GHD. 2013. </w:t>
      </w:r>
      <w:hyperlink r:id="rId229" w:history="1">
        <w:r w:rsidRPr="001D5327">
          <w:rPr>
            <w:rStyle w:val="Hyperlink"/>
            <w:i/>
            <w:iCs/>
          </w:rPr>
          <w:t>Non-natural Rural Wastes: Site survey analysis</w:t>
        </w:r>
      </w:hyperlink>
      <w:r w:rsidRPr="001D5327">
        <w:t>. GHD Ltd for the Canterbury Regional Council, published as Canterbury Regional Council Report No R13/52. Retrieved 9 November 2017.</w:t>
      </w:r>
    </w:p>
    <w:p w14:paraId="7AF88979" w14:textId="77777777" w:rsidR="00BC0FD7" w:rsidRPr="001D5327" w:rsidRDefault="00BC0FD7" w:rsidP="00BC0FD7">
      <w:pPr>
        <w:pStyle w:val="References"/>
      </w:pPr>
      <w:r w:rsidRPr="001D5327">
        <w:t xml:space="preserve">GHD. 2014. </w:t>
      </w:r>
      <w:hyperlink r:id="rId230" w:history="1">
        <w:r w:rsidRPr="001D5327">
          <w:rPr>
            <w:rStyle w:val="Hyperlink"/>
            <w:i/>
            <w:iCs/>
          </w:rPr>
          <w:t>Rural Waste Surveys Data Analysis: Waikato and Bay of Plenty</w:t>
        </w:r>
      </w:hyperlink>
      <w:r w:rsidRPr="001D5327">
        <w:t>. GHD Ltd for the Waikato Regional Council, published as Waikato Regional Council Report No 3114554. Retrieved 9 November 2017.</w:t>
      </w:r>
    </w:p>
    <w:p w14:paraId="634A1701" w14:textId="77777777" w:rsidR="007B6EF1" w:rsidRPr="001D5327" w:rsidRDefault="007B6EF1" w:rsidP="007B6EF1">
      <w:pPr>
        <w:pStyle w:val="References"/>
      </w:pPr>
      <w:r w:rsidRPr="001D5327">
        <w:t>Gregory RG. 2017. Landfill gas modelling: combining scientific rigour and commercial key performance indicators for reliable forecasting. International Waste Working Group, Conference Proceedings Sardinia, TUHH 2017.</w:t>
      </w:r>
    </w:p>
    <w:p w14:paraId="2BBEF120" w14:textId="77777777" w:rsidR="00BC0FD7" w:rsidRPr="001D5327" w:rsidRDefault="00BC0FD7" w:rsidP="00BC0FD7">
      <w:pPr>
        <w:pStyle w:val="References"/>
      </w:pPr>
      <w:r w:rsidRPr="001D5327">
        <w:t xml:space="preserve">IPCC. 2006a. Eggleston HS, Buendia L, Miwa K, Ngara T, Tanabe K (eds). </w:t>
      </w:r>
      <w:r w:rsidRPr="001D5327">
        <w:rPr>
          <w:i/>
          <w:iCs/>
        </w:rPr>
        <w:t>2006 IPCC Guidelines for National Greenhouse Gas Inventories. Volume 5. Waste</w:t>
      </w:r>
      <w:r w:rsidRPr="001D5327">
        <w:t>. IPCC National Greenhouse Gas Inventories Programme. Japan: Institute for Global Environmental Strategies for IPCC.</w:t>
      </w:r>
    </w:p>
    <w:p w14:paraId="5735305D" w14:textId="77777777" w:rsidR="00BC0FD7" w:rsidRPr="001D5327" w:rsidRDefault="00BC0FD7" w:rsidP="00BC0FD7">
      <w:pPr>
        <w:pStyle w:val="References"/>
      </w:pPr>
      <w:r w:rsidRPr="001D5327">
        <w:t xml:space="preserve">IPCC. 2006b. Eggleston HS, Buendia L, Miwa K, Ngara T, Tanabe K (eds). </w:t>
      </w:r>
      <w:r w:rsidRPr="001D5327">
        <w:rPr>
          <w:i/>
          <w:iCs/>
        </w:rPr>
        <w:t>2006 IPCC Guidelines for National Greenhouse Gas Inventories. Volume 2. Energy</w:t>
      </w:r>
      <w:r w:rsidRPr="001D5327">
        <w:t>. IPCC National Greenhouse Gas Inventories Programme. Japan: Institute for Global Environmental Strategies for IPCC.</w:t>
      </w:r>
    </w:p>
    <w:p w14:paraId="2E8D5486" w14:textId="77777777" w:rsidR="00BC0FD7" w:rsidRPr="001D5327" w:rsidRDefault="00BC0FD7" w:rsidP="00BC0FD7">
      <w:pPr>
        <w:pStyle w:val="References"/>
      </w:pPr>
      <w:r w:rsidRPr="001D5327">
        <w:t xml:space="preserve">IPCC. 2019. Calvo Buendia E, Tanabe K, Kranjc A, Baasansuren J, Fukuda M, Ngarize S, Osako A, Pyrozhenko Y, Shermanau P, Federici S (eds). </w:t>
      </w:r>
      <w:r w:rsidRPr="001D5327">
        <w:rPr>
          <w:i/>
          <w:iCs/>
        </w:rPr>
        <w:t>2019 Refinement to the 2006 IPCC Guidelines for National Greenhouse Gas Inventories. Volume 5. Waste</w:t>
      </w:r>
      <w:r w:rsidRPr="001D5327">
        <w:t>. IPCC National Greenhouse Gas Inventories Programme. Switzerland: Intergovernmental Panel on Climate Change.</w:t>
      </w:r>
    </w:p>
    <w:p w14:paraId="7EF0725E" w14:textId="77777777" w:rsidR="00BC0FD7" w:rsidRPr="001D5327" w:rsidRDefault="00BC0FD7" w:rsidP="00BC0FD7">
      <w:pPr>
        <w:pStyle w:val="References"/>
      </w:pPr>
      <w:r w:rsidRPr="001D5327">
        <w:t xml:space="preserve">Law Y, Ye L, Pan Y, Yuan Z. 2012. Nitrous oxide emissions from wastewater treatment processes. </w:t>
      </w:r>
      <w:r w:rsidRPr="001D5327">
        <w:rPr>
          <w:i/>
          <w:iCs/>
        </w:rPr>
        <w:t>Philosophical Transactions of the Royal Society ‘B’</w:t>
      </w:r>
      <w:r w:rsidRPr="001D5327">
        <w:t xml:space="preserve"> 367(1593): 1265–1277.</w:t>
      </w:r>
    </w:p>
    <w:p w14:paraId="69606A3F" w14:textId="77777777" w:rsidR="00BC0FD7" w:rsidRPr="001D5327" w:rsidRDefault="00BC0FD7" w:rsidP="00BC0FD7">
      <w:pPr>
        <w:pStyle w:val="References"/>
      </w:pPr>
      <w:r w:rsidRPr="001D5327">
        <w:t xml:space="preserve">Ministry for the Environment. 1997. </w:t>
      </w:r>
      <w:r w:rsidRPr="001D5327">
        <w:rPr>
          <w:i/>
          <w:iCs/>
        </w:rPr>
        <w:t>National Waste Data Report</w:t>
      </w:r>
      <w:r w:rsidRPr="001D5327">
        <w:t>. Wellington: Ministry for the Environment.</w:t>
      </w:r>
    </w:p>
    <w:p w14:paraId="32D8D485" w14:textId="77777777" w:rsidR="00BC0FD7" w:rsidRPr="001D5327" w:rsidRDefault="00BC0FD7" w:rsidP="00BC0FD7">
      <w:pPr>
        <w:pStyle w:val="References"/>
      </w:pPr>
      <w:r w:rsidRPr="001D5327">
        <w:t xml:space="preserve">Ministry for the Environment. 2002a. </w:t>
      </w:r>
      <w:r w:rsidRPr="001D5327">
        <w:rPr>
          <w:i/>
          <w:iCs/>
        </w:rPr>
        <w:t>The New Zealand Waste Strategy</w:t>
      </w:r>
      <w:r w:rsidRPr="001D5327">
        <w:t>. Wellington: Ministry for the Environment.</w:t>
      </w:r>
    </w:p>
    <w:p w14:paraId="435DBFCB" w14:textId="77777777" w:rsidR="00BC0FD7" w:rsidRPr="001D5327" w:rsidRDefault="00BC0FD7" w:rsidP="00BC0FD7">
      <w:pPr>
        <w:pStyle w:val="References"/>
      </w:pPr>
      <w:r w:rsidRPr="001D5327">
        <w:t xml:space="preserve">Ministry for the Environment. 2002b. </w:t>
      </w:r>
      <w:r w:rsidRPr="001D5327">
        <w:rPr>
          <w:i/>
          <w:iCs/>
        </w:rPr>
        <w:t>Solid Waste Analysis Protocol</w:t>
      </w:r>
      <w:r w:rsidRPr="001D5327">
        <w:t>. Wellington: Ministry for the Environment.</w:t>
      </w:r>
    </w:p>
    <w:p w14:paraId="7E93A18A" w14:textId="77777777" w:rsidR="00BC0FD7" w:rsidRPr="001D5327" w:rsidRDefault="00BC0FD7" w:rsidP="00BC0FD7">
      <w:pPr>
        <w:pStyle w:val="References"/>
      </w:pPr>
      <w:r w:rsidRPr="001D5327">
        <w:lastRenderedPageBreak/>
        <w:t xml:space="preserve">Ministry for the Environment. 2010. </w:t>
      </w:r>
      <w:r w:rsidRPr="001D5327">
        <w:rPr>
          <w:i/>
          <w:iCs/>
        </w:rPr>
        <w:t>The New Zealand Waste Strategy: Reducing Harm, Improving Efficiency</w:t>
      </w:r>
      <w:r w:rsidRPr="001D5327">
        <w:t>. Wellington: Ministry for the Environment.</w:t>
      </w:r>
    </w:p>
    <w:p w14:paraId="00A92053" w14:textId="77777777" w:rsidR="00BC0FD7" w:rsidRPr="001D5327" w:rsidRDefault="00BC0FD7" w:rsidP="00BC0FD7">
      <w:pPr>
        <w:pStyle w:val="References"/>
      </w:pPr>
      <w:r w:rsidRPr="001D5327">
        <w:t xml:space="preserve">Ministry for the Environment. 2022. </w:t>
      </w:r>
      <w:r w:rsidRPr="001D5327">
        <w:rPr>
          <w:i/>
          <w:iCs/>
        </w:rPr>
        <w:t>Te hau mārohi ki anamata – Towards a productive, sustainable and inclusive economy: Aotearoa New Zealand’s first emissions reduction plan</w:t>
      </w:r>
      <w:r w:rsidRPr="001D5327">
        <w:t>. Wellington: Ministry for the Environment.</w:t>
      </w:r>
    </w:p>
    <w:p w14:paraId="7349C6EC" w14:textId="77777777" w:rsidR="00BC0FD7" w:rsidRPr="001D5327" w:rsidRDefault="00BC0FD7" w:rsidP="00BC0FD7">
      <w:pPr>
        <w:pStyle w:val="References"/>
      </w:pPr>
      <w:r w:rsidRPr="001D5327">
        <w:t xml:space="preserve">Ministry for the Environment. 2024. </w:t>
      </w:r>
      <w:r w:rsidRPr="001D5327">
        <w:rPr>
          <w:i/>
          <w:iCs/>
        </w:rPr>
        <w:t>Our journey towards net zero: New Zealand’s second emissions reduction plan 2026–30</w:t>
      </w:r>
      <w:r w:rsidRPr="001D5327">
        <w:t>. Wellington: Ministry for the Environment.</w:t>
      </w:r>
    </w:p>
    <w:p w14:paraId="70614378" w14:textId="77777777" w:rsidR="00BC0FD7" w:rsidRPr="001D5327" w:rsidRDefault="00BC0FD7" w:rsidP="00BC0FD7">
      <w:pPr>
        <w:pStyle w:val="References"/>
      </w:pPr>
      <w:r w:rsidRPr="001D5327">
        <w:t xml:space="preserve">Ministry of Commerce. 1993. </w:t>
      </w:r>
      <w:r w:rsidRPr="001D5327">
        <w:rPr>
          <w:i/>
          <w:iCs/>
        </w:rPr>
        <w:t>New Zealand Energy Information Handbook: Energy Data, Conversion Factors, Definitions</w:t>
      </w:r>
      <w:r w:rsidRPr="001D5327">
        <w:t>. Taylor Baines and Associates.</w:t>
      </w:r>
    </w:p>
    <w:p w14:paraId="5E664203" w14:textId="77777777" w:rsidR="00BC0FD7" w:rsidRPr="001D5327" w:rsidRDefault="00BC0FD7" w:rsidP="00BC0FD7">
      <w:pPr>
        <w:pStyle w:val="References"/>
      </w:pPr>
      <w:r w:rsidRPr="001D5327">
        <w:t xml:space="preserve">MWH. 2017. </w:t>
      </w:r>
      <w:r w:rsidRPr="001D5327">
        <w:rPr>
          <w:i/>
          <w:iCs/>
        </w:rPr>
        <w:t>National Waste Disposal Survey. Final Report.</w:t>
      </w:r>
      <w:r w:rsidRPr="001D5327">
        <w:t xml:space="preserve"> MWH for the Ministry for the Environment, published as National Waste Disposal Survey Final Report 2017 No CR275. Retrieved 9 November 2017.</w:t>
      </w:r>
    </w:p>
    <w:p w14:paraId="43E66368" w14:textId="77777777" w:rsidR="00BC0FD7" w:rsidRPr="001D5327" w:rsidRDefault="00BC0FD7" w:rsidP="00BC0FD7">
      <w:pPr>
        <w:pStyle w:val="References"/>
      </w:pPr>
      <w:r w:rsidRPr="001D5327">
        <w:t>SCS Wetherill Environmental. Unpublished. National Greenhouse Gas Inventory from the Waste Sector 1990–2020. Report commissioned by the Ministry for the Environment in 2002.</w:t>
      </w:r>
    </w:p>
    <w:p w14:paraId="7880760D" w14:textId="77777777" w:rsidR="00BC0FD7" w:rsidRPr="001D5327" w:rsidRDefault="00BC0FD7" w:rsidP="00BC0FD7">
      <w:pPr>
        <w:pStyle w:val="References"/>
      </w:pPr>
      <w:r w:rsidRPr="001D5327">
        <w:t>SKM. Unpublished(a). Greenhouse Gases from the Waste Incineration Sector. Report commissioned by the Ministry for the Environment in 2007.</w:t>
      </w:r>
    </w:p>
    <w:p w14:paraId="733DD8CA" w14:textId="77777777" w:rsidR="00BC0FD7" w:rsidRPr="001D5327" w:rsidRDefault="00BC0FD7" w:rsidP="00BC0FD7">
      <w:pPr>
        <w:pStyle w:val="References"/>
      </w:pPr>
      <w:r w:rsidRPr="001D5327">
        <w:t>SKM. Unpublished(b). Estimates of Landfill Methane Recovered in New Zealand 1990–2012. Report commissioned by the Ministry for the Environment in 2009.</w:t>
      </w:r>
    </w:p>
    <w:p w14:paraId="26B2B831" w14:textId="77777777" w:rsidR="00BC0FD7" w:rsidRPr="001D5327" w:rsidRDefault="00BC0FD7" w:rsidP="00BC0FD7">
      <w:pPr>
        <w:pStyle w:val="References"/>
      </w:pPr>
      <w:r w:rsidRPr="001D5327">
        <w:t>Tonkin and Taylor Ltd. Unpublished(a). National Greenhouse Gas Emissions from Wastewater Sludge. Report commissioned by the Ministry for the Environment in 2011.</w:t>
      </w:r>
    </w:p>
    <w:p w14:paraId="3150FE8D" w14:textId="77777777" w:rsidR="00BC0FD7" w:rsidRPr="001D5327" w:rsidRDefault="00BC0FD7" w:rsidP="00BC0FD7">
      <w:pPr>
        <w:pStyle w:val="References"/>
      </w:pPr>
      <w:r w:rsidRPr="001D5327">
        <w:t>Tonkin and Taylor Ltd. Unpublished(b). GHG Estimates from Non-municipal Landfills New Zealand. Report commissioned by the Ministry for the Environment in 2014.</w:t>
      </w:r>
    </w:p>
    <w:p w14:paraId="0B423D65" w14:textId="77777777" w:rsidR="00BC0FD7" w:rsidRPr="001D5327" w:rsidRDefault="00BC0FD7" w:rsidP="00BC0FD7">
      <w:pPr>
        <w:pStyle w:val="References"/>
      </w:pPr>
      <w:r w:rsidRPr="001D5327">
        <w:t xml:space="preserve">UNFCCC. 2023. FCCC/ARR/2022/NZL. </w:t>
      </w:r>
      <w:r w:rsidRPr="001D5327">
        <w:rPr>
          <w:i/>
          <w:iCs/>
        </w:rPr>
        <w:t>Report on the Individual Review of the Annual Submission of New Zealand Submitted in 2022</w:t>
      </w:r>
      <w:r w:rsidRPr="001D5327">
        <w:t>. Centralised Review.</w:t>
      </w:r>
    </w:p>
    <w:p w14:paraId="0739FAD3" w14:textId="77777777" w:rsidR="00BC0FD7" w:rsidRPr="001D5327" w:rsidRDefault="00BC0FD7" w:rsidP="00BC0FD7">
      <w:pPr>
        <w:pStyle w:val="References"/>
      </w:pPr>
      <w:r w:rsidRPr="001D5327">
        <w:t xml:space="preserve">van der Weerden A, de Klein C, Kelliher R, Rollo M. 2014. </w:t>
      </w:r>
      <w:r w:rsidRPr="001D5327">
        <w:rPr>
          <w:i/>
          <w:iCs/>
        </w:rPr>
        <w:t>Reporting to 2006 IPCC Guidelines for N</w:t>
      </w:r>
      <w:r w:rsidRPr="001D5327">
        <w:rPr>
          <w:i/>
          <w:iCs/>
          <w:vertAlign w:val="subscript"/>
        </w:rPr>
        <w:t>2</w:t>
      </w:r>
      <w:r w:rsidRPr="001D5327">
        <w:rPr>
          <w:i/>
          <w:iCs/>
        </w:rPr>
        <w:t>O Emissions from Additional Sources of Organic N: Final report</w:t>
      </w:r>
      <w:r w:rsidRPr="001D5327">
        <w:t>. Wellington: Ministry for Primary Industries.</w:t>
      </w:r>
    </w:p>
    <w:p w14:paraId="56582DCB" w14:textId="77777777" w:rsidR="00BC0FD7" w:rsidRPr="001D5327" w:rsidRDefault="00BC0FD7" w:rsidP="00BC0FD7">
      <w:pPr>
        <w:pStyle w:val="References"/>
      </w:pPr>
      <w:r w:rsidRPr="001D5327">
        <w:t>Waste Not Consulting. Unpublished(a). Waste Composition and Construction Waste Data. Report commissioned by the Ministry for the Environment in 2006.</w:t>
      </w:r>
    </w:p>
    <w:p w14:paraId="0FE1A6FB" w14:textId="77777777" w:rsidR="00BC0FD7" w:rsidRPr="001D5327" w:rsidRDefault="00BC0FD7" w:rsidP="00BC0FD7">
      <w:pPr>
        <w:pStyle w:val="References"/>
      </w:pPr>
      <w:r w:rsidRPr="001D5327">
        <w:t>Waste Not Consulting. Unpublished(b). Reviewing the 2008 National Waste Composition Estimate and Producing a 2012 Estimate. Report commissioned by the Ministry for the Environment in 2013.</w:t>
      </w:r>
    </w:p>
    <w:p w14:paraId="5ECFA3AE" w14:textId="77777777" w:rsidR="00BC0FD7" w:rsidRPr="001D5327" w:rsidRDefault="00BC0FD7" w:rsidP="00BC0FD7">
      <w:pPr>
        <w:pStyle w:val="References"/>
      </w:pPr>
      <w:r w:rsidRPr="001D5327">
        <w:t>Waste Not Consulting. Unpublished(c). Update of National Average Waste Composition for Class 1 Landfills. Report commissioned by the Ministry for the Environment in 2020.</w:t>
      </w:r>
      <w:bookmarkEnd w:id="2808"/>
      <w:bookmarkEnd w:id="2920"/>
    </w:p>
    <w:p w14:paraId="59208C66" w14:textId="77777777" w:rsidR="00E0181F" w:rsidRPr="001D5327" w:rsidRDefault="00E0181F" w:rsidP="00E0181F">
      <w:pPr>
        <w:pStyle w:val="BodyText"/>
      </w:pPr>
    </w:p>
    <w:p w14:paraId="1802A8DD" w14:textId="77777777" w:rsidR="00336641" w:rsidRPr="001D5327" w:rsidRDefault="00336641" w:rsidP="00737799">
      <w:pPr>
        <w:sectPr w:rsidR="00336641" w:rsidRPr="001D5327" w:rsidSect="003B16F1">
          <w:footerReference w:type="even" r:id="rId231"/>
          <w:pgSz w:w="11907" w:h="16840" w:code="9"/>
          <w:pgMar w:top="1418" w:right="1701" w:bottom="1418" w:left="1701" w:header="567" w:footer="567" w:gutter="0"/>
          <w:cols w:space="720"/>
        </w:sectPr>
      </w:pPr>
    </w:p>
    <w:p w14:paraId="1FB92561" w14:textId="77777777" w:rsidR="0057070D" w:rsidRPr="001D5327" w:rsidRDefault="0057070D" w:rsidP="0057070D">
      <w:pPr>
        <w:pStyle w:val="Heading1"/>
      </w:pPr>
      <w:bookmarkStart w:id="2921" w:name="_Toc194312046"/>
      <w:bookmarkStart w:id="2922" w:name="X393dcd999f67bfa1a08e976d21b7e91a670658a"/>
      <w:r w:rsidRPr="001D5327">
        <w:lastRenderedPageBreak/>
        <w:t>Chapter 8: Tokelau (other) sector</w:t>
      </w:r>
      <w:bookmarkEnd w:id="2921"/>
    </w:p>
    <w:p w14:paraId="1CDBB68F" w14:textId="77777777" w:rsidR="0057070D" w:rsidRPr="001D5327" w:rsidRDefault="0057070D" w:rsidP="0057070D">
      <w:pPr>
        <w:pStyle w:val="BodyText"/>
      </w:pPr>
      <w:r w:rsidRPr="001D5327">
        <w:t>Beginning with the 2019 submission, New Zealand’s national inventory includes emissions from Tokelau, which is an overseas dependent territory of New Zealand. See chapter 2, table 2.2.2 for the contribution of emissions from Tokelau. Generally, in New Zealand’s inventory, net and gross emissions are reported as a total of emissions from New Zealand’s mainland territory, plus emissions from Tokelau where applicable. Because emissions from Tokelau are small, and the methodology used varies greatly between Tokelau’s inventory and the inventory for New Zealand’s mainland territory, emissions from Tokelau are reported in the Other sector (CRT sector 6).</w:t>
      </w:r>
    </w:p>
    <w:p w14:paraId="33F747E5" w14:textId="77777777" w:rsidR="0057070D" w:rsidRPr="001D5327" w:rsidRDefault="0057070D" w:rsidP="0057070D">
      <w:pPr>
        <w:pStyle w:val="BodyText"/>
      </w:pPr>
      <w:r w:rsidRPr="001D5327">
        <w:t>Methodological issues for Tokelau are detailed in chapter 8, separately from the sectoral chapters that focus on methods for New Zealand’s mainland territory only. Annex 7 provides the common reporting tables (CRTs) of the time series for emissions and activity data, and information on methods and emission factors for each sector and category contributing to the gross emissions from Tokelau.</w:t>
      </w:r>
    </w:p>
    <w:p w14:paraId="308DDBA8" w14:textId="77777777" w:rsidR="0057070D" w:rsidRPr="001D5327" w:rsidRDefault="0057070D" w:rsidP="0057070D">
      <w:pPr>
        <w:pStyle w:val="BodyText"/>
      </w:pPr>
      <w:r w:rsidRPr="001D5327">
        <w:rPr>
          <w:spacing w:val="-2"/>
        </w:rPr>
        <w:t>New Zealand ratified the United Nations Framework Convention on Climate Change (the Convention) on 16 September 1993 and the Paris Agreement on 4 October 2016. The extension to Tokelau (as of 13 November 2017) of New Zealand’s ratification of the Convention and of the Paris Agreement requires New Zealand to include Tokelau in the obligatory climate change reporting managed by the Ministry for the Environment. Delivering on this obligation, among other things, means that New Zealand’s national greenhouse gas (GHG) inventory</w:t>
      </w:r>
      <w:r w:rsidRPr="001D5327">
        <w:t xml:space="preserve"> shall include the GHG estimates from Tokelau.</w:t>
      </w:r>
    </w:p>
    <w:p w14:paraId="4D30901A" w14:textId="77777777" w:rsidR="0057070D" w:rsidRPr="001D5327" w:rsidRDefault="0057070D" w:rsidP="0057070D">
      <w:pPr>
        <w:pStyle w:val="BodyText"/>
      </w:pPr>
      <w:r w:rsidRPr="001D5327">
        <w:t>To maintain transparency of the inventory and visibility of the GHG data from Tokelau, CRT sector 6 (Other) is used to present emissions from Tokelau’s own sectors in the CRTs. This chapter provides an overview of Tokelau’s economy and industry. It includes information on emissions trends, roles and responsibilities, quality-assurance and quality-control planning, methodological notes in regard to the GHG emissions from Tokelau.</w:t>
      </w:r>
    </w:p>
    <w:p w14:paraId="5B1507A4" w14:textId="77777777" w:rsidR="0057070D" w:rsidRPr="001D5327" w:rsidRDefault="0057070D" w:rsidP="0057070D">
      <w:pPr>
        <w:pStyle w:val="Heading2"/>
      </w:pPr>
      <w:bookmarkStart w:id="2923" w:name="_Toc194312047"/>
      <w:bookmarkStart w:id="2924" w:name="tokelau-overview"/>
      <w:r w:rsidRPr="001D5327">
        <w:t>8.1</w:t>
      </w:r>
      <w:r w:rsidRPr="001D5327">
        <w:tab/>
        <w:t>Tokelau overview</w:t>
      </w:r>
      <w:bookmarkEnd w:id="2923"/>
    </w:p>
    <w:p w14:paraId="50D30262" w14:textId="77777777" w:rsidR="0057070D" w:rsidRPr="001D5327" w:rsidRDefault="0057070D" w:rsidP="0057070D">
      <w:pPr>
        <w:pStyle w:val="Heading3"/>
        <w:spacing w:before="240"/>
      </w:pPr>
      <w:bookmarkStart w:id="2925" w:name="geography"/>
      <w:r w:rsidRPr="001D5327">
        <w:t>8.1.1</w:t>
      </w:r>
      <w:r w:rsidRPr="001D5327">
        <w:tab/>
        <w:t>Geography</w:t>
      </w:r>
    </w:p>
    <w:p w14:paraId="4A0F4158" w14:textId="77777777" w:rsidR="0057070D" w:rsidRPr="001D5327" w:rsidRDefault="0057070D" w:rsidP="0057070D">
      <w:pPr>
        <w:pStyle w:val="BodyText"/>
      </w:pPr>
      <w:r w:rsidRPr="001D5327">
        <w:t>Tokelau is a non-self-governing territory</w:t>
      </w:r>
      <w:r w:rsidRPr="001D5327">
        <w:rPr>
          <w:rStyle w:val="FootnoteReference"/>
        </w:rPr>
        <w:footnoteReference w:id="59"/>
      </w:r>
      <w:r w:rsidRPr="001D5327">
        <w:t xml:space="preserve"> of New Zealand and is made up of three small coral atolls: Atafu, Nukunonu and Fakaofo. The total land area is 12 square kilometres within an Exclusive Economic Zone (EEZ) covering 318,990 square kilometres. Atafu, the northern atoll, has a surface area of 3.5 square kilometres; Nukunonu, the central atoll, is 4.7 square kilometres and Fakaofo, the southern atoll, is 4 square kilometres (figure 8.1.1).</w:t>
      </w:r>
    </w:p>
    <w:p w14:paraId="464A9B58" w14:textId="77777777" w:rsidR="0057070D" w:rsidRDefault="0057070D" w:rsidP="0057070D">
      <w:pPr>
        <w:pStyle w:val="Figure"/>
        <w:rPr>
          <w:bCs/>
        </w:rPr>
      </w:pPr>
      <w:bookmarkStart w:id="2926" w:name="_Toc194674882"/>
      <w:r w:rsidRPr="001D5327">
        <w:rPr>
          <w:bCs/>
        </w:rPr>
        <w:lastRenderedPageBreak/>
        <w:t>Figure 8.1.1</w:t>
      </w:r>
      <w:r w:rsidRPr="001D5327">
        <w:rPr>
          <w:bCs/>
        </w:rPr>
        <w:tab/>
        <w:t>Map of Tokelau</w:t>
      </w:r>
      <w:bookmarkEnd w:id="2926"/>
    </w:p>
    <w:p w14:paraId="512CBD05" w14:textId="38DAEB33" w:rsidR="009275C6" w:rsidRPr="009275C6" w:rsidRDefault="009275C6" w:rsidP="00D438B3">
      <w:pPr>
        <w:pStyle w:val="BodyText"/>
        <w:jc w:val="center"/>
      </w:pPr>
      <w:r>
        <w:rPr>
          <w:noProof/>
        </w:rPr>
        <w:drawing>
          <wp:inline distT="0" distB="0" distL="0" distR="0" wp14:anchorId="417DC46A" wp14:editId="24D212FE">
            <wp:extent cx="4018201" cy="2052000"/>
            <wp:effectExtent l="0" t="0" r="1905" b="5715"/>
            <wp:docPr id="3029770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977049" name="Picture 302977049"/>
                    <pic:cNvPicPr/>
                  </pic:nvPicPr>
                  <pic:blipFill>
                    <a:blip r:embed="rId232">
                      <a:extLst>
                        <a:ext uri="{28A0092B-C50C-407E-A947-70E740481C1C}">
                          <a14:useLocalDpi xmlns:a14="http://schemas.microsoft.com/office/drawing/2010/main" val="0"/>
                        </a:ext>
                      </a:extLst>
                    </a:blip>
                    <a:stretch>
                      <a:fillRect/>
                    </a:stretch>
                  </pic:blipFill>
                  <pic:spPr>
                    <a:xfrm>
                      <a:off x="0" y="0"/>
                      <a:ext cx="4018201" cy="2052000"/>
                    </a:xfrm>
                    <a:prstGeom prst="rect">
                      <a:avLst/>
                    </a:prstGeom>
                  </pic:spPr>
                </pic:pic>
              </a:graphicData>
            </a:graphic>
          </wp:inline>
        </w:drawing>
      </w:r>
    </w:p>
    <w:p w14:paraId="3AF40F21" w14:textId="77777777" w:rsidR="0057070D" w:rsidRPr="001D5327" w:rsidRDefault="0057070D" w:rsidP="0057070D">
      <w:pPr>
        <w:pStyle w:val="Noteundertable"/>
      </w:pPr>
      <w:r w:rsidRPr="001D5327">
        <w:t>Source:</w:t>
      </w:r>
      <w:r w:rsidRPr="001D5327">
        <w:tab/>
      </w:r>
      <w:r w:rsidRPr="001D5327">
        <w:tab/>
        <w:t>Tokelau Islands Maps</w:t>
      </w:r>
    </w:p>
    <w:p w14:paraId="3FF5469F" w14:textId="77777777" w:rsidR="0057070D" w:rsidRPr="001D5327" w:rsidRDefault="0057070D" w:rsidP="0057070D">
      <w:pPr>
        <w:pStyle w:val="BodyText"/>
      </w:pPr>
      <w:r w:rsidRPr="001D5327">
        <w:t>From Atafu in the north to Fakaofo in the south, Tokelau extends for less than 200 kilometres. The atolls are about 3 to 5 metres above sea level. The maximum width of any island (motu) on the atolls’ rims is 200 metres. Tokelau is, therefore, particularly vulnerable to natural hazards.</w:t>
      </w:r>
    </w:p>
    <w:p w14:paraId="3FA30F3D" w14:textId="77777777" w:rsidR="0057070D" w:rsidRPr="001D5327" w:rsidRDefault="0057070D" w:rsidP="0057070D">
      <w:pPr>
        <w:pStyle w:val="Heading3"/>
      </w:pPr>
      <w:bookmarkStart w:id="2927" w:name="censuses-of-dwellings-and-population"/>
      <w:bookmarkEnd w:id="2925"/>
      <w:r w:rsidRPr="001D5327">
        <w:t>8.1.2</w:t>
      </w:r>
      <w:r w:rsidRPr="001D5327">
        <w:tab/>
        <w:t>Preparing the Tokelau inventory estimates</w:t>
      </w:r>
    </w:p>
    <w:p w14:paraId="6D8C69F4" w14:textId="77777777" w:rsidR="0057070D" w:rsidRPr="001D5327" w:rsidRDefault="0057070D" w:rsidP="0057070D">
      <w:pPr>
        <w:pStyle w:val="Heading5"/>
      </w:pPr>
      <w:r w:rsidRPr="001D5327">
        <w:rPr>
          <w:b/>
        </w:rPr>
        <w:t>Censuses of dwellings and population</w:t>
      </w:r>
    </w:p>
    <w:p w14:paraId="3EC9AAD4" w14:textId="77777777" w:rsidR="0057070D" w:rsidRPr="001D5327" w:rsidRDefault="0057070D" w:rsidP="0057070D">
      <w:pPr>
        <w:pStyle w:val="BodyText"/>
      </w:pPr>
      <w:r w:rsidRPr="001D5327">
        <w:t>Tokelauans have New Zealand citizenship.</w:t>
      </w:r>
    </w:p>
    <w:p w14:paraId="59AB6426" w14:textId="77777777" w:rsidR="0057070D" w:rsidRPr="001D5327" w:rsidRDefault="0057070D" w:rsidP="0057070D">
      <w:pPr>
        <w:pStyle w:val="BodyText"/>
      </w:pPr>
      <w:r w:rsidRPr="001D5327">
        <w:t>Tokelau has carried out independent censuses of population and dwellings five yearly; detailed data are available on the number of inhabitants, livestock, housing and some appliances. Only the past four censuses in Tokelau (2006, 2011, 2016 and the 2019 mini census) have used a precise definition of who is a ‘de jure Tokelauan’</w:t>
      </w:r>
      <w:r w:rsidRPr="001D5327">
        <w:rPr>
          <w:rStyle w:val="FootnoteReference"/>
        </w:rPr>
        <w:footnoteReference w:id="60"/>
      </w:r>
      <w:r w:rsidRPr="001D5327">
        <w:t xml:space="preserve"> and the people who actually lived in Tokelau during the Census night (‘de facto’ population). The de facto population has been used for the purposes of estimating emissions, which was 1,295 people in 2019 (Tokelau National Statistics Office, 2020). From 1990 to 2019, the population was fluctuating but generally declined for both de facto and de jure measures. Around 15,000 of the people who identify as Tokelauan live overseas, most of whom live in New Zealand.</w:t>
      </w:r>
    </w:p>
    <w:p w14:paraId="1F2DFD8B" w14:textId="77777777" w:rsidR="0057070D" w:rsidRPr="001D5327" w:rsidRDefault="0057070D" w:rsidP="0057070D">
      <w:pPr>
        <w:pStyle w:val="BodyText"/>
      </w:pPr>
      <w:r w:rsidRPr="001D5327">
        <w:t>Tokelau has a subsistence economy in which the sharing (inati) of essential resources plays an important and significant role. The inhabitants are dependent on local natural resources, particularly fishing in the lagoon and deep sea, growing coconuts and breadfruit, and keeping domesticated pigs and chickens.</w:t>
      </w:r>
    </w:p>
    <w:p w14:paraId="42647B03" w14:textId="77777777" w:rsidR="0057070D" w:rsidRPr="001D5327" w:rsidRDefault="0057070D" w:rsidP="0057070D">
      <w:pPr>
        <w:pStyle w:val="BodyText"/>
      </w:pPr>
      <w:r w:rsidRPr="001D5327">
        <w:t>The coral atolls provide a subsistence lifestyle within a fragile environment. Tokelau imports most of its foodstuffs from Samoa. The Tokelau economy is dependent on two major financial resources: economic and administrative assistance from New Zealand, and income from fisheries. New Zealand provides general budget support to help the delivery of essential services, consistent with its constitutional and United Nations Charter obligations.</w:t>
      </w:r>
    </w:p>
    <w:p w14:paraId="23D000CD" w14:textId="77777777" w:rsidR="0057070D" w:rsidRPr="001D5327" w:rsidRDefault="0057070D" w:rsidP="0057070D">
      <w:pPr>
        <w:pStyle w:val="Heading5"/>
      </w:pPr>
      <w:bookmarkStart w:id="2928" w:name="reporting-arrangements"/>
      <w:r w:rsidRPr="001D5327">
        <w:rPr>
          <w:b/>
        </w:rPr>
        <w:lastRenderedPageBreak/>
        <w:t>Reporting arrangements</w:t>
      </w:r>
    </w:p>
    <w:p w14:paraId="7DBB82B9" w14:textId="77777777" w:rsidR="0057070D" w:rsidRPr="001D5327" w:rsidRDefault="0057070D" w:rsidP="0057070D">
      <w:pPr>
        <w:pStyle w:val="BodyText"/>
      </w:pPr>
      <w:r w:rsidRPr="001D5327">
        <w:t>Including Tokelau in New Zealand’s inventory reporting is a gradual process. This requires building the expert capacity and establishing connections with the various organisations and businesses in Tokelau that participate in data collection and processing. Estimates include emissions from the largest Tokelau contributors, which are the Energy, Industrial Processes and Product Use (IPPU), Agriculture and Waste sectors, using Intergovernmental Panel on Climate Change (IPCC) Tier 1 methodologies with default emission factors for all reported categories (IPCC, 2006a–d). The Land Use, Land-Use Change and Forestry sector is not estimated because Tokelau has no planted or managed forests, and any emissions are expected to be negligible.</w:t>
      </w:r>
    </w:p>
    <w:p w14:paraId="1D92F3A3" w14:textId="3C50D4FE" w:rsidR="0057070D" w:rsidRPr="001D5327" w:rsidRDefault="0057070D" w:rsidP="0057070D">
      <w:pPr>
        <w:pStyle w:val="BodyText"/>
      </w:pPr>
      <w:r w:rsidRPr="001D5327">
        <w:t>New Zealand and Tokelau signed a memorandum of understanding (MoU) on 18 January 2018 to establish the relationship between Tokelau and New Zealand regarding the governance of international climate change reporting relating to the inclusion of Tokelau in New Zealand’s national inventory system. According to the MoU, both New Zealand’s central inventory agency (the Ministry for the Environment) and Tokelau’s Ministry of Climate, Oceans and Resilience, formerly known as the Climate Change Division within the Office of the Council for</w:t>
      </w:r>
      <w:r w:rsidR="00D13B9A" w:rsidRPr="001D5327">
        <w:t> </w:t>
      </w:r>
      <w:r w:rsidRPr="001D5327">
        <w:t>the Ongoing Government of Tokelau, have roles in inventory reporting.</w:t>
      </w:r>
    </w:p>
    <w:p w14:paraId="29997494" w14:textId="77777777" w:rsidR="0057070D" w:rsidRPr="001D5327" w:rsidRDefault="0057070D" w:rsidP="0057070D">
      <w:pPr>
        <w:pStyle w:val="BodyText"/>
      </w:pPr>
      <w:r w:rsidRPr="001D5327">
        <w:t>New Zealand’s Ministry for the Environment takes responsibility for:</w:t>
      </w:r>
    </w:p>
    <w:p w14:paraId="7F1A2CBA" w14:textId="77777777" w:rsidR="0057070D" w:rsidRPr="001D5327" w:rsidRDefault="0057070D" w:rsidP="0057070D">
      <w:pPr>
        <w:pStyle w:val="Bullet"/>
      </w:pPr>
      <w:r w:rsidRPr="001D5327">
        <w:t>coordination of communications between New Zealand and Tokelau officials, as well as communications with project consultants in New Zealand and overseas</w:t>
      </w:r>
    </w:p>
    <w:p w14:paraId="2A32C90B" w14:textId="77777777" w:rsidR="0057070D" w:rsidRPr="001D5327" w:rsidRDefault="0057070D" w:rsidP="0057070D">
      <w:pPr>
        <w:pStyle w:val="Bullet"/>
      </w:pPr>
      <w:r w:rsidRPr="001D5327">
        <w:t>coordination with other New Zealand government agencies participating in the inventory production, should their consulting or advice be required for the project</w:t>
      </w:r>
    </w:p>
    <w:p w14:paraId="79576D01" w14:textId="77777777" w:rsidR="0057070D" w:rsidRPr="001D5327" w:rsidRDefault="0057070D" w:rsidP="0057070D">
      <w:pPr>
        <w:pStyle w:val="Bullet"/>
      </w:pPr>
      <w:r w:rsidRPr="001D5327">
        <w:t>initial consultation on developing a national GHG inventory system for Tokelau, together with the relevant instructive materials, principles, protocols and procedures of Tier 1 statistics, and methodological guidance for the inventory</w:t>
      </w:r>
    </w:p>
    <w:p w14:paraId="29FDC08B" w14:textId="77777777" w:rsidR="0057070D" w:rsidRPr="001D5327" w:rsidRDefault="0057070D" w:rsidP="0057070D">
      <w:pPr>
        <w:pStyle w:val="Bullet"/>
      </w:pPr>
      <w:r w:rsidRPr="001D5327">
        <w:t xml:space="preserve">technical advice on various aspects of the project regarding the subject matter, the legal </w:t>
      </w:r>
      <w:r w:rsidRPr="001D5327">
        <w:rPr>
          <w:spacing w:val="-2"/>
        </w:rPr>
        <w:t>background (the Convention reporting guidance), software issues, and the quality-assurance</w:t>
      </w:r>
      <w:r w:rsidRPr="001D5327">
        <w:t xml:space="preserve"> and quality-control issues associated with changes in the national inventory system</w:t>
      </w:r>
    </w:p>
    <w:p w14:paraId="06D04DAC" w14:textId="77777777" w:rsidR="0057070D" w:rsidRPr="001D5327" w:rsidRDefault="0057070D" w:rsidP="0057070D">
      <w:pPr>
        <w:pStyle w:val="Bullet"/>
      </w:pPr>
      <w:r w:rsidRPr="001D5327">
        <w:t>production of the complete set of the data tables in agreed formats</w:t>
      </w:r>
    </w:p>
    <w:p w14:paraId="0040634E" w14:textId="77777777" w:rsidR="0057070D" w:rsidRPr="001D5327" w:rsidRDefault="0057070D" w:rsidP="0057070D">
      <w:pPr>
        <w:pStyle w:val="Bullet"/>
      </w:pPr>
      <w:r w:rsidRPr="001D5327">
        <w:t>final integration of the Tokelau GHG inventory component into the joint inventory submission to the Convention</w:t>
      </w:r>
    </w:p>
    <w:p w14:paraId="412E5412" w14:textId="77777777" w:rsidR="0057070D" w:rsidRPr="001D5327" w:rsidRDefault="0057070D" w:rsidP="0057070D">
      <w:pPr>
        <w:pStyle w:val="Bullet"/>
      </w:pPr>
      <w:r w:rsidRPr="001D5327">
        <w:t>submitting the joint inventory to the Convention and coordinating communication with the Convention associated with the inventory submission and review</w:t>
      </w:r>
    </w:p>
    <w:p w14:paraId="295BFAE0" w14:textId="77777777" w:rsidR="0057070D" w:rsidRPr="001D5327" w:rsidRDefault="0057070D" w:rsidP="0057070D">
      <w:pPr>
        <w:pStyle w:val="Bullet"/>
      </w:pPr>
      <w:r w:rsidRPr="001D5327">
        <w:t>publication of the joint inventory report and the CRTs online, as well as all supplementary materials.</w:t>
      </w:r>
    </w:p>
    <w:p w14:paraId="48B43E6A" w14:textId="77777777" w:rsidR="0057070D" w:rsidRPr="001D5327" w:rsidRDefault="0057070D" w:rsidP="0057070D">
      <w:pPr>
        <w:pStyle w:val="BodyText"/>
      </w:pPr>
      <w:r w:rsidRPr="001D5327">
        <w:t>Tokelau’s Ministry of Climate, Oceans and Resilience takes responsibility for:</w:t>
      </w:r>
    </w:p>
    <w:p w14:paraId="45CB3695" w14:textId="77777777" w:rsidR="0057070D" w:rsidRPr="001D5327" w:rsidRDefault="0057070D" w:rsidP="0057070D">
      <w:pPr>
        <w:pStyle w:val="Bullet"/>
      </w:pPr>
      <w:r w:rsidRPr="001D5327">
        <w:t>coordinating the project implementation in Tokelau by communicating with the relevant agencies, organisations and individuals involved in Tokelau’s GHG inventory; coordinating their efforts and delegating responsibilities to ensure sufficient information and support are provided to those agencies, organisations and individuals to enable the GHG inventory production</w:t>
      </w:r>
    </w:p>
    <w:p w14:paraId="1FF9D64F" w14:textId="77777777" w:rsidR="0057070D" w:rsidRPr="001D5327" w:rsidRDefault="0057070D" w:rsidP="0057070D">
      <w:pPr>
        <w:pStyle w:val="Bullet"/>
      </w:pPr>
      <w:r w:rsidRPr="001D5327">
        <w:t>providing timely advice on all cultural aspects of the project and helping to resolve any matters associated with potential cultural issues</w:t>
      </w:r>
    </w:p>
    <w:p w14:paraId="4E9F68EB" w14:textId="2AA01A6F" w:rsidR="0057070D" w:rsidRPr="001D5327" w:rsidRDefault="0057070D" w:rsidP="0057070D">
      <w:pPr>
        <w:pStyle w:val="Bullet"/>
      </w:pPr>
      <w:r w:rsidRPr="001D5327">
        <w:lastRenderedPageBreak/>
        <w:t>ensuring that the agreed project schedule is fully complied with, and the relevant timeframes are met, which includes submission of Tokelau’s GHG data and information to</w:t>
      </w:r>
      <w:r w:rsidR="0024590A" w:rsidRPr="001D5327">
        <w:t> </w:t>
      </w:r>
      <w:r w:rsidRPr="001D5327">
        <w:t>New Zealand’s national inventory compiler within the agreed timeframe</w:t>
      </w:r>
    </w:p>
    <w:p w14:paraId="5488DF81" w14:textId="77777777" w:rsidR="0057070D" w:rsidRPr="001D5327" w:rsidRDefault="0057070D" w:rsidP="0057070D">
      <w:pPr>
        <w:pStyle w:val="Bullet"/>
      </w:pPr>
      <w:r w:rsidRPr="001D5327">
        <w:t>coordinating Tokelau’s efforts in activity data collection for the inventory reporting and data processing</w:t>
      </w:r>
    </w:p>
    <w:p w14:paraId="21F3336E" w14:textId="77777777" w:rsidR="0057070D" w:rsidRPr="001D5327" w:rsidRDefault="0057070D" w:rsidP="0057070D">
      <w:pPr>
        <w:pStyle w:val="Bullet"/>
      </w:pPr>
      <w:r w:rsidRPr="001D5327">
        <w:t>producing a peer-reviewed draft of the Tokelau chapter that is consistent with Paris Agreement reporting requirements as agreed under the Convention (UNFCCC, 2018a), chapter II of the Paris Agreement’s modalities, procedures and guidelines (UNFCCC, 2018b), including the use of the 2006 IPCC Guidelines (IPCC, 2006a–d) and following the common reporting tables in Annex I to decision 5/CMA.3 (UNFCCC, 2021).</w:t>
      </w:r>
    </w:p>
    <w:p w14:paraId="0A08B517" w14:textId="77777777" w:rsidR="0057070D" w:rsidRPr="001D5327" w:rsidRDefault="0057070D" w:rsidP="0057070D">
      <w:pPr>
        <w:pStyle w:val="BodyText"/>
      </w:pPr>
      <w:r w:rsidRPr="001D5327">
        <w:t>Both the Ministry for the Environment and Ministry of Climate, Oceans and Resilience are responsible for adhering to the principles and protocols for producers of Tier 1 statistics (Stats NZ, 2007).</w:t>
      </w:r>
    </w:p>
    <w:bookmarkEnd w:id="2928"/>
    <w:p w14:paraId="0B17FAB1" w14:textId="77777777" w:rsidR="0057070D" w:rsidRPr="001D5327" w:rsidRDefault="0057070D" w:rsidP="0057070D">
      <w:pPr>
        <w:pStyle w:val="Heading5"/>
      </w:pPr>
      <w:r w:rsidRPr="001D5327">
        <w:rPr>
          <w:b/>
        </w:rPr>
        <w:t>Methodological issues</w:t>
      </w:r>
    </w:p>
    <w:p w14:paraId="31F908C8" w14:textId="77777777" w:rsidR="0057070D" w:rsidRPr="001D5327" w:rsidRDefault="0057070D" w:rsidP="0057070D">
      <w:pPr>
        <w:pStyle w:val="Heading5"/>
      </w:pPr>
      <w:bookmarkStart w:id="2929" w:name="methods-and-emission-factors"/>
      <w:r w:rsidRPr="001D5327">
        <w:t>Methods and emission factors</w:t>
      </w:r>
    </w:p>
    <w:p w14:paraId="39D2A823" w14:textId="77777777" w:rsidR="0057070D" w:rsidRPr="001D5327" w:rsidRDefault="0057070D" w:rsidP="0057070D">
      <w:pPr>
        <w:pStyle w:val="BodyText"/>
      </w:pPr>
      <w:r w:rsidRPr="001D5327">
        <w:t>Tier 1 methodological approaches with default emission factors are used for estimating emissions from all Tokelau source categories.</w:t>
      </w:r>
    </w:p>
    <w:p w14:paraId="61892B7E" w14:textId="77777777" w:rsidR="0057070D" w:rsidRPr="001D5327" w:rsidRDefault="0057070D" w:rsidP="0057070D">
      <w:pPr>
        <w:pStyle w:val="BodyText"/>
      </w:pPr>
      <w:r w:rsidRPr="001D5327">
        <w:t>Tokelau is in a different climate zone from New Zealand and has a different lifestyle and different technologies. There are also differences in the scale of operations, especially in the Agriculture sector, which do not allow applying New Zealand’s definition of a farm to Tokelau. For estimating emissions from Tokelau, the 2006 IPCC default emission factors for Oceania with a warm climate are used, whereas New Zealand uses default emission factors associated with a temperate climate.</w:t>
      </w:r>
    </w:p>
    <w:p w14:paraId="66566660" w14:textId="77777777" w:rsidR="0057070D" w:rsidRPr="001D5327" w:rsidRDefault="0057070D" w:rsidP="0057070D">
      <w:pPr>
        <w:pStyle w:val="BodyText"/>
      </w:pPr>
      <w:r w:rsidRPr="001D5327">
        <w:rPr>
          <w:spacing w:val="-2"/>
        </w:rPr>
        <w:t>The calorific values for fuels used for Tokelau are also different from those used for New Zeala</w:t>
      </w:r>
      <w:r w:rsidRPr="001D5327">
        <w:t>nd because those fuels are coming from different sources. Relevant emission factors used for estimating emissions and references to the methods are included in sections 8.2 to 8.15 dedicated to the inventory sectors reported by Tokelau.</w:t>
      </w:r>
    </w:p>
    <w:p w14:paraId="1BA25668" w14:textId="77777777" w:rsidR="0057070D" w:rsidRPr="001D5327" w:rsidRDefault="0057070D" w:rsidP="0057070D">
      <w:pPr>
        <w:pStyle w:val="Heading5"/>
      </w:pPr>
      <w:bookmarkStart w:id="2930" w:name="activity-data"/>
      <w:bookmarkEnd w:id="2929"/>
      <w:r w:rsidRPr="001D5327">
        <w:t>Activity data</w:t>
      </w:r>
    </w:p>
    <w:p w14:paraId="3DD98BFA" w14:textId="77777777" w:rsidR="0057070D" w:rsidRPr="001D5327" w:rsidRDefault="0057070D" w:rsidP="0057070D">
      <w:pPr>
        <w:pStyle w:val="BodyText"/>
      </w:pPr>
      <w:r w:rsidRPr="001D5327">
        <w:t>The Tokelau National Statistics Office collects and processes activity data from Tokelau for the preparation of the inventory. Table 8.1.1 contains the key sources of the activity data from Tokelau used in Tokelau’s GHG inventory.</w:t>
      </w:r>
    </w:p>
    <w:p w14:paraId="5DDBD880" w14:textId="77777777" w:rsidR="0057070D" w:rsidRPr="001D5327" w:rsidRDefault="0057070D" w:rsidP="0057070D">
      <w:pPr>
        <w:pStyle w:val="Table"/>
      </w:pPr>
      <w:bookmarkStart w:id="2931" w:name="_Toc194241832"/>
      <w:r w:rsidRPr="001D5327">
        <w:t>Table 8.1.1</w:t>
      </w:r>
      <w:r w:rsidRPr="001D5327">
        <w:tab/>
        <w:t>Key sources for activity data in Tokelau</w:t>
      </w:r>
      <w:bookmarkEnd w:id="2931"/>
    </w:p>
    <w:tbl>
      <w:tblPr>
        <w:tblW w:w="8494" w:type="dxa"/>
        <w:tblBorders>
          <w:top w:val="single" w:sz="4" w:space="0" w:color="1B556B"/>
          <w:bottom w:val="single" w:sz="4" w:space="0" w:color="1B556B"/>
          <w:insideH w:val="single" w:sz="4" w:space="0" w:color="1B556B"/>
        </w:tblBorders>
        <w:tblLayout w:type="fixed"/>
        <w:tblCellMar>
          <w:left w:w="85" w:type="dxa"/>
          <w:right w:w="85" w:type="dxa"/>
        </w:tblCellMar>
        <w:tblLook w:val="0420" w:firstRow="1" w:lastRow="0" w:firstColumn="0" w:lastColumn="0" w:noHBand="0" w:noVBand="1"/>
      </w:tblPr>
      <w:tblGrid>
        <w:gridCol w:w="559"/>
        <w:gridCol w:w="1520"/>
        <w:gridCol w:w="3151"/>
        <w:gridCol w:w="3264"/>
      </w:tblGrid>
      <w:tr w:rsidR="0057070D" w:rsidRPr="001D5327" w14:paraId="1B5C2780" w14:textId="77777777" w:rsidTr="00252427">
        <w:trPr>
          <w:tblHeader/>
        </w:trPr>
        <w:tc>
          <w:tcPr>
            <w:tcW w:w="563" w:type="dxa"/>
            <w:shd w:val="clear" w:color="auto" w:fill="1B556B"/>
            <w:tcMar>
              <w:top w:w="0" w:type="dxa"/>
              <w:left w:w="85" w:type="dxa"/>
              <w:bottom w:w="0" w:type="dxa"/>
              <w:right w:w="85" w:type="dxa"/>
            </w:tcMar>
          </w:tcPr>
          <w:p w14:paraId="560D88CE"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Item</w:t>
            </w:r>
          </w:p>
        </w:tc>
        <w:tc>
          <w:tcPr>
            <w:tcW w:w="1531" w:type="dxa"/>
            <w:shd w:val="clear" w:color="auto" w:fill="1B556B"/>
            <w:tcMar>
              <w:top w:w="0" w:type="dxa"/>
              <w:left w:w="85" w:type="dxa"/>
              <w:bottom w:w="0" w:type="dxa"/>
              <w:right w:w="85" w:type="dxa"/>
            </w:tcMar>
          </w:tcPr>
          <w:p w14:paraId="60462CA9"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Name/abbreviation</w:t>
            </w:r>
          </w:p>
        </w:tc>
        <w:tc>
          <w:tcPr>
            <w:tcW w:w="3175" w:type="dxa"/>
            <w:shd w:val="clear" w:color="auto" w:fill="1B556B"/>
            <w:tcMar>
              <w:top w:w="0" w:type="dxa"/>
              <w:left w:w="85" w:type="dxa"/>
              <w:bottom w:w="0" w:type="dxa"/>
              <w:right w:w="85" w:type="dxa"/>
            </w:tcMar>
          </w:tcPr>
          <w:p w14:paraId="7F2C49D3"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Explanation</w:t>
            </w:r>
          </w:p>
        </w:tc>
        <w:tc>
          <w:tcPr>
            <w:tcW w:w="3289" w:type="dxa"/>
            <w:shd w:val="clear" w:color="auto" w:fill="1B556B"/>
            <w:tcMar>
              <w:top w:w="0" w:type="dxa"/>
              <w:left w:w="85" w:type="dxa"/>
              <w:bottom w:w="0" w:type="dxa"/>
              <w:right w:w="85" w:type="dxa"/>
            </w:tcMar>
          </w:tcPr>
          <w:p w14:paraId="61191C36"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Used where</w:t>
            </w:r>
          </w:p>
        </w:tc>
      </w:tr>
      <w:tr w:rsidR="0057070D" w:rsidRPr="001D5327" w14:paraId="77522BC8" w14:textId="77777777" w:rsidTr="00252427">
        <w:trPr>
          <w:trHeight w:val="283"/>
        </w:trPr>
        <w:tc>
          <w:tcPr>
            <w:tcW w:w="563" w:type="dxa"/>
            <w:shd w:val="clear" w:color="auto" w:fill="FFFFFF"/>
            <w:tcMar>
              <w:top w:w="0" w:type="dxa"/>
              <w:left w:w="85" w:type="dxa"/>
              <w:bottom w:w="0" w:type="dxa"/>
              <w:right w:w="85" w:type="dxa"/>
            </w:tcMar>
          </w:tcPr>
          <w:p w14:paraId="396411D9" w14:textId="77777777" w:rsidR="0057070D" w:rsidRPr="001D5327" w:rsidRDefault="0057070D" w:rsidP="00D11AC9">
            <w:pPr>
              <w:pStyle w:val="TableText"/>
              <w:spacing w:before="40" w:after="40"/>
            </w:pPr>
            <w:r w:rsidRPr="001D5327">
              <w:rPr>
                <w:rFonts w:eastAsia="Calibri"/>
                <w:color w:val="000000"/>
              </w:rPr>
              <w:t>1</w:t>
            </w:r>
          </w:p>
        </w:tc>
        <w:tc>
          <w:tcPr>
            <w:tcW w:w="1531" w:type="dxa"/>
            <w:shd w:val="clear" w:color="auto" w:fill="FFFFFF"/>
            <w:tcMar>
              <w:top w:w="0" w:type="dxa"/>
              <w:left w:w="85" w:type="dxa"/>
              <w:bottom w:w="0" w:type="dxa"/>
              <w:right w:w="85" w:type="dxa"/>
            </w:tcMar>
          </w:tcPr>
          <w:p w14:paraId="4F0D7C16" w14:textId="77777777" w:rsidR="0057070D" w:rsidRPr="001D5327" w:rsidRDefault="0057070D" w:rsidP="00D11AC9">
            <w:pPr>
              <w:pStyle w:val="TableText"/>
              <w:spacing w:before="40" w:after="40"/>
            </w:pPr>
            <w:r w:rsidRPr="001D5327">
              <w:rPr>
                <w:rFonts w:eastAsia="Calibri"/>
                <w:color w:val="000000"/>
              </w:rPr>
              <w:t>Census</w:t>
            </w:r>
          </w:p>
        </w:tc>
        <w:tc>
          <w:tcPr>
            <w:tcW w:w="3175" w:type="dxa"/>
            <w:shd w:val="clear" w:color="auto" w:fill="FFFFFF"/>
            <w:tcMar>
              <w:top w:w="0" w:type="dxa"/>
              <w:left w:w="85" w:type="dxa"/>
              <w:bottom w:w="0" w:type="dxa"/>
              <w:right w:w="85" w:type="dxa"/>
            </w:tcMar>
          </w:tcPr>
          <w:p w14:paraId="535E320E" w14:textId="77777777" w:rsidR="0057070D" w:rsidRPr="001D5327" w:rsidRDefault="0057070D" w:rsidP="00D11AC9">
            <w:pPr>
              <w:pStyle w:val="TableText"/>
              <w:spacing w:before="40" w:after="40"/>
            </w:pPr>
            <w:r w:rsidRPr="001D5327">
              <w:rPr>
                <w:rFonts w:eastAsia="Calibri"/>
                <w:color w:val="000000"/>
              </w:rPr>
              <w:t xml:space="preserve">Tokelau Census of Population and Dwellings 2006, 2011, 2016, 2019 (mini census) </w:t>
            </w:r>
            <w:r w:rsidRPr="001D5327">
              <w:rPr>
                <w:rFonts w:eastAsia="Calibri"/>
                <w:color w:val="000000"/>
              </w:rPr>
              <w:br/>
            </w:r>
            <w:hyperlink r:id="rId233" w:history="1">
              <w:r w:rsidRPr="001D5327">
                <w:rPr>
                  <w:rStyle w:val="Hyperlink"/>
                  <w:rFonts w:eastAsia="Calibri" w:cs="Calibri"/>
                  <w:szCs w:val="16"/>
                </w:rPr>
                <w:t>www.tinyurl.com/TokelauCensus</w:t>
              </w:r>
            </w:hyperlink>
          </w:p>
        </w:tc>
        <w:tc>
          <w:tcPr>
            <w:tcW w:w="3289" w:type="dxa"/>
            <w:shd w:val="clear" w:color="auto" w:fill="FFFFFF"/>
            <w:tcMar>
              <w:top w:w="0" w:type="dxa"/>
              <w:left w:w="85" w:type="dxa"/>
              <w:bottom w:w="0" w:type="dxa"/>
              <w:right w:w="85" w:type="dxa"/>
            </w:tcMar>
          </w:tcPr>
          <w:p w14:paraId="5FB329A9" w14:textId="77777777" w:rsidR="0057070D" w:rsidRPr="001D5327" w:rsidRDefault="0057070D" w:rsidP="00D11AC9">
            <w:pPr>
              <w:pStyle w:val="TableText"/>
              <w:spacing w:before="40" w:after="40"/>
            </w:pPr>
            <w:r w:rsidRPr="001D5327">
              <w:rPr>
                <w:rFonts w:eastAsia="Calibri"/>
                <w:color w:val="000000"/>
              </w:rPr>
              <w:t>Census data; interpolations for populations of people and livestock; solid and water waste disposal (flush toilets), number of private aluminium boats and outboard motors, home appliances.</w:t>
            </w:r>
          </w:p>
        </w:tc>
      </w:tr>
      <w:tr w:rsidR="0057070D" w:rsidRPr="001D5327" w14:paraId="2E0655DA" w14:textId="77777777" w:rsidTr="00252427">
        <w:trPr>
          <w:trHeight w:val="283"/>
        </w:trPr>
        <w:tc>
          <w:tcPr>
            <w:tcW w:w="563" w:type="dxa"/>
            <w:shd w:val="clear" w:color="auto" w:fill="FFFFFF"/>
            <w:tcMar>
              <w:top w:w="0" w:type="dxa"/>
              <w:left w:w="85" w:type="dxa"/>
              <w:bottom w:w="0" w:type="dxa"/>
              <w:right w:w="85" w:type="dxa"/>
            </w:tcMar>
          </w:tcPr>
          <w:p w14:paraId="26668D5F" w14:textId="77777777" w:rsidR="0057070D" w:rsidRPr="001D5327" w:rsidRDefault="0057070D" w:rsidP="00D11AC9">
            <w:pPr>
              <w:pStyle w:val="TableText"/>
              <w:spacing w:before="40" w:after="40"/>
            </w:pPr>
            <w:r w:rsidRPr="001D5327">
              <w:rPr>
                <w:rFonts w:eastAsia="Calibri"/>
                <w:color w:val="000000"/>
              </w:rPr>
              <w:t>2</w:t>
            </w:r>
          </w:p>
        </w:tc>
        <w:tc>
          <w:tcPr>
            <w:tcW w:w="1531" w:type="dxa"/>
            <w:shd w:val="clear" w:color="auto" w:fill="FFFFFF"/>
            <w:tcMar>
              <w:top w:w="0" w:type="dxa"/>
              <w:left w:w="85" w:type="dxa"/>
              <w:bottom w:w="0" w:type="dxa"/>
              <w:right w:w="85" w:type="dxa"/>
            </w:tcMar>
          </w:tcPr>
          <w:p w14:paraId="474A36C6" w14:textId="77777777" w:rsidR="0057070D" w:rsidRPr="001D5327" w:rsidRDefault="0057070D" w:rsidP="00D11AC9">
            <w:pPr>
              <w:pStyle w:val="TableText"/>
              <w:spacing w:before="40" w:after="40"/>
            </w:pPr>
            <w:r w:rsidRPr="001D5327">
              <w:rPr>
                <w:rFonts w:eastAsia="Calibri"/>
                <w:color w:val="000000"/>
              </w:rPr>
              <w:t>Archives NZ</w:t>
            </w:r>
          </w:p>
        </w:tc>
        <w:tc>
          <w:tcPr>
            <w:tcW w:w="3175" w:type="dxa"/>
            <w:shd w:val="clear" w:color="auto" w:fill="FFFFFF"/>
            <w:tcMar>
              <w:top w:w="0" w:type="dxa"/>
              <w:left w:w="85" w:type="dxa"/>
              <w:bottom w:w="0" w:type="dxa"/>
              <w:right w:w="85" w:type="dxa"/>
            </w:tcMar>
          </w:tcPr>
          <w:p w14:paraId="05242BCA" w14:textId="77777777" w:rsidR="0057070D" w:rsidRPr="001D5327" w:rsidRDefault="0057070D" w:rsidP="00D11AC9">
            <w:pPr>
              <w:pStyle w:val="TableText"/>
              <w:spacing w:before="40" w:after="40"/>
            </w:pPr>
            <w:r w:rsidRPr="001D5327">
              <w:rPr>
                <w:rFonts w:eastAsia="Calibri"/>
                <w:color w:val="000000"/>
              </w:rPr>
              <w:t>Archives New Zealand, Wellington</w:t>
            </w:r>
          </w:p>
        </w:tc>
        <w:tc>
          <w:tcPr>
            <w:tcW w:w="3289" w:type="dxa"/>
            <w:shd w:val="clear" w:color="auto" w:fill="FFFFFF"/>
            <w:tcMar>
              <w:top w:w="0" w:type="dxa"/>
              <w:left w:w="85" w:type="dxa"/>
              <w:bottom w:w="0" w:type="dxa"/>
              <w:right w:w="85" w:type="dxa"/>
            </w:tcMar>
          </w:tcPr>
          <w:p w14:paraId="57B0A066" w14:textId="77777777" w:rsidR="0057070D" w:rsidRPr="001D5327" w:rsidRDefault="0057070D" w:rsidP="00D11AC9">
            <w:pPr>
              <w:pStyle w:val="TableText"/>
              <w:spacing w:before="40" w:after="40"/>
            </w:pPr>
            <w:r w:rsidRPr="001D5327">
              <w:rPr>
                <w:rFonts w:eastAsia="Calibri"/>
                <w:color w:val="000000"/>
              </w:rPr>
              <w:t>Historic Census records going back to 1951, at five-year intervals (Tokelau National Statistics Office collation and analysis).</w:t>
            </w:r>
          </w:p>
        </w:tc>
      </w:tr>
      <w:tr w:rsidR="0057070D" w:rsidRPr="001D5327" w14:paraId="3C010E36" w14:textId="77777777" w:rsidTr="00252427">
        <w:trPr>
          <w:trHeight w:val="283"/>
        </w:trPr>
        <w:tc>
          <w:tcPr>
            <w:tcW w:w="563" w:type="dxa"/>
            <w:shd w:val="clear" w:color="auto" w:fill="FFFFFF"/>
            <w:tcMar>
              <w:top w:w="0" w:type="dxa"/>
              <w:left w:w="85" w:type="dxa"/>
              <w:bottom w:w="0" w:type="dxa"/>
              <w:right w:w="85" w:type="dxa"/>
            </w:tcMar>
          </w:tcPr>
          <w:p w14:paraId="44185C25" w14:textId="77777777" w:rsidR="0057070D" w:rsidRPr="001D5327" w:rsidRDefault="0057070D" w:rsidP="00D11AC9">
            <w:pPr>
              <w:pStyle w:val="TableText"/>
              <w:spacing w:before="40" w:after="40"/>
            </w:pPr>
            <w:r w:rsidRPr="001D5327">
              <w:rPr>
                <w:rFonts w:eastAsia="Calibri"/>
                <w:color w:val="000000"/>
              </w:rPr>
              <w:t>3</w:t>
            </w:r>
          </w:p>
        </w:tc>
        <w:tc>
          <w:tcPr>
            <w:tcW w:w="1531" w:type="dxa"/>
            <w:shd w:val="clear" w:color="auto" w:fill="FFFFFF"/>
            <w:tcMar>
              <w:top w:w="0" w:type="dxa"/>
              <w:left w:w="85" w:type="dxa"/>
              <w:bottom w:w="0" w:type="dxa"/>
              <w:right w:w="85" w:type="dxa"/>
            </w:tcMar>
          </w:tcPr>
          <w:p w14:paraId="7593CA02" w14:textId="77777777" w:rsidR="0057070D" w:rsidRPr="001D5327" w:rsidRDefault="0057070D" w:rsidP="00D11AC9">
            <w:pPr>
              <w:pStyle w:val="TableText"/>
              <w:spacing w:before="40" w:after="40"/>
            </w:pPr>
            <w:r w:rsidRPr="001D5327">
              <w:rPr>
                <w:rFonts w:eastAsia="Calibri"/>
                <w:color w:val="000000"/>
              </w:rPr>
              <w:t>HIES</w:t>
            </w:r>
          </w:p>
        </w:tc>
        <w:tc>
          <w:tcPr>
            <w:tcW w:w="3175" w:type="dxa"/>
            <w:shd w:val="clear" w:color="auto" w:fill="FFFFFF"/>
            <w:tcMar>
              <w:top w:w="0" w:type="dxa"/>
              <w:left w:w="85" w:type="dxa"/>
              <w:bottom w:w="0" w:type="dxa"/>
              <w:right w:w="85" w:type="dxa"/>
            </w:tcMar>
          </w:tcPr>
          <w:p w14:paraId="41B9B55F" w14:textId="77777777" w:rsidR="0057070D" w:rsidRPr="001D5327" w:rsidRDefault="0057070D" w:rsidP="00D11AC9">
            <w:pPr>
              <w:pStyle w:val="TableText"/>
              <w:spacing w:before="40" w:after="40"/>
            </w:pPr>
            <w:r w:rsidRPr="001D5327">
              <w:rPr>
                <w:rFonts w:eastAsia="Calibri"/>
                <w:color w:val="000000"/>
              </w:rPr>
              <w:t xml:space="preserve">Tokelau Household Income and Expenditure Survey 2015/16 </w:t>
            </w:r>
            <w:r w:rsidRPr="001D5327">
              <w:rPr>
                <w:rFonts w:eastAsia="Calibri"/>
                <w:color w:val="000000"/>
              </w:rPr>
              <w:br/>
            </w:r>
            <w:hyperlink r:id="rId234" w:history="1">
              <w:r w:rsidRPr="001D5327">
                <w:rPr>
                  <w:rStyle w:val="Hyperlink"/>
                  <w:rFonts w:eastAsia="Calibri" w:cs="Calibri"/>
                  <w:szCs w:val="16"/>
                </w:rPr>
                <w:t>www.tinyurl.com/TokelauHIES</w:t>
              </w:r>
            </w:hyperlink>
          </w:p>
        </w:tc>
        <w:tc>
          <w:tcPr>
            <w:tcW w:w="3289" w:type="dxa"/>
            <w:shd w:val="clear" w:color="auto" w:fill="FFFFFF"/>
            <w:tcMar>
              <w:top w:w="0" w:type="dxa"/>
              <w:left w:w="85" w:type="dxa"/>
              <w:bottom w:w="0" w:type="dxa"/>
              <w:right w:w="85" w:type="dxa"/>
            </w:tcMar>
          </w:tcPr>
          <w:p w14:paraId="0C6FE717" w14:textId="77777777" w:rsidR="0057070D" w:rsidRPr="001D5327" w:rsidRDefault="0057070D" w:rsidP="00D11AC9">
            <w:pPr>
              <w:pStyle w:val="TableText"/>
              <w:spacing w:before="40" w:after="40"/>
            </w:pPr>
            <w:r w:rsidRPr="001D5327">
              <w:rPr>
                <w:rFonts w:eastAsia="Calibri"/>
                <w:color w:val="000000"/>
              </w:rPr>
              <w:t>Population and dwellings data supplementary to Census, in partnership with Pacific Community (SPC).</w:t>
            </w:r>
          </w:p>
        </w:tc>
      </w:tr>
      <w:tr w:rsidR="0057070D" w:rsidRPr="001D5327" w14:paraId="527FD078" w14:textId="77777777" w:rsidTr="00252427">
        <w:trPr>
          <w:trHeight w:val="283"/>
        </w:trPr>
        <w:tc>
          <w:tcPr>
            <w:tcW w:w="563" w:type="dxa"/>
            <w:shd w:val="clear" w:color="auto" w:fill="FFFFFF"/>
            <w:tcMar>
              <w:top w:w="0" w:type="dxa"/>
              <w:left w:w="85" w:type="dxa"/>
              <w:bottom w:w="0" w:type="dxa"/>
              <w:right w:w="85" w:type="dxa"/>
            </w:tcMar>
          </w:tcPr>
          <w:p w14:paraId="0F8AF195" w14:textId="77777777" w:rsidR="0057070D" w:rsidRPr="001D5327" w:rsidRDefault="0057070D" w:rsidP="00D11AC9">
            <w:pPr>
              <w:pStyle w:val="TableText"/>
              <w:spacing w:before="40" w:after="40"/>
            </w:pPr>
            <w:r w:rsidRPr="001D5327">
              <w:rPr>
                <w:rFonts w:eastAsia="Calibri"/>
                <w:color w:val="000000"/>
              </w:rPr>
              <w:lastRenderedPageBreak/>
              <w:t>4</w:t>
            </w:r>
          </w:p>
        </w:tc>
        <w:tc>
          <w:tcPr>
            <w:tcW w:w="1531" w:type="dxa"/>
            <w:shd w:val="clear" w:color="auto" w:fill="FFFFFF"/>
            <w:tcMar>
              <w:top w:w="0" w:type="dxa"/>
              <w:left w:w="85" w:type="dxa"/>
              <w:bottom w:w="0" w:type="dxa"/>
              <w:right w:w="85" w:type="dxa"/>
            </w:tcMar>
          </w:tcPr>
          <w:p w14:paraId="60628AF0" w14:textId="77777777" w:rsidR="0057070D" w:rsidRPr="001D5327" w:rsidRDefault="0057070D" w:rsidP="00D11AC9">
            <w:pPr>
              <w:pStyle w:val="TableText"/>
              <w:spacing w:before="40" w:after="40"/>
            </w:pPr>
            <w:r w:rsidRPr="001D5327">
              <w:rPr>
                <w:rFonts w:eastAsia="Calibri"/>
                <w:color w:val="000000"/>
              </w:rPr>
              <w:t>SNZ, Stats NZ</w:t>
            </w:r>
          </w:p>
        </w:tc>
        <w:tc>
          <w:tcPr>
            <w:tcW w:w="3175" w:type="dxa"/>
            <w:shd w:val="clear" w:color="auto" w:fill="FFFFFF"/>
            <w:tcMar>
              <w:top w:w="0" w:type="dxa"/>
              <w:left w:w="85" w:type="dxa"/>
              <w:bottom w:w="0" w:type="dxa"/>
              <w:right w:w="85" w:type="dxa"/>
            </w:tcMar>
          </w:tcPr>
          <w:p w14:paraId="3F7900AA" w14:textId="77777777" w:rsidR="0057070D" w:rsidRPr="001D5327" w:rsidRDefault="0057070D" w:rsidP="00D11AC9">
            <w:pPr>
              <w:pStyle w:val="TableText"/>
              <w:spacing w:before="40" w:after="40"/>
            </w:pPr>
            <w:r w:rsidRPr="001D5327">
              <w:rPr>
                <w:rFonts w:eastAsia="Calibri"/>
                <w:color w:val="000000"/>
              </w:rPr>
              <w:t xml:space="preserve">Stats NZ, Wellington </w:t>
            </w:r>
            <w:r w:rsidRPr="001D5327">
              <w:rPr>
                <w:rFonts w:eastAsia="Calibri"/>
                <w:color w:val="000000"/>
              </w:rPr>
              <w:br/>
            </w:r>
            <w:hyperlink r:id="rId235" w:history="1">
              <w:r w:rsidRPr="001D5327">
                <w:rPr>
                  <w:rStyle w:val="Hyperlink"/>
                  <w:rFonts w:eastAsia="Calibri" w:cs="Calibri"/>
                  <w:szCs w:val="16"/>
                </w:rPr>
                <w:t>www.stats.govt.nz</w:t>
              </w:r>
            </w:hyperlink>
          </w:p>
        </w:tc>
        <w:tc>
          <w:tcPr>
            <w:tcW w:w="3289" w:type="dxa"/>
            <w:shd w:val="clear" w:color="auto" w:fill="FFFFFF"/>
            <w:tcMar>
              <w:top w:w="0" w:type="dxa"/>
              <w:left w:w="85" w:type="dxa"/>
              <w:bottom w:w="0" w:type="dxa"/>
              <w:right w:w="85" w:type="dxa"/>
            </w:tcMar>
          </w:tcPr>
          <w:p w14:paraId="201B4DAE" w14:textId="77777777" w:rsidR="0057070D" w:rsidRPr="001D5327" w:rsidRDefault="0057070D" w:rsidP="00D11AC9">
            <w:pPr>
              <w:pStyle w:val="TableText"/>
              <w:spacing w:before="40" w:after="40"/>
            </w:pPr>
            <w:r w:rsidRPr="001D5327">
              <w:rPr>
                <w:rFonts w:eastAsia="Calibri"/>
                <w:color w:val="000000"/>
              </w:rPr>
              <w:t>Major partner in collection, analysis and publication of Tokelau Census data.</w:t>
            </w:r>
          </w:p>
        </w:tc>
      </w:tr>
      <w:tr w:rsidR="0057070D" w:rsidRPr="001D5327" w14:paraId="618035FC" w14:textId="77777777" w:rsidTr="00252427">
        <w:trPr>
          <w:trHeight w:val="283"/>
        </w:trPr>
        <w:tc>
          <w:tcPr>
            <w:tcW w:w="563" w:type="dxa"/>
            <w:shd w:val="clear" w:color="auto" w:fill="FFFFFF"/>
            <w:tcMar>
              <w:top w:w="0" w:type="dxa"/>
              <w:left w:w="85" w:type="dxa"/>
              <w:bottom w:w="0" w:type="dxa"/>
              <w:right w:w="85" w:type="dxa"/>
            </w:tcMar>
          </w:tcPr>
          <w:p w14:paraId="0C6D77A5" w14:textId="77777777" w:rsidR="0057070D" w:rsidRPr="001D5327" w:rsidRDefault="0057070D" w:rsidP="00D11AC9">
            <w:pPr>
              <w:pStyle w:val="TableText"/>
              <w:spacing w:before="40" w:after="40"/>
            </w:pPr>
            <w:r w:rsidRPr="001D5327">
              <w:rPr>
                <w:rFonts w:eastAsia="Calibri"/>
                <w:color w:val="000000"/>
              </w:rPr>
              <w:t>5</w:t>
            </w:r>
          </w:p>
        </w:tc>
        <w:tc>
          <w:tcPr>
            <w:tcW w:w="1531" w:type="dxa"/>
            <w:shd w:val="clear" w:color="auto" w:fill="FFFFFF"/>
            <w:tcMar>
              <w:top w:w="0" w:type="dxa"/>
              <w:left w:w="85" w:type="dxa"/>
              <w:bottom w:w="0" w:type="dxa"/>
              <w:right w:w="85" w:type="dxa"/>
            </w:tcMar>
          </w:tcPr>
          <w:p w14:paraId="5E93A591" w14:textId="77777777" w:rsidR="0057070D" w:rsidRPr="001D5327" w:rsidRDefault="0057070D" w:rsidP="00D11AC9">
            <w:pPr>
              <w:pStyle w:val="TableText"/>
              <w:spacing w:before="40" w:after="40"/>
            </w:pPr>
            <w:r w:rsidRPr="001D5327">
              <w:rPr>
                <w:rFonts w:eastAsia="Calibri"/>
                <w:color w:val="000000"/>
              </w:rPr>
              <w:t>TNSO</w:t>
            </w:r>
          </w:p>
        </w:tc>
        <w:tc>
          <w:tcPr>
            <w:tcW w:w="3175" w:type="dxa"/>
            <w:shd w:val="clear" w:color="auto" w:fill="FFFFFF"/>
            <w:tcMar>
              <w:top w:w="0" w:type="dxa"/>
              <w:left w:w="85" w:type="dxa"/>
              <w:bottom w:w="0" w:type="dxa"/>
              <w:right w:w="85" w:type="dxa"/>
            </w:tcMar>
          </w:tcPr>
          <w:p w14:paraId="6143A775" w14:textId="77777777" w:rsidR="0057070D" w:rsidRPr="001D5327" w:rsidRDefault="0057070D" w:rsidP="00D11AC9">
            <w:pPr>
              <w:pStyle w:val="TableText"/>
              <w:spacing w:before="40" w:after="40"/>
            </w:pPr>
            <w:r w:rsidRPr="001D5327">
              <w:rPr>
                <w:rFonts w:eastAsia="Calibri"/>
                <w:color w:val="000000"/>
              </w:rPr>
              <w:t xml:space="preserve">Tokelau National Statistics Office, Apia </w:t>
            </w:r>
            <w:r w:rsidRPr="001D5327">
              <w:rPr>
                <w:rFonts w:eastAsia="Calibri"/>
                <w:color w:val="000000"/>
              </w:rPr>
              <w:br/>
            </w:r>
            <w:hyperlink r:id="rId236" w:history="1">
              <w:r w:rsidRPr="001D5327">
                <w:rPr>
                  <w:rStyle w:val="Hyperlink"/>
                  <w:rFonts w:eastAsia="Calibri" w:cs="Calibri"/>
                  <w:szCs w:val="16"/>
                </w:rPr>
                <w:t>www.tokelau.org.nz/Stats.html</w:t>
              </w:r>
            </w:hyperlink>
          </w:p>
        </w:tc>
        <w:tc>
          <w:tcPr>
            <w:tcW w:w="3289" w:type="dxa"/>
            <w:shd w:val="clear" w:color="auto" w:fill="FFFFFF"/>
            <w:tcMar>
              <w:top w:w="0" w:type="dxa"/>
              <w:left w:w="85" w:type="dxa"/>
              <w:bottom w:w="0" w:type="dxa"/>
              <w:right w:w="85" w:type="dxa"/>
            </w:tcMar>
          </w:tcPr>
          <w:p w14:paraId="7B7C1009" w14:textId="77777777" w:rsidR="0057070D" w:rsidRPr="001D5327" w:rsidRDefault="0057070D" w:rsidP="00D11AC9">
            <w:pPr>
              <w:pStyle w:val="TableText"/>
              <w:spacing w:before="40" w:after="40"/>
            </w:pPr>
            <w:r w:rsidRPr="001D5327">
              <w:rPr>
                <w:rFonts w:eastAsia="Calibri"/>
                <w:color w:val="000000"/>
              </w:rPr>
              <w:t>Joint collection, analysis and publication of Tokelau Census data.</w:t>
            </w:r>
          </w:p>
        </w:tc>
      </w:tr>
      <w:tr w:rsidR="0057070D" w:rsidRPr="001D5327" w14:paraId="70AC8A23" w14:textId="77777777" w:rsidTr="00252427">
        <w:trPr>
          <w:trHeight w:val="283"/>
        </w:trPr>
        <w:tc>
          <w:tcPr>
            <w:tcW w:w="563" w:type="dxa"/>
            <w:shd w:val="clear" w:color="auto" w:fill="FFFFFF"/>
            <w:tcMar>
              <w:top w:w="0" w:type="dxa"/>
              <w:left w:w="85" w:type="dxa"/>
              <w:bottom w:w="0" w:type="dxa"/>
              <w:right w:w="85" w:type="dxa"/>
            </w:tcMar>
          </w:tcPr>
          <w:p w14:paraId="0EA3E32F" w14:textId="77777777" w:rsidR="0057070D" w:rsidRPr="001D5327" w:rsidRDefault="0057070D" w:rsidP="00D11AC9">
            <w:pPr>
              <w:pStyle w:val="TableText"/>
              <w:spacing w:before="40" w:after="40"/>
            </w:pPr>
            <w:r w:rsidRPr="001D5327">
              <w:rPr>
                <w:rFonts w:eastAsia="Calibri"/>
                <w:color w:val="000000"/>
              </w:rPr>
              <w:t>6</w:t>
            </w:r>
          </w:p>
        </w:tc>
        <w:tc>
          <w:tcPr>
            <w:tcW w:w="1531" w:type="dxa"/>
            <w:shd w:val="clear" w:color="auto" w:fill="FFFFFF"/>
            <w:tcMar>
              <w:top w:w="0" w:type="dxa"/>
              <w:left w:w="85" w:type="dxa"/>
              <w:bottom w:w="0" w:type="dxa"/>
              <w:right w:w="85" w:type="dxa"/>
            </w:tcMar>
          </w:tcPr>
          <w:p w14:paraId="404F455C" w14:textId="77777777" w:rsidR="0057070D" w:rsidRPr="001D5327" w:rsidRDefault="0057070D" w:rsidP="00D11AC9">
            <w:pPr>
              <w:pStyle w:val="TableText"/>
              <w:spacing w:before="40" w:after="40"/>
            </w:pPr>
            <w:r w:rsidRPr="001D5327">
              <w:rPr>
                <w:rFonts w:eastAsia="Calibri"/>
                <w:color w:val="000000"/>
              </w:rPr>
              <w:t>DoE</w:t>
            </w:r>
          </w:p>
        </w:tc>
        <w:tc>
          <w:tcPr>
            <w:tcW w:w="3175" w:type="dxa"/>
            <w:shd w:val="clear" w:color="auto" w:fill="FFFFFF"/>
            <w:tcMar>
              <w:top w:w="0" w:type="dxa"/>
              <w:left w:w="85" w:type="dxa"/>
              <w:bottom w:w="0" w:type="dxa"/>
              <w:right w:w="85" w:type="dxa"/>
            </w:tcMar>
          </w:tcPr>
          <w:p w14:paraId="3C24B89B" w14:textId="77777777" w:rsidR="0057070D" w:rsidRPr="001D5327" w:rsidRDefault="0057070D" w:rsidP="00D11AC9">
            <w:pPr>
              <w:pStyle w:val="TableText"/>
              <w:spacing w:before="40" w:after="40"/>
            </w:pPr>
            <w:r w:rsidRPr="001D5327">
              <w:rPr>
                <w:rFonts w:eastAsia="Calibri"/>
                <w:color w:val="000000"/>
              </w:rPr>
              <w:t>Tokelau Department of Energy</w:t>
            </w:r>
          </w:p>
        </w:tc>
        <w:tc>
          <w:tcPr>
            <w:tcW w:w="3289" w:type="dxa"/>
            <w:shd w:val="clear" w:color="auto" w:fill="FFFFFF"/>
            <w:tcMar>
              <w:top w:w="0" w:type="dxa"/>
              <w:left w:w="85" w:type="dxa"/>
              <w:bottom w:w="0" w:type="dxa"/>
              <w:right w:w="85" w:type="dxa"/>
            </w:tcMar>
          </w:tcPr>
          <w:p w14:paraId="67CAF882" w14:textId="77777777" w:rsidR="0057070D" w:rsidRPr="001D5327" w:rsidRDefault="0057070D" w:rsidP="00D11AC9">
            <w:pPr>
              <w:pStyle w:val="TableText"/>
              <w:spacing w:before="40" w:after="40"/>
            </w:pPr>
            <w:r w:rsidRPr="001D5327">
              <w:rPr>
                <w:rFonts w:eastAsia="Calibri"/>
                <w:color w:val="000000"/>
              </w:rPr>
              <w:t>Estimate of diesel use for 24/7 power generation in 2004, plus before and after installation of solar panels in July–September 2012 (personal communication Mr Robin Pene, DoE director).</w:t>
            </w:r>
          </w:p>
        </w:tc>
      </w:tr>
      <w:tr w:rsidR="0057070D" w:rsidRPr="001D5327" w14:paraId="013F31AB" w14:textId="77777777" w:rsidTr="00252427">
        <w:trPr>
          <w:trHeight w:val="283"/>
        </w:trPr>
        <w:tc>
          <w:tcPr>
            <w:tcW w:w="563" w:type="dxa"/>
            <w:shd w:val="clear" w:color="auto" w:fill="FFFFFF"/>
            <w:tcMar>
              <w:top w:w="0" w:type="dxa"/>
              <w:left w:w="85" w:type="dxa"/>
              <w:bottom w:w="0" w:type="dxa"/>
              <w:right w:w="85" w:type="dxa"/>
            </w:tcMar>
          </w:tcPr>
          <w:p w14:paraId="263C44AC" w14:textId="77777777" w:rsidR="0057070D" w:rsidRPr="001D5327" w:rsidRDefault="0057070D" w:rsidP="00D11AC9">
            <w:pPr>
              <w:pStyle w:val="TableText"/>
              <w:spacing w:before="40" w:after="40"/>
            </w:pPr>
            <w:r w:rsidRPr="001D5327">
              <w:rPr>
                <w:rFonts w:eastAsia="Calibri"/>
                <w:color w:val="000000"/>
              </w:rPr>
              <w:t>7</w:t>
            </w:r>
          </w:p>
        </w:tc>
        <w:tc>
          <w:tcPr>
            <w:tcW w:w="1531" w:type="dxa"/>
            <w:shd w:val="clear" w:color="auto" w:fill="FFFFFF"/>
            <w:tcMar>
              <w:top w:w="0" w:type="dxa"/>
              <w:left w:w="85" w:type="dxa"/>
              <w:bottom w:w="0" w:type="dxa"/>
              <w:right w:w="85" w:type="dxa"/>
            </w:tcMar>
          </w:tcPr>
          <w:p w14:paraId="712339F2" w14:textId="77777777" w:rsidR="0057070D" w:rsidRPr="001D5327" w:rsidRDefault="0057070D" w:rsidP="00D11AC9">
            <w:pPr>
              <w:pStyle w:val="TableText"/>
              <w:spacing w:before="40" w:after="40"/>
            </w:pPr>
            <w:r w:rsidRPr="001D5327">
              <w:rPr>
                <w:rFonts w:eastAsia="Calibri"/>
                <w:color w:val="000000"/>
              </w:rPr>
              <w:t>PPS</w:t>
            </w:r>
          </w:p>
        </w:tc>
        <w:tc>
          <w:tcPr>
            <w:tcW w:w="3175" w:type="dxa"/>
            <w:shd w:val="clear" w:color="auto" w:fill="FFFFFF"/>
            <w:tcMar>
              <w:top w:w="0" w:type="dxa"/>
              <w:left w:w="85" w:type="dxa"/>
              <w:bottom w:w="0" w:type="dxa"/>
              <w:right w:w="85" w:type="dxa"/>
            </w:tcMar>
          </w:tcPr>
          <w:p w14:paraId="6F72F358" w14:textId="77777777" w:rsidR="0057070D" w:rsidRPr="001D5327" w:rsidRDefault="0057070D" w:rsidP="00D11AC9">
            <w:pPr>
              <w:pStyle w:val="TableText"/>
              <w:spacing w:before="40" w:after="40"/>
            </w:pPr>
            <w:r w:rsidRPr="001D5327">
              <w:rPr>
                <w:rFonts w:eastAsia="Calibri"/>
                <w:color w:val="000000"/>
              </w:rPr>
              <w:t>Petroleum Product Supplies Ltd Apia</w:t>
            </w:r>
          </w:p>
        </w:tc>
        <w:tc>
          <w:tcPr>
            <w:tcW w:w="3289" w:type="dxa"/>
            <w:shd w:val="clear" w:color="auto" w:fill="FFFFFF"/>
            <w:tcMar>
              <w:top w:w="0" w:type="dxa"/>
              <w:left w:w="85" w:type="dxa"/>
              <w:bottom w:w="0" w:type="dxa"/>
              <w:right w:w="85" w:type="dxa"/>
            </w:tcMar>
          </w:tcPr>
          <w:p w14:paraId="27EE6FAE" w14:textId="77777777" w:rsidR="0057070D" w:rsidRPr="001D5327" w:rsidRDefault="0057070D" w:rsidP="00D11AC9">
            <w:pPr>
              <w:pStyle w:val="TableText"/>
              <w:spacing w:before="40" w:after="40"/>
            </w:pPr>
            <w:r w:rsidRPr="001D5327">
              <w:rPr>
                <w:rFonts w:eastAsia="Calibri"/>
                <w:color w:val="000000"/>
              </w:rPr>
              <w:t>Fuel prices and volumes supplied for shipping and on-atoll use of diesel, petrol, kerosene and lubricant oil.</w:t>
            </w:r>
          </w:p>
        </w:tc>
      </w:tr>
      <w:tr w:rsidR="0057070D" w:rsidRPr="001D5327" w14:paraId="45B9BC0E" w14:textId="77777777" w:rsidTr="00252427">
        <w:trPr>
          <w:trHeight w:val="283"/>
        </w:trPr>
        <w:tc>
          <w:tcPr>
            <w:tcW w:w="563" w:type="dxa"/>
            <w:shd w:val="clear" w:color="auto" w:fill="FFFFFF"/>
            <w:tcMar>
              <w:top w:w="0" w:type="dxa"/>
              <w:left w:w="85" w:type="dxa"/>
              <w:bottom w:w="0" w:type="dxa"/>
              <w:right w:w="85" w:type="dxa"/>
            </w:tcMar>
          </w:tcPr>
          <w:p w14:paraId="70611D39" w14:textId="77777777" w:rsidR="0057070D" w:rsidRPr="001D5327" w:rsidRDefault="0057070D" w:rsidP="00D11AC9">
            <w:pPr>
              <w:pStyle w:val="TableText"/>
              <w:spacing w:before="40" w:after="40"/>
            </w:pPr>
            <w:r w:rsidRPr="001D5327">
              <w:rPr>
                <w:rFonts w:eastAsia="Calibri"/>
                <w:color w:val="000000"/>
              </w:rPr>
              <w:t>8</w:t>
            </w:r>
          </w:p>
        </w:tc>
        <w:tc>
          <w:tcPr>
            <w:tcW w:w="1531" w:type="dxa"/>
            <w:shd w:val="clear" w:color="auto" w:fill="FFFFFF"/>
            <w:tcMar>
              <w:top w:w="0" w:type="dxa"/>
              <w:left w:w="85" w:type="dxa"/>
              <w:bottom w:w="0" w:type="dxa"/>
              <w:right w:w="85" w:type="dxa"/>
            </w:tcMar>
          </w:tcPr>
          <w:p w14:paraId="58AB0513" w14:textId="77777777" w:rsidR="0057070D" w:rsidRPr="001D5327" w:rsidRDefault="0057070D" w:rsidP="00D11AC9">
            <w:pPr>
              <w:pStyle w:val="TableText"/>
              <w:spacing w:before="40" w:after="40"/>
            </w:pPr>
            <w:r w:rsidRPr="001D5327">
              <w:rPr>
                <w:rFonts w:eastAsia="Calibri"/>
                <w:color w:val="000000"/>
              </w:rPr>
              <w:t>DoF</w:t>
            </w:r>
          </w:p>
        </w:tc>
        <w:tc>
          <w:tcPr>
            <w:tcW w:w="3175" w:type="dxa"/>
            <w:shd w:val="clear" w:color="auto" w:fill="FFFFFF"/>
            <w:tcMar>
              <w:top w:w="0" w:type="dxa"/>
              <w:left w:w="85" w:type="dxa"/>
              <w:bottom w:w="0" w:type="dxa"/>
              <w:right w:w="85" w:type="dxa"/>
            </w:tcMar>
          </w:tcPr>
          <w:p w14:paraId="33EE888A" w14:textId="77777777" w:rsidR="0057070D" w:rsidRPr="001D5327" w:rsidRDefault="0057070D" w:rsidP="00D11AC9">
            <w:pPr>
              <w:pStyle w:val="TableText"/>
              <w:spacing w:before="40" w:after="40"/>
            </w:pPr>
            <w:r w:rsidRPr="001D5327">
              <w:rPr>
                <w:rFonts w:eastAsia="Calibri"/>
                <w:color w:val="000000"/>
              </w:rPr>
              <w:t>Tokelau Department of Finance</w:t>
            </w:r>
          </w:p>
        </w:tc>
        <w:tc>
          <w:tcPr>
            <w:tcW w:w="3289" w:type="dxa"/>
            <w:shd w:val="clear" w:color="auto" w:fill="FFFFFF"/>
            <w:tcMar>
              <w:top w:w="0" w:type="dxa"/>
              <w:left w:w="85" w:type="dxa"/>
              <w:bottom w:w="0" w:type="dxa"/>
              <w:right w:w="85" w:type="dxa"/>
            </w:tcMar>
          </w:tcPr>
          <w:p w14:paraId="60F8D96B" w14:textId="77777777" w:rsidR="0057070D" w:rsidRPr="001D5327" w:rsidRDefault="0057070D" w:rsidP="00D11AC9">
            <w:pPr>
              <w:pStyle w:val="TableText"/>
              <w:spacing w:before="40" w:after="40"/>
            </w:pPr>
            <w:r w:rsidRPr="001D5327">
              <w:rPr>
                <w:rFonts w:eastAsia="Calibri"/>
                <w:color w:val="000000"/>
              </w:rPr>
              <w:t>Paid invoices and payment records to PPS, Origin, and on-atoll stores.</w:t>
            </w:r>
          </w:p>
        </w:tc>
      </w:tr>
      <w:tr w:rsidR="0057070D" w:rsidRPr="001D5327" w14:paraId="49CBA56F" w14:textId="77777777" w:rsidTr="00252427">
        <w:trPr>
          <w:trHeight w:val="283"/>
        </w:trPr>
        <w:tc>
          <w:tcPr>
            <w:tcW w:w="563" w:type="dxa"/>
            <w:shd w:val="clear" w:color="auto" w:fill="FFFFFF"/>
            <w:tcMar>
              <w:top w:w="0" w:type="dxa"/>
              <w:left w:w="85" w:type="dxa"/>
              <w:bottom w:w="0" w:type="dxa"/>
              <w:right w:w="85" w:type="dxa"/>
            </w:tcMar>
          </w:tcPr>
          <w:p w14:paraId="01704B4B" w14:textId="77777777" w:rsidR="0057070D" w:rsidRPr="001D5327" w:rsidRDefault="0057070D" w:rsidP="00D11AC9">
            <w:pPr>
              <w:pStyle w:val="TableText"/>
              <w:spacing w:before="40" w:after="40"/>
            </w:pPr>
            <w:r w:rsidRPr="001D5327">
              <w:rPr>
                <w:rFonts w:eastAsia="Calibri"/>
                <w:color w:val="000000"/>
              </w:rPr>
              <w:t>9</w:t>
            </w:r>
          </w:p>
        </w:tc>
        <w:tc>
          <w:tcPr>
            <w:tcW w:w="1531" w:type="dxa"/>
            <w:shd w:val="clear" w:color="auto" w:fill="FFFFFF"/>
            <w:tcMar>
              <w:top w:w="0" w:type="dxa"/>
              <w:left w:w="85" w:type="dxa"/>
              <w:bottom w:w="0" w:type="dxa"/>
              <w:right w:w="85" w:type="dxa"/>
            </w:tcMar>
          </w:tcPr>
          <w:p w14:paraId="4C05266E" w14:textId="77777777" w:rsidR="0057070D" w:rsidRPr="001D5327" w:rsidRDefault="0057070D" w:rsidP="00D11AC9">
            <w:pPr>
              <w:pStyle w:val="TableText"/>
              <w:spacing w:before="40" w:after="40"/>
            </w:pPr>
            <w:r w:rsidRPr="001D5327">
              <w:rPr>
                <w:rFonts w:eastAsia="Calibri"/>
                <w:color w:val="000000"/>
              </w:rPr>
              <w:t>2018 vehicle survey</w:t>
            </w:r>
          </w:p>
        </w:tc>
        <w:tc>
          <w:tcPr>
            <w:tcW w:w="3175" w:type="dxa"/>
            <w:shd w:val="clear" w:color="auto" w:fill="FFFFFF"/>
            <w:tcMar>
              <w:top w:w="0" w:type="dxa"/>
              <w:left w:w="85" w:type="dxa"/>
              <w:bottom w:w="0" w:type="dxa"/>
              <w:right w:w="85" w:type="dxa"/>
            </w:tcMar>
          </w:tcPr>
          <w:p w14:paraId="7CA02DEA" w14:textId="77777777" w:rsidR="0057070D" w:rsidRPr="001D5327" w:rsidRDefault="0057070D" w:rsidP="00D11AC9">
            <w:pPr>
              <w:pStyle w:val="TableText"/>
              <w:spacing w:before="40" w:after="40"/>
            </w:pPr>
            <w:r w:rsidRPr="001D5327">
              <w:rPr>
                <w:rFonts w:eastAsia="Calibri"/>
                <w:color w:val="000000"/>
              </w:rPr>
              <w:t>Photo survey of Tokelau motorised vehicles on-atoll, August–December 2018</w:t>
            </w:r>
          </w:p>
        </w:tc>
        <w:tc>
          <w:tcPr>
            <w:tcW w:w="3289" w:type="dxa"/>
            <w:shd w:val="clear" w:color="auto" w:fill="FFFFFF"/>
            <w:tcMar>
              <w:top w:w="0" w:type="dxa"/>
              <w:left w:w="85" w:type="dxa"/>
              <w:bottom w:w="0" w:type="dxa"/>
              <w:right w:w="85" w:type="dxa"/>
            </w:tcMar>
          </w:tcPr>
          <w:p w14:paraId="280E5B27" w14:textId="77777777" w:rsidR="0057070D" w:rsidRPr="001D5327" w:rsidRDefault="0057070D" w:rsidP="00D11AC9">
            <w:pPr>
              <w:pStyle w:val="TableText"/>
              <w:spacing w:before="40" w:after="40"/>
            </w:pPr>
            <w:r w:rsidRPr="001D5327">
              <w:rPr>
                <w:rFonts w:eastAsia="Calibri"/>
                <w:color w:val="000000"/>
              </w:rPr>
              <w:t>Personal communication JA Jasperse, TNSO.</w:t>
            </w:r>
          </w:p>
        </w:tc>
      </w:tr>
      <w:tr w:rsidR="0057070D" w:rsidRPr="001D5327" w14:paraId="6F16EE49" w14:textId="77777777" w:rsidTr="00252427">
        <w:trPr>
          <w:trHeight w:val="283"/>
        </w:trPr>
        <w:tc>
          <w:tcPr>
            <w:tcW w:w="563" w:type="dxa"/>
            <w:shd w:val="clear" w:color="auto" w:fill="FFFFFF"/>
            <w:tcMar>
              <w:top w:w="0" w:type="dxa"/>
              <w:left w:w="85" w:type="dxa"/>
              <w:bottom w:w="0" w:type="dxa"/>
              <w:right w:w="85" w:type="dxa"/>
            </w:tcMar>
          </w:tcPr>
          <w:p w14:paraId="24966AFE" w14:textId="77777777" w:rsidR="0057070D" w:rsidRPr="001D5327" w:rsidRDefault="0057070D" w:rsidP="00D11AC9">
            <w:pPr>
              <w:pStyle w:val="TableText"/>
              <w:spacing w:before="40" w:after="40"/>
            </w:pPr>
            <w:r w:rsidRPr="001D5327">
              <w:rPr>
                <w:rFonts w:eastAsia="Calibri"/>
                <w:color w:val="000000"/>
              </w:rPr>
              <w:t>10</w:t>
            </w:r>
          </w:p>
        </w:tc>
        <w:tc>
          <w:tcPr>
            <w:tcW w:w="1531" w:type="dxa"/>
            <w:shd w:val="clear" w:color="auto" w:fill="FFFFFF"/>
            <w:tcMar>
              <w:top w:w="0" w:type="dxa"/>
              <w:left w:w="85" w:type="dxa"/>
              <w:bottom w:w="0" w:type="dxa"/>
              <w:right w:w="85" w:type="dxa"/>
            </w:tcMar>
          </w:tcPr>
          <w:p w14:paraId="399359AE" w14:textId="77777777" w:rsidR="0057070D" w:rsidRPr="001D5327" w:rsidRDefault="0057070D" w:rsidP="00D11AC9">
            <w:pPr>
              <w:pStyle w:val="TableText"/>
              <w:spacing w:before="40" w:after="40"/>
            </w:pPr>
            <w:r w:rsidRPr="001D5327">
              <w:rPr>
                <w:rFonts w:eastAsia="Calibri"/>
                <w:color w:val="000000"/>
              </w:rPr>
              <w:t>Origin</w:t>
            </w:r>
          </w:p>
        </w:tc>
        <w:tc>
          <w:tcPr>
            <w:tcW w:w="3175" w:type="dxa"/>
            <w:shd w:val="clear" w:color="auto" w:fill="FFFFFF"/>
            <w:tcMar>
              <w:top w:w="0" w:type="dxa"/>
              <w:left w:w="85" w:type="dxa"/>
              <w:bottom w:w="0" w:type="dxa"/>
              <w:right w:w="85" w:type="dxa"/>
            </w:tcMar>
          </w:tcPr>
          <w:p w14:paraId="64E44605" w14:textId="77777777" w:rsidR="0057070D" w:rsidRPr="001D5327" w:rsidRDefault="0057070D" w:rsidP="00D11AC9">
            <w:pPr>
              <w:pStyle w:val="TableText"/>
              <w:spacing w:before="40" w:after="40"/>
            </w:pPr>
            <w:r w:rsidRPr="001D5327">
              <w:rPr>
                <w:rFonts w:eastAsia="Calibri"/>
                <w:color w:val="000000"/>
              </w:rPr>
              <w:t>Origin Energy Samoa Ltd, Apia</w:t>
            </w:r>
          </w:p>
        </w:tc>
        <w:tc>
          <w:tcPr>
            <w:tcW w:w="3289" w:type="dxa"/>
            <w:shd w:val="clear" w:color="auto" w:fill="FFFFFF"/>
            <w:tcMar>
              <w:top w:w="0" w:type="dxa"/>
              <w:left w:w="85" w:type="dxa"/>
              <w:bottom w:w="0" w:type="dxa"/>
              <w:right w:w="85" w:type="dxa"/>
            </w:tcMar>
          </w:tcPr>
          <w:p w14:paraId="245F178B" w14:textId="77777777" w:rsidR="0057070D" w:rsidRPr="001D5327" w:rsidRDefault="0057070D" w:rsidP="00D11AC9">
            <w:pPr>
              <w:pStyle w:val="TableText"/>
              <w:spacing w:before="40" w:after="40"/>
            </w:pPr>
            <w:r w:rsidRPr="001D5327">
              <w:rPr>
                <w:rFonts w:eastAsia="Calibri"/>
                <w:color w:val="000000"/>
              </w:rPr>
              <w:t>Prices and volumes supplied for on-atoll use of propane for cooking.</w:t>
            </w:r>
          </w:p>
        </w:tc>
      </w:tr>
      <w:tr w:rsidR="0057070D" w:rsidRPr="001D5327" w14:paraId="3A16B89A" w14:textId="77777777" w:rsidTr="00252427">
        <w:trPr>
          <w:trHeight w:val="283"/>
        </w:trPr>
        <w:tc>
          <w:tcPr>
            <w:tcW w:w="563" w:type="dxa"/>
            <w:shd w:val="clear" w:color="auto" w:fill="FFFFFF"/>
            <w:tcMar>
              <w:top w:w="0" w:type="dxa"/>
              <w:left w:w="85" w:type="dxa"/>
              <w:bottom w:w="0" w:type="dxa"/>
              <w:right w:w="85" w:type="dxa"/>
            </w:tcMar>
          </w:tcPr>
          <w:p w14:paraId="5DC04899" w14:textId="77777777" w:rsidR="0057070D" w:rsidRPr="001D5327" w:rsidRDefault="0057070D" w:rsidP="00D11AC9">
            <w:pPr>
              <w:pStyle w:val="TableText"/>
              <w:spacing w:before="40" w:after="40"/>
            </w:pPr>
            <w:r w:rsidRPr="001D5327">
              <w:rPr>
                <w:rFonts w:eastAsia="Calibri"/>
                <w:color w:val="000000"/>
              </w:rPr>
              <w:t>11</w:t>
            </w:r>
          </w:p>
        </w:tc>
        <w:tc>
          <w:tcPr>
            <w:tcW w:w="1531" w:type="dxa"/>
            <w:shd w:val="clear" w:color="auto" w:fill="FFFFFF"/>
            <w:tcMar>
              <w:top w:w="0" w:type="dxa"/>
              <w:left w:w="85" w:type="dxa"/>
              <w:bottom w:w="0" w:type="dxa"/>
              <w:right w:w="85" w:type="dxa"/>
            </w:tcMar>
          </w:tcPr>
          <w:p w14:paraId="34AE0CF2" w14:textId="77777777" w:rsidR="0057070D" w:rsidRPr="001D5327" w:rsidRDefault="0057070D" w:rsidP="00D11AC9">
            <w:pPr>
              <w:pStyle w:val="TableText"/>
              <w:spacing w:before="40" w:after="40"/>
            </w:pPr>
            <w:r w:rsidRPr="001D5327">
              <w:rPr>
                <w:rFonts w:eastAsia="Calibri"/>
                <w:color w:val="000000"/>
              </w:rPr>
              <w:t>PCTrade-Green</w:t>
            </w:r>
          </w:p>
        </w:tc>
        <w:tc>
          <w:tcPr>
            <w:tcW w:w="3175" w:type="dxa"/>
            <w:shd w:val="clear" w:color="auto" w:fill="FFFFFF"/>
            <w:tcMar>
              <w:top w:w="0" w:type="dxa"/>
              <w:left w:w="85" w:type="dxa"/>
              <w:bottom w:w="0" w:type="dxa"/>
              <w:right w:w="85" w:type="dxa"/>
            </w:tcMar>
          </w:tcPr>
          <w:p w14:paraId="143360F4" w14:textId="77777777" w:rsidR="0057070D" w:rsidRPr="001D5327" w:rsidRDefault="0057070D" w:rsidP="00D11AC9">
            <w:pPr>
              <w:pStyle w:val="TableText"/>
              <w:spacing w:before="40" w:after="40"/>
            </w:pPr>
            <w:r w:rsidRPr="001D5327">
              <w:rPr>
                <w:rFonts w:eastAsia="Calibri"/>
                <w:color w:val="000000"/>
              </w:rPr>
              <w:t>Excel version of PCTrade package developed by Stats NZ, Christchurch</w:t>
            </w:r>
          </w:p>
        </w:tc>
        <w:tc>
          <w:tcPr>
            <w:tcW w:w="3289" w:type="dxa"/>
            <w:shd w:val="clear" w:color="auto" w:fill="FFFFFF"/>
            <w:tcMar>
              <w:top w:w="0" w:type="dxa"/>
              <w:left w:w="85" w:type="dxa"/>
              <w:bottom w:w="0" w:type="dxa"/>
              <w:right w:w="85" w:type="dxa"/>
            </w:tcMar>
          </w:tcPr>
          <w:p w14:paraId="121B3D98" w14:textId="77777777" w:rsidR="0057070D" w:rsidRPr="001D5327" w:rsidRDefault="0057070D" w:rsidP="00D11AC9">
            <w:pPr>
              <w:pStyle w:val="TableText"/>
              <w:spacing w:before="40" w:after="40"/>
            </w:pPr>
            <w:r w:rsidRPr="001D5327">
              <w:rPr>
                <w:rFonts w:eastAsia="Calibri"/>
                <w:color w:val="000000"/>
              </w:rPr>
              <w:t>Used for analysing cargo shipping manifests, providing number of return voyages Apia–Tokelau over time, imports of goods, and exports of recyclables to date (2014 – June 2019 data available).</w:t>
            </w:r>
          </w:p>
        </w:tc>
      </w:tr>
      <w:tr w:rsidR="0057070D" w:rsidRPr="001D5327" w14:paraId="20FA0390" w14:textId="77777777" w:rsidTr="00252427">
        <w:trPr>
          <w:trHeight w:val="283"/>
        </w:trPr>
        <w:tc>
          <w:tcPr>
            <w:tcW w:w="563" w:type="dxa"/>
            <w:shd w:val="clear" w:color="auto" w:fill="FFFFFF"/>
            <w:tcMar>
              <w:top w:w="0" w:type="dxa"/>
              <w:left w:w="85" w:type="dxa"/>
              <w:bottom w:w="0" w:type="dxa"/>
              <w:right w:w="85" w:type="dxa"/>
            </w:tcMar>
          </w:tcPr>
          <w:p w14:paraId="14B4B142" w14:textId="77777777" w:rsidR="0057070D" w:rsidRPr="001D5327" w:rsidRDefault="0057070D" w:rsidP="00D11AC9">
            <w:pPr>
              <w:pStyle w:val="TableText"/>
              <w:spacing w:before="40" w:after="40"/>
            </w:pPr>
            <w:r w:rsidRPr="001D5327">
              <w:rPr>
                <w:rFonts w:eastAsia="Calibri"/>
                <w:color w:val="000000"/>
              </w:rPr>
              <w:t>12</w:t>
            </w:r>
          </w:p>
        </w:tc>
        <w:tc>
          <w:tcPr>
            <w:tcW w:w="1531" w:type="dxa"/>
            <w:shd w:val="clear" w:color="auto" w:fill="FFFFFF"/>
            <w:tcMar>
              <w:top w:w="0" w:type="dxa"/>
              <w:left w:w="85" w:type="dxa"/>
              <w:bottom w:w="0" w:type="dxa"/>
              <w:right w:w="85" w:type="dxa"/>
            </w:tcMar>
          </w:tcPr>
          <w:p w14:paraId="7300E520" w14:textId="77777777" w:rsidR="0057070D" w:rsidRPr="001D5327" w:rsidRDefault="0057070D" w:rsidP="00D11AC9">
            <w:pPr>
              <w:pStyle w:val="TableText"/>
              <w:spacing w:before="40" w:after="40"/>
            </w:pPr>
            <w:r w:rsidRPr="001D5327">
              <w:rPr>
                <w:rFonts w:eastAsia="Calibri"/>
                <w:color w:val="000000"/>
              </w:rPr>
              <w:t>DoH</w:t>
            </w:r>
          </w:p>
        </w:tc>
        <w:tc>
          <w:tcPr>
            <w:tcW w:w="3175" w:type="dxa"/>
            <w:shd w:val="clear" w:color="auto" w:fill="FFFFFF"/>
            <w:tcMar>
              <w:top w:w="0" w:type="dxa"/>
              <w:left w:w="85" w:type="dxa"/>
              <w:bottom w:w="0" w:type="dxa"/>
              <w:right w:w="85" w:type="dxa"/>
            </w:tcMar>
          </w:tcPr>
          <w:p w14:paraId="0462E6A7" w14:textId="77777777" w:rsidR="0057070D" w:rsidRPr="001D5327" w:rsidRDefault="0057070D" w:rsidP="00D11AC9">
            <w:pPr>
              <w:pStyle w:val="TableText"/>
              <w:spacing w:before="40" w:after="40"/>
            </w:pPr>
            <w:r w:rsidRPr="001D5327">
              <w:rPr>
                <w:rFonts w:eastAsia="Calibri"/>
                <w:color w:val="000000"/>
              </w:rPr>
              <w:t>Tokelau Department of Health</w:t>
            </w:r>
          </w:p>
        </w:tc>
        <w:tc>
          <w:tcPr>
            <w:tcW w:w="3289" w:type="dxa"/>
            <w:shd w:val="clear" w:color="auto" w:fill="FFFFFF"/>
            <w:tcMar>
              <w:top w:w="0" w:type="dxa"/>
              <w:left w:w="85" w:type="dxa"/>
              <w:bottom w:w="0" w:type="dxa"/>
              <w:right w:w="85" w:type="dxa"/>
            </w:tcMar>
          </w:tcPr>
          <w:p w14:paraId="6137490B" w14:textId="77777777" w:rsidR="0057070D" w:rsidRPr="001D5327" w:rsidRDefault="0057070D" w:rsidP="00D11AC9">
            <w:pPr>
              <w:pStyle w:val="TableText"/>
              <w:spacing w:before="40" w:after="40"/>
            </w:pPr>
            <w:r w:rsidRPr="001D5327">
              <w:rPr>
                <w:rFonts w:eastAsia="Calibri"/>
                <w:color w:val="000000"/>
              </w:rPr>
              <w:t>Anecdotal information on inhalers, laser gas, fire extinguishers.</w:t>
            </w:r>
          </w:p>
        </w:tc>
      </w:tr>
      <w:tr w:rsidR="0057070D" w:rsidRPr="001D5327" w14:paraId="510925B6" w14:textId="77777777" w:rsidTr="00252427">
        <w:trPr>
          <w:trHeight w:val="283"/>
        </w:trPr>
        <w:tc>
          <w:tcPr>
            <w:tcW w:w="563" w:type="dxa"/>
            <w:shd w:val="clear" w:color="auto" w:fill="FFFFFF"/>
            <w:tcMar>
              <w:top w:w="0" w:type="dxa"/>
              <w:left w:w="85" w:type="dxa"/>
              <w:bottom w:w="0" w:type="dxa"/>
              <w:right w:w="85" w:type="dxa"/>
            </w:tcMar>
          </w:tcPr>
          <w:p w14:paraId="3267799D" w14:textId="77777777" w:rsidR="0057070D" w:rsidRPr="001D5327" w:rsidRDefault="0057070D" w:rsidP="00D11AC9">
            <w:pPr>
              <w:pStyle w:val="TableText"/>
              <w:spacing w:before="40" w:after="40"/>
            </w:pPr>
            <w:r w:rsidRPr="001D5327">
              <w:rPr>
                <w:rFonts w:eastAsia="Calibri"/>
                <w:color w:val="000000"/>
              </w:rPr>
              <w:t>13</w:t>
            </w:r>
          </w:p>
        </w:tc>
        <w:tc>
          <w:tcPr>
            <w:tcW w:w="1531" w:type="dxa"/>
            <w:shd w:val="clear" w:color="auto" w:fill="FFFFFF"/>
            <w:tcMar>
              <w:top w:w="0" w:type="dxa"/>
              <w:left w:w="85" w:type="dxa"/>
              <w:bottom w:w="0" w:type="dxa"/>
              <w:right w:w="85" w:type="dxa"/>
            </w:tcMar>
          </w:tcPr>
          <w:p w14:paraId="46B14EC2" w14:textId="77777777" w:rsidR="0057070D" w:rsidRPr="001D5327" w:rsidRDefault="0057070D" w:rsidP="00D11AC9">
            <w:pPr>
              <w:pStyle w:val="TableText"/>
              <w:spacing w:before="40" w:after="40"/>
            </w:pPr>
            <w:r w:rsidRPr="001D5327">
              <w:rPr>
                <w:rFonts w:eastAsia="Calibri"/>
                <w:color w:val="000000"/>
              </w:rPr>
              <w:t>TSS</w:t>
            </w:r>
          </w:p>
        </w:tc>
        <w:tc>
          <w:tcPr>
            <w:tcW w:w="3175" w:type="dxa"/>
            <w:shd w:val="clear" w:color="auto" w:fill="FFFFFF"/>
            <w:tcMar>
              <w:top w:w="0" w:type="dxa"/>
              <w:left w:w="85" w:type="dxa"/>
              <w:bottom w:w="0" w:type="dxa"/>
              <w:right w:w="85" w:type="dxa"/>
            </w:tcMar>
          </w:tcPr>
          <w:p w14:paraId="1B273056" w14:textId="77777777" w:rsidR="0057070D" w:rsidRPr="001D5327" w:rsidRDefault="0057070D" w:rsidP="00D11AC9">
            <w:pPr>
              <w:pStyle w:val="TableText"/>
              <w:spacing w:before="40" w:after="40"/>
            </w:pPr>
            <w:r w:rsidRPr="001D5327">
              <w:rPr>
                <w:rFonts w:eastAsia="Calibri"/>
                <w:color w:val="000000"/>
              </w:rPr>
              <w:t>Tokelau Department of Transport and Support Services, Apia</w:t>
            </w:r>
          </w:p>
        </w:tc>
        <w:tc>
          <w:tcPr>
            <w:tcW w:w="3289" w:type="dxa"/>
            <w:shd w:val="clear" w:color="auto" w:fill="FFFFFF"/>
            <w:tcMar>
              <w:top w:w="0" w:type="dxa"/>
              <w:left w:w="85" w:type="dxa"/>
              <w:bottom w:w="0" w:type="dxa"/>
              <w:right w:w="85" w:type="dxa"/>
            </w:tcMar>
          </w:tcPr>
          <w:p w14:paraId="49760E23" w14:textId="77777777" w:rsidR="0057070D" w:rsidRPr="001D5327" w:rsidRDefault="0057070D" w:rsidP="00D11AC9">
            <w:pPr>
              <w:pStyle w:val="TableText"/>
              <w:spacing w:before="40" w:after="40"/>
            </w:pPr>
            <w:r w:rsidRPr="001D5327">
              <w:rPr>
                <w:rFonts w:eastAsia="Calibri"/>
                <w:color w:val="000000"/>
              </w:rPr>
              <w:t>Cargo shipping manifests for analysis of imports of all goods, and export of recyclables.</w:t>
            </w:r>
          </w:p>
        </w:tc>
      </w:tr>
      <w:tr w:rsidR="0057070D" w:rsidRPr="001D5327" w14:paraId="74733F3E" w14:textId="77777777" w:rsidTr="00252427">
        <w:trPr>
          <w:trHeight w:val="283"/>
        </w:trPr>
        <w:tc>
          <w:tcPr>
            <w:tcW w:w="563" w:type="dxa"/>
            <w:shd w:val="clear" w:color="auto" w:fill="FFFFFF"/>
            <w:tcMar>
              <w:top w:w="0" w:type="dxa"/>
              <w:left w:w="85" w:type="dxa"/>
              <w:bottom w:w="0" w:type="dxa"/>
              <w:right w:w="85" w:type="dxa"/>
            </w:tcMar>
          </w:tcPr>
          <w:p w14:paraId="66F89E84" w14:textId="77777777" w:rsidR="0057070D" w:rsidRPr="001D5327" w:rsidRDefault="0057070D" w:rsidP="00D11AC9">
            <w:pPr>
              <w:pStyle w:val="TableText"/>
              <w:spacing w:before="40" w:after="40"/>
            </w:pPr>
            <w:r w:rsidRPr="001D5327">
              <w:rPr>
                <w:rFonts w:eastAsia="Calibri"/>
                <w:color w:val="000000"/>
              </w:rPr>
              <w:t>14</w:t>
            </w:r>
          </w:p>
        </w:tc>
        <w:tc>
          <w:tcPr>
            <w:tcW w:w="1531" w:type="dxa"/>
            <w:shd w:val="clear" w:color="auto" w:fill="FFFFFF"/>
            <w:tcMar>
              <w:top w:w="0" w:type="dxa"/>
              <w:left w:w="85" w:type="dxa"/>
              <w:bottom w:w="0" w:type="dxa"/>
              <w:right w:w="85" w:type="dxa"/>
            </w:tcMar>
          </w:tcPr>
          <w:p w14:paraId="6AE62144" w14:textId="77777777" w:rsidR="0057070D" w:rsidRPr="001D5327" w:rsidRDefault="0057070D" w:rsidP="00D11AC9">
            <w:pPr>
              <w:pStyle w:val="TableText"/>
              <w:spacing w:before="40" w:after="40"/>
            </w:pPr>
            <w:r w:rsidRPr="001D5327">
              <w:rPr>
                <w:rFonts w:eastAsia="Calibri"/>
                <w:color w:val="000000"/>
              </w:rPr>
              <w:t>2014 Imports study</w:t>
            </w:r>
          </w:p>
        </w:tc>
        <w:tc>
          <w:tcPr>
            <w:tcW w:w="3175" w:type="dxa"/>
            <w:shd w:val="clear" w:color="auto" w:fill="FFFFFF"/>
            <w:tcMar>
              <w:top w:w="0" w:type="dxa"/>
              <w:left w:w="85" w:type="dxa"/>
              <w:bottom w:w="0" w:type="dxa"/>
              <w:right w:w="85" w:type="dxa"/>
            </w:tcMar>
          </w:tcPr>
          <w:p w14:paraId="19971C73" w14:textId="77777777" w:rsidR="0057070D" w:rsidRPr="001D5327" w:rsidRDefault="0057070D" w:rsidP="00D11AC9">
            <w:pPr>
              <w:pStyle w:val="TableText"/>
              <w:spacing w:before="40" w:after="40"/>
            </w:pPr>
            <w:r w:rsidRPr="001D5327">
              <w:rPr>
                <w:rFonts w:eastAsia="Calibri"/>
                <w:color w:val="000000"/>
              </w:rPr>
              <w:t xml:space="preserve">Jasperse JA. 2016. </w:t>
            </w:r>
            <w:r w:rsidRPr="001D5327">
              <w:rPr>
                <w:rFonts w:eastAsia="Calibri"/>
                <w:i/>
                <w:iCs/>
                <w:color w:val="000000"/>
              </w:rPr>
              <w:t>Analysis of 2014 imports into Tokelau from Samoa, Part 2: Stores’ invoices reconciled with cargo manifests, and quality of life implications</w:t>
            </w:r>
            <w:r w:rsidRPr="001D5327">
              <w:rPr>
                <w:rFonts w:eastAsia="Calibri"/>
                <w:color w:val="000000"/>
              </w:rPr>
              <w:t>, Tokelau National Statistics Office</w:t>
            </w:r>
          </w:p>
        </w:tc>
        <w:tc>
          <w:tcPr>
            <w:tcW w:w="3289" w:type="dxa"/>
            <w:shd w:val="clear" w:color="auto" w:fill="FFFFFF"/>
            <w:tcMar>
              <w:top w:w="0" w:type="dxa"/>
              <w:left w:w="85" w:type="dxa"/>
              <w:bottom w:w="0" w:type="dxa"/>
              <w:right w:w="85" w:type="dxa"/>
            </w:tcMar>
          </w:tcPr>
          <w:p w14:paraId="552B2D3C" w14:textId="77777777" w:rsidR="0057070D" w:rsidRPr="001D5327" w:rsidRDefault="0057070D" w:rsidP="00D11AC9">
            <w:pPr>
              <w:pStyle w:val="TableText"/>
              <w:spacing w:before="40" w:after="40"/>
            </w:pPr>
            <w:r w:rsidRPr="001D5327">
              <w:rPr>
                <w:rFonts w:eastAsia="Calibri"/>
                <w:color w:val="000000"/>
              </w:rPr>
              <w:t xml:space="preserve">Various Energy and Waste sector data, for example, calculation of per capita protein consumption </w:t>
            </w:r>
            <w:r w:rsidRPr="001D5327">
              <w:rPr>
                <w:rFonts w:eastAsia="Calibri"/>
                <w:color w:val="000000"/>
              </w:rPr>
              <w:br/>
            </w:r>
            <w:hyperlink r:id="rId237" w:history="1">
              <w:r w:rsidRPr="001D5327">
                <w:rPr>
                  <w:rStyle w:val="Hyperlink"/>
                  <w:rFonts w:eastAsia="Calibri" w:cs="Calibri"/>
                  <w:szCs w:val="16"/>
                </w:rPr>
                <w:t>www.tokelau.org.nz/Bulletin/September+2016/2014+imports+final.html</w:t>
              </w:r>
            </w:hyperlink>
          </w:p>
        </w:tc>
      </w:tr>
      <w:tr w:rsidR="0057070D" w:rsidRPr="001D5327" w14:paraId="5EB2F6DD" w14:textId="77777777" w:rsidTr="00252427">
        <w:trPr>
          <w:trHeight w:val="283"/>
        </w:trPr>
        <w:tc>
          <w:tcPr>
            <w:tcW w:w="563" w:type="dxa"/>
            <w:shd w:val="clear" w:color="auto" w:fill="FFFFFF"/>
            <w:tcMar>
              <w:top w:w="0" w:type="dxa"/>
              <w:left w:w="85" w:type="dxa"/>
              <w:bottom w:w="0" w:type="dxa"/>
              <w:right w:w="85" w:type="dxa"/>
            </w:tcMar>
          </w:tcPr>
          <w:p w14:paraId="044E35AC" w14:textId="77777777" w:rsidR="0057070D" w:rsidRPr="001D5327" w:rsidRDefault="0057070D" w:rsidP="00D11AC9">
            <w:pPr>
              <w:pStyle w:val="TableText"/>
              <w:spacing w:before="40" w:after="40"/>
            </w:pPr>
            <w:r w:rsidRPr="001D5327">
              <w:rPr>
                <w:rFonts w:eastAsia="Calibri"/>
                <w:color w:val="000000"/>
              </w:rPr>
              <w:t>15</w:t>
            </w:r>
          </w:p>
        </w:tc>
        <w:tc>
          <w:tcPr>
            <w:tcW w:w="1531" w:type="dxa"/>
            <w:shd w:val="clear" w:color="auto" w:fill="FFFFFF"/>
            <w:tcMar>
              <w:top w:w="0" w:type="dxa"/>
              <w:left w:w="85" w:type="dxa"/>
              <w:bottom w:w="0" w:type="dxa"/>
              <w:right w:w="85" w:type="dxa"/>
            </w:tcMar>
          </w:tcPr>
          <w:p w14:paraId="476DBC9C" w14:textId="77777777" w:rsidR="0057070D" w:rsidRPr="001D5327" w:rsidRDefault="0057070D" w:rsidP="00D11AC9">
            <w:pPr>
              <w:pStyle w:val="TableText"/>
              <w:spacing w:before="40" w:after="40"/>
            </w:pPr>
            <w:r w:rsidRPr="001D5327">
              <w:rPr>
                <w:rFonts w:eastAsia="Calibri"/>
                <w:color w:val="000000"/>
              </w:rPr>
              <w:t>EDNRE</w:t>
            </w:r>
          </w:p>
        </w:tc>
        <w:tc>
          <w:tcPr>
            <w:tcW w:w="3175" w:type="dxa"/>
            <w:shd w:val="clear" w:color="auto" w:fill="FFFFFF"/>
            <w:tcMar>
              <w:top w:w="0" w:type="dxa"/>
              <w:left w:w="85" w:type="dxa"/>
              <w:bottom w:w="0" w:type="dxa"/>
              <w:right w:w="85" w:type="dxa"/>
            </w:tcMar>
          </w:tcPr>
          <w:p w14:paraId="57E97E31" w14:textId="77777777" w:rsidR="0057070D" w:rsidRPr="001D5327" w:rsidRDefault="0057070D" w:rsidP="00D11AC9">
            <w:pPr>
              <w:pStyle w:val="TableText"/>
              <w:spacing w:before="40" w:after="40"/>
            </w:pPr>
            <w:r w:rsidRPr="001D5327">
              <w:rPr>
                <w:rFonts w:eastAsia="Calibri"/>
                <w:color w:val="000000"/>
              </w:rPr>
              <w:t>Tokelau Department of Economic Development, Natural Resources and Environment</w:t>
            </w:r>
          </w:p>
        </w:tc>
        <w:tc>
          <w:tcPr>
            <w:tcW w:w="3289" w:type="dxa"/>
            <w:shd w:val="clear" w:color="auto" w:fill="FFFFFF"/>
            <w:tcMar>
              <w:top w:w="0" w:type="dxa"/>
              <w:left w:w="85" w:type="dxa"/>
              <w:bottom w:w="0" w:type="dxa"/>
              <w:right w:w="85" w:type="dxa"/>
            </w:tcMar>
          </w:tcPr>
          <w:p w14:paraId="339B0F9E" w14:textId="77777777" w:rsidR="0057070D" w:rsidRPr="001D5327" w:rsidRDefault="0057070D" w:rsidP="00D11AC9">
            <w:pPr>
              <w:pStyle w:val="TableText"/>
              <w:spacing w:before="40" w:after="40"/>
            </w:pPr>
            <w:r w:rsidRPr="001D5327">
              <w:rPr>
                <w:rFonts w:eastAsia="Calibri"/>
                <w:color w:val="000000"/>
              </w:rPr>
              <w:t>Anecdotal information on waste disposal and export.</w:t>
            </w:r>
          </w:p>
        </w:tc>
      </w:tr>
      <w:tr w:rsidR="0057070D" w:rsidRPr="001D5327" w14:paraId="514EA8B0" w14:textId="77777777" w:rsidTr="00252427">
        <w:trPr>
          <w:trHeight w:val="283"/>
        </w:trPr>
        <w:tc>
          <w:tcPr>
            <w:tcW w:w="563" w:type="dxa"/>
            <w:shd w:val="clear" w:color="auto" w:fill="FFFFFF"/>
            <w:tcMar>
              <w:top w:w="0" w:type="dxa"/>
              <w:left w:w="85" w:type="dxa"/>
              <w:bottom w:w="0" w:type="dxa"/>
              <w:right w:w="85" w:type="dxa"/>
            </w:tcMar>
          </w:tcPr>
          <w:p w14:paraId="12B56DA8" w14:textId="77777777" w:rsidR="0057070D" w:rsidRPr="001D5327" w:rsidRDefault="0057070D" w:rsidP="00D11AC9">
            <w:pPr>
              <w:pStyle w:val="TableText"/>
              <w:spacing w:before="40" w:after="40"/>
            </w:pPr>
            <w:r w:rsidRPr="001D5327">
              <w:rPr>
                <w:rFonts w:eastAsia="Calibri"/>
                <w:color w:val="000000"/>
              </w:rPr>
              <w:t>16</w:t>
            </w:r>
          </w:p>
        </w:tc>
        <w:tc>
          <w:tcPr>
            <w:tcW w:w="1531" w:type="dxa"/>
            <w:shd w:val="clear" w:color="auto" w:fill="FFFFFF"/>
            <w:tcMar>
              <w:top w:w="0" w:type="dxa"/>
              <w:left w:w="85" w:type="dxa"/>
              <w:bottom w:w="0" w:type="dxa"/>
              <w:right w:w="85" w:type="dxa"/>
            </w:tcMar>
          </w:tcPr>
          <w:p w14:paraId="553C72B0" w14:textId="77777777" w:rsidR="0057070D" w:rsidRPr="001D5327" w:rsidRDefault="0057070D" w:rsidP="00D11AC9">
            <w:pPr>
              <w:pStyle w:val="TableText"/>
              <w:spacing w:before="40" w:after="40"/>
            </w:pPr>
            <w:r w:rsidRPr="001D5327">
              <w:rPr>
                <w:rFonts w:eastAsia="Calibri"/>
                <w:color w:val="000000"/>
              </w:rPr>
              <w:t>PCRAFI</w:t>
            </w:r>
          </w:p>
        </w:tc>
        <w:tc>
          <w:tcPr>
            <w:tcW w:w="3175" w:type="dxa"/>
            <w:shd w:val="clear" w:color="auto" w:fill="FFFFFF"/>
            <w:tcMar>
              <w:top w:w="0" w:type="dxa"/>
              <w:left w:w="85" w:type="dxa"/>
              <w:bottom w:w="0" w:type="dxa"/>
              <w:right w:w="85" w:type="dxa"/>
            </w:tcMar>
          </w:tcPr>
          <w:p w14:paraId="0B08ADAC" w14:textId="77777777" w:rsidR="0057070D" w:rsidRPr="001D5327" w:rsidRDefault="0057070D" w:rsidP="00D11AC9">
            <w:pPr>
              <w:pStyle w:val="TableText"/>
              <w:spacing w:before="40" w:after="40"/>
            </w:pPr>
            <w:r w:rsidRPr="001D5327">
              <w:rPr>
                <w:rFonts w:eastAsia="Calibri"/>
                <w:color w:val="000000"/>
              </w:rPr>
              <w:t xml:space="preserve">Koroisamanunu, Iva; Joy Papao; Mereoni Ketewai; and Arieta Sokota: </w:t>
            </w:r>
            <w:r w:rsidRPr="001D5327">
              <w:rPr>
                <w:rFonts w:eastAsia="Calibri"/>
                <w:i/>
                <w:iCs/>
                <w:color w:val="000000"/>
              </w:rPr>
              <w:t>Mission Preliminary Report (Fieldwork undertaken from 8 August – 2 September 2013)</w:t>
            </w:r>
            <w:r w:rsidRPr="001D5327">
              <w:rPr>
                <w:rFonts w:eastAsia="Calibri"/>
                <w:color w:val="000000"/>
              </w:rPr>
              <w:t xml:space="preserve">. </w:t>
            </w:r>
            <w:r w:rsidRPr="001D5327">
              <w:rPr>
                <w:rFonts w:eastAsia="Calibri"/>
                <w:i/>
                <w:iCs/>
                <w:color w:val="000000"/>
              </w:rPr>
              <w:t>SOPAC technical note (PR193)</w:t>
            </w:r>
            <w:r w:rsidRPr="001D5327">
              <w:rPr>
                <w:rFonts w:eastAsia="Calibri"/>
                <w:color w:val="000000"/>
              </w:rPr>
              <w:t>, May 2014. Water and Sanitation Programme and Disaster Reduction Programme. Applied Geoscience and Technology Division (SOPAC), Suva, Fiji Islands</w:t>
            </w:r>
          </w:p>
        </w:tc>
        <w:tc>
          <w:tcPr>
            <w:tcW w:w="3289" w:type="dxa"/>
            <w:shd w:val="clear" w:color="auto" w:fill="FFFFFF"/>
            <w:tcMar>
              <w:top w:w="0" w:type="dxa"/>
              <w:left w:w="85" w:type="dxa"/>
              <w:bottom w:w="0" w:type="dxa"/>
              <w:right w:w="85" w:type="dxa"/>
            </w:tcMar>
          </w:tcPr>
          <w:p w14:paraId="66FB49E4" w14:textId="77777777" w:rsidR="0057070D" w:rsidRPr="001D5327" w:rsidRDefault="0057070D" w:rsidP="00D11AC9">
            <w:pPr>
              <w:pStyle w:val="TableText"/>
              <w:spacing w:before="40" w:after="40"/>
            </w:pPr>
            <w:r w:rsidRPr="001D5327">
              <w:rPr>
                <w:rFonts w:eastAsia="Calibri"/>
                <w:color w:val="000000"/>
              </w:rPr>
              <w:t>Information on drinking water, wastewater and sanitation.</w:t>
            </w:r>
          </w:p>
        </w:tc>
      </w:tr>
      <w:tr w:rsidR="0057070D" w:rsidRPr="001D5327" w14:paraId="62C52F94" w14:textId="77777777" w:rsidTr="00252427">
        <w:trPr>
          <w:trHeight w:val="283"/>
        </w:trPr>
        <w:tc>
          <w:tcPr>
            <w:tcW w:w="563" w:type="dxa"/>
            <w:shd w:val="clear" w:color="auto" w:fill="FFFFFF"/>
            <w:tcMar>
              <w:top w:w="0" w:type="dxa"/>
              <w:left w:w="85" w:type="dxa"/>
              <w:bottom w:w="0" w:type="dxa"/>
              <w:right w:w="85" w:type="dxa"/>
            </w:tcMar>
          </w:tcPr>
          <w:p w14:paraId="51AA4140" w14:textId="77777777" w:rsidR="0057070D" w:rsidRPr="001D5327" w:rsidRDefault="0057070D" w:rsidP="00D11AC9">
            <w:pPr>
              <w:pStyle w:val="TableText"/>
              <w:spacing w:before="40" w:after="40"/>
            </w:pPr>
            <w:r w:rsidRPr="001D5327">
              <w:rPr>
                <w:rFonts w:eastAsia="Calibri"/>
                <w:color w:val="000000"/>
              </w:rPr>
              <w:t>17</w:t>
            </w:r>
          </w:p>
        </w:tc>
        <w:tc>
          <w:tcPr>
            <w:tcW w:w="1531" w:type="dxa"/>
            <w:shd w:val="clear" w:color="auto" w:fill="FFFFFF"/>
            <w:tcMar>
              <w:top w:w="0" w:type="dxa"/>
              <w:left w:w="85" w:type="dxa"/>
              <w:bottom w:w="0" w:type="dxa"/>
              <w:right w:w="85" w:type="dxa"/>
            </w:tcMar>
          </w:tcPr>
          <w:p w14:paraId="0B9621E0" w14:textId="77777777" w:rsidR="0057070D" w:rsidRPr="001D5327" w:rsidRDefault="0057070D" w:rsidP="00D11AC9">
            <w:pPr>
              <w:pStyle w:val="TableText"/>
              <w:spacing w:before="40" w:after="40"/>
            </w:pPr>
            <w:r w:rsidRPr="001D5327">
              <w:rPr>
                <w:rFonts w:eastAsia="Calibri"/>
                <w:color w:val="000000"/>
              </w:rPr>
              <w:t>MiCORE</w:t>
            </w:r>
          </w:p>
        </w:tc>
        <w:tc>
          <w:tcPr>
            <w:tcW w:w="3175" w:type="dxa"/>
            <w:shd w:val="clear" w:color="auto" w:fill="FFFFFF"/>
            <w:tcMar>
              <w:top w:w="0" w:type="dxa"/>
              <w:left w:w="85" w:type="dxa"/>
              <w:bottom w:w="0" w:type="dxa"/>
              <w:right w:w="85" w:type="dxa"/>
            </w:tcMar>
          </w:tcPr>
          <w:p w14:paraId="199E37E3" w14:textId="77777777" w:rsidR="0057070D" w:rsidRPr="001D5327" w:rsidRDefault="0057070D" w:rsidP="00D11AC9">
            <w:pPr>
              <w:pStyle w:val="TableText"/>
              <w:spacing w:before="40" w:after="40"/>
            </w:pPr>
            <w:r w:rsidRPr="001D5327">
              <w:rPr>
                <w:rFonts w:eastAsia="Calibri"/>
                <w:color w:val="000000"/>
              </w:rPr>
              <w:t>Tokelau Ministry of Climate, Oceans and Resilience</w:t>
            </w:r>
          </w:p>
        </w:tc>
        <w:tc>
          <w:tcPr>
            <w:tcW w:w="3289" w:type="dxa"/>
            <w:shd w:val="clear" w:color="auto" w:fill="FFFFFF"/>
            <w:tcMar>
              <w:top w:w="0" w:type="dxa"/>
              <w:left w:w="85" w:type="dxa"/>
              <w:bottom w:w="0" w:type="dxa"/>
              <w:right w:w="85" w:type="dxa"/>
            </w:tcMar>
          </w:tcPr>
          <w:p w14:paraId="65D2CB11" w14:textId="77777777" w:rsidR="0057070D" w:rsidRPr="001D5327" w:rsidRDefault="0057070D" w:rsidP="00D11AC9">
            <w:pPr>
              <w:pStyle w:val="TableText"/>
              <w:spacing w:before="40" w:after="40"/>
            </w:pPr>
            <w:r w:rsidRPr="001D5327">
              <w:rPr>
                <w:rFonts w:eastAsia="Calibri"/>
                <w:color w:val="000000"/>
              </w:rPr>
              <w:t>Partner to Memorandum of Understanding with New Zealand Ministry for the Environment leading to the present inventory.</w:t>
            </w:r>
          </w:p>
        </w:tc>
      </w:tr>
    </w:tbl>
    <w:p w14:paraId="41BF29E4" w14:textId="77777777" w:rsidR="0057070D" w:rsidRPr="001D5327" w:rsidRDefault="0057070D" w:rsidP="0057070D">
      <w:pPr>
        <w:pStyle w:val="Heading5"/>
        <w:spacing w:before="360"/>
      </w:pPr>
      <w:bookmarkStart w:id="2932" w:name="Xcc02e3b70565634eaff70f028a415dd9a5523ae"/>
      <w:bookmarkEnd w:id="2930"/>
      <w:r w:rsidRPr="001D5327">
        <w:t>Tokelau’s data and information in the common reporting tables</w:t>
      </w:r>
    </w:p>
    <w:p w14:paraId="5DB6E399" w14:textId="77777777" w:rsidR="0057070D" w:rsidRPr="001D5327" w:rsidRDefault="0057070D" w:rsidP="0057070D">
      <w:pPr>
        <w:pStyle w:val="BodyText"/>
      </w:pPr>
      <w:r w:rsidRPr="001D5327">
        <w:t>The methodologies for estimating emissions in Tokelau and New Zealand differ, so adding Tokelau and New Zealand’s activity data at a category level and estimating combined emissions within each category is currently not possible. Due to limitations of the CRT, including specific categories for Tokelau consistently across all inventory sectors is also not possible.</w:t>
      </w:r>
    </w:p>
    <w:p w14:paraId="4C464145" w14:textId="77777777" w:rsidR="0057070D" w:rsidRPr="001D5327" w:rsidRDefault="0057070D" w:rsidP="0057070D">
      <w:pPr>
        <w:pStyle w:val="BodyText"/>
      </w:pPr>
      <w:r w:rsidRPr="001D5327">
        <w:t xml:space="preserve">Tokelau requested New Zealand’s inventory team to maintain visibility of the data from Tokelau in the CRT, so that Tokelau officials could use them for other reporting and policy purposes. Reporting Tokelau as a different inventory sector provides this visibility. Therefore, </w:t>
      </w:r>
      <w:r w:rsidRPr="001D5327">
        <w:lastRenderedPageBreak/>
        <w:t>CRT sector 6 (Other) is used to present emissions from Tokelau by sector in the CRT. Currently, the CRT environment does not allow the creation of lower-level categories in sector 6. To avoid double counting in the CRT, the data and information are aggregated for each of the Energy, IPPU, Agriculture and Waste sectors. In addition, annex 7 includes detailed tables with time series from 1990 to 2023 for each category reported for Tokelau. For comparability reasons, these tables are presented in a similar format to the CRT entry tables, and the table names follow the CRT naming convention for emission categories. The executive summary and chapter 2 of this National Inventory Report include comparisons between Tokelau and New Zealand’s emissions.</w:t>
      </w:r>
    </w:p>
    <w:p w14:paraId="3E42C1FE" w14:textId="77777777" w:rsidR="0057070D" w:rsidRPr="001D5327" w:rsidRDefault="0057070D" w:rsidP="0057070D">
      <w:pPr>
        <w:pStyle w:val="Heading3"/>
      </w:pPr>
      <w:bookmarkStart w:id="2933" w:name="emissions-reporting"/>
      <w:bookmarkEnd w:id="2927"/>
      <w:bookmarkEnd w:id="2932"/>
      <w:r w:rsidRPr="001D5327">
        <w:t>8.1.3</w:t>
      </w:r>
      <w:r w:rsidRPr="001D5327">
        <w:tab/>
        <w:t>Emissions reporting</w:t>
      </w:r>
    </w:p>
    <w:p w14:paraId="22190385" w14:textId="77777777" w:rsidR="0057070D" w:rsidRPr="001D5327" w:rsidRDefault="0057070D" w:rsidP="0057070D">
      <w:pPr>
        <w:pStyle w:val="BodyText"/>
      </w:pPr>
      <w:r w:rsidRPr="001D5327">
        <w:t>Due to the small land size area, small population and absence of industry, Tokelau has a very low impact on the environment and emits very small amounts of GHGs. In relative terms, emissions have increased overall since 1990, due to increasing per capita consumption despite a decrease in population. Tokelau produces mainly carbon dioxide (CO</w:t>
      </w:r>
      <w:r w:rsidRPr="001D5327">
        <w:rPr>
          <w:vertAlign w:val="subscript"/>
        </w:rPr>
        <w:t>2</w:t>
      </w:r>
      <w:r w:rsidRPr="001D5327">
        <w:t>) emissions (54.5 per cent) and methane (CH</w:t>
      </w:r>
      <w:r w:rsidRPr="001D5327">
        <w:rPr>
          <w:vertAlign w:val="subscript"/>
        </w:rPr>
        <w:t>4</w:t>
      </w:r>
      <w:r w:rsidRPr="001D5327">
        <w:t>) emissions (39.4 per cent) followed by hydrofluorocarbons (HFCs) (5.0 per cent) and nitrous oxide (N</w:t>
      </w:r>
      <w:r w:rsidRPr="001D5327">
        <w:rPr>
          <w:vertAlign w:val="subscript"/>
        </w:rPr>
        <w:t>2</w:t>
      </w:r>
      <w:r w:rsidRPr="001D5327">
        <w:t>O) emissions (1.1 per cent). Emissions from HFCs largely come from the use of air conditioning.</w:t>
      </w:r>
    </w:p>
    <w:p w14:paraId="34A8BB6A" w14:textId="77777777" w:rsidR="0057070D" w:rsidRPr="001D5327" w:rsidRDefault="0057070D" w:rsidP="0057070D">
      <w:pPr>
        <w:pStyle w:val="BodyText"/>
      </w:pPr>
      <w:r w:rsidRPr="001D5327">
        <w:t>The total amount of all GHGs from all sources in Tokelau in 2023 was 4.20 kilotonnes carbon dioxide equivalent (kt CO</w:t>
      </w:r>
      <w:r w:rsidRPr="001D5327">
        <w:rPr>
          <w:vertAlign w:val="subscript"/>
        </w:rPr>
        <w:t>2</w:t>
      </w:r>
      <w:r w:rsidRPr="001D5327">
        <w:t>-e), contributing around 0.006 per cent to New Zealand’s gross emissions. This is below the significance threshold in accordance with paragraph 32, chapter II of the Annex to the decision 18/CMA.1 (UNFCCC, 2018b).</w:t>
      </w:r>
    </w:p>
    <w:p w14:paraId="482AB0E4" w14:textId="77777777" w:rsidR="0057070D" w:rsidRPr="001D5327" w:rsidRDefault="0057070D" w:rsidP="0057070D">
      <w:pPr>
        <w:pStyle w:val="BodyText"/>
      </w:pPr>
      <w:r w:rsidRPr="001D5327">
        <w:t>Emissions from Tokelau have increased since 1990, mainly due to increases in CO</w:t>
      </w:r>
      <w:r w:rsidRPr="001D5327">
        <w:rPr>
          <w:vertAlign w:val="subscript"/>
        </w:rPr>
        <w:t>2</w:t>
      </w:r>
      <w:r w:rsidRPr="001D5327">
        <w:t xml:space="preserve"> emissions from the </w:t>
      </w:r>
      <w:r w:rsidRPr="001D5327">
        <w:rPr>
          <w:i/>
          <w:iCs/>
        </w:rPr>
        <w:t>Electricity generation</w:t>
      </w:r>
      <w:r w:rsidRPr="001D5327">
        <w:t xml:space="preserve"> category (see figure 8.1.4 and figure 8.3.2).</w:t>
      </w:r>
    </w:p>
    <w:p w14:paraId="28D0FD6F" w14:textId="77777777" w:rsidR="0057070D" w:rsidRPr="001D5327" w:rsidRDefault="0057070D" w:rsidP="0057070D">
      <w:pPr>
        <w:pStyle w:val="BodyText"/>
      </w:pPr>
      <w:r w:rsidRPr="001D5327">
        <w:t>The emissions in Tokelau are limited to:</w:t>
      </w:r>
    </w:p>
    <w:p w14:paraId="749766A9" w14:textId="77777777" w:rsidR="0057070D" w:rsidRPr="001D5327" w:rsidRDefault="0057070D" w:rsidP="0057070D">
      <w:pPr>
        <w:pStyle w:val="Bullet"/>
      </w:pPr>
      <w:r w:rsidRPr="001D5327">
        <w:t>CO</w:t>
      </w:r>
      <w:r w:rsidRPr="001D5327">
        <w:rPr>
          <w:vertAlign w:val="subscript"/>
        </w:rPr>
        <w:t>2</w:t>
      </w:r>
      <w:r w:rsidRPr="001D5327">
        <w:t xml:space="preserve"> from boat engines and vehicles</w:t>
      </w:r>
    </w:p>
    <w:p w14:paraId="6F4A4B57" w14:textId="77777777" w:rsidR="0057070D" w:rsidRPr="001D5327" w:rsidRDefault="0057070D" w:rsidP="0057070D">
      <w:pPr>
        <w:pStyle w:val="Bullet"/>
      </w:pPr>
      <w:r w:rsidRPr="001D5327">
        <w:t>CO</w:t>
      </w:r>
      <w:r w:rsidRPr="001D5327">
        <w:rPr>
          <w:vertAlign w:val="subscript"/>
        </w:rPr>
        <w:t>2</w:t>
      </w:r>
      <w:r w:rsidRPr="001D5327">
        <w:t xml:space="preserve"> from back-up power generators</w:t>
      </w:r>
    </w:p>
    <w:p w14:paraId="103942D1" w14:textId="77777777" w:rsidR="0057070D" w:rsidRPr="001D5327" w:rsidRDefault="0057070D" w:rsidP="0057070D">
      <w:pPr>
        <w:pStyle w:val="Bullet"/>
      </w:pPr>
      <w:r w:rsidRPr="001D5327">
        <w:t>fluorinated gases from the use of refrigerants</w:t>
      </w:r>
    </w:p>
    <w:p w14:paraId="7FC5094A" w14:textId="77777777" w:rsidR="0057070D" w:rsidRPr="001D5327" w:rsidRDefault="0057070D" w:rsidP="0057070D">
      <w:pPr>
        <w:pStyle w:val="Bullet"/>
      </w:pPr>
      <w:r w:rsidRPr="001D5327">
        <w:t>CH</w:t>
      </w:r>
      <w:r w:rsidRPr="001D5327">
        <w:rPr>
          <w:vertAlign w:val="subscript"/>
        </w:rPr>
        <w:t>4</w:t>
      </w:r>
      <w:r w:rsidRPr="001D5327">
        <w:t xml:space="preserve"> and N</w:t>
      </w:r>
      <w:r w:rsidRPr="001D5327">
        <w:rPr>
          <w:vertAlign w:val="subscript"/>
        </w:rPr>
        <w:t>2</w:t>
      </w:r>
      <w:r w:rsidRPr="001D5327">
        <w:t>O from livestock (pigs and poultry)</w:t>
      </w:r>
    </w:p>
    <w:p w14:paraId="45025305" w14:textId="77777777" w:rsidR="0057070D" w:rsidRPr="001D5327" w:rsidRDefault="0057070D" w:rsidP="0057070D">
      <w:pPr>
        <w:pStyle w:val="Bullet"/>
      </w:pPr>
      <w:r w:rsidRPr="001D5327">
        <w:t>CH</w:t>
      </w:r>
      <w:r w:rsidRPr="001D5327">
        <w:rPr>
          <w:vertAlign w:val="subscript"/>
        </w:rPr>
        <w:t>4</w:t>
      </w:r>
      <w:r w:rsidRPr="001D5327">
        <w:t>, CO</w:t>
      </w:r>
      <w:r w:rsidRPr="001D5327">
        <w:rPr>
          <w:vertAlign w:val="subscript"/>
        </w:rPr>
        <w:t>2</w:t>
      </w:r>
      <w:r w:rsidRPr="001D5327">
        <w:t xml:space="preserve"> and N</w:t>
      </w:r>
      <w:r w:rsidRPr="001D5327">
        <w:rPr>
          <w:vertAlign w:val="subscript"/>
        </w:rPr>
        <w:t>2</w:t>
      </w:r>
      <w:r w:rsidRPr="001D5327">
        <w:t>O from waste.</w:t>
      </w:r>
    </w:p>
    <w:p w14:paraId="0537B977" w14:textId="77777777" w:rsidR="0057070D" w:rsidRPr="001D5327" w:rsidRDefault="0057070D" w:rsidP="0057070D">
      <w:pPr>
        <w:pStyle w:val="Heading5"/>
      </w:pPr>
      <w:r w:rsidRPr="001D5327">
        <w:t>2023</w:t>
      </w:r>
    </w:p>
    <w:p w14:paraId="45D2CB1E" w14:textId="77777777" w:rsidR="0057070D" w:rsidRPr="001D5327" w:rsidRDefault="0057070D" w:rsidP="0057070D">
      <w:pPr>
        <w:pStyle w:val="BodyText"/>
      </w:pPr>
      <w:r w:rsidRPr="001D5327">
        <w:t>In 2023, emissions from Tokelau contributed 0.006 per cent (4.20 kt CO</w:t>
      </w:r>
      <w:r w:rsidRPr="001D5327">
        <w:rPr>
          <w:vertAlign w:val="subscript"/>
        </w:rPr>
        <w:t>2</w:t>
      </w:r>
      <w:r w:rsidRPr="001D5327">
        <w:t>-e) of New Zealand’s gross GHG emissions.</w:t>
      </w:r>
    </w:p>
    <w:p w14:paraId="42C72347" w14:textId="77777777" w:rsidR="0057070D" w:rsidRPr="001D5327" w:rsidRDefault="0057070D" w:rsidP="0057070D">
      <w:pPr>
        <w:pStyle w:val="BodyText"/>
      </w:pPr>
      <w:r w:rsidRPr="001D5327">
        <w:t xml:space="preserve">The largest source category was </w:t>
      </w:r>
      <w:r w:rsidRPr="001D5327">
        <w:rPr>
          <w:i/>
          <w:iCs/>
        </w:rPr>
        <w:t xml:space="preserve">Domestic navigation </w:t>
      </w:r>
      <w:r w:rsidRPr="001D5327">
        <w:t>(emissions from marine vessels within Tokelau), which contributed 63.2 per cent (1.43 kt CO</w:t>
      </w:r>
      <w:r w:rsidRPr="001D5327">
        <w:rPr>
          <w:vertAlign w:val="subscript"/>
        </w:rPr>
        <w:t>2</w:t>
      </w:r>
      <w:r w:rsidRPr="001D5327">
        <w:t>-e) of all energy emissions and 34.1 per cent of gross emissions from Tokelau.</w:t>
      </w:r>
    </w:p>
    <w:p w14:paraId="6CA12B6A" w14:textId="77777777" w:rsidR="0057070D" w:rsidRPr="001D5327" w:rsidRDefault="0057070D" w:rsidP="0057070D">
      <w:pPr>
        <w:pStyle w:val="BodyText"/>
      </w:pPr>
      <w:r w:rsidRPr="001D5327">
        <w:t>Carbon dioxide dominated emissions from Tokelau, contributing 54.5 per cent (2.29 kt CO</w:t>
      </w:r>
      <w:r w:rsidRPr="001D5327">
        <w:rPr>
          <w:vertAlign w:val="subscript"/>
        </w:rPr>
        <w:t>2</w:t>
      </w:r>
      <w:r w:rsidRPr="001D5327">
        <w:t>-e) of its total emissions in 2023. At 2.25 kt CO</w:t>
      </w:r>
      <w:r w:rsidRPr="001D5327">
        <w:rPr>
          <w:vertAlign w:val="subscript"/>
        </w:rPr>
        <w:t>2</w:t>
      </w:r>
      <w:r w:rsidRPr="001D5327">
        <w:t>, the Energy sector contributed 98.3 per cent of total CO</w:t>
      </w:r>
      <w:r w:rsidRPr="001D5327">
        <w:rPr>
          <w:vertAlign w:val="subscript"/>
        </w:rPr>
        <w:t>2</w:t>
      </w:r>
      <w:r w:rsidRPr="001D5327">
        <w:t xml:space="preserve"> emissions, mostly from </w:t>
      </w:r>
      <w:r w:rsidRPr="001D5327">
        <w:rPr>
          <w:i/>
          <w:iCs/>
        </w:rPr>
        <w:t>Domestic navigation</w:t>
      </w:r>
      <w:r w:rsidRPr="001D5327">
        <w:t xml:space="preserve">; with the remaining 1.7 per cent (0.04 kt) coming from </w:t>
      </w:r>
      <w:r w:rsidRPr="001D5327">
        <w:rPr>
          <w:i/>
          <w:iCs/>
        </w:rPr>
        <w:t>Open burning of waste</w:t>
      </w:r>
      <w:r w:rsidRPr="001D5327">
        <w:t xml:space="preserve"> in the Waste sector.</w:t>
      </w:r>
    </w:p>
    <w:p w14:paraId="7E0B6C6D" w14:textId="77777777" w:rsidR="0057070D" w:rsidRPr="001D5327" w:rsidRDefault="0057070D" w:rsidP="0057070D">
      <w:pPr>
        <w:pStyle w:val="BodyText"/>
      </w:pPr>
      <w:r w:rsidRPr="001D5327">
        <w:lastRenderedPageBreak/>
        <w:t>Methane emissions contributed 39.4 per cent (1.65 kt CO</w:t>
      </w:r>
      <w:r w:rsidRPr="001D5327">
        <w:rPr>
          <w:vertAlign w:val="subscript"/>
        </w:rPr>
        <w:t>2</w:t>
      </w:r>
      <w:r w:rsidRPr="001D5327">
        <w:t>-e) to the total emissions from Tokelau. The Agriculture sector in Tokelau contributed 55.8 per cent of CH</w:t>
      </w:r>
      <w:r w:rsidRPr="001D5327">
        <w:rPr>
          <w:vertAlign w:val="subscript"/>
        </w:rPr>
        <w:t>4</w:t>
      </w:r>
      <w:r w:rsidRPr="001D5327">
        <w:t xml:space="preserve"> emissions (0.92 kt CO</w:t>
      </w:r>
      <w:r w:rsidRPr="001D5327">
        <w:rPr>
          <w:vertAlign w:val="subscript"/>
        </w:rPr>
        <w:t>2</w:t>
      </w:r>
      <w:r w:rsidRPr="001D5327">
        <w:t xml:space="preserve">-e), which mostly came from </w:t>
      </w:r>
      <w:r w:rsidRPr="001D5327">
        <w:rPr>
          <w:i/>
          <w:iCs/>
        </w:rPr>
        <w:t>Manure management</w:t>
      </w:r>
      <w:r w:rsidRPr="001D5327">
        <w:t>. A significant portion of CH</w:t>
      </w:r>
      <w:r w:rsidRPr="001D5327">
        <w:rPr>
          <w:vertAlign w:val="subscript"/>
        </w:rPr>
        <w:t>4</w:t>
      </w:r>
      <w:r w:rsidRPr="001D5327">
        <w:t xml:space="preserve"> emissions, 43.9 per cent (0.73 kt CO</w:t>
      </w:r>
      <w:r w:rsidRPr="001D5327">
        <w:rPr>
          <w:vertAlign w:val="subscript"/>
        </w:rPr>
        <w:t>2</w:t>
      </w:r>
      <w:r w:rsidRPr="001D5327">
        <w:t xml:space="preserve">-e), came from the Waste sector, largely from </w:t>
      </w:r>
      <w:r w:rsidRPr="001D5327">
        <w:rPr>
          <w:i/>
          <w:iCs/>
        </w:rPr>
        <w:t>Solid waste disposal</w:t>
      </w:r>
      <w:r w:rsidRPr="001D5327">
        <w:t>. The Energy sector contributed the remaining 0.4 per cent of CH</w:t>
      </w:r>
      <w:r w:rsidRPr="001D5327">
        <w:rPr>
          <w:vertAlign w:val="subscript"/>
        </w:rPr>
        <w:t>4</w:t>
      </w:r>
      <w:r w:rsidRPr="001D5327">
        <w:t xml:space="preserve"> emissions (0.01 kt CO</w:t>
      </w:r>
      <w:r w:rsidRPr="001D5327">
        <w:rPr>
          <w:vertAlign w:val="subscript"/>
        </w:rPr>
        <w:t>2</w:t>
      </w:r>
      <w:r w:rsidRPr="001D5327">
        <w:t xml:space="preserve">-e), which mostly came from </w:t>
      </w:r>
      <w:r w:rsidRPr="001D5327">
        <w:rPr>
          <w:i/>
          <w:iCs/>
        </w:rPr>
        <w:t>Domestic navigation</w:t>
      </w:r>
      <w:r w:rsidRPr="001D5327">
        <w:t>.</w:t>
      </w:r>
    </w:p>
    <w:p w14:paraId="174B9998" w14:textId="77777777" w:rsidR="0057070D" w:rsidRPr="001D5327" w:rsidRDefault="0057070D" w:rsidP="0057070D">
      <w:pPr>
        <w:pStyle w:val="BodyText"/>
      </w:pPr>
      <w:r w:rsidRPr="001D5327">
        <w:t>Nitrous oxide emissions contributed 1.1 per cent (0.05 kt CO</w:t>
      </w:r>
      <w:r w:rsidRPr="001D5327">
        <w:rPr>
          <w:vertAlign w:val="subscript"/>
        </w:rPr>
        <w:t>2</w:t>
      </w:r>
      <w:r w:rsidRPr="001D5327">
        <w:t>-e) to the total emissions from Tokelau. The IPPU sector (</w:t>
      </w:r>
      <w:r w:rsidRPr="001D5327">
        <w:rPr>
          <w:i/>
          <w:iCs/>
        </w:rPr>
        <w:t>Medical applications</w:t>
      </w:r>
      <w:r w:rsidRPr="001D5327">
        <w:t>) contributed the largest amount of N</w:t>
      </w:r>
      <w:r w:rsidRPr="001D5327">
        <w:rPr>
          <w:vertAlign w:val="subscript"/>
        </w:rPr>
        <w:t>2</w:t>
      </w:r>
      <w:r w:rsidRPr="001D5327">
        <w:t>O, 52.1 per cent (0.02 kt CO</w:t>
      </w:r>
      <w:r w:rsidRPr="001D5327">
        <w:rPr>
          <w:vertAlign w:val="subscript"/>
        </w:rPr>
        <w:t>2</w:t>
      </w:r>
      <w:r w:rsidRPr="001D5327">
        <w:t>-e) of the total N</w:t>
      </w:r>
      <w:r w:rsidRPr="001D5327">
        <w:rPr>
          <w:vertAlign w:val="subscript"/>
        </w:rPr>
        <w:t>2</w:t>
      </w:r>
      <w:r w:rsidRPr="001D5327">
        <w:t>O. The Energy sector contributed a further 26.0 per cent (0.01 kt CO</w:t>
      </w:r>
      <w:r w:rsidRPr="001D5327">
        <w:rPr>
          <w:vertAlign w:val="subscript"/>
        </w:rPr>
        <w:t>2</w:t>
      </w:r>
      <w:r w:rsidRPr="001D5327">
        <w:t xml:space="preserve">-e), which comes largely from </w:t>
      </w:r>
      <w:r w:rsidRPr="001D5327">
        <w:rPr>
          <w:i/>
          <w:iCs/>
        </w:rPr>
        <w:t>Domestic navigation</w:t>
      </w:r>
      <w:r w:rsidRPr="001D5327">
        <w:t>. The Waste sector contributed the remaining 21.8 per cent of N</w:t>
      </w:r>
      <w:r w:rsidRPr="001D5327">
        <w:rPr>
          <w:vertAlign w:val="subscript"/>
        </w:rPr>
        <w:t>2</w:t>
      </w:r>
      <w:r w:rsidRPr="001D5327">
        <w:t>O (0.01 kt CO</w:t>
      </w:r>
      <w:r w:rsidRPr="001D5327">
        <w:rPr>
          <w:vertAlign w:val="subscript"/>
        </w:rPr>
        <w:t>2</w:t>
      </w:r>
      <w:r w:rsidRPr="001D5327">
        <w:t xml:space="preserve">-e) from </w:t>
      </w:r>
      <w:r w:rsidRPr="001D5327">
        <w:rPr>
          <w:i/>
          <w:iCs/>
        </w:rPr>
        <w:t>Open burning of waste</w:t>
      </w:r>
      <w:r w:rsidRPr="001D5327">
        <w:t>.</w:t>
      </w:r>
    </w:p>
    <w:p w14:paraId="4A5029C5" w14:textId="12B6D7EC" w:rsidR="0057070D" w:rsidRPr="001D5327" w:rsidRDefault="0057070D" w:rsidP="0057070D">
      <w:pPr>
        <w:pStyle w:val="BodyText"/>
      </w:pPr>
      <w:r w:rsidRPr="001D5327">
        <w:t>Emissions of fluorinated gases from Tokelau consisted of HFC emissions only, contributing 5.0 per cent (0.21 kt CO</w:t>
      </w:r>
      <w:r w:rsidRPr="001D5327">
        <w:rPr>
          <w:vertAlign w:val="subscript"/>
        </w:rPr>
        <w:t>2</w:t>
      </w:r>
      <w:r w:rsidRPr="001D5327">
        <w:t xml:space="preserve">-e) to the total emissions from Tokelau. These emissions largely result from the use of </w:t>
      </w:r>
      <w:r w:rsidR="00F111C0">
        <w:t>a</w:t>
      </w:r>
      <w:r w:rsidRPr="00F111C0">
        <w:t>ir conditioning</w:t>
      </w:r>
      <w:r w:rsidRPr="001D5327">
        <w:t>. Emissions of perfluorocarbons (PFCs), nitrogen trifluoride and sulphur hexafluoride do not occur in Tokelau.</w:t>
      </w:r>
    </w:p>
    <w:p w14:paraId="005F4456" w14:textId="77777777" w:rsidR="0057070D" w:rsidRPr="001D5327" w:rsidRDefault="0057070D" w:rsidP="0057070D">
      <w:pPr>
        <w:pStyle w:val="BodyText"/>
      </w:pPr>
      <w:r w:rsidRPr="001D5327">
        <w:t>Figure 8.1.2 and figure 8.1.3 show emissions from Tokelau by gas and by sector.</w:t>
      </w:r>
    </w:p>
    <w:p w14:paraId="61CD3B95" w14:textId="77777777" w:rsidR="0057070D" w:rsidRPr="001D5327" w:rsidRDefault="0057070D" w:rsidP="0057070D">
      <w:pPr>
        <w:pStyle w:val="Figure"/>
      </w:pPr>
      <w:bookmarkStart w:id="2934" w:name="_Toc194674883"/>
      <w:r w:rsidRPr="001D5327">
        <w:rPr>
          <w:bCs/>
        </w:rPr>
        <w:t>Figure 8.1.2</w:t>
      </w:r>
      <w:r w:rsidRPr="001D5327">
        <w:rPr>
          <w:bCs/>
        </w:rPr>
        <w:tab/>
        <w:t>Tokelau’s emissions by gas in 2023</w:t>
      </w:r>
      <w:bookmarkEnd w:id="2934"/>
    </w:p>
    <w:p w14:paraId="1973A0A5" w14:textId="77777777" w:rsidR="0057070D" w:rsidRPr="001D5327" w:rsidRDefault="0057070D" w:rsidP="0057070D">
      <w:pPr>
        <w:pStyle w:val="BodyText"/>
      </w:pPr>
      <w:r w:rsidRPr="001D5327">
        <w:rPr>
          <w:noProof/>
        </w:rPr>
        <w:drawing>
          <wp:inline distT="0" distB="0" distL="0" distR="0" wp14:anchorId="6E3553EC" wp14:editId="0EE17E32">
            <wp:extent cx="5361214" cy="2574472"/>
            <wp:effectExtent l="0" t="0" r="0" b="0"/>
            <wp:docPr id="336060269" name="Picture"/>
            <wp:cNvGraphicFramePr/>
            <a:graphic xmlns:a="http://schemas.openxmlformats.org/drawingml/2006/main">
              <a:graphicData uri="http://schemas.openxmlformats.org/drawingml/2006/picture">
                <pic:pic xmlns:pic="http://schemas.openxmlformats.org/drawingml/2006/picture">
                  <pic:nvPicPr>
                    <pic:cNvPr id="34" name="Picture" descr="images/fig_8_1_2.png"/>
                    <pic:cNvPicPr>
                      <a:picLocks noChangeAspect="1" noChangeArrowheads="1"/>
                    </pic:cNvPicPr>
                  </pic:nvPicPr>
                  <pic:blipFill rotWithShape="1">
                    <a:blip r:embed="rId238"/>
                    <a:srcRect t="10878"/>
                    <a:stretch/>
                  </pic:blipFill>
                  <pic:spPr bwMode="auto">
                    <a:xfrm>
                      <a:off x="0" y="0"/>
                      <a:ext cx="5369171" cy="2578293"/>
                    </a:xfrm>
                    <a:prstGeom prst="rect">
                      <a:avLst/>
                    </a:prstGeom>
                    <a:noFill/>
                    <a:ln>
                      <a:noFill/>
                    </a:ln>
                    <a:extLst>
                      <a:ext uri="{53640926-AAD7-44D8-BBD7-CCE9431645EC}">
                        <a14:shadowObscured xmlns:a14="http://schemas.microsoft.com/office/drawing/2010/main"/>
                      </a:ext>
                    </a:extLst>
                  </pic:spPr>
                </pic:pic>
              </a:graphicData>
            </a:graphic>
          </wp:inline>
        </w:drawing>
      </w:r>
    </w:p>
    <w:p w14:paraId="03E68FD2" w14:textId="77777777" w:rsidR="0057070D" w:rsidRPr="001D5327" w:rsidRDefault="0057070D" w:rsidP="007E6A25">
      <w:pPr>
        <w:pStyle w:val="Figure"/>
        <w:spacing w:before="240" w:after="0"/>
      </w:pPr>
      <w:bookmarkStart w:id="2935" w:name="_Toc194674884"/>
      <w:r w:rsidRPr="001D5327">
        <w:rPr>
          <w:bCs/>
        </w:rPr>
        <w:t>Figure 8.1.3</w:t>
      </w:r>
      <w:r w:rsidRPr="001D5327">
        <w:rPr>
          <w:bCs/>
        </w:rPr>
        <w:tab/>
        <w:t>Tokelau’s emissions by sector in 2023</w:t>
      </w:r>
      <w:bookmarkEnd w:id="2935"/>
    </w:p>
    <w:p w14:paraId="3F280F68" w14:textId="77777777" w:rsidR="0057070D" w:rsidRPr="001D5327" w:rsidRDefault="0057070D" w:rsidP="0057070D">
      <w:pPr>
        <w:pStyle w:val="BodyText"/>
      </w:pPr>
      <w:r w:rsidRPr="001D5327">
        <w:rPr>
          <w:noProof/>
        </w:rPr>
        <w:drawing>
          <wp:inline distT="0" distB="0" distL="0" distR="0" wp14:anchorId="7BB30892" wp14:editId="1E5CC306">
            <wp:extent cx="5366657" cy="1660071"/>
            <wp:effectExtent l="0" t="0" r="5715" b="0"/>
            <wp:docPr id="36" name="Picture"/>
            <wp:cNvGraphicFramePr/>
            <a:graphic xmlns:a="http://schemas.openxmlformats.org/drawingml/2006/main">
              <a:graphicData uri="http://schemas.openxmlformats.org/drawingml/2006/picture">
                <pic:pic xmlns:pic="http://schemas.openxmlformats.org/drawingml/2006/picture">
                  <pic:nvPicPr>
                    <pic:cNvPr id="37" name="Picture" descr="images/fig_8_1_3.png"/>
                    <pic:cNvPicPr>
                      <a:picLocks noChangeAspect="1" noChangeArrowheads="1"/>
                    </pic:cNvPicPr>
                  </pic:nvPicPr>
                  <pic:blipFill rotWithShape="1">
                    <a:blip r:embed="rId239"/>
                    <a:srcRect t="25330"/>
                    <a:stretch/>
                  </pic:blipFill>
                  <pic:spPr bwMode="auto">
                    <a:xfrm>
                      <a:off x="0" y="0"/>
                      <a:ext cx="5373049" cy="1662048"/>
                    </a:xfrm>
                    <a:prstGeom prst="rect">
                      <a:avLst/>
                    </a:prstGeom>
                    <a:noFill/>
                    <a:ln>
                      <a:noFill/>
                    </a:ln>
                    <a:extLst>
                      <a:ext uri="{53640926-AAD7-44D8-BBD7-CCE9431645EC}">
                        <a14:shadowObscured xmlns:a14="http://schemas.microsoft.com/office/drawing/2010/main"/>
                      </a:ext>
                    </a:extLst>
                  </pic:spPr>
                </pic:pic>
              </a:graphicData>
            </a:graphic>
          </wp:inline>
        </w:drawing>
      </w:r>
    </w:p>
    <w:p w14:paraId="7EE3D162" w14:textId="77777777" w:rsidR="0057070D" w:rsidRPr="001D5327" w:rsidRDefault="0057070D" w:rsidP="0057070D">
      <w:pPr>
        <w:pStyle w:val="Heading5"/>
      </w:pPr>
      <w:r w:rsidRPr="001D5327">
        <w:lastRenderedPageBreak/>
        <w:t>1990–2023</w:t>
      </w:r>
    </w:p>
    <w:p w14:paraId="04E49D2F" w14:textId="77777777" w:rsidR="0057070D" w:rsidRPr="001D5327" w:rsidRDefault="0057070D" w:rsidP="0057070D">
      <w:pPr>
        <w:pStyle w:val="BodyText"/>
      </w:pPr>
      <w:r w:rsidRPr="001D5327">
        <w:t>In 1990, total emissions from Tokelau were 3.37 kt CO</w:t>
      </w:r>
      <w:r w:rsidRPr="001D5327">
        <w:rPr>
          <w:vertAlign w:val="subscript"/>
        </w:rPr>
        <w:t>2</w:t>
      </w:r>
      <w:r w:rsidRPr="001D5327">
        <w:t>-e. Between 1990 and 2023, total emissions increased by 24.7 per cent (0.83 kt CO</w:t>
      </w:r>
      <w:r w:rsidRPr="001D5327">
        <w:rPr>
          <w:vertAlign w:val="subscript"/>
        </w:rPr>
        <w:t>2</w:t>
      </w:r>
      <w:r w:rsidRPr="001D5327">
        <w:t>-e) to 4.20 kt CO</w:t>
      </w:r>
      <w:r w:rsidRPr="001D5327">
        <w:rPr>
          <w:vertAlign w:val="subscript"/>
        </w:rPr>
        <w:t>2</w:t>
      </w:r>
      <w:r w:rsidRPr="001D5327">
        <w:t>-e (table 8.1.2 and figure 8.1.4). From 1990 to 2023, the average annual increase in gross emissions was 0.89 per cent.</w:t>
      </w:r>
    </w:p>
    <w:p w14:paraId="516EBBDC" w14:textId="77777777" w:rsidR="0057070D" w:rsidRPr="001D5327" w:rsidRDefault="0057070D" w:rsidP="0057070D">
      <w:pPr>
        <w:pStyle w:val="BodyText"/>
      </w:pPr>
      <w:r w:rsidRPr="001D5327">
        <w:t xml:space="preserve">The emissions increased largely due to changes in the Energy sector. The emission categories that contributed the most to this change were </w:t>
      </w:r>
      <w:r w:rsidRPr="001D5327">
        <w:rPr>
          <w:i/>
          <w:iCs/>
        </w:rPr>
        <w:t>Domestic navigation</w:t>
      </w:r>
      <w:r w:rsidRPr="001D5327">
        <w:t xml:space="preserve"> and </w:t>
      </w:r>
      <w:r w:rsidRPr="001D5327">
        <w:rPr>
          <w:i/>
          <w:iCs/>
        </w:rPr>
        <w:t>Electricity generation</w:t>
      </w:r>
      <w:r w:rsidRPr="001D5327">
        <w:t>.</w:t>
      </w:r>
    </w:p>
    <w:p w14:paraId="2029D212" w14:textId="77777777" w:rsidR="0057070D" w:rsidRPr="001D5327" w:rsidRDefault="0057070D" w:rsidP="0057070D">
      <w:pPr>
        <w:pStyle w:val="BodyText"/>
      </w:pPr>
      <w:r w:rsidRPr="001D5327">
        <w:t xml:space="preserve">The changes in </w:t>
      </w:r>
      <w:r w:rsidRPr="001D5327">
        <w:rPr>
          <w:i/>
          <w:iCs/>
        </w:rPr>
        <w:t>Domestic navigation</w:t>
      </w:r>
      <w:r w:rsidRPr="001D5327">
        <w:t xml:space="preserve"> are a result of Tokelau gaining ownership and use of the ferry </w:t>
      </w:r>
      <w:r w:rsidRPr="001D5327">
        <w:rPr>
          <w:i/>
          <w:iCs/>
        </w:rPr>
        <w:t>Mataliki</w:t>
      </w:r>
      <w:r w:rsidRPr="001D5327">
        <w:t xml:space="preserve"> in 2016, cargo vessel </w:t>
      </w:r>
      <w:r w:rsidRPr="001D5327">
        <w:rPr>
          <w:i/>
          <w:iCs/>
        </w:rPr>
        <w:t>Kalopaga</w:t>
      </w:r>
      <w:r w:rsidRPr="001D5327">
        <w:t xml:space="preserve"> in 2018 and </w:t>
      </w:r>
      <w:r w:rsidRPr="001D5327">
        <w:rPr>
          <w:i/>
          <w:iCs/>
        </w:rPr>
        <w:t>Fetu o te Moana</w:t>
      </w:r>
      <w:r w:rsidRPr="001D5327">
        <w:t xml:space="preserve"> in 2019, leading to an increasing number of sea voyages between the atolls, which increased transport emissions.</w:t>
      </w:r>
    </w:p>
    <w:p w14:paraId="7F6CCCA2" w14:textId="77777777" w:rsidR="0057070D" w:rsidRPr="001D5327" w:rsidRDefault="0057070D" w:rsidP="0057070D">
      <w:pPr>
        <w:pStyle w:val="BodyText"/>
      </w:pPr>
      <w:r w:rsidRPr="001D5327">
        <w:t xml:space="preserve">The changes in Tokelau’s Energy sector emissions from </w:t>
      </w:r>
      <w:r w:rsidRPr="001D5327">
        <w:rPr>
          <w:i/>
          <w:iCs/>
        </w:rPr>
        <w:t>Electricity generation</w:t>
      </w:r>
      <w:r w:rsidRPr="001D5327">
        <w:t xml:space="preserve"> drive the overall emissions trend observed across most of the time series. Initially, up until 2003, emissions from this source were relatively stable. A significant increase in emissions was then observed (of nearly 400 per cent) due to an increase in the use of diesel generators for electricity production occurring between 2003 and 2011. This was followed by a significant drop in emissions occurring in 2012 and 2013 (by 82.5 per cent), when solar electricity generation began. Toward the end of the time series, diesel generator use increased again as the generation from solar power decreased, with emissions increasing accordingly.</w:t>
      </w:r>
    </w:p>
    <w:p w14:paraId="0BF369BA" w14:textId="77777777" w:rsidR="0057070D" w:rsidRPr="001D5327" w:rsidRDefault="0057070D" w:rsidP="0057070D">
      <w:pPr>
        <w:pStyle w:val="BodyText"/>
      </w:pPr>
      <w:r w:rsidRPr="001D5327">
        <w:t>Emissions from Tokelau’s IPPU sector have also increased mainly due to the introduction of air conditioning after 2006. Emissions from Tokelau’s Agriculture sector decreased slightly as a result of a reduced population of pigs.</w:t>
      </w:r>
    </w:p>
    <w:p w14:paraId="142BB640" w14:textId="77777777" w:rsidR="0057070D" w:rsidRPr="001D5327" w:rsidRDefault="0057070D" w:rsidP="007E6A25">
      <w:pPr>
        <w:pStyle w:val="Table"/>
      </w:pPr>
      <w:bookmarkStart w:id="2936" w:name="_Toc194241833"/>
      <w:r w:rsidRPr="001D5327">
        <w:t>Table 8.1.2</w:t>
      </w:r>
      <w:r w:rsidRPr="001D5327">
        <w:tab/>
        <w:t>Gross emissions from Tokelau by gas in 1990 and 2023</w:t>
      </w:r>
      <w:bookmarkEnd w:id="2936"/>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539"/>
        <w:gridCol w:w="992"/>
        <w:gridCol w:w="993"/>
        <w:gridCol w:w="1701"/>
        <w:gridCol w:w="1269"/>
      </w:tblGrid>
      <w:tr w:rsidR="0057070D" w:rsidRPr="001D5327" w14:paraId="6DD64C3F" w14:textId="77777777" w:rsidTr="00252427">
        <w:trPr>
          <w:tblHeader/>
        </w:trPr>
        <w:tc>
          <w:tcPr>
            <w:tcW w:w="3539" w:type="dxa"/>
            <w:shd w:val="clear" w:color="auto" w:fill="1B556B"/>
            <w:tcMar>
              <w:top w:w="0" w:type="dxa"/>
              <w:left w:w="85" w:type="dxa"/>
              <w:bottom w:w="0" w:type="dxa"/>
              <w:right w:w="85" w:type="dxa"/>
            </w:tcMar>
          </w:tcPr>
          <w:p w14:paraId="6BFB7922" w14:textId="77777777" w:rsidR="0057070D" w:rsidRPr="001D5327" w:rsidRDefault="0057070D" w:rsidP="00D11AC9">
            <w:pPr>
              <w:pStyle w:val="TableTextBold"/>
              <w:spacing w:before="40" w:after="40"/>
              <w:rPr>
                <w:rFonts w:cs="Calibri"/>
                <w:noProof w:val="0"/>
                <w:color w:val="FFFFFF" w:themeColor="background1"/>
                <w:szCs w:val="16"/>
              </w:rPr>
            </w:pPr>
            <w:r w:rsidRPr="001D5327">
              <w:rPr>
                <w:rFonts w:eastAsia="Calibri" w:cs="Calibri"/>
                <w:noProof w:val="0"/>
                <w:color w:val="FFFFFF" w:themeColor="background1"/>
                <w:szCs w:val="16"/>
              </w:rPr>
              <w:t xml:space="preserve"> </w:t>
            </w:r>
          </w:p>
        </w:tc>
        <w:tc>
          <w:tcPr>
            <w:tcW w:w="1985" w:type="dxa"/>
            <w:gridSpan w:val="2"/>
            <w:shd w:val="clear" w:color="auto" w:fill="1B556B"/>
            <w:tcMar>
              <w:top w:w="0" w:type="dxa"/>
              <w:left w:w="85" w:type="dxa"/>
              <w:bottom w:w="0" w:type="dxa"/>
              <w:right w:w="85" w:type="dxa"/>
            </w:tcMar>
          </w:tcPr>
          <w:p w14:paraId="2962FCEC" w14:textId="77777777" w:rsidR="0057070D" w:rsidRPr="001D5327" w:rsidRDefault="0057070D" w:rsidP="00D11AC9">
            <w:pPr>
              <w:pStyle w:val="TableTextBold"/>
              <w:spacing w:before="40" w:after="40"/>
              <w:jc w:val="right"/>
              <w:rPr>
                <w:rFonts w:cs="Calibri"/>
                <w:noProof w:val="0"/>
                <w:color w:val="FFFFFF" w:themeColor="background1"/>
                <w:szCs w:val="16"/>
              </w:rPr>
            </w:pPr>
            <w:r w:rsidRPr="001D5327">
              <w:rPr>
                <w:rFonts w:eastAsia="Calibri" w:cs="Calibri"/>
                <w:noProof w:val="0"/>
                <w:color w:val="FFFFFF" w:themeColor="background1"/>
                <w:szCs w:val="16"/>
              </w:rPr>
              <w:t>Emissions (kt CO₂-e)</w:t>
            </w:r>
          </w:p>
        </w:tc>
        <w:tc>
          <w:tcPr>
            <w:tcW w:w="1701" w:type="dxa"/>
            <w:shd w:val="clear" w:color="auto" w:fill="1B556B"/>
            <w:tcMar>
              <w:top w:w="0" w:type="dxa"/>
              <w:left w:w="85" w:type="dxa"/>
              <w:bottom w:w="0" w:type="dxa"/>
              <w:right w:w="85" w:type="dxa"/>
            </w:tcMar>
          </w:tcPr>
          <w:p w14:paraId="558DAF0B" w14:textId="77777777" w:rsidR="0057070D" w:rsidRPr="001D5327" w:rsidRDefault="0057070D" w:rsidP="00D11AC9">
            <w:pPr>
              <w:pStyle w:val="TableTextBold"/>
              <w:spacing w:before="40" w:after="40"/>
              <w:jc w:val="right"/>
              <w:rPr>
                <w:rFonts w:cs="Calibri"/>
                <w:noProof w:val="0"/>
                <w:color w:val="FFFFFF" w:themeColor="background1"/>
                <w:szCs w:val="16"/>
              </w:rPr>
            </w:pPr>
            <w:r w:rsidRPr="001D5327">
              <w:rPr>
                <w:rFonts w:eastAsia="Calibri" w:cs="Calibri"/>
                <w:noProof w:val="0"/>
                <w:color w:val="FFFFFF" w:themeColor="background1"/>
                <w:szCs w:val="16"/>
              </w:rPr>
              <w:t>Difference (kt CO₂-e)</w:t>
            </w:r>
          </w:p>
        </w:tc>
        <w:tc>
          <w:tcPr>
            <w:tcW w:w="1269" w:type="dxa"/>
            <w:shd w:val="clear" w:color="auto" w:fill="1B556B"/>
            <w:tcMar>
              <w:top w:w="0" w:type="dxa"/>
              <w:left w:w="85" w:type="dxa"/>
              <w:bottom w:w="0" w:type="dxa"/>
              <w:right w:w="85" w:type="dxa"/>
            </w:tcMar>
          </w:tcPr>
          <w:p w14:paraId="37811383" w14:textId="77777777" w:rsidR="0057070D" w:rsidRPr="001D5327" w:rsidRDefault="0057070D" w:rsidP="00D11AC9">
            <w:pPr>
              <w:pStyle w:val="TableTextBold"/>
              <w:spacing w:before="40" w:after="40"/>
              <w:jc w:val="right"/>
              <w:rPr>
                <w:rFonts w:cs="Calibri"/>
                <w:noProof w:val="0"/>
                <w:color w:val="FFFFFF" w:themeColor="background1"/>
                <w:szCs w:val="16"/>
              </w:rPr>
            </w:pPr>
            <w:r w:rsidRPr="001D5327">
              <w:rPr>
                <w:rFonts w:eastAsia="Calibri" w:cs="Calibri"/>
                <w:noProof w:val="0"/>
                <w:color w:val="FFFFFF" w:themeColor="background1"/>
                <w:szCs w:val="16"/>
              </w:rPr>
              <w:t>Change (%)</w:t>
            </w:r>
          </w:p>
        </w:tc>
      </w:tr>
      <w:tr w:rsidR="0057070D" w:rsidRPr="001D5327" w14:paraId="7AB539A8" w14:textId="77777777" w:rsidTr="00252427">
        <w:tc>
          <w:tcPr>
            <w:tcW w:w="3539" w:type="dxa"/>
            <w:shd w:val="clear" w:color="auto" w:fill="FFFFFF"/>
            <w:tcMar>
              <w:top w:w="0" w:type="dxa"/>
              <w:left w:w="85" w:type="dxa"/>
              <w:bottom w:w="0" w:type="dxa"/>
              <w:right w:w="85" w:type="dxa"/>
            </w:tcMar>
          </w:tcPr>
          <w:p w14:paraId="51380DEA" w14:textId="77777777" w:rsidR="0057070D" w:rsidRPr="001D5327" w:rsidRDefault="0057070D" w:rsidP="00D11AC9">
            <w:pPr>
              <w:pStyle w:val="Tableboldblue"/>
              <w:spacing w:before="40" w:after="40"/>
              <w:rPr>
                <w:rFonts w:cs="Calibri"/>
                <w:szCs w:val="16"/>
              </w:rPr>
            </w:pPr>
            <w:r w:rsidRPr="001D5327">
              <w:rPr>
                <w:rFonts w:eastAsia="Calibri" w:cs="Calibri"/>
                <w:szCs w:val="16"/>
              </w:rPr>
              <w:t>Direct greenhouse gas emissions</w:t>
            </w:r>
          </w:p>
        </w:tc>
        <w:tc>
          <w:tcPr>
            <w:tcW w:w="992" w:type="dxa"/>
            <w:shd w:val="clear" w:color="auto" w:fill="FFFFFF"/>
            <w:tcMar>
              <w:top w:w="0" w:type="dxa"/>
              <w:left w:w="85" w:type="dxa"/>
              <w:bottom w:w="0" w:type="dxa"/>
              <w:right w:w="85" w:type="dxa"/>
            </w:tcMar>
          </w:tcPr>
          <w:p w14:paraId="6E7A9BC1" w14:textId="77777777" w:rsidR="0057070D" w:rsidRPr="001D5327" w:rsidRDefault="0057070D" w:rsidP="00D11AC9">
            <w:pPr>
              <w:pStyle w:val="Tableboldblue"/>
              <w:spacing w:before="40" w:after="40"/>
              <w:jc w:val="right"/>
              <w:rPr>
                <w:rFonts w:cs="Calibri"/>
                <w:szCs w:val="16"/>
              </w:rPr>
            </w:pPr>
            <w:r w:rsidRPr="001D5327">
              <w:rPr>
                <w:rFonts w:eastAsia="Calibri" w:cs="Calibri"/>
                <w:szCs w:val="16"/>
              </w:rPr>
              <w:t>1990</w:t>
            </w:r>
          </w:p>
        </w:tc>
        <w:tc>
          <w:tcPr>
            <w:tcW w:w="993" w:type="dxa"/>
            <w:shd w:val="clear" w:color="auto" w:fill="FFFFFF"/>
            <w:tcMar>
              <w:top w:w="0" w:type="dxa"/>
              <w:left w:w="85" w:type="dxa"/>
              <w:bottom w:w="0" w:type="dxa"/>
              <w:right w:w="85" w:type="dxa"/>
            </w:tcMar>
          </w:tcPr>
          <w:p w14:paraId="70B61B78" w14:textId="77777777" w:rsidR="0057070D" w:rsidRPr="001D5327" w:rsidRDefault="0057070D" w:rsidP="00D11AC9">
            <w:pPr>
              <w:pStyle w:val="Tableboldblue"/>
              <w:spacing w:before="40" w:after="40"/>
              <w:jc w:val="right"/>
              <w:rPr>
                <w:rFonts w:cs="Calibri"/>
                <w:szCs w:val="16"/>
              </w:rPr>
            </w:pPr>
            <w:r w:rsidRPr="001D5327">
              <w:rPr>
                <w:rFonts w:eastAsia="Calibri" w:cs="Calibri"/>
                <w:szCs w:val="16"/>
              </w:rPr>
              <w:t>2023</w:t>
            </w:r>
          </w:p>
        </w:tc>
        <w:tc>
          <w:tcPr>
            <w:tcW w:w="1701" w:type="dxa"/>
            <w:shd w:val="clear" w:color="auto" w:fill="FFFFFF"/>
            <w:tcMar>
              <w:top w:w="0" w:type="dxa"/>
              <w:left w:w="85" w:type="dxa"/>
              <w:bottom w:w="0" w:type="dxa"/>
              <w:right w:w="85" w:type="dxa"/>
            </w:tcMar>
          </w:tcPr>
          <w:p w14:paraId="1548BB37" w14:textId="77777777" w:rsidR="0057070D" w:rsidRPr="001D5327" w:rsidRDefault="0057070D" w:rsidP="00D11AC9">
            <w:pPr>
              <w:pStyle w:val="Tableboldblue"/>
              <w:spacing w:before="40" w:after="40"/>
              <w:jc w:val="right"/>
              <w:rPr>
                <w:rFonts w:cs="Calibri"/>
                <w:szCs w:val="16"/>
              </w:rPr>
            </w:pPr>
            <w:r w:rsidRPr="001D5327">
              <w:rPr>
                <w:rFonts w:eastAsia="Calibri" w:cs="Calibri"/>
                <w:szCs w:val="16"/>
              </w:rPr>
              <w:t>1990–2023</w:t>
            </w:r>
          </w:p>
        </w:tc>
        <w:tc>
          <w:tcPr>
            <w:tcW w:w="1269" w:type="dxa"/>
            <w:shd w:val="clear" w:color="auto" w:fill="FFFFFF"/>
            <w:tcMar>
              <w:top w:w="0" w:type="dxa"/>
              <w:left w:w="85" w:type="dxa"/>
              <w:bottom w:w="0" w:type="dxa"/>
              <w:right w:w="85" w:type="dxa"/>
            </w:tcMar>
          </w:tcPr>
          <w:p w14:paraId="2242E0C2" w14:textId="77777777" w:rsidR="0057070D" w:rsidRPr="001D5327" w:rsidRDefault="0057070D" w:rsidP="00D11AC9">
            <w:pPr>
              <w:pStyle w:val="Tableboldblue"/>
              <w:spacing w:before="40" w:after="40"/>
              <w:jc w:val="right"/>
              <w:rPr>
                <w:rFonts w:cs="Calibri"/>
                <w:szCs w:val="16"/>
              </w:rPr>
            </w:pPr>
            <w:r w:rsidRPr="001D5327">
              <w:rPr>
                <w:rFonts w:eastAsia="Calibri" w:cs="Calibri"/>
                <w:szCs w:val="16"/>
              </w:rPr>
              <w:t>1990–2023</w:t>
            </w:r>
          </w:p>
        </w:tc>
      </w:tr>
      <w:tr w:rsidR="0057070D" w:rsidRPr="001D5327" w14:paraId="77103D10" w14:textId="77777777" w:rsidTr="00252427">
        <w:tc>
          <w:tcPr>
            <w:tcW w:w="3539" w:type="dxa"/>
            <w:shd w:val="clear" w:color="auto" w:fill="FFFFFF"/>
            <w:tcMar>
              <w:top w:w="0" w:type="dxa"/>
              <w:left w:w="85" w:type="dxa"/>
              <w:bottom w:w="0" w:type="dxa"/>
              <w:right w:w="85" w:type="dxa"/>
            </w:tcMar>
          </w:tcPr>
          <w:p w14:paraId="1571D14D" w14:textId="77777777" w:rsidR="0057070D" w:rsidRPr="001D5327" w:rsidRDefault="0057070D" w:rsidP="00D11AC9">
            <w:pPr>
              <w:pStyle w:val="TableText"/>
              <w:spacing w:before="40" w:after="40"/>
              <w:rPr>
                <w:rFonts w:cs="Calibri"/>
                <w:szCs w:val="16"/>
              </w:rPr>
            </w:pPr>
            <w:r w:rsidRPr="001D5327">
              <w:rPr>
                <w:rFonts w:eastAsia="Calibri" w:cs="Calibri"/>
                <w:color w:val="000000"/>
                <w:szCs w:val="16"/>
              </w:rPr>
              <w:t>CO₂</w:t>
            </w:r>
          </w:p>
        </w:tc>
        <w:tc>
          <w:tcPr>
            <w:tcW w:w="992" w:type="dxa"/>
            <w:shd w:val="clear" w:color="auto" w:fill="FFFFFF"/>
            <w:tcMar>
              <w:top w:w="0" w:type="dxa"/>
              <w:left w:w="85" w:type="dxa"/>
              <w:bottom w:w="0" w:type="dxa"/>
              <w:right w:w="85" w:type="dxa"/>
            </w:tcMar>
          </w:tcPr>
          <w:p w14:paraId="4A7746C5"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1.30</w:t>
            </w:r>
          </w:p>
        </w:tc>
        <w:tc>
          <w:tcPr>
            <w:tcW w:w="993" w:type="dxa"/>
            <w:shd w:val="clear" w:color="auto" w:fill="FFFFFF"/>
            <w:tcMar>
              <w:top w:w="0" w:type="dxa"/>
              <w:left w:w="85" w:type="dxa"/>
              <w:bottom w:w="0" w:type="dxa"/>
              <w:right w:w="85" w:type="dxa"/>
            </w:tcMar>
          </w:tcPr>
          <w:p w14:paraId="5CE2DE90"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2.29</w:t>
            </w:r>
          </w:p>
        </w:tc>
        <w:tc>
          <w:tcPr>
            <w:tcW w:w="1701" w:type="dxa"/>
            <w:shd w:val="clear" w:color="auto" w:fill="FFFFFF"/>
            <w:tcMar>
              <w:top w:w="0" w:type="dxa"/>
              <w:left w:w="85" w:type="dxa"/>
              <w:bottom w:w="0" w:type="dxa"/>
              <w:right w:w="85" w:type="dxa"/>
            </w:tcMar>
          </w:tcPr>
          <w:p w14:paraId="068122D7"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0.99</w:t>
            </w:r>
          </w:p>
        </w:tc>
        <w:tc>
          <w:tcPr>
            <w:tcW w:w="1269" w:type="dxa"/>
            <w:shd w:val="clear" w:color="auto" w:fill="FFFFFF"/>
            <w:tcMar>
              <w:top w:w="0" w:type="dxa"/>
              <w:left w:w="85" w:type="dxa"/>
              <w:bottom w:w="0" w:type="dxa"/>
              <w:right w:w="85" w:type="dxa"/>
            </w:tcMar>
          </w:tcPr>
          <w:p w14:paraId="2322547E"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76.6</w:t>
            </w:r>
          </w:p>
        </w:tc>
      </w:tr>
      <w:tr w:rsidR="0057070D" w:rsidRPr="001D5327" w14:paraId="4FE84953" w14:textId="77777777" w:rsidTr="00252427">
        <w:tc>
          <w:tcPr>
            <w:tcW w:w="3539" w:type="dxa"/>
            <w:shd w:val="clear" w:color="auto" w:fill="FFFFFF"/>
            <w:tcMar>
              <w:top w:w="0" w:type="dxa"/>
              <w:left w:w="85" w:type="dxa"/>
              <w:bottom w:w="0" w:type="dxa"/>
              <w:right w:w="85" w:type="dxa"/>
            </w:tcMar>
          </w:tcPr>
          <w:p w14:paraId="4503801B" w14:textId="77777777" w:rsidR="0057070D" w:rsidRPr="001D5327" w:rsidRDefault="0057070D" w:rsidP="00D11AC9">
            <w:pPr>
              <w:pStyle w:val="TableText"/>
              <w:spacing w:before="40" w:after="40"/>
              <w:rPr>
                <w:rFonts w:cs="Calibri"/>
                <w:szCs w:val="16"/>
              </w:rPr>
            </w:pPr>
            <w:r w:rsidRPr="001D5327">
              <w:rPr>
                <w:rFonts w:eastAsia="Calibri" w:cs="Calibri"/>
                <w:color w:val="000000"/>
                <w:szCs w:val="16"/>
              </w:rPr>
              <w:t>CH₄</w:t>
            </w:r>
          </w:p>
        </w:tc>
        <w:tc>
          <w:tcPr>
            <w:tcW w:w="992" w:type="dxa"/>
            <w:shd w:val="clear" w:color="auto" w:fill="FFFFFF"/>
            <w:tcMar>
              <w:top w:w="0" w:type="dxa"/>
              <w:left w:w="85" w:type="dxa"/>
              <w:bottom w:w="0" w:type="dxa"/>
              <w:right w:w="85" w:type="dxa"/>
            </w:tcMar>
          </w:tcPr>
          <w:p w14:paraId="325657DD"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2.00</w:t>
            </w:r>
          </w:p>
        </w:tc>
        <w:tc>
          <w:tcPr>
            <w:tcW w:w="993" w:type="dxa"/>
            <w:shd w:val="clear" w:color="auto" w:fill="FFFFFF"/>
            <w:tcMar>
              <w:top w:w="0" w:type="dxa"/>
              <w:left w:w="85" w:type="dxa"/>
              <w:bottom w:w="0" w:type="dxa"/>
              <w:right w:w="85" w:type="dxa"/>
            </w:tcMar>
          </w:tcPr>
          <w:p w14:paraId="35757AC6"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1.65</w:t>
            </w:r>
          </w:p>
        </w:tc>
        <w:tc>
          <w:tcPr>
            <w:tcW w:w="1701" w:type="dxa"/>
            <w:shd w:val="clear" w:color="auto" w:fill="FFFFFF"/>
            <w:tcMar>
              <w:top w:w="0" w:type="dxa"/>
              <w:left w:w="85" w:type="dxa"/>
              <w:bottom w:w="0" w:type="dxa"/>
              <w:right w:w="85" w:type="dxa"/>
            </w:tcMar>
          </w:tcPr>
          <w:p w14:paraId="76F3CE53" w14:textId="2D9AFB8C" w:rsidR="0057070D" w:rsidRPr="001D5327" w:rsidRDefault="0070503C" w:rsidP="00D11AC9">
            <w:pPr>
              <w:pStyle w:val="TableText"/>
              <w:spacing w:before="40" w:after="40"/>
              <w:jc w:val="right"/>
              <w:rPr>
                <w:rFonts w:cs="Calibri"/>
                <w:szCs w:val="16"/>
              </w:rPr>
            </w:pPr>
            <w:r>
              <w:rPr>
                <w:rFonts w:eastAsia="Calibri" w:cs="Calibri"/>
                <w:color w:val="000000"/>
                <w:szCs w:val="16"/>
              </w:rPr>
              <w:t>-</w:t>
            </w:r>
            <w:r w:rsidR="0057070D" w:rsidRPr="001D5327">
              <w:rPr>
                <w:rFonts w:eastAsia="Calibri" w:cs="Calibri"/>
                <w:color w:val="000000"/>
                <w:szCs w:val="16"/>
              </w:rPr>
              <w:t>0.34</w:t>
            </w:r>
          </w:p>
        </w:tc>
        <w:tc>
          <w:tcPr>
            <w:tcW w:w="1269" w:type="dxa"/>
            <w:shd w:val="clear" w:color="auto" w:fill="FFFFFF"/>
            <w:tcMar>
              <w:top w:w="0" w:type="dxa"/>
              <w:left w:w="85" w:type="dxa"/>
              <w:bottom w:w="0" w:type="dxa"/>
              <w:right w:w="85" w:type="dxa"/>
            </w:tcMar>
          </w:tcPr>
          <w:p w14:paraId="023F428A" w14:textId="78557950" w:rsidR="0057070D" w:rsidRPr="001D5327" w:rsidRDefault="0070503C" w:rsidP="00D11AC9">
            <w:pPr>
              <w:pStyle w:val="TableText"/>
              <w:spacing w:before="40" w:after="40"/>
              <w:jc w:val="right"/>
              <w:rPr>
                <w:rFonts w:cs="Calibri"/>
                <w:szCs w:val="16"/>
              </w:rPr>
            </w:pPr>
            <w:r>
              <w:rPr>
                <w:rFonts w:eastAsia="Calibri" w:cs="Calibri"/>
                <w:color w:val="000000"/>
                <w:szCs w:val="16"/>
              </w:rPr>
              <w:t>-</w:t>
            </w:r>
            <w:r w:rsidR="0057070D" w:rsidRPr="001D5327">
              <w:rPr>
                <w:rFonts w:eastAsia="Calibri" w:cs="Calibri"/>
                <w:color w:val="000000"/>
                <w:szCs w:val="16"/>
              </w:rPr>
              <w:t>17.2</w:t>
            </w:r>
          </w:p>
        </w:tc>
      </w:tr>
      <w:tr w:rsidR="0057070D" w:rsidRPr="001D5327" w14:paraId="4F19DB13" w14:textId="77777777" w:rsidTr="00252427">
        <w:tc>
          <w:tcPr>
            <w:tcW w:w="3539" w:type="dxa"/>
            <w:shd w:val="clear" w:color="auto" w:fill="FFFFFF"/>
            <w:tcMar>
              <w:top w:w="0" w:type="dxa"/>
              <w:left w:w="85" w:type="dxa"/>
              <w:bottom w:w="0" w:type="dxa"/>
              <w:right w:w="85" w:type="dxa"/>
            </w:tcMar>
          </w:tcPr>
          <w:p w14:paraId="1D51E0E7" w14:textId="77777777" w:rsidR="0057070D" w:rsidRPr="001D5327" w:rsidRDefault="0057070D" w:rsidP="00D11AC9">
            <w:pPr>
              <w:pStyle w:val="TableText"/>
              <w:spacing w:before="40" w:after="40"/>
              <w:rPr>
                <w:rFonts w:cs="Calibri"/>
                <w:szCs w:val="16"/>
              </w:rPr>
            </w:pPr>
            <w:r w:rsidRPr="001D5327">
              <w:rPr>
                <w:rFonts w:eastAsia="Calibri" w:cs="Calibri"/>
                <w:color w:val="000000"/>
                <w:szCs w:val="16"/>
              </w:rPr>
              <w:t>N₂O</w:t>
            </w:r>
          </w:p>
        </w:tc>
        <w:tc>
          <w:tcPr>
            <w:tcW w:w="992" w:type="dxa"/>
            <w:shd w:val="clear" w:color="auto" w:fill="FFFFFF"/>
            <w:tcMar>
              <w:top w:w="0" w:type="dxa"/>
              <w:left w:w="85" w:type="dxa"/>
              <w:bottom w:w="0" w:type="dxa"/>
              <w:right w:w="85" w:type="dxa"/>
            </w:tcMar>
          </w:tcPr>
          <w:p w14:paraId="692DD00A"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0.08</w:t>
            </w:r>
          </w:p>
        </w:tc>
        <w:tc>
          <w:tcPr>
            <w:tcW w:w="993" w:type="dxa"/>
            <w:shd w:val="clear" w:color="auto" w:fill="FFFFFF"/>
            <w:tcMar>
              <w:top w:w="0" w:type="dxa"/>
              <w:left w:w="85" w:type="dxa"/>
              <w:bottom w:w="0" w:type="dxa"/>
              <w:right w:w="85" w:type="dxa"/>
            </w:tcMar>
          </w:tcPr>
          <w:p w14:paraId="1D92EC79"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0.05</w:t>
            </w:r>
          </w:p>
        </w:tc>
        <w:tc>
          <w:tcPr>
            <w:tcW w:w="1701" w:type="dxa"/>
            <w:shd w:val="clear" w:color="auto" w:fill="FFFFFF"/>
            <w:tcMar>
              <w:top w:w="0" w:type="dxa"/>
              <w:left w:w="85" w:type="dxa"/>
              <w:bottom w:w="0" w:type="dxa"/>
              <w:right w:w="85" w:type="dxa"/>
            </w:tcMar>
          </w:tcPr>
          <w:p w14:paraId="28869375" w14:textId="02CB67AB" w:rsidR="0057070D" w:rsidRPr="001D5327" w:rsidRDefault="0070503C" w:rsidP="00D11AC9">
            <w:pPr>
              <w:pStyle w:val="TableText"/>
              <w:spacing w:before="40" w:after="40"/>
              <w:jc w:val="right"/>
              <w:rPr>
                <w:rFonts w:cs="Calibri"/>
                <w:szCs w:val="16"/>
              </w:rPr>
            </w:pPr>
            <w:r>
              <w:rPr>
                <w:rFonts w:eastAsia="Calibri" w:cs="Calibri"/>
                <w:color w:val="000000"/>
                <w:szCs w:val="16"/>
              </w:rPr>
              <w:t>-</w:t>
            </w:r>
            <w:r w:rsidR="0057070D" w:rsidRPr="001D5327">
              <w:rPr>
                <w:rFonts w:eastAsia="Calibri" w:cs="Calibri"/>
                <w:color w:val="000000"/>
                <w:szCs w:val="16"/>
              </w:rPr>
              <w:t>0.03</w:t>
            </w:r>
          </w:p>
        </w:tc>
        <w:tc>
          <w:tcPr>
            <w:tcW w:w="1269" w:type="dxa"/>
            <w:shd w:val="clear" w:color="auto" w:fill="FFFFFF"/>
            <w:tcMar>
              <w:top w:w="0" w:type="dxa"/>
              <w:left w:w="85" w:type="dxa"/>
              <w:bottom w:w="0" w:type="dxa"/>
              <w:right w:w="85" w:type="dxa"/>
            </w:tcMar>
          </w:tcPr>
          <w:p w14:paraId="4DD3BD81" w14:textId="5C241324" w:rsidR="0057070D" w:rsidRPr="001D5327" w:rsidRDefault="0070503C" w:rsidP="00D11AC9">
            <w:pPr>
              <w:pStyle w:val="TableText"/>
              <w:spacing w:before="40" w:after="40"/>
              <w:jc w:val="right"/>
              <w:rPr>
                <w:rFonts w:cs="Calibri"/>
                <w:szCs w:val="16"/>
              </w:rPr>
            </w:pPr>
            <w:r>
              <w:rPr>
                <w:rFonts w:eastAsia="Calibri" w:cs="Calibri"/>
                <w:color w:val="000000"/>
                <w:szCs w:val="16"/>
              </w:rPr>
              <w:t>-</w:t>
            </w:r>
            <w:r w:rsidR="0057070D" w:rsidRPr="001D5327">
              <w:rPr>
                <w:rFonts w:eastAsia="Calibri" w:cs="Calibri"/>
                <w:color w:val="000000"/>
                <w:szCs w:val="16"/>
              </w:rPr>
              <w:t>39.7</w:t>
            </w:r>
          </w:p>
        </w:tc>
      </w:tr>
      <w:tr w:rsidR="0057070D" w:rsidRPr="001D5327" w14:paraId="07C51FDA" w14:textId="77777777" w:rsidTr="00252427">
        <w:tc>
          <w:tcPr>
            <w:tcW w:w="3539" w:type="dxa"/>
            <w:shd w:val="clear" w:color="auto" w:fill="FFFFFF"/>
            <w:tcMar>
              <w:top w:w="0" w:type="dxa"/>
              <w:left w:w="85" w:type="dxa"/>
              <w:bottom w:w="0" w:type="dxa"/>
              <w:right w:w="85" w:type="dxa"/>
            </w:tcMar>
          </w:tcPr>
          <w:p w14:paraId="2DF6403F" w14:textId="77777777" w:rsidR="0057070D" w:rsidRPr="001D5327" w:rsidRDefault="0057070D" w:rsidP="00D11AC9">
            <w:pPr>
              <w:pStyle w:val="TableText"/>
              <w:spacing w:before="40" w:after="40"/>
              <w:rPr>
                <w:rFonts w:cs="Calibri"/>
                <w:szCs w:val="16"/>
              </w:rPr>
            </w:pPr>
            <w:r w:rsidRPr="001D5327">
              <w:rPr>
                <w:rFonts w:eastAsia="Calibri" w:cs="Calibri"/>
                <w:color w:val="000000"/>
                <w:szCs w:val="16"/>
              </w:rPr>
              <w:t>HFCs</w:t>
            </w:r>
          </w:p>
        </w:tc>
        <w:tc>
          <w:tcPr>
            <w:tcW w:w="992" w:type="dxa"/>
            <w:shd w:val="clear" w:color="auto" w:fill="FFFFFF"/>
            <w:tcMar>
              <w:top w:w="0" w:type="dxa"/>
              <w:left w:w="85" w:type="dxa"/>
              <w:bottom w:w="0" w:type="dxa"/>
              <w:right w:w="85" w:type="dxa"/>
            </w:tcMar>
          </w:tcPr>
          <w:p w14:paraId="5B0B6A48"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NO</w:t>
            </w:r>
          </w:p>
        </w:tc>
        <w:tc>
          <w:tcPr>
            <w:tcW w:w="993" w:type="dxa"/>
            <w:shd w:val="clear" w:color="auto" w:fill="FFFFFF"/>
            <w:tcMar>
              <w:top w:w="0" w:type="dxa"/>
              <w:left w:w="85" w:type="dxa"/>
              <w:bottom w:w="0" w:type="dxa"/>
              <w:right w:w="85" w:type="dxa"/>
            </w:tcMar>
          </w:tcPr>
          <w:p w14:paraId="5FF92B3D"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0.21</w:t>
            </w:r>
          </w:p>
        </w:tc>
        <w:tc>
          <w:tcPr>
            <w:tcW w:w="1701" w:type="dxa"/>
            <w:shd w:val="clear" w:color="auto" w:fill="FFFFFF"/>
            <w:tcMar>
              <w:top w:w="0" w:type="dxa"/>
              <w:left w:w="85" w:type="dxa"/>
              <w:bottom w:w="0" w:type="dxa"/>
              <w:right w:w="85" w:type="dxa"/>
            </w:tcMar>
          </w:tcPr>
          <w:p w14:paraId="74FCB041"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0.21</w:t>
            </w:r>
          </w:p>
        </w:tc>
        <w:tc>
          <w:tcPr>
            <w:tcW w:w="1269" w:type="dxa"/>
            <w:shd w:val="clear" w:color="auto" w:fill="FFFFFF"/>
            <w:tcMar>
              <w:top w:w="0" w:type="dxa"/>
              <w:left w:w="85" w:type="dxa"/>
              <w:bottom w:w="0" w:type="dxa"/>
              <w:right w:w="85" w:type="dxa"/>
            </w:tcMar>
          </w:tcPr>
          <w:p w14:paraId="1D029970"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NA</w:t>
            </w:r>
          </w:p>
        </w:tc>
      </w:tr>
      <w:tr w:rsidR="0057070D" w:rsidRPr="001D5327" w14:paraId="2AB8F3C6" w14:textId="77777777" w:rsidTr="00252427">
        <w:tc>
          <w:tcPr>
            <w:tcW w:w="3539" w:type="dxa"/>
            <w:shd w:val="clear" w:color="auto" w:fill="FFFFFF"/>
            <w:tcMar>
              <w:top w:w="0" w:type="dxa"/>
              <w:left w:w="85" w:type="dxa"/>
              <w:bottom w:w="0" w:type="dxa"/>
              <w:right w:w="85" w:type="dxa"/>
            </w:tcMar>
          </w:tcPr>
          <w:p w14:paraId="3063B095" w14:textId="77777777" w:rsidR="0057070D" w:rsidRPr="001D5327" w:rsidRDefault="0057070D" w:rsidP="00D11AC9">
            <w:pPr>
              <w:pStyle w:val="TableText"/>
              <w:spacing w:before="40" w:after="40"/>
              <w:rPr>
                <w:rFonts w:cs="Calibri"/>
                <w:szCs w:val="16"/>
              </w:rPr>
            </w:pPr>
            <w:r w:rsidRPr="001D5327">
              <w:rPr>
                <w:rFonts w:eastAsia="Calibri" w:cs="Calibri"/>
                <w:color w:val="000000"/>
                <w:szCs w:val="16"/>
              </w:rPr>
              <w:t>PFCs</w:t>
            </w:r>
          </w:p>
        </w:tc>
        <w:tc>
          <w:tcPr>
            <w:tcW w:w="992" w:type="dxa"/>
            <w:shd w:val="clear" w:color="auto" w:fill="FFFFFF"/>
            <w:tcMar>
              <w:top w:w="0" w:type="dxa"/>
              <w:left w:w="85" w:type="dxa"/>
              <w:bottom w:w="0" w:type="dxa"/>
              <w:right w:w="85" w:type="dxa"/>
            </w:tcMar>
          </w:tcPr>
          <w:p w14:paraId="7B7A1B6B"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NO</w:t>
            </w:r>
          </w:p>
        </w:tc>
        <w:tc>
          <w:tcPr>
            <w:tcW w:w="993" w:type="dxa"/>
            <w:shd w:val="clear" w:color="auto" w:fill="FFFFFF"/>
            <w:tcMar>
              <w:top w:w="0" w:type="dxa"/>
              <w:left w:w="85" w:type="dxa"/>
              <w:bottom w:w="0" w:type="dxa"/>
              <w:right w:w="85" w:type="dxa"/>
            </w:tcMar>
          </w:tcPr>
          <w:p w14:paraId="167AC92A"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NO</w:t>
            </w:r>
          </w:p>
        </w:tc>
        <w:tc>
          <w:tcPr>
            <w:tcW w:w="1701" w:type="dxa"/>
            <w:shd w:val="clear" w:color="auto" w:fill="FFFFFF"/>
            <w:tcMar>
              <w:top w:w="0" w:type="dxa"/>
              <w:left w:w="85" w:type="dxa"/>
              <w:bottom w:w="0" w:type="dxa"/>
              <w:right w:w="85" w:type="dxa"/>
            </w:tcMar>
          </w:tcPr>
          <w:p w14:paraId="7F841C4E"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NA</w:t>
            </w:r>
          </w:p>
        </w:tc>
        <w:tc>
          <w:tcPr>
            <w:tcW w:w="1269" w:type="dxa"/>
            <w:shd w:val="clear" w:color="auto" w:fill="FFFFFF"/>
            <w:tcMar>
              <w:top w:w="0" w:type="dxa"/>
              <w:left w:w="85" w:type="dxa"/>
              <w:bottom w:w="0" w:type="dxa"/>
              <w:right w:w="85" w:type="dxa"/>
            </w:tcMar>
          </w:tcPr>
          <w:p w14:paraId="0A3EEA8E"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NA</w:t>
            </w:r>
          </w:p>
        </w:tc>
      </w:tr>
      <w:tr w:rsidR="0057070D" w:rsidRPr="001D5327" w14:paraId="40C68B87" w14:textId="77777777" w:rsidTr="00252427">
        <w:tc>
          <w:tcPr>
            <w:tcW w:w="3539" w:type="dxa"/>
            <w:shd w:val="clear" w:color="auto" w:fill="FFFFFF"/>
            <w:tcMar>
              <w:top w:w="0" w:type="dxa"/>
              <w:left w:w="85" w:type="dxa"/>
              <w:bottom w:w="0" w:type="dxa"/>
              <w:right w:w="85" w:type="dxa"/>
            </w:tcMar>
          </w:tcPr>
          <w:p w14:paraId="146CB086" w14:textId="77777777" w:rsidR="0057070D" w:rsidRPr="001D5327" w:rsidRDefault="0057070D" w:rsidP="00D11AC9">
            <w:pPr>
              <w:pStyle w:val="TableText"/>
              <w:spacing w:before="40" w:after="40"/>
              <w:rPr>
                <w:rFonts w:cs="Calibri"/>
                <w:szCs w:val="16"/>
              </w:rPr>
            </w:pPr>
            <w:r w:rsidRPr="001D5327">
              <w:rPr>
                <w:rFonts w:eastAsia="Calibri" w:cs="Calibri"/>
                <w:color w:val="000000"/>
                <w:szCs w:val="16"/>
              </w:rPr>
              <w:t>SF6</w:t>
            </w:r>
          </w:p>
        </w:tc>
        <w:tc>
          <w:tcPr>
            <w:tcW w:w="992" w:type="dxa"/>
            <w:shd w:val="clear" w:color="auto" w:fill="FFFFFF"/>
            <w:tcMar>
              <w:top w:w="0" w:type="dxa"/>
              <w:left w:w="85" w:type="dxa"/>
              <w:bottom w:w="0" w:type="dxa"/>
              <w:right w:w="85" w:type="dxa"/>
            </w:tcMar>
          </w:tcPr>
          <w:p w14:paraId="28BCC3FF"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NO</w:t>
            </w:r>
          </w:p>
        </w:tc>
        <w:tc>
          <w:tcPr>
            <w:tcW w:w="993" w:type="dxa"/>
            <w:shd w:val="clear" w:color="auto" w:fill="FFFFFF"/>
            <w:tcMar>
              <w:top w:w="0" w:type="dxa"/>
              <w:left w:w="85" w:type="dxa"/>
              <w:bottom w:w="0" w:type="dxa"/>
              <w:right w:w="85" w:type="dxa"/>
            </w:tcMar>
          </w:tcPr>
          <w:p w14:paraId="6CB7D3C4"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NO</w:t>
            </w:r>
          </w:p>
        </w:tc>
        <w:tc>
          <w:tcPr>
            <w:tcW w:w="1701" w:type="dxa"/>
            <w:shd w:val="clear" w:color="auto" w:fill="FFFFFF"/>
            <w:tcMar>
              <w:top w:w="0" w:type="dxa"/>
              <w:left w:w="85" w:type="dxa"/>
              <w:bottom w:w="0" w:type="dxa"/>
              <w:right w:w="85" w:type="dxa"/>
            </w:tcMar>
          </w:tcPr>
          <w:p w14:paraId="63440701"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NA</w:t>
            </w:r>
          </w:p>
        </w:tc>
        <w:tc>
          <w:tcPr>
            <w:tcW w:w="1269" w:type="dxa"/>
            <w:shd w:val="clear" w:color="auto" w:fill="FFFFFF"/>
            <w:tcMar>
              <w:top w:w="0" w:type="dxa"/>
              <w:left w:w="85" w:type="dxa"/>
              <w:bottom w:w="0" w:type="dxa"/>
              <w:right w:w="85" w:type="dxa"/>
            </w:tcMar>
          </w:tcPr>
          <w:p w14:paraId="43CD947E"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NA</w:t>
            </w:r>
          </w:p>
        </w:tc>
      </w:tr>
      <w:tr w:rsidR="0057070D" w:rsidRPr="001D5327" w14:paraId="24CBDF6F" w14:textId="77777777" w:rsidTr="00252427">
        <w:tc>
          <w:tcPr>
            <w:tcW w:w="3539" w:type="dxa"/>
            <w:shd w:val="clear" w:color="auto" w:fill="FFFFFF"/>
            <w:tcMar>
              <w:top w:w="0" w:type="dxa"/>
              <w:left w:w="85" w:type="dxa"/>
              <w:bottom w:w="0" w:type="dxa"/>
              <w:right w:w="85" w:type="dxa"/>
            </w:tcMar>
          </w:tcPr>
          <w:p w14:paraId="1BE38726" w14:textId="77777777" w:rsidR="0057070D" w:rsidRPr="001D5327" w:rsidRDefault="0057070D" w:rsidP="00D11AC9">
            <w:pPr>
              <w:pStyle w:val="TableText"/>
              <w:spacing w:before="40" w:after="40"/>
              <w:rPr>
                <w:rFonts w:cs="Calibri"/>
                <w:szCs w:val="16"/>
              </w:rPr>
            </w:pPr>
            <w:r w:rsidRPr="001D5327">
              <w:rPr>
                <w:rFonts w:eastAsia="Calibri" w:cs="Calibri"/>
                <w:color w:val="000000"/>
                <w:szCs w:val="16"/>
              </w:rPr>
              <w:t>NF3</w:t>
            </w:r>
          </w:p>
        </w:tc>
        <w:tc>
          <w:tcPr>
            <w:tcW w:w="992" w:type="dxa"/>
            <w:shd w:val="clear" w:color="auto" w:fill="FFFFFF"/>
            <w:tcMar>
              <w:top w:w="0" w:type="dxa"/>
              <w:left w:w="85" w:type="dxa"/>
              <w:bottom w:w="0" w:type="dxa"/>
              <w:right w:w="85" w:type="dxa"/>
            </w:tcMar>
          </w:tcPr>
          <w:p w14:paraId="02C46CC3"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NO</w:t>
            </w:r>
          </w:p>
        </w:tc>
        <w:tc>
          <w:tcPr>
            <w:tcW w:w="993" w:type="dxa"/>
            <w:shd w:val="clear" w:color="auto" w:fill="FFFFFF"/>
            <w:tcMar>
              <w:top w:w="0" w:type="dxa"/>
              <w:left w:w="85" w:type="dxa"/>
              <w:bottom w:w="0" w:type="dxa"/>
              <w:right w:w="85" w:type="dxa"/>
            </w:tcMar>
          </w:tcPr>
          <w:p w14:paraId="448D31E8"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NO</w:t>
            </w:r>
          </w:p>
        </w:tc>
        <w:tc>
          <w:tcPr>
            <w:tcW w:w="1701" w:type="dxa"/>
            <w:shd w:val="clear" w:color="auto" w:fill="FFFFFF"/>
            <w:tcMar>
              <w:top w:w="0" w:type="dxa"/>
              <w:left w:w="85" w:type="dxa"/>
              <w:bottom w:w="0" w:type="dxa"/>
              <w:right w:w="85" w:type="dxa"/>
            </w:tcMar>
          </w:tcPr>
          <w:p w14:paraId="77C06C8B"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NA</w:t>
            </w:r>
          </w:p>
        </w:tc>
        <w:tc>
          <w:tcPr>
            <w:tcW w:w="1269" w:type="dxa"/>
            <w:shd w:val="clear" w:color="auto" w:fill="FFFFFF"/>
            <w:tcMar>
              <w:top w:w="0" w:type="dxa"/>
              <w:left w:w="85" w:type="dxa"/>
              <w:bottom w:w="0" w:type="dxa"/>
              <w:right w:w="85" w:type="dxa"/>
            </w:tcMar>
          </w:tcPr>
          <w:p w14:paraId="2C110A7B" w14:textId="77777777" w:rsidR="0057070D" w:rsidRPr="001D5327" w:rsidRDefault="0057070D" w:rsidP="00D11AC9">
            <w:pPr>
              <w:pStyle w:val="TableText"/>
              <w:spacing w:before="40" w:after="40"/>
              <w:jc w:val="right"/>
              <w:rPr>
                <w:rFonts w:cs="Calibri"/>
                <w:szCs w:val="16"/>
              </w:rPr>
            </w:pPr>
            <w:r w:rsidRPr="001D5327">
              <w:rPr>
                <w:rFonts w:eastAsia="Calibri" w:cs="Calibri"/>
                <w:color w:val="000000"/>
                <w:szCs w:val="16"/>
              </w:rPr>
              <w:t>NA</w:t>
            </w:r>
          </w:p>
        </w:tc>
      </w:tr>
      <w:tr w:rsidR="0024590A" w:rsidRPr="001D5327" w14:paraId="69E8B878" w14:textId="77777777" w:rsidTr="00252427">
        <w:tc>
          <w:tcPr>
            <w:tcW w:w="3539" w:type="dxa"/>
            <w:shd w:val="clear" w:color="auto" w:fill="FFFFFF"/>
            <w:tcMar>
              <w:top w:w="0" w:type="dxa"/>
              <w:left w:w="85" w:type="dxa"/>
              <w:bottom w:w="0" w:type="dxa"/>
              <w:right w:w="85" w:type="dxa"/>
            </w:tcMar>
          </w:tcPr>
          <w:p w14:paraId="3C477B7E" w14:textId="77777777" w:rsidR="0057070D" w:rsidRPr="001D5327" w:rsidRDefault="0057070D" w:rsidP="00D11AC9">
            <w:pPr>
              <w:pStyle w:val="Tableboldblue"/>
              <w:spacing w:before="40" w:after="40"/>
              <w:rPr>
                <w:rFonts w:cs="Calibri"/>
                <w:szCs w:val="16"/>
              </w:rPr>
            </w:pPr>
            <w:r w:rsidRPr="001D5327">
              <w:rPr>
                <w:rFonts w:eastAsia="Calibri" w:cs="Calibri"/>
                <w:szCs w:val="16"/>
              </w:rPr>
              <w:t>Gross, all gases</w:t>
            </w:r>
          </w:p>
        </w:tc>
        <w:tc>
          <w:tcPr>
            <w:tcW w:w="992" w:type="dxa"/>
            <w:shd w:val="clear" w:color="auto" w:fill="FFFFFF"/>
            <w:tcMar>
              <w:top w:w="0" w:type="dxa"/>
              <w:left w:w="85" w:type="dxa"/>
              <w:bottom w:w="0" w:type="dxa"/>
              <w:right w:w="85" w:type="dxa"/>
            </w:tcMar>
          </w:tcPr>
          <w:p w14:paraId="1D596645" w14:textId="77777777" w:rsidR="0057070D" w:rsidRPr="001D5327" w:rsidRDefault="0057070D" w:rsidP="00D11AC9">
            <w:pPr>
              <w:pStyle w:val="Tableboldblue"/>
              <w:spacing w:before="40" w:after="40"/>
              <w:jc w:val="right"/>
              <w:rPr>
                <w:rFonts w:cs="Calibri"/>
                <w:szCs w:val="16"/>
              </w:rPr>
            </w:pPr>
            <w:r w:rsidRPr="001D5327">
              <w:rPr>
                <w:rFonts w:eastAsia="Calibri" w:cs="Calibri"/>
                <w:szCs w:val="16"/>
              </w:rPr>
              <w:t>3.37</w:t>
            </w:r>
          </w:p>
        </w:tc>
        <w:tc>
          <w:tcPr>
            <w:tcW w:w="993" w:type="dxa"/>
            <w:shd w:val="clear" w:color="auto" w:fill="FFFFFF"/>
            <w:tcMar>
              <w:top w:w="0" w:type="dxa"/>
              <w:left w:w="85" w:type="dxa"/>
              <w:bottom w:w="0" w:type="dxa"/>
              <w:right w:w="85" w:type="dxa"/>
            </w:tcMar>
          </w:tcPr>
          <w:p w14:paraId="09B52236" w14:textId="77777777" w:rsidR="0057070D" w:rsidRPr="001D5327" w:rsidRDefault="0057070D" w:rsidP="00D11AC9">
            <w:pPr>
              <w:pStyle w:val="Tableboldblue"/>
              <w:spacing w:before="40" w:after="40"/>
              <w:jc w:val="right"/>
              <w:rPr>
                <w:rFonts w:cs="Calibri"/>
                <w:szCs w:val="16"/>
              </w:rPr>
            </w:pPr>
            <w:r w:rsidRPr="001D5327">
              <w:rPr>
                <w:rFonts w:eastAsia="Calibri" w:cs="Calibri"/>
                <w:szCs w:val="16"/>
              </w:rPr>
              <w:t>4.20</w:t>
            </w:r>
          </w:p>
        </w:tc>
        <w:tc>
          <w:tcPr>
            <w:tcW w:w="1701" w:type="dxa"/>
            <w:shd w:val="clear" w:color="auto" w:fill="FFFFFF"/>
            <w:tcMar>
              <w:top w:w="0" w:type="dxa"/>
              <w:left w:w="85" w:type="dxa"/>
              <w:bottom w:w="0" w:type="dxa"/>
              <w:right w:w="85" w:type="dxa"/>
            </w:tcMar>
          </w:tcPr>
          <w:p w14:paraId="04EE2D7D" w14:textId="77777777" w:rsidR="0057070D" w:rsidRPr="001D5327" w:rsidRDefault="0057070D" w:rsidP="00D11AC9">
            <w:pPr>
              <w:pStyle w:val="Tableboldblue"/>
              <w:spacing w:before="40" w:after="40"/>
              <w:jc w:val="right"/>
              <w:rPr>
                <w:rFonts w:cs="Calibri"/>
                <w:szCs w:val="16"/>
              </w:rPr>
            </w:pPr>
            <w:r w:rsidRPr="001D5327">
              <w:rPr>
                <w:rFonts w:eastAsia="Calibri" w:cs="Calibri"/>
                <w:szCs w:val="16"/>
              </w:rPr>
              <w:t>0.83</w:t>
            </w:r>
          </w:p>
        </w:tc>
        <w:tc>
          <w:tcPr>
            <w:tcW w:w="1269" w:type="dxa"/>
            <w:shd w:val="clear" w:color="auto" w:fill="FFFFFF"/>
            <w:tcMar>
              <w:top w:w="0" w:type="dxa"/>
              <w:left w:w="85" w:type="dxa"/>
              <w:bottom w:w="0" w:type="dxa"/>
              <w:right w:w="85" w:type="dxa"/>
            </w:tcMar>
          </w:tcPr>
          <w:p w14:paraId="4053CCE8" w14:textId="77777777" w:rsidR="0057070D" w:rsidRPr="001D5327" w:rsidRDefault="0057070D" w:rsidP="00D11AC9">
            <w:pPr>
              <w:pStyle w:val="Tableboldblue"/>
              <w:spacing w:before="40" w:after="40"/>
              <w:jc w:val="right"/>
              <w:rPr>
                <w:rFonts w:cs="Calibri"/>
                <w:szCs w:val="16"/>
              </w:rPr>
            </w:pPr>
            <w:r w:rsidRPr="001D5327">
              <w:rPr>
                <w:rFonts w:eastAsia="Calibri" w:cs="Calibri"/>
                <w:szCs w:val="16"/>
              </w:rPr>
              <w:t>24.7</w:t>
            </w:r>
          </w:p>
        </w:tc>
      </w:tr>
    </w:tbl>
    <w:p w14:paraId="1FF9CBC8" w14:textId="77777777" w:rsidR="0057070D" w:rsidRPr="001D5327" w:rsidRDefault="0057070D" w:rsidP="0057070D">
      <w:pPr>
        <w:pStyle w:val="Noteundertable"/>
      </w:pPr>
      <w:r w:rsidRPr="001D5327">
        <w:rPr>
          <w:b/>
          <w:bCs/>
        </w:rPr>
        <w:t>Note:</w:t>
      </w:r>
      <w:r w:rsidRPr="001D5327">
        <w:tab/>
        <w:t>Emissions from the Land Use, Land-Use Change and Forestry sector are not estimated for Tokelau. The percentage change for hydrofluorocarbons (HFCs) is not applicable (NA) because HFC production or use was not occurring (NO) in 1990. Columns may not total due to rounding. Presented percentages are calculated from unrounded values.</w:t>
      </w:r>
    </w:p>
    <w:p w14:paraId="4D0B789E" w14:textId="77777777" w:rsidR="0057070D" w:rsidRPr="001D5327" w:rsidRDefault="0057070D" w:rsidP="0057070D">
      <w:pPr>
        <w:pStyle w:val="Figure"/>
      </w:pPr>
      <w:bookmarkStart w:id="2937" w:name="_Toc194674885"/>
      <w:r w:rsidRPr="001D5327">
        <w:rPr>
          <w:bCs/>
        </w:rPr>
        <w:lastRenderedPageBreak/>
        <w:t>Figure 8.1.4</w:t>
      </w:r>
      <w:r w:rsidRPr="001D5327">
        <w:rPr>
          <w:bCs/>
        </w:rPr>
        <w:tab/>
        <w:t>Emissions by sector for Tokelau (kt CO</w:t>
      </w:r>
      <w:r w:rsidRPr="001D5327">
        <w:rPr>
          <w:bCs/>
          <w:vertAlign w:val="subscript"/>
        </w:rPr>
        <w:t>2</w:t>
      </w:r>
      <w:r w:rsidRPr="001D5327">
        <w:rPr>
          <w:bCs/>
        </w:rPr>
        <w:t>-e), from 1990 to 2023</w:t>
      </w:r>
      <w:bookmarkEnd w:id="2937"/>
    </w:p>
    <w:p w14:paraId="4C1F31BF" w14:textId="77777777" w:rsidR="0057070D" w:rsidRPr="001D5327" w:rsidRDefault="0057070D" w:rsidP="0057070D">
      <w:pPr>
        <w:pStyle w:val="BodyText"/>
      </w:pPr>
      <w:r w:rsidRPr="001D5327">
        <w:rPr>
          <w:noProof/>
        </w:rPr>
        <w:drawing>
          <wp:inline distT="0" distB="0" distL="0" distR="0" wp14:anchorId="67B28BED" wp14:editId="47AEFFA1">
            <wp:extent cx="5328557" cy="3848100"/>
            <wp:effectExtent l="0" t="0" r="5715" b="0"/>
            <wp:docPr id="40" name="Picture"/>
            <wp:cNvGraphicFramePr/>
            <a:graphic xmlns:a="http://schemas.openxmlformats.org/drawingml/2006/main">
              <a:graphicData uri="http://schemas.openxmlformats.org/drawingml/2006/picture">
                <pic:pic xmlns:pic="http://schemas.openxmlformats.org/drawingml/2006/picture">
                  <pic:nvPicPr>
                    <pic:cNvPr id="41" name="Picture" descr="code/graphs/images/fig_8_1_4_tokelau_sector.png"/>
                    <pic:cNvPicPr>
                      <a:picLocks noChangeAspect="1" noChangeArrowheads="1"/>
                    </pic:cNvPicPr>
                  </pic:nvPicPr>
                  <pic:blipFill rotWithShape="1">
                    <a:blip r:embed="rId49"/>
                    <a:srcRect b="1580"/>
                    <a:stretch/>
                  </pic:blipFill>
                  <pic:spPr bwMode="auto">
                    <a:xfrm>
                      <a:off x="0" y="0"/>
                      <a:ext cx="5334381" cy="3852306"/>
                    </a:xfrm>
                    <a:prstGeom prst="rect">
                      <a:avLst/>
                    </a:prstGeom>
                    <a:noFill/>
                    <a:ln>
                      <a:noFill/>
                    </a:ln>
                    <a:extLst>
                      <a:ext uri="{53640926-AAD7-44D8-BBD7-CCE9431645EC}">
                        <a14:shadowObscured xmlns:a14="http://schemas.microsoft.com/office/drawing/2010/main"/>
                      </a:ext>
                    </a:extLst>
                  </pic:spPr>
                </pic:pic>
              </a:graphicData>
            </a:graphic>
          </wp:inline>
        </w:drawing>
      </w:r>
    </w:p>
    <w:p w14:paraId="63C438E3" w14:textId="77777777" w:rsidR="0057070D" w:rsidRPr="001D5327" w:rsidRDefault="0057070D" w:rsidP="0057070D">
      <w:pPr>
        <w:pStyle w:val="Heading5"/>
      </w:pPr>
      <w:r w:rsidRPr="001D5327">
        <w:t>2022</w:t>
      </w:r>
      <w:r w:rsidRPr="001D5327">
        <w:rPr>
          <w:bCs w:val="0"/>
        </w:rPr>
        <w:t>–</w:t>
      </w:r>
      <w:r w:rsidRPr="001D5327">
        <w:t>2023</w:t>
      </w:r>
    </w:p>
    <w:p w14:paraId="79C747C2" w14:textId="08ED378A" w:rsidR="0057070D" w:rsidRPr="001D5327" w:rsidRDefault="0057070D" w:rsidP="0057070D">
      <w:pPr>
        <w:pStyle w:val="BodyText"/>
      </w:pPr>
      <w:r w:rsidRPr="001D5327">
        <w:t>Total Tokelau emissions in 2023 were 0.49 kt CO</w:t>
      </w:r>
      <w:r w:rsidRPr="001D5327">
        <w:rPr>
          <w:vertAlign w:val="subscript"/>
        </w:rPr>
        <w:t>2</w:t>
      </w:r>
      <w:r w:rsidRPr="001D5327">
        <w:t xml:space="preserve">-e (10.4 per cent) lower than emissions in 2022. The decrease in emissions is largely in the </w:t>
      </w:r>
      <w:r w:rsidRPr="001D5327">
        <w:rPr>
          <w:i/>
          <w:iCs/>
        </w:rPr>
        <w:t>Electricity generation</w:t>
      </w:r>
      <w:r w:rsidRPr="001D5327">
        <w:t xml:space="preserve"> category, which is the result of reduced diesel due to fuel conservation initiatives and problems with the diesel electricity generators. The diesel generators have been in greater demand following issues with solar electricity generation since 2022. This decrease in emissions from </w:t>
      </w:r>
      <w:r w:rsidRPr="001D5327">
        <w:rPr>
          <w:i/>
          <w:iCs/>
        </w:rPr>
        <w:t>Electricity generation</w:t>
      </w:r>
      <w:r w:rsidRPr="001D5327">
        <w:t xml:space="preserve"> is slightly offset by a small increase in the </w:t>
      </w:r>
      <w:r w:rsidRPr="001D5327">
        <w:rPr>
          <w:i/>
          <w:iCs/>
        </w:rPr>
        <w:t>Domestic navigation</w:t>
      </w:r>
      <w:r w:rsidRPr="001D5327">
        <w:t xml:space="preserve"> category, due to</w:t>
      </w:r>
      <w:r w:rsidR="00252427" w:rsidRPr="001D5327">
        <w:t> </w:t>
      </w:r>
      <w:r w:rsidRPr="001D5327">
        <w:t>an increase in shipping trips.</w:t>
      </w:r>
    </w:p>
    <w:p w14:paraId="6D18E1DF" w14:textId="77777777" w:rsidR="0057070D" w:rsidRPr="001D5327" w:rsidRDefault="0057070D" w:rsidP="0057070D">
      <w:pPr>
        <w:pStyle w:val="Heading5"/>
      </w:pPr>
      <w:bookmarkStart w:id="2938" w:name="key-categories"/>
      <w:r w:rsidRPr="001D5327">
        <w:t>Key categories</w:t>
      </w:r>
    </w:p>
    <w:p w14:paraId="6E9E26B7" w14:textId="77777777" w:rsidR="0057070D" w:rsidRPr="001D5327" w:rsidRDefault="0057070D" w:rsidP="0057070D">
      <w:pPr>
        <w:pStyle w:val="BodyText"/>
      </w:pPr>
      <w:r w:rsidRPr="001D5327">
        <w:t>Emission categories from Tokelau have been included in the key category analysis, along with all categories reported in New Zealand’s inventory. None of the emission categories from Tokelau are key categories (either level or trend) in the 2025 submission.</w:t>
      </w:r>
    </w:p>
    <w:bookmarkEnd w:id="2933"/>
    <w:bookmarkEnd w:id="2938"/>
    <w:p w14:paraId="44401A50" w14:textId="77777777" w:rsidR="0057070D" w:rsidRPr="001D5327" w:rsidRDefault="0057070D" w:rsidP="0057070D">
      <w:pPr>
        <w:pStyle w:val="Heading3"/>
      </w:pPr>
      <w:r w:rsidRPr="001D5327">
        <w:t>8.1.4</w:t>
      </w:r>
      <w:r w:rsidRPr="001D5327">
        <w:tab/>
        <w:t>Recalculations and improvements</w:t>
      </w:r>
    </w:p>
    <w:p w14:paraId="6A3E5530" w14:textId="77777777" w:rsidR="0057070D" w:rsidRPr="001D5327" w:rsidRDefault="0057070D" w:rsidP="0057070D">
      <w:pPr>
        <w:pStyle w:val="BodyText"/>
      </w:pPr>
      <w:r w:rsidRPr="001D5327">
        <w:t>One minor recalculation has been made in the Tokelau emission estimates since the 2024 submission. Improvements made to estimates in Tokelau have resulted in a decrease of 0.03 per cent (0.001 kt CO</w:t>
      </w:r>
      <w:r w:rsidRPr="001D5327">
        <w:rPr>
          <w:vertAlign w:val="subscript"/>
        </w:rPr>
        <w:t>2</w:t>
      </w:r>
      <w:r w:rsidRPr="001D5327">
        <w:t>-e) in estimated Tokelau emissions in 1990 and an increase of 0.1 per cent (0.004 kt CO</w:t>
      </w:r>
      <w:r w:rsidRPr="001D5327">
        <w:rPr>
          <w:vertAlign w:val="subscript"/>
        </w:rPr>
        <w:t>2</w:t>
      </w:r>
      <w:r w:rsidRPr="001D5327">
        <w:t>-e) in estimated Tokelau emissions in 2022. This change is due to updates in New Zealand’s medical emissions data, which are assumed to be the same per capita in Tokelau.</w:t>
      </w:r>
    </w:p>
    <w:p w14:paraId="74570261" w14:textId="77777777" w:rsidR="0057070D" w:rsidRPr="001D5327" w:rsidRDefault="0057070D" w:rsidP="0057070D">
      <w:pPr>
        <w:pStyle w:val="Heading3"/>
      </w:pPr>
      <w:r w:rsidRPr="001D5327">
        <w:lastRenderedPageBreak/>
        <w:t>8.1.5</w:t>
      </w:r>
      <w:r w:rsidRPr="001D5327">
        <w:tab/>
        <w:t>Quality-assurance/quality-control (QA/QC) processes</w:t>
      </w:r>
    </w:p>
    <w:p w14:paraId="49032B50" w14:textId="77777777" w:rsidR="0057070D" w:rsidRPr="001D5327" w:rsidRDefault="0057070D" w:rsidP="0057070D">
      <w:pPr>
        <w:pStyle w:val="BodyText"/>
      </w:pPr>
      <w:r w:rsidRPr="001D5327">
        <w:t>Tokelau’s activity data undergo quality-control processes at the Tokelau National Statistics Office. Tokelau’s emissions estimates undergo quality-assurance and quality-control processes that are similar to those of other inventory sectors.</w:t>
      </w:r>
    </w:p>
    <w:p w14:paraId="19A18171" w14:textId="77777777" w:rsidR="0057070D" w:rsidRPr="001D5327" w:rsidRDefault="0057070D" w:rsidP="0057070D">
      <w:pPr>
        <w:pStyle w:val="BodyText"/>
      </w:pPr>
      <w:r w:rsidRPr="001D5327">
        <w:t>Figure 8.1.5 presents an overview of the compilation process for Tokelau and its integration into New Zealand’s inventory. It also shows where quality-assurance and quality-control steps are applied.</w:t>
      </w:r>
    </w:p>
    <w:p w14:paraId="63EF9CAC" w14:textId="77777777" w:rsidR="0057070D" w:rsidRPr="001D5327" w:rsidRDefault="0057070D" w:rsidP="0057070D">
      <w:pPr>
        <w:pStyle w:val="Figure"/>
      </w:pPr>
      <w:bookmarkStart w:id="2939" w:name="_Toc194674886"/>
      <w:r w:rsidRPr="001D5327">
        <w:rPr>
          <w:bCs/>
        </w:rPr>
        <w:t>Figure 8.1.5</w:t>
      </w:r>
      <w:r w:rsidRPr="001D5327">
        <w:rPr>
          <w:bCs/>
        </w:rPr>
        <w:tab/>
        <w:t>Data processing, quality-assurance and quality-control processes applied to the inventory data from Tokelau and its integration into New Zealand’s inventory</w:t>
      </w:r>
      <w:bookmarkEnd w:id="2939"/>
    </w:p>
    <w:p w14:paraId="7A5A5D67" w14:textId="77777777" w:rsidR="0057070D" w:rsidRPr="001D5327" w:rsidRDefault="0057070D" w:rsidP="0057070D">
      <w:pPr>
        <w:pStyle w:val="BodyText"/>
        <w:jc w:val="center"/>
      </w:pPr>
      <w:r w:rsidRPr="001D5327">
        <w:rPr>
          <w:noProof/>
        </w:rPr>
        <w:drawing>
          <wp:inline distT="0" distB="0" distL="0" distR="0" wp14:anchorId="1F9198FC" wp14:editId="205B60D9">
            <wp:extent cx="4007795" cy="3307404"/>
            <wp:effectExtent l="0" t="0" r="0" b="7620"/>
            <wp:docPr id="48" name="Picture"/>
            <wp:cNvGraphicFramePr/>
            <a:graphic xmlns:a="http://schemas.openxmlformats.org/drawingml/2006/main">
              <a:graphicData uri="http://schemas.openxmlformats.org/drawingml/2006/picture">
                <pic:pic xmlns:pic="http://schemas.openxmlformats.org/drawingml/2006/picture">
                  <pic:nvPicPr>
                    <pic:cNvPr id="49" name="Picture" descr="images/fig_8_1_5.png"/>
                    <pic:cNvPicPr>
                      <a:picLocks noChangeAspect="1" noChangeArrowheads="1"/>
                    </pic:cNvPicPr>
                  </pic:nvPicPr>
                  <pic:blipFill>
                    <a:blip r:embed="rId240"/>
                    <a:stretch>
                      <a:fillRect/>
                    </a:stretch>
                  </pic:blipFill>
                  <pic:spPr bwMode="auto">
                    <a:xfrm>
                      <a:off x="0" y="0"/>
                      <a:ext cx="4030567" cy="3326197"/>
                    </a:xfrm>
                    <a:prstGeom prst="rect">
                      <a:avLst/>
                    </a:prstGeom>
                    <a:noFill/>
                    <a:ln w="9525">
                      <a:noFill/>
                      <a:headEnd/>
                      <a:tailEnd/>
                    </a:ln>
                  </pic:spPr>
                </pic:pic>
              </a:graphicData>
            </a:graphic>
          </wp:inline>
        </w:drawing>
      </w:r>
    </w:p>
    <w:p w14:paraId="77BE4056" w14:textId="77777777" w:rsidR="0057070D" w:rsidRPr="001D5327" w:rsidRDefault="0057070D" w:rsidP="0057070D">
      <w:pPr>
        <w:pStyle w:val="Heading2"/>
      </w:pPr>
      <w:bookmarkStart w:id="2940" w:name="_Toc194312048"/>
      <w:bookmarkStart w:id="2941" w:name="Xcd5300556b0895163a9a89b27b745693357fe3c"/>
      <w:bookmarkEnd w:id="2924"/>
      <w:r w:rsidRPr="001D5327">
        <w:t>8.2</w:t>
      </w:r>
      <w:r w:rsidRPr="001D5327">
        <w:tab/>
        <w:t>Energy emissions from Tokelau (6. Tokelau_1)</w:t>
      </w:r>
      <w:bookmarkEnd w:id="2940"/>
    </w:p>
    <w:p w14:paraId="58B71043" w14:textId="77777777" w:rsidR="0057070D" w:rsidRPr="001D5327" w:rsidRDefault="0057070D" w:rsidP="0057070D">
      <w:pPr>
        <w:pStyle w:val="Heading3"/>
        <w:spacing w:before="240"/>
      </w:pPr>
      <w:bookmarkStart w:id="2942" w:name="overview-of-tokelaus-energy-sector"/>
      <w:r w:rsidRPr="001D5327">
        <w:t>8.2.1</w:t>
      </w:r>
      <w:r w:rsidRPr="001D5327">
        <w:tab/>
        <w:t>Overview of Tokelau’s Energy sector</w:t>
      </w:r>
    </w:p>
    <w:p w14:paraId="01F7BF46" w14:textId="77777777" w:rsidR="0057070D" w:rsidRPr="001D5327" w:rsidRDefault="0057070D" w:rsidP="0057070D">
      <w:pPr>
        <w:pStyle w:val="BodyText"/>
      </w:pPr>
      <w:r w:rsidRPr="001D5327">
        <w:t>The total amount of all energy emissions in Tokelau in 2023 was 2.27 kt CO</w:t>
      </w:r>
      <w:r w:rsidRPr="001D5327">
        <w:rPr>
          <w:vertAlign w:val="subscript"/>
        </w:rPr>
        <w:t>2</w:t>
      </w:r>
      <w:r w:rsidRPr="001D5327">
        <w:t xml:space="preserve">-e. This contributed 54.0 per cent to the total emissions from Tokelau and 0.003 per cent to New Zealand’s gross emissions including Tokelau. The categories that contributed to the energy emissions were </w:t>
      </w:r>
      <w:r w:rsidRPr="001D5327">
        <w:rPr>
          <w:i/>
          <w:iCs/>
        </w:rPr>
        <w:t>Domestic navigation</w:t>
      </w:r>
      <w:r w:rsidRPr="001D5327">
        <w:t xml:space="preserve">, </w:t>
      </w:r>
      <w:r w:rsidRPr="001D5327">
        <w:rPr>
          <w:i/>
          <w:iCs/>
        </w:rPr>
        <w:t>Electricity generation</w:t>
      </w:r>
      <w:r w:rsidRPr="001D5327">
        <w:t xml:space="preserve"> and </w:t>
      </w:r>
      <w:r w:rsidRPr="001D5327">
        <w:rPr>
          <w:i/>
          <w:iCs/>
        </w:rPr>
        <w:t>Other – Residential</w:t>
      </w:r>
      <w:r w:rsidRPr="001D5327">
        <w:t>.</w:t>
      </w:r>
    </w:p>
    <w:p w14:paraId="1871873F" w14:textId="77777777" w:rsidR="0057070D" w:rsidRPr="001D5327" w:rsidRDefault="0057070D" w:rsidP="0057070D">
      <w:pPr>
        <w:pStyle w:val="BodyText"/>
      </w:pPr>
      <w:r w:rsidRPr="001D5327">
        <w:t>For all energy categories, emissions were estimated using the IPCC Tier 1 methodological approach with IPCC default emission factors (IPCC, 2006a). Default IPCC uncertainty values were used for all estimates (IPCC, 2006a).</w:t>
      </w:r>
    </w:p>
    <w:p w14:paraId="565E32CF" w14:textId="77777777" w:rsidR="0057070D" w:rsidRPr="001D5327" w:rsidRDefault="0057070D" w:rsidP="0057070D">
      <w:pPr>
        <w:pStyle w:val="BodyText"/>
      </w:pPr>
      <w:r w:rsidRPr="001D5327">
        <w:t>Tokelau predominately uses diesel oil and petrol (for back-up generators and transport) and liquefied petroleum gas (LPG) (for cooking purposes). Solid fuels are not used in Tokelau, other than on a small scale, for instance the husks of locally grown coconuts. Emissions from solid fuels are, therefore, not estimated.</w:t>
      </w:r>
    </w:p>
    <w:p w14:paraId="76D02582" w14:textId="77777777" w:rsidR="0057070D" w:rsidRPr="001D5327" w:rsidRDefault="0057070D" w:rsidP="0057070D">
      <w:pPr>
        <w:pStyle w:val="BodyText"/>
        <w:rPr>
          <w:spacing w:val="-2"/>
        </w:rPr>
      </w:pPr>
      <w:r w:rsidRPr="001D5327">
        <w:lastRenderedPageBreak/>
        <w:t xml:space="preserve">Small amounts of other fossil fuels are imported by Tokelau, which are assumed to be combusted. These include gasoline, other kerosene and lubricants. Their combustion is accounted for under </w:t>
      </w:r>
      <w:r w:rsidRPr="001D5327">
        <w:rPr>
          <w:i/>
          <w:iCs/>
        </w:rPr>
        <w:t>Domestic navigation –</w:t>
      </w:r>
      <w:r w:rsidRPr="001D5327">
        <w:t xml:space="preserve"> </w:t>
      </w:r>
      <w:r w:rsidRPr="001D5327">
        <w:rPr>
          <w:i/>
          <w:iCs/>
        </w:rPr>
        <w:t>Gas/diesel oil</w:t>
      </w:r>
      <w:r w:rsidRPr="001D5327">
        <w:t xml:space="preserve">. Around 40 drums (205-litre capacity per drum) of oil are imported annually, the bulk of which is assumed to be mixed with petrol for ‘outboard’ engine use and combusted, with only a few drums used to lubricate cars and </w:t>
      </w:r>
      <w:r w:rsidRPr="001D5327">
        <w:rPr>
          <w:spacing w:val="-2"/>
        </w:rPr>
        <w:t xml:space="preserve">other engines. Because none of those are recycled, combustion is the most likely outcome. After every five roundtrips, oil changes carried out in Apia during servicing of the ferries </w:t>
      </w:r>
      <w:r w:rsidRPr="001D5327">
        <w:rPr>
          <w:i/>
          <w:iCs/>
          <w:spacing w:val="-2"/>
        </w:rPr>
        <w:t>Mataliki</w:t>
      </w:r>
      <w:r w:rsidRPr="001D5327">
        <w:rPr>
          <w:spacing w:val="-2"/>
        </w:rPr>
        <w:t xml:space="preserve"> and </w:t>
      </w:r>
      <w:r w:rsidRPr="001D5327">
        <w:rPr>
          <w:i/>
          <w:iCs/>
          <w:spacing w:val="-2"/>
        </w:rPr>
        <w:t>Kalopaga</w:t>
      </w:r>
      <w:r w:rsidRPr="001D5327">
        <w:rPr>
          <w:spacing w:val="-2"/>
        </w:rPr>
        <w:t xml:space="preserve"> have the more significant amount of waste oil but this remains in Samoa.</w:t>
      </w:r>
    </w:p>
    <w:p w14:paraId="2A3BE52A" w14:textId="77777777" w:rsidR="0057070D" w:rsidRPr="001D5327" w:rsidRDefault="0057070D" w:rsidP="0057070D">
      <w:pPr>
        <w:pStyle w:val="BodyText"/>
      </w:pPr>
      <w:r w:rsidRPr="001D5327">
        <w:t>For consistency with New Zealand’s Energy sector, gross calorific values were used for Energy sector estimates from Tokelau. The relevant IPCC default emission factors were adjusted accordingly by multiplying them by 0.95 and 0.90 for liquid and gaseous fuels respectively.</w:t>
      </w:r>
    </w:p>
    <w:p w14:paraId="56D33654" w14:textId="77777777" w:rsidR="0057070D" w:rsidRPr="001D5327" w:rsidRDefault="0057070D" w:rsidP="0057070D">
      <w:pPr>
        <w:pStyle w:val="Heading3"/>
      </w:pPr>
      <w:bookmarkStart w:id="2943" w:name="reference-approach"/>
      <w:bookmarkEnd w:id="2942"/>
      <w:r w:rsidRPr="001D5327">
        <w:t>8.2.2</w:t>
      </w:r>
      <w:r w:rsidRPr="001D5327">
        <w:tab/>
        <w:t>Reference approach</w:t>
      </w:r>
    </w:p>
    <w:p w14:paraId="7FD80596" w14:textId="77777777" w:rsidR="0057070D" w:rsidRPr="001D5327" w:rsidRDefault="0057070D" w:rsidP="0057070D">
      <w:pPr>
        <w:pStyle w:val="BodyText"/>
      </w:pPr>
      <w:r w:rsidRPr="001D5327">
        <w:t>The reference approach calculations were performed according to the methods described in the 2006 IPCC Guidelines. Equations 6.1 to 6.4 from chapter 6 in the 2006 IPCC Guidelines were used for calculating consumption and estimating emissions (IPCC, 2006a). Gross calorific values were used for all calculations.</w:t>
      </w:r>
    </w:p>
    <w:p w14:paraId="1D5B39DD" w14:textId="77777777" w:rsidR="0057070D" w:rsidRPr="001D5327" w:rsidRDefault="0057070D" w:rsidP="0057070D">
      <w:pPr>
        <w:pStyle w:val="BodyText"/>
      </w:pPr>
      <w:r w:rsidRPr="001D5327">
        <w:t>In 2023, total CO</w:t>
      </w:r>
      <w:r w:rsidRPr="001D5327">
        <w:rPr>
          <w:vertAlign w:val="subscript"/>
        </w:rPr>
        <w:t>2</w:t>
      </w:r>
      <w:r w:rsidRPr="001D5327">
        <w:t xml:space="preserve"> emissions from the reference approach in Tokelau were 1.99 kt, which differs from the sectoral approach by 2.3 per cent. The average variation of differences between the sectoral and reference approach across the time series was 2.2 per cent.</w:t>
      </w:r>
    </w:p>
    <w:p w14:paraId="4FC79C31" w14:textId="77777777" w:rsidR="0057070D" w:rsidRPr="001D5327" w:rsidRDefault="0057070D" w:rsidP="0057070D">
      <w:pPr>
        <w:pStyle w:val="Heading3"/>
      </w:pPr>
      <w:bookmarkStart w:id="2944" w:name="international-bunker-fuels"/>
      <w:bookmarkEnd w:id="2943"/>
      <w:r w:rsidRPr="001D5327">
        <w:t>8.2.3</w:t>
      </w:r>
      <w:r w:rsidRPr="001D5327">
        <w:tab/>
        <w:t>International bunker fuels</w:t>
      </w:r>
    </w:p>
    <w:p w14:paraId="37BFD386" w14:textId="77777777" w:rsidR="0057070D" w:rsidRPr="001D5327" w:rsidRDefault="0057070D" w:rsidP="0057070D">
      <w:pPr>
        <w:pStyle w:val="BodyText"/>
      </w:pPr>
      <w:r w:rsidRPr="001D5327">
        <w:t>No fuel is used for international navigation in Tokelau, because only domestic voyages are made by Tokelau’s vessels. All international voyages use the fuel loaded in Samoa and no refuelling is done in Tokelau for the international routes.</w:t>
      </w:r>
    </w:p>
    <w:p w14:paraId="55229FB5" w14:textId="77777777" w:rsidR="0057070D" w:rsidRPr="001D5327" w:rsidRDefault="0057070D" w:rsidP="0057070D">
      <w:pPr>
        <w:pStyle w:val="BodyText"/>
      </w:pPr>
      <w:r w:rsidRPr="001D5327">
        <w:t>Tokelau has no domestic or international aviation transportation.</w:t>
      </w:r>
    </w:p>
    <w:p w14:paraId="2C55CF67" w14:textId="77777777" w:rsidR="0057070D" w:rsidRPr="001D5327" w:rsidRDefault="0057070D" w:rsidP="0057070D">
      <w:pPr>
        <w:pStyle w:val="Heading2"/>
      </w:pPr>
      <w:bookmarkStart w:id="2945" w:name="_Toc194312049"/>
      <w:bookmarkStart w:id="2946" w:name="X28afd734f18878b6460c7bd7cf440e665c35fc3"/>
      <w:bookmarkEnd w:id="2941"/>
      <w:bookmarkEnd w:id="2944"/>
      <w:r w:rsidRPr="001D5327">
        <w:t>8.3</w:t>
      </w:r>
      <w:r w:rsidRPr="001D5327">
        <w:tab/>
        <w:t>Stationary combustion: Public electricity and heat production</w:t>
      </w:r>
      <w:bookmarkEnd w:id="2945"/>
    </w:p>
    <w:p w14:paraId="7302646D" w14:textId="77777777" w:rsidR="0057070D" w:rsidRPr="001D5327" w:rsidRDefault="0057070D" w:rsidP="0057070D">
      <w:pPr>
        <w:pStyle w:val="Heading3"/>
        <w:spacing w:before="240"/>
      </w:pPr>
      <w:r w:rsidRPr="001D5327">
        <w:t>8.3.1</w:t>
      </w:r>
      <w:r w:rsidRPr="001D5327">
        <w:tab/>
        <w:t>Description</w:t>
      </w:r>
    </w:p>
    <w:p w14:paraId="3DD3AAC6" w14:textId="77777777" w:rsidR="0057070D" w:rsidRPr="001D5327" w:rsidRDefault="0057070D" w:rsidP="0057070D">
      <w:pPr>
        <w:pStyle w:val="BodyText"/>
      </w:pPr>
      <w:r w:rsidRPr="001D5327">
        <w:t xml:space="preserve">The main source of emissions from this category in Tokelau includes electricity production from back-up generators. Tokelau uses liquid fossil fuels for these purposes, therefore, only liquid fossil fuels are reported in the </w:t>
      </w:r>
      <w:r w:rsidRPr="001D5327">
        <w:rPr>
          <w:i/>
          <w:iCs/>
        </w:rPr>
        <w:t>Energy industries</w:t>
      </w:r>
      <w:r w:rsidRPr="001D5327">
        <w:t xml:space="preserve"> category.</w:t>
      </w:r>
    </w:p>
    <w:p w14:paraId="7C4B4D76" w14:textId="77777777" w:rsidR="0057070D" w:rsidRPr="001D5327" w:rsidRDefault="0057070D" w:rsidP="0057070D">
      <w:pPr>
        <w:pStyle w:val="BodyText"/>
      </w:pPr>
      <w:r w:rsidRPr="001D5327">
        <w:t>Like most small Pacific Island nations and territories, Tokelau has been heavily reliant on the importation of fossil fuels for energy generation. Imports increased significantly in 2004, when electric power became available for households 24 hours a day, 7 days a week. Before that, electricity was generated between 6 pm and 10 pm daily, and annual diesel consumption was about 20 per cent of the value in 2011.</w:t>
      </w:r>
    </w:p>
    <w:p w14:paraId="6FE79868" w14:textId="77777777" w:rsidR="0057070D" w:rsidRPr="001D5327" w:rsidRDefault="0057070D" w:rsidP="0057070D">
      <w:pPr>
        <w:pStyle w:val="BodyText"/>
      </w:pPr>
      <w:r w:rsidRPr="001D5327">
        <w:t>In 2012, the installation of 4,000 solar photovoltaics (PV) systems across the three atolls was completed (figure 8.3.1). Each of the three Tokelau atolls now has a significant array of solar PV systems that cater for a significant proportion of local electric power requirements.</w:t>
      </w:r>
    </w:p>
    <w:p w14:paraId="22CEC764" w14:textId="77777777" w:rsidR="0057070D" w:rsidRPr="001D5327" w:rsidRDefault="0057070D" w:rsidP="0057070D">
      <w:pPr>
        <w:pStyle w:val="Figure"/>
      </w:pPr>
      <w:bookmarkStart w:id="2947" w:name="_Toc194674887"/>
      <w:r w:rsidRPr="001D5327">
        <w:rPr>
          <w:bCs/>
        </w:rPr>
        <w:lastRenderedPageBreak/>
        <w:t>Figure 8.3.1</w:t>
      </w:r>
      <w:r w:rsidRPr="001D5327">
        <w:rPr>
          <w:bCs/>
        </w:rPr>
        <w:tab/>
        <w:t>Cluster block diagram for Tokelau’s solar project</w:t>
      </w:r>
      <w:bookmarkEnd w:id="2947"/>
    </w:p>
    <w:p w14:paraId="71C419AC" w14:textId="77777777" w:rsidR="0057070D" w:rsidRPr="001D5327" w:rsidRDefault="0057070D" w:rsidP="0057070D">
      <w:pPr>
        <w:pStyle w:val="BodyText"/>
      </w:pPr>
      <w:r w:rsidRPr="001D5327">
        <w:rPr>
          <w:noProof/>
        </w:rPr>
        <w:drawing>
          <wp:inline distT="0" distB="0" distL="0" distR="0" wp14:anchorId="2A081A2C" wp14:editId="2137C834">
            <wp:extent cx="5048656" cy="3190672"/>
            <wp:effectExtent l="0" t="0" r="0" b="0"/>
            <wp:docPr id="57" name="Picture"/>
            <wp:cNvGraphicFramePr/>
            <a:graphic xmlns:a="http://schemas.openxmlformats.org/drawingml/2006/main">
              <a:graphicData uri="http://schemas.openxmlformats.org/drawingml/2006/picture">
                <pic:pic xmlns:pic="http://schemas.openxmlformats.org/drawingml/2006/picture">
                  <pic:nvPicPr>
                    <pic:cNvPr id="58" name="Picture" descr="images/fig_8_2_1.png"/>
                    <pic:cNvPicPr>
                      <a:picLocks noChangeAspect="1" noChangeArrowheads="1"/>
                    </pic:cNvPicPr>
                  </pic:nvPicPr>
                  <pic:blipFill rotWithShape="1">
                    <a:blip r:embed="rId241"/>
                    <a:srcRect b="4060"/>
                    <a:stretch/>
                  </pic:blipFill>
                  <pic:spPr bwMode="auto">
                    <a:xfrm>
                      <a:off x="0" y="0"/>
                      <a:ext cx="5057702" cy="3196389"/>
                    </a:xfrm>
                    <a:prstGeom prst="rect">
                      <a:avLst/>
                    </a:prstGeom>
                    <a:noFill/>
                    <a:ln>
                      <a:noFill/>
                    </a:ln>
                    <a:extLst>
                      <a:ext uri="{53640926-AAD7-44D8-BBD7-CCE9431645EC}">
                        <a14:shadowObscured xmlns:a14="http://schemas.microsoft.com/office/drawing/2010/main"/>
                      </a:ext>
                    </a:extLst>
                  </pic:spPr>
                </pic:pic>
              </a:graphicData>
            </a:graphic>
          </wp:inline>
        </w:drawing>
      </w:r>
    </w:p>
    <w:p w14:paraId="0B19CD3B" w14:textId="7B855F88" w:rsidR="0057070D" w:rsidRPr="001D5327" w:rsidRDefault="0057070D" w:rsidP="0057070D">
      <w:pPr>
        <w:pStyle w:val="Noteundertable"/>
      </w:pPr>
      <w:r w:rsidRPr="001D5327">
        <w:t>Source:</w:t>
      </w:r>
      <w:r w:rsidRPr="001D5327">
        <w:rPr>
          <w:b/>
          <w:bCs/>
        </w:rPr>
        <w:tab/>
      </w:r>
      <w:r w:rsidRPr="001D5327">
        <w:rPr>
          <w:b/>
          <w:bCs/>
        </w:rPr>
        <w:tab/>
      </w:r>
      <w:r w:rsidRPr="001D5327">
        <w:t>International Renewable Energy Agency</w:t>
      </w:r>
      <w:r w:rsidR="007B77E5">
        <w:t xml:space="preserve"> </w:t>
      </w:r>
      <w:r w:rsidR="0043094E">
        <w:t>(</w:t>
      </w:r>
      <w:r w:rsidR="007B77E5">
        <w:t>2013</w:t>
      </w:r>
      <w:r w:rsidR="0043094E">
        <w:t>)</w:t>
      </w:r>
    </w:p>
    <w:p w14:paraId="77E2F9B7" w14:textId="77777777" w:rsidR="0057070D" w:rsidRPr="001D5327" w:rsidRDefault="0057070D" w:rsidP="0057070D">
      <w:pPr>
        <w:pStyle w:val="BodyText"/>
      </w:pPr>
      <w:r w:rsidRPr="001D5327">
        <w:t>Tokelau received wide media coverage for its installation of solar PV units.</w:t>
      </w:r>
      <w:r w:rsidRPr="001D5327">
        <w:rPr>
          <w:rStyle w:val="FootnoteReference"/>
        </w:rPr>
        <w:footnoteReference w:id="61"/>
      </w:r>
      <w:r w:rsidRPr="001D5327">
        <w:t xml:space="preserve"> The change resulted in a significant drop in liquid fossil fuels consumption for electricity production in Tokelau (by around 82.5 per cent) and a decrease in the total energy emissions by 36.4 per cent between 2011 and 2013. However, some power generation using diesel remains necessary as a back up, during the failure of solar PV units, prolonged cloudy spells, and to meet the steadily increasing demand from households and the public sector. In 2022, Tokelau’s reliance on diesel generators has increased in part due to Nukunonu’s solar panel batteries overheating due to low maintenance. A project that was planned to upgrade the solar panel batteries was deferred due to COVID-19. </w:t>
      </w:r>
    </w:p>
    <w:p w14:paraId="5992E4E7" w14:textId="77777777" w:rsidR="0057070D" w:rsidRPr="001D5327" w:rsidRDefault="0057070D" w:rsidP="0057070D">
      <w:pPr>
        <w:pStyle w:val="Heading5"/>
      </w:pPr>
      <w:bookmarkStart w:id="2948" w:name="energy-emission-trends"/>
      <w:r w:rsidRPr="001D5327">
        <w:t>Energy emission trends</w:t>
      </w:r>
    </w:p>
    <w:p w14:paraId="736462D5" w14:textId="77777777" w:rsidR="0057070D" w:rsidRPr="001D5327" w:rsidRDefault="0057070D" w:rsidP="0057070D">
      <w:pPr>
        <w:pStyle w:val="BodyText"/>
      </w:pPr>
      <w:r w:rsidRPr="001D5327">
        <w:t xml:space="preserve">For Tokelau, the </w:t>
      </w:r>
      <w:r w:rsidRPr="001D5327">
        <w:rPr>
          <w:i/>
          <w:iCs/>
        </w:rPr>
        <w:t>Electricity generation</w:t>
      </w:r>
      <w:r w:rsidRPr="001D5327">
        <w:t xml:space="preserve"> category accounted for 100 per cent of the emissions from the </w:t>
      </w:r>
      <w:r w:rsidRPr="001D5327">
        <w:rPr>
          <w:i/>
          <w:iCs/>
        </w:rPr>
        <w:t>Energy industries</w:t>
      </w:r>
      <w:r w:rsidRPr="001D5327">
        <w:t xml:space="preserve"> category for the entire time series. In 2023, emissions from the </w:t>
      </w:r>
      <w:r w:rsidRPr="001D5327">
        <w:rPr>
          <w:i/>
          <w:iCs/>
        </w:rPr>
        <w:t>Energy industries</w:t>
      </w:r>
      <w:r w:rsidRPr="001D5327">
        <w:t xml:space="preserve"> category totalled 0.78 kt CO</w:t>
      </w:r>
      <w:r w:rsidRPr="001D5327">
        <w:rPr>
          <w:vertAlign w:val="subscript"/>
        </w:rPr>
        <w:t>2</w:t>
      </w:r>
      <w:r w:rsidRPr="001D5327">
        <w:t>-e (34.2 per cent of all energy emissions from Tokelau). Emissions from energy industries increased by 0.54 kt CO</w:t>
      </w:r>
      <w:r w:rsidRPr="001D5327">
        <w:rPr>
          <w:vertAlign w:val="subscript"/>
        </w:rPr>
        <w:t>2</w:t>
      </w:r>
      <w:r w:rsidRPr="001D5327">
        <w:t>-e (136.1 per cent) since the 1990 level of 0.23 kt CO</w:t>
      </w:r>
      <w:r w:rsidRPr="001D5327">
        <w:rPr>
          <w:vertAlign w:val="subscript"/>
        </w:rPr>
        <w:t>2</w:t>
      </w:r>
      <w:r w:rsidRPr="001D5327">
        <w:t>-e.</w:t>
      </w:r>
    </w:p>
    <w:p w14:paraId="6D307B50" w14:textId="77777777" w:rsidR="0057070D" w:rsidRPr="001D5327" w:rsidRDefault="0057070D" w:rsidP="0057070D">
      <w:pPr>
        <w:pStyle w:val="BodyText"/>
      </w:pPr>
      <w:r w:rsidRPr="001D5327">
        <w:t>The increase in emissions in 2004 was due to continuously generating electricity from fossil fuels, which was later offset by the installation of solar PV units in 2012. After 2012, solar energy dominated electricity production until the end of the time series when demand increased for diesel generation because the generation from solar power decreased. Figure 8.3.2 shows emission trends in the Energy sector by category for Tokelau.</w:t>
      </w:r>
    </w:p>
    <w:p w14:paraId="77F7A8AA" w14:textId="77777777" w:rsidR="0057070D" w:rsidRPr="001D5327" w:rsidRDefault="0057070D" w:rsidP="0057070D">
      <w:pPr>
        <w:pStyle w:val="Figure"/>
      </w:pPr>
      <w:bookmarkStart w:id="2949" w:name="_Toc194674888"/>
      <w:r w:rsidRPr="001D5327">
        <w:rPr>
          <w:bCs/>
        </w:rPr>
        <w:lastRenderedPageBreak/>
        <w:t>Figure 8.3.2</w:t>
      </w:r>
      <w:r w:rsidRPr="001D5327">
        <w:tab/>
        <w:t>Energy emissions by category for Tokelau (kt CO</w:t>
      </w:r>
      <w:r w:rsidRPr="001D5327">
        <w:rPr>
          <w:vertAlign w:val="subscript"/>
        </w:rPr>
        <w:t>2</w:t>
      </w:r>
      <w:r w:rsidRPr="001D5327">
        <w:t xml:space="preserve">-e), from </w:t>
      </w:r>
      <w:r w:rsidRPr="001D5327">
        <w:rPr>
          <w:bCs/>
        </w:rPr>
        <w:t>1990</w:t>
      </w:r>
      <w:r w:rsidRPr="001D5327">
        <w:t xml:space="preserve"> to </w:t>
      </w:r>
      <w:r w:rsidRPr="001D5327">
        <w:rPr>
          <w:bCs/>
        </w:rPr>
        <w:t>2023</w:t>
      </w:r>
      <w:bookmarkEnd w:id="2949"/>
    </w:p>
    <w:p w14:paraId="730E84A8" w14:textId="77777777" w:rsidR="0057070D" w:rsidRPr="001D5327" w:rsidRDefault="0057070D" w:rsidP="00254233">
      <w:pPr>
        <w:pStyle w:val="BodyText"/>
        <w:spacing w:after="0"/>
      </w:pPr>
      <w:r w:rsidRPr="001D5327">
        <w:rPr>
          <w:noProof/>
        </w:rPr>
        <w:drawing>
          <wp:inline distT="0" distB="0" distL="0" distR="0" wp14:anchorId="3091C0E0" wp14:editId="0AC5F163">
            <wp:extent cx="5379396" cy="2714017"/>
            <wp:effectExtent l="0" t="0" r="0" b="0"/>
            <wp:docPr id="62" name="Picture"/>
            <wp:cNvGraphicFramePr/>
            <a:graphic xmlns:a="http://schemas.openxmlformats.org/drawingml/2006/main">
              <a:graphicData uri="http://schemas.openxmlformats.org/drawingml/2006/picture">
                <pic:pic xmlns:pic="http://schemas.openxmlformats.org/drawingml/2006/picture">
                  <pic:nvPicPr>
                    <pic:cNvPr id="63" name="Picture" descr="images/fig_8_3_2.png"/>
                    <pic:cNvPicPr>
                      <a:picLocks noChangeAspect="1" noChangeArrowheads="1"/>
                    </pic:cNvPicPr>
                  </pic:nvPicPr>
                  <pic:blipFill>
                    <a:blip r:embed="rId242"/>
                    <a:stretch>
                      <a:fillRect/>
                    </a:stretch>
                  </pic:blipFill>
                  <pic:spPr bwMode="auto">
                    <a:xfrm>
                      <a:off x="0" y="0"/>
                      <a:ext cx="5380540" cy="2714594"/>
                    </a:xfrm>
                    <a:prstGeom prst="rect">
                      <a:avLst/>
                    </a:prstGeom>
                    <a:noFill/>
                    <a:ln w="9525">
                      <a:noFill/>
                      <a:headEnd/>
                      <a:tailEnd/>
                    </a:ln>
                  </pic:spPr>
                </pic:pic>
              </a:graphicData>
            </a:graphic>
          </wp:inline>
        </w:drawing>
      </w:r>
    </w:p>
    <w:bookmarkEnd w:id="2948"/>
    <w:p w14:paraId="0F040776" w14:textId="77777777" w:rsidR="0057070D" w:rsidRPr="001D5327" w:rsidRDefault="0057070D" w:rsidP="0057070D">
      <w:pPr>
        <w:pStyle w:val="Heading3"/>
      </w:pPr>
      <w:r w:rsidRPr="001D5327">
        <w:t>8.3.2</w:t>
      </w:r>
      <w:r w:rsidRPr="001D5327">
        <w:tab/>
        <w:t>Methodological issues</w:t>
      </w:r>
    </w:p>
    <w:p w14:paraId="289EF909" w14:textId="77777777" w:rsidR="0057070D" w:rsidRPr="001D5327" w:rsidRDefault="0057070D" w:rsidP="0057070D">
      <w:pPr>
        <w:pStyle w:val="Heading5"/>
      </w:pPr>
      <w:bookmarkStart w:id="2950" w:name="activity-data-1"/>
      <w:r w:rsidRPr="001D5327">
        <w:t>Activity data</w:t>
      </w:r>
    </w:p>
    <w:p w14:paraId="75C48676" w14:textId="77777777" w:rsidR="0057070D" w:rsidRPr="001D5327" w:rsidRDefault="0057070D" w:rsidP="0057070D">
      <w:pPr>
        <w:pStyle w:val="BodyText"/>
      </w:pPr>
      <w:r w:rsidRPr="001D5327">
        <w:t xml:space="preserve">The sources of activity data for the </w:t>
      </w:r>
      <w:r w:rsidRPr="001D5327">
        <w:rPr>
          <w:i/>
          <w:iCs/>
        </w:rPr>
        <w:t>Energy industries</w:t>
      </w:r>
      <w:r w:rsidRPr="001D5327">
        <w:t xml:space="preserve"> category are included in table 8.1.1. Key sources for the energy supply and consumption data are the Tokelau Department of Energy and Petroleum Product Supplies Ltd (Apia, Samoa). The Tokelau Department of Energy provided background data for estimates of diesel use for power generation around the time that electricity changed to 24 hours a day, 7 days a week in Tokelau in 2004 (item 6 in table 8.1.1). Based on purchase information, the Department of Finance provided the data on fuel prices and volumes supplied by Petroleum Product Supplies Ltd for shipping and on-atoll use of diesel, petrol, kerosene and lubricant oil (item 7 in table 8.1.1). Only liquid fossil fuels (i.e., gas and diesel oil) are used in the </w:t>
      </w:r>
      <w:r w:rsidRPr="001D5327">
        <w:rPr>
          <w:i/>
          <w:iCs/>
        </w:rPr>
        <w:t>Energy industries</w:t>
      </w:r>
      <w:r w:rsidRPr="001D5327">
        <w:t xml:space="preserve"> category. All fossil fuels in Tokelau are imported and activity data are mostly obtained from analysis of invoices from main suppliers and shipping manifests.</w:t>
      </w:r>
    </w:p>
    <w:p w14:paraId="0F6765EA" w14:textId="77777777" w:rsidR="0057070D" w:rsidRPr="001D5327" w:rsidRDefault="0057070D" w:rsidP="0057070D">
      <w:pPr>
        <w:pStyle w:val="BodyText"/>
      </w:pPr>
      <w:r w:rsidRPr="001D5327">
        <w:t>In the course of the analysis of available data, discrepancies were discovered between the fuel imports shown on shipping manifests and the more reliable financial fuel purchase data that were audited. Detailed data were not available for each year from 1990 to 2023 (or data reliability was not high), so a trade-off was made between data granularity and data quality. The biggest and most reliably recorded data variations are reflected in the time series.</w:t>
      </w:r>
    </w:p>
    <w:p w14:paraId="0CBD7E07" w14:textId="77777777" w:rsidR="0057070D" w:rsidRPr="001D5327" w:rsidRDefault="0057070D" w:rsidP="0057070D">
      <w:pPr>
        <w:pStyle w:val="BodyText"/>
      </w:pPr>
      <w:r w:rsidRPr="001D5327">
        <w:t>For electricity generation, two important events occurred: first, the changeover to 24 hour, 7 days a week electricity in 2004 (from 6 pm to 10 pm before that, at an estimated 20 per cent of the 24 hour, 7 days a week value in 2011); and second the introduction of solar PV-powered plants in 2012. The change during 2012, due to the installation of solar PV-powered plants, was reasonably well documented and, therefore, reflected in the time series. For the years 1990 to 2003, 2005 to 2011 and 2013 to 2015, the activity data (and corresponding emissions) are shown as constant. In 2022, Tokelau’s reliance on diesel generators has increased due to an increase in demand and a decrease in the availability of solar power. Use of diesel generators subsequently decreased in 2023 due to fuel conservation initiatives and problems with the generators.</w:t>
      </w:r>
    </w:p>
    <w:p w14:paraId="5C9898F9" w14:textId="77777777" w:rsidR="0057070D" w:rsidRPr="001D5327" w:rsidRDefault="0057070D" w:rsidP="0057070D">
      <w:pPr>
        <w:pStyle w:val="BodyText"/>
      </w:pPr>
      <w:r w:rsidRPr="001D5327">
        <w:lastRenderedPageBreak/>
        <w:t>The diesel data for 2013 to 2015 were entirely based on analysis during 2018 of fuel purchases, when, for the first time, Tokelau’s analysts could clearly separate out the diesel used on-atoll and for shipping. The methodology for such analyses that was put in place for the 2019 inventory submission has been refined in each subsequent submission.</w:t>
      </w:r>
    </w:p>
    <w:p w14:paraId="65317EC4" w14:textId="178300C1" w:rsidR="0057070D" w:rsidRPr="001D5327" w:rsidRDefault="0057070D" w:rsidP="0057070D">
      <w:pPr>
        <w:pStyle w:val="BodyText"/>
      </w:pPr>
      <w:r w:rsidRPr="001D5327">
        <w:t>Diesel is delivered on ‘dangerous goods sailings’ to Tokelau in the ships’ fuel bunkers. On</w:t>
      </w:r>
      <w:r w:rsidR="00BD6AAF" w:rsidRPr="001D5327">
        <w:t> </w:t>
      </w:r>
      <w:r w:rsidRPr="001D5327">
        <w:t>arrival, it is pumped into drums on a barge, for shipping to shore and transport to the generator sites.</w:t>
      </w:r>
    </w:p>
    <w:p w14:paraId="36D91E23" w14:textId="77777777" w:rsidR="0057070D" w:rsidRPr="001D5327" w:rsidRDefault="0057070D" w:rsidP="0057070D">
      <w:pPr>
        <w:pStyle w:val="Heading5"/>
      </w:pPr>
      <w:bookmarkStart w:id="2951" w:name="methods-and-emission-factors-1"/>
      <w:bookmarkEnd w:id="2950"/>
      <w:r w:rsidRPr="001D5327">
        <w:t>Methods and emission factors</w:t>
      </w:r>
    </w:p>
    <w:p w14:paraId="426604FF" w14:textId="77777777" w:rsidR="0057070D" w:rsidRPr="001D5327" w:rsidRDefault="0057070D" w:rsidP="0057070D">
      <w:pPr>
        <w:pStyle w:val="BodyText"/>
      </w:pPr>
      <w:r w:rsidRPr="001D5327">
        <w:t xml:space="preserve">An IPCC Tier 1 method was applied for estimating emissions from the </w:t>
      </w:r>
      <w:r w:rsidRPr="001D5327">
        <w:rPr>
          <w:i/>
          <w:iCs/>
        </w:rPr>
        <w:t>Electricity generation</w:t>
      </w:r>
      <w:r w:rsidRPr="001D5327">
        <w:t xml:space="preserve"> category. The method required the data on the amount of LPG combusted in the source category and a default emission factor from table 2.2, section 2.3.2.1, volume 2 of the 2006 IPCC Guidelines. Default emission factors from the 2006 IPCC Guidelines were converted from net calorific values to gross calorific values using the Organisation for Economic Co-operation and Development (OECD) and International Energy Agency (IEA) assumptions to make these conversions:</w:t>
      </w:r>
    </w:p>
    <w:p w14:paraId="5EDA9422" w14:textId="77777777" w:rsidR="0057070D" w:rsidRPr="001D5327" w:rsidRDefault="0057070D" w:rsidP="0057070D">
      <w:pPr>
        <w:pStyle w:val="BodyText"/>
        <w:spacing w:before="100" w:after="100"/>
        <w:jc w:val="center"/>
        <w:rPr>
          <w:rFonts w:ascii="Cambria Math" w:hAnsi="Cambria Math"/>
          <w:i/>
          <w:iCs/>
          <w:sz w:val="24"/>
          <w:szCs w:val="24"/>
          <w:lang w:eastAsia="en-GB"/>
        </w:rPr>
      </w:pPr>
      <w:r w:rsidRPr="001D5327">
        <w:rPr>
          <w:rFonts w:ascii="Cambria Math" w:hAnsi="Cambria Math"/>
          <w:i/>
          <w:iCs/>
          <w:sz w:val="24"/>
          <w:szCs w:val="24"/>
          <w:lang w:eastAsia="en-GB"/>
        </w:rPr>
        <w:t>Gross Emission Factor (liquid fuels) = 0.95 x Net Emission Factor</w:t>
      </w:r>
    </w:p>
    <w:p w14:paraId="0271D2F8" w14:textId="77777777" w:rsidR="0057070D" w:rsidRPr="001D5327" w:rsidRDefault="0057070D" w:rsidP="0057070D">
      <w:pPr>
        <w:pStyle w:val="BodyText"/>
      </w:pPr>
      <w:r w:rsidRPr="001D5327">
        <w:t>Equations 2.1 and 2.2 from section 2.3.1.1 in the 2006 IPCC Guidelines were used for estimating emissions (IPCC, 2006a).</w:t>
      </w:r>
    </w:p>
    <w:bookmarkEnd w:id="2951"/>
    <w:p w14:paraId="63B715CF" w14:textId="77777777" w:rsidR="0057070D" w:rsidRPr="001D5327" w:rsidRDefault="0057070D" w:rsidP="0057070D">
      <w:pPr>
        <w:pStyle w:val="Heading3"/>
      </w:pPr>
      <w:r w:rsidRPr="001D5327">
        <w:t>8.3.3</w:t>
      </w:r>
      <w:r w:rsidRPr="001D5327">
        <w:tab/>
        <w:t>Uncertainty assessment and time-series consistency</w:t>
      </w:r>
    </w:p>
    <w:p w14:paraId="01CC9C5E" w14:textId="77777777" w:rsidR="0057070D" w:rsidRPr="001D5327" w:rsidRDefault="0057070D" w:rsidP="0057070D">
      <w:pPr>
        <w:pStyle w:val="BodyText"/>
      </w:pPr>
      <w:r w:rsidRPr="001D5327">
        <w:rPr>
          <w:spacing w:val="-2"/>
        </w:rPr>
        <w:t xml:space="preserve">For this submission, it was not possible to develop Tokelau-specific uncertainty values, therefore, for emission factors, default uncertainty values provided in the 2006 IPCC </w:t>
      </w:r>
      <w:r w:rsidRPr="001D5327">
        <w:t>Guidelines were used for CO</w:t>
      </w:r>
      <w:r w:rsidRPr="001D5327">
        <w:rPr>
          <w:vertAlign w:val="subscript"/>
        </w:rPr>
        <w:t>2</w:t>
      </w:r>
      <w:r w:rsidRPr="001D5327">
        <w:t xml:space="preserve"> and CH</w:t>
      </w:r>
      <w:r w:rsidRPr="001D5327">
        <w:rPr>
          <w:vertAlign w:val="subscript"/>
        </w:rPr>
        <w:t>4</w:t>
      </w:r>
      <w:r w:rsidRPr="001D5327">
        <w:t xml:space="preserve"> (for public power, co-generation and district heating) (IPCC, 2006a). Because no quantified default emission factor is provided for N</w:t>
      </w:r>
      <w:r w:rsidRPr="001D5327">
        <w:rPr>
          <w:vertAlign w:val="subscript"/>
        </w:rPr>
        <w:t>2</w:t>
      </w:r>
      <w:r w:rsidRPr="001D5327">
        <w:t>O, New Zealand’s emission factor uncertainty across the Energy sector for N</w:t>
      </w:r>
      <w:r w:rsidRPr="001D5327">
        <w:rPr>
          <w:vertAlign w:val="subscript"/>
        </w:rPr>
        <w:t>2</w:t>
      </w:r>
      <w:r w:rsidRPr="001D5327">
        <w:t>O was used for this category.</w:t>
      </w:r>
    </w:p>
    <w:p w14:paraId="2197776D" w14:textId="77777777" w:rsidR="0057070D" w:rsidRPr="001D5327" w:rsidRDefault="0057070D" w:rsidP="0057070D">
      <w:pPr>
        <w:pStyle w:val="BodyText"/>
      </w:pPr>
      <w:r w:rsidRPr="001D5327">
        <w:t xml:space="preserve">For activity data, due to the lack of detailed pre-2018 fuel data, an upper level of the default uncertainty range for the main activity electricity and heat production associated with data extrapolation from the 2006 IPCC Guidelines was applied (IPCC, 2006a). Table 8.3.1 shows the use of uncertainties for the </w:t>
      </w:r>
      <w:r w:rsidRPr="001D5327">
        <w:rPr>
          <w:i/>
          <w:iCs/>
        </w:rPr>
        <w:t>Energy industries</w:t>
      </w:r>
      <w:r w:rsidRPr="001D5327">
        <w:t xml:space="preserve"> category.</w:t>
      </w:r>
    </w:p>
    <w:p w14:paraId="4ACD49B2" w14:textId="77777777" w:rsidR="0057070D" w:rsidRPr="001D5327" w:rsidRDefault="0057070D" w:rsidP="0057070D">
      <w:pPr>
        <w:pStyle w:val="Table"/>
      </w:pPr>
      <w:bookmarkStart w:id="2952" w:name="_Toc194241834"/>
      <w:r w:rsidRPr="001D5327">
        <w:t>Table 8.3.1</w:t>
      </w:r>
      <w:r w:rsidRPr="001D5327">
        <w:tab/>
        <w:t xml:space="preserve">Uncertainties for the </w:t>
      </w:r>
      <w:r w:rsidRPr="001D5327">
        <w:rPr>
          <w:i/>
          <w:iCs/>
        </w:rPr>
        <w:t>Energy industries</w:t>
      </w:r>
      <w:r w:rsidRPr="001D5327">
        <w:t xml:space="preserve"> category</w:t>
      </w:r>
      <w:bookmarkEnd w:id="2952"/>
    </w:p>
    <w:tbl>
      <w:tblPr>
        <w:tblW w:w="5000" w:type="pct"/>
        <w:jc w:val="center"/>
        <w:tblBorders>
          <w:top w:val="single" w:sz="4" w:space="0" w:color="1B556B"/>
          <w:left w:val="single" w:sz="4" w:space="0" w:color="FFFFFF"/>
          <w:bottom w:val="single" w:sz="4" w:space="0" w:color="1B556B"/>
          <w:right w:val="single" w:sz="4" w:space="0" w:color="FFFFFF"/>
          <w:insideH w:val="single" w:sz="4" w:space="0" w:color="1B556B"/>
        </w:tblBorders>
        <w:tblLook w:val="0420" w:firstRow="1" w:lastRow="0" w:firstColumn="0" w:lastColumn="0" w:noHBand="0" w:noVBand="1"/>
      </w:tblPr>
      <w:tblGrid>
        <w:gridCol w:w="430"/>
        <w:gridCol w:w="983"/>
        <w:gridCol w:w="1558"/>
        <w:gridCol w:w="1701"/>
        <w:gridCol w:w="3823"/>
      </w:tblGrid>
      <w:tr w:rsidR="00622E2B" w:rsidRPr="001D5327" w14:paraId="24C3A5F8" w14:textId="77777777" w:rsidTr="00D11AC9">
        <w:trPr>
          <w:tblHeader/>
          <w:jc w:val="center"/>
        </w:trPr>
        <w:tc>
          <w:tcPr>
            <w:tcW w:w="0" w:type="auto"/>
            <w:shd w:val="clear" w:color="auto" w:fill="1B556B"/>
            <w:tcMar>
              <w:top w:w="0" w:type="dxa"/>
              <w:left w:w="85" w:type="dxa"/>
              <w:bottom w:w="0" w:type="dxa"/>
              <w:right w:w="85" w:type="dxa"/>
            </w:tcMar>
            <w:vAlign w:val="bottom"/>
          </w:tcPr>
          <w:p w14:paraId="40910BE1"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Gas</w:t>
            </w:r>
          </w:p>
        </w:tc>
        <w:tc>
          <w:tcPr>
            <w:tcW w:w="579" w:type="pct"/>
            <w:shd w:val="clear" w:color="auto" w:fill="1B556B"/>
            <w:tcMar>
              <w:top w:w="0" w:type="dxa"/>
              <w:left w:w="85" w:type="dxa"/>
              <w:bottom w:w="0" w:type="dxa"/>
              <w:right w:w="85" w:type="dxa"/>
            </w:tcMar>
            <w:vAlign w:val="bottom"/>
          </w:tcPr>
          <w:p w14:paraId="178184E4"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Fuel type</w:t>
            </w:r>
          </w:p>
        </w:tc>
        <w:tc>
          <w:tcPr>
            <w:tcW w:w="917" w:type="pct"/>
            <w:shd w:val="clear" w:color="auto" w:fill="1B556B"/>
            <w:tcMar>
              <w:top w:w="0" w:type="dxa"/>
              <w:left w:w="85" w:type="dxa"/>
              <w:bottom w:w="0" w:type="dxa"/>
              <w:right w:w="85" w:type="dxa"/>
            </w:tcMar>
            <w:vAlign w:val="bottom"/>
          </w:tcPr>
          <w:p w14:paraId="5ED3E39C" w14:textId="77777777" w:rsidR="0057070D" w:rsidRPr="001D5327" w:rsidRDefault="0057070D" w:rsidP="00D11AC9">
            <w:pPr>
              <w:pStyle w:val="TableTextBold"/>
              <w:spacing w:before="40" w:after="40"/>
              <w:jc w:val="right"/>
              <w:rPr>
                <w:noProof w:val="0"/>
                <w:color w:val="FFFFFF" w:themeColor="background1"/>
              </w:rPr>
            </w:pPr>
            <w:r w:rsidRPr="001D5327">
              <w:rPr>
                <w:rFonts w:eastAsia="Calibri"/>
                <w:noProof w:val="0"/>
                <w:color w:val="FFFFFF" w:themeColor="background1"/>
              </w:rPr>
              <w:t>Activity data (AD) uncertainty (%)</w:t>
            </w:r>
          </w:p>
        </w:tc>
        <w:tc>
          <w:tcPr>
            <w:tcW w:w="1001" w:type="pct"/>
            <w:shd w:val="clear" w:color="auto" w:fill="1B556B"/>
            <w:tcMar>
              <w:top w:w="0" w:type="dxa"/>
              <w:left w:w="85" w:type="dxa"/>
              <w:bottom w:w="0" w:type="dxa"/>
              <w:right w:w="85" w:type="dxa"/>
            </w:tcMar>
            <w:vAlign w:val="bottom"/>
          </w:tcPr>
          <w:p w14:paraId="01CFCE23" w14:textId="77777777" w:rsidR="0057070D" w:rsidRPr="001D5327" w:rsidRDefault="0057070D" w:rsidP="00D11AC9">
            <w:pPr>
              <w:pStyle w:val="TableTextBold"/>
              <w:spacing w:before="40" w:after="40"/>
              <w:jc w:val="right"/>
              <w:rPr>
                <w:noProof w:val="0"/>
                <w:color w:val="FFFFFF" w:themeColor="background1"/>
              </w:rPr>
            </w:pPr>
            <w:r w:rsidRPr="001D5327">
              <w:rPr>
                <w:rFonts w:eastAsia="Calibri"/>
                <w:noProof w:val="0"/>
                <w:color w:val="FFFFFF" w:themeColor="background1"/>
              </w:rPr>
              <w:t>Emission factor (EF) uncertainty (%)</w:t>
            </w:r>
          </w:p>
        </w:tc>
        <w:tc>
          <w:tcPr>
            <w:tcW w:w="2250" w:type="pct"/>
            <w:shd w:val="clear" w:color="auto" w:fill="1B556B"/>
            <w:tcMar>
              <w:top w:w="0" w:type="dxa"/>
              <w:left w:w="85" w:type="dxa"/>
              <w:bottom w:w="0" w:type="dxa"/>
              <w:right w:w="85" w:type="dxa"/>
            </w:tcMar>
            <w:vAlign w:val="bottom"/>
          </w:tcPr>
          <w:p w14:paraId="1C23CEDD"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Source</w:t>
            </w:r>
          </w:p>
        </w:tc>
      </w:tr>
      <w:tr w:rsidR="00622E2B" w:rsidRPr="001D5327" w14:paraId="78515C21" w14:textId="77777777" w:rsidTr="00D11AC9">
        <w:trPr>
          <w:jc w:val="center"/>
        </w:trPr>
        <w:tc>
          <w:tcPr>
            <w:tcW w:w="0" w:type="auto"/>
            <w:shd w:val="clear" w:color="auto" w:fill="FFFFFF"/>
            <w:tcMar>
              <w:top w:w="0" w:type="dxa"/>
              <w:left w:w="85" w:type="dxa"/>
              <w:bottom w:w="0" w:type="dxa"/>
              <w:right w:w="85" w:type="dxa"/>
            </w:tcMar>
          </w:tcPr>
          <w:p w14:paraId="00C2CF9F" w14:textId="77777777" w:rsidR="0057070D" w:rsidRPr="001D5327" w:rsidRDefault="0057070D" w:rsidP="00D11AC9">
            <w:pPr>
              <w:pStyle w:val="TableText"/>
              <w:spacing w:before="40" w:after="40"/>
            </w:pPr>
            <w:r w:rsidRPr="001D5327">
              <w:rPr>
                <w:rFonts w:eastAsia="Calibri"/>
                <w:color w:val="000000"/>
              </w:rPr>
              <w:t>CO</w:t>
            </w:r>
            <w:r w:rsidRPr="001D5327">
              <w:rPr>
                <w:rFonts w:eastAsia="Calibri"/>
                <w:color w:val="000000"/>
                <w:vertAlign w:val="subscript"/>
              </w:rPr>
              <w:t>2</w:t>
            </w:r>
          </w:p>
        </w:tc>
        <w:tc>
          <w:tcPr>
            <w:tcW w:w="579" w:type="pct"/>
            <w:shd w:val="clear" w:color="auto" w:fill="FFFFFF"/>
            <w:tcMar>
              <w:top w:w="0" w:type="dxa"/>
              <w:left w:w="85" w:type="dxa"/>
              <w:bottom w:w="0" w:type="dxa"/>
              <w:right w:w="85" w:type="dxa"/>
            </w:tcMar>
          </w:tcPr>
          <w:p w14:paraId="4CA3C6E6" w14:textId="77777777" w:rsidR="0057070D" w:rsidRPr="001D5327" w:rsidRDefault="0057070D" w:rsidP="00D11AC9">
            <w:pPr>
              <w:pStyle w:val="TableText"/>
              <w:spacing w:before="40" w:after="40"/>
            </w:pPr>
            <w:r w:rsidRPr="001D5327">
              <w:rPr>
                <w:rFonts w:eastAsia="Calibri"/>
                <w:color w:val="000000"/>
              </w:rPr>
              <w:t>Liquid fuels</w:t>
            </w:r>
          </w:p>
        </w:tc>
        <w:tc>
          <w:tcPr>
            <w:tcW w:w="917" w:type="pct"/>
            <w:shd w:val="clear" w:color="auto" w:fill="FFFFFF"/>
            <w:tcMar>
              <w:top w:w="0" w:type="dxa"/>
              <w:left w:w="85" w:type="dxa"/>
              <w:bottom w:w="0" w:type="dxa"/>
              <w:right w:w="85" w:type="dxa"/>
            </w:tcMar>
          </w:tcPr>
          <w:p w14:paraId="421251FA" w14:textId="77777777" w:rsidR="0057070D" w:rsidRPr="001D5327" w:rsidRDefault="0057070D" w:rsidP="00D11AC9">
            <w:pPr>
              <w:pStyle w:val="TableText"/>
              <w:spacing w:before="40" w:after="40"/>
              <w:jc w:val="right"/>
            </w:pPr>
            <w:r w:rsidRPr="001D5327">
              <w:rPr>
                <w:rFonts w:eastAsia="Calibri"/>
                <w:color w:val="000000"/>
              </w:rPr>
              <w:t>10</w:t>
            </w:r>
          </w:p>
        </w:tc>
        <w:tc>
          <w:tcPr>
            <w:tcW w:w="1001" w:type="pct"/>
            <w:shd w:val="clear" w:color="auto" w:fill="FFFFFF"/>
            <w:tcMar>
              <w:top w:w="0" w:type="dxa"/>
              <w:left w:w="85" w:type="dxa"/>
              <w:bottom w:w="0" w:type="dxa"/>
              <w:right w:w="85" w:type="dxa"/>
            </w:tcMar>
          </w:tcPr>
          <w:p w14:paraId="53DFC2C1" w14:textId="77777777" w:rsidR="0057070D" w:rsidRPr="001D5327" w:rsidRDefault="0057070D" w:rsidP="00D11AC9">
            <w:pPr>
              <w:pStyle w:val="TableText"/>
              <w:spacing w:before="40" w:after="40"/>
              <w:jc w:val="right"/>
            </w:pPr>
            <w:r w:rsidRPr="001D5327">
              <w:rPr>
                <w:rFonts w:eastAsia="Calibri"/>
                <w:color w:val="000000"/>
              </w:rPr>
              <w:t>±7</w:t>
            </w:r>
          </w:p>
        </w:tc>
        <w:tc>
          <w:tcPr>
            <w:tcW w:w="2250" w:type="pct"/>
            <w:shd w:val="clear" w:color="auto" w:fill="FFFFFF"/>
            <w:tcMar>
              <w:top w:w="0" w:type="dxa"/>
              <w:left w:w="85" w:type="dxa"/>
              <w:bottom w:w="0" w:type="dxa"/>
              <w:right w:w="85" w:type="dxa"/>
            </w:tcMar>
          </w:tcPr>
          <w:p w14:paraId="4A3F4546" w14:textId="77777777" w:rsidR="0057070D" w:rsidRPr="001D5327" w:rsidRDefault="0057070D" w:rsidP="00D11AC9">
            <w:pPr>
              <w:pStyle w:val="TableText"/>
              <w:spacing w:before="40" w:after="40"/>
            </w:pPr>
            <w:r w:rsidRPr="001D5327">
              <w:rPr>
                <w:rFonts w:eastAsia="Calibri"/>
                <w:color w:val="000000"/>
              </w:rPr>
              <w:t xml:space="preserve">AD: page 2.41, IPCC, 2006a (table 2.15) </w:t>
            </w:r>
            <w:r w:rsidRPr="001D5327">
              <w:rPr>
                <w:rFonts w:eastAsia="Calibri"/>
                <w:color w:val="000000"/>
              </w:rPr>
              <w:br/>
              <w:t>EF: page 2.38, IPCC, 2006a</w:t>
            </w:r>
          </w:p>
        </w:tc>
      </w:tr>
      <w:tr w:rsidR="00622E2B" w:rsidRPr="001D5327" w14:paraId="5535ADF6" w14:textId="77777777" w:rsidTr="00D11AC9">
        <w:trPr>
          <w:jc w:val="center"/>
        </w:trPr>
        <w:tc>
          <w:tcPr>
            <w:tcW w:w="0" w:type="auto"/>
            <w:shd w:val="clear" w:color="auto" w:fill="FFFFFF"/>
            <w:tcMar>
              <w:top w:w="0" w:type="dxa"/>
              <w:left w:w="85" w:type="dxa"/>
              <w:bottom w:w="0" w:type="dxa"/>
              <w:right w:w="85" w:type="dxa"/>
            </w:tcMar>
          </w:tcPr>
          <w:p w14:paraId="644845B0" w14:textId="77777777" w:rsidR="0057070D" w:rsidRPr="001D5327" w:rsidRDefault="0057070D" w:rsidP="00D11AC9">
            <w:pPr>
              <w:pStyle w:val="TableText"/>
              <w:spacing w:before="40" w:after="40"/>
            </w:pPr>
            <w:r w:rsidRPr="001D5327">
              <w:rPr>
                <w:rFonts w:eastAsia="Calibri"/>
                <w:color w:val="000000"/>
              </w:rPr>
              <w:t>CH</w:t>
            </w:r>
            <w:r w:rsidRPr="001D5327">
              <w:rPr>
                <w:rFonts w:eastAsia="Calibri"/>
                <w:color w:val="000000"/>
                <w:vertAlign w:val="subscript"/>
              </w:rPr>
              <w:t>4</w:t>
            </w:r>
          </w:p>
        </w:tc>
        <w:tc>
          <w:tcPr>
            <w:tcW w:w="579" w:type="pct"/>
            <w:shd w:val="clear" w:color="auto" w:fill="FFFFFF"/>
            <w:tcMar>
              <w:top w:w="0" w:type="dxa"/>
              <w:left w:w="85" w:type="dxa"/>
              <w:bottom w:w="0" w:type="dxa"/>
              <w:right w:w="85" w:type="dxa"/>
            </w:tcMar>
          </w:tcPr>
          <w:p w14:paraId="43A659C3" w14:textId="77777777" w:rsidR="0057070D" w:rsidRPr="001D5327" w:rsidRDefault="0057070D" w:rsidP="00D11AC9">
            <w:pPr>
              <w:pStyle w:val="TableText"/>
              <w:spacing w:before="40" w:after="40"/>
            </w:pPr>
            <w:r w:rsidRPr="001D5327">
              <w:rPr>
                <w:rFonts w:eastAsia="Calibri"/>
                <w:color w:val="000000"/>
              </w:rPr>
              <w:t>Liquid fuels</w:t>
            </w:r>
          </w:p>
        </w:tc>
        <w:tc>
          <w:tcPr>
            <w:tcW w:w="917" w:type="pct"/>
            <w:shd w:val="clear" w:color="auto" w:fill="FFFFFF"/>
            <w:tcMar>
              <w:top w:w="0" w:type="dxa"/>
              <w:left w:w="85" w:type="dxa"/>
              <w:bottom w:w="0" w:type="dxa"/>
              <w:right w:w="85" w:type="dxa"/>
            </w:tcMar>
          </w:tcPr>
          <w:p w14:paraId="5FCE6C19" w14:textId="77777777" w:rsidR="0057070D" w:rsidRPr="001D5327" w:rsidRDefault="0057070D" w:rsidP="00D11AC9">
            <w:pPr>
              <w:pStyle w:val="TableText"/>
              <w:spacing w:before="40" w:after="40"/>
              <w:jc w:val="right"/>
            </w:pPr>
            <w:r w:rsidRPr="001D5327">
              <w:rPr>
                <w:rFonts w:eastAsia="Calibri"/>
                <w:color w:val="000000"/>
              </w:rPr>
              <w:t>10</w:t>
            </w:r>
          </w:p>
        </w:tc>
        <w:tc>
          <w:tcPr>
            <w:tcW w:w="1001" w:type="pct"/>
            <w:shd w:val="clear" w:color="auto" w:fill="FFFFFF"/>
            <w:tcMar>
              <w:top w:w="0" w:type="dxa"/>
              <w:left w:w="85" w:type="dxa"/>
              <w:bottom w:w="0" w:type="dxa"/>
              <w:right w:w="85" w:type="dxa"/>
            </w:tcMar>
          </w:tcPr>
          <w:p w14:paraId="0D15E842" w14:textId="77777777" w:rsidR="0057070D" w:rsidRPr="001D5327" w:rsidRDefault="0057070D" w:rsidP="00D11AC9">
            <w:pPr>
              <w:pStyle w:val="TableText"/>
              <w:spacing w:before="40" w:after="40"/>
              <w:jc w:val="right"/>
            </w:pPr>
            <w:r w:rsidRPr="001D5327">
              <w:rPr>
                <w:rFonts w:eastAsia="Calibri"/>
                <w:color w:val="000000"/>
              </w:rPr>
              <w:t>±50.0</w:t>
            </w:r>
          </w:p>
        </w:tc>
        <w:tc>
          <w:tcPr>
            <w:tcW w:w="2250" w:type="pct"/>
            <w:shd w:val="clear" w:color="auto" w:fill="FFFFFF"/>
            <w:tcMar>
              <w:top w:w="0" w:type="dxa"/>
              <w:left w:w="85" w:type="dxa"/>
              <w:bottom w:w="0" w:type="dxa"/>
              <w:right w:w="85" w:type="dxa"/>
            </w:tcMar>
          </w:tcPr>
          <w:p w14:paraId="1C7BD20B" w14:textId="77777777" w:rsidR="0057070D" w:rsidRPr="001D5327" w:rsidRDefault="0057070D" w:rsidP="00D11AC9">
            <w:pPr>
              <w:pStyle w:val="TableText"/>
              <w:spacing w:before="40" w:after="40"/>
            </w:pPr>
            <w:r w:rsidRPr="001D5327">
              <w:rPr>
                <w:rFonts w:eastAsia="Calibri"/>
                <w:color w:val="000000"/>
              </w:rPr>
              <w:t xml:space="preserve">AD: page 2.41, IPCC, 2006a (table 2.15) </w:t>
            </w:r>
            <w:r w:rsidRPr="001D5327">
              <w:rPr>
                <w:rFonts w:eastAsia="Calibri"/>
                <w:color w:val="000000"/>
              </w:rPr>
              <w:br/>
              <w:t>EF: page 2.38, IPCC, 2006a (table 2.12)</w:t>
            </w:r>
          </w:p>
        </w:tc>
      </w:tr>
      <w:tr w:rsidR="00622E2B" w:rsidRPr="001D5327" w14:paraId="3C1864B0" w14:textId="77777777" w:rsidTr="00D11AC9">
        <w:trPr>
          <w:jc w:val="center"/>
        </w:trPr>
        <w:tc>
          <w:tcPr>
            <w:tcW w:w="0" w:type="auto"/>
            <w:shd w:val="clear" w:color="auto" w:fill="FFFFFF"/>
            <w:tcMar>
              <w:top w:w="0" w:type="dxa"/>
              <w:left w:w="85" w:type="dxa"/>
              <w:bottom w:w="0" w:type="dxa"/>
              <w:right w:w="85" w:type="dxa"/>
            </w:tcMar>
          </w:tcPr>
          <w:p w14:paraId="075F9887" w14:textId="77777777" w:rsidR="0057070D" w:rsidRPr="001D5327" w:rsidRDefault="0057070D" w:rsidP="00D11AC9">
            <w:pPr>
              <w:pStyle w:val="TableText"/>
              <w:spacing w:before="40" w:after="40"/>
            </w:pPr>
            <w:r w:rsidRPr="001D5327">
              <w:rPr>
                <w:rFonts w:eastAsia="Calibri"/>
                <w:color w:val="000000"/>
              </w:rPr>
              <w:t>N</w:t>
            </w:r>
            <w:r w:rsidRPr="001D5327">
              <w:rPr>
                <w:rFonts w:eastAsia="Calibri"/>
                <w:color w:val="000000"/>
                <w:vertAlign w:val="subscript"/>
              </w:rPr>
              <w:t>2</w:t>
            </w:r>
            <w:r w:rsidRPr="001D5327">
              <w:rPr>
                <w:rFonts w:eastAsia="Calibri"/>
                <w:color w:val="000000"/>
              </w:rPr>
              <w:t>O</w:t>
            </w:r>
          </w:p>
        </w:tc>
        <w:tc>
          <w:tcPr>
            <w:tcW w:w="579" w:type="pct"/>
            <w:shd w:val="clear" w:color="auto" w:fill="FFFFFF"/>
            <w:tcMar>
              <w:top w:w="0" w:type="dxa"/>
              <w:left w:w="85" w:type="dxa"/>
              <w:bottom w:w="0" w:type="dxa"/>
              <w:right w:w="85" w:type="dxa"/>
            </w:tcMar>
          </w:tcPr>
          <w:p w14:paraId="796B2491" w14:textId="77777777" w:rsidR="0057070D" w:rsidRPr="001D5327" w:rsidRDefault="0057070D" w:rsidP="00D11AC9">
            <w:pPr>
              <w:pStyle w:val="TableText"/>
              <w:spacing w:before="40" w:after="40"/>
            </w:pPr>
            <w:r w:rsidRPr="001D5327">
              <w:rPr>
                <w:rFonts w:eastAsia="Calibri"/>
                <w:color w:val="000000"/>
              </w:rPr>
              <w:t>Liquid fuels</w:t>
            </w:r>
          </w:p>
        </w:tc>
        <w:tc>
          <w:tcPr>
            <w:tcW w:w="917" w:type="pct"/>
            <w:shd w:val="clear" w:color="auto" w:fill="FFFFFF"/>
            <w:tcMar>
              <w:top w:w="0" w:type="dxa"/>
              <w:left w:w="85" w:type="dxa"/>
              <w:bottom w:w="0" w:type="dxa"/>
              <w:right w:w="85" w:type="dxa"/>
            </w:tcMar>
          </w:tcPr>
          <w:p w14:paraId="1E66D15A" w14:textId="77777777" w:rsidR="0057070D" w:rsidRPr="001D5327" w:rsidRDefault="0057070D" w:rsidP="00D11AC9">
            <w:pPr>
              <w:pStyle w:val="TableText"/>
              <w:spacing w:before="40" w:after="40"/>
              <w:jc w:val="right"/>
            </w:pPr>
            <w:r w:rsidRPr="001D5327">
              <w:rPr>
                <w:rFonts w:eastAsia="Calibri"/>
                <w:color w:val="000000"/>
              </w:rPr>
              <w:t>10</w:t>
            </w:r>
          </w:p>
        </w:tc>
        <w:tc>
          <w:tcPr>
            <w:tcW w:w="1001" w:type="pct"/>
            <w:shd w:val="clear" w:color="auto" w:fill="FFFFFF"/>
            <w:tcMar>
              <w:top w:w="0" w:type="dxa"/>
              <w:left w:w="85" w:type="dxa"/>
              <w:bottom w:w="0" w:type="dxa"/>
              <w:right w:w="85" w:type="dxa"/>
            </w:tcMar>
          </w:tcPr>
          <w:p w14:paraId="697A3B24" w14:textId="77777777" w:rsidR="0057070D" w:rsidRPr="001D5327" w:rsidRDefault="0057070D" w:rsidP="00D11AC9">
            <w:pPr>
              <w:pStyle w:val="TableText"/>
              <w:spacing w:before="40" w:after="40"/>
              <w:jc w:val="right"/>
            </w:pPr>
            <w:r w:rsidRPr="001D5327">
              <w:rPr>
                <w:rFonts w:eastAsia="Calibri"/>
                <w:color w:val="000000"/>
              </w:rPr>
              <w:t>±50.0</w:t>
            </w:r>
          </w:p>
        </w:tc>
        <w:tc>
          <w:tcPr>
            <w:tcW w:w="2250" w:type="pct"/>
            <w:shd w:val="clear" w:color="auto" w:fill="FFFFFF"/>
            <w:tcMar>
              <w:top w:w="0" w:type="dxa"/>
              <w:left w:w="85" w:type="dxa"/>
              <w:bottom w:w="0" w:type="dxa"/>
              <w:right w:w="85" w:type="dxa"/>
            </w:tcMar>
          </w:tcPr>
          <w:p w14:paraId="113BBEEE" w14:textId="77777777" w:rsidR="0057070D" w:rsidRPr="001D5327" w:rsidRDefault="0057070D" w:rsidP="00D11AC9">
            <w:pPr>
              <w:pStyle w:val="TableText"/>
              <w:spacing w:before="40" w:after="40"/>
            </w:pPr>
            <w:r w:rsidRPr="001D5327">
              <w:rPr>
                <w:rFonts w:eastAsia="Calibri"/>
                <w:color w:val="000000"/>
              </w:rPr>
              <w:t xml:space="preserve">AD: page 2.41, IPCC, 2006a (table 2.15) </w:t>
            </w:r>
            <w:r w:rsidRPr="001D5327">
              <w:rPr>
                <w:rFonts w:eastAsia="Calibri"/>
                <w:color w:val="000000"/>
              </w:rPr>
              <w:br/>
              <w:t>EF: New Zealand’s value is used (table 3.2.1, chapter 3)</w:t>
            </w:r>
          </w:p>
        </w:tc>
      </w:tr>
    </w:tbl>
    <w:p w14:paraId="0EDB7E92" w14:textId="77777777" w:rsidR="0057070D" w:rsidRPr="001D5327" w:rsidRDefault="0057070D" w:rsidP="0057070D">
      <w:pPr>
        <w:pStyle w:val="BodyText"/>
        <w:spacing w:before="240"/>
      </w:pPr>
      <w:r w:rsidRPr="001D5327">
        <w:t xml:space="preserve">For the </w:t>
      </w:r>
      <w:r w:rsidRPr="001D5327">
        <w:rPr>
          <w:i/>
          <w:iCs/>
        </w:rPr>
        <w:t>Electricity generation</w:t>
      </w:r>
      <w:r w:rsidRPr="001D5327">
        <w:t xml:space="preserve"> category, time-series consistency is maintained by using a combination of actual and inferred data for diesel consumed depending on the information available. For all years before 2019, except 2011 and 2015, diesel use is assumed based on the typical use of the diesel electricity generators.</w:t>
      </w:r>
    </w:p>
    <w:p w14:paraId="15935739" w14:textId="77777777" w:rsidR="0057070D" w:rsidRPr="001D5327" w:rsidRDefault="0057070D" w:rsidP="0057070D">
      <w:pPr>
        <w:pStyle w:val="Heading3"/>
      </w:pPr>
      <w:r w:rsidRPr="001D5327">
        <w:lastRenderedPageBreak/>
        <w:t>8.3.4</w:t>
      </w:r>
      <w:r w:rsidRPr="001D5327">
        <w:tab/>
        <w:t>Category-specific QA/QC and verification</w:t>
      </w:r>
    </w:p>
    <w:p w14:paraId="5085D151" w14:textId="77777777" w:rsidR="0057070D" w:rsidRPr="001D5327" w:rsidRDefault="0057070D" w:rsidP="0057070D">
      <w:pPr>
        <w:pStyle w:val="BodyText"/>
      </w:pPr>
      <w:r w:rsidRPr="001D5327">
        <w:t>Quality control of the activity data and calculations was applied to each category for Tokelau. No verification was possible because no alternative data were available.</w:t>
      </w:r>
    </w:p>
    <w:p w14:paraId="38BBDF53" w14:textId="77777777" w:rsidR="0057070D" w:rsidRPr="001D5327" w:rsidRDefault="0057070D" w:rsidP="0057070D">
      <w:pPr>
        <w:pStyle w:val="Heading3"/>
      </w:pPr>
      <w:r w:rsidRPr="001D5327">
        <w:t>8.3.5</w:t>
      </w:r>
      <w:r w:rsidRPr="001D5327">
        <w:tab/>
        <w:t>Category-specific recalculations</w:t>
      </w:r>
    </w:p>
    <w:p w14:paraId="1A735742" w14:textId="77777777" w:rsidR="0057070D" w:rsidRPr="001D5327" w:rsidRDefault="0057070D" w:rsidP="0057070D">
      <w:pPr>
        <w:pStyle w:val="BodyText"/>
      </w:pPr>
      <w:r w:rsidRPr="001D5327">
        <w:t xml:space="preserve">There were no changes to estimates for the </w:t>
      </w:r>
      <w:r w:rsidRPr="001D5327">
        <w:rPr>
          <w:i/>
          <w:iCs/>
        </w:rPr>
        <w:t>Energy industries</w:t>
      </w:r>
      <w:r w:rsidRPr="001D5327">
        <w:t xml:space="preserve"> category.</w:t>
      </w:r>
    </w:p>
    <w:p w14:paraId="55E74C3A" w14:textId="77777777" w:rsidR="0057070D" w:rsidRPr="001D5327" w:rsidRDefault="0057070D" w:rsidP="0057070D">
      <w:pPr>
        <w:pStyle w:val="Heading3"/>
      </w:pPr>
      <w:r w:rsidRPr="001D5327">
        <w:t>8.3.6</w:t>
      </w:r>
      <w:r w:rsidRPr="001D5327">
        <w:tab/>
        <w:t>Category-specific planned improvements</w:t>
      </w:r>
    </w:p>
    <w:p w14:paraId="25643154" w14:textId="77777777" w:rsidR="0057070D" w:rsidRPr="001D5327" w:rsidRDefault="0057070D" w:rsidP="0057070D">
      <w:pPr>
        <w:pStyle w:val="BodyText"/>
      </w:pPr>
      <w:r w:rsidRPr="001D5327">
        <w:t>No improvements are planned for energy industries. Some areas identified for possible improvements are better monitoring of diesel fuel landing on-atoll at the power sites, and clearly separating fuel used for power generation from heavy machinery and diesel-powered vehicles. Data on gross electricity production from oil were acquired in late 2019 from the International Renewable Energy Agency; these could provide additional detail and verification of energy use back to their base year 2000. Future imports of coolants (ethylene glycol) for the solar PV-powered plants may also be considered in future.</w:t>
      </w:r>
    </w:p>
    <w:p w14:paraId="0FC51858" w14:textId="77777777" w:rsidR="0057070D" w:rsidRPr="001D5327" w:rsidRDefault="0057070D" w:rsidP="0057070D">
      <w:pPr>
        <w:pStyle w:val="Heading2"/>
      </w:pPr>
      <w:bookmarkStart w:id="2953" w:name="_Toc194312050"/>
      <w:bookmarkStart w:id="2954" w:name="X6da9d0846c18e0efc0e652fbafb90ab5bef5cfc"/>
      <w:bookmarkEnd w:id="2946"/>
      <w:r w:rsidRPr="001D5327">
        <w:t>8.4</w:t>
      </w:r>
      <w:r w:rsidRPr="001D5327">
        <w:tab/>
        <w:t>Stationary combustion: Other sectors – Residential</w:t>
      </w:r>
      <w:bookmarkEnd w:id="2953"/>
    </w:p>
    <w:p w14:paraId="17439D9F" w14:textId="77777777" w:rsidR="0057070D" w:rsidRPr="001D5327" w:rsidRDefault="0057070D" w:rsidP="0057070D">
      <w:pPr>
        <w:pStyle w:val="Heading3"/>
        <w:spacing w:before="240"/>
      </w:pPr>
      <w:r w:rsidRPr="001D5327">
        <w:t>8.4.1</w:t>
      </w:r>
      <w:r w:rsidRPr="001D5327">
        <w:tab/>
        <w:t>Description</w:t>
      </w:r>
    </w:p>
    <w:p w14:paraId="18029257" w14:textId="158DA791" w:rsidR="0057070D" w:rsidRPr="001D5327" w:rsidRDefault="0057070D" w:rsidP="0057070D">
      <w:pPr>
        <w:pStyle w:val="BodyText"/>
      </w:pPr>
      <w:r w:rsidRPr="001D5327">
        <w:t xml:space="preserve">Tokelau has no significant industry. All energy is used by domestic and fishing activities and community–government activities (e.g., meeting halls and offices, village freezers, building projects, stevedoring). Therefore, emissions associated with energy consumption in Tokelau (except fishing) are included in the category </w:t>
      </w:r>
      <w:r w:rsidRPr="001D5327">
        <w:rPr>
          <w:i/>
          <w:iCs/>
        </w:rPr>
        <w:t>Other sectors – Residential</w:t>
      </w:r>
      <w:r w:rsidRPr="001D5327">
        <w:t>. The small amount of</w:t>
      </w:r>
      <w:r w:rsidR="00254233" w:rsidRPr="001D5327">
        <w:t> </w:t>
      </w:r>
      <w:r w:rsidRPr="001D5327">
        <w:t xml:space="preserve">emissions associated with communal activities are not easily distinguishable from those coming from residential activities and are therefore included in the </w:t>
      </w:r>
      <w:r w:rsidRPr="001D5327">
        <w:rPr>
          <w:i/>
          <w:iCs/>
        </w:rPr>
        <w:t>Other sectors – Residential</w:t>
      </w:r>
      <w:r w:rsidRPr="001D5327">
        <w:t xml:space="preserve"> category. Emissions from fishing are included in </w:t>
      </w:r>
      <w:r w:rsidRPr="001D5327">
        <w:rPr>
          <w:i/>
          <w:iCs/>
        </w:rPr>
        <w:t>Domestic navigation</w:t>
      </w:r>
      <w:r w:rsidRPr="001D5327">
        <w:t>. This is because it is difficult to distinguish fuel use for fishing from fuel use for domestic navigation in Tokelau, because families use the same boats for both purposes.</w:t>
      </w:r>
    </w:p>
    <w:p w14:paraId="35B4C236" w14:textId="77777777" w:rsidR="0057070D" w:rsidRPr="001D5327" w:rsidRDefault="0057070D" w:rsidP="0057070D">
      <w:pPr>
        <w:pStyle w:val="BodyText"/>
      </w:pPr>
      <w:r w:rsidRPr="001D5327">
        <w:t xml:space="preserve">According to the 2016 Tokelau Census, every household has a fridge and a freezer, and some households now have air conditioning. Most households (over 60 per cent) also own a washing machine, a computer and a television. The United Nations Development Programme, under the Tokelau Energy Sector Support Project, has in the past funded a programme of replacing old inefficient fridges and freezers with new ones. Home appliances in Tokelau mainly use the power provided by solar PV-powered plants, supplemented as needed by back-up diesel-powered generators. Emissions associated with the use of diesel-powered back-up generators are included in the </w:t>
      </w:r>
      <w:r w:rsidRPr="001D5327">
        <w:rPr>
          <w:i/>
          <w:iCs/>
        </w:rPr>
        <w:t>Energy industries</w:t>
      </w:r>
      <w:r w:rsidRPr="001D5327">
        <w:t xml:space="preserve"> category.</w:t>
      </w:r>
    </w:p>
    <w:p w14:paraId="728B6AB4" w14:textId="77777777" w:rsidR="0057070D" w:rsidRPr="001D5327" w:rsidRDefault="0057070D" w:rsidP="0057070D">
      <w:pPr>
        <w:pStyle w:val="BodyText"/>
      </w:pPr>
      <w:r w:rsidRPr="001D5327">
        <w:t xml:space="preserve">Gas cooking using imported natural gas (LPG) is the preferred method used by about 72.0 per cent of households, replacing kerosene stoves. The use of kerosene stoves dropped from </w:t>
      </w:r>
      <w:r w:rsidRPr="001D5327">
        <w:rPr>
          <w:spacing w:val="-2"/>
        </w:rPr>
        <w:t>56.6 per cent of households in 2006 to 23.6 per cent in 2016 (2016 Tokelau Census). Associated</w:t>
      </w:r>
      <w:r w:rsidRPr="001D5327">
        <w:t xml:space="preserve"> activity data and emissions are included in the </w:t>
      </w:r>
      <w:r w:rsidRPr="001D5327">
        <w:rPr>
          <w:i/>
          <w:iCs/>
        </w:rPr>
        <w:t>Other sectors – Residential</w:t>
      </w:r>
      <w:r w:rsidRPr="001D5327">
        <w:t xml:space="preserve"> category.</w:t>
      </w:r>
    </w:p>
    <w:p w14:paraId="69897A77" w14:textId="77777777" w:rsidR="0057070D" w:rsidRPr="001D5327" w:rsidRDefault="0057070D" w:rsidP="0057070D">
      <w:pPr>
        <w:pStyle w:val="BodyText"/>
      </w:pPr>
      <w:r w:rsidRPr="001D5327">
        <w:t xml:space="preserve">In 2023, emissions from the </w:t>
      </w:r>
      <w:r w:rsidRPr="001D5327">
        <w:rPr>
          <w:i/>
          <w:iCs/>
        </w:rPr>
        <w:t>Other sectors – Residential</w:t>
      </w:r>
      <w:r w:rsidRPr="001D5327">
        <w:t xml:space="preserve"> category were 0.06 kt CO</w:t>
      </w:r>
      <w:r w:rsidRPr="001D5327">
        <w:rPr>
          <w:vertAlign w:val="subscript"/>
        </w:rPr>
        <w:t>2</w:t>
      </w:r>
      <w:r w:rsidRPr="001D5327">
        <w:t>-e (2.7 per cent of all energy emissions from Tokelau).</w:t>
      </w:r>
    </w:p>
    <w:p w14:paraId="5A2C29D4" w14:textId="77777777" w:rsidR="0057070D" w:rsidRPr="001D5327" w:rsidRDefault="0057070D" w:rsidP="0057070D">
      <w:pPr>
        <w:pStyle w:val="Heading3"/>
      </w:pPr>
      <w:r w:rsidRPr="001D5327">
        <w:lastRenderedPageBreak/>
        <w:t>8.4.2</w:t>
      </w:r>
      <w:r w:rsidRPr="001D5327">
        <w:tab/>
        <w:t>Methodological issues</w:t>
      </w:r>
    </w:p>
    <w:p w14:paraId="6B4D9ADB" w14:textId="77777777" w:rsidR="0057070D" w:rsidRPr="001D5327" w:rsidRDefault="0057070D" w:rsidP="0057070D">
      <w:pPr>
        <w:pStyle w:val="Heading5"/>
      </w:pPr>
      <w:bookmarkStart w:id="2955" w:name="activity-data-2"/>
      <w:r w:rsidRPr="001D5327">
        <w:t>Activity data</w:t>
      </w:r>
    </w:p>
    <w:p w14:paraId="1B3AB288" w14:textId="77777777" w:rsidR="0057070D" w:rsidRPr="001D5327" w:rsidRDefault="0057070D" w:rsidP="0057070D">
      <w:pPr>
        <w:pStyle w:val="BodyText"/>
      </w:pPr>
      <w:r w:rsidRPr="001D5327">
        <w:t xml:space="preserve">The sources of activity data for the </w:t>
      </w:r>
      <w:r w:rsidRPr="001D5327">
        <w:rPr>
          <w:i/>
          <w:iCs/>
        </w:rPr>
        <w:t>Other sectors – Residential</w:t>
      </w:r>
      <w:r w:rsidRPr="001D5327">
        <w:t xml:space="preserve"> category are included in table 8.1.1. The key data source for the category is paid invoices from Origin Energy Samoa Ltd (Apia, Samoa) providing prices and volumes of propane supplied on-atoll for cooking.</w:t>
      </w:r>
    </w:p>
    <w:p w14:paraId="35DFBF55" w14:textId="77777777" w:rsidR="0057070D" w:rsidRPr="001D5327" w:rsidRDefault="0057070D" w:rsidP="0057070D">
      <w:pPr>
        <w:pStyle w:val="Heading5"/>
      </w:pPr>
      <w:bookmarkStart w:id="2956" w:name="methods-and-emission-factors-2"/>
      <w:bookmarkEnd w:id="2955"/>
      <w:r w:rsidRPr="001D5327">
        <w:t>Methods and emission factors</w:t>
      </w:r>
    </w:p>
    <w:p w14:paraId="63BBF4FF" w14:textId="77777777" w:rsidR="0057070D" w:rsidRPr="001D5327" w:rsidRDefault="0057070D" w:rsidP="0057070D">
      <w:pPr>
        <w:pStyle w:val="BodyText"/>
      </w:pPr>
      <w:r w:rsidRPr="001D5327">
        <w:rPr>
          <w:spacing w:val="-2"/>
        </w:rPr>
        <w:t xml:space="preserve">An IPCC Tier 1 method was applied for estimating emissions from the </w:t>
      </w:r>
      <w:r w:rsidRPr="001D5327">
        <w:rPr>
          <w:i/>
          <w:iCs/>
          <w:spacing w:val="-2"/>
        </w:rPr>
        <w:t>Other sectors – Residential</w:t>
      </w:r>
      <w:r w:rsidRPr="001D5327">
        <w:t xml:space="preserve"> category. The method required the data on the amount of LPG combusted in the source category and a default emission factor from table 2.2, section 2.3.2.1, volume 2 of the 2006 IPCC Guidelines. Default emission factors from the 2006 IPCC Guidelines were converted from net calorific values to gross calorific values using the OECD and IEA assumptions to make these conversions:</w:t>
      </w:r>
    </w:p>
    <w:p w14:paraId="3CB2C1AA" w14:textId="77777777" w:rsidR="0057070D" w:rsidRPr="001D5327" w:rsidRDefault="0057070D" w:rsidP="0057070D">
      <w:pPr>
        <w:pStyle w:val="BodyText"/>
        <w:spacing w:before="80" w:after="80"/>
        <w:jc w:val="center"/>
        <w:rPr>
          <w:rFonts w:ascii="Cambria Math" w:hAnsi="Cambria Math"/>
          <w:i/>
          <w:iCs/>
          <w:sz w:val="24"/>
          <w:szCs w:val="24"/>
          <w:lang w:eastAsia="en-GB"/>
        </w:rPr>
      </w:pPr>
      <w:r w:rsidRPr="001D5327">
        <w:rPr>
          <w:rFonts w:ascii="Cambria Math" w:hAnsi="Cambria Math"/>
          <w:i/>
          <w:iCs/>
          <w:sz w:val="24"/>
          <w:szCs w:val="24"/>
          <w:lang w:eastAsia="en-GB"/>
        </w:rPr>
        <w:t>Gross Emission Factor (gaseous fuels) = 0.90 x Net Emission Factor</w:t>
      </w:r>
    </w:p>
    <w:p w14:paraId="30BC673B" w14:textId="77777777" w:rsidR="0057070D" w:rsidRPr="001D5327" w:rsidRDefault="0057070D" w:rsidP="0057070D">
      <w:pPr>
        <w:pStyle w:val="BodyText"/>
      </w:pPr>
      <w:r w:rsidRPr="001D5327">
        <w:t>Equations 2.1 and 2.2 from section 2.3.1.1 in the 2006 IPCC Guidelines were used for estimating emissions (IPCC, 2006a).</w:t>
      </w:r>
    </w:p>
    <w:bookmarkEnd w:id="2956"/>
    <w:p w14:paraId="46D11F6B" w14:textId="77777777" w:rsidR="0057070D" w:rsidRPr="001D5327" w:rsidRDefault="0057070D" w:rsidP="0057070D">
      <w:pPr>
        <w:pStyle w:val="Heading3"/>
      </w:pPr>
      <w:r w:rsidRPr="001D5327">
        <w:t>8.4.3</w:t>
      </w:r>
      <w:r w:rsidRPr="001D5327">
        <w:tab/>
        <w:t>Uncertainty assessment and time-series consistency</w:t>
      </w:r>
    </w:p>
    <w:p w14:paraId="5FAF35AB" w14:textId="77777777" w:rsidR="0057070D" w:rsidRPr="001D5327" w:rsidRDefault="0057070D" w:rsidP="0057070D">
      <w:pPr>
        <w:pStyle w:val="BodyText"/>
      </w:pPr>
      <w:r w:rsidRPr="001D5327">
        <w:rPr>
          <w:spacing w:val="-2"/>
        </w:rPr>
        <w:t>For this submission, it was not possible to develop Tokelau-specific uncertainty values, therefore, for emission factors, default uncertainty values provided in the 2006 IPCC Guidelines</w:t>
      </w:r>
      <w:r w:rsidRPr="001D5327">
        <w:t xml:space="preserve"> were used for CO</w:t>
      </w:r>
      <w:r w:rsidRPr="001D5327">
        <w:rPr>
          <w:vertAlign w:val="subscript"/>
        </w:rPr>
        <w:t>2</w:t>
      </w:r>
      <w:r w:rsidRPr="001D5327">
        <w:t xml:space="preserve"> and CH</w:t>
      </w:r>
      <w:r w:rsidRPr="001D5327">
        <w:rPr>
          <w:vertAlign w:val="subscript"/>
        </w:rPr>
        <w:t>4</w:t>
      </w:r>
      <w:r w:rsidRPr="001D5327">
        <w:t xml:space="preserve"> (for commercial, institutional and residential combustion) (IPCC, 2006a). Because no quantified default emission factor is provided for N</w:t>
      </w:r>
      <w:r w:rsidRPr="001D5327">
        <w:rPr>
          <w:vertAlign w:val="subscript"/>
        </w:rPr>
        <w:t>2</w:t>
      </w:r>
      <w:r w:rsidRPr="001D5327">
        <w:t>O, New Zealand’s emission factor uncertainty across the Energy sector for N</w:t>
      </w:r>
      <w:r w:rsidRPr="001D5327">
        <w:rPr>
          <w:vertAlign w:val="subscript"/>
        </w:rPr>
        <w:t>2</w:t>
      </w:r>
      <w:r w:rsidRPr="001D5327">
        <w:t>O was used for this category.</w:t>
      </w:r>
    </w:p>
    <w:p w14:paraId="5FAACD3E" w14:textId="77777777" w:rsidR="0057070D" w:rsidRPr="001D5327" w:rsidRDefault="0057070D" w:rsidP="0057070D">
      <w:pPr>
        <w:pStyle w:val="BodyText"/>
      </w:pPr>
      <w:r w:rsidRPr="001D5327">
        <w:t xml:space="preserve">For activity data, a mid-range level of default uncertainty range associated with data extrapolation from the 2006 IPCC Guidelines was applied (IPCC, 2006a). Table 8.4.1 shows the use of uncertainties for the </w:t>
      </w:r>
      <w:r w:rsidRPr="001D5327">
        <w:rPr>
          <w:i/>
          <w:iCs/>
        </w:rPr>
        <w:t>Other sectors – Residential</w:t>
      </w:r>
      <w:r w:rsidRPr="001D5327">
        <w:t xml:space="preserve"> category.</w:t>
      </w:r>
    </w:p>
    <w:p w14:paraId="3690A17C" w14:textId="77777777" w:rsidR="0057070D" w:rsidRPr="001D5327" w:rsidRDefault="0057070D" w:rsidP="0057070D">
      <w:pPr>
        <w:pStyle w:val="Table"/>
      </w:pPr>
      <w:bookmarkStart w:id="2957" w:name="_Toc194241835"/>
      <w:r w:rsidRPr="001D5327">
        <w:t>Table 8.4.1</w:t>
      </w:r>
      <w:r w:rsidRPr="001D5327">
        <w:tab/>
        <w:t xml:space="preserve">Uncertainties for the </w:t>
      </w:r>
      <w:r w:rsidRPr="001D5327">
        <w:rPr>
          <w:i/>
          <w:iCs/>
        </w:rPr>
        <w:t>Other sectors – Residential</w:t>
      </w:r>
      <w:r w:rsidRPr="001D5327">
        <w:t xml:space="preserve"> category</w:t>
      </w:r>
      <w:bookmarkEnd w:id="2957"/>
    </w:p>
    <w:tbl>
      <w:tblPr>
        <w:tblW w:w="8494" w:type="dxa"/>
        <w:tblBorders>
          <w:top w:val="single" w:sz="4" w:space="0" w:color="1B556B"/>
          <w:left w:val="single" w:sz="4" w:space="0" w:color="FFFFFF"/>
          <w:bottom w:val="single" w:sz="4" w:space="0" w:color="1B556B"/>
          <w:right w:val="single" w:sz="4" w:space="0" w:color="FFFFFF"/>
          <w:insideH w:val="single" w:sz="4" w:space="0" w:color="1B556B"/>
        </w:tblBorders>
        <w:tblLook w:val="0420" w:firstRow="1" w:lastRow="0" w:firstColumn="0" w:lastColumn="0" w:noHBand="0" w:noVBand="1"/>
      </w:tblPr>
      <w:tblGrid>
        <w:gridCol w:w="430"/>
        <w:gridCol w:w="983"/>
        <w:gridCol w:w="1417"/>
        <w:gridCol w:w="1701"/>
        <w:gridCol w:w="3963"/>
      </w:tblGrid>
      <w:tr w:rsidR="0057070D" w:rsidRPr="001D5327" w14:paraId="4E943ED2" w14:textId="77777777" w:rsidTr="00D11AC9">
        <w:trPr>
          <w:tblHeader/>
        </w:trPr>
        <w:tc>
          <w:tcPr>
            <w:tcW w:w="0" w:type="auto"/>
            <w:shd w:val="clear" w:color="auto" w:fill="1B556B"/>
            <w:tcMar>
              <w:top w:w="0" w:type="dxa"/>
              <w:left w:w="85" w:type="dxa"/>
              <w:bottom w:w="0" w:type="dxa"/>
              <w:right w:w="85" w:type="dxa"/>
            </w:tcMar>
            <w:vAlign w:val="bottom"/>
          </w:tcPr>
          <w:p w14:paraId="658FE358"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Gas</w:t>
            </w:r>
          </w:p>
        </w:tc>
        <w:tc>
          <w:tcPr>
            <w:tcW w:w="983" w:type="dxa"/>
            <w:shd w:val="clear" w:color="auto" w:fill="1B556B"/>
            <w:tcMar>
              <w:top w:w="0" w:type="dxa"/>
              <w:left w:w="85" w:type="dxa"/>
              <w:bottom w:w="0" w:type="dxa"/>
              <w:right w:w="85" w:type="dxa"/>
            </w:tcMar>
            <w:vAlign w:val="bottom"/>
          </w:tcPr>
          <w:p w14:paraId="5C1183E1"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Fuel type</w:t>
            </w:r>
          </w:p>
        </w:tc>
        <w:tc>
          <w:tcPr>
            <w:tcW w:w="1417" w:type="dxa"/>
            <w:shd w:val="clear" w:color="auto" w:fill="1B556B"/>
            <w:tcMar>
              <w:top w:w="0" w:type="dxa"/>
              <w:left w:w="85" w:type="dxa"/>
              <w:bottom w:w="0" w:type="dxa"/>
              <w:right w:w="85" w:type="dxa"/>
            </w:tcMar>
            <w:vAlign w:val="bottom"/>
          </w:tcPr>
          <w:p w14:paraId="26FD3192" w14:textId="77777777" w:rsidR="0057070D" w:rsidRPr="001D5327" w:rsidRDefault="0057070D" w:rsidP="00D11AC9">
            <w:pPr>
              <w:pStyle w:val="TableTextBold"/>
              <w:spacing w:before="40" w:after="40"/>
              <w:jc w:val="right"/>
              <w:rPr>
                <w:noProof w:val="0"/>
                <w:color w:val="FFFFFF" w:themeColor="background1"/>
              </w:rPr>
            </w:pPr>
            <w:r w:rsidRPr="001D5327">
              <w:rPr>
                <w:rFonts w:eastAsia="Calibri"/>
                <w:noProof w:val="0"/>
                <w:color w:val="FFFFFF" w:themeColor="background1"/>
              </w:rPr>
              <w:t>Activity data (AD) uncertainty (%)</w:t>
            </w:r>
          </w:p>
        </w:tc>
        <w:tc>
          <w:tcPr>
            <w:tcW w:w="1701" w:type="dxa"/>
            <w:shd w:val="clear" w:color="auto" w:fill="1B556B"/>
            <w:tcMar>
              <w:top w:w="0" w:type="dxa"/>
              <w:left w:w="85" w:type="dxa"/>
              <w:bottom w:w="0" w:type="dxa"/>
              <w:right w:w="85" w:type="dxa"/>
            </w:tcMar>
            <w:vAlign w:val="bottom"/>
          </w:tcPr>
          <w:p w14:paraId="5A6377EB" w14:textId="77777777" w:rsidR="0057070D" w:rsidRPr="001D5327" w:rsidRDefault="0057070D" w:rsidP="00D11AC9">
            <w:pPr>
              <w:pStyle w:val="TableTextBold"/>
              <w:spacing w:before="40" w:after="40"/>
              <w:jc w:val="right"/>
              <w:rPr>
                <w:noProof w:val="0"/>
                <w:color w:val="FFFFFF" w:themeColor="background1"/>
              </w:rPr>
            </w:pPr>
            <w:r w:rsidRPr="001D5327">
              <w:rPr>
                <w:rFonts w:eastAsia="Calibri"/>
                <w:noProof w:val="0"/>
                <w:color w:val="FFFFFF" w:themeColor="background1"/>
              </w:rPr>
              <w:t>Emission factor (EF) uncertainty (%)</w:t>
            </w:r>
          </w:p>
        </w:tc>
        <w:tc>
          <w:tcPr>
            <w:tcW w:w="3963" w:type="dxa"/>
            <w:shd w:val="clear" w:color="auto" w:fill="1B556B"/>
            <w:tcMar>
              <w:top w:w="0" w:type="dxa"/>
              <w:left w:w="85" w:type="dxa"/>
              <w:bottom w:w="0" w:type="dxa"/>
              <w:right w:w="85" w:type="dxa"/>
            </w:tcMar>
            <w:vAlign w:val="bottom"/>
          </w:tcPr>
          <w:p w14:paraId="34FC4FF5"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Source</w:t>
            </w:r>
          </w:p>
        </w:tc>
      </w:tr>
      <w:tr w:rsidR="0057070D" w:rsidRPr="001D5327" w14:paraId="667D47E1" w14:textId="77777777" w:rsidTr="00D11AC9">
        <w:tc>
          <w:tcPr>
            <w:tcW w:w="0" w:type="auto"/>
            <w:shd w:val="clear" w:color="auto" w:fill="FFFFFF"/>
            <w:tcMar>
              <w:top w:w="0" w:type="dxa"/>
              <w:left w:w="85" w:type="dxa"/>
              <w:bottom w:w="0" w:type="dxa"/>
              <w:right w:w="85" w:type="dxa"/>
            </w:tcMar>
          </w:tcPr>
          <w:p w14:paraId="283AEFCF" w14:textId="77777777" w:rsidR="0057070D" w:rsidRPr="001D5327" w:rsidRDefault="0057070D" w:rsidP="00D11AC9">
            <w:pPr>
              <w:pStyle w:val="TableText"/>
              <w:spacing w:before="40" w:after="40"/>
            </w:pPr>
            <w:r w:rsidRPr="001D5327">
              <w:rPr>
                <w:rFonts w:eastAsia="Calibri"/>
                <w:color w:val="000000"/>
              </w:rPr>
              <w:t>CO</w:t>
            </w:r>
            <w:r w:rsidRPr="001D5327">
              <w:rPr>
                <w:rFonts w:eastAsia="Calibri"/>
                <w:color w:val="000000"/>
                <w:vertAlign w:val="subscript"/>
              </w:rPr>
              <w:t>2</w:t>
            </w:r>
          </w:p>
        </w:tc>
        <w:tc>
          <w:tcPr>
            <w:tcW w:w="983" w:type="dxa"/>
            <w:shd w:val="clear" w:color="auto" w:fill="FFFFFF"/>
            <w:tcMar>
              <w:top w:w="0" w:type="dxa"/>
              <w:left w:w="85" w:type="dxa"/>
              <w:bottom w:w="0" w:type="dxa"/>
              <w:right w:w="85" w:type="dxa"/>
            </w:tcMar>
          </w:tcPr>
          <w:p w14:paraId="780E92CA" w14:textId="77777777" w:rsidR="0057070D" w:rsidRPr="001D5327" w:rsidRDefault="0057070D" w:rsidP="00D11AC9">
            <w:pPr>
              <w:pStyle w:val="TableText"/>
              <w:spacing w:before="40" w:after="40"/>
            </w:pPr>
            <w:r w:rsidRPr="001D5327">
              <w:rPr>
                <w:rFonts w:eastAsia="Calibri"/>
                <w:color w:val="000000"/>
              </w:rPr>
              <w:t>Liquid fuels</w:t>
            </w:r>
          </w:p>
        </w:tc>
        <w:tc>
          <w:tcPr>
            <w:tcW w:w="1417" w:type="dxa"/>
            <w:shd w:val="clear" w:color="auto" w:fill="FFFFFF"/>
            <w:tcMar>
              <w:top w:w="0" w:type="dxa"/>
              <w:left w:w="85" w:type="dxa"/>
              <w:bottom w:w="0" w:type="dxa"/>
              <w:right w:w="85" w:type="dxa"/>
            </w:tcMar>
          </w:tcPr>
          <w:p w14:paraId="6222513B" w14:textId="77777777" w:rsidR="0057070D" w:rsidRPr="001D5327" w:rsidRDefault="0057070D" w:rsidP="00D11AC9">
            <w:pPr>
              <w:pStyle w:val="TableText"/>
              <w:spacing w:before="40" w:after="40"/>
              <w:jc w:val="right"/>
            </w:pPr>
            <w:r w:rsidRPr="001D5327">
              <w:rPr>
                <w:rFonts w:eastAsia="Calibri"/>
                <w:color w:val="000000"/>
              </w:rPr>
              <w:t>20</w:t>
            </w:r>
          </w:p>
        </w:tc>
        <w:tc>
          <w:tcPr>
            <w:tcW w:w="1701" w:type="dxa"/>
            <w:shd w:val="clear" w:color="auto" w:fill="FFFFFF"/>
            <w:tcMar>
              <w:top w:w="0" w:type="dxa"/>
              <w:left w:w="85" w:type="dxa"/>
              <w:bottom w:w="0" w:type="dxa"/>
              <w:right w:w="85" w:type="dxa"/>
            </w:tcMar>
          </w:tcPr>
          <w:p w14:paraId="59933C64" w14:textId="77777777" w:rsidR="0057070D" w:rsidRPr="001D5327" w:rsidRDefault="0057070D" w:rsidP="00D11AC9">
            <w:pPr>
              <w:pStyle w:val="TableText"/>
              <w:spacing w:before="40" w:after="40"/>
              <w:jc w:val="right"/>
            </w:pPr>
            <w:r w:rsidRPr="001D5327">
              <w:rPr>
                <w:rFonts w:eastAsia="Calibri"/>
                <w:color w:val="000000"/>
              </w:rPr>
              <w:t>±7</w:t>
            </w:r>
          </w:p>
        </w:tc>
        <w:tc>
          <w:tcPr>
            <w:tcW w:w="3963" w:type="dxa"/>
            <w:shd w:val="clear" w:color="auto" w:fill="FFFFFF"/>
            <w:tcMar>
              <w:top w:w="0" w:type="dxa"/>
              <w:left w:w="85" w:type="dxa"/>
              <w:bottom w:w="0" w:type="dxa"/>
              <w:right w:w="85" w:type="dxa"/>
            </w:tcMar>
          </w:tcPr>
          <w:p w14:paraId="0080C11E" w14:textId="77777777" w:rsidR="0057070D" w:rsidRPr="001D5327" w:rsidRDefault="0057070D" w:rsidP="00D11AC9">
            <w:pPr>
              <w:pStyle w:val="TableText"/>
              <w:spacing w:before="40" w:after="40"/>
            </w:pPr>
            <w:r w:rsidRPr="001D5327">
              <w:rPr>
                <w:rFonts w:eastAsia="Calibri"/>
                <w:color w:val="000000"/>
              </w:rPr>
              <w:t xml:space="preserve">AD: page 2.41, IPCC, 2006a (table 2.15) </w:t>
            </w:r>
            <w:r w:rsidRPr="001D5327">
              <w:rPr>
                <w:rFonts w:eastAsia="Calibri"/>
                <w:color w:val="000000"/>
              </w:rPr>
              <w:br/>
              <w:t>EF: page 2.38, IPCC, 2006a</w:t>
            </w:r>
          </w:p>
        </w:tc>
      </w:tr>
      <w:tr w:rsidR="0057070D" w:rsidRPr="001D5327" w14:paraId="240C110A" w14:textId="77777777" w:rsidTr="00D11AC9">
        <w:tc>
          <w:tcPr>
            <w:tcW w:w="0" w:type="auto"/>
            <w:shd w:val="clear" w:color="auto" w:fill="FFFFFF"/>
            <w:tcMar>
              <w:top w:w="0" w:type="dxa"/>
              <w:left w:w="85" w:type="dxa"/>
              <w:bottom w:w="0" w:type="dxa"/>
              <w:right w:w="85" w:type="dxa"/>
            </w:tcMar>
          </w:tcPr>
          <w:p w14:paraId="6F3B747A" w14:textId="77777777" w:rsidR="0057070D" w:rsidRPr="001D5327" w:rsidRDefault="0057070D" w:rsidP="00D11AC9">
            <w:pPr>
              <w:pStyle w:val="TableText"/>
              <w:spacing w:before="40" w:after="40"/>
            </w:pPr>
            <w:r w:rsidRPr="001D5327">
              <w:rPr>
                <w:rFonts w:eastAsia="Calibri"/>
                <w:color w:val="000000"/>
              </w:rPr>
              <w:t>CH</w:t>
            </w:r>
            <w:r w:rsidRPr="001D5327">
              <w:rPr>
                <w:rFonts w:eastAsia="Calibri"/>
                <w:color w:val="000000"/>
                <w:vertAlign w:val="subscript"/>
              </w:rPr>
              <w:t>4</w:t>
            </w:r>
          </w:p>
        </w:tc>
        <w:tc>
          <w:tcPr>
            <w:tcW w:w="983" w:type="dxa"/>
            <w:shd w:val="clear" w:color="auto" w:fill="FFFFFF"/>
            <w:tcMar>
              <w:top w:w="0" w:type="dxa"/>
              <w:left w:w="85" w:type="dxa"/>
              <w:bottom w:w="0" w:type="dxa"/>
              <w:right w:w="85" w:type="dxa"/>
            </w:tcMar>
          </w:tcPr>
          <w:p w14:paraId="56F06DA5" w14:textId="77777777" w:rsidR="0057070D" w:rsidRPr="001D5327" w:rsidRDefault="0057070D" w:rsidP="00D11AC9">
            <w:pPr>
              <w:pStyle w:val="TableText"/>
              <w:spacing w:before="40" w:after="40"/>
            </w:pPr>
            <w:r w:rsidRPr="001D5327">
              <w:rPr>
                <w:rFonts w:eastAsia="Calibri"/>
                <w:color w:val="000000"/>
              </w:rPr>
              <w:t>Liquid fuels</w:t>
            </w:r>
          </w:p>
        </w:tc>
        <w:tc>
          <w:tcPr>
            <w:tcW w:w="1417" w:type="dxa"/>
            <w:shd w:val="clear" w:color="auto" w:fill="FFFFFF"/>
            <w:tcMar>
              <w:top w:w="0" w:type="dxa"/>
              <w:left w:w="85" w:type="dxa"/>
              <w:bottom w:w="0" w:type="dxa"/>
              <w:right w:w="85" w:type="dxa"/>
            </w:tcMar>
          </w:tcPr>
          <w:p w14:paraId="60AB408F" w14:textId="77777777" w:rsidR="0057070D" w:rsidRPr="001D5327" w:rsidRDefault="0057070D" w:rsidP="00D11AC9">
            <w:pPr>
              <w:pStyle w:val="TableText"/>
              <w:spacing w:before="40" w:after="40"/>
              <w:jc w:val="right"/>
            </w:pPr>
            <w:r w:rsidRPr="001D5327">
              <w:rPr>
                <w:rFonts w:eastAsia="Calibri"/>
                <w:color w:val="000000"/>
              </w:rPr>
              <w:t>20</w:t>
            </w:r>
          </w:p>
        </w:tc>
        <w:tc>
          <w:tcPr>
            <w:tcW w:w="1701" w:type="dxa"/>
            <w:shd w:val="clear" w:color="auto" w:fill="FFFFFF"/>
            <w:tcMar>
              <w:top w:w="0" w:type="dxa"/>
              <w:left w:w="85" w:type="dxa"/>
              <w:bottom w:w="0" w:type="dxa"/>
              <w:right w:w="85" w:type="dxa"/>
            </w:tcMar>
          </w:tcPr>
          <w:p w14:paraId="24D8A430" w14:textId="77777777" w:rsidR="0057070D" w:rsidRPr="001D5327" w:rsidRDefault="0057070D" w:rsidP="00D11AC9">
            <w:pPr>
              <w:pStyle w:val="TableText"/>
              <w:spacing w:before="40" w:after="40"/>
              <w:jc w:val="right"/>
            </w:pPr>
            <w:r w:rsidRPr="001D5327">
              <w:rPr>
                <w:rFonts w:eastAsia="Calibri"/>
                <w:color w:val="000000"/>
              </w:rPr>
              <w:t>±50.0</w:t>
            </w:r>
          </w:p>
        </w:tc>
        <w:tc>
          <w:tcPr>
            <w:tcW w:w="3963" w:type="dxa"/>
            <w:shd w:val="clear" w:color="auto" w:fill="FFFFFF"/>
            <w:tcMar>
              <w:top w:w="0" w:type="dxa"/>
              <w:left w:w="85" w:type="dxa"/>
              <w:bottom w:w="0" w:type="dxa"/>
              <w:right w:w="85" w:type="dxa"/>
            </w:tcMar>
          </w:tcPr>
          <w:p w14:paraId="261F910B" w14:textId="77777777" w:rsidR="0057070D" w:rsidRPr="001D5327" w:rsidRDefault="0057070D" w:rsidP="00D11AC9">
            <w:pPr>
              <w:pStyle w:val="TableText"/>
              <w:spacing w:before="40" w:after="40"/>
            </w:pPr>
            <w:r w:rsidRPr="001D5327">
              <w:rPr>
                <w:rFonts w:eastAsia="Calibri"/>
                <w:color w:val="000000"/>
              </w:rPr>
              <w:t xml:space="preserve">AD: page 2.41, IPCC, 2006a (table 2.15) </w:t>
            </w:r>
            <w:r w:rsidRPr="001D5327">
              <w:rPr>
                <w:rFonts w:eastAsia="Calibri"/>
                <w:color w:val="000000"/>
              </w:rPr>
              <w:br/>
              <w:t>EF: page 2.38, IPCC, 2006a (table 2.12)</w:t>
            </w:r>
          </w:p>
        </w:tc>
      </w:tr>
      <w:tr w:rsidR="0057070D" w:rsidRPr="001D5327" w14:paraId="7E6BDA48" w14:textId="77777777" w:rsidTr="00D11AC9">
        <w:tc>
          <w:tcPr>
            <w:tcW w:w="0" w:type="auto"/>
            <w:shd w:val="clear" w:color="auto" w:fill="FFFFFF"/>
            <w:tcMar>
              <w:top w:w="0" w:type="dxa"/>
              <w:left w:w="85" w:type="dxa"/>
              <w:bottom w:w="0" w:type="dxa"/>
              <w:right w:w="85" w:type="dxa"/>
            </w:tcMar>
          </w:tcPr>
          <w:p w14:paraId="7DF66F64" w14:textId="77777777" w:rsidR="0057070D" w:rsidRPr="001D5327" w:rsidRDefault="0057070D" w:rsidP="00D11AC9">
            <w:pPr>
              <w:pStyle w:val="TableText"/>
              <w:spacing w:before="40" w:after="40"/>
            </w:pPr>
            <w:r w:rsidRPr="001D5327">
              <w:rPr>
                <w:rFonts w:eastAsia="Calibri"/>
                <w:color w:val="000000"/>
              </w:rPr>
              <w:t>N</w:t>
            </w:r>
            <w:r w:rsidRPr="001D5327">
              <w:rPr>
                <w:rFonts w:eastAsia="Calibri"/>
                <w:color w:val="000000"/>
                <w:vertAlign w:val="subscript"/>
              </w:rPr>
              <w:t>2</w:t>
            </w:r>
            <w:r w:rsidRPr="001D5327">
              <w:rPr>
                <w:rFonts w:eastAsia="Calibri"/>
                <w:color w:val="000000"/>
              </w:rPr>
              <w:t>O</w:t>
            </w:r>
          </w:p>
        </w:tc>
        <w:tc>
          <w:tcPr>
            <w:tcW w:w="983" w:type="dxa"/>
            <w:shd w:val="clear" w:color="auto" w:fill="FFFFFF"/>
            <w:tcMar>
              <w:top w:w="0" w:type="dxa"/>
              <w:left w:w="85" w:type="dxa"/>
              <w:bottom w:w="0" w:type="dxa"/>
              <w:right w:w="85" w:type="dxa"/>
            </w:tcMar>
          </w:tcPr>
          <w:p w14:paraId="721C4975" w14:textId="77777777" w:rsidR="0057070D" w:rsidRPr="001D5327" w:rsidRDefault="0057070D" w:rsidP="00D11AC9">
            <w:pPr>
              <w:pStyle w:val="TableText"/>
              <w:spacing w:before="40" w:after="40"/>
            </w:pPr>
            <w:r w:rsidRPr="001D5327">
              <w:rPr>
                <w:rFonts w:eastAsia="Calibri"/>
                <w:color w:val="000000"/>
              </w:rPr>
              <w:t>Liquid fuels</w:t>
            </w:r>
          </w:p>
        </w:tc>
        <w:tc>
          <w:tcPr>
            <w:tcW w:w="1417" w:type="dxa"/>
            <w:shd w:val="clear" w:color="auto" w:fill="FFFFFF"/>
            <w:tcMar>
              <w:top w:w="0" w:type="dxa"/>
              <w:left w:w="85" w:type="dxa"/>
              <w:bottom w:w="0" w:type="dxa"/>
              <w:right w:w="85" w:type="dxa"/>
            </w:tcMar>
          </w:tcPr>
          <w:p w14:paraId="423B10B4" w14:textId="77777777" w:rsidR="0057070D" w:rsidRPr="001D5327" w:rsidRDefault="0057070D" w:rsidP="00D11AC9">
            <w:pPr>
              <w:pStyle w:val="TableText"/>
              <w:spacing w:before="40" w:after="40"/>
              <w:jc w:val="right"/>
            </w:pPr>
            <w:r w:rsidRPr="001D5327">
              <w:rPr>
                <w:rFonts w:eastAsia="Calibri"/>
                <w:color w:val="000000"/>
              </w:rPr>
              <w:t>20</w:t>
            </w:r>
          </w:p>
        </w:tc>
        <w:tc>
          <w:tcPr>
            <w:tcW w:w="1701" w:type="dxa"/>
            <w:shd w:val="clear" w:color="auto" w:fill="FFFFFF"/>
            <w:tcMar>
              <w:top w:w="0" w:type="dxa"/>
              <w:left w:w="85" w:type="dxa"/>
              <w:bottom w:w="0" w:type="dxa"/>
              <w:right w:w="85" w:type="dxa"/>
            </w:tcMar>
          </w:tcPr>
          <w:p w14:paraId="6EFCA553" w14:textId="77777777" w:rsidR="0057070D" w:rsidRPr="001D5327" w:rsidRDefault="0057070D" w:rsidP="00D11AC9">
            <w:pPr>
              <w:pStyle w:val="TableText"/>
              <w:spacing w:before="40" w:after="40"/>
              <w:jc w:val="right"/>
            </w:pPr>
            <w:r w:rsidRPr="001D5327">
              <w:rPr>
                <w:rFonts w:eastAsia="Calibri"/>
                <w:color w:val="000000"/>
              </w:rPr>
              <w:t>±50.0</w:t>
            </w:r>
          </w:p>
        </w:tc>
        <w:tc>
          <w:tcPr>
            <w:tcW w:w="3963" w:type="dxa"/>
            <w:shd w:val="clear" w:color="auto" w:fill="FFFFFF"/>
            <w:tcMar>
              <w:top w:w="0" w:type="dxa"/>
              <w:left w:w="85" w:type="dxa"/>
              <w:bottom w:w="0" w:type="dxa"/>
              <w:right w:w="85" w:type="dxa"/>
            </w:tcMar>
          </w:tcPr>
          <w:p w14:paraId="6D5F5C7B" w14:textId="77777777" w:rsidR="0057070D" w:rsidRPr="001D5327" w:rsidRDefault="0057070D" w:rsidP="00D11AC9">
            <w:pPr>
              <w:pStyle w:val="TableText"/>
              <w:spacing w:before="40" w:after="40"/>
            </w:pPr>
            <w:r w:rsidRPr="001D5327">
              <w:rPr>
                <w:rFonts w:eastAsia="Calibri"/>
                <w:color w:val="000000"/>
              </w:rPr>
              <w:t xml:space="preserve">AD: page 2.41, IPCC, 2006a (table 2.15) </w:t>
            </w:r>
            <w:r w:rsidRPr="001D5327">
              <w:rPr>
                <w:rFonts w:eastAsia="Calibri"/>
                <w:color w:val="000000"/>
              </w:rPr>
              <w:br/>
              <w:t>EF: New Zealand’s value (table 3.2.1, chapter 3)</w:t>
            </w:r>
          </w:p>
        </w:tc>
      </w:tr>
    </w:tbl>
    <w:p w14:paraId="0AA20940" w14:textId="4166BF22" w:rsidR="0057070D" w:rsidRPr="001D5327" w:rsidRDefault="0057070D" w:rsidP="0057070D">
      <w:pPr>
        <w:pStyle w:val="BodyText"/>
        <w:spacing w:before="240"/>
      </w:pPr>
      <w:r w:rsidRPr="001D5327">
        <w:t xml:space="preserve">For the </w:t>
      </w:r>
      <w:r w:rsidRPr="001D5327">
        <w:rPr>
          <w:i/>
          <w:iCs/>
        </w:rPr>
        <w:t>Other sectors – Residential</w:t>
      </w:r>
      <w:r w:rsidRPr="001D5327">
        <w:t xml:space="preserve"> category, time-series consistency is maintained by keeping</w:t>
      </w:r>
      <w:r w:rsidR="00D21566" w:rsidRPr="001D5327">
        <w:t> </w:t>
      </w:r>
      <w:r w:rsidRPr="001D5327">
        <w:t>activity data constant at 2018 amounts and using actual data since 2018 for which data is available.</w:t>
      </w:r>
    </w:p>
    <w:p w14:paraId="054990EE" w14:textId="77777777" w:rsidR="0057070D" w:rsidRPr="001D5327" w:rsidRDefault="0057070D" w:rsidP="0057070D">
      <w:pPr>
        <w:pStyle w:val="Heading3"/>
      </w:pPr>
      <w:r w:rsidRPr="001D5327">
        <w:t>8.4.4</w:t>
      </w:r>
      <w:r w:rsidRPr="001D5327">
        <w:tab/>
        <w:t>Category-specific QA/QC and verification</w:t>
      </w:r>
    </w:p>
    <w:p w14:paraId="7249A22C" w14:textId="77777777" w:rsidR="0057070D" w:rsidRPr="001D5327" w:rsidRDefault="0057070D" w:rsidP="0057070D">
      <w:pPr>
        <w:pStyle w:val="BodyText"/>
      </w:pPr>
      <w:r w:rsidRPr="001D5327">
        <w:t>Quality control of the activity data and calculations was applied to each category for Tokelau. No verification was possible because no alternative data were available.</w:t>
      </w:r>
    </w:p>
    <w:p w14:paraId="0DDF562B" w14:textId="77777777" w:rsidR="0057070D" w:rsidRPr="001D5327" w:rsidRDefault="0057070D" w:rsidP="0057070D">
      <w:pPr>
        <w:pStyle w:val="Heading3"/>
      </w:pPr>
      <w:r w:rsidRPr="001D5327">
        <w:lastRenderedPageBreak/>
        <w:t>8.4.5</w:t>
      </w:r>
      <w:r w:rsidRPr="001D5327">
        <w:tab/>
        <w:t>Category-specific recalculations</w:t>
      </w:r>
    </w:p>
    <w:p w14:paraId="4BF95D8D" w14:textId="77777777" w:rsidR="0057070D" w:rsidRPr="001D5327" w:rsidRDefault="0057070D" w:rsidP="0057070D">
      <w:pPr>
        <w:pStyle w:val="BodyText"/>
      </w:pPr>
      <w:r w:rsidRPr="001D5327">
        <w:t xml:space="preserve">There were no changes to estimates for the </w:t>
      </w:r>
      <w:r w:rsidRPr="001D5327">
        <w:rPr>
          <w:i/>
          <w:iCs/>
        </w:rPr>
        <w:t>Other sectors – Residential</w:t>
      </w:r>
      <w:r w:rsidRPr="001D5327">
        <w:t xml:space="preserve"> category.</w:t>
      </w:r>
    </w:p>
    <w:p w14:paraId="3886D153" w14:textId="77777777" w:rsidR="0057070D" w:rsidRPr="001D5327" w:rsidRDefault="0057070D" w:rsidP="0057070D">
      <w:pPr>
        <w:pStyle w:val="Heading3"/>
      </w:pPr>
      <w:r w:rsidRPr="001D5327">
        <w:t>8.4.6</w:t>
      </w:r>
      <w:r w:rsidRPr="001D5327">
        <w:tab/>
        <w:t>Category-specific planned improvements</w:t>
      </w:r>
    </w:p>
    <w:p w14:paraId="27193498" w14:textId="77777777" w:rsidR="0057070D" w:rsidRPr="001D5327" w:rsidRDefault="0057070D" w:rsidP="0057070D">
      <w:pPr>
        <w:pStyle w:val="BodyText"/>
      </w:pPr>
      <w:r w:rsidRPr="001D5327">
        <w:t xml:space="preserve">No improvements are planned for the </w:t>
      </w:r>
      <w:r w:rsidRPr="001D5327">
        <w:rPr>
          <w:i/>
          <w:iCs/>
        </w:rPr>
        <w:t>Other sectors – Residential</w:t>
      </w:r>
      <w:r w:rsidRPr="001D5327">
        <w:t xml:space="preserve"> category. One area identified for possible future improvement is to consider additional LPG imports purchased from Aute Gas (Apia, Samoa), for Nukunonu. However, the difference is likely to be small, compared with the current approach (where Nukunonu is taken as the average between the fuel purchases from Origin, by Atafu and Fakaofo). For future submissions, further analysis of activity data from Tokelau, to reflect year-to-year variations, will be considered as far as resources allow.</w:t>
      </w:r>
    </w:p>
    <w:p w14:paraId="0D038416" w14:textId="77777777" w:rsidR="0057070D" w:rsidRPr="001D5327" w:rsidRDefault="0057070D" w:rsidP="0057070D">
      <w:pPr>
        <w:pStyle w:val="Heading2"/>
      </w:pPr>
      <w:bookmarkStart w:id="2958" w:name="_Toc194312051"/>
      <w:bookmarkStart w:id="2959" w:name="mobile-combustion-domestic-navigation"/>
      <w:bookmarkEnd w:id="2954"/>
      <w:r w:rsidRPr="001D5327">
        <w:t>8.5</w:t>
      </w:r>
      <w:r w:rsidRPr="001D5327">
        <w:tab/>
        <w:t>Mobile combustion: Domestic navigation</w:t>
      </w:r>
      <w:bookmarkEnd w:id="2958"/>
    </w:p>
    <w:p w14:paraId="5AEF03CD" w14:textId="77777777" w:rsidR="0057070D" w:rsidRPr="001D5327" w:rsidRDefault="0057070D" w:rsidP="0057070D">
      <w:pPr>
        <w:pStyle w:val="Heading3"/>
        <w:spacing w:before="240"/>
      </w:pPr>
      <w:r w:rsidRPr="001D5327">
        <w:t>8.5.1</w:t>
      </w:r>
      <w:r w:rsidRPr="001D5327">
        <w:tab/>
        <w:t>Description</w:t>
      </w:r>
    </w:p>
    <w:p w14:paraId="1E71B813" w14:textId="77777777" w:rsidR="0057070D" w:rsidRPr="001D5327" w:rsidRDefault="0057070D" w:rsidP="0057070D">
      <w:pPr>
        <w:pStyle w:val="BodyText"/>
      </w:pPr>
      <w:r w:rsidRPr="001D5327">
        <w:t>The only means of transport to and from Tokelau is by sea because there is no air transportation. All travel and supplies to Tokelau originate and terminate in Samoa, Tokelau’s closest neighbour. A direct trip from any of the three atolls to the nearest port, Apia, usually takes between 26 hours and 40 hours. There are no ports and terminals in Tokelau, and no offshore anchorage is available; barges that can enter the fringe reef are used for loading and offloading ships.</w:t>
      </w:r>
    </w:p>
    <w:p w14:paraId="0BAF7A43" w14:textId="77777777" w:rsidR="0057070D" w:rsidRPr="001D5327" w:rsidRDefault="0057070D" w:rsidP="0057070D">
      <w:pPr>
        <w:pStyle w:val="BodyText"/>
      </w:pPr>
      <w:r w:rsidRPr="001D5327">
        <w:t xml:space="preserve">The passenger ferries and cargo ships arriving from Apia (distance around 500 kilometres) generally visit the three atolls in succession: they are 60 kilometres and 90 kilometres apart, respectively. A round trip is about 1,300 kilometres using diesel from Apia. Up until 2018, the fraction (300/1300) is used to estimate </w:t>
      </w:r>
      <w:r w:rsidRPr="001D5327">
        <w:rPr>
          <w:i/>
          <w:iCs/>
        </w:rPr>
        <w:t>Domestic navigation</w:t>
      </w:r>
      <w:r w:rsidRPr="001D5327">
        <w:t xml:space="preserve"> within Tokelau. For 2023, actual data on the number of inter-atoll trips was used.</w:t>
      </w:r>
    </w:p>
    <w:p w14:paraId="65F20925" w14:textId="77777777" w:rsidR="0057070D" w:rsidRPr="001D5327" w:rsidRDefault="0057070D" w:rsidP="0057070D">
      <w:pPr>
        <w:pStyle w:val="BodyText"/>
      </w:pPr>
      <w:r w:rsidRPr="001D5327">
        <w:t>Until recently, the main forms of road transport on the atolls were trucks, pick-ups, motorbikes and a range of golf carts. Some vehicles are electric, fuelled by solar PV energy. Solar-powered streetlights ensure safety on the roadways. The private importation of other vehicles has increased recently.</w:t>
      </w:r>
    </w:p>
    <w:p w14:paraId="1155C21C" w14:textId="77777777" w:rsidR="0057070D" w:rsidRPr="001D5327" w:rsidRDefault="0057070D" w:rsidP="0057070D">
      <w:pPr>
        <w:pStyle w:val="BodyText"/>
      </w:pPr>
      <w:r w:rsidRPr="001D5327">
        <w:t xml:space="preserve">The number of petrol cars has been very small in Tokelau. In 2023 there were only about 40 cars (in addition to the vehicles above) and 30 motorbikes, with the entire network of unsealed roads being about 10 kilometres. Census 2001 and prior recorded only four registered cars. Aluminium boats with an outboard motor are widely used by families. Emissions from fuels used for road transport are orders of magnitude lower than from boats, and it was not possible to distinguish the small amounts of fuels used by cars from the total amount used by boats and cars. That is why emissions from road transport are included under the </w:t>
      </w:r>
      <w:r w:rsidRPr="001D5327">
        <w:rPr>
          <w:i/>
          <w:iCs/>
        </w:rPr>
        <w:t>Domestic navigation</w:t>
      </w:r>
      <w:r w:rsidRPr="001D5327">
        <w:t xml:space="preserve"> category.</w:t>
      </w:r>
    </w:p>
    <w:p w14:paraId="220474B4" w14:textId="77777777" w:rsidR="0057070D" w:rsidRPr="001D5327" w:rsidRDefault="0057070D" w:rsidP="0057070D">
      <w:pPr>
        <w:pStyle w:val="BodyText"/>
      </w:pPr>
      <w:r w:rsidRPr="001D5327">
        <w:t xml:space="preserve">According to its 2016 census, Tokelau has 176 aluminium boats with 160 outboard motors, which use most of the imported petrol to travel within and outside the large lagoons. Most of the diesel use is by the ferries travelling to and from Samoa. </w:t>
      </w:r>
      <w:r w:rsidRPr="001D5327">
        <w:rPr>
          <w:i/>
          <w:iCs/>
        </w:rPr>
        <w:t>Fetu o te Moana</w:t>
      </w:r>
      <w:r w:rsidRPr="001D5327">
        <w:t xml:space="preserve"> is a new search and rescue vessel delivered in 2019 that also provides general inter-atoll transport.</w:t>
      </w:r>
    </w:p>
    <w:p w14:paraId="1FFDF0A3" w14:textId="77777777" w:rsidR="0057070D" w:rsidRPr="001D5327" w:rsidRDefault="0057070D" w:rsidP="0057070D">
      <w:pPr>
        <w:pStyle w:val="BodyText"/>
      </w:pPr>
      <w:r w:rsidRPr="001D5327">
        <w:t xml:space="preserve">For Tokelau, the </w:t>
      </w:r>
      <w:r w:rsidRPr="001D5327">
        <w:rPr>
          <w:i/>
          <w:iCs/>
        </w:rPr>
        <w:t>Domestic navigation</w:t>
      </w:r>
      <w:r w:rsidRPr="001D5327">
        <w:t xml:space="preserve"> category accounted for 100 per cent of the emissions from the </w:t>
      </w:r>
      <w:r w:rsidRPr="001D5327">
        <w:rPr>
          <w:i/>
          <w:iCs/>
        </w:rPr>
        <w:t>Transport</w:t>
      </w:r>
      <w:r w:rsidRPr="001D5327">
        <w:t xml:space="preserve"> category for the entire time series. In 2023, emissions from the </w:t>
      </w:r>
      <w:r w:rsidRPr="001D5327">
        <w:rPr>
          <w:i/>
          <w:iCs/>
        </w:rPr>
        <w:t>Domestic navigation</w:t>
      </w:r>
      <w:r w:rsidRPr="001D5327">
        <w:t xml:space="preserve"> category totalled 1.43 kt CO</w:t>
      </w:r>
      <w:r w:rsidRPr="001D5327">
        <w:rPr>
          <w:vertAlign w:val="subscript"/>
        </w:rPr>
        <w:t>2</w:t>
      </w:r>
      <w:r w:rsidRPr="001D5327">
        <w:t>-e (63.2 per cent of all energy emissions from Tokelau).</w:t>
      </w:r>
    </w:p>
    <w:p w14:paraId="6C056F7C" w14:textId="77777777" w:rsidR="0057070D" w:rsidRPr="001D5327" w:rsidRDefault="0057070D" w:rsidP="0057070D">
      <w:pPr>
        <w:pStyle w:val="Heading3"/>
      </w:pPr>
      <w:r w:rsidRPr="001D5327">
        <w:lastRenderedPageBreak/>
        <w:t>8.5.2</w:t>
      </w:r>
      <w:r w:rsidRPr="001D5327">
        <w:tab/>
        <w:t>Methodological issues</w:t>
      </w:r>
    </w:p>
    <w:p w14:paraId="2792D2D2" w14:textId="77777777" w:rsidR="0057070D" w:rsidRPr="001D5327" w:rsidRDefault="0057070D" w:rsidP="0057070D">
      <w:pPr>
        <w:pStyle w:val="Heading5"/>
      </w:pPr>
      <w:bookmarkStart w:id="2960" w:name="activity-data-3"/>
      <w:r w:rsidRPr="001D5327">
        <w:t>Activity data</w:t>
      </w:r>
    </w:p>
    <w:p w14:paraId="46AE95FC" w14:textId="77777777" w:rsidR="0057070D" w:rsidRPr="001D5327" w:rsidRDefault="0057070D" w:rsidP="0057070D">
      <w:pPr>
        <w:pStyle w:val="BodyText"/>
      </w:pPr>
      <w:r w:rsidRPr="001D5327">
        <w:t xml:space="preserve">The sources of activity data for the </w:t>
      </w:r>
      <w:r w:rsidRPr="001D5327">
        <w:rPr>
          <w:i/>
          <w:iCs/>
        </w:rPr>
        <w:t>Transport</w:t>
      </w:r>
      <w:r w:rsidRPr="001D5327">
        <w:t xml:space="preserve"> category are included in table 8.1.1. Activity data sources for the category are:</w:t>
      </w:r>
    </w:p>
    <w:p w14:paraId="32BCBA44" w14:textId="344F4D09" w:rsidR="0057070D" w:rsidRPr="001D5327" w:rsidRDefault="0057070D" w:rsidP="0057070D">
      <w:pPr>
        <w:pStyle w:val="Bullet"/>
      </w:pPr>
      <w:r w:rsidRPr="001D5327">
        <w:t>paid invoices from Petroleum Product Supplies Ltd (Apia, Samoa) with data on fuel prices</w:t>
      </w:r>
      <w:r w:rsidR="00BF2F7A" w:rsidRPr="001D5327">
        <w:t> </w:t>
      </w:r>
      <w:r w:rsidRPr="001D5327">
        <w:t>and volumes supplied for shipping and on-atoll use: diesel, petrol, kerosene and lubricant oil</w:t>
      </w:r>
    </w:p>
    <w:p w14:paraId="0D4294C1" w14:textId="77777777" w:rsidR="0057070D" w:rsidRPr="001D5327" w:rsidRDefault="0057070D" w:rsidP="0057070D">
      <w:pPr>
        <w:pStyle w:val="Bullet"/>
      </w:pPr>
      <w:r w:rsidRPr="001D5327">
        <w:t>the Tokelau Department of Finance’s invoices and payment records to Petroleum Product Supplies Ltd, Origin and on-atoll stores</w:t>
      </w:r>
    </w:p>
    <w:p w14:paraId="4E515F9E" w14:textId="77777777" w:rsidR="0057070D" w:rsidRPr="001D5327" w:rsidRDefault="0057070D" w:rsidP="0057070D">
      <w:pPr>
        <w:pStyle w:val="Bullet"/>
      </w:pPr>
      <w:r w:rsidRPr="001D5327">
        <w:t>a photo survey of Tokelau motorised vehicles on-atoll, August–December 2018.</w:t>
      </w:r>
    </w:p>
    <w:p w14:paraId="22CE1062" w14:textId="77777777" w:rsidR="0057070D" w:rsidRPr="001D5327" w:rsidRDefault="0057070D" w:rsidP="0057070D">
      <w:pPr>
        <w:pStyle w:val="BodyText"/>
      </w:pPr>
      <w:r w:rsidRPr="001D5327">
        <w:t xml:space="preserve">Additional energy data related to cargo manifests were obtained from an </w:t>
      </w:r>
      <w:r w:rsidRPr="001D5327">
        <w:rPr>
          <w:i/>
          <w:iCs/>
        </w:rPr>
        <w:t>Analysis of 2014 Imports into Tokelau from Samoa, Part 2: Stores’ invoices reconciled with cargo manifests, and quality of life implications</w:t>
      </w:r>
      <w:r w:rsidRPr="001D5327">
        <w:t xml:space="preserve"> (Jasperse, 2016). Only liquid fossil fuels (gas and diesel oil) are used for fuelling Tokelau’s transport.</w:t>
      </w:r>
    </w:p>
    <w:p w14:paraId="56574D3A" w14:textId="77777777" w:rsidR="0057070D" w:rsidRPr="001D5327" w:rsidRDefault="0057070D" w:rsidP="0057070D">
      <w:pPr>
        <w:pStyle w:val="BodyText"/>
      </w:pPr>
      <w:r w:rsidRPr="001D5327">
        <w:t>Due to large discrepancies between different sources of raw data, reliable statistics on fuel consumption across the period 1990 to 2023 are not available. Some anecdotal transport data exist for the number of roundtrips Apia–Tokelau during the years 1990 to 2014. Actual records are available after this period.</w:t>
      </w:r>
    </w:p>
    <w:p w14:paraId="6E3A8ACD" w14:textId="77777777" w:rsidR="0057070D" w:rsidRPr="001D5327" w:rsidRDefault="0057070D" w:rsidP="0057070D">
      <w:pPr>
        <w:pStyle w:val="Heading5"/>
      </w:pPr>
      <w:bookmarkStart w:id="2961" w:name="methods-and-emission-factors-3"/>
      <w:bookmarkEnd w:id="2960"/>
      <w:r w:rsidRPr="001D5327">
        <w:t>Methods and emission factors</w:t>
      </w:r>
    </w:p>
    <w:p w14:paraId="56EBC76B" w14:textId="1AB18DD0" w:rsidR="0057070D" w:rsidRPr="001D5327" w:rsidRDefault="0057070D" w:rsidP="0057070D">
      <w:pPr>
        <w:pStyle w:val="BodyText"/>
      </w:pPr>
      <w:r w:rsidRPr="001D5327">
        <w:t xml:space="preserve">A Tier 1 method was applied for estimating emissions from the </w:t>
      </w:r>
      <w:r w:rsidRPr="001D5327">
        <w:rPr>
          <w:i/>
          <w:iCs/>
        </w:rPr>
        <w:t>Domestic navigation</w:t>
      </w:r>
      <w:r w:rsidRPr="001D5327">
        <w:t xml:space="preserve"> category. The method required the data on the amount of fuel combusted in the source category and a</w:t>
      </w:r>
      <w:r w:rsidR="00BF2F7A" w:rsidRPr="001D5327">
        <w:t> </w:t>
      </w:r>
      <w:r w:rsidRPr="001D5327">
        <w:t>default emission factor from tables 3.5.2 (for CO</w:t>
      </w:r>
      <w:r w:rsidRPr="001D5327">
        <w:rPr>
          <w:vertAlign w:val="subscript"/>
        </w:rPr>
        <w:t>2</w:t>
      </w:r>
      <w:r w:rsidRPr="001D5327">
        <w:t>) and 3.5.3 (for non-CO</w:t>
      </w:r>
      <w:r w:rsidRPr="001D5327">
        <w:rPr>
          <w:vertAlign w:val="subscript"/>
        </w:rPr>
        <w:t>2</w:t>
      </w:r>
      <w:r w:rsidRPr="001D5327">
        <w:t xml:space="preserve"> gases), section 3.5.1.2, volume 2 of the 2006 IPCC Guidelines. Default emission factors from the 2006 IPCC Guidelines were converted from net calorific values to gross calorific values using the OECD and IEA assumptions to make these conversions:</w:t>
      </w:r>
    </w:p>
    <w:p w14:paraId="2E4E31E8" w14:textId="77777777" w:rsidR="0057070D" w:rsidRPr="001D5327" w:rsidRDefault="0057070D" w:rsidP="0057070D">
      <w:pPr>
        <w:pStyle w:val="BodyText"/>
        <w:spacing w:before="100" w:after="100"/>
        <w:jc w:val="center"/>
        <w:rPr>
          <w:rFonts w:ascii="Cambria Math" w:hAnsi="Cambria Math"/>
          <w:i/>
          <w:iCs/>
          <w:sz w:val="24"/>
          <w:szCs w:val="24"/>
          <w:lang w:eastAsia="en-GB"/>
        </w:rPr>
      </w:pPr>
      <w:r w:rsidRPr="001D5327">
        <w:rPr>
          <w:rFonts w:ascii="Cambria Math" w:hAnsi="Cambria Math"/>
          <w:i/>
          <w:iCs/>
          <w:sz w:val="24"/>
          <w:szCs w:val="24"/>
          <w:lang w:eastAsia="en-GB"/>
        </w:rPr>
        <w:t>Gross Emission Factor (liquid fuels) = 0.95 x Net Emission Factor</w:t>
      </w:r>
    </w:p>
    <w:p w14:paraId="08DD698D" w14:textId="77777777" w:rsidR="0057070D" w:rsidRPr="001D5327" w:rsidRDefault="0057070D" w:rsidP="0057070D">
      <w:pPr>
        <w:pStyle w:val="BodyText"/>
      </w:pPr>
      <w:r w:rsidRPr="001D5327">
        <w:t>Equation 3.5.1 in section 3.5.1.1 in the 2006 IPCC Guidelines was used for estimating emissions (IPCC, 2006a).</w:t>
      </w:r>
    </w:p>
    <w:bookmarkEnd w:id="2961"/>
    <w:p w14:paraId="3126F8A7" w14:textId="77777777" w:rsidR="0057070D" w:rsidRPr="001D5327" w:rsidRDefault="0057070D" w:rsidP="0057070D">
      <w:pPr>
        <w:pStyle w:val="Heading3"/>
      </w:pPr>
      <w:r w:rsidRPr="001D5327">
        <w:t>8.5.3</w:t>
      </w:r>
      <w:r w:rsidRPr="001D5327">
        <w:tab/>
        <w:t>Uncertainty assessment and time-series consistency</w:t>
      </w:r>
    </w:p>
    <w:p w14:paraId="3F1DDB83" w14:textId="77777777" w:rsidR="0057070D" w:rsidRPr="001D5327" w:rsidRDefault="0057070D" w:rsidP="0057070D">
      <w:pPr>
        <w:pStyle w:val="BodyText"/>
      </w:pPr>
      <w:r w:rsidRPr="001D5327">
        <w:rPr>
          <w:spacing w:val="-2"/>
        </w:rPr>
        <w:t>For this submission, it was not possible to develop Tokelau-specific uncertainty values, therefore, for emission factors, default uncertainty values provided in the 2006 IPCC Guidelines</w:t>
      </w:r>
      <w:r w:rsidRPr="001D5327">
        <w:t xml:space="preserve"> were used for CO</w:t>
      </w:r>
      <w:r w:rsidRPr="001D5327">
        <w:rPr>
          <w:vertAlign w:val="subscript"/>
        </w:rPr>
        <w:t>2</w:t>
      </w:r>
      <w:r w:rsidRPr="001D5327">
        <w:t xml:space="preserve"> (for diesel) and CH</w:t>
      </w:r>
      <w:r w:rsidRPr="001D5327">
        <w:rPr>
          <w:vertAlign w:val="subscript"/>
        </w:rPr>
        <w:t>4</w:t>
      </w:r>
      <w:r w:rsidRPr="001D5327">
        <w:t xml:space="preserve"> (upper value) (IPCC, 2006a). For N</w:t>
      </w:r>
      <w:r w:rsidRPr="001D5327">
        <w:rPr>
          <w:vertAlign w:val="subscript"/>
        </w:rPr>
        <w:t>2</w:t>
      </w:r>
      <w:r w:rsidRPr="001D5327">
        <w:t xml:space="preserve">O, New Zealand’s emission factor uncertainty across the Energy sector was used for this category, which is within the default uncertainty range. For activity data, due to discrepancies between different data sources, an upper level of default uncertainty range associated with incomplete surveys from the 2006 IPCC Guidelines was applied (IPCC, 2006a). Table 8.5.1 shows the use of uncertainties for </w:t>
      </w:r>
      <w:r w:rsidRPr="001D5327">
        <w:rPr>
          <w:i/>
          <w:iCs/>
        </w:rPr>
        <w:t>Domestic navigation</w:t>
      </w:r>
      <w:r w:rsidRPr="001D5327">
        <w:t xml:space="preserve"> (diesel).</w:t>
      </w:r>
    </w:p>
    <w:p w14:paraId="777AF6F2" w14:textId="77777777" w:rsidR="0057070D" w:rsidRPr="001D5327" w:rsidRDefault="0057070D" w:rsidP="0057070D">
      <w:pPr>
        <w:pStyle w:val="Table"/>
      </w:pPr>
      <w:bookmarkStart w:id="2962" w:name="_Toc194241836"/>
      <w:r w:rsidRPr="001D5327">
        <w:lastRenderedPageBreak/>
        <w:t>Table 8.5.1</w:t>
      </w:r>
      <w:r w:rsidRPr="001D5327">
        <w:tab/>
        <w:t xml:space="preserve">Uncertainties for the </w:t>
      </w:r>
      <w:r w:rsidRPr="001D5327">
        <w:rPr>
          <w:i/>
          <w:iCs/>
        </w:rPr>
        <w:t>Domestic navigation</w:t>
      </w:r>
      <w:r w:rsidRPr="001D5327">
        <w:t xml:space="preserve"> (diesel) category</w:t>
      </w:r>
      <w:bookmarkEnd w:id="2962"/>
    </w:p>
    <w:tbl>
      <w:tblPr>
        <w:tblW w:w="8494" w:type="dxa"/>
        <w:tblBorders>
          <w:top w:val="single" w:sz="4" w:space="0" w:color="1B556B"/>
          <w:left w:val="single" w:sz="4" w:space="0" w:color="FFFFFF"/>
          <w:bottom w:val="single" w:sz="4" w:space="0" w:color="1B556B"/>
          <w:right w:val="single" w:sz="4" w:space="0" w:color="FFFFFF"/>
          <w:insideH w:val="single" w:sz="4" w:space="0" w:color="1B556B"/>
        </w:tblBorders>
        <w:tblLook w:val="0420" w:firstRow="1" w:lastRow="0" w:firstColumn="0" w:lastColumn="0" w:noHBand="0" w:noVBand="1"/>
      </w:tblPr>
      <w:tblGrid>
        <w:gridCol w:w="430"/>
        <w:gridCol w:w="983"/>
        <w:gridCol w:w="2410"/>
        <w:gridCol w:w="2551"/>
        <w:gridCol w:w="2120"/>
      </w:tblGrid>
      <w:tr w:rsidR="0057070D" w:rsidRPr="001D5327" w14:paraId="6EA4F390" w14:textId="77777777" w:rsidTr="004F21C3">
        <w:trPr>
          <w:tblHeader/>
        </w:trPr>
        <w:tc>
          <w:tcPr>
            <w:tcW w:w="0" w:type="auto"/>
            <w:shd w:val="clear" w:color="auto" w:fill="1B556B"/>
            <w:tcMar>
              <w:top w:w="0" w:type="dxa"/>
              <w:left w:w="85" w:type="dxa"/>
              <w:bottom w:w="0" w:type="dxa"/>
              <w:right w:w="85" w:type="dxa"/>
            </w:tcMar>
            <w:vAlign w:val="bottom"/>
          </w:tcPr>
          <w:p w14:paraId="43609142" w14:textId="77777777" w:rsidR="0057070D" w:rsidRPr="001D5327" w:rsidRDefault="0057070D" w:rsidP="004F21C3">
            <w:pPr>
              <w:pStyle w:val="TableTextBold"/>
              <w:keepNext/>
              <w:spacing w:before="40" w:after="40"/>
              <w:rPr>
                <w:noProof w:val="0"/>
                <w:color w:val="FFFFFF" w:themeColor="background1"/>
              </w:rPr>
            </w:pPr>
            <w:r w:rsidRPr="001D5327">
              <w:rPr>
                <w:rFonts w:eastAsia="Calibri"/>
                <w:noProof w:val="0"/>
                <w:color w:val="FFFFFF" w:themeColor="background1"/>
              </w:rPr>
              <w:t>Gas</w:t>
            </w:r>
          </w:p>
        </w:tc>
        <w:tc>
          <w:tcPr>
            <w:tcW w:w="983" w:type="dxa"/>
            <w:shd w:val="clear" w:color="auto" w:fill="1B556B"/>
            <w:tcMar>
              <w:top w:w="0" w:type="dxa"/>
              <w:left w:w="85" w:type="dxa"/>
              <w:bottom w:w="0" w:type="dxa"/>
              <w:right w:w="85" w:type="dxa"/>
            </w:tcMar>
            <w:vAlign w:val="bottom"/>
          </w:tcPr>
          <w:p w14:paraId="6AB167D1" w14:textId="77777777" w:rsidR="0057070D" w:rsidRPr="001D5327" w:rsidRDefault="0057070D" w:rsidP="004F21C3">
            <w:pPr>
              <w:pStyle w:val="TableTextBold"/>
              <w:keepNext/>
              <w:spacing w:before="40" w:after="40"/>
              <w:rPr>
                <w:noProof w:val="0"/>
                <w:color w:val="FFFFFF" w:themeColor="background1"/>
              </w:rPr>
            </w:pPr>
            <w:r w:rsidRPr="001D5327">
              <w:rPr>
                <w:rFonts w:eastAsia="Calibri"/>
                <w:noProof w:val="0"/>
                <w:color w:val="FFFFFF" w:themeColor="background1"/>
              </w:rPr>
              <w:t>Fuel type</w:t>
            </w:r>
          </w:p>
        </w:tc>
        <w:tc>
          <w:tcPr>
            <w:tcW w:w="2410" w:type="dxa"/>
            <w:shd w:val="clear" w:color="auto" w:fill="1B556B"/>
            <w:tcMar>
              <w:top w:w="0" w:type="dxa"/>
              <w:left w:w="85" w:type="dxa"/>
              <w:bottom w:w="0" w:type="dxa"/>
              <w:right w:w="85" w:type="dxa"/>
            </w:tcMar>
            <w:vAlign w:val="bottom"/>
          </w:tcPr>
          <w:p w14:paraId="32E8AAC6" w14:textId="77777777" w:rsidR="0057070D" w:rsidRPr="001D5327" w:rsidRDefault="0057070D" w:rsidP="004F21C3">
            <w:pPr>
              <w:pStyle w:val="TableTextBold"/>
              <w:keepNext/>
              <w:spacing w:before="40" w:after="40"/>
              <w:jc w:val="right"/>
              <w:rPr>
                <w:noProof w:val="0"/>
                <w:color w:val="FFFFFF" w:themeColor="background1"/>
              </w:rPr>
            </w:pPr>
            <w:r w:rsidRPr="001D5327">
              <w:rPr>
                <w:rFonts w:eastAsia="Calibri"/>
                <w:noProof w:val="0"/>
                <w:color w:val="FFFFFF" w:themeColor="background1"/>
              </w:rPr>
              <w:t>Activity data (AD) uncertainty (%)</w:t>
            </w:r>
          </w:p>
        </w:tc>
        <w:tc>
          <w:tcPr>
            <w:tcW w:w="2551" w:type="dxa"/>
            <w:shd w:val="clear" w:color="auto" w:fill="1B556B"/>
            <w:tcMar>
              <w:top w:w="0" w:type="dxa"/>
              <w:left w:w="85" w:type="dxa"/>
              <w:bottom w:w="0" w:type="dxa"/>
              <w:right w:w="85" w:type="dxa"/>
            </w:tcMar>
            <w:vAlign w:val="bottom"/>
          </w:tcPr>
          <w:p w14:paraId="22EC2C59" w14:textId="77777777" w:rsidR="0057070D" w:rsidRPr="001D5327" w:rsidRDefault="0057070D" w:rsidP="004F21C3">
            <w:pPr>
              <w:pStyle w:val="TableTextBold"/>
              <w:keepNext/>
              <w:spacing w:before="40" w:after="40"/>
              <w:jc w:val="right"/>
              <w:rPr>
                <w:noProof w:val="0"/>
                <w:color w:val="FFFFFF" w:themeColor="background1"/>
              </w:rPr>
            </w:pPr>
            <w:r w:rsidRPr="001D5327">
              <w:rPr>
                <w:rFonts w:eastAsia="Calibri"/>
                <w:noProof w:val="0"/>
                <w:color w:val="FFFFFF" w:themeColor="background1"/>
              </w:rPr>
              <w:t>Emission factor (EF) uncertainty (%)</w:t>
            </w:r>
          </w:p>
        </w:tc>
        <w:tc>
          <w:tcPr>
            <w:tcW w:w="2120" w:type="dxa"/>
            <w:shd w:val="clear" w:color="auto" w:fill="1B556B"/>
            <w:tcMar>
              <w:top w:w="0" w:type="dxa"/>
              <w:left w:w="85" w:type="dxa"/>
              <w:bottom w:w="0" w:type="dxa"/>
              <w:right w:w="85" w:type="dxa"/>
            </w:tcMar>
            <w:vAlign w:val="bottom"/>
          </w:tcPr>
          <w:p w14:paraId="596E1192" w14:textId="77777777" w:rsidR="0057070D" w:rsidRPr="001D5327" w:rsidRDefault="0057070D" w:rsidP="004F21C3">
            <w:pPr>
              <w:pStyle w:val="TableTextBold"/>
              <w:keepNext/>
              <w:spacing w:before="40" w:after="40"/>
              <w:rPr>
                <w:noProof w:val="0"/>
                <w:color w:val="FFFFFF" w:themeColor="background1"/>
              </w:rPr>
            </w:pPr>
            <w:r w:rsidRPr="001D5327">
              <w:rPr>
                <w:rFonts w:eastAsia="Calibri"/>
                <w:noProof w:val="0"/>
                <w:color w:val="FFFFFF" w:themeColor="background1"/>
              </w:rPr>
              <w:t>Source</w:t>
            </w:r>
          </w:p>
        </w:tc>
      </w:tr>
      <w:tr w:rsidR="0057070D" w:rsidRPr="001D5327" w14:paraId="48204F84" w14:textId="77777777" w:rsidTr="004F21C3">
        <w:tc>
          <w:tcPr>
            <w:tcW w:w="0" w:type="auto"/>
            <w:shd w:val="clear" w:color="auto" w:fill="FFFFFF"/>
            <w:tcMar>
              <w:top w:w="0" w:type="dxa"/>
              <w:left w:w="85" w:type="dxa"/>
              <w:bottom w:w="0" w:type="dxa"/>
              <w:right w:w="85" w:type="dxa"/>
            </w:tcMar>
          </w:tcPr>
          <w:p w14:paraId="4920E03C" w14:textId="77777777" w:rsidR="0057070D" w:rsidRPr="001D5327" w:rsidRDefault="0057070D" w:rsidP="004F21C3">
            <w:pPr>
              <w:pStyle w:val="TableText"/>
              <w:keepNext/>
              <w:spacing w:before="40" w:after="40"/>
            </w:pPr>
            <w:r w:rsidRPr="001D5327">
              <w:rPr>
                <w:rFonts w:eastAsia="Calibri"/>
                <w:color w:val="000000"/>
              </w:rPr>
              <w:t>CO</w:t>
            </w:r>
            <w:r w:rsidRPr="001D5327">
              <w:rPr>
                <w:rFonts w:eastAsia="Calibri"/>
                <w:color w:val="000000"/>
                <w:vertAlign w:val="subscript"/>
              </w:rPr>
              <w:t>2</w:t>
            </w:r>
          </w:p>
        </w:tc>
        <w:tc>
          <w:tcPr>
            <w:tcW w:w="983" w:type="dxa"/>
            <w:shd w:val="clear" w:color="auto" w:fill="FFFFFF"/>
            <w:tcMar>
              <w:top w:w="0" w:type="dxa"/>
              <w:left w:w="85" w:type="dxa"/>
              <w:bottom w:w="0" w:type="dxa"/>
              <w:right w:w="85" w:type="dxa"/>
            </w:tcMar>
          </w:tcPr>
          <w:p w14:paraId="0D4740A1" w14:textId="77777777" w:rsidR="0057070D" w:rsidRPr="001D5327" w:rsidRDefault="0057070D" w:rsidP="004F21C3">
            <w:pPr>
              <w:pStyle w:val="TableText"/>
              <w:keepNext/>
              <w:spacing w:before="40" w:after="40"/>
            </w:pPr>
            <w:r w:rsidRPr="001D5327">
              <w:rPr>
                <w:rFonts w:eastAsia="Calibri"/>
                <w:color w:val="000000"/>
              </w:rPr>
              <w:t>Liquid fuels</w:t>
            </w:r>
          </w:p>
        </w:tc>
        <w:tc>
          <w:tcPr>
            <w:tcW w:w="2410" w:type="dxa"/>
            <w:shd w:val="clear" w:color="auto" w:fill="FFFFFF"/>
            <w:tcMar>
              <w:top w:w="0" w:type="dxa"/>
              <w:left w:w="85" w:type="dxa"/>
              <w:bottom w:w="0" w:type="dxa"/>
              <w:right w:w="85" w:type="dxa"/>
            </w:tcMar>
          </w:tcPr>
          <w:p w14:paraId="01872A5F" w14:textId="77777777" w:rsidR="0057070D" w:rsidRPr="001D5327" w:rsidRDefault="0057070D" w:rsidP="004F21C3">
            <w:pPr>
              <w:pStyle w:val="TableText"/>
              <w:keepNext/>
              <w:spacing w:before="40" w:after="40"/>
              <w:jc w:val="right"/>
            </w:pPr>
            <w:r w:rsidRPr="001D5327">
              <w:rPr>
                <w:rFonts w:eastAsia="Calibri"/>
                <w:color w:val="000000"/>
              </w:rPr>
              <w:t>±50</w:t>
            </w:r>
          </w:p>
        </w:tc>
        <w:tc>
          <w:tcPr>
            <w:tcW w:w="2551" w:type="dxa"/>
            <w:shd w:val="clear" w:color="auto" w:fill="FFFFFF"/>
            <w:tcMar>
              <w:top w:w="0" w:type="dxa"/>
              <w:left w:w="85" w:type="dxa"/>
              <w:bottom w:w="0" w:type="dxa"/>
              <w:right w:w="85" w:type="dxa"/>
            </w:tcMar>
          </w:tcPr>
          <w:p w14:paraId="397135BC" w14:textId="77777777" w:rsidR="0057070D" w:rsidRPr="001D5327" w:rsidRDefault="0057070D" w:rsidP="004F21C3">
            <w:pPr>
              <w:pStyle w:val="TableText"/>
              <w:keepNext/>
              <w:spacing w:before="40" w:after="40"/>
              <w:jc w:val="right"/>
            </w:pPr>
            <w:r w:rsidRPr="001D5327">
              <w:rPr>
                <w:rFonts w:eastAsia="Calibri"/>
                <w:color w:val="000000"/>
              </w:rPr>
              <w:t>±1.5</w:t>
            </w:r>
          </w:p>
        </w:tc>
        <w:tc>
          <w:tcPr>
            <w:tcW w:w="2120" w:type="dxa"/>
            <w:shd w:val="clear" w:color="auto" w:fill="FFFFFF"/>
            <w:tcMar>
              <w:top w:w="0" w:type="dxa"/>
              <w:left w:w="85" w:type="dxa"/>
              <w:bottom w:w="0" w:type="dxa"/>
              <w:right w:w="85" w:type="dxa"/>
            </w:tcMar>
          </w:tcPr>
          <w:p w14:paraId="4727421E" w14:textId="77777777" w:rsidR="0057070D" w:rsidRPr="001D5327" w:rsidRDefault="0057070D" w:rsidP="004F21C3">
            <w:pPr>
              <w:pStyle w:val="TableText"/>
              <w:keepNext/>
              <w:spacing w:before="40" w:after="40"/>
            </w:pPr>
            <w:r w:rsidRPr="001D5327">
              <w:rPr>
                <w:rFonts w:eastAsia="Calibri"/>
                <w:color w:val="000000"/>
              </w:rPr>
              <w:t>Section 3.5.1.7, IPCC, 2006a</w:t>
            </w:r>
          </w:p>
        </w:tc>
      </w:tr>
      <w:tr w:rsidR="0057070D" w:rsidRPr="001D5327" w14:paraId="65E9660F" w14:textId="77777777" w:rsidTr="004F21C3">
        <w:tc>
          <w:tcPr>
            <w:tcW w:w="0" w:type="auto"/>
            <w:shd w:val="clear" w:color="auto" w:fill="FFFFFF"/>
            <w:tcMar>
              <w:top w:w="0" w:type="dxa"/>
              <w:left w:w="85" w:type="dxa"/>
              <w:bottom w:w="0" w:type="dxa"/>
              <w:right w:w="85" w:type="dxa"/>
            </w:tcMar>
          </w:tcPr>
          <w:p w14:paraId="1A9753E5" w14:textId="77777777" w:rsidR="0057070D" w:rsidRPr="001D5327" w:rsidRDefault="0057070D" w:rsidP="00D11AC9">
            <w:pPr>
              <w:pStyle w:val="TableText"/>
              <w:spacing w:before="40" w:after="40"/>
            </w:pPr>
            <w:r w:rsidRPr="001D5327">
              <w:rPr>
                <w:rFonts w:eastAsia="Calibri"/>
                <w:color w:val="000000"/>
              </w:rPr>
              <w:t>CH</w:t>
            </w:r>
            <w:r w:rsidRPr="001D5327">
              <w:rPr>
                <w:rFonts w:eastAsia="Calibri"/>
                <w:color w:val="000000"/>
                <w:vertAlign w:val="subscript"/>
              </w:rPr>
              <w:t>4</w:t>
            </w:r>
          </w:p>
        </w:tc>
        <w:tc>
          <w:tcPr>
            <w:tcW w:w="983" w:type="dxa"/>
            <w:shd w:val="clear" w:color="auto" w:fill="FFFFFF"/>
            <w:tcMar>
              <w:top w:w="0" w:type="dxa"/>
              <w:left w:w="85" w:type="dxa"/>
              <w:bottom w:w="0" w:type="dxa"/>
              <w:right w:w="85" w:type="dxa"/>
            </w:tcMar>
          </w:tcPr>
          <w:p w14:paraId="3A7A42F8" w14:textId="77777777" w:rsidR="0057070D" w:rsidRPr="001D5327" w:rsidRDefault="0057070D" w:rsidP="00D11AC9">
            <w:pPr>
              <w:pStyle w:val="TableText"/>
              <w:spacing w:before="40" w:after="40"/>
            </w:pPr>
            <w:r w:rsidRPr="001D5327">
              <w:rPr>
                <w:rFonts w:eastAsia="Calibri"/>
                <w:color w:val="000000"/>
              </w:rPr>
              <w:t>Liquid fuels</w:t>
            </w:r>
          </w:p>
        </w:tc>
        <w:tc>
          <w:tcPr>
            <w:tcW w:w="2410" w:type="dxa"/>
            <w:shd w:val="clear" w:color="auto" w:fill="FFFFFF"/>
            <w:tcMar>
              <w:top w:w="0" w:type="dxa"/>
              <w:left w:w="85" w:type="dxa"/>
              <w:bottom w:w="0" w:type="dxa"/>
              <w:right w:w="85" w:type="dxa"/>
            </w:tcMar>
          </w:tcPr>
          <w:p w14:paraId="7F680892" w14:textId="77777777" w:rsidR="0057070D" w:rsidRPr="001D5327" w:rsidRDefault="0057070D" w:rsidP="00D11AC9">
            <w:pPr>
              <w:pStyle w:val="TableText"/>
              <w:spacing w:before="40" w:after="40"/>
              <w:jc w:val="right"/>
            </w:pPr>
            <w:r w:rsidRPr="001D5327">
              <w:rPr>
                <w:rFonts w:eastAsia="Calibri"/>
                <w:color w:val="000000"/>
              </w:rPr>
              <w:t>±50</w:t>
            </w:r>
          </w:p>
        </w:tc>
        <w:tc>
          <w:tcPr>
            <w:tcW w:w="2551" w:type="dxa"/>
            <w:shd w:val="clear" w:color="auto" w:fill="FFFFFF"/>
            <w:tcMar>
              <w:top w:w="0" w:type="dxa"/>
              <w:left w:w="85" w:type="dxa"/>
              <w:bottom w:w="0" w:type="dxa"/>
              <w:right w:w="85" w:type="dxa"/>
            </w:tcMar>
          </w:tcPr>
          <w:p w14:paraId="551DB921" w14:textId="77777777" w:rsidR="0057070D" w:rsidRPr="001D5327" w:rsidRDefault="0057070D" w:rsidP="00D11AC9">
            <w:pPr>
              <w:pStyle w:val="TableText"/>
              <w:spacing w:before="40" w:after="40"/>
              <w:jc w:val="right"/>
            </w:pPr>
            <w:r w:rsidRPr="001D5327">
              <w:rPr>
                <w:rFonts w:eastAsia="Calibri"/>
                <w:color w:val="000000"/>
              </w:rPr>
              <w:t>±50.0</w:t>
            </w:r>
          </w:p>
        </w:tc>
        <w:tc>
          <w:tcPr>
            <w:tcW w:w="2120" w:type="dxa"/>
            <w:shd w:val="clear" w:color="auto" w:fill="FFFFFF"/>
            <w:tcMar>
              <w:top w:w="0" w:type="dxa"/>
              <w:left w:w="85" w:type="dxa"/>
              <w:bottom w:w="0" w:type="dxa"/>
              <w:right w:w="85" w:type="dxa"/>
            </w:tcMar>
          </w:tcPr>
          <w:p w14:paraId="70541CFF" w14:textId="77777777" w:rsidR="0057070D" w:rsidRPr="001D5327" w:rsidRDefault="0057070D" w:rsidP="00D11AC9">
            <w:pPr>
              <w:pStyle w:val="TableText"/>
              <w:spacing w:before="40" w:after="40"/>
            </w:pPr>
            <w:r w:rsidRPr="001D5327">
              <w:rPr>
                <w:rFonts w:eastAsia="Calibri"/>
                <w:color w:val="000000"/>
              </w:rPr>
              <w:t>Section 3.5.1.7, IPCC, 2006a</w:t>
            </w:r>
          </w:p>
        </w:tc>
      </w:tr>
      <w:tr w:rsidR="0057070D" w:rsidRPr="001D5327" w14:paraId="2AE82BB3" w14:textId="77777777" w:rsidTr="004F21C3">
        <w:tc>
          <w:tcPr>
            <w:tcW w:w="0" w:type="auto"/>
            <w:shd w:val="clear" w:color="auto" w:fill="FFFFFF"/>
            <w:tcMar>
              <w:top w:w="0" w:type="dxa"/>
              <w:left w:w="85" w:type="dxa"/>
              <w:bottom w:w="0" w:type="dxa"/>
              <w:right w:w="85" w:type="dxa"/>
            </w:tcMar>
          </w:tcPr>
          <w:p w14:paraId="45FD3E5E" w14:textId="77777777" w:rsidR="0057070D" w:rsidRPr="001D5327" w:rsidRDefault="0057070D" w:rsidP="00D11AC9">
            <w:pPr>
              <w:pStyle w:val="TableText"/>
              <w:spacing w:before="40" w:after="40"/>
            </w:pPr>
            <w:r w:rsidRPr="001D5327">
              <w:rPr>
                <w:rFonts w:eastAsia="Calibri"/>
                <w:color w:val="000000"/>
              </w:rPr>
              <w:t>N</w:t>
            </w:r>
            <w:r w:rsidRPr="001D5327">
              <w:rPr>
                <w:rFonts w:eastAsia="Calibri"/>
                <w:color w:val="000000"/>
                <w:vertAlign w:val="subscript"/>
              </w:rPr>
              <w:t>2</w:t>
            </w:r>
            <w:r w:rsidRPr="001D5327">
              <w:rPr>
                <w:rFonts w:eastAsia="Calibri"/>
                <w:color w:val="000000"/>
              </w:rPr>
              <w:t>O</w:t>
            </w:r>
          </w:p>
        </w:tc>
        <w:tc>
          <w:tcPr>
            <w:tcW w:w="983" w:type="dxa"/>
            <w:shd w:val="clear" w:color="auto" w:fill="FFFFFF"/>
            <w:tcMar>
              <w:top w:w="0" w:type="dxa"/>
              <w:left w:w="85" w:type="dxa"/>
              <w:bottom w:w="0" w:type="dxa"/>
              <w:right w:w="85" w:type="dxa"/>
            </w:tcMar>
          </w:tcPr>
          <w:p w14:paraId="1F4E6BB9" w14:textId="77777777" w:rsidR="0057070D" w:rsidRPr="001D5327" w:rsidRDefault="0057070D" w:rsidP="00D11AC9">
            <w:pPr>
              <w:pStyle w:val="TableText"/>
              <w:spacing w:before="40" w:after="40"/>
            </w:pPr>
            <w:r w:rsidRPr="001D5327">
              <w:rPr>
                <w:rFonts w:eastAsia="Calibri"/>
                <w:color w:val="000000"/>
              </w:rPr>
              <w:t>Liquid fuels</w:t>
            </w:r>
          </w:p>
        </w:tc>
        <w:tc>
          <w:tcPr>
            <w:tcW w:w="2410" w:type="dxa"/>
            <w:shd w:val="clear" w:color="auto" w:fill="FFFFFF"/>
            <w:tcMar>
              <w:top w:w="0" w:type="dxa"/>
              <w:left w:w="85" w:type="dxa"/>
              <w:bottom w:w="0" w:type="dxa"/>
              <w:right w:w="85" w:type="dxa"/>
            </w:tcMar>
          </w:tcPr>
          <w:p w14:paraId="1E876E4D" w14:textId="77777777" w:rsidR="0057070D" w:rsidRPr="001D5327" w:rsidRDefault="0057070D" w:rsidP="00D11AC9">
            <w:pPr>
              <w:pStyle w:val="TableText"/>
              <w:spacing w:before="40" w:after="40"/>
              <w:jc w:val="right"/>
            </w:pPr>
            <w:r w:rsidRPr="001D5327">
              <w:rPr>
                <w:rFonts w:eastAsia="Calibri"/>
                <w:color w:val="000000"/>
              </w:rPr>
              <w:t>±50</w:t>
            </w:r>
          </w:p>
        </w:tc>
        <w:tc>
          <w:tcPr>
            <w:tcW w:w="2551" w:type="dxa"/>
            <w:shd w:val="clear" w:color="auto" w:fill="FFFFFF"/>
            <w:tcMar>
              <w:top w:w="0" w:type="dxa"/>
              <w:left w:w="85" w:type="dxa"/>
              <w:bottom w:w="0" w:type="dxa"/>
              <w:right w:w="85" w:type="dxa"/>
            </w:tcMar>
          </w:tcPr>
          <w:p w14:paraId="4C9F4E7F" w14:textId="77777777" w:rsidR="0057070D" w:rsidRPr="001D5327" w:rsidRDefault="0057070D" w:rsidP="00D11AC9">
            <w:pPr>
              <w:pStyle w:val="TableText"/>
              <w:spacing w:before="40" w:after="40"/>
              <w:jc w:val="right"/>
            </w:pPr>
            <w:r w:rsidRPr="001D5327">
              <w:rPr>
                <w:rFonts w:eastAsia="Calibri"/>
                <w:color w:val="000000"/>
              </w:rPr>
              <w:t>±50.0</w:t>
            </w:r>
          </w:p>
        </w:tc>
        <w:tc>
          <w:tcPr>
            <w:tcW w:w="2120" w:type="dxa"/>
            <w:shd w:val="clear" w:color="auto" w:fill="FFFFFF"/>
            <w:tcMar>
              <w:top w:w="0" w:type="dxa"/>
              <w:left w:w="85" w:type="dxa"/>
              <w:bottom w:w="0" w:type="dxa"/>
              <w:right w:w="85" w:type="dxa"/>
            </w:tcMar>
          </w:tcPr>
          <w:p w14:paraId="169345C4" w14:textId="77777777" w:rsidR="0057070D" w:rsidRPr="001D5327" w:rsidRDefault="0057070D" w:rsidP="00D11AC9">
            <w:pPr>
              <w:pStyle w:val="TableText"/>
              <w:spacing w:before="40" w:after="40"/>
            </w:pPr>
            <w:r w:rsidRPr="001D5327">
              <w:rPr>
                <w:rFonts w:eastAsia="Calibri"/>
                <w:color w:val="000000"/>
              </w:rPr>
              <w:t>New Zealand’s value is used (table 3.2.1, chapter 3), section 3.5.1.7, IPCC, 2006a</w:t>
            </w:r>
          </w:p>
        </w:tc>
      </w:tr>
    </w:tbl>
    <w:p w14:paraId="27E12E0C" w14:textId="77777777" w:rsidR="0057070D" w:rsidRPr="001D5327" w:rsidRDefault="0057070D" w:rsidP="0057070D">
      <w:pPr>
        <w:pStyle w:val="BodyText"/>
        <w:spacing w:before="240"/>
      </w:pPr>
      <w:r w:rsidRPr="001D5327">
        <w:t xml:space="preserve">For the </w:t>
      </w:r>
      <w:r w:rsidRPr="001D5327">
        <w:rPr>
          <w:i/>
          <w:iCs/>
        </w:rPr>
        <w:t>Domestic navigation</w:t>
      </w:r>
      <w:r w:rsidRPr="001D5327">
        <w:t xml:space="preserve"> category, time-series consistency is maintained by estimating activity data for years before 2018 when detailed data became available.</w:t>
      </w:r>
    </w:p>
    <w:p w14:paraId="04B048CC" w14:textId="77777777" w:rsidR="0057070D" w:rsidRPr="001D5327" w:rsidRDefault="0057070D" w:rsidP="0057070D">
      <w:pPr>
        <w:pStyle w:val="Heading3"/>
      </w:pPr>
      <w:r w:rsidRPr="001D5327">
        <w:t>8.5.4</w:t>
      </w:r>
      <w:r w:rsidRPr="001D5327">
        <w:tab/>
        <w:t>Category-specific QA/QC and verification</w:t>
      </w:r>
    </w:p>
    <w:p w14:paraId="79E563B1" w14:textId="77777777" w:rsidR="0057070D" w:rsidRPr="001D5327" w:rsidRDefault="0057070D" w:rsidP="0057070D">
      <w:pPr>
        <w:pStyle w:val="BodyText"/>
      </w:pPr>
      <w:r w:rsidRPr="001D5327">
        <w:t>Quality control of the activity data and calculations was applied to each category for Tokelau. No verification was possible because no alternative data were available.</w:t>
      </w:r>
    </w:p>
    <w:p w14:paraId="702E763C" w14:textId="77777777" w:rsidR="0057070D" w:rsidRPr="001D5327" w:rsidRDefault="0057070D" w:rsidP="0057070D">
      <w:pPr>
        <w:pStyle w:val="Heading3"/>
      </w:pPr>
      <w:r w:rsidRPr="001D5327">
        <w:t>8.5.5</w:t>
      </w:r>
      <w:r w:rsidRPr="001D5327">
        <w:tab/>
        <w:t>Category-specific recalculations</w:t>
      </w:r>
    </w:p>
    <w:p w14:paraId="417ABC3B" w14:textId="77777777" w:rsidR="0057070D" w:rsidRPr="001D5327" w:rsidRDefault="0057070D" w:rsidP="0057070D">
      <w:pPr>
        <w:pStyle w:val="BodyText"/>
      </w:pPr>
      <w:r w:rsidRPr="001D5327">
        <w:t xml:space="preserve">There were no changes to estimates for the </w:t>
      </w:r>
      <w:r w:rsidRPr="001D5327">
        <w:rPr>
          <w:i/>
          <w:iCs/>
        </w:rPr>
        <w:t>Domestic navigation</w:t>
      </w:r>
      <w:r w:rsidRPr="001D5327">
        <w:t xml:space="preserve"> category.</w:t>
      </w:r>
    </w:p>
    <w:p w14:paraId="1C93F495" w14:textId="77777777" w:rsidR="0057070D" w:rsidRPr="001D5327" w:rsidRDefault="0057070D" w:rsidP="0057070D">
      <w:pPr>
        <w:pStyle w:val="Heading3"/>
      </w:pPr>
      <w:r w:rsidRPr="001D5327">
        <w:t>8.5.6</w:t>
      </w:r>
      <w:r w:rsidRPr="001D5327">
        <w:tab/>
        <w:t>Category-specific planned improvements</w:t>
      </w:r>
    </w:p>
    <w:p w14:paraId="731AC71A" w14:textId="77777777" w:rsidR="0057070D" w:rsidRPr="001D5327" w:rsidRDefault="0057070D" w:rsidP="0057070D">
      <w:pPr>
        <w:pStyle w:val="BodyText"/>
      </w:pPr>
      <w:r w:rsidRPr="001D5327">
        <w:t xml:space="preserve">No improvements are planned for </w:t>
      </w:r>
      <w:r w:rsidRPr="001D5327">
        <w:rPr>
          <w:i/>
          <w:iCs/>
        </w:rPr>
        <w:t>Transport</w:t>
      </w:r>
      <w:r w:rsidRPr="001D5327">
        <w:t>. For future submissions, further analysis of activity data to reflect year-to-year variations will be considered as far as resources allow.</w:t>
      </w:r>
    </w:p>
    <w:p w14:paraId="65551B84" w14:textId="3DFD2240" w:rsidR="0057070D" w:rsidRPr="001D5327" w:rsidRDefault="0057070D" w:rsidP="0057070D">
      <w:pPr>
        <w:pStyle w:val="Heading2"/>
      </w:pPr>
      <w:bookmarkStart w:id="2963" w:name="_Toc194312052"/>
      <w:bookmarkStart w:id="2964" w:name="X6d73830ce7ffc20e317e661e9a2ebcec2571f49"/>
      <w:bookmarkEnd w:id="2959"/>
      <w:r w:rsidRPr="001D5327">
        <w:t>8.6</w:t>
      </w:r>
      <w:r w:rsidRPr="001D5327">
        <w:tab/>
        <w:t>Emissions from Industrial Processes and</w:t>
      </w:r>
      <w:r w:rsidR="00BF2F7A" w:rsidRPr="001D5327">
        <w:t> </w:t>
      </w:r>
      <w:r w:rsidRPr="001D5327">
        <w:t>Product Use in Tokelau (6. Tokelau_2)</w:t>
      </w:r>
      <w:bookmarkEnd w:id="2963"/>
    </w:p>
    <w:p w14:paraId="0D0D8686" w14:textId="303C2108" w:rsidR="0057070D" w:rsidRPr="001D5327" w:rsidRDefault="0057070D" w:rsidP="0057070D">
      <w:pPr>
        <w:pStyle w:val="Heading3"/>
        <w:spacing w:before="240"/>
      </w:pPr>
      <w:bookmarkStart w:id="2965" w:name="X3f10a5aaf563e81def2fdb0dee65129036e6a58"/>
      <w:r w:rsidRPr="001D5327">
        <w:t>8.6.1</w:t>
      </w:r>
      <w:r w:rsidRPr="001D5327">
        <w:tab/>
        <w:t>Overview of Tokelau’s Industrial Processes and</w:t>
      </w:r>
      <w:r w:rsidR="00BF2F7A" w:rsidRPr="001D5327">
        <w:t> </w:t>
      </w:r>
      <w:r w:rsidRPr="001D5327">
        <w:t>Product Use sector</w:t>
      </w:r>
    </w:p>
    <w:p w14:paraId="5AEE87EA" w14:textId="77777777" w:rsidR="0057070D" w:rsidRPr="001D5327" w:rsidRDefault="0057070D" w:rsidP="0057070D">
      <w:pPr>
        <w:pStyle w:val="BodyText"/>
      </w:pPr>
      <w:r w:rsidRPr="001D5327">
        <w:t>Tokelau has no significant industry. The emissions associated with the IPPU sector come from the following activities:</w:t>
      </w:r>
    </w:p>
    <w:p w14:paraId="0BE0EF8E" w14:textId="77777777" w:rsidR="0057070D" w:rsidRPr="001D5327" w:rsidRDefault="0057070D" w:rsidP="0057070D">
      <w:pPr>
        <w:pStyle w:val="Bullet"/>
      </w:pPr>
      <w:r w:rsidRPr="001D5327">
        <w:t>use of refrigeration and air conditioning – HFCs</w:t>
      </w:r>
    </w:p>
    <w:p w14:paraId="4F52E25E" w14:textId="77777777" w:rsidR="0057070D" w:rsidRPr="001D5327" w:rsidRDefault="0057070D" w:rsidP="0057070D">
      <w:pPr>
        <w:pStyle w:val="Bullet"/>
      </w:pPr>
      <w:r w:rsidRPr="001D5327">
        <w:t>use of metered dose inhalers – HFC-134a and HFC-227ea</w:t>
      </w:r>
    </w:p>
    <w:p w14:paraId="39C30A70" w14:textId="77777777" w:rsidR="0057070D" w:rsidRPr="001D5327" w:rsidRDefault="0057070D" w:rsidP="0057070D">
      <w:pPr>
        <w:pStyle w:val="Bullet"/>
      </w:pPr>
      <w:r w:rsidRPr="001D5327">
        <w:t>medical applications of N</w:t>
      </w:r>
      <w:r w:rsidRPr="001D5327">
        <w:rPr>
          <w:vertAlign w:val="subscript"/>
        </w:rPr>
        <w:t>2</w:t>
      </w:r>
      <w:r w:rsidRPr="001D5327">
        <w:t>O.</w:t>
      </w:r>
    </w:p>
    <w:p w14:paraId="0A743FCF" w14:textId="77777777" w:rsidR="0057070D" w:rsidRPr="001D5327" w:rsidRDefault="0057070D" w:rsidP="0057070D">
      <w:pPr>
        <w:pStyle w:val="BodyText"/>
      </w:pPr>
      <w:r w:rsidRPr="001D5327">
        <w:t xml:space="preserve">Thus, the source categories included in this report are </w:t>
      </w:r>
      <w:r w:rsidRPr="001D5327">
        <w:rPr>
          <w:i/>
          <w:iCs/>
        </w:rPr>
        <w:t>Refrigeration and air conditioning</w:t>
      </w:r>
      <w:r w:rsidRPr="001D5327">
        <w:t xml:space="preserve"> (2.F.1), </w:t>
      </w:r>
      <w:r w:rsidRPr="001D5327">
        <w:rPr>
          <w:i/>
          <w:iCs/>
        </w:rPr>
        <w:t>Metered dose inhalers</w:t>
      </w:r>
      <w:r w:rsidRPr="001D5327">
        <w:t xml:space="preserve"> (2.F.4) and </w:t>
      </w:r>
      <w:r w:rsidRPr="001D5327">
        <w:rPr>
          <w:i/>
          <w:iCs/>
        </w:rPr>
        <w:t>Medical applications</w:t>
      </w:r>
      <w:r w:rsidRPr="001D5327">
        <w:t xml:space="preserve"> (2.G.3).</w:t>
      </w:r>
    </w:p>
    <w:p w14:paraId="28C0A8DD" w14:textId="77777777" w:rsidR="0057070D" w:rsidRPr="001D5327" w:rsidRDefault="0057070D" w:rsidP="0057070D">
      <w:pPr>
        <w:pStyle w:val="BodyText"/>
      </w:pPr>
      <w:r w:rsidRPr="001D5327">
        <w:t>The total amount of all IPPU emissions in Tokelau in 2023 was 0.23 kt CO</w:t>
      </w:r>
      <w:r w:rsidRPr="001D5327">
        <w:rPr>
          <w:vertAlign w:val="subscript"/>
        </w:rPr>
        <w:t>2</w:t>
      </w:r>
      <w:r w:rsidRPr="001D5327">
        <w:t xml:space="preserve">-e. They contributed 5.6 per cent to the total emissions from Tokelau and 0.0003 per cent to New Zealand’s gross emissions including Tokelau. The biggest contributor to the total IPPU HFC emissions is </w:t>
      </w:r>
      <w:r w:rsidRPr="001D5327">
        <w:rPr>
          <w:i/>
          <w:iCs/>
        </w:rPr>
        <w:t>Stationary air conditioning</w:t>
      </w:r>
      <w:r w:rsidRPr="001D5327">
        <w:t xml:space="preserve"> followed by </w:t>
      </w:r>
      <w:r w:rsidRPr="001D5327">
        <w:rPr>
          <w:i/>
          <w:iCs/>
        </w:rPr>
        <w:t>Domestic refrigeration</w:t>
      </w:r>
      <w:r w:rsidRPr="001D5327">
        <w:t>, with 66.6 per cent and 17.3 per cent of IPPU emissions from Tokelau, respectively. Figure 8.6.1 shows emission trends in the IPPU sector by category for Tokelau.</w:t>
      </w:r>
    </w:p>
    <w:p w14:paraId="021AF6C3" w14:textId="77777777" w:rsidR="0057070D" w:rsidRPr="001D5327" w:rsidRDefault="0057070D" w:rsidP="0057070D">
      <w:pPr>
        <w:pStyle w:val="Figure"/>
      </w:pPr>
      <w:bookmarkStart w:id="2966" w:name="_Toc194674889"/>
      <w:r w:rsidRPr="001D5327">
        <w:rPr>
          <w:bCs/>
        </w:rPr>
        <w:lastRenderedPageBreak/>
        <w:t>Figure 8.6.1</w:t>
      </w:r>
      <w:r w:rsidRPr="001D5327">
        <w:rPr>
          <w:bCs/>
        </w:rPr>
        <w:tab/>
        <w:t>Industrial Processes and Product Use emissions by category for Tokelau (kt CO</w:t>
      </w:r>
      <w:r w:rsidRPr="001D5327">
        <w:rPr>
          <w:bCs/>
          <w:vertAlign w:val="subscript"/>
        </w:rPr>
        <w:t>2</w:t>
      </w:r>
      <w:r w:rsidRPr="001D5327">
        <w:rPr>
          <w:bCs/>
        </w:rPr>
        <w:t>-e) from 1990 to 2023</w:t>
      </w:r>
      <w:bookmarkEnd w:id="2966"/>
    </w:p>
    <w:p w14:paraId="5F794D76" w14:textId="77777777" w:rsidR="0057070D" w:rsidRPr="001D5327" w:rsidRDefault="0057070D" w:rsidP="0057070D">
      <w:pPr>
        <w:pStyle w:val="BodyText"/>
        <w:jc w:val="center"/>
      </w:pPr>
      <w:r w:rsidRPr="001D5327">
        <w:rPr>
          <w:noProof/>
        </w:rPr>
        <w:drawing>
          <wp:inline distT="0" distB="0" distL="0" distR="0" wp14:anchorId="5AD01C7D" wp14:editId="7CE1D3C1">
            <wp:extent cx="5042946" cy="2920728"/>
            <wp:effectExtent l="0" t="0" r="5715" b="0"/>
            <wp:docPr id="93" name="Picture"/>
            <wp:cNvGraphicFramePr/>
            <a:graphic xmlns:a="http://schemas.openxmlformats.org/drawingml/2006/main">
              <a:graphicData uri="http://schemas.openxmlformats.org/drawingml/2006/picture">
                <pic:pic xmlns:pic="http://schemas.openxmlformats.org/drawingml/2006/picture">
                  <pic:nvPicPr>
                    <pic:cNvPr id="94" name="Picture" descr="images/fig_8_6_1.png"/>
                    <pic:cNvPicPr>
                      <a:picLocks noChangeAspect="1" noChangeArrowheads="1"/>
                    </pic:cNvPicPr>
                  </pic:nvPicPr>
                  <pic:blipFill>
                    <a:blip r:embed="rId243"/>
                    <a:stretch>
                      <a:fillRect/>
                    </a:stretch>
                  </pic:blipFill>
                  <pic:spPr bwMode="auto">
                    <a:xfrm>
                      <a:off x="0" y="0"/>
                      <a:ext cx="5047990" cy="2923649"/>
                    </a:xfrm>
                    <a:prstGeom prst="rect">
                      <a:avLst/>
                    </a:prstGeom>
                    <a:noFill/>
                    <a:ln w="9525">
                      <a:noFill/>
                      <a:headEnd/>
                      <a:tailEnd/>
                    </a:ln>
                  </pic:spPr>
                </pic:pic>
              </a:graphicData>
            </a:graphic>
          </wp:inline>
        </w:drawing>
      </w:r>
    </w:p>
    <w:p w14:paraId="4B9D91AB" w14:textId="77777777" w:rsidR="0057070D" w:rsidRPr="001D5327" w:rsidRDefault="0057070D" w:rsidP="0057070D">
      <w:pPr>
        <w:pStyle w:val="Heading2"/>
      </w:pPr>
      <w:bookmarkStart w:id="2967" w:name="_Toc194312053"/>
      <w:bookmarkStart w:id="2968" w:name="X259a99bc59bd2356422201190e2f15d542f112e"/>
      <w:bookmarkEnd w:id="2964"/>
      <w:bookmarkEnd w:id="2965"/>
      <w:r w:rsidRPr="001D5327">
        <w:t>8.7</w:t>
      </w:r>
      <w:r w:rsidRPr="001D5327">
        <w:tab/>
        <w:t>Emissions from Refrigeration and air conditioning in Tokelau</w:t>
      </w:r>
      <w:bookmarkEnd w:id="2967"/>
    </w:p>
    <w:p w14:paraId="76EA29E1" w14:textId="77777777" w:rsidR="0057070D" w:rsidRPr="001D5327" w:rsidRDefault="0057070D" w:rsidP="0057070D">
      <w:pPr>
        <w:pStyle w:val="Heading3"/>
        <w:spacing w:before="240"/>
      </w:pPr>
      <w:r w:rsidRPr="001D5327">
        <w:t>8.7.1</w:t>
      </w:r>
      <w:r w:rsidRPr="001D5327">
        <w:tab/>
        <w:t>Description</w:t>
      </w:r>
    </w:p>
    <w:p w14:paraId="10559800" w14:textId="77777777" w:rsidR="0057070D" w:rsidRPr="001D5327" w:rsidRDefault="0057070D" w:rsidP="0057070D">
      <w:pPr>
        <w:pStyle w:val="BodyText"/>
      </w:pPr>
      <w:r w:rsidRPr="001D5327">
        <w:t xml:space="preserve">Due to a very small number of air-conditioned vehicles in Tokelau, all emissions from this category are reported in </w:t>
      </w:r>
      <w:r w:rsidRPr="001D5327">
        <w:rPr>
          <w:i/>
          <w:iCs/>
        </w:rPr>
        <w:t>Stationary air conditioning</w:t>
      </w:r>
      <w:r w:rsidRPr="001D5327">
        <w:t xml:space="preserve"> (2.F.1.f).</w:t>
      </w:r>
    </w:p>
    <w:p w14:paraId="3EB4E3D5" w14:textId="77777777" w:rsidR="0057070D" w:rsidRPr="001D5327" w:rsidRDefault="0057070D" w:rsidP="0057070D">
      <w:pPr>
        <w:pStyle w:val="BodyText"/>
      </w:pPr>
      <w:r w:rsidRPr="001D5327">
        <w:t xml:space="preserve">Because most fridge and freezer appliances are installed in households, the emissions associated with refrigeration are reported in </w:t>
      </w:r>
      <w:r w:rsidRPr="001D5327">
        <w:rPr>
          <w:i/>
          <w:iCs/>
        </w:rPr>
        <w:t>Domestic refrigeration</w:t>
      </w:r>
      <w:r w:rsidRPr="001D5327">
        <w:t xml:space="preserve"> (2.F.1.b). Emissions from fridge and freezer appliances are based on the number of those appliances, however, no HFCs were used before 1994. To account for the phase-in of HFCs, it has been assumed that the proportion of appliances using HFCs increased 10 per cent per year, starting at 10 per cent of appliances in 1994 and reaching 100 per cent of appliances in 2003. This phase-in is reflected in figure 8.6.1. Emissions continue to change after 2003 due to changes in the overall number of appliances.</w:t>
      </w:r>
    </w:p>
    <w:p w14:paraId="3C95462F" w14:textId="77777777" w:rsidR="0057070D" w:rsidRPr="001D5327" w:rsidRDefault="0057070D" w:rsidP="0057070D">
      <w:pPr>
        <w:pStyle w:val="Heading3"/>
      </w:pPr>
      <w:r w:rsidRPr="001D5327">
        <w:t>8.7.2</w:t>
      </w:r>
      <w:r w:rsidRPr="001D5327">
        <w:tab/>
        <w:t>Methodological issues</w:t>
      </w:r>
    </w:p>
    <w:p w14:paraId="45B250D1" w14:textId="77777777" w:rsidR="0057070D" w:rsidRPr="001D5327" w:rsidRDefault="0057070D" w:rsidP="00B64032">
      <w:pPr>
        <w:pStyle w:val="Heading5"/>
      </w:pPr>
      <w:bookmarkStart w:id="2969" w:name="activity-data-4"/>
      <w:r w:rsidRPr="001D5327">
        <w:t>Activity data</w:t>
      </w:r>
    </w:p>
    <w:p w14:paraId="64D3304D" w14:textId="77777777" w:rsidR="0057070D" w:rsidRPr="001D5327" w:rsidRDefault="0057070D" w:rsidP="0057070D">
      <w:pPr>
        <w:pStyle w:val="BodyText"/>
      </w:pPr>
      <w:r w:rsidRPr="001D5327">
        <w:t>The data for the number of appliances are sourced from:</w:t>
      </w:r>
    </w:p>
    <w:p w14:paraId="14F0D3AA" w14:textId="77777777" w:rsidR="0057070D" w:rsidRPr="001D5327" w:rsidRDefault="0057070D" w:rsidP="0057070D">
      <w:pPr>
        <w:pStyle w:val="Bullet"/>
      </w:pPr>
      <w:r w:rsidRPr="001D5327">
        <w:t>Tokelau Census of Population and Dwellings (2006, 2011, 2016) (item 1 in table 8.1.1) for 2006 to 2016 data points</w:t>
      </w:r>
    </w:p>
    <w:p w14:paraId="75F4E47D" w14:textId="77777777" w:rsidR="0057070D" w:rsidRPr="001D5327" w:rsidRDefault="0057070D" w:rsidP="0057070D">
      <w:pPr>
        <w:pStyle w:val="Bullet"/>
      </w:pPr>
      <w:r w:rsidRPr="001D5327">
        <w:t>Archives New Zealand (Wellington, New Zealand) for historic Census records going back to 1950, mostly at five-year intervals</w:t>
      </w:r>
    </w:p>
    <w:p w14:paraId="4EEE9768" w14:textId="77777777" w:rsidR="0057070D" w:rsidRPr="001D5327" w:rsidRDefault="0057070D" w:rsidP="0057070D">
      <w:pPr>
        <w:pStyle w:val="Bullet"/>
      </w:pPr>
      <w:r w:rsidRPr="001D5327">
        <w:t>Tokelau Household Income and Expenditure Survey 2015/16 for population and dwellings data supplementary to the Census</w:t>
      </w:r>
    </w:p>
    <w:p w14:paraId="32333E55" w14:textId="77777777" w:rsidR="0057070D" w:rsidRPr="001D5327" w:rsidRDefault="0057070D" w:rsidP="0057070D">
      <w:pPr>
        <w:pStyle w:val="Bullet"/>
      </w:pPr>
      <w:r w:rsidRPr="001D5327">
        <w:lastRenderedPageBreak/>
        <w:t>Tokelau Department of Health for anecdotal information on inhalers, laser gas and fire extinguishers</w:t>
      </w:r>
    </w:p>
    <w:p w14:paraId="72EB1CA4" w14:textId="77777777" w:rsidR="0057070D" w:rsidRPr="001D5327" w:rsidRDefault="0057070D" w:rsidP="0057070D">
      <w:pPr>
        <w:pStyle w:val="Bullet"/>
      </w:pPr>
      <w:r w:rsidRPr="001D5327">
        <w:t>Tokelau Department of Transport and Support Services (Apia, Samoa) for cargo shipping manifests for analysis of imports of all goods</w:t>
      </w:r>
    </w:p>
    <w:p w14:paraId="40B6B0A5" w14:textId="77777777" w:rsidR="0057070D" w:rsidRPr="001D5327" w:rsidRDefault="0057070D" w:rsidP="0057070D">
      <w:pPr>
        <w:pStyle w:val="Bullet"/>
      </w:pPr>
      <w:r w:rsidRPr="001D5327">
        <w:t>Stats NZ (Wellington, New Zealand), which helped in the collection, analysis and publication of Tokelau Census data</w:t>
      </w:r>
    </w:p>
    <w:p w14:paraId="3BA38787" w14:textId="77777777" w:rsidR="0057070D" w:rsidRPr="001D5327" w:rsidRDefault="0057070D" w:rsidP="0057070D">
      <w:pPr>
        <w:pStyle w:val="Bullet"/>
      </w:pPr>
      <w:r w:rsidRPr="001D5327">
        <w:t>Tokelau National Statistics Office, which performed collection, analysis and publication of Tokelau Census data with subsequent data collation and analyses.</w:t>
      </w:r>
    </w:p>
    <w:p w14:paraId="0B931ADE" w14:textId="671A7C01" w:rsidR="0057070D" w:rsidRPr="001D5327" w:rsidRDefault="0057070D" w:rsidP="0057070D">
      <w:pPr>
        <w:pStyle w:val="BodyText"/>
      </w:pPr>
      <w:r w:rsidRPr="001D5327">
        <w:t>The raw data on the number of appliances used in Tokelau obtained from the Census have been further analysed and cross-referenced through other sources (e.g., see those listed in</w:t>
      </w:r>
      <w:r w:rsidR="00BF2F7A" w:rsidRPr="001D5327">
        <w:t> </w:t>
      </w:r>
      <w:r w:rsidRPr="001D5327">
        <w:t>table 8.1.1); available data points are increased by equal increments between the data collection years.</w:t>
      </w:r>
    </w:p>
    <w:p w14:paraId="257A5B71" w14:textId="77777777" w:rsidR="0057070D" w:rsidRPr="001D5327" w:rsidRDefault="0057070D" w:rsidP="0057070D">
      <w:pPr>
        <w:pStyle w:val="Heading5"/>
      </w:pPr>
      <w:bookmarkStart w:id="2970" w:name="method-and-emission-factors"/>
      <w:bookmarkEnd w:id="2969"/>
      <w:r w:rsidRPr="001D5327">
        <w:t>Method and emission factors</w:t>
      </w:r>
    </w:p>
    <w:p w14:paraId="6212B8A5" w14:textId="77777777" w:rsidR="0057070D" w:rsidRPr="001D5327" w:rsidRDefault="0057070D" w:rsidP="0057070D">
      <w:pPr>
        <w:pStyle w:val="BodyText"/>
      </w:pPr>
      <w:r w:rsidRPr="001D5327">
        <w:t>For both air conditioning and domestic refrigeration, the following assumptions were made:</w:t>
      </w:r>
    </w:p>
    <w:p w14:paraId="03426D6F" w14:textId="77777777" w:rsidR="0057070D" w:rsidRPr="001D5327" w:rsidRDefault="0057070D" w:rsidP="0057070D">
      <w:pPr>
        <w:pStyle w:val="Bullet"/>
      </w:pPr>
      <w:r w:rsidRPr="001D5327">
        <w:t>no chemicals are imported or exported, except as a component of each sort of equipment; emissions are assumed to be derived from current equipment only</w:t>
      </w:r>
    </w:p>
    <w:p w14:paraId="266CE67C" w14:textId="77777777" w:rsidR="0057070D" w:rsidRPr="001D5327" w:rsidRDefault="0057070D" w:rsidP="0057070D">
      <w:pPr>
        <w:pStyle w:val="Bullet"/>
      </w:pPr>
      <w:r w:rsidRPr="001D5327">
        <w:t>HFCs and PFCs are neither produced nor exported or disposed of in Tokelau, therefore, the net consumption is essentially equal to imports</w:t>
      </w:r>
    </w:p>
    <w:p w14:paraId="3AD2EE81" w14:textId="77777777" w:rsidR="0057070D" w:rsidRPr="001D5327" w:rsidRDefault="0057070D" w:rsidP="0057070D">
      <w:pPr>
        <w:pStyle w:val="Bullet"/>
      </w:pPr>
      <w:r w:rsidRPr="001D5327">
        <w:t>a composite default emission factor of 15 per cent can be used for estimating emissions for both domestic refrigeration and stationary air conditioning</w:t>
      </w:r>
    </w:p>
    <w:p w14:paraId="491491F8" w14:textId="77777777" w:rsidR="0057070D" w:rsidRPr="001D5327" w:rsidRDefault="0057070D" w:rsidP="0057070D">
      <w:pPr>
        <w:pStyle w:val="Bullet"/>
      </w:pPr>
      <w:r w:rsidRPr="001D5327">
        <w:t>assumed percentage of new equipment exported (0 per cent for Tokelau)</w:t>
      </w:r>
    </w:p>
    <w:p w14:paraId="3530BF65" w14:textId="77777777" w:rsidR="0057070D" w:rsidRPr="001D5327" w:rsidRDefault="0057070D" w:rsidP="0057070D">
      <w:pPr>
        <w:pStyle w:val="Bullet"/>
      </w:pPr>
      <w:r w:rsidRPr="001D5327">
        <w:t>assumed percentage of new equipment imported (100 per cent for Tokelau)</w:t>
      </w:r>
    </w:p>
    <w:p w14:paraId="2A2B598A" w14:textId="77777777" w:rsidR="0057070D" w:rsidRPr="001D5327" w:rsidRDefault="0057070D" w:rsidP="0057070D">
      <w:pPr>
        <w:pStyle w:val="Bullet"/>
      </w:pPr>
      <w:r w:rsidRPr="001D5327">
        <w:t>the HFC emissions from stationary air conditioning did not occur until 2006</w:t>
      </w:r>
    </w:p>
    <w:p w14:paraId="5C16C06C" w14:textId="77777777" w:rsidR="0057070D" w:rsidRPr="001D5327" w:rsidRDefault="0057070D" w:rsidP="0057070D">
      <w:pPr>
        <w:pStyle w:val="Bullet"/>
      </w:pPr>
      <w:r w:rsidRPr="001D5327">
        <w:t>the HFC emissions from domestic refrigeration did not occur until 1994 (the same as for New Zealand)</w:t>
      </w:r>
    </w:p>
    <w:p w14:paraId="6FE0DF66" w14:textId="77777777" w:rsidR="0057070D" w:rsidRPr="001D5327" w:rsidRDefault="0057070D" w:rsidP="0057070D">
      <w:pPr>
        <w:pStyle w:val="Bullet"/>
      </w:pPr>
      <w:r w:rsidRPr="001D5327">
        <w:t>the average charge for fridges and freezers has the upper limit of the mass of gas of 0.5 kilograms (from table 7.9 of volume 3 of the 2006 IPCC Guidelines (IPCC, 2006b))</w:t>
      </w:r>
    </w:p>
    <w:p w14:paraId="20E7490A" w14:textId="77777777" w:rsidR="0057070D" w:rsidRPr="001D5327" w:rsidRDefault="0057070D" w:rsidP="0057070D">
      <w:pPr>
        <w:pStyle w:val="Bullet"/>
      </w:pPr>
      <w:r w:rsidRPr="001D5327">
        <w:t>the average charge for an air conditioning unit is 10 kilograms of refrigerant gas (default value from the 2006 IPCC Guidelines (IPCC, 2006a))</w:t>
      </w:r>
    </w:p>
    <w:p w14:paraId="63E9B735" w14:textId="77777777" w:rsidR="0057070D" w:rsidRPr="001D5327" w:rsidRDefault="0057070D" w:rsidP="0057070D">
      <w:pPr>
        <w:pStyle w:val="Bullet"/>
      </w:pPr>
      <w:r w:rsidRPr="001D5327">
        <w:t>for air conditioning units and fridges and freezers, Tokelau reports the same set of HFCs as New Zealand. These are HFC-32, HFC-125 and HFC-134a for air conditioning units, and HFC-134a for refrigeration.</w:t>
      </w:r>
    </w:p>
    <w:p w14:paraId="18265D66" w14:textId="677D3B00" w:rsidR="0057070D" w:rsidRPr="001D5327" w:rsidRDefault="0057070D" w:rsidP="0057070D">
      <w:pPr>
        <w:pStyle w:val="BodyText"/>
      </w:pPr>
      <w:r w:rsidRPr="001D5327">
        <w:t>The Tier 1a method from the 2006 IPCC Guidelines is used for estimating emissions from category 2.F.1 in Tokelau (IPCC, 2006b). In this method, activity data are represented by a net</w:t>
      </w:r>
      <w:r w:rsidR="00BF2F7A" w:rsidRPr="001D5327">
        <w:t> </w:t>
      </w:r>
      <w:r w:rsidRPr="001D5327">
        <w:t>consumption value (equation 7.1 from volume 3 of the 2006 IPCC Guidelines), while the emission factor is a value that represents a weighted average of several parameters, as shown below in table 7.9 from volume 3 of the 2006 IPCC Guidelines (IPCC, 2006b).</w:t>
      </w:r>
    </w:p>
    <w:p w14:paraId="12D9D02C" w14:textId="77777777" w:rsidR="0057070D" w:rsidRPr="001D5327" w:rsidRDefault="0057070D" w:rsidP="0057070D">
      <w:pPr>
        <w:pStyle w:val="BodyText"/>
        <w:keepNext/>
      </w:pPr>
      <w:r w:rsidRPr="001D5327">
        <w:lastRenderedPageBreak/>
        <w:t>The calculation formula for net consumption within the Tier 1a method is as follows.</w:t>
      </w:r>
    </w:p>
    <w:p w14:paraId="4913F1B7" w14:textId="77777777" w:rsidR="0057070D" w:rsidRPr="001D5327" w:rsidRDefault="0057070D" w:rsidP="0057070D">
      <w:pPr>
        <w:pStyle w:val="BodyText"/>
        <w:keepNext/>
        <w:pBdr>
          <w:top w:val="single" w:sz="2" w:space="10" w:color="auto"/>
          <w:left w:val="single" w:sz="2" w:space="0" w:color="auto"/>
          <w:bottom w:val="single" w:sz="2" w:space="10" w:color="auto"/>
          <w:right w:val="single" w:sz="2" w:space="10" w:color="auto"/>
        </w:pBdr>
        <w:ind w:left="454" w:right="851"/>
        <w:jc w:val="center"/>
        <w:rPr>
          <w:rFonts w:ascii="Cambria Math" w:hAnsi="Cambria Math"/>
          <w:b/>
          <w:bCs/>
          <w:smallCaps/>
          <w:sz w:val="18"/>
          <w:szCs w:val="18"/>
        </w:rPr>
      </w:pPr>
      <w:r w:rsidRPr="001D5327">
        <w:rPr>
          <w:rFonts w:ascii="Cambria Math" w:hAnsi="Cambria Math"/>
          <w:b/>
          <w:bCs/>
          <w:smallCaps/>
          <w:sz w:val="18"/>
          <w:szCs w:val="18"/>
        </w:rPr>
        <w:t>Equation 7.1</w:t>
      </w:r>
    </w:p>
    <w:p w14:paraId="1D2CC922" w14:textId="77777777" w:rsidR="0057070D" w:rsidRPr="001D5327" w:rsidRDefault="0057070D" w:rsidP="0057070D">
      <w:pPr>
        <w:pStyle w:val="BodyText"/>
        <w:keepNext/>
        <w:pBdr>
          <w:top w:val="single" w:sz="2" w:space="10" w:color="auto"/>
          <w:left w:val="single" w:sz="2" w:space="0" w:color="auto"/>
          <w:bottom w:val="single" w:sz="2" w:space="10" w:color="auto"/>
          <w:right w:val="single" w:sz="2" w:space="10" w:color="auto"/>
        </w:pBdr>
        <w:spacing w:before="0" w:after="0"/>
        <w:ind w:left="454" w:right="851"/>
        <w:jc w:val="center"/>
        <w:rPr>
          <w:rFonts w:ascii="Cambria Math" w:hAnsi="Cambria Math"/>
          <w:b/>
          <w:bCs/>
          <w:smallCaps/>
          <w:sz w:val="18"/>
          <w:szCs w:val="18"/>
        </w:rPr>
      </w:pPr>
      <w:r w:rsidRPr="001D5327">
        <w:rPr>
          <w:rFonts w:ascii="Cambria Math" w:hAnsi="Cambria Math"/>
          <w:b/>
          <w:bCs/>
          <w:smallCaps/>
          <w:sz w:val="18"/>
          <w:szCs w:val="18"/>
        </w:rPr>
        <w:t>Calculation of net consumption of a chemical in a specific application</w:t>
      </w:r>
    </w:p>
    <w:p w14:paraId="5A2CD40C" w14:textId="77777777" w:rsidR="0057070D" w:rsidRPr="001D5327" w:rsidRDefault="0057070D" w:rsidP="0057070D">
      <w:pPr>
        <w:pStyle w:val="BodyText"/>
        <w:pBdr>
          <w:top w:val="single" w:sz="2" w:space="10" w:color="auto"/>
          <w:left w:val="single" w:sz="2" w:space="0" w:color="auto"/>
          <w:bottom w:val="single" w:sz="2" w:space="10" w:color="auto"/>
          <w:right w:val="single" w:sz="2" w:space="10" w:color="auto"/>
        </w:pBdr>
        <w:ind w:left="454" w:right="851"/>
        <w:jc w:val="center"/>
        <w:rPr>
          <w:rFonts w:ascii="Cambria Math" w:hAnsi="Cambria Math"/>
          <w:i/>
          <w:iCs/>
          <w:sz w:val="18"/>
          <w:szCs w:val="18"/>
        </w:rPr>
      </w:pPr>
      <w:r w:rsidRPr="001D5327">
        <w:rPr>
          <w:rFonts w:ascii="Cambria Math" w:hAnsi="Cambria Math"/>
          <w:i/>
          <w:iCs/>
          <w:sz w:val="18"/>
          <w:szCs w:val="18"/>
        </w:rPr>
        <w:t>Net Consumption = Production + Imports – Exports – Destruction</w:t>
      </w:r>
    </w:p>
    <w:p w14:paraId="04CFC121" w14:textId="77777777" w:rsidR="0057070D" w:rsidRPr="001D5327" w:rsidRDefault="0057070D" w:rsidP="0057070D">
      <w:pPr>
        <w:pStyle w:val="BodyText"/>
      </w:pPr>
      <w:r w:rsidRPr="001D5327">
        <w:t>Net consumption values for each HFC are then used to calculate annual emissions for applications exhibiting prompt emissions, as follows.</w:t>
      </w:r>
    </w:p>
    <w:bookmarkEnd w:id="2970"/>
    <w:p w14:paraId="3130D0A0" w14:textId="77777777" w:rsidR="0057070D" w:rsidRPr="001D5327" w:rsidRDefault="0057070D" w:rsidP="0057070D">
      <w:pPr>
        <w:pStyle w:val="BodyText"/>
        <w:pBdr>
          <w:top w:val="single" w:sz="2" w:space="10" w:color="auto"/>
          <w:left w:val="single" w:sz="2" w:space="0" w:color="auto"/>
          <w:bottom w:val="single" w:sz="2" w:space="10" w:color="auto"/>
          <w:right w:val="single" w:sz="2" w:space="10" w:color="auto"/>
        </w:pBdr>
        <w:ind w:left="454" w:right="851"/>
        <w:jc w:val="center"/>
        <w:rPr>
          <w:rFonts w:ascii="Cambria Math" w:hAnsi="Cambria Math"/>
          <w:b/>
          <w:bCs/>
          <w:smallCaps/>
          <w:sz w:val="18"/>
          <w:szCs w:val="18"/>
        </w:rPr>
      </w:pPr>
      <w:r w:rsidRPr="001D5327">
        <w:rPr>
          <w:rFonts w:ascii="Cambria Math" w:hAnsi="Cambria Math"/>
          <w:b/>
          <w:bCs/>
          <w:smallCaps/>
          <w:sz w:val="18"/>
          <w:szCs w:val="18"/>
        </w:rPr>
        <w:t>Equation 7.2A</w:t>
      </w:r>
    </w:p>
    <w:p w14:paraId="38C06876" w14:textId="77777777" w:rsidR="0057070D" w:rsidRPr="001D5327" w:rsidRDefault="0057070D" w:rsidP="0057070D">
      <w:pPr>
        <w:pStyle w:val="BodyText"/>
        <w:pBdr>
          <w:top w:val="single" w:sz="2" w:space="10" w:color="auto"/>
          <w:left w:val="single" w:sz="2" w:space="0" w:color="auto"/>
          <w:bottom w:val="single" w:sz="2" w:space="10" w:color="auto"/>
          <w:right w:val="single" w:sz="2" w:space="10" w:color="auto"/>
        </w:pBdr>
        <w:spacing w:before="0" w:after="0"/>
        <w:ind w:left="454" w:right="851"/>
        <w:jc w:val="center"/>
        <w:rPr>
          <w:rFonts w:ascii="Cambria Math" w:hAnsi="Cambria Math"/>
          <w:b/>
          <w:bCs/>
          <w:smallCaps/>
          <w:sz w:val="18"/>
          <w:szCs w:val="18"/>
        </w:rPr>
      </w:pPr>
      <w:r w:rsidRPr="001D5327">
        <w:rPr>
          <w:rFonts w:ascii="Cambria Math" w:hAnsi="Cambria Math"/>
          <w:b/>
          <w:bCs/>
          <w:smallCaps/>
          <w:sz w:val="18"/>
          <w:szCs w:val="18"/>
        </w:rPr>
        <w:t>Calculation of emissions of a chemical from a specific application</w:t>
      </w:r>
    </w:p>
    <w:p w14:paraId="487444A4" w14:textId="77777777" w:rsidR="0057070D" w:rsidRPr="001D5327" w:rsidRDefault="0057070D" w:rsidP="0057070D">
      <w:pPr>
        <w:pStyle w:val="BodyText"/>
        <w:pBdr>
          <w:top w:val="single" w:sz="2" w:space="10" w:color="auto"/>
          <w:left w:val="single" w:sz="2" w:space="0" w:color="auto"/>
          <w:bottom w:val="single" w:sz="2" w:space="10" w:color="auto"/>
          <w:right w:val="single" w:sz="2" w:space="10" w:color="auto"/>
        </w:pBdr>
        <w:spacing w:after="0"/>
        <w:ind w:left="454" w:right="851"/>
        <w:jc w:val="center"/>
        <w:rPr>
          <w:rFonts w:ascii="Cambria Math" w:hAnsi="Cambria Math"/>
          <w:i/>
          <w:iCs/>
          <w:sz w:val="18"/>
          <w:szCs w:val="18"/>
        </w:rPr>
      </w:pPr>
      <w:r w:rsidRPr="001D5327">
        <w:rPr>
          <w:rFonts w:ascii="Cambria Math" w:hAnsi="Cambria Math"/>
          <w:i/>
          <w:iCs/>
          <w:sz w:val="18"/>
          <w:szCs w:val="18"/>
        </w:rPr>
        <w:t xml:space="preserve">Annual Emissions = Net Consumption </w:t>
      </w:r>
      <w:r w:rsidRPr="001D5327">
        <w:rPr>
          <w:rFonts w:ascii="Symbol" w:eastAsia="Symbol" w:hAnsi="Symbol" w:cs="Symbol"/>
          <w:i/>
          <w:sz w:val="18"/>
          <w:szCs w:val="18"/>
        </w:rPr>
        <w:t>·</w:t>
      </w:r>
      <w:r w:rsidRPr="001D5327">
        <w:rPr>
          <w:rFonts w:ascii="Cambria Math" w:hAnsi="Cambria Math"/>
          <w:i/>
          <w:iCs/>
          <w:sz w:val="18"/>
          <w:szCs w:val="18"/>
        </w:rPr>
        <w:t xml:space="preserve"> Composite</w:t>
      </w:r>
      <w:r w:rsidRPr="001D5327">
        <w:rPr>
          <w:rFonts w:ascii="Cambria Math" w:hAnsi="Cambria Math"/>
          <w:i/>
          <w:iCs/>
          <w:smallCaps/>
          <w:sz w:val="18"/>
          <w:szCs w:val="18"/>
        </w:rPr>
        <w:t xml:space="preserve"> </w:t>
      </w:r>
      <w:r w:rsidRPr="001D5327">
        <w:rPr>
          <w:rFonts w:ascii="Cambria Math" w:hAnsi="Cambria Math"/>
          <w:i/>
          <w:iCs/>
          <w:sz w:val="18"/>
          <w:szCs w:val="18"/>
        </w:rPr>
        <w:t>EF</w:t>
      </w:r>
    </w:p>
    <w:p w14:paraId="2F7A3640" w14:textId="77777777" w:rsidR="0057070D" w:rsidRPr="001D5327" w:rsidRDefault="0057070D" w:rsidP="0057070D">
      <w:pPr>
        <w:pStyle w:val="Heading3"/>
        <w:spacing w:before="400"/>
      </w:pPr>
      <w:r w:rsidRPr="001D5327">
        <w:t>8.7.3</w:t>
      </w:r>
      <w:r w:rsidRPr="001D5327">
        <w:tab/>
        <w:t>Uncertainty assessment and time-series consistency</w:t>
      </w:r>
    </w:p>
    <w:p w14:paraId="7E7FF396" w14:textId="762F01D8" w:rsidR="0057070D" w:rsidRPr="001D5327" w:rsidRDefault="0057070D" w:rsidP="0057070D">
      <w:pPr>
        <w:pStyle w:val="BodyText"/>
      </w:pPr>
      <w:r w:rsidRPr="001D5327">
        <w:t>Because a composite emission factor was used for both the 2.F.1.b and 2.F.1.f categories, the</w:t>
      </w:r>
      <w:r w:rsidR="004F21C3" w:rsidRPr="001D5327">
        <w:t> </w:t>
      </w:r>
      <w:r w:rsidRPr="001D5327">
        <w:t>uncertainty level for activity data is assumed at a level of ±32 per cent (see table 8.7.1). The 2006 IPCC Guidelines (IPCC, 2006b) do not provide a default value for the composite factors, so New Zealand’s value for uncertainties to describe refrigerant leakages was used for</w:t>
      </w:r>
      <w:r w:rsidR="004F21C3" w:rsidRPr="001D5327">
        <w:t> </w:t>
      </w:r>
      <w:r w:rsidRPr="001D5327">
        <w:t>both categories.</w:t>
      </w:r>
    </w:p>
    <w:p w14:paraId="0DB0C67E" w14:textId="77777777" w:rsidR="0057070D" w:rsidRPr="001D5327" w:rsidRDefault="0057070D" w:rsidP="0057070D">
      <w:pPr>
        <w:pStyle w:val="Table"/>
      </w:pPr>
      <w:bookmarkStart w:id="2971" w:name="_Toc194241837"/>
      <w:r w:rsidRPr="001D5327">
        <w:t>Table 8.7.1</w:t>
      </w:r>
      <w:r w:rsidRPr="001D5327">
        <w:tab/>
        <w:t xml:space="preserve">Uncertainties for the </w:t>
      </w:r>
      <w:r w:rsidRPr="001D5327">
        <w:rPr>
          <w:i/>
          <w:iCs/>
        </w:rPr>
        <w:t>Refrigeration and air conditioning</w:t>
      </w:r>
      <w:r w:rsidRPr="001D5327">
        <w:t xml:space="preserve"> category</w:t>
      </w:r>
      <w:bookmarkEnd w:id="2971"/>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92"/>
        <w:gridCol w:w="765"/>
        <w:gridCol w:w="2145"/>
        <w:gridCol w:w="2268"/>
        <w:gridCol w:w="2824"/>
      </w:tblGrid>
      <w:tr w:rsidR="0057070D" w:rsidRPr="001D5327" w14:paraId="2686DF6C" w14:textId="77777777" w:rsidTr="00D11AC9">
        <w:trPr>
          <w:tblHeader/>
        </w:trPr>
        <w:tc>
          <w:tcPr>
            <w:tcW w:w="0" w:type="auto"/>
            <w:shd w:val="clear" w:color="auto" w:fill="1B556B"/>
            <w:tcMar>
              <w:top w:w="0" w:type="dxa"/>
              <w:left w:w="85" w:type="dxa"/>
              <w:bottom w:w="0" w:type="dxa"/>
              <w:right w:w="85" w:type="dxa"/>
            </w:tcMar>
            <w:vAlign w:val="bottom"/>
          </w:tcPr>
          <w:p w14:paraId="51BB9322"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Gas</w:t>
            </w:r>
          </w:p>
        </w:tc>
        <w:tc>
          <w:tcPr>
            <w:tcW w:w="0" w:type="auto"/>
            <w:shd w:val="clear" w:color="auto" w:fill="1B556B"/>
            <w:tcMar>
              <w:top w:w="0" w:type="dxa"/>
              <w:left w:w="85" w:type="dxa"/>
              <w:bottom w:w="0" w:type="dxa"/>
              <w:right w:w="85" w:type="dxa"/>
            </w:tcMar>
            <w:vAlign w:val="bottom"/>
          </w:tcPr>
          <w:p w14:paraId="24086482"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Category</w:t>
            </w:r>
          </w:p>
        </w:tc>
        <w:tc>
          <w:tcPr>
            <w:tcW w:w="2145" w:type="dxa"/>
            <w:shd w:val="clear" w:color="auto" w:fill="1B556B"/>
            <w:tcMar>
              <w:top w:w="0" w:type="dxa"/>
              <w:left w:w="85" w:type="dxa"/>
              <w:bottom w:w="0" w:type="dxa"/>
              <w:right w:w="85" w:type="dxa"/>
            </w:tcMar>
            <w:vAlign w:val="bottom"/>
          </w:tcPr>
          <w:p w14:paraId="71048AF1" w14:textId="77777777" w:rsidR="0057070D" w:rsidRPr="001D5327" w:rsidRDefault="0057070D" w:rsidP="00D11AC9">
            <w:pPr>
              <w:pStyle w:val="TableTextBold"/>
              <w:spacing w:before="40" w:after="40"/>
              <w:jc w:val="right"/>
              <w:rPr>
                <w:noProof w:val="0"/>
                <w:color w:val="FFFFFF" w:themeColor="background1"/>
              </w:rPr>
            </w:pPr>
            <w:r w:rsidRPr="001D5327">
              <w:rPr>
                <w:rFonts w:eastAsia="Calibri"/>
                <w:noProof w:val="0"/>
                <w:color w:val="FFFFFF" w:themeColor="background1"/>
              </w:rPr>
              <w:t>Activity data uncertainty (%)</w:t>
            </w:r>
          </w:p>
        </w:tc>
        <w:tc>
          <w:tcPr>
            <w:tcW w:w="2268" w:type="dxa"/>
            <w:shd w:val="clear" w:color="auto" w:fill="1B556B"/>
            <w:tcMar>
              <w:top w:w="0" w:type="dxa"/>
              <w:left w:w="85" w:type="dxa"/>
              <w:bottom w:w="0" w:type="dxa"/>
              <w:right w:w="85" w:type="dxa"/>
            </w:tcMar>
            <w:vAlign w:val="bottom"/>
          </w:tcPr>
          <w:p w14:paraId="565336D6"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Emission factor uncertainty (%)</w:t>
            </w:r>
          </w:p>
        </w:tc>
        <w:tc>
          <w:tcPr>
            <w:tcW w:w="2824" w:type="dxa"/>
            <w:shd w:val="clear" w:color="auto" w:fill="1B556B"/>
            <w:tcMar>
              <w:top w:w="0" w:type="dxa"/>
              <w:left w:w="85" w:type="dxa"/>
              <w:bottom w:w="0" w:type="dxa"/>
              <w:right w:w="85" w:type="dxa"/>
            </w:tcMar>
            <w:vAlign w:val="bottom"/>
          </w:tcPr>
          <w:p w14:paraId="516B902D"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Source</w:t>
            </w:r>
          </w:p>
        </w:tc>
      </w:tr>
      <w:tr w:rsidR="0057070D" w:rsidRPr="001D5327" w14:paraId="1A614CE8" w14:textId="77777777" w:rsidTr="00D11AC9">
        <w:tc>
          <w:tcPr>
            <w:tcW w:w="0" w:type="auto"/>
            <w:shd w:val="clear" w:color="auto" w:fill="FFFFFF"/>
            <w:tcMar>
              <w:top w:w="0" w:type="dxa"/>
              <w:left w:w="85" w:type="dxa"/>
              <w:bottom w:w="0" w:type="dxa"/>
              <w:right w:w="85" w:type="dxa"/>
            </w:tcMar>
          </w:tcPr>
          <w:p w14:paraId="1F35FA3E" w14:textId="77777777" w:rsidR="0057070D" w:rsidRPr="001D5327" w:rsidRDefault="0057070D" w:rsidP="00D11AC9">
            <w:pPr>
              <w:pStyle w:val="TableText"/>
              <w:spacing w:before="40" w:after="40"/>
            </w:pPr>
            <w:r w:rsidRPr="001D5327">
              <w:rPr>
                <w:rFonts w:eastAsia="Calibri"/>
                <w:color w:val="000000"/>
              </w:rPr>
              <w:t>HFCs</w:t>
            </w:r>
          </w:p>
        </w:tc>
        <w:tc>
          <w:tcPr>
            <w:tcW w:w="0" w:type="auto"/>
            <w:shd w:val="clear" w:color="auto" w:fill="FFFFFF"/>
            <w:tcMar>
              <w:top w:w="0" w:type="dxa"/>
              <w:left w:w="85" w:type="dxa"/>
              <w:bottom w:w="0" w:type="dxa"/>
              <w:right w:w="85" w:type="dxa"/>
            </w:tcMar>
          </w:tcPr>
          <w:p w14:paraId="74CDE55A" w14:textId="77777777" w:rsidR="0057070D" w:rsidRPr="001D5327" w:rsidRDefault="0057070D" w:rsidP="00D11AC9">
            <w:pPr>
              <w:pStyle w:val="TableText"/>
              <w:spacing w:before="40" w:after="40"/>
            </w:pPr>
            <w:r w:rsidRPr="001D5327">
              <w:rPr>
                <w:rFonts w:eastAsia="Calibri"/>
                <w:color w:val="000000"/>
              </w:rPr>
              <w:t>2.F.1</w:t>
            </w:r>
          </w:p>
        </w:tc>
        <w:tc>
          <w:tcPr>
            <w:tcW w:w="2145" w:type="dxa"/>
            <w:shd w:val="clear" w:color="auto" w:fill="FFFFFF"/>
            <w:tcMar>
              <w:top w:w="0" w:type="dxa"/>
              <w:left w:w="85" w:type="dxa"/>
              <w:bottom w:w="0" w:type="dxa"/>
              <w:right w:w="85" w:type="dxa"/>
            </w:tcMar>
          </w:tcPr>
          <w:p w14:paraId="19E49CD1" w14:textId="77777777" w:rsidR="0057070D" w:rsidRPr="001D5327" w:rsidRDefault="0057070D" w:rsidP="00D11AC9">
            <w:pPr>
              <w:pStyle w:val="TableText"/>
              <w:spacing w:before="40" w:after="40"/>
              <w:jc w:val="right"/>
            </w:pPr>
            <w:r w:rsidRPr="001D5327">
              <w:rPr>
                <w:rFonts w:eastAsia="Calibri"/>
                <w:color w:val="000000"/>
              </w:rPr>
              <w:t>±24</w:t>
            </w:r>
          </w:p>
        </w:tc>
        <w:tc>
          <w:tcPr>
            <w:tcW w:w="2268" w:type="dxa"/>
            <w:shd w:val="clear" w:color="auto" w:fill="FFFFFF"/>
            <w:tcMar>
              <w:top w:w="0" w:type="dxa"/>
              <w:left w:w="85" w:type="dxa"/>
              <w:bottom w:w="0" w:type="dxa"/>
              <w:right w:w="85" w:type="dxa"/>
            </w:tcMar>
          </w:tcPr>
          <w:p w14:paraId="7260BFC9" w14:textId="77777777" w:rsidR="0057070D" w:rsidRPr="001D5327" w:rsidRDefault="0057070D" w:rsidP="00D11AC9">
            <w:pPr>
              <w:pStyle w:val="TableText"/>
              <w:spacing w:before="40" w:after="40"/>
            </w:pPr>
            <w:r w:rsidRPr="001D5327">
              <w:rPr>
                <w:rFonts w:eastAsia="Calibri"/>
                <w:color w:val="000000"/>
              </w:rPr>
              <w:t>Not applicable</w:t>
            </w:r>
          </w:p>
        </w:tc>
        <w:tc>
          <w:tcPr>
            <w:tcW w:w="2824" w:type="dxa"/>
            <w:shd w:val="clear" w:color="auto" w:fill="FFFFFF"/>
            <w:tcMar>
              <w:top w:w="0" w:type="dxa"/>
              <w:left w:w="85" w:type="dxa"/>
              <w:bottom w:w="0" w:type="dxa"/>
              <w:right w:w="85" w:type="dxa"/>
            </w:tcMar>
          </w:tcPr>
          <w:p w14:paraId="04AA7543" w14:textId="77777777" w:rsidR="0057070D" w:rsidRPr="001D5327" w:rsidRDefault="0057070D" w:rsidP="00D11AC9">
            <w:pPr>
              <w:pStyle w:val="TableText"/>
              <w:spacing w:before="40" w:after="40"/>
            </w:pPr>
            <w:r w:rsidRPr="001D5327">
              <w:rPr>
                <w:rFonts w:eastAsia="Calibri"/>
                <w:color w:val="000000"/>
              </w:rPr>
              <w:t>New Zealand’s value is used (table 4.7.4, chapter 4)</w:t>
            </w:r>
          </w:p>
        </w:tc>
      </w:tr>
    </w:tbl>
    <w:p w14:paraId="21D01149" w14:textId="77777777" w:rsidR="0057070D" w:rsidRPr="001D5327" w:rsidRDefault="0057070D" w:rsidP="0057070D">
      <w:pPr>
        <w:pStyle w:val="BodyText"/>
        <w:spacing w:before="240"/>
      </w:pPr>
      <w:r w:rsidRPr="001D5327">
        <w:t>Time-series consistency is maintained by interpolating the number of air conditioning and refrigeration units in between census years, which are generally five years apart.</w:t>
      </w:r>
    </w:p>
    <w:p w14:paraId="4633EF6B" w14:textId="77777777" w:rsidR="0057070D" w:rsidRPr="001D5327" w:rsidRDefault="0057070D" w:rsidP="0057070D">
      <w:pPr>
        <w:pStyle w:val="Heading3"/>
      </w:pPr>
      <w:r w:rsidRPr="001D5327">
        <w:t>8.7.4</w:t>
      </w:r>
      <w:r w:rsidRPr="001D5327">
        <w:tab/>
        <w:t>Category-specific QA/QC and verification</w:t>
      </w:r>
    </w:p>
    <w:p w14:paraId="5174A3CD" w14:textId="77777777" w:rsidR="0057070D" w:rsidRPr="001D5327" w:rsidRDefault="0057070D" w:rsidP="0057070D">
      <w:pPr>
        <w:pStyle w:val="BodyText"/>
      </w:pPr>
      <w:r w:rsidRPr="001D5327">
        <w:t>Quality control of the activity data and calculations was applied to each category for Tokelau. No verification was possible because no alternative data were available.</w:t>
      </w:r>
    </w:p>
    <w:p w14:paraId="02BCD7B4" w14:textId="77777777" w:rsidR="0057070D" w:rsidRPr="001D5327" w:rsidRDefault="0057070D" w:rsidP="0057070D">
      <w:pPr>
        <w:pStyle w:val="Heading3"/>
      </w:pPr>
      <w:r w:rsidRPr="001D5327">
        <w:t>8.7.5</w:t>
      </w:r>
      <w:r w:rsidRPr="001D5327">
        <w:tab/>
        <w:t>Category-specific recalculations</w:t>
      </w:r>
    </w:p>
    <w:p w14:paraId="21ABBAE8" w14:textId="77777777" w:rsidR="0057070D" w:rsidRPr="001D5327" w:rsidRDefault="0057070D" w:rsidP="0057070D">
      <w:pPr>
        <w:pStyle w:val="BodyText"/>
      </w:pPr>
      <w:r w:rsidRPr="001D5327">
        <w:t xml:space="preserve">There were no changes to estimates for the </w:t>
      </w:r>
      <w:r w:rsidRPr="001D5327">
        <w:rPr>
          <w:i/>
          <w:iCs/>
        </w:rPr>
        <w:t>Stationary air conditioning</w:t>
      </w:r>
      <w:r w:rsidRPr="001D5327">
        <w:t xml:space="preserve"> and </w:t>
      </w:r>
      <w:r w:rsidRPr="001D5327">
        <w:rPr>
          <w:i/>
          <w:iCs/>
        </w:rPr>
        <w:t>Domestic refrigeration</w:t>
      </w:r>
      <w:r w:rsidRPr="001D5327">
        <w:t xml:space="preserve"> categories.</w:t>
      </w:r>
    </w:p>
    <w:p w14:paraId="542E17B2" w14:textId="77777777" w:rsidR="0057070D" w:rsidRPr="001D5327" w:rsidRDefault="0057070D" w:rsidP="0057070D">
      <w:pPr>
        <w:pStyle w:val="Heading3"/>
      </w:pPr>
      <w:r w:rsidRPr="001D5327">
        <w:t>8.7.6</w:t>
      </w:r>
      <w:r w:rsidRPr="001D5327">
        <w:tab/>
        <w:t>Category-specific planned improvements</w:t>
      </w:r>
    </w:p>
    <w:p w14:paraId="074FE81A" w14:textId="77777777" w:rsidR="0057070D" w:rsidRPr="001D5327" w:rsidRDefault="0057070D" w:rsidP="0057070D">
      <w:pPr>
        <w:pStyle w:val="BodyText"/>
      </w:pPr>
      <w:r w:rsidRPr="001D5327">
        <w:t>No improvements are planned for the next inventory submission.</w:t>
      </w:r>
    </w:p>
    <w:p w14:paraId="1F87D828" w14:textId="77777777" w:rsidR="0057070D" w:rsidRPr="001D5327" w:rsidRDefault="0057070D" w:rsidP="0057070D">
      <w:pPr>
        <w:pStyle w:val="Heading2"/>
      </w:pPr>
      <w:bookmarkStart w:id="2972" w:name="_Toc194312054"/>
      <w:bookmarkStart w:id="2973" w:name="Xabcb26278593acebd294af29228d70df7b298f2"/>
      <w:bookmarkEnd w:id="2968"/>
      <w:r w:rsidRPr="001D5327">
        <w:lastRenderedPageBreak/>
        <w:t>8.8</w:t>
      </w:r>
      <w:r w:rsidRPr="001D5327">
        <w:tab/>
        <w:t>Emissions from Metered dose inhalers and Medical applications in Tokelau</w:t>
      </w:r>
      <w:bookmarkEnd w:id="2972"/>
    </w:p>
    <w:p w14:paraId="397C3E8A" w14:textId="77777777" w:rsidR="0057070D" w:rsidRPr="001D5327" w:rsidRDefault="0057070D" w:rsidP="0057070D">
      <w:pPr>
        <w:pStyle w:val="Heading3"/>
        <w:spacing w:before="240"/>
      </w:pPr>
      <w:r w:rsidRPr="001D5327">
        <w:t>8.8.1</w:t>
      </w:r>
      <w:r w:rsidRPr="001D5327">
        <w:tab/>
        <w:t>Description</w:t>
      </w:r>
    </w:p>
    <w:p w14:paraId="6E77FCF6" w14:textId="77777777" w:rsidR="0057070D" w:rsidRPr="001D5327" w:rsidRDefault="0057070D" w:rsidP="0057070D">
      <w:pPr>
        <w:pStyle w:val="BodyText"/>
      </w:pPr>
      <w:r w:rsidRPr="001D5327">
        <w:t xml:space="preserve">The </w:t>
      </w:r>
      <w:r w:rsidRPr="001D5327">
        <w:rPr>
          <w:i/>
          <w:iCs/>
        </w:rPr>
        <w:t>Metered dose inhalers</w:t>
      </w:r>
      <w:r w:rsidRPr="001D5327">
        <w:t xml:space="preserve"> (2.F.4.a) and </w:t>
      </w:r>
      <w:r w:rsidRPr="001D5327">
        <w:rPr>
          <w:i/>
          <w:iCs/>
        </w:rPr>
        <w:t>Medical applications</w:t>
      </w:r>
      <w:r w:rsidRPr="001D5327">
        <w:t xml:space="preserve"> categories (2.G.3.a) contribute negligible amounts of HFC (HFC-134a and HFC-227ea) and N</w:t>
      </w:r>
      <w:r w:rsidRPr="001D5327">
        <w:rPr>
          <w:vertAlign w:val="subscript"/>
        </w:rPr>
        <w:t>2</w:t>
      </w:r>
      <w:r w:rsidRPr="001D5327">
        <w:t>O emissions respectively to the total emissions from the IPPU sector in Tokelau. They are reported by scaling New Zealand’s emissions from the same category by Tokelau’s de facto population.</w:t>
      </w:r>
    </w:p>
    <w:p w14:paraId="0C30587D" w14:textId="77777777" w:rsidR="0057070D" w:rsidRPr="001D5327" w:rsidRDefault="0057070D" w:rsidP="0057070D">
      <w:pPr>
        <w:pStyle w:val="BodyText"/>
      </w:pPr>
      <w:r w:rsidRPr="001D5327">
        <w:t xml:space="preserve">In 2023, the </w:t>
      </w:r>
      <w:r w:rsidRPr="001D5327">
        <w:rPr>
          <w:i/>
          <w:iCs/>
        </w:rPr>
        <w:t>Metered dose inhalers</w:t>
      </w:r>
      <w:r w:rsidRPr="001D5327">
        <w:t xml:space="preserve"> category contributed 6.0 per cent to total IPPU emissions from Tokelau, and the category </w:t>
      </w:r>
      <w:r w:rsidRPr="001D5327">
        <w:rPr>
          <w:i/>
          <w:iCs/>
        </w:rPr>
        <w:t>Medical applications</w:t>
      </w:r>
      <w:r w:rsidRPr="001D5327">
        <w:t xml:space="preserve"> contributed 10.1 per cent to the sector, which amounted to 0.04 kt CO</w:t>
      </w:r>
      <w:r w:rsidRPr="001D5327">
        <w:rPr>
          <w:vertAlign w:val="subscript"/>
        </w:rPr>
        <w:t>2</w:t>
      </w:r>
      <w:r w:rsidRPr="001D5327">
        <w:t>-e from both categories.</w:t>
      </w:r>
    </w:p>
    <w:p w14:paraId="35BF7546" w14:textId="77777777" w:rsidR="0057070D" w:rsidRPr="001D5327" w:rsidRDefault="0057070D" w:rsidP="0057070D">
      <w:pPr>
        <w:pStyle w:val="Heading3"/>
      </w:pPr>
      <w:r w:rsidRPr="001D5327">
        <w:t>8.8.2</w:t>
      </w:r>
      <w:r w:rsidRPr="001D5327">
        <w:tab/>
        <w:t>Methodological issues</w:t>
      </w:r>
    </w:p>
    <w:p w14:paraId="0D02CB4F" w14:textId="77777777" w:rsidR="0057070D" w:rsidRPr="001D5327" w:rsidRDefault="0057070D" w:rsidP="0057070D">
      <w:pPr>
        <w:pStyle w:val="Heading5"/>
      </w:pPr>
      <w:bookmarkStart w:id="2974" w:name="activity-data-5"/>
      <w:r w:rsidRPr="001D5327">
        <w:t>Activity data</w:t>
      </w:r>
    </w:p>
    <w:p w14:paraId="3F3E571D" w14:textId="77777777" w:rsidR="0057070D" w:rsidRPr="001D5327" w:rsidRDefault="0057070D" w:rsidP="0057070D">
      <w:pPr>
        <w:pStyle w:val="BodyText"/>
      </w:pPr>
      <w:r w:rsidRPr="001D5327">
        <w:t>Only anecdotal evidence associated with the activity data for both categories is available from Tokelau’s Department of Health (see table 8.1.1). They are reported by scaling New Zealand’s emissions from the same category by Tokelau’s de facto population for the entire time series to each gas.</w:t>
      </w:r>
    </w:p>
    <w:p w14:paraId="55A0BCF7" w14:textId="77777777" w:rsidR="0057070D" w:rsidRPr="001D5327" w:rsidRDefault="0057070D" w:rsidP="0057070D">
      <w:pPr>
        <w:pStyle w:val="Heading5"/>
      </w:pPr>
      <w:bookmarkStart w:id="2975" w:name="method-and-emission-factors-1"/>
      <w:bookmarkEnd w:id="2974"/>
      <w:r w:rsidRPr="001D5327">
        <w:t>Method and emission factors</w:t>
      </w:r>
    </w:p>
    <w:p w14:paraId="127E29DF" w14:textId="77777777" w:rsidR="0057070D" w:rsidRPr="001D5327" w:rsidRDefault="0057070D" w:rsidP="0057070D">
      <w:pPr>
        <w:pStyle w:val="BodyText"/>
      </w:pPr>
      <w:r w:rsidRPr="001D5327">
        <w:t>For both categories, a Tier 1a methodology was applied because New Zealand applied this methodology for estimating emissions from 2.F.4 and Tier 1 methodology for 2.G.3 (IPCC, 2006b). In addition, population ratios from population statistics of Tokelau and New Zealand have been calculated for each year of the time series except the years when the emissions were not occurring (until 1995 for HFC-134a and 2011 for HFC-227ea).</w:t>
      </w:r>
    </w:p>
    <w:p w14:paraId="0D191732" w14:textId="77777777" w:rsidR="0057070D" w:rsidRPr="001D5327" w:rsidRDefault="0057070D" w:rsidP="0057070D">
      <w:pPr>
        <w:pStyle w:val="BodyText"/>
      </w:pPr>
      <w:r w:rsidRPr="001D5327">
        <w:t>For 2.F.4.a, a product life factor of 100 per cent was used. For 2.G.3a, it was assumed that N</w:t>
      </w:r>
      <w:r w:rsidRPr="001D5327">
        <w:rPr>
          <w:vertAlign w:val="subscript"/>
        </w:rPr>
        <w:t>2</w:t>
      </w:r>
      <w:r w:rsidRPr="001D5327">
        <w:t>O is used as a propellant in pressurised and aerosol food products, none of the N</w:t>
      </w:r>
      <w:r w:rsidRPr="001D5327">
        <w:rPr>
          <w:vertAlign w:val="subscript"/>
        </w:rPr>
        <w:t>2</w:t>
      </w:r>
      <w:r w:rsidRPr="001D5327">
        <w:t>O is reacted during the process and all of the N</w:t>
      </w:r>
      <w:r w:rsidRPr="001D5327">
        <w:rPr>
          <w:vertAlign w:val="subscript"/>
        </w:rPr>
        <w:t>2</w:t>
      </w:r>
      <w:r w:rsidRPr="001D5327">
        <w:t>O is emitted to the atmosphere. Therefore, a default emission factor of 1.0 was used for this category.</w:t>
      </w:r>
    </w:p>
    <w:bookmarkEnd w:id="2975"/>
    <w:p w14:paraId="169BA212" w14:textId="77777777" w:rsidR="0057070D" w:rsidRPr="001D5327" w:rsidRDefault="0057070D" w:rsidP="0057070D">
      <w:pPr>
        <w:pStyle w:val="Heading3"/>
      </w:pPr>
      <w:r w:rsidRPr="001D5327">
        <w:t>8.8.3</w:t>
      </w:r>
      <w:r w:rsidRPr="001D5327">
        <w:tab/>
        <w:t>Uncertainty assessment and time-series consistency</w:t>
      </w:r>
    </w:p>
    <w:p w14:paraId="6BA55C43" w14:textId="77777777" w:rsidR="0057070D" w:rsidRPr="001D5327" w:rsidRDefault="0057070D" w:rsidP="0057070D">
      <w:pPr>
        <w:pStyle w:val="BodyText"/>
      </w:pPr>
      <w:r w:rsidRPr="001D5327">
        <w:t>For consistency of reporting, the same uncertainty values for categories 2.G.3.a were applied for Tokelau and New Zealand (see section 4.8.3 in chapter 4 and table 8.8.1). The same uncertainty for 2.F.1 has also been applied to 2.F.4, in the absence of further information.</w:t>
      </w:r>
    </w:p>
    <w:p w14:paraId="41D15A5F" w14:textId="77777777" w:rsidR="0057070D" w:rsidRPr="001D5327" w:rsidRDefault="0057070D" w:rsidP="0057070D">
      <w:pPr>
        <w:pStyle w:val="Table"/>
      </w:pPr>
      <w:bookmarkStart w:id="2976" w:name="_Toc194241838"/>
      <w:r w:rsidRPr="001D5327">
        <w:t>Table 8.8.1</w:t>
      </w:r>
      <w:r w:rsidRPr="001D5327">
        <w:tab/>
        <w:t xml:space="preserve">Uncertainties for the </w:t>
      </w:r>
      <w:r w:rsidRPr="001D5327">
        <w:rPr>
          <w:i/>
          <w:iCs/>
        </w:rPr>
        <w:t>Other product manufacture and use</w:t>
      </w:r>
      <w:r w:rsidRPr="001D5327">
        <w:t xml:space="preserve"> category</w:t>
      </w:r>
      <w:bookmarkEnd w:id="2976"/>
    </w:p>
    <w:tbl>
      <w:tblPr>
        <w:tblW w:w="5000" w:type="pct"/>
        <w:jc w:val="center"/>
        <w:tblBorders>
          <w:top w:val="single" w:sz="4" w:space="0" w:color="1B556B"/>
          <w:bottom w:val="single" w:sz="4" w:space="0" w:color="1B556B"/>
          <w:insideH w:val="single" w:sz="4" w:space="0" w:color="1B556B"/>
        </w:tblBorders>
        <w:tblLook w:val="0420" w:firstRow="1" w:lastRow="0" w:firstColumn="0" w:lastColumn="0" w:noHBand="0" w:noVBand="1"/>
      </w:tblPr>
      <w:tblGrid>
        <w:gridCol w:w="2307"/>
        <w:gridCol w:w="3683"/>
        <w:gridCol w:w="2515"/>
      </w:tblGrid>
      <w:tr w:rsidR="0057070D" w:rsidRPr="001D5327" w14:paraId="08F800A4" w14:textId="77777777" w:rsidTr="00D11AC9">
        <w:trPr>
          <w:tblHeader/>
          <w:jc w:val="center"/>
        </w:trPr>
        <w:tc>
          <w:tcPr>
            <w:tcW w:w="0" w:type="auto"/>
            <w:shd w:val="clear" w:color="auto" w:fill="1B556B"/>
            <w:tcMar>
              <w:top w:w="0" w:type="dxa"/>
              <w:left w:w="85" w:type="dxa"/>
              <w:bottom w:w="0" w:type="dxa"/>
              <w:right w:w="85" w:type="dxa"/>
            </w:tcMar>
          </w:tcPr>
          <w:p w14:paraId="1784B4DF"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Category</w:t>
            </w:r>
          </w:p>
        </w:tc>
        <w:tc>
          <w:tcPr>
            <w:tcW w:w="0" w:type="auto"/>
            <w:shd w:val="clear" w:color="auto" w:fill="1B556B"/>
            <w:tcMar>
              <w:top w:w="0" w:type="dxa"/>
              <w:left w:w="85" w:type="dxa"/>
              <w:bottom w:w="0" w:type="dxa"/>
              <w:right w:w="85" w:type="dxa"/>
            </w:tcMar>
          </w:tcPr>
          <w:p w14:paraId="591B97FE" w14:textId="77777777" w:rsidR="0057070D" w:rsidRPr="001D5327" w:rsidRDefault="0057070D"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tcPr>
          <w:p w14:paraId="12A2C1F8"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Uncertainty in emission factors</w:t>
            </w:r>
          </w:p>
        </w:tc>
      </w:tr>
      <w:tr w:rsidR="00622E2B" w:rsidRPr="001D5327" w14:paraId="1CBCC2C9" w14:textId="77777777" w:rsidTr="00D11AC9">
        <w:trPr>
          <w:jc w:val="center"/>
        </w:trPr>
        <w:tc>
          <w:tcPr>
            <w:tcW w:w="0" w:type="auto"/>
            <w:shd w:val="clear" w:color="auto" w:fill="FFFFFF"/>
            <w:tcMar>
              <w:top w:w="0" w:type="dxa"/>
              <w:left w:w="85" w:type="dxa"/>
              <w:bottom w:w="0" w:type="dxa"/>
              <w:right w:w="85" w:type="dxa"/>
            </w:tcMar>
          </w:tcPr>
          <w:p w14:paraId="2D3D5A3D" w14:textId="77777777" w:rsidR="0057070D" w:rsidRPr="001D5327" w:rsidRDefault="0057070D" w:rsidP="00D11AC9">
            <w:pPr>
              <w:pStyle w:val="TableText"/>
              <w:spacing w:before="40" w:after="40"/>
            </w:pPr>
            <w:r w:rsidRPr="001D5327">
              <w:rPr>
                <w:rFonts w:eastAsia="Calibri"/>
                <w:color w:val="000000"/>
              </w:rPr>
              <w:t>N</w:t>
            </w:r>
            <w:r w:rsidRPr="001D5327">
              <w:rPr>
                <w:rFonts w:eastAsia="Calibri"/>
                <w:color w:val="000000"/>
                <w:vertAlign w:val="subscript"/>
              </w:rPr>
              <w:t>2</w:t>
            </w:r>
            <w:r w:rsidRPr="001D5327">
              <w:rPr>
                <w:rFonts w:eastAsia="Calibri"/>
                <w:color w:val="000000"/>
              </w:rPr>
              <w:t>O from other product uses</w:t>
            </w:r>
          </w:p>
        </w:tc>
        <w:tc>
          <w:tcPr>
            <w:tcW w:w="0" w:type="auto"/>
            <w:shd w:val="clear" w:color="auto" w:fill="FFFFFF"/>
            <w:tcMar>
              <w:top w:w="0" w:type="dxa"/>
              <w:left w:w="85" w:type="dxa"/>
              <w:bottom w:w="0" w:type="dxa"/>
              <w:right w:w="85" w:type="dxa"/>
            </w:tcMar>
          </w:tcPr>
          <w:p w14:paraId="25BB94A7" w14:textId="77777777" w:rsidR="0057070D" w:rsidRPr="001D5327" w:rsidRDefault="0057070D" w:rsidP="00D11AC9">
            <w:pPr>
              <w:pStyle w:val="TableText"/>
              <w:spacing w:before="40" w:after="40"/>
              <w:jc w:val="right"/>
            </w:pPr>
            <w:r w:rsidRPr="001D5327">
              <w:rPr>
                <w:rFonts w:eastAsia="Calibri"/>
                <w:color w:val="000000"/>
              </w:rPr>
              <w:t xml:space="preserve">±30 (2002–12) </w:t>
            </w:r>
            <w:r w:rsidRPr="001D5327">
              <w:rPr>
                <w:rFonts w:eastAsia="Calibri"/>
                <w:color w:val="000000"/>
              </w:rPr>
              <w:br/>
              <w:t xml:space="preserve">±5 (2013–18) </w:t>
            </w:r>
            <w:r w:rsidRPr="001D5327">
              <w:rPr>
                <w:rFonts w:eastAsia="Calibri"/>
                <w:color w:val="000000"/>
              </w:rPr>
              <w:br/>
              <w:t>For simplicity, an average of 15% has been used</w:t>
            </w:r>
          </w:p>
        </w:tc>
        <w:tc>
          <w:tcPr>
            <w:tcW w:w="0" w:type="auto"/>
            <w:shd w:val="clear" w:color="auto" w:fill="FFFFFF"/>
            <w:tcMar>
              <w:top w:w="0" w:type="dxa"/>
              <w:left w:w="85" w:type="dxa"/>
              <w:bottom w:w="0" w:type="dxa"/>
              <w:right w:w="85" w:type="dxa"/>
            </w:tcMar>
          </w:tcPr>
          <w:p w14:paraId="284290E1" w14:textId="77777777" w:rsidR="0057070D" w:rsidRPr="001D5327" w:rsidRDefault="0057070D" w:rsidP="00D11AC9">
            <w:pPr>
              <w:pStyle w:val="TableText"/>
              <w:spacing w:before="40" w:after="40"/>
            </w:pPr>
            <w:r w:rsidRPr="001D5327">
              <w:rPr>
                <w:rFonts w:eastAsia="Calibri"/>
                <w:color w:val="000000"/>
              </w:rPr>
              <w:t>Not applicable.</w:t>
            </w:r>
          </w:p>
        </w:tc>
      </w:tr>
    </w:tbl>
    <w:p w14:paraId="10895198" w14:textId="77777777" w:rsidR="0057070D" w:rsidRPr="001D5327" w:rsidRDefault="0057070D" w:rsidP="0057070D">
      <w:pPr>
        <w:pStyle w:val="BodyText"/>
        <w:spacing w:before="240"/>
      </w:pPr>
      <w:r w:rsidRPr="001D5327">
        <w:t>Time-series consistency is maintained by scaling data for New Zealand based on a per capita equivalent across the entire time series.</w:t>
      </w:r>
    </w:p>
    <w:p w14:paraId="7F0BED03" w14:textId="77777777" w:rsidR="0057070D" w:rsidRPr="001D5327" w:rsidRDefault="0057070D" w:rsidP="0057070D">
      <w:pPr>
        <w:pStyle w:val="Heading3"/>
      </w:pPr>
      <w:r w:rsidRPr="001D5327">
        <w:lastRenderedPageBreak/>
        <w:t>8.8.4</w:t>
      </w:r>
      <w:r w:rsidRPr="001D5327">
        <w:tab/>
        <w:t>Category-specific QA/QC and verification</w:t>
      </w:r>
    </w:p>
    <w:p w14:paraId="07908028" w14:textId="77777777" w:rsidR="0057070D" w:rsidRPr="001D5327" w:rsidRDefault="0057070D" w:rsidP="0057070D">
      <w:pPr>
        <w:pStyle w:val="BodyText"/>
      </w:pPr>
      <w:r w:rsidRPr="001D5327">
        <w:t>Quality control of the activity data and calculations was applied to each category for Tokelau. No verification was possible because no alternative data were available.</w:t>
      </w:r>
    </w:p>
    <w:p w14:paraId="4D913FF1" w14:textId="77777777" w:rsidR="0057070D" w:rsidRPr="001D5327" w:rsidRDefault="0057070D" w:rsidP="0057070D">
      <w:pPr>
        <w:pStyle w:val="Heading3"/>
      </w:pPr>
      <w:r w:rsidRPr="001D5327">
        <w:t>8.8.5</w:t>
      </w:r>
      <w:r w:rsidRPr="001D5327">
        <w:tab/>
        <w:t>Category-specific recalculations</w:t>
      </w:r>
    </w:p>
    <w:p w14:paraId="584EF058" w14:textId="77777777" w:rsidR="0057070D" w:rsidRPr="001D5327" w:rsidRDefault="0057070D" w:rsidP="0057070D">
      <w:pPr>
        <w:pStyle w:val="BodyText"/>
      </w:pPr>
      <w:r w:rsidRPr="001D5327">
        <w:t xml:space="preserve">For the </w:t>
      </w:r>
      <w:r w:rsidRPr="001D5327">
        <w:rPr>
          <w:i/>
          <w:iCs/>
        </w:rPr>
        <w:t>Metered dose inhalers</w:t>
      </w:r>
      <w:r w:rsidRPr="001D5327">
        <w:t xml:space="preserve"> category, there was no change in estimates for 1990 and a 2.2 per cent (0.0003 kt CO</w:t>
      </w:r>
      <w:r w:rsidRPr="001D5327">
        <w:rPr>
          <w:vertAlign w:val="subscript"/>
        </w:rPr>
        <w:t>2</w:t>
      </w:r>
      <w:r w:rsidRPr="001D5327">
        <w:t xml:space="preserve">-e) increase in 2022. For the </w:t>
      </w:r>
      <w:r w:rsidRPr="001D5327">
        <w:rPr>
          <w:i/>
          <w:iCs/>
        </w:rPr>
        <w:t>Medical applications</w:t>
      </w:r>
      <w:r w:rsidRPr="001D5327">
        <w:t xml:space="preserve"> category, there was a 2.6 per cent decrease in 1990 and an 18.2 per cent (0.004 kt CO</w:t>
      </w:r>
      <w:r w:rsidRPr="001D5327">
        <w:rPr>
          <w:vertAlign w:val="subscript"/>
        </w:rPr>
        <w:t>2</w:t>
      </w:r>
      <w:r w:rsidRPr="001D5327">
        <w:t>-e) increase in 2022. Both changes were due to updates in the emissions data for New Zealand, which is assumed to be the same per capita for Tokelau.</w:t>
      </w:r>
    </w:p>
    <w:p w14:paraId="67673A1B" w14:textId="77777777" w:rsidR="0057070D" w:rsidRPr="001D5327" w:rsidRDefault="0057070D" w:rsidP="0057070D">
      <w:pPr>
        <w:pStyle w:val="Heading3"/>
      </w:pPr>
      <w:r w:rsidRPr="001D5327">
        <w:t>8.8.6</w:t>
      </w:r>
      <w:r w:rsidRPr="001D5327">
        <w:tab/>
        <w:t>Category-specific planned improvements</w:t>
      </w:r>
    </w:p>
    <w:p w14:paraId="7E2D0B5A" w14:textId="77777777" w:rsidR="0057070D" w:rsidRPr="001D5327" w:rsidRDefault="0057070D" w:rsidP="0057070D">
      <w:pPr>
        <w:pStyle w:val="BodyText"/>
      </w:pPr>
      <w:r w:rsidRPr="001D5327">
        <w:t>No improvements are planned for the next inventory submission.</w:t>
      </w:r>
    </w:p>
    <w:p w14:paraId="21196AF7" w14:textId="77777777" w:rsidR="0057070D" w:rsidRPr="001D5327" w:rsidRDefault="0057070D" w:rsidP="0057070D">
      <w:pPr>
        <w:pStyle w:val="Heading2"/>
      </w:pPr>
      <w:bookmarkStart w:id="2977" w:name="_Toc194312055"/>
      <w:bookmarkStart w:id="2978" w:name="X11dc9da1e753904aac0bc64a792d85776ccb5c2"/>
      <w:bookmarkEnd w:id="2973"/>
      <w:r w:rsidRPr="001D5327">
        <w:t>8.9</w:t>
      </w:r>
      <w:r w:rsidRPr="001D5327">
        <w:tab/>
        <w:t>Emissions from the Agriculture sector in Tokelau (6. Tokelau_3)</w:t>
      </w:r>
      <w:bookmarkEnd w:id="2977"/>
    </w:p>
    <w:p w14:paraId="67295587" w14:textId="77777777" w:rsidR="0057070D" w:rsidRPr="001D5327" w:rsidRDefault="0057070D" w:rsidP="0057070D">
      <w:pPr>
        <w:pStyle w:val="BodyText"/>
      </w:pPr>
      <w:r w:rsidRPr="001D5327">
        <w:t>Fish, rather than locally produced plants or animals, are the most important food source in Tokelau. The low fertility of the coral soil means few crops are supported. Food needs are not met by locally grown produce and are heavily supplemented by imports.</w:t>
      </w:r>
    </w:p>
    <w:p w14:paraId="37C3070B" w14:textId="77777777" w:rsidR="0057070D" w:rsidRPr="001D5327" w:rsidRDefault="0057070D" w:rsidP="0057070D">
      <w:pPr>
        <w:pStyle w:val="BodyText"/>
      </w:pPr>
      <w:r w:rsidRPr="001D5327">
        <w:t>Cultivated food crops are limited to breadfruit (</w:t>
      </w:r>
      <w:r w:rsidRPr="001D5327">
        <w:rPr>
          <w:i/>
          <w:iCs/>
        </w:rPr>
        <w:t>Artocarpus altilis</w:t>
      </w:r>
      <w:r w:rsidRPr="001D5327">
        <w:t>), giant swamp taro ‘pulaka’ (</w:t>
      </w:r>
      <w:r w:rsidRPr="001D5327">
        <w:rPr>
          <w:i/>
          <w:iCs/>
        </w:rPr>
        <w:t>Cyrtosperma chamissonis</w:t>
      </w:r>
      <w:r w:rsidRPr="001D5327">
        <w:t>), taro palagi (</w:t>
      </w:r>
      <w:r w:rsidRPr="001D5327">
        <w:rPr>
          <w:i/>
          <w:iCs/>
        </w:rPr>
        <w:t>Xanthosoma sagittifolium</w:t>
      </w:r>
      <w:r w:rsidRPr="001D5327">
        <w:t>), giant taro (</w:t>
      </w:r>
      <w:r w:rsidRPr="001D5327">
        <w:rPr>
          <w:i/>
          <w:iCs/>
        </w:rPr>
        <w:t xml:space="preserve">Alocasia </w:t>
      </w:r>
      <w:r w:rsidRPr="001D5327">
        <w:rPr>
          <w:i/>
          <w:iCs/>
          <w:spacing w:val="-2"/>
        </w:rPr>
        <w:t>macrorrhizos</w:t>
      </w:r>
      <w:r w:rsidRPr="001D5327">
        <w:rPr>
          <w:spacing w:val="-2"/>
        </w:rPr>
        <w:t>), banana (</w:t>
      </w:r>
      <w:r w:rsidRPr="001D5327">
        <w:rPr>
          <w:i/>
          <w:iCs/>
          <w:spacing w:val="-2"/>
        </w:rPr>
        <w:t>Musa</w:t>
      </w:r>
      <w:r w:rsidRPr="001D5327">
        <w:rPr>
          <w:spacing w:val="-2"/>
        </w:rPr>
        <w:t xml:space="preserve"> sp. [2 varieties]), papaya (</w:t>
      </w:r>
      <w:r w:rsidRPr="001D5327">
        <w:rPr>
          <w:i/>
          <w:iCs/>
          <w:spacing w:val="-2"/>
        </w:rPr>
        <w:t>Carica papaya</w:t>
      </w:r>
      <w:r w:rsidRPr="001D5327">
        <w:rPr>
          <w:spacing w:val="-2"/>
        </w:rPr>
        <w:t>), pumpkin (</w:t>
      </w:r>
      <w:r w:rsidRPr="001D5327">
        <w:rPr>
          <w:i/>
          <w:iCs/>
          <w:spacing w:val="-2"/>
        </w:rPr>
        <w:t>Cucurbita</w:t>
      </w:r>
      <w:r w:rsidRPr="001D5327">
        <w:rPr>
          <w:spacing w:val="-2"/>
        </w:rPr>
        <w:t xml:space="preserve"> sp.) and coconut</w:t>
      </w:r>
      <w:r w:rsidRPr="001D5327">
        <w:t xml:space="preserve"> (</w:t>
      </w:r>
      <w:r w:rsidRPr="001D5327">
        <w:rPr>
          <w:i/>
          <w:iCs/>
        </w:rPr>
        <w:t>Cocos nucifera</w:t>
      </w:r>
      <w:r w:rsidRPr="001D5327">
        <w:t>).</w:t>
      </w:r>
    </w:p>
    <w:p w14:paraId="4FF1F328" w14:textId="77777777" w:rsidR="0057070D" w:rsidRPr="001D5327" w:rsidRDefault="0057070D" w:rsidP="0057070D">
      <w:pPr>
        <w:pStyle w:val="BodyText"/>
      </w:pPr>
      <w:r w:rsidRPr="001D5327">
        <w:t xml:space="preserve">A small amount of subsistence agriculture occurs in Tokelau. Coconuts are used for human and </w:t>
      </w:r>
      <w:r w:rsidRPr="001D5327">
        <w:rPr>
          <w:spacing w:val="-2"/>
        </w:rPr>
        <w:t>livestock consumption. Fakaofo grows small amounts of swamp taro. The villages have breadfrui</w:t>
      </w:r>
      <w:r w:rsidRPr="001D5327">
        <w:t>t trees and some banana patches; the women’s committees run community gardens and grow pandanus ‘fala’ (</w:t>
      </w:r>
      <w:r w:rsidRPr="001D5327">
        <w:rPr>
          <w:i/>
          <w:iCs/>
        </w:rPr>
        <w:t>Pandanus odoratissimus</w:t>
      </w:r>
      <w:r w:rsidRPr="001D5327">
        <w:t>) for traditional crafts (e.g., mats, hats, fans).</w:t>
      </w:r>
    </w:p>
    <w:p w14:paraId="100A2E49" w14:textId="77777777" w:rsidR="0057070D" w:rsidRPr="001D5327" w:rsidRDefault="0057070D" w:rsidP="0057070D">
      <w:pPr>
        <w:pStyle w:val="BodyText"/>
      </w:pPr>
      <w:r w:rsidRPr="001D5327">
        <w:t>A previous United Nations Development Programme-sponsored project for the establishment of keyhole gardens</w:t>
      </w:r>
      <w:r w:rsidRPr="001D5327">
        <w:rPr>
          <w:rStyle w:val="FootnoteReference"/>
        </w:rPr>
        <w:footnoteReference w:id="62"/>
      </w:r>
      <w:r w:rsidRPr="001D5327">
        <w:t xml:space="preserve"> by Tokelau youth has been abandoned.</w:t>
      </w:r>
    </w:p>
    <w:p w14:paraId="719E5772" w14:textId="77777777" w:rsidR="0057070D" w:rsidRPr="001D5327" w:rsidRDefault="0057070D" w:rsidP="0057070D">
      <w:pPr>
        <w:pStyle w:val="BodyText"/>
      </w:pPr>
      <w:r w:rsidRPr="001D5327">
        <w:t>No industrial-scale farming occurs in Tokelau. Tokelau atolls do not have any large agricultural and horticultural development that would fall under New Zealand’s definition of a farm. There are no cows, sheep or deer, with agricultural livestock represented by small numbers of pen-kept pigs and free range chickens only.</w:t>
      </w:r>
    </w:p>
    <w:p w14:paraId="628DA1B4" w14:textId="77777777" w:rsidR="0057070D" w:rsidRPr="001D5327" w:rsidRDefault="0057070D" w:rsidP="0057070D">
      <w:pPr>
        <w:pStyle w:val="BodyText"/>
      </w:pPr>
      <w:r w:rsidRPr="001D5327">
        <w:t xml:space="preserve">Tokelau also has no pasture and no managed agricultural soils, therefore, emissions from the </w:t>
      </w:r>
      <w:r w:rsidRPr="001D5327">
        <w:rPr>
          <w:i/>
          <w:iCs/>
        </w:rPr>
        <w:t>Direct N</w:t>
      </w:r>
      <w:r w:rsidRPr="001D5327">
        <w:rPr>
          <w:i/>
          <w:iCs/>
          <w:vertAlign w:val="subscript"/>
        </w:rPr>
        <w:t>2</w:t>
      </w:r>
      <w:r w:rsidRPr="001D5327">
        <w:rPr>
          <w:i/>
          <w:iCs/>
        </w:rPr>
        <w:t>O emissions from managed soils</w:t>
      </w:r>
      <w:r w:rsidRPr="001D5327">
        <w:t xml:space="preserve"> and </w:t>
      </w:r>
      <w:r w:rsidRPr="001D5327">
        <w:rPr>
          <w:i/>
          <w:iCs/>
        </w:rPr>
        <w:t>Indirect N</w:t>
      </w:r>
      <w:r w:rsidRPr="001D5327">
        <w:rPr>
          <w:i/>
          <w:iCs/>
          <w:vertAlign w:val="subscript"/>
        </w:rPr>
        <w:t>2</w:t>
      </w:r>
      <w:r w:rsidRPr="001D5327">
        <w:rPr>
          <w:i/>
          <w:iCs/>
        </w:rPr>
        <w:t>O emissions from managed soils</w:t>
      </w:r>
      <w:r w:rsidRPr="001D5327">
        <w:t xml:space="preserve"> categories are discounted and reported as ‘not occurring’ (NO). However, it may be possible to estimate emissions from agricultural soils in a future submission.</w:t>
      </w:r>
    </w:p>
    <w:p w14:paraId="6E8168CE" w14:textId="77777777" w:rsidR="0057070D" w:rsidRPr="001D5327" w:rsidRDefault="0057070D" w:rsidP="0057070D">
      <w:pPr>
        <w:pStyle w:val="BodyText"/>
      </w:pPr>
      <w:r w:rsidRPr="001D5327">
        <w:lastRenderedPageBreak/>
        <w:t>This submission includes agricultural emissions from Tokelau associated with enteric fermentation and manure management from swine and poultry.</w:t>
      </w:r>
    </w:p>
    <w:p w14:paraId="759E8EAF" w14:textId="77777777" w:rsidR="0057070D" w:rsidRPr="001D5327" w:rsidRDefault="0057070D" w:rsidP="0057070D">
      <w:pPr>
        <w:pStyle w:val="BodyText"/>
      </w:pPr>
      <w:r w:rsidRPr="001D5327">
        <w:t>Total emissions from the Agriculture sector in Tokelau amounted to 0.92 kt CO</w:t>
      </w:r>
      <w:r w:rsidRPr="001D5327">
        <w:rPr>
          <w:vertAlign w:val="subscript"/>
        </w:rPr>
        <w:t>2</w:t>
      </w:r>
      <w:r w:rsidRPr="001D5327">
        <w:t>-e in 2023. This makes the sector the second biggest emitter in Tokelau (22.0 per cent of the total emissions from Tokelau) at 0.001 per cent of New Zealand’s gross emissions. Figure 8.9.1 shows emission trends in the Agriculture sector by category for Tokelau.</w:t>
      </w:r>
    </w:p>
    <w:p w14:paraId="5ED4C67C" w14:textId="77777777" w:rsidR="0057070D" w:rsidRPr="001D5327" w:rsidRDefault="0057070D" w:rsidP="0057070D">
      <w:pPr>
        <w:pStyle w:val="Figure"/>
      </w:pPr>
      <w:bookmarkStart w:id="2979" w:name="_Toc194674890"/>
      <w:r w:rsidRPr="001D5327">
        <w:rPr>
          <w:bCs/>
        </w:rPr>
        <w:t>Figure 8.9.1</w:t>
      </w:r>
      <w:r w:rsidRPr="001D5327">
        <w:rPr>
          <w:bCs/>
        </w:rPr>
        <w:tab/>
        <w:t>Agriculture emissions by category for Tokelau (kt CO</w:t>
      </w:r>
      <w:r w:rsidRPr="001D5327">
        <w:rPr>
          <w:bCs/>
          <w:vertAlign w:val="subscript"/>
        </w:rPr>
        <w:t>2</w:t>
      </w:r>
      <w:r w:rsidRPr="001D5327">
        <w:rPr>
          <w:bCs/>
        </w:rPr>
        <w:t>-e), from 1990 to 2023</w:t>
      </w:r>
      <w:bookmarkEnd w:id="2979"/>
    </w:p>
    <w:p w14:paraId="23CF6714" w14:textId="77777777" w:rsidR="0057070D" w:rsidRPr="001D5327" w:rsidRDefault="0057070D" w:rsidP="0057070D">
      <w:pPr>
        <w:pStyle w:val="BodyText"/>
      </w:pPr>
      <w:r w:rsidRPr="001D5327">
        <w:rPr>
          <w:noProof/>
        </w:rPr>
        <w:drawing>
          <wp:inline distT="0" distB="0" distL="0" distR="0" wp14:anchorId="7E8585FA" wp14:editId="6371B331">
            <wp:extent cx="5355771" cy="2683328"/>
            <wp:effectExtent l="0" t="0" r="0" b="3175"/>
            <wp:docPr id="117" name="Picture"/>
            <wp:cNvGraphicFramePr/>
            <a:graphic xmlns:a="http://schemas.openxmlformats.org/drawingml/2006/main">
              <a:graphicData uri="http://schemas.openxmlformats.org/drawingml/2006/picture">
                <pic:pic xmlns:pic="http://schemas.openxmlformats.org/drawingml/2006/picture">
                  <pic:nvPicPr>
                    <pic:cNvPr id="118" name="Picture" descr="images/fig_8_9_1.png"/>
                    <pic:cNvPicPr>
                      <a:picLocks noChangeAspect="1" noChangeArrowheads="1"/>
                    </pic:cNvPicPr>
                  </pic:nvPicPr>
                  <pic:blipFill>
                    <a:blip r:embed="rId244"/>
                    <a:stretch>
                      <a:fillRect/>
                    </a:stretch>
                  </pic:blipFill>
                  <pic:spPr bwMode="auto">
                    <a:xfrm>
                      <a:off x="0" y="0"/>
                      <a:ext cx="5361299" cy="2686097"/>
                    </a:xfrm>
                    <a:prstGeom prst="rect">
                      <a:avLst/>
                    </a:prstGeom>
                    <a:noFill/>
                    <a:ln w="9525">
                      <a:noFill/>
                      <a:headEnd/>
                      <a:tailEnd/>
                    </a:ln>
                  </pic:spPr>
                </pic:pic>
              </a:graphicData>
            </a:graphic>
          </wp:inline>
        </w:drawing>
      </w:r>
    </w:p>
    <w:p w14:paraId="66B2308C" w14:textId="77777777" w:rsidR="0057070D" w:rsidRPr="001D5327" w:rsidRDefault="0057070D" w:rsidP="0057070D">
      <w:pPr>
        <w:pStyle w:val="Noteundertable"/>
      </w:pPr>
      <w:r w:rsidRPr="001D5327">
        <w:rPr>
          <w:b/>
          <w:bCs/>
        </w:rPr>
        <w:t>Note:</w:t>
      </w:r>
      <w:r w:rsidRPr="001D5327">
        <w:tab/>
        <w:t xml:space="preserve">The emissions contribution from 3.B.1.4 </w:t>
      </w:r>
      <w:r w:rsidRPr="001D5327">
        <w:rPr>
          <w:i/>
          <w:iCs/>
        </w:rPr>
        <w:t>Manure management poultry</w:t>
      </w:r>
      <w:r w:rsidRPr="001D5327">
        <w:t xml:space="preserve"> is too small to be shown in the figure.</w:t>
      </w:r>
    </w:p>
    <w:p w14:paraId="5CFD533C" w14:textId="19F1F848" w:rsidR="0057070D" w:rsidRPr="001D5327" w:rsidRDefault="0057070D" w:rsidP="00E7357B">
      <w:pPr>
        <w:pStyle w:val="Heading2"/>
        <w:tabs>
          <w:tab w:val="clear" w:pos="851"/>
          <w:tab w:val="left" w:pos="993"/>
        </w:tabs>
      </w:pPr>
      <w:bookmarkStart w:id="2980" w:name="_Toc194312056"/>
      <w:bookmarkStart w:id="2981" w:name="X0215868fbab31567654195afb63fca574c20924"/>
      <w:bookmarkEnd w:id="2978"/>
      <w:r w:rsidRPr="001D5327">
        <w:t>8.10</w:t>
      </w:r>
      <w:r w:rsidRPr="001D5327">
        <w:tab/>
        <w:t>Emissions from Enteric fermentation in</w:t>
      </w:r>
      <w:r w:rsidR="00E7357B" w:rsidRPr="001D5327">
        <w:t> </w:t>
      </w:r>
      <w:r w:rsidRPr="001D5327">
        <w:t>Tokelau</w:t>
      </w:r>
      <w:bookmarkEnd w:id="2980"/>
    </w:p>
    <w:p w14:paraId="7D6EFF9B" w14:textId="77777777" w:rsidR="0057070D" w:rsidRPr="001D5327" w:rsidRDefault="0057070D" w:rsidP="00E7357B">
      <w:pPr>
        <w:pStyle w:val="Heading3"/>
        <w:tabs>
          <w:tab w:val="clear" w:pos="851"/>
        </w:tabs>
        <w:spacing w:before="240"/>
        <w:ind w:left="993" w:hanging="993"/>
      </w:pPr>
      <w:r w:rsidRPr="001D5327">
        <w:t>8.10.1</w:t>
      </w:r>
      <w:r w:rsidRPr="001D5327">
        <w:tab/>
        <w:t>Description</w:t>
      </w:r>
    </w:p>
    <w:p w14:paraId="2650E335" w14:textId="77777777" w:rsidR="0057070D" w:rsidRPr="001D5327" w:rsidRDefault="0057070D" w:rsidP="0057070D">
      <w:pPr>
        <w:pStyle w:val="BodyText"/>
      </w:pPr>
      <w:r w:rsidRPr="001D5327">
        <w:t>The only domestic farm animals kept are pigs (in community pens) and chickens (free range) (table 8.10.1). There is potential to generate energy from the piggery waste and reduce the effluent pollution of the lagoon.</w:t>
      </w:r>
    </w:p>
    <w:p w14:paraId="08293283" w14:textId="77777777" w:rsidR="0057070D" w:rsidRPr="001D5327" w:rsidRDefault="0057070D" w:rsidP="0057070D">
      <w:pPr>
        <w:pStyle w:val="Table"/>
      </w:pPr>
      <w:bookmarkStart w:id="2982" w:name="_Toc194241839"/>
      <w:r w:rsidRPr="001D5327">
        <w:t>Table 8.10.1</w:t>
      </w:r>
      <w:r w:rsidRPr="001D5327">
        <w:tab/>
        <w:t>Number of livestock in Tokelau (2016)</w:t>
      </w:r>
      <w:bookmarkEnd w:id="2982"/>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340"/>
        <w:gridCol w:w="2610"/>
        <w:gridCol w:w="1471"/>
        <w:gridCol w:w="2073"/>
      </w:tblGrid>
      <w:tr w:rsidR="0057070D" w:rsidRPr="001D5327" w14:paraId="695168AE" w14:textId="77777777" w:rsidTr="00D11AC9">
        <w:trPr>
          <w:tblHeader/>
        </w:trPr>
        <w:tc>
          <w:tcPr>
            <w:tcW w:w="0" w:type="auto"/>
            <w:shd w:val="clear" w:color="auto" w:fill="1B556B"/>
            <w:tcMar>
              <w:top w:w="0" w:type="dxa"/>
              <w:left w:w="85" w:type="dxa"/>
              <w:bottom w:w="0" w:type="dxa"/>
              <w:right w:w="85" w:type="dxa"/>
            </w:tcMar>
          </w:tcPr>
          <w:p w14:paraId="2F837F4B"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Atoll</w:t>
            </w:r>
          </w:p>
        </w:tc>
        <w:tc>
          <w:tcPr>
            <w:tcW w:w="0" w:type="auto"/>
            <w:shd w:val="clear" w:color="auto" w:fill="1B556B"/>
            <w:tcMar>
              <w:top w:w="0" w:type="dxa"/>
              <w:left w:w="85" w:type="dxa"/>
              <w:bottom w:w="0" w:type="dxa"/>
              <w:right w:w="85" w:type="dxa"/>
            </w:tcMar>
          </w:tcPr>
          <w:p w14:paraId="62B72075" w14:textId="77777777" w:rsidR="0057070D" w:rsidRPr="001D5327" w:rsidRDefault="0057070D" w:rsidP="00D11AC9">
            <w:pPr>
              <w:pStyle w:val="TableTextBold"/>
              <w:spacing w:before="40" w:after="40"/>
              <w:jc w:val="right"/>
              <w:rPr>
                <w:noProof w:val="0"/>
                <w:color w:val="FFFFFF" w:themeColor="background1"/>
              </w:rPr>
            </w:pPr>
            <w:r w:rsidRPr="001D5327">
              <w:rPr>
                <w:rFonts w:eastAsia="Calibri"/>
                <w:noProof w:val="0"/>
                <w:color w:val="FFFFFF" w:themeColor="background1"/>
              </w:rPr>
              <w:t>Households</w:t>
            </w:r>
          </w:p>
        </w:tc>
        <w:tc>
          <w:tcPr>
            <w:tcW w:w="0" w:type="auto"/>
            <w:shd w:val="clear" w:color="auto" w:fill="1B556B"/>
            <w:tcMar>
              <w:top w:w="0" w:type="dxa"/>
              <w:left w:w="85" w:type="dxa"/>
              <w:bottom w:w="0" w:type="dxa"/>
              <w:right w:w="85" w:type="dxa"/>
            </w:tcMar>
          </w:tcPr>
          <w:p w14:paraId="26651BE5" w14:textId="77777777" w:rsidR="0057070D" w:rsidRPr="001D5327" w:rsidRDefault="0057070D" w:rsidP="00D11AC9">
            <w:pPr>
              <w:pStyle w:val="TableTextBold"/>
              <w:spacing w:before="40" w:after="40"/>
              <w:jc w:val="right"/>
              <w:rPr>
                <w:noProof w:val="0"/>
                <w:color w:val="FFFFFF" w:themeColor="background1"/>
              </w:rPr>
            </w:pPr>
            <w:r w:rsidRPr="001D5327">
              <w:rPr>
                <w:rFonts w:eastAsia="Calibri"/>
                <w:noProof w:val="0"/>
                <w:color w:val="FFFFFF" w:themeColor="background1"/>
              </w:rPr>
              <w:t>Pigs</w:t>
            </w:r>
          </w:p>
        </w:tc>
        <w:tc>
          <w:tcPr>
            <w:tcW w:w="0" w:type="auto"/>
            <w:shd w:val="clear" w:color="auto" w:fill="1B556B"/>
            <w:tcMar>
              <w:top w:w="0" w:type="dxa"/>
              <w:left w:w="85" w:type="dxa"/>
              <w:bottom w:w="0" w:type="dxa"/>
              <w:right w:w="85" w:type="dxa"/>
            </w:tcMar>
          </w:tcPr>
          <w:p w14:paraId="0FEBEF8B" w14:textId="77777777" w:rsidR="0057070D" w:rsidRPr="001D5327" w:rsidRDefault="0057070D" w:rsidP="00D11AC9">
            <w:pPr>
              <w:pStyle w:val="TableTextBold"/>
              <w:spacing w:before="40" w:after="40"/>
              <w:jc w:val="right"/>
              <w:rPr>
                <w:noProof w:val="0"/>
                <w:color w:val="FFFFFF" w:themeColor="background1"/>
              </w:rPr>
            </w:pPr>
            <w:r w:rsidRPr="001D5327">
              <w:rPr>
                <w:rFonts w:eastAsia="Calibri"/>
                <w:noProof w:val="0"/>
                <w:color w:val="FFFFFF" w:themeColor="background1"/>
              </w:rPr>
              <w:t>Chickens</w:t>
            </w:r>
          </w:p>
        </w:tc>
      </w:tr>
      <w:tr w:rsidR="00622E2B" w:rsidRPr="001D5327" w14:paraId="6BD3DD8D" w14:textId="77777777" w:rsidTr="00D11AC9">
        <w:tc>
          <w:tcPr>
            <w:tcW w:w="0" w:type="auto"/>
            <w:shd w:val="clear" w:color="auto" w:fill="FFFFFF"/>
            <w:tcMar>
              <w:top w:w="0" w:type="dxa"/>
              <w:left w:w="85" w:type="dxa"/>
              <w:bottom w:w="0" w:type="dxa"/>
              <w:right w:w="85" w:type="dxa"/>
            </w:tcMar>
          </w:tcPr>
          <w:p w14:paraId="7329DC76" w14:textId="77777777" w:rsidR="0057070D" w:rsidRPr="001D5327" w:rsidRDefault="0057070D" w:rsidP="00D11AC9">
            <w:pPr>
              <w:pStyle w:val="TableText"/>
              <w:spacing w:before="40" w:after="40"/>
            </w:pPr>
            <w:r w:rsidRPr="001D5327">
              <w:rPr>
                <w:rFonts w:eastAsia="Calibri"/>
                <w:color w:val="000000"/>
              </w:rPr>
              <w:t>Atafu</w:t>
            </w:r>
          </w:p>
        </w:tc>
        <w:tc>
          <w:tcPr>
            <w:tcW w:w="0" w:type="auto"/>
            <w:shd w:val="clear" w:color="auto" w:fill="FFFFFF"/>
            <w:tcMar>
              <w:top w:w="0" w:type="dxa"/>
              <w:left w:w="85" w:type="dxa"/>
              <w:bottom w:w="0" w:type="dxa"/>
              <w:right w:w="85" w:type="dxa"/>
            </w:tcMar>
          </w:tcPr>
          <w:p w14:paraId="27FB815F" w14:textId="77777777" w:rsidR="0057070D" w:rsidRPr="001D5327" w:rsidRDefault="0057070D" w:rsidP="00D11AC9">
            <w:pPr>
              <w:pStyle w:val="TableText"/>
              <w:spacing w:before="40" w:after="40"/>
              <w:jc w:val="right"/>
            </w:pPr>
            <w:r w:rsidRPr="001D5327">
              <w:rPr>
                <w:rFonts w:eastAsia="Calibri"/>
                <w:color w:val="000000"/>
              </w:rPr>
              <w:t>88</w:t>
            </w:r>
          </w:p>
        </w:tc>
        <w:tc>
          <w:tcPr>
            <w:tcW w:w="0" w:type="auto"/>
            <w:shd w:val="clear" w:color="auto" w:fill="FFFFFF"/>
            <w:tcMar>
              <w:top w:w="0" w:type="dxa"/>
              <w:left w:w="85" w:type="dxa"/>
              <w:bottom w:w="0" w:type="dxa"/>
              <w:right w:w="85" w:type="dxa"/>
            </w:tcMar>
          </w:tcPr>
          <w:p w14:paraId="769EDF91" w14:textId="77777777" w:rsidR="0057070D" w:rsidRPr="001D5327" w:rsidRDefault="0057070D" w:rsidP="00D11AC9">
            <w:pPr>
              <w:pStyle w:val="TableText"/>
              <w:spacing w:before="40" w:after="40"/>
              <w:jc w:val="right"/>
            </w:pPr>
            <w:r w:rsidRPr="001D5327">
              <w:rPr>
                <w:rFonts w:eastAsia="Calibri"/>
                <w:color w:val="000000"/>
              </w:rPr>
              <w:t>742</w:t>
            </w:r>
          </w:p>
        </w:tc>
        <w:tc>
          <w:tcPr>
            <w:tcW w:w="0" w:type="auto"/>
            <w:shd w:val="clear" w:color="auto" w:fill="FFFFFF"/>
            <w:tcMar>
              <w:top w:w="0" w:type="dxa"/>
              <w:left w:w="85" w:type="dxa"/>
              <w:bottom w:w="0" w:type="dxa"/>
              <w:right w:w="85" w:type="dxa"/>
            </w:tcMar>
          </w:tcPr>
          <w:p w14:paraId="47F3B782" w14:textId="77777777" w:rsidR="0057070D" w:rsidRPr="001D5327" w:rsidRDefault="0057070D" w:rsidP="00D11AC9">
            <w:pPr>
              <w:pStyle w:val="TableText"/>
              <w:spacing w:before="40" w:after="40"/>
              <w:jc w:val="right"/>
            </w:pPr>
            <w:r w:rsidRPr="001D5327">
              <w:rPr>
                <w:rFonts w:eastAsia="Calibri"/>
                <w:color w:val="000000"/>
              </w:rPr>
              <w:t>270</w:t>
            </w:r>
          </w:p>
        </w:tc>
      </w:tr>
      <w:tr w:rsidR="00622E2B" w:rsidRPr="001D5327" w14:paraId="68537C0C" w14:textId="77777777" w:rsidTr="00D11AC9">
        <w:tc>
          <w:tcPr>
            <w:tcW w:w="0" w:type="auto"/>
            <w:shd w:val="clear" w:color="auto" w:fill="FFFFFF"/>
            <w:tcMar>
              <w:top w:w="0" w:type="dxa"/>
              <w:left w:w="85" w:type="dxa"/>
              <w:bottom w:w="0" w:type="dxa"/>
              <w:right w:w="85" w:type="dxa"/>
            </w:tcMar>
          </w:tcPr>
          <w:p w14:paraId="39E75692" w14:textId="77777777" w:rsidR="0057070D" w:rsidRPr="001D5327" w:rsidRDefault="0057070D" w:rsidP="00D11AC9">
            <w:pPr>
              <w:pStyle w:val="TableText"/>
              <w:spacing w:before="40" w:after="40"/>
            </w:pPr>
            <w:r w:rsidRPr="001D5327">
              <w:rPr>
                <w:rFonts w:eastAsia="Calibri"/>
                <w:color w:val="000000"/>
              </w:rPr>
              <w:t>Fakaofo</w:t>
            </w:r>
          </w:p>
        </w:tc>
        <w:tc>
          <w:tcPr>
            <w:tcW w:w="0" w:type="auto"/>
            <w:shd w:val="clear" w:color="auto" w:fill="FFFFFF"/>
            <w:tcMar>
              <w:top w:w="0" w:type="dxa"/>
              <w:left w:w="85" w:type="dxa"/>
              <w:bottom w:w="0" w:type="dxa"/>
              <w:right w:w="85" w:type="dxa"/>
            </w:tcMar>
          </w:tcPr>
          <w:p w14:paraId="7AF0EBB0" w14:textId="77777777" w:rsidR="0057070D" w:rsidRPr="001D5327" w:rsidRDefault="0057070D" w:rsidP="00D11AC9">
            <w:pPr>
              <w:pStyle w:val="TableText"/>
              <w:spacing w:before="40" w:after="40"/>
              <w:jc w:val="right"/>
            </w:pPr>
            <w:r w:rsidRPr="001D5327">
              <w:rPr>
                <w:rFonts w:eastAsia="Calibri"/>
                <w:color w:val="000000"/>
              </w:rPr>
              <w:t>85</w:t>
            </w:r>
          </w:p>
        </w:tc>
        <w:tc>
          <w:tcPr>
            <w:tcW w:w="0" w:type="auto"/>
            <w:shd w:val="clear" w:color="auto" w:fill="FFFFFF"/>
            <w:tcMar>
              <w:top w:w="0" w:type="dxa"/>
              <w:left w:w="85" w:type="dxa"/>
              <w:bottom w:w="0" w:type="dxa"/>
              <w:right w:w="85" w:type="dxa"/>
            </w:tcMar>
          </w:tcPr>
          <w:p w14:paraId="078EB82D" w14:textId="77777777" w:rsidR="0057070D" w:rsidRPr="001D5327" w:rsidRDefault="0057070D" w:rsidP="00D11AC9">
            <w:pPr>
              <w:pStyle w:val="TableText"/>
              <w:spacing w:before="40" w:after="40"/>
              <w:jc w:val="right"/>
            </w:pPr>
            <w:r w:rsidRPr="001D5327">
              <w:rPr>
                <w:rFonts w:eastAsia="Calibri"/>
                <w:color w:val="000000"/>
              </w:rPr>
              <w:t>419</w:t>
            </w:r>
          </w:p>
        </w:tc>
        <w:tc>
          <w:tcPr>
            <w:tcW w:w="0" w:type="auto"/>
            <w:shd w:val="clear" w:color="auto" w:fill="FFFFFF"/>
            <w:tcMar>
              <w:top w:w="0" w:type="dxa"/>
              <w:left w:w="85" w:type="dxa"/>
              <w:bottom w:w="0" w:type="dxa"/>
              <w:right w:w="85" w:type="dxa"/>
            </w:tcMar>
          </w:tcPr>
          <w:p w14:paraId="093C45EE" w14:textId="77777777" w:rsidR="0057070D" w:rsidRPr="001D5327" w:rsidRDefault="0057070D" w:rsidP="00D11AC9">
            <w:pPr>
              <w:pStyle w:val="TableText"/>
              <w:spacing w:before="40" w:after="40"/>
              <w:jc w:val="right"/>
            </w:pPr>
            <w:r w:rsidRPr="001D5327">
              <w:rPr>
                <w:rFonts w:eastAsia="Calibri"/>
                <w:color w:val="000000"/>
              </w:rPr>
              <w:t>50</w:t>
            </w:r>
          </w:p>
        </w:tc>
      </w:tr>
      <w:tr w:rsidR="00622E2B" w:rsidRPr="001D5327" w14:paraId="0D19A5F9" w14:textId="77777777" w:rsidTr="00D11AC9">
        <w:tc>
          <w:tcPr>
            <w:tcW w:w="0" w:type="auto"/>
            <w:shd w:val="clear" w:color="auto" w:fill="FFFFFF"/>
            <w:tcMar>
              <w:top w:w="0" w:type="dxa"/>
              <w:left w:w="85" w:type="dxa"/>
              <w:bottom w:w="0" w:type="dxa"/>
              <w:right w:w="85" w:type="dxa"/>
            </w:tcMar>
          </w:tcPr>
          <w:p w14:paraId="65CAC83A" w14:textId="77777777" w:rsidR="0057070D" w:rsidRPr="001D5327" w:rsidRDefault="0057070D" w:rsidP="00D11AC9">
            <w:pPr>
              <w:pStyle w:val="TableText"/>
              <w:spacing w:before="40" w:after="40"/>
            </w:pPr>
            <w:r w:rsidRPr="001D5327">
              <w:rPr>
                <w:rFonts w:eastAsia="Calibri"/>
                <w:color w:val="000000"/>
              </w:rPr>
              <w:t>Nukunonu</w:t>
            </w:r>
          </w:p>
        </w:tc>
        <w:tc>
          <w:tcPr>
            <w:tcW w:w="0" w:type="auto"/>
            <w:shd w:val="clear" w:color="auto" w:fill="FFFFFF"/>
            <w:tcMar>
              <w:top w:w="0" w:type="dxa"/>
              <w:left w:w="85" w:type="dxa"/>
              <w:bottom w:w="0" w:type="dxa"/>
              <w:right w:w="85" w:type="dxa"/>
            </w:tcMar>
          </w:tcPr>
          <w:p w14:paraId="2F703A2E" w14:textId="77777777" w:rsidR="0057070D" w:rsidRPr="001D5327" w:rsidRDefault="0057070D" w:rsidP="00D11AC9">
            <w:pPr>
              <w:pStyle w:val="TableText"/>
              <w:spacing w:before="40" w:after="40"/>
              <w:jc w:val="right"/>
            </w:pPr>
            <w:r w:rsidRPr="001D5327">
              <w:rPr>
                <w:rFonts w:eastAsia="Calibri"/>
                <w:color w:val="000000"/>
              </w:rPr>
              <w:t>83</w:t>
            </w:r>
          </w:p>
        </w:tc>
        <w:tc>
          <w:tcPr>
            <w:tcW w:w="0" w:type="auto"/>
            <w:shd w:val="clear" w:color="auto" w:fill="FFFFFF"/>
            <w:tcMar>
              <w:top w:w="0" w:type="dxa"/>
              <w:left w:w="85" w:type="dxa"/>
              <w:bottom w:w="0" w:type="dxa"/>
              <w:right w:w="85" w:type="dxa"/>
            </w:tcMar>
          </w:tcPr>
          <w:p w14:paraId="7F74B9C5" w14:textId="77777777" w:rsidR="0057070D" w:rsidRPr="001D5327" w:rsidRDefault="0057070D" w:rsidP="00D11AC9">
            <w:pPr>
              <w:pStyle w:val="TableText"/>
              <w:spacing w:before="40" w:after="40"/>
              <w:jc w:val="right"/>
            </w:pPr>
            <w:r w:rsidRPr="001D5327">
              <w:rPr>
                <w:rFonts w:eastAsia="Calibri"/>
                <w:color w:val="000000"/>
              </w:rPr>
              <w:t>536</w:t>
            </w:r>
          </w:p>
        </w:tc>
        <w:tc>
          <w:tcPr>
            <w:tcW w:w="0" w:type="auto"/>
            <w:shd w:val="clear" w:color="auto" w:fill="FFFFFF"/>
            <w:tcMar>
              <w:top w:w="0" w:type="dxa"/>
              <w:left w:w="85" w:type="dxa"/>
              <w:bottom w:w="0" w:type="dxa"/>
              <w:right w:w="85" w:type="dxa"/>
            </w:tcMar>
          </w:tcPr>
          <w:p w14:paraId="3C07AA36" w14:textId="77777777" w:rsidR="0057070D" w:rsidRPr="001D5327" w:rsidRDefault="0057070D" w:rsidP="00D11AC9">
            <w:pPr>
              <w:pStyle w:val="TableText"/>
              <w:spacing w:before="40" w:after="40"/>
              <w:jc w:val="right"/>
            </w:pPr>
            <w:r w:rsidRPr="001D5327">
              <w:rPr>
                <w:rFonts w:eastAsia="Calibri"/>
                <w:color w:val="000000"/>
              </w:rPr>
              <w:t>305</w:t>
            </w:r>
          </w:p>
        </w:tc>
      </w:tr>
      <w:tr w:rsidR="00622E2B" w:rsidRPr="001D5327" w14:paraId="248FF92A" w14:textId="77777777" w:rsidTr="00D11AC9">
        <w:tc>
          <w:tcPr>
            <w:tcW w:w="0" w:type="auto"/>
            <w:shd w:val="clear" w:color="auto" w:fill="FFFFFF"/>
            <w:tcMar>
              <w:top w:w="0" w:type="dxa"/>
              <w:left w:w="85" w:type="dxa"/>
              <w:bottom w:w="0" w:type="dxa"/>
              <w:right w:w="85" w:type="dxa"/>
            </w:tcMar>
          </w:tcPr>
          <w:p w14:paraId="2C00F875" w14:textId="77777777" w:rsidR="0057070D" w:rsidRPr="001D5327" w:rsidRDefault="0057070D" w:rsidP="00D11AC9">
            <w:pPr>
              <w:pStyle w:val="TableText"/>
              <w:spacing w:before="40" w:after="40"/>
            </w:pPr>
            <w:r w:rsidRPr="001D5327">
              <w:rPr>
                <w:rFonts w:eastAsia="Calibri"/>
                <w:color w:val="000000"/>
              </w:rPr>
              <w:t>Tokelau</w:t>
            </w:r>
          </w:p>
        </w:tc>
        <w:tc>
          <w:tcPr>
            <w:tcW w:w="0" w:type="auto"/>
            <w:shd w:val="clear" w:color="auto" w:fill="FFFFFF"/>
            <w:tcMar>
              <w:top w:w="0" w:type="dxa"/>
              <w:left w:w="85" w:type="dxa"/>
              <w:bottom w:w="0" w:type="dxa"/>
              <w:right w:w="85" w:type="dxa"/>
            </w:tcMar>
          </w:tcPr>
          <w:p w14:paraId="3C48606B" w14:textId="77777777" w:rsidR="0057070D" w:rsidRPr="001D5327" w:rsidRDefault="0057070D" w:rsidP="00D11AC9">
            <w:pPr>
              <w:pStyle w:val="TableText"/>
              <w:spacing w:before="40" w:after="40"/>
              <w:jc w:val="right"/>
            </w:pPr>
            <w:r w:rsidRPr="001D5327">
              <w:rPr>
                <w:rFonts w:eastAsia="Calibri"/>
                <w:color w:val="000000"/>
              </w:rPr>
              <w:t>256</w:t>
            </w:r>
          </w:p>
        </w:tc>
        <w:tc>
          <w:tcPr>
            <w:tcW w:w="0" w:type="auto"/>
            <w:shd w:val="clear" w:color="auto" w:fill="FFFFFF"/>
            <w:tcMar>
              <w:top w:w="0" w:type="dxa"/>
              <w:left w:w="85" w:type="dxa"/>
              <w:bottom w:w="0" w:type="dxa"/>
              <w:right w:w="85" w:type="dxa"/>
            </w:tcMar>
          </w:tcPr>
          <w:p w14:paraId="3FA7C063" w14:textId="77777777" w:rsidR="0057070D" w:rsidRPr="001D5327" w:rsidRDefault="0057070D" w:rsidP="00D11AC9">
            <w:pPr>
              <w:pStyle w:val="TableText"/>
              <w:spacing w:before="40" w:after="40"/>
              <w:jc w:val="right"/>
            </w:pPr>
            <w:r w:rsidRPr="001D5327">
              <w:rPr>
                <w:rFonts w:eastAsia="Calibri"/>
                <w:color w:val="000000"/>
              </w:rPr>
              <w:t>1,697</w:t>
            </w:r>
          </w:p>
        </w:tc>
        <w:tc>
          <w:tcPr>
            <w:tcW w:w="0" w:type="auto"/>
            <w:shd w:val="clear" w:color="auto" w:fill="FFFFFF"/>
            <w:tcMar>
              <w:top w:w="0" w:type="dxa"/>
              <w:left w:w="85" w:type="dxa"/>
              <w:bottom w:w="0" w:type="dxa"/>
              <w:right w:w="85" w:type="dxa"/>
            </w:tcMar>
          </w:tcPr>
          <w:p w14:paraId="218C75CD" w14:textId="77777777" w:rsidR="0057070D" w:rsidRPr="001D5327" w:rsidRDefault="0057070D" w:rsidP="00D11AC9">
            <w:pPr>
              <w:pStyle w:val="TableText"/>
              <w:spacing w:before="40" w:after="40"/>
              <w:jc w:val="right"/>
            </w:pPr>
            <w:r w:rsidRPr="001D5327">
              <w:rPr>
                <w:rFonts w:eastAsia="Calibri"/>
                <w:color w:val="000000"/>
              </w:rPr>
              <w:t>625</w:t>
            </w:r>
          </w:p>
        </w:tc>
      </w:tr>
    </w:tbl>
    <w:p w14:paraId="425682DF" w14:textId="77777777" w:rsidR="0057070D" w:rsidRPr="001D5327" w:rsidRDefault="0057070D" w:rsidP="0057070D">
      <w:pPr>
        <w:pStyle w:val="BodyText"/>
        <w:spacing w:before="240"/>
      </w:pPr>
      <w:r w:rsidRPr="001D5327">
        <w:t xml:space="preserve">Because the 2006 IPCC Guidelines do not provide a default emission factor for enteric fermentation for poultry, this category is reported as ‘not estimated’ (NE). Therefore, only swine (pigs) are included under the </w:t>
      </w:r>
      <w:r w:rsidRPr="001D5327">
        <w:rPr>
          <w:i/>
          <w:iCs/>
        </w:rPr>
        <w:t>Enteric fermentation</w:t>
      </w:r>
      <w:r w:rsidRPr="001D5327">
        <w:t xml:space="preserve"> (3.A.3) category.</w:t>
      </w:r>
    </w:p>
    <w:p w14:paraId="0BE76AD9" w14:textId="77777777" w:rsidR="0057070D" w:rsidRPr="001D5327" w:rsidRDefault="0057070D" w:rsidP="0057070D">
      <w:pPr>
        <w:pStyle w:val="BodyText"/>
      </w:pPr>
      <w:r w:rsidRPr="001D5327">
        <w:t xml:space="preserve">The </w:t>
      </w:r>
      <w:r w:rsidRPr="001D5327">
        <w:rPr>
          <w:i/>
          <w:iCs/>
        </w:rPr>
        <w:t>Enteric fermentation – Swine</w:t>
      </w:r>
      <w:r w:rsidRPr="001D5327">
        <w:t xml:space="preserve"> category contributed 7.5 per cent to the total Agriculture emissions in Tokelau in 2023, and amounted to 0.07 kt CO</w:t>
      </w:r>
      <w:r w:rsidRPr="001D5327">
        <w:rPr>
          <w:vertAlign w:val="subscript"/>
        </w:rPr>
        <w:t>2</w:t>
      </w:r>
      <w:r w:rsidRPr="001D5327">
        <w:t>-e.</w:t>
      </w:r>
    </w:p>
    <w:p w14:paraId="47FAC566" w14:textId="77777777" w:rsidR="0057070D" w:rsidRPr="001D5327" w:rsidRDefault="0057070D" w:rsidP="00E7357B">
      <w:pPr>
        <w:pStyle w:val="Heading3"/>
        <w:tabs>
          <w:tab w:val="clear" w:pos="851"/>
        </w:tabs>
        <w:ind w:left="993" w:hanging="993"/>
      </w:pPr>
      <w:bookmarkStart w:id="2983" w:name="methodological-issues-6"/>
      <w:r w:rsidRPr="001D5327">
        <w:lastRenderedPageBreak/>
        <w:t>8.10.2</w:t>
      </w:r>
      <w:r w:rsidRPr="001D5327">
        <w:tab/>
        <w:t>Methodological issues</w:t>
      </w:r>
    </w:p>
    <w:p w14:paraId="7A73A73A" w14:textId="77777777" w:rsidR="0057070D" w:rsidRPr="001D5327" w:rsidRDefault="0057070D" w:rsidP="0057070D">
      <w:pPr>
        <w:pStyle w:val="Heading5"/>
      </w:pPr>
      <w:bookmarkStart w:id="2984" w:name="activity-data-6"/>
      <w:r w:rsidRPr="001D5327">
        <w:t>Activity data</w:t>
      </w:r>
    </w:p>
    <w:p w14:paraId="41E35FB8" w14:textId="09511A91" w:rsidR="0057070D" w:rsidRPr="001D5327" w:rsidRDefault="0057070D" w:rsidP="0057070D">
      <w:pPr>
        <w:pStyle w:val="BodyText"/>
      </w:pPr>
      <w:r w:rsidRPr="001D5327">
        <w:t>Animal population figures were obtained from the Tokelau Census data (see table 8.1.1). The</w:t>
      </w:r>
      <w:r w:rsidR="00F27EA3" w:rsidRPr="001D5327">
        <w:t> </w:t>
      </w:r>
      <w:r w:rsidRPr="001D5327">
        <w:t>animal population between the census years is calculated by equal increments between the data collection points, to obtain the average animal population (AAP) per year.</w:t>
      </w:r>
    </w:p>
    <w:p w14:paraId="4ADBF53A" w14:textId="77777777" w:rsidR="0057070D" w:rsidRPr="001D5327" w:rsidRDefault="0057070D" w:rsidP="0057070D">
      <w:pPr>
        <w:pStyle w:val="BodyText"/>
      </w:pPr>
      <w:r w:rsidRPr="001D5327">
        <w:t>An average pig weight of 80 kilograms is used.</w:t>
      </w:r>
    </w:p>
    <w:p w14:paraId="735B94AC" w14:textId="77777777" w:rsidR="0057070D" w:rsidRPr="001D5327" w:rsidRDefault="0057070D" w:rsidP="0057070D">
      <w:pPr>
        <w:pStyle w:val="Heading5"/>
      </w:pPr>
      <w:bookmarkStart w:id="2985" w:name="methods-and-emission-factors-4"/>
      <w:bookmarkEnd w:id="2984"/>
      <w:r w:rsidRPr="001D5327">
        <w:t>Methods and emission factors</w:t>
      </w:r>
    </w:p>
    <w:p w14:paraId="1B638C30" w14:textId="77777777" w:rsidR="0057070D" w:rsidRPr="001D5327" w:rsidRDefault="0057070D" w:rsidP="0057070D">
      <w:pPr>
        <w:pStyle w:val="BodyText"/>
      </w:pPr>
      <w:r w:rsidRPr="001D5327">
        <w:t>Tier 1 methodology with a default emission factor of 1.5 kg CH</w:t>
      </w:r>
      <w:r w:rsidRPr="001D5327">
        <w:rPr>
          <w:vertAlign w:val="subscript"/>
        </w:rPr>
        <w:t>4</w:t>
      </w:r>
      <w:r w:rsidRPr="001D5327">
        <w:t>/head/year from table 10.10 in volume 4 of the 2006 IPCC Guidelines was used for calculating emissions from this category (IPCC, 2006c). Tokelau’s allocation by climate zone is 100 per cent to a warm climate.</w:t>
      </w:r>
    </w:p>
    <w:p w14:paraId="5505D119" w14:textId="77777777" w:rsidR="0057070D" w:rsidRPr="001D5327" w:rsidRDefault="0057070D" w:rsidP="0057070D">
      <w:pPr>
        <w:pStyle w:val="BodyText"/>
      </w:pPr>
      <w:r w:rsidRPr="001D5327">
        <w:t xml:space="preserve">The following equation was used for calculating emissions from swine. </w:t>
      </w:r>
    </w:p>
    <w:bookmarkEnd w:id="2983"/>
    <w:bookmarkEnd w:id="2985"/>
    <w:p w14:paraId="5B3386BE" w14:textId="77777777" w:rsidR="0057070D" w:rsidRPr="001D5327" w:rsidRDefault="0057070D" w:rsidP="0057070D">
      <w:pPr>
        <w:pStyle w:val="BodyText"/>
        <w:rPr>
          <w:rFonts w:ascii="Cambria Math" w:hAnsi="Cambria Math"/>
          <w:i/>
          <w:iCs/>
          <w:sz w:val="24"/>
          <w:szCs w:val="24"/>
        </w:rPr>
      </w:pPr>
      <m:oMathPara>
        <m:oMathParaPr>
          <m:jc m:val="center"/>
        </m:oMathParaPr>
        <m:oMath>
          <m:r>
            <m:rPr>
              <m:nor/>
            </m:rPr>
            <w:rPr>
              <w:rFonts w:ascii="Cambria Math" w:hAnsi="Cambria Math"/>
              <w:i/>
              <w:iCs/>
              <w:sz w:val="24"/>
              <w:szCs w:val="24"/>
            </w:rPr>
            <m:t>Emissions (kt C</m:t>
          </m:r>
          <m:sSub>
            <m:sSubPr>
              <m:ctrlPr>
                <w:rPr>
                  <w:rFonts w:ascii="Cambria Math" w:hAnsi="Cambria Math"/>
                  <w:i/>
                  <w:iCs/>
                  <w:sz w:val="24"/>
                  <w:szCs w:val="24"/>
                </w:rPr>
              </m:ctrlPr>
            </m:sSubPr>
            <m:e>
              <m:r>
                <w:rPr>
                  <w:rFonts w:ascii="Cambria Math" w:hAnsi="Cambria Math"/>
                  <w:sz w:val="24"/>
                  <w:szCs w:val="24"/>
                </w:rPr>
                <m:t>H</m:t>
              </m:r>
            </m:e>
            <m:sub>
              <m:r>
                <w:rPr>
                  <w:rFonts w:ascii="Cambria Math" w:hAnsi="Cambria Math"/>
                  <w:sz w:val="24"/>
                  <w:szCs w:val="24"/>
                </w:rPr>
                <m:t>4</m:t>
              </m:r>
            </m:sub>
          </m:sSub>
          <m:r>
            <m:rPr>
              <m:nor/>
            </m:rPr>
            <w:rPr>
              <w:rFonts w:ascii="Cambria Math" w:hAnsi="Cambria Math"/>
              <w:i/>
              <w:iCs/>
              <w:sz w:val="24"/>
              <w:szCs w:val="24"/>
            </w:rPr>
            <m:t>)</m:t>
          </m:r>
          <m:r>
            <w:rPr>
              <w:rFonts w:ascii="Cambria Math" w:hAnsi="Cambria Math"/>
              <w:sz w:val="24"/>
              <w:szCs w:val="24"/>
            </w:rPr>
            <m:t> =</m:t>
          </m:r>
          <m:r>
            <m:rPr>
              <m:nor/>
            </m:rPr>
            <w:rPr>
              <w:rFonts w:ascii="Cambria Math" w:hAnsi="Cambria Math"/>
              <w:i/>
              <w:iCs/>
              <w:sz w:val="24"/>
              <w:szCs w:val="24"/>
            </w:rPr>
            <m:t>AAP (Swine)</m:t>
          </m:r>
          <m:r>
            <w:rPr>
              <w:rFonts w:ascii="Cambria Math" w:hAnsi="Cambria Math"/>
              <w:sz w:val="24"/>
              <w:szCs w:val="24"/>
            </w:rPr>
            <m:t> </m:t>
          </m:r>
          <m:r>
            <m:rPr>
              <m:nor/>
            </m:rPr>
            <w:rPr>
              <w:rFonts w:ascii="Cambria Math" w:hAnsi="Cambria Math"/>
              <w:i/>
              <w:iCs/>
              <w:sz w:val="24"/>
              <w:szCs w:val="24"/>
            </w:rPr>
            <m:t>1.5 [kg C</m:t>
          </m:r>
          <m:sSub>
            <m:sSubPr>
              <m:ctrlPr>
                <w:rPr>
                  <w:rFonts w:ascii="Cambria Math" w:hAnsi="Cambria Math"/>
                  <w:i/>
                  <w:iCs/>
                  <w:sz w:val="24"/>
                  <w:szCs w:val="24"/>
                </w:rPr>
              </m:ctrlPr>
            </m:sSubPr>
            <m:e>
              <m:r>
                <w:rPr>
                  <w:rFonts w:ascii="Cambria Math" w:hAnsi="Cambria Math"/>
                  <w:sz w:val="24"/>
                  <w:szCs w:val="24"/>
                </w:rPr>
                <m:t>H</m:t>
              </m:r>
            </m:e>
            <m:sub>
              <m:r>
                <w:rPr>
                  <w:rFonts w:ascii="Cambria Math" w:hAnsi="Cambria Math"/>
                  <w:sz w:val="24"/>
                  <w:szCs w:val="24"/>
                </w:rPr>
                <m:t>4</m:t>
              </m:r>
            </m:sub>
          </m:sSub>
          <m:r>
            <m:rPr>
              <m:nor/>
            </m:rPr>
            <w:rPr>
              <w:rFonts w:ascii="Cambria Math" w:hAnsi="Cambria Math"/>
              <w:i/>
              <w:iCs/>
              <w:sz w:val="24"/>
              <w:szCs w:val="24"/>
            </w:rPr>
            <m:t xml:space="preserve"> </m:t>
          </m:r>
          <m:sSup>
            <m:sSupPr>
              <m:ctrlPr>
                <w:rPr>
                  <w:rFonts w:ascii="Cambria Math" w:hAnsi="Cambria Math"/>
                  <w:i/>
                  <w:iCs/>
                  <w:sz w:val="24"/>
                  <w:szCs w:val="24"/>
                </w:rPr>
              </m:ctrlPr>
            </m:sSupPr>
            <m:e>
              <m:r>
                <w:rPr>
                  <w:rFonts w:ascii="Cambria Math" w:hAnsi="Cambria Math"/>
                  <w:sz w:val="24"/>
                  <w:szCs w:val="24"/>
                </w:rPr>
                <m:t>head</m:t>
              </m:r>
            </m:e>
            <m:sup>
              <m:r>
                <w:rPr>
                  <w:rFonts w:ascii="Cambria Math" w:hAnsi="Cambria Math"/>
                  <w:sz w:val="24"/>
                  <w:szCs w:val="24"/>
                </w:rPr>
                <m:t>-1</m:t>
              </m:r>
            </m:sup>
          </m:sSup>
          <m:sSup>
            <m:sSupPr>
              <m:ctrlPr>
                <w:rPr>
                  <w:rFonts w:ascii="Cambria Math" w:hAnsi="Cambria Math"/>
                  <w:i/>
                  <w:iCs/>
                  <w:sz w:val="24"/>
                  <w:szCs w:val="24"/>
                </w:rPr>
              </m:ctrlPr>
            </m:sSupPr>
            <m:e>
              <m:r>
                <w:rPr>
                  <w:rFonts w:ascii="Cambria Math" w:hAnsi="Cambria Math"/>
                  <w:sz w:val="24"/>
                  <w:szCs w:val="24"/>
                </w:rPr>
                <m:t>year</m:t>
              </m:r>
            </m:e>
            <m:sup>
              <m:r>
                <w:rPr>
                  <w:rFonts w:ascii="Cambria Math" w:hAnsi="Cambria Math"/>
                  <w:sz w:val="24"/>
                  <w:szCs w:val="24"/>
                </w:rPr>
                <m:t>-1</m:t>
              </m:r>
            </m:sup>
          </m:sSup>
          <m:r>
            <m:rPr>
              <m:nor/>
            </m:rPr>
            <w:rPr>
              <w:rFonts w:ascii="Cambria Math" w:hAnsi="Cambria Math"/>
              <w:i/>
              <w:iCs/>
              <w:sz w:val="24"/>
              <w:szCs w:val="24"/>
            </w:rPr>
            <m:t>]</m:t>
          </m:r>
          <m:r>
            <w:rPr>
              <w:rFonts w:ascii="Cambria Math" w:hAnsi="Cambria Math"/>
              <w:sz w:val="24"/>
              <w:szCs w:val="24"/>
            </w:rPr>
            <m:t> </m:t>
          </m:r>
          <m:r>
            <m:rPr>
              <m:nor/>
            </m:rPr>
            <w:rPr>
              <w:rFonts w:ascii="Cambria Math" w:hAnsi="Cambria Math"/>
              <w:i/>
              <w:iCs/>
              <w:sz w:val="24"/>
              <w:szCs w:val="24"/>
            </w:rPr>
            <m:t>/10^6[kg/kt]</m:t>
          </m:r>
        </m:oMath>
      </m:oMathPara>
    </w:p>
    <w:p w14:paraId="62C51EFB" w14:textId="77777777" w:rsidR="0057070D" w:rsidRPr="001D5327" w:rsidRDefault="0057070D" w:rsidP="00E7357B">
      <w:pPr>
        <w:pStyle w:val="Heading3"/>
        <w:tabs>
          <w:tab w:val="clear" w:pos="851"/>
          <w:tab w:val="left" w:pos="993"/>
        </w:tabs>
      </w:pPr>
      <w:r w:rsidRPr="001D5327">
        <w:t>8.10.3</w:t>
      </w:r>
      <w:r w:rsidRPr="001D5327">
        <w:tab/>
        <w:t>Uncertainty assessment and time-series consistency</w:t>
      </w:r>
    </w:p>
    <w:p w14:paraId="3F427BF8" w14:textId="77777777" w:rsidR="0057070D" w:rsidRPr="001D5327" w:rsidRDefault="0057070D" w:rsidP="0057070D">
      <w:pPr>
        <w:pStyle w:val="BodyText"/>
      </w:pPr>
      <w:r w:rsidRPr="001D5327">
        <w:t>Section 10.2.3 (volume 4) of the 2006 IPCC Guidelines states that the uncertainty associated with animal populations will vary widely, depending on the source, but should be within ±20 per cent (IPCC, 2006c). The default emission factor uncertainty is ±30 per cent to 50 per cent (default mid-range is ±40 per cent).</w:t>
      </w:r>
    </w:p>
    <w:p w14:paraId="749AAB70" w14:textId="77777777" w:rsidR="0057070D" w:rsidRPr="001D5327" w:rsidRDefault="0057070D" w:rsidP="0057070D">
      <w:pPr>
        <w:pStyle w:val="BodyText"/>
      </w:pPr>
      <w:r w:rsidRPr="001D5327">
        <w:t>For this category, the default uncertainty value of ±20 per cent for activity data and an upper range default emission factor uncertainty of ±50 per cent were used.</w:t>
      </w:r>
    </w:p>
    <w:p w14:paraId="6CAFD96D" w14:textId="77777777" w:rsidR="0057070D" w:rsidRPr="001D5327" w:rsidRDefault="0057070D" w:rsidP="0057070D">
      <w:pPr>
        <w:pStyle w:val="BodyText"/>
      </w:pPr>
      <w:r w:rsidRPr="001D5327">
        <w:t>Time-series consistency was maintained by interpolating the number of animals in between census years (which are generally five years apart).</w:t>
      </w:r>
    </w:p>
    <w:p w14:paraId="3135209C" w14:textId="77777777" w:rsidR="0057070D" w:rsidRPr="001D5327" w:rsidRDefault="0057070D" w:rsidP="00E7357B">
      <w:pPr>
        <w:pStyle w:val="Heading3"/>
        <w:tabs>
          <w:tab w:val="clear" w:pos="851"/>
          <w:tab w:val="left" w:pos="993"/>
        </w:tabs>
        <w:ind w:left="993" w:hanging="993"/>
      </w:pPr>
      <w:bookmarkStart w:id="2986" w:name="X511bcec4874a433f24cd41de3b2e366b8e8bb1c"/>
      <w:r w:rsidRPr="001D5327">
        <w:t>8.10.4</w:t>
      </w:r>
      <w:r w:rsidRPr="001D5327">
        <w:tab/>
        <w:t>Category-specific QA/QC and verification</w:t>
      </w:r>
    </w:p>
    <w:p w14:paraId="5E30DDCE" w14:textId="77777777" w:rsidR="0057070D" w:rsidRPr="001D5327" w:rsidRDefault="0057070D" w:rsidP="0057070D">
      <w:pPr>
        <w:pStyle w:val="BodyText"/>
      </w:pPr>
      <w:r w:rsidRPr="001D5327">
        <w:t>Quality control of the activity data and calculations was applied to each category for Tokelau. No verification was possible because no alternative data were available.</w:t>
      </w:r>
    </w:p>
    <w:bookmarkEnd w:id="2986"/>
    <w:p w14:paraId="13BA1F93" w14:textId="77777777" w:rsidR="0057070D" w:rsidRPr="001D5327" w:rsidRDefault="0057070D" w:rsidP="00E7357B">
      <w:pPr>
        <w:pStyle w:val="Heading3"/>
        <w:tabs>
          <w:tab w:val="clear" w:pos="851"/>
          <w:tab w:val="left" w:pos="993"/>
        </w:tabs>
        <w:ind w:left="993" w:hanging="993"/>
      </w:pPr>
      <w:r w:rsidRPr="001D5327">
        <w:t>8.10.5</w:t>
      </w:r>
      <w:r w:rsidRPr="001D5327">
        <w:tab/>
        <w:t>Category-specific recalculations</w:t>
      </w:r>
    </w:p>
    <w:p w14:paraId="665A07EB" w14:textId="77777777" w:rsidR="0057070D" w:rsidRPr="001D5327" w:rsidRDefault="0057070D" w:rsidP="0057070D">
      <w:pPr>
        <w:pStyle w:val="BodyText"/>
      </w:pPr>
      <w:r w:rsidRPr="001D5327">
        <w:t xml:space="preserve">There were no changes to estimates for the </w:t>
      </w:r>
      <w:r w:rsidRPr="001D5327">
        <w:rPr>
          <w:i/>
          <w:iCs/>
        </w:rPr>
        <w:t>Enteric fermentation</w:t>
      </w:r>
      <w:r w:rsidRPr="001D5327">
        <w:t xml:space="preserve"> categories.</w:t>
      </w:r>
    </w:p>
    <w:p w14:paraId="26EEA115" w14:textId="77777777" w:rsidR="0057070D" w:rsidRPr="001D5327" w:rsidRDefault="0057070D" w:rsidP="00E7357B">
      <w:pPr>
        <w:pStyle w:val="Heading3"/>
        <w:tabs>
          <w:tab w:val="clear" w:pos="851"/>
          <w:tab w:val="left" w:pos="993"/>
        </w:tabs>
        <w:ind w:left="993" w:hanging="993"/>
      </w:pPr>
      <w:r w:rsidRPr="001D5327">
        <w:t>8.10.6</w:t>
      </w:r>
      <w:r w:rsidRPr="001D5327">
        <w:tab/>
        <w:t>Category-specific planned improvements</w:t>
      </w:r>
    </w:p>
    <w:p w14:paraId="2BA66CE2" w14:textId="77777777" w:rsidR="0057070D" w:rsidRPr="001D5327" w:rsidRDefault="0057070D" w:rsidP="0057070D">
      <w:pPr>
        <w:pStyle w:val="BodyText"/>
      </w:pPr>
      <w:r w:rsidRPr="001D5327">
        <w:t>No improvements are planned for the next inventory submission.</w:t>
      </w:r>
    </w:p>
    <w:p w14:paraId="2AABF42B" w14:textId="77777777" w:rsidR="0057070D" w:rsidRPr="001D5327" w:rsidRDefault="0057070D" w:rsidP="0057070D">
      <w:pPr>
        <w:pStyle w:val="Heading2"/>
      </w:pPr>
      <w:bookmarkStart w:id="2987" w:name="_Toc194312057"/>
      <w:bookmarkStart w:id="2988" w:name="X0c937cd03feb60680bee749d8530cea897fc4e3"/>
      <w:bookmarkEnd w:id="2981"/>
      <w:r w:rsidRPr="001D5327">
        <w:lastRenderedPageBreak/>
        <w:t>8.11</w:t>
      </w:r>
      <w:r w:rsidRPr="001D5327">
        <w:tab/>
        <w:t>Emissions from Manure management in Tokelau</w:t>
      </w:r>
      <w:bookmarkEnd w:id="2987"/>
    </w:p>
    <w:p w14:paraId="21C2D5D6" w14:textId="77777777" w:rsidR="0057070D" w:rsidRPr="001D5327" w:rsidRDefault="0057070D" w:rsidP="0057070D">
      <w:pPr>
        <w:pStyle w:val="Heading3"/>
        <w:spacing w:before="240"/>
      </w:pPr>
      <w:bookmarkStart w:id="2989" w:name="description-6"/>
      <w:r w:rsidRPr="001D5327">
        <w:t>8.11.1</w:t>
      </w:r>
      <w:r w:rsidRPr="001D5327">
        <w:tab/>
        <w:t>Description</w:t>
      </w:r>
    </w:p>
    <w:p w14:paraId="4A923FC5" w14:textId="77777777" w:rsidR="0057070D" w:rsidRPr="001D5327" w:rsidRDefault="0057070D" w:rsidP="00784F40">
      <w:pPr>
        <w:pStyle w:val="BodyText"/>
        <w:spacing w:before="100" w:after="100"/>
      </w:pPr>
      <w:r w:rsidRPr="001D5327">
        <w:t xml:space="preserve">The 2006 IPCC Guidelines provide default emission factors for </w:t>
      </w:r>
      <w:r w:rsidRPr="001D5327">
        <w:rPr>
          <w:i/>
          <w:iCs/>
        </w:rPr>
        <w:t>Manure management</w:t>
      </w:r>
      <w:r w:rsidRPr="001D5327">
        <w:t xml:space="preserve"> (3.B.1) for both swine and poultry, therefore, both animal types are included in reporting from this category (IPCC, 2006c).</w:t>
      </w:r>
    </w:p>
    <w:p w14:paraId="67A537EA" w14:textId="77777777" w:rsidR="0057070D" w:rsidRPr="001D5327" w:rsidRDefault="0057070D" w:rsidP="00784F40">
      <w:pPr>
        <w:pStyle w:val="BodyText"/>
        <w:spacing w:before="100" w:after="100"/>
      </w:pPr>
      <w:r w:rsidRPr="001D5327">
        <w:rPr>
          <w:i/>
          <w:iCs/>
        </w:rPr>
        <w:t>Manure management – Swine</w:t>
      </w:r>
      <w:r w:rsidRPr="001D5327">
        <w:t xml:space="preserve"> contributed 92.4 per cent to the total Agriculture emissions in Tokelau in 2023 and amounted to 0.85 kt CO</w:t>
      </w:r>
      <w:r w:rsidRPr="001D5327">
        <w:rPr>
          <w:vertAlign w:val="subscript"/>
        </w:rPr>
        <w:t>2</w:t>
      </w:r>
      <w:r w:rsidRPr="001D5327">
        <w:t xml:space="preserve">-e. </w:t>
      </w:r>
      <w:r w:rsidRPr="001D5327">
        <w:rPr>
          <w:i/>
          <w:iCs/>
        </w:rPr>
        <w:t>Manure management – poultry</w:t>
      </w:r>
      <w:r w:rsidRPr="001D5327">
        <w:t xml:space="preserve"> was very small, at 0.1 per cent (0.0005 kt CO</w:t>
      </w:r>
      <w:r w:rsidRPr="001D5327">
        <w:rPr>
          <w:vertAlign w:val="subscript"/>
        </w:rPr>
        <w:t>2</w:t>
      </w:r>
      <w:r w:rsidRPr="001D5327">
        <w:t>-e).</w:t>
      </w:r>
    </w:p>
    <w:p w14:paraId="485EF38F" w14:textId="77777777" w:rsidR="0057070D" w:rsidRPr="001D5327" w:rsidRDefault="0057070D" w:rsidP="00E7357B">
      <w:pPr>
        <w:pStyle w:val="Heading3"/>
        <w:tabs>
          <w:tab w:val="clear" w:pos="851"/>
        </w:tabs>
        <w:ind w:left="993" w:hanging="993"/>
      </w:pPr>
      <w:bookmarkStart w:id="2990" w:name="methodological-issues-7"/>
      <w:bookmarkEnd w:id="2989"/>
      <w:r w:rsidRPr="001D5327">
        <w:t>8.11.2</w:t>
      </w:r>
      <w:r w:rsidRPr="001D5327">
        <w:tab/>
        <w:t>Methodological issues</w:t>
      </w:r>
    </w:p>
    <w:p w14:paraId="7DB28FD5" w14:textId="77777777" w:rsidR="0057070D" w:rsidRPr="001D5327" w:rsidRDefault="0057070D" w:rsidP="00784F40">
      <w:pPr>
        <w:pStyle w:val="Heading5"/>
        <w:spacing w:before="200"/>
      </w:pPr>
      <w:bookmarkStart w:id="2991" w:name="activity-data-7"/>
      <w:r w:rsidRPr="001D5327">
        <w:t>Activity data</w:t>
      </w:r>
    </w:p>
    <w:p w14:paraId="4644EB3E" w14:textId="77777777" w:rsidR="0057070D" w:rsidRPr="001D5327" w:rsidRDefault="0057070D" w:rsidP="0057070D">
      <w:pPr>
        <w:pStyle w:val="BodyText"/>
      </w:pPr>
      <w:r w:rsidRPr="001D5327">
        <w:t xml:space="preserve">The activity data entries for </w:t>
      </w:r>
      <w:r w:rsidRPr="001D5327">
        <w:rPr>
          <w:i/>
          <w:iCs/>
        </w:rPr>
        <w:t>Manure management</w:t>
      </w:r>
      <w:r w:rsidRPr="001D5327">
        <w:t xml:space="preserve"> are exactly the same as for </w:t>
      </w:r>
      <w:r w:rsidRPr="001D5327">
        <w:rPr>
          <w:i/>
          <w:iCs/>
        </w:rPr>
        <w:t>Enteric fermentation</w:t>
      </w:r>
      <w:r w:rsidRPr="001D5327">
        <w:t xml:space="preserve"> (see section 8.10). The assumption is that all poultry are dry layers.</w:t>
      </w:r>
    </w:p>
    <w:p w14:paraId="5D0195F1" w14:textId="77777777" w:rsidR="0057070D" w:rsidRPr="001D5327" w:rsidRDefault="0057070D" w:rsidP="00784F40">
      <w:pPr>
        <w:pStyle w:val="Heading5"/>
        <w:spacing w:before="200"/>
      </w:pPr>
      <w:bookmarkStart w:id="2992" w:name="methods-and-emission-factors-5"/>
      <w:bookmarkEnd w:id="2991"/>
      <w:r w:rsidRPr="001D5327">
        <w:t>Methods and emission factors</w:t>
      </w:r>
    </w:p>
    <w:p w14:paraId="20E23863" w14:textId="77777777" w:rsidR="0057070D" w:rsidRPr="001D5327" w:rsidRDefault="0057070D" w:rsidP="0057070D">
      <w:pPr>
        <w:pStyle w:val="BodyText"/>
      </w:pPr>
      <w:r w:rsidRPr="001D5327">
        <w:t xml:space="preserve">A Tier 1 methodology with default emission factors provided in table 10.15 in volume 4 of the 2006 IPCC Guidelines was used for estimating emissions from the </w:t>
      </w:r>
      <w:r w:rsidRPr="001D5327">
        <w:rPr>
          <w:i/>
          <w:iCs/>
        </w:rPr>
        <w:t>Manure management</w:t>
      </w:r>
      <w:r w:rsidRPr="001D5327">
        <w:t xml:space="preserve"> category. The Tier 1 method is based on animal population data and does not require distinguishing between different manure management systems. Equation 10.22 from volume 4 of the 2006 IPCC Guidelines was applied, in conjunction with the default emission factors from table 10.14 in volume 4 of 2006 IPCC Guidelines for Oceania with a warm climate. These are 18.5 kg CH</w:t>
      </w:r>
      <w:r w:rsidRPr="001D5327">
        <w:rPr>
          <w:vertAlign w:val="subscript"/>
        </w:rPr>
        <w:t>4</w:t>
      </w:r>
      <w:r w:rsidRPr="001D5327">
        <w:t>/head/year for swine and 0.03 kg CH</w:t>
      </w:r>
      <w:r w:rsidRPr="001D5327">
        <w:rPr>
          <w:vertAlign w:val="subscript"/>
        </w:rPr>
        <w:t>4</w:t>
      </w:r>
      <w:r w:rsidRPr="001D5327">
        <w:t>/head/year for poultry (IPCC, 2006c).</w:t>
      </w:r>
    </w:p>
    <w:p w14:paraId="2199EEC8" w14:textId="77777777" w:rsidR="0057070D" w:rsidRPr="001D5327" w:rsidRDefault="0057070D" w:rsidP="00784F40">
      <w:pPr>
        <w:pStyle w:val="Heading3"/>
        <w:tabs>
          <w:tab w:val="clear" w:pos="851"/>
        </w:tabs>
        <w:spacing w:before="280"/>
        <w:ind w:left="993" w:hanging="993"/>
      </w:pPr>
      <w:bookmarkStart w:id="2993" w:name="Xacc573339580c8dcb4670fcc1d3952db0889a98"/>
      <w:bookmarkEnd w:id="2990"/>
      <w:bookmarkEnd w:id="2992"/>
      <w:r w:rsidRPr="001D5327">
        <w:t>8.11.3</w:t>
      </w:r>
      <w:r w:rsidRPr="001D5327">
        <w:tab/>
        <w:t>Uncertainty assessment and time-series consistency</w:t>
      </w:r>
    </w:p>
    <w:p w14:paraId="296A26B4" w14:textId="77777777" w:rsidR="0057070D" w:rsidRPr="001D5327" w:rsidRDefault="0057070D" w:rsidP="0057070D">
      <w:pPr>
        <w:pStyle w:val="BodyText"/>
        <w:rPr>
          <w:spacing w:val="-2"/>
        </w:rPr>
      </w:pPr>
      <w:r w:rsidRPr="001D5327">
        <w:t xml:space="preserve">Default uncertainty values for activity data and emission factors were used for this category. Section 10.2.3 in volume 4 of the 2006 IPCC Guidelines states that the uncertainty associated with populations will vary widely, depending on the source, but should be within ±20 per cent </w:t>
      </w:r>
      <w:r w:rsidRPr="001D5327">
        <w:rPr>
          <w:spacing w:val="-2"/>
        </w:rPr>
        <w:t xml:space="preserve">(IPCC, 2006c). The default emission factor uncertainty for </w:t>
      </w:r>
      <w:r w:rsidRPr="001D5327">
        <w:rPr>
          <w:i/>
          <w:iCs/>
          <w:spacing w:val="-2"/>
        </w:rPr>
        <w:t>Manure management</w:t>
      </w:r>
      <w:r w:rsidRPr="001D5327">
        <w:rPr>
          <w:spacing w:val="-2"/>
        </w:rPr>
        <w:t xml:space="preserve"> is ±30 per cent.</w:t>
      </w:r>
    </w:p>
    <w:p w14:paraId="685B9C22" w14:textId="77777777" w:rsidR="0057070D" w:rsidRPr="001D5327" w:rsidRDefault="0057070D" w:rsidP="0057070D">
      <w:pPr>
        <w:pStyle w:val="BodyText"/>
      </w:pPr>
      <w:r w:rsidRPr="001D5327">
        <w:t>Time-series consistency was maintained by interpolating the number of animals in between census years (which are generally five years apart).</w:t>
      </w:r>
    </w:p>
    <w:p w14:paraId="1D81AEE7" w14:textId="77777777" w:rsidR="0057070D" w:rsidRPr="001D5327" w:rsidRDefault="0057070D" w:rsidP="00784F40">
      <w:pPr>
        <w:pStyle w:val="Heading3"/>
        <w:tabs>
          <w:tab w:val="clear" w:pos="851"/>
        </w:tabs>
        <w:spacing w:before="280"/>
        <w:ind w:left="993" w:hanging="993"/>
      </w:pPr>
      <w:bookmarkStart w:id="2994" w:name="Xc428e0d42c859f01c17db7f9908d48fe1a63ff1"/>
      <w:bookmarkEnd w:id="2993"/>
      <w:r w:rsidRPr="001D5327">
        <w:t>8.11.4</w:t>
      </w:r>
      <w:r w:rsidRPr="001D5327">
        <w:tab/>
        <w:t>Category-specific QA/QC and verification</w:t>
      </w:r>
    </w:p>
    <w:p w14:paraId="131F92A3" w14:textId="77777777" w:rsidR="0057070D" w:rsidRPr="001D5327" w:rsidRDefault="0057070D" w:rsidP="0057070D">
      <w:pPr>
        <w:pStyle w:val="BodyText"/>
      </w:pPr>
      <w:r w:rsidRPr="001D5327">
        <w:t>Quality control of the activity data and calculations was applied to each category for Tokelau. No verification was possible because no alternative data were available.</w:t>
      </w:r>
    </w:p>
    <w:p w14:paraId="3D492BF7" w14:textId="77777777" w:rsidR="0057070D" w:rsidRPr="001D5327" w:rsidRDefault="0057070D" w:rsidP="00784F40">
      <w:pPr>
        <w:pStyle w:val="Heading3"/>
        <w:tabs>
          <w:tab w:val="clear" w:pos="851"/>
        </w:tabs>
        <w:spacing w:before="280"/>
        <w:ind w:left="993" w:hanging="993"/>
      </w:pPr>
      <w:bookmarkStart w:id="2995" w:name="category-specific-recalculations-6"/>
      <w:bookmarkEnd w:id="2994"/>
      <w:r w:rsidRPr="001D5327">
        <w:t>8.11.5</w:t>
      </w:r>
      <w:r w:rsidRPr="001D5327">
        <w:tab/>
        <w:t>Category-specific recalculations</w:t>
      </w:r>
    </w:p>
    <w:p w14:paraId="3B2877C6" w14:textId="77777777" w:rsidR="0057070D" w:rsidRPr="001D5327" w:rsidRDefault="0057070D" w:rsidP="0057070D">
      <w:pPr>
        <w:pStyle w:val="BodyText"/>
      </w:pPr>
      <w:r w:rsidRPr="001D5327">
        <w:t xml:space="preserve">There were no changes to estimates for the </w:t>
      </w:r>
      <w:r w:rsidRPr="001D5327">
        <w:rPr>
          <w:i/>
          <w:iCs/>
        </w:rPr>
        <w:t>Manure management</w:t>
      </w:r>
      <w:r w:rsidRPr="001D5327">
        <w:t xml:space="preserve"> category.</w:t>
      </w:r>
    </w:p>
    <w:p w14:paraId="1A87C6FE" w14:textId="77777777" w:rsidR="0057070D" w:rsidRPr="001D5327" w:rsidRDefault="0057070D" w:rsidP="00784F40">
      <w:pPr>
        <w:pStyle w:val="Heading3"/>
        <w:tabs>
          <w:tab w:val="clear" w:pos="851"/>
        </w:tabs>
        <w:spacing w:before="280"/>
        <w:ind w:left="993" w:hanging="993"/>
      </w:pPr>
      <w:bookmarkStart w:id="2996" w:name="category-specific-planned-improvements-6"/>
      <w:bookmarkEnd w:id="2995"/>
      <w:r w:rsidRPr="001D5327">
        <w:t>8.11.6</w:t>
      </w:r>
      <w:r w:rsidRPr="001D5327">
        <w:tab/>
        <w:t>Category-specific planned improvements</w:t>
      </w:r>
    </w:p>
    <w:p w14:paraId="65E9AC81" w14:textId="77777777" w:rsidR="0057070D" w:rsidRPr="001D5327" w:rsidRDefault="0057070D" w:rsidP="0057070D">
      <w:pPr>
        <w:pStyle w:val="BodyText"/>
      </w:pPr>
      <w:r w:rsidRPr="001D5327">
        <w:t>No improvements are planned for the next inventory submission.</w:t>
      </w:r>
    </w:p>
    <w:p w14:paraId="508BAD79" w14:textId="77777777" w:rsidR="0057070D" w:rsidRPr="001D5327" w:rsidRDefault="0057070D" w:rsidP="00E7357B">
      <w:pPr>
        <w:pStyle w:val="Heading2"/>
        <w:tabs>
          <w:tab w:val="clear" w:pos="851"/>
          <w:tab w:val="left" w:pos="993"/>
        </w:tabs>
      </w:pPr>
      <w:bookmarkStart w:id="2997" w:name="_Toc194312058"/>
      <w:bookmarkStart w:id="2998" w:name="Xb50428241fc7cf0e29e71d29efeca48a67748e5"/>
      <w:bookmarkEnd w:id="2988"/>
      <w:bookmarkEnd w:id="2996"/>
      <w:r w:rsidRPr="001D5327">
        <w:lastRenderedPageBreak/>
        <w:t>8.12</w:t>
      </w:r>
      <w:r w:rsidRPr="001D5327">
        <w:tab/>
        <w:t>Emissions from the Waste sector in Tokelau (6. Tokelau_5)</w:t>
      </w:r>
      <w:bookmarkEnd w:id="2997"/>
    </w:p>
    <w:p w14:paraId="198AE848" w14:textId="77777777" w:rsidR="0057070D" w:rsidRPr="001D5327" w:rsidRDefault="0057070D" w:rsidP="00950AD6">
      <w:pPr>
        <w:pStyle w:val="BodyText"/>
        <w:spacing w:before="80" w:after="100"/>
      </w:pPr>
      <w:r w:rsidRPr="001D5327">
        <w:t>The total amount of all Waste sector emissions in Tokelau in 2023 was 0.77 kt CO</w:t>
      </w:r>
      <w:r w:rsidRPr="001D5327">
        <w:rPr>
          <w:vertAlign w:val="subscript"/>
        </w:rPr>
        <w:t>2</w:t>
      </w:r>
      <w:r w:rsidRPr="001D5327">
        <w:t>-e, making the Waste sector the third-biggest emitter in Tokelau. The Waste sector contributed 18.4 per cent to the total emissions from Tokelau and 0.001 per cent to New Zealand’s gross emissions including Tokelau.</w:t>
      </w:r>
    </w:p>
    <w:p w14:paraId="00FDC629" w14:textId="77777777" w:rsidR="0057070D" w:rsidRPr="001D5327" w:rsidRDefault="0057070D" w:rsidP="00950AD6">
      <w:pPr>
        <w:pStyle w:val="BodyText"/>
        <w:spacing w:before="100" w:after="100"/>
      </w:pPr>
      <w:r w:rsidRPr="001D5327">
        <w:t xml:space="preserve">The sources of emissions in the Waste sector in Tokelau were from the categories </w:t>
      </w:r>
      <w:r w:rsidRPr="001D5327">
        <w:rPr>
          <w:i/>
          <w:iCs/>
        </w:rPr>
        <w:t>Solid waste disposal</w:t>
      </w:r>
      <w:r w:rsidRPr="001D5327">
        <w:t xml:space="preserve">, </w:t>
      </w:r>
      <w:r w:rsidRPr="001D5327">
        <w:rPr>
          <w:i/>
          <w:iCs/>
        </w:rPr>
        <w:t>Wastewater treatment and discharge</w:t>
      </w:r>
      <w:r w:rsidRPr="001D5327">
        <w:t xml:space="preserve"> and </w:t>
      </w:r>
      <w:r w:rsidRPr="001D5327">
        <w:rPr>
          <w:i/>
          <w:iCs/>
        </w:rPr>
        <w:t>Incineration and open burning of waste</w:t>
      </w:r>
      <w:r w:rsidRPr="001D5327">
        <w:t>, which contributed 44.8 per cent, 38.5 per cent and 16.8 per cent, respectively, to the total emissions from the Waste sector in Tokelau.</w:t>
      </w:r>
    </w:p>
    <w:p w14:paraId="22A7C89F" w14:textId="77777777" w:rsidR="0057070D" w:rsidRPr="001D5327" w:rsidRDefault="0057070D" w:rsidP="00950AD6">
      <w:pPr>
        <w:pStyle w:val="BodyText"/>
        <w:spacing w:before="100" w:after="100"/>
      </w:pPr>
      <w:r w:rsidRPr="001D5327">
        <w:t>The raw data related to the Waste sector were obtained from multiple sources (see items 1 to 5, 11, and 13 to 16 in table 8.1.1). The data were compiled, analysed and processed by the Tokelau National Statistics Office to produce activity data. The human population data were used as a driver for estimates in all of the Waste categories.</w:t>
      </w:r>
    </w:p>
    <w:p w14:paraId="19C8384F" w14:textId="77777777" w:rsidR="0057070D" w:rsidRPr="001D5327" w:rsidRDefault="0057070D" w:rsidP="00950AD6">
      <w:pPr>
        <w:pStyle w:val="BodyText"/>
        <w:spacing w:before="100" w:after="100"/>
      </w:pPr>
      <w:r w:rsidRPr="001D5327">
        <w:t>Emissions from all categories reported in the Waste sector for Tokelau were estimated using a Tier 1 methodological approach (IPCC, 2006d). Figure 8.12.1 shows emission trends in the Waste sector by category for Tokelau.</w:t>
      </w:r>
    </w:p>
    <w:p w14:paraId="3124E4B0" w14:textId="77777777" w:rsidR="0057070D" w:rsidRPr="001D5327" w:rsidRDefault="0057070D" w:rsidP="0057070D">
      <w:pPr>
        <w:pStyle w:val="Figure"/>
      </w:pPr>
      <w:bookmarkStart w:id="2999" w:name="_Toc194674891"/>
      <w:r w:rsidRPr="001D5327">
        <w:rPr>
          <w:bCs/>
        </w:rPr>
        <w:t>Figure 8.12.1</w:t>
      </w:r>
      <w:r w:rsidRPr="001D5327">
        <w:rPr>
          <w:bCs/>
        </w:rPr>
        <w:tab/>
        <w:t>Waste sector emissions by category for Tokelau (kt CO</w:t>
      </w:r>
      <w:r w:rsidRPr="001D5327">
        <w:rPr>
          <w:bCs/>
          <w:vertAlign w:val="subscript"/>
        </w:rPr>
        <w:t>2</w:t>
      </w:r>
      <w:r w:rsidRPr="001D5327">
        <w:rPr>
          <w:bCs/>
        </w:rPr>
        <w:t>-e), from 1990 to 2023</w:t>
      </w:r>
      <w:bookmarkEnd w:id="2999"/>
    </w:p>
    <w:p w14:paraId="6F65F5AF" w14:textId="77777777" w:rsidR="0057070D" w:rsidRPr="001D5327" w:rsidRDefault="0057070D" w:rsidP="0057070D">
      <w:pPr>
        <w:pStyle w:val="BodyText"/>
      </w:pPr>
      <w:r w:rsidRPr="001D5327">
        <w:rPr>
          <w:noProof/>
        </w:rPr>
        <w:drawing>
          <wp:inline distT="0" distB="0" distL="0" distR="0" wp14:anchorId="1BF443E2" wp14:editId="74AD1511">
            <wp:extent cx="5257800" cy="2875085"/>
            <wp:effectExtent l="0" t="0" r="0" b="1905"/>
            <wp:docPr id="139" name="Picture"/>
            <wp:cNvGraphicFramePr/>
            <a:graphic xmlns:a="http://schemas.openxmlformats.org/drawingml/2006/main">
              <a:graphicData uri="http://schemas.openxmlformats.org/drawingml/2006/picture">
                <pic:pic xmlns:pic="http://schemas.openxmlformats.org/drawingml/2006/picture">
                  <pic:nvPicPr>
                    <pic:cNvPr id="140" name="Picture" descr="images/fig_8_12_1.png"/>
                    <pic:cNvPicPr>
                      <a:picLocks noChangeAspect="1" noChangeArrowheads="1"/>
                    </pic:cNvPicPr>
                  </pic:nvPicPr>
                  <pic:blipFill rotWithShape="1">
                    <a:blip r:embed="rId245"/>
                    <a:srcRect t="1160" b="1140"/>
                    <a:stretch/>
                  </pic:blipFill>
                  <pic:spPr bwMode="auto">
                    <a:xfrm>
                      <a:off x="0" y="0"/>
                      <a:ext cx="5257800" cy="2875085"/>
                    </a:xfrm>
                    <a:prstGeom prst="rect">
                      <a:avLst/>
                    </a:prstGeom>
                    <a:noFill/>
                    <a:ln>
                      <a:noFill/>
                    </a:ln>
                    <a:extLst>
                      <a:ext uri="{53640926-AAD7-44D8-BBD7-CCE9431645EC}">
                        <a14:shadowObscured xmlns:a14="http://schemas.microsoft.com/office/drawing/2010/main"/>
                      </a:ext>
                    </a:extLst>
                  </pic:spPr>
                </pic:pic>
              </a:graphicData>
            </a:graphic>
          </wp:inline>
        </w:drawing>
      </w:r>
    </w:p>
    <w:p w14:paraId="358F368B" w14:textId="77777777" w:rsidR="0057070D" w:rsidRPr="001D5327" w:rsidRDefault="0057070D" w:rsidP="0057070D">
      <w:pPr>
        <w:pStyle w:val="Heading2"/>
      </w:pPr>
      <w:bookmarkStart w:id="3000" w:name="_Toc194312059"/>
      <w:bookmarkStart w:id="3001" w:name="Xfb65ea232534240cf4b067c646a328a3951a7d3"/>
      <w:bookmarkEnd w:id="2998"/>
      <w:r w:rsidRPr="001D5327">
        <w:t>8.13</w:t>
      </w:r>
      <w:r w:rsidRPr="001D5327">
        <w:tab/>
        <w:t>Emissions from Solid waste disposal in Tokelau</w:t>
      </w:r>
      <w:bookmarkEnd w:id="3000"/>
    </w:p>
    <w:p w14:paraId="522C4D62" w14:textId="77777777" w:rsidR="0057070D" w:rsidRPr="001D5327" w:rsidRDefault="0057070D" w:rsidP="00950AD6">
      <w:pPr>
        <w:pStyle w:val="Heading3"/>
        <w:spacing w:before="180"/>
      </w:pPr>
      <w:bookmarkStart w:id="3002" w:name="description-7"/>
      <w:r w:rsidRPr="001D5327">
        <w:t>8.13.1</w:t>
      </w:r>
      <w:r w:rsidRPr="001D5327">
        <w:tab/>
        <w:t>Description</w:t>
      </w:r>
    </w:p>
    <w:p w14:paraId="08A18F1B" w14:textId="77777777" w:rsidR="0057070D" w:rsidRPr="001D5327" w:rsidRDefault="0057070D" w:rsidP="0057070D">
      <w:pPr>
        <w:pStyle w:val="BodyText"/>
      </w:pPr>
      <w:r w:rsidRPr="001D5327">
        <w:t xml:space="preserve">According to the 2016 Tokelau Census, most household rubbish is collected by village workers. Fakaofo had the highest proportion of households where all rubbish was collected (72.9 per cent). Of all private occupied dwellings, 98.8 per cent had at least some of their household rubbish collected. Most of the collected rubbish is either burned on the reef or buried in centralised areas of the islands. Exceptions are the organic waste, which is fed daily to pigs, </w:t>
      </w:r>
      <w:r w:rsidRPr="001D5327">
        <w:lastRenderedPageBreak/>
        <w:t>large beer bottles that are exported for recycling to Apia (Samoa) and metal waste that is collected and sold as scrap in Apia under an MoU with a Samoan company.</w:t>
      </w:r>
      <w:r w:rsidRPr="001D5327">
        <w:rPr>
          <w:rStyle w:val="FootnoteReference"/>
        </w:rPr>
        <w:footnoteReference w:id="63"/>
      </w:r>
    </w:p>
    <w:p w14:paraId="38FBC4DE" w14:textId="77777777" w:rsidR="0057070D" w:rsidRPr="001D5327" w:rsidRDefault="0057070D" w:rsidP="00950AD6">
      <w:pPr>
        <w:pStyle w:val="BodyText"/>
        <w:spacing w:before="100" w:after="100"/>
      </w:pPr>
      <w:r w:rsidRPr="001D5327">
        <w:t>Where village workers do not collect household rubbish, households use alternative methods for disposal. The most common methods are burning, burial and disposing of in the garden. Tokelau has no dedicated categorised landfills, therefore, solid waste disposal is reported for uncategorised landfills only.</w:t>
      </w:r>
    </w:p>
    <w:p w14:paraId="2DBC4C1F" w14:textId="77777777" w:rsidR="0057070D" w:rsidRPr="001D5327" w:rsidRDefault="0057070D" w:rsidP="00950AD6">
      <w:pPr>
        <w:pStyle w:val="BodyText"/>
        <w:spacing w:before="100" w:after="100"/>
      </w:pPr>
      <w:r w:rsidRPr="001D5327">
        <w:t xml:space="preserve">The </w:t>
      </w:r>
      <w:r w:rsidRPr="001D5327">
        <w:rPr>
          <w:i/>
          <w:iCs/>
        </w:rPr>
        <w:t>Solid waste disposal</w:t>
      </w:r>
      <w:r w:rsidRPr="001D5327">
        <w:t xml:space="preserve"> category contributed 44.8 per cent to the total Waste emissions in Tokelau in 2023, which amounted to 0.35 kt CO</w:t>
      </w:r>
      <w:r w:rsidRPr="001D5327">
        <w:rPr>
          <w:vertAlign w:val="subscript"/>
        </w:rPr>
        <w:t>2</w:t>
      </w:r>
      <w:r w:rsidRPr="001D5327">
        <w:t>-e.</w:t>
      </w:r>
    </w:p>
    <w:p w14:paraId="2BC10214" w14:textId="77777777" w:rsidR="0057070D" w:rsidRPr="001D5327" w:rsidRDefault="0057070D" w:rsidP="00950AD6">
      <w:pPr>
        <w:pStyle w:val="Heading3"/>
        <w:tabs>
          <w:tab w:val="clear" w:pos="851"/>
          <w:tab w:val="left" w:pos="993"/>
        </w:tabs>
        <w:spacing w:before="280"/>
      </w:pPr>
      <w:bookmarkStart w:id="3003" w:name="methodological-issues-8"/>
      <w:bookmarkEnd w:id="3002"/>
      <w:r w:rsidRPr="001D5327">
        <w:t>8.13.2</w:t>
      </w:r>
      <w:r w:rsidRPr="001D5327">
        <w:tab/>
        <w:t>Methodological issues</w:t>
      </w:r>
    </w:p>
    <w:p w14:paraId="26797150" w14:textId="77777777" w:rsidR="0057070D" w:rsidRPr="001D5327" w:rsidRDefault="0057070D" w:rsidP="00950AD6">
      <w:pPr>
        <w:pStyle w:val="Heading5"/>
        <w:spacing w:before="180" w:after="120"/>
      </w:pPr>
      <w:bookmarkStart w:id="3004" w:name="activity-data-8"/>
      <w:r w:rsidRPr="001D5327">
        <w:t>Activity data</w:t>
      </w:r>
    </w:p>
    <w:p w14:paraId="1BFCDECF" w14:textId="77777777" w:rsidR="0057070D" w:rsidRPr="001D5327" w:rsidRDefault="0057070D" w:rsidP="00950AD6">
      <w:pPr>
        <w:pStyle w:val="Bullet"/>
        <w:spacing w:after="100"/>
      </w:pPr>
      <w:r w:rsidRPr="001D5327">
        <w:t>The total amount of solid waste is based on the 2006 IPCC default of 690 kg/person/year for Oceania (IPCC, 2006d). This is likely to be an overestimate, however, a country-specific value is not available.</w:t>
      </w:r>
    </w:p>
    <w:p w14:paraId="4EFC6F62" w14:textId="77777777" w:rsidR="0057070D" w:rsidRPr="001D5327" w:rsidRDefault="0057070D" w:rsidP="00950AD6">
      <w:pPr>
        <w:pStyle w:val="Bullet"/>
        <w:spacing w:after="100"/>
      </w:pPr>
      <w:r w:rsidRPr="001D5327">
        <w:t>Solid waste is assumed to be half buried and the other half burned. As above, this does not account for exported solid waste or organic waste fed to pigs and will be an overestimate.</w:t>
      </w:r>
    </w:p>
    <w:p w14:paraId="4549E7AE" w14:textId="77777777" w:rsidR="0057070D" w:rsidRPr="001D5327" w:rsidRDefault="0057070D" w:rsidP="00950AD6">
      <w:pPr>
        <w:pStyle w:val="Bullet"/>
        <w:spacing w:after="100"/>
      </w:pPr>
      <w:r w:rsidRPr="001D5327">
        <w:t>The composition of solid waste for the landfill calculations is based on the 2006 IPCC default (67.5 per cent food, 6 per cent paper/cardboard, 2.5 per cent wood, and the remaining 24 per cent is ‘inert’) (IPCC, 2006d). This does not take into account the food waste that is fed to animals or used for composting and gardens, nor data on waste composition, such as disposable nappies, and will likely be an overestimate overall.</w:t>
      </w:r>
    </w:p>
    <w:p w14:paraId="3F49D953" w14:textId="77777777" w:rsidR="0057070D" w:rsidRPr="001D5327" w:rsidRDefault="0057070D" w:rsidP="0057070D">
      <w:pPr>
        <w:pStyle w:val="Heading5"/>
      </w:pPr>
      <w:bookmarkStart w:id="3005" w:name="methods-and-emission-factors-6"/>
      <w:bookmarkEnd w:id="3004"/>
      <w:r w:rsidRPr="001D5327">
        <w:t>Methods and emission factors</w:t>
      </w:r>
    </w:p>
    <w:p w14:paraId="0F231A33" w14:textId="77777777" w:rsidR="0057070D" w:rsidRPr="001D5327" w:rsidRDefault="0057070D" w:rsidP="00950AD6">
      <w:pPr>
        <w:pStyle w:val="BodyText"/>
        <w:spacing w:before="100" w:after="100"/>
      </w:pPr>
      <w:r w:rsidRPr="001D5327">
        <w:t>A Tier 1 methodology has been applied to estimate emissions from this category. The Tier 1 approach is to use all default values. It is assumed that 50 per cent of waste is buried (landfilled) and the other 50 per cent is burned. Any amounts of waste shipped offshore are additional and are not counted. Table 8.13.1 sums up the information about parameters used for calculating emissions from this category.</w:t>
      </w:r>
    </w:p>
    <w:p w14:paraId="50B0D039" w14:textId="77777777" w:rsidR="0057070D" w:rsidRPr="001D5327" w:rsidRDefault="0057070D" w:rsidP="0057070D">
      <w:pPr>
        <w:pStyle w:val="Table"/>
      </w:pPr>
      <w:bookmarkStart w:id="3006" w:name="_Toc194241840"/>
      <w:r w:rsidRPr="001D5327">
        <w:t>Table 8.13.1</w:t>
      </w:r>
      <w:r w:rsidRPr="001D5327">
        <w:tab/>
        <w:t>Summary of parameters for uncategorised landfills in Tokelau</w:t>
      </w:r>
      <w:bookmarkEnd w:id="3006"/>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860"/>
        <w:gridCol w:w="996"/>
        <w:gridCol w:w="1920"/>
        <w:gridCol w:w="2718"/>
      </w:tblGrid>
      <w:tr w:rsidR="0057070D" w:rsidRPr="001D5327" w14:paraId="6C35652A" w14:textId="77777777" w:rsidTr="00D11AC9">
        <w:trPr>
          <w:tblHeader/>
        </w:trPr>
        <w:tc>
          <w:tcPr>
            <w:tcW w:w="0" w:type="auto"/>
            <w:shd w:val="clear" w:color="auto" w:fill="1B556B"/>
            <w:tcMar>
              <w:top w:w="0" w:type="dxa"/>
              <w:left w:w="85" w:type="dxa"/>
              <w:bottom w:w="0" w:type="dxa"/>
              <w:right w:w="85" w:type="dxa"/>
            </w:tcMar>
          </w:tcPr>
          <w:p w14:paraId="2A30EF4D" w14:textId="77777777" w:rsidR="0057070D" w:rsidRPr="001D5327" w:rsidRDefault="0057070D" w:rsidP="00950AD6">
            <w:pPr>
              <w:pStyle w:val="TableTextBold"/>
              <w:spacing w:before="40" w:after="30"/>
              <w:rPr>
                <w:noProof w:val="0"/>
                <w:color w:val="FFFFFF" w:themeColor="background1"/>
              </w:rPr>
            </w:pPr>
            <w:r w:rsidRPr="001D5327">
              <w:rPr>
                <w:rFonts w:eastAsia="Calibri"/>
                <w:noProof w:val="0"/>
                <w:color w:val="FFFFFF" w:themeColor="background1"/>
              </w:rPr>
              <w:t>Parameter</w:t>
            </w:r>
          </w:p>
        </w:tc>
        <w:tc>
          <w:tcPr>
            <w:tcW w:w="0" w:type="auto"/>
            <w:shd w:val="clear" w:color="auto" w:fill="1B556B"/>
            <w:tcMar>
              <w:top w:w="0" w:type="dxa"/>
              <w:left w:w="85" w:type="dxa"/>
              <w:bottom w:w="0" w:type="dxa"/>
              <w:right w:w="85" w:type="dxa"/>
            </w:tcMar>
          </w:tcPr>
          <w:p w14:paraId="32593996" w14:textId="77777777" w:rsidR="0057070D" w:rsidRPr="001D5327" w:rsidRDefault="0057070D" w:rsidP="00950AD6">
            <w:pPr>
              <w:pStyle w:val="TableTextBold"/>
              <w:spacing w:before="40" w:after="30"/>
              <w:jc w:val="right"/>
              <w:rPr>
                <w:noProof w:val="0"/>
                <w:color w:val="FFFFFF" w:themeColor="background1"/>
              </w:rPr>
            </w:pPr>
            <w:r w:rsidRPr="001D5327">
              <w:rPr>
                <w:rFonts w:eastAsia="Calibri"/>
                <w:noProof w:val="0"/>
                <w:color w:val="FFFFFF" w:themeColor="background1"/>
              </w:rPr>
              <w:t>Values</w:t>
            </w:r>
          </w:p>
        </w:tc>
        <w:tc>
          <w:tcPr>
            <w:tcW w:w="0" w:type="auto"/>
            <w:shd w:val="clear" w:color="auto" w:fill="1B556B"/>
            <w:tcMar>
              <w:top w:w="0" w:type="dxa"/>
              <w:left w:w="85" w:type="dxa"/>
              <w:bottom w:w="0" w:type="dxa"/>
              <w:right w:w="85" w:type="dxa"/>
            </w:tcMar>
          </w:tcPr>
          <w:p w14:paraId="2402F674" w14:textId="77777777" w:rsidR="0057070D" w:rsidRPr="001D5327" w:rsidRDefault="0057070D" w:rsidP="00950AD6">
            <w:pPr>
              <w:pStyle w:val="TableTextBold"/>
              <w:spacing w:before="40" w:after="30"/>
              <w:rPr>
                <w:noProof w:val="0"/>
                <w:color w:val="FFFFFF" w:themeColor="background1"/>
              </w:rPr>
            </w:pPr>
            <w:r w:rsidRPr="001D5327">
              <w:rPr>
                <w:rFonts w:eastAsia="Calibri"/>
                <w:noProof w:val="0"/>
                <w:color w:val="FFFFFF" w:themeColor="background1"/>
              </w:rPr>
              <w:t>Source</w:t>
            </w:r>
          </w:p>
        </w:tc>
        <w:tc>
          <w:tcPr>
            <w:tcW w:w="0" w:type="auto"/>
            <w:shd w:val="clear" w:color="auto" w:fill="1B556B"/>
            <w:tcMar>
              <w:top w:w="0" w:type="dxa"/>
              <w:left w:w="85" w:type="dxa"/>
              <w:bottom w:w="0" w:type="dxa"/>
              <w:right w:w="85" w:type="dxa"/>
            </w:tcMar>
          </w:tcPr>
          <w:p w14:paraId="20B57425" w14:textId="77777777" w:rsidR="0057070D" w:rsidRPr="001D5327" w:rsidRDefault="0057070D" w:rsidP="00950AD6">
            <w:pPr>
              <w:pStyle w:val="TableTextBold"/>
              <w:spacing w:before="40" w:after="30"/>
              <w:rPr>
                <w:noProof w:val="0"/>
                <w:color w:val="FFFFFF" w:themeColor="background1"/>
              </w:rPr>
            </w:pPr>
            <w:r w:rsidRPr="001D5327">
              <w:rPr>
                <w:rFonts w:eastAsia="Calibri"/>
                <w:noProof w:val="0"/>
                <w:color w:val="FFFFFF" w:themeColor="background1"/>
              </w:rPr>
              <w:t>Reference</w:t>
            </w:r>
          </w:p>
        </w:tc>
      </w:tr>
      <w:tr w:rsidR="00622E2B" w:rsidRPr="001D5327" w14:paraId="2222F3C2" w14:textId="77777777" w:rsidTr="00D11AC9">
        <w:tc>
          <w:tcPr>
            <w:tcW w:w="0" w:type="auto"/>
            <w:shd w:val="clear" w:color="auto" w:fill="FFFFFF"/>
            <w:tcMar>
              <w:top w:w="0" w:type="dxa"/>
              <w:left w:w="85" w:type="dxa"/>
              <w:bottom w:w="0" w:type="dxa"/>
              <w:right w:w="85" w:type="dxa"/>
            </w:tcMar>
          </w:tcPr>
          <w:p w14:paraId="5776DF29" w14:textId="77777777" w:rsidR="0057070D" w:rsidRPr="001D5327" w:rsidRDefault="0057070D" w:rsidP="00950AD6">
            <w:pPr>
              <w:pStyle w:val="TableText"/>
              <w:spacing w:before="40" w:after="30"/>
            </w:pPr>
            <w:r w:rsidRPr="001D5327">
              <w:rPr>
                <w:rFonts w:eastAsia="Calibri"/>
                <w:color w:val="000000"/>
              </w:rPr>
              <w:t>Bulk MSW DOC (kt C/kt waste)</w:t>
            </w:r>
          </w:p>
        </w:tc>
        <w:tc>
          <w:tcPr>
            <w:tcW w:w="0" w:type="auto"/>
            <w:shd w:val="clear" w:color="auto" w:fill="FFFFFF"/>
            <w:tcMar>
              <w:top w:w="0" w:type="dxa"/>
              <w:left w:w="85" w:type="dxa"/>
              <w:bottom w:w="0" w:type="dxa"/>
              <w:right w:w="85" w:type="dxa"/>
            </w:tcMar>
          </w:tcPr>
          <w:p w14:paraId="065C1F1C" w14:textId="77777777" w:rsidR="0057070D" w:rsidRPr="001D5327" w:rsidRDefault="0057070D" w:rsidP="00950AD6">
            <w:pPr>
              <w:pStyle w:val="TableText"/>
              <w:spacing w:before="40" w:after="30"/>
              <w:jc w:val="right"/>
            </w:pPr>
            <w:r w:rsidRPr="001D5327">
              <w:rPr>
                <w:rFonts w:eastAsia="Calibri"/>
                <w:color w:val="000000"/>
              </w:rPr>
              <w:t>0.14</w:t>
            </w:r>
          </w:p>
        </w:tc>
        <w:tc>
          <w:tcPr>
            <w:tcW w:w="0" w:type="auto"/>
            <w:shd w:val="clear" w:color="auto" w:fill="FFFFFF"/>
            <w:tcMar>
              <w:top w:w="0" w:type="dxa"/>
              <w:left w:w="85" w:type="dxa"/>
              <w:bottom w:w="0" w:type="dxa"/>
              <w:right w:w="85" w:type="dxa"/>
            </w:tcMar>
          </w:tcPr>
          <w:p w14:paraId="17222847" w14:textId="77777777" w:rsidR="0057070D" w:rsidRPr="001D5327" w:rsidRDefault="0057070D" w:rsidP="00950AD6">
            <w:pPr>
              <w:pStyle w:val="TableText"/>
              <w:spacing w:before="40" w:after="30"/>
            </w:pPr>
            <w:r w:rsidRPr="001D5327">
              <w:rPr>
                <w:rFonts w:eastAsia="Calibri"/>
                <w:color w:val="000000"/>
              </w:rPr>
              <w:t>IPCC default</w:t>
            </w:r>
          </w:p>
        </w:tc>
        <w:tc>
          <w:tcPr>
            <w:tcW w:w="0" w:type="auto"/>
            <w:shd w:val="clear" w:color="auto" w:fill="FFFFFF"/>
            <w:tcMar>
              <w:top w:w="0" w:type="dxa"/>
              <w:left w:w="85" w:type="dxa"/>
              <w:bottom w:w="0" w:type="dxa"/>
              <w:right w:w="85" w:type="dxa"/>
            </w:tcMar>
          </w:tcPr>
          <w:p w14:paraId="146FDAA0" w14:textId="77777777" w:rsidR="0057070D" w:rsidRPr="001D5327" w:rsidRDefault="0057070D" w:rsidP="00950AD6">
            <w:pPr>
              <w:pStyle w:val="TableText"/>
              <w:spacing w:before="40" w:after="30"/>
            </w:pPr>
            <w:r w:rsidRPr="001D5327">
              <w:rPr>
                <w:rFonts w:eastAsia="Calibri"/>
                <w:color w:val="000000"/>
              </w:rPr>
              <w:t>IPCC, 2006d (worksheets for SWDS)</w:t>
            </w:r>
          </w:p>
        </w:tc>
      </w:tr>
      <w:tr w:rsidR="00622E2B" w:rsidRPr="001D5327" w14:paraId="3BFA5C68" w14:textId="77777777" w:rsidTr="00D11AC9">
        <w:tc>
          <w:tcPr>
            <w:tcW w:w="0" w:type="auto"/>
            <w:shd w:val="clear" w:color="auto" w:fill="FFFFFF"/>
            <w:tcMar>
              <w:top w:w="0" w:type="dxa"/>
              <w:left w:w="85" w:type="dxa"/>
              <w:bottom w:w="0" w:type="dxa"/>
              <w:right w:w="85" w:type="dxa"/>
            </w:tcMar>
          </w:tcPr>
          <w:p w14:paraId="31EE25D4" w14:textId="77777777" w:rsidR="0057070D" w:rsidRPr="001D5327" w:rsidRDefault="0057070D" w:rsidP="00950AD6">
            <w:pPr>
              <w:pStyle w:val="TableText"/>
              <w:spacing w:before="40" w:after="30"/>
            </w:pPr>
            <w:r w:rsidRPr="001D5327">
              <w:rPr>
                <w:rFonts w:eastAsia="Calibri"/>
                <w:color w:val="000000"/>
              </w:rPr>
              <w:t>k-value</w:t>
            </w:r>
          </w:p>
        </w:tc>
        <w:tc>
          <w:tcPr>
            <w:tcW w:w="0" w:type="auto"/>
            <w:shd w:val="clear" w:color="auto" w:fill="FFFFFF"/>
            <w:tcMar>
              <w:top w:w="0" w:type="dxa"/>
              <w:left w:w="85" w:type="dxa"/>
              <w:bottom w:w="0" w:type="dxa"/>
              <w:right w:w="85" w:type="dxa"/>
            </w:tcMar>
          </w:tcPr>
          <w:p w14:paraId="182E1361" w14:textId="77777777" w:rsidR="0057070D" w:rsidRPr="001D5327" w:rsidRDefault="0057070D" w:rsidP="00950AD6">
            <w:pPr>
              <w:pStyle w:val="TableText"/>
              <w:spacing w:before="40" w:after="30"/>
              <w:jc w:val="right"/>
            </w:pPr>
            <w:r w:rsidRPr="001D5327">
              <w:rPr>
                <w:rFonts w:eastAsia="Calibri"/>
                <w:color w:val="000000"/>
              </w:rPr>
              <w:t>0.17</w:t>
            </w:r>
          </w:p>
        </w:tc>
        <w:tc>
          <w:tcPr>
            <w:tcW w:w="0" w:type="auto"/>
            <w:shd w:val="clear" w:color="auto" w:fill="FFFFFF"/>
            <w:tcMar>
              <w:top w:w="0" w:type="dxa"/>
              <w:left w:w="85" w:type="dxa"/>
              <w:bottom w:w="0" w:type="dxa"/>
              <w:right w:w="85" w:type="dxa"/>
            </w:tcMar>
          </w:tcPr>
          <w:p w14:paraId="3AAA3027" w14:textId="77777777" w:rsidR="0057070D" w:rsidRPr="001D5327" w:rsidRDefault="0057070D" w:rsidP="00950AD6">
            <w:pPr>
              <w:pStyle w:val="TableText"/>
              <w:spacing w:before="40" w:after="30"/>
            </w:pPr>
            <w:r w:rsidRPr="001D5327">
              <w:rPr>
                <w:rFonts w:eastAsia="Calibri"/>
                <w:color w:val="000000"/>
              </w:rPr>
              <w:t>IPCC default</w:t>
            </w:r>
          </w:p>
        </w:tc>
        <w:tc>
          <w:tcPr>
            <w:tcW w:w="0" w:type="auto"/>
            <w:shd w:val="clear" w:color="auto" w:fill="FFFFFF"/>
            <w:tcMar>
              <w:top w:w="0" w:type="dxa"/>
              <w:left w:w="85" w:type="dxa"/>
              <w:bottom w:w="0" w:type="dxa"/>
              <w:right w:w="85" w:type="dxa"/>
            </w:tcMar>
          </w:tcPr>
          <w:p w14:paraId="2E061FB0" w14:textId="77777777" w:rsidR="0057070D" w:rsidRPr="001D5327" w:rsidRDefault="0057070D" w:rsidP="00950AD6">
            <w:pPr>
              <w:pStyle w:val="TableText"/>
              <w:spacing w:before="40" w:after="30"/>
            </w:pPr>
            <w:r w:rsidRPr="001D5327">
              <w:rPr>
                <w:rFonts w:eastAsia="Calibri"/>
                <w:color w:val="000000"/>
              </w:rPr>
              <w:t>Table 3.2, IPCC, 2006d</w:t>
            </w:r>
          </w:p>
        </w:tc>
      </w:tr>
      <w:tr w:rsidR="00622E2B" w:rsidRPr="001D5327" w14:paraId="0194B5A8" w14:textId="77777777" w:rsidTr="00D11AC9">
        <w:tc>
          <w:tcPr>
            <w:tcW w:w="0" w:type="auto"/>
            <w:shd w:val="clear" w:color="auto" w:fill="FFFFFF"/>
            <w:tcMar>
              <w:top w:w="0" w:type="dxa"/>
              <w:left w:w="85" w:type="dxa"/>
              <w:bottom w:w="0" w:type="dxa"/>
              <w:right w:w="85" w:type="dxa"/>
            </w:tcMar>
          </w:tcPr>
          <w:p w14:paraId="0EB7E7D6" w14:textId="77777777" w:rsidR="0057070D" w:rsidRPr="001D5327" w:rsidRDefault="0057070D" w:rsidP="00950AD6">
            <w:pPr>
              <w:pStyle w:val="TableText"/>
              <w:spacing w:before="40" w:after="30"/>
            </w:pPr>
            <w:r w:rsidRPr="001D5327">
              <w:rPr>
                <w:rFonts w:eastAsia="Calibri"/>
                <w:color w:val="000000"/>
              </w:rPr>
              <w:t>Methane correction factor</w:t>
            </w:r>
          </w:p>
        </w:tc>
        <w:tc>
          <w:tcPr>
            <w:tcW w:w="0" w:type="auto"/>
            <w:shd w:val="clear" w:color="auto" w:fill="FFFFFF"/>
            <w:tcMar>
              <w:top w:w="0" w:type="dxa"/>
              <w:left w:w="85" w:type="dxa"/>
              <w:bottom w:w="0" w:type="dxa"/>
              <w:right w:w="85" w:type="dxa"/>
            </w:tcMar>
          </w:tcPr>
          <w:p w14:paraId="4045BF5B" w14:textId="77777777" w:rsidR="0057070D" w:rsidRPr="001D5327" w:rsidRDefault="0057070D" w:rsidP="00950AD6">
            <w:pPr>
              <w:pStyle w:val="TableText"/>
              <w:spacing w:before="40" w:after="30"/>
              <w:jc w:val="right"/>
            </w:pPr>
            <w:r w:rsidRPr="001D5327">
              <w:rPr>
                <w:rFonts w:eastAsia="Calibri"/>
                <w:color w:val="000000"/>
              </w:rPr>
              <w:t>0.6</w:t>
            </w:r>
          </w:p>
        </w:tc>
        <w:tc>
          <w:tcPr>
            <w:tcW w:w="0" w:type="auto"/>
            <w:shd w:val="clear" w:color="auto" w:fill="FFFFFF"/>
            <w:tcMar>
              <w:top w:w="0" w:type="dxa"/>
              <w:left w:w="85" w:type="dxa"/>
              <w:bottom w:w="0" w:type="dxa"/>
              <w:right w:w="85" w:type="dxa"/>
            </w:tcMar>
          </w:tcPr>
          <w:p w14:paraId="4ECACBE4" w14:textId="77777777" w:rsidR="0057070D" w:rsidRPr="001D5327" w:rsidRDefault="0057070D" w:rsidP="00950AD6">
            <w:pPr>
              <w:pStyle w:val="TableText"/>
              <w:spacing w:before="40" w:after="30"/>
            </w:pPr>
            <w:r w:rsidRPr="001D5327">
              <w:rPr>
                <w:rFonts w:eastAsia="Calibri"/>
                <w:color w:val="000000"/>
              </w:rPr>
              <w:t>IPCC default</w:t>
            </w:r>
          </w:p>
        </w:tc>
        <w:tc>
          <w:tcPr>
            <w:tcW w:w="0" w:type="auto"/>
            <w:shd w:val="clear" w:color="auto" w:fill="FFFFFF"/>
            <w:tcMar>
              <w:top w:w="0" w:type="dxa"/>
              <w:left w:w="85" w:type="dxa"/>
              <w:bottom w:w="0" w:type="dxa"/>
              <w:right w:w="85" w:type="dxa"/>
            </w:tcMar>
          </w:tcPr>
          <w:p w14:paraId="54FCCEC1" w14:textId="77777777" w:rsidR="0057070D" w:rsidRPr="001D5327" w:rsidRDefault="0057070D" w:rsidP="00950AD6">
            <w:pPr>
              <w:pStyle w:val="TableText"/>
              <w:spacing w:before="40" w:after="30"/>
            </w:pPr>
            <w:r w:rsidRPr="001D5327">
              <w:rPr>
                <w:rFonts w:eastAsia="Calibri"/>
                <w:color w:val="000000"/>
              </w:rPr>
              <w:t>Table 3.1, IPCC, 2006d</w:t>
            </w:r>
          </w:p>
        </w:tc>
      </w:tr>
      <w:tr w:rsidR="00622E2B" w:rsidRPr="001D5327" w14:paraId="53687413" w14:textId="77777777" w:rsidTr="00D11AC9">
        <w:tc>
          <w:tcPr>
            <w:tcW w:w="0" w:type="auto"/>
            <w:shd w:val="clear" w:color="auto" w:fill="FFFFFF"/>
            <w:tcMar>
              <w:top w:w="0" w:type="dxa"/>
              <w:left w:w="85" w:type="dxa"/>
              <w:bottom w:w="0" w:type="dxa"/>
              <w:right w:w="85" w:type="dxa"/>
            </w:tcMar>
          </w:tcPr>
          <w:p w14:paraId="4109A4F4" w14:textId="77777777" w:rsidR="0057070D" w:rsidRPr="001D5327" w:rsidRDefault="0057070D" w:rsidP="00950AD6">
            <w:pPr>
              <w:pStyle w:val="TableText"/>
              <w:spacing w:before="40" w:after="30"/>
            </w:pPr>
            <w:r w:rsidRPr="001D5327">
              <w:rPr>
                <w:rFonts w:eastAsia="Calibri"/>
                <w:color w:val="000000"/>
              </w:rPr>
              <w:t>Oxidation factor</w:t>
            </w:r>
          </w:p>
        </w:tc>
        <w:tc>
          <w:tcPr>
            <w:tcW w:w="0" w:type="auto"/>
            <w:shd w:val="clear" w:color="auto" w:fill="FFFFFF"/>
            <w:tcMar>
              <w:top w:w="0" w:type="dxa"/>
              <w:left w:w="85" w:type="dxa"/>
              <w:bottom w:w="0" w:type="dxa"/>
              <w:right w:w="85" w:type="dxa"/>
            </w:tcMar>
          </w:tcPr>
          <w:p w14:paraId="2A0A03F4" w14:textId="77777777" w:rsidR="0057070D" w:rsidRPr="001D5327" w:rsidRDefault="0057070D" w:rsidP="00950AD6">
            <w:pPr>
              <w:pStyle w:val="TableText"/>
              <w:spacing w:before="40" w:after="30"/>
              <w:jc w:val="right"/>
            </w:pPr>
            <w:r w:rsidRPr="001D5327">
              <w:rPr>
                <w:rFonts w:eastAsia="Calibri"/>
                <w:color w:val="000000"/>
              </w:rPr>
              <w:t>0 per cent</w:t>
            </w:r>
          </w:p>
        </w:tc>
        <w:tc>
          <w:tcPr>
            <w:tcW w:w="0" w:type="auto"/>
            <w:shd w:val="clear" w:color="auto" w:fill="FFFFFF"/>
            <w:tcMar>
              <w:top w:w="0" w:type="dxa"/>
              <w:left w:w="85" w:type="dxa"/>
              <w:bottom w:w="0" w:type="dxa"/>
              <w:right w:w="85" w:type="dxa"/>
            </w:tcMar>
          </w:tcPr>
          <w:p w14:paraId="5D466861" w14:textId="77777777" w:rsidR="0057070D" w:rsidRPr="001D5327" w:rsidRDefault="0057070D" w:rsidP="00950AD6">
            <w:pPr>
              <w:pStyle w:val="TableText"/>
              <w:spacing w:before="40" w:after="30"/>
            </w:pPr>
            <w:r w:rsidRPr="001D5327">
              <w:rPr>
                <w:rFonts w:eastAsia="Calibri"/>
                <w:color w:val="000000"/>
              </w:rPr>
              <w:t>IPCC default</w:t>
            </w:r>
          </w:p>
        </w:tc>
        <w:tc>
          <w:tcPr>
            <w:tcW w:w="0" w:type="auto"/>
            <w:shd w:val="clear" w:color="auto" w:fill="FFFFFF"/>
            <w:tcMar>
              <w:top w:w="0" w:type="dxa"/>
              <w:left w:w="85" w:type="dxa"/>
              <w:bottom w:w="0" w:type="dxa"/>
              <w:right w:w="85" w:type="dxa"/>
            </w:tcMar>
          </w:tcPr>
          <w:p w14:paraId="711F28AD" w14:textId="77777777" w:rsidR="0057070D" w:rsidRPr="001D5327" w:rsidRDefault="0057070D" w:rsidP="00950AD6">
            <w:pPr>
              <w:pStyle w:val="TableText"/>
              <w:spacing w:before="40" w:after="30"/>
            </w:pPr>
            <w:r w:rsidRPr="001D5327">
              <w:rPr>
                <w:rFonts w:eastAsia="Calibri"/>
                <w:color w:val="000000"/>
              </w:rPr>
              <w:t>Table 3.2, IPCC, 2006d</w:t>
            </w:r>
          </w:p>
        </w:tc>
      </w:tr>
      <w:tr w:rsidR="00622E2B" w:rsidRPr="001D5327" w14:paraId="06EF06DE" w14:textId="77777777" w:rsidTr="00D11AC9">
        <w:tc>
          <w:tcPr>
            <w:tcW w:w="0" w:type="auto"/>
            <w:shd w:val="clear" w:color="auto" w:fill="FFFFFF"/>
            <w:tcMar>
              <w:top w:w="0" w:type="dxa"/>
              <w:left w:w="85" w:type="dxa"/>
              <w:bottom w:w="0" w:type="dxa"/>
              <w:right w:w="85" w:type="dxa"/>
            </w:tcMar>
          </w:tcPr>
          <w:p w14:paraId="6939E739" w14:textId="77777777" w:rsidR="0057070D" w:rsidRPr="001D5327" w:rsidRDefault="0057070D" w:rsidP="00950AD6">
            <w:pPr>
              <w:pStyle w:val="TableText"/>
              <w:spacing w:before="40" w:after="30"/>
            </w:pPr>
            <w:r w:rsidRPr="001D5327">
              <w:rPr>
                <w:rFonts w:eastAsia="Calibri"/>
                <w:color w:val="000000"/>
              </w:rPr>
              <w:t>Starting year</w:t>
            </w:r>
          </w:p>
        </w:tc>
        <w:tc>
          <w:tcPr>
            <w:tcW w:w="0" w:type="auto"/>
            <w:shd w:val="clear" w:color="auto" w:fill="FFFFFF"/>
            <w:tcMar>
              <w:top w:w="0" w:type="dxa"/>
              <w:left w:w="85" w:type="dxa"/>
              <w:bottom w:w="0" w:type="dxa"/>
              <w:right w:w="85" w:type="dxa"/>
            </w:tcMar>
          </w:tcPr>
          <w:p w14:paraId="6D686C3E" w14:textId="77777777" w:rsidR="0057070D" w:rsidRPr="001D5327" w:rsidRDefault="0057070D" w:rsidP="00950AD6">
            <w:pPr>
              <w:pStyle w:val="TableText"/>
              <w:spacing w:before="40" w:after="30"/>
              <w:jc w:val="right"/>
            </w:pPr>
            <w:r w:rsidRPr="001D5327">
              <w:rPr>
                <w:rFonts w:eastAsia="Calibri"/>
                <w:color w:val="000000"/>
              </w:rPr>
              <w:t>1950</w:t>
            </w:r>
          </w:p>
        </w:tc>
        <w:tc>
          <w:tcPr>
            <w:tcW w:w="0" w:type="auto"/>
            <w:shd w:val="clear" w:color="auto" w:fill="FFFFFF"/>
            <w:tcMar>
              <w:top w:w="0" w:type="dxa"/>
              <w:left w:w="85" w:type="dxa"/>
              <w:bottom w:w="0" w:type="dxa"/>
              <w:right w:w="85" w:type="dxa"/>
            </w:tcMar>
          </w:tcPr>
          <w:p w14:paraId="5A0D6E00" w14:textId="77777777" w:rsidR="0057070D" w:rsidRPr="001D5327" w:rsidRDefault="0057070D" w:rsidP="00950AD6">
            <w:pPr>
              <w:pStyle w:val="TableText"/>
              <w:spacing w:before="40" w:after="30"/>
            </w:pPr>
            <w:r w:rsidRPr="001D5327">
              <w:rPr>
                <w:rFonts w:eastAsia="Calibri"/>
                <w:color w:val="000000"/>
              </w:rPr>
              <w:t>IPCC default</w:t>
            </w:r>
          </w:p>
        </w:tc>
        <w:tc>
          <w:tcPr>
            <w:tcW w:w="0" w:type="auto"/>
            <w:shd w:val="clear" w:color="auto" w:fill="FFFFFF"/>
            <w:tcMar>
              <w:top w:w="0" w:type="dxa"/>
              <w:left w:w="85" w:type="dxa"/>
              <w:bottom w:w="0" w:type="dxa"/>
              <w:right w:w="85" w:type="dxa"/>
            </w:tcMar>
          </w:tcPr>
          <w:p w14:paraId="5041C9FE" w14:textId="77777777" w:rsidR="0057070D" w:rsidRPr="001D5327" w:rsidRDefault="0057070D" w:rsidP="00950AD6">
            <w:pPr>
              <w:pStyle w:val="TableText"/>
              <w:spacing w:before="40" w:after="30"/>
            </w:pPr>
            <w:r w:rsidRPr="001D5327">
              <w:rPr>
                <w:rFonts w:eastAsia="Calibri"/>
                <w:color w:val="000000"/>
              </w:rPr>
              <w:t>Section 3.6, p 3.24, IPCC, 2006d</w:t>
            </w:r>
          </w:p>
        </w:tc>
      </w:tr>
      <w:tr w:rsidR="00622E2B" w:rsidRPr="001D5327" w14:paraId="497F7832" w14:textId="77777777" w:rsidTr="00D11AC9">
        <w:tc>
          <w:tcPr>
            <w:tcW w:w="0" w:type="auto"/>
            <w:shd w:val="clear" w:color="auto" w:fill="FFFFFF"/>
            <w:tcMar>
              <w:top w:w="0" w:type="dxa"/>
              <w:left w:w="85" w:type="dxa"/>
              <w:bottom w:w="0" w:type="dxa"/>
              <w:right w:w="85" w:type="dxa"/>
            </w:tcMar>
          </w:tcPr>
          <w:p w14:paraId="1AE73437" w14:textId="77777777" w:rsidR="0057070D" w:rsidRPr="001D5327" w:rsidRDefault="0057070D" w:rsidP="00950AD6">
            <w:pPr>
              <w:pStyle w:val="TableText"/>
              <w:spacing w:before="40" w:after="30"/>
            </w:pPr>
            <w:r w:rsidRPr="001D5327">
              <w:rPr>
                <w:rFonts w:eastAsia="Calibri"/>
                <w:color w:val="000000"/>
              </w:rPr>
              <w:t>Delay time</w:t>
            </w:r>
          </w:p>
        </w:tc>
        <w:tc>
          <w:tcPr>
            <w:tcW w:w="0" w:type="auto"/>
            <w:shd w:val="clear" w:color="auto" w:fill="FFFFFF"/>
            <w:tcMar>
              <w:top w:w="0" w:type="dxa"/>
              <w:left w:w="85" w:type="dxa"/>
              <w:bottom w:w="0" w:type="dxa"/>
              <w:right w:w="85" w:type="dxa"/>
            </w:tcMar>
          </w:tcPr>
          <w:p w14:paraId="32CAD2FC" w14:textId="77777777" w:rsidR="0057070D" w:rsidRPr="001D5327" w:rsidRDefault="0057070D" w:rsidP="00950AD6">
            <w:pPr>
              <w:pStyle w:val="TableText"/>
              <w:spacing w:before="40" w:after="30"/>
              <w:jc w:val="right"/>
            </w:pPr>
            <w:r w:rsidRPr="001D5327">
              <w:rPr>
                <w:rFonts w:eastAsia="Calibri"/>
                <w:color w:val="000000"/>
              </w:rPr>
              <w:t>6 months</w:t>
            </w:r>
          </w:p>
        </w:tc>
        <w:tc>
          <w:tcPr>
            <w:tcW w:w="0" w:type="auto"/>
            <w:shd w:val="clear" w:color="auto" w:fill="FFFFFF"/>
            <w:tcMar>
              <w:top w:w="0" w:type="dxa"/>
              <w:left w:w="85" w:type="dxa"/>
              <w:bottom w:w="0" w:type="dxa"/>
              <w:right w:w="85" w:type="dxa"/>
            </w:tcMar>
          </w:tcPr>
          <w:p w14:paraId="2A0CDF72" w14:textId="77777777" w:rsidR="0057070D" w:rsidRPr="001D5327" w:rsidRDefault="0057070D" w:rsidP="00950AD6">
            <w:pPr>
              <w:pStyle w:val="TableText"/>
              <w:spacing w:before="40" w:after="30"/>
            </w:pPr>
            <w:r w:rsidRPr="001D5327">
              <w:rPr>
                <w:rFonts w:eastAsia="Calibri"/>
                <w:color w:val="000000"/>
              </w:rPr>
              <w:t>IPCC default</w:t>
            </w:r>
          </w:p>
        </w:tc>
        <w:tc>
          <w:tcPr>
            <w:tcW w:w="0" w:type="auto"/>
            <w:shd w:val="clear" w:color="auto" w:fill="FFFFFF"/>
            <w:tcMar>
              <w:top w:w="0" w:type="dxa"/>
              <w:left w:w="85" w:type="dxa"/>
              <w:bottom w:w="0" w:type="dxa"/>
              <w:right w:w="85" w:type="dxa"/>
            </w:tcMar>
          </w:tcPr>
          <w:p w14:paraId="4AE4E058" w14:textId="77777777" w:rsidR="0057070D" w:rsidRPr="001D5327" w:rsidRDefault="0057070D" w:rsidP="00950AD6">
            <w:pPr>
              <w:pStyle w:val="TableText"/>
              <w:spacing w:before="40" w:after="30"/>
            </w:pPr>
            <w:r w:rsidRPr="001D5327">
              <w:rPr>
                <w:rFonts w:eastAsia="Calibri"/>
                <w:color w:val="000000"/>
              </w:rPr>
              <w:t>Section 3.2.3, p 3.19, IPCC, 2006d</w:t>
            </w:r>
          </w:p>
        </w:tc>
      </w:tr>
      <w:tr w:rsidR="00622E2B" w:rsidRPr="001D5327" w14:paraId="40691BAE" w14:textId="77777777" w:rsidTr="00D11AC9">
        <w:tc>
          <w:tcPr>
            <w:tcW w:w="0" w:type="auto"/>
            <w:shd w:val="clear" w:color="auto" w:fill="FFFFFF"/>
            <w:tcMar>
              <w:top w:w="0" w:type="dxa"/>
              <w:left w:w="85" w:type="dxa"/>
              <w:bottom w:w="0" w:type="dxa"/>
              <w:right w:w="85" w:type="dxa"/>
            </w:tcMar>
          </w:tcPr>
          <w:p w14:paraId="3A32E30B" w14:textId="77777777" w:rsidR="0057070D" w:rsidRPr="001D5327" w:rsidRDefault="0057070D" w:rsidP="00950AD6">
            <w:pPr>
              <w:pStyle w:val="TableText"/>
              <w:spacing w:before="40" w:after="30"/>
            </w:pPr>
            <w:r w:rsidRPr="001D5327">
              <w:rPr>
                <w:rFonts w:eastAsia="Calibri"/>
                <w:color w:val="000000"/>
              </w:rPr>
              <w:t>Fraction of DOC that decomposes</w:t>
            </w:r>
          </w:p>
        </w:tc>
        <w:tc>
          <w:tcPr>
            <w:tcW w:w="0" w:type="auto"/>
            <w:shd w:val="clear" w:color="auto" w:fill="FFFFFF"/>
            <w:tcMar>
              <w:top w:w="0" w:type="dxa"/>
              <w:left w:w="85" w:type="dxa"/>
              <w:bottom w:w="0" w:type="dxa"/>
              <w:right w:w="85" w:type="dxa"/>
            </w:tcMar>
          </w:tcPr>
          <w:p w14:paraId="4D3CDE68" w14:textId="77777777" w:rsidR="0057070D" w:rsidRPr="001D5327" w:rsidRDefault="0057070D" w:rsidP="00950AD6">
            <w:pPr>
              <w:pStyle w:val="TableText"/>
              <w:spacing w:before="40" w:after="30"/>
              <w:jc w:val="right"/>
            </w:pPr>
            <w:r w:rsidRPr="001D5327">
              <w:rPr>
                <w:rFonts w:eastAsia="Calibri"/>
                <w:color w:val="000000"/>
              </w:rPr>
              <w:t>0.5</w:t>
            </w:r>
          </w:p>
        </w:tc>
        <w:tc>
          <w:tcPr>
            <w:tcW w:w="0" w:type="auto"/>
            <w:shd w:val="clear" w:color="auto" w:fill="FFFFFF"/>
            <w:tcMar>
              <w:top w:w="0" w:type="dxa"/>
              <w:left w:w="85" w:type="dxa"/>
              <w:bottom w:w="0" w:type="dxa"/>
              <w:right w:w="85" w:type="dxa"/>
            </w:tcMar>
          </w:tcPr>
          <w:p w14:paraId="332D2B93" w14:textId="77777777" w:rsidR="0057070D" w:rsidRPr="001D5327" w:rsidRDefault="0057070D" w:rsidP="00950AD6">
            <w:pPr>
              <w:pStyle w:val="TableText"/>
              <w:spacing w:before="40" w:after="30"/>
            </w:pPr>
            <w:r w:rsidRPr="001D5327">
              <w:rPr>
                <w:rFonts w:eastAsia="Calibri"/>
                <w:color w:val="000000"/>
              </w:rPr>
              <w:t>IPCC default</w:t>
            </w:r>
          </w:p>
        </w:tc>
        <w:tc>
          <w:tcPr>
            <w:tcW w:w="0" w:type="auto"/>
            <w:shd w:val="clear" w:color="auto" w:fill="FFFFFF"/>
            <w:tcMar>
              <w:top w:w="0" w:type="dxa"/>
              <w:left w:w="85" w:type="dxa"/>
              <w:bottom w:w="0" w:type="dxa"/>
              <w:right w:w="85" w:type="dxa"/>
            </w:tcMar>
          </w:tcPr>
          <w:p w14:paraId="66ED808A" w14:textId="77777777" w:rsidR="0057070D" w:rsidRPr="001D5327" w:rsidRDefault="0057070D" w:rsidP="00950AD6">
            <w:pPr>
              <w:pStyle w:val="TableText"/>
              <w:spacing w:before="40" w:after="30"/>
            </w:pPr>
            <w:r w:rsidRPr="001D5327">
              <w:rPr>
                <w:rFonts w:eastAsia="Calibri"/>
                <w:color w:val="000000"/>
              </w:rPr>
              <w:t>Section 3.2.3, p 3.13, IPCC, 2006d</w:t>
            </w:r>
          </w:p>
        </w:tc>
      </w:tr>
      <w:tr w:rsidR="00622E2B" w:rsidRPr="001D5327" w14:paraId="25BFEEEC" w14:textId="77777777" w:rsidTr="00D11AC9">
        <w:tc>
          <w:tcPr>
            <w:tcW w:w="0" w:type="auto"/>
            <w:shd w:val="clear" w:color="auto" w:fill="FFFFFF"/>
            <w:tcMar>
              <w:top w:w="0" w:type="dxa"/>
              <w:left w:w="85" w:type="dxa"/>
              <w:bottom w:w="0" w:type="dxa"/>
              <w:right w:w="85" w:type="dxa"/>
            </w:tcMar>
          </w:tcPr>
          <w:p w14:paraId="1B57AB1E" w14:textId="77777777" w:rsidR="0057070D" w:rsidRPr="001D5327" w:rsidRDefault="0057070D" w:rsidP="00950AD6">
            <w:pPr>
              <w:pStyle w:val="TableText"/>
              <w:spacing w:before="40" w:after="30"/>
            </w:pPr>
            <w:r w:rsidRPr="001D5327">
              <w:rPr>
                <w:rFonts w:eastAsia="Calibri"/>
                <w:color w:val="000000"/>
              </w:rPr>
              <w:t>Fraction of CH</w:t>
            </w:r>
            <w:r w:rsidRPr="001D5327">
              <w:rPr>
                <w:rFonts w:eastAsia="Calibri"/>
                <w:color w:val="000000"/>
                <w:vertAlign w:val="subscript"/>
              </w:rPr>
              <w:t>4</w:t>
            </w:r>
            <w:r w:rsidRPr="001D5327">
              <w:rPr>
                <w:rFonts w:eastAsia="Calibri"/>
                <w:color w:val="000000"/>
              </w:rPr>
              <w:t xml:space="preserve"> in gas</w:t>
            </w:r>
          </w:p>
        </w:tc>
        <w:tc>
          <w:tcPr>
            <w:tcW w:w="0" w:type="auto"/>
            <w:shd w:val="clear" w:color="auto" w:fill="FFFFFF"/>
            <w:tcMar>
              <w:top w:w="0" w:type="dxa"/>
              <w:left w:w="85" w:type="dxa"/>
              <w:bottom w:w="0" w:type="dxa"/>
              <w:right w:w="85" w:type="dxa"/>
            </w:tcMar>
          </w:tcPr>
          <w:p w14:paraId="0D4C6DA0" w14:textId="77777777" w:rsidR="0057070D" w:rsidRPr="001D5327" w:rsidRDefault="0057070D" w:rsidP="00950AD6">
            <w:pPr>
              <w:pStyle w:val="TableText"/>
              <w:spacing w:before="40" w:after="30"/>
              <w:jc w:val="right"/>
            </w:pPr>
            <w:r w:rsidRPr="001D5327">
              <w:rPr>
                <w:rFonts w:eastAsia="Calibri"/>
                <w:color w:val="000000"/>
              </w:rPr>
              <w:t>0.5</w:t>
            </w:r>
          </w:p>
        </w:tc>
        <w:tc>
          <w:tcPr>
            <w:tcW w:w="0" w:type="auto"/>
            <w:shd w:val="clear" w:color="auto" w:fill="FFFFFF"/>
            <w:tcMar>
              <w:top w:w="0" w:type="dxa"/>
              <w:left w:w="85" w:type="dxa"/>
              <w:bottom w:w="0" w:type="dxa"/>
              <w:right w:w="85" w:type="dxa"/>
            </w:tcMar>
          </w:tcPr>
          <w:p w14:paraId="481650CA" w14:textId="77777777" w:rsidR="0057070D" w:rsidRPr="001D5327" w:rsidRDefault="0057070D" w:rsidP="00950AD6">
            <w:pPr>
              <w:pStyle w:val="TableText"/>
              <w:spacing w:before="40" w:after="30"/>
            </w:pPr>
            <w:r w:rsidRPr="001D5327">
              <w:rPr>
                <w:rFonts w:eastAsia="Calibri"/>
                <w:color w:val="000000"/>
              </w:rPr>
              <w:t>IPCC default</w:t>
            </w:r>
          </w:p>
        </w:tc>
        <w:tc>
          <w:tcPr>
            <w:tcW w:w="0" w:type="auto"/>
            <w:shd w:val="clear" w:color="auto" w:fill="FFFFFF"/>
            <w:tcMar>
              <w:top w:w="0" w:type="dxa"/>
              <w:left w:w="85" w:type="dxa"/>
              <w:bottom w:w="0" w:type="dxa"/>
              <w:right w:w="85" w:type="dxa"/>
            </w:tcMar>
          </w:tcPr>
          <w:p w14:paraId="1B264208" w14:textId="77777777" w:rsidR="0057070D" w:rsidRPr="001D5327" w:rsidRDefault="0057070D" w:rsidP="00950AD6">
            <w:pPr>
              <w:pStyle w:val="TableText"/>
              <w:spacing w:before="40" w:after="30"/>
            </w:pPr>
            <w:r w:rsidRPr="001D5327">
              <w:rPr>
                <w:rFonts w:eastAsia="Calibri"/>
                <w:color w:val="000000"/>
              </w:rPr>
              <w:t>Section 3.2.3, p 3.15, IPCC, 2006d</w:t>
            </w:r>
          </w:p>
        </w:tc>
      </w:tr>
      <w:tr w:rsidR="00622E2B" w:rsidRPr="001D5327" w14:paraId="7AE15B94" w14:textId="77777777" w:rsidTr="00D11AC9">
        <w:tc>
          <w:tcPr>
            <w:tcW w:w="0" w:type="auto"/>
            <w:shd w:val="clear" w:color="auto" w:fill="FFFFFF"/>
            <w:tcMar>
              <w:top w:w="0" w:type="dxa"/>
              <w:left w:w="85" w:type="dxa"/>
              <w:bottom w:w="0" w:type="dxa"/>
              <w:right w:w="85" w:type="dxa"/>
            </w:tcMar>
          </w:tcPr>
          <w:p w14:paraId="4F3D882F" w14:textId="77777777" w:rsidR="0057070D" w:rsidRPr="001D5327" w:rsidRDefault="0057070D" w:rsidP="00950AD6">
            <w:pPr>
              <w:pStyle w:val="TableText"/>
              <w:spacing w:before="40" w:after="30"/>
            </w:pPr>
            <w:r w:rsidRPr="001D5327">
              <w:rPr>
                <w:rFonts w:eastAsia="Calibri"/>
                <w:color w:val="000000"/>
              </w:rPr>
              <w:t>Amount of waste per person per year</w:t>
            </w:r>
          </w:p>
        </w:tc>
        <w:tc>
          <w:tcPr>
            <w:tcW w:w="0" w:type="auto"/>
            <w:shd w:val="clear" w:color="auto" w:fill="FFFFFF"/>
            <w:tcMar>
              <w:top w:w="0" w:type="dxa"/>
              <w:left w:w="85" w:type="dxa"/>
              <w:bottom w:w="0" w:type="dxa"/>
              <w:right w:w="85" w:type="dxa"/>
            </w:tcMar>
          </w:tcPr>
          <w:p w14:paraId="069E529D" w14:textId="77777777" w:rsidR="0057070D" w:rsidRPr="001D5327" w:rsidRDefault="0057070D" w:rsidP="00950AD6">
            <w:pPr>
              <w:pStyle w:val="TableText"/>
              <w:spacing w:before="40" w:after="30"/>
              <w:jc w:val="right"/>
            </w:pPr>
            <w:r w:rsidRPr="001D5327">
              <w:rPr>
                <w:rFonts w:eastAsia="Calibri"/>
                <w:color w:val="000000"/>
              </w:rPr>
              <w:t>690 kg</w:t>
            </w:r>
          </w:p>
        </w:tc>
        <w:tc>
          <w:tcPr>
            <w:tcW w:w="0" w:type="auto"/>
            <w:shd w:val="clear" w:color="auto" w:fill="FFFFFF"/>
            <w:tcMar>
              <w:top w:w="0" w:type="dxa"/>
              <w:left w:w="85" w:type="dxa"/>
              <w:bottom w:w="0" w:type="dxa"/>
              <w:right w:w="85" w:type="dxa"/>
            </w:tcMar>
          </w:tcPr>
          <w:p w14:paraId="02D3F4DB" w14:textId="77777777" w:rsidR="0057070D" w:rsidRPr="001D5327" w:rsidRDefault="0057070D" w:rsidP="00950AD6">
            <w:pPr>
              <w:pStyle w:val="TableText"/>
              <w:spacing w:before="40" w:after="30"/>
            </w:pPr>
            <w:r w:rsidRPr="001D5327">
              <w:rPr>
                <w:rFonts w:eastAsia="Calibri"/>
                <w:color w:val="000000"/>
              </w:rPr>
              <w:t>IPCC default for Oceania</w:t>
            </w:r>
          </w:p>
        </w:tc>
        <w:tc>
          <w:tcPr>
            <w:tcW w:w="0" w:type="auto"/>
            <w:shd w:val="clear" w:color="auto" w:fill="FFFFFF"/>
            <w:tcMar>
              <w:top w:w="0" w:type="dxa"/>
              <w:left w:w="85" w:type="dxa"/>
              <w:bottom w:w="0" w:type="dxa"/>
              <w:right w:w="85" w:type="dxa"/>
            </w:tcMar>
          </w:tcPr>
          <w:p w14:paraId="1865224B" w14:textId="77777777" w:rsidR="0057070D" w:rsidRPr="001D5327" w:rsidRDefault="0057070D" w:rsidP="00950AD6">
            <w:pPr>
              <w:pStyle w:val="TableText"/>
              <w:spacing w:before="40" w:after="30"/>
            </w:pPr>
            <w:r w:rsidRPr="001D5327">
              <w:rPr>
                <w:rFonts w:eastAsia="Calibri"/>
                <w:color w:val="000000"/>
              </w:rPr>
              <w:t>Annex 2A.1, IPCC, 2006d</w:t>
            </w:r>
          </w:p>
        </w:tc>
      </w:tr>
      <w:tr w:rsidR="00622E2B" w:rsidRPr="001D5327" w14:paraId="70ED72A6" w14:textId="77777777" w:rsidTr="00D11AC9">
        <w:tc>
          <w:tcPr>
            <w:tcW w:w="0" w:type="auto"/>
            <w:shd w:val="clear" w:color="auto" w:fill="FFFFFF"/>
            <w:tcMar>
              <w:top w:w="0" w:type="dxa"/>
              <w:left w:w="85" w:type="dxa"/>
              <w:bottom w:w="0" w:type="dxa"/>
              <w:right w:w="85" w:type="dxa"/>
            </w:tcMar>
          </w:tcPr>
          <w:p w14:paraId="328346C9" w14:textId="77777777" w:rsidR="0057070D" w:rsidRPr="001D5327" w:rsidRDefault="0057070D" w:rsidP="00950AD6">
            <w:pPr>
              <w:pStyle w:val="TableText"/>
              <w:spacing w:before="40" w:after="30"/>
            </w:pPr>
            <w:r w:rsidRPr="001D5327">
              <w:rPr>
                <w:rFonts w:eastAsia="Calibri"/>
                <w:color w:val="000000"/>
              </w:rPr>
              <w:t>Amount of waste landfilled</w:t>
            </w:r>
          </w:p>
        </w:tc>
        <w:tc>
          <w:tcPr>
            <w:tcW w:w="0" w:type="auto"/>
            <w:shd w:val="clear" w:color="auto" w:fill="FFFFFF"/>
            <w:tcMar>
              <w:top w:w="0" w:type="dxa"/>
              <w:left w:w="85" w:type="dxa"/>
              <w:bottom w:w="0" w:type="dxa"/>
              <w:right w:w="85" w:type="dxa"/>
            </w:tcMar>
          </w:tcPr>
          <w:p w14:paraId="713F56F9" w14:textId="77777777" w:rsidR="0057070D" w:rsidRPr="001D5327" w:rsidRDefault="0057070D" w:rsidP="00950AD6">
            <w:pPr>
              <w:pStyle w:val="TableText"/>
              <w:spacing w:before="40" w:after="30"/>
              <w:jc w:val="right"/>
            </w:pPr>
            <w:r w:rsidRPr="001D5327">
              <w:rPr>
                <w:rFonts w:eastAsia="Calibri"/>
                <w:color w:val="000000"/>
              </w:rPr>
              <w:t>50 per cent</w:t>
            </w:r>
          </w:p>
        </w:tc>
        <w:tc>
          <w:tcPr>
            <w:tcW w:w="0" w:type="auto"/>
            <w:shd w:val="clear" w:color="auto" w:fill="FFFFFF"/>
            <w:tcMar>
              <w:top w:w="0" w:type="dxa"/>
              <w:left w:w="85" w:type="dxa"/>
              <w:bottom w:w="0" w:type="dxa"/>
              <w:right w:w="85" w:type="dxa"/>
            </w:tcMar>
          </w:tcPr>
          <w:p w14:paraId="25F87303" w14:textId="77777777" w:rsidR="0057070D" w:rsidRPr="001D5327" w:rsidRDefault="0057070D" w:rsidP="00950AD6">
            <w:pPr>
              <w:pStyle w:val="TableText"/>
              <w:spacing w:before="40" w:after="30"/>
            </w:pPr>
            <w:r w:rsidRPr="001D5327">
              <w:rPr>
                <w:rFonts w:eastAsia="Calibri"/>
                <w:color w:val="000000"/>
              </w:rPr>
              <w:t>Assumption</w:t>
            </w:r>
          </w:p>
        </w:tc>
        <w:tc>
          <w:tcPr>
            <w:tcW w:w="0" w:type="auto"/>
            <w:shd w:val="clear" w:color="auto" w:fill="FFFFFF"/>
            <w:tcMar>
              <w:top w:w="0" w:type="dxa"/>
              <w:left w:w="85" w:type="dxa"/>
              <w:bottom w:w="0" w:type="dxa"/>
              <w:right w:w="85" w:type="dxa"/>
            </w:tcMar>
          </w:tcPr>
          <w:p w14:paraId="47610AF0" w14:textId="77777777" w:rsidR="0057070D" w:rsidRPr="001D5327" w:rsidRDefault="0057070D" w:rsidP="00950AD6">
            <w:pPr>
              <w:pStyle w:val="TableText"/>
              <w:spacing w:before="40" w:after="30"/>
            </w:pPr>
          </w:p>
        </w:tc>
      </w:tr>
    </w:tbl>
    <w:p w14:paraId="605445DC" w14:textId="77777777" w:rsidR="0057070D" w:rsidRPr="001D5327" w:rsidRDefault="0057070D" w:rsidP="0057070D">
      <w:pPr>
        <w:pStyle w:val="Noteundertable"/>
      </w:pPr>
      <w:r w:rsidRPr="001D5327">
        <w:rPr>
          <w:b/>
          <w:bCs/>
        </w:rPr>
        <w:t>Note:</w:t>
      </w:r>
      <w:r w:rsidRPr="001D5327">
        <w:tab/>
        <w:t>DOC = degradable organic carbon; MSW = municipal solid waste; SWDS = solid waste disposal sites.</w:t>
      </w:r>
    </w:p>
    <w:p w14:paraId="1C08F6FE" w14:textId="77777777" w:rsidR="0057070D" w:rsidRPr="001D5327" w:rsidRDefault="0057070D" w:rsidP="005E3BC6">
      <w:pPr>
        <w:pStyle w:val="Heading3"/>
        <w:tabs>
          <w:tab w:val="clear" w:pos="851"/>
          <w:tab w:val="left" w:pos="993"/>
        </w:tabs>
      </w:pPr>
      <w:bookmarkStart w:id="3007" w:name="X9b79e4fefa7188dad27b479ccb933c05645bf7e"/>
      <w:bookmarkEnd w:id="3003"/>
      <w:bookmarkEnd w:id="3005"/>
      <w:r w:rsidRPr="001D5327">
        <w:lastRenderedPageBreak/>
        <w:t>8.13.3</w:t>
      </w:r>
      <w:r w:rsidRPr="001D5327">
        <w:tab/>
        <w:t>Uncertainty assessment and time-series consistency</w:t>
      </w:r>
    </w:p>
    <w:p w14:paraId="1EF84199" w14:textId="77777777" w:rsidR="0057070D" w:rsidRPr="001D5327" w:rsidRDefault="0057070D" w:rsidP="0057070D">
      <w:pPr>
        <w:pStyle w:val="BodyText"/>
      </w:pPr>
      <w:r w:rsidRPr="001D5327">
        <w:t xml:space="preserve">The same uncertainty data for uncategorised landfills were used for Tokelau and New Zealand (see table 7.2.9, chapter 7; for methodological notes, refer to the uncertainties for the </w:t>
      </w:r>
      <w:r w:rsidRPr="001D5327">
        <w:rPr>
          <w:i/>
          <w:iCs/>
        </w:rPr>
        <w:t>Solid waste disposal</w:t>
      </w:r>
      <w:r w:rsidRPr="001D5327">
        <w:t xml:space="preserve"> category, section 7.2.3, chapter 7; and table 8.13.2).</w:t>
      </w:r>
    </w:p>
    <w:p w14:paraId="34F93D76" w14:textId="77777777" w:rsidR="0057070D" w:rsidRPr="001D5327" w:rsidRDefault="0057070D" w:rsidP="006F2C7E">
      <w:pPr>
        <w:pStyle w:val="Table"/>
      </w:pPr>
      <w:bookmarkStart w:id="3008" w:name="_Toc194241841"/>
      <w:r w:rsidRPr="001D5327">
        <w:t>Table 8.13.2</w:t>
      </w:r>
      <w:r w:rsidRPr="001D5327">
        <w:tab/>
        <w:t xml:space="preserve">Uncertainty in emissions from the </w:t>
      </w:r>
      <w:r w:rsidRPr="001D5327">
        <w:rPr>
          <w:i/>
          <w:iCs/>
        </w:rPr>
        <w:t>Solid waste disposal</w:t>
      </w:r>
      <w:r w:rsidRPr="001D5327">
        <w:t xml:space="preserve"> category</w:t>
      </w:r>
      <w:bookmarkEnd w:id="3008"/>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203"/>
        <w:gridCol w:w="2971"/>
        <w:gridCol w:w="3320"/>
      </w:tblGrid>
      <w:tr w:rsidR="0057070D" w:rsidRPr="001D5327" w14:paraId="242146FE" w14:textId="77777777" w:rsidTr="00D11AC9">
        <w:trPr>
          <w:tblHeader/>
        </w:trPr>
        <w:tc>
          <w:tcPr>
            <w:tcW w:w="0" w:type="auto"/>
            <w:shd w:val="clear" w:color="auto" w:fill="1B556B"/>
            <w:tcMar>
              <w:top w:w="0" w:type="dxa"/>
              <w:left w:w="85" w:type="dxa"/>
              <w:bottom w:w="0" w:type="dxa"/>
              <w:right w:w="85" w:type="dxa"/>
            </w:tcMar>
            <w:vAlign w:val="center"/>
          </w:tcPr>
          <w:p w14:paraId="58B79828" w14:textId="77777777" w:rsidR="0057070D" w:rsidRPr="001D5327" w:rsidRDefault="0057070D" w:rsidP="00D11AC9">
            <w:pPr>
              <w:pStyle w:val="TableTextBold"/>
              <w:rPr>
                <w:noProof w:val="0"/>
                <w:color w:val="FFFFFF" w:themeColor="background1"/>
              </w:rPr>
            </w:pPr>
            <w:r w:rsidRPr="001D5327">
              <w:rPr>
                <w:rFonts w:eastAsia="Calibri"/>
                <w:noProof w:val="0"/>
                <w:color w:val="FFFFFF" w:themeColor="background1"/>
              </w:rPr>
              <w:t>Emissions category</w:t>
            </w:r>
          </w:p>
        </w:tc>
        <w:tc>
          <w:tcPr>
            <w:tcW w:w="0" w:type="auto"/>
            <w:shd w:val="clear" w:color="auto" w:fill="1B556B"/>
            <w:tcMar>
              <w:top w:w="0" w:type="dxa"/>
              <w:left w:w="85" w:type="dxa"/>
              <w:bottom w:w="0" w:type="dxa"/>
              <w:right w:w="85" w:type="dxa"/>
            </w:tcMar>
            <w:vAlign w:val="center"/>
          </w:tcPr>
          <w:p w14:paraId="16550A87" w14:textId="77777777" w:rsidR="0057070D" w:rsidRPr="001D5327" w:rsidRDefault="0057070D" w:rsidP="00D11AC9">
            <w:pPr>
              <w:pStyle w:val="TableTextBold"/>
              <w:jc w:val="right"/>
              <w:rPr>
                <w:noProof w:val="0"/>
                <w:color w:val="FFFFFF" w:themeColor="background1"/>
              </w:rPr>
            </w:pPr>
            <w:r w:rsidRPr="001D5327">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vAlign w:val="center"/>
          </w:tcPr>
          <w:p w14:paraId="5781A845" w14:textId="77777777" w:rsidR="0057070D" w:rsidRPr="001D5327" w:rsidRDefault="0057070D" w:rsidP="00D11AC9">
            <w:pPr>
              <w:pStyle w:val="TableTextBold"/>
              <w:jc w:val="right"/>
              <w:rPr>
                <w:noProof w:val="0"/>
                <w:color w:val="FFFFFF" w:themeColor="background1"/>
              </w:rPr>
            </w:pPr>
            <w:r w:rsidRPr="001D5327">
              <w:rPr>
                <w:rFonts w:eastAsia="Calibri"/>
                <w:noProof w:val="0"/>
                <w:color w:val="FFFFFF" w:themeColor="background1"/>
              </w:rPr>
              <w:t>Uncertainty in emission factors (%)</w:t>
            </w:r>
          </w:p>
        </w:tc>
      </w:tr>
      <w:tr w:rsidR="00622E2B" w:rsidRPr="001D5327" w14:paraId="2C77457A" w14:textId="77777777" w:rsidTr="00D11AC9">
        <w:tc>
          <w:tcPr>
            <w:tcW w:w="0" w:type="auto"/>
            <w:shd w:val="clear" w:color="auto" w:fill="FFFFFF"/>
            <w:tcMar>
              <w:top w:w="0" w:type="dxa"/>
              <w:left w:w="85" w:type="dxa"/>
              <w:bottom w:w="0" w:type="dxa"/>
              <w:right w:w="85" w:type="dxa"/>
            </w:tcMar>
            <w:vAlign w:val="center"/>
          </w:tcPr>
          <w:p w14:paraId="2BAD55A4" w14:textId="77777777" w:rsidR="0057070D" w:rsidRPr="001D5327" w:rsidRDefault="0057070D" w:rsidP="00D11AC9">
            <w:pPr>
              <w:pStyle w:val="TableText"/>
            </w:pPr>
            <w:r w:rsidRPr="001D5327">
              <w:rPr>
                <w:rFonts w:eastAsia="Calibri"/>
                <w:color w:val="000000"/>
              </w:rPr>
              <w:t>Uncategorised landfills</w:t>
            </w:r>
          </w:p>
        </w:tc>
        <w:tc>
          <w:tcPr>
            <w:tcW w:w="0" w:type="auto"/>
            <w:shd w:val="clear" w:color="auto" w:fill="FFFFFF"/>
            <w:tcMar>
              <w:top w:w="0" w:type="dxa"/>
              <w:left w:w="85" w:type="dxa"/>
              <w:bottom w:w="0" w:type="dxa"/>
              <w:right w:w="85" w:type="dxa"/>
            </w:tcMar>
            <w:vAlign w:val="center"/>
          </w:tcPr>
          <w:p w14:paraId="33BB467A" w14:textId="77777777" w:rsidR="0057070D" w:rsidRPr="001D5327" w:rsidRDefault="0057070D" w:rsidP="00D11AC9">
            <w:pPr>
              <w:pStyle w:val="TableText"/>
              <w:jc w:val="right"/>
            </w:pPr>
            <w:r w:rsidRPr="001D5327">
              <w:rPr>
                <w:rFonts w:eastAsia="Calibri"/>
                <w:color w:val="000000"/>
              </w:rPr>
              <w:t>±140</w:t>
            </w:r>
          </w:p>
        </w:tc>
        <w:tc>
          <w:tcPr>
            <w:tcW w:w="0" w:type="auto"/>
            <w:shd w:val="clear" w:color="auto" w:fill="FFFFFF"/>
            <w:tcMar>
              <w:top w:w="0" w:type="dxa"/>
              <w:left w:w="85" w:type="dxa"/>
              <w:bottom w:w="0" w:type="dxa"/>
              <w:right w:w="85" w:type="dxa"/>
            </w:tcMar>
            <w:vAlign w:val="center"/>
          </w:tcPr>
          <w:p w14:paraId="328B7E41" w14:textId="77777777" w:rsidR="0057070D" w:rsidRPr="001D5327" w:rsidRDefault="0057070D" w:rsidP="00D11AC9">
            <w:pPr>
              <w:pStyle w:val="TableText"/>
              <w:jc w:val="right"/>
            </w:pPr>
            <w:r w:rsidRPr="001D5327">
              <w:rPr>
                <w:rFonts w:eastAsia="Calibri"/>
                <w:color w:val="000000"/>
              </w:rPr>
              <w:t>±40</w:t>
            </w:r>
          </w:p>
        </w:tc>
      </w:tr>
    </w:tbl>
    <w:p w14:paraId="76B12632" w14:textId="77777777" w:rsidR="0057070D" w:rsidRPr="001D5327" w:rsidRDefault="0057070D" w:rsidP="0057070D">
      <w:pPr>
        <w:pStyle w:val="BodyText"/>
        <w:spacing w:before="240"/>
      </w:pPr>
      <w:r w:rsidRPr="001D5327">
        <w:t>Time-series consistency is maintained by interpolating the population data in between census years, which are generally five years apart.</w:t>
      </w:r>
    </w:p>
    <w:p w14:paraId="051333F2" w14:textId="77777777" w:rsidR="0057070D" w:rsidRPr="001D5327" w:rsidRDefault="0057070D" w:rsidP="005E3BC6">
      <w:pPr>
        <w:pStyle w:val="Heading3"/>
        <w:tabs>
          <w:tab w:val="clear" w:pos="851"/>
          <w:tab w:val="left" w:pos="993"/>
        </w:tabs>
      </w:pPr>
      <w:bookmarkStart w:id="3009" w:name="X9e51331d4552f7898c3145f15aafcd553318a4a"/>
      <w:bookmarkEnd w:id="3007"/>
      <w:r w:rsidRPr="001D5327">
        <w:t>8.13.4</w:t>
      </w:r>
      <w:r w:rsidRPr="001D5327">
        <w:tab/>
        <w:t>Category-specific QA/QC and verification</w:t>
      </w:r>
    </w:p>
    <w:p w14:paraId="4CBC6E0E" w14:textId="77777777" w:rsidR="0057070D" w:rsidRPr="001D5327" w:rsidRDefault="0057070D" w:rsidP="0057070D">
      <w:pPr>
        <w:pStyle w:val="BodyText"/>
      </w:pPr>
      <w:r w:rsidRPr="001D5327">
        <w:t>Quality control of the activity data and calculations was applied to each category for Tokelau. No verification was possible because no alternative data were available.</w:t>
      </w:r>
    </w:p>
    <w:p w14:paraId="73D6F031" w14:textId="77777777" w:rsidR="0057070D" w:rsidRPr="001D5327" w:rsidRDefault="0057070D" w:rsidP="005E3BC6">
      <w:pPr>
        <w:pStyle w:val="Heading3"/>
        <w:tabs>
          <w:tab w:val="clear" w:pos="851"/>
          <w:tab w:val="left" w:pos="993"/>
        </w:tabs>
      </w:pPr>
      <w:bookmarkStart w:id="3010" w:name="category-specific-recalculations-7"/>
      <w:bookmarkEnd w:id="3009"/>
      <w:r w:rsidRPr="001D5327">
        <w:t>8.13.5</w:t>
      </w:r>
      <w:r w:rsidRPr="001D5327">
        <w:tab/>
        <w:t>Category-specific recalculations</w:t>
      </w:r>
    </w:p>
    <w:p w14:paraId="17C9713A" w14:textId="77777777" w:rsidR="0057070D" w:rsidRPr="001D5327" w:rsidRDefault="0057070D" w:rsidP="0057070D">
      <w:pPr>
        <w:pStyle w:val="BodyText"/>
      </w:pPr>
      <w:r w:rsidRPr="001D5327">
        <w:t xml:space="preserve">There were no changes to estimates for the </w:t>
      </w:r>
      <w:r w:rsidRPr="001D5327">
        <w:rPr>
          <w:i/>
          <w:iCs/>
        </w:rPr>
        <w:t>Solid waste disposal</w:t>
      </w:r>
      <w:r w:rsidRPr="001D5327">
        <w:t xml:space="preserve"> category.</w:t>
      </w:r>
    </w:p>
    <w:p w14:paraId="2609876D" w14:textId="77777777" w:rsidR="0057070D" w:rsidRPr="001D5327" w:rsidRDefault="0057070D" w:rsidP="005E3BC6">
      <w:pPr>
        <w:pStyle w:val="Heading3"/>
        <w:tabs>
          <w:tab w:val="clear" w:pos="851"/>
          <w:tab w:val="left" w:pos="993"/>
        </w:tabs>
      </w:pPr>
      <w:bookmarkStart w:id="3011" w:name="category-specific-planned-improvements-7"/>
      <w:bookmarkEnd w:id="3010"/>
      <w:r w:rsidRPr="001D5327">
        <w:t>8.13.6</w:t>
      </w:r>
      <w:r w:rsidRPr="001D5327">
        <w:tab/>
        <w:t>Category-specific planned improvements</w:t>
      </w:r>
    </w:p>
    <w:p w14:paraId="569D33C4" w14:textId="77777777" w:rsidR="0057070D" w:rsidRPr="001D5327" w:rsidRDefault="0057070D" w:rsidP="0057070D">
      <w:pPr>
        <w:pStyle w:val="BodyText"/>
      </w:pPr>
      <w:r w:rsidRPr="001D5327">
        <w:t>No improvements are planned for the next inventory submission.</w:t>
      </w:r>
    </w:p>
    <w:p w14:paraId="67D7D7DE" w14:textId="77777777" w:rsidR="0057070D" w:rsidRPr="001D5327" w:rsidRDefault="0057070D" w:rsidP="005E3BC6">
      <w:pPr>
        <w:pStyle w:val="Heading2"/>
        <w:tabs>
          <w:tab w:val="clear" w:pos="851"/>
          <w:tab w:val="left" w:pos="993"/>
        </w:tabs>
      </w:pPr>
      <w:bookmarkStart w:id="3012" w:name="_Toc194312060"/>
      <w:bookmarkStart w:id="3013" w:name="X604cb2dcd8052ec9a7c3516c70d36b4f3cb9d0c"/>
      <w:bookmarkEnd w:id="3001"/>
      <w:bookmarkEnd w:id="3011"/>
      <w:r w:rsidRPr="001D5327">
        <w:t>8.14</w:t>
      </w:r>
      <w:r w:rsidRPr="001D5327">
        <w:tab/>
        <w:t>Emissions from Incineration and open burning in Tokelau</w:t>
      </w:r>
      <w:bookmarkEnd w:id="3012"/>
    </w:p>
    <w:p w14:paraId="5E814E8A" w14:textId="77777777" w:rsidR="0057070D" w:rsidRPr="001D5327" w:rsidRDefault="0057070D" w:rsidP="005E3BC6">
      <w:pPr>
        <w:pStyle w:val="Heading3"/>
        <w:tabs>
          <w:tab w:val="clear" w:pos="851"/>
          <w:tab w:val="left" w:pos="993"/>
        </w:tabs>
        <w:spacing w:before="240"/>
      </w:pPr>
      <w:bookmarkStart w:id="3014" w:name="description-8"/>
      <w:r w:rsidRPr="001D5327">
        <w:t>8.14.1</w:t>
      </w:r>
      <w:r w:rsidRPr="001D5327">
        <w:tab/>
        <w:t>Description</w:t>
      </w:r>
    </w:p>
    <w:p w14:paraId="21AEFDBE" w14:textId="6C0DB959" w:rsidR="0057070D" w:rsidRPr="001D5327" w:rsidRDefault="0057070D" w:rsidP="0057070D">
      <w:pPr>
        <w:pStyle w:val="BodyText"/>
      </w:pPr>
      <w:r w:rsidRPr="001D5327">
        <w:t xml:space="preserve">Because Tokelau has no major incineration facilities, all emissions associated with waste burning are reported in the </w:t>
      </w:r>
      <w:r w:rsidRPr="001D5327">
        <w:rPr>
          <w:i/>
          <w:iCs/>
        </w:rPr>
        <w:t>Open burning of waste</w:t>
      </w:r>
      <w:r w:rsidRPr="001D5327">
        <w:t xml:space="preserve"> category. Carbon dioxide, CH</w:t>
      </w:r>
      <w:r w:rsidRPr="001D5327">
        <w:rPr>
          <w:vertAlign w:val="subscript"/>
        </w:rPr>
        <w:t>4</w:t>
      </w:r>
      <w:r w:rsidRPr="001D5327">
        <w:t xml:space="preserve"> and N</w:t>
      </w:r>
      <w:r w:rsidRPr="001D5327">
        <w:rPr>
          <w:vertAlign w:val="subscript"/>
        </w:rPr>
        <w:t>2</w:t>
      </w:r>
      <w:r w:rsidRPr="001D5327">
        <w:t>O are</w:t>
      </w:r>
      <w:r w:rsidR="003B4769" w:rsidRPr="001D5327">
        <w:t> </w:t>
      </w:r>
      <w:r w:rsidRPr="001D5327">
        <w:t>reported in this category.</w:t>
      </w:r>
    </w:p>
    <w:p w14:paraId="5149344B" w14:textId="77777777" w:rsidR="0057070D" w:rsidRPr="001D5327" w:rsidRDefault="0057070D" w:rsidP="0057070D">
      <w:pPr>
        <w:pStyle w:val="BodyText"/>
        <w:spacing w:before="100" w:after="100"/>
      </w:pPr>
      <w:r w:rsidRPr="001D5327">
        <w:t>The composition of solid waste for CO</w:t>
      </w:r>
      <w:r w:rsidRPr="001D5327">
        <w:rPr>
          <w:vertAlign w:val="subscript"/>
        </w:rPr>
        <w:t>2</w:t>
      </w:r>
      <w:r w:rsidRPr="001D5327">
        <w:t xml:space="preserve"> from open burning is the same as for landfills, except that the 24 per cent ‘inert’ is considered to be ‘other inert’ for open burning purposes (and not disaggregated into glass, metal, plastic and so on). Keeping the 24 per cent in ‘other inert’ is likely to result in an overestimate.</w:t>
      </w:r>
    </w:p>
    <w:p w14:paraId="00680C06" w14:textId="77777777" w:rsidR="0057070D" w:rsidRPr="001D5327" w:rsidRDefault="0057070D" w:rsidP="0057070D">
      <w:pPr>
        <w:pStyle w:val="BodyText"/>
        <w:spacing w:before="100" w:after="100"/>
      </w:pPr>
      <w:r w:rsidRPr="001D5327">
        <w:t>The emission factors for open burning of solid waste for CH</w:t>
      </w:r>
      <w:r w:rsidRPr="001D5327">
        <w:rPr>
          <w:vertAlign w:val="subscript"/>
        </w:rPr>
        <w:t>4</w:t>
      </w:r>
      <w:r w:rsidRPr="001D5327">
        <w:t xml:space="preserve"> and N</w:t>
      </w:r>
      <w:r w:rsidRPr="001D5327">
        <w:rPr>
          <w:vertAlign w:val="subscript"/>
        </w:rPr>
        <w:t>2</w:t>
      </w:r>
      <w:r w:rsidRPr="001D5327">
        <w:t>O are the IPCC defaults for municipal solid waste and are based on a generic waste composition. It is not clear if this will over- or under-estimate emissions.</w:t>
      </w:r>
    </w:p>
    <w:p w14:paraId="32A1EF70" w14:textId="77777777" w:rsidR="0057070D" w:rsidRPr="001D5327" w:rsidRDefault="0057070D" w:rsidP="0057070D">
      <w:pPr>
        <w:pStyle w:val="BodyText"/>
        <w:spacing w:before="100" w:after="100"/>
      </w:pPr>
      <w:r w:rsidRPr="001D5327">
        <w:t xml:space="preserve">The category </w:t>
      </w:r>
      <w:r w:rsidRPr="001D5327">
        <w:rPr>
          <w:i/>
          <w:iCs/>
        </w:rPr>
        <w:t>Incineration and open burning</w:t>
      </w:r>
      <w:r w:rsidRPr="001D5327">
        <w:t xml:space="preserve"> contributed 16.8 per cent to the total Waste sector emissions in Tokelau in 2023, which amounted to 0.13 kt CO</w:t>
      </w:r>
      <w:r w:rsidRPr="001D5327">
        <w:rPr>
          <w:vertAlign w:val="subscript"/>
        </w:rPr>
        <w:t>2</w:t>
      </w:r>
      <w:r w:rsidRPr="001D5327">
        <w:t>-e.</w:t>
      </w:r>
    </w:p>
    <w:p w14:paraId="096B6A71" w14:textId="77777777" w:rsidR="0057070D" w:rsidRPr="001D5327" w:rsidRDefault="0057070D" w:rsidP="00E27D49">
      <w:pPr>
        <w:pStyle w:val="Heading3"/>
        <w:tabs>
          <w:tab w:val="clear" w:pos="851"/>
          <w:tab w:val="left" w:pos="993"/>
        </w:tabs>
        <w:spacing w:before="320"/>
      </w:pPr>
      <w:bookmarkStart w:id="3015" w:name="methodological-issues-9"/>
      <w:bookmarkEnd w:id="3014"/>
      <w:r w:rsidRPr="001D5327">
        <w:lastRenderedPageBreak/>
        <w:t>8.14.2</w:t>
      </w:r>
      <w:r w:rsidRPr="001D5327">
        <w:tab/>
        <w:t>Methodological issues</w:t>
      </w:r>
    </w:p>
    <w:p w14:paraId="78DF2F3D" w14:textId="77777777" w:rsidR="0057070D" w:rsidRPr="001D5327" w:rsidRDefault="0057070D" w:rsidP="0057070D">
      <w:pPr>
        <w:pStyle w:val="Heading5"/>
        <w:spacing w:before="180"/>
      </w:pPr>
      <w:bookmarkStart w:id="3016" w:name="activity-data-9"/>
      <w:r w:rsidRPr="001D5327">
        <w:t>Activity data</w:t>
      </w:r>
    </w:p>
    <w:p w14:paraId="25242E39" w14:textId="77777777" w:rsidR="0057070D" w:rsidRPr="001D5327" w:rsidRDefault="0057070D" w:rsidP="0057070D">
      <w:pPr>
        <w:pStyle w:val="BodyText"/>
        <w:spacing w:before="100" w:after="100"/>
      </w:pPr>
      <w:r w:rsidRPr="001D5327">
        <w:t>The calculations are based on Tokelau’s population data and assume that 50 per cent of the waste is landfilled and the other 50 per cent is burned. This information is reported as ‘non-biogenic’ open burning because only fossil carbon is reported, and the emission factors for CH</w:t>
      </w:r>
      <w:r w:rsidRPr="001D5327">
        <w:rPr>
          <w:vertAlign w:val="subscript"/>
        </w:rPr>
        <w:t>4</w:t>
      </w:r>
      <w:r w:rsidRPr="001D5327">
        <w:t xml:space="preserve"> and N</w:t>
      </w:r>
      <w:r w:rsidRPr="001D5327">
        <w:rPr>
          <w:vertAlign w:val="subscript"/>
        </w:rPr>
        <w:t>2</w:t>
      </w:r>
      <w:r w:rsidRPr="001D5327">
        <w:t>O are for municipal solid waste, which does not distinguish biogenic and non</w:t>
      </w:r>
      <w:r w:rsidRPr="001D5327">
        <w:noBreakHyphen/>
        <w:t>biogenic waste.</w:t>
      </w:r>
    </w:p>
    <w:p w14:paraId="780E0C4E" w14:textId="77777777" w:rsidR="0057070D" w:rsidRPr="001D5327" w:rsidRDefault="0057070D" w:rsidP="0057070D">
      <w:pPr>
        <w:pStyle w:val="Heading5"/>
      </w:pPr>
      <w:bookmarkStart w:id="3017" w:name="methods-and-emission-factors-7"/>
      <w:bookmarkEnd w:id="3016"/>
      <w:r w:rsidRPr="001D5327">
        <w:t>Methods and emission factors</w:t>
      </w:r>
    </w:p>
    <w:p w14:paraId="4DFB171A" w14:textId="77777777" w:rsidR="0057070D" w:rsidRPr="001D5327" w:rsidRDefault="0057070D" w:rsidP="0057070D">
      <w:pPr>
        <w:pStyle w:val="BodyText"/>
        <w:spacing w:before="100" w:after="100"/>
      </w:pPr>
      <w:r w:rsidRPr="001D5327">
        <w:t>A Tier 1 methodology with default 2006 IPCC parameters was used for calculating emissions from this category.</w:t>
      </w:r>
    </w:p>
    <w:p w14:paraId="34B22992" w14:textId="77777777" w:rsidR="0057070D" w:rsidRPr="001D5327" w:rsidRDefault="0057070D" w:rsidP="0057070D">
      <w:pPr>
        <w:pStyle w:val="BodyText"/>
        <w:spacing w:before="100" w:after="100"/>
      </w:pPr>
      <w:r w:rsidRPr="001D5327">
        <w:t>The emission factor for CO</w:t>
      </w:r>
      <w:r w:rsidRPr="001D5327">
        <w:rPr>
          <w:vertAlign w:val="subscript"/>
        </w:rPr>
        <w:t>2</w:t>
      </w:r>
      <w:r w:rsidRPr="001D5327">
        <w:t xml:space="preserve"> was the weighted average of calculated factors from table 8.14.1 and a 58 per cent oxidation factor for open burning. For other gases, the following 2006 IPCC default emission factors were used (from volume 5): for CH</w:t>
      </w:r>
      <w:r w:rsidRPr="001D5327">
        <w:rPr>
          <w:vertAlign w:val="subscript"/>
        </w:rPr>
        <w:t>4</w:t>
      </w:r>
      <w:r w:rsidRPr="001D5327">
        <w:t>, the default emission factor for municipal solid waste in section 5.4.2 (6,500 kg CH</w:t>
      </w:r>
      <w:r w:rsidRPr="001D5327">
        <w:rPr>
          <w:vertAlign w:val="subscript"/>
        </w:rPr>
        <w:t>4</w:t>
      </w:r>
      <w:r w:rsidRPr="001D5327">
        <w:t>/gigagrams (Gg) wet waste); for N</w:t>
      </w:r>
      <w:r w:rsidRPr="001D5327">
        <w:rPr>
          <w:vertAlign w:val="subscript"/>
        </w:rPr>
        <w:t>2</w:t>
      </w:r>
      <w:r w:rsidRPr="001D5327">
        <w:t>O, the default emission factor for open burning of municipal solid waste from table 5.6 (150 kg N</w:t>
      </w:r>
      <w:r w:rsidRPr="001D5327">
        <w:rPr>
          <w:vertAlign w:val="subscript"/>
        </w:rPr>
        <w:t>2</w:t>
      </w:r>
      <w:r w:rsidRPr="001D5327">
        <w:t>O/Gg dry waste) (IPCC, 2006d). Converted waste volume to dry weight by using dry matter conversion was calculated for CO</w:t>
      </w:r>
      <w:r w:rsidRPr="001D5327">
        <w:rPr>
          <w:vertAlign w:val="subscript"/>
        </w:rPr>
        <w:t>2</w:t>
      </w:r>
      <w:r w:rsidRPr="001D5327">
        <w:t xml:space="preserve"> (56.1 per cent). Table 8.14.1 shows waste type and the composition data based on default 2006 IPCC parameters used in estimating emissions from </w:t>
      </w:r>
      <w:r w:rsidRPr="001D5327">
        <w:rPr>
          <w:i/>
          <w:iCs/>
        </w:rPr>
        <w:t>Open burning of waste</w:t>
      </w:r>
      <w:r w:rsidRPr="001D5327">
        <w:t>.</w:t>
      </w:r>
    </w:p>
    <w:p w14:paraId="31F199CF" w14:textId="353AD1FB" w:rsidR="0057070D" w:rsidRPr="001D5327" w:rsidRDefault="0057070D" w:rsidP="0057070D">
      <w:pPr>
        <w:pStyle w:val="Table"/>
      </w:pPr>
      <w:bookmarkStart w:id="3018" w:name="_Toc194241842"/>
      <w:r w:rsidRPr="001D5327">
        <w:t>Table 8.14.1</w:t>
      </w:r>
      <w:r w:rsidRPr="001D5327">
        <w:tab/>
        <w:t xml:space="preserve">Composition data and carbon content used for estimating emissions from </w:t>
      </w:r>
      <w:r w:rsidRPr="001D5327">
        <w:rPr>
          <w:i/>
          <w:iCs/>
        </w:rPr>
        <w:t>Open</w:t>
      </w:r>
      <w:r w:rsidR="00943B8A" w:rsidRPr="001D5327">
        <w:rPr>
          <w:i/>
          <w:iCs/>
        </w:rPr>
        <w:t> </w:t>
      </w:r>
      <w:r w:rsidRPr="001D5327">
        <w:rPr>
          <w:i/>
          <w:iCs/>
        </w:rPr>
        <w:t>burning of waste</w:t>
      </w:r>
      <w:bookmarkEnd w:id="3018"/>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552"/>
        <w:gridCol w:w="1417"/>
        <w:gridCol w:w="1331"/>
        <w:gridCol w:w="1005"/>
        <w:gridCol w:w="1085"/>
        <w:gridCol w:w="1104"/>
      </w:tblGrid>
      <w:tr w:rsidR="0057070D" w:rsidRPr="001D5327" w14:paraId="3CA30318" w14:textId="77777777" w:rsidTr="00D11AC9">
        <w:trPr>
          <w:tblHeader/>
        </w:trPr>
        <w:tc>
          <w:tcPr>
            <w:tcW w:w="2552" w:type="dxa"/>
            <w:shd w:val="clear" w:color="auto" w:fill="1B556B"/>
            <w:tcMar>
              <w:top w:w="0" w:type="dxa"/>
              <w:left w:w="85" w:type="dxa"/>
              <w:bottom w:w="0" w:type="dxa"/>
              <w:right w:w="85" w:type="dxa"/>
            </w:tcMar>
            <w:vAlign w:val="bottom"/>
          </w:tcPr>
          <w:p w14:paraId="1CA676E3" w14:textId="77777777" w:rsidR="0057070D" w:rsidRPr="001D5327" w:rsidRDefault="0057070D" w:rsidP="00D11AC9">
            <w:pPr>
              <w:pStyle w:val="TableTextBold"/>
              <w:spacing w:before="40" w:after="30"/>
              <w:rPr>
                <w:noProof w:val="0"/>
                <w:color w:val="FFFFFF" w:themeColor="background1"/>
              </w:rPr>
            </w:pPr>
            <w:r w:rsidRPr="001D5327">
              <w:rPr>
                <w:rFonts w:eastAsia="Calibri"/>
                <w:noProof w:val="0"/>
                <w:color w:val="FFFFFF" w:themeColor="background1"/>
              </w:rPr>
              <w:t>Waste type</w:t>
            </w:r>
          </w:p>
        </w:tc>
        <w:tc>
          <w:tcPr>
            <w:tcW w:w="1417" w:type="dxa"/>
            <w:shd w:val="clear" w:color="auto" w:fill="1B556B"/>
            <w:tcMar>
              <w:top w:w="0" w:type="dxa"/>
              <w:left w:w="85" w:type="dxa"/>
              <w:bottom w:w="0" w:type="dxa"/>
              <w:right w:w="85" w:type="dxa"/>
            </w:tcMar>
            <w:vAlign w:val="bottom"/>
          </w:tcPr>
          <w:p w14:paraId="392BB064" w14:textId="77777777" w:rsidR="0057070D" w:rsidRPr="001D5327" w:rsidRDefault="0057070D" w:rsidP="00D11AC9">
            <w:pPr>
              <w:pStyle w:val="TableTextBold"/>
              <w:spacing w:before="40" w:after="30"/>
              <w:jc w:val="right"/>
              <w:rPr>
                <w:noProof w:val="0"/>
                <w:color w:val="FFFFFF" w:themeColor="background1"/>
              </w:rPr>
            </w:pPr>
            <w:r w:rsidRPr="001D5327">
              <w:rPr>
                <w:rFonts w:eastAsia="Calibri"/>
                <w:noProof w:val="0"/>
                <w:color w:val="FFFFFF" w:themeColor="background1"/>
              </w:rPr>
              <w:t>Landfill composition (%)</w:t>
            </w:r>
          </w:p>
        </w:tc>
        <w:tc>
          <w:tcPr>
            <w:tcW w:w="1331" w:type="dxa"/>
            <w:shd w:val="clear" w:color="auto" w:fill="1B556B"/>
            <w:tcMar>
              <w:top w:w="0" w:type="dxa"/>
              <w:left w:w="85" w:type="dxa"/>
              <w:bottom w:w="0" w:type="dxa"/>
              <w:right w:w="85" w:type="dxa"/>
            </w:tcMar>
            <w:vAlign w:val="bottom"/>
          </w:tcPr>
          <w:p w14:paraId="5C1AC292" w14:textId="77777777" w:rsidR="0057070D" w:rsidRPr="001D5327" w:rsidRDefault="0057070D" w:rsidP="00D11AC9">
            <w:pPr>
              <w:pStyle w:val="TableTextBold"/>
              <w:spacing w:before="40" w:after="30"/>
              <w:jc w:val="right"/>
              <w:rPr>
                <w:noProof w:val="0"/>
                <w:color w:val="FFFFFF" w:themeColor="background1"/>
              </w:rPr>
            </w:pPr>
            <w:r w:rsidRPr="001D5327">
              <w:rPr>
                <w:rFonts w:eastAsia="Calibri"/>
                <w:noProof w:val="0"/>
                <w:color w:val="FFFFFF" w:themeColor="background1"/>
              </w:rPr>
              <w:t>CO</w:t>
            </w:r>
            <w:r w:rsidRPr="001D5327">
              <w:rPr>
                <w:rFonts w:eastAsia="Calibri"/>
                <w:noProof w:val="0"/>
                <w:color w:val="FFFFFF" w:themeColor="background1"/>
                <w:vertAlign w:val="subscript"/>
              </w:rPr>
              <w:t>2</w:t>
            </w:r>
            <w:r w:rsidRPr="001D5327">
              <w:rPr>
                <w:rFonts w:eastAsia="Calibri"/>
                <w:noProof w:val="0"/>
                <w:color w:val="FFFFFF" w:themeColor="background1"/>
              </w:rPr>
              <w:t xml:space="preserve"> incineration composition (%)</w:t>
            </w:r>
          </w:p>
        </w:tc>
        <w:tc>
          <w:tcPr>
            <w:tcW w:w="0" w:type="auto"/>
            <w:shd w:val="clear" w:color="auto" w:fill="1B556B"/>
            <w:tcMar>
              <w:top w:w="0" w:type="dxa"/>
              <w:left w:w="85" w:type="dxa"/>
              <w:bottom w:w="0" w:type="dxa"/>
              <w:right w:w="85" w:type="dxa"/>
            </w:tcMar>
            <w:vAlign w:val="bottom"/>
          </w:tcPr>
          <w:p w14:paraId="09A73781" w14:textId="77777777" w:rsidR="0057070D" w:rsidRPr="001D5327" w:rsidRDefault="0057070D" w:rsidP="00D11AC9">
            <w:pPr>
              <w:pStyle w:val="TableTextBold"/>
              <w:spacing w:before="40" w:after="30"/>
              <w:jc w:val="right"/>
              <w:rPr>
                <w:noProof w:val="0"/>
                <w:color w:val="FFFFFF" w:themeColor="background1"/>
              </w:rPr>
            </w:pPr>
            <w:r w:rsidRPr="001D5327">
              <w:rPr>
                <w:rFonts w:eastAsia="Calibri"/>
                <w:noProof w:val="0"/>
                <w:color w:val="FFFFFF" w:themeColor="background1"/>
              </w:rPr>
              <w:t>Dry matter (%)</w:t>
            </w:r>
          </w:p>
        </w:tc>
        <w:tc>
          <w:tcPr>
            <w:tcW w:w="0" w:type="auto"/>
            <w:shd w:val="clear" w:color="auto" w:fill="1B556B"/>
            <w:tcMar>
              <w:top w:w="0" w:type="dxa"/>
              <w:left w:w="85" w:type="dxa"/>
              <w:bottom w:w="0" w:type="dxa"/>
              <w:right w:w="85" w:type="dxa"/>
            </w:tcMar>
            <w:vAlign w:val="bottom"/>
          </w:tcPr>
          <w:p w14:paraId="6F0908E2" w14:textId="77777777" w:rsidR="0057070D" w:rsidRPr="001D5327" w:rsidRDefault="0057070D" w:rsidP="00D11AC9">
            <w:pPr>
              <w:pStyle w:val="TableTextBold"/>
              <w:spacing w:before="40" w:after="30"/>
              <w:jc w:val="right"/>
              <w:rPr>
                <w:noProof w:val="0"/>
                <w:color w:val="FFFFFF" w:themeColor="background1"/>
              </w:rPr>
            </w:pPr>
            <w:r w:rsidRPr="001D5327">
              <w:rPr>
                <w:rFonts w:eastAsia="Calibri"/>
                <w:noProof w:val="0"/>
                <w:color w:val="FFFFFF" w:themeColor="background1"/>
              </w:rPr>
              <w:t>Total carbon (%)</w:t>
            </w:r>
          </w:p>
        </w:tc>
        <w:tc>
          <w:tcPr>
            <w:tcW w:w="0" w:type="auto"/>
            <w:shd w:val="clear" w:color="auto" w:fill="1B556B"/>
            <w:tcMar>
              <w:top w:w="0" w:type="dxa"/>
              <w:left w:w="85" w:type="dxa"/>
              <w:bottom w:w="0" w:type="dxa"/>
              <w:right w:w="85" w:type="dxa"/>
            </w:tcMar>
            <w:vAlign w:val="bottom"/>
          </w:tcPr>
          <w:p w14:paraId="48A6A8B5" w14:textId="77777777" w:rsidR="0057070D" w:rsidRPr="001D5327" w:rsidRDefault="0057070D" w:rsidP="00D11AC9">
            <w:pPr>
              <w:pStyle w:val="TableTextBold"/>
              <w:spacing w:before="40" w:after="30"/>
              <w:jc w:val="right"/>
              <w:rPr>
                <w:noProof w:val="0"/>
                <w:color w:val="FFFFFF" w:themeColor="background1"/>
              </w:rPr>
            </w:pPr>
            <w:r w:rsidRPr="001D5327">
              <w:rPr>
                <w:rFonts w:eastAsia="Calibri"/>
                <w:noProof w:val="0"/>
                <w:color w:val="FFFFFF" w:themeColor="background1"/>
              </w:rPr>
              <w:t>Fossil carbon (%)</w:t>
            </w:r>
          </w:p>
        </w:tc>
      </w:tr>
      <w:tr w:rsidR="0057070D" w:rsidRPr="001D5327" w14:paraId="220C7915" w14:textId="77777777" w:rsidTr="00D11AC9">
        <w:tc>
          <w:tcPr>
            <w:tcW w:w="2552" w:type="dxa"/>
            <w:shd w:val="clear" w:color="auto" w:fill="FFFFFF"/>
            <w:tcMar>
              <w:top w:w="0" w:type="dxa"/>
              <w:left w:w="85" w:type="dxa"/>
              <w:bottom w:w="0" w:type="dxa"/>
              <w:right w:w="85" w:type="dxa"/>
            </w:tcMar>
            <w:vAlign w:val="bottom"/>
          </w:tcPr>
          <w:p w14:paraId="54BA734E" w14:textId="77777777" w:rsidR="0057070D" w:rsidRPr="001D5327" w:rsidRDefault="0057070D" w:rsidP="00D11AC9">
            <w:pPr>
              <w:pStyle w:val="TableText"/>
              <w:spacing w:before="40" w:after="30"/>
            </w:pPr>
            <w:r w:rsidRPr="001D5327">
              <w:rPr>
                <w:rFonts w:eastAsia="Calibri"/>
                <w:color w:val="000000"/>
              </w:rPr>
              <w:t>Paper/card</w:t>
            </w:r>
          </w:p>
        </w:tc>
        <w:tc>
          <w:tcPr>
            <w:tcW w:w="1417" w:type="dxa"/>
            <w:shd w:val="clear" w:color="auto" w:fill="FFFFFF"/>
            <w:tcMar>
              <w:top w:w="0" w:type="dxa"/>
              <w:left w:w="85" w:type="dxa"/>
              <w:bottom w:w="0" w:type="dxa"/>
              <w:right w:w="85" w:type="dxa"/>
            </w:tcMar>
            <w:vAlign w:val="bottom"/>
          </w:tcPr>
          <w:p w14:paraId="0FE64B09" w14:textId="77777777" w:rsidR="0057070D" w:rsidRPr="001D5327" w:rsidRDefault="0057070D" w:rsidP="00D11AC9">
            <w:pPr>
              <w:pStyle w:val="TableText"/>
              <w:spacing w:before="40" w:after="30"/>
              <w:jc w:val="right"/>
            </w:pPr>
            <w:r w:rsidRPr="001D5327">
              <w:rPr>
                <w:rFonts w:eastAsia="Calibri"/>
                <w:color w:val="000000"/>
              </w:rPr>
              <w:t>6.0</w:t>
            </w:r>
          </w:p>
        </w:tc>
        <w:tc>
          <w:tcPr>
            <w:tcW w:w="1331" w:type="dxa"/>
            <w:shd w:val="clear" w:color="auto" w:fill="FFFFFF"/>
            <w:tcMar>
              <w:top w:w="0" w:type="dxa"/>
              <w:left w:w="85" w:type="dxa"/>
              <w:bottom w:w="0" w:type="dxa"/>
              <w:right w:w="85" w:type="dxa"/>
            </w:tcMar>
            <w:vAlign w:val="bottom"/>
          </w:tcPr>
          <w:p w14:paraId="10D947A1" w14:textId="77777777" w:rsidR="0057070D" w:rsidRPr="001D5327" w:rsidRDefault="0057070D" w:rsidP="00D11AC9">
            <w:pPr>
              <w:pStyle w:val="TableText"/>
              <w:spacing w:before="40" w:after="30"/>
              <w:jc w:val="right"/>
            </w:pPr>
            <w:r w:rsidRPr="001D5327">
              <w:rPr>
                <w:rFonts w:eastAsia="Calibri"/>
                <w:color w:val="000000"/>
              </w:rPr>
              <w:t>6.0</w:t>
            </w:r>
          </w:p>
        </w:tc>
        <w:tc>
          <w:tcPr>
            <w:tcW w:w="0" w:type="auto"/>
            <w:shd w:val="clear" w:color="auto" w:fill="FFFFFF"/>
            <w:tcMar>
              <w:top w:w="0" w:type="dxa"/>
              <w:left w:w="85" w:type="dxa"/>
              <w:bottom w:w="0" w:type="dxa"/>
              <w:right w:w="85" w:type="dxa"/>
            </w:tcMar>
            <w:vAlign w:val="bottom"/>
          </w:tcPr>
          <w:p w14:paraId="7A9D972B" w14:textId="77777777" w:rsidR="0057070D" w:rsidRPr="001D5327" w:rsidRDefault="0057070D" w:rsidP="00D11AC9">
            <w:pPr>
              <w:pStyle w:val="TableText"/>
              <w:spacing w:before="40" w:after="30"/>
              <w:jc w:val="right"/>
            </w:pPr>
            <w:r w:rsidRPr="001D5327">
              <w:rPr>
                <w:rFonts w:eastAsia="Calibri"/>
                <w:color w:val="000000"/>
              </w:rPr>
              <w:t>90</w:t>
            </w:r>
          </w:p>
        </w:tc>
        <w:tc>
          <w:tcPr>
            <w:tcW w:w="0" w:type="auto"/>
            <w:shd w:val="clear" w:color="auto" w:fill="FFFFFF"/>
            <w:tcMar>
              <w:top w:w="0" w:type="dxa"/>
              <w:left w:w="85" w:type="dxa"/>
              <w:bottom w:w="0" w:type="dxa"/>
              <w:right w:w="85" w:type="dxa"/>
            </w:tcMar>
            <w:vAlign w:val="bottom"/>
          </w:tcPr>
          <w:p w14:paraId="0ABD48DB" w14:textId="77777777" w:rsidR="0057070D" w:rsidRPr="001D5327" w:rsidRDefault="0057070D" w:rsidP="00D11AC9">
            <w:pPr>
              <w:pStyle w:val="TableText"/>
              <w:spacing w:before="40" w:after="30"/>
              <w:jc w:val="right"/>
            </w:pPr>
            <w:r w:rsidRPr="001D5327">
              <w:rPr>
                <w:rFonts w:eastAsia="Calibri"/>
                <w:color w:val="000000"/>
              </w:rPr>
              <w:t>43</w:t>
            </w:r>
          </w:p>
        </w:tc>
        <w:tc>
          <w:tcPr>
            <w:tcW w:w="0" w:type="auto"/>
            <w:shd w:val="clear" w:color="auto" w:fill="FFFFFF"/>
            <w:tcMar>
              <w:top w:w="0" w:type="dxa"/>
              <w:left w:w="85" w:type="dxa"/>
              <w:bottom w:w="0" w:type="dxa"/>
              <w:right w:w="85" w:type="dxa"/>
            </w:tcMar>
            <w:vAlign w:val="bottom"/>
          </w:tcPr>
          <w:p w14:paraId="1AA0B355" w14:textId="77777777" w:rsidR="0057070D" w:rsidRPr="001D5327" w:rsidRDefault="0057070D" w:rsidP="00D11AC9">
            <w:pPr>
              <w:pStyle w:val="TableText"/>
              <w:spacing w:before="40" w:after="30"/>
              <w:jc w:val="right"/>
            </w:pPr>
            <w:r w:rsidRPr="001D5327">
              <w:rPr>
                <w:rFonts w:eastAsia="Calibri"/>
                <w:color w:val="000000"/>
              </w:rPr>
              <w:t>1</w:t>
            </w:r>
          </w:p>
        </w:tc>
      </w:tr>
      <w:tr w:rsidR="0057070D" w:rsidRPr="001D5327" w14:paraId="3B249289" w14:textId="77777777" w:rsidTr="00D11AC9">
        <w:tc>
          <w:tcPr>
            <w:tcW w:w="2552" w:type="dxa"/>
            <w:shd w:val="clear" w:color="auto" w:fill="FFFFFF"/>
            <w:tcMar>
              <w:top w:w="0" w:type="dxa"/>
              <w:left w:w="85" w:type="dxa"/>
              <w:bottom w:w="0" w:type="dxa"/>
              <w:right w:w="85" w:type="dxa"/>
            </w:tcMar>
            <w:vAlign w:val="bottom"/>
          </w:tcPr>
          <w:p w14:paraId="538DCCC1" w14:textId="77777777" w:rsidR="0057070D" w:rsidRPr="001D5327" w:rsidRDefault="0057070D" w:rsidP="00D11AC9">
            <w:pPr>
              <w:pStyle w:val="TableText"/>
              <w:spacing w:before="40" w:after="30"/>
            </w:pPr>
            <w:r w:rsidRPr="001D5327">
              <w:rPr>
                <w:rFonts w:eastAsia="Calibri"/>
                <w:color w:val="000000"/>
              </w:rPr>
              <w:t>Textiles</w:t>
            </w:r>
          </w:p>
        </w:tc>
        <w:tc>
          <w:tcPr>
            <w:tcW w:w="1417" w:type="dxa"/>
            <w:shd w:val="clear" w:color="auto" w:fill="FFFFFF"/>
            <w:tcMar>
              <w:top w:w="0" w:type="dxa"/>
              <w:left w:w="85" w:type="dxa"/>
              <w:bottom w:w="0" w:type="dxa"/>
              <w:right w:w="85" w:type="dxa"/>
            </w:tcMar>
            <w:vAlign w:val="bottom"/>
          </w:tcPr>
          <w:p w14:paraId="01F4F5D0" w14:textId="77777777" w:rsidR="0057070D" w:rsidRPr="001D5327" w:rsidRDefault="0057070D" w:rsidP="00D11AC9">
            <w:pPr>
              <w:pStyle w:val="TableText"/>
              <w:spacing w:before="40" w:after="30"/>
              <w:jc w:val="right"/>
            </w:pPr>
            <w:r w:rsidRPr="001D5327">
              <w:rPr>
                <w:rFonts w:eastAsia="Calibri"/>
                <w:color w:val="000000"/>
              </w:rPr>
              <w:t>0</w:t>
            </w:r>
          </w:p>
        </w:tc>
        <w:tc>
          <w:tcPr>
            <w:tcW w:w="1331" w:type="dxa"/>
            <w:shd w:val="clear" w:color="auto" w:fill="FFFFFF"/>
            <w:tcMar>
              <w:top w:w="0" w:type="dxa"/>
              <w:left w:w="85" w:type="dxa"/>
              <w:bottom w:w="0" w:type="dxa"/>
              <w:right w:w="85" w:type="dxa"/>
            </w:tcMar>
            <w:vAlign w:val="bottom"/>
          </w:tcPr>
          <w:p w14:paraId="2D86DD0B" w14:textId="77777777" w:rsidR="0057070D" w:rsidRPr="001D5327" w:rsidRDefault="0057070D" w:rsidP="00D11AC9">
            <w:pPr>
              <w:pStyle w:val="TableText"/>
              <w:spacing w:before="40" w:after="30"/>
              <w:jc w:val="right"/>
            </w:pPr>
            <w:r w:rsidRPr="001D5327">
              <w:rPr>
                <w:rFonts w:eastAsia="Calibri"/>
                <w:color w:val="000000"/>
              </w:rPr>
              <w:t>0</w:t>
            </w:r>
          </w:p>
        </w:tc>
        <w:tc>
          <w:tcPr>
            <w:tcW w:w="0" w:type="auto"/>
            <w:shd w:val="clear" w:color="auto" w:fill="FFFFFF"/>
            <w:tcMar>
              <w:top w:w="0" w:type="dxa"/>
              <w:left w:w="85" w:type="dxa"/>
              <w:bottom w:w="0" w:type="dxa"/>
              <w:right w:w="85" w:type="dxa"/>
            </w:tcMar>
            <w:vAlign w:val="bottom"/>
          </w:tcPr>
          <w:p w14:paraId="29DAB67B" w14:textId="77777777" w:rsidR="0057070D" w:rsidRPr="001D5327" w:rsidRDefault="0057070D" w:rsidP="00D11AC9">
            <w:pPr>
              <w:pStyle w:val="TableText"/>
              <w:spacing w:before="40" w:after="30"/>
              <w:jc w:val="right"/>
            </w:pPr>
            <w:r w:rsidRPr="001D5327">
              <w:rPr>
                <w:rFonts w:eastAsia="Calibri"/>
                <w:color w:val="000000"/>
              </w:rPr>
              <w:t>80</w:t>
            </w:r>
          </w:p>
        </w:tc>
        <w:tc>
          <w:tcPr>
            <w:tcW w:w="0" w:type="auto"/>
            <w:shd w:val="clear" w:color="auto" w:fill="FFFFFF"/>
            <w:tcMar>
              <w:top w:w="0" w:type="dxa"/>
              <w:left w:w="85" w:type="dxa"/>
              <w:bottom w:w="0" w:type="dxa"/>
              <w:right w:w="85" w:type="dxa"/>
            </w:tcMar>
            <w:vAlign w:val="bottom"/>
          </w:tcPr>
          <w:p w14:paraId="4697621A" w14:textId="77777777" w:rsidR="0057070D" w:rsidRPr="001D5327" w:rsidRDefault="0057070D" w:rsidP="00D11AC9">
            <w:pPr>
              <w:pStyle w:val="TableText"/>
              <w:spacing w:before="40" w:after="30"/>
              <w:jc w:val="right"/>
            </w:pPr>
            <w:r w:rsidRPr="001D5327">
              <w:rPr>
                <w:rFonts w:eastAsia="Calibri"/>
                <w:color w:val="000000"/>
              </w:rPr>
              <w:t>50</w:t>
            </w:r>
          </w:p>
        </w:tc>
        <w:tc>
          <w:tcPr>
            <w:tcW w:w="0" w:type="auto"/>
            <w:shd w:val="clear" w:color="auto" w:fill="FFFFFF"/>
            <w:tcMar>
              <w:top w:w="0" w:type="dxa"/>
              <w:left w:w="85" w:type="dxa"/>
              <w:bottom w:w="0" w:type="dxa"/>
              <w:right w:w="85" w:type="dxa"/>
            </w:tcMar>
            <w:vAlign w:val="bottom"/>
          </w:tcPr>
          <w:p w14:paraId="389B5BFC" w14:textId="77777777" w:rsidR="0057070D" w:rsidRPr="001D5327" w:rsidRDefault="0057070D" w:rsidP="00D11AC9">
            <w:pPr>
              <w:pStyle w:val="TableText"/>
              <w:spacing w:before="40" w:after="30"/>
              <w:jc w:val="right"/>
            </w:pPr>
            <w:r w:rsidRPr="001D5327">
              <w:rPr>
                <w:rFonts w:eastAsia="Calibri"/>
                <w:color w:val="000000"/>
              </w:rPr>
              <w:t>20</w:t>
            </w:r>
          </w:p>
        </w:tc>
      </w:tr>
      <w:tr w:rsidR="0057070D" w:rsidRPr="001D5327" w14:paraId="4611A7D6" w14:textId="77777777" w:rsidTr="00D11AC9">
        <w:tc>
          <w:tcPr>
            <w:tcW w:w="2552" w:type="dxa"/>
            <w:shd w:val="clear" w:color="auto" w:fill="FFFFFF"/>
            <w:tcMar>
              <w:top w:w="0" w:type="dxa"/>
              <w:left w:w="85" w:type="dxa"/>
              <w:bottom w:w="0" w:type="dxa"/>
              <w:right w:w="85" w:type="dxa"/>
            </w:tcMar>
            <w:vAlign w:val="bottom"/>
          </w:tcPr>
          <w:p w14:paraId="05167042" w14:textId="77777777" w:rsidR="0057070D" w:rsidRPr="001D5327" w:rsidRDefault="0057070D" w:rsidP="00D11AC9">
            <w:pPr>
              <w:pStyle w:val="TableText"/>
              <w:spacing w:before="40" w:after="30"/>
            </w:pPr>
            <w:r w:rsidRPr="001D5327">
              <w:rPr>
                <w:rFonts w:eastAsia="Calibri"/>
                <w:color w:val="000000"/>
              </w:rPr>
              <w:t>Food waste</w:t>
            </w:r>
          </w:p>
        </w:tc>
        <w:tc>
          <w:tcPr>
            <w:tcW w:w="1417" w:type="dxa"/>
            <w:shd w:val="clear" w:color="auto" w:fill="FFFFFF"/>
            <w:tcMar>
              <w:top w:w="0" w:type="dxa"/>
              <w:left w:w="85" w:type="dxa"/>
              <w:bottom w:w="0" w:type="dxa"/>
              <w:right w:w="85" w:type="dxa"/>
            </w:tcMar>
            <w:vAlign w:val="bottom"/>
          </w:tcPr>
          <w:p w14:paraId="48DD4953" w14:textId="77777777" w:rsidR="0057070D" w:rsidRPr="001D5327" w:rsidRDefault="0057070D" w:rsidP="00D11AC9">
            <w:pPr>
              <w:pStyle w:val="TableText"/>
              <w:spacing w:before="40" w:after="30"/>
              <w:jc w:val="right"/>
            </w:pPr>
            <w:r w:rsidRPr="001D5327">
              <w:rPr>
                <w:rFonts w:eastAsia="Calibri"/>
                <w:color w:val="000000"/>
              </w:rPr>
              <w:t>67.5</w:t>
            </w:r>
          </w:p>
        </w:tc>
        <w:tc>
          <w:tcPr>
            <w:tcW w:w="1331" w:type="dxa"/>
            <w:shd w:val="clear" w:color="auto" w:fill="FFFFFF"/>
            <w:tcMar>
              <w:top w:w="0" w:type="dxa"/>
              <w:left w:w="85" w:type="dxa"/>
              <w:bottom w:w="0" w:type="dxa"/>
              <w:right w:w="85" w:type="dxa"/>
            </w:tcMar>
            <w:vAlign w:val="bottom"/>
          </w:tcPr>
          <w:p w14:paraId="6C52DB94" w14:textId="77777777" w:rsidR="0057070D" w:rsidRPr="001D5327" w:rsidRDefault="0057070D" w:rsidP="00D11AC9">
            <w:pPr>
              <w:pStyle w:val="TableText"/>
              <w:spacing w:before="40" w:after="30"/>
              <w:jc w:val="right"/>
            </w:pPr>
            <w:r w:rsidRPr="001D5327">
              <w:rPr>
                <w:rFonts w:eastAsia="Calibri"/>
                <w:color w:val="000000"/>
              </w:rPr>
              <w:t>67.5</w:t>
            </w:r>
          </w:p>
        </w:tc>
        <w:tc>
          <w:tcPr>
            <w:tcW w:w="0" w:type="auto"/>
            <w:shd w:val="clear" w:color="auto" w:fill="FFFFFF"/>
            <w:tcMar>
              <w:top w:w="0" w:type="dxa"/>
              <w:left w:w="85" w:type="dxa"/>
              <w:bottom w:w="0" w:type="dxa"/>
              <w:right w:w="85" w:type="dxa"/>
            </w:tcMar>
            <w:vAlign w:val="bottom"/>
          </w:tcPr>
          <w:p w14:paraId="41BEA238" w14:textId="77777777" w:rsidR="0057070D" w:rsidRPr="001D5327" w:rsidRDefault="0057070D" w:rsidP="00D11AC9">
            <w:pPr>
              <w:pStyle w:val="TableText"/>
              <w:spacing w:before="40" w:after="30"/>
              <w:jc w:val="right"/>
            </w:pPr>
            <w:r w:rsidRPr="001D5327">
              <w:rPr>
                <w:rFonts w:eastAsia="Calibri"/>
                <w:color w:val="000000"/>
              </w:rPr>
              <w:t>40</w:t>
            </w:r>
          </w:p>
        </w:tc>
        <w:tc>
          <w:tcPr>
            <w:tcW w:w="0" w:type="auto"/>
            <w:shd w:val="clear" w:color="auto" w:fill="FFFFFF"/>
            <w:tcMar>
              <w:top w:w="0" w:type="dxa"/>
              <w:left w:w="85" w:type="dxa"/>
              <w:bottom w:w="0" w:type="dxa"/>
              <w:right w:w="85" w:type="dxa"/>
            </w:tcMar>
            <w:vAlign w:val="bottom"/>
          </w:tcPr>
          <w:p w14:paraId="49621616" w14:textId="77777777" w:rsidR="0057070D" w:rsidRPr="001D5327" w:rsidRDefault="0057070D" w:rsidP="00D11AC9">
            <w:pPr>
              <w:pStyle w:val="TableText"/>
              <w:spacing w:before="40" w:after="30"/>
              <w:jc w:val="right"/>
            </w:pPr>
            <w:r w:rsidRPr="001D5327">
              <w:rPr>
                <w:rFonts w:eastAsia="Calibri"/>
                <w:color w:val="000000"/>
              </w:rPr>
              <w:t>38</w:t>
            </w:r>
          </w:p>
        </w:tc>
        <w:tc>
          <w:tcPr>
            <w:tcW w:w="0" w:type="auto"/>
            <w:shd w:val="clear" w:color="auto" w:fill="FFFFFF"/>
            <w:tcMar>
              <w:top w:w="0" w:type="dxa"/>
              <w:left w:w="85" w:type="dxa"/>
              <w:bottom w:w="0" w:type="dxa"/>
              <w:right w:w="85" w:type="dxa"/>
            </w:tcMar>
            <w:vAlign w:val="bottom"/>
          </w:tcPr>
          <w:p w14:paraId="52F6185E" w14:textId="77777777" w:rsidR="0057070D" w:rsidRPr="001D5327" w:rsidRDefault="0057070D" w:rsidP="00D11AC9">
            <w:pPr>
              <w:pStyle w:val="TableText"/>
              <w:spacing w:before="40" w:after="30"/>
              <w:jc w:val="right"/>
            </w:pPr>
            <w:r w:rsidRPr="001D5327">
              <w:rPr>
                <w:rFonts w:eastAsia="Calibri"/>
                <w:color w:val="000000"/>
              </w:rPr>
              <w:t>0</w:t>
            </w:r>
          </w:p>
        </w:tc>
      </w:tr>
      <w:tr w:rsidR="0057070D" w:rsidRPr="001D5327" w14:paraId="799AAE4F" w14:textId="77777777" w:rsidTr="00D11AC9">
        <w:tc>
          <w:tcPr>
            <w:tcW w:w="2552" w:type="dxa"/>
            <w:shd w:val="clear" w:color="auto" w:fill="FFFFFF"/>
            <w:tcMar>
              <w:top w:w="0" w:type="dxa"/>
              <w:left w:w="85" w:type="dxa"/>
              <w:bottom w:w="0" w:type="dxa"/>
              <w:right w:w="85" w:type="dxa"/>
            </w:tcMar>
            <w:vAlign w:val="bottom"/>
          </w:tcPr>
          <w:p w14:paraId="2E60A6D8" w14:textId="77777777" w:rsidR="0057070D" w:rsidRPr="001D5327" w:rsidRDefault="0057070D" w:rsidP="00D11AC9">
            <w:pPr>
              <w:pStyle w:val="TableText"/>
              <w:spacing w:before="40" w:after="30"/>
            </w:pPr>
            <w:r w:rsidRPr="001D5327">
              <w:rPr>
                <w:rFonts w:eastAsia="Calibri"/>
                <w:color w:val="000000"/>
              </w:rPr>
              <w:t>Wood</w:t>
            </w:r>
          </w:p>
        </w:tc>
        <w:tc>
          <w:tcPr>
            <w:tcW w:w="1417" w:type="dxa"/>
            <w:shd w:val="clear" w:color="auto" w:fill="FFFFFF"/>
            <w:tcMar>
              <w:top w:w="0" w:type="dxa"/>
              <w:left w:w="85" w:type="dxa"/>
              <w:bottom w:w="0" w:type="dxa"/>
              <w:right w:w="85" w:type="dxa"/>
            </w:tcMar>
            <w:vAlign w:val="bottom"/>
          </w:tcPr>
          <w:p w14:paraId="4CED67BD" w14:textId="77777777" w:rsidR="0057070D" w:rsidRPr="001D5327" w:rsidRDefault="0057070D" w:rsidP="00D11AC9">
            <w:pPr>
              <w:pStyle w:val="TableText"/>
              <w:spacing w:before="40" w:after="30"/>
              <w:jc w:val="right"/>
            </w:pPr>
            <w:r w:rsidRPr="001D5327">
              <w:rPr>
                <w:rFonts w:eastAsia="Calibri"/>
                <w:color w:val="000000"/>
              </w:rPr>
              <w:t>2.5</w:t>
            </w:r>
          </w:p>
        </w:tc>
        <w:tc>
          <w:tcPr>
            <w:tcW w:w="1331" w:type="dxa"/>
            <w:shd w:val="clear" w:color="auto" w:fill="FFFFFF"/>
            <w:tcMar>
              <w:top w:w="0" w:type="dxa"/>
              <w:left w:w="85" w:type="dxa"/>
              <w:bottom w:w="0" w:type="dxa"/>
              <w:right w:w="85" w:type="dxa"/>
            </w:tcMar>
            <w:vAlign w:val="bottom"/>
          </w:tcPr>
          <w:p w14:paraId="4AB18B23" w14:textId="77777777" w:rsidR="0057070D" w:rsidRPr="001D5327" w:rsidRDefault="0057070D" w:rsidP="00D11AC9">
            <w:pPr>
              <w:pStyle w:val="TableText"/>
              <w:spacing w:before="40" w:after="30"/>
              <w:jc w:val="right"/>
            </w:pPr>
            <w:r w:rsidRPr="001D5327">
              <w:rPr>
                <w:rFonts w:eastAsia="Calibri"/>
                <w:color w:val="000000"/>
              </w:rPr>
              <w:t>2.5</w:t>
            </w:r>
          </w:p>
        </w:tc>
        <w:tc>
          <w:tcPr>
            <w:tcW w:w="0" w:type="auto"/>
            <w:shd w:val="clear" w:color="auto" w:fill="FFFFFF"/>
            <w:tcMar>
              <w:top w:w="0" w:type="dxa"/>
              <w:left w:w="85" w:type="dxa"/>
              <w:bottom w:w="0" w:type="dxa"/>
              <w:right w:w="85" w:type="dxa"/>
            </w:tcMar>
            <w:vAlign w:val="bottom"/>
          </w:tcPr>
          <w:p w14:paraId="18339083" w14:textId="77777777" w:rsidR="0057070D" w:rsidRPr="001D5327" w:rsidRDefault="0057070D" w:rsidP="00D11AC9">
            <w:pPr>
              <w:pStyle w:val="TableText"/>
              <w:spacing w:before="40" w:after="30"/>
              <w:jc w:val="right"/>
            </w:pPr>
            <w:r w:rsidRPr="001D5327">
              <w:rPr>
                <w:rFonts w:eastAsia="Calibri"/>
                <w:color w:val="000000"/>
              </w:rPr>
              <w:t>85</w:t>
            </w:r>
          </w:p>
        </w:tc>
        <w:tc>
          <w:tcPr>
            <w:tcW w:w="0" w:type="auto"/>
            <w:shd w:val="clear" w:color="auto" w:fill="FFFFFF"/>
            <w:tcMar>
              <w:top w:w="0" w:type="dxa"/>
              <w:left w:w="85" w:type="dxa"/>
              <w:bottom w:w="0" w:type="dxa"/>
              <w:right w:w="85" w:type="dxa"/>
            </w:tcMar>
            <w:vAlign w:val="bottom"/>
          </w:tcPr>
          <w:p w14:paraId="0D3BC06B" w14:textId="77777777" w:rsidR="0057070D" w:rsidRPr="001D5327" w:rsidRDefault="0057070D" w:rsidP="00D11AC9">
            <w:pPr>
              <w:pStyle w:val="TableText"/>
              <w:spacing w:before="40" w:after="30"/>
              <w:jc w:val="right"/>
            </w:pPr>
            <w:r w:rsidRPr="001D5327">
              <w:rPr>
                <w:rFonts w:eastAsia="Calibri"/>
                <w:color w:val="000000"/>
              </w:rPr>
              <w:t>50</w:t>
            </w:r>
          </w:p>
        </w:tc>
        <w:tc>
          <w:tcPr>
            <w:tcW w:w="0" w:type="auto"/>
            <w:shd w:val="clear" w:color="auto" w:fill="FFFFFF"/>
            <w:tcMar>
              <w:top w:w="0" w:type="dxa"/>
              <w:left w:w="85" w:type="dxa"/>
              <w:bottom w:w="0" w:type="dxa"/>
              <w:right w:w="85" w:type="dxa"/>
            </w:tcMar>
            <w:vAlign w:val="bottom"/>
          </w:tcPr>
          <w:p w14:paraId="48517FA5" w14:textId="77777777" w:rsidR="0057070D" w:rsidRPr="001D5327" w:rsidRDefault="0057070D" w:rsidP="00D11AC9">
            <w:pPr>
              <w:pStyle w:val="TableText"/>
              <w:spacing w:before="40" w:after="30"/>
              <w:jc w:val="right"/>
            </w:pPr>
            <w:r w:rsidRPr="001D5327">
              <w:rPr>
                <w:rFonts w:eastAsia="Calibri"/>
                <w:color w:val="000000"/>
              </w:rPr>
              <w:t>0</w:t>
            </w:r>
          </w:p>
        </w:tc>
      </w:tr>
      <w:tr w:rsidR="0057070D" w:rsidRPr="001D5327" w14:paraId="2483D269" w14:textId="77777777" w:rsidTr="00D11AC9">
        <w:tc>
          <w:tcPr>
            <w:tcW w:w="2552" w:type="dxa"/>
            <w:shd w:val="clear" w:color="auto" w:fill="FFFFFF"/>
            <w:tcMar>
              <w:top w:w="0" w:type="dxa"/>
              <w:left w:w="85" w:type="dxa"/>
              <w:bottom w:w="0" w:type="dxa"/>
              <w:right w:w="85" w:type="dxa"/>
            </w:tcMar>
            <w:vAlign w:val="bottom"/>
          </w:tcPr>
          <w:p w14:paraId="3E1E16F1" w14:textId="77777777" w:rsidR="0057070D" w:rsidRPr="001D5327" w:rsidRDefault="0057070D" w:rsidP="00D11AC9">
            <w:pPr>
              <w:pStyle w:val="TableText"/>
              <w:spacing w:before="40" w:after="30"/>
            </w:pPr>
            <w:r w:rsidRPr="001D5327">
              <w:rPr>
                <w:rFonts w:eastAsia="Calibri"/>
                <w:color w:val="000000"/>
              </w:rPr>
              <w:t>Garden and park waste</w:t>
            </w:r>
          </w:p>
        </w:tc>
        <w:tc>
          <w:tcPr>
            <w:tcW w:w="1417" w:type="dxa"/>
            <w:shd w:val="clear" w:color="auto" w:fill="FFFFFF"/>
            <w:tcMar>
              <w:top w:w="0" w:type="dxa"/>
              <w:left w:w="85" w:type="dxa"/>
              <w:bottom w:w="0" w:type="dxa"/>
              <w:right w:w="85" w:type="dxa"/>
            </w:tcMar>
            <w:vAlign w:val="bottom"/>
          </w:tcPr>
          <w:p w14:paraId="2362FA56" w14:textId="77777777" w:rsidR="0057070D" w:rsidRPr="001D5327" w:rsidRDefault="0057070D" w:rsidP="00D11AC9">
            <w:pPr>
              <w:pStyle w:val="TableText"/>
              <w:spacing w:before="40" w:after="30"/>
              <w:jc w:val="right"/>
            </w:pPr>
            <w:r w:rsidRPr="001D5327">
              <w:rPr>
                <w:rFonts w:eastAsia="Calibri"/>
                <w:color w:val="000000"/>
              </w:rPr>
              <w:t>0</w:t>
            </w:r>
          </w:p>
        </w:tc>
        <w:tc>
          <w:tcPr>
            <w:tcW w:w="1331" w:type="dxa"/>
            <w:shd w:val="clear" w:color="auto" w:fill="FFFFFF"/>
            <w:tcMar>
              <w:top w:w="0" w:type="dxa"/>
              <w:left w:w="85" w:type="dxa"/>
              <w:bottom w:w="0" w:type="dxa"/>
              <w:right w:w="85" w:type="dxa"/>
            </w:tcMar>
            <w:vAlign w:val="bottom"/>
          </w:tcPr>
          <w:p w14:paraId="272A8677" w14:textId="77777777" w:rsidR="0057070D" w:rsidRPr="001D5327" w:rsidRDefault="0057070D" w:rsidP="00D11AC9">
            <w:pPr>
              <w:pStyle w:val="TableText"/>
              <w:spacing w:before="40" w:after="30"/>
              <w:jc w:val="right"/>
            </w:pPr>
            <w:r w:rsidRPr="001D5327">
              <w:rPr>
                <w:rFonts w:eastAsia="Calibri"/>
                <w:color w:val="000000"/>
              </w:rPr>
              <w:t>0</w:t>
            </w:r>
          </w:p>
        </w:tc>
        <w:tc>
          <w:tcPr>
            <w:tcW w:w="0" w:type="auto"/>
            <w:shd w:val="clear" w:color="auto" w:fill="FFFFFF"/>
            <w:tcMar>
              <w:top w:w="0" w:type="dxa"/>
              <w:left w:w="85" w:type="dxa"/>
              <w:bottom w:w="0" w:type="dxa"/>
              <w:right w:w="85" w:type="dxa"/>
            </w:tcMar>
            <w:vAlign w:val="bottom"/>
          </w:tcPr>
          <w:p w14:paraId="2575592D" w14:textId="77777777" w:rsidR="0057070D" w:rsidRPr="001D5327" w:rsidRDefault="0057070D" w:rsidP="00D11AC9">
            <w:pPr>
              <w:pStyle w:val="TableText"/>
              <w:spacing w:before="40" w:after="30"/>
              <w:jc w:val="right"/>
            </w:pPr>
            <w:r w:rsidRPr="001D5327">
              <w:rPr>
                <w:rFonts w:eastAsia="Calibri"/>
                <w:color w:val="000000"/>
              </w:rPr>
              <w:t>40</w:t>
            </w:r>
          </w:p>
        </w:tc>
        <w:tc>
          <w:tcPr>
            <w:tcW w:w="0" w:type="auto"/>
            <w:shd w:val="clear" w:color="auto" w:fill="FFFFFF"/>
            <w:tcMar>
              <w:top w:w="0" w:type="dxa"/>
              <w:left w:w="85" w:type="dxa"/>
              <w:bottom w:w="0" w:type="dxa"/>
              <w:right w:w="85" w:type="dxa"/>
            </w:tcMar>
            <w:vAlign w:val="bottom"/>
          </w:tcPr>
          <w:p w14:paraId="21EAD3F0" w14:textId="77777777" w:rsidR="0057070D" w:rsidRPr="001D5327" w:rsidRDefault="0057070D" w:rsidP="00D11AC9">
            <w:pPr>
              <w:pStyle w:val="TableText"/>
              <w:spacing w:before="40" w:after="30"/>
              <w:jc w:val="right"/>
            </w:pPr>
            <w:r w:rsidRPr="001D5327">
              <w:rPr>
                <w:rFonts w:eastAsia="Calibri"/>
                <w:color w:val="000000"/>
              </w:rPr>
              <w:t>49</w:t>
            </w:r>
          </w:p>
        </w:tc>
        <w:tc>
          <w:tcPr>
            <w:tcW w:w="0" w:type="auto"/>
            <w:shd w:val="clear" w:color="auto" w:fill="FFFFFF"/>
            <w:tcMar>
              <w:top w:w="0" w:type="dxa"/>
              <w:left w:w="85" w:type="dxa"/>
              <w:bottom w:w="0" w:type="dxa"/>
              <w:right w:w="85" w:type="dxa"/>
            </w:tcMar>
            <w:vAlign w:val="bottom"/>
          </w:tcPr>
          <w:p w14:paraId="48D167B1" w14:textId="77777777" w:rsidR="0057070D" w:rsidRPr="001D5327" w:rsidRDefault="0057070D" w:rsidP="00D11AC9">
            <w:pPr>
              <w:pStyle w:val="TableText"/>
              <w:spacing w:before="40" w:after="30"/>
              <w:jc w:val="right"/>
            </w:pPr>
            <w:r w:rsidRPr="001D5327">
              <w:rPr>
                <w:rFonts w:eastAsia="Calibri"/>
                <w:color w:val="000000"/>
              </w:rPr>
              <w:t>0</w:t>
            </w:r>
          </w:p>
        </w:tc>
      </w:tr>
      <w:tr w:rsidR="0057070D" w:rsidRPr="001D5327" w14:paraId="58A227A3" w14:textId="77777777" w:rsidTr="00D11AC9">
        <w:tc>
          <w:tcPr>
            <w:tcW w:w="2552" w:type="dxa"/>
            <w:shd w:val="clear" w:color="auto" w:fill="FFFFFF"/>
            <w:tcMar>
              <w:top w:w="0" w:type="dxa"/>
              <w:left w:w="85" w:type="dxa"/>
              <w:bottom w:w="0" w:type="dxa"/>
              <w:right w:w="85" w:type="dxa"/>
            </w:tcMar>
            <w:vAlign w:val="bottom"/>
          </w:tcPr>
          <w:p w14:paraId="702BC934" w14:textId="77777777" w:rsidR="0057070D" w:rsidRPr="001D5327" w:rsidRDefault="0057070D" w:rsidP="00D11AC9">
            <w:pPr>
              <w:pStyle w:val="TableText"/>
              <w:spacing w:before="40" w:after="30"/>
            </w:pPr>
            <w:r w:rsidRPr="001D5327">
              <w:rPr>
                <w:rFonts w:eastAsia="Calibri"/>
                <w:color w:val="000000"/>
              </w:rPr>
              <w:t>Nappies</w:t>
            </w:r>
          </w:p>
        </w:tc>
        <w:tc>
          <w:tcPr>
            <w:tcW w:w="1417" w:type="dxa"/>
            <w:shd w:val="clear" w:color="auto" w:fill="FFFFFF"/>
            <w:tcMar>
              <w:top w:w="0" w:type="dxa"/>
              <w:left w:w="85" w:type="dxa"/>
              <w:bottom w:w="0" w:type="dxa"/>
              <w:right w:w="85" w:type="dxa"/>
            </w:tcMar>
            <w:vAlign w:val="bottom"/>
          </w:tcPr>
          <w:p w14:paraId="5AD2BF88" w14:textId="77777777" w:rsidR="0057070D" w:rsidRPr="001D5327" w:rsidRDefault="0057070D" w:rsidP="00D11AC9">
            <w:pPr>
              <w:pStyle w:val="TableText"/>
              <w:spacing w:before="40" w:after="30"/>
              <w:jc w:val="right"/>
            </w:pPr>
            <w:r w:rsidRPr="001D5327">
              <w:rPr>
                <w:rFonts w:eastAsia="Calibri"/>
                <w:color w:val="000000"/>
              </w:rPr>
              <w:t>0</w:t>
            </w:r>
          </w:p>
        </w:tc>
        <w:tc>
          <w:tcPr>
            <w:tcW w:w="1331" w:type="dxa"/>
            <w:shd w:val="clear" w:color="auto" w:fill="FFFFFF"/>
            <w:tcMar>
              <w:top w:w="0" w:type="dxa"/>
              <w:left w:w="85" w:type="dxa"/>
              <w:bottom w:w="0" w:type="dxa"/>
              <w:right w:w="85" w:type="dxa"/>
            </w:tcMar>
            <w:vAlign w:val="bottom"/>
          </w:tcPr>
          <w:p w14:paraId="620AB71F" w14:textId="77777777" w:rsidR="0057070D" w:rsidRPr="001D5327" w:rsidRDefault="0057070D" w:rsidP="00D11AC9">
            <w:pPr>
              <w:pStyle w:val="TableText"/>
              <w:spacing w:before="40" w:after="30"/>
              <w:jc w:val="right"/>
            </w:pPr>
            <w:r w:rsidRPr="001D5327">
              <w:rPr>
                <w:rFonts w:eastAsia="Calibri"/>
                <w:color w:val="000000"/>
              </w:rPr>
              <w:t>0</w:t>
            </w:r>
          </w:p>
        </w:tc>
        <w:tc>
          <w:tcPr>
            <w:tcW w:w="0" w:type="auto"/>
            <w:shd w:val="clear" w:color="auto" w:fill="FFFFFF"/>
            <w:tcMar>
              <w:top w:w="0" w:type="dxa"/>
              <w:left w:w="85" w:type="dxa"/>
              <w:bottom w:w="0" w:type="dxa"/>
              <w:right w:w="85" w:type="dxa"/>
            </w:tcMar>
            <w:vAlign w:val="bottom"/>
          </w:tcPr>
          <w:p w14:paraId="501FFD9F" w14:textId="77777777" w:rsidR="0057070D" w:rsidRPr="001D5327" w:rsidRDefault="0057070D" w:rsidP="00D11AC9">
            <w:pPr>
              <w:pStyle w:val="TableText"/>
              <w:spacing w:before="40" w:after="30"/>
              <w:jc w:val="right"/>
            </w:pPr>
            <w:r w:rsidRPr="001D5327">
              <w:rPr>
                <w:rFonts w:eastAsia="Calibri"/>
                <w:color w:val="000000"/>
              </w:rPr>
              <w:t>40</w:t>
            </w:r>
          </w:p>
        </w:tc>
        <w:tc>
          <w:tcPr>
            <w:tcW w:w="0" w:type="auto"/>
            <w:shd w:val="clear" w:color="auto" w:fill="FFFFFF"/>
            <w:tcMar>
              <w:top w:w="0" w:type="dxa"/>
              <w:left w:w="85" w:type="dxa"/>
              <w:bottom w:w="0" w:type="dxa"/>
              <w:right w:w="85" w:type="dxa"/>
            </w:tcMar>
            <w:vAlign w:val="bottom"/>
          </w:tcPr>
          <w:p w14:paraId="7651A309" w14:textId="77777777" w:rsidR="0057070D" w:rsidRPr="001D5327" w:rsidRDefault="0057070D" w:rsidP="00D11AC9">
            <w:pPr>
              <w:pStyle w:val="TableText"/>
              <w:spacing w:before="40" w:after="30"/>
              <w:jc w:val="right"/>
            </w:pPr>
            <w:r w:rsidRPr="001D5327">
              <w:rPr>
                <w:rFonts w:eastAsia="Calibri"/>
                <w:color w:val="000000"/>
              </w:rPr>
              <w:t>70</w:t>
            </w:r>
          </w:p>
        </w:tc>
        <w:tc>
          <w:tcPr>
            <w:tcW w:w="0" w:type="auto"/>
            <w:shd w:val="clear" w:color="auto" w:fill="FFFFFF"/>
            <w:tcMar>
              <w:top w:w="0" w:type="dxa"/>
              <w:left w:w="85" w:type="dxa"/>
              <w:bottom w:w="0" w:type="dxa"/>
              <w:right w:w="85" w:type="dxa"/>
            </w:tcMar>
            <w:vAlign w:val="bottom"/>
          </w:tcPr>
          <w:p w14:paraId="34E88E26" w14:textId="77777777" w:rsidR="0057070D" w:rsidRPr="001D5327" w:rsidRDefault="0057070D" w:rsidP="00D11AC9">
            <w:pPr>
              <w:pStyle w:val="TableText"/>
              <w:spacing w:before="40" w:after="30"/>
              <w:jc w:val="right"/>
            </w:pPr>
            <w:r w:rsidRPr="001D5327">
              <w:rPr>
                <w:rFonts w:eastAsia="Calibri"/>
                <w:color w:val="000000"/>
              </w:rPr>
              <w:t>10</w:t>
            </w:r>
          </w:p>
        </w:tc>
      </w:tr>
      <w:tr w:rsidR="0057070D" w:rsidRPr="001D5327" w14:paraId="5C04E4CA" w14:textId="77777777" w:rsidTr="00D11AC9">
        <w:tc>
          <w:tcPr>
            <w:tcW w:w="2552" w:type="dxa"/>
            <w:shd w:val="clear" w:color="auto" w:fill="FFFFFF"/>
            <w:tcMar>
              <w:top w:w="0" w:type="dxa"/>
              <w:left w:w="85" w:type="dxa"/>
              <w:bottom w:w="0" w:type="dxa"/>
              <w:right w:w="85" w:type="dxa"/>
            </w:tcMar>
            <w:vAlign w:val="bottom"/>
          </w:tcPr>
          <w:p w14:paraId="5FD77E44" w14:textId="77777777" w:rsidR="0057070D" w:rsidRPr="001D5327" w:rsidRDefault="0057070D" w:rsidP="00D11AC9">
            <w:pPr>
              <w:pStyle w:val="TableText"/>
              <w:spacing w:before="40" w:after="30"/>
            </w:pPr>
            <w:r w:rsidRPr="001D5327">
              <w:rPr>
                <w:rFonts w:eastAsia="Calibri"/>
                <w:color w:val="000000"/>
              </w:rPr>
              <w:t>Rubber and leather</w:t>
            </w:r>
          </w:p>
        </w:tc>
        <w:tc>
          <w:tcPr>
            <w:tcW w:w="1417" w:type="dxa"/>
            <w:shd w:val="clear" w:color="auto" w:fill="FFFFFF"/>
            <w:tcMar>
              <w:top w:w="0" w:type="dxa"/>
              <w:left w:w="85" w:type="dxa"/>
              <w:bottom w:w="0" w:type="dxa"/>
              <w:right w:w="85" w:type="dxa"/>
            </w:tcMar>
            <w:vAlign w:val="bottom"/>
          </w:tcPr>
          <w:p w14:paraId="6913DFAD" w14:textId="77777777" w:rsidR="0057070D" w:rsidRPr="001D5327" w:rsidRDefault="0057070D" w:rsidP="00D11AC9">
            <w:pPr>
              <w:pStyle w:val="TableText"/>
              <w:spacing w:before="40" w:after="30"/>
              <w:jc w:val="right"/>
            </w:pPr>
            <w:r w:rsidRPr="001D5327">
              <w:rPr>
                <w:rFonts w:eastAsia="Calibri"/>
                <w:color w:val="000000"/>
              </w:rPr>
              <w:t>part of inert</w:t>
            </w:r>
          </w:p>
        </w:tc>
        <w:tc>
          <w:tcPr>
            <w:tcW w:w="1331" w:type="dxa"/>
            <w:shd w:val="clear" w:color="auto" w:fill="FFFFFF"/>
            <w:tcMar>
              <w:top w:w="0" w:type="dxa"/>
              <w:left w:w="85" w:type="dxa"/>
              <w:bottom w:w="0" w:type="dxa"/>
              <w:right w:w="85" w:type="dxa"/>
            </w:tcMar>
            <w:vAlign w:val="bottom"/>
          </w:tcPr>
          <w:p w14:paraId="3A78DC0B" w14:textId="77777777" w:rsidR="0057070D" w:rsidRPr="001D5327" w:rsidRDefault="0057070D" w:rsidP="00D11AC9">
            <w:pPr>
              <w:pStyle w:val="TableText"/>
              <w:spacing w:before="40" w:after="30"/>
              <w:jc w:val="right"/>
            </w:pPr>
            <w:r w:rsidRPr="001D5327">
              <w:rPr>
                <w:rFonts w:eastAsia="Calibri"/>
                <w:color w:val="000000"/>
              </w:rPr>
              <w:t>0</w:t>
            </w:r>
          </w:p>
        </w:tc>
        <w:tc>
          <w:tcPr>
            <w:tcW w:w="0" w:type="auto"/>
            <w:shd w:val="clear" w:color="auto" w:fill="FFFFFF"/>
            <w:tcMar>
              <w:top w:w="0" w:type="dxa"/>
              <w:left w:w="85" w:type="dxa"/>
              <w:bottom w:w="0" w:type="dxa"/>
              <w:right w:w="85" w:type="dxa"/>
            </w:tcMar>
            <w:vAlign w:val="bottom"/>
          </w:tcPr>
          <w:p w14:paraId="499E76ED" w14:textId="77777777" w:rsidR="0057070D" w:rsidRPr="001D5327" w:rsidRDefault="0057070D" w:rsidP="00D11AC9">
            <w:pPr>
              <w:pStyle w:val="TableText"/>
              <w:spacing w:before="40" w:after="30"/>
              <w:jc w:val="right"/>
            </w:pPr>
            <w:r w:rsidRPr="001D5327">
              <w:rPr>
                <w:rFonts w:eastAsia="Calibri"/>
                <w:color w:val="000000"/>
              </w:rPr>
              <w:t>84</w:t>
            </w:r>
          </w:p>
        </w:tc>
        <w:tc>
          <w:tcPr>
            <w:tcW w:w="0" w:type="auto"/>
            <w:shd w:val="clear" w:color="auto" w:fill="FFFFFF"/>
            <w:tcMar>
              <w:top w:w="0" w:type="dxa"/>
              <w:left w:w="85" w:type="dxa"/>
              <w:bottom w:w="0" w:type="dxa"/>
              <w:right w:w="85" w:type="dxa"/>
            </w:tcMar>
            <w:vAlign w:val="bottom"/>
          </w:tcPr>
          <w:p w14:paraId="5F452F46" w14:textId="77777777" w:rsidR="0057070D" w:rsidRPr="001D5327" w:rsidRDefault="0057070D" w:rsidP="00D11AC9">
            <w:pPr>
              <w:pStyle w:val="TableText"/>
              <w:spacing w:before="40" w:after="30"/>
              <w:jc w:val="right"/>
            </w:pPr>
            <w:r w:rsidRPr="001D5327">
              <w:rPr>
                <w:rFonts w:eastAsia="Calibri"/>
                <w:color w:val="000000"/>
              </w:rPr>
              <w:t>67</w:t>
            </w:r>
          </w:p>
        </w:tc>
        <w:tc>
          <w:tcPr>
            <w:tcW w:w="0" w:type="auto"/>
            <w:shd w:val="clear" w:color="auto" w:fill="FFFFFF"/>
            <w:tcMar>
              <w:top w:w="0" w:type="dxa"/>
              <w:left w:w="85" w:type="dxa"/>
              <w:bottom w:w="0" w:type="dxa"/>
              <w:right w:w="85" w:type="dxa"/>
            </w:tcMar>
            <w:vAlign w:val="bottom"/>
          </w:tcPr>
          <w:p w14:paraId="7C336DB6" w14:textId="77777777" w:rsidR="0057070D" w:rsidRPr="001D5327" w:rsidRDefault="0057070D" w:rsidP="00D11AC9">
            <w:pPr>
              <w:pStyle w:val="TableText"/>
              <w:spacing w:before="40" w:after="30"/>
              <w:jc w:val="right"/>
            </w:pPr>
            <w:r w:rsidRPr="001D5327">
              <w:rPr>
                <w:rFonts w:eastAsia="Calibri"/>
                <w:color w:val="000000"/>
              </w:rPr>
              <w:t>20</w:t>
            </w:r>
          </w:p>
        </w:tc>
      </w:tr>
      <w:tr w:rsidR="0057070D" w:rsidRPr="001D5327" w14:paraId="19B91C86" w14:textId="77777777" w:rsidTr="00D11AC9">
        <w:tc>
          <w:tcPr>
            <w:tcW w:w="2552" w:type="dxa"/>
            <w:shd w:val="clear" w:color="auto" w:fill="FFFFFF"/>
            <w:tcMar>
              <w:top w:w="0" w:type="dxa"/>
              <w:left w:w="85" w:type="dxa"/>
              <w:bottom w:w="0" w:type="dxa"/>
              <w:right w:w="85" w:type="dxa"/>
            </w:tcMar>
            <w:vAlign w:val="bottom"/>
          </w:tcPr>
          <w:p w14:paraId="42C9F505" w14:textId="77777777" w:rsidR="0057070D" w:rsidRPr="001D5327" w:rsidRDefault="0057070D" w:rsidP="00D11AC9">
            <w:pPr>
              <w:pStyle w:val="TableText"/>
              <w:spacing w:before="40" w:after="30"/>
            </w:pPr>
            <w:r w:rsidRPr="001D5327">
              <w:rPr>
                <w:rFonts w:eastAsia="Calibri"/>
                <w:color w:val="000000"/>
              </w:rPr>
              <w:t>Plastics</w:t>
            </w:r>
          </w:p>
        </w:tc>
        <w:tc>
          <w:tcPr>
            <w:tcW w:w="1417" w:type="dxa"/>
            <w:shd w:val="clear" w:color="auto" w:fill="FFFFFF"/>
            <w:tcMar>
              <w:top w:w="0" w:type="dxa"/>
              <w:left w:w="85" w:type="dxa"/>
              <w:bottom w:w="0" w:type="dxa"/>
              <w:right w:w="85" w:type="dxa"/>
            </w:tcMar>
            <w:vAlign w:val="bottom"/>
          </w:tcPr>
          <w:p w14:paraId="58C9A046" w14:textId="77777777" w:rsidR="0057070D" w:rsidRPr="001D5327" w:rsidRDefault="0057070D" w:rsidP="00D11AC9">
            <w:pPr>
              <w:pStyle w:val="TableText"/>
              <w:spacing w:before="40" w:after="30"/>
              <w:jc w:val="right"/>
            </w:pPr>
            <w:r w:rsidRPr="001D5327">
              <w:rPr>
                <w:rFonts w:eastAsia="Calibri"/>
                <w:color w:val="000000"/>
              </w:rPr>
              <w:t>part of inert</w:t>
            </w:r>
          </w:p>
        </w:tc>
        <w:tc>
          <w:tcPr>
            <w:tcW w:w="1331" w:type="dxa"/>
            <w:shd w:val="clear" w:color="auto" w:fill="FFFFFF"/>
            <w:tcMar>
              <w:top w:w="0" w:type="dxa"/>
              <w:left w:w="85" w:type="dxa"/>
              <w:bottom w:w="0" w:type="dxa"/>
              <w:right w:w="85" w:type="dxa"/>
            </w:tcMar>
            <w:vAlign w:val="bottom"/>
          </w:tcPr>
          <w:p w14:paraId="4A168701" w14:textId="77777777" w:rsidR="0057070D" w:rsidRPr="001D5327" w:rsidRDefault="0057070D" w:rsidP="00D11AC9">
            <w:pPr>
              <w:pStyle w:val="TableText"/>
              <w:spacing w:before="40" w:after="30"/>
              <w:jc w:val="right"/>
            </w:pPr>
            <w:r w:rsidRPr="001D5327">
              <w:rPr>
                <w:rFonts w:eastAsia="Calibri"/>
                <w:color w:val="000000"/>
              </w:rPr>
              <w:t>0</w:t>
            </w:r>
          </w:p>
        </w:tc>
        <w:tc>
          <w:tcPr>
            <w:tcW w:w="0" w:type="auto"/>
            <w:shd w:val="clear" w:color="auto" w:fill="FFFFFF"/>
            <w:tcMar>
              <w:top w:w="0" w:type="dxa"/>
              <w:left w:w="85" w:type="dxa"/>
              <w:bottom w:w="0" w:type="dxa"/>
              <w:right w:w="85" w:type="dxa"/>
            </w:tcMar>
            <w:vAlign w:val="bottom"/>
          </w:tcPr>
          <w:p w14:paraId="5D460894" w14:textId="77777777" w:rsidR="0057070D" w:rsidRPr="001D5327" w:rsidRDefault="0057070D" w:rsidP="00D11AC9">
            <w:pPr>
              <w:pStyle w:val="TableText"/>
              <w:spacing w:before="40" w:after="30"/>
              <w:jc w:val="right"/>
            </w:pPr>
            <w:r w:rsidRPr="001D5327">
              <w:rPr>
                <w:rFonts w:eastAsia="Calibri"/>
                <w:color w:val="000000"/>
              </w:rPr>
              <w:t>100</w:t>
            </w:r>
          </w:p>
        </w:tc>
        <w:tc>
          <w:tcPr>
            <w:tcW w:w="0" w:type="auto"/>
            <w:shd w:val="clear" w:color="auto" w:fill="FFFFFF"/>
            <w:tcMar>
              <w:top w:w="0" w:type="dxa"/>
              <w:left w:w="85" w:type="dxa"/>
              <w:bottom w:w="0" w:type="dxa"/>
              <w:right w:w="85" w:type="dxa"/>
            </w:tcMar>
            <w:vAlign w:val="bottom"/>
          </w:tcPr>
          <w:p w14:paraId="62C40016" w14:textId="77777777" w:rsidR="0057070D" w:rsidRPr="001D5327" w:rsidRDefault="0057070D" w:rsidP="00D11AC9">
            <w:pPr>
              <w:pStyle w:val="TableText"/>
              <w:spacing w:before="40" w:after="30"/>
              <w:jc w:val="right"/>
            </w:pPr>
            <w:r w:rsidRPr="001D5327">
              <w:rPr>
                <w:rFonts w:eastAsia="Calibri"/>
                <w:color w:val="000000"/>
              </w:rPr>
              <w:t>75</w:t>
            </w:r>
          </w:p>
        </w:tc>
        <w:tc>
          <w:tcPr>
            <w:tcW w:w="0" w:type="auto"/>
            <w:shd w:val="clear" w:color="auto" w:fill="FFFFFF"/>
            <w:tcMar>
              <w:top w:w="0" w:type="dxa"/>
              <w:left w:w="85" w:type="dxa"/>
              <w:bottom w:w="0" w:type="dxa"/>
              <w:right w:w="85" w:type="dxa"/>
            </w:tcMar>
            <w:vAlign w:val="bottom"/>
          </w:tcPr>
          <w:p w14:paraId="14444288" w14:textId="77777777" w:rsidR="0057070D" w:rsidRPr="001D5327" w:rsidRDefault="0057070D" w:rsidP="00D11AC9">
            <w:pPr>
              <w:pStyle w:val="TableText"/>
              <w:spacing w:before="40" w:after="30"/>
              <w:jc w:val="right"/>
            </w:pPr>
            <w:r w:rsidRPr="001D5327">
              <w:rPr>
                <w:rFonts w:eastAsia="Calibri"/>
                <w:color w:val="000000"/>
              </w:rPr>
              <w:t>100</w:t>
            </w:r>
          </w:p>
        </w:tc>
      </w:tr>
      <w:tr w:rsidR="0057070D" w:rsidRPr="001D5327" w14:paraId="187BEB52" w14:textId="77777777" w:rsidTr="00D11AC9">
        <w:tc>
          <w:tcPr>
            <w:tcW w:w="2552" w:type="dxa"/>
            <w:shd w:val="clear" w:color="auto" w:fill="FFFFFF"/>
            <w:tcMar>
              <w:top w:w="0" w:type="dxa"/>
              <w:left w:w="85" w:type="dxa"/>
              <w:bottom w:w="0" w:type="dxa"/>
              <w:right w:w="85" w:type="dxa"/>
            </w:tcMar>
            <w:vAlign w:val="bottom"/>
          </w:tcPr>
          <w:p w14:paraId="6D87EE3C" w14:textId="77777777" w:rsidR="0057070D" w:rsidRPr="001D5327" w:rsidRDefault="0057070D" w:rsidP="00D11AC9">
            <w:pPr>
              <w:pStyle w:val="TableText"/>
              <w:spacing w:before="40" w:after="30"/>
            </w:pPr>
            <w:r w:rsidRPr="001D5327">
              <w:rPr>
                <w:rFonts w:eastAsia="Calibri"/>
                <w:color w:val="000000"/>
              </w:rPr>
              <w:t>Metal</w:t>
            </w:r>
          </w:p>
        </w:tc>
        <w:tc>
          <w:tcPr>
            <w:tcW w:w="1417" w:type="dxa"/>
            <w:shd w:val="clear" w:color="auto" w:fill="FFFFFF"/>
            <w:tcMar>
              <w:top w:w="0" w:type="dxa"/>
              <w:left w:w="85" w:type="dxa"/>
              <w:bottom w:w="0" w:type="dxa"/>
              <w:right w:w="85" w:type="dxa"/>
            </w:tcMar>
            <w:vAlign w:val="bottom"/>
          </w:tcPr>
          <w:p w14:paraId="12CB5E6C" w14:textId="77777777" w:rsidR="0057070D" w:rsidRPr="001D5327" w:rsidRDefault="0057070D" w:rsidP="00D11AC9">
            <w:pPr>
              <w:pStyle w:val="TableText"/>
              <w:spacing w:before="40" w:after="30"/>
              <w:jc w:val="right"/>
            </w:pPr>
            <w:r w:rsidRPr="001D5327">
              <w:rPr>
                <w:rFonts w:eastAsia="Calibri"/>
                <w:color w:val="000000"/>
              </w:rPr>
              <w:t>part of inert</w:t>
            </w:r>
          </w:p>
        </w:tc>
        <w:tc>
          <w:tcPr>
            <w:tcW w:w="1331" w:type="dxa"/>
            <w:shd w:val="clear" w:color="auto" w:fill="FFFFFF"/>
            <w:tcMar>
              <w:top w:w="0" w:type="dxa"/>
              <w:left w:w="85" w:type="dxa"/>
              <w:bottom w:w="0" w:type="dxa"/>
              <w:right w:w="85" w:type="dxa"/>
            </w:tcMar>
            <w:vAlign w:val="bottom"/>
          </w:tcPr>
          <w:p w14:paraId="1EF21AFF" w14:textId="77777777" w:rsidR="0057070D" w:rsidRPr="001D5327" w:rsidRDefault="0057070D" w:rsidP="00D11AC9">
            <w:pPr>
              <w:pStyle w:val="TableText"/>
              <w:spacing w:before="40" w:after="30"/>
              <w:jc w:val="right"/>
            </w:pPr>
            <w:r w:rsidRPr="001D5327">
              <w:rPr>
                <w:rFonts w:eastAsia="Calibri"/>
                <w:color w:val="000000"/>
              </w:rPr>
              <w:t>0</w:t>
            </w:r>
          </w:p>
        </w:tc>
        <w:tc>
          <w:tcPr>
            <w:tcW w:w="0" w:type="auto"/>
            <w:shd w:val="clear" w:color="auto" w:fill="FFFFFF"/>
            <w:tcMar>
              <w:top w:w="0" w:type="dxa"/>
              <w:left w:w="85" w:type="dxa"/>
              <w:bottom w:w="0" w:type="dxa"/>
              <w:right w:w="85" w:type="dxa"/>
            </w:tcMar>
            <w:vAlign w:val="bottom"/>
          </w:tcPr>
          <w:p w14:paraId="4902603C" w14:textId="77777777" w:rsidR="0057070D" w:rsidRPr="001D5327" w:rsidRDefault="0057070D" w:rsidP="00D11AC9">
            <w:pPr>
              <w:pStyle w:val="TableText"/>
              <w:spacing w:before="40" w:after="30"/>
              <w:jc w:val="right"/>
            </w:pPr>
            <w:r w:rsidRPr="001D5327">
              <w:rPr>
                <w:rFonts w:eastAsia="Calibri"/>
                <w:color w:val="000000"/>
              </w:rPr>
              <w:t>100</w:t>
            </w:r>
          </w:p>
        </w:tc>
        <w:tc>
          <w:tcPr>
            <w:tcW w:w="0" w:type="auto"/>
            <w:shd w:val="clear" w:color="auto" w:fill="FFFFFF"/>
            <w:tcMar>
              <w:top w:w="0" w:type="dxa"/>
              <w:left w:w="85" w:type="dxa"/>
              <w:bottom w:w="0" w:type="dxa"/>
              <w:right w:w="85" w:type="dxa"/>
            </w:tcMar>
            <w:vAlign w:val="bottom"/>
          </w:tcPr>
          <w:p w14:paraId="7B32AF17" w14:textId="77777777" w:rsidR="0057070D" w:rsidRPr="001D5327" w:rsidRDefault="0057070D" w:rsidP="00D11AC9">
            <w:pPr>
              <w:pStyle w:val="TableText"/>
              <w:spacing w:before="40" w:after="30"/>
              <w:jc w:val="right"/>
            </w:pPr>
            <w:r w:rsidRPr="001D5327">
              <w:rPr>
                <w:rFonts w:eastAsia="Calibri"/>
                <w:color w:val="000000"/>
              </w:rPr>
              <w:t>NA</w:t>
            </w:r>
          </w:p>
        </w:tc>
        <w:tc>
          <w:tcPr>
            <w:tcW w:w="0" w:type="auto"/>
            <w:shd w:val="clear" w:color="auto" w:fill="FFFFFF"/>
            <w:tcMar>
              <w:top w:w="0" w:type="dxa"/>
              <w:left w:w="85" w:type="dxa"/>
              <w:bottom w:w="0" w:type="dxa"/>
              <w:right w:w="85" w:type="dxa"/>
            </w:tcMar>
            <w:vAlign w:val="bottom"/>
          </w:tcPr>
          <w:p w14:paraId="627408A1" w14:textId="77777777" w:rsidR="0057070D" w:rsidRPr="001D5327" w:rsidRDefault="0057070D" w:rsidP="00D11AC9">
            <w:pPr>
              <w:pStyle w:val="TableText"/>
              <w:spacing w:before="40" w:after="30"/>
              <w:jc w:val="right"/>
            </w:pPr>
            <w:r w:rsidRPr="001D5327">
              <w:rPr>
                <w:rFonts w:eastAsia="Calibri"/>
                <w:color w:val="000000"/>
              </w:rPr>
              <w:t>NA</w:t>
            </w:r>
          </w:p>
        </w:tc>
      </w:tr>
      <w:tr w:rsidR="0057070D" w:rsidRPr="001D5327" w14:paraId="644AB911" w14:textId="77777777" w:rsidTr="00D11AC9">
        <w:tc>
          <w:tcPr>
            <w:tcW w:w="2552" w:type="dxa"/>
            <w:shd w:val="clear" w:color="auto" w:fill="FFFFFF"/>
            <w:tcMar>
              <w:top w:w="0" w:type="dxa"/>
              <w:left w:w="85" w:type="dxa"/>
              <w:bottom w:w="0" w:type="dxa"/>
              <w:right w:w="85" w:type="dxa"/>
            </w:tcMar>
            <w:vAlign w:val="bottom"/>
          </w:tcPr>
          <w:p w14:paraId="64FF72AB" w14:textId="77777777" w:rsidR="0057070D" w:rsidRPr="001D5327" w:rsidRDefault="0057070D" w:rsidP="00D11AC9">
            <w:pPr>
              <w:pStyle w:val="TableText"/>
              <w:spacing w:before="40" w:after="30"/>
            </w:pPr>
            <w:r w:rsidRPr="001D5327">
              <w:rPr>
                <w:rFonts w:eastAsia="Calibri"/>
                <w:color w:val="000000"/>
              </w:rPr>
              <w:t>Glass</w:t>
            </w:r>
          </w:p>
        </w:tc>
        <w:tc>
          <w:tcPr>
            <w:tcW w:w="1417" w:type="dxa"/>
            <w:shd w:val="clear" w:color="auto" w:fill="FFFFFF"/>
            <w:tcMar>
              <w:top w:w="0" w:type="dxa"/>
              <w:left w:w="85" w:type="dxa"/>
              <w:bottom w:w="0" w:type="dxa"/>
              <w:right w:w="85" w:type="dxa"/>
            </w:tcMar>
            <w:vAlign w:val="bottom"/>
          </w:tcPr>
          <w:p w14:paraId="36DEE7B5" w14:textId="77777777" w:rsidR="0057070D" w:rsidRPr="001D5327" w:rsidRDefault="0057070D" w:rsidP="00D11AC9">
            <w:pPr>
              <w:pStyle w:val="TableText"/>
              <w:spacing w:before="40" w:after="30"/>
              <w:jc w:val="right"/>
            </w:pPr>
            <w:r w:rsidRPr="001D5327">
              <w:rPr>
                <w:rFonts w:eastAsia="Calibri"/>
                <w:color w:val="000000"/>
              </w:rPr>
              <w:t>part of inert</w:t>
            </w:r>
          </w:p>
        </w:tc>
        <w:tc>
          <w:tcPr>
            <w:tcW w:w="1331" w:type="dxa"/>
            <w:shd w:val="clear" w:color="auto" w:fill="FFFFFF"/>
            <w:tcMar>
              <w:top w:w="0" w:type="dxa"/>
              <w:left w:w="85" w:type="dxa"/>
              <w:bottom w:w="0" w:type="dxa"/>
              <w:right w:w="85" w:type="dxa"/>
            </w:tcMar>
            <w:vAlign w:val="bottom"/>
          </w:tcPr>
          <w:p w14:paraId="206BDF93" w14:textId="77777777" w:rsidR="0057070D" w:rsidRPr="001D5327" w:rsidRDefault="0057070D" w:rsidP="00D11AC9">
            <w:pPr>
              <w:pStyle w:val="TableText"/>
              <w:spacing w:before="40" w:after="30"/>
              <w:jc w:val="right"/>
            </w:pPr>
            <w:r w:rsidRPr="001D5327">
              <w:rPr>
                <w:rFonts w:eastAsia="Calibri"/>
                <w:color w:val="000000"/>
              </w:rPr>
              <w:t>0</w:t>
            </w:r>
          </w:p>
        </w:tc>
        <w:tc>
          <w:tcPr>
            <w:tcW w:w="0" w:type="auto"/>
            <w:shd w:val="clear" w:color="auto" w:fill="FFFFFF"/>
            <w:tcMar>
              <w:top w:w="0" w:type="dxa"/>
              <w:left w:w="85" w:type="dxa"/>
              <w:bottom w:w="0" w:type="dxa"/>
              <w:right w:w="85" w:type="dxa"/>
            </w:tcMar>
            <w:vAlign w:val="bottom"/>
          </w:tcPr>
          <w:p w14:paraId="656CD58E" w14:textId="77777777" w:rsidR="0057070D" w:rsidRPr="001D5327" w:rsidRDefault="0057070D" w:rsidP="00D11AC9">
            <w:pPr>
              <w:pStyle w:val="TableText"/>
              <w:spacing w:before="40" w:after="30"/>
              <w:jc w:val="right"/>
            </w:pPr>
            <w:r w:rsidRPr="001D5327">
              <w:rPr>
                <w:rFonts w:eastAsia="Calibri"/>
                <w:color w:val="000000"/>
              </w:rPr>
              <w:t>100</w:t>
            </w:r>
          </w:p>
        </w:tc>
        <w:tc>
          <w:tcPr>
            <w:tcW w:w="0" w:type="auto"/>
            <w:shd w:val="clear" w:color="auto" w:fill="FFFFFF"/>
            <w:tcMar>
              <w:top w:w="0" w:type="dxa"/>
              <w:left w:w="85" w:type="dxa"/>
              <w:bottom w:w="0" w:type="dxa"/>
              <w:right w:w="85" w:type="dxa"/>
            </w:tcMar>
            <w:vAlign w:val="bottom"/>
          </w:tcPr>
          <w:p w14:paraId="1B49898C" w14:textId="77777777" w:rsidR="0057070D" w:rsidRPr="001D5327" w:rsidRDefault="0057070D" w:rsidP="00D11AC9">
            <w:pPr>
              <w:pStyle w:val="TableText"/>
              <w:spacing w:before="40" w:after="30"/>
              <w:jc w:val="right"/>
            </w:pPr>
            <w:r w:rsidRPr="001D5327">
              <w:rPr>
                <w:rFonts w:eastAsia="Calibri"/>
                <w:color w:val="000000"/>
              </w:rPr>
              <w:t>NA</w:t>
            </w:r>
          </w:p>
        </w:tc>
        <w:tc>
          <w:tcPr>
            <w:tcW w:w="0" w:type="auto"/>
            <w:shd w:val="clear" w:color="auto" w:fill="FFFFFF"/>
            <w:tcMar>
              <w:top w:w="0" w:type="dxa"/>
              <w:left w:w="85" w:type="dxa"/>
              <w:bottom w:w="0" w:type="dxa"/>
              <w:right w:w="85" w:type="dxa"/>
            </w:tcMar>
            <w:vAlign w:val="bottom"/>
          </w:tcPr>
          <w:p w14:paraId="6F2E74FB" w14:textId="77777777" w:rsidR="0057070D" w:rsidRPr="001D5327" w:rsidRDefault="0057070D" w:rsidP="00D11AC9">
            <w:pPr>
              <w:pStyle w:val="TableText"/>
              <w:spacing w:before="40" w:after="30"/>
              <w:jc w:val="right"/>
            </w:pPr>
            <w:r w:rsidRPr="001D5327">
              <w:rPr>
                <w:rFonts w:eastAsia="Calibri"/>
                <w:color w:val="000000"/>
              </w:rPr>
              <w:t>NA</w:t>
            </w:r>
          </w:p>
        </w:tc>
      </w:tr>
      <w:tr w:rsidR="0057070D" w:rsidRPr="001D5327" w14:paraId="26739D10" w14:textId="77777777" w:rsidTr="00D11AC9">
        <w:tc>
          <w:tcPr>
            <w:tcW w:w="2552" w:type="dxa"/>
            <w:shd w:val="clear" w:color="auto" w:fill="FFFFFF"/>
            <w:tcMar>
              <w:top w:w="0" w:type="dxa"/>
              <w:left w:w="85" w:type="dxa"/>
              <w:bottom w:w="0" w:type="dxa"/>
              <w:right w:w="85" w:type="dxa"/>
            </w:tcMar>
            <w:vAlign w:val="bottom"/>
          </w:tcPr>
          <w:p w14:paraId="21AAB2FE" w14:textId="77777777" w:rsidR="0057070D" w:rsidRPr="001D5327" w:rsidRDefault="0057070D" w:rsidP="00D11AC9">
            <w:pPr>
              <w:pStyle w:val="TableText"/>
              <w:spacing w:before="40" w:after="30"/>
            </w:pPr>
            <w:r w:rsidRPr="001D5327">
              <w:rPr>
                <w:rFonts w:eastAsia="Calibri"/>
                <w:color w:val="000000"/>
              </w:rPr>
              <w:t>Other, inert</w:t>
            </w:r>
          </w:p>
        </w:tc>
        <w:tc>
          <w:tcPr>
            <w:tcW w:w="1417" w:type="dxa"/>
            <w:shd w:val="clear" w:color="auto" w:fill="FFFFFF"/>
            <w:tcMar>
              <w:top w:w="0" w:type="dxa"/>
              <w:left w:w="85" w:type="dxa"/>
              <w:bottom w:w="0" w:type="dxa"/>
              <w:right w:w="85" w:type="dxa"/>
            </w:tcMar>
            <w:vAlign w:val="bottom"/>
          </w:tcPr>
          <w:p w14:paraId="2CA190BE" w14:textId="77777777" w:rsidR="0057070D" w:rsidRPr="001D5327" w:rsidRDefault="0057070D" w:rsidP="00D11AC9">
            <w:pPr>
              <w:pStyle w:val="TableText"/>
              <w:spacing w:before="40" w:after="30"/>
              <w:jc w:val="right"/>
            </w:pPr>
            <w:r w:rsidRPr="001D5327">
              <w:rPr>
                <w:rFonts w:eastAsia="Calibri"/>
                <w:color w:val="000000"/>
              </w:rPr>
              <w:t>24.0</w:t>
            </w:r>
          </w:p>
        </w:tc>
        <w:tc>
          <w:tcPr>
            <w:tcW w:w="1331" w:type="dxa"/>
            <w:shd w:val="clear" w:color="auto" w:fill="FFFFFF"/>
            <w:tcMar>
              <w:top w:w="0" w:type="dxa"/>
              <w:left w:w="85" w:type="dxa"/>
              <w:bottom w:w="0" w:type="dxa"/>
              <w:right w:w="85" w:type="dxa"/>
            </w:tcMar>
            <w:vAlign w:val="bottom"/>
          </w:tcPr>
          <w:p w14:paraId="4D3A9407" w14:textId="77777777" w:rsidR="0057070D" w:rsidRPr="001D5327" w:rsidRDefault="0057070D" w:rsidP="00D11AC9">
            <w:pPr>
              <w:pStyle w:val="TableText"/>
              <w:spacing w:before="40" w:after="30"/>
              <w:jc w:val="right"/>
            </w:pPr>
            <w:r w:rsidRPr="001D5327">
              <w:rPr>
                <w:rFonts w:eastAsia="Calibri"/>
                <w:color w:val="000000"/>
              </w:rPr>
              <w:t>24.0</w:t>
            </w:r>
          </w:p>
        </w:tc>
        <w:tc>
          <w:tcPr>
            <w:tcW w:w="0" w:type="auto"/>
            <w:shd w:val="clear" w:color="auto" w:fill="FFFFFF"/>
            <w:tcMar>
              <w:top w:w="0" w:type="dxa"/>
              <w:left w:w="85" w:type="dxa"/>
              <w:bottom w:w="0" w:type="dxa"/>
              <w:right w:w="85" w:type="dxa"/>
            </w:tcMar>
            <w:vAlign w:val="bottom"/>
          </w:tcPr>
          <w:p w14:paraId="5B4DA390" w14:textId="77777777" w:rsidR="0057070D" w:rsidRPr="001D5327" w:rsidRDefault="0057070D" w:rsidP="00D11AC9">
            <w:pPr>
              <w:pStyle w:val="TableText"/>
              <w:spacing w:before="40" w:after="30"/>
              <w:jc w:val="right"/>
            </w:pPr>
            <w:r w:rsidRPr="001D5327">
              <w:rPr>
                <w:rFonts w:eastAsia="Calibri"/>
                <w:color w:val="000000"/>
              </w:rPr>
              <w:t>90</w:t>
            </w:r>
          </w:p>
        </w:tc>
        <w:tc>
          <w:tcPr>
            <w:tcW w:w="0" w:type="auto"/>
            <w:shd w:val="clear" w:color="auto" w:fill="FFFFFF"/>
            <w:tcMar>
              <w:top w:w="0" w:type="dxa"/>
              <w:left w:w="85" w:type="dxa"/>
              <w:bottom w:w="0" w:type="dxa"/>
              <w:right w:w="85" w:type="dxa"/>
            </w:tcMar>
            <w:vAlign w:val="bottom"/>
          </w:tcPr>
          <w:p w14:paraId="4C88AF0B" w14:textId="77777777" w:rsidR="0057070D" w:rsidRPr="001D5327" w:rsidRDefault="0057070D" w:rsidP="00D11AC9">
            <w:pPr>
              <w:pStyle w:val="TableText"/>
              <w:spacing w:before="40" w:after="30"/>
              <w:jc w:val="right"/>
            </w:pPr>
            <w:r w:rsidRPr="001D5327">
              <w:rPr>
                <w:rFonts w:eastAsia="Calibri"/>
                <w:color w:val="000000"/>
              </w:rPr>
              <w:t>3</w:t>
            </w:r>
          </w:p>
        </w:tc>
        <w:tc>
          <w:tcPr>
            <w:tcW w:w="0" w:type="auto"/>
            <w:shd w:val="clear" w:color="auto" w:fill="FFFFFF"/>
            <w:tcMar>
              <w:top w:w="0" w:type="dxa"/>
              <w:left w:w="85" w:type="dxa"/>
              <w:bottom w:w="0" w:type="dxa"/>
              <w:right w:w="85" w:type="dxa"/>
            </w:tcMar>
            <w:vAlign w:val="bottom"/>
          </w:tcPr>
          <w:p w14:paraId="32B009C5" w14:textId="77777777" w:rsidR="0057070D" w:rsidRPr="001D5327" w:rsidRDefault="0057070D" w:rsidP="00D11AC9">
            <w:pPr>
              <w:pStyle w:val="TableText"/>
              <w:spacing w:before="40" w:after="30"/>
              <w:jc w:val="right"/>
            </w:pPr>
            <w:r w:rsidRPr="001D5327">
              <w:rPr>
                <w:rFonts w:eastAsia="Calibri"/>
                <w:color w:val="000000"/>
              </w:rPr>
              <w:t>100</w:t>
            </w:r>
          </w:p>
        </w:tc>
      </w:tr>
      <w:tr w:rsidR="0057070D" w:rsidRPr="001D5327" w14:paraId="5128A67A" w14:textId="77777777" w:rsidTr="00D11AC9">
        <w:tc>
          <w:tcPr>
            <w:tcW w:w="2552" w:type="dxa"/>
            <w:shd w:val="clear" w:color="auto" w:fill="FFFFFF"/>
            <w:tcMar>
              <w:top w:w="0" w:type="dxa"/>
              <w:left w:w="85" w:type="dxa"/>
              <w:bottom w:w="0" w:type="dxa"/>
              <w:right w:w="85" w:type="dxa"/>
            </w:tcMar>
            <w:vAlign w:val="bottom"/>
          </w:tcPr>
          <w:p w14:paraId="3C5D4821" w14:textId="77777777" w:rsidR="0057070D" w:rsidRPr="001D5327" w:rsidRDefault="0057070D" w:rsidP="00D11AC9">
            <w:pPr>
              <w:pStyle w:val="Tableboldblue"/>
              <w:spacing w:before="40" w:after="30"/>
            </w:pPr>
            <w:r w:rsidRPr="001D5327">
              <w:rPr>
                <w:rFonts w:eastAsia="Calibri"/>
              </w:rPr>
              <w:t>Calculated weighted average</w:t>
            </w:r>
          </w:p>
        </w:tc>
        <w:tc>
          <w:tcPr>
            <w:tcW w:w="1417" w:type="dxa"/>
            <w:shd w:val="clear" w:color="auto" w:fill="FFFFFF"/>
            <w:tcMar>
              <w:top w:w="0" w:type="dxa"/>
              <w:left w:w="85" w:type="dxa"/>
              <w:bottom w:w="0" w:type="dxa"/>
              <w:right w:w="85" w:type="dxa"/>
            </w:tcMar>
            <w:vAlign w:val="bottom"/>
          </w:tcPr>
          <w:p w14:paraId="61A4E13E" w14:textId="77777777" w:rsidR="0057070D" w:rsidRPr="001D5327" w:rsidRDefault="0057070D" w:rsidP="00D11AC9">
            <w:pPr>
              <w:pStyle w:val="Tableboldblue"/>
              <w:spacing w:before="40" w:after="30"/>
              <w:jc w:val="right"/>
            </w:pPr>
          </w:p>
        </w:tc>
        <w:tc>
          <w:tcPr>
            <w:tcW w:w="1331" w:type="dxa"/>
            <w:shd w:val="clear" w:color="auto" w:fill="FFFFFF"/>
            <w:tcMar>
              <w:top w:w="0" w:type="dxa"/>
              <w:left w:w="85" w:type="dxa"/>
              <w:bottom w:w="0" w:type="dxa"/>
              <w:right w:w="85" w:type="dxa"/>
            </w:tcMar>
            <w:vAlign w:val="bottom"/>
          </w:tcPr>
          <w:p w14:paraId="0D61FDC4" w14:textId="77777777" w:rsidR="0057070D" w:rsidRPr="001D5327" w:rsidRDefault="0057070D" w:rsidP="00D11AC9">
            <w:pPr>
              <w:pStyle w:val="Tableboldblue"/>
              <w:spacing w:before="40" w:after="30"/>
              <w:jc w:val="right"/>
            </w:pPr>
          </w:p>
        </w:tc>
        <w:tc>
          <w:tcPr>
            <w:tcW w:w="0" w:type="auto"/>
            <w:shd w:val="clear" w:color="auto" w:fill="FFFFFF"/>
            <w:tcMar>
              <w:top w:w="0" w:type="dxa"/>
              <w:left w:w="85" w:type="dxa"/>
              <w:bottom w:w="0" w:type="dxa"/>
              <w:right w:w="85" w:type="dxa"/>
            </w:tcMar>
            <w:vAlign w:val="bottom"/>
          </w:tcPr>
          <w:p w14:paraId="0350ED72" w14:textId="77777777" w:rsidR="0057070D" w:rsidRPr="001D5327" w:rsidRDefault="0057070D" w:rsidP="00D11AC9">
            <w:pPr>
              <w:pStyle w:val="Tableboldblue"/>
              <w:spacing w:before="40" w:after="30"/>
              <w:jc w:val="right"/>
            </w:pPr>
            <w:r w:rsidRPr="001D5327">
              <w:rPr>
                <w:rFonts w:eastAsia="Calibri"/>
              </w:rPr>
              <w:t>56.13</w:t>
            </w:r>
          </w:p>
        </w:tc>
        <w:tc>
          <w:tcPr>
            <w:tcW w:w="0" w:type="auto"/>
            <w:shd w:val="clear" w:color="auto" w:fill="FFFFFF"/>
            <w:tcMar>
              <w:top w:w="0" w:type="dxa"/>
              <w:left w:w="85" w:type="dxa"/>
              <w:bottom w:w="0" w:type="dxa"/>
              <w:right w:w="85" w:type="dxa"/>
            </w:tcMar>
            <w:vAlign w:val="bottom"/>
          </w:tcPr>
          <w:p w14:paraId="52B1EC74" w14:textId="77777777" w:rsidR="0057070D" w:rsidRPr="001D5327" w:rsidRDefault="0057070D" w:rsidP="00D11AC9">
            <w:pPr>
              <w:pStyle w:val="Tableboldblue"/>
              <w:spacing w:before="40" w:after="30"/>
              <w:jc w:val="right"/>
            </w:pPr>
            <w:r w:rsidRPr="001D5327">
              <w:rPr>
                <w:rFonts w:eastAsia="Calibri"/>
              </w:rPr>
              <w:t>30.20</w:t>
            </w:r>
          </w:p>
        </w:tc>
        <w:tc>
          <w:tcPr>
            <w:tcW w:w="0" w:type="auto"/>
            <w:shd w:val="clear" w:color="auto" w:fill="FFFFFF"/>
            <w:tcMar>
              <w:top w:w="0" w:type="dxa"/>
              <w:left w:w="85" w:type="dxa"/>
              <w:bottom w:w="0" w:type="dxa"/>
              <w:right w:w="85" w:type="dxa"/>
            </w:tcMar>
            <w:vAlign w:val="bottom"/>
          </w:tcPr>
          <w:p w14:paraId="0EC90745" w14:textId="77777777" w:rsidR="0057070D" w:rsidRPr="001D5327" w:rsidRDefault="0057070D" w:rsidP="00D11AC9">
            <w:pPr>
              <w:pStyle w:val="Tableboldblue"/>
              <w:spacing w:before="40" w:after="30"/>
              <w:jc w:val="right"/>
            </w:pPr>
            <w:r w:rsidRPr="001D5327">
              <w:rPr>
                <w:rFonts w:eastAsia="Calibri"/>
              </w:rPr>
              <w:t>24.06</w:t>
            </w:r>
          </w:p>
        </w:tc>
      </w:tr>
    </w:tbl>
    <w:p w14:paraId="1F8769F1" w14:textId="77777777" w:rsidR="0057070D" w:rsidRPr="001D5327" w:rsidRDefault="0057070D" w:rsidP="0057070D">
      <w:pPr>
        <w:pStyle w:val="Noteundertable"/>
      </w:pPr>
      <w:r w:rsidRPr="001D5327">
        <w:rPr>
          <w:b/>
          <w:bCs/>
        </w:rPr>
        <w:t>Note:</w:t>
      </w:r>
      <w:r w:rsidRPr="001D5327">
        <w:tab/>
        <w:t>NA = not applicable.</w:t>
      </w:r>
    </w:p>
    <w:p w14:paraId="28F8114D" w14:textId="77777777" w:rsidR="0057070D" w:rsidRPr="001D5327" w:rsidRDefault="0057070D" w:rsidP="0057070D">
      <w:pPr>
        <w:pStyle w:val="BodyText"/>
      </w:pPr>
      <w:r w:rsidRPr="001D5327">
        <w:t>Percentages in table 8.14.1 are defaults from table 2.3 and table 2.4 in volume 5, 2006 IPCC Guidelines (IPCC, 2006d).</w:t>
      </w:r>
    </w:p>
    <w:p w14:paraId="4FBC8D24" w14:textId="77777777" w:rsidR="0057070D" w:rsidRPr="001D5327" w:rsidRDefault="0057070D" w:rsidP="0057070D">
      <w:pPr>
        <w:pStyle w:val="BodyText"/>
      </w:pPr>
      <w:r w:rsidRPr="001D5327">
        <w:t>An assumption was made that ‘inert’ waste for landfills is classified entirely as ‘other inert’ waste for incineration (the impact of this assumption is that emissions are slightly higher than distributing the 24 per cent over the various inert types due to the high fossil carbon percentage).</w:t>
      </w:r>
    </w:p>
    <w:p w14:paraId="0F7F7393" w14:textId="77777777" w:rsidR="0057070D" w:rsidRPr="001D5327" w:rsidRDefault="0057070D" w:rsidP="00E27D49">
      <w:pPr>
        <w:pStyle w:val="Heading3"/>
        <w:tabs>
          <w:tab w:val="clear" w:pos="851"/>
          <w:tab w:val="left" w:pos="993"/>
        </w:tabs>
      </w:pPr>
      <w:bookmarkStart w:id="3019" w:name="Xc0fb7beca39417df9553cca422ae8f16119ad50"/>
      <w:bookmarkEnd w:id="3015"/>
      <w:bookmarkEnd w:id="3017"/>
      <w:r w:rsidRPr="001D5327">
        <w:lastRenderedPageBreak/>
        <w:t>8.14.3</w:t>
      </w:r>
      <w:r w:rsidRPr="001D5327">
        <w:tab/>
        <w:t>Uncertainty assessment and time-series consistency</w:t>
      </w:r>
    </w:p>
    <w:p w14:paraId="27818B8C" w14:textId="77777777" w:rsidR="0057070D" w:rsidRPr="001D5327" w:rsidRDefault="0057070D" w:rsidP="0057070D">
      <w:pPr>
        <w:pStyle w:val="BodyText"/>
      </w:pPr>
      <w:r w:rsidRPr="001D5327">
        <w:t xml:space="preserve">The same uncertainty data for </w:t>
      </w:r>
      <w:r w:rsidRPr="001D5327">
        <w:rPr>
          <w:i/>
          <w:iCs/>
        </w:rPr>
        <w:t>Open burning of waste</w:t>
      </w:r>
      <w:r w:rsidRPr="001D5327">
        <w:t xml:space="preserve"> were used for Tokelau (see table 8.14.2) and New Zealand (see table 7.4.6, chapter 7; for methodological notes, refer to uncertainties in emissions from </w:t>
      </w:r>
      <w:r w:rsidRPr="001D5327">
        <w:rPr>
          <w:i/>
          <w:iCs/>
        </w:rPr>
        <w:t>Incineration and open burning</w:t>
      </w:r>
      <w:r w:rsidRPr="001D5327">
        <w:t>, section 7.4.3, chapter 7).</w:t>
      </w:r>
    </w:p>
    <w:p w14:paraId="2FD335BA" w14:textId="77777777" w:rsidR="0057070D" w:rsidRPr="001D5327" w:rsidRDefault="0057070D" w:rsidP="0057070D">
      <w:pPr>
        <w:pStyle w:val="Table"/>
      </w:pPr>
      <w:bookmarkStart w:id="3020" w:name="_Toc194241843"/>
      <w:r w:rsidRPr="001D5327">
        <w:t>Table 8.14.2</w:t>
      </w:r>
      <w:r w:rsidRPr="001D5327">
        <w:tab/>
        <w:t xml:space="preserve">Uncertainty in emissions from </w:t>
      </w:r>
      <w:r w:rsidRPr="001D5327">
        <w:rPr>
          <w:i/>
          <w:iCs/>
        </w:rPr>
        <w:t>Open burning of waste</w:t>
      </w:r>
      <w:r w:rsidRPr="001D5327">
        <w:t xml:space="preserve"> for Tokelau</w:t>
      </w:r>
      <w:bookmarkEnd w:id="3020"/>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427"/>
        <w:gridCol w:w="2865"/>
        <w:gridCol w:w="3202"/>
      </w:tblGrid>
      <w:tr w:rsidR="0057070D" w:rsidRPr="001D5327" w14:paraId="6F18253C" w14:textId="77777777" w:rsidTr="00D11AC9">
        <w:trPr>
          <w:tblHeader/>
        </w:trPr>
        <w:tc>
          <w:tcPr>
            <w:tcW w:w="0" w:type="auto"/>
            <w:shd w:val="clear" w:color="auto" w:fill="1B556B"/>
            <w:tcMar>
              <w:top w:w="0" w:type="dxa"/>
              <w:left w:w="85" w:type="dxa"/>
              <w:bottom w:w="0" w:type="dxa"/>
              <w:right w:w="85" w:type="dxa"/>
            </w:tcMar>
            <w:vAlign w:val="center"/>
          </w:tcPr>
          <w:p w14:paraId="54C0FF6E"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Emissions category</w:t>
            </w:r>
          </w:p>
        </w:tc>
        <w:tc>
          <w:tcPr>
            <w:tcW w:w="0" w:type="auto"/>
            <w:shd w:val="clear" w:color="auto" w:fill="1B556B"/>
            <w:tcMar>
              <w:top w:w="0" w:type="dxa"/>
              <w:left w:w="85" w:type="dxa"/>
              <w:bottom w:w="0" w:type="dxa"/>
              <w:right w:w="85" w:type="dxa"/>
            </w:tcMar>
            <w:vAlign w:val="center"/>
          </w:tcPr>
          <w:p w14:paraId="0B13F728" w14:textId="77777777" w:rsidR="0057070D" w:rsidRPr="001D5327" w:rsidRDefault="0057070D"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vAlign w:val="center"/>
          </w:tcPr>
          <w:p w14:paraId="17FD64FE" w14:textId="77777777" w:rsidR="0057070D" w:rsidRPr="001D5327" w:rsidRDefault="0057070D"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emission factors (%)</w:t>
            </w:r>
          </w:p>
        </w:tc>
      </w:tr>
      <w:tr w:rsidR="00622E2B" w:rsidRPr="001D5327" w14:paraId="623234A6" w14:textId="77777777" w:rsidTr="00D11AC9">
        <w:tc>
          <w:tcPr>
            <w:tcW w:w="0" w:type="auto"/>
            <w:shd w:val="clear" w:color="auto" w:fill="FFFFFF"/>
            <w:tcMar>
              <w:top w:w="0" w:type="dxa"/>
              <w:left w:w="85" w:type="dxa"/>
              <w:bottom w:w="0" w:type="dxa"/>
              <w:right w:w="85" w:type="dxa"/>
            </w:tcMar>
            <w:vAlign w:val="center"/>
          </w:tcPr>
          <w:p w14:paraId="0C595B26" w14:textId="77777777" w:rsidR="0057070D" w:rsidRPr="001D5327" w:rsidRDefault="0057070D" w:rsidP="00D11AC9">
            <w:pPr>
              <w:pStyle w:val="TableText"/>
              <w:spacing w:before="40" w:after="40"/>
            </w:pPr>
            <w:r w:rsidRPr="001D5327">
              <w:rPr>
                <w:rFonts w:eastAsia="Calibri"/>
                <w:color w:val="000000"/>
              </w:rPr>
              <w:t>Waste open burning (CO</w:t>
            </w:r>
            <w:r w:rsidRPr="001D5327">
              <w:rPr>
                <w:rFonts w:eastAsia="Calibri"/>
                <w:color w:val="000000"/>
                <w:vertAlign w:val="subscript"/>
              </w:rPr>
              <w:t>2</w:t>
            </w:r>
            <w:r w:rsidRPr="001D5327">
              <w:rPr>
                <w:rFonts w:eastAsia="Calibri"/>
                <w:color w:val="000000"/>
              </w:rPr>
              <w:t>)</w:t>
            </w:r>
          </w:p>
        </w:tc>
        <w:tc>
          <w:tcPr>
            <w:tcW w:w="0" w:type="auto"/>
            <w:shd w:val="clear" w:color="auto" w:fill="FFFFFF"/>
            <w:tcMar>
              <w:top w:w="0" w:type="dxa"/>
              <w:left w:w="85" w:type="dxa"/>
              <w:bottom w:w="0" w:type="dxa"/>
              <w:right w:w="85" w:type="dxa"/>
            </w:tcMar>
            <w:vAlign w:val="center"/>
          </w:tcPr>
          <w:p w14:paraId="5B0A6717" w14:textId="77777777" w:rsidR="0057070D" w:rsidRPr="001D5327" w:rsidRDefault="0057070D" w:rsidP="00D11AC9">
            <w:pPr>
              <w:pStyle w:val="TableText"/>
              <w:spacing w:before="40" w:after="40"/>
              <w:jc w:val="right"/>
            </w:pPr>
            <w:r w:rsidRPr="001D5327">
              <w:rPr>
                <w:rFonts w:eastAsia="Calibri"/>
                <w:color w:val="000000"/>
              </w:rPr>
              <w:t>±50</w:t>
            </w:r>
          </w:p>
        </w:tc>
        <w:tc>
          <w:tcPr>
            <w:tcW w:w="0" w:type="auto"/>
            <w:shd w:val="clear" w:color="auto" w:fill="FFFFFF"/>
            <w:tcMar>
              <w:top w:w="0" w:type="dxa"/>
              <w:left w:w="85" w:type="dxa"/>
              <w:bottom w:w="0" w:type="dxa"/>
              <w:right w:w="85" w:type="dxa"/>
            </w:tcMar>
            <w:vAlign w:val="center"/>
          </w:tcPr>
          <w:p w14:paraId="3921D697" w14:textId="77777777" w:rsidR="0057070D" w:rsidRPr="001D5327" w:rsidRDefault="0057070D" w:rsidP="00D11AC9">
            <w:pPr>
              <w:pStyle w:val="TableText"/>
              <w:spacing w:before="40" w:after="40"/>
              <w:jc w:val="right"/>
            </w:pPr>
            <w:r w:rsidRPr="001D5327">
              <w:rPr>
                <w:rFonts w:eastAsia="Calibri"/>
                <w:color w:val="000000"/>
              </w:rPr>
              <w:t>±40</w:t>
            </w:r>
          </w:p>
        </w:tc>
      </w:tr>
      <w:tr w:rsidR="00622E2B" w:rsidRPr="001D5327" w14:paraId="3976C818" w14:textId="77777777" w:rsidTr="00D11AC9">
        <w:tc>
          <w:tcPr>
            <w:tcW w:w="0" w:type="auto"/>
            <w:shd w:val="clear" w:color="auto" w:fill="FFFFFF"/>
            <w:tcMar>
              <w:top w:w="0" w:type="dxa"/>
              <w:left w:w="85" w:type="dxa"/>
              <w:bottom w:w="0" w:type="dxa"/>
              <w:right w:w="85" w:type="dxa"/>
            </w:tcMar>
            <w:vAlign w:val="center"/>
          </w:tcPr>
          <w:p w14:paraId="3B1A9D52" w14:textId="77777777" w:rsidR="0057070D" w:rsidRPr="001D5327" w:rsidRDefault="0057070D" w:rsidP="00D11AC9">
            <w:pPr>
              <w:pStyle w:val="TableText"/>
              <w:spacing w:before="40" w:after="40"/>
            </w:pPr>
            <w:r w:rsidRPr="001D5327">
              <w:rPr>
                <w:rFonts w:eastAsia="Calibri"/>
                <w:color w:val="000000"/>
              </w:rPr>
              <w:t>Waste open burning (CH</w:t>
            </w:r>
            <w:r w:rsidRPr="001D5327">
              <w:rPr>
                <w:rFonts w:eastAsia="Calibri"/>
                <w:color w:val="000000"/>
                <w:vertAlign w:val="subscript"/>
              </w:rPr>
              <w:t>4</w:t>
            </w:r>
            <w:r w:rsidRPr="001D5327">
              <w:rPr>
                <w:rFonts w:eastAsia="Calibri"/>
                <w:color w:val="000000"/>
              </w:rPr>
              <w:t>)</w:t>
            </w:r>
          </w:p>
        </w:tc>
        <w:tc>
          <w:tcPr>
            <w:tcW w:w="0" w:type="auto"/>
            <w:shd w:val="clear" w:color="auto" w:fill="FFFFFF"/>
            <w:tcMar>
              <w:top w:w="0" w:type="dxa"/>
              <w:left w:w="85" w:type="dxa"/>
              <w:bottom w:w="0" w:type="dxa"/>
              <w:right w:w="85" w:type="dxa"/>
            </w:tcMar>
            <w:vAlign w:val="center"/>
          </w:tcPr>
          <w:p w14:paraId="0712248A" w14:textId="77777777" w:rsidR="0057070D" w:rsidRPr="001D5327" w:rsidRDefault="0057070D" w:rsidP="00D11AC9">
            <w:pPr>
              <w:pStyle w:val="TableText"/>
              <w:spacing w:before="40" w:after="40"/>
              <w:jc w:val="right"/>
            </w:pPr>
            <w:r w:rsidRPr="001D5327">
              <w:rPr>
                <w:rFonts w:eastAsia="Calibri"/>
                <w:color w:val="000000"/>
              </w:rPr>
              <w:t>±50</w:t>
            </w:r>
          </w:p>
        </w:tc>
        <w:tc>
          <w:tcPr>
            <w:tcW w:w="0" w:type="auto"/>
            <w:shd w:val="clear" w:color="auto" w:fill="FFFFFF"/>
            <w:tcMar>
              <w:top w:w="0" w:type="dxa"/>
              <w:left w:w="85" w:type="dxa"/>
              <w:bottom w:w="0" w:type="dxa"/>
              <w:right w:w="85" w:type="dxa"/>
            </w:tcMar>
            <w:vAlign w:val="center"/>
          </w:tcPr>
          <w:p w14:paraId="5E107C20" w14:textId="77777777" w:rsidR="0057070D" w:rsidRPr="001D5327" w:rsidRDefault="0057070D" w:rsidP="00D11AC9">
            <w:pPr>
              <w:pStyle w:val="TableText"/>
              <w:spacing w:before="40" w:after="40"/>
              <w:jc w:val="right"/>
            </w:pPr>
            <w:r w:rsidRPr="001D5327">
              <w:rPr>
                <w:rFonts w:eastAsia="Calibri"/>
                <w:color w:val="000000"/>
              </w:rPr>
              <w:t>±100</w:t>
            </w:r>
          </w:p>
        </w:tc>
      </w:tr>
      <w:tr w:rsidR="00622E2B" w:rsidRPr="001D5327" w14:paraId="2FC0234A" w14:textId="77777777" w:rsidTr="00D11AC9">
        <w:tc>
          <w:tcPr>
            <w:tcW w:w="0" w:type="auto"/>
            <w:shd w:val="clear" w:color="auto" w:fill="FFFFFF"/>
            <w:tcMar>
              <w:top w:w="0" w:type="dxa"/>
              <w:left w:w="85" w:type="dxa"/>
              <w:bottom w:w="0" w:type="dxa"/>
              <w:right w:w="85" w:type="dxa"/>
            </w:tcMar>
            <w:vAlign w:val="center"/>
          </w:tcPr>
          <w:p w14:paraId="1CE70CD9" w14:textId="77777777" w:rsidR="0057070D" w:rsidRPr="001D5327" w:rsidRDefault="0057070D" w:rsidP="00D11AC9">
            <w:pPr>
              <w:pStyle w:val="TableText"/>
              <w:spacing w:before="40" w:after="40"/>
            </w:pPr>
            <w:r w:rsidRPr="001D5327">
              <w:rPr>
                <w:rFonts w:eastAsia="Calibri"/>
                <w:color w:val="000000"/>
              </w:rPr>
              <w:t>Waste open burning (N</w:t>
            </w:r>
            <w:r w:rsidRPr="001D5327">
              <w:rPr>
                <w:rFonts w:eastAsia="Calibri"/>
                <w:color w:val="000000"/>
                <w:vertAlign w:val="subscript"/>
              </w:rPr>
              <w:t>2</w:t>
            </w:r>
            <w:r w:rsidRPr="001D5327">
              <w:rPr>
                <w:rFonts w:eastAsia="Calibri"/>
                <w:color w:val="000000"/>
              </w:rPr>
              <w:t>O)</w:t>
            </w:r>
          </w:p>
        </w:tc>
        <w:tc>
          <w:tcPr>
            <w:tcW w:w="0" w:type="auto"/>
            <w:shd w:val="clear" w:color="auto" w:fill="FFFFFF"/>
            <w:tcMar>
              <w:top w:w="0" w:type="dxa"/>
              <w:left w:w="85" w:type="dxa"/>
              <w:bottom w:w="0" w:type="dxa"/>
              <w:right w:w="85" w:type="dxa"/>
            </w:tcMar>
            <w:vAlign w:val="center"/>
          </w:tcPr>
          <w:p w14:paraId="66E4A949" w14:textId="77777777" w:rsidR="0057070D" w:rsidRPr="001D5327" w:rsidRDefault="0057070D" w:rsidP="00D11AC9">
            <w:pPr>
              <w:pStyle w:val="TableText"/>
              <w:spacing w:before="40" w:after="40"/>
              <w:jc w:val="right"/>
            </w:pPr>
            <w:r w:rsidRPr="001D5327">
              <w:rPr>
                <w:rFonts w:eastAsia="Calibri"/>
                <w:color w:val="000000"/>
              </w:rPr>
              <w:t>±50</w:t>
            </w:r>
          </w:p>
        </w:tc>
        <w:tc>
          <w:tcPr>
            <w:tcW w:w="0" w:type="auto"/>
            <w:shd w:val="clear" w:color="auto" w:fill="FFFFFF"/>
            <w:tcMar>
              <w:top w:w="0" w:type="dxa"/>
              <w:left w:w="85" w:type="dxa"/>
              <w:bottom w:w="0" w:type="dxa"/>
              <w:right w:w="85" w:type="dxa"/>
            </w:tcMar>
            <w:vAlign w:val="center"/>
          </w:tcPr>
          <w:p w14:paraId="6D3F4828" w14:textId="77777777" w:rsidR="0057070D" w:rsidRPr="001D5327" w:rsidRDefault="0057070D" w:rsidP="00D11AC9">
            <w:pPr>
              <w:pStyle w:val="TableText"/>
              <w:spacing w:before="40" w:after="40"/>
              <w:jc w:val="right"/>
            </w:pPr>
            <w:r w:rsidRPr="001D5327">
              <w:rPr>
                <w:rFonts w:eastAsia="Calibri"/>
                <w:color w:val="000000"/>
              </w:rPr>
              <w:t>±100</w:t>
            </w:r>
          </w:p>
        </w:tc>
      </w:tr>
    </w:tbl>
    <w:p w14:paraId="791691FD" w14:textId="77777777" w:rsidR="0057070D" w:rsidRPr="001D5327" w:rsidRDefault="0057070D" w:rsidP="0057070D">
      <w:pPr>
        <w:pStyle w:val="BodyText"/>
        <w:spacing w:before="240"/>
      </w:pPr>
      <w:r w:rsidRPr="001D5327">
        <w:t>Time-series consistency was maintained by interpolating the population data in between census years (which are generally five years apart).</w:t>
      </w:r>
    </w:p>
    <w:p w14:paraId="71EB9B61" w14:textId="77777777" w:rsidR="0057070D" w:rsidRPr="001D5327" w:rsidRDefault="0057070D" w:rsidP="00E27D49">
      <w:pPr>
        <w:pStyle w:val="Heading3"/>
        <w:tabs>
          <w:tab w:val="clear" w:pos="851"/>
          <w:tab w:val="left" w:pos="993"/>
        </w:tabs>
      </w:pPr>
      <w:bookmarkStart w:id="3021" w:name="Xf500030fb70614424014ec7cce89f605e2f1d27"/>
      <w:bookmarkEnd w:id="3019"/>
      <w:r w:rsidRPr="001D5327">
        <w:t>8.14.4</w:t>
      </w:r>
      <w:r w:rsidRPr="001D5327">
        <w:tab/>
        <w:t>Category-specific QA/QC and verification</w:t>
      </w:r>
    </w:p>
    <w:p w14:paraId="76B4DDD5" w14:textId="77777777" w:rsidR="0057070D" w:rsidRPr="001D5327" w:rsidRDefault="0057070D" w:rsidP="0057070D">
      <w:pPr>
        <w:pStyle w:val="BodyText"/>
      </w:pPr>
      <w:r w:rsidRPr="001D5327">
        <w:t>Quality control of the activity data and calculations was applied to each category for Tokelau. No verification was possible because no alternative data were available.</w:t>
      </w:r>
    </w:p>
    <w:p w14:paraId="13AF2F7D" w14:textId="77777777" w:rsidR="0057070D" w:rsidRPr="001D5327" w:rsidRDefault="0057070D" w:rsidP="00E27D49">
      <w:pPr>
        <w:pStyle w:val="Heading3"/>
        <w:tabs>
          <w:tab w:val="clear" w:pos="851"/>
          <w:tab w:val="left" w:pos="993"/>
        </w:tabs>
      </w:pPr>
      <w:bookmarkStart w:id="3022" w:name="category-specific-recalculations-8"/>
      <w:bookmarkEnd w:id="3021"/>
      <w:r w:rsidRPr="001D5327">
        <w:t>8.14.5</w:t>
      </w:r>
      <w:r w:rsidRPr="001D5327">
        <w:tab/>
        <w:t>Category-specific recalculations</w:t>
      </w:r>
    </w:p>
    <w:p w14:paraId="42BD92AC" w14:textId="77777777" w:rsidR="0057070D" w:rsidRPr="001D5327" w:rsidRDefault="0057070D" w:rsidP="0057070D">
      <w:pPr>
        <w:pStyle w:val="BodyText"/>
      </w:pPr>
      <w:r w:rsidRPr="001D5327">
        <w:t xml:space="preserve">There were no changes to estimates for the </w:t>
      </w:r>
      <w:r w:rsidRPr="001D5327">
        <w:rPr>
          <w:i/>
          <w:iCs/>
        </w:rPr>
        <w:t>Open burning and incineration</w:t>
      </w:r>
      <w:r w:rsidRPr="001D5327">
        <w:t xml:space="preserve"> category.</w:t>
      </w:r>
    </w:p>
    <w:p w14:paraId="7DB0962A" w14:textId="77777777" w:rsidR="0057070D" w:rsidRPr="001D5327" w:rsidRDefault="0057070D" w:rsidP="00E27D49">
      <w:pPr>
        <w:pStyle w:val="Heading3"/>
        <w:tabs>
          <w:tab w:val="clear" w:pos="851"/>
          <w:tab w:val="left" w:pos="993"/>
        </w:tabs>
      </w:pPr>
      <w:bookmarkStart w:id="3023" w:name="category-specific-planned-improvements-8"/>
      <w:bookmarkEnd w:id="3022"/>
      <w:r w:rsidRPr="001D5327">
        <w:t>8.14.6</w:t>
      </w:r>
      <w:r w:rsidRPr="001D5327">
        <w:tab/>
        <w:t>Category-specific planned improvements</w:t>
      </w:r>
    </w:p>
    <w:p w14:paraId="7A7DC69C" w14:textId="77777777" w:rsidR="0057070D" w:rsidRPr="001D5327" w:rsidRDefault="0057070D" w:rsidP="0057070D">
      <w:pPr>
        <w:pStyle w:val="BodyText"/>
      </w:pPr>
      <w:r w:rsidRPr="001D5327">
        <w:t>No improvements are planned for the next inventory submission.</w:t>
      </w:r>
    </w:p>
    <w:p w14:paraId="46394A87" w14:textId="77777777" w:rsidR="0057070D" w:rsidRPr="001D5327" w:rsidRDefault="0057070D" w:rsidP="00E27D49">
      <w:pPr>
        <w:pStyle w:val="Heading2"/>
        <w:tabs>
          <w:tab w:val="clear" w:pos="851"/>
          <w:tab w:val="left" w:pos="993"/>
        </w:tabs>
      </w:pPr>
      <w:bookmarkStart w:id="3024" w:name="_Toc194312061"/>
      <w:bookmarkStart w:id="3025" w:name="X0e50015b25e963c1f231fec718c9f62ae1331d9"/>
      <w:bookmarkEnd w:id="3013"/>
      <w:bookmarkEnd w:id="3023"/>
      <w:r w:rsidRPr="001D5327">
        <w:t>8.15</w:t>
      </w:r>
      <w:r w:rsidRPr="001D5327">
        <w:tab/>
        <w:t>Emissions from Wastewater treatment and discharge in Tokelau</w:t>
      </w:r>
      <w:bookmarkEnd w:id="3024"/>
    </w:p>
    <w:p w14:paraId="1EED00A0" w14:textId="77777777" w:rsidR="0057070D" w:rsidRPr="001D5327" w:rsidRDefault="0057070D" w:rsidP="00E27D49">
      <w:pPr>
        <w:pStyle w:val="Heading3"/>
        <w:tabs>
          <w:tab w:val="clear" w:pos="851"/>
          <w:tab w:val="left" w:pos="993"/>
        </w:tabs>
        <w:spacing w:before="240"/>
      </w:pPr>
      <w:bookmarkStart w:id="3026" w:name="description-9"/>
      <w:r w:rsidRPr="001D5327">
        <w:t>8.15.1</w:t>
      </w:r>
      <w:r w:rsidRPr="001D5327">
        <w:tab/>
        <w:t>Description</w:t>
      </w:r>
    </w:p>
    <w:p w14:paraId="053DBCF7" w14:textId="77777777" w:rsidR="0057070D" w:rsidRPr="001D5327" w:rsidRDefault="0057070D" w:rsidP="0057070D">
      <w:pPr>
        <w:pStyle w:val="BodyText"/>
      </w:pPr>
      <w:r w:rsidRPr="001D5327">
        <w:t xml:space="preserve">In the absence of industrial plants in Tokelau, all emissions associated with wastewater treatment and discharge are reported in the </w:t>
      </w:r>
      <w:r w:rsidRPr="001D5327">
        <w:rPr>
          <w:i/>
          <w:iCs/>
        </w:rPr>
        <w:t>Domestic wastewater</w:t>
      </w:r>
      <w:r w:rsidRPr="001D5327">
        <w:t xml:space="preserve"> category (5.D.1). The category uses the same population values as in the </w:t>
      </w:r>
      <w:r w:rsidRPr="001D5327">
        <w:rPr>
          <w:i/>
          <w:iCs/>
        </w:rPr>
        <w:t>Solid waste disposal</w:t>
      </w:r>
      <w:r w:rsidRPr="001D5327">
        <w:t xml:space="preserve"> and </w:t>
      </w:r>
      <w:r w:rsidRPr="001D5327">
        <w:rPr>
          <w:i/>
          <w:iCs/>
        </w:rPr>
        <w:t>Open burning of waste</w:t>
      </w:r>
      <w:r w:rsidRPr="001D5327">
        <w:t xml:space="preserve"> categories (see above). The category includes emissions of CH</w:t>
      </w:r>
      <w:r w:rsidRPr="001D5327">
        <w:rPr>
          <w:vertAlign w:val="subscript"/>
        </w:rPr>
        <w:t>4</w:t>
      </w:r>
      <w:r w:rsidRPr="001D5327">
        <w:t xml:space="preserve"> and N</w:t>
      </w:r>
      <w:r w:rsidRPr="001D5327">
        <w:rPr>
          <w:vertAlign w:val="subscript"/>
        </w:rPr>
        <w:t>2</w:t>
      </w:r>
      <w:r w:rsidRPr="001D5327">
        <w:t>O.</w:t>
      </w:r>
    </w:p>
    <w:p w14:paraId="2C87041B" w14:textId="77777777" w:rsidR="0057070D" w:rsidRPr="001D5327" w:rsidRDefault="0057070D" w:rsidP="0057070D">
      <w:pPr>
        <w:pStyle w:val="BodyText"/>
      </w:pPr>
      <w:r w:rsidRPr="001D5327">
        <w:t xml:space="preserve">The </w:t>
      </w:r>
      <w:r w:rsidRPr="001D5327">
        <w:rPr>
          <w:i/>
          <w:iCs/>
        </w:rPr>
        <w:t>Domestic wastewater</w:t>
      </w:r>
      <w:r w:rsidRPr="001D5327">
        <w:t xml:space="preserve"> category contributed 38.5 per cent to the total of Waste sector emissions from Tokelau in 2023, which amounted to 0.30 kt CO</w:t>
      </w:r>
      <w:r w:rsidRPr="001D5327">
        <w:rPr>
          <w:vertAlign w:val="subscript"/>
        </w:rPr>
        <w:t>2</w:t>
      </w:r>
      <w:r w:rsidRPr="001D5327">
        <w:t>-e.</w:t>
      </w:r>
    </w:p>
    <w:p w14:paraId="52B5585F" w14:textId="77777777" w:rsidR="0057070D" w:rsidRPr="001D5327" w:rsidRDefault="0057070D" w:rsidP="00E27D49">
      <w:pPr>
        <w:pStyle w:val="Heading3"/>
        <w:tabs>
          <w:tab w:val="clear" w:pos="851"/>
          <w:tab w:val="left" w:pos="993"/>
        </w:tabs>
      </w:pPr>
      <w:bookmarkStart w:id="3027" w:name="methodological-issues-10"/>
      <w:bookmarkEnd w:id="3026"/>
      <w:r w:rsidRPr="001D5327">
        <w:t>8.15.2</w:t>
      </w:r>
      <w:r w:rsidRPr="001D5327">
        <w:tab/>
        <w:t>Methodological issues</w:t>
      </w:r>
    </w:p>
    <w:p w14:paraId="120C292E" w14:textId="77777777" w:rsidR="0057070D" w:rsidRPr="001D5327" w:rsidRDefault="0057070D" w:rsidP="0057070D">
      <w:pPr>
        <w:pStyle w:val="BodyText"/>
      </w:pPr>
      <w:r w:rsidRPr="001D5327">
        <w:t>A Tier 1 methodology with the 2006 IPCC default emission factors (except the protein consumption value) for all gases was applied for estimating emissions from this category.</w:t>
      </w:r>
    </w:p>
    <w:p w14:paraId="77947611" w14:textId="77777777" w:rsidR="0057070D" w:rsidRPr="001D5327" w:rsidRDefault="0057070D" w:rsidP="0057070D">
      <w:pPr>
        <w:pStyle w:val="BodyText"/>
      </w:pPr>
      <w:r w:rsidRPr="001D5327">
        <w:t>Assumptions for estimating CH</w:t>
      </w:r>
      <w:r w:rsidRPr="001D5327">
        <w:rPr>
          <w:vertAlign w:val="subscript"/>
        </w:rPr>
        <w:t>4</w:t>
      </w:r>
      <w:r w:rsidRPr="001D5327">
        <w:t xml:space="preserve"> emissions from wastewater:</w:t>
      </w:r>
    </w:p>
    <w:p w14:paraId="15825866" w14:textId="77777777" w:rsidR="0057070D" w:rsidRPr="001D5327" w:rsidRDefault="0057070D" w:rsidP="0057070D">
      <w:pPr>
        <w:pStyle w:val="Bullet"/>
      </w:pPr>
      <w:r w:rsidRPr="001D5327">
        <w:t>60 grams biochemical oxygen demand (BOD) per person per day (as for Canada, Europe, Russia and Oceania), which calculates as 21.9 kg/person/year</w:t>
      </w:r>
    </w:p>
    <w:p w14:paraId="4485FC06" w14:textId="77777777" w:rsidR="0057070D" w:rsidRPr="001D5327" w:rsidRDefault="0057070D" w:rsidP="0057070D">
      <w:pPr>
        <w:pStyle w:val="Bullet"/>
      </w:pPr>
      <w:r w:rsidRPr="001D5327">
        <w:lastRenderedPageBreak/>
        <w:t>for population, the same time series as in categories 5.A.3 and 5.C was used</w:t>
      </w:r>
    </w:p>
    <w:p w14:paraId="63224A25" w14:textId="77777777" w:rsidR="0057070D" w:rsidRPr="001D5327" w:rsidRDefault="0057070D" w:rsidP="0057070D">
      <w:pPr>
        <w:pStyle w:val="Bullet"/>
      </w:pPr>
      <w:r w:rsidRPr="001D5327">
        <w:t xml:space="preserve">despite having no wastewater collection system, a correction factor for industrial BOD discharged in sewers of 1.25 is used (default for collected systems) to account for any industrial and commercial activity in Tokelau, such as fishing. No other estimates of industrial wastewater are made (effectively 5.D.2 </w:t>
      </w:r>
      <w:r w:rsidRPr="001D5327">
        <w:rPr>
          <w:i/>
          <w:iCs/>
        </w:rPr>
        <w:t>Industrial wastewater</w:t>
      </w:r>
      <w:r w:rsidRPr="001D5327">
        <w:t xml:space="preserve"> is ‘included elsewhere’ (IE) and included in 5.D.1 </w:t>
      </w:r>
      <w:r w:rsidRPr="001D5327">
        <w:rPr>
          <w:i/>
          <w:iCs/>
        </w:rPr>
        <w:t>Domestic wastewater</w:t>
      </w:r>
      <w:r w:rsidRPr="001D5327">
        <w:t>)</w:t>
      </w:r>
    </w:p>
    <w:p w14:paraId="358350B9" w14:textId="77777777" w:rsidR="0057070D" w:rsidRPr="001D5327" w:rsidRDefault="0057070D" w:rsidP="0057070D">
      <w:pPr>
        <w:pStyle w:val="Bullet"/>
      </w:pPr>
      <w:r w:rsidRPr="001D5327">
        <w:t>in 2016, most Tokelauans had access to a private toilet in their homes using septic tanks: 72.9 per cent of private occupied dwellings had an indoor flush toilet, and 21.6 per cent of dwellings had an outdoor flush toilet. Atafu had the highest proportion of dwellings with an indoor toilet (87.4 per cent), and Nukunonu had the highest proportion of households with an outdoor toilet (34.9 per cent) (Census 2016, similar to values for 2011 and 2006). The percentage of open water toilets gradually reduced from 65 per cent of dwellings in 1991 to nil by 2016.</w:t>
      </w:r>
    </w:p>
    <w:p w14:paraId="09BC9689" w14:textId="77777777" w:rsidR="0057070D" w:rsidRPr="001D5327" w:rsidRDefault="0057070D" w:rsidP="0057070D">
      <w:pPr>
        <w:pStyle w:val="BodyText"/>
      </w:pPr>
      <w:r w:rsidRPr="001D5327">
        <w:t>Table 8.15.1 sums up default parameters used for estimating CH</w:t>
      </w:r>
      <w:r w:rsidRPr="001D5327">
        <w:rPr>
          <w:vertAlign w:val="subscript"/>
        </w:rPr>
        <w:t>4</w:t>
      </w:r>
      <w:r w:rsidRPr="001D5327">
        <w:t xml:space="preserve"> emissions for Tokelau wastewater treatment. The default BOD correction factor for collected systems is used to account for industrial and commercial water because there is no separate estimate.</w:t>
      </w:r>
    </w:p>
    <w:p w14:paraId="22E7CAA1" w14:textId="77777777" w:rsidR="0057070D" w:rsidRPr="001D5327" w:rsidRDefault="0057070D" w:rsidP="0057070D">
      <w:pPr>
        <w:pStyle w:val="Table"/>
      </w:pPr>
      <w:bookmarkStart w:id="3028" w:name="_Toc194241844"/>
      <w:r w:rsidRPr="001D5327">
        <w:t>Table 8.15.1</w:t>
      </w:r>
      <w:r w:rsidRPr="001D5327">
        <w:tab/>
        <w:t>Parameters for estimating methane emissions for Tokelau wastewater treatment</w:t>
      </w:r>
      <w:bookmarkEnd w:id="3028"/>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261"/>
        <w:gridCol w:w="567"/>
        <w:gridCol w:w="1984"/>
        <w:gridCol w:w="2682"/>
      </w:tblGrid>
      <w:tr w:rsidR="0057070D" w:rsidRPr="001D5327" w14:paraId="5E6B5A9F" w14:textId="77777777" w:rsidTr="00D11AC9">
        <w:trPr>
          <w:tblHeader/>
        </w:trPr>
        <w:tc>
          <w:tcPr>
            <w:tcW w:w="3261" w:type="dxa"/>
            <w:shd w:val="clear" w:color="auto" w:fill="1B556B"/>
            <w:tcMar>
              <w:top w:w="0" w:type="dxa"/>
              <w:left w:w="85" w:type="dxa"/>
              <w:bottom w:w="0" w:type="dxa"/>
              <w:right w:w="85" w:type="dxa"/>
            </w:tcMar>
          </w:tcPr>
          <w:p w14:paraId="3155598E"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Parameter</w:t>
            </w:r>
          </w:p>
        </w:tc>
        <w:tc>
          <w:tcPr>
            <w:tcW w:w="567" w:type="dxa"/>
            <w:shd w:val="clear" w:color="auto" w:fill="1B556B"/>
            <w:tcMar>
              <w:top w:w="0" w:type="dxa"/>
              <w:left w:w="85" w:type="dxa"/>
              <w:bottom w:w="0" w:type="dxa"/>
              <w:right w:w="85" w:type="dxa"/>
            </w:tcMar>
          </w:tcPr>
          <w:p w14:paraId="325978F9"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Value</w:t>
            </w:r>
          </w:p>
        </w:tc>
        <w:tc>
          <w:tcPr>
            <w:tcW w:w="1984" w:type="dxa"/>
            <w:shd w:val="clear" w:color="auto" w:fill="1B556B"/>
            <w:tcMar>
              <w:top w:w="0" w:type="dxa"/>
              <w:left w:w="85" w:type="dxa"/>
              <w:bottom w:w="0" w:type="dxa"/>
              <w:right w:w="85" w:type="dxa"/>
            </w:tcMar>
          </w:tcPr>
          <w:p w14:paraId="2D82C0E0"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Source</w:t>
            </w:r>
          </w:p>
        </w:tc>
        <w:tc>
          <w:tcPr>
            <w:tcW w:w="2682" w:type="dxa"/>
            <w:shd w:val="clear" w:color="auto" w:fill="1B556B"/>
            <w:tcMar>
              <w:top w:w="0" w:type="dxa"/>
              <w:left w:w="85" w:type="dxa"/>
              <w:bottom w:w="0" w:type="dxa"/>
              <w:right w:w="85" w:type="dxa"/>
            </w:tcMar>
          </w:tcPr>
          <w:p w14:paraId="0C2E11BE"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Reference</w:t>
            </w:r>
          </w:p>
        </w:tc>
      </w:tr>
      <w:tr w:rsidR="0057070D" w:rsidRPr="001D5327" w14:paraId="2F789BFA" w14:textId="77777777" w:rsidTr="00D11AC9">
        <w:tc>
          <w:tcPr>
            <w:tcW w:w="3261" w:type="dxa"/>
            <w:shd w:val="clear" w:color="auto" w:fill="FFFFFF"/>
            <w:tcMar>
              <w:top w:w="0" w:type="dxa"/>
              <w:left w:w="85" w:type="dxa"/>
              <w:bottom w:w="0" w:type="dxa"/>
              <w:right w:w="85" w:type="dxa"/>
            </w:tcMar>
          </w:tcPr>
          <w:p w14:paraId="5780733B" w14:textId="77777777" w:rsidR="0057070D" w:rsidRPr="001D5327" w:rsidRDefault="0057070D" w:rsidP="00D11AC9">
            <w:pPr>
              <w:pStyle w:val="TableText"/>
              <w:spacing w:before="40" w:after="40"/>
            </w:pPr>
            <w:r w:rsidRPr="001D5327">
              <w:rPr>
                <w:rFonts w:eastAsia="Calibri"/>
                <w:color w:val="000000"/>
              </w:rPr>
              <w:t>Methane correction factors</w:t>
            </w:r>
          </w:p>
        </w:tc>
        <w:tc>
          <w:tcPr>
            <w:tcW w:w="567" w:type="dxa"/>
            <w:shd w:val="clear" w:color="auto" w:fill="FFFFFF"/>
            <w:tcMar>
              <w:top w:w="0" w:type="dxa"/>
              <w:left w:w="85" w:type="dxa"/>
              <w:bottom w:w="0" w:type="dxa"/>
              <w:right w:w="85" w:type="dxa"/>
            </w:tcMar>
          </w:tcPr>
          <w:p w14:paraId="75D186BB" w14:textId="77777777" w:rsidR="0057070D" w:rsidRPr="001D5327" w:rsidRDefault="0057070D" w:rsidP="00D11AC9">
            <w:pPr>
              <w:pStyle w:val="TableText"/>
              <w:spacing w:before="40" w:after="40"/>
              <w:jc w:val="right"/>
            </w:pPr>
          </w:p>
        </w:tc>
        <w:tc>
          <w:tcPr>
            <w:tcW w:w="1984" w:type="dxa"/>
            <w:shd w:val="clear" w:color="auto" w:fill="FFFFFF"/>
            <w:tcMar>
              <w:top w:w="0" w:type="dxa"/>
              <w:left w:w="85" w:type="dxa"/>
              <w:bottom w:w="0" w:type="dxa"/>
              <w:right w:w="85" w:type="dxa"/>
            </w:tcMar>
          </w:tcPr>
          <w:p w14:paraId="022AAE25" w14:textId="77777777" w:rsidR="0057070D" w:rsidRPr="001D5327" w:rsidRDefault="0057070D" w:rsidP="00D11AC9">
            <w:pPr>
              <w:pStyle w:val="TableText"/>
              <w:spacing w:before="40" w:after="40"/>
            </w:pPr>
          </w:p>
        </w:tc>
        <w:tc>
          <w:tcPr>
            <w:tcW w:w="2682" w:type="dxa"/>
            <w:shd w:val="clear" w:color="auto" w:fill="FFFFFF"/>
            <w:tcMar>
              <w:top w:w="0" w:type="dxa"/>
              <w:left w:w="85" w:type="dxa"/>
              <w:bottom w:w="0" w:type="dxa"/>
              <w:right w:w="85" w:type="dxa"/>
            </w:tcMar>
          </w:tcPr>
          <w:p w14:paraId="3A677ECF" w14:textId="77777777" w:rsidR="0057070D" w:rsidRPr="001D5327" w:rsidRDefault="0057070D" w:rsidP="00D11AC9">
            <w:pPr>
              <w:pStyle w:val="TableText"/>
              <w:spacing w:before="40" w:after="40"/>
            </w:pPr>
          </w:p>
        </w:tc>
      </w:tr>
      <w:tr w:rsidR="0057070D" w:rsidRPr="001D5327" w14:paraId="5A98BDDD" w14:textId="77777777" w:rsidTr="00D11AC9">
        <w:tc>
          <w:tcPr>
            <w:tcW w:w="3261" w:type="dxa"/>
            <w:shd w:val="clear" w:color="auto" w:fill="FFFFFF"/>
            <w:tcMar>
              <w:top w:w="0" w:type="dxa"/>
              <w:left w:w="85" w:type="dxa"/>
              <w:bottom w:w="0" w:type="dxa"/>
              <w:right w:w="85" w:type="dxa"/>
            </w:tcMar>
          </w:tcPr>
          <w:p w14:paraId="410488F5" w14:textId="77777777" w:rsidR="0057070D" w:rsidRPr="001D5327" w:rsidRDefault="0057070D" w:rsidP="00D11AC9">
            <w:pPr>
              <w:pStyle w:val="TableText"/>
              <w:spacing w:before="40" w:after="40"/>
            </w:pPr>
            <w:r w:rsidRPr="001D5327">
              <w:rPr>
                <w:rFonts w:eastAsia="Calibri"/>
                <w:color w:val="000000"/>
              </w:rPr>
              <w:t>Septic system</w:t>
            </w:r>
          </w:p>
        </w:tc>
        <w:tc>
          <w:tcPr>
            <w:tcW w:w="567" w:type="dxa"/>
            <w:shd w:val="clear" w:color="auto" w:fill="FFFFFF"/>
            <w:tcMar>
              <w:top w:w="0" w:type="dxa"/>
              <w:left w:w="85" w:type="dxa"/>
              <w:bottom w:w="0" w:type="dxa"/>
              <w:right w:w="85" w:type="dxa"/>
            </w:tcMar>
          </w:tcPr>
          <w:p w14:paraId="6606EF40" w14:textId="77777777" w:rsidR="0057070D" w:rsidRPr="001D5327" w:rsidRDefault="0057070D" w:rsidP="00D11AC9">
            <w:pPr>
              <w:pStyle w:val="TableText"/>
              <w:spacing w:before="40" w:after="40"/>
              <w:jc w:val="right"/>
            </w:pPr>
            <w:r w:rsidRPr="001D5327">
              <w:rPr>
                <w:rFonts w:eastAsia="Calibri"/>
                <w:color w:val="000000"/>
              </w:rPr>
              <w:t>0.5</w:t>
            </w:r>
          </w:p>
        </w:tc>
        <w:tc>
          <w:tcPr>
            <w:tcW w:w="1984" w:type="dxa"/>
            <w:shd w:val="clear" w:color="auto" w:fill="FFFFFF"/>
            <w:tcMar>
              <w:top w:w="0" w:type="dxa"/>
              <w:left w:w="85" w:type="dxa"/>
              <w:bottom w:w="0" w:type="dxa"/>
              <w:right w:w="85" w:type="dxa"/>
            </w:tcMar>
          </w:tcPr>
          <w:p w14:paraId="331558B2" w14:textId="77777777" w:rsidR="0057070D" w:rsidRPr="001D5327" w:rsidRDefault="0057070D" w:rsidP="00D11AC9">
            <w:pPr>
              <w:pStyle w:val="TableText"/>
              <w:spacing w:before="40" w:after="40"/>
            </w:pPr>
            <w:r w:rsidRPr="001D5327">
              <w:rPr>
                <w:rFonts w:eastAsia="Calibri"/>
                <w:color w:val="000000"/>
              </w:rPr>
              <w:t>IPCC default</w:t>
            </w:r>
          </w:p>
        </w:tc>
        <w:tc>
          <w:tcPr>
            <w:tcW w:w="2682" w:type="dxa"/>
            <w:shd w:val="clear" w:color="auto" w:fill="FFFFFF"/>
            <w:tcMar>
              <w:top w:w="0" w:type="dxa"/>
              <w:left w:w="85" w:type="dxa"/>
              <w:bottom w:w="0" w:type="dxa"/>
              <w:right w:w="85" w:type="dxa"/>
            </w:tcMar>
          </w:tcPr>
          <w:p w14:paraId="54F87476" w14:textId="77777777" w:rsidR="0057070D" w:rsidRPr="001D5327" w:rsidRDefault="0057070D" w:rsidP="00D11AC9">
            <w:pPr>
              <w:pStyle w:val="TableText"/>
              <w:spacing w:before="40" w:after="40"/>
            </w:pPr>
            <w:r w:rsidRPr="001D5327">
              <w:rPr>
                <w:rFonts w:eastAsia="Calibri"/>
                <w:color w:val="000000"/>
              </w:rPr>
              <w:t>Table 6.3, section 6.2.2.2, IPCC, 2006d</w:t>
            </w:r>
          </w:p>
        </w:tc>
      </w:tr>
      <w:tr w:rsidR="0057070D" w:rsidRPr="001D5327" w14:paraId="77089E25" w14:textId="77777777" w:rsidTr="00D11AC9">
        <w:tc>
          <w:tcPr>
            <w:tcW w:w="3261" w:type="dxa"/>
            <w:shd w:val="clear" w:color="auto" w:fill="FFFFFF"/>
            <w:tcMar>
              <w:top w:w="0" w:type="dxa"/>
              <w:left w:w="85" w:type="dxa"/>
              <w:bottom w:w="0" w:type="dxa"/>
              <w:right w:w="85" w:type="dxa"/>
            </w:tcMar>
          </w:tcPr>
          <w:p w14:paraId="30B8AFD0" w14:textId="77777777" w:rsidR="0057070D" w:rsidRPr="001D5327" w:rsidRDefault="0057070D" w:rsidP="00D11AC9">
            <w:pPr>
              <w:pStyle w:val="TableText"/>
              <w:spacing w:before="40" w:after="40"/>
            </w:pPr>
            <w:r w:rsidRPr="001D5327">
              <w:rPr>
                <w:rFonts w:eastAsia="Calibri"/>
                <w:color w:val="000000"/>
              </w:rPr>
              <w:t>Sea, river and lake discharge</w:t>
            </w:r>
          </w:p>
        </w:tc>
        <w:tc>
          <w:tcPr>
            <w:tcW w:w="567" w:type="dxa"/>
            <w:shd w:val="clear" w:color="auto" w:fill="FFFFFF"/>
            <w:tcMar>
              <w:top w:w="0" w:type="dxa"/>
              <w:left w:w="85" w:type="dxa"/>
              <w:bottom w:w="0" w:type="dxa"/>
              <w:right w:w="85" w:type="dxa"/>
            </w:tcMar>
          </w:tcPr>
          <w:p w14:paraId="383D80F3" w14:textId="77777777" w:rsidR="0057070D" w:rsidRPr="001D5327" w:rsidRDefault="0057070D" w:rsidP="00D11AC9">
            <w:pPr>
              <w:pStyle w:val="TableText"/>
              <w:spacing w:before="40" w:after="40"/>
              <w:jc w:val="right"/>
            </w:pPr>
            <w:r w:rsidRPr="001D5327">
              <w:rPr>
                <w:rFonts w:eastAsia="Calibri"/>
                <w:color w:val="000000"/>
              </w:rPr>
              <w:t>0.1</w:t>
            </w:r>
          </w:p>
        </w:tc>
        <w:tc>
          <w:tcPr>
            <w:tcW w:w="1984" w:type="dxa"/>
            <w:shd w:val="clear" w:color="auto" w:fill="FFFFFF"/>
            <w:tcMar>
              <w:top w:w="0" w:type="dxa"/>
              <w:left w:w="85" w:type="dxa"/>
              <w:bottom w:w="0" w:type="dxa"/>
              <w:right w:w="85" w:type="dxa"/>
            </w:tcMar>
          </w:tcPr>
          <w:p w14:paraId="2A88C192" w14:textId="77777777" w:rsidR="0057070D" w:rsidRPr="001D5327" w:rsidRDefault="0057070D" w:rsidP="00D11AC9">
            <w:pPr>
              <w:pStyle w:val="TableText"/>
              <w:spacing w:before="40" w:after="40"/>
            </w:pPr>
            <w:r w:rsidRPr="001D5327">
              <w:rPr>
                <w:rFonts w:eastAsia="Calibri"/>
                <w:color w:val="000000"/>
              </w:rPr>
              <w:t>IPCC default</w:t>
            </w:r>
          </w:p>
        </w:tc>
        <w:tc>
          <w:tcPr>
            <w:tcW w:w="2682" w:type="dxa"/>
            <w:shd w:val="clear" w:color="auto" w:fill="FFFFFF"/>
            <w:tcMar>
              <w:top w:w="0" w:type="dxa"/>
              <w:left w:w="85" w:type="dxa"/>
              <w:bottom w:w="0" w:type="dxa"/>
              <w:right w:w="85" w:type="dxa"/>
            </w:tcMar>
          </w:tcPr>
          <w:p w14:paraId="5B76C8F7" w14:textId="77777777" w:rsidR="0057070D" w:rsidRPr="001D5327" w:rsidRDefault="0057070D" w:rsidP="00D11AC9">
            <w:pPr>
              <w:pStyle w:val="TableText"/>
              <w:spacing w:before="40" w:after="40"/>
            </w:pPr>
            <w:r w:rsidRPr="001D5327">
              <w:rPr>
                <w:rFonts w:eastAsia="Calibri"/>
                <w:color w:val="000000"/>
              </w:rPr>
              <w:t>Table 6.3, section 6.2.2.2, IPCC, 2006d</w:t>
            </w:r>
          </w:p>
        </w:tc>
      </w:tr>
      <w:tr w:rsidR="0057070D" w:rsidRPr="001D5327" w14:paraId="77312EF5" w14:textId="77777777" w:rsidTr="00D11AC9">
        <w:tc>
          <w:tcPr>
            <w:tcW w:w="3261" w:type="dxa"/>
            <w:shd w:val="clear" w:color="auto" w:fill="FFFFFF"/>
            <w:tcMar>
              <w:top w:w="0" w:type="dxa"/>
              <w:left w:w="85" w:type="dxa"/>
              <w:bottom w:w="0" w:type="dxa"/>
              <w:right w:w="85" w:type="dxa"/>
            </w:tcMar>
          </w:tcPr>
          <w:p w14:paraId="20A7D94B" w14:textId="77777777" w:rsidR="0057070D" w:rsidRPr="001D5327" w:rsidRDefault="0057070D" w:rsidP="00D11AC9">
            <w:pPr>
              <w:pStyle w:val="TableText"/>
              <w:spacing w:before="40" w:after="40"/>
            </w:pPr>
            <w:r w:rsidRPr="001D5327">
              <w:rPr>
                <w:rFonts w:eastAsia="Calibri"/>
                <w:color w:val="000000"/>
              </w:rPr>
              <w:t>Weighted average methane correction factor</w:t>
            </w:r>
          </w:p>
        </w:tc>
        <w:tc>
          <w:tcPr>
            <w:tcW w:w="567" w:type="dxa"/>
            <w:shd w:val="clear" w:color="auto" w:fill="FFFFFF"/>
            <w:tcMar>
              <w:top w:w="0" w:type="dxa"/>
              <w:left w:w="85" w:type="dxa"/>
              <w:bottom w:w="0" w:type="dxa"/>
              <w:right w:w="85" w:type="dxa"/>
            </w:tcMar>
          </w:tcPr>
          <w:p w14:paraId="6247E2CB" w14:textId="77777777" w:rsidR="0057070D" w:rsidRPr="001D5327" w:rsidRDefault="0057070D" w:rsidP="00D11AC9">
            <w:pPr>
              <w:pStyle w:val="TableText"/>
              <w:spacing w:before="40" w:after="40"/>
              <w:jc w:val="right"/>
            </w:pPr>
            <w:r w:rsidRPr="001D5327">
              <w:rPr>
                <w:rFonts w:eastAsia="Calibri"/>
                <w:color w:val="000000"/>
              </w:rPr>
              <w:t>0.233</w:t>
            </w:r>
          </w:p>
        </w:tc>
        <w:tc>
          <w:tcPr>
            <w:tcW w:w="1984" w:type="dxa"/>
            <w:shd w:val="clear" w:color="auto" w:fill="FFFFFF"/>
            <w:tcMar>
              <w:top w:w="0" w:type="dxa"/>
              <w:left w:w="85" w:type="dxa"/>
              <w:bottom w:w="0" w:type="dxa"/>
              <w:right w:w="85" w:type="dxa"/>
            </w:tcMar>
          </w:tcPr>
          <w:p w14:paraId="7AD469B2" w14:textId="77777777" w:rsidR="0057070D" w:rsidRPr="001D5327" w:rsidRDefault="0057070D" w:rsidP="00D11AC9">
            <w:pPr>
              <w:pStyle w:val="TableText"/>
              <w:spacing w:before="40" w:after="40"/>
            </w:pPr>
            <w:r w:rsidRPr="001D5327">
              <w:rPr>
                <w:rFonts w:eastAsia="Calibri"/>
                <w:color w:val="000000"/>
              </w:rPr>
              <w:t>Calculated</w:t>
            </w:r>
          </w:p>
        </w:tc>
        <w:tc>
          <w:tcPr>
            <w:tcW w:w="2682" w:type="dxa"/>
            <w:shd w:val="clear" w:color="auto" w:fill="FFFFFF"/>
            <w:tcMar>
              <w:top w:w="0" w:type="dxa"/>
              <w:left w:w="85" w:type="dxa"/>
              <w:bottom w:w="0" w:type="dxa"/>
              <w:right w:w="85" w:type="dxa"/>
            </w:tcMar>
          </w:tcPr>
          <w:p w14:paraId="41E7DDB5" w14:textId="77777777" w:rsidR="0057070D" w:rsidRPr="001D5327" w:rsidRDefault="0057070D" w:rsidP="00D11AC9">
            <w:pPr>
              <w:pStyle w:val="TableText"/>
              <w:spacing w:before="40" w:after="40"/>
            </w:pPr>
          </w:p>
        </w:tc>
      </w:tr>
      <w:tr w:rsidR="0057070D" w:rsidRPr="001D5327" w14:paraId="2585C23D" w14:textId="77777777" w:rsidTr="00D11AC9">
        <w:tc>
          <w:tcPr>
            <w:tcW w:w="3261" w:type="dxa"/>
            <w:shd w:val="clear" w:color="auto" w:fill="FFFFFF"/>
            <w:tcMar>
              <w:top w:w="0" w:type="dxa"/>
              <w:left w:w="85" w:type="dxa"/>
              <w:bottom w:w="0" w:type="dxa"/>
              <w:right w:w="85" w:type="dxa"/>
            </w:tcMar>
          </w:tcPr>
          <w:p w14:paraId="34E374C6" w14:textId="77777777" w:rsidR="0057070D" w:rsidRPr="001D5327" w:rsidRDefault="0057070D" w:rsidP="00D11AC9">
            <w:pPr>
              <w:pStyle w:val="TableText"/>
              <w:spacing w:before="40" w:after="40"/>
            </w:pPr>
            <w:r w:rsidRPr="001D5327">
              <w:rPr>
                <w:rFonts w:eastAsia="Calibri"/>
                <w:color w:val="000000"/>
              </w:rPr>
              <w:t>Maximum methane producing capacity (kg CH</w:t>
            </w:r>
            <w:r w:rsidRPr="001D5327">
              <w:rPr>
                <w:rFonts w:eastAsia="Calibri"/>
                <w:color w:val="000000"/>
                <w:vertAlign w:val="subscript"/>
              </w:rPr>
              <w:t>4</w:t>
            </w:r>
            <w:r w:rsidRPr="001D5327">
              <w:rPr>
                <w:rFonts w:eastAsia="Calibri"/>
                <w:color w:val="000000"/>
              </w:rPr>
              <w:t>/kg BOD)</w:t>
            </w:r>
          </w:p>
        </w:tc>
        <w:tc>
          <w:tcPr>
            <w:tcW w:w="567" w:type="dxa"/>
            <w:shd w:val="clear" w:color="auto" w:fill="FFFFFF"/>
            <w:tcMar>
              <w:top w:w="0" w:type="dxa"/>
              <w:left w:w="85" w:type="dxa"/>
              <w:bottom w:w="0" w:type="dxa"/>
              <w:right w:w="85" w:type="dxa"/>
            </w:tcMar>
          </w:tcPr>
          <w:p w14:paraId="1503AEDE" w14:textId="77777777" w:rsidR="0057070D" w:rsidRPr="001D5327" w:rsidRDefault="0057070D" w:rsidP="00D11AC9">
            <w:pPr>
              <w:pStyle w:val="TableText"/>
              <w:spacing w:before="40" w:after="40"/>
              <w:jc w:val="right"/>
            </w:pPr>
            <w:r w:rsidRPr="001D5327">
              <w:rPr>
                <w:rFonts w:eastAsia="Calibri"/>
                <w:color w:val="000000"/>
              </w:rPr>
              <w:t>0.6</w:t>
            </w:r>
          </w:p>
        </w:tc>
        <w:tc>
          <w:tcPr>
            <w:tcW w:w="1984" w:type="dxa"/>
            <w:shd w:val="clear" w:color="auto" w:fill="FFFFFF"/>
            <w:tcMar>
              <w:top w:w="0" w:type="dxa"/>
              <w:left w:w="85" w:type="dxa"/>
              <w:bottom w:w="0" w:type="dxa"/>
              <w:right w:w="85" w:type="dxa"/>
            </w:tcMar>
          </w:tcPr>
          <w:p w14:paraId="49583372" w14:textId="77777777" w:rsidR="0057070D" w:rsidRPr="001D5327" w:rsidRDefault="0057070D" w:rsidP="00D11AC9">
            <w:pPr>
              <w:pStyle w:val="TableText"/>
              <w:spacing w:before="40" w:after="40"/>
            </w:pPr>
            <w:r w:rsidRPr="001D5327">
              <w:rPr>
                <w:rFonts w:eastAsia="Calibri"/>
                <w:color w:val="000000"/>
              </w:rPr>
              <w:t>IPCC default</w:t>
            </w:r>
          </w:p>
        </w:tc>
        <w:tc>
          <w:tcPr>
            <w:tcW w:w="2682" w:type="dxa"/>
            <w:shd w:val="clear" w:color="auto" w:fill="FFFFFF"/>
            <w:tcMar>
              <w:top w:w="0" w:type="dxa"/>
              <w:left w:w="85" w:type="dxa"/>
              <w:bottom w:w="0" w:type="dxa"/>
              <w:right w:w="85" w:type="dxa"/>
            </w:tcMar>
          </w:tcPr>
          <w:p w14:paraId="57BA6A1D" w14:textId="77777777" w:rsidR="0057070D" w:rsidRPr="001D5327" w:rsidRDefault="0057070D" w:rsidP="00D11AC9">
            <w:pPr>
              <w:pStyle w:val="TableText"/>
              <w:spacing w:before="40" w:after="40"/>
            </w:pPr>
            <w:r w:rsidRPr="001D5327">
              <w:rPr>
                <w:rFonts w:eastAsia="Calibri"/>
                <w:color w:val="000000"/>
              </w:rPr>
              <w:t>Table 6.2, section 6.2.2.2, IPCC, 2006d</w:t>
            </w:r>
          </w:p>
        </w:tc>
      </w:tr>
      <w:tr w:rsidR="0057070D" w:rsidRPr="001D5327" w14:paraId="15C0CB93" w14:textId="77777777" w:rsidTr="00D11AC9">
        <w:tc>
          <w:tcPr>
            <w:tcW w:w="3261" w:type="dxa"/>
            <w:shd w:val="clear" w:color="auto" w:fill="FFFFFF"/>
            <w:tcMar>
              <w:top w:w="0" w:type="dxa"/>
              <w:left w:w="85" w:type="dxa"/>
              <w:bottom w:w="0" w:type="dxa"/>
              <w:right w:w="85" w:type="dxa"/>
            </w:tcMar>
          </w:tcPr>
          <w:p w14:paraId="177960A0" w14:textId="77777777" w:rsidR="0057070D" w:rsidRPr="001D5327" w:rsidRDefault="0057070D" w:rsidP="00D11AC9">
            <w:pPr>
              <w:pStyle w:val="TableText"/>
              <w:spacing w:before="40" w:after="40"/>
            </w:pPr>
            <w:r w:rsidRPr="001D5327">
              <w:rPr>
                <w:rFonts w:eastAsia="Calibri"/>
                <w:color w:val="000000"/>
              </w:rPr>
              <w:t>Biochemical oxygen demand (kg BOD/person/year)</w:t>
            </w:r>
          </w:p>
        </w:tc>
        <w:tc>
          <w:tcPr>
            <w:tcW w:w="567" w:type="dxa"/>
            <w:shd w:val="clear" w:color="auto" w:fill="FFFFFF"/>
            <w:tcMar>
              <w:top w:w="0" w:type="dxa"/>
              <w:left w:w="85" w:type="dxa"/>
              <w:bottom w:w="0" w:type="dxa"/>
              <w:right w:w="85" w:type="dxa"/>
            </w:tcMar>
          </w:tcPr>
          <w:p w14:paraId="267C9206" w14:textId="77777777" w:rsidR="0057070D" w:rsidRPr="001D5327" w:rsidRDefault="0057070D" w:rsidP="00D11AC9">
            <w:pPr>
              <w:pStyle w:val="TableText"/>
              <w:spacing w:before="40" w:after="40"/>
              <w:jc w:val="right"/>
            </w:pPr>
            <w:r w:rsidRPr="001D5327">
              <w:rPr>
                <w:rFonts w:eastAsia="Calibri"/>
                <w:color w:val="000000"/>
              </w:rPr>
              <w:t>21.9</w:t>
            </w:r>
          </w:p>
        </w:tc>
        <w:tc>
          <w:tcPr>
            <w:tcW w:w="1984" w:type="dxa"/>
            <w:shd w:val="clear" w:color="auto" w:fill="FFFFFF"/>
            <w:tcMar>
              <w:top w:w="0" w:type="dxa"/>
              <w:left w:w="85" w:type="dxa"/>
              <w:bottom w:w="0" w:type="dxa"/>
              <w:right w:w="85" w:type="dxa"/>
            </w:tcMar>
          </w:tcPr>
          <w:p w14:paraId="13FAB6FD" w14:textId="77777777" w:rsidR="0057070D" w:rsidRPr="001D5327" w:rsidRDefault="0057070D" w:rsidP="00D11AC9">
            <w:pPr>
              <w:pStyle w:val="TableText"/>
              <w:spacing w:before="40" w:after="40"/>
            </w:pPr>
            <w:r w:rsidRPr="001D5327">
              <w:rPr>
                <w:rFonts w:eastAsia="Calibri"/>
                <w:color w:val="000000"/>
              </w:rPr>
              <w:t>IPCC default for Oceania</w:t>
            </w:r>
          </w:p>
        </w:tc>
        <w:tc>
          <w:tcPr>
            <w:tcW w:w="2682" w:type="dxa"/>
            <w:shd w:val="clear" w:color="auto" w:fill="FFFFFF"/>
            <w:tcMar>
              <w:top w:w="0" w:type="dxa"/>
              <w:left w:w="85" w:type="dxa"/>
              <w:bottom w:w="0" w:type="dxa"/>
              <w:right w:w="85" w:type="dxa"/>
            </w:tcMar>
          </w:tcPr>
          <w:p w14:paraId="144AD457" w14:textId="77777777" w:rsidR="0057070D" w:rsidRPr="001D5327" w:rsidRDefault="0057070D" w:rsidP="00D11AC9">
            <w:pPr>
              <w:pStyle w:val="TableText"/>
              <w:spacing w:before="40" w:after="40"/>
            </w:pPr>
            <w:r w:rsidRPr="001D5327">
              <w:rPr>
                <w:rFonts w:eastAsia="Calibri"/>
                <w:color w:val="000000"/>
              </w:rPr>
              <w:t>IPCC, 2006d (worksheets for SWDS)</w:t>
            </w:r>
          </w:p>
        </w:tc>
      </w:tr>
      <w:tr w:rsidR="0057070D" w:rsidRPr="001D5327" w14:paraId="37CCB859" w14:textId="77777777" w:rsidTr="00D11AC9">
        <w:tc>
          <w:tcPr>
            <w:tcW w:w="3261" w:type="dxa"/>
            <w:shd w:val="clear" w:color="auto" w:fill="FFFFFF"/>
            <w:tcMar>
              <w:top w:w="0" w:type="dxa"/>
              <w:left w:w="85" w:type="dxa"/>
              <w:bottom w:w="0" w:type="dxa"/>
              <w:right w:w="85" w:type="dxa"/>
            </w:tcMar>
          </w:tcPr>
          <w:p w14:paraId="204E8233" w14:textId="77777777" w:rsidR="0057070D" w:rsidRPr="001D5327" w:rsidRDefault="0057070D" w:rsidP="00D11AC9">
            <w:pPr>
              <w:pStyle w:val="TableText"/>
              <w:spacing w:before="40" w:after="40"/>
            </w:pPr>
            <w:r w:rsidRPr="001D5327">
              <w:rPr>
                <w:rFonts w:eastAsia="Calibri"/>
                <w:color w:val="000000"/>
              </w:rPr>
              <w:t>Correction factor for BOD</w:t>
            </w:r>
          </w:p>
        </w:tc>
        <w:tc>
          <w:tcPr>
            <w:tcW w:w="567" w:type="dxa"/>
            <w:shd w:val="clear" w:color="auto" w:fill="FFFFFF"/>
            <w:tcMar>
              <w:top w:w="0" w:type="dxa"/>
              <w:left w:w="85" w:type="dxa"/>
              <w:bottom w:w="0" w:type="dxa"/>
              <w:right w:w="85" w:type="dxa"/>
            </w:tcMar>
          </w:tcPr>
          <w:p w14:paraId="7EE5900D" w14:textId="77777777" w:rsidR="0057070D" w:rsidRPr="001D5327" w:rsidRDefault="0057070D" w:rsidP="00D11AC9">
            <w:pPr>
              <w:pStyle w:val="TableText"/>
              <w:spacing w:before="40" w:after="40"/>
              <w:jc w:val="right"/>
            </w:pPr>
            <w:r w:rsidRPr="001D5327">
              <w:rPr>
                <w:rFonts w:eastAsia="Calibri"/>
                <w:color w:val="000000"/>
              </w:rPr>
              <w:t>1.25</w:t>
            </w:r>
          </w:p>
        </w:tc>
        <w:tc>
          <w:tcPr>
            <w:tcW w:w="1984" w:type="dxa"/>
            <w:shd w:val="clear" w:color="auto" w:fill="FFFFFF"/>
            <w:tcMar>
              <w:top w:w="0" w:type="dxa"/>
              <w:left w:w="85" w:type="dxa"/>
              <w:bottom w:w="0" w:type="dxa"/>
              <w:right w:w="85" w:type="dxa"/>
            </w:tcMar>
          </w:tcPr>
          <w:p w14:paraId="47D44566" w14:textId="77777777" w:rsidR="0057070D" w:rsidRPr="001D5327" w:rsidRDefault="0057070D" w:rsidP="00D11AC9">
            <w:pPr>
              <w:pStyle w:val="TableText"/>
              <w:spacing w:before="40" w:after="40"/>
            </w:pPr>
            <w:r w:rsidRPr="001D5327">
              <w:rPr>
                <w:rFonts w:eastAsia="Calibri"/>
                <w:color w:val="000000"/>
              </w:rPr>
              <w:t>IPCC default for collected systems</w:t>
            </w:r>
          </w:p>
        </w:tc>
        <w:tc>
          <w:tcPr>
            <w:tcW w:w="2682" w:type="dxa"/>
            <w:shd w:val="clear" w:color="auto" w:fill="FFFFFF"/>
            <w:tcMar>
              <w:top w:w="0" w:type="dxa"/>
              <w:left w:w="85" w:type="dxa"/>
              <w:bottom w:w="0" w:type="dxa"/>
              <w:right w:w="85" w:type="dxa"/>
            </w:tcMar>
          </w:tcPr>
          <w:p w14:paraId="35772B81" w14:textId="77777777" w:rsidR="0057070D" w:rsidRPr="001D5327" w:rsidRDefault="0057070D" w:rsidP="00D11AC9">
            <w:pPr>
              <w:pStyle w:val="TableText"/>
              <w:spacing w:before="40" w:after="40"/>
            </w:pPr>
            <w:r w:rsidRPr="001D5327">
              <w:rPr>
                <w:rFonts w:eastAsia="Calibri"/>
                <w:color w:val="000000"/>
              </w:rPr>
              <w:t>Section 6.2.2.3, p 6.14, IPCC, 2006d</w:t>
            </w:r>
          </w:p>
        </w:tc>
      </w:tr>
    </w:tbl>
    <w:p w14:paraId="43C908EC" w14:textId="77777777" w:rsidR="0057070D" w:rsidRPr="001D5327" w:rsidRDefault="0057070D" w:rsidP="0057070D">
      <w:pPr>
        <w:pStyle w:val="Noteundertable"/>
      </w:pPr>
      <w:r w:rsidRPr="001D5327">
        <w:rPr>
          <w:b/>
          <w:bCs/>
        </w:rPr>
        <w:t>Note:</w:t>
      </w:r>
      <w:r w:rsidRPr="001D5327">
        <w:tab/>
        <w:t>BOD = biochemical oxygen demand; SWDS = solid waste disposal sites.</w:t>
      </w:r>
    </w:p>
    <w:p w14:paraId="1268105E" w14:textId="77777777" w:rsidR="0057070D" w:rsidRPr="001D5327" w:rsidRDefault="0057070D" w:rsidP="0057070D">
      <w:pPr>
        <w:pStyle w:val="Heading5"/>
      </w:pPr>
      <w:bookmarkStart w:id="3029" w:name="Xa453b68a9f9baadb2d637a8d8db162bf576fe8b"/>
      <w:r w:rsidRPr="001D5327">
        <w:t>Assumptions for estimating nitrous oxide emissions from wastewater</w:t>
      </w:r>
    </w:p>
    <w:p w14:paraId="3D489654" w14:textId="77777777" w:rsidR="0057070D" w:rsidRPr="001D5327" w:rsidRDefault="0057070D" w:rsidP="0057070D">
      <w:pPr>
        <w:pStyle w:val="BodyText"/>
      </w:pPr>
      <w:r w:rsidRPr="001D5327">
        <w:t>Table 8.15.2 shows the parameters used to calculate N</w:t>
      </w:r>
      <w:r w:rsidRPr="001D5327">
        <w:rPr>
          <w:vertAlign w:val="subscript"/>
        </w:rPr>
        <w:t>2</w:t>
      </w:r>
      <w:r w:rsidRPr="001D5327">
        <w:t>O emissions from wastewater. It is assumed that septic tanks do not discharge to the sea and that only the population using open water toilets contribute to the nitrogen in effluent calculation.</w:t>
      </w:r>
    </w:p>
    <w:p w14:paraId="24BBE67D" w14:textId="77777777" w:rsidR="0057070D" w:rsidRPr="001D5327" w:rsidRDefault="0057070D" w:rsidP="0057070D">
      <w:pPr>
        <w:pStyle w:val="BodyText"/>
      </w:pPr>
      <w:r w:rsidRPr="001D5327">
        <w:rPr>
          <w:spacing w:val="-2"/>
        </w:rPr>
        <w:t>Protein consumption of 32.45 kg/person/year has been calculated based on known consumption</w:t>
      </w:r>
      <w:r w:rsidRPr="001D5327">
        <w:t xml:space="preserve"> compiled by the Tokelau National Statistics Office. The fraction of industrial and commercial co-discharged protein accounts for any commercial and industrial activities because there is no separate estimate.</w:t>
      </w:r>
    </w:p>
    <w:p w14:paraId="5786184F" w14:textId="77777777" w:rsidR="0057070D" w:rsidRPr="001D5327" w:rsidRDefault="0057070D" w:rsidP="0057070D">
      <w:pPr>
        <w:pStyle w:val="Table"/>
      </w:pPr>
      <w:bookmarkStart w:id="3030" w:name="_Toc194241845"/>
      <w:r w:rsidRPr="001D5327">
        <w:lastRenderedPageBreak/>
        <w:t>Table 8.15.2</w:t>
      </w:r>
      <w:r w:rsidRPr="001D5327">
        <w:tab/>
        <w:t>Parameter values applied for estimating nitrous oxide emissions for Tokelau wastewater treatment</w:t>
      </w:r>
      <w:bookmarkEnd w:id="3030"/>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924"/>
        <w:gridCol w:w="620"/>
        <w:gridCol w:w="1985"/>
        <w:gridCol w:w="2965"/>
      </w:tblGrid>
      <w:tr w:rsidR="00E27D49" w:rsidRPr="001D5327" w14:paraId="519B6EEA" w14:textId="77777777" w:rsidTr="00E27D49">
        <w:trPr>
          <w:tblHeader/>
        </w:trPr>
        <w:tc>
          <w:tcPr>
            <w:tcW w:w="2924" w:type="dxa"/>
            <w:shd w:val="clear" w:color="auto" w:fill="1B556B"/>
            <w:tcMar>
              <w:top w:w="0" w:type="dxa"/>
              <w:left w:w="85" w:type="dxa"/>
              <w:bottom w:w="0" w:type="dxa"/>
              <w:right w:w="85" w:type="dxa"/>
            </w:tcMar>
          </w:tcPr>
          <w:p w14:paraId="4E5F72CE" w14:textId="77777777" w:rsidR="0057070D" w:rsidRPr="001D5327" w:rsidRDefault="0057070D" w:rsidP="00687CC3">
            <w:pPr>
              <w:pStyle w:val="TableTextBold"/>
              <w:keepNext/>
              <w:spacing w:before="40" w:after="40"/>
              <w:rPr>
                <w:noProof w:val="0"/>
                <w:color w:val="FFFFFF" w:themeColor="background1"/>
              </w:rPr>
            </w:pPr>
            <w:r w:rsidRPr="001D5327">
              <w:rPr>
                <w:rFonts w:eastAsia="Calibri"/>
                <w:noProof w:val="0"/>
                <w:color w:val="FFFFFF" w:themeColor="background1"/>
              </w:rPr>
              <w:t>Parameter</w:t>
            </w:r>
          </w:p>
        </w:tc>
        <w:tc>
          <w:tcPr>
            <w:tcW w:w="620" w:type="dxa"/>
            <w:shd w:val="clear" w:color="auto" w:fill="1B556B"/>
            <w:tcMar>
              <w:top w:w="0" w:type="dxa"/>
              <w:left w:w="85" w:type="dxa"/>
              <w:bottom w:w="0" w:type="dxa"/>
              <w:right w:w="85" w:type="dxa"/>
            </w:tcMar>
          </w:tcPr>
          <w:p w14:paraId="3EC41616" w14:textId="77777777" w:rsidR="0057070D" w:rsidRPr="001D5327" w:rsidRDefault="0057070D" w:rsidP="00687CC3">
            <w:pPr>
              <w:pStyle w:val="TableTextBold"/>
              <w:keepNext/>
              <w:spacing w:before="40" w:after="40"/>
              <w:jc w:val="right"/>
              <w:rPr>
                <w:noProof w:val="0"/>
                <w:color w:val="FFFFFF" w:themeColor="background1"/>
              </w:rPr>
            </w:pPr>
            <w:r w:rsidRPr="001D5327">
              <w:rPr>
                <w:rFonts w:eastAsia="Calibri"/>
                <w:noProof w:val="0"/>
                <w:color w:val="FFFFFF" w:themeColor="background1"/>
              </w:rPr>
              <w:t>Value</w:t>
            </w:r>
          </w:p>
        </w:tc>
        <w:tc>
          <w:tcPr>
            <w:tcW w:w="1985" w:type="dxa"/>
            <w:shd w:val="clear" w:color="auto" w:fill="1B556B"/>
            <w:tcMar>
              <w:top w:w="0" w:type="dxa"/>
              <w:left w:w="85" w:type="dxa"/>
              <w:bottom w:w="0" w:type="dxa"/>
              <w:right w:w="85" w:type="dxa"/>
            </w:tcMar>
          </w:tcPr>
          <w:p w14:paraId="03902E40" w14:textId="77777777" w:rsidR="0057070D" w:rsidRPr="001D5327" w:rsidRDefault="0057070D" w:rsidP="00687CC3">
            <w:pPr>
              <w:pStyle w:val="TableTextBold"/>
              <w:keepNext/>
              <w:spacing w:before="40" w:after="40"/>
              <w:rPr>
                <w:noProof w:val="0"/>
                <w:color w:val="FFFFFF" w:themeColor="background1"/>
              </w:rPr>
            </w:pPr>
            <w:r w:rsidRPr="001D5327">
              <w:rPr>
                <w:rFonts w:eastAsia="Calibri"/>
                <w:noProof w:val="0"/>
                <w:color w:val="FFFFFF" w:themeColor="background1"/>
              </w:rPr>
              <w:t>Source</w:t>
            </w:r>
          </w:p>
        </w:tc>
        <w:tc>
          <w:tcPr>
            <w:tcW w:w="2965" w:type="dxa"/>
            <w:shd w:val="clear" w:color="auto" w:fill="1B556B"/>
            <w:tcMar>
              <w:top w:w="0" w:type="dxa"/>
              <w:left w:w="85" w:type="dxa"/>
              <w:bottom w:w="0" w:type="dxa"/>
              <w:right w:w="85" w:type="dxa"/>
            </w:tcMar>
          </w:tcPr>
          <w:p w14:paraId="4D4B0213" w14:textId="77777777" w:rsidR="0057070D" w:rsidRPr="001D5327" w:rsidRDefault="0057070D" w:rsidP="00687CC3">
            <w:pPr>
              <w:pStyle w:val="TableTextBold"/>
              <w:keepNext/>
              <w:spacing w:before="40" w:after="40"/>
              <w:rPr>
                <w:noProof w:val="0"/>
                <w:color w:val="FFFFFF" w:themeColor="background1"/>
              </w:rPr>
            </w:pPr>
            <w:r w:rsidRPr="001D5327">
              <w:rPr>
                <w:rFonts w:eastAsia="Calibri"/>
                <w:noProof w:val="0"/>
                <w:color w:val="FFFFFF" w:themeColor="background1"/>
              </w:rPr>
              <w:t>Reference</w:t>
            </w:r>
          </w:p>
        </w:tc>
      </w:tr>
      <w:tr w:rsidR="00622E2B" w:rsidRPr="001D5327" w14:paraId="68D79D0F" w14:textId="77777777" w:rsidTr="00E27D49">
        <w:tc>
          <w:tcPr>
            <w:tcW w:w="2924" w:type="dxa"/>
            <w:shd w:val="clear" w:color="auto" w:fill="FFFFFF"/>
            <w:tcMar>
              <w:top w:w="0" w:type="dxa"/>
              <w:left w:w="85" w:type="dxa"/>
              <w:bottom w:w="0" w:type="dxa"/>
              <w:right w:w="85" w:type="dxa"/>
            </w:tcMar>
          </w:tcPr>
          <w:p w14:paraId="52FAE2F2" w14:textId="77777777" w:rsidR="0057070D" w:rsidRPr="001D5327" w:rsidRDefault="0057070D" w:rsidP="00687CC3">
            <w:pPr>
              <w:pStyle w:val="TableText"/>
              <w:keepNext/>
              <w:spacing w:before="40" w:after="40"/>
            </w:pPr>
            <w:r w:rsidRPr="001D5327">
              <w:rPr>
                <w:rFonts w:eastAsia="Calibri"/>
                <w:color w:val="000000"/>
              </w:rPr>
              <w:t>Per capita protein consumption (kg/person/year)</w:t>
            </w:r>
          </w:p>
        </w:tc>
        <w:tc>
          <w:tcPr>
            <w:tcW w:w="620" w:type="dxa"/>
            <w:shd w:val="clear" w:color="auto" w:fill="FFFFFF"/>
            <w:tcMar>
              <w:top w:w="0" w:type="dxa"/>
              <w:left w:w="85" w:type="dxa"/>
              <w:bottom w:w="0" w:type="dxa"/>
              <w:right w:w="85" w:type="dxa"/>
            </w:tcMar>
          </w:tcPr>
          <w:p w14:paraId="7DE132E1" w14:textId="77777777" w:rsidR="0057070D" w:rsidRPr="001D5327" w:rsidRDefault="0057070D" w:rsidP="00687CC3">
            <w:pPr>
              <w:pStyle w:val="TableText"/>
              <w:keepNext/>
              <w:spacing w:before="40" w:after="40"/>
              <w:jc w:val="right"/>
            </w:pPr>
            <w:r w:rsidRPr="001D5327">
              <w:rPr>
                <w:rFonts w:eastAsia="Calibri"/>
                <w:color w:val="000000"/>
              </w:rPr>
              <w:t>32.448</w:t>
            </w:r>
          </w:p>
        </w:tc>
        <w:tc>
          <w:tcPr>
            <w:tcW w:w="1985" w:type="dxa"/>
            <w:shd w:val="clear" w:color="auto" w:fill="FFFFFF"/>
            <w:tcMar>
              <w:top w:w="0" w:type="dxa"/>
              <w:left w:w="85" w:type="dxa"/>
              <w:bottom w:w="0" w:type="dxa"/>
              <w:right w:w="85" w:type="dxa"/>
            </w:tcMar>
          </w:tcPr>
          <w:p w14:paraId="4369E131" w14:textId="77777777" w:rsidR="0057070D" w:rsidRPr="001D5327" w:rsidRDefault="0057070D" w:rsidP="00687CC3">
            <w:pPr>
              <w:pStyle w:val="TableText"/>
              <w:keepNext/>
              <w:spacing w:before="40" w:after="40"/>
            </w:pPr>
            <w:r w:rsidRPr="001D5327">
              <w:rPr>
                <w:rFonts w:eastAsia="Calibri"/>
                <w:color w:val="000000"/>
              </w:rPr>
              <w:t>Tokelau specific</w:t>
            </w:r>
          </w:p>
        </w:tc>
        <w:tc>
          <w:tcPr>
            <w:tcW w:w="2965" w:type="dxa"/>
            <w:shd w:val="clear" w:color="auto" w:fill="FFFFFF"/>
            <w:tcMar>
              <w:top w:w="0" w:type="dxa"/>
              <w:left w:w="85" w:type="dxa"/>
              <w:bottom w:w="0" w:type="dxa"/>
              <w:right w:w="85" w:type="dxa"/>
            </w:tcMar>
          </w:tcPr>
          <w:p w14:paraId="4FF0ED97" w14:textId="77777777" w:rsidR="0057070D" w:rsidRPr="001D5327" w:rsidRDefault="0057070D" w:rsidP="00687CC3">
            <w:pPr>
              <w:pStyle w:val="TableText"/>
              <w:keepNext/>
              <w:spacing w:before="40" w:after="40"/>
            </w:pPr>
            <w:r w:rsidRPr="001D5327">
              <w:rPr>
                <w:rFonts w:eastAsia="Calibri"/>
                <w:color w:val="000000"/>
              </w:rPr>
              <w:t>Developed by Tokelau’s National Statistics Office using imports data (see table 8.1.1)</w:t>
            </w:r>
          </w:p>
        </w:tc>
      </w:tr>
      <w:tr w:rsidR="00622E2B" w:rsidRPr="001D5327" w14:paraId="2C51141A" w14:textId="77777777" w:rsidTr="00E27D49">
        <w:tc>
          <w:tcPr>
            <w:tcW w:w="2924" w:type="dxa"/>
            <w:shd w:val="clear" w:color="auto" w:fill="FFFFFF"/>
            <w:tcMar>
              <w:top w:w="0" w:type="dxa"/>
              <w:left w:w="85" w:type="dxa"/>
              <w:bottom w:w="0" w:type="dxa"/>
              <w:right w:w="85" w:type="dxa"/>
            </w:tcMar>
          </w:tcPr>
          <w:p w14:paraId="32B1352C" w14:textId="77777777" w:rsidR="0057070D" w:rsidRPr="001D5327" w:rsidRDefault="0057070D" w:rsidP="00687CC3">
            <w:pPr>
              <w:pStyle w:val="TableText"/>
              <w:keepNext/>
              <w:spacing w:before="40" w:after="40"/>
            </w:pPr>
            <w:r w:rsidRPr="001D5327">
              <w:rPr>
                <w:rFonts w:eastAsia="Calibri"/>
                <w:color w:val="000000"/>
              </w:rPr>
              <w:t>Fraction of nitrogen in protein</w:t>
            </w:r>
          </w:p>
        </w:tc>
        <w:tc>
          <w:tcPr>
            <w:tcW w:w="620" w:type="dxa"/>
            <w:shd w:val="clear" w:color="auto" w:fill="FFFFFF"/>
            <w:tcMar>
              <w:top w:w="0" w:type="dxa"/>
              <w:left w:w="85" w:type="dxa"/>
              <w:bottom w:w="0" w:type="dxa"/>
              <w:right w:w="85" w:type="dxa"/>
            </w:tcMar>
          </w:tcPr>
          <w:p w14:paraId="5351A1F7" w14:textId="77777777" w:rsidR="0057070D" w:rsidRPr="001D5327" w:rsidRDefault="0057070D" w:rsidP="00687CC3">
            <w:pPr>
              <w:pStyle w:val="TableText"/>
              <w:keepNext/>
              <w:spacing w:before="40" w:after="40"/>
              <w:jc w:val="right"/>
            </w:pPr>
            <w:r w:rsidRPr="001D5327">
              <w:rPr>
                <w:rFonts w:eastAsia="Calibri"/>
                <w:color w:val="000000"/>
              </w:rPr>
              <w:t>0.16</w:t>
            </w:r>
          </w:p>
        </w:tc>
        <w:tc>
          <w:tcPr>
            <w:tcW w:w="1985" w:type="dxa"/>
            <w:shd w:val="clear" w:color="auto" w:fill="FFFFFF"/>
            <w:tcMar>
              <w:top w:w="0" w:type="dxa"/>
              <w:left w:w="85" w:type="dxa"/>
              <w:bottom w:w="0" w:type="dxa"/>
              <w:right w:w="85" w:type="dxa"/>
            </w:tcMar>
          </w:tcPr>
          <w:p w14:paraId="7DBF576B" w14:textId="77777777" w:rsidR="0057070D" w:rsidRPr="001D5327" w:rsidRDefault="0057070D" w:rsidP="00687CC3">
            <w:pPr>
              <w:pStyle w:val="TableText"/>
              <w:keepNext/>
              <w:spacing w:before="40" w:after="40"/>
            </w:pPr>
            <w:r w:rsidRPr="001D5327">
              <w:rPr>
                <w:rFonts w:eastAsia="Calibri"/>
                <w:color w:val="000000"/>
              </w:rPr>
              <w:t>IPCC default</w:t>
            </w:r>
          </w:p>
        </w:tc>
        <w:tc>
          <w:tcPr>
            <w:tcW w:w="2965" w:type="dxa"/>
            <w:shd w:val="clear" w:color="auto" w:fill="FFFFFF"/>
            <w:tcMar>
              <w:top w:w="0" w:type="dxa"/>
              <w:left w:w="85" w:type="dxa"/>
              <w:bottom w:w="0" w:type="dxa"/>
              <w:right w:w="85" w:type="dxa"/>
            </w:tcMar>
          </w:tcPr>
          <w:p w14:paraId="3089AA25" w14:textId="77777777" w:rsidR="0057070D" w:rsidRPr="001D5327" w:rsidRDefault="0057070D" w:rsidP="00687CC3">
            <w:pPr>
              <w:pStyle w:val="TableText"/>
              <w:keepNext/>
              <w:spacing w:before="40" w:after="40"/>
            </w:pPr>
            <w:r w:rsidRPr="001D5327">
              <w:rPr>
                <w:rFonts w:eastAsia="Calibri"/>
                <w:color w:val="000000"/>
              </w:rPr>
              <w:t>Section 6.3.1.3, p 6.25, IPCC, 2006d</w:t>
            </w:r>
          </w:p>
        </w:tc>
      </w:tr>
      <w:tr w:rsidR="00622E2B" w:rsidRPr="001D5327" w14:paraId="12034A9D" w14:textId="77777777" w:rsidTr="00E27D49">
        <w:tc>
          <w:tcPr>
            <w:tcW w:w="2924" w:type="dxa"/>
            <w:shd w:val="clear" w:color="auto" w:fill="FFFFFF"/>
            <w:tcMar>
              <w:top w:w="0" w:type="dxa"/>
              <w:left w:w="85" w:type="dxa"/>
              <w:bottom w:w="0" w:type="dxa"/>
              <w:right w:w="85" w:type="dxa"/>
            </w:tcMar>
          </w:tcPr>
          <w:p w14:paraId="3D7CE7F0" w14:textId="77777777" w:rsidR="0057070D" w:rsidRPr="001D5327" w:rsidRDefault="0057070D" w:rsidP="00687CC3">
            <w:pPr>
              <w:pStyle w:val="TableText"/>
              <w:keepNext/>
              <w:spacing w:before="40" w:after="40"/>
            </w:pPr>
            <w:r w:rsidRPr="001D5327">
              <w:rPr>
                <w:rFonts w:eastAsia="Calibri"/>
                <w:color w:val="000000"/>
              </w:rPr>
              <w:t>Fraction of non-consumed protein</w:t>
            </w:r>
          </w:p>
        </w:tc>
        <w:tc>
          <w:tcPr>
            <w:tcW w:w="620" w:type="dxa"/>
            <w:shd w:val="clear" w:color="auto" w:fill="FFFFFF"/>
            <w:tcMar>
              <w:top w:w="0" w:type="dxa"/>
              <w:left w:w="85" w:type="dxa"/>
              <w:bottom w:w="0" w:type="dxa"/>
              <w:right w:w="85" w:type="dxa"/>
            </w:tcMar>
          </w:tcPr>
          <w:p w14:paraId="7BDAA864" w14:textId="77777777" w:rsidR="0057070D" w:rsidRPr="001D5327" w:rsidRDefault="0057070D" w:rsidP="00687CC3">
            <w:pPr>
              <w:pStyle w:val="TableText"/>
              <w:keepNext/>
              <w:spacing w:before="40" w:after="40"/>
              <w:jc w:val="right"/>
            </w:pPr>
            <w:r w:rsidRPr="001D5327">
              <w:rPr>
                <w:rFonts w:eastAsia="Calibri"/>
                <w:color w:val="000000"/>
              </w:rPr>
              <w:t>1.1</w:t>
            </w:r>
          </w:p>
        </w:tc>
        <w:tc>
          <w:tcPr>
            <w:tcW w:w="1985" w:type="dxa"/>
            <w:shd w:val="clear" w:color="auto" w:fill="FFFFFF"/>
            <w:tcMar>
              <w:top w:w="0" w:type="dxa"/>
              <w:left w:w="85" w:type="dxa"/>
              <w:bottom w:w="0" w:type="dxa"/>
              <w:right w:w="85" w:type="dxa"/>
            </w:tcMar>
          </w:tcPr>
          <w:p w14:paraId="0E7B0C1A" w14:textId="77777777" w:rsidR="0057070D" w:rsidRPr="001D5327" w:rsidRDefault="0057070D" w:rsidP="00687CC3">
            <w:pPr>
              <w:pStyle w:val="TableText"/>
              <w:keepNext/>
              <w:spacing w:before="40" w:after="40"/>
            </w:pPr>
            <w:r w:rsidRPr="001D5327">
              <w:rPr>
                <w:rFonts w:eastAsia="Calibri"/>
                <w:color w:val="000000"/>
              </w:rPr>
              <w:t>IPCC default for developing countries</w:t>
            </w:r>
          </w:p>
        </w:tc>
        <w:tc>
          <w:tcPr>
            <w:tcW w:w="2965" w:type="dxa"/>
            <w:shd w:val="clear" w:color="auto" w:fill="FFFFFF"/>
            <w:tcMar>
              <w:top w:w="0" w:type="dxa"/>
              <w:left w:w="85" w:type="dxa"/>
              <w:bottom w:w="0" w:type="dxa"/>
              <w:right w:w="85" w:type="dxa"/>
            </w:tcMar>
          </w:tcPr>
          <w:p w14:paraId="218BFA05" w14:textId="77777777" w:rsidR="0057070D" w:rsidRPr="001D5327" w:rsidRDefault="0057070D" w:rsidP="00687CC3">
            <w:pPr>
              <w:pStyle w:val="TableText"/>
              <w:keepNext/>
              <w:spacing w:before="40" w:after="40"/>
            </w:pPr>
            <w:r w:rsidRPr="001D5327">
              <w:rPr>
                <w:rFonts w:eastAsia="Calibri"/>
                <w:color w:val="000000"/>
              </w:rPr>
              <w:t>Table 6.11, section 6.3.3, IPCC, 2006d</w:t>
            </w:r>
          </w:p>
        </w:tc>
      </w:tr>
      <w:tr w:rsidR="00622E2B" w:rsidRPr="001D5327" w14:paraId="299CBDCC" w14:textId="77777777" w:rsidTr="00E27D49">
        <w:tc>
          <w:tcPr>
            <w:tcW w:w="2924" w:type="dxa"/>
            <w:shd w:val="clear" w:color="auto" w:fill="FFFFFF"/>
            <w:tcMar>
              <w:top w:w="0" w:type="dxa"/>
              <w:left w:w="85" w:type="dxa"/>
              <w:bottom w:w="0" w:type="dxa"/>
              <w:right w:w="85" w:type="dxa"/>
            </w:tcMar>
          </w:tcPr>
          <w:p w14:paraId="235236BD" w14:textId="77777777" w:rsidR="0057070D" w:rsidRPr="001D5327" w:rsidRDefault="0057070D" w:rsidP="00D11AC9">
            <w:pPr>
              <w:pStyle w:val="TableText"/>
              <w:spacing w:before="40" w:after="40"/>
            </w:pPr>
            <w:r w:rsidRPr="001D5327">
              <w:rPr>
                <w:rFonts w:eastAsia="Calibri"/>
                <w:color w:val="000000"/>
              </w:rPr>
              <w:t>Fraction of industrial and commercial co</w:t>
            </w:r>
            <w:r w:rsidRPr="001D5327">
              <w:rPr>
                <w:rFonts w:ascii="Cambria Math" w:eastAsia="Calibri" w:hAnsi="Cambria Math" w:cs="Cambria Math"/>
                <w:color w:val="000000"/>
              </w:rPr>
              <w:t>‑</w:t>
            </w:r>
            <w:r w:rsidRPr="001D5327">
              <w:rPr>
                <w:rFonts w:eastAsia="Calibri"/>
                <w:color w:val="000000"/>
              </w:rPr>
              <w:t>discharged protein</w:t>
            </w:r>
          </w:p>
        </w:tc>
        <w:tc>
          <w:tcPr>
            <w:tcW w:w="620" w:type="dxa"/>
            <w:shd w:val="clear" w:color="auto" w:fill="FFFFFF"/>
            <w:tcMar>
              <w:top w:w="0" w:type="dxa"/>
              <w:left w:w="85" w:type="dxa"/>
              <w:bottom w:w="0" w:type="dxa"/>
              <w:right w:w="85" w:type="dxa"/>
            </w:tcMar>
          </w:tcPr>
          <w:p w14:paraId="240AB200" w14:textId="77777777" w:rsidR="0057070D" w:rsidRPr="001D5327" w:rsidRDefault="0057070D" w:rsidP="00E27D49">
            <w:pPr>
              <w:pStyle w:val="TableText"/>
              <w:spacing w:before="40" w:after="40"/>
              <w:jc w:val="right"/>
            </w:pPr>
            <w:r w:rsidRPr="001D5327">
              <w:rPr>
                <w:rFonts w:eastAsia="Calibri"/>
                <w:color w:val="000000"/>
              </w:rPr>
              <w:t>1.25</w:t>
            </w:r>
          </w:p>
        </w:tc>
        <w:tc>
          <w:tcPr>
            <w:tcW w:w="1985" w:type="dxa"/>
            <w:shd w:val="clear" w:color="auto" w:fill="FFFFFF"/>
            <w:tcMar>
              <w:top w:w="0" w:type="dxa"/>
              <w:left w:w="85" w:type="dxa"/>
              <w:bottom w:w="0" w:type="dxa"/>
              <w:right w:w="85" w:type="dxa"/>
            </w:tcMar>
          </w:tcPr>
          <w:p w14:paraId="495B6C76" w14:textId="77777777" w:rsidR="0057070D" w:rsidRPr="001D5327" w:rsidRDefault="0057070D" w:rsidP="00D11AC9">
            <w:pPr>
              <w:pStyle w:val="TableText"/>
              <w:spacing w:before="40" w:after="40"/>
            </w:pPr>
            <w:r w:rsidRPr="001D5327">
              <w:rPr>
                <w:rFonts w:eastAsia="Calibri"/>
                <w:color w:val="000000"/>
              </w:rPr>
              <w:t>IPCC default</w:t>
            </w:r>
          </w:p>
        </w:tc>
        <w:tc>
          <w:tcPr>
            <w:tcW w:w="2965" w:type="dxa"/>
            <w:shd w:val="clear" w:color="auto" w:fill="FFFFFF"/>
            <w:tcMar>
              <w:top w:w="0" w:type="dxa"/>
              <w:left w:w="85" w:type="dxa"/>
              <w:bottom w:w="0" w:type="dxa"/>
              <w:right w:w="85" w:type="dxa"/>
            </w:tcMar>
          </w:tcPr>
          <w:p w14:paraId="535CC920" w14:textId="77777777" w:rsidR="0057070D" w:rsidRPr="001D5327" w:rsidRDefault="0057070D" w:rsidP="00D11AC9">
            <w:pPr>
              <w:pStyle w:val="TableText"/>
              <w:spacing w:before="40" w:after="40"/>
            </w:pPr>
            <w:r w:rsidRPr="001D5327">
              <w:rPr>
                <w:rFonts w:eastAsia="Calibri"/>
                <w:color w:val="000000"/>
              </w:rPr>
              <w:t>Table 6.11, section 6.3.3, IPCC, 2006d</w:t>
            </w:r>
          </w:p>
        </w:tc>
      </w:tr>
      <w:tr w:rsidR="00622E2B" w:rsidRPr="001D5327" w14:paraId="69CD0113" w14:textId="77777777" w:rsidTr="00E27D49">
        <w:tc>
          <w:tcPr>
            <w:tcW w:w="2924" w:type="dxa"/>
            <w:shd w:val="clear" w:color="auto" w:fill="FFFFFF"/>
            <w:tcMar>
              <w:top w:w="0" w:type="dxa"/>
              <w:left w:w="85" w:type="dxa"/>
              <w:bottom w:w="0" w:type="dxa"/>
              <w:right w:w="85" w:type="dxa"/>
            </w:tcMar>
          </w:tcPr>
          <w:p w14:paraId="7D2A0788" w14:textId="77777777" w:rsidR="0057070D" w:rsidRPr="001D5327" w:rsidRDefault="0057070D" w:rsidP="00D11AC9">
            <w:pPr>
              <w:pStyle w:val="TableText"/>
              <w:spacing w:before="40" w:after="40"/>
            </w:pPr>
            <w:r w:rsidRPr="001D5327">
              <w:rPr>
                <w:rFonts w:eastAsia="Calibri"/>
                <w:color w:val="000000"/>
              </w:rPr>
              <w:t>Nitrogen removed with sludge (kg)</w:t>
            </w:r>
          </w:p>
        </w:tc>
        <w:tc>
          <w:tcPr>
            <w:tcW w:w="620" w:type="dxa"/>
            <w:shd w:val="clear" w:color="auto" w:fill="FFFFFF"/>
            <w:tcMar>
              <w:top w:w="0" w:type="dxa"/>
              <w:left w:w="85" w:type="dxa"/>
              <w:bottom w:w="0" w:type="dxa"/>
              <w:right w:w="85" w:type="dxa"/>
            </w:tcMar>
          </w:tcPr>
          <w:p w14:paraId="506FF719" w14:textId="77777777" w:rsidR="0057070D" w:rsidRPr="001D5327" w:rsidRDefault="0057070D" w:rsidP="00E27D49">
            <w:pPr>
              <w:pStyle w:val="TableText"/>
              <w:spacing w:before="40" w:after="40"/>
              <w:jc w:val="right"/>
            </w:pPr>
            <w:r w:rsidRPr="001D5327">
              <w:rPr>
                <w:rFonts w:eastAsia="Calibri"/>
                <w:color w:val="000000"/>
              </w:rPr>
              <w:t>0</w:t>
            </w:r>
          </w:p>
        </w:tc>
        <w:tc>
          <w:tcPr>
            <w:tcW w:w="1985" w:type="dxa"/>
            <w:shd w:val="clear" w:color="auto" w:fill="FFFFFF"/>
            <w:tcMar>
              <w:top w:w="0" w:type="dxa"/>
              <w:left w:w="85" w:type="dxa"/>
              <w:bottom w:w="0" w:type="dxa"/>
              <w:right w:w="85" w:type="dxa"/>
            </w:tcMar>
          </w:tcPr>
          <w:p w14:paraId="72675C4F" w14:textId="77777777" w:rsidR="0057070D" w:rsidRPr="001D5327" w:rsidRDefault="0057070D" w:rsidP="00D11AC9">
            <w:pPr>
              <w:pStyle w:val="TableText"/>
              <w:spacing w:before="40" w:after="40"/>
            </w:pPr>
            <w:r w:rsidRPr="001D5327">
              <w:rPr>
                <w:rFonts w:eastAsia="Calibri"/>
                <w:color w:val="000000"/>
              </w:rPr>
              <w:t>IPCC default</w:t>
            </w:r>
          </w:p>
        </w:tc>
        <w:tc>
          <w:tcPr>
            <w:tcW w:w="2965" w:type="dxa"/>
            <w:shd w:val="clear" w:color="auto" w:fill="FFFFFF"/>
            <w:tcMar>
              <w:top w:w="0" w:type="dxa"/>
              <w:left w:w="85" w:type="dxa"/>
              <w:bottom w:w="0" w:type="dxa"/>
              <w:right w:w="85" w:type="dxa"/>
            </w:tcMar>
          </w:tcPr>
          <w:p w14:paraId="024D47ED" w14:textId="77777777" w:rsidR="0057070D" w:rsidRPr="001D5327" w:rsidRDefault="0057070D" w:rsidP="00D11AC9">
            <w:pPr>
              <w:pStyle w:val="TableText"/>
              <w:spacing w:before="40" w:after="40"/>
            </w:pPr>
            <w:r w:rsidRPr="001D5327">
              <w:rPr>
                <w:rFonts w:eastAsia="Calibri"/>
                <w:color w:val="000000"/>
              </w:rPr>
              <w:t>Section 6.3.1.3, p 6.25, IPCC, 2006d</w:t>
            </w:r>
          </w:p>
        </w:tc>
      </w:tr>
      <w:tr w:rsidR="00622E2B" w:rsidRPr="001D5327" w14:paraId="3D7F1F16" w14:textId="77777777" w:rsidTr="00E27D49">
        <w:tc>
          <w:tcPr>
            <w:tcW w:w="2924" w:type="dxa"/>
            <w:shd w:val="clear" w:color="auto" w:fill="FFFFFF"/>
            <w:tcMar>
              <w:top w:w="0" w:type="dxa"/>
              <w:left w:w="85" w:type="dxa"/>
              <w:bottom w:w="0" w:type="dxa"/>
              <w:right w:w="85" w:type="dxa"/>
            </w:tcMar>
          </w:tcPr>
          <w:p w14:paraId="78AF15A9" w14:textId="77777777" w:rsidR="0057070D" w:rsidRPr="001D5327" w:rsidRDefault="0057070D" w:rsidP="00D11AC9">
            <w:pPr>
              <w:pStyle w:val="TableText"/>
              <w:spacing w:before="40" w:after="40"/>
            </w:pPr>
            <w:r w:rsidRPr="001D5327">
              <w:rPr>
                <w:rFonts w:eastAsia="Calibri"/>
                <w:color w:val="000000"/>
              </w:rPr>
              <w:t>Emission factor</w:t>
            </w:r>
          </w:p>
        </w:tc>
        <w:tc>
          <w:tcPr>
            <w:tcW w:w="620" w:type="dxa"/>
            <w:shd w:val="clear" w:color="auto" w:fill="FFFFFF"/>
            <w:tcMar>
              <w:top w:w="0" w:type="dxa"/>
              <w:left w:w="85" w:type="dxa"/>
              <w:bottom w:w="0" w:type="dxa"/>
              <w:right w:w="85" w:type="dxa"/>
            </w:tcMar>
          </w:tcPr>
          <w:p w14:paraId="6FDEEA7B" w14:textId="77777777" w:rsidR="0057070D" w:rsidRPr="001D5327" w:rsidRDefault="0057070D" w:rsidP="00E27D49">
            <w:pPr>
              <w:pStyle w:val="TableText"/>
              <w:spacing w:before="40" w:after="40"/>
              <w:jc w:val="right"/>
            </w:pPr>
            <w:r w:rsidRPr="001D5327">
              <w:rPr>
                <w:rFonts w:eastAsia="Calibri"/>
                <w:color w:val="000000"/>
              </w:rPr>
              <w:t>0.005</w:t>
            </w:r>
          </w:p>
        </w:tc>
        <w:tc>
          <w:tcPr>
            <w:tcW w:w="1985" w:type="dxa"/>
            <w:shd w:val="clear" w:color="auto" w:fill="FFFFFF"/>
            <w:tcMar>
              <w:top w:w="0" w:type="dxa"/>
              <w:left w:w="85" w:type="dxa"/>
              <w:bottom w:w="0" w:type="dxa"/>
              <w:right w:w="85" w:type="dxa"/>
            </w:tcMar>
          </w:tcPr>
          <w:p w14:paraId="55D654B6" w14:textId="77777777" w:rsidR="0057070D" w:rsidRPr="001D5327" w:rsidRDefault="0057070D" w:rsidP="00D11AC9">
            <w:pPr>
              <w:pStyle w:val="TableText"/>
              <w:spacing w:before="40" w:after="40"/>
            </w:pPr>
            <w:r w:rsidRPr="001D5327">
              <w:rPr>
                <w:rFonts w:eastAsia="Calibri"/>
                <w:color w:val="000000"/>
              </w:rPr>
              <w:t>IPCC default</w:t>
            </w:r>
          </w:p>
        </w:tc>
        <w:tc>
          <w:tcPr>
            <w:tcW w:w="2965" w:type="dxa"/>
            <w:shd w:val="clear" w:color="auto" w:fill="FFFFFF"/>
            <w:tcMar>
              <w:top w:w="0" w:type="dxa"/>
              <w:left w:w="85" w:type="dxa"/>
              <w:bottom w:w="0" w:type="dxa"/>
              <w:right w:w="85" w:type="dxa"/>
            </w:tcMar>
          </w:tcPr>
          <w:p w14:paraId="1A7CB6D7" w14:textId="77777777" w:rsidR="0057070D" w:rsidRPr="001D5327" w:rsidRDefault="0057070D" w:rsidP="00D11AC9">
            <w:pPr>
              <w:pStyle w:val="TableText"/>
              <w:spacing w:before="40" w:after="40"/>
            </w:pPr>
            <w:r w:rsidRPr="001D5327">
              <w:rPr>
                <w:rFonts w:eastAsia="Calibri"/>
                <w:color w:val="000000"/>
              </w:rPr>
              <w:t>Table 6.11, section 6.3.3, IPCC, 2006d</w:t>
            </w:r>
          </w:p>
        </w:tc>
      </w:tr>
      <w:tr w:rsidR="00622E2B" w:rsidRPr="001D5327" w14:paraId="19EC4219" w14:textId="77777777" w:rsidTr="00E27D49">
        <w:tc>
          <w:tcPr>
            <w:tcW w:w="2924" w:type="dxa"/>
            <w:shd w:val="clear" w:color="auto" w:fill="FFFFFF"/>
            <w:tcMar>
              <w:top w:w="0" w:type="dxa"/>
              <w:left w:w="85" w:type="dxa"/>
              <w:bottom w:w="0" w:type="dxa"/>
              <w:right w:w="85" w:type="dxa"/>
            </w:tcMar>
          </w:tcPr>
          <w:p w14:paraId="50D865AF" w14:textId="77777777" w:rsidR="0057070D" w:rsidRPr="001D5327" w:rsidRDefault="0057070D" w:rsidP="00D11AC9">
            <w:pPr>
              <w:pStyle w:val="TableText"/>
              <w:spacing w:before="40" w:after="40"/>
            </w:pPr>
            <w:r w:rsidRPr="001D5327">
              <w:rPr>
                <w:rFonts w:eastAsia="Calibri"/>
                <w:color w:val="000000"/>
              </w:rPr>
              <w:t>Emissions from wastewater treatment plants</w:t>
            </w:r>
          </w:p>
        </w:tc>
        <w:tc>
          <w:tcPr>
            <w:tcW w:w="620" w:type="dxa"/>
            <w:shd w:val="clear" w:color="auto" w:fill="FFFFFF"/>
            <w:tcMar>
              <w:top w:w="0" w:type="dxa"/>
              <w:left w:w="85" w:type="dxa"/>
              <w:bottom w:w="0" w:type="dxa"/>
              <w:right w:w="85" w:type="dxa"/>
            </w:tcMar>
          </w:tcPr>
          <w:p w14:paraId="18C1CA7C" w14:textId="77777777" w:rsidR="0057070D" w:rsidRPr="001D5327" w:rsidRDefault="0057070D" w:rsidP="00E27D49">
            <w:pPr>
              <w:pStyle w:val="TableText"/>
              <w:spacing w:before="40" w:after="40"/>
              <w:jc w:val="right"/>
            </w:pPr>
            <w:r w:rsidRPr="001D5327">
              <w:rPr>
                <w:rFonts w:eastAsia="Calibri"/>
                <w:color w:val="000000"/>
              </w:rPr>
              <w:t>0</w:t>
            </w:r>
          </w:p>
        </w:tc>
        <w:tc>
          <w:tcPr>
            <w:tcW w:w="1985" w:type="dxa"/>
            <w:shd w:val="clear" w:color="auto" w:fill="FFFFFF"/>
            <w:tcMar>
              <w:top w:w="0" w:type="dxa"/>
              <w:left w:w="85" w:type="dxa"/>
              <w:bottom w:w="0" w:type="dxa"/>
              <w:right w:w="85" w:type="dxa"/>
            </w:tcMar>
          </w:tcPr>
          <w:p w14:paraId="5D81BDB4" w14:textId="77777777" w:rsidR="0057070D" w:rsidRPr="001D5327" w:rsidRDefault="0057070D" w:rsidP="00D11AC9">
            <w:pPr>
              <w:pStyle w:val="TableText"/>
              <w:spacing w:before="40" w:after="40"/>
            </w:pPr>
            <w:r w:rsidRPr="001D5327">
              <w:rPr>
                <w:rFonts w:eastAsia="Calibri"/>
                <w:color w:val="000000"/>
              </w:rPr>
              <w:t>IPCC default</w:t>
            </w:r>
          </w:p>
        </w:tc>
        <w:tc>
          <w:tcPr>
            <w:tcW w:w="2965" w:type="dxa"/>
            <w:shd w:val="clear" w:color="auto" w:fill="FFFFFF"/>
            <w:tcMar>
              <w:top w:w="0" w:type="dxa"/>
              <w:left w:w="85" w:type="dxa"/>
              <w:bottom w:w="0" w:type="dxa"/>
              <w:right w:w="85" w:type="dxa"/>
            </w:tcMar>
          </w:tcPr>
          <w:p w14:paraId="5557873E" w14:textId="77777777" w:rsidR="0057070D" w:rsidRPr="001D5327" w:rsidRDefault="0057070D" w:rsidP="00D11AC9">
            <w:pPr>
              <w:pStyle w:val="TableText"/>
              <w:spacing w:before="40" w:after="40"/>
            </w:pPr>
            <w:r w:rsidRPr="001D5327">
              <w:rPr>
                <w:rFonts w:eastAsia="Calibri"/>
                <w:color w:val="000000"/>
              </w:rPr>
              <w:t>IPCC (2006d)</w:t>
            </w:r>
          </w:p>
        </w:tc>
      </w:tr>
    </w:tbl>
    <w:p w14:paraId="17B07421" w14:textId="77777777" w:rsidR="0057070D" w:rsidRPr="001D5327" w:rsidRDefault="0057070D" w:rsidP="00E27D49">
      <w:pPr>
        <w:pStyle w:val="Heading3"/>
        <w:tabs>
          <w:tab w:val="clear" w:pos="851"/>
          <w:tab w:val="left" w:pos="993"/>
        </w:tabs>
        <w:spacing w:before="400"/>
      </w:pPr>
      <w:bookmarkStart w:id="3031" w:name="Xeba052d9656bd3eb65d5521d67974031298e87d"/>
      <w:bookmarkEnd w:id="3027"/>
      <w:bookmarkEnd w:id="3029"/>
      <w:r w:rsidRPr="001D5327">
        <w:t>8.15.3</w:t>
      </w:r>
      <w:r w:rsidRPr="001D5327">
        <w:tab/>
        <w:t>Uncertainty assessment and time-series consistency</w:t>
      </w:r>
    </w:p>
    <w:p w14:paraId="6763CE8F" w14:textId="77777777" w:rsidR="0057070D" w:rsidRPr="001D5327" w:rsidRDefault="0057070D" w:rsidP="0057070D">
      <w:pPr>
        <w:pStyle w:val="BodyText"/>
      </w:pPr>
      <w:r w:rsidRPr="001D5327">
        <w:t xml:space="preserve">The same uncertainty data for </w:t>
      </w:r>
      <w:r w:rsidRPr="001D5327">
        <w:rPr>
          <w:i/>
          <w:iCs/>
        </w:rPr>
        <w:t>Domestic wastewater</w:t>
      </w:r>
      <w:r w:rsidRPr="001D5327">
        <w:t xml:space="preserve"> were used for Tokelau and New Zealand (see table 7.5.16, chapter 7; for methodological notes, refer to uncertainties in emissions from </w:t>
      </w:r>
      <w:r w:rsidRPr="001D5327">
        <w:rPr>
          <w:i/>
          <w:iCs/>
        </w:rPr>
        <w:t>Domestic wastewater</w:t>
      </w:r>
      <w:r w:rsidRPr="001D5327">
        <w:t xml:space="preserve"> in section 7.5.3, chapter 7). Table 8.15.3 shows uncertainties for activity data and emission factors used by Tokelau for </w:t>
      </w:r>
      <w:r w:rsidRPr="001D5327">
        <w:rPr>
          <w:i/>
          <w:iCs/>
        </w:rPr>
        <w:t>Domestic wastewater</w:t>
      </w:r>
      <w:r w:rsidRPr="001D5327">
        <w:t>.</w:t>
      </w:r>
    </w:p>
    <w:p w14:paraId="7AF8231B" w14:textId="77777777" w:rsidR="0057070D" w:rsidRPr="001D5327" w:rsidRDefault="0057070D" w:rsidP="0057070D">
      <w:pPr>
        <w:pStyle w:val="Table"/>
      </w:pPr>
      <w:bookmarkStart w:id="3032" w:name="_Toc194241846"/>
      <w:r w:rsidRPr="001D5327">
        <w:t>Table 8.15.3</w:t>
      </w:r>
      <w:r w:rsidRPr="001D5327">
        <w:tab/>
        <w:t xml:space="preserve">Uncertainty in emissions from </w:t>
      </w:r>
      <w:r w:rsidRPr="001D5327">
        <w:rPr>
          <w:i/>
          <w:iCs/>
        </w:rPr>
        <w:t>Domestic wastewater</w:t>
      </w:r>
      <w:bookmarkEnd w:id="3032"/>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239"/>
        <w:gridCol w:w="2482"/>
        <w:gridCol w:w="2773"/>
      </w:tblGrid>
      <w:tr w:rsidR="0057070D" w:rsidRPr="001D5327" w14:paraId="2C030BB4" w14:textId="77777777" w:rsidTr="00D11AC9">
        <w:trPr>
          <w:tblHeader/>
        </w:trPr>
        <w:tc>
          <w:tcPr>
            <w:tcW w:w="0" w:type="auto"/>
            <w:shd w:val="clear" w:color="auto" w:fill="1B556B"/>
            <w:tcMar>
              <w:top w:w="0" w:type="dxa"/>
              <w:left w:w="85" w:type="dxa"/>
              <w:bottom w:w="0" w:type="dxa"/>
              <w:right w:w="85" w:type="dxa"/>
            </w:tcMar>
          </w:tcPr>
          <w:p w14:paraId="1C67B6E0" w14:textId="77777777" w:rsidR="0057070D" w:rsidRPr="001D5327" w:rsidRDefault="0057070D" w:rsidP="00D11AC9">
            <w:pPr>
              <w:pStyle w:val="TableTextBold"/>
              <w:spacing w:before="40" w:after="40"/>
              <w:rPr>
                <w:noProof w:val="0"/>
                <w:color w:val="FFFFFF" w:themeColor="background1"/>
              </w:rPr>
            </w:pPr>
            <w:r w:rsidRPr="001D5327">
              <w:rPr>
                <w:rFonts w:eastAsia="Calibri"/>
                <w:noProof w:val="0"/>
                <w:color w:val="FFFFFF" w:themeColor="background1"/>
              </w:rPr>
              <w:t>Emissions category</w:t>
            </w:r>
          </w:p>
        </w:tc>
        <w:tc>
          <w:tcPr>
            <w:tcW w:w="0" w:type="auto"/>
            <w:shd w:val="clear" w:color="auto" w:fill="1B556B"/>
            <w:tcMar>
              <w:top w:w="0" w:type="dxa"/>
              <w:left w:w="85" w:type="dxa"/>
              <w:bottom w:w="0" w:type="dxa"/>
              <w:right w:w="85" w:type="dxa"/>
            </w:tcMar>
          </w:tcPr>
          <w:p w14:paraId="51DF70C9" w14:textId="77777777" w:rsidR="0057070D" w:rsidRPr="001D5327" w:rsidRDefault="0057070D"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activity data (%)</w:t>
            </w:r>
          </w:p>
        </w:tc>
        <w:tc>
          <w:tcPr>
            <w:tcW w:w="0" w:type="auto"/>
            <w:shd w:val="clear" w:color="auto" w:fill="1B556B"/>
            <w:tcMar>
              <w:top w:w="0" w:type="dxa"/>
              <w:left w:w="85" w:type="dxa"/>
              <w:bottom w:w="0" w:type="dxa"/>
              <w:right w:w="85" w:type="dxa"/>
            </w:tcMar>
          </w:tcPr>
          <w:p w14:paraId="03F6BED1" w14:textId="77777777" w:rsidR="0057070D" w:rsidRPr="001D5327" w:rsidRDefault="0057070D" w:rsidP="00D11AC9">
            <w:pPr>
              <w:pStyle w:val="TableTextBold"/>
              <w:spacing w:before="40" w:after="40"/>
              <w:jc w:val="right"/>
              <w:rPr>
                <w:noProof w:val="0"/>
                <w:color w:val="FFFFFF" w:themeColor="background1"/>
              </w:rPr>
            </w:pPr>
            <w:r w:rsidRPr="001D5327">
              <w:rPr>
                <w:rFonts w:eastAsia="Calibri"/>
                <w:noProof w:val="0"/>
                <w:color w:val="FFFFFF" w:themeColor="background1"/>
              </w:rPr>
              <w:t>Uncertainty in emission factors (%)</w:t>
            </w:r>
          </w:p>
        </w:tc>
      </w:tr>
      <w:tr w:rsidR="00622E2B" w:rsidRPr="001D5327" w14:paraId="2B4A6C44" w14:textId="77777777" w:rsidTr="00D11AC9">
        <w:tc>
          <w:tcPr>
            <w:tcW w:w="0" w:type="auto"/>
            <w:shd w:val="clear" w:color="auto" w:fill="FFFFFF"/>
            <w:tcMar>
              <w:top w:w="0" w:type="dxa"/>
              <w:left w:w="85" w:type="dxa"/>
              <w:bottom w:w="0" w:type="dxa"/>
              <w:right w:w="85" w:type="dxa"/>
            </w:tcMar>
          </w:tcPr>
          <w:p w14:paraId="0BE4BF93" w14:textId="77777777" w:rsidR="0057070D" w:rsidRPr="001D5327" w:rsidRDefault="0057070D" w:rsidP="00D11AC9">
            <w:pPr>
              <w:pStyle w:val="TableText"/>
              <w:spacing w:before="40" w:after="40"/>
            </w:pPr>
            <w:r w:rsidRPr="001D5327">
              <w:rPr>
                <w:rFonts w:eastAsia="Calibri"/>
                <w:color w:val="000000"/>
              </w:rPr>
              <w:t>Domestic and industrial wastewater (CH₄)</w:t>
            </w:r>
          </w:p>
        </w:tc>
        <w:tc>
          <w:tcPr>
            <w:tcW w:w="0" w:type="auto"/>
            <w:shd w:val="clear" w:color="auto" w:fill="FFFFFF"/>
            <w:tcMar>
              <w:top w:w="0" w:type="dxa"/>
              <w:left w:w="85" w:type="dxa"/>
              <w:bottom w:w="0" w:type="dxa"/>
              <w:right w:w="85" w:type="dxa"/>
            </w:tcMar>
          </w:tcPr>
          <w:p w14:paraId="6196334E" w14:textId="77777777" w:rsidR="0057070D" w:rsidRPr="001D5327" w:rsidRDefault="0057070D" w:rsidP="00D11AC9">
            <w:pPr>
              <w:pStyle w:val="TableText"/>
              <w:spacing w:before="40" w:after="40"/>
              <w:jc w:val="right"/>
            </w:pPr>
            <w:r w:rsidRPr="001D5327">
              <w:rPr>
                <w:rFonts w:eastAsia="Calibri"/>
                <w:color w:val="000000"/>
              </w:rPr>
              <w:t>±10</w:t>
            </w:r>
          </w:p>
        </w:tc>
        <w:tc>
          <w:tcPr>
            <w:tcW w:w="0" w:type="auto"/>
            <w:shd w:val="clear" w:color="auto" w:fill="FFFFFF"/>
            <w:tcMar>
              <w:top w:w="0" w:type="dxa"/>
              <w:left w:w="85" w:type="dxa"/>
              <w:bottom w:w="0" w:type="dxa"/>
              <w:right w:w="85" w:type="dxa"/>
            </w:tcMar>
          </w:tcPr>
          <w:p w14:paraId="5A3B2D6C" w14:textId="77777777" w:rsidR="0057070D" w:rsidRPr="001D5327" w:rsidRDefault="0057070D" w:rsidP="00D11AC9">
            <w:pPr>
              <w:pStyle w:val="TableText"/>
              <w:spacing w:before="40" w:after="40"/>
              <w:jc w:val="right"/>
            </w:pPr>
            <w:r w:rsidRPr="001D5327">
              <w:rPr>
                <w:rFonts w:eastAsia="Calibri"/>
                <w:color w:val="000000"/>
              </w:rPr>
              <w:t>±40</w:t>
            </w:r>
          </w:p>
        </w:tc>
      </w:tr>
      <w:tr w:rsidR="00622E2B" w:rsidRPr="001D5327" w14:paraId="7ED66F64" w14:textId="77777777" w:rsidTr="00D11AC9">
        <w:tc>
          <w:tcPr>
            <w:tcW w:w="0" w:type="auto"/>
            <w:shd w:val="clear" w:color="auto" w:fill="FFFFFF"/>
            <w:tcMar>
              <w:top w:w="0" w:type="dxa"/>
              <w:left w:w="85" w:type="dxa"/>
              <w:bottom w:w="0" w:type="dxa"/>
              <w:right w:w="85" w:type="dxa"/>
            </w:tcMar>
          </w:tcPr>
          <w:p w14:paraId="612832FC" w14:textId="77777777" w:rsidR="0057070D" w:rsidRPr="001D5327" w:rsidRDefault="0057070D" w:rsidP="00D11AC9">
            <w:pPr>
              <w:pStyle w:val="TableText"/>
              <w:spacing w:before="40" w:after="40"/>
            </w:pPr>
            <w:r w:rsidRPr="001D5327">
              <w:rPr>
                <w:rFonts w:eastAsia="Calibri"/>
                <w:color w:val="000000"/>
              </w:rPr>
              <w:t>Domestic and industrial wastewater (N₂O)</w:t>
            </w:r>
          </w:p>
        </w:tc>
        <w:tc>
          <w:tcPr>
            <w:tcW w:w="0" w:type="auto"/>
            <w:shd w:val="clear" w:color="auto" w:fill="FFFFFF"/>
            <w:tcMar>
              <w:top w:w="0" w:type="dxa"/>
              <w:left w:w="85" w:type="dxa"/>
              <w:bottom w:w="0" w:type="dxa"/>
              <w:right w:w="85" w:type="dxa"/>
            </w:tcMar>
          </w:tcPr>
          <w:p w14:paraId="5E38D5EC" w14:textId="77777777" w:rsidR="0057070D" w:rsidRPr="001D5327" w:rsidRDefault="0057070D" w:rsidP="00D11AC9">
            <w:pPr>
              <w:pStyle w:val="TableText"/>
              <w:spacing w:before="40" w:after="40"/>
              <w:jc w:val="right"/>
            </w:pPr>
            <w:r w:rsidRPr="001D5327">
              <w:rPr>
                <w:rFonts w:eastAsia="Calibri"/>
                <w:color w:val="000000"/>
              </w:rPr>
              <w:t>±10</w:t>
            </w:r>
          </w:p>
        </w:tc>
        <w:tc>
          <w:tcPr>
            <w:tcW w:w="0" w:type="auto"/>
            <w:shd w:val="clear" w:color="auto" w:fill="FFFFFF"/>
            <w:tcMar>
              <w:top w:w="0" w:type="dxa"/>
              <w:left w:w="85" w:type="dxa"/>
              <w:bottom w:w="0" w:type="dxa"/>
              <w:right w:w="85" w:type="dxa"/>
            </w:tcMar>
          </w:tcPr>
          <w:p w14:paraId="4573998C" w14:textId="77777777" w:rsidR="0057070D" w:rsidRPr="001D5327" w:rsidRDefault="0057070D" w:rsidP="00D11AC9">
            <w:pPr>
              <w:pStyle w:val="TableText"/>
              <w:spacing w:before="40" w:after="40"/>
              <w:jc w:val="right"/>
            </w:pPr>
            <w:r w:rsidRPr="001D5327">
              <w:rPr>
                <w:rFonts w:eastAsia="Calibri"/>
                <w:color w:val="000000"/>
              </w:rPr>
              <w:t>±90</w:t>
            </w:r>
          </w:p>
        </w:tc>
      </w:tr>
    </w:tbl>
    <w:p w14:paraId="037C3FE0" w14:textId="77777777" w:rsidR="0057070D" w:rsidRPr="001D5327" w:rsidRDefault="0057070D" w:rsidP="0057070D">
      <w:pPr>
        <w:pStyle w:val="BodyText"/>
        <w:spacing w:before="240"/>
      </w:pPr>
      <w:r w:rsidRPr="001D5327">
        <w:t>Time-series consistency is maintained by interpolating the population data and the use of open water toilets in between census years, which are generally five years apart.</w:t>
      </w:r>
    </w:p>
    <w:p w14:paraId="50AB2142" w14:textId="77777777" w:rsidR="0057070D" w:rsidRPr="001D5327" w:rsidRDefault="0057070D" w:rsidP="00E27D49">
      <w:pPr>
        <w:pStyle w:val="Heading3"/>
        <w:tabs>
          <w:tab w:val="clear" w:pos="851"/>
          <w:tab w:val="left" w:pos="993"/>
        </w:tabs>
      </w:pPr>
      <w:bookmarkStart w:id="3033" w:name="Xfde77fe021db7c2b1b1e9d23147a0038844b916"/>
      <w:bookmarkEnd w:id="3031"/>
      <w:r w:rsidRPr="001D5327">
        <w:t>8.15.4</w:t>
      </w:r>
      <w:r w:rsidRPr="001D5327">
        <w:tab/>
        <w:t>Category-specific QA/QC and verification</w:t>
      </w:r>
    </w:p>
    <w:p w14:paraId="5027B33F" w14:textId="77777777" w:rsidR="0057070D" w:rsidRPr="001D5327" w:rsidRDefault="0057070D" w:rsidP="0057070D">
      <w:pPr>
        <w:pStyle w:val="BodyText"/>
      </w:pPr>
      <w:r w:rsidRPr="001D5327">
        <w:t>Quality control of the activity data and calculations was applied to each category for Tokelau. No verification was possible because no alternative data were available.</w:t>
      </w:r>
    </w:p>
    <w:p w14:paraId="1E1462A9" w14:textId="77777777" w:rsidR="0057070D" w:rsidRPr="001D5327" w:rsidRDefault="0057070D" w:rsidP="00E27D49">
      <w:pPr>
        <w:pStyle w:val="Heading3"/>
        <w:tabs>
          <w:tab w:val="clear" w:pos="851"/>
          <w:tab w:val="left" w:pos="993"/>
        </w:tabs>
      </w:pPr>
      <w:bookmarkStart w:id="3034" w:name="category-specific-recalculations-9"/>
      <w:bookmarkEnd w:id="3033"/>
      <w:r w:rsidRPr="001D5327">
        <w:t>8.15.5</w:t>
      </w:r>
      <w:r w:rsidRPr="001D5327">
        <w:tab/>
        <w:t>Category-specific recalculations</w:t>
      </w:r>
    </w:p>
    <w:p w14:paraId="0F19C105" w14:textId="77777777" w:rsidR="0057070D" w:rsidRPr="001D5327" w:rsidRDefault="0057070D" w:rsidP="0057070D">
      <w:pPr>
        <w:pStyle w:val="BodyText"/>
      </w:pPr>
      <w:r w:rsidRPr="001D5327">
        <w:t xml:space="preserve">There were no changes to estimates for the </w:t>
      </w:r>
      <w:r w:rsidRPr="001D5327">
        <w:rPr>
          <w:i/>
          <w:iCs/>
        </w:rPr>
        <w:t>Domestic wastewater</w:t>
      </w:r>
      <w:r w:rsidRPr="001D5327">
        <w:t xml:space="preserve"> category.</w:t>
      </w:r>
    </w:p>
    <w:p w14:paraId="6A0E8533" w14:textId="77777777" w:rsidR="0057070D" w:rsidRPr="001D5327" w:rsidRDefault="0057070D" w:rsidP="00E27D49">
      <w:pPr>
        <w:pStyle w:val="Heading3"/>
        <w:tabs>
          <w:tab w:val="clear" w:pos="851"/>
          <w:tab w:val="left" w:pos="993"/>
        </w:tabs>
      </w:pPr>
      <w:bookmarkStart w:id="3035" w:name="category-specific-planned-improvements-9"/>
      <w:bookmarkEnd w:id="3034"/>
      <w:r w:rsidRPr="001D5327">
        <w:t>8.15.6</w:t>
      </w:r>
      <w:r w:rsidRPr="001D5327">
        <w:tab/>
        <w:t>Category-specific planned improvements</w:t>
      </w:r>
    </w:p>
    <w:p w14:paraId="4A18F20F" w14:textId="77777777" w:rsidR="0057070D" w:rsidRPr="001D5327" w:rsidRDefault="0057070D" w:rsidP="0057070D">
      <w:pPr>
        <w:pStyle w:val="BodyText"/>
      </w:pPr>
      <w:r w:rsidRPr="001D5327">
        <w:t>No improvements are planned for the next inventory submission.</w:t>
      </w:r>
    </w:p>
    <w:p w14:paraId="3A0AFEF1" w14:textId="77777777" w:rsidR="0057070D" w:rsidRPr="001D5327" w:rsidRDefault="0057070D" w:rsidP="0057070D">
      <w:pPr>
        <w:pStyle w:val="BodyText"/>
      </w:pPr>
      <w:bookmarkStart w:id="3036" w:name="chapter-8-references"/>
      <w:bookmarkEnd w:id="3025"/>
      <w:bookmarkEnd w:id="3035"/>
      <w:r w:rsidRPr="001D5327">
        <w:br w:type="page"/>
      </w:r>
    </w:p>
    <w:p w14:paraId="52E3470E" w14:textId="77777777" w:rsidR="0057070D" w:rsidRPr="001D5327" w:rsidRDefault="0057070D" w:rsidP="0057070D">
      <w:pPr>
        <w:pStyle w:val="Heading2"/>
        <w:spacing w:after="360"/>
      </w:pPr>
      <w:bookmarkStart w:id="3037" w:name="_Toc194312062"/>
      <w:r w:rsidRPr="001D5327">
        <w:lastRenderedPageBreak/>
        <w:t>Chapter 8: References</w:t>
      </w:r>
      <w:bookmarkEnd w:id="3037"/>
    </w:p>
    <w:p w14:paraId="7429C650" w14:textId="77777777" w:rsidR="0057070D" w:rsidRPr="001D5327" w:rsidRDefault="0057070D" w:rsidP="0057070D">
      <w:pPr>
        <w:pStyle w:val="References"/>
      </w:pPr>
      <w:r w:rsidRPr="001D5327">
        <w:t xml:space="preserve">Government of Tokelau. 2017. </w:t>
      </w:r>
      <w:hyperlink r:id="rId246" w:history="1">
        <w:r w:rsidRPr="001D5327">
          <w:rPr>
            <w:rStyle w:val="Hyperlink"/>
            <w:i/>
            <w:iCs/>
          </w:rPr>
          <w:t>Solid Waste Management: MOU Signed between Tokelau EDNRE and Pacific Recycle Co. Ltd</w:t>
        </w:r>
      </w:hyperlink>
      <w:r w:rsidRPr="001D5327">
        <w:t>. Retrieved 9 March 2018.</w:t>
      </w:r>
    </w:p>
    <w:p w14:paraId="01A9F04A" w14:textId="77777777" w:rsidR="0057070D" w:rsidRPr="001D5327" w:rsidRDefault="0057070D" w:rsidP="0057070D">
      <w:pPr>
        <w:pStyle w:val="References"/>
      </w:pPr>
      <w:r w:rsidRPr="001D5327">
        <w:t xml:space="preserve">IPCC. 2006a. Eggleston HS, Buendia L, Miwa K, Ngara T, Tanabe K (eds). </w:t>
      </w:r>
      <w:r w:rsidRPr="001D5327">
        <w:rPr>
          <w:i/>
          <w:iCs/>
        </w:rPr>
        <w:t>2006 IPCC Guidelines for National Greenhouse Gas Inventories</w:t>
      </w:r>
      <w:r w:rsidRPr="001D5327">
        <w:t xml:space="preserve">. </w:t>
      </w:r>
      <w:r w:rsidRPr="001D5327">
        <w:rPr>
          <w:i/>
          <w:iCs/>
        </w:rPr>
        <w:t>Volume 2. Energy</w:t>
      </w:r>
      <w:r w:rsidRPr="001D5327">
        <w:t>. IPCC National Greenhouse Gas Inventories Programme. Japan: Institute for Global Environmental Strategies for IPCC.</w:t>
      </w:r>
    </w:p>
    <w:p w14:paraId="6F73F8DB" w14:textId="77777777" w:rsidR="0057070D" w:rsidRPr="001D5327" w:rsidRDefault="0057070D" w:rsidP="0057070D">
      <w:pPr>
        <w:pStyle w:val="References"/>
      </w:pPr>
      <w:r w:rsidRPr="001D5327">
        <w:t xml:space="preserve">IPCC. 2006b. Eggleston HS, Buendia L, Miwa K, Ngara T, Tanabe K (eds). </w:t>
      </w:r>
      <w:r w:rsidRPr="001D5327">
        <w:rPr>
          <w:i/>
          <w:iCs/>
        </w:rPr>
        <w:t>2006 IPCC Guidelines for National Greenhouse Gas Inventories</w:t>
      </w:r>
      <w:r w:rsidRPr="001D5327">
        <w:t xml:space="preserve">. </w:t>
      </w:r>
      <w:r w:rsidRPr="001D5327">
        <w:rPr>
          <w:i/>
          <w:iCs/>
        </w:rPr>
        <w:t>Volume 3. Industrial Processes and Product Use</w:t>
      </w:r>
      <w:r w:rsidRPr="001D5327">
        <w:t>. IPCC National Greenhouse Gas Inventories Programme. Japan: Published for the IPCC by the Institute for Global Environmental Strategies.</w:t>
      </w:r>
    </w:p>
    <w:p w14:paraId="4F1EEFAE" w14:textId="77777777" w:rsidR="0057070D" w:rsidRPr="001D5327" w:rsidRDefault="0057070D" w:rsidP="0057070D">
      <w:pPr>
        <w:pStyle w:val="References"/>
      </w:pPr>
      <w:r w:rsidRPr="001D5327">
        <w:t xml:space="preserve">IPCC. 2006c. Eggleston HS, Buendia L, Miwa K, Ngara T, Tanabe K (eds). </w:t>
      </w:r>
      <w:r w:rsidRPr="001D5327">
        <w:rPr>
          <w:i/>
          <w:iCs/>
        </w:rPr>
        <w:t>2006 IPCC Guidelines for National Greenhouse Gas Inventories</w:t>
      </w:r>
      <w:r w:rsidRPr="001D5327">
        <w:t xml:space="preserve">. </w:t>
      </w:r>
      <w:r w:rsidRPr="001D5327">
        <w:rPr>
          <w:i/>
          <w:iCs/>
        </w:rPr>
        <w:t>Volume 4. Agriculture, Forestry and Other Land Use</w:t>
      </w:r>
      <w:r w:rsidRPr="001D5327">
        <w:t>. IPCC National Greenhouse Gas Inventories Programme. Japan: Published for the IPCC by the Institute for Global Environmental Strategies.</w:t>
      </w:r>
    </w:p>
    <w:p w14:paraId="70DDD0D5" w14:textId="77777777" w:rsidR="0057070D" w:rsidRPr="001D5327" w:rsidRDefault="0057070D" w:rsidP="0057070D">
      <w:pPr>
        <w:pStyle w:val="References"/>
      </w:pPr>
      <w:r w:rsidRPr="001D5327">
        <w:t xml:space="preserve">IPCC. 2006d. Eggleston HS, Buendia L, Miwa K, Ngara T, Tanabe K (eds). </w:t>
      </w:r>
      <w:r w:rsidRPr="001D5327">
        <w:rPr>
          <w:i/>
          <w:iCs/>
        </w:rPr>
        <w:t>2006 IPCC Guidelines for National Greenhouse Gas Inventories</w:t>
      </w:r>
      <w:r w:rsidRPr="001D5327">
        <w:t xml:space="preserve">. </w:t>
      </w:r>
      <w:r w:rsidRPr="001D5327">
        <w:rPr>
          <w:i/>
          <w:iCs/>
        </w:rPr>
        <w:t>Volume 5. Waste</w:t>
      </w:r>
      <w:r w:rsidRPr="001D5327">
        <w:t>. IPCC National Greenhouse Gas Inventories Programme. Japan: Published for the IPCC by the Institute for Global Environmental Strategies.</w:t>
      </w:r>
    </w:p>
    <w:p w14:paraId="08A1676E" w14:textId="77777777" w:rsidR="0057070D" w:rsidRPr="001D5327" w:rsidRDefault="0057070D" w:rsidP="0057070D">
      <w:pPr>
        <w:pStyle w:val="References"/>
      </w:pPr>
      <w:r w:rsidRPr="001D5327">
        <w:t xml:space="preserve">International Renewable Energy Agency. 2013. </w:t>
      </w:r>
      <w:hyperlink r:id="rId247" w:history="1">
        <w:r w:rsidRPr="001D5327">
          <w:rPr>
            <w:rStyle w:val="Hyperlink"/>
            <w:i/>
            <w:iCs/>
          </w:rPr>
          <w:t>Renewable energy opportunities and challenges in the Pacific Islands region</w:t>
        </w:r>
      </w:hyperlink>
      <w:r w:rsidRPr="001D5327">
        <w:rPr>
          <w:i/>
          <w:iCs/>
        </w:rPr>
        <w:t>.</w:t>
      </w:r>
      <w:r w:rsidRPr="001D5327">
        <w:t xml:space="preserve"> Retrieved 31 January 2019.</w:t>
      </w:r>
    </w:p>
    <w:p w14:paraId="330997BE" w14:textId="77777777" w:rsidR="0057070D" w:rsidRPr="001D5327" w:rsidRDefault="0057070D" w:rsidP="0057070D">
      <w:pPr>
        <w:pStyle w:val="References"/>
      </w:pPr>
      <w:r w:rsidRPr="001D5327">
        <w:t xml:space="preserve">Jasperse JA. 2016. </w:t>
      </w:r>
      <w:hyperlink r:id="rId248" w:history="1">
        <w:r w:rsidRPr="001D5327">
          <w:rPr>
            <w:rStyle w:val="Hyperlink"/>
            <w:i/>
            <w:iCs/>
          </w:rPr>
          <w:t>Analysis of 2014 imports into Tokelau from Samoa, Part 2: Stores’ invoices reconciled with cargo manifests, and quality of life implications</w:t>
        </w:r>
      </w:hyperlink>
      <w:r w:rsidRPr="001D5327">
        <w:t>. Apia, Samoa: Tokelau National Statistics Office. Retrieved 28 February 2019.</w:t>
      </w:r>
    </w:p>
    <w:p w14:paraId="120F1105" w14:textId="77777777" w:rsidR="0057070D" w:rsidRPr="001D5327" w:rsidRDefault="0057070D" w:rsidP="0057070D">
      <w:pPr>
        <w:pStyle w:val="References"/>
      </w:pPr>
      <w:r w:rsidRPr="001D5327">
        <w:t xml:space="preserve">Koroisamanunu I, Papao J, Ketewai M and Sokota A. 2014. </w:t>
      </w:r>
      <w:r w:rsidRPr="001D5327">
        <w:rPr>
          <w:i/>
          <w:iCs/>
        </w:rPr>
        <w:t>Mission Preliminary Report (Fieldwork undertaken from 8 August – 2 September 2013). SOPAC technical note (PR193), May 2014</w:t>
      </w:r>
      <w:r w:rsidRPr="001D5327">
        <w:t>. Suva, Fiji: Water and Sanitation Programme and Disaster Reduction Programme. Applied Geoscience and Technology Division (SOPAC).</w:t>
      </w:r>
    </w:p>
    <w:p w14:paraId="670C9ABF" w14:textId="77777777" w:rsidR="0057070D" w:rsidRPr="001D5327" w:rsidRDefault="0057070D" w:rsidP="0057070D">
      <w:pPr>
        <w:pStyle w:val="References"/>
      </w:pPr>
      <w:r w:rsidRPr="001D5327">
        <w:t xml:space="preserve">Roorda M, Carpenter D, Laing A, McGillivray M. 2015. </w:t>
      </w:r>
      <w:hyperlink r:id="rId249" w:history="1">
        <w:r w:rsidRPr="001D5327">
          <w:rPr>
            <w:rStyle w:val="Hyperlink"/>
            <w:i/>
            <w:iCs/>
          </w:rPr>
          <w:t>Evaluation of the Tokelau Country Programme</w:t>
        </w:r>
      </w:hyperlink>
      <w:r w:rsidRPr="001D5327">
        <w:rPr>
          <w:i/>
          <w:iCs/>
        </w:rPr>
        <w:t>.</w:t>
      </w:r>
      <w:r w:rsidRPr="001D5327">
        <w:t xml:space="preserve"> Prepared for the Ministry of Foreign Affairs and Trade by Adam Smith International. Retrieved 31 January 2019.</w:t>
      </w:r>
    </w:p>
    <w:p w14:paraId="6999787C" w14:textId="77777777" w:rsidR="0057070D" w:rsidRPr="001D5327" w:rsidRDefault="0057070D" w:rsidP="0057070D">
      <w:pPr>
        <w:pStyle w:val="References"/>
      </w:pPr>
      <w:r w:rsidRPr="001D5327">
        <w:t xml:space="preserve">Stats NZ. 2007. </w:t>
      </w:r>
      <w:hyperlink r:id="rId250" w:history="1">
        <w:r w:rsidRPr="001D5327">
          <w:rPr>
            <w:rStyle w:val="Hyperlink"/>
            <w:i/>
            <w:iCs/>
          </w:rPr>
          <w:t>Principles and Protocols for Producers of Tier 1 Statistics</w:t>
        </w:r>
      </w:hyperlink>
      <w:r w:rsidRPr="001D5327">
        <w:rPr>
          <w:i/>
          <w:iCs/>
        </w:rPr>
        <w:t>.</w:t>
      </w:r>
      <w:r w:rsidRPr="001D5327">
        <w:t xml:space="preserve"> Retrieved 31 January 2019.</w:t>
      </w:r>
    </w:p>
    <w:p w14:paraId="3FB02ADA" w14:textId="77777777" w:rsidR="0057070D" w:rsidRPr="001D5327" w:rsidRDefault="0057070D" w:rsidP="0057070D">
      <w:pPr>
        <w:pStyle w:val="References"/>
      </w:pPr>
      <w:r w:rsidRPr="001D5327">
        <w:t xml:space="preserve">Tokelau Islands Maps. </w:t>
      </w:r>
      <w:hyperlink r:id="rId251" w:history="1">
        <w:r w:rsidRPr="001D5327">
          <w:rPr>
            <w:rStyle w:val="Hyperlink"/>
            <w:i/>
            <w:iCs/>
          </w:rPr>
          <w:t>South Pacific Literatures and Cultures</w:t>
        </w:r>
      </w:hyperlink>
      <w:r w:rsidRPr="001D5327">
        <w:rPr>
          <w:i/>
          <w:iCs/>
        </w:rPr>
        <w:t>.</w:t>
      </w:r>
      <w:r w:rsidRPr="001D5327">
        <w:t xml:space="preserve"> Retrieved 31 January 2019.</w:t>
      </w:r>
    </w:p>
    <w:p w14:paraId="6468C60F" w14:textId="77777777" w:rsidR="0057070D" w:rsidRPr="001D5327" w:rsidRDefault="0057070D" w:rsidP="0057070D">
      <w:pPr>
        <w:pStyle w:val="References"/>
      </w:pPr>
      <w:r w:rsidRPr="001D5327">
        <w:t xml:space="preserve">Tokelau National Statistics Office. 2020. </w:t>
      </w:r>
      <w:hyperlink r:id="rId252" w:history="1">
        <w:r w:rsidRPr="001D5327">
          <w:rPr>
            <w:rStyle w:val="Hyperlink"/>
            <w:i/>
            <w:iCs/>
          </w:rPr>
          <w:t>Final count: 2019 Tokelau Population Count</w:t>
        </w:r>
      </w:hyperlink>
      <w:r w:rsidRPr="001D5327">
        <w:rPr>
          <w:i/>
          <w:iCs/>
        </w:rPr>
        <w:t>.</w:t>
      </w:r>
      <w:r w:rsidRPr="001D5327">
        <w:t xml:space="preserve"> Retrieved 31 January 2022.</w:t>
      </w:r>
    </w:p>
    <w:p w14:paraId="228317A0" w14:textId="083C1037" w:rsidR="0057070D" w:rsidRPr="001D5327" w:rsidRDefault="0057070D" w:rsidP="0057070D">
      <w:pPr>
        <w:pStyle w:val="References"/>
      </w:pPr>
      <w:r w:rsidRPr="001D5327">
        <w:t xml:space="preserve">UNFCCC. 2018a. FCCC/CP/2018/10/Add.1. </w:t>
      </w:r>
      <w:r w:rsidRPr="001D5327">
        <w:rPr>
          <w:i/>
          <w:iCs/>
        </w:rPr>
        <w:t>Decision 1/CP.24 Preparations for the implementation of the</w:t>
      </w:r>
      <w:r w:rsidR="005F2891" w:rsidRPr="001D5327">
        <w:rPr>
          <w:i/>
          <w:iCs/>
        </w:rPr>
        <w:t> </w:t>
      </w:r>
      <w:r w:rsidRPr="001D5327">
        <w:rPr>
          <w:i/>
          <w:iCs/>
        </w:rPr>
        <w:t>Paris Agreement and the first session of the Conference of the Parties serving as the meeting of the Parties to the Paris Agreement.</w:t>
      </w:r>
    </w:p>
    <w:p w14:paraId="1A2E175D" w14:textId="77777777" w:rsidR="0057070D" w:rsidRPr="001D5327" w:rsidRDefault="0057070D" w:rsidP="0057070D">
      <w:pPr>
        <w:pStyle w:val="References"/>
      </w:pPr>
      <w:r w:rsidRPr="001D5327">
        <w:t xml:space="preserve">UNFCCC. 2018b. FCCC/PA/CMA/2018/3/Add.2. </w:t>
      </w:r>
      <w:r w:rsidRPr="001D5327">
        <w:rPr>
          <w:i/>
          <w:iCs/>
        </w:rPr>
        <w:t>Report of the Conference of the Parties serving as the meeting of the Parties to the Paris Agreement on the third part of its first session, held in Katowice from 2 to 15 December 2018. Addendum 2. Part two: Action taken by the Conference of the Parties serving as the meeting of the Parties to the Paris Agreement.</w:t>
      </w:r>
    </w:p>
    <w:p w14:paraId="75431423" w14:textId="77777777" w:rsidR="0057070D" w:rsidRPr="001D5327" w:rsidRDefault="0057070D" w:rsidP="0057070D">
      <w:pPr>
        <w:pStyle w:val="References"/>
      </w:pPr>
      <w:r w:rsidRPr="001D5327">
        <w:t xml:space="preserve">UNFCCC. 2021. CCC/PA/CMA/2021/10/Add.2. </w:t>
      </w:r>
      <w:r w:rsidRPr="001D5327">
        <w:rPr>
          <w:i/>
          <w:iCs/>
        </w:rPr>
        <w:t>Report of the Conference of the Parties serving as the meeting of the Parties to the Paris Agreement on its third session, held in Glasgow from 31 October to 13 November 2021. Addendum Part two: Action taken by the Conference of the Parties serving as the meeting of the Parties to the Paris Agreement at its third session.</w:t>
      </w:r>
    </w:p>
    <w:p w14:paraId="29687C40" w14:textId="77777777" w:rsidR="0057070D" w:rsidRPr="001D5327" w:rsidRDefault="0057070D" w:rsidP="0057070D">
      <w:pPr>
        <w:pStyle w:val="References"/>
      </w:pPr>
      <w:r w:rsidRPr="001D5327">
        <w:t xml:space="preserve">United Nations. 1945. </w:t>
      </w:r>
      <w:hyperlink r:id="rId253" w:history="1">
        <w:r w:rsidRPr="001D5327">
          <w:rPr>
            <w:rStyle w:val="Hyperlink"/>
            <w:i/>
            <w:iCs/>
          </w:rPr>
          <w:t>Charter of the United Nations</w:t>
        </w:r>
      </w:hyperlink>
      <w:r w:rsidRPr="001D5327">
        <w:rPr>
          <w:i/>
          <w:iCs/>
        </w:rPr>
        <w:t>, 1945</w:t>
      </w:r>
      <w:r w:rsidRPr="001D5327">
        <w:t>. Retrieved 31 January 2019.</w:t>
      </w:r>
      <w:bookmarkEnd w:id="2922"/>
      <w:bookmarkEnd w:id="3036"/>
    </w:p>
    <w:p w14:paraId="332C3101" w14:textId="77777777" w:rsidR="005B7336" w:rsidRPr="001D5327" w:rsidRDefault="005B7336" w:rsidP="00737799">
      <w:pPr>
        <w:sectPr w:rsidR="005B7336" w:rsidRPr="001D5327" w:rsidSect="00622E2B">
          <w:footerReference w:type="even" r:id="rId254"/>
          <w:footerReference w:type="default" r:id="rId255"/>
          <w:pgSz w:w="11907" w:h="16840" w:code="9"/>
          <w:pgMar w:top="1418" w:right="1701" w:bottom="1418" w:left="1701" w:header="567" w:footer="567" w:gutter="0"/>
          <w:cols w:space="720"/>
        </w:sectPr>
      </w:pPr>
    </w:p>
    <w:p w14:paraId="7BD5B887" w14:textId="77777777" w:rsidR="00D92287" w:rsidRPr="001D5327" w:rsidRDefault="00D92287" w:rsidP="00D92287">
      <w:pPr>
        <w:pStyle w:val="Heading1"/>
      </w:pPr>
      <w:bookmarkStart w:id="3038" w:name="_Toc5269399"/>
      <w:bookmarkStart w:id="3039" w:name="_Toc36224439"/>
      <w:bookmarkStart w:id="3040" w:name="_Toc131591273"/>
      <w:bookmarkStart w:id="3041" w:name="_Toc164154238"/>
      <w:bookmarkStart w:id="3042" w:name="_Toc194312063"/>
      <w:r w:rsidRPr="001D5327">
        <w:lastRenderedPageBreak/>
        <w:t>Chapter 9: Indirect carbon dioxide and nitrous oxide emissions</w:t>
      </w:r>
      <w:bookmarkEnd w:id="3038"/>
      <w:bookmarkEnd w:id="3039"/>
      <w:bookmarkEnd w:id="3040"/>
      <w:bookmarkEnd w:id="3041"/>
      <w:bookmarkEnd w:id="3042"/>
    </w:p>
    <w:p w14:paraId="51150096" w14:textId="77777777" w:rsidR="00D92287" w:rsidRPr="001D5327" w:rsidRDefault="00D92287" w:rsidP="00D92287">
      <w:pPr>
        <w:pStyle w:val="BodyText"/>
      </w:pPr>
      <w:r w:rsidRPr="001D5327">
        <w:t>New Zealand elected not to report indirect carbon dioxide emissions in its 2025 inventory submission. Indirect nitrous oxide emissions are reported in the Agriculture sector (chapter 5) and the Land Use, Land-Use Change and Forestry sector (chapter 6).</w:t>
      </w:r>
    </w:p>
    <w:p w14:paraId="15CB096E" w14:textId="77777777" w:rsidR="008447D4" w:rsidRPr="001D5327" w:rsidRDefault="008447D4" w:rsidP="00737799"/>
    <w:p w14:paraId="0924BBA7" w14:textId="77777777" w:rsidR="00D92287" w:rsidRPr="001D5327" w:rsidRDefault="00D92287" w:rsidP="00737799">
      <w:pPr>
        <w:sectPr w:rsidR="00D92287" w:rsidRPr="001D5327" w:rsidSect="00622E2B">
          <w:footerReference w:type="even" r:id="rId256"/>
          <w:pgSz w:w="11907" w:h="16840" w:code="9"/>
          <w:pgMar w:top="1418" w:right="1701" w:bottom="1418" w:left="1701" w:header="567" w:footer="567" w:gutter="0"/>
          <w:cols w:space="720"/>
        </w:sectPr>
      </w:pPr>
    </w:p>
    <w:p w14:paraId="62EA84FC" w14:textId="77777777" w:rsidR="007C5A34" w:rsidRPr="001D5327" w:rsidRDefault="007C5A34" w:rsidP="007C5A34">
      <w:pPr>
        <w:pStyle w:val="Heading1"/>
      </w:pPr>
      <w:bookmarkStart w:id="3043" w:name="_Toc194312064"/>
      <w:bookmarkStart w:id="3044" w:name="X15723e2af0975b848fa432e68188ad746a6b4f3"/>
      <w:bookmarkStart w:id="3045" w:name="_Hlk191896561"/>
      <w:r w:rsidRPr="001D5327">
        <w:lastRenderedPageBreak/>
        <w:t>Chapter 10: Recalculations and improvements</w:t>
      </w:r>
      <w:bookmarkEnd w:id="3043"/>
    </w:p>
    <w:p w14:paraId="59FC9F9F" w14:textId="77777777" w:rsidR="007C5A34" w:rsidRPr="001D5327" w:rsidRDefault="007C5A34" w:rsidP="007C5A34">
      <w:pPr>
        <w:pStyle w:val="BodyText"/>
      </w:pPr>
      <w:r w:rsidRPr="001D5327">
        <w:t>This chapter summarises the recalculations and improvements made to the Inventory following the 2024 submission. Further details on the recalculations and improvements for each sector are provided in chapters 3 to 8.</w:t>
      </w:r>
    </w:p>
    <w:p w14:paraId="4B847C10" w14:textId="77777777" w:rsidR="007C5A34" w:rsidRPr="001D5327" w:rsidRDefault="007C5A34" w:rsidP="007C5A34">
      <w:pPr>
        <w:pStyle w:val="BodyText"/>
      </w:pPr>
      <w:r w:rsidRPr="001D5327">
        <w:t>Recalculations of estimates reported in previous submissions of the Inventory are carried out for several reasons including:</w:t>
      </w:r>
    </w:p>
    <w:p w14:paraId="349861D5" w14:textId="77777777" w:rsidR="007C5A34" w:rsidRPr="001D5327" w:rsidRDefault="007C5A34" w:rsidP="007C5A34">
      <w:pPr>
        <w:pStyle w:val="Bullet"/>
      </w:pPr>
      <w:r w:rsidRPr="001D5327">
        <w:t>improved activity data</w:t>
      </w:r>
    </w:p>
    <w:p w14:paraId="54EDF10F" w14:textId="77777777" w:rsidR="007C5A34" w:rsidRPr="001D5327" w:rsidRDefault="007C5A34" w:rsidP="007C5A34">
      <w:pPr>
        <w:pStyle w:val="Bullet"/>
      </w:pPr>
      <w:r w:rsidRPr="001D5327">
        <w:t>updated parameters for estimating emissions including methodologies</w:t>
      </w:r>
    </w:p>
    <w:p w14:paraId="4745ADA2" w14:textId="77777777" w:rsidR="007C5A34" w:rsidRPr="001D5327" w:rsidRDefault="007C5A34" w:rsidP="007C5A34">
      <w:pPr>
        <w:pStyle w:val="Bullet"/>
      </w:pPr>
      <w:r w:rsidRPr="001D5327">
        <w:t>incorporating new evidence that enables the reporting of previously unreported emissions because of insufficient data</w:t>
      </w:r>
    </w:p>
    <w:p w14:paraId="5722E9E1" w14:textId="77777777" w:rsidR="007C5A34" w:rsidRPr="001D5327" w:rsidRDefault="007C5A34" w:rsidP="007C5A34">
      <w:pPr>
        <w:pStyle w:val="Bullet"/>
      </w:pPr>
      <w:r w:rsidRPr="001D5327">
        <w:t>correcting errors.</w:t>
      </w:r>
    </w:p>
    <w:p w14:paraId="71734842" w14:textId="77777777" w:rsidR="007C5A34" w:rsidRPr="001D5327" w:rsidRDefault="007C5A34" w:rsidP="007C5A34">
      <w:pPr>
        <w:pStyle w:val="BodyText"/>
      </w:pPr>
      <w:r w:rsidRPr="001D5327">
        <w:t>It is good practice to recalculate the whole time series from 1990 to the latest reporting year, to ensure consistency across the time series. This means some estimates of emissions and/or removals reported in this submission are different from estimates reported in the previous submission. There may be exceptions to recalculating the entire time series and, where this has occurred, explanations are provided.</w:t>
      </w:r>
    </w:p>
    <w:p w14:paraId="6EA7FEEA" w14:textId="77777777" w:rsidR="007C5A34" w:rsidRPr="001D5327" w:rsidRDefault="007C5A34" w:rsidP="007C5A34">
      <w:pPr>
        <w:pStyle w:val="Heading2"/>
      </w:pPr>
      <w:bookmarkStart w:id="3046" w:name="_Toc194312065"/>
      <w:bookmarkStart w:id="3047" w:name="X3b3719611560fd54ed416e52358d14056f2f778"/>
      <w:r w:rsidRPr="001D5327">
        <w:t xml:space="preserve">10.1 </w:t>
      </w:r>
      <w:r w:rsidRPr="001D5327">
        <w:tab/>
        <w:t>Explanations and justifications for recalculations, including in response to the review process</w:t>
      </w:r>
      <w:bookmarkEnd w:id="3046"/>
    </w:p>
    <w:p w14:paraId="3DEB496C" w14:textId="77777777" w:rsidR="007C5A34" w:rsidRPr="001D5327" w:rsidRDefault="007C5A34" w:rsidP="007C5A34">
      <w:pPr>
        <w:pStyle w:val="BodyText"/>
      </w:pPr>
      <w:r w:rsidRPr="001D5327">
        <w:t>Key reasons for recalculations in the 2025 submission of the Inventory are given in the sectoral chapters and summarised in table 10.1.1.</w:t>
      </w:r>
    </w:p>
    <w:p w14:paraId="066C9C2A" w14:textId="77777777" w:rsidR="007C5A34" w:rsidRPr="001D5327" w:rsidRDefault="007C5A34" w:rsidP="007C5A34">
      <w:pPr>
        <w:pStyle w:val="Table"/>
      </w:pPr>
      <w:bookmarkStart w:id="3048" w:name="_Toc161311306"/>
      <w:bookmarkStart w:id="3049" w:name="_Toc164153974"/>
      <w:bookmarkStart w:id="3050" w:name="_Toc194241847"/>
      <w:bookmarkStart w:id="3051" w:name="X83fcbd257aba30cf1e92d5033e30b406696fcaf"/>
      <w:bookmarkEnd w:id="3047"/>
      <w:r w:rsidRPr="001D5327">
        <w:t xml:space="preserve">Table 10.1.1 </w:t>
      </w:r>
      <w:r w:rsidRPr="001D5327">
        <w:tab/>
        <w:t>Explanations and justifications for recalculations</w:t>
      </w:r>
      <w:bookmarkEnd w:id="3048"/>
      <w:bookmarkEnd w:id="3049"/>
      <w:bookmarkEnd w:id="3050"/>
    </w:p>
    <w:tbl>
      <w:tblPr>
        <w:tblW w:w="8522" w:type="dxa"/>
        <w:tblBorders>
          <w:top w:val="single" w:sz="4" w:space="0" w:color="1B556B"/>
          <w:bottom w:val="single" w:sz="4" w:space="0" w:color="1B556B"/>
          <w:insideH w:val="single" w:sz="4" w:space="0" w:color="1B556B"/>
        </w:tblBorders>
        <w:tblLayout w:type="fixed"/>
        <w:tblCellMar>
          <w:left w:w="85" w:type="dxa"/>
          <w:right w:w="57" w:type="dxa"/>
        </w:tblCellMar>
        <w:tblLook w:val="0420" w:firstRow="1" w:lastRow="0" w:firstColumn="0" w:lastColumn="0" w:noHBand="0" w:noVBand="1"/>
      </w:tblPr>
      <w:tblGrid>
        <w:gridCol w:w="908"/>
        <w:gridCol w:w="4603"/>
        <w:gridCol w:w="1079"/>
        <w:gridCol w:w="1932"/>
      </w:tblGrid>
      <w:tr w:rsidR="007C5A34" w:rsidRPr="001D5327" w14:paraId="17349302" w14:textId="77777777" w:rsidTr="00C526AD">
        <w:trPr>
          <w:tblHeader/>
        </w:trPr>
        <w:tc>
          <w:tcPr>
            <w:tcW w:w="906" w:type="dxa"/>
            <w:shd w:val="clear" w:color="auto" w:fill="1B556B"/>
            <w:tcMar>
              <w:left w:w="85" w:type="dxa"/>
              <w:right w:w="57" w:type="dxa"/>
            </w:tcMar>
            <w:vAlign w:val="bottom"/>
          </w:tcPr>
          <w:p w14:paraId="0FAFA844" w14:textId="77777777" w:rsidR="007C5A34" w:rsidRPr="001D5327" w:rsidRDefault="007C5A34" w:rsidP="00341FEF">
            <w:pPr>
              <w:pStyle w:val="TableTextBold"/>
              <w:spacing w:before="40" w:after="40"/>
              <w:rPr>
                <w:rFonts w:eastAsia="Calibri" w:cs="Calibri"/>
                <w:noProof w:val="0"/>
                <w:color w:val="FFFFFF" w:themeColor="background1"/>
                <w:szCs w:val="16"/>
              </w:rPr>
            </w:pPr>
            <w:r w:rsidRPr="001D5327">
              <w:rPr>
                <w:rFonts w:eastAsia="Calibri" w:cs="Calibri"/>
                <w:noProof w:val="0"/>
                <w:color w:val="FFFFFF" w:themeColor="background1"/>
                <w:szCs w:val="16"/>
              </w:rPr>
              <w:t>Sector</w:t>
            </w:r>
          </w:p>
        </w:tc>
        <w:tc>
          <w:tcPr>
            <w:tcW w:w="4593" w:type="dxa"/>
            <w:shd w:val="clear" w:color="auto" w:fill="1B556B"/>
            <w:tcMar>
              <w:top w:w="0" w:type="dxa"/>
              <w:left w:w="85" w:type="dxa"/>
              <w:bottom w:w="0" w:type="dxa"/>
              <w:right w:w="57" w:type="dxa"/>
            </w:tcMar>
            <w:vAlign w:val="bottom"/>
          </w:tcPr>
          <w:p w14:paraId="60D6E43C" w14:textId="77777777" w:rsidR="007C5A34" w:rsidRPr="001D5327" w:rsidRDefault="007C5A34" w:rsidP="00341FEF">
            <w:pPr>
              <w:pStyle w:val="TableTextBold"/>
              <w:spacing w:before="40" w:after="40"/>
              <w:rPr>
                <w:rFonts w:cs="Calibri"/>
                <w:noProof w:val="0"/>
                <w:color w:val="FFFFFF" w:themeColor="background1"/>
                <w:szCs w:val="16"/>
              </w:rPr>
            </w:pPr>
            <w:r w:rsidRPr="001D5327">
              <w:rPr>
                <w:rFonts w:eastAsia="Calibri" w:cs="Calibri"/>
                <w:noProof w:val="0"/>
                <w:color w:val="FFFFFF" w:themeColor="background1"/>
                <w:szCs w:val="16"/>
              </w:rPr>
              <w:t>Explanation of recalculation</w:t>
            </w:r>
          </w:p>
        </w:tc>
        <w:tc>
          <w:tcPr>
            <w:tcW w:w="1077" w:type="dxa"/>
            <w:shd w:val="clear" w:color="auto" w:fill="1B556B"/>
            <w:tcMar>
              <w:top w:w="0" w:type="dxa"/>
              <w:left w:w="85" w:type="dxa"/>
              <w:bottom w:w="0" w:type="dxa"/>
              <w:right w:w="57" w:type="dxa"/>
            </w:tcMar>
            <w:vAlign w:val="bottom"/>
          </w:tcPr>
          <w:p w14:paraId="2EFEC018" w14:textId="77777777" w:rsidR="007C5A34" w:rsidRPr="001D5327" w:rsidRDefault="007C5A34" w:rsidP="00341FEF">
            <w:pPr>
              <w:pStyle w:val="TableTextBold"/>
              <w:spacing w:before="40" w:after="40"/>
              <w:rPr>
                <w:rFonts w:cs="Calibri"/>
                <w:noProof w:val="0"/>
                <w:color w:val="FFFFFF" w:themeColor="background1"/>
                <w:szCs w:val="16"/>
              </w:rPr>
            </w:pPr>
            <w:r w:rsidRPr="001D5327">
              <w:rPr>
                <w:rFonts w:eastAsia="Calibri" w:cs="Calibri"/>
                <w:noProof w:val="0"/>
                <w:color w:val="FFFFFF" w:themeColor="background1"/>
                <w:szCs w:val="16"/>
              </w:rPr>
              <w:t>Underpinning IPCC principle</w:t>
            </w:r>
          </w:p>
        </w:tc>
        <w:tc>
          <w:tcPr>
            <w:tcW w:w="1928" w:type="dxa"/>
            <w:shd w:val="clear" w:color="auto" w:fill="1B556B"/>
            <w:tcMar>
              <w:top w:w="0" w:type="dxa"/>
              <w:left w:w="85" w:type="dxa"/>
              <w:bottom w:w="0" w:type="dxa"/>
              <w:right w:w="57" w:type="dxa"/>
            </w:tcMar>
            <w:vAlign w:val="bottom"/>
          </w:tcPr>
          <w:p w14:paraId="7E1C1A94" w14:textId="77777777" w:rsidR="007C5A34" w:rsidRPr="001D5327" w:rsidRDefault="007C5A34" w:rsidP="00341FEF">
            <w:pPr>
              <w:pStyle w:val="TableTextBold"/>
              <w:spacing w:before="40" w:after="40"/>
              <w:rPr>
                <w:rFonts w:cs="Calibri"/>
                <w:noProof w:val="0"/>
                <w:color w:val="FFFFFF" w:themeColor="background1"/>
                <w:szCs w:val="16"/>
              </w:rPr>
            </w:pPr>
            <w:r w:rsidRPr="001D5327">
              <w:rPr>
                <w:rFonts w:eastAsia="Calibri" w:cs="Calibri"/>
                <w:noProof w:val="0"/>
                <w:color w:val="FFFFFF" w:themeColor="background1"/>
                <w:szCs w:val="16"/>
              </w:rPr>
              <w:t>Additional justification</w:t>
            </w:r>
          </w:p>
        </w:tc>
      </w:tr>
      <w:tr w:rsidR="007C5A34" w:rsidRPr="001D5327" w14:paraId="5144A586" w14:textId="77777777" w:rsidTr="00C526AD">
        <w:tc>
          <w:tcPr>
            <w:tcW w:w="906" w:type="dxa"/>
            <w:shd w:val="clear" w:color="auto" w:fill="FFFFFF" w:themeFill="background1"/>
            <w:tcMar>
              <w:left w:w="85" w:type="dxa"/>
              <w:right w:w="57" w:type="dxa"/>
            </w:tcMar>
          </w:tcPr>
          <w:p w14:paraId="56F8754A" w14:textId="77777777" w:rsidR="007C5A34" w:rsidRPr="001D5327" w:rsidRDefault="007C5A34" w:rsidP="00341FEF">
            <w:pPr>
              <w:pStyle w:val="TableText"/>
              <w:rPr>
                <w:rFonts w:cs="Calibri"/>
              </w:rPr>
            </w:pPr>
            <w:r w:rsidRPr="001D5327">
              <w:rPr>
                <w:rFonts w:cs="Calibri"/>
              </w:rPr>
              <w:t>Energy</w:t>
            </w:r>
          </w:p>
        </w:tc>
        <w:tc>
          <w:tcPr>
            <w:tcW w:w="4593" w:type="dxa"/>
            <w:shd w:val="clear" w:color="auto" w:fill="FFFFFF" w:themeFill="background1"/>
            <w:tcMar>
              <w:top w:w="0" w:type="dxa"/>
              <w:left w:w="85" w:type="dxa"/>
              <w:bottom w:w="0" w:type="dxa"/>
              <w:right w:w="57" w:type="dxa"/>
            </w:tcMar>
          </w:tcPr>
          <w:p w14:paraId="14B86F41" w14:textId="77777777" w:rsidR="007C5A34" w:rsidRPr="001D5327" w:rsidRDefault="007C5A34" w:rsidP="00341FEF">
            <w:pPr>
              <w:pStyle w:val="TableText"/>
              <w:rPr>
                <w:rFonts w:cs="Calibri"/>
              </w:rPr>
            </w:pPr>
            <w:r w:rsidRPr="001D5327">
              <w:rPr>
                <w:rFonts w:cs="Calibri"/>
              </w:rPr>
              <w:t xml:space="preserve">Historical energy demand data in the national energy balance tables are revised from year to year. This may result in minor revisions to activity data and recalculations to the corresponding emissions for some years in some categories. </w:t>
            </w:r>
          </w:p>
        </w:tc>
        <w:tc>
          <w:tcPr>
            <w:tcW w:w="1077" w:type="dxa"/>
            <w:shd w:val="clear" w:color="auto" w:fill="FFFFFF" w:themeFill="background1"/>
            <w:tcMar>
              <w:top w:w="0" w:type="dxa"/>
              <w:left w:w="85" w:type="dxa"/>
              <w:bottom w:w="0" w:type="dxa"/>
              <w:right w:w="57" w:type="dxa"/>
            </w:tcMar>
          </w:tcPr>
          <w:p w14:paraId="0290BC27" w14:textId="77777777" w:rsidR="007C5A34" w:rsidRPr="001D5327" w:rsidRDefault="007C5A34" w:rsidP="00341FEF">
            <w:pPr>
              <w:pStyle w:val="TableText"/>
              <w:rPr>
                <w:rFonts w:cs="Calibri"/>
              </w:rPr>
            </w:pPr>
            <w:r w:rsidRPr="001D5327">
              <w:rPr>
                <w:rFonts w:cs="Calibri"/>
              </w:rPr>
              <w:t>Accuracy</w:t>
            </w:r>
          </w:p>
        </w:tc>
        <w:tc>
          <w:tcPr>
            <w:tcW w:w="1928" w:type="dxa"/>
            <w:shd w:val="clear" w:color="auto" w:fill="FFFFFF" w:themeFill="background1"/>
            <w:tcMar>
              <w:top w:w="0" w:type="dxa"/>
              <w:left w:w="85" w:type="dxa"/>
              <w:bottom w:w="0" w:type="dxa"/>
              <w:right w:w="57" w:type="dxa"/>
            </w:tcMar>
          </w:tcPr>
          <w:p w14:paraId="058EC5BD" w14:textId="77777777" w:rsidR="007C5A34" w:rsidRPr="001D5327" w:rsidRDefault="007C5A34" w:rsidP="00341FEF">
            <w:pPr>
              <w:pStyle w:val="TableText"/>
              <w:rPr>
                <w:rFonts w:cs="Calibri"/>
              </w:rPr>
            </w:pPr>
          </w:p>
        </w:tc>
      </w:tr>
      <w:tr w:rsidR="007C5A34" w:rsidRPr="001D5327" w14:paraId="032A2F9A" w14:textId="77777777" w:rsidTr="00C526AD">
        <w:tc>
          <w:tcPr>
            <w:tcW w:w="906" w:type="dxa"/>
            <w:shd w:val="clear" w:color="auto" w:fill="FFFFFF" w:themeFill="background1"/>
            <w:tcMar>
              <w:left w:w="85" w:type="dxa"/>
              <w:right w:w="57" w:type="dxa"/>
            </w:tcMar>
          </w:tcPr>
          <w:p w14:paraId="518EE98D" w14:textId="77777777" w:rsidR="007C5A34" w:rsidRPr="001D5327" w:rsidRDefault="007C5A34" w:rsidP="00341FEF">
            <w:pPr>
              <w:pStyle w:val="TableText"/>
              <w:spacing w:before="40" w:after="40"/>
              <w:rPr>
                <w:rFonts w:cs="Calibri"/>
                <w:szCs w:val="16"/>
              </w:rPr>
            </w:pPr>
          </w:p>
        </w:tc>
        <w:tc>
          <w:tcPr>
            <w:tcW w:w="4593" w:type="dxa"/>
            <w:shd w:val="clear" w:color="auto" w:fill="FFFFFF" w:themeFill="background1"/>
            <w:tcMar>
              <w:top w:w="0" w:type="dxa"/>
              <w:left w:w="85" w:type="dxa"/>
              <w:bottom w:w="0" w:type="dxa"/>
              <w:right w:w="57" w:type="dxa"/>
            </w:tcMar>
          </w:tcPr>
          <w:p w14:paraId="72A295A5" w14:textId="77777777" w:rsidR="007C5A34" w:rsidRPr="001D5327" w:rsidRDefault="007C5A34" w:rsidP="00341FEF">
            <w:pPr>
              <w:pStyle w:val="TableText"/>
              <w:spacing w:before="40" w:after="40"/>
              <w:rPr>
                <w:rFonts w:cs="Calibri"/>
                <w:szCs w:val="16"/>
              </w:rPr>
            </w:pPr>
            <w:r w:rsidRPr="001D5327">
              <w:rPr>
                <w:rFonts w:cs="Calibri"/>
                <w:szCs w:val="16"/>
              </w:rPr>
              <w:t>Updated data sourced from field operators have been used to improve the accuracy of emissions estimates for geothermal activities.</w:t>
            </w:r>
          </w:p>
        </w:tc>
        <w:tc>
          <w:tcPr>
            <w:tcW w:w="1077" w:type="dxa"/>
            <w:shd w:val="clear" w:color="auto" w:fill="FFFFFF" w:themeFill="background1"/>
            <w:tcMar>
              <w:top w:w="0" w:type="dxa"/>
              <w:left w:w="85" w:type="dxa"/>
              <w:bottom w:w="0" w:type="dxa"/>
              <w:right w:w="57" w:type="dxa"/>
            </w:tcMar>
          </w:tcPr>
          <w:p w14:paraId="6253C975" w14:textId="77777777" w:rsidR="007C5A34" w:rsidRPr="001D5327" w:rsidRDefault="007C5A34" w:rsidP="00341FEF">
            <w:pPr>
              <w:pStyle w:val="TableText"/>
              <w:spacing w:before="40" w:after="40"/>
              <w:rPr>
                <w:rFonts w:cs="Calibri"/>
                <w:szCs w:val="16"/>
              </w:rPr>
            </w:pPr>
            <w:r w:rsidRPr="001D5327">
              <w:rPr>
                <w:rFonts w:cs="Calibri"/>
                <w:szCs w:val="16"/>
              </w:rPr>
              <w:t>Accuracy</w:t>
            </w:r>
          </w:p>
        </w:tc>
        <w:tc>
          <w:tcPr>
            <w:tcW w:w="1928" w:type="dxa"/>
            <w:shd w:val="clear" w:color="auto" w:fill="FFFFFF" w:themeFill="background1"/>
            <w:tcMar>
              <w:top w:w="0" w:type="dxa"/>
              <w:left w:w="85" w:type="dxa"/>
              <w:bottom w:w="0" w:type="dxa"/>
              <w:right w:w="57" w:type="dxa"/>
            </w:tcMar>
          </w:tcPr>
          <w:p w14:paraId="43648AB6" w14:textId="77777777" w:rsidR="007C5A34" w:rsidRPr="001D5327" w:rsidRDefault="007C5A34" w:rsidP="00341FEF">
            <w:pPr>
              <w:pStyle w:val="TableText"/>
              <w:spacing w:before="40" w:after="40"/>
              <w:rPr>
                <w:rFonts w:cs="Calibri"/>
                <w:szCs w:val="16"/>
              </w:rPr>
            </w:pPr>
          </w:p>
        </w:tc>
      </w:tr>
      <w:tr w:rsidR="007C5A34" w:rsidRPr="001D5327" w14:paraId="443FC3BB" w14:textId="77777777" w:rsidTr="00C526AD">
        <w:tc>
          <w:tcPr>
            <w:tcW w:w="906" w:type="dxa"/>
            <w:shd w:val="clear" w:color="auto" w:fill="FFFFFF" w:themeFill="background1"/>
            <w:tcMar>
              <w:left w:w="85" w:type="dxa"/>
              <w:right w:w="57" w:type="dxa"/>
            </w:tcMar>
          </w:tcPr>
          <w:p w14:paraId="0470E55D" w14:textId="77777777" w:rsidR="007C5A34" w:rsidRPr="001D5327" w:rsidRDefault="007C5A34" w:rsidP="00341FEF">
            <w:pPr>
              <w:pStyle w:val="TableText"/>
              <w:spacing w:before="40" w:after="40"/>
              <w:rPr>
                <w:rFonts w:cs="Calibri"/>
              </w:rPr>
            </w:pPr>
            <w:r w:rsidRPr="001D5327">
              <w:rPr>
                <w:rFonts w:cs="Calibri"/>
              </w:rPr>
              <w:t>IPPU</w:t>
            </w:r>
          </w:p>
        </w:tc>
        <w:tc>
          <w:tcPr>
            <w:tcW w:w="4593" w:type="dxa"/>
            <w:shd w:val="clear" w:color="auto" w:fill="FFFFFF" w:themeFill="background1"/>
            <w:tcMar>
              <w:top w:w="0" w:type="dxa"/>
              <w:left w:w="85" w:type="dxa"/>
              <w:bottom w:w="0" w:type="dxa"/>
              <w:right w:w="57" w:type="dxa"/>
            </w:tcMar>
          </w:tcPr>
          <w:p w14:paraId="7A1BE006" w14:textId="77777777" w:rsidR="007C5A34" w:rsidRPr="001D5327" w:rsidRDefault="007C5A34" w:rsidP="00341FEF">
            <w:pPr>
              <w:pStyle w:val="TableText"/>
              <w:spacing w:before="40" w:after="40"/>
              <w:rPr>
                <w:rFonts w:cs="Calibri"/>
                <w:szCs w:val="16"/>
              </w:rPr>
            </w:pPr>
            <w:r w:rsidRPr="001D5327">
              <w:rPr>
                <w:rFonts w:cs="Calibri"/>
                <w:szCs w:val="16"/>
              </w:rPr>
              <w:t>Updated lubricant activity data.</w:t>
            </w:r>
          </w:p>
        </w:tc>
        <w:tc>
          <w:tcPr>
            <w:tcW w:w="1077" w:type="dxa"/>
            <w:shd w:val="clear" w:color="auto" w:fill="FFFFFF" w:themeFill="background1"/>
            <w:tcMar>
              <w:top w:w="0" w:type="dxa"/>
              <w:left w:w="85" w:type="dxa"/>
              <w:bottom w:w="0" w:type="dxa"/>
              <w:right w:w="57" w:type="dxa"/>
            </w:tcMar>
          </w:tcPr>
          <w:p w14:paraId="1A6E42B4" w14:textId="77777777" w:rsidR="007C5A34" w:rsidRPr="001D5327" w:rsidRDefault="007C5A34" w:rsidP="00341FEF">
            <w:pPr>
              <w:pStyle w:val="TableText"/>
              <w:spacing w:before="40" w:after="40"/>
              <w:rPr>
                <w:rFonts w:cs="Calibri"/>
                <w:szCs w:val="16"/>
              </w:rPr>
            </w:pPr>
            <w:r w:rsidRPr="001D5327">
              <w:rPr>
                <w:rFonts w:cs="Calibri"/>
                <w:szCs w:val="16"/>
              </w:rPr>
              <w:t>Accuracy</w:t>
            </w:r>
          </w:p>
        </w:tc>
        <w:tc>
          <w:tcPr>
            <w:tcW w:w="1928" w:type="dxa"/>
            <w:shd w:val="clear" w:color="auto" w:fill="FFFFFF" w:themeFill="background1"/>
            <w:tcMar>
              <w:top w:w="0" w:type="dxa"/>
              <w:left w:w="85" w:type="dxa"/>
              <w:bottom w:w="0" w:type="dxa"/>
              <w:right w:w="57" w:type="dxa"/>
            </w:tcMar>
          </w:tcPr>
          <w:p w14:paraId="1301B9C0" w14:textId="77777777" w:rsidR="007C5A34" w:rsidRPr="001D5327" w:rsidRDefault="007C5A34" w:rsidP="00341FEF">
            <w:pPr>
              <w:pStyle w:val="TableText"/>
              <w:spacing w:before="40" w:after="40"/>
              <w:rPr>
                <w:rFonts w:eastAsia="Calibri" w:cs="Calibri"/>
                <w:color w:val="000000"/>
                <w:szCs w:val="16"/>
              </w:rPr>
            </w:pPr>
            <w:r w:rsidRPr="001D5327">
              <w:rPr>
                <w:rFonts w:eastAsia="Calibri" w:cs="Calibri"/>
                <w:color w:val="000000"/>
                <w:szCs w:val="16"/>
              </w:rPr>
              <w:t>Improved data availability</w:t>
            </w:r>
          </w:p>
        </w:tc>
      </w:tr>
      <w:tr w:rsidR="007C5A34" w:rsidRPr="001D5327" w14:paraId="2053DB00" w14:textId="77777777" w:rsidTr="00C526AD">
        <w:tc>
          <w:tcPr>
            <w:tcW w:w="906" w:type="dxa"/>
            <w:shd w:val="clear" w:color="auto" w:fill="FFFFFF" w:themeFill="background1"/>
            <w:tcMar>
              <w:left w:w="85" w:type="dxa"/>
              <w:right w:w="57" w:type="dxa"/>
            </w:tcMar>
          </w:tcPr>
          <w:p w14:paraId="5D44B3A0" w14:textId="77777777" w:rsidR="007C5A34" w:rsidRPr="001D5327" w:rsidRDefault="007C5A34" w:rsidP="00341FEF">
            <w:pPr>
              <w:pStyle w:val="TableText"/>
              <w:spacing w:before="40" w:after="40"/>
              <w:rPr>
                <w:rFonts w:cs="Calibri"/>
                <w:szCs w:val="16"/>
              </w:rPr>
            </w:pPr>
          </w:p>
        </w:tc>
        <w:tc>
          <w:tcPr>
            <w:tcW w:w="4593" w:type="dxa"/>
            <w:shd w:val="clear" w:color="auto" w:fill="FFFFFF" w:themeFill="background1"/>
            <w:tcMar>
              <w:top w:w="0" w:type="dxa"/>
              <w:left w:w="85" w:type="dxa"/>
              <w:bottom w:w="0" w:type="dxa"/>
              <w:right w:w="57" w:type="dxa"/>
            </w:tcMar>
          </w:tcPr>
          <w:p w14:paraId="2FABE109" w14:textId="77777777" w:rsidR="007C5A34" w:rsidRPr="001D5327" w:rsidRDefault="007C5A34" w:rsidP="00341FEF">
            <w:pPr>
              <w:pStyle w:val="TableText"/>
              <w:spacing w:before="40" w:after="40"/>
              <w:rPr>
                <w:rFonts w:cs="Calibri"/>
                <w:szCs w:val="16"/>
              </w:rPr>
            </w:pPr>
            <w:r w:rsidRPr="001D5327">
              <w:rPr>
                <w:rFonts w:cs="Calibri"/>
                <w:szCs w:val="16"/>
              </w:rPr>
              <w:t>Correction of minor calculation errors for hydrofluorocarbon foam blowing manufacturing chemicals re-exported.</w:t>
            </w:r>
          </w:p>
        </w:tc>
        <w:tc>
          <w:tcPr>
            <w:tcW w:w="1077" w:type="dxa"/>
            <w:shd w:val="clear" w:color="auto" w:fill="FFFFFF" w:themeFill="background1"/>
            <w:tcMar>
              <w:top w:w="0" w:type="dxa"/>
              <w:left w:w="85" w:type="dxa"/>
              <w:bottom w:w="0" w:type="dxa"/>
              <w:right w:w="57" w:type="dxa"/>
            </w:tcMar>
          </w:tcPr>
          <w:p w14:paraId="6FE4DCED" w14:textId="77777777" w:rsidR="007C5A34" w:rsidRPr="001D5327" w:rsidRDefault="007C5A34" w:rsidP="00341FEF">
            <w:pPr>
              <w:pStyle w:val="TableText"/>
              <w:spacing w:before="40" w:after="40"/>
              <w:rPr>
                <w:rFonts w:cs="Calibri"/>
                <w:szCs w:val="16"/>
              </w:rPr>
            </w:pPr>
            <w:r w:rsidRPr="001D5327">
              <w:rPr>
                <w:rFonts w:cs="Calibri"/>
                <w:szCs w:val="16"/>
              </w:rPr>
              <w:t>Accuracy</w:t>
            </w:r>
          </w:p>
        </w:tc>
        <w:tc>
          <w:tcPr>
            <w:tcW w:w="1928" w:type="dxa"/>
            <w:shd w:val="clear" w:color="auto" w:fill="FFFFFF" w:themeFill="background1"/>
            <w:tcMar>
              <w:top w:w="0" w:type="dxa"/>
              <w:left w:w="85" w:type="dxa"/>
              <w:bottom w:w="0" w:type="dxa"/>
              <w:right w:w="57" w:type="dxa"/>
            </w:tcMar>
          </w:tcPr>
          <w:p w14:paraId="39FC54F4" w14:textId="77777777" w:rsidR="007C5A34" w:rsidRPr="001D5327" w:rsidRDefault="007C5A34" w:rsidP="00341FEF">
            <w:pPr>
              <w:pStyle w:val="TableText"/>
              <w:spacing w:before="40" w:after="40"/>
              <w:rPr>
                <w:rFonts w:eastAsia="Calibri" w:cs="Calibri"/>
                <w:color w:val="000000"/>
                <w:szCs w:val="16"/>
              </w:rPr>
            </w:pPr>
            <w:r w:rsidRPr="001D5327">
              <w:rPr>
                <w:rFonts w:eastAsia="Calibri" w:cs="Calibri"/>
                <w:color w:val="000000"/>
                <w:szCs w:val="16"/>
              </w:rPr>
              <w:t>Correction of errors</w:t>
            </w:r>
          </w:p>
        </w:tc>
      </w:tr>
      <w:tr w:rsidR="007C5A34" w:rsidRPr="001D5327" w14:paraId="38F01D34" w14:textId="77777777" w:rsidTr="00C526AD">
        <w:tc>
          <w:tcPr>
            <w:tcW w:w="906" w:type="dxa"/>
            <w:shd w:val="clear" w:color="auto" w:fill="FFFFFF" w:themeFill="background1"/>
            <w:tcMar>
              <w:left w:w="85" w:type="dxa"/>
              <w:right w:w="57" w:type="dxa"/>
            </w:tcMar>
          </w:tcPr>
          <w:p w14:paraId="4C0557FB" w14:textId="77777777" w:rsidR="007C5A34" w:rsidRPr="001D5327" w:rsidRDefault="007C5A34" w:rsidP="00341FEF">
            <w:pPr>
              <w:pStyle w:val="TableText"/>
              <w:spacing w:before="40" w:after="40"/>
              <w:rPr>
                <w:rFonts w:cs="Calibri"/>
                <w:szCs w:val="16"/>
              </w:rPr>
            </w:pPr>
          </w:p>
        </w:tc>
        <w:tc>
          <w:tcPr>
            <w:tcW w:w="4593" w:type="dxa"/>
            <w:shd w:val="clear" w:color="auto" w:fill="FFFFFF" w:themeFill="background1"/>
            <w:tcMar>
              <w:top w:w="0" w:type="dxa"/>
              <w:left w:w="85" w:type="dxa"/>
              <w:bottom w:w="0" w:type="dxa"/>
              <w:right w:w="57" w:type="dxa"/>
            </w:tcMar>
          </w:tcPr>
          <w:p w14:paraId="040D0EE1" w14:textId="77777777" w:rsidR="007C5A34" w:rsidRPr="001D5327" w:rsidRDefault="007C5A34" w:rsidP="00341FEF">
            <w:pPr>
              <w:pStyle w:val="TableText"/>
              <w:spacing w:before="40" w:after="40"/>
              <w:rPr>
                <w:rFonts w:cs="Calibri"/>
                <w:szCs w:val="16"/>
              </w:rPr>
            </w:pPr>
            <w:r w:rsidRPr="001D5327">
              <w:rPr>
                <w:rFonts w:cs="Calibri"/>
                <w:szCs w:val="16"/>
              </w:rPr>
              <w:t>Error correction in commercial refrigerant-related emissions.</w:t>
            </w:r>
          </w:p>
        </w:tc>
        <w:tc>
          <w:tcPr>
            <w:tcW w:w="1077" w:type="dxa"/>
            <w:shd w:val="clear" w:color="auto" w:fill="FFFFFF" w:themeFill="background1"/>
            <w:tcMar>
              <w:top w:w="0" w:type="dxa"/>
              <w:left w:w="85" w:type="dxa"/>
              <w:bottom w:w="0" w:type="dxa"/>
              <w:right w:w="57" w:type="dxa"/>
            </w:tcMar>
          </w:tcPr>
          <w:p w14:paraId="0400874A" w14:textId="77777777" w:rsidR="007C5A34" w:rsidRPr="001D5327" w:rsidRDefault="007C5A34" w:rsidP="00341FEF">
            <w:pPr>
              <w:pStyle w:val="TableText"/>
              <w:spacing w:before="40" w:after="40"/>
              <w:rPr>
                <w:rFonts w:cs="Calibri"/>
                <w:szCs w:val="16"/>
              </w:rPr>
            </w:pPr>
            <w:r w:rsidRPr="001D5327">
              <w:rPr>
                <w:rFonts w:cs="Calibri"/>
                <w:szCs w:val="16"/>
              </w:rPr>
              <w:t>Accuracy</w:t>
            </w:r>
          </w:p>
        </w:tc>
        <w:tc>
          <w:tcPr>
            <w:tcW w:w="1928" w:type="dxa"/>
            <w:shd w:val="clear" w:color="auto" w:fill="FFFFFF" w:themeFill="background1"/>
            <w:tcMar>
              <w:top w:w="0" w:type="dxa"/>
              <w:left w:w="85" w:type="dxa"/>
              <w:bottom w:w="0" w:type="dxa"/>
              <w:right w:w="57" w:type="dxa"/>
            </w:tcMar>
          </w:tcPr>
          <w:p w14:paraId="2352C22E" w14:textId="77777777" w:rsidR="007C5A34" w:rsidRPr="001D5327" w:rsidRDefault="007C5A34" w:rsidP="00341FEF">
            <w:pPr>
              <w:pStyle w:val="TableText"/>
              <w:spacing w:before="40" w:after="40"/>
              <w:rPr>
                <w:rFonts w:eastAsia="Calibri" w:cs="Calibri"/>
                <w:color w:val="000000"/>
                <w:szCs w:val="16"/>
              </w:rPr>
            </w:pPr>
            <w:r w:rsidRPr="001D5327">
              <w:rPr>
                <w:rFonts w:eastAsia="Calibri" w:cs="Calibri"/>
                <w:color w:val="000000"/>
                <w:szCs w:val="16"/>
              </w:rPr>
              <w:t>Correction of errors</w:t>
            </w:r>
          </w:p>
        </w:tc>
      </w:tr>
      <w:tr w:rsidR="007C5A34" w:rsidRPr="001D5327" w14:paraId="005076B1" w14:textId="77777777" w:rsidTr="00C526AD">
        <w:tc>
          <w:tcPr>
            <w:tcW w:w="906" w:type="dxa"/>
            <w:shd w:val="clear" w:color="auto" w:fill="FFFFFF" w:themeFill="background1"/>
            <w:tcMar>
              <w:left w:w="85" w:type="dxa"/>
              <w:right w:w="57" w:type="dxa"/>
            </w:tcMar>
          </w:tcPr>
          <w:p w14:paraId="6E9D1A19" w14:textId="77777777" w:rsidR="007C5A34" w:rsidRPr="001D5327" w:rsidRDefault="007C5A34" w:rsidP="00341FEF">
            <w:pPr>
              <w:pStyle w:val="TableText"/>
              <w:spacing w:before="40" w:after="40"/>
              <w:rPr>
                <w:rFonts w:cs="Calibri"/>
                <w:szCs w:val="16"/>
              </w:rPr>
            </w:pPr>
          </w:p>
        </w:tc>
        <w:tc>
          <w:tcPr>
            <w:tcW w:w="4593" w:type="dxa"/>
            <w:shd w:val="clear" w:color="auto" w:fill="FFFFFF" w:themeFill="background1"/>
            <w:tcMar>
              <w:top w:w="0" w:type="dxa"/>
              <w:left w:w="85" w:type="dxa"/>
              <w:bottom w:w="0" w:type="dxa"/>
              <w:right w:w="57" w:type="dxa"/>
            </w:tcMar>
          </w:tcPr>
          <w:p w14:paraId="1BFF127E" w14:textId="77777777" w:rsidR="007C5A34" w:rsidRPr="001D5327" w:rsidRDefault="007C5A34" w:rsidP="00341FEF">
            <w:pPr>
              <w:pStyle w:val="TableText"/>
              <w:spacing w:before="40" w:after="40"/>
              <w:rPr>
                <w:rFonts w:cs="Calibri"/>
                <w:szCs w:val="16"/>
              </w:rPr>
            </w:pPr>
            <w:r w:rsidRPr="001D5327">
              <w:rPr>
                <w:rFonts w:cs="Calibri"/>
                <w:szCs w:val="16"/>
              </w:rPr>
              <w:t>Minor error correction in stationary refrigerant-related emissions.</w:t>
            </w:r>
          </w:p>
        </w:tc>
        <w:tc>
          <w:tcPr>
            <w:tcW w:w="1077" w:type="dxa"/>
            <w:shd w:val="clear" w:color="auto" w:fill="FFFFFF" w:themeFill="background1"/>
            <w:tcMar>
              <w:top w:w="0" w:type="dxa"/>
              <w:left w:w="85" w:type="dxa"/>
              <w:bottom w:w="0" w:type="dxa"/>
              <w:right w:w="57" w:type="dxa"/>
            </w:tcMar>
          </w:tcPr>
          <w:p w14:paraId="23752459" w14:textId="77777777" w:rsidR="007C5A34" w:rsidRPr="001D5327" w:rsidRDefault="007C5A34" w:rsidP="00341FEF">
            <w:pPr>
              <w:pStyle w:val="TableText"/>
              <w:spacing w:before="40" w:after="40"/>
              <w:rPr>
                <w:rFonts w:cs="Calibri"/>
                <w:szCs w:val="16"/>
              </w:rPr>
            </w:pPr>
            <w:r w:rsidRPr="001D5327">
              <w:rPr>
                <w:rFonts w:cs="Calibri"/>
                <w:szCs w:val="16"/>
              </w:rPr>
              <w:t>Accuracy</w:t>
            </w:r>
          </w:p>
        </w:tc>
        <w:tc>
          <w:tcPr>
            <w:tcW w:w="1928" w:type="dxa"/>
            <w:shd w:val="clear" w:color="auto" w:fill="FFFFFF" w:themeFill="background1"/>
            <w:tcMar>
              <w:top w:w="0" w:type="dxa"/>
              <w:left w:w="85" w:type="dxa"/>
              <w:bottom w:w="0" w:type="dxa"/>
              <w:right w:w="57" w:type="dxa"/>
            </w:tcMar>
          </w:tcPr>
          <w:p w14:paraId="60002320" w14:textId="77777777" w:rsidR="007C5A34" w:rsidRPr="001D5327" w:rsidRDefault="007C5A34" w:rsidP="00341FEF">
            <w:pPr>
              <w:pStyle w:val="TableText"/>
              <w:spacing w:before="40" w:after="40"/>
              <w:rPr>
                <w:rFonts w:eastAsia="Calibri" w:cs="Calibri"/>
                <w:color w:val="000000"/>
                <w:szCs w:val="16"/>
              </w:rPr>
            </w:pPr>
            <w:r w:rsidRPr="001D5327">
              <w:rPr>
                <w:rFonts w:eastAsia="Calibri" w:cs="Calibri"/>
                <w:color w:val="000000"/>
                <w:szCs w:val="16"/>
              </w:rPr>
              <w:t>Correction of errors</w:t>
            </w:r>
          </w:p>
        </w:tc>
      </w:tr>
      <w:tr w:rsidR="007C5A34" w:rsidRPr="001D5327" w14:paraId="6C2F9740" w14:textId="77777777" w:rsidTr="00C526AD">
        <w:tc>
          <w:tcPr>
            <w:tcW w:w="906" w:type="dxa"/>
            <w:shd w:val="clear" w:color="auto" w:fill="FFFFFF" w:themeFill="background1"/>
            <w:tcMar>
              <w:left w:w="85" w:type="dxa"/>
              <w:right w:w="57" w:type="dxa"/>
            </w:tcMar>
          </w:tcPr>
          <w:p w14:paraId="29E625A4" w14:textId="77777777" w:rsidR="007C5A34" w:rsidRPr="001D5327" w:rsidRDefault="007C5A34" w:rsidP="00341FEF">
            <w:pPr>
              <w:pStyle w:val="TableText"/>
              <w:spacing w:before="40" w:after="40"/>
              <w:rPr>
                <w:rFonts w:cs="Calibri"/>
                <w:szCs w:val="16"/>
              </w:rPr>
            </w:pPr>
          </w:p>
        </w:tc>
        <w:tc>
          <w:tcPr>
            <w:tcW w:w="4593" w:type="dxa"/>
            <w:shd w:val="clear" w:color="auto" w:fill="FFFFFF" w:themeFill="background1"/>
            <w:tcMar>
              <w:top w:w="0" w:type="dxa"/>
              <w:left w:w="85" w:type="dxa"/>
              <w:bottom w:w="0" w:type="dxa"/>
              <w:right w:w="57" w:type="dxa"/>
            </w:tcMar>
          </w:tcPr>
          <w:p w14:paraId="7D3EC70A" w14:textId="77777777" w:rsidR="007C5A34" w:rsidRPr="001D5327" w:rsidRDefault="007C5A34" w:rsidP="00341FEF">
            <w:pPr>
              <w:pStyle w:val="TableText"/>
              <w:spacing w:before="40" w:after="40"/>
              <w:rPr>
                <w:rFonts w:cs="Calibri"/>
                <w:szCs w:val="16"/>
              </w:rPr>
            </w:pPr>
            <w:r w:rsidRPr="001D5327">
              <w:rPr>
                <w:rFonts w:cs="Calibri"/>
                <w:szCs w:val="16"/>
              </w:rPr>
              <w:t>Transport refrigeration net equipment stock adjustments.</w:t>
            </w:r>
          </w:p>
        </w:tc>
        <w:tc>
          <w:tcPr>
            <w:tcW w:w="1077" w:type="dxa"/>
            <w:shd w:val="clear" w:color="auto" w:fill="FFFFFF" w:themeFill="background1"/>
            <w:tcMar>
              <w:top w:w="0" w:type="dxa"/>
              <w:left w:w="85" w:type="dxa"/>
              <w:bottom w:w="0" w:type="dxa"/>
              <w:right w:w="57" w:type="dxa"/>
            </w:tcMar>
          </w:tcPr>
          <w:p w14:paraId="6C66B747" w14:textId="77777777" w:rsidR="007C5A34" w:rsidRPr="001D5327" w:rsidRDefault="007C5A34" w:rsidP="00341FEF">
            <w:pPr>
              <w:pStyle w:val="TableText"/>
              <w:spacing w:before="40" w:after="40"/>
              <w:rPr>
                <w:rFonts w:cs="Calibri"/>
                <w:szCs w:val="16"/>
              </w:rPr>
            </w:pPr>
            <w:r w:rsidRPr="001D5327">
              <w:rPr>
                <w:rFonts w:cs="Calibri"/>
                <w:szCs w:val="16"/>
              </w:rPr>
              <w:t xml:space="preserve">Accuracy </w:t>
            </w:r>
          </w:p>
        </w:tc>
        <w:tc>
          <w:tcPr>
            <w:tcW w:w="1928" w:type="dxa"/>
            <w:shd w:val="clear" w:color="auto" w:fill="FFFFFF" w:themeFill="background1"/>
            <w:tcMar>
              <w:top w:w="0" w:type="dxa"/>
              <w:left w:w="85" w:type="dxa"/>
              <w:bottom w:w="0" w:type="dxa"/>
              <w:right w:w="57" w:type="dxa"/>
            </w:tcMar>
          </w:tcPr>
          <w:p w14:paraId="3B920752" w14:textId="77777777" w:rsidR="007C5A34" w:rsidRPr="001D5327" w:rsidRDefault="007C5A34" w:rsidP="00341FEF">
            <w:pPr>
              <w:pStyle w:val="TableText"/>
              <w:spacing w:before="40" w:after="40"/>
              <w:rPr>
                <w:rFonts w:eastAsia="Calibri" w:cs="Calibri"/>
                <w:color w:val="000000"/>
                <w:szCs w:val="16"/>
              </w:rPr>
            </w:pPr>
            <w:r w:rsidRPr="001D5327">
              <w:rPr>
                <w:rFonts w:eastAsia="Calibri" w:cs="Calibri"/>
                <w:color w:val="000000"/>
                <w:szCs w:val="16"/>
              </w:rPr>
              <w:t>Improved data availability</w:t>
            </w:r>
          </w:p>
        </w:tc>
      </w:tr>
      <w:tr w:rsidR="007C5A34" w:rsidRPr="001D5327" w14:paraId="546A5B8B" w14:textId="77777777" w:rsidTr="00C526AD">
        <w:tc>
          <w:tcPr>
            <w:tcW w:w="906" w:type="dxa"/>
            <w:shd w:val="clear" w:color="auto" w:fill="FFFFFF" w:themeFill="background1"/>
            <w:tcMar>
              <w:left w:w="85" w:type="dxa"/>
              <w:right w:w="57" w:type="dxa"/>
            </w:tcMar>
          </w:tcPr>
          <w:p w14:paraId="78CA5082" w14:textId="77777777" w:rsidR="007C5A34" w:rsidRPr="001D5327" w:rsidRDefault="007C5A34" w:rsidP="00341FEF">
            <w:pPr>
              <w:pStyle w:val="TableText"/>
              <w:spacing w:before="40" w:after="40"/>
              <w:rPr>
                <w:rFonts w:cs="Calibri"/>
                <w:szCs w:val="16"/>
              </w:rPr>
            </w:pPr>
          </w:p>
        </w:tc>
        <w:tc>
          <w:tcPr>
            <w:tcW w:w="4593" w:type="dxa"/>
            <w:shd w:val="clear" w:color="auto" w:fill="FFFFFF" w:themeFill="background1"/>
            <w:tcMar>
              <w:top w:w="0" w:type="dxa"/>
              <w:left w:w="85" w:type="dxa"/>
              <w:bottom w:w="0" w:type="dxa"/>
              <w:right w:w="57" w:type="dxa"/>
            </w:tcMar>
          </w:tcPr>
          <w:p w14:paraId="047F788D" w14:textId="77777777" w:rsidR="007C5A34" w:rsidRPr="001D5327" w:rsidRDefault="007C5A34" w:rsidP="00341FEF">
            <w:pPr>
              <w:pStyle w:val="TableText"/>
              <w:spacing w:before="40" w:after="40"/>
              <w:rPr>
                <w:rFonts w:cs="Calibri"/>
                <w:szCs w:val="16"/>
              </w:rPr>
            </w:pPr>
            <w:r w:rsidRPr="001D5327">
              <w:rPr>
                <w:rFonts w:cs="Calibri"/>
                <w:szCs w:val="16"/>
              </w:rPr>
              <w:t>Minor error correction in transport refrigerant-related emissions.</w:t>
            </w:r>
          </w:p>
        </w:tc>
        <w:tc>
          <w:tcPr>
            <w:tcW w:w="1077" w:type="dxa"/>
            <w:shd w:val="clear" w:color="auto" w:fill="FFFFFF" w:themeFill="background1"/>
            <w:tcMar>
              <w:top w:w="0" w:type="dxa"/>
              <w:left w:w="85" w:type="dxa"/>
              <w:bottom w:w="0" w:type="dxa"/>
              <w:right w:w="57" w:type="dxa"/>
            </w:tcMar>
          </w:tcPr>
          <w:p w14:paraId="29406D4D" w14:textId="77777777" w:rsidR="007C5A34" w:rsidRPr="001D5327" w:rsidRDefault="007C5A34" w:rsidP="00341FEF">
            <w:pPr>
              <w:pStyle w:val="TableText"/>
              <w:spacing w:before="40" w:after="40"/>
              <w:rPr>
                <w:rFonts w:cs="Calibri"/>
                <w:szCs w:val="16"/>
              </w:rPr>
            </w:pPr>
            <w:r w:rsidRPr="001D5327">
              <w:rPr>
                <w:rFonts w:cs="Calibri"/>
                <w:szCs w:val="16"/>
              </w:rPr>
              <w:t>Accuracy</w:t>
            </w:r>
          </w:p>
        </w:tc>
        <w:tc>
          <w:tcPr>
            <w:tcW w:w="1928" w:type="dxa"/>
            <w:shd w:val="clear" w:color="auto" w:fill="FFFFFF" w:themeFill="background1"/>
            <w:tcMar>
              <w:top w:w="0" w:type="dxa"/>
              <w:left w:w="85" w:type="dxa"/>
              <w:bottom w:w="0" w:type="dxa"/>
              <w:right w:w="57" w:type="dxa"/>
            </w:tcMar>
          </w:tcPr>
          <w:p w14:paraId="27ADDFAB" w14:textId="77777777" w:rsidR="007C5A34" w:rsidRPr="001D5327" w:rsidRDefault="007C5A34" w:rsidP="00341FEF">
            <w:pPr>
              <w:pStyle w:val="TableText"/>
              <w:spacing w:before="40" w:after="40"/>
              <w:rPr>
                <w:rFonts w:eastAsia="Calibri" w:cs="Calibri"/>
                <w:color w:val="000000"/>
              </w:rPr>
            </w:pPr>
            <w:r w:rsidRPr="001D5327">
              <w:rPr>
                <w:rFonts w:eastAsia="Calibri" w:cs="Calibri"/>
                <w:color w:val="000000" w:themeColor="text1"/>
              </w:rPr>
              <w:t>Correction of errors</w:t>
            </w:r>
          </w:p>
        </w:tc>
      </w:tr>
      <w:tr w:rsidR="007C5A34" w:rsidRPr="001D5327" w14:paraId="7AC1BC8C" w14:textId="77777777" w:rsidTr="00C526AD">
        <w:tc>
          <w:tcPr>
            <w:tcW w:w="906" w:type="dxa"/>
            <w:shd w:val="clear" w:color="auto" w:fill="FFFFFF" w:themeFill="background1"/>
            <w:tcMar>
              <w:left w:w="85" w:type="dxa"/>
              <w:right w:w="57" w:type="dxa"/>
            </w:tcMar>
          </w:tcPr>
          <w:p w14:paraId="0F46B4B9"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lastRenderedPageBreak/>
              <w:t>Agriculture</w:t>
            </w:r>
          </w:p>
        </w:tc>
        <w:tc>
          <w:tcPr>
            <w:tcW w:w="4593" w:type="dxa"/>
            <w:shd w:val="clear" w:color="auto" w:fill="FFFFFF" w:themeFill="background1"/>
            <w:tcMar>
              <w:top w:w="0" w:type="dxa"/>
              <w:left w:w="85" w:type="dxa"/>
              <w:bottom w:w="0" w:type="dxa"/>
              <w:right w:w="57" w:type="dxa"/>
            </w:tcMar>
          </w:tcPr>
          <w:p w14:paraId="268FCCCA" w14:textId="77777777" w:rsidR="007C5A34" w:rsidRPr="001D5327" w:rsidRDefault="007C5A34" w:rsidP="00341FEF">
            <w:pPr>
              <w:pStyle w:val="TableText"/>
              <w:spacing w:before="40" w:after="40"/>
              <w:rPr>
                <w:rFonts w:cs="Calibri"/>
              </w:rPr>
            </w:pPr>
            <w:r w:rsidRPr="001D5327">
              <w:rPr>
                <w:rFonts w:eastAsia="Calibri" w:cs="Calibri"/>
                <w:color w:val="000000" w:themeColor="text1"/>
              </w:rPr>
              <w:t>Improvements to donkey, poultry, alpaca and llama population estimates.</w:t>
            </w:r>
          </w:p>
        </w:tc>
        <w:tc>
          <w:tcPr>
            <w:tcW w:w="1077" w:type="dxa"/>
            <w:shd w:val="clear" w:color="auto" w:fill="FFFFFF" w:themeFill="background1"/>
            <w:tcMar>
              <w:top w:w="0" w:type="dxa"/>
              <w:left w:w="85" w:type="dxa"/>
              <w:bottom w:w="0" w:type="dxa"/>
              <w:right w:w="57" w:type="dxa"/>
            </w:tcMar>
          </w:tcPr>
          <w:p w14:paraId="75B021F8"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Accuracy</w:t>
            </w:r>
          </w:p>
        </w:tc>
        <w:tc>
          <w:tcPr>
            <w:tcW w:w="1928" w:type="dxa"/>
            <w:shd w:val="clear" w:color="auto" w:fill="FFFFFF" w:themeFill="background1"/>
            <w:tcMar>
              <w:top w:w="0" w:type="dxa"/>
              <w:left w:w="85" w:type="dxa"/>
              <w:bottom w:w="0" w:type="dxa"/>
              <w:right w:w="57" w:type="dxa"/>
            </w:tcMar>
          </w:tcPr>
          <w:p w14:paraId="011416F7" w14:textId="77777777" w:rsidR="007C5A34" w:rsidRPr="001D5327" w:rsidRDefault="007C5A34" w:rsidP="00341FEF">
            <w:pPr>
              <w:pStyle w:val="TableText"/>
              <w:spacing w:before="40" w:after="40"/>
              <w:rPr>
                <w:rFonts w:eastAsia="Calibri" w:cs="Calibri"/>
                <w:color w:val="000000"/>
                <w:szCs w:val="16"/>
              </w:rPr>
            </w:pPr>
            <w:r w:rsidRPr="001D5327">
              <w:rPr>
                <w:rFonts w:eastAsia="Calibri" w:cs="Calibri"/>
                <w:color w:val="000000"/>
                <w:szCs w:val="16"/>
              </w:rPr>
              <w:t>Improved data availability</w:t>
            </w:r>
          </w:p>
        </w:tc>
      </w:tr>
      <w:tr w:rsidR="007C5A34" w:rsidRPr="001D5327" w14:paraId="041DE906" w14:textId="77777777" w:rsidTr="00C526AD">
        <w:tc>
          <w:tcPr>
            <w:tcW w:w="906" w:type="dxa"/>
            <w:shd w:val="clear" w:color="auto" w:fill="FFFFFF" w:themeFill="background1"/>
            <w:tcMar>
              <w:left w:w="85" w:type="dxa"/>
              <w:right w:w="57" w:type="dxa"/>
            </w:tcMar>
          </w:tcPr>
          <w:p w14:paraId="756B3740" w14:textId="77777777" w:rsidR="007C5A34" w:rsidRPr="001D5327" w:rsidRDefault="007C5A34" w:rsidP="00341FEF">
            <w:pPr>
              <w:pStyle w:val="TableText"/>
              <w:spacing w:before="40" w:after="40"/>
              <w:rPr>
                <w:rFonts w:cs="Calibri"/>
                <w:szCs w:val="16"/>
              </w:rPr>
            </w:pPr>
          </w:p>
        </w:tc>
        <w:tc>
          <w:tcPr>
            <w:tcW w:w="4593" w:type="dxa"/>
            <w:shd w:val="clear" w:color="auto" w:fill="FFFFFF" w:themeFill="background1"/>
            <w:tcMar>
              <w:top w:w="0" w:type="dxa"/>
              <w:left w:w="85" w:type="dxa"/>
              <w:bottom w:w="0" w:type="dxa"/>
              <w:right w:w="57" w:type="dxa"/>
            </w:tcMar>
          </w:tcPr>
          <w:p w14:paraId="2D338950"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Update to the estimated deer populations, mature hind liveweight and velvet antler production.</w:t>
            </w:r>
          </w:p>
        </w:tc>
        <w:tc>
          <w:tcPr>
            <w:tcW w:w="1077" w:type="dxa"/>
            <w:shd w:val="clear" w:color="auto" w:fill="FFFFFF" w:themeFill="background1"/>
            <w:tcMar>
              <w:top w:w="0" w:type="dxa"/>
              <w:left w:w="85" w:type="dxa"/>
              <w:bottom w:w="0" w:type="dxa"/>
              <w:right w:w="57" w:type="dxa"/>
            </w:tcMar>
          </w:tcPr>
          <w:p w14:paraId="2D278DAB"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Accuracy</w:t>
            </w:r>
          </w:p>
        </w:tc>
        <w:tc>
          <w:tcPr>
            <w:tcW w:w="1928" w:type="dxa"/>
            <w:shd w:val="clear" w:color="auto" w:fill="FFFFFF" w:themeFill="background1"/>
            <w:tcMar>
              <w:top w:w="0" w:type="dxa"/>
              <w:left w:w="85" w:type="dxa"/>
              <w:bottom w:w="0" w:type="dxa"/>
              <w:right w:w="57" w:type="dxa"/>
            </w:tcMar>
          </w:tcPr>
          <w:p w14:paraId="61729729" w14:textId="77777777" w:rsidR="007C5A34" w:rsidRPr="001D5327" w:rsidRDefault="007C5A34" w:rsidP="00341FEF">
            <w:pPr>
              <w:pStyle w:val="TableText"/>
              <w:spacing w:before="40" w:after="40"/>
              <w:rPr>
                <w:rFonts w:eastAsia="Calibri" w:cs="Calibri"/>
                <w:color w:val="000000"/>
                <w:szCs w:val="16"/>
              </w:rPr>
            </w:pPr>
          </w:p>
        </w:tc>
      </w:tr>
      <w:tr w:rsidR="007C5A34" w:rsidRPr="001D5327" w14:paraId="0429E8F8" w14:textId="77777777" w:rsidTr="00C526AD">
        <w:tc>
          <w:tcPr>
            <w:tcW w:w="906" w:type="dxa"/>
            <w:shd w:val="clear" w:color="auto" w:fill="FFFFFF" w:themeFill="background1"/>
            <w:tcMar>
              <w:left w:w="85" w:type="dxa"/>
              <w:right w:w="57" w:type="dxa"/>
            </w:tcMar>
          </w:tcPr>
          <w:p w14:paraId="0A813897" w14:textId="77777777" w:rsidR="007C5A34" w:rsidRPr="001D5327" w:rsidRDefault="007C5A34" w:rsidP="00341FEF">
            <w:pPr>
              <w:pStyle w:val="TableText"/>
              <w:spacing w:before="40" w:after="40"/>
              <w:rPr>
                <w:rFonts w:cs="Calibri"/>
                <w:szCs w:val="16"/>
              </w:rPr>
            </w:pPr>
          </w:p>
        </w:tc>
        <w:tc>
          <w:tcPr>
            <w:tcW w:w="4593" w:type="dxa"/>
            <w:shd w:val="clear" w:color="auto" w:fill="FFFFFF" w:themeFill="background1"/>
            <w:tcMar>
              <w:top w:w="0" w:type="dxa"/>
              <w:left w:w="85" w:type="dxa"/>
              <w:bottom w:w="0" w:type="dxa"/>
              <w:right w:w="57" w:type="dxa"/>
            </w:tcMar>
          </w:tcPr>
          <w:p w14:paraId="1A64AF2E"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Update to the emissions calculations for pigs.</w:t>
            </w:r>
          </w:p>
        </w:tc>
        <w:tc>
          <w:tcPr>
            <w:tcW w:w="1077" w:type="dxa"/>
            <w:shd w:val="clear" w:color="auto" w:fill="FFFFFF" w:themeFill="background1"/>
            <w:tcMar>
              <w:top w:w="0" w:type="dxa"/>
              <w:left w:w="85" w:type="dxa"/>
              <w:bottom w:w="0" w:type="dxa"/>
              <w:right w:w="57" w:type="dxa"/>
            </w:tcMar>
          </w:tcPr>
          <w:p w14:paraId="23A145A3"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Accuracy</w:t>
            </w:r>
          </w:p>
        </w:tc>
        <w:tc>
          <w:tcPr>
            <w:tcW w:w="1928" w:type="dxa"/>
            <w:shd w:val="clear" w:color="auto" w:fill="FFFFFF" w:themeFill="background1"/>
            <w:tcMar>
              <w:top w:w="0" w:type="dxa"/>
              <w:left w:w="85" w:type="dxa"/>
              <w:bottom w:w="0" w:type="dxa"/>
              <w:right w:w="57" w:type="dxa"/>
            </w:tcMar>
          </w:tcPr>
          <w:p w14:paraId="7CF95474" w14:textId="77777777" w:rsidR="007C5A34" w:rsidRPr="001D5327" w:rsidRDefault="007C5A34" w:rsidP="00341FEF">
            <w:pPr>
              <w:pStyle w:val="TableText"/>
              <w:spacing w:before="40" w:after="40"/>
              <w:rPr>
                <w:rFonts w:eastAsia="Calibri" w:cs="Calibri"/>
                <w:color w:val="000000"/>
                <w:szCs w:val="16"/>
              </w:rPr>
            </w:pPr>
            <w:r w:rsidRPr="001D5327">
              <w:rPr>
                <w:rFonts w:eastAsia="Calibri" w:cs="Calibri"/>
                <w:color w:val="000000"/>
                <w:szCs w:val="16"/>
              </w:rPr>
              <w:t>Improved data availability</w:t>
            </w:r>
          </w:p>
        </w:tc>
      </w:tr>
      <w:tr w:rsidR="007C5A34" w:rsidRPr="001D5327" w14:paraId="585BA8F0" w14:textId="77777777" w:rsidTr="00C526AD">
        <w:tc>
          <w:tcPr>
            <w:tcW w:w="906" w:type="dxa"/>
            <w:shd w:val="clear" w:color="auto" w:fill="FFFFFF" w:themeFill="background1"/>
            <w:tcMar>
              <w:left w:w="85" w:type="dxa"/>
              <w:right w:w="57" w:type="dxa"/>
            </w:tcMar>
          </w:tcPr>
          <w:p w14:paraId="56DB2B43" w14:textId="77777777" w:rsidR="007C5A34" w:rsidRPr="001D5327" w:rsidRDefault="007C5A34" w:rsidP="00341FEF">
            <w:pPr>
              <w:pStyle w:val="TableText"/>
              <w:spacing w:before="40" w:after="40"/>
              <w:rPr>
                <w:rFonts w:cs="Calibri"/>
                <w:szCs w:val="16"/>
              </w:rPr>
            </w:pPr>
          </w:p>
        </w:tc>
        <w:tc>
          <w:tcPr>
            <w:tcW w:w="4593" w:type="dxa"/>
            <w:shd w:val="clear" w:color="auto" w:fill="FFFFFF" w:themeFill="background1"/>
            <w:tcMar>
              <w:top w:w="0" w:type="dxa"/>
              <w:left w:w="85" w:type="dxa"/>
              <w:bottom w:w="0" w:type="dxa"/>
              <w:right w:w="57" w:type="dxa"/>
            </w:tcMar>
          </w:tcPr>
          <w:p w14:paraId="311799E2"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Inclusion of a seasonal adjustment to wool growth.</w:t>
            </w:r>
          </w:p>
        </w:tc>
        <w:tc>
          <w:tcPr>
            <w:tcW w:w="1077" w:type="dxa"/>
            <w:shd w:val="clear" w:color="auto" w:fill="FFFFFF" w:themeFill="background1"/>
            <w:tcMar>
              <w:top w:w="0" w:type="dxa"/>
              <w:left w:w="85" w:type="dxa"/>
              <w:bottom w:w="0" w:type="dxa"/>
              <w:right w:w="57" w:type="dxa"/>
            </w:tcMar>
          </w:tcPr>
          <w:p w14:paraId="71774632"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Accuracy</w:t>
            </w:r>
          </w:p>
        </w:tc>
        <w:tc>
          <w:tcPr>
            <w:tcW w:w="1928" w:type="dxa"/>
            <w:shd w:val="clear" w:color="auto" w:fill="FFFFFF" w:themeFill="background1"/>
            <w:tcMar>
              <w:top w:w="0" w:type="dxa"/>
              <w:left w:w="85" w:type="dxa"/>
              <w:bottom w:w="0" w:type="dxa"/>
              <w:right w:w="57" w:type="dxa"/>
            </w:tcMar>
          </w:tcPr>
          <w:p w14:paraId="07CCD6DE" w14:textId="77777777" w:rsidR="007C5A34" w:rsidRPr="001D5327" w:rsidRDefault="007C5A34" w:rsidP="00341FEF">
            <w:pPr>
              <w:pStyle w:val="TableText"/>
              <w:spacing w:before="40" w:after="40"/>
              <w:rPr>
                <w:rFonts w:eastAsia="Calibri" w:cs="Calibri"/>
                <w:color w:val="000000"/>
                <w:szCs w:val="16"/>
              </w:rPr>
            </w:pPr>
          </w:p>
        </w:tc>
      </w:tr>
      <w:tr w:rsidR="007C5A34" w:rsidRPr="001D5327" w14:paraId="27751119" w14:textId="77777777" w:rsidTr="00C526AD">
        <w:tc>
          <w:tcPr>
            <w:tcW w:w="906" w:type="dxa"/>
            <w:shd w:val="clear" w:color="auto" w:fill="FFFFFF" w:themeFill="background1"/>
            <w:tcMar>
              <w:left w:w="85" w:type="dxa"/>
              <w:right w:w="57" w:type="dxa"/>
            </w:tcMar>
          </w:tcPr>
          <w:p w14:paraId="4F6CD20F" w14:textId="77777777" w:rsidR="007C5A34" w:rsidRPr="001D5327" w:rsidRDefault="007C5A34" w:rsidP="00341FEF">
            <w:pPr>
              <w:pStyle w:val="TableText"/>
              <w:spacing w:before="40" w:after="40"/>
              <w:rPr>
                <w:rFonts w:cs="Calibri"/>
                <w:szCs w:val="16"/>
              </w:rPr>
            </w:pPr>
          </w:p>
        </w:tc>
        <w:tc>
          <w:tcPr>
            <w:tcW w:w="4593" w:type="dxa"/>
            <w:shd w:val="clear" w:color="auto" w:fill="FFFFFF" w:themeFill="background1"/>
            <w:tcMar>
              <w:top w:w="0" w:type="dxa"/>
              <w:left w:w="85" w:type="dxa"/>
              <w:bottom w:w="0" w:type="dxa"/>
              <w:right w:w="57" w:type="dxa"/>
            </w:tcMar>
          </w:tcPr>
          <w:p w14:paraId="1CC35F3F"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Inclusion of emissions from non-manure organic amendments to soil.</w:t>
            </w:r>
          </w:p>
        </w:tc>
        <w:tc>
          <w:tcPr>
            <w:tcW w:w="1077" w:type="dxa"/>
            <w:shd w:val="clear" w:color="auto" w:fill="FFFFFF" w:themeFill="background1"/>
            <w:tcMar>
              <w:top w:w="0" w:type="dxa"/>
              <w:left w:w="85" w:type="dxa"/>
              <w:bottom w:w="0" w:type="dxa"/>
              <w:right w:w="57" w:type="dxa"/>
            </w:tcMar>
          </w:tcPr>
          <w:p w14:paraId="0E29A68B"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Completeness</w:t>
            </w:r>
          </w:p>
        </w:tc>
        <w:tc>
          <w:tcPr>
            <w:tcW w:w="1928" w:type="dxa"/>
            <w:shd w:val="clear" w:color="auto" w:fill="FFFFFF" w:themeFill="background1"/>
            <w:tcMar>
              <w:top w:w="0" w:type="dxa"/>
              <w:left w:w="85" w:type="dxa"/>
              <w:bottom w:w="0" w:type="dxa"/>
              <w:right w:w="57" w:type="dxa"/>
            </w:tcMar>
          </w:tcPr>
          <w:p w14:paraId="6EE6CDE1" w14:textId="77777777" w:rsidR="007C5A34" w:rsidRPr="001D5327" w:rsidRDefault="007C5A34" w:rsidP="00341FEF">
            <w:pPr>
              <w:pStyle w:val="TableText"/>
              <w:spacing w:before="40" w:after="40"/>
              <w:rPr>
                <w:rFonts w:eastAsia="Calibri" w:cs="Calibri"/>
                <w:color w:val="000000"/>
                <w:szCs w:val="16"/>
              </w:rPr>
            </w:pPr>
            <w:r w:rsidRPr="001D5327">
              <w:rPr>
                <w:rFonts w:eastAsia="Calibri" w:cs="Calibri"/>
                <w:color w:val="000000"/>
                <w:szCs w:val="16"/>
              </w:rPr>
              <w:t>Accuracy</w:t>
            </w:r>
          </w:p>
        </w:tc>
      </w:tr>
      <w:tr w:rsidR="007C5A34" w:rsidRPr="001D5327" w14:paraId="4518BB7D" w14:textId="77777777" w:rsidTr="00C526AD">
        <w:tc>
          <w:tcPr>
            <w:tcW w:w="906" w:type="dxa"/>
            <w:shd w:val="clear" w:color="auto" w:fill="FFFFFF" w:themeFill="background1"/>
            <w:tcMar>
              <w:left w:w="85" w:type="dxa"/>
              <w:right w:w="57" w:type="dxa"/>
            </w:tcMar>
          </w:tcPr>
          <w:p w14:paraId="511DB656" w14:textId="77777777" w:rsidR="007C5A34" w:rsidRPr="001D5327" w:rsidRDefault="007C5A34" w:rsidP="00341FEF">
            <w:pPr>
              <w:pStyle w:val="TableText"/>
              <w:spacing w:before="40" w:after="40"/>
              <w:rPr>
                <w:rFonts w:cs="Calibri"/>
                <w:szCs w:val="16"/>
              </w:rPr>
            </w:pPr>
          </w:p>
        </w:tc>
        <w:tc>
          <w:tcPr>
            <w:tcW w:w="4593" w:type="dxa"/>
            <w:shd w:val="clear" w:color="auto" w:fill="FFFFFF" w:themeFill="background1"/>
            <w:tcMar>
              <w:top w:w="0" w:type="dxa"/>
              <w:left w:w="85" w:type="dxa"/>
              <w:bottom w:w="0" w:type="dxa"/>
              <w:right w:w="57" w:type="dxa"/>
            </w:tcMar>
          </w:tcPr>
          <w:p w14:paraId="7BE8DB4D"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Error corrections and improvements to model code.</w:t>
            </w:r>
          </w:p>
        </w:tc>
        <w:tc>
          <w:tcPr>
            <w:tcW w:w="1077" w:type="dxa"/>
            <w:shd w:val="clear" w:color="auto" w:fill="FFFFFF" w:themeFill="background1"/>
            <w:tcMar>
              <w:top w:w="0" w:type="dxa"/>
              <w:left w:w="85" w:type="dxa"/>
              <w:bottom w:w="0" w:type="dxa"/>
              <w:right w:w="57" w:type="dxa"/>
            </w:tcMar>
          </w:tcPr>
          <w:p w14:paraId="2F3225EA"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Accuracy</w:t>
            </w:r>
          </w:p>
        </w:tc>
        <w:tc>
          <w:tcPr>
            <w:tcW w:w="1928" w:type="dxa"/>
            <w:shd w:val="clear" w:color="auto" w:fill="FFFFFF" w:themeFill="background1"/>
            <w:tcMar>
              <w:top w:w="0" w:type="dxa"/>
              <w:left w:w="85" w:type="dxa"/>
              <w:bottom w:w="0" w:type="dxa"/>
              <w:right w:w="57" w:type="dxa"/>
            </w:tcMar>
          </w:tcPr>
          <w:p w14:paraId="31E54F1C" w14:textId="77777777" w:rsidR="007C5A34" w:rsidRPr="001D5327" w:rsidRDefault="007C5A34" w:rsidP="00341FEF">
            <w:pPr>
              <w:pStyle w:val="TableText"/>
              <w:spacing w:before="40" w:after="40"/>
              <w:rPr>
                <w:rFonts w:eastAsia="Calibri" w:cs="Calibri"/>
                <w:color w:val="000000"/>
                <w:szCs w:val="16"/>
              </w:rPr>
            </w:pPr>
            <w:r w:rsidRPr="001D5327">
              <w:rPr>
                <w:rFonts w:eastAsia="Calibri" w:cs="Calibri"/>
                <w:color w:val="000000"/>
                <w:szCs w:val="16"/>
              </w:rPr>
              <w:t>Correction of errors</w:t>
            </w:r>
          </w:p>
        </w:tc>
      </w:tr>
      <w:tr w:rsidR="007C5A34" w:rsidRPr="001D5327" w14:paraId="4DCEB62E" w14:textId="77777777" w:rsidTr="00C526AD">
        <w:tc>
          <w:tcPr>
            <w:tcW w:w="906" w:type="dxa"/>
            <w:shd w:val="clear" w:color="auto" w:fill="FFFFFF" w:themeFill="background1"/>
            <w:tcMar>
              <w:left w:w="85" w:type="dxa"/>
              <w:right w:w="57" w:type="dxa"/>
            </w:tcMar>
          </w:tcPr>
          <w:p w14:paraId="60DD8DD7" w14:textId="77777777" w:rsidR="007C5A34" w:rsidRPr="001D5327" w:rsidRDefault="007C5A34" w:rsidP="00341FEF">
            <w:pPr>
              <w:pStyle w:val="TableText"/>
              <w:spacing w:before="40" w:after="40"/>
              <w:rPr>
                <w:rFonts w:cs="Calibri"/>
                <w:szCs w:val="16"/>
              </w:rPr>
            </w:pPr>
            <w:r w:rsidRPr="001D5327">
              <w:rPr>
                <w:rFonts w:cs="Calibri"/>
                <w:szCs w:val="16"/>
              </w:rPr>
              <w:t>LULUCF</w:t>
            </w:r>
          </w:p>
        </w:tc>
        <w:tc>
          <w:tcPr>
            <w:tcW w:w="4593" w:type="dxa"/>
            <w:shd w:val="clear" w:color="auto" w:fill="FFFFFF" w:themeFill="background1"/>
            <w:tcMar>
              <w:top w:w="0" w:type="dxa"/>
              <w:left w:w="85" w:type="dxa"/>
              <w:bottom w:w="0" w:type="dxa"/>
              <w:right w:w="57" w:type="dxa"/>
            </w:tcMar>
          </w:tcPr>
          <w:p w14:paraId="2E974C5F" w14:textId="77777777" w:rsidR="007C5A34" w:rsidRPr="001D5327" w:rsidRDefault="007C5A34" w:rsidP="00341FEF">
            <w:pPr>
              <w:pStyle w:val="TableText"/>
              <w:spacing w:before="40" w:after="40"/>
              <w:rPr>
                <w:rFonts w:cs="Calibri"/>
                <w:szCs w:val="16"/>
              </w:rPr>
            </w:pPr>
            <w:r w:rsidRPr="001D5327">
              <w:t>Updated activity data arising from regular mapping improvements.</w:t>
            </w:r>
            <w:r w:rsidRPr="001D5327" w:rsidDel="00F464F4">
              <w:rPr>
                <w:rFonts w:cs="Calibri"/>
                <w:szCs w:val="16"/>
              </w:rPr>
              <w:t xml:space="preserve"> </w:t>
            </w:r>
          </w:p>
        </w:tc>
        <w:tc>
          <w:tcPr>
            <w:tcW w:w="1077" w:type="dxa"/>
            <w:shd w:val="clear" w:color="auto" w:fill="FFFFFF" w:themeFill="background1"/>
            <w:tcMar>
              <w:top w:w="0" w:type="dxa"/>
              <w:left w:w="85" w:type="dxa"/>
              <w:bottom w:w="0" w:type="dxa"/>
              <w:right w:w="57" w:type="dxa"/>
            </w:tcMar>
          </w:tcPr>
          <w:p w14:paraId="7D599520" w14:textId="77777777" w:rsidR="007C5A34" w:rsidRPr="001D5327" w:rsidRDefault="007C5A34" w:rsidP="00341FEF">
            <w:pPr>
              <w:pStyle w:val="TableText"/>
              <w:spacing w:before="40" w:after="40"/>
              <w:rPr>
                <w:rFonts w:cs="Calibri"/>
                <w:szCs w:val="16"/>
              </w:rPr>
            </w:pPr>
            <w:r w:rsidRPr="001D5327">
              <w:rPr>
                <w:rFonts w:cs="Calibri"/>
                <w:szCs w:val="16"/>
              </w:rPr>
              <w:t>Accuracy</w:t>
            </w:r>
          </w:p>
        </w:tc>
        <w:tc>
          <w:tcPr>
            <w:tcW w:w="1928" w:type="dxa"/>
            <w:shd w:val="clear" w:color="auto" w:fill="FFFFFF" w:themeFill="background1"/>
            <w:tcMar>
              <w:top w:w="0" w:type="dxa"/>
              <w:left w:w="85" w:type="dxa"/>
              <w:bottom w:w="0" w:type="dxa"/>
              <w:right w:w="57" w:type="dxa"/>
            </w:tcMar>
          </w:tcPr>
          <w:p w14:paraId="70BAEACD" w14:textId="77777777" w:rsidR="007C5A34" w:rsidRPr="001D5327" w:rsidRDefault="007C5A34" w:rsidP="00341FEF">
            <w:pPr>
              <w:pStyle w:val="TableText"/>
              <w:spacing w:before="40" w:after="40"/>
              <w:rPr>
                <w:rFonts w:eastAsia="Calibri" w:cs="Calibri"/>
                <w:color w:val="000000"/>
                <w:szCs w:val="16"/>
              </w:rPr>
            </w:pPr>
            <w:r w:rsidRPr="001D5327">
              <w:rPr>
                <w:rFonts w:eastAsia="Calibri" w:cs="Calibri"/>
                <w:color w:val="000000"/>
                <w:szCs w:val="16"/>
              </w:rPr>
              <w:t>Improved data availability</w:t>
            </w:r>
            <w:r w:rsidRPr="001D5327" w:rsidDel="00F464F4">
              <w:rPr>
                <w:rFonts w:eastAsia="Calibri" w:cs="Calibri"/>
                <w:color w:val="000000"/>
                <w:szCs w:val="16"/>
              </w:rPr>
              <w:t xml:space="preserve"> </w:t>
            </w:r>
          </w:p>
        </w:tc>
      </w:tr>
      <w:tr w:rsidR="007C5A34" w:rsidRPr="001D5327" w14:paraId="1414FC26" w14:textId="77777777" w:rsidTr="00C526AD">
        <w:tc>
          <w:tcPr>
            <w:tcW w:w="906" w:type="dxa"/>
            <w:shd w:val="clear" w:color="auto" w:fill="FFFFFF" w:themeFill="background1"/>
            <w:tcMar>
              <w:left w:w="85" w:type="dxa"/>
              <w:right w:w="57" w:type="dxa"/>
            </w:tcMar>
          </w:tcPr>
          <w:p w14:paraId="0E2FD85B" w14:textId="77777777" w:rsidR="007C5A34" w:rsidRPr="001D5327" w:rsidRDefault="007C5A34" w:rsidP="00341FEF">
            <w:pPr>
              <w:pStyle w:val="TableText"/>
              <w:spacing w:before="40" w:after="40"/>
              <w:rPr>
                <w:rFonts w:cs="Calibri"/>
                <w:szCs w:val="16"/>
              </w:rPr>
            </w:pPr>
            <w:r w:rsidRPr="001D5327">
              <w:rPr>
                <w:rFonts w:cs="Calibri"/>
                <w:szCs w:val="16"/>
              </w:rPr>
              <w:t>Waste</w:t>
            </w:r>
          </w:p>
        </w:tc>
        <w:tc>
          <w:tcPr>
            <w:tcW w:w="4593" w:type="dxa"/>
            <w:shd w:val="clear" w:color="auto" w:fill="FFFFFF" w:themeFill="background1"/>
            <w:tcMar>
              <w:top w:w="0" w:type="dxa"/>
              <w:left w:w="85" w:type="dxa"/>
              <w:bottom w:w="0" w:type="dxa"/>
              <w:right w:w="57" w:type="dxa"/>
            </w:tcMar>
          </w:tcPr>
          <w:p w14:paraId="5C8BE623" w14:textId="77777777" w:rsidR="007C5A34" w:rsidRPr="001D5327" w:rsidRDefault="007C5A34" w:rsidP="00341FEF">
            <w:pPr>
              <w:pStyle w:val="TableText"/>
              <w:spacing w:before="40" w:after="40"/>
              <w:rPr>
                <w:rFonts w:cs="Calibri"/>
              </w:rPr>
            </w:pPr>
            <w:r w:rsidRPr="001D5327">
              <w:rPr>
                <w:rFonts w:cs="Calibri"/>
              </w:rPr>
              <w:t xml:space="preserve">Estimated emissions from </w:t>
            </w:r>
            <w:r w:rsidRPr="001D5327">
              <w:rPr>
                <w:rFonts w:cs="Calibri"/>
                <w:i/>
                <w:iCs/>
              </w:rPr>
              <w:t>Managed waste disposal sites</w:t>
            </w:r>
            <w:r w:rsidRPr="001D5327">
              <w:rPr>
                <w:rFonts w:cs="Calibri"/>
              </w:rPr>
              <w:t xml:space="preserve"> (5.A.1.a) decreased by 360.7 kilotonnes carbon dioxide equivalent (kt CO</w:t>
            </w:r>
            <w:r w:rsidRPr="001D5327">
              <w:rPr>
                <w:rFonts w:cs="Calibri"/>
                <w:vertAlign w:val="subscript"/>
              </w:rPr>
              <w:t>2</w:t>
            </w:r>
            <w:r w:rsidRPr="001D5327">
              <w:rPr>
                <w:rFonts w:cs="Calibri"/>
              </w:rPr>
              <w:t>-e) (17.7 per cent) in 1990 and have increased by 294.1 kt CO</w:t>
            </w:r>
            <w:r w:rsidRPr="001D5327">
              <w:rPr>
                <w:rFonts w:cs="Calibri"/>
                <w:vertAlign w:val="subscript"/>
              </w:rPr>
              <w:t>2</w:t>
            </w:r>
            <w:r w:rsidRPr="001D5327">
              <w:rPr>
                <w:rFonts w:cs="Calibri"/>
              </w:rPr>
              <w:t>-e (26.2 per cent) in 2022. This is due to the effects of updating emissions factors and parameters, incorporating revised data on waste composition, the fraction of methane in landfill gas, methane generation rates, and landfill gas recovery rates.</w:t>
            </w:r>
          </w:p>
        </w:tc>
        <w:tc>
          <w:tcPr>
            <w:tcW w:w="1077" w:type="dxa"/>
            <w:shd w:val="clear" w:color="auto" w:fill="FFFFFF" w:themeFill="background1"/>
            <w:tcMar>
              <w:top w:w="0" w:type="dxa"/>
              <w:left w:w="85" w:type="dxa"/>
              <w:bottom w:w="0" w:type="dxa"/>
              <w:right w:w="57" w:type="dxa"/>
            </w:tcMar>
          </w:tcPr>
          <w:p w14:paraId="7E08A6B3" w14:textId="77777777" w:rsidR="007C5A34" w:rsidRPr="001D5327" w:rsidRDefault="007C5A34" w:rsidP="00341FEF">
            <w:pPr>
              <w:pStyle w:val="TableText"/>
              <w:spacing w:before="40" w:after="40"/>
              <w:rPr>
                <w:rFonts w:cs="Calibri"/>
                <w:szCs w:val="16"/>
              </w:rPr>
            </w:pPr>
            <w:r w:rsidRPr="001D5327">
              <w:rPr>
                <w:rFonts w:cs="Calibri"/>
                <w:szCs w:val="16"/>
              </w:rPr>
              <w:t>Accuracy</w:t>
            </w:r>
          </w:p>
        </w:tc>
        <w:tc>
          <w:tcPr>
            <w:tcW w:w="1928" w:type="dxa"/>
            <w:shd w:val="clear" w:color="auto" w:fill="FFFFFF" w:themeFill="background1"/>
            <w:tcMar>
              <w:top w:w="0" w:type="dxa"/>
              <w:left w:w="85" w:type="dxa"/>
              <w:bottom w:w="0" w:type="dxa"/>
              <w:right w:w="57" w:type="dxa"/>
            </w:tcMar>
          </w:tcPr>
          <w:p w14:paraId="2CF02700" w14:textId="77777777" w:rsidR="007C5A34" w:rsidRPr="001D5327" w:rsidRDefault="007C5A34" w:rsidP="00341FEF">
            <w:pPr>
              <w:pStyle w:val="TableText"/>
              <w:spacing w:before="40" w:after="40"/>
              <w:rPr>
                <w:rFonts w:eastAsia="Calibri" w:cs="Calibri"/>
                <w:color w:val="000000"/>
                <w:szCs w:val="16"/>
              </w:rPr>
            </w:pPr>
            <w:r w:rsidRPr="001D5327">
              <w:rPr>
                <w:rFonts w:eastAsia="Calibri" w:cs="Calibri"/>
                <w:color w:val="000000"/>
                <w:szCs w:val="16"/>
              </w:rPr>
              <w:t xml:space="preserve">Key category improvement: </w:t>
            </w:r>
            <w:r w:rsidRPr="001D5327">
              <w:rPr>
                <w:rFonts w:eastAsia="Calibri" w:cs="Calibri"/>
                <w:i/>
                <w:iCs/>
                <w:color w:val="000000"/>
                <w:szCs w:val="16"/>
              </w:rPr>
              <w:t>Solid waste disposal</w:t>
            </w:r>
          </w:p>
        </w:tc>
      </w:tr>
      <w:tr w:rsidR="007C5A34" w:rsidRPr="001D5327" w14:paraId="772B02E6" w14:textId="77777777" w:rsidTr="00C526AD">
        <w:tc>
          <w:tcPr>
            <w:tcW w:w="906" w:type="dxa"/>
            <w:shd w:val="clear" w:color="auto" w:fill="FFFFFF" w:themeFill="background1"/>
            <w:tcMar>
              <w:left w:w="85" w:type="dxa"/>
              <w:right w:w="57" w:type="dxa"/>
            </w:tcMar>
          </w:tcPr>
          <w:p w14:paraId="041A0CC8" w14:textId="77777777" w:rsidR="007C5A34" w:rsidRPr="001D5327" w:rsidRDefault="007C5A34" w:rsidP="00341FEF">
            <w:pPr>
              <w:pStyle w:val="TableText"/>
              <w:spacing w:before="40" w:after="40"/>
              <w:rPr>
                <w:rFonts w:cs="Calibri"/>
                <w:szCs w:val="16"/>
              </w:rPr>
            </w:pPr>
          </w:p>
        </w:tc>
        <w:tc>
          <w:tcPr>
            <w:tcW w:w="4593" w:type="dxa"/>
            <w:shd w:val="clear" w:color="auto" w:fill="FFFFFF" w:themeFill="background1"/>
            <w:tcMar>
              <w:top w:w="0" w:type="dxa"/>
              <w:left w:w="85" w:type="dxa"/>
              <w:bottom w:w="0" w:type="dxa"/>
              <w:right w:w="57" w:type="dxa"/>
            </w:tcMar>
          </w:tcPr>
          <w:p w14:paraId="7669195D" w14:textId="77777777" w:rsidR="007C5A34" w:rsidRPr="001D5327" w:rsidRDefault="007C5A34" w:rsidP="00341FEF">
            <w:pPr>
              <w:pStyle w:val="TableText"/>
              <w:spacing w:before="40" w:after="40"/>
              <w:rPr>
                <w:rFonts w:cs="Calibri"/>
              </w:rPr>
            </w:pPr>
            <w:r w:rsidRPr="001D5327">
              <w:rPr>
                <w:rFonts w:cs="Calibri"/>
              </w:rPr>
              <w:t xml:space="preserve">Estimated emissions from </w:t>
            </w:r>
            <w:r w:rsidRPr="001D5327">
              <w:rPr>
                <w:rFonts w:cs="Calibri"/>
                <w:i/>
              </w:rPr>
              <w:t>Unmanaged landfills</w:t>
            </w:r>
            <w:r w:rsidRPr="001D5327">
              <w:rPr>
                <w:rFonts w:cs="Calibri"/>
              </w:rPr>
              <w:t xml:space="preserve"> (5.A.2) have decreased by 717.0 CO</w:t>
            </w:r>
            <w:r w:rsidRPr="001D5327">
              <w:rPr>
                <w:rFonts w:cs="Calibri"/>
                <w:vertAlign w:val="subscript"/>
              </w:rPr>
              <w:t>2</w:t>
            </w:r>
            <w:r w:rsidRPr="001D5327">
              <w:rPr>
                <w:rFonts w:cs="Calibri"/>
              </w:rPr>
              <w:t>-e (89.8 per cent) in 1990 and by 850.9 CO</w:t>
            </w:r>
            <w:r w:rsidRPr="001D5327">
              <w:rPr>
                <w:rFonts w:cs="Calibri"/>
                <w:vertAlign w:val="subscript"/>
              </w:rPr>
              <w:t>2</w:t>
            </w:r>
            <w:r w:rsidRPr="001D5327">
              <w:rPr>
                <w:rFonts w:cs="Calibri"/>
              </w:rPr>
              <w:t>-e (81.8 per cent) in 2022. This is due to methodological updates and the inclusion of newly available activity and composition data obtained through the expansion of the waste levy under the Waste Minimisation Act 2008 (Ministry for the Environment, 2024).</w:t>
            </w:r>
          </w:p>
        </w:tc>
        <w:tc>
          <w:tcPr>
            <w:tcW w:w="1077" w:type="dxa"/>
            <w:shd w:val="clear" w:color="auto" w:fill="FFFFFF" w:themeFill="background1"/>
            <w:tcMar>
              <w:top w:w="0" w:type="dxa"/>
              <w:left w:w="85" w:type="dxa"/>
              <w:bottom w:w="0" w:type="dxa"/>
              <w:right w:w="57" w:type="dxa"/>
            </w:tcMar>
          </w:tcPr>
          <w:p w14:paraId="38FEF447" w14:textId="77777777" w:rsidR="007C5A34" w:rsidRPr="001D5327" w:rsidRDefault="007C5A34" w:rsidP="00341FEF">
            <w:pPr>
              <w:pStyle w:val="TableText"/>
              <w:spacing w:before="40" w:after="40"/>
              <w:rPr>
                <w:rFonts w:cs="Calibri"/>
                <w:szCs w:val="16"/>
              </w:rPr>
            </w:pPr>
            <w:r w:rsidRPr="001D5327">
              <w:rPr>
                <w:rFonts w:cs="Calibri"/>
                <w:szCs w:val="16"/>
              </w:rPr>
              <w:t>Accuracy</w:t>
            </w:r>
          </w:p>
        </w:tc>
        <w:tc>
          <w:tcPr>
            <w:tcW w:w="1928" w:type="dxa"/>
            <w:shd w:val="clear" w:color="auto" w:fill="FFFFFF" w:themeFill="background1"/>
            <w:tcMar>
              <w:top w:w="0" w:type="dxa"/>
              <w:left w:w="85" w:type="dxa"/>
              <w:bottom w:w="0" w:type="dxa"/>
              <w:right w:w="57" w:type="dxa"/>
            </w:tcMar>
          </w:tcPr>
          <w:p w14:paraId="27EE2C6C" w14:textId="77777777" w:rsidR="007C5A34" w:rsidRPr="001D5327" w:rsidRDefault="007C5A34" w:rsidP="00341FEF">
            <w:pPr>
              <w:pStyle w:val="TableText"/>
              <w:spacing w:before="40" w:after="40"/>
              <w:rPr>
                <w:rFonts w:eastAsia="Calibri" w:cs="Calibri"/>
                <w:color w:val="000000"/>
                <w:szCs w:val="16"/>
              </w:rPr>
            </w:pPr>
            <w:r w:rsidRPr="001D5327">
              <w:rPr>
                <w:rFonts w:eastAsia="Calibri" w:cs="Calibri"/>
                <w:color w:val="000000"/>
                <w:szCs w:val="16"/>
              </w:rPr>
              <w:t xml:space="preserve">Key category improvement: </w:t>
            </w:r>
            <w:r w:rsidRPr="001D5327">
              <w:rPr>
                <w:rFonts w:eastAsia="Calibri" w:cs="Calibri"/>
                <w:i/>
                <w:iCs/>
                <w:color w:val="000000"/>
                <w:szCs w:val="16"/>
              </w:rPr>
              <w:t>Solid waste disposal</w:t>
            </w:r>
          </w:p>
        </w:tc>
      </w:tr>
      <w:tr w:rsidR="007C5A34" w:rsidRPr="001D5327" w14:paraId="5D8A5795" w14:textId="77777777" w:rsidTr="00C526AD">
        <w:tc>
          <w:tcPr>
            <w:tcW w:w="906" w:type="dxa"/>
            <w:shd w:val="clear" w:color="auto" w:fill="FFFFFF" w:themeFill="background1"/>
            <w:tcMar>
              <w:left w:w="85" w:type="dxa"/>
              <w:right w:w="57" w:type="dxa"/>
            </w:tcMar>
          </w:tcPr>
          <w:p w14:paraId="481B1F53" w14:textId="77777777" w:rsidR="007C5A34" w:rsidRPr="001D5327" w:rsidRDefault="007C5A34" w:rsidP="00341FEF">
            <w:pPr>
              <w:pStyle w:val="TableText"/>
              <w:spacing w:before="40" w:after="40"/>
              <w:rPr>
                <w:rFonts w:cs="Calibri"/>
                <w:szCs w:val="16"/>
              </w:rPr>
            </w:pPr>
          </w:p>
        </w:tc>
        <w:tc>
          <w:tcPr>
            <w:tcW w:w="4593" w:type="dxa"/>
            <w:shd w:val="clear" w:color="auto" w:fill="FFFFFF" w:themeFill="background1"/>
            <w:tcMar>
              <w:top w:w="0" w:type="dxa"/>
              <w:left w:w="85" w:type="dxa"/>
              <w:bottom w:w="0" w:type="dxa"/>
              <w:right w:w="57" w:type="dxa"/>
            </w:tcMar>
          </w:tcPr>
          <w:p w14:paraId="538D9109" w14:textId="77777777" w:rsidR="007C5A34" w:rsidRPr="001D5327" w:rsidRDefault="007C5A34" w:rsidP="00341FEF">
            <w:pPr>
              <w:pStyle w:val="TableText"/>
              <w:spacing w:before="40" w:after="40"/>
              <w:rPr>
                <w:rFonts w:cs="Calibri"/>
                <w:szCs w:val="16"/>
              </w:rPr>
            </w:pPr>
            <w:r w:rsidRPr="001D5327">
              <w:rPr>
                <w:rFonts w:cs="Calibri"/>
                <w:szCs w:val="16"/>
              </w:rPr>
              <w:t xml:space="preserve">Estimated emissions from </w:t>
            </w:r>
            <w:r w:rsidRPr="001D5327">
              <w:rPr>
                <w:rFonts w:cs="Calibri"/>
                <w:i/>
                <w:iCs/>
                <w:szCs w:val="16"/>
              </w:rPr>
              <w:t>Incineration</w:t>
            </w:r>
            <w:r w:rsidRPr="001D5327">
              <w:rPr>
                <w:rFonts w:cs="Calibri"/>
                <w:szCs w:val="16"/>
              </w:rPr>
              <w:t xml:space="preserve"> (5.C.1) decreased by 0.3 kt CO</w:t>
            </w:r>
            <w:r w:rsidRPr="001D5327">
              <w:rPr>
                <w:rFonts w:cs="Calibri"/>
                <w:szCs w:val="16"/>
                <w:vertAlign w:val="subscript"/>
              </w:rPr>
              <w:t>2</w:t>
            </w:r>
            <w:r w:rsidRPr="001D5327">
              <w:rPr>
                <w:rFonts w:cs="Calibri"/>
                <w:szCs w:val="16"/>
              </w:rPr>
              <w:t>-e (2.3 per cent) in 1990 and by 0.3 kt CO</w:t>
            </w:r>
            <w:r w:rsidRPr="001D5327">
              <w:rPr>
                <w:rFonts w:cs="Calibri"/>
                <w:szCs w:val="16"/>
                <w:vertAlign w:val="subscript"/>
              </w:rPr>
              <w:t>2</w:t>
            </w:r>
            <w:r w:rsidRPr="001D5327">
              <w:rPr>
                <w:rFonts w:cs="Calibri"/>
                <w:szCs w:val="16"/>
              </w:rPr>
              <w:t>-e (14.8 per cent) in 2022. This is due to adjustments to the fraction of carbon and fraction of fossil carbon in the total carbon.</w:t>
            </w:r>
          </w:p>
        </w:tc>
        <w:tc>
          <w:tcPr>
            <w:tcW w:w="1077" w:type="dxa"/>
            <w:shd w:val="clear" w:color="auto" w:fill="FFFFFF" w:themeFill="background1"/>
            <w:tcMar>
              <w:top w:w="0" w:type="dxa"/>
              <w:left w:w="85" w:type="dxa"/>
              <w:bottom w:w="0" w:type="dxa"/>
              <w:right w:w="57" w:type="dxa"/>
            </w:tcMar>
          </w:tcPr>
          <w:p w14:paraId="7901F6F5" w14:textId="77777777" w:rsidR="007C5A34" w:rsidRPr="001D5327" w:rsidRDefault="007C5A34" w:rsidP="00341FEF">
            <w:pPr>
              <w:pStyle w:val="TableText"/>
              <w:spacing w:before="40" w:after="40"/>
              <w:rPr>
                <w:rFonts w:cs="Calibri"/>
                <w:szCs w:val="16"/>
              </w:rPr>
            </w:pPr>
            <w:r w:rsidRPr="001D5327">
              <w:rPr>
                <w:rFonts w:cs="Calibri"/>
                <w:szCs w:val="16"/>
              </w:rPr>
              <w:t>Completeness</w:t>
            </w:r>
          </w:p>
        </w:tc>
        <w:tc>
          <w:tcPr>
            <w:tcW w:w="1928" w:type="dxa"/>
            <w:shd w:val="clear" w:color="auto" w:fill="FFFFFF" w:themeFill="background1"/>
            <w:tcMar>
              <w:top w:w="0" w:type="dxa"/>
              <w:left w:w="85" w:type="dxa"/>
              <w:bottom w:w="0" w:type="dxa"/>
              <w:right w:w="57" w:type="dxa"/>
            </w:tcMar>
          </w:tcPr>
          <w:p w14:paraId="5B6C1C66" w14:textId="77777777" w:rsidR="007C5A34" w:rsidRPr="001D5327" w:rsidRDefault="007C5A34" w:rsidP="00341FEF">
            <w:pPr>
              <w:pStyle w:val="TableText"/>
              <w:spacing w:before="40" w:after="40"/>
              <w:rPr>
                <w:rFonts w:eastAsia="Calibri" w:cs="Calibri"/>
                <w:color w:val="000000"/>
                <w:szCs w:val="16"/>
              </w:rPr>
            </w:pPr>
          </w:p>
        </w:tc>
      </w:tr>
      <w:tr w:rsidR="007C5A34" w:rsidRPr="001D5327" w14:paraId="1B537C3C" w14:textId="77777777" w:rsidTr="00C526AD">
        <w:tc>
          <w:tcPr>
            <w:tcW w:w="906" w:type="dxa"/>
            <w:shd w:val="clear" w:color="auto" w:fill="FFFFFF" w:themeFill="background1"/>
            <w:tcMar>
              <w:left w:w="85" w:type="dxa"/>
              <w:right w:w="57" w:type="dxa"/>
            </w:tcMar>
          </w:tcPr>
          <w:p w14:paraId="1F4EE9DD" w14:textId="77777777" w:rsidR="007C5A34" w:rsidRPr="001D5327" w:rsidRDefault="007C5A34" w:rsidP="00341FEF">
            <w:pPr>
              <w:pStyle w:val="TableText"/>
              <w:spacing w:before="40" w:after="40"/>
              <w:rPr>
                <w:rFonts w:cs="Calibri"/>
                <w:szCs w:val="16"/>
              </w:rPr>
            </w:pPr>
          </w:p>
        </w:tc>
        <w:tc>
          <w:tcPr>
            <w:tcW w:w="4593" w:type="dxa"/>
            <w:shd w:val="clear" w:color="auto" w:fill="FFFFFF" w:themeFill="background1"/>
            <w:tcMar>
              <w:top w:w="0" w:type="dxa"/>
              <w:left w:w="85" w:type="dxa"/>
              <w:bottom w:w="0" w:type="dxa"/>
              <w:right w:w="57" w:type="dxa"/>
            </w:tcMar>
          </w:tcPr>
          <w:p w14:paraId="316E8AFE" w14:textId="1177A001" w:rsidR="007C5A34" w:rsidRPr="001D5327" w:rsidRDefault="007C5A34" w:rsidP="00341FEF">
            <w:pPr>
              <w:pStyle w:val="TableText"/>
              <w:spacing w:before="40" w:after="40"/>
              <w:rPr>
                <w:rFonts w:cs="Calibri"/>
                <w:szCs w:val="16"/>
              </w:rPr>
            </w:pPr>
            <w:r w:rsidRPr="001D5327">
              <w:rPr>
                <w:rFonts w:cs="Calibri"/>
                <w:szCs w:val="16"/>
              </w:rPr>
              <w:t xml:space="preserve">Estimated emissions from </w:t>
            </w:r>
            <w:r w:rsidRPr="001D5327">
              <w:rPr>
                <w:rFonts w:cs="Calibri"/>
                <w:i/>
                <w:iCs/>
                <w:szCs w:val="16"/>
              </w:rPr>
              <w:t>Open burning of waste</w:t>
            </w:r>
            <w:r w:rsidRPr="001D5327">
              <w:rPr>
                <w:rFonts w:cs="Calibri"/>
                <w:szCs w:val="16"/>
              </w:rPr>
              <w:t xml:space="preserve"> (5.C.2) have increased by 0.004 CO</w:t>
            </w:r>
            <w:r w:rsidRPr="001D5327">
              <w:rPr>
                <w:rFonts w:cs="Calibri"/>
                <w:szCs w:val="16"/>
                <w:vertAlign w:val="subscript"/>
              </w:rPr>
              <w:t>2</w:t>
            </w:r>
            <w:r w:rsidRPr="001D5327">
              <w:rPr>
                <w:rFonts w:cs="Calibri"/>
                <w:szCs w:val="16"/>
              </w:rPr>
              <w:t>-e (0.00004 per cent) in 1990 and decreased by 4.2 CO</w:t>
            </w:r>
            <w:r w:rsidRPr="001D5327">
              <w:rPr>
                <w:rFonts w:cs="Calibri"/>
                <w:szCs w:val="16"/>
                <w:vertAlign w:val="subscript"/>
              </w:rPr>
              <w:t>2</w:t>
            </w:r>
            <w:r w:rsidRPr="001D5327">
              <w:rPr>
                <w:rFonts w:cs="Calibri"/>
                <w:szCs w:val="16"/>
              </w:rPr>
              <w:t>-e (2.2 per cent) in 2021. This is due to updates to activity data for farm fills, after revisions to the number and type of farms reported in the latest agricultural production statistics (Stats NZ, 2023)</w:t>
            </w:r>
            <w:r w:rsidR="00C526AD" w:rsidRPr="001D5327">
              <w:rPr>
                <w:rFonts w:cs="Calibri"/>
                <w:szCs w:val="16"/>
              </w:rPr>
              <w:t>.</w:t>
            </w:r>
            <w:r w:rsidRPr="001D5327">
              <w:rPr>
                <w:rStyle w:val="FootnoteReference"/>
                <w:rFonts w:cs="Calibri"/>
                <w:sz w:val="16"/>
                <w:szCs w:val="16"/>
              </w:rPr>
              <w:footnoteReference w:id="64"/>
            </w:r>
          </w:p>
        </w:tc>
        <w:tc>
          <w:tcPr>
            <w:tcW w:w="1077" w:type="dxa"/>
            <w:shd w:val="clear" w:color="auto" w:fill="FFFFFF" w:themeFill="background1"/>
            <w:tcMar>
              <w:top w:w="0" w:type="dxa"/>
              <w:left w:w="85" w:type="dxa"/>
              <w:bottom w:w="0" w:type="dxa"/>
              <w:right w:w="57" w:type="dxa"/>
            </w:tcMar>
          </w:tcPr>
          <w:p w14:paraId="78D70597" w14:textId="77777777" w:rsidR="007C5A34" w:rsidRPr="001D5327" w:rsidRDefault="007C5A34" w:rsidP="00341FEF">
            <w:pPr>
              <w:pStyle w:val="TableText"/>
              <w:spacing w:before="40" w:after="40"/>
              <w:rPr>
                <w:rFonts w:cs="Calibri"/>
                <w:szCs w:val="16"/>
              </w:rPr>
            </w:pPr>
            <w:r w:rsidRPr="001D5327">
              <w:rPr>
                <w:rFonts w:cs="Calibri"/>
                <w:szCs w:val="16"/>
              </w:rPr>
              <w:t>Accuracy</w:t>
            </w:r>
          </w:p>
        </w:tc>
        <w:tc>
          <w:tcPr>
            <w:tcW w:w="1928" w:type="dxa"/>
            <w:shd w:val="clear" w:color="auto" w:fill="FFFFFF" w:themeFill="background1"/>
            <w:tcMar>
              <w:top w:w="0" w:type="dxa"/>
              <w:left w:w="85" w:type="dxa"/>
              <w:bottom w:w="0" w:type="dxa"/>
              <w:right w:w="57" w:type="dxa"/>
            </w:tcMar>
          </w:tcPr>
          <w:p w14:paraId="6BFE7175" w14:textId="77777777" w:rsidR="007C5A34" w:rsidRPr="001D5327" w:rsidRDefault="007C5A34" w:rsidP="00341FEF">
            <w:pPr>
              <w:pStyle w:val="TableText"/>
              <w:spacing w:before="40" w:after="40"/>
              <w:rPr>
                <w:rFonts w:eastAsia="Calibri" w:cs="Calibri"/>
                <w:color w:val="000000"/>
                <w:szCs w:val="16"/>
              </w:rPr>
            </w:pPr>
          </w:p>
        </w:tc>
      </w:tr>
      <w:tr w:rsidR="007C5A34" w:rsidRPr="001D5327" w14:paraId="7D114887" w14:textId="77777777" w:rsidTr="00C526AD">
        <w:tc>
          <w:tcPr>
            <w:tcW w:w="906" w:type="dxa"/>
            <w:shd w:val="clear" w:color="auto" w:fill="FFFFFF" w:themeFill="background1"/>
            <w:tcMar>
              <w:left w:w="85" w:type="dxa"/>
              <w:right w:w="57" w:type="dxa"/>
            </w:tcMar>
          </w:tcPr>
          <w:p w14:paraId="6CD1BE78" w14:textId="77777777" w:rsidR="007C5A34" w:rsidRPr="001D5327" w:rsidRDefault="007C5A34" w:rsidP="00341FEF">
            <w:pPr>
              <w:pStyle w:val="TableText"/>
              <w:spacing w:before="40" w:after="40"/>
              <w:rPr>
                <w:rFonts w:cs="Calibri"/>
                <w:szCs w:val="16"/>
              </w:rPr>
            </w:pPr>
            <w:r w:rsidRPr="001D5327">
              <w:rPr>
                <w:rFonts w:cs="Calibri"/>
                <w:szCs w:val="16"/>
              </w:rPr>
              <w:t>Tokelau</w:t>
            </w:r>
          </w:p>
        </w:tc>
        <w:tc>
          <w:tcPr>
            <w:tcW w:w="4593" w:type="dxa"/>
            <w:shd w:val="clear" w:color="auto" w:fill="FFFFFF" w:themeFill="background1"/>
            <w:tcMar>
              <w:top w:w="0" w:type="dxa"/>
              <w:left w:w="85" w:type="dxa"/>
              <w:bottom w:w="0" w:type="dxa"/>
              <w:right w:w="57" w:type="dxa"/>
            </w:tcMar>
          </w:tcPr>
          <w:p w14:paraId="4584F608" w14:textId="77777777" w:rsidR="007C5A34" w:rsidRPr="001D5327" w:rsidRDefault="007C5A34" w:rsidP="00341FEF">
            <w:pPr>
              <w:pStyle w:val="TableText"/>
              <w:spacing w:before="40" w:after="40"/>
              <w:rPr>
                <w:rFonts w:cs="Calibri"/>
                <w:szCs w:val="16"/>
              </w:rPr>
            </w:pPr>
            <w:r w:rsidRPr="001D5327">
              <w:rPr>
                <w:rFonts w:cs="Calibri"/>
                <w:szCs w:val="16"/>
              </w:rPr>
              <w:t>One minor recalculation has been made in the Tokelau emission estimates since the 2024 submission. Improvements made to estimates in Tokelau have resulted in a decrease of 0.03 per cent (0.001 kt CO</w:t>
            </w:r>
            <w:r w:rsidRPr="001D5327">
              <w:rPr>
                <w:rFonts w:cs="Calibri"/>
                <w:szCs w:val="16"/>
                <w:vertAlign w:val="subscript"/>
              </w:rPr>
              <w:t>2</w:t>
            </w:r>
            <w:r w:rsidRPr="001D5327">
              <w:rPr>
                <w:rFonts w:cs="Calibri"/>
                <w:szCs w:val="16"/>
              </w:rPr>
              <w:t>-e) in estimated Tokelau emissions in 1990 and an increase of 0.1 per cent (0.004 kt CO</w:t>
            </w:r>
            <w:r w:rsidRPr="001D5327">
              <w:rPr>
                <w:rFonts w:cs="Calibri"/>
                <w:szCs w:val="16"/>
                <w:vertAlign w:val="subscript"/>
              </w:rPr>
              <w:t>2</w:t>
            </w:r>
            <w:r w:rsidRPr="001D5327">
              <w:rPr>
                <w:rFonts w:cs="Calibri"/>
                <w:szCs w:val="16"/>
              </w:rPr>
              <w:t>-e) in estimated Tokelau emissions in 2022. This change is due to updates in New Zealand’s medical emissions data, which are assumed to be the same per capita in Tokelau (figure 10.2.8).</w:t>
            </w:r>
          </w:p>
        </w:tc>
        <w:tc>
          <w:tcPr>
            <w:tcW w:w="1077" w:type="dxa"/>
            <w:shd w:val="clear" w:color="auto" w:fill="FFFFFF" w:themeFill="background1"/>
            <w:tcMar>
              <w:top w:w="0" w:type="dxa"/>
              <w:left w:w="85" w:type="dxa"/>
              <w:bottom w:w="0" w:type="dxa"/>
              <w:right w:w="57" w:type="dxa"/>
            </w:tcMar>
          </w:tcPr>
          <w:p w14:paraId="18DF753D" w14:textId="77777777" w:rsidR="007C5A34" w:rsidRPr="001D5327" w:rsidRDefault="007C5A34" w:rsidP="00341FEF">
            <w:pPr>
              <w:pStyle w:val="TableText"/>
              <w:spacing w:before="40" w:after="40"/>
              <w:rPr>
                <w:rFonts w:cs="Calibri"/>
                <w:szCs w:val="16"/>
              </w:rPr>
            </w:pPr>
            <w:r w:rsidRPr="001D5327">
              <w:rPr>
                <w:rFonts w:cs="Calibri"/>
                <w:szCs w:val="16"/>
              </w:rPr>
              <w:t>Consistency</w:t>
            </w:r>
          </w:p>
        </w:tc>
        <w:tc>
          <w:tcPr>
            <w:tcW w:w="1928" w:type="dxa"/>
            <w:shd w:val="clear" w:color="auto" w:fill="FFFFFF" w:themeFill="background1"/>
            <w:tcMar>
              <w:top w:w="0" w:type="dxa"/>
              <w:left w:w="85" w:type="dxa"/>
              <w:bottom w:w="0" w:type="dxa"/>
              <w:right w:w="57" w:type="dxa"/>
            </w:tcMar>
          </w:tcPr>
          <w:p w14:paraId="4FA160F4" w14:textId="77777777" w:rsidR="007C5A34" w:rsidRPr="001D5327" w:rsidRDefault="007C5A34" w:rsidP="00341FEF">
            <w:pPr>
              <w:pStyle w:val="TableText"/>
              <w:spacing w:before="40" w:after="40"/>
              <w:rPr>
                <w:rFonts w:eastAsia="Calibri" w:cs="Calibri"/>
                <w:color w:val="000000"/>
                <w:szCs w:val="16"/>
              </w:rPr>
            </w:pPr>
          </w:p>
        </w:tc>
      </w:tr>
    </w:tbl>
    <w:p w14:paraId="1B1865B8" w14:textId="77777777" w:rsidR="007C5A34" w:rsidRPr="001D5327" w:rsidRDefault="007C5A34" w:rsidP="00F15C8A">
      <w:pPr>
        <w:pStyle w:val="Heading2"/>
        <w:tabs>
          <w:tab w:val="clear" w:pos="851"/>
          <w:tab w:val="left" w:pos="993"/>
        </w:tabs>
        <w:spacing w:before="480"/>
      </w:pPr>
      <w:bookmarkStart w:id="3052" w:name="_Toc194312066"/>
      <w:r w:rsidRPr="001D5327">
        <w:t>10.2</w:t>
      </w:r>
      <w:r w:rsidRPr="001D5327">
        <w:tab/>
        <w:t>Implications for emissions and removal levels and trends, including time-series consistency</w:t>
      </w:r>
      <w:bookmarkEnd w:id="3052"/>
    </w:p>
    <w:p w14:paraId="1203154B" w14:textId="77777777" w:rsidR="007C5A34" w:rsidRPr="001D5327" w:rsidRDefault="007C5A34" w:rsidP="00F15C8A">
      <w:pPr>
        <w:pStyle w:val="Heading3"/>
        <w:tabs>
          <w:tab w:val="clear" w:pos="851"/>
          <w:tab w:val="left" w:pos="993"/>
        </w:tabs>
        <w:spacing w:before="240"/>
      </w:pPr>
      <w:bookmarkStart w:id="3053" w:name="new-zealands-gross-emissions"/>
      <w:r w:rsidRPr="001D5327">
        <w:t xml:space="preserve">10.2.1 </w:t>
      </w:r>
      <w:r w:rsidRPr="001D5327">
        <w:tab/>
        <w:t>New Zealand’s gross emissions</w:t>
      </w:r>
    </w:p>
    <w:p w14:paraId="1B54A2BC" w14:textId="77777777" w:rsidR="007C5A34" w:rsidRPr="001D5327" w:rsidRDefault="007C5A34" w:rsidP="007C5A34">
      <w:pPr>
        <w:pStyle w:val="BodyText"/>
      </w:pPr>
      <w:r w:rsidRPr="001D5327">
        <w:t>The impact of recalculations on New Zealand’s gross emissions is shown in figure 10.2.1. Recalculations have resulted in a decrease of 1.9 per cent (1,279.3 kilotonnes carbon dioxide equivalent (kt CO</w:t>
      </w:r>
      <w:r w:rsidRPr="001D5327">
        <w:rPr>
          <w:vertAlign w:val="subscript"/>
        </w:rPr>
        <w:t>2</w:t>
      </w:r>
      <w:r w:rsidRPr="001D5327">
        <w:t>-e)) in gross emissions in 1990 and a decrease of 0.5 per cent (412.2 kt CO</w:t>
      </w:r>
      <w:r w:rsidRPr="001D5327">
        <w:rPr>
          <w:vertAlign w:val="subscript"/>
        </w:rPr>
        <w:t>2</w:t>
      </w:r>
      <w:r w:rsidRPr="001D5327">
        <w:t>-e) in gross emissions in 2022.</w:t>
      </w:r>
    </w:p>
    <w:p w14:paraId="18F3BA86" w14:textId="77777777" w:rsidR="007C5A34" w:rsidRPr="001D5327" w:rsidRDefault="007C5A34" w:rsidP="007C5A34">
      <w:pPr>
        <w:pStyle w:val="BodyText"/>
      </w:pPr>
      <w:r w:rsidRPr="001D5327">
        <w:lastRenderedPageBreak/>
        <w:t xml:space="preserve">The greatest contribution to the decrease in gross emissions estimates across the time series came from improvements made in the Waste sector. This decrease is mainly the result of improving emissions estimates for </w:t>
      </w:r>
      <w:r w:rsidRPr="001D5327">
        <w:rPr>
          <w:i/>
          <w:iCs/>
        </w:rPr>
        <w:t xml:space="preserve">Solid waste disposal – </w:t>
      </w:r>
      <w:r w:rsidRPr="001D5327">
        <w:rPr>
          <w:i/>
        </w:rPr>
        <w:t xml:space="preserve">Unmanaged </w:t>
      </w:r>
      <w:r w:rsidRPr="001D5327">
        <w:rPr>
          <w:i/>
          <w:iCs/>
        </w:rPr>
        <w:t>waste disposal sites.</w:t>
      </w:r>
      <w:r w:rsidRPr="001D5327">
        <w:t xml:space="preserve"> </w:t>
      </w:r>
    </w:p>
    <w:p w14:paraId="5947714F" w14:textId="77777777" w:rsidR="007C5A34" w:rsidRPr="001D5327" w:rsidRDefault="007C5A34" w:rsidP="007C5A34">
      <w:pPr>
        <w:pStyle w:val="Figure"/>
      </w:pPr>
      <w:bookmarkStart w:id="3054" w:name="_Toc194674892"/>
      <w:r w:rsidRPr="001D5327">
        <w:t xml:space="preserve">Figure 10.2.1 </w:t>
      </w:r>
      <w:r w:rsidRPr="001D5327">
        <w:tab/>
        <w:t>Effect of recalculations on New Zealand’s gross greenhouse gas emissions estimates, from 1990 to 2022</w:t>
      </w:r>
      <w:bookmarkEnd w:id="3054"/>
    </w:p>
    <w:p w14:paraId="24D2BA3E" w14:textId="77777777" w:rsidR="007C5A34" w:rsidRPr="001D5327" w:rsidRDefault="007C5A34" w:rsidP="007C5A34">
      <w:pPr>
        <w:pStyle w:val="BodyText"/>
      </w:pPr>
      <w:r w:rsidRPr="001D5327">
        <w:rPr>
          <w:noProof/>
        </w:rPr>
        <w:drawing>
          <wp:inline distT="0" distB="0" distL="0" distR="0" wp14:anchorId="49A1AA8B" wp14:editId="5A188371">
            <wp:extent cx="5397500" cy="3964329"/>
            <wp:effectExtent l="0" t="0" r="0" b="0"/>
            <wp:docPr id="2098093782" name="Picture" descr="A graph with a line graph and number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098093782" name="Picture" descr="A graph with a line graph and numbers&#10;&#10;Description automatically generated with medium confidence"/>
                    <pic:cNvPicPr>
                      <a:picLocks noChangeAspect="1" noChangeArrowheads="1"/>
                    </pic:cNvPicPr>
                  </pic:nvPicPr>
                  <pic:blipFill rotWithShape="1">
                    <a:blip r:embed="rId257"/>
                    <a:srcRect b="2070"/>
                    <a:stretch/>
                  </pic:blipFill>
                  <pic:spPr bwMode="auto">
                    <a:xfrm>
                      <a:off x="0" y="0"/>
                      <a:ext cx="5397500" cy="3964329"/>
                    </a:xfrm>
                    <a:prstGeom prst="rect">
                      <a:avLst/>
                    </a:prstGeom>
                    <a:noFill/>
                    <a:ln>
                      <a:noFill/>
                    </a:ln>
                    <a:extLst>
                      <a:ext uri="{53640926-AAD7-44D8-BBD7-CCE9431645EC}">
                        <a14:shadowObscured xmlns:a14="http://schemas.microsoft.com/office/drawing/2010/main"/>
                      </a:ext>
                    </a:extLst>
                  </pic:spPr>
                </pic:pic>
              </a:graphicData>
            </a:graphic>
          </wp:inline>
        </w:drawing>
      </w:r>
    </w:p>
    <w:p w14:paraId="433FAE7F" w14:textId="77777777" w:rsidR="007C5A34" w:rsidRPr="001D5327" w:rsidRDefault="007C5A34" w:rsidP="007C5A34">
      <w:pPr>
        <w:pStyle w:val="Heading3"/>
      </w:pPr>
      <w:bookmarkStart w:id="3055" w:name="new-zealands-net-emissions"/>
      <w:bookmarkEnd w:id="3053"/>
      <w:r w:rsidRPr="001D5327">
        <w:t xml:space="preserve">10.2.2 </w:t>
      </w:r>
      <w:r w:rsidRPr="001D5327">
        <w:tab/>
        <w:t>New Zealand’s net emissions</w:t>
      </w:r>
    </w:p>
    <w:p w14:paraId="7D160D08" w14:textId="77777777" w:rsidR="007C5A34" w:rsidRPr="001D5327" w:rsidRDefault="007C5A34" w:rsidP="007C5A34">
      <w:pPr>
        <w:pStyle w:val="BodyText"/>
      </w:pPr>
      <w:r w:rsidRPr="001D5327">
        <w:t>The effect of recalculations on net emissions estimates, which include the Land Use, Land-Use Change and Forestry (LULUCF) sector is shown in figure 10.2.2. There was a decrease of 2.9 per cent (1,288.7 kt CO</w:t>
      </w:r>
      <w:r w:rsidRPr="001D5327">
        <w:rPr>
          <w:vertAlign w:val="subscript"/>
        </w:rPr>
        <w:t>2</w:t>
      </w:r>
      <w:r w:rsidRPr="001D5327">
        <w:t>-e) in net emissions in 1990 and a decrease of 0.9 per cent (546.2 kt CO</w:t>
      </w:r>
      <w:r w:rsidRPr="001D5327">
        <w:rPr>
          <w:vertAlign w:val="subscript"/>
        </w:rPr>
        <w:t>2</w:t>
      </w:r>
      <w:r w:rsidRPr="001D5327">
        <w:t>-e) in net emissions in 2022.</w:t>
      </w:r>
    </w:p>
    <w:p w14:paraId="51FEF65F" w14:textId="6CC9C685" w:rsidR="007C5A34" w:rsidRPr="001D5327" w:rsidRDefault="007C5A34" w:rsidP="007C5A34">
      <w:pPr>
        <w:pStyle w:val="BodyText"/>
      </w:pPr>
      <w:r w:rsidRPr="001D5327">
        <w:t>The changes in net emissions were a result of the combined effect of the improvements made</w:t>
      </w:r>
      <w:r w:rsidR="00637866" w:rsidRPr="001D5327">
        <w:t> </w:t>
      </w:r>
      <w:r w:rsidRPr="001D5327">
        <w:t>to gross emissions estimates, described above, and to the LULUCF sector estimates. The</w:t>
      </w:r>
      <w:r w:rsidR="00637866" w:rsidRPr="001D5327">
        <w:t> </w:t>
      </w:r>
      <w:r w:rsidRPr="001D5327">
        <w:t>improvements to the LULUCF sector that contributed to the recalculations for net emissions were due to updated activity data arising from regular mapping improvements.</w:t>
      </w:r>
    </w:p>
    <w:p w14:paraId="3D3E8E20" w14:textId="77777777" w:rsidR="007C5A34" w:rsidRPr="001D5327" w:rsidRDefault="007C5A34" w:rsidP="007C5A34">
      <w:pPr>
        <w:pStyle w:val="Figure"/>
      </w:pPr>
      <w:bookmarkStart w:id="3056" w:name="_Toc194674893"/>
      <w:r w:rsidRPr="001D5327">
        <w:lastRenderedPageBreak/>
        <w:t xml:space="preserve">Figure 10.2.2 </w:t>
      </w:r>
      <w:r w:rsidRPr="001D5327">
        <w:tab/>
        <w:t>Effect of recalculations on New Zealand’s net greenhouse gas emissions estimates, from 1990 to 2022</w:t>
      </w:r>
      <w:bookmarkEnd w:id="3056"/>
    </w:p>
    <w:p w14:paraId="23DF45E2" w14:textId="77777777" w:rsidR="007C5A34" w:rsidRPr="001D5327" w:rsidRDefault="007C5A34" w:rsidP="007C5A34">
      <w:pPr>
        <w:pStyle w:val="BodyText"/>
      </w:pPr>
      <w:r w:rsidRPr="001D5327">
        <w:rPr>
          <w:noProof/>
        </w:rPr>
        <w:drawing>
          <wp:inline distT="0" distB="0" distL="0" distR="0" wp14:anchorId="797763EF" wp14:editId="7441B883">
            <wp:extent cx="5397500" cy="3946967"/>
            <wp:effectExtent l="0" t="0" r="0" b="0"/>
            <wp:docPr id="274692779" name="Picture" descr="A graph showing a line of growth&#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74692779" name="Picture" descr="A graph showing a line of growth&#10;&#10;Description automatically generated with medium confidence"/>
                    <pic:cNvPicPr>
                      <a:picLocks noChangeAspect="1" noChangeArrowheads="1"/>
                    </pic:cNvPicPr>
                  </pic:nvPicPr>
                  <pic:blipFill rotWithShape="1">
                    <a:blip r:embed="rId258"/>
                    <a:srcRect b="2498"/>
                    <a:stretch/>
                  </pic:blipFill>
                  <pic:spPr bwMode="auto">
                    <a:xfrm>
                      <a:off x="0" y="0"/>
                      <a:ext cx="5397500" cy="3946967"/>
                    </a:xfrm>
                    <a:prstGeom prst="rect">
                      <a:avLst/>
                    </a:prstGeom>
                    <a:noFill/>
                    <a:ln>
                      <a:noFill/>
                    </a:ln>
                    <a:extLst>
                      <a:ext uri="{53640926-AAD7-44D8-BBD7-CCE9431645EC}">
                        <a14:shadowObscured xmlns:a14="http://schemas.microsoft.com/office/drawing/2010/main"/>
                      </a:ext>
                    </a:extLst>
                  </pic:spPr>
                </pic:pic>
              </a:graphicData>
            </a:graphic>
          </wp:inline>
        </w:drawing>
      </w:r>
    </w:p>
    <w:p w14:paraId="4788A3ED" w14:textId="77777777" w:rsidR="007C5A34" w:rsidRPr="001D5327" w:rsidRDefault="007C5A34" w:rsidP="007C5A34">
      <w:pPr>
        <w:pStyle w:val="BodyText"/>
      </w:pPr>
      <w:r w:rsidRPr="001D5327">
        <w:t>The following tables show the category that had the largest impact on the recalculations across the time series by sector. Table 10.2.1 shows the recalculations for the category that increased emissions estimates the most for each sector.</w:t>
      </w:r>
    </w:p>
    <w:p w14:paraId="6005971C" w14:textId="1EADC131" w:rsidR="007C5A34" w:rsidRPr="001D5327" w:rsidRDefault="007C5A34" w:rsidP="007C5A34">
      <w:pPr>
        <w:pStyle w:val="Table"/>
      </w:pPr>
      <w:bookmarkStart w:id="3057" w:name="_Toc194241848"/>
      <w:r w:rsidRPr="001D5327">
        <w:t xml:space="preserve">Table 10.2.1 </w:t>
      </w:r>
      <w:r w:rsidRPr="001D5327">
        <w:tab/>
        <w:t>Recalculations that led to the greatest increase in emissions estimates in each</w:t>
      </w:r>
      <w:r w:rsidR="00943B8A" w:rsidRPr="001D5327">
        <w:t> </w:t>
      </w:r>
      <w:r w:rsidRPr="001D5327">
        <w:t>sector</w:t>
      </w:r>
      <w:bookmarkEnd w:id="3057"/>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892"/>
        <w:gridCol w:w="4070"/>
        <w:gridCol w:w="1984"/>
        <w:gridCol w:w="1548"/>
      </w:tblGrid>
      <w:tr w:rsidR="007C5A34" w:rsidRPr="001D5327" w14:paraId="3A9CAB7B" w14:textId="77777777" w:rsidTr="003F2869">
        <w:trPr>
          <w:tblHeader/>
        </w:trPr>
        <w:tc>
          <w:tcPr>
            <w:tcW w:w="0" w:type="auto"/>
            <w:shd w:val="clear" w:color="auto" w:fill="1B556B"/>
            <w:tcMar>
              <w:top w:w="0" w:type="dxa"/>
              <w:left w:w="85" w:type="dxa"/>
              <w:bottom w:w="0" w:type="dxa"/>
              <w:right w:w="85" w:type="dxa"/>
            </w:tcMar>
            <w:vAlign w:val="bottom"/>
          </w:tcPr>
          <w:p w14:paraId="5182E91C" w14:textId="77777777" w:rsidR="007C5A34" w:rsidRPr="001D5327" w:rsidRDefault="007C5A34" w:rsidP="00341FEF">
            <w:pPr>
              <w:pStyle w:val="TableTextBold"/>
              <w:spacing w:before="40" w:after="40"/>
              <w:rPr>
                <w:noProof w:val="0"/>
                <w:color w:val="FFFFFF" w:themeColor="background1"/>
                <w:szCs w:val="16"/>
              </w:rPr>
            </w:pPr>
            <w:r w:rsidRPr="001D5327">
              <w:rPr>
                <w:rFonts w:eastAsia="Calibri"/>
                <w:noProof w:val="0"/>
                <w:color w:val="FFFFFF" w:themeColor="background1"/>
                <w:szCs w:val="16"/>
              </w:rPr>
              <w:t>Sector</w:t>
            </w:r>
          </w:p>
        </w:tc>
        <w:tc>
          <w:tcPr>
            <w:tcW w:w="4070" w:type="dxa"/>
            <w:shd w:val="clear" w:color="auto" w:fill="1B556B"/>
            <w:tcMar>
              <w:top w:w="0" w:type="dxa"/>
              <w:left w:w="85" w:type="dxa"/>
              <w:bottom w:w="0" w:type="dxa"/>
              <w:right w:w="85" w:type="dxa"/>
            </w:tcMar>
            <w:vAlign w:val="bottom"/>
          </w:tcPr>
          <w:p w14:paraId="2635AC24" w14:textId="77777777" w:rsidR="007C5A34" w:rsidRPr="001D5327" w:rsidRDefault="007C5A34" w:rsidP="00341FEF">
            <w:pPr>
              <w:pStyle w:val="TableTextBold"/>
              <w:spacing w:before="40" w:after="40"/>
              <w:rPr>
                <w:noProof w:val="0"/>
                <w:color w:val="FFFFFF" w:themeColor="background1"/>
                <w:szCs w:val="16"/>
              </w:rPr>
            </w:pPr>
            <w:r w:rsidRPr="001D5327">
              <w:rPr>
                <w:rFonts w:eastAsia="Calibri"/>
                <w:noProof w:val="0"/>
                <w:color w:val="FFFFFF" w:themeColor="background1"/>
                <w:szCs w:val="16"/>
              </w:rPr>
              <w:t>Category with the largest increase in estimated emissions across the entire time series</w:t>
            </w:r>
          </w:p>
        </w:tc>
        <w:tc>
          <w:tcPr>
            <w:tcW w:w="1984" w:type="dxa"/>
            <w:shd w:val="clear" w:color="auto" w:fill="1B556B"/>
            <w:tcMar>
              <w:top w:w="0" w:type="dxa"/>
              <w:left w:w="85" w:type="dxa"/>
              <w:bottom w:w="0" w:type="dxa"/>
              <w:right w:w="85" w:type="dxa"/>
            </w:tcMar>
            <w:vAlign w:val="bottom"/>
          </w:tcPr>
          <w:p w14:paraId="7419BA2A" w14:textId="77777777" w:rsidR="007C5A34" w:rsidRPr="001D5327" w:rsidRDefault="007C5A34" w:rsidP="00341FEF">
            <w:pPr>
              <w:pStyle w:val="TableTextBold"/>
              <w:spacing w:before="40" w:after="40"/>
              <w:jc w:val="right"/>
              <w:rPr>
                <w:noProof w:val="0"/>
                <w:color w:val="FFFFFF" w:themeColor="background1"/>
                <w:szCs w:val="16"/>
              </w:rPr>
            </w:pPr>
            <w:r w:rsidRPr="001D5327">
              <w:rPr>
                <w:rFonts w:eastAsia="Calibri"/>
                <w:noProof w:val="0"/>
                <w:color w:val="FFFFFF" w:themeColor="background1"/>
                <w:szCs w:val="16"/>
              </w:rPr>
              <w:t>Largest single increase in emissions for the category (kt CO</w:t>
            </w:r>
            <w:r w:rsidRPr="001D5327">
              <w:rPr>
                <w:rFonts w:eastAsia="Calibri"/>
                <w:noProof w:val="0"/>
                <w:color w:val="FFFFFF" w:themeColor="background1"/>
                <w:szCs w:val="16"/>
                <w:vertAlign w:val="subscript"/>
              </w:rPr>
              <w:t>2</w:t>
            </w:r>
            <w:r w:rsidRPr="001D5327">
              <w:rPr>
                <w:rFonts w:eastAsia="Calibri"/>
                <w:noProof w:val="0"/>
                <w:color w:val="FFFFFF" w:themeColor="background1"/>
                <w:szCs w:val="16"/>
              </w:rPr>
              <w:t>-e)</w:t>
            </w:r>
          </w:p>
        </w:tc>
        <w:tc>
          <w:tcPr>
            <w:tcW w:w="1548" w:type="dxa"/>
            <w:shd w:val="clear" w:color="auto" w:fill="1B556B"/>
            <w:tcMar>
              <w:top w:w="0" w:type="dxa"/>
              <w:left w:w="85" w:type="dxa"/>
              <w:bottom w:w="0" w:type="dxa"/>
              <w:right w:w="85" w:type="dxa"/>
            </w:tcMar>
            <w:vAlign w:val="bottom"/>
          </w:tcPr>
          <w:p w14:paraId="1A07DC57" w14:textId="77777777" w:rsidR="007C5A34" w:rsidRPr="001D5327" w:rsidRDefault="007C5A34" w:rsidP="003F2869">
            <w:pPr>
              <w:pStyle w:val="TableTextBold"/>
              <w:spacing w:before="40" w:after="40"/>
              <w:rPr>
                <w:noProof w:val="0"/>
                <w:color w:val="FFFFFF" w:themeColor="background1"/>
                <w:szCs w:val="16"/>
              </w:rPr>
            </w:pPr>
            <w:r w:rsidRPr="001D5327">
              <w:rPr>
                <w:rFonts w:eastAsia="Calibri"/>
                <w:noProof w:val="0"/>
                <w:color w:val="FFFFFF" w:themeColor="background1"/>
                <w:szCs w:val="16"/>
              </w:rPr>
              <w:t>Year of the largest increase in estimated emissions</w:t>
            </w:r>
          </w:p>
        </w:tc>
      </w:tr>
      <w:tr w:rsidR="007C5A34" w:rsidRPr="001D5327" w14:paraId="7A9E4673" w14:textId="77777777" w:rsidTr="003F2869">
        <w:tc>
          <w:tcPr>
            <w:tcW w:w="0" w:type="auto"/>
            <w:shd w:val="clear" w:color="auto" w:fill="FFFFFF" w:themeFill="background1"/>
            <w:tcMar>
              <w:top w:w="0" w:type="dxa"/>
              <w:left w:w="85" w:type="dxa"/>
              <w:bottom w:w="0" w:type="dxa"/>
              <w:right w:w="85" w:type="dxa"/>
            </w:tcMar>
          </w:tcPr>
          <w:p w14:paraId="276B582A" w14:textId="77777777" w:rsidR="007C5A34" w:rsidRPr="001D5327" w:rsidRDefault="007C5A34" w:rsidP="00341FEF">
            <w:pPr>
              <w:pStyle w:val="TableText"/>
              <w:spacing w:before="40" w:after="40"/>
              <w:rPr>
                <w:szCs w:val="16"/>
              </w:rPr>
            </w:pPr>
            <w:r w:rsidRPr="001D5327">
              <w:rPr>
                <w:rFonts w:eastAsia="Calibri"/>
                <w:color w:val="000000"/>
                <w:szCs w:val="16"/>
              </w:rPr>
              <w:t>Energy</w:t>
            </w:r>
          </w:p>
        </w:tc>
        <w:tc>
          <w:tcPr>
            <w:tcW w:w="4070" w:type="dxa"/>
            <w:shd w:val="clear" w:color="auto" w:fill="FFFFFF" w:themeFill="background1"/>
            <w:tcMar>
              <w:top w:w="0" w:type="dxa"/>
              <w:left w:w="85" w:type="dxa"/>
              <w:bottom w:w="0" w:type="dxa"/>
              <w:right w:w="85" w:type="dxa"/>
            </w:tcMar>
          </w:tcPr>
          <w:p w14:paraId="5C220BDD" w14:textId="77777777" w:rsidR="007C5A34" w:rsidRPr="001D5327" w:rsidRDefault="007C5A34" w:rsidP="00341FEF">
            <w:pPr>
              <w:pStyle w:val="TableText"/>
              <w:spacing w:before="40" w:after="40"/>
              <w:rPr>
                <w:rFonts w:cstheme="minorHAnsi"/>
                <w:szCs w:val="16"/>
              </w:rPr>
            </w:pPr>
            <w:r w:rsidRPr="001D5327">
              <w:rPr>
                <w:rFonts w:cstheme="minorHAnsi"/>
                <w:szCs w:val="16"/>
              </w:rPr>
              <w:t>Energy industries – Public electricity and heat production</w:t>
            </w:r>
          </w:p>
        </w:tc>
        <w:tc>
          <w:tcPr>
            <w:tcW w:w="1984" w:type="dxa"/>
            <w:shd w:val="clear" w:color="auto" w:fill="FFFFFF" w:themeFill="background1"/>
            <w:tcMar>
              <w:top w:w="0" w:type="dxa"/>
              <w:left w:w="85" w:type="dxa"/>
              <w:bottom w:w="0" w:type="dxa"/>
              <w:right w:w="85" w:type="dxa"/>
            </w:tcMar>
            <w:vAlign w:val="bottom"/>
          </w:tcPr>
          <w:p w14:paraId="212DF780" w14:textId="77777777" w:rsidR="007C5A34" w:rsidRPr="001D5327" w:rsidRDefault="007C5A34" w:rsidP="00341FEF">
            <w:pPr>
              <w:pStyle w:val="TableText"/>
              <w:spacing w:before="40" w:after="40"/>
              <w:jc w:val="right"/>
              <w:rPr>
                <w:rFonts w:cstheme="minorHAnsi"/>
                <w:szCs w:val="16"/>
              </w:rPr>
            </w:pPr>
            <w:r w:rsidRPr="001D5327">
              <w:rPr>
                <w:rFonts w:cstheme="minorHAnsi"/>
                <w:szCs w:val="16"/>
              </w:rPr>
              <w:t>186.1</w:t>
            </w:r>
          </w:p>
        </w:tc>
        <w:tc>
          <w:tcPr>
            <w:tcW w:w="1548" w:type="dxa"/>
            <w:shd w:val="clear" w:color="auto" w:fill="FFFFFF" w:themeFill="background1"/>
            <w:tcMar>
              <w:top w:w="0" w:type="dxa"/>
              <w:left w:w="85" w:type="dxa"/>
              <w:bottom w:w="0" w:type="dxa"/>
              <w:right w:w="85" w:type="dxa"/>
            </w:tcMar>
            <w:vAlign w:val="bottom"/>
          </w:tcPr>
          <w:p w14:paraId="7B7CB7A6" w14:textId="77777777" w:rsidR="007C5A34" w:rsidRPr="001D5327" w:rsidRDefault="007C5A34" w:rsidP="003F2869">
            <w:pPr>
              <w:pStyle w:val="TableText"/>
              <w:spacing w:before="40" w:after="40"/>
              <w:rPr>
                <w:rFonts w:cstheme="minorHAnsi"/>
                <w:szCs w:val="16"/>
              </w:rPr>
            </w:pPr>
            <w:r w:rsidRPr="001D5327">
              <w:rPr>
                <w:rFonts w:cstheme="minorHAnsi"/>
                <w:szCs w:val="16"/>
              </w:rPr>
              <w:t>2022</w:t>
            </w:r>
          </w:p>
        </w:tc>
      </w:tr>
      <w:tr w:rsidR="007C5A34" w:rsidRPr="001D5327" w14:paraId="79D4B295" w14:textId="77777777" w:rsidTr="003F2869">
        <w:tc>
          <w:tcPr>
            <w:tcW w:w="0" w:type="auto"/>
            <w:shd w:val="clear" w:color="auto" w:fill="FFFFFF" w:themeFill="background1"/>
            <w:tcMar>
              <w:top w:w="0" w:type="dxa"/>
              <w:left w:w="85" w:type="dxa"/>
              <w:bottom w:w="0" w:type="dxa"/>
              <w:right w:w="85" w:type="dxa"/>
            </w:tcMar>
          </w:tcPr>
          <w:p w14:paraId="2501A064" w14:textId="77777777" w:rsidR="007C5A34" w:rsidRPr="001D5327" w:rsidRDefault="007C5A34" w:rsidP="00341FEF">
            <w:pPr>
              <w:pStyle w:val="TableText"/>
              <w:spacing w:before="40" w:after="40"/>
              <w:rPr>
                <w:szCs w:val="16"/>
              </w:rPr>
            </w:pPr>
            <w:r w:rsidRPr="001D5327">
              <w:rPr>
                <w:rFonts w:eastAsia="Calibri"/>
                <w:color w:val="000000"/>
                <w:szCs w:val="16"/>
              </w:rPr>
              <w:t>IPPU</w:t>
            </w:r>
          </w:p>
        </w:tc>
        <w:tc>
          <w:tcPr>
            <w:tcW w:w="4070" w:type="dxa"/>
            <w:shd w:val="clear" w:color="auto" w:fill="FFFFFF" w:themeFill="background1"/>
            <w:tcMar>
              <w:top w:w="0" w:type="dxa"/>
              <w:left w:w="85" w:type="dxa"/>
              <w:bottom w:w="0" w:type="dxa"/>
              <w:right w:w="85" w:type="dxa"/>
            </w:tcMar>
          </w:tcPr>
          <w:p w14:paraId="4A72E47C" w14:textId="77777777" w:rsidR="007C5A34" w:rsidRPr="001D5327" w:rsidRDefault="007C5A34" w:rsidP="00341FEF">
            <w:pPr>
              <w:pStyle w:val="TableText"/>
              <w:spacing w:before="40" w:after="40"/>
              <w:rPr>
                <w:rFonts w:cstheme="minorHAnsi"/>
                <w:szCs w:val="16"/>
              </w:rPr>
            </w:pPr>
            <w:r w:rsidRPr="001D5327">
              <w:rPr>
                <w:rFonts w:cstheme="minorHAnsi"/>
                <w:szCs w:val="16"/>
              </w:rPr>
              <w:t>Other (please specify) – Carbon dioxide consumption</w:t>
            </w:r>
          </w:p>
        </w:tc>
        <w:tc>
          <w:tcPr>
            <w:tcW w:w="1984" w:type="dxa"/>
            <w:shd w:val="clear" w:color="auto" w:fill="FFFFFF" w:themeFill="background1"/>
            <w:tcMar>
              <w:top w:w="0" w:type="dxa"/>
              <w:left w:w="85" w:type="dxa"/>
              <w:bottom w:w="0" w:type="dxa"/>
              <w:right w:w="85" w:type="dxa"/>
            </w:tcMar>
            <w:vAlign w:val="bottom"/>
          </w:tcPr>
          <w:p w14:paraId="34B43FD1" w14:textId="77777777" w:rsidR="007C5A34" w:rsidRPr="001D5327" w:rsidRDefault="007C5A34" w:rsidP="00341FEF">
            <w:pPr>
              <w:pStyle w:val="TableText"/>
              <w:spacing w:before="40" w:after="40"/>
              <w:jc w:val="right"/>
              <w:rPr>
                <w:rFonts w:cstheme="minorHAnsi"/>
                <w:szCs w:val="16"/>
              </w:rPr>
            </w:pPr>
            <w:r w:rsidRPr="001D5327">
              <w:rPr>
                <w:rFonts w:cstheme="minorHAnsi"/>
                <w:szCs w:val="16"/>
              </w:rPr>
              <w:t>55.4</w:t>
            </w:r>
          </w:p>
        </w:tc>
        <w:tc>
          <w:tcPr>
            <w:tcW w:w="1548" w:type="dxa"/>
            <w:shd w:val="clear" w:color="auto" w:fill="FFFFFF" w:themeFill="background1"/>
            <w:tcMar>
              <w:top w:w="0" w:type="dxa"/>
              <w:left w:w="85" w:type="dxa"/>
              <w:bottom w:w="0" w:type="dxa"/>
              <w:right w:w="85" w:type="dxa"/>
            </w:tcMar>
            <w:vAlign w:val="bottom"/>
          </w:tcPr>
          <w:p w14:paraId="0200F571" w14:textId="77777777" w:rsidR="007C5A34" w:rsidRPr="001D5327" w:rsidRDefault="007C5A34" w:rsidP="003F2869">
            <w:pPr>
              <w:pStyle w:val="TableText"/>
              <w:spacing w:before="40" w:after="40"/>
              <w:rPr>
                <w:rFonts w:cstheme="minorHAnsi"/>
                <w:szCs w:val="16"/>
              </w:rPr>
            </w:pPr>
            <w:r w:rsidRPr="001D5327">
              <w:rPr>
                <w:rFonts w:cstheme="minorHAnsi"/>
                <w:szCs w:val="16"/>
              </w:rPr>
              <w:t>2019</w:t>
            </w:r>
          </w:p>
        </w:tc>
      </w:tr>
      <w:tr w:rsidR="007C5A34" w:rsidRPr="001D5327" w14:paraId="77259D51" w14:textId="77777777" w:rsidTr="003F2869">
        <w:tc>
          <w:tcPr>
            <w:tcW w:w="0" w:type="auto"/>
            <w:shd w:val="clear" w:color="auto" w:fill="FFFFFF" w:themeFill="background1"/>
            <w:tcMar>
              <w:top w:w="0" w:type="dxa"/>
              <w:left w:w="85" w:type="dxa"/>
              <w:bottom w:w="0" w:type="dxa"/>
              <w:right w:w="85" w:type="dxa"/>
            </w:tcMar>
          </w:tcPr>
          <w:p w14:paraId="6FD409B8" w14:textId="77777777" w:rsidR="007C5A34" w:rsidRPr="001D5327" w:rsidRDefault="007C5A34" w:rsidP="00341FEF">
            <w:pPr>
              <w:pStyle w:val="TableText"/>
              <w:spacing w:before="40" w:after="40"/>
              <w:rPr>
                <w:szCs w:val="16"/>
              </w:rPr>
            </w:pPr>
            <w:r w:rsidRPr="001D5327">
              <w:rPr>
                <w:rFonts w:eastAsia="Calibri"/>
                <w:color w:val="000000"/>
                <w:szCs w:val="16"/>
              </w:rPr>
              <w:t>Agriculture</w:t>
            </w:r>
          </w:p>
        </w:tc>
        <w:tc>
          <w:tcPr>
            <w:tcW w:w="4070" w:type="dxa"/>
            <w:shd w:val="clear" w:color="auto" w:fill="FFFFFF" w:themeFill="background1"/>
            <w:tcMar>
              <w:top w:w="0" w:type="dxa"/>
              <w:left w:w="85" w:type="dxa"/>
              <w:bottom w:w="0" w:type="dxa"/>
              <w:right w:w="85" w:type="dxa"/>
            </w:tcMar>
          </w:tcPr>
          <w:p w14:paraId="3485D7E6" w14:textId="77777777" w:rsidR="007C5A34" w:rsidRPr="001D5327" w:rsidRDefault="007C5A34" w:rsidP="00341FEF">
            <w:pPr>
              <w:pStyle w:val="TableText"/>
              <w:spacing w:before="40" w:after="40"/>
              <w:rPr>
                <w:rFonts w:cstheme="minorBidi"/>
                <w:szCs w:val="16"/>
              </w:rPr>
            </w:pPr>
            <w:r w:rsidRPr="001D5327">
              <w:rPr>
                <w:rFonts w:cstheme="minorBidi"/>
                <w:szCs w:val="16"/>
              </w:rPr>
              <w:t xml:space="preserve">Option A </w:t>
            </w:r>
            <w:r w:rsidRPr="001D5327">
              <w:rPr>
                <w:szCs w:val="16"/>
              </w:rPr>
              <w:t>–</w:t>
            </w:r>
            <w:r w:rsidRPr="001D5327">
              <w:rPr>
                <w:rFonts w:cstheme="minorBidi"/>
                <w:szCs w:val="16"/>
              </w:rPr>
              <w:t xml:space="preserve"> Dairy cattle</w:t>
            </w:r>
          </w:p>
        </w:tc>
        <w:tc>
          <w:tcPr>
            <w:tcW w:w="1984" w:type="dxa"/>
            <w:shd w:val="clear" w:color="auto" w:fill="FFFFFF" w:themeFill="background1"/>
            <w:tcMar>
              <w:top w:w="0" w:type="dxa"/>
              <w:left w:w="85" w:type="dxa"/>
              <w:bottom w:w="0" w:type="dxa"/>
              <w:right w:w="85" w:type="dxa"/>
            </w:tcMar>
            <w:vAlign w:val="bottom"/>
          </w:tcPr>
          <w:p w14:paraId="0DB8565E" w14:textId="77777777" w:rsidR="007C5A34" w:rsidRPr="001D5327" w:rsidRDefault="007C5A34" w:rsidP="00341FEF">
            <w:pPr>
              <w:pStyle w:val="TableText"/>
              <w:spacing w:before="40" w:after="40"/>
              <w:jc w:val="right"/>
              <w:rPr>
                <w:rFonts w:cstheme="minorHAnsi"/>
                <w:szCs w:val="16"/>
              </w:rPr>
            </w:pPr>
            <w:r w:rsidRPr="001D5327">
              <w:rPr>
                <w:rFonts w:cstheme="minorHAnsi"/>
                <w:szCs w:val="16"/>
              </w:rPr>
              <w:t>474.3</w:t>
            </w:r>
          </w:p>
        </w:tc>
        <w:tc>
          <w:tcPr>
            <w:tcW w:w="1548" w:type="dxa"/>
            <w:shd w:val="clear" w:color="auto" w:fill="FFFFFF" w:themeFill="background1"/>
            <w:tcMar>
              <w:top w:w="0" w:type="dxa"/>
              <w:left w:w="85" w:type="dxa"/>
              <w:bottom w:w="0" w:type="dxa"/>
              <w:right w:w="85" w:type="dxa"/>
            </w:tcMar>
            <w:vAlign w:val="bottom"/>
          </w:tcPr>
          <w:p w14:paraId="73D61662" w14:textId="77777777" w:rsidR="007C5A34" w:rsidRPr="001D5327" w:rsidRDefault="007C5A34" w:rsidP="003F2869">
            <w:pPr>
              <w:pStyle w:val="TableText"/>
              <w:spacing w:before="40" w:after="40"/>
              <w:rPr>
                <w:rFonts w:cstheme="minorHAnsi"/>
                <w:szCs w:val="16"/>
              </w:rPr>
            </w:pPr>
            <w:r w:rsidRPr="001D5327">
              <w:rPr>
                <w:rFonts w:cstheme="minorHAnsi"/>
                <w:szCs w:val="16"/>
              </w:rPr>
              <w:t>2017</w:t>
            </w:r>
          </w:p>
        </w:tc>
      </w:tr>
      <w:tr w:rsidR="007C5A34" w:rsidRPr="001D5327" w14:paraId="073736C4" w14:textId="77777777" w:rsidTr="003F2869">
        <w:tc>
          <w:tcPr>
            <w:tcW w:w="0" w:type="auto"/>
            <w:shd w:val="clear" w:color="auto" w:fill="FFFFFF" w:themeFill="background1"/>
            <w:tcMar>
              <w:top w:w="0" w:type="dxa"/>
              <w:left w:w="85" w:type="dxa"/>
              <w:bottom w:w="0" w:type="dxa"/>
              <w:right w:w="85" w:type="dxa"/>
            </w:tcMar>
          </w:tcPr>
          <w:p w14:paraId="79112608" w14:textId="77777777" w:rsidR="007C5A34" w:rsidRPr="001D5327" w:rsidRDefault="007C5A34" w:rsidP="00341FEF">
            <w:pPr>
              <w:pStyle w:val="TableText"/>
              <w:spacing w:before="40" w:after="40"/>
              <w:rPr>
                <w:szCs w:val="16"/>
              </w:rPr>
            </w:pPr>
            <w:r w:rsidRPr="001D5327">
              <w:rPr>
                <w:rFonts w:eastAsia="Calibri"/>
                <w:color w:val="000000"/>
                <w:szCs w:val="16"/>
              </w:rPr>
              <w:t>LULUCF</w:t>
            </w:r>
          </w:p>
        </w:tc>
        <w:tc>
          <w:tcPr>
            <w:tcW w:w="4070" w:type="dxa"/>
            <w:shd w:val="clear" w:color="auto" w:fill="FFFFFF" w:themeFill="background1"/>
            <w:tcMar>
              <w:top w:w="0" w:type="dxa"/>
              <w:left w:w="85" w:type="dxa"/>
              <w:bottom w:w="0" w:type="dxa"/>
              <w:right w:w="85" w:type="dxa"/>
            </w:tcMar>
          </w:tcPr>
          <w:p w14:paraId="21ECF99E" w14:textId="77777777" w:rsidR="007C5A34" w:rsidRPr="001D5327" w:rsidRDefault="007C5A34" w:rsidP="00341FEF">
            <w:pPr>
              <w:pStyle w:val="TableText"/>
              <w:spacing w:before="40" w:after="40"/>
              <w:rPr>
                <w:rFonts w:cstheme="minorBidi"/>
                <w:szCs w:val="16"/>
              </w:rPr>
            </w:pPr>
            <w:r w:rsidRPr="001D5327">
              <w:rPr>
                <w:rFonts w:cstheme="minorBidi"/>
                <w:szCs w:val="16"/>
              </w:rPr>
              <w:t xml:space="preserve">Forest land remaining forest land </w:t>
            </w:r>
            <w:r w:rsidRPr="001D5327">
              <w:rPr>
                <w:szCs w:val="16"/>
              </w:rPr>
              <w:t>–</w:t>
            </w:r>
            <w:r w:rsidRPr="001D5327">
              <w:rPr>
                <w:rFonts w:cstheme="minorBidi"/>
                <w:szCs w:val="16"/>
              </w:rPr>
              <w:t xml:space="preserve"> Pre-1990 planted forest remaining pre-1990 planted forest</w:t>
            </w:r>
          </w:p>
        </w:tc>
        <w:tc>
          <w:tcPr>
            <w:tcW w:w="1984" w:type="dxa"/>
            <w:shd w:val="clear" w:color="auto" w:fill="FFFFFF" w:themeFill="background1"/>
            <w:tcMar>
              <w:top w:w="0" w:type="dxa"/>
              <w:left w:w="85" w:type="dxa"/>
              <w:bottom w:w="0" w:type="dxa"/>
              <w:right w:w="85" w:type="dxa"/>
            </w:tcMar>
            <w:vAlign w:val="bottom"/>
          </w:tcPr>
          <w:p w14:paraId="1B30EDDB" w14:textId="77777777" w:rsidR="007C5A34" w:rsidRPr="001D5327" w:rsidRDefault="007C5A34" w:rsidP="00341FEF">
            <w:pPr>
              <w:pStyle w:val="TableText"/>
              <w:spacing w:before="40" w:after="40"/>
              <w:jc w:val="right"/>
              <w:rPr>
                <w:rFonts w:cstheme="minorHAnsi"/>
                <w:szCs w:val="16"/>
              </w:rPr>
            </w:pPr>
            <w:r w:rsidRPr="001D5327">
              <w:rPr>
                <w:rFonts w:cstheme="minorHAnsi"/>
                <w:szCs w:val="16"/>
              </w:rPr>
              <w:t>790.6</w:t>
            </w:r>
          </w:p>
        </w:tc>
        <w:tc>
          <w:tcPr>
            <w:tcW w:w="1548" w:type="dxa"/>
            <w:shd w:val="clear" w:color="auto" w:fill="FFFFFF" w:themeFill="background1"/>
            <w:tcMar>
              <w:top w:w="0" w:type="dxa"/>
              <w:left w:w="85" w:type="dxa"/>
              <w:bottom w:w="0" w:type="dxa"/>
              <w:right w:w="85" w:type="dxa"/>
            </w:tcMar>
            <w:vAlign w:val="bottom"/>
          </w:tcPr>
          <w:p w14:paraId="3F219AAA" w14:textId="77777777" w:rsidR="007C5A34" w:rsidRPr="001D5327" w:rsidRDefault="007C5A34" w:rsidP="003F2869">
            <w:pPr>
              <w:pStyle w:val="TableText"/>
              <w:spacing w:before="40" w:after="40"/>
              <w:rPr>
                <w:rFonts w:cstheme="minorHAnsi"/>
                <w:szCs w:val="16"/>
              </w:rPr>
            </w:pPr>
            <w:r w:rsidRPr="001D5327">
              <w:rPr>
                <w:rFonts w:cstheme="minorHAnsi"/>
                <w:szCs w:val="16"/>
              </w:rPr>
              <w:t>2022</w:t>
            </w:r>
          </w:p>
        </w:tc>
      </w:tr>
      <w:tr w:rsidR="007C5A34" w:rsidRPr="001D5327" w14:paraId="38D349F0" w14:textId="77777777" w:rsidTr="003F2869">
        <w:tc>
          <w:tcPr>
            <w:tcW w:w="0" w:type="auto"/>
            <w:shd w:val="clear" w:color="auto" w:fill="FFFFFF" w:themeFill="background1"/>
            <w:tcMar>
              <w:top w:w="0" w:type="dxa"/>
              <w:left w:w="85" w:type="dxa"/>
              <w:bottom w:w="0" w:type="dxa"/>
              <w:right w:w="85" w:type="dxa"/>
            </w:tcMar>
          </w:tcPr>
          <w:p w14:paraId="6C3CA9DC" w14:textId="77777777" w:rsidR="007C5A34" w:rsidRPr="001D5327" w:rsidRDefault="007C5A34" w:rsidP="00341FEF">
            <w:pPr>
              <w:pStyle w:val="TableText"/>
              <w:spacing w:before="40" w:after="40"/>
              <w:rPr>
                <w:szCs w:val="16"/>
              </w:rPr>
            </w:pPr>
            <w:r w:rsidRPr="001D5327">
              <w:rPr>
                <w:rFonts w:eastAsia="Calibri"/>
                <w:color w:val="000000"/>
                <w:szCs w:val="16"/>
              </w:rPr>
              <w:t>Waste</w:t>
            </w:r>
          </w:p>
        </w:tc>
        <w:tc>
          <w:tcPr>
            <w:tcW w:w="4070" w:type="dxa"/>
            <w:shd w:val="clear" w:color="auto" w:fill="FFFFFF" w:themeFill="background1"/>
            <w:tcMar>
              <w:top w:w="0" w:type="dxa"/>
              <w:left w:w="85" w:type="dxa"/>
              <w:bottom w:w="0" w:type="dxa"/>
              <w:right w:w="85" w:type="dxa"/>
            </w:tcMar>
          </w:tcPr>
          <w:p w14:paraId="6E4D40A6" w14:textId="77777777" w:rsidR="007C5A34" w:rsidRPr="001D5327" w:rsidRDefault="007C5A34" w:rsidP="00341FEF">
            <w:pPr>
              <w:pStyle w:val="TableText"/>
              <w:spacing w:before="40" w:after="40"/>
              <w:rPr>
                <w:rFonts w:cstheme="minorHAnsi"/>
                <w:szCs w:val="16"/>
              </w:rPr>
            </w:pPr>
            <w:r w:rsidRPr="001D5327">
              <w:rPr>
                <w:rFonts w:cstheme="minorHAnsi"/>
                <w:szCs w:val="16"/>
              </w:rPr>
              <w:t>Managed waste disposal sites – Anaerobic</w:t>
            </w:r>
          </w:p>
        </w:tc>
        <w:tc>
          <w:tcPr>
            <w:tcW w:w="1984" w:type="dxa"/>
            <w:shd w:val="clear" w:color="auto" w:fill="FFFFFF" w:themeFill="background1"/>
            <w:tcMar>
              <w:top w:w="0" w:type="dxa"/>
              <w:left w:w="85" w:type="dxa"/>
              <w:bottom w:w="0" w:type="dxa"/>
              <w:right w:w="85" w:type="dxa"/>
            </w:tcMar>
            <w:vAlign w:val="bottom"/>
          </w:tcPr>
          <w:p w14:paraId="24B61785" w14:textId="77777777" w:rsidR="007C5A34" w:rsidRPr="001D5327" w:rsidRDefault="007C5A34" w:rsidP="00341FEF">
            <w:pPr>
              <w:pStyle w:val="TableText"/>
              <w:spacing w:before="40" w:after="40"/>
              <w:jc w:val="right"/>
              <w:rPr>
                <w:rFonts w:cstheme="minorHAnsi"/>
                <w:szCs w:val="16"/>
              </w:rPr>
            </w:pPr>
            <w:r w:rsidRPr="001D5327">
              <w:rPr>
                <w:rFonts w:cstheme="minorHAnsi"/>
                <w:szCs w:val="16"/>
              </w:rPr>
              <w:t>294.1</w:t>
            </w:r>
          </w:p>
        </w:tc>
        <w:tc>
          <w:tcPr>
            <w:tcW w:w="1548" w:type="dxa"/>
            <w:shd w:val="clear" w:color="auto" w:fill="FFFFFF" w:themeFill="background1"/>
            <w:tcMar>
              <w:top w:w="0" w:type="dxa"/>
              <w:left w:w="85" w:type="dxa"/>
              <w:bottom w:w="0" w:type="dxa"/>
              <w:right w:w="85" w:type="dxa"/>
            </w:tcMar>
            <w:vAlign w:val="bottom"/>
          </w:tcPr>
          <w:p w14:paraId="78B0FC7D" w14:textId="77777777" w:rsidR="007C5A34" w:rsidRPr="001D5327" w:rsidRDefault="007C5A34" w:rsidP="003F2869">
            <w:pPr>
              <w:pStyle w:val="TableText"/>
              <w:spacing w:before="40" w:after="40"/>
              <w:rPr>
                <w:rFonts w:cstheme="minorHAnsi"/>
                <w:szCs w:val="16"/>
              </w:rPr>
            </w:pPr>
            <w:r w:rsidRPr="001D5327">
              <w:rPr>
                <w:rFonts w:cstheme="minorHAnsi"/>
                <w:szCs w:val="16"/>
              </w:rPr>
              <w:t>2022</w:t>
            </w:r>
          </w:p>
        </w:tc>
      </w:tr>
      <w:tr w:rsidR="007C5A34" w:rsidRPr="001D5327" w14:paraId="7CE65630" w14:textId="77777777" w:rsidTr="003F2869">
        <w:tc>
          <w:tcPr>
            <w:tcW w:w="0" w:type="auto"/>
            <w:shd w:val="clear" w:color="auto" w:fill="FFFFFF" w:themeFill="background1"/>
            <w:tcMar>
              <w:top w:w="0" w:type="dxa"/>
              <w:left w:w="85" w:type="dxa"/>
              <w:bottom w:w="0" w:type="dxa"/>
              <w:right w:w="85" w:type="dxa"/>
            </w:tcMar>
          </w:tcPr>
          <w:p w14:paraId="1CC83FDA" w14:textId="77777777" w:rsidR="007C5A34" w:rsidRPr="001D5327" w:rsidRDefault="007C5A34" w:rsidP="00341FEF">
            <w:pPr>
              <w:pStyle w:val="TableText"/>
              <w:spacing w:before="40" w:after="40"/>
              <w:rPr>
                <w:szCs w:val="16"/>
              </w:rPr>
            </w:pPr>
            <w:r w:rsidRPr="001D5327">
              <w:rPr>
                <w:rFonts w:eastAsia="Calibri"/>
                <w:color w:val="000000"/>
                <w:szCs w:val="16"/>
              </w:rPr>
              <w:t>Tokelau</w:t>
            </w:r>
          </w:p>
        </w:tc>
        <w:tc>
          <w:tcPr>
            <w:tcW w:w="4070" w:type="dxa"/>
            <w:shd w:val="clear" w:color="auto" w:fill="FFFFFF" w:themeFill="background1"/>
            <w:tcMar>
              <w:top w:w="0" w:type="dxa"/>
              <w:left w:w="85" w:type="dxa"/>
              <w:bottom w:w="0" w:type="dxa"/>
              <w:right w:w="85" w:type="dxa"/>
            </w:tcMar>
          </w:tcPr>
          <w:p w14:paraId="4946427F" w14:textId="77777777" w:rsidR="007C5A34" w:rsidRPr="001D5327" w:rsidRDefault="007C5A34" w:rsidP="00341FEF">
            <w:pPr>
              <w:pStyle w:val="TableText"/>
              <w:spacing w:before="40" w:after="40"/>
              <w:rPr>
                <w:rFonts w:cstheme="minorHAnsi"/>
                <w:szCs w:val="16"/>
              </w:rPr>
            </w:pPr>
            <w:r w:rsidRPr="001D5327">
              <w:rPr>
                <w:rFonts w:cstheme="minorHAnsi"/>
                <w:szCs w:val="16"/>
              </w:rPr>
              <w:t>Other (please specify) – Tokelau_2. Industrial Processes and Product Use</w:t>
            </w:r>
          </w:p>
        </w:tc>
        <w:tc>
          <w:tcPr>
            <w:tcW w:w="1984" w:type="dxa"/>
            <w:shd w:val="clear" w:color="auto" w:fill="FFFFFF" w:themeFill="background1"/>
            <w:tcMar>
              <w:top w:w="0" w:type="dxa"/>
              <w:left w:w="85" w:type="dxa"/>
              <w:bottom w:w="0" w:type="dxa"/>
              <w:right w:w="85" w:type="dxa"/>
            </w:tcMar>
            <w:vAlign w:val="bottom"/>
          </w:tcPr>
          <w:p w14:paraId="2771D3BC" w14:textId="77777777" w:rsidR="007C5A34" w:rsidRPr="001D5327" w:rsidRDefault="007C5A34" w:rsidP="00341FEF">
            <w:pPr>
              <w:pStyle w:val="TableText"/>
              <w:spacing w:before="40" w:after="40"/>
              <w:jc w:val="right"/>
              <w:rPr>
                <w:rFonts w:cstheme="minorHAnsi"/>
                <w:szCs w:val="16"/>
              </w:rPr>
            </w:pPr>
            <w:r w:rsidRPr="001D5327">
              <w:rPr>
                <w:rFonts w:cstheme="minorHAnsi"/>
                <w:szCs w:val="16"/>
              </w:rPr>
              <w:t>0.004</w:t>
            </w:r>
          </w:p>
        </w:tc>
        <w:tc>
          <w:tcPr>
            <w:tcW w:w="1548" w:type="dxa"/>
            <w:shd w:val="clear" w:color="auto" w:fill="FFFFFF" w:themeFill="background1"/>
            <w:tcMar>
              <w:top w:w="0" w:type="dxa"/>
              <w:left w:w="85" w:type="dxa"/>
              <w:bottom w:w="0" w:type="dxa"/>
              <w:right w:w="85" w:type="dxa"/>
            </w:tcMar>
            <w:vAlign w:val="bottom"/>
          </w:tcPr>
          <w:p w14:paraId="54D4A5B8" w14:textId="77777777" w:rsidR="007C5A34" w:rsidRPr="001D5327" w:rsidRDefault="007C5A34" w:rsidP="003F2869">
            <w:pPr>
              <w:pStyle w:val="TableText"/>
              <w:spacing w:before="40" w:after="40"/>
              <w:rPr>
                <w:rFonts w:cstheme="minorHAnsi"/>
                <w:szCs w:val="16"/>
              </w:rPr>
            </w:pPr>
            <w:r w:rsidRPr="001D5327">
              <w:rPr>
                <w:rFonts w:cstheme="minorHAnsi"/>
                <w:szCs w:val="16"/>
              </w:rPr>
              <w:t>2022</w:t>
            </w:r>
          </w:p>
        </w:tc>
      </w:tr>
    </w:tbl>
    <w:p w14:paraId="2B85612E" w14:textId="77777777" w:rsidR="007C5A34" w:rsidRPr="001D5327" w:rsidRDefault="007C5A34" w:rsidP="007C5A34">
      <w:pPr>
        <w:pStyle w:val="BodyText"/>
        <w:spacing w:before="240"/>
      </w:pPr>
      <w:r w:rsidRPr="001D5327">
        <w:t>Table 10.2.2 shows the recalculations for the category that reduced emissions estimates the most for each sector.</w:t>
      </w:r>
    </w:p>
    <w:p w14:paraId="36EDF15C" w14:textId="4C042E43" w:rsidR="007C5A34" w:rsidRPr="001D5327" w:rsidRDefault="007C5A34" w:rsidP="007C5A34">
      <w:pPr>
        <w:pStyle w:val="Table"/>
      </w:pPr>
      <w:bookmarkStart w:id="3058" w:name="_Toc194241849"/>
      <w:r w:rsidRPr="001D5327">
        <w:lastRenderedPageBreak/>
        <w:t xml:space="preserve">Table 10.2.2 </w:t>
      </w:r>
      <w:r w:rsidRPr="001D5327">
        <w:tab/>
        <w:t>Recalculations that led to the greatest decrease in emissions estimates in each</w:t>
      </w:r>
      <w:r w:rsidR="00943B8A" w:rsidRPr="001D5327">
        <w:t> </w:t>
      </w:r>
      <w:r w:rsidRPr="001D5327">
        <w:t>sector</w:t>
      </w:r>
      <w:bookmarkEnd w:id="3058"/>
    </w:p>
    <w:tbl>
      <w:tblPr>
        <w:tblW w:w="8494"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892"/>
        <w:gridCol w:w="4070"/>
        <w:gridCol w:w="1984"/>
        <w:gridCol w:w="1548"/>
      </w:tblGrid>
      <w:tr w:rsidR="007C5A34" w:rsidRPr="001D5327" w14:paraId="4CEBEE42" w14:textId="77777777" w:rsidTr="003F2869">
        <w:trPr>
          <w:tblHeader/>
        </w:trPr>
        <w:tc>
          <w:tcPr>
            <w:tcW w:w="0" w:type="auto"/>
            <w:shd w:val="clear" w:color="auto" w:fill="1B556B"/>
            <w:tcMar>
              <w:top w:w="0" w:type="dxa"/>
              <w:left w:w="85" w:type="dxa"/>
              <w:bottom w:w="0" w:type="dxa"/>
              <w:right w:w="85" w:type="dxa"/>
            </w:tcMar>
            <w:vAlign w:val="bottom"/>
          </w:tcPr>
          <w:p w14:paraId="6151337B" w14:textId="77777777" w:rsidR="007C5A34" w:rsidRPr="001D5327" w:rsidRDefault="007C5A34" w:rsidP="00341FEF">
            <w:pPr>
              <w:pStyle w:val="TableTextBold"/>
              <w:keepNext/>
              <w:spacing w:before="40" w:after="40"/>
              <w:rPr>
                <w:noProof w:val="0"/>
                <w:color w:val="FFFFFF" w:themeColor="background1"/>
              </w:rPr>
            </w:pPr>
            <w:r w:rsidRPr="001D5327">
              <w:rPr>
                <w:rFonts w:eastAsia="Calibri"/>
                <w:noProof w:val="0"/>
                <w:color w:val="FFFFFF" w:themeColor="background1"/>
              </w:rPr>
              <w:t>Sector</w:t>
            </w:r>
          </w:p>
        </w:tc>
        <w:tc>
          <w:tcPr>
            <w:tcW w:w="4070" w:type="dxa"/>
            <w:shd w:val="clear" w:color="auto" w:fill="1B556B"/>
            <w:tcMar>
              <w:top w:w="0" w:type="dxa"/>
              <w:left w:w="85" w:type="dxa"/>
              <w:bottom w:w="0" w:type="dxa"/>
              <w:right w:w="85" w:type="dxa"/>
            </w:tcMar>
            <w:vAlign w:val="bottom"/>
          </w:tcPr>
          <w:p w14:paraId="0330E674" w14:textId="77777777" w:rsidR="007C5A34" w:rsidRPr="001D5327" w:rsidRDefault="007C5A34" w:rsidP="00341FEF">
            <w:pPr>
              <w:pStyle w:val="TableTextBold"/>
              <w:keepNext/>
              <w:spacing w:before="40" w:after="40"/>
              <w:rPr>
                <w:noProof w:val="0"/>
                <w:color w:val="FFFFFF" w:themeColor="background1"/>
              </w:rPr>
            </w:pPr>
            <w:r w:rsidRPr="001D5327">
              <w:rPr>
                <w:rFonts w:eastAsia="Calibri"/>
                <w:noProof w:val="0"/>
                <w:color w:val="FFFFFF" w:themeColor="background1"/>
              </w:rPr>
              <w:t>Category with the largest reduction in estimated emissions across the entire time series</w:t>
            </w:r>
          </w:p>
        </w:tc>
        <w:tc>
          <w:tcPr>
            <w:tcW w:w="1984" w:type="dxa"/>
            <w:shd w:val="clear" w:color="auto" w:fill="1B556B"/>
            <w:tcMar>
              <w:top w:w="0" w:type="dxa"/>
              <w:left w:w="85" w:type="dxa"/>
              <w:bottom w:w="0" w:type="dxa"/>
              <w:right w:w="85" w:type="dxa"/>
            </w:tcMar>
            <w:vAlign w:val="bottom"/>
          </w:tcPr>
          <w:p w14:paraId="0605B1C8" w14:textId="77777777" w:rsidR="007C5A34" w:rsidRPr="001D5327" w:rsidRDefault="007C5A34" w:rsidP="00341FEF">
            <w:pPr>
              <w:pStyle w:val="TableTextBold"/>
              <w:keepNext/>
              <w:spacing w:before="40" w:after="40"/>
              <w:jc w:val="right"/>
              <w:rPr>
                <w:noProof w:val="0"/>
                <w:color w:val="FFFFFF" w:themeColor="background1"/>
              </w:rPr>
            </w:pPr>
            <w:r w:rsidRPr="001D5327">
              <w:rPr>
                <w:rFonts w:eastAsia="Calibri"/>
                <w:noProof w:val="0"/>
                <w:color w:val="FFFFFF" w:themeColor="background1"/>
              </w:rPr>
              <w:t>Largest single decrease in emissions for the category (kt CO</w:t>
            </w:r>
            <w:r w:rsidRPr="001D5327">
              <w:rPr>
                <w:rFonts w:eastAsia="Calibri"/>
                <w:noProof w:val="0"/>
                <w:color w:val="FFFFFF" w:themeColor="background1"/>
                <w:vertAlign w:val="subscript"/>
              </w:rPr>
              <w:t>2</w:t>
            </w:r>
            <w:r w:rsidRPr="001D5327">
              <w:rPr>
                <w:rFonts w:eastAsia="Calibri"/>
                <w:noProof w:val="0"/>
                <w:color w:val="FFFFFF" w:themeColor="background1"/>
              </w:rPr>
              <w:t>-e)</w:t>
            </w:r>
          </w:p>
        </w:tc>
        <w:tc>
          <w:tcPr>
            <w:tcW w:w="1548" w:type="dxa"/>
            <w:shd w:val="clear" w:color="auto" w:fill="1B556B"/>
            <w:tcMar>
              <w:top w:w="0" w:type="dxa"/>
              <w:left w:w="85" w:type="dxa"/>
              <w:bottom w:w="0" w:type="dxa"/>
              <w:right w:w="85" w:type="dxa"/>
            </w:tcMar>
            <w:vAlign w:val="bottom"/>
          </w:tcPr>
          <w:p w14:paraId="2381FDA2" w14:textId="77777777" w:rsidR="007C5A34" w:rsidRPr="001D5327" w:rsidRDefault="007C5A34" w:rsidP="003F2869">
            <w:pPr>
              <w:pStyle w:val="TableTextBold"/>
              <w:keepNext/>
              <w:spacing w:before="40" w:after="40"/>
              <w:rPr>
                <w:noProof w:val="0"/>
                <w:color w:val="FFFFFF" w:themeColor="background1"/>
              </w:rPr>
            </w:pPr>
            <w:r w:rsidRPr="001D5327">
              <w:rPr>
                <w:rFonts w:eastAsia="Calibri"/>
                <w:noProof w:val="0"/>
                <w:color w:val="FFFFFF" w:themeColor="background1"/>
              </w:rPr>
              <w:t>Year of the largest decrease in estimated emissions</w:t>
            </w:r>
          </w:p>
        </w:tc>
      </w:tr>
      <w:tr w:rsidR="007C5A34" w:rsidRPr="001D5327" w14:paraId="69899CA3" w14:textId="77777777" w:rsidTr="003F2869">
        <w:tc>
          <w:tcPr>
            <w:tcW w:w="0" w:type="auto"/>
            <w:shd w:val="clear" w:color="auto" w:fill="FFFFFF" w:themeFill="background1"/>
            <w:tcMar>
              <w:top w:w="0" w:type="dxa"/>
              <w:left w:w="85" w:type="dxa"/>
              <w:bottom w:w="0" w:type="dxa"/>
              <w:right w:w="85" w:type="dxa"/>
            </w:tcMar>
          </w:tcPr>
          <w:p w14:paraId="12203056" w14:textId="77777777" w:rsidR="007C5A34" w:rsidRPr="001D5327" w:rsidRDefault="007C5A34" w:rsidP="00341FEF">
            <w:pPr>
              <w:pStyle w:val="TableText"/>
              <w:keepNext/>
              <w:spacing w:before="40" w:after="40"/>
            </w:pPr>
            <w:r w:rsidRPr="001D5327">
              <w:rPr>
                <w:rFonts w:eastAsia="Calibri"/>
                <w:color w:val="000000"/>
              </w:rPr>
              <w:t>Energy</w:t>
            </w:r>
          </w:p>
        </w:tc>
        <w:tc>
          <w:tcPr>
            <w:tcW w:w="4070" w:type="dxa"/>
            <w:shd w:val="clear" w:color="auto" w:fill="FFFFFF" w:themeFill="background1"/>
            <w:tcMar>
              <w:top w:w="0" w:type="dxa"/>
              <w:left w:w="85" w:type="dxa"/>
              <w:bottom w:w="0" w:type="dxa"/>
              <w:right w:w="85" w:type="dxa"/>
            </w:tcMar>
          </w:tcPr>
          <w:p w14:paraId="77EB00A5" w14:textId="77777777" w:rsidR="007C5A34" w:rsidRPr="001D5327" w:rsidRDefault="007C5A34" w:rsidP="00341FEF">
            <w:pPr>
              <w:pStyle w:val="TableText"/>
              <w:keepNext/>
              <w:spacing w:before="40" w:after="40"/>
              <w:rPr>
                <w:rFonts w:cstheme="minorHAnsi"/>
              </w:rPr>
            </w:pPr>
            <w:r w:rsidRPr="001D5327">
              <w:rPr>
                <w:rFonts w:cstheme="minorHAnsi"/>
              </w:rPr>
              <w:t>Petroleum refining – Liquid fuels</w:t>
            </w:r>
          </w:p>
        </w:tc>
        <w:tc>
          <w:tcPr>
            <w:tcW w:w="1984" w:type="dxa"/>
            <w:shd w:val="clear" w:color="auto" w:fill="FFFFFF" w:themeFill="background1"/>
            <w:tcMar>
              <w:top w:w="0" w:type="dxa"/>
              <w:left w:w="85" w:type="dxa"/>
              <w:bottom w:w="0" w:type="dxa"/>
              <w:right w:w="85" w:type="dxa"/>
            </w:tcMar>
            <w:vAlign w:val="bottom"/>
          </w:tcPr>
          <w:p w14:paraId="0D84BCFF" w14:textId="50A0148A" w:rsidR="007C5A34" w:rsidRPr="001D5327" w:rsidRDefault="0070503C" w:rsidP="00341FEF">
            <w:pPr>
              <w:pStyle w:val="TableText"/>
              <w:keepNext/>
              <w:spacing w:before="40" w:after="40"/>
              <w:jc w:val="right"/>
              <w:rPr>
                <w:rFonts w:cstheme="minorHAnsi"/>
              </w:rPr>
            </w:pPr>
            <w:r>
              <w:rPr>
                <w:rFonts w:cstheme="minorHAnsi"/>
              </w:rPr>
              <w:t>-</w:t>
            </w:r>
            <w:r w:rsidR="007C5A34" w:rsidRPr="001D5327">
              <w:rPr>
                <w:rFonts w:cstheme="minorHAnsi"/>
              </w:rPr>
              <w:t>47.5</w:t>
            </w:r>
          </w:p>
        </w:tc>
        <w:tc>
          <w:tcPr>
            <w:tcW w:w="1548" w:type="dxa"/>
            <w:shd w:val="clear" w:color="auto" w:fill="FFFFFF" w:themeFill="background1"/>
            <w:tcMar>
              <w:top w:w="0" w:type="dxa"/>
              <w:left w:w="85" w:type="dxa"/>
              <w:bottom w:w="0" w:type="dxa"/>
              <w:right w:w="85" w:type="dxa"/>
            </w:tcMar>
            <w:vAlign w:val="bottom"/>
          </w:tcPr>
          <w:p w14:paraId="38532A46" w14:textId="77777777" w:rsidR="007C5A34" w:rsidRPr="001D5327" w:rsidRDefault="007C5A34" w:rsidP="003F2869">
            <w:pPr>
              <w:pStyle w:val="TableText"/>
              <w:keepNext/>
              <w:spacing w:before="40" w:after="40"/>
              <w:rPr>
                <w:rFonts w:cstheme="minorHAnsi"/>
              </w:rPr>
            </w:pPr>
            <w:r w:rsidRPr="001D5327">
              <w:rPr>
                <w:rFonts w:cstheme="minorHAnsi"/>
              </w:rPr>
              <w:t>2019</w:t>
            </w:r>
          </w:p>
        </w:tc>
      </w:tr>
      <w:tr w:rsidR="007C5A34" w:rsidRPr="001D5327" w14:paraId="0A2D48AD" w14:textId="77777777" w:rsidTr="003F2869">
        <w:tc>
          <w:tcPr>
            <w:tcW w:w="0" w:type="auto"/>
            <w:shd w:val="clear" w:color="auto" w:fill="FFFFFF" w:themeFill="background1"/>
            <w:tcMar>
              <w:top w:w="0" w:type="dxa"/>
              <w:left w:w="85" w:type="dxa"/>
              <w:bottom w:w="0" w:type="dxa"/>
              <w:right w:w="85" w:type="dxa"/>
            </w:tcMar>
          </w:tcPr>
          <w:p w14:paraId="5F4B17EB" w14:textId="77777777" w:rsidR="007C5A34" w:rsidRPr="001D5327" w:rsidRDefault="007C5A34" w:rsidP="003F2869">
            <w:pPr>
              <w:pStyle w:val="TableText"/>
              <w:keepNext/>
              <w:spacing w:before="40" w:after="40"/>
            </w:pPr>
            <w:r w:rsidRPr="001D5327">
              <w:rPr>
                <w:rFonts w:eastAsia="Calibri"/>
                <w:color w:val="000000"/>
              </w:rPr>
              <w:t>IPPU</w:t>
            </w:r>
          </w:p>
        </w:tc>
        <w:tc>
          <w:tcPr>
            <w:tcW w:w="4070" w:type="dxa"/>
            <w:shd w:val="clear" w:color="auto" w:fill="FFFFFF" w:themeFill="background1"/>
            <w:tcMar>
              <w:top w:w="0" w:type="dxa"/>
              <w:left w:w="85" w:type="dxa"/>
              <w:bottom w:w="0" w:type="dxa"/>
              <w:right w:w="85" w:type="dxa"/>
            </w:tcMar>
          </w:tcPr>
          <w:p w14:paraId="5EE17221" w14:textId="77777777" w:rsidR="007C5A34" w:rsidRPr="001D5327" w:rsidRDefault="007C5A34" w:rsidP="003F2869">
            <w:pPr>
              <w:pStyle w:val="TableText"/>
              <w:keepNext/>
              <w:spacing w:before="40" w:after="40"/>
              <w:rPr>
                <w:rFonts w:cstheme="minorHAnsi"/>
              </w:rPr>
            </w:pPr>
            <w:r w:rsidRPr="001D5327">
              <w:rPr>
                <w:rFonts w:cstheme="minorHAnsi"/>
              </w:rPr>
              <w:t>Commercial refrigeration – HFC-134a</w:t>
            </w:r>
          </w:p>
        </w:tc>
        <w:tc>
          <w:tcPr>
            <w:tcW w:w="1984" w:type="dxa"/>
            <w:shd w:val="clear" w:color="auto" w:fill="FFFFFF" w:themeFill="background1"/>
            <w:tcMar>
              <w:top w:w="0" w:type="dxa"/>
              <w:left w:w="85" w:type="dxa"/>
              <w:bottom w:w="0" w:type="dxa"/>
              <w:right w:w="85" w:type="dxa"/>
            </w:tcMar>
            <w:vAlign w:val="bottom"/>
          </w:tcPr>
          <w:p w14:paraId="09E43B13" w14:textId="57EC6BFE" w:rsidR="007C5A34" w:rsidRPr="001D5327" w:rsidRDefault="0070503C" w:rsidP="003F2869">
            <w:pPr>
              <w:pStyle w:val="TableText"/>
              <w:keepNext/>
              <w:spacing w:before="40" w:after="40"/>
              <w:jc w:val="right"/>
              <w:rPr>
                <w:rFonts w:cstheme="minorHAnsi"/>
              </w:rPr>
            </w:pPr>
            <w:r>
              <w:rPr>
                <w:rFonts w:cstheme="minorHAnsi"/>
              </w:rPr>
              <w:t>-</w:t>
            </w:r>
            <w:r w:rsidR="007C5A34" w:rsidRPr="001D5327">
              <w:rPr>
                <w:rFonts w:cstheme="minorHAnsi"/>
              </w:rPr>
              <w:t>45.4</w:t>
            </w:r>
          </w:p>
        </w:tc>
        <w:tc>
          <w:tcPr>
            <w:tcW w:w="1548" w:type="dxa"/>
            <w:shd w:val="clear" w:color="auto" w:fill="FFFFFF" w:themeFill="background1"/>
            <w:tcMar>
              <w:top w:w="0" w:type="dxa"/>
              <w:left w:w="85" w:type="dxa"/>
              <w:bottom w:w="0" w:type="dxa"/>
              <w:right w:w="85" w:type="dxa"/>
            </w:tcMar>
            <w:vAlign w:val="bottom"/>
          </w:tcPr>
          <w:p w14:paraId="13BB0EA3" w14:textId="77777777" w:rsidR="007C5A34" w:rsidRPr="001D5327" w:rsidRDefault="007C5A34" w:rsidP="003F2869">
            <w:pPr>
              <w:pStyle w:val="TableText"/>
              <w:keepNext/>
              <w:spacing w:before="40" w:after="40"/>
              <w:rPr>
                <w:rFonts w:cstheme="minorHAnsi"/>
              </w:rPr>
            </w:pPr>
            <w:r w:rsidRPr="001D5327">
              <w:rPr>
                <w:rFonts w:cstheme="minorHAnsi"/>
              </w:rPr>
              <w:t>2022</w:t>
            </w:r>
          </w:p>
        </w:tc>
      </w:tr>
      <w:tr w:rsidR="007C5A34" w:rsidRPr="001D5327" w14:paraId="7A8E4C69" w14:textId="77777777" w:rsidTr="003F2869">
        <w:tc>
          <w:tcPr>
            <w:tcW w:w="0" w:type="auto"/>
            <w:shd w:val="clear" w:color="auto" w:fill="FFFFFF" w:themeFill="background1"/>
            <w:tcMar>
              <w:top w:w="0" w:type="dxa"/>
              <w:left w:w="85" w:type="dxa"/>
              <w:bottom w:w="0" w:type="dxa"/>
              <w:right w:w="85" w:type="dxa"/>
            </w:tcMar>
          </w:tcPr>
          <w:p w14:paraId="0649D6F0" w14:textId="77777777" w:rsidR="007C5A34" w:rsidRPr="001D5327" w:rsidRDefault="007C5A34" w:rsidP="00341FEF">
            <w:pPr>
              <w:pStyle w:val="TableText"/>
              <w:spacing w:before="40" w:after="40"/>
            </w:pPr>
            <w:r w:rsidRPr="001D5327">
              <w:rPr>
                <w:rFonts w:eastAsia="Calibri"/>
                <w:color w:val="000000"/>
              </w:rPr>
              <w:t>Agriculture</w:t>
            </w:r>
          </w:p>
        </w:tc>
        <w:tc>
          <w:tcPr>
            <w:tcW w:w="4070" w:type="dxa"/>
            <w:shd w:val="clear" w:color="auto" w:fill="FFFFFF" w:themeFill="background1"/>
            <w:tcMar>
              <w:top w:w="0" w:type="dxa"/>
              <w:left w:w="85" w:type="dxa"/>
              <w:bottom w:w="0" w:type="dxa"/>
              <w:right w:w="85" w:type="dxa"/>
            </w:tcMar>
          </w:tcPr>
          <w:p w14:paraId="59C7709B" w14:textId="77777777" w:rsidR="007C5A34" w:rsidRPr="001D5327" w:rsidRDefault="007C5A34" w:rsidP="00341FEF">
            <w:pPr>
              <w:pStyle w:val="TableText"/>
              <w:spacing w:before="40" w:after="40"/>
              <w:rPr>
                <w:rFonts w:cstheme="minorBidi"/>
              </w:rPr>
            </w:pPr>
            <w:r w:rsidRPr="001D5327">
              <w:rPr>
                <w:rFonts w:cstheme="minorBidi"/>
              </w:rPr>
              <w:t xml:space="preserve">Option A </w:t>
            </w:r>
            <w:r w:rsidRPr="001D5327">
              <w:t>–</w:t>
            </w:r>
            <w:r w:rsidRPr="001D5327">
              <w:rPr>
                <w:rFonts w:cstheme="minorBidi"/>
              </w:rPr>
              <w:t xml:space="preserve"> Non-dairy cattle</w:t>
            </w:r>
          </w:p>
        </w:tc>
        <w:tc>
          <w:tcPr>
            <w:tcW w:w="1984" w:type="dxa"/>
            <w:shd w:val="clear" w:color="auto" w:fill="FFFFFF" w:themeFill="background1"/>
            <w:tcMar>
              <w:top w:w="0" w:type="dxa"/>
              <w:left w:w="85" w:type="dxa"/>
              <w:bottom w:w="0" w:type="dxa"/>
              <w:right w:w="85" w:type="dxa"/>
            </w:tcMar>
            <w:vAlign w:val="bottom"/>
          </w:tcPr>
          <w:p w14:paraId="5337C5B8" w14:textId="73FC6E6E" w:rsidR="007C5A34" w:rsidRPr="001D5327" w:rsidRDefault="0070503C" w:rsidP="00341FEF">
            <w:pPr>
              <w:pStyle w:val="TableText"/>
              <w:spacing w:before="40" w:after="40"/>
              <w:jc w:val="right"/>
              <w:rPr>
                <w:rFonts w:cstheme="minorHAnsi"/>
              </w:rPr>
            </w:pPr>
            <w:r>
              <w:rPr>
                <w:rFonts w:cstheme="minorHAnsi"/>
              </w:rPr>
              <w:t>-</w:t>
            </w:r>
            <w:r w:rsidR="007C5A34" w:rsidRPr="001D5327">
              <w:rPr>
                <w:rFonts w:cstheme="minorHAnsi"/>
              </w:rPr>
              <w:t>349.7</w:t>
            </w:r>
          </w:p>
        </w:tc>
        <w:tc>
          <w:tcPr>
            <w:tcW w:w="1548" w:type="dxa"/>
            <w:shd w:val="clear" w:color="auto" w:fill="FFFFFF" w:themeFill="background1"/>
            <w:tcMar>
              <w:top w:w="0" w:type="dxa"/>
              <w:left w:w="85" w:type="dxa"/>
              <w:bottom w:w="0" w:type="dxa"/>
              <w:right w:w="85" w:type="dxa"/>
            </w:tcMar>
            <w:vAlign w:val="bottom"/>
          </w:tcPr>
          <w:p w14:paraId="1DA914C3" w14:textId="77777777" w:rsidR="007C5A34" w:rsidRPr="001D5327" w:rsidRDefault="007C5A34" w:rsidP="003F2869">
            <w:pPr>
              <w:pStyle w:val="TableText"/>
              <w:spacing w:before="40" w:after="40"/>
              <w:rPr>
                <w:rFonts w:cstheme="minorHAnsi"/>
              </w:rPr>
            </w:pPr>
            <w:r w:rsidRPr="001D5327">
              <w:rPr>
                <w:rFonts w:cstheme="minorHAnsi"/>
              </w:rPr>
              <w:t>2016</w:t>
            </w:r>
          </w:p>
        </w:tc>
      </w:tr>
      <w:tr w:rsidR="007C5A34" w:rsidRPr="001D5327" w14:paraId="37A07E1D" w14:textId="77777777" w:rsidTr="003F2869">
        <w:tc>
          <w:tcPr>
            <w:tcW w:w="0" w:type="auto"/>
            <w:shd w:val="clear" w:color="auto" w:fill="FFFFFF" w:themeFill="background1"/>
            <w:tcMar>
              <w:top w:w="0" w:type="dxa"/>
              <w:left w:w="85" w:type="dxa"/>
              <w:bottom w:w="0" w:type="dxa"/>
              <w:right w:w="85" w:type="dxa"/>
            </w:tcMar>
          </w:tcPr>
          <w:p w14:paraId="4016549A" w14:textId="77777777" w:rsidR="007C5A34" w:rsidRPr="001D5327" w:rsidRDefault="007C5A34" w:rsidP="00341FEF">
            <w:pPr>
              <w:pStyle w:val="TableText"/>
              <w:spacing w:before="40" w:after="40"/>
            </w:pPr>
            <w:r w:rsidRPr="001D5327">
              <w:rPr>
                <w:rFonts w:eastAsia="Calibri"/>
                <w:color w:val="000000"/>
              </w:rPr>
              <w:t>LULUCF</w:t>
            </w:r>
          </w:p>
        </w:tc>
        <w:tc>
          <w:tcPr>
            <w:tcW w:w="4070" w:type="dxa"/>
            <w:shd w:val="clear" w:color="auto" w:fill="FFFFFF" w:themeFill="background1"/>
            <w:tcMar>
              <w:top w:w="0" w:type="dxa"/>
              <w:left w:w="85" w:type="dxa"/>
              <w:bottom w:w="0" w:type="dxa"/>
              <w:right w:w="85" w:type="dxa"/>
            </w:tcMar>
          </w:tcPr>
          <w:p w14:paraId="33B8668C" w14:textId="77777777" w:rsidR="007C5A34" w:rsidRPr="001D5327" w:rsidRDefault="007C5A34" w:rsidP="00341FEF">
            <w:pPr>
              <w:pStyle w:val="TableText"/>
              <w:spacing w:before="40" w:after="40"/>
              <w:rPr>
                <w:rFonts w:cstheme="minorBidi"/>
              </w:rPr>
            </w:pPr>
            <w:r w:rsidRPr="001D5327">
              <w:rPr>
                <w:rFonts w:cstheme="minorBidi"/>
              </w:rPr>
              <w:t xml:space="preserve">Forest land remaining forest land </w:t>
            </w:r>
            <w:r w:rsidRPr="001D5327">
              <w:t>–</w:t>
            </w:r>
            <w:r w:rsidRPr="001D5327">
              <w:rPr>
                <w:rFonts w:cstheme="minorBidi"/>
              </w:rPr>
              <w:t xml:space="preserve"> Post-1989 forest remaining post-1989 forest</w:t>
            </w:r>
          </w:p>
        </w:tc>
        <w:tc>
          <w:tcPr>
            <w:tcW w:w="1984" w:type="dxa"/>
            <w:shd w:val="clear" w:color="auto" w:fill="FFFFFF" w:themeFill="background1"/>
            <w:tcMar>
              <w:top w:w="0" w:type="dxa"/>
              <w:left w:w="85" w:type="dxa"/>
              <w:bottom w:w="0" w:type="dxa"/>
              <w:right w:w="85" w:type="dxa"/>
            </w:tcMar>
            <w:vAlign w:val="bottom"/>
          </w:tcPr>
          <w:p w14:paraId="4442D117" w14:textId="51D3B275" w:rsidR="007C5A34" w:rsidRPr="001D5327" w:rsidRDefault="0070503C" w:rsidP="00341FEF">
            <w:pPr>
              <w:pStyle w:val="TableText"/>
              <w:spacing w:before="40" w:after="40"/>
              <w:jc w:val="right"/>
              <w:rPr>
                <w:rFonts w:cstheme="minorHAnsi"/>
              </w:rPr>
            </w:pPr>
            <w:r>
              <w:rPr>
                <w:rFonts w:cstheme="minorHAnsi"/>
              </w:rPr>
              <w:t>-</w:t>
            </w:r>
            <w:r w:rsidR="007C5A34" w:rsidRPr="001D5327">
              <w:rPr>
                <w:rFonts w:cstheme="minorHAnsi"/>
              </w:rPr>
              <w:t>1,039.4</w:t>
            </w:r>
          </w:p>
        </w:tc>
        <w:tc>
          <w:tcPr>
            <w:tcW w:w="1548" w:type="dxa"/>
            <w:shd w:val="clear" w:color="auto" w:fill="FFFFFF" w:themeFill="background1"/>
            <w:tcMar>
              <w:top w:w="0" w:type="dxa"/>
              <w:left w:w="85" w:type="dxa"/>
              <w:bottom w:w="0" w:type="dxa"/>
              <w:right w:w="85" w:type="dxa"/>
            </w:tcMar>
            <w:vAlign w:val="bottom"/>
          </w:tcPr>
          <w:p w14:paraId="525C3D17" w14:textId="77777777" w:rsidR="007C5A34" w:rsidRPr="001D5327" w:rsidRDefault="007C5A34" w:rsidP="003F2869">
            <w:pPr>
              <w:pStyle w:val="TableText"/>
              <w:spacing w:before="40" w:after="40"/>
              <w:rPr>
                <w:rFonts w:cstheme="minorHAnsi"/>
              </w:rPr>
            </w:pPr>
            <w:r w:rsidRPr="001D5327">
              <w:rPr>
                <w:rFonts w:cstheme="minorHAnsi"/>
              </w:rPr>
              <w:t>2022</w:t>
            </w:r>
          </w:p>
        </w:tc>
      </w:tr>
      <w:tr w:rsidR="007C5A34" w:rsidRPr="001D5327" w14:paraId="347E4629" w14:textId="77777777" w:rsidTr="003F2869">
        <w:tc>
          <w:tcPr>
            <w:tcW w:w="0" w:type="auto"/>
            <w:shd w:val="clear" w:color="auto" w:fill="FFFFFF" w:themeFill="background1"/>
            <w:tcMar>
              <w:top w:w="0" w:type="dxa"/>
              <w:left w:w="85" w:type="dxa"/>
              <w:bottom w:w="0" w:type="dxa"/>
              <w:right w:w="85" w:type="dxa"/>
            </w:tcMar>
          </w:tcPr>
          <w:p w14:paraId="2312E173" w14:textId="77777777" w:rsidR="007C5A34" w:rsidRPr="001D5327" w:rsidRDefault="007C5A34" w:rsidP="00341FEF">
            <w:pPr>
              <w:pStyle w:val="TableText"/>
              <w:spacing w:before="40" w:after="40"/>
            </w:pPr>
            <w:r w:rsidRPr="001D5327">
              <w:rPr>
                <w:rFonts w:eastAsia="Calibri"/>
                <w:color w:val="000000"/>
              </w:rPr>
              <w:t>Waste</w:t>
            </w:r>
          </w:p>
        </w:tc>
        <w:tc>
          <w:tcPr>
            <w:tcW w:w="4070" w:type="dxa"/>
            <w:shd w:val="clear" w:color="auto" w:fill="FFFFFF" w:themeFill="background1"/>
            <w:tcMar>
              <w:top w:w="0" w:type="dxa"/>
              <w:left w:w="85" w:type="dxa"/>
              <w:bottom w:w="0" w:type="dxa"/>
              <w:right w:w="85" w:type="dxa"/>
            </w:tcMar>
          </w:tcPr>
          <w:p w14:paraId="265FB41F" w14:textId="77777777" w:rsidR="007C5A34" w:rsidRPr="001D5327" w:rsidRDefault="007C5A34" w:rsidP="00341FEF">
            <w:pPr>
              <w:pStyle w:val="TableText"/>
              <w:spacing w:before="40" w:after="40"/>
              <w:rPr>
                <w:rFonts w:cstheme="minorHAnsi"/>
              </w:rPr>
            </w:pPr>
            <w:r w:rsidRPr="001D5327">
              <w:rPr>
                <w:rFonts w:cstheme="minorHAnsi"/>
              </w:rPr>
              <w:t>Solid waste disposal – Unmanaged waste disposal sites</w:t>
            </w:r>
          </w:p>
        </w:tc>
        <w:tc>
          <w:tcPr>
            <w:tcW w:w="1984" w:type="dxa"/>
            <w:shd w:val="clear" w:color="auto" w:fill="FFFFFF" w:themeFill="background1"/>
            <w:tcMar>
              <w:top w:w="0" w:type="dxa"/>
              <w:left w:w="85" w:type="dxa"/>
              <w:bottom w:w="0" w:type="dxa"/>
              <w:right w:w="85" w:type="dxa"/>
            </w:tcMar>
            <w:vAlign w:val="bottom"/>
          </w:tcPr>
          <w:p w14:paraId="408DDDB5" w14:textId="50D46C2E" w:rsidR="007C5A34" w:rsidRPr="001D5327" w:rsidRDefault="0070503C" w:rsidP="00341FEF">
            <w:pPr>
              <w:pStyle w:val="TableText"/>
              <w:spacing w:before="40" w:after="40"/>
              <w:jc w:val="right"/>
              <w:rPr>
                <w:rFonts w:cstheme="minorHAnsi"/>
              </w:rPr>
            </w:pPr>
            <w:r>
              <w:rPr>
                <w:rFonts w:cstheme="minorHAnsi"/>
              </w:rPr>
              <w:t>-</w:t>
            </w:r>
            <w:r w:rsidR="007C5A34" w:rsidRPr="001D5327">
              <w:rPr>
                <w:rFonts w:cstheme="minorHAnsi"/>
              </w:rPr>
              <w:t>886.8</w:t>
            </w:r>
          </w:p>
        </w:tc>
        <w:tc>
          <w:tcPr>
            <w:tcW w:w="1548" w:type="dxa"/>
            <w:shd w:val="clear" w:color="auto" w:fill="FFFFFF" w:themeFill="background1"/>
            <w:tcMar>
              <w:top w:w="0" w:type="dxa"/>
              <w:left w:w="85" w:type="dxa"/>
              <w:bottom w:w="0" w:type="dxa"/>
              <w:right w:w="85" w:type="dxa"/>
            </w:tcMar>
            <w:vAlign w:val="bottom"/>
          </w:tcPr>
          <w:p w14:paraId="1D7F376E" w14:textId="77777777" w:rsidR="007C5A34" w:rsidRPr="001D5327" w:rsidRDefault="007C5A34" w:rsidP="003F2869">
            <w:pPr>
              <w:pStyle w:val="TableText"/>
              <w:spacing w:before="40" w:after="40"/>
              <w:rPr>
                <w:rFonts w:cstheme="minorHAnsi"/>
              </w:rPr>
            </w:pPr>
            <w:r w:rsidRPr="001D5327">
              <w:rPr>
                <w:rFonts w:cstheme="minorHAnsi"/>
              </w:rPr>
              <w:t>2013</w:t>
            </w:r>
          </w:p>
        </w:tc>
      </w:tr>
      <w:tr w:rsidR="007C5A34" w:rsidRPr="001D5327" w14:paraId="77897BE9" w14:textId="77777777" w:rsidTr="003F2869">
        <w:tc>
          <w:tcPr>
            <w:tcW w:w="0" w:type="auto"/>
            <w:shd w:val="clear" w:color="auto" w:fill="FFFFFF" w:themeFill="background1"/>
            <w:tcMar>
              <w:top w:w="0" w:type="dxa"/>
              <w:left w:w="85" w:type="dxa"/>
              <w:bottom w:w="0" w:type="dxa"/>
              <w:right w:w="85" w:type="dxa"/>
            </w:tcMar>
          </w:tcPr>
          <w:p w14:paraId="6B566C82" w14:textId="77777777" w:rsidR="007C5A34" w:rsidRPr="001D5327" w:rsidRDefault="007C5A34" w:rsidP="00341FEF">
            <w:pPr>
              <w:pStyle w:val="TableText"/>
              <w:spacing w:before="40" w:after="40"/>
            </w:pPr>
            <w:r w:rsidRPr="001D5327">
              <w:rPr>
                <w:rFonts w:eastAsia="Calibri"/>
                <w:color w:val="000000"/>
              </w:rPr>
              <w:t>Tokelau</w:t>
            </w:r>
          </w:p>
        </w:tc>
        <w:tc>
          <w:tcPr>
            <w:tcW w:w="4070" w:type="dxa"/>
            <w:shd w:val="clear" w:color="auto" w:fill="FFFFFF" w:themeFill="background1"/>
            <w:tcMar>
              <w:top w:w="0" w:type="dxa"/>
              <w:left w:w="85" w:type="dxa"/>
              <w:bottom w:w="0" w:type="dxa"/>
              <w:right w:w="85" w:type="dxa"/>
            </w:tcMar>
          </w:tcPr>
          <w:p w14:paraId="6D8D9A5B" w14:textId="77777777" w:rsidR="007C5A34" w:rsidRPr="001D5327" w:rsidRDefault="007C5A34" w:rsidP="00341FEF">
            <w:pPr>
              <w:pStyle w:val="TableText"/>
              <w:spacing w:before="40" w:after="40"/>
              <w:rPr>
                <w:rFonts w:cstheme="minorHAnsi"/>
              </w:rPr>
            </w:pPr>
            <w:r w:rsidRPr="001D5327">
              <w:rPr>
                <w:rFonts w:cstheme="minorHAnsi"/>
              </w:rPr>
              <w:t>Other (please specify) – Tokelau_2. Industrial Processes and Product Use</w:t>
            </w:r>
          </w:p>
        </w:tc>
        <w:tc>
          <w:tcPr>
            <w:tcW w:w="1984" w:type="dxa"/>
            <w:shd w:val="clear" w:color="auto" w:fill="FFFFFF" w:themeFill="background1"/>
            <w:tcMar>
              <w:top w:w="0" w:type="dxa"/>
              <w:left w:w="85" w:type="dxa"/>
              <w:bottom w:w="0" w:type="dxa"/>
              <w:right w:w="85" w:type="dxa"/>
            </w:tcMar>
            <w:vAlign w:val="bottom"/>
          </w:tcPr>
          <w:p w14:paraId="6C677AE2" w14:textId="40D284B1" w:rsidR="007C5A34" w:rsidRPr="001D5327" w:rsidRDefault="0070503C" w:rsidP="00341FEF">
            <w:pPr>
              <w:pStyle w:val="TableText"/>
              <w:spacing w:before="40" w:after="40"/>
              <w:jc w:val="right"/>
              <w:rPr>
                <w:rFonts w:cstheme="minorHAnsi"/>
              </w:rPr>
            </w:pPr>
            <w:r>
              <w:rPr>
                <w:rFonts w:cstheme="minorHAnsi"/>
              </w:rPr>
              <w:t>-</w:t>
            </w:r>
            <w:r w:rsidR="007C5A34" w:rsidRPr="001D5327">
              <w:rPr>
                <w:rFonts w:cstheme="minorHAnsi"/>
              </w:rPr>
              <w:t>0.001</w:t>
            </w:r>
          </w:p>
        </w:tc>
        <w:tc>
          <w:tcPr>
            <w:tcW w:w="1548" w:type="dxa"/>
            <w:shd w:val="clear" w:color="auto" w:fill="FFFFFF" w:themeFill="background1"/>
            <w:tcMar>
              <w:top w:w="0" w:type="dxa"/>
              <w:left w:w="85" w:type="dxa"/>
              <w:bottom w:w="0" w:type="dxa"/>
              <w:right w:w="85" w:type="dxa"/>
            </w:tcMar>
            <w:vAlign w:val="bottom"/>
          </w:tcPr>
          <w:p w14:paraId="58E22A9C" w14:textId="77777777" w:rsidR="007C5A34" w:rsidRPr="001D5327" w:rsidRDefault="007C5A34" w:rsidP="003F2869">
            <w:pPr>
              <w:pStyle w:val="TableText"/>
              <w:spacing w:before="40" w:after="40"/>
              <w:rPr>
                <w:rFonts w:cstheme="minorHAnsi"/>
              </w:rPr>
            </w:pPr>
            <w:r w:rsidRPr="001D5327">
              <w:rPr>
                <w:rFonts w:cstheme="minorHAnsi"/>
              </w:rPr>
              <w:t>1990</w:t>
            </w:r>
          </w:p>
        </w:tc>
      </w:tr>
    </w:tbl>
    <w:p w14:paraId="7063804B" w14:textId="77777777" w:rsidR="007C5A34" w:rsidRPr="001D5327" w:rsidRDefault="007C5A34" w:rsidP="007C5A34">
      <w:pPr>
        <w:pStyle w:val="BodyText"/>
        <w:spacing w:before="240"/>
      </w:pPr>
      <w:r w:rsidRPr="001D5327">
        <w:t>The following sections detail the effect of and reasons for recalculations for each sector and summarise the improvements.</w:t>
      </w:r>
    </w:p>
    <w:p w14:paraId="343DB7C1" w14:textId="77777777" w:rsidR="007C5A34" w:rsidRPr="001D5327" w:rsidRDefault="007C5A34" w:rsidP="007C5A34">
      <w:pPr>
        <w:pStyle w:val="Heading3"/>
      </w:pPr>
      <w:bookmarkStart w:id="3059" w:name="energy"/>
      <w:bookmarkEnd w:id="3055"/>
      <w:r w:rsidRPr="001D5327">
        <w:t xml:space="preserve">10.2.3 </w:t>
      </w:r>
      <w:r w:rsidRPr="001D5327">
        <w:tab/>
        <w:t>Energy</w:t>
      </w:r>
    </w:p>
    <w:p w14:paraId="3EBF405A" w14:textId="77777777" w:rsidR="007C5A34" w:rsidRPr="001D5327" w:rsidRDefault="007C5A34" w:rsidP="007C5A34">
      <w:pPr>
        <w:pStyle w:val="BodyText"/>
      </w:pPr>
      <w:r w:rsidRPr="001D5327">
        <w:t>Improvements and recalculations made to the Energy sector have resulted in an increase of 0.01 per cent (1.4 kt CO</w:t>
      </w:r>
      <w:r w:rsidRPr="001D5327">
        <w:rPr>
          <w:vertAlign w:val="subscript"/>
        </w:rPr>
        <w:t>2</w:t>
      </w:r>
      <w:r w:rsidRPr="001D5327">
        <w:t>-e) in estimated energy emissions for 1990 and an increase of 1.3 per cent (359.9 kt CO</w:t>
      </w:r>
      <w:r w:rsidRPr="001D5327">
        <w:rPr>
          <w:vertAlign w:val="subscript"/>
        </w:rPr>
        <w:t>2</w:t>
      </w:r>
      <w:r w:rsidRPr="001D5327">
        <w:t>-e) in estimated energy emissions for 2022 (figure 10.2.3).</w:t>
      </w:r>
    </w:p>
    <w:p w14:paraId="4A14A359" w14:textId="77777777" w:rsidR="007C5A34" w:rsidRPr="001D5327" w:rsidRDefault="007C5A34" w:rsidP="007C5A34">
      <w:pPr>
        <w:pStyle w:val="BodyText"/>
      </w:pPr>
      <w:r w:rsidRPr="001D5327">
        <w:rPr>
          <w:spacing w:val="-2"/>
        </w:rPr>
        <w:t>The improvements include a methodological improvement, a refinement to the implementatio</w:t>
      </w:r>
      <w:r w:rsidRPr="001D5327">
        <w:t>n of software code and various changes to the underlying energy activity data. Further details on source-specific improvements are provided in their corresponding sections in chapter 3.</w:t>
      </w:r>
    </w:p>
    <w:p w14:paraId="14CB6154" w14:textId="77777777" w:rsidR="007C5A34" w:rsidRPr="001D5327" w:rsidRDefault="007C5A34" w:rsidP="007C5A34">
      <w:pPr>
        <w:pStyle w:val="Figure"/>
      </w:pPr>
      <w:bookmarkStart w:id="3060" w:name="_Toc194674894"/>
      <w:r w:rsidRPr="001D5327">
        <w:rPr>
          <w:bCs/>
        </w:rPr>
        <w:t xml:space="preserve">Figure 10.2.3 </w:t>
      </w:r>
      <w:r w:rsidRPr="001D5327">
        <w:rPr>
          <w:bCs/>
        </w:rPr>
        <w:tab/>
        <w:t>Effect of changes to activity data on emissions estimates from New Zealand’s Energy sector, from 1990 to 2022</w:t>
      </w:r>
      <w:bookmarkEnd w:id="3060"/>
    </w:p>
    <w:p w14:paraId="59619EBE" w14:textId="77777777" w:rsidR="007C5A34" w:rsidRPr="001D5327" w:rsidRDefault="007C5A34" w:rsidP="007C5A34">
      <w:pPr>
        <w:pStyle w:val="BodyText"/>
      </w:pPr>
      <w:r w:rsidRPr="001D5327">
        <w:rPr>
          <w:noProof/>
        </w:rPr>
        <w:drawing>
          <wp:inline distT="0" distB="0" distL="0" distR="0" wp14:anchorId="185080FD" wp14:editId="63712613">
            <wp:extent cx="5318567" cy="3877519"/>
            <wp:effectExtent l="0" t="0" r="0" b="8890"/>
            <wp:docPr id="1833308013" name="Picture" descr="A graph showing a line of growth&#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833308013" name="Picture" descr="A graph showing a line of growth&#10;&#10;Description automatically generated with medium confidence"/>
                    <pic:cNvPicPr>
                      <a:picLocks noChangeAspect="1" noChangeArrowheads="1"/>
                    </pic:cNvPicPr>
                  </pic:nvPicPr>
                  <pic:blipFill rotWithShape="1">
                    <a:blip r:embed="rId259"/>
                    <a:srcRect b="2212"/>
                    <a:stretch/>
                  </pic:blipFill>
                  <pic:spPr bwMode="auto">
                    <a:xfrm>
                      <a:off x="0" y="0"/>
                      <a:ext cx="5321612" cy="3879739"/>
                    </a:xfrm>
                    <a:prstGeom prst="rect">
                      <a:avLst/>
                    </a:prstGeom>
                    <a:noFill/>
                    <a:ln>
                      <a:noFill/>
                    </a:ln>
                    <a:extLst>
                      <a:ext uri="{53640926-AAD7-44D8-BBD7-CCE9431645EC}">
                        <a14:shadowObscured xmlns:a14="http://schemas.microsoft.com/office/drawing/2010/main"/>
                      </a:ext>
                    </a:extLst>
                  </pic:spPr>
                </pic:pic>
              </a:graphicData>
            </a:graphic>
          </wp:inline>
        </w:drawing>
      </w:r>
    </w:p>
    <w:p w14:paraId="1113C6F4" w14:textId="77777777" w:rsidR="007C5A34" w:rsidRPr="001D5327" w:rsidRDefault="007C5A34" w:rsidP="007C5A34">
      <w:pPr>
        <w:pStyle w:val="Heading3"/>
      </w:pPr>
      <w:bookmarkStart w:id="3061" w:name="industrial-processes-and-product-use"/>
      <w:bookmarkEnd w:id="3059"/>
      <w:r w:rsidRPr="001D5327">
        <w:lastRenderedPageBreak/>
        <w:t xml:space="preserve">10.2.4 </w:t>
      </w:r>
      <w:r w:rsidRPr="001D5327">
        <w:tab/>
        <w:t>Industrial Processes and Product Use</w:t>
      </w:r>
    </w:p>
    <w:p w14:paraId="3EC42FA5" w14:textId="77777777" w:rsidR="007C5A34" w:rsidRPr="001D5327" w:rsidRDefault="007C5A34" w:rsidP="00263341">
      <w:pPr>
        <w:pStyle w:val="BodyText"/>
        <w:spacing w:before="100" w:after="100"/>
      </w:pPr>
      <w:r w:rsidRPr="001D5327">
        <w:t xml:space="preserve">For the Industrial Processes and Product Use (IPPU) sector, several improvements in the </w:t>
      </w:r>
      <w:r w:rsidRPr="001D5327">
        <w:rPr>
          <w:i/>
        </w:rPr>
        <w:t>Refrigeration and air conditioning</w:t>
      </w:r>
      <w:r w:rsidRPr="001D5327">
        <w:t xml:space="preserve"> category were made, to better account for changes in stocks held by importers and users. These included:</w:t>
      </w:r>
    </w:p>
    <w:p w14:paraId="07649ED8" w14:textId="77777777" w:rsidR="007C5A34" w:rsidRPr="001D5327" w:rsidRDefault="007C5A34" w:rsidP="00263341">
      <w:pPr>
        <w:pStyle w:val="Bullet"/>
        <w:spacing w:after="100"/>
      </w:pPr>
      <w:r w:rsidRPr="001D5327">
        <w:t>changes to activity data for the early retirement of heat pumps (a reduction)</w:t>
      </w:r>
    </w:p>
    <w:p w14:paraId="3A2E660A" w14:textId="77777777" w:rsidR="007C5A34" w:rsidRPr="001D5327" w:rsidRDefault="007C5A34" w:rsidP="00263341">
      <w:pPr>
        <w:pStyle w:val="Bullet"/>
        <w:spacing w:after="100"/>
      </w:pPr>
      <w:r w:rsidRPr="001D5327">
        <w:t>changes to activity data for refrigerant recycling (a reduction)</w:t>
      </w:r>
    </w:p>
    <w:p w14:paraId="210D4F7F" w14:textId="77777777" w:rsidR="007C5A34" w:rsidRPr="001D5327" w:rsidRDefault="007C5A34" w:rsidP="00263341">
      <w:pPr>
        <w:pStyle w:val="Bullet"/>
        <w:spacing w:after="100"/>
      </w:pPr>
      <w:r w:rsidRPr="001D5327">
        <w:t>changes to activity data for early retirement of air conditioners (an increase) with a consequent spike in disposal trends</w:t>
      </w:r>
    </w:p>
    <w:p w14:paraId="16AF8804" w14:textId="77777777" w:rsidR="007C5A34" w:rsidRPr="001D5327" w:rsidRDefault="007C5A34" w:rsidP="00263341">
      <w:pPr>
        <w:pStyle w:val="Bullet"/>
        <w:spacing w:after="100"/>
      </w:pPr>
      <w:r w:rsidRPr="001D5327">
        <w:t>reassessment of historical emissions between 2014 and 2020.</w:t>
      </w:r>
    </w:p>
    <w:p w14:paraId="6701C2DD" w14:textId="77777777" w:rsidR="007C5A34" w:rsidRPr="001D5327" w:rsidRDefault="007C5A34" w:rsidP="00263341">
      <w:pPr>
        <w:pStyle w:val="BodyText"/>
        <w:spacing w:before="100"/>
      </w:pPr>
      <w:r w:rsidRPr="001D5327">
        <w:t>Improvements and recalculations made to the IPPU sector have resulted in an increase of 0.1 per cent (4.9 kt CO</w:t>
      </w:r>
      <w:r w:rsidRPr="001D5327">
        <w:rPr>
          <w:vertAlign w:val="subscript"/>
        </w:rPr>
        <w:t>2</w:t>
      </w:r>
      <w:r w:rsidRPr="001D5327">
        <w:t>-e) in estimated IPPU emissions in 1990 and a decrease of 0.6 per cent (25.2 kt CO</w:t>
      </w:r>
      <w:r w:rsidRPr="001D5327">
        <w:rPr>
          <w:vertAlign w:val="subscript"/>
        </w:rPr>
        <w:t>2</w:t>
      </w:r>
      <w:r w:rsidRPr="001D5327">
        <w:t>-e) in estimated IPPU emissions in 2022 (figure 10.2.4).</w:t>
      </w:r>
    </w:p>
    <w:p w14:paraId="499D8814" w14:textId="709B848A" w:rsidR="007C5A34" w:rsidRPr="001D5327" w:rsidRDefault="007C5A34" w:rsidP="007C5A34">
      <w:pPr>
        <w:pStyle w:val="Figure"/>
      </w:pPr>
      <w:bookmarkStart w:id="3062" w:name="_Toc194674895"/>
      <w:r w:rsidRPr="001D5327">
        <w:rPr>
          <w:bCs/>
        </w:rPr>
        <w:t xml:space="preserve">Figure 10.2.4 </w:t>
      </w:r>
      <w:r w:rsidRPr="001D5327">
        <w:rPr>
          <w:bCs/>
        </w:rPr>
        <w:tab/>
        <w:t>Effect of recalculations on emissions estimates from the IPPU sector, from 1990</w:t>
      </w:r>
      <w:r w:rsidR="00D3659D" w:rsidRPr="001D5327">
        <w:rPr>
          <w:bCs/>
        </w:rPr>
        <w:t> </w:t>
      </w:r>
      <w:r w:rsidRPr="001D5327">
        <w:rPr>
          <w:bCs/>
        </w:rPr>
        <w:t>to</w:t>
      </w:r>
      <w:r w:rsidR="00D3659D" w:rsidRPr="001D5327">
        <w:rPr>
          <w:bCs/>
        </w:rPr>
        <w:t> </w:t>
      </w:r>
      <w:r w:rsidRPr="001D5327">
        <w:rPr>
          <w:bCs/>
        </w:rPr>
        <w:t>2022</w:t>
      </w:r>
      <w:bookmarkEnd w:id="3062"/>
    </w:p>
    <w:p w14:paraId="3B7A4168" w14:textId="77777777" w:rsidR="007C5A34" w:rsidRPr="001D5327" w:rsidRDefault="007C5A34" w:rsidP="007C5A34">
      <w:pPr>
        <w:pStyle w:val="BodyText"/>
      </w:pPr>
      <w:r w:rsidRPr="001D5327">
        <w:rPr>
          <w:noProof/>
        </w:rPr>
        <w:drawing>
          <wp:inline distT="0" distB="0" distL="0" distR="0" wp14:anchorId="06CEA1A4" wp14:editId="5665B713">
            <wp:extent cx="5292969" cy="3824654"/>
            <wp:effectExtent l="0" t="0" r="3175" b="4445"/>
            <wp:docPr id="630285824" name="Picture" descr="A line graph with numbers and a line&#10;&#10;Description automatically generated"/>
            <wp:cNvGraphicFramePr/>
            <a:graphic xmlns:a="http://schemas.openxmlformats.org/drawingml/2006/main">
              <a:graphicData uri="http://schemas.openxmlformats.org/drawingml/2006/picture">
                <pic:pic xmlns:pic="http://schemas.openxmlformats.org/drawingml/2006/picture">
                  <pic:nvPicPr>
                    <pic:cNvPr id="630285824" name="Picture" descr="A line graph with numbers and a line&#10;&#10;Description automatically generated"/>
                    <pic:cNvPicPr>
                      <a:picLocks noChangeAspect="1" noChangeArrowheads="1"/>
                    </pic:cNvPicPr>
                  </pic:nvPicPr>
                  <pic:blipFill rotWithShape="1">
                    <a:blip r:embed="rId260"/>
                    <a:srcRect b="1498"/>
                    <a:stretch/>
                  </pic:blipFill>
                  <pic:spPr bwMode="auto">
                    <a:xfrm>
                      <a:off x="0" y="0"/>
                      <a:ext cx="5293553" cy="3825076"/>
                    </a:xfrm>
                    <a:prstGeom prst="rect">
                      <a:avLst/>
                    </a:prstGeom>
                    <a:noFill/>
                    <a:ln>
                      <a:noFill/>
                    </a:ln>
                    <a:extLst>
                      <a:ext uri="{53640926-AAD7-44D8-BBD7-CCE9431645EC}">
                        <a14:shadowObscured xmlns:a14="http://schemas.microsoft.com/office/drawing/2010/main"/>
                      </a:ext>
                    </a:extLst>
                  </pic:spPr>
                </pic:pic>
              </a:graphicData>
            </a:graphic>
          </wp:inline>
        </w:drawing>
      </w:r>
    </w:p>
    <w:p w14:paraId="5C2BF9F6" w14:textId="77777777" w:rsidR="007C5A34" w:rsidRPr="001D5327" w:rsidRDefault="007C5A34" w:rsidP="00263341">
      <w:pPr>
        <w:pStyle w:val="Heading3"/>
        <w:tabs>
          <w:tab w:val="clear" w:pos="851"/>
          <w:tab w:val="left" w:pos="993"/>
        </w:tabs>
        <w:spacing w:before="240"/>
      </w:pPr>
      <w:bookmarkStart w:id="3063" w:name="agriculture"/>
      <w:bookmarkEnd w:id="3061"/>
      <w:r w:rsidRPr="001D5327">
        <w:t>10.2.5</w:t>
      </w:r>
      <w:r w:rsidRPr="001D5327">
        <w:tab/>
        <w:t>Agriculture</w:t>
      </w:r>
    </w:p>
    <w:p w14:paraId="1E2141A3" w14:textId="77777777" w:rsidR="007C5A34" w:rsidRPr="001D5327" w:rsidRDefault="007C5A34" w:rsidP="00263341">
      <w:pPr>
        <w:pStyle w:val="BodyText"/>
        <w:spacing w:after="100"/>
      </w:pPr>
      <w:r w:rsidRPr="001D5327">
        <w:t>The following improvements and corrections were made to the Agriculture sector.</w:t>
      </w:r>
    </w:p>
    <w:p w14:paraId="7CDFD9EF" w14:textId="77777777" w:rsidR="007C5A34" w:rsidRPr="001D5327" w:rsidRDefault="007C5A34" w:rsidP="00263341">
      <w:pPr>
        <w:pStyle w:val="Bullet"/>
        <w:spacing w:after="100"/>
      </w:pPr>
      <w:r w:rsidRPr="001D5327">
        <w:t>Minor species population values were improved. For details, see chapter 5, section 5.2.5.</w:t>
      </w:r>
    </w:p>
    <w:p w14:paraId="32B8B038" w14:textId="77777777" w:rsidR="007C5A34" w:rsidRPr="001D5327" w:rsidRDefault="007C5A34" w:rsidP="00263341">
      <w:pPr>
        <w:pStyle w:val="Bullet"/>
        <w:spacing w:after="100"/>
      </w:pPr>
      <w:r w:rsidRPr="001D5327">
        <w:t>Deer population and productivity statistics were improved. For details, see chapter 5, section 5.2.5.</w:t>
      </w:r>
    </w:p>
    <w:p w14:paraId="724D1AB3" w14:textId="77777777" w:rsidR="007C5A34" w:rsidRPr="001D5327" w:rsidRDefault="007C5A34" w:rsidP="00263341">
      <w:pPr>
        <w:pStyle w:val="Bullet"/>
        <w:spacing w:after="100"/>
      </w:pPr>
      <w:r w:rsidRPr="001D5327">
        <w:t>Emissions calculations for pigs were improved. For details, see chapter 5, section 5.2.5 and section 5.3.5.</w:t>
      </w:r>
    </w:p>
    <w:p w14:paraId="13063460" w14:textId="77777777" w:rsidR="007C5A34" w:rsidRPr="001D5327" w:rsidRDefault="007C5A34" w:rsidP="007C5A34">
      <w:pPr>
        <w:pStyle w:val="Bullet"/>
      </w:pPr>
      <w:r w:rsidRPr="001D5327">
        <w:t>Emissions from non-manure organic amendments to soils were included in reporting. For details, see chapter 5, section 5.5.5.</w:t>
      </w:r>
    </w:p>
    <w:p w14:paraId="7013F75A" w14:textId="77777777" w:rsidR="007C5A34" w:rsidRPr="001D5327" w:rsidRDefault="007C5A34" w:rsidP="007C5A34">
      <w:pPr>
        <w:pStyle w:val="Bullet"/>
      </w:pPr>
      <w:r w:rsidRPr="001D5327">
        <w:lastRenderedPageBreak/>
        <w:t>Sheep energy requirements were improved by implementing seasonality of wool growth. For details, see chapter 5, section 5.2.5.</w:t>
      </w:r>
    </w:p>
    <w:p w14:paraId="4905258A" w14:textId="77777777" w:rsidR="007C5A34" w:rsidRPr="001D5327" w:rsidRDefault="007C5A34" w:rsidP="007C5A34">
      <w:pPr>
        <w:pStyle w:val="Bullet"/>
      </w:pPr>
      <w:r w:rsidRPr="001D5327">
        <w:t xml:space="preserve">Revisions were made to agricultural statistics, using the latest available activity data from sources described in chapter 5, section 5.1.4. </w:t>
      </w:r>
    </w:p>
    <w:p w14:paraId="657E040F" w14:textId="77777777" w:rsidR="007C5A34" w:rsidRPr="001D5327" w:rsidRDefault="007C5A34" w:rsidP="007C5A34">
      <w:pPr>
        <w:pStyle w:val="Bullet"/>
      </w:pPr>
      <w:r w:rsidRPr="001D5327">
        <w:t>A number of error corrections and improvements to the model code were made. For details, see below.</w:t>
      </w:r>
    </w:p>
    <w:p w14:paraId="2E6EA6FD" w14:textId="77777777" w:rsidR="007C5A34" w:rsidRPr="001D5327" w:rsidRDefault="007C5A34" w:rsidP="007C5A34">
      <w:pPr>
        <w:pStyle w:val="BodyText"/>
      </w:pPr>
      <w:r w:rsidRPr="001D5327">
        <w:t>Improvements and recalculations made to the Agriculture sector have resulted in a decrease of 0.6 per cent (206.4 kt CO</w:t>
      </w:r>
      <w:r w:rsidRPr="001D5327">
        <w:rPr>
          <w:vertAlign w:val="subscript"/>
        </w:rPr>
        <w:t>2</w:t>
      </w:r>
      <w:r w:rsidRPr="001D5327">
        <w:t>-e) in estimated agriculture emissions in 1990 and a decrease of 0.5 per cent (191.3 kt CO</w:t>
      </w:r>
      <w:r w:rsidRPr="001D5327">
        <w:rPr>
          <w:vertAlign w:val="subscript"/>
        </w:rPr>
        <w:t>2</w:t>
      </w:r>
      <w:r w:rsidRPr="001D5327">
        <w:t>-e) in estimated agriculture emissions in 2022 (figure 10.2.5).</w:t>
      </w:r>
    </w:p>
    <w:p w14:paraId="66091532" w14:textId="77777777" w:rsidR="007C5A34" w:rsidRPr="001D5327" w:rsidRDefault="007C5A34" w:rsidP="007C5A34">
      <w:pPr>
        <w:pStyle w:val="Figure"/>
      </w:pPr>
      <w:bookmarkStart w:id="3064" w:name="_Toc194674896"/>
      <w:r w:rsidRPr="001D5327">
        <w:rPr>
          <w:bCs/>
        </w:rPr>
        <w:t xml:space="preserve">Figure 10.2.5 </w:t>
      </w:r>
      <w:r w:rsidRPr="001D5327">
        <w:rPr>
          <w:bCs/>
        </w:rPr>
        <w:tab/>
        <w:t>Effect of recalculations on emissions estimates from New Zealand’s Agriculture sector, from 1990 to 2022</w:t>
      </w:r>
      <w:bookmarkEnd w:id="3064"/>
    </w:p>
    <w:p w14:paraId="057EFE7A" w14:textId="77777777" w:rsidR="007C5A34" w:rsidRPr="001D5327" w:rsidRDefault="007C5A34" w:rsidP="007C5A34">
      <w:pPr>
        <w:pStyle w:val="BodyText"/>
      </w:pPr>
      <w:r w:rsidRPr="001D5327">
        <w:rPr>
          <w:noProof/>
        </w:rPr>
        <w:drawing>
          <wp:inline distT="0" distB="0" distL="0" distR="0" wp14:anchorId="01857E0F" wp14:editId="20FDA223">
            <wp:extent cx="5205046" cy="3780693"/>
            <wp:effectExtent l="0" t="0" r="0" b="0"/>
            <wp:docPr id="658748847" name="Picture" descr="A graph with a line&#10;&#10;Description automatically generated"/>
            <wp:cNvGraphicFramePr/>
            <a:graphic xmlns:a="http://schemas.openxmlformats.org/drawingml/2006/main">
              <a:graphicData uri="http://schemas.openxmlformats.org/drawingml/2006/picture">
                <pic:pic xmlns:pic="http://schemas.openxmlformats.org/drawingml/2006/picture">
                  <pic:nvPicPr>
                    <pic:cNvPr id="658748847" name="Picture" descr="A graph with a line&#10;&#10;Description automatically generated"/>
                    <pic:cNvPicPr>
                      <a:picLocks noChangeAspect="1" noChangeArrowheads="1"/>
                    </pic:cNvPicPr>
                  </pic:nvPicPr>
                  <pic:blipFill rotWithShape="1">
                    <a:blip r:embed="rId261"/>
                    <a:srcRect b="2070"/>
                    <a:stretch/>
                  </pic:blipFill>
                  <pic:spPr bwMode="auto">
                    <a:xfrm>
                      <a:off x="0" y="0"/>
                      <a:ext cx="5226280" cy="3796116"/>
                    </a:xfrm>
                    <a:prstGeom prst="rect">
                      <a:avLst/>
                    </a:prstGeom>
                    <a:noFill/>
                    <a:ln>
                      <a:noFill/>
                    </a:ln>
                    <a:extLst>
                      <a:ext uri="{53640926-AAD7-44D8-BBD7-CCE9431645EC}">
                        <a14:shadowObscured xmlns:a14="http://schemas.microsoft.com/office/drawing/2010/main"/>
                      </a:ext>
                    </a:extLst>
                  </pic:spPr>
                </pic:pic>
              </a:graphicData>
            </a:graphic>
          </wp:inline>
        </w:drawing>
      </w:r>
    </w:p>
    <w:p w14:paraId="73F54397" w14:textId="77777777" w:rsidR="007C5A34" w:rsidRPr="001D5327" w:rsidRDefault="007C5A34" w:rsidP="007C5A34">
      <w:pPr>
        <w:pStyle w:val="BodyText"/>
      </w:pPr>
      <w:r w:rsidRPr="001D5327">
        <w:t>The improvements implemented for the Agriculture sector in the 2025 submission of the Inventory were as follows.</w:t>
      </w:r>
    </w:p>
    <w:p w14:paraId="232EFDAE" w14:textId="77777777" w:rsidR="007C5A34" w:rsidRPr="001D5327" w:rsidRDefault="007C5A34" w:rsidP="007C5A34">
      <w:pPr>
        <w:pStyle w:val="Heading4"/>
      </w:pPr>
      <w:r w:rsidRPr="001D5327">
        <w:t>Improvements to minor species population estimates</w:t>
      </w:r>
    </w:p>
    <w:p w14:paraId="5CC6BF92" w14:textId="77777777" w:rsidR="007C5A34" w:rsidRPr="001D5327" w:rsidRDefault="007C5A34" w:rsidP="007C5A34">
      <w:pPr>
        <w:pStyle w:val="BodyText"/>
      </w:pPr>
      <w:r w:rsidRPr="001D5327">
        <w:t>Emissions estimates in all categories relating to donkeys, poultry, llamas and alpacas since 1990 reported in the 2025 submission have been enhanced by a methodological update to population estimates.</w:t>
      </w:r>
    </w:p>
    <w:p w14:paraId="4FB02931" w14:textId="77777777" w:rsidR="007C5A34" w:rsidRPr="001D5327" w:rsidRDefault="007C5A34" w:rsidP="007C5A34">
      <w:pPr>
        <w:pStyle w:val="BodyText"/>
      </w:pPr>
      <w:r w:rsidRPr="001D5327">
        <w:t>The emissions from minor species were estimated using New Zealand activity data, and Intergovernmental Panel on Climate Change (IPCC) emission factors (EFs) and methodologies. Where possible, New Zealand has used country-specific methods and EFs to estimate emissions for these minor livestock species.</w:t>
      </w:r>
    </w:p>
    <w:p w14:paraId="34291EE2" w14:textId="77777777" w:rsidR="007C5A34" w:rsidRPr="001D5327" w:rsidRDefault="007C5A34" w:rsidP="005E6C8B">
      <w:pPr>
        <w:pStyle w:val="BodyText"/>
      </w:pPr>
      <w:r w:rsidRPr="001D5327">
        <w:lastRenderedPageBreak/>
        <w:t xml:space="preserve">Recent research carried out by AbacusBio (Sise, 2023) has used industry data, data from Stats NZ, other agricultural databases and additional information provided from industry stakeholders to improve the population assumptions for donkeys, poultry, llamas and alpacas. </w:t>
      </w:r>
    </w:p>
    <w:p w14:paraId="28929507" w14:textId="77777777" w:rsidR="007C5A34" w:rsidRPr="001D5327" w:rsidRDefault="007C5A34" w:rsidP="005E6C8B">
      <w:pPr>
        <w:pStyle w:val="BodyText"/>
      </w:pPr>
      <w:r w:rsidRPr="001D5327">
        <w:t>The following recommendations from Sise (2023) were implemented in the 2025 submission</w:t>
      </w:r>
      <w:r w:rsidRPr="001D5327" w:rsidDel="00CC7E04">
        <w:t xml:space="preserve"> </w:t>
      </w:r>
      <w:r w:rsidRPr="001D5327">
        <w:t>of the Inventory.</w:t>
      </w:r>
    </w:p>
    <w:p w14:paraId="1A6BE79D" w14:textId="77777777" w:rsidR="007C5A34" w:rsidRPr="001D5327" w:rsidRDefault="007C5A34" w:rsidP="007C5A34">
      <w:pPr>
        <w:pStyle w:val="Bullet"/>
      </w:pPr>
      <w:r w:rsidRPr="001D5327">
        <w:t>Update the donkey population to 1,500 (previously 141).</w:t>
      </w:r>
    </w:p>
    <w:p w14:paraId="38A1431C" w14:textId="77777777" w:rsidR="007C5A34" w:rsidRPr="001D5327" w:rsidRDefault="007C5A34" w:rsidP="007C5A34">
      <w:pPr>
        <w:pStyle w:val="Bullet"/>
      </w:pPr>
      <w:r w:rsidRPr="001D5327">
        <w:t>Use disaggregated Stats NZ data to calculate the poultry population.</w:t>
      </w:r>
    </w:p>
    <w:p w14:paraId="1D98512E" w14:textId="77777777" w:rsidR="007C5A34" w:rsidRPr="001D5327" w:rsidRDefault="007C5A34" w:rsidP="007C5A34">
      <w:pPr>
        <w:pStyle w:val="Bullet"/>
      </w:pPr>
      <w:r w:rsidRPr="001D5327">
        <w:t>Use the modelled alpaca and modelled llama population levels for 2009 to 2022, with information from both the alpaca and llama registries used to provide population estimates from 2023 onwards.</w:t>
      </w:r>
    </w:p>
    <w:p w14:paraId="776F1A8A" w14:textId="77777777" w:rsidR="007C5A34" w:rsidRPr="001D5327" w:rsidRDefault="007C5A34" w:rsidP="007C5A34">
      <w:pPr>
        <w:pStyle w:val="BodyText"/>
        <w:spacing w:before="100" w:after="100"/>
      </w:pPr>
      <w:r w:rsidRPr="001D5327">
        <w:rPr>
          <w:spacing w:val="-2"/>
        </w:rPr>
        <w:t>These changes increase total annual agricultural emissions reported in 2022 by 1.0 kt CO</w:t>
      </w:r>
      <w:r w:rsidRPr="001D5327">
        <w:rPr>
          <w:spacing w:val="-2"/>
          <w:vertAlign w:val="subscript"/>
        </w:rPr>
        <w:t>2</w:t>
      </w:r>
      <w:r w:rsidRPr="001D5327">
        <w:rPr>
          <w:spacing w:val="-2"/>
        </w:rPr>
        <w:noBreakHyphen/>
        <w:t>e</w:t>
      </w:r>
      <w:r w:rsidRPr="001D5327">
        <w:t xml:space="preserve">, less than 0.01 per cent of total agricultural emissions (table 10.2.3). </w:t>
      </w:r>
    </w:p>
    <w:p w14:paraId="7C5A0F40" w14:textId="77777777" w:rsidR="007C5A34" w:rsidRPr="001D5327" w:rsidRDefault="007C5A34" w:rsidP="007C5A34">
      <w:pPr>
        <w:pStyle w:val="Table"/>
      </w:pPr>
      <w:bookmarkStart w:id="3065" w:name="_Toc161311309"/>
      <w:bookmarkStart w:id="3066" w:name="_Toc164153977"/>
      <w:bookmarkStart w:id="3067" w:name="_Toc194241850"/>
      <w:r w:rsidRPr="001D5327">
        <w:t>Table 10.2.3</w:t>
      </w:r>
      <w:r w:rsidRPr="001D5327">
        <w:tab/>
        <w:t>Emissions impact of changing minor species population estimates</w:t>
      </w:r>
      <w:bookmarkEnd w:id="3065"/>
      <w:bookmarkEnd w:id="3066"/>
      <w:bookmarkEnd w:id="3067"/>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4A0" w:firstRow="1" w:lastRow="0" w:firstColumn="1" w:lastColumn="0" w:noHBand="0" w:noVBand="1"/>
      </w:tblPr>
      <w:tblGrid>
        <w:gridCol w:w="993"/>
        <w:gridCol w:w="2835"/>
        <w:gridCol w:w="850"/>
        <w:gridCol w:w="851"/>
        <w:gridCol w:w="1464"/>
        <w:gridCol w:w="1512"/>
      </w:tblGrid>
      <w:tr w:rsidR="007C5A34" w:rsidRPr="001D5327" w14:paraId="272FA4FF" w14:textId="77777777" w:rsidTr="00BD25EE">
        <w:tc>
          <w:tcPr>
            <w:tcW w:w="993" w:type="dxa"/>
            <w:shd w:val="clear" w:color="auto" w:fill="1B556B"/>
            <w:vAlign w:val="bottom"/>
            <w:hideMark/>
          </w:tcPr>
          <w:p w14:paraId="2607F27A" w14:textId="77777777" w:rsidR="007C5A34" w:rsidRPr="001D5327" w:rsidRDefault="007C5A34" w:rsidP="00341FEF">
            <w:pPr>
              <w:pStyle w:val="TableText"/>
              <w:spacing w:before="40" w:after="40"/>
              <w:rPr>
                <w:b/>
                <w:bCs/>
                <w:color w:val="FFFFFF" w:themeColor="background1"/>
              </w:rPr>
            </w:pPr>
          </w:p>
        </w:tc>
        <w:tc>
          <w:tcPr>
            <w:tcW w:w="2835" w:type="dxa"/>
            <w:shd w:val="clear" w:color="auto" w:fill="1B556B"/>
            <w:vAlign w:val="bottom"/>
            <w:hideMark/>
          </w:tcPr>
          <w:p w14:paraId="19EDFF46" w14:textId="77777777" w:rsidR="007C5A34" w:rsidRPr="001D5327" w:rsidRDefault="007C5A34" w:rsidP="00341FEF">
            <w:pPr>
              <w:pStyle w:val="TableText"/>
              <w:spacing w:before="40" w:after="40"/>
              <w:rPr>
                <w:b/>
                <w:bCs/>
                <w:color w:val="FFFFFF" w:themeColor="background1"/>
              </w:rPr>
            </w:pPr>
            <w:r w:rsidRPr="001D5327">
              <w:rPr>
                <w:rFonts w:cs="Calibri"/>
                <w:color w:val="000000"/>
                <w:sz w:val="20"/>
                <w:szCs w:val="20"/>
              </w:rPr>
              <w:t> </w:t>
            </w:r>
          </w:p>
        </w:tc>
        <w:tc>
          <w:tcPr>
            <w:tcW w:w="850" w:type="dxa"/>
            <w:shd w:val="clear" w:color="auto" w:fill="1B556B"/>
            <w:vAlign w:val="bottom"/>
            <w:hideMark/>
          </w:tcPr>
          <w:p w14:paraId="38FE38DF" w14:textId="4C97B757" w:rsidR="007C5A34" w:rsidRPr="001D5327" w:rsidRDefault="007C5A34" w:rsidP="005E6C8B">
            <w:pPr>
              <w:pStyle w:val="TableText"/>
              <w:spacing w:before="40" w:after="40"/>
              <w:jc w:val="right"/>
              <w:rPr>
                <w:rFonts w:cs="Calibri"/>
                <w:b/>
                <w:bCs/>
                <w:color w:val="FFFFFF"/>
                <w:szCs w:val="16"/>
              </w:rPr>
            </w:pPr>
            <w:r w:rsidRPr="001D5327">
              <w:rPr>
                <w:rFonts w:cs="Calibri"/>
                <w:b/>
                <w:bCs/>
                <w:color w:val="FFFFFF"/>
                <w:szCs w:val="16"/>
              </w:rPr>
              <w:t>1990</w:t>
            </w:r>
            <w:r w:rsidR="005E6C8B" w:rsidRPr="001D5327">
              <w:rPr>
                <w:rFonts w:cs="Calibri"/>
                <w:b/>
                <w:bCs/>
                <w:color w:val="FFFFFF"/>
                <w:szCs w:val="16"/>
              </w:rPr>
              <w:br/>
            </w:r>
            <w:r w:rsidRPr="001D5327">
              <w:rPr>
                <w:rFonts w:cs="Calibri"/>
                <w:b/>
                <w:bCs/>
                <w:color w:val="FFFFFF"/>
                <w:szCs w:val="16"/>
              </w:rPr>
              <w:t>(kt CO</w:t>
            </w:r>
            <w:r w:rsidRPr="001D5327">
              <w:rPr>
                <w:rFonts w:cs="Calibri"/>
                <w:b/>
                <w:bCs/>
                <w:color w:val="FFFFFF"/>
                <w:szCs w:val="16"/>
                <w:vertAlign w:val="subscript"/>
              </w:rPr>
              <w:t>2</w:t>
            </w:r>
            <w:r w:rsidRPr="001D5327">
              <w:rPr>
                <w:rFonts w:cs="Calibri"/>
                <w:b/>
                <w:bCs/>
                <w:color w:val="FFFFFF"/>
                <w:szCs w:val="16"/>
              </w:rPr>
              <w:t>-e)</w:t>
            </w:r>
          </w:p>
        </w:tc>
        <w:tc>
          <w:tcPr>
            <w:tcW w:w="851" w:type="dxa"/>
            <w:shd w:val="clear" w:color="auto" w:fill="1B556B"/>
            <w:vAlign w:val="bottom"/>
            <w:hideMark/>
          </w:tcPr>
          <w:p w14:paraId="102007B5" w14:textId="16E29F97" w:rsidR="007C5A34" w:rsidRPr="001D5327" w:rsidRDefault="007C5A34" w:rsidP="005E6C8B">
            <w:pPr>
              <w:pStyle w:val="TableText"/>
              <w:spacing w:before="40" w:after="40"/>
              <w:jc w:val="right"/>
              <w:rPr>
                <w:rFonts w:cs="Calibri"/>
                <w:b/>
                <w:bCs/>
                <w:color w:val="FFFFFF"/>
                <w:szCs w:val="16"/>
              </w:rPr>
            </w:pPr>
            <w:r w:rsidRPr="001D5327">
              <w:rPr>
                <w:rFonts w:cs="Calibri"/>
                <w:b/>
                <w:bCs/>
                <w:color w:val="FFFFFF"/>
                <w:szCs w:val="16"/>
              </w:rPr>
              <w:t>2022</w:t>
            </w:r>
            <w:r w:rsidR="005E6C8B" w:rsidRPr="001D5327">
              <w:rPr>
                <w:rFonts w:cs="Calibri"/>
                <w:b/>
                <w:bCs/>
                <w:color w:val="FFFFFF"/>
                <w:szCs w:val="16"/>
              </w:rPr>
              <w:br/>
            </w:r>
            <w:r w:rsidRPr="001D5327">
              <w:rPr>
                <w:rFonts w:cs="Calibri"/>
                <w:b/>
                <w:bCs/>
                <w:color w:val="FFFFFF"/>
                <w:szCs w:val="16"/>
              </w:rPr>
              <w:t>(kt CO</w:t>
            </w:r>
            <w:r w:rsidRPr="001D5327">
              <w:rPr>
                <w:rFonts w:cs="Calibri"/>
                <w:b/>
                <w:bCs/>
                <w:color w:val="FFFFFF"/>
                <w:szCs w:val="16"/>
                <w:vertAlign w:val="subscript"/>
              </w:rPr>
              <w:t>2</w:t>
            </w:r>
            <w:r w:rsidRPr="001D5327">
              <w:rPr>
                <w:rFonts w:cs="Calibri"/>
                <w:b/>
                <w:bCs/>
                <w:color w:val="FFFFFF"/>
                <w:szCs w:val="16"/>
              </w:rPr>
              <w:t>-e)</w:t>
            </w:r>
          </w:p>
        </w:tc>
        <w:tc>
          <w:tcPr>
            <w:tcW w:w="1464" w:type="dxa"/>
            <w:shd w:val="clear" w:color="auto" w:fill="1B556B"/>
            <w:vAlign w:val="bottom"/>
            <w:hideMark/>
          </w:tcPr>
          <w:p w14:paraId="37D45F0E"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512" w:type="dxa"/>
            <w:shd w:val="clear" w:color="auto" w:fill="1B556B"/>
            <w:vAlign w:val="bottom"/>
            <w:hideMark/>
          </w:tcPr>
          <w:p w14:paraId="694F6DAE"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Percentage change in emission outputs between 1990 and 2022 (%)</w:t>
            </w:r>
          </w:p>
        </w:tc>
      </w:tr>
      <w:tr w:rsidR="007C5A34" w:rsidRPr="001D5327" w14:paraId="6F010895" w14:textId="77777777" w:rsidTr="00BD25EE">
        <w:tc>
          <w:tcPr>
            <w:tcW w:w="993" w:type="dxa"/>
            <w:vMerge w:val="restart"/>
            <w:vAlign w:val="center"/>
            <w:hideMark/>
          </w:tcPr>
          <w:p w14:paraId="69D99CFB" w14:textId="77777777" w:rsidR="007C5A34" w:rsidRPr="001D5327" w:rsidRDefault="007C5A34" w:rsidP="00341FEF">
            <w:pPr>
              <w:pStyle w:val="TableText"/>
              <w:spacing w:before="40" w:after="40"/>
              <w:rPr>
                <w:color w:val="000000"/>
              </w:rPr>
            </w:pPr>
            <w:r w:rsidRPr="001D5327">
              <w:rPr>
                <w:rFonts w:cs="Calibri"/>
                <w:color w:val="000000"/>
                <w:szCs w:val="16"/>
              </w:rPr>
              <w:t xml:space="preserve">Total emissions from </w:t>
            </w:r>
            <w:r w:rsidRPr="001D5327">
              <w:rPr>
                <w:rFonts w:cs="Calibri"/>
                <w:i/>
                <w:color w:val="000000"/>
                <w:szCs w:val="16"/>
              </w:rPr>
              <w:t>Agriculture</w:t>
            </w:r>
          </w:p>
        </w:tc>
        <w:tc>
          <w:tcPr>
            <w:tcW w:w="2835" w:type="dxa"/>
            <w:vAlign w:val="center"/>
            <w:hideMark/>
          </w:tcPr>
          <w:p w14:paraId="5C683AEC" w14:textId="77777777" w:rsidR="007C5A34" w:rsidRPr="001D5327" w:rsidRDefault="007C5A34" w:rsidP="00341FEF">
            <w:pPr>
              <w:pStyle w:val="TableText"/>
              <w:spacing w:before="40" w:after="40"/>
              <w:rPr>
                <w:color w:val="000000"/>
              </w:rPr>
            </w:pPr>
            <w:r w:rsidRPr="001D5327">
              <w:rPr>
                <w:rFonts w:cs="Calibri"/>
                <w:color w:val="000000"/>
                <w:szCs w:val="16"/>
              </w:rPr>
              <w:t>2024 (1990–2022) emissions estimate</w:t>
            </w:r>
          </w:p>
        </w:tc>
        <w:tc>
          <w:tcPr>
            <w:tcW w:w="850" w:type="dxa"/>
            <w:vAlign w:val="bottom"/>
            <w:hideMark/>
          </w:tcPr>
          <w:p w14:paraId="25A96599"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37,121.5</w:t>
            </w:r>
          </w:p>
        </w:tc>
        <w:tc>
          <w:tcPr>
            <w:tcW w:w="851" w:type="dxa"/>
            <w:vAlign w:val="bottom"/>
            <w:hideMark/>
          </w:tcPr>
          <w:p w14:paraId="6EAB6DB4"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41,712.7</w:t>
            </w:r>
          </w:p>
        </w:tc>
        <w:tc>
          <w:tcPr>
            <w:tcW w:w="1464" w:type="dxa"/>
            <w:vAlign w:val="bottom"/>
            <w:hideMark/>
          </w:tcPr>
          <w:p w14:paraId="419C8B66"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4,591.2</w:t>
            </w:r>
          </w:p>
        </w:tc>
        <w:tc>
          <w:tcPr>
            <w:tcW w:w="1512" w:type="dxa"/>
            <w:vAlign w:val="bottom"/>
            <w:hideMark/>
          </w:tcPr>
          <w:p w14:paraId="2D9CAF62"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12.4</w:t>
            </w:r>
          </w:p>
        </w:tc>
      </w:tr>
      <w:tr w:rsidR="007C5A34" w:rsidRPr="001D5327" w14:paraId="337AA3F6" w14:textId="77777777" w:rsidTr="00BD25EE">
        <w:tc>
          <w:tcPr>
            <w:tcW w:w="993" w:type="dxa"/>
            <w:vMerge/>
            <w:vAlign w:val="center"/>
            <w:hideMark/>
          </w:tcPr>
          <w:p w14:paraId="15B32EFF" w14:textId="77777777" w:rsidR="007C5A34" w:rsidRPr="001D5327" w:rsidRDefault="007C5A34" w:rsidP="00341FEF">
            <w:pPr>
              <w:rPr>
                <w:color w:val="000000"/>
                <w:sz w:val="16"/>
              </w:rPr>
            </w:pPr>
          </w:p>
        </w:tc>
        <w:tc>
          <w:tcPr>
            <w:tcW w:w="2835" w:type="dxa"/>
            <w:vAlign w:val="center"/>
            <w:hideMark/>
          </w:tcPr>
          <w:p w14:paraId="161EB1A6" w14:textId="77777777" w:rsidR="007C5A34" w:rsidRPr="001D5327" w:rsidRDefault="007C5A34" w:rsidP="00341FEF">
            <w:pPr>
              <w:pStyle w:val="TableText"/>
              <w:spacing w:before="40" w:after="40"/>
              <w:rPr>
                <w:color w:val="000000"/>
              </w:rPr>
            </w:pPr>
            <w:r w:rsidRPr="001D5327">
              <w:rPr>
                <w:rFonts w:cs="Calibri"/>
                <w:color w:val="000000"/>
                <w:szCs w:val="16"/>
              </w:rPr>
              <w:t>2024 (1990–2022) emissions estimate with updated minor species populations</w:t>
            </w:r>
          </w:p>
        </w:tc>
        <w:tc>
          <w:tcPr>
            <w:tcW w:w="850" w:type="dxa"/>
            <w:vAlign w:val="bottom"/>
            <w:hideMark/>
          </w:tcPr>
          <w:p w14:paraId="3291EBF2"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37,122.1</w:t>
            </w:r>
          </w:p>
        </w:tc>
        <w:tc>
          <w:tcPr>
            <w:tcW w:w="851" w:type="dxa"/>
            <w:vAlign w:val="bottom"/>
            <w:hideMark/>
          </w:tcPr>
          <w:p w14:paraId="23157710"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41,713.6</w:t>
            </w:r>
          </w:p>
        </w:tc>
        <w:tc>
          <w:tcPr>
            <w:tcW w:w="1464" w:type="dxa"/>
            <w:vAlign w:val="bottom"/>
            <w:hideMark/>
          </w:tcPr>
          <w:p w14:paraId="0985539E"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4,591.5</w:t>
            </w:r>
          </w:p>
        </w:tc>
        <w:tc>
          <w:tcPr>
            <w:tcW w:w="1512" w:type="dxa"/>
            <w:vAlign w:val="bottom"/>
            <w:hideMark/>
          </w:tcPr>
          <w:p w14:paraId="5AE58DB8"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12.4</w:t>
            </w:r>
          </w:p>
        </w:tc>
      </w:tr>
      <w:tr w:rsidR="007C5A34" w:rsidRPr="001D5327" w14:paraId="00BC6AC9" w14:textId="77777777" w:rsidTr="00BD25EE">
        <w:tc>
          <w:tcPr>
            <w:tcW w:w="993" w:type="dxa"/>
            <w:vMerge/>
            <w:vAlign w:val="center"/>
            <w:hideMark/>
          </w:tcPr>
          <w:p w14:paraId="02F0DF39" w14:textId="77777777" w:rsidR="007C5A34" w:rsidRPr="001D5327" w:rsidRDefault="007C5A34" w:rsidP="00341FEF">
            <w:pPr>
              <w:rPr>
                <w:color w:val="000000"/>
                <w:sz w:val="16"/>
              </w:rPr>
            </w:pPr>
          </w:p>
        </w:tc>
        <w:tc>
          <w:tcPr>
            <w:tcW w:w="2835" w:type="dxa"/>
            <w:vAlign w:val="center"/>
            <w:hideMark/>
          </w:tcPr>
          <w:p w14:paraId="6DB052CA" w14:textId="77777777" w:rsidR="007C5A34" w:rsidRPr="001D5327" w:rsidRDefault="007C5A34" w:rsidP="00341FEF">
            <w:pPr>
              <w:pStyle w:val="TableText"/>
              <w:spacing w:before="40" w:after="40"/>
              <w:rPr>
                <w:color w:val="000000"/>
              </w:rPr>
            </w:pPr>
            <w:r w:rsidRPr="001D5327">
              <w:rPr>
                <w:rFonts w:cs="Calibri"/>
                <w:color w:val="000000"/>
                <w:szCs w:val="16"/>
              </w:rPr>
              <w:t>Difference in emissions estimates</w:t>
            </w:r>
          </w:p>
        </w:tc>
        <w:tc>
          <w:tcPr>
            <w:tcW w:w="850" w:type="dxa"/>
            <w:vAlign w:val="bottom"/>
            <w:hideMark/>
          </w:tcPr>
          <w:p w14:paraId="2064FB5C"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0.6</w:t>
            </w:r>
          </w:p>
        </w:tc>
        <w:tc>
          <w:tcPr>
            <w:tcW w:w="851" w:type="dxa"/>
            <w:vAlign w:val="bottom"/>
            <w:hideMark/>
          </w:tcPr>
          <w:p w14:paraId="5D0BB915"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1.0</w:t>
            </w:r>
          </w:p>
        </w:tc>
        <w:tc>
          <w:tcPr>
            <w:tcW w:w="1464" w:type="dxa"/>
            <w:vAlign w:val="bottom"/>
            <w:hideMark/>
          </w:tcPr>
          <w:p w14:paraId="25C85178"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 </w:t>
            </w:r>
          </w:p>
        </w:tc>
        <w:tc>
          <w:tcPr>
            <w:tcW w:w="1512" w:type="dxa"/>
            <w:vAlign w:val="bottom"/>
            <w:hideMark/>
          </w:tcPr>
          <w:p w14:paraId="10EA1F38" w14:textId="77777777" w:rsidR="007C5A34" w:rsidRPr="001D5327" w:rsidRDefault="007C5A34" w:rsidP="00341FEF">
            <w:pPr>
              <w:pStyle w:val="TableText"/>
              <w:spacing w:before="40" w:after="40"/>
              <w:ind w:left="397"/>
              <w:jc w:val="right"/>
              <w:rPr>
                <w:color w:val="000000"/>
              </w:rPr>
            </w:pPr>
            <w:r w:rsidRPr="001D5327">
              <w:rPr>
                <w:rFonts w:cs="Calibri"/>
                <w:color w:val="000000"/>
                <w:szCs w:val="16"/>
              </w:rPr>
              <w:t> </w:t>
            </w:r>
          </w:p>
        </w:tc>
      </w:tr>
    </w:tbl>
    <w:p w14:paraId="5759406A" w14:textId="77777777" w:rsidR="007C5A34" w:rsidRPr="001D5327" w:rsidRDefault="007C5A34" w:rsidP="007C5A34">
      <w:pPr>
        <w:pStyle w:val="Heading4"/>
        <w:spacing w:before="360"/>
      </w:pPr>
      <w:r w:rsidRPr="001D5327">
        <w:t>Updating deer population and productivity statistics</w:t>
      </w:r>
    </w:p>
    <w:p w14:paraId="16090079" w14:textId="77777777" w:rsidR="007C5A34" w:rsidRPr="001D5327" w:rsidRDefault="007C5A34" w:rsidP="007C5A34">
      <w:pPr>
        <w:pStyle w:val="BodyText"/>
      </w:pPr>
      <w:r w:rsidRPr="001D5327">
        <w:t>Emissions estimates in all categories relating to deer since 1990 reported in the 2025 submission have been improved by an updated method to estimate the class populations, an updated mature hind liveweight, and a new source of activity data for velvet antler production.</w:t>
      </w:r>
    </w:p>
    <w:p w14:paraId="7263D85A" w14:textId="77777777" w:rsidR="007C5A34" w:rsidRPr="001D5327" w:rsidRDefault="007C5A34" w:rsidP="007C5A34">
      <w:pPr>
        <w:pStyle w:val="BodyText"/>
      </w:pPr>
      <w:r w:rsidRPr="001D5327">
        <w:t xml:space="preserve">Recent research carried out by AgResearch (Stevens and Ward, 2023) has developed a methodology to assign deer animals reported in the Stats NZ Agricultural Production Survey data to venison or velvet production as well as to age and sex. The research also used industry data to improve estimates of the mature weight of hinds and stags, stag slaughter date, and suggest a more accurate source of velvet antler production. </w:t>
      </w:r>
    </w:p>
    <w:p w14:paraId="7B6FEFF3" w14:textId="77777777" w:rsidR="007C5A34" w:rsidRPr="001D5327" w:rsidRDefault="007C5A34" w:rsidP="007C5A34">
      <w:pPr>
        <w:pStyle w:val="BodyText"/>
      </w:pPr>
      <w:r w:rsidRPr="001D5327">
        <w:t>The following recommendations from Stevens and Ward (2023) were implemented in the 2025 submission of the Inventory.</w:t>
      </w:r>
    </w:p>
    <w:p w14:paraId="105535D7" w14:textId="77777777" w:rsidR="007C5A34" w:rsidRPr="001D5327" w:rsidRDefault="007C5A34" w:rsidP="007C5A34">
      <w:pPr>
        <w:pStyle w:val="Bullet"/>
      </w:pPr>
      <w:r w:rsidRPr="001D5327">
        <w:t>Update the methodology to assign deer animals reported in the Stats NZ Agricultural Production Survey data to class, including the adoption of separate classes for the venison and velvet value streams.</w:t>
      </w:r>
    </w:p>
    <w:p w14:paraId="2FFF369F" w14:textId="77777777" w:rsidR="007C5A34" w:rsidRPr="001D5327" w:rsidRDefault="007C5A34" w:rsidP="007C5A34">
      <w:pPr>
        <w:pStyle w:val="Bullet"/>
      </w:pPr>
      <w:r w:rsidRPr="001D5327">
        <w:t>Update the values used for hind liveweight to a maximum of 110 kilograms (kg).</w:t>
      </w:r>
    </w:p>
    <w:p w14:paraId="6CDF5078" w14:textId="77777777" w:rsidR="007C5A34" w:rsidRPr="001D5327" w:rsidRDefault="007C5A34" w:rsidP="007C5A34">
      <w:pPr>
        <w:pStyle w:val="Bullet"/>
      </w:pPr>
      <w:r w:rsidRPr="001D5327">
        <w:t>Use the Deer Industry New Zealand record of velvet antler production.</w:t>
      </w:r>
    </w:p>
    <w:p w14:paraId="4E1EFC36" w14:textId="77777777" w:rsidR="007C5A34" w:rsidRPr="001D5327" w:rsidRDefault="007C5A34" w:rsidP="007C5A34">
      <w:pPr>
        <w:pStyle w:val="Bullet"/>
      </w:pPr>
      <w:r w:rsidRPr="001D5327">
        <w:t>Add an additional slaughter for stag populations at 25 months.</w:t>
      </w:r>
    </w:p>
    <w:p w14:paraId="15BE7DC2" w14:textId="77777777" w:rsidR="007C5A34" w:rsidRPr="001D5327" w:rsidRDefault="007C5A34" w:rsidP="007C5A34">
      <w:pPr>
        <w:pStyle w:val="BodyText"/>
        <w:spacing w:before="100" w:after="100"/>
      </w:pPr>
      <w:bookmarkStart w:id="3068" w:name="_Toc161311310"/>
      <w:bookmarkStart w:id="3069" w:name="_Toc164153978"/>
      <w:r w:rsidRPr="001D5327">
        <w:rPr>
          <w:spacing w:val="-2"/>
        </w:rPr>
        <w:t>These changes decrease total annual agricultural emissions reported in 2022 by 72.6 kt CO</w:t>
      </w:r>
      <w:r w:rsidRPr="001D5327">
        <w:rPr>
          <w:spacing w:val="-2"/>
          <w:vertAlign w:val="subscript"/>
        </w:rPr>
        <w:t>2</w:t>
      </w:r>
      <w:r w:rsidRPr="001D5327">
        <w:rPr>
          <w:spacing w:val="-2"/>
        </w:rPr>
        <w:noBreakHyphen/>
        <w:t>e</w:t>
      </w:r>
      <w:r w:rsidRPr="001D5327">
        <w:t xml:space="preserve"> or around 0.2 per cent of total agricultural emissions (table 10.2.4). </w:t>
      </w:r>
    </w:p>
    <w:p w14:paraId="47EB42A9" w14:textId="77777777" w:rsidR="007C5A34" w:rsidRPr="001D5327" w:rsidRDefault="007C5A34" w:rsidP="007C5A34">
      <w:pPr>
        <w:pStyle w:val="Table"/>
      </w:pPr>
      <w:bookmarkStart w:id="3070" w:name="_Toc194241851"/>
      <w:r w:rsidRPr="001D5327">
        <w:lastRenderedPageBreak/>
        <w:t>Table 10.2.4</w:t>
      </w:r>
      <w:r w:rsidRPr="001D5327">
        <w:tab/>
      </w:r>
      <w:bookmarkEnd w:id="3068"/>
      <w:r w:rsidRPr="001D5327">
        <w:t xml:space="preserve">Emissions impact of </w:t>
      </w:r>
      <w:bookmarkEnd w:id="3069"/>
      <w:r w:rsidRPr="001D5327">
        <w:t>updating the deer population and productivity statistics</w:t>
      </w:r>
      <w:bookmarkEnd w:id="3070"/>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4A0" w:firstRow="1" w:lastRow="0" w:firstColumn="1" w:lastColumn="0" w:noHBand="0" w:noVBand="1"/>
      </w:tblPr>
      <w:tblGrid>
        <w:gridCol w:w="1117"/>
        <w:gridCol w:w="2711"/>
        <w:gridCol w:w="850"/>
        <w:gridCol w:w="851"/>
        <w:gridCol w:w="1458"/>
        <w:gridCol w:w="1518"/>
      </w:tblGrid>
      <w:tr w:rsidR="007C5A34" w:rsidRPr="001D5327" w14:paraId="00908628" w14:textId="77777777" w:rsidTr="00A7003E">
        <w:tc>
          <w:tcPr>
            <w:tcW w:w="1117" w:type="dxa"/>
            <w:shd w:val="clear" w:color="auto" w:fill="1B556B"/>
            <w:vAlign w:val="bottom"/>
            <w:hideMark/>
          </w:tcPr>
          <w:p w14:paraId="2769164D" w14:textId="77777777" w:rsidR="007C5A34" w:rsidRPr="001D5327" w:rsidRDefault="007C5A34" w:rsidP="00341FEF">
            <w:pPr>
              <w:pStyle w:val="TableText"/>
              <w:spacing w:before="40" w:after="40"/>
              <w:rPr>
                <w:b/>
                <w:bCs/>
                <w:color w:val="FFFFFF" w:themeColor="background1"/>
              </w:rPr>
            </w:pPr>
          </w:p>
        </w:tc>
        <w:tc>
          <w:tcPr>
            <w:tcW w:w="2711" w:type="dxa"/>
            <w:shd w:val="clear" w:color="auto" w:fill="1B556B"/>
            <w:vAlign w:val="bottom"/>
            <w:hideMark/>
          </w:tcPr>
          <w:p w14:paraId="058957B3" w14:textId="77777777" w:rsidR="007C5A34" w:rsidRPr="001D5327" w:rsidRDefault="007C5A34" w:rsidP="00341FEF">
            <w:pPr>
              <w:pStyle w:val="TableText"/>
              <w:spacing w:before="40" w:after="40"/>
              <w:rPr>
                <w:b/>
                <w:bCs/>
                <w:color w:val="FFFFFF" w:themeColor="background1"/>
              </w:rPr>
            </w:pPr>
            <w:r w:rsidRPr="001D5327">
              <w:rPr>
                <w:rFonts w:cs="Calibri"/>
                <w:color w:val="000000"/>
                <w:sz w:val="20"/>
                <w:szCs w:val="20"/>
              </w:rPr>
              <w:t> </w:t>
            </w:r>
          </w:p>
        </w:tc>
        <w:tc>
          <w:tcPr>
            <w:tcW w:w="850" w:type="dxa"/>
            <w:shd w:val="clear" w:color="auto" w:fill="1B556B"/>
            <w:vAlign w:val="bottom"/>
            <w:hideMark/>
          </w:tcPr>
          <w:p w14:paraId="00F62BB3"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51" w:type="dxa"/>
            <w:shd w:val="clear" w:color="auto" w:fill="1B556B"/>
            <w:vAlign w:val="bottom"/>
            <w:hideMark/>
          </w:tcPr>
          <w:p w14:paraId="7EF711F1"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458" w:type="dxa"/>
            <w:shd w:val="clear" w:color="auto" w:fill="1B556B"/>
            <w:vAlign w:val="bottom"/>
            <w:hideMark/>
          </w:tcPr>
          <w:p w14:paraId="6778594A"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518" w:type="dxa"/>
            <w:shd w:val="clear" w:color="auto" w:fill="1B556B"/>
            <w:vAlign w:val="bottom"/>
            <w:hideMark/>
          </w:tcPr>
          <w:p w14:paraId="0F065250"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Percentage change in emission outputs between 1990 and 2022 (%)</w:t>
            </w:r>
          </w:p>
        </w:tc>
      </w:tr>
      <w:tr w:rsidR="007C5A34" w:rsidRPr="001D5327" w14:paraId="43393B43" w14:textId="77777777" w:rsidTr="00A7003E">
        <w:tc>
          <w:tcPr>
            <w:tcW w:w="1117" w:type="dxa"/>
            <w:vMerge w:val="restart"/>
            <w:vAlign w:val="center"/>
            <w:hideMark/>
          </w:tcPr>
          <w:p w14:paraId="43775DC2" w14:textId="77777777" w:rsidR="007C5A34" w:rsidRPr="001D5327" w:rsidRDefault="007C5A34" w:rsidP="00341FEF">
            <w:pPr>
              <w:pStyle w:val="TableText"/>
              <w:spacing w:before="40" w:after="40"/>
              <w:rPr>
                <w:color w:val="000000"/>
              </w:rPr>
            </w:pPr>
            <w:r w:rsidRPr="001D5327">
              <w:rPr>
                <w:rFonts w:cs="Calibri"/>
                <w:color w:val="000000"/>
                <w:szCs w:val="16"/>
              </w:rPr>
              <w:t xml:space="preserve">Total emissions from </w:t>
            </w:r>
            <w:r w:rsidRPr="001D5327">
              <w:rPr>
                <w:rFonts w:cs="Calibri"/>
                <w:i/>
                <w:color w:val="000000"/>
                <w:szCs w:val="16"/>
              </w:rPr>
              <w:t>Agriculture</w:t>
            </w:r>
          </w:p>
        </w:tc>
        <w:tc>
          <w:tcPr>
            <w:tcW w:w="2711" w:type="dxa"/>
            <w:vAlign w:val="center"/>
            <w:hideMark/>
          </w:tcPr>
          <w:p w14:paraId="5554C247" w14:textId="77777777" w:rsidR="007C5A34" w:rsidRPr="001D5327" w:rsidRDefault="007C5A34" w:rsidP="00341FEF">
            <w:pPr>
              <w:pStyle w:val="TableText"/>
              <w:spacing w:before="40" w:after="40"/>
              <w:rPr>
                <w:color w:val="000000"/>
              </w:rPr>
            </w:pPr>
            <w:r w:rsidRPr="001D5327">
              <w:rPr>
                <w:rFonts w:cs="Calibri"/>
                <w:color w:val="000000"/>
                <w:szCs w:val="16"/>
              </w:rPr>
              <w:t>2024 (1990–2022) emissions estimate</w:t>
            </w:r>
          </w:p>
        </w:tc>
        <w:tc>
          <w:tcPr>
            <w:tcW w:w="850" w:type="dxa"/>
            <w:vAlign w:val="bottom"/>
            <w:hideMark/>
          </w:tcPr>
          <w:p w14:paraId="2FAE0B31"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37,121.5</w:t>
            </w:r>
          </w:p>
        </w:tc>
        <w:tc>
          <w:tcPr>
            <w:tcW w:w="851" w:type="dxa"/>
            <w:vAlign w:val="bottom"/>
            <w:hideMark/>
          </w:tcPr>
          <w:p w14:paraId="42F011C5"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41,712.7</w:t>
            </w:r>
          </w:p>
        </w:tc>
        <w:tc>
          <w:tcPr>
            <w:tcW w:w="1458" w:type="dxa"/>
            <w:vAlign w:val="bottom"/>
            <w:hideMark/>
          </w:tcPr>
          <w:p w14:paraId="0EE68A89"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4,591.2</w:t>
            </w:r>
          </w:p>
        </w:tc>
        <w:tc>
          <w:tcPr>
            <w:tcW w:w="1518" w:type="dxa"/>
            <w:vAlign w:val="bottom"/>
            <w:hideMark/>
          </w:tcPr>
          <w:p w14:paraId="3D5D66B0"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12.4</w:t>
            </w:r>
          </w:p>
        </w:tc>
      </w:tr>
      <w:tr w:rsidR="007C5A34" w:rsidRPr="001D5327" w14:paraId="560FAB92" w14:textId="77777777" w:rsidTr="00A7003E">
        <w:tc>
          <w:tcPr>
            <w:tcW w:w="1117" w:type="dxa"/>
            <w:vMerge/>
            <w:vAlign w:val="center"/>
            <w:hideMark/>
          </w:tcPr>
          <w:p w14:paraId="05A36491" w14:textId="77777777" w:rsidR="007C5A34" w:rsidRPr="001D5327" w:rsidRDefault="007C5A34" w:rsidP="00341FEF">
            <w:pPr>
              <w:rPr>
                <w:color w:val="000000"/>
                <w:sz w:val="16"/>
              </w:rPr>
            </w:pPr>
          </w:p>
        </w:tc>
        <w:tc>
          <w:tcPr>
            <w:tcW w:w="2711" w:type="dxa"/>
            <w:vAlign w:val="center"/>
            <w:hideMark/>
          </w:tcPr>
          <w:p w14:paraId="6855BF61" w14:textId="77777777" w:rsidR="007C5A34" w:rsidRPr="001D5327" w:rsidRDefault="007C5A34" w:rsidP="00341FEF">
            <w:pPr>
              <w:pStyle w:val="TableText"/>
              <w:spacing w:before="40" w:after="40"/>
              <w:rPr>
                <w:color w:val="000000"/>
              </w:rPr>
            </w:pPr>
            <w:r w:rsidRPr="001D5327">
              <w:rPr>
                <w:rFonts w:cs="Calibri"/>
                <w:color w:val="000000"/>
                <w:szCs w:val="16"/>
              </w:rPr>
              <w:t>2024 (1990–2022) emissions estimate with updated deer calculations</w:t>
            </w:r>
          </w:p>
        </w:tc>
        <w:tc>
          <w:tcPr>
            <w:tcW w:w="850" w:type="dxa"/>
            <w:vAlign w:val="bottom"/>
            <w:hideMark/>
          </w:tcPr>
          <w:p w14:paraId="3C9BC8A0"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37,105.2</w:t>
            </w:r>
          </w:p>
        </w:tc>
        <w:tc>
          <w:tcPr>
            <w:tcW w:w="851" w:type="dxa"/>
            <w:vAlign w:val="bottom"/>
            <w:hideMark/>
          </w:tcPr>
          <w:p w14:paraId="3F6C7A8A"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41,640.1</w:t>
            </w:r>
          </w:p>
        </w:tc>
        <w:tc>
          <w:tcPr>
            <w:tcW w:w="1458" w:type="dxa"/>
            <w:vAlign w:val="bottom"/>
            <w:hideMark/>
          </w:tcPr>
          <w:p w14:paraId="3FA5E6DC"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4,534.9</w:t>
            </w:r>
          </w:p>
        </w:tc>
        <w:tc>
          <w:tcPr>
            <w:tcW w:w="1518" w:type="dxa"/>
            <w:vAlign w:val="bottom"/>
            <w:hideMark/>
          </w:tcPr>
          <w:p w14:paraId="5A9660E2"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12.2</w:t>
            </w:r>
          </w:p>
        </w:tc>
      </w:tr>
      <w:tr w:rsidR="007C5A34" w:rsidRPr="001D5327" w14:paraId="1CA60888" w14:textId="77777777" w:rsidTr="00A7003E">
        <w:tc>
          <w:tcPr>
            <w:tcW w:w="1117" w:type="dxa"/>
            <w:vMerge/>
            <w:vAlign w:val="center"/>
            <w:hideMark/>
          </w:tcPr>
          <w:p w14:paraId="3235E857" w14:textId="77777777" w:rsidR="007C5A34" w:rsidRPr="001D5327" w:rsidRDefault="007C5A34" w:rsidP="00341FEF">
            <w:pPr>
              <w:rPr>
                <w:color w:val="000000"/>
                <w:sz w:val="16"/>
              </w:rPr>
            </w:pPr>
          </w:p>
        </w:tc>
        <w:tc>
          <w:tcPr>
            <w:tcW w:w="2711" w:type="dxa"/>
            <w:vAlign w:val="center"/>
            <w:hideMark/>
          </w:tcPr>
          <w:p w14:paraId="591F2573" w14:textId="77777777" w:rsidR="007C5A34" w:rsidRPr="001D5327" w:rsidRDefault="007C5A34" w:rsidP="00341FEF">
            <w:pPr>
              <w:pStyle w:val="TableText"/>
              <w:spacing w:before="40" w:after="40"/>
              <w:rPr>
                <w:color w:val="000000"/>
              </w:rPr>
            </w:pPr>
            <w:r w:rsidRPr="001D5327">
              <w:rPr>
                <w:rFonts w:cs="Calibri"/>
                <w:color w:val="000000"/>
                <w:szCs w:val="16"/>
              </w:rPr>
              <w:t>Difference in emissions estimates</w:t>
            </w:r>
          </w:p>
        </w:tc>
        <w:tc>
          <w:tcPr>
            <w:tcW w:w="850" w:type="dxa"/>
            <w:vAlign w:val="center"/>
            <w:hideMark/>
          </w:tcPr>
          <w:p w14:paraId="1AEC906F" w14:textId="1EBF593B" w:rsidR="007C5A34" w:rsidRPr="001D5327" w:rsidRDefault="0070503C" w:rsidP="00341FEF">
            <w:pPr>
              <w:pStyle w:val="TableText"/>
              <w:spacing w:before="40" w:after="40"/>
              <w:jc w:val="right"/>
              <w:rPr>
                <w:color w:val="000000"/>
                <w:highlight w:val="yellow"/>
              </w:rPr>
            </w:pPr>
            <w:r>
              <w:rPr>
                <w:rFonts w:cs="Calibri"/>
                <w:color w:val="000000"/>
                <w:szCs w:val="16"/>
              </w:rPr>
              <w:t>-</w:t>
            </w:r>
            <w:r w:rsidR="007C5A34" w:rsidRPr="001D5327">
              <w:rPr>
                <w:rFonts w:cs="Calibri"/>
                <w:color w:val="000000"/>
                <w:szCs w:val="16"/>
              </w:rPr>
              <w:t>16.4</w:t>
            </w:r>
          </w:p>
        </w:tc>
        <w:tc>
          <w:tcPr>
            <w:tcW w:w="851" w:type="dxa"/>
            <w:vAlign w:val="center"/>
            <w:hideMark/>
          </w:tcPr>
          <w:p w14:paraId="006DBC22" w14:textId="782DF43F" w:rsidR="007C5A34" w:rsidRPr="001D5327" w:rsidRDefault="0070503C" w:rsidP="00341FEF">
            <w:pPr>
              <w:pStyle w:val="TableText"/>
              <w:spacing w:before="40" w:after="40"/>
              <w:jc w:val="right"/>
              <w:rPr>
                <w:color w:val="000000"/>
                <w:highlight w:val="yellow"/>
              </w:rPr>
            </w:pPr>
            <w:r>
              <w:rPr>
                <w:rFonts w:cs="Calibri"/>
                <w:color w:val="000000"/>
                <w:szCs w:val="16"/>
              </w:rPr>
              <w:t>-</w:t>
            </w:r>
            <w:r w:rsidR="007C5A34" w:rsidRPr="001D5327">
              <w:rPr>
                <w:rFonts w:cs="Calibri"/>
                <w:color w:val="000000"/>
                <w:szCs w:val="16"/>
              </w:rPr>
              <w:t>72.6</w:t>
            </w:r>
          </w:p>
        </w:tc>
        <w:tc>
          <w:tcPr>
            <w:tcW w:w="1458" w:type="dxa"/>
            <w:vAlign w:val="center"/>
            <w:hideMark/>
          </w:tcPr>
          <w:p w14:paraId="0CD7149C"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 </w:t>
            </w:r>
          </w:p>
        </w:tc>
        <w:tc>
          <w:tcPr>
            <w:tcW w:w="1518" w:type="dxa"/>
            <w:vAlign w:val="center"/>
            <w:hideMark/>
          </w:tcPr>
          <w:p w14:paraId="323E5740" w14:textId="77777777" w:rsidR="007C5A34" w:rsidRPr="001D5327" w:rsidRDefault="007C5A34" w:rsidP="00341FEF">
            <w:pPr>
              <w:pStyle w:val="TableText"/>
              <w:spacing w:before="40" w:after="40"/>
              <w:ind w:left="397"/>
              <w:jc w:val="right"/>
              <w:rPr>
                <w:color w:val="000000"/>
              </w:rPr>
            </w:pPr>
            <w:r w:rsidRPr="001D5327">
              <w:rPr>
                <w:rFonts w:cs="Calibri"/>
                <w:color w:val="000000"/>
                <w:szCs w:val="16"/>
              </w:rPr>
              <w:t> </w:t>
            </w:r>
          </w:p>
        </w:tc>
      </w:tr>
    </w:tbl>
    <w:p w14:paraId="28A2162C" w14:textId="77777777" w:rsidR="007C5A34" w:rsidRPr="001D5327" w:rsidRDefault="007C5A34" w:rsidP="007C5A34">
      <w:pPr>
        <w:pStyle w:val="Heading4"/>
        <w:spacing w:before="360"/>
      </w:pPr>
      <w:r w:rsidRPr="001D5327">
        <w:t>Updating emissions calculations for pigs</w:t>
      </w:r>
    </w:p>
    <w:p w14:paraId="6D396020" w14:textId="77777777" w:rsidR="007C5A34" w:rsidRPr="001D5327" w:rsidRDefault="007C5A34" w:rsidP="007C5A34">
      <w:pPr>
        <w:pStyle w:val="BodyText"/>
      </w:pPr>
      <w:bookmarkStart w:id="3071" w:name="_Hlk153464427"/>
      <w:r w:rsidRPr="001D5327">
        <w:t xml:space="preserve">Emissions estimates in all categories relating to pigs have been improved by several updates to the emissions calculations. Emissions from pigs were estimated using activity data and a combination of IPCC and country-specific EFs and methodologies. </w:t>
      </w:r>
    </w:p>
    <w:p w14:paraId="4D298E6B" w14:textId="77777777" w:rsidR="007C5A34" w:rsidRPr="001D5327" w:rsidRDefault="007C5A34" w:rsidP="007C5A34">
      <w:pPr>
        <w:pStyle w:val="BodyText"/>
      </w:pPr>
      <w:r w:rsidRPr="001D5327">
        <w:t>The 2024 submission of the Inventory applied New Zealand-specific EFs for pigs developed by Hill (2012), in conjunction with default EFs provided by the IPCC. The methodology was based on a 2009 survey of New Zealand pig farmers. Changes to the commercial New Zealand pork industry have occurred since then, such as improvements in genetic selection, animal housing, feed, husbandry, and herd management.</w:t>
      </w:r>
    </w:p>
    <w:p w14:paraId="4E49788F" w14:textId="77777777" w:rsidR="007C5A34" w:rsidRPr="001D5327" w:rsidRDefault="007C5A34" w:rsidP="007C5A34">
      <w:pPr>
        <w:pStyle w:val="BodyText"/>
      </w:pPr>
      <w:r w:rsidRPr="001D5327">
        <w:t>Recent research carried out by NZ Pork (Ritchie, 2024) resurveyed commercial pig farmers in New Zealand to gather current data on relevant industry characteristics and practices. The survey was conducted in 2022. This has led to several recommendations for updates to EFs and other relevant data. The following recommendations were implemented in the 2025 Inventory submission.</w:t>
      </w:r>
    </w:p>
    <w:p w14:paraId="73A2F00B" w14:textId="77777777" w:rsidR="007C5A34" w:rsidRPr="001D5327" w:rsidRDefault="007C5A34" w:rsidP="007C5A34">
      <w:pPr>
        <w:pStyle w:val="Bullet"/>
      </w:pPr>
      <w:r w:rsidRPr="001D5327">
        <w:t>An enhanced Tier 1 methodology for pigs was implemented that differentiates between breeding and growing pigs in the calculation of methane emissions and nitrogen excretion.</w:t>
      </w:r>
    </w:p>
    <w:p w14:paraId="4CDFDDFE" w14:textId="77777777" w:rsidR="007C5A34" w:rsidRPr="001D5327" w:rsidRDefault="007C5A34" w:rsidP="007C5A34">
      <w:pPr>
        <w:pStyle w:val="Bullet"/>
      </w:pPr>
      <w:r w:rsidRPr="001D5327">
        <w:rPr>
          <w:bCs/>
        </w:rPr>
        <w:t>Updated</w:t>
      </w:r>
      <w:r w:rsidRPr="001D5327">
        <w:t xml:space="preserve"> enteric fermentation EFs for pigs were used (see chapter 5, section 5.2.5).</w:t>
      </w:r>
    </w:p>
    <w:p w14:paraId="435426D3" w14:textId="77777777" w:rsidR="007C5A34" w:rsidRPr="001D5327" w:rsidRDefault="007C5A34" w:rsidP="007C5A34">
      <w:pPr>
        <w:pStyle w:val="Bullet"/>
      </w:pPr>
      <w:r w:rsidRPr="001D5327">
        <w:rPr>
          <w:bCs/>
        </w:rPr>
        <w:t>Updated</w:t>
      </w:r>
      <w:r w:rsidRPr="001D5327">
        <w:t xml:space="preserve"> EFs and manure management system proportions were implemented for calculating methane emissions from manure management (see chapter 5, section 5.3.5).</w:t>
      </w:r>
    </w:p>
    <w:p w14:paraId="0E62466B" w14:textId="77777777" w:rsidR="007C5A34" w:rsidRPr="001D5327" w:rsidRDefault="007C5A34" w:rsidP="007C5A34">
      <w:pPr>
        <w:pStyle w:val="Bullet"/>
      </w:pPr>
      <w:r w:rsidRPr="001D5327">
        <w:t>Updated EFs and manure management system proportions were used in the calculation of nitrous oxide (N</w:t>
      </w:r>
      <w:r w:rsidRPr="001D5327">
        <w:rPr>
          <w:vertAlign w:val="subscript"/>
        </w:rPr>
        <w:t>2</w:t>
      </w:r>
      <w:r w:rsidRPr="001D5327">
        <w:t>O) emissions (see chapter 5, section 5.3.5).</w:t>
      </w:r>
    </w:p>
    <w:p w14:paraId="6B344193" w14:textId="77777777" w:rsidR="007C5A34" w:rsidRPr="001D5327" w:rsidRDefault="007C5A34" w:rsidP="007C5A34">
      <w:pPr>
        <w:pStyle w:val="BodyText"/>
        <w:spacing w:before="100" w:after="100"/>
      </w:pPr>
      <w:r w:rsidRPr="001D5327">
        <w:rPr>
          <w:spacing w:val="-2"/>
        </w:rPr>
        <w:t>These changes decrease total annual agricultural emissions reported in 2022 by 4.7 kt CO</w:t>
      </w:r>
      <w:r w:rsidRPr="001D5327">
        <w:rPr>
          <w:spacing w:val="-2"/>
          <w:vertAlign w:val="subscript"/>
        </w:rPr>
        <w:t>2</w:t>
      </w:r>
      <w:r w:rsidRPr="001D5327">
        <w:rPr>
          <w:spacing w:val="-2"/>
        </w:rPr>
        <w:noBreakHyphen/>
        <w:t>e</w:t>
      </w:r>
      <w:r w:rsidRPr="001D5327">
        <w:t xml:space="preserve"> or around 0.01 per cent of total agricultural emissions (table 10.2.5). </w:t>
      </w:r>
    </w:p>
    <w:p w14:paraId="4EC481EA" w14:textId="77777777" w:rsidR="007C5A34" w:rsidRPr="001D5327" w:rsidRDefault="007C5A34" w:rsidP="007C5A34">
      <w:pPr>
        <w:pStyle w:val="Table"/>
      </w:pPr>
      <w:bookmarkStart w:id="3072" w:name="_Toc194241852"/>
      <w:r w:rsidRPr="001D5327">
        <w:t>Table 10.2.5</w:t>
      </w:r>
      <w:r w:rsidRPr="001D5327">
        <w:tab/>
        <w:t>Emissions impact of updating the pig calculations</w:t>
      </w:r>
      <w:bookmarkEnd w:id="3072"/>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4A0" w:firstRow="1" w:lastRow="0" w:firstColumn="1" w:lastColumn="0" w:noHBand="0" w:noVBand="1"/>
      </w:tblPr>
      <w:tblGrid>
        <w:gridCol w:w="993"/>
        <w:gridCol w:w="2693"/>
        <w:gridCol w:w="850"/>
        <w:gridCol w:w="851"/>
        <w:gridCol w:w="1498"/>
        <w:gridCol w:w="1620"/>
      </w:tblGrid>
      <w:tr w:rsidR="007C5A34" w:rsidRPr="001D5327" w14:paraId="5E06A3AB" w14:textId="77777777" w:rsidTr="00B634B0">
        <w:tc>
          <w:tcPr>
            <w:tcW w:w="993" w:type="dxa"/>
            <w:shd w:val="clear" w:color="auto" w:fill="1B556B"/>
            <w:vAlign w:val="bottom"/>
            <w:hideMark/>
          </w:tcPr>
          <w:p w14:paraId="63B8BBDB" w14:textId="77777777" w:rsidR="007C5A34" w:rsidRPr="001D5327" w:rsidRDefault="007C5A34" w:rsidP="00341FEF">
            <w:pPr>
              <w:pStyle w:val="TableText"/>
              <w:spacing w:before="40" w:after="40"/>
              <w:rPr>
                <w:b/>
                <w:bCs/>
                <w:color w:val="FFFFFF" w:themeColor="background1"/>
              </w:rPr>
            </w:pPr>
          </w:p>
        </w:tc>
        <w:tc>
          <w:tcPr>
            <w:tcW w:w="2693" w:type="dxa"/>
            <w:shd w:val="clear" w:color="auto" w:fill="1B556B"/>
            <w:vAlign w:val="bottom"/>
            <w:hideMark/>
          </w:tcPr>
          <w:p w14:paraId="410BB632" w14:textId="77777777" w:rsidR="007C5A34" w:rsidRPr="001D5327" w:rsidRDefault="007C5A34" w:rsidP="00341FEF">
            <w:pPr>
              <w:pStyle w:val="TableText"/>
              <w:spacing w:before="40" w:after="40"/>
              <w:rPr>
                <w:b/>
                <w:bCs/>
                <w:color w:val="FFFFFF" w:themeColor="background1"/>
              </w:rPr>
            </w:pPr>
            <w:r w:rsidRPr="001D5327">
              <w:rPr>
                <w:rFonts w:cs="Calibri"/>
                <w:color w:val="000000"/>
                <w:sz w:val="20"/>
                <w:szCs w:val="20"/>
              </w:rPr>
              <w:t> </w:t>
            </w:r>
          </w:p>
        </w:tc>
        <w:tc>
          <w:tcPr>
            <w:tcW w:w="850" w:type="dxa"/>
            <w:shd w:val="clear" w:color="auto" w:fill="1B556B"/>
            <w:vAlign w:val="bottom"/>
            <w:hideMark/>
          </w:tcPr>
          <w:p w14:paraId="79597CBE"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51" w:type="dxa"/>
            <w:shd w:val="clear" w:color="auto" w:fill="1B556B"/>
            <w:vAlign w:val="bottom"/>
            <w:hideMark/>
          </w:tcPr>
          <w:p w14:paraId="79138A65"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498" w:type="dxa"/>
            <w:shd w:val="clear" w:color="auto" w:fill="1B556B"/>
            <w:vAlign w:val="bottom"/>
            <w:hideMark/>
          </w:tcPr>
          <w:p w14:paraId="7DB12AD1"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620" w:type="dxa"/>
            <w:shd w:val="clear" w:color="auto" w:fill="1B556B"/>
            <w:vAlign w:val="bottom"/>
            <w:hideMark/>
          </w:tcPr>
          <w:p w14:paraId="10C483F2"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Percentage change in emission outputs between 1990 and 2022 (%)</w:t>
            </w:r>
          </w:p>
        </w:tc>
      </w:tr>
      <w:tr w:rsidR="007C5A34" w:rsidRPr="001D5327" w14:paraId="138659FD" w14:textId="77777777" w:rsidTr="00B634B0">
        <w:tc>
          <w:tcPr>
            <w:tcW w:w="993" w:type="dxa"/>
            <w:vMerge w:val="restart"/>
            <w:vAlign w:val="center"/>
            <w:hideMark/>
          </w:tcPr>
          <w:p w14:paraId="3FC1BF46" w14:textId="77777777" w:rsidR="007C5A34" w:rsidRPr="001D5327" w:rsidRDefault="007C5A34" w:rsidP="00341FEF">
            <w:pPr>
              <w:pStyle w:val="TableText"/>
              <w:spacing w:before="40" w:after="40"/>
              <w:rPr>
                <w:color w:val="000000"/>
              </w:rPr>
            </w:pPr>
            <w:r w:rsidRPr="001D5327">
              <w:rPr>
                <w:rFonts w:cs="Calibri"/>
                <w:color w:val="000000"/>
                <w:szCs w:val="16"/>
              </w:rPr>
              <w:t xml:space="preserve">Total emissions from </w:t>
            </w:r>
            <w:r w:rsidRPr="001D5327">
              <w:rPr>
                <w:rFonts w:cs="Calibri"/>
                <w:i/>
                <w:color w:val="000000"/>
                <w:szCs w:val="16"/>
              </w:rPr>
              <w:t>Agriculture</w:t>
            </w:r>
          </w:p>
        </w:tc>
        <w:tc>
          <w:tcPr>
            <w:tcW w:w="2693" w:type="dxa"/>
            <w:vAlign w:val="center"/>
            <w:hideMark/>
          </w:tcPr>
          <w:p w14:paraId="06D3A657" w14:textId="77777777" w:rsidR="007C5A34" w:rsidRPr="001D5327" w:rsidRDefault="007C5A34" w:rsidP="00341FEF">
            <w:pPr>
              <w:pStyle w:val="TableText"/>
              <w:spacing w:before="40" w:after="40"/>
              <w:rPr>
                <w:color w:val="000000"/>
              </w:rPr>
            </w:pPr>
            <w:r w:rsidRPr="001D5327">
              <w:rPr>
                <w:rFonts w:cs="Calibri"/>
                <w:color w:val="000000"/>
                <w:szCs w:val="16"/>
              </w:rPr>
              <w:t>2024 (1990–2022) emissions estimate</w:t>
            </w:r>
          </w:p>
        </w:tc>
        <w:tc>
          <w:tcPr>
            <w:tcW w:w="850" w:type="dxa"/>
            <w:vAlign w:val="bottom"/>
            <w:hideMark/>
          </w:tcPr>
          <w:p w14:paraId="00A11D25"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37,121.5</w:t>
            </w:r>
          </w:p>
        </w:tc>
        <w:tc>
          <w:tcPr>
            <w:tcW w:w="851" w:type="dxa"/>
            <w:vAlign w:val="bottom"/>
            <w:hideMark/>
          </w:tcPr>
          <w:p w14:paraId="3FE7B722"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41,712.7</w:t>
            </w:r>
          </w:p>
        </w:tc>
        <w:tc>
          <w:tcPr>
            <w:tcW w:w="1498" w:type="dxa"/>
            <w:vAlign w:val="bottom"/>
            <w:hideMark/>
          </w:tcPr>
          <w:p w14:paraId="37697104"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4,591.2</w:t>
            </w:r>
          </w:p>
        </w:tc>
        <w:tc>
          <w:tcPr>
            <w:tcW w:w="1620" w:type="dxa"/>
            <w:vAlign w:val="bottom"/>
            <w:hideMark/>
          </w:tcPr>
          <w:p w14:paraId="63216757"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12.4</w:t>
            </w:r>
          </w:p>
        </w:tc>
      </w:tr>
      <w:tr w:rsidR="007C5A34" w:rsidRPr="001D5327" w14:paraId="0897D0EB" w14:textId="77777777" w:rsidTr="00B634B0">
        <w:tc>
          <w:tcPr>
            <w:tcW w:w="993" w:type="dxa"/>
            <w:vMerge/>
            <w:vAlign w:val="center"/>
            <w:hideMark/>
          </w:tcPr>
          <w:p w14:paraId="2436E92C" w14:textId="77777777" w:rsidR="007C5A34" w:rsidRPr="001D5327" w:rsidRDefault="007C5A34" w:rsidP="00341FEF">
            <w:pPr>
              <w:rPr>
                <w:color w:val="000000"/>
                <w:sz w:val="16"/>
              </w:rPr>
            </w:pPr>
          </w:p>
        </w:tc>
        <w:tc>
          <w:tcPr>
            <w:tcW w:w="2693" w:type="dxa"/>
            <w:vAlign w:val="center"/>
            <w:hideMark/>
          </w:tcPr>
          <w:p w14:paraId="699C018B" w14:textId="77777777" w:rsidR="007C5A34" w:rsidRPr="001D5327" w:rsidRDefault="007C5A34" w:rsidP="00341FEF">
            <w:pPr>
              <w:pStyle w:val="TableText"/>
              <w:spacing w:before="40" w:after="40"/>
              <w:rPr>
                <w:color w:val="000000"/>
              </w:rPr>
            </w:pPr>
            <w:r w:rsidRPr="001D5327">
              <w:rPr>
                <w:rFonts w:cs="Calibri"/>
                <w:color w:val="000000"/>
                <w:szCs w:val="16"/>
              </w:rPr>
              <w:t>2024 (1990–2022) emissions estimate with updated pig calculations</w:t>
            </w:r>
          </w:p>
        </w:tc>
        <w:tc>
          <w:tcPr>
            <w:tcW w:w="850" w:type="dxa"/>
            <w:vAlign w:val="bottom"/>
            <w:hideMark/>
          </w:tcPr>
          <w:p w14:paraId="20F4130E"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37,108.32</w:t>
            </w:r>
          </w:p>
        </w:tc>
        <w:tc>
          <w:tcPr>
            <w:tcW w:w="851" w:type="dxa"/>
            <w:vAlign w:val="bottom"/>
            <w:hideMark/>
          </w:tcPr>
          <w:p w14:paraId="4E8BC698"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41,708.0</w:t>
            </w:r>
          </w:p>
        </w:tc>
        <w:tc>
          <w:tcPr>
            <w:tcW w:w="1498" w:type="dxa"/>
            <w:vAlign w:val="bottom"/>
            <w:hideMark/>
          </w:tcPr>
          <w:p w14:paraId="634E8C22"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4,599.7</w:t>
            </w:r>
          </w:p>
        </w:tc>
        <w:tc>
          <w:tcPr>
            <w:tcW w:w="1620" w:type="dxa"/>
            <w:vAlign w:val="bottom"/>
            <w:hideMark/>
          </w:tcPr>
          <w:p w14:paraId="5762E92A"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12.4</w:t>
            </w:r>
          </w:p>
        </w:tc>
      </w:tr>
      <w:tr w:rsidR="007C5A34" w:rsidRPr="001D5327" w14:paraId="254668C2" w14:textId="77777777" w:rsidTr="00B634B0">
        <w:tc>
          <w:tcPr>
            <w:tcW w:w="993" w:type="dxa"/>
            <w:vMerge/>
            <w:vAlign w:val="center"/>
            <w:hideMark/>
          </w:tcPr>
          <w:p w14:paraId="433686FC" w14:textId="77777777" w:rsidR="007C5A34" w:rsidRPr="001D5327" w:rsidRDefault="007C5A34" w:rsidP="00341FEF">
            <w:pPr>
              <w:rPr>
                <w:color w:val="000000"/>
                <w:sz w:val="16"/>
              </w:rPr>
            </w:pPr>
          </w:p>
        </w:tc>
        <w:tc>
          <w:tcPr>
            <w:tcW w:w="2693" w:type="dxa"/>
            <w:vAlign w:val="center"/>
            <w:hideMark/>
          </w:tcPr>
          <w:p w14:paraId="1DE5538E" w14:textId="77777777" w:rsidR="007C5A34" w:rsidRPr="001D5327" w:rsidRDefault="007C5A34" w:rsidP="00341FEF">
            <w:pPr>
              <w:pStyle w:val="TableText"/>
              <w:spacing w:before="40" w:after="40"/>
              <w:rPr>
                <w:color w:val="000000"/>
              </w:rPr>
            </w:pPr>
            <w:r w:rsidRPr="001D5327">
              <w:rPr>
                <w:rFonts w:cs="Calibri"/>
                <w:color w:val="000000"/>
                <w:szCs w:val="16"/>
              </w:rPr>
              <w:t>Difference in emissions estimates</w:t>
            </w:r>
          </w:p>
        </w:tc>
        <w:tc>
          <w:tcPr>
            <w:tcW w:w="850" w:type="dxa"/>
            <w:vAlign w:val="bottom"/>
            <w:hideMark/>
          </w:tcPr>
          <w:p w14:paraId="01C3388B" w14:textId="1D74F6D3" w:rsidR="007C5A34" w:rsidRPr="001D5327" w:rsidRDefault="0070503C" w:rsidP="00341FEF">
            <w:pPr>
              <w:pStyle w:val="TableText"/>
              <w:spacing w:before="40" w:after="40"/>
              <w:jc w:val="right"/>
              <w:rPr>
                <w:color w:val="000000"/>
                <w:highlight w:val="yellow"/>
              </w:rPr>
            </w:pPr>
            <w:r>
              <w:rPr>
                <w:rFonts w:cs="Calibri"/>
                <w:color w:val="000000"/>
                <w:szCs w:val="16"/>
              </w:rPr>
              <w:t>-</w:t>
            </w:r>
            <w:r w:rsidR="007C5A34" w:rsidRPr="001D5327">
              <w:rPr>
                <w:rFonts w:cs="Calibri"/>
                <w:color w:val="000000"/>
                <w:szCs w:val="16"/>
              </w:rPr>
              <w:t>13.2</w:t>
            </w:r>
          </w:p>
        </w:tc>
        <w:tc>
          <w:tcPr>
            <w:tcW w:w="851" w:type="dxa"/>
            <w:vAlign w:val="bottom"/>
            <w:hideMark/>
          </w:tcPr>
          <w:p w14:paraId="395CEAB0" w14:textId="15403757" w:rsidR="007C5A34" w:rsidRPr="001D5327" w:rsidRDefault="0070503C" w:rsidP="00341FEF">
            <w:pPr>
              <w:pStyle w:val="TableText"/>
              <w:spacing w:before="40" w:after="40"/>
              <w:jc w:val="right"/>
              <w:rPr>
                <w:color w:val="000000"/>
                <w:highlight w:val="yellow"/>
              </w:rPr>
            </w:pPr>
            <w:r>
              <w:rPr>
                <w:rFonts w:cs="Calibri"/>
                <w:color w:val="000000"/>
                <w:szCs w:val="16"/>
              </w:rPr>
              <w:t>-</w:t>
            </w:r>
            <w:r w:rsidR="007C5A34" w:rsidRPr="001D5327">
              <w:rPr>
                <w:rFonts w:cs="Calibri"/>
                <w:color w:val="000000"/>
                <w:szCs w:val="16"/>
              </w:rPr>
              <w:t>4.7</w:t>
            </w:r>
          </w:p>
        </w:tc>
        <w:tc>
          <w:tcPr>
            <w:tcW w:w="1498" w:type="dxa"/>
            <w:vAlign w:val="bottom"/>
            <w:hideMark/>
          </w:tcPr>
          <w:p w14:paraId="3CA432A3"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 </w:t>
            </w:r>
          </w:p>
        </w:tc>
        <w:tc>
          <w:tcPr>
            <w:tcW w:w="1620" w:type="dxa"/>
            <w:vAlign w:val="bottom"/>
            <w:hideMark/>
          </w:tcPr>
          <w:p w14:paraId="023779C0" w14:textId="77777777" w:rsidR="007C5A34" w:rsidRPr="001D5327" w:rsidRDefault="007C5A34" w:rsidP="00341FEF">
            <w:pPr>
              <w:pStyle w:val="TableText"/>
              <w:spacing w:before="40" w:after="40"/>
              <w:ind w:left="397"/>
              <w:jc w:val="right"/>
              <w:rPr>
                <w:color w:val="000000"/>
              </w:rPr>
            </w:pPr>
            <w:r w:rsidRPr="001D5327">
              <w:rPr>
                <w:rFonts w:cs="Calibri"/>
                <w:color w:val="000000"/>
                <w:szCs w:val="16"/>
              </w:rPr>
              <w:t> </w:t>
            </w:r>
          </w:p>
        </w:tc>
      </w:tr>
    </w:tbl>
    <w:p w14:paraId="192DA230" w14:textId="77777777" w:rsidR="007C5A34" w:rsidRPr="001D5327" w:rsidRDefault="007C5A34" w:rsidP="007C5A34">
      <w:pPr>
        <w:pStyle w:val="Heading4"/>
        <w:spacing w:before="360"/>
      </w:pPr>
      <w:r w:rsidRPr="001D5327">
        <w:t>Seasonality of wool growth</w:t>
      </w:r>
    </w:p>
    <w:p w14:paraId="06B3CF67" w14:textId="77777777" w:rsidR="007C5A34" w:rsidRPr="001D5327" w:rsidRDefault="007C5A34" w:rsidP="007C5A34">
      <w:pPr>
        <w:pStyle w:val="BodyText"/>
        <w:spacing w:before="100"/>
      </w:pPr>
      <w:bookmarkStart w:id="3073" w:name="_Hlk157588631"/>
      <w:bookmarkStart w:id="3074" w:name="_Toc161311312"/>
      <w:bookmarkStart w:id="3075" w:name="_Toc164153980"/>
      <w:r w:rsidRPr="001D5327">
        <w:t>Emissions estimates in all categories relating to sheep have been improved by an update to monthly wool growth.</w:t>
      </w:r>
    </w:p>
    <w:p w14:paraId="3B284C3B" w14:textId="77777777" w:rsidR="007C5A34" w:rsidRPr="001D5327" w:rsidRDefault="007C5A34" w:rsidP="00BD25EE">
      <w:pPr>
        <w:pStyle w:val="BodyText"/>
        <w:spacing w:before="100" w:after="100"/>
      </w:pPr>
      <w:r w:rsidRPr="001D5327">
        <w:lastRenderedPageBreak/>
        <w:t>Monthly wool growth estimates are used in the calculation of total energy required and nitrogen retained by sheep. In the previous method, wool growth was constant through the year, and in the case of the calculation of the energy required for wool growth, constant for the entire time series.</w:t>
      </w:r>
    </w:p>
    <w:p w14:paraId="1401348D" w14:textId="26CAF0B9" w:rsidR="007C5A34" w:rsidRPr="001D5327" w:rsidRDefault="007C5A34" w:rsidP="00BD25EE">
      <w:pPr>
        <w:pStyle w:val="BodyText"/>
        <w:spacing w:before="100" w:after="100"/>
      </w:pPr>
      <w:r w:rsidRPr="001D5327">
        <w:t>Recent research carried out internally by the Ministry for Primary Industries (MPI) analysed data in several published papers, to determine an appropriate seasonal adjustment to wool growth (Sangster, 202</w:t>
      </w:r>
      <w:r w:rsidR="00FE7135">
        <w:t>3</w:t>
      </w:r>
      <w:r w:rsidRPr="001D5327">
        <w:t xml:space="preserve">). The research resulted in fitting a sinusoidal curve to published monthly wool growth data to develop a seasonal adjustment (Woods and Orwin, 1988). </w:t>
      </w:r>
    </w:p>
    <w:p w14:paraId="0D49B2C8" w14:textId="77777777" w:rsidR="007C5A34" w:rsidRPr="001D5327" w:rsidRDefault="007C5A34" w:rsidP="00BD25EE">
      <w:pPr>
        <w:pStyle w:val="BodyText"/>
        <w:spacing w:before="100" w:after="100"/>
      </w:pPr>
      <w:r w:rsidRPr="001D5327">
        <w:t>The model now apportions the annual wool yield to sheep class and month using a calculated seasonal adjustment and accounts for the slower wool growth in lambs. The same wool growth distribution is used for both the energy requirements for wool growth and nitrogen retention calculations.</w:t>
      </w:r>
    </w:p>
    <w:p w14:paraId="5F5C66EA" w14:textId="77777777" w:rsidR="007C5A34" w:rsidRPr="001D5327" w:rsidRDefault="007C5A34" w:rsidP="00BD25EE">
      <w:pPr>
        <w:pStyle w:val="BodyText"/>
        <w:spacing w:before="100" w:after="100"/>
      </w:pPr>
      <w:r w:rsidRPr="001D5327">
        <w:t>These changes decrease total annual agricultural emissions reported in 2022 by 132.7 kt CO</w:t>
      </w:r>
      <w:r w:rsidRPr="001D5327">
        <w:rPr>
          <w:vertAlign w:val="subscript"/>
        </w:rPr>
        <w:t>2</w:t>
      </w:r>
      <w:r w:rsidRPr="001D5327">
        <w:noBreakHyphen/>
        <w:t xml:space="preserve">e, or around 0.3 per cent of total agricultural emissions (table 10.2.6). </w:t>
      </w:r>
    </w:p>
    <w:p w14:paraId="76E50B0D" w14:textId="77777777" w:rsidR="007C5A34" w:rsidRPr="001D5327" w:rsidRDefault="007C5A34" w:rsidP="007C5A34">
      <w:pPr>
        <w:pStyle w:val="Table"/>
      </w:pPr>
      <w:bookmarkStart w:id="3076" w:name="_Toc194241853"/>
      <w:r w:rsidRPr="001D5327">
        <w:t>Table 10.2.6</w:t>
      </w:r>
      <w:r w:rsidRPr="001D5327">
        <w:tab/>
      </w:r>
      <w:bookmarkEnd w:id="3073"/>
      <w:bookmarkEnd w:id="3074"/>
      <w:r w:rsidRPr="001D5327">
        <w:t xml:space="preserve">Emissions impact of </w:t>
      </w:r>
      <w:bookmarkEnd w:id="3075"/>
      <w:r w:rsidRPr="001D5327">
        <w:t>introducing seasonality into wool growth</w:t>
      </w:r>
      <w:bookmarkEnd w:id="3076"/>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4A0" w:firstRow="1" w:lastRow="0" w:firstColumn="1" w:lastColumn="0" w:noHBand="0" w:noVBand="1"/>
      </w:tblPr>
      <w:tblGrid>
        <w:gridCol w:w="993"/>
        <w:gridCol w:w="2686"/>
        <w:gridCol w:w="857"/>
        <w:gridCol w:w="851"/>
        <w:gridCol w:w="1501"/>
        <w:gridCol w:w="1617"/>
      </w:tblGrid>
      <w:tr w:rsidR="007C5A34" w:rsidRPr="001D5327" w14:paraId="67915F51" w14:textId="77777777" w:rsidTr="00B634B0">
        <w:tc>
          <w:tcPr>
            <w:tcW w:w="993" w:type="dxa"/>
            <w:shd w:val="clear" w:color="auto" w:fill="1B556B"/>
            <w:vAlign w:val="bottom"/>
          </w:tcPr>
          <w:p w14:paraId="4BE5EF14" w14:textId="77777777" w:rsidR="007C5A34" w:rsidRPr="001D5327" w:rsidRDefault="007C5A34" w:rsidP="00341FEF">
            <w:pPr>
              <w:pStyle w:val="TableText"/>
              <w:spacing w:before="40" w:after="40"/>
              <w:rPr>
                <w:b/>
                <w:bCs/>
                <w:color w:val="FFFFFF" w:themeColor="background1"/>
              </w:rPr>
            </w:pPr>
          </w:p>
        </w:tc>
        <w:tc>
          <w:tcPr>
            <w:tcW w:w="2686" w:type="dxa"/>
            <w:shd w:val="clear" w:color="auto" w:fill="1B556B"/>
            <w:vAlign w:val="bottom"/>
            <w:hideMark/>
          </w:tcPr>
          <w:p w14:paraId="4F11A7C2" w14:textId="77777777" w:rsidR="007C5A34" w:rsidRPr="001D5327" w:rsidRDefault="007C5A34" w:rsidP="00341FEF">
            <w:pPr>
              <w:pStyle w:val="TableText"/>
              <w:spacing w:before="40" w:after="40"/>
              <w:rPr>
                <w:b/>
                <w:bCs/>
                <w:color w:val="FFFFFF" w:themeColor="background1"/>
              </w:rPr>
            </w:pPr>
            <w:r w:rsidRPr="001D5327">
              <w:rPr>
                <w:rFonts w:cs="Calibri"/>
                <w:color w:val="000000"/>
                <w:sz w:val="20"/>
                <w:szCs w:val="20"/>
              </w:rPr>
              <w:t> </w:t>
            </w:r>
          </w:p>
        </w:tc>
        <w:tc>
          <w:tcPr>
            <w:tcW w:w="857" w:type="dxa"/>
            <w:shd w:val="clear" w:color="auto" w:fill="1B556B"/>
            <w:vAlign w:val="bottom"/>
            <w:hideMark/>
          </w:tcPr>
          <w:p w14:paraId="735DA0FB"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51" w:type="dxa"/>
            <w:shd w:val="clear" w:color="auto" w:fill="1B556B"/>
            <w:vAlign w:val="bottom"/>
            <w:hideMark/>
          </w:tcPr>
          <w:p w14:paraId="69F59F6A"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501" w:type="dxa"/>
            <w:shd w:val="clear" w:color="auto" w:fill="1B556B"/>
            <w:vAlign w:val="bottom"/>
            <w:hideMark/>
          </w:tcPr>
          <w:p w14:paraId="0EF18472"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617" w:type="dxa"/>
            <w:shd w:val="clear" w:color="auto" w:fill="1B556B"/>
            <w:vAlign w:val="bottom"/>
            <w:hideMark/>
          </w:tcPr>
          <w:p w14:paraId="6272C235"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Percentage change in emission outputs between 1990 and 2022 (%)</w:t>
            </w:r>
          </w:p>
        </w:tc>
      </w:tr>
      <w:tr w:rsidR="007C5A34" w:rsidRPr="001D5327" w14:paraId="1EE2155B" w14:textId="77777777" w:rsidTr="00B634B0">
        <w:tc>
          <w:tcPr>
            <w:tcW w:w="993" w:type="dxa"/>
            <w:vMerge w:val="restart"/>
            <w:vAlign w:val="center"/>
            <w:hideMark/>
          </w:tcPr>
          <w:p w14:paraId="4F028E20" w14:textId="77777777" w:rsidR="007C5A34" w:rsidRPr="001D5327" w:rsidRDefault="007C5A34" w:rsidP="00341FEF">
            <w:pPr>
              <w:pStyle w:val="TableText"/>
              <w:spacing w:before="40" w:after="40"/>
              <w:rPr>
                <w:color w:val="000000"/>
              </w:rPr>
            </w:pPr>
            <w:r w:rsidRPr="001D5327">
              <w:rPr>
                <w:rFonts w:cs="Calibri"/>
                <w:color w:val="000000"/>
                <w:szCs w:val="16"/>
              </w:rPr>
              <w:t xml:space="preserve">Total emissions from </w:t>
            </w:r>
            <w:r w:rsidRPr="001D5327">
              <w:rPr>
                <w:rFonts w:cs="Calibri"/>
                <w:i/>
                <w:color w:val="000000"/>
                <w:szCs w:val="16"/>
              </w:rPr>
              <w:t>Agriculture</w:t>
            </w:r>
          </w:p>
        </w:tc>
        <w:tc>
          <w:tcPr>
            <w:tcW w:w="2686" w:type="dxa"/>
            <w:vAlign w:val="center"/>
            <w:hideMark/>
          </w:tcPr>
          <w:p w14:paraId="30134A73" w14:textId="77777777" w:rsidR="007C5A34" w:rsidRPr="001D5327" w:rsidRDefault="007C5A34" w:rsidP="00341FEF">
            <w:pPr>
              <w:pStyle w:val="TableText"/>
              <w:spacing w:before="40" w:after="40"/>
              <w:rPr>
                <w:color w:val="000000"/>
              </w:rPr>
            </w:pPr>
            <w:r w:rsidRPr="001D5327">
              <w:rPr>
                <w:rFonts w:cs="Calibri"/>
                <w:color w:val="000000"/>
                <w:szCs w:val="16"/>
              </w:rPr>
              <w:t>2024 (1990–2022) emissions estimate</w:t>
            </w:r>
          </w:p>
        </w:tc>
        <w:tc>
          <w:tcPr>
            <w:tcW w:w="857" w:type="dxa"/>
            <w:vAlign w:val="bottom"/>
            <w:hideMark/>
          </w:tcPr>
          <w:p w14:paraId="6F1BFC09"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37,121.5</w:t>
            </w:r>
          </w:p>
        </w:tc>
        <w:tc>
          <w:tcPr>
            <w:tcW w:w="851" w:type="dxa"/>
            <w:vAlign w:val="bottom"/>
            <w:hideMark/>
          </w:tcPr>
          <w:p w14:paraId="1FA0D271"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41,712.7</w:t>
            </w:r>
          </w:p>
        </w:tc>
        <w:tc>
          <w:tcPr>
            <w:tcW w:w="1501" w:type="dxa"/>
            <w:vAlign w:val="bottom"/>
            <w:hideMark/>
          </w:tcPr>
          <w:p w14:paraId="77B6058D"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4,591.2</w:t>
            </w:r>
          </w:p>
        </w:tc>
        <w:tc>
          <w:tcPr>
            <w:tcW w:w="1617" w:type="dxa"/>
            <w:vAlign w:val="bottom"/>
            <w:hideMark/>
          </w:tcPr>
          <w:p w14:paraId="1CFFDD86"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12.4</w:t>
            </w:r>
          </w:p>
        </w:tc>
      </w:tr>
      <w:tr w:rsidR="007C5A34" w:rsidRPr="001D5327" w14:paraId="0D34C162" w14:textId="77777777" w:rsidTr="00B634B0">
        <w:tc>
          <w:tcPr>
            <w:tcW w:w="993" w:type="dxa"/>
            <w:vMerge/>
            <w:vAlign w:val="center"/>
            <w:hideMark/>
          </w:tcPr>
          <w:p w14:paraId="6259F5F6" w14:textId="77777777" w:rsidR="007C5A34" w:rsidRPr="001D5327" w:rsidRDefault="007C5A34" w:rsidP="00341FEF">
            <w:pPr>
              <w:rPr>
                <w:color w:val="000000"/>
                <w:sz w:val="16"/>
              </w:rPr>
            </w:pPr>
          </w:p>
        </w:tc>
        <w:tc>
          <w:tcPr>
            <w:tcW w:w="2686" w:type="dxa"/>
            <w:vAlign w:val="center"/>
            <w:hideMark/>
          </w:tcPr>
          <w:p w14:paraId="303DB729" w14:textId="77777777" w:rsidR="007C5A34" w:rsidRPr="001D5327" w:rsidRDefault="007C5A34" w:rsidP="00341FEF">
            <w:pPr>
              <w:pStyle w:val="TableText"/>
              <w:spacing w:before="40" w:after="40"/>
              <w:rPr>
                <w:color w:val="000000"/>
              </w:rPr>
            </w:pPr>
            <w:r w:rsidRPr="001D5327">
              <w:rPr>
                <w:rFonts w:cs="Calibri"/>
                <w:color w:val="000000"/>
                <w:szCs w:val="16"/>
              </w:rPr>
              <w:t>2024 (1990–2022) emissions estimate with updated wool calculations</w:t>
            </w:r>
          </w:p>
        </w:tc>
        <w:tc>
          <w:tcPr>
            <w:tcW w:w="857" w:type="dxa"/>
            <w:vAlign w:val="bottom"/>
            <w:hideMark/>
          </w:tcPr>
          <w:p w14:paraId="4AA85CBC"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36,977.9</w:t>
            </w:r>
          </w:p>
        </w:tc>
        <w:tc>
          <w:tcPr>
            <w:tcW w:w="851" w:type="dxa"/>
            <w:vAlign w:val="bottom"/>
            <w:hideMark/>
          </w:tcPr>
          <w:p w14:paraId="37FA8505"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41,580.0</w:t>
            </w:r>
          </w:p>
        </w:tc>
        <w:tc>
          <w:tcPr>
            <w:tcW w:w="1501" w:type="dxa"/>
            <w:vAlign w:val="bottom"/>
            <w:hideMark/>
          </w:tcPr>
          <w:p w14:paraId="20CDD9CC"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4,602.0</w:t>
            </w:r>
          </w:p>
        </w:tc>
        <w:tc>
          <w:tcPr>
            <w:tcW w:w="1617" w:type="dxa"/>
            <w:vAlign w:val="bottom"/>
            <w:hideMark/>
          </w:tcPr>
          <w:p w14:paraId="14293DCE"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12.4</w:t>
            </w:r>
          </w:p>
        </w:tc>
      </w:tr>
      <w:tr w:rsidR="007C5A34" w:rsidRPr="001D5327" w14:paraId="6D06F1BD" w14:textId="77777777" w:rsidTr="00B634B0">
        <w:tc>
          <w:tcPr>
            <w:tcW w:w="993" w:type="dxa"/>
            <w:vMerge/>
            <w:vAlign w:val="center"/>
            <w:hideMark/>
          </w:tcPr>
          <w:p w14:paraId="3BEB9342" w14:textId="77777777" w:rsidR="007C5A34" w:rsidRPr="001D5327" w:rsidRDefault="007C5A34" w:rsidP="00341FEF">
            <w:pPr>
              <w:rPr>
                <w:color w:val="000000"/>
                <w:sz w:val="16"/>
              </w:rPr>
            </w:pPr>
          </w:p>
        </w:tc>
        <w:tc>
          <w:tcPr>
            <w:tcW w:w="2686" w:type="dxa"/>
            <w:vAlign w:val="center"/>
            <w:hideMark/>
          </w:tcPr>
          <w:p w14:paraId="577D2FD4" w14:textId="77777777" w:rsidR="007C5A34" w:rsidRPr="001D5327" w:rsidRDefault="007C5A34" w:rsidP="00341FEF">
            <w:pPr>
              <w:pStyle w:val="TableText"/>
              <w:spacing w:before="40" w:after="40"/>
              <w:rPr>
                <w:color w:val="000000"/>
              </w:rPr>
            </w:pPr>
            <w:r w:rsidRPr="001D5327">
              <w:rPr>
                <w:rFonts w:cs="Calibri"/>
                <w:color w:val="000000"/>
                <w:szCs w:val="16"/>
              </w:rPr>
              <w:t>Difference in emissions estimates</w:t>
            </w:r>
          </w:p>
        </w:tc>
        <w:tc>
          <w:tcPr>
            <w:tcW w:w="857" w:type="dxa"/>
            <w:vAlign w:val="center"/>
            <w:hideMark/>
          </w:tcPr>
          <w:p w14:paraId="78A0C495" w14:textId="692710A6" w:rsidR="007C5A34" w:rsidRPr="001D5327" w:rsidRDefault="0070503C" w:rsidP="00341FEF">
            <w:pPr>
              <w:pStyle w:val="TableText"/>
              <w:spacing w:before="40" w:after="40"/>
              <w:jc w:val="right"/>
              <w:rPr>
                <w:color w:val="000000"/>
                <w:highlight w:val="yellow"/>
              </w:rPr>
            </w:pPr>
            <w:r>
              <w:rPr>
                <w:rFonts w:cs="Calibri"/>
                <w:color w:val="000000"/>
                <w:szCs w:val="16"/>
              </w:rPr>
              <w:t>-</w:t>
            </w:r>
            <w:r w:rsidR="007C5A34" w:rsidRPr="001D5327">
              <w:rPr>
                <w:rFonts w:cs="Calibri"/>
                <w:color w:val="000000"/>
                <w:szCs w:val="16"/>
              </w:rPr>
              <w:t>143.6</w:t>
            </w:r>
          </w:p>
        </w:tc>
        <w:tc>
          <w:tcPr>
            <w:tcW w:w="851" w:type="dxa"/>
            <w:vAlign w:val="center"/>
            <w:hideMark/>
          </w:tcPr>
          <w:p w14:paraId="4AA28FE6" w14:textId="6AE97C10" w:rsidR="007C5A34" w:rsidRPr="001D5327" w:rsidRDefault="0070503C" w:rsidP="00341FEF">
            <w:pPr>
              <w:pStyle w:val="TableText"/>
              <w:spacing w:before="40" w:after="40"/>
              <w:jc w:val="right"/>
              <w:rPr>
                <w:color w:val="000000"/>
                <w:highlight w:val="yellow"/>
              </w:rPr>
            </w:pPr>
            <w:r>
              <w:rPr>
                <w:rFonts w:cs="Calibri"/>
                <w:color w:val="000000"/>
                <w:szCs w:val="16"/>
              </w:rPr>
              <w:t>-</w:t>
            </w:r>
            <w:r w:rsidR="007C5A34" w:rsidRPr="001D5327">
              <w:rPr>
                <w:rFonts w:cs="Calibri"/>
                <w:color w:val="000000"/>
                <w:szCs w:val="16"/>
              </w:rPr>
              <w:t>132.7</w:t>
            </w:r>
          </w:p>
        </w:tc>
        <w:tc>
          <w:tcPr>
            <w:tcW w:w="1501" w:type="dxa"/>
            <w:vAlign w:val="center"/>
            <w:hideMark/>
          </w:tcPr>
          <w:p w14:paraId="5977497D"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 </w:t>
            </w:r>
          </w:p>
        </w:tc>
        <w:tc>
          <w:tcPr>
            <w:tcW w:w="1617" w:type="dxa"/>
            <w:vAlign w:val="center"/>
            <w:hideMark/>
          </w:tcPr>
          <w:p w14:paraId="504B1F92" w14:textId="77777777" w:rsidR="007C5A34" w:rsidRPr="001D5327" w:rsidRDefault="007C5A34" w:rsidP="00341FEF">
            <w:pPr>
              <w:pStyle w:val="TableText"/>
              <w:spacing w:before="40" w:after="40"/>
              <w:ind w:left="397"/>
              <w:jc w:val="right"/>
              <w:rPr>
                <w:color w:val="000000"/>
              </w:rPr>
            </w:pPr>
            <w:r w:rsidRPr="001D5327">
              <w:rPr>
                <w:rFonts w:cs="Calibri"/>
                <w:color w:val="000000"/>
                <w:szCs w:val="16"/>
              </w:rPr>
              <w:t> </w:t>
            </w:r>
          </w:p>
        </w:tc>
      </w:tr>
    </w:tbl>
    <w:p w14:paraId="3E74C75D" w14:textId="77777777" w:rsidR="007C5A34" w:rsidRPr="001D5327" w:rsidRDefault="007C5A34" w:rsidP="007C5A34">
      <w:pPr>
        <w:pStyle w:val="Heading4"/>
        <w:spacing w:before="360"/>
      </w:pPr>
      <w:r w:rsidRPr="001D5327">
        <w:t>Emissions from non-manure organic amendments to soils</w:t>
      </w:r>
    </w:p>
    <w:p w14:paraId="2110FD40" w14:textId="77777777" w:rsidR="007C5A34" w:rsidRPr="001D5327" w:rsidRDefault="007C5A34" w:rsidP="007C5A34">
      <w:pPr>
        <w:pStyle w:val="BodyText"/>
      </w:pPr>
      <w:r w:rsidRPr="001D5327">
        <w:t xml:space="preserve">Emissions estimates in </w:t>
      </w:r>
      <w:r w:rsidRPr="001D5327">
        <w:rPr>
          <w:i/>
          <w:iCs/>
        </w:rPr>
        <w:t>Agricultural soils</w:t>
      </w:r>
      <w:r w:rsidRPr="001D5327">
        <w:t xml:space="preserve"> have been improved by the inclusion of emissions from non-manure organic amendments to soil.</w:t>
      </w:r>
    </w:p>
    <w:p w14:paraId="23D03826" w14:textId="77777777" w:rsidR="007C5A34" w:rsidRPr="001D5327" w:rsidRDefault="007C5A34" w:rsidP="007C5A34">
      <w:pPr>
        <w:pStyle w:val="BodyText"/>
      </w:pPr>
      <w:r w:rsidRPr="001D5327">
        <w:t>In 2014, research into non-manure organic fertiliser inputs estimated emissions for this source in 2013 were 0.07 kt of N</w:t>
      </w:r>
      <w:r w:rsidRPr="001D5327">
        <w:rPr>
          <w:vertAlign w:val="subscript"/>
        </w:rPr>
        <w:t>2</w:t>
      </w:r>
      <w:r w:rsidRPr="001D5327">
        <w:t>O, or 20.0 kt CO</w:t>
      </w:r>
      <w:r w:rsidRPr="001D5327">
        <w:rPr>
          <w:vertAlign w:val="subscript"/>
        </w:rPr>
        <w:t>2</w:t>
      </w:r>
      <w:r w:rsidRPr="001D5327">
        <w:t>-e. This represented 0.05 per cent of New Zealand’s total agricultural greenhouse gas (GHG) emissions, or 0.02 per cent of national total GHG emissions in 2012 (van der Weerden et al., 2014). Because this is lower than the threshold of 0.05 per cent of national total GHG emissions (excluding LULUCF) and, as such, is considered an ‘insignificant source’ by the United Nations Framework Convention on Climate Change (UNFCCC) for reporting GHG emissions, New Zealand has not included activity data for these non-manure organic sources in previous submissions of the Inventory. Instead, New Zealand has reported these as ‘NE’ or ‘not estimated’.</w:t>
      </w:r>
    </w:p>
    <w:p w14:paraId="0606D09E" w14:textId="77777777" w:rsidR="007C5A34" w:rsidRPr="001D5327" w:rsidRDefault="007C5A34" w:rsidP="007C5A34">
      <w:pPr>
        <w:pStyle w:val="BodyText"/>
      </w:pPr>
      <w:r w:rsidRPr="001D5327">
        <w:t>Recent research carried out by AgResearch (van der Weerden and Rutherford, 2024) has used industry data (sheep and cattle meat, dairy processing companies, commercial compost producers and retailers, commercial blood and bone producers and retailers, vegetable processing companies, wine producers, and brewery companies) to estimate the quantities of organic nitrogen amendments applied to agricultural land.</w:t>
      </w:r>
    </w:p>
    <w:p w14:paraId="4E7DE376" w14:textId="7ACEAACE" w:rsidR="007C5A34" w:rsidRPr="001D5327" w:rsidRDefault="007C5A34" w:rsidP="007C5A34">
      <w:pPr>
        <w:pStyle w:val="BodyText"/>
      </w:pPr>
      <w:r w:rsidRPr="001D5327">
        <w:t xml:space="preserve">The </w:t>
      </w:r>
      <w:r w:rsidRPr="001D5327">
        <w:rPr>
          <w:i/>
        </w:rPr>
        <w:t xml:space="preserve">2019 </w:t>
      </w:r>
      <w:r w:rsidRPr="001D5327">
        <w:rPr>
          <w:i/>
          <w:iCs/>
        </w:rPr>
        <w:t>R</w:t>
      </w:r>
      <w:r w:rsidRPr="001D5327">
        <w:rPr>
          <w:i/>
        </w:rPr>
        <w:t xml:space="preserve">efinement </w:t>
      </w:r>
      <w:r w:rsidRPr="001D5327">
        <w:rPr>
          <w:i/>
          <w:iCs/>
        </w:rPr>
        <w:t xml:space="preserve">to </w:t>
      </w:r>
      <w:r w:rsidRPr="001D5327">
        <w:rPr>
          <w:i/>
        </w:rPr>
        <w:t xml:space="preserve">the 2006 IPCC </w:t>
      </w:r>
      <w:r w:rsidRPr="001D5327">
        <w:rPr>
          <w:i/>
          <w:iCs/>
        </w:rPr>
        <w:t>Guidelines for National Greenhouse Gas Inventories</w:t>
      </w:r>
      <w:r w:rsidRPr="001D5327">
        <w:t xml:space="preserve"> (IPCC, 2019) retained the default value of 1 per cent for nitrogen (N) additions to agricultural soils. However, the refinement also provides additional EF values disaggregated by N type and</w:t>
      </w:r>
      <w:r w:rsidR="00293F6E" w:rsidRPr="001D5327">
        <w:t> </w:t>
      </w:r>
      <w:r w:rsidRPr="001D5327">
        <w:t>climate, where climate is disaggregated into wet and dry. New Zealand falls into this ‘wet</w:t>
      </w:r>
      <w:r w:rsidR="00293F6E" w:rsidRPr="001D5327">
        <w:t> </w:t>
      </w:r>
      <w:r w:rsidRPr="001D5327">
        <w:t>climate’ category, according to the IPCC definition.</w:t>
      </w:r>
    </w:p>
    <w:p w14:paraId="4E8C0A32" w14:textId="543F5E8C" w:rsidR="007C5A34" w:rsidRPr="001D5327" w:rsidRDefault="007C5A34" w:rsidP="007C5A34">
      <w:pPr>
        <w:pStyle w:val="BodyText"/>
      </w:pPr>
      <w:r w:rsidRPr="001D5327">
        <w:lastRenderedPageBreak/>
        <w:t>The emissions from non-manure organic amendments to soil are calculated using the 2019 IPCC direct N</w:t>
      </w:r>
      <w:r w:rsidRPr="001D5327">
        <w:rPr>
          <w:vertAlign w:val="subscript"/>
        </w:rPr>
        <w:t>2</w:t>
      </w:r>
      <w:r w:rsidRPr="001D5327">
        <w:t>O emissions factor for non-manure organic fertiliser (EF</w:t>
      </w:r>
      <w:r w:rsidRPr="001D5327">
        <w:rPr>
          <w:vertAlign w:val="subscript"/>
        </w:rPr>
        <w:t>1</w:t>
      </w:r>
      <w:r w:rsidRPr="001D5327">
        <w:t>) of 0.006, to ensure calculations are using the latest scientific knowledge. This provides a more appropriate value for organic N amendments to soils in wet climates rather than remaining with the aggregated value of 1 percent that is applied to all N inputs, from synthetic fertiliser to compost, across all</w:t>
      </w:r>
      <w:r w:rsidR="00293F6E" w:rsidRPr="001D5327">
        <w:t> </w:t>
      </w:r>
      <w:r w:rsidRPr="001D5327">
        <w:t>climatic zones.</w:t>
      </w:r>
    </w:p>
    <w:p w14:paraId="6D700251" w14:textId="0CDC8D85" w:rsidR="007C5A34" w:rsidRPr="001D5327" w:rsidRDefault="007C5A34" w:rsidP="007C5A34">
      <w:pPr>
        <w:pStyle w:val="BodyText"/>
      </w:pPr>
      <w:r w:rsidRPr="001D5327">
        <w:rPr>
          <w:spacing w:val="-2"/>
        </w:rPr>
        <w:t>These changes increase total annual agricultural emissions reported in 2022 by 12.4 kt CO</w:t>
      </w:r>
      <w:r w:rsidRPr="001D5327">
        <w:rPr>
          <w:spacing w:val="-2"/>
          <w:vertAlign w:val="subscript"/>
        </w:rPr>
        <w:t>2</w:t>
      </w:r>
      <w:r w:rsidRPr="001D5327">
        <w:rPr>
          <w:spacing w:val="-2"/>
        </w:rPr>
        <w:noBreakHyphen/>
        <w:t>e</w:t>
      </w:r>
      <w:r w:rsidRPr="001D5327">
        <w:t>, or</w:t>
      </w:r>
      <w:r w:rsidR="00293F6E" w:rsidRPr="001D5327">
        <w:t> </w:t>
      </w:r>
      <w:r w:rsidRPr="001D5327">
        <w:t xml:space="preserve">around 0.03 per cent of total agricultural emissions (table 10.2.7). </w:t>
      </w:r>
    </w:p>
    <w:p w14:paraId="7D15DBAD" w14:textId="77777777" w:rsidR="007C5A34" w:rsidRPr="001D5327" w:rsidRDefault="007C5A34" w:rsidP="007C5A34">
      <w:pPr>
        <w:pStyle w:val="Table"/>
      </w:pPr>
      <w:bookmarkStart w:id="3077" w:name="_Toc194241854"/>
      <w:r w:rsidRPr="001D5327">
        <w:t>Table 10.2.7</w:t>
      </w:r>
      <w:r w:rsidRPr="001D5327">
        <w:tab/>
        <w:t>Emissions impact of including non-manure organic amendments to soil</w:t>
      </w:r>
      <w:bookmarkEnd w:id="3077"/>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4A0" w:firstRow="1" w:lastRow="0" w:firstColumn="1" w:lastColumn="0" w:noHBand="0" w:noVBand="1"/>
      </w:tblPr>
      <w:tblGrid>
        <w:gridCol w:w="890"/>
        <w:gridCol w:w="2673"/>
        <w:gridCol w:w="863"/>
        <w:gridCol w:w="863"/>
        <w:gridCol w:w="1604"/>
        <w:gridCol w:w="1612"/>
      </w:tblGrid>
      <w:tr w:rsidR="007C5A34" w:rsidRPr="001D5327" w14:paraId="19893D7E" w14:textId="77777777" w:rsidTr="00470304">
        <w:tc>
          <w:tcPr>
            <w:tcW w:w="851" w:type="dxa"/>
            <w:shd w:val="clear" w:color="auto" w:fill="1B556B"/>
            <w:vAlign w:val="bottom"/>
          </w:tcPr>
          <w:p w14:paraId="4A997E99" w14:textId="77777777" w:rsidR="007C5A34" w:rsidRPr="001D5327" w:rsidRDefault="007C5A34" w:rsidP="00341FEF">
            <w:pPr>
              <w:pStyle w:val="TableText"/>
              <w:spacing w:before="40" w:after="40"/>
              <w:rPr>
                <w:b/>
                <w:bCs/>
                <w:color w:val="FFFFFF" w:themeColor="background1"/>
              </w:rPr>
            </w:pPr>
          </w:p>
        </w:tc>
        <w:tc>
          <w:tcPr>
            <w:tcW w:w="2693" w:type="dxa"/>
            <w:shd w:val="clear" w:color="auto" w:fill="1B556B"/>
            <w:vAlign w:val="bottom"/>
            <w:hideMark/>
          </w:tcPr>
          <w:p w14:paraId="7D9A8C12" w14:textId="32BDED99" w:rsidR="007C5A34" w:rsidRPr="001D5327" w:rsidRDefault="007C5A34" w:rsidP="00341FEF">
            <w:pPr>
              <w:pStyle w:val="TableText"/>
              <w:spacing w:before="40" w:after="40"/>
              <w:rPr>
                <w:b/>
                <w:bCs/>
                <w:color w:val="FFFFFF" w:themeColor="background1"/>
              </w:rPr>
            </w:pPr>
          </w:p>
        </w:tc>
        <w:tc>
          <w:tcPr>
            <w:tcW w:w="864" w:type="dxa"/>
            <w:shd w:val="clear" w:color="auto" w:fill="1B556B"/>
            <w:vAlign w:val="bottom"/>
            <w:hideMark/>
          </w:tcPr>
          <w:p w14:paraId="2CFC7C3C"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64" w:type="dxa"/>
            <w:shd w:val="clear" w:color="auto" w:fill="1B556B"/>
            <w:vAlign w:val="bottom"/>
            <w:hideMark/>
          </w:tcPr>
          <w:p w14:paraId="6D36E0A3"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613" w:type="dxa"/>
            <w:shd w:val="clear" w:color="auto" w:fill="1B556B"/>
            <w:vAlign w:val="bottom"/>
            <w:hideMark/>
          </w:tcPr>
          <w:p w14:paraId="6D54BB0F"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620" w:type="dxa"/>
            <w:shd w:val="clear" w:color="auto" w:fill="1B556B"/>
            <w:vAlign w:val="bottom"/>
            <w:hideMark/>
          </w:tcPr>
          <w:p w14:paraId="66991360"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Percentage change in emission outputs between 1990 and 2022 (%)</w:t>
            </w:r>
          </w:p>
        </w:tc>
      </w:tr>
      <w:tr w:rsidR="007C5A34" w:rsidRPr="001D5327" w14:paraId="3A0C5BDB" w14:textId="77777777" w:rsidTr="00470304">
        <w:tc>
          <w:tcPr>
            <w:tcW w:w="851" w:type="dxa"/>
            <w:vMerge w:val="restart"/>
            <w:vAlign w:val="center"/>
            <w:hideMark/>
          </w:tcPr>
          <w:p w14:paraId="4108C8AA" w14:textId="77777777" w:rsidR="007C5A34" w:rsidRPr="001D5327" w:rsidRDefault="007C5A34" w:rsidP="00341FEF">
            <w:pPr>
              <w:pStyle w:val="TableText"/>
              <w:spacing w:before="40" w:after="40"/>
              <w:rPr>
                <w:color w:val="000000"/>
              </w:rPr>
            </w:pPr>
            <w:r w:rsidRPr="001D5327">
              <w:rPr>
                <w:rFonts w:cs="Calibri"/>
                <w:color w:val="000000"/>
                <w:szCs w:val="16"/>
              </w:rPr>
              <w:t xml:space="preserve">Total emissions from </w:t>
            </w:r>
            <w:r w:rsidRPr="001D5327">
              <w:rPr>
                <w:rFonts w:cs="Calibri"/>
                <w:i/>
                <w:color w:val="000000"/>
                <w:szCs w:val="16"/>
              </w:rPr>
              <w:t>Agriculture</w:t>
            </w:r>
          </w:p>
        </w:tc>
        <w:tc>
          <w:tcPr>
            <w:tcW w:w="2693" w:type="dxa"/>
            <w:vAlign w:val="center"/>
            <w:hideMark/>
          </w:tcPr>
          <w:p w14:paraId="0906FCF3" w14:textId="77777777" w:rsidR="007C5A34" w:rsidRPr="001D5327" w:rsidRDefault="007C5A34" w:rsidP="00341FEF">
            <w:pPr>
              <w:pStyle w:val="TableText"/>
              <w:spacing w:before="40" w:after="40"/>
              <w:rPr>
                <w:color w:val="000000"/>
              </w:rPr>
            </w:pPr>
            <w:r w:rsidRPr="001D5327">
              <w:rPr>
                <w:rFonts w:cs="Calibri"/>
                <w:color w:val="000000"/>
                <w:szCs w:val="16"/>
              </w:rPr>
              <w:t>2024 (1990–2022) emissions estimate</w:t>
            </w:r>
          </w:p>
        </w:tc>
        <w:tc>
          <w:tcPr>
            <w:tcW w:w="864" w:type="dxa"/>
            <w:vAlign w:val="bottom"/>
            <w:hideMark/>
          </w:tcPr>
          <w:p w14:paraId="6C22ABEC"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37,121.5</w:t>
            </w:r>
          </w:p>
        </w:tc>
        <w:tc>
          <w:tcPr>
            <w:tcW w:w="864" w:type="dxa"/>
            <w:vAlign w:val="bottom"/>
            <w:hideMark/>
          </w:tcPr>
          <w:p w14:paraId="092A7F0A"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41,712.7</w:t>
            </w:r>
          </w:p>
        </w:tc>
        <w:tc>
          <w:tcPr>
            <w:tcW w:w="1613" w:type="dxa"/>
            <w:vAlign w:val="bottom"/>
            <w:hideMark/>
          </w:tcPr>
          <w:p w14:paraId="3E585150"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4,591.2</w:t>
            </w:r>
          </w:p>
        </w:tc>
        <w:tc>
          <w:tcPr>
            <w:tcW w:w="1620" w:type="dxa"/>
            <w:vAlign w:val="bottom"/>
            <w:hideMark/>
          </w:tcPr>
          <w:p w14:paraId="5D344A1E"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12.4</w:t>
            </w:r>
          </w:p>
        </w:tc>
      </w:tr>
      <w:tr w:rsidR="007C5A34" w:rsidRPr="001D5327" w14:paraId="0DE84BD1" w14:textId="77777777" w:rsidTr="00470304">
        <w:tc>
          <w:tcPr>
            <w:tcW w:w="851" w:type="dxa"/>
            <w:vMerge/>
            <w:vAlign w:val="center"/>
            <w:hideMark/>
          </w:tcPr>
          <w:p w14:paraId="072CBD2C" w14:textId="77777777" w:rsidR="007C5A34" w:rsidRPr="001D5327" w:rsidRDefault="007C5A34" w:rsidP="00341FEF">
            <w:pPr>
              <w:rPr>
                <w:color w:val="000000"/>
                <w:sz w:val="16"/>
              </w:rPr>
            </w:pPr>
          </w:p>
        </w:tc>
        <w:tc>
          <w:tcPr>
            <w:tcW w:w="2693" w:type="dxa"/>
            <w:vAlign w:val="center"/>
            <w:hideMark/>
          </w:tcPr>
          <w:p w14:paraId="5A6207F1" w14:textId="77777777" w:rsidR="007C5A34" w:rsidRPr="001D5327" w:rsidRDefault="007C5A34" w:rsidP="00341FEF">
            <w:pPr>
              <w:pStyle w:val="TableText"/>
              <w:spacing w:before="40" w:after="40"/>
              <w:rPr>
                <w:color w:val="000000"/>
              </w:rPr>
            </w:pPr>
            <w:r w:rsidRPr="001D5327">
              <w:rPr>
                <w:rFonts w:cs="Calibri"/>
                <w:color w:val="000000"/>
                <w:szCs w:val="16"/>
              </w:rPr>
              <w:t>2024 (1990–2022) emissions estimate with non-manure organic fertiliser</w:t>
            </w:r>
          </w:p>
        </w:tc>
        <w:tc>
          <w:tcPr>
            <w:tcW w:w="864" w:type="dxa"/>
            <w:vAlign w:val="bottom"/>
            <w:hideMark/>
          </w:tcPr>
          <w:p w14:paraId="7DD782E9"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37,123.6</w:t>
            </w:r>
          </w:p>
        </w:tc>
        <w:tc>
          <w:tcPr>
            <w:tcW w:w="864" w:type="dxa"/>
            <w:vAlign w:val="bottom"/>
            <w:hideMark/>
          </w:tcPr>
          <w:p w14:paraId="4FC62718"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41,725.1</w:t>
            </w:r>
          </w:p>
        </w:tc>
        <w:tc>
          <w:tcPr>
            <w:tcW w:w="1613" w:type="dxa"/>
            <w:vAlign w:val="bottom"/>
            <w:hideMark/>
          </w:tcPr>
          <w:p w14:paraId="7FD6A6B2"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4,601.5</w:t>
            </w:r>
          </w:p>
        </w:tc>
        <w:tc>
          <w:tcPr>
            <w:tcW w:w="1620" w:type="dxa"/>
            <w:vAlign w:val="bottom"/>
            <w:hideMark/>
          </w:tcPr>
          <w:p w14:paraId="68C5F8D7"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12.4</w:t>
            </w:r>
          </w:p>
        </w:tc>
      </w:tr>
      <w:tr w:rsidR="007C5A34" w:rsidRPr="001D5327" w14:paraId="65A05D3D" w14:textId="77777777" w:rsidTr="00470304">
        <w:tc>
          <w:tcPr>
            <w:tcW w:w="851" w:type="dxa"/>
            <w:vMerge/>
            <w:vAlign w:val="center"/>
            <w:hideMark/>
          </w:tcPr>
          <w:p w14:paraId="23B14022" w14:textId="77777777" w:rsidR="007C5A34" w:rsidRPr="001D5327" w:rsidRDefault="007C5A34" w:rsidP="00341FEF">
            <w:pPr>
              <w:rPr>
                <w:color w:val="000000"/>
                <w:sz w:val="16"/>
              </w:rPr>
            </w:pPr>
          </w:p>
        </w:tc>
        <w:tc>
          <w:tcPr>
            <w:tcW w:w="2693" w:type="dxa"/>
            <w:vAlign w:val="center"/>
            <w:hideMark/>
          </w:tcPr>
          <w:p w14:paraId="61F61C76" w14:textId="77777777" w:rsidR="007C5A34" w:rsidRPr="001D5327" w:rsidRDefault="007C5A34" w:rsidP="00341FEF">
            <w:pPr>
              <w:pStyle w:val="TableText"/>
              <w:spacing w:before="40" w:after="40"/>
              <w:rPr>
                <w:color w:val="000000"/>
              </w:rPr>
            </w:pPr>
            <w:r w:rsidRPr="001D5327">
              <w:rPr>
                <w:rFonts w:cs="Calibri"/>
                <w:color w:val="000000"/>
                <w:szCs w:val="16"/>
              </w:rPr>
              <w:t>Difference in emissions estimates</w:t>
            </w:r>
          </w:p>
        </w:tc>
        <w:tc>
          <w:tcPr>
            <w:tcW w:w="864" w:type="dxa"/>
            <w:vAlign w:val="center"/>
            <w:hideMark/>
          </w:tcPr>
          <w:p w14:paraId="39AEB8FA"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2.1</w:t>
            </w:r>
          </w:p>
        </w:tc>
        <w:tc>
          <w:tcPr>
            <w:tcW w:w="864" w:type="dxa"/>
            <w:vAlign w:val="center"/>
            <w:hideMark/>
          </w:tcPr>
          <w:p w14:paraId="7EFB2E0D"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12.4</w:t>
            </w:r>
          </w:p>
        </w:tc>
        <w:tc>
          <w:tcPr>
            <w:tcW w:w="1613" w:type="dxa"/>
            <w:vAlign w:val="center"/>
            <w:hideMark/>
          </w:tcPr>
          <w:p w14:paraId="0522A3C2"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 </w:t>
            </w:r>
          </w:p>
        </w:tc>
        <w:tc>
          <w:tcPr>
            <w:tcW w:w="1620" w:type="dxa"/>
            <w:vAlign w:val="center"/>
            <w:hideMark/>
          </w:tcPr>
          <w:p w14:paraId="1CF106D8" w14:textId="77777777" w:rsidR="007C5A34" w:rsidRPr="001D5327" w:rsidRDefault="007C5A34" w:rsidP="00341FEF">
            <w:pPr>
              <w:pStyle w:val="TableText"/>
              <w:spacing w:before="40" w:after="40"/>
              <w:ind w:left="397"/>
              <w:jc w:val="right"/>
              <w:rPr>
                <w:color w:val="000000"/>
              </w:rPr>
            </w:pPr>
            <w:r w:rsidRPr="001D5327">
              <w:rPr>
                <w:rFonts w:cs="Calibri"/>
                <w:color w:val="000000"/>
                <w:szCs w:val="16"/>
              </w:rPr>
              <w:t> </w:t>
            </w:r>
          </w:p>
        </w:tc>
      </w:tr>
    </w:tbl>
    <w:p w14:paraId="5425E605" w14:textId="77777777" w:rsidR="007C5A34" w:rsidRPr="001D5327" w:rsidRDefault="007C5A34" w:rsidP="007C5A34">
      <w:pPr>
        <w:pStyle w:val="Heading4"/>
        <w:spacing w:before="360"/>
      </w:pPr>
      <w:r w:rsidRPr="001D5327">
        <w:t>Corrections and improvements to the Agriculture inventory model</w:t>
      </w:r>
    </w:p>
    <w:p w14:paraId="4CF62721" w14:textId="77777777" w:rsidR="007C5A34" w:rsidRPr="001D5327" w:rsidRDefault="007C5A34" w:rsidP="007C5A34">
      <w:pPr>
        <w:pStyle w:val="BodyText"/>
      </w:pPr>
      <w:r w:rsidRPr="001D5327">
        <w:t>Each year, the Agriculture inventory compilation team identifies changes to improve alignment between the model code and the written methodology (Pickering et al., 2024). Improvements to the input data and methodology have also been implemented, in response to comments from international reviewers.</w:t>
      </w:r>
    </w:p>
    <w:bookmarkEnd w:id="3071"/>
    <w:p w14:paraId="1A480A9C" w14:textId="77777777" w:rsidR="007C5A34" w:rsidRPr="001D5327" w:rsidRDefault="007C5A34" w:rsidP="007C5A34">
      <w:pPr>
        <w:pStyle w:val="BodyText"/>
      </w:pPr>
      <w:r w:rsidRPr="001D5327">
        <w:t xml:space="preserve">The main changes are related to milk consumed by young animals, energy requirements for gestation, sheep, beef and mature dairy cow liveweight estimates, and dairy cattle monthly milk production estimates. </w:t>
      </w:r>
    </w:p>
    <w:p w14:paraId="58CBD28B" w14:textId="77777777" w:rsidR="007C5A34" w:rsidRPr="001D5327" w:rsidRDefault="007C5A34" w:rsidP="007C5A34">
      <w:pPr>
        <w:pStyle w:val="BodyText"/>
      </w:pPr>
      <w:r w:rsidRPr="001D5327">
        <w:t>One of the improvements this year is using the monthly milk production data published by the Dairy Companies Association of New Zealand to inform the milk produced in a given month as a proportion of total annual milk produced for dairy cattle. The Dairy Companies Association of New Zealand values are similar to that of the fixed proportions that were previously used, so this is a minor improvement.</w:t>
      </w:r>
    </w:p>
    <w:p w14:paraId="1E591077" w14:textId="77777777" w:rsidR="007C5A34" w:rsidRPr="001D5327" w:rsidRDefault="007C5A34" w:rsidP="007C5A34">
      <w:pPr>
        <w:pStyle w:val="BodyText"/>
      </w:pPr>
      <w:r w:rsidRPr="001D5327">
        <w:t>The total impact of these changes is an increase of 368.2 kt CO</w:t>
      </w:r>
      <w:r w:rsidRPr="001D5327">
        <w:rPr>
          <w:vertAlign w:val="subscript"/>
        </w:rPr>
        <w:t>2</w:t>
      </w:r>
      <w:r w:rsidRPr="001D5327">
        <w:t>-e of emissions reported in 2022 (table 10.2.8). This corresponds to an increase in reported total agricultural emissions of around 0.9 per cent.</w:t>
      </w:r>
    </w:p>
    <w:p w14:paraId="59D96345" w14:textId="77777777" w:rsidR="007C5A34" w:rsidRPr="001D5327" w:rsidRDefault="007C5A34" w:rsidP="007C5A34">
      <w:pPr>
        <w:pStyle w:val="Table"/>
        <w:rPr>
          <w:rFonts w:cs="Arial"/>
        </w:rPr>
      </w:pPr>
      <w:bookmarkStart w:id="3078" w:name="_Toc161311311"/>
      <w:bookmarkStart w:id="3079" w:name="_Toc164153979"/>
      <w:bookmarkStart w:id="3080" w:name="_Toc194241855"/>
      <w:r w:rsidRPr="001D5327">
        <w:t>Table 10.2.8</w:t>
      </w:r>
      <w:r w:rsidRPr="001D5327">
        <w:tab/>
      </w:r>
      <w:bookmarkEnd w:id="3078"/>
      <w:r w:rsidRPr="001D5327">
        <w:t>Emissions impact of i</w:t>
      </w:r>
      <w:r w:rsidRPr="001D5327">
        <w:rPr>
          <w:bCs/>
        </w:rPr>
        <w:t>mprovements and corrections to model code</w:t>
      </w:r>
      <w:bookmarkEnd w:id="3079"/>
      <w:bookmarkEnd w:id="3080"/>
    </w:p>
    <w:tbl>
      <w:tblPr>
        <w:tblW w:w="8505" w:type="dxa"/>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4A0" w:firstRow="1" w:lastRow="0" w:firstColumn="1" w:lastColumn="0" w:noHBand="0" w:noVBand="1"/>
      </w:tblPr>
      <w:tblGrid>
        <w:gridCol w:w="993"/>
        <w:gridCol w:w="2693"/>
        <w:gridCol w:w="850"/>
        <w:gridCol w:w="851"/>
        <w:gridCol w:w="1479"/>
        <w:gridCol w:w="1639"/>
      </w:tblGrid>
      <w:tr w:rsidR="007C5A34" w:rsidRPr="001D5327" w14:paraId="7A496D47" w14:textId="77777777" w:rsidTr="00967FC5">
        <w:tc>
          <w:tcPr>
            <w:tcW w:w="993" w:type="dxa"/>
            <w:shd w:val="clear" w:color="auto" w:fill="1B556B"/>
            <w:vAlign w:val="bottom"/>
            <w:hideMark/>
          </w:tcPr>
          <w:p w14:paraId="03C23732" w14:textId="77777777" w:rsidR="007C5A34" w:rsidRPr="001D5327" w:rsidRDefault="007C5A34" w:rsidP="00341FEF">
            <w:pPr>
              <w:pStyle w:val="TableText"/>
              <w:keepNext/>
              <w:spacing w:before="40" w:after="40"/>
              <w:rPr>
                <w:b/>
                <w:bCs/>
                <w:color w:val="FFFFFF" w:themeColor="background1"/>
              </w:rPr>
            </w:pPr>
          </w:p>
        </w:tc>
        <w:tc>
          <w:tcPr>
            <w:tcW w:w="2693" w:type="dxa"/>
            <w:shd w:val="clear" w:color="auto" w:fill="1B556B"/>
            <w:vAlign w:val="bottom"/>
            <w:hideMark/>
          </w:tcPr>
          <w:p w14:paraId="4CCC2692" w14:textId="325314D9" w:rsidR="007C5A34" w:rsidRPr="001D5327" w:rsidRDefault="007C5A34" w:rsidP="00341FEF">
            <w:pPr>
              <w:pStyle w:val="TableText"/>
              <w:keepNext/>
              <w:spacing w:before="40" w:after="40"/>
              <w:rPr>
                <w:b/>
                <w:bCs/>
                <w:color w:val="FFFFFF" w:themeColor="background1"/>
              </w:rPr>
            </w:pPr>
          </w:p>
        </w:tc>
        <w:tc>
          <w:tcPr>
            <w:tcW w:w="850" w:type="dxa"/>
            <w:shd w:val="clear" w:color="auto" w:fill="1B556B"/>
            <w:vAlign w:val="bottom"/>
            <w:hideMark/>
          </w:tcPr>
          <w:p w14:paraId="4EF08BBA" w14:textId="77777777" w:rsidR="007C5A34" w:rsidRPr="001D5327" w:rsidRDefault="007C5A34" w:rsidP="00341FEF">
            <w:pPr>
              <w:pStyle w:val="TableText"/>
              <w:keepNext/>
              <w:spacing w:before="40" w:after="40"/>
              <w:jc w:val="right"/>
              <w:rPr>
                <w:b/>
                <w:bCs/>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51" w:type="dxa"/>
            <w:shd w:val="clear" w:color="auto" w:fill="1B556B"/>
            <w:vAlign w:val="bottom"/>
            <w:hideMark/>
          </w:tcPr>
          <w:p w14:paraId="7D2D2C7E" w14:textId="77777777" w:rsidR="007C5A34" w:rsidRPr="001D5327" w:rsidRDefault="007C5A34" w:rsidP="00341FEF">
            <w:pPr>
              <w:pStyle w:val="TableText"/>
              <w:keepNext/>
              <w:spacing w:before="40" w:after="40"/>
              <w:jc w:val="right"/>
              <w:rPr>
                <w:b/>
                <w:bCs/>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479" w:type="dxa"/>
            <w:shd w:val="clear" w:color="auto" w:fill="1B556B"/>
            <w:vAlign w:val="bottom"/>
            <w:hideMark/>
          </w:tcPr>
          <w:p w14:paraId="4910DA61" w14:textId="77777777" w:rsidR="007C5A34" w:rsidRPr="001D5327" w:rsidRDefault="007C5A34" w:rsidP="00341FEF">
            <w:pPr>
              <w:pStyle w:val="TableText"/>
              <w:keepNext/>
              <w:spacing w:before="40" w:after="40"/>
              <w:jc w:val="right"/>
              <w:rPr>
                <w:b/>
                <w:bCs/>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639" w:type="dxa"/>
            <w:shd w:val="clear" w:color="auto" w:fill="1B556B"/>
            <w:vAlign w:val="bottom"/>
            <w:hideMark/>
          </w:tcPr>
          <w:p w14:paraId="269697C7" w14:textId="77777777" w:rsidR="007C5A34" w:rsidRPr="001D5327" w:rsidRDefault="007C5A34" w:rsidP="00341FEF">
            <w:pPr>
              <w:pStyle w:val="TableText"/>
              <w:keepNext/>
              <w:spacing w:before="40" w:after="40"/>
              <w:jc w:val="right"/>
              <w:rPr>
                <w:b/>
                <w:bCs/>
                <w:color w:val="FFFFFF" w:themeColor="background1"/>
              </w:rPr>
            </w:pPr>
            <w:r w:rsidRPr="001D5327">
              <w:rPr>
                <w:rFonts w:cs="Calibri"/>
                <w:b/>
                <w:bCs/>
                <w:color w:val="FFFFFF"/>
                <w:szCs w:val="16"/>
              </w:rPr>
              <w:t>Percentage change in emission outputs between 1990 and 2022 (%)</w:t>
            </w:r>
          </w:p>
        </w:tc>
      </w:tr>
      <w:tr w:rsidR="007C5A34" w:rsidRPr="001D5327" w14:paraId="7B03CD81" w14:textId="77777777" w:rsidTr="00967FC5">
        <w:tc>
          <w:tcPr>
            <w:tcW w:w="993" w:type="dxa"/>
            <w:vMerge w:val="restart"/>
            <w:vAlign w:val="center"/>
            <w:hideMark/>
          </w:tcPr>
          <w:p w14:paraId="6DF241A3" w14:textId="77777777" w:rsidR="007C5A34" w:rsidRPr="001D5327" w:rsidRDefault="007C5A34" w:rsidP="00341FEF">
            <w:pPr>
              <w:pStyle w:val="TableText"/>
              <w:spacing w:before="40" w:after="40"/>
              <w:rPr>
                <w:color w:val="000000"/>
              </w:rPr>
            </w:pPr>
            <w:r w:rsidRPr="001D5327">
              <w:rPr>
                <w:rFonts w:cs="Calibri"/>
                <w:color w:val="000000"/>
                <w:szCs w:val="16"/>
              </w:rPr>
              <w:t xml:space="preserve">Total emissions from </w:t>
            </w:r>
            <w:r w:rsidRPr="001D5327">
              <w:rPr>
                <w:rFonts w:cs="Calibri"/>
                <w:i/>
                <w:color w:val="000000"/>
                <w:szCs w:val="16"/>
              </w:rPr>
              <w:t>Agriculture</w:t>
            </w:r>
            <w:r w:rsidRPr="001D5327">
              <w:rPr>
                <w:rFonts w:cs="Calibri"/>
                <w:color w:val="000000"/>
                <w:szCs w:val="16"/>
              </w:rPr>
              <w:t xml:space="preserve"> </w:t>
            </w:r>
          </w:p>
        </w:tc>
        <w:tc>
          <w:tcPr>
            <w:tcW w:w="2693" w:type="dxa"/>
            <w:vAlign w:val="center"/>
            <w:hideMark/>
          </w:tcPr>
          <w:p w14:paraId="01CD0C5F" w14:textId="77777777" w:rsidR="007C5A34" w:rsidRPr="001D5327" w:rsidRDefault="007C5A34" w:rsidP="00341FEF">
            <w:pPr>
              <w:pStyle w:val="TableText"/>
              <w:spacing w:before="40" w:after="40"/>
              <w:rPr>
                <w:color w:val="000000"/>
              </w:rPr>
            </w:pPr>
            <w:r w:rsidRPr="001D5327">
              <w:rPr>
                <w:rFonts w:cs="Calibri"/>
                <w:color w:val="000000"/>
                <w:szCs w:val="16"/>
              </w:rPr>
              <w:t>2024 (1990–2022) emissions estimate</w:t>
            </w:r>
          </w:p>
        </w:tc>
        <w:tc>
          <w:tcPr>
            <w:tcW w:w="850" w:type="dxa"/>
            <w:vAlign w:val="bottom"/>
            <w:hideMark/>
          </w:tcPr>
          <w:p w14:paraId="32603942"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37,121.5</w:t>
            </w:r>
          </w:p>
        </w:tc>
        <w:tc>
          <w:tcPr>
            <w:tcW w:w="851" w:type="dxa"/>
            <w:vAlign w:val="bottom"/>
            <w:hideMark/>
          </w:tcPr>
          <w:p w14:paraId="30815AEB"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41,712.7</w:t>
            </w:r>
          </w:p>
        </w:tc>
        <w:tc>
          <w:tcPr>
            <w:tcW w:w="1479" w:type="dxa"/>
            <w:vAlign w:val="bottom"/>
            <w:hideMark/>
          </w:tcPr>
          <w:p w14:paraId="6D89ADDA"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4,591.2</w:t>
            </w:r>
          </w:p>
        </w:tc>
        <w:tc>
          <w:tcPr>
            <w:tcW w:w="1639" w:type="dxa"/>
            <w:vAlign w:val="bottom"/>
            <w:hideMark/>
          </w:tcPr>
          <w:p w14:paraId="55DF8525"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12.4</w:t>
            </w:r>
          </w:p>
        </w:tc>
      </w:tr>
      <w:tr w:rsidR="007C5A34" w:rsidRPr="001D5327" w14:paraId="2779BF7A" w14:textId="77777777" w:rsidTr="00967FC5">
        <w:tc>
          <w:tcPr>
            <w:tcW w:w="993" w:type="dxa"/>
            <w:vMerge/>
            <w:vAlign w:val="center"/>
            <w:hideMark/>
          </w:tcPr>
          <w:p w14:paraId="5BEFD1BC" w14:textId="77777777" w:rsidR="007C5A34" w:rsidRPr="001D5327" w:rsidRDefault="007C5A34" w:rsidP="00341FEF">
            <w:pPr>
              <w:rPr>
                <w:color w:val="000000"/>
                <w:sz w:val="16"/>
              </w:rPr>
            </w:pPr>
          </w:p>
        </w:tc>
        <w:tc>
          <w:tcPr>
            <w:tcW w:w="2693" w:type="dxa"/>
            <w:vAlign w:val="center"/>
            <w:hideMark/>
          </w:tcPr>
          <w:p w14:paraId="1A4E0D83" w14:textId="77777777" w:rsidR="007C5A34" w:rsidRPr="001D5327" w:rsidRDefault="007C5A34" w:rsidP="00341FEF">
            <w:pPr>
              <w:pStyle w:val="TableText"/>
              <w:spacing w:before="40" w:after="40"/>
              <w:rPr>
                <w:color w:val="000000"/>
              </w:rPr>
            </w:pPr>
            <w:r w:rsidRPr="001D5327">
              <w:rPr>
                <w:rFonts w:cs="Calibri"/>
                <w:color w:val="000000"/>
                <w:szCs w:val="16"/>
              </w:rPr>
              <w:t>2024 (1990–2022) emissions estimate with corrections and data improvements</w:t>
            </w:r>
          </w:p>
        </w:tc>
        <w:tc>
          <w:tcPr>
            <w:tcW w:w="850" w:type="dxa"/>
            <w:vAlign w:val="bottom"/>
            <w:hideMark/>
          </w:tcPr>
          <w:p w14:paraId="3F6929DD"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37,089.7</w:t>
            </w:r>
          </w:p>
        </w:tc>
        <w:tc>
          <w:tcPr>
            <w:tcW w:w="851" w:type="dxa"/>
            <w:vAlign w:val="bottom"/>
            <w:hideMark/>
          </w:tcPr>
          <w:p w14:paraId="4077E3DE"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42,080.9</w:t>
            </w:r>
          </w:p>
        </w:tc>
        <w:tc>
          <w:tcPr>
            <w:tcW w:w="1479" w:type="dxa"/>
            <w:vAlign w:val="bottom"/>
            <w:hideMark/>
          </w:tcPr>
          <w:p w14:paraId="526D9AA8"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4,991.2</w:t>
            </w:r>
          </w:p>
        </w:tc>
        <w:tc>
          <w:tcPr>
            <w:tcW w:w="1639" w:type="dxa"/>
            <w:vAlign w:val="bottom"/>
            <w:hideMark/>
          </w:tcPr>
          <w:p w14:paraId="51D30528"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13.5</w:t>
            </w:r>
          </w:p>
        </w:tc>
      </w:tr>
      <w:tr w:rsidR="007C5A34" w:rsidRPr="001D5327" w14:paraId="0E7E7004" w14:textId="77777777" w:rsidTr="00967FC5">
        <w:tc>
          <w:tcPr>
            <w:tcW w:w="993" w:type="dxa"/>
            <w:vMerge/>
            <w:vAlign w:val="center"/>
            <w:hideMark/>
          </w:tcPr>
          <w:p w14:paraId="04B36D09" w14:textId="77777777" w:rsidR="007C5A34" w:rsidRPr="001D5327" w:rsidRDefault="007C5A34" w:rsidP="00341FEF">
            <w:pPr>
              <w:rPr>
                <w:color w:val="000000"/>
                <w:sz w:val="16"/>
              </w:rPr>
            </w:pPr>
          </w:p>
        </w:tc>
        <w:tc>
          <w:tcPr>
            <w:tcW w:w="2693" w:type="dxa"/>
            <w:vAlign w:val="center"/>
            <w:hideMark/>
          </w:tcPr>
          <w:p w14:paraId="726AB135" w14:textId="77777777" w:rsidR="007C5A34" w:rsidRPr="001D5327" w:rsidRDefault="007C5A34" w:rsidP="00341FEF">
            <w:pPr>
              <w:pStyle w:val="TableText"/>
              <w:spacing w:before="40" w:after="40"/>
              <w:rPr>
                <w:color w:val="000000"/>
              </w:rPr>
            </w:pPr>
            <w:r w:rsidRPr="001D5327">
              <w:rPr>
                <w:rFonts w:cs="Calibri"/>
                <w:color w:val="000000"/>
                <w:szCs w:val="16"/>
              </w:rPr>
              <w:t>Difference in emissions estimates</w:t>
            </w:r>
          </w:p>
        </w:tc>
        <w:tc>
          <w:tcPr>
            <w:tcW w:w="850" w:type="dxa"/>
            <w:vAlign w:val="bottom"/>
            <w:hideMark/>
          </w:tcPr>
          <w:p w14:paraId="021D2E47" w14:textId="0DF2BD47" w:rsidR="007C5A34" w:rsidRPr="001D5327" w:rsidRDefault="0070503C" w:rsidP="00341FEF">
            <w:pPr>
              <w:pStyle w:val="TableText"/>
              <w:spacing w:before="40" w:after="40"/>
              <w:jc w:val="right"/>
              <w:rPr>
                <w:color w:val="000000"/>
                <w:highlight w:val="yellow"/>
              </w:rPr>
            </w:pPr>
            <w:r>
              <w:rPr>
                <w:rFonts w:cs="Calibri"/>
                <w:color w:val="000000"/>
                <w:szCs w:val="16"/>
              </w:rPr>
              <w:t>-</w:t>
            </w:r>
            <w:r w:rsidR="007C5A34" w:rsidRPr="001D5327">
              <w:rPr>
                <w:rFonts w:cs="Calibri"/>
                <w:color w:val="000000"/>
                <w:szCs w:val="16"/>
              </w:rPr>
              <w:t>31.8</w:t>
            </w:r>
          </w:p>
        </w:tc>
        <w:tc>
          <w:tcPr>
            <w:tcW w:w="851" w:type="dxa"/>
            <w:vAlign w:val="bottom"/>
            <w:hideMark/>
          </w:tcPr>
          <w:p w14:paraId="3484FC30"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368.2</w:t>
            </w:r>
          </w:p>
        </w:tc>
        <w:tc>
          <w:tcPr>
            <w:tcW w:w="1479" w:type="dxa"/>
            <w:vAlign w:val="bottom"/>
            <w:hideMark/>
          </w:tcPr>
          <w:p w14:paraId="6CCB7F39"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 </w:t>
            </w:r>
          </w:p>
        </w:tc>
        <w:tc>
          <w:tcPr>
            <w:tcW w:w="1639" w:type="dxa"/>
            <w:vAlign w:val="bottom"/>
            <w:hideMark/>
          </w:tcPr>
          <w:p w14:paraId="55DCB0FB" w14:textId="77777777" w:rsidR="007C5A34" w:rsidRPr="001D5327" w:rsidRDefault="007C5A34" w:rsidP="00341FEF">
            <w:pPr>
              <w:pStyle w:val="TableText"/>
              <w:spacing w:before="40" w:after="40"/>
              <w:ind w:left="397"/>
              <w:jc w:val="right"/>
              <w:rPr>
                <w:color w:val="000000"/>
              </w:rPr>
            </w:pPr>
            <w:r w:rsidRPr="001D5327">
              <w:rPr>
                <w:rFonts w:cs="Calibri"/>
                <w:color w:val="000000"/>
                <w:szCs w:val="16"/>
              </w:rPr>
              <w:t> </w:t>
            </w:r>
          </w:p>
        </w:tc>
      </w:tr>
    </w:tbl>
    <w:p w14:paraId="239C1356" w14:textId="77777777" w:rsidR="007C5A34" w:rsidRPr="001D5327" w:rsidRDefault="007C5A34" w:rsidP="007C5A34">
      <w:pPr>
        <w:pStyle w:val="Heading4"/>
        <w:spacing w:before="360"/>
      </w:pPr>
      <w:r w:rsidRPr="001D5327">
        <w:lastRenderedPageBreak/>
        <w:t>Revisions to agricultural statistics</w:t>
      </w:r>
    </w:p>
    <w:p w14:paraId="359E8177" w14:textId="7173A6D3" w:rsidR="007C5A34" w:rsidRPr="001D5327" w:rsidRDefault="007C5A34" w:rsidP="007C5A34">
      <w:pPr>
        <w:pStyle w:val="BodyText"/>
      </w:pPr>
      <w:r w:rsidRPr="001D5327">
        <w:t xml:space="preserve">Since the publication of the Agriculture sector estimates in the 2024 submission of the Inventory, Stats NZ updated its livestock numbers in the </w:t>
      </w:r>
      <w:hyperlink r:id="rId262">
        <w:r w:rsidRPr="001D5327">
          <w:rPr>
            <w:rStyle w:val="IntenseQuoteChar"/>
          </w:rPr>
          <w:t>Agricultural production statistics: Year to June 2022 (final)</w:t>
        </w:r>
      </w:hyperlink>
      <w:r w:rsidRPr="001D5327">
        <w:t xml:space="preserve">, which included revisions to the 2022 data (Stats NZ, 2023). This revision was released alongside its </w:t>
      </w:r>
      <w:r w:rsidRPr="00913690">
        <w:rPr>
          <w:i/>
          <w:iCs/>
        </w:rPr>
        <w:t>Agricultural production statistics: Year to June 2023 (final)</w:t>
      </w:r>
      <w:r w:rsidRPr="001D5327">
        <w:t xml:space="preserve"> on 3 May 2024 (Stats NZ, 2024). Updates were made to sheep, beef, dairy cattle and poultry numbers as well as changes in regional totals. The updated data reflect lower livestock populations, which result in lower emissions estimates. </w:t>
      </w:r>
    </w:p>
    <w:p w14:paraId="1CD9870D" w14:textId="77777777" w:rsidR="007C5A34" w:rsidRPr="001D5327" w:rsidRDefault="007C5A34" w:rsidP="007C5A34">
      <w:pPr>
        <w:pStyle w:val="BodyText"/>
        <w:rPr>
          <w:color w:val="000000"/>
          <w:sz w:val="27"/>
          <w:szCs w:val="27"/>
        </w:rPr>
      </w:pPr>
      <w:r w:rsidRPr="001D5327">
        <w:t>Additionally, data for fertiliser use in 2022 provided by MPI was revised, resulting in more fertiliser use in 2022 in the 2025 submission compared with the 2024 submission. The impact of this revision on total emissions is significantly less than the impact of the livestock population data revision.</w:t>
      </w:r>
    </w:p>
    <w:p w14:paraId="601EC8E0" w14:textId="79780F39" w:rsidR="007C5A34" w:rsidRPr="001D5327" w:rsidRDefault="007C5A34" w:rsidP="007C5A34">
      <w:pPr>
        <w:pStyle w:val="BodyText"/>
      </w:pPr>
      <w:r w:rsidRPr="001D5327">
        <w:t>The total impact of these changes is a decrease of 365.2 kt CO</w:t>
      </w:r>
      <w:r w:rsidRPr="001D5327">
        <w:rPr>
          <w:vertAlign w:val="subscript"/>
        </w:rPr>
        <w:t>2</w:t>
      </w:r>
      <w:r w:rsidRPr="001D5327">
        <w:t>-e of emissions reported in 2022</w:t>
      </w:r>
      <w:r w:rsidR="00293F6E" w:rsidRPr="001D5327">
        <w:t> </w:t>
      </w:r>
      <w:r w:rsidRPr="001D5327">
        <w:t>(table 10.2.9). This corresponds to a decrease in reported total agricultural emissions of</w:t>
      </w:r>
      <w:r w:rsidR="00293F6E" w:rsidRPr="001D5327">
        <w:t> </w:t>
      </w:r>
      <w:r w:rsidRPr="001D5327">
        <w:t>around 0.9 per cent.</w:t>
      </w:r>
    </w:p>
    <w:p w14:paraId="180D1A56" w14:textId="77777777" w:rsidR="007C5A34" w:rsidRPr="001D5327" w:rsidRDefault="007C5A34" w:rsidP="007C5A34">
      <w:pPr>
        <w:pStyle w:val="Table"/>
        <w:rPr>
          <w:rFonts w:cs="Arial"/>
        </w:rPr>
      </w:pPr>
      <w:bookmarkStart w:id="3081" w:name="_Toc194241856"/>
      <w:r w:rsidRPr="001D5327">
        <w:t>Table 10.2.9</w:t>
      </w:r>
      <w:r w:rsidRPr="001D5327">
        <w:tab/>
        <w:t>Emissions impact of revision to agricultural statistics</w:t>
      </w:r>
      <w:bookmarkEnd w:id="3081"/>
    </w:p>
    <w:tbl>
      <w:tblPr>
        <w:tblW w:w="5000" w:type="pct"/>
        <w:tblBorders>
          <w:top w:val="single" w:sz="4" w:space="0" w:color="1B556B" w:themeColor="text2"/>
          <w:bottom w:val="single" w:sz="4" w:space="0" w:color="1B556B" w:themeColor="text2"/>
          <w:insideH w:val="single" w:sz="4" w:space="0" w:color="1B556B" w:themeColor="text2"/>
        </w:tblBorders>
        <w:tblCellMar>
          <w:left w:w="85" w:type="dxa"/>
          <w:right w:w="85" w:type="dxa"/>
        </w:tblCellMar>
        <w:tblLook w:val="04A0" w:firstRow="1" w:lastRow="0" w:firstColumn="1" w:lastColumn="0" w:noHBand="0" w:noVBand="1"/>
      </w:tblPr>
      <w:tblGrid>
        <w:gridCol w:w="993"/>
        <w:gridCol w:w="2693"/>
        <w:gridCol w:w="850"/>
        <w:gridCol w:w="851"/>
        <w:gridCol w:w="1487"/>
        <w:gridCol w:w="1631"/>
      </w:tblGrid>
      <w:tr w:rsidR="007C5A34" w:rsidRPr="001D5327" w14:paraId="2141E59D" w14:textId="77777777" w:rsidTr="00887F99">
        <w:tc>
          <w:tcPr>
            <w:tcW w:w="993" w:type="dxa"/>
            <w:shd w:val="clear" w:color="auto" w:fill="1B556B"/>
            <w:vAlign w:val="bottom"/>
            <w:hideMark/>
          </w:tcPr>
          <w:p w14:paraId="49B80A5E" w14:textId="77777777" w:rsidR="007C5A34" w:rsidRPr="001D5327" w:rsidRDefault="007C5A34" w:rsidP="00341FEF">
            <w:pPr>
              <w:pStyle w:val="TableText"/>
              <w:spacing w:before="40" w:after="40"/>
              <w:rPr>
                <w:b/>
                <w:bCs/>
                <w:color w:val="FFFFFF" w:themeColor="background1"/>
              </w:rPr>
            </w:pPr>
          </w:p>
        </w:tc>
        <w:tc>
          <w:tcPr>
            <w:tcW w:w="2693" w:type="dxa"/>
            <w:shd w:val="clear" w:color="auto" w:fill="1B556B"/>
            <w:vAlign w:val="bottom"/>
            <w:hideMark/>
          </w:tcPr>
          <w:p w14:paraId="347289AC" w14:textId="77777777" w:rsidR="007C5A34" w:rsidRPr="001D5327" w:rsidRDefault="007C5A34" w:rsidP="00341FEF">
            <w:pPr>
              <w:pStyle w:val="TableText"/>
              <w:spacing w:before="40" w:after="40"/>
              <w:rPr>
                <w:b/>
                <w:bCs/>
                <w:color w:val="FFFFFF" w:themeColor="background1"/>
              </w:rPr>
            </w:pPr>
            <w:r w:rsidRPr="001D5327">
              <w:rPr>
                <w:rFonts w:cs="Calibri"/>
                <w:color w:val="000000"/>
                <w:sz w:val="20"/>
                <w:szCs w:val="20"/>
              </w:rPr>
              <w:t> </w:t>
            </w:r>
          </w:p>
        </w:tc>
        <w:tc>
          <w:tcPr>
            <w:tcW w:w="850" w:type="dxa"/>
            <w:shd w:val="clear" w:color="auto" w:fill="1B556B"/>
            <w:vAlign w:val="bottom"/>
            <w:hideMark/>
          </w:tcPr>
          <w:p w14:paraId="291856F0"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1990</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851" w:type="dxa"/>
            <w:shd w:val="clear" w:color="auto" w:fill="1B556B"/>
            <w:vAlign w:val="bottom"/>
            <w:hideMark/>
          </w:tcPr>
          <w:p w14:paraId="25CC0BA8"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2022</w:t>
            </w:r>
            <w:r w:rsidRPr="001D5327">
              <w:rPr>
                <w:rFonts w:cs="Calibri"/>
                <w:b/>
                <w:bCs/>
                <w:color w:val="FFFFFF"/>
                <w:szCs w:val="16"/>
              </w:rPr>
              <w:br/>
              <w:t>(kt CO</w:t>
            </w:r>
            <w:r w:rsidRPr="001D5327">
              <w:rPr>
                <w:rFonts w:cs="Calibri"/>
                <w:b/>
                <w:bCs/>
                <w:color w:val="FFFFFF"/>
                <w:szCs w:val="16"/>
                <w:vertAlign w:val="subscript"/>
              </w:rPr>
              <w:t>2</w:t>
            </w:r>
            <w:r w:rsidRPr="001D5327">
              <w:rPr>
                <w:rFonts w:cs="Calibri"/>
                <w:b/>
                <w:bCs/>
                <w:color w:val="FFFFFF"/>
                <w:szCs w:val="16"/>
              </w:rPr>
              <w:t>-e)</w:t>
            </w:r>
          </w:p>
        </w:tc>
        <w:tc>
          <w:tcPr>
            <w:tcW w:w="1487" w:type="dxa"/>
            <w:shd w:val="clear" w:color="auto" w:fill="1B556B"/>
            <w:vAlign w:val="bottom"/>
            <w:hideMark/>
          </w:tcPr>
          <w:p w14:paraId="1FE7F709"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Change in emission outputs between 1990 and 2022 (kt CO</w:t>
            </w:r>
            <w:r w:rsidRPr="001D5327">
              <w:rPr>
                <w:rFonts w:cs="Calibri"/>
                <w:b/>
                <w:bCs/>
                <w:color w:val="FFFFFF"/>
                <w:szCs w:val="16"/>
                <w:vertAlign w:val="subscript"/>
              </w:rPr>
              <w:t>2</w:t>
            </w:r>
            <w:r w:rsidRPr="001D5327">
              <w:rPr>
                <w:rFonts w:cs="Calibri"/>
                <w:b/>
                <w:bCs/>
                <w:color w:val="FFFFFF"/>
                <w:szCs w:val="16"/>
              </w:rPr>
              <w:t>-e)</w:t>
            </w:r>
          </w:p>
        </w:tc>
        <w:tc>
          <w:tcPr>
            <w:tcW w:w="1631" w:type="dxa"/>
            <w:shd w:val="clear" w:color="auto" w:fill="1B556B"/>
            <w:vAlign w:val="bottom"/>
            <w:hideMark/>
          </w:tcPr>
          <w:p w14:paraId="20FCE74B" w14:textId="77777777" w:rsidR="007C5A34" w:rsidRPr="001D5327" w:rsidRDefault="007C5A34" w:rsidP="00341FEF">
            <w:pPr>
              <w:pStyle w:val="TableText"/>
              <w:spacing w:before="40" w:after="40"/>
              <w:jc w:val="right"/>
              <w:rPr>
                <w:b/>
                <w:bCs/>
                <w:color w:val="FFFFFF" w:themeColor="background1"/>
              </w:rPr>
            </w:pPr>
            <w:r w:rsidRPr="001D5327">
              <w:rPr>
                <w:rFonts w:cs="Calibri"/>
                <w:b/>
                <w:bCs/>
                <w:color w:val="FFFFFF"/>
                <w:szCs w:val="16"/>
              </w:rPr>
              <w:t>Percentage change in emission outputs between 1990 and 2022 (%)</w:t>
            </w:r>
          </w:p>
        </w:tc>
      </w:tr>
      <w:tr w:rsidR="007C5A34" w:rsidRPr="001D5327" w14:paraId="22A79C01" w14:textId="77777777" w:rsidTr="00887F99">
        <w:tc>
          <w:tcPr>
            <w:tcW w:w="993" w:type="dxa"/>
            <w:vMerge w:val="restart"/>
            <w:vAlign w:val="center"/>
            <w:hideMark/>
          </w:tcPr>
          <w:p w14:paraId="781288CE" w14:textId="77777777" w:rsidR="007C5A34" w:rsidRPr="001D5327" w:rsidRDefault="007C5A34" w:rsidP="00341FEF">
            <w:pPr>
              <w:pStyle w:val="TableText"/>
              <w:spacing w:before="40" w:after="40"/>
              <w:rPr>
                <w:color w:val="000000"/>
              </w:rPr>
            </w:pPr>
            <w:r w:rsidRPr="001D5327">
              <w:rPr>
                <w:rFonts w:cs="Calibri"/>
                <w:color w:val="000000"/>
                <w:szCs w:val="16"/>
              </w:rPr>
              <w:t xml:space="preserve">Total emissions from </w:t>
            </w:r>
            <w:r w:rsidRPr="001D5327">
              <w:rPr>
                <w:rFonts w:cs="Calibri"/>
                <w:i/>
                <w:color w:val="000000"/>
                <w:szCs w:val="16"/>
              </w:rPr>
              <w:t>Agriculture</w:t>
            </w:r>
          </w:p>
        </w:tc>
        <w:tc>
          <w:tcPr>
            <w:tcW w:w="2693" w:type="dxa"/>
            <w:vAlign w:val="center"/>
            <w:hideMark/>
          </w:tcPr>
          <w:p w14:paraId="7A173FB1" w14:textId="77777777" w:rsidR="007C5A34" w:rsidRPr="001D5327" w:rsidRDefault="007C5A34" w:rsidP="00341FEF">
            <w:pPr>
              <w:pStyle w:val="TableText"/>
              <w:spacing w:before="40" w:after="40"/>
              <w:rPr>
                <w:color w:val="000000"/>
              </w:rPr>
            </w:pPr>
            <w:r w:rsidRPr="001D5327">
              <w:rPr>
                <w:rFonts w:cs="Calibri"/>
                <w:color w:val="000000"/>
                <w:szCs w:val="16"/>
              </w:rPr>
              <w:t>2024 (1990–2022) emissions estimate</w:t>
            </w:r>
          </w:p>
        </w:tc>
        <w:tc>
          <w:tcPr>
            <w:tcW w:w="850" w:type="dxa"/>
            <w:vAlign w:val="bottom"/>
            <w:hideMark/>
          </w:tcPr>
          <w:p w14:paraId="68F3690D"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37,121.5</w:t>
            </w:r>
          </w:p>
        </w:tc>
        <w:tc>
          <w:tcPr>
            <w:tcW w:w="851" w:type="dxa"/>
            <w:vAlign w:val="bottom"/>
            <w:hideMark/>
          </w:tcPr>
          <w:p w14:paraId="5D120C62"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41,712.7</w:t>
            </w:r>
          </w:p>
        </w:tc>
        <w:tc>
          <w:tcPr>
            <w:tcW w:w="1487" w:type="dxa"/>
            <w:vAlign w:val="bottom"/>
            <w:hideMark/>
          </w:tcPr>
          <w:p w14:paraId="187204B0"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4,591.2</w:t>
            </w:r>
          </w:p>
        </w:tc>
        <w:tc>
          <w:tcPr>
            <w:tcW w:w="1631" w:type="dxa"/>
            <w:vAlign w:val="bottom"/>
            <w:hideMark/>
          </w:tcPr>
          <w:p w14:paraId="692A9BCB"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12.4</w:t>
            </w:r>
          </w:p>
        </w:tc>
      </w:tr>
      <w:tr w:rsidR="007C5A34" w:rsidRPr="001D5327" w14:paraId="40998719" w14:textId="77777777" w:rsidTr="00887F99">
        <w:tc>
          <w:tcPr>
            <w:tcW w:w="993" w:type="dxa"/>
            <w:vMerge/>
            <w:vAlign w:val="center"/>
            <w:hideMark/>
          </w:tcPr>
          <w:p w14:paraId="1318A35D" w14:textId="77777777" w:rsidR="007C5A34" w:rsidRPr="001D5327" w:rsidRDefault="007C5A34" w:rsidP="00341FEF">
            <w:pPr>
              <w:rPr>
                <w:color w:val="000000"/>
                <w:sz w:val="16"/>
              </w:rPr>
            </w:pPr>
          </w:p>
        </w:tc>
        <w:tc>
          <w:tcPr>
            <w:tcW w:w="2693" w:type="dxa"/>
            <w:vAlign w:val="center"/>
            <w:hideMark/>
          </w:tcPr>
          <w:p w14:paraId="333FE7D3" w14:textId="77777777" w:rsidR="007C5A34" w:rsidRPr="001D5327" w:rsidRDefault="007C5A34" w:rsidP="00341FEF">
            <w:pPr>
              <w:pStyle w:val="TableText"/>
              <w:spacing w:before="40" w:after="40"/>
              <w:rPr>
                <w:color w:val="000000"/>
              </w:rPr>
            </w:pPr>
            <w:r w:rsidRPr="001D5327">
              <w:rPr>
                <w:rFonts w:cs="Calibri"/>
                <w:color w:val="000000"/>
                <w:szCs w:val="16"/>
              </w:rPr>
              <w:t>2024 (1990–2022) emissions estimate with corrections and data improvements</w:t>
            </w:r>
          </w:p>
        </w:tc>
        <w:tc>
          <w:tcPr>
            <w:tcW w:w="850" w:type="dxa"/>
            <w:vAlign w:val="bottom"/>
            <w:hideMark/>
          </w:tcPr>
          <w:p w14:paraId="35AD569B"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37,121.5</w:t>
            </w:r>
          </w:p>
        </w:tc>
        <w:tc>
          <w:tcPr>
            <w:tcW w:w="851" w:type="dxa"/>
            <w:vAlign w:val="bottom"/>
            <w:hideMark/>
          </w:tcPr>
          <w:p w14:paraId="55E040B0"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41,347.5</w:t>
            </w:r>
          </w:p>
        </w:tc>
        <w:tc>
          <w:tcPr>
            <w:tcW w:w="1487" w:type="dxa"/>
            <w:vAlign w:val="bottom"/>
            <w:hideMark/>
          </w:tcPr>
          <w:p w14:paraId="171E8B9D"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4,226.0</w:t>
            </w:r>
          </w:p>
        </w:tc>
        <w:tc>
          <w:tcPr>
            <w:tcW w:w="1631" w:type="dxa"/>
            <w:vAlign w:val="bottom"/>
            <w:hideMark/>
          </w:tcPr>
          <w:p w14:paraId="09DEBA30"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11.4</w:t>
            </w:r>
          </w:p>
        </w:tc>
      </w:tr>
      <w:tr w:rsidR="007C5A34" w:rsidRPr="001D5327" w14:paraId="4678CBBC" w14:textId="77777777" w:rsidTr="00887F99">
        <w:tc>
          <w:tcPr>
            <w:tcW w:w="993" w:type="dxa"/>
            <w:vMerge/>
            <w:vAlign w:val="center"/>
            <w:hideMark/>
          </w:tcPr>
          <w:p w14:paraId="5CE0A4BE" w14:textId="77777777" w:rsidR="007C5A34" w:rsidRPr="001D5327" w:rsidRDefault="007C5A34" w:rsidP="00341FEF">
            <w:pPr>
              <w:rPr>
                <w:color w:val="000000"/>
                <w:sz w:val="16"/>
              </w:rPr>
            </w:pPr>
          </w:p>
        </w:tc>
        <w:tc>
          <w:tcPr>
            <w:tcW w:w="2693" w:type="dxa"/>
            <w:vAlign w:val="center"/>
            <w:hideMark/>
          </w:tcPr>
          <w:p w14:paraId="311D04FC" w14:textId="77777777" w:rsidR="007C5A34" w:rsidRPr="001D5327" w:rsidRDefault="007C5A34" w:rsidP="00341FEF">
            <w:pPr>
              <w:pStyle w:val="TableText"/>
              <w:spacing w:before="40" w:after="40"/>
              <w:rPr>
                <w:color w:val="000000"/>
              </w:rPr>
            </w:pPr>
            <w:r w:rsidRPr="001D5327">
              <w:rPr>
                <w:rFonts w:cs="Calibri"/>
                <w:color w:val="000000"/>
                <w:szCs w:val="16"/>
              </w:rPr>
              <w:t>Difference in emissions estimates</w:t>
            </w:r>
          </w:p>
        </w:tc>
        <w:tc>
          <w:tcPr>
            <w:tcW w:w="850" w:type="dxa"/>
            <w:vAlign w:val="center"/>
            <w:hideMark/>
          </w:tcPr>
          <w:p w14:paraId="415509F8"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0</w:t>
            </w:r>
          </w:p>
        </w:tc>
        <w:tc>
          <w:tcPr>
            <w:tcW w:w="851" w:type="dxa"/>
            <w:vAlign w:val="center"/>
            <w:hideMark/>
          </w:tcPr>
          <w:p w14:paraId="766C4170" w14:textId="1433D8E8" w:rsidR="007C5A34" w:rsidRPr="001D5327" w:rsidRDefault="0070503C" w:rsidP="00341FEF">
            <w:pPr>
              <w:pStyle w:val="TableText"/>
              <w:spacing w:before="40" w:after="40"/>
              <w:jc w:val="right"/>
              <w:rPr>
                <w:color w:val="000000"/>
                <w:highlight w:val="yellow"/>
              </w:rPr>
            </w:pPr>
            <w:r>
              <w:rPr>
                <w:rFonts w:cs="Calibri"/>
                <w:color w:val="000000"/>
                <w:szCs w:val="16"/>
              </w:rPr>
              <w:t>-</w:t>
            </w:r>
            <w:r w:rsidR="007C5A34" w:rsidRPr="001D5327">
              <w:rPr>
                <w:rFonts w:cs="Calibri"/>
                <w:color w:val="000000"/>
                <w:szCs w:val="16"/>
              </w:rPr>
              <w:t>365.2</w:t>
            </w:r>
          </w:p>
        </w:tc>
        <w:tc>
          <w:tcPr>
            <w:tcW w:w="1487" w:type="dxa"/>
            <w:vAlign w:val="center"/>
            <w:hideMark/>
          </w:tcPr>
          <w:p w14:paraId="3217576E" w14:textId="77777777" w:rsidR="007C5A34" w:rsidRPr="001D5327" w:rsidRDefault="007C5A34" w:rsidP="00341FEF">
            <w:pPr>
              <w:pStyle w:val="TableText"/>
              <w:spacing w:before="40" w:after="40"/>
              <w:jc w:val="right"/>
              <w:rPr>
                <w:color w:val="000000"/>
                <w:highlight w:val="yellow"/>
              </w:rPr>
            </w:pPr>
            <w:r w:rsidRPr="001D5327">
              <w:rPr>
                <w:rFonts w:cs="Calibri"/>
                <w:color w:val="000000"/>
                <w:szCs w:val="16"/>
              </w:rPr>
              <w:t> </w:t>
            </w:r>
          </w:p>
        </w:tc>
        <w:tc>
          <w:tcPr>
            <w:tcW w:w="1631" w:type="dxa"/>
            <w:vAlign w:val="center"/>
            <w:hideMark/>
          </w:tcPr>
          <w:p w14:paraId="4481E69C" w14:textId="77777777" w:rsidR="007C5A34" w:rsidRPr="001D5327" w:rsidRDefault="007C5A34" w:rsidP="00341FEF">
            <w:pPr>
              <w:pStyle w:val="TableText"/>
              <w:spacing w:before="40" w:after="40"/>
              <w:ind w:left="397"/>
              <w:jc w:val="right"/>
              <w:rPr>
                <w:color w:val="000000"/>
              </w:rPr>
            </w:pPr>
            <w:r w:rsidRPr="001D5327">
              <w:rPr>
                <w:rFonts w:cs="Calibri"/>
                <w:color w:val="000000"/>
                <w:szCs w:val="16"/>
              </w:rPr>
              <w:t> </w:t>
            </w:r>
          </w:p>
        </w:tc>
      </w:tr>
    </w:tbl>
    <w:p w14:paraId="232CB5B4" w14:textId="77777777" w:rsidR="007C5A34" w:rsidRPr="001D5327" w:rsidRDefault="007C5A34" w:rsidP="007C5A34">
      <w:pPr>
        <w:pStyle w:val="Heading3"/>
        <w:spacing w:before="400"/>
      </w:pPr>
      <w:bookmarkStart w:id="3082" w:name="land-use-land-use-change-and-forestry"/>
      <w:bookmarkEnd w:id="3063"/>
      <w:r w:rsidRPr="001D5327">
        <w:t xml:space="preserve">10.2.6 </w:t>
      </w:r>
      <w:r w:rsidRPr="001D5327">
        <w:tab/>
        <w:t>Land use, land-use change and forestry</w:t>
      </w:r>
    </w:p>
    <w:p w14:paraId="05437C08" w14:textId="77777777" w:rsidR="007C5A34" w:rsidRPr="001D5327" w:rsidRDefault="007C5A34" w:rsidP="007C5A34">
      <w:pPr>
        <w:pStyle w:val="BodyText"/>
      </w:pPr>
      <w:r w:rsidRPr="001D5327">
        <w:t>No methodological improvements were applied in the LULUCF sector for this submission. However, improvements were made to emissions estimates, as a result of updates to activity data arising from regular mapping improvements.</w:t>
      </w:r>
    </w:p>
    <w:p w14:paraId="08F9F6E2" w14:textId="77777777" w:rsidR="007C5A34" w:rsidRPr="001D5327" w:rsidRDefault="007C5A34" w:rsidP="007C5A34">
      <w:pPr>
        <w:pStyle w:val="BodyText"/>
      </w:pPr>
      <w:r w:rsidRPr="001D5327">
        <w:t>Improvements made to the LULUCF sector have resulted in an increase of 0.04 per cent (9.4 kt CO</w:t>
      </w:r>
      <w:r w:rsidRPr="001D5327">
        <w:rPr>
          <w:vertAlign w:val="subscript"/>
        </w:rPr>
        <w:t>2</w:t>
      </w:r>
      <w:r w:rsidRPr="001D5327">
        <w:t>-e) in estimated net LULUCF removals in 1990 and an increase of 0.7 per cent (133.9 kt CO</w:t>
      </w:r>
      <w:r w:rsidRPr="001D5327">
        <w:rPr>
          <w:vertAlign w:val="subscript"/>
        </w:rPr>
        <w:t>2</w:t>
      </w:r>
      <w:r w:rsidRPr="001D5327">
        <w:t>-e) in estimated net LULUCF removals in 2022 (figure 10.2.6).</w:t>
      </w:r>
    </w:p>
    <w:p w14:paraId="7880E383" w14:textId="77777777" w:rsidR="007C5A34" w:rsidRPr="001D5327" w:rsidRDefault="007C5A34" w:rsidP="001F2BA9">
      <w:pPr>
        <w:pStyle w:val="Figure"/>
        <w:spacing w:after="80"/>
      </w:pPr>
      <w:bookmarkStart w:id="3083" w:name="_Toc194674897"/>
      <w:r w:rsidRPr="001D5327">
        <w:rPr>
          <w:bCs/>
        </w:rPr>
        <w:lastRenderedPageBreak/>
        <w:t xml:space="preserve">Figure 10.2.6 </w:t>
      </w:r>
      <w:r w:rsidRPr="001D5327">
        <w:rPr>
          <w:bCs/>
        </w:rPr>
        <w:tab/>
        <w:t>Effect of improvements on net emissions estimates from New Zealand’s LULUCF sector, from 1990 to 2022</w:t>
      </w:r>
      <w:bookmarkEnd w:id="3083"/>
    </w:p>
    <w:p w14:paraId="03A50743" w14:textId="77777777" w:rsidR="007C5A34" w:rsidRPr="001D5327" w:rsidRDefault="007C5A34" w:rsidP="00887F99">
      <w:pPr>
        <w:pStyle w:val="BodyText"/>
        <w:spacing w:after="80"/>
        <w:jc w:val="center"/>
      </w:pPr>
      <w:r w:rsidRPr="001D5327">
        <w:rPr>
          <w:noProof/>
        </w:rPr>
        <w:drawing>
          <wp:inline distT="0" distB="0" distL="0" distR="0" wp14:anchorId="69492ECE" wp14:editId="3E6D60AA">
            <wp:extent cx="4866005" cy="3512917"/>
            <wp:effectExtent l="0" t="0" r="0" b="0"/>
            <wp:docPr id="1914154318" name="Picture" descr="A graph with green lines&#10;&#10;Description automatically generated"/>
            <wp:cNvGraphicFramePr/>
            <a:graphic xmlns:a="http://schemas.openxmlformats.org/drawingml/2006/main">
              <a:graphicData uri="http://schemas.openxmlformats.org/drawingml/2006/picture">
                <pic:pic xmlns:pic="http://schemas.openxmlformats.org/drawingml/2006/picture">
                  <pic:nvPicPr>
                    <pic:cNvPr id="1914154318" name="Picture" descr="A graph with green lines&#10;&#10;Description automatically generated"/>
                    <pic:cNvPicPr>
                      <a:picLocks noChangeAspect="1" noChangeArrowheads="1"/>
                    </pic:cNvPicPr>
                  </pic:nvPicPr>
                  <pic:blipFill rotWithShape="1">
                    <a:blip r:embed="rId263"/>
                    <a:srcRect b="2642"/>
                    <a:stretch/>
                  </pic:blipFill>
                  <pic:spPr bwMode="auto">
                    <a:xfrm>
                      <a:off x="0" y="0"/>
                      <a:ext cx="4891106" cy="3531039"/>
                    </a:xfrm>
                    <a:prstGeom prst="rect">
                      <a:avLst/>
                    </a:prstGeom>
                    <a:noFill/>
                    <a:ln>
                      <a:noFill/>
                    </a:ln>
                    <a:extLst>
                      <a:ext uri="{53640926-AAD7-44D8-BBD7-CCE9431645EC}">
                        <a14:shadowObscured xmlns:a14="http://schemas.microsoft.com/office/drawing/2010/main"/>
                      </a:ext>
                    </a:extLst>
                  </pic:spPr>
                </pic:pic>
              </a:graphicData>
            </a:graphic>
          </wp:inline>
        </w:drawing>
      </w:r>
    </w:p>
    <w:p w14:paraId="6D1453C1" w14:textId="77777777" w:rsidR="007C5A34" w:rsidRPr="001D5327" w:rsidRDefault="007C5A34" w:rsidP="00AD44C8">
      <w:pPr>
        <w:pStyle w:val="Noteundertable"/>
        <w:spacing w:before="60"/>
      </w:pPr>
      <w:r w:rsidRPr="001D5327">
        <w:rPr>
          <w:b/>
          <w:bCs/>
        </w:rPr>
        <w:t>Note:</w:t>
      </w:r>
      <w:r w:rsidRPr="001D5327">
        <w:t xml:space="preserve"> Net emissions are expressed as a negative value to clarify that the value is a removal and not an emission.</w:t>
      </w:r>
    </w:p>
    <w:p w14:paraId="3FDDF8B7" w14:textId="77777777" w:rsidR="007C5A34" w:rsidRPr="001D5327" w:rsidRDefault="007C5A34" w:rsidP="003B34D0">
      <w:pPr>
        <w:pStyle w:val="Heading3"/>
        <w:tabs>
          <w:tab w:val="clear" w:pos="851"/>
          <w:tab w:val="left" w:pos="993"/>
        </w:tabs>
        <w:spacing w:before="120"/>
      </w:pPr>
      <w:bookmarkStart w:id="3084" w:name="waste"/>
      <w:bookmarkEnd w:id="3082"/>
      <w:r w:rsidRPr="001D5327">
        <w:t xml:space="preserve">10.2.7 </w:t>
      </w:r>
      <w:r w:rsidRPr="001D5327">
        <w:tab/>
        <w:t>Waste</w:t>
      </w:r>
    </w:p>
    <w:p w14:paraId="419B6A02" w14:textId="77777777" w:rsidR="007C5A34" w:rsidRPr="001D5327" w:rsidRDefault="007C5A34" w:rsidP="00AD44C8">
      <w:pPr>
        <w:pStyle w:val="BodyText"/>
        <w:spacing w:before="80" w:after="100"/>
        <w:rPr>
          <w:rFonts w:eastAsiaTheme="minorHAnsi" w:cstheme="majorHAnsi"/>
          <w:szCs w:val="24"/>
          <w:lang w:eastAsia="en-US"/>
        </w:rPr>
      </w:pPr>
      <w:r w:rsidRPr="001D5327">
        <w:rPr>
          <w:rFonts w:eastAsiaTheme="minorHAnsi" w:cstheme="majorHAnsi"/>
          <w:szCs w:val="24"/>
          <w:lang w:eastAsia="en-US"/>
        </w:rPr>
        <w:t>Improvements and recalculations made to estimates in the Waste sector have resulted in a 24.8 per cent (1,079.2 kt CO</w:t>
      </w:r>
      <w:r w:rsidRPr="001D5327">
        <w:rPr>
          <w:rFonts w:eastAsiaTheme="minorHAnsi" w:cstheme="majorHAnsi"/>
          <w:szCs w:val="24"/>
          <w:vertAlign w:val="subscript"/>
          <w:lang w:eastAsia="en-US"/>
        </w:rPr>
        <w:t>2</w:t>
      </w:r>
      <w:r w:rsidRPr="001D5327">
        <w:rPr>
          <w:rFonts w:eastAsiaTheme="minorHAnsi" w:cstheme="majorHAnsi"/>
          <w:szCs w:val="24"/>
          <w:lang w:eastAsia="en-US"/>
        </w:rPr>
        <w:t>-e) decrease in emissions in 1990 and a 15.9 per cent (555.6 kt CO</w:t>
      </w:r>
      <w:r w:rsidRPr="001D5327">
        <w:rPr>
          <w:rFonts w:eastAsiaTheme="minorHAnsi" w:cstheme="majorHAnsi"/>
          <w:szCs w:val="24"/>
          <w:vertAlign w:val="subscript"/>
          <w:lang w:eastAsia="en-US"/>
        </w:rPr>
        <w:t>2</w:t>
      </w:r>
      <w:r w:rsidRPr="001D5327">
        <w:rPr>
          <w:rFonts w:eastAsiaTheme="minorHAnsi" w:cstheme="majorHAnsi"/>
          <w:szCs w:val="24"/>
          <w:lang w:eastAsia="en-US"/>
        </w:rPr>
        <w:t xml:space="preserve">-e) decrease in emissions in 2022 </w:t>
      </w:r>
      <w:r w:rsidRPr="001D5327">
        <w:t>(figure 10.2.7)</w:t>
      </w:r>
      <w:r w:rsidRPr="001D5327">
        <w:rPr>
          <w:rFonts w:eastAsiaTheme="minorHAnsi" w:cstheme="majorHAnsi"/>
          <w:szCs w:val="24"/>
          <w:lang w:eastAsia="en-US"/>
        </w:rPr>
        <w:t>. </w:t>
      </w:r>
    </w:p>
    <w:p w14:paraId="023EAD4A" w14:textId="77777777" w:rsidR="007C5A34" w:rsidRPr="001D5327" w:rsidRDefault="007C5A34" w:rsidP="00887F99">
      <w:pPr>
        <w:pStyle w:val="BodyText"/>
        <w:spacing w:after="100"/>
        <w:rPr>
          <w:rFonts w:eastAsiaTheme="minorHAnsi" w:cstheme="majorHAnsi"/>
          <w:szCs w:val="24"/>
          <w:lang w:eastAsia="en-US"/>
        </w:rPr>
      </w:pPr>
      <w:r w:rsidRPr="001D5327">
        <w:rPr>
          <w:rFonts w:eastAsiaTheme="minorHAnsi" w:cstheme="majorHAnsi"/>
          <w:szCs w:val="24"/>
          <w:lang w:eastAsia="en-US"/>
        </w:rPr>
        <w:t>For the 2025 submission, three source categories have undergone significant updates. </w:t>
      </w:r>
    </w:p>
    <w:p w14:paraId="398AAC33" w14:textId="5967C1A4" w:rsidR="007C5A34" w:rsidRPr="001D5327" w:rsidRDefault="007C5A34" w:rsidP="00887F99">
      <w:pPr>
        <w:pStyle w:val="Bullet"/>
        <w:spacing w:after="100"/>
        <w:rPr>
          <w:rFonts w:eastAsiaTheme="minorHAnsi"/>
          <w:lang w:eastAsia="en-US"/>
        </w:rPr>
      </w:pPr>
      <w:r w:rsidRPr="001D5327">
        <w:rPr>
          <w:rFonts w:eastAsiaTheme="minorHAnsi"/>
          <w:i/>
          <w:lang w:eastAsia="en-US"/>
        </w:rPr>
        <w:t>Managed waste disposal sites</w:t>
      </w:r>
      <w:r w:rsidRPr="001D5327">
        <w:rPr>
          <w:rFonts w:eastAsiaTheme="minorHAnsi"/>
          <w:lang w:eastAsia="en-US"/>
        </w:rPr>
        <w:t xml:space="preserve"> (5.A.1): Updates have been made to emission factors and parameters, incorporating revised data on waste composition, the fraction of methane in landfill gas, methane generation rates and landfill gas recovery rates. These updates have been included in the Waste sector estimates to address three outstanding expert review recommendations (UNFCCC, 2023). </w:t>
      </w:r>
    </w:p>
    <w:p w14:paraId="17FD02D7" w14:textId="1F0E3135" w:rsidR="007C5A34" w:rsidRPr="001D5327" w:rsidRDefault="007C5A34" w:rsidP="00887F99">
      <w:pPr>
        <w:pStyle w:val="Bullet"/>
        <w:spacing w:after="100"/>
        <w:rPr>
          <w:rFonts w:eastAsiaTheme="minorHAnsi"/>
          <w:spacing w:val="-2"/>
          <w:lang w:eastAsia="en-US"/>
        </w:rPr>
      </w:pPr>
      <w:r w:rsidRPr="001D5327">
        <w:rPr>
          <w:rFonts w:eastAsiaTheme="minorHAnsi"/>
          <w:i/>
          <w:spacing w:val="-2"/>
          <w:lang w:eastAsia="en-US"/>
        </w:rPr>
        <w:t xml:space="preserve">Unmanaged waste disposal sites </w:t>
      </w:r>
      <w:r w:rsidRPr="001D5327">
        <w:rPr>
          <w:rFonts w:eastAsiaTheme="minorHAnsi"/>
          <w:spacing w:val="-2"/>
          <w:lang w:eastAsia="en-US"/>
        </w:rPr>
        <w:t>(5.A.2): Newly available activity and composition data, along</w:t>
      </w:r>
      <w:r w:rsidR="003B34D0">
        <w:rPr>
          <w:rFonts w:eastAsiaTheme="minorHAnsi"/>
          <w:spacing w:val="-2"/>
          <w:lang w:eastAsia="en-US"/>
        </w:rPr>
        <w:t xml:space="preserve"> </w:t>
      </w:r>
      <w:r w:rsidRPr="001D5327">
        <w:rPr>
          <w:rFonts w:eastAsiaTheme="minorHAnsi"/>
          <w:spacing w:val="-2"/>
          <w:lang w:eastAsia="en-US"/>
        </w:rPr>
        <w:t>with methodological improvements, have been incorporated into this category. Since 2022, non-municipal landfills have been required to monitor and report the waste they accept as part of the waste levy requirements under the Waste Minimisation Act 2008. Methodological adjustments were implemented to correct overestimations in previous submissions and to align with domestic landfill classifications for non-municipal landfills.</w:t>
      </w:r>
    </w:p>
    <w:p w14:paraId="6062A235" w14:textId="735460F9" w:rsidR="007C5A34" w:rsidRPr="001D5327" w:rsidRDefault="007C5A34" w:rsidP="00887F99">
      <w:pPr>
        <w:pStyle w:val="Bullet"/>
        <w:spacing w:after="100"/>
        <w:rPr>
          <w:rFonts w:eastAsiaTheme="minorEastAsia"/>
          <w:lang w:eastAsia="en-US"/>
        </w:rPr>
      </w:pPr>
      <w:r w:rsidRPr="001D5327">
        <w:rPr>
          <w:rFonts w:eastAsiaTheme="minorEastAsia"/>
          <w:i/>
          <w:lang w:eastAsia="en-US"/>
        </w:rPr>
        <w:t>Anaerobic digestion</w:t>
      </w:r>
      <w:r w:rsidR="00251A91" w:rsidRPr="00251A91">
        <w:t xml:space="preserve"> </w:t>
      </w:r>
      <w:r w:rsidR="00251A91" w:rsidRPr="00251A91">
        <w:rPr>
          <w:rFonts w:eastAsiaTheme="minorEastAsia"/>
          <w:i/>
          <w:lang w:eastAsia="en-US"/>
        </w:rPr>
        <w:t>at biogas facilities</w:t>
      </w:r>
      <w:r w:rsidRPr="001D5327">
        <w:rPr>
          <w:rFonts w:eastAsiaTheme="minorEastAsia"/>
          <w:i/>
          <w:lang w:eastAsia="en-US"/>
        </w:rPr>
        <w:t xml:space="preserve"> </w:t>
      </w:r>
      <w:r w:rsidRPr="001D5327">
        <w:rPr>
          <w:rFonts w:eastAsiaTheme="minorEastAsia"/>
          <w:lang w:eastAsia="en-US"/>
        </w:rPr>
        <w:t xml:space="preserve">(5.B.2): For the first time, activity data and methodologies for the </w:t>
      </w:r>
      <w:r w:rsidRPr="001D5327">
        <w:rPr>
          <w:rFonts w:eastAsiaTheme="minorEastAsia"/>
          <w:i/>
          <w:lang w:eastAsia="en-US"/>
        </w:rPr>
        <w:t>Anaerobic digestion</w:t>
      </w:r>
      <w:r w:rsidRPr="001D5327">
        <w:rPr>
          <w:rFonts w:eastAsiaTheme="minorEastAsia"/>
          <w:lang w:eastAsia="en-US"/>
        </w:rPr>
        <w:t xml:space="preserve"> </w:t>
      </w:r>
      <w:r w:rsidR="00C1112E" w:rsidRPr="00251A91">
        <w:rPr>
          <w:rFonts w:eastAsiaTheme="minorEastAsia"/>
          <w:i/>
          <w:lang w:eastAsia="en-US"/>
        </w:rPr>
        <w:t>at biogas facilities</w:t>
      </w:r>
      <w:r w:rsidR="00C1112E" w:rsidRPr="001D5327">
        <w:rPr>
          <w:rFonts w:eastAsiaTheme="minorEastAsia"/>
          <w:lang w:eastAsia="en-US"/>
        </w:rPr>
        <w:t xml:space="preserve"> </w:t>
      </w:r>
      <w:r w:rsidRPr="001D5327">
        <w:rPr>
          <w:rFonts w:eastAsiaTheme="minorEastAsia"/>
          <w:lang w:eastAsia="en-US"/>
        </w:rPr>
        <w:t>category are included in this submission. These updates account for the commissioning of New Zealand’s first large-scale food waste-to-bioenergy anaerobic digestion plant, which began operating in October 2022.</w:t>
      </w:r>
      <w:r w:rsidRPr="001D5327">
        <w:rPr>
          <w:rStyle w:val="FootnoteReference"/>
          <w:rFonts w:eastAsiaTheme="minorEastAsia" w:cstheme="majorBidi"/>
          <w:lang w:eastAsia="en-US"/>
        </w:rPr>
        <w:footnoteReference w:id="65"/>
      </w:r>
      <w:r w:rsidRPr="001D5327">
        <w:rPr>
          <w:rFonts w:eastAsiaTheme="minorEastAsia"/>
          <w:lang w:eastAsia="en-US"/>
        </w:rPr>
        <w:t xml:space="preserve"> The facility is projected to process approximately 75,000 tonnes of food scraps annually. </w:t>
      </w:r>
    </w:p>
    <w:p w14:paraId="42F5BC9F" w14:textId="77777777" w:rsidR="007C5A34" w:rsidRPr="001D5327" w:rsidRDefault="007C5A34" w:rsidP="007C5A34">
      <w:pPr>
        <w:pStyle w:val="Figure"/>
      </w:pPr>
      <w:bookmarkStart w:id="3085" w:name="_Toc194674898"/>
      <w:r w:rsidRPr="001D5327">
        <w:rPr>
          <w:bCs/>
        </w:rPr>
        <w:lastRenderedPageBreak/>
        <w:t xml:space="preserve">Figure 10.2.7 </w:t>
      </w:r>
      <w:r w:rsidRPr="001D5327">
        <w:rPr>
          <w:bCs/>
        </w:rPr>
        <w:tab/>
        <w:t>Effect of recalculations on emissions estimates from New Zealand’s Waste sector, from 1990 to 2022</w:t>
      </w:r>
      <w:bookmarkEnd w:id="3085"/>
    </w:p>
    <w:p w14:paraId="6851F2C8" w14:textId="77777777" w:rsidR="007C5A34" w:rsidRPr="001D5327" w:rsidRDefault="007C5A34" w:rsidP="007C5A34">
      <w:pPr>
        <w:pStyle w:val="BodyText"/>
      </w:pPr>
      <w:r w:rsidRPr="001D5327">
        <w:rPr>
          <w:noProof/>
        </w:rPr>
        <w:drawing>
          <wp:inline distT="0" distB="0" distL="0" distR="0" wp14:anchorId="7B9E2AB0" wp14:editId="5B083024">
            <wp:extent cx="5328138" cy="4018085"/>
            <wp:effectExtent l="0" t="0" r="6350" b="1905"/>
            <wp:docPr id="1999848894" name="Picture" descr="A graph of a number of peopl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999848894" name="Picture" descr="A graph of a number of people&#10;&#10;Description automatically generated with medium confidence"/>
                    <pic:cNvPicPr>
                      <a:picLocks noChangeAspect="1" noChangeArrowheads="1"/>
                    </pic:cNvPicPr>
                  </pic:nvPicPr>
                  <pic:blipFill rotWithShape="1">
                    <a:blip r:embed="rId264"/>
                    <a:srcRect b="2070"/>
                    <a:stretch/>
                  </pic:blipFill>
                  <pic:spPr bwMode="auto">
                    <a:xfrm>
                      <a:off x="0" y="0"/>
                      <a:ext cx="5356416" cy="4039410"/>
                    </a:xfrm>
                    <a:prstGeom prst="rect">
                      <a:avLst/>
                    </a:prstGeom>
                    <a:noFill/>
                    <a:ln>
                      <a:noFill/>
                    </a:ln>
                    <a:extLst>
                      <a:ext uri="{53640926-AAD7-44D8-BBD7-CCE9431645EC}">
                        <a14:shadowObscured xmlns:a14="http://schemas.microsoft.com/office/drawing/2010/main"/>
                      </a:ext>
                    </a:extLst>
                  </pic:spPr>
                </pic:pic>
              </a:graphicData>
            </a:graphic>
          </wp:inline>
        </w:drawing>
      </w:r>
    </w:p>
    <w:p w14:paraId="2ADBC663" w14:textId="77777777" w:rsidR="007C5A34" w:rsidRPr="001D5327" w:rsidRDefault="007C5A34" w:rsidP="007C5A34">
      <w:pPr>
        <w:pStyle w:val="Heading3"/>
        <w:tabs>
          <w:tab w:val="left" w:pos="993"/>
        </w:tabs>
        <w:spacing w:before="240"/>
      </w:pPr>
      <w:bookmarkStart w:id="3086" w:name="other-sector-tokelau"/>
      <w:bookmarkEnd w:id="3084"/>
      <w:r w:rsidRPr="001D5327">
        <w:t xml:space="preserve">10.2.8 </w:t>
      </w:r>
      <w:r w:rsidRPr="001D5327">
        <w:tab/>
        <w:t>Other sector (Tokelau)</w:t>
      </w:r>
    </w:p>
    <w:p w14:paraId="4C5694BD" w14:textId="77777777" w:rsidR="007C5A34" w:rsidRPr="001D5327" w:rsidRDefault="007C5A34" w:rsidP="007C5A34">
      <w:pPr>
        <w:pStyle w:val="BodyText"/>
      </w:pPr>
      <w:r w:rsidRPr="001D5327">
        <w:t>One minor recalculation has been made in the Tokelau emission estimates since the 2024 submission. Improvements made to estimates in Tokelau have resulted in a decrease of 0.03 per cent (0.001 kt CO</w:t>
      </w:r>
      <w:r w:rsidRPr="001D5327">
        <w:rPr>
          <w:vertAlign w:val="subscript"/>
        </w:rPr>
        <w:t>2</w:t>
      </w:r>
      <w:r w:rsidRPr="001D5327">
        <w:t>-e) in estimated Tokelau emissions in 1990 and an increase of 0.1 per cent (0.004 kt CO</w:t>
      </w:r>
      <w:r w:rsidRPr="001D5327">
        <w:rPr>
          <w:vertAlign w:val="subscript"/>
        </w:rPr>
        <w:t>2</w:t>
      </w:r>
      <w:r w:rsidRPr="001D5327">
        <w:t>-e) in estimated Tokelau emissions in 2022 (figure 10.2.8). This change is due to updates in New Zealand’s medical emissions data, which are assumed to be the same per capita in Tokelau.</w:t>
      </w:r>
    </w:p>
    <w:p w14:paraId="3094E928" w14:textId="77777777" w:rsidR="007C5A34" w:rsidRPr="001D5327" w:rsidRDefault="007C5A34" w:rsidP="007C5A34">
      <w:pPr>
        <w:pStyle w:val="Figure"/>
      </w:pPr>
      <w:bookmarkStart w:id="3087" w:name="_Toc194674899"/>
      <w:r w:rsidRPr="001D5327">
        <w:rPr>
          <w:bCs/>
        </w:rPr>
        <w:lastRenderedPageBreak/>
        <w:t xml:space="preserve">Figure 10.2.8 </w:t>
      </w:r>
      <w:r w:rsidRPr="001D5327">
        <w:rPr>
          <w:bCs/>
        </w:rPr>
        <w:tab/>
        <w:t>Effect of recalculations on emissions estimates from the Tokelau sector, from 1990 to 2022</w:t>
      </w:r>
      <w:bookmarkEnd w:id="3087"/>
    </w:p>
    <w:p w14:paraId="5BC17CD8" w14:textId="77777777" w:rsidR="007C5A34" w:rsidRPr="001D5327" w:rsidRDefault="007C5A34" w:rsidP="007C5A34">
      <w:pPr>
        <w:pStyle w:val="BodyText"/>
      </w:pPr>
      <w:r w:rsidRPr="001D5327">
        <w:rPr>
          <w:noProof/>
        </w:rPr>
        <w:drawing>
          <wp:inline distT="0" distB="0" distL="0" distR="0" wp14:anchorId="79CE5C76" wp14:editId="7CBE14EC">
            <wp:extent cx="5397500" cy="3946967"/>
            <wp:effectExtent l="0" t="0" r="0" b="0"/>
            <wp:docPr id="1505788697" name="Picture" descr="A line graph with numbers and a line&#10;&#10;Description automatically generated"/>
            <wp:cNvGraphicFramePr/>
            <a:graphic xmlns:a="http://schemas.openxmlformats.org/drawingml/2006/main">
              <a:graphicData uri="http://schemas.openxmlformats.org/drawingml/2006/picture">
                <pic:pic xmlns:pic="http://schemas.openxmlformats.org/drawingml/2006/picture">
                  <pic:nvPicPr>
                    <pic:cNvPr id="1505788697" name="Picture" descr="A line graph with numbers and a line&#10;&#10;Description automatically generated"/>
                    <pic:cNvPicPr>
                      <a:picLocks noChangeAspect="1" noChangeArrowheads="1"/>
                    </pic:cNvPicPr>
                  </pic:nvPicPr>
                  <pic:blipFill rotWithShape="1">
                    <a:blip r:embed="rId265"/>
                    <a:srcRect b="2498"/>
                    <a:stretch/>
                  </pic:blipFill>
                  <pic:spPr bwMode="auto">
                    <a:xfrm>
                      <a:off x="0" y="0"/>
                      <a:ext cx="5397500" cy="3946967"/>
                    </a:xfrm>
                    <a:prstGeom prst="rect">
                      <a:avLst/>
                    </a:prstGeom>
                    <a:noFill/>
                    <a:ln>
                      <a:noFill/>
                    </a:ln>
                    <a:extLst>
                      <a:ext uri="{53640926-AAD7-44D8-BBD7-CCE9431645EC}">
                        <a14:shadowObscured xmlns:a14="http://schemas.microsoft.com/office/drawing/2010/main"/>
                      </a:ext>
                    </a:extLst>
                  </pic:spPr>
                </pic:pic>
              </a:graphicData>
            </a:graphic>
          </wp:inline>
        </w:drawing>
      </w:r>
    </w:p>
    <w:p w14:paraId="28DF5817" w14:textId="77777777" w:rsidR="007C5A34" w:rsidRPr="001D5327" w:rsidRDefault="007C5A34" w:rsidP="007C5A34">
      <w:pPr>
        <w:pStyle w:val="Noteundertable"/>
      </w:pPr>
      <w:r w:rsidRPr="001D5327">
        <w:rPr>
          <w:b/>
          <w:bCs/>
        </w:rPr>
        <w:t>Note</w:t>
      </w:r>
      <w:r w:rsidRPr="001D5327">
        <w:t>: Due to the small size of the recalculation, the 2025 submission line is obscured by the 2024 submission line.</w:t>
      </w:r>
    </w:p>
    <w:p w14:paraId="1B433A3B" w14:textId="77777777" w:rsidR="007C5A34" w:rsidRPr="001D5327" w:rsidRDefault="007C5A34" w:rsidP="007C5A34"/>
    <w:p w14:paraId="7D1DB508" w14:textId="77777777" w:rsidR="007C5A34" w:rsidRPr="001D5327" w:rsidRDefault="007C5A34" w:rsidP="007C5A34">
      <w:pPr>
        <w:pStyle w:val="Heading2"/>
        <w:sectPr w:rsidR="007C5A34" w:rsidRPr="001D5327" w:rsidSect="00475A8C">
          <w:footerReference w:type="even" r:id="rId266"/>
          <w:footerReference w:type="default" r:id="rId267"/>
          <w:pgSz w:w="11907" w:h="16840" w:code="9"/>
          <w:pgMar w:top="1418" w:right="1701" w:bottom="1418" w:left="1701" w:header="567" w:footer="567" w:gutter="0"/>
          <w:cols w:space="720"/>
        </w:sectPr>
      </w:pPr>
      <w:bookmarkStart w:id="3088" w:name="X309346948cb6f978523654f29d6d786d442b3b0"/>
      <w:bookmarkEnd w:id="3051"/>
      <w:bookmarkEnd w:id="3086"/>
    </w:p>
    <w:p w14:paraId="77B6FEAC" w14:textId="77777777" w:rsidR="007C5A34" w:rsidRPr="001D5327" w:rsidRDefault="007C5A34" w:rsidP="00293F6E">
      <w:pPr>
        <w:pStyle w:val="Heading2"/>
        <w:tabs>
          <w:tab w:val="clear" w:pos="851"/>
          <w:tab w:val="left" w:pos="993"/>
        </w:tabs>
        <w:spacing w:before="0"/>
      </w:pPr>
      <w:bookmarkStart w:id="3089" w:name="_Toc194312067"/>
      <w:r w:rsidRPr="001D5327">
        <w:lastRenderedPageBreak/>
        <w:t xml:space="preserve">10.3 </w:t>
      </w:r>
      <w:r w:rsidRPr="001D5327">
        <w:tab/>
        <w:t>Areas of improvement and/or capacity building in response to the review process</w:t>
      </w:r>
      <w:bookmarkEnd w:id="3089"/>
    </w:p>
    <w:p w14:paraId="4254F59C" w14:textId="77777777" w:rsidR="007C5A34" w:rsidRPr="001D5327" w:rsidRDefault="007C5A34" w:rsidP="007C5A34">
      <w:pPr>
        <w:pStyle w:val="BodyText"/>
      </w:pPr>
      <w:r w:rsidRPr="001D5327">
        <w:t xml:space="preserve">New Zealand has made improvements to the 2025 submission of the Inventory to take into account the findings from the reviews of previous submissions. </w:t>
      </w:r>
    </w:p>
    <w:p w14:paraId="505F3584" w14:textId="77777777" w:rsidR="007C5A34" w:rsidRPr="001D5327" w:rsidRDefault="007C5A34" w:rsidP="007C5A34">
      <w:pPr>
        <w:pStyle w:val="BodyText"/>
      </w:pPr>
      <w:r w:rsidRPr="001D5327">
        <w:t xml:space="preserve">Table 3 of the report on the individual review of New Zealand’s greenhouse gas inventory submitted in 2022 (UNFCCC, 2023), which can be found </w:t>
      </w:r>
      <w:hyperlink r:id="rId268">
        <w:r w:rsidRPr="001D5327">
          <w:rPr>
            <w:rStyle w:val="Hyperlink"/>
          </w:rPr>
          <w:t>here</w:t>
        </w:r>
      </w:hyperlink>
      <w:r w:rsidRPr="001D5327">
        <w:t xml:space="preserve">, contains an assessment of progress in addressing recommendations provided by the expert review teams (ERTs) during the reviews of earlier submissions. These recommendations are detailed in table 10.3.1 along with New Zealand’s latest responses to those recommendations. </w:t>
      </w:r>
    </w:p>
    <w:p w14:paraId="6F94EC9B" w14:textId="77777777" w:rsidR="007C5A34" w:rsidRPr="001D5327" w:rsidRDefault="007C5A34" w:rsidP="007C5A34">
      <w:pPr>
        <w:pStyle w:val="Table"/>
      </w:pPr>
      <w:bookmarkStart w:id="3090" w:name="_Toc194241857"/>
      <w:r w:rsidRPr="001D5327">
        <w:t>Table 10.3.1</w:t>
      </w:r>
      <w:r w:rsidRPr="001D5327">
        <w:tab/>
        <w:t xml:space="preserve">New Zealand’s response to the status of the recommendations included in table 3 </w:t>
      </w:r>
      <w:r w:rsidRPr="001D5327">
        <w:rPr>
          <w:bCs/>
        </w:rPr>
        <w:t>of UNFCCC (2023)</w:t>
      </w:r>
      <w:bookmarkEnd w:id="3090"/>
      <w:r w:rsidRPr="001D5327">
        <w:rPr>
          <w:bCs/>
        </w:rPr>
        <w:t xml:space="preserve"> </w:t>
      </w:r>
    </w:p>
    <w:tbl>
      <w:tblPr>
        <w:tblW w:w="13948" w:type="dxa"/>
        <w:tblBorders>
          <w:top w:val="single" w:sz="4" w:space="0" w:color="1B556B"/>
          <w:bottom w:val="single" w:sz="4" w:space="0" w:color="1B556B"/>
          <w:insideH w:val="single" w:sz="4" w:space="0" w:color="1B556B"/>
        </w:tblBorders>
        <w:tblLayout w:type="fixed"/>
        <w:tblCellMar>
          <w:left w:w="85" w:type="dxa"/>
          <w:right w:w="57" w:type="dxa"/>
        </w:tblCellMar>
        <w:tblLook w:val="0420" w:firstRow="1" w:lastRow="0" w:firstColumn="0" w:lastColumn="0" w:noHBand="0" w:noVBand="1"/>
      </w:tblPr>
      <w:tblGrid>
        <w:gridCol w:w="850"/>
        <w:gridCol w:w="2123"/>
        <w:gridCol w:w="3677"/>
        <w:gridCol w:w="4243"/>
        <w:gridCol w:w="3055"/>
      </w:tblGrid>
      <w:tr w:rsidR="00281DE2" w:rsidRPr="001D5327" w14:paraId="235B298C" w14:textId="77777777" w:rsidTr="002C45EC">
        <w:trPr>
          <w:tblHeader/>
        </w:trPr>
        <w:tc>
          <w:tcPr>
            <w:tcW w:w="851" w:type="dxa"/>
            <w:shd w:val="clear" w:color="auto" w:fill="1B556B"/>
            <w:tcMar>
              <w:top w:w="0" w:type="dxa"/>
              <w:left w:w="85" w:type="dxa"/>
              <w:bottom w:w="0" w:type="dxa"/>
              <w:right w:w="85" w:type="dxa"/>
            </w:tcMar>
          </w:tcPr>
          <w:p w14:paraId="3F45E67A" w14:textId="77777777" w:rsidR="007C5A34" w:rsidRPr="001D5327" w:rsidRDefault="007C5A34" w:rsidP="00341FEF">
            <w:pPr>
              <w:pStyle w:val="TableTextBold"/>
              <w:spacing w:before="40" w:after="40"/>
              <w:rPr>
                <w:noProof w:val="0"/>
                <w:color w:val="FFFFFF" w:themeColor="background1"/>
                <w:spacing w:val="-2"/>
              </w:rPr>
            </w:pPr>
            <w:r w:rsidRPr="001D5327">
              <w:rPr>
                <w:rFonts w:eastAsia="Calibri"/>
                <w:noProof w:val="0"/>
                <w:color w:val="FFFFFF" w:themeColor="background1"/>
                <w:spacing w:val="-2"/>
              </w:rPr>
              <w:t>ID#</w:t>
            </w:r>
          </w:p>
        </w:tc>
        <w:tc>
          <w:tcPr>
            <w:tcW w:w="2128" w:type="dxa"/>
            <w:shd w:val="clear" w:color="auto" w:fill="1B556B"/>
            <w:tcMar>
              <w:top w:w="0" w:type="dxa"/>
              <w:left w:w="85" w:type="dxa"/>
              <w:bottom w:w="0" w:type="dxa"/>
              <w:right w:w="85" w:type="dxa"/>
            </w:tcMar>
          </w:tcPr>
          <w:p w14:paraId="77A7AD02" w14:textId="77777777" w:rsidR="007C5A34" w:rsidRPr="001D5327" w:rsidRDefault="007C5A34" w:rsidP="00341FEF">
            <w:pPr>
              <w:pStyle w:val="TableTextBold"/>
              <w:spacing w:before="40" w:after="40"/>
              <w:rPr>
                <w:noProof w:val="0"/>
                <w:color w:val="FFFFFF" w:themeColor="background1"/>
                <w:spacing w:val="-2"/>
              </w:rPr>
            </w:pPr>
            <w:r w:rsidRPr="001D5327">
              <w:rPr>
                <w:rFonts w:eastAsia="Calibri"/>
                <w:noProof w:val="0"/>
                <w:color w:val="FFFFFF" w:themeColor="background1"/>
                <w:spacing w:val="-2"/>
              </w:rPr>
              <w:t>Issue/problem classification¹</w:t>
            </w:r>
          </w:p>
        </w:tc>
        <w:tc>
          <w:tcPr>
            <w:tcW w:w="3685" w:type="dxa"/>
            <w:shd w:val="clear" w:color="auto" w:fill="1B556B"/>
            <w:tcMar>
              <w:top w:w="0" w:type="dxa"/>
              <w:left w:w="85" w:type="dxa"/>
              <w:bottom w:w="0" w:type="dxa"/>
              <w:right w:w="85" w:type="dxa"/>
            </w:tcMar>
          </w:tcPr>
          <w:p w14:paraId="76A52BFF" w14:textId="77777777" w:rsidR="007C5A34" w:rsidRPr="001D5327" w:rsidRDefault="007C5A34" w:rsidP="00341FEF">
            <w:pPr>
              <w:pStyle w:val="TableTextBold"/>
              <w:spacing w:before="40" w:after="40"/>
              <w:rPr>
                <w:noProof w:val="0"/>
                <w:color w:val="FFFFFF" w:themeColor="background1"/>
                <w:spacing w:val="-2"/>
              </w:rPr>
            </w:pPr>
            <w:r w:rsidRPr="001D5327">
              <w:rPr>
                <w:rFonts w:eastAsia="Calibri"/>
                <w:noProof w:val="0"/>
                <w:color w:val="FFFFFF" w:themeColor="background1"/>
                <w:spacing w:val="-2"/>
              </w:rPr>
              <w:t>Recommendation from previous review report</w:t>
            </w:r>
          </w:p>
        </w:tc>
        <w:tc>
          <w:tcPr>
            <w:tcW w:w="4253" w:type="dxa"/>
            <w:shd w:val="clear" w:color="auto" w:fill="1B556B"/>
            <w:tcMar>
              <w:top w:w="0" w:type="dxa"/>
              <w:left w:w="85" w:type="dxa"/>
              <w:bottom w:w="0" w:type="dxa"/>
              <w:right w:w="85" w:type="dxa"/>
            </w:tcMar>
          </w:tcPr>
          <w:p w14:paraId="3995C2A8" w14:textId="77777777" w:rsidR="007C5A34" w:rsidRPr="001D5327" w:rsidRDefault="007C5A34" w:rsidP="00341FEF">
            <w:pPr>
              <w:pStyle w:val="TableTextBold"/>
              <w:spacing w:before="40" w:after="40"/>
              <w:rPr>
                <w:noProof w:val="0"/>
                <w:color w:val="FFFFFF" w:themeColor="background1"/>
                <w:spacing w:val="-2"/>
              </w:rPr>
            </w:pPr>
            <w:r w:rsidRPr="001D5327">
              <w:rPr>
                <w:rFonts w:eastAsia="Calibri"/>
                <w:noProof w:val="0"/>
                <w:color w:val="FFFFFF" w:themeColor="background1"/>
                <w:spacing w:val="-2"/>
              </w:rPr>
              <w:t>ERT assessment and rationale</w:t>
            </w:r>
          </w:p>
        </w:tc>
        <w:tc>
          <w:tcPr>
            <w:tcW w:w="3062" w:type="dxa"/>
            <w:shd w:val="clear" w:color="auto" w:fill="1B556B"/>
            <w:tcMar>
              <w:left w:w="85" w:type="dxa"/>
              <w:right w:w="85" w:type="dxa"/>
            </w:tcMar>
          </w:tcPr>
          <w:p w14:paraId="41598BF6" w14:textId="77777777" w:rsidR="007C5A34" w:rsidRPr="001D5327" w:rsidRDefault="007C5A34" w:rsidP="00341FEF">
            <w:pPr>
              <w:pStyle w:val="TableTextBold"/>
              <w:spacing w:before="40" w:after="40"/>
              <w:rPr>
                <w:rFonts w:eastAsia="Calibri"/>
                <w:noProof w:val="0"/>
                <w:color w:val="FFFFFF" w:themeColor="background1"/>
                <w:spacing w:val="-2"/>
              </w:rPr>
            </w:pPr>
            <w:r w:rsidRPr="001D5327">
              <w:rPr>
                <w:rFonts w:eastAsia="Calibri"/>
                <w:noProof w:val="0"/>
                <w:color w:val="FFFFFF" w:themeColor="background1"/>
                <w:spacing w:val="-2"/>
              </w:rPr>
              <w:t>New Zealand response</w:t>
            </w:r>
          </w:p>
        </w:tc>
      </w:tr>
      <w:tr w:rsidR="00281DE2" w:rsidRPr="001D5327" w14:paraId="609C8951" w14:textId="77777777" w:rsidTr="002C45EC">
        <w:tc>
          <w:tcPr>
            <w:tcW w:w="851" w:type="dxa"/>
            <w:shd w:val="clear" w:color="auto" w:fill="FFFFFF" w:themeFill="background1"/>
            <w:tcMar>
              <w:top w:w="0" w:type="dxa"/>
              <w:left w:w="85" w:type="dxa"/>
              <w:bottom w:w="0" w:type="dxa"/>
              <w:right w:w="85" w:type="dxa"/>
            </w:tcMar>
          </w:tcPr>
          <w:p w14:paraId="7B5596C7"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General</w:t>
            </w:r>
          </w:p>
        </w:tc>
        <w:tc>
          <w:tcPr>
            <w:tcW w:w="2128" w:type="dxa"/>
            <w:shd w:val="clear" w:color="auto" w:fill="FFFFFF" w:themeFill="background1"/>
            <w:tcMar>
              <w:top w:w="0" w:type="dxa"/>
              <w:left w:w="85" w:type="dxa"/>
              <w:bottom w:w="0" w:type="dxa"/>
              <w:right w:w="85" w:type="dxa"/>
            </w:tcMar>
          </w:tcPr>
          <w:p w14:paraId="1D8655F8" w14:textId="77777777" w:rsidR="007C5A34" w:rsidRPr="001D5327" w:rsidRDefault="007C5A34" w:rsidP="00341FEF">
            <w:pPr>
              <w:pStyle w:val="TableText"/>
              <w:spacing w:before="40" w:after="40"/>
              <w:rPr>
                <w:rFonts w:cstheme="minorHAnsi"/>
                <w:spacing w:val="-2"/>
              </w:rPr>
            </w:pPr>
          </w:p>
        </w:tc>
        <w:tc>
          <w:tcPr>
            <w:tcW w:w="3685" w:type="dxa"/>
            <w:shd w:val="clear" w:color="auto" w:fill="FFFFFF" w:themeFill="background1"/>
            <w:tcMar>
              <w:top w:w="0" w:type="dxa"/>
              <w:left w:w="85" w:type="dxa"/>
              <w:bottom w:w="0" w:type="dxa"/>
              <w:right w:w="85" w:type="dxa"/>
            </w:tcMar>
          </w:tcPr>
          <w:p w14:paraId="459CC05E" w14:textId="77777777" w:rsidR="007C5A34" w:rsidRPr="001D5327" w:rsidRDefault="007C5A34" w:rsidP="00341FEF">
            <w:pPr>
              <w:pStyle w:val="TableText"/>
              <w:spacing w:before="40" w:after="40"/>
              <w:rPr>
                <w:rFonts w:cstheme="minorHAnsi"/>
                <w:spacing w:val="-2"/>
              </w:rPr>
            </w:pPr>
          </w:p>
        </w:tc>
        <w:tc>
          <w:tcPr>
            <w:tcW w:w="4253" w:type="dxa"/>
            <w:shd w:val="clear" w:color="auto" w:fill="FFFFFF" w:themeFill="background1"/>
            <w:tcMar>
              <w:top w:w="0" w:type="dxa"/>
              <w:left w:w="85" w:type="dxa"/>
              <w:bottom w:w="0" w:type="dxa"/>
              <w:right w:w="85" w:type="dxa"/>
            </w:tcMar>
          </w:tcPr>
          <w:p w14:paraId="298CB59C"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All recommendations from previous review reports have been resolved.</w:t>
            </w:r>
          </w:p>
        </w:tc>
        <w:tc>
          <w:tcPr>
            <w:tcW w:w="3062" w:type="dxa"/>
            <w:shd w:val="clear" w:color="auto" w:fill="FFFFFF" w:themeFill="background1"/>
            <w:tcMar>
              <w:left w:w="85" w:type="dxa"/>
              <w:right w:w="85" w:type="dxa"/>
            </w:tcMar>
          </w:tcPr>
          <w:p w14:paraId="161FE4E3"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3FC7DDC8" w14:textId="77777777" w:rsidTr="002C45EC">
        <w:tc>
          <w:tcPr>
            <w:tcW w:w="851" w:type="dxa"/>
            <w:shd w:val="clear" w:color="auto" w:fill="FFFFFF" w:themeFill="background1"/>
            <w:tcMar>
              <w:top w:w="0" w:type="dxa"/>
              <w:left w:w="85" w:type="dxa"/>
              <w:bottom w:w="0" w:type="dxa"/>
              <w:right w:w="85" w:type="dxa"/>
            </w:tcMar>
          </w:tcPr>
          <w:p w14:paraId="704CD2BF"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Energy</w:t>
            </w:r>
          </w:p>
        </w:tc>
        <w:tc>
          <w:tcPr>
            <w:tcW w:w="2128" w:type="dxa"/>
            <w:shd w:val="clear" w:color="auto" w:fill="FFFFFF" w:themeFill="background1"/>
            <w:tcMar>
              <w:top w:w="0" w:type="dxa"/>
              <w:left w:w="85" w:type="dxa"/>
              <w:bottom w:w="0" w:type="dxa"/>
              <w:right w:w="85" w:type="dxa"/>
            </w:tcMar>
          </w:tcPr>
          <w:p w14:paraId="4E3DDFEC" w14:textId="77777777" w:rsidR="007C5A34" w:rsidRPr="001D5327" w:rsidRDefault="007C5A34" w:rsidP="00341FEF">
            <w:pPr>
              <w:pStyle w:val="TableText"/>
              <w:spacing w:before="40" w:after="40"/>
              <w:rPr>
                <w:rFonts w:cstheme="minorHAnsi"/>
                <w:spacing w:val="-2"/>
              </w:rPr>
            </w:pPr>
          </w:p>
        </w:tc>
        <w:tc>
          <w:tcPr>
            <w:tcW w:w="3685" w:type="dxa"/>
            <w:shd w:val="clear" w:color="auto" w:fill="FFFFFF" w:themeFill="background1"/>
            <w:tcMar>
              <w:top w:w="0" w:type="dxa"/>
              <w:left w:w="85" w:type="dxa"/>
              <w:bottom w:w="0" w:type="dxa"/>
              <w:right w:w="85" w:type="dxa"/>
            </w:tcMar>
          </w:tcPr>
          <w:p w14:paraId="36C4485C" w14:textId="77777777" w:rsidR="007C5A34" w:rsidRPr="001D5327" w:rsidRDefault="007C5A34" w:rsidP="00341FEF">
            <w:pPr>
              <w:pStyle w:val="TableText"/>
              <w:spacing w:before="40" w:after="40"/>
              <w:rPr>
                <w:rFonts w:cstheme="minorHAnsi"/>
                <w:spacing w:val="-2"/>
              </w:rPr>
            </w:pPr>
          </w:p>
        </w:tc>
        <w:tc>
          <w:tcPr>
            <w:tcW w:w="4253" w:type="dxa"/>
            <w:shd w:val="clear" w:color="auto" w:fill="FFFFFF" w:themeFill="background1"/>
            <w:tcMar>
              <w:top w:w="0" w:type="dxa"/>
              <w:left w:w="85" w:type="dxa"/>
              <w:bottom w:w="0" w:type="dxa"/>
              <w:right w:w="85" w:type="dxa"/>
            </w:tcMar>
          </w:tcPr>
          <w:p w14:paraId="2318D348" w14:textId="77777777" w:rsidR="007C5A34" w:rsidRPr="001D5327" w:rsidRDefault="007C5A34" w:rsidP="00341FEF">
            <w:pPr>
              <w:pStyle w:val="TableText"/>
              <w:spacing w:before="40" w:after="40"/>
              <w:rPr>
                <w:rFonts w:cstheme="minorHAnsi"/>
                <w:spacing w:val="-2"/>
              </w:rPr>
            </w:pPr>
          </w:p>
        </w:tc>
        <w:tc>
          <w:tcPr>
            <w:tcW w:w="3062" w:type="dxa"/>
            <w:shd w:val="clear" w:color="auto" w:fill="FFFFFF" w:themeFill="background1"/>
            <w:tcMar>
              <w:left w:w="85" w:type="dxa"/>
              <w:right w:w="85" w:type="dxa"/>
            </w:tcMar>
          </w:tcPr>
          <w:p w14:paraId="0A6E2D2D" w14:textId="77777777" w:rsidR="007C5A34" w:rsidRPr="001D5327" w:rsidRDefault="007C5A34" w:rsidP="00341FEF">
            <w:pPr>
              <w:pStyle w:val="TableText"/>
              <w:spacing w:before="40" w:after="40"/>
              <w:rPr>
                <w:rFonts w:cstheme="minorHAnsi"/>
                <w:spacing w:val="-2"/>
              </w:rPr>
            </w:pPr>
          </w:p>
        </w:tc>
      </w:tr>
      <w:tr w:rsidR="00281DE2" w:rsidRPr="001D5327" w14:paraId="68E08E13" w14:textId="77777777" w:rsidTr="002C45EC">
        <w:tc>
          <w:tcPr>
            <w:tcW w:w="851" w:type="dxa"/>
            <w:shd w:val="clear" w:color="auto" w:fill="FFFFFF" w:themeFill="background1"/>
            <w:tcMar>
              <w:top w:w="0" w:type="dxa"/>
              <w:left w:w="85" w:type="dxa"/>
              <w:bottom w:w="0" w:type="dxa"/>
              <w:right w:w="85" w:type="dxa"/>
            </w:tcMar>
          </w:tcPr>
          <w:p w14:paraId="7194119A"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E.1</w:t>
            </w:r>
          </w:p>
        </w:tc>
        <w:tc>
          <w:tcPr>
            <w:tcW w:w="2128" w:type="dxa"/>
            <w:shd w:val="clear" w:color="auto" w:fill="FFFFFF" w:themeFill="background1"/>
            <w:tcMar>
              <w:top w:w="0" w:type="dxa"/>
              <w:left w:w="85" w:type="dxa"/>
              <w:bottom w:w="0" w:type="dxa"/>
              <w:right w:w="85" w:type="dxa"/>
            </w:tcMar>
          </w:tcPr>
          <w:p w14:paraId="587439E1"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1.A.1.a Public electricity and heat production – liquid fuels – CO₂, CH₄ and N₂O (E.4, 2021) (E.23, 2019) Transparency</w:t>
            </w:r>
          </w:p>
        </w:tc>
        <w:tc>
          <w:tcPr>
            <w:tcW w:w="3685" w:type="dxa"/>
            <w:shd w:val="clear" w:color="auto" w:fill="FFFFFF" w:themeFill="background1"/>
            <w:tcMar>
              <w:top w:w="0" w:type="dxa"/>
              <w:left w:w="85" w:type="dxa"/>
              <w:bottom w:w="0" w:type="dxa"/>
              <w:right w:w="85" w:type="dxa"/>
            </w:tcMar>
          </w:tcPr>
          <w:p w14:paraId="7DDD4D2B"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Include information on trends in liquid fuel consumption, especially by explaining the values for 2001 (reported as “NO”) and 1992 and 2008 (where consumption and emissions were significantly higher than in other years since 1990).</w:t>
            </w:r>
          </w:p>
        </w:tc>
        <w:tc>
          <w:tcPr>
            <w:tcW w:w="4253" w:type="dxa"/>
            <w:shd w:val="clear" w:color="auto" w:fill="FFFFFF" w:themeFill="background1"/>
            <w:tcMar>
              <w:top w:w="0" w:type="dxa"/>
              <w:left w:w="85" w:type="dxa"/>
              <w:bottom w:w="0" w:type="dxa"/>
              <w:right w:w="85" w:type="dxa"/>
            </w:tcMar>
          </w:tcPr>
          <w:p w14:paraId="2DE6620F"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Resolved. The Party explained in its NIR (p.82) that emissions from public electricity and heat production fluctuate considerably from year to year and that particularly dry meteorological conditions result in an increase in fossil fuel electricity production to compensate for the shortfall in hydroelectric generation. In addition, as the storage capacity of hydro reservoirs is limited to around 10 per cent of New Zealand’s production, fossil fuel electricity generation is used to balance supply and demand. Information provided in the NIR (table 10.2.2) indicates that AD were checked with the data system manager at the Ministry of Business, Innovation and Employment and found to be correct.</w:t>
            </w:r>
          </w:p>
        </w:tc>
        <w:tc>
          <w:tcPr>
            <w:tcW w:w="3062" w:type="dxa"/>
            <w:shd w:val="clear" w:color="auto" w:fill="FFFFFF" w:themeFill="background1"/>
            <w:tcMar>
              <w:left w:w="85" w:type="dxa"/>
              <w:right w:w="85" w:type="dxa"/>
            </w:tcMar>
          </w:tcPr>
          <w:p w14:paraId="7A4CA19A"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6AE7D46F" w14:textId="77777777" w:rsidTr="002C45EC">
        <w:tc>
          <w:tcPr>
            <w:tcW w:w="851" w:type="dxa"/>
            <w:shd w:val="clear" w:color="auto" w:fill="FFFFFF" w:themeFill="background1"/>
            <w:tcMar>
              <w:top w:w="0" w:type="dxa"/>
              <w:left w:w="85" w:type="dxa"/>
              <w:bottom w:w="0" w:type="dxa"/>
              <w:right w:w="85" w:type="dxa"/>
            </w:tcMar>
          </w:tcPr>
          <w:p w14:paraId="09B755EF"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E.2</w:t>
            </w:r>
          </w:p>
        </w:tc>
        <w:tc>
          <w:tcPr>
            <w:tcW w:w="2128" w:type="dxa"/>
            <w:shd w:val="clear" w:color="auto" w:fill="FFFFFF" w:themeFill="background1"/>
            <w:tcMar>
              <w:top w:w="0" w:type="dxa"/>
              <w:left w:w="85" w:type="dxa"/>
              <w:bottom w:w="0" w:type="dxa"/>
              <w:right w:w="85" w:type="dxa"/>
            </w:tcMar>
          </w:tcPr>
          <w:p w14:paraId="59685BEF"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1.A.1.a Public electricity and heat production – gaseous fuels – CO₂ (E.18, 2021) Convention reporting adherence</w:t>
            </w:r>
          </w:p>
        </w:tc>
        <w:tc>
          <w:tcPr>
            <w:tcW w:w="3685" w:type="dxa"/>
            <w:shd w:val="clear" w:color="auto" w:fill="FFFFFF" w:themeFill="background1"/>
            <w:tcMar>
              <w:top w:w="0" w:type="dxa"/>
              <w:left w:w="85" w:type="dxa"/>
              <w:bottom w:w="0" w:type="dxa"/>
              <w:right w:w="85" w:type="dxa"/>
            </w:tcMar>
          </w:tcPr>
          <w:p w14:paraId="139BBCD0"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Check the value of the CO₂ IEF for gaseous fuels in 2005 and either justify the inconsistency in the NIR or correct the value for the emission estimates in 2005.</w:t>
            </w:r>
          </w:p>
        </w:tc>
        <w:tc>
          <w:tcPr>
            <w:tcW w:w="4253" w:type="dxa"/>
            <w:shd w:val="clear" w:color="auto" w:fill="FFFFFF" w:themeFill="background1"/>
            <w:tcMar>
              <w:top w:w="0" w:type="dxa"/>
              <w:left w:w="85" w:type="dxa"/>
              <w:bottom w:w="0" w:type="dxa"/>
              <w:right w:w="85" w:type="dxa"/>
            </w:tcMar>
          </w:tcPr>
          <w:p w14:paraId="58A73AFF"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Resolved. The Party reported in its NIR (p.84) that AD for natural gas consumption for electricity generation have been updated. This resulted in revised CO₂ IEFs for the entire time series. The ERT has not identified any issues with the CO₂ IEF reported for 2005.</w:t>
            </w:r>
          </w:p>
        </w:tc>
        <w:tc>
          <w:tcPr>
            <w:tcW w:w="3062" w:type="dxa"/>
            <w:shd w:val="clear" w:color="auto" w:fill="FFFFFF" w:themeFill="background1"/>
            <w:tcMar>
              <w:left w:w="85" w:type="dxa"/>
              <w:right w:w="85" w:type="dxa"/>
            </w:tcMar>
          </w:tcPr>
          <w:p w14:paraId="228F34C3"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33E35005" w14:textId="77777777" w:rsidTr="002C45EC">
        <w:tc>
          <w:tcPr>
            <w:tcW w:w="851" w:type="dxa"/>
            <w:shd w:val="clear" w:color="auto" w:fill="FFFFFF" w:themeFill="background1"/>
            <w:tcMar>
              <w:top w:w="0" w:type="dxa"/>
              <w:left w:w="85" w:type="dxa"/>
              <w:bottom w:w="0" w:type="dxa"/>
              <w:right w:w="85" w:type="dxa"/>
            </w:tcMar>
          </w:tcPr>
          <w:p w14:paraId="5ACD9DFC" w14:textId="77777777" w:rsidR="007C5A34" w:rsidRPr="001D5327" w:rsidRDefault="007C5A34" w:rsidP="00597354">
            <w:pPr>
              <w:pStyle w:val="TableText"/>
              <w:spacing w:before="40"/>
              <w:rPr>
                <w:spacing w:val="-2"/>
              </w:rPr>
            </w:pPr>
            <w:r w:rsidRPr="001D5327">
              <w:rPr>
                <w:rFonts w:eastAsia="Calibri"/>
                <w:spacing w:val="-2"/>
              </w:rPr>
              <w:t>E.3</w:t>
            </w:r>
          </w:p>
        </w:tc>
        <w:tc>
          <w:tcPr>
            <w:tcW w:w="2128" w:type="dxa"/>
            <w:shd w:val="clear" w:color="auto" w:fill="FFFFFF" w:themeFill="background1"/>
            <w:tcMar>
              <w:top w:w="0" w:type="dxa"/>
              <w:left w:w="85" w:type="dxa"/>
              <w:bottom w:w="0" w:type="dxa"/>
              <w:right w:w="85" w:type="dxa"/>
            </w:tcMar>
          </w:tcPr>
          <w:p w14:paraId="1D32A989"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1.A.2.e Food processing, beverages and tobacco – gaseous fuels – CO₂ (E.19, 2021) Transparency</w:t>
            </w:r>
          </w:p>
        </w:tc>
        <w:tc>
          <w:tcPr>
            <w:tcW w:w="3685" w:type="dxa"/>
            <w:shd w:val="clear" w:color="auto" w:fill="FFFFFF" w:themeFill="background1"/>
            <w:tcMar>
              <w:top w:w="0" w:type="dxa"/>
              <w:left w:w="85" w:type="dxa"/>
              <w:bottom w:w="0" w:type="dxa"/>
              <w:right w:w="85" w:type="dxa"/>
            </w:tcMar>
          </w:tcPr>
          <w:p w14:paraId="3B9EB035"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Explain in the NIR the reasons why the AD for gaseous fuels were revised for 2013 and why the CO₂ IEF was lower between 1996 and 2012 after the recalculation performed for the 2021 submission. Report in the NIR why the CO₂ IEF was lower for 2003.</w:t>
            </w:r>
          </w:p>
        </w:tc>
        <w:tc>
          <w:tcPr>
            <w:tcW w:w="4253" w:type="dxa"/>
            <w:shd w:val="clear" w:color="auto" w:fill="FFFFFF" w:themeFill="background1"/>
            <w:tcMar>
              <w:top w:w="0" w:type="dxa"/>
              <w:left w:w="85" w:type="dxa"/>
              <w:bottom w:w="0" w:type="dxa"/>
              <w:right w:w="85" w:type="dxa"/>
            </w:tcMar>
          </w:tcPr>
          <w:p w14:paraId="51DAA703"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 xml:space="preserve">Resolved. The Party recalculated the CO₂ EF for gaseous fuels and reported revised emission estimates in CRF table 1.A(a)s2. According to the NIR (p.77), the GHG reporting data system was streamlined and simplified and a number of minor inconsistencies and errors were corrected. During the review, </w:t>
            </w:r>
            <w:r w:rsidRPr="001D5327">
              <w:rPr>
                <w:rFonts w:eastAsia="Calibri"/>
                <w:color w:val="000000" w:themeColor="text1"/>
                <w:spacing w:val="-2"/>
              </w:rPr>
              <w:lastRenderedPageBreak/>
              <w:t>the Party confirmed that the CO₂ EF was one of the inconsistencies addressed.</w:t>
            </w:r>
          </w:p>
        </w:tc>
        <w:tc>
          <w:tcPr>
            <w:tcW w:w="3062" w:type="dxa"/>
            <w:shd w:val="clear" w:color="auto" w:fill="FFFFFF" w:themeFill="background1"/>
            <w:tcMar>
              <w:left w:w="85" w:type="dxa"/>
              <w:right w:w="85" w:type="dxa"/>
            </w:tcMar>
          </w:tcPr>
          <w:p w14:paraId="4C45FC0D"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lastRenderedPageBreak/>
              <w:t>NA</w:t>
            </w:r>
          </w:p>
        </w:tc>
      </w:tr>
      <w:tr w:rsidR="00281DE2" w:rsidRPr="001D5327" w14:paraId="688E1CB3" w14:textId="77777777" w:rsidTr="002C45EC">
        <w:tc>
          <w:tcPr>
            <w:tcW w:w="851" w:type="dxa"/>
            <w:shd w:val="clear" w:color="auto" w:fill="FFFFFF" w:themeFill="background1"/>
            <w:tcMar>
              <w:top w:w="0" w:type="dxa"/>
              <w:left w:w="85" w:type="dxa"/>
              <w:bottom w:w="0" w:type="dxa"/>
              <w:right w:w="85" w:type="dxa"/>
            </w:tcMar>
          </w:tcPr>
          <w:p w14:paraId="3281ACBB"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E.4</w:t>
            </w:r>
          </w:p>
        </w:tc>
        <w:tc>
          <w:tcPr>
            <w:tcW w:w="2128" w:type="dxa"/>
            <w:shd w:val="clear" w:color="auto" w:fill="FFFFFF" w:themeFill="background1"/>
            <w:tcMar>
              <w:top w:w="0" w:type="dxa"/>
              <w:left w:w="85" w:type="dxa"/>
              <w:bottom w:w="0" w:type="dxa"/>
              <w:right w:w="85" w:type="dxa"/>
            </w:tcMar>
          </w:tcPr>
          <w:p w14:paraId="33CC3E67"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1.A.3.b Road transportation – liquid and gaseous fuels – CO₂, CH₄ and N₂O (E.8, 2021) (E.29, 2019) Comparability</w:t>
            </w:r>
          </w:p>
        </w:tc>
        <w:tc>
          <w:tcPr>
            <w:tcW w:w="3685" w:type="dxa"/>
            <w:shd w:val="clear" w:color="auto" w:fill="FFFFFF" w:themeFill="background1"/>
            <w:tcMar>
              <w:top w:w="0" w:type="dxa"/>
              <w:left w:w="85" w:type="dxa"/>
              <w:bottom w:w="0" w:type="dxa"/>
              <w:right w:w="85" w:type="dxa"/>
            </w:tcMar>
          </w:tcPr>
          <w:p w14:paraId="3D82BF4C"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Report as “NO”, instead of “IE”, the AD and emissions for biomass for light- and heavy- duty trucks and buses, and diesel, liquified petroleum gas and biomass for motorcycles for before 2000.</w:t>
            </w:r>
          </w:p>
        </w:tc>
        <w:tc>
          <w:tcPr>
            <w:tcW w:w="4253" w:type="dxa"/>
            <w:shd w:val="clear" w:color="auto" w:fill="FFFFFF" w:themeFill="background1"/>
            <w:tcMar>
              <w:top w:w="0" w:type="dxa"/>
              <w:left w:w="85" w:type="dxa"/>
              <w:bottom w:w="0" w:type="dxa"/>
              <w:right w:w="85" w:type="dxa"/>
            </w:tcMar>
          </w:tcPr>
          <w:p w14:paraId="5BF1A432"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Not resolved. The Party has not yet changed the notation keys reported in CRF table 1.A(a)s3. During the review, the Party clarified that the notation keys will be changed for the next annual submission.</w:t>
            </w:r>
          </w:p>
        </w:tc>
        <w:tc>
          <w:tcPr>
            <w:tcW w:w="3062" w:type="dxa"/>
            <w:shd w:val="clear" w:color="auto" w:fill="FFFFFF" w:themeFill="background1"/>
            <w:tcMar>
              <w:left w:w="85" w:type="dxa"/>
              <w:right w:w="85" w:type="dxa"/>
            </w:tcMar>
          </w:tcPr>
          <w:p w14:paraId="6034E6FB"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Resolved</w:t>
            </w:r>
            <w:r w:rsidRPr="001D5327">
              <w:rPr>
                <w:rFonts w:cstheme="minorHAnsi"/>
                <w:bCs/>
                <w:spacing w:val="-2"/>
              </w:rPr>
              <w:t xml:space="preserve">. </w:t>
            </w:r>
            <w:r w:rsidRPr="001D5327">
              <w:rPr>
                <w:rFonts w:cstheme="minorHAnsi"/>
                <w:spacing w:val="-2"/>
              </w:rPr>
              <w:t xml:space="preserve">The notation keys have been updated. </w:t>
            </w:r>
          </w:p>
        </w:tc>
      </w:tr>
      <w:tr w:rsidR="00281DE2" w:rsidRPr="001D5327" w14:paraId="178196A5" w14:textId="77777777" w:rsidTr="002C45EC">
        <w:tc>
          <w:tcPr>
            <w:tcW w:w="851" w:type="dxa"/>
            <w:shd w:val="clear" w:color="auto" w:fill="FFFFFF" w:themeFill="background1"/>
            <w:tcMar>
              <w:top w:w="0" w:type="dxa"/>
              <w:left w:w="85" w:type="dxa"/>
              <w:bottom w:w="0" w:type="dxa"/>
              <w:right w:w="85" w:type="dxa"/>
            </w:tcMar>
          </w:tcPr>
          <w:p w14:paraId="2EEFDFFC"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E.5</w:t>
            </w:r>
          </w:p>
        </w:tc>
        <w:tc>
          <w:tcPr>
            <w:tcW w:w="2128" w:type="dxa"/>
            <w:shd w:val="clear" w:color="auto" w:fill="FFFFFF" w:themeFill="background1"/>
            <w:tcMar>
              <w:top w:w="0" w:type="dxa"/>
              <w:left w:w="85" w:type="dxa"/>
              <w:bottom w:w="0" w:type="dxa"/>
              <w:right w:w="85" w:type="dxa"/>
            </w:tcMar>
          </w:tcPr>
          <w:p w14:paraId="4370A209"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1.A.3.b Road transportation – liquid and gaseous fuels – CO₂ (E.9, 2021) (E.30, 2019) Convention reporting adherence</w:t>
            </w:r>
          </w:p>
        </w:tc>
        <w:tc>
          <w:tcPr>
            <w:tcW w:w="3685" w:type="dxa"/>
            <w:shd w:val="clear" w:color="auto" w:fill="FFFFFF" w:themeFill="background1"/>
            <w:tcMar>
              <w:top w:w="0" w:type="dxa"/>
              <w:left w:w="85" w:type="dxa"/>
              <w:bottom w:w="0" w:type="dxa"/>
              <w:right w:w="85" w:type="dxa"/>
            </w:tcMar>
          </w:tcPr>
          <w:p w14:paraId="530504CA"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Continue to estimate the CO₂ emissions on the basis of fuel sold, but report the CO₂ emissions for before 2000 disaggregated by vehicle mode (cars, light-duty trucks, heavy- duty trucks and buses, and motorcycles) using the data collected for the estimation of CH₄ and N₂O emissions as a good practice to verify the CO₂ estimates obtained with a tier 1 approach.</w:t>
            </w:r>
          </w:p>
        </w:tc>
        <w:tc>
          <w:tcPr>
            <w:tcW w:w="4253" w:type="dxa"/>
            <w:shd w:val="clear" w:color="auto" w:fill="FFFFFF" w:themeFill="background1"/>
            <w:tcMar>
              <w:top w:w="0" w:type="dxa"/>
              <w:left w:w="85" w:type="dxa"/>
              <w:bottom w:w="0" w:type="dxa"/>
              <w:right w:w="85" w:type="dxa"/>
            </w:tcMar>
          </w:tcPr>
          <w:p w14:paraId="0295AB34"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Addressing. The Party stated in the NIR (p.393) that a project for disaggregating the data is under way and that key milestones of the system code reconfiguration have been reached. The Party plans to implement the changes for the next annual submission.</w:t>
            </w:r>
          </w:p>
        </w:tc>
        <w:tc>
          <w:tcPr>
            <w:tcW w:w="3062" w:type="dxa"/>
            <w:shd w:val="clear" w:color="auto" w:fill="FFFFFF" w:themeFill="background1"/>
            <w:tcMar>
              <w:left w:w="85" w:type="dxa"/>
              <w:right w:w="85" w:type="dxa"/>
            </w:tcMar>
          </w:tcPr>
          <w:p w14:paraId="42D599FF" w14:textId="77777777" w:rsidR="007C5A34" w:rsidRPr="001D5327" w:rsidRDefault="007C5A34" w:rsidP="00341FEF">
            <w:pPr>
              <w:pStyle w:val="TableText"/>
              <w:spacing w:before="40" w:after="40"/>
              <w:rPr>
                <w:spacing w:val="-2"/>
              </w:rPr>
            </w:pPr>
            <w:r w:rsidRPr="001D5327">
              <w:rPr>
                <w:bCs/>
                <w:spacing w:val="-2"/>
              </w:rPr>
              <w:t>Resolved</w:t>
            </w:r>
            <w:r w:rsidRPr="001D5327">
              <w:rPr>
                <w:spacing w:val="-2"/>
              </w:rPr>
              <w:t>. Carbon dioxide emissions have been disaggregated by mode based on vehicle kilometres travelled data. Since vehicle kilometres travelled data do not exist prior to 2001, disaggregating CO</w:t>
            </w:r>
            <w:r w:rsidRPr="001D5327">
              <w:rPr>
                <w:spacing w:val="-2"/>
                <w:vertAlign w:val="subscript"/>
              </w:rPr>
              <w:t>2</w:t>
            </w:r>
            <w:r w:rsidRPr="001D5327">
              <w:rPr>
                <w:spacing w:val="-2"/>
              </w:rPr>
              <w:t xml:space="preserve"> by mode for this period is not possible.</w:t>
            </w:r>
          </w:p>
        </w:tc>
      </w:tr>
      <w:tr w:rsidR="00281DE2" w:rsidRPr="001D5327" w14:paraId="1EE6EEDB" w14:textId="77777777" w:rsidTr="002C45EC">
        <w:tc>
          <w:tcPr>
            <w:tcW w:w="851" w:type="dxa"/>
            <w:shd w:val="clear" w:color="auto" w:fill="FFFFFF" w:themeFill="background1"/>
            <w:tcMar>
              <w:top w:w="0" w:type="dxa"/>
              <w:left w:w="85" w:type="dxa"/>
              <w:bottom w:w="0" w:type="dxa"/>
              <w:right w:w="85" w:type="dxa"/>
            </w:tcMar>
          </w:tcPr>
          <w:p w14:paraId="617CFB9A"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E.6</w:t>
            </w:r>
          </w:p>
        </w:tc>
        <w:tc>
          <w:tcPr>
            <w:tcW w:w="2128" w:type="dxa"/>
            <w:shd w:val="clear" w:color="auto" w:fill="FFFFFF" w:themeFill="background1"/>
            <w:tcMar>
              <w:top w:w="0" w:type="dxa"/>
              <w:left w:w="85" w:type="dxa"/>
              <w:bottom w:w="0" w:type="dxa"/>
              <w:right w:w="85" w:type="dxa"/>
            </w:tcMar>
          </w:tcPr>
          <w:p w14:paraId="12CD1D9D"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1.A.4 Other sectors – gaseous fuels – CO₂ (E.20, 2021) Transparency</w:t>
            </w:r>
          </w:p>
        </w:tc>
        <w:tc>
          <w:tcPr>
            <w:tcW w:w="3685" w:type="dxa"/>
            <w:shd w:val="clear" w:color="auto" w:fill="FFFFFF" w:themeFill="background1"/>
            <w:tcMar>
              <w:top w:w="0" w:type="dxa"/>
              <w:left w:w="85" w:type="dxa"/>
              <w:bottom w:w="0" w:type="dxa"/>
              <w:right w:w="85" w:type="dxa"/>
            </w:tcMar>
          </w:tcPr>
          <w:p w14:paraId="61F5BB44"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Explain in the NIR the reasons for the lower CO₂ IEFs between 1996 and 2012 after the recalculation performed for the 2021 submission. Report in the NIR the reason for the lower value of the CO₂ IEF for 2003.</w:t>
            </w:r>
          </w:p>
        </w:tc>
        <w:tc>
          <w:tcPr>
            <w:tcW w:w="4253" w:type="dxa"/>
            <w:shd w:val="clear" w:color="auto" w:fill="FFFFFF" w:themeFill="background1"/>
            <w:tcMar>
              <w:top w:w="0" w:type="dxa"/>
              <w:left w:w="85" w:type="dxa"/>
              <w:bottom w:w="0" w:type="dxa"/>
              <w:right w:w="85" w:type="dxa"/>
            </w:tcMar>
          </w:tcPr>
          <w:p w14:paraId="2B1E187D"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Resolved. The Party recalculated the CO₂ EF for gaseous fuels and reported revised emission estimates in CRF table 1.A(a)s2. According to the NIR (p.77), the GHG reporting data system was streamlined and simplified and a number of minor inconsistencies and errors were corrected. During the review, the Party confirmed that the CO₂ EF was one of the inconsistencies addressed.</w:t>
            </w:r>
          </w:p>
        </w:tc>
        <w:tc>
          <w:tcPr>
            <w:tcW w:w="3062" w:type="dxa"/>
            <w:shd w:val="clear" w:color="auto" w:fill="FFFFFF" w:themeFill="background1"/>
            <w:tcMar>
              <w:left w:w="85" w:type="dxa"/>
              <w:right w:w="85" w:type="dxa"/>
            </w:tcMar>
          </w:tcPr>
          <w:p w14:paraId="3C9E45C2"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3AA97716" w14:textId="77777777" w:rsidTr="002C45EC">
        <w:tc>
          <w:tcPr>
            <w:tcW w:w="851" w:type="dxa"/>
            <w:shd w:val="clear" w:color="auto" w:fill="FFFFFF" w:themeFill="background1"/>
            <w:tcMar>
              <w:top w:w="0" w:type="dxa"/>
              <w:left w:w="85" w:type="dxa"/>
              <w:bottom w:w="0" w:type="dxa"/>
              <w:right w:w="85" w:type="dxa"/>
            </w:tcMar>
          </w:tcPr>
          <w:p w14:paraId="1C66170F"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E.7</w:t>
            </w:r>
          </w:p>
        </w:tc>
        <w:tc>
          <w:tcPr>
            <w:tcW w:w="2128" w:type="dxa"/>
            <w:shd w:val="clear" w:color="auto" w:fill="FFFFFF" w:themeFill="background1"/>
            <w:tcMar>
              <w:top w:w="0" w:type="dxa"/>
              <w:left w:w="85" w:type="dxa"/>
              <w:bottom w:w="0" w:type="dxa"/>
              <w:right w:w="85" w:type="dxa"/>
            </w:tcMar>
          </w:tcPr>
          <w:p w14:paraId="138F6994"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1.A.4.a Commercial/institution al – liquid fuels – CO₂ (E.21, 2021) Transparency</w:t>
            </w:r>
          </w:p>
        </w:tc>
        <w:tc>
          <w:tcPr>
            <w:tcW w:w="3685" w:type="dxa"/>
            <w:shd w:val="clear" w:color="auto" w:fill="FFFFFF" w:themeFill="background1"/>
            <w:tcMar>
              <w:top w:w="0" w:type="dxa"/>
              <w:left w:w="85" w:type="dxa"/>
              <w:bottom w:w="0" w:type="dxa"/>
              <w:right w:w="85" w:type="dxa"/>
            </w:tcMar>
          </w:tcPr>
          <w:p w14:paraId="7FD1FF0B"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Report fully and transparently on recalculations in the NIR in accordance with paragraphs 43–45 of the UNFCCC Annex I inventory reporting guidelines.</w:t>
            </w:r>
          </w:p>
        </w:tc>
        <w:tc>
          <w:tcPr>
            <w:tcW w:w="4253" w:type="dxa"/>
            <w:shd w:val="clear" w:color="auto" w:fill="FFFFFF" w:themeFill="background1"/>
            <w:tcMar>
              <w:top w:w="0" w:type="dxa"/>
              <w:left w:w="85" w:type="dxa"/>
              <w:bottom w:w="0" w:type="dxa"/>
              <w:right w:w="85" w:type="dxa"/>
            </w:tcMar>
          </w:tcPr>
          <w:p w14:paraId="3632569D"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Resolved. During the 2021 review, the Party explained that there was a reallocation of AD from commercial/Institutional (category 1.A.4.a) to road transportation (category 1.A.3.b). However, this reallocation was subsequently reversed in the national oil data system. No issues were identified with the reporting of the recalculations.</w:t>
            </w:r>
          </w:p>
        </w:tc>
        <w:tc>
          <w:tcPr>
            <w:tcW w:w="3062" w:type="dxa"/>
            <w:shd w:val="clear" w:color="auto" w:fill="FFFFFF" w:themeFill="background1"/>
            <w:tcMar>
              <w:left w:w="85" w:type="dxa"/>
              <w:right w:w="85" w:type="dxa"/>
            </w:tcMar>
          </w:tcPr>
          <w:p w14:paraId="44318433"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303CDD28" w14:textId="77777777" w:rsidTr="002C45EC">
        <w:tc>
          <w:tcPr>
            <w:tcW w:w="851" w:type="dxa"/>
            <w:shd w:val="clear" w:color="auto" w:fill="FFFFFF" w:themeFill="background1"/>
            <w:tcMar>
              <w:top w:w="0" w:type="dxa"/>
              <w:left w:w="85" w:type="dxa"/>
              <w:bottom w:w="0" w:type="dxa"/>
              <w:right w:w="85" w:type="dxa"/>
            </w:tcMar>
          </w:tcPr>
          <w:p w14:paraId="124A69AD"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E.8</w:t>
            </w:r>
          </w:p>
        </w:tc>
        <w:tc>
          <w:tcPr>
            <w:tcW w:w="2128" w:type="dxa"/>
            <w:shd w:val="clear" w:color="auto" w:fill="FFFFFF" w:themeFill="background1"/>
            <w:tcMar>
              <w:top w:w="0" w:type="dxa"/>
              <w:left w:w="85" w:type="dxa"/>
              <w:bottom w:w="0" w:type="dxa"/>
              <w:right w:w="85" w:type="dxa"/>
            </w:tcMar>
          </w:tcPr>
          <w:p w14:paraId="4BC4CDCA"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1.B.1.a Coal mining and handling – solid fuels – CH₄ (E.12, 2021) (E.15, 2019) (E.14, 2017) (E.17, 2016) (E.31, 2015) Completeness</w:t>
            </w:r>
          </w:p>
        </w:tc>
        <w:tc>
          <w:tcPr>
            <w:tcW w:w="3685" w:type="dxa"/>
            <w:shd w:val="clear" w:color="auto" w:fill="FFFFFF" w:themeFill="background1"/>
            <w:tcMar>
              <w:top w:w="0" w:type="dxa"/>
              <w:left w:w="85" w:type="dxa"/>
              <w:bottom w:w="0" w:type="dxa"/>
              <w:right w:w="85" w:type="dxa"/>
            </w:tcMar>
          </w:tcPr>
          <w:p w14:paraId="5817A436"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Estimate CH₄ emissions from abandoned underground mines (subcategory 1.B.1.a.i.3) or, if these emissions are considered insignificant, report them as “NE” and provide a quantitative estimate of the likely level of the emissions in accordance with paragraph 37(b) of the UNFCCC Annex I inventory reporting guidelines.</w:t>
            </w:r>
          </w:p>
        </w:tc>
        <w:tc>
          <w:tcPr>
            <w:tcW w:w="4253" w:type="dxa"/>
            <w:shd w:val="clear" w:color="auto" w:fill="FFFFFF" w:themeFill="background1"/>
            <w:tcMar>
              <w:top w:w="0" w:type="dxa"/>
              <w:left w:w="85" w:type="dxa"/>
              <w:bottom w:w="0" w:type="dxa"/>
              <w:right w:w="85" w:type="dxa"/>
            </w:tcMar>
          </w:tcPr>
          <w:p w14:paraId="1E037FB0"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Addressing. The Party reported in its NIR (p.104) that a contractor was employed to review all the coal reports within the Ministry of Business, Innovation and Employment’s online coal mine databases and extract details relevant to estimating emissions from abandoned coal mines. On the basis of the preliminary outcome, further research is needed for making a realistic estimate of emissions.</w:t>
            </w:r>
          </w:p>
        </w:tc>
        <w:tc>
          <w:tcPr>
            <w:tcW w:w="3062" w:type="dxa"/>
            <w:shd w:val="clear" w:color="auto" w:fill="FFFFFF" w:themeFill="background1"/>
            <w:tcMar>
              <w:left w:w="85" w:type="dxa"/>
              <w:right w:w="85" w:type="dxa"/>
            </w:tcMar>
          </w:tcPr>
          <w:p w14:paraId="07465523" w14:textId="77777777" w:rsidR="007C5A34" w:rsidRPr="001D5327" w:rsidRDefault="007C5A34" w:rsidP="00341FEF">
            <w:pPr>
              <w:pStyle w:val="TableText"/>
              <w:spacing w:before="40" w:after="40"/>
              <w:rPr>
                <w:rFonts w:eastAsia="Calibri"/>
                <w:color w:val="000000"/>
                <w:spacing w:val="-2"/>
              </w:rPr>
            </w:pPr>
            <w:r w:rsidRPr="001D5327">
              <w:rPr>
                <w:rFonts w:eastAsia="Calibri"/>
                <w:bCs/>
                <w:color w:val="000000" w:themeColor="text1"/>
                <w:spacing w:val="-2"/>
              </w:rPr>
              <w:t>Not resolved</w:t>
            </w:r>
            <w:r w:rsidRPr="001D5327">
              <w:rPr>
                <w:rFonts w:eastAsia="Calibri"/>
                <w:color w:val="000000" w:themeColor="text1"/>
                <w:spacing w:val="-2"/>
              </w:rPr>
              <w:t>. P</w:t>
            </w:r>
            <w:r w:rsidRPr="001D5327">
              <w:rPr>
                <w:spacing w:val="-2"/>
              </w:rPr>
              <w:t>rogress has been made in identifying old mines from historical mine records in the South Island, but these data still require significant manual processing before they can be used to meaningfully assess methane fugitive emissions</w:t>
            </w:r>
            <w:r w:rsidRPr="001D5327">
              <w:rPr>
                <w:rFonts w:eastAsia="Calibri"/>
                <w:color w:val="000000" w:themeColor="text1"/>
                <w:spacing w:val="-2"/>
              </w:rPr>
              <w:t>.</w:t>
            </w:r>
          </w:p>
        </w:tc>
      </w:tr>
      <w:tr w:rsidR="00281DE2" w:rsidRPr="001D5327" w14:paraId="71DEB677" w14:textId="77777777" w:rsidTr="002C45EC">
        <w:tc>
          <w:tcPr>
            <w:tcW w:w="851" w:type="dxa"/>
            <w:shd w:val="clear" w:color="auto" w:fill="FFFFFF" w:themeFill="background1"/>
            <w:tcMar>
              <w:top w:w="0" w:type="dxa"/>
              <w:left w:w="85" w:type="dxa"/>
              <w:bottom w:w="0" w:type="dxa"/>
              <w:right w:w="85" w:type="dxa"/>
            </w:tcMar>
          </w:tcPr>
          <w:p w14:paraId="29FD1F46"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E.9</w:t>
            </w:r>
          </w:p>
        </w:tc>
        <w:tc>
          <w:tcPr>
            <w:tcW w:w="2128" w:type="dxa"/>
            <w:shd w:val="clear" w:color="auto" w:fill="FFFFFF" w:themeFill="background1"/>
            <w:tcMar>
              <w:top w:w="0" w:type="dxa"/>
              <w:left w:w="85" w:type="dxa"/>
              <w:bottom w:w="0" w:type="dxa"/>
              <w:right w:w="85" w:type="dxa"/>
            </w:tcMar>
          </w:tcPr>
          <w:p w14:paraId="6EA58ECD"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1.B.2.c Venting and flaring – gaseous fuels – CO₂ (E.15, 2021) (E.35, 2019) Comparability</w:t>
            </w:r>
          </w:p>
        </w:tc>
        <w:tc>
          <w:tcPr>
            <w:tcW w:w="3685" w:type="dxa"/>
            <w:shd w:val="clear" w:color="auto" w:fill="FFFFFF" w:themeFill="background1"/>
            <w:tcMar>
              <w:top w:w="0" w:type="dxa"/>
              <w:left w:w="85" w:type="dxa"/>
              <w:bottom w:w="0" w:type="dxa"/>
              <w:right w:w="85" w:type="dxa"/>
            </w:tcMar>
          </w:tcPr>
          <w:p w14:paraId="60644E86"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Report the AD from the Kapuni gas treatment plant for subcategory 1.B.2.c.1.ii venting – gas as confidential, “IE” or “NE”, as appropriate, in CRF table 1.B.2 and review the information on AD reported in the documentation box of the same table.</w:t>
            </w:r>
          </w:p>
        </w:tc>
        <w:tc>
          <w:tcPr>
            <w:tcW w:w="4253" w:type="dxa"/>
            <w:shd w:val="clear" w:color="auto" w:fill="FFFFFF" w:themeFill="background1"/>
            <w:tcMar>
              <w:top w:w="0" w:type="dxa"/>
              <w:left w:w="85" w:type="dxa"/>
              <w:bottom w:w="0" w:type="dxa"/>
              <w:right w:w="85" w:type="dxa"/>
            </w:tcMar>
          </w:tcPr>
          <w:p w14:paraId="032554DB"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 xml:space="preserve">Addressing. The Party reported AD in CRF table 1.B.2 for venting (category 1.B.2.c.ii). However, in the NIR (p.110), and in the documentation box of CRF table 1.B.2, it stated that no AD are available. During the review, the Party clarified that the AD from the Kapuni gas treatment plant are confidential and that the value reported in CRF table 1.B.2.c.ii for venting is only a </w:t>
            </w:r>
            <w:r w:rsidRPr="001D5327">
              <w:rPr>
                <w:rFonts w:eastAsia="Calibri"/>
                <w:color w:val="000000" w:themeColor="text1"/>
                <w:spacing w:val="-2"/>
              </w:rPr>
              <w:lastRenderedPageBreak/>
              <w:t>placeholder that was introduced during the upgrading of the data system. The Party stated its intention to report the AD as “C” in its next annual submission.</w:t>
            </w:r>
          </w:p>
        </w:tc>
        <w:tc>
          <w:tcPr>
            <w:tcW w:w="3062" w:type="dxa"/>
            <w:shd w:val="clear" w:color="auto" w:fill="FFFFFF" w:themeFill="background1"/>
            <w:tcMar>
              <w:left w:w="85" w:type="dxa"/>
              <w:right w:w="85" w:type="dxa"/>
            </w:tcMar>
          </w:tcPr>
          <w:p w14:paraId="4A3517CB" w14:textId="77777777" w:rsidR="007C5A34" w:rsidRPr="001D5327" w:rsidRDefault="007C5A34" w:rsidP="00341FEF">
            <w:pPr>
              <w:pStyle w:val="TableText"/>
              <w:spacing w:before="40" w:after="40"/>
              <w:rPr>
                <w:rFonts w:eastAsia="Calibri"/>
                <w:color w:val="000000"/>
                <w:spacing w:val="-2"/>
              </w:rPr>
            </w:pPr>
            <w:r w:rsidRPr="001D5327">
              <w:rPr>
                <w:bCs/>
                <w:spacing w:val="-2"/>
              </w:rPr>
              <w:lastRenderedPageBreak/>
              <w:t>Resolved</w:t>
            </w:r>
            <w:r w:rsidRPr="001D5327">
              <w:rPr>
                <w:spacing w:val="-2"/>
              </w:rPr>
              <w:t>. The notation keys have been changed to ‘C’.</w:t>
            </w:r>
          </w:p>
        </w:tc>
      </w:tr>
      <w:tr w:rsidR="00281DE2" w:rsidRPr="001D5327" w14:paraId="5FE6D7A4" w14:textId="77777777" w:rsidTr="002C45EC">
        <w:tc>
          <w:tcPr>
            <w:tcW w:w="851" w:type="dxa"/>
            <w:shd w:val="clear" w:color="auto" w:fill="FFFFFF" w:themeFill="background1"/>
            <w:tcMar>
              <w:top w:w="0" w:type="dxa"/>
              <w:left w:w="85" w:type="dxa"/>
              <w:bottom w:w="0" w:type="dxa"/>
              <w:right w:w="85" w:type="dxa"/>
            </w:tcMar>
          </w:tcPr>
          <w:p w14:paraId="080ADD68"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IPPU</w:t>
            </w:r>
          </w:p>
        </w:tc>
        <w:tc>
          <w:tcPr>
            <w:tcW w:w="2128" w:type="dxa"/>
            <w:shd w:val="clear" w:color="auto" w:fill="FFFFFF" w:themeFill="background1"/>
            <w:tcMar>
              <w:top w:w="0" w:type="dxa"/>
              <w:left w:w="85" w:type="dxa"/>
              <w:bottom w:w="0" w:type="dxa"/>
              <w:right w:w="85" w:type="dxa"/>
            </w:tcMar>
          </w:tcPr>
          <w:p w14:paraId="23DCA118" w14:textId="77777777" w:rsidR="007C5A34" w:rsidRPr="001D5327" w:rsidRDefault="007C5A34" w:rsidP="00341FEF">
            <w:pPr>
              <w:pStyle w:val="TableText"/>
              <w:spacing w:before="40" w:after="40"/>
              <w:rPr>
                <w:rFonts w:cstheme="minorHAnsi"/>
                <w:spacing w:val="-2"/>
              </w:rPr>
            </w:pPr>
          </w:p>
        </w:tc>
        <w:tc>
          <w:tcPr>
            <w:tcW w:w="3685" w:type="dxa"/>
            <w:shd w:val="clear" w:color="auto" w:fill="FFFFFF" w:themeFill="background1"/>
            <w:tcMar>
              <w:top w:w="0" w:type="dxa"/>
              <w:left w:w="85" w:type="dxa"/>
              <w:bottom w:w="0" w:type="dxa"/>
              <w:right w:w="85" w:type="dxa"/>
            </w:tcMar>
          </w:tcPr>
          <w:p w14:paraId="621CE60A" w14:textId="77777777" w:rsidR="007C5A34" w:rsidRPr="001D5327" w:rsidRDefault="007C5A34" w:rsidP="00341FEF">
            <w:pPr>
              <w:pStyle w:val="TableText"/>
              <w:spacing w:before="40" w:after="40"/>
              <w:rPr>
                <w:rFonts w:cstheme="minorHAnsi"/>
                <w:spacing w:val="-2"/>
              </w:rPr>
            </w:pPr>
          </w:p>
        </w:tc>
        <w:tc>
          <w:tcPr>
            <w:tcW w:w="4253" w:type="dxa"/>
            <w:shd w:val="clear" w:color="auto" w:fill="FFFFFF" w:themeFill="background1"/>
            <w:tcMar>
              <w:top w:w="0" w:type="dxa"/>
              <w:left w:w="85" w:type="dxa"/>
              <w:bottom w:w="0" w:type="dxa"/>
              <w:right w:w="85" w:type="dxa"/>
            </w:tcMar>
          </w:tcPr>
          <w:p w14:paraId="09B2030D" w14:textId="77777777" w:rsidR="007C5A34" w:rsidRPr="001D5327" w:rsidRDefault="007C5A34" w:rsidP="00341FEF">
            <w:pPr>
              <w:pStyle w:val="TableText"/>
              <w:spacing w:before="40" w:after="40"/>
              <w:rPr>
                <w:rFonts w:cstheme="minorHAnsi"/>
                <w:spacing w:val="-2"/>
              </w:rPr>
            </w:pPr>
          </w:p>
        </w:tc>
        <w:tc>
          <w:tcPr>
            <w:tcW w:w="3062" w:type="dxa"/>
            <w:shd w:val="clear" w:color="auto" w:fill="FFFFFF" w:themeFill="background1"/>
            <w:tcMar>
              <w:left w:w="85" w:type="dxa"/>
              <w:right w:w="85" w:type="dxa"/>
            </w:tcMar>
          </w:tcPr>
          <w:p w14:paraId="0D2BAF0A" w14:textId="77777777" w:rsidR="007C5A34" w:rsidRPr="001D5327" w:rsidRDefault="007C5A34" w:rsidP="00341FEF">
            <w:pPr>
              <w:pStyle w:val="TableText"/>
              <w:spacing w:before="40" w:after="40"/>
              <w:rPr>
                <w:rFonts w:cstheme="minorHAnsi"/>
                <w:spacing w:val="-2"/>
              </w:rPr>
            </w:pPr>
          </w:p>
        </w:tc>
      </w:tr>
      <w:tr w:rsidR="00281DE2" w:rsidRPr="001D5327" w14:paraId="47D6C51F" w14:textId="77777777" w:rsidTr="002C45EC">
        <w:tc>
          <w:tcPr>
            <w:tcW w:w="851" w:type="dxa"/>
            <w:shd w:val="clear" w:color="auto" w:fill="FFFFFF" w:themeFill="background1"/>
            <w:tcMar>
              <w:top w:w="0" w:type="dxa"/>
              <w:left w:w="85" w:type="dxa"/>
              <w:bottom w:w="0" w:type="dxa"/>
              <w:right w:w="85" w:type="dxa"/>
            </w:tcMar>
          </w:tcPr>
          <w:p w14:paraId="35EB9395"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I.1</w:t>
            </w:r>
          </w:p>
        </w:tc>
        <w:tc>
          <w:tcPr>
            <w:tcW w:w="2128" w:type="dxa"/>
            <w:shd w:val="clear" w:color="auto" w:fill="FFFFFF" w:themeFill="background1"/>
            <w:tcMar>
              <w:top w:w="0" w:type="dxa"/>
              <w:left w:w="85" w:type="dxa"/>
              <w:bottom w:w="0" w:type="dxa"/>
              <w:right w:w="85" w:type="dxa"/>
            </w:tcMar>
          </w:tcPr>
          <w:p w14:paraId="29898F46"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 General (IPPU) (I.1, 2021) (I.1, 2019) (I.1, 2017) (I.1, 2016) (I.2, 2015) (37, 2014) (42, 2013) Transparency</w:t>
            </w:r>
          </w:p>
        </w:tc>
        <w:tc>
          <w:tcPr>
            <w:tcW w:w="3685" w:type="dxa"/>
            <w:shd w:val="clear" w:color="auto" w:fill="FFFFFF" w:themeFill="background1"/>
            <w:tcMar>
              <w:top w:w="0" w:type="dxa"/>
              <w:left w:w="85" w:type="dxa"/>
              <w:bottom w:w="0" w:type="dxa"/>
              <w:right w:w="85" w:type="dxa"/>
            </w:tcMar>
          </w:tcPr>
          <w:p w14:paraId="1D4A4999"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Include in the NIR detailed information and methodological descriptions on how plant- specific data are estimated.</w:t>
            </w:r>
          </w:p>
        </w:tc>
        <w:tc>
          <w:tcPr>
            <w:tcW w:w="4253" w:type="dxa"/>
            <w:shd w:val="clear" w:color="auto" w:fill="FFFFFF" w:themeFill="background1"/>
            <w:tcMar>
              <w:top w:w="0" w:type="dxa"/>
              <w:left w:w="85" w:type="dxa"/>
              <w:bottom w:w="0" w:type="dxa"/>
              <w:right w:w="85" w:type="dxa"/>
            </w:tcMar>
          </w:tcPr>
          <w:p w14:paraId="45F62BE7"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Resolved. The Party improved the relevant methodological descriptions in its NIR. In response to the recommendation, the Party clarified that information on plant-specific data and methods as well as references to emissions trading scheme regulations were first added to the 2018 submission and have been updated over several NIRs.</w:t>
            </w:r>
          </w:p>
        </w:tc>
        <w:tc>
          <w:tcPr>
            <w:tcW w:w="3062" w:type="dxa"/>
            <w:shd w:val="clear" w:color="auto" w:fill="FFFFFF" w:themeFill="background1"/>
            <w:tcMar>
              <w:left w:w="85" w:type="dxa"/>
              <w:right w:w="85" w:type="dxa"/>
            </w:tcMar>
          </w:tcPr>
          <w:p w14:paraId="0FFF1509"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167A6017" w14:textId="77777777" w:rsidTr="002C45EC">
        <w:tc>
          <w:tcPr>
            <w:tcW w:w="851" w:type="dxa"/>
            <w:shd w:val="clear" w:color="auto" w:fill="FFFFFF" w:themeFill="background1"/>
            <w:tcMar>
              <w:top w:w="0" w:type="dxa"/>
              <w:left w:w="85" w:type="dxa"/>
              <w:bottom w:w="0" w:type="dxa"/>
              <w:right w:w="85" w:type="dxa"/>
            </w:tcMar>
          </w:tcPr>
          <w:p w14:paraId="155521B6"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I.2</w:t>
            </w:r>
          </w:p>
        </w:tc>
        <w:tc>
          <w:tcPr>
            <w:tcW w:w="2128" w:type="dxa"/>
            <w:shd w:val="clear" w:color="auto" w:fill="FFFFFF" w:themeFill="background1"/>
            <w:tcMar>
              <w:top w:w="0" w:type="dxa"/>
              <w:left w:w="85" w:type="dxa"/>
              <w:bottom w:w="0" w:type="dxa"/>
              <w:right w:w="85" w:type="dxa"/>
            </w:tcMar>
          </w:tcPr>
          <w:p w14:paraId="7DFB08B9"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 General (IPPU) – HFCs, PFCs and SF₆ (I.2, 2021) (I.17, 2019) (I.16, 2017) (I.20, 2016) (I.23, 2015) Transparency</w:t>
            </w:r>
          </w:p>
        </w:tc>
        <w:tc>
          <w:tcPr>
            <w:tcW w:w="3685" w:type="dxa"/>
            <w:shd w:val="clear" w:color="auto" w:fill="FFFFFF" w:themeFill="background1"/>
            <w:tcMar>
              <w:top w:w="0" w:type="dxa"/>
              <w:left w:w="85" w:type="dxa"/>
              <w:bottom w:w="0" w:type="dxa"/>
              <w:right w:w="85" w:type="dxa"/>
            </w:tcMar>
          </w:tcPr>
          <w:p w14:paraId="228A9799"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Include in the NIR all the information indicated in the section “Reporting and documentation” of the 2006 IPCC Guidelines for categories 2.F product use as substitutes for ozone-depleting substances and 2.G other product manufacture and use.</w:t>
            </w:r>
          </w:p>
        </w:tc>
        <w:tc>
          <w:tcPr>
            <w:tcW w:w="4253" w:type="dxa"/>
            <w:shd w:val="clear" w:color="auto" w:fill="FFFFFF" w:themeFill="background1"/>
            <w:tcMar>
              <w:top w:w="0" w:type="dxa"/>
              <w:left w:w="85" w:type="dxa"/>
              <w:bottom w:w="0" w:type="dxa"/>
              <w:right w:w="85" w:type="dxa"/>
            </w:tcMar>
          </w:tcPr>
          <w:p w14:paraId="39E67BC2" w14:textId="1A11E6D0"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Resolved. During the review, the Party explained that for product use as substitutes for ozone-depleting substances (category 2.F), most of the specific documentation listed in the 2006 IPCC Guidelines (e.g. vol. 3, chap. 7, table 7.10, p.7.60) is either unavailable or not relevant to the methods used by the Party, including, for example, a schedule for phasing out chlorofluorocarbons and hydrochlorofluorocarbons. The Party also explained that data provided by some manufacturers are confidential and are used in stock models at the national level. The ERT finds that the level of detail in the NIR is sufficiently transparent given New Zealand’s methodological choice and national circumstances. For other product manufacture and use (category 2.G), the documentation listed in the 2006 IPCC Guidelines (vol. 3, chap. 8, table 8.6, p.8.22) is provided and used in the modelling. Information on archiving, including the models used, is summarized in the NIR and in a separate report</w:t>
            </w:r>
            <w:r w:rsidR="00915144" w:rsidRPr="001D5327">
              <w:rPr>
                <w:rFonts w:eastAsia="Calibri" w:cstheme="minorHAnsi"/>
                <w:color w:val="000000"/>
                <w:spacing w:val="-2"/>
              </w:rPr>
              <w:t> </w:t>
            </w:r>
            <w:r w:rsidRPr="001D5327">
              <w:rPr>
                <w:rFonts w:eastAsia="Calibri" w:cstheme="minorHAnsi"/>
                <w:color w:val="000000"/>
                <w:spacing w:val="-2"/>
              </w:rPr>
              <w:t>(Verum Group, 2021) that is referenced in the NIR as unpublished,</w:t>
            </w:r>
            <w:r w:rsidR="00915144" w:rsidRPr="001D5327">
              <w:rPr>
                <w:rFonts w:eastAsia="Calibri" w:cstheme="minorHAnsi"/>
                <w:color w:val="000000"/>
                <w:spacing w:val="-2"/>
              </w:rPr>
              <w:t xml:space="preserve"> </w:t>
            </w:r>
            <w:r w:rsidRPr="001D5327">
              <w:rPr>
                <w:rFonts w:eastAsia="Calibri" w:cstheme="minorHAnsi"/>
                <w:color w:val="000000"/>
                <w:spacing w:val="-2"/>
              </w:rPr>
              <w:t>but which the Party provided to the ERT during the</w:t>
            </w:r>
            <w:r w:rsidR="00915144" w:rsidRPr="001D5327">
              <w:rPr>
                <w:rFonts w:eastAsia="Calibri" w:cstheme="minorHAnsi"/>
                <w:color w:val="000000"/>
                <w:spacing w:val="-2"/>
              </w:rPr>
              <w:t> </w:t>
            </w:r>
            <w:r w:rsidRPr="001D5327">
              <w:rPr>
                <w:rFonts w:eastAsia="Calibri" w:cstheme="minorHAnsi"/>
                <w:color w:val="000000"/>
                <w:spacing w:val="-2"/>
              </w:rPr>
              <w:t>review.</w:t>
            </w:r>
          </w:p>
        </w:tc>
        <w:tc>
          <w:tcPr>
            <w:tcW w:w="3062" w:type="dxa"/>
            <w:shd w:val="clear" w:color="auto" w:fill="FFFFFF" w:themeFill="background1"/>
            <w:tcMar>
              <w:left w:w="85" w:type="dxa"/>
              <w:right w:w="85" w:type="dxa"/>
            </w:tcMar>
          </w:tcPr>
          <w:p w14:paraId="5A269DA3"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530194C2" w14:textId="77777777" w:rsidTr="002C45EC">
        <w:tc>
          <w:tcPr>
            <w:tcW w:w="851" w:type="dxa"/>
            <w:shd w:val="clear" w:color="auto" w:fill="FFFFFF" w:themeFill="background1"/>
            <w:tcMar>
              <w:top w:w="0" w:type="dxa"/>
              <w:left w:w="85" w:type="dxa"/>
              <w:bottom w:w="0" w:type="dxa"/>
              <w:right w:w="85" w:type="dxa"/>
            </w:tcMar>
          </w:tcPr>
          <w:p w14:paraId="6FC51F14"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I.3</w:t>
            </w:r>
          </w:p>
        </w:tc>
        <w:tc>
          <w:tcPr>
            <w:tcW w:w="2128" w:type="dxa"/>
            <w:shd w:val="clear" w:color="auto" w:fill="FFFFFF" w:themeFill="background1"/>
            <w:tcMar>
              <w:top w:w="0" w:type="dxa"/>
              <w:left w:w="85" w:type="dxa"/>
              <w:bottom w:w="0" w:type="dxa"/>
              <w:right w:w="85" w:type="dxa"/>
            </w:tcMar>
          </w:tcPr>
          <w:p w14:paraId="78464277"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 General (IPPU) (I.3, 2021) (I.23, 2019) Convention reporting adherence</w:t>
            </w:r>
          </w:p>
        </w:tc>
        <w:tc>
          <w:tcPr>
            <w:tcW w:w="3685" w:type="dxa"/>
            <w:shd w:val="clear" w:color="auto" w:fill="FFFFFF" w:themeFill="background1"/>
            <w:tcMar>
              <w:top w:w="0" w:type="dxa"/>
              <w:left w:w="85" w:type="dxa"/>
              <w:bottom w:w="0" w:type="dxa"/>
              <w:right w:w="85" w:type="dxa"/>
            </w:tcMar>
          </w:tcPr>
          <w:p w14:paraId="3A70C757"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Correct the inconsistency in the reporting of key categories within the NIR, including in the annexes to the NIR, wherein cement production (CO₂) was reported as a key category in both the level and trend assessment in NIR table 4.1.2, but as a key category in the level assessment only in NIR section 4.2.1 and as a key category in the trend assessment only (including and excluding LULUCF) in CRF table 7.</w:t>
            </w:r>
          </w:p>
        </w:tc>
        <w:tc>
          <w:tcPr>
            <w:tcW w:w="4253" w:type="dxa"/>
            <w:shd w:val="clear" w:color="auto" w:fill="FFFFFF" w:themeFill="background1"/>
            <w:tcMar>
              <w:top w:w="0" w:type="dxa"/>
              <w:left w:w="85" w:type="dxa"/>
              <w:bottom w:w="0" w:type="dxa"/>
              <w:right w:w="85" w:type="dxa"/>
            </w:tcMar>
          </w:tcPr>
          <w:p w14:paraId="139C350B"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Not resolved. The Party corrected the inconsistency in the reporting of key categories between NIR table 4.1.2 and section 4.2.1, noting that cement is a key category by level and trend, but continued to report the category as key in the trend assessment only in CRF table 7.</w:t>
            </w:r>
          </w:p>
        </w:tc>
        <w:tc>
          <w:tcPr>
            <w:tcW w:w="3062" w:type="dxa"/>
            <w:shd w:val="clear" w:color="auto" w:fill="FFFFFF" w:themeFill="background1"/>
            <w:tcMar>
              <w:left w:w="85" w:type="dxa"/>
              <w:right w:w="85" w:type="dxa"/>
            </w:tcMar>
          </w:tcPr>
          <w:p w14:paraId="6AAB91B4" w14:textId="77777777" w:rsidR="007C5A34" w:rsidRPr="001D5327" w:rsidRDefault="007C5A34" w:rsidP="00341FEF">
            <w:pPr>
              <w:pStyle w:val="TableText"/>
              <w:spacing w:before="40" w:after="40"/>
              <w:rPr>
                <w:rFonts w:eastAsia="Calibri"/>
                <w:color w:val="000000"/>
                <w:spacing w:val="-2"/>
              </w:rPr>
            </w:pPr>
            <w:r w:rsidRPr="001D5327">
              <w:rPr>
                <w:rFonts w:eastAsia="Calibri"/>
                <w:bCs/>
                <w:color w:val="000000" w:themeColor="text1"/>
                <w:spacing w:val="-2"/>
              </w:rPr>
              <w:t>Resolved</w:t>
            </w:r>
            <w:r w:rsidRPr="001D5327">
              <w:rPr>
                <w:rFonts w:eastAsia="Calibri"/>
                <w:color w:val="000000" w:themeColor="text1"/>
                <w:spacing w:val="-2"/>
              </w:rPr>
              <w:t>. Key category analysis and estimation of uncertainties have been repeated in the subsequent submissions and these discrepancies have been removed. New Zealand uses a different approach to the key category analysis than that reported in CRT table 7. It is described in chapter 1, section 1.4.</w:t>
            </w:r>
          </w:p>
        </w:tc>
      </w:tr>
      <w:tr w:rsidR="00281DE2" w:rsidRPr="001D5327" w14:paraId="4F97E26C" w14:textId="77777777" w:rsidTr="002C45EC">
        <w:tc>
          <w:tcPr>
            <w:tcW w:w="851" w:type="dxa"/>
            <w:shd w:val="clear" w:color="auto" w:fill="FFFFFF" w:themeFill="background1"/>
            <w:tcMar>
              <w:top w:w="0" w:type="dxa"/>
              <w:left w:w="85" w:type="dxa"/>
              <w:bottom w:w="0" w:type="dxa"/>
              <w:right w:w="85" w:type="dxa"/>
            </w:tcMar>
          </w:tcPr>
          <w:p w14:paraId="7EB4C5AB"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lastRenderedPageBreak/>
              <w:t>I.4</w:t>
            </w:r>
          </w:p>
        </w:tc>
        <w:tc>
          <w:tcPr>
            <w:tcW w:w="2128" w:type="dxa"/>
            <w:shd w:val="clear" w:color="auto" w:fill="FFFFFF" w:themeFill="background1"/>
            <w:tcMar>
              <w:top w:w="0" w:type="dxa"/>
              <w:left w:w="85" w:type="dxa"/>
              <w:bottom w:w="0" w:type="dxa"/>
              <w:right w:w="85" w:type="dxa"/>
            </w:tcMar>
          </w:tcPr>
          <w:p w14:paraId="7810203D"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 General (IPPU) – CO₂ (I.4, 2021) (I.26, 2019) Transparency</w:t>
            </w:r>
          </w:p>
        </w:tc>
        <w:tc>
          <w:tcPr>
            <w:tcW w:w="3685" w:type="dxa"/>
            <w:shd w:val="clear" w:color="auto" w:fill="FFFFFF" w:themeFill="background1"/>
            <w:tcMar>
              <w:top w:w="0" w:type="dxa"/>
              <w:left w:w="85" w:type="dxa"/>
              <w:bottom w:w="0" w:type="dxa"/>
              <w:right w:w="85" w:type="dxa"/>
            </w:tcMar>
          </w:tcPr>
          <w:p w14:paraId="1DB1AC63"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Explain how the AD for the chemical and metal industries (categories 2.B and 2.C) are obtained.</w:t>
            </w:r>
          </w:p>
        </w:tc>
        <w:tc>
          <w:tcPr>
            <w:tcW w:w="4253" w:type="dxa"/>
            <w:shd w:val="clear" w:color="auto" w:fill="FFFFFF" w:themeFill="background1"/>
            <w:tcMar>
              <w:top w:w="0" w:type="dxa"/>
              <w:left w:w="85" w:type="dxa"/>
              <w:bottom w:w="0" w:type="dxa"/>
              <w:right w:w="85" w:type="dxa"/>
            </w:tcMar>
          </w:tcPr>
          <w:p w14:paraId="442F1EEB"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Resolved. The description in the NIR (sections 4.3.2 and 4.4.2) has been updated, which explained how the AD for chemical and metal industries are obtained.</w:t>
            </w:r>
          </w:p>
        </w:tc>
        <w:tc>
          <w:tcPr>
            <w:tcW w:w="3062" w:type="dxa"/>
            <w:shd w:val="clear" w:color="auto" w:fill="FFFFFF" w:themeFill="background1"/>
            <w:tcMar>
              <w:left w:w="85" w:type="dxa"/>
              <w:right w:w="85" w:type="dxa"/>
            </w:tcMar>
          </w:tcPr>
          <w:p w14:paraId="5EC1E5C0"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6E51340C" w14:textId="77777777" w:rsidTr="002C45EC">
        <w:tc>
          <w:tcPr>
            <w:tcW w:w="851" w:type="dxa"/>
            <w:shd w:val="clear" w:color="auto" w:fill="FFFFFF" w:themeFill="background1"/>
            <w:tcMar>
              <w:top w:w="0" w:type="dxa"/>
              <w:left w:w="85" w:type="dxa"/>
              <w:bottom w:w="0" w:type="dxa"/>
              <w:right w:w="85" w:type="dxa"/>
            </w:tcMar>
          </w:tcPr>
          <w:p w14:paraId="10D623C0"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I.5</w:t>
            </w:r>
          </w:p>
        </w:tc>
        <w:tc>
          <w:tcPr>
            <w:tcW w:w="2128" w:type="dxa"/>
            <w:shd w:val="clear" w:color="auto" w:fill="FFFFFF" w:themeFill="background1"/>
            <w:tcMar>
              <w:top w:w="0" w:type="dxa"/>
              <w:left w:w="85" w:type="dxa"/>
              <w:bottom w:w="0" w:type="dxa"/>
              <w:right w:w="85" w:type="dxa"/>
            </w:tcMar>
          </w:tcPr>
          <w:p w14:paraId="0226406A"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2.A.2 Lime production – CO₂ (I.6, 2021) (I.6, 2019) (I.23, 2017) Transparency</w:t>
            </w:r>
          </w:p>
        </w:tc>
        <w:tc>
          <w:tcPr>
            <w:tcW w:w="3685" w:type="dxa"/>
            <w:shd w:val="clear" w:color="auto" w:fill="FFFFFF" w:themeFill="background1"/>
            <w:tcMar>
              <w:top w:w="0" w:type="dxa"/>
              <w:left w:w="85" w:type="dxa"/>
              <w:bottom w:w="0" w:type="dxa"/>
              <w:right w:w="85" w:type="dxa"/>
            </w:tcMar>
          </w:tcPr>
          <w:p w14:paraId="1081D6D0" w14:textId="2414FFB8"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Update the description in the NIR to correctly reflect the AD and EFs used and to clarify the assumptions and methods applied for 1990–2013 and 2014 onward.</w:t>
            </w:r>
          </w:p>
        </w:tc>
        <w:tc>
          <w:tcPr>
            <w:tcW w:w="4253" w:type="dxa"/>
            <w:shd w:val="clear" w:color="auto" w:fill="FFFFFF" w:themeFill="background1"/>
            <w:tcMar>
              <w:top w:w="0" w:type="dxa"/>
              <w:left w:w="85" w:type="dxa"/>
              <w:bottom w:w="0" w:type="dxa"/>
              <w:right w:w="85" w:type="dxa"/>
            </w:tcMar>
          </w:tcPr>
          <w:p w14:paraId="601A94CC"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Resolved. The Party reported in the NIR (table 10.2.1) that consistent AD are now used for the entire time series. The ERT noted that the NIR includes some changes in the methodological description for estimating emissions from lime production.</w:t>
            </w:r>
          </w:p>
        </w:tc>
        <w:tc>
          <w:tcPr>
            <w:tcW w:w="3062" w:type="dxa"/>
            <w:shd w:val="clear" w:color="auto" w:fill="FFFFFF" w:themeFill="background1"/>
            <w:tcMar>
              <w:left w:w="85" w:type="dxa"/>
              <w:right w:w="85" w:type="dxa"/>
            </w:tcMar>
          </w:tcPr>
          <w:p w14:paraId="76CB3F88"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219DCA4F" w14:textId="77777777" w:rsidTr="002C45EC">
        <w:tc>
          <w:tcPr>
            <w:tcW w:w="851" w:type="dxa"/>
            <w:shd w:val="clear" w:color="auto" w:fill="FFFFFF" w:themeFill="background1"/>
            <w:tcMar>
              <w:top w:w="0" w:type="dxa"/>
              <w:left w:w="85" w:type="dxa"/>
              <w:bottom w:w="0" w:type="dxa"/>
              <w:right w:w="85" w:type="dxa"/>
            </w:tcMar>
          </w:tcPr>
          <w:p w14:paraId="3C46A313"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I.6</w:t>
            </w:r>
          </w:p>
        </w:tc>
        <w:tc>
          <w:tcPr>
            <w:tcW w:w="2128" w:type="dxa"/>
            <w:shd w:val="clear" w:color="auto" w:fill="FFFFFF" w:themeFill="background1"/>
            <w:tcMar>
              <w:top w:w="0" w:type="dxa"/>
              <w:left w:w="85" w:type="dxa"/>
              <w:bottom w:w="0" w:type="dxa"/>
              <w:right w:w="85" w:type="dxa"/>
            </w:tcMar>
          </w:tcPr>
          <w:p w14:paraId="7CEAED56"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2.A.2 Lime production – CO₂ (I.7, 2021) (I.24, 2019) Accuracy</w:t>
            </w:r>
          </w:p>
        </w:tc>
        <w:tc>
          <w:tcPr>
            <w:tcW w:w="3685" w:type="dxa"/>
            <w:shd w:val="clear" w:color="auto" w:fill="FFFFFF" w:themeFill="background1"/>
            <w:tcMar>
              <w:top w:w="0" w:type="dxa"/>
              <w:left w:w="85" w:type="dxa"/>
              <w:bottom w:w="0" w:type="dxa"/>
              <w:right w:w="85" w:type="dxa"/>
            </w:tcMar>
          </w:tcPr>
          <w:p w14:paraId="5B9FE97C"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Review and, if necessary, revise the CO₂ EF for kiln dust, noting that it cannot be the same as the CO₂ EF for calcium oxide because the dust contains a mixture of calcium oxide and magnesium oxide.</w:t>
            </w:r>
          </w:p>
        </w:tc>
        <w:tc>
          <w:tcPr>
            <w:tcW w:w="4253" w:type="dxa"/>
            <w:shd w:val="clear" w:color="auto" w:fill="FFFFFF" w:themeFill="background1"/>
            <w:tcMar>
              <w:top w:w="0" w:type="dxa"/>
              <w:left w:w="85" w:type="dxa"/>
              <w:bottom w:w="0" w:type="dxa"/>
              <w:right w:w="85" w:type="dxa"/>
            </w:tcMar>
          </w:tcPr>
          <w:p w14:paraId="20CD33F5"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Resolved. During the review, the Party reported that both companies producing lime in New Zealand reported zero or insignificant amounts of magnesium oxide in kiln dust and therefore no amendment to the CO₂ EF is considered necessary. The ERT considers that the recommendation has been fully addressed and emphasizes the need to reflect such details in future NIRs for the sake of transparency.</w:t>
            </w:r>
          </w:p>
        </w:tc>
        <w:tc>
          <w:tcPr>
            <w:tcW w:w="3062" w:type="dxa"/>
            <w:shd w:val="clear" w:color="auto" w:fill="FFFFFF" w:themeFill="background1"/>
            <w:tcMar>
              <w:left w:w="85" w:type="dxa"/>
              <w:right w:w="85" w:type="dxa"/>
            </w:tcMar>
          </w:tcPr>
          <w:p w14:paraId="7B4F05C8"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02730250" w14:textId="77777777" w:rsidTr="002C45EC">
        <w:tc>
          <w:tcPr>
            <w:tcW w:w="851" w:type="dxa"/>
            <w:shd w:val="clear" w:color="auto" w:fill="FFFFFF" w:themeFill="background1"/>
            <w:tcMar>
              <w:top w:w="0" w:type="dxa"/>
              <w:left w:w="85" w:type="dxa"/>
              <w:bottom w:w="0" w:type="dxa"/>
              <w:right w:w="85" w:type="dxa"/>
            </w:tcMar>
          </w:tcPr>
          <w:p w14:paraId="3D670DE5"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I.7</w:t>
            </w:r>
          </w:p>
        </w:tc>
        <w:tc>
          <w:tcPr>
            <w:tcW w:w="2128" w:type="dxa"/>
            <w:shd w:val="clear" w:color="auto" w:fill="FFFFFF" w:themeFill="background1"/>
            <w:tcMar>
              <w:top w:w="0" w:type="dxa"/>
              <w:left w:w="85" w:type="dxa"/>
              <w:bottom w:w="0" w:type="dxa"/>
              <w:right w:w="85" w:type="dxa"/>
            </w:tcMar>
          </w:tcPr>
          <w:p w14:paraId="358CD1D3"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2.B.1 Ammonia production – CO₂ (I.13, 2021) (I.27, 2019) Comparability</w:t>
            </w:r>
          </w:p>
        </w:tc>
        <w:tc>
          <w:tcPr>
            <w:tcW w:w="3685" w:type="dxa"/>
            <w:shd w:val="clear" w:color="auto" w:fill="FFFFFF" w:themeFill="background1"/>
            <w:tcMar>
              <w:top w:w="0" w:type="dxa"/>
              <w:left w:w="85" w:type="dxa"/>
              <w:bottom w:w="0" w:type="dxa"/>
              <w:right w:w="85" w:type="dxa"/>
            </w:tcMar>
          </w:tcPr>
          <w:p w14:paraId="765A5800"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Subtract the total quantities of oil and gas used (fuel plus feedstock) in ammonia production from the quantity reported under energy use in the energy sector, include the emissions accordingly in the IPPU sector and explain this reallocation in the NIR.</w:t>
            </w:r>
          </w:p>
        </w:tc>
        <w:tc>
          <w:tcPr>
            <w:tcW w:w="4253" w:type="dxa"/>
            <w:shd w:val="clear" w:color="auto" w:fill="FFFFFF" w:themeFill="background1"/>
            <w:tcMar>
              <w:top w:w="0" w:type="dxa"/>
              <w:left w:w="85" w:type="dxa"/>
              <w:bottom w:w="0" w:type="dxa"/>
              <w:right w:w="85" w:type="dxa"/>
            </w:tcMar>
          </w:tcPr>
          <w:p w14:paraId="02EEFBBA"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Addressing. During the review, the ERT asked New Zealand to clarify its response that “the recommendation cannot be implemented because information submitted by the plant operators is subject to an obligation to keep gas consumption data confidential”. The Party clarified that there was a misunderstanding on the exact requirement of the recommendation and explained that feedstock gas used for ammonia production was not included in the emissions reported for the energy sector and that appropriate notation keys will be used in future annual submissions to reflect any confidentiality issues.</w:t>
            </w:r>
          </w:p>
        </w:tc>
        <w:tc>
          <w:tcPr>
            <w:tcW w:w="3062" w:type="dxa"/>
            <w:shd w:val="clear" w:color="auto" w:fill="FFFFFF" w:themeFill="background1"/>
            <w:tcMar>
              <w:left w:w="85" w:type="dxa"/>
              <w:right w:w="85" w:type="dxa"/>
            </w:tcMar>
          </w:tcPr>
          <w:p w14:paraId="253BCEA3" w14:textId="2F6D5532" w:rsidR="007C5A34" w:rsidRPr="001D5327" w:rsidRDefault="007C5A34" w:rsidP="00341FEF">
            <w:pPr>
              <w:pStyle w:val="TableText"/>
              <w:spacing w:before="40" w:after="40"/>
              <w:rPr>
                <w:rFonts w:eastAsia="Calibri" w:cstheme="minorHAnsi"/>
                <w:color w:val="000000"/>
                <w:spacing w:val="-2"/>
              </w:rPr>
            </w:pPr>
            <w:r w:rsidRPr="001D5327">
              <w:rPr>
                <w:rFonts w:eastAsia="Calibri" w:cstheme="minorHAnsi"/>
                <w:color w:val="000000"/>
                <w:spacing w:val="-2"/>
              </w:rPr>
              <w:t>Resolved. This recommendation has been actioned. An explanation is provided in chapter</w:t>
            </w:r>
            <w:r w:rsidR="00AE4B0C" w:rsidRPr="001D5327">
              <w:rPr>
                <w:rFonts w:eastAsia="Calibri" w:cstheme="minorHAnsi"/>
                <w:color w:val="000000"/>
                <w:spacing w:val="-2"/>
              </w:rPr>
              <w:t> </w:t>
            </w:r>
            <w:r w:rsidRPr="001D5327">
              <w:rPr>
                <w:rFonts w:eastAsia="Calibri" w:cstheme="minorHAnsi"/>
                <w:color w:val="000000"/>
                <w:spacing w:val="-2"/>
              </w:rPr>
              <w:t>4.</w:t>
            </w:r>
          </w:p>
        </w:tc>
      </w:tr>
      <w:tr w:rsidR="00281DE2" w:rsidRPr="001D5327" w14:paraId="426F1BE4" w14:textId="77777777" w:rsidTr="002C45EC">
        <w:tc>
          <w:tcPr>
            <w:tcW w:w="851" w:type="dxa"/>
            <w:shd w:val="clear" w:color="auto" w:fill="FFFFFF" w:themeFill="background1"/>
            <w:tcMar>
              <w:top w:w="0" w:type="dxa"/>
              <w:left w:w="85" w:type="dxa"/>
              <w:bottom w:w="0" w:type="dxa"/>
              <w:right w:w="85" w:type="dxa"/>
            </w:tcMar>
          </w:tcPr>
          <w:p w14:paraId="112C58EF"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I.8</w:t>
            </w:r>
          </w:p>
        </w:tc>
        <w:tc>
          <w:tcPr>
            <w:tcW w:w="2128" w:type="dxa"/>
            <w:shd w:val="clear" w:color="auto" w:fill="FFFFFF" w:themeFill="background1"/>
            <w:tcMar>
              <w:top w:w="0" w:type="dxa"/>
              <w:left w:w="85" w:type="dxa"/>
              <w:bottom w:w="0" w:type="dxa"/>
              <w:right w:w="85" w:type="dxa"/>
            </w:tcMar>
          </w:tcPr>
          <w:p w14:paraId="6D5C8032"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2.C.1 Iron and steel production – CO₂ (I.14, 2021) (I.11, 2019) (I.26, 2017) Completeness</w:t>
            </w:r>
          </w:p>
        </w:tc>
        <w:tc>
          <w:tcPr>
            <w:tcW w:w="3685" w:type="dxa"/>
            <w:shd w:val="clear" w:color="auto" w:fill="FFFFFF" w:themeFill="background1"/>
            <w:tcMar>
              <w:top w:w="0" w:type="dxa"/>
              <w:left w:w="85" w:type="dxa"/>
              <w:bottom w:w="0" w:type="dxa"/>
              <w:right w:w="85" w:type="dxa"/>
            </w:tcMar>
          </w:tcPr>
          <w:p w14:paraId="10AEF7ED"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Estimate CO₂ emissions from electric steel production at the Pacific Steel plant, either by using a carbon balance or by applying an appropriate EF, and report these emissions under category 2.C.1.</w:t>
            </w:r>
          </w:p>
        </w:tc>
        <w:tc>
          <w:tcPr>
            <w:tcW w:w="4253" w:type="dxa"/>
            <w:shd w:val="clear" w:color="auto" w:fill="FFFFFF" w:themeFill="background1"/>
            <w:tcMar>
              <w:top w:w="0" w:type="dxa"/>
              <w:left w:w="85" w:type="dxa"/>
              <w:bottom w:w="0" w:type="dxa"/>
              <w:right w:w="85" w:type="dxa"/>
            </w:tcMar>
          </w:tcPr>
          <w:p w14:paraId="2369F905"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Not resolved. The Party reported in its NIR (table 10.2.1) that the plant was closed in 2015. The ERT notes that the fact that the plant was closed in 2015 does not address the completeness issue for 1990–2015, assuming that the plant was in operation during that complete time period.</w:t>
            </w:r>
          </w:p>
        </w:tc>
        <w:tc>
          <w:tcPr>
            <w:tcW w:w="3062" w:type="dxa"/>
            <w:shd w:val="clear" w:color="auto" w:fill="FFFFFF" w:themeFill="background1"/>
            <w:tcMar>
              <w:left w:w="85" w:type="dxa"/>
              <w:right w:w="85" w:type="dxa"/>
            </w:tcMar>
          </w:tcPr>
          <w:p w14:paraId="3382F7F4" w14:textId="77777777" w:rsidR="007C5A34" w:rsidRPr="001D5327" w:rsidRDefault="007C5A34" w:rsidP="00341FEF">
            <w:pPr>
              <w:pStyle w:val="TableText"/>
              <w:spacing w:before="40" w:after="40"/>
              <w:rPr>
                <w:rFonts w:eastAsia="Calibri" w:cstheme="minorHAnsi"/>
                <w:color w:val="000000"/>
                <w:spacing w:val="-2"/>
              </w:rPr>
            </w:pPr>
            <w:r w:rsidRPr="001D5327">
              <w:rPr>
                <w:rFonts w:eastAsia="Calibri" w:cstheme="minorHAnsi"/>
                <w:bCs/>
                <w:color w:val="000000"/>
                <w:spacing w:val="-2"/>
              </w:rPr>
              <w:t>Resolved</w:t>
            </w:r>
            <w:r w:rsidRPr="001D5327">
              <w:rPr>
                <w:rFonts w:eastAsia="Calibri" w:cstheme="minorHAnsi"/>
                <w:color w:val="000000"/>
                <w:spacing w:val="-2"/>
              </w:rPr>
              <w:t>. New Zealand estimates CO</w:t>
            </w:r>
            <w:r w:rsidRPr="001D5327">
              <w:rPr>
                <w:rFonts w:eastAsia="Calibri" w:cstheme="minorHAnsi"/>
                <w:color w:val="000000"/>
                <w:spacing w:val="-2"/>
                <w:vertAlign w:val="subscript"/>
              </w:rPr>
              <w:t>2</w:t>
            </w:r>
            <w:r w:rsidRPr="001D5327">
              <w:rPr>
                <w:rFonts w:eastAsia="Calibri" w:cstheme="minorHAnsi"/>
                <w:color w:val="000000"/>
                <w:spacing w:val="-2"/>
              </w:rPr>
              <w:t xml:space="preserve"> emissions from electric steel production at the Pacific Steel plant using an approximate carbon balance. This is described in the chapter 4, section 4.4.2.</w:t>
            </w:r>
          </w:p>
        </w:tc>
      </w:tr>
      <w:tr w:rsidR="00281DE2" w:rsidRPr="001D5327" w14:paraId="3F33489A" w14:textId="77777777" w:rsidTr="002C45EC">
        <w:tc>
          <w:tcPr>
            <w:tcW w:w="851" w:type="dxa"/>
            <w:shd w:val="clear" w:color="auto" w:fill="FFFFFF" w:themeFill="background1"/>
            <w:tcMar>
              <w:top w:w="0" w:type="dxa"/>
              <w:left w:w="85" w:type="dxa"/>
              <w:bottom w:w="0" w:type="dxa"/>
              <w:right w:w="85" w:type="dxa"/>
            </w:tcMar>
          </w:tcPr>
          <w:p w14:paraId="3B8DC1E9"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I.9</w:t>
            </w:r>
          </w:p>
        </w:tc>
        <w:tc>
          <w:tcPr>
            <w:tcW w:w="2128" w:type="dxa"/>
            <w:shd w:val="clear" w:color="auto" w:fill="FFFFFF" w:themeFill="background1"/>
            <w:tcMar>
              <w:top w:w="0" w:type="dxa"/>
              <w:left w:w="85" w:type="dxa"/>
              <w:bottom w:w="0" w:type="dxa"/>
              <w:right w:w="85" w:type="dxa"/>
            </w:tcMar>
          </w:tcPr>
          <w:p w14:paraId="4854D771"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2.C.1 Iron and steel production – CH₄ (I.25, 2021) Completeness</w:t>
            </w:r>
          </w:p>
        </w:tc>
        <w:tc>
          <w:tcPr>
            <w:tcW w:w="3685" w:type="dxa"/>
            <w:shd w:val="clear" w:color="auto" w:fill="FFFFFF" w:themeFill="background1"/>
            <w:tcMar>
              <w:top w:w="0" w:type="dxa"/>
              <w:left w:w="85" w:type="dxa"/>
              <w:bottom w:w="0" w:type="dxa"/>
              <w:right w:w="85" w:type="dxa"/>
            </w:tcMar>
          </w:tcPr>
          <w:p w14:paraId="79D9F50C"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 xml:space="preserve">Investigate all the potential CH₄ sources and report CH₄ emissions from iron and steel production under category 2.C.1 for the entire time series using a methodology consistent with the decision tree in the 2006 IPCC Guidelines (vol. 3, chap. 4, p.4.20, figure 4.8). Include a description of the methodologies, AD and EFs used for the estimates. Alternatively, report the emissions as “NE” and demonstrate in the NIR that the likely level of emissions is below the significance </w:t>
            </w:r>
            <w:r w:rsidRPr="001D5327">
              <w:rPr>
                <w:rFonts w:eastAsia="Calibri"/>
                <w:color w:val="000000" w:themeColor="text1"/>
                <w:spacing w:val="-2"/>
              </w:rPr>
              <w:lastRenderedPageBreak/>
              <w:t>threshold indicated in paragraph 37(b) of the UNFCCC Annex I inventory reporting guidelines.</w:t>
            </w:r>
          </w:p>
        </w:tc>
        <w:tc>
          <w:tcPr>
            <w:tcW w:w="4253" w:type="dxa"/>
            <w:shd w:val="clear" w:color="auto" w:fill="FFFFFF" w:themeFill="background1"/>
            <w:tcMar>
              <w:top w:w="0" w:type="dxa"/>
              <w:left w:w="85" w:type="dxa"/>
              <w:bottom w:w="0" w:type="dxa"/>
              <w:right w:w="85" w:type="dxa"/>
            </w:tcMar>
          </w:tcPr>
          <w:p w14:paraId="399AB5E3" w14:textId="77777777" w:rsidR="007C5A34" w:rsidRPr="001D5327" w:rsidRDefault="007C5A34" w:rsidP="00341FEF">
            <w:pPr>
              <w:pStyle w:val="TableText"/>
              <w:spacing w:before="40" w:after="40"/>
              <w:rPr>
                <w:spacing w:val="-2"/>
              </w:rPr>
            </w:pPr>
            <w:r w:rsidRPr="001D5327">
              <w:rPr>
                <w:rFonts w:eastAsia="Calibri"/>
                <w:color w:val="000000" w:themeColor="text1"/>
                <w:spacing w:val="-2"/>
              </w:rPr>
              <w:lastRenderedPageBreak/>
              <w:t>Addressing. During the review, the Party stated that it approached the steel company with a request for any available updated information on AD and that discussions with the steel company are ongoing.</w:t>
            </w:r>
          </w:p>
        </w:tc>
        <w:tc>
          <w:tcPr>
            <w:tcW w:w="3062" w:type="dxa"/>
            <w:shd w:val="clear" w:color="auto" w:fill="FFFFFF" w:themeFill="background1"/>
            <w:tcMar>
              <w:left w:w="85" w:type="dxa"/>
              <w:right w:w="85" w:type="dxa"/>
            </w:tcMar>
          </w:tcPr>
          <w:p w14:paraId="7F4087EC" w14:textId="77777777" w:rsidR="007C5A34" w:rsidRPr="0063223C" w:rsidRDefault="007C5A34" w:rsidP="00341FEF">
            <w:pPr>
              <w:pStyle w:val="TableText"/>
              <w:spacing w:before="40" w:after="40"/>
              <w:rPr>
                <w:rFonts w:eastAsia="Calibri" w:cstheme="minorHAnsi"/>
                <w:iCs/>
                <w:color w:val="000000"/>
                <w:spacing w:val="-2"/>
              </w:rPr>
            </w:pPr>
            <w:r w:rsidRPr="001D5327">
              <w:rPr>
                <w:rFonts w:eastAsia="Calibri" w:cstheme="minorHAnsi"/>
                <w:bCs/>
                <w:color w:val="000000"/>
                <w:spacing w:val="-2"/>
              </w:rPr>
              <w:t>Resolved</w:t>
            </w:r>
            <w:r w:rsidRPr="001D5327">
              <w:rPr>
                <w:rFonts w:eastAsia="Calibri" w:cstheme="minorHAnsi"/>
                <w:color w:val="000000"/>
                <w:spacing w:val="-2"/>
              </w:rPr>
              <w:t>. The steel company confirmed that their manufacturing processes </w:t>
            </w:r>
            <w:r w:rsidRPr="0063223C">
              <w:rPr>
                <w:rFonts w:eastAsia="Calibri" w:cstheme="minorHAnsi"/>
                <w:iCs/>
                <w:color w:val="000000"/>
                <w:spacing w:val="-2"/>
              </w:rPr>
              <w:t>do not generate or emit methane.</w:t>
            </w:r>
          </w:p>
          <w:p w14:paraId="708F2960" w14:textId="581DA447" w:rsidR="007C5A34" w:rsidRPr="001D5327" w:rsidRDefault="007C5A34" w:rsidP="00341FEF">
            <w:pPr>
              <w:pStyle w:val="TableText"/>
              <w:spacing w:before="40" w:after="40"/>
              <w:rPr>
                <w:rFonts w:eastAsia="Calibri" w:cstheme="minorHAnsi"/>
                <w:color w:val="000000"/>
                <w:spacing w:val="-2"/>
              </w:rPr>
            </w:pPr>
            <w:r w:rsidRPr="001D5327">
              <w:rPr>
                <w:rFonts w:eastAsia="Calibri" w:cstheme="minorHAnsi"/>
                <w:color w:val="000000"/>
                <w:spacing w:val="-2"/>
              </w:rPr>
              <w:t>As such, they do not test emissions for methane or have any data on methane.</w:t>
            </w:r>
          </w:p>
        </w:tc>
      </w:tr>
      <w:tr w:rsidR="00281DE2" w:rsidRPr="001D5327" w14:paraId="554F0056" w14:textId="77777777" w:rsidTr="002C45EC">
        <w:tc>
          <w:tcPr>
            <w:tcW w:w="851" w:type="dxa"/>
            <w:shd w:val="clear" w:color="auto" w:fill="FFFFFF" w:themeFill="background1"/>
            <w:tcMar>
              <w:top w:w="0" w:type="dxa"/>
              <w:left w:w="85" w:type="dxa"/>
              <w:bottom w:w="0" w:type="dxa"/>
              <w:right w:w="85" w:type="dxa"/>
            </w:tcMar>
          </w:tcPr>
          <w:p w14:paraId="2D75182F"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I.10</w:t>
            </w:r>
          </w:p>
        </w:tc>
        <w:tc>
          <w:tcPr>
            <w:tcW w:w="2128" w:type="dxa"/>
            <w:shd w:val="clear" w:color="auto" w:fill="FFFFFF" w:themeFill="background1"/>
            <w:tcMar>
              <w:top w:w="0" w:type="dxa"/>
              <w:left w:w="85" w:type="dxa"/>
              <w:bottom w:w="0" w:type="dxa"/>
              <w:right w:w="85" w:type="dxa"/>
            </w:tcMar>
          </w:tcPr>
          <w:p w14:paraId="002D8D8F"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2.C.1 Iron and steel production – CO₂ (I.26, 2021) Transparency</w:t>
            </w:r>
          </w:p>
        </w:tc>
        <w:tc>
          <w:tcPr>
            <w:tcW w:w="3685" w:type="dxa"/>
            <w:shd w:val="clear" w:color="auto" w:fill="FFFFFF" w:themeFill="background1"/>
            <w:tcMar>
              <w:top w:w="0" w:type="dxa"/>
              <w:left w:w="85" w:type="dxa"/>
              <w:bottom w:w="0" w:type="dxa"/>
              <w:right w:w="85" w:type="dxa"/>
            </w:tcMar>
          </w:tcPr>
          <w:p w14:paraId="6E9C4930"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Investigate the source of significant changes in the CO₂ IEFs for steel production across the time series and include in the NIR information concerning the trend and the reasons for the changes.</w:t>
            </w:r>
          </w:p>
        </w:tc>
        <w:tc>
          <w:tcPr>
            <w:tcW w:w="4253" w:type="dxa"/>
            <w:shd w:val="clear" w:color="auto" w:fill="FFFFFF" w:themeFill="background1"/>
            <w:tcMar>
              <w:top w:w="0" w:type="dxa"/>
              <w:left w:w="85" w:type="dxa"/>
              <w:bottom w:w="0" w:type="dxa"/>
              <w:right w:w="85" w:type="dxa"/>
            </w:tcMar>
          </w:tcPr>
          <w:p w14:paraId="7CB0B703"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Addressing. Information on the changes in the CO₂ IEFs for steel production across the time series was not included in the NIR. During the review, the Party stated that it approached the steel company with a request for any available updated information on changes affecting the IEFs and that, providing no issues arise, the information will be included in its next annual submission.</w:t>
            </w:r>
          </w:p>
        </w:tc>
        <w:tc>
          <w:tcPr>
            <w:tcW w:w="3062" w:type="dxa"/>
            <w:shd w:val="clear" w:color="auto" w:fill="FFFFFF" w:themeFill="background1"/>
            <w:tcMar>
              <w:left w:w="85" w:type="dxa"/>
              <w:right w:w="85" w:type="dxa"/>
            </w:tcMar>
          </w:tcPr>
          <w:p w14:paraId="2269F0FE" w14:textId="77777777" w:rsidR="007C5A34" w:rsidRPr="001D5327" w:rsidRDefault="007C5A34" w:rsidP="00341FEF">
            <w:pPr>
              <w:pStyle w:val="TableText"/>
              <w:spacing w:before="40" w:after="40"/>
              <w:rPr>
                <w:rFonts w:eastAsia="Calibri" w:cstheme="minorHAnsi"/>
                <w:color w:val="000000"/>
                <w:spacing w:val="-2"/>
              </w:rPr>
            </w:pPr>
            <w:r w:rsidRPr="001D5327">
              <w:rPr>
                <w:rFonts w:eastAsia="Calibri" w:cstheme="minorHAnsi"/>
                <w:bCs/>
                <w:color w:val="000000"/>
                <w:spacing w:val="-2"/>
              </w:rPr>
              <w:t>Resolved</w:t>
            </w:r>
            <w:r w:rsidRPr="001D5327">
              <w:rPr>
                <w:rFonts w:eastAsia="Calibri" w:cstheme="minorHAnsi"/>
                <w:color w:val="000000"/>
                <w:spacing w:val="-2"/>
              </w:rPr>
              <w:t>. New Zealand has updated the text (chapter 4, section 4.4.2) to explain that changes of input mixture across time are the direct cause of changes in the IEFs.</w:t>
            </w:r>
          </w:p>
        </w:tc>
      </w:tr>
      <w:tr w:rsidR="00281DE2" w:rsidRPr="001D5327" w14:paraId="0EF2EFF3" w14:textId="77777777" w:rsidTr="002C45EC">
        <w:tc>
          <w:tcPr>
            <w:tcW w:w="851" w:type="dxa"/>
            <w:shd w:val="clear" w:color="auto" w:fill="FFFFFF" w:themeFill="background1"/>
            <w:tcMar>
              <w:top w:w="0" w:type="dxa"/>
              <w:left w:w="85" w:type="dxa"/>
              <w:bottom w:w="0" w:type="dxa"/>
              <w:right w:w="85" w:type="dxa"/>
            </w:tcMar>
          </w:tcPr>
          <w:p w14:paraId="52CCC8B2"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I.11</w:t>
            </w:r>
          </w:p>
        </w:tc>
        <w:tc>
          <w:tcPr>
            <w:tcW w:w="2128" w:type="dxa"/>
            <w:shd w:val="clear" w:color="auto" w:fill="FFFFFF" w:themeFill="background1"/>
            <w:tcMar>
              <w:top w:w="0" w:type="dxa"/>
              <w:left w:w="85" w:type="dxa"/>
              <w:bottom w:w="0" w:type="dxa"/>
              <w:right w:w="85" w:type="dxa"/>
            </w:tcMar>
          </w:tcPr>
          <w:p w14:paraId="153C2C42"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2.C.4 Magnesium production – SF₆ (I.15, 2021) (I.14, 2019) (I.28, 2017) Transparency</w:t>
            </w:r>
          </w:p>
        </w:tc>
        <w:tc>
          <w:tcPr>
            <w:tcW w:w="3685" w:type="dxa"/>
            <w:shd w:val="clear" w:color="auto" w:fill="FFFFFF" w:themeFill="background1"/>
            <w:tcMar>
              <w:top w:w="0" w:type="dxa"/>
              <w:left w:w="85" w:type="dxa"/>
              <w:bottom w:w="0" w:type="dxa"/>
              <w:right w:w="85" w:type="dxa"/>
            </w:tcMar>
          </w:tcPr>
          <w:p w14:paraId="407AA06A"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State in the NIR that, for SF₆ emissions from magnesium casting, a country-specific uncertainty is used rather than the IPCC default uncertainty and explain the reason for its use.</w:t>
            </w:r>
          </w:p>
        </w:tc>
        <w:tc>
          <w:tcPr>
            <w:tcW w:w="4253" w:type="dxa"/>
            <w:shd w:val="clear" w:color="auto" w:fill="FFFFFF" w:themeFill="background1"/>
            <w:tcMar>
              <w:top w:w="0" w:type="dxa"/>
              <w:left w:w="85" w:type="dxa"/>
              <w:bottom w:w="0" w:type="dxa"/>
              <w:right w:w="85" w:type="dxa"/>
            </w:tcMar>
          </w:tcPr>
          <w:p w14:paraId="3B68E471"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Not resolved. The ERT could not find a statement in the NIR indicating that, for SF₆ emissions from magnesium casting, a country-specific uncertainty is used rather than the IPCC default uncertainty. During the review, the Party stated that an explanation is provided in the NIR (section 4.4.2), which states that, for such a small emissions source (estimated at 120 kg SF₆ or less than 3 kt CO₂ eq/year), only approximate estimates of the quantities of SF₆ used are available.</w:t>
            </w:r>
          </w:p>
        </w:tc>
        <w:tc>
          <w:tcPr>
            <w:tcW w:w="3062" w:type="dxa"/>
            <w:shd w:val="clear" w:color="auto" w:fill="FFFFFF" w:themeFill="background1"/>
            <w:tcMar>
              <w:left w:w="85" w:type="dxa"/>
              <w:right w:w="85" w:type="dxa"/>
            </w:tcMar>
          </w:tcPr>
          <w:p w14:paraId="42108609" w14:textId="77777777" w:rsidR="007C5A34" w:rsidRPr="001D5327" w:rsidRDefault="007C5A34" w:rsidP="00341FEF">
            <w:pPr>
              <w:pStyle w:val="TableText"/>
              <w:spacing w:before="40" w:after="40"/>
              <w:rPr>
                <w:rFonts w:eastAsia="Calibri" w:cstheme="minorHAnsi"/>
                <w:color w:val="000000"/>
                <w:spacing w:val="-2"/>
              </w:rPr>
            </w:pPr>
            <w:r w:rsidRPr="001D5327">
              <w:rPr>
                <w:rFonts w:eastAsia="Calibri" w:cstheme="minorHAnsi"/>
                <w:color w:val="000000"/>
                <w:spacing w:val="-2"/>
              </w:rPr>
              <w:t>Resolved. New Zealand has updated the text (chapter 4, section 4.4.3) to explain that it uses a country-specific uncertainty value for AD in SF</w:t>
            </w:r>
            <w:r w:rsidRPr="001D5327">
              <w:rPr>
                <w:rFonts w:eastAsia="Calibri" w:cstheme="minorHAnsi"/>
                <w:color w:val="000000"/>
                <w:spacing w:val="-2"/>
                <w:vertAlign w:val="subscript"/>
              </w:rPr>
              <w:t>6</w:t>
            </w:r>
            <w:r w:rsidRPr="001D5327">
              <w:rPr>
                <w:rFonts w:eastAsia="Calibri" w:cstheme="minorHAnsi"/>
                <w:color w:val="000000"/>
                <w:spacing w:val="-2"/>
              </w:rPr>
              <w:t xml:space="preserve"> emissions from magnesium casting.</w:t>
            </w:r>
          </w:p>
        </w:tc>
      </w:tr>
      <w:tr w:rsidR="00281DE2" w:rsidRPr="001D5327" w14:paraId="6E0A628F" w14:textId="77777777" w:rsidTr="002C45EC">
        <w:tc>
          <w:tcPr>
            <w:tcW w:w="851" w:type="dxa"/>
            <w:shd w:val="clear" w:color="auto" w:fill="FFFFFF" w:themeFill="background1"/>
            <w:tcMar>
              <w:top w:w="0" w:type="dxa"/>
              <w:left w:w="85" w:type="dxa"/>
              <w:bottom w:w="0" w:type="dxa"/>
              <w:right w:w="85" w:type="dxa"/>
            </w:tcMar>
          </w:tcPr>
          <w:p w14:paraId="18EBE73D"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I.12</w:t>
            </w:r>
          </w:p>
        </w:tc>
        <w:tc>
          <w:tcPr>
            <w:tcW w:w="2128" w:type="dxa"/>
            <w:shd w:val="clear" w:color="auto" w:fill="FFFFFF" w:themeFill="background1"/>
            <w:tcMar>
              <w:top w:w="0" w:type="dxa"/>
              <w:left w:w="85" w:type="dxa"/>
              <w:bottom w:w="0" w:type="dxa"/>
              <w:right w:w="85" w:type="dxa"/>
            </w:tcMar>
          </w:tcPr>
          <w:p w14:paraId="2D12DE36"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2.D.1 Lubricant use – CO₂ (I.16, 2021) (I.28, 2019) Transparency</w:t>
            </w:r>
          </w:p>
        </w:tc>
        <w:tc>
          <w:tcPr>
            <w:tcW w:w="3685" w:type="dxa"/>
            <w:shd w:val="clear" w:color="auto" w:fill="FFFFFF" w:themeFill="background1"/>
            <w:tcMar>
              <w:top w:w="0" w:type="dxa"/>
              <w:left w:w="85" w:type="dxa"/>
              <w:bottom w:w="0" w:type="dxa"/>
              <w:right w:w="85" w:type="dxa"/>
            </w:tcMar>
          </w:tcPr>
          <w:p w14:paraId="47E3894B"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Improve the information on the CO₂ EF for lubricant use, including the source of the EF.</w:t>
            </w:r>
          </w:p>
        </w:tc>
        <w:tc>
          <w:tcPr>
            <w:tcW w:w="4253" w:type="dxa"/>
            <w:shd w:val="clear" w:color="auto" w:fill="FFFFFF" w:themeFill="background1"/>
            <w:tcMar>
              <w:top w:w="0" w:type="dxa"/>
              <w:left w:w="85" w:type="dxa"/>
              <w:bottom w:w="0" w:type="dxa"/>
              <w:right w:w="85" w:type="dxa"/>
            </w:tcMar>
          </w:tcPr>
          <w:p w14:paraId="7F16ED9D"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Resolved. The Party reported in its NIR information on the CO₂ EF for lubricant use (section 4.5.2) and that the EF is the IPCC default (table 10.2.2).</w:t>
            </w:r>
          </w:p>
        </w:tc>
        <w:tc>
          <w:tcPr>
            <w:tcW w:w="3062" w:type="dxa"/>
            <w:shd w:val="clear" w:color="auto" w:fill="FFFFFF" w:themeFill="background1"/>
            <w:tcMar>
              <w:left w:w="85" w:type="dxa"/>
              <w:right w:w="85" w:type="dxa"/>
            </w:tcMar>
          </w:tcPr>
          <w:p w14:paraId="2DA6AB67"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24EF79B1" w14:textId="77777777" w:rsidTr="002C45EC">
        <w:tc>
          <w:tcPr>
            <w:tcW w:w="851" w:type="dxa"/>
            <w:shd w:val="clear" w:color="auto" w:fill="FFFFFF" w:themeFill="background1"/>
            <w:tcMar>
              <w:top w:w="0" w:type="dxa"/>
              <w:left w:w="85" w:type="dxa"/>
              <w:bottom w:w="0" w:type="dxa"/>
              <w:right w:w="85" w:type="dxa"/>
            </w:tcMar>
          </w:tcPr>
          <w:p w14:paraId="1F74077B"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I.13</w:t>
            </w:r>
          </w:p>
        </w:tc>
        <w:tc>
          <w:tcPr>
            <w:tcW w:w="2128" w:type="dxa"/>
            <w:shd w:val="clear" w:color="auto" w:fill="FFFFFF" w:themeFill="background1"/>
            <w:tcMar>
              <w:top w:w="0" w:type="dxa"/>
              <w:left w:w="85" w:type="dxa"/>
              <w:bottom w:w="0" w:type="dxa"/>
              <w:right w:w="85" w:type="dxa"/>
            </w:tcMar>
          </w:tcPr>
          <w:p w14:paraId="414FB327"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2.F Product uses as substitutes for ozone- depleting substances – HFCs (I.17, 2021) (I.18, 2019) (I.30, 2017) Transparency</w:t>
            </w:r>
          </w:p>
        </w:tc>
        <w:tc>
          <w:tcPr>
            <w:tcW w:w="3685" w:type="dxa"/>
            <w:shd w:val="clear" w:color="auto" w:fill="FFFFFF" w:themeFill="background1"/>
            <w:tcMar>
              <w:top w:w="0" w:type="dxa"/>
              <w:left w:w="85" w:type="dxa"/>
              <w:bottom w:w="0" w:type="dxa"/>
              <w:right w:w="85" w:type="dxa"/>
            </w:tcMar>
          </w:tcPr>
          <w:p w14:paraId="2998C539"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Explain, in section 4.7.3 of the NIR, which approach (other than a combination of uncertainties) was used to derive the uncertainty of 35 per cent presented in NIR table A2.1.1.</w:t>
            </w:r>
          </w:p>
        </w:tc>
        <w:tc>
          <w:tcPr>
            <w:tcW w:w="4253" w:type="dxa"/>
            <w:shd w:val="clear" w:color="auto" w:fill="FFFFFF" w:themeFill="background1"/>
            <w:tcMar>
              <w:top w:w="0" w:type="dxa"/>
              <w:left w:w="85" w:type="dxa"/>
              <w:bottom w:w="0" w:type="dxa"/>
              <w:right w:w="85" w:type="dxa"/>
            </w:tcMar>
          </w:tcPr>
          <w:p w14:paraId="64D2DE51" w14:textId="4A85D5AB" w:rsidR="007C5A34" w:rsidRPr="001D5327" w:rsidRDefault="007C5A34" w:rsidP="00341FEF">
            <w:pPr>
              <w:pStyle w:val="TableText"/>
              <w:spacing w:before="40" w:after="40"/>
              <w:rPr>
                <w:spacing w:val="-2"/>
              </w:rPr>
            </w:pPr>
            <w:r w:rsidRPr="001D5327">
              <w:rPr>
                <w:rFonts w:eastAsia="Calibri"/>
                <w:color w:val="000000"/>
                <w:spacing w:val="-2"/>
              </w:rPr>
              <w:t>Resolved. The Party reported in its NIR (table 10.2.1) that an explanation was provided to the previous ERT and the approach is briefly explained in the NIR (section 4.7.3). During the review, the Party explained that the uncertainties are ±20 per cent for household refrigerators, 30 per cent for self-contained refrigerators, 30 per cent for remote cabinets, 40 per cent for dairy refrigeration, 70 per cent for cool stores, 50–80 per cent for three refrigerated transport components and 30 per cent for</w:t>
            </w:r>
            <w:r w:rsidR="00915144" w:rsidRPr="001D5327">
              <w:rPr>
                <w:rFonts w:eastAsia="Calibri"/>
                <w:color w:val="000000"/>
                <w:spacing w:val="-2"/>
              </w:rPr>
              <w:t> </w:t>
            </w:r>
            <w:r w:rsidRPr="001D5327">
              <w:rPr>
                <w:rFonts w:eastAsia="Calibri"/>
                <w:color w:val="000000"/>
                <w:spacing w:val="-2"/>
              </w:rPr>
              <w:t>other air conditioning. The overall uncertainty is recalculated for each annual submission if the shares of these equipment types change. For other subapplications, the estimates do not change from year to year. The Party also explained that further information is available in a separate report (Verum Group, 2021).</w:t>
            </w:r>
          </w:p>
        </w:tc>
        <w:tc>
          <w:tcPr>
            <w:tcW w:w="3062" w:type="dxa"/>
            <w:shd w:val="clear" w:color="auto" w:fill="FFFFFF" w:themeFill="background1"/>
            <w:tcMar>
              <w:left w:w="85" w:type="dxa"/>
              <w:right w:w="85" w:type="dxa"/>
            </w:tcMar>
          </w:tcPr>
          <w:p w14:paraId="08A7B5A0"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27130C26" w14:textId="77777777" w:rsidTr="002C45EC">
        <w:tc>
          <w:tcPr>
            <w:tcW w:w="851" w:type="dxa"/>
            <w:shd w:val="clear" w:color="auto" w:fill="FFFFFF" w:themeFill="background1"/>
            <w:tcMar>
              <w:top w:w="0" w:type="dxa"/>
              <w:left w:w="85" w:type="dxa"/>
              <w:bottom w:w="0" w:type="dxa"/>
              <w:right w:w="85" w:type="dxa"/>
            </w:tcMar>
          </w:tcPr>
          <w:p w14:paraId="121C487B"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I.14</w:t>
            </w:r>
          </w:p>
        </w:tc>
        <w:tc>
          <w:tcPr>
            <w:tcW w:w="2128" w:type="dxa"/>
            <w:shd w:val="clear" w:color="auto" w:fill="FFFFFF" w:themeFill="background1"/>
            <w:tcMar>
              <w:top w:w="0" w:type="dxa"/>
              <w:left w:w="85" w:type="dxa"/>
              <w:bottom w:w="0" w:type="dxa"/>
              <w:right w:w="85" w:type="dxa"/>
            </w:tcMar>
          </w:tcPr>
          <w:p w14:paraId="62154D9B"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2.F Product uses as substitutes for ozone- depleting substances – HFCs (I.18, 2021) (I.29, 2019) Transparency</w:t>
            </w:r>
          </w:p>
        </w:tc>
        <w:tc>
          <w:tcPr>
            <w:tcW w:w="3685" w:type="dxa"/>
            <w:shd w:val="clear" w:color="auto" w:fill="FFFFFF" w:themeFill="background1"/>
            <w:tcMar>
              <w:top w:w="0" w:type="dxa"/>
              <w:left w:w="85" w:type="dxa"/>
              <w:bottom w:w="0" w:type="dxa"/>
              <w:right w:w="85" w:type="dxa"/>
            </w:tcMar>
          </w:tcPr>
          <w:p w14:paraId="664F129E"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Explain in the NIR the model used to estimate emissions for this category in more detail, including the assumptions made.</w:t>
            </w:r>
          </w:p>
        </w:tc>
        <w:tc>
          <w:tcPr>
            <w:tcW w:w="4253" w:type="dxa"/>
            <w:shd w:val="clear" w:color="auto" w:fill="FFFFFF" w:themeFill="background1"/>
            <w:tcMar>
              <w:top w:w="0" w:type="dxa"/>
              <w:left w:w="85" w:type="dxa"/>
              <w:bottom w:w="0" w:type="dxa"/>
              <w:right w:w="85" w:type="dxa"/>
            </w:tcMar>
          </w:tcPr>
          <w:p w14:paraId="028A130A"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Resolved. The Party reported in its NIR (table 10.2.2) that such explanations are expanded on in the NIR (section 4.7.2) and will be further improved in future annual submissions. During the review, the Party informed the ERT that additional information is available in a separate report (Verum Group, 2021), referenced in the NIR.</w:t>
            </w:r>
          </w:p>
        </w:tc>
        <w:tc>
          <w:tcPr>
            <w:tcW w:w="3062" w:type="dxa"/>
            <w:shd w:val="clear" w:color="auto" w:fill="FFFFFF" w:themeFill="background1"/>
            <w:tcMar>
              <w:left w:w="85" w:type="dxa"/>
              <w:right w:w="85" w:type="dxa"/>
            </w:tcMar>
          </w:tcPr>
          <w:p w14:paraId="06091FBB"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029BF8D4" w14:textId="77777777" w:rsidTr="002C45EC">
        <w:tc>
          <w:tcPr>
            <w:tcW w:w="851" w:type="dxa"/>
            <w:shd w:val="clear" w:color="auto" w:fill="FFFFFF" w:themeFill="background1"/>
            <w:tcMar>
              <w:top w:w="0" w:type="dxa"/>
              <w:left w:w="85" w:type="dxa"/>
              <w:bottom w:w="0" w:type="dxa"/>
              <w:right w:w="85" w:type="dxa"/>
            </w:tcMar>
          </w:tcPr>
          <w:p w14:paraId="20C5D5A7"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lastRenderedPageBreak/>
              <w:t>I.15</w:t>
            </w:r>
          </w:p>
        </w:tc>
        <w:tc>
          <w:tcPr>
            <w:tcW w:w="2128" w:type="dxa"/>
            <w:shd w:val="clear" w:color="auto" w:fill="FFFFFF" w:themeFill="background1"/>
            <w:tcMar>
              <w:top w:w="0" w:type="dxa"/>
              <w:left w:w="85" w:type="dxa"/>
              <w:bottom w:w="0" w:type="dxa"/>
              <w:right w:w="85" w:type="dxa"/>
            </w:tcMar>
          </w:tcPr>
          <w:p w14:paraId="60A239AD"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2.F Product uses as substitutes for ozone- depleting substances – HFCs (I.19, 2021) (I.29, 2019) Transparency</w:t>
            </w:r>
          </w:p>
        </w:tc>
        <w:tc>
          <w:tcPr>
            <w:tcW w:w="3685" w:type="dxa"/>
            <w:shd w:val="clear" w:color="auto" w:fill="FFFFFF" w:themeFill="background1"/>
            <w:tcMar>
              <w:top w:w="0" w:type="dxa"/>
              <w:left w:w="85" w:type="dxa"/>
              <w:bottom w:w="0" w:type="dxa"/>
              <w:right w:w="85" w:type="dxa"/>
            </w:tcMar>
          </w:tcPr>
          <w:p w14:paraId="4A8B876A"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Improve QA/QC for this category by comparing the results of the bottom-up model with the results of a top-down approach as the import data are based on comprehensive annual surveys, to allow for a clear comparison of the two results, as recommended in the 2006 IPCC Guidelines (vol. 3, chap. 7.1.4.1).</w:t>
            </w:r>
          </w:p>
        </w:tc>
        <w:tc>
          <w:tcPr>
            <w:tcW w:w="4253" w:type="dxa"/>
            <w:shd w:val="clear" w:color="auto" w:fill="FFFFFF" w:themeFill="background1"/>
            <w:tcMar>
              <w:top w:w="0" w:type="dxa"/>
              <w:left w:w="85" w:type="dxa"/>
              <w:bottom w:w="0" w:type="dxa"/>
              <w:right w:w="85" w:type="dxa"/>
            </w:tcMar>
          </w:tcPr>
          <w:p w14:paraId="65D6BC55"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Resolved. During the review, the Party explained that the 2006 IPCC Guidelines (vol. 3, chap. 7) recommend comparing equipment-based estimates, at the sub-application level, with a mass balance approach, where applicable. The bottom-up stock models used by New Zealand are unique to each sub-application and have varying – and sometimes high – uncertainty related to the quality of statistical data from the equipment. Data on the total supply of each refrigerant inform the calculation of usage for new installations and the replacement of refrigerants currently in use. Consequently, the available top-down data contribute to the calculation of emissions for each sub-application and cannot be used for a straight comparison with the results of the bottom-up models.</w:t>
            </w:r>
          </w:p>
        </w:tc>
        <w:tc>
          <w:tcPr>
            <w:tcW w:w="3062" w:type="dxa"/>
            <w:shd w:val="clear" w:color="auto" w:fill="FFFFFF" w:themeFill="background1"/>
            <w:tcMar>
              <w:left w:w="85" w:type="dxa"/>
              <w:right w:w="85" w:type="dxa"/>
            </w:tcMar>
          </w:tcPr>
          <w:p w14:paraId="7A03E603"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4F3AFB54" w14:textId="77777777" w:rsidTr="002C45EC">
        <w:tc>
          <w:tcPr>
            <w:tcW w:w="851" w:type="dxa"/>
            <w:shd w:val="clear" w:color="auto" w:fill="FFFFFF" w:themeFill="background1"/>
            <w:tcMar>
              <w:top w:w="0" w:type="dxa"/>
              <w:left w:w="85" w:type="dxa"/>
              <w:bottom w:w="0" w:type="dxa"/>
              <w:right w:w="85" w:type="dxa"/>
            </w:tcMar>
          </w:tcPr>
          <w:p w14:paraId="34A59AAF"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I.16</w:t>
            </w:r>
          </w:p>
        </w:tc>
        <w:tc>
          <w:tcPr>
            <w:tcW w:w="2128" w:type="dxa"/>
            <w:shd w:val="clear" w:color="auto" w:fill="FFFFFF" w:themeFill="background1"/>
            <w:tcMar>
              <w:top w:w="0" w:type="dxa"/>
              <w:left w:w="85" w:type="dxa"/>
              <w:bottom w:w="0" w:type="dxa"/>
              <w:right w:w="85" w:type="dxa"/>
            </w:tcMar>
          </w:tcPr>
          <w:p w14:paraId="502BF1DC"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2.F.1 Refrigeration and air conditioning – HFCs (I.20, 2021) (I.19, 2019) (I.17, 2017) (I.37, 2016) Transparency</w:t>
            </w:r>
          </w:p>
        </w:tc>
        <w:tc>
          <w:tcPr>
            <w:tcW w:w="3685" w:type="dxa"/>
            <w:shd w:val="clear" w:color="auto" w:fill="FFFFFF" w:themeFill="background1"/>
            <w:tcMar>
              <w:top w:w="0" w:type="dxa"/>
              <w:left w:w="85" w:type="dxa"/>
              <w:bottom w:w="0" w:type="dxa"/>
              <w:right w:w="85" w:type="dxa"/>
            </w:tcMar>
          </w:tcPr>
          <w:p w14:paraId="40EA5DF0"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Describe in the NIR the methodology used to derive the 2 per cent decline in refrigerant charge in vehicle air-conditioning systems and demonstrate that this methodology is in line with the splicing techniques in the 2006 IPCC Guidelines.</w:t>
            </w:r>
          </w:p>
        </w:tc>
        <w:tc>
          <w:tcPr>
            <w:tcW w:w="4253" w:type="dxa"/>
            <w:shd w:val="clear" w:color="auto" w:fill="FFFFFF" w:themeFill="background1"/>
            <w:tcMar>
              <w:top w:w="0" w:type="dxa"/>
              <w:left w:w="85" w:type="dxa"/>
              <w:bottom w:w="0" w:type="dxa"/>
              <w:right w:w="85" w:type="dxa"/>
            </w:tcMar>
          </w:tcPr>
          <w:p w14:paraId="7A2291EE"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Resolved. The Party included this description in its NIR (table 10.2.2 and section 4.7.2). During the review, the Party stated that further details are available in a separate report (Verum Group, 2021), referenced in the NIR, that is available to the ERT.</w:t>
            </w:r>
          </w:p>
        </w:tc>
        <w:tc>
          <w:tcPr>
            <w:tcW w:w="3062" w:type="dxa"/>
            <w:shd w:val="clear" w:color="auto" w:fill="FFFFFF" w:themeFill="background1"/>
            <w:tcMar>
              <w:left w:w="85" w:type="dxa"/>
              <w:right w:w="85" w:type="dxa"/>
            </w:tcMar>
          </w:tcPr>
          <w:p w14:paraId="1B455E2F"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042B1920" w14:textId="77777777" w:rsidTr="002C45EC">
        <w:tc>
          <w:tcPr>
            <w:tcW w:w="851" w:type="dxa"/>
            <w:shd w:val="clear" w:color="auto" w:fill="FFFFFF" w:themeFill="background1"/>
            <w:tcMar>
              <w:top w:w="0" w:type="dxa"/>
              <w:left w:w="85" w:type="dxa"/>
              <w:bottom w:w="0" w:type="dxa"/>
              <w:right w:w="85" w:type="dxa"/>
            </w:tcMar>
          </w:tcPr>
          <w:p w14:paraId="24C89F95"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I.17</w:t>
            </w:r>
          </w:p>
        </w:tc>
        <w:tc>
          <w:tcPr>
            <w:tcW w:w="2128" w:type="dxa"/>
            <w:shd w:val="clear" w:color="auto" w:fill="FFFFFF" w:themeFill="background1"/>
            <w:tcMar>
              <w:top w:w="0" w:type="dxa"/>
              <w:left w:w="85" w:type="dxa"/>
              <w:bottom w:w="0" w:type="dxa"/>
              <w:right w:w="85" w:type="dxa"/>
            </w:tcMar>
          </w:tcPr>
          <w:p w14:paraId="3F9ED758"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2.F.1 Refrigeration and air conditioning – HFCs (I.21, 2021) Accuracy</w:t>
            </w:r>
          </w:p>
        </w:tc>
        <w:tc>
          <w:tcPr>
            <w:tcW w:w="3685" w:type="dxa"/>
            <w:shd w:val="clear" w:color="auto" w:fill="FFFFFF" w:themeFill="background1"/>
            <w:tcMar>
              <w:top w:w="0" w:type="dxa"/>
              <w:left w:w="85" w:type="dxa"/>
              <w:bottom w:w="0" w:type="dxa"/>
              <w:right w:w="85" w:type="dxa"/>
            </w:tcMar>
          </w:tcPr>
          <w:p w14:paraId="4BB817FF"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Update the average charge of HFC-134a for the years from 2010 onward by taking into consideration the cars added to the fleet in recent years on the basis of data available from importers and/or from fleet statistics.</w:t>
            </w:r>
          </w:p>
        </w:tc>
        <w:tc>
          <w:tcPr>
            <w:tcW w:w="4253" w:type="dxa"/>
            <w:shd w:val="clear" w:color="auto" w:fill="FFFFFF" w:themeFill="background1"/>
            <w:tcMar>
              <w:top w:w="0" w:type="dxa"/>
              <w:left w:w="85" w:type="dxa"/>
              <w:bottom w:w="0" w:type="dxa"/>
              <w:right w:w="85" w:type="dxa"/>
            </w:tcMar>
          </w:tcPr>
          <w:p w14:paraId="707D60FC"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Resolved. The Party reported in its NIR (section 4.7.2) that it imports a wide variety of vehicles, many of them used cars, and that obtaining more accurate and up-to-date statistics on their refrigerant charge is not feasible. However, on the basis of data from importers, the average charge in new vehicles added to the fleet reduced by 2 per cent/year from 2010 to 2020.</w:t>
            </w:r>
          </w:p>
        </w:tc>
        <w:tc>
          <w:tcPr>
            <w:tcW w:w="3062" w:type="dxa"/>
            <w:shd w:val="clear" w:color="auto" w:fill="FFFFFF" w:themeFill="background1"/>
            <w:tcMar>
              <w:left w:w="85" w:type="dxa"/>
              <w:right w:w="85" w:type="dxa"/>
            </w:tcMar>
          </w:tcPr>
          <w:p w14:paraId="14FE8B1A"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466020C4" w14:textId="77777777" w:rsidTr="002C45EC">
        <w:tc>
          <w:tcPr>
            <w:tcW w:w="851" w:type="dxa"/>
            <w:shd w:val="clear" w:color="auto" w:fill="FFFFFF" w:themeFill="background1"/>
            <w:tcMar>
              <w:top w:w="0" w:type="dxa"/>
              <w:left w:w="85" w:type="dxa"/>
              <w:bottom w:w="0" w:type="dxa"/>
              <w:right w:w="85" w:type="dxa"/>
            </w:tcMar>
          </w:tcPr>
          <w:p w14:paraId="046F8857" w14:textId="77777777" w:rsidR="007C5A34" w:rsidRPr="001D5327" w:rsidRDefault="007C5A34" w:rsidP="00BF299B">
            <w:pPr>
              <w:pStyle w:val="TableText"/>
              <w:spacing w:before="40" w:after="40"/>
              <w:rPr>
                <w:rFonts w:cstheme="minorHAnsi"/>
                <w:spacing w:val="-2"/>
              </w:rPr>
            </w:pPr>
            <w:r w:rsidRPr="001D5327">
              <w:rPr>
                <w:rFonts w:eastAsia="Calibri" w:cstheme="minorHAnsi"/>
                <w:color w:val="000000"/>
                <w:spacing w:val="-2"/>
              </w:rPr>
              <w:t>I.18</w:t>
            </w:r>
          </w:p>
        </w:tc>
        <w:tc>
          <w:tcPr>
            <w:tcW w:w="2128" w:type="dxa"/>
            <w:shd w:val="clear" w:color="auto" w:fill="FFFFFF" w:themeFill="background1"/>
            <w:tcMar>
              <w:top w:w="0" w:type="dxa"/>
              <w:left w:w="85" w:type="dxa"/>
              <w:bottom w:w="0" w:type="dxa"/>
              <w:right w:w="85" w:type="dxa"/>
            </w:tcMar>
          </w:tcPr>
          <w:p w14:paraId="45CE2F6C"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2.F.1 Refrigeration and air conditioning – HFCs (I.23, 2021) (I.31, 2019) Transparency</w:t>
            </w:r>
          </w:p>
        </w:tc>
        <w:tc>
          <w:tcPr>
            <w:tcW w:w="3685" w:type="dxa"/>
            <w:shd w:val="clear" w:color="auto" w:fill="FFFFFF" w:themeFill="background1"/>
            <w:tcMar>
              <w:top w:w="0" w:type="dxa"/>
              <w:left w:w="85" w:type="dxa"/>
              <w:bottom w:w="0" w:type="dxa"/>
              <w:right w:w="85" w:type="dxa"/>
            </w:tcMar>
          </w:tcPr>
          <w:p w14:paraId="11FE1675"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Explain in the NIR, for category 2.F.1.e mobile air conditioning, the trend in HFC</w:t>
            </w:r>
            <w:r w:rsidRPr="001D5327">
              <w:rPr>
                <w:rFonts w:eastAsia="Calibri" w:cstheme="minorHAnsi"/>
                <w:color w:val="000000"/>
                <w:spacing w:val="-2"/>
              </w:rPr>
              <w:noBreakHyphen/>
              <w:t>134a filled into new manufactured products, especially the decrease between 2003 and 2004.</w:t>
            </w:r>
          </w:p>
        </w:tc>
        <w:tc>
          <w:tcPr>
            <w:tcW w:w="4253" w:type="dxa"/>
            <w:shd w:val="clear" w:color="auto" w:fill="FFFFFF" w:themeFill="background1"/>
            <w:tcMar>
              <w:top w:w="0" w:type="dxa"/>
              <w:left w:w="85" w:type="dxa"/>
              <w:bottom w:w="0" w:type="dxa"/>
              <w:right w:w="85" w:type="dxa"/>
            </w:tcMar>
          </w:tcPr>
          <w:p w14:paraId="5BB04046"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Resolved. During the review, the Party explained that responses to enquiries to importers indicate that this trend continued from 2004 to 2005 and that obtaining more accurate and up-to-date statistics is not feasible.</w:t>
            </w:r>
          </w:p>
        </w:tc>
        <w:tc>
          <w:tcPr>
            <w:tcW w:w="3062" w:type="dxa"/>
            <w:shd w:val="clear" w:color="auto" w:fill="FFFFFF" w:themeFill="background1"/>
            <w:tcMar>
              <w:left w:w="85" w:type="dxa"/>
              <w:right w:w="85" w:type="dxa"/>
            </w:tcMar>
          </w:tcPr>
          <w:p w14:paraId="139E98FF"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57D5BA80" w14:textId="77777777" w:rsidTr="002C45EC">
        <w:tc>
          <w:tcPr>
            <w:tcW w:w="851" w:type="dxa"/>
            <w:shd w:val="clear" w:color="auto" w:fill="FFFFFF" w:themeFill="background1"/>
            <w:tcMar>
              <w:top w:w="0" w:type="dxa"/>
              <w:left w:w="85" w:type="dxa"/>
              <w:bottom w:w="0" w:type="dxa"/>
              <w:right w:w="85" w:type="dxa"/>
            </w:tcMar>
          </w:tcPr>
          <w:p w14:paraId="70D5C688" w14:textId="77777777" w:rsidR="007C5A34" w:rsidRPr="001D5327" w:rsidRDefault="007C5A34" w:rsidP="00597354">
            <w:pPr>
              <w:pStyle w:val="TableText"/>
              <w:spacing w:before="40" w:after="40"/>
              <w:rPr>
                <w:rFonts w:cstheme="minorHAnsi"/>
                <w:spacing w:val="-2"/>
              </w:rPr>
            </w:pPr>
            <w:r w:rsidRPr="001D5327">
              <w:rPr>
                <w:rFonts w:eastAsia="Calibri" w:cstheme="minorHAnsi"/>
                <w:color w:val="000000"/>
                <w:spacing w:val="-2"/>
              </w:rPr>
              <w:t>I.19</w:t>
            </w:r>
          </w:p>
        </w:tc>
        <w:tc>
          <w:tcPr>
            <w:tcW w:w="2128" w:type="dxa"/>
            <w:shd w:val="clear" w:color="auto" w:fill="FFFFFF" w:themeFill="background1"/>
            <w:tcMar>
              <w:top w:w="0" w:type="dxa"/>
              <w:left w:w="85" w:type="dxa"/>
              <w:bottom w:w="0" w:type="dxa"/>
              <w:right w:w="85" w:type="dxa"/>
            </w:tcMar>
          </w:tcPr>
          <w:p w14:paraId="542E4C9C"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2.G.2 SF₆ and PFCs from other product use – SF₆ (I.24, 2021) (I.22, 2019) (I.21, 2017) (I.23, 2016) (I.26, 2015) Transparency</w:t>
            </w:r>
          </w:p>
        </w:tc>
        <w:tc>
          <w:tcPr>
            <w:tcW w:w="3685" w:type="dxa"/>
            <w:shd w:val="clear" w:color="auto" w:fill="FFFFFF" w:themeFill="background1"/>
            <w:tcMar>
              <w:top w:w="0" w:type="dxa"/>
              <w:left w:w="85" w:type="dxa"/>
              <w:bottom w:w="0" w:type="dxa"/>
              <w:right w:w="85" w:type="dxa"/>
            </w:tcMar>
          </w:tcPr>
          <w:p w14:paraId="0F3DEA98"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Include in the NIR an explanation of the analysis of SF₆ emissions from SF₆ use in shoe and double-glazed window manufacturing based on the information that was provided to the ERT during the 2015 review in the responses to questions and a background report.</w:t>
            </w:r>
          </w:p>
        </w:tc>
        <w:tc>
          <w:tcPr>
            <w:tcW w:w="4253" w:type="dxa"/>
            <w:shd w:val="clear" w:color="auto" w:fill="FFFFFF" w:themeFill="background1"/>
            <w:tcMar>
              <w:top w:w="0" w:type="dxa"/>
              <w:left w:w="85" w:type="dxa"/>
              <w:bottom w:w="0" w:type="dxa"/>
              <w:right w:w="85" w:type="dxa"/>
            </w:tcMar>
          </w:tcPr>
          <w:p w14:paraId="555D8E9A"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Resolved. The Party reported in its NIR (section 4.8.2) that, following enquiries, it has been confirmed that there is no use of SF₆ in New Zealand for those applications.</w:t>
            </w:r>
          </w:p>
        </w:tc>
        <w:tc>
          <w:tcPr>
            <w:tcW w:w="3062" w:type="dxa"/>
            <w:shd w:val="clear" w:color="auto" w:fill="FFFFFF" w:themeFill="background1"/>
            <w:tcMar>
              <w:left w:w="85" w:type="dxa"/>
              <w:right w:w="85" w:type="dxa"/>
            </w:tcMar>
          </w:tcPr>
          <w:p w14:paraId="01348B6E"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1B54B5A8" w14:textId="77777777" w:rsidTr="002C45EC">
        <w:tc>
          <w:tcPr>
            <w:tcW w:w="2979" w:type="dxa"/>
            <w:gridSpan w:val="2"/>
            <w:shd w:val="clear" w:color="auto" w:fill="FFFFFF" w:themeFill="background1"/>
            <w:tcMar>
              <w:top w:w="0" w:type="dxa"/>
              <w:left w:w="85" w:type="dxa"/>
              <w:bottom w:w="0" w:type="dxa"/>
              <w:right w:w="85" w:type="dxa"/>
            </w:tcMar>
          </w:tcPr>
          <w:p w14:paraId="3D609B8A" w14:textId="77777777" w:rsidR="007C5A34" w:rsidRPr="001D5327" w:rsidRDefault="007C5A34" w:rsidP="00597354">
            <w:pPr>
              <w:pStyle w:val="TableText"/>
              <w:keepNext/>
              <w:spacing w:before="40" w:after="40"/>
              <w:rPr>
                <w:rFonts w:cstheme="minorHAnsi"/>
                <w:spacing w:val="-2"/>
              </w:rPr>
            </w:pPr>
            <w:r w:rsidRPr="001D5327">
              <w:rPr>
                <w:rFonts w:eastAsia="Calibri" w:cstheme="minorHAnsi"/>
                <w:color w:val="000000"/>
                <w:spacing w:val="-2"/>
              </w:rPr>
              <w:lastRenderedPageBreak/>
              <w:t>Agriculture</w:t>
            </w:r>
          </w:p>
        </w:tc>
        <w:tc>
          <w:tcPr>
            <w:tcW w:w="3685" w:type="dxa"/>
            <w:shd w:val="clear" w:color="auto" w:fill="FFFFFF" w:themeFill="background1"/>
            <w:tcMar>
              <w:top w:w="0" w:type="dxa"/>
              <w:left w:w="85" w:type="dxa"/>
              <w:bottom w:w="0" w:type="dxa"/>
              <w:right w:w="85" w:type="dxa"/>
            </w:tcMar>
          </w:tcPr>
          <w:p w14:paraId="3E3BD6AC" w14:textId="77777777" w:rsidR="007C5A34" w:rsidRPr="001D5327" w:rsidRDefault="007C5A34" w:rsidP="00597354">
            <w:pPr>
              <w:pStyle w:val="TableText"/>
              <w:keepNext/>
              <w:spacing w:before="40" w:after="40"/>
              <w:rPr>
                <w:rFonts w:cstheme="minorHAnsi"/>
                <w:spacing w:val="-2"/>
              </w:rPr>
            </w:pPr>
          </w:p>
        </w:tc>
        <w:tc>
          <w:tcPr>
            <w:tcW w:w="4253" w:type="dxa"/>
            <w:shd w:val="clear" w:color="auto" w:fill="FFFFFF" w:themeFill="background1"/>
            <w:tcMar>
              <w:top w:w="0" w:type="dxa"/>
              <w:left w:w="85" w:type="dxa"/>
              <w:bottom w:w="0" w:type="dxa"/>
              <w:right w:w="85" w:type="dxa"/>
            </w:tcMar>
          </w:tcPr>
          <w:p w14:paraId="18A760A6" w14:textId="77777777" w:rsidR="007C5A34" w:rsidRPr="001D5327" w:rsidRDefault="007C5A34" w:rsidP="00597354">
            <w:pPr>
              <w:pStyle w:val="TableText"/>
              <w:keepNext/>
              <w:spacing w:before="40" w:after="40"/>
              <w:rPr>
                <w:rFonts w:cstheme="minorHAnsi"/>
                <w:spacing w:val="-2"/>
              </w:rPr>
            </w:pPr>
          </w:p>
        </w:tc>
        <w:tc>
          <w:tcPr>
            <w:tcW w:w="3062" w:type="dxa"/>
            <w:shd w:val="clear" w:color="auto" w:fill="FFFFFF" w:themeFill="background1"/>
            <w:tcMar>
              <w:left w:w="85" w:type="dxa"/>
              <w:right w:w="85" w:type="dxa"/>
            </w:tcMar>
          </w:tcPr>
          <w:p w14:paraId="683383D0" w14:textId="77777777" w:rsidR="007C5A34" w:rsidRPr="001D5327" w:rsidRDefault="007C5A34" w:rsidP="00597354">
            <w:pPr>
              <w:pStyle w:val="TableText"/>
              <w:keepNext/>
              <w:spacing w:before="40" w:after="40"/>
              <w:rPr>
                <w:rFonts w:cstheme="minorHAnsi"/>
                <w:spacing w:val="-2"/>
              </w:rPr>
            </w:pPr>
          </w:p>
        </w:tc>
      </w:tr>
      <w:tr w:rsidR="00281DE2" w:rsidRPr="001D5327" w14:paraId="71FDF25A" w14:textId="77777777" w:rsidTr="002C45EC">
        <w:tc>
          <w:tcPr>
            <w:tcW w:w="851" w:type="dxa"/>
            <w:shd w:val="clear" w:color="auto" w:fill="FFFFFF" w:themeFill="background1"/>
            <w:tcMar>
              <w:top w:w="0" w:type="dxa"/>
              <w:left w:w="85" w:type="dxa"/>
              <w:bottom w:w="0" w:type="dxa"/>
              <w:right w:w="85" w:type="dxa"/>
            </w:tcMar>
          </w:tcPr>
          <w:p w14:paraId="1BC9A182" w14:textId="77777777" w:rsidR="007C5A34" w:rsidRPr="001D5327" w:rsidRDefault="007C5A34" w:rsidP="00597354">
            <w:pPr>
              <w:pStyle w:val="TableText"/>
              <w:keepNext/>
              <w:spacing w:before="40" w:after="40"/>
              <w:rPr>
                <w:rFonts w:cstheme="minorHAnsi"/>
                <w:spacing w:val="-2"/>
              </w:rPr>
            </w:pPr>
            <w:r w:rsidRPr="001D5327">
              <w:rPr>
                <w:rFonts w:eastAsia="Calibri" w:cstheme="minorHAnsi"/>
                <w:color w:val="000000"/>
                <w:spacing w:val="-2"/>
              </w:rPr>
              <w:t>A.1</w:t>
            </w:r>
          </w:p>
        </w:tc>
        <w:tc>
          <w:tcPr>
            <w:tcW w:w="2128" w:type="dxa"/>
            <w:shd w:val="clear" w:color="auto" w:fill="FFFFFF" w:themeFill="background1"/>
            <w:tcMar>
              <w:top w:w="0" w:type="dxa"/>
              <w:left w:w="85" w:type="dxa"/>
              <w:bottom w:w="0" w:type="dxa"/>
              <w:right w:w="85" w:type="dxa"/>
            </w:tcMar>
          </w:tcPr>
          <w:p w14:paraId="2145C9E7" w14:textId="77777777" w:rsidR="007C5A34" w:rsidRPr="001D5327" w:rsidRDefault="007C5A34" w:rsidP="00597354">
            <w:pPr>
              <w:pStyle w:val="TableText"/>
              <w:keepNext/>
              <w:spacing w:before="40" w:after="40"/>
              <w:rPr>
                <w:rFonts w:cstheme="minorHAnsi"/>
                <w:spacing w:val="-2"/>
              </w:rPr>
            </w:pPr>
            <w:r w:rsidRPr="001D5327">
              <w:rPr>
                <w:rFonts w:eastAsia="Calibri" w:cstheme="minorHAnsi"/>
                <w:color w:val="000000"/>
                <w:spacing w:val="-2"/>
              </w:rPr>
              <w:t>3.A Enteric fermentation – CH₄ (A.16, 2021) Accuracy</w:t>
            </w:r>
          </w:p>
        </w:tc>
        <w:tc>
          <w:tcPr>
            <w:tcW w:w="3685" w:type="dxa"/>
            <w:shd w:val="clear" w:color="auto" w:fill="FFFFFF" w:themeFill="background1"/>
            <w:tcMar>
              <w:top w:w="0" w:type="dxa"/>
              <w:left w:w="85" w:type="dxa"/>
              <w:bottom w:w="0" w:type="dxa"/>
              <w:right w:w="85" w:type="dxa"/>
            </w:tcMar>
          </w:tcPr>
          <w:p w14:paraId="0D5F55F3" w14:textId="77777777" w:rsidR="007C5A34" w:rsidRPr="001D5327" w:rsidRDefault="007C5A34" w:rsidP="00597354">
            <w:pPr>
              <w:pStyle w:val="TableText"/>
              <w:keepNext/>
              <w:spacing w:before="40" w:after="40"/>
              <w:rPr>
                <w:rFonts w:cstheme="minorHAnsi"/>
                <w:spacing w:val="-2"/>
              </w:rPr>
            </w:pPr>
            <w:r w:rsidRPr="001D5327">
              <w:rPr>
                <w:rFonts w:eastAsia="Calibri" w:cstheme="minorHAnsi"/>
                <w:color w:val="000000"/>
                <w:spacing w:val="-2"/>
              </w:rPr>
              <w:t>Using the data and results of research, improve the model trends or changes in death rates over the time series used for estimating emissions from enteric fermentation for dairy cattle, beef cattle, sheep and deer, and document any recalculations in the NIR.</w:t>
            </w:r>
          </w:p>
        </w:tc>
        <w:tc>
          <w:tcPr>
            <w:tcW w:w="4253" w:type="dxa"/>
            <w:shd w:val="clear" w:color="auto" w:fill="FFFFFF" w:themeFill="background1"/>
            <w:tcMar>
              <w:top w:w="0" w:type="dxa"/>
              <w:left w:w="85" w:type="dxa"/>
              <w:bottom w:w="0" w:type="dxa"/>
              <w:right w:w="85" w:type="dxa"/>
            </w:tcMar>
          </w:tcPr>
          <w:p w14:paraId="1D70F324" w14:textId="77777777" w:rsidR="007C5A34" w:rsidRPr="001D5327" w:rsidRDefault="007C5A34" w:rsidP="00597354">
            <w:pPr>
              <w:pStyle w:val="TableText"/>
              <w:keepNext/>
              <w:spacing w:before="40" w:after="40"/>
              <w:rPr>
                <w:spacing w:val="-2"/>
              </w:rPr>
            </w:pPr>
            <w:r w:rsidRPr="001D5327">
              <w:rPr>
                <w:rFonts w:eastAsia="Calibri"/>
                <w:color w:val="000000" w:themeColor="text1"/>
                <w:spacing w:val="-2"/>
              </w:rPr>
              <w:t>Addressing. For its 2022 submission, the Party continued to apply the fixed death rate values in the characterization of the monthly livestock population for New Zealand’s tier 2 model for estimating emissions from enteric fermentation for dairy cattle, beef cattle, sheep and deer. During the review, the Party clarified that the relevant country-specific research is ongoing and that updated information on death rates for daily-cattle will be used for its 2023 annual submission. The Party also clarified that research into birth and slaughter dates for beef cattle and sheep has just been finalized and these data could be used to revise death rates for beef cattle and sheep for its 2024 annual submission.</w:t>
            </w:r>
          </w:p>
        </w:tc>
        <w:tc>
          <w:tcPr>
            <w:tcW w:w="3062" w:type="dxa"/>
            <w:shd w:val="clear" w:color="auto" w:fill="FFFFFF" w:themeFill="background1"/>
            <w:tcMar>
              <w:left w:w="85" w:type="dxa"/>
              <w:right w:w="85" w:type="dxa"/>
            </w:tcMar>
          </w:tcPr>
          <w:p w14:paraId="112C77D5" w14:textId="77777777" w:rsidR="007C5A34" w:rsidRPr="001D5327" w:rsidRDefault="007C5A34" w:rsidP="00597354">
            <w:pPr>
              <w:pStyle w:val="TableText"/>
              <w:keepNext/>
              <w:spacing w:before="40" w:after="40"/>
              <w:rPr>
                <w:rFonts w:eastAsia="Calibri" w:cstheme="minorHAnsi"/>
                <w:color w:val="000000"/>
                <w:spacing w:val="-2"/>
              </w:rPr>
            </w:pPr>
            <w:r w:rsidRPr="001D5327">
              <w:rPr>
                <w:rFonts w:eastAsia="Calibri"/>
                <w:bCs/>
                <w:color w:val="000000"/>
                <w:spacing w:val="-2"/>
              </w:rPr>
              <w:t>Resolved</w:t>
            </w:r>
            <w:r w:rsidRPr="001D5327">
              <w:rPr>
                <w:rFonts w:eastAsia="Calibri"/>
                <w:color w:val="000000"/>
                <w:spacing w:val="-2"/>
              </w:rPr>
              <w:t>. New research findings for dairy cattle were included in the 2023 submission as a part of an improved dairy cattle population model. New research findings for beef cattle were included in the 2024 submission as a part of an improved beef cattle population and liveweight model. New research findings for sheep were incorporated in the updated proportion of lambs held over to a second slaughter date in the 2024 submission.</w:t>
            </w:r>
          </w:p>
        </w:tc>
      </w:tr>
      <w:tr w:rsidR="00281DE2" w:rsidRPr="001D5327" w14:paraId="7F8B6860" w14:textId="77777777" w:rsidTr="002C45EC">
        <w:tc>
          <w:tcPr>
            <w:tcW w:w="851" w:type="dxa"/>
            <w:shd w:val="clear" w:color="auto" w:fill="FFFFFF" w:themeFill="background1"/>
            <w:tcMar>
              <w:top w:w="0" w:type="dxa"/>
              <w:left w:w="85" w:type="dxa"/>
              <w:bottom w:w="0" w:type="dxa"/>
              <w:right w:w="85" w:type="dxa"/>
            </w:tcMar>
          </w:tcPr>
          <w:p w14:paraId="36476DF1"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A.2</w:t>
            </w:r>
          </w:p>
        </w:tc>
        <w:tc>
          <w:tcPr>
            <w:tcW w:w="2128" w:type="dxa"/>
            <w:shd w:val="clear" w:color="auto" w:fill="FFFFFF" w:themeFill="background1"/>
            <w:tcMar>
              <w:top w:w="0" w:type="dxa"/>
              <w:left w:w="85" w:type="dxa"/>
              <w:bottom w:w="0" w:type="dxa"/>
              <w:right w:w="85" w:type="dxa"/>
            </w:tcMar>
          </w:tcPr>
          <w:p w14:paraId="6D518B24"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3.A.1 Cattle – CH₄, N₂O (A.17, 2021) Accuracy</w:t>
            </w:r>
          </w:p>
        </w:tc>
        <w:tc>
          <w:tcPr>
            <w:tcW w:w="3685" w:type="dxa"/>
            <w:shd w:val="clear" w:color="auto" w:fill="FFFFFF" w:themeFill="background1"/>
            <w:tcMar>
              <w:top w:w="0" w:type="dxa"/>
              <w:left w:w="85" w:type="dxa"/>
              <w:bottom w:w="0" w:type="dxa"/>
              <w:right w:w="85" w:type="dxa"/>
            </w:tcMar>
          </w:tcPr>
          <w:p w14:paraId="6C53E70D"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Review whether a lactation length of six months and a milk yield of 800 l for beef cows are appropriate for the emission estimates and provide further justification for these values in the NIR or recalculate emissions using more appropriate values for milk yield for beef cows.</w:t>
            </w:r>
          </w:p>
        </w:tc>
        <w:tc>
          <w:tcPr>
            <w:tcW w:w="4253" w:type="dxa"/>
            <w:shd w:val="clear" w:color="auto" w:fill="FFFFFF" w:themeFill="background1"/>
            <w:tcMar>
              <w:top w:w="0" w:type="dxa"/>
              <w:left w:w="85" w:type="dxa"/>
              <w:bottom w:w="0" w:type="dxa"/>
              <w:right w:w="85" w:type="dxa"/>
            </w:tcMar>
          </w:tcPr>
          <w:p w14:paraId="69D3CB0A"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Not resolved. The Party did not provide any information to justify the appropriateness of a lactation length of six months and milk yield of 800 l for estimating emissions for beef cows. During the review, the Party clarified that there are currently no data available to justify the values and that, owing to the delay in receiving the 2021 review report, it is unlikely that the issue will be resolved before the 2023 submission. New Zealand will engage with sectoral experts to determine whether the assumed values are still appropriate and, in the event that they are found not to be, identify next steps for addressing the issue.</w:t>
            </w:r>
          </w:p>
        </w:tc>
        <w:tc>
          <w:tcPr>
            <w:tcW w:w="3062" w:type="dxa"/>
            <w:shd w:val="clear" w:color="auto" w:fill="FFFFFF" w:themeFill="background1"/>
            <w:tcMar>
              <w:left w:w="85" w:type="dxa"/>
              <w:right w:w="85" w:type="dxa"/>
            </w:tcMar>
          </w:tcPr>
          <w:p w14:paraId="7D213F6E" w14:textId="77777777" w:rsidR="007C5A34" w:rsidRPr="001D5327" w:rsidRDefault="007C5A34" w:rsidP="00341FEF">
            <w:pPr>
              <w:pStyle w:val="TableText"/>
              <w:spacing w:before="40" w:after="40"/>
              <w:rPr>
                <w:rFonts w:eastAsia="Calibri"/>
                <w:color w:val="000000"/>
                <w:spacing w:val="-2"/>
              </w:rPr>
            </w:pPr>
            <w:r w:rsidRPr="001D5327">
              <w:rPr>
                <w:color w:val="000000" w:themeColor="text1"/>
                <w:spacing w:val="-2"/>
              </w:rPr>
              <w:t>Not resolved. New Zealand currently does not have data to provide further justification for these values in its reporting. Investigation is required to determine (a) if the values are appropriate, and, if not, (b) what values should be used instead, or (c) if new research is required to determine the values. </w:t>
            </w:r>
          </w:p>
        </w:tc>
      </w:tr>
      <w:tr w:rsidR="00281DE2" w:rsidRPr="001D5327" w14:paraId="00F92388" w14:textId="77777777" w:rsidTr="002C45EC">
        <w:tc>
          <w:tcPr>
            <w:tcW w:w="851" w:type="dxa"/>
            <w:shd w:val="clear" w:color="auto" w:fill="FFFFFF" w:themeFill="background1"/>
            <w:tcMar>
              <w:top w:w="0" w:type="dxa"/>
              <w:left w:w="85" w:type="dxa"/>
              <w:bottom w:w="0" w:type="dxa"/>
              <w:right w:w="85" w:type="dxa"/>
            </w:tcMar>
          </w:tcPr>
          <w:p w14:paraId="2230302D"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A.3</w:t>
            </w:r>
          </w:p>
        </w:tc>
        <w:tc>
          <w:tcPr>
            <w:tcW w:w="2128" w:type="dxa"/>
            <w:shd w:val="clear" w:color="auto" w:fill="FFFFFF" w:themeFill="background1"/>
            <w:tcMar>
              <w:top w:w="0" w:type="dxa"/>
              <w:left w:w="85" w:type="dxa"/>
              <w:bottom w:w="0" w:type="dxa"/>
              <w:right w:w="85" w:type="dxa"/>
            </w:tcMar>
          </w:tcPr>
          <w:p w14:paraId="2DB4E738"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3.A.1 Cattle – CH₄ (A.18, 2021) Transparency</w:t>
            </w:r>
          </w:p>
        </w:tc>
        <w:tc>
          <w:tcPr>
            <w:tcW w:w="3685" w:type="dxa"/>
            <w:shd w:val="clear" w:color="auto" w:fill="FFFFFF" w:themeFill="background1"/>
            <w:tcMar>
              <w:top w:w="0" w:type="dxa"/>
              <w:left w:w="85" w:type="dxa"/>
              <w:bottom w:w="0" w:type="dxa"/>
              <w:right w:w="85" w:type="dxa"/>
            </w:tcMar>
          </w:tcPr>
          <w:p w14:paraId="10172404"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Include a clearer description in the NIR of how productivity data for milk production from the Livestock Improvement Corporation are matched with terrestrial livestock data, including for those instances where Livestock Improvement Corporation data combine geographically close regions to obtain a single value (productivity data) that is then used for livestock population in these regions.</w:t>
            </w:r>
          </w:p>
        </w:tc>
        <w:tc>
          <w:tcPr>
            <w:tcW w:w="4253" w:type="dxa"/>
            <w:shd w:val="clear" w:color="auto" w:fill="FFFFFF" w:themeFill="background1"/>
            <w:tcMar>
              <w:top w:w="0" w:type="dxa"/>
              <w:left w:w="85" w:type="dxa"/>
              <w:bottom w:w="0" w:type="dxa"/>
              <w:right w:w="85" w:type="dxa"/>
            </w:tcMar>
          </w:tcPr>
          <w:p w14:paraId="62CD6AAB"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Not resolved. The Party did not update the description of how Livestock Improvement Corporation productivity data are matched with terrestrial livestock data in its NIR (p.161). During the review, the Party clarified that this was not done owing to the delay in receiving the 2021 review report. A clearer description will be included in the 2023 submission.</w:t>
            </w:r>
          </w:p>
        </w:tc>
        <w:tc>
          <w:tcPr>
            <w:tcW w:w="3062" w:type="dxa"/>
            <w:shd w:val="clear" w:color="auto" w:fill="FFFFFF" w:themeFill="background1"/>
            <w:tcMar>
              <w:left w:w="85" w:type="dxa"/>
              <w:right w:w="85" w:type="dxa"/>
            </w:tcMar>
          </w:tcPr>
          <w:p w14:paraId="7D820B51" w14:textId="77777777" w:rsidR="007C5A34" w:rsidRPr="001D5327" w:rsidRDefault="007C5A34" w:rsidP="00341FEF">
            <w:pPr>
              <w:pStyle w:val="TableText"/>
              <w:spacing w:before="40" w:after="40"/>
              <w:rPr>
                <w:rFonts w:eastAsia="Calibri" w:cstheme="minorHAnsi"/>
                <w:color w:val="000000"/>
                <w:spacing w:val="-2"/>
              </w:rPr>
            </w:pPr>
            <w:r w:rsidRPr="001D5327">
              <w:rPr>
                <w:rFonts w:eastAsia="Calibri"/>
                <w:bCs/>
                <w:color w:val="000000"/>
                <w:spacing w:val="-2"/>
              </w:rPr>
              <w:t>Resolved.</w:t>
            </w:r>
            <w:r w:rsidRPr="001D5327">
              <w:rPr>
                <w:rFonts w:eastAsia="Calibri"/>
                <w:color w:val="000000"/>
                <w:spacing w:val="-2"/>
              </w:rPr>
              <w:t xml:space="preserve"> A clearer description has been added in chapter 5, section 5.1.4.</w:t>
            </w:r>
          </w:p>
        </w:tc>
      </w:tr>
      <w:tr w:rsidR="00281DE2" w:rsidRPr="001D5327" w14:paraId="0336BDF5" w14:textId="77777777" w:rsidTr="002C45EC">
        <w:tc>
          <w:tcPr>
            <w:tcW w:w="851" w:type="dxa"/>
            <w:shd w:val="clear" w:color="auto" w:fill="FFFFFF" w:themeFill="background1"/>
            <w:tcMar>
              <w:top w:w="0" w:type="dxa"/>
              <w:left w:w="85" w:type="dxa"/>
              <w:bottom w:w="0" w:type="dxa"/>
              <w:right w:w="85" w:type="dxa"/>
            </w:tcMar>
          </w:tcPr>
          <w:p w14:paraId="70D4CAAE" w14:textId="77777777" w:rsidR="007C5A34" w:rsidRPr="001D5327" w:rsidRDefault="007C5A34" w:rsidP="00597354">
            <w:pPr>
              <w:pStyle w:val="TableText"/>
              <w:spacing w:before="40"/>
              <w:rPr>
                <w:spacing w:val="-2"/>
              </w:rPr>
            </w:pPr>
            <w:r w:rsidRPr="001D5327">
              <w:rPr>
                <w:rFonts w:eastAsia="Calibri"/>
                <w:spacing w:val="-2"/>
              </w:rPr>
              <w:t>A.4</w:t>
            </w:r>
          </w:p>
        </w:tc>
        <w:tc>
          <w:tcPr>
            <w:tcW w:w="2128" w:type="dxa"/>
            <w:shd w:val="clear" w:color="auto" w:fill="FFFFFF" w:themeFill="background1"/>
            <w:tcMar>
              <w:top w:w="0" w:type="dxa"/>
              <w:left w:w="85" w:type="dxa"/>
              <w:bottom w:w="0" w:type="dxa"/>
              <w:right w:w="85" w:type="dxa"/>
            </w:tcMar>
          </w:tcPr>
          <w:p w14:paraId="2E7070D8"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3.A.1 Cattle – CH₄, N₂O (A.19, 2021) Accuracy</w:t>
            </w:r>
          </w:p>
        </w:tc>
        <w:tc>
          <w:tcPr>
            <w:tcW w:w="3685" w:type="dxa"/>
            <w:shd w:val="clear" w:color="auto" w:fill="FFFFFF" w:themeFill="background1"/>
            <w:tcMar>
              <w:top w:w="0" w:type="dxa"/>
              <w:left w:w="85" w:type="dxa"/>
              <w:bottom w:w="0" w:type="dxa"/>
              <w:right w:w="85" w:type="dxa"/>
            </w:tcMar>
          </w:tcPr>
          <w:p w14:paraId="2AA5E89C"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Incorporate the data and results of the ongoing research in order to provide more up-to-date data on the proportion of dry cows and update the parameter POPdnmct (total number of dairy cows and heifers not in milk or calf in year t), recalculate the emission estimates and explain the recalculations in the NIR.</w:t>
            </w:r>
          </w:p>
        </w:tc>
        <w:tc>
          <w:tcPr>
            <w:tcW w:w="4253" w:type="dxa"/>
            <w:shd w:val="clear" w:color="auto" w:fill="FFFFFF" w:themeFill="background1"/>
            <w:tcMar>
              <w:top w:w="0" w:type="dxa"/>
              <w:left w:w="85" w:type="dxa"/>
              <w:bottom w:w="0" w:type="dxa"/>
              <w:right w:w="85" w:type="dxa"/>
            </w:tcMar>
          </w:tcPr>
          <w:p w14:paraId="39D96FDB" w14:textId="28DDA8AE" w:rsidR="007C5A34" w:rsidRPr="001D5327" w:rsidRDefault="007C5A34" w:rsidP="00341FEF">
            <w:pPr>
              <w:pStyle w:val="TableText"/>
              <w:spacing w:before="40" w:after="40"/>
              <w:rPr>
                <w:spacing w:val="-2"/>
              </w:rPr>
            </w:pPr>
            <w:r w:rsidRPr="001D5327">
              <w:rPr>
                <w:rFonts w:eastAsia="Calibri"/>
                <w:color w:val="000000" w:themeColor="text1"/>
                <w:spacing w:val="-2"/>
              </w:rPr>
              <w:t>Not resolved. New Zealand did not provide additional information on the results of the ongoing research aimed at updating the data on the proportion of dry cows and the parameter POPdnmct. During the review, the Party clarified that</w:t>
            </w:r>
            <w:r w:rsidR="006E7E55" w:rsidRPr="001D5327">
              <w:rPr>
                <w:rFonts w:eastAsia="Calibri"/>
                <w:color w:val="000000" w:themeColor="text1"/>
                <w:spacing w:val="-2"/>
              </w:rPr>
              <w:t> </w:t>
            </w:r>
            <w:r w:rsidRPr="001D5327">
              <w:rPr>
                <w:rFonts w:eastAsia="Calibri"/>
                <w:color w:val="000000" w:themeColor="text1"/>
                <w:spacing w:val="-2"/>
              </w:rPr>
              <w:t>the research is being finalized and the results will be used once available, hopefully as part of improvements for the 2023</w:t>
            </w:r>
            <w:r w:rsidR="006E7E55" w:rsidRPr="001D5327">
              <w:rPr>
                <w:rFonts w:eastAsia="Calibri"/>
                <w:color w:val="000000" w:themeColor="text1"/>
                <w:spacing w:val="-2"/>
              </w:rPr>
              <w:t> </w:t>
            </w:r>
            <w:r w:rsidRPr="001D5327">
              <w:rPr>
                <w:rFonts w:eastAsia="Calibri"/>
                <w:color w:val="000000" w:themeColor="text1"/>
                <w:spacing w:val="-2"/>
              </w:rPr>
              <w:t>submission.</w:t>
            </w:r>
          </w:p>
        </w:tc>
        <w:tc>
          <w:tcPr>
            <w:tcW w:w="3062" w:type="dxa"/>
            <w:shd w:val="clear" w:color="auto" w:fill="FFFFFF" w:themeFill="background1"/>
            <w:tcMar>
              <w:left w:w="85" w:type="dxa"/>
              <w:right w:w="85" w:type="dxa"/>
            </w:tcMar>
          </w:tcPr>
          <w:p w14:paraId="65A4ED76" w14:textId="77777777" w:rsidR="007C5A34" w:rsidRPr="001D5327" w:rsidRDefault="007C5A34" w:rsidP="00341FEF">
            <w:pPr>
              <w:pStyle w:val="TableText"/>
              <w:spacing w:before="40" w:after="40"/>
              <w:rPr>
                <w:rFonts w:eastAsia="Calibri"/>
                <w:color w:val="000000"/>
                <w:spacing w:val="-2"/>
              </w:rPr>
            </w:pPr>
            <w:r w:rsidRPr="001D5327">
              <w:rPr>
                <w:rFonts w:eastAsia="Calibri"/>
                <w:bCs/>
                <w:color w:val="000000" w:themeColor="text1"/>
                <w:spacing w:val="-2"/>
              </w:rPr>
              <w:t>Resolved</w:t>
            </w:r>
            <w:r w:rsidRPr="001D5327">
              <w:rPr>
                <w:rFonts w:eastAsia="Calibri"/>
                <w:color w:val="000000" w:themeColor="text1"/>
                <w:spacing w:val="-2"/>
              </w:rPr>
              <w:t xml:space="preserve">. Additional investigation has confirmed that POPdnmct is based on survey data collected annually by the Agricultural Production Survey. Additional information is now provided in annex 5, section A5.1.1, table A5.1.3. </w:t>
            </w:r>
          </w:p>
        </w:tc>
      </w:tr>
      <w:tr w:rsidR="00281DE2" w:rsidRPr="001D5327" w14:paraId="54A80B66" w14:textId="77777777" w:rsidTr="002C45EC">
        <w:tc>
          <w:tcPr>
            <w:tcW w:w="851" w:type="dxa"/>
            <w:shd w:val="clear" w:color="auto" w:fill="FFFFFF" w:themeFill="background1"/>
            <w:tcMar>
              <w:top w:w="0" w:type="dxa"/>
              <w:left w:w="85" w:type="dxa"/>
              <w:bottom w:w="0" w:type="dxa"/>
              <w:right w:w="85" w:type="dxa"/>
            </w:tcMar>
          </w:tcPr>
          <w:p w14:paraId="66221DAB"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lastRenderedPageBreak/>
              <w:t>A.5</w:t>
            </w:r>
          </w:p>
        </w:tc>
        <w:tc>
          <w:tcPr>
            <w:tcW w:w="2128" w:type="dxa"/>
            <w:shd w:val="clear" w:color="auto" w:fill="FFFFFF" w:themeFill="background1"/>
            <w:tcMar>
              <w:top w:w="0" w:type="dxa"/>
              <w:left w:w="85" w:type="dxa"/>
              <w:bottom w:w="0" w:type="dxa"/>
              <w:right w:w="85" w:type="dxa"/>
            </w:tcMar>
          </w:tcPr>
          <w:p w14:paraId="45D915C5"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3.A.1 Cattle – CH₄ (A.20, 2021) Accuracy</w:t>
            </w:r>
          </w:p>
        </w:tc>
        <w:tc>
          <w:tcPr>
            <w:tcW w:w="3685" w:type="dxa"/>
            <w:shd w:val="clear" w:color="auto" w:fill="FFFFFF" w:themeFill="background1"/>
            <w:tcMar>
              <w:top w:w="0" w:type="dxa"/>
              <w:left w:w="85" w:type="dxa"/>
              <w:bottom w:w="0" w:type="dxa"/>
              <w:right w:w="85" w:type="dxa"/>
            </w:tcMar>
          </w:tcPr>
          <w:p w14:paraId="3424FF95"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Improve the methodology related to the instantaneous gain of 10 per cent of the weight of mature cows to account for their higher energy requirements and recalculate the associated emission estimates. Document clearly these recalculations in the NIR.</w:t>
            </w:r>
          </w:p>
        </w:tc>
        <w:tc>
          <w:tcPr>
            <w:tcW w:w="4253" w:type="dxa"/>
            <w:shd w:val="clear" w:color="auto" w:fill="FFFFFF" w:themeFill="background1"/>
            <w:tcMar>
              <w:top w:w="0" w:type="dxa"/>
              <w:left w:w="85" w:type="dxa"/>
              <w:bottom w:w="0" w:type="dxa"/>
              <w:right w:w="85" w:type="dxa"/>
            </w:tcMar>
          </w:tcPr>
          <w:p w14:paraId="0A6DC8E1" w14:textId="1274D662" w:rsidR="007C5A34" w:rsidRPr="001D5327" w:rsidRDefault="007C5A34" w:rsidP="00341FEF">
            <w:pPr>
              <w:pStyle w:val="TableText"/>
              <w:spacing w:before="40" w:after="40"/>
              <w:rPr>
                <w:spacing w:val="-2"/>
              </w:rPr>
            </w:pPr>
            <w:r w:rsidRPr="001D5327">
              <w:rPr>
                <w:rFonts w:eastAsia="Calibri"/>
                <w:color w:val="000000" w:themeColor="text1"/>
                <w:spacing w:val="-2"/>
              </w:rPr>
              <w:t>Addressing. New Zealand continued to assume that growing heifer live weight gain linearly increases from 9 per cent when a heifer is born to 90 per cent when it becomes a mature heifer at 638 days old. After 638 days, growing heifers join the class of mature milking cows and make an instantaneous jump in weight to the full mature dairy cow weight. During the review, the Party clarified that the instantaneous weight gain is related to the fact that growing heifers are moving up into the next subcategory of</w:t>
            </w:r>
            <w:r w:rsidR="006E7E55" w:rsidRPr="001D5327">
              <w:rPr>
                <w:rFonts w:eastAsia="Calibri"/>
                <w:color w:val="000000" w:themeColor="text1"/>
                <w:spacing w:val="-2"/>
              </w:rPr>
              <w:t> </w:t>
            </w:r>
            <w:r w:rsidRPr="001D5327">
              <w:rPr>
                <w:rFonts w:eastAsia="Calibri"/>
                <w:color w:val="000000" w:themeColor="text1"/>
                <w:spacing w:val="-2"/>
              </w:rPr>
              <w:t>cattle. The Party specified that ongoing research to improve the methodology for estimating dairy cattle population will address this issue and the results will be incorporated into its 2023 submission.</w:t>
            </w:r>
          </w:p>
        </w:tc>
        <w:tc>
          <w:tcPr>
            <w:tcW w:w="3062" w:type="dxa"/>
            <w:shd w:val="clear" w:color="auto" w:fill="FFFFFF" w:themeFill="background1"/>
            <w:tcMar>
              <w:left w:w="85" w:type="dxa"/>
              <w:right w:w="85" w:type="dxa"/>
            </w:tcMar>
          </w:tcPr>
          <w:p w14:paraId="30C019BC" w14:textId="77777777" w:rsidR="007C5A34" w:rsidRPr="001D5327" w:rsidRDefault="007C5A34" w:rsidP="00341FEF">
            <w:pPr>
              <w:pStyle w:val="TableText"/>
              <w:spacing w:before="40" w:after="40"/>
              <w:rPr>
                <w:rFonts w:eastAsia="Calibri" w:cstheme="minorHAnsi"/>
                <w:color w:val="000000"/>
                <w:spacing w:val="-2"/>
              </w:rPr>
            </w:pPr>
            <w:r w:rsidRPr="001D5327">
              <w:rPr>
                <w:rFonts w:eastAsia="Calibri"/>
                <w:bCs/>
                <w:color w:val="000000"/>
                <w:spacing w:val="-2"/>
              </w:rPr>
              <w:t>Resolved</w:t>
            </w:r>
            <w:r w:rsidRPr="001D5327">
              <w:rPr>
                <w:rFonts w:eastAsia="Calibri"/>
                <w:color w:val="000000"/>
                <w:spacing w:val="-2"/>
              </w:rPr>
              <w:t>. The weight gain method was adjusted to address this recommendation as a part of the improved estimates of within-year dairy cattle population change included in the 2023 NIR submission.</w:t>
            </w:r>
          </w:p>
        </w:tc>
      </w:tr>
      <w:tr w:rsidR="00281DE2" w:rsidRPr="001D5327" w14:paraId="0C737E3B" w14:textId="77777777" w:rsidTr="002C45EC">
        <w:tc>
          <w:tcPr>
            <w:tcW w:w="851" w:type="dxa"/>
            <w:shd w:val="clear" w:color="auto" w:fill="FFFFFF" w:themeFill="background1"/>
            <w:tcMar>
              <w:top w:w="0" w:type="dxa"/>
              <w:left w:w="85" w:type="dxa"/>
              <w:bottom w:w="0" w:type="dxa"/>
              <w:right w:w="85" w:type="dxa"/>
            </w:tcMar>
          </w:tcPr>
          <w:p w14:paraId="4DCA3A8B"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A.6</w:t>
            </w:r>
          </w:p>
        </w:tc>
        <w:tc>
          <w:tcPr>
            <w:tcW w:w="2128" w:type="dxa"/>
            <w:shd w:val="clear" w:color="auto" w:fill="FFFFFF" w:themeFill="background1"/>
            <w:tcMar>
              <w:top w:w="0" w:type="dxa"/>
              <w:left w:w="85" w:type="dxa"/>
              <w:bottom w:w="0" w:type="dxa"/>
              <w:right w:w="85" w:type="dxa"/>
            </w:tcMar>
          </w:tcPr>
          <w:p w14:paraId="6234D550"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3.A.4 Other livestock – CH₄ (A.9, 2021) (A.13, 2019) Accuracy</w:t>
            </w:r>
          </w:p>
        </w:tc>
        <w:tc>
          <w:tcPr>
            <w:tcW w:w="3685" w:type="dxa"/>
            <w:shd w:val="clear" w:color="auto" w:fill="FFFFFF" w:themeFill="background1"/>
            <w:tcMar>
              <w:top w:w="0" w:type="dxa"/>
              <w:left w:w="85" w:type="dxa"/>
              <w:bottom w:w="0" w:type="dxa"/>
              <w:right w:w="85" w:type="dxa"/>
            </w:tcMar>
          </w:tcPr>
          <w:p w14:paraId="1FE850B4"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Implement the planned methodological changes regarding revising the assumptions about the population of dairy goats and the total goat population, recalculate the emission estimates and explain them in the NIR.</w:t>
            </w:r>
          </w:p>
        </w:tc>
        <w:tc>
          <w:tcPr>
            <w:tcW w:w="4253" w:type="dxa"/>
            <w:shd w:val="clear" w:color="auto" w:fill="FFFFFF" w:themeFill="background1"/>
            <w:tcMar>
              <w:top w:w="0" w:type="dxa"/>
              <w:left w:w="85" w:type="dxa"/>
              <w:bottom w:w="0" w:type="dxa"/>
              <w:right w:w="85" w:type="dxa"/>
            </w:tcMar>
          </w:tcPr>
          <w:p w14:paraId="2E6CDFC9" w14:textId="2AA26C6D" w:rsidR="007C5A34" w:rsidRPr="001D5327" w:rsidRDefault="007C5A34" w:rsidP="00341FEF">
            <w:pPr>
              <w:pStyle w:val="TableText"/>
              <w:spacing w:before="40" w:after="40"/>
              <w:rPr>
                <w:spacing w:val="-2"/>
              </w:rPr>
            </w:pPr>
            <w:r w:rsidRPr="001D5327">
              <w:rPr>
                <w:rFonts w:eastAsia="Calibri"/>
                <w:color w:val="000000" w:themeColor="text1"/>
                <w:spacing w:val="-2"/>
              </w:rPr>
              <w:t>Resolved. In its NIR (table 10.2.2, p.392), the Party stated that it used revised estimates of the dairy goat population for the 2020 inventory. This resulted in an updated CH₄ EF for enteric fermentation for the whole time series in the 2020 inventory (CRF table 3.A.s1). During the review, the Party clarified that data from recent research (Burggraaf et al., 2019) have now been adopted in the methodology regarding the proportion of dairy goats in the overall farmed population and emission estimates have been recalculated accordingly. The ERT noted</w:t>
            </w:r>
            <w:r w:rsidR="006E7E55" w:rsidRPr="001D5327">
              <w:rPr>
                <w:rFonts w:eastAsia="Calibri"/>
                <w:color w:val="000000" w:themeColor="text1"/>
                <w:spacing w:val="-2"/>
              </w:rPr>
              <w:t> </w:t>
            </w:r>
            <w:r w:rsidRPr="001D5327">
              <w:rPr>
                <w:rFonts w:eastAsia="Calibri"/>
                <w:color w:val="000000" w:themeColor="text1"/>
                <w:spacing w:val="-2"/>
              </w:rPr>
              <w:t>that a reference to this research was provided in the NIR</w:t>
            </w:r>
            <w:r w:rsidR="006E7E55" w:rsidRPr="001D5327">
              <w:rPr>
                <w:rFonts w:eastAsia="Calibri"/>
                <w:color w:val="000000" w:themeColor="text1"/>
                <w:spacing w:val="-2"/>
              </w:rPr>
              <w:t> </w:t>
            </w:r>
            <w:r w:rsidRPr="001D5327">
              <w:rPr>
                <w:rFonts w:eastAsia="Calibri"/>
                <w:color w:val="000000" w:themeColor="text1"/>
                <w:spacing w:val="-2"/>
              </w:rPr>
              <w:t>(p.177).</w:t>
            </w:r>
          </w:p>
        </w:tc>
        <w:tc>
          <w:tcPr>
            <w:tcW w:w="3062" w:type="dxa"/>
            <w:shd w:val="clear" w:color="auto" w:fill="FFFFFF" w:themeFill="background1"/>
            <w:tcMar>
              <w:left w:w="85" w:type="dxa"/>
              <w:right w:w="85" w:type="dxa"/>
            </w:tcMar>
          </w:tcPr>
          <w:p w14:paraId="21D1E60E" w14:textId="77777777" w:rsidR="007C5A34" w:rsidRPr="001D5327" w:rsidRDefault="007C5A34" w:rsidP="00341FEF">
            <w:pPr>
              <w:pStyle w:val="TableText"/>
              <w:spacing w:before="40" w:after="40"/>
              <w:rPr>
                <w:rFonts w:eastAsia="Calibri" w:cstheme="minorHAnsi"/>
                <w:color w:val="000000"/>
                <w:spacing w:val="-2"/>
              </w:rPr>
            </w:pPr>
            <w:r w:rsidRPr="001D5327">
              <w:rPr>
                <w:rFonts w:eastAsia="Calibri"/>
                <w:color w:val="000000"/>
                <w:spacing w:val="-2"/>
              </w:rPr>
              <w:t>NA</w:t>
            </w:r>
          </w:p>
        </w:tc>
      </w:tr>
      <w:tr w:rsidR="00281DE2" w:rsidRPr="001D5327" w14:paraId="441129D4" w14:textId="77777777" w:rsidTr="002C45EC">
        <w:tc>
          <w:tcPr>
            <w:tcW w:w="851" w:type="dxa"/>
            <w:shd w:val="clear" w:color="auto" w:fill="FFFFFF" w:themeFill="background1"/>
            <w:tcMar>
              <w:top w:w="0" w:type="dxa"/>
              <w:left w:w="85" w:type="dxa"/>
              <w:bottom w:w="0" w:type="dxa"/>
              <w:right w:w="85" w:type="dxa"/>
            </w:tcMar>
          </w:tcPr>
          <w:p w14:paraId="45BE5A6D"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A.7</w:t>
            </w:r>
          </w:p>
        </w:tc>
        <w:tc>
          <w:tcPr>
            <w:tcW w:w="2128" w:type="dxa"/>
            <w:shd w:val="clear" w:color="auto" w:fill="FFFFFF" w:themeFill="background1"/>
            <w:tcMar>
              <w:top w:w="0" w:type="dxa"/>
              <w:left w:w="85" w:type="dxa"/>
              <w:bottom w:w="0" w:type="dxa"/>
              <w:right w:w="85" w:type="dxa"/>
            </w:tcMar>
          </w:tcPr>
          <w:p w14:paraId="329FDBE5"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3.B.1 Cattle – N₂O (A.21, 2021) Transparency</w:t>
            </w:r>
          </w:p>
        </w:tc>
        <w:tc>
          <w:tcPr>
            <w:tcW w:w="3685" w:type="dxa"/>
            <w:shd w:val="clear" w:color="auto" w:fill="FFFFFF" w:themeFill="background1"/>
            <w:tcMar>
              <w:top w:w="0" w:type="dxa"/>
              <w:left w:w="85" w:type="dxa"/>
              <w:bottom w:w="0" w:type="dxa"/>
              <w:right w:w="85" w:type="dxa"/>
            </w:tcMar>
          </w:tcPr>
          <w:p w14:paraId="39C3A0EE"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Correct the description of N excretion in the first two months of life for dairy cattle in section 5.1 of the New Zealand Ministry for Primary Industries technical report in order to resolve the inconsistency with section 5.1.1.2 of the same technical report.</w:t>
            </w:r>
          </w:p>
        </w:tc>
        <w:tc>
          <w:tcPr>
            <w:tcW w:w="4253" w:type="dxa"/>
            <w:shd w:val="clear" w:color="auto" w:fill="FFFFFF" w:themeFill="background1"/>
            <w:tcMar>
              <w:top w:w="0" w:type="dxa"/>
              <w:left w:w="85" w:type="dxa"/>
              <w:bottom w:w="0" w:type="dxa"/>
              <w:right w:w="85" w:type="dxa"/>
            </w:tcMar>
          </w:tcPr>
          <w:p w14:paraId="2101A1E8" w14:textId="6156E4BE"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Not resolved. The inconsistency in the technical report (New Zealand Ministry for Primary Industries, 2022) remains: it is stated on page 97 that for dairy cattle in the first two months of their life, N excretion is set to zero, whereas it is stated on pages 97–98 of the same report that for dairy cattle less than one year old, N excretion is calculated on the basis of N intake through milk powder and its protein content, as shown in equation 5.3 in</w:t>
            </w:r>
            <w:r w:rsidR="006E7E55" w:rsidRPr="001D5327">
              <w:rPr>
                <w:rFonts w:eastAsia="Calibri" w:cstheme="minorHAnsi"/>
                <w:color w:val="000000"/>
                <w:spacing w:val="-2"/>
              </w:rPr>
              <w:t> </w:t>
            </w:r>
            <w:r w:rsidRPr="001D5327">
              <w:rPr>
                <w:rFonts w:eastAsia="Calibri" w:cstheme="minorHAnsi"/>
                <w:color w:val="000000"/>
                <w:spacing w:val="-2"/>
              </w:rPr>
              <w:t>the report (p.98). During the review, the Party clarified that the recommendation was not implemented because of the delay in receiving the 2021 review report and that the report by</w:t>
            </w:r>
            <w:r w:rsidR="006E7E55" w:rsidRPr="001D5327">
              <w:rPr>
                <w:rFonts w:eastAsia="Calibri" w:cstheme="minorHAnsi"/>
                <w:color w:val="000000"/>
                <w:spacing w:val="-2"/>
              </w:rPr>
              <w:t> </w:t>
            </w:r>
            <w:r w:rsidRPr="001D5327">
              <w:rPr>
                <w:rFonts w:eastAsia="Calibri" w:cstheme="minorHAnsi"/>
                <w:color w:val="000000"/>
                <w:spacing w:val="-2"/>
              </w:rPr>
              <w:t>the Ministry for Primary Industries will be updated to ensure</w:t>
            </w:r>
            <w:r w:rsidR="006E7E55" w:rsidRPr="001D5327">
              <w:rPr>
                <w:rFonts w:eastAsia="Calibri" w:cstheme="minorHAnsi"/>
                <w:color w:val="000000"/>
                <w:spacing w:val="-2"/>
              </w:rPr>
              <w:t> </w:t>
            </w:r>
            <w:r w:rsidRPr="001D5327">
              <w:rPr>
                <w:rFonts w:eastAsia="Calibri" w:cstheme="minorHAnsi"/>
                <w:color w:val="000000"/>
                <w:spacing w:val="-2"/>
              </w:rPr>
              <w:t>consistency.</w:t>
            </w:r>
          </w:p>
        </w:tc>
        <w:tc>
          <w:tcPr>
            <w:tcW w:w="3062" w:type="dxa"/>
            <w:shd w:val="clear" w:color="auto" w:fill="FFFFFF" w:themeFill="background1"/>
            <w:tcMar>
              <w:left w:w="85" w:type="dxa"/>
              <w:right w:w="85" w:type="dxa"/>
            </w:tcMar>
          </w:tcPr>
          <w:p w14:paraId="56ACF3C8" w14:textId="77777777" w:rsidR="007C5A34" w:rsidRPr="001D5327" w:rsidRDefault="007C5A34" w:rsidP="00341FEF">
            <w:pPr>
              <w:pStyle w:val="TableText"/>
              <w:spacing w:before="40" w:after="40"/>
              <w:rPr>
                <w:rFonts w:eastAsia="Calibri"/>
                <w:spacing w:val="-2"/>
              </w:rPr>
            </w:pPr>
            <w:r w:rsidRPr="001D5327">
              <w:rPr>
                <w:rFonts w:eastAsia="Calibri"/>
                <w:bCs/>
                <w:color w:val="000000" w:themeColor="text1"/>
                <w:spacing w:val="-2"/>
              </w:rPr>
              <w:t>Resolved</w:t>
            </w:r>
            <w:r w:rsidRPr="001D5327">
              <w:rPr>
                <w:rFonts w:eastAsia="Calibri"/>
                <w:color w:val="000000" w:themeColor="text1"/>
                <w:spacing w:val="-2"/>
              </w:rPr>
              <w:t xml:space="preserve">. Section 5.2 (previously section 5.1) of the Ministry for Primary Industries technical report on the methodology for calculation of New Zealand’s agricultural greenhouse gas emissions has been updated for </w:t>
            </w:r>
            <w:r w:rsidRPr="001D5327">
              <w:rPr>
                <w:rFonts w:eastAsia="Calibri"/>
                <w:spacing w:val="-2"/>
              </w:rPr>
              <w:t>consistency (Pickering et al., 2024).</w:t>
            </w:r>
          </w:p>
        </w:tc>
      </w:tr>
      <w:tr w:rsidR="00281DE2" w:rsidRPr="001D5327" w14:paraId="78DC5751" w14:textId="77777777" w:rsidTr="002C45EC">
        <w:tc>
          <w:tcPr>
            <w:tcW w:w="851" w:type="dxa"/>
            <w:shd w:val="clear" w:color="auto" w:fill="FFFFFF" w:themeFill="background1"/>
            <w:tcMar>
              <w:top w:w="0" w:type="dxa"/>
              <w:left w:w="85" w:type="dxa"/>
              <w:bottom w:w="0" w:type="dxa"/>
              <w:right w:w="85" w:type="dxa"/>
            </w:tcMar>
          </w:tcPr>
          <w:p w14:paraId="617E929D"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A.8</w:t>
            </w:r>
          </w:p>
        </w:tc>
        <w:tc>
          <w:tcPr>
            <w:tcW w:w="2128" w:type="dxa"/>
            <w:shd w:val="clear" w:color="auto" w:fill="FFFFFF" w:themeFill="background1"/>
            <w:tcMar>
              <w:top w:w="0" w:type="dxa"/>
              <w:left w:w="85" w:type="dxa"/>
              <w:bottom w:w="0" w:type="dxa"/>
              <w:right w:w="85" w:type="dxa"/>
            </w:tcMar>
          </w:tcPr>
          <w:p w14:paraId="4FCB80C1"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3.B.4 Other livestock – CH₄ (A.12, 2021) (A.16, 2019) Accuracy</w:t>
            </w:r>
          </w:p>
        </w:tc>
        <w:tc>
          <w:tcPr>
            <w:tcW w:w="3685" w:type="dxa"/>
            <w:shd w:val="clear" w:color="auto" w:fill="FFFFFF" w:themeFill="background1"/>
            <w:tcMar>
              <w:top w:w="0" w:type="dxa"/>
              <w:left w:w="85" w:type="dxa"/>
              <w:bottom w:w="0" w:type="dxa"/>
              <w:right w:w="85" w:type="dxa"/>
            </w:tcMar>
          </w:tcPr>
          <w:p w14:paraId="4D173F49"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 xml:space="preserve">Revise the calculation procedures for the CH₄ EF for deer and explain the revisions in the NIR. If three studies from 2003 are still used as the basis for the calculation, consider using a more appropriate average value than a simple arithmetic average, such as a </w:t>
            </w:r>
            <w:r w:rsidRPr="001D5327">
              <w:rPr>
                <w:rFonts w:eastAsia="Calibri"/>
                <w:color w:val="000000" w:themeColor="text1"/>
                <w:spacing w:val="-2"/>
              </w:rPr>
              <w:lastRenderedPageBreak/>
              <w:t>weighted average, to estimate the CH₄ EF for deer; and justify that the obtained value is more appropriate than the IPCC default value.</w:t>
            </w:r>
          </w:p>
        </w:tc>
        <w:tc>
          <w:tcPr>
            <w:tcW w:w="4253" w:type="dxa"/>
            <w:shd w:val="clear" w:color="auto" w:fill="FFFFFF" w:themeFill="background1"/>
            <w:tcMar>
              <w:top w:w="0" w:type="dxa"/>
              <w:left w:w="85" w:type="dxa"/>
              <w:bottom w:w="0" w:type="dxa"/>
              <w:right w:w="85" w:type="dxa"/>
            </w:tcMar>
          </w:tcPr>
          <w:p w14:paraId="0FE39ED3" w14:textId="77777777" w:rsidR="007C5A34" w:rsidRPr="001D5327" w:rsidRDefault="007C5A34" w:rsidP="00341FEF">
            <w:pPr>
              <w:pStyle w:val="TableText"/>
              <w:spacing w:before="40" w:after="40"/>
              <w:rPr>
                <w:spacing w:val="-2"/>
              </w:rPr>
            </w:pPr>
            <w:r w:rsidRPr="001D5327">
              <w:rPr>
                <w:rFonts w:eastAsia="Calibri"/>
                <w:color w:val="000000" w:themeColor="text1"/>
                <w:spacing w:val="-2"/>
              </w:rPr>
              <w:lastRenderedPageBreak/>
              <w:t xml:space="preserve">Resolved. The Party continued to apply a simple arithmetic average of CH₄ yield value of 0.000914788 kg CH₄/kg faecal dry matter, which was obtained on the basis of two studies for sheep and three studies for cattle. During the review, the Party clarified that the current procedure for calculating the CH₄ EF </w:t>
            </w:r>
            <w:r w:rsidRPr="001D5327">
              <w:rPr>
                <w:rFonts w:eastAsia="Calibri"/>
                <w:color w:val="000000" w:themeColor="text1"/>
                <w:spacing w:val="-2"/>
              </w:rPr>
              <w:lastRenderedPageBreak/>
              <w:t>for deer remains appropriate given the information available. As deer weights are approximately halfway between those of sheep and beef and the values for sheep and beef are based on robust, country-specific research, basing the CH₄ EF for deer on the average of those two values is likely to be more accurate than using the IPCC default value. The ERT considers the arguments provided by New Zealand to be relevant and robust and thus considers the issue to have been resolved.</w:t>
            </w:r>
          </w:p>
        </w:tc>
        <w:tc>
          <w:tcPr>
            <w:tcW w:w="3062" w:type="dxa"/>
            <w:shd w:val="clear" w:color="auto" w:fill="FFFFFF" w:themeFill="background1"/>
            <w:tcMar>
              <w:left w:w="85" w:type="dxa"/>
              <w:right w:w="85" w:type="dxa"/>
            </w:tcMar>
          </w:tcPr>
          <w:p w14:paraId="2A50CD2F" w14:textId="77777777" w:rsidR="007C5A34" w:rsidRPr="001D5327" w:rsidRDefault="007C5A34" w:rsidP="00341FEF">
            <w:pPr>
              <w:pStyle w:val="TableText"/>
              <w:spacing w:before="40" w:after="40"/>
              <w:rPr>
                <w:rFonts w:eastAsia="Calibri" w:cstheme="minorHAnsi"/>
                <w:color w:val="000000"/>
                <w:spacing w:val="-2"/>
              </w:rPr>
            </w:pPr>
            <w:r w:rsidRPr="001D5327">
              <w:rPr>
                <w:rFonts w:eastAsia="Calibri"/>
                <w:color w:val="000000"/>
                <w:spacing w:val="-2"/>
              </w:rPr>
              <w:lastRenderedPageBreak/>
              <w:t>NA</w:t>
            </w:r>
          </w:p>
        </w:tc>
      </w:tr>
      <w:tr w:rsidR="00281DE2" w:rsidRPr="001D5327" w14:paraId="0657F53F" w14:textId="77777777" w:rsidTr="002C45EC">
        <w:tc>
          <w:tcPr>
            <w:tcW w:w="851" w:type="dxa"/>
            <w:shd w:val="clear" w:color="auto" w:fill="FFFFFF" w:themeFill="background1"/>
            <w:tcMar>
              <w:top w:w="0" w:type="dxa"/>
              <w:left w:w="85" w:type="dxa"/>
              <w:bottom w:w="0" w:type="dxa"/>
              <w:right w:w="85" w:type="dxa"/>
            </w:tcMar>
          </w:tcPr>
          <w:p w14:paraId="380EB710"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A.9</w:t>
            </w:r>
          </w:p>
        </w:tc>
        <w:tc>
          <w:tcPr>
            <w:tcW w:w="2128" w:type="dxa"/>
            <w:shd w:val="clear" w:color="auto" w:fill="FFFFFF" w:themeFill="background1"/>
            <w:tcMar>
              <w:top w:w="0" w:type="dxa"/>
              <w:left w:w="85" w:type="dxa"/>
              <w:bottom w:w="0" w:type="dxa"/>
              <w:right w:w="85" w:type="dxa"/>
            </w:tcMar>
          </w:tcPr>
          <w:p w14:paraId="2791A560"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3.D.a.2.a Animal manure applied to soils – N₂O (A.22, 2021) Transparency</w:t>
            </w:r>
          </w:p>
        </w:tc>
        <w:tc>
          <w:tcPr>
            <w:tcW w:w="3685" w:type="dxa"/>
            <w:shd w:val="clear" w:color="auto" w:fill="FFFFFF" w:themeFill="background1"/>
            <w:tcMar>
              <w:top w:w="0" w:type="dxa"/>
              <w:left w:w="85" w:type="dxa"/>
              <w:bottom w:w="0" w:type="dxa"/>
              <w:right w:w="85" w:type="dxa"/>
            </w:tcMar>
          </w:tcPr>
          <w:p w14:paraId="19820F12"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Provide additional information describing the manure management systems used for dairy cattle in the NIR, including the information from Rollo et al. (2017).</w:t>
            </w:r>
          </w:p>
        </w:tc>
        <w:tc>
          <w:tcPr>
            <w:tcW w:w="4253" w:type="dxa"/>
            <w:shd w:val="clear" w:color="auto" w:fill="FFFFFF" w:themeFill="background1"/>
            <w:tcMar>
              <w:top w:w="0" w:type="dxa"/>
              <w:left w:w="85" w:type="dxa"/>
              <w:bottom w:w="0" w:type="dxa"/>
              <w:right w:w="85" w:type="dxa"/>
            </w:tcMar>
          </w:tcPr>
          <w:p w14:paraId="2D88EC0C"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Not resolved. New Zealand continued to report that “some manure is also collected but not stored; rather it is daily spread directly onto pasture (e.g. swine manure and some dairy manure)” (NIR p.200), and did not include detailed information from Rollo et al. (2017) justifying its stance that this manure management practice does not fall under the definition of the manure management system daily spread, or on reporting “NO” for dairy cattle in CRF tables 3.B(a)s2 and 3.B(b). During the review, the Party clarified that the recommendation was not implemented because of the delay to the 2021 review report; however, more information will be provided in its 2023 submission in order to resolve this issue.</w:t>
            </w:r>
          </w:p>
        </w:tc>
        <w:tc>
          <w:tcPr>
            <w:tcW w:w="3062" w:type="dxa"/>
            <w:shd w:val="clear" w:color="auto" w:fill="FFFFFF" w:themeFill="background1"/>
            <w:tcMar>
              <w:left w:w="85" w:type="dxa"/>
              <w:right w:w="85" w:type="dxa"/>
            </w:tcMar>
          </w:tcPr>
          <w:p w14:paraId="78D45F46" w14:textId="77777777" w:rsidR="007C5A34" w:rsidRPr="001D5327" w:rsidRDefault="007C5A34" w:rsidP="00341FEF">
            <w:pPr>
              <w:pStyle w:val="TableText"/>
              <w:spacing w:before="40" w:after="40"/>
              <w:rPr>
                <w:rFonts w:eastAsia="Calibri"/>
                <w:color w:val="000000"/>
                <w:spacing w:val="-2"/>
              </w:rPr>
            </w:pPr>
            <w:r w:rsidRPr="001D5327">
              <w:rPr>
                <w:rFonts w:eastAsia="Calibri"/>
                <w:bCs/>
                <w:color w:val="000000" w:themeColor="text1"/>
                <w:spacing w:val="-2"/>
              </w:rPr>
              <w:t>Resolved</w:t>
            </w:r>
            <w:r w:rsidRPr="001D5327">
              <w:rPr>
                <w:rFonts w:eastAsia="Calibri"/>
                <w:color w:val="000000" w:themeColor="text1"/>
                <w:spacing w:val="-2"/>
              </w:rPr>
              <w:t>. A clearer description has been added in chapter 5, section 5.5.2 under Organic nitrogen fertilisers. A report by Rollo et al. (2017) found that only 8 per cent of dairy farms use land application of manure, with direct pumping from a sump. In all cases, manure that was collected was stored for least one or two days before spreading to pasture via irrigation. Therefore, it does not meet the definition of daily spread and the notation key ‘NO’ is reported in 3.B(b).1.a of the CRT.</w:t>
            </w:r>
          </w:p>
        </w:tc>
      </w:tr>
      <w:tr w:rsidR="00281DE2" w:rsidRPr="001D5327" w14:paraId="600BEDCA" w14:textId="77777777" w:rsidTr="002C45EC">
        <w:tc>
          <w:tcPr>
            <w:tcW w:w="851" w:type="dxa"/>
            <w:shd w:val="clear" w:color="auto" w:fill="FFFFFF" w:themeFill="background1"/>
            <w:tcMar>
              <w:top w:w="0" w:type="dxa"/>
              <w:left w:w="85" w:type="dxa"/>
              <w:bottom w:w="0" w:type="dxa"/>
              <w:right w:w="85" w:type="dxa"/>
            </w:tcMar>
          </w:tcPr>
          <w:p w14:paraId="77682C41"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A.10</w:t>
            </w:r>
          </w:p>
        </w:tc>
        <w:tc>
          <w:tcPr>
            <w:tcW w:w="2128" w:type="dxa"/>
            <w:shd w:val="clear" w:color="auto" w:fill="FFFFFF" w:themeFill="background1"/>
            <w:tcMar>
              <w:top w:w="0" w:type="dxa"/>
              <w:left w:w="85" w:type="dxa"/>
              <w:bottom w:w="0" w:type="dxa"/>
              <w:right w:w="85" w:type="dxa"/>
            </w:tcMar>
          </w:tcPr>
          <w:p w14:paraId="7276A68E"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3.D.a.2.c Other organic fertilizers applied to soils – N₂O (A.23, 2021) Completeness</w:t>
            </w:r>
          </w:p>
        </w:tc>
        <w:tc>
          <w:tcPr>
            <w:tcW w:w="3685" w:type="dxa"/>
            <w:shd w:val="clear" w:color="auto" w:fill="FFFFFF" w:themeFill="background1"/>
            <w:tcMar>
              <w:top w:w="0" w:type="dxa"/>
              <w:left w:w="85" w:type="dxa"/>
              <w:bottom w:w="0" w:type="dxa"/>
              <w:right w:w="85" w:type="dxa"/>
            </w:tcMar>
          </w:tcPr>
          <w:p w14:paraId="4CE099FC"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Undertake an updated analysis of the AD related to N applied to soils for non-manure components of organic fertilizers and estimate and report N₂O emissions for this subcategory. If the emissions are considered to fall below the threshold of significance, report in the NIR information in accordance with paragraph 37(b) of the UNFCCC Annex I inventory reporting guidelines on the likely level of N₂O emissions, demonstrating that they are below 0.05 per cent of the national total and do not exceed 500 t CO₂ eq.</w:t>
            </w:r>
          </w:p>
        </w:tc>
        <w:tc>
          <w:tcPr>
            <w:tcW w:w="4253" w:type="dxa"/>
            <w:shd w:val="clear" w:color="auto" w:fill="FFFFFF" w:themeFill="background1"/>
            <w:tcMar>
              <w:top w:w="0" w:type="dxa"/>
              <w:left w:w="85" w:type="dxa"/>
              <w:bottom w:w="0" w:type="dxa"/>
              <w:right w:w="85" w:type="dxa"/>
            </w:tcMar>
          </w:tcPr>
          <w:p w14:paraId="5F8030E3" w14:textId="31F3C2D1" w:rsidR="007C5A34" w:rsidRPr="001D5327" w:rsidRDefault="007C5A34" w:rsidP="00341FEF">
            <w:pPr>
              <w:pStyle w:val="TableText"/>
              <w:spacing w:before="40" w:after="40"/>
              <w:rPr>
                <w:spacing w:val="-2"/>
              </w:rPr>
            </w:pPr>
            <w:r w:rsidRPr="001D5327">
              <w:rPr>
                <w:rFonts w:eastAsia="Calibri"/>
                <w:color w:val="000000" w:themeColor="text1"/>
                <w:spacing w:val="-2"/>
              </w:rPr>
              <w:t xml:space="preserve">Addressing. New Zealand did not report updated information to justify that N₂O emissions from other organic fertilizers applied to soils are below the threshold of significance in accordance with paragraph 37(b) of the UNFCCC Annex I inventory reporting guidelines. During the review, the Party clarified that it continued to refer to van der Weerden et al. (2014), in which the reported results illustrate a yearly breakdown of the contribution of organic amendments as a percentage of total GHG emissions, which ranges from 0.01 to 0.025 per cent. The Party also clarified that, according to the same report, the results should be reviewed in five years, but such a review was not undertaken owing to resource constraints. The Party further clarified that it had listed the need to review the results in van der Weerden et al. (2014) as a priority in the current annual budget round. The ERT considers that the results and information used to evaluate emissions from the organic sources in the aforementioned 2014 report are a robust justification for considering that N₂O emissions from other organic fertilizers applied to soils are below the threshold of significance, as required by paragraph 37(b) of the UNFCCC Annex I inventory reporting guidelines, but that such results </w:t>
            </w:r>
            <w:r w:rsidRPr="001D5327">
              <w:rPr>
                <w:rFonts w:eastAsia="Calibri"/>
                <w:color w:val="000000" w:themeColor="text1"/>
                <w:spacing w:val="-2"/>
              </w:rPr>
              <w:lastRenderedPageBreak/>
              <w:t>and</w:t>
            </w:r>
            <w:r w:rsidR="00906FE9" w:rsidRPr="001D5327">
              <w:rPr>
                <w:rFonts w:eastAsia="Calibri"/>
                <w:color w:val="000000" w:themeColor="text1"/>
                <w:spacing w:val="-2"/>
              </w:rPr>
              <w:t> </w:t>
            </w:r>
            <w:r w:rsidRPr="001D5327">
              <w:rPr>
                <w:rFonts w:eastAsia="Calibri"/>
                <w:color w:val="000000" w:themeColor="text1"/>
                <w:spacing w:val="-2"/>
              </w:rPr>
              <w:t>information should be reviewed, as referred to in the same</w:t>
            </w:r>
            <w:r w:rsidR="00906FE9" w:rsidRPr="001D5327">
              <w:rPr>
                <w:rFonts w:eastAsia="Calibri"/>
                <w:color w:val="000000" w:themeColor="text1"/>
                <w:spacing w:val="-2"/>
              </w:rPr>
              <w:t> </w:t>
            </w:r>
            <w:r w:rsidRPr="001D5327">
              <w:rPr>
                <w:rFonts w:eastAsia="Calibri"/>
                <w:color w:val="000000" w:themeColor="text1"/>
                <w:spacing w:val="-2"/>
              </w:rPr>
              <w:t>report.</w:t>
            </w:r>
          </w:p>
        </w:tc>
        <w:tc>
          <w:tcPr>
            <w:tcW w:w="3062" w:type="dxa"/>
            <w:shd w:val="clear" w:color="auto" w:fill="FFFFFF" w:themeFill="background1"/>
            <w:tcMar>
              <w:left w:w="85" w:type="dxa"/>
              <w:right w:w="85" w:type="dxa"/>
            </w:tcMar>
          </w:tcPr>
          <w:p w14:paraId="53E05439" w14:textId="77777777" w:rsidR="007C5A34" w:rsidRPr="001D5327" w:rsidRDefault="007C5A34" w:rsidP="00341FEF">
            <w:pPr>
              <w:pStyle w:val="TableText"/>
              <w:spacing w:before="40" w:after="40"/>
              <w:rPr>
                <w:rFonts w:eastAsia="Calibri"/>
                <w:color w:val="000000"/>
                <w:spacing w:val="-2"/>
              </w:rPr>
            </w:pPr>
            <w:r w:rsidRPr="001D5327">
              <w:rPr>
                <w:rFonts w:eastAsia="Calibri"/>
                <w:bCs/>
                <w:color w:val="000000" w:themeColor="text1"/>
                <w:spacing w:val="-2"/>
              </w:rPr>
              <w:lastRenderedPageBreak/>
              <w:t>Resolved</w:t>
            </w:r>
            <w:r w:rsidRPr="001D5327">
              <w:rPr>
                <w:rFonts w:eastAsia="Calibri"/>
                <w:color w:val="000000" w:themeColor="text1"/>
                <w:spacing w:val="-2"/>
              </w:rPr>
              <w:t>. Research completed in 2024 (van der Weerden and Rutherford, 2024) quantified the non-manure organic nitrogen applied to soils. Although the emissions from this source fall below the threshold for significance, New Zealand now reports emissions from non-manure organic fertilisers. See chapter 5, section 5.5.5, for more detail.</w:t>
            </w:r>
          </w:p>
        </w:tc>
      </w:tr>
      <w:tr w:rsidR="00281DE2" w:rsidRPr="001D5327" w14:paraId="1EE3DC83" w14:textId="77777777" w:rsidTr="002C45EC">
        <w:tc>
          <w:tcPr>
            <w:tcW w:w="851" w:type="dxa"/>
            <w:shd w:val="clear" w:color="auto" w:fill="FFFFFF" w:themeFill="background1"/>
            <w:tcMar>
              <w:top w:w="0" w:type="dxa"/>
              <w:left w:w="85" w:type="dxa"/>
              <w:bottom w:w="0" w:type="dxa"/>
              <w:right w:w="85" w:type="dxa"/>
            </w:tcMar>
          </w:tcPr>
          <w:p w14:paraId="44AE4B7A"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A.11</w:t>
            </w:r>
          </w:p>
        </w:tc>
        <w:tc>
          <w:tcPr>
            <w:tcW w:w="2128" w:type="dxa"/>
            <w:shd w:val="clear" w:color="auto" w:fill="FFFFFF" w:themeFill="background1"/>
            <w:tcMar>
              <w:top w:w="0" w:type="dxa"/>
              <w:left w:w="85" w:type="dxa"/>
              <w:bottom w:w="0" w:type="dxa"/>
              <w:right w:w="85" w:type="dxa"/>
            </w:tcMar>
          </w:tcPr>
          <w:p w14:paraId="6D927324"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3.D.b Indirect N₂O emissions from managed soils – N₂O (A.15, 2021) (A.19, 2019) Transparency</w:t>
            </w:r>
          </w:p>
        </w:tc>
        <w:tc>
          <w:tcPr>
            <w:tcW w:w="3685" w:type="dxa"/>
            <w:shd w:val="clear" w:color="auto" w:fill="FFFFFF" w:themeFill="background1"/>
            <w:tcMar>
              <w:top w:w="0" w:type="dxa"/>
              <w:left w:w="85" w:type="dxa"/>
              <w:bottom w:w="0" w:type="dxa"/>
              <w:right w:w="85" w:type="dxa"/>
            </w:tcMar>
          </w:tcPr>
          <w:p w14:paraId="26581488"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Revise the description in the NIR of the country-specific values for FracLEACH and for the fraction of applied organic N fertilizer materials and of urine and dung N deposited by grazing animals that volatilizes as ammonia and nitrogen oxides in kg N volatilized.</w:t>
            </w:r>
          </w:p>
        </w:tc>
        <w:tc>
          <w:tcPr>
            <w:tcW w:w="4253" w:type="dxa"/>
            <w:shd w:val="clear" w:color="auto" w:fill="FFFFFF" w:themeFill="background1"/>
            <w:tcMar>
              <w:top w:w="0" w:type="dxa"/>
              <w:left w:w="85" w:type="dxa"/>
              <w:bottom w:w="0" w:type="dxa"/>
              <w:right w:w="85" w:type="dxa"/>
            </w:tcMar>
          </w:tcPr>
          <w:p w14:paraId="1C1860FA"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Addressing. To estimate indirect N₂O emissions from managed soils, New Zealand used the FracLEACH value, which is further disaggregated for two land-use systems: cropping and grassland. The updated FracLEACH value for cropping systems was applied. In its NIR (p.217), the Party gave a brief description of the methodology used to derive the value, provided a reference (Welten et al., 2021) and clarified that, as the field investigations were ongoing at the time of compiling the NIR, the FracLEACH value for grazing systems was not updated. During the review, the Party clarified that the results of the research to evaluate the country-specific FracLEACH values was partially applied for the 2022 submission and that the remaining findings are scheduled to be applied for the 2023 submission.</w:t>
            </w:r>
          </w:p>
        </w:tc>
        <w:tc>
          <w:tcPr>
            <w:tcW w:w="3062" w:type="dxa"/>
            <w:shd w:val="clear" w:color="auto" w:fill="FFFFFF" w:themeFill="background1"/>
            <w:tcMar>
              <w:left w:w="85" w:type="dxa"/>
              <w:right w:w="85" w:type="dxa"/>
            </w:tcMar>
          </w:tcPr>
          <w:p w14:paraId="6E4D19CE" w14:textId="77777777" w:rsidR="007C5A34" w:rsidRPr="001D5327" w:rsidRDefault="007C5A34" w:rsidP="00341FEF">
            <w:pPr>
              <w:pStyle w:val="TableText"/>
              <w:spacing w:before="40" w:after="40"/>
              <w:rPr>
                <w:rFonts w:eastAsia="Calibri"/>
                <w:color w:val="000000"/>
                <w:spacing w:val="-2"/>
              </w:rPr>
            </w:pPr>
            <w:r w:rsidRPr="001D5327">
              <w:rPr>
                <w:rFonts w:eastAsia="Calibri"/>
                <w:bCs/>
                <w:color w:val="000000" w:themeColor="text1"/>
                <w:spacing w:val="-2"/>
              </w:rPr>
              <w:t xml:space="preserve">Resolved. </w:t>
            </w:r>
            <w:r w:rsidRPr="001D5327">
              <w:rPr>
                <w:rFonts w:eastAsia="Calibri"/>
                <w:color w:val="000000" w:themeColor="text1"/>
                <w:spacing w:val="-2"/>
              </w:rPr>
              <w:t>These values have been revised, based on recent research. Information on the country-specific FracLEACH parameter used in the Inventory is included in chapter 5, section 5.5.2 (under Indirect nitrous oxide emissions from managed soils – Nitrogen leaching and runoff (CRT 3.D.2.b)).</w:t>
            </w:r>
          </w:p>
        </w:tc>
      </w:tr>
      <w:tr w:rsidR="00281DE2" w:rsidRPr="001D5327" w14:paraId="78828FA0" w14:textId="77777777" w:rsidTr="002C45EC">
        <w:tc>
          <w:tcPr>
            <w:tcW w:w="851" w:type="dxa"/>
            <w:shd w:val="clear" w:color="auto" w:fill="FFFFFF" w:themeFill="background1"/>
            <w:tcMar>
              <w:top w:w="0" w:type="dxa"/>
              <w:left w:w="85" w:type="dxa"/>
              <w:bottom w:w="0" w:type="dxa"/>
              <w:right w:w="85" w:type="dxa"/>
            </w:tcMar>
          </w:tcPr>
          <w:p w14:paraId="268F5DFD"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LULUCF</w:t>
            </w:r>
          </w:p>
        </w:tc>
        <w:tc>
          <w:tcPr>
            <w:tcW w:w="2128" w:type="dxa"/>
            <w:shd w:val="clear" w:color="auto" w:fill="FFFFFF" w:themeFill="background1"/>
            <w:tcMar>
              <w:top w:w="0" w:type="dxa"/>
              <w:left w:w="85" w:type="dxa"/>
              <w:bottom w:w="0" w:type="dxa"/>
              <w:right w:w="85" w:type="dxa"/>
            </w:tcMar>
          </w:tcPr>
          <w:p w14:paraId="651588ED" w14:textId="77777777" w:rsidR="007C5A34" w:rsidRPr="001D5327" w:rsidRDefault="007C5A34" w:rsidP="00341FEF">
            <w:pPr>
              <w:pStyle w:val="TableText"/>
              <w:spacing w:before="40" w:after="40"/>
              <w:rPr>
                <w:rFonts w:cstheme="minorHAnsi"/>
                <w:spacing w:val="-2"/>
              </w:rPr>
            </w:pPr>
          </w:p>
        </w:tc>
        <w:tc>
          <w:tcPr>
            <w:tcW w:w="3685" w:type="dxa"/>
            <w:shd w:val="clear" w:color="auto" w:fill="FFFFFF" w:themeFill="background1"/>
            <w:tcMar>
              <w:top w:w="0" w:type="dxa"/>
              <w:left w:w="85" w:type="dxa"/>
              <w:bottom w:w="0" w:type="dxa"/>
              <w:right w:w="85" w:type="dxa"/>
            </w:tcMar>
          </w:tcPr>
          <w:p w14:paraId="0632DA05" w14:textId="77777777" w:rsidR="007C5A34" w:rsidRPr="001D5327" w:rsidRDefault="007C5A34" w:rsidP="00341FEF">
            <w:pPr>
              <w:pStyle w:val="TableText"/>
              <w:spacing w:before="40" w:after="40"/>
              <w:rPr>
                <w:rFonts w:cstheme="minorHAnsi"/>
                <w:spacing w:val="-2"/>
              </w:rPr>
            </w:pPr>
          </w:p>
        </w:tc>
        <w:tc>
          <w:tcPr>
            <w:tcW w:w="4253" w:type="dxa"/>
            <w:shd w:val="clear" w:color="auto" w:fill="FFFFFF" w:themeFill="background1"/>
            <w:tcMar>
              <w:top w:w="0" w:type="dxa"/>
              <w:left w:w="85" w:type="dxa"/>
              <w:bottom w:w="0" w:type="dxa"/>
              <w:right w:w="85" w:type="dxa"/>
            </w:tcMar>
          </w:tcPr>
          <w:p w14:paraId="67E2B733" w14:textId="77777777" w:rsidR="007C5A34" w:rsidRPr="001D5327" w:rsidRDefault="007C5A34" w:rsidP="00341FEF">
            <w:pPr>
              <w:pStyle w:val="TableText"/>
              <w:spacing w:before="40" w:after="40"/>
              <w:rPr>
                <w:rFonts w:cstheme="minorHAnsi"/>
                <w:spacing w:val="-2"/>
              </w:rPr>
            </w:pPr>
          </w:p>
        </w:tc>
        <w:tc>
          <w:tcPr>
            <w:tcW w:w="3062" w:type="dxa"/>
            <w:shd w:val="clear" w:color="auto" w:fill="FFFFFF" w:themeFill="background1"/>
            <w:tcMar>
              <w:left w:w="85" w:type="dxa"/>
              <w:right w:w="85" w:type="dxa"/>
            </w:tcMar>
          </w:tcPr>
          <w:p w14:paraId="7F9B0101" w14:textId="77777777" w:rsidR="007C5A34" w:rsidRPr="001D5327" w:rsidRDefault="007C5A34" w:rsidP="00341FEF">
            <w:pPr>
              <w:pStyle w:val="TableText"/>
              <w:spacing w:before="40" w:after="40"/>
              <w:rPr>
                <w:rFonts w:cstheme="minorHAnsi"/>
                <w:spacing w:val="-2"/>
              </w:rPr>
            </w:pPr>
          </w:p>
        </w:tc>
      </w:tr>
      <w:tr w:rsidR="00281DE2" w:rsidRPr="001D5327" w14:paraId="507D4196" w14:textId="77777777" w:rsidTr="002C45EC">
        <w:tc>
          <w:tcPr>
            <w:tcW w:w="851" w:type="dxa"/>
            <w:shd w:val="clear" w:color="auto" w:fill="FFFFFF" w:themeFill="background1"/>
            <w:tcMar>
              <w:top w:w="0" w:type="dxa"/>
              <w:left w:w="85" w:type="dxa"/>
              <w:bottom w:w="0" w:type="dxa"/>
              <w:right w:w="85" w:type="dxa"/>
            </w:tcMar>
          </w:tcPr>
          <w:p w14:paraId="43CCEE87"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L.1</w:t>
            </w:r>
          </w:p>
        </w:tc>
        <w:tc>
          <w:tcPr>
            <w:tcW w:w="2128" w:type="dxa"/>
            <w:shd w:val="clear" w:color="auto" w:fill="FFFFFF" w:themeFill="background1"/>
            <w:tcMar>
              <w:top w:w="0" w:type="dxa"/>
              <w:left w:w="85" w:type="dxa"/>
              <w:bottom w:w="0" w:type="dxa"/>
              <w:right w:w="85" w:type="dxa"/>
            </w:tcMar>
          </w:tcPr>
          <w:p w14:paraId="27E77F32"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 General (LULUCF) – CO₂ and N₂O (L.1, 2021) (L.10, 2019) Accuracy</w:t>
            </w:r>
          </w:p>
        </w:tc>
        <w:tc>
          <w:tcPr>
            <w:tcW w:w="3685" w:type="dxa"/>
            <w:shd w:val="clear" w:color="auto" w:fill="FFFFFF" w:themeFill="background1"/>
            <w:tcMar>
              <w:top w:w="0" w:type="dxa"/>
              <w:left w:w="85" w:type="dxa"/>
              <w:bottom w:w="0" w:type="dxa"/>
              <w:right w:w="85" w:type="dxa"/>
            </w:tcMar>
          </w:tcPr>
          <w:p w14:paraId="770765F2"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Either provide evidence that the estimated SOC changes do not result in systematic over- or underestimations, given that land-use changes occur randomly across the entire SOC variability of a land-use category or subcategory, or replace the current method with one consistent with good practice as defined in the 2006 IPCC Guidelines (vol. 4, chap. 2.3.3.1).</w:t>
            </w:r>
          </w:p>
        </w:tc>
        <w:tc>
          <w:tcPr>
            <w:tcW w:w="4253" w:type="dxa"/>
            <w:shd w:val="clear" w:color="auto" w:fill="FFFFFF" w:themeFill="background1"/>
            <w:tcMar>
              <w:top w:w="0" w:type="dxa"/>
              <w:left w:w="85" w:type="dxa"/>
              <w:bottom w:w="0" w:type="dxa"/>
              <w:right w:w="85" w:type="dxa"/>
            </w:tcMar>
          </w:tcPr>
          <w:p w14:paraId="71DEEB5F" w14:textId="31B8822A" w:rsidR="007C5A34" w:rsidRPr="001D5327" w:rsidRDefault="007C5A34" w:rsidP="00341FEF">
            <w:pPr>
              <w:pStyle w:val="TableText"/>
              <w:spacing w:before="40" w:after="40"/>
              <w:rPr>
                <w:spacing w:val="-2"/>
              </w:rPr>
            </w:pPr>
            <w:r w:rsidRPr="001D5327">
              <w:rPr>
                <w:rFonts w:eastAsia="Calibri"/>
                <w:color w:val="000000" w:themeColor="text1"/>
                <w:spacing w:val="-2"/>
              </w:rPr>
              <w:t>Addressing. The Party reported in its NIR (p.396) that to undertake a robust study to collect this information would likely cost between NZD 400,000 and 600,000/year. At a minimum, this is more than five times the annual research budget for the LULUCF sector. Following decision tree 2.4 in volume 4 of the 2006 IPCC Guidelines, there are insufficient resources to implement such research in the near future without a significant increase in funding. During the review, the Party clarified that it recently assigned a multi-year budget to conduct work on improving mineral soil estimates and that, owing to the nature of the research required, results will not be available for reporting purposes for several years yet. The ERT considers that the recommendation has not yet been fully addressed because the Party has neither verified the accuracy of SOC change estimates produced by the model nor applied an alternative method consistent with the 2006 IPCC Guidelines. The ERT noted that the country-wide application of the IPCC default methodology for SOC in mineral soils together with either IPCC default values (tier 1) or country-specific values (tier 2) for reference SOC stocks and SOC change factors would resolve the</w:t>
            </w:r>
            <w:r w:rsidR="006E7E55" w:rsidRPr="001D5327">
              <w:rPr>
                <w:rFonts w:eastAsia="Calibri"/>
                <w:color w:val="000000" w:themeColor="text1"/>
                <w:spacing w:val="-2"/>
              </w:rPr>
              <w:t> </w:t>
            </w:r>
            <w:r w:rsidRPr="001D5327">
              <w:rPr>
                <w:rFonts w:eastAsia="Calibri"/>
                <w:color w:val="000000" w:themeColor="text1"/>
                <w:spacing w:val="-2"/>
              </w:rPr>
              <w:t>issue.</w:t>
            </w:r>
          </w:p>
        </w:tc>
        <w:tc>
          <w:tcPr>
            <w:tcW w:w="3062" w:type="dxa"/>
            <w:shd w:val="clear" w:color="auto" w:fill="FFFFFF" w:themeFill="background1"/>
            <w:tcMar>
              <w:left w:w="85" w:type="dxa"/>
              <w:right w:w="85" w:type="dxa"/>
            </w:tcMar>
          </w:tcPr>
          <w:p w14:paraId="0FF8A276" w14:textId="77777777" w:rsidR="007C5A34" w:rsidRPr="001D5327" w:rsidRDefault="007C5A34" w:rsidP="00341FEF">
            <w:pPr>
              <w:pStyle w:val="TableText"/>
              <w:spacing w:before="40" w:after="40"/>
              <w:rPr>
                <w:rFonts w:eastAsia="Calibri"/>
                <w:color w:val="000000"/>
                <w:spacing w:val="-2"/>
              </w:rPr>
            </w:pPr>
            <w:r w:rsidRPr="001D5327">
              <w:rPr>
                <w:bCs/>
                <w:spacing w:val="-2"/>
              </w:rPr>
              <w:t>Addressing</w:t>
            </w:r>
            <w:r w:rsidRPr="001D5327">
              <w:rPr>
                <w:spacing w:val="-2"/>
              </w:rPr>
              <w:t>. New Zealand has begun a multi-year programme to conduct work on improving mineral soil estimates. Due to the nature of the research required, however, results will not be available for reporting purposes for several years yet.</w:t>
            </w:r>
          </w:p>
        </w:tc>
      </w:tr>
      <w:tr w:rsidR="00281DE2" w:rsidRPr="001D5327" w14:paraId="6DC65ED9" w14:textId="77777777" w:rsidTr="002C45EC">
        <w:tc>
          <w:tcPr>
            <w:tcW w:w="851" w:type="dxa"/>
            <w:shd w:val="clear" w:color="auto" w:fill="FFFFFF" w:themeFill="background1"/>
            <w:tcMar>
              <w:top w:w="0" w:type="dxa"/>
              <w:left w:w="85" w:type="dxa"/>
              <w:bottom w:w="0" w:type="dxa"/>
              <w:right w:w="85" w:type="dxa"/>
            </w:tcMar>
          </w:tcPr>
          <w:p w14:paraId="704A0496" w14:textId="77777777" w:rsidR="007C5A34" w:rsidRPr="001D5327" w:rsidRDefault="007C5A34" w:rsidP="00597354">
            <w:pPr>
              <w:pStyle w:val="TableText"/>
              <w:keepNext/>
              <w:spacing w:before="40" w:after="40"/>
              <w:rPr>
                <w:rFonts w:cstheme="minorHAnsi"/>
                <w:spacing w:val="-2"/>
              </w:rPr>
            </w:pPr>
            <w:r w:rsidRPr="001D5327">
              <w:rPr>
                <w:rFonts w:eastAsia="Calibri" w:cstheme="minorHAnsi"/>
                <w:color w:val="000000"/>
                <w:spacing w:val="-2"/>
              </w:rPr>
              <w:lastRenderedPageBreak/>
              <w:t>L.2</w:t>
            </w:r>
          </w:p>
        </w:tc>
        <w:tc>
          <w:tcPr>
            <w:tcW w:w="2128" w:type="dxa"/>
            <w:shd w:val="clear" w:color="auto" w:fill="FFFFFF" w:themeFill="background1"/>
            <w:tcMar>
              <w:top w:w="0" w:type="dxa"/>
              <w:left w:w="85" w:type="dxa"/>
              <w:bottom w:w="0" w:type="dxa"/>
              <w:right w:w="85" w:type="dxa"/>
            </w:tcMar>
          </w:tcPr>
          <w:p w14:paraId="629EDA50"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 General (LULUCF) – CO₂ (L.2, 2021) (L.11, 2019) Convention reporting adherence</w:t>
            </w:r>
          </w:p>
        </w:tc>
        <w:tc>
          <w:tcPr>
            <w:tcW w:w="3685" w:type="dxa"/>
            <w:shd w:val="clear" w:color="auto" w:fill="FFFFFF" w:themeFill="background1"/>
            <w:tcMar>
              <w:top w:w="0" w:type="dxa"/>
              <w:left w:w="85" w:type="dxa"/>
              <w:bottom w:w="0" w:type="dxa"/>
              <w:right w:w="85" w:type="dxa"/>
            </w:tcMar>
          </w:tcPr>
          <w:p w14:paraId="032A1797"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Provide a comparison across the available time series of data of roundwood statistics reported by the Ministry for Primary Industries and the quantities estimated by the LUCAS model based on the harvested area as allocated to age classes and provide justification for any discrepancies.</w:t>
            </w:r>
          </w:p>
        </w:tc>
        <w:tc>
          <w:tcPr>
            <w:tcW w:w="4253" w:type="dxa"/>
            <w:shd w:val="clear" w:color="auto" w:fill="FFFFFF" w:themeFill="background1"/>
            <w:tcMar>
              <w:top w:w="0" w:type="dxa"/>
              <w:left w:w="85" w:type="dxa"/>
              <w:bottom w:w="0" w:type="dxa"/>
              <w:right w:w="85" w:type="dxa"/>
            </w:tcMar>
          </w:tcPr>
          <w:p w14:paraId="00D7BE3F"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Resolved. The Party added an additional section in annex 3 to the NIR (vol. 2, pp.95–96) describing forest land model validations and, specifically, the differences between LUCAS model harvest losses and the roundwood statistics reported by the Ministry for Primary Industries.</w:t>
            </w:r>
          </w:p>
        </w:tc>
        <w:tc>
          <w:tcPr>
            <w:tcW w:w="3062" w:type="dxa"/>
            <w:shd w:val="clear" w:color="auto" w:fill="FFFFFF" w:themeFill="background1"/>
            <w:tcMar>
              <w:left w:w="85" w:type="dxa"/>
              <w:right w:w="85" w:type="dxa"/>
            </w:tcMar>
          </w:tcPr>
          <w:p w14:paraId="6FAA27D1"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5E42FCB2" w14:textId="77777777" w:rsidTr="002C45EC">
        <w:tc>
          <w:tcPr>
            <w:tcW w:w="851" w:type="dxa"/>
            <w:shd w:val="clear" w:color="auto" w:fill="FFFFFF" w:themeFill="background1"/>
            <w:tcMar>
              <w:top w:w="0" w:type="dxa"/>
              <w:left w:w="85" w:type="dxa"/>
              <w:bottom w:w="0" w:type="dxa"/>
              <w:right w:w="85" w:type="dxa"/>
            </w:tcMar>
          </w:tcPr>
          <w:p w14:paraId="6E31A76F"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L.3</w:t>
            </w:r>
          </w:p>
        </w:tc>
        <w:tc>
          <w:tcPr>
            <w:tcW w:w="2128" w:type="dxa"/>
            <w:shd w:val="clear" w:color="auto" w:fill="FFFFFF" w:themeFill="background1"/>
            <w:tcMar>
              <w:top w:w="0" w:type="dxa"/>
              <w:left w:w="85" w:type="dxa"/>
              <w:bottom w:w="0" w:type="dxa"/>
              <w:right w:w="85" w:type="dxa"/>
            </w:tcMar>
          </w:tcPr>
          <w:p w14:paraId="01F1503A"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 General (LULUCF) – CO₂ (L.3, 2021) (L.12, 2019) Convention reporting adherence</w:t>
            </w:r>
          </w:p>
        </w:tc>
        <w:tc>
          <w:tcPr>
            <w:tcW w:w="3685" w:type="dxa"/>
            <w:shd w:val="clear" w:color="auto" w:fill="FFFFFF" w:themeFill="background1"/>
            <w:tcMar>
              <w:top w:w="0" w:type="dxa"/>
              <w:left w:w="85" w:type="dxa"/>
              <w:bottom w:w="0" w:type="dxa"/>
              <w:right w:w="85" w:type="dxa"/>
            </w:tcMar>
          </w:tcPr>
          <w:p w14:paraId="219F8123"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Replace “IE” with estimates of biomass carbon stock losses only for the year in which an area conversion occurs, and with “NO” for any year in which conversion of additional areas does not occur, in CRF tables 4.A and 4.B.</w:t>
            </w:r>
          </w:p>
        </w:tc>
        <w:tc>
          <w:tcPr>
            <w:tcW w:w="4253" w:type="dxa"/>
            <w:shd w:val="clear" w:color="auto" w:fill="FFFFFF" w:themeFill="background1"/>
            <w:tcMar>
              <w:top w:w="0" w:type="dxa"/>
              <w:left w:w="85" w:type="dxa"/>
              <w:bottom w:w="0" w:type="dxa"/>
              <w:right w:w="85" w:type="dxa"/>
            </w:tcMar>
          </w:tcPr>
          <w:p w14:paraId="7F29DACE"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Resolved. The Party reported “NO” in its NIR (p.396) for annual biomass carbon stocks where conversions did not occur during the time series (e.g. for conversions of post-1989 forest to cropland). Where a land-use conversion had previously occurred but there were some years in the time series when conversion of additional areas did not occur, the annual biomass carbon stocks were reported as “NA” since the methodology does not require the Party to estimate annual biomass stock changes in such years. Perennial biomass carbon stocks were reported as “NA” where biomass carbon gain occurred owing to conversion to land uses that do not host any perennial biomass carbon stock. The ERT agrees with the use of “NA” in these circumstances.</w:t>
            </w:r>
          </w:p>
        </w:tc>
        <w:tc>
          <w:tcPr>
            <w:tcW w:w="3062" w:type="dxa"/>
            <w:shd w:val="clear" w:color="auto" w:fill="FFFFFF" w:themeFill="background1"/>
            <w:tcMar>
              <w:left w:w="85" w:type="dxa"/>
              <w:right w:w="85" w:type="dxa"/>
            </w:tcMar>
          </w:tcPr>
          <w:p w14:paraId="03BBFF6F"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693BEC4B" w14:textId="77777777" w:rsidTr="002C45EC">
        <w:tc>
          <w:tcPr>
            <w:tcW w:w="851" w:type="dxa"/>
            <w:shd w:val="clear" w:color="auto" w:fill="FFFFFF" w:themeFill="background1"/>
            <w:tcMar>
              <w:top w:w="0" w:type="dxa"/>
              <w:left w:w="85" w:type="dxa"/>
              <w:bottom w:w="0" w:type="dxa"/>
              <w:right w:w="85" w:type="dxa"/>
            </w:tcMar>
          </w:tcPr>
          <w:p w14:paraId="4AE51B6B"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L.4</w:t>
            </w:r>
          </w:p>
        </w:tc>
        <w:tc>
          <w:tcPr>
            <w:tcW w:w="2128" w:type="dxa"/>
            <w:shd w:val="clear" w:color="auto" w:fill="FFFFFF" w:themeFill="background1"/>
            <w:tcMar>
              <w:top w:w="0" w:type="dxa"/>
              <w:left w:w="85" w:type="dxa"/>
              <w:bottom w:w="0" w:type="dxa"/>
              <w:right w:w="85" w:type="dxa"/>
            </w:tcMar>
          </w:tcPr>
          <w:p w14:paraId="5259C125"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Land representation – CO₂, CH₄ and N₂O (L.8, 2021) (L.16, 2019) Accuracy</w:t>
            </w:r>
          </w:p>
        </w:tc>
        <w:tc>
          <w:tcPr>
            <w:tcW w:w="3685" w:type="dxa"/>
            <w:shd w:val="clear" w:color="auto" w:fill="FFFFFF" w:themeFill="background1"/>
            <w:tcMar>
              <w:top w:w="0" w:type="dxa"/>
              <w:left w:w="85" w:type="dxa"/>
              <w:bottom w:w="0" w:type="dxa"/>
              <w:right w:w="85" w:type="dxa"/>
            </w:tcMar>
          </w:tcPr>
          <w:p w14:paraId="58538A26"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Investigate how to use the results of the accuracy assessment, once available, to adjust the reported AD for the land representation.</w:t>
            </w:r>
          </w:p>
        </w:tc>
        <w:tc>
          <w:tcPr>
            <w:tcW w:w="4253" w:type="dxa"/>
            <w:shd w:val="clear" w:color="auto" w:fill="FFFFFF" w:themeFill="background1"/>
            <w:tcMar>
              <w:top w:w="0" w:type="dxa"/>
              <w:left w:w="85" w:type="dxa"/>
              <w:bottom w:w="0" w:type="dxa"/>
              <w:right w:w="85" w:type="dxa"/>
            </w:tcMar>
          </w:tcPr>
          <w:p w14:paraId="17E7A840"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Addressing. The Party reported in its NIR (p.397), with reference to annex A3.2.2 to the NIR, that a confusion matrix for the 2012 map was developed, demonstrating that mapping errors and biases were very limited for all land categories, except grassland and grassland with woody biomass. The Party also reported that a new land-use map using imagery acquired in 2020–2021 is being produced. Once that is complete, an accuracy assessment of the map series with a focus on the accuracy of land-use change mapping will be conducted. The ERT considers that the recommendation has not yet been fully addressed because the Party has not yet completed the accuracy assessment, in particular for land-use change categories where small land-area errors are associated with large errors in emission estimates.</w:t>
            </w:r>
          </w:p>
        </w:tc>
        <w:tc>
          <w:tcPr>
            <w:tcW w:w="3062" w:type="dxa"/>
            <w:shd w:val="clear" w:color="auto" w:fill="FFFFFF" w:themeFill="background1"/>
            <w:tcMar>
              <w:left w:w="85" w:type="dxa"/>
              <w:right w:w="85" w:type="dxa"/>
            </w:tcMar>
          </w:tcPr>
          <w:p w14:paraId="2D2E6DED"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 xml:space="preserve">Addressing. </w:t>
            </w:r>
            <w:r w:rsidRPr="001D5327" w:rsidDel="006260F6">
              <w:rPr>
                <w:rFonts w:cstheme="minorHAnsi"/>
                <w:spacing w:val="-2"/>
              </w:rPr>
              <w:t>A new land use map for 2020 has been completed</w:t>
            </w:r>
            <w:r w:rsidRPr="001D5327">
              <w:rPr>
                <w:rFonts w:cstheme="minorHAnsi"/>
                <w:spacing w:val="-2"/>
              </w:rPr>
              <w:t xml:space="preserve"> and an accuracy assessment of the map series from 1990 to 2020, with a focus on the accuracy of land-use change mapping, is planned. </w:t>
            </w:r>
          </w:p>
        </w:tc>
      </w:tr>
      <w:tr w:rsidR="00281DE2" w:rsidRPr="001D5327" w14:paraId="4D0B6388" w14:textId="77777777" w:rsidTr="002C45EC">
        <w:tc>
          <w:tcPr>
            <w:tcW w:w="851" w:type="dxa"/>
            <w:shd w:val="clear" w:color="auto" w:fill="FFFFFF" w:themeFill="background1"/>
            <w:tcMar>
              <w:top w:w="0" w:type="dxa"/>
              <w:left w:w="85" w:type="dxa"/>
              <w:bottom w:w="0" w:type="dxa"/>
              <w:right w:w="85" w:type="dxa"/>
            </w:tcMar>
          </w:tcPr>
          <w:p w14:paraId="3AE4F939"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L.5</w:t>
            </w:r>
          </w:p>
        </w:tc>
        <w:tc>
          <w:tcPr>
            <w:tcW w:w="2128" w:type="dxa"/>
            <w:shd w:val="clear" w:color="auto" w:fill="FFFFFF" w:themeFill="background1"/>
            <w:tcMar>
              <w:top w:w="0" w:type="dxa"/>
              <w:left w:w="85" w:type="dxa"/>
              <w:bottom w:w="0" w:type="dxa"/>
              <w:right w:w="85" w:type="dxa"/>
            </w:tcMar>
          </w:tcPr>
          <w:p w14:paraId="7D39E2D5"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4.A Forest land – CO₂ (L.10, 2021) (L.17, 2019) Transparency</w:t>
            </w:r>
          </w:p>
        </w:tc>
        <w:tc>
          <w:tcPr>
            <w:tcW w:w="3685" w:type="dxa"/>
            <w:shd w:val="clear" w:color="auto" w:fill="FFFFFF" w:themeFill="background1"/>
            <w:tcMar>
              <w:top w:w="0" w:type="dxa"/>
              <w:left w:w="85" w:type="dxa"/>
              <w:bottom w:w="0" w:type="dxa"/>
              <w:right w:w="85" w:type="dxa"/>
            </w:tcMar>
          </w:tcPr>
          <w:p w14:paraId="30C0117F"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Provide information on the actual age of harvest of forest plantations as derived from information collected through the National Exotic Forest Description.</w:t>
            </w:r>
          </w:p>
        </w:tc>
        <w:tc>
          <w:tcPr>
            <w:tcW w:w="4253" w:type="dxa"/>
            <w:shd w:val="clear" w:color="auto" w:fill="FFFFFF" w:themeFill="background1"/>
            <w:tcMar>
              <w:top w:w="0" w:type="dxa"/>
              <w:left w:w="85" w:type="dxa"/>
              <w:bottom w:w="0" w:type="dxa"/>
              <w:right w:w="85" w:type="dxa"/>
            </w:tcMar>
          </w:tcPr>
          <w:p w14:paraId="536C0263"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Resolved. The Party added information on the actual age of harvest and on the actual age profile of forest plantations (figure A.3.2.11) in annex 3.2.5 to the NIR.</w:t>
            </w:r>
          </w:p>
        </w:tc>
        <w:tc>
          <w:tcPr>
            <w:tcW w:w="3062" w:type="dxa"/>
            <w:shd w:val="clear" w:color="auto" w:fill="FFFFFF" w:themeFill="background1"/>
            <w:tcMar>
              <w:left w:w="85" w:type="dxa"/>
              <w:right w:w="85" w:type="dxa"/>
            </w:tcMar>
          </w:tcPr>
          <w:p w14:paraId="71A47437"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57FC9485" w14:textId="77777777" w:rsidTr="002C45EC">
        <w:tc>
          <w:tcPr>
            <w:tcW w:w="851" w:type="dxa"/>
            <w:shd w:val="clear" w:color="auto" w:fill="FFFFFF" w:themeFill="background1"/>
            <w:tcMar>
              <w:top w:w="0" w:type="dxa"/>
              <w:left w:w="85" w:type="dxa"/>
              <w:bottom w:w="0" w:type="dxa"/>
              <w:right w:w="85" w:type="dxa"/>
            </w:tcMar>
          </w:tcPr>
          <w:p w14:paraId="48F6347E" w14:textId="77777777" w:rsidR="007C5A34" w:rsidRPr="001D5327" w:rsidRDefault="007C5A34" w:rsidP="001B6890">
            <w:pPr>
              <w:pStyle w:val="TableText"/>
              <w:keepNext/>
              <w:spacing w:before="40" w:after="40"/>
              <w:rPr>
                <w:rFonts w:cstheme="minorHAnsi"/>
                <w:spacing w:val="-2"/>
              </w:rPr>
            </w:pPr>
            <w:r w:rsidRPr="001D5327">
              <w:rPr>
                <w:rFonts w:eastAsia="Calibri" w:cstheme="minorHAnsi"/>
                <w:color w:val="000000"/>
                <w:spacing w:val="-2"/>
              </w:rPr>
              <w:lastRenderedPageBreak/>
              <w:t>L.6</w:t>
            </w:r>
          </w:p>
        </w:tc>
        <w:tc>
          <w:tcPr>
            <w:tcW w:w="2128" w:type="dxa"/>
            <w:shd w:val="clear" w:color="auto" w:fill="FFFFFF" w:themeFill="background1"/>
            <w:tcMar>
              <w:top w:w="0" w:type="dxa"/>
              <w:left w:w="85" w:type="dxa"/>
              <w:bottom w:w="0" w:type="dxa"/>
              <w:right w:w="85" w:type="dxa"/>
            </w:tcMar>
          </w:tcPr>
          <w:p w14:paraId="2848A8AE"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4.A Forest land – CO₂ (L.26, 2021) Transparency</w:t>
            </w:r>
          </w:p>
        </w:tc>
        <w:tc>
          <w:tcPr>
            <w:tcW w:w="3685" w:type="dxa"/>
            <w:shd w:val="clear" w:color="auto" w:fill="FFFFFF" w:themeFill="background1"/>
            <w:tcMar>
              <w:top w:w="0" w:type="dxa"/>
              <w:left w:w="85" w:type="dxa"/>
              <w:bottom w:w="0" w:type="dxa"/>
              <w:right w:w="85" w:type="dxa"/>
            </w:tcMar>
          </w:tcPr>
          <w:p w14:paraId="067BEC10"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Include in the NIR the definitions of tall and regenerating forests, their respective areas and how this distinction and the associated calculations result in complete estimates of CSC, in particular in the event of natural disturbances.</w:t>
            </w:r>
          </w:p>
        </w:tc>
        <w:tc>
          <w:tcPr>
            <w:tcW w:w="4253" w:type="dxa"/>
            <w:shd w:val="clear" w:color="auto" w:fill="FFFFFF" w:themeFill="background1"/>
            <w:tcMar>
              <w:top w:w="0" w:type="dxa"/>
              <w:left w:w="85" w:type="dxa"/>
              <w:bottom w:w="0" w:type="dxa"/>
              <w:right w:w="85" w:type="dxa"/>
            </w:tcMar>
          </w:tcPr>
          <w:p w14:paraId="5B1BD4EA"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Resolved. The Party reported in its NIR the definitions (table 6.3.5, p.255) and areas (table 6.3.6, p.255) of tall and regenerating forests. Forest areas are classified spatially as either tall or regenerating and, accordingly, CSC is calculated separately. Natural disturbances affect the carbon stocks measured in the national forest inventory plot network and therefore are implicitly included in the CSC calculations.</w:t>
            </w:r>
          </w:p>
        </w:tc>
        <w:tc>
          <w:tcPr>
            <w:tcW w:w="3062" w:type="dxa"/>
            <w:shd w:val="clear" w:color="auto" w:fill="FFFFFF" w:themeFill="background1"/>
            <w:tcMar>
              <w:left w:w="85" w:type="dxa"/>
              <w:right w:w="85" w:type="dxa"/>
            </w:tcMar>
          </w:tcPr>
          <w:p w14:paraId="55C3EA33"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596BDAF9" w14:textId="77777777" w:rsidTr="002C45EC">
        <w:tc>
          <w:tcPr>
            <w:tcW w:w="851" w:type="dxa"/>
            <w:shd w:val="clear" w:color="auto" w:fill="FFFFFF" w:themeFill="background1"/>
            <w:tcMar>
              <w:top w:w="0" w:type="dxa"/>
              <w:left w:w="85" w:type="dxa"/>
              <w:bottom w:w="0" w:type="dxa"/>
              <w:right w:w="85" w:type="dxa"/>
            </w:tcMar>
          </w:tcPr>
          <w:p w14:paraId="0FDAA509"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L.7</w:t>
            </w:r>
          </w:p>
        </w:tc>
        <w:tc>
          <w:tcPr>
            <w:tcW w:w="2128" w:type="dxa"/>
            <w:shd w:val="clear" w:color="auto" w:fill="FFFFFF" w:themeFill="background1"/>
            <w:tcMar>
              <w:top w:w="0" w:type="dxa"/>
              <w:left w:w="85" w:type="dxa"/>
              <w:bottom w:w="0" w:type="dxa"/>
              <w:right w:w="85" w:type="dxa"/>
            </w:tcMar>
          </w:tcPr>
          <w:p w14:paraId="51FA0144"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4.A.1 Forest land remaining forest land – CO₂ (L.11, 2021) (L.4, 2019) (L.5, 2017) Accuracy</w:t>
            </w:r>
          </w:p>
        </w:tc>
        <w:tc>
          <w:tcPr>
            <w:tcW w:w="3685" w:type="dxa"/>
            <w:shd w:val="clear" w:color="auto" w:fill="FFFFFF" w:themeFill="background1"/>
            <w:tcMar>
              <w:top w:w="0" w:type="dxa"/>
              <w:left w:w="85" w:type="dxa"/>
              <w:bottom w:w="0" w:type="dxa"/>
              <w:right w:w="85" w:type="dxa"/>
            </w:tcMar>
          </w:tcPr>
          <w:p w14:paraId="7F0F73FA" w14:textId="54A2FB9A"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 xml:space="preserve">Update the below-ground biomass ratios, noting that choosing a value above the median in the range of </w:t>
            </w:r>
            <w:r w:rsidR="0070503C">
              <w:rPr>
                <w:rFonts w:eastAsia="Calibri" w:cstheme="minorHAnsi"/>
                <w:color w:val="000000"/>
                <w:spacing w:val="-2"/>
              </w:rPr>
              <w:br/>
            </w:r>
            <w:r w:rsidRPr="001D5327">
              <w:rPr>
                <w:rFonts w:eastAsia="Calibri" w:cstheme="minorHAnsi"/>
                <w:color w:val="000000"/>
                <w:spacing w:val="-2"/>
              </w:rPr>
              <w:t>9–33 per cent without further documentation entails the risk of overestimation of removals from forest land remaining forest land, or, if that update is not possible, report in the NIR on the progress on the ongoing work to update the below-ground biomass ratios.</w:t>
            </w:r>
          </w:p>
        </w:tc>
        <w:tc>
          <w:tcPr>
            <w:tcW w:w="4253" w:type="dxa"/>
            <w:shd w:val="clear" w:color="auto" w:fill="FFFFFF" w:themeFill="background1"/>
            <w:tcMar>
              <w:top w:w="0" w:type="dxa"/>
              <w:left w:w="85" w:type="dxa"/>
              <w:bottom w:w="0" w:type="dxa"/>
              <w:right w:w="85" w:type="dxa"/>
            </w:tcMar>
          </w:tcPr>
          <w:p w14:paraId="0EE13BB4"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Resolved. The Party reported below-ground biomass ratios in its NIR (vol. 2, table A3.2.10, p.87) that were updated on the basis of peer-reviewed literature (Easdale et al., 2019).</w:t>
            </w:r>
          </w:p>
        </w:tc>
        <w:tc>
          <w:tcPr>
            <w:tcW w:w="3062" w:type="dxa"/>
            <w:shd w:val="clear" w:color="auto" w:fill="FFFFFF" w:themeFill="background1"/>
            <w:tcMar>
              <w:left w:w="85" w:type="dxa"/>
              <w:right w:w="85" w:type="dxa"/>
            </w:tcMar>
          </w:tcPr>
          <w:p w14:paraId="71BC21DC"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2BF0F22C" w14:textId="77777777" w:rsidTr="002C45EC">
        <w:tc>
          <w:tcPr>
            <w:tcW w:w="851" w:type="dxa"/>
            <w:shd w:val="clear" w:color="auto" w:fill="FFFFFF" w:themeFill="background1"/>
            <w:tcMar>
              <w:top w:w="0" w:type="dxa"/>
              <w:left w:w="85" w:type="dxa"/>
              <w:bottom w:w="0" w:type="dxa"/>
              <w:right w:w="85" w:type="dxa"/>
            </w:tcMar>
          </w:tcPr>
          <w:p w14:paraId="19BC6B96"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L.8</w:t>
            </w:r>
          </w:p>
        </w:tc>
        <w:tc>
          <w:tcPr>
            <w:tcW w:w="2128" w:type="dxa"/>
            <w:shd w:val="clear" w:color="auto" w:fill="FFFFFF" w:themeFill="background1"/>
            <w:tcMar>
              <w:top w:w="0" w:type="dxa"/>
              <w:left w:w="85" w:type="dxa"/>
              <w:bottom w:w="0" w:type="dxa"/>
              <w:right w:w="85" w:type="dxa"/>
            </w:tcMar>
          </w:tcPr>
          <w:p w14:paraId="6C7806E5"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4.A.1 Forest land remaining forest land – CO₂ (L.12, 2021) (L.18, 2019) Completeness</w:t>
            </w:r>
          </w:p>
        </w:tc>
        <w:tc>
          <w:tcPr>
            <w:tcW w:w="3685" w:type="dxa"/>
            <w:shd w:val="clear" w:color="auto" w:fill="FFFFFF" w:themeFill="background1"/>
            <w:tcMar>
              <w:top w:w="0" w:type="dxa"/>
              <w:left w:w="85" w:type="dxa"/>
              <w:bottom w:w="0" w:type="dxa"/>
              <w:right w:w="85" w:type="dxa"/>
            </w:tcMar>
          </w:tcPr>
          <w:p w14:paraId="53AD823D"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Report estimates of above-ground biomass CSCs, noting that those estimates should include all gains and losses in tall natural forest remaining tall natural forest; however, carbon stock losses as a result of stand-replacing disturbances (such as storms or destructive wildfires) that lead to a subsequent regeneration of the natural forest, and carbon stock gains up to the average carbon stock of tall forests, should be reported within the regenerating natural forest category, including the entire transition of regenerating natural forest to tall natural forest.</w:t>
            </w:r>
          </w:p>
        </w:tc>
        <w:tc>
          <w:tcPr>
            <w:tcW w:w="4253" w:type="dxa"/>
            <w:shd w:val="clear" w:color="auto" w:fill="FFFFFF" w:themeFill="background1"/>
            <w:tcMar>
              <w:top w:w="0" w:type="dxa"/>
              <w:left w:w="85" w:type="dxa"/>
              <w:bottom w:w="0" w:type="dxa"/>
              <w:right w:w="85" w:type="dxa"/>
            </w:tcMar>
          </w:tcPr>
          <w:p w14:paraId="426A5286"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Resolved. The Party reported in its NIR (p.88) and in CRF table 4.A estimates of CSC for tall and regenerating forests.</w:t>
            </w:r>
          </w:p>
        </w:tc>
        <w:tc>
          <w:tcPr>
            <w:tcW w:w="3062" w:type="dxa"/>
            <w:shd w:val="clear" w:color="auto" w:fill="FFFFFF" w:themeFill="background1"/>
            <w:tcMar>
              <w:left w:w="85" w:type="dxa"/>
              <w:right w:w="85" w:type="dxa"/>
            </w:tcMar>
          </w:tcPr>
          <w:p w14:paraId="03ECBBE5"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7A8DC0DA" w14:textId="77777777" w:rsidTr="002C45EC">
        <w:tc>
          <w:tcPr>
            <w:tcW w:w="851" w:type="dxa"/>
            <w:shd w:val="clear" w:color="auto" w:fill="FFFFFF" w:themeFill="background1"/>
            <w:tcMar>
              <w:top w:w="0" w:type="dxa"/>
              <w:left w:w="85" w:type="dxa"/>
              <w:bottom w:w="0" w:type="dxa"/>
              <w:right w:w="85" w:type="dxa"/>
            </w:tcMar>
          </w:tcPr>
          <w:p w14:paraId="55873B61"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L.9</w:t>
            </w:r>
          </w:p>
        </w:tc>
        <w:tc>
          <w:tcPr>
            <w:tcW w:w="2128" w:type="dxa"/>
            <w:shd w:val="clear" w:color="auto" w:fill="FFFFFF" w:themeFill="background1"/>
            <w:tcMar>
              <w:top w:w="0" w:type="dxa"/>
              <w:left w:w="85" w:type="dxa"/>
              <w:bottom w:w="0" w:type="dxa"/>
              <w:right w:w="85" w:type="dxa"/>
            </w:tcMar>
          </w:tcPr>
          <w:p w14:paraId="3FFDD753"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4.A.1 Forest land remaining forest land – CO₂ (L.13, 2021) (L.19, 2019) Accuracy</w:t>
            </w:r>
          </w:p>
        </w:tc>
        <w:tc>
          <w:tcPr>
            <w:tcW w:w="3685" w:type="dxa"/>
            <w:shd w:val="clear" w:color="auto" w:fill="FFFFFF" w:themeFill="background1"/>
            <w:tcMar>
              <w:top w:w="0" w:type="dxa"/>
              <w:left w:w="85" w:type="dxa"/>
              <w:bottom w:w="0" w:type="dxa"/>
              <w:right w:w="85" w:type="dxa"/>
            </w:tcMar>
          </w:tcPr>
          <w:p w14:paraId="083A51E3"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Provide evidence that national circumstances make the collection of data on SOC in mineral soils and on its variation across time in forest land remaining forest land impracticable or, if this is not possible, plan activities to be implemented in the next few years to collect the data needed to apply a tier 2 method to estimate SOC changes in mineral soils of tall natural forest remaining tall natural forest.</w:t>
            </w:r>
          </w:p>
        </w:tc>
        <w:tc>
          <w:tcPr>
            <w:tcW w:w="4253" w:type="dxa"/>
            <w:shd w:val="clear" w:color="auto" w:fill="FFFFFF" w:themeFill="background1"/>
            <w:tcMar>
              <w:top w:w="0" w:type="dxa"/>
              <w:left w:w="85" w:type="dxa"/>
              <w:bottom w:w="0" w:type="dxa"/>
              <w:right w:w="85" w:type="dxa"/>
            </w:tcMar>
          </w:tcPr>
          <w:p w14:paraId="406436EC"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Resolved. The Party reported in its NIR (pp.397–398) that undertaking a robust study to collect this information would likely cost between NZD 400,000 and 600,000/year. At a minimum, this is more than five times the annual research budget for the LULUCF sector. In line with guidance in the 2006 IPCC Guidelines (vol. 4, chap. 2, figure 2.4), there are insufficient resources to implement such research in the near future. To do so would require a significant increase in funding. During the review, the Party clarified that it recently assigned a multi-year budget to conduct work on improving mineral soil estimates. However, results will not be available for reporting purposes for several years yet.</w:t>
            </w:r>
          </w:p>
        </w:tc>
        <w:tc>
          <w:tcPr>
            <w:tcW w:w="3062" w:type="dxa"/>
            <w:shd w:val="clear" w:color="auto" w:fill="FFFFFF" w:themeFill="background1"/>
            <w:tcMar>
              <w:left w:w="85" w:type="dxa"/>
              <w:right w:w="85" w:type="dxa"/>
            </w:tcMar>
          </w:tcPr>
          <w:p w14:paraId="5F9BE42F"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4A11C778" w14:textId="77777777" w:rsidTr="002C45EC">
        <w:tc>
          <w:tcPr>
            <w:tcW w:w="851" w:type="dxa"/>
            <w:shd w:val="clear" w:color="auto" w:fill="FFFFFF" w:themeFill="background1"/>
            <w:tcMar>
              <w:top w:w="0" w:type="dxa"/>
              <w:left w:w="85" w:type="dxa"/>
              <w:bottom w:w="0" w:type="dxa"/>
              <w:right w:w="85" w:type="dxa"/>
            </w:tcMar>
          </w:tcPr>
          <w:p w14:paraId="2B2C6CF9"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lastRenderedPageBreak/>
              <w:t>L.10</w:t>
            </w:r>
          </w:p>
        </w:tc>
        <w:tc>
          <w:tcPr>
            <w:tcW w:w="2128" w:type="dxa"/>
            <w:shd w:val="clear" w:color="auto" w:fill="FFFFFF" w:themeFill="background1"/>
            <w:tcMar>
              <w:top w:w="0" w:type="dxa"/>
              <w:left w:w="85" w:type="dxa"/>
              <w:bottom w:w="0" w:type="dxa"/>
              <w:right w:w="85" w:type="dxa"/>
            </w:tcMar>
          </w:tcPr>
          <w:p w14:paraId="625D5702"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4.A.2 Land converted to forest land – N₂O (L.14, 2021) (L.20, 2019) Transparency</w:t>
            </w:r>
          </w:p>
        </w:tc>
        <w:tc>
          <w:tcPr>
            <w:tcW w:w="3685" w:type="dxa"/>
            <w:shd w:val="clear" w:color="auto" w:fill="FFFFFF" w:themeFill="background1"/>
            <w:tcMar>
              <w:top w:w="0" w:type="dxa"/>
              <w:left w:w="85" w:type="dxa"/>
              <w:bottom w:w="0" w:type="dxa"/>
              <w:right w:w="85" w:type="dxa"/>
            </w:tcMar>
          </w:tcPr>
          <w:p w14:paraId="31DFDDAA"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Report disaggregated information for the two subcategories of post-1989 natural forest and post-1989 plantations.</w:t>
            </w:r>
          </w:p>
        </w:tc>
        <w:tc>
          <w:tcPr>
            <w:tcW w:w="4253" w:type="dxa"/>
            <w:shd w:val="clear" w:color="auto" w:fill="FFFFFF" w:themeFill="background1"/>
            <w:tcMar>
              <w:top w:w="0" w:type="dxa"/>
              <w:left w:w="85" w:type="dxa"/>
              <w:bottom w:w="0" w:type="dxa"/>
              <w:right w:w="85" w:type="dxa"/>
            </w:tcMar>
          </w:tcPr>
          <w:p w14:paraId="744798D9"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Not resolved. The Party reported in CRF table 4(III) information on N₂O emissions from land converted to forest land but that information was not disaggregated by forest type. During the review, New Zealand stated that it has identified a solution to disaggregate reporting in CRF table 4(III) and it is currently investigating how to implement this. The ERT considers that the recommendation has not yet been addressed because the Party has not yet reported in CRF table 4(III) information on land converted to forest land disaggregated by forest type.</w:t>
            </w:r>
          </w:p>
        </w:tc>
        <w:tc>
          <w:tcPr>
            <w:tcW w:w="3062" w:type="dxa"/>
            <w:shd w:val="clear" w:color="auto" w:fill="FFFFFF" w:themeFill="background1"/>
            <w:tcMar>
              <w:left w:w="85" w:type="dxa"/>
              <w:right w:w="85" w:type="dxa"/>
            </w:tcMar>
          </w:tcPr>
          <w:p w14:paraId="79BFB1B8"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Not resolved. New Zealand was unable to implement the solution to disaggregate this information by forest type. A new solution</w:t>
            </w:r>
            <w:r w:rsidRPr="001D5327" w:rsidDel="00C2200B">
              <w:rPr>
                <w:rFonts w:cstheme="minorHAnsi"/>
                <w:spacing w:val="-2"/>
              </w:rPr>
              <w:t xml:space="preserve"> </w:t>
            </w:r>
            <w:r w:rsidRPr="001D5327">
              <w:rPr>
                <w:rFonts w:cstheme="minorHAnsi"/>
                <w:spacing w:val="-2"/>
              </w:rPr>
              <w:t xml:space="preserve">is now being sought. </w:t>
            </w:r>
          </w:p>
        </w:tc>
      </w:tr>
      <w:tr w:rsidR="00281DE2" w:rsidRPr="001D5327" w14:paraId="79A7B9BC" w14:textId="77777777" w:rsidTr="002C45EC">
        <w:tc>
          <w:tcPr>
            <w:tcW w:w="851" w:type="dxa"/>
            <w:shd w:val="clear" w:color="auto" w:fill="FFFFFF" w:themeFill="background1"/>
            <w:tcMar>
              <w:top w:w="0" w:type="dxa"/>
              <w:left w:w="85" w:type="dxa"/>
              <w:bottom w:w="0" w:type="dxa"/>
              <w:right w:w="85" w:type="dxa"/>
            </w:tcMar>
          </w:tcPr>
          <w:p w14:paraId="271E2887"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L.11</w:t>
            </w:r>
          </w:p>
        </w:tc>
        <w:tc>
          <w:tcPr>
            <w:tcW w:w="2128" w:type="dxa"/>
            <w:shd w:val="clear" w:color="auto" w:fill="FFFFFF" w:themeFill="background1"/>
            <w:tcMar>
              <w:top w:w="0" w:type="dxa"/>
              <w:left w:w="85" w:type="dxa"/>
              <w:bottom w:w="0" w:type="dxa"/>
              <w:right w:w="85" w:type="dxa"/>
            </w:tcMar>
          </w:tcPr>
          <w:p w14:paraId="4B058607"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4.B.1 Cropland remaining cropland – CO₂ (L.15, 2021) (L.21, 2019) Completeness</w:t>
            </w:r>
          </w:p>
        </w:tc>
        <w:tc>
          <w:tcPr>
            <w:tcW w:w="3685" w:type="dxa"/>
            <w:shd w:val="clear" w:color="auto" w:fill="FFFFFF" w:themeFill="background1"/>
            <w:tcMar>
              <w:top w:w="0" w:type="dxa"/>
              <w:left w:w="85" w:type="dxa"/>
              <w:bottom w:w="0" w:type="dxa"/>
              <w:right w:w="85" w:type="dxa"/>
            </w:tcMar>
          </w:tcPr>
          <w:p w14:paraId="2DF3A338"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Identify the main subdivisions for New Zealand’s perennial cropland on the basis of the harvesting cycle and the biomass carbon stock at the end of the harvesting cycle, and build an age–class distribution for each subdivision; estimate and report annual biomass carbon stock gains and losses accordingly; and report the estimation and all additional information in the NIR.</w:t>
            </w:r>
          </w:p>
        </w:tc>
        <w:tc>
          <w:tcPr>
            <w:tcW w:w="4253" w:type="dxa"/>
            <w:shd w:val="clear" w:color="auto" w:fill="FFFFFF" w:themeFill="background1"/>
            <w:tcMar>
              <w:top w:w="0" w:type="dxa"/>
              <w:left w:w="85" w:type="dxa"/>
              <w:bottom w:w="0" w:type="dxa"/>
              <w:right w:w="85" w:type="dxa"/>
            </w:tcMar>
          </w:tcPr>
          <w:p w14:paraId="76C96BAA"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Not resolved. The Party reported in its NIR (p.398) that emissions from cropland remaining cropland are low relative to those for other categories, such as forest land and harvested wood products. The category is therefore a low research priority and funding is unable to be directed to this at present. The ERT considers that the recommendation has not yet been addressed because the Party has not yet estimated CSCs in perennial biomass associated with the ageing and replanting of perennial crops. The ERT noted that the use of historical statistical data on perennial crop area allows for an age–class distribution to be built and used to estimate annual carbon stock gains and losses associated with the ageing of perennial crop plantations and the renewal of those at the end of the production cycle.</w:t>
            </w:r>
          </w:p>
        </w:tc>
        <w:tc>
          <w:tcPr>
            <w:tcW w:w="3062" w:type="dxa"/>
            <w:shd w:val="clear" w:color="auto" w:fill="FFFFFF" w:themeFill="background1"/>
            <w:tcMar>
              <w:left w:w="85" w:type="dxa"/>
              <w:right w:w="85" w:type="dxa"/>
            </w:tcMar>
          </w:tcPr>
          <w:p w14:paraId="28344E2C" w14:textId="77777777" w:rsidR="007C5A34" w:rsidRPr="001D5327" w:rsidRDefault="007C5A34" w:rsidP="00341FEF">
            <w:pPr>
              <w:pStyle w:val="TableText"/>
              <w:spacing w:before="40" w:after="40"/>
              <w:rPr>
                <w:rFonts w:eastAsia="Calibri"/>
                <w:color w:val="000000"/>
                <w:spacing w:val="-2"/>
              </w:rPr>
            </w:pPr>
            <w:r w:rsidRPr="001D5327">
              <w:rPr>
                <w:bCs/>
                <w:spacing w:val="-2"/>
              </w:rPr>
              <w:t>Not resolved</w:t>
            </w:r>
            <w:r w:rsidRPr="001D5327">
              <w:rPr>
                <w:spacing w:val="-2"/>
              </w:rPr>
              <w:t xml:space="preserve">. Emissions from </w:t>
            </w:r>
            <w:r w:rsidRPr="001D5327">
              <w:rPr>
                <w:i/>
                <w:iCs/>
                <w:spacing w:val="-2"/>
              </w:rPr>
              <w:t>Cropland remaining cropland</w:t>
            </w:r>
            <w:r w:rsidRPr="001D5327">
              <w:rPr>
                <w:spacing w:val="-2"/>
              </w:rPr>
              <w:t xml:space="preserve"> are low relative to those for other categories, such as </w:t>
            </w:r>
            <w:r w:rsidRPr="001D5327">
              <w:rPr>
                <w:i/>
                <w:iCs/>
                <w:spacing w:val="-2"/>
              </w:rPr>
              <w:t>Forest land</w:t>
            </w:r>
            <w:r w:rsidRPr="001D5327">
              <w:rPr>
                <w:spacing w:val="-2"/>
              </w:rPr>
              <w:t xml:space="preserve"> and </w:t>
            </w:r>
            <w:r w:rsidRPr="001D5327">
              <w:rPr>
                <w:i/>
                <w:iCs/>
                <w:spacing w:val="-2"/>
              </w:rPr>
              <w:t>Harvested wood products</w:t>
            </w:r>
            <w:r w:rsidRPr="001D5327">
              <w:rPr>
                <w:spacing w:val="-2"/>
              </w:rPr>
              <w:t>. The category is therefore a low research priority and funding is unable to be directed to this at present.</w:t>
            </w:r>
          </w:p>
        </w:tc>
      </w:tr>
      <w:tr w:rsidR="00281DE2" w:rsidRPr="001D5327" w14:paraId="5AC44134" w14:textId="77777777" w:rsidTr="002C45EC">
        <w:tc>
          <w:tcPr>
            <w:tcW w:w="851" w:type="dxa"/>
            <w:shd w:val="clear" w:color="auto" w:fill="FFFFFF" w:themeFill="background1"/>
            <w:tcMar>
              <w:top w:w="0" w:type="dxa"/>
              <w:left w:w="85" w:type="dxa"/>
              <w:bottom w:w="0" w:type="dxa"/>
              <w:right w:w="85" w:type="dxa"/>
            </w:tcMar>
          </w:tcPr>
          <w:p w14:paraId="328D53A3"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L.12</w:t>
            </w:r>
          </w:p>
        </w:tc>
        <w:tc>
          <w:tcPr>
            <w:tcW w:w="2128" w:type="dxa"/>
            <w:shd w:val="clear" w:color="auto" w:fill="FFFFFF" w:themeFill="background1"/>
            <w:tcMar>
              <w:top w:w="0" w:type="dxa"/>
              <w:left w:w="85" w:type="dxa"/>
              <w:bottom w:w="0" w:type="dxa"/>
              <w:right w:w="85" w:type="dxa"/>
            </w:tcMar>
          </w:tcPr>
          <w:p w14:paraId="72CE753F"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4.B.1 Cropland remaining cropland – CO₂ (L.16, 2021) (L.22, 2019) Completeness</w:t>
            </w:r>
          </w:p>
        </w:tc>
        <w:tc>
          <w:tcPr>
            <w:tcW w:w="3685" w:type="dxa"/>
            <w:shd w:val="clear" w:color="auto" w:fill="FFFFFF" w:themeFill="background1"/>
            <w:tcMar>
              <w:top w:w="0" w:type="dxa"/>
              <w:left w:w="85" w:type="dxa"/>
              <w:bottom w:w="0" w:type="dxa"/>
              <w:right w:w="85" w:type="dxa"/>
            </w:tcMar>
          </w:tcPr>
          <w:p w14:paraId="7574D457"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Plan the activities needed to collect data and prepare estimates of SOC changes in cropland associated with changes in management practices.</w:t>
            </w:r>
          </w:p>
        </w:tc>
        <w:tc>
          <w:tcPr>
            <w:tcW w:w="4253" w:type="dxa"/>
            <w:shd w:val="clear" w:color="auto" w:fill="FFFFFF" w:themeFill="background1"/>
            <w:tcMar>
              <w:top w:w="0" w:type="dxa"/>
              <w:left w:w="85" w:type="dxa"/>
              <w:bottom w:w="0" w:type="dxa"/>
              <w:right w:w="85" w:type="dxa"/>
            </w:tcMar>
          </w:tcPr>
          <w:p w14:paraId="1E030186"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 xml:space="preserve">Addressing. The Party reported in its NIR (p.271) that a longitudinal study on the impact of management practices on grassland and cropland soils is under way. Time-series data on a network of 500 soil sample plots over 12 years will be collected, but the data are not expected to be available for several years. During the review, New Zealand clarified that the baseline data for this study will be collected by 2023/2024 and that the 12-year timeline is for the resampling of those 500 sample plots, which will inform and refine estimates of SOC changes within one land use over time. New Zealand also clarified that it aims to use these baseline data to improve its mineral SOC stock change estimates for all agricultural land uses by its 2026 submission, and that improvements to its reporting on management practices may also be made before the resampled data are available. The ERT considers that the recommendation has not yet been fully addressed because, while the Party has secured dedicated funding and commenced a multi-year research programme, it has not yet collected the necessary data </w:t>
            </w:r>
            <w:r w:rsidRPr="001D5327">
              <w:rPr>
                <w:rFonts w:eastAsia="Calibri" w:cstheme="minorHAnsi"/>
                <w:color w:val="000000"/>
                <w:spacing w:val="-2"/>
              </w:rPr>
              <w:lastRenderedPageBreak/>
              <w:t>to estimate and report SOC changes in mineral soils associated with agricultural management changes as required for the IPCC default methodology for cropland remaining cropland.</w:t>
            </w:r>
          </w:p>
        </w:tc>
        <w:tc>
          <w:tcPr>
            <w:tcW w:w="3062" w:type="dxa"/>
            <w:shd w:val="clear" w:color="auto" w:fill="FFFFFF" w:themeFill="background1"/>
            <w:tcMar>
              <w:left w:w="85" w:type="dxa"/>
              <w:right w:w="85" w:type="dxa"/>
            </w:tcMar>
          </w:tcPr>
          <w:p w14:paraId="745E2527"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lastRenderedPageBreak/>
              <w:t>Addressing. A longitudinal agricultural land soils study is currently under way. This study includes a collection of baseline data for the national 500 soils programme, and a 12-year timeline for resampling the 500 sites will inform and refine estimates of change through time within one land use. New Zealand also aims to improve mineral SOC stock change estimates for all agricultural land uses with the baseline data.</w:t>
            </w:r>
          </w:p>
        </w:tc>
      </w:tr>
      <w:tr w:rsidR="00281DE2" w:rsidRPr="001D5327" w14:paraId="7FED177F" w14:textId="77777777" w:rsidTr="002C45EC">
        <w:tc>
          <w:tcPr>
            <w:tcW w:w="851" w:type="dxa"/>
            <w:shd w:val="clear" w:color="auto" w:fill="FFFFFF" w:themeFill="background1"/>
            <w:tcMar>
              <w:top w:w="0" w:type="dxa"/>
              <w:left w:w="85" w:type="dxa"/>
              <w:bottom w:w="0" w:type="dxa"/>
              <w:right w:w="85" w:type="dxa"/>
            </w:tcMar>
          </w:tcPr>
          <w:p w14:paraId="3606416E"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L.13</w:t>
            </w:r>
          </w:p>
        </w:tc>
        <w:tc>
          <w:tcPr>
            <w:tcW w:w="2128" w:type="dxa"/>
            <w:shd w:val="clear" w:color="auto" w:fill="FFFFFF" w:themeFill="background1"/>
            <w:tcMar>
              <w:top w:w="0" w:type="dxa"/>
              <w:left w:w="85" w:type="dxa"/>
              <w:bottom w:w="0" w:type="dxa"/>
              <w:right w:w="85" w:type="dxa"/>
            </w:tcMar>
          </w:tcPr>
          <w:p w14:paraId="2908F520"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4.C.2 Land converted to grassland – CO₂ (L.17, 2021) (L.23, 2019) Convention reporting adherence</w:t>
            </w:r>
          </w:p>
        </w:tc>
        <w:tc>
          <w:tcPr>
            <w:tcW w:w="3685" w:type="dxa"/>
            <w:shd w:val="clear" w:color="auto" w:fill="FFFFFF" w:themeFill="background1"/>
            <w:tcMar>
              <w:top w:w="0" w:type="dxa"/>
              <w:left w:w="85" w:type="dxa"/>
              <w:bottom w:w="0" w:type="dxa"/>
              <w:right w:w="85" w:type="dxa"/>
            </w:tcMar>
          </w:tcPr>
          <w:p w14:paraId="57B09022"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Report “NE” for biomass carbon stock losses for wetlands converted to grassland, providing relevant references to the 2006 IPCC Guidelines for justification, or revise the methodology by assigning a biomass carbon stock value to wetlands before conversion, in particular for the subcategory vegetated wetlands.</w:t>
            </w:r>
          </w:p>
        </w:tc>
        <w:tc>
          <w:tcPr>
            <w:tcW w:w="4253" w:type="dxa"/>
            <w:shd w:val="clear" w:color="auto" w:fill="FFFFFF" w:themeFill="background1"/>
            <w:tcMar>
              <w:top w:w="0" w:type="dxa"/>
              <w:left w:w="85" w:type="dxa"/>
              <w:bottom w:w="0" w:type="dxa"/>
              <w:right w:w="85" w:type="dxa"/>
            </w:tcMar>
          </w:tcPr>
          <w:p w14:paraId="2B965B71"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Resolved. The Party reported this subcategory as “NE” in CRF table 4.C because the 2006 IPCC Guidelines (vol. 6, chap. 6.7.2) do not provide default values for above-ground biomass or dead organic matter and the country has no country-specific data. During the review, the Party clarified that, following its 2022 submission, a literature review was conducted on available research on biomass carbon stocks in vegetated wetlands. This research will allow New Zealand to assign biomass carbon stock values to vegetated wetlands before conversion, and the results will be used for its 2023 submission.</w:t>
            </w:r>
          </w:p>
        </w:tc>
        <w:tc>
          <w:tcPr>
            <w:tcW w:w="3062" w:type="dxa"/>
            <w:shd w:val="clear" w:color="auto" w:fill="FFFFFF" w:themeFill="background1"/>
            <w:tcMar>
              <w:left w:w="85" w:type="dxa"/>
              <w:right w:w="85" w:type="dxa"/>
            </w:tcMar>
          </w:tcPr>
          <w:p w14:paraId="423ED7E4"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2A58167B" w14:textId="77777777" w:rsidTr="002C45EC">
        <w:tc>
          <w:tcPr>
            <w:tcW w:w="851" w:type="dxa"/>
            <w:shd w:val="clear" w:color="auto" w:fill="FFFFFF" w:themeFill="background1"/>
            <w:tcMar>
              <w:top w:w="0" w:type="dxa"/>
              <w:left w:w="85" w:type="dxa"/>
              <w:bottom w:w="0" w:type="dxa"/>
              <w:right w:w="85" w:type="dxa"/>
            </w:tcMar>
          </w:tcPr>
          <w:p w14:paraId="45AB62E4"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L.14</w:t>
            </w:r>
          </w:p>
        </w:tc>
        <w:tc>
          <w:tcPr>
            <w:tcW w:w="2128" w:type="dxa"/>
            <w:shd w:val="clear" w:color="auto" w:fill="FFFFFF" w:themeFill="background1"/>
            <w:tcMar>
              <w:top w:w="0" w:type="dxa"/>
              <w:left w:w="85" w:type="dxa"/>
              <w:bottom w:w="0" w:type="dxa"/>
              <w:right w:w="85" w:type="dxa"/>
            </w:tcMar>
          </w:tcPr>
          <w:p w14:paraId="5AFD9320"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4.D Wetlands – CO₂ (L.18, 2021) (L.6, 2019) (L.7, 2017) Completeness</w:t>
            </w:r>
          </w:p>
        </w:tc>
        <w:tc>
          <w:tcPr>
            <w:tcW w:w="3685" w:type="dxa"/>
            <w:shd w:val="clear" w:color="auto" w:fill="FFFFFF" w:themeFill="background1"/>
            <w:tcMar>
              <w:top w:w="0" w:type="dxa"/>
              <w:left w:w="85" w:type="dxa"/>
              <w:bottom w:w="0" w:type="dxa"/>
              <w:right w:w="85" w:type="dxa"/>
            </w:tcMar>
          </w:tcPr>
          <w:p w14:paraId="4D022BB5"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Continue the ongoing work to improve estimates for wetlands and report the emissions for subcategories 4.D.1.1 (peat extraction remaining peat extraction) and 4.D.2.1 (land converted to peat extraction).</w:t>
            </w:r>
          </w:p>
        </w:tc>
        <w:tc>
          <w:tcPr>
            <w:tcW w:w="4253" w:type="dxa"/>
            <w:shd w:val="clear" w:color="auto" w:fill="FFFFFF" w:themeFill="background1"/>
            <w:tcMar>
              <w:top w:w="0" w:type="dxa"/>
              <w:left w:w="85" w:type="dxa"/>
              <w:bottom w:w="0" w:type="dxa"/>
              <w:right w:w="85" w:type="dxa"/>
            </w:tcMar>
          </w:tcPr>
          <w:p w14:paraId="6753ACF9"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Resolved. Although the Party reported in its NIR (p.280) that information from land converted to peat extraction was reported as “NE” in the CRF tables because the areas under peat extraction have remained the same since 1990, the ERT noted that in CRF table 4.D, it is reported that “New Zealand does not have activity data available to reliably report on this activity”, so reporting this subcategory as “NE” is appropriate.</w:t>
            </w:r>
          </w:p>
        </w:tc>
        <w:tc>
          <w:tcPr>
            <w:tcW w:w="3062" w:type="dxa"/>
            <w:shd w:val="clear" w:color="auto" w:fill="FFFFFF" w:themeFill="background1"/>
            <w:tcMar>
              <w:left w:w="85" w:type="dxa"/>
              <w:right w:w="85" w:type="dxa"/>
            </w:tcMar>
          </w:tcPr>
          <w:p w14:paraId="101FADB8"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49EA2507" w14:textId="77777777" w:rsidTr="002C45EC">
        <w:tc>
          <w:tcPr>
            <w:tcW w:w="851" w:type="dxa"/>
            <w:shd w:val="clear" w:color="auto" w:fill="FFFFFF" w:themeFill="background1"/>
            <w:tcMar>
              <w:top w:w="0" w:type="dxa"/>
              <w:left w:w="85" w:type="dxa"/>
              <w:bottom w:w="0" w:type="dxa"/>
              <w:right w:w="85" w:type="dxa"/>
            </w:tcMar>
          </w:tcPr>
          <w:p w14:paraId="10632DB9"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L.15</w:t>
            </w:r>
          </w:p>
        </w:tc>
        <w:tc>
          <w:tcPr>
            <w:tcW w:w="2128" w:type="dxa"/>
            <w:shd w:val="clear" w:color="auto" w:fill="FFFFFF" w:themeFill="background1"/>
            <w:tcMar>
              <w:top w:w="0" w:type="dxa"/>
              <w:left w:w="85" w:type="dxa"/>
              <w:bottom w:w="0" w:type="dxa"/>
              <w:right w:w="85" w:type="dxa"/>
            </w:tcMar>
          </w:tcPr>
          <w:p w14:paraId="47DDDF29"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4.E.2 Land converted to settlements – CO₂ (L.27, 2021) Accuracy</w:t>
            </w:r>
          </w:p>
        </w:tc>
        <w:tc>
          <w:tcPr>
            <w:tcW w:w="3685" w:type="dxa"/>
            <w:shd w:val="clear" w:color="auto" w:fill="FFFFFF" w:themeFill="background1"/>
            <w:tcMar>
              <w:top w:w="0" w:type="dxa"/>
              <w:left w:w="85" w:type="dxa"/>
              <w:bottom w:w="0" w:type="dxa"/>
              <w:right w:w="85" w:type="dxa"/>
            </w:tcMar>
          </w:tcPr>
          <w:p w14:paraId="25C6F047"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Assess the share of impervious surfaces within the settlements category and estimate soil CSC for land converted to settlements on the basis of this share and in accordance with the 2006 IPCC Guidelines.</w:t>
            </w:r>
          </w:p>
        </w:tc>
        <w:tc>
          <w:tcPr>
            <w:tcW w:w="4253" w:type="dxa"/>
            <w:shd w:val="clear" w:color="auto" w:fill="FFFFFF" w:themeFill="background1"/>
            <w:tcMar>
              <w:top w:w="0" w:type="dxa"/>
              <w:left w:w="85" w:type="dxa"/>
              <w:bottom w:w="0" w:type="dxa"/>
              <w:right w:w="85" w:type="dxa"/>
            </w:tcMar>
          </w:tcPr>
          <w:p w14:paraId="5BFC991A"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Not resolved. The Party did not report any relevant information in its NIR. During the review, the Party clarified that research on settlements is low priority and it has not been possible to direct funding to this area. The ERT considers that the recommendation has not yet been addressed because the Party has not yet applied, as a first step, the IPCC default method and values to calculate SOC losses for land converted to settlements.</w:t>
            </w:r>
          </w:p>
        </w:tc>
        <w:tc>
          <w:tcPr>
            <w:tcW w:w="3062" w:type="dxa"/>
            <w:shd w:val="clear" w:color="auto" w:fill="FFFFFF" w:themeFill="background1"/>
            <w:tcMar>
              <w:left w:w="85" w:type="dxa"/>
              <w:right w:w="85" w:type="dxa"/>
            </w:tcMar>
          </w:tcPr>
          <w:p w14:paraId="048A54F6"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Not resolved</w:t>
            </w:r>
            <w:r w:rsidRPr="001D5327">
              <w:rPr>
                <w:rFonts w:cstheme="minorHAnsi"/>
                <w:bCs/>
                <w:spacing w:val="-2"/>
              </w:rPr>
              <w:t>.</w:t>
            </w:r>
            <w:r w:rsidRPr="001D5327">
              <w:rPr>
                <w:rFonts w:cstheme="minorHAnsi"/>
                <w:spacing w:val="-2"/>
              </w:rPr>
              <w:t xml:space="preserve"> Research on settlements is low priority, due to the small emissions associated with this category. Therefore, it has not been possible to direct funding into this area.</w:t>
            </w:r>
          </w:p>
        </w:tc>
      </w:tr>
      <w:tr w:rsidR="00281DE2" w:rsidRPr="001D5327" w14:paraId="64107EEA" w14:textId="77777777" w:rsidTr="002C45EC">
        <w:tc>
          <w:tcPr>
            <w:tcW w:w="851" w:type="dxa"/>
            <w:shd w:val="clear" w:color="auto" w:fill="FFFFFF" w:themeFill="background1"/>
            <w:tcMar>
              <w:top w:w="0" w:type="dxa"/>
              <w:left w:w="85" w:type="dxa"/>
              <w:bottom w:w="0" w:type="dxa"/>
              <w:right w:w="85" w:type="dxa"/>
            </w:tcMar>
          </w:tcPr>
          <w:p w14:paraId="369B5835"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L.16</w:t>
            </w:r>
          </w:p>
        </w:tc>
        <w:tc>
          <w:tcPr>
            <w:tcW w:w="2128" w:type="dxa"/>
            <w:shd w:val="clear" w:color="auto" w:fill="FFFFFF" w:themeFill="background1"/>
            <w:tcMar>
              <w:top w:w="0" w:type="dxa"/>
              <w:left w:w="85" w:type="dxa"/>
              <w:bottom w:w="0" w:type="dxa"/>
              <w:right w:w="85" w:type="dxa"/>
            </w:tcMar>
          </w:tcPr>
          <w:p w14:paraId="0093BADB"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4.F Other land – CO₂, CH₄ and N₂O (L.20, 2021) (L.27, 2019) Accuracy</w:t>
            </w:r>
          </w:p>
        </w:tc>
        <w:tc>
          <w:tcPr>
            <w:tcW w:w="3685" w:type="dxa"/>
            <w:shd w:val="clear" w:color="auto" w:fill="FFFFFF" w:themeFill="background1"/>
            <w:tcMar>
              <w:top w:w="0" w:type="dxa"/>
              <w:left w:w="85" w:type="dxa"/>
              <w:bottom w:w="0" w:type="dxa"/>
              <w:right w:w="85" w:type="dxa"/>
            </w:tcMar>
          </w:tcPr>
          <w:p w14:paraId="3E740F9E"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Reclassify all other land with significant SOC content under the most appropriate land-use category and recalculate the land representation and SOC changes for the revised area of conversion to and from other land.</w:t>
            </w:r>
          </w:p>
        </w:tc>
        <w:tc>
          <w:tcPr>
            <w:tcW w:w="4253" w:type="dxa"/>
            <w:shd w:val="clear" w:color="auto" w:fill="FFFFFF" w:themeFill="background1"/>
            <w:tcMar>
              <w:top w:w="0" w:type="dxa"/>
              <w:left w:w="85" w:type="dxa"/>
              <w:bottom w:w="0" w:type="dxa"/>
              <w:right w:w="85" w:type="dxa"/>
            </w:tcMar>
          </w:tcPr>
          <w:p w14:paraId="0587F2C0"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 xml:space="preserve">Not resolved. The Party reported in its NIR (section 6.8.6, p.287) that the mapping of other land in 1990 was based on low 30 m resolution Landsat satellite imagery, meaning that some areas of lower productive grassland and bare ground without a typical grassland spectral signature could have been incorrectly classed as other land. Subsequent land-use change has highlighted that the 1990 classification should be reviewed and updated. This is a scheduled improvement activity. The Party also reported that the country-specific reference SOC value, based only on three estimates, is high compared with the default value in the 2006 IPCC Guidelines (vol. 4, chap. 2) and has a relatively high uncertainty. Further soil sampling in land classified as other land is required to improve soil carbon estimates for this land-use </w:t>
            </w:r>
            <w:r w:rsidRPr="001D5327">
              <w:rPr>
                <w:rFonts w:eastAsia="Calibri"/>
                <w:color w:val="000000" w:themeColor="text1"/>
                <w:spacing w:val="-2"/>
              </w:rPr>
              <w:lastRenderedPageBreak/>
              <w:t>category. However, while this action is listed as a planned improvement, it has not yet received funding and is unlikely to be implemented before the next annual submission. During the review, New Zealand, stated that it aims to narrow its definition of other land and ensure estimates of mineral SOC stock changes are more representative for this category through improving mapping and additional soil sampling. The ERT considers that the recommendation has not yet been addressed because the Party has not yet separated land without significant SOC stocks in mineral soils from land with significant SOC. Mixing of both types within a single category results in a high likelihood of overestimating SOC gains in conversion to vegetated land uses and SOC losses in conversion from vegetated land uses to other land. That is because conversion of other land to other vegetated land uses occurs exclusively on other land with significant SOC stocks.</w:t>
            </w:r>
          </w:p>
        </w:tc>
        <w:tc>
          <w:tcPr>
            <w:tcW w:w="3062" w:type="dxa"/>
            <w:shd w:val="clear" w:color="auto" w:fill="FFFFFF" w:themeFill="background1"/>
            <w:tcMar>
              <w:left w:w="85" w:type="dxa"/>
              <w:right w:w="85" w:type="dxa"/>
            </w:tcMar>
          </w:tcPr>
          <w:p w14:paraId="4B78603A" w14:textId="77777777" w:rsidR="007C5A34" w:rsidRPr="001D5327" w:rsidRDefault="007C5A34" w:rsidP="00341FEF">
            <w:pPr>
              <w:pStyle w:val="TableText"/>
              <w:spacing w:before="40" w:after="40"/>
              <w:rPr>
                <w:rFonts w:eastAsia="Calibri"/>
                <w:color w:val="000000"/>
                <w:spacing w:val="-2"/>
              </w:rPr>
            </w:pPr>
            <w:r w:rsidRPr="001D5327">
              <w:rPr>
                <w:bCs/>
                <w:spacing w:val="-2"/>
              </w:rPr>
              <w:lastRenderedPageBreak/>
              <w:t>Addressing</w:t>
            </w:r>
            <w:r w:rsidRPr="001D5327">
              <w:rPr>
                <w:spacing w:val="-2"/>
              </w:rPr>
              <w:t xml:space="preserve">. New Zealand aims to narrow the definition of </w:t>
            </w:r>
            <w:r w:rsidRPr="001D5327">
              <w:rPr>
                <w:i/>
                <w:iCs/>
                <w:spacing w:val="-2"/>
              </w:rPr>
              <w:t>O</w:t>
            </w:r>
            <w:r w:rsidRPr="001D5327">
              <w:rPr>
                <w:i/>
                <w:spacing w:val="-2"/>
              </w:rPr>
              <w:t>ther land</w:t>
            </w:r>
            <w:r w:rsidRPr="001D5327">
              <w:rPr>
                <w:spacing w:val="-2"/>
              </w:rPr>
              <w:t xml:space="preserve"> and ensure estimates of mineral SOC stock changes are aligned with this category, through improving mapping and additional sampling. At present, remapping work is under way to reclassify land with significant SOC currently classified as </w:t>
            </w:r>
            <w:r w:rsidRPr="001D5327">
              <w:rPr>
                <w:i/>
                <w:iCs/>
                <w:spacing w:val="-2"/>
              </w:rPr>
              <w:t>O</w:t>
            </w:r>
            <w:r w:rsidRPr="001D5327">
              <w:rPr>
                <w:i/>
                <w:spacing w:val="-2"/>
              </w:rPr>
              <w:t>ther land</w:t>
            </w:r>
            <w:r w:rsidRPr="001D5327">
              <w:rPr>
                <w:spacing w:val="-2"/>
              </w:rPr>
              <w:t xml:space="preserve">. </w:t>
            </w:r>
          </w:p>
        </w:tc>
      </w:tr>
      <w:tr w:rsidR="00281DE2" w:rsidRPr="001D5327" w14:paraId="5DFC323D" w14:textId="77777777" w:rsidTr="002C45EC">
        <w:tc>
          <w:tcPr>
            <w:tcW w:w="851" w:type="dxa"/>
            <w:shd w:val="clear" w:color="auto" w:fill="FFFFFF" w:themeFill="background1"/>
            <w:tcMar>
              <w:top w:w="0" w:type="dxa"/>
              <w:left w:w="85" w:type="dxa"/>
              <w:bottom w:w="0" w:type="dxa"/>
              <w:right w:w="85" w:type="dxa"/>
            </w:tcMar>
          </w:tcPr>
          <w:p w14:paraId="67E1BBC9"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L.17</w:t>
            </w:r>
          </w:p>
        </w:tc>
        <w:tc>
          <w:tcPr>
            <w:tcW w:w="2128" w:type="dxa"/>
            <w:shd w:val="clear" w:color="auto" w:fill="FFFFFF" w:themeFill="background1"/>
            <w:tcMar>
              <w:top w:w="0" w:type="dxa"/>
              <w:left w:w="85" w:type="dxa"/>
              <w:bottom w:w="0" w:type="dxa"/>
              <w:right w:w="85" w:type="dxa"/>
            </w:tcMar>
          </w:tcPr>
          <w:p w14:paraId="59EDF39F"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4.F.2 Land converted to other land – CO₂ (L.21, 2021) (L.28, 2019) Accuracy</w:t>
            </w:r>
          </w:p>
        </w:tc>
        <w:tc>
          <w:tcPr>
            <w:tcW w:w="3685" w:type="dxa"/>
            <w:shd w:val="clear" w:color="auto" w:fill="FFFFFF" w:themeFill="background1"/>
            <w:tcMar>
              <w:top w:w="0" w:type="dxa"/>
              <w:left w:w="85" w:type="dxa"/>
              <w:bottom w:w="0" w:type="dxa"/>
              <w:right w:w="85" w:type="dxa"/>
            </w:tcMar>
          </w:tcPr>
          <w:p w14:paraId="18A8004B"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Verify the occurrence of the conversion of land with organic soils to other land and, if SOC losses are not reported for organic soils converted to other land, report “NA” in the CRF table.</w:t>
            </w:r>
          </w:p>
        </w:tc>
        <w:tc>
          <w:tcPr>
            <w:tcW w:w="4253" w:type="dxa"/>
            <w:shd w:val="clear" w:color="auto" w:fill="FFFFFF" w:themeFill="background1"/>
            <w:tcMar>
              <w:top w:w="0" w:type="dxa"/>
              <w:left w:w="85" w:type="dxa"/>
              <w:bottom w:w="0" w:type="dxa"/>
              <w:right w:w="85" w:type="dxa"/>
            </w:tcMar>
          </w:tcPr>
          <w:p w14:paraId="001FF572"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Not resolved. The Party reported in its NIR (p.399) that improving the 1990 classification of other land is a scheduled activity. The ERT considers that the recommendation has not yet been addressed because the Party has not yet reported on the goal of the scheduled activity (expected by the ERT to be a classification of land cover and soil types) or the timescale for achieving that goal.</w:t>
            </w:r>
          </w:p>
        </w:tc>
        <w:tc>
          <w:tcPr>
            <w:tcW w:w="3062" w:type="dxa"/>
            <w:shd w:val="clear" w:color="auto" w:fill="FFFFFF" w:themeFill="background1"/>
            <w:tcMar>
              <w:left w:w="85" w:type="dxa"/>
              <w:right w:w="85" w:type="dxa"/>
            </w:tcMar>
          </w:tcPr>
          <w:p w14:paraId="6517D2BB" w14:textId="77777777" w:rsidR="007C5A34" w:rsidRPr="001D5327" w:rsidRDefault="007C5A34" w:rsidP="00341FEF">
            <w:pPr>
              <w:pStyle w:val="TableText"/>
              <w:spacing w:before="40" w:after="40"/>
              <w:rPr>
                <w:rFonts w:eastAsia="Calibri" w:cstheme="minorHAnsi"/>
                <w:color w:val="000000"/>
                <w:spacing w:val="-2"/>
              </w:rPr>
            </w:pPr>
            <w:r w:rsidRPr="001D5327">
              <w:rPr>
                <w:rFonts w:eastAsia="Calibri" w:cstheme="minorHAnsi"/>
                <w:color w:val="000000"/>
                <w:spacing w:val="-2"/>
              </w:rPr>
              <w:t xml:space="preserve">Addressing. A review of the 2020 land use map has revealed approximately 8 hectares of </w:t>
            </w:r>
            <w:r w:rsidRPr="001D5327">
              <w:rPr>
                <w:rFonts w:eastAsia="Calibri" w:cstheme="minorHAnsi"/>
                <w:i/>
                <w:color w:val="000000"/>
                <w:spacing w:val="-2"/>
              </w:rPr>
              <w:t>Land converted to other land</w:t>
            </w:r>
            <w:r w:rsidRPr="001D5327">
              <w:rPr>
                <w:rFonts w:eastAsia="Calibri" w:cstheme="minorHAnsi"/>
                <w:color w:val="000000"/>
                <w:spacing w:val="-2"/>
              </w:rPr>
              <w:t xml:space="preserve"> on organic soils. These appear to be a result of mapping errors in the organic soil map. Work is under way to correct these errors.</w:t>
            </w:r>
          </w:p>
        </w:tc>
      </w:tr>
      <w:tr w:rsidR="00281DE2" w:rsidRPr="001D5327" w14:paraId="581CFC12" w14:textId="77777777" w:rsidTr="002C45EC">
        <w:tc>
          <w:tcPr>
            <w:tcW w:w="851" w:type="dxa"/>
            <w:shd w:val="clear" w:color="auto" w:fill="FFFFFF" w:themeFill="background1"/>
            <w:tcMar>
              <w:top w:w="0" w:type="dxa"/>
              <w:left w:w="85" w:type="dxa"/>
              <w:bottom w:w="0" w:type="dxa"/>
              <w:right w:w="85" w:type="dxa"/>
            </w:tcMar>
          </w:tcPr>
          <w:p w14:paraId="2F204260"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L.18</w:t>
            </w:r>
          </w:p>
        </w:tc>
        <w:tc>
          <w:tcPr>
            <w:tcW w:w="2128" w:type="dxa"/>
            <w:shd w:val="clear" w:color="auto" w:fill="FFFFFF" w:themeFill="background1"/>
            <w:tcMar>
              <w:top w:w="0" w:type="dxa"/>
              <w:left w:w="85" w:type="dxa"/>
              <w:bottom w:w="0" w:type="dxa"/>
              <w:right w:w="85" w:type="dxa"/>
            </w:tcMar>
          </w:tcPr>
          <w:p w14:paraId="039F2C27"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4(II) Emissions/removals from drainage and rewetting and other management of organic/mineral soils – N₂O (L.22, 2021) (L.29, 2019) Completeness</w:t>
            </w:r>
          </w:p>
        </w:tc>
        <w:tc>
          <w:tcPr>
            <w:tcW w:w="3685" w:type="dxa"/>
            <w:shd w:val="clear" w:color="auto" w:fill="FFFFFF" w:themeFill="background1"/>
            <w:tcMar>
              <w:top w:w="0" w:type="dxa"/>
              <w:left w:w="85" w:type="dxa"/>
              <w:bottom w:w="0" w:type="dxa"/>
              <w:right w:w="85" w:type="dxa"/>
            </w:tcMar>
          </w:tcPr>
          <w:p w14:paraId="0C6D8E64"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Report N₂O emissions from drainage of non- agricultural organic soils in CRF table 4(II) for each land category for which an SOC loss in organic soils is reported in CRF tables 4.A, 4.D and 4.E.</w:t>
            </w:r>
          </w:p>
        </w:tc>
        <w:tc>
          <w:tcPr>
            <w:tcW w:w="4253" w:type="dxa"/>
            <w:shd w:val="clear" w:color="auto" w:fill="FFFFFF" w:themeFill="background1"/>
            <w:tcMar>
              <w:top w:w="0" w:type="dxa"/>
              <w:left w:w="85" w:type="dxa"/>
              <w:bottom w:w="0" w:type="dxa"/>
              <w:right w:w="85" w:type="dxa"/>
            </w:tcMar>
          </w:tcPr>
          <w:p w14:paraId="61FC4AF9"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 xml:space="preserve">Addressing. The Party reported in CRF table 4(II) carbon stock losses from drained organic soils in forest land. During the review, the Party clarified that, during the review of its 2021 submission, the previous ERT acknowledged that there is no default value in the 2006 IPCC Guidelines that can be applied for wetlands or settlements. However, the ERT suggested that, because New Zealand considers that most of its settlement area can be counted as grassland when it comes to soil carbon, the EFs for grassland should be applied to settlements. For the 2022 submission, these emissions were calculated but not included in the CRF tables or emission totals. As there is no reporting category for these emissions in the CRF tables, assistance was sought on how they could be reported. Unfortunately, the response to this request was not received in time to incorporate the emission estimates into the submission. Therefore, the value of 23.2 kt CO₂ eq emissions resulting from drained organic soils in settlements has not been included in the total emissions for LULUCF, but this is planned for the 2023 submission. The ERT </w:t>
            </w:r>
            <w:r w:rsidRPr="001D5327">
              <w:rPr>
                <w:rFonts w:eastAsia="Calibri"/>
                <w:color w:val="000000" w:themeColor="text1"/>
                <w:spacing w:val="-2"/>
              </w:rPr>
              <w:lastRenderedPageBreak/>
              <w:t>considers that the recommendation has not yet been fully addressed because the Party has not yet included in its inventory the estimated N₂O emissions caused by the drainage of organic soils in the settlements land-use category.</w:t>
            </w:r>
          </w:p>
        </w:tc>
        <w:tc>
          <w:tcPr>
            <w:tcW w:w="3062" w:type="dxa"/>
            <w:shd w:val="clear" w:color="auto" w:fill="FFFFFF" w:themeFill="background1"/>
            <w:tcMar>
              <w:left w:w="85" w:type="dxa"/>
              <w:right w:w="85" w:type="dxa"/>
            </w:tcMar>
          </w:tcPr>
          <w:p w14:paraId="26D51896"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bCs/>
                <w:spacing w:val="-2"/>
              </w:rPr>
              <w:lastRenderedPageBreak/>
              <w:t>Addressing</w:t>
            </w:r>
            <w:r w:rsidRPr="001D5327">
              <w:rPr>
                <w:rFonts w:cstheme="minorHAnsi"/>
                <w:spacing w:val="-2"/>
              </w:rPr>
              <w:t xml:space="preserve">. Emissions from drained organic soils in </w:t>
            </w:r>
            <w:r w:rsidRPr="001D5327">
              <w:rPr>
                <w:rFonts w:cstheme="minorHAnsi"/>
                <w:i/>
                <w:iCs/>
                <w:spacing w:val="-2"/>
              </w:rPr>
              <w:t>Forest land</w:t>
            </w:r>
            <w:r w:rsidRPr="001D5327">
              <w:rPr>
                <w:rFonts w:cstheme="minorHAnsi"/>
                <w:spacing w:val="-2"/>
              </w:rPr>
              <w:t xml:space="preserve"> have been calculated for the 2025 submission (see chapter 6, section 6.11.2). Note that during the review of the 2021 submission, the ERT acknowledged that there is no default method in the 2006 IPCC Guidelines (IPCC, 2006) that can be applied to </w:t>
            </w:r>
            <w:r w:rsidRPr="001D5327">
              <w:rPr>
                <w:rFonts w:cstheme="minorHAnsi"/>
                <w:i/>
                <w:iCs/>
                <w:spacing w:val="-2"/>
              </w:rPr>
              <w:t>Wetlands</w:t>
            </w:r>
            <w:r w:rsidRPr="001D5327">
              <w:rPr>
                <w:rFonts w:cstheme="minorHAnsi"/>
                <w:spacing w:val="-2"/>
              </w:rPr>
              <w:t xml:space="preserve"> or </w:t>
            </w:r>
            <w:r w:rsidRPr="001D5327">
              <w:rPr>
                <w:rFonts w:cstheme="minorHAnsi"/>
                <w:i/>
                <w:iCs/>
                <w:spacing w:val="-2"/>
              </w:rPr>
              <w:t>Settlements</w:t>
            </w:r>
            <w:r w:rsidRPr="001D5327">
              <w:rPr>
                <w:rFonts w:cstheme="minorHAnsi"/>
                <w:spacing w:val="-2"/>
              </w:rPr>
              <w:t xml:space="preserve">. However, the ERT suggested that, because New Zealand considers most of its </w:t>
            </w:r>
            <w:r w:rsidRPr="001D5327">
              <w:rPr>
                <w:rFonts w:cstheme="minorHAnsi"/>
                <w:i/>
                <w:iCs/>
                <w:spacing w:val="-2"/>
              </w:rPr>
              <w:t>Settlements</w:t>
            </w:r>
            <w:r w:rsidRPr="001D5327">
              <w:rPr>
                <w:rFonts w:cstheme="minorHAnsi"/>
                <w:spacing w:val="-2"/>
              </w:rPr>
              <w:t xml:space="preserve"> area can be assimilated to </w:t>
            </w:r>
            <w:r w:rsidRPr="001D5327">
              <w:rPr>
                <w:rFonts w:cstheme="minorHAnsi"/>
                <w:i/>
                <w:iCs/>
                <w:spacing w:val="-2"/>
              </w:rPr>
              <w:t>Grassland</w:t>
            </w:r>
            <w:r w:rsidRPr="001D5327">
              <w:rPr>
                <w:rFonts w:cstheme="minorHAnsi"/>
                <w:spacing w:val="-2"/>
              </w:rPr>
              <w:t xml:space="preserve"> when it comes to soil carbon, the emission factors for </w:t>
            </w:r>
            <w:r w:rsidRPr="001D5327">
              <w:rPr>
                <w:rFonts w:cstheme="minorHAnsi"/>
                <w:i/>
                <w:iCs/>
                <w:spacing w:val="-2"/>
              </w:rPr>
              <w:t>Grassland</w:t>
            </w:r>
            <w:r w:rsidRPr="001D5327">
              <w:rPr>
                <w:rFonts w:cstheme="minorHAnsi"/>
                <w:spacing w:val="-2"/>
              </w:rPr>
              <w:t xml:space="preserve"> should be applied to </w:t>
            </w:r>
            <w:r w:rsidRPr="001D5327">
              <w:rPr>
                <w:rFonts w:cstheme="minorHAnsi"/>
                <w:i/>
                <w:iCs/>
                <w:spacing w:val="-2"/>
              </w:rPr>
              <w:t>Settlements</w:t>
            </w:r>
            <w:r w:rsidRPr="001D5327">
              <w:rPr>
                <w:rFonts w:cstheme="minorHAnsi"/>
                <w:spacing w:val="-2"/>
              </w:rPr>
              <w:t>. For this submission, these emissions have been calculated but not included in the CRT or emission totals. For more information, see chapter 6, section 6.8.6.</w:t>
            </w:r>
          </w:p>
        </w:tc>
      </w:tr>
      <w:tr w:rsidR="00281DE2" w:rsidRPr="001D5327" w14:paraId="30406B08" w14:textId="77777777" w:rsidTr="002C45EC">
        <w:tc>
          <w:tcPr>
            <w:tcW w:w="851" w:type="dxa"/>
            <w:shd w:val="clear" w:color="auto" w:fill="FFFFFF" w:themeFill="background1"/>
            <w:tcMar>
              <w:top w:w="0" w:type="dxa"/>
              <w:left w:w="85" w:type="dxa"/>
              <w:bottom w:w="0" w:type="dxa"/>
              <w:right w:w="85" w:type="dxa"/>
            </w:tcMar>
          </w:tcPr>
          <w:p w14:paraId="6AFF269D"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L.19</w:t>
            </w:r>
          </w:p>
        </w:tc>
        <w:tc>
          <w:tcPr>
            <w:tcW w:w="2128" w:type="dxa"/>
            <w:shd w:val="clear" w:color="auto" w:fill="FFFFFF" w:themeFill="background1"/>
            <w:tcMar>
              <w:top w:w="0" w:type="dxa"/>
              <w:left w:w="85" w:type="dxa"/>
              <w:bottom w:w="0" w:type="dxa"/>
              <w:right w:w="85" w:type="dxa"/>
            </w:tcMar>
          </w:tcPr>
          <w:p w14:paraId="59793A56"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4(IV) Indirect N₂O emissions from managed soils – N₂O (L.25, 2021) (L.31, 2019) Completeness</w:t>
            </w:r>
          </w:p>
        </w:tc>
        <w:tc>
          <w:tcPr>
            <w:tcW w:w="3685" w:type="dxa"/>
            <w:shd w:val="clear" w:color="auto" w:fill="FFFFFF" w:themeFill="background1"/>
            <w:tcMar>
              <w:top w:w="0" w:type="dxa"/>
              <w:left w:w="85" w:type="dxa"/>
              <w:bottom w:w="0" w:type="dxa"/>
              <w:right w:w="85" w:type="dxa"/>
            </w:tcMar>
          </w:tcPr>
          <w:p w14:paraId="1ABFE543"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Report indirect N₂O emissions from leaching and run-off of N mineralization associated with SOC losses in mineral soils in CRF table 4(IV).</w:t>
            </w:r>
          </w:p>
        </w:tc>
        <w:tc>
          <w:tcPr>
            <w:tcW w:w="4253" w:type="dxa"/>
            <w:shd w:val="clear" w:color="auto" w:fill="FFFFFF" w:themeFill="background1"/>
            <w:tcMar>
              <w:top w:w="0" w:type="dxa"/>
              <w:left w:w="85" w:type="dxa"/>
              <w:bottom w:w="0" w:type="dxa"/>
              <w:right w:w="85" w:type="dxa"/>
            </w:tcMar>
          </w:tcPr>
          <w:p w14:paraId="4ECB0405"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Resolved. The Party reported in CRF table 4(IV) indirect N₂O emissions from leaching and run-off for all land-use categories other than cropland remaining cropland.</w:t>
            </w:r>
          </w:p>
        </w:tc>
        <w:tc>
          <w:tcPr>
            <w:tcW w:w="3062" w:type="dxa"/>
            <w:shd w:val="clear" w:color="auto" w:fill="FFFFFF" w:themeFill="background1"/>
            <w:tcMar>
              <w:left w:w="85" w:type="dxa"/>
              <w:right w:w="85" w:type="dxa"/>
            </w:tcMar>
          </w:tcPr>
          <w:p w14:paraId="5D6614FF"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798656B9" w14:textId="77777777" w:rsidTr="002C45EC">
        <w:tc>
          <w:tcPr>
            <w:tcW w:w="851" w:type="dxa"/>
            <w:shd w:val="clear" w:color="auto" w:fill="FFFFFF" w:themeFill="background1"/>
            <w:tcMar>
              <w:top w:w="0" w:type="dxa"/>
              <w:left w:w="85" w:type="dxa"/>
              <w:bottom w:w="0" w:type="dxa"/>
              <w:right w:w="85" w:type="dxa"/>
            </w:tcMar>
          </w:tcPr>
          <w:p w14:paraId="3256D711"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L.20</w:t>
            </w:r>
          </w:p>
        </w:tc>
        <w:tc>
          <w:tcPr>
            <w:tcW w:w="2128" w:type="dxa"/>
            <w:shd w:val="clear" w:color="auto" w:fill="FFFFFF" w:themeFill="background1"/>
            <w:tcMar>
              <w:top w:w="0" w:type="dxa"/>
              <w:left w:w="85" w:type="dxa"/>
              <w:bottom w:w="0" w:type="dxa"/>
              <w:right w:w="85" w:type="dxa"/>
            </w:tcMar>
          </w:tcPr>
          <w:p w14:paraId="488573C1"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4(V) Biomass burning – CO₂ (L.28, 2021) Transparency</w:t>
            </w:r>
          </w:p>
        </w:tc>
        <w:tc>
          <w:tcPr>
            <w:tcW w:w="3685" w:type="dxa"/>
            <w:shd w:val="clear" w:color="auto" w:fill="FFFFFF" w:themeFill="background1"/>
            <w:tcMar>
              <w:top w:w="0" w:type="dxa"/>
              <w:left w:w="85" w:type="dxa"/>
              <w:bottom w:w="0" w:type="dxa"/>
              <w:right w:w="85" w:type="dxa"/>
            </w:tcMar>
          </w:tcPr>
          <w:p w14:paraId="42B67F04"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Transparently describe in the NIR how CO₂ emissions from wildfires are captured in the estimates for planted forests by the general stock change calculation, specifying in particular what share of salvage logging is assumed, whether it is entirely or partly deducted from the estimated ‘non-salvage’ harvest area, and whether age distribution is impacted by wildfire.</w:t>
            </w:r>
          </w:p>
        </w:tc>
        <w:tc>
          <w:tcPr>
            <w:tcW w:w="4253" w:type="dxa"/>
            <w:shd w:val="clear" w:color="auto" w:fill="FFFFFF" w:themeFill="background1"/>
            <w:tcMar>
              <w:top w:w="0" w:type="dxa"/>
              <w:left w:w="85" w:type="dxa"/>
              <w:bottom w:w="0" w:type="dxa"/>
              <w:right w:w="85" w:type="dxa"/>
            </w:tcMar>
          </w:tcPr>
          <w:p w14:paraId="6E33965D"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Resolved. The Party reported in its NIR (p.297) that CO₂ emissions from wildfires in forest land remaining forest land are included in the general stock change calculation. In forest land remaining forest land, burned stands are either harvested (so emissions are included with the harvesting emissions) or left to grow at reduced stocking. For both natural and planted forests, emissions from areas burned are captured within the forest plot networks that New Zealand uses to estimate CSC. In these cases, to avoid double counting of CO₂ emissions, “IE” is reported in CRF table 4(V).</w:t>
            </w:r>
          </w:p>
        </w:tc>
        <w:tc>
          <w:tcPr>
            <w:tcW w:w="3062" w:type="dxa"/>
            <w:shd w:val="clear" w:color="auto" w:fill="FFFFFF" w:themeFill="background1"/>
            <w:tcMar>
              <w:left w:w="85" w:type="dxa"/>
              <w:right w:w="85" w:type="dxa"/>
            </w:tcMar>
          </w:tcPr>
          <w:p w14:paraId="4C1C6CCA"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3911E649" w14:textId="77777777" w:rsidTr="002C45EC">
        <w:tc>
          <w:tcPr>
            <w:tcW w:w="851" w:type="dxa"/>
            <w:shd w:val="clear" w:color="auto" w:fill="FFFFFF" w:themeFill="background1"/>
            <w:tcMar>
              <w:top w:w="0" w:type="dxa"/>
              <w:left w:w="85" w:type="dxa"/>
              <w:bottom w:w="0" w:type="dxa"/>
              <w:right w:w="85" w:type="dxa"/>
            </w:tcMar>
          </w:tcPr>
          <w:p w14:paraId="31B9F324"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L.21</w:t>
            </w:r>
          </w:p>
        </w:tc>
        <w:tc>
          <w:tcPr>
            <w:tcW w:w="2128" w:type="dxa"/>
            <w:shd w:val="clear" w:color="auto" w:fill="FFFFFF" w:themeFill="background1"/>
            <w:tcMar>
              <w:top w:w="0" w:type="dxa"/>
              <w:left w:w="85" w:type="dxa"/>
              <w:bottom w:w="0" w:type="dxa"/>
              <w:right w:w="85" w:type="dxa"/>
            </w:tcMar>
          </w:tcPr>
          <w:p w14:paraId="45B17056"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4(V) Biomass burning – N₂O (L.29, 2021) Transparency</w:t>
            </w:r>
          </w:p>
        </w:tc>
        <w:tc>
          <w:tcPr>
            <w:tcW w:w="3685" w:type="dxa"/>
            <w:shd w:val="clear" w:color="auto" w:fill="FFFFFF" w:themeFill="background1"/>
            <w:tcMar>
              <w:top w:w="0" w:type="dxa"/>
              <w:left w:w="85" w:type="dxa"/>
              <w:bottom w:w="0" w:type="dxa"/>
              <w:right w:w="85" w:type="dxa"/>
            </w:tcMar>
          </w:tcPr>
          <w:p w14:paraId="432F7F4A"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Provide explanations in the NIR on how the Fire and Emergency New Zealand database is fed, whether by remote sensing data or field reports, together with information on the time series of annually burned area.</w:t>
            </w:r>
          </w:p>
        </w:tc>
        <w:tc>
          <w:tcPr>
            <w:tcW w:w="4253" w:type="dxa"/>
            <w:shd w:val="clear" w:color="auto" w:fill="FFFFFF" w:themeFill="background1"/>
            <w:tcMar>
              <w:top w:w="0" w:type="dxa"/>
              <w:left w:w="85" w:type="dxa"/>
              <w:bottom w:w="0" w:type="dxa"/>
              <w:right w:w="85" w:type="dxa"/>
            </w:tcMar>
          </w:tcPr>
          <w:p w14:paraId="103310E1"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Resolved. The Party reported in its NIR (p.298) that wildfire AD are sourced from Fire and Emergency New Zealand, which maintains a database in which wildfire events are recorded. Historically, burned areas were estimated and allocated by field staff by vegetation type: grass, tussock, gorse, scrub, wetlands, plantation forest and indigenous forest. The process was updated in 2017 and now involves mapping the burned area and overlaying land-cover categories to identify vegetation types. The ERT noted that a reference to the online information on wildfire compiled by Fire and Emergency New Zealand would further enhance the transparency of the inventory.</w:t>
            </w:r>
          </w:p>
        </w:tc>
        <w:tc>
          <w:tcPr>
            <w:tcW w:w="3062" w:type="dxa"/>
            <w:shd w:val="clear" w:color="auto" w:fill="FFFFFF" w:themeFill="background1"/>
            <w:tcMar>
              <w:left w:w="85" w:type="dxa"/>
              <w:right w:w="85" w:type="dxa"/>
            </w:tcMar>
          </w:tcPr>
          <w:p w14:paraId="121B36CC"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5EA18328" w14:textId="77777777" w:rsidTr="002C45EC">
        <w:tc>
          <w:tcPr>
            <w:tcW w:w="851" w:type="dxa"/>
            <w:shd w:val="clear" w:color="auto" w:fill="FFFFFF" w:themeFill="background1"/>
            <w:tcMar>
              <w:top w:w="0" w:type="dxa"/>
              <w:left w:w="85" w:type="dxa"/>
              <w:bottom w:w="0" w:type="dxa"/>
              <w:right w:w="85" w:type="dxa"/>
            </w:tcMar>
          </w:tcPr>
          <w:p w14:paraId="7EBC3E81" w14:textId="77777777" w:rsidR="007C5A34" w:rsidRPr="001D5327" w:rsidRDefault="007C5A34" w:rsidP="001B6890">
            <w:pPr>
              <w:pStyle w:val="TableText"/>
              <w:keepNext/>
              <w:spacing w:before="40" w:after="40"/>
              <w:rPr>
                <w:rFonts w:cstheme="minorHAnsi"/>
                <w:spacing w:val="-2"/>
              </w:rPr>
            </w:pPr>
            <w:r w:rsidRPr="001D5327">
              <w:rPr>
                <w:rFonts w:eastAsia="Calibri" w:cstheme="minorHAnsi"/>
                <w:color w:val="000000"/>
                <w:spacing w:val="-2"/>
              </w:rPr>
              <w:t>Waste</w:t>
            </w:r>
          </w:p>
        </w:tc>
        <w:tc>
          <w:tcPr>
            <w:tcW w:w="2128" w:type="dxa"/>
            <w:shd w:val="clear" w:color="auto" w:fill="FFFFFF" w:themeFill="background1"/>
            <w:tcMar>
              <w:top w:w="0" w:type="dxa"/>
              <w:left w:w="85" w:type="dxa"/>
              <w:bottom w:w="0" w:type="dxa"/>
              <w:right w:w="85" w:type="dxa"/>
            </w:tcMar>
          </w:tcPr>
          <w:p w14:paraId="16B6DFB7" w14:textId="77777777" w:rsidR="007C5A34" w:rsidRPr="001D5327" w:rsidRDefault="007C5A34" w:rsidP="00341FEF">
            <w:pPr>
              <w:pStyle w:val="TableText"/>
              <w:spacing w:before="40" w:after="40"/>
              <w:rPr>
                <w:rFonts w:cstheme="minorHAnsi"/>
                <w:spacing w:val="-2"/>
              </w:rPr>
            </w:pPr>
          </w:p>
        </w:tc>
        <w:tc>
          <w:tcPr>
            <w:tcW w:w="3685" w:type="dxa"/>
            <w:shd w:val="clear" w:color="auto" w:fill="FFFFFF" w:themeFill="background1"/>
            <w:tcMar>
              <w:top w:w="0" w:type="dxa"/>
              <w:left w:w="85" w:type="dxa"/>
              <w:bottom w:w="0" w:type="dxa"/>
              <w:right w:w="85" w:type="dxa"/>
            </w:tcMar>
          </w:tcPr>
          <w:p w14:paraId="00B124E9" w14:textId="77777777" w:rsidR="007C5A34" w:rsidRPr="001D5327" w:rsidRDefault="007C5A34" w:rsidP="00341FEF">
            <w:pPr>
              <w:pStyle w:val="TableText"/>
              <w:spacing w:before="40" w:after="40"/>
              <w:rPr>
                <w:rFonts w:cstheme="minorHAnsi"/>
                <w:spacing w:val="-2"/>
              </w:rPr>
            </w:pPr>
          </w:p>
        </w:tc>
        <w:tc>
          <w:tcPr>
            <w:tcW w:w="4253" w:type="dxa"/>
            <w:shd w:val="clear" w:color="auto" w:fill="FFFFFF" w:themeFill="background1"/>
            <w:tcMar>
              <w:top w:w="0" w:type="dxa"/>
              <w:left w:w="85" w:type="dxa"/>
              <w:bottom w:w="0" w:type="dxa"/>
              <w:right w:w="85" w:type="dxa"/>
            </w:tcMar>
          </w:tcPr>
          <w:p w14:paraId="26E19F51" w14:textId="77777777" w:rsidR="007C5A34" w:rsidRPr="001D5327" w:rsidRDefault="007C5A34" w:rsidP="00341FEF">
            <w:pPr>
              <w:pStyle w:val="TableText"/>
              <w:spacing w:before="40" w:after="40"/>
              <w:rPr>
                <w:rFonts w:cstheme="minorHAnsi"/>
                <w:spacing w:val="-2"/>
              </w:rPr>
            </w:pPr>
          </w:p>
        </w:tc>
        <w:tc>
          <w:tcPr>
            <w:tcW w:w="3062" w:type="dxa"/>
            <w:shd w:val="clear" w:color="auto" w:fill="FFFFFF" w:themeFill="background1"/>
            <w:tcMar>
              <w:left w:w="85" w:type="dxa"/>
              <w:right w:w="85" w:type="dxa"/>
            </w:tcMar>
          </w:tcPr>
          <w:p w14:paraId="38A9A165" w14:textId="77777777" w:rsidR="007C5A34" w:rsidRPr="001D5327" w:rsidRDefault="007C5A34" w:rsidP="00341FEF">
            <w:pPr>
              <w:pStyle w:val="TableText"/>
              <w:spacing w:before="40" w:after="40"/>
              <w:rPr>
                <w:rFonts w:cstheme="minorHAnsi"/>
                <w:spacing w:val="-2"/>
              </w:rPr>
            </w:pPr>
          </w:p>
        </w:tc>
      </w:tr>
      <w:tr w:rsidR="00281DE2" w:rsidRPr="001D5327" w14:paraId="47020920" w14:textId="77777777" w:rsidTr="002C45EC">
        <w:tc>
          <w:tcPr>
            <w:tcW w:w="851" w:type="dxa"/>
            <w:shd w:val="clear" w:color="auto" w:fill="FFFFFF" w:themeFill="background1"/>
            <w:tcMar>
              <w:top w:w="0" w:type="dxa"/>
              <w:left w:w="85" w:type="dxa"/>
              <w:bottom w:w="0" w:type="dxa"/>
              <w:right w:w="85" w:type="dxa"/>
            </w:tcMar>
          </w:tcPr>
          <w:p w14:paraId="7531876B"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W.1</w:t>
            </w:r>
          </w:p>
        </w:tc>
        <w:tc>
          <w:tcPr>
            <w:tcW w:w="2128" w:type="dxa"/>
            <w:shd w:val="clear" w:color="auto" w:fill="FFFFFF" w:themeFill="background1"/>
            <w:tcMar>
              <w:top w:w="0" w:type="dxa"/>
              <w:left w:w="85" w:type="dxa"/>
              <w:bottom w:w="0" w:type="dxa"/>
              <w:right w:w="85" w:type="dxa"/>
            </w:tcMar>
          </w:tcPr>
          <w:p w14:paraId="082517AC"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5. General (waste) – CO₂ (W.1, 2021) (W.17, 2019) Transparency</w:t>
            </w:r>
          </w:p>
        </w:tc>
        <w:tc>
          <w:tcPr>
            <w:tcW w:w="3685" w:type="dxa"/>
            <w:shd w:val="clear" w:color="auto" w:fill="FFFFFF" w:themeFill="background1"/>
            <w:tcMar>
              <w:top w:w="0" w:type="dxa"/>
              <w:left w:w="85" w:type="dxa"/>
              <w:bottom w:w="0" w:type="dxa"/>
              <w:right w:w="85" w:type="dxa"/>
            </w:tcMar>
          </w:tcPr>
          <w:p w14:paraId="1209E872"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Include more information on current waste management, such as an overview of MSW generation and its treatment method (recycling, composting, incineration or disposal) in NIR section 7.1.1, and its impact on the composition of waste disposed to landfill.</w:t>
            </w:r>
          </w:p>
        </w:tc>
        <w:tc>
          <w:tcPr>
            <w:tcW w:w="4253" w:type="dxa"/>
            <w:shd w:val="clear" w:color="auto" w:fill="FFFFFF" w:themeFill="background1"/>
            <w:tcMar>
              <w:top w:w="0" w:type="dxa"/>
              <w:left w:w="85" w:type="dxa"/>
              <w:bottom w:w="0" w:type="dxa"/>
              <w:right w:w="85" w:type="dxa"/>
            </w:tcMar>
          </w:tcPr>
          <w:p w14:paraId="2127116B"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Not resolved. The previous ERT noted that the Party did not indicate how management practices impact the composition of waste disposed to landfill. During the review, the Party indicated that no changes were made to NIR section 7.1.1 compared with the 2021 submission.</w:t>
            </w:r>
          </w:p>
        </w:tc>
        <w:tc>
          <w:tcPr>
            <w:tcW w:w="3062" w:type="dxa"/>
            <w:shd w:val="clear" w:color="auto" w:fill="FFFFFF" w:themeFill="background1"/>
            <w:tcMar>
              <w:left w:w="85" w:type="dxa"/>
              <w:right w:w="85" w:type="dxa"/>
            </w:tcMar>
          </w:tcPr>
          <w:p w14:paraId="72D3EB98" w14:textId="77777777" w:rsidR="007C5A34" w:rsidRPr="001D5327" w:rsidRDefault="007C5A34" w:rsidP="00341FEF">
            <w:pPr>
              <w:pStyle w:val="TableText"/>
              <w:spacing w:before="40" w:after="40"/>
              <w:rPr>
                <w:rFonts w:eastAsia="Calibri"/>
                <w:color w:val="000000"/>
                <w:spacing w:val="-2"/>
              </w:rPr>
            </w:pPr>
            <w:r w:rsidRPr="001D5327">
              <w:rPr>
                <w:bCs/>
                <w:spacing w:val="-2"/>
              </w:rPr>
              <w:t>Addressing</w:t>
            </w:r>
            <w:r w:rsidRPr="001D5327">
              <w:rPr>
                <w:spacing w:val="-2"/>
              </w:rPr>
              <w:t xml:space="preserve">. New Zealand is in the process of collecting quantitative and qualitative data to improve the information provided under chapter 7, section 7.1.1, regarding the impact of waste management practices on the composition of waste disposed to landfills. This information is being collected through the implementation of New Zealand’s first emissions reduction plan (Ministry for the </w:t>
            </w:r>
            <w:r w:rsidRPr="001D5327">
              <w:rPr>
                <w:spacing w:val="-2"/>
              </w:rPr>
              <w:lastRenderedPageBreak/>
              <w:t>Environment, 2022) and it is expected to be available for inclusion in a future submission.</w:t>
            </w:r>
          </w:p>
        </w:tc>
      </w:tr>
      <w:tr w:rsidR="00281DE2" w:rsidRPr="001D5327" w14:paraId="63AB0C79" w14:textId="77777777" w:rsidTr="002C45EC">
        <w:tc>
          <w:tcPr>
            <w:tcW w:w="851" w:type="dxa"/>
            <w:shd w:val="clear" w:color="auto" w:fill="FFFFFF" w:themeFill="background1"/>
            <w:tcMar>
              <w:top w:w="0" w:type="dxa"/>
              <w:left w:w="85" w:type="dxa"/>
              <w:bottom w:w="0" w:type="dxa"/>
              <w:right w:w="85" w:type="dxa"/>
            </w:tcMar>
          </w:tcPr>
          <w:p w14:paraId="3424E179"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lastRenderedPageBreak/>
              <w:t>W.2</w:t>
            </w:r>
          </w:p>
        </w:tc>
        <w:tc>
          <w:tcPr>
            <w:tcW w:w="2128" w:type="dxa"/>
            <w:shd w:val="clear" w:color="auto" w:fill="FFFFFF" w:themeFill="background1"/>
            <w:tcMar>
              <w:top w:w="0" w:type="dxa"/>
              <w:left w:w="85" w:type="dxa"/>
              <w:bottom w:w="0" w:type="dxa"/>
              <w:right w:w="85" w:type="dxa"/>
            </w:tcMar>
          </w:tcPr>
          <w:p w14:paraId="05EAB86D"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5.A Solid waste disposal on land – CH₄ (W.3, 2021) (W.4, 2019) (W.5, 2017) (W.4, 2016) (W.7, 2015) Accuracy</w:t>
            </w:r>
          </w:p>
        </w:tc>
        <w:tc>
          <w:tcPr>
            <w:tcW w:w="3685" w:type="dxa"/>
            <w:shd w:val="clear" w:color="auto" w:fill="FFFFFF" w:themeFill="background1"/>
            <w:tcMar>
              <w:top w:w="0" w:type="dxa"/>
              <w:left w:w="85" w:type="dxa"/>
              <w:bottom w:w="0" w:type="dxa"/>
              <w:right w:w="85" w:type="dxa"/>
            </w:tcMar>
          </w:tcPr>
          <w:p w14:paraId="18B1DC6E"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Provide substantive justification for the country-specific values for CH₄ recovery efficiency, including justification for the factors that can enhance the recovery, or revise the estimates for CH₄ recovery at SWDS for which metered data are not available to 20 per cent, in order to be consistent with the 2006 IPCC Guidelines.</w:t>
            </w:r>
          </w:p>
        </w:tc>
        <w:tc>
          <w:tcPr>
            <w:tcW w:w="4253" w:type="dxa"/>
            <w:shd w:val="clear" w:color="auto" w:fill="FFFFFF" w:themeFill="background1"/>
            <w:tcMar>
              <w:top w:w="0" w:type="dxa"/>
              <w:left w:w="85" w:type="dxa"/>
              <w:bottom w:w="0" w:type="dxa"/>
              <w:right w:w="85" w:type="dxa"/>
            </w:tcMar>
          </w:tcPr>
          <w:p w14:paraId="7A622F97"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Resolved. The Party provided in its NIR (p.318) a reference to an unpublished study in which these country-specific values on CH₄ recovery are justified (see ID# W.12 in table 5).</w:t>
            </w:r>
          </w:p>
        </w:tc>
        <w:tc>
          <w:tcPr>
            <w:tcW w:w="3062" w:type="dxa"/>
            <w:shd w:val="clear" w:color="auto" w:fill="FFFFFF" w:themeFill="background1"/>
            <w:tcMar>
              <w:left w:w="85" w:type="dxa"/>
              <w:right w:w="85" w:type="dxa"/>
            </w:tcMar>
          </w:tcPr>
          <w:p w14:paraId="23C8A693"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5B86BDA1" w14:textId="77777777" w:rsidTr="002C45EC">
        <w:tc>
          <w:tcPr>
            <w:tcW w:w="851" w:type="dxa"/>
            <w:shd w:val="clear" w:color="auto" w:fill="FFFFFF" w:themeFill="background1"/>
            <w:tcMar>
              <w:top w:w="0" w:type="dxa"/>
              <w:left w:w="85" w:type="dxa"/>
              <w:bottom w:w="0" w:type="dxa"/>
              <w:right w:w="85" w:type="dxa"/>
            </w:tcMar>
          </w:tcPr>
          <w:p w14:paraId="340A6B34"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W.3</w:t>
            </w:r>
          </w:p>
        </w:tc>
        <w:tc>
          <w:tcPr>
            <w:tcW w:w="2128" w:type="dxa"/>
            <w:shd w:val="clear" w:color="auto" w:fill="FFFFFF" w:themeFill="background1"/>
            <w:tcMar>
              <w:top w:w="0" w:type="dxa"/>
              <w:left w:w="85" w:type="dxa"/>
              <w:bottom w:w="0" w:type="dxa"/>
              <w:right w:w="85" w:type="dxa"/>
            </w:tcMar>
          </w:tcPr>
          <w:p w14:paraId="0EBF7D4A"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5.A Solid waste disposal on land – CH₄ (W.13, 2021) Transparency</w:t>
            </w:r>
          </w:p>
        </w:tc>
        <w:tc>
          <w:tcPr>
            <w:tcW w:w="3685" w:type="dxa"/>
            <w:shd w:val="clear" w:color="auto" w:fill="FFFFFF" w:themeFill="background1"/>
            <w:tcMar>
              <w:top w:w="0" w:type="dxa"/>
              <w:left w:w="85" w:type="dxa"/>
              <w:bottom w:w="0" w:type="dxa"/>
              <w:right w:w="85" w:type="dxa"/>
            </w:tcMar>
          </w:tcPr>
          <w:p w14:paraId="633639BA"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Include information in the NIR on the consolidation of MSW landfill sites – from numerous small and poorly managed to fewer large-scale and well-managed landfills – and any additional information on the changing trends in waste generation and waste management in the country.</w:t>
            </w:r>
          </w:p>
        </w:tc>
        <w:tc>
          <w:tcPr>
            <w:tcW w:w="4253" w:type="dxa"/>
            <w:shd w:val="clear" w:color="auto" w:fill="FFFFFF" w:themeFill="background1"/>
            <w:tcMar>
              <w:top w:w="0" w:type="dxa"/>
              <w:left w:w="85" w:type="dxa"/>
              <w:bottom w:w="0" w:type="dxa"/>
              <w:right w:w="85" w:type="dxa"/>
            </w:tcMar>
          </w:tcPr>
          <w:p w14:paraId="3251771A"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Resolved. The Party provided in its NIR (p.308) an explanation of the waste policies that resulted in the disposal of solid waste to fewer larger and better managed landfills.</w:t>
            </w:r>
          </w:p>
        </w:tc>
        <w:tc>
          <w:tcPr>
            <w:tcW w:w="3062" w:type="dxa"/>
            <w:shd w:val="clear" w:color="auto" w:fill="FFFFFF" w:themeFill="background1"/>
            <w:tcMar>
              <w:left w:w="85" w:type="dxa"/>
              <w:right w:w="85" w:type="dxa"/>
            </w:tcMar>
          </w:tcPr>
          <w:p w14:paraId="7A52F4D0"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34692FEA" w14:textId="77777777" w:rsidTr="002C45EC">
        <w:tc>
          <w:tcPr>
            <w:tcW w:w="851" w:type="dxa"/>
            <w:shd w:val="clear" w:color="auto" w:fill="FFFFFF" w:themeFill="background1"/>
            <w:tcMar>
              <w:top w:w="0" w:type="dxa"/>
              <w:left w:w="85" w:type="dxa"/>
              <w:bottom w:w="0" w:type="dxa"/>
              <w:right w:w="85" w:type="dxa"/>
            </w:tcMar>
          </w:tcPr>
          <w:p w14:paraId="5B25C33F"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W.4</w:t>
            </w:r>
          </w:p>
        </w:tc>
        <w:tc>
          <w:tcPr>
            <w:tcW w:w="2128" w:type="dxa"/>
            <w:shd w:val="clear" w:color="auto" w:fill="FFFFFF" w:themeFill="background1"/>
            <w:tcMar>
              <w:top w:w="0" w:type="dxa"/>
              <w:left w:w="85" w:type="dxa"/>
              <w:bottom w:w="0" w:type="dxa"/>
              <w:right w:w="85" w:type="dxa"/>
            </w:tcMar>
          </w:tcPr>
          <w:p w14:paraId="52C02818"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5.A.3 Uncategorised waste disposal sites – CH₄ (W.14, 2021) Transparency</w:t>
            </w:r>
          </w:p>
        </w:tc>
        <w:tc>
          <w:tcPr>
            <w:tcW w:w="3685" w:type="dxa"/>
            <w:shd w:val="clear" w:color="auto" w:fill="FFFFFF" w:themeFill="background1"/>
            <w:tcMar>
              <w:top w:w="0" w:type="dxa"/>
              <w:left w:w="85" w:type="dxa"/>
              <w:bottom w:w="0" w:type="dxa"/>
              <w:right w:w="85" w:type="dxa"/>
            </w:tcMar>
          </w:tcPr>
          <w:p w14:paraId="30CF0340"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Provide additional information in NIR section 7.1.1 on current waste management practices, including a higher-resolution version of figure 7.1.1 and an overview of MSW generation and its treatment method (recycling, composting, incineration, or disposal), and the impact of such practices on the composition of waste disposed to landfill.</w:t>
            </w:r>
          </w:p>
        </w:tc>
        <w:tc>
          <w:tcPr>
            <w:tcW w:w="4253" w:type="dxa"/>
            <w:shd w:val="clear" w:color="auto" w:fill="FFFFFF" w:themeFill="background1"/>
            <w:tcMar>
              <w:top w:w="0" w:type="dxa"/>
              <w:left w:w="85" w:type="dxa"/>
              <w:bottom w:w="0" w:type="dxa"/>
              <w:right w:w="85" w:type="dxa"/>
            </w:tcMar>
          </w:tcPr>
          <w:p w14:paraId="10BC829F"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Addressing. The Party indicated that no changes were made to NIR figure 7.1.1 because the previous ERT was insufficiently explicit on what improvements would be useful for future reviews. According to the current ERT, figure 7.1.1 should be an introductory figure, allowing the reader to understand the main waste generation, pre-treatment and disposal methods and to assess completeness. The figure should preferably contain some quantitative information for a recent year (preferably the latest reported year of the annual submission). The figure may be simplified; intermediate actors (waste collectors, aggregators and redistributors) do not need to be included. Terms should be consistent with text in the NIR and in the 2006 IPCC Guidelines (e.g. MSW instead of residential households).</w:t>
            </w:r>
          </w:p>
        </w:tc>
        <w:tc>
          <w:tcPr>
            <w:tcW w:w="3062" w:type="dxa"/>
            <w:shd w:val="clear" w:color="auto" w:fill="FFFFFF" w:themeFill="background1"/>
            <w:tcMar>
              <w:left w:w="85" w:type="dxa"/>
              <w:right w:w="85" w:type="dxa"/>
            </w:tcMar>
          </w:tcPr>
          <w:p w14:paraId="2AEBD578" w14:textId="77777777" w:rsidR="007C5A34" w:rsidRPr="001D5327" w:rsidRDefault="007C5A34" w:rsidP="00341FEF">
            <w:pPr>
              <w:pStyle w:val="TableText"/>
              <w:spacing w:before="40" w:after="40"/>
              <w:rPr>
                <w:rFonts w:eastAsia="Calibri"/>
                <w:color w:val="000000"/>
                <w:spacing w:val="-2"/>
              </w:rPr>
            </w:pPr>
            <w:r w:rsidRPr="001D5327">
              <w:rPr>
                <w:bCs/>
                <w:spacing w:val="-2"/>
              </w:rPr>
              <w:t>Addressing</w:t>
            </w:r>
            <w:r w:rsidRPr="001D5327">
              <w:rPr>
                <w:spacing w:val="-2"/>
              </w:rPr>
              <w:t>. New Zealand is collecting quantitative and qualitative data to improve the resolution of figure 7.1.1 in chapter 7 regarding municipal waste disposal</w:t>
            </w:r>
            <w:r w:rsidRPr="001D5327" w:rsidDel="00E546A3">
              <w:rPr>
                <w:spacing w:val="-2"/>
              </w:rPr>
              <w:t xml:space="preserve"> </w:t>
            </w:r>
            <w:r w:rsidRPr="001D5327">
              <w:rPr>
                <w:spacing w:val="-2"/>
              </w:rPr>
              <w:t>generation and its treatment methods (recycling, composting, incineration or disposal). This information is being collected through the implementation of New Zealand’s first emissions reduction plan (Ministry for the Environment, 2022) and it is expected to be available for inclusion in a future submission.</w:t>
            </w:r>
          </w:p>
        </w:tc>
      </w:tr>
      <w:tr w:rsidR="00281DE2" w:rsidRPr="001D5327" w14:paraId="1C37B114" w14:textId="77777777" w:rsidTr="002C45EC">
        <w:tc>
          <w:tcPr>
            <w:tcW w:w="851" w:type="dxa"/>
            <w:shd w:val="clear" w:color="auto" w:fill="FFFFFF" w:themeFill="background1"/>
            <w:tcMar>
              <w:top w:w="0" w:type="dxa"/>
              <w:left w:w="85" w:type="dxa"/>
              <w:bottom w:w="0" w:type="dxa"/>
              <w:right w:w="85" w:type="dxa"/>
            </w:tcMar>
          </w:tcPr>
          <w:p w14:paraId="425FFD3F"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W.5</w:t>
            </w:r>
          </w:p>
        </w:tc>
        <w:tc>
          <w:tcPr>
            <w:tcW w:w="2128" w:type="dxa"/>
            <w:shd w:val="clear" w:color="auto" w:fill="FFFFFF" w:themeFill="background1"/>
            <w:tcMar>
              <w:top w:w="0" w:type="dxa"/>
              <w:left w:w="85" w:type="dxa"/>
              <w:bottom w:w="0" w:type="dxa"/>
              <w:right w:w="85" w:type="dxa"/>
            </w:tcMar>
          </w:tcPr>
          <w:p w14:paraId="77834089"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5.B.1 Composting – CH₄ (W.15, 2021) Convention reporting adherence</w:t>
            </w:r>
          </w:p>
        </w:tc>
        <w:tc>
          <w:tcPr>
            <w:tcW w:w="3685" w:type="dxa"/>
            <w:shd w:val="clear" w:color="auto" w:fill="FFFFFF" w:themeFill="background1"/>
            <w:tcMar>
              <w:top w:w="0" w:type="dxa"/>
              <w:left w:w="85" w:type="dxa"/>
              <w:bottom w:w="0" w:type="dxa"/>
              <w:right w:w="85" w:type="dxa"/>
            </w:tcMar>
          </w:tcPr>
          <w:p w14:paraId="014FC222"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Correct the text in the NIR (p.381) to refer to the correct number in table 7.2.3 (which reflects total MSW) and provide a description of the AD on composting used for the estimates.</w:t>
            </w:r>
          </w:p>
        </w:tc>
        <w:tc>
          <w:tcPr>
            <w:tcW w:w="4253" w:type="dxa"/>
            <w:shd w:val="clear" w:color="auto" w:fill="FFFFFF" w:themeFill="background1"/>
            <w:tcMar>
              <w:top w:w="0" w:type="dxa"/>
              <w:left w:w="85" w:type="dxa"/>
              <w:bottom w:w="0" w:type="dxa"/>
              <w:right w:w="85" w:type="dxa"/>
            </w:tcMar>
          </w:tcPr>
          <w:p w14:paraId="6BD7374A"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Resolved. The Party provided in its NIR (p.322) a reference to the correct NIR table 7.2.3 (solid waste deposited to municipal and uncategorized landfills from 1950 to 2020).</w:t>
            </w:r>
          </w:p>
        </w:tc>
        <w:tc>
          <w:tcPr>
            <w:tcW w:w="3062" w:type="dxa"/>
            <w:shd w:val="clear" w:color="auto" w:fill="FFFFFF" w:themeFill="background1"/>
            <w:tcMar>
              <w:left w:w="85" w:type="dxa"/>
              <w:right w:w="85" w:type="dxa"/>
            </w:tcMar>
          </w:tcPr>
          <w:p w14:paraId="3A7100C7"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6A2201C2" w14:textId="77777777" w:rsidTr="002C45EC">
        <w:tc>
          <w:tcPr>
            <w:tcW w:w="851" w:type="dxa"/>
            <w:shd w:val="clear" w:color="auto" w:fill="FFFFFF" w:themeFill="background1"/>
            <w:tcMar>
              <w:top w:w="0" w:type="dxa"/>
              <w:left w:w="85" w:type="dxa"/>
              <w:bottom w:w="0" w:type="dxa"/>
              <w:right w:w="85" w:type="dxa"/>
            </w:tcMar>
          </w:tcPr>
          <w:p w14:paraId="1F911D7D"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W.6</w:t>
            </w:r>
          </w:p>
        </w:tc>
        <w:tc>
          <w:tcPr>
            <w:tcW w:w="2128" w:type="dxa"/>
            <w:shd w:val="clear" w:color="auto" w:fill="FFFFFF" w:themeFill="background1"/>
            <w:tcMar>
              <w:top w:w="0" w:type="dxa"/>
              <w:left w:w="85" w:type="dxa"/>
              <w:bottom w:w="0" w:type="dxa"/>
              <w:right w:w="85" w:type="dxa"/>
            </w:tcMar>
          </w:tcPr>
          <w:p w14:paraId="1D251A5B"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5.C.1 Waste incineration – CO₂ (W.8, 2021) (W.21, 2019) Convention reporting adherence</w:t>
            </w:r>
          </w:p>
        </w:tc>
        <w:tc>
          <w:tcPr>
            <w:tcW w:w="3685" w:type="dxa"/>
            <w:shd w:val="clear" w:color="auto" w:fill="FFFFFF" w:themeFill="background1"/>
            <w:tcMar>
              <w:top w:w="0" w:type="dxa"/>
              <w:left w:w="85" w:type="dxa"/>
              <w:bottom w:w="0" w:type="dxa"/>
              <w:right w:w="85" w:type="dxa"/>
            </w:tcMar>
          </w:tcPr>
          <w:p w14:paraId="3370D5A6"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Investigate historical data on waste incineration in schools and revise the estimates, if appropriate.</w:t>
            </w:r>
          </w:p>
        </w:tc>
        <w:tc>
          <w:tcPr>
            <w:tcW w:w="4253" w:type="dxa"/>
            <w:shd w:val="clear" w:color="auto" w:fill="FFFFFF" w:themeFill="background1"/>
            <w:tcMar>
              <w:top w:w="0" w:type="dxa"/>
              <w:left w:w="85" w:type="dxa"/>
              <w:bottom w:w="0" w:type="dxa"/>
              <w:right w:w="85" w:type="dxa"/>
            </w:tcMar>
          </w:tcPr>
          <w:p w14:paraId="0AC10AD0"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 xml:space="preserve">Addressing. The Party reported the incineration of MSW (category 5.C.1) in CRF table 5.C as “NO”. The Party stated in the NIR (p.302) that MSW is generally not incinerated in New Zealand. The Party provided in annex 6 to the NIR an explanation of why emissions from waste incineration in schools are below the significance threshold. In annex 6.2 to the NIR, estimated emissions were reported to be 0.04 kt CO₂ eq/year, </w:t>
            </w:r>
            <w:r w:rsidRPr="001D5327">
              <w:rPr>
                <w:rFonts w:eastAsia="Calibri"/>
                <w:color w:val="000000" w:themeColor="text1"/>
                <w:spacing w:val="-2"/>
              </w:rPr>
              <w:lastRenderedPageBreak/>
              <w:t>which is less than 1 per cent of the significance threshold for 2020. It is unlikely that emissions in the past would have exceeded the significance thresholds in specific years of the time series 1990–2020. During the review, the Party clarified that it incorrectly reported “NE” under subcategory 5.C.2.2.a instead of subcategory 5.C.1.2.a in CRF Reporter. The ERT considers the use of “NE” for reporting under subcategory 5.C.1.2.a to be appropriate as emissions for this subcategory are below the significance threshold.</w:t>
            </w:r>
          </w:p>
        </w:tc>
        <w:tc>
          <w:tcPr>
            <w:tcW w:w="3062" w:type="dxa"/>
            <w:shd w:val="clear" w:color="auto" w:fill="FFFFFF" w:themeFill="background1"/>
            <w:tcMar>
              <w:left w:w="85" w:type="dxa"/>
              <w:right w:w="85" w:type="dxa"/>
            </w:tcMar>
          </w:tcPr>
          <w:p w14:paraId="2AC8884F" w14:textId="77777777" w:rsidR="007C5A34" w:rsidRPr="001D5327" w:rsidRDefault="007C5A34" w:rsidP="00341FEF">
            <w:pPr>
              <w:pStyle w:val="TableText"/>
              <w:spacing w:before="40" w:after="40"/>
              <w:rPr>
                <w:rFonts w:eastAsia="Calibri"/>
                <w:color w:val="000000"/>
                <w:spacing w:val="-2"/>
              </w:rPr>
            </w:pPr>
            <w:r w:rsidRPr="001D5327">
              <w:rPr>
                <w:bCs/>
                <w:spacing w:val="-2"/>
              </w:rPr>
              <w:lastRenderedPageBreak/>
              <w:t>Resolved</w:t>
            </w:r>
            <w:r w:rsidRPr="001D5327">
              <w:rPr>
                <w:spacing w:val="-2"/>
              </w:rPr>
              <w:t xml:space="preserve">. New Zealand has investigated historical data on waste incineration in schools. There is no additional data on the practice of incinerating waste in rural schools. New Zealand has corrected its reporting of this source in CRF table 5.C so </w:t>
            </w:r>
            <w:r w:rsidRPr="001D5327">
              <w:rPr>
                <w:spacing w:val="-2"/>
              </w:rPr>
              <w:lastRenderedPageBreak/>
              <w:t>that it is in accordance with the explanation provided in chapter 7.</w:t>
            </w:r>
          </w:p>
        </w:tc>
      </w:tr>
      <w:tr w:rsidR="00281DE2" w:rsidRPr="001D5327" w14:paraId="4C255EC4" w14:textId="77777777" w:rsidTr="002C45EC">
        <w:tc>
          <w:tcPr>
            <w:tcW w:w="851" w:type="dxa"/>
            <w:shd w:val="clear" w:color="auto" w:fill="FFFFFF" w:themeFill="background1"/>
            <w:tcMar>
              <w:top w:w="0" w:type="dxa"/>
              <w:left w:w="85" w:type="dxa"/>
              <w:bottom w:w="0" w:type="dxa"/>
              <w:right w:w="85" w:type="dxa"/>
            </w:tcMar>
          </w:tcPr>
          <w:p w14:paraId="35AA5F1F"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lastRenderedPageBreak/>
              <w:t>W.7</w:t>
            </w:r>
          </w:p>
        </w:tc>
        <w:tc>
          <w:tcPr>
            <w:tcW w:w="2128" w:type="dxa"/>
            <w:shd w:val="clear" w:color="auto" w:fill="FFFFFF" w:themeFill="background1"/>
            <w:tcMar>
              <w:top w:w="0" w:type="dxa"/>
              <w:left w:w="85" w:type="dxa"/>
              <w:bottom w:w="0" w:type="dxa"/>
              <w:right w:w="85" w:type="dxa"/>
            </w:tcMar>
          </w:tcPr>
          <w:p w14:paraId="640FF476"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5.C.1 Waste incineration – CO₂, CH₄ and N₂O (W.16, 2021) Transparency</w:t>
            </w:r>
          </w:p>
        </w:tc>
        <w:tc>
          <w:tcPr>
            <w:tcW w:w="3685" w:type="dxa"/>
            <w:shd w:val="clear" w:color="auto" w:fill="FFFFFF" w:themeFill="background1"/>
            <w:tcMar>
              <w:top w:w="0" w:type="dxa"/>
              <w:left w:w="85" w:type="dxa"/>
              <w:bottom w:w="0" w:type="dxa"/>
              <w:right w:w="85" w:type="dxa"/>
            </w:tcMar>
          </w:tcPr>
          <w:p w14:paraId="532248A7"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Include information in the NIR to clarify how clinical waste is defined in line with national circumstances.</w:t>
            </w:r>
          </w:p>
        </w:tc>
        <w:tc>
          <w:tcPr>
            <w:tcW w:w="4253" w:type="dxa"/>
            <w:shd w:val="clear" w:color="auto" w:fill="FFFFFF" w:themeFill="background1"/>
            <w:tcMar>
              <w:top w:w="0" w:type="dxa"/>
              <w:left w:w="85" w:type="dxa"/>
              <w:bottom w:w="0" w:type="dxa"/>
              <w:right w:w="85" w:type="dxa"/>
            </w:tcMar>
          </w:tcPr>
          <w:p w14:paraId="654A1D2F"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Resolved. In the NIR (section 7.4.1, p.323), New Zealand clarified the term clinical waste: “clinical wastes refers to a combination of clinical, medical and quarantine wastes”. The ERT considers that this definition of clinical waste is consistent with the terminology in the 2006 IPCC Guidelines.</w:t>
            </w:r>
          </w:p>
        </w:tc>
        <w:tc>
          <w:tcPr>
            <w:tcW w:w="3062" w:type="dxa"/>
            <w:shd w:val="clear" w:color="auto" w:fill="FFFFFF" w:themeFill="background1"/>
            <w:tcMar>
              <w:left w:w="85" w:type="dxa"/>
              <w:right w:w="85" w:type="dxa"/>
            </w:tcMar>
          </w:tcPr>
          <w:p w14:paraId="674E9134"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10218E63" w14:textId="77777777" w:rsidTr="002C45EC">
        <w:tc>
          <w:tcPr>
            <w:tcW w:w="851" w:type="dxa"/>
            <w:shd w:val="clear" w:color="auto" w:fill="FFFFFF" w:themeFill="background1"/>
            <w:tcMar>
              <w:top w:w="0" w:type="dxa"/>
              <w:left w:w="85" w:type="dxa"/>
              <w:bottom w:w="0" w:type="dxa"/>
              <w:right w:w="85" w:type="dxa"/>
            </w:tcMar>
          </w:tcPr>
          <w:p w14:paraId="50B16E1A"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W.8</w:t>
            </w:r>
          </w:p>
        </w:tc>
        <w:tc>
          <w:tcPr>
            <w:tcW w:w="2128" w:type="dxa"/>
            <w:shd w:val="clear" w:color="auto" w:fill="FFFFFF" w:themeFill="background1"/>
            <w:tcMar>
              <w:top w:w="0" w:type="dxa"/>
              <w:left w:w="85" w:type="dxa"/>
              <w:bottom w:w="0" w:type="dxa"/>
              <w:right w:w="85" w:type="dxa"/>
            </w:tcMar>
          </w:tcPr>
          <w:p w14:paraId="41D9C0AC"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5.C.2 Open burning of waste – CO₂, CH₄ and N₂O (W.17, 2021) Transparency</w:t>
            </w:r>
          </w:p>
        </w:tc>
        <w:tc>
          <w:tcPr>
            <w:tcW w:w="3685" w:type="dxa"/>
            <w:shd w:val="clear" w:color="auto" w:fill="FFFFFF" w:themeFill="background1"/>
            <w:tcMar>
              <w:top w:w="0" w:type="dxa"/>
              <w:left w:w="85" w:type="dxa"/>
              <w:bottom w:w="0" w:type="dxa"/>
              <w:right w:w="85" w:type="dxa"/>
            </w:tcMar>
          </w:tcPr>
          <w:p w14:paraId="59C16F88"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Clarify in the NIR that farm fills are disposed of in two different treatment pathways (i.e. under unmanaged landfill and under open burning) and that the AD for both pathways have the same value, and provide some basis on which to justify why the same value of AD is applied for both farms fills and open burning.</w:t>
            </w:r>
          </w:p>
        </w:tc>
        <w:tc>
          <w:tcPr>
            <w:tcW w:w="4253" w:type="dxa"/>
            <w:shd w:val="clear" w:color="auto" w:fill="FFFFFF" w:themeFill="background1"/>
            <w:tcMar>
              <w:top w:w="0" w:type="dxa"/>
              <w:left w:w="85" w:type="dxa"/>
              <w:bottom w:w="0" w:type="dxa"/>
              <w:right w:w="85" w:type="dxa"/>
            </w:tcMar>
          </w:tcPr>
          <w:p w14:paraId="6CE0A792"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Resolved. The Party described in the NIR (pp.312–313 and 325) the two treatment pathways for this uncollected waste, providing justification for assuming a 50:50 split between both treatment options in the absence of better information and expressing the need to understand the split.</w:t>
            </w:r>
          </w:p>
        </w:tc>
        <w:tc>
          <w:tcPr>
            <w:tcW w:w="3062" w:type="dxa"/>
            <w:shd w:val="clear" w:color="auto" w:fill="FFFFFF" w:themeFill="background1"/>
            <w:tcMar>
              <w:left w:w="85" w:type="dxa"/>
              <w:right w:w="85" w:type="dxa"/>
            </w:tcMar>
          </w:tcPr>
          <w:p w14:paraId="01896CDA"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r w:rsidR="00281DE2" w:rsidRPr="001D5327" w14:paraId="4B81CF0C" w14:textId="77777777" w:rsidTr="002C45EC">
        <w:tc>
          <w:tcPr>
            <w:tcW w:w="851" w:type="dxa"/>
            <w:shd w:val="clear" w:color="auto" w:fill="FFFFFF" w:themeFill="background1"/>
            <w:tcMar>
              <w:top w:w="0" w:type="dxa"/>
              <w:left w:w="85" w:type="dxa"/>
              <w:bottom w:w="0" w:type="dxa"/>
              <w:right w:w="85" w:type="dxa"/>
            </w:tcMar>
          </w:tcPr>
          <w:p w14:paraId="72601F5D"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W.9</w:t>
            </w:r>
          </w:p>
        </w:tc>
        <w:tc>
          <w:tcPr>
            <w:tcW w:w="2128" w:type="dxa"/>
            <w:shd w:val="clear" w:color="auto" w:fill="FFFFFF" w:themeFill="background1"/>
            <w:tcMar>
              <w:top w:w="0" w:type="dxa"/>
              <w:left w:w="85" w:type="dxa"/>
              <w:bottom w:w="0" w:type="dxa"/>
              <w:right w:w="85" w:type="dxa"/>
            </w:tcMar>
          </w:tcPr>
          <w:p w14:paraId="6CA02F5A"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5.D Wastewater treatment and discharge – N₂O (W.10, 2021) (W.22, 2019) Accuracy</w:t>
            </w:r>
          </w:p>
        </w:tc>
        <w:tc>
          <w:tcPr>
            <w:tcW w:w="3685" w:type="dxa"/>
            <w:shd w:val="clear" w:color="auto" w:fill="FFFFFF" w:themeFill="background1"/>
            <w:tcMar>
              <w:top w:w="0" w:type="dxa"/>
              <w:left w:w="85" w:type="dxa"/>
              <w:bottom w:w="0" w:type="dxa"/>
              <w:right w:w="85" w:type="dxa"/>
            </w:tcMar>
          </w:tcPr>
          <w:p w14:paraId="58457BF7"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Revise the reporting of N₂O emissions from industrial wastewater and sewage sludge applied to soils in the agriculture and waste chapters of the NIR and in CRF table 3.D, and explain any recalculations in the NIR.</w:t>
            </w:r>
          </w:p>
        </w:tc>
        <w:tc>
          <w:tcPr>
            <w:tcW w:w="4253" w:type="dxa"/>
            <w:shd w:val="clear" w:color="auto" w:fill="FFFFFF" w:themeFill="background1"/>
            <w:tcMar>
              <w:top w:w="0" w:type="dxa"/>
              <w:left w:w="85" w:type="dxa"/>
              <w:bottom w:w="0" w:type="dxa"/>
              <w:right w:w="85" w:type="dxa"/>
            </w:tcMar>
          </w:tcPr>
          <w:p w14:paraId="7CB19EB3"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Not resolved. During the review, the Party indicated that this is a low-priority issue owing to the expected small scale of emissions. Therefore, New Zealand has not yet taken action to address the recommendation.</w:t>
            </w:r>
          </w:p>
        </w:tc>
        <w:tc>
          <w:tcPr>
            <w:tcW w:w="3062" w:type="dxa"/>
            <w:shd w:val="clear" w:color="auto" w:fill="FFFFFF" w:themeFill="background1"/>
            <w:tcMar>
              <w:left w:w="85" w:type="dxa"/>
              <w:right w:w="85" w:type="dxa"/>
            </w:tcMar>
          </w:tcPr>
          <w:p w14:paraId="45222F6A"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 xml:space="preserve">Not resolved. It has not been prioritised due to the negligible emissions associated with sludge. </w:t>
            </w:r>
          </w:p>
        </w:tc>
      </w:tr>
      <w:tr w:rsidR="00281DE2" w:rsidRPr="001D5327" w14:paraId="3CE29752" w14:textId="77777777" w:rsidTr="002C45EC">
        <w:tc>
          <w:tcPr>
            <w:tcW w:w="851" w:type="dxa"/>
            <w:shd w:val="clear" w:color="auto" w:fill="FFFFFF" w:themeFill="background1"/>
            <w:tcMar>
              <w:top w:w="0" w:type="dxa"/>
              <w:left w:w="85" w:type="dxa"/>
              <w:bottom w:w="0" w:type="dxa"/>
              <w:right w:w="85" w:type="dxa"/>
            </w:tcMar>
          </w:tcPr>
          <w:p w14:paraId="4DF0DB85" w14:textId="77777777" w:rsidR="007C5A34" w:rsidRPr="001D5327" w:rsidRDefault="007C5A34" w:rsidP="00341FEF">
            <w:pPr>
              <w:pStyle w:val="TableText"/>
              <w:keepNext/>
              <w:spacing w:before="40" w:after="40"/>
              <w:rPr>
                <w:rFonts w:cstheme="minorHAnsi"/>
                <w:spacing w:val="-2"/>
              </w:rPr>
            </w:pPr>
            <w:r w:rsidRPr="001D5327">
              <w:rPr>
                <w:rFonts w:eastAsia="Calibri" w:cstheme="minorHAnsi"/>
                <w:color w:val="000000"/>
                <w:spacing w:val="-2"/>
              </w:rPr>
              <w:t>W.10</w:t>
            </w:r>
          </w:p>
        </w:tc>
        <w:tc>
          <w:tcPr>
            <w:tcW w:w="2128" w:type="dxa"/>
            <w:shd w:val="clear" w:color="auto" w:fill="FFFFFF" w:themeFill="background1"/>
            <w:tcMar>
              <w:top w:w="0" w:type="dxa"/>
              <w:left w:w="85" w:type="dxa"/>
              <w:bottom w:w="0" w:type="dxa"/>
              <w:right w:w="85" w:type="dxa"/>
            </w:tcMar>
          </w:tcPr>
          <w:p w14:paraId="2C226731"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5.D Wastewater treatment and discharge – CH₄ and N₂O (W.11, 2021) (W.23, 2019) Accuracy</w:t>
            </w:r>
          </w:p>
        </w:tc>
        <w:tc>
          <w:tcPr>
            <w:tcW w:w="3685" w:type="dxa"/>
            <w:shd w:val="clear" w:color="auto" w:fill="FFFFFF" w:themeFill="background1"/>
            <w:tcMar>
              <w:top w:w="0" w:type="dxa"/>
              <w:left w:w="85" w:type="dxa"/>
              <w:bottom w:w="0" w:type="dxa"/>
              <w:right w:w="85" w:type="dxa"/>
            </w:tcMar>
          </w:tcPr>
          <w:p w14:paraId="3EDD8F87"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Clarify and report consistent information on the final treatment or disposal of sludge, including incineration and disposal in municipal landfills; review the estimates; and explain any recalculations in the NIR.</w:t>
            </w:r>
          </w:p>
        </w:tc>
        <w:tc>
          <w:tcPr>
            <w:tcW w:w="4253" w:type="dxa"/>
            <w:shd w:val="clear" w:color="auto" w:fill="FFFFFF" w:themeFill="background1"/>
            <w:tcMar>
              <w:top w:w="0" w:type="dxa"/>
              <w:left w:w="85" w:type="dxa"/>
              <w:bottom w:w="0" w:type="dxa"/>
              <w:right w:w="85" w:type="dxa"/>
            </w:tcMar>
          </w:tcPr>
          <w:p w14:paraId="54D807E2"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Addressing. The Party did not report a clear and consistent overview of final treatment and disposal of sludge in the NIR. The ERT considers that the overview should provide information on all sludge treatment and removal options (reuse, landfilling, biological treatment, incineration), ensuring that the total amount of sludge treated is consistent with the total amount of biochemical oxygen demand removed as sludge in the calculation of emissions from wastewater treatment and discharge (see ID# W.15 in table 5).</w:t>
            </w:r>
          </w:p>
        </w:tc>
        <w:tc>
          <w:tcPr>
            <w:tcW w:w="3062" w:type="dxa"/>
            <w:shd w:val="clear" w:color="auto" w:fill="FFFFFF" w:themeFill="background1"/>
            <w:tcMar>
              <w:left w:w="85" w:type="dxa"/>
              <w:right w:w="85" w:type="dxa"/>
            </w:tcMar>
          </w:tcPr>
          <w:p w14:paraId="7EB33AC5"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 xml:space="preserve">Addressing. Volumes of sludge disposed of in managed landfills have been updated according to Eunomia (unpublished). Further improvements will be included a future submission. </w:t>
            </w:r>
          </w:p>
        </w:tc>
      </w:tr>
      <w:tr w:rsidR="00281DE2" w:rsidRPr="001D5327" w14:paraId="62CD165A" w14:textId="77777777" w:rsidTr="002C45EC">
        <w:tc>
          <w:tcPr>
            <w:tcW w:w="851" w:type="dxa"/>
            <w:shd w:val="clear" w:color="auto" w:fill="FFFFFF" w:themeFill="background1"/>
            <w:tcMar>
              <w:top w:w="0" w:type="dxa"/>
              <w:left w:w="85" w:type="dxa"/>
              <w:bottom w:w="0" w:type="dxa"/>
              <w:right w:w="85" w:type="dxa"/>
            </w:tcMar>
          </w:tcPr>
          <w:p w14:paraId="5BD3F316"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W.11</w:t>
            </w:r>
          </w:p>
        </w:tc>
        <w:tc>
          <w:tcPr>
            <w:tcW w:w="2128" w:type="dxa"/>
            <w:shd w:val="clear" w:color="auto" w:fill="FFFFFF" w:themeFill="background1"/>
            <w:tcMar>
              <w:top w:w="0" w:type="dxa"/>
              <w:left w:w="85" w:type="dxa"/>
              <w:bottom w:w="0" w:type="dxa"/>
              <w:right w:w="85" w:type="dxa"/>
            </w:tcMar>
          </w:tcPr>
          <w:p w14:paraId="6D218C13" w14:textId="77777777" w:rsidR="007C5A34" w:rsidRPr="001D5327" w:rsidRDefault="007C5A34" w:rsidP="00341FEF">
            <w:pPr>
              <w:pStyle w:val="TableText"/>
              <w:spacing w:before="40" w:after="40"/>
              <w:rPr>
                <w:rFonts w:cstheme="minorHAnsi"/>
                <w:spacing w:val="-2"/>
              </w:rPr>
            </w:pPr>
            <w:r w:rsidRPr="001D5327">
              <w:rPr>
                <w:rFonts w:eastAsia="Calibri" w:cstheme="minorHAnsi"/>
                <w:color w:val="000000"/>
                <w:spacing w:val="-2"/>
              </w:rPr>
              <w:t>5.D.2 Industrial wastewater – CH₄ (W.12, 2021) (W.24, 2019) Comparability</w:t>
            </w:r>
          </w:p>
        </w:tc>
        <w:tc>
          <w:tcPr>
            <w:tcW w:w="3685" w:type="dxa"/>
            <w:shd w:val="clear" w:color="auto" w:fill="FFFFFF" w:themeFill="background1"/>
            <w:tcMar>
              <w:top w:w="0" w:type="dxa"/>
              <w:left w:w="85" w:type="dxa"/>
              <w:bottom w:w="0" w:type="dxa"/>
              <w:right w:w="85" w:type="dxa"/>
            </w:tcMar>
          </w:tcPr>
          <w:p w14:paraId="3B07A31F"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Estimate and report the amount of CH₄ flared and for energy recovery, respectively, in CRF table 5.D, noting that the amount of CH₄ for energy recovery, if occurring, should probably be reported as “IE” in that table and the estimates reported under the energy sector.</w:t>
            </w:r>
          </w:p>
        </w:tc>
        <w:tc>
          <w:tcPr>
            <w:tcW w:w="4253" w:type="dxa"/>
            <w:shd w:val="clear" w:color="auto" w:fill="FFFFFF" w:themeFill="background1"/>
            <w:tcMar>
              <w:top w:w="0" w:type="dxa"/>
              <w:left w:w="85" w:type="dxa"/>
              <w:bottom w:w="0" w:type="dxa"/>
              <w:right w:w="85" w:type="dxa"/>
            </w:tcMar>
          </w:tcPr>
          <w:p w14:paraId="2F09BD98" w14:textId="77777777" w:rsidR="007C5A34" w:rsidRPr="001D5327" w:rsidRDefault="007C5A34" w:rsidP="00341FEF">
            <w:pPr>
              <w:pStyle w:val="TableText"/>
              <w:spacing w:before="40" w:after="40"/>
              <w:rPr>
                <w:spacing w:val="-2"/>
              </w:rPr>
            </w:pPr>
            <w:r w:rsidRPr="001D5327">
              <w:rPr>
                <w:rFonts w:eastAsia="Calibri"/>
                <w:color w:val="000000" w:themeColor="text1"/>
                <w:spacing w:val="-2"/>
              </w:rPr>
              <w:t>Resolved. The Party reported CH₄ flared as “NE” and CH₄ utilized for energy production as “IE” in CRF table 5.D. On the basis of a number of submissions from Parties included in Annex I to the Convention in a similar situation, the ERT considers that “NE” is appropriate for reporting CH₄ flared.</w:t>
            </w:r>
          </w:p>
        </w:tc>
        <w:tc>
          <w:tcPr>
            <w:tcW w:w="3062" w:type="dxa"/>
            <w:shd w:val="clear" w:color="auto" w:fill="FFFFFF" w:themeFill="background1"/>
            <w:tcMar>
              <w:left w:w="85" w:type="dxa"/>
              <w:right w:w="85" w:type="dxa"/>
            </w:tcMar>
          </w:tcPr>
          <w:p w14:paraId="23BB4830" w14:textId="77777777" w:rsidR="007C5A34" w:rsidRPr="001D5327" w:rsidRDefault="007C5A34" w:rsidP="00341FEF">
            <w:pPr>
              <w:pStyle w:val="TableText"/>
              <w:spacing w:before="40" w:after="40"/>
              <w:rPr>
                <w:rFonts w:eastAsia="Calibri" w:cstheme="minorHAnsi"/>
                <w:color w:val="000000"/>
                <w:spacing w:val="-2"/>
              </w:rPr>
            </w:pPr>
            <w:r w:rsidRPr="001D5327">
              <w:rPr>
                <w:rFonts w:cstheme="minorHAnsi"/>
                <w:spacing w:val="-2"/>
              </w:rPr>
              <w:t>NA</w:t>
            </w:r>
          </w:p>
        </w:tc>
      </w:tr>
    </w:tbl>
    <w:p w14:paraId="70DF6E62" w14:textId="5683262C" w:rsidR="007C5A34" w:rsidRPr="001D5327" w:rsidRDefault="007C5A34" w:rsidP="007C5A34">
      <w:pPr>
        <w:pStyle w:val="Noteundertable"/>
      </w:pPr>
      <w:r w:rsidRPr="001D5327">
        <w:rPr>
          <w:b/>
          <w:bCs/>
        </w:rPr>
        <w:lastRenderedPageBreak/>
        <w:t>Note</w:t>
      </w:r>
      <w:r w:rsidRPr="001D5327">
        <w:t xml:space="preserve">: </w:t>
      </w:r>
      <w:r w:rsidR="00471B48" w:rsidRPr="001D5327">
        <w:tab/>
      </w:r>
      <w:r w:rsidRPr="001D5327">
        <w:t>¹References in parentheses are to the paragraph(s) and the year(s) of the previous review report(s) in which the issue or problem was raised. Issues are identified in accordance with paras. 80–83 of the UNFCCC review guidelines and classified as per para. 81 of the same guidelines. Problems are identified and classified as problems of transparency, accuracy, consistency, completeness or comparability in accordance with para. 69 of the Article 8 review guidelines in conjunction with decision 4/CMP.11. AD = activity data; CH₄ = methane; CO₂ = carbon dioxide; CRF = common reporting format; CRT = common reporting table; CSC = carbon stock change; EF = emission factor; ERT = expert review team; eq = equivalent; GHG = greenhouse gas; HFCs = hydrofluorocarbons; IE = included elsewhere; IEF = implied emission factor; IPCC = Intergovernmental Panel on Climate Change; IPPU = Industrial Processes and Product Use; kg = kilogram; kt = kilotonne; l = litre; LUCAS = Land Use and Carbon Analysis System; LULUCF = Land Use, Land-Use Change and Forestry; m = metre; MSW = municipal waste disposal; N = nitrogen; NA = not available; NE = not estimated; NIR = National Inventory Report; NO = not occurring; N₂O = nitrous oxide; NZD = New Zealand dollars; PFCs = perfluorocarbons; QA/QC = quality assurance and quality control; SF6 = sulphur hexafluoride; SOC = soil organic carbon; SWDS = solid waste disposable sites; t = tonnes; UNFCCC = United Nations Framework Convention on Climate Change.</w:t>
      </w:r>
    </w:p>
    <w:p w14:paraId="469A90D3" w14:textId="77777777" w:rsidR="007C5A34" w:rsidRPr="001D5327" w:rsidRDefault="007C5A34" w:rsidP="007C5A34">
      <w:r w:rsidRPr="001D5327">
        <w:br w:type="page"/>
      </w:r>
    </w:p>
    <w:p w14:paraId="32B2C5CC" w14:textId="77777777" w:rsidR="007C5A34" w:rsidRPr="001D5327" w:rsidRDefault="007C5A34" w:rsidP="00906FE9">
      <w:pPr>
        <w:pStyle w:val="BodyText"/>
        <w:keepNext/>
        <w:spacing w:before="0"/>
      </w:pPr>
      <w:r w:rsidRPr="001D5327">
        <w:lastRenderedPageBreak/>
        <w:t xml:space="preserve">Table 5 of the report on the individual review of New Zealand’s greenhouse gas inventory submitted in 2022 (UNFCCC, 2023), which can be found </w:t>
      </w:r>
      <w:hyperlink r:id="rId269">
        <w:r w:rsidRPr="001D5327">
          <w:rPr>
            <w:rStyle w:val="Hyperlink"/>
          </w:rPr>
          <w:t>here</w:t>
        </w:r>
      </w:hyperlink>
      <w:r w:rsidRPr="001D5327">
        <w:t>, contains new recommendations related to the review of the 2022 submission. These recommendations, along with New Zealand’s latest responses to date, are detailed in table 10.3.2.</w:t>
      </w:r>
    </w:p>
    <w:p w14:paraId="0F5AE01B" w14:textId="77777777" w:rsidR="007C5A34" w:rsidRPr="001D5327" w:rsidRDefault="007C5A34" w:rsidP="007C5A34">
      <w:pPr>
        <w:pStyle w:val="Table"/>
      </w:pPr>
      <w:bookmarkStart w:id="3091" w:name="_Toc194241858"/>
      <w:r w:rsidRPr="001D5327">
        <w:t xml:space="preserve">Table 10.3.2 </w:t>
      </w:r>
      <w:r w:rsidRPr="001D5327">
        <w:tab/>
        <w:t>New Zealand’s response to the additional findings made during the individual review of the 2022 annual submission</w:t>
      </w:r>
      <w:bookmarkEnd w:id="3091"/>
    </w:p>
    <w:tbl>
      <w:tblPr>
        <w:tblW w:w="13994" w:type="dxa"/>
        <w:tblBorders>
          <w:top w:val="single" w:sz="4" w:space="0" w:color="1B556B"/>
          <w:bottom w:val="single" w:sz="4" w:space="0" w:color="1B556B"/>
          <w:insideH w:val="single" w:sz="4" w:space="0" w:color="1B556B"/>
        </w:tblBorders>
        <w:tblLayout w:type="fixed"/>
        <w:tblCellMar>
          <w:left w:w="85" w:type="dxa"/>
          <w:right w:w="57" w:type="dxa"/>
        </w:tblCellMar>
        <w:tblLook w:val="0420" w:firstRow="1" w:lastRow="0" w:firstColumn="0" w:lastColumn="0" w:noHBand="0" w:noVBand="1"/>
      </w:tblPr>
      <w:tblGrid>
        <w:gridCol w:w="892"/>
        <w:gridCol w:w="1943"/>
        <w:gridCol w:w="5812"/>
        <w:gridCol w:w="1555"/>
        <w:gridCol w:w="3792"/>
      </w:tblGrid>
      <w:tr w:rsidR="007C5A34" w:rsidRPr="001D5327" w14:paraId="0D453083" w14:textId="77777777" w:rsidTr="001B6890">
        <w:trPr>
          <w:tblHeader/>
        </w:trPr>
        <w:tc>
          <w:tcPr>
            <w:tcW w:w="892" w:type="dxa"/>
            <w:shd w:val="clear" w:color="auto" w:fill="1B556B"/>
            <w:tcMar>
              <w:top w:w="0" w:type="dxa"/>
              <w:left w:w="85" w:type="dxa"/>
              <w:bottom w:w="0" w:type="dxa"/>
              <w:right w:w="85" w:type="dxa"/>
            </w:tcMar>
            <w:vAlign w:val="bottom"/>
          </w:tcPr>
          <w:p w14:paraId="2C5419BE" w14:textId="77777777" w:rsidR="007C5A34" w:rsidRPr="001D5327" w:rsidRDefault="007C5A34" w:rsidP="00341FEF">
            <w:pPr>
              <w:pStyle w:val="TableTextBold"/>
              <w:spacing w:before="40" w:after="40"/>
              <w:rPr>
                <w:rFonts w:cs="Calibri"/>
                <w:noProof w:val="0"/>
                <w:color w:val="FFFFFF" w:themeColor="background1"/>
                <w:szCs w:val="16"/>
              </w:rPr>
            </w:pPr>
            <w:r w:rsidRPr="001D5327">
              <w:rPr>
                <w:rFonts w:eastAsia="Calibri" w:cs="Calibri"/>
                <w:noProof w:val="0"/>
                <w:color w:val="FFFFFF" w:themeColor="background1"/>
                <w:szCs w:val="16"/>
              </w:rPr>
              <w:t>ID#</w:t>
            </w:r>
          </w:p>
        </w:tc>
        <w:tc>
          <w:tcPr>
            <w:tcW w:w="1943" w:type="dxa"/>
            <w:shd w:val="clear" w:color="auto" w:fill="1B556B"/>
            <w:tcMar>
              <w:top w:w="0" w:type="dxa"/>
              <w:left w:w="85" w:type="dxa"/>
              <w:bottom w:w="0" w:type="dxa"/>
              <w:right w:w="85" w:type="dxa"/>
            </w:tcMar>
            <w:vAlign w:val="bottom"/>
          </w:tcPr>
          <w:p w14:paraId="316C4EC3" w14:textId="77777777" w:rsidR="007C5A34" w:rsidRPr="001D5327" w:rsidRDefault="007C5A34" w:rsidP="00341FEF">
            <w:pPr>
              <w:pStyle w:val="TableTextBold"/>
              <w:spacing w:before="40" w:after="40"/>
              <w:rPr>
                <w:rFonts w:cs="Calibri"/>
                <w:noProof w:val="0"/>
                <w:color w:val="FFFFFF" w:themeColor="background1"/>
                <w:szCs w:val="16"/>
              </w:rPr>
            </w:pPr>
            <w:r w:rsidRPr="001D5327">
              <w:rPr>
                <w:rFonts w:eastAsia="Calibri" w:cs="Calibri"/>
                <w:noProof w:val="0"/>
                <w:color w:val="FFFFFF" w:themeColor="background1"/>
                <w:szCs w:val="16"/>
              </w:rPr>
              <w:t>Finding classification</w:t>
            </w:r>
          </w:p>
        </w:tc>
        <w:tc>
          <w:tcPr>
            <w:tcW w:w="5812" w:type="dxa"/>
            <w:shd w:val="clear" w:color="auto" w:fill="1B556B"/>
            <w:tcMar>
              <w:top w:w="0" w:type="dxa"/>
              <w:left w:w="85" w:type="dxa"/>
              <w:bottom w:w="0" w:type="dxa"/>
              <w:right w:w="85" w:type="dxa"/>
            </w:tcMar>
            <w:vAlign w:val="bottom"/>
          </w:tcPr>
          <w:p w14:paraId="23166649" w14:textId="77777777" w:rsidR="007C5A34" w:rsidRPr="001D5327" w:rsidRDefault="007C5A34" w:rsidP="00341FEF">
            <w:pPr>
              <w:pStyle w:val="TableTextBold"/>
              <w:spacing w:before="40" w:after="40"/>
              <w:rPr>
                <w:rFonts w:cs="Calibri"/>
                <w:noProof w:val="0"/>
                <w:color w:val="FFFFFF" w:themeColor="background1"/>
                <w:szCs w:val="16"/>
              </w:rPr>
            </w:pPr>
            <w:r w:rsidRPr="001D5327">
              <w:rPr>
                <w:rFonts w:eastAsia="Calibri" w:cs="Calibri"/>
                <w:noProof w:val="0"/>
                <w:color w:val="FFFFFF" w:themeColor="background1"/>
                <w:szCs w:val="16"/>
              </w:rPr>
              <w:t>Description of finding with recommendation or encouragement</w:t>
            </w:r>
          </w:p>
        </w:tc>
        <w:tc>
          <w:tcPr>
            <w:tcW w:w="1555" w:type="dxa"/>
            <w:shd w:val="clear" w:color="auto" w:fill="1B556B"/>
            <w:tcMar>
              <w:top w:w="0" w:type="dxa"/>
              <w:left w:w="85" w:type="dxa"/>
              <w:bottom w:w="0" w:type="dxa"/>
              <w:right w:w="85" w:type="dxa"/>
            </w:tcMar>
            <w:vAlign w:val="bottom"/>
          </w:tcPr>
          <w:p w14:paraId="2D5EB106" w14:textId="77777777" w:rsidR="007C5A34" w:rsidRPr="001D5327" w:rsidRDefault="007C5A34" w:rsidP="00341FEF">
            <w:pPr>
              <w:pStyle w:val="TableTextBold"/>
              <w:spacing w:before="40" w:after="40"/>
              <w:rPr>
                <w:rFonts w:eastAsia="Calibri" w:cs="Calibri"/>
                <w:noProof w:val="0"/>
                <w:color w:val="FFFFFF" w:themeColor="background1"/>
                <w:szCs w:val="16"/>
              </w:rPr>
            </w:pPr>
            <w:r w:rsidRPr="001D5327">
              <w:rPr>
                <w:rFonts w:eastAsia="Calibri" w:cs="Calibri"/>
                <w:noProof w:val="0"/>
                <w:color w:val="FFFFFF" w:themeColor="background1"/>
                <w:szCs w:val="16"/>
              </w:rPr>
              <w:t>Is finding an issue/problem?</w:t>
            </w:r>
            <w:r w:rsidRPr="001C2A4D">
              <w:rPr>
                <w:rFonts w:eastAsia="Calibri" w:cs="Calibri"/>
                <w:noProof w:val="0"/>
                <w:color w:val="FFFFFF" w:themeColor="background1"/>
                <w:szCs w:val="16"/>
                <w:vertAlign w:val="superscript"/>
              </w:rPr>
              <w:t>2</w:t>
            </w:r>
          </w:p>
        </w:tc>
        <w:tc>
          <w:tcPr>
            <w:tcW w:w="3792" w:type="dxa"/>
            <w:shd w:val="clear" w:color="auto" w:fill="1B556B"/>
            <w:tcMar>
              <w:top w:w="0" w:type="dxa"/>
              <w:left w:w="85" w:type="dxa"/>
              <w:bottom w:w="0" w:type="dxa"/>
              <w:right w:w="85" w:type="dxa"/>
            </w:tcMar>
            <w:vAlign w:val="bottom"/>
          </w:tcPr>
          <w:p w14:paraId="24B9F6FE" w14:textId="77777777" w:rsidR="007C5A34" w:rsidRPr="001D5327" w:rsidRDefault="007C5A34" w:rsidP="00341FEF">
            <w:pPr>
              <w:pStyle w:val="TableTextBold"/>
              <w:spacing w:before="40" w:after="40"/>
              <w:rPr>
                <w:rFonts w:cs="Calibri"/>
                <w:noProof w:val="0"/>
                <w:color w:val="FFFFFF" w:themeColor="background1"/>
                <w:szCs w:val="16"/>
              </w:rPr>
            </w:pPr>
            <w:r w:rsidRPr="001D5327">
              <w:rPr>
                <w:rFonts w:eastAsia="Calibri" w:cs="Calibri"/>
                <w:noProof w:val="0"/>
                <w:color w:val="FFFFFF" w:themeColor="background1"/>
                <w:szCs w:val="16"/>
              </w:rPr>
              <w:t>New Zealand response</w:t>
            </w:r>
          </w:p>
        </w:tc>
      </w:tr>
      <w:tr w:rsidR="007C5A34" w:rsidRPr="001D5327" w14:paraId="62B7327F" w14:textId="77777777" w:rsidTr="001B6890">
        <w:tc>
          <w:tcPr>
            <w:tcW w:w="892" w:type="dxa"/>
            <w:shd w:val="clear" w:color="auto" w:fill="FFFFFF" w:themeFill="background1"/>
            <w:tcMar>
              <w:top w:w="0" w:type="dxa"/>
              <w:left w:w="85" w:type="dxa"/>
              <w:bottom w:w="0" w:type="dxa"/>
              <w:right w:w="85" w:type="dxa"/>
            </w:tcMar>
          </w:tcPr>
          <w:p w14:paraId="3262DAF2"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General</w:t>
            </w:r>
          </w:p>
        </w:tc>
        <w:tc>
          <w:tcPr>
            <w:tcW w:w="1943" w:type="dxa"/>
            <w:shd w:val="clear" w:color="auto" w:fill="FFFFFF" w:themeFill="background1"/>
            <w:tcMar>
              <w:top w:w="0" w:type="dxa"/>
              <w:left w:w="85" w:type="dxa"/>
              <w:bottom w:w="0" w:type="dxa"/>
              <w:right w:w="85" w:type="dxa"/>
            </w:tcMar>
          </w:tcPr>
          <w:p w14:paraId="15764916" w14:textId="77777777" w:rsidR="007C5A34" w:rsidRPr="001D5327" w:rsidRDefault="007C5A34" w:rsidP="00341FEF">
            <w:pPr>
              <w:pStyle w:val="TableText"/>
              <w:spacing w:before="40" w:after="40"/>
              <w:rPr>
                <w:rFonts w:cs="Calibri"/>
                <w:szCs w:val="16"/>
              </w:rPr>
            </w:pPr>
          </w:p>
        </w:tc>
        <w:tc>
          <w:tcPr>
            <w:tcW w:w="5812" w:type="dxa"/>
            <w:shd w:val="clear" w:color="auto" w:fill="FFFFFF" w:themeFill="background1"/>
            <w:tcMar>
              <w:top w:w="0" w:type="dxa"/>
              <w:left w:w="85" w:type="dxa"/>
              <w:bottom w:w="0" w:type="dxa"/>
              <w:right w:w="85" w:type="dxa"/>
            </w:tcMar>
          </w:tcPr>
          <w:p w14:paraId="75DE9C4B" w14:textId="77777777" w:rsidR="007C5A34" w:rsidRPr="001D5327" w:rsidRDefault="007C5A34" w:rsidP="00341FEF">
            <w:pPr>
              <w:pStyle w:val="TableText"/>
              <w:spacing w:before="40" w:after="40"/>
              <w:rPr>
                <w:rFonts w:cs="Calibri"/>
                <w:szCs w:val="16"/>
              </w:rPr>
            </w:pPr>
            <w:r w:rsidRPr="001D5327">
              <w:rPr>
                <w:rFonts w:eastAsia="Calibri" w:cs="Calibri"/>
                <w:color w:val="000000" w:themeColor="text1"/>
                <w:szCs w:val="16"/>
              </w:rPr>
              <w:t>No general findings additional to those included in table 3 were made by the ERT during the review.</w:t>
            </w:r>
          </w:p>
        </w:tc>
        <w:tc>
          <w:tcPr>
            <w:tcW w:w="1555" w:type="dxa"/>
            <w:shd w:val="clear" w:color="auto" w:fill="FFFFFF" w:themeFill="background1"/>
            <w:tcMar>
              <w:top w:w="0" w:type="dxa"/>
              <w:left w:w="85" w:type="dxa"/>
              <w:bottom w:w="0" w:type="dxa"/>
              <w:right w:w="85" w:type="dxa"/>
            </w:tcMar>
          </w:tcPr>
          <w:p w14:paraId="781ED823" w14:textId="77777777" w:rsidR="007C5A34" w:rsidRPr="001D5327" w:rsidRDefault="007C5A34" w:rsidP="00341FEF">
            <w:pPr>
              <w:pStyle w:val="TableText"/>
              <w:spacing w:before="40" w:after="40"/>
              <w:rPr>
                <w:rFonts w:cs="Calibri"/>
                <w:szCs w:val="16"/>
              </w:rPr>
            </w:pPr>
          </w:p>
        </w:tc>
        <w:tc>
          <w:tcPr>
            <w:tcW w:w="3792" w:type="dxa"/>
            <w:shd w:val="clear" w:color="auto" w:fill="FFFFFF" w:themeFill="background1"/>
            <w:tcMar>
              <w:top w:w="0" w:type="dxa"/>
              <w:left w:w="85" w:type="dxa"/>
              <w:bottom w:w="0" w:type="dxa"/>
              <w:right w:w="85" w:type="dxa"/>
            </w:tcMar>
          </w:tcPr>
          <w:p w14:paraId="5256B053" w14:textId="77777777" w:rsidR="007C5A34" w:rsidRPr="001D5327" w:rsidRDefault="007C5A34" w:rsidP="00341FEF">
            <w:pPr>
              <w:pStyle w:val="TableText"/>
              <w:spacing w:before="40" w:after="40"/>
              <w:rPr>
                <w:rFonts w:cs="Calibri"/>
                <w:szCs w:val="16"/>
              </w:rPr>
            </w:pPr>
          </w:p>
        </w:tc>
      </w:tr>
      <w:tr w:rsidR="007C5A34" w:rsidRPr="001D5327" w14:paraId="23B1029B" w14:textId="77777777" w:rsidTr="001B6890">
        <w:tc>
          <w:tcPr>
            <w:tcW w:w="892" w:type="dxa"/>
            <w:shd w:val="clear" w:color="auto" w:fill="FFFFFF" w:themeFill="background1"/>
            <w:tcMar>
              <w:top w:w="0" w:type="dxa"/>
              <w:left w:w="85" w:type="dxa"/>
              <w:bottom w:w="0" w:type="dxa"/>
              <w:right w:w="85" w:type="dxa"/>
            </w:tcMar>
          </w:tcPr>
          <w:p w14:paraId="291923E1"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Energy</w:t>
            </w:r>
          </w:p>
        </w:tc>
        <w:tc>
          <w:tcPr>
            <w:tcW w:w="1943" w:type="dxa"/>
            <w:shd w:val="clear" w:color="auto" w:fill="FFFFFF" w:themeFill="background1"/>
            <w:tcMar>
              <w:top w:w="0" w:type="dxa"/>
              <w:left w:w="85" w:type="dxa"/>
              <w:bottom w:w="0" w:type="dxa"/>
              <w:right w:w="85" w:type="dxa"/>
            </w:tcMar>
          </w:tcPr>
          <w:p w14:paraId="44823E3D" w14:textId="77777777" w:rsidR="007C5A34" w:rsidRPr="001D5327" w:rsidRDefault="007C5A34" w:rsidP="00341FEF">
            <w:pPr>
              <w:pStyle w:val="TableText"/>
              <w:spacing w:before="40" w:after="40"/>
              <w:rPr>
                <w:rFonts w:cs="Calibri"/>
                <w:szCs w:val="16"/>
              </w:rPr>
            </w:pPr>
          </w:p>
        </w:tc>
        <w:tc>
          <w:tcPr>
            <w:tcW w:w="5812" w:type="dxa"/>
            <w:shd w:val="clear" w:color="auto" w:fill="FFFFFF" w:themeFill="background1"/>
            <w:tcMar>
              <w:top w:w="0" w:type="dxa"/>
              <w:left w:w="85" w:type="dxa"/>
              <w:bottom w:w="0" w:type="dxa"/>
              <w:right w:w="85" w:type="dxa"/>
            </w:tcMar>
          </w:tcPr>
          <w:p w14:paraId="539A7949" w14:textId="77777777" w:rsidR="007C5A34" w:rsidRPr="001D5327" w:rsidRDefault="007C5A34" w:rsidP="00341FEF">
            <w:pPr>
              <w:pStyle w:val="TableText"/>
              <w:spacing w:before="40" w:after="40"/>
              <w:rPr>
                <w:rFonts w:cs="Calibri"/>
                <w:szCs w:val="16"/>
              </w:rPr>
            </w:pPr>
          </w:p>
        </w:tc>
        <w:tc>
          <w:tcPr>
            <w:tcW w:w="1555" w:type="dxa"/>
            <w:shd w:val="clear" w:color="auto" w:fill="FFFFFF" w:themeFill="background1"/>
            <w:tcMar>
              <w:top w:w="0" w:type="dxa"/>
              <w:left w:w="85" w:type="dxa"/>
              <w:bottom w:w="0" w:type="dxa"/>
              <w:right w:w="85" w:type="dxa"/>
            </w:tcMar>
          </w:tcPr>
          <w:p w14:paraId="682BB82A" w14:textId="77777777" w:rsidR="007C5A34" w:rsidRPr="001D5327" w:rsidRDefault="007C5A34" w:rsidP="00341FEF">
            <w:pPr>
              <w:pStyle w:val="TableText"/>
              <w:spacing w:before="40" w:after="40"/>
              <w:rPr>
                <w:rFonts w:cs="Calibri"/>
                <w:szCs w:val="16"/>
              </w:rPr>
            </w:pPr>
          </w:p>
        </w:tc>
        <w:tc>
          <w:tcPr>
            <w:tcW w:w="3792" w:type="dxa"/>
            <w:shd w:val="clear" w:color="auto" w:fill="FFFFFF" w:themeFill="background1"/>
            <w:tcMar>
              <w:top w:w="0" w:type="dxa"/>
              <w:left w:w="85" w:type="dxa"/>
              <w:bottom w:w="0" w:type="dxa"/>
              <w:right w:w="85" w:type="dxa"/>
            </w:tcMar>
          </w:tcPr>
          <w:p w14:paraId="70450A82" w14:textId="77777777" w:rsidR="007C5A34" w:rsidRPr="001D5327" w:rsidRDefault="007C5A34" w:rsidP="00341FEF">
            <w:pPr>
              <w:pStyle w:val="TableText"/>
              <w:spacing w:before="40" w:after="40"/>
              <w:rPr>
                <w:rFonts w:cs="Calibri"/>
                <w:szCs w:val="16"/>
              </w:rPr>
            </w:pPr>
          </w:p>
        </w:tc>
      </w:tr>
      <w:tr w:rsidR="007C5A34" w:rsidRPr="001D5327" w14:paraId="2F024BE6" w14:textId="77777777" w:rsidTr="001B6890">
        <w:tc>
          <w:tcPr>
            <w:tcW w:w="892" w:type="dxa"/>
            <w:shd w:val="clear" w:color="auto" w:fill="FFFFFF" w:themeFill="background1"/>
            <w:tcMar>
              <w:top w:w="0" w:type="dxa"/>
              <w:left w:w="85" w:type="dxa"/>
              <w:bottom w:w="0" w:type="dxa"/>
              <w:right w:w="85" w:type="dxa"/>
            </w:tcMar>
          </w:tcPr>
          <w:p w14:paraId="58BDC501"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E.10</w:t>
            </w:r>
          </w:p>
        </w:tc>
        <w:tc>
          <w:tcPr>
            <w:tcW w:w="1943" w:type="dxa"/>
            <w:shd w:val="clear" w:color="auto" w:fill="FFFFFF" w:themeFill="background1"/>
            <w:tcMar>
              <w:top w:w="0" w:type="dxa"/>
              <w:left w:w="85" w:type="dxa"/>
              <w:bottom w:w="0" w:type="dxa"/>
              <w:right w:w="85" w:type="dxa"/>
            </w:tcMar>
          </w:tcPr>
          <w:p w14:paraId="033BA942"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1. General (energy sector) – gaseous fuels – CO₂</w:t>
            </w:r>
          </w:p>
        </w:tc>
        <w:tc>
          <w:tcPr>
            <w:tcW w:w="5812" w:type="dxa"/>
            <w:shd w:val="clear" w:color="auto" w:fill="FFFFFF" w:themeFill="background1"/>
            <w:tcMar>
              <w:top w:w="0" w:type="dxa"/>
              <w:left w:w="85" w:type="dxa"/>
              <w:bottom w:w="0" w:type="dxa"/>
              <w:right w:w="85" w:type="dxa"/>
            </w:tcMar>
          </w:tcPr>
          <w:p w14:paraId="22D9000D" w14:textId="77777777" w:rsidR="007C5A34" w:rsidRPr="001D5327" w:rsidRDefault="007C5A34" w:rsidP="00341FEF">
            <w:pPr>
              <w:pStyle w:val="TableText"/>
              <w:spacing w:before="40" w:after="40"/>
              <w:rPr>
                <w:rFonts w:cs="Calibri"/>
                <w:szCs w:val="16"/>
              </w:rPr>
            </w:pPr>
            <w:r w:rsidRPr="001D5327">
              <w:rPr>
                <w:rFonts w:eastAsia="Calibri" w:cs="Calibri"/>
                <w:color w:val="000000" w:themeColor="text1"/>
                <w:szCs w:val="16"/>
              </w:rPr>
              <w:t>On the basis of information provided in the NIR (pp.75 and 91) and an annex to the NIR (annex 4, table A4.1), the CO₂ EFs for liquid fuels are based on regular measurements from the only refinery in New Zealand. During the review, the Party clarified that these CO₂ EFs are not based on actual measurements of calorific value and carbon content, but are calculated on the basis of the fuel density. The Party stated that the refinery used to provide approximately 75 per cent of all liquid fuels consumed in New Zealand, but that dropped to 52 per cent in 2021 and the refinery ceased operation in 2022. As of April 2022, the facility is being converted into an import terminal without refinery activities. The ERT recommends that New Zealand review the carbon content and calorific values of the imported liquid fuels in accordance with good practice guidance provided in the 2006 IPCC Guidelines or equivalent international standards and recalculate its estimates on the basis of any changes to the CO₂ EFs.</w:t>
            </w:r>
          </w:p>
        </w:tc>
        <w:tc>
          <w:tcPr>
            <w:tcW w:w="1555" w:type="dxa"/>
            <w:shd w:val="clear" w:color="auto" w:fill="FFFFFF" w:themeFill="background1"/>
            <w:tcMar>
              <w:top w:w="0" w:type="dxa"/>
              <w:left w:w="85" w:type="dxa"/>
              <w:bottom w:w="0" w:type="dxa"/>
              <w:right w:w="85" w:type="dxa"/>
            </w:tcMar>
          </w:tcPr>
          <w:p w14:paraId="79E3B99B"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Yes. Accuracy</w:t>
            </w:r>
          </w:p>
        </w:tc>
        <w:tc>
          <w:tcPr>
            <w:tcW w:w="3792" w:type="dxa"/>
            <w:shd w:val="clear" w:color="auto" w:fill="FFFFFF" w:themeFill="background1"/>
            <w:tcMar>
              <w:top w:w="0" w:type="dxa"/>
              <w:left w:w="85" w:type="dxa"/>
              <w:bottom w:w="0" w:type="dxa"/>
              <w:right w:w="85" w:type="dxa"/>
            </w:tcMar>
          </w:tcPr>
          <w:p w14:paraId="305459B5" w14:textId="77777777" w:rsidR="007C5A34" w:rsidRPr="001D5327" w:rsidRDefault="007C5A34" w:rsidP="00341FEF">
            <w:pPr>
              <w:pStyle w:val="TableText"/>
              <w:spacing w:before="40" w:after="40"/>
              <w:rPr>
                <w:rFonts w:cs="Calibri"/>
                <w:szCs w:val="16"/>
              </w:rPr>
            </w:pPr>
            <w:r w:rsidRPr="001D5327">
              <w:rPr>
                <w:rFonts w:eastAsia="Calibri" w:cs="Calibri"/>
                <w:bCs/>
                <w:color w:val="000000" w:themeColor="text1"/>
                <w:szCs w:val="16"/>
              </w:rPr>
              <w:t>Resolved</w:t>
            </w:r>
            <w:r w:rsidRPr="001D5327">
              <w:rPr>
                <w:rFonts w:eastAsia="Calibri" w:cs="Calibri"/>
                <w:color w:val="000000" w:themeColor="text1"/>
                <w:szCs w:val="16"/>
              </w:rPr>
              <w:t xml:space="preserve">. MBIE now collects fuel property information from liquid fuel importers on a monthly basis. This is used to calculate an annual weighted average carbon content and calorific value for each fuel type. The updated densities and calorific values are published in MBIE’s oil statistics, which are available online: </w:t>
            </w:r>
            <w:hyperlink r:id="rId270">
              <w:r w:rsidRPr="001D5327">
                <w:rPr>
                  <w:rStyle w:val="Hyperlink"/>
                  <w:rFonts w:cs="Calibri"/>
                  <w:szCs w:val="16"/>
                </w:rPr>
                <w:t>www.mbie.govt.nz/building-and-energy/energy-and-natural-resources/energy-statistics-and-modelling/energy-statistics/oil-statistics</w:t>
              </w:r>
            </w:hyperlink>
            <w:r w:rsidRPr="001D5327">
              <w:rPr>
                <w:rFonts w:eastAsia="Calibri" w:cs="Calibri"/>
                <w:color w:val="000000" w:themeColor="text1"/>
                <w:szCs w:val="16"/>
              </w:rPr>
              <w:t>. These data are then directly used to prepare the emissions estimates for the National Inventory Report.</w:t>
            </w:r>
          </w:p>
        </w:tc>
      </w:tr>
      <w:tr w:rsidR="007C5A34" w:rsidRPr="001D5327" w14:paraId="48F80F66" w14:textId="77777777" w:rsidTr="001B6890">
        <w:tc>
          <w:tcPr>
            <w:tcW w:w="892" w:type="dxa"/>
            <w:shd w:val="clear" w:color="auto" w:fill="FFFFFF" w:themeFill="background1"/>
            <w:tcMar>
              <w:top w:w="0" w:type="dxa"/>
              <w:left w:w="85" w:type="dxa"/>
              <w:bottom w:w="0" w:type="dxa"/>
              <w:right w:w="85" w:type="dxa"/>
            </w:tcMar>
          </w:tcPr>
          <w:p w14:paraId="0626738D"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IPPU</w:t>
            </w:r>
          </w:p>
        </w:tc>
        <w:tc>
          <w:tcPr>
            <w:tcW w:w="1943" w:type="dxa"/>
            <w:shd w:val="clear" w:color="auto" w:fill="FFFFFF" w:themeFill="background1"/>
            <w:tcMar>
              <w:top w:w="0" w:type="dxa"/>
              <w:left w:w="85" w:type="dxa"/>
              <w:bottom w:w="0" w:type="dxa"/>
              <w:right w:w="85" w:type="dxa"/>
            </w:tcMar>
          </w:tcPr>
          <w:p w14:paraId="0C2B9628" w14:textId="77777777" w:rsidR="007C5A34" w:rsidRPr="001D5327" w:rsidRDefault="007C5A34" w:rsidP="00341FEF">
            <w:pPr>
              <w:pStyle w:val="TableText"/>
              <w:spacing w:before="40" w:after="40"/>
              <w:rPr>
                <w:rFonts w:cs="Calibri"/>
                <w:szCs w:val="16"/>
              </w:rPr>
            </w:pPr>
          </w:p>
        </w:tc>
        <w:tc>
          <w:tcPr>
            <w:tcW w:w="5812" w:type="dxa"/>
            <w:shd w:val="clear" w:color="auto" w:fill="FFFFFF" w:themeFill="background1"/>
            <w:tcMar>
              <w:top w:w="0" w:type="dxa"/>
              <w:left w:w="85" w:type="dxa"/>
              <w:bottom w:w="0" w:type="dxa"/>
              <w:right w:w="85" w:type="dxa"/>
            </w:tcMar>
          </w:tcPr>
          <w:p w14:paraId="7F2C3D44" w14:textId="77777777" w:rsidR="007C5A34" w:rsidRPr="001D5327" w:rsidRDefault="007C5A34" w:rsidP="00341FEF">
            <w:pPr>
              <w:pStyle w:val="TableText"/>
              <w:spacing w:before="40" w:after="40"/>
              <w:rPr>
                <w:rFonts w:cs="Calibri"/>
                <w:szCs w:val="16"/>
              </w:rPr>
            </w:pPr>
            <w:r w:rsidRPr="001D5327">
              <w:rPr>
                <w:rFonts w:eastAsia="Calibri" w:cs="Calibri"/>
                <w:color w:val="000000" w:themeColor="text1"/>
                <w:szCs w:val="16"/>
              </w:rPr>
              <w:t>No findings for the IPPU sector additional to those included in table 3 were made by the ERT during the review.</w:t>
            </w:r>
          </w:p>
        </w:tc>
        <w:tc>
          <w:tcPr>
            <w:tcW w:w="1555" w:type="dxa"/>
            <w:shd w:val="clear" w:color="auto" w:fill="FFFFFF" w:themeFill="background1"/>
            <w:tcMar>
              <w:top w:w="0" w:type="dxa"/>
              <w:left w:w="85" w:type="dxa"/>
              <w:bottom w:w="0" w:type="dxa"/>
              <w:right w:w="85" w:type="dxa"/>
            </w:tcMar>
          </w:tcPr>
          <w:p w14:paraId="5F375782" w14:textId="77777777" w:rsidR="007C5A34" w:rsidRPr="001D5327" w:rsidRDefault="007C5A34" w:rsidP="00341FEF">
            <w:pPr>
              <w:pStyle w:val="TableText"/>
              <w:spacing w:before="40" w:after="40"/>
              <w:rPr>
                <w:rFonts w:cs="Calibri"/>
                <w:szCs w:val="16"/>
              </w:rPr>
            </w:pPr>
          </w:p>
        </w:tc>
        <w:tc>
          <w:tcPr>
            <w:tcW w:w="3792" w:type="dxa"/>
            <w:shd w:val="clear" w:color="auto" w:fill="FFFFFF" w:themeFill="background1"/>
            <w:tcMar>
              <w:top w:w="0" w:type="dxa"/>
              <w:left w:w="85" w:type="dxa"/>
              <w:bottom w:w="0" w:type="dxa"/>
              <w:right w:w="85" w:type="dxa"/>
            </w:tcMar>
          </w:tcPr>
          <w:p w14:paraId="6924EF2A" w14:textId="77777777" w:rsidR="007C5A34" w:rsidRPr="001D5327" w:rsidRDefault="007C5A34" w:rsidP="00341FEF">
            <w:pPr>
              <w:pStyle w:val="TableText"/>
              <w:spacing w:before="40" w:after="40"/>
              <w:rPr>
                <w:rFonts w:cs="Calibri"/>
                <w:szCs w:val="16"/>
              </w:rPr>
            </w:pPr>
          </w:p>
        </w:tc>
      </w:tr>
      <w:tr w:rsidR="007C5A34" w:rsidRPr="001D5327" w14:paraId="1CD102CD" w14:textId="77777777" w:rsidTr="001B6890">
        <w:tc>
          <w:tcPr>
            <w:tcW w:w="892" w:type="dxa"/>
            <w:shd w:val="clear" w:color="auto" w:fill="FFFFFF" w:themeFill="background1"/>
            <w:tcMar>
              <w:top w:w="0" w:type="dxa"/>
              <w:left w:w="85" w:type="dxa"/>
              <w:bottom w:w="0" w:type="dxa"/>
              <w:right w:w="85" w:type="dxa"/>
            </w:tcMar>
          </w:tcPr>
          <w:p w14:paraId="6F73A088"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Agriculture</w:t>
            </w:r>
          </w:p>
        </w:tc>
        <w:tc>
          <w:tcPr>
            <w:tcW w:w="1943" w:type="dxa"/>
            <w:shd w:val="clear" w:color="auto" w:fill="FFFFFF" w:themeFill="background1"/>
            <w:tcMar>
              <w:top w:w="0" w:type="dxa"/>
              <w:left w:w="85" w:type="dxa"/>
              <w:bottom w:w="0" w:type="dxa"/>
              <w:right w:w="85" w:type="dxa"/>
            </w:tcMar>
          </w:tcPr>
          <w:p w14:paraId="41E27180" w14:textId="77777777" w:rsidR="007C5A34" w:rsidRPr="001D5327" w:rsidRDefault="007C5A34" w:rsidP="00341FEF">
            <w:pPr>
              <w:pStyle w:val="TableText"/>
              <w:spacing w:before="40" w:after="40"/>
              <w:rPr>
                <w:rFonts w:cs="Calibri"/>
                <w:szCs w:val="16"/>
              </w:rPr>
            </w:pPr>
          </w:p>
        </w:tc>
        <w:tc>
          <w:tcPr>
            <w:tcW w:w="5812" w:type="dxa"/>
            <w:shd w:val="clear" w:color="auto" w:fill="FFFFFF" w:themeFill="background1"/>
            <w:tcMar>
              <w:top w:w="0" w:type="dxa"/>
              <w:left w:w="85" w:type="dxa"/>
              <w:bottom w:w="0" w:type="dxa"/>
              <w:right w:w="85" w:type="dxa"/>
            </w:tcMar>
          </w:tcPr>
          <w:p w14:paraId="27290B27" w14:textId="77777777" w:rsidR="007C5A34" w:rsidRPr="001D5327" w:rsidRDefault="007C5A34" w:rsidP="00341FEF">
            <w:pPr>
              <w:pStyle w:val="TableText"/>
              <w:spacing w:before="40" w:after="40"/>
              <w:rPr>
                <w:rFonts w:cs="Calibri"/>
                <w:szCs w:val="16"/>
              </w:rPr>
            </w:pPr>
          </w:p>
        </w:tc>
        <w:tc>
          <w:tcPr>
            <w:tcW w:w="1555" w:type="dxa"/>
            <w:shd w:val="clear" w:color="auto" w:fill="FFFFFF" w:themeFill="background1"/>
            <w:tcMar>
              <w:top w:w="0" w:type="dxa"/>
              <w:left w:w="85" w:type="dxa"/>
              <w:bottom w:w="0" w:type="dxa"/>
              <w:right w:w="85" w:type="dxa"/>
            </w:tcMar>
          </w:tcPr>
          <w:p w14:paraId="6C9D8DDD" w14:textId="77777777" w:rsidR="007C5A34" w:rsidRPr="001D5327" w:rsidRDefault="007C5A34" w:rsidP="00341FEF">
            <w:pPr>
              <w:pStyle w:val="TableText"/>
              <w:spacing w:before="40" w:after="40"/>
              <w:rPr>
                <w:rFonts w:cs="Calibri"/>
                <w:szCs w:val="16"/>
              </w:rPr>
            </w:pPr>
          </w:p>
        </w:tc>
        <w:tc>
          <w:tcPr>
            <w:tcW w:w="3792" w:type="dxa"/>
            <w:shd w:val="clear" w:color="auto" w:fill="FFFFFF" w:themeFill="background1"/>
            <w:tcMar>
              <w:top w:w="0" w:type="dxa"/>
              <w:left w:w="85" w:type="dxa"/>
              <w:bottom w:w="0" w:type="dxa"/>
              <w:right w:w="85" w:type="dxa"/>
            </w:tcMar>
          </w:tcPr>
          <w:p w14:paraId="7358480D" w14:textId="77777777" w:rsidR="007C5A34" w:rsidRPr="001D5327" w:rsidRDefault="007C5A34" w:rsidP="00341FEF">
            <w:pPr>
              <w:pStyle w:val="TableText"/>
              <w:spacing w:before="40" w:after="40"/>
              <w:rPr>
                <w:rFonts w:cs="Calibri"/>
                <w:szCs w:val="16"/>
              </w:rPr>
            </w:pPr>
          </w:p>
        </w:tc>
      </w:tr>
      <w:tr w:rsidR="007C5A34" w:rsidRPr="001D5327" w14:paraId="338CCA91" w14:textId="77777777" w:rsidTr="001B6890">
        <w:tc>
          <w:tcPr>
            <w:tcW w:w="892" w:type="dxa"/>
            <w:shd w:val="clear" w:color="auto" w:fill="FFFFFF" w:themeFill="background1"/>
            <w:tcMar>
              <w:top w:w="0" w:type="dxa"/>
              <w:left w:w="85" w:type="dxa"/>
              <w:bottom w:w="0" w:type="dxa"/>
              <w:right w:w="85" w:type="dxa"/>
            </w:tcMar>
          </w:tcPr>
          <w:p w14:paraId="1965317D"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A.12</w:t>
            </w:r>
          </w:p>
        </w:tc>
        <w:tc>
          <w:tcPr>
            <w:tcW w:w="1943" w:type="dxa"/>
            <w:shd w:val="clear" w:color="auto" w:fill="FFFFFF" w:themeFill="background1"/>
            <w:tcMar>
              <w:top w:w="0" w:type="dxa"/>
              <w:left w:w="85" w:type="dxa"/>
              <w:bottom w:w="0" w:type="dxa"/>
              <w:right w:w="85" w:type="dxa"/>
            </w:tcMar>
          </w:tcPr>
          <w:p w14:paraId="5A285908"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3.B.1 Cattle – CH₄</w:t>
            </w:r>
          </w:p>
        </w:tc>
        <w:tc>
          <w:tcPr>
            <w:tcW w:w="5812" w:type="dxa"/>
            <w:shd w:val="clear" w:color="auto" w:fill="FFFFFF" w:themeFill="background1"/>
            <w:tcMar>
              <w:top w:w="0" w:type="dxa"/>
              <w:left w:w="85" w:type="dxa"/>
              <w:bottom w:w="0" w:type="dxa"/>
              <w:right w:w="85" w:type="dxa"/>
            </w:tcMar>
          </w:tcPr>
          <w:p w14:paraId="58EC72D4" w14:textId="77777777" w:rsidR="007C5A34" w:rsidRPr="001D5327" w:rsidRDefault="007C5A34" w:rsidP="00341FEF">
            <w:pPr>
              <w:pStyle w:val="TableText"/>
              <w:spacing w:before="40" w:after="40"/>
              <w:rPr>
                <w:rFonts w:cs="Calibri"/>
                <w:szCs w:val="16"/>
              </w:rPr>
            </w:pPr>
            <w:r w:rsidRPr="001D5327">
              <w:rPr>
                <w:rFonts w:eastAsia="Calibri" w:cs="Calibri"/>
                <w:color w:val="000000" w:themeColor="text1"/>
                <w:szCs w:val="16"/>
              </w:rPr>
              <w:t xml:space="preserve">New Zealand stated in its NIR (p.185) that, to determine CH₄ emissions from dairy cattle manure in anaerobic lagoons, the default MCF value of 0.76 at an average annual temperature of 15°C was used. However, the ERT noted that New Zealand also stated in its NIR (p.193) that the “current value [sic] for the MCF is 0.74, based on the 2006 IPCC default value for uncovered anaerobic lagoons at an annual temperature of 15 degrees Celsius”. The ERT also noted that, in CRF table 3.B(a)s2, New Zealand reported “NA” for the MCF value for anaerobic lagoons used to store and treat manure generated by dairy cattle. In response to a request for clarification of the MCF value for anaerobic lagoons used in the estimates of CH₄ emissions from manure management of dairy cattle, and to specify the range of average annual temperatures used to select the MCF values for the entire reporting period, the Party clarified that the MCF value used is from the 2006 IPCC Guidelines (vol. 4, chap. 10, table 10.17) and </w:t>
            </w:r>
            <w:r w:rsidRPr="001D5327">
              <w:rPr>
                <w:rFonts w:eastAsia="Calibri" w:cs="Calibri"/>
                <w:color w:val="000000" w:themeColor="text1"/>
                <w:szCs w:val="16"/>
              </w:rPr>
              <w:lastRenderedPageBreak/>
              <w:t>that value (0.74) is correctly stated in the NIR (p.193). The Party also clarified that the MCF value was selected on the basis of an annual average temperature of 15°C, which is a conservative estimate given that average historical temperatures have typically been lower. To confirm this statement, the Party provided the ERT with the data on average annual temperatures for 1990–2020 from the National Institute of Water and Atmospheric Research for the Waikato region, which is a more northern and warmer region of New Zealand where the majority of its dairy cattle are farmed. Additionally, New Zealand stated that the annual temperature ranges from 10°C in the south to 16°C in the north and the MCF for anaerobic lagoon was selected on the basis of the higher end of that range. The ERT recommends that New Zealand (1) correct the omission in the reporting of the MCF value for anaerobic lagoons used to store and treat dairy cattle manure; (2) report the MCF value for anaerobic lagoons in CRF table 3.B(a)s2 for the entire reporting period; and (3) provide the reference source and brief description of the climate data used as the basis for selecting an appropriate MCF value for anaerobic lagoon manure management system from the 2006 IPCC Guidelines (vol. 4, chap. 10, table 10.17).</w:t>
            </w:r>
          </w:p>
        </w:tc>
        <w:tc>
          <w:tcPr>
            <w:tcW w:w="1555" w:type="dxa"/>
            <w:shd w:val="clear" w:color="auto" w:fill="FFFFFF" w:themeFill="background1"/>
            <w:tcMar>
              <w:top w:w="0" w:type="dxa"/>
              <w:left w:w="85" w:type="dxa"/>
              <w:bottom w:w="0" w:type="dxa"/>
              <w:right w:w="85" w:type="dxa"/>
            </w:tcMar>
          </w:tcPr>
          <w:p w14:paraId="01FE1094"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lastRenderedPageBreak/>
              <w:t>Yes. Transparency</w:t>
            </w:r>
          </w:p>
        </w:tc>
        <w:tc>
          <w:tcPr>
            <w:tcW w:w="3792" w:type="dxa"/>
            <w:shd w:val="clear" w:color="auto" w:fill="FFFFFF" w:themeFill="background1"/>
            <w:tcMar>
              <w:top w:w="0" w:type="dxa"/>
              <w:left w:w="85" w:type="dxa"/>
              <w:bottom w:w="0" w:type="dxa"/>
              <w:right w:w="85" w:type="dxa"/>
            </w:tcMar>
          </w:tcPr>
          <w:p w14:paraId="0ACE9DEA" w14:textId="77777777" w:rsidR="007C5A34" w:rsidRPr="001D5327" w:rsidRDefault="007C5A34" w:rsidP="00341FEF">
            <w:pPr>
              <w:pStyle w:val="TableText"/>
              <w:spacing w:before="40" w:after="40"/>
              <w:rPr>
                <w:rFonts w:cs="Calibri"/>
                <w:szCs w:val="16"/>
              </w:rPr>
            </w:pPr>
            <w:r w:rsidRPr="001D5327">
              <w:rPr>
                <w:rFonts w:cs="Calibri"/>
                <w:bCs/>
                <w:color w:val="000000"/>
                <w:szCs w:val="16"/>
                <w:shd w:val="clear" w:color="auto" w:fill="FFFFFF"/>
              </w:rPr>
              <w:t>Addressing</w:t>
            </w:r>
            <w:r w:rsidRPr="001D5327">
              <w:rPr>
                <w:rFonts w:cs="Calibri"/>
                <w:color w:val="000000"/>
                <w:szCs w:val="16"/>
                <w:shd w:val="clear" w:color="auto" w:fill="FFFFFF"/>
              </w:rPr>
              <w:t>. Section 5.3.2 in chapter 5 has be</w:t>
            </w:r>
            <w:r w:rsidRPr="001D5327">
              <w:rPr>
                <w:rFonts w:cs="Calibri"/>
                <w:color w:val="000000" w:themeColor="text1"/>
                <w:szCs w:val="16"/>
              </w:rPr>
              <w:t>en</w:t>
            </w:r>
            <w:r w:rsidRPr="001D5327">
              <w:rPr>
                <w:rFonts w:cs="Calibri"/>
                <w:color w:val="000000"/>
                <w:szCs w:val="16"/>
                <w:shd w:val="clear" w:color="auto" w:fill="FFFFFF"/>
              </w:rPr>
              <w:t xml:space="preserve"> corrected to state an MCF </w:t>
            </w:r>
            <w:r w:rsidRPr="001D5327">
              <w:rPr>
                <w:rFonts w:cs="Calibri"/>
                <w:color w:val="000000" w:themeColor="text1"/>
                <w:szCs w:val="16"/>
              </w:rPr>
              <w:t xml:space="preserve">value </w:t>
            </w:r>
            <w:r w:rsidRPr="001D5327">
              <w:rPr>
                <w:rFonts w:cs="Calibri"/>
                <w:color w:val="000000"/>
                <w:szCs w:val="16"/>
                <w:shd w:val="clear" w:color="auto" w:fill="FFFFFF"/>
              </w:rPr>
              <w:t xml:space="preserve">of 0.74 is used. CRT 3.B.1.1 </w:t>
            </w:r>
            <w:r w:rsidRPr="001D5327">
              <w:rPr>
                <w:rFonts w:cs="Calibri"/>
                <w:i/>
                <w:iCs/>
                <w:color w:val="000000"/>
                <w:szCs w:val="16"/>
                <w:shd w:val="clear" w:color="auto" w:fill="FFFFFF"/>
              </w:rPr>
              <w:t>Dairy cattle</w:t>
            </w:r>
            <w:r w:rsidRPr="001D5327">
              <w:rPr>
                <w:rFonts w:cs="Calibri"/>
                <w:color w:val="000000"/>
                <w:szCs w:val="16"/>
                <w:shd w:val="clear" w:color="auto" w:fill="FFFFFF"/>
              </w:rPr>
              <w:t xml:space="preserve"> has been updated to report the MCF for the entire reporting period. Research is under way to improve this section of the </w:t>
            </w:r>
            <w:r w:rsidRPr="001D5327">
              <w:rPr>
                <w:rFonts w:cs="Calibri"/>
                <w:color w:val="000000" w:themeColor="text1"/>
                <w:szCs w:val="16"/>
              </w:rPr>
              <w:t xml:space="preserve">Agriculture </w:t>
            </w:r>
            <w:r w:rsidRPr="001D5327">
              <w:rPr>
                <w:rFonts w:cs="Calibri"/>
                <w:color w:val="000000"/>
                <w:szCs w:val="16"/>
                <w:shd w:val="clear" w:color="auto" w:fill="FFFFFF"/>
              </w:rPr>
              <w:t>inventory, starting with a nationwide farm survey of dairy manure and effluent management practices. </w:t>
            </w:r>
          </w:p>
        </w:tc>
      </w:tr>
      <w:tr w:rsidR="007C5A34" w:rsidRPr="001D5327" w14:paraId="358DFA11" w14:textId="77777777" w:rsidTr="001B6890">
        <w:tc>
          <w:tcPr>
            <w:tcW w:w="892" w:type="dxa"/>
            <w:shd w:val="clear" w:color="auto" w:fill="FFFFFF" w:themeFill="background1"/>
            <w:tcMar>
              <w:top w:w="0" w:type="dxa"/>
              <w:left w:w="85" w:type="dxa"/>
              <w:bottom w:w="0" w:type="dxa"/>
              <w:right w:w="85" w:type="dxa"/>
            </w:tcMar>
          </w:tcPr>
          <w:p w14:paraId="3B43DBC2"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LULUCF</w:t>
            </w:r>
          </w:p>
        </w:tc>
        <w:tc>
          <w:tcPr>
            <w:tcW w:w="1943" w:type="dxa"/>
            <w:shd w:val="clear" w:color="auto" w:fill="FFFFFF" w:themeFill="background1"/>
            <w:tcMar>
              <w:top w:w="0" w:type="dxa"/>
              <w:left w:w="85" w:type="dxa"/>
              <w:bottom w:w="0" w:type="dxa"/>
              <w:right w:w="85" w:type="dxa"/>
            </w:tcMar>
          </w:tcPr>
          <w:p w14:paraId="355269D2" w14:textId="77777777" w:rsidR="007C5A34" w:rsidRPr="001D5327" w:rsidRDefault="007C5A34" w:rsidP="00341FEF">
            <w:pPr>
              <w:pStyle w:val="TableText"/>
              <w:spacing w:before="40" w:after="40"/>
              <w:rPr>
                <w:rFonts w:cs="Calibri"/>
                <w:szCs w:val="16"/>
              </w:rPr>
            </w:pPr>
          </w:p>
        </w:tc>
        <w:tc>
          <w:tcPr>
            <w:tcW w:w="5812" w:type="dxa"/>
            <w:shd w:val="clear" w:color="auto" w:fill="FFFFFF" w:themeFill="background1"/>
            <w:tcMar>
              <w:top w:w="0" w:type="dxa"/>
              <w:left w:w="85" w:type="dxa"/>
              <w:bottom w:w="0" w:type="dxa"/>
              <w:right w:w="85" w:type="dxa"/>
            </w:tcMar>
          </w:tcPr>
          <w:p w14:paraId="35B27242" w14:textId="77777777" w:rsidR="007C5A34" w:rsidRPr="001D5327" w:rsidRDefault="007C5A34" w:rsidP="00341FEF">
            <w:pPr>
              <w:pStyle w:val="TableText"/>
              <w:spacing w:before="40" w:after="40"/>
              <w:rPr>
                <w:rFonts w:cs="Calibri"/>
                <w:szCs w:val="16"/>
              </w:rPr>
            </w:pPr>
            <w:r w:rsidRPr="001D5327">
              <w:rPr>
                <w:rFonts w:eastAsia="Calibri" w:cs="Calibri"/>
                <w:color w:val="000000" w:themeColor="text1"/>
                <w:szCs w:val="16"/>
              </w:rPr>
              <w:t>No findings for the LULUCF sector additional to those included in table 3 were made by the ERT during the review.</w:t>
            </w:r>
          </w:p>
        </w:tc>
        <w:tc>
          <w:tcPr>
            <w:tcW w:w="1555" w:type="dxa"/>
            <w:shd w:val="clear" w:color="auto" w:fill="FFFFFF" w:themeFill="background1"/>
            <w:tcMar>
              <w:top w:w="0" w:type="dxa"/>
              <w:left w:w="85" w:type="dxa"/>
              <w:bottom w:w="0" w:type="dxa"/>
              <w:right w:w="85" w:type="dxa"/>
            </w:tcMar>
          </w:tcPr>
          <w:p w14:paraId="19D62712" w14:textId="77777777" w:rsidR="007C5A34" w:rsidRPr="001D5327" w:rsidRDefault="007C5A34" w:rsidP="00341FEF">
            <w:pPr>
              <w:pStyle w:val="TableText"/>
              <w:spacing w:before="40" w:after="40"/>
              <w:rPr>
                <w:rFonts w:cs="Calibri"/>
                <w:szCs w:val="16"/>
              </w:rPr>
            </w:pPr>
          </w:p>
        </w:tc>
        <w:tc>
          <w:tcPr>
            <w:tcW w:w="3792" w:type="dxa"/>
            <w:shd w:val="clear" w:color="auto" w:fill="FFFFFF" w:themeFill="background1"/>
            <w:tcMar>
              <w:top w:w="0" w:type="dxa"/>
              <w:left w:w="85" w:type="dxa"/>
              <w:bottom w:w="0" w:type="dxa"/>
              <w:right w:w="85" w:type="dxa"/>
            </w:tcMar>
          </w:tcPr>
          <w:p w14:paraId="47A58FE4" w14:textId="77777777" w:rsidR="007C5A34" w:rsidRPr="001D5327" w:rsidRDefault="007C5A34" w:rsidP="00341FEF">
            <w:pPr>
              <w:pStyle w:val="TableText"/>
              <w:spacing w:before="40" w:after="40"/>
              <w:rPr>
                <w:rFonts w:cs="Calibri"/>
                <w:szCs w:val="16"/>
              </w:rPr>
            </w:pPr>
          </w:p>
        </w:tc>
      </w:tr>
      <w:tr w:rsidR="007C5A34" w:rsidRPr="001D5327" w14:paraId="125A2CE4" w14:textId="77777777" w:rsidTr="001B6890">
        <w:tc>
          <w:tcPr>
            <w:tcW w:w="892" w:type="dxa"/>
            <w:shd w:val="clear" w:color="auto" w:fill="FFFFFF" w:themeFill="background1"/>
            <w:tcMar>
              <w:top w:w="0" w:type="dxa"/>
              <w:left w:w="85" w:type="dxa"/>
              <w:bottom w:w="0" w:type="dxa"/>
              <w:right w:w="85" w:type="dxa"/>
            </w:tcMar>
          </w:tcPr>
          <w:p w14:paraId="22BF28A8" w14:textId="77777777" w:rsidR="007C5A34" w:rsidRPr="001D5327" w:rsidRDefault="007C5A34" w:rsidP="00341FEF">
            <w:pPr>
              <w:pStyle w:val="TableText"/>
              <w:spacing w:before="40" w:after="40"/>
              <w:rPr>
                <w:rFonts w:cs="Calibri"/>
                <w:szCs w:val="16"/>
              </w:rPr>
            </w:pPr>
            <w:r w:rsidRPr="001D5327">
              <w:rPr>
                <w:rFonts w:eastAsia="Calibri" w:cs="Calibri"/>
                <w:color w:val="000000" w:themeColor="text1"/>
                <w:szCs w:val="16"/>
              </w:rPr>
              <w:t>Waste</w:t>
            </w:r>
          </w:p>
        </w:tc>
        <w:tc>
          <w:tcPr>
            <w:tcW w:w="1943" w:type="dxa"/>
            <w:shd w:val="clear" w:color="auto" w:fill="FFFFFF" w:themeFill="background1"/>
            <w:tcMar>
              <w:top w:w="0" w:type="dxa"/>
              <w:left w:w="85" w:type="dxa"/>
              <w:bottom w:w="0" w:type="dxa"/>
              <w:right w:w="85" w:type="dxa"/>
            </w:tcMar>
          </w:tcPr>
          <w:p w14:paraId="1A877DA4" w14:textId="77777777" w:rsidR="007C5A34" w:rsidRPr="001D5327" w:rsidRDefault="007C5A34" w:rsidP="00341FEF">
            <w:pPr>
              <w:pStyle w:val="TableText"/>
              <w:spacing w:before="40" w:after="40"/>
              <w:rPr>
                <w:rFonts w:cs="Calibri"/>
                <w:szCs w:val="16"/>
              </w:rPr>
            </w:pPr>
          </w:p>
        </w:tc>
        <w:tc>
          <w:tcPr>
            <w:tcW w:w="5812" w:type="dxa"/>
            <w:shd w:val="clear" w:color="auto" w:fill="FFFFFF" w:themeFill="background1"/>
            <w:tcMar>
              <w:top w:w="0" w:type="dxa"/>
              <w:left w:w="85" w:type="dxa"/>
              <w:bottom w:w="0" w:type="dxa"/>
              <w:right w:w="85" w:type="dxa"/>
            </w:tcMar>
          </w:tcPr>
          <w:p w14:paraId="5AEBB06D" w14:textId="77777777" w:rsidR="007C5A34" w:rsidRPr="001D5327" w:rsidRDefault="007C5A34" w:rsidP="00341FEF">
            <w:pPr>
              <w:pStyle w:val="TableText"/>
              <w:spacing w:before="40" w:after="40"/>
              <w:rPr>
                <w:rFonts w:cs="Calibri"/>
                <w:szCs w:val="16"/>
              </w:rPr>
            </w:pPr>
          </w:p>
        </w:tc>
        <w:tc>
          <w:tcPr>
            <w:tcW w:w="1555" w:type="dxa"/>
            <w:shd w:val="clear" w:color="auto" w:fill="FFFFFF" w:themeFill="background1"/>
            <w:tcMar>
              <w:top w:w="0" w:type="dxa"/>
              <w:left w:w="85" w:type="dxa"/>
              <w:bottom w:w="0" w:type="dxa"/>
              <w:right w:w="85" w:type="dxa"/>
            </w:tcMar>
          </w:tcPr>
          <w:p w14:paraId="1EDC3A1D" w14:textId="77777777" w:rsidR="007C5A34" w:rsidRPr="001D5327" w:rsidRDefault="007C5A34" w:rsidP="00341FEF">
            <w:pPr>
              <w:pStyle w:val="TableText"/>
              <w:spacing w:before="40" w:after="40"/>
              <w:rPr>
                <w:rFonts w:cs="Calibri"/>
                <w:szCs w:val="16"/>
              </w:rPr>
            </w:pPr>
          </w:p>
        </w:tc>
        <w:tc>
          <w:tcPr>
            <w:tcW w:w="3792" w:type="dxa"/>
            <w:shd w:val="clear" w:color="auto" w:fill="FFFFFF" w:themeFill="background1"/>
            <w:tcMar>
              <w:top w:w="0" w:type="dxa"/>
              <w:left w:w="85" w:type="dxa"/>
              <w:bottom w:w="0" w:type="dxa"/>
              <w:right w:w="85" w:type="dxa"/>
            </w:tcMar>
          </w:tcPr>
          <w:p w14:paraId="01AE2F53" w14:textId="77777777" w:rsidR="007C5A34" w:rsidRPr="001D5327" w:rsidRDefault="007C5A34" w:rsidP="00341FEF">
            <w:pPr>
              <w:pStyle w:val="TableText"/>
              <w:spacing w:before="40" w:after="40"/>
              <w:rPr>
                <w:rFonts w:cs="Calibri"/>
                <w:szCs w:val="16"/>
              </w:rPr>
            </w:pPr>
          </w:p>
        </w:tc>
      </w:tr>
      <w:tr w:rsidR="007C5A34" w:rsidRPr="001D5327" w14:paraId="6302E02B" w14:textId="77777777" w:rsidTr="001B6890">
        <w:tc>
          <w:tcPr>
            <w:tcW w:w="892" w:type="dxa"/>
            <w:shd w:val="clear" w:color="auto" w:fill="FFFFFF" w:themeFill="background1"/>
            <w:tcMar>
              <w:top w:w="0" w:type="dxa"/>
              <w:left w:w="85" w:type="dxa"/>
              <w:bottom w:w="0" w:type="dxa"/>
              <w:right w:w="85" w:type="dxa"/>
            </w:tcMar>
          </w:tcPr>
          <w:p w14:paraId="2878E0FA"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W.12</w:t>
            </w:r>
          </w:p>
        </w:tc>
        <w:tc>
          <w:tcPr>
            <w:tcW w:w="1943" w:type="dxa"/>
            <w:shd w:val="clear" w:color="auto" w:fill="FFFFFF" w:themeFill="background1"/>
            <w:tcMar>
              <w:top w:w="0" w:type="dxa"/>
              <w:left w:w="85" w:type="dxa"/>
              <w:bottom w:w="0" w:type="dxa"/>
              <w:right w:w="85" w:type="dxa"/>
            </w:tcMar>
          </w:tcPr>
          <w:p w14:paraId="405B9F80"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5.A Solid waste disposal on land – CH₄</w:t>
            </w:r>
          </w:p>
        </w:tc>
        <w:tc>
          <w:tcPr>
            <w:tcW w:w="5812" w:type="dxa"/>
            <w:shd w:val="clear" w:color="auto" w:fill="FFFFFF" w:themeFill="background1"/>
            <w:tcMar>
              <w:top w:w="0" w:type="dxa"/>
              <w:left w:w="85" w:type="dxa"/>
              <w:bottom w:w="0" w:type="dxa"/>
              <w:right w:w="85" w:type="dxa"/>
            </w:tcMar>
          </w:tcPr>
          <w:p w14:paraId="1602D2AF" w14:textId="77777777" w:rsidR="007C5A34" w:rsidRPr="001D5327" w:rsidRDefault="007C5A34" w:rsidP="00341FEF">
            <w:pPr>
              <w:pStyle w:val="TableText"/>
              <w:spacing w:before="40" w:after="40"/>
              <w:rPr>
                <w:rFonts w:cs="Calibri"/>
                <w:szCs w:val="16"/>
              </w:rPr>
            </w:pPr>
            <w:r w:rsidRPr="001D5327">
              <w:rPr>
                <w:rFonts w:eastAsia="Calibri" w:cs="Calibri"/>
                <w:color w:val="000000" w:themeColor="text1"/>
                <w:szCs w:val="16"/>
              </w:rPr>
              <w:t xml:space="preserve">The Party reported in its NIR (p.318) that CH₄ recovery from SWDS was estimated assuming a 68 per cent recovery efficiency for SWDS that were open in the latest reporting year and a 52 per cent recovery efficiency for sites that were closed. These recovery efficiencies were justified by referring to an unpublished study by consulting group Eunomia, which cites these percentages as being the instantaneous recovery efficiency (the ratio of CH₄ recovery and predicted generation, using a model for emissions from landfill named the MELMod model) at SWDS in the United Kingdom of Great Britain and Northern Ireland and argues that, with respect to waste composition and biodegradation of organic material, there are no substantial differences between SWDS in the United Kingdom and New Zealand. Also, site management practices appear to be similar. In the absence of more of the data used by operators (to arrive at alternative lifetime capture rates), it is unclear to Eunomia why the rates would differ so widely between active sites in the two countries. The ERT noted that the justification of Eunomia’s argument that United Kingdom CH₄ recovery efficiencies are applicable to New Zealand is insufficient. Collection efficiency is dependent on the permeability of the cover soil, the part of the SWDS where CH₄ is collected (with emphasis on freshly deposited waste), well density (gas well/ha) and screening for surface emissions, among other factors. After 2000, the United Kingdom developed strict regulations on this, and it is not clear whether similar regulations exist in New Zealand and, if so, whether they have been successfully implemented. The ERT noted </w:t>
            </w:r>
            <w:r w:rsidRPr="001D5327">
              <w:rPr>
                <w:rFonts w:eastAsia="Calibri" w:cs="Calibri"/>
                <w:color w:val="000000" w:themeColor="text1"/>
                <w:szCs w:val="16"/>
              </w:rPr>
              <w:lastRenderedPageBreak/>
              <w:t>that the assumption of a 68/52 per cent recovery rate is not in accordance with the 2006 IPCC Guidelines (vol. 5, chap. 3, pp.3.18–3.19), which indicate that CH₄ recovery should be measured (either directly or indirectly from energy generation). If no measurement data are available, recovery might be estimated on the basis of installed capacity (assuming 35 per cent of this capacity is actually used) or a default recovery of 20 per cent can be assumed for the part of the waste where CH₄ is collected. The ERT also noted that, according to the Eunomia study, SWDS operators do have available measurements of CH₄ collected. However, owing to commercial confidentiality and administrative simplicity, these data are not reported to the competent authorities and so are not available to the GHG inventory team. The ERT recommends that the Party quantify CH₄ recovery on the basis of amounts measured by the SWDS operators. As long as this information is not available, a recovery efficiency of 20 per cent can be assumed for the part of the waste where CH₄ is collected or, alternatively, recovery can be estimated as 35 per cent of available collection capacity in accordance with the 2006 IPCC Guidelines (vol. 5, chap. 3, pp.3.18–3.19). The ERT also encourages the Party to build up an institutional framework, so that measurements of CH₄ collection by the SWDS operators become available to the inventory team.</w:t>
            </w:r>
          </w:p>
        </w:tc>
        <w:tc>
          <w:tcPr>
            <w:tcW w:w="1555" w:type="dxa"/>
            <w:shd w:val="clear" w:color="auto" w:fill="FFFFFF" w:themeFill="background1"/>
            <w:tcMar>
              <w:top w:w="0" w:type="dxa"/>
              <w:left w:w="85" w:type="dxa"/>
              <w:bottom w:w="0" w:type="dxa"/>
              <w:right w:w="85" w:type="dxa"/>
            </w:tcMar>
          </w:tcPr>
          <w:p w14:paraId="05594D9B"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lastRenderedPageBreak/>
              <w:t>Yes. Accuracy</w:t>
            </w:r>
          </w:p>
        </w:tc>
        <w:tc>
          <w:tcPr>
            <w:tcW w:w="3792" w:type="dxa"/>
            <w:shd w:val="clear" w:color="auto" w:fill="FFFFFF" w:themeFill="background1"/>
            <w:tcMar>
              <w:top w:w="0" w:type="dxa"/>
              <w:left w:w="85" w:type="dxa"/>
              <w:bottom w:w="0" w:type="dxa"/>
              <w:right w:w="85" w:type="dxa"/>
            </w:tcMar>
          </w:tcPr>
          <w:p w14:paraId="4E02F878" w14:textId="77777777" w:rsidR="007C5A34" w:rsidRPr="001D5327" w:rsidRDefault="007C5A34" w:rsidP="00341FEF">
            <w:pPr>
              <w:pStyle w:val="TableText"/>
              <w:spacing w:before="40" w:after="40"/>
              <w:rPr>
                <w:rFonts w:cs="Calibri"/>
                <w:szCs w:val="16"/>
              </w:rPr>
            </w:pPr>
            <w:r w:rsidRPr="001D5327">
              <w:rPr>
                <w:rFonts w:cs="Calibri"/>
                <w:bCs/>
                <w:szCs w:val="16"/>
              </w:rPr>
              <w:t>Resolved</w:t>
            </w:r>
            <w:r w:rsidRPr="001D5327">
              <w:rPr>
                <w:rFonts w:cs="Calibri"/>
                <w:szCs w:val="16"/>
              </w:rPr>
              <w:t>. Country-specific methane recovery rates were gathered from a range of open and closed facilities, varying in size from small to large. These data were provided to the Ministry for the Environment through a voluntary survey conducted in 2024. To estimate landfill gas</w:t>
            </w:r>
            <w:r w:rsidRPr="001D5327" w:rsidDel="002C0A77">
              <w:rPr>
                <w:rFonts w:cs="Calibri"/>
                <w:szCs w:val="16"/>
              </w:rPr>
              <w:t xml:space="preserve"> </w:t>
            </w:r>
            <w:r w:rsidRPr="001D5327">
              <w:rPr>
                <w:rFonts w:cs="Calibri"/>
                <w:szCs w:val="16"/>
              </w:rPr>
              <w:t>efficiency for each site, several assumptions were made regarding: 1) gas capture cover type and capture rate, 2) capture rate losses, 3) cover type losses after filling, and 4) capture rate before landfill operations. Details are described in chapter 7, section 7.2.2.</w:t>
            </w:r>
          </w:p>
        </w:tc>
      </w:tr>
      <w:tr w:rsidR="007C5A34" w:rsidRPr="001D5327" w14:paraId="2227F7C2" w14:textId="77777777" w:rsidTr="001B6890">
        <w:tc>
          <w:tcPr>
            <w:tcW w:w="892" w:type="dxa"/>
            <w:shd w:val="clear" w:color="auto" w:fill="FFFFFF" w:themeFill="background1"/>
            <w:tcMar>
              <w:top w:w="0" w:type="dxa"/>
              <w:left w:w="85" w:type="dxa"/>
              <w:bottom w:w="0" w:type="dxa"/>
              <w:right w:w="85" w:type="dxa"/>
            </w:tcMar>
          </w:tcPr>
          <w:p w14:paraId="005EC3E4"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W.13</w:t>
            </w:r>
          </w:p>
        </w:tc>
        <w:tc>
          <w:tcPr>
            <w:tcW w:w="1943" w:type="dxa"/>
            <w:shd w:val="clear" w:color="auto" w:fill="FFFFFF" w:themeFill="background1"/>
            <w:tcMar>
              <w:top w:w="0" w:type="dxa"/>
              <w:left w:w="85" w:type="dxa"/>
              <w:bottom w:w="0" w:type="dxa"/>
              <w:right w:w="85" w:type="dxa"/>
            </w:tcMar>
          </w:tcPr>
          <w:p w14:paraId="4E8DB561"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5.A Solid waste disposal on land – CH₄</w:t>
            </w:r>
          </w:p>
        </w:tc>
        <w:tc>
          <w:tcPr>
            <w:tcW w:w="5812" w:type="dxa"/>
            <w:shd w:val="clear" w:color="auto" w:fill="FFFFFF" w:themeFill="background1"/>
            <w:tcMar>
              <w:top w:w="0" w:type="dxa"/>
              <w:left w:w="85" w:type="dxa"/>
              <w:bottom w:w="0" w:type="dxa"/>
              <w:right w:w="85" w:type="dxa"/>
            </w:tcMar>
          </w:tcPr>
          <w:p w14:paraId="2D7422E2" w14:textId="77777777" w:rsidR="007C5A34" w:rsidRPr="001D5327" w:rsidRDefault="007C5A34" w:rsidP="00341FEF">
            <w:pPr>
              <w:pStyle w:val="TableText"/>
              <w:spacing w:before="40" w:after="40"/>
              <w:rPr>
                <w:rFonts w:cs="Calibri"/>
                <w:szCs w:val="16"/>
              </w:rPr>
            </w:pPr>
            <w:r w:rsidRPr="001D5327">
              <w:rPr>
                <w:rFonts w:eastAsia="Calibri" w:cs="Calibri"/>
                <w:color w:val="000000" w:themeColor="text1"/>
                <w:szCs w:val="16"/>
              </w:rPr>
              <w:t xml:space="preserve">The Party reported in its NIR (pp.317–318) that CH₄ generation in SWDS was estimated assuming country-specific values for the decay rate constant. This is justified by referring to the unpublished Eunomia study, wherein it is suggested that decay rate constant values from a model for landfill gas named the GasSim model be used because the United Kingdom and New Zealand have similar waste composition and management practices and both, being islands, have a maritime climate. According to the Eunomia study, the use of the GasSim factors allows for maritime climate to be taken into account, which is not the case for the default decay rate constant values from the 2006 IPCC Guidelines (vol. 5, chap. 3, p.3.17). However, it is indicated in the study that these values should be further verified in New Zealand using a similar benchmarking process to that undertaken in the United Kingdom to identify whether the appropriate factors are being used as New Zealand sites typically have higher temperatures and higher rainfall than those in the United Kingdom. The 2006 IPCC Guidelines (vol. 1, chap. 2, p.2.12 and table 2.2) give guidance on what information can be used for developing country-specific model parameters. Other specific studies, census, surveys, measurement and monitoring data can also be used. However, the factors must be representative and standard methods must be used. The ERT noted that the assumptions in GasSim are not transparent and the details of the validation of GasSim in British landfills are not available for review. The ERT agrees that the model from the 2006 IPCC Guidelines has its limitations and that GasSim might result in a better prediction for both the United Kingdom and New Zealand. However, an open and scientific discussion on the accuracy of GasSim’s prediction is needed before </w:t>
            </w:r>
            <w:r w:rsidRPr="001D5327">
              <w:rPr>
                <w:rFonts w:eastAsia="Calibri" w:cs="Calibri"/>
                <w:color w:val="000000" w:themeColor="text1"/>
                <w:szCs w:val="16"/>
              </w:rPr>
              <w:lastRenderedPageBreak/>
              <w:t>results from the GasSim model can be accepted for GHG inventory purposes. The ERT agrees with the opinion expressed in the Eunomia study that a benchmarking process would provide valuable information on biodegradation in SWDS in New Zealand. The ERT recommends that the Party either justify that the decay rate constant values from the GasSim model are appropriate for New Zealand’s circumstances, for example by undertaking a benchmarking process to ensure that the values are appropriate for the country’s climatic conditions, or quantify CH₄ generation from SWDS using the default decay rate constant values from the 2006 IPCC Guidelines (vol. 5, chap. 3, p.3.17).</w:t>
            </w:r>
          </w:p>
        </w:tc>
        <w:tc>
          <w:tcPr>
            <w:tcW w:w="1555" w:type="dxa"/>
            <w:shd w:val="clear" w:color="auto" w:fill="FFFFFF" w:themeFill="background1"/>
            <w:tcMar>
              <w:top w:w="0" w:type="dxa"/>
              <w:left w:w="85" w:type="dxa"/>
              <w:bottom w:w="0" w:type="dxa"/>
              <w:right w:w="85" w:type="dxa"/>
            </w:tcMar>
          </w:tcPr>
          <w:p w14:paraId="5B6AF564"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lastRenderedPageBreak/>
              <w:t>Yes. Accuracy</w:t>
            </w:r>
          </w:p>
        </w:tc>
        <w:tc>
          <w:tcPr>
            <w:tcW w:w="3792" w:type="dxa"/>
            <w:shd w:val="clear" w:color="auto" w:fill="FFFFFF" w:themeFill="background1"/>
            <w:tcMar>
              <w:top w:w="0" w:type="dxa"/>
              <w:left w:w="85" w:type="dxa"/>
              <w:bottom w:w="0" w:type="dxa"/>
              <w:right w:w="85" w:type="dxa"/>
            </w:tcMar>
          </w:tcPr>
          <w:p w14:paraId="3154ED7F" w14:textId="77777777" w:rsidR="007C5A34" w:rsidRPr="001D5327" w:rsidRDefault="007C5A34" w:rsidP="00341FEF">
            <w:pPr>
              <w:pStyle w:val="TableText"/>
              <w:spacing w:before="40" w:after="40"/>
              <w:rPr>
                <w:rFonts w:cs="Calibri"/>
                <w:szCs w:val="16"/>
              </w:rPr>
            </w:pPr>
            <w:r w:rsidRPr="001D5327">
              <w:rPr>
                <w:rFonts w:cs="Calibri"/>
                <w:bCs/>
                <w:szCs w:val="16"/>
              </w:rPr>
              <w:t>Resolved</w:t>
            </w:r>
            <w:r w:rsidRPr="001D5327">
              <w:rPr>
                <w:rFonts w:cs="Calibri"/>
                <w:szCs w:val="16"/>
              </w:rPr>
              <w:t>. While the k-values used in the past four submissions of the Inventory were derived from Eunomia (unpublished), it was decided to revert to the default IPCC values due to the limited number of site-specific models available to calibrate decay rate performance accurately.</w:t>
            </w:r>
          </w:p>
        </w:tc>
      </w:tr>
      <w:tr w:rsidR="007C5A34" w:rsidRPr="001D5327" w14:paraId="73A4046C" w14:textId="77777777" w:rsidTr="001B6890">
        <w:tc>
          <w:tcPr>
            <w:tcW w:w="892" w:type="dxa"/>
            <w:shd w:val="clear" w:color="auto" w:fill="FFFFFF" w:themeFill="background1"/>
            <w:tcMar>
              <w:top w:w="0" w:type="dxa"/>
              <w:left w:w="85" w:type="dxa"/>
              <w:bottom w:w="0" w:type="dxa"/>
              <w:right w:w="85" w:type="dxa"/>
            </w:tcMar>
          </w:tcPr>
          <w:p w14:paraId="7258800D"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W.14</w:t>
            </w:r>
          </w:p>
        </w:tc>
        <w:tc>
          <w:tcPr>
            <w:tcW w:w="1943" w:type="dxa"/>
            <w:shd w:val="clear" w:color="auto" w:fill="FFFFFF" w:themeFill="background1"/>
            <w:tcMar>
              <w:top w:w="0" w:type="dxa"/>
              <w:left w:w="85" w:type="dxa"/>
              <w:bottom w:w="0" w:type="dxa"/>
              <w:right w:w="85" w:type="dxa"/>
            </w:tcMar>
          </w:tcPr>
          <w:p w14:paraId="483563DD"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5.A Solid waste disposal on land – CH₄</w:t>
            </w:r>
          </w:p>
        </w:tc>
        <w:tc>
          <w:tcPr>
            <w:tcW w:w="5812" w:type="dxa"/>
            <w:shd w:val="clear" w:color="auto" w:fill="FFFFFF" w:themeFill="background1"/>
            <w:tcMar>
              <w:top w:w="0" w:type="dxa"/>
              <w:left w:w="85" w:type="dxa"/>
              <w:bottom w:w="0" w:type="dxa"/>
              <w:right w:w="85" w:type="dxa"/>
            </w:tcMar>
          </w:tcPr>
          <w:p w14:paraId="4344F9EA" w14:textId="77777777" w:rsidR="007C5A34" w:rsidRPr="001D5327" w:rsidRDefault="007C5A34" w:rsidP="00341FEF">
            <w:pPr>
              <w:pStyle w:val="TableText"/>
              <w:spacing w:before="40" w:after="40"/>
              <w:rPr>
                <w:rFonts w:cs="Calibri"/>
                <w:szCs w:val="16"/>
              </w:rPr>
            </w:pPr>
            <w:r w:rsidRPr="001D5327">
              <w:rPr>
                <w:rFonts w:eastAsia="Calibri" w:cs="Calibri"/>
                <w:color w:val="000000" w:themeColor="text1"/>
                <w:szCs w:val="16"/>
              </w:rPr>
              <w:t>The Party reported in its NIR (p.317) that CH₄ emissions from SWDS are estimated assuming a fraction of CH₄ in landfill gas of 0.57. This is justified by referring to the unpublished Eunomia study, wherein reference is made to Golder Associates (2014), according to which the fraction of CH₄ in landfill is based on 50,000 landfill gas monitoring data sets supplied by SWDS in the United Kingdom for 2010–2012. The ERT noted that the value of 0.57, as proposed by Golder Associates (2014), is based on available analyses of the composition of recovered landfill gas. The 2006 IPCC Guidelines (vol. 5, chap. 3, p.3.15) indicate that, in SWDS, CO₂ is absorbed in seepage water and the neutral condition of the SWDS transforms much of the absorbed CO₂ to bicarbonate. Therefore, if the fraction of CH₄ in landfill gas is based on measurements of CH₄ concentrations measured in emitted landfill gas, it is good practice to adjust for the CO₂ absorption in seepage water. During the review, the Party confirmed that while the value of 0.57 was based on experimental data, CO₂ absorption was not accounted for in Golder Associates (2014). The ERT recommends that the Party either adjust the county-specific value of 0.57 for CO₂ absorption in seepage water or revert to the default value of 0.5 from the 2006 IPCC Guidelines (vol. 5, chap. 3, p.3.15).</w:t>
            </w:r>
          </w:p>
        </w:tc>
        <w:tc>
          <w:tcPr>
            <w:tcW w:w="1555" w:type="dxa"/>
            <w:shd w:val="clear" w:color="auto" w:fill="FFFFFF" w:themeFill="background1"/>
            <w:tcMar>
              <w:top w:w="0" w:type="dxa"/>
              <w:left w:w="85" w:type="dxa"/>
              <w:bottom w:w="0" w:type="dxa"/>
              <w:right w:w="85" w:type="dxa"/>
            </w:tcMar>
          </w:tcPr>
          <w:p w14:paraId="48345DAC"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Yes. Accuracy</w:t>
            </w:r>
          </w:p>
        </w:tc>
        <w:tc>
          <w:tcPr>
            <w:tcW w:w="3792" w:type="dxa"/>
            <w:shd w:val="clear" w:color="auto" w:fill="FFFFFF" w:themeFill="background1"/>
            <w:tcMar>
              <w:top w:w="0" w:type="dxa"/>
              <w:left w:w="85" w:type="dxa"/>
              <w:bottom w:w="0" w:type="dxa"/>
              <w:right w:w="85" w:type="dxa"/>
            </w:tcMar>
          </w:tcPr>
          <w:p w14:paraId="1BFA7D42" w14:textId="77777777" w:rsidR="007C5A34" w:rsidRPr="001D5327" w:rsidRDefault="007C5A34" w:rsidP="00341FEF">
            <w:pPr>
              <w:pStyle w:val="TableText"/>
              <w:spacing w:before="40" w:after="40"/>
              <w:rPr>
                <w:rFonts w:cs="Calibri"/>
                <w:szCs w:val="16"/>
              </w:rPr>
            </w:pPr>
            <w:r w:rsidRPr="001D5327">
              <w:rPr>
                <w:rFonts w:cs="Calibri"/>
                <w:bCs/>
                <w:szCs w:val="16"/>
              </w:rPr>
              <w:t>Resolved</w:t>
            </w:r>
            <w:r w:rsidRPr="001D5327">
              <w:rPr>
                <w:rFonts w:cs="Calibri"/>
                <w:szCs w:val="16"/>
              </w:rPr>
              <w:t>. The fraction of methane in landfill gas (F) was set at 50 per cent for both municipal and uncategorised landfills. This value was revised from a previous estimate of 57 per cent, which was based on landfill gas monitoring data from the United Kingdom. This earlier value was assumed to be applicable due to similarities in landfill management practices between New Zealand and the United Kingdom. However, it was decided that, in the absence of country-specific analyses to account for CO</w:t>
            </w:r>
            <w:r w:rsidRPr="001D5327">
              <w:rPr>
                <w:rFonts w:cs="Calibri"/>
                <w:szCs w:val="16"/>
                <w:vertAlign w:val="subscript"/>
              </w:rPr>
              <w:t>2</w:t>
            </w:r>
            <w:r w:rsidRPr="001D5327">
              <w:rPr>
                <w:rFonts w:cs="Calibri"/>
                <w:szCs w:val="16"/>
              </w:rPr>
              <w:t xml:space="preserve"> absorption in seepage water, the default IPCC value will be used for the fraction of methane in landfill gas. </w:t>
            </w:r>
          </w:p>
        </w:tc>
      </w:tr>
      <w:tr w:rsidR="007C5A34" w:rsidRPr="001D5327" w14:paraId="68B24368" w14:textId="77777777" w:rsidTr="001B6890">
        <w:tc>
          <w:tcPr>
            <w:tcW w:w="892" w:type="dxa"/>
            <w:shd w:val="clear" w:color="auto" w:fill="FFFFFF" w:themeFill="background1"/>
            <w:tcMar>
              <w:top w:w="0" w:type="dxa"/>
              <w:left w:w="85" w:type="dxa"/>
              <w:bottom w:w="0" w:type="dxa"/>
              <w:right w:w="85" w:type="dxa"/>
            </w:tcMar>
          </w:tcPr>
          <w:p w14:paraId="764A8CF5"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W.15</w:t>
            </w:r>
          </w:p>
        </w:tc>
        <w:tc>
          <w:tcPr>
            <w:tcW w:w="1943" w:type="dxa"/>
            <w:shd w:val="clear" w:color="auto" w:fill="FFFFFF" w:themeFill="background1"/>
            <w:tcMar>
              <w:top w:w="0" w:type="dxa"/>
              <w:left w:w="85" w:type="dxa"/>
              <w:bottom w:w="0" w:type="dxa"/>
              <w:right w:w="85" w:type="dxa"/>
            </w:tcMar>
          </w:tcPr>
          <w:p w14:paraId="250E783C"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t>5.D Wastewater treatment and discharge – CH₄ and N₂O</w:t>
            </w:r>
          </w:p>
        </w:tc>
        <w:tc>
          <w:tcPr>
            <w:tcW w:w="5812" w:type="dxa"/>
            <w:shd w:val="clear" w:color="auto" w:fill="FFFFFF" w:themeFill="background1"/>
            <w:tcMar>
              <w:top w:w="0" w:type="dxa"/>
              <w:left w:w="85" w:type="dxa"/>
              <w:bottom w:w="0" w:type="dxa"/>
              <w:right w:w="85" w:type="dxa"/>
            </w:tcMar>
          </w:tcPr>
          <w:p w14:paraId="3727588F" w14:textId="77777777" w:rsidR="007C5A34" w:rsidRPr="001D5327" w:rsidRDefault="007C5A34" w:rsidP="00341FEF">
            <w:pPr>
              <w:pStyle w:val="TableText"/>
              <w:spacing w:before="40" w:after="40"/>
              <w:rPr>
                <w:rFonts w:cs="Calibri"/>
                <w:szCs w:val="16"/>
              </w:rPr>
            </w:pPr>
            <w:r w:rsidRPr="001D5327">
              <w:rPr>
                <w:rFonts w:eastAsia="Calibri" w:cs="Calibri"/>
                <w:color w:val="000000" w:themeColor="text1"/>
                <w:szCs w:val="16"/>
              </w:rPr>
              <w:t xml:space="preserve">The Party reported in its NIR (p.329) that sludge amounts are reported as “IE” for both domestic and industrial wastewater because most of the sludge is sent to SWDS, and that AD and emissions from sludge disposal are reported in the solid waste disposal source category (see NIR p.316). In addition, emissions from sludge treatment and disposal are mentioned in the NIR for the energy (p.86) and agriculture (p.201) sectors, as well as for the waste sector under the category incineration (p.325). The ERT noted that this is not in agreement with the 2006 IPCC Guidelines. Where statistics on sludge removal are not available, the amount of TOW removed as sludge in equations 6.1 and 6.4 of the 2006 IPCC Guidelines (vol. 5, chap. 6) is zero. In this case, all organic material (TOW) is assumed to be completely converted to gases (i.e. CO₂, CH₄, N and N₂O) and reported under wastewater treatment and discharge (category 5.D) and CH₄ and N₂O emissions from sludge treatment and disposal are included in the total emissions for category 5.D, assuming the EFs for category 5.D (see the 2006 IPCC Guidelines, vol. 5, chap. 6.6.1). When sludge is included in other categories, the calculation of emissions for category 5.D should be corrected for the corresponding amount of TOW removed as sludge, as indicated in equations 6.1 and </w:t>
            </w:r>
            <w:r w:rsidRPr="001D5327">
              <w:rPr>
                <w:rFonts w:eastAsia="Calibri" w:cs="Calibri"/>
                <w:color w:val="000000" w:themeColor="text1"/>
                <w:szCs w:val="16"/>
              </w:rPr>
              <w:lastRenderedPageBreak/>
              <w:t>6.4 of the 2006 IPCC Guidelines (vol. 5, chap. 6, pp.6.11 and 6.18, under “completeness” and “reporting and documentation”). Failure to make this correction results in double counting of emissions. Therefore, if New Zealand has information on the mass of sludge removed and an estimate of the organic matter in dry sludge, the amount of TOW removed as sludge might be calculated as the product of (1) the total dry mass of sludge, (2) the average organic matter content in sludge and (3) a conversion of organic matter to chemical oxygen demand. When one assumes that organic matter can be described as cellulose (C(H</w:t>
            </w:r>
            <w:r w:rsidRPr="001D5327">
              <w:rPr>
                <w:rFonts w:eastAsia="Calibri" w:cs="Calibri"/>
                <w:color w:val="000000" w:themeColor="text1"/>
                <w:szCs w:val="16"/>
                <w:vertAlign w:val="subscript"/>
              </w:rPr>
              <w:t>2</w:t>
            </w:r>
            <w:r w:rsidRPr="001D5327">
              <w:rPr>
                <w:rFonts w:eastAsia="Calibri" w:cs="Calibri"/>
                <w:color w:val="000000" w:themeColor="text1"/>
                <w:szCs w:val="16"/>
              </w:rPr>
              <w:t>O)</w:t>
            </w:r>
            <w:r w:rsidRPr="001D5327">
              <w:rPr>
                <w:rFonts w:eastAsia="Calibri" w:cs="Calibri"/>
                <w:color w:val="000000" w:themeColor="text1"/>
                <w:szCs w:val="16"/>
                <w:vertAlign w:val="subscript"/>
              </w:rPr>
              <w:t>n</w:t>
            </w:r>
            <w:r w:rsidRPr="001D5327">
              <w:rPr>
                <w:rFonts w:eastAsia="Calibri" w:cs="Calibri"/>
                <w:color w:val="000000" w:themeColor="text1"/>
                <w:szCs w:val="16"/>
              </w:rPr>
              <w:t>), the oxidation proceeds via C(H</w:t>
            </w:r>
            <w:r w:rsidRPr="001D5327">
              <w:rPr>
                <w:rFonts w:eastAsia="Calibri" w:cs="Calibri"/>
                <w:color w:val="000000" w:themeColor="text1"/>
                <w:szCs w:val="16"/>
                <w:vertAlign w:val="subscript"/>
              </w:rPr>
              <w:t>2</w:t>
            </w:r>
            <w:r w:rsidRPr="001D5327">
              <w:rPr>
                <w:rFonts w:eastAsia="Calibri" w:cs="Calibri"/>
                <w:color w:val="000000" w:themeColor="text1"/>
                <w:szCs w:val="16"/>
              </w:rPr>
              <w:t>O)</w:t>
            </w:r>
            <w:r w:rsidRPr="001D5327">
              <w:rPr>
                <w:rFonts w:eastAsia="Calibri" w:cs="Calibri"/>
                <w:color w:val="000000" w:themeColor="text1"/>
                <w:szCs w:val="16"/>
                <w:vertAlign w:val="subscript"/>
              </w:rPr>
              <w:t>n</w:t>
            </w:r>
            <w:r w:rsidRPr="001D5327">
              <w:rPr>
                <w:rFonts w:eastAsia="Calibri" w:cs="Calibri"/>
                <w:color w:val="000000" w:themeColor="text1"/>
                <w:szCs w:val="16"/>
              </w:rPr>
              <w:t xml:space="preserve"> + n O</w:t>
            </w:r>
            <w:r w:rsidRPr="001D5327">
              <w:rPr>
                <w:rFonts w:eastAsia="Calibri" w:cs="Calibri"/>
                <w:color w:val="000000" w:themeColor="text1"/>
                <w:szCs w:val="16"/>
                <w:vertAlign w:val="subscript"/>
              </w:rPr>
              <w:t>2</w:t>
            </w:r>
            <w:r w:rsidRPr="001D5327">
              <w:rPr>
                <w:rFonts w:eastAsia="Calibri" w:cs="Calibri"/>
                <w:color w:val="000000" w:themeColor="text1"/>
                <w:szCs w:val="16"/>
              </w:rPr>
              <w:t xml:space="preserve"> → n CO₂ + n H</w:t>
            </w:r>
            <w:r w:rsidRPr="001D5327">
              <w:rPr>
                <w:rFonts w:eastAsia="Calibri" w:cs="Calibri"/>
                <w:color w:val="000000" w:themeColor="text1"/>
                <w:szCs w:val="16"/>
                <w:vertAlign w:val="subscript"/>
              </w:rPr>
              <w:t>2</w:t>
            </w:r>
            <w:r w:rsidRPr="001D5327">
              <w:rPr>
                <w:rFonts w:eastAsia="Calibri" w:cs="Calibri"/>
                <w:color w:val="000000" w:themeColor="text1"/>
                <w:szCs w:val="16"/>
              </w:rPr>
              <w:t>O and the conversion of 1 kg organic matter corresponds to 32/30 kg chemical oxygen demand. The ERT recommends that the Party revise its estimates to prevent double counting of emissions by either removing emissions from sludge treatment and discharge for all sectors other than for category 5.D, or correcting the calculation of emissions for category 5.D using equations 6.1 and 6.4 from the 2006 IPCC Guidelines and an amount of TOW removed as sludge that corresponds to the AD for emissions from sludge treatment and disposal for categories 5.A and 5.C and in the energy and agriculture sectors. If New Zealand were to choose the first option, the issues in ID# W.9 and W.10 in table 3 would automatically be resolved as well.</w:t>
            </w:r>
          </w:p>
        </w:tc>
        <w:tc>
          <w:tcPr>
            <w:tcW w:w="1555" w:type="dxa"/>
            <w:shd w:val="clear" w:color="auto" w:fill="FFFFFF" w:themeFill="background1"/>
            <w:tcMar>
              <w:top w:w="0" w:type="dxa"/>
              <w:left w:w="85" w:type="dxa"/>
              <w:bottom w:w="0" w:type="dxa"/>
              <w:right w:w="85" w:type="dxa"/>
            </w:tcMar>
          </w:tcPr>
          <w:p w14:paraId="7B7D39B7" w14:textId="77777777" w:rsidR="007C5A34" w:rsidRPr="001D5327" w:rsidRDefault="007C5A34" w:rsidP="00341FEF">
            <w:pPr>
              <w:pStyle w:val="TableText"/>
              <w:spacing w:before="40" w:after="40"/>
              <w:rPr>
                <w:rFonts w:cs="Calibri"/>
                <w:szCs w:val="16"/>
              </w:rPr>
            </w:pPr>
            <w:r w:rsidRPr="001D5327">
              <w:rPr>
                <w:rFonts w:eastAsia="Calibri" w:cs="Calibri"/>
                <w:color w:val="000000"/>
                <w:szCs w:val="16"/>
              </w:rPr>
              <w:lastRenderedPageBreak/>
              <w:t>Yes. Accuracy</w:t>
            </w:r>
          </w:p>
        </w:tc>
        <w:tc>
          <w:tcPr>
            <w:tcW w:w="3792" w:type="dxa"/>
            <w:shd w:val="clear" w:color="auto" w:fill="FFFFFF" w:themeFill="background1"/>
            <w:tcMar>
              <w:top w:w="0" w:type="dxa"/>
              <w:left w:w="85" w:type="dxa"/>
              <w:bottom w:w="0" w:type="dxa"/>
              <w:right w:w="85" w:type="dxa"/>
            </w:tcMar>
          </w:tcPr>
          <w:p w14:paraId="0E1C2489" w14:textId="77777777" w:rsidR="007C5A34" w:rsidRPr="001D5327" w:rsidRDefault="007C5A34" w:rsidP="00341FEF">
            <w:pPr>
              <w:pStyle w:val="TableText"/>
              <w:spacing w:before="40" w:after="40"/>
              <w:rPr>
                <w:rFonts w:cs="Calibri"/>
                <w:szCs w:val="16"/>
              </w:rPr>
            </w:pPr>
            <w:r w:rsidRPr="001D5327">
              <w:rPr>
                <w:rFonts w:cs="Calibri"/>
                <w:szCs w:val="16"/>
              </w:rPr>
              <w:t>Not resolved. New Zealand plans to collect information on the mass of sludge removed and organic matter content in dry sludge, to revise its current estimates. This has not yet been prioritised due to the negligible emissions associated with sludge.</w:t>
            </w:r>
          </w:p>
        </w:tc>
      </w:tr>
    </w:tbl>
    <w:p w14:paraId="19D0C9FF" w14:textId="6CEE13C7" w:rsidR="007C5A34" w:rsidRPr="001D5327" w:rsidRDefault="007C5A34" w:rsidP="007C5A34">
      <w:pPr>
        <w:pStyle w:val="Noteundertable"/>
      </w:pPr>
      <w:r w:rsidRPr="001D5327">
        <w:rPr>
          <w:b/>
          <w:bCs/>
        </w:rPr>
        <w:t>Note</w:t>
      </w:r>
      <w:r w:rsidRPr="001D5327">
        <w:t xml:space="preserve">: </w:t>
      </w:r>
      <w:r w:rsidRPr="001D5327">
        <w:tab/>
        <w:t>²Recommendations made by the expert review team during the review are related to issues as defined in para. 81 of the United Nations Framework Convention on Climate Change review guidelines or problems as defined in para. 69 of the Article 8 review guidelines (UNFCCC, 2023). AD = activity data; CO₂ = carbon dioxide; CH₄ = methane; CRF = common reporting format; CRT = common reporting table; EFs = emission factors; ERT = expert review team; GHG = greenhouse gas; IE = included elsewhere; IPCC = Intergovernmental Panel on</w:t>
      </w:r>
      <w:r w:rsidR="00906FE9" w:rsidRPr="001D5327">
        <w:t> </w:t>
      </w:r>
      <w:r w:rsidRPr="001D5327">
        <w:t>Climate Change; IPPU = Industrial Processes and Product Use; kg = kilogram; LULUCF = Land Use, Land-Use Change and Forestry; MBIE = Ministry of Business, Innovation and Employment; MCF = methane conversion factor; N = nitrogen; NA = not available; NIR = National Inventory Report; N₂O = nitrous oxide; SWDS = solid waste disposable sites; TOW</w:t>
      </w:r>
      <w:r w:rsidR="00906FE9" w:rsidRPr="001D5327">
        <w:t> </w:t>
      </w:r>
      <w:r w:rsidRPr="001D5327">
        <w:t>=</w:t>
      </w:r>
      <w:r w:rsidR="00906FE9" w:rsidRPr="001D5327">
        <w:t> </w:t>
      </w:r>
      <w:r w:rsidRPr="001D5327">
        <w:t>total organic product in wastewater.</w:t>
      </w:r>
    </w:p>
    <w:p w14:paraId="79E1ED9C" w14:textId="77777777" w:rsidR="007C5A34" w:rsidRPr="001D5327" w:rsidRDefault="007C5A34" w:rsidP="007C5A34"/>
    <w:p w14:paraId="6B657FCB" w14:textId="77777777" w:rsidR="007C5A34" w:rsidRPr="001D5327" w:rsidRDefault="007C5A34" w:rsidP="007C5A34">
      <w:pPr>
        <w:sectPr w:rsidR="007C5A34" w:rsidRPr="001D5327" w:rsidSect="007C5A34">
          <w:footerReference w:type="default" r:id="rId271"/>
          <w:pgSz w:w="16840" w:h="11907" w:orient="landscape" w:code="9"/>
          <w:pgMar w:top="1701" w:right="1418" w:bottom="1701" w:left="1418" w:header="567" w:footer="567" w:gutter="0"/>
          <w:cols w:space="720"/>
        </w:sectPr>
      </w:pPr>
    </w:p>
    <w:p w14:paraId="2FE46DFB" w14:textId="77777777" w:rsidR="007C5A34" w:rsidRPr="001D5327" w:rsidRDefault="007C5A34" w:rsidP="007C5A34">
      <w:pPr>
        <w:pStyle w:val="Heading2"/>
        <w:spacing w:before="0" w:after="360"/>
      </w:pPr>
      <w:bookmarkStart w:id="3092" w:name="_Toc194312068"/>
      <w:bookmarkStart w:id="3093" w:name="chapter-10-references"/>
      <w:bookmarkEnd w:id="3088"/>
      <w:r w:rsidRPr="001D5327">
        <w:lastRenderedPageBreak/>
        <w:t>Chapter 10: References</w:t>
      </w:r>
      <w:bookmarkEnd w:id="3092"/>
    </w:p>
    <w:p w14:paraId="695C0AED" w14:textId="77777777" w:rsidR="007C5A34" w:rsidRPr="001D5327" w:rsidRDefault="007C5A34" w:rsidP="007C5A34">
      <w:pPr>
        <w:pStyle w:val="References"/>
      </w:pPr>
      <w:r w:rsidRPr="001D5327">
        <w:t xml:space="preserve">Easdale TA, Richardson SJ, Marden M, England JR, Gayoso-Aguilar J, Guerra-Carcamo JE, Brandon AM. 2019. Root biomass allocation in southern temperate forests. </w:t>
      </w:r>
      <w:r w:rsidRPr="001D5327">
        <w:rPr>
          <w:i/>
          <w:iCs/>
        </w:rPr>
        <w:t>Forest Ecology and Management</w:t>
      </w:r>
      <w:r w:rsidRPr="001D5327">
        <w:t xml:space="preserve"> 453: 117542.</w:t>
      </w:r>
    </w:p>
    <w:p w14:paraId="0B1C10A6" w14:textId="77777777" w:rsidR="007C5A34" w:rsidRPr="001D5327" w:rsidRDefault="007C5A34" w:rsidP="007C5A34">
      <w:pPr>
        <w:pStyle w:val="References"/>
      </w:pPr>
      <w:r w:rsidRPr="001D5327">
        <w:t>Eunomia. Unpublished. Improvements to Estimates of Greenhouse Gas Emissions from Landfills. Contract report prepared for the Ministry for the Environment in 2020.</w:t>
      </w:r>
    </w:p>
    <w:p w14:paraId="4EB76F05" w14:textId="77777777" w:rsidR="007C5A34" w:rsidRPr="001D5327" w:rsidRDefault="007C5A34" w:rsidP="007C5A34">
      <w:pPr>
        <w:pStyle w:val="References"/>
        <w:rPr>
          <w:highlight w:val="yellow"/>
        </w:rPr>
      </w:pPr>
      <w:r w:rsidRPr="001D5327">
        <w:rPr>
          <w:szCs w:val="20"/>
        </w:rPr>
        <w:t xml:space="preserve">Hill, J. 2012. </w:t>
      </w:r>
      <w:r w:rsidRPr="001D5327">
        <w:rPr>
          <w:i/>
          <w:iCs/>
          <w:szCs w:val="20"/>
        </w:rPr>
        <w:t>Recalculate Pork Industry Emissions Inventory</w:t>
      </w:r>
      <w:r w:rsidRPr="001D5327">
        <w:rPr>
          <w:szCs w:val="20"/>
        </w:rPr>
        <w:t>. Report prepared for the Ministry of Agriculture and Forestry by Massey University and the New Zealand Pork Industry Board. Wellington: Ministry of Agriculture and Forestry.</w:t>
      </w:r>
    </w:p>
    <w:p w14:paraId="6E2AEDED" w14:textId="77777777" w:rsidR="007C5A34" w:rsidRPr="001D5327" w:rsidRDefault="007C5A34" w:rsidP="007C5A34">
      <w:pPr>
        <w:pStyle w:val="References"/>
      </w:pPr>
      <w:r w:rsidRPr="001D5327">
        <w:t xml:space="preserve">IPCC. 2006. Eggleston HS, Buendia L, Miwa K, Ngara T, Tanabe K (eds). </w:t>
      </w:r>
      <w:r w:rsidRPr="001D5327">
        <w:rPr>
          <w:i/>
          <w:iCs/>
        </w:rPr>
        <w:t>2006 IPCC Guidelines for National Greenhouse Gas Inventories.</w:t>
      </w:r>
      <w:r w:rsidRPr="001D5327">
        <w:t xml:space="preserve"> IPCC National Greenhouse Gas Inventories Programme. Japan: Institute for Global Environmental Strategies for IPCC.</w:t>
      </w:r>
    </w:p>
    <w:p w14:paraId="7FF69880" w14:textId="77777777" w:rsidR="007C5A34" w:rsidRPr="001D5327" w:rsidRDefault="007C5A34" w:rsidP="007C5A34">
      <w:pPr>
        <w:pStyle w:val="References"/>
      </w:pPr>
      <w:r w:rsidRPr="001D5327">
        <w:rPr>
          <w:rFonts w:cs="Calibri"/>
        </w:rPr>
        <w:t xml:space="preserve">IPCC. 2019. Calvo Buendia E, Tanabe K, Kranjc A, Baasansuren J, Fukuda M, Ngarize S, Osako A, Pyrozhenko Y, Shermanau P, Federici S (eds). </w:t>
      </w:r>
      <w:r w:rsidRPr="001D5327">
        <w:rPr>
          <w:rFonts w:cs="Calibri"/>
          <w:i/>
          <w:iCs/>
        </w:rPr>
        <w:t>2019 Refinement to the 2006 IPCC Guidelines for National Greenhouse Gas Inventories</w:t>
      </w:r>
      <w:r w:rsidRPr="001D5327">
        <w:rPr>
          <w:rFonts w:cs="Calibri"/>
        </w:rPr>
        <w:t>. Switzerland: IPCC.</w:t>
      </w:r>
    </w:p>
    <w:p w14:paraId="2C734E47" w14:textId="77777777" w:rsidR="007C5A34" w:rsidRPr="001D5327" w:rsidRDefault="007C5A34" w:rsidP="007C5A34">
      <w:pPr>
        <w:pStyle w:val="References"/>
      </w:pPr>
      <w:r w:rsidRPr="001D5327">
        <w:t xml:space="preserve">Ministry for the Environment. 2022. </w:t>
      </w:r>
      <w:r w:rsidRPr="001D5327">
        <w:rPr>
          <w:i/>
          <w:iCs/>
        </w:rPr>
        <w:t>Te Hau Mārohi ki Anamata: Towards a Productive, Sustainable and Inclusive Economy – Aotearoa New Zealand’s First Emissions Reduction Plan.</w:t>
      </w:r>
      <w:r w:rsidRPr="001D5327">
        <w:t xml:space="preserve"> Wellington: Ministry for the Environment.</w:t>
      </w:r>
    </w:p>
    <w:p w14:paraId="5E8EB2E3" w14:textId="77777777" w:rsidR="007C5A34" w:rsidRPr="001D5327" w:rsidRDefault="007C5A34" w:rsidP="007C5A34">
      <w:pPr>
        <w:pStyle w:val="References"/>
        <w:rPr>
          <w:rFonts w:cs="Calibri"/>
          <w:szCs w:val="20"/>
          <w:highlight w:val="yellow"/>
        </w:rPr>
      </w:pPr>
      <w:r w:rsidRPr="001D5327">
        <w:rPr>
          <w:rFonts w:cs="Calibri"/>
          <w:szCs w:val="16"/>
        </w:rPr>
        <w:t xml:space="preserve">Ministry for the Environment, 2024. </w:t>
      </w:r>
      <w:hyperlink r:id="rId272" w:history="1">
        <w:r w:rsidRPr="001D5327">
          <w:rPr>
            <w:rStyle w:val="Hyperlink"/>
            <w:rFonts w:cs="Calibri"/>
            <w:i/>
            <w:iCs/>
            <w:szCs w:val="16"/>
          </w:rPr>
          <w:t>Waste Minimisation Act 2008</w:t>
        </w:r>
      </w:hyperlink>
      <w:r w:rsidRPr="001D5327">
        <w:rPr>
          <w:rFonts w:cs="Calibri"/>
          <w:szCs w:val="16"/>
        </w:rPr>
        <w:t>. Retrieved 27 February 2025.</w:t>
      </w:r>
    </w:p>
    <w:p w14:paraId="556E808B" w14:textId="77777777" w:rsidR="00024E2B" w:rsidRPr="001D5327" w:rsidRDefault="00024E2B" w:rsidP="00024E2B">
      <w:pPr>
        <w:pStyle w:val="References"/>
      </w:pPr>
      <w:r w:rsidRPr="001D5327">
        <w:rPr>
          <w:rFonts w:cs="Calibri"/>
          <w:szCs w:val="20"/>
        </w:rPr>
        <w:t xml:space="preserve">Pickering A, Gibbs J, Wear S, Fick J, Tomlin H. 2024. </w:t>
      </w:r>
      <w:hyperlink r:id="rId273" w:history="1">
        <w:r w:rsidRPr="001D5327">
          <w:rPr>
            <w:rStyle w:val="Hyperlink"/>
            <w:rFonts w:cs="Calibri"/>
            <w:i/>
            <w:szCs w:val="20"/>
          </w:rPr>
          <w:t>Methodology for Calculation of New Zealand’s Agricultural Greenhouse Gas Emissions</w:t>
        </w:r>
      </w:hyperlink>
      <w:r w:rsidRPr="001D5327">
        <w:rPr>
          <w:rFonts w:cs="Calibri"/>
          <w:szCs w:val="20"/>
        </w:rPr>
        <w:t>. Version 10. Wellington: Ministry for Primary Industries. Retrieved 13 January 2025.</w:t>
      </w:r>
    </w:p>
    <w:p w14:paraId="2371980A" w14:textId="758E089E" w:rsidR="007C5A34" w:rsidRPr="001D5327" w:rsidRDefault="007C5A34" w:rsidP="007C5A34">
      <w:pPr>
        <w:pStyle w:val="References"/>
        <w:rPr>
          <w:rFonts w:cs="Calibri"/>
          <w:szCs w:val="20"/>
        </w:rPr>
      </w:pPr>
      <w:r w:rsidRPr="001D5327">
        <w:rPr>
          <w:rFonts w:cs="Calibri"/>
          <w:szCs w:val="20"/>
        </w:rPr>
        <w:t xml:space="preserve">Ritchie H. 2024. </w:t>
      </w:r>
      <w:hyperlink r:id="rId274" w:history="1">
        <w:r w:rsidRPr="00682136">
          <w:rPr>
            <w:rStyle w:val="Hyperlink"/>
            <w:rFonts w:cs="Calibri"/>
            <w:i/>
            <w:szCs w:val="20"/>
          </w:rPr>
          <w:t>Updating Emissions Calculations for Pigs in the New Zealand Greenhouse Gas Inventory Report</w:t>
        </w:r>
      </w:hyperlink>
      <w:r w:rsidRPr="001D5327">
        <w:rPr>
          <w:rFonts w:cs="Calibri"/>
          <w:szCs w:val="20"/>
        </w:rPr>
        <w:t xml:space="preserve">. Report prepared for the Ministry for Primary Industries by NZ Pork. Wellington: Ministry for Primary Industries. </w:t>
      </w:r>
    </w:p>
    <w:p w14:paraId="57E28ED9" w14:textId="77777777" w:rsidR="007C5A34" w:rsidRPr="001D5327" w:rsidRDefault="007C5A34" w:rsidP="007C5A34">
      <w:pPr>
        <w:pStyle w:val="References"/>
      </w:pPr>
      <w:r w:rsidRPr="001D5327">
        <w:t xml:space="preserve">Rollo M, Ledgard S, Longhurst B. 2017. </w:t>
      </w:r>
      <w:r w:rsidRPr="001D5327">
        <w:rPr>
          <w:i/>
          <w:iCs/>
        </w:rPr>
        <w:t>Final Report: Trends in Dairy Effluent Management.</w:t>
      </w:r>
      <w:r w:rsidRPr="001D5327">
        <w:t xml:space="preserve"> Report prepared for the Ministry for Primary Industries by AgResearch. Wellington: Ministry for Primary Industries.</w:t>
      </w:r>
    </w:p>
    <w:p w14:paraId="298F0528" w14:textId="53B7BC7A" w:rsidR="007C5A34" w:rsidRPr="001D5327" w:rsidRDefault="007C5A34" w:rsidP="007C5A34">
      <w:pPr>
        <w:pStyle w:val="References"/>
      </w:pPr>
      <w:r w:rsidRPr="001D5327">
        <w:rPr>
          <w:rFonts w:cs="Calibri"/>
          <w:szCs w:val="20"/>
        </w:rPr>
        <w:t>Sangster C. 202</w:t>
      </w:r>
      <w:r w:rsidR="00FE7135">
        <w:rPr>
          <w:rFonts w:cs="Calibri"/>
          <w:szCs w:val="20"/>
        </w:rPr>
        <w:t>3</w:t>
      </w:r>
      <w:r w:rsidRPr="001D5327">
        <w:rPr>
          <w:rFonts w:cs="Calibri"/>
          <w:szCs w:val="20"/>
        </w:rPr>
        <w:t xml:space="preserve">. </w:t>
      </w:r>
      <w:hyperlink r:id="rId275" w:history="1">
        <w:r w:rsidRPr="006817EF">
          <w:rPr>
            <w:rStyle w:val="Hyperlink"/>
            <w:rFonts w:cs="Calibri"/>
            <w:i/>
            <w:iCs/>
            <w:szCs w:val="20"/>
          </w:rPr>
          <w:t>Seasonality of Wool Growth in AIM</w:t>
        </w:r>
      </w:hyperlink>
      <w:r w:rsidRPr="001D5327">
        <w:rPr>
          <w:rFonts w:cs="Calibri"/>
          <w:szCs w:val="20"/>
        </w:rPr>
        <w:t xml:space="preserve">. MPI Technical Report. Wellington: Ministry for Primary Industries. </w:t>
      </w:r>
    </w:p>
    <w:p w14:paraId="6EC59FB4" w14:textId="4A2B725E" w:rsidR="007C5A34" w:rsidRPr="001D5327" w:rsidRDefault="007C5A34" w:rsidP="007C5A34">
      <w:pPr>
        <w:pStyle w:val="References"/>
        <w:rPr>
          <w:rFonts w:cs="Calibri"/>
          <w:szCs w:val="20"/>
        </w:rPr>
      </w:pPr>
      <w:r w:rsidRPr="001D5327">
        <w:rPr>
          <w:rFonts w:cs="Calibri"/>
          <w:szCs w:val="20"/>
        </w:rPr>
        <w:t xml:space="preserve">Sise J. 2023. </w:t>
      </w:r>
      <w:hyperlink r:id="rId276" w:history="1">
        <w:r w:rsidRPr="009A3C6C">
          <w:rPr>
            <w:rStyle w:val="Hyperlink"/>
            <w:rFonts w:cs="Calibri"/>
            <w:i/>
            <w:iCs/>
            <w:szCs w:val="20"/>
          </w:rPr>
          <w:t>Minor Animal Categories</w:t>
        </w:r>
      </w:hyperlink>
      <w:r w:rsidRPr="001D5327">
        <w:rPr>
          <w:rFonts w:cs="Calibri"/>
          <w:szCs w:val="20"/>
        </w:rPr>
        <w:t xml:space="preserve">. Report prepared for the Ministry for Primary Industries by AbacusBio. Wellington: Ministry for Primary Industries. </w:t>
      </w:r>
    </w:p>
    <w:p w14:paraId="2E8CA3DE" w14:textId="77777777" w:rsidR="007C5A34" w:rsidRPr="001D5327" w:rsidRDefault="007C5A34" w:rsidP="00DE1501">
      <w:pPr>
        <w:pStyle w:val="References"/>
      </w:pPr>
      <w:r w:rsidRPr="001D5327">
        <w:t xml:space="preserve">Stats NZ. 2023. </w:t>
      </w:r>
      <w:hyperlink r:id="rId277" w:history="1">
        <w:r w:rsidRPr="001D5327">
          <w:rPr>
            <w:rStyle w:val="Hyperlink"/>
            <w:i/>
            <w:iCs/>
          </w:rPr>
          <w:t>Agricultural production statistics: Year to June 2022 (final)</w:t>
        </w:r>
      </w:hyperlink>
      <w:r w:rsidRPr="001D5327">
        <w:t>. Retrieved 28 February 2025.</w:t>
      </w:r>
    </w:p>
    <w:p w14:paraId="64774FA4" w14:textId="77777777" w:rsidR="007C5A34" w:rsidRPr="001D5327" w:rsidRDefault="007C5A34" w:rsidP="00DE1501">
      <w:pPr>
        <w:pStyle w:val="References"/>
      </w:pPr>
      <w:r w:rsidRPr="001D5327">
        <w:t xml:space="preserve">Stats NZ. 2024. </w:t>
      </w:r>
      <w:hyperlink r:id="rId278" w:history="1">
        <w:r w:rsidRPr="001D5327">
          <w:rPr>
            <w:rStyle w:val="Hyperlink"/>
            <w:i/>
            <w:iCs/>
          </w:rPr>
          <w:t>Agricultural production statistics: Year to June 2023 (final)</w:t>
        </w:r>
      </w:hyperlink>
      <w:r w:rsidRPr="001D5327">
        <w:t>. Retrieved 28 February 2025.</w:t>
      </w:r>
    </w:p>
    <w:p w14:paraId="5037382B" w14:textId="7D537BD7" w:rsidR="007C5A34" w:rsidRPr="001D5327" w:rsidRDefault="007C5A34" w:rsidP="007C5A34">
      <w:pPr>
        <w:pStyle w:val="References"/>
        <w:rPr>
          <w:rFonts w:cs="Calibri"/>
        </w:rPr>
      </w:pPr>
      <w:r w:rsidRPr="001D5327">
        <w:rPr>
          <w:rFonts w:cs="Calibri"/>
        </w:rPr>
        <w:t xml:space="preserve">Stevens D, Ward J. 2023. </w:t>
      </w:r>
      <w:hyperlink r:id="rId279" w:history="1">
        <w:r w:rsidRPr="0062281F">
          <w:rPr>
            <w:rStyle w:val="Hyperlink"/>
            <w:rFonts w:cs="Calibri"/>
            <w:i/>
            <w:iCs/>
          </w:rPr>
          <w:t>Splitting Emissions Intensity Values between Venison and Velvet Antler in the Deer Industry</w:t>
        </w:r>
      </w:hyperlink>
      <w:r w:rsidRPr="001D5327">
        <w:rPr>
          <w:rFonts w:cs="Calibri"/>
        </w:rPr>
        <w:t xml:space="preserve">. Report prepared for the Ministry for Primary Industries by AgResearch. Wellington: Ministry for Primary Industries. </w:t>
      </w:r>
    </w:p>
    <w:p w14:paraId="7172B18B" w14:textId="5C1A9F62" w:rsidR="007C5A34" w:rsidRPr="001D5327" w:rsidRDefault="007C5A34" w:rsidP="007C5A34">
      <w:pPr>
        <w:pStyle w:val="References"/>
      </w:pPr>
      <w:r w:rsidRPr="001D5327">
        <w:t xml:space="preserve">UNFCCC. 2023. FCCC/ARR/2022/NZL. </w:t>
      </w:r>
      <w:r w:rsidRPr="001D5327">
        <w:rPr>
          <w:i/>
          <w:iCs/>
        </w:rPr>
        <w:t>Report on the Individual Review of the Annual Submission of New</w:t>
      </w:r>
      <w:r w:rsidR="00DE1501" w:rsidRPr="001D5327">
        <w:rPr>
          <w:i/>
          <w:iCs/>
        </w:rPr>
        <w:t> </w:t>
      </w:r>
      <w:r w:rsidRPr="001D5327">
        <w:rPr>
          <w:i/>
          <w:iCs/>
        </w:rPr>
        <w:t>Zealand Submitted in 2022.</w:t>
      </w:r>
      <w:r w:rsidRPr="001D5327">
        <w:t xml:space="preserve"> Centralised Review.</w:t>
      </w:r>
    </w:p>
    <w:p w14:paraId="58121F3A" w14:textId="77777777" w:rsidR="007C5A34" w:rsidRPr="001D5327" w:rsidRDefault="007C5A34" w:rsidP="007C5A34">
      <w:pPr>
        <w:pStyle w:val="References"/>
      </w:pPr>
      <w:r w:rsidRPr="001D5327">
        <w:t xml:space="preserve">van der Weerden A, de Klein C, Kelliher F, Rollo M. 2014. </w:t>
      </w:r>
      <w:r w:rsidRPr="001D5327">
        <w:rPr>
          <w:i/>
          <w:iCs/>
        </w:rPr>
        <w:t>Reporting to 2006 IPCC Guidelines for N</w:t>
      </w:r>
      <w:r w:rsidRPr="001D5327">
        <w:rPr>
          <w:i/>
          <w:iCs/>
          <w:vertAlign w:val="subscript"/>
        </w:rPr>
        <w:t>2</w:t>
      </w:r>
      <w:r w:rsidRPr="001D5327">
        <w:rPr>
          <w:i/>
          <w:iCs/>
        </w:rPr>
        <w:t>O Emissions from Additional Sources of Organic N: Final Report.</w:t>
      </w:r>
      <w:r w:rsidRPr="001D5327">
        <w:t xml:space="preserve"> MPI Technical Report. Wellington: Ministry for Primary Industries.</w:t>
      </w:r>
    </w:p>
    <w:p w14:paraId="4A44C61E" w14:textId="050E57E0" w:rsidR="007C5A34" w:rsidRPr="001D5327" w:rsidRDefault="007C5A34" w:rsidP="007C5A34">
      <w:pPr>
        <w:pStyle w:val="References"/>
      </w:pPr>
      <w:r w:rsidRPr="001D5327">
        <w:rPr>
          <w:rFonts w:cs="Calibri"/>
          <w:szCs w:val="20"/>
        </w:rPr>
        <w:t>van der Weerden T, Rutherford A. 2024</w:t>
      </w:r>
      <w:r w:rsidRPr="001D5327">
        <w:rPr>
          <w:rFonts w:cs="Calibri"/>
          <w:i/>
          <w:iCs/>
          <w:szCs w:val="20"/>
        </w:rPr>
        <w:t xml:space="preserve">. </w:t>
      </w:r>
      <w:hyperlink r:id="rId280" w:history="1">
        <w:r w:rsidRPr="00447CC9">
          <w:rPr>
            <w:rStyle w:val="Hyperlink"/>
            <w:rFonts w:cs="Calibri"/>
            <w:i/>
            <w:iCs/>
            <w:szCs w:val="20"/>
          </w:rPr>
          <w:t>Nitrous Oxide Emissions from Non-manure Organic Amendments to Soils</w:t>
        </w:r>
      </w:hyperlink>
      <w:r w:rsidRPr="001D5327">
        <w:rPr>
          <w:rFonts w:cs="Calibri"/>
          <w:szCs w:val="20"/>
        </w:rPr>
        <w:t xml:space="preserve">. Report prepared for the Ministry for Primary Industries by AgResearch. Wellington: Ministry for Primary Industries. </w:t>
      </w:r>
    </w:p>
    <w:p w14:paraId="4B7142C4" w14:textId="77777777" w:rsidR="007C5A34" w:rsidRPr="001D5327" w:rsidRDefault="007C5A34" w:rsidP="007C5A34">
      <w:pPr>
        <w:pStyle w:val="References"/>
      </w:pPr>
      <w:r w:rsidRPr="001D5327">
        <w:lastRenderedPageBreak/>
        <w:t xml:space="preserve">Welten B, Mercer G, Smith C, Sprosen M, Ledgard S. 2021. </w:t>
      </w:r>
      <w:r w:rsidRPr="001D5327">
        <w:rPr>
          <w:i/>
          <w:iCs/>
        </w:rPr>
        <w:t>Refining Estimates of Nitrogen Leaching for the New Zealand Agricultural Greenhouse Gas Inventory.</w:t>
      </w:r>
      <w:r w:rsidRPr="001D5327">
        <w:t xml:space="preserve"> Contract report prepared for the Ministry for Primary Industries.</w:t>
      </w:r>
    </w:p>
    <w:p w14:paraId="531B392F" w14:textId="77777777" w:rsidR="007C5A34" w:rsidRPr="001D5327" w:rsidRDefault="007C5A34" w:rsidP="007C5A34">
      <w:pPr>
        <w:pStyle w:val="References"/>
      </w:pPr>
      <w:r w:rsidRPr="001D5327">
        <w:rPr>
          <w:rFonts w:cs="Calibri"/>
        </w:rPr>
        <w:t xml:space="preserve">Woods J, Orwin DF. 1988. Seasonal variations in the dimensions of individual Romney wool fibres determined by a rapid autoradiographic technique. </w:t>
      </w:r>
      <w:r w:rsidRPr="001D5327">
        <w:rPr>
          <w:rFonts w:cs="Calibri"/>
          <w:i/>
          <w:iCs/>
        </w:rPr>
        <w:t>New Zealand Journal of Agricultural Research</w:t>
      </w:r>
      <w:r w:rsidRPr="001D5327">
        <w:rPr>
          <w:rFonts w:cs="Calibri"/>
        </w:rPr>
        <w:t xml:space="preserve"> 31(3): 311–323.</w:t>
      </w:r>
    </w:p>
    <w:bookmarkEnd w:id="3044"/>
    <w:bookmarkEnd w:id="3045"/>
    <w:bookmarkEnd w:id="3093"/>
    <w:p w14:paraId="566DB410" w14:textId="77777777" w:rsidR="007C5A34" w:rsidRPr="001D5327" w:rsidRDefault="007C5A34" w:rsidP="007C5A34">
      <w:pPr>
        <w:pStyle w:val="BodyText"/>
      </w:pPr>
    </w:p>
    <w:p w14:paraId="62CA6229" w14:textId="77777777" w:rsidR="00D92287" w:rsidRPr="001D5327" w:rsidRDefault="00D92287" w:rsidP="00737799"/>
    <w:sectPr w:rsidR="00D92287" w:rsidRPr="001D5327" w:rsidSect="006945E3">
      <w:footerReference w:type="default" r:id="rId281"/>
      <w:pgSz w:w="11907" w:h="16840" w:code="9"/>
      <w:pgMar w:top="1418" w:right="1701" w:bottom="1418" w:left="1701" w:header="567"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49E5BD" w14:textId="77777777" w:rsidR="00EA1D92" w:rsidRDefault="00EA1D92">
      <w:r>
        <w:separator/>
      </w:r>
    </w:p>
  </w:endnote>
  <w:endnote w:type="continuationSeparator" w:id="0">
    <w:p w14:paraId="78794BC1" w14:textId="77777777" w:rsidR="00EA1D92" w:rsidRDefault="00EA1D92">
      <w:r>
        <w:continuationSeparator/>
      </w:r>
    </w:p>
  </w:endnote>
  <w:endnote w:type="continuationNotice" w:id="1">
    <w:p w14:paraId="4BC58ADC" w14:textId="77777777" w:rsidR="00EA1D92" w:rsidRDefault="00EA1D9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JBHHJB+Arial,Bold">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algun Gothic">
    <w:panose1 w:val="020B0503020000020004"/>
    <w:charset w:val="81"/>
    <w:family w:val="swiss"/>
    <w:pitch w:val="variable"/>
    <w:sig w:usb0="9000002F" w:usb1="29D77CFB" w:usb2="00000012" w:usb3="00000000" w:csb0="00080001" w:csb1="00000000"/>
  </w:font>
  <w:font w:name="Arial Bold">
    <w:altName w:val="Arial"/>
    <w:panose1 w:val="00000000000000000000"/>
    <w:charset w:val="00"/>
    <w:family w:val="roman"/>
    <w:notTrueType/>
    <w:pitch w:val="default"/>
  </w:font>
  <w:font w:name="Cordia New">
    <w:panose1 w:val="020B0304020202020204"/>
    <w:charset w:val="DE"/>
    <w:family w:val="swiss"/>
    <w:pitch w:val="variable"/>
    <w:sig w:usb0="81000003" w:usb1="00000000" w:usb2="00000000" w:usb3="00000000" w:csb0="00010001" w:csb1="00000000"/>
  </w:font>
  <w:font w:name="Aptos">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9967A8" w14:textId="77777777" w:rsidR="00411E40" w:rsidRDefault="00411E40">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AD9C2F" w14:textId="77777777" w:rsidR="00D0232D" w:rsidRPr="00027E55" w:rsidRDefault="00D0232D" w:rsidP="00F55B34">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23</w:t>
    </w:r>
    <w:r w:rsidRPr="00027E55">
      <w:tab/>
    </w: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noProof/>
      </w:rPr>
      <w:t>1</w:t>
    </w:r>
    <w:r w:rsidRPr="00762043">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953B43" w14:textId="7D575BC9" w:rsidR="005E59C7" w:rsidRDefault="005E59C7" w:rsidP="002B7B6C">
    <w:pPr>
      <w:pStyle w:val="FooterEven"/>
    </w:pPr>
    <w:r w:rsidRPr="00B911D6">
      <w:rPr>
        <w:b/>
        <w:bCs/>
        <w:sz w:val="22"/>
        <w:szCs w:val="28"/>
      </w:rPr>
      <w:fldChar w:fldCharType="begin"/>
    </w:r>
    <w:r w:rsidRPr="00B911D6">
      <w:rPr>
        <w:b/>
        <w:bCs/>
        <w:sz w:val="22"/>
        <w:szCs w:val="28"/>
      </w:rPr>
      <w:instrText xml:space="preserve"> PAGE   \* MERGEFORMAT </w:instrText>
    </w:r>
    <w:r w:rsidRPr="00B911D6">
      <w:rPr>
        <w:b/>
        <w:bCs/>
        <w:sz w:val="22"/>
        <w:szCs w:val="28"/>
      </w:rPr>
      <w:fldChar w:fldCharType="separate"/>
    </w:r>
    <w:r w:rsidRPr="00B911D6">
      <w:rPr>
        <w:b/>
        <w:bCs/>
        <w:noProof/>
        <w:sz w:val="22"/>
        <w:szCs w:val="28"/>
      </w:rPr>
      <w:t>1</w:t>
    </w:r>
    <w:r w:rsidRPr="00B911D6">
      <w:rPr>
        <w:b/>
        <w:bCs/>
        <w:noProof/>
        <w:sz w:val="22"/>
        <w:szCs w:val="28"/>
      </w:rPr>
      <w:fldChar w:fldCharType="end"/>
    </w:r>
    <w:r>
      <w:rPr>
        <w:noProof/>
      </w:rPr>
      <w:tab/>
    </w:r>
    <w:r w:rsidR="00990662" w:rsidRPr="00990662">
      <w:rPr>
        <w:rFonts w:cs="Calibri"/>
        <w:lang w:eastAsia="en-GB"/>
      </w:rPr>
      <w:t>Chapter 2: Trends in greenhouse gas emissions and removals</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CA6A62" w14:textId="77777777" w:rsidR="009F6E97" w:rsidRDefault="009F6E97" w:rsidP="002B7B6C">
    <w:pPr>
      <w:pStyle w:val="FooterEven"/>
    </w:pPr>
    <w:r w:rsidRPr="00B911D6">
      <w:rPr>
        <w:b/>
        <w:bCs/>
        <w:sz w:val="22"/>
        <w:szCs w:val="28"/>
      </w:rPr>
      <w:fldChar w:fldCharType="begin"/>
    </w:r>
    <w:r w:rsidRPr="00B911D6">
      <w:rPr>
        <w:b/>
        <w:bCs/>
        <w:sz w:val="22"/>
        <w:szCs w:val="28"/>
      </w:rPr>
      <w:instrText xml:space="preserve"> PAGE   \* MERGEFORMAT </w:instrText>
    </w:r>
    <w:r w:rsidRPr="00B911D6">
      <w:rPr>
        <w:b/>
        <w:bCs/>
        <w:sz w:val="22"/>
        <w:szCs w:val="28"/>
      </w:rPr>
      <w:fldChar w:fldCharType="separate"/>
    </w:r>
    <w:r w:rsidRPr="00B911D6">
      <w:rPr>
        <w:b/>
        <w:bCs/>
        <w:noProof/>
        <w:sz w:val="22"/>
        <w:szCs w:val="28"/>
      </w:rPr>
      <w:t>1</w:t>
    </w:r>
    <w:r w:rsidRPr="00B911D6">
      <w:rPr>
        <w:b/>
        <w:bCs/>
        <w:noProof/>
        <w:sz w:val="22"/>
        <w:szCs w:val="28"/>
      </w:rPr>
      <w:fldChar w:fldCharType="end"/>
    </w:r>
    <w:r>
      <w:rPr>
        <w:noProof/>
      </w:rPr>
      <w:tab/>
    </w:r>
    <w:r w:rsidRPr="009E06AA">
      <w:rPr>
        <w:rFonts w:cs="Calibri"/>
        <w:lang w:eastAsia="en-GB"/>
      </w:rPr>
      <w:t>Chapter 3: Energy</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5681D" w14:textId="77777777" w:rsidR="00623089" w:rsidRDefault="00623089" w:rsidP="00B07EE2">
    <w:pPr>
      <w:pStyle w:val="FooterEven"/>
    </w:pPr>
    <w:r w:rsidRPr="002075FA">
      <w:rPr>
        <w:rStyle w:val="PageNumber"/>
      </w:rPr>
      <w:fldChar w:fldCharType="begin"/>
    </w:r>
    <w:r w:rsidRPr="002075FA">
      <w:rPr>
        <w:rStyle w:val="PageNumber"/>
      </w:rPr>
      <w:instrText xml:space="preserve"> PAGE </w:instrText>
    </w:r>
    <w:r w:rsidRPr="002075FA">
      <w:rPr>
        <w:rStyle w:val="PageNumber"/>
      </w:rPr>
      <w:fldChar w:fldCharType="separate"/>
    </w:r>
    <w:r w:rsidRPr="002075FA">
      <w:rPr>
        <w:rStyle w:val="PageNumber"/>
        <w:noProof/>
      </w:rPr>
      <w:t>18</w:t>
    </w:r>
    <w:r w:rsidRPr="002075FA">
      <w:rPr>
        <w:rStyle w:val="PageNumber"/>
      </w:rPr>
      <w:fldChar w:fldCharType="end"/>
    </w:r>
    <w:r w:rsidRPr="002075FA">
      <w:rPr>
        <w:rStyle w:val="PageNumber"/>
      </w:rPr>
      <w:tab/>
    </w:r>
    <w:r w:rsidRPr="002075FA">
      <w:t>Chapter 4: Industrial Processes and Product Use (IPPU)</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043FC0" w14:textId="77777777" w:rsidR="00623089" w:rsidRPr="00CF11CB" w:rsidRDefault="00623089" w:rsidP="00CF11CB">
    <w:pPr>
      <w:pStyle w:val="FooterOdd"/>
      <w:rPr>
        <w:b/>
      </w:rPr>
    </w:pPr>
    <w:r>
      <w:tab/>
    </w:r>
    <w:r w:rsidRPr="00CF11CB">
      <w:t>New Zealand’s Greenhouse Gas Inventory 1990–2023</w:t>
    </w:r>
    <w:r w:rsidRPr="00CF11CB">
      <w:tab/>
    </w:r>
    <w:r w:rsidRPr="00CF11CB">
      <w:rPr>
        <w:rStyle w:val="PageNumber"/>
      </w:rPr>
      <w:fldChar w:fldCharType="begin"/>
    </w:r>
    <w:r w:rsidRPr="00CF11CB">
      <w:rPr>
        <w:rStyle w:val="PageNumber"/>
      </w:rPr>
      <w:instrText xml:space="preserve"> PAGE </w:instrText>
    </w:r>
    <w:r w:rsidRPr="00CF11CB">
      <w:rPr>
        <w:rStyle w:val="PageNumber"/>
      </w:rPr>
      <w:fldChar w:fldCharType="separate"/>
    </w:r>
    <w:r w:rsidRPr="00CF11CB">
      <w:rPr>
        <w:rStyle w:val="PageNumber"/>
        <w:noProof/>
      </w:rPr>
      <w:t>1</w:t>
    </w:r>
    <w:r w:rsidRPr="00CF11CB">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514A39" w14:textId="2D0F6B95" w:rsidR="00E0181F" w:rsidRDefault="00E0181F" w:rsidP="00B07EE2">
    <w:pPr>
      <w:pStyle w:val="FooterEven"/>
    </w:pPr>
    <w:r w:rsidRPr="002075FA">
      <w:rPr>
        <w:rStyle w:val="PageNumber"/>
      </w:rPr>
      <w:fldChar w:fldCharType="begin"/>
    </w:r>
    <w:r w:rsidRPr="002075FA">
      <w:rPr>
        <w:rStyle w:val="PageNumber"/>
      </w:rPr>
      <w:instrText xml:space="preserve"> PAGE </w:instrText>
    </w:r>
    <w:r w:rsidRPr="002075FA">
      <w:rPr>
        <w:rStyle w:val="PageNumber"/>
      </w:rPr>
      <w:fldChar w:fldCharType="separate"/>
    </w:r>
    <w:r w:rsidRPr="002075FA">
      <w:rPr>
        <w:rStyle w:val="PageNumber"/>
        <w:noProof/>
      </w:rPr>
      <w:t>18</w:t>
    </w:r>
    <w:r w:rsidRPr="002075FA">
      <w:rPr>
        <w:rStyle w:val="PageNumber"/>
      </w:rPr>
      <w:fldChar w:fldCharType="end"/>
    </w:r>
    <w:r w:rsidRPr="002075FA">
      <w:rPr>
        <w:rStyle w:val="PageNumber"/>
      </w:rPr>
      <w:tab/>
    </w:r>
    <w:r w:rsidRPr="002075FA">
      <w:t xml:space="preserve">Chapter </w:t>
    </w:r>
    <w:r>
      <w:t>5</w:t>
    </w:r>
    <w:r w:rsidRPr="002075FA">
      <w:t xml:space="preserve">: </w:t>
    </w:r>
    <w:r w:rsidR="0009360A">
      <w:t>Agriculture</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E044C0" w14:textId="77777777" w:rsidR="00E0181F" w:rsidRPr="004C6829" w:rsidRDefault="00E0181F" w:rsidP="00B55F24">
    <w:pPr>
      <w:pStyle w:val="FooterEven"/>
      <w:rPr>
        <w:b/>
        <w:bCs/>
      </w:rPr>
    </w:pPr>
    <w:r w:rsidRPr="004C6829">
      <w:rPr>
        <w:b/>
        <w:bCs/>
        <w:sz w:val="22"/>
        <w:szCs w:val="28"/>
      </w:rPr>
      <w:fldChar w:fldCharType="begin"/>
    </w:r>
    <w:r w:rsidRPr="004C6829">
      <w:rPr>
        <w:b/>
        <w:bCs/>
        <w:sz w:val="22"/>
        <w:szCs w:val="28"/>
      </w:rPr>
      <w:instrText xml:space="preserve"> PAGE   \* MERGEFORMAT </w:instrText>
    </w:r>
    <w:r w:rsidRPr="004C6829">
      <w:rPr>
        <w:b/>
        <w:bCs/>
        <w:sz w:val="22"/>
        <w:szCs w:val="28"/>
      </w:rPr>
      <w:fldChar w:fldCharType="separate"/>
    </w:r>
    <w:r w:rsidRPr="004C6829">
      <w:rPr>
        <w:b/>
        <w:bCs/>
        <w:noProof/>
        <w:sz w:val="22"/>
        <w:szCs w:val="28"/>
      </w:rPr>
      <w:t>1</w:t>
    </w:r>
    <w:r w:rsidRPr="004C6829">
      <w:rPr>
        <w:b/>
        <w:bCs/>
        <w:noProof/>
        <w:sz w:val="22"/>
        <w:szCs w:val="28"/>
      </w:rPr>
      <w:fldChar w:fldCharType="end"/>
    </w:r>
    <w:r w:rsidRPr="00E85BC6">
      <w:rPr>
        <w:noProof/>
      </w:rPr>
      <w:tab/>
      <w:t>Chapter 6:</w:t>
    </w:r>
    <w:r>
      <w:rPr>
        <w:b/>
        <w:bCs/>
        <w:noProof/>
      </w:rPr>
      <w:t xml:space="preserve"> </w:t>
    </w:r>
    <w:r w:rsidRPr="00E85BC6">
      <w:rPr>
        <w:noProof/>
      </w:rPr>
      <w:t>Land Use, Land-Use Change and Forestry</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29EB3" w14:textId="77777777" w:rsidR="00E0181F" w:rsidRPr="00D51304" w:rsidRDefault="00E0181F" w:rsidP="00B55F24">
    <w:pPr>
      <w:pStyle w:val="FooterOdd"/>
      <w:rPr>
        <w:rFonts w:cs="Calibri"/>
        <w:b/>
      </w:rPr>
    </w:pPr>
    <w:r w:rsidRPr="000467A0">
      <w:tab/>
      <w:t>New Zealand’s Greenhouse Gas Inventory 1990–202</w:t>
    </w:r>
    <w:r>
      <w:t>3</w:t>
    </w:r>
    <w:r w:rsidRPr="000467A0">
      <w:tab/>
    </w:r>
    <w:r w:rsidRPr="00D51304">
      <w:rPr>
        <w:rStyle w:val="PageNumber"/>
        <w:rFonts w:eastAsia="Symbol" w:cs="Calibri"/>
      </w:rPr>
      <w:fldChar w:fldCharType="begin"/>
    </w:r>
    <w:r w:rsidRPr="00D51304">
      <w:rPr>
        <w:rStyle w:val="PageNumber"/>
        <w:rFonts w:eastAsia="Symbol" w:cs="Calibri"/>
      </w:rPr>
      <w:instrText xml:space="preserve"> PAGE </w:instrText>
    </w:r>
    <w:r w:rsidRPr="00D51304">
      <w:rPr>
        <w:rStyle w:val="PageNumber"/>
        <w:rFonts w:eastAsia="Symbol" w:cs="Calibri"/>
      </w:rPr>
      <w:fldChar w:fldCharType="separate"/>
    </w:r>
    <w:r w:rsidRPr="00D51304">
      <w:rPr>
        <w:rStyle w:val="PageNumber"/>
        <w:rFonts w:eastAsia="Symbol" w:cs="Calibri"/>
        <w:noProof/>
      </w:rPr>
      <w:t>61</w:t>
    </w:r>
    <w:r w:rsidRPr="00D51304">
      <w:rPr>
        <w:rStyle w:val="PageNumber"/>
        <w:rFonts w:eastAsia="Symbol" w:cs="Calibri"/>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74D71" w14:textId="77777777" w:rsidR="00E0181F" w:rsidRPr="00D51304" w:rsidRDefault="00E0181F" w:rsidP="00B55F24">
    <w:pPr>
      <w:pStyle w:val="FooterOdd"/>
      <w:tabs>
        <w:tab w:val="clear" w:pos="7655"/>
        <w:tab w:val="clear" w:pos="8505"/>
        <w:tab w:val="right" w:pos="12758"/>
        <w:tab w:val="right" w:pos="14002"/>
      </w:tabs>
      <w:rPr>
        <w:rFonts w:cs="Calibri"/>
        <w:b/>
      </w:rPr>
    </w:pPr>
    <w:r w:rsidRPr="000467A0">
      <w:tab/>
      <w:t>New Zealand’s Greenhouse Gas Inventory 1990–202</w:t>
    </w:r>
    <w:r>
      <w:t>3</w:t>
    </w:r>
    <w:r w:rsidRPr="000467A0">
      <w:tab/>
    </w:r>
    <w:r w:rsidRPr="00D51304">
      <w:rPr>
        <w:rStyle w:val="PageNumber"/>
        <w:rFonts w:eastAsia="Symbol" w:cs="Calibri"/>
      </w:rPr>
      <w:fldChar w:fldCharType="begin"/>
    </w:r>
    <w:r w:rsidRPr="00D51304">
      <w:rPr>
        <w:rStyle w:val="PageNumber"/>
        <w:rFonts w:eastAsia="Symbol" w:cs="Calibri"/>
      </w:rPr>
      <w:instrText xml:space="preserve"> PAGE </w:instrText>
    </w:r>
    <w:r w:rsidRPr="00D51304">
      <w:rPr>
        <w:rStyle w:val="PageNumber"/>
        <w:rFonts w:eastAsia="Symbol" w:cs="Calibri"/>
      </w:rPr>
      <w:fldChar w:fldCharType="separate"/>
    </w:r>
    <w:r w:rsidRPr="00D51304">
      <w:rPr>
        <w:rStyle w:val="PageNumber"/>
        <w:rFonts w:eastAsia="Symbol" w:cs="Calibri"/>
        <w:noProof/>
      </w:rPr>
      <w:t>61</w:t>
    </w:r>
    <w:r w:rsidRPr="00D51304">
      <w:rPr>
        <w:rStyle w:val="PageNumber"/>
        <w:rFonts w:eastAsia="Symbol" w:cs="Calibri"/>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E5C78A" w14:textId="77777777" w:rsidR="00E0181F" w:rsidRPr="00316A42" w:rsidRDefault="00E0181F" w:rsidP="00B55F24">
    <w:pPr>
      <w:pStyle w:val="FooterOdd"/>
      <w:rPr>
        <w:b/>
      </w:rPr>
    </w:pPr>
    <w:r w:rsidRPr="000467A0">
      <w:tab/>
      <w:t>New Zealand’s Greenhouse Gas Inventory 1990–202</w:t>
    </w:r>
    <w:r>
      <w:t>3</w:t>
    </w:r>
    <w:r w:rsidRPr="000467A0">
      <w:tab/>
    </w:r>
    <w:r w:rsidRPr="004C6829">
      <w:rPr>
        <w:rStyle w:val="PageNumber"/>
        <w:rFonts w:eastAsia="Symbol" w:cs="Calibri"/>
      </w:rPr>
      <w:fldChar w:fldCharType="begin"/>
    </w:r>
    <w:r w:rsidRPr="004C6829">
      <w:rPr>
        <w:rStyle w:val="PageNumber"/>
        <w:rFonts w:eastAsia="Symbol" w:cs="Calibri"/>
      </w:rPr>
      <w:instrText xml:space="preserve"> PAGE </w:instrText>
    </w:r>
    <w:r w:rsidRPr="004C6829">
      <w:rPr>
        <w:rStyle w:val="PageNumber"/>
        <w:rFonts w:eastAsia="Symbol" w:cs="Calibri"/>
      </w:rPr>
      <w:fldChar w:fldCharType="separate"/>
    </w:r>
    <w:r w:rsidRPr="004C6829">
      <w:rPr>
        <w:rStyle w:val="PageNumber"/>
        <w:rFonts w:eastAsia="Symbol" w:cs="Calibri"/>
        <w:noProof/>
      </w:rPr>
      <w:t>61</w:t>
    </w:r>
    <w:r w:rsidRPr="004C6829">
      <w:rPr>
        <w:rStyle w:val="PageNumber"/>
        <w:rFonts w:eastAsia="Symbol" w:cs="Calibri"/>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246A68" w14:textId="5070EC3E" w:rsidR="00E33B6A" w:rsidRDefault="00E33B6A" w:rsidP="00B44BA5">
    <w:pPr>
      <w:ind w:left="-567"/>
    </w:pPr>
    <w:r>
      <w:rPr>
        <w:b/>
        <w:noProof/>
      </w:rPr>
      <w:drawing>
        <wp:inline distT="0" distB="0" distL="0" distR="0" wp14:anchorId="2EE74B82" wp14:editId="74C8A50D">
          <wp:extent cx="2242820" cy="543560"/>
          <wp:effectExtent l="0" t="0" r="0" b="8890"/>
          <wp:docPr id="1987241963" name="Picture 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hap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l="3163"/>
                  <a:stretch>
                    <a:fillRect/>
                  </a:stretch>
                </pic:blipFill>
                <pic:spPr bwMode="auto">
                  <a:xfrm>
                    <a:off x="0" y="0"/>
                    <a:ext cx="2242820" cy="543560"/>
                  </a:xfrm>
                  <a:prstGeom prst="rect">
                    <a:avLst/>
                  </a:prstGeom>
                  <a:noFill/>
                  <a:ln>
                    <a:noFill/>
                  </a:ln>
                </pic:spPr>
              </pic:pic>
            </a:graphicData>
          </a:graphic>
        </wp:inline>
      </w:drawing>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119CDF" w14:textId="77777777" w:rsidR="00E0181F" w:rsidRPr="00316A42" w:rsidRDefault="00E0181F" w:rsidP="00B55F24">
    <w:pPr>
      <w:pStyle w:val="FooterOdd"/>
      <w:tabs>
        <w:tab w:val="clear" w:pos="7655"/>
        <w:tab w:val="clear" w:pos="8505"/>
        <w:tab w:val="right" w:pos="13041"/>
        <w:tab w:val="right" w:pos="14005"/>
      </w:tabs>
      <w:rPr>
        <w:b/>
      </w:rPr>
    </w:pPr>
    <w:r w:rsidRPr="000467A0">
      <w:tab/>
      <w:t>New Zealand’s Greenhouse Gas Inventory 1990–202</w:t>
    </w:r>
    <w:r>
      <w:t>3</w:t>
    </w:r>
    <w:r w:rsidRPr="000467A0">
      <w:tab/>
    </w:r>
    <w:r w:rsidRPr="004C6829">
      <w:rPr>
        <w:rStyle w:val="PageNumber"/>
        <w:rFonts w:eastAsia="Symbol" w:cs="Calibri"/>
      </w:rPr>
      <w:fldChar w:fldCharType="begin"/>
    </w:r>
    <w:r w:rsidRPr="004C6829">
      <w:rPr>
        <w:rStyle w:val="PageNumber"/>
        <w:rFonts w:eastAsia="Symbol" w:cs="Calibri"/>
      </w:rPr>
      <w:instrText xml:space="preserve"> PAGE </w:instrText>
    </w:r>
    <w:r w:rsidRPr="004C6829">
      <w:rPr>
        <w:rStyle w:val="PageNumber"/>
        <w:rFonts w:eastAsia="Symbol" w:cs="Calibri"/>
      </w:rPr>
      <w:fldChar w:fldCharType="separate"/>
    </w:r>
    <w:r w:rsidRPr="004C6829">
      <w:rPr>
        <w:rStyle w:val="PageNumber"/>
        <w:rFonts w:eastAsia="Symbol" w:cs="Calibri"/>
        <w:noProof/>
      </w:rPr>
      <w:t>61</w:t>
    </w:r>
    <w:r w:rsidRPr="004C6829">
      <w:rPr>
        <w:rStyle w:val="PageNumber"/>
        <w:rFonts w:eastAsia="Symbol" w:cs="Calibri"/>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FDA63" w14:textId="77777777" w:rsidR="00E0181F" w:rsidRPr="00316A42" w:rsidRDefault="00E0181F" w:rsidP="00324DFC">
    <w:pPr>
      <w:pStyle w:val="FooterOdd"/>
      <w:rPr>
        <w:b/>
      </w:rPr>
    </w:pPr>
    <w:r>
      <w:tab/>
    </w:r>
    <w:r w:rsidRPr="000467A0">
      <w:t>New Zealand’s Greenhouse Gas Inventory 1990–202</w:t>
    </w:r>
    <w:r>
      <w:t>3</w:t>
    </w:r>
    <w:r w:rsidRPr="000467A0">
      <w:tab/>
    </w:r>
    <w:r w:rsidRPr="004C6829">
      <w:rPr>
        <w:rStyle w:val="PageNumber"/>
        <w:rFonts w:eastAsia="Symbol" w:cs="Calibri"/>
      </w:rPr>
      <w:fldChar w:fldCharType="begin"/>
    </w:r>
    <w:r w:rsidRPr="004C6829">
      <w:rPr>
        <w:rStyle w:val="PageNumber"/>
        <w:rFonts w:eastAsia="Symbol" w:cs="Calibri"/>
      </w:rPr>
      <w:instrText xml:space="preserve"> PAGE </w:instrText>
    </w:r>
    <w:r w:rsidRPr="004C6829">
      <w:rPr>
        <w:rStyle w:val="PageNumber"/>
        <w:rFonts w:eastAsia="Symbol" w:cs="Calibri"/>
      </w:rPr>
      <w:fldChar w:fldCharType="separate"/>
    </w:r>
    <w:r w:rsidRPr="004C6829">
      <w:rPr>
        <w:rStyle w:val="PageNumber"/>
        <w:rFonts w:eastAsia="Symbol" w:cs="Calibri"/>
        <w:noProof/>
      </w:rPr>
      <w:t>61</w:t>
    </w:r>
    <w:r w:rsidRPr="004C6829">
      <w:rPr>
        <w:rStyle w:val="PageNumber"/>
        <w:rFonts w:eastAsia="Symbol" w:cs="Calibri"/>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2B2A7F" w14:textId="45FEE066" w:rsidR="00952BF1" w:rsidRPr="004C6829" w:rsidRDefault="00952BF1" w:rsidP="00B55F24">
    <w:pPr>
      <w:pStyle w:val="FooterEven"/>
      <w:rPr>
        <w:b/>
        <w:bCs/>
      </w:rPr>
    </w:pPr>
    <w:r w:rsidRPr="004C6829">
      <w:rPr>
        <w:b/>
        <w:bCs/>
        <w:sz w:val="22"/>
        <w:szCs w:val="28"/>
      </w:rPr>
      <w:fldChar w:fldCharType="begin"/>
    </w:r>
    <w:r w:rsidRPr="004C6829">
      <w:rPr>
        <w:b/>
        <w:bCs/>
        <w:sz w:val="22"/>
        <w:szCs w:val="28"/>
      </w:rPr>
      <w:instrText xml:space="preserve"> PAGE   \* MERGEFORMAT </w:instrText>
    </w:r>
    <w:r w:rsidRPr="004C6829">
      <w:rPr>
        <w:b/>
        <w:bCs/>
        <w:sz w:val="22"/>
        <w:szCs w:val="28"/>
      </w:rPr>
      <w:fldChar w:fldCharType="separate"/>
    </w:r>
    <w:r w:rsidRPr="004C6829">
      <w:rPr>
        <w:b/>
        <w:bCs/>
        <w:noProof/>
        <w:sz w:val="22"/>
        <w:szCs w:val="28"/>
      </w:rPr>
      <w:t>1</w:t>
    </w:r>
    <w:r w:rsidRPr="004C6829">
      <w:rPr>
        <w:b/>
        <w:bCs/>
        <w:noProof/>
        <w:sz w:val="22"/>
        <w:szCs w:val="28"/>
      </w:rPr>
      <w:fldChar w:fldCharType="end"/>
    </w:r>
    <w:r w:rsidRPr="00E85BC6">
      <w:rPr>
        <w:noProof/>
      </w:rPr>
      <w:tab/>
    </w:r>
    <w:r w:rsidRPr="00983975">
      <w:t>Chapter 7: Waste</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92B38" w14:textId="6F433754" w:rsidR="008108BE" w:rsidRPr="00EC2491" w:rsidRDefault="003D3774" w:rsidP="0024590A">
    <w:pPr>
      <w:pStyle w:val="FooterEven"/>
    </w:pP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noProof/>
      </w:rPr>
      <w:t>18</w:t>
    </w:r>
    <w:r w:rsidRPr="00762043">
      <w:rPr>
        <w:rStyle w:val="PageNumber"/>
      </w:rPr>
      <w:fldChar w:fldCharType="end"/>
    </w:r>
    <w:r>
      <w:rPr>
        <w:rStyle w:val="PageNumber"/>
      </w:rPr>
      <w:tab/>
    </w:r>
    <w:r w:rsidR="0024590A" w:rsidRPr="008A0706">
      <w:t>Chapter 8: Tokelau (other) sector</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760370" w14:textId="77777777" w:rsidR="008108BE" w:rsidRPr="00027E55" w:rsidRDefault="003D3774" w:rsidP="00885712">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23</w:t>
    </w:r>
    <w:r w:rsidRPr="00027E55">
      <w:tab/>
    </w: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noProof/>
      </w:rPr>
      <w:t>1</w:t>
    </w:r>
    <w:r w:rsidRPr="00762043">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B9DD5" w14:textId="52B94351" w:rsidR="00D92287" w:rsidRPr="00EC2491" w:rsidRDefault="00D92287" w:rsidP="0024590A">
    <w:pPr>
      <w:pStyle w:val="FooterEven"/>
    </w:pP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noProof/>
      </w:rPr>
      <w:t>18</w:t>
    </w:r>
    <w:r w:rsidRPr="00762043">
      <w:rPr>
        <w:rStyle w:val="PageNumber"/>
      </w:rPr>
      <w:fldChar w:fldCharType="end"/>
    </w:r>
    <w:r>
      <w:rPr>
        <w:rStyle w:val="PageNumber"/>
      </w:rPr>
      <w:tab/>
    </w:r>
    <w:r w:rsidRPr="009E06AA">
      <w:t>Chapter 9: Indirect carbon dioxide and nitrous oxide emissions</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B76C16" w14:textId="77777777" w:rsidR="007C5A34" w:rsidRPr="00D51A88" w:rsidRDefault="007C5A34" w:rsidP="00D51A88">
    <w:pPr>
      <w:pStyle w:val="FooterEven"/>
    </w:pPr>
    <w:r w:rsidRPr="00D51A88">
      <w:rPr>
        <w:rStyle w:val="PageNumber"/>
      </w:rPr>
      <w:fldChar w:fldCharType="begin"/>
    </w:r>
    <w:r w:rsidRPr="00D51A88">
      <w:rPr>
        <w:rStyle w:val="PageNumber"/>
      </w:rPr>
      <w:instrText xml:space="preserve"> PAGE </w:instrText>
    </w:r>
    <w:r w:rsidRPr="00D51A88">
      <w:rPr>
        <w:rStyle w:val="PageNumber"/>
      </w:rPr>
      <w:fldChar w:fldCharType="separate"/>
    </w:r>
    <w:r w:rsidRPr="00D51A88">
      <w:rPr>
        <w:rStyle w:val="PageNumber"/>
        <w:noProof/>
      </w:rPr>
      <w:t>18</w:t>
    </w:r>
    <w:r w:rsidRPr="00D51A88">
      <w:rPr>
        <w:rStyle w:val="PageNumber"/>
      </w:rPr>
      <w:fldChar w:fldCharType="end"/>
    </w:r>
    <w:r w:rsidRPr="00D51A88">
      <w:rPr>
        <w:rStyle w:val="PageNumber"/>
      </w:rPr>
      <w:tab/>
    </w:r>
    <w:r>
      <w:t xml:space="preserve">Chapter 10: </w:t>
    </w:r>
    <w:r w:rsidRPr="006B1C98">
      <w:t>Recalculations</w:t>
    </w:r>
    <w:r>
      <w:t xml:space="preserve"> and improvements</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A3F5EA" w14:textId="71A1036A" w:rsidR="007C5A34" w:rsidRPr="00D51A88" w:rsidRDefault="007C5A34" w:rsidP="00475A8C">
    <w:pPr>
      <w:pStyle w:val="FooterOdd"/>
      <w:rPr>
        <w:b/>
      </w:rPr>
    </w:pPr>
    <w:r w:rsidRPr="00D51A88">
      <w:tab/>
      <w:t>New Zealand’s Greenhouse Gas Inventory 1990–2023</w:t>
    </w:r>
    <w:r w:rsidR="00475A8C">
      <w:tab/>
    </w:r>
    <w:r w:rsidRPr="00D51A88">
      <w:rPr>
        <w:rStyle w:val="PageNumber"/>
      </w:rPr>
      <w:fldChar w:fldCharType="begin"/>
    </w:r>
    <w:r w:rsidRPr="00D51A88">
      <w:rPr>
        <w:rStyle w:val="PageNumber"/>
      </w:rPr>
      <w:instrText xml:space="preserve"> PAGE </w:instrText>
    </w:r>
    <w:r w:rsidRPr="00D51A88">
      <w:rPr>
        <w:rStyle w:val="PageNumber"/>
      </w:rPr>
      <w:fldChar w:fldCharType="separate"/>
    </w:r>
    <w:r w:rsidRPr="00D51A88">
      <w:rPr>
        <w:rStyle w:val="PageNumber"/>
        <w:noProof/>
      </w:rPr>
      <w:t>1</w:t>
    </w:r>
    <w:r w:rsidRPr="00D51A88">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58933F" w14:textId="77777777" w:rsidR="007C5A34" w:rsidRPr="00027E55" w:rsidRDefault="007C5A34" w:rsidP="004F0561">
    <w:pPr>
      <w:pStyle w:val="FooterOdd"/>
      <w:tabs>
        <w:tab w:val="clear" w:pos="7655"/>
        <w:tab w:val="clear" w:pos="8505"/>
        <w:tab w:val="right" w:pos="13381"/>
        <w:tab w:val="right" w:pos="13948"/>
      </w:tabs>
      <w:rPr>
        <w:b/>
      </w:rPr>
    </w:pPr>
    <w:r>
      <w:tab/>
    </w:r>
    <w:r w:rsidRPr="00BF1C36">
      <w:t xml:space="preserve">New Zealand’s </w:t>
    </w:r>
    <w:r w:rsidRPr="00B928E7">
      <w:t>Greenhouse</w:t>
    </w:r>
    <w:r w:rsidRPr="00BF1C36">
      <w:t xml:space="preserve"> Gas </w:t>
    </w:r>
    <w:r w:rsidRPr="00715D39">
      <w:t>Inventory</w:t>
    </w:r>
    <w:r w:rsidRPr="00BF1C36">
      <w:t xml:space="preserve"> 1990–20</w:t>
    </w:r>
    <w:r>
      <w:t>23</w:t>
    </w:r>
    <w:r w:rsidRPr="00027E55">
      <w:tab/>
    </w: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noProof/>
      </w:rPr>
      <w:t>1</w:t>
    </w:r>
    <w:r w:rsidRPr="00762043">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8EB35C" w14:textId="77777777" w:rsidR="00166812" w:rsidRPr="00027E55" w:rsidRDefault="00166812" w:rsidP="00166812">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23</w:t>
    </w:r>
    <w:r w:rsidRPr="00027E55">
      <w:tab/>
    </w: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noProof/>
      </w:rPr>
      <w:t>1</w:t>
    </w:r>
    <w:r w:rsidRPr="00762043">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1E6CE7" w14:textId="77777777" w:rsidR="00411E40" w:rsidRDefault="00411E4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C86F01" w14:textId="77777777" w:rsidR="00E33B6A" w:rsidRDefault="00E33B6A"/>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22CB98" w14:textId="77777777" w:rsidR="00E33B6A" w:rsidRPr="00B928E7" w:rsidRDefault="00E33B6A" w:rsidP="00B928E7">
    <w:pPr>
      <w:pStyle w:val="FooterEven"/>
    </w:pPr>
    <w:r w:rsidRPr="00027E55">
      <w:rPr>
        <w:rStyle w:val="PageNumber"/>
        <w:b w:val="0"/>
      </w:rPr>
      <w:fldChar w:fldCharType="begin"/>
    </w:r>
    <w:r w:rsidRPr="00027E55">
      <w:rPr>
        <w:rStyle w:val="PageNumber"/>
        <w:b w:val="0"/>
      </w:rPr>
      <w:instrText xml:space="preserve"> PAGE </w:instrText>
    </w:r>
    <w:r w:rsidRPr="00027E55">
      <w:rPr>
        <w:rStyle w:val="PageNumber"/>
        <w:b w:val="0"/>
      </w:rPr>
      <w:fldChar w:fldCharType="separate"/>
    </w:r>
    <w:r>
      <w:rPr>
        <w:rStyle w:val="PageNumber"/>
        <w:b w:val="0"/>
        <w:noProof/>
      </w:rPr>
      <w:t>iv</w:t>
    </w:r>
    <w:r w:rsidRPr="00027E55">
      <w:rPr>
        <w:rStyle w:val="PageNumber"/>
        <w:b w:val="0"/>
      </w:rPr>
      <w:fldChar w:fldCharType="end"/>
    </w:r>
    <w:r>
      <w:rPr>
        <w:rStyle w:val="PageNumber"/>
        <w:b w:val="0"/>
      </w:rPr>
      <w:tab/>
    </w:r>
    <w:r w:rsidRPr="00BF1C36">
      <w:t>New Zealand’s Greenhouse Gas Inventory 1990–20</w:t>
    </w:r>
    <w:r>
      <w:t>23</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93399A" w14:textId="77777777" w:rsidR="00E33B6A" w:rsidRPr="00027E55" w:rsidRDefault="00E33B6A" w:rsidP="00F660F9">
    <w:pPr>
      <w:pStyle w:val="FooterOdd"/>
      <w:rPr>
        <w:rStyle w:val="PageNumber"/>
        <w:b w:val="0"/>
      </w:rPr>
    </w:pPr>
    <w:r>
      <w:tab/>
    </w:r>
    <w:r w:rsidRPr="00BF1C36">
      <w:t>New Zealand’s Greenhouse Gas Inventory 1990–20</w:t>
    </w:r>
    <w:r>
      <w:t>23</w:t>
    </w:r>
    <w:r>
      <w:tab/>
    </w:r>
    <w:r w:rsidRPr="00027E55">
      <w:rPr>
        <w:rStyle w:val="PageNumber"/>
        <w:b w:val="0"/>
      </w:rPr>
      <w:fldChar w:fldCharType="begin"/>
    </w:r>
    <w:r w:rsidRPr="00027E55">
      <w:rPr>
        <w:rStyle w:val="PageNumber"/>
        <w:b w:val="0"/>
      </w:rPr>
      <w:instrText xml:space="preserve"> PAGE </w:instrText>
    </w:r>
    <w:r w:rsidRPr="00027E55">
      <w:rPr>
        <w:rStyle w:val="PageNumber"/>
        <w:b w:val="0"/>
      </w:rPr>
      <w:fldChar w:fldCharType="separate"/>
    </w:r>
    <w:r>
      <w:rPr>
        <w:rStyle w:val="PageNumber"/>
        <w:b w:val="0"/>
        <w:noProof/>
      </w:rPr>
      <w:t>iii</w:t>
    </w:r>
    <w:r w:rsidRPr="00027E55">
      <w:rPr>
        <w:rStyle w:val="PageNumber"/>
        <w:b w:val="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D2B56" w14:textId="6B5099B2" w:rsidR="00F55B34" w:rsidRPr="00027E55" w:rsidRDefault="00F55B34" w:rsidP="00F55B34">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2</w:t>
    </w:r>
    <w:r w:rsidR="00F1086F">
      <w:t>3</w:t>
    </w:r>
    <w:r w:rsidRPr="00027E55">
      <w:tab/>
    </w:r>
    <w:r w:rsidRPr="00762043">
      <w:rPr>
        <w:rStyle w:val="PageNumber"/>
      </w:rPr>
      <w:fldChar w:fldCharType="begin"/>
    </w:r>
    <w:r w:rsidRPr="00762043">
      <w:rPr>
        <w:rStyle w:val="PageNumber"/>
      </w:rPr>
      <w:instrText xml:space="preserve"> PAGE </w:instrText>
    </w:r>
    <w:r w:rsidRPr="00762043">
      <w:rPr>
        <w:rStyle w:val="PageNumber"/>
      </w:rPr>
      <w:fldChar w:fldCharType="separate"/>
    </w:r>
    <w:r>
      <w:rPr>
        <w:rStyle w:val="PageNumber"/>
        <w:noProof/>
      </w:rPr>
      <w:t>1</w:t>
    </w:r>
    <w:r w:rsidRPr="00762043">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111566" w14:textId="79384FB9" w:rsidR="003B0F83" w:rsidRPr="00B928E7" w:rsidRDefault="003B0F83" w:rsidP="00B928E7">
    <w:pPr>
      <w:pStyle w:val="FooterEven"/>
    </w:pPr>
    <w:r w:rsidRPr="00027E55">
      <w:rPr>
        <w:rStyle w:val="PageNumber"/>
        <w:b w:val="0"/>
      </w:rPr>
      <w:fldChar w:fldCharType="begin"/>
    </w:r>
    <w:r w:rsidRPr="00027E55">
      <w:rPr>
        <w:rStyle w:val="PageNumber"/>
        <w:b w:val="0"/>
      </w:rPr>
      <w:instrText xml:space="preserve"> PAGE </w:instrText>
    </w:r>
    <w:r w:rsidRPr="00027E55">
      <w:rPr>
        <w:rStyle w:val="PageNumber"/>
        <w:b w:val="0"/>
      </w:rPr>
      <w:fldChar w:fldCharType="separate"/>
    </w:r>
    <w:r>
      <w:rPr>
        <w:rStyle w:val="PageNumber"/>
        <w:b w:val="0"/>
        <w:noProof/>
      </w:rPr>
      <w:t>iv</w:t>
    </w:r>
    <w:r w:rsidRPr="00027E55">
      <w:rPr>
        <w:rStyle w:val="PageNumber"/>
        <w:b w:val="0"/>
      </w:rPr>
      <w:fldChar w:fldCharType="end"/>
    </w:r>
    <w:r>
      <w:rPr>
        <w:rStyle w:val="PageNumber"/>
        <w:b w:val="0"/>
      </w:rPr>
      <w:tab/>
    </w:r>
    <w:r>
      <w:t>Executive summary</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BC4B17" w14:textId="2CE1B613" w:rsidR="00147FA4" w:rsidRDefault="00147FA4" w:rsidP="002B7B6C">
    <w:pPr>
      <w:pStyle w:val="FooterEven"/>
    </w:pPr>
    <w:r w:rsidRPr="00B911D6">
      <w:rPr>
        <w:b/>
        <w:bCs/>
        <w:sz w:val="22"/>
        <w:szCs w:val="28"/>
      </w:rPr>
      <w:fldChar w:fldCharType="begin"/>
    </w:r>
    <w:r w:rsidRPr="00B911D6">
      <w:rPr>
        <w:b/>
        <w:bCs/>
        <w:sz w:val="22"/>
        <w:szCs w:val="28"/>
      </w:rPr>
      <w:instrText xml:space="preserve"> PAGE   \* MERGEFORMAT </w:instrText>
    </w:r>
    <w:r w:rsidRPr="00B911D6">
      <w:rPr>
        <w:b/>
        <w:bCs/>
        <w:sz w:val="22"/>
        <w:szCs w:val="28"/>
      </w:rPr>
      <w:fldChar w:fldCharType="separate"/>
    </w:r>
    <w:r w:rsidRPr="00B911D6">
      <w:rPr>
        <w:b/>
        <w:bCs/>
        <w:noProof/>
        <w:sz w:val="22"/>
        <w:szCs w:val="28"/>
      </w:rPr>
      <w:t>1</w:t>
    </w:r>
    <w:r w:rsidRPr="00B911D6">
      <w:rPr>
        <w:b/>
        <w:bCs/>
        <w:noProof/>
        <w:sz w:val="22"/>
        <w:szCs w:val="28"/>
      </w:rPr>
      <w:fldChar w:fldCharType="end"/>
    </w:r>
    <w:r>
      <w:rPr>
        <w:noProof/>
      </w:rPr>
      <w:tab/>
    </w:r>
    <w:r w:rsidR="00795762" w:rsidRPr="00735555">
      <w:t>Chapter 1: National circumstances, institutional arrangements and cross</w:t>
    </w:r>
    <w:r w:rsidR="00795762" w:rsidRPr="00735555">
      <w:noBreakHyphen/>
      <w:t>cutting information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22E524" w14:textId="77777777" w:rsidR="00EA1D92" w:rsidRDefault="00EA1D92" w:rsidP="00623089">
      <w:pPr>
        <w:spacing w:after="60"/>
      </w:pPr>
      <w:r>
        <w:separator/>
      </w:r>
    </w:p>
  </w:footnote>
  <w:footnote w:type="continuationSeparator" w:id="0">
    <w:p w14:paraId="10BDA495" w14:textId="77777777" w:rsidR="00EA1D92" w:rsidRDefault="00EA1D92">
      <w:r>
        <w:continuationSeparator/>
      </w:r>
    </w:p>
  </w:footnote>
  <w:footnote w:type="continuationNotice" w:id="1">
    <w:p w14:paraId="2D5455CF" w14:textId="77777777" w:rsidR="00EA1D92" w:rsidRDefault="00EA1D92"/>
  </w:footnote>
  <w:footnote w:id="2">
    <w:p w14:paraId="6CDD0084" w14:textId="77777777" w:rsidR="00680C72" w:rsidRDefault="00680C72" w:rsidP="00680C72">
      <w:pPr>
        <w:pStyle w:val="FootnoteText"/>
      </w:pPr>
      <w:r>
        <w:rPr>
          <w:rStyle w:val="FootnoteReference"/>
        </w:rPr>
        <w:footnoteRef/>
      </w:r>
      <w:r>
        <w:tab/>
        <w:t>Methane emissions produced from the digestive process in ruminant livestock.</w:t>
      </w:r>
    </w:p>
  </w:footnote>
  <w:footnote w:id="3">
    <w:p w14:paraId="712857C7" w14:textId="77777777" w:rsidR="009D798A" w:rsidRDefault="009D798A" w:rsidP="009D798A">
      <w:pPr>
        <w:pStyle w:val="FootnoteText"/>
      </w:pPr>
      <w:r>
        <w:rPr>
          <w:rStyle w:val="FootnoteReference"/>
        </w:rPr>
        <w:footnoteRef/>
      </w:r>
      <w:r>
        <w:tab/>
        <w:t>Annex II to the Convention (a subset of Annex I) lists the Organisation for Economic Co-operation and Development (OECD) member countries at the time the Convention was agreed.</w:t>
      </w:r>
    </w:p>
  </w:footnote>
  <w:footnote w:id="4">
    <w:p w14:paraId="33BC53F2" w14:textId="77777777" w:rsidR="009D798A" w:rsidRDefault="009D798A" w:rsidP="00795762">
      <w:pPr>
        <w:pStyle w:val="FootnoteText"/>
        <w:spacing w:after="0"/>
      </w:pPr>
      <w:r>
        <w:rPr>
          <w:rStyle w:val="FootnoteReference"/>
        </w:rPr>
        <w:footnoteRef/>
      </w:r>
      <w:r>
        <w:tab/>
        <w:t>Annex I to the Convention lists the countries included in Annex II, as defined above, together with countries defined at the time as transitioning to a market economy, commonly known as ‘economies in transition’.</w:t>
      </w:r>
    </w:p>
  </w:footnote>
  <w:footnote w:id="5">
    <w:p w14:paraId="5AED3F0F" w14:textId="77777777" w:rsidR="009D798A" w:rsidRDefault="009D798A" w:rsidP="009D798A">
      <w:pPr>
        <w:pStyle w:val="FootnoteText"/>
      </w:pPr>
      <w:r>
        <w:rPr>
          <w:rStyle w:val="FootnoteReference"/>
        </w:rPr>
        <w:footnoteRef/>
      </w:r>
      <w:r>
        <w:t xml:space="preserve"> </w:t>
      </w:r>
      <w:r>
        <w:tab/>
        <w:t xml:space="preserve">UN Climate Change. </w:t>
      </w:r>
      <w:hyperlink r:id="rId1" w:history="1">
        <w:r w:rsidRPr="009801B6">
          <w:rPr>
            <w:rStyle w:val="Hyperlink"/>
            <w:i/>
            <w:iCs/>
          </w:rPr>
          <w:t>Inventory Review Reports</w:t>
        </w:r>
      </w:hyperlink>
      <w:r>
        <w:t>. Retrieved 12 March 2025.</w:t>
      </w:r>
    </w:p>
  </w:footnote>
  <w:footnote w:id="6">
    <w:p w14:paraId="5A98FB9D" w14:textId="77777777" w:rsidR="009D798A" w:rsidRDefault="009D798A" w:rsidP="009D798A">
      <w:pPr>
        <w:pStyle w:val="FootnoteText"/>
      </w:pPr>
      <w:r>
        <w:rPr>
          <w:rStyle w:val="FootnoteReference"/>
        </w:rPr>
        <w:footnoteRef/>
      </w:r>
      <w:r>
        <w:tab/>
        <w:t>Because NF</w:t>
      </w:r>
      <w:r>
        <w:rPr>
          <w:vertAlign w:val="subscript"/>
        </w:rPr>
        <w:t>3</w:t>
      </w:r>
      <w:r>
        <w:t xml:space="preserve"> emissions do not occur in New Zealand, they are not included in this report.</w:t>
      </w:r>
    </w:p>
  </w:footnote>
  <w:footnote w:id="7">
    <w:p w14:paraId="39F995B8" w14:textId="77777777" w:rsidR="009D798A" w:rsidRDefault="009D798A" w:rsidP="009D798A">
      <w:pPr>
        <w:pStyle w:val="FootnoteText"/>
      </w:pPr>
      <w:r>
        <w:rPr>
          <w:rStyle w:val="FootnoteReference"/>
        </w:rPr>
        <w:footnoteRef/>
      </w:r>
      <w:r>
        <w:tab/>
        <w:t>Indirect GHGs are the gases that have indirect radiative effects in the atmosphere. This may happen either through conversion of an indirect gas to a direct GHG in the atmosphere (e.g., where CO is converted to CO</w:t>
      </w:r>
      <w:r>
        <w:rPr>
          <w:vertAlign w:val="subscript"/>
        </w:rPr>
        <w:t>2</w:t>
      </w:r>
      <w:r>
        <w:t>) or when chemical reactions in the atmosphere involving these gases change the concentrations of direct GHGs.</w:t>
      </w:r>
    </w:p>
  </w:footnote>
  <w:footnote w:id="8">
    <w:p w14:paraId="36F18BF6" w14:textId="77777777" w:rsidR="009D798A" w:rsidRDefault="009D798A" w:rsidP="009D798A">
      <w:pPr>
        <w:pStyle w:val="FootnoteText"/>
      </w:pPr>
      <w:r>
        <w:rPr>
          <w:rStyle w:val="FootnoteReference"/>
        </w:rPr>
        <w:footnoteRef/>
      </w:r>
      <w:r>
        <w:tab/>
        <w:t>The United Nations Charter (United Nations, 1945) defines a non-self-governing territory as a territory “whose people have not yet attained a full measure of self-government”. Tokelau has been on the United Nations list of non-self-governing territories since 1946, following New Zealand’s declaration of its intention to transmit information on the Tokelau Islands under Article 73e of the United Nations Charter.</w:t>
      </w:r>
    </w:p>
  </w:footnote>
  <w:footnote w:id="9">
    <w:p w14:paraId="6B932738" w14:textId="77777777" w:rsidR="009D798A" w:rsidRDefault="009D798A" w:rsidP="009D798A">
      <w:pPr>
        <w:pStyle w:val="FootnoteText"/>
      </w:pPr>
      <w:r>
        <w:rPr>
          <w:rStyle w:val="FootnoteReference"/>
        </w:rPr>
        <w:footnoteRef/>
      </w:r>
      <w:r>
        <w:tab/>
        <w:t>The Climate Change Response Act has been amended several times since 2002. The Climate Change Response (Emissions Trading Reform) Amendment Act 2020, among other things, added reporting under the Paris Agreement to the functions of the inventory agency.</w:t>
      </w:r>
    </w:p>
  </w:footnote>
  <w:footnote w:id="10">
    <w:p w14:paraId="07547ACB" w14:textId="77777777" w:rsidR="009D798A" w:rsidRDefault="009D798A" w:rsidP="00A80A55">
      <w:pPr>
        <w:pStyle w:val="FootnoteText"/>
        <w:spacing w:after="0"/>
      </w:pPr>
      <w:r>
        <w:rPr>
          <w:rStyle w:val="FootnoteReference"/>
        </w:rPr>
        <w:footnoteRef/>
      </w:r>
      <w:r>
        <w:tab/>
        <w:t>Inserted, on 23 June 2020, by section 56(1) of the Climate Change Response (Emissions Trading Reform) Amendment Act 2020 (2020 No 22).</w:t>
      </w:r>
    </w:p>
  </w:footnote>
  <w:footnote w:id="11">
    <w:p w14:paraId="4EF78381" w14:textId="77777777" w:rsidR="009D798A" w:rsidRDefault="009D798A" w:rsidP="009D798A">
      <w:pPr>
        <w:pStyle w:val="FootnoteText"/>
      </w:pPr>
      <w:r>
        <w:rPr>
          <w:rStyle w:val="FootnoteReference"/>
        </w:rPr>
        <w:footnoteRef/>
      </w:r>
      <w:r>
        <w:t xml:space="preserve"> </w:t>
      </w:r>
      <w:r>
        <w:tab/>
        <w:t xml:space="preserve">EPA. </w:t>
      </w:r>
      <w:hyperlink r:id="rId2" w:history="1">
        <w:r w:rsidRPr="009801B6">
          <w:rPr>
            <w:rStyle w:val="Hyperlink"/>
            <w:i/>
            <w:iCs/>
          </w:rPr>
          <w:t>Emissions returns report</w:t>
        </w:r>
      </w:hyperlink>
      <w:r>
        <w:t>. Retrieved 12 March 2025.</w:t>
      </w:r>
    </w:p>
  </w:footnote>
  <w:footnote w:id="12">
    <w:p w14:paraId="087CC9D4" w14:textId="77777777" w:rsidR="009D798A" w:rsidRDefault="009D798A" w:rsidP="009D798A">
      <w:pPr>
        <w:pStyle w:val="FootnoteText"/>
      </w:pPr>
      <w:r>
        <w:rPr>
          <w:rStyle w:val="FootnoteReference"/>
        </w:rPr>
        <w:footnoteRef/>
      </w:r>
      <w:r>
        <w:tab/>
        <w:t>Quality assurance (QA) is a planned system of review procedures conducted by personnel not directly involved in the inventory compilation and development process.</w:t>
      </w:r>
    </w:p>
  </w:footnote>
  <w:footnote w:id="13">
    <w:p w14:paraId="365774F3" w14:textId="77777777" w:rsidR="009D798A" w:rsidRDefault="009D798A" w:rsidP="009D798A">
      <w:pPr>
        <w:pStyle w:val="FootnoteText"/>
      </w:pPr>
      <w:r>
        <w:rPr>
          <w:rStyle w:val="FootnoteReference"/>
        </w:rPr>
        <w:footnoteRef/>
      </w:r>
      <w:r>
        <w:tab/>
        <w:t>Quality control (QC) is a system of routine technical activities to assess and maintain the quality of the inventory as it is being compiled. It is performed by personnel compiling the inventory.</w:t>
      </w:r>
    </w:p>
  </w:footnote>
  <w:footnote w:id="14">
    <w:p w14:paraId="542E6B30" w14:textId="77777777" w:rsidR="009D798A" w:rsidRDefault="009D798A" w:rsidP="009D798A">
      <w:pPr>
        <w:pStyle w:val="FootnoteText"/>
      </w:pPr>
      <w:r>
        <w:rPr>
          <w:rStyle w:val="FootnoteReference"/>
        </w:rPr>
        <w:footnoteRef/>
      </w:r>
      <w:r>
        <w:tab/>
        <w:t xml:space="preserve">For more details and a link to the codebase on Github, see: MPI. </w:t>
      </w:r>
      <w:hyperlink r:id="rId3" w:history="1">
        <w:r w:rsidRPr="00761152">
          <w:rPr>
            <w:rStyle w:val="Hyperlink"/>
            <w:i/>
            <w:iCs/>
          </w:rPr>
          <w:t>Estimating on-farm emissions</w:t>
        </w:r>
      </w:hyperlink>
      <w:r>
        <w:rPr>
          <w:i/>
          <w:iCs/>
        </w:rPr>
        <w:t>.</w:t>
      </w:r>
      <w:r>
        <w:t xml:space="preserve"> Retrieved 12 March 2025.</w:t>
      </w:r>
    </w:p>
  </w:footnote>
  <w:footnote w:id="15">
    <w:p w14:paraId="13D2F345" w14:textId="77777777" w:rsidR="009D798A" w:rsidRDefault="009D798A" w:rsidP="009D798A">
      <w:pPr>
        <w:pStyle w:val="FootnoteText"/>
      </w:pPr>
      <w:r>
        <w:rPr>
          <w:rStyle w:val="FootnoteReference"/>
        </w:rPr>
        <w:footnoteRef/>
      </w:r>
      <w:r>
        <w:tab/>
        <w:t>Climate Change Response (Emissions Trading) Amendment Act 2008.</w:t>
      </w:r>
    </w:p>
  </w:footnote>
  <w:footnote w:id="16">
    <w:p w14:paraId="1ECB67F3" w14:textId="77777777" w:rsidR="009D798A" w:rsidRDefault="009D798A" w:rsidP="009D798A">
      <w:pPr>
        <w:pStyle w:val="FootnoteText"/>
      </w:pPr>
      <w:r>
        <w:rPr>
          <w:rStyle w:val="FootnoteReference"/>
        </w:rPr>
        <w:footnoteRef/>
      </w:r>
      <w:r>
        <w:t xml:space="preserve"> </w:t>
      </w:r>
      <w:r>
        <w:tab/>
        <w:t xml:space="preserve">MfE. </w:t>
      </w:r>
      <w:hyperlink r:id="rId4" w:history="1">
        <w:r w:rsidRPr="001869E1">
          <w:rPr>
            <w:rStyle w:val="Hyperlink"/>
            <w:i/>
            <w:iCs/>
          </w:rPr>
          <w:t>New Zealand Emissions Trading Scheme.</w:t>
        </w:r>
      </w:hyperlink>
      <w:r w:rsidRPr="00D97176">
        <w:t xml:space="preserve"> </w:t>
      </w:r>
      <w:r>
        <w:t>Retrieved 12 March 2025.</w:t>
      </w:r>
    </w:p>
  </w:footnote>
  <w:footnote w:id="17">
    <w:p w14:paraId="7C5F8C7F" w14:textId="77777777" w:rsidR="009D798A" w:rsidRPr="00B12B74" w:rsidRDefault="009D798A" w:rsidP="009D798A">
      <w:pPr>
        <w:pStyle w:val="FootnoteText"/>
      </w:pPr>
      <w:r>
        <w:rPr>
          <w:rStyle w:val="FootnoteReference"/>
        </w:rPr>
        <w:footnoteRef/>
      </w:r>
      <w:r>
        <w:t xml:space="preserve"> </w:t>
      </w:r>
      <w:r>
        <w:tab/>
      </w:r>
      <w:r w:rsidRPr="00960FF4">
        <w:t>MMS stands for a manure management system (see chapter 5).</w:t>
      </w:r>
    </w:p>
  </w:footnote>
  <w:footnote w:id="18">
    <w:p w14:paraId="64B1396A" w14:textId="77777777" w:rsidR="00934E13" w:rsidRDefault="00934E13" w:rsidP="00934E13">
      <w:pPr>
        <w:pStyle w:val="FootnoteText"/>
      </w:pPr>
      <w:r>
        <w:rPr>
          <w:rStyle w:val="FootnoteReference"/>
        </w:rPr>
        <w:footnoteRef/>
      </w:r>
      <w:r>
        <w:t xml:space="preserve"> </w:t>
      </w:r>
      <w:r>
        <w:tab/>
        <w:t>Methane emissions produced from the digestive process in ruminant livestock.</w:t>
      </w:r>
    </w:p>
  </w:footnote>
  <w:footnote w:id="19">
    <w:p w14:paraId="7DF48E31" w14:textId="77777777" w:rsidR="00934E13" w:rsidRDefault="00934E13" w:rsidP="00934E13">
      <w:pPr>
        <w:pStyle w:val="FootnoteText"/>
      </w:pPr>
      <w:r>
        <w:rPr>
          <w:rStyle w:val="FootnoteReference"/>
        </w:rPr>
        <w:footnoteRef/>
      </w:r>
      <w:r>
        <w:t xml:space="preserve"> </w:t>
      </w:r>
      <w:r>
        <w:tab/>
        <w:t xml:space="preserve">For more information, see Ministry for Primary Industries. </w:t>
      </w:r>
      <w:hyperlink r:id="rId5" w:history="1">
        <w:r w:rsidRPr="005F77EC">
          <w:rPr>
            <w:rStyle w:val="Hyperlink"/>
            <w:i/>
            <w:iCs/>
          </w:rPr>
          <w:t>Situation and Outlook for Primary Industries</w:t>
        </w:r>
      </w:hyperlink>
      <w:r>
        <w:t xml:space="preserve">. Retrieved 20 March 2025. </w:t>
      </w:r>
    </w:p>
  </w:footnote>
  <w:footnote w:id="20">
    <w:p w14:paraId="1C7FC73E" w14:textId="77777777" w:rsidR="00D97D6C" w:rsidRPr="009E1BC6" w:rsidRDefault="00D97D6C" w:rsidP="00D97D6C">
      <w:pPr>
        <w:pStyle w:val="FootnoteText"/>
      </w:pPr>
      <w:r>
        <w:rPr>
          <w:rStyle w:val="FootnoteReference"/>
        </w:rPr>
        <w:footnoteRef/>
      </w:r>
      <w:r>
        <w:t xml:space="preserve"> </w:t>
      </w:r>
      <w:r>
        <w:tab/>
      </w:r>
      <w:r>
        <w:rPr>
          <w:lang w:eastAsia="en-GB"/>
        </w:rPr>
        <w:t>For urea production, the fraction of carbon stored varies across the time series, depending on the composition of the feedstock gas.</w:t>
      </w:r>
    </w:p>
  </w:footnote>
  <w:footnote w:id="21">
    <w:p w14:paraId="6D0B4DCB" w14:textId="77777777" w:rsidR="00D97D6C" w:rsidRDefault="00D97D6C" w:rsidP="00D97D6C">
      <w:pPr>
        <w:pStyle w:val="FootnoteText"/>
      </w:pPr>
      <w:r w:rsidRPr="005B6A26">
        <w:rPr>
          <w:rStyle w:val="FootnoteReference"/>
        </w:rPr>
        <w:footnoteRef/>
      </w:r>
      <w:r>
        <w:t xml:space="preserve"> </w:t>
      </w:r>
      <w:r>
        <w:tab/>
        <w:t xml:space="preserve">Phosphate rock: </w:t>
      </w:r>
      <w:r w:rsidRPr="00713F4E">
        <w:t>rock rich in the mi</w:t>
      </w:r>
      <w:r>
        <w:t>neral fluorapatite, Ca</w:t>
      </w:r>
      <w:r w:rsidRPr="00FD073B">
        <w:rPr>
          <w:vertAlign w:val="subscript"/>
        </w:rPr>
        <w:t>5</w:t>
      </w:r>
      <w:r>
        <w:t>(PO</w:t>
      </w:r>
      <w:r w:rsidRPr="00FD073B">
        <w:rPr>
          <w:vertAlign w:val="subscript"/>
        </w:rPr>
        <w:t>4</w:t>
      </w:r>
      <w:r>
        <w:t>)</w:t>
      </w:r>
      <w:r w:rsidRPr="00FD073B">
        <w:rPr>
          <w:vertAlign w:val="subscript"/>
        </w:rPr>
        <w:t>3</w:t>
      </w:r>
      <w:r>
        <w:t>F.</w:t>
      </w:r>
    </w:p>
  </w:footnote>
  <w:footnote w:id="22">
    <w:p w14:paraId="65B44E65" w14:textId="77777777" w:rsidR="00D97D6C" w:rsidRDefault="00D97D6C" w:rsidP="00D97D6C">
      <w:pPr>
        <w:pStyle w:val="FootnoteText"/>
      </w:pPr>
      <w:r>
        <w:rPr>
          <w:rStyle w:val="FootnoteReference"/>
        </w:rPr>
        <w:footnoteRef/>
      </w:r>
      <w:r>
        <w:t xml:space="preserve"> </w:t>
      </w:r>
      <w:r>
        <w:tab/>
        <w:t xml:space="preserve">As of 2018, </w:t>
      </w:r>
      <w:r w:rsidRPr="00237E11">
        <w:t>New Zealand only manufactures a small number of buses and heavy trucks</w:t>
      </w:r>
      <w:r>
        <w:t>.</w:t>
      </w:r>
    </w:p>
  </w:footnote>
  <w:footnote w:id="23">
    <w:p w14:paraId="3AABEC4F" w14:textId="77777777" w:rsidR="009327C0" w:rsidRDefault="009327C0" w:rsidP="00F6262F">
      <w:pPr>
        <w:pStyle w:val="FootnoteText"/>
        <w:spacing w:after="0"/>
      </w:pPr>
      <w:r>
        <w:rPr>
          <w:rStyle w:val="FootnoteReference"/>
        </w:rPr>
        <w:footnoteRef/>
      </w:r>
      <w:r>
        <w:t xml:space="preserve"> </w:t>
      </w:r>
      <w:r>
        <w:tab/>
      </w:r>
      <w:r w:rsidRPr="008A589F">
        <w:t xml:space="preserve">Includes bitumen, lubricants, solvents, waxes, </w:t>
      </w:r>
      <w:r w:rsidRPr="00CF110F">
        <w:t>petroleum</w:t>
      </w:r>
      <w:r w:rsidRPr="008A589F">
        <w:t xml:space="preserve"> coke, white spirit and other liquid fuels.</w:t>
      </w:r>
    </w:p>
  </w:footnote>
  <w:footnote w:id="24">
    <w:p w14:paraId="349D66AE" w14:textId="77777777" w:rsidR="00590FE1" w:rsidRPr="005A386A" w:rsidRDefault="00590FE1" w:rsidP="00590FE1">
      <w:pPr>
        <w:pStyle w:val="FootnoteText"/>
        <w:spacing w:after="0"/>
      </w:pPr>
      <w:r w:rsidRPr="005A386A">
        <w:rPr>
          <w:rStyle w:val="FootnoteReference"/>
        </w:rPr>
        <w:footnoteRef/>
      </w:r>
      <w:r w:rsidRPr="005A386A">
        <w:t xml:space="preserve"> </w:t>
      </w:r>
      <w:r w:rsidRPr="005A386A">
        <w:tab/>
      </w:r>
      <w:bookmarkStart w:id="637" w:name="_Hlk126157604"/>
      <w:r w:rsidRPr="005A386A">
        <w:t xml:space="preserve">Implied emission factors (IEFs) are calculated by dividing the total emissions of a particular animal </w:t>
      </w:r>
      <w:r>
        <w:t>species</w:t>
      </w:r>
      <w:r w:rsidRPr="005A386A">
        <w:t xml:space="preserve"> and sector (e.g., enteric fermentation from sheep) by the number of animals</w:t>
      </w:r>
      <w:r>
        <w:t xml:space="preserve"> in that species and sector</w:t>
      </w:r>
      <w:r w:rsidRPr="005A386A">
        <w:t>.</w:t>
      </w:r>
      <w:bookmarkEnd w:id="637"/>
    </w:p>
  </w:footnote>
  <w:footnote w:id="25">
    <w:p w14:paraId="1578F283" w14:textId="77777777" w:rsidR="00590FE1" w:rsidRPr="00D93F91" w:rsidRDefault="00590FE1" w:rsidP="00590FE1">
      <w:pPr>
        <w:pStyle w:val="FootnoteText"/>
      </w:pPr>
      <w:r w:rsidRPr="005A386A">
        <w:rPr>
          <w:rStyle w:val="FootnoteReference"/>
        </w:rPr>
        <w:footnoteRef/>
      </w:r>
      <w:r w:rsidRPr="005A386A">
        <w:t xml:space="preserve"> </w:t>
      </w:r>
      <w:r w:rsidRPr="005A386A">
        <w:tab/>
        <w:t>Percentage of carcass weight in relation to liveweight.</w:t>
      </w:r>
    </w:p>
  </w:footnote>
  <w:footnote w:id="26">
    <w:p w14:paraId="5BFC4223" w14:textId="77777777" w:rsidR="00590FE1" w:rsidRPr="005A386A" w:rsidRDefault="00590FE1" w:rsidP="00590FE1">
      <w:pPr>
        <w:pStyle w:val="FootnoteText"/>
        <w:spacing w:after="0"/>
      </w:pPr>
      <w:r w:rsidRPr="005A386A">
        <w:rPr>
          <w:rStyle w:val="FootnoteReference"/>
        </w:rPr>
        <w:footnoteRef/>
      </w:r>
      <w:r w:rsidRPr="005A386A">
        <w:t xml:space="preserve"> </w:t>
      </w:r>
      <w:r w:rsidRPr="005A386A">
        <w:tab/>
      </w:r>
      <w:r w:rsidRPr="00DC7B94">
        <w:t xml:space="preserve">The number of beef cows slaughtered is assumed to be 17 per cent of the total beef cow herd, with other adult cows slaughtered assumed to be dairy cows. The carcass weight of dairy cattle slaughtered was estimated using the adult dairy cow liveweights and a killing-out percentage of 42 per cent (Thomson et </w:t>
      </w:r>
      <w:r w:rsidRPr="00DC7B94">
        <w:rPr>
          <w:spacing w:val="-2"/>
        </w:rPr>
        <w:t>al., 2010). The total weight of dairy cattle slaughtered was calculated (carcass weight × number slaughtered)</w:t>
      </w:r>
      <w:r w:rsidRPr="00DC7B94">
        <w:t xml:space="preserve"> and then deducted from the national total carcass weight of slaughtered adult cows. This figure was then divided by the number of beef cows slaughtered, to obtain an estimate of the carcass weight of adult beef </w:t>
      </w:r>
      <w:r w:rsidRPr="00DC7B94">
        <w:rPr>
          <w:spacing w:val="-2"/>
        </w:rPr>
        <w:t>cows. Liveweights were calculated assuming a killing-out percentage of 42.6 per cent (Thomson et al., 2010</w:t>
      </w:r>
      <w:r w:rsidRPr="00DC7B94">
        <w:t>)</w:t>
      </w:r>
      <w:r w:rsidRPr="005A386A">
        <w:rPr>
          <w:spacing w:val="-2"/>
        </w:rPr>
        <w:t>.</w:t>
      </w:r>
    </w:p>
  </w:footnote>
  <w:footnote w:id="27">
    <w:p w14:paraId="77821B8B" w14:textId="77777777" w:rsidR="00590FE1" w:rsidRDefault="00590FE1" w:rsidP="00590FE1">
      <w:pPr>
        <w:pStyle w:val="FootnoteText"/>
      </w:pPr>
      <w:r>
        <w:rPr>
          <w:rStyle w:val="FootnoteReference"/>
        </w:rPr>
        <w:footnoteRef/>
      </w:r>
      <w:r>
        <w:t xml:space="preserve"> </w:t>
      </w:r>
      <w:r>
        <w:tab/>
        <w:t>Also known as ‘meat chickens’, which tend to be larger breeds with higher muscle content.</w:t>
      </w:r>
    </w:p>
  </w:footnote>
  <w:footnote w:id="28">
    <w:p w14:paraId="556793BD" w14:textId="77777777" w:rsidR="00590FE1" w:rsidRDefault="00590FE1" w:rsidP="00590FE1">
      <w:pPr>
        <w:pStyle w:val="FootnoteText"/>
        <w:spacing w:after="0"/>
      </w:pPr>
      <w:r>
        <w:rPr>
          <w:rStyle w:val="FootnoteReference"/>
        </w:rPr>
        <w:footnoteRef/>
      </w:r>
      <w:r>
        <w:t xml:space="preserve"> </w:t>
      </w:r>
      <w:r>
        <w:tab/>
        <w:t>Methanet and NzOnet contain experts on methane (</w:t>
      </w:r>
      <w:r w:rsidRPr="00D9348B">
        <w:rPr>
          <w:rFonts w:cs="Calibri"/>
        </w:rPr>
        <w:t>CH</w:t>
      </w:r>
      <w:r w:rsidRPr="00D9348B">
        <w:rPr>
          <w:rFonts w:cs="Calibri"/>
          <w:vertAlign w:val="subscript"/>
        </w:rPr>
        <w:t>4</w:t>
      </w:r>
      <w:r>
        <w:t>) and nitrous oxide (</w:t>
      </w:r>
      <w:r w:rsidRPr="00D9348B">
        <w:rPr>
          <w:rFonts w:cs="Calibri"/>
        </w:rPr>
        <w:t>N</w:t>
      </w:r>
      <w:r w:rsidRPr="00D9348B">
        <w:rPr>
          <w:rFonts w:cs="Calibri"/>
          <w:vertAlign w:val="subscript"/>
        </w:rPr>
        <w:t>2</w:t>
      </w:r>
      <w:r w:rsidRPr="00D9348B">
        <w:rPr>
          <w:rFonts w:cs="Calibri"/>
        </w:rPr>
        <w:t>O</w:t>
      </w:r>
      <w:r>
        <w:t>) respectively. These advisory groups</w:t>
      </w:r>
      <w:r w:rsidRPr="00EB41C3">
        <w:rPr>
          <w:rFonts w:cs="Calibri"/>
        </w:rPr>
        <w:t xml:space="preserve"> </w:t>
      </w:r>
      <w:r w:rsidRPr="00D9348B">
        <w:rPr>
          <w:rFonts w:cs="Calibri"/>
        </w:rPr>
        <w:t>have been running since the early 2000s. The groups were formed to identify the main direction of research needed to improve the CH</w:t>
      </w:r>
      <w:r w:rsidRPr="00D9348B">
        <w:rPr>
          <w:rFonts w:cs="Calibri"/>
          <w:vertAlign w:val="subscript"/>
        </w:rPr>
        <w:t>4</w:t>
      </w:r>
      <w:r w:rsidRPr="00D9348B">
        <w:rPr>
          <w:rFonts w:cs="Calibri"/>
        </w:rPr>
        <w:t xml:space="preserve"> and N</w:t>
      </w:r>
      <w:r w:rsidRPr="00D9348B">
        <w:rPr>
          <w:rFonts w:cs="Calibri"/>
          <w:vertAlign w:val="subscript"/>
        </w:rPr>
        <w:t>2</w:t>
      </w:r>
      <w:r w:rsidRPr="00D9348B">
        <w:rPr>
          <w:rFonts w:cs="Calibri"/>
        </w:rPr>
        <w:t>O inventory accounts and mitigation, develop a collaborative approach to improve the quality of CH</w:t>
      </w:r>
      <w:r w:rsidRPr="00D9348B">
        <w:rPr>
          <w:rFonts w:cs="Calibri"/>
          <w:vertAlign w:val="subscript"/>
        </w:rPr>
        <w:t>4</w:t>
      </w:r>
      <w:r w:rsidRPr="00D9348B">
        <w:rPr>
          <w:rFonts w:cs="Calibri"/>
        </w:rPr>
        <w:t xml:space="preserve"> and N</w:t>
      </w:r>
      <w:r w:rsidRPr="00D9348B">
        <w:rPr>
          <w:rFonts w:cs="Calibri"/>
          <w:vertAlign w:val="subscript"/>
        </w:rPr>
        <w:t>2</w:t>
      </w:r>
      <w:r w:rsidRPr="00D9348B">
        <w:rPr>
          <w:rFonts w:cs="Calibri"/>
        </w:rPr>
        <w:t>O emission</w:t>
      </w:r>
      <w:r>
        <w:rPr>
          <w:rFonts w:cs="Calibri"/>
        </w:rPr>
        <w:t>s</w:t>
      </w:r>
      <w:r w:rsidRPr="00D9348B">
        <w:rPr>
          <w:rFonts w:cs="Calibri"/>
        </w:rPr>
        <w:t xml:space="preserve"> data, and build and maintain inventory research capability</w:t>
      </w:r>
      <w:r>
        <w:rPr>
          <w:rFonts w:cs="Calibri"/>
        </w:rPr>
        <w:t>.</w:t>
      </w:r>
    </w:p>
  </w:footnote>
  <w:footnote w:id="29">
    <w:p w14:paraId="019B9766" w14:textId="77777777" w:rsidR="00590FE1" w:rsidRPr="005A386A" w:rsidRDefault="00590FE1" w:rsidP="008A26C8">
      <w:pPr>
        <w:pStyle w:val="FootnoteText"/>
        <w:spacing w:after="0"/>
      </w:pPr>
      <w:r w:rsidRPr="005A386A">
        <w:rPr>
          <w:rStyle w:val="FootnoteReference"/>
        </w:rPr>
        <w:footnoteRef/>
      </w:r>
      <w:r w:rsidRPr="005A386A">
        <w:t xml:space="preserve"> </w:t>
      </w:r>
      <w:r w:rsidRPr="005A386A">
        <w:tab/>
        <w:t xml:space="preserve">The equation displayed here is a rearranged form of the equation displayed </w:t>
      </w:r>
      <w:r w:rsidRPr="00A553BA">
        <w:t>in Swainson et al. (2016):</w:t>
      </w:r>
      <w:r w:rsidRPr="005A386A">
        <w:t xml:space="preserve"> Ln(CH</w:t>
      </w:r>
      <w:r w:rsidRPr="005A386A">
        <w:rPr>
          <w:vertAlign w:val="subscript"/>
        </w:rPr>
        <w:t>4</w:t>
      </w:r>
      <w:r w:rsidRPr="005A386A">
        <w:t xml:space="preserve">) = 0.734 × In(DMI) + 0.05 </w:t>
      </w:r>
      <w:r w:rsidRPr="005A386A">
        <w:rPr>
          <w:szCs w:val="19"/>
        </w:rPr>
        <w:t>×</w:t>
      </w:r>
      <w:r w:rsidRPr="005A386A">
        <w:t xml:space="preserve"> ME + 2.46.</w:t>
      </w:r>
    </w:p>
  </w:footnote>
  <w:footnote w:id="30">
    <w:p w14:paraId="490BE072" w14:textId="77777777" w:rsidR="00590FE1" w:rsidRPr="005A386A" w:rsidRDefault="00590FE1" w:rsidP="00590FE1">
      <w:pPr>
        <w:pStyle w:val="FootnoteText"/>
        <w:spacing w:after="40"/>
      </w:pPr>
      <w:r w:rsidRPr="005A386A">
        <w:rPr>
          <w:rStyle w:val="FootnoteReference"/>
        </w:rPr>
        <w:footnoteRef/>
      </w:r>
      <w:r w:rsidRPr="005A386A">
        <w:t xml:space="preserve"> </w:t>
      </w:r>
      <w:r w:rsidRPr="005A386A">
        <w:tab/>
        <w:t xml:space="preserve">The equation displayed here is a rearranged form of the equation displayed </w:t>
      </w:r>
      <w:r w:rsidRPr="00A553BA">
        <w:t>in Swainson et al. (2016):</w:t>
      </w:r>
      <w:r w:rsidRPr="005A386A">
        <w:t xml:space="preserve"> Ln(CH</w:t>
      </w:r>
      <w:r w:rsidRPr="005A386A">
        <w:rPr>
          <w:vertAlign w:val="subscript"/>
        </w:rPr>
        <w:t>4</w:t>
      </w:r>
      <w:r w:rsidRPr="005A386A">
        <w:t>) = 0.765 × In(DMI) + 3.09.</w:t>
      </w:r>
    </w:p>
  </w:footnote>
  <w:footnote w:id="31">
    <w:p w14:paraId="67AE5EB0" w14:textId="77777777" w:rsidR="00590FE1" w:rsidRPr="005A386A" w:rsidRDefault="00590FE1" w:rsidP="00590FE1">
      <w:pPr>
        <w:pStyle w:val="FootnoteText"/>
        <w:spacing w:after="40"/>
        <w:rPr>
          <w:szCs w:val="19"/>
        </w:rPr>
      </w:pPr>
      <w:r w:rsidRPr="005A386A">
        <w:rPr>
          <w:rStyle w:val="FootnoteReference"/>
          <w:szCs w:val="19"/>
        </w:rPr>
        <w:footnoteRef/>
      </w:r>
      <w:r w:rsidRPr="005A386A">
        <w:rPr>
          <w:szCs w:val="19"/>
        </w:rPr>
        <w:t xml:space="preserve"> </w:t>
      </w:r>
      <w:r w:rsidRPr="005A386A">
        <w:rPr>
          <w:szCs w:val="19"/>
        </w:rPr>
        <w:tab/>
        <w:t>For example, Blaxter and Clapperton (1965); Moe and Tyrrel (1975); Baldwin et al. (1988); Djikstra et al. (1992) and Benchaar et al. (2001)</w:t>
      </w:r>
      <w:r>
        <w:rPr>
          <w:szCs w:val="19"/>
        </w:rPr>
        <w:t>,</w:t>
      </w:r>
      <w:r w:rsidRPr="005A386A">
        <w:rPr>
          <w:szCs w:val="19"/>
        </w:rPr>
        <w:t xml:space="preserve"> all cited in Clark et al. (2003). </w:t>
      </w:r>
    </w:p>
  </w:footnote>
  <w:footnote w:id="32">
    <w:p w14:paraId="2773731C" w14:textId="77777777" w:rsidR="00590FE1" w:rsidRDefault="00590FE1" w:rsidP="00590FE1">
      <w:pPr>
        <w:pStyle w:val="FootnoteText"/>
      </w:pPr>
      <w:r>
        <w:rPr>
          <w:rStyle w:val="FootnoteReference"/>
        </w:rPr>
        <w:footnoteRef/>
      </w:r>
      <w:r>
        <w:t xml:space="preserve"> </w:t>
      </w:r>
      <w:r>
        <w:tab/>
        <w:t xml:space="preserve">Value </w:t>
      </w:r>
      <w:r w:rsidRPr="00BE78CA">
        <w:rPr>
          <w:rFonts w:cs="Calibri"/>
        </w:rPr>
        <w:t xml:space="preserve">used in </w:t>
      </w:r>
      <w:r>
        <w:rPr>
          <w:rFonts w:cs="Calibri"/>
        </w:rPr>
        <w:t>earlier</w:t>
      </w:r>
      <w:r w:rsidRPr="00BE78CA">
        <w:rPr>
          <w:rFonts w:cs="Calibri"/>
        </w:rPr>
        <w:t xml:space="preserve"> versions of the National Inventory Report (</w:t>
      </w:r>
      <w:r w:rsidRPr="001B3A4A">
        <w:rPr>
          <w:rFonts w:cs="Calibri"/>
        </w:rPr>
        <w:t>21.25</w:t>
      </w:r>
      <w:r w:rsidRPr="00BE78CA">
        <w:rPr>
          <w:rFonts w:cs="Calibri"/>
        </w:rPr>
        <w:t xml:space="preserve"> g</w:t>
      </w:r>
      <w:r>
        <w:rPr>
          <w:rFonts w:cs="Calibri"/>
        </w:rPr>
        <w:t xml:space="preserve">rams </w:t>
      </w:r>
      <w:r w:rsidRPr="00933F9D">
        <w:rPr>
          <w:rFonts w:cs="Calibri"/>
        </w:rPr>
        <w:t>CH</w:t>
      </w:r>
      <w:r w:rsidRPr="00933F9D">
        <w:rPr>
          <w:rFonts w:cs="Calibri"/>
          <w:vertAlign w:val="subscript"/>
        </w:rPr>
        <w:t>4</w:t>
      </w:r>
      <w:r>
        <w:rPr>
          <w:rFonts w:cs="Calibri"/>
        </w:rPr>
        <w:t xml:space="preserve"> per kilogram dry</w:t>
      </w:r>
      <w:r>
        <w:rPr>
          <w:rFonts w:cs="Calibri"/>
        </w:rPr>
        <w:noBreakHyphen/>
        <w:t>matter intake</w:t>
      </w:r>
      <w:r w:rsidRPr="00BE78CA">
        <w:rPr>
          <w:rFonts w:cs="Calibri"/>
        </w:rPr>
        <w:t>)</w:t>
      </w:r>
      <w:r>
        <w:rPr>
          <w:rFonts w:cs="Calibri"/>
        </w:rPr>
        <w:t>.</w:t>
      </w:r>
    </w:p>
  </w:footnote>
  <w:footnote w:id="33">
    <w:p w14:paraId="1313C59A" w14:textId="77777777" w:rsidR="00590FE1" w:rsidRPr="005A386A" w:rsidRDefault="00590FE1" w:rsidP="00590FE1">
      <w:pPr>
        <w:pStyle w:val="FootnoteText"/>
        <w:rPr>
          <w:szCs w:val="19"/>
        </w:rPr>
      </w:pPr>
      <w:r w:rsidRPr="005A386A">
        <w:rPr>
          <w:rStyle w:val="FootnoteReference"/>
          <w:szCs w:val="19"/>
        </w:rPr>
        <w:footnoteRef/>
      </w:r>
      <w:r w:rsidRPr="005A386A">
        <w:rPr>
          <w:szCs w:val="19"/>
        </w:rPr>
        <w:t xml:space="preserve"> </w:t>
      </w:r>
      <w:r w:rsidRPr="005A386A">
        <w:rPr>
          <w:szCs w:val="19"/>
        </w:rPr>
        <w:tab/>
        <w:t>The IPCC (2006) default emission factor for swine is identical to the IPCC (1996) emission factor.</w:t>
      </w:r>
    </w:p>
  </w:footnote>
  <w:footnote w:id="34">
    <w:p w14:paraId="789062E8" w14:textId="77777777" w:rsidR="00590FE1" w:rsidRPr="005A386A" w:rsidRDefault="00590FE1" w:rsidP="00590FE1">
      <w:pPr>
        <w:pStyle w:val="FootnoteText"/>
      </w:pPr>
      <w:r w:rsidRPr="00545B02">
        <w:rPr>
          <w:rStyle w:val="FootnoteReference"/>
        </w:rPr>
        <w:footnoteRef/>
      </w:r>
      <w:r w:rsidRPr="00545B02">
        <w:t xml:space="preserve"> </w:t>
      </w:r>
      <w:r w:rsidRPr="00545B02">
        <w:tab/>
        <w:t xml:space="preserve">As reported in Australia’s </w:t>
      </w:r>
      <w:hyperlink r:id="rId6" w:history="1">
        <w:r w:rsidRPr="00545B02">
          <w:rPr>
            <w:rStyle w:val="Hyperlink"/>
            <w:i/>
            <w:iCs/>
          </w:rPr>
          <w:t>2024 Common Reporting Table</w:t>
        </w:r>
      </w:hyperlink>
      <w:r w:rsidRPr="00545B02">
        <w:t>. Retrieved 20 November 2024</w:t>
      </w:r>
      <w:r w:rsidRPr="00545B02">
        <w:rPr>
          <w:rFonts w:cs="Arial"/>
          <w:spacing w:val="-2"/>
          <w:szCs w:val="16"/>
        </w:rPr>
        <w:t xml:space="preserve">. </w:t>
      </w:r>
      <w:r w:rsidRPr="00545B02">
        <w:rPr>
          <w:spacing w:val="-2"/>
        </w:rPr>
        <w:t>Note that the Australian-specific beef cattle IEF value is calculated</w:t>
      </w:r>
      <w:r w:rsidRPr="00545B02">
        <w:t xml:space="preserve"> from a population-based weighted average</w:t>
      </w:r>
      <w:r w:rsidRPr="005A386A">
        <w:t xml:space="preserve"> of pasture and feedlot IEF values from </w:t>
      </w:r>
      <w:r>
        <w:t>beef</w:t>
      </w:r>
      <w:r w:rsidRPr="005A386A">
        <w:t xml:space="preserve"> cattle.</w:t>
      </w:r>
    </w:p>
  </w:footnote>
  <w:footnote w:id="35">
    <w:p w14:paraId="562F66CD" w14:textId="77777777" w:rsidR="00590FE1" w:rsidRPr="005A386A" w:rsidRDefault="00590FE1" w:rsidP="00590FE1">
      <w:pPr>
        <w:pStyle w:val="FootnoteText"/>
        <w:spacing w:after="40"/>
        <w:rPr>
          <w:i/>
          <w:szCs w:val="19"/>
        </w:rPr>
      </w:pPr>
      <w:r w:rsidRPr="005A386A">
        <w:rPr>
          <w:rStyle w:val="FootnoteReference"/>
          <w:szCs w:val="19"/>
        </w:rPr>
        <w:footnoteRef/>
      </w:r>
      <w:r w:rsidRPr="005A386A">
        <w:rPr>
          <w:szCs w:val="19"/>
        </w:rPr>
        <w:t xml:space="preserve"> </w:t>
      </w:r>
      <w:r w:rsidRPr="005A386A">
        <w:rPr>
          <w:szCs w:val="19"/>
        </w:rPr>
        <w:tab/>
        <w:t xml:space="preserve">Reported under </w:t>
      </w:r>
      <w:r w:rsidRPr="005A386A">
        <w:rPr>
          <w:i/>
          <w:szCs w:val="19"/>
        </w:rPr>
        <w:t>Agricultural soils</w:t>
      </w:r>
      <w:r w:rsidRPr="005A386A">
        <w:rPr>
          <w:szCs w:val="19"/>
        </w:rPr>
        <w:t xml:space="preserve">, under </w:t>
      </w:r>
      <w:r w:rsidRPr="005A386A">
        <w:rPr>
          <w:i/>
          <w:szCs w:val="19"/>
        </w:rPr>
        <w:t>Organic nitrogen fertilisers</w:t>
      </w:r>
      <w:r w:rsidRPr="005A386A">
        <w:rPr>
          <w:szCs w:val="19"/>
        </w:rPr>
        <w:t xml:space="preserve"> (3.D.1.2).</w:t>
      </w:r>
    </w:p>
  </w:footnote>
  <w:footnote w:id="36">
    <w:p w14:paraId="73879E83" w14:textId="77777777" w:rsidR="00590FE1" w:rsidRPr="005A386A" w:rsidRDefault="00590FE1" w:rsidP="00590FE1">
      <w:pPr>
        <w:pStyle w:val="FootnoteText"/>
        <w:spacing w:after="40"/>
        <w:rPr>
          <w:szCs w:val="19"/>
        </w:rPr>
      </w:pPr>
      <w:r w:rsidRPr="005A386A">
        <w:rPr>
          <w:rStyle w:val="FootnoteReference"/>
          <w:szCs w:val="19"/>
        </w:rPr>
        <w:footnoteRef/>
      </w:r>
      <w:r w:rsidRPr="005A386A">
        <w:rPr>
          <w:szCs w:val="19"/>
        </w:rPr>
        <w:t xml:space="preserve"> </w:t>
      </w:r>
      <w:r w:rsidRPr="005A386A">
        <w:rPr>
          <w:szCs w:val="19"/>
        </w:rPr>
        <w:tab/>
        <w:t xml:space="preserve">Reported under </w:t>
      </w:r>
      <w:r w:rsidRPr="005A386A">
        <w:rPr>
          <w:i/>
          <w:szCs w:val="19"/>
        </w:rPr>
        <w:t>Agricultural soils</w:t>
      </w:r>
      <w:r w:rsidRPr="005A386A">
        <w:rPr>
          <w:szCs w:val="19"/>
        </w:rPr>
        <w:t xml:space="preserve">, under </w:t>
      </w:r>
      <w:r w:rsidRPr="005A386A">
        <w:rPr>
          <w:i/>
          <w:szCs w:val="19"/>
        </w:rPr>
        <w:t>Urine and dung deposited by grazing animals</w:t>
      </w:r>
      <w:r w:rsidRPr="005A386A">
        <w:rPr>
          <w:szCs w:val="19"/>
        </w:rPr>
        <w:t xml:space="preserve"> (3.D.1.3).</w:t>
      </w:r>
    </w:p>
  </w:footnote>
  <w:footnote w:id="37">
    <w:p w14:paraId="34D8F1D7" w14:textId="77777777" w:rsidR="00590FE1" w:rsidRPr="005A386A" w:rsidRDefault="00590FE1" w:rsidP="00590FE1">
      <w:pPr>
        <w:pStyle w:val="FootnoteText"/>
        <w:spacing w:after="40"/>
      </w:pPr>
      <w:r w:rsidRPr="005A386A">
        <w:rPr>
          <w:rStyle w:val="FootnoteReference"/>
        </w:rPr>
        <w:footnoteRef/>
      </w:r>
      <w:r w:rsidRPr="005A386A">
        <w:t xml:space="preserve"> </w:t>
      </w:r>
      <w:r w:rsidRPr="005A386A">
        <w:tab/>
      </w:r>
      <w:r w:rsidRPr="00156364">
        <w:t xml:space="preserve">Rollo et al. </w:t>
      </w:r>
      <w:r>
        <w:t>(</w:t>
      </w:r>
      <w:r w:rsidRPr="00156364">
        <w:t>2017</w:t>
      </w:r>
      <w:r>
        <w:t>).</w:t>
      </w:r>
    </w:p>
  </w:footnote>
  <w:footnote w:id="38">
    <w:p w14:paraId="01C28E77" w14:textId="77777777" w:rsidR="00590FE1" w:rsidRPr="005A386A" w:rsidRDefault="00590FE1" w:rsidP="00590FE1">
      <w:pPr>
        <w:pStyle w:val="FootnoteText"/>
        <w:spacing w:after="40"/>
        <w:rPr>
          <w:szCs w:val="19"/>
        </w:rPr>
      </w:pPr>
      <w:r w:rsidRPr="005A386A">
        <w:rPr>
          <w:rStyle w:val="FootnoteReference"/>
          <w:color w:val="000000"/>
          <w:szCs w:val="19"/>
        </w:rPr>
        <w:footnoteRef/>
      </w:r>
      <w:r w:rsidRPr="005A386A">
        <w:rPr>
          <w:color w:val="000000"/>
          <w:szCs w:val="19"/>
        </w:rPr>
        <w:t xml:space="preserve"> </w:t>
      </w:r>
      <w:r w:rsidRPr="005A386A">
        <w:rPr>
          <w:color w:val="000000"/>
          <w:szCs w:val="19"/>
        </w:rPr>
        <w:tab/>
      </w:r>
      <w:r w:rsidRPr="009566EB">
        <w:rPr>
          <w:szCs w:val="19"/>
        </w:rPr>
        <w:t>Hill (2012), Ritchie (2024).</w:t>
      </w:r>
    </w:p>
  </w:footnote>
  <w:footnote w:id="39">
    <w:p w14:paraId="1FE0180A" w14:textId="77777777" w:rsidR="00590FE1" w:rsidRPr="005A386A" w:rsidRDefault="00590FE1" w:rsidP="00590FE1">
      <w:pPr>
        <w:pStyle w:val="FootnoteText"/>
        <w:spacing w:after="40"/>
        <w:rPr>
          <w:szCs w:val="19"/>
        </w:rPr>
      </w:pPr>
      <w:r w:rsidRPr="005A386A">
        <w:rPr>
          <w:rStyle w:val="FootnoteReference"/>
          <w:szCs w:val="19"/>
        </w:rPr>
        <w:footnoteRef/>
      </w:r>
      <w:r w:rsidRPr="005A386A">
        <w:rPr>
          <w:szCs w:val="19"/>
        </w:rPr>
        <w:t xml:space="preserve"> </w:t>
      </w:r>
      <w:r w:rsidRPr="005A386A">
        <w:rPr>
          <w:szCs w:val="19"/>
        </w:rPr>
        <w:tab/>
      </w:r>
      <w:r w:rsidRPr="00A553BA">
        <w:rPr>
          <w:szCs w:val="19"/>
        </w:rPr>
        <w:t>Fick et al. (2011)</w:t>
      </w:r>
      <w:r w:rsidRPr="005A386A">
        <w:rPr>
          <w:szCs w:val="19"/>
        </w:rPr>
        <w:t xml:space="preserve"> and pers. comm. (2010).</w:t>
      </w:r>
    </w:p>
  </w:footnote>
  <w:footnote w:id="40">
    <w:p w14:paraId="730702EF" w14:textId="77777777" w:rsidR="00590FE1" w:rsidRPr="005A386A" w:rsidRDefault="00590FE1" w:rsidP="00590FE1">
      <w:pPr>
        <w:pStyle w:val="FootnoteText"/>
        <w:spacing w:after="40"/>
        <w:rPr>
          <w:szCs w:val="19"/>
        </w:rPr>
      </w:pPr>
      <w:r w:rsidRPr="005A386A">
        <w:rPr>
          <w:rStyle w:val="FootnoteReference"/>
          <w:szCs w:val="19"/>
        </w:rPr>
        <w:footnoteRef/>
      </w:r>
      <w:r w:rsidRPr="005A386A">
        <w:rPr>
          <w:szCs w:val="19"/>
        </w:rPr>
        <w:t xml:space="preserve"> </w:t>
      </w:r>
      <w:r w:rsidRPr="005A386A">
        <w:rPr>
          <w:szCs w:val="19"/>
        </w:rPr>
        <w:tab/>
      </w:r>
      <w:r w:rsidRPr="00A553BA">
        <w:rPr>
          <w:szCs w:val="19"/>
        </w:rPr>
        <w:t>Fick et al. (2011)</w:t>
      </w:r>
      <w:r w:rsidRPr="005A386A">
        <w:rPr>
          <w:szCs w:val="19"/>
        </w:rPr>
        <w:t xml:space="preserve"> and pers. comm. (2010).</w:t>
      </w:r>
    </w:p>
  </w:footnote>
  <w:footnote w:id="41">
    <w:p w14:paraId="6F0890B8" w14:textId="77777777" w:rsidR="00590FE1" w:rsidRPr="005A386A" w:rsidRDefault="00590FE1" w:rsidP="00590FE1">
      <w:pPr>
        <w:pStyle w:val="FootnoteText"/>
        <w:rPr>
          <w:szCs w:val="19"/>
        </w:rPr>
      </w:pPr>
      <w:r w:rsidRPr="005A386A">
        <w:rPr>
          <w:rStyle w:val="FootnoteReference"/>
          <w:szCs w:val="19"/>
        </w:rPr>
        <w:footnoteRef/>
      </w:r>
      <w:r w:rsidRPr="005A386A">
        <w:rPr>
          <w:szCs w:val="19"/>
        </w:rPr>
        <w:t xml:space="preserve"> </w:t>
      </w:r>
      <w:r w:rsidRPr="005A386A">
        <w:rPr>
          <w:szCs w:val="19"/>
        </w:rPr>
        <w:tab/>
      </w:r>
      <w:r w:rsidRPr="00A553BA">
        <w:rPr>
          <w:szCs w:val="19"/>
        </w:rPr>
        <w:t>IPCC (1996)</w:t>
      </w:r>
      <w:r w:rsidRPr="005A386A">
        <w:rPr>
          <w:szCs w:val="19"/>
        </w:rPr>
        <w:t xml:space="preserve"> default waste management proportions for Oceania.</w:t>
      </w:r>
    </w:p>
  </w:footnote>
  <w:footnote w:id="42">
    <w:p w14:paraId="36A4D376" w14:textId="77777777" w:rsidR="00590FE1" w:rsidRPr="00C75E28" w:rsidRDefault="00590FE1" w:rsidP="00590FE1">
      <w:pPr>
        <w:pStyle w:val="FootnoteText"/>
      </w:pPr>
      <w:r>
        <w:rPr>
          <w:rStyle w:val="FootnoteReference"/>
        </w:rPr>
        <w:footnoteRef/>
      </w:r>
      <w:r>
        <w:t xml:space="preserve"> </w:t>
      </w:r>
      <w:r>
        <w:tab/>
      </w:r>
      <w:r>
        <w:rPr>
          <w:i/>
          <w:iCs/>
        </w:rPr>
        <w:t>Other</w:t>
      </w:r>
      <w:r>
        <w:t xml:space="preserve"> poultry generally consists of ostrich and emus, hence the higher </w:t>
      </w:r>
      <w:r w:rsidRPr="00F20E03">
        <w:t>emissions</w:t>
      </w:r>
      <w:r>
        <w:t xml:space="preserve"> per head.</w:t>
      </w:r>
    </w:p>
  </w:footnote>
  <w:footnote w:id="43">
    <w:p w14:paraId="6C513001" w14:textId="77777777" w:rsidR="00590FE1" w:rsidRPr="00847307" w:rsidRDefault="00590FE1" w:rsidP="00590FE1">
      <w:pPr>
        <w:pStyle w:val="FootnoteText"/>
        <w:spacing w:after="0"/>
      </w:pPr>
      <w:r>
        <w:rPr>
          <w:rStyle w:val="FootnoteReference"/>
        </w:rPr>
        <w:footnoteRef/>
      </w:r>
      <w:r>
        <w:t xml:space="preserve"> </w:t>
      </w:r>
      <w:r>
        <w:tab/>
      </w:r>
      <w:r w:rsidRPr="00D9348B">
        <w:rPr>
          <w:rFonts w:cs="Calibri"/>
          <w:spacing w:val="-2"/>
        </w:rPr>
        <w:t xml:space="preserve">For full details of how </w:t>
      </w:r>
      <w:r w:rsidRPr="003C238F">
        <w:rPr>
          <w:rFonts w:cs="Calibri"/>
          <w:spacing w:val="-2"/>
        </w:rPr>
        <w:t>nitrogen excretion</w:t>
      </w:r>
      <w:r w:rsidRPr="00D9348B">
        <w:rPr>
          <w:rFonts w:cs="Calibri"/>
          <w:spacing w:val="-2"/>
        </w:rPr>
        <w:t xml:space="preserve"> rat</w:t>
      </w:r>
      <w:r w:rsidRPr="00B8784F">
        <w:rPr>
          <w:rFonts w:cs="Calibri"/>
          <w:spacing w:val="-2"/>
        </w:rPr>
        <w:t xml:space="preserve">es are derived for each livestock category, see the technical detail provided in the </w:t>
      </w:r>
      <w:r w:rsidRPr="00A93A6E">
        <w:t>Agriculture</w:t>
      </w:r>
      <w:r w:rsidRPr="00B8784F">
        <w:rPr>
          <w:rFonts w:cs="Calibri"/>
          <w:spacing w:val="-2"/>
        </w:rPr>
        <w:t xml:space="preserve"> inventory </w:t>
      </w:r>
      <w:r>
        <w:rPr>
          <w:rFonts w:cs="Calibri"/>
          <w:spacing w:val="-2"/>
        </w:rPr>
        <w:t xml:space="preserve">model </w:t>
      </w:r>
      <w:r w:rsidRPr="00B8784F">
        <w:rPr>
          <w:rFonts w:cs="Calibri"/>
          <w:spacing w:val="-2"/>
        </w:rPr>
        <w:t>methodology document on the MPI website</w:t>
      </w:r>
      <w:r w:rsidRPr="00B8784F">
        <w:rPr>
          <w:rFonts w:cs="Calibri"/>
        </w:rPr>
        <w:t xml:space="preserve"> (</w:t>
      </w:r>
      <w:hyperlink r:id="rId7" w:history="1">
        <w:r w:rsidRPr="007D375F">
          <w:rPr>
            <w:rStyle w:val="Hyperlink"/>
          </w:rPr>
          <w:t>www.mpi.govt.nz/dmsdocument/13906-Detailed-methodologies-for-agricultural-greenhouse-gas-emission-calculation</w:t>
        </w:r>
      </w:hyperlink>
      <w:r w:rsidRPr="00B8784F">
        <w:t>).</w:t>
      </w:r>
    </w:p>
  </w:footnote>
  <w:footnote w:id="44">
    <w:p w14:paraId="01AB83EA" w14:textId="77777777" w:rsidR="00590FE1" w:rsidRDefault="00590FE1" w:rsidP="00041936">
      <w:pPr>
        <w:pStyle w:val="FootnoteText"/>
        <w:spacing w:after="0"/>
      </w:pPr>
      <w:r>
        <w:rPr>
          <w:rStyle w:val="FootnoteReference"/>
        </w:rPr>
        <w:footnoteRef/>
      </w:r>
      <w:r>
        <w:t xml:space="preserve"> </w:t>
      </w:r>
      <w:r>
        <w:tab/>
      </w:r>
      <w:r>
        <w:rPr>
          <w:rFonts w:cs="Arial"/>
          <w:color w:val="000000"/>
          <w:sz w:val="20"/>
          <w:szCs w:val="20"/>
        </w:rPr>
        <w:t>M</w:t>
      </w:r>
      <w:r w:rsidRPr="0041563D">
        <w:rPr>
          <w:rFonts w:cs="Arial"/>
          <w:color w:val="000000"/>
          <w:sz w:val="20"/>
          <w:szCs w:val="20"/>
        </w:rPr>
        <w:t>id-point in IPCC 2019 range</w:t>
      </w:r>
      <w:r>
        <w:rPr>
          <w:rFonts w:cs="Arial"/>
          <w:color w:val="000000"/>
          <w:sz w:val="20"/>
          <w:szCs w:val="20"/>
        </w:rPr>
        <w:t xml:space="preserve"> (IPCC, 2019).</w:t>
      </w:r>
    </w:p>
  </w:footnote>
  <w:footnote w:id="45">
    <w:p w14:paraId="2BF04AB3" w14:textId="77777777" w:rsidR="00590FE1" w:rsidRPr="005A386A" w:rsidRDefault="00590FE1" w:rsidP="00590FE1">
      <w:pPr>
        <w:pStyle w:val="FootnoteText"/>
        <w:rPr>
          <w:szCs w:val="19"/>
        </w:rPr>
      </w:pPr>
      <w:r w:rsidRPr="005A386A">
        <w:rPr>
          <w:rStyle w:val="FootnoteReference"/>
        </w:rPr>
        <w:footnoteRef/>
      </w:r>
      <w:r w:rsidRPr="005A386A">
        <w:t xml:space="preserve"> </w:t>
      </w:r>
      <w:r w:rsidRPr="005A386A">
        <w:tab/>
        <w:t xml:space="preserve">As reported in </w:t>
      </w:r>
      <w:r w:rsidRPr="003A7597">
        <w:t xml:space="preserve">Australia’s </w:t>
      </w:r>
      <w:hyperlink r:id="rId8" w:history="1">
        <w:r w:rsidRPr="00770127">
          <w:rPr>
            <w:rStyle w:val="Hyperlink"/>
            <w:i/>
            <w:iCs/>
          </w:rPr>
          <w:t>Common Reporting Format 2</w:t>
        </w:r>
        <w:r>
          <w:rPr>
            <w:rStyle w:val="Hyperlink"/>
            <w:i/>
            <w:iCs/>
          </w:rPr>
          <w:t>024</w:t>
        </w:r>
      </w:hyperlink>
      <w:r>
        <w:t>,</w:t>
      </w:r>
      <w:r>
        <w:rPr>
          <w:rStyle w:val="Hyperlink"/>
          <w:i/>
          <w:iCs/>
        </w:rPr>
        <w:t xml:space="preserve"> </w:t>
      </w:r>
      <w:r>
        <w:rPr>
          <w:rStyle w:val="Hyperlink"/>
          <w:color w:val="auto"/>
        </w:rPr>
        <w:t>t</w:t>
      </w:r>
      <w:r w:rsidRPr="00AC51D2">
        <w:rPr>
          <w:rStyle w:val="Hyperlink"/>
          <w:color w:val="auto"/>
        </w:rPr>
        <w:t>able3.B(a)</w:t>
      </w:r>
      <w:r w:rsidRPr="00AC51D2">
        <w:t>.</w:t>
      </w:r>
      <w:r w:rsidRPr="005A386A">
        <w:t xml:space="preserve"> Retrieved </w:t>
      </w:r>
      <w:r>
        <w:t>4 November 2024</w:t>
      </w:r>
      <w:r w:rsidRPr="00CD62EB">
        <w:t xml:space="preserve">. Note that the Australian-specific </w:t>
      </w:r>
      <w:r>
        <w:t xml:space="preserve">beef </w:t>
      </w:r>
      <w:r w:rsidRPr="005A386A">
        <w:t xml:space="preserve">cattle IEF value is calculated from a population-based weighted average of pasture and feedlot IEF values from </w:t>
      </w:r>
      <w:r>
        <w:t>beef</w:t>
      </w:r>
      <w:r w:rsidRPr="005A386A">
        <w:t xml:space="preserve"> cattle.</w:t>
      </w:r>
    </w:p>
  </w:footnote>
  <w:footnote w:id="46">
    <w:p w14:paraId="3C6E92B1" w14:textId="77777777" w:rsidR="00590FE1" w:rsidRPr="008036DC" w:rsidRDefault="00590FE1" w:rsidP="00590FE1">
      <w:pPr>
        <w:pStyle w:val="FootnoteText"/>
      </w:pPr>
      <w:r>
        <w:rPr>
          <w:rStyle w:val="FootnoteReference"/>
        </w:rPr>
        <w:footnoteRef/>
      </w:r>
      <w:r>
        <w:t xml:space="preserve"> </w:t>
      </w:r>
      <w:r>
        <w:tab/>
        <w:t>Flatland is classified as flat pastoral land or plains with a gradient lower than 12 degrees (i.e., equivalent to low slopes).</w:t>
      </w:r>
    </w:p>
  </w:footnote>
  <w:footnote w:id="47">
    <w:p w14:paraId="78FE5CB9" w14:textId="77777777" w:rsidR="00590FE1" w:rsidRPr="0040348A" w:rsidRDefault="00590FE1" w:rsidP="00590FE1">
      <w:pPr>
        <w:pStyle w:val="FootnoteText"/>
        <w:spacing w:after="40"/>
      </w:pPr>
      <w:r>
        <w:rPr>
          <w:rStyle w:val="FootnoteReference"/>
        </w:rPr>
        <w:footnoteRef/>
      </w:r>
      <w:r>
        <w:t xml:space="preserve"> </w:t>
      </w:r>
      <w:r>
        <w:tab/>
        <w:t>Low slopes are classified as hill country pastoral land with a gradient on average lower than 12 degrees.</w:t>
      </w:r>
    </w:p>
  </w:footnote>
  <w:footnote w:id="48">
    <w:p w14:paraId="51382FE6" w14:textId="77777777" w:rsidR="00590FE1" w:rsidRPr="0040348A" w:rsidRDefault="00590FE1" w:rsidP="00590FE1">
      <w:pPr>
        <w:pStyle w:val="FootnoteText"/>
        <w:spacing w:after="40"/>
      </w:pPr>
      <w:r>
        <w:rPr>
          <w:rStyle w:val="FootnoteReference"/>
        </w:rPr>
        <w:footnoteRef/>
      </w:r>
      <w:r>
        <w:t xml:space="preserve"> </w:t>
      </w:r>
      <w:r>
        <w:tab/>
        <w:t xml:space="preserve">Medium slopes are classified as hill country pastoral land with a gradient </w:t>
      </w:r>
      <w:r w:rsidRPr="008F496F">
        <w:t>on average</w:t>
      </w:r>
      <w:r>
        <w:t xml:space="preserve"> between 12 degrees</w:t>
      </w:r>
      <w:r>
        <w:rPr>
          <w:vertAlign w:val="superscript"/>
        </w:rPr>
        <w:t xml:space="preserve"> </w:t>
      </w:r>
      <w:r>
        <w:t>and 24 degrees.</w:t>
      </w:r>
    </w:p>
  </w:footnote>
  <w:footnote w:id="49">
    <w:p w14:paraId="73926CC8" w14:textId="77777777" w:rsidR="00590FE1" w:rsidRPr="0040348A" w:rsidRDefault="00590FE1" w:rsidP="00590FE1">
      <w:pPr>
        <w:pStyle w:val="FootnoteText"/>
        <w:spacing w:after="40"/>
      </w:pPr>
      <w:r>
        <w:rPr>
          <w:rStyle w:val="FootnoteReference"/>
        </w:rPr>
        <w:footnoteRef/>
      </w:r>
      <w:r>
        <w:t xml:space="preserve"> </w:t>
      </w:r>
      <w:r>
        <w:tab/>
        <w:t xml:space="preserve">Steep slopes are classified as hill country pastoral land with a gradient </w:t>
      </w:r>
      <w:r w:rsidRPr="008F496F">
        <w:t>on average</w:t>
      </w:r>
      <w:r>
        <w:t xml:space="preserve"> greater than 24</w:t>
      </w:r>
      <w:r>
        <w:rPr>
          <w:vertAlign w:val="superscript"/>
        </w:rPr>
        <w:t xml:space="preserve"> </w:t>
      </w:r>
      <w:r>
        <w:t>degrees.</w:t>
      </w:r>
    </w:p>
  </w:footnote>
  <w:footnote w:id="50">
    <w:p w14:paraId="536439E1" w14:textId="77777777" w:rsidR="00590FE1" w:rsidRPr="005A386A" w:rsidRDefault="00590FE1" w:rsidP="00590FE1">
      <w:pPr>
        <w:pStyle w:val="FootnoteText"/>
        <w:spacing w:after="40"/>
      </w:pPr>
      <w:r w:rsidRPr="005A386A">
        <w:rPr>
          <w:rStyle w:val="FootnoteReference"/>
        </w:rPr>
        <w:footnoteRef/>
      </w:r>
      <w:r w:rsidRPr="005A386A">
        <w:t xml:space="preserve"> </w:t>
      </w:r>
      <w:r w:rsidRPr="005A386A">
        <w:tab/>
        <w:t xml:space="preserve">Activity data on urease inhibitor usage before 2016 </w:t>
      </w:r>
      <w:r>
        <w:t>was</w:t>
      </w:r>
      <w:r w:rsidRPr="005A386A">
        <w:t xml:space="preserve"> provided by Ballance Agri-Nutrients Limited. </w:t>
      </w:r>
    </w:p>
  </w:footnote>
  <w:footnote w:id="51">
    <w:p w14:paraId="6F8D7577" w14:textId="77777777" w:rsidR="00E0181F" w:rsidRPr="006D46F1" w:rsidRDefault="00E0181F" w:rsidP="00E0181F">
      <w:pPr>
        <w:pStyle w:val="FootnoteText"/>
        <w:rPr>
          <w:rFonts w:cs="Calibri"/>
        </w:rPr>
      </w:pPr>
      <w:r w:rsidRPr="009C1148">
        <w:rPr>
          <w:rStyle w:val="FootnoteReference"/>
        </w:rPr>
        <w:footnoteRef/>
      </w:r>
      <w:r w:rsidRPr="006D46F1">
        <w:rPr>
          <w:rFonts w:cs="Calibri"/>
        </w:rPr>
        <w:tab/>
        <w:t>An exception occurred in the creation of the Clyde Dam. The Clutha River in the South Island was dammed, creating Lake Dunstan. The area flooded was mostly low producing grassland.</w:t>
      </w:r>
    </w:p>
  </w:footnote>
  <w:footnote w:id="52">
    <w:p w14:paraId="208137A9" w14:textId="1362AD62" w:rsidR="00BC0FD7" w:rsidRDefault="00BC0FD7" w:rsidP="00BC0FD7">
      <w:pPr>
        <w:pStyle w:val="FootnoteText"/>
      </w:pPr>
      <w:r>
        <w:rPr>
          <w:rStyle w:val="FootnoteReference"/>
        </w:rPr>
        <w:footnoteRef/>
      </w:r>
      <w:r>
        <w:t xml:space="preserve"> </w:t>
      </w:r>
      <w:r>
        <w:tab/>
        <w:t xml:space="preserve">See Ecogas. </w:t>
      </w:r>
      <w:hyperlink r:id="rId9" w:history="1">
        <w:r w:rsidRPr="00AD5662">
          <w:rPr>
            <w:rStyle w:val="Hyperlink"/>
            <w:i/>
            <w:iCs/>
          </w:rPr>
          <w:t>Reporoa Organics Processing Facility</w:t>
        </w:r>
        <w:r>
          <w:rPr>
            <w:rStyle w:val="Hyperlink"/>
          </w:rPr>
          <w:t>.</w:t>
        </w:r>
      </w:hyperlink>
      <w:r>
        <w:t xml:space="preserve"> Retrieved 5 February 2025.</w:t>
      </w:r>
    </w:p>
  </w:footnote>
  <w:footnote w:id="53">
    <w:p w14:paraId="18410445" w14:textId="77777777" w:rsidR="00BC0FD7" w:rsidRDefault="00BC0FD7" w:rsidP="00BC0FD7">
      <w:pPr>
        <w:pStyle w:val="FootnoteText"/>
      </w:pPr>
      <w:r>
        <w:rPr>
          <w:rStyle w:val="FootnoteReference"/>
        </w:rPr>
        <w:footnoteRef/>
      </w:r>
      <w:r>
        <w:t xml:space="preserve"> </w:t>
      </w:r>
      <w:r>
        <w:tab/>
        <w:t>The use of ‘industrial and commercial’ is in a general sense in this report, which is different from how these terms are used in a domestic policy setting.</w:t>
      </w:r>
    </w:p>
  </w:footnote>
  <w:footnote w:id="54">
    <w:p w14:paraId="114D958C" w14:textId="5FDF0706" w:rsidR="00BC0FD7" w:rsidRDefault="00BC0FD7" w:rsidP="00D0411F">
      <w:pPr>
        <w:pStyle w:val="FootnoteText"/>
        <w:spacing w:after="40"/>
      </w:pPr>
      <w:r>
        <w:rPr>
          <w:rStyle w:val="FootnoteReference"/>
        </w:rPr>
        <w:footnoteRef/>
      </w:r>
      <w:r>
        <w:t xml:space="preserve"> </w:t>
      </w:r>
      <w:r>
        <w:tab/>
        <w:t xml:space="preserve">More information can be found about the new waste strategy and other developments at </w:t>
      </w:r>
      <w:hyperlink r:id="rId10" w:history="1">
        <w:r w:rsidRPr="00235C9E">
          <w:rPr>
            <w:rStyle w:val="Hyperlink"/>
          </w:rPr>
          <w:t>environment.govt.nz/what-government-is-doing/areas-of-work/waste/waste-legislation-review</w:t>
        </w:r>
      </w:hyperlink>
      <w:r>
        <w:t>.</w:t>
      </w:r>
    </w:p>
  </w:footnote>
  <w:footnote w:id="55">
    <w:p w14:paraId="686EE476" w14:textId="77777777" w:rsidR="00BC0FD7" w:rsidRDefault="00BC0FD7" w:rsidP="00D0411F">
      <w:pPr>
        <w:pStyle w:val="FootnoteText"/>
        <w:spacing w:after="40"/>
      </w:pPr>
      <w:r>
        <w:rPr>
          <w:rStyle w:val="FootnoteReference"/>
        </w:rPr>
        <w:footnoteRef/>
      </w:r>
      <w:r>
        <w:t xml:space="preserve"> </w:t>
      </w:r>
      <w:r>
        <w:tab/>
        <w:t xml:space="preserve">Ministry for the Environment. </w:t>
      </w:r>
      <w:hyperlink r:id="rId11" w:history="1">
        <w:r w:rsidRPr="00AD5662">
          <w:rPr>
            <w:rStyle w:val="Hyperlink"/>
            <w:i/>
            <w:iCs/>
          </w:rPr>
          <w:t>Waste statistics</w:t>
        </w:r>
        <w:r>
          <w:t>. Retrieved 4 February 2025.</w:t>
        </w:r>
      </w:hyperlink>
    </w:p>
  </w:footnote>
  <w:footnote w:id="56">
    <w:p w14:paraId="013F8373" w14:textId="77777777" w:rsidR="00BC0FD7" w:rsidRDefault="00BC0FD7" w:rsidP="00BC0FD7">
      <w:pPr>
        <w:pStyle w:val="FootnoteText"/>
      </w:pPr>
      <w:r>
        <w:rPr>
          <w:rStyle w:val="FootnoteReference"/>
        </w:rPr>
        <w:footnoteRef/>
      </w:r>
      <w:r>
        <w:t xml:space="preserve"> </w:t>
      </w:r>
      <w:r>
        <w:tab/>
        <w:t>The approach 1 is based upon error propagation and is used to estimate uncertainty in individual categories, in the inventory as a whole, and in trends between a year of interest and a base year.</w:t>
      </w:r>
    </w:p>
  </w:footnote>
  <w:footnote w:id="57">
    <w:p w14:paraId="7CA27A90" w14:textId="7933F38A" w:rsidR="00BC0FD7" w:rsidRDefault="00BC0FD7" w:rsidP="00BC0FD7">
      <w:pPr>
        <w:pStyle w:val="FootnoteText"/>
      </w:pPr>
      <w:r>
        <w:rPr>
          <w:rStyle w:val="FootnoteReference"/>
        </w:rPr>
        <w:footnoteRef/>
      </w:r>
      <w:r>
        <w:t xml:space="preserve"> </w:t>
      </w:r>
      <w:r>
        <w:tab/>
        <w:t xml:space="preserve">For more information, see </w:t>
      </w:r>
      <w:hyperlink r:id="rId12" w:history="1">
        <w:r w:rsidRPr="00F61425">
          <w:rPr>
            <w:rStyle w:val="Hyperlink"/>
          </w:rPr>
          <w:t>compostcollective.org.nz</w:t>
        </w:r>
      </w:hyperlink>
      <w:r>
        <w:t>. Retrieved 6 March 2023.</w:t>
      </w:r>
    </w:p>
  </w:footnote>
  <w:footnote w:id="58">
    <w:p w14:paraId="0044D177" w14:textId="77777777" w:rsidR="00BC0FD7" w:rsidRDefault="00BC0FD7" w:rsidP="00BC0FD7">
      <w:pPr>
        <w:pStyle w:val="FootnoteText"/>
      </w:pPr>
      <w:r>
        <w:rPr>
          <w:rStyle w:val="FootnoteReference"/>
        </w:rPr>
        <w:footnoteRef/>
      </w:r>
      <w:r>
        <w:t xml:space="preserve"> </w:t>
      </w:r>
      <w:r>
        <w:tab/>
        <w:t xml:space="preserve">See Ecogas. </w:t>
      </w:r>
      <w:hyperlink r:id="rId13" w:history="1">
        <w:r w:rsidRPr="00AD5662">
          <w:rPr>
            <w:rStyle w:val="Hyperlink"/>
            <w:i/>
            <w:iCs/>
          </w:rPr>
          <w:t>Reporoa Organics Processing Facility</w:t>
        </w:r>
      </w:hyperlink>
      <w:r>
        <w:t>.</w:t>
      </w:r>
      <w:r w:rsidRPr="003203B3">
        <w:t xml:space="preserve"> </w:t>
      </w:r>
      <w:r>
        <w:t>Retrieved 5 February 2025.</w:t>
      </w:r>
    </w:p>
  </w:footnote>
  <w:footnote w:id="59">
    <w:p w14:paraId="2A04253E" w14:textId="3DA1E6EC" w:rsidR="0057070D" w:rsidRDefault="0057070D" w:rsidP="0057070D">
      <w:pPr>
        <w:pStyle w:val="FootnoteText"/>
      </w:pPr>
      <w:r>
        <w:rPr>
          <w:rStyle w:val="FootnoteReference"/>
        </w:rPr>
        <w:footnoteRef/>
      </w:r>
      <w:r>
        <w:t xml:space="preserve"> </w:t>
      </w:r>
      <w:r>
        <w:tab/>
        <w:t>In the United Nations Charter (United Nations, 1945), a non-self-governing territory is defined as a territory “whose peoples have not yet attained a full measure of self-government”. Tokelau has been on</w:t>
      </w:r>
      <w:r w:rsidR="00DE6EA5">
        <w:t> </w:t>
      </w:r>
      <w:r>
        <w:t>the United Nations list of non-self-governing territories since 1946, following the declaration of the intention by New Zealand to transmit information on the Tokelau Islands under Article 73e of the United Nations Charter.</w:t>
      </w:r>
    </w:p>
  </w:footnote>
  <w:footnote w:id="60">
    <w:p w14:paraId="7C157537" w14:textId="77777777" w:rsidR="0057070D" w:rsidRDefault="0057070D" w:rsidP="0057070D">
      <w:pPr>
        <w:pStyle w:val="FootnoteText"/>
      </w:pPr>
      <w:r>
        <w:rPr>
          <w:rStyle w:val="FootnoteReference"/>
        </w:rPr>
        <w:footnoteRef/>
      </w:r>
      <w:r>
        <w:t xml:space="preserve"> </w:t>
      </w:r>
      <w:r>
        <w:tab/>
        <w:t>A ‘de jure’ census tallies people according to their regular or legal residence.</w:t>
      </w:r>
    </w:p>
  </w:footnote>
  <w:footnote w:id="61">
    <w:p w14:paraId="5E3EB9F0" w14:textId="77777777" w:rsidR="0057070D" w:rsidRDefault="0057070D" w:rsidP="0057070D">
      <w:pPr>
        <w:pStyle w:val="FootnoteText"/>
      </w:pPr>
      <w:r>
        <w:rPr>
          <w:rStyle w:val="FootnoteReference"/>
        </w:rPr>
        <w:footnoteRef/>
      </w:r>
      <w:r>
        <w:t xml:space="preserve"> </w:t>
      </w:r>
      <w:r>
        <w:tab/>
        <w:t xml:space="preserve">See </w:t>
      </w:r>
      <w:r w:rsidRPr="006804C1">
        <w:t>Roorda</w:t>
      </w:r>
      <w:r>
        <w:rPr>
          <w:i/>
          <w:iCs/>
        </w:rPr>
        <w:t xml:space="preserve"> </w:t>
      </w:r>
      <w:r w:rsidRPr="00FD3388">
        <w:t xml:space="preserve">et al. </w:t>
      </w:r>
      <w:r>
        <w:t>(</w:t>
      </w:r>
      <w:r w:rsidRPr="00FD3388">
        <w:t>2015</w:t>
      </w:r>
      <w:r>
        <w:t xml:space="preserve">) </w:t>
      </w:r>
      <w:hyperlink r:id="rId14" w:history="1">
        <w:r w:rsidRPr="00CD37AF">
          <w:rPr>
            <w:rStyle w:val="Hyperlink"/>
            <w:i/>
            <w:iCs/>
          </w:rPr>
          <w:t>Evaluation of the Tokelau Country Programme</w:t>
        </w:r>
      </w:hyperlink>
      <w:r>
        <w:t>,</w:t>
      </w:r>
      <w:r w:rsidRPr="008D5156">
        <w:t xml:space="preserve"> </w:t>
      </w:r>
      <w:r>
        <w:t>page 46.</w:t>
      </w:r>
    </w:p>
  </w:footnote>
  <w:footnote w:id="62">
    <w:p w14:paraId="277008E0" w14:textId="77777777" w:rsidR="0057070D" w:rsidRDefault="0057070D" w:rsidP="0057070D">
      <w:pPr>
        <w:pStyle w:val="FootnoteText"/>
      </w:pPr>
      <w:r>
        <w:rPr>
          <w:rStyle w:val="FootnoteReference"/>
        </w:rPr>
        <w:footnoteRef/>
      </w:r>
      <w:r>
        <w:t xml:space="preserve"> </w:t>
      </w:r>
      <w:r>
        <w:tab/>
        <w:t>A keyhole garden is a small (around 2.5 metre diameter) circular raised garden with a keyhole-shaped indentation on one side. Moisture and nutrients flow from an active compost pile placed in the centre of a round plant bed.</w:t>
      </w:r>
    </w:p>
  </w:footnote>
  <w:footnote w:id="63">
    <w:p w14:paraId="1011474E" w14:textId="77777777" w:rsidR="0057070D" w:rsidRDefault="0057070D" w:rsidP="00950AD6">
      <w:pPr>
        <w:pStyle w:val="FootnoteText"/>
        <w:spacing w:after="0"/>
      </w:pPr>
      <w:r>
        <w:rPr>
          <w:rStyle w:val="FootnoteReference"/>
        </w:rPr>
        <w:footnoteRef/>
      </w:r>
      <w:r>
        <w:t xml:space="preserve"> </w:t>
      </w:r>
      <w:r>
        <w:tab/>
        <w:t xml:space="preserve">See Government of Tokelau. 2017. </w:t>
      </w:r>
      <w:hyperlink r:id="rId15" w:history="1">
        <w:r w:rsidRPr="009F20D2">
          <w:rPr>
            <w:rStyle w:val="Hyperlink"/>
            <w:i/>
            <w:iCs/>
          </w:rPr>
          <w:t>Solid Waste Management: MOU Signed between Tokelau EDNRE and Pacific Recycle Co. Ltd</w:t>
        </w:r>
      </w:hyperlink>
      <w:r>
        <w:t>.</w:t>
      </w:r>
      <w:r w:rsidRPr="009F20D2">
        <w:rPr>
          <w:color w:val="32809C"/>
        </w:rPr>
        <w:t xml:space="preserve"> </w:t>
      </w:r>
      <w:r>
        <w:t>Retrieved 9 March 2018.</w:t>
      </w:r>
    </w:p>
  </w:footnote>
  <w:footnote w:id="64">
    <w:p w14:paraId="23359DE5" w14:textId="77777777" w:rsidR="007C5A34" w:rsidRPr="00D51A88" w:rsidRDefault="007C5A34" w:rsidP="007C5A34">
      <w:pPr>
        <w:pStyle w:val="FootnoteText"/>
        <w:rPr>
          <w:rFonts w:cs="Calibri"/>
        </w:rPr>
      </w:pPr>
      <w:r>
        <w:rPr>
          <w:rStyle w:val="FootnoteReference"/>
        </w:rPr>
        <w:footnoteRef/>
      </w:r>
      <w:r>
        <w:t xml:space="preserve"> </w:t>
      </w:r>
      <w:r>
        <w:tab/>
      </w:r>
      <w:r w:rsidRPr="00D51A88">
        <w:rPr>
          <w:rFonts w:cs="Calibri"/>
          <w:szCs w:val="19"/>
        </w:rPr>
        <w:t xml:space="preserve">See </w:t>
      </w:r>
      <w:r w:rsidRPr="00D51A88">
        <w:rPr>
          <w:rFonts w:cs="Calibri"/>
          <w:sz w:val="18"/>
          <w:szCs w:val="18"/>
        </w:rPr>
        <w:t xml:space="preserve">Stats NZ. 2023b. </w:t>
      </w:r>
      <w:hyperlink r:id="rId16" w:history="1">
        <w:r w:rsidRPr="00CD1C67">
          <w:rPr>
            <w:rStyle w:val="Hyperlink"/>
            <w:i/>
            <w:iCs/>
          </w:rPr>
          <w:t>Agricultural production statistics: Year to June 2022 (final)</w:t>
        </w:r>
      </w:hyperlink>
      <w:r w:rsidRPr="00CD1C67">
        <w:t>.</w:t>
      </w:r>
      <w:r w:rsidRPr="00D51A88">
        <w:rPr>
          <w:rFonts w:cs="Calibri"/>
          <w:sz w:val="18"/>
          <w:szCs w:val="18"/>
        </w:rPr>
        <w:t xml:space="preserve"> Retrieved 28 February 2025.</w:t>
      </w:r>
    </w:p>
  </w:footnote>
  <w:footnote w:id="65">
    <w:p w14:paraId="5AF70CEB" w14:textId="77777777" w:rsidR="007C5A34" w:rsidRPr="00423529" w:rsidRDefault="007C5A34" w:rsidP="00887F99">
      <w:pPr>
        <w:pStyle w:val="FootnoteText"/>
        <w:spacing w:after="0"/>
        <w:rPr>
          <w:rFonts w:ascii="Arial" w:hAnsi="Arial" w:cs="Arial"/>
          <w:sz w:val="20"/>
          <w:szCs w:val="20"/>
        </w:rPr>
      </w:pPr>
      <w:r>
        <w:rPr>
          <w:rStyle w:val="FootnoteReference"/>
        </w:rPr>
        <w:footnoteRef/>
      </w:r>
      <w:r>
        <w:t xml:space="preserve"> </w:t>
      </w:r>
      <w:r>
        <w:tab/>
        <w:t xml:space="preserve">See Ecogas. </w:t>
      </w:r>
      <w:hyperlink r:id="rId17" w:history="1">
        <w:r w:rsidRPr="00887F99">
          <w:rPr>
            <w:rStyle w:val="Hyperlink"/>
            <w:i/>
            <w:iCs/>
          </w:rPr>
          <w:t>Reporoa Organics Processing Facility</w:t>
        </w:r>
      </w:hyperlink>
      <w:r>
        <w:t>. Retrieved 5 February 2025.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2878A9" w14:textId="77777777" w:rsidR="00411E40" w:rsidRDefault="00411E4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4898C8" w14:textId="5061FB96" w:rsidR="00E33B6A" w:rsidRDefault="00E33B6A" w:rsidP="0061176E">
    <w:pPr>
      <w:pStyle w:val="Header"/>
    </w:pPr>
    <w:r>
      <w:rPr>
        <w:noProof/>
      </w:rPr>
      <w:drawing>
        <wp:inline distT="0" distB="0" distL="0" distR="0" wp14:anchorId="0CA84838" wp14:editId="34B64AD7">
          <wp:extent cx="2406650" cy="681355"/>
          <wp:effectExtent l="0" t="0" r="0" b="4445"/>
          <wp:docPr id="538238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l="2927" t="8191" r="2281" b="7092"/>
                  <a:stretch>
                    <a:fillRect/>
                  </a:stretch>
                </pic:blipFill>
                <pic:spPr bwMode="auto">
                  <a:xfrm>
                    <a:off x="0" y="0"/>
                    <a:ext cx="2406650" cy="68135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60855" w14:textId="77777777" w:rsidR="00411E40" w:rsidRDefault="00411E4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A371B6" w14:textId="77777777" w:rsidR="00E33B6A" w:rsidRDefault="00E33B6A" w:rsidP="0061176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88889" w14:textId="552D33A0" w:rsidR="00E33B6A" w:rsidRPr="00411E40" w:rsidRDefault="00E33B6A" w:rsidP="00411E4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0BF5FF" w14:textId="1A449C4F" w:rsidR="00E33B6A" w:rsidRPr="00411E40" w:rsidRDefault="00E33B6A" w:rsidP="00411E4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E786C8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1D6AC9AC"/>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548CEFF2"/>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E3000008"/>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132E234E"/>
    <w:lvl w:ilvl="0">
      <w:start w:val="1"/>
      <w:numFmt w:val="bullet"/>
      <w:pStyle w:val="ListBullet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3F6446A0"/>
    <w:lvl w:ilvl="0">
      <w:start w:val="1"/>
      <w:numFmt w:val="bullet"/>
      <w:pStyle w:val="ListBullet2"/>
      <w:lvlText w:val=""/>
      <w:lvlJc w:val="left"/>
      <w:pPr>
        <w:tabs>
          <w:tab w:val="num" w:pos="643"/>
        </w:tabs>
        <w:ind w:left="643" w:hanging="360"/>
      </w:pPr>
      <w:rPr>
        <w:rFonts w:ascii="Symbol" w:hAnsi="Symbol" w:hint="default"/>
      </w:rPr>
    </w:lvl>
  </w:abstractNum>
  <w:abstractNum w:abstractNumId="6" w15:restartNumberingAfterBreak="0">
    <w:nsid w:val="FFFFFF89"/>
    <w:multiLevelType w:val="singleLevel"/>
    <w:tmpl w:val="FD86B90A"/>
    <w:lvl w:ilvl="0">
      <w:start w:val="1"/>
      <w:numFmt w:val="bullet"/>
      <w:pStyle w:val="ListBullet"/>
      <w:lvlText w:val=""/>
      <w:lvlJc w:val="left"/>
      <w:pPr>
        <w:tabs>
          <w:tab w:val="num" w:pos="360"/>
        </w:tabs>
        <w:ind w:left="360" w:hanging="360"/>
      </w:pPr>
      <w:rPr>
        <w:rFonts w:ascii="Symbol" w:hAnsi="Symbol" w:hint="default"/>
      </w:rPr>
    </w:lvl>
  </w:abstractNum>
  <w:abstractNum w:abstractNumId="7" w15:restartNumberingAfterBreak="0">
    <w:nsid w:val="0000A991"/>
    <w:multiLevelType w:val="multilevel"/>
    <w:tmpl w:val="8F205B28"/>
    <w:lvl w:ilvl="0">
      <w:numFmt w:val="bullet"/>
      <w:pStyle w:val="Keypoints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8" w15:restartNumberingAfterBreak="0">
    <w:nsid w:val="00B25EF1"/>
    <w:multiLevelType w:val="hybridMultilevel"/>
    <w:tmpl w:val="D396E14C"/>
    <w:lvl w:ilvl="0" w:tplc="AC76D722">
      <w:start w:val="1"/>
      <w:numFmt w:val="bullet"/>
      <w:lvlText w:val=""/>
      <w:lvlJc w:val="left"/>
      <w:pPr>
        <w:ind w:left="360" w:hanging="360"/>
      </w:pPr>
      <w:rPr>
        <w:rFonts w:ascii="Symbol" w:hAnsi="Symbol" w:hint="default"/>
        <w:sz w:val="18"/>
        <w:szCs w:val="18"/>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9" w15:restartNumberingAfterBreak="0">
    <w:nsid w:val="041849F3"/>
    <w:multiLevelType w:val="hybridMultilevel"/>
    <w:tmpl w:val="9234825C"/>
    <w:lvl w:ilvl="0" w:tplc="4AE8F718">
      <w:start w:val="1"/>
      <w:numFmt w:val="lowerLetter"/>
      <w:pStyle w:val="a"/>
      <w:lvlText w:val="(%1)"/>
      <w:lvlJc w:val="left"/>
      <w:pPr>
        <w:tabs>
          <w:tab w:val="num" w:pos="720"/>
        </w:tabs>
        <w:ind w:left="720" w:hanging="36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0" w15:restartNumberingAfterBreak="0">
    <w:nsid w:val="04B67626"/>
    <w:multiLevelType w:val="multilevel"/>
    <w:tmpl w:val="01E06AB0"/>
    <w:lvl w:ilvl="0">
      <w:start w:val="1"/>
      <w:numFmt w:val="decimal"/>
      <w:pStyle w:val="Numberedparagraph"/>
      <w:lvlText w:val="%1."/>
      <w:lvlJc w:val="left"/>
      <w:pPr>
        <w:tabs>
          <w:tab w:val="num" w:pos="397"/>
        </w:tabs>
        <w:ind w:left="397" w:hanging="397"/>
      </w:pPr>
      <w:rPr>
        <w:rFonts w:ascii="Calibri" w:hAnsi="Calibri" w:cs="Calibri" w:hint="default"/>
        <w:b w:val="0"/>
        <w:i w:val="0"/>
        <w:color w:val="auto"/>
        <w:sz w:val="22"/>
        <w:szCs w:val="22"/>
      </w:rPr>
    </w:lvl>
    <w:lvl w:ilvl="1">
      <w:start w:val="1"/>
      <w:numFmt w:val="lowerLetter"/>
      <w:lvlText w:val="%2."/>
      <w:lvlJc w:val="left"/>
      <w:pPr>
        <w:tabs>
          <w:tab w:val="num" w:pos="1440"/>
        </w:tabs>
        <w:ind w:left="1440" w:hanging="360"/>
      </w:pPr>
      <w:rPr>
        <w:rFonts w:hint="default"/>
        <w:b/>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12" w15:restartNumberingAfterBreak="0">
    <w:nsid w:val="16305FAC"/>
    <w:multiLevelType w:val="multilevel"/>
    <w:tmpl w:val="5CD615F8"/>
    <w:styleLink w:val="Annex"/>
    <w:lvl w:ilvl="0">
      <w:start w:val="4"/>
      <w:numFmt w:val="decimal"/>
      <w:lvlText w:val="A%1"/>
      <w:lvlJc w:val="left"/>
      <w:pPr>
        <w:ind w:left="0" w:firstLine="0"/>
      </w:pPr>
      <w:rPr>
        <w:rFonts w:hint="default"/>
      </w:rPr>
    </w:lvl>
    <w:lvl w:ilvl="1">
      <w:start w:val="1"/>
      <w:numFmt w:val="decimal"/>
      <w:lvlText w:val="A%1.%2"/>
      <w:lvlJc w:val="left"/>
      <w:pPr>
        <w:ind w:left="0" w:firstLine="0"/>
      </w:pPr>
      <w:rPr>
        <w:rFonts w:hint="default"/>
      </w:rPr>
    </w:lvl>
    <w:lvl w:ilvl="2">
      <w:start w:val="1"/>
      <w:numFmt w:val="decimal"/>
      <w:lvlText w:val="A%1.%2.%3"/>
      <w:lvlJc w:val="left"/>
      <w:pPr>
        <w:ind w:left="0" w:firstLine="0"/>
      </w:pPr>
      <w:rPr>
        <w:rFonts w:hint="default"/>
      </w:rPr>
    </w:lvl>
    <w:lvl w:ilvl="3">
      <w:start w:val="1"/>
      <w:numFmt w:val="decimal"/>
      <w:lvlText w:val="A%1.%2.%3.%4"/>
      <w:lvlJc w:val="left"/>
      <w:pPr>
        <w:ind w:left="0" w:firstLine="0"/>
      </w:pPr>
      <w:rPr>
        <w:rFonts w:hint="default"/>
      </w:rPr>
    </w:lvl>
    <w:lvl w:ilvl="4">
      <w:start w:val="1"/>
      <w:numFmt w:val="decimal"/>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3"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4" w15:restartNumberingAfterBreak="0">
    <w:nsid w:val="208C5CF5"/>
    <w:multiLevelType w:val="multilevel"/>
    <w:tmpl w:val="A07E8244"/>
    <w:lvl w:ilvl="0">
      <w:start w:val="1"/>
      <w:numFmt w:val="lowerLetter"/>
      <w:pStyle w:val="Sub-lista"/>
      <w:lvlText w:val="%1)"/>
      <w:lvlJc w:val="left"/>
      <w:pPr>
        <w:tabs>
          <w:tab w:val="num" w:pos="794"/>
        </w:tabs>
        <w:ind w:left="397" w:hanging="397"/>
      </w:pPr>
      <w:rPr>
        <w:rFonts w:ascii="Calibri" w:hAnsi="Calibri" w:cs="Calibri" w:hint="default"/>
        <w:b w:val="0"/>
        <w:i w:val="0"/>
        <w:sz w:val="22"/>
        <w:szCs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 w15:restartNumberingAfterBreak="0">
    <w:nsid w:val="2152700F"/>
    <w:multiLevelType w:val="hybridMultilevel"/>
    <w:tmpl w:val="A9302530"/>
    <w:lvl w:ilvl="0" w:tplc="17F6C056">
      <w:start w:val="1"/>
      <w:numFmt w:val="bullet"/>
      <w:pStyle w:val="Informationboxbullet"/>
      <w:lvlText w:val=""/>
      <w:lvlJc w:val="left"/>
      <w:pPr>
        <w:ind w:left="1004" w:hanging="360"/>
      </w:pPr>
      <w:rPr>
        <w:rFonts w:ascii="Symbol" w:hAnsi="Symbol" w:hint="default"/>
        <w:sz w:val="18"/>
        <w:szCs w:val="18"/>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16" w15:restartNumberingAfterBreak="0">
    <w:nsid w:val="27BD2E58"/>
    <w:multiLevelType w:val="multilevel"/>
    <w:tmpl w:val="B0DC6D48"/>
    <w:lvl w:ilvl="0">
      <w:start w:val="1"/>
      <w:numFmt w:val="bullet"/>
      <w:lvlText w:val=""/>
      <w:lvlJc w:val="left"/>
      <w:pPr>
        <w:ind w:left="397" w:hanging="397"/>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B8B2D74"/>
    <w:multiLevelType w:val="hybridMultilevel"/>
    <w:tmpl w:val="EF1C9466"/>
    <w:lvl w:ilvl="0" w:tplc="6D362E22">
      <w:start w:val="1"/>
      <w:numFmt w:val="bullet"/>
      <w:pStyle w:val="TableBullet"/>
      <w:lvlText w:val=""/>
      <w:lvlJc w:val="left"/>
      <w:pPr>
        <w:tabs>
          <w:tab w:val="num" w:pos="284"/>
        </w:tabs>
        <w:ind w:left="284" w:hanging="284"/>
      </w:pPr>
      <w:rPr>
        <w:rFonts w:ascii="Symbol" w:hAnsi="Symbol" w:hint="default"/>
        <w:sz w:val="16"/>
        <w:szCs w:val="16"/>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B934134"/>
    <w:multiLevelType w:val="hybridMultilevel"/>
    <w:tmpl w:val="A26C8400"/>
    <w:lvl w:ilvl="0" w:tplc="5CA0F88A">
      <w:start w:val="1"/>
      <w:numFmt w:val="bullet"/>
      <w:pStyle w:val="Keypointsub-bullet"/>
      <w:lvlText w:val="‒"/>
      <w:lvlJc w:val="left"/>
      <w:pPr>
        <w:ind w:left="1400" w:hanging="360"/>
      </w:pPr>
      <w:rPr>
        <w:rFonts w:ascii="Calibri" w:hAnsi="Calibri" w:cs="Times New Roman" w:hint="default"/>
        <w:b w:val="0"/>
        <w:i w:val="0"/>
        <w:sz w:val="20"/>
      </w:rPr>
    </w:lvl>
    <w:lvl w:ilvl="1" w:tplc="14090003" w:tentative="1">
      <w:start w:val="1"/>
      <w:numFmt w:val="bullet"/>
      <w:lvlText w:val="o"/>
      <w:lvlJc w:val="left"/>
      <w:pPr>
        <w:ind w:left="2120" w:hanging="360"/>
      </w:pPr>
      <w:rPr>
        <w:rFonts w:ascii="Courier New" w:hAnsi="Courier New" w:cs="Courier New" w:hint="default"/>
      </w:rPr>
    </w:lvl>
    <w:lvl w:ilvl="2" w:tplc="14090005" w:tentative="1">
      <w:start w:val="1"/>
      <w:numFmt w:val="bullet"/>
      <w:lvlText w:val=""/>
      <w:lvlJc w:val="left"/>
      <w:pPr>
        <w:ind w:left="2840" w:hanging="360"/>
      </w:pPr>
      <w:rPr>
        <w:rFonts w:ascii="Wingdings" w:hAnsi="Wingdings" w:hint="default"/>
      </w:rPr>
    </w:lvl>
    <w:lvl w:ilvl="3" w:tplc="14090001" w:tentative="1">
      <w:start w:val="1"/>
      <w:numFmt w:val="bullet"/>
      <w:lvlText w:val=""/>
      <w:lvlJc w:val="left"/>
      <w:pPr>
        <w:ind w:left="3560" w:hanging="360"/>
      </w:pPr>
      <w:rPr>
        <w:rFonts w:ascii="Symbol" w:hAnsi="Symbol" w:hint="default"/>
      </w:rPr>
    </w:lvl>
    <w:lvl w:ilvl="4" w:tplc="14090003" w:tentative="1">
      <w:start w:val="1"/>
      <w:numFmt w:val="bullet"/>
      <w:lvlText w:val="o"/>
      <w:lvlJc w:val="left"/>
      <w:pPr>
        <w:ind w:left="4280" w:hanging="360"/>
      </w:pPr>
      <w:rPr>
        <w:rFonts w:ascii="Courier New" w:hAnsi="Courier New" w:cs="Courier New" w:hint="default"/>
      </w:rPr>
    </w:lvl>
    <w:lvl w:ilvl="5" w:tplc="14090005" w:tentative="1">
      <w:start w:val="1"/>
      <w:numFmt w:val="bullet"/>
      <w:lvlText w:val=""/>
      <w:lvlJc w:val="left"/>
      <w:pPr>
        <w:ind w:left="5000" w:hanging="360"/>
      </w:pPr>
      <w:rPr>
        <w:rFonts w:ascii="Wingdings" w:hAnsi="Wingdings" w:hint="default"/>
      </w:rPr>
    </w:lvl>
    <w:lvl w:ilvl="6" w:tplc="14090001" w:tentative="1">
      <w:start w:val="1"/>
      <w:numFmt w:val="bullet"/>
      <w:lvlText w:val=""/>
      <w:lvlJc w:val="left"/>
      <w:pPr>
        <w:ind w:left="5720" w:hanging="360"/>
      </w:pPr>
      <w:rPr>
        <w:rFonts w:ascii="Symbol" w:hAnsi="Symbol" w:hint="default"/>
      </w:rPr>
    </w:lvl>
    <w:lvl w:ilvl="7" w:tplc="14090003" w:tentative="1">
      <w:start w:val="1"/>
      <w:numFmt w:val="bullet"/>
      <w:lvlText w:val="o"/>
      <w:lvlJc w:val="left"/>
      <w:pPr>
        <w:ind w:left="6440" w:hanging="360"/>
      </w:pPr>
      <w:rPr>
        <w:rFonts w:ascii="Courier New" w:hAnsi="Courier New" w:cs="Courier New" w:hint="default"/>
      </w:rPr>
    </w:lvl>
    <w:lvl w:ilvl="8" w:tplc="14090005" w:tentative="1">
      <w:start w:val="1"/>
      <w:numFmt w:val="bullet"/>
      <w:lvlText w:val=""/>
      <w:lvlJc w:val="left"/>
      <w:pPr>
        <w:ind w:left="7160" w:hanging="360"/>
      </w:pPr>
      <w:rPr>
        <w:rFonts w:ascii="Wingdings" w:hAnsi="Wingdings" w:hint="default"/>
      </w:rPr>
    </w:lvl>
  </w:abstractNum>
  <w:abstractNum w:abstractNumId="19" w15:restartNumberingAfterBreak="0">
    <w:nsid w:val="427701FB"/>
    <w:multiLevelType w:val="hybridMultilevel"/>
    <w:tmpl w:val="87A07910"/>
    <w:lvl w:ilvl="0" w:tplc="FFFFFFFF">
      <w:start w:val="1"/>
      <w:numFmt w:val="bullet"/>
      <w:pStyle w:val="Sub-list"/>
      <w:lvlText w:val=""/>
      <w:lvlJc w:val="left"/>
      <w:pPr>
        <w:tabs>
          <w:tab w:val="num" w:pos="397"/>
        </w:tabs>
        <w:ind w:left="397" w:firstLine="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5B15110"/>
    <w:multiLevelType w:val="multilevel"/>
    <w:tmpl w:val="D6480D1C"/>
    <w:lvl w:ilvl="0">
      <w:start w:val="1"/>
      <w:numFmt w:val="bullet"/>
      <w:pStyle w:val="Bullet"/>
      <w:lvlText w:val=""/>
      <w:lvlJc w:val="left"/>
      <w:pPr>
        <w:ind w:left="397" w:hanging="397"/>
      </w:pPr>
      <w:rPr>
        <w:rFonts w:ascii="Symbol" w:hAnsi="Symbol" w:hint="default"/>
        <w:b/>
        <w:bCs/>
        <w:sz w:val="18"/>
        <w:szCs w:val="18"/>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63D6104"/>
    <w:multiLevelType w:val="hybridMultilevel"/>
    <w:tmpl w:val="7698242C"/>
    <w:lvl w:ilvl="0" w:tplc="F710A272">
      <w:start w:val="1"/>
      <w:numFmt w:val="lowerRoman"/>
      <w:pStyle w:val="Sub-listi"/>
      <w:lvlText w:val="%1."/>
      <w:lvlJc w:val="left"/>
      <w:pPr>
        <w:tabs>
          <w:tab w:val="num" w:pos="1191"/>
        </w:tabs>
        <w:ind w:left="1191" w:hanging="397"/>
      </w:pPr>
      <w:rPr>
        <w:rFonts w:ascii="Calibri" w:hAnsi="Calibri" w:cs="Calibri" w:hint="default"/>
        <w:b w:val="0"/>
        <w:i w:val="0"/>
        <w:sz w:val="22"/>
        <w:szCs w:val="22"/>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2" w15:restartNumberingAfterBreak="0">
    <w:nsid w:val="53535234"/>
    <w:multiLevelType w:val="singleLevel"/>
    <w:tmpl w:val="7FC073B8"/>
    <w:lvl w:ilvl="0">
      <w:start w:val="1"/>
      <w:numFmt w:val="bullet"/>
      <w:pStyle w:val="BoxBullet"/>
      <w:lvlText w:val=""/>
      <w:lvlJc w:val="left"/>
      <w:pPr>
        <w:tabs>
          <w:tab w:val="num" w:pos="851"/>
        </w:tabs>
        <w:ind w:left="851" w:hanging="567"/>
      </w:pPr>
      <w:rPr>
        <w:rFonts w:ascii="Symbol" w:hAnsi="Symbol" w:hint="default"/>
        <w:sz w:val="16"/>
      </w:rPr>
    </w:lvl>
  </w:abstractNum>
  <w:abstractNum w:abstractNumId="23" w15:restartNumberingAfterBreak="0">
    <w:nsid w:val="665C1741"/>
    <w:multiLevelType w:val="hybridMultilevel"/>
    <w:tmpl w:val="DAD8401C"/>
    <w:lvl w:ilvl="0" w:tplc="92AEA844">
      <w:numFmt w:val="bullet"/>
      <w:lvlText w:val=""/>
      <w:lvlJc w:val="left"/>
      <w:pPr>
        <w:ind w:left="720" w:hanging="360"/>
      </w:pPr>
      <w:rPr>
        <w:rFonts w:ascii="Symbol" w:eastAsia="Times New Roman" w:hAnsi="Symbol" w:cs="Times New Roman" w:hint="default"/>
        <w:sz w:val="22"/>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75811DDE"/>
    <w:multiLevelType w:val="hybridMultilevel"/>
    <w:tmpl w:val="5784BADA"/>
    <w:lvl w:ilvl="0" w:tplc="14090001">
      <w:start w:val="1"/>
      <w:numFmt w:val="bullet"/>
      <w:pStyle w:val="TableDash"/>
      <w:lvlText w:val=""/>
      <w:lvlJc w:val="left"/>
      <w:pPr>
        <w:tabs>
          <w:tab w:val="num" w:pos="567"/>
        </w:tabs>
        <w:ind w:left="567" w:hanging="283"/>
      </w:pPr>
      <w:rPr>
        <w:rFonts w:ascii="Symbol" w:hAnsi="Symbol" w:hint="default"/>
        <w:color w:val="auto"/>
        <w:sz w:val="16"/>
        <w:szCs w:val="16"/>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5FE74C4"/>
    <w:multiLevelType w:val="multilevel"/>
    <w:tmpl w:val="219A7D10"/>
    <w:lvl w:ilvl="0">
      <w:start w:val="1"/>
      <w:numFmt w:val="bullet"/>
      <w:pStyle w:val="Sub-bullet"/>
      <w:lvlText w:val=""/>
      <w:lvlJc w:val="left"/>
      <w:pPr>
        <w:ind w:left="794" w:hanging="397"/>
      </w:pPr>
      <w:rPr>
        <w:rFonts w:ascii="Symbol" w:hAnsi="Symbol"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26" w15:restartNumberingAfterBreak="0">
    <w:nsid w:val="7E4D254A"/>
    <w:multiLevelType w:val="singleLevel"/>
    <w:tmpl w:val="59B61C52"/>
    <w:lvl w:ilvl="0">
      <w:start w:val="1"/>
      <w:numFmt w:val="bullet"/>
      <w:pStyle w:val="Bulletindent"/>
      <w:lvlText w:val=""/>
      <w:lvlJc w:val="left"/>
      <w:pPr>
        <w:tabs>
          <w:tab w:val="num" w:pos="567"/>
        </w:tabs>
        <w:ind w:left="567" w:hanging="567"/>
      </w:pPr>
      <w:rPr>
        <w:rFonts w:ascii="Symbol" w:hAnsi="Symbol" w:hint="default"/>
        <w:sz w:val="20"/>
      </w:rPr>
    </w:lvl>
  </w:abstractNum>
  <w:num w:numId="1" w16cid:durableId="1569415069">
    <w:abstractNumId w:val="22"/>
  </w:num>
  <w:num w:numId="2" w16cid:durableId="1719546779">
    <w:abstractNumId w:val="26"/>
  </w:num>
  <w:num w:numId="3" w16cid:durableId="187716939">
    <w:abstractNumId w:val="17"/>
  </w:num>
  <w:num w:numId="4" w16cid:durableId="718165160">
    <w:abstractNumId w:val="20"/>
  </w:num>
  <w:num w:numId="5" w16cid:durableId="1978681129">
    <w:abstractNumId w:val="25"/>
  </w:num>
  <w:num w:numId="6" w16cid:durableId="1351374546">
    <w:abstractNumId w:val="6"/>
  </w:num>
  <w:num w:numId="7" w16cid:durableId="647561907">
    <w:abstractNumId w:val="5"/>
  </w:num>
  <w:num w:numId="8" w16cid:durableId="2079209326">
    <w:abstractNumId w:val="4"/>
  </w:num>
  <w:num w:numId="9" w16cid:durableId="505364909">
    <w:abstractNumId w:val="3"/>
  </w:num>
  <w:num w:numId="10" w16cid:durableId="197545637">
    <w:abstractNumId w:val="2"/>
  </w:num>
  <w:num w:numId="11" w16cid:durableId="1566379223">
    <w:abstractNumId w:val="9"/>
  </w:num>
  <w:num w:numId="12" w16cid:durableId="1048412069">
    <w:abstractNumId w:val="10"/>
  </w:num>
  <w:num w:numId="13" w16cid:durableId="1072047681">
    <w:abstractNumId w:val="14"/>
  </w:num>
  <w:num w:numId="14" w16cid:durableId="986668735">
    <w:abstractNumId w:val="19"/>
  </w:num>
  <w:num w:numId="15" w16cid:durableId="559098980">
    <w:abstractNumId w:val="21"/>
  </w:num>
  <w:num w:numId="16" w16cid:durableId="734398456">
    <w:abstractNumId w:val="24"/>
  </w:num>
  <w:num w:numId="17" w16cid:durableId="1180506479">
    <w:abstractNumId w:val="1"/>
  </w:num>
  <w:num w:numId="18" w16cid:durableId="269287683">
    <w:abstractNumId w:val="0"/>
  </w:num>
  <w:num w:numId="19" w16cid:durableId="1536428399">
    <w:abstractNumId w:val="12"/>
  </w:num>
  <w:num w:numId="20" w16cid:durableId="1446923759">
    <w:abstractNumId w:val="18"/>
  </w:num>
  <w:num w:numId="21" w16cid:durableId="179956702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645202008">
    <w:abstractNumId w:val="13"/>
  </w:num>
  <w:num w:numId="23" w16cid:durableId="684937953">
    <w:abstractNumId w:val="8"/>
  </w:num>
  <w:num w:numId="24" w16cid:durableId="1495948274">
    <w:abstractNumId w:val="15"/>
  </w:num>
  <w:num w:numId="25" w16cid:durableId="14925962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24598232">
    <w:abstractNumId w:val="7"/>
  </w:num>
  <w:num w:numId="27" w16cid:durableId="34622129">
    <w:abstractNumId w:val="16"/>
  </w:num>
  <w:num w:numId="28" w16cid:durableId="1978028462">
    <w:abstractNumId w:val="11"/>
  </w:num>
  <w:num w:numId="29" w16cid:durableId="15456295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994332106">
    <w:abstractNumId w:val="2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activeWritingStyle w:appName="MSWord" w:lang="en-NZ" w:vendorID="64" w:dllVersion="0" w:nlCheck="1" w:checkStyle="0"/>
  <w:stylePaneFormatFilter w:val="1808" w:allStyles="0" w:customStyles="0" w:latentStyles="0" w:stylesInUse="1" w:headingStyles="0" w:numberingStyles="0" w:tableStyles="0" w:directFormattingOnRuns="0" w:directFormattingOnParagraphs="0" w:directFormattingOnNumbering="0" w:directFormattingOnTables="1" w:clearFormatting="1" w:top3HeadingStyles="0" w:visibleStyles="0" w:alternateStyleNames="0"/>
  <w:defaultTabStop w:val="397"/>
  <w:evenAndOddHeaders/>
  <w:drawingGridHorizontalSpacing w:val="187"/>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2015"/>
    <w:rsid w:val="000011F9"/>
    <w:rsid w:val="00001716"/>
    <w:rsid w:val="00002ACF"/>
    <w:rsid w:val="00005A32"/>
    <w:rsid w:val="00006F41"/>
    <w:rsid w:val="000074F8"/>
    <w:rsid w:val="00007ABB"/>
    <w:rsid w:val="000102AE"/>
    <w:rsid w:val="00010F8A"/>
    <w:rsid w:val="00011228"/>
    <w:rsid w:val="0001244D"/>
    <w:rsid w:val="00012916"/>
    <w:rsid w:val="00013BF5"/>
    <w:rsid w:val="0001532A"/>
    <w:rsid w:val="00015924"/>
    <w:rsid w:val="0001668A"/>
    <w:rsid w:val="0001669F"/>
    <w:rsid w:val="000179F3"/>
    <w:rsid w:val="000208C3"/>
    <w:rsid w:val="000216CB"/>
    <w:rsid w:val="00021ACF"/>
    <w:rsid w:val="00022AD2"/>
    <w:rsid w:val="00022B76"/>
    <w:rsid w:val="00022DF8"/>
    <w:rsid w:val="00023772"/>
    <w:rsid w:val="00024A28"/>
    <w:rsid w:val="00024AA7"/>
    <w:rsid w:val="00024E2B"/>
    <w:rsid w:val="000252E3"/>
    <w:rsid w:val="00025A2C"/>
    <w:rsid w:val="00025F58"/>
    <w:rsid w:val="00026000"/>
    <w:rsid w:val="00027E55"/>
    <w:rsid w:val="0003060D"/>
    <w:rsid w:val="00030C51"/>
    <w:rsid w:val="0003206D"/>
    <w:rsid w:val="00032167"/>
    <w:rsid w:val="00032A28"/>
    <w:rsid w:val="00032D62"/>
    <w:rsid w:val="000348EA"/>
    <w:rsid w:val="00034E21"/>
    <w:rsid w:val="00035185"/>
    <w:rsid w:val="0003612E"/>
    <w:rsid w:val="00036556"/>
    <w:rsid w:val="000366CA"/>
    <w:rsid w:val="0003674B"/>
    <w:rsid w:val="0004069B"/>
    <w:rsid w:val="0004086D"/>
    <w:rsid w:val="0004149E"/>
    <w:rsid w:val="00041519"/>
    <w:rsid w:val="00041936"/>
    <w:rsid w:val="00042273"/>
    <w:rsid w:val="000434DD"/>
    <w:rsid w:val="00043F61"/>
    <w:rsid w:val="000468B4"/>
    <w:rsid w:val="00046DED"/>
    <w:rsid w:val="00050008"/>
    <w:rsid w:val="00050F25"/>
    <w:rsid w:val="000510C0"/>
    <w:rsid w:val="0005224B"/>
    <w:rsid w:val="00052691"/>
    <w:rsid w:val="00053418"/>
    <w:rsid w:val="00053AB2"/>
    <w:rsid w:val="00053DF1"/>
    <w:rsid w:val="00054325"/>
    <w:rsid w:val="00055034"/>
    <w:rsid w:val="0005549B"/>
    <w:rsid w:val="0005698D"/>
    <w:rsid w:val="000571B7"/>
    <w:rsid w:val="000576EC"/>
    <w:rsid w:val="0006044E"/>
    <w:rsid w:val="00060BD6"/>
    <w:rsid w:val="00062441"/>
    <w:rsid w:val="00062A1B"/>
    <w:rsid w:val="00062F55"/>
    <w:rsid w:val="000631DF"/>
    <w:rsid w:val="00063847"/>
    <w:rsid w:val="00064169"/>
    <w:rsid w:val="00064A61"/>
    <w:rsid w:val="00065B6C"/>
    <w:rsid w:val="000676E2"/>
    <w:rsid w:val="000702E5"/>
    <w:rsid w:val="000708D4"/>
    <w:rsid w:val="00071546"/>
    <w:rsid w:val="00073060"/>
    <w:rsid w:val="00073990"/>
    <w:rsid w:val="000750F7"/>
    <w:rsid w:val="00077284"/>
    <w:rsid w:val="00077851"/>
    <w:rsid w:val="00077F54"/>
    <w:rsid w:val="00081B2A"/>
    <w:rsid w:val="00081DEE"/>
    <w:rsid w:val="00081F73"/>
    <w:rsid w:val="00082249"/>
    <w:rsid w:val="0008320A"/>
    <w:rsid w:val="00083C68"/>
    <w:rsid w:val="000843C7"/>
    <w:rsid w:val="0008598D"/>
    <w:rsid w:val="00086803"/>
    <w:rsid w:val="000874F7"/>
    <w:rsid w:val="00087AAA"/>
    <w:rsid w:val="000901F2"/>
    <w:rsid w:val="000906CF"/>
    <w:rsid w:val="0009360A"/>
    <w:rsid w:val="00094891"/>
    <w:rsid w:val="0009512B"/>
    <w:rsid w:val="0009595B"/>
    <w:rsid w:val="000959CB"/>
    <w:rsid w:val="00095BFE"/>
    <w:rsid w:val="00096BB3"/>
    <w:rsid w:val="00096D3F"/>
    <w:rsid w:val="000A05ED"/>
    <w:rsid w:val="000A0792"/>
    <w:rsid w:val="000A09C5"/>
    <w:rsid w:val="000A0EE1"/>
    <w:rsid w:val="000A1FBA"/>
    <w:rsid w:val="000A2B85"/>
    <w:rsid w:val="000A2F65"/>
    <w:rsid w:val="000A39F8"/>
    <w:rsid w:val="000A3BC5"/>
    <w:rsid w:val="000A45C9"/>
    <w:rsid w:val="000A4979"/>
    <w:rsid w:val="000A74E0"/>
    <w:rsid w:val="000B197D"/>
    <w:rsid w:val="000B2E7F"/>
    <w:rsid w:val="000B5A02"/>
    <w:rsid w:val="000B7215"/>
    <w:rsid w:val="000B7CBD"/>
    <w:rsid w:val="000C0236"/>
    <w:rsid w:val="000C0BB4"/>
    <w:rsid w:val="000C20A6"/>
    <w:rsid w:val="000C319F"/>
    <w:rsid w:val="000C57A2"/>
    <w:rsid w:val="000D0C33"/>
    <w:rsid w:val="000D1760"/>
    <w:rsid w:val="000D1CFA"/>
    <w:rsid w:val="000D3C83"/>
    <w:rsid w:val="000D418B"/>
    <w:rsid w:val="000D5262"/>
    <w:rsid w:val="000D5C05"/>
    <w:rsid w:val="000D7748"/>
    <w:rsid w:val="000E0666"/>
    <w:rsid w:val="000E254D"/>
    <w:rsid w:val="000E3614"/>
    <w:rsid w:val="000E3EA5"/>
    <w:rsid w:val="000E4B57"/>
    <w:rsid w:val="000E5ECA"/>
    <w:rsid w:val="000F028E"/>
    <w:rsid w:val="000F0F29"/>
    <w:rsid w:val="000F2E41"/>
    <w:rsid w:val="000F3007"/>
    <w:rsid w:val="000F42B0"/>
    <w:rsid w:val="000F4933"/>
    <w:rsid w:val="000F4AF8"/>
    <w:rsid w:val="000F4DEF"/>
    <w:rsid w:val="000F503A"/>
    <w:rsid w:val="000F6170"/>
    <w:rsid w:val="000F635C"/>
    <w:rsid w:val="000F7BC5"/>
    <w:rsid w:val="001001FC"/>
    <w:rsid w:val="001008A4"/>
    <w:rsid w:val="00101082"/>
    <w:rsid w:val="00101E02"/>
    <w:rsid w:val="001023C6"/>
    <w:rsid w:val="00105AB2"/>
    <w:rsid w:val="0010645D"/>
    <w:rsid w:val="001064B9"/>
    <w:rsid w:val="00106A17"/>
    <w:rsid w:val="00106FE3"/>
    <w:rsid w:val="00107445"/>
    <w:rsid w:val="001078BC"/>
    <w:rsid w:val="00110ED6"/>
    <w:rsid w:val="00112372"/>
    <w:rsid w:val="00112924"/>
    <w:rsid w:val="00112B66"/>
    <w:rsid w:val="00112F75"/>
    <w:rsid w:val="00113114"/>
    <w:rsid w:val="00115421"/>
    <w:rsid w:val="00116008"/>
    <w:rsid w:val="001168AF"/>
    <w:rsid w:val="00116E1B"/>
    <w:rsid w:val="00116F12"/>
    <w:rsid w:val="00116FA9"/>
    <w:rsid w:val="0011748D"/>
    <w:rsid w:val="00120EEA"/>
    <w:rsid w:val="001219A4"/>
    <w:rsid w:val="00121A28"/>
    <w:rsid w:val="00121B69"/>
    <w:rsid w:val="001221C3"/>
    <w:rsid w:val="001240F8"/>
    <w:rsid w:val="00126276"/>
    <w:rsid w:val="00126E65"/>
    <w:rsid w:val="00126FD7"/>
    <w:rsid w:val="00127302"/>
    <w:rsid w:val="00127478"/>
    <w:rsid w:val="00132A4B"/>
    <w:rsid w:val="001331A9"/>
    <w:rsid w:val="0013321C"/>
    <w:rsid w:val="001341C5"/>
    <w:rsid w:val="0013524C"/>
    <w:rsid w:val="001365A7"/>
    <w:rsid w:val="00140B06"/>
    <w:rsid w:val="001413D0"/>
    <w:rsid w:val="00141604"/>
    <w:rsid w:val="00141ADA"/>
    <w:rsid w:val="00141EF2"/>
    <w:rsid w:val="0014207A"/>
    <w:rsid w:val="00142681"/>
    <w:rsid w:val="00142C5F"/>
    <w:rsid w:val="001433D8"/>
    <w:rsid w:val="00143C28"/>
    <w:rsid w:val="00144A70"/>
    <w:rsid w:val="001462A4"/>
    <w:rsid w:val="00147A44"/>
    <w:rsid w:val="00147FA4"/>
    <w:rsid w:val="0014A505"/>
    <w:rsid w:val="00152925"/>
    <w:rsid w:val="00152D40"/>
    <w:rsid w:val="00152E1E"/>
    <w:rsid w:val="00153F5A"/>
    <w:rsid w:val="00154D9C"/>
    <w:rsid w:val="0015502D"/>
    <w:rsid w:val="0015604A"/>
    <w:rsid w:val="001565CF"/>
    <w:rsid w:val="001608E9"/>
    <w:rsid w:val="00160B55"/>
    <w:rsid w:val="00160B9F"/>
    <w:rsid w:val="00162AA2"/>
    <w:rsid w:val="00162B30"/>
    <w:rsid w:val="00163BA4"/>
    <w:rsid w:val="00163C6C"/>
    <w:rsid w:val="001662F0"/>
    <w:rsid w:val="00166812"/>
    <w:rsid w:val="00167528"/>
    <w:rsid w:val="00167925"/>
    <w:rsid w:val="001715C1"/>
    <w:rsid w:val="00172628"/>
    <w:rsid w:val="001746AA"/>
    <w:rsid w:val="00175CEC"/>
    <w:rsid w:val="00175ED8"/>
    <w:rsid w:val="00175FF6"/>
    <w:rsid w:val="0017620E"/>
    <w:rsid w:val="0017657D"/>
    <w:rsid w:val="00176AF4"/>
    <w:rsid w:val="001807CF"/>
    <w:rsid w:val="00181696"/>
    <w:rsid w:val="001818DF"/>
    <w:rsid w:val="00182C15"/>
    <w:rsid w:val="00182ED5"/>
    <w:rsid w:val="00182F46"/>
    <w:rsid w:val="0018526A"/>
    <w:rsid w:val="0018535E"/>
    <w:rsid w:val="00185A24"/>
    <w:rsid w:val="001866EE"/>
    <w:rsid w:val="00186AD2"/>
    <w:rsid w:val="0019023B"/>
    <w:rsid w:val="001904CB"/>
    <w:rsid w:val="00190758"/>
    <w:rsid w:val="0019119B"/>
    <w:rsid w:val="0019198E"/>
    <w:rsid w:val="001930F4"/>
    <w:rsid w:val="00193434"/>
    <w:rsid w:val="00194140"/>
    <w:rsid w:val="001945CB"/>
    <w:rsid w:val="00194A09"/>
    <w:rsid w:val="00194B46"/>
    <w:rsid w:val="00195B47"/>
    <w:rsid w:val="001962CD"/>
    <w:rsid w:val="00196F1B"/>
    <w:rsid w:val="001970E1"/>
    <w:rsid w:val="001A04D0"/>
    <w:rsid w:val="001A1903"/>
    <w:rsid w:val="001A1997"/>
    <w:rsid w:val="001A3CE1"/>
    <w:rsid w:val="001A42DD"/>
    <w:rsid w:val="001A5322"/>
    <w:rsid w:val="001A6CE0"/>
    <w:rsid w:val="001A7E6D"/>
    <w:rsid w:val="001B0782"/>
    <w:rsid w:val="001B0BA8"/>
    <w:rsid w:val="001B13DE"/>
    <w:rsid w:val="001B438C"/>
    <w:rsid w:val="001B465B"/>
    <w:rsid w:val="001B4972"/>
    <w:rsid w:val="001B5199"/>
    <w:rsid w:val="001B6890"/>
    <w:rsid w:val="001B6FD2"/>
    <w:rsid w:val="001B7C1F"/>
    <w:rsid w:val="001C015D"/>
    <w:rsid w:val="001C0F42"/>
    <w:rsid w:val="001C11E3"/>
    <w:rsid w:val="001C1818"/>
    <w:rsid w:val="001C1FFE"/>
    <w:rsid w:val="001C219C"/>
    <w:rsid w:val="001C2601"/>
    <w:rsid w:val="001C28B4"/>
    <w:rsid w:val="001C2A4D"/>
    <w:rsid w:val="001C3E6B"/>
    <w:rsid w:val="001C4445"/>
    <w:rsid w:val="001C4C26"/>
    <w:rsid w:val="001C5D93"/>
    <w:rsid w:val="001C6253"/>
    <w:rsid w:val="001C73E0"/>
    <w:rsid w:val="001D1258"/>
    <w:rsid w:val="001D1FF9"/>
    <w:rsid w:val="001D3C61"/>
    <w:rsid w:val="001D3E5F"/>
    <w:rsid w:val="001D41E1"/>
    <w:rsid w:val="001D5327"/>
    <w:rsid w:val="001D5F6F"/>
    <w:rsid w:val="001D6964"/>
    <w:rsid w:val="001D7776"/>
    <w:rsid w:val="001D786D"/>
    <w:rsid w:val="001D7A0A"/>
    <w:rsid w:val="001E24AB"/>
    <w:rsid w:val="001E27EB"/>
    <w:rsid w:val="001E2FAD"/>
    <w:rsid w:val="001E4121"/>
    <w:rsid w:val="001E47A3"/>
    <w:rsid w:val="001E4E65"/>
    <w:rsid w:val="001E4FC6"/>
    <w:rsid w:val="001E60A7"/>
    <w:rsid w:val="001E65E2"/>
    <w:rsid w:val="001E70D3"/>
    <w:rsid w:val="001E7C4A"/>
    <w:rsid w:val="001E7F25"/>
    <w:rsid w:val="001E7FC0"/>
    <w:rsid w:val="001F16B8"/>
    <w:rsid w:val="001F24CC"/>
    <w:rsid w:val="001F2560"/>
    <w:rsid w:val="001F2BA9"/>
    <w:rsid w:val="001F2CBA"/>
    <w:rsid w:val="001F2F49"/>
    <w:rsid w:val="001F4226"/>
    <w:rsid w:val="001F4892"/>
    <w:rsid w:val="001F48D9"/>
    <w:rsid w:val="001F77B4"/>
    <w:rsid w:val="001F7F62"/>
    <w:rsid w:val="0020073F"/>
    <w:rsid w:val="002009C3"/>
    <w:rsid w:val="00201985"/>
    <w:rsid w:val="002037F5"/>
    <w:rsid w:val="0020388D"/>
    <w:rsid w:val="00203C48"/>
    <w:rsid w:val="00203DD1"/>
    <w:rsid w:val="00204B8F"/>
    <w:rsid w:val="00204D2F"/>
    <w:rsid w:val="0020530A"/>
    <w:rsid w:val="00205E6B"/>
    <w:rsid w:val="00206328"/>
    <w:rsid w:val="002065B1"/>
    <w:rsid w:val="00207728"/>
    <w:rsid w:val="00207ABF"/>
    <w:rsid w:val="002124BD"/>
    <w:rsid w:val="00212612"/>
    <w:rsid w:val="002132F7"/>
    <w:rsid w:val="002144D2"/>
    <w:rsid w:val="00214A31"/>
    <w:rsid w:val="002159B8"/>
    <w:rsid w:val="00217603"/>
    <w:rsid w:val="002176E7"/>
    <w:rsid w:val="00217767"/>
    <w:rsid w:val="00217AD5"/>
    <w:rsid w:val="00220683"/>
    <w:rsid w:val="002222AE"/>
    <w:rsid w:val="00223334"/>
    <w:rsid w:val="002233B1"/>
    <w:rsid w:val="00223EAB"/>
    <w:rsid w:val="002244A5"/>
    <w:rsid w:val="0022545C"/>
    <w:rsid w:val="002256B1"/>
    <w:rsid w:val="00225A62"/>
    <w:rsid w:val="00226D56"/>
    <w:rsid w:val="00227B34"/>
    <w:rsid w:val="00230CAD"/>
    <w:rsid w:val="00230D16"/>
    <w:rsid w:val="002316C1"/>
    <w:rsid w:val="002341D7"/>
    <w:rsid w:val="002345EA"/>
    <w:rsid w:val="00234777"/>
    <w:rsid w:val="00235AEF"/>
    <w:rsid w:val="00235C9E"/>
    <w:rsid w:val="00240523"/>
    <w:rsid w:val="00240B42"/>
    <w:rsid w:val="00241B08"/>
    <w:rsid w:val="00243E16"/>
    <w:rsid w:val="00244F1E"/>
    <w:rsid w:val="00244FA2"/>
    <w:rsid w:val="00245177"/>
    <w:rsid w:val="0024590A"/>
    <w:rsid w:val="00245C00"/>
    <w:rsid w:val="00246D2B"/>
    <w:rsid w:val="002474E5"/>
    <w:rsid w:val="00247AD8"/>
    <w:rsid w:val="00250B98"/>
    <w:rsid w:val="00251A91"/>
    <w:rsid w:val="00252427"/>
    <w:rsid w:val="00254080"/>
    <w:rsid w:val="00254233"/>
    <w:rsid w:val="002547A1"/>
    <w:rsid w:val="0025495B"/>
    <w:rsid w:val="002549D8"/>
    <w:rsid w:val="00254E5F"/>
    <w:rsid w:val="002559EB"/>
    <w:rsid w:val="00255D7B"/>
    <w:rsid w:val="00256132"/>
    <w:rsid w:val="00256C9F"/>
    <w:rsid w:val="00256D20"/>
    <w:rsid w:val="00257FE6"/>
    <w:rsid w:val="002603A7"/>
    <w:rsid w:val="0026089D"/>
    <w:rsid w:val="00260B48"/>
    <w:rsid w:val="00261F97"/>
    <w:rsid w:val="00262067"/>
    <w:rsid w:val="00263341"/>
    <w:rsid w:val="00264A8F"/>
    <w:rsid w:val="00264EEA"/>
    <w:rsid w:val="00266706"/>
    <w:rsid w:val="00266D42"/>
    <w:rsid w:val="00270CA5"/>
    <w:rsid w:val="002712B9"/>
    <w:rsid w:val="00271345"/>
    <w:rsid w:val="002723B6"/>
    <w:rsid w:val="00273651"/>
    <w:rsid w:val="00273A60"/>
    <w:rsid w:val="00274320"/>
    <w:rsid w:val="00275749"/>
    <w:rsid w:val="0027577A"/>
    <w:rsid w:val="00275D38"/>
    <w:rsid w:val="002761D4"/>
    <w:rsid w:val="00276842"/>
    <w:rsid w:val="00276938"/>
    <w:rsid w:val="00280610"/>
    <w:rsid w:val="00281DE2"/>
    <w:rsid w:val="00282A25"/>
    <w:rsid w:val="00283128"/>
    <w:rsid w:val="0028581A"/>
    <w:rsid w:val="00285AA9"/>
    <w:rsid w:val="00285D4A"/>
    <w:rsid w:val="0028656D"/>
    <w:rsid w:val="002868D3"/>
    <w:rsid w:val="00286A68"/>
    <w:rsid w:val="00287A17"/>
    <w:rsid w:val="002901AB"/>
    <w:rsid w:val="002908E0"/>
    <w:rsid w:val="0029159A"/>
    <w:rsid w:val="00292132"/>
    <w:rsid w:val="00293D14"/>
    <w:rsid w:val="00293F6E"/>
    <w:rsid w:val="00294228"/>
    <w:rsid w:val="002947DE"/>
    <w:rsid w:val="00295B2A"/>
    <w:rsid w:val="002966B5"/>
    <w:rsid w:val="00296D90"/>
    <w:rsid w:val="002971AC"/>
    <w:rsid w:val="002A0819"/>
    <w:rsid w:val="002A12C5"/>
    <w:rsid w:val="002A1361"/>
    <w:rsid w:val="002A1939"/>
    <w:rsid w:val="002A1B74"/>
    <w:rsid w:val="002A222C"/>
    <w:rsid w:val="002A49D7"/>
    <w:rsid w:val="002A512A"/>
    <w:rsid w:val="002A7125"/>
    <w:rsid w:val="002A7CB0"/>
    <w:rsid w:val="002B08C0"/>
    <w:rsid w:val="002B1C5A"/>
    <w:rsid w:val="002B2475"/>
    <w:rsid w:val="002B3284"/>
    <w:rsid w:val="002B4A77"/>
    <w:rsid w:val="002B4AFC"/>
    <w:rsid w:val="002B503D"/>
    <w:rsid w:val="002B62E7"/>
    <w:rsid w:val="002B71E6"/>
    <w:rsid w:val="002B7208"/>
    <w:rsid w:val="002B7B6C"/>
    <w:rsid w:val="002C085E"/>
    <w:rsid w:val="002C0866"/>
    <w:rsid w:val="002C3A80"/>
    <w:rsid w:val="002C4177"/>
    <w:rsid w:val="002C45EC"/>
    <w:rsid w:val="002C4CEF"/>
    <w:rsid w:val="002C51B5"/>
    <w:rsid w:val="002C72E3"/>
    <w:rsid w:val="002C7D9A"/>
    <w:rsid w:val="002D00A9"/>
    <w:rsid w:val="002D13C9"/>
    <w:rsid w:val="002D1C09"/>
    <w:rsid w:val="002D3279"/>
    <w:rsid w:val="002D389E"/>
    <w:rsid w:val="002D4006"/>
    <w:rsid w:val="002D45F2"/>
    <w:rsid w:val="002D4EB4"/>
    <w:rsid w:val="002D5670"/>
    <w:rsid w:val="002D5B8F"/>
    <w:rsid w:val="002D60DB"/>
    <w:rsid w:val="002D6A54"/>
    <w:rsid w:val="002D73E5"/>
    <w:rsid w:val="002D7DE8"/>
    <w:rsid w:val="002E14E1"/>
    <w:rsid w:val="002E2780"/>
    <w:rsid w:val="002E4E30"/>
    <w:rsid w:val="002E6DE5"/>
    <w:rsid w:val="002E7B67"/>
    <w:rsid w:val="002E7D8B"/>
    <w:rsid w:val="002F1093"/>
    <w:rsid w:val="002F12B3"/>
    <w:rsid w:val="002F134A"/>
    <w:rsid w:val="002F1BB0"/>
    <w:rsid w:val="002F32A9"/>
    <w:rsid w:val="002F3636"/>
    <w:rsid w:val="002F3D2A"/>
    <w:rsid w:val="002F3F34"/>
    <w:rsid w:val="002F4D82"/>
    <w:rsid w:val="002F5482"/>
    <w:rsid w:val="002F5820"/>
    <w:rsid w:val="002F66D0"/>
    <w:rsid w:val="002F6D17"/>
    <w:rsid w:val="00300C1B"/>
    <w:rsid w:val="00300C64"/>
    <w:rsid w:val="003012B4"/>
    <w:rsid w:val="0030160B"/>
    <w:rsid w:val="003021DF"/>
    <w:rsid w:val="0030253D"/>
    <w:rsid w:val="00302D84"/>
    <w:rsid w:val="00302DE5"/>
    <w:rsid w:val="0030459D"/>
    <w:rsid w:val="0030472F"/>
    <w:rsid w:val="00304B0B"/>
    <w:rsid w:val="003058B9"/>
    <w:rsid w:val="00305D8E"/>
    <w:rsid w:val="00307751"/>
    <w:rsid w:val="00310167"/>
    <w:rsid w:val="003116BC"/>
    <w:rsid w:val="0031200D"/>
    <w:rsid w:val="003126D5"/>
    <w:rsid w:val="00313BD1"/>
    <w:rsid w:val="00313E90"/>
    <w:rsid w:val="0031435A"/>
    <w:rsid w:val="00314B3B"/>
    <w:rsid w:val="00315505"/>
    <w:rsid w:val="00315760"/>
    <w:rsid w:val="003201B5"/>
    <w:rsid w:val="00320C92"/>
    <w:rsid w:val="003210B4"/>
    <w:rsid w:val="00321E0C"/>
    <w:rsid w:val="003226DA"/>
    <w:rsid w:val="00322ADB"/>
    <w:rsid w:val="003231B1"/>
    <w:rsid w:val="0032349D"/>
    <w:rsid w:val="00324DFC"/>
    <w:rsid w:val="0032708F"/>
    <w:rsid w:val="00330055"/>
    <w:rsid w:val="00330810"/>
    <w:rsid w:val="00331D9D"/>
    <w:rsid w:val="00333799"/>
    <w:rsid w:val="00336641"/>
    <w:rsid w:val="003372CC"/>
    <w:rsid w:val="003373C0"/>
    <w:rsid w:val="003402C5"/>
    <w:rsid w:val="003403DE"/>
    <w:rsid w:val="0034055C"/>
    <w:rsid w:val="003405C7"/>
    <w:rsid w:val="00340622"/>
    <w:rsid w:val="003420AA"/>
    <w:rsid w:val="00342B76"/>
    <w:rsid w:val="003452E0"/>
    <w:rsid w:val="003460F3"/>
    <w:rsid w:val="0034629B"/>
    <w:rsid w:val="00346F89"/>
    <w:rsid w:val="00347367"/>
    <w:rsid w:val="0034789E"/>
    <w:rsid w:val="003508B0"/>
    <w:rsid w:val="0035099E"/>
    <w:rsid w:val="00350D54"/>
    <w:rsid w:val="0035101C"/>
    <w:rsid w:val="00351AEF"/>
    <w:rsid w:val="003524F6"/>
    <w:rsid w:val="00352E08"/>
    <w:rsid w:val="00353F9C"/>
    <w:rsid w:val="0035431C"/>
    <w:rsid w:val="00355617"/>
    <w:rsid w:val="00356160"/>
    <w:rsid w:val="00357284"/>
    <w:rsid w:val="0035798D"/>
    <w:rsid w:val="00357EF9"/>
    <w:rsid w:val="0036016B"/>
    <w:rsid w:val="00361D5E"/>
    <w:rsid w:val="003634A6"/>
    <w:rsid w:val="0036392B"/>
    <w:rsid w:val="00363D10"/>
    <w:rsid w:val="00364169"/>
    <w:rsid w:val="00364812"/>
    <w:rsid w:val="00364891"/>
    <w:rsid w:val="00365205"/>
    <w:rsid w:val="00365281"/>
    <w:rsid w:val="00365413"/>
    <w:rsid w:val="00366816"/>
    <w:rsid w:val="00367178"/>
    <w:rsid w:val="0036746F"/>
    <w:rsid w:val="00370700"/>
    <w:rsid w:val="003709F7"/>
    <w:rsid w:val="003711BE"/>
    <w:rsid w:val="00371BAD"/>
    <w:rsid w:val="003723F0"/>
    <w:rsid w:val="00373663"/>
    <w:rsid w:val="00374003"/>
    <w:rsid w:val="00374342"/>
    <w:rsid w:val="00374637"/>
    <w:rsid w:val="0037590E"/>
    <w:rsid w:val="003763DB"/>
    <w:rsid w:val="00377186"/>
    <w:rsid w:val="00377BB2"/>
    <w:rsid w:val="00377C34"/>
    <w:rsid w:val="003807DE"/>
    <w:rsid w:val="003819D1"/>
    <w:rsid w:val="00383207"/>
    <w:rsid w:val="00383DD3"/>
    <w:rsid w:val="0038436F"/>
    <w:rsid w:val="00385131"/>
    <w:rsid w:val="003859E1"/>
    <w:rsid w:val="0038638F"/>
    <w:rsid w:val="00386CFB"/>
    <w:rsid w:val="00387498"/>
    <w:rsid w:val="003876D9"/>
    <w:rsid w:val="00387826"/>
    <w:rsid w:val="00387AE7"/>
    <w:rsid w:val="00387B6F"/>
    <w:rsid w:val="00387CF1"/>
    <w:rsid w:val="00387CF3"/>
    <w:rsid w:val="00392608"/>
    <w:rsid w:val="00392A20"/>
    <w:rsid w:val="00392E8F"/>
    <w:rsid w:val="00394A03"/>
    <w:rsid w:val="00394F16"/>
    <w:rsid w:val="003951C4"/>
    <w:rsid w:val="00395B56"/>
    <w:rsid w:val="00396F88"/>
    <w:rsid w:val="003972EF"/>
    <w:rsid w:val="00397D2B"/>
    <w:rsid w:val="003A046C"/>
    <w:rsid w:val="003A06FD"/>
    <w:rsid w:val="003A12FB"/>
    <w:rsid w:val="003A1709"/>
    <w:rsid w:val="003A31EF"/>
    <w:rsid w:val="003A42BD"/>
    <w:rsid w:val="003A49A9"/>
    <w:rsid w:val="003A5006"/>
    <w:rsid w:val="003A52AD"/>
    <w:rsid w:val="003A64A5"/>
    <w:rsid w:val="003B0A3C"/>
    <w:rsid w:val="003B0F83"/>
    <w:rsid w:val="003B14C0"/>
    <w:rsid w:val="003B150E"/>
    <w:rsid w:val="003B16F1"/>
    <w:rsid w:val="003B33A3"/>
    <w:rsid w:val="003B348D"/>
    <w:rsid w:val="003B34D0"/>
    <w:rsid w:val="003B3690"/>
    <w:rsid w:val="003B42F5"/>
    <w:rsid w:val="003B4675"/>
    <w:rsid w:val="003B4769"/>
    <w:rsid w:val="003B4A58"/>
    <w:rsid w:val="003B4C43"/>
    <w:rsid w:val="003B4F47"/>
    <w:rsid w:val="003B5141"/>
    <w:rsid w:val="003B5918"/>
    <w:rsid w:val="003B5F5B"/>
    <w:rsid w:val="003B6CED"/>
    <w:rsid w:val="003B710D"/>
    <w:rsid w:val="003B7A4F"/>
    <w:rsid w:val="003C00F8"/>
    <w:rsid w:val="003C1535"/>
    <w:rsid w:val="003C2092"/>
    <w:rsid w:val="003C2615"/>
    <w:rsid w:val="003C2D84"/>
    <w:rsid w:val="003C3D0E"/>
    <w:rsid w:val="003C45F8"/>
    <w:rsid w:val="003C5554"/>
    <w:rsid w:val="003C686F"/>
    <w:rsid w:val="003C7E5A"/>
    <w:rsid w:val="003D0318"/>
    <w:rsid w:val="003D173F"/>
    <w:rsid w:val="003D1B3A"/>
    <w:rsid w:val="003D2424"/>
    <w:rsid w:val="003D31BE"/>
    <w:rsid w:val="003D36CC"/>
    <w:rsid w:val="003D3774"/>
    <w:rsid w:val="003D5417"/>
    <w:rsid w:val="003D5B61"/>
    <w:rsid w:val="003D6A24"/>
    <w:rsid w:val="003D6F6D"/>
    <w:rsid w:val="003D70A0"/>
    <w:rsid w:val="003D7199"/>
    <w:rsid w:val="003E09EA"/>
    <w:rsid w:val="003E19A0"/>
    <w:rsid w:val="003E2264"/>
    <w:rsid w:val="003E31A2"/>
    <w:rsid w:val="003E31F3"/>
    <w:rsid w:val="003E3AC5"/>
    <w:rsid w:val="003E483A"/>
    <w:rsid w:val="003E65AA"/>
    <w:rsid w:val="003E68F4"/>
    <w:rsid w:val="003E6D3E"/>
    <w:rsid w:val="003E7147"/>
    <w:rsid w:val="003F10FB"/>
    <w:rsid w:val="003F1B9F"/>
    <w:rsid w:val="003F2869"/>
    <w:rsid w:val="003F5599"/>
    <w:rsid w:val="003F616A"/>
    <w:rsid w:val="003F7586"/>
    <w:rsid w:val="003F76CE"/>
    <w:rsid w:val="004008DA"/>
    <w:rsid w:val="00400F92"/>
    <w:rsid w:val="00402665"/>
    <w:rsid w:val="00402C72"/>
    <w:rsid w:val="00402CE6"/>
    <w:rsid w:val="00404319"/>
    <w:rsid w:val="004044F1"/>
    <w:rsid w:val="004049B8"/>
    <w:rsid w:val="00404B1C"/>
    <w:rsid w:val="00405137"/>
    <w:rsid w:val="004059D3"/>
    <w:rsid w:val="00405B41"/>
    <w:rsid w:val="00407425"/>
    <w:rsid w:val="00407428"/>
    <w:rsid w:val="00410B8F"/>
    <w:rsid w:val="00411884"/>
    <w:rsid w:val="00411CAB"/>
    <w:rsid w:val="00411E40"/>
    <w:rsid w:val="00412FF7"/>
    <w:rsid w:val="00413132"/>
    <w:rsid w:val="0041618E"/>
    <w:rsid w:val="004166CE"/>
    <w:rsid w:val="00417017"/>
    <w:rsid w:val="004176C3"/>
    <w:rsid w:val="00420A05"/>
    <w:rsid w:val="00422CFC"/>
    <w:rsid w:val="00423C96"/>
    <w:rsid w:val="004241BC"/>
    <w:rsid w:val="0042424B"/>
    <w:rsid w:val="00425080"/>
    <w:rsid w:val="00425A41"/>
    <w:rsid w:val="0043081C"/>
    <w:rsid w:val="0043094E"/>
    <w:rsid w:val="00430D5D"/>
    <w:rsid w:val="004329D3"/>
    <w:rsid w:val="004333BB"/>
    <w:rsid w:val="004336AB"/>
    <w:rsid w:val="0043406F"/>
    <w:rsid w:val="00434D6F"/>
    <w:rsid w:val="00435A78"/>
    <w:rsid w:val="0043609B"/>
    <w:rsid w:val="00436488"/>
    <w:rsid w:val="00437374"/>
    <w:rsid w:val="0043789E"/>
    <w:rsid w:val="00437A48"/>
    <w:rsid w:val="00440F80"/>
    <w:rsid w:val="00442804"/>
    <w:rsid w:val="004429B6"/>
    <w:rsid w:val="00442C36"/>
    <w:rsid w:val="00443C5E"/>
    <w:rsid w:val="0044505E"/>
    <w:rsid w:val="004455EA"/>
    <w:rsid w:val="00445C42"/>
    <w:rsid w:val="004464B0"/>
    <w:rsid w:val="004464B9"/>
    <w:rsid w:val="00446A61"/>
    <w:rsid w:val="00446D7A"/>
    <w:rsid w:val="00447CC9"/>
    <w:rsid w:val="00450510"/>
    <w:rsid w:val="00450CD0"/>
    <w:rsid w:val="00453B4A"/>
    <w:rsid w:val="004541BD"/>
    <w:rsid w:val="004545D8"/>
    <w:rsid w:val="004553F7"/>
    <w:rsid w:val="0045575D"/>
    <w:rsid w:val="0045652C"/>
    <w:rsid w:val="0045735A"/>
    <w:rsid w:val="00457586"/>
    <w:rsid w:val="00460B67"/>
    <w:rsid w:val="0046167F"/>
    <w:rsid w:val="00462205"/>
    <w:rsid w:val="00462497"/>
    <w:rsid w:val="00462B11"/>
    <w:rsid w:val="0046323A"/>
    <w:rsid w:val="00463340"/>
    <w:rsid w:val="004648E8"/>
    <w:rsid w:val="00465526"/>
    <w:rsid w:val="00465555"/>
    <w:rsid w:val="004655C5"/>
    <w:rsid w:val="004668D8"/>
    <w:rsid w:val="00466E0A"/>
    <w:rsid w:val="004676CC"/>
    <w:rsid w:val="0046782E"/>
    <w:rsid w:val="00470304"/>
    <w:rsid w:val="004706B0"/>
    <w:rsid w:val="00471B48"/>
    <w:rsid w:val="00471B91"/>
    <w:rsid w:val="00471FB9"/>
    <w:rsid w:val="00472445"/>
    <w:rsid w:val="00473FEA"/>
    <w:rsid w:val="0047432C"/>
    <w:rsid w:val="00474D10"/>
    <w:rsid w:val="004757AE"/>
    <w:rsid w:val="00475A8C"/>
    <w:rsid w:val="00477210"/>
    <w:rsid w:val="004805A3"/>
    <w:rsid w:val="0048136B"/>
    <w:rsid w:val="00481448"/>
    <w:rsid w:val="00482537"/>
    <w:rsid w:val="0048270A"/>
    <w:rsid w:val="00484AD1"/>
    <w:rsid w:val="0048544C"/>
    <w:rsid w:val="004855DD"/>
    <w:rsid w:val="00485F95"/>
    <w:rsid w:val="00487060"/>
    <w:rsid w:val="004876E9"/>
    <w:rsid w:val="004909E1"/>
    <w:rsid w:val="00490EB0"/>
    <w:rsid w:val="00490FA4"/>
    <w:rsid w:val="00492BDF"/>
    <w:rsid w:val="00494358"/>
    <w:rsid w:val="00495BB8"/>
    <w:rsid w:val="00496E54"/>
    <w:rsid w:val="0049793F"/>
    <w:rsid w:val="004A067C"/>
    <w:rsid w:val="004A195F"/>
    <w:rsid w:val="004A397F"/>
    <w:rsid w:val="004A3F1C"/>
    <w:rsid w:val="004A44E8"/>
    <w:rsid w:val="004A580A"/>
    <w:rsid w:val="004A5903"/>
    <w:rsid w:val="004A618E"/>
    <w:rsid w:val="004A6FEB"/>
    <w:rsid w:val="004A7BD6"/>
    <w:rsid w:val="004B029B"/>
    <w:rsid w:val="004B046A"/>
    <w:rsid w:val="004B0977"/>
    <w:rsid w:val="004B0E0E"/>
    <w:rsid w:val="004B1E9C"/>
    <w:rsid w:val="004B365B"/>
    <w:rsid w:val="004B3C5A"/>
    <w:rsid w:val="004B3E80"/>
    <w:rsid w:val="004B4616"/>
    <w:rsid w:val="004B4ECE"/>
    <w:rsid w:val="004B5562"/>
    <w:rsid w:val="004B5802"/>
    <w:rsid w:val="004B61E3"/>
    <w:rsid w:val="004B68A4"/>
    <w:rsid w:val="004B721C"/>
    <w:rsid w:val="004B7465"/>
    <w:rsid w:val="004B7757"/>
    <w:rsid w:val="004C0C49"/>
    <w:rsid w:val="004C1329"/>
    <w:rsid w:val="004C294C"/>
    <w:rsid w:val="004C2B78"/>
    <w:rsid w:val="004C2C72"/>
    <w:rsid w:val="004C2DE0"/>
    <w:rsid w:val="004C2F4E"/>
    <w:rsid w:val="004C3FC8"/>
    <w:rsid w:val="004C4D12"/>
    <w:rsid w:val="004C6459"/>
    <w:rsid w:val="004D074D"/>
    <w:rsid w:val="004D1209"/>
    <w:rsid w:val="004D1BBF"/>
    <w:rsid w:val="004D2B95"/>
    <w:rsid w:val="004D336C"/>
    <w:rsid w:val="004D35B8"/>
    <w:rsid w:val="004D4745"/>
    <w:rsid w:val="004D6352"/>
    <w:rsid w:val="004D6E70"/>
    <w:rsid w:val="004D7257"/>
    <w:rsid w:val="004E19FA"/>
    <w:rsid w:val="004E22B6"/>
    <w:rsid w:val="004E358C"/>
    <w:rsid w:val="004E4B2C"/>
    <w:rsid w:val="004E5076"/>
    <w:rsid w:val="004E5625"/>
    <w:rsid w:val="004E755A"/>
    <w:rsid w:val="004E7ED0"/>
    <w:rsid w:val="004F03B3"/>
    <w:rsid w:val="004F05BD"/>
    <w:rsid w:val="004F09BF"/>
    <w:rsid w:val="004F1572"/>
    <w:rsid w:val="004F1621"/>
    <w:rsid w:val="004F21C3"/>
    <w:rsid w:val="004F288F"/>
    <w:rsid w:val="004F2C3A"/>
    <w:rsid w:val="004F404B"/>
    <w:rsid w:val="004F4C34"/>
    <w:rsid w:val="004F4C83"/>
    <w:rsid w:val="004F5386"/>
    <w:rsid w:val="004F6654"/>
    <w:rsid w:val="004F7BCC"/>
    <w:rsid w:val="004F7F68"/>
    <w:rsid w:val="00500429"/>
    <w:rsid w:val="00500FAC"/>
    <w:rsid w:val="00501486"/>
    <w:rsid w:val="005019CD"/>
    <w:rsid w:val="0050207B"/>
    <w:rsid w:val="00502473"/>
    <w:rsid w:val="00502F39"/>
    <w:rsid w:val="00504254"/>
    <w:rsid w:val="005067A0"/>
    <w:rsid w:val="0050694C"/>
    <w:rsid w:val="00506EC0"/>
    <w:rsid w:val="0051099B"/>
    <w:rsid w:val="00510A04"/>
    <w:rsid w:val="00511285"/>
    <w:rsid w:val="00511297"/>
    <w:rsid w:val="005119E7"/>
    <w:rsid w:val="005121C0"/>
    <w:rsid w:val="00513552"/>
    <w:rsid w:val="005138A1"/>
    <w:rsid w:val="00513C88"/>
    <w:rsid w:val="00513FDB"/>
    <w:rsid w:val="005164C5"/>
    <w:rsid w:val="0051687D"/>
    <w:rsid w:val="00516A6C"/>
    <w:rsid w:val="00516E10"/>
    <w:rsid w:val="00517734"/>
    <w:rsid w:val="005219A0"/>
    <w:rsid w:val="00522DB0"/>
    <w:rsid w:val="00523487"/>
    <w:rsid w:val="005243BC"/>
    <w:rsid w:val="00524C41"/>
    <w:rsid w:val="00525304"/>
    <w:rsid w:val="0052587F"/>
    <w:rsid w:val="00526270"/>
    <w:rsid w:val="005262B5"/>
    <w:rsid w:val="005300E2"/>
    <w:rsid w:val="0053018B"/>
    <w:rsid w:val="00530A65"/>
    <w:rsid w:val="00530C56"/>
    <w:rsid w:val="00531687"/>
    <w:rsid w:val="00531A41"/>
    <w:rsid w:val="00534210"/>
    <w:rsid w:val="00534949"/>
    <w:rsid w:val="00534BBC"/>
    <w:rsid w:val="005365EE"/>
    <w:rsid w:val="00537FA1"/>
    <w:rsid w:val="00540C2B"/>
    <w:rsid w:val="00541177"/>
    <w:rsid w:val="0054134B"/>
    <w:rsid w:val="00541895"/>
    <w:rsid w:val="00542552"/>
    <w:rsid w:val="00543478"/>
    <w:rsid w:val="00544343"/>
    <w:rsid w:val="00545600"/>
    <w:rsid w:val="00546A6A"/>
    <w:rsid w:val="00546F7F"/>
    <w:rsid w:val="00547FAD"/>
    <w:rsid w:val="00550502"/>
    <w:rsid w:val="0055146F"/>
    <w:rsid w:val="00552F73"/>
    <w:rsid w:val="00553232"/>
    <w:rsid w:val="00554A58"/>
    <w:rsid w:val="00560019"/>
    <w:rsid w:val="00562307"/>
    <w:rsid w:val="005630B0"/>
    <w:rsid w:val="005630B3"/>
    <w:rsid w:val="00563486"/>
    <w:rsid w:val="00563BAB"/>
    <w:rsid w:val="00564057"/>
    <w:rsid w:val="005654C8"/>
    <w:rsid w:val="0056556B"/>
    <w:rsid w:val="0056604D"/>
    <w:rsid w:val="005660CD"/>
    <w:rsid w:val="00566C07"/>
    <w:rsid w:val="00567079"/>
    <w:rsid w:val="0056746F"/>
    <w:rsid w:val="00567A2B"/>
    <w:rsid w:val="00567F40"/>
    <w:rsid w:val="005702CF"/>
    <w:rsid w:val="0057034D"/>
    <w:rsid w:val="00570573"/>
    <w:rsid w:val="0057070D"/>
    <w:rsid w:val="00570EBD"/>
    <w:rsid w:val="00570FFA"/>
    <w:rsid w:val="005720F2"/>
    <w:rsid w:val="00572976"/>
    <w:rsid w:val="00572C90"/>
    <w:rsid w:val="00573E06"/>
    <w:rsid w:val="0057425E"/>
    <w:rsid w:val="00574BB1"/>
    <w:rsid w:val="00576F29"/>
    <w:rsid w:val="0057701E"/>
    <w:rsid w:val="00577145"/>
    <w:rsid w:val="005777A1"/>
    <w:rsid w:val="00577AA4"/>
    <w:rsid w:val="00577EA9"/>
    <w:rsid w:val="005832F2"/>
    <w:rsid w:val="005835CD"/>
    <w:rsid w:val="00584D1A"/>
    <w:rsid w:val="0058598F"/>
    <w:rsid w:val="00585A83"/>
    <w:rsid w:val="00585BE2"/>
    <w:rsid w:val="00585E4C"/>
    <w:rsid w:val="00586346"/>
    <w:rsid w:val="00586CD7"/>
    <w:rsid w:val="00590FE1"/>
    <w:rsid w:val="00591C04"/>
    <w:rsid w:val="005923AD"/>
    <w:rsid w:val="00592579"/>
    <w:rsid w:val="005942E3"/>
    <w:rsid w:val="0059455D"/>
    <w:rsid w:val="00596603"/>
    <w:rsid w:val="00597354"/>
    <w:rsid w:val="005975EA"/>
    <w:rsid w:val="005A115E"/>
    <w:rsid w:val="005A148E"/>
    <w:rsid w:val="005A18C4"/>
    <w:rsid w:val="005A2EDB"/>
    <w:rsid w:val="005A3120"/>
    <w:rsid w:val="005A482B"/>
    <w:rsid w:val="005A5ABE"/>
    <w:rsid w:val="005A5F41"/>
    <w:rsid w:val="005A6C0A"/>
    <w:rsid w:val="005A6E9D"/>
    <w:rsid w:val="005B0188"/>
    <w:rsid w:val="005B0E0E"/>
    <w:rsid w:val="005B1345"/>
    <w:rsid w:val="005B138E"/>
    <w:rsid w:val="005B187A"/>
    <w:rsid w:val="005B24DB"/>
    <w:rsid w:val="005B2F4D"/>
    <w:rsid w:val="005B3A38"/>
    <w:rsid w:val="005B4380"/>
    <w:rsid w:val="005B4EAF"/>
    <w:rsid w:val="005B6305"/>
    <w:rsid w:val="005B637A"/>
    <w:rsid w:val="005B7336"/>
    <w:rsid w:val="005B754B"/>
    <w:rsid w:val="005B76A4"/>
    <w:rsid w:val="005B777B"/>
    <w:rsid w:val="005C1055"/>
    <w:rsid w:val="005C1555"/>
    <w:rsid w:val="005C27AE"/>
    <w:rsid w:val="005C3384"/>
    <w:rsid w:val="005C33DC"/>
    <w:rsid w:val="005C3808"/>
    <w:rsid w:val="005C3960"/>
    <w:rsid w:val="005C3E8C"/>
    <w:rsid w:val="005C416E"/>
    <w:rsid w:val="005C5280"/>
    <w:rsid w:val="005C5467"/>
    <w:rsid w:val="005C5CA2"/>
    <w:rsid w:val="005C66A9"/>
    <w:rsid w:val="005C7D06"/>
    <w:rsid w:val="005D02EF"/>
    <w:rsid w:val="005D134A"/>
    <w:rsid w:val="005D1C3A"/>
    <w:rsid w:val="005D1EF3"/>
    <w:rsid w:val="005D2A51"/>
    <w:rsid w:val="005D2C63"/>
    <w:rsid w:val="005D37EC"/>
    <w:rsid w:val="005D3872"/>
    <w:rsid w:val="005D3E2B"/>
    <w:rsid w:val="005D4994"/>
    <w:rsid w:val="005D500F"/>
    <w:rsid w:val="005D6E9D"/>
    <w:rsid w:val="005E0DF1"/>
    <w:rsid w:val="005E0E71"/>
    <w:rsid w:val="005E10DC"/>
    <w:rsid w:val="005E1FAB"/>
    <w:rsid w:val="005E2FBB"/>
    <w:rsid w:val="005E3BC6"/>
    <w:rsid w:val="005E43DD"/>
    <w:rsid w:val="005E45BA"/>
    <w:rsid w:val="005E4A58"/>
    <w:rsid w:val="005E55E9"/>
    <w:rsid w:val="005E59C7"/>
    <w:rsid w:val="005E6C8B"/>
    <w:rsid w:val="005E7495"/>
    <w:rsid w:val="005E75EE"/>
    <w:rsid w:val="005E7D6C"/>
    <w:rsid w:val="005F04CF"/>
    <w:rsid w:val="005F0B01"/>
    <w:rsid w:val="005F0CCF"/>
    <w:rsid w:val="005F115D"/>
    <w:rsid w:val="005F14E1"/>
    <w:rsid w:val="005F2891"/>
    <w:rsid w:val="005F3121"/>
    <w:rsid w:val="005F3CCC"/>
    <w:rsid w:val="005F6BB6"/>
    <w:rsid w:val="005F6D92"/>
    <w:rsid w:val="005F6F73"/>
    <w:rsid w:val="005F7CDA"/>
    <w:rsid w:val="00600179"/>
    <w:rsid w:val="0060153E"/>
    <w:rsid w:val="00601A8B"/>
    <w:rsid w:val="00603FC0"/>
    <w:rsid w:val="006042F8"/>
    <w:rsid w:val="006051BE"/>
    <w:rsid w:val="00606385"/>
    <w:rsid w:val="006076E4"/>
    <w:rsid w:val="00607B96"/>
    <w:rsid w:val="00610DE2"/>
    <w:rsid w:val="0061176E"/>
    <w:rsid w:val="00612433"/>
    <w:rsid w:val="006141EF"/>
    <w:rsid w:val="006154A8"/>
    <w:rsid w:val="00615FBF"/>
    <w:rsid w:val="0061718D"/>
    <w:rsid w:val="0061756C"/>
    <w:rsid w:val="0061761F"/>
    <w:rsid w:val="00617DFE"/>
    <w:rsid w:val="00620E32"/>
    <w:rsid w:val="0062123F"/>
    <w:rsid w:val="006214CD"/>
    <w:rsid w:val="00621CDA"/>
    <w:rsid w:val="00621E69"/>
    <w:rsid w:val="0062208C"/>
    <w:rsid w:val="0062281F"/>
    <w:rsid w:val="00622E2B"/>
    <w:rsid w:val="00623089"/>
    <w:rsid w:val="00623BA7"/>
    <w:rsid w:val="00623C34"/>
    <w:rsid w:val="0062463B"/>
    <w:rsid w:val="00625E07"/>
    <w:rsid w:val="00630991"/>
    <w:rsid w:val="006316D5"/>
    <w:rsid w:val="00631FCB"/>
    <w:rsid w:val="0063223C"/>
    <w:rsid w:val="006335B7"/>
    <w:rsid w:val="00634B3C"/>
    <w:rsid w:val="00636BF0"/>
    <w:rsid w:val="00636ED3"/>
    <w:rsid w:val="006371CD"/>
    <w:rsid w:val="00637866"/>
    <w:rsid w:val="00641F5E"/>
    <w:rsid w:val="0064287C"/>
    <w:rsid w:val="00642FAA"/>
    <w:rsid w:val="006447C4"/>
    <w:rsid w:val="00645489"/>
    <w:rsid w:val="006457C3"/>
    <w:rsid w:val="00646B6D"/>
    <w:rsid w:val="0064721F"/>
    <w:rsid w:val="00650F99"/>
    <w:rsid w:val="00652568"/>
    <w:rsid w:val="00655908"/>
    <w:rsid w:val="00655D96"/>
    <w:rsid w:val="006603C6"/>
    <w:rsid w:val="0066168A"/>
    <w:rsid w:val="006616B3"/>
    <w:rsid w:val="00661D43"/>
    <w:rsid w:val="00664EA4"/>
    <w:rsid w:val="00665083"/>
    <w:rsid w:val="0066542C"/>
    <w:rsid w:val="006654F8"/>
    <w:rsid w:val="00665768"/>
    <w:rsid w:val="00666B16"/>
    <w:rsid w:val="00666D37"/>
    <w:rsid w:val="00667291"/>
    <w:rsid w:val="0067016D"/>
    <w:rsid w:val="00671258"/>
    <w:rsid w:val="00671AE3"/>
    <w:rsid w:val="006736AE"/>
    <w:rsid w:val="006748D5"/>
    <w:rsid w:val="006769D5"/>
    <w:rsid w:val="00676B2F"/>
    <w:rsid w:val="006771B8"/>
    <w:rsid w:val="00680AA6"/>
    <w:rsid w:val="00680C72"/>
    <w:rsid w:val="006817BD"/>
    <w:rsid w:val="006817EF"/>
    <w:rsid w:val="00682136"/>
    <w:rsid w:val="00683F84"/>
    <w:rsid w:val="0068513A"/>
    <w:rsid w:val="0068535B"/>
    <w:rsid w:val="0068545A"/>
    <w:rsid w:val="00685F58"/>
    <w:rsid w:val="00686249"/>
    <w:rsid w:val="006869E9"/>
    <w:rsid w:val="00686B12"/>
    <w:rsid w:val="00686CF4"/>
    <w:rsid w:val="00687504"/>
    <w:rsid w:val="00687CC3"/>
    <w:rsid w:val="006905E1"/>
    <w:rsid w:val="006934D8"/>
    <w:rsid w:val="006936AE"/>
    <w:rsid w:val="006945E3"/>
    <w:rsid w:val="00695325"/>
    <w:rsid w:val="0069638A"/>
    <w:rsid w:val="00697F20"/>
    <w:rsid w:val="006A171F"/>
    <w:rsid w:val="006A1D31"/>
    <w:rsid w:val="006A21DD"/>
    <w:rsid w:val="006A3BBA"/>
    <w:rsid w:val="006A403A"/>
    <w:rsid w:val="006A4BCE"/>
    <w:rsid w:val="006A4E5F"/>
    <w:rsid w:val="006A51E8"/>
    <w:rsid w:val="006A5971"/>
    <w:rsid w:val="006A5AC8"/>
    <w:rsid w:val="006A6790"/>
    <w:rsid w:val="006B19A9"/>
    <w:rsid w:val="006B282E"/>
    <w:rsid w:val="006B28AD"/>
    <w:rsid w:val="006B2997"/>
    <w:rsid w:val="006B45FB"/>
    <w:rsid w:val="006B471E"/>
    <w:rsid w:val="006B4EB3"/>
    <w:rsid w:val="006B591E"/>
    <w:rsid w:val="006B6BAA"/>
    <w:rsid w:val="006B7666"/>
    <w:rsid w:val="006B79B6"/>
    <w:rsid w:val="006C0EB2"/>
    <w:rsid w:val="006C19C5"/>
    <w:rsid w:val="006C32E1"/>
    <w:rsid w:val="006C5E88"/>
    <w:rsid w:val="006C743F"/>
    <w:rsid w:val="006C7AA0"/>
    <w:rsid w:val="006D3FAE"/>
    <w:rsid w:val="006D419A"/>
    <w:rsid w:val="006D4600"/>
    <w:rsid w:val="006D5222"/>
    <w:rsid w:val="006D5630"/>
    <w:rsid w:val="006D61E8"/>
    <w:rsid w:val="006D7902"/>
    <w:rsid w:val="006D7ECB"/>
    <w:rsid w:val="006E02E2"/>
    <w:rsid w:val="006E0A2C"/>
    <w:rsid w:val="006E0BCD"/>
    <w:rsid w:val="006E1C16"/>
    <w:rsid w:val="006E202B"/>
    <w:rsid w:val="006E2511"/>
    <w:rsid w:val="006E25DF"/>
    <w:rsid w:val="006E2601"/>
    <w:rsid w:val="006E2874"/>
    <w:rsid w:val="006E2A3A"/>
    <w:rsid w:val="006E2CCE"/>
    <w:rsid w:val="006E3B52"/>
    <w:rsid w:val="006E56F5"/>
    <w:rsid w:val="006E57B5"/>
    <w:rsid w:val="006E5BA2"/>
    <w:rsid w:val="006E5FF6"/>
    <w:rsid w:val="006E64A0"/>
    <w:rsid w:val="006E6D85"/>
    <w:rsid w:val="006E7103"/>
    <w:rsid w:val="006E7E55"/>
    <w:rsid w:val="006F08FE"/>
    <w:rsid w:val="006F19EB"/>
    <w:rsid w:val="006F1DCA"/>
    <w:rsid w:val="006F2C7E"/>
    <w:rsid w:val="006F3FA1"/>
    <w:rsid w:val="006F59D3"/>
    <w:rsid w:val="006F5D1B"/>
    <w:rsid w:val="006F6F93"/>
    <w:rsid w:val="0070137B"/>
    <w:rsid w:val="0070259C"/>
    <w:rsid w:val="007029DC"/>
    <w:rsid w:val="00702FA0"/>
    <w:rsid w:val="007033A9"/>
    <w:rsid w:val="00703770"/>
    <w:rsid w:val="00703824"/>
    <w:rsid w:val="00704343"/>
    <w:rsid w:val="0070458C"/>
    <w:rsid w:val="0070503C"/>
    <w:rsid w:val="00705152"/>
    <w:rsid w:val="00706B99"/>
    <w:rsid w:val="0071011B"/>
    <w:rsid w:val="00711FF4"/>
    <w:rsid w:val="0071256A"/>
    <w:rsid w:val="0071400F"/>
    <w:rsid w:val="007146DA"/>
    <w:rsid w:val="007156AF"/>
    <w:rsid w:val="00715D39"/>
    <w:rsid w:val="0071644F"/>
    <w:rsid w:val="00716949"/>
    <w:rsid w:val="00716A46"/>
    <w:rsid w:val="007175D2"/>
    <w:rsid w:val="00720230"/>
    <w:rsid w:val="007213D0"/>
    <w:rsid w:val="007215F9"/>
    <w:rsid w:val="00721F8A"/>
    <w:rsid w:val="00723315"/>
    <w:rsid w:val="00724218"/>
    <w:rsid w:val="007251AE"/>
    <w:rsid w:val="0072589D"/>
    <w:rsid w:val="00726871"/>
    <w:rsid w:val="0073167C"/>
    <w:rsid w:val="00731F3E"/>
    <w:rsid w:val="00731FA2"/>
    <w:rsid w:val="007336F2"/>
    <w:rsid w:val="00733A25"/>
    <w:rsid w:val="00733A5D"/>
    <w:rsid w:val="00735425"/>
    <w:rsid w:val="00736000"/>
    <w:rsid w:val="0073600C"/>
    <w:rsid w:val="00736F0E"/>
    <w:rsid w:val="00737799"/>
    <w:rsid w:val="007378EC"/>
    <w:rsid w:val="00737E65"/>
    <w:rsid w:val="0074030A"/>
    <w:rsid w:val="007409A3"/>
    <w:rsid w:val="007434DA"/>
    <w:rsid w:val="0074467E"/>
    <w:rsid w:val="00744D90"/>
    <w:rsid w:val="00745BB7"/>
    <w:rsid w:val="00746AB0"/>
    <w:rsid w:val="007474A1"/>
    <w:rsid w:val="0074796F"/>
    <w:rsid w:val="00747C71"/>
    <w:rsid w:val="00747C8F"/>
    <w:rsid w:val="007500AF"/>
    <w:rsid w:val="00751625"/>
    <w:rsid w:val="007518A5"/>
    <w:rsid w:val="007523B8"/>
    <w:rsid w:val="0075294D"/>
    <w:rsid w:val="00753230"/>
    <w:rsid w:val="0075376C"/>
    <w:rsid w:val="007540A2"/>
    <w:rsid w:val="007541D1"/>
    <w:rsid w:val="00754C74"/>
    <w:rsid w:val="00755564"/>
    <w:rsid w:val="00755A1C"/>
    <w:rsid w:val="00755E20"/>
    <w:rsid w:val="00756D3E"/>
    <w:rsid w:val="00760CC0"/>
    <w:rsid w:val="00760F95"/>
    <w:rsid w:val="00761373"/>
    <w:rsid w:val="007617C7"/>
    <w:rsid w:val="00762043"/>
    <w:rsid w:val="00762523"/>
    <w:rsid w:val="007633C2"/>
    <w:rsid w:val="007636DC"/>
    <w:rsid w:val="00764D22"/>
    <w:rsid w:val="00765A47"/>
    <w:rsid w:val="00765D65"/>
    <w:rsid w:val="00767A49"/>
    <w:rsid w:val="00770BC1"/>
    <w:rsid w:val="00770E82"/>
    <w:rsid w:val="00770EB5"/>
    <w:rsid w:val="007716F0"/>
    <w:rsid w:val="00771B0D"/>
    <w:rsid w:val="00772032"/>
    <w:rsid w:val="00772488"/>
    <w:rsid w:val="00772A33"/>
    <w:rsid w:val="00772E94"/>
    <w:rsid w:val="007730C3"/>
    <w:rsid w:val="00773F98"/>
    <w:rsid w:val="007740D8"/>
    <w:rsid w:val="00781432"/>
    <w:rsid w:val="0078147E"/>
    <w:rsid w:val="00781AFC"/>
    <w:rsid w:val="00781F96"/>
    <w:rsid w:val="00782AA1"/>
    <w:rsid w:val="00782E7B"/>
    <w:rsid w:val="0078326E"/>
    <w:rsid w:val="00784F40"/>
    <w:rsid w:val="007860B5"/>
    <w:rsid w:val="00786156"/>
    <w:rsid w:val="007862A6"/>
    <w:rsid w:val="00787D1E"/>
    <w:rsid w:val="00790A04"/>
    <w:rsid w:val="00791CD7"/>
    <w:rsid w:val="007924D6"/>
    <w:rsid w:val="00793763"/>
    <w:rsid w:val="00795762"/>
    <w:rsid w:val="00795D7C"/>
    <w:rsid w:val="00795D96"/>
    <w:rsid w:val="007964FE"/>
    <w:rsid w:val="007969F6"/>
    <w:rsid w:val="00796C1F"/>
    <w:rsid w:val="0079735A"/>
    <w:rsid w:val="007A07D9"/>
    <w:rsid w:val="007A0CF3"/>
    <w:rsid w:val="007A1A55"/>
    <w:rsid w:val="007A2360"/>
    <w:rsid w:val="007A240B"/>
    <w:rsid w:val="007A40BF"/>
    <w:rsid w:val="007A68AB"/>
    <w:rsid w:val="007A7456"/>
    <w:rsid w:val="007A7DB4"/>
    <w:rsid w:val="007A7F96"/>
    <w:rsid w:val="007B028B"/>
    <w:rsid w:val="007B0EFF"/>
    <w:rsid w:val="007B1D71"/>
    <w:rsid w:val="007B3DB0"/>
    <w:rsid w:val="007B5134"/>
    <w:rsid w:val="007B54BD"/>
    <w:rsid w:val="007B5769"/>
    <w:rsid w:val="007B6713"/>
    <w:rsid w:val="007B6EF1"/>
    <w:rsid w:val="007B77E5"/>
    <w:rsid w:val="007B7F3F"/>
    <w:rsid w:val="007C00D0"/>
    <w:rsid w:val="007C0221"/>
    <w:rsid w:val="007C1740"/>
    <w:rsid w:val="007C2186"/>
    <w:rsid w:val="007C2869"/>
    <w:rsid w:val="007C2AF7"/>
    <w:rsid w:val="007C405A"/>
    <w:rsid w:val="007C4307"/>
    <w:rsid w:val="007C4403"/>
    <w:rsid w:val="007C46E4"/>
    <w:rsid w:val="007C492A"/>
    <w:rsid w:val="007C5A34"/>
    <w:rsid w:val="007C5F77"/>
    <w:rsid w:val="007C645B"/>
    <w:rsid w:val="007C6C85"/>
    <w:rsid w:val="007C7663"/>
    <w:rsid w:val="007D0638"/>
    <w:rsid w:val="007D0C63"/>
    <w:rsid w:val="007D2063"/>
    <w:rsid w:val="007D289B"/>
    <w:rsid w:val="007D34AD"/>
    <w:rsid w:val="007D3873"/>
    <w:rsid w:val="007D3D7A"/>
    <w:rsid w:val="007D50DA"/>
    <w:rsid w:val="007D5C1F"/>
    <w:rsid w:val="007D639E"/>
    <w:rsid w:val="007D681C"/>
    <w:rsid w:val="007D7C61"/>
    <w:rsid w:val="007D7C6A"/>
    <w:rsid w:val="007E03CB"/>
    <w:rsid w:val="007E04C8"/>
    <w:rsid w:val="007E156B"/>
    <w:rsid w:val="007E170C"/>
    <w:rsid w:val="007E2236"/>
    <w:rsid w:val="007E44FD"/>
    <w:rsid w:val="007E62EA"/>
    <w:rsid w:val="007E6A25"/>
    <w:rsid w:val="007E77BC"/>
    <w:rsid w:val="007F0599"/>
    <w:rsid w:val="007F1A9E"/>
    <w:rsid w:val="007F1C54"/>
    <w:rsid w:val="007F2233"/>
    <w:rsid w:val="007F6885"/>
    <w:rsid w:val="007F71BF"/>
    <w:rsid w:val="007F752D"/>
    <w:rsid w:val="008005D2"/>
    <w:rsid w:val="00800BA3"/>
    <w:rsid w:val="00801E71"/>
    <w:rsid w:val="00801FDD"/>
    <w:rsid w:val="00806606"/>
    <w:rsid w:val="0080694B"/>
    <w:rsid w:val="00806BF6"/>
    <w:rsid w:val="008108BE"/>
    <w:rsid w:val="00810C53"/>
    <w:rsid w:val="0081109E"/>
    <w:rsid w:val="00811362"/>
    <w:rsid w:val="00814B4C"/>
    <w:rsid w:val="00816353"/>
    <w:rsid w:val="00816581"/>
    <w:rsid w:val="0081779C"/>
    <w:rsid w:val="00817D74"/>
    <w:rsid w:val="00820C8B"/>
    <w:rsid w:val="00820E28"/>
    <w:rsid w:val="008224E0"/>
    <w:rsid w:val="008229AB"/>
    <w:rsid w:val="00822C62"/>
    <w:rsid w:val="0082413B"/>
    <w:rsid w:val="00824EAA"/>
    <w:rsid w:val="0082555B"/>
    <w:rsid w:val="00826F32"/>
    <w:rsid w:val="008303AF"/>
    <w:rsid w:val="008307A0"/>
    <w:rsid w:val="00831BF4"/>
    <w:rsid w:val="00831D0D"/>
    <w:rsid w:val="00832DEE"/>
    <w:rsid w:val="00832F3E"/>
    <w:rsid w:val="00833026"/>
    <w:rsid w:val="008330CB"/>
    <w:rsid w:val="008330F4"/>
    <w:rsid w:val="0083376D"/>
    <w:rsid w:val="008337DF"/>
    <w:rsid w:val="00833836"/>
    <w:rsid w:val="00833B4E"/>
    <w:rsid w:val="008352A5"/>
    <w:rsid w:val="0084327A"/>
    <w:rsid w:val="008447D4"/>
    <w:rsid w:val="00845D67"/>
    <w:rsid w:val="008460D1"/>
    <w:rsid w:val="00847313"/>
    <w:rsid w:val="00847895"/>
    <w:rsid w:val="00850088"/>
    <w:rsid w:val="00850ECB"/>
    <w:rsid w:val="00851374"/>
    <w:rsid w:val="00853436"/>
    <w:rsid w:val="00853FF7"/>
    <w:rsid w:val="008549FF"/>
    <w:rsid w:val="00854B9D"/>
    <w:rsid w:val="00855A8A"/>
    <w:rsid w:val="008562D1"/>
    <w:rsid w:val="0085698C"/>
    <w:rsid w:val="008605A8"/>
    <w:rsid w:val="008613C8"/>
    <w:rsid w:val="0086208D"/>
    <w:rsid w:val="00863D9C"/>
    <w:rsid w:val="00865000"/>
    <w:rsid w:val="00865B7B"/>
    <w:rsid w:val="008660E8"/>
    <w:rsid w:val="00866B23"/>
    <w:rsid w:val="00867540"/>
    <w:rsid w:val="0087085F"/>
    <w:rsid w:val="00871260"/>
    <w:rsid w:val="00872795"/>
    <w:rsid w:val="008731B9"/>
    <w:rsid w:val="00873394"/>
    <w:rsid w:val="008741F9"/>
    <w:rsid w:val="0087491A"/>
    <w:rsid w:val="00874EEE"/>
    <w:rsid w:val="00874F50"/>
    <w:rsid w:val="0087533C"/>
    <w:rsid w:val="00875E26"/>
    <w:rsid w:val="00875FF7"/>
    <w:rsid w:val="00876E40"/>
    <w:rsid w:val="008775EA"/>
    <w:rsid w:val="00880042"/>
    <w:rsid w:val="008802B5"/>
    <w:rsid w:val="00882528"/>
    <w:rsid w:val="00882ADD"/>
    <w:rsid w:val="00882DD5"/>
    <w:rsid w:val="00882E2D"/>
    <w:rsid w:val="0088359C"/>
    <w:rsid w:val="008840FC"/>
    <w:rsid w:val="008845F3"/>
    <w:rsid w:val="0088576F"/>
    <w:rsid w:val="00885CB9"/>
    <w:rsid w:val="00885CE9"/>
    <w:rsid w:val="00886992"/>
    <w:rsid w:val="00887310"/>
    <w:rsid w:val="00887F99"/>
    <w:rsid w:val="008907C6"/>
    <w:rsid w:val="00890E83"/>
    <w:rsid w:val="008916CC"/>
    <w:rsid w:val="0089255A"/>
    <w:rsid w:val="00893969"/>
    <w:rsid w:val="00893BA6"/>
    <w:rsid w:val="00894BCE"/>
    <w:rsid w:val="00895F7B"/>
    <w:rsid w:val="00897907"/>
    <w:rsid w:val="008A0A36"/>
    <w:rsid w:val="008A0A46"/>
    <w:rsid w:val="008A178C"/>
    <w:rsid w:val="008A1B4F"/>
    <w:rsid w:val="008A1D32"/>
    <w:rsid w:val="008A26C8"/>
    <w:rsid w:val="008A2EC5"/>
    <w:rsid w:val="008A2FDA"/>
    <w:rsid w:val="008A40A7"/>
    <w:rsid w:val="008A42A6"/>
    <w:rsid w:val="008A4896"/>
    <w:rsid w:val="008A4AA6"/>
    <w:rsid w:val="008A7976"/>
    <w:rsid w:val="008B01D9"/>
    <w:rsid w:val="008B020E"/>
    <w:rsid w:val="008B0509"/>
    <w:rsid w:val="008B2194"/>
    <w:rsid w:val="008B33D6"/>
    <w:rsid w:val="008B38ED"/>
    <w:rsid w:val="008B5A6A"/>
    <w:rsid w:val="008B77F5"/>
    <w:rsid w:val="008B7A08"/>
    <w:rsid w:val="008C0279"/>
    <w:rsid w:val="008C0DC0"/>
    <w:rsid w:val="008C10F0"/>
    <w:rsid w:val="008C2238"/>
    <w:rsid w:val="008C3829"/>
    <w:rsid w:val="008C3C1C"/>
    <w:rsid w:val="008C4A0F"/>
    <w:rsid w:val="008C4DCB"/>
    <w:rsid w:val="008C4ECA"/>
    <w:rsid w:val="008C58E4"/>
    <w:rsid w:val="008C5C79"/>
    <w:rsid w:val="008C70C2"/>
    <w:rsid w:val="008C73C6"/>
    <w:rsid w:val="008C7F68"/>
    <w:rsid w:val="008D0283"/>
    <w:rsid w:val="008D0A88"/>
    <w:rsid w:val="008D1AF8"/>
    <w:rsid w:val="008D2317"/>
    <w:rsid w:val="008D23D6"/>
    <w:rsid w:val="008D2F94"/>
    <w:rsid w:val="008D40F3"/>
    <w:rsid w:val="008D45EF"/>
    <w:rsid w:val="008D7AEF"/>
    <w:rsid w:val="008E09C9"/>
    <w:rsid w:val="008E1D46"/>
    <w:rsid w:val="008E2320"/>
    <w:rsid w:val="008E3514"/>
    <w:rsid w:val="008E380C"/>
    <w:rsid w:val="008E3CCA"/>
    <w:rsid w:val="008E4294"/>
    <w:rsid w:val="008E4394"/>
    <w:rsid w:val="008E468C"/>
    <w:rsid w:val="008E5501"/>
    <w:rsid w:val="008E59F3"/>
    <w:rsid w:val="008E5DEE"/>
    <w:rsid w:val="008E621E"/>
    <w:rsid w:val="008E63BA"/>
    <w:rsid w:val="008E64F1"/>
    <w:rsid w:val="008E7392"/>
    <w:rsid w:val="008F12C0"/>
    <w:rsid w:val="008F25D2"/>
    <w:rsid w:val="008F2FFF"/>
    <w:rsid w:val="008F4423"/>
    <w:rsid w:val="008F49F0"/>
    <w:rsid w:val="008F4DF2"/>
    <w:rsid w:val="008F50EC"/>
    <w:rsid w:val="008F6716"/>
    <w:rsid w:val="008F6AF2"/>
    <w:rsid w:val="008F7016"/>
    <w:rsid w:val="008F79B8"/>
    <w:rsid w:val="008F7CF3"/>
    <w:rsid w:val="00900016"/>
    <w:rsid w:val="00900111"/>
    <w:rsid w:val="0090052E"/>
    <w:rsid w:val="00900ECB"/>
    <w:rsid w:val="009011CB"/>
    <w:rsid w:val="009014EE"/>
    <w:rsid w:val="00901F41"/>
    <w:rsid w:val="00903728"/>
    <w:rsid w:val="00903D09"/>
    <w:rsid w:val="00903E74"/>
    <w:rsid w:val="00904BEC"/>
    <w:rsid w:val="00904EDE"/>
    <w:rsid w:val="0090503F"/>
    <w:rsid w:val="0090546A"/>
    <w:rsid w:val="0090626D"/>
    <w:rsid w:val="00906FE9"/>
    <w:rsid w:val="009101A1"/>
    <w:rsid w:val="00911DF4"/>
    <w:rsid w:val="009120F3"/>
    <w:rsid w:val="009134B8"/>
    <w:rsid w:val="00913690"/>
    <w:rsid w:val="009148C6"/>
    <w:rsid w:val="00914CC6"/>
    <w:rsid w:val="00914F24"/>
    <w:rsid w:val="00915144"/>
    <w:rsid w:val="009151B9"/>
    <w:rsid w:val="00917167"/>
    <w:rsid w:val="009174B0"/>
    <w:rsid w:val="009205D7"/>
    <w:rsid w:val="009206D2"/>
    <w:rsid w:val="00920B07"/>
    <w:rsid w:val="009214DA"/>
    <w:rsid w:val="009220D7"/>
    <w:rsid w:val="00922303"/>
    <w:rsid w:val="00922797"/>
    <w:rsid w:val="00923609"/>
    <w:rsid w:val="0092555D"/>
    <w:rsid w:val="0092732A"/>
    <w:rsid w:val="0092751F"/>
    <w:rsid w:val="009275C6"/>
    <w:rsid w:val="009276F7"/>
    <w:rsid w:val="00927D96"/>
    <w:rsid w:val="00932067"/>
    <w:rsid w:val="009327C0"/>
    <w:rsid w:val="00932AD1"/>
    <w:rsid w:val="00934445"/>
    <w:rsid w:val="00934954"/>
    <w:rsid w:val="00934E13"/>
    <w:rsid w:val="00934E35"/>
    <w:rsid w:val="00934F18"/>
    <w:rsid w:val="009357BD"/>
    <w:rsid w:val="0093594A"/>
    <w:rsid w:val="00937A43"/>
    <w:rsid w:val="00937A8B"/>
    <w:rsid w:val="00937E49"/>
    <w:rsid w:val="009420A7"/>
    <w:rsid w:val="00943A42"/>
    <w:rsid w:val="00943B8A"/>
    <w:rsid w:val="00943D4B"/>
    <w:rsid w:val="00944859"/>
    <w:rsid w:val="00945992"/>
    <w:rsid w:val="00950AD6"/>
    <w:rsid w:val="00952417"/>
    <w:rsid w:val="00952BF1"/>
    <w:rsid w:val="00953309"/>
    <w:rsid w:val="00953367"/>
    <w:rsid w:val="009556C3"/>
    <w:rsid w:val="00955C8A"/>
    <w:rsid w:val="00955D73"/>
    <w:rsid w:val="009563FD"/>
    <w:rsid w:val="009565AA"/>
    <w:rsid w:val="00957740"/>
    <w:rsid w:val="00960AF9"/>
    <w:rsid w:val="00960BB4"/>
    <w:rsid w:val="0096199C"/>
    <w:rsid w:val="00961EFD"/>
    <w:rsid w:val="009634A1"/>
    <w:rsid w:val="00963D64"/>
    <w:rsid w:val="00964278"/>
    <w:rsid w:val="0096512C"/>
    <w:rsid w:val="0096529E"/>
    <w:rsid w:val="0096540A"/>
    <w:rsid w:val="00965678"/>
    <w:rsid w:val="00965B07"/>
    <w:rsid w:val="00966C4F"/>
    <w:rsid w:val="00966DAC"/>
    <w:rsid w:val="00967FC5"/>
    <w:rsid w:val="009709BD"/>
    <w:rsid w:val="00971718"/>
    <w:rsid w:val="00972954"/>
    <w:rsid w:val="009730B6"/>
    <w:rsid w:val="009775E8"/>
    <w:rsid w:val="0098180A"/>
    <w:rsid w:val="00981871"/>
    <w:rsid w:val="00981B42"/>
    <w:rsid w:val="00982015"/>
    <w:rsid w:val="0098396B"/>
    <w:rsid w:val="00984107"/>
    <w:rsid w:val="0098624C"/>
    <w:rsid w:val="00986327"/>
    <w:rsid w:val="00990662"/>
    <w:rsid w:val="00992E9B"/>
    <w:rsid w:val="00993218"/>
    <w:rsid w:val="009951A3"/>
    <w:rsid w:val="00995F81"/>
    <w:rsid w:val="009965FC"/>
    <w:rsid w:val="009969AE"/>
    <w:rsid w:val="00996EFA"/>
    <w:rsid w:val="00997123"/>
    <w:rsid w:val="009A116F"/>
    <w:rsid w:val="009A123C"/>
    <w:rsid w:val="009A1E7B"/>
    <w:rsid w:val="009A25F0"/>
    <w:rsid w:val="009A2C4C"/>
    <w:rsid w:val="009A3078"/>
    <w:rsid w:val="009A3C51"/>
    <w:rsid w:val="009A3C6C"/>
    <w:rsid w:val="009A568A"/>
    <w:rsid w:val="009A5CF0"/>
    <w:rsid w:val="009A7853"/>
    <w:rsid w:val="009A7C33"/>
    <w:rsid w:val="009B0FB6"/>
    <w:rsid w:val="009B2807"/>
    <w:rsid w:val="009B3E30"/>
    <w:rsid w:val="009B4CC0"/>
    <w:rsid w:val="009B788A"/>
    <w:rsid w:val="009C03CC"/>
    <w:rsid w:val="009C1421"/>
    <w:rsid w:val="009C2100"/>
    <w:rsid w:val="009C38FB"/>
    <w:rsid w:val="009C467F"/>
    <w:rsid w:val="009C5D2A"/>
    <w:rsid w:val="009C5F59"/>
    <w:rsid w:val="009C62F9"/>
    <w:rsid w:val="009C6646"/>
    <w:rsid w:val="009C75B7"/>
    <w:rsid w:val="009C780E"/>
    <w:rsid w:val="009D1D78"/>
    <w:rsid w:val="009D3391"/>
    <w:rsid w:val="009D4221"/>
    <w:rsid w:val="009D5C59"/>
    <w:rsid w:val="009D665E"/>
    <w:rsid w:val="009D7893"/>
    <w:rsid w:val="009D78CC"/>
    <w:rsid w:val="009D798A"/>
    <w:rsid w:val="009D7B27"/>
    <w:rsid w:val="009D7D38"/>
    <w:rsid w:val="009E0464"/>
    <w:rsid w:val="009E06AA"/>
    <w:rsid w:val="009E0DA4"/>
    <w:rsid w:val="009E1F36"/>
    <w:rsid w:val="009E40A3"/>
    <w:rsid w:val="009E4901"/>
    <w:rsid w:val="009E4AC7"/>
    <w:rsid w:val="009E58B1"/>
    <w:rsid w:val="009F04EE"/>
    <w:rsid w:val="009F0FA8"/>
    <w:rsid w:val="009F1EA1"/>
    <w:rsid w:val="009F219F"/>
    <w:rsid w:val="009F3601"/>
    <w:rsid w:val="009F49B5"/>
    <w:rsid w:val="009F6E97"/>
    <w:rsid w:val="009F7434"/>
    <w:rsid w:val="00A001D4"/>
    <w:rsid w:val="00A00BF0"/>
    <w:rsid w:val="00A011A9"/>
    <w:rsid w:val="00A0129A"/>
    <w:rsid w:val="00A01BF9"/>
    <w:rsid w:val="00A0298A"/>
    <w:rsid w:val="00A02C86"/>
    <w:rsid w:val="00A0487D"/>
    <w:rsid w:val="00A0535D"/>
    <w:rsid w:val="00A05DC2"/>
    <w:rsid w:val="00A06065"/>
    <w:rsid w:val="00A06700"/>
    <w:rsid w:val="00A1024B"/>
    <w:rsid w:val="00A10941"/>
    <w:rsid w:val="00A11148"/>
    <w:rsid w:val="00A122A7"/>
    <w:rsid w:val="00A12B57"/>
    <w:rsid w:val="00A14723"/>
    <w:rsid w:val="00A148EF"/>
    <w:rsid w:val="00A14D1A"/>
    <w:rsid w:val="00A15363"/>
    <w:rsid w:val="00A15F88"/>
    <w:rsid w:val="00A16146"/>
    <w:rsid w:val="00A175FB"/>
    <w:rsid w:val="00A17C12"/>
    <w:rsid w:val="00A21C56"/>
    <w:rsid w:val="00A222C6"/>
    <w:rsid w:val="00A24605"/>
    <w:rsid w:val="00A26805"/>
    <w:rsid w:val="00A26859"/>
    <w:rsid w:val="00A26B1B"/>
    <w:rsid w:val="00A31D06"/>
    <w:rsid w:val="00A331E7"/>
    <w:rsid w:val="00A34169"/>
    <w:rsid w:val="00A34FDB"/>
    <w:rsid w:val="00A35FF4"/>
    <w:rsid w:val="00A360EE"/>
    <w:rsid w:val="00A403C0"/>
    <w:rsid w:val="00A407EA"/>
    <w:rsid w:val="00A41B80"/>
    <w:rsid w:val="00A41C3C"/>
    <w:rsid w:val="00A4233D"/>
    <w:rsid w:val="00A430C1"/>
    <w:rsid w:val="00A43357"/>
    <w:rsid w:val="00A43853"/>
    <w:rsid w:val="00A43DFA"/>
    <w:rsid w:val="00A44CBA"/>
    <w:rsid w:val="00A450B9"/>
    <w:rsid w:val="00A457BF"/>
    <w:rsid w:val="00A45A09"/>
    <w:rsid w:val="00A45F70"/>
    <w:rsid w:val="00A47074"/>
    <w:rsid w:val="00A475BB"/>
    <w:rsid w:val="00A47F10"/>
    <w:rsid w:val="00A515BD"/>
    <w:rsid w:val="00A51CF7"/>
    <w:rsid w:val="00A52B62"/>
    <w:rsid w:val="00A53C49"/>
    <w:rsid w:val="00A53D00"/>
    <w:rsid w:val="00A54002"/>
    <w:rsid w:val="00A5418A"/>
    <w:rsid w:val="00A549C3"/>
    <w:rsid w:val="00A553CC"/>
    <w:rsid w:val="00A557B3"/>
    <w:rsid w:val="00A5587D"/>
    <w:rsid w:val="00A5619B"/>
    <w:rsid w:val="00A56507"/>
    <w:rsid w:val="00A56DC4"/>
    <w:rsid w:val="00A56EF6"/>
    <w:rsid w:val="00A57C31"/>
    <w:rsid w:val="00A57D3D"/>
    <w:rsid w:val="00A57DDA"/>
    <w:rsid w:val="00A61B74"/>
    <w:rsid w:val="00A61F72"/>
    <w:rsid w:val="00A62125"/>
    <w:rsid w:val="00A62180"/>
    <w:rsid w:val="00A62D8C"/>
    <w:rsid w:val="00A63A52"/>
    <w:rsid w:val="00A63B30"/>
    <w:rsid w:val="00A64C68"/>
    <w:rsid w:val="00A65606"/>
    <w:rsid w:val="00A660AC"/>
    <w:rsid w:val="00A66A0F"/>
    <w:rsid w:val="00A66E42"/>
    <w:rsid w:val="00A67C51"/>
    <w:rsid w:val="00A67D22"/>
    <w:rsid w:val="00A7003E"/>
    <w:rsid w:val="00A700A9"/>
    <w:rsid w:val="00A7092B"/>
    <w:rsid w:val="00A70F6E"/>
    <w:rsid w:val="00A7126F"/>
    <w:rsid w:val="00A730A6"/>
    <w:rsid w:val="00A73CE8"/>
    <w:rsid w:val="00A749EF"/>
    <w:rsid w:val="00A7626A"/>
    <w:rsid w:val="00A7729E"/>
    <w:rsid w:val="00A801D2"/>
    <w:rsid w:val="00A80A55"/>
    <w:rsid w:val="00A80DA9"/>
    <w:rsid w:val="00A82473"/>
    <w:rsid w:val="00A83980"/>
    <w:rsid w:val="00A84EF0"/>
    <w:rsid w:val="00A85159"/>
    <w:rsid w:val="00A858D3"/>
    <w:rsid w:val="00A8768A"/>
    <w:rsid w:val="00A877A0"/>
    <w:rsid w:val="00A87EE1"/>
    <w:rsid w:val="00A90B03"/>
    <w:rsid w:val="00A91795"/>
    <w:rsid w:val="00A9365B"/>
    <w:rsid w:val="00A93BD4"/>
    <w:rsid w:val="00A93FA2"/>
    <w:rsid w:val="00A94CF0"/>
    <w:rsid w:val="00A94F8A"/>
    <w:rsid w:val="00A9732E"/>
    <w:rsid w:val="00AA02ED"/>
    <w:rsid w:val="00AA0E48"/>
    <w:rsid w:val="00AA15D7"/>
    <w:rsid w:val="00AA239D"/>
    <w:rsid w:val="00AA4B58"/>
    <w:rsid w:val="00AA5C92"/>
    <w:rsid w:val="00AA71D5"/>
    <w:rsid w:val="00AB0026"/>
    <w:rsid w:val="00AB0700"/>
    <w:rsid w:val="00AB10A8"/>
    <w:rsid w:val="00AB1918"/>
    <w:rsid w:val="00AB214E"/>
    <w:rsid w:val="00AB244C"/>
    <w:rsid w:val="00AB269B"/>
    <w:rsid w:val="00AB2710"/>
    <w:rsid w:val="00AB3546"/>
    <w:rsid w:val="00AB557C"/>
    <w:rsid w:val="00AB670C"/>
    <w:rsid w:val="00AB763D"/>
    <w:rsid w:val="00AB7662"/>
    <w:rsid w:val="00AB798D"/>
    <w:rsid w:val="00AC0752"/>
    <w:rsid w:val="00AC1147"/>
    <w:rsid w:val="00AC2AB4"/>
    <w:rsid w:val="00AC53E4"/>
    <w:rsid w:val="00AC5477"/>
    <w:rsid w:val="00AC725B"/>
    <w:rsid w:val="00AC79E6"/>
    <w:rsid w:val="00AD049A"/>
    <w:rsid w:val="00AD0FEF"/>
    <w:rsid w:val="00AD184B"/>
    <w:rsid w:val="00AD187C"/>
    <w:rsid w:val="00AD272A"/>
    <w:rsid w:val="00AD3840"/>
    <w:rsid w:val="00AD44C8"/>
    <w:rsid w:val="00AD5F8E"/>
    <w:rsid w:val="00AD61A3"/>
    <w:rsid w:val="00AD6720"/>
    <w:rsid w:val="00AD6C8A"/>
    <w:rsid w:val="00AE027A"/>
    <w:rsid w:val="00AE0C31"/>
    <w:rsid w:val="00AE14CB"/>
    <w:rsid w:val="00AE1939"/>
    <w:rsid w:val="00AE2944"/>
    <w:rsid w:val="00AE2A42"/>
    <w:rsid w:val="00AE34FA"/>
    <w:rsid w:val="00AE4514"/>
    <w:rsid w:val="00AE4B0C"/>
    <w:rsid w:val="00AE5344"/>
    <w:rsid w:val="00AE7040"/>
    <w:rsid w:val="00AF1F4D"/>
    <w:rsid w:val="00AF3172"/>
    <w:rsid w:val="00AF35C9"/>
    <w:rsid w:val="00AF393B"/>
    <w:rsid w:val="00AF4F19"/>
    <w:rsid w:val="00AF5F99"/>
    <w:rsid w:val="00AF6CF7"/>
    <w:rsid w:val="00AF7327"/>
    <w:rsid w:val="00AF7D42"/>
    <w:rsid w:val="00AF7F38"/>
    <w:rsid w:val="00B007F0"/>
    <w:rsid w:val="00B00835"/>
    <w:rsid w:val="00B01DAF"/>
    <w:rsid w:val="00B03D2F"/>
    <w:rsid w:val="00B0566D"/>
    <w:rsid w:val="00B057C0"/>
    <w:rsid w:val="00B06CD8"/>
    <w:rsid w:val="00B0713A"/>
    <w:rsid w:val="00B074B9"/>
    <w:rsid w:val="00B07C06"/>
    <w:rsid w:val="00B1013F"/>
    <w:rsid w:val="00B10BD6"/>
    <w:rsid w:val="00B110CC"/>
    <w:rsid w:val="00B11F53"/>
    <w:rsid w:val="00B12805"/>
    <w:rsid w:val="00B133B9"/>
    <w:rsid w:val="00B1562C"/>
    <w:rsid w:val="00B15DB1"/>
    <w:rsid w:val="00B16055"/>
    <w:rsid w:val="00B16E56"/>
    <w:rsid w:val="00B16F95"/>
    <w:rsid w:val="00B20897"/>
    <w:rsid w:val="00B2120D"/>
    <w:rsid w:val="00B21405"/>
    <w:rsid w:val="00B21CBB"/>
    <w:rsid w:val="00B2444E"/>
    <w:rsid w:val="00B2481A"/>
    <w:rsid w:val="00B24CE1"/>
    <w:rsid w:val="00B26855"/>
    <w:rsid w:val="00B26B59"/>
    <w:rsid w:val="00B26F8B"/>
    <w:rsid w:val="00B30811"/>
    <w:rsid w:val="00B30D99"/>
    <w:rsid w:val="00B316D0"/>
    <w:rsid w:val="00B31A56"/>
    <w:rsid w:val="00B31E10"/>
    <w:rsid w:val="00B31EAA"/>
    <w:rsid w:val="00B31F0F"/>
    <w:rsid w:val="00B32B09"/>
    <w:rsid w:val="00B32B5E"/>
    <w:rsid w:val="00B33DEC"/>
    <w:rsid w:val="00B3448B"/>
    <w:rsid w:val="00B34943"/>
    <w:rsid w:val="00B35A11"/>
    <w:rsid w:val="00B35BD9"/>
    <w:rsid w:val="00B35D4D"/>
    <w:rsid w:val="00B36D58"/>
    <w:rsid w:val="00B37B00"/>
    <w:rsid w:val="00B37C94"/>
    <w:rsid w:val="00B37DE8"/>
    <w:rsid w:val="00B40B20"/>
    <w:rsid w:val="00B41DDB"/>
    <w:rsid w:val="00B433AA"/>
    <w:rsid w:val="00B43F64"/>
    <w:rsid w:val="00B442A5"/>
    <w:rsid w:val="00B448CD"/>
    <w:rsid w:val="00B44BA5"/>
    <w:rsid w:val="00B47750"/>
    <w:rsid w:val="00B53183"/>
    <w:rsid w:val="00B55A78"/>
    <w:rsid w:val="00B55F24"/>
    <w:rsid w:val="00B5734F"/>
    <w:rsid w:val="00B57CEC"/>
    <w:rsid w:val="00B6105E"/>
    <w:rsid w:val="00B6138A"/>
    <w:rsid w:val="00B61835"/>
    <w:rsid w:val="00B6187C"/>
    <w:rsid w:val="00B62E3F"/>
    <w:rsid w:val="00B6339F"/>
    <w:rsid w:val="00B634B0"/>
    <w:rsid w:val="00B63633"/>
    <w:rsid w:val="00B64032"/>
    <w:rsid w:val="00B64E99"/>
    <w:rsid w:val="00B654F6"/>
    <w:rsid w:val="00B67F9E"/>
    <w:rsid w:val="00B702CC"/>
    <w:rsid w:val="00B71C61"/>
    <w:rsid w:val="00B72B75"/>
    <w:rsid w:val="00B73CD6"/>
    <w:rsid w:val="00B73D2D"/>
    <w:rsid w:val="00B7410D"/>
    <w:rsid w:val="00B75276"/>
    <w:rsid w:val="00B770E3"/>
    <w:rsid w:val="00B77757"/>
    <w:rsid w:val="00B77B1C"/>
    <w:rsid w:val="00B80566"/>
    <w:rsid w:val="00B806A1"/>
    <w:rsid w:val="00B8286F"/>
    <w:rsid w:val="00B8467D"/>
    <w:rsid w:val="00B84B66"/>
    <w:rsid w:val="00B85306"/>
    <w:rsid w:val="00B8540D"/>
    <w:rsid w:val="00B85609"/>
    <w:rsid w:val="00B870DE"/>
    <w:rsid w:val="00B8752B"/>
    <w:rsid w:val="00B9054D"/>
    <w:rsid w:val="00B911D6"/>
    <w:rsid w:val="00B911F3"/>
    <w:rsid w:val="00B921FF"/>
    <w:rsid w:val="00B928E7"/>
    <w:rsid w:val="00B93180"/>
    <w:rsid w:val="00B93BC4"/>
    <w:rsid w:val="00B93D20"/>
    <w:rsid w:val="00B95F90"/>
    <w:rsid w:val="00B966BA"/>
    <w:rsid w:val="00B9708C"/>
    <w:rsid w:val="00BA047C"/>
    <w:rsid w:val="00BA0AEE"/>
    <w:rsid w:val="00BA0D88"/>
    <w:rsid w:val="00BA1BDF"/>
    <w:rsid w:val="00BA288A"/>
    <w:rsid w:val="00BA544F"/>
    <w:rsid w:val="00BA5F7E"/>
    <w:rsid w:val="00BA63E6"/>
    <w:rsid w:val="00BA7DBA"/>
    <w:rsid w:val="00BB0331"/>
    <w:rsid w:val="00BB1BE4"/>
    <w:rsid w:val="00BB3235"/>
    <w:rsid w:val="00BB3451"/>
    <w:rsid w:val="00BB3DF0"/>
    <w:rsid w:val="00BB3ED2"/>
    <w:rsid w:val="00BB44B2"/>
    <w:rsid w:val="00BB59B2"/>
    <w:rsid w:val="00BB59D3"/>
    <w:rsid w:val="00BB61D7"/>
    <w:rsid w:val="00BB6EC1"/>
    <w:rsid w:val="00BB6FBB"/>
    <w:rsid w:val="00BC015A"/>
    <w:rsid w:val="00BC0AAC"/>
    <w:rsid w:val="00BC0FD7"/>
    <w:rsid w:val="00BC1065"/>
    <w:rsid w:val="00BC1066"/>
    <w:rsid w:val="00BC14DF"/>
    <w:rsid w:val="00BC18F3"/>
    <w:rsid w:val="00BC28FB"/>
    <w:rsid w:val="00BC3F50"/>
    <w:rsid w:val="00BC43B5"/>
    <w:rsid w:val="00BC4A7F"/>
    <w:rsid w:val="00BC6850"/>
    <w:rsid w:val="00BC7909"/>
    <w:rsid w:val="00BC7E76"/>
    <w:rsid w:val="00BD0E07"/>
    <w:rsid w:val="00BD0F60"/>
    <w:rsid w:val="00BD25EE"/>
    <w:rsid w:val="00BD283F"/>
    <w:rsid w:val="00BD450D"/>
    <w:rsid w:val="00BD450F"/>
    <w:rsid w:val="00BD5558"/>
    <w:rsid w:val="00BD6AAF"/>
    <w:rsid w:val="00BD7040"/>
    <w:rsid w:val="00BE075B"/>
    <w:rsid w:val="00BE2193"/>
    <w:rsid w:val="00BE240C"/>
    <w:rsid w:val="00BE2596"/>
    <w:rsid w:val="00BE2857"/>
    <w:rsid w:val="00BE2924"/>
    <w:rsid w:val="00BE305D"/>
    <w:rsid w:val="00BE34A9"/>
    <w:rsid w:val="00BE52D0"/>
    <w:rsid w:val="00BE6A3E"/>
    <w:rsid w:val="00BE72B8"/>
    <w:rsid w:val="00BF12F6"/>
    <w:rsid w:val="00BF17BF"/>
    <w:rsid w:val="00BF299B"/>
    <w:rsid w:val="00BF2A76"/>
    <w:rsid w:val="00BF2F7A"/>
    <w:rsid w:val="00BF3026"/>
    <w:rsid w:val="00BF3338"/>
    <w:rsid w:val="00BF34F8"/>
    <w:rsid w:val="00BF3782"/>
    <w:rsid w:val="00BF393D"/>
    <w:rsid w:val="00BF4887"/>
    <w:rsid w:val="00BF493F"/>
    <w:rsid w:val="00BF4E03"/>
    <w:rsid w:val="00BF4E79"/>
    <w:rsid w:val="00BF5045"/>
    <w:rsid w:val="00BF5487"/>
    <w:rsid w:val="00BF5BCC"/>
    <w:rsid w:val="00BF5F5F"/>
    <w:rsid w:val="00BF6523"/>
    <w:rsid w:val="00BF6C32"/>
    <w:rsid w:val="00BF7F52"/>
    <w:rsid w:val="00C00370"/>
    <w:rsid w:val="00C00765"/>
    <w:rsid w:val="00C00E9A"/>
    <w:rsid w:val="00C02029"/>
    <w:rsid w:val="00C022B0"/>
    <w:rsid w:val="00C03791"/>
    <w:rsid w:val="00C0384D"/>
    <w:rsid w:val="00C04AA4"/>
    <w:rsid w:val="00C05136"/>
    <w:rsid w:val="00C06A7B"/>
    <w:rsid w:val="00C071F3"/>
    <w:rsid w:val="00C10464"/>
    <w:rsid w:val="00C1112E"/>
    <w:rsid w:val="00C11716"/>
    <w:rsid w:val="00C119C2"/>
    <w:rsid w:val="00C11B1E"/>
    <w:rsid w:val="00C12285"/>
    <w:rsid w:val="00C123A2"/>
    <w:rsid w:val="00C128C2"/>
    <w:rsid w:val="00C141C3"/>
    <w:rsid w:val="00C14B1B"/>
    <w:rsid w:val="00C15A7C"/>
    <w:rsid w:val="00C15E48"/>
    <w:rsid w:val="00C1674C"/>
    <w:rsid w:val="00C16C7F"/>
    <w:rsid w:val="00C175BC"/>
    <w:rsid w:val="00C206A0"/>
    <w:rsid w:val="00C21B54"/>
    <w:rsid w:val="00C2444D"/>
    <w:rsid w:val="00C25B04"/>
    <w:rsid w:val="00C25C30"/>
    <w:rsid w:val="00C2622B"/>
    <w:rsid w:val="00C26331"/>
    <w:rsid w:val="00C26640"/>
    <w:rsid w:val="00C26905"/>
    <w:rsid w:val="00C27468"/>
    <w:rsid w:val="00C27C89"/>
    <w:rsid w:val="00C30EFF"/>
    <w:rsid w:val="00C320CE"/>
    <w:rsid w:val="00C32BA6"/>
    <w:rsid w:val="00C32E77"/>
    <w:rsid w:val="00C3312C"/>
    <w:rsid w:val="00C33354"/>
    <w:rsid w:val="00C3337F"/>
    <w:rsid w:val="00C3347F"/>
    <w:rsid w:val="00C33995"/>
    <w:rsid w:val="00C33AC7"/>
    <w:rsid w:val="00C3440D"/>
    <w:rsid w:val="00C359BB"/>
    <w:rsid w:val="00C36378"/>
    <w:rsid w:val="00C40967"/>
    <w:rsid w:val="00C4164D"/>
    <w:rsid w:val="00C4212A"/>
    <w:rsid w:val="00C42C64"/>
    <w:rsid w:val="00C44224"/>
    <w:rsid w:val="00C44B5B"/>
    <w:rsid w:val="00C45565"/>
    <w:rsid w:val="00C45E8D"/>
    <w:rsid w:val="00C47BB9"/>
    <w:rsid w:val="00C50D0B"/>
    <w:rsid w:val="00C50FD6"/>
    <w:rsid w:val="00C51881"/>
    <w:rsid w:val="00C52237"/>
    <w:rsid w:val="00C526AD"/>
    <w:rsid w:val="00C52A1D"/>
    <w:rsid w:val="00C52C2E"/>
    <w:rsid w:val="00C55B9C"/>
    <w:rsid w:val="00C56747"/>
    <w:rsid w:val="00C5766E"/>
    <w:rsid w:val="00C600E2"/>
    <w:rsid w:val="00C60B54"/>
    <w:rsid w:val="00C62B02"/>
    <w:rsid w:val="00C62F46"/>
    <w:rsid w:val="00C635A3"/>
    <w:rsid w:val="00C639B7"/>
    <w:rsid w:val="00C63D43"/>
    <w:rsid w:val="00C643EB"/>
    <w:rsid w:val="00C64A32"/>
    <w:rsid w:val="00C652C8"/>
    <w:rsid w:val="00C65728"/>
    <w:rsid w:val="00C65A50"/>
    <w:rsid w:val="00C65B1A"/>
    <w:rsid w:val="00C7047D"/>
    <w:rsid w:val="00C7065A"/>
    <w:rsid w:val="00C70A4E"/>
    <w:rsid w:val="00C71113"/>
    <w:rsid w:val="00C71264"/>
    <w:rsid w:val="00C71294"/>
    <w:rsid w:val="00C72031"/>
    <w:rsid w:val="00C72CAF"/>
    <w:rsid w:val="00C74134"/>
    <w:rsid w:val="00C7587B"/>
    <w:rsid w:val="00C75969"/>
    <w:rsid w:val="00C75D6E"/>
    <w:rsid w:val="00C76CAE"/>
    <w:rsid w:val="00C81269"/>
    <w:rsid w:val="00C817BE"/>
    <w:rsid w:val="00C81C78"/>
    <w:rsid w:val="00C81E39"/>
    <w:rsid w:val="00C82226"/>
    <w:rsid w:val="00C823B1"/>
    <w:rsid w:val="00C82791"/>
    <w:rsid w:val="00C82D3F"/>
    <w:rsid w:val="00C851D4"/>
    <w:rsid w:val="00C8565B"/>
    <w:rsid w:val="00C85EA4"/>
    <w:rsid w:val="00C879A6"/>
    <w:rsid w:val="00C902FC"/>
    <w:rsid w:val="00C90355"/>
    <w:rsid w:val="00C92397"/>
    <w:rsid w:val="00C93904"/>
    <w:rsid w:val="00C93A1A"/>
    <w:rsid w:val="00C96060"/>
    <w:rsid w:val="00C96A8E"/>
    <w:rsid w:val="00CA08AC"/>
    <w:rsid w:val="00CA1AA5"/>
    <w:rsid w:val="00CA271E"/>
    <w:rsid w:val="00CA334E"/>
    <w:rsid w:val="00CA3862"/>
    <w:rsid w:val="00CA3BFA"/>
    <w:rsid w:val="00CA4902"/>
    <w:rsid w:val="00CA4B67"/>
    <w:rsid w:val="00CA5BBA"/>
    <w:rsid w:val="00CA6694"/>
    <w:rsid w:val="00CA6A39"/>
    <w:rsid w:val="00CA7302"/>
    <w:rsid w:val="00CB0393"/>
    <w:rsid w:val="00CB0864"/>
    <w:rsid w:val="00CB1488"/>
    <w:rsid w:val="00CB15E4"/>
    <w:rsid w:val="00CB30D5"/>
    <w:rsid w:val="00CB3BBC"/>
    <w:rsid w:val="00CB46D4"/>
    <w:rsid w:val="00CB5EEC"/>
    <w:rsid w:val="00CB610C"/>
    <w:rsid w:val="00CB73D8"/>
    <w:rsid w:val="00CB7414"/>
    <w:rsid w:val="00CB7E27"/>
    <w:rsid w:val="00CC0AAE"/>
    <w:rsid w:val="00CC39B6"/>
    <w:rsid w:val="00CC3A50"/>
    <w:rsid w:val="00CC4829"/>
    <w:rsid w:val="00CC69B3"/>
    <w:rsid w:val="00CC69F0"/>
    <w:rsid w:val="00CD0624"/>
    <w:rsid w:val="00CD0827"/>
    <w:rsid w:val="00CD101C"/>
    <w:rsid w:val="00CD1C67"/>
    <w:rsid w:val="00CD2D4D"/>
    <w:rsid w:val="00CD3C3C"/>
    <w:rsid w:val="00CD4096"/>
    <w:rsid w:val="00CD41E4"/>
    <w:rsid w:val="00CD4C1A"/>
    <w:rsid w:val="00CD57E4"/>
    <w:rsid w:val="00CD65BC"/>
    <w:rsid w:val="00CD7249"/>
    <w:rsid w:val="00CD76A6"/>
    <w:rsid w:val="00CE016A"/>
    <w:rsid w:val="00CE19C1"/>
    <w:rsid w:val="00CE20AA"/>
    <w:rsid w:val="00CE3268"/>
    <w:rsid w:val="00CE47EC"/>
    <w:rsid w:val="00CE527F"/>
    <w:rsid w:val="00CE7816"/>
    <w:rsid w:val="00CF0685"/>
    <w:rsid w:val="00CF110F"/>
    <w:rsid w:val="00CF2DCA"/>
    <w:rsid w:val="00CF3145"/>
    <w:rsid w:val="00CF3AC4"/>
    <w:rsid w:val="00CF3FCB"/>
    <w:rsid w:val="00CF401F"/>
    <w:rsid w:val="00CF4547"/>
    <w:rsid w:val="00CF4EB8"/>
    <w:rsid w:val="00CF5C97"/>
    <w:rsid w:val="00CF5F2B"/>
    <w:rsid w:val="00CF77F4"/>
    <w:rsid w:val="00D00FFF"/>
    <w:rsid w:val="00D01CFE"/>
    <w:rsid w:val="00D01D37"/>
    <w:rsid w:val="00D0232D"/>
    <w:rsid w:val="00D0281F"/>
    <w:rsid w:val="00D03CCB"/>
    <w:rsid w:val="00D0411F"/>
    <w:rsid w:val="00D046FE"/>
    <w:rsid w:val="00D0542D"/>
    <w:rsid w:val="00D056D2"/>
    <w:rsid w:val="00D068A0"/>
    <w:rsid w:val="00D07BB1"/>
    <w:rsid w:val="00D07C4B"/>
    <w:rsid w:val="00D12118"/>
    <w:rsid w:val="00D13024"/>
    <w:rsid w:val="00D13B9A"/>
    <w:rsid w:val="00D1714A"/>
    <w:rsid w:val="00D20F98"/>
    <w:rsid w:val="00D21009"/>
    <w:rsid w:val="00D21566"/>
    <w:rsid w:val="00D21F22"/>
    <w:rsid w:val="00D21F2B"/>
    <w:rsid w:val="00D22258"/>
    <w:rsid w:val="00D225D8"/>
    <w:rsid w:val="00D23419"/>
    <w:rsid w:val="00D23993"/>
    <w:rsid w:val="00D23D8B"/>
    <w:rsid w:val="00D24D4B"/>
    <w:rsid w:val="00D257D9"/>
    <w:rsid w:val="00D2740C"/>
    <w:rsid w:val="00D302C4"/>
    <w:rsid w:val="00D30635"/>
    <w:rsid w:val="00D30D39"/>
    <w:rsid w:val="00D31EAB"/>
    <w:rsid w:val="00D33026"/>
    <w:rsid w:val="00D339C2"/>
    <w:rsid w:val="00D33A2E"/>
    <w:rsid w:val="00D34910"/>
    <w:rsid w:val="00D35D66"/>
    <w:rsid w:val="00D363C9"/>
    <w:rsid w:val="00D3659D"/>
    <w:rsid w:val="00D3663D"/>
    <w:rsid w:val="00D36682"/>
    <w:rsid w:val="00D36708"/>
    <w:rsid w:val="00D37E7D"/>
    <w:rsid w:val="00D40FA5"/>
    <w:rsid w:val="00D41862"/>
    <w:rsid w:val="00D41CAF"/>
    <w:rsid w:val="00D420CC"/>
    <w:rsid w:val="00D424CD"/>
    <w:rsid w:val="00D42CDB"/>
    <w:rsid w:val="00D43008"/>
    <w:rsid w:val="00D4367D"/>
    <w:rsid w:val="00D438B3"/>
    <w:rsid w:val="00D44928"/>
    <w:rsid w:val="00D449D7"/>
    <w:rsid w:val="00D44C32"/>
    <w:rsid w:val="00D4515A"/>
    <w:rsid w:val="00D4597C"/>
    <w:rsid w:val="00D463F4"/>
    <w:rsid w:val="00D46E6D"/>
    <w:rsid w:val="00D47E84"/>
    <w:rsid w:val="00D511A1"/>
    <w:rsid w:val="00D5288B"/>
    <w:rsid w:val="00D557DC"/>
    <w:rsid w:val="00D55917"/>
    <w:rsid w:val="00D567A6"/>
    <w:rsid w:val="00D577F5"/>
    <w:rsid w:val="00D60DEB"/>
    <w:rsid w:val="00D6167B"/>
    <w:rsid w:val="00D61CDD"/>
    <w:rsid w:val="00D643E7"/>
    <w:rsid w:val="00D64DAB"/>
    <w:rsid w:val="00D650EB"/>
    <w:rsid w:val="00D66501"/>
    <w:rsid w:val="00D6696C"/>
    <w:rsid w:val="00D66DFE"/>
    <w:rsid w:val="00D67869"/>
    <w:rsid w:val="00D67BE9"/>
    <w:rsid w:val="00D700B3"/>
    <w:rsid w:val="00D70323"/>
    <w:rsid w:val="00D7241D"/>
    <w:rsid w:val="00D7550A"/>
    <w:rsid w:val="00D759AB"/>
    <w:rsid w:val="00D76523"/>
    <w:rsid w:val="00D7658C"/>
    <w:rsid w:val="00D80427"/>
    <w:rsid w:val="00D82D23"/>
    <w:rsid w:val="00D83C8C"/>
    <w:rsid w:val="00D858D4"/>
    <w:rsid w:val="00D85952"/>
    <w:rsid w:val="00D86581"/>
    <w:rsid w:val="00D866A5"/>
    <w:rsid w:val="00D86714"/>
    <w:rsid w:val="00D868E6"/>
    <w:rsid w:val="00D869F6"/>
    <w:rsid w:val="00D86BC0"/>
    <w:rsid w:val="00D872BF"/>
    <w:rsid w:val="00D87769"/>
    <w:rsid w:val="00D92287"/>
    <w:rsid w:val="00D92B8C"/>
    <w:rsid w:val="00D92CC9"/>
    <w:rsid w:val="00D947EF"/>
    <w:rsid w:val="00D94F5D"/>
    <w:rsid w:val="00D960F9"/>
    <w:rsid w:val="00D96935"/>
    <w:rsid w:val="00D97D6C"/>
    <w:rsid w:val="00DA0812"/>
    <w:rsid w:val="00DA1003"/>
    <w:rsid w:val="00DA1657"/>
    <w:rsid w:val="00DA2568"/>
    <w:rsid w:val="00DA355E"/>
    <w:rsid w:val="00DA37CD"/>
    <w:rsid w:val="00DA3C60"/>
    <w:rsid w:val="00DA4EAC"/>
    <w:rsid w:val="00DA541E"/>
    <w:rsid w:val="00DA7EA3"/>
    <w:rsid w:val="00DB0E36"/>
    <w:rsid w:val="00DB0F2C"/>
    <w:rsid w:val="00DB1790"/>
    <w:rsid w:val="00DB1F34"/>
    <w:rsid w:val="00DB6582"/>
    <w:rsid w:val="00DB76AD"/>
    <w:rsid w:val="00DB784A"/>
    <w:rsid w:val="00DB7D0A"/>
    <w:rsid w:val="00DC0271"/>
    <w:rsid w:val="00DC03B4"/>
    <w:rsid w:val="00DC0939"/>
    <w:rsid w:val="00DC0D7C"/>
    <w:rsid w:val="00DC1BA3"/>
    <w:rsid w:val="00DC2905"/>
    <w:rsid w:val="00DC2D8B"/>
    <w:rsid w:val="00DC35CA"/>
    <w:rsid w:val="00DC42C0"/>
    <w:rsid w:val="00DC4308"/>
    <w:rsid w:val="00DC5197"/>
    <w:rsid w:val="00DC58F8"/>
    <w:rsid w:val="00DC5C9D"/>
    <w:rsid w:val="00DC6145"/>
    <w:rsid w:val="00DC691E"/>
    <w:rsid w:val="00DC6D6F"/>
    <w:rsid w:val="00DC74EF"/>
    <w:rsid w:val="00DC7B94"/>
    <w:rsid w:val="00DD0121"/>
    <w:rsid w:val="00DD041D"/>
    <w:rsid w:val="00DD0644"/>
    <w:rsid w:val="00DD0D22"/>
    <w:rsid w:val="00DD1603"/>
    <w:rsid w:val="00DD2630"/>
    <w:rsid w:val="00DD32D7"/>
    <w:rsid w:val="00DD40F1"/>
    <w:rsid w:val="00DD4D67"/>
    <w:rsid w:val="00DD70AE"/>
    <w:rsid w:val="00DD72EE"/>
    <w:rsid w:val="00DE01F6"/>
    <w:rsid w:val="00DE0894"/>
    <w:rsid w:val="00DE1501"/>
    <w:rsid w:val="00DE174D"/>
    <w:rsid w:val="00DE298D"/>
    <w:rsid w:val="00DE2998"/>
    <w:rsid w:val="00DE2B36"/>
    <w:rsid w:val="00DE3D8C"/>
    <w:rsid w:val="00DE4223"/>
    <w:rsid w:val="00DE47C7"/>
    <w:rsid w:val="00DE4EAE"/>
    <w:rsid w:val="00DE5C50"/>
    <w:rsid w:val="00DE6128"/>
    <w:rsid w:val="00DE655A"/>
    <w:rsid w:val="00DE6B60"/>
    <w:rsid w:val="00DE6EA5"/>
    <w:rsid w:val="00DE77CE"/>
    <w:rsid w:val="00DF0502"/>
    <w:rsid w:val="00DF06E0"/>
    <w:rsid w:val="00DF09FC"/>
    <w:rsid w:val="00DF18EF"/>
    <w:rsid w:val="00DF27DB"/>
    <w:rsid w:val="00DF2E25"/>
    <w:rsid w:val="00DF2F37"/>
    <w:rsid w:val="00DF3602"/>
    <w:rsid w:val="00DF420C"/>
    <w:rsid w:val="00DF581A"/>
    <w:rsid w:val="00DF643D"/>
    <w:rsid w:val="00DF6F57"/>
    <w:rsid w:val="00DF7E89"/>
    <w:rsid w:val="00DF7FE7"/>
    <w:rsid w:val="00E000F2"/>
    <w:rsid w:val="00E00985"/>
    <w:rsid w:val="00E0181F"/>
    <w:rsid w:val="00E01CA5"/>
    <w:rsid w:val="00E02FEF"/>
    <w:rsid w:val="00E041E6"/>
    <w:rsid w:val="00E047E8"/>
    <w:rsid w:val="00E06D10"/>
    <w:rsid w:val="00E11BD0"/>
    <w:rsid w:val="00E123C4"/>
    <w:rsid w:val="00E155BC"/>
    <w:rsid w:val="00E1572A"/>
    <w:rsid w:val="00E158D0"/>
    <w:rsid w:val="00E158F1"/>
    <w:rsid w:val="00E16670"/>
    <w:rsid w:val="00E16C6B"/>
    <w:rsid w:val="00E179A3"/>
    <w:rsid w:val="00E17EE5"/>
    <w:rsid w:val="00E20169"/>
    <w:rsid w:val="00E20458"/>
    <w:rsid w:val="00E2049C"/>
    <w:rsid w:val="00E20A73"/>
    <w:rsid w:val="00E22B70"/>
    <w:rsid w:val="00E23DAC"/>
    <w:rsid w:val="00E241A5"/>
    <w:rsid w:val="00E247AF"/>
    <w:rsid w:val="00E25152"/>
    <w:rsid w:val="00E26536"/>
    <w:rsid w:val="00E27551"/>
    <w:rsid w:val="00E27D49"/>
    <w:rsid w:val="00E27EFA"/>
    <w:rsid w:val="00E27F09"/>
    <w:rsid w:val="00E309AE"/>
    <w:rsid w:val="00E32989"/>
    <w:rsid w:val="00E33B6A"/>
    <w:rsid w:val="00E33E8B"/>
    <w:rsid w:val="00E3409F"/>
    <w:rsid w:val="00E349F3"/>
    <w:rsid w:val="00E35F61"/>
    <w:rsid w:val="00E36349"/>
    <w:rsid w:val="00E3749D"/>
    <w:rsid w:val="00E408A8"/>
    <w:rsid w:val="00E42185"/>
    <w:rsid w:val="00E427FD"/>
    <w:rsid w:val="00E42861"/>
    <w:rsid w:val="00E431D4"/>
    <w:rsid w:val="00E439EB"/>
    <w:rsid w:val="00E43FB7"/>
    <w:rsid w:val="00E454F9"/>
    <w:rsid w:val="00E45B87"/>
    <w:rsid w:val="00E46848"/>
    <w:rsid w:val="00E500C3"/>
    <w:rsid w:val="00E50FE0"/>
    <w:rsid w:val="00E5102E"/>
    <w:rsid w:val="00E5157E"/>
    <w:rsid w:val="00E51602"/>
    <w:rsid w:val="00E52C4B"/>
    <w:rsid w:val="00E561CA"/>
    <w:rsid w:val="00E56487"/>
    <w:rsid w:val="00E56769"/>
    <w:rsid w:val="00E60CD8"/>
    <w:rsid w:val="00E62B08"/>
    <w:rsid w:val="00E65A90"/>
    <w:rsid w:val="00E65B77"/>
    <w:rsid w:val="00E67143"/>
    <w:rsid w:val="00E675D5"/>
    <w:rsid w:val="00E70D5C"/>
    <w:rsid w:val="00E711B0"/>
    <w:rsid w:val="00E716C5"/>
    <w:rsid w:val="00E719A5"/>
    <w:rsid w:val="00E72A1F"/>
    <w:rsid w:val="00E72C38"/>
    <w:rsid w:val="00E7357B"/>
    <w:rsid w:val="00E7365D"/>
    <w:rsid w:val="00E73B05"/>
    <w:rsid w:val="00E740E9"/>
    <w:rsid w:val="00E7442A"/>
    <w:rsid w:val="00E74D8B"/>
    <w:rsid w:val="00E753C5"/>
    <w:rsid w:val="00E770EF"/>
    <w:rsid w:val="00E77BCA"/>
    <w:rsid w:val="00E8168D"/>
    <w:rsid w:val="00E83671"/>
    <w:rsid w:val="00E84170"/>
    <w:rsid w:val="00E84E9E"/>
    <w:rsid w:val="00E8520A"/>
    <w:rsid w:val="00E853F3"/>
    <w:rsid w:val="00E87995"/>
    <w:rsid w:val="00E87F22"/>
    <w:rsid w:val="00E915D0"/>
    <w:rsid w:val="00E92815"/>
    <w:rsid w:val="00E92B9D"/>
    <w:rsid w:val="00E92F58"/>
    <w:rsid w:val="00E93895"/>
    <w:rsid w:val="00E94383"/>
    <w:rsid w:val="00E95BDD"/>
    <w:rsid w:val="00E95F15"/>
    <w:rsid w:val="00E96325"/>
    <w:rsid w:val="00E96F52"/>
    <w:rsid w:val="00E97B15"/>
    <w:rsid w:val="00EA07DE"/>
    <w:rsid w:val="00EA09C9"/>
    <w:rsid w:val="00EA0DE9"/>
    <w:rsid w:val="00EA1D92"/>
    <w:rsid w:val="00EA38CC"/>
    <w:rsid w:val="00EA5E24"/>
    <w:rsid w:val="00EA626B"/>
    <w:rsid w:val="00EA733B"/>
    <w:rsid w:val="00EA7D59"/>
    <w:rsid w:val="00EA7EC7"/>
    <w:rsid w:val="00EB003D"/>
    <w:rsid w:val="00EB23B0"/>
    <w:rsid w:val="00EB3528"/>
    <w:rsid w:val="00EB7E34"/>
    <w:rsid w:val="00EC0E56"/>
    <w:rsid w:val="00EC0FF4"/>
    <w:rsid w:val="00EC1AF4"/>
    <w:rsid w:val="00EC2491"/>
    <w:rsid w:val="00EC5798"/>
    <w:rsid w:val="00EC57BF"/>
    <w:rsid w:val="00ED1195"/>
    <w:rsid w:val="00ED175D"/>
    <w:rsid w:val="00ED1EDB"/>
    <w:rsid w:val="00ED2705"/>
    <w:rsid w:val="00ED2C42"/>
    <w:rsid w:val="00ED3FD7"/>
    <w:rsid w:val="00ED4AC4"/>
    <w:rsid w:val="00ED4BFD"/>
    <w:rsid w:val="00ED5D63"/>
    <w:rsid w:val="00ED62C4"/>
    <w:rsid w:val="00ED71D8"/>
    <w:rsid w:val="00ED7938"/>
    <w:rsid w:val="00EE2F61"/>
    <w:rsid w:val="00EE3015"/>
    <w:rsid w:val="00EE33D7"/>
    <w:rsid w:val="00EE4D1B"/>
    <w:rsid w:val="00EE5525"/>
    <w:rsid w:val="00EE5708"/>
    <w:rsid w:val="00EE796D"/>
    <w:rsid w:val="00EF0264"/>
    <w:rsid w:val="00EF066B"/>
    <w:rsid w:val="00EF0AC4"/>
    <w:rsid w:val="00EF15D5"/>
    <w:rsid w:val="00EF252E"/>
    <w:rsid w:val="00EF376B"/>
    <w:rsid w:val="00EF3B2B"/>
    <w:rsid w:val="00EF4DB6"/>
    <w:rsid w:val="00EF4F0B"/>
    <w:rsid w:val="00EF56D7"/>
    <w:rsid w:val="00EF5F09"/>
    <w:rsid w:val="00F00EE9"/>
    <w:rsid w:val="00F04457"/>
    <w:rsid w:val="00F04D10"/>
    <w:rsid w:val="00F06699"/>
    <w:rsid w:val="00F1086F"/>
    <w:rsid w:val="00F10B85"/>
    <w:rsid w:val="00F10CB8"/>
    <w:rsid w:val="00F111C0"/>
    <w:rsid w:val="00F1153C"/>
    <w:rsid w:val="00F11DA2"/>
    <w:rsid w:val="00F1229A"/>
    <w:rsid w:val="00F131A0"/>
    <w:rsid w:val="00F13CBF"/>
    <w:rsid w:val="00F15164"/>
    <w:rsid w:val="00F153BC"/>
    <w:rsid w:val="00F15968"/>
    <w:rsid w:val="00F15BAB"/>
    <w:rsid w:val="00F15C8A"/>
    <w:rsid w:val="00F15CDF"/>
    <w:rsid w:val="00F16CAF"/>
    <w:rsid w:val="00F16D27"/>
    <w:rsid w:val="00F17070"/>
    <w:rsid w:val="00F20315"/>
    <w:rsid w:val="00F2074E"/>
    <w:rsid w:val="00F207B5"/>
    <w:rsid w:val="00F21F8A"/>
    <w:rsid w:val="00F225F0"/>
    <w:rsid w:val="00F23AF7"/>
    <w:rsid w:val="00F23B18"/>
    <w:rsid w:val="00F23C8D"/>
    <w:rsid w:val="00F246B7"/>
    <w:rsid w:val="00F25A08"/>
    <w:rsid w:val="00F271D5"/>
    <w:rsid w:val="00F27D97"/>
    <w:rsid w:val="00F27EA3"/>
    <w:rsid w:val="00F30B93"/>
    <w:rsid w:val="00F32012"/>
    <w:rsid w:val="00F35341"/>
    <w:rsid w:val="00F3602D"/>
    <w:rsid w:val="00F36E6A"/>
    <w:rsid w:val="00F379DD"/>
    <w:rsid w:val="00F37CFC"/>
    <w:rsid w:val="00F408F3"/>
    <w:rsid w:val="00F417C2"/>
    <w:rsid w:val="00F41DE1"/>
    <w:rsid w:val="00F42FD4"/>
    <w:rsid w:val="00F43A96"/>
    <w:rsid w:val="00F44F77"/>
    <w:rsid w:val="00F453CF"/>
    <w:rsid w:val="00F4561B"/>
    <w:rsid w:val="00F4582D"/>
    <w:rsid w:val="00F47244"/>
    <w:rsid w:val="00F472F0"/>
    <w:rsid w:val="00F47B96"/>
    <w:rsid w:val="00F50084"/>
    <w:rsid w:val="00F50135"/>
    <w:rsid w:val="00F50F02"/>
    <w:rsid w:val="00F511A7"/>
    <w:rsid w:val="00F5133B"/>
    <w:rsid w:val="00F5136E"/>
    <w:rsid w:val="00F52D4F"/>
    <w:rsid w:val="00F530CF"/>
    <w:rsid w:val="00F53CDC"/>
    <w:rsid w:val="00F5497C"/>
    <w:rsid w:val="00F54EB1"/>
    <w:rsid w:val="00F554D6"/>
    <w:rsid w:val="00F5563F"/>
    <w:rsid w:val="00F55B34"/>
    <w:rsid w:val="00F57215"/>
    <w:rsid w:val="00F6092F"/>
    <w:rsid w:val="00F60976"/>
    <w:rsid w:val="00F60AC2"/>
    <w:rsid w:val="00F61425"/>
    <w:rsid w:val="00F6262F"/>
    <w:rsid w:val="00F6269A"/>
    <w:rsid w:val="00F626E1"/>
    <w:rsid w:val="00F63301"/>
    <w:rsid w:val="00F63B01"/>
    <w:rsid w:val="00F64831"/>
    <w:rsid w:val="00F660F9"/>
    <w:rsid w:val="00F66BF9"/>
    <w:rsid w:val="00F66E4B"/>
    <w:rsid w:val="00F67D1D"/>
    <w:rsid w:val="00F703CF"/>
    <w:rsid w:val="00F705EF"/>
    <w:rsid w:val="00F70EF1"/>
    <w:rsid w:val="00F71B01"/>
    <w:rsid w:val="00F72889"/>
    <w:rsid w:val="00F72DF4"/>
    <w:rsid w:val="00F73C96"/>
    <w:rsid w:val="00F74323"/>
    <w:rsid w:val="00F74AC7"/>
    <w:rsid w:val="00F7621D"/>
    <w:rsid w:val="00F763BD"/>
    <w:rsid w:val="00F80A22"/>
    <w:rsid w:val="00F80E20"/>
    <w:rsid w:val="00F8120F"/>
    <w:rsid w:val="00F81896"/>
    <w:rsid w:val="00F8272E"/>
    <w:rsid w:val="00F8292C"/>
    <w:rsid w:val="00F82D0E"/>
    <w:rsid w:val="00F845E9"/>
    <w:rsid w:val="00F847FC"/>
    <w:rsid w:val="00F848B9"/>
    <w:rsid w:val="00F85AF1"/>
    <w:rsid w:val="00F85F1E"/>
    <w:rsid w:val="00F867E0"/>
    <w:rsid w:val="00F87068"/>
    <w:rsid w:val="00F876D8"/>
    <w:rsid w:val="00F87AA7"/>
    <w:rsid w:val="00F928B9"/>
    <w:rsid w:val="00F9395E"/>
    <w:rsid w:val="00F93EC8"/>
    <w:rsid w:val="00F952B9"/>
    <w:rsid w:val="00F97074"/>
    <w:rsid w:val="00FA21F1"/>
    <w:rsid w:val="00FA2360"/>
    <w:rsid w:val="00FA3598"/>
    <w:rsid w:val="00FA4D7F"/>
    <w:rsid w:val="00FA5752"/>
    <w:rsid w:val="00FA5977"/>
    <w:rsid w:val="00FA5F45"/>
    <w:rsid w:val="00FA66B2"/>
    <w:rsid w:val="00FA728E"/>
    <w:rsid w:val="00FA7522"/>
    <w:rsid w:val="00FA77C0"/>
    <w:rsid w:val="00FA7893"/>
    <w:rsid w:val="00FA7DAE"/>
    <w:rsid w:val="00FB05E6"/>
    <w:rsid w:val="00FB1C3F"/>
    <w:rsid w:val="00FB1E00"/>
    <w:rsid w:val="00FB1F41"/>
    <w:rsid w:val="00FB2AFE"/>
    <w:rsid w:val="00FB6301"/>
    <w:rsid w:val="00FB6C91"/>
    <w:rsid w:val="00FB753E"/>
    <w:rsid w:val="00FB7D33"/>
    <w:rsid w:val="00FC1413"/>
    <w:rsid w:val="00FC1D0B"/>
    <w:rsid w:val="00FC23F4"/>
    <w:rsid w:val="00FC2C59"/>
    <w:rsid w:val="00FC2D49"/>
    <w:rsid w:val="00FC3049"/>
    <w:rsid w:val="00FC417A"/>
    <w:rsid w:val="00FC5AE5"/>
    <w:rsid w:val="00FC5AF2"/>
    <w:rsid w:val="00FC5F27"/>
    <w:rsid w:val="00FC6585"/>
    <w:rsid w:val="00FC6768"/>
    <w:rsid w:val="00FC67DD"/>
    <w:rsid w:val="00FC6916"/>
    <w:rsid w:val="00FC717B"/>
    <w:rsid w:val="00FC737F"/>
    <w:rsid w:val="00FC773F"/>
    <w:rsid w:val="00FD02DA"/>
    <w:rsid w:val="00FD0D6A"/>
    <w:rsid w:val="00FD178C"/>
    <w:rsid w:val="00FD40B5"/>
    <w:rsid w:val="00FD42FF"/>
    <w:rsid w:val="00FD51F9"/>
    <w:rsid w:val="00FD533C"/>
    <w:rsid w:val="00FD5727"/>
    <w:rsid w:val="00FD7320"/>
    <w:rsid w:val="00FD78A0"/>
    <w:rsid w:val="00FE0ACD"/>
    <w:rsid w:val="00FE0C04"/>
    <w:rsid w:val="00FE1C7F"/>
    <w:rsid w:val="00FE261C"/>
    <w:rsid w:val="00FE2F8A"/>
    <w:rsid w:val="00FE38E6"/>
    <w:rsid w:val="00FE4814"/>
    <w:rsid w:val="00FE5EEF"/>
    <w:rsid w:val="00FE6B3D"/>
    <w:rsid w:val="00FE6F02"/>
    <w:rsid w:val="00FE7135"/>
    <w:rsid w:val="00FE7190"/>
    <w:rsid w:val="00FE7C1C"/>
    <w:rsid w:val="00FF04FD"/>
    <w:rsid w:val="00FF0CC7"/>
    <w:rsid w:val="00FF1487"/>
    <w:rsid w:val="00FF1873"/>
    <w:rsid w:val="00FF2FD2"/>
    <w:rsid w:val="00FF301B"/>
    <w:rsid w:val="00FF439E"/>
    <w:rsid w:val="00FF5E51"/>
    <w:rsid w:val="00FF738A"/>
    <w:rsid w:val="015A4B23"/>
    <w:rsid w:val="01C0F65C"/>
    <w:rsid w:val="04CA8753"/>
    <w:rsid w:val="05949860"/>
    <w:rsid w:val="0752D001"/>
    <w:rsid w:val="0A2122DC"/>
    <w:rsid w:val="0A5003D2"/>
    <w:rsid w:val="0B6719EC"/>
    <w:rsid w:val="0B933A39"/>
    <w:rsid w:val="0BCC405E"/>
    <w:rsid w:val="0CBAAC42"/>
    <w:rsid w:val="0E002144"/>
    <w:rsid w:val="0F3B3C13"/>
    <w:rsid w:val="10022FF2"/>
    <w:rsid w:val="1138FA44"/>
    <w:rsid w:val="119158A1"/>
    <w:rsid w:val="11AE1629"/>
    <w:rsid w:val="128A2E29"/>
    <w:rsid w:val="13589D73"/>
    <w:rsid w:val="1592DC70"/>
    <w:rsid w:val="16549E5D"/>
    <w:rsid w:val="17E183EA"/>
    <w:rsid w:val="1A055786"/>
    <w:rsid w:val="1A814D86"/>
    <w:rsid w:val="1B0D4DF6"/>
    <w:rsid w:val="1BE8CED7"/>
    <w:rsid w:val="1CB869EE"/>
    <w:rsid w:val="1D16F860"/>
    <w:rsid w:val="208CF271"/>
    <w:rsid w:val="22B3D6C5"/>
    <w:rsid w:val="238EC564"/>
    <w:rsid w:val="270CB003"/>
    <w:rsid w:val="274146D5"/>
    <w:rsid w:val="2B05506F"/>
    <w:rsid w:val="2C1349BF"/>
    <w:rsid w:val="32AF320D"/>
    <w:rsid w:val="33A2EF02"/>
    <w:rsid w:val="33DB9C1E"/>
    <w:rsid w:val="3675BBF3"/>
    <w:rsid w:val="371C2322"/>
    <w:rsid w:val="37632E75"/>
    <w:rsid w:val="38604185"/>
    <w:rsid w:val="386B6148"/>
    <w:rsid w:val="3D25717A"/>
    <w:rsid w:val="3F98FA3F"/>
    <w:rsid w:val="402A13D3"/>
    <w:rsid w:val="4124012C"/>
    <w:rsid w:val="415066EB"/>
    <w:rsid w:val="420F98C0"/>
    <w:rsid w:val="424C6F92"/>
    <w:rsid w:val="42D789D7"/>
    <w:rsid w:val="4656A94C"/>
    <w:rsid w:val="47A8C3AA"/>
    <w:rsid w:val="482517C9"/>
    <w:rsid w:val="483489A4"/>
    <w:rsid w:val="490986BF"/>
    <w:rsid w:val="4B9373B0"/>
    <w:rsid w:val="4C0A840B"/>
    <w:rsid w:val="4DF349F1"/>
    <w:rsid w:val="4F861AFB"/>
    <w:rsid w:val="504B9C45"/>
    <w:rsid w:val="5147C1D3"/>
    <w:rsid w:val="520F9EE1"/>
    <w:rsid w:val="522CE204"/>
    <w:rsid w:val="5278200C"/>
    <w:rsid w:val="534DE76D"/>
    <w:rsid w:val="54789353"/>
    <w:rsid w:val="54F24443"/>
    <w:rsid w:val="55623744"/>
    <w:rsid w:val="5572472A"/>
    <w:rsid w:val="5675F144"/>
    <w:rsid w:val="5866769D"/>
    <w:rsid w:val="5A45690D"/>
    <w:rsid w:val="5AAEDDA5"/>
    <w:rsid w:val="5B64F3E3"/>
    <w:rsid w:val="5B754A2F"/>
    <w:rsid w:val="5D135088"/>
    <w:rsid w:val="5D5CEF72"/>
    <w:rsid w:val="5D858A19"/>
    <w:rsid w:val="5F6C9CB1"/>
    <w:rsid w:val="60AF6758"/>
    <w:rsid w:val="611E6147"/>
    <w:rsid w:val="6134C7D4"/>
    <w:rsid w:val="62BC1716"/>
    <w:rsid w:val="63441E63"/>
    <w:rsid w:val="6346F1BF"/>
    <w:rsid w:val="6373F8F4"/>
    <w:rsid w:val="664126BA"/>
    <w:rsid w:val="66C4B4F7"/>
    <w:rsid w:val="66D41EDB"/>
    <w:rsid w:val="68403CB2"/>
    <w:rsid w:val="68554927"/>
    <w:rsid w:val="6AF8467C"/>
    <w:rsid w:val="6B46557C"/>
    <w:rsid w:val="6C602D3C"/>
    <w:rsid w:val="6D506721"/>
    <w:rsid w:val="6D7BB293"/>
    <w:rsid w:val="6DA35289"/>
    <w:rsid w:val="6FC04E5C"/>
    <w:rsid w:val="70224337"/>
    <w:rsid w:val="709C0763"/>
    <w:rsid w:val="72559B79"/>
    <w:rsid w:val="732FABF2"/>
    <w:rsid w:val="74C1BD47"/>
    <w:rsid w:val="74F12492"/>
    <w:rsid w:val="755BC16C"/>
    <w:rsid w:val="7564F4EB"/>
    <w:rsid w:val="762B8D67"/>
    <w:rsid w:val="76CF13C5"/>
    <w:rsid w:val="775732A9"/>
    <w:rsid w:val="78672612"/>
    <w:rsid w:val="79F07599"/>
    <w:rsid w:val="7AF28FD9"/>
    <w:rsid w:val="7E464896"/>
    <w:rsid w:val="7E5D05BA"/>
    <w:rsid w:val="7E8FE0E4"/>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138672D"/>
  <w14:defaultImageDpi w14:val="32767"/>
  <w15:chartTrackingRefBased/>
  <w15:docId w15:val="{1A1613A7-31B0-4A54-8CE3-999F837722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61176E"/>
    <w:rPr>
      <w:sz w:val="22"/>
      <w:szCs w:val="22"/>
    </w:rPr>
  </w:style>
  <w:style w:type="paragraph" w:styleId="Heading1">
    <w:name w:val="heading 1"/>
    <w:basedOn w:val="Normal"/>
    <w:next w:val="Normal"/>
    <w:link w:val="Heading1Char"/>
    <w:qFormat/>
    <w:rsid w:val="00650F99"/>
    <w:pPr>
      <w:keepNext/>
      <w:pBdr>
        <w:bottom w:val="single" w:sz="4" w:space="4" w:color="365F91"/>
      </w:pBdr>
      <w:spacing w:after="480"/>
      <w:outlineLvl w:val="0"/>
    </w:pPr>
    <w:rPr>
      <w:rFonts w:ascii="Georgia" w:hAnsi="Georgia"/>
      <w:bCs/>
      <w:color w:val="1B556B"/>
      <w:sz w:val="48"/>
    </w:rPr>
  </w:style>
  <w:style w:type="paragraph" w:styleId="Heading2">
    <w:name w:val="heading 2"/>
    <w:basedOn w:val="Normal"/>
    <w:next w:val="BodyText"/>
    <w:link w:val="Heading2Char"/>
    <w:qFormat/>
    <w:rsid w:val="00793763"/>
    <w:pPr>
      <w:keepNext/>
      <w:tabs>
        <w:tab w:val="left" w:pos="851"/>
      </w:tabs>
      <w:spacing w:before="360"/>
      <w:outlineLvl w:val="1"/>
    </w:pPr>
    <w:rPr>
      <w:rFonts w:ascii="Georgia" w:hAnsi="Georgia"/>
      <w:b/>
      <w:color w:val="1B556B"/>
      <w:sz w:val="32"/>
    </w:rPr>
  </w:style>
  <w:style w:type="paragraph" w:styleId="Heading3">
    <w:name w:val="heading 3"/>
    <w:basedOn w:val="Normal"/>
    <w:next w:val="BodyText"/>
    <w:link w:val="Heading3Char"/>
    <w:qFormat/>
    <w:rsid w:val="00094891"/>
    <w:pPr>
      <w:keepNext/>
      <w:tabs>
        <w:tab w:val="left" w:pos="851"/>
      </w:tabs>
      <w:spacing w:before="360"/>
      <w:outlineLvl w:val="2"/>
    </w:pPr>
    <w:rPr>
      <w:rFonts w:ascii="Georgia" w:hAnsi="Georgia"/>
      <w:b/>
      <w:color w:val="1B556B"/>
      <w:sz w:val="26"/>
    </w:rPr>
  </w:style>
  <w:style w:type="paragraph" w:styleId="Heading4">
    <w:name w:val="heading 4"/>
    <w:basedOn w:val="Normal"/>
    <w:next w:val="Normal"/>
    <w:link w:val="Heading4Char"/>
    <w:qFormat/>
    <w:rsid w:val="005E75EE"/>
    <w:pPr>
      <w:keepNext/>
      <w:spacing w:before="240"/>
      <w:outlineLvl w:val="3"/>
    </w:pPr>
    <w:rPr>
      <w:b/>
      <w:color w:val="1B556B"/>
    </w:rPr>
  </w:style>
  <w:style w:type="paragraph" w:styleId="Heading5">
    <w:name w:val="heading 5"/>
    <w:basedOn w:val="Normal"/>
    <w:next w:val="Normal"/>
    <w:link w:val="Heading5Char"/>
    <w:qFormat/>
    <w:rsid w:val="00BF2A76"/>
    <w:pPr>
      <w:keepNext/>
      <w:spacing w:before="240"/>
      <w:outlineLvl w:val="4"/>
    </w:pPr>
    <w:rPr>
      <w:bCs/>
      <w:i/>
      <w:iCs/>
      <w:color w:val="1B556B"/>
      <w:szCs w:val="26"/>
    </w:rPr>
  </w:style>
  <w:style w:type="paragraph" w:styleId="Heading6">
    <w:name w:val="heading 6"/>
    <w:basedOn w:val="Normal"/>
    <w:next w:val="Normal"/>
    <w:link w:val="Heading6Char"/>
    <w:qFormat/>
    <w:rsid w:val="008613C8"/>
    <w:pPr>
      <w:keepNext/>
      <w:keepLines/>
      <w:spacing w:before="240"/>
      <w:outlineLvl w:val="5"/>
    </w:pPr>
    <w:rPr>
      <w:rFonts w:eastAsiaTheme="majorEastAsia" w:cs="Calibri"/>
      <w:b/>
      <w:bCs/>
      <w:color w:val="0E2A35" w:themeColor="accent1" w:themeShade="7F"/>
    </w:rPr>
  </w:style>
  <w:style w:type="paragraph" w:styleId="Heading7">
    <w:name w:val="heading 7"/>
    <w:aliases w:val=" Char15,Char15"/>
    <w:basedOn w:val="Normal"/>
    <w:next w:val="Normal"/>
    <w:link w:val="Heading7Char"/>
    <w:semiHidden/>
    <w:qFormat/>
    <w:rsid w:val="00FB2AFE"/>
    <w:pPr>
      <w:keepNext/>
      <w:keepLines/>
      <w:spacing w:before="200"/>
      <w:outlineLvl w:val="6"/>
    </w:pPr>
    <w:rPr>
      <w:rFonts w:ascii="Arial" w:hAnsi="Arial"/>
      <w:i/>
      <w:iCs/>
      <w:color w:val="404040"/>
      <w:lang w:eastAsia="en-US"/>
    </w:rPr>
  </w:style>
  <w:style w:type="paragraph" w:styleId="Heading8">
    <w:name w:val="heading 8"/>
    <w:aliases w:val=" Char14,Char14"/>
    <w:basedOn w:val="Normal"/>
    <w:next w:val="Normal"/>
    <w:link w:val="Heading8Char"/>
    <w:semiHidden/>
    <w:qFormat/>
    <w:rsid w:val="00FB2AFE"/>
    <w:pPr>
      <w:keepNext/>
      <w:keepLines/>
      <w:spacing w:before="200"/>
      <w:outlineLvl w:val="7"/>
    </w:pPr>
    <w:rPr>
      <w:rFonts w:ascii="Arial" w:hAnsi="Arial"/>
      <w:color w:val="4F81BD"/>
      <w:sz w:val="20"/>
      <w:szCs w:val="20"/>
      <w:lang w:eastAsia="en-US"/>
    </w:rPr>
  </w:style>
  <w:style w:type="paragraph" w:styleId="Heading9">
    <w:name w:val="heading 9"/>
    <w:aliases w:val=" Char13,Char13"/>
    <w:basedOn w:val="Normal"/>
    <w:next w:val="Normal"/>
    <w:link w:val="Heading9Char"/>
    <w:semiHidden/>
    <w:qFormat/>
    <w:rsid w:val="00FB2AFE"/>
    <w:pPr>
      <w:keepNext/>
      <w:keepLines/>
      <w:spacing w:before="200"/>
      <w:outlineLvl w:val="8"/>
    </w:pPr>
    <w:rPr>
      <w:rFonts w:ascii="Arial" w:hAnsi="Arial"/>
      <w:i/>
      <w:iCs/>
      <w:color w:val="404040"/>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RS Table Grid a"/>
    <w:basedOn w:val="TableNormal"/>
    <w:uiPriority w:val="59"/>
    <w:rsid w:val="00B26F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61176E"/>
    <w:pPr>
      <w:spacing w:before="120"/>
      <w:jc w:val="center"/>
    </w:pPr>
    <w:rPr>
      <w:b/>
      <w:bCs/>
      <w:color w:val="C00000"/>
      <w:sz w:val="26"/>
      <w:szCs w:val="26"/>
    </w:rPr>
  </w:style>
  <w:style w:type="paragraph" w:customStyle="1" w:styleId="Blockquote">
    <w:name w:val="Blockquote"/>
    <w:basedOn w:val="Normal"/>
    <w:semiHidden/>
    <w:rsid w:val="00772E94"/>
    <w:pPr>
      <w:ind w:left="567" w:right="567"/>
    </w:pPr>
    <w:rPr>
      <w:i/>
      <w:sz w:val="20"/>
    </w:rPr>
  </w:style>
  <w:style w:type="paragraph" w:styleId="BodyText">
    <w:name w:val="Body Text"/>
    <w:basedOn w:val="Normal"/>
    <w:link w:val="BodyTextChar"/>
    <w:qFormat/>
    <w:rsid w:val="00CE19C1"/>
    <w:pPr>
      <w:spacing w:before="120" w:after="120"/>
    </w:pPr>
  </w:style>
  <w:style w:type="paragraph" w:customStyle="1" w:styleId="Box">
    <w:name w:val="Box"/>
    <w:basedOn w:val="Normal"/>
    <w:next w:val="Normal"/>
    <w:uiPriority w:val="2"/>
    <w:semiHidden/>
    <w:rsid w:val="000576EC"/>
    <w:pPr>
      <w:pBdr>
        <w:top w:val="single" w:sz="6" w:space="15" w:color="auto"/>
        <w:left w:val="single" w:sz="6" w:space="15" w:color="auto"/>
        <w:bottom w:val="single" w:sz="6" w:space="15" w:color="auto"/>
        <w:right w:val="single" w:sz="6" w:space="15" w:color="auto"/>
      </w:pBdr>
      <w:ind w:right="284"/>
    </w:pPr>
    <w:rPr>
      <w:sz w:val="20"/>
    </w:rPr>
  </w:style>
  <w:style w:type="paragraph" w:customStyle="1" w:styleId="BoxBullet">
    <w:name w:val="Box Bullet"/>
    <w:basedOn w:val="Box"/>
    <w:uiPriority w:val="2"/>
    <w:semiHidden/>
    <w:rsid w:val="00855A8A"/>
    <w:pPr>
      <w:numPr>
        <w:numId w:val="1"/>
      </w:numPr>
      <w:tabs>
        <w:tab w:val="clear" w:pos="851"/>
        <w:tab w:val="left" w:pos="567"/>
      </w:tabs>
      <w:spacing w:before="120"/>
      <w:ind w:left="567"/>
    </w:pPr>
  </w:style>
  <w:style w:type="paragraph" w:customStyle="1" w:styleId="BoxHeading">
    <w:name w:val="BoxHeading"/>
    <w:basedOn w:val="Box"/>
    <w:next w:val="Box"/>
    <w:uiPriority w:val="2"/>
    <w:semiHidden/>
    <w:rsid w:val="00153F5A"/>
    <w:pPr>
      <w:spacing w:after="240"/>
    </w:pPr>
    <w:rPr>
      <w:b/>
      <w:sz w:val="22"/>
    </w:rPr>
  </w:style>
  <w:style w:type="paragraph" w:customStyle="1" w:styleId="Bullet">
    <w:name w:val="Bullet"/>
    <w:basedOn w:val="Normal"/>
    <w:link w:val="BulletChar"/>
    <w:qFormat/>
    <w:rsid w:val="00AC2AB4"/>
    <w:pPr>
      <w:numPr>
        <w:numId w:val="4"/>
      </w:numPr>
      <w:tabs>
        <w:tab w:val="left" w:pos="397"/>
      </w:tabs>
      <w:spacing w:after="120"/>
    </w:pPr>
  </w:style>
  <w:style w:type="paragraph" w:customStyle="1" w:styleId="Heading">
    <w:name w:val="Heading"/>
    <w:basedOn w:val="Heading1"/>
    <w:next w:val="Normal"/>
    <w:rsid w:val="003B0F83"/>
  </w:style>
  <w:style w:type="paragraph" w:customStyle="1" w:styleId="ContentsHeading">
    <w:name w:val="ContentsHeading"/>
    <w:basedOn w:val="Heading"/>
    <w:next w:val="BodyText"/>
    <w:uiPriority w:val="2"/>
    <w:semiHidden/>
    <w:rsid w:val="00650F99"/>
    <w:rPr>
      <w:b/>
    </w:rPr>
  </w:style>
  <w:style w:type="paragraph" w:customStyle="1" w:styleId="Sub-bullet">
    <w:name w:val="Sub-bullet"/>
    <w:basedOn w:val="Normal"/>
    <w:uiPriority w:val="1"/>
    <w:qFormat/>
    <w:rsid w:val="00C42C64"/>
    <w:pPr>
      <w:numPr>
        <w:numId w:val="5"/>
      </w:numPr>
      <w:tabs>
        <w:tab w:val="left" w:pos="794"/>
      </w:tabs>
      <w:spacing w:after="120"/>
    </w:pPr>
  </w:style>
  <w:style w:type="paragraph" w:customStyle="1" w:styleId="FooterEven">
    <w:name w:val="Footer Even"/>
    <w:basedOn w:val="Normal"/>
    <w:next w:val="Normal"/>
    <w:uiPriority w:val="99"/>
    <w:rsid w:val="00A34169"/>
    <w:pPr>
      <w:pBdr>
        <w:top w:val="single" w:sz="4" w:space="4" w:color="auto"/>
      </w:pBdr>
      <w:tabs>
        <w:tab w:val="left" w:pos="851"/>
      </w:tabs>
    </w:pPr>
    <w:rPr>
      <w:sz w:val="16"/>
    </w:rPr>
  </w:style>
  <w:style w:type="paragraph" w:customStyle="1" w:styleId="Figure">
    <w:name w:val="Figure"/>
    <w:basedOn w:val="Normal"/>
    <w:next w:val="BodyText"/>
    <w:link w:val="FigureChar"/>
    <w:uiPriority w:val="1"/>
    <w:qFormat/>
    <w:rsid w:val="00854B9D"/>
    <w:pPr>
      <w:keepNext/>
      <w:spacing w:before="120" w:after="120"/>
      <w:ind w:left="1247" w:hanging="1247"/>
    </w:pPr>
    <w:rPr>
      <w:b/>
      <w:sz w:val="18"/>
    </w:rPr>
  </w:style>
  <w:style w:type="character" w:styleId="FootnoteReference">
    <w:name w:val="footnote reference"/>
    <w:uiPriority w:val="99"/>
    <w:semiHidden/>
    <w:rsid w:val="00CE19C1"/>
    <w:rPr>
      <w:rFonts w:ascii="Calibri" w:hAnsi="Calibri"/>
      <w:sz w:val="22"/>
      <w:vertAlign w:val="superscript"/>
    </w:rPr>
  </w:style>
  <w:style w:type="paragraph" w:styleId="FootnoteText">
    <w:name w:val="footnote text"/>
    <w:basedOn w:val="Normal"/>
    <w:link w:val="FootnoteTextChar"/>
    <w:uiPriority w:val="99"/>
    <w:semiHidden/>
    <w:qFormat/>
    <w:rsid w:val="0032349D"/>
    <w:pPr>
      <w:spacing w:after="60"/>
      <w:ind w:left="284" w:hanging="284"/>
    </w:pPr>
    <w:rPr>
      <w:sz w:val="19"/>
    </w:rPr>
  </w:style>
  <w:style w:type="character" w:styleId="Hyperlink">
    <w:name w:val="Hyperlink"/>
    <w:uiPriority w:val="99"/>
    <w:rsid w:val="00A430C1"/>
    <w:rPr>
      <w:color w:val="32809C"/>
      <w:u w:val="none"/>
    </w:rPr>
  </w:style>
  <w:style w:type="paragraph" w:customStyle="1" w:styleId="Imprint">
    <w:name w:val="Imprint"/>
    <w:basedOn w:val="Normal"/>
    <w:next w:val="Normal"/>
    <w:uiPriority w:val="3"/>
    <w:semiHidden/>
    <w:rsid w:val="00A34169"/>
    <w:pPr>
      <w:spacing w:after="240"/>
      <w:jc w:val="center"/>
    </w:pPr>
  </w:style>
  <w:style w:type="paragraph" w:customStyle="1" w:styleId="Noteundertable">
    <w:name w:val="Note under table"/>
    <w:basedOn w:val="Normal"/>
    <w:next w:val="Normal"/>
    <w:link w:val="NoteundertableChar"/>
    <w:qFormat/>
    <w:rsid w:val="006D3FAE"/>
    <w:pPr>
      <w:tabs>
        <w:tab w:val="left" w:pos="567"/>
      </w:tabs>
      <w:spacing w:before="120" w:after="120"/>
      <w:ind w:left="567" w:hanging="567"/>
    </w:pPr>
    <w:rPr>
      <w:sz w:val="18"/>
    </w:rPr>
  </w:style>
  <w:style w:type="paragraph" w:customStyle="1" w:styleId="FooterOdd">
    <w:name w:val="Footer Odd"/>
    <w:basedOn w:val="Normal"/>
    <w:next w:val="Normal"/>
    <w:uiPriority w:val="99"/>
    <w:rsid w:val="00A34169"/>
    <w:pPr>
      <w:pBdr>
        <w:top w:val="single" w:sz="4" w:space="4" w:color="auto"/>
      </w:pBdr>
      <w:tabs>
        <w:tab w:val="right" w:pos="7655"/>
        <w:tab w:val="right" w:pos="8505"/>
      </w:tabs>
    </w:pPr>
    <w:rPr>
      <w:sz w:val="16"/>
    </w:rPr>
  </w:style>
  <w:style w:type="character" w:styleId="PageNumber">
    <w:name w:val="page number"/>
    <w:semiHidden/>
    <w:rsid w:val="00B911D6"/>
    <w:rPr>
      <w:rFonts w:ascii="Calibri" w:hAnsi="Calibri"/>
      <w:b/>
      <w:sz w:val="22"/>
    </w:rPr>
  </w:style>
  <w:style w:type="paragraph" w:customStyle="1" w:styleId="References">
    <w:name w:val="References"/>
    <w:basedOn w:val="Normal"/>
    <w:link w:val="ReferencesChar"/>
    <w:qFormat/>
    <w:rsid w:val="00772E94"/>
    <w:pPr>
      <w:spacing w:after="120"/>
    </w:pPr>
    <w:rPr>
      <w:sz w:val="20"/>
    </w:rPr>
  </w:style>
  <w:style w:type="paragraph" w:customStyle="1" w:styleId="Source">
    <w:name w:val="Source"/>
    <w:basedOn w:val="Normal"/>
    <w:next w:val="Normal"/>
    <w:uiPriority w:val="1"/>
    <w:qFormat/>
    <w:rsid w:val="00CE19C1"/>
    <w:pPr>
      <w:tabs>
        <w:tab w:val="left" w:pos="680"/>
      </w:tabs>
      <w:spacing w:before="120"/>
    </w:pPr>
    <w:rPr>
      <w:sz w:val="16"/>
    </w:rPr>
  </w:style>
  <w:style w:type="paragraph" w:styleId="Title">
    <w:name w:val="Title"/>
    <w:basedOn w:val="Normal"/>
    <w:link w:val="TitleChar"/>
    <w:uiPriority w:val="2"/>
    <w:semiHidden/>
    <w:qFormat/>
    <w:rsid w:val="00650F99"/>
    <w:pPr>
      <w:spacing w:line="360" w:lineRule="auto"/>
      <w:jc w:val="center"/>
    </w:pPr>
    <w:rPr>
      <w:rFonts w:ascii="Georgia" w:hAnsi="Georgia"/>
      <w:b/>
      <w:color w:val="1B556B"/>
      <w:sz w:val="48"/>
    </w:rPr>
  </w:style>
  <w:style w:type="paragraph" w:styleId="Subtitle">
    <w:name w:val="Subtitle"/>
    <w:basedOn w:val="Title"/>
    <w:link w:val="SubtitleChar"/>
    <w:qFormat/>
    <w:rsid w:val="00772E94"/>
    <w:pPr>
      <w:spacing w:before="600" w:line="240" w:lineRule="auto"/>
      <w:outlineLvl w:val="1"/>
    </w:pPr>
    <w:rPr>
      <w:sz w:val="36"/>
    </w:rPr>
  </w:style>
  <w:style w:type="paragraph" w:customStyle="1" w:styleId="Table">
    <w:name w:val="Table"/>
    <w:basedOn w:val="Normal"/>
    <w:next w:val="BodyText"/>
    <w:link w:val="TableChar"/>
    <w:rsid w:val="007409A3"/>
    <w:pPr>
      <w:keepNext/>
      <w:spacing w:before="120" w:after="120"/>
      <w:ind w:left="1247" w:hanging="1247"/>
    </w:pPr>
    <w:rPr>
      <w:b/>
      <w:sz w:val="18"/>
    </w:rPr>
  </w:style>
  <w:style w:type="paragraph" w:customStyle="1" w:styleId="TableText">
    <w:name w:val="TableText"/>
    <w:basedOn w:val="Normal"/>
    <w:link w:val="TableTextChar"/>
    <w:qFormat/>
    <w:rsid w:val="00CE19C1"/>
    <w:pPr>
      <w:spacing w:before="60" w:after="60"/>
    </w:pPr>
    <w:rPr>
      <w:sz w:val="16"/>
    </w:rPr>
  </w:style>
  <w:style w:type="paragraph" w:customStyle="1" w:styleId="TableTextBold">
    <w:name w:val="TableText Bold"/>
    <w:basedOn w:val="TableText"/>
    <w:link w:val="TableTextBoldChar"/>
    <w:qFormat/>
    <w:rsid w:val="00F511A7"/>
    <w:rPr>
      <w:b/>
      <w:noProof/>
    </w:rPr>
  </w:style>
  <w:style w:type="paragraph" w:styleId="TOC1">
    <w:name w:val="toc 1"/>
    <w:basedOn w:val="Normal"/>
    <w:next w:val="Normal"/>
    <w:uiPriority w:val="39"/>
    <w:qFormat/>
    <w:rsid w:val="00772488"/>
    <w:pPr>
      <w:tabs>
        <w:tab w:val="right" w:pos="8505"/>
      </w:tabs>
      <w:spacing w:before="220"/>
      <w:ind w:right="567"/>
    </w:pPr>
  </w:style>
  <w:style w:type="paragraph" w:styleId="TOC2">
    <w:name w:val="toc 2"/>
    <w:basedOn w:val="Normal"/>
    <w:next w:val="Normal"/>
    <w:uiPriority w:val="39"/>
    <w:qFormat/>
    <w:rsid w:val="00772488"/>
    <w:pPr>
      <w:tabs>
        <w:tab w:val="left" w:pos="1134"/>
        <w:tab w:val="right" w:pos="8505"/>
      </w:tabs>
      <w:spacing w:before="120"/>
      <w:ind w:left="1134" w:right="567" w:hanging="567"/>
    </w:pPr>
    <w:rPr>
      <w:sz w:val="20"/>
    </w:rPr>
  </w:style>
  <w:style w:type="paragraph" w:styleId="TOC3">
    <w:name w:val="toc 3"/>
    <w:basedOn w:val="Normal"/>
    <w:next w:val="Normal"/>
    <w:uiPriority w:val="39"/>
    <w:qFormat/>
    <w:rsid w:val="005C3384"/>
    <w:pPr>
      <w:tabs>
        <w:tab w:val="left" w:pos="1701"/>
        <w:tab w:val="right" w:pos="7938"/>
      </w:tabs>
      <w:spacing w:before="120" w:after="120"/>
      <w:ind w:left="1134"/>
    </w:pPr>
    <w:rPr>
      <w:rFonts w:ascii="Arial" w:hAnsi="Arial"/>
      <w:sz w:val="20"/>
    </w:rPr>
  </w:style>
  <w:style w:type="paragraph" w:styleId="Caption">
    <w:name w:val="caption"/>
    <w:basedOn w:val="Normal"/>
    <w:next w:val="Normal"/>
    <w:semiHidden/>
    <w:qFormat/>
    <w:rsid w:val="00CE19C1"/>
    <w:pPr>
      <w:tabs>
        <w:tab w:val="left" w:pos="851"/>
      </w:tabs>
    </w:pPr>
    <w:rPr>
      <w:bCs/>
      <w:sz w:val="18"/>
    </w:rPr>
  </w:style>
  <w:style w:type="paragraph" w:customStyle="1" w:styleId="TableBullet">
    <w:name w:val="TableBullet"/>
    <w:basedOn w:val="TableText"/>
    <w:next w:val="TableText"/>
    <w:qFormat/>
    <w:rsid w:val="00546A6A"/>
    <w:pPr>
      <w:numPr>
        <w:numId w:val="3"/>
      </w:numPr>
    </w:pPr>
    <w:rPr>
      <w:szCs w:val="16"/>
    </w:rPr>
  </w:style>
  <w:style w:type="paragraph" w:styleId="TableofFigures">
    <w:name w:val="table of figures"/>
    <w:basedOn w:val="Normal"/>
    <w:next w:val="Normal"/>
    <w:uiPriority w:val="99"/>
    <w:rsid w:val="00773F98"/>
    <w:pPr>
      <w:tabs>
        <w:tab w:val="right" w:pos="8505"/>
      </w:tabs>
      <w:spacing w:before="20" w:after="20"/>
      <w:ind w:left="1247" w:right="567" w:hanging="1247"/>
    </w:pPr>
    <w:rPr>
      <w:sz w:val="20"/>
    </w:rPr>
  </w:style>
  <w:style w:type="paragraph" w:styleId="BalloonText">
    <w:name w:val="Balloon Text"/>
    <w:aliases w:val=" Char6,Char6"/>
    <w:basedOn w:val="Normal"/>
    <w:link w:val="BalloonTextChar"/>
    <w:uiPriority w:val="99"/>
    <w:semiHidden/>
    <w:unhideWhenUsed/>
    <w:rsid w:val="007409A3"/>
    <w:rPr>
      <w:rFonts w:ascii="Segoe UI" w:hAnsi="Segoe UI" w:cs="Segoe UI"/>
      <w:sz w:val="18"/>
      <w:szCs w:val="18"/>
    </w:rPr>
  </w:style>
  <w:style w:type="character" w:customStyle="1" w:styleId="BalloonTextChar">
    <w:name w:val="Balloon Text Char"/>
    <w:aliases w:val=" Char6 Char,Char6 Char"/>
    <w:link w:val="BalloonText"/>
    <w:uiPriority w:val="99"/>
    <w:semiHidden/>
    <w:rsid w:val="007409A3"/>
    <w:rPr>
      <w:rFonts w:ascii="Segoe UI" w:hAnsi="Segoe UI" w:cs="Segoe UI"/>
      <w:sz w:val="18"/>
      <w:szCs w:val="18"/>
    </w:rPr>
  </w:style>
  <w:style w:type="character" w:customStyle="1" w:styleId="Heading1Char">
    <w:name w:val="Heading 1 Char"/>
    <w:link w:val="Heading1"/>
    <w:rsid w:val="00CF5C97"/>
    <w:rPr>
      <w:rFonts w:ascii="Georgia" w:hAnsi="Georgia"/>
      <w:bCs/>
      <w:color w:val="1B556B"/>
      <w:sz w:val="48"/>
      <w:szCs w:val="22"/>
    </w:rPr>
  </w:style>
  <w:style w:type="character" w:customStyle="1" w:styleId="Heading6Char">
    <w:name w:val="Heading 6 Char"/>
    <w:basedOn w:val="DefaultParagraphFont"/>
    <w:link w:val="Heading6"/>
    <w:rsid w:val="000A09C5"/>
    <w:rPr>
      <w:rFonts w:eastAsiaTheme="majorEastAsia" w:cs="Calibri"/>
      <w:b/>
      <w:bCs/>
      <w:color w:val="0E2A35" w:themeColor="accent1" w:themeShade="7F"/>
      <w:sz w:val="22"/>
      <w:szCs w:val="22"/>
    </w:rPr>
  </w:style>
  <w:style w:type="character" w:customStyle="1" w:styleId="BodyTextChar">
    <w:name w:val="Body Text Char"/>
    <w:basedOn w:val="DefaultParagraphFont"/>
    <w:link w:val="BodyText"/>
    <w:rsid w:val="009206D2"/>
    <w:rPr>
      <w:sz w:val="22"/>
      <w:szCs w:val="22"/>
    </w:rPr>
  </w:style>
  <w:style w:type="character" w:customStyle="1" w:styleId="BulletChar">
    <w:name w:val="Bullet Char"/>
    <w:link w:val="Bullet"/>
    <w:locked/>
    <w:rsid w:val="009206D2"/>
    <w:rPr>
      <w:sz w:val="22"/>
      <w:szCs w:val="22"/>
    </w:rPr>
  </w:style>
  <w:style w:type="character" w:customStyle="1" w:styleId="Heading7Char">
    <w:name w:val="Heading 7 Char"/>
    <w:aliases w:val=" Char15 Char,Char15 Char"/>
    <w:basedOn w:val="DefaultParagraphFont"/>
    <w:link w:val="Heading7"/>
    <w:semiHidden/>
    <w:rsid w:val="00FB2AFE"/>
    <w:rPr>
      <w:rFonts w:ascii="Arial" w:hAnsi="Arial"/>
      <w:i/>
      <w:iCs/>
      <w:color w:val="404040"/>
      <w:sz w:val="22"/>
      <w:szCs w:val="22"/>
      <w:lang w:eastAsia="en-US"/>
    </w:rPr>
  </w:style>
  <w:style w:type="character" w:customStyle="1" w:styleId="Heading8Char">
    <w:name w:val="Heading 8 Char"/>
    <w:aliases w:val=" Char14 Char,Char14 Char"/>
    <w:basedOn w:val="DefaultParagraphFont"/>
    <w:link w:val="Heading8"/>
    <w:semiHidden/>
    <w:rsid w:val="00FB2AFE"/>
    <w:rPr>
      <w:rFonts w:ascii="Arial" w:hAnsi="Arial"/>
      <w:color w:val="4F81BD"/>
      <w:lang w:eastAsia="en-US"/>
    </w:rPr>
  </w:style>
  <w:style w:type="character" w:customStyle="1" w:styleId="Heading9Char">
    <w:name w:val="Heading 9 Char"/>
    <w:aliases w:val=" Char13 Char,Char13 Char"/>
    <w:basedOn w:val="DefaultParagraphFont"/>
    <w:link w:val="Heading9"/>
    <w:semiHidden/>
    <w:rsid w:val="00FB2AFE"/>
    <w:rPr>
      <w:rFonts w:ascii="Arial" w:hAnsi="Arial"/>
      <w:i/>
      <w:iCs/>
      <w:color w:val="404040"/>
      <w:lang w:eastAsia="en-US"/>
    </w:rPr>
  </w:style>
  <w:style w:type="character" w:customStyle="1" w:styleId="Heading2Char">
    <w:name w:val="Heading 2 Char"/>
    <w:link w:val="Heading2"/>
    <w:rsid w:val="00793763"/>
    <w:rPr>
      <w:rFonts w:ascii="Georgia" w:hAnsi="Georgia"/>
      <w:b/>
      <w:color w:val="1B556B"/>
      <w:sz w:val="32"/>
      <w:szCs w:val="22"/>
    </w:rPr>
  </w:style>
  <w:style w:type="character" w:customStyle="1" w:styleId="Heading3Char">
    <w:name w:val="Heading 3 Char"/>
    <w:link w:val="Heading3"/>
    <w:rsid w:val="00094891"/>
    <w:rPr>
      <w:rFonts w:ascii="Georgia" w:hAnsi="Georgia"/>
      <w:b/>
      <w:color w:val="1B556B"/>
      <w:sz w:val="26"/>
      <w:szCs w:val="22"/>
    </w:rPr>
  </w:style>
  <w:style w:type="character" w:customStyle="1" w:styleId="Heading4Char">
    <w:name w:val="Heading 4 Char"/>
    <w:link w:val="Heading4"/>
    <w:rsid w:val="005E75EE"/>
    <w:rPr>
      <w:b/>
      <w:color w:val="1B556B"/>
      <w:sz w:val="22"/>
      <w:szCs w:val="22"/>
    </w:rPr>
  </w:style>
  <w:style w:type="character" w:customStyle="1" w:styleId="Heading5Char">
    <w:name w:val="Heading 5 Char"/>
    <w:link w:val="Heading5"/>
    <w:rsid w:val="00BF2A76"/>
    <w:rPr>
      <w:bCs/>
      <w:i/>
      <w:iCs/>
      <w:color w:val="1B556B"/>
      <w:sz w:val="22"/>
      <w:szCs w:val="26"/>
    </w:rPr>
  </w:style>
  <w:style w:type="character" w:customStyle="1" w:styleId="HeaderChar">
    <w:name w:val="Header Char"/>
    <w:link w:val="Header"/>
    <w:rsid w:val="0061176E"/>
    <w:rPr>
      <w:b/>
      <w:bCs/>
      <w:color w:val="C00000"/>
      <w:sz w:val="26"/>
      <w:szCs w:val="26"/>
    </w:rPr>
  </w:style>
  <w:style w:type="character" w:customStyle="1" w:styleId="FootnoteTextChar">
    <w:name w:val="Footnote Text Char"/>
    <w:link w:val="FootnoteText"/>
    <w:uiPriority w:val="99"/>
    <w:semiHidden/>
    <w:rsid w:val="00BB3235"/>
    <w:rPr>
      <w:sz w:val="19"/>
      <w:szCs w:val="22"/>
    </w:rPr>
  </w:style>
  <w:style w:type="paragraph" w:customStyle="1" w:styleId="OddFooter">
    <w:name w:val="Odd Footer"/>
    <w:basedOn w:val="Normal"/>
    <w:next w:val="Normal"/>
    <w:semiHidden/>
    <w:rsid w:val="00FB2AFE"/>
    <w:pPr>
      <w:pBdr>
        <w:top w:val="single" w:sz="4" w:space="4" w:color="auto"/>
      </w:pBdr>
      <w:tabs>
        <w:tab w:val="right" w:pos="7655"/>
        <w:tab w:val="right" w:pos="8505"/>
      </w:tabs>
    </w:pPr>
    <w:rPr>
      <w:sz w:val="16"/>
    </w:rPr>
  </w:style>
  <w:style w:type="character" w:customStyle="1" w:styleId="TitleChar">
    <w:name w:val="Title Char"/>
    <w:link w:val="Title"/>
    <w:uiPriority w:val="2"/>
    <w:semiHidden/>
    <w:rsid w:val="00053418"/>
    <w:rPr>
      <w:rFonts w:ascii="Georgia" w:hAnsi="Georgia"/>
      <w:b/>
      <w:color w:val="1B556B"/>
      <w:sz w:val="48"/>
      <w:szCs w:val="22"/>
    </w:rPr>
  </w:style>
  <w:style w:type="character" w:customStyle="1" w:styleId="SubtitleChar">
    <w:name w:val="Subtitle Char"/>
    <w:link w:val="Subtitle"/>
    <w:rsid w:val="00FB2AFE"/>
    <w:rPr>
      <w:rFonts w:ascii="Georgia" w:hAnsi="Georgia"/>
      <w:b/>
      <w:color w:val="1B556B"/>
      <w:sz w:val="36"/>
      <w:szCs w:val="22"/>
    </w:rPr>
  </w:style>
  <w:style w:type="character" w:customStyle="1" w:styleId="TableTextBoldChar">
    <w:name w:val="TableText Bold Char"/>
    <w:link w:val="TableTextBold"/>
    <w:rsid w:val="00FB2AFE"/>
    <w:rPr>
      <w:b/>
      <w:noProof/>
      <w:sz w:val="16"/>
      <w:szCs w:val="22"/>
    </w:rPr>
  </w:style>
  <w:style w:type="character" w:customStyle="1" w:styleId="TableTextChar">
    <w:name w:val="TableText Char"/>
    <w:link w:val="TableText"/>
    <w:rsid w:val="00FB2AFE"/>
    <w:rPr>
      <w:sz w:val="16"/>
      <w:szCs w:val="22"/>
    </w:rPr>
  </w:style>
  <w:style w:type="character" w:customStyle="1" w:styleId="FigureChar">
    <w:name w:val="Figure Char"/>
    <w:link w:val="Figure"/>
    <w:uiPriority w:val="1"/>
    <w:rsid w:val="00FB2AFE"/>
    <w:rPr>
      <w:b/>
      <w:sz w:val="18"/>
      <w:szCs w:val="22"/>
    </w:rPr>
  </w:style>
  <w:style w:type="character" w:customStyle="1" w:styleId="ReferencesChar">
    <w:name w:val="References Char"/>
    <w:link w:val="References"/>
    <w:rsid w:val="00FB2AFE"/>
    <w:rPr>
      <w:szCs w:val="22"/>
    </w:rPr>
  </w:style>
  <w:style w:type="character" w:customStyle="1" w:styleId="TableChar">
    <w:name w:val="Table Char"/>
    <w:link w:val="Table"/>
    <w:locked/>
    <w:rsid w:val="00FB2AFE"/>
    <w:rPr>
      <w:b/>
      <w:sz w:val="18"/>
      <w:szCs w:val="22"/>
    </w:rPr>
  </w:style>
  <w:style w:type="paragraph" w:styleId="TOCHeading">
    <w:name w:val="TOC Heading"/>
    <w:basedOn w:val="Heading1"/>
    <w:next w:val="Normal"/>
    <w:uiPriority w:val="39"/>
    <w:semiHidden/>
    <w:qFormat/>
    <w:rsid w:val="00FB2AFE"/>
    <w:pPr>
      <w:keepLines/>
      <w:pBdr>
        <w:bottom w:val="none" w:sz="0" w:space="0" w:color="auto"/>
      </w:pBdr>
      <w:spacing w:before="480" w:after="0"/>
      <w:jc w:val="both"/>
      <w:outlineLvl w:val="9"/>
    </w:pPr>
    <w:rPr>
      <w:b/>
      <w:bCs w:val="0"/>
      <w:sz w:val="28"/>
      <w:szCs w:val="28"/>
    </w:rPr>
  </w:style>
  <w:style w:type="paragraph" w:customStyle="1" w:styleId="Footereven0">
    <w:name w:val="Footer even"/>
    <w:basedOn w:val="EvenFooter"/>
    <w:uiPriority w:val="2"/>
    <w:semiHidden/>
    <w:qFormat/>
    <w:rsid w:val="005D02EF"/>
  </w:style>
  <w:style w:type="character" w:customStyle="1" w:styleId="CommentTextChar">
    <w:name w:val="Comment Text Char"/>
    <w:aliases w:val=" Char7 Char,Char7 Char"/>
    <w:link w:val="CommentText"/>
    <w:uiPriority w:val="99"/>
    <w:semiHidden/>
    <w:qFormat/>
    <w:rsid w:val="00BB3235"/>
    <w:rPr>
      <w:rFonts w:eastAsia="Arial"/>
    </w:rPr>
  </w:style>
  <w:style w:type="character" w:customStyle="1" w:styleId="CommentTextChar1">
    <w:name w:val="Comment Text Char1"/>
    <w:basedOn w:val="DefaultParagraphFont"/>
    <w:uiPriority w:val="99"/>
    <w:semiHidden/>
    <w:rsid w:val="00FB2AFE"/>
  </w:style>
  <w:style w:type="character" w:customStyle="1" w:styleId="CommentSubjectChar1">
    <w:name w:val="Comment Subject Char1"/>
    <w:aliases w:val="Char5 Char1"/>
    <w:uiPriority w:val="99"/>
    <w:semiHidden/>
    <w:rsid w:val="00FB2AFE"/>
    <w:rPr>
      <w:b/>
      <w:bCs/>
    </w:rPr>
  </w:style>
  <w:style w:type="paragraph" w:customStyle="1" w:styleId="Default">
    <w:name w:val="Default"/>
    <w:semiHidden/>
    <w:rsid w:val="00FB2AFE"/>
    <w:pPr>
      <w:autoSpaceDE w:val="0"/>
      <w:autoSpaceDN w:val="0"/>
      <w:adjustRightInd w:val="0"/>
    </w:pPr>
    <w:rPr>
      <w:rFonts w:ascii="JBHHJB+Arial,Bold" w:hAnsi="JBHHJB+Arial,Bold" w:cs="JBHHJB+Arial,Bold"/>
      <w:i/>
      <w:color w:val="000000"/>
      <w:sz w:val="24"/>
      <w:szCs w:val="24"/>
    </w:rPr>
  </w:style>
  <w:style w:type="character" w:customStyle="1" w:styleId="EndnoteTextChar">
    <w:name w:val="Endnote Text Char"/>
    <w:aliases w:val=" Char3 Char,Char3 Char"/>
    <w:link w:val="EndnoteText"/>
    <w:semiHidden/>
    <w:rsid w:val="00FB2AFE"/>
    <w:rPr>
      <w:i/>
    </w:rPr>
  </w:style>
  <w:style w:type="paragraph" w:styleId="EndnoteText">
    <w:name w:val="endnote text"/>
    <w:aliases w:val=" Char3,Char3"/>
    <w:basedOn w:val="Normal"/>
    <w:link w:val="EndnoteTextChar"/>
    <w:semiHidden/>
    <w:rsid w:val="00FB2AFE"/>
    <w:pPr>
      <w:spacing w:after="120"/>
    </w:pPr>
    <w:rPr>
      <w:i/>
      <w:sz w:val="20"/>
      <w:szCs w:val="20"/>
    </w:rPr>
  </w:style>
  <w:style w:type="character" w:customStyle="1" w:styleId="EndnoteTextChar1">
    <w:name w:val="Endnote Text Char1"/>
    <w:aliases w:val="Char3 Char1"/>
    <w:basedOn w:val="DefaultParagraphFont"/>
    <w:uiPriority w:val="99"/>
    <w:semiHidden/>
    <w:rsid w:val="00FB2AFE"/>
  </w:style>
  <w:style w:type="character" w:styleId="Emphasis">
    <w:name w:val="Emphasis"/>
    <w:uiPriority w:val="20"/>
    <w:semiHidden/>
    <w:qFormat/>
    <w:rsid w:val="00FB2AFE"/>
    <w:rPr>
      <w:i/>
      <w:iCs/>
    </w:rPr>
  </w:style>
  <w:style w:type="character" w:customStyle="1" w:styleId="BulletsChar">
    <w:name w:val="Bullets Char"/>
    <w:link w:val="Bullets"/>
    <w:semiHidden/>
    <w:rsid w:val="00FB2AFE"/>
  </w:style>
  <w:style w:type="paragraph" w:customStyle="1" w:styleId="Bullets">
    <w:name w:val="Bullets"/>
    <w:basedOn w:val="Normal"/>
    <w:link w:val="BulletsChar"/>
    <w:semiHidden/>
    <w:rsid w:val="00FB2AFE"/>
    <w:pPr>
      <w:tabs>
        <w:tab w:val="left" w:pos="397"/>
      </w:tabs>
      <w:spacing w:before="120"/>
      <w:ind w:left="397" w:hanging="397"/>
    </w:pPr>
    <w:rPr>
      <w:sz w:val="20"/>
      <w:szCs w:val="20"/>
    </w:rPr>
  </w:style>
  <w:style w:type="paragraph" w:styleId="Revision">
    <w:name w:val="Revision"/>
    <w:hidden/>
    <w:uiPriority w:val="99"/>
    <w:rsid w:val="00FB2AFE"/>
    <w:rPr>
      <w:rFonts w:ascii="Times New Roman" w:hAnsi="Times New Roman"/>
      <w:i/>
      <w:sz w:val="22"/>
      <w:lang w:eastAsia="en-US"/>
    </w:rPr>
  </w:style>
  <w:style w:type="character" w:customStyle="1" w:styleId="PlainTextChar1">
    <w:name w:val="Plain Text Char1"/>
    <w:aliases w:val="Char2 Char1"/>
    <w:uiPriority w:val="99"/>
    <w:semiHidden/>
    <w:rsid w:val="00FB2AFE"/>
    <w:rPr>
      <w:rFonts w:ascii="Courier New" w:hAnsi="Courier New" w:cs="Courier New"/>
      <w:lang w:eastAsia="en-US"/>
    </w:rPr>
  </w:style>
  <w:style w:type="paragraph" w:styleId="ListBullet">
    <w:name w:val="List Bullet"/>
    <w:basedOn w:val="Normal"/>
    <w:semiHidden/>
    <w:rsid w:val="00FB2AFE"/>
    <w:pPr>
      <w:numPr>
        <w:numId w:val="6"/>
      </w:numPr>
      <w:spacing w:after="120"/>
    </w:pPr>
    <w:rPr>
      <w:rFonts w:ascii="Arial" w:hAnsi="Arial"/>
      <w:sz w:val="24"/>
      <w:lang w:eastAsia="en-US"/>
    </w:rPr>
  </w:style>
  <w:style w:type="paragraph" w:styleId="ListBullet2">
    <w:name w:val="List Bullet 2"/>
    <w:basedOn w:val="ListBullet"/>
    <w:semiHidden/>
    <w:rsid w:val="00FB2AFE"/>
    <w:pPr>
      <w:numPr>
        <w:numId w:val="7"/>
      </w:numPr>
      <w:tabs>
        <w:tab w:val="clear" w:pos="643"/>
        <w:tab w:val="num" w:pos="720"/>
      </w:tabs>
      <w:ind w:left="720"/>
    </w:pPr>
  </w:style>
  <w:style w:type="paragraph" w:styleId="ListBullet3">
    <w:name w:val="List Bullet 3"/>
    <w:basedOn w:val="ListBullet2"/>
    <w:semiHidden/>
    <w:rsid w:val="00FB2AFE"/>
    <w:pPr>
      <w:numPr>
        <w:numId w:val="8"/>
      </w:numPr>
      <w:tabs>
        <w:tab w:val="clear" w:pos="926"/>
        <w:tab w:val="num" w:pos="1080"/>
      </w:tabs>
      <w:ind w:left="720" w:firstLine="0"/>
    </w:pPr>
  </w:style>
  <w:style w:type="paragraph" w:styleId="ListBullet4">
    <w:name w:val="List Bullet 4"/>
    <w:basedOn w:val="ListBullet3"/>
    <w:semiHidden/>
    <w:rsid w:val="00FB2AFE"/>
    <w:pPr>
      <w:numPr>
        <w:numId w:val="9"/>
      </w:numPr>
      <w:tabs>
        <w:tab w:val="clear" w:pos="1209"/>
        <w:tab w:val="left" w:pos="1435"/>
      </w:tabs>
      <w:ind w:left="1434" w:hanging="357"/>
    </w:pPr>
  </w:style>
  <w:style w:type="paragraph" w:styleId="ListBullet5">
    <w:name w:val="List Bullet 5"/>
    <w:basedOn w:val="ListBullet4"/>
    <w:semiHidden/>
    <w:rsid w:val="00FB2AFE"/>
    <w:pPr>
      <w:numPr>
        <w:numId w:val="10"/>
      </w:numPr>
      <w:tabs>
        <w:tab w:val="clear" w:pos="1435"/>
        <w:tab w:val="clear" w:pos="1492"/>
        <w:tab w:val="num" w:pos="1794"/>
      </w:tabs>
      <w:ind w:left="1794"/>
    </w:pPr>
  </w:style>
  <w:style w:type="paragraph" w:customStyle="1" w:styleId="Numberedparagraph">
    <w:name w:val="Numbered paragraph"/>
    <w:basedOn w:val="Normal"/>
    <w:qFormat/>
    <w:rsid w:val="00DF09FC"/>
    <w:pPr>
      <w:numPr>
        <w:numId w:val="12"/>
      </w:numPr>
      <w:spacing w:after="120"/>
    </w:pPr>
    <w:rPr>
      <w:rFonts w:cs="Calibri"/>
      <w:lang w:eastAsia="en-US"/>
    </w:rPr>
  </w:style>
  <w:style w:type="paragraph" w:customStyle="1" w:styleId="Sub-list">
    <w:name w:val="Sub-list"/>
    <w:basedOn w:val="Normal"/>
    <w:semiHidden/>
    <w:rsid w:val="00FB2AFE"/>
    <w:pPr>
      <w:numPr>
        <w:numId w:val="14"/>
      </w:numPr>
      <w:tabs>
        <w:tab w:val="clear" w:pos="397"/>
        <w:tab w:val="num" w:pos="360"/>
        <w:tab w:val="left" w:pos="794"/>
      </w:tabs>
      <w:spacing w:before="60" w:after="120"/>
      <w:ind w:left="794" w:hanging="397"/>
    </w:pPr>
    <w:rPr>
      <w:rFonts w:ascii="Times New Roman" w:hAnsi="Times New Roman"/>
      <w:lang w:eastAsia="en-US"/>
    </w:rPr>
  </w:style>
  <w:style w:type="paragraph" w:customStyle="1" w:styleId="Sub-lista">
    <w:name w:val="Sub-list a"/>
    <w:aliases w:val="b"/>
    <w:basedOn w:val="Normal"/>
    <w:rsid w:val="00FB2AFE"/>
    <w:pPr>
      <w:numPr>
        <w:numId w:val="13"/>
      </w:numPr>
      <w:tabs>
        <w:tab w:val="clear" w:pos="794"/>
        <w:tab w:val="left" w:pos="397"/>
      </w:tabs>
      <w:spacing w:after="120"/>
    </w:pPr>
    <w:rPr>
      <w:rFonts w:cs="Calibri"/>
      <w:lang w:eastAsia="ko-KR"/>
    </w:rPr>
  </w:style>
  <w:style w:type="paragraph" w:customStyle="1" w:styleId="Sub-listi">
    <w:name w:val="Sub-list i"/>
    <w:aliases w:val="ii"/>
    <w:basedOn w:val="BodyText"/>
    <w:rsid w:val="00FB2AFE"/>
    <w:pPr>
      <w:numPr>
        <w:numId w:val="15"/>
      </w:numPr>
      <w:tabs>
        <w:tab w:val="clear" w:pos="1191"/>
        <w:tab w:val="num" w:pos="360"/>
      </w:tabs>
      <w:spacing w:before="0"/>
      <w:ind w:left="397"/>
    </w:pPr>
  </w:style>
  <w:style w:type="paragraph" w:customStyle="1" w:styleId="TableDash">
    <w:name w:val="TableDash"/>
    <w:basedOn w:val="Normal"/>
    <w:rsid w:val="00B71C61"/>
    <w:pPr>
      <w:numPr>
        <w:numId w:val="16"/>
      </w:numPr>
      <w:tabs>
        <w:tab w:val="clear" w:pos="567"/>
        <w:tab w:val="num" w:pos="360"/>
      </w:tabs>
      <w:spacing w:before="20" w:after="20"/>
      <w:ind w:left="568" w:hanging="284"/>
    </w:pPr>
    <w:rPr>
      <w:rFonts w:cs="Arial"/>
      <w:sz w:val="16"/>
      <w:szCs w:val="16"/>
      <w:lang w:eastAsia="en-US"/>
    </w:rPr>
  </w:style>
  <w:style w:type="paragraph" w:customStyle="1" w:styleId="a">
    <w:name w:val="(a)"/>
    <w:aliases w:val="(b) list"/>
    <w:basedOn w:val="Normal"/>
    <w:semiHidden/>
    <w:rsid w:val="00FB2AFE"/>
    <w:pPr>
      <w:numPr>
        <w:numId w:val="11"/>
      </w:numPr>
      <w:tabs>
        <w:tab w:val="clear" w:pos="720"/>
        <w:tab w:val="num" w:pos="360"/>
      </w:tabs>
      <w:ind w:left="360"/>
    </w:pPr>
    <w:rPr>
      <w:rFonts w:ascii="Times New Roman" w:hAnsi="Times New Roman"/>
      <w:szCs w:val="20"/>
    </w:rPr>
  </w:style>
  <w:style w:type="character" w:customStyle="1" w:styleId="NoteundertableChar">
    <w:name w:val="Note under table Char"/>
    <w:link w:val="Noteundertable"/>
    <w:rsid w:val="00FB2AFE"/>
    <w:rPr>
      <w:sz w:val="18"/>
      <w:szCs w:val="22"/>
    </w:rPr>
  </w:style>
  <w:style w:type="character" w:styleId="CommentReference">
    <w:name w:val="annotation reference"/>
    <w:uiPriority w:val="99"/>
    <w:semiHidden/>
    <w:rsid w:val="00FB2AFE"/>
    <w:rPr>
      <w:sz w:val="16"/>
      <w:szCs w:val="16"/>
    </w:rPr>
  </w:style>
  <w:style w:type="character" w:styleId="FollowedHyperlink">
    <w:name w:val="FollowedHyperlink"/>
    <w:uiPriority w:val="99"/>
    <w:semiHidden/>
    <w:rsid w:val="00FB2AFE"/>
    <w:rPr>
      <w:color w:val="800080"/>
      <w:u w:val="none"/>
    </w:rPr>
  </w:style>
  <w:style w:type="paragraph" w:styleId="NormalWeb">
    <w:name w:val="Normal (Web)"/>
    <w:basedOn w:val="Normal"/>
    <w:uiPriority w:val="99"/>
    <w:semiHidden/>
    <w:rsid w:val="00FB2AFE"/>
    <w:pPr>
      <w:widowControl w:val="0"/>
      <w:adjustRightInd w:val="0"/>
      <w:spacing w:before="100" w:beforeAutospacing="1" w:after="100" w:afterAutospacing="1"/>
      <w:textAlignment w:val="baseline"/>
    </w:pPr>
    <w:rPr>
      <w:rFonts w:ascii="Times New Roman" w:hAnsi="Times New Roman"/>
      <w:szCs w:val="24"/>
      <w:lang w:val="en-GB" w:eastAsia="en-GB"/>
    </w:rPr>
  </w:style>
  <w:style w:type="table" w:styleId="Table3Deffects3">
    <w:name w:val="Table 3D effects 3"/>
    <w:basedOn w:val="TableNormal"/>
    <w:rsid w:val="00FB2AFE"/>
    <w:rPr>
      <w:rFonts w:ascii="Times New Roman" w:hAnsi="Times New Roman"/>
      <w: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aptions">
    <w:name w:val="Captions"/>
    <w:basedOn w:val="Normal"/>
    <w:next w:val="Normal"/>
    <w:semiHidden/>
    <w:rsid w:val="00FB2AFE"/>
    <w:pPr>
      <w:tabs>
        <w:tab w:val="left" w:pos="851"/>
      </w:tabs>
      <w:suppressAutoHyphens/>
      <w:spacing w:before="120" w:after="120"/>
    </w:pPr>
    <w:rPr>
      <w:rFonts w:ascii="Times New Roman" w:hAnsi="Times New Roman"/>
      <w:lang w:eastAsia="ar-SA"/>
    </w:rPr>
  </w:style>
  <w:style w:type="character" w:customStyle="1" w:styleId="FootnoteCharacters">
    <w:name w:val="Footnote Characters"/>
    <w:semiHidden/>
    <w:rsid w:val="00FB2AFE"/>
    <w:rPr>
      <w:vertAlign w:val="superscript"/>
    </w:rPr>
  </w:style>
  <w:style w:type="character" w:customStyle="1" w:styleId="EndnoteCharacters">
    <w:name w:val="Endnote Characters"/>
    <w:semiHidden/>
    <w:rsid w:val="00FB2AFE"/>
    <w:rPr>
      <w:vertAlign w:val="superscript"/>
    </w:rPr>
  </w:style>
  <w:style w:type="paragraph" w:customStyle="1" w:styleId="Index">
    <w:name w:val="Index"/>
    <w:basedOn w:val="Normal"/>
    <w:semiHidden/>
    <w:rsid w:val="00FB2AFE"/>
    <w:pPr>
      <w:suppressLineNumbers/>
      <w:suppressAutoHyphens/>
      <w:spacing w:after="120"/>
    </w:pPr>
    <w:rPr>
      <w:rFonts w:ascii="Times New Roman" w:hAnsi="Times New Roman"/>
      <w:lang w:eastAsia="ar-SA"/>
    </w:rPr>
  </w:style>
  <w:style w:type="paragraph" w:styleId="TOC4">
    <w:name w:val="toc 4"/>
    <w:basedOn w:val="Normal"/>
    <w:next w:val="Normal"/>
    <w:uiPriority w:val="39"/>
    <w:rsid w:val="00FB2AFE"/>
    <w:pPr>
      <w:tabs>
        <w:tab w:val="right" w:leader="dot" w:pos="7938"/>
      </w:tabs>
      <w:suppressAutoHyphens/>
      <w:spacing w:before="60" w:after="60"/>
      <w:ind w:left="1701"/>
    </w:pPr>
    <w:rPr>
      <w:rFonts w:ascii="Arial" w:hAnsi="Arial"/>
      <w:sz w:val="18"/>
      <w:lang w:eastAsia="ar-SA"/>
    </w:rPr>
  </w:style>
  <w:style w:type="paragraph" w:styleId="TOC5">
    <w:name w:val="toc 5"/>
    <w:basedOn w:val="Normal"/>
    <w:next w:val="Normal"/>
    <w:uiPriority w:val="39"/>
    <w:rsid w:val="00FB2AFE"/>
    <w:pPr>
      <w:tabs>
        <w:tab w:val="left" w:pos="2268"/>
        <w:tab w:val="right" w:leader="dot" w:pos="7938"/>
      </w:tabs>
      <w:suppressAutoHyphens/>
      <w:spacing w:before="60" w:after="60"/>
      <w:ind w:left="2268"/>
    </w:pPr>
    <w:rPr>
      <w:rFonts w:ascii="Arial" w:hAnsi="Arial"/>
      <w:sz w:val="18"/>
      <w:lang w:eastAsia="ar-SA"/>
    </w:rPr>
  </w:style>
  <w:style w:type="paragraph" w:styleId="TOC6">
    <w:name w:val="toc 6"/>
    <w:basedOn w:val="Normal"/>
    <w:next w:val="Normal"/>
    <w:uiPriority w:val="39"/>
    <w:rsid w:val="00FB2AFE"/>
    <w:pPr>
      <w:tabs>
        <w:tab w:val="left" w:pos="2552"/>
        <w:tab w:val="right" w:leader="dot" w:pos="7938"/>
      </w:tabs>
      <w:suppressAutoHyphens/>
      <w:spacing w:before="60" w:after="60"/>
      <w:ind w:left="2835"/>
    </w:pPr>
    <w:rPr>
      <w:rFonts w:ascii="Arial" w:hAnsi="Arial"/>
      <w:sz w:val="18"/>
      <w:lang w:eastAsia="ar-SA"/>
    </w:rPr>
  </w:style>
  <w:style w:type="paragraph" w:styleId="TOC7">
    <w:name w:val="toc 7"/>
    <w:basedOn w:val="Normal"/>
    <w:next w:val="Normal"/>
    <w:uiPriority w:val="39"/>
    <w:rsid w:val="00FB2AFE"/>
    <w:pPr>
      <w:suppressAutoHyphens/>
      <w:spacing w:after="100" w:line="276" w:lineRule="auto"/>
      <w:ind w:left="1320"/>
    </w:pPr>
    <w:rPr>
      <w:lang w:eastAsia="ar-SA"/>
    </w:rPr>
  </w:style>
  <w:style w:type="paragraph" w:styleId="TOC8">
    <w:name w:val="toc 8"/>
    <w:basedOn w:val="Normal"/>
    <w:next w:val="Normal"/>
    <w:uiPriority w:val="39"/>
    <w:rsid w:val="00FB2AFE"/>
    <w:pPr>
      <w:suppressAutoHyphens/>
      <w:spacing w:after="100" w:line="276" w:lineRule="auto"/>
      <w:ind w:left="1540"/>
    </w:pPr>
    <w:rPr>
      <w:lang w:eastAsia="ar-SA"/>
    </w:rPr>
  </w:style>
  <w:style w:type="paragraph" w:styleId="TOC9">
    <w:name w:val="toc 9"/>
    <w:basedOn w:val="Normal"/>
    <w:next w:val="Normal"/>
    <w:uiPriority w:val="39"/>
    <w:rsid w:val="00FB2AFE"/>
    <w:pPr>
      <w:suppressAutoHyphens/>
      <w:spacing w:after="100" w:line="276" w:lineRule="auto"/>
      <w:ind w:left="1760"/>
    </w:pPr>
    <w:rPr>
      <w:lang w:eastAsia="ar-SA"/>
    </w:rPr>
  </w:style>
  <w:style w:type="paragraph" w:customStyle="1" w:styleId="Glossary">
    <w:name w:val="Glossary"/>
    <w:basedOn w:val="Normal"/>
    <w:semiHidden/>
    <w:rsid w:val="00FB2AFE"/>
    <w:pPr>
      <w:tabs>
        <w:tab w:val="left" w:pos="2835"/>
      </w:tabs>
      <w:suppressAutoHyphens/>
      <w:spacing w:after="120"/>
      <w:ind w:left="2835" w:hanging="2835"/>
    </w:pPr>
    <w:rPr>
      <w:rFonts w:ascii="Times New Roman" w:hAnsi="Times New Roman"/>
      <w:lang w:eastAsia="ar-SA"/>
    </w:rPr>
  </w:style>
  <w:style w:type="paragraph" w:customStyle="1" w:styleId="Headerleft">
    <w:name w:val="Header left"/>
    <w:basedOn w:val="Normal"/>
    <w:semiHidden/>
    <w:rsid w:val="00FB2AFE"/>
    <w:pPr>
      <w:suppressLineNumbers/>
      <w:tabs>
        <w:tab w:val="center" w:pos="3968"/>
        <w:tab w:val="right" w:pos="7937"/>
      </w:tabs>
      <w:suppressAutoHyphens/>
      <w:spacing w:after="120"/>
    </w:pPr>
    <w:rPr>
      <w:rFonts w:ascii="Times New Roman" w:hAnsi="Times New Roman"/>
      <w:lang w:eastAsia="ar-SA"/>
    </w:rPr>
  </w:style>
  <w:style w:type="paragraph" w:styleId="Bibliography">
    <w:name w:val="Bibliography"/>
    <w:basedOn w:val="Normal"/>
    <w:next w:val="Normal"/>
    <w:uiPriority w:val="37"/>
    <w:semiHidden/>
    <w:rsid w:val="00FB2AFE"/>
    <w:pPr>
      <w:widowControl w:val="0"/>
      <w:adjustRightInd w:val="0"/>
      <w:spacing w:after="120"/>
      <w:textAlignment w:val="baseline"/>
    </w:pPr>
    <w:rPr>
      <w:rFonts w:ascii="Times New Roman" w:hAnsi="Times New Roman"/>
      <w:lang w:eastAsia="en-US"/>
    </w:rPr>
  </w:style>
  <w:style w:type="paragraph" w:styleId="DocumentMap">
    <w:name w:val="Document Map"/>
    <w:aliases w:val=" Char1,Char1"/>
    <w:basedOn w:val="Normal"/>
    <w:link w:val="DocumentMapChar"/>
    <w:semiHidden/>
    <w:rsid w:val="00FB2AFE"/>
    <w:pPr>
      <w:widowControl w:val="0"/>
      <w:adjustRightInd w:val="0"/>
      <w:spacing w:after="120"/>
      <w:textAlignment w:val="baseline"/>
    </w:pPr>
    <w:rPr>
      <w:rFonts w:ascii="Tahoma" w:hAnsi="Tahoma" w:cs="Tahoma"/>
      <w:sz w:val="16"/>
      <w:szCs w:val="16"/>
      <w:lang w:eastAsia="en-US"/>
    </w:rPr>
  </w:style>
  <w:style w:type="character" w:customStyle="1" w:styleId="DocumentMapChar">
    <w:name w:val="Document Map Char"/>
    <w:aliases w:val=" Char1 Char,Char1 Char"/>
    <w:basedOn w:val="DefaultParagraphFont"/>
    <w:link w:val="DocumentMap"/>
    <w:semiHidden/>
    <w:rsid w:val="00FB2AFE"/>
    <w:rPr>
      <w:rFonts w:ascii="Tahoma" w:hAnsi="Tahoma" w:cs="Tahoma"/>
      <w:sz w:val="16"/>
      <w:szCs w:val="16"/>
      <w:lang w:eastAsia="en-US"/>
    </w:rPr>
  </w:style>
  <w:style w:type="paragraph" w:customStyle="1" w:styleId="StyleHeading6Before6pt">
    <w:name w:val="Style Heading 6 + Before:  6 pt"/>
    <w:basedOn w:val="Heading6"/>
    <w:uiPriority w:val="99"/>
    <w:semiHidden/>
    <w:rsid w:val="00FB2AFE"/>
    <w:pPr>
      <w:keepLines w:val="0"/>
      <w:spacing w:before="120"/>
    </w:pPr>
    <w:rPr>
      <w:rFonts w:eastAsia="Times New Roman" w:cs="Times New Roman"/>
      <w:b w:val="0"/>
      <w:iCs/>
      <w:color w:val="auto"/>
      <w:szCs w:val="20"/>
      <w:lang w:eastAsia="en-US"/>
    </w:rPr>
  </w:style>
  <w:style w:type="paragraph" w:styleId="NormalIndent">
    <w:name w:val="Normal Indent"/>
    <w:basedOn w:val="Normal"/>
    <w:uiPriority w:val="99"/>
    <w:semiHidden/>
    <w:rsid w:val="00FB2AFE"/>
    <w:pPr>
      <w:spacing w:after="120"/>
      <w:ind w:left="567" w:right="567"/>
    </w:pPr>
    <w:rPr>
      <w:rFonts w:ascii="Times New Roman" w:hAnsi="Times New Roman"/>
      <w:lang w:eastAsia="en-US"/>
    </w:rPr>
  </w:style>
  <w:style w:type="character" w:styleId="Strong">
    <w:name w:val="Strong"/>
    <w:uiPriority w:val="22"/>
    <w:semiHidden/>
    <w:qFormat/>
    <w:rsid w:val="00FB2AFE"/>
    <w:rPr>
      <w:b/>
      <w:bCs/>
    </w:rPr>
  </w:style>
  <w:style w:type="paragraph" w:styleId="Quote">
    <w:name w:val="Quote"/>
    <w:basedOn w:val="Normal"/>
    <w:next w:val="Normal"/>
    <w:link w:val="QuoteChar"/>
    <w:uiPriority w:val="29"/>
    <w:qFormat/>
    <w:rsid w:val="00795762"/>
    <w:pPr>
      <w:spacing w:after="120"/>
      <w:ind w:left="567" w:right="567"/>
    </w:pPr>
    <w:rPr>
      <w:iCs/>
      <w:color w:val="000000"/>
      <w:sz w:val="20"/>
      <w:lang w:eastAsia="en-US"/>
    </w:rPr>
  </w:style>
  <w:style w:type="character" w:customStyle="1" w:styleId="QuoteChar">
    <w:name w:val="Quote Char"/>
    <w:basedOn w:val="DefaultParagraphFont"/>
    <w:link w:val="Quote"/>
    <w:uiPriority w:val="29"/>
    <w:rsid w:val="00795762"/>
    <w:rPr>
      <w:iCs/>
      <w:color w:val="000000"/>
      <w:szCs w:val="22"/>
      <w:lang w:eastAsia="en-US"/>
    </w:rPr>
  </w:style>
  <w:style w:type="character" w:styleId="BookTitle">
    <w:name w:val="Book Title"/>
    <w:uiPriority w:val="33"/>
    <w:semiHidden/>
    <w:qFormat/>
    <w:rsid w:val="00FB2AFE"/>
    <w:rPr>
      <w:b/>
      <w:bCs/>
      <w:smallCaps/>
      <w:spacing w:val="5"/>
    </w:rPr>
  </w:style>
  <w:style w:type="table" w:styleId="LightList-Accent1">
    <w:name w:val="Light List Accent 1"/>
    <w:basedOn w:val="TableNormal"/>
    <w:uiPriority w:val="61"/>
    <w:rsid w:val="00FB2AFE"/>
    <w:pPr>
      <w:jc w:val="right"/>
    </w:pPr>
    <w:rPr>
      <w:rFonts w:ascii="Arial" w:hAnsi="Arial"/>
      <w:szCs w:val="22"/>
      <w:lang w:eastAsia="en-US"/>
    </w:rPr>
    <w:tblPr>
      <w:tblStyleRowBandSize w:val="1"/>
      <w:tblStyleColBandSize w:val="1"/>
      <w:tblBorders>
        <w:top w:val="single" w:sz="8" w:space="0" w:color="1F497D"/>
        <w:bottom w:val="single" w:sz="8" w:space="0" w:color="1F497D"/>
        <w:insideH w:val="single" w:sz="8" w:space="0" w:color="1F497D"/>
      </w:tblBorders>
    </w:tblPr>
    <w:tcPr>
      <w:vAlign w:val="center"/>
    </w:tc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MediumShading1-Accent1">
    <w:name w:val="Medium Shading 1 Accent 1"/>
    <w:basedOn w:val="TableProfessional"/>
    <w:uiPriority w:val="63"/>
    <w:rsid w:val="00FB2AFE"/>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none" w:sz="0" w:space="0" w:color="auto"/>
      </w:tblBorders>
    </w:tblPr>
    <w:tcPr>
      <w:shd w:val="clear" w:color="auto" w:fill="auto"/>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l2br w:val="none" w:sz="0" w:space="0" w:color="auto"/>
          <w:tr2bl w:val="none" w:sz="0" w:space="0" w:color="auto"/>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TableProfessional">
    <w:name w:val="Table Professional"/>
    <w:basedOn w:val="TableNormal"/>
    <w:uiPriority w:val="99"/>
    <w:semiHidden/>
    <w:unhideWhenUsed/>
    <w:rsid w:val="00FB2AFE"/>
    <w:pPr>
      <w:spacing w:after="120"/>
      <w:jc w:val="both"/>
    </w:pPr>
    <w:rPr>
      <w:rFonts w:ascii="Arial" w:hAnsi="Arial"/>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PlaceholderText">
    <w:name w:val="Placeholder Text"/>
    <w:uiPriority w:val="99"/>
    <w:semiHidden/>
    <w:rsid w:val="00FB2AFE"/>
    <w:rPr>
      <w:color w:val="808080"/>
    </w:rPr>
  </w:style>
  <w:style w:type="table" w:customStyle="1" w:styleId="LightList-Accent11">
    <w:name w:val="Light List - Accent 11"/>
    <w:basedOn w:val="TableNormal"/>
    <w:next w:val="LightList-Accent1"/>
    <w:uiPriority w:val="61"/>
    <w:rsid w:val="00FB2AFE"/>
    <w:rPr>
      <w:rFonts w:eastAsia="Arial"/>
      <w:sz w:val="16"/>
      <w:szCs w:val="22"/>
      <w:lang w:eastAsia="en-US"/>
    </w:rPr>
    <w:tblPr>
      <w:tblStyleRowBandSize w:val="1"/>
      <w:tblStyleColBandSize w:val="1"/>
      <w:tblBorders>
        <w:top w:val="single" w:sz="8" w:space="0" w:color="365F91"/>
        <w:left w:val="single" w:sz="8" w:space="0" w:color="365F91"/>
        <w:bottom w:val="single" w:sz="8" w:space="0" w:color="365F91"/>
        <w:right w:val="single" w:sz="8" w:space="0" w:color="365F91"/>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IntenseEmphasis">
    <w:name w:val="Intense Emphasis"/>
    <w:uiPriority w:val="21"/>
    <w:semiHidden/>
    <w:qFormat/>
    <w:rsid w:val="00FB2AFE"/>
    <w:rPr>
      <w:b w:val="0"/>
      <w:bCs/>
      <w:i w:val="0"/>
      <w:iCs/>
      <w:color w:val="4F81BD"/>
    </w:rPr>
  </w:style>
  <w:style w:type="paragraph" w:customStyle="1" w:styleId="Tableboldblue">
    <w:name w:val="Table bold blue"/>
    <w:basedOn w:val="Normal"/>
    <w:qFormat/>
    <w:rsid w:val="00FB2AFE"/>
    <w:pPr>
      <w:spacing w:before="60" w:after="60"/>
    </w:pPr>
    <w:rPr>
      <w:b/>
      <w:color w:val="1B556B" w:themeColor="text2"/>
      <w:sz w:val="16"/>
      <w:lang w:eastAsia="en-US"/>
    </w:rPr>
  </w:style>
  <w:style w:type="character" w:customStyle="1" w:styleId="BodyText3Char">
    <w:name w:val="Body Text 3 Char"/>
    <w:link w:val="BodyText3"/>
    <w:uiPriority w:val="99"/>
    <w:semiHidden/>
    <w:rsid w:val="00FB2AFE"/>
    <w:rPr>
      <w:rFonts w:eastAsia="MS Mincho"/>
      <w:sz w:val="16"/>
      <w:szCs w:val="16"/>
      <w:lang w:eastAsia="ja-JP"/>
    </w:rPr>
  </w:style>
  <w:style w:type="paragraph" w:styleId="BodyText3">
    <w:name w:val="Body Text 3"/>
    <w:basedOn w:val="Normal"/>
    <w:link w:val="BodyText3Char"/>
    <w:uiPriority w:val="99"/>
    <w:semiHidden/>
    <w:rsid w:val="00FB2AFE"/>
    <w:pPr>
      <w:spacing w:after="120"/>
    </w:pPr>
    <w:rPr>
      <w:rFonts w:eastAsia="MS Mincho"/>
      <w:sz w:val="16"/>
      <w:szCs w:val="16"/>
      <w:lang w:eastAsia="ja-JP"/>
    </w:rPr>
  </w:style>
  <w:style w:type="character" w:customStyle="1" w:styleId="BodyText3Char1">
    <w:name w:val="Body Text 3 Char1"/>
    <w:basedOn w:val="DefaultParagraphFont"/>
    <w:uiPriority w:val="99"/>
    <w:semiHidden/>
    <w:rsid w:val="00FB2AFE"/>
    <w:rPr>
      <w:sz w:val="16"/>
      <w:szCs w:val="16"/>
    </w:rPr>
  </w:style>
  <w:style w:type="character" w:customStyle="1" w:styleId="BodyTextFirstIndentChar">
    <w:name w:val="Body Text First Indent Char"/>
    <w:link w:val="BodyTextFirstIndent"/>
    <w:uiPriority w:val="99"/>
    <w:semiHidden/>
    <w:rsid w:val="00FB2AFE"/>
    <w:rPr>
      <w:rFonts w:eastAsia="MS Mincho"/>
      <w:lang w:eastAsia="ja-JP"/>
    </w:rPr>
  </w:style>
  <w:style w:type="paragraph" w:styleId="BodyTextFirstIndent">
    <w:name w:val="Body Text First Indent"/>
    <w:basedOn w:val="BodyText"/>
    <w:link w:val="BodyTextFirstIndentChar"/>
    <w:uiPriority w:val="99"/>
    <w:semiHidden/>
    <w:rsid w:val="00FB2AFE"/>
    <w:pPr>
      <w:ind w:firstLine="360"/>
    </w:pPr>
    <w:rPr>
      <w:rFonts w:eastAsia="MS Mincho"/>
      <w:sz w:val="20"/>
      <w:szCs w:val="20"/>
      <w:lang w:eastAsia="ja-JP"/>
    </w:rPr>
  </w:style>
  <w:style w:type="character" w:customStyle="1" w:styleId="BodyTextFirstIndentChar1">
    <w:name w:val="Body Text First Indent Char1"/>
    <w:basedOn w:val="BodyTextChar"/>
    <w:uiPriority w:val="99"/>
    <w:semiHidden/>
    <w:rsid w:val="00FB2AFE"/>
    <w:rPr>
      <w:sz w:val="22"/>
      <w:szCs w:val="22"/>
    </w:rPr>
  </w:style>
  <w:style w:type="character" w:customStyle="1" w:styleId="BodyTextIndentChar">
    <w:name w:val="Body Text Indent Char"/>
    <w:link w:val="BodyTextIndent"/>
    <w:uiPriority w:val="99"/>
    <w:semiHidden/>
    <w:rsid w:val="00FB2AFE"/>
    <w:rPr>
      <w:rFonts w:eastAsia="MS Mincho"/>
      <w:lang w:eastAsia="ja-JP"/>
    </w:rPr>
  </w:style>
  <w:style w:type="paragraph" w:styleId="BodyTextIndent">
    <w:name w:val="Body Text Indent"/>
    <w:basedOn w:val="Normal"/>
    <w:link w:val="BodyTextIndentChar"/>
    <w:uiPriority w:val="99"/>
    <w:semiHidden/>
    <w:rsid w:val="00FB2AFE"/>
    <w:pPr>
      <w:spacing w:after="120"/>
      <w:ind w:left="283"/>
    </w:pPr>
    <w:rPr>
      <w:rFonts w:eastAsia="MS Mincho"/>
      <w:sz w:val="20"/>
      <w:szCs w:val="20"/>
      <w:lang w:eastAsia="ja-JP"/>
    </w:rPr>
  </w:style>
  <w:style w:type="character" w:customStyle="1" w:styleId="BodyTextIndentChar1">
    <w:name w:val="Body Text Indent Char1"/>
    <w:basedOn w:val="DefaultParagraphFont"/>
    <w:uiPriority w:val="99"/>
    <w:semiHidden/>
    <w:rsid w:val="00FB2AFE"/>
    <w:rPr>
      <w:sz w:val="22"/>
      <w:szCs w:val="22"/>
    </w:rPr>
  </w:style>
  <w:style w:type="character" w:customStyle="1" w:styleId="BodyTextFirstIndent2Char">
    <w:name w:val="Body Text First Indent 2 Char"/>
    <w:link w:val="BodyTextFirstIndent2"/>
    <w:uiPriority w:val="99"/>
    <w:semiHidden/>
    <w:rsid w:val="00FB2AFE"/>
    <w:rPr>
      <w:rFonts w:eastAsia="MS Mincho"/>
      <w:lang w:eastAsia="ja-JP"/>
    </w:rPr>
  </w:style>
  <w:style w:type="paragraph" w:styleId="BodyTextFirstIndent2">
    <w:name w:val="Body Text First Indent 2"/>
    <w:basedOn w:val="BodyTextIndent"/>
    <w:link w:val="BodyTextFirstIndent2Char"/>
    <w:uiPriority w:val="99"/>
    <w:semiHidden/>
    <w:rsid w:val="00FB2AFE"/>
    <w:pPr>
      <w:spacing w:after="0"/>
      <w:ind w:left="360" w:firstLine="360"/>
    </w:pPr>
  </w:style>
  <w:style w:type="character" w:customStyle="1" w:styleId="BodyTextFirstIndent2Char1">
    <w:name w:val="Body Text First Indent 2 Char1"/>
    <w:basedOn w:val="BodyTextIndentChar1"/>
    <w:uiPriority w:val="99"/>
    <w:semiHidden/>
    <w:rsid w:val="00FB2AFE"/>
    <w:rPr>
      <w:sz w:val="22"/>
      <w:szCs w:val="22"/>
    </w:rPr>
  </w:style>
  <w:style w:type="character" w:customStyle="1" w:styleId="BodyTextIndent2Char">
    <w:name w:val="Body Text Indent 2 Char"/>
    <w:link w:val="BodyTextIndent2"/>
    <w:uiPriority w:val="99"/>
    <w:semiHidden/>
    <w:rsid w:val="00FB2AFE"/>
    <w:rPr>
      <w:rFonts w:eastAsia="MS Mincho"/>
      <w:lang w:eastAsia="ja-JP"/>
    </w:rPr>
  </w:style>
  <w:style w:type="paragraph" w:styleId="BodyTextIndent2">
    <w:name w:val="Body Text Indent 2"/>
    <w:basedOn w:val="Normal"/>
    <w:link w:val="BodyTextIndent2Char"/>
    <w:uiPriority w:val="99"/>
    <w:semiHidden/>
    <w:rsid w:val="00FB2AFE"/>
    <w:pPr>
      <w:spacing w:after="120" w:line="480" w:lineRule="auto"/>
      <w:ind w:left="283"/>
    </w:pPr>
    <w:rPr>
      <w:rFonts w:eastAsia="MS Mincho"/>
      <w:sz w:val="20"/>
      <w:szCs w:val="20"/>
      <w:lang w:eastAsia="ja-JP"/>
    </w:rPr>
  </w:style>
  <w:style w:type="character" w:customStyle="1" w:styleId="BodyTextIndent2Char1">
    <w:name w:val="Body Text Indent 2 Char1"/>
    <w:basedOn w:val="DefaultParagraphFont"/>
    <w:uiPriority w:val="99"/>
    <w:semiHidden/>
    <w:rsid w:val="00FB2AFE"/>
    <w:rPr>
      <w:sz w:val="22"/>
      <w:szCs w:val="22"/>
    </w:rPr>
  </w:style>
  <w:style w:type="character" w:customStyle="1" w:styleId="BodyTextIndent3Char">
    <w:name w:val="Body Text Indent 3 Char"/>
    <w:link w:val="BodyTextIndent3"/>
    <w:uiPriority w:val="99"/>
    <w:semiHidden/>
    <w:rsid w:val="00FB2AFE"/>
    <w:rPr>
      <w:rFonts w:eastAsia="MS Mincho"/>
      <w:sz w:val="16"/>
      <w:szCs w:val="16"/>
      <w:lang w:eastAsia="ja-JP"/>
    </w:rPr>
  </w:style>
  <w:style w:type="paragraph" w:styleId="BodyTextIndent3">
    <w:name w:val="Body Text Indent 3"/>
    <w:basedOn w:val="Normal"/>
    <w:link w:val="BodyTextIndent3Char"/>
    <w:uiPriority w:val="99"/>
    <w:semiHidden/>
    <w:rsid w:val="00FB2AFE"/>
    <w:pPr>
      <w:spacing w:after="120"/>
      <w:ind w:left="283"/>
    </w:pPr>
    <w:rPr>
      <w:rFonts w:eastAsia="MS Mincho"/>
      <w:sz w:val="16"/>
      <w:szCs w:val="16"/>
      <w:lang w:eastAsia="ja-JP"/>
    </w:rPr>
  </w:style>
  <w:style w:type="character" w:customStyle="1" w:styleId="BodyTextIndent3Char1">
    <w:name w:val="Body Text Indent 3 Char1"/>
    <w:basedOn w:val="DefaultParagraphFont"/>
    <w:uiPriority w:val="99"/>
    <w:semiHidden/>
    <w:rsid w:val="00FB2AFE"/>
    <w:rPr>
      <w:sz w:val="16"/>
      <w:szCs w:val="16"/>
    </w:rPr>
  </w:style>
  <w:style w:type="character" w:customStyle="1" w:styleId="ClosingChar">
    <w:name w:val="Closing Char"/>
    <w:link w:val="Closing"/>
    <w:uiPriority w:val="99"/>
    <w:semiHidden/>
    <w:rsid w:val="00FB2AFE"/>
    <w:rPr>
      <w:rFonts w:eastAsia="MS Mincho"/>
      <w:lang w:eastAsia="ja-JP"/>
    </w:rPr>
  </w:style>
  <w:style w:type="paragraph" w:styleId="Closing">
    <w:name w:val="Closing"/>
    <w:basedOn w:val="Normal"/>
    <w:link w:val="ClosingChar"/>
    <w:uiPriority w:val="99"/>
    <w:semiHidden/>
    <w:rsid w:val="00FB2AFE"/>
    <w:pPr>
      <w:ind w:left="4252"/>
    </w:pPr>
    <w:rPr>
      <w:rFonts w:eastAsia="MS Mincho"/>
      <w:sz w:val="20"/>
      <w:szCs w:val="20"/>
      <w:lang w:eastAsia="ja-JP"/>
    </w:rPr>
  </w:style>
  <w:style w:type="character" w:customStyle="1" w:styleId="ClosingChar1">
    <w:name w:val="Closing Char1"/>
    <w:basedOn w:val="DefaultParagraphFont"/>
    <w:uiPriority w:val="99"/>
    <w:semiHidden/>
    <w:rsid w:val="00FB2AFE"/>
    <w:rPr>
      <w:sz w:val="22"/>
      <w:szCs w:val="22"/>
    </w:rPr>
  </w:style>
  <w:style w:type="character" w:customStyle="1" w:styleId="DateChar">
    <w:name w:val="Date Char"/>
    <w:link w:val="Date"/>
    <w:uiPriority w:val="99"/>
    <w:semiHidden/>
    <w:rsid w:val="00FB2AFE"/>
    <w:rPr>
      <w:rFonts w:eastAsia="MS Mincho"/>
      <w:lang w:eastAsia="ja-JP"/>
    </w:rPr>
  </w:style>
  <w:style w:type="paragraph" w:styleId="Date">
    <w:name w:val="Date"/>
    <w:basedOn w:val="Normal"/>
    <w:next w:val="Normal"/>
    <w:link w:val="DateChar"/>
    <w:uiPriority w:val="99"/>
    <w:semiHidden/>
    <w:rsid w:val="00FB2AFE"/>
    <w:rPr>
      <w:rFonts w:eastAsia="MS Mincho"/>
      <w:sz w:val="20"/>
      <w:szCs w:val="20"/>
      <w:lang w:eastAsia="ja-JP"/>
    </w:rPr>
  </w:style>
  <w:style w:type="character" w:customStyle="1" w:styleId="DateChar1">
    <w:name w:val="Date Char1"/>
    <w:basedOn w:val="DefaultParagraphFont"/>
    <w:uiPriority w:val="99"/>
    <w:semiHidden/>
    <w:rsid w:val="00FB2AFE"/>
    <w:rPr>
      <w:sz w:val="22"/>
      <w:szCs w:val="22"/>
    </w:rPr>
  </w:style>
  <w:style w:type="character" w:customStyle="1" w:styleId="E-mailSignatureChar">
    <w:name w:val="E-mail Signature Char"/>
    <w:link w:val="E-mailSignature"/>
    <w:uiPriority w:val="99"/>
    <w:semiHidden/>
    <w:rsid w:val="00FB2AFE"/>
    <w:rPr>
      <w:rFonts w:eastAsia="MS Mincho"/>
      <w:lang w:eastAsia="ja-JP"/>
    </w:rPr>
  </w:style>
  <w:style w:type="paragraph" w:styleId="E-mailSignature">
    <w:name w:val="E-mail Signature"/>
    <w:basedOn w:val="Normal"/>
    <w:link w:val="E-mailSignatureChar"/>
    <w:uiPriority w:val="99"/>
    <w:semiHidden/>
    <w:rsid w:val="00FB2AFE"/>
    <w:rPr>
      <w:rFonts w:eastAsia="MS Mincho"/>
      <w:sz w:val="20"/>
      <w:szCs w:val="20"/>
      <w:lang w:eastAsia="ja-JP"/>
    </w:rPr>
  </w:style>
  <w:style w:type="character" w:customStyle="1" w:styleId="E-mailSignatureChar1">
    <w:name w:val="E-mail Signature Char1"/>
    <w:basedOn w:val="DefaultParagraphFont"/>
    <w:uiPriority w:val="99"/>
    <w:semiHidden/>
    <w:rsid w:val="00FB2AFE"/>
    <w:rPr>
      <w:sz w:val="22"/>
      <w:szCs w:val="22"/>
    </w:rPr>
  </w:style>
  <w:style w:type="character" w:customStyle="1" w:styleId="HTMLAddressChar">
    <w:name w:val="HTML Address Char"/>
    <w:link w:val="HTMLAddress"/>
    <w:uiPriority w:val="99"/>
    <w:semiHidden/>
    <w:rsid w:val="00FB2AFE"/>
    <w:rPr>
      <w:rFonts w:eastAsia="MS Mincho"/>
      <w:i/>
      <w:iCs/>
      <w:lang w:eastAsia="ja-JP"/>
    </w:rPr>
  </w:style>
  <w:style w:type="paragraph" w:styleId="HTMLAddress">
    <w:name w:val="HTML Address"/>
    <w:basedOn w:val="Normal"/>
    <w:link w:val="HTMLAddressChar"/>
    <w:uiPriority w:val="99"/>
    <w:semiHidden/>
    <w:rsid w:val="00FB2AFE"/>
    <w:rPr>
      <w:rFonts w:eastAsia="MS Mincho"/>
      <w:i/>
      <w:iCs/>
      <w:sz w:val="20"/>
      <w:szCs w:val="20"/>
      <w:lang w:eastAsia="ja-JP"/>
    </w:rPr>
  </w:style>
  <w:style w:type="character" w:customStyle="1" w:styleId="HTMLAddressChar1">
    <w:name w:val="HTML Address Char1"/>
    <w:basedOn w:val="DefaultParagraphFont"/>
    <w:uiPriority w:val="99"/>
    <w:semiHidden/>
    <w:rsid w:val="00FB2AFE"/>
    <w:rPr>
      <w:i/>
      <w:iCs/>
      <w:sz w:val="22"/>
      <w:szCs w:val="22"/>
    </w:rPr>
  </w:style>
  <w:style w:type="character" w:customStyle="1" w:styleId="HTMLPreformattedChar">
    <w:name w:val="HTML Preformatted Char"/>
    <w:link w:val="HTMLPreformatted"/>
    <w:uiPriority w:val="99"/>
    <w:semiHidden/>
    <w:rsid w:val="00FB2AFE"/>
    <w:rPr>
      <w:rFonts w:ascii="Consolas" w:eastAsia="MS Mincho" w:hAnsi="Consolas"/>
      <w:lang w:eastAsia="ja-JP"/>
    </w:rPr>
  </w:style>
  <w:style w:type="paragraph" w:styleId="HTMLPreformatted">
    <w:name w:val="HTML Preformatted"/>
    <w:basedOn w:val="Normal"/>
    <w:link w:val="HTMLPreformattedChar"/>
    <w:uiPriority w:val="99"/>
    <w:semiHidden/>
    <w:rsid w:val="00FB2AFE"/>
    <w:rPr>
      <w:rFonts w:ascii="Consolas" w:eastAsia="MS Mincho" w:hAnsi="Consolas"/>
      <w:sz w:val="20"/>
      <w:szCs w:val="20"/>
      <w:lang w:eastAsia="ja-JP"/>
    </w:rPr>
  </w:style>
  <w:style w:type="character" w:customStyle="1" w:styleId="HTMLPreformattedChar1">
    <w:name w:val="HTML Preformatted Char1"/>
    <w:basedOn w:val="DefaultParagraphFont"/>
    <w:uiPriority w:val="99"/>
    <w:semiHidden/>
    <w:rsid w:val="00FB2AFE"/>
    <w:rPr>
      <w:rFonts w:ascii="Consolas" w:hAnsi="Consolas"/>
    </w:rPr>
  </w:style>
  <w:style w:type="character" w:customStyle="1" w:styleId="MacroTextChar">
    <w:name w:val="Macro Text Char"/>
    <w:link w:val="MacroText"/>
    <w:uiPriority w:val="99"/>
    <w:semiHidden/>
    <w:rsid w:val="00FB2AFE"/>
    <w:rPr>
      <w:rFonts w:ascii="Consolas" w:hAnsi="Consolas"/>
    </w:rPr>
  </w:style>
  <w:style w:type="paragraph" w:styleId="MacroText">
    <w:name w:val="macro"/>
    <w:link w:val="MacroTextChar"/>
    <w:uiPriority w:val="99"/>
    <w:semiHidden/>
    <w:rsid w:val="00FB2AFE"/>
    <w:pPr>
      <w:tabs>
        <w:tab w:val="left" w:pos="480"/>
        <w:tab w:val="left" w:pos="960"/>
        <w:tab w:val="left" w:pos="1440"/>
        <w:tab w:val="left" w:pos="1920"/>
        <w:tab w:val="left" w:pos="2400"/>
        <w:tab w:val="left" w:pos="2880"/>
        <w:tab w:val="left" w:pos="3360"/>
        <w:tab w:val="left" w:pos="3840"/>
        <w:tab w:val="left" w:pos="4320"/>
      </w:tabs>
      <w:jc w:val="both"/>
    </w:pPr>
    <w:rPr>
      <w:rFonts w:ascii="Consolas" w:hAnsi="Consolas"/>
    </w:rPr>
  </w:style>
  <w:style w:type="character" w:customStyle="1" w:styleId="MacroTextChar1">
    <w:name w:val="Macro Text Char1"/>
    <w:basedOn w:val="DefaultParagraphFont"/>
    <w:uiPriority w:val="99"/>
    <w:semiHidden/>
    <w:rsid w:val="00FB2AFE"/>
    <w:rPr>
      <w:rFonts w:ascii="Consolas" w:hAnsi="Consolas"/>
    </w:rPr>
  </w:style>
  <w:style w:type="character" w:customStyle="1" w:styleId="MessageHeaderChar">
    <w:name w:val="Message Header Char"/>
    <w:link w:val="MessageHeader"/>
    <w:uiPriority w:val="99"/>
    <w:semiHidden/>
    <w:rsid w:val="00FB2AFE"/>
    <w:rPr>
      <w:rFonts w:ascii="Arial" w:eastAsia="MS Mincho" w:hAnsi="Arial"/>
      <w:sz w:val="24"/>
      <w:szCs w:val="24"/>
      <w:shd w:val="pct20" w:color="auto" w:fill="auto"/>
      <w:lang w:eastAsia="ja-JP"/>
    </w:rPr>
  </w:style>
  <w:style w:type="paragraph" w:styleId="MessageHeader">
    <w:name w:val="Message Header"/>
    <w:basedOn w:val="Normal"/>
    <w:link w:val="MessageHeaderChar"/>
    <w:uiPriority w:val="99"/>
    <w:semiHidden/>
    <w:rsid w:val="00FB2AFE"/>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MS Mincho" w:hAnsi="Arial"/>
      <w:sz w:val="24"/>
      <w:szCs w:val="24"/>
      <w:lang w:eastAsia="ja-JP"/>
    </w:rPr>
  </w:style>
  <w:style w:type="character" w:customStyle="1" w:styleId="MessageHeaderChar1">
    <w:name w:val="Message Header Char1"/>
    <w:basedOn w:val="DefaultParagraphFont"/>
    <w:uiPriority w:val="99"/>
    <w:semiHidden/>
    <w:rsid w:val="00FB2AFE"/>
    <w:rPr>
      <w:rFonts w:asciiTheme="majorHAnsi" w:eastAsiaTheme="majorEastAsia" w:hAnsiTheme="majorHAnsi" w:cstheme="majorBidi"/>
      <w:sz w:val="24"/>
      <w:szCs w:val="24"/>
      <w:shd w:val="pct20" w:color="auto" w:fill="auto"/>
    </w:rPr>
  </w:style>
  <w:style w:type="character" w:customStyle="1" w:styleId="NoteHeadingChar">
    <w:name w:val="Note Heading Char"/>
    <w:link w:val="NoteHeading"/>
    <w:uiPriority w:val="99"/>
    <w:semiHidden/>
    <w:rsid w:val="00FB2AFE"/>
    <w:rPr>
      <w:rFonts w:eastAsia="MS Mincho"/>
      <w:lang w:eastAsia="ja-JP"/>
    </w:rPr>
  </w:style>
  <w:style w:type="paragraph" w:styleId="NoteHeading">
    <w:name w:val="Note Heading"/>
    <w:basedOn w:val="Normal"/>
    <w:next w:val="Normal"/>
    <w:link w:val="NoteHeadingChar"/>
    <w:uiPriority w:val="99"/>
    <w:semiHidden/>
    <w:rsid w:val="00FB2AFE"/>
    <w:rPr>
      <w:rFonts w:eastAsia="MS Mincho"/>
      <w:sz w:val="20"/>
      <w:szCs w:val="20"/>
      <w:lang w:eastAsia="ja-JP"/>
    </w:rPr>
  </w:style>
  <w:style w:type="character" w:customStyle="1" w:styleId="NoteHeadingChar1">
    <w:name w:val="Note Heading Char1"/>
    <w:basedOn w:val="DefaultParagraphFont"/>
    <w:uiPriority w:val="99"/>
    <w:semiHidden/>
    <w:rsid w:val="00FB2AFE"/>
    <w:rPr>
      <w:sz w:val="22"/>
      <w:szCs w:val="22"/>
    </w:rPr>
  </w:style>
  <w:style w:type="character" w:customStyle="1" w:styleId="SalutationChar">
    <w:name w:val="Salutation Char"/>
    <w:link w:val="Salutation"/>
    <w:uiPriority w:val="99"/>
    <w:semiHidden/>
    <w:rsid w:val="00FB2AFE"/>
    <w:rPr>
      <w:rFonts w:eastAsia="MS Mincho"/>
      <w:lang w:eastAsia="ja-JP"/>
    </w:rPr>
  </w:style>
  <w:style w:type="paragraph" w:styleId="Salutation">
    <w:name w:val="Salutation"/>
    <w:basedOn w:val="Normal"/>
    <w:next w:val="Normal"/>
    <w:link w:val="SalutationChar"/>
    <w:uiPriority w:val="99"/>
    <w:semiHidden/>
    <w:rsid w:val="00FB2AFE"/>
    <w:rPr>
      <w:rFonts w:eastAsia="MS Mincho"/>
      <w:sz w:val="20"/>
      <w:szCs w:val="20"/>
      <w:lang w:eastAsia="ja-JP"/>
    </w:rPr>
  </w:style>
  <w:style w:type="character" w:customStyle="1" w:styleId="SalutationChar1">
    <w:name w:val="Salutation Char1"/>
    <w:basedOn w:val="DefaultParagraphFont"/>
    <w:uiPriority w:val="99"/>
    <w:semiHidden/>
    <w:rsid w:val="00FB2AFE"/>
    <w:rPr>
      <w:sz w:val="22"/>
      <w:szCs w:val="22"/>
    </w:rPr>
  </w:style>
  <w:style w:type="character" w:customStyle="1" w:styleId="SignatureChar">
    <w:name w:val="Signature Char"/>
    <w:link w:val="Signature"/>
    <w:uiPriority w:val="99"/>
    <w:semiHidden/>
    <w:rsid w:val="00FB2AFE"/>
    <w:rPr>
      <w:rFonts w:eastAsia="MS Mincho"/>
      <w:lang w:eastAsia="ja-JP"/>
    </w:rPr>
  </w:style>
  <w:style w:type="paragraph" w:styleId="Signature">
    <w:name w:val="Signature"/>
    <w:basedOn w:val="Normal"/>
    <w:link w:val="SignatureChar"/>
    <w:uiPriority w:val="99"/>
    <w:semiHidden/>
    <w:rsid w:val="00FB2AFE"/>
    <w:pPr>
      <w:ind w:left="4252"/>
    </w:pPr>
    <w:rPr>
      <w:rFonts w:eastAsia="MS Mincho"/>
      <w:sz w:val="20"/>
      <w:szCs w:val="20"/>
      <w:lang w:eastAsia="ja-JP"/>
    </w:rPr>
  </w:style>
  <w:style w:type="character" w:customStyle="1" w:styleId="SignatureChar1">
    <w:name w:val="Signature Char1"/>
    <w:basedOn w:val="DefaultParagraphFont"/>
    <w:uiPriority w:val="99"/>
    <w:semiHidden/>
    <w:rsid w:val="00FB2AFE"/>
    <w:rPr>
      <w:sz w:val="22"/>
      <w:szCs w:val="22"/>
    </w:rPr>
  </w:style>
  <w:style w:type="table" w:customStyle="1" w:styleId="TableGrid1">
    <w:name w:val="Table Grid1"/>
    <w:basedOn w:val="TableNormal"/>
    <w:next w:val="TableGrid"/>
    <w:uiPriority w:val="59"/>
    <w:rsid w:val="00FB2AFE"/>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B2AFE"/>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uiPriority w:val="99"/>
    <w:semiHidden/>
    <w:unhideWhenUsed/>
    <w:rsid w:val="00FB2AFE"/>
    <w:pPr>
      <w:pBdr>
        <w:top w:val="single" w:sz="2" w:space="10" w:color="4F81BD" w:shadow="1"/>
        <w:left w:val="single" w:sz="2" w:space="10" w:color="4F81BD" w:shadow="1"/>
        <w:bottom w:val="single" w:sz="2" w:space="10" w:color="4F81BD" w:shadow="1"/>
        <w:right w:val="single" w:sz="2" w:space="10" w:color="4F81BD" w:shadow="1"/>
      </w:pBdr>
      <w:spacing w:before="60" w:after="180"/>
      <w:ind w:left="1152" w:right="1152"/>
    </w:pPr>
    <w:rPr>
      <w:rFonts w:ascii="Arial" w:hAnsi="Arial"/>
      <w:i/>
      <w:iCs/>
      <w:color w:val="4F81BD"/>
      <w:szCs w:val="20"/>
      <w:lang w:eastAsia="en-US"/>
    </w:rPr>
  </w:style>
  <w:style w:type="paragraph" w:styleId="EnvelopeAddress">
    <w:name w:val="envelope address"/>
    <w:basedOn w:val="Normal"/>
    <w:uiPriority w:val="99"/>
    <w:semiHidden/>
    <w:unhideWhenUsed/>
    <w:rsid w:val="00FB2AFE"/>
    <w:pPr>
      <w:framePr w:w="7920" w:h="1980" w:hRule="exact" w:hSpace="180" w:wrap="auto" w:hAnchor="page" w:xAlign="center" w:yAlign="bottom"/>
      <w:spacing w:before="60" w:after="180"/>
      <w:ind w:left="2880"/>
    </w:pPr>
    <w:rPr>
      <w:rFonts w:ascii="Arial" w:hAnsi="Arial"/>
      <w:sz w:val="24"/>
      <w:szCs w:val="24"/>
      <w:lang w:eastAsia="en-US"/>
    </w:rPr>
  </w:style>
  <w:style w:type="paragraph" w:styleId="EnvelopeReturn">
    <w:name w:val="envelope return"/>
    <w:basedOn w:val="Normal"/>
    <w:uiPriority w:val="99"/>
    <w:semiHidden/>
    <w:unhideWhenUsed/>
    <w:rsid w:val="00FB2AFE"/>
    <w:pPr>
      <w:spacing w:before="60" w:after="180"/>
    </w:pPr>
    <w:rPr>
      <w:rFonts w:ascii="Arial" w:hAnsi="Arial"/>
      <w:sz w:val="20"/>
      <w:szCs w:val="20"/>
      <w:lang w:eastAsia="en-US"/>
    </w:rPr>
  </w:style>
  <w:style w:type="paragraph" w:styleId="Index1">
    <w:name w:val="index 1"/>
    <w:basedOn w:val="Normal"/>
    <w:next w:val="Normal"/>
    <w:autoRedefine/>
    <w:uiPriority w:val="99"/>
    <w:semiHidden/>
    <w:unhideWhenUsed/>
    <w:rsid w:val="00FB2AFE"/>
    <w:pPr>
      <w:spacing w:before="60" w:after="180"/>
      <w:ind w:left="220" w:hanging="220"/>
    </w:pPr>
    <w:rPr>
      <w:rFonts w:ascii="Times New Roman" w:hAnsi="Times New Roman"/>
      <w:szCs w:val="20"/>
      <w:lang w:eastAsia="en-US"/>
    </w:rPr>
  </w:style>
  <w:style w:type="paragraph" w:styleId="Index2">
    <w:name w:val="index 2"/>
    <w:basedOn w:val="Normal"/>
    <w:next w:val="Normal"/>
    <w:autoRedefine/>
    <w:uiPriority w:val="99"/>
    <w:semiHidden/>
    <w:unhideWhenUsed/>
    <w:rsid w:val="00FB2AFE"/>
    <w:pPr>
      <w:spacing w:before="60" w:after="180"/>
      <w:ind w:left="440" w:hanging="220"/>
    </w:pPr>
    <w:rPr>
      <w:rFonts w:ascii="Times New Roman" w:hAnsi="Times New Roman"/>
      <w:szCs w:val="20"/>
      <w:lang w:eastAsia="en-US"/>
    </w:rPr>
  </w:style>
  <w:style w:type="paragraph" w:styleId="Index3">
    <w:name w:val="index 3"/>
    <w:basedOn w:val="Normal"/>
    <w:next w:val="Normal"/>
    <w:autoRedefine/>
    <w:uiPriority w:val="99"/>
    <w:semiHidden/>
    <w:unhideWhenUsed/>
    <w:rsid w:val="00FB2AFE"/>
    <w:pPr>
      <w:spacing w:before="60" w:after="180"/>
      <w:ind w:left="660" w:hanging="220"/>
    </w:pPr>
    <w:rPr>
      <w:rFonts w:ascii="Times New Roman" w:hAnsi="Times New Roman"/>
      <w:szCs w:val="20"/>
      <w:lang w:eastAsia="en-US"/>
    </w:rPr>
  </w:style>
  <w:style w:type="paragraph" w:styleId="Index4">
    <w:name w:val="index 4"/>
    <w:basedOn w:val="Normal"/>
    <w:next w:val="Normal"/>
    <w:autoRedefine/>
    <w:uiPriority w:val="99"/>
    <w:semiHidden/>
    <w:unhideWhenUsed/>
    <w:rsid w:val="00FB2AFE"/>
    <w:pPr>
      <w:spacing w:before="60" w:after="180"/>
      <w:ind w:left="880" w:hanging="220"/>
    </w:pPr>
    <w:rPr>
      <w:rFonts w:ascii="Times New Roman" w:hAnsi="Times New Roman"/>
      <w:szCs w:val="20"/>
      <w:lang w:eastAsia="en-US"/>
    </w:rPr>
  </w:style>
  <w:style w:type="paragraph" w:styleId="Index5">
    <w:name w:val="index 5"/>
    <w:basedOn w:val="Normal"/>
    <w:next w:val="Normal"/>
    <w:autoRedefine/>
    <w:uiPriority w:val="99"/>
    <w:semiHidden/>
    <w:unhideWhenUsed/>
    <w:rsid w:val="00FB2AFE"/>
    <w:pPr>
      <w:spacing w:before="60" w:after="180"/>
      <w:ind w:left="1100" w:hanging="220"/>
    </w:pPr>
    <w:rPr>
      <w:rFonts w:ascii="Times New Roman" w:hAnsi="Times New Roman"/>
      <w:szCs w:val="20"/>
      <w:lang w:eastAsia="en-US"/>
    </w:rPr>
  </w:style>
  <w:style w:type="paragraph" w:styleId="Index6">
    <w:name w:val="index 6"/>
    <w:basedOn w:val="Normal"/>
    <w:next w:val="Normal"/>
    <w:autoRedefine/>
    <w:uiPriority w:val="99"/>
    <w:semiHidden/>
    <w:unhideWhenUsed/>
    <w:rsid w:val="00FB2AFE"/>
    <w:pPr>
      <w:spacing w:before="60" w:after="180"/>
      <w:ind w:left="1320" w:hanging="220"/>
    </w:pPr>
    <w:rPr>
      <w:rFonts w:ascii="Times New Roman" w:hAnsi="Times New Roman"/>
      <w:szCs w:val="20"/>
      <w:lang w:eastAsia="en-US"/>
    </w:rPr>
  </w:style>
  <w:style w:type="paragraph" w:styleId="Index7">
    <w:name w:val="index 7"/>
    <w:basedOn w:val="Normal"/>
    <w:next w:val="Normal"/>
    <w:autoRedefine/>
    <w:uiPriority w:val="99"/>
    <w:semiHidden/>
    <w:unhideWhenUsed/>
    <w:rsid w:val="00FB2AFE"/>
    <w:pPr>
      <w:spacing w:before="60" w:after="180"/>
      <w:ind w:left="1540" w:hanging="220"/>
    </w:pPr>
    <w:rPr>
      <w:rFonts w:ascii="Times New Roman" w:hAnsi="Times New Roman"/>
      <w:szCs w:val="20"/>
      <w:lang w:eastAsia="en-US"/>
    </w:rPr>
  </w:style>
  <w:style w:type="paragraph" w:styleId="Index8">
    <w:name w:val="index 8"/>
    <w:basedOn w:val="Normal"/>
    <w:next w:val="Normal"/>
    <w:autoRedefine/>
    <w:uiPriority w:val="99"/>
    <w:semiHidden/>
    <w:unhideWhenUsed/>
    <w:rsid w:val="00FB2AFE"/>
    <w:pPr>
      <w:spacing w:before="60" w:after="180"/>
      <w:ind w:left="1760" w:hanging="220"/>
    </w:pPr>
    <w:rPr>
      <w:rFonts w:ascii="Times New Roman" w:hAnsi="Times New Roman"/>
      <w:szCs w:val="20"/>
      <w:lang w:eastAsia="en-US"/>
    </w:rPr>
  </w:style>
  <w:style w:type="paragraph" w:styleId="Index9">
    <w:name w:val="index 9"/>
    <w:basedOn w:val="Normal"/>
    <w:next w:val="Normal"/>
    <w:autoRedefine/>
    <w:uiPriority w:val="99"/>
    <w:semiHidden/>
    <w:unhideWhenUsed/>
    <w:rsid w:val="00FB2AFE"/>
    <w:pPr>
      <w:spacing w:before="60" w:after="180"/>
      <w:ind w:left="1980" w:hanging="220"/>
    </w:pPr>
    <w:rPr>
      <w:rFonts w:ascii="Times New Roman" w:hAnsi="Times New Roman"/>
      <w:szCs w:val="20"/>
      <w:lang w:eastAsia="en-US"/>
    </w:rPr>
  </w:style>
  <w:style w:type="paragraph" w:styleId="IndexHeading">
    <w:name w:val="index heading"/>
    <w:basedOn w:val="Normal"/>
    <w:next w:val="Index1"/>
    <w:uiPriority w:val="99"/>
    <w:semiHidden/>
    <w:unhideWhenUsed/>
    <w:rsid w:val="00FB2AFE"/>
    <w:pPr>
      <w:spacing w:before="60" w:after="180"/>
    </w:pPr>
    <w:rPr>
      <w:rFonts w:ascii="Arial" w:hAnsi="Arial"/>
      <w:b/>
      <w:bCs/>
      <w:szCs w:val="20"/>
      <w:lang w:eastAsia="en-US"/>
    </w:rPr>
  </w:style>
  <w:style w:type="paragraph" w:styleId="List2">
    <w:name w:val="List 2"/>
    <w:basedOn w:val="Normal"/>
    <w:uiPriority w:val="99"/>
    <w:semiHidden/>
    <w:unhideWhenUsed/>
    <w:rsid w:val="00FB2AFE"/>
    <w:pPr>
      <w:spacing w:before="60" w:after="180"/>
      <w:ind w:left="566" w:hanging="283"/>
      <w:contextualSpacing/>
    </w:pPr>
    <w:rPr>
      <w:rFonts w:ascii="Times New Roman" w:hAnsi="Times New Roman"/>
      <w:szCs w:val="20"/>
      <w:lang w:eastAsia="en-US"/>
    </w:rPr>
  </w:style>
  <w:style w:type="paragraph" w:styleId="List3">
    <w:name w:val="List 3"/>
    <w:basedOn w:val="Normal"/>
    <w:uiPriority w:val="99"/>
    <w:semiHidden/>
    <w:unhideWhenUsed/>
    <w:rsid w:val="00FB2AFE"/>
    <w:pPr>
      <w:spacing w:before="60" w:after="180"/>
      <w:ind w:left="849" w:hanging="283"/>
      <w:contextualSpacing/>
    </w:pPr>
    <w:rPr>
      <w:rFonts w:ascii="Times New Roman" w:hAnsi="Times New Roman"/>
      <w:szCs w:val="20"/>
      <w:lang w:eastAsia="en-US"/>
    </w:rPr>
  </w:style>
  <w:style w:type="paragraph" w:styleId="List4">
    <w:name w:val="List 4"/>
    <w:basedOn w:val="Normal"/>
    <w:uiPriority w:val="99"/>
    <w:semiHidden/>
    <w:unhideWhenUsed/>
    <w:rsid w:val="00FB2AFE"/>
    <w:pPr>
      <w:spacing w:before="60" w:after="180"/>
      <w:ind w:left="1132" w:hanging="283"/>
      <w:contextualSpacing/>
    </w:pPr>
    <w:rPr>
      <w:rFonts w:ascii="Times New Roman" w:hAnsi="Times New Roman"/>
      <w:szCs w:val="20"/>
      <w:lang w:eastAsia="en-US"/>
    </w:rPr>
  </w:style>
  <w:style w:type="paragraph" w:styleId="List5">
    <w:name w:val="List 5"/>
    <w:basedOn w:val="Normal"/>
    <w:uiPriority w:val="99"/>
    <w:semiHidden/>
    <w:unhideWhenUsed/>
    <w:rsid w:val="00FB2AFE"/>
    <w:pPr>
      <w:spacing w:before="60" w:after="180"/>
      <w:ind w:left="1415" w:hanging="283"/>
      <w:contextualSpacing/>
    </w:pPr>
    <w:rPr>
      <w:rFonts w:ascii="Times New Roman" w:hAnsi="Times New Roman"/>
      <w:szCs w:val="20"/>
      <w:lang w:eastAsia="en-US"/>
    </w:rPr>
  </w:style>
  <w:style w:type="paragraph" w:styleId="ListContinue">
    <w:name w:val="List Continue"/>
    <w:basedOn w:val="Normal"/>
    <w:uiPriority w:val="99"/>
    <w:semiHidden/>
    <w:unhideWhenUsed/>
    <w:rsid w:val="00FB2AFE"/>
    <w:pPr>
      <w:spacing w:before="60" w:after="120"/>
      <w:ind w:left="283"/>
      <w:contextualSpacing/>
    </w:pPr>
    <w:rPr>
      <w:rFonts w:ascii="Times New Roman" w:hAnsi="Times New Roman"/>
      <w:szCs w:val="20"/>
      <w:lang w:eastAsia="en-US"/>
    </w:rPr>
  </w:style>
  <w:style w:type="paragraph" w:styleId="ListContinue2">
    <w:name w:val="List Continue 2"/>
    <w:basedOn w:val="Normal"/>
    <w:uiPriority w:val="99"/>
    <w:semiHidden/>
    <w:unhideWhenUsed/>
    <w:rsid w:val="00FB2AFE"/>
    <w:pPr>
      <w:spacing w:before="60" w:after="120"/>
      <w:ind w:left="566"/>
      <w:contextualSpacing/>
    </w:pPr>
    <w:rPr>
      <w:rFonts w:ascii="Times New Roman" w:hAnsi="Times New Roman"/>
      <w:szCs w:val="20"/>
      <w:lang w:eastAsia="en-US"/>
    </w:rPr>
  </w:style>
  <w:style w:type="paragraph" w:styleId="ListContinue3">
    <w:name w:val="List Continue 3"/>
    <w:basedOn w:val="Normal"/>
    <w:uiPriority w:val="99"/>
    <w:semiHidden/>
    <w:unhideWhenUsed/>
    <w:rsid w:val="00FB2AFE"/>
    <w:pPr>
      <w:spacing w:before="60" w:after="120"/>
      <w:ind w:left="849"/>
      <w:contextualSpacing/>
    </w:pPr>
    <w:rPr>
      <w:rFonts w:ascii="Times New Roman" w:hAnsi="Times New Roman"/>
      <w:szCs w:val="20"/>
      <w:lang w:eastAsia="en-US"/>
    </w:rPr>
  </w:style>
  <w:style w:type="paragraph" w:styleId="ListContinue4">
    <w:name w:val="List Continue 4"/>
    <w:basedOn w:val="Normal"/>
    <w:uiPriority w:val="99"/>
    <w:semiHidden/>
    <w:unhideWhenUsed/>
    <w:rsid w:val="00FB2AFE"/>
    <w:pPr>
      <w:spacing w:before="60" w:after="120"/>
      <w:ind w:left="1132"/>
      <w:contextualSpacing/>
    </w:pPr>
    <w:rPr>
      <w:rFonts w:ascii="Times New Roman" w:hAnsi="Times New Roman"/>
      <w:szCs w:val="20"/>
      <w:lang w:eastAsia="en-US"/>
    </w:rPr>
  </w:style>
  <w:style w:type="paragraph" w:styleId="ListContinue5">
    <w:name w:val="List Continue 5"/>
    <w:basedOn w:val="Normal"/>
    <w:uiPriority w:val="99"/>
    <w:semiHidden/>
    <w:unhideWhenUsed/>
    <w:rsid w:val="00FB2AFE"/>
    <w:pPr>
      <w:spacing w:before="60" w:after="120"/>
      <w:ind w:left="1415"/>
      <w:contextualSpacing/>
    </w:pPr>
    <w:rPr>
      <w:rFonts w:ascii="Times New Roman" w:hAnsi="Times New Roman"/>
      <w:szCs w:val="20"/>
      <w:lang w:eastAsia="en-US"/>
    </w:rPr>
  </w:style>
  <w:style w:type="paragraph" w:styleId="ListNumber">
    <w:name w:val="List Number"/>
    <w:basedOn w:val="Normal"/>
    <w:uiPriority w:val="99"/>
    <w:semiHidden/>
    <w:unhideWhenUsed/>
    <w:rsid w:val="00FB2AFE"/>
    <w:pPr>
      <w:tabs>
        <w:tab w:val="num" w:pos="360"/>
      </w:tabs>
      <w:spacing w:before="60" w:after="180"/>
      <w:ind w:left="360" w:hanging="360"/>
      <w:contextualSpacing/>
    </w:pPr>
    <w:rPr>
      <w:rFonts w:ascii="Times New Roman" w:hAnsi="Times New Roman"/>
      <w:szCs w:val="20"/>
      <w:lang w:eastAsia="en-US"/>
    </w:rPr>
  </w:style>
  <w:style w:type="paragraph" w:styleId="ListNumber2">
    <w:name w:val="List Number 2"/>
    <w:basedOn w:val="Normal"/>
    <w:uiPriority w:val="99"/>
    <w:semiHidden/>
    <w:unhideWhenUsed/>
    <w:rsid w:val="00FB2AFE"/>
    <w:pPr>
      <w:tabs>
        <w:tab w:val="num" w:pos="643"/>
      </w:tabs>
      <w:spacing w:before="60" w:after="180"/>
      <w:ind w:left="643" w:hanging="360"/>
      <w:contextualSpacing/>
    </w:pPr>
    <w:rPr>
      <w:rFonts w:ascii="Times New Roman" w:hAnsi="Times New Roman"/>
      <w:szCs w:val="20"/>
      <w:lang w:eastAsia="en-US"/>
    </w:rPr>
  </w:style>
  <w:style w:type="paragraph" w:styleId="ListNumber3">
    <w:name w:val="List Number 3"/>
    <w:basedOn w:val="Normal"/>
    <w:uiPriority w:val="99"/>
    <w:semiHidden/>
    <w:unhideWhenUsed/>
    <w:rsid w:val="00FB2AFE"/>
    <w:pPr>
      <w:tabs>
        <w:tab w:val="num" w:pos="926"/>
      </w:tabs>
      <w:spacing w:before="60" w:after="180"/>
      <w:ind w:left="926" w:hanging="360"/>
      <w:contextualSpacing/>
    </w:pPr>
    <w:rPr>
      <w:rFonts w:ascii="Times New Roman" w:hAnsi="Times New Roman"/>
      <w:szCs w:val="20"/>
      <w:lang w:eastAsia="en-US"/>
    </w:rPr>
  </w:style>
  <w:style w:type="paragraph" w:styleId="ListNumber4">
    <w:name w:val="List Number 4"/>
    <w:basedOn w:val="Normal"/>
    <w:uiPriority w:val="99"/>
    <w:semiHidden/>
    <w:unhideWhenUsed/>
    <w:rsid w:val="00FB2AFE"/>
    <w:pPr>
      <w:numPr>
        <w:numId w:val="17"/>
      </w:numPr>
      <w:spacing w:before="60" w:after="180"/>
      <w:contextualSpacing/>
    </w:pPr>
    <w:rPr>
      <w:rFonts w:ascii="Times New Roman" w:hAnsi="Times New Roman"/>
      <w:szCs w:val="20"/>
      <w:lang w:eastAsia="en-US"/>
    </w:rPr>
  </w:style>
  <w:style w:type="paragraph" w:styleId="ListNumber5">
    <w:name w:val="List Number 5"/>
    <w:basedOn w:val="Normal"/>
    <w:uiPriority w:val="99"/>
    <w:semiHidden/>
    <w:unhideWhenUsed/>
    <w:rsid w:val="00FB2AFE"/>
    <w:pPr>
      <w:numPr>
        <w:numId w:val="18"/>
      </w:numPr>
      <w:spacing w:before="60" w:after="180"/>
      <w:contextualSpacing/>
    </w:pPr>
    <w:rPr>
      <w:rFonts w:ascii="Times New Roman" w:hAnsi="Times New Roman"/>
      <w:szCs w:val="20"/>
      <w:lang w:eastAsia="en-US"/>
    </w:rPr>
  </w:style>
  <w:style w:type="paragraph" w:styleId="TableofAuthorities">
    <w:name w:val="table of authorities"/>
    <w:basedOn w:val="Normal"/>
    <w:next w:val="Normal"/>
    <w:uiPriority w:val="99"/>
    <w:semiHidden/>
    <w:unhideWhenUsed/>
    <w:rsid w:val="00FB2AFE"/>
    <w:pPr>
      <w:spacing w:before="60" w:after="180"/>
      <w:ind w:left="220" w:hanging="220"/>
    </w:pPr>
    <w:rPr>
      <w:rFonts w:ascii="Times New Roman" w:hAnsi="Times New Roman"/>
      <w:szCs w:val="20"/>
      <w:lang w:eastAsia="en-US"/>
    </w:rPr>
  </w:style>
  <w:style w:type="paragraph" w:styleId="TOAHeading">
    <w:name w:val="toa heading"/>
    <w:basedOn w:val="Normal"/>
    <w:next w:val="Normal"/>
    <w:uiPriority w:val="99"/>
    <w:semiHidden/>
    <w:rsid w:val="00FB2AFE"/>
    <w:pPr>
      <w:spacing w:before="120" w:after="180"/>
    </w:pPr>
    <w:rPr>
      <w:rFonts w:ascii="Arial" w:hAnsi="Arial"/>
      <w:b/>
      <w:bCs/>
      <w:sz w:val="24"/>
      <w:szCs w:val="24"/>
      <w:lang w:eastAsia="en-US"/>
    </w:rPr>
  </w:style>
  <w:style w:type="paragraph" w:customStyle="1" w:styleId="Bulletindent">
    <w:name w:val="Bullet indent"/>
    <w:basedOn w:val="Bullet"/>
    <w:next w:val="BodyText"/>
    <w:semiHidden/>
    <w:qFormat/>
    <w:rsid w:val="00FB2AFE"/>
    <w:pPr>
      <w:numPr>
        <w:numId w:val="2"/>
      </w:numPr>
      <w:tabs>
        <w:tab w:val="left" w:pos="794"/>
      </w:tabs>
      <w:ind w:left="794"/>
    </w:pPr>
  </w:style>
  <w:style w:type="paragraph" w:customStyle="1" w:styleId="Acknowledgements">
    <w:name w:val="Acknowledgements"/>
    <w:basedOn w:val="Normal"/>
    <w:semiHidden/>
    <w:rsid w:val="00FB2AFE"/>
    <w:pPr>
      <w:spacing w:before="60" w:after="60"/>
    </w:pPr>
    <w:rPr>
      <w:rFonts w:ascii="Times New Roman" w:hAnsi="Times New Roman"/>
      <w:szCs w:val="20"/>
      <w:lang w:eastAsia="en-US"/>
    </w:rPr>
  </w:style>
  <w:style w:type="numbering" w:customStyle="1" w:styleId="NoList1">
    <w:name w:val="No List1"/>
    <w:next w:val="NoList"/>
    <w:uiPriority w:val="99"/>
    <w:semiHidden/>
    <w:unhideWhenUsed/>
    <w:rsid w:val="00FB2AFE"/>
  </w:style>
  <w:style w:type="character" w:customStyle="1" w:styleId="PlainTextChar">
    <w:name w:val="Plain Text Char"/>
    <w:aliases w:val=" Char2 Char,Char2 Char"/>
    <w:link w:val="PlainText"/>
    <w:uiPriority w:val="99"/>
    <w:semiHidden/>
    <w:rsid w:val="00FB2AFE"/>
    <w:rPr>
      <w:rFonts w:ascii="Verdana" w:hAnsi="Verdana"/>
      <w:szCs w:val="21"/>
    </w:rPr>
  </w:style>
  <w:style w:type="paragraph" w:styleId="PlainText">
    <w:name w:val="Plain Text"/>
    <w:aliases w:val=" Char2,Char2"/>
    <w:basedOn w:val="Normal"/>
    <w:link w:val="PlainTextChar"/>
    <w:uiPriority w:val="99"/>
    <w:semiHidden/>
    <w:rsid w:val="00FB2AFE"/>
    <w:pPr>
      <w:spacing w:after="120"/>
    </w:pPr>
    <w:rPr>
      <w:rFonts w:ascii="Verdana" w:hAnsi="Verdana"/>
      <w:sz w:val="20"/>
      <w:szCs w:val="21"/>
    </w:rPr>
  </w:style>
  <w:style w:type="character" w:customStyle="1" w:styleId="PlainTextChar2">
    <w:name w:val="Plain Text Char2"/>
    <w:basedOn w:val="DefaultParagraphFont"/>
    <w:uiPriority w:val="99"/>
    <w:semiHidden/>
    <w:rsid w:val="00FB2AFE"/>
    <w:rPr>
      <w:rFonts w:ascii="Consolas" w:hAnsi="Consolas"/>
      <w:sz w:val="21"/>
      <w:szCs w:val="21"/>
    </w:rPr>
  </w:style>
  <w:style w:type="paragraph" w:customStyle="1" w:styleId="Bulletfirst">
    <w:name w:val="Bullet first"/>
    <w:basedOn w:val="Bullet"/>
    <w:semiHidden/>
    <w:qFormat/>
    <w:rsid w:val="00FB2AFE"/>
    <w:pPr>
      <w:numPr>
        <w:numId w:val="0"/>
      </w:numPr>
      <w:tabs>
        <w:tab w:val="num" w:pos="567"/>
      </w:tabs>
      <w:ind w:left="851" w:hanging="284"/>
    </w:pPr>
  </w:style>
  <w:style w:type="paragraph" w:customStyle="1" w:styleId="Bulletlast">
    <w:name w:val="Bullet last"/>
    <w:basedOn w:val="Bullet"/>
    <w:semiHidden/>
    <w:qFormat/>
    <w:rsid w:val="00FB2AFE"/>
    <w:pPr>
      <w:numPr>
        <w:numId w:val="0"/>
      </w:numPr>
      <w:tabs>
        <w:tab w:val="num" w:pos="567"/>
      </w:tabs>
      <w:ind w:left="567" w:hanging="567"/>
    </w:pPr>
  </w:style>
  <w:style w:type="numbering" w:customStyle="1" w:styleId="Annex">
    <w:name w:val="Annex"/>
    <w:uiPriority w:val="99"/>
    <w:rsid w:val="00FB2AFE"/>
    <w:pPr>
      <w:numPr>
        <w:numId w:val="19"/>
      </w:numPr>
    </w:pPr>
  </w:style>
  <w:style w:type="paragraph" w:styleId="ListParagraph">
    <w:name w:val="List Paragraph"/>
    <w:basedOn w:val="Normal"/>
    <w:link w:val="ListParagraphChar"/>
    <w:uiPriority w:val="34"/>
    <w:semiHidden/>
    <w:qFormat/>
    <w:rsid w:val="00FB2AFE"/>
    <w:pPr>
      <w:spacing w:after="120"/>
      <w:ind w:left="720"/>
      <w:contextualSpacing/>
    </w:pPr>
    <w:rPr>
      <w:rFonts w:eastAsia="Malgun Gothic"/>
      <w:sz w:val="20"/>
      <w:lang w:eastAsia="en-US"/>
    </w:rPr>
  </w:style>
  <w:style w:type="character" w:styleId="EndnoteReference">
    <w:name w:val="endnote reference"/>
    <w:uiPriority w:val="99"/>
    <w:semiHidden/>
    <w:unhideWhenUsed/>
    <w:rsid w:val="00FB2AFE"/>
    <w:rPr>
      <w:vertAlign w:val="superscript"/>
    </w:rPr>
  </w:style>
  <w:style w:type="paragraph" w:customStyle="1" w:styleId="TableHeading">
    <w:name w:val="Table Heading"/>
    <w:basedOn w:val="TableText"/>
    <w:semiHidden/>
    <w:rsid w:val="00FB2AFE"/>
    <w:pPr>
      <w:tabs>
        <w:tab w:val="left" w:pos="567"/>
      </w:tabs>
    </w:pPr>
    <w:rPr>
      <w:rFonts w:ascii="Arial Bold" w:hAnsi="Arial Bold"/>
      <w:b/>
      <w:noProof/>
      <w:szCs w:val="16"/>
    </w:rPr>
  </w:style>
  <w:style w:type="table" w:styleId="ColorfulList-Accent6">
    <w:name w:val="Colorful List Accent 6"/>
    <w:basedOn w:val="TableNormal"/>
    <w:uiPriority w:val="72"/>
    <w:rsid w:val="00FB2AFE"/>
    <w:rPr>
      <w:rFonts w:ascii="Arial" w:hAnsi="Arial"/>
      <w:color w:val="000000"/>
      <w:sz w:val="16"/>
    </w:rPr>
    <w:tblPr>
      <w:tblStyleRowBandSize w:val="1"/>
      <w:tblStyleColBandSize w:val="1"/>
    </w:tblPr>
    <w:tcPr>
      <w:shd w:val="clear" w:color="auto" w:fill="FFFFFF"/>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cPr>
    </w:tblStylePr>
    <w:tblStylePr w:type="band1Horz">
      <w:tblPr/>
      <w:tcPr>
        <w:shd w:val="clear" w:color="auto" w:fill="FFFFFF"/>
      </w:tcPr>
    </w:tblStylePr>
    <w:tblStylePr w:type="band2Horz">
      <w:tblPr/>
      <w:tcPr>
        <w:shd w:val="clear" w:color="auto" w:fill="FFFFFF"/>
      </w:tcPr>
    </w:tblStylePr>
  </w:style>
  <w:style w:type="table" w:styleId="LightList-Accent5">
    <w:name w:val="Light List Accent 5"/>
    <w:basedOn w:val="TableNormal"/>
    <w:uiPriority w:val="61"/>
    <w:rsid w:val="00FB2AFE"/>
    <w:rPr>
      <w:rFonts w:ascii="Times New Roman" w:hAnsi="Times New Roman"/>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Annex1">
    <w:name w:val="Annex1"/>
    <w:uiPriority w:val="99"/>
    <w:rsid w:val="00FB2AFE"/>
  </w:style>
  <w:style w:type="numbering" w:customStyle="1" w:styleId="Annex11">
    <w:name w:val="Annex11"/>
    <w:uiPriority w:val="99"/>
    <w:rsid w:val="00FB2AFE"/>
  </w:style>
  <w:style w:type="numbering" w:customStyle="1" w:styleId="NoList2">
    <w:name w:val="No List2"/>
    <w:next w:val="NoList"/>
    <w:uiPriority w:val="99"/>
    <w:semiHidden/>
    <w:unhideWhenUsed/>
    <w:rsid w:val="00FB2AFE"/>
  </w:style>
  <w:style w:type="table" w:customStyle="1" w:styleId="TableGrid3">
    <w:name w:val="Table Grid3"/>
    <w:basedOn w:val="TableNormal"/>
    <w:next w:val="TableGrid"/>
    <w:uiPriority w:val="59"/>
    <w:rsid w:val="00FB2AFE"/>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31">
    <w:name w:val="Table 3D effects 31"/>
    <w:basedOn w:val="TableNormal"/>
    <w:next w:val="Table3Deffects3"/>
    <w:rsid w:val="00FB2AFE"/>
    <w:rPr>
      <w:rFonts w:ascii="Times New Roman" w:hAnsi="Times New Roman"/>
      <w: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ghtList-Accent12">
    <w:name w:val="Light List - Accent 12"/>
    <w:basedOn w:val="TableNormal"/>
    <w:next w:val="LightList-Accent1"/>
    <w:uiPriority w:val="61"/>
    <w:rsid w:val="00FB2AFE"/>
    <w:pPr>
      <w:jc w:val="right"/>
    </w:pPr>
    <w:rPr>
      <w:rFonts w:ascii="Arial" w:hAnsi="Arial"/>
      <w:szCs w:val="22"/>
      <w:lang w:eastAsia="en-US"/>
    </w:rPr>
    <w:tblPr>
      <w:tblStyleRowBandSize w:val="1"/>
      <w:tblStyleColBandSize w:val="1"/>
      <w:tblBorders>
        <w:top w:val="single" w:sz="8" w:space="0" w:color="1F497D"/>
        <w:bottom w:val="single" w:sz="8" w:space="0" w:color="1F497D"/>
        <w:insideH w:val="single" w:sz="8" w:space="0" w:color="1F497D"/>
      </w:tblBorders>
    </w:tblPr>
    <w:tcPr>
      <w:vAlign w:val="center"/>
    </w:tc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
    <w:name w:val="Medium Shading 1 - Accent 11"/>
    <w:basedOn w:val="TableProfessional"/>
    <w:next w:val="MediumShading1-Accent1"/>
    <w:uiPriority w:val="63"/>
    <w:rsid w:val="00FB2AFE"/>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none" w:sz="0" w:space="0" w:color="auto"/>
      </w:tblBorders>
    </w:tblPr>
    <w:tcPr>
      <w:shd w:val="clear" w:color="auto" w:fill="auto"/>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l2br w:val="none" w:sz="0" w:space="0" w:color="auto"/>
          <w:tr2bl w:val="none" w:sz="0" w:space="0" w:color="auto"/>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Professional1">
    <w:name w:val="Table Professional1"/>
    <w:basedOn w:val="TableNormal"/>
    <w:next w:val="TableProfessional"/>
    <w:uiPriority w:val="99"/>
    <w:semiHidden/>
    <w:unhideWhenUsed/>
    <w:rsid w:val="00FB2AFE"/>
    <w:pPr>
      <w:spacing w:after="120"/>
      <w:jc w:val="both"/>
    </w:pPr>
    <w:rPr>
      <w:rFonts w:ascii="Arial" w:hAnsi="Arial"/>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LightList-Accent111">
    <w:name w:val="Light List - Accent 111"/>
    <w:basedOn w:val="TableNormal"/>
    <w:next w:val="LightList-Accent1"/>
    <w:uiPriority w:val="61"/>
    <w:rsid w:val="00FB2AFE"/>
    <w:rPr>
      <w:rFonts w:eastAsia="Arial"/>
      <w:sz w:val="16"/>
      <w:szCs w:val="22"/>
      <w:lang w:eastAsia="en-US"/>
    </w:rPr>
    <w:tblPr>
      <w:tblStyleRowBandSize w:val="1"/>
      <w:tblStyleColBandSize w:val="1"/>
      <w:tblBorders>
        <w:top w:val="single" w:sz="8" w:space="0" w:color="365F91"/>
        <w:left w:val="single" w:sz="8" w:space="0" w:color="365F91"/>
        <w:bottom w:val="single" w:sz="8" w:space="0" w:color="365F91"/>
        <w:right w:val="single" w:sz="8" w:space="0" w:color="365F91"/>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11">
    <w:name w:val="Table Grid11"/>
    <w:basedOn w:val="TableNormal"/>
    <w:next w:val="TableGrid"/>
    <w:uiPriority w:val="59"/>
    <w:rsid w:val="00FB2AFE"/>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FB2AFE"/>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FB2AFE"/>
  </w:style>
  <w:style w:type="paragraph" w:customStyle="1" w:styleId="BoxSubbullet">
    <w:name w:val="Box Subbullet"/>
    <w:basedOn w:val="BoxBullet"/>
    <w:uiPriority w:val="2"/>
    <w:semiHidden/>
    <w:qFormat/>
    <w:rsid w:val="00FB2AFE"/>
    <w:pPr>
      <w:numPr>
        <w:numId w:val="0"/>
      </w:numPr>
      <w:tabs>
        <w:tab w:val="left" w:pos="680"/>
      </w:tabs>
      <w:ind w:left="1135" w:hanging="851"/>
    </w:pPr>
  </w:style>
  <w:style w:type="character" w:customStyle="1" w:styleId="UnresolvedMention1">
    <w:name w:val="Unresolved Mention1"/>
    <w:uiPriority w:val="99"/>
    <w:semiHidden/>
    <w:unhideWhenUsed/>
    <w:rsid w:val="00FB2AFE"/>
    <w:rPr>
      <w:color w:val="605E5C"/>
      <w:shd w:val="clear" w:color="auto" w:fill="E1DFDD"/>
    </w:rPr>
  </w:style>
  <w:style w:type="paragraph" w:customStyle="1" w:styleId="Keypointshead">
    <w:name w:val="Key points head"/>
    <w:basedOn w:val="BoxHeading"/>
    <w:qFormat/>
    <w:rsid w:val="00726871"/>
    <w:pPr>
      <w:pBdr>
        <w:top w:val="none" w:sz="0" w:space="0" w:color="auto"/>
        <w:left w:val="none" w:sz="0" w:space="0" w:color="auto"/>
        <w:bottom w:val="none" w:sz="0" w:space="0" w:color="auto"/>
        <w:right w:val="none" w:sz="0" w:space="0" w:color="auto"/>
      </w:pBdr>
      <w:spacing w:before="240" w:after="120"/>
      <w:ind w:left="284"/>
    </w:pPr>
    <w:rPr>
      <w:color w:val="1B556B" w:themeColor="text2"/>
      <w:sz w:val="20"/>
    </w:rPr>
  </w:style>
  <w:style w:type="paragraph" w:customStyle="1" w:styleId="Keypointsbullet">
    <w:name w:val="Key points bullet"/>
    <w:basedOn w:val="BoxBullet"/>
    <w:qFormat/>
    <w:rsid w:val="00726871"/>
    <w:pPr>
      <w:numPr>
        <w:numId w:val="26"/>
      </w:numPr>
      <w:pBdr>
        <w:top w:val="none" w:sz="0" w:space="0" w:color="auto"/>
        <w:left w:val="none" w:sz="0" w:space="0" w:color="auto"/>
        <w:bottom w:val="none" w:sz="0" w:space="0" w:color="auto"/>
        <w:right w:val="none" w:sz="0" w:space="0" w:color="auto"/>
      </w:pBdr>
      <w:tabs>
        <w:tab w:val="clear" w:pos="567"/>
      </w:tabs>
      <w:spacing w:before="0" w:after="120"/>
      <w:ind w:left="680" w:hanging="396"/>
    </w:pPr>
    <w:rPr>
      <w:color w:val="1B556B" w:themeColor="text2"/>
      <w:sz w:val="18"/>
      <w:szCs w:val="18"/>
    </w:rPr>
  </w:style>
  <w:style w:type="paragraph" w:customStyle="1" w:styleId="Keypointsub-bullet">
    <w:name w:val="Key point sub-bullet"/>
    <w:basedOn w:val="BoxSubbullet"/>
    <w:qFormat/>
    <w:rsid w:val="00EC57BF"/>
    <w:pPr>
      <w:numPr>
        <w:numId w:val="20"/>
      </w:numPr>
      <w:pBdr>
        <w:top w:val="none" w:sz="0" w:space="0" w:color="auto"/>
        <w:left w:val="none" w:sz="0" w:space="0" w:color="auto"/>
        <w:bottom w:val="none" w:sz="0" w:space="0" w:color="auto"/>
        <w:right w:val="none" w:sz="0" w:space="0" w:color="auto"/>
      </w:pBdr>
      <w:tabs>
        <w:tab w:val="clear" w:pos="567"/>
        <w:tab w:val="clear" w:pos="680"/>
        <w:tab w:val="left" w:pos="1077"/>
      </w:tabs>
      <w:spacing w:before="0" w:after="120"/>
      <w:ind w:left="1077" w:hanging="397"/>
    </w:pPr>
    <w:rPr>
      <w:color w:val="1B556B" w:themeColor="text2"/>
      <w:sz w:val="18"/>
      <w:szCs w:val="18"/>
    </w:rPr>
  </w:style>
  <w:style w:type="paragraph" w:customStyle="1" w:styleId="Keypointstext">
    <w:name w:val="Key points text"/>
    <w:basedOn w:val="Keypointshead"/>
    <w:semiHidden/>
    <w:qFormat/>
    <w:rsid w:val="00FB2AFE"/>
    <w:pPr>
      <w:spacing w:before="120"/>
    </w:pPr>
    <w:rPr>
      <w:b w:val="0"/>
    </w:rPr>
  </w:style>
  <w:style w:type="paragraph" w:customStyle="1" w:styleId="Boxa">
    <w:name w:val="Box a"/>
    <w:aliases w:val="b list"/>
    <w:basedOn w:val="Normal"/>
    <w:semiHidden/>
    <w:qFormat/>
    <w:rsid w:val="00FB2AFE"/>
    <w:pPr>
      <w:numPr>
        <w:ilvl w:val="1"/>
        <w:numId w:val="21"/>
      </w:numPr>
      <w:pBdr>
        <w:top w:val="single" w:sz="6" w:space="15" w:color="0092CF"/>
        <w:left w:val="single" w:sz="6" w:space="15" w:color="0092CF"/>
        <w:bottom w:val="single" w:sz="6" w:space="15" w:color="0092CF"/>
        <w:right w:val="single" w:sz="6" w:space="15" w:color="0092CF"/>
      </w:pBdr>
      <w:tabs>
        <w:tab w:val="left" w:pos="426"/>
      </w:tabs>
      <w:spacing w:before="120" w:line="280" w:lineRule="atLeast"/>
      <w:ind w:right="284"/>
    </w:pPr>
    <w:rPr>
      <w:color w:val="0092CF"/>
      <w:sz w:val="20"/>
      <w:szCs w:val="20"/>
    </w:rPr>
  </w:style>
  <w:style w:type="table" w:styleId="LightShading-Accent1">
    <w:name w:val="Light Shading Accent 1"/>
    <w:basedOn w:val="TableNormal"/>
    <w:uiPriority w:val="60"/>
    <w:rsid w:val="00FB2AFE"/>
    <w:pPr>
      <w:jc w:val="both"/>
    </w:pPr>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3-Accent1">
    <w:name w:val="List Table 3 Accent 1"/>
    <w:basedOn w:val="TableNormal"/>
    <w:uiPriority w:val="48"/>
    <w:rsid w:val="00FB2AFE"/>
    <w:pPr>
      <w:spacing w:before="120"/>
      <w:jc w:val="both"/>
    </w:pPr>
    <w:rPr>
      <w:rFonts w:eastAsia="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character" w:customStyle="1" w:styleId="UnresolvedMention2">
    <w:name w:val="Unresolved Mention2"/>
    <w:uiPriority w:val="99"/>
    <w:semiHidden/>
    <w:unhideWhenUsed/>
    <w:rsid w:val="00FB2AFE"/>
    <w:rPr>
      <w:color w:val="605E5C"/>
      <w:shd w:val="clear" w:color="auto" w:fill="E1DFDD"/>
    </w:rPr>
  </w:style>
  <w:style w:type="character" w:customStyle="1" w:styleId="Heading8Char1">
    <w:name w:val="Heading 8 Char1"/>
    <w:aliases w:val="Char14 Char1"/>
    <w:semiHidden/>
    <w:rsid w:val="00FB2AFE"/>
    <w:rPr>
      <w:rFonts w:ascii="Calibri Light" w:eastAsia="Times New Roman" w:hAnsi="Calibri Light" w:cs="Times New Roman"/>
      <w:color w:val="272727"/>
      <w:sz w:val="21"/>
      <w:szCs w:val="21"/>
      <w:lang w:eastAsia="en-US"/>
    </w:rPr>
  </w:style>
  <w:style w:type="character" w:customStyle="1" w:styleId="Heading9Char1">
    <w:name w:val="Heading 9 Char1"/>
    <w:aliases w:val="Char13 Char1"/>
    <w:semiHidden/>
    <w:rsid w:val="00FB2AFE"/>
    <w:rPr>
      <w:rFonts w:ascii="Calibri Light" w:eastAsia="Times New Roman" w:hAnsi="Calibri Light" w:cs="Times New Roman"/>
      <w:i/>
      <w:iCs/>
      <w:color w:val="272727"/>
      <w:sz w:val="21"/>
      <w:szCs w:val="21"/>
      <w:lang w:eastAsia="en-US"/>
    </w:rPr>
  </w:style>
  <w:style w:type="character" w:customStyle="1" w:styleId="FooterChar1">
    <w:name w:val="Footer Char1"/>
    <w:aliases w:val="Char10 Char1"/>
    <w:semiHidden/>
    <w:rsid w:val="00FB2AFE"/>
    <w:rPr>
      <w:rFonts w:ascii="Times New Roman" w:hAnsi="Times New Roman"/>
      <w:sz w:val="22"/>
      <w:lang w:eastAsia="en-US"/>
    </w:rPr>
  </w:style>
  <w:style w:type="paragraph" w:customStyle="1" w:styleId="TableText2">
    <w:name w:val="TableText 2"/>
    <w:basedOn w:val="TableText"/>
    <w:semiHidden/>
    <w:qFormat/>
    <w:rsid w:val="00FB2AFE"/>
    <w:pPr>
      <w:spacing w:line="240" w:lineRule="atLeast"/>
      <w:ind w:left="737"/>
    </w:pPr>
  </w:style>
  <w:style w:type="paragraph" w:customStyle="1" w:styleId="TableText1">
    <w:name w:val="TableText 1"/>
    <w:basedOn w:val="TableText"/>
    <w:semiHidden/>
    <w:qFormat/>
    <w:rsid w:val="00FB2AFE"/>
    <w:pPr>
      <w:spacing w:line="240" w:lineRule="atLeast"/>
      <w:ind w:left="397"/>
    </w:pPr>
  </w:style>
  <w:style w:type="character" w:styleId="Mention">
    <w:name w:val="Mention"/>
    <w:basedOn w:val="DefaultParagraphFont"/>
    <w:uiPriority w:val="99"/>
    <w:semiHidden/>
    <w:rsid w:val="00FB2AFE"/>
    <w:rPr>
      <w:color w:val="2B579A"/>
      <w:shd w:val="clear" w:color="auto" w:fill="E1DFDD"/>
    </w:rPr>
  </w:style>
  <w:style w:type="character" w:styleId="UnresolvedMention">
    <w:name w:val="Unresolved Mention"/>
    <w:basedOn w:val="DefaultParagraphFont"/>
    <w:uiPriority w:val="99"/>
    <w:semiHidden/>
    <w:unhideWhenUsed/>
    <w:rsid w:val="00FB2AFE"/>
    <w:rPr>
      <w:color w:val="605E5C"/>
      <w:shd w:val="clear" w:color="auto" w:fill="E1DFDD"/>
    </w:rPr>
  </w:style>
  <w:style w:type="paragraph" w:styleId="CommentSubject">
    <w:name w:val="annotation subject"/>
    <w:aliases w:val=" Char5,Char5"/>
    <w:basedOn w:val="Normal"/>
    <w:next w:val="Normal"/>
    <w:link w:val="CommentSubjectChar"/>
    <w:semiHidden/>
    <w:unhideWhenUsed/>
    <w:rsid w:val="00E87995"/>
    <w:pPr>
      <w:spacing w:after="160"/>
    </w:pPr>
    <w:rPr>
      <w:rFonts w:eastAsiaTheme="minorEastAsia"/>
      <w:b/>
      <w:bCs/>
    </w:rPr>
  </w:style>
  <w:style w:type="character" w:customStyle="1" w:styleId="CommentSubjectChar">
    <w:name w:val="Comment Subject Char"/>
    <w:aliases w:val=" Char5 Char,Char5 Char"/>
    <w:basedOn w:val="CommentTextChar1"/>
    <w:link w:val="CommentSubject"/>
    <w:semiHidden/>
    <w:rsid w:val="00FB2AFE"/>
    <w:rPr>
      <w:rFonts w:eastAsiaTheme="minorEastAsia"/>
      <w:b/>
      <w:bCs/>
    </w:rPr>
  </w:style>
  <w:style w:type="paragraph" w:customStyle="1" w:styleId="Boxbullet0">
    <w:name w:val="Box bullet"/>
    <w:basedOn w:val="Boxtext"/>
    <w:uiPriority w:val="1"/>
    <w:semiHidden/>
    <w:qFormat/>
    <w:rsid w:val="00FB2AFE"/>
    <w:pPr>
      <w:tabs>
        <w:tab w:val="left" w:pos="680"/>
      </w:tabs>
      <w:spacing w:before="0"/>
      <w:ind w:left="644" w:hanging="360"/>
    </w:pPr>
    <w:rPr>
      <w:rFonts w:cs="Times New Roman"/>
      <w:szCs w:val="20"/>
    </w:rPr>
  </w:style>
  <w:style w:type="paragraph" w:customStyle="1" w:styleId="Boxheading0">
    <w:name w:val="Box heading"/>
    <w:basedOn w:val="Boxtext"/>
    <w:next w:val="Boxtext"/>
    <w:uiPriority w:val="1"/>
    <w:semiHidden/>
    <w:qFormat/>
    <w:rsid w:val="00FB2AFE"/>
    <w:pPr>
      <w:keepNext/>
      <w:spacing w:before="240" w:after="0"/>
    </w:pPr>
    <w:rPr>
      <w:rFonts w:cs="Times New Roman"/>
      <w:b/>
      <w:sz w:val="22"/>
      <w:szCs w:val="20"/>
    </w:rPr>
  </w:style>
  <w:style w:type="paragraph" w:customStyle="1" w:styleId="Boxtext">
    <w:name w:val="Box text"/>
    <w:basedOn w:val="Normal"/>
    <w:uiPriority w:val="1"/>
    <w:semiHidden/>
    <w:qFormat/>
    <w:rsid w:val="00FB2AFE"/>
    <w:pPr>
      <w:spacing w:before="120" w:after="120" w:line="260" w:lineRule="atLeast"/>
      <w:ind w:left="284" w:right="284"/>
    </w:pPr>
    <w:rPr>
      <w:rFonts w:eastAsiaTheme="minorEastAsia" w:cstheme="minorBidi"/>
      <w:color w:val="1B556B"/>
      <w:sz w:val="20"/>
    </w:rPr>
  </w:style>
  <w:style w:type="paragraph" w:customStyle="1" w:styleId="Boxsub-bullet">
    <w:name w:val="Box sub-bullet"/>
    <w:basedOn w:val="Boxtext"/>
    <w:uiPriority w:val="1"/>
    <w:semiHidden/>
    <w:qFormat/>
    <w:rsid w:val="00FB2AFE"/>
    <w:pPr>
      <w:numPr>
        <w:numId w:val="22"/>
      </w:numPr>
      <w:spacing w:before="0"/>
    </w:pPr>
    <w:rPr>
      <w:rFonts w:cs="Times New Roman"/>
      <w:szCs w:val="20"/>
    </w:rPr>
  </w:style>
  <w:style w:type="paragraph" w:customStyle="1" w:styleId="Acknowledgementsbolditalics">
    <w:name w:val="Acknowledgements bold italics"/>
    <w:basedOn w:val="Normal"/>
    <w:semiHidden/>
    <w:rsid w:val="00BF5487"/>
    <w:pPr>
      <w:spacing w:before="160"/>
    </w:pPr>
    <w:rPr>
      <w:rFonts w:ascii="Times New Roman" w:hAnsi="Times New Roman"/>
      <w:b/>
      <w:i/>
      <w:szCs w:val="20"/>
      <w:lang w:eastAsia="en-US"/>
    </w:rPr>
  </w:style>
  <w:style w:type="paragraph" w:customStyle="1" w:styleId="Footerodd0">
    <w:name w:val="Footer odd"/>
    <w:basedOn w:val="OddFooter"/>
    <w:uiPriority w:val="2"/>
    <w:semiHidden/>
    <w:qFormat/>
    <w:rsid w:val="005D02EF"/>
    <w:pPr>
      <w:tabs>
        <w:tab w:val="clear" w:pos="7655"/>
        <w:tab w:val="clear" w:pos="8505"/>
        <w:tab w:val="right" w:pos="6804"/>
        <w:tab w:val="right" w:pos="7938"/>
      </w:tabs>
    </w:pPr>
  </w:style>
  <w:style w:type="paragraph" w:styleId="BodyText2">
    <w:name w:val="Body Text 2"/>
    <w:aliases w:val=" Char4,Char4"/>
    <w:basedOn w:val="Normal"/>
    <w:link w:val="BodyText2Char"/>
    <w:semiHidden/>
    <w:rsid w:val="00D97D6C"/>
    <w:pPr>
      <w:spacing w:after="120" w:line="480" w:lineRule="auto"/>
    </w:pPr>
    <w:rPr>
      <w:rFonts w:ascii="Times New Roman" w:hAnsi="Times New Roman"/>
      <w:lang w:eastAsia="en-US"/>
    </w:rPr>
  </w:style>
  <w:style w:type="character" w:customStyle="1" w:styleId="BodyText2Char">
    <w:name w:val="Body Text 2 Char"/>
    <w:aliases w:val=" Char4 Char,Char4 Char"/>
    <w:basedOn w:val="DefaultParagraphFont"/>
    <w:link w:val="BodyText2"/>
    <w:semiHidden/>
    <w:rsid w:val="00D97D6C"/>
    <w:rPr>
      <w:rFonts w:ascii="Times New Roman" w:hAnsi="Times New Roman"/>
      <w:sz w:val="22"/>
      <w:szCs w:val="22"/>
      <w:lang w:eastAsia="en-US"/>
    </w:rPr>
  </w:style>
  <w:style w:type="paragraph" w:styleId="List">
    <w:name w:val="List"/>
    <w:basedOn w:val="BodyText"/>
    <w:semiHidden/>
    <w:rsid w:val="00D97D6C"/>
    <w:pPr>
      <w:suppressAutoHyphens/>
    </w:pPr>
    <w:rPr>
      <w:lang w:eastAsia="ar-SA"/>
    </w:rPr>
  </w:style>
  <w:style w:type="paragraph" w:customStyle="1" w:styleId="Headline">
    <w:name w:val="Headline"/>
    <w:basedOn w:val="Normal"/>
    <w:next w:val="Normal"/>
    <w:semiHidden/>
    <w:rsid w:val="00D97D6C"/>
    <w:pPr>
      <w:spacing w:before="60" w:after="180"/>
    </w:pPr>
    <w:rPr>
      <w:rFonts w:ascii="Times New Roman" w:hAnsi="Times New Roman"/>
      <w:b/>
      <w:sz w:val="48"/>
      <w:szCs w:val="20"/>
      <w:lang w:eastAsia="en-US"/>
    </w:rPr>
  </w:style>
  <w:style w:type="table" w:customStyle="1" w:styleId="ListTable3-Accent11">
    <w:name w:val="List Table 3 - Accent 11"/>
    <w:basedOn w:val="TableNormal"/>
    <w:uiPriority w:val="48"/>
    <w:rsid w:val="00D97D6C"/>
    <w:pPr>
      <w:spacing w:before="120"/>
      <w:jc w:val="both"/>
    </w:pPr>
    <w:rPr>
      <w:rFonts w:eastAsia="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customStyle="1" w:styleId="Sub-bulletdash">
    <w:name w:val="Sub-bullet dash"/>
    <w:basedOn w:val="Normal"/>
    <w:uiPriority w:val="6"/>
    <w:semiHidden/>
    <w:qFormat/>
    <w:rsid w:val="00D97D6C"/>
    <w:pPr>
      <w:tabs>
        <w:tab w:val="num" w:pos="397"/>
        <w:tab w:val="left" w:pos="794"/>
      </w:tabs>
      <w:spacing w:after="120" w:line="280" w:lineRule="atLeast"/>
      <w:ind w:left="397"/>
    </w:pPr>
    <w:rPr>
      <w:rFonts w:eastAsia="Malgun Gothic" w:cs="Cordia New"/>
    </w:rPr>
  </w:style>
  <w:style w:type="table" w:customStyle="1" w:styleId="ListTable3-Accent110">
    <w:name w:val="List Table 3 - Accent 110"/>
    <w:basedOn w:val="TableNormal"/>
    <w:uiPriority w:val="48"/>
    <w:rsid w:val="001608E9"/>
    <w:pPr>
      <w:spacing w:before="120"/>
      <w:jc w:val="both"/>
    </w:pPr>
    <w:rPr>
      <w:rFonts w:eastAsia="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customStyle="1" w:styleId="EvenFooter">
    <w:name w:val="Even Footer"/>
    <w:basedOn w:val="Normal"/>
    <w:next w:val="Normal"/>
    <w:semiHidden/>
    <w:rsid w:val="001608E9"/>
    <w:pPr>
      <w:pBdr>
        <w:top w:val="single" w:sz="4" w:space="4" w:color="auto"/>
      </w:pBdr>
      <w:tabs>
        <w:tab w:val="left" w:pos="851"/>
      </w:tabs>
    </w:pPr>
    <w:rPr>
      <w:sz w:val="16"/>
    </w:rPr>
  </w:style>
  <w:style w:type="paragraph" w:styleId="CommentText">
    <w:name w:val="annotation text"/>
    <w:aliases w:val=" Char7,Char7"/>
    <w:basedOn w:val="Normal"/>
    <w:link w:val="CommentTextChar"/>
    <w:uiPriority w:val="99"/>
    <w:semiHidden/>
    <w:qFormat/>
    <w:rsid w:val="00AD187C"/>
    <w:pPr>
      <w:spacing w:after="120"/>
    </w:pPr>
    <w:rPr>
      <w:rFonts w:eastAsia="Arial"/>
      <w:sz w:val="20"/>
      <w:szCs w:val="20"/>
    </w:rPr>
  </w:style>
  <w:style w:type="character" w:customStyle="1" w:styleId="QuoteChar1">
    <w:name w:val="Quote Char1"/>
    <w:uiPriority w:val="29"/>
    <w:semiHidden/>
    <w:rsid w:val="001608E9"/>
    <w:rPr>
      <w:rFonts w:ascii="Times New Roman" w:hAnsi="Times New Roman"/>
      <w:i/>
      <w:iCs/>
      <w:color w:val="000000"/>
      <w:lang w:eastAsia="en-US"/>
    </w:rPr>
  </w:style>
  <w:style w:type="character" w:customStyle="1" w:styleId="NIRTitleChar">
    <w:name w:val="NIR Title Char"/>
    <w:link w:val="NIRTitle"/>
    <w:semiHidden/>
    <w:locked/>
    <w:rsid w:val="001608E9"/>
    <w:rPr>
      <w:rFonts w:ascii="Calibri Light" w:eastAsia="Malgun Gothic" w:hAnsi="Calibri Light"/>
      <w:color w:val="323E4F"/>
      <w:spacing w:val="5"/>
      <w:kern w:val="28"/>
      <w:sz w:val="52"/>
      <w:szCs w:val="52"/>
    </w:rPr>
  </w:style>
  <w:style w:type="paragraph" w:customStyle="1" w:styleId="NIRTitle">
    <w:name w:val="NIR Title"/>
    <w:basedOn w:val="Title"/>
    <w:link w:val="NIRTitleChar"/>
    <w:semiHidden/>
    <w:qFormat/>
    <w:rsid w:val="001608E9"/>
    <w:pPr>
      <w:pBdr>
        <w:bottom w:val="single" w:sz="8" w:space="4" w:color="5B9BD5"/>
      </w:pBdr>
      <w:spacing w:after="300" w:line="240" w:lineRule="auto"/>
      <w:contextualSpacing/>
      <w:jc w:val="both"/>
    </w:pPr>
    <w:rPr>
      <w:rFonts w:ascii="Calibri Light" w:eastAsia="Malgun Gothic" w:hAnsi="Calibri Light"/>
      <w:b w:val="0"/>
      <w:color w:val="323E4F"/>
      <w:spacing w:val="5"/>
      <w:kern w:val="28"/>
      <w:sz w:val="52"/>
      <w:szCs w:val="52"/>
    </w:rPr>
  </w:style>
  <w:style w:type="character" w:customStyle="1" w:styleId="CommentTextChar2">
    <w:name w:val="Comment Text Char2"/>
    <w:basedOn w:val="DefaultParagraphFont"/>
    <w:uiPriority w:val="99"/>
    <w:semiHidden/>
    <w:rsid w:val="001608E9"/>
  </w:style>
  <w:style w:type="paragraph" w:customStyle="1" w:styleId="Contentssubhead">
    <w:name w:val="Contents subhead"/>
    <w:basedOn w:val="ContentsHeading"/>
    <w:uiPriority w:val="2"/>
    <w:semiHidden/>
    <w:qFormat/>
    <w:rsid w:val="001608E9"/>
    <w:pPr>
      <w:pBdr>
        <w:bottom w:val="none" w:sz="0" w:space="0" w:color="auto"/>
      </w:pBdr>
    </w:pPr>
    <w:rPr>
      <w:sz w:val="40"/>
    </w:rPr>
  </w:style>
  <w:style w:type="paragraph" w:customStyle="1" w:styleId="msonormal0">
    <w:name w:val="msonormal"/>
    <w:basedOn w:val="Normal"/>
    <w:semiHidden/>
    <w:rsid w:val="001608E9"/>
    <w:pPr>
      <w:widowControl w:val="0"/>
      <w:adjustRightInd w:val="0"/>
      <w:spacing w:before="100" w:beforeAutospacing="1" w:after="100" w:afterAutospacing="1"/>
    </w:pPr>
    <w:rPr>
      <w:rFonts w:ascii="Times New Roman" w:hAnsi="Times New Roman"/>
      <w:szCs w:val="24"/>
      <w:lang w:val="en-GB" w:eastAsia="en-GB"/>
    </w:rPr>
  </w:style>
  <w:style w:type="character" w:customStyle="1" w:styleId="Heading7Char1">
    <w:name w:val="Heading 7 Char1"/>
    <w:aliases w:val="Char15 Char1"/>
    <w:semiHidden/>
    <w:rsid w:val="001608E9"/>
    <w:rPr>
      <w:rFonts w:ascii="Calibri Light" w:eastAsia="Times New Roman" w:hAnsi="Calibri Light" w:cs="Times New Roman"/>
      <w:i/>
      <w:iCs/>
      <w:color w:val="1F4D78"/>
      <w:sz w:val="22"/>
      <w:lang w:eastAsia="en-US"/>
    </w:rPr>
  </w:style>
  <w:style w:type="character" w:customStyle="1" w:styleId="BodyText2Char1">
    <w:name w:val="Body Text 2 Char1"/>
    <w:aliases w:val="Char4 Char1"/>
    <w:semiHidden/>
    <w:rsid w:val="001608E9"/>
    <w:rPr>
      <w:rFonts w:ascii="Times New Roman" w:hAnsi="Times New Roman"/>
      <w:sz w:val="22"/>
      <w:lang w:eastAsia="en-US"/>
    </w:rPr>
  </w:style>
  <w:style w:type="character" w:customStyle="1" w:styleId="DocumentMapChar1">
    <w:name w:val="Document Map Char1"/>
    <w:aliases w:val="Char1 Char1"/>
    <w:semiHidden/>
    <w:rsid w:val="001608E9"/>
    <w:rPr>
      <w:rFonts w:ascii="Segoe UI" w:hAnsi="Segoe UI" w:cs="Segoe UI"/>
      <w:sz w:val="16"/>
      <w:szCs w:val="16"/>
      <w:lang w:eastAsia="en-US"/>
    </w:rPr>
  </w:style>
  <w:style w:type="character" w:customStyle="1" w:styleId="BalloonTextChar1">
    <w:name w:val="Balloon Text Char1"/>
    <w:aliases w:val="Char6 Char1"/>
    <w:semiHidden/>
    <w:rsid w:val="001608E9"/>
    <w:rPr>
      <w:rFonts w:ascii="Segoe UI" w:hAnsi="Segoe UI" w:cs="Segoe UI"/>
      <w:sz w:val="18"/>
      <w:szCs w:val="18"/>
      <w:lang w:eastAsia="en-US"/>
    </w:rPr>
  </w:style>
  <w:style w:type="paragraph" w:styleId="NoSpacing">
    <w:name w:val="No Spacing"/>
    <w:uiPriority w:val="1"/>
    <w:semiHidden/>
    <w:qFormat/>
    <w:rsid w:val="00053418"/>
    <w:rPr>
      <w:rFonts w:asciiTheme="minorHAnsi" w:eastAsiaTheme="minorHAnsi" w:hAnsiTheme="minorHAnsi" w:cstheme="minorBidi"/>
      <w:sz w:val="22"/>
      <w:szCs w:val="22"/>
      <w:lang w:eastAsia="en-US"/>
    </w:rPr>
  </w:style>
  <w:style w:type="paragraph" w:customStyle="1" w:styleId="Informationboxbullet">
    <w:name w:val="Information box bullet"/>
    <w:basedOn w:val="Normal"/>
    <w:uiPriority w:val="7"/>
    <w:semiHidden/>
    <w:qFormat/>
    <w:rsid w:val="00E87995"/>
    <w:pPr>
      <w:numPr>
        <w:numId w:val="24"/>
      </w:numPr>
      <w:pBdr>
        <w:top w:val="single" w:sz="4" w:space="15" w:color="D2DDE2"/>
        <w:left w:val="single" w:sz="4" w:space="15" w:color="D2DDE2"/>
        <w:bottom w:val="single" w:sz="4" w:space="15" w:color="D2DDE2"/>
        <w:right w:val="single" w:sz="4" w:space="15" w:color="D2DDE2"/>
      </w:pBdr>
      <w:shd w:val="clear" w:color="auto" w:fill="D2DDE2"/>
      <w:tabs>
        <w:tab w:val="left" w:pos="680"/>
      </w:tabs>
      <w:spacing w:line="280" w:lineRule="atLeast"/>
      <w:ind w:right="284"/>
    </w:pPr>
    <w:rPr>
      <w:color w:val="1C556C"/>
      <w:sz w:val="20"/>
      <w:szCs w:val="20"/>
    </w:rPr>
  </w:style>
  <w:style w:type="character" w:customStyle="1" w:styleId="CommentTextChar3">
    <w:name w:val="Comment Text Char3"/>
    <w:basedOn w:val="DefaultParagraphFont"/>
    <w:uiPriority w:val="99"/>
    <w:semiHidden/>
    <w:rsid w:val="00AD187C"/>
  </w:style>
  <w:style w:type="character" w:customStyle="1" w:styleId="ListParagraphChar">
    <w:name w:val="List Paragraph Char"/>
    <w:basedOn w:val="DefaultParagraphFont"/>
    <w:link w:val="ListParagraph"/>
    <w:uiPriority w:val="34"/>
    <w:semiHidden/>
    <w:locked/>
    <w:rsid w:val="005D02EF"/>
    <w:rPr>
      <w:rFonts w:eastAsia="Malgun Gothic"/>
      <w:szCs w:val="22"/>
      <w:lang w:eastAsia="en-US"/>
    </w:rPr>
  </w:style>
  <w:style w:type="paragraph" w:styleId="Footer">
    <w:name w:val="footer"/>
    <w:basedOn w:val="Normal"/>
    <w:link w:val="FooterChar"/>
    <w:semiHidden/>
    <w:rsid w:val="00D92287"/>
    <w:pPr>
      <w:tabs>
        <w:tab w:val="center" w:pos="4513"/>
        <w:tab w:val="right" w:pos="9026"/>
      </w:tabs>
    </w:pPr>
  </w:style>
  <w:style w:type="character" w:customStyle="1" w:styleId="FooterChar">
    <w:name w:val="Footer Char"/>
    <w:basedOn w:val="DefaultParagraphFont"/>
    <w:link w:val="Footer"/>
    <w:semiHidden/>
    <w:rsid w:val="00BB3235"/>
    <w:rPr>
      <w:sz w:val="22"/>
      <w:szCs w:val="22"/>
    </w:rPr>
  </w:style>
  <w:style w:type="paragraph" w:styleId="IntenseQuote">
    <w:name w:val="Intense Quote"/>
    <w:basedOn w:val="Normal"/>
    <w:next w:val="Normal"/>
    <w:link w:val="IntenseQuoteChar"/>
    <w:uiPriority w:val="30"/>
    <w:semiHidden/>
    <w:qFormat/>
    <w:rsid w:val="007C5A34"/>
    <w:pPr>
      <w:spacing w:before="240" w:after="160" w:line="259" w:lineRule="auto"/>
    </w:pPr>
    <w:rPr>
      <w:rFonts w:asciiTheme="minorHAnsi" w:eastAsiaTheme="minorEastAsia" w:hAnsiTheme="minorHAnsi" w:cstheme="minorBidi"/>
      <w:i/>
      <w:iCs/>
    </w:rPr>
  </w:style>
  <w:style w:type="character" w:customStyle="1" w:styleId="IntenseQuoteChar">
    <w:name w:val="Intense Quote Char"/>
    <w:basedOn w:val="DefaultParagraphFont"/>
    <w:link w:val="IntenseQuote"/>
    <w:uiPriority w:val="30"/>
    <w:semiHidden/>
    <w:rsid w:val="007C5A34"/>
    <w:rPr>
      <w:rFonts w:asciiTheme="minorHAnsi" w:eastAsiaTheme="minorEastAsia" w:hAnsiTheme="minorHAnsi" w:cstheme="minorBidi"/>
      <w:i/>
      <w:iCs/>
      <w:sz w:val="22"/>
      <w:szCs w:val="22"/>
    </w:rPr>
  </w:style>
  <w:style w:type="table" w:customStyle="1" w:styleId="AgPannelPaper">
    <w:name w:val="AgPannelPaper"/>
    <w:basedOn w:val="TableNormal"/>
    <w:uiPriority w:val="99"/>
    <w:rsid w:val="00590FE1"/>
    <w:rPr>
      <w:rFonts w:ascii="Arial" w:eastAsiaTheme="minorHAnsi" w:hAnsi="Arial" w:cstheme="minorBidi"/>
    </w:rPr>
    <w:tblPr>
      <w:tblStyleRowBandSize w:val="1"/>
      <w:tblStyleColBandSize w:val="1"/>
      <w:tblBorders>
        <w:bottom w:val="single" w:sz="4" w:space="0" w:color="auto"/>
        <w:insideH w:val="single" w:sz="4" w:space="0" w:color="auto"/>
      </w:tblBorders>
    </w:tblPr>
    <w:tcPr>
      <w:shd w:val="clear" w:color="auto" w:fill="auto"/>
    </w:tcPr>
    <w:tblStylePr w:type="firstRow">
      <w:pPr>
        <w:jc w:val="center"/>
      </w:pPr>
      <w:rPr>
        <w:b/>
        <w:bCs/>
        <w:color w:val="FFFFFF" w:themeColor="background1"/>
      </w:rPr>
      <w:tblPr/>
      <w:tcPr>
        <w:shd w:val="clear" w:color="auto" w:fill="1B556B" w:themeFill="text2"/>
        <w:vAlign w:val="center"/>
      </w:tcPr>
    </w:tblStylePr>
    <w:tblStylePr w:type="lastRow">
      <w:rPr>
        <w:b/>
        <w:bCs/>
      </w:rPr>
      <w:tblPr/>
      <w:tcPr>
        <w:tcBorders>
          <w:top w:val="nil"/>
          <w:left w:val="nil"/>
          <w:bottom w:val="single" w:sz="4" w:space="0" w:color="auto"/>
          <w:right w:val="nil"/>
          <w:insideH w:val="nil"/>
          <w:insideV w:val="nil"/>
          <w:tl2br w:val="nil"/>
          <w:tr2bl w:val="nil"/>
        </w:tcBorders>
        <w:shd w:val="clear" w:color="auto" w:fill="FFFFFF" w:themeFill="background1"/>
      </w:tcPr>
    </w:tblStylePr>
    <w:tblStylePr w:type="firstCol">
      <w:pPr>
        <w:jc w:val="left"/>
      </w:pPr>
      <w:rPr>
        <w:b/>
        <w:bCs/>
      </w:rPr>
      <w:tblPr/>
      <w:tcPr>
        <w:tcBorders>
          <w:right w:val="nil"/>
        </w:tcBorders>
        <w:shd w:val="clear" w:color="auto" w:fill="FFFFFF" w:themeFill="background1"/>
        <w:vAlign w:val="center"/>
      </w:tcPr>
    </w:tblStylePr>
    <w:tblStylePr w:type="lastCol">
      <w:rPr>
        <w:b/>
        <w:bCs/>
      </w:rPr>
      <w:tblPr/>
      <w:tcPr>
        <w:tcBorders>
          <w:left w:val="nil"/>
        </w:tcBorders>
        <w:shd w:val="clear" w:color="auto" w:fill="FFFFFF" w:themeFill="background1"/>
      </w:tcPr>
    </w:tblStylePr>
    <w:tblStylePr w:type="band1Vert">
      <w:tblPr/>
      <w:tcPr>
        <w:tcBorders>
          <w:left w:val="single" w:sz="4" w:space="0" w:color="1C556C" w:themeColor="accent1"/>
          <w:right w:val="single" w:sz="4" w:space="0" w:color="1C556C" w:themeColor="accent1"/>
        </w:tcBorders>
      </w:tcPr>
    </w:tblStylePr>
    <w:tblStylePr w:type="band1Horz">
      <w:tblPr/>
      <w:tcPr>
        <w:tcBorders>
          <w:top w:val="single" w:sz="4" w:space="0" w:color="1C556C" w:themeColor="accent1"/>
          <w:bottom w:val="single" w:sz="4" w:space="0" w:color="1C556C"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C556C" w:themeColor="accent1"/>
          <w:left w:val="nil"/>
        </w:tcBorders>
      </w:tcPr>
    </w:tblStylePr>
    <w:tblStylePr w:type="swCell">
      <w:tblPr/>
      <w:tcPr>
        <w:tcBorders>
          <w:top w:val="double" w:sz="4" w:space="0" w:color="1C556C" w:themeColor="accen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6466702">
      <w:bodyDiv w:val="1"/>
      <w:marLeft w:val="0"/>
      <w:marRight w:val="0"/>
      <w:marTop w:val="0"/>
      <w:marBottom w:val="0"/>
      <w:divBdr>
        <w:top w:val="none" w:sz="0" w:space="0" w:color="auto"/>
        <w:left w:val="none" w:sz="0" w:space="0" w:color="auto"/>
        <w:bottom w:val="none" w:sz="0" w:space="0" w:color="auto"/>
        <w:right w:val="none" w:sz="0" w:space="0" w:color="auto"/>
      </w:divBdr>
    </w:div>
    <w:div w:id="816338453">
      <w:bodyDiv w:val="1"/>
      <w:marLeft w:val="0"/>
      <w:marRight w:val="0"/>
      <w:marTop w:val="0"/>
      <w:marBottom w:val="0"/>
      <w:divBdr>
        <w:top w:val="none" w:sz="0" w:space="0" w:color="auto"/>
        <w:left w:val="none" w:sz="0" w:space="0" w:color="auto"/>
        <w:bottom w:val="none" w:sz="0" w:space="0" w:color="auto"/>
        <w:right w:val="none" w:sz="0" w:space="0" w:color="auto"/>
      </w:divBdr>
    </w:div>
    <w:div w:id="1617714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png"/><Relationship Id="rId21" Type="http://schemas.openxmlformats.org/officeDocument/2006/relationships/header" Target="header5.xml"/><Relationship Id="rId63" Type="http://schemas.openxmlformats.org/officeDocument/2006/relationships/image" Target="media/image28.png"/><Relationship Id="rId159" Type="http://schemas.openxmlformats.org/officeDocument/2006/relationships/hyperlink" Target="https://www.sciencedirect.com/science/article/pii/S0167880918304444" TargetMode="External"/><Relationship Id="rId170" Type="http://schemas.openxmlformats.org/officeDocument/2006/relationships/hyperlink" Target="https://www.mpi.govt.nz/dmsdocument/68703-Updating-emissions-calculations-for-pigs-in-the-New-Zealand-Greenhouse-Gas-Inventory-Report" TargetMode="External"/><Relationship Id="rId226" Type="http://schemas.openxmlformats.org/officeDocument/2006/relationships/image" Target="media/image67.png"/><Relationship Id="rId268" Type="http://schemas.openxmlformats.org/officeDocument/2006/relationships/hyperlink" Target="https://unfccc.int/sites/default/files/resource/arr2022_NZL.pdf" TargetMode="External"/><Relationship Id="rId32" Type="http://schemas.openxmlformats.org/officeDocument/2006/relationships/package" Target="embeddings/Microsoft_Visio_Drawing.vsdx"/><Relationship Id="rId74" Type="http://schemas.openxmlformats.org/officeDocument/2006/relationships/hyperlink" Target="https://www.mbie.govt.nz/dmsdocument/2828-liquid-fuel-use-in-new-zealand-pdf" TargetMode="External"/><Relationship Id="rId128" Type="http://schemas.openxmlformats.org/officeDocument/2006/relationships/hyperlink" Target="https://beeflambnz.com/knowledge-hub/PDF/new-season-outlook-2024-25.pdf" TargetMode="External"/><Relationship Id="rId5" Type="http://schemas.openxmlformats.org/officeDocument/2006/relationships/numbering" Target="numbering.xml"/><Relationship Id="rId181" Type="http://schemas.openxmlformats.org/officeDocument/2006/relationships/hyperlink" Target="https://www.publish.csiro.au/AN/AN15766" TargetMode="External"/><Relationship Id="rId237" Type="http://schemas.openxmlformats.org/officeDocument/2006/relationships/hyperlink" Target="http://www.tokelau.org.nz/Bulletin/September+2016/2014+imports+final.html" TargetMode="External"/><Relationship Id="rId279" Type="http://schemas.openxmlformats.org/officeDocument/2006/relationships/hyperlink" Target="https://www.mpi.govt.nz/dmsdocument/66939-Splitting-Emissions-Intensity-Values-between-Venison-and-Velvet-Antler-in-the-Deer-Industry" TargetMode="External"/><Relationship Id="rId22" Type="http://schemas.openxmlformats.org/officeDocument/2006/relationships/header" Target="header6.xml"/><Relationship Id="rId43" Type="http://schemas.openxmlformats.org/officeDocument/2006/relationships/image" Target="media/image13.png"/><Relationship Id="rId64" Type="http://schemas.openxmlformats.org/officeDocument/2006/relationships/image" Target="media/image29.png"/><Relationship Id="rId118" Type="http://schemas.openxmlformats.org/officeDocument/2006/relationships/image" Target="media/image52.png"/><Relationship Id="rId139" Type="http://schemas.openxmlformats.org/officeDocument/2006/relationships/hyperlink" Target="https://www.mpi.govt.nz/dmsdocument/2955-Area-of-Organic-Soils-in-New-Zealand" TargetMode="External"/><Relationship Id="rId85" Type="http://schemas.openxmlformats.org/officeDocument/2006/relationships/image" Target="media/image37.png"/><Relationship Id="rId150" Type="http://schemas.openxmlformats.org/officeDocument/2006/relationships/hyperlink" Target="https://www.mpi.govt.nz/dmsdocument/2935-Reducing-uncertainty-of-the-enteric-methane-emissions-inventory" TargetMode="External"/><Relationship Id="rId171" Type="http://schemas.openxmlformats.org/officeDocument/2006/relationships/hyperlink" Target="https://www.mpi.govt.nz/dmsdocument/32854-Trends-in-dairy-effluent-management" TargetMode="External"/><Relationship Id="rId192" Type="http://schemas.openxmlformats.org/officeDocument/2006/relationships/hyperlink" Target="https://www.mpi.govt.nz/dmsdocument/50431-Refining-estimates-of-nitrogen-leaching-for-the-New-Zealand-agricultural-greenhouse-gas-inventory-Report" TargetMode="External"/><Relationship Id="rId206" Type="http://schemas.openxmlformats.org/officeDocument/2006/relationships/image" Target="media/image64.jpeg"/><Relationship Id="rId227" Type="http://schemas.openxmlformats.org/officeDocument/2006/relationships/image" Target="media/image68.png"/><Relationship Id="rId248" Type="http://schemas.openxmlformats.org/officeDocument/2006/relationships/hyperlink" Target="https://www.tokelau.org.nz/Bulletin/September+2016/2014+imports+final.html" TargetMode="External"/><Relationship Id="rId269" Type="http://schemas.openxmlformats.org/officeDocument/2006/relationships/hyperlink" Target="https://unfccc.int/sites/default/files/resource/arr2022_NZL.pdf" TargetMode="External"/><Relationship Id="rId12" Type="http://schemas.openxmlformats.org/officeDocument/2006/relationships/header" Target="header1.xml"/><Relationship Id="rId33" Type="http://schemas.openxmlformats.org/officeDocument/2006/relationships/image" Target="media/image8.png"/><Relationship Id="rId108" Type="http://schemas.openxmlformats.org/officeDocument/2006/relationships/hyperlink" Target="http://www.mpi.govt.nz/science/open-data-and-forecasting/greenhouse-gas-reporting/agricultural-greenhouse-gas-inventory-reports" TargetMode="External"/><Relationship Id="rId129" Type="http://schemas.openxmlformats.org/officeDocument/2006/relationships/hyperlink" Target="https://www.mpi.govt.nz/dmsdocument/9599/direct" TargetMode="External"/><Relationship Id="rId280" Type="http://schemas.openxmlformats.org/officeDocument/2006/relationships/hyperlink" Target="https://www.mpi.govt.nz/dmsdocument/66948-Nitrous-oxide-emissions-from-non-manure-organic-amendments-to-soils" TargetMode="External"/><Relationship Id="rId54" Type="http://schemas.openxmlformats.org/officeDocument/2006/relationships/footer" Target="footer11.xml"/><Relationship Id="rId75" Type="http://schemas.openxmlformats.org/officeDocument/2006/relationships/hyperlink" Target="https://www.mbie.govt.nz/dmsdocument/2827-liquid-fuel-deliveries-in-new-zealand-1990-2008-pdf" TargetMode="External"/><Relationship Id="rId96" Type="http://schemas.openxmlformats.org/officeDocument/2006/relationships/hyperlink" Target="http://dx.doi.org/10.26021/13673" TargetMode="External"/><Relationship Id="rId140" Type="http://schemas.openxmlformats.org/officeDocument/2006/relationships/hyperlink" Target="https://www.fertiliser.org.nz/Site/about/" TargetMode="External"/><Relationship Id="rId161" Type="http://schemas.openxmlformats.org/officeDocument/2006/relationships/hyperlink" Target="https://research.bangor.ac.uk/portal/files/21891544/2018_Sheep_urine_patch_N2O_emissions.pdf" TargetMode="External"/><Relationship Id="rId182" Type="http://schemas.openxmlformats.org/officeDocument/2006/relationships/hyperlink" Target="https://www.mpi.govt.nz/dmsdocument/2957-Estimating-nitrous-oxide-emissions-from-cropping-systems-and-stubble-and-tussock-burning" TargetMode="External"/><Relationship Id="rId217" Type="http://schemas.openxmlformats.org/officeDocument/2006/relationships/hyperlink" Target="https://www.mpi.govt.nz/forestry/forest-industry-and-workforce/forestry-wood-processing-data/wood-processing-data/" TargetMode="External"/><Relationship Id="rId6" Type="http://schemas.openxmlformats.org/officeDocument/2006/relationships/styles" Target="styles.xml"/><Relationship Id="rId238" Type="http://schemas.openxmlformats.org/officeDocument/2006/relationships/image" Target="media/image71.png"/><Relationship Id="rId259" Type="http://schemas.openxmlformats.org/officeDocument/2006/relationships/image" Target="media/image81.png"/><Relationship Id="rId23" Type="http://schemas.openxmlformats.org/officeDocument/2006/relationships/footer" Target="footer5.xml"/><Relationship Id="rId119" Type="http://schemas.openxmlformats.org/officeDocument/2006/relationships/hyperlink" Target="http://www.overseer.org.nz" TargetMode="External"/><Relationship Id="rId270" Type="http://schemas.openxmlformats.org/officeDocument/2006/relationships/hyperlink" Target="http://www.mbie.govt.nz/building-and-energy/energy-and-natural-resources/energy-statistics-and-modelling/energy-statistics/oil-statistics" TargetMode="External"/><Relationship Id="rId44" Type="http://schemas.openxmlformats.org/officeDocument/2006/relationships/image" Target="media/image14.png"/><Relationship Id="rId65" Type="http://schemas.openxmlformats.org/officeDocument/2006/relationships/image" Target="media/image30.png"/><Relationship Id="rId86" Type="http://schemas.openxmlformats.org/officeDocument/2006/relationships/image" Target="media/image38.png"/><Relationship Id="rId130" Type="http://schemas.openxmlformats.org/officeDocument/2006/relationships/hyperlink" Target="https://www.mpi.govt.nz/dmsdocument/56398-Dairy-cattle-population-model-Improving-estimates-of-within-year-population-changes-used-in-the-inventory" TargetMode="External"/><Relationship Id="rId151" Type="http://schemas.openxmlformats.org/officeDocument/2006/relationships/hyperlink" Target="https://www.sciencedirect.com/science/article/pii/S0269749113006143" TargetMode="External"/><Relationship Id="rId172" Type="http://schemas.openxmlformats.org/officeDocument/2006/relationships/hyperlink" Target="https://www.mpi.govt.nz/dmsdocument/14461-Estimating-direct-N2O-emissions-from-sheep-beef-and-deer-grazed-pastures-in-New-Zealand-hill-country-accounting-for-the-effect-of-land-slope-on-the-N2O-emission-factors-from-urine-and-dung" TargetMode="External"/><Relationship Id="rId193" Type="http://schemas.openxmlformats.org/officeDocument/2006/relationships/hyperlink" Target="https://www.tandfonline.com/doi/pdf/10.1080/00288233.1988.10423421" TargetMode="External"/><Relationship Id="rId207" Type="http://schemas.openxmlformats.org/officeDocument/2006/relationships/image" Target="media/image65.png"/><Relationship Id="rId228" Type="http://schemas.openxmlformats.org/officeDocument/2006/relationships/image" Target="media/image69.png"/><Relationship Id="rId249" Type="http://schemas.openxmlformats.org/officeDocument/2006/relationships/hyperlink" Target="https://www.mfat.govt.nz/assets/Aid-Prog-docs/Evaluations/2015/Dec-2015/MFAT-Tokelau-Country-Programme-Eval-Final-v5-09122015.pdf" TargetMode="External"/><Relationship Id="rId13" Type="http://schemas.openxmlformats.org/officeDocument/2006/relationships/header" Target="header2.xml"/><Relationship Id="rId109" Type="http://schemas.openxmlformats.org/officeDocument/2006/relationships/hyperlink" Target="http://www.mpi.govt.nz/funding-rural-support/environment-and-natural-resources/greenhouse-gas-inventory-research-fund" TargetMode="External"/><Relationship Id="rId260" Type="http://schemas.openxmlformats.org/officeDocument/2006/relationships/image" Target="media/image82.png"/><Relationship Id="rId281" Type="http://schemas.openxmlformats.org/officeDocument/2006/relationships/footer" Target="footer29.xml"/><Relationship Id="rId34" Type="http://schemas.openxmlformats.org/officeDocument/2006/relationships/hyperlink" Target="https://www.stats.govt.nz/assets/Uploads/Principles-and-protocols-for-producers-of-tier-1-stats/principles-and-protocols-for-producers-of-tier-1-stats.pdf" TargetMode="External"/><Relationship Id="rId55" Type="http://schemas.openxmlformats.org/officeDocument/2006/relationships/image" Target="media/image21.png"/><Relationship Id="rId76" Type="http://schemas.openxmlformats.org/officeDocument/2006/relationships/hyperlink" Target="https://www.mbie.govt.nz/building-and-energy/energy-and-natural-resources/energy-statistics-and-modelling/energy-publications-and-technical-papers/energy-in-new-zealand/energy-in-new-zealand-2024" TargetMode="External"/><Relationship Id="rId97" Type="http://schemas.openxmlformats.org/officeDocument/2006/relationships/hyperlink" Target="http://www.bioenergy.org.nz/documents/resource/heat-plant-database-report-august-2011.pdf" TargetMode="External"/><Relationship Id="rId120" Type="http://schemas.openxmlformats.org/officeDocument/2006/relationships/image" Target="media/image53.emf"/><Relationship Id="rId141" Type="http://schemas.openxmlformats.org/officeDocument/2006/relationships/hyperlink" Target="https://www.mpi.govt.nz/dmsdocument/2929-Emission-estimations-for-the-commercial-chicken-non-chicken-and-layer-industries-within-New-Zealand" TargetMode="External"/><Relationship Id="rId7" Type="http://schemas.openxmlformats.org/officeDocument/2006/relationships/settings" Target="settings.xml"/><Relationship Id="rId162" Type="http://schemas.openxmlformats.org/officeDocument/2006/relationships/hyperlink" Target="https://environment.govt.nz/assets/publications/New-Zealands-first-Biennial-Transparency-Report-2024.pdf" TargetMode="External"/><Relationship Id="rId183" Type="http://schemas.openxmlformats.org/officeDocument/2006/relationships/hyperlink" Target="https://www.mpi.govt.nz/dmsdocument/10640-pasture-renewal-activity-data-and-factors-for-new-zealand" TargetMode="External"/><Relationship Id="rId218" Type="http://schemas.openxmlformats.org/officeDocument/2006/relationships/hyperlink" Target="http://www.mpi.govt.nz/forestry/new-zealand-forests-forest-industry/forestry/wood-product-markets" TargetMode="External"/><Relationship Id="rId239" Type="http://schemas.openxmlformats.org/officeDocument/2006/relationships/image" Target="media/image72.png"/><Relationship Id="rId250" Type="http://schemas.openxmlformats.org/officeDocument/2006/relationships/hyperlink" Target="https://www.stats.govt.nz/assets/Uploads/Principles-and-protocols-for-producers-of-tier-1-stats/principles-and-protocols-for-producers-of-tier-1-stats.pdf" TargetMode="External"/><Relationship Id="rId271" Type="http://schemas.openxmlformats.org/officeDocument/2006/relationships/footer" Target="footer28.xml"/><Relationship Id="rId24" Type="http://schemas.openxmlformats.org/officeDocument/2006/relationships/footer" Target="footer6.xml"/><Relationship Id="rId45" Type="http://schemas.openxmlformats.org/officeDocument/2006/relationships/image" Target="media/image15.png"/><Relationship Id="rId66" Type="http://schemas.openxmlformats.org/officeDocument/2006/relationships/image" Target="media/image31.png"/><Relationship Id="rId87" Type="http://schemas.openxmlformats.org/officeDocument/2006/relationships/image" Target="media/image39.png"/><Relationship Id="rId110" Type="http://schemas.openxmlformats.org/officeDocument/2006/relationships/hyperlink" Target="http://www.mpi.govt.nz/dmsdocument/57106-Greenhouse-Gas-Inventory-Research-Fund-2024-25-Priorities" TargetMode="External"/><Relationship Id="rId131" Type="http://schemas.openxmlformats.org/officeDocument/2006/relationships/hyperlink" Target="https://www.mpi.govt.nz/dmsdocument/62652-A-review-of-greenhouse-gas-emissions-inventory-methodology-for-farmed-goats-in-New-Zealand-" TargetMode="External"/><Relationship Id="rId152" Type="http://schemas.openxmlformats.org/officeDocument/2006/relationships/hyperlink" Target="https://www.mpi.govt.nz/dmsdocument/62640-Review-of-New-Zealands-Fertiliser-Nitrous-Oxide-Emission-Factor-EF1-data-" TargetMode="External"/><Relationship Id="rId173" Type="http://schemas.openxmlformats.org/officeDocument/2006/relationships/hyperlink" Target="https://www.mpi.govt.nz/dmsdocument/68700-Seasonality-of-wool-growth-in-AIM" TargetMode="External"/><Relationship Id="rId194" Type="http://schemas.openxmlformats.org/officeDocument/2006/relationships/footer" Target="footer15.xml"/><Relationship Id="rId208" Type="http://schemas.openxmlformats.org/officeDocument/2006/relationships/footer" Target="footer19.xml"/><Relationship Id="rId229" Type="http://schemas.openxmlformats.org/officeDocument/2006/relationships/hyperlink" Target="https://ecan.govt.nz/document/download?uri=1851763" TargetMode="External"/><Relationship Id="rId240" Type="http://schemas.openxmlformats.org/officeDocument/2006/relationships/image" Target="media/image73.png"/><Relationship Id="rId261" Type="http://schemas.openxmlformats.org/officeDocument/2006/relationships/image" Target="media/image83.png"/><Relationship Id="rId14" Type="http://schemas.openxmlformats.org/officeDocument/2006/relationships/footer" Target="footer1.xml"/><Relationship Id="rId35" Type="http://schemas.openxmlformats.org/officeDocument/2006/relationships/hyperlink" Target="https://unfccc.int/files/essential_background/background_publications_htmlpdf/application/pdf/conveng.pdf" TargetMode="External"/><Relationship Id="rId56" Type="http://schemas.openxmlformats.org/officeDocument/2006/relationships/image" Target="media/image22.svg"/><Relationship Id="rId77" Type="http://schemas.openxmlformats.org/officeDocument/2006/relationships/hyperlink" Target="https://www.mbie.govt.nz/building-and-energy/energy-and-natural-resources/energy-statistics-and-modelling/energy-statistics/petroleum-reserves-data" TargetMode="External"/><Relationship Id="rId100" Type="http://schemas.openxmlformats.org/officeDocument/2006/relationships/package" Target="embeddings/Microsoft_Visio_Drawing1.vsdx"/><Relationship Id="rId282" Type="http://schemas.openxmlformats.org/officeDocument/2006/relationships/fontTable" Target="fontTable.xml"/><Relationship Id="rId8" Type="http://schemas.openxmlformats.org/officeDocument/2006/relationships/webSettings" Target="webSettings.xml"/><Relationship Id="rId98" Type="http://schemas.openxmlformats.org/officeDocument/2006/relationships/hyperlink" Target="https://www.mpi.govt.nz/dmsdocument/13906-Detailed-methodologies-for-agricultural-greenhouse-gas-emission-calculation" TargetMode="External"/><Relationship Id="rId121" Type="http://schemas.openxmlformats.org/officeDocument/2006/relationships/image" Target="media/image54.png"/><Relationship Id="rId142" Type="http://schemas.openxmlformats.org/officeDocument/2006/relationships/hyperlink" Target="https://www.mpi.govt.nz/dmsdocument/2956-Emission-estimations-for-the-commercial-chicken-turkey-duck-and-layer-industries-within-New-Zealand" TargetMode="External"/><Relationship Id="rId163" Type="http://schemas.openxmlformats.org/officeDocument/2006/relationships/hyperlink" Target="https://www.mpi.govt.nz/dmsdocument/62637-Situation-and-Outlook-for-Primary-Industries-SOPI-June-2024" TargetMode="External"/><Relationship Id="rId184" Type="http://schemas.openxmlformats.org/officeDocument/2006/relationships/hyperlink" Target="https://www.mpi.govt.nz/dmsdocument/2932-Review-of-Nitrous-Oxide-Emission-Factors-and-Activity-Data-for-Crops" TargetMode="External"/><Relationship Id="rId219" Type="http://schemas.openxmlformats.org/officeDocument/2006/relationships/hyperlink" Target="https://unfccc.int/files/national_reports/application/pdf/new_zealands_initial_report_under_the_kyoto_protocol.pdf" TargetMode="External"/><Relationship Id="rId230" Type="http://schemas.openxmlformats.org/officeDocument/2006/relationships/hyperlink" Target="https://waikatoregion.govt.nz/assets/WRC/WRC-2019/TR201455.pdf" TargetMode="External"/><Relationship Id="rId251" Type="http://schemas.openxmlformats.org/officeDocument/2006/relationships/hyperlink" Target="http://clacabanne.free.fr/cartes_Tokelau.htm" TargetMode="External"/><Relationship Id="rId25" Type="http://schemas.openxmlformats.org/officeDocument/2006/relationships/hyperlink" Target="https://environment.govt.nz/assets/publications/GhG-Inventory/GHG-Inventory-2025/Volume-2-GHG-Inventory-2025-ME1885.pdf" TargetMode="External"/><Relationship Id="rId46" Type="http://schemas.openxmlformats.org/officeDocument/2006/relationships/image" Target="media/image16.png"/><Relationship Id="rId67" Type="http://schemas.openxmlformats.org/officeDocument/2006/relationships/image" Target="media/image32.png"/><Relationship Id="rId272" Type="http://schemas.openxmlformats.org/officeDocument/2006/relationships/hyperlink" Target="https://environment.govt.nz/acts-and-regulations/acts/waste-minimisation-act-2008/" TargetMode="External"/><Relationship Id="rId88" Type="http://schemas.openxmlformats.org/officeDocument/2006/relationships/image" Target="media/image40.png"/><Relationship Id="rId111" Type="http://schemas.openxmlformats.org/officeDocument/2006/relationships/image" Target="media/image49.emf"/><Relationship Id="rId132" Type="http://schemas.openxmlformats.org/officeDocument/2006/relationships/hyperlink" Target="https://www.mpi.govt.nz/dmsdocument/62649-Methane-and-Nitrous-oxide-emission-from-sheep-dung" TargetMode="External"/><Relationship Id="rId153" Type="http://schemas.openxmlformats.org/officeDocument/2006/relationships/hyperlink" Target="https://www.mpi.govt.nz/dmsdocument/20891-2016-Uncertainty-of-nitrous-oxide-emissions-from-grazed-grasslands-Case-study" TargetMode="External"/><Relationship Id="rId174" Type="http://schemas.openxmlformats.org/officeDocument/2006/relationships/hyperlink" Target="https://www.mpi.govt.nz/dmsdocument/2934-Review-of-New-Zealand-specific-FRACgasm-and-FRACgasf-emission-factors" TargetMode="External"/><Relationship Id="rId195" Type="http://schemas.openxmlformats.org/officeDocument/2006/relationships/image" Target="media/image56.png"/><Relationship Id="rId209" Type="http://schemas.openxmlformats.org/officeDocument/2006/relationships/footer" Target="footer20.xml"/><Relationship Id="rId220" Type="http://schemas.openxmlformats.org/officeDocument/2006/relationships/hyperlink" Target="https://environment.govt.nz/assets/Publications/Files/our-fresh-water-2017_1.pdf" TargetMode="External"/><Relationship Id="rId241" Type="http://schemas.openxmlformats.org/officeDocument/2006/relationships/image" Target="media/image74.png"/><Relationship Id="rId15" Type="http://schemas.openxmlformats.org/officeDocument/2006/relationships/footer" Target="footer2.xml"/><Relationship Id="rId36" Type="http://schemas.openxmlformats.org/officeDocument/2006/relationships/hyperlink" Target="https://treaties.un.org/doc/publication/ctc/uncharter.pdf" TargetMode="External"/><Relationship Id="rId57" Type="http://schemas.openxmlformats.org/officeDocument/2006/relationships/image" Target="media/image23.png"/><Relationship Id="rId262" Type="http://schemas.openxmlformats.org/officeDocument/2006/relationships/hyperlink" Target="https://www.stats.govt.nz/information-releases/agricultural-production-statistics-year-to-june-2022-final/" TargetMode="External"/><Relationship Id="rId283" Type="http://schemas.openxmlformats.org/officeDocument/2006/relationships/theme" Target="theme/theme1.xml"/><Relationship Id="rId78" Type="http://schemas.openxmlformats.org/officeDocument/2006/relationships/hyperlink" Target="https://www.mbie.govt.nz/have-your-say/proposed-regulatory-regime-for-carbon-capture-utilisation-and-storage" TargetMode="External"/><Relationship Id="rId99" Type="http://schemas.openxmlformats.org/officeDocument/2006/relationships/image" Target="media/image46.emf"/><Relationship Id="rId101" Type="http://schemas.openxmlformats.org/officeDocument/2006/relationships/hyperlink" Target="http://www.mpi.govt.nz/dmsdocument/13906-detailed-methodologies-for-agricultural-greenhouse-gas-emission-calculation" TargetMode="External"/><Relationship Id="rId122" Type="http://schemas.openxmlformats.org/officeDocument/2006/relationships/image" Target="media/image55.png"/><Relationship Id="rId143" Type="http://schemas.openxmlformats.org/officeDocument/2006/relationships/hyperlink" Target="https://www.tandfonline.com/doi/full/10.1080/15693430500395396" TargetMode="External"/><Relationship Id="rId164" Type="http://schemas.openxmlformats.org/officeDocument/2006/relationships/hyperlink" Target="https://www.mpi.govt.nz/dmsdocument/2963-A-review-of-dressing-out-percentage-in-New-Zealand-livestock" TargetMode="External"/><Relationship Id="rId185" Type="http://schemas.openxmlformats.org/officeDocument/2006/relationships/hyperlink" Target="https://link.springer.com/article/10.1007/s10705-005-2476-8" TargetMode="External"/><Relationship Id="rId9" Type="http://schemas.openxmlformats.org/officeDocument/2006/relationships/footnotes" Target="footnotes.xml"/><Relationship Id="rId210" Type="http://schemas.openxmlformats.org/officeDocument/2006/relationships/hyperlink" Target="https://www.fao.org/faostat/en/" TargetMode="External"/><Relationship Id="rId26" Type="http://schemas.openxmlformats.org/officeDocument/2006/relationships/footer" Target="footer7.xml"/><Relationship Id="rId231" Type="http://schemas.openxmlformats.org/officeDocument/2006/relationships/footer" Target="footer22.xml"/><Relationship Id="rId252" Type="http://schemas.openxmlformats.org/officeDocument/2006/relationships/hyperlink" Target="https://www.tokelau.org.nz/site/tokelau/2019%20Tokelau%20Population%20Count.pdf" TargetMode="External"/><Relationship Id="rId273" Type="http://schemas.openxmlformats.org/officeDocument/2006/relationships/hyperlink" Target="https://www.mpi.govt.nz/dmsdocument/13906-detailed-methodologies-for-agricultural-greenhouse-gas-emission-calculation" TargetMode="External"/><Relationship Id="rId47" Type="http://schemas.openxmlformats.org/officeDocument/2006/relationships/image" Target="media/image17.png"/><Relationship Id="rId68" Type="http://schemas.openxmlformats.org/officeDocument/2006/relationships/image" Target="media/image33.png"/><Relationship Id="rId89" Type="http://schemas.openxmlformats.org/officeDocument/2006/relationships/footer" Target="footer13.xml"/><Relationship Id="rId112" Type="http://schemas.openxmlformats.org/officeDocument/2006/relationships/package" Target="embeddings/Microsoft_Visio_Drawing3.vsdx"/><Relationship Id="rId133" Type="http://schemas.openxmlformats.org/officeDocument/2006/relationships/hyperlink" Target="https://www.mpi.govt.nz/dmsdocument/2936-a-comparison-of-greenhouse-gas-emissions-from-the-new-zealand-dairy-sector-calculated-using-either-a-national-or-a-regional-approach" TargetMode="External"/><Relationship Id="rId154" Type="http://schemas.openxmlformats.org/officeDocument/2006/relationships/hyperlink" Target="https://edepot.wur.nl/24831" TargetMode="External"/><Relationship Id="rId175" Type="http://schemas.openxmlformats.org/officeDocument/2006/relationships/hyperlink" Target="https://www.mpi.govt.nz/dmsdocument/66945-Minor-animal-categories-M7-Final-report" TargetMode="External"/><Relationship Id="rId196" Type="http://schemas.openxmlformats.org/officeDocument/2006/relationships/image" Target="media/image57.png"/><Relationship Id="rId200" Type="http://schemas.openxmlformats.org/officeDocument/2006/relationships/image" Target="media/image58.tiff"/><Relationship Id="rId16" Type="http://schemas.openxmlformats.org/officeDocument/2006/relationships/header" Target="header3.xml"/><Relationship Id="rId221" Type="http://schemas.openxmlformats.org/officeDocument/2006/relationships/hyperlink" Target="https://environment.govt.nz/assets/Publications/Files/Our-land-201-final.pdf" TargetMode="External"/><Relationship Id="rId242" Type="http://schemas.openxmlformats.org/officeDocument/2006/relationships/image" Target="media/image75.png"/><Relationship Id="rId263" Type="http://schemas.openxmlformats.org/officeDocument/2006/relationships/image" Target="media/image84.png"/><Relationship Id="rId37" Type="http://schemas.openxmlformats.org/officeDocument/2006/relationships/footer" Target="footer9.xml"/><Relationship Id="rId58" Type="http://schemas.openxmlformats.org/officeDocument/2006/relationships/image" Target="media/image24.svg"/><Relationship Id="rId79" Type="http://schemas.openxmlformats.org/officeDocument/2006/relationships/hyperlink" Target="https://web.archive.org/web/20120303021949/http:/www.transport.govt.nz/research/Pages/TravelSurvey.aspx/" TargetMode="External"/><Relationship Id="rId102" Type="http://schemas.openxmlformats.org/officeDocument/2006/relationships/hyperlink" Target="http://www.mpi.govt.nz/dmsdocument/13906-detailed-methodologies-for-agricultural-greenhouse-gas-emission-calculation" TargetMode="External"/><Relationship Id="rId123" Type="http://schemas.openxmlformats.org/officeDocument/2006/relationships/hyperlink" Target="https://www.mpi.govt.nz/dmsdocument/57106-Greenhouse-Gas-Inventory-Research-Fund-2024-25-Prioritie" TargetMode="External"/><Relationship Id="rId144" Type="http://schemas.openxmlformats.org/officeDocument/2006/relationships/hyperlink" Target="https://www.mpi.govt.nz/dmsdocument/46222/direct" TargetMode="External"/><Relationship Id="rId90" Type="http://schemas.openxmlformats.org/officeDocument/2006/relationships/footer" Target="footer14.xml"/><Relationship Id="rId165" Type="http://schemas.openxmlformats.org/officeDocument/2006/relationships/hyperlink" Target="https://www.mpi.govt.nz/dmsdocument/3089-better-estimation-of-national-ewe-and-beef-cow-liveweights" TargetMode="External"/><Relationship Id="rId186" Type="http://schemas.openxmlformats.org/officeDocument/2006/relationships/hyperlink" Target="https://www.mpi.govt.nz/dmsdocument/2930-Review-of-population-models-within-the-national-methane-inventory-2010" TargetMode="External"/><Relationship Id="rId211" Type="http://schemas.openxmlformats.org/officeDocument/2006/relationships/hyperlink" Target="https://www.mpi.govt.nz/dmsdocument/62640-Review-of-New-Zealands-Fertiliser-Nitrous-Oxide-Emission-Factor-EF1-data-" TargetMode="External"/><Relationship Id="rId232" Type="http://schemas.openxmlformats.org/officeDocument/2006/relationships/image" Target="media/image70.png"/><Relationship Id="rId253" Type="http://schemas.openxmlformats.org/officeDocument/2006/relationships/hyperlink" Target="https://www.un.org/en/about-us/un-charter/chapter-11" TargetMode="External"/><Relationship Id="rId274" Type="http://schemas.openxmlformats.org/officeDocument/2006/relationships/hyperlink" Target="https://www.mpi.govt.nz/dmsdocument/68703-Updating-emissions-calculations-for-pigs-in-the-New-Zealand-Greenhouse-Gas-Inventory-Report" TargetMode="External"/><Relationship Id="rId27" Type="http://schemas.openxmlformats.org/officeDocument/2006/relationships/image" Target="media/image4.png"/><Relationship Id="rId48" Type="http://schemas.openxmlformats.org/officeDocument/2006/relationships/image" Target="media/image18.png"/><Relationship Id="rId69" Type="http://schemas.openxmlformats.org/officeDocument/2006/relationships/image" Target="media/image34.png"/><Relationship Id="rId113" Type="http://schemas.openxmlformats.org/officeDocument/2006/relationships/hyperlink" Target="https://niwa.co.nz/atmosphere/carbonwatch-nz" TargetMode="External"/><Relationship Id="rId134" Type="http://schemas.openxmlformats.org/officeDocument/2006/relationships/hyperlink" Target="https://www.mpi.govt.nz/dmsdocument/2943-Guidelines-to-accompany-computerised-inventory-for-ruminant-methane" TargetMode="External"/><Relationship Id="rId80" Type="http://schemas.openxmlformats.org/officeDocument/2006/relationships/hyperlink" Target="https://geodata.nzpam.govt.nz/" TargetMode="External"/><Relationship Id="rId155" Type="http://schemas.openxmlformats.org/officeDocument/2006/relationships/hyperlink" Target="https://www.mpi.govt.nz/dmsdocument/2954-Methane-emissions-and-nitrogen-excretion-rates-for-New-Zealand-goats" TargetMode="External"/><Relationship Id="rId176" Type="http://schemas.openxmlformats.org/officeDocument/2006/relationships/hyperlink" Target="https://www.stats.govt.nz/indicators/fertilisers-nitrogen-and-phosphorus/" TargetMode="External"/><Relationship Id="rId197" Type="http://schemas.openxmlformats.org/officeDocument/2006/relationships/footer" Target="footer16.xml"/><Relationship Id="rId201" Type="http://schemas.openxmlformats.org/officeDocument/2006/relationships/image" Target="media/image59.png"/><Relationship Id="rId222" Type="http://schemas.openxmlformats.org/officeDocument/2006/relationships/hyperlink" Target="http://dx.doi.org/10.26021/13673" TargetMode="External"/><Relationship Id="rId243" Type="http://schemas.openxmlformats.org/officeDocument/2006/relationships/image" Target="media/image76.png"/><Relationship Id="rId264" Type="http://schemas.openxmlformats.org/officeDocument/2006/relationships/image" Target="media/image85.png"/><Relationship Id="rId17" Type="http://schemas.openxmlformats.org/officeDocument/2006/relationships/footer" Target="footer3.xml"/><Relationship Id="rId38" Type="http://schemas.openxmlformats.org/officeDocument/2006/relationships/footer" Target="footer10.xml"/><Relationship Id="rId59" Type="http://schemas.openxmlformats.org/officeDocument/2006/relationships/hyperlink" Target="http://www.mbie.govt.nz/building-and-energy/energy-and-natural-resources/energy-statistics-and-modelling/energy-publications-and-technical-papers/energy-in-new-zealand/" TargetMode="External"/><Relationship Id="rId103" Type="http://schemas.openxmlformats.org/officeDocument/2006/relationships/hyperlink" Target="http://www.mpi.govt.nz/resources-and-forms/economic-intelligence/data/" TargetMode="External"/><Relationship Id="rId124" Type="http://schemas.openxmlformats.org/officeDocument/2006/relationships/hyperlink" Target="https://www.mpi.govt.nz/science/open-data-and-forecasting/greenhouse-gas-reporting/agricultural-greenhouse-gas-inventory-reports/" TargetMode="External"/><Relationship Id="rId70" Type="http://schemas.openxmlformats.org/officeDocument/2006/relationships/image" Target="media/image35.emf"/><Relationship Id="rId91" Type="http://schemas.openxmlformats.org/officeDocument/2006/relationships/image" Target="media/image41.png"/><Relationship Id="rId145" Type="http://schemas.openxmlformats.org/officeDocument/2006/relationships/hyperlink" Target="https://www.mpi.govt.nz/dmsdocument/61054-Development-of-infrastructure-to-calculate-agricultural-greenhouse-gas-inventory-emissions-uncertainty-in-house" TargetMode="External"/><Relationship Id="rId166" Type="http://schemas.openxmlformats.org/officeDocument/2006/relationships/hyperlink" Target="https://www.mpi.govt.nz/dmsdocument/32860-Methodology-for-splitting-nitrogen-between-livestock-dung-and-urine" TargetMode="External"/><Relationship Id="rId187" Type="http://schemas.openxmlformats.org/officeDocument/2006/relationships/hyperlink" Target="https://www.mpi.govt.nz/dmsdocument/50428-Purity-of-agricultural-lime-and-dolomite-used-in-New-Zealand-Report" TargetMode="External"/><Relationship Id="rId1" Type="http://schemas.openxmlformats.org/officeDocument/2006/relationships/customXml" Target="../customXml/item1.xml"/><Relationship Id="rId212" Type="http://schemas.openxmlformats.org/officeDocument/2006/relationships/hyperlink" Target="https://lris.scinfo.org.nz/layer/104400-lcdb-v50-land-cover-database-version-50-mainland-new-zealand/" TargetMode="External"/><Relationship Id="rId233" Type="http://schemas.openxmlformats.org/officeDocument/2006/relationships/hyperlink" Target="https://www.tokelau.org.nz/Tokelau+Government/Government+Departments/Office+of+the+Council+for+the+Ongoing+Government+OCOG/Tokelau+National+Statistics+Office/census.html" TargetMode="External"/><Relationship Id="rId254" Type="http://schemas.openxmlformats.org/officeDocument/2006/relationships/footer" Target="footer23.xml"/><Relationship Id="rId28" Type="http://schemas.openxmlformats.org/officeDocument/2006/relationships/image" Target="media/image5.png"/><Relationship Id="rId49" Type="http://schemas.openxmlformats.org/officeDocument/2006/relationships/image" Target="media/image19.png"/><Relationship Id="rId114" Type="http://schemas.openxmlformats.org/officeDocument/2006/relationships/image" Target="media/image50.emf"/><Relationship Id="rId275" Type="http://schemas.openxmlformats.org/officeDocument/2006/relationships/hyperlink" Target="https://www.mpi.govt.nz/dmsdocument/68700-Seasonality-of-wool-growth-in-AIM" TargetMode="External"/><Relationship Id="rId60" Type="http://schemas.openxmlformats.org/officeDocument/2006/relationships/image" Target="media/image25.png"/><Relationship Id="rId81" Type="http://schemas.openxmlformats.org/officeDocument/2006/relationships/hyperlink" Target="https://www.stats.govt.nz/information-releases/new-zealand-energy-use-2018" TargetMode="External"/><Relationship Id="rId135" Type="http://schemas.openxmlformats.org/officeDocument/2006/relationships/hyperlink" Target="https://www.mpi.govt.nz/dmsdocument/2949-Incorporation-of-the-nitrification-inhibitor-DCD-into-New-Zealands-2009-National-Inventory" TargetMode="External"/><Relationship Id="rId156" Type="http://schemas.openxmlformats.org/officeDocument/2006/relationships/hyperlink" Target="https://www.mpi.govt.nz/dmsdocument/4069-ammonia-from-animal-excreta" TargetMode="External"/><Relationship Id="rId177" Type="http://schemas.openxmlformats.org/officeDocument/2006/relationships/hyperlink" Target="https://www.stats.govt.nz/information-releases/agricultural-production-statistics-year-to-june-2023-final/" TargetMode="External"/><Relationship Id="rId198" Type="http://schemas.openxmlformats.org/officeDocument/2006/relationships/footer" Target="footer17.xml"/><Relationship Id="rId202" Type="http://schemas.openxmlformats.org/officeDocument/2006/relationships/image" Target="media/image60.png"/><Relationship Id="rId223" Type="http://schemas.openxmlformats.org/officeDocument/2006/relationships/hyperlink" Target="https://www.mpi.govt.nz/dmsdocument/55354-Improved-data-on-harvested-wood-products" TargetMode="External"/><Relationship Id="rId244" Type="http://schemas.openxmlformats.org/officeDocument/2006/relationships/image" Target="media/image77.png"/><Relationship Id="rId18" Type="http://schemas.openxmlformats.org/officeDocument/2006/relationships/hyperlink" Target="https://environment.govt.nz/" TargetMode="External"/><Relationship Id="rId39" Type="http://schemas.openxmlformats.org/officeDocument/2006/relationships/image" Target="media/image9.png"/><Relationship Id="rId265" Type="http://schemas.openxmlformats.org/officeDocument/2006/relationships/image" Target="media/image86.png"/><Relationship Id="rId50" Type="http://schemas.openxmlformats.org/officeDocument/2006/relationships/image" Target="media/image20.png"/><Relationship Id="rId104" Type="http://schemas.openxmlformats.org/officeDocument/2006/relationships/image" Target="media/image47.png"/><Relationship Id="rId125" Type="http://schemas.openxmlformats.org/officeDocument/2006/relationships/hyperlink" Target="https://unfccc.int/documents/638240" TargetMode="External"/><Relationship Id="rId146" Type="http://schemas.openxmlformats.org/officeDocument/2006/relationships/hyperlink" Target="https://www.mpi.govt.nz/dmsdocument/44716-Revised-Pasture-Quality-Analysis-in-the-Agricultural-Greenhouse-Gas-Inventory" TargetMode="External"/><Relationship Id="rId167" Type="http://schemas.openxmlformats.org/officeDocument/2006/relationships/hyperlink" Target="https://www.mpi.govt.nz/dmsdocument/13906-detailed-methodologies-for-agricultural-greenhouse-gas-emission-calculation" TargetMode="External"/><Relationship Id="rId188" Type="http://schemas.openxmlformats.org/officeDocument/2006/relationships/hyperlink" Target="https://www.mpi.govt.nz/dmsdocument/40190-meta-analysis-of-n2o-ef3-for-excreta-deposited-onto-pasture-final-repor" TargetMode="External"/><Relationship Id="rId71" Type="http://schemas.openxmlformats.org/officeDocument/2006/relationships/hyperlink" Target="https://www.aerospace.org.nz/about" TargetMode="External"/><Relationship Id="rId92" Type="http://schemas.openxmlformats.org/officeDocument/2006/relationships/image" Target="media/image42.png"/><Relationship Id="rId213" Type="http://schemas.openxmlformats.org/officeDocument/2006/relationships/hyperlink" Target="https://www.landcareresearch.co.nz/publications/soil-horizons/soil-horizons-articles/national-soil-carbon-monitoring-system-for-agricultural-land/" TargetMode="External"/><Relationship Id="rId234" Type="http://schemas.openxmlformats.org/officeDocument/2006/relationships/hyperlink" Target="http://www.tinyurl.com/TokelauHIES" TargetMode="External"/><Relationship Id="rId2" Type="http://schemas.openxmlformats.org/officeDocument/2006/relationships/customXml" Target="../customXml/item2.xml"/><Relationship Id="rId29" Type="http://schemas.openxmlformats.org/officeDocument/2006/relationships/image" Target="media/image6.png"/><Relationship Id="rId255" Type="http://schemas.openxmlformats.org/officeDocument/2006/relationships/footer" Target="footer24.xml"/><Relationship Id="rId276" Type="http://schemas.openxmlformats.org/officeDocument/2006/relationships/hyperlink" Target="https://www.mpi.govt.nz/dmsdocument/66945-Minor-animal-categories-M7-Final-report" TargetMode="External"/><Relationship Id="rId40" Type="http://schemas.openxmlformats.org/officeDocument/2006/relationships/image" Target="media/image10.png"/><Relationship Id="rId115" Type="http://schemas.openxmlformats.org/officeDocument/2006/relationships/package" Target="embeddings/Microsoft_Visio_Drawing4.vsdx"/><Relationship Id="rId136" Type="http://schemas.openxmlformats.org/officeDocument/2006/relationships/hyperlink" Target="https://www.mpi.govt.nz/dmsdocument/61057-Literature-Review-of-EF5" TargetMode="External"/><Relationship Id="rId157" Type="http://schemas.openxmlformats.org/officeDocument/2006/relationships/hyperlink" Target="https://www.dairynz.co.nz/media/bywm13d4/dairy-statistics-2023-24.pdf" TargetMode="External"/><Relationship Id="rId178" Type="http://schemas.openxmlformats.org/officeDocument/2006/relationships/hyperlink" Target="https://www.mpi.govt.nz/dmsdocument/61060-Sheep-and-Cattle-Birth-and-Slaughter-Dates" TargetMode="External"/><Relationship Id="rId61" Type="http://schemas.openxmlformats.org/officeDocument/2006/relationships/image" Target="media/image26.png"/><Relationship Id="rId82" Type="http://schemas.openxmlformats.org/officeDocument/2006/relationships/hyperlink" Target="https://mineplans.nzpam.govt.nz/" TargetMode="External"/><Relationship Id="rId199" Type="http://schemas.openxmlformats.org/officeDocument/2006/relationships/footer" Target="footer18.xml"/><Relationship Id="rId203" Type="http://schemas.openxmlformats.org/officeDocument/2006/relationships/image" Target="media/image61.png"/><Relationship Id="rId19" Type="http://schemas.openxmlformats.org/officeDocument/2006/relationships/header" Target="header4.xml"/><Relationship Id="rId224" Type="http://schemas.openxmlformats.org/officeDocument/2006/relationships/footer" Target="footer21.xml"/><Relationship Id="rId245" Type="http://schemas.openxmlformats.org/officeDocument/2006/relationships/image" Target="media/image78.png"/><Relationship Id="rId266" Type="http://schemas.openxmlformats.org/officeDocument/2006/relationships/footer" Target="footer26.xml"/><Relationship Id="rId30" Type="http://schemas.openxmlformats.org/officeDocument/2006/relationships/footer" Target="footer8.xml"/><Relationship Id="rId105" Type="http://schemas.openxmlformats.org/officeDocument/2006/relationships/image" Target="media/image48.emf"/><Relationship Id="rId126" Type="http://schemas.openxmlformats.org/officeDocument/2006/relationships/hyperlink" Target="https://www.mpi.govt.nz/dmsdocument/62643-Contributions-of-pasture-renewal-and-N-mineralisation-to-N2O-emissions-from-pastoral-farming-systems" TargetMode="External"/><Relationship Id="rId147" Type="http://schemas.openxmlformats.org/officeDocument/2006/relationships/hyperlink" Target="https://www.sciencedirect.com/science/article/pii/S0022030207700863" TargetMode="External"/><Relationship Id="rId168" Type="http://schemas.openxmlformats.org/officeDocument/2006/relationships/hyperlink" Target="https://www.mpi.govt.nz/dmsdocument/14506-Revised-methane-emission-factors-and-parameters-for-dairy-effluent-ponds" TargetMode="External"/><Relationship Id="rId51" Type="http://schemas.openxmlformats.org/officeDocument/2006/relationships/hyperlink" Target="https://beeflambnz.com/sites/default/files/2024-02/BLNZ-AR-2023_web.pdf" TargetMode="External"/><Relationship Id="rId72" Type="http://schemas.openxmlformats.org/officeDocument/2006/relationships/hyperlink" Target="https://www.bioenergy.org.nz/documents/resource/heat-plant-database-report-august-2011.pdf" TargetMode="External"/><Relationship Id="rId93" Type="http://schemas.openxmlformats.org/officeDocument/2006/relationships/image" Target="media/image43.png"/><Relationship Id="rId189" Type="http://schemas.openxmlformats.org/officeDocument/2006/relationships/hyperlink" Target="https://www.researchgate.net/publication/232385800_Disaggregating_nitrous_oxide_emission_factors_for_ruminant_urine_and_dung_deposited_onto_pastoral_soils" TargetMode="External"/><Relationship Id="rId3" Type="http://schemas.openxmlformats.org/officeDocument/2006/relationships/customXml" Target="../customXml/item3.xml"/><Relationship Id="rId214" Type="http://schemas.openxmlformats.org/officeDocument/2006/relationships/hyperlink" Target="https://www.mpi.govt.nz/forestry/forestry-in-the-emissions-trading-scheme/" TargetMode="External"/><Relationship Id="rId235" Type="http://schemas.openxmlformats.org/officeDocument/2006/relationships/hyperlink" Target="http://www.stats.govt.nz" TargetMode="External"/><Relationship Id="rId256" Type="http://schemas.openxmlformats.org/officeDocument/2006/relationships/footer" Target="footer25.xml"/><Relationship Id="rId277" Type="http://schemas.openxmlformats.org/officeDocument/2006/relationships/hyperlink" Target="https://www.stats.govt.nz/information-releases/agricultural-production-statistics-year-to-june-2022-final/" TargetMode="External"/><Relationship Id="rId116" Type="http://schemas.openxmlformats.org/officeDocument/2006/relationships/hyperlink" Target="https://www.mpi.govt.nz/dmsdocument/13906-Detailed-methodologies-for-agricultural-greenhouse-gas-emission-calculation" TargetMode="External"/><Relationship Id="rId137" Type="http://schemas.openxmlformats.org/officeDocument/2006/relationships/hyperlink" Target="https://dcanz.com/" TargetMode="External"/><Relationship Id="rId158" Type="http://schemas.openxmlformats.org/officeDocument/2006/relationships/hyperlink" Target="http://www.lic.co.nz/documents/275/100_years_of_Herd_Testing.pdf" TargetMode="External"/><Relationship Id="rId20" Type="http://schemas.openxmlformats.org/officeDocument/2006/relationships/footer" Target="footer4.xml"/><Relationship Id="rId41" Type="http://schemas.openxmlformats.org/officeDocument/2006/relationships/image" Target="media/image11.png"/><Relationship Id="rId62" Type="http://schemas.openxmlformats.org/officeDocument/2006/relationships/image" Target="media/image27.png"/><Relationship Id="rId83" Type="http://schemas.openxmlformats.org/officeDocument/2006/relationships/footer" Target="footer12.xml"/><Relationship Id="rId179" Type="http://schemas.openxmlformats.org/officeDocument/2006/relationships/hyperlink" Target="https://www.mpi.govt.nz/dmsdocument/66939-Splitting-Emissions-Intensity-Values-between-Venison-and-Velvet-Antler-in-the-Deer-Industry" TargetMode="External"/><Relationship Id="rId190" Type="http://schemas.openxmlformats.org/officeDocument/2006/relationships/hyperlink" Target="https://www.sciencedirect.com/science/article/pii/S0048969720327522" TargetMode="External"/><Relationship Id="rId204" Type="http://schemas.openxmlformats.org/officeDocument/2006/relationships/image" Target="media/image62.png"/><Relationship Id="rId225" Type="http://schemas.openxmlformats.org/officeDocument/2006/relationships/image" Target="media/image66.png"/><Relationship Id="rId246" Type="http://schemas.openxmlformats.org/officeDocument/2006/relationships/hyperlink" Target="https://www.tokelau.org.nz/Bulletin/December+2017/Solid+Waste+Management+MOU+Signed+between+Tokelau+EDNRE+and+Pacific++Recycle+Co.+Ltd.html" TargetMode="External"/><Relationship Id="rId267" Type="http://schemas.openxmlformats.org/officeDocument/2006/relationships/footer" Target="footer27.xml"/><Relationship Id="rId106" Type="http://schemas.openxmlformats.org/officeDocument/2006/relationships/package" Target="embeddings/Microsoft_Visio_Drawing2.vsdx"/><Relationship Id="rId127" Type="http://schemas.openxmlformats.org/officeDocument/2006/relationships/hyperlink" Target="https://beeflambnz.com/sites/default/files/2024-02/BLNZ-AR-2023_web.pdf" TargetMode="External"/><Relationship Id="rId10" Type="http://schemas.openxmlformats.org/officeDocument/2006/relationships/endnotes" Target="endnotes.xml"/><Relationship Id="rId31" Type="http://schemas.openxmlformats.org/officeDocument/2006/relationships/image" Target="media/image7.emf"/><Relationship Id="rId52" Type="http://schemas.openxmlformats.org/officeDocument/2006/relationships/hyperlink" Target="https://www.dairynz.co.nz/media/bywm13d4/dairy-statistics-2023-24.pdf" TargetMode="External"/><Relationship Id="rId73" Type="http://schemas.openxmlformats.org/officeDocument/2006/relationships/hyperlink" Target="https://web.archive.org/web/20160124122727/www.climatechange.govt.nz/consultation/energy/review-default-emissions-factors.pdf" TargetMode="External"/><Relationship Id="rId94" Type="http://schemas.openxmlformats.org/officeDocument/2006/relationships/image" Target="media/image44.png"/><Relationship Id="rId148" Type="http://schemas.openxmlformats.org/officeDocument/2006/relationships/hyperlink" Target="https://www.mpi.govt.nz/dmsdocument/62646-Review-of-the-Methodology-for-Alpaca-Population-Estimations-used-in-the-National-Greenhouse-Gas-Inventory" TargetMode="External"/><Relationship Id="rId169" Type="http://schemas.openxmlformats.org/officeDocument/2006/relationships/hyperlink" Target="https://www.mpi.govt.nz/dmsdocument/60670-Improving-accounting-of-emissions-from-drained-Organic-Soils" TargetMode="External"/><Relationship Id="rId4" Type="http://schemas.openxmlformats.org/officeDocument/2006/relationships/customXml" Target="../customXml/item4.xml"/><Relationship Id="rId180" Type="http://schemas.openxmlformats.org/officeDocument/2006/relationships/hyperlink" Target="https://www.mpi.govt.nz/dmsdocument/3040-Deer-Industry-New-Zealand-Estimation-of-Deer-Population-and-Productivity-Data-19902012" TargetMode="External"/><Relationship Id="rId215" Type="http://schemas.openxmlformats.org/officeDocument/2006/relationships/hyperlink" Target="https://www.mpi.govt.nz/forestry/forest-industry-and-workforce/forestry-wood-processing-data/wood-processing-data/" TargetMode="External"/><Relationship Id="rId236" Type="http://schemas.openxmlformats.org/officeDocument/2006/relationships/hyperlink" Target="http://www.tokelau.org.nz/Stats.html" TargetMode="External"/><Relationship Id="rId257" Type="http://schemas.openxmlformats.org/officeDocument/2006/relationships/image" Target="media/image79.png"/><Relationship Id="rId278" Type="http://schemas.openxmlformats.org/officeDocument/2006/relationships/hyperlink" Target="https://www.stats.govt.nz/information-releases/agricultural-production-statistics-year-to-june-2023-final/" TargetMode="External"/><Relationship Id="rId42" Type="http://schemas.openxmlformats.org/officeDocument/2006/relationships/image" Target="media/image12.png"/><Relationship Id="rId84" Type="http://schemas.openxmlformats.org/officeDocument/2006/relationships/image" Target="media/image36.png"/><Relationship Id="rId138" Type="http://schemas.openxmlformats.org/officeDocument/2006/relationships/hyperlink" Target="https://www.datagene.com.au/wp-content/uploads/2023/10/Herd-Improvement-Report-2023-FINAL-22Oct.pdf" TargetMode="External"/><Relationship Id="rId191" Type="http://schemas.openxmlformats.org/officeDocument/2006/relationships/hyperlink" Target="https://www.mpi.govt.nz/dmsdocument/66948-Nitrous-oxide-emissions-from-non-manure-organic-amendments-to-soils" TargetMode="External"/><Relationship Id="rId205" Type="http://schemas.openxmlformats.org/officeDocument/2006/relationships/image" Target="media/image63.jpeg"/><Relationship Id="rId247" Type="http://schemas.openxmlformats.org/officeDocument/2006/relationships/hyperlink" Target="https://www.irena.org/-/media/Files/IRENA/Agency/Publication/2013/Sep/Tokelau.pdf" TargetMode="External"/><Relationship Id="rId107" Type="http://schemas.openxmlformats.org/officeDocument/2006/relationships/hyperlink" Target="http://www.mpi.govt.nz/news-and-resources/statistics-and-forecasting/greenhouse-gas-reporting/agricultural-inventory-advisory-panel" TargetMode="External"/><Relationship Id="rId11" Type="http://schemas.openxmlformats.org/officeDocument/2006/relationships/image" Target="media/image1.jpg"/><Relationship Id="rId53" Type="http://schemas.openxmlformats.org/officeDocument/2006/relationships/hyperlink" Target="https://www.stats.govt.nz/information-releases/agricultural-production-statistics-year-to-june-2023-final/" TargetMode="External"/><Relationship Id="rId149" Type="http://schemas.openxmlformats.org/officeDocument/2006/relationships/hyperlink" Target="https://www.mpi.govt.nz/dmsdocument/2953-Pork-Industry-emissions-inventory-for-New-Zealand" TargetMode="External"/><Relationship Id="rId95" Type="http://schemas.openxmlformats.org/officeDocument/2006/relationships/image" Target="media/image45.png"/><Relationship Id="rId160" Type="http://schemas.openxmlformats.org/officeDocument/2006/relationships/hyperlink" Target="https://www.mpi.govt.nz/dmsdocument/46240-Refining-New-Zealands-GHG-Inventory-Methodology-Manure-Management" TargetMode="External"/><Relationship Id="rId216" Type="http://schemas.openxmlformats.org/officeDocument/2006/relationships/hyperlink" Target="https://www.mpi.govt.nz/forestry/forest-industry-and-workforce/forestry-wood-processing-data/wood-processing-data/" TargetMode="External"/><Relationship Id="rId258" Type="http://schemas.openxmlformats.org/officeDocument/2006/relationships/image" Target="media/image80.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8" Type="http://schemas.openxmlformats.org/officeDocument/2006/relationships/hyperlink" Target="https://unfccc.int/documents/638240" TargetMode="External"/><Relationship Id="rId13" Type="http://schemas.openxmlformats.org/officeDocument/2006/relationships/hyperlink" Target="https://www.ecogas.co.nz/reporoa" TargetMode="External"/><Relationship Id="rId3" Type="http://schemas.openxmlformats.org/officeDocument/2006/relationships/hyperlink" Target="https://www.mpi.govt.nz/funding-rural-support/environment-and-natural-resources/estimating-on-farm-emissions/" TargetMode="External"/><Relationship Id="rId7" Type="http://schemas.openxmlformats.org/officeDocument/2006/relationships/hyperlink" Target="http://www.mpi.govt.nz/dmsdocument/13906-Detailed-methodologies-for-agricultural-greenhouse-gas-emission-calculation" TargetMode="External"/><Relationship Id="rId12" Type="http://schemas.openxmlformats.org/officeDocument/2006/relationships/hyperlink" Target="https://compostcollective.org.nz/" TargetMode="External"/><Relationship Id="rId17" Type="http://schemas.openxmlformats.org/officeDocument/2006/relationships/hyperlink" Target="https://www.ecogas.co.nz/reporoa" TargetMode="External"/><Relationship Id="rId2" Type="http://schemas.openxmlformats.org/officeDocument/2006/relationships/hyperlink" Target="http://www.epa.govt.nz/industry-areas/emissions-trading-scheme/ets-reports/emissions-returns/" TargetMode="External"/><Relationship Id="rId16" Type="http://schemas.openxmlformats.org/officeDocument/2006/relationships/hyperlink" Target="https://www.stats.govt.nz/information-releases/agricultural-production-statistics-year-to-june-2022-final/" TargetMode="External"/><Relationship Id="rId1" Type="http://schemas.openxmlformats.org/officeDocument/2006/relationships/hyperlink" Target="https://unfccc.int/process-and-meetings/transparency-and-reporting/reporting-and-review/reporting-and-review-under-the-convention/greenhouse-gas-inventories-annex-i-parties/inventory-review-reports-2023" TargetMode="External"/><Relationship Id="rId6" Type="http://schemas.openxmlformats.org/officeDocument/2006/relationships/hyperlink" Target="https://unfccc.int/documents/638240" TargetMode="External"/><Relationship Id="rId11" Type="http://schemas.openxmlformats.org/officeDocument/2006/relationships/hyperlink" Target="https://environment.govt.nz/facts-and-science/waste/waste-statistics/" TargetMode="External"/><Relationship Id="rId5" Type="http://schemas.openxmlformats.org/officeDocument/2006/relationships/hyperlink" Target="https://www.mpi.govt.nz/resources-and-forms/economic-intelligence/situation-and-outlook-for-primary-industries/" TargetMode="External"/><Relationship Id="rId15" Type="http://schemas.openxmlformats.org/officeDocument/2006/relationships/hyperlink" Target="http://www.tokelau.org.nz/Bulletin/December+2017/Solid+Waste+Management+MOU+Signed+between+Tokelau+EDNRE+and+Pacific++Recycle+Co.+Ltd.html" TargetMode="External"/><Relationship Id="rId10" Type="http://schemas.openxmlformats.org/officeDocument/2006/relationships/hyperlink" Target="https://environment.govt.nz/what-government-is-doing/areas-of-work/waste/waste-strategy/" TargetMode="External"/><Relationship Id="rId4" Type="http://schemas.openxmlformats.org/officeDocument/2006/relationships/hyperlink" Target="https://environment.govt.nz/what-government-is-doing/areas-of-work/climate-change/ets/" TargetMode="External"/><Relationship Id="rId9" Type="http://schemas.openxmlformats.org/officeDocument/2006/relationships/hyperlink" Target="https://www.ecogas.co.nz/reporoa" TargetMode="External"/><Relationship Id="rId14" Type="http://schemas.openxmlformats.org/officeDocument/2006/relationships/hyperlink" Target="https://www.mfat.govt.nz/assets/Aid-Prog-docs/Evaluations/2015/Dec-2015/MFAT-Tokelau-Country-Programme-Eval-Final-v5-09122015.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943a7cfa-e79c-4035-8fc0-21bbbb3e7230">
      <Terms xmlns="http://schemas.microsoft.com/office/infopath/2007/PartnerControls"/>
    </lcf76f155ced4ddcb4097134ff3c332f>
    <TaxCatchAll xmlns="58a6f171-52cb-4404-b47d-af1c8daf8fd1" xsi:nil="true"/>
    <_ip_UnifiedCompliancePolicyUIAction xmlns="http://schemas.microsoft.com/sharepoint/v3"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26D2F2ECAF9A04A8C408D814A846360" ma:contentTypeVersion="17" ma:contentTypeDescription="Create a new document." ma:contentTypeScope="" ma:versionID="fc0868f60fccdff13417ba26208939c5">
  <xsd:schema xmlns:xsd="http://www.w3.org/2001/XMLSchema" xmlns:xs="http://www.w3.org/2001/XMLSchema" xmlns:p="http://schemas.microsoft.com/office/2006/metadata/properties" xmlns:ns1="http://schemas.microsoft.com/sharepoint/v3" xmlns:ns2="943a7cfa-e79c-4035-8fc0-21bbbb3e7230" xmlns:ns3="6679ce2f-28cc-4c33-8bd7-76a5d5a5eca7" xmlns:ns4="58a6f171-52cb-4404-b47d-af1c8daf8fd1" targetNamespace="http://schemas.microsoft.com/office/2006/metadata/properties" ma:root="true" ma:fieldsID="7ab686730b5e581993b8d09f694b9d1a" ns1:_="" ns2:_="" ns3:_="" ns4:_="">
    <xsd:import namespace="http://schemas.microsoft.com/sharepoint/v3"/>
    <xsd:import namespace="943a7cfa-e79c-4035-8fc0-21bbbb3e7230"/>
    <xsd:import namespace="6679ce2f-28cc-4c33-8bd7-76a5d5a5eca7"/>
    <xsd:import namespace="58a6f171-52cb-4404-b47d-af1c8daf8f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4: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2:MediaServiceDateTaken"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3" nillable="true" ma:displayName="Unified Compliance Policy Properties" ma:hidden="true" ma:internalName="_ip_UnifiedCompliancePolicyProperties">
      <xsd:simpleType>
        <xsd:restriction base="dms:Note"/>
      </xsd:simpleType>
    </xsd:element>
    <xsd:element name="_ip_UnifiedCompliancePolicyUIAction" ma:index="24"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43a7cfa-e79c-4035-8fc0-21bbbb3e72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DateTaken" ma:index="22"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679ce2f-28cc-4c33-8bd7-76a5d5a5eca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2fba0815-ee14-48cc-b8e2-4aac43feeaea}" ma:internalName="TaxCatchAll" ma:showField="CatchAllData" ma:web="6679ce2f-28cc-4c33-8bd7-76a5d5a5eca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b:Source>
    <b:Tag>Sis23</b:Tag>
    <b:SourceType>Report</b:SourceType>
    <b:Guid>{7A7A1564-6013-4980-B79C-349939D59790}</b:Guid>
    <b:Title>Minor animal categories</b:Title>
    <b:Year>2023</b:Year>
    <b:Publisher>Ministry for Primary Industires</b:Publisher>
    <b:Author>
      <b:Author>
        <b:NameList>
          <b:Person>
            <b:Last>Sise</b:Last>
            <b:First>Jude</b:First>
          </b:Person>
        </b:NameList>
      </b:Author>
    </b:Author>
    <b:RefOrder>2</b:RefOrder>
  </b:Source>
  <b:Source>
    <b:Tag>van24</b:Tag>
    <b:SourceType>Report</b:SourceType>
    <b:Guid>{DB8BE0CD-5A5C-4C5E-9E68-5C20F9D40E04}</b:Guid>
    <b:Title>Nitrous oxide emissions from non-manure organic amendments to soils</b:Title>
    <b:Year>2024</b:Year>
    <b:Author>
      <b:Author>
        <b:NameList>
          <b:Person>
            <b:Last>van der Weerden</b:Last>
            <b:First>Tony</b:First>
          </b:Person>
          <b:Person>
            <b:Last>Rutherford</b:Last>
            <b:First>Alison</b:First>
          </b:Person>
        </b:NameList>
      </b:Author>
    </b:Author>
    <b:RefOrder>3</b:RefOrder>
  </b:Source>
</b:Sources>
</file>

<file path=customXml/itemProps1.xml><?xml version="1.0" encoding="utf-8"?>
<ds:datastoreItem xmlns:ds="http://schemas.openxmlformats.org/officeDocument/2006/customXml" ds:itemID="{DB998352-8179-4149-818C-0EFCFC587490}">
  <ds:schemaRefs>
    <ds:schemaRef ds:uri="http://schemas.microsoft.com/sharepoint/v3/contenttype/forms"/>
  </ds:schemaRefs>
</ds:datastoreItem>
</file>

<file path=customXml/itemProps2.xml><?xml version="1.0" encoding="utf-8"?>
<ds:datastoreItem xmlns:ds="http://schemas.openxmlformats.org/officeDocument/2006/customXml" ds:itemID="{B4B91F93-81D3-4B77-9F15-CC2C90724978}">
  <ds:schemaRefs>
    <ds:schemaRef ds:uri="http://schemas.microsoft.com/office/2006/metadata/properties"/>
    <ds:schemaRef ds:uri="http://schemas.microsoft.com/office/infopath/2007/PartnerControls"/>
    <ds:schemaRef ds:uri="943a7cfa-e79c-4035-8fc0-21bbbb3e7230"/>
    <ds:schemaRef ds:uri="58a6f171-52cb-4404-b47d-af1c8daf8fd1"/>
    <ds:schemaRef ds:uri="http://schemas.microsoft.com/sharepoint/v3"/>
  </ds:schemaRefs>
</ds:datastoreItem>
</file>

<file path=customXml/itemProps3.xml><?xml version="1.0" encoding="utf-8"?>
<ds:datastoreItem xmlns:ds="http://schemas.openxmlformats.org/officeDocument/2006/customXml" ds:itemID="{34A38323-BD25-460F-83AA-FBFEF19AEF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43a7cfa-e79c-4035-8fc0-21bbbb3e7230"/>
    <ds:schemaRef ds:uri="6679ce2f-28cc-4c33-8bd7-76a5d5a5eca7"/>
    <ds:schemaRef ds:uri="58a6f171-52cb-4404-b47d-af1c8daf8f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8414E5D-5EC4-4B0C-A0D6-876E9550B6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467</Pages>
  <Words>185982</Words>
  <Characters>1060100</Characters>
  <Application>Microsoft Office Word</Application>
  <DocSecurity>0</DocSecurity>
  <Lines>8834</Lines>
  <Paragraphs>2487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1243595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Tanya T</dc:creator>
  <cp:keywords/>
  <dc:description/>
  <cp:lastModifiedBy>Lisette Du Plessis</cp:lastModifiedBy>
  <cp:revision>46</cp:revision>
  <cp:lastPrinted>2025-04-15T02:34:00Z</cp:lastPrinted>
  <dcterms:created xsi:type="dcterms:W3CDTF">2025-04-13T19:59:00Z</dcterms:created>
  <dcterms:modified xsi:type="dcterms:W3CDTF">2025-04-15T02:35:00Z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0x010100E26D2F2ECAF9A04A8C408D814A846360</vt:lpwstr>
  </property>
  <property fmtid="{D5CDD505-2E9C-101B-9397-08002B2CF9AE}" pid="3" name="MSIP_Label_52dda6cc-d61d-4fd2-bf18-9b3017d931cc_Enabled">
    <vt:lpwstr>true</vt:lpwstr>
  </property>
  <property fmtid="{D5CDD505-2E9C-101B-9397-08002B2CF9AE}" pid="4" name="MSIP_Label_52dda6cc-d61d-4fd2-bf18-9b3017d931cc_SetDate">
    <vt:lpwstr>2024-04-22T02:49:04Z</vt:lpwstr>
  </property>
  <property fmtid="{D5CDD505-2E9C-101B-9397-08002B2CF9AE}" pid="5" name="MSIP_Label_52dda6cc-d61d-4fd2-bf18-9b3017d931cc_Method">
    <vt:lpwstr>Privileged</vt:lpwstr>
  </property>
  <property fmtid="{D5CDD505-2E9C-101B-9397-08002B2CF9AE}" pid="6" name="MSIP_Label_52dda6cc-d61d-4fd2-bf18-9b3017d931cc_Name">
    <vt:lpwstr>[UNCLASSIFIED]</vt:lpwstr>
  </property>
  <property fmtid="{D5CDD505-2E9C-101B-9397-08002B2CF9AE}" pid="7" name="MSIP_Label_52dda6cc-d61d-4fd2-bf18-9b3017d931cc_SiteId">
    <vt:lpwstr>761dd003-d4ff-4049-8a72-8549b20fcbb1</vt:lpwstr>
  </property>
  <property fmtid="{D5CDD505-2E9C-101B-9397-08002B2CF9AE}" pid="8" name="MSIP_Label_52dda6cc-d61d-4fd2-bf18-9b3017d931cc_ActionId">
    <vt:lpwstr>c88db9af-430a-4a65-a765-b14fa25da927</vt:lpwstr>
  </property>
  <property fmtid="{D5CDD505-2E9C-101B-9397-08002B2CF9AE}" pid="9" name="MSIP_Label_52dda6cc-d61d-4fd2-bf18-9b3017d931cc_ContentBits">
    <vt:lpwstr>0</vt:lpwstr>
  </property>
  <property fmtid="{D5CDD505-2E9C-101B-9397-08002B2CF9AE}" pid="10" name="MediaServiceImageTags">
    <vt:lpwstr/>
  </property>
  <property fmtid="{D5CDD505-2E9C-101B-9397-08002B2CF9AE}" pid="11" name="MSIP_Label_738466f7-346c-47bb-a4d2-4a6558d61975_Enabled">
    <vt:lpwstr>true</vt:lpwstr>
  </property>
  <property fmtid="{D5CDD505-2E9C-101B-9397-08002B2CF9AE}" pid="12" name="MSIP_Label_738466f7-346c-47bb-a4d2-4a6558d61975_SetDate">
    <vt:lpwstr>2025-01-08T01:20:24Z</vt:lpwstr>
  </property>
  <property fmtid="{D5CDD505-2E9C-101B-9397-08002B2CF9AE}" pid="13" name="MSIP_Label_738466f7-346c-47bb-a4d2-4a6558d61975_Method">
    <vt:lpwstr>Privileged</vt:lpwstr>
  </property>
  <property fmtid="{D5CDD505-2E9C-101B-9397-08002B2CF9AE}" pid="14" name="MSIP_Label_738466f7-346c-47bb-a4d2-4a6558d61975_Name">
    <vt:lpwstr>UNCLASSIFIED</vt:lpwstr>
  </property>
  <property fmtid="{D5CDD505-2E9C-101B-9397-08002B2CF9AE}" pid="15" name="MSIP_Label_738466f7-346c-47bb-a4d2-4a6558d61975_SiteId">
    <vt:lpwstr>78b2bd11-e42b-47ea-b011-2e04c3af5ec1</vt:lpwstr>
  </property>
  <property fmtid="{D5CDD505-2E9C-101B-9397-08002B2CF9AE}" pid="16" name="MSIP_Label_738466f7-346c-47bb-a4d2-4a6558d61975_ActionId">
    <vt:lpwstr>f32d8aab-e1e3-442e-8c3b-63d5fcde2da4</vt:lpwstr>
  </property>
  <property fmtid="{D5CDD505-2E9C-101B-9397-08002B2CF9AE}" pid="17" name="MSIP_Label_738466f7-346c-47bb-a4d2-4a6558d61975_ContentBits">
    <vt:lpwstr>0</vt:lpwstr>
  </property>
</Properties>
</file>